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3A54BC" w14:textId="77777777" w:rsidR="007B1D3C" w:rsidRPr="00E93F40" w:rsidRDefault="007B1D3C" w:rsidP="00E93F40">
      <w:pPr>
        <w:autoSpaceDE w:val="0"/>
        <w:autoSpaceDN w:val="0"/>
        <w:adjustRightInd w:val="0"/>
        <w:spacing w:after="0" w:line="240" w:lineRule="auto"/>
        <w:jc w:val="both"/>
        <w:rPr>
          <w:rFonts w:ascii="Times New Roman" w:hAnsi="Times New Roman"/>
          <w:b/>
          <w:bCs/>
          <w:color w:val="000000" w:themeColor="text1"/>
          <w:sz w:val="16"/>
          <w:szCs w:val="16"/>
        </w:rPr>
      </w:pPr>
      <w:r w:rsidRPr="00E93F40">
        <w:rPr>
          <w:rFonts w:ascii="Times New Roman" w:hAnsi="Times New Roman"/>
          <w:b/>
          <w:bCs/>
          <w:color w:val="000000" w:themeColor="text1"/>
          <w:sz w:val="16"/>
          <w:szCs w:val="16"/>
        </w:rPr>
        <w:t>1932</w:t>
      </w:r>
    </w:p>
    <w:p w14:paraId="0DD1826C" w14:textId="77777777" w:rsidR="007E2630" w:rsidRPr="00E93F40" w:rsidRDefault="007E2630"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39851FB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31E3E9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550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году завод Саркомбайн выпустил более 120 самолетов, которые получили наименование И-7 (РГВА. Ф. 33988. Оп. 3. Д. 131. Л. 4.). В конце 1920 — начале 1930-х годов на Саратовском комбайновом заводе (разумеется, в секретном цехе) было организовано серийное строительство немецкого истребителя «Хейнкель-37» (</w:t>
      </w:r>
      <w:r w:rsidRPr="00E93F40">
        <w:rPr>
          <w:rFonts w:ascii="Times New Roman" w:hAnsi="Times New Roman"/>
          <w:iCs/>
          <w:color w:val="000000" w:themeColor="text1"/>
          <w:sz w:val="16"/>
          <w:szCs w:val="16"/>
        </w:rPr>
        <w:t xml:space="preserve">Султанов И. </w:t>
      </w:r>
      <w:r w:rsidRPr="00E93F40">
        <w:rPr>
          <w:rFonts w:ascii="Times New Roman" w:hAnsi="Times New Roman"/>
          <w:color w:val="000000" w:themeColor="text1"/>
          <w:sz w:val="16"/>
          <w:szCs w:val="16"/>
        </w:rPr>
        <w:t>Неожиданный пришелец // Крылья Родины. 1994. № 10. С. 8-11.). Длительное время практически ничего не было известно о приобретении у фирмы «Хейнкель» лицензии на постройку в СССР одноименного военного самолета модификации «37» (11174).</w:t>
      </w:r>
    </w:p>
    <w:p w14:paraId="2A238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6FA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году закончилась разработка двух образцов донных мин: речной индукционной мины "Ремин" и большой индукционной донной мины БИД. В обоих образцах устройством. воспринимающим магнитное ноле корабля. являлась индукционная катушка из медного провода. Исполнительным элементом, замыкавшим цепь запала, являлось высокочувствительное гальванометрическое реле. При проходе корабля над миной его магнитное поле воздействовало на ИНДУКЦИОННУЮ катушку. Возникавший в ней ток и приводил к срабатыванию реле. Этот взрыватель имел один существенный недостаток - он не был защищен от подводных взрывов. Это и послужило главной причиной отказа от принятия мин на вооружение (3364,18).</w:t>
      </w:r>
    </w:p>
    <w:p w14:paraId="685BA5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F2BC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г. конструкцию трубок Комарова в авиации усовершенствова</w:t>
      </w:r>
      <w:r w:rsidRPr="00E93F40">
        <w:rPr>
          <w:rFonts w:ascii="Times New Roman" w:hAnsi="Times New Roman"/>
          <w:color w:val="000000" w:themeColor="text1"/>
          <w:sz w:val="16"/>
          <w:szCs w:val="16"/>
        </w:rPr>
        <w:softHyphen/>
        <w:t>ли для оснащения ими авиабомб. В итоге АГДТ - авиационная головная дистанционная трубка - приобрела три ступени предохранения - поход</w:t>
      </w:r>
      <w:r w:rsidRPr="00E93F40">
        <w:rPr>
          <w:rFonts w:ascii="Times New Roman" w:hAnsi="Times New Roman"/>
          <w:color w:val="000000" w:themeColor="text1"/>
          <w:sz w:val="16"/>
          <w:szCs w:val="16"/>
        </w:rPr>
        <w:softHyphen/>
        <w:t>ную, боевую и узел дальнего взведения. При этом пришлось пожертво</w:t>
      </w:r>
      <w:r w:rsidRPr="00E93F40">
        <w:rPr>
          <w:rFonts w:ascii="Times New Roman" w:hAnsi="Times New Roman"/>
          <w:color w:val="000000" w:themeColor="text1"/>
          <w:sz w:val="16"/>
          <w:szCs w:val="16"/>
        </w:rPr>
        <w:softHyphen/>
        <w:t>вать ударной (контактной) частью взрывателя. Регулируемый замедли</w:t>
      </w:r>
      <w:r w:rsidRPr="00E93F40">
        <w:rPr>
          <w:rFonts w:ascii="Times New Roman" w:hAnsi="Times New Roman"/>
          <w:color w:val="000000" w:themeColor="text1"/>
          <w:sz w:val="16"/>
          <w:szCs w:val="16"/>
        </w:rPr>
        <w:softHyphen/>
        <w:t>тель пиротехнического типа от 5 до 22 с в АГДТ состоял из трех дистан</w:t>
      </w:r>
      <w:r w:rsidRPr="00E93F40">
        <w:rPr>
          <w:rFonts w:ascii="Times New Roman" w:hAnsi="Times New Roman"/>
          <w:color w:val="000000" w:themeColor="text1"/>
          <w:sz w:val="16"/>
          <w:szCs w:val="16"/>
        </w:rPr>
        <w:softHyphen/>
        <w:t>ционных колец с запрессованным в них пороховым составом (порох тру</w:t>
      </w:r>
      <w:r w:rsidRPr="00E93F40">
        <w:rPr>
          <w:rFonts w:ascii="Times New Roman" w:hAnsi="Times New Roman"/>
          <w:color w:val="000000" w:themeColor="text1"/>
          <w:sz w:val="16"/>
          <w:szCs w:val="16"/>
        </w:rPr>
        <w:softHyphen/>
        <w:t>бочный обыкновенный) и воспламенительного приспособлении.</w:t>
      </w:r>
    </w:p>
    <w:p w14:paraId="612AB7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Габариты трубок Комарова и АГДТ (диаметр наиболее широкой части - 64 мм, высота без учета крыльчатки и хвостовика - 64 мм) требова</w:t>
      </w:r>
      <w:r w:rsidRPr="00E93F40">
        <w:rPr>
          <w:rFonts w:ascii="Times New Roman" w:hAnsi="Times New Roman"/>
          <w:color w:val="000000" w:themeColor="text1"/>
          <w:sz w:val="16"/>
          <w:szCs w:val="16"/>
        </w:rPr>
        <w:softHyphen/>
        <w:t>ли изготавливать их корпуса из алюминиевых сплавов. Как говорилось в описании авиационной модификации взрывателя в 1935 г., «корпус ди</w:t>
      </w:r>
      <w:r w:rsidRPr="00E93F40">
        <w:rPr>
          <w:rFonts w:ascii="Times New Roman" w:hAnsi="Times New Roman"/>
          <w:color w:val="000000" w:themeColor="text1"/>
          <w:sz w:val="16"/>
          <w:szCs w:val="16"/>
        </w:rPr>
        <w:softHyphen/>
        <w:t>станционной трубки - алюминиевый, обточен тремя цилиндрическими Уступами. В колпачке имеются смотровые отверстия для контроля двух шариков. На заданное время трубка устанавливается от руки или специ</w:t>
      </w:r>
      <w:r w:rsidRPr="00E93F40">
        <w:rPr>
          <w:rFonts w:ascii="Times New Roman" w:hAnsi="Times New Roman"/>
          <w:color w:val="000000" w:themeColor="text1"/>
          <w:sz w:val="16"/>
          <w:szCs w:val="16"/>
        </w:rPr>
        <w:softHyphen/>
        <w:t>альным дистанционным ключом до установки и головное очко. Вынима</w:t>
      </w:r>
      <w:r w:rsidRPr="00E93F40">
        <w:rPr>
          <w:rFonts w:ascii="Times New Roman" w:hAnsi="Times New Roman"/>
          <w:color w:val="000000" w:themeColor="text1"/>
          <w:sz w:val="16"/>
          <w:szCs w:val="16"/>
        </w:rPr>
        <w:softHyphen/>
        <w:t>нием вилки испытывается ход ветрянки до установки АГДТ на авиабомбы и после подвески авиабомбы с взрывателем до запуска двигателей самолета. После установившегося хода моторов вынимают чеку (вилка остается).</w:t>
      </w:r>
    </w:p>
    <w:p w14:paraId="3EC54A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тем АГДТ долгое время оставалась авиабомбовым неконтактным взрывателем, не лучшим образом приспособленным для применения в составе РС. Создание специализированного взрывателя для реактивного вооружения шло параллельно с совершенствованием АГДТ. Вернее с его адаптацией к специфике авиационных (и не только авиационных ракетных систем. Во-первых, доработкам подверглась система предохра</w:t>
      </w:r>
      <w:r w:rsidRPr="00E93F40">
        <w:rPr>
          <w:rFonts w:ascii="Times New Roman" w:hAnsi="Times New Roman"/>
          <w:color w:val="000000" w:themeColor="text1"/>
          <w:sz w:val="16"/>
          <w:szCs w:val="16"/>
        </w:rPr>
        <w:softHyphen/>
        <w:t>нителей АГДТ, а во-вторых, - дистанционная часть взрывателей.</w:t>
      </w:r>
    </w:p>
    <w:p w14:paraId="31D35C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отношении первого, на силовой балке каждого ракетного орудия бугельного типа были предусмотрены по два небольших замка-карабина Один служил для выдергивания боевой чеки АГДТ при старте РС, по</w:t>
      </w:r>
      <w:r w:rsidRPr="00E93F40">
        <w:rPr>
          <w:rFonts w:ascii="Times New Roman" w:hAnsi="Times New Roman"/>
          <w:color w:val="000000" w:themeColor="text1"/>
          <w:sz w:val="16"/>
          <w:szCs w:val="16"/>
        </w:rPr>
        <w:softHyphen/>
        <w:t>средством другого фиксировали крыльчатку взрывателя вязальной про</w:t>
      </w:r>
      <w:r w:rsidRPr="00E93F40">
        <w:rPr>
          <w:rFonts w:ascii="Times New Roman" w:hAnsi="Times New Roman"/>
          <w:color w:val="000000" w:themeColor="text1"/>
          <w:sz w:val="16"/>
          <w:szCs w:val="16"/>
        </w:rPr>
        <w:softHyphen/>
        <w:t>волокой (либо подвешивали контровочную вилку для фиксации крыль</w:t>
      </w:r>
      <w:r w:rsidRPr="00E93F40">
        <w:rPr>
          <w:rFonts w:ascii="Times New Roman" w:hAnsi="Times New Roman"/>
          <w:color w:val="000000" w:themeColor="text1"/>
          <w:sz w:val="16"/>
          <w:szCs w:val="16"/>
        </w:rPr>
        <w:softHyphen/>
        <w:t>чатки). Первые же наземные отстрелы больших партий РС в 1934 г., поз</w:t>
      </w:r>
      <w:r w:rsidRPr="00E93F40">
        <w:rPr>
          <w:rFonts w:ascii="Times New Roman" w:hAnsi="Times New Roman"/>
          <w:color w:val="000000" w:themeColor="text1"/>
          <w:sz w:val="16"/>
          <w:szCs w:val="16"/>
        </w:rPr>
        <w:softHyphen/>
        <w:t>волившие набрать статистические данные по взрывателям, показали, что «авиабомбовые» АГДТ-А модели 4-061, установленные на одно и го же замедление, срабатывают «с большим рассеиванием времени». Кроме того, необходимо дополнительно подвязывать крыльчатку тонким тро</w:t>
      </w:r>
      <w:r w:rsidRPr="00E93F40">
        <w:rPr>
          <w:rFonts w:ascii="Times New Roman" w:hAnsi="Times New Roman"/>
          <w:color w:val="000000" w:themeColor="text1"/>
          <w:sz w:val="16"/>
          <w:szCs w:val="16"/>
        </w:rPr>
        <w:softHyphen/>
        <w:t>сом (проволокой), поскольку стопорной вилки порой недостаточно. Но и это сказывалось не лучшим образом - толщину проволоки никто не уточнял и не лимитировал, и когда она оказывалась излишне проч</w:t>
      </w:r>
      <w:r w:rsidRPr="00E93F40">
        <w:rPr>
          <w:rFonts w:ascii="Times New Roman" w:hAnsi="Times New Roman"/>
          <w:color w:val="000000" w:themeColor="text1"/>
          <w:sz w:val="16"/>
          <w:szCs w:val="16"/>
        </w:rPr>
        <w:softHyphen/>
        <w:t>ной, при выстреле проволоку не всегда обрывало. Тогда лопасть крыль</w:t>
      </w:r>
      <w:r w:rsidRPr="00E93F40">
        <w:rPr>
          <w:rFonts w:ascii="Times New Roman" w:hAnsi="Times New Roman"/>
          <w:color w:val="000000" w:themeColor="text1"/>
          <w:sz w:val="16"/>
          <w:szCs w:val="16"/>
        </w:rPr>
        <w:softHyphen/>
        <w:t>чатки или изгибалась, или отламывалась. Изредка обламывало и всю крыльчатку.</w:t>
      </w:r>
    </w:p>
    <w:p w14:paraId="1492BB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второй половины 1934 г. для использования АГДТ на РС в мастер</w:t>
      </w:r>
      <w:r w:rsidRPr="00E93F40">
        <w:rPr>
          <w:rFonts w:ascii="Times New Roman" w:hAnsi="Times New Roman"/>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E93F40">
        <w:rPr>
          <w:rFonts w:ascii="Times New Roman" w:hAnsi="Times New Roman"/>
          <w:color w:val="000000" w:themeColor="text1"/>
          <w:sz w:val="16"/>
          <w:szCs w:val="16"/>
        </w:rPr>
        <w:softHyphen/>
        <w:t>кетной», достававшей до замка-карабина на РО. А рациональность ис</w:t>
      </w:r>
      <w:r w:rsidRPr="00E93F40">
        <w:rPr>
          <w:rFonts w:ascii="Times New Roman" w:hAnsi="Times New Roman"/>
          <w:color w:val="000000" w:themeColor="text1"/>
          <w:sz w:val="16"/>
          <w:szCs w:val="16"/>
        </w:rPr>
        <w:softHyphen/>
        <w:t>пользования вилки, фиксирующей крыльчатку взрывателя снаряда, во</w:t>
      </w:r>
      <w:r w:rsidRPr="00E93F40">
        <w:rPr>
          <w:rFonts w:ascii="Times New Roman" w:hAnsi="Times New Roman"/>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E93F40">
        <w:rPr>
          <w:rFonts w:ascii="Times New Roman" w:hAnsi="Times New Roman"/>
          <w:color w:val="000000" w:themeColor="text1"/>
          <w:sz w:val="16"/>
          <w:szCs w:val="16"/>
        </w:rPr>
        <w:softHyphen/>
        <w:t>сковое устройство и обшивку самолета.</w:t>
      </w:r>
    </w:p>
    <w:p w14:paraId="5C38D0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дистанционных трубок АГДТ-А завода № 42 имени Масленникова 1935 г. пусковую чеку (шплинт с колечком) заменили самодельной пу</w:t>
      </w:r>
      <w:r w:rsidRPr="00E93F40">
        <w:rPr>
          <w:rFonts w:ascii="Times New Roman" w:hAnsi="Times New Roman"/>
          <w:color w:val="000000" w:themeColor="text1"/>
          <w:sz w:val="16"/>
          <w:szCs w:val="16"/>
        </w:rPr>
        <w:softHyphen/>
        <w:t>сковой чекой из стальной рояльной проволоки, которую цепляли на од</w:t>
      </w:r>
      <w:r w:rsidRPr="00E93F40">
        <w:rPr>
          <w:rFonts w:ascii="Times New Roman" w:hAnsi="Times New Roman"/>
          <w:color w:val="000000" w:themeColor="text1"/>
          <w:sz w:val="16"/>
          <w:szCs w:val="16"/>
        </w:rPr>
        <w:softHyphen/>
        <w:t>ном из бугелей пускового станка, так что при движении снаряда в счал</w:t>
      </w:r>
      <w:r w:rsidRPr="00E93F40">
        <w:rPr>
          <w:rFonts w:ascii="Times New Roman" w:hAnsi="Times New Roman"/>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E93F40">
        <w:rPr>
          <w:rFonts w:ascii="Times New Roman" w:hAnsi="Times New Roman"/>
          <w:color w:val="000000" w:themeColor="text1"/>
          <w:sz w:val="16"/>
          <w:szCs w:val="16"/>
        </w:rPr>
        <w:softHyphen/>
        <w:t>ворачивали от руки на один - полтора оборота, 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E93F40">
        <w:rPr>
          <w:rFonts w:ascii="Times New Roman" w:hAnsi="Times New Roman"/>
          <w:color w:val="000000" w:themeColor="text1"/>
          <w:sz w:val="16"/>
          <w:szCs w:val="16"/>
        </w:rPr>
        <w:softHyphen/>
        <w:t>мени выполнили на кольце вручную циркулем-измерителем.</w:t>
      </w:r>
    </w:p>
    <w:p w14:paraId="0A9DB0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этого было обнаружено, что насечка шкалы на заводе № 42 вы</w:t>
      </w:r>
      <w:r w:rsidRPr="00E93F40">
        <w:rPr>
          <w:rFonts w:ascii="Times New Roman" w:hAnsi="Times New Roman"/>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5E97C4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направляюших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спецкрыльчатка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7F4889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E93F40">
        <w:rPr>
          <w:rFonts w:ascii="Times New Roman" w:hAnsi="Times New Roman"/>
          <w:color w:val="000000" w:themeColor="text1"/>
          <w:sz w:val="16"/>
          <w:szCs w:val="16"/>
        </w:rPr>
        <w:softHyphen/>
        <w:t>нять многое, в том числе и причину гибели В.П.Чкалова. Детальный ин</w:t>
      </w:r>
      <w:r w:rsidRPr="00E93F40">
        <w:rPr>
          <w:rFonts w:ascii="Times New Roman" w:hAnsi="Times New Roman"/>
          <w:color w:val="000000" w:themeColor="text1"/>
          <w:sz w:val="16"/>
          <w:szCs w:val="16"/>
        </w:rPr>
        <w:softHyphen/>
        <w:t>женерный анализ чаше объясняет трагические случаи элементарной не</w:t>
      </w:r>
      <w:r w:rsidRPr="00E93F40">
        <w:rPr>
          <w:rFonts w:ascii="Times New Roman" w:hAnsi="Times New Roman"/>
          <w:color w:val="000000" w:themeColor="text1"/>
          <w:sz w:val="16"/>
          <w:szCs w:val="16"/>
        </w:rPr>
        <w:softHyphen/>
        <w:t>дисциплинированностью обслуживающего персонала, ошибками конст</w:t>
      </w:r>
      <w:r w:rsidRPr="00E93F40">
        <w:rPr>
          <w:rFonts w:ascii="Times New Roman" w:hAnsi="Times New Roman"/>
          <w:color w:val="000000" w:themeColor="text1"/>
          <w:sz w:val="16"/>
          <w:szCs w:val="16"/>
        </w:rPr>
        <w:softHyphen/>
        <w:t>рукторов и изготовителей (11402).</w:t>
      </w:r>
    </w:p>
    <w:p w14:paraId="1CD873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75EFB1" w14:textId="13B97E54" w:rsidR="00F821E3" w:rsidRPr="00E93F40" w:rsidRDefault="00F821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г. сложилась структура ГИРД: четыре бригады во главе с Техсоветом. В каждую бригаду кроме начальника входили несколько инженеров и постоянно прикрепленные к ним механики, которые, постоянно сотрудничая с инженерно-конструкторским составом, достигали чрезвычайно высокой квалификации, какой не было на большинстве заводов того времени. Начальником первой бригады считался Ф.А.Цандер, его заместителем и ведущим инженером по ракетам был Л.К. Корнеев и ближайшим помощником инженер А.И. Полярный. Они занимались двигателем ОР-2 и созданием жидкостной ракеты конструкции Цандера. Во главе второй бригады стоял М.К. Тихонравов, его заместителем и ведущим инженером по ракетам был H. И. Ефремов, ближайшие помощники, инженеры Зуев и Якайтис. Их задачей тоже было создание жидкостной ракеты, но конструкции Тихонравова. Третью бригаду возглавлял Ю.А. Победоносцев, его ближайшими помощниками были инженеры Лисичкин, Тимофеев, Кисенко, Иванов. Они работали над пороховыми ракетными снарядами, прямоточными и пульсирующими двигателями. Четвертой бригадой руководил СП. Королев, ему помогали инженеры H.A. Железников, Е.С Щетинков и A.B. Чесалов. Главной целью их работы был ракетоплан РПI, который представлял собой планер с трапециевидным в плане крылом, так называемая «бесхвостка» конструкции Черановского «БИЧ-11», но с реактивным двигателем. В подвале ГР1РД располагались и сами конструкторы и мастерская (производство), кроме того, ГИРД имела свою испытательную станцию (полигон в «Нахабино») (22685).</w:t>
      </w:r>
    </w:p>
    <w:p w14:paraId="4E302635" w14:textId="77777777" w:rsidR="00F821E3" w:rsidRPr="00E93F40" w:rsidRDefault="00F821E3" w:rsidP="00E93F40">
      <w:pPr>
        <w:spacing w:after="0" w:line="240" w:lineRule="auto"/>
        <w:jc w:val="both"/>
        <w:rPr>
          <w:rFonts w:ascii="Times New Roman" w:hAnsi="Times New Roman"/>
          <w:color w:val="000000" w:themeColor="text1"/>
          <w:sz w:val="16"/>
          <w:szCs w:val="16"/>
        </w:rPr>
      </w:pPr>
    </w:p>
    <w:p w14:paraId="3E40F3A1" w14:textId="77777777"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CCF4B37" w14:textId="77777777"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53F105" w14:textId="77777777" w:rsidR="00F821E3" w:rsidRPr="00E93F40" w:rsidRDefault="00F821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г. НАМИ были выпущены рабочие чертежи танкового двигателя Начались конструкторские разработки нового семейства тан</w:t>
      </w:r>
      <w:r w:rsidRPr="00E93F40">
        <w:rPr>
          <w:rFonts w:ascii="Times New Roman" w:hAnsi="Times New Roman"/>
          <w:color w:val="000000" w:themeColor="text1"/>
          <w:sz w:val="16"/>
          <w:szCs w:val="16"/>
        </w:rPr>
        <w:softHyphen/>
        <w:t>ковых дизелей. Создание двигате</w:t>
      </w:r>
      <w:r w:rsidRPr="00E93F40">
        <w:rPr>
          <w:rFonts w:ascii="Times New Roman" w:hAnsi="Times New Roman"/>
          <w:color w:val="000000" w:themeColor="text1"/>
          <w:sz w:val="16"/>
          <w:szCs w:val="16"/>
        </w:rPr>
        <w:softHyphen/>
        <w:t>ля было поручено главному кон</w:t>
      </w:r>
      <w:r w:rsidRPr="00E93F40">
        <w:rPr>
          <w:rFonts w:ascii="Times New Roman" w:hAnsi="Times New Roman"/>
          <w:color w:val="000000" w:themeColor="text1"/>
          <w:sz w:val="16"/>
          <w:szCs w:val="16"/>
        </w:rPr>
        <w:softHyphen/>
        <w:t>структору двигателей тяжелого топ</w:t>
      </w:r>
      <w:r w:rsidRPr="00E93F40">
        <w:rPr>
          <w:rFonts w:ascii="Times New Roman" w:hAnsi="Times New Roman"/>
          <w:color w:val="000000" w:themeColor="text1"/>
          <w:sz w:val="16"/>
          <w:szCs w:val="16"/>
        </w:rPr>
        <w:softHyphen/>
        <w:t>лива А.К. Дьячкову. Двигатель полу</w:t>
      </w:r>
      <w:r w:rsidRPr="00E93F40">
        <w:rPr>
          <w:rFonts w:ascii="Times New Roman" w:hAnsi="Times New Roman"/>
          <w:color w:val="000000" w:themeColor="text1"/>
          <w:sz w:val="16"/>
          <w:szCs w:val="16"/>
        </w:rPr>
        <w:softHyphen/>
        <w:t>чившего марку Д-300, и чертежи были переданы для изготовления по ним опытных образцов на Харьковский парово</w:t>
      </w:r>
      <w:r w:rsidRPr="00E93F40">
        <w:rPr>
          <w:rFonts w:ascii="Times New Roman" w:hAnsi="Times New Roman"/>
          <w:color w:val="000000" w:themeColor="text1"/>
          <w:sz w:val="16"/>
          <w:szCs w:val="16"/>
        </w:rPr>
        <w:softHyphen/>
        <w:t>зостроительный завод. При со</w:t>
      </w:r>
      <w:r w:rsidRPr="00E93F40">
        <w:rPr>
          <w:rFonts w:ascii="Times New Roman" w:hAnsi="Times New Roman"/>
          <w:color w:val="000000" w:themeColor="text1"/>
          <w:sz w:val="16"/>
          <w:szCs w:val="16"/>
        </w:rPr>
        <w:softHyphen/>
        <w:t>бственной массе меньше 1200 кг V-образный короткоходный 12-ци</w:t>
      </w:r>
      <w:r w:rsidRPr="00E93F40">
        <w:rPr>
          <w:rFonts w:ascii="Times New Roman" w:hAnsi="Times New Roman"/>
          <w:color w:val="000000" w:themeColor="text1"/>
          <w:sz w:val="16"/>
          <w:szCs w:val="16"/>
        </w:rPr>
        <w:softHyphen/>
        <w:t>линдровый двигатель без наддува имел мощность, а также компоно</w:t>
      </w:r>
      <w:r w:rsidRPr="00E93F40">
        <w:rPr>
          <w:rFonts w:ascii="Times New Roman" w:hAnsi="Times New Roman"/>
          <w:color w:val="000000" w:themeColor="text1"/>
          <w:sz w:val="16"/>
          <w:szCs w:val="16"/>
        </w:rPr>
        <w:softHyphen/>
        <w:t>вочные габариты, не превышаю</w:t>
      </w:r>
      <w:r w:rsidRPr="00E93F40">
        <w:rPr>
          <w:rFonts w:ascii="Times New Roman" w:hAnsi="Times New Roman"/>
          <w:color w:val="000000" w:themeColor="text1"/>
          <w:sz w:val="16"/>
          <w:szCs w:val="16"/>
        </w:rPr>
        <w:softHyphen/>
        <w:t>щие габаритов тогдашних авиаци</w:t>
      </w:r>
      <w:r w:rsidRPr="00E93F40">
        <w:rPr>
          <w:rFonts w:ascii="Times New Roman" w:hAnsi="Times New Roman"/>
          <w:color w:val="000000" w:themeColor="text1"/>
          <w:sz w:val="16"/>
          <w:szCs w:val="16"/>
        </w:rPr>
        <w:softHyphen/>
        <w:t>онных двигателей, что диктова</w:t>
      </w:r>
      <w:r w:rsidRPr="00E93F40">
        <w:rPr>
          <w:rFonts w:ascii="Times New Roman" w:hAnsi="Times New Roman"/>
          <w:color w:val="000000" w:themeColor="text1"/>
          <w:sz w:val="16"/>
          <w:szCs w:val="16"/>
        </w:rPr>
        <w:softHyphen/>
        <w:t>лось техническим заданием. В раз</w:t>
      </w:r>
      <w:r w:rsidRPr="00E93F40">
        <w:rPr>
          <w:rFonts w:ascii="Times New Roman" w:hAnsi="Times New Roman"/>
          <w:color w:val="000000" w:themeColor="text1"/>
          <w:sz w:val="16"/>
          <w:szCs w:val="16"/>
        </w:rPr>
        <w:softHyphen/>
        <w:t>работке двигателя участвовали О.М. Малашкин, Ф.С. Федотенко, М.М. Затравкин, И.И. Мыткин.</w:t>
      </w:r>
    </w:p>
    <w:p w14:paraId="2351F19C" w14:textId="77777777" w:rsidR="00F821E3" w:rsidRPr="00E93F40" w:rsidRDefault="00F821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Дизель Д-300 создавался спе</w:t>
      </w:r>
      <w:r w:rsidRPr="00E93F40">
        <w:rPr>
          <w:rFonts w:ascii="Times New Roman" w:hAnsi="Times New Roman"/>
          <w:color w:val="000000" w:themeColor="text1"/>
          <w:sz w:val="16"/>
          <w:szCs w:val="16"/>
        </w:rPr>
        <w:softHyphen/>
        <w:t>циально для установки в танке. Не</w:t>
      </w:r>
      <w:r w:rsidRPr="00E93F40">
        <w:rPr>
          <w:rFonts w:ascii="Times New Roman" w:hAnsi="Times New Roman"/>
          <w:color w:val="000000" w:themeColor="text1"/>
          <w:sz w:val="16"/>
          <w:szCs w:val="16"/>
        </w:rPr>
        <w:softHyphen/>
        <w:t>сомненно, освоение двигателя со столь высокими техническими ха</w:t>
      </w:r>
      <w:r w:rsidRPr="00E93F40">
        <w:rPr>
          <w:rFonts w:ascii="Times New Roman" w:hAnsi="Times New Roman"/>
          <w:color w:val="000000" w:themeColor="text1"/>
          <w:sz w:val="16"/>
          <w:szCs w:val="16"/>
        </w:rPr>
        <w:softHyphen/>
        <w:t>рактеристиками в то время было делом нелегким. Поэтому харьков</w:t>
      </w:r>
      <w:r w:rsidRPr="00E93F40">
        <w:rPr>
          <w:rFonts w:ascii="Times New Roman" w:hAnsi="Times New Roman"/>
          <w:color w:val="000000" w:themeColor="text1"/>
          <w:sz w:val="16"/>
          <w:szCs w:val="16"/>
        </w:rPr>
        <w:softHyphen/>
        <w:t>ские паровозостроители изготовле</w:t>
      </w:r>
      <w:r w:rsidRPr="00E93F40">
        <w:rPr>
          <w:rFonts w:ascii="Times New Roman" w:hAnsi="Times New Roman"/>
          <w:color w:val="000000" w:themeColor="text1"/>
          <w:sz w:val="16"/>
          <w:szCs w:val="16"/>
        </w:rPr>
        <w:softHyphen/>
        <w:t>ние опытных образцов двигателя затянули, что стало поводом для серьезных упреков в адрес директора ХПЗ от Наркома тяжелой промышленности ГК. Орджоникидзе.</w:t>
      </w:r>
    </w:p>
    <w:p w14:paraId="19AEA845" w14:textId="77777777" w:rsidR="00F821E3" w:rsidRPr="00E93F40" w:rsidRDefault="00F821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связи со значимостью работ по двигателям на тяжёлом топливе образован дизельный отдел. Однако очень скоро приказом заместителя предсе</w:t>
      </w:r>
      <w:r w:rsidRPr="00E93F40">
        <w:rPr>
          <w:rFonts w:ascii="Times New Roman" w:hAnsi="Times New Roman"/>
          <w:color w:val="000000" w:themeColor="text1"/>
          <w:sz w:val="16"/>
          <w:szCs w:val="16"/>
        </w:rPr>
        <w:softHyphen/>
        <w:t>дателя ВСНХ Пиолуновского он был в пятидневный срок переброшен во временное помещение бывшего тракторного отдела ВИСХОМа в Лихобо</w:t>
      </w:r>
      <w:r w:rsidRPr="00E93F40">
        <w:rPr>
          <w:rFonts w:ascii="Times New Roman" w:hAnsi="Times New Roman"/>
          <w:color w:val="000000" w:themeColor="text1"/>
          <w:sz w:val="16"/>
          <w:szCs w:val="16"/>
        </w:rPr>
        <w:softHyphen/>
        <w:t>рах, что приостанови</w:t>
      </w:r>
      <w:r w:rsidRPr="00E93F40">
        <w:rPr>
          <w:rFonts w:ascii="Times New Roman" w:hAnsi="Times New Roman"/>
          <w:color w:val="000000" w:themeColor="text1"/>
          <w:sz w:val="16"/>
          <w:szCs w:val="16"/>
        </w:rPr>
        <w:softHyphen/>
        <w:t>ло его нормальную ра</w:t>
      </w:r>
      <w:r w:rsidRPr="00E93F40">
        <w:rPr>
          <w:rFonts w:ascii="Times New Roman" w:hAnsi="Times New Roman"/>
          <w:color w:val="000000" w:themeColor="text1"/>
          <w:sz w:val="16"/>
          <w:szCs w:val="16"/>
        </w:rPr>
        <w:softHyphen/>
        <w:t>боту на 1,2-2 месяца (22518).</w:t>
      </w:r>
    </w:p>
    <w:p w14:paraId="5C7A1430" w14:textId="77777777" w:rsidR="00F821E3" w:rsidRPr="00E93F40" w:rsidRDefault="00F821E3" w:rsidP="00E93F40">
      <w:pPr>
        <w:spacing w:after="0" w:line="240" w:lineRule="auto"/>
        <w:jc w:val="both"/>
        <w:rPr>
          <w:rFonts w:ascii="Times New Roman" w:hAnsi="Times New Roman"/>
          <w:color w:val="000000" w:themeColor="text1"/>
          <w:sz w:val="16"/>
          <w:szCs w:val="16"/>
        </w:rPr>
      </w:pPr>
    </w:p>
    <w:p w14:paraId="526390FE"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1932 году НАТИ закончил разработку своей версии «трехоски» для ЯГАЗа. Причем конструкторами института грузовик 6х4 создавался не как вариация двухосного автомобиля Я-5, сходящего с конвейера ярославского предприятия в данный момент, а как одна из модификаций целого семейства перспективных большегрузных автомобилей, которое предлагалось освоить взамен Я-5. В связи с загруженностью ЯГАЗа до постройки опытных образцов «трехосок» по московской документации дело дошло лишь в 1933 году. Эти машины обозначались как Я-9Д или Я-НАТИ-9Д, где литера «Д» означала наличие демультипликатора: такого же, каким стали оснащаться и серийные грузовики ЯГ-10 (с двумя передачами, высшая из которых была прямой, а низшая имела передаточное число 1,4). Грузоподъемность Я-9Д осталась точно такой же, как и у ЯГ-10. Более того, несильно поменялся и внешний вид, так что для неспециалиста опытная «девятка» и серийная «десятка» вполне могли показаться грузовиками одной и той же модели.</w:t>
      </w:r>
    </w:p>
    <w:p w14:paraId="50BE3504"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на самом деле, разница между этими машинами была весьма серьезной. Начать с того, что в основу Я-9Д была положена оригинальная, более технологичная рама со штампованными лонжеронами, а ведущие мосты получили червячные редукторы с передаточным числом 9,33 (их закупили у американской фирмы Timken). Кроме того, поменялись колесные диски, передний мост, радиатор. У новой грузовой платформы в передней части были выкроены карманы под вертикальную установку двух запасных колес (правда, подъем тяжелых «запасок» на такую высоту оказался чрезвычайно сложным делом). Наконец, на Я-9Д поставили и более мощные карбюраторные двигатели Continental 21R с отдачей в 102 л.с. и Hercules YXC-3 мощностью 103 л.с. Однако мотор Hercules в процессе испытаний был тоже заменен на Continental (25596).</w:t>
      </w:r>
    </w:p>
    <w:p w14:paraId="2C04C501" w14:textId="77777777" w:rsidR="00DE37D5" w:rsidRPr="00142305" w:rsidRDefault="00DE37D5" w:rsidP="00DE37D5">
      <w:pPr>
        <w:spacing w:after="0" w:line="240" w:lineRule="auto"/>
        <w:jc w:val="both"/>
        <w:rPr>
          <w:rFonts w:ascii="Times New Roman" w:hAnsi="Times New Roman"/>
          <w:color w:val="0070C0"/>
          <w:sz w:val="16"/>
          <w:szCs w:val="16"/>
        </w:rPr>
      </w:pPr>
    </w:p>
    <w:p w14:paraId="3C6E943E" w14:textId="77777777"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939DCD2" w14:textId="77777777"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4E1F83" w14:textId="34A160FF" w:rsidR="00F821E3" w:rsidRPr="00E93F40" w:rsidRDefault="00F821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г. был разработан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план усиления береговой обороны Владивостока. Быстрее всего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это можно было сделать с применением железнодорожных батарей. Для этого были сформированы три железнодорожные батареи: № 1 — две 203-мм пушки, № 2 — три 152-мм пушки Канэ и № 3 — две 130-мм пушки.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Эти батареи в январе 1932 г. заняли огневые позиции на железнодорожных путях Владивостока. Началось восстановление старых артиллерийских позиций. Устанавливались такие же орудия, что и на Балтике, и в Крыму: 152-мм пушки Канэ,</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130-мм Б-13, 120-мм. На острове Русском разместили батарею № 911 из четырёх 305-мм гаубиц для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обстрела акватории Амурского залива. Для защиты своих минных полей от траленья противником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построили три мощных 4-х пушечных открытых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батареи МО-1-180. Самую мощную трёхорудийную</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двухбашенную батарею МБ-3-12 разместили на закрытой позиции острова Русский (15132).</w:t>
      </w:r>
    </w:p>
    <w:p w14:paraId="591BB18A" w14:textId="77777777" w:rsidR="00F821E3" w:rsidRPr="00E93F40" w:rsidRDefault="00F821E3" w:rsidP="00E93F40">
      <w:pPr>
        <w:spacing w:after="0" w:line="240" w:lineRule="auto"/>
        <w:jc w:val="both"/>
        <w:rPr>
          <w:rFonts w:ascii="Times New Roman" w:hAnsi="Times New Roman"/>
          <w:color w:val="000000" w:themeColor="text1"/>
          <w:sz w:val="16"/>
          <w:szCs w:val="16"/>
        </w:rPr>
      </w:pPr>
    </w:p>
    <w:p w14:paraId="258D38DD" w14:textId="77777777"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5CB3141" w14:textId="77777777"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F2D6294" w14:textId="4F95F464" w:rsidR="00F821E3" w:rsidRPr="00E93F40" w:rsidRDefault="00F821E3"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 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году </w:t>
      </w:r>
      <w:r w:rsidRPr="00E93F40">
        <w:rPr>
          <w:rFonts w:ascii="Times New Roman" w:eastAsia="Times New Roman" w:hAnsi="Times New Roman"/>
          <w:iCs/>
          <w:color w:val="000000" w:themeColor="text1"/>
          <w:sz w:val="16"/>
          <w:szCs w:val="16"/>
          <w:lang w:eastAsia="ru-RU"/>
        </w:rPr>
        <w:t>«Условия закупок СССР также неуклонно улучшаются. Государственная гарантия кредитов по закупкам СССР применяется все большим количеством стран. Если еще недавно годичные и полуторагодичные кредиты по импортным закупкам являлись редким исключением, то в настоящее время в практике работы импортных объединений мы имеем двухлетние и более длительные сроки кредитов»</w:t>
      </w:r>
      <w:r w:rsidRPr="00E93F40">
        <w:rPr>
          <w:rFonts w:ascii="Times New Roman" w:eastAsia="Times New Roman" w:hAnsi="Times New Roman"/>
          <w:color w:val="000000" w:themeColor="text1"/>
          <w:sz w:val="16"/>
          <w:szCs w:val="16"/>
          <w:lang w:eastAsia="ru-RU"/>
        </w:rPr>
        <w:t>.</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Но, решив проблему получения кредитов, СССР столкнулся</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другой.</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Постоянное возобновление этих кредитов было практически равносильно, несмотря на их краткосрочность, получению от капиталистических стан относительно долгосрочного займа.</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 течении</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ряда лет в распоряжении СССР находилась фактическая сумма иностранных кредитов порядка нескольких сотен миллионов рублей</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color w:val="000000" w:themeColor="text1"/>
          <w:sz w:val="16"/>
          <w:szCs w:val="16"/>
          <w:vertAlign w:val="superscript"/>
          <w:lang w:eastAsia="ru-RU"/>
        </w:rPr>
        <w:t>8</w:t>
      </w:r>
      <w:r w:rsidRPr="00E93F40">
        <w:rPr>
          <w:rFonts w:ascii="Times New Roman" w:eastAsia="Times New Roman" w:hAnsi="Times New Roman"/>
          <w:color w:val="000000" w:themeColor="text1"/>
          <w:sz w:val="16"/>
          <w:szCs w:val="16"/>
          <w:lang w:eastAsia="ru-RU"/>
        </w:rPr>
        <w:t>.</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 результате валовая задолженность СССР достигла на 1 января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года суммы 912,3 млн. руб., а на 1 января 1933 года своей максимальной величины – 1</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003,2 млн. руб. (состояла из государственных и концессионных займов – 51,9 млн. руб., товарных фирменных кредитов на сумму 798,7 млн. руб., кредитов экспортных объединений – 48,2 млн. руб., кредитов Госбанка и других сов. банков в 64,1 млн. руб.) Ситуация осложнялась тем, что:</w:t>
      </w:r>
    </w:p>
    <w:p w14:paraId="1B2BAB0C" w14:textId="5586A1C4" w:rsidR="00F821E3" w:rsidRPr="00E93F40" w:rsidRDefault="00F821E3"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 Начавшийся осенью 1929 года мировой экономический кризис к 1933 году достиг своего пика.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Мировой товарооборот стремительно сокращался, и как водится во время кризиса, каждая страна стремилась по мере возможности защитить свой рынок и увеличить свой экспорт для достижения положительного торгового сальдо.</w:t>
      </w:r>
    </w:p>
    <w:p w14:paraId="754DB8AF" w14:textId="6716850E" w:rsidR="00F821E3" w:rsidRPr="00E93F40" w:rsidRDefault="00F821E3"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Из аналитической записки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НКВТ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«Внешне-торговая политика СССР» от 12 января 1934 г.: </w:t>
      </w:r>
      <w:r w:rsidRPr="00E93F40">
        <w:rPr>
          <w:rFonts w:ascii="Times New Roman" w:eastAsia="Times New Roman" w:hAnsi="Times New Roman"/>
          <w:iCs/>
          <w:color w:val="000000" w:themeColor="text1"/>
          <w:sz w:val="16"/>
          <w:szCs w:val="16"/>
          <w:lang w:eastAsia="ru-RU"/>
        </w:rPr>
        <w:t>«1930</w:t>
      </w:r>
      <w:r w:rsidRPr="00E93F40">
        <w:rPr>
          <w:rFonts w:ascii="Times New Roman" w:eastAsia="Times New Roman" w:hAnsi="Times New Roman"/>
          <w:iCs/>
          <w:color w:val="000000" w:themeColor="text1"/>
          <w:sz w:val="16"/>
          <w:szCs w:val="16"/>
          <w:lang w:eastAsia="ru-RU"/>
        </w:rPr>
        <w:noBreakHyphen/>
        <w:t>33</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гг. характеризуются</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бешенным</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ростом протекционизма. Страны свободной торговли (Англия), применявшие ранее лишь фискальное обложение некоторых предметов импорта, сразу переходят к развернутой системе покровительственных пошлин. Ряд стран ограничивает ввоз тех или других товаров определенными количественными</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контингентами; эти контингенты чаще всего распределяются между отдельными странами-поставщиками. В практике капиталистических стран начинает широко применяться так называемый</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принцип компенсации: страна предоставляет своему контрагенту твердую импортную квоту, за что тот обязуется покупать у нее определенные товары. Во многих странах крупнейшим тормозом ввоза становятся</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валютные ограничения. Экспортер вынужден, сократить или даже прекратить свой экспорт в данную страну потому, что он лишен возможности свободного распоряжения своей выручкой»</w:t>
      </w:r>
      <w:r w:rsidRPr="00E93F40">
        <w:rPr>
          <w:rFonts w:ascii="Times New Roman" w:eastAsia="Times New Roman" w:hAnsi="Times New Roman"/>
          <w:color w:val="000000" w:themeColor="text1"/>
          <w:sz w:val="16"/>
          <w:szCs w:val="16"/>
          <w:lang w:eastAsia="ru-RU"/>
        </w:rPr>
        <w:t>.</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И это не считая отдельных кампаний, направленных против СССР.</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Таких как кампании по обвинению советских товаров в демпинге, в принудительном труде (до сих пор живет и здравствует), торговое эмбарго (Югославия, Румыния, Канада), разгром ряда советских торговых организаций.</w:t>
      </w:r>
    </w:p>
    <w:p w14:paraId="41B2FCCC" w14:textId="5ABB1F75" w:rsidR="00F821E3" w:rsidRPr="00E93F40" w:rsidRDefault="00F821E3"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2. Основная проблема заключалась в непрерывном ежегодном падении цен на товар. Дешевело не только зерно, дешевело все. </w:t>
      </w:r>
      <w:r w:rsidRPr="00E93F40">
        <w:rPr>
          <w:rFonts w:ascii="Times New Roman" w:eastAsia="Times New Roman" w:hAnsi="Times New Roman"/>
          <w:iCs/>
          <w:color w:val="000000" w:themeColor="text1"/>
          <w:sz w:val="16"/>
          <w:szCs w:val="16"/>
          <w:lang w:eastAsia="ru-RU"/>
        </w:rPr>
        <w:t>«Объем внешней торговли в денежном выражении катастрофически падает. Он достигает сейчас не больше половины в ценностном выражении внешнеторгового оборота 1929 г.»</w:t>
      </w:r>
      <w:r w:rsidRPr="00E93F40">
        <w:rPr>
          <w:rFonts w:ascii="Times New Roman" w:eastAsia="Times New Roman" w:hAnsi="Times New Roman"/>
          <w:color w:val="000000" w:themeColor="text1"/>
          <w:sz w:val="16"/>
          <w:szCs w:val="16"/>
          <w:vertAlign w:val="superscript"/>
          <w:lang w:eastAsia="ru-RU"/>
        </w:rPr>
        <w:t>11</w:t>
      </w:r>
      <w:r w:rsidRPr="00E93F40">
        <w:rPr>
          <w:rFonts w:ascii="Times New Roman" w:eastAsia="Times New Roman" w:hAnsi="Times New Roman"/>
          <w:color w:val="000000" w:themeColor="text1"/>
          <w:sz w:val="16"/>
          <w:szCs w:val="16"/>
          <w:lang w:eastAsia="ru-RU"/>
        </w:rPr>
        <w:t>. Даже сохраняя экспорт в физическом объеме, СССР все равно проигрывал в денежном, поскольку расплачиваться по кредитам за полученное оборудования он должен был в старых ценах.</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Это прекрасно видно по 1933 году.</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Против первоначального плана вывоза на запад в сумме 525 млн. руб. и уточненного плана в 508 млн. руб. фактический вывоз на запад составил 394 млн. руб., т.е. снижение составило 114 млн. руб. Из этого снижения суммы вывоза в 1933 г. по сравнению с</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на 13,8% следует отнести 10,5% за счет снижения цен и 3,3% за счет снижения</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физического объема экспорта</w:t>
      </w:r>
      <w:r w:rsidRPr="00E93F40">
        <w:rPr>
          <w:rFonts w:ascii="Times New Roman" w:eastAsia="Times New Roman" w:hAnsi="Times New Roman"/>
          <w:color w:val="000000" w:themeColor="text1"/>
          <w:sz w:val="16"/>
          <w:szCs w:val="16"/>
          <w:vertAlign w:val="superscript"/>
          <w:lang w:eastAsia="ru-RU"/>
        </w:rPr>
        <w:t>12</w:t>
      </w:r>
      <w:r w:rsidRPr="00E93F40">
        <w:rPr>
          <w:rFonts w:ascii="Times New Roman" w:eastAsia="Times New Roman" w:hAnsi="Times New Roman"/>
          <w:color w:val="000000" w:themeColor="text1"/>
          <w:sz w:val="16"/>
          <w:szCs w:val="16"/>
          <w:lang w:eastAsia="ru-RU"/>
        </w:rPr>
        <w:t>. И хотя частично эти потери компенсировались девальвацией основных мировых валют, финансовое положение СССР все равно оставалось шатким.</w:t>
      </w:r>
    </w:p>
    <w:p w14:paraId="0A98F541" w14:textId="7E32B378" w:rsidR="00F821E3" w:rsidRPr="00E93F40" w:rsidRDefault="00F821E3"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3. Начало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основных крупных</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выплат по внешнему долгу пришлось на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-1933 года. В 1931 году руководство страны 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НКВТ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вполне осознавали надвигающуюся проблему.</w:t>
      </w:r>
    </w:p>
    <w:p w14:paraId="29057B9B" w14:textId="2036B756" w:rsidR="00F821E3" w:rsidRPr="00E93F40" w:rsidRDefault="00F821E3"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Сталин:</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«Следует напомнить, что валютное положение у нас отчаянное. Не следует забывать, что оно будет у нас еще более тяжелым в ближайшие два года ввиду усиливающегося сокращения нашего экспорта в Италию, Германию, Англию, Америку. Следует также помнить, что Северная Америка, нынешний гегемон финансового мира и наш главный враг,</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прилагает и будет прилагать все силы к тому, чтобы подорвать наше валютное положение»</w:t>
      </w:r>
      <w:r w:rsidRPr="00E93F40">
        <w:rPr>
          <w:rFonts w:ascii="Times New Roman" w:eastAsia="Times New Roman" w:hAnsi="Times New Roman"/>
          <w:color w:val="000000" w:themeColor="text1"/>
          <w:sz w:val="16"/>
          <w:szCs w:val="16"/>
          <w:lang w:eastAsia="ru-RU"/>
        </w:rPr>
        <w:t>.</w:t>
      </w:r>
    </w:p>
    <w:p w14:paraId="5263BD9A" w14:textId="2AF36EDA" w:rsidR="00F821E3" w:rsidRPr="00E93F40" w:rsidRDefault="00F821E3"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НКВТ: </w:t>
      </w:r>
      <w:r w:rsidRPr="00E93F40">
        <w:rPr>
          <w:rFonts w:ascii="Times New Roman" w:eastAsia="Times New Roman" w:hAnsi="Times New Roman"/>
          <w:iCs/>
          <w:color w:val="000000" w:themeColor="text1"/>
          <w:sz w:val="16"/>
          <w:szCs w:val="16"/>
          <w:lang w:eastAsia="ru-RU"/>
        </w:rPr>
        <w:t>«Нам предстоит производство крупных платежей в течение ближайших двух лет в расплату за ввезенное оборудование и полуфабрикаты. В ряде капиталистических стран откровенно выдвигается лозунг довести нас до банкротства и этим заставить пойти навстречу требованиям капиталистического мира»</w:t>
      </w:r>
      <w:r w:rsidRPr="00E93F40">
        <w:rPr>
          <w:rFonts w:ascii="Times New Roman" w:eastAsia="Times New Roman" w:hAnsi="Times New Roman"/>
          <w:color w:val="000000" w:themeColor="text1"/>
          <w:sz w:val="16"/>
          <w:szCs w:val="16"/>
          <w:lang w:eastAsia="ru-RU"/>
        </w:rPr>
        <w:t xml:space="preserve"> и чуть далее </w:t>
      </w:r>
      <w:r w:rsidRPr="00E93F40">
        <w:rPr>
          <w:rFonts w:ascii="Times New Roman" w:eastAsia="Times New Roman" w:hAnsi="Times New Roman"/>
          <w:iCs/>
          <w:color w:val="000000" w:themeColor="text1"/>
          <w:sz w:val="16"/>
          <w:szCs w:val="16"/>
          <w:lang w:eastAsia="ru-RU"/>
        </w:rPr>
        <w:t>«мы должны продолжать борьбу за нормальные кредиты по импорту, без которых мы не осуществим и того сокращенного плана, который составлен на</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год» (17266)</w:t>
      </w:r>
      <w:r w:rsidRPr="00E93F40">
        <w:rPr>
          <w:rFonts w:ascii="Times New Roman" w:eastAsia="Times New Roman" w:hAnsi="Times New Roman"/>
          <w:color w:val="000000" w:themeColor="text1"/>
          <w:sz w:val="16"/>
          <w:szCs w:val="16"/>
          <w:lang w:eastAsia="ru-RU"/>
        </w:rPr>
        <w:t>.</w:t>
      </w:r>
    </w:p>
    <w:p w14:paraId="243B37CD" w14:textId="77777777" w:rsidR="00F821E3" w:rsidRPr="00E93F40" w:rsidRDefault="00F821E3" w:rsidP="00E93F40">
      <w:pPr>
        <w:spacing w:after="0" w:line="240" w:lineRule="auto"/>
        <w:jc w:val="both"/>
        <w:rPr>
          <w:rFonts w:ascii="Times New Roman" w:hAnsi="Times New Roman"/>
          <w:color w:val="000000" w:themeColor="text1"/>
          <w:sz w:val="16"/>
          <w:szCs w:val="16"/>
        </w:rPr>
      </w:pPr>
    </w:p>
    <w:p w14:paraId="4F35DED8" w14:textId="4358A2B8" w:rsidR="00017FCD" w:rsidRPr="00E93F40" w:rsidRDefault="00017FCD"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492CACB1" w14:textId="77777777" w:rsidR="00017FCD" w:rsidRPr="00E93F40" w:rsidRDefault="00017FCD"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51E9CC7B" w14:textId="77777777" w:rsidR="00017FCD" w:rsidRPr="00E93F40" w:rsidRDefault="00017F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г. отсутствие коммерческого успеха одномоторного Ju-52 поставило фирму Юнкерс на грань банкротства. К счастью самолетом заинтересовалась кампания Deutsche Lufthansa (DLH), предложившая фирме сделать трехмоторный вариант Ju-52. Работы над модификацией возглавил дипломированный инженер Эрнст Циндель, под руководством которого машину оснастили тремя 9-цилиндровыми звездообразными двигателями воздушного охлаждения Пратт энд Уитни «Хорнет» мощностью по 600 л.с. Один двигатель был установлен в носовой части фюзеляжа, два других — в мотогондолах на крыле. Все моторы оснащались двухлопастными металлическими воздушными винтами фирмы Юнкерс.</w:t>
      </w:r>
    </w:p>
    <w:p w14:paraId="11565DC8" w14:textId="77777777" w:rsidR="00017FCD" w:rsidRPr="00E93F40" w:rsidRDefault="00017F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Первыми трехмоторными Ju-52 стали модернизированные самолеты Ju-52ces (Werk. Nr. 4008 и 4009), их переоборудовали на заводе в Дессау в начале 1932 г. Помимо установки трех звездообразных моторов, был внесен ряд других изменений в конструкцию: в средней части фюзеляжа прорезаны по два прямоугольных иллюминатора, в задней части правого борта сделана двустворчатая дверь. После модернизации самолеты получили обозначение Ju-52/3m de, первый из них (Werk. Nr. 4008) впервые поднялся в воздух на трех моторах 7 марта 1932 г. Оба самолета в короткий срок прошли испытания. Уже летом 1932 г. аэропланы отправили заказчику — боливийской авиакомпании Lloyd Aero Boliviano (LAB). Коммерческая эксплуатация самолетов Ju-52/3m de началась в октябре 1932 г. (24200).</w:t>
      </w:r>
    </w:p>
    <w:p w14:paraId="395885FE" w14:textId="77777777" w:rsidR="00017FCD" w:rsidRPr="00E93F40" w:rsidRDefault="00017FCD" w:rsidP="00E93F40">
      <w:pPr>
        <w:spacing w:after="0" w:line="240" w:lineRule="auto"/>
        <w:jc w:val="both"/>
        <w:rPr>
          <w:rFonts w:ascii="Times New Roman" w:hAnsi="Times New Roman"/>
          <w:color w:val="000000" w:themeColor="text1"/>
          <w:sz w:val="16"/>
          <w:szCs w:val="16"/>
        </w:rPr>
      </w:pPr>
    </w:p>
    <w:p w14:paraId="0D0C8973" w14:textId="60B2DF48"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501B71A" w14:textId="77777777"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D87D02" w14:textId="77777777" w:rsidR="00F821E3" w:rsidRPr="00E93F40" w:rsidRDefault="00F821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1932 г., изготовление опытных систем минометов разработки АНИИ (60-мм ротный миномет, 82-мм батальонный миномет, 165-мм полковой миномет (об этой системе см. далее)) было включено в производственный план завода №7, куда были направлены все чертежи, однако в январе 1932 г. Н. А. Доровлеву было сообщено о планах НТК АУ по передаче всех заказов в Харьков, на завод «Красный Октябрь». В результате, в соответствии с решением Совета труда и обороны (СТО) СССР к середине апреля 1932 г. все опытное производство систем минометов и газометов по чертежам группы «Д» было сосредоточено в Харькове.19 (20074).</w:t>
      </w:r>
    </w:p>
    <w:p w14:paraId="68407CFB" w14:textId="77777777" w:rsidR="00F821E3" w:rsidRPr="00E93F40" w:rsidRDefault="00F821E3" w:rsidP="00E93F40">
      <w:pPr>
        <w:spacing w:after="0" w:line="240" w:lineRule="auto"/>
        <w:jc w:val="both"/>
        <w:rPr>
          <w:rFonts w:ascii="Times New Roman" w:hAnsi="Times New Roman"/>
          <w:color w:val="000000" w:themeColor="text1"/>
          <w:sz w:val="16"/>
          <w:szCs w:val="16"/>
        </w:rPr>
      </w:pPr>
    </w:p>
    <w:p w14:paraId="36996BF0"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К началу 1932 года интерес Дыренкова к проектированию «манев</w:t>
      </w:r>
      <w:r w:rsidRPr="00142305">
        <w:rPr>
          <w:rFonts w:ascii="Times New Roman" w:hAnsi="Times New Roman"/>
          <w:color w:val="0070C0"/>
          <w:sz w:val="16"/>
          <w:szCs w:val="16"/>
        </w:rPr>
        <w:softHyphen/>
        <w:t>ренных» танков вообще сильно охладел. Но еще год его конструкторское бюро занималось выполнением различных проектов (а их было немало: наиболь</w:t>
      </w:r>
      <w:r w:rsidRPr="00142305">
        <w:rPr>
          <w:rFonts w:ascii="Times New Roman" w:hAnsi="Times New Roman"/>
          <w:color w:val="0070C0"/>
          <w:sz w:val="16"/>
          <w:szCs w:val="16"/>
        </w:rPr>
        <w:softHyphen/>
        <w:t>ший известный автору индекс — Д-46) для Красной Армии. Справедливости ради следует сказать, что большинство их осталось либо только на бумаге или как Д-4 воплотились в груду неработаю</w:t>
      </w:r>
      <w:r w:rsidRPr="00142305">
        <w:rPr>
          <w:rFonts w:ascii="Times New Roman" w:hAnsi="Times New Roman"/>
          <w:color w:val="0070C0"/>
          <w:sz w:val="16"/>
          <w:szCs w:val="16"/>
        </w:rPr>
        <w:softHyphen/>
        <w:t>щего железа. К серийному производству в ограниченном количестве принятии только броневики Д-8/Д-12 и мотоброневагоны Д-2 (25010).</w:t>
      </w:r>
    </w:p>
    <w:p w14:paraId="36CE9BCC" w14:textId="77777777" w:rsidR="00DE37D5" w:rsidRPr="00142305" w:rsidRDefault="00DE37D5" w:rsidP="00DE37D5">
      <w:pPr>
        <w:spacing w:after="0" w:line="240" w:lineRule="auto"/>
        <w:jc w:val="both"/>
        <w:rPr>
          <w:rFonts w:ascii="Times New Roman" w:hAnsi="Times New Roman"/>
          <w:color w:val="0070C0"/>
          <w:sz w:val="16"/>
          <w:szCs w:val="16"/>
        </w:rPr>
      </w:pPr>
    </w:p>
    <w:p w14:paraId="2F3BB122"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1932 года завод «Красный Путиловец» свернул производство устаревших тракторов «Фордзон-Путиловец», и группа специалистов завода во главе с техническим директором М.Л. Тер-Асатуровым выступила с инициативой освоить выпуск «легкового флагмана» на освободившихся мощностях. Первоначальные планы заводчан предусматривали ежегодный выпуск целых двадцати тысяч автомобилей (!), и это притом, что гораздо более дешевый ГАЗ-А строился в среднем в количестве 13,5 тыс. штук в год.</w:t>
      </w:r>
    </w:p>
    <w:p w14:paraId="20073EE5"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Директор «Красного Путиловца» К. М. Отс поддержал начинание и получил разрешение Наркомата тяжелой промышленности, которому тогда подчинялся завод, изготовить к 1 мая 1933 г. опытную партию из десяти таких машин. В свете того, что опыта проектирования подобного автомобиля, да и вообще, какого-либо другого автомобиля, у «Красного Путиловца» не было, решение воспроизвести подходящий зарубежный образец выглядит совершенно естественно. В то время для обслуживания верхушки государственного аппарата эксплуатировалось немало импортных представительских автомобилей, в массе своей американского происхождения. Неудивительно, что и за прототип первого советского лимузина был принят роскошный американский Buick модели «32-90» 1932-го модельного года в исполнении «шестиоконный седан». По легенде, наличие именно такого служебного автомобиля приписывается по разным источникам М.Л. Тер-Асатурову или даже самому С.М. Кирову, что якобы сыграло решающее значение. Для своих лет этот автомобиль считался верхом совершенства. И как следствие, был чрезвычайно труден для воспроизведения новорожденной советской автопромышленностью. Поэтому лозунги в печати той эпохи «даешь советский бюик!» (в литературе тех лет писалось именно так, с маленькой буквы и без мягкого знака) вовсе не были космополитическими, а выражали гордость за освоение выпуска отечественной промышленностью в самые короткие сроки передовых образцов техники (25591).</w:t>
      </w:r>
    </w:p>
    <w:p w14:paraId="51048CFD" w14:textId="77777777" w:rsidR="00DE37D5" w:rsidRPr="00142305" w:rsidRDefault="00DE37D5" w:rsidP="00DE37D5">
      <w:pPr>
        <w:spacing w:after="0" w:line="240" w:lineRule="auto"/>
        <w:jc w:val="both"/>
        <w:rPr>
          <w:rFonts w:ascii="Times New Roman" w:hAnsi="Times New Roman"/>
          <w:color w:val="0070C0"/>
          <w:sz w:val="16"/>
          <w:szCs w:val="16"/>
        </w:rPr>
      </w:pPr>
    </w:p>
    <w:p w14:paraId="25E200E0" w14:textId="77777777"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A485508" w14:textId="77777777" w:rsidR="00F821E3" w:rsidRPr="00E93F40" w:rsidRDefault="00F821E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8EA881" w14:textId="77777777" w:rsidR="00F821E3" w:rsidRPr="00E93F40" w:rsidRDefault="00F821E3"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1932 г. в строю находились уже 155 ТБ-1. Три эскадрильи дислоцировались в Воронеже, четыре - в Монино, две - в Кречевицах под Псковом. Одна эскадрилья, 70-я, вошла в ВВС ОКДВА. На Дальний Восток направили еще одну эскадрилью, 51-ю, но ее в итоге передали в морскую авиацию и она стала минно-торпедной. В традиционном первомайском параде в Москве принял участие 61 бомбардировщик из 11-й и 17-й авиабригад. Пилотов для многомоторных самолетов начали готовить специально. В 3-й школе военных летчиков обучение теперь завершалось полетами на ТБ-1 (12001).</w:t>
      </w:r>
    </w:p>
    <w:p w14:paraId="1EE3531A" w14:textId="77777777" w:rsidR="00F821E3" w:rsidRPr="00E93F40" w:rsidRDefault="00F821E3" w:rsidP="00E93F40">
      <w:pPr>
        <w:autoSpaceDE w:val="0"/>
        <w:autoSpaceDN w:val="0"/>
        <w:adjustRightInd w:val="0"/>
        <w:spacing w:after="0" w:line="240" w:lineRule="auto"/>
        <w:jc w:val="both"/>
        <w:rPr>
          <w:rFonts w:ascii="Times New Roman" w:hAnsi="Times New Roman"/>
          <w:color w:val="000000" w:themeColor="text1"/>
          <w:sz w:val="16"/>
          <w:szCs w:val="16"/>
        </w:rPr>
      </w:pPr>
    </w:p>
    <w:p w14:paraId="11F7D833" w14:textId="77777777" w:rsidR="00F821E3" w:rsidRPr="00E93F40" w:rsidRDefault="00F821E3"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1932 г. в строю находились уже 155 ТБ-1. Четыре боеготовых эскадрильи дислоцировались в Воронеже, четыре - в Монино, две - в Кречевицах под Псковом. Одна эскадрилья вошла в ВВС ОКДВА. На Дальний Восток направили еще одну эскадрилью, 51-ю, ранее базировавшуюся в Монино, но ее в итоге передали в морскую авиацию, и она стала минно-торпедной. В традиционном первомайском параде в Москве принял участие 61 бомбардировщик из 11-й и 17-й авиабригад. Пилотов для многомоторных самолетов начали готовить специально. В 3-й школе военных летчиков обучение теперь завершалось полетами на ТБ-1. В частях самолеты постепенно доукомплектовали недостающим оборудованием. В ходе серийного производства усовершенствовали водяные радиаторы (ранние машины летом страдали от перегрева моторов), заменили импортные покрышки "Палмер" на большие по размеру отечественные. В 1932 г. производство ТБ-1 прекратили, на смену им пришли четырехмоторные ТБ-3 (12024).</w:t>
      </w:r>
    </w:p>
    <w:p w14:paraId="6C2DE881" w14:textId="77777777" w:rsidR="00F821E3" w:rsidRPr="00E93F40" w:rsidRDefault="00F821E3" w:rsidP="00E93F40">
      <w:pPr>
        <w:autoSpaceDE w:val="0"/>
        <w:autoSpaceDN w:val="0"/>
        <w:adjustRightInd w:val="0"/>
        <w:spacing w:after="0" w:line="240" w:lineRule="auto"/>
        <w:jc w:val="both"/>
        <w:rPr>
          <w:rFonts w:ascii="Times New Roman" w:hAnsi="Times New Roman"/>
          <w:color w:val="000000" w:themeColor="text1"/>
          <w:sz w:val="16"/>
          <w:szCs w:val="16"/>
        </w:rPr>
      </w:pPr>
    </w:p>
    <w:p w14:paraId="70F78820" w14:textId="77777777" w:rsidR="00DE37D5" w:rsidRPr="00E93F40" w:rsidRDefault="00DE37D5" w:rsidP="00DE37D5">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1932 г. в строю находи</w:t>
      </w:r>
      <w:r w:rsidRPr="00E93F40">
        <w:rPr>
          <w:rFonts w:ascii="Times New Roman" w:hAnsi="Times New Roman"/>
          <w:color w:val="000000" w:themeColor="text1"/>
          <w:sz w:val="16"/>
          <w:szCs w:val="16"/>
        </w:rPr>
        <w:softHyphen/>
        <w:t>лись уже 155 ТБ-1. Четыре боеготовых эскадрильи дислоцировались в Воронеже, в 11-й авиабригаде «имени Промкооперации», четы</w:t>
      </w:r>
      <w:r w:rsidRPr="00E93F40">
        <w:rPr>
          <w:rFonts w:ascii="Times New Roman" w:hAnsi="Times New Roman"/>
          <w:color w:val="000000" w:themeColor="text1"/>
          <w:sz w:val="16"/>
          <w:szCs w:val="16"/>
        </w:rPr>
        <w:softHyphen/>
        <w:t>ре - в Монино, в 17-й авиабригаде, две - в Кречевицах под Псковом, в 3-й авиабригаде (в её состав во</w:t>
      </w:r>
      <w:r w:rsidRPr="00E93F40">
        <w:rPr>
          <w:rFonts w:ascii="Times New Roman" w:hAnsi="Times New Roman"/>
          <w:color w:val="000000" w:themeColor="text1"/>
          <w:sz w:val="16"/>
          <w:szCs w:val="16"/>
        </w:rPr>
        <w:softHyphen/>
        <w:t>шли две АЭ, 55-я и 57-я). Одна эска</w:t>
      </w:r>
      <w:r w:rsidRPr="00E93F40">
        <w:rPr>
          <w:rFonts w:ascii="Times New Roman" w:hAnsi="Times New Roman"/>
          <w:color w:val="000000" w:themeColor="text1"/>
          <w:sz w:val="16"/>
          <w:szCs w:val="16"/>
        </w:rPr>
        <w:softHyphen/>
        <w:t>дрилья вошла в ВВС ОКДВА. На Дальний Восток направили ещё одну эскадрилью, 51-ю, ранее бази</w:t>
      </w:r>
      <w:r w:rsidRPr="00E93F40">
        <w:rPr>
          <w:rFonts w:ascii="Times New Roman" w:hAnsi="Times New Roman"/>
          <w:color w:val="000000" w:themeColor="text1"/>
          <w:sz w:val="16"/>
          <w:szCs w:val="16"/>
        </w:rPr>
        <w:softHyphen/>
        <w:t>ровавшуюся в Монино, но её в ито</w:t>
      </w:r>
      <w:r w:rsidRPr="00E93F40">
        <w:rPr>
          <w:rFonts w:ascii="Times New Roman" w:hAnsi="Times New Roman"/>
          <w:color w:val="000000" w:themeColor="text1"/>
          <w:sz w:val="16"/>
          <w:szCs w:val="16"/>
        </w:rPr>
        <w:softHyphen/>
        <w:t>ге передали в морскую авиацию, и она стала минно-торпедной. В традиционном первомайском па</w:t>
      </w:r>
      <w:r w:rsidRPr="00E93F40">
        <w:rPr>
          <w:rFonts w:ascii="Times New Roman" w:hAnsi="Times New Roman"/>
          <w:color w:val="000000" w:themeColor="text1"/>
          <w:sz w:val="16"/>
          <w:szCs w:val="16"/>
        </w:rPr>
        <w:softHyphen/>
        <w:t>раде в Москве принял участие 61 бомбардировщик из 11-й и 17-й авиабригад. Пилотов для многомоторных са</w:t>
      </w:r>
      <w:r w:rsidRPr="00E93F40">
        <w:rPr>
          <w:rFonts w:ascii="Times New Roman" w:hAnsi="Times New Roman"/>
          <w:color w:val="000000" w:themeColor="text1"/>
          <w:sz w:val="16"/>
          <w:szCs w:val="16"/>
        </w:rPr>
        <w:softHyphen/>
        <w:t>молётов начали готовить специаль</w:t>
      </w:r>
      <w:r w:rsidRPr="00E93F40">
        <w:rPr>
          <w:rFonts w:ascii="Times New Roman" w:hAnsi="Times New Roman"/>
          <w:color w:val="000000" w:themeColor="text1"/>
          <w:sz w:val="16"/>
          <w:szCs w:val="16"/>
        </w:rPr>
        <w:softHyphen/>
        <w:t>но. В 3-й школе военных лётчиков обучение теперь завершалось полё</w:t>
      </w:r>
      <w:r w:rsidRPr="00E93F40">
        <w:rPr>
          <w:rFonts w:ascii="Times New Roman" w:hAnsi="Times New Roman"/>
          <w:color w:val="000000" w:themeColor="text1"/>
          <w:sz w:val="16"/>
          <w:szCs w:val="16"/>
        </w:rPr>
        <w:softHyphen/>
        <w:t>тами на ТБ-1 (23469).</w:t>
      </w:r>
    </w:p>
    <w:p w14:paraId="632E3819" w14:textId="77777777" w:rsidR="00DE37D5" w:rsidRPr="00E93F40" w:rsidRDefault="00DE37D5" w:rsidP="00DE37D5">
      <w:pPr>
        <w:spacing w:after="0" w:line="240" w:lineRule="auto"/>
        <w:jc w:val="both"/>
        <w:rPr>
          <w:rFonts w:ascii="Times New Roman" w:hAnsi="Times New Roman"/>
          <w:color w:val="000000" w:themeColor="text1"/>
          <w:sz w:val="16"/>
          <w:szCs w:val="16"/>
        </w:rPr>
      </w:pPr>
    </w:p>
    <w:p w14:paraId="3A6721E5"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1932 г. в строю находились уже 155 ТБ-1. Три эскадрильи дислоцировались в Воронеже, четыре - в Монино, две - в Кречевицах под Псковом, в 3-й авиабригаде (в ее состав вошли две АЭ - 55-я и 57-я). Еще одна эскад</w:t>
      </w:r>
      <w:r w:rsidRPr="00142305">
        <w:rPr>
          <w:rFonts w:ascii="Times New Roman" w:hAnsi="Times New Roman"/>
          <w:color w:val="0070C0"/>
          <w:sz w:val="16"/>
          <w:szCs w:val="16"/>
        </w:rPr>
        <w:softHyphen/>
        <w:t>рилья (70-я) вошла в ВВС ОКДВА. На Дальний Восток направили также 51-ю эскадрилью, но ее в итоге пере</w:t>
      </w:r>
      <w:r w:rsidRPr="00142305">
        <w:rPr>
          <w:rFonts w:ascii="Times New Roman" w:hAnsi="Times New Roman"/>
          <w:color w:val="0070C0"/>
          <w:sz w:val="16"/>
          <w:szCs w:val="16"/>
        </w:rPr>
        <w:softHyphen/>
        <w:t>дали в морскую авиацию, и она стала минно-торпедной. В традиционном первомайском параде в Москве принял участие 61 бомбардировщик из 11-й и 17-й авиабригад (25004).</w:t>
      </w:r>
    </w:p>
    <w:p w14:paraId="218C111B" w14:textId="77777777" w:rsidR="00DE37D5" w:rsidRPr="00142305" w:rsidRDefault="00DE37D5" w:rsidP="00DE37D5">
      <w:pPr>
        <w:spacing w:after="0" w:line="240" w:lineRule="auto"/>
        <w:jc w:val="both"/>
        <w:rPr>
          <w:rFonts w:ascii="Times New Roman" w:hAnsi="Times New Roman"/>
          <w:color w:val="0070C0"/>
          <w:sz w:val="16"/>
          <w:szCs w:val="16"/>
        </w:rPr>
      </w:pPr>
    </w:p>
    <w:p w14:paraId="1578F428"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1932 г. в строю находились уже 155 ТБ-l. Че</w:t>
      </w:r>
      <w:r w:rsidRPr="00142305">
        <w:rPr>
          <w:rFonts w:ascii="Times New Roman" w:hAnsi="Times New Roman"/>
          <w:color w:val="0070C0"/>
          <w:sz w:val="16"/>
          <w:szCs w:val="16"/>
        </w:rPr>
        <w:softHyphen/>
        <w:t>тыре боеготовых эскадрильи дислоцировались в Воронеже, четыре — в Монино, две — в Кречевицах под Псковом. Одна эскадрилья вошла в ВВС ОКДВА. На Дальний Восток на</w:t>
      </w:r>
      <w:r w:rsidRPr="00142305">
        <w:rPr>
          <w:rFonts w:ascii="Times New Roman" w:hAnsi="Times New Roman"/>
          <w:color w:val="0070C0"/>
          <w:sz w:val="16"/>
          <w:szCs w:val="16"/>
        </w:rPr>
        <w:softHyphen/>
        <w:t>правили еще одну эскадрилью, 51-ю, ранее базировавшую</w:t>
      </w:r>
      <w:r w:rsidRPr="00142305">
        <w:rPr>
          <w:rFonts w:ascii="Times New Roman" w:hAnsi="Times New Roman"/>
          <w:color w:val="0070C0"/>
          <w:sz w:val="16"/>
          <w:szCs w:val="16"/>
        </w:rPr>
        <w:softHyphen/>
        <w:t>ся в Монино, но ее в итоге передали в морскую авиацию, и она стала минно-торпедной. В традиционном первомайс</w:t>
      </w:r>
      <w:r w:rsidRPr="00142305">
        <w:rPr>
          <w:rFonts w:ascii="Times New Roman" w:hAnsi="Times New Roman"/>
          <w:color w:val="0070C0"/>
          <w:sz w:val="16"/>
          <w:szCs w:val="16"/>
        </w:rPr>
        <w:softHyphen/>
        <w:t>ком параде в Москве принял участие 61 бомбардировщик из 11-й и 17-й авиабригад.</w:t>
      </w:r>
    </w:p>
    <w:p w14:paraId="5C3B509C"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Пилотов для многомоторных самолетов начали готовить специально. В 3-й школе военных летчиков обучение те</w:t>
      </w:r>
      <w:r w:rsidRPr="00142305">
        <w:rPr>
          <w:rFonts w:ascii="Times New Roman" w:hAnsi="Times New Roman"/>
          <w:color w:val="0070C0"/>
          <w:sz w:val="16"/>
          <w:szCs w:val="16"/>
        </w:rPr>
        <w:softHyphen/>
        <w:t>перь завершалось полетами на ТБ-1.</w:t>
      </w:r>
    </w:p>
    <w:p w14:paraId="6A9065B5"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частях самолеты постепенно доукомплектовали недо</w:t>
      </w:r>
      <w:r w:rsidRPr="00142305">
        <w:rPr>
          <w:rFonts w:ascii="Times New Roman" w:hAnsi="Times New Roman"/>
          <w:color w:val="0070C0"/>
          <w:sz w:val="16"/>
          <w:szCs w:val="16"/>
        </w:rPr>
        <w:softHyphen/>
        <w:t>стающим оборудованием. В ходе серийного производства усовершенствовали водяные радиаторы (ранние машины летом страдали от перегрева моторов), заменили импорт</w:t>
      </w:r>
      <w:r w:rsidRPr="00142305">
        <w:rPr>
          <w:rFonts w:ascii="Times New Roman" w:hAnsi="Times New Roman"/>
          <w:color w:val="0070C0"/>
          <w:sz w:val="16"/>
          <w:szCs w:val="16"/>
        </w:rPr>
        <w:softHyphen/>
        <w:t>ные покрышки «Палмер» на большие по размеру отечест</w:t>
      </w:r>
      <w:r w:rsidRPr="00142305">
        <w:rPr>
          <w:rFonts w:ascii="Times New Roman" w:hAnsi="Times New Roman"/>
          <w:color w:val="0070C0"/>
          <w:sz w:val="16"/>
          <w:szCs w:val="16"/>
        </w:rPr>
        <w:softHyphen/>
        <w:t>венные. В 1932 г. производство ТБ-l прекратили, на смену им пришли четырехмоторные ТБ-3.</w:t>
      </w:r>
    </w:p>
    <w:p w14:paraId="409AC651" w14:textId="77777777" w:rsidR="00DE37D5" w:rsidRPr="00142305" w:rsidRDefault="00DE37D5" w:rsidP="00DE37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двухмоторные бомбардировщики еще около двух лет сохраняли свое лидирующее положение. При этом машины подвергались модернизации (24977).</w:t>
      </w:r>
    </w:p>
    <w:p w14:paraId="0CB6EB0B" w14:textId="77777777" w:rsidR="00DE37D5" w:rsidRPr="00142305" w:rsidRDefault="00DE37D5" w:rsidP="00DE37D5">
      <w:pPr>
        <w:spacing w:after="0" w:line="240" w:lineRule="auto"/>
        <w:jc w:val="both"/>
        <w:rPr>
          <w:rFonts w:ascii="Times New Roman" w:hAnsi="Times New Roman"/>
          <w:color w:val="0070C0"/>
          <w:sz w:val="16"/>
          <w:szCs w:val="16"/>
        </w:rPr>
      </w:pPr>
    </w:p>
    <w:p w14:paraId="6A54DD5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4BC82F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370EF8" w14:textId="77777777" w:rsidR="009D12BD" w:rsidRPr="00E93F40" w:rsidRDefault="009D12BD"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К 1 января 1932 г. был построен и опытный экземпляр ТШ-2 с мотором М-27. На самолете выполнили несколько испытательных полетов по программе заводских испытаний. Летал Пионтков</w:t>
      </w:r>
      <w:r w:rsidRPr="00E93F40">
        <w:rPr>
          <w:rFonts w:ascii="Times New Roman" w:hAnsi="Times New Roman"/>
          <w:color w:val="000000" w:themeColor="text1"/>
          <w:sz w:val="16"/>
          <w:szCs w:val="16"/>
          <w:lang w:eastAsia="ru-RU" w:bidi="ru-RU"/>
        </w:rPr>
        <w:softHyphen/>
        <w:t>ский. Летные данные оказались не на</w:t>
      </w:r>
      <w:r w:rsidRPr="00E93F40">
        <w:rPr>
          <w:rFonts w:ascii="Times New Roman" w:hAnsi="Times New Roman"/>
          <w:color w:val="000000" w:themeColor="text1"/>
          <w:sz w:val="16"/>
          <w:szCs w:val="16"/>
          <w:lang w:eastAsia="ru-RU" w:bidi="ru-RU"/>
        </w:rPr>
        <w:softHyphen/>
        <w:t>много лучше, чем с мотором М-17. Тре</w:t>
      </w:r>
      <w:r w:rsidRPr="00E93F40">
        <w:rPr>
          <w:rFonts w:ascii="Times New Roman" w:hAnsi="Times New Roman"/>
          <w:color w:val="000000" w:themeColor="text1"/>
          <w:sz w:val="16"/>
          <w:szCs w:val="16"/>
          <w:lang w:eastAsia="ru-RU" w:bidi="ru-RU"/>
        </w:rPr>
        <w:softHyphen/>
        <w:t>бовалась длительная доработка винто</w:t>
      </w:r>
      <w:r w:rsidRPr="00E93F40">
        <w:rPr>
          <w:rFonts w:ascii="Times New Roman" w:hAnsi="Times New Roman"/>
          <w:color w:val="000000" w:themeColor="text1"/>
          <w:sz w:val="16"/>
          <w:szCs w:val="16"/>
          <w:lang w:eastAsia="ru-RU" w:bidi="ru-RU"/>
        </w:rPr>
        <w:softHyphen/>
        <w:t>моторной группы и самого мотора. Но в связи с прекращением производства М-27 и переходом на выпуск серии ТШ-2 с М-17 работы по доработке самолета утратили актуальность. По этой причине ТШ-2 М-27 не доводился и в конце фев</w:t>
      </w:r>
      <w:r w:rsidRPr="00E93F40">
        <w:rPr>
          <w:rFonts w:ascii="Times New Roman" w:hAnsi="Times New Roman"/>
          <w:color w:val="000000" w:themeColor="text1"/>
          <w:sz w:val="16"/>
          <w:szCs w:val="16"/>
          <w:lang w:eastAsia="ru-RU" w:bidi="ru-RU"/>
        </w:rPr>
        <w:softHyphen/>
        <w:t>раля по распоряжению начальника ГУАП Баранова был передан на завод №16 для использования в работах по по</w:t>
      </w:r>
      <w:r w:rsidRPr="00E93F40">
        <w:rPr>
          <w:rFonts w:ascii="Times New Roman" w:hAnsi="Times New Roman"/>
          <w:color w:val="000000" w:themeColor="text1"/>
          <w:sz w:val="16"/>
          <w:szCs w:val="16"/>
          <w:lang w:eastAsia="ru-RU" w:bidi="ru-RU"/>
        </w:rPr>
        <w:softHyphen/>
        <w:t>стройке серийных образцов ТШ-2 с М-17 (21062).</w:t>
      </w:r>
    </w:p>
    <w:p w14:paraId="6645FF42" w14:textId="77777777" w:rsidR="009D12BD" w:rsidRPr="00E93F40" w:rsidRDefault="009D12BD" w:rsidP="00E93F40">
      <w:pPr>
        <w:spacing w:after="0" w:line="240" w:lineRule="auto"/>
        <w:jc w:val="both"/>
        <w:rPr>
          <w:rFonts w:ascii="Times New Roman" w:hAnsi="Times New Roman"/>
          <w:color w:val="000000" w:themeColor="text1"/>
          <w:sz w:val="16"/>
          <w:szCs w:val="16"/>
        </w:rPr>
      </w:pPr>
    </w:p>
    <w:p w14:paraId="5EF9E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 января 1932 г. Завод опытных конструкций (ЗОК) ЦАГИ, который с 15 мая 1931 уже вел сборку хвостовой части фюзеляжа, ферм лонжеронов и клепал оперение ТБ-4, почти закончил фюзеляж и оперение.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 (12024).</w:t>
      </w:r>
    </w:p>
    <w:p w14:paraId="35215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F5FD4E" w14:textId="77777777" w:rsidR="00AC428C" w:rsidRPr="00E93F40" w:rsidRDefault="00AC428C" w:rsidP="00AC428C">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января 1932 г. фюзеляж ТБ-4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w:t>
      </w:r>
    </w:p>
    <w:p w14:paraId="68036B15" w14:textId="77777777" w:rsidR="00AC428C" w:rsidRPr="00E93F40" w:rsidRDefault="00AC428C" w:rsidP="00AC428C">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просчитались. М-34 продолжали мучительно доводить, более мощные двигатели ФЭД в октябре 1931 г. только начали делать в опытных образцах. Все сроки прошли. 4 июля 1932 г. постановлением СТО постройка ТБ-4 была объявлена первоочередной. Срок готовности сдвинули на 1 ноября. Главное управление авиационной промышленности (ГУАП) Наркомтяжпрома возражало, говоря, что этот срок нереален. Оно заявляло о возможности выставить самолет на испытания к 1 января 1933 г. Но и эта дата оказалась неосуществимой - лишь в декабре 1932 г. на завод пришли долгожданные моторы.</w:t>
      </w:r>
    </w:p>
    <w:p w14:paraId="662FE4FC" w14:textId="77777777" w:rsidR="00AC428C" w:rsidRPr="00E93F40" w:rsidRDefault="00AC428C" w:rsidP="00AC428C">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56708803" w14:textId="77777777" w:rsidR="00AC428C" w:rsidRPr="00E93F40" w:rsidRDefault="00AC428C" w:rsidP="00AC428C">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10.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361ECD95" w14:textId="77777777" w:rsidR="00AC428C" w:rsidRPr="00E93F40" w:rsidRDefault="00AC428C" w:rsidP="00AC428C">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56C19595" w14:textId="77777777" w:rsidR="00AC428C" w:rsidRPr="00E93F40" w:rsidRDefault="00AC428C" w:rsidP="00AC428C">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(12036).</w:t>
      </w:r>
    </w:p>
    <w:p w14:paraId="5B9467C5" w14:textId="77777777" w:rsidR="00AC428C" w:rsidRPr="00E93F40" w:rsidRDefault="00AC428C" w:rsidP="00AC428C">
      <w:pPr>
        <w:autoSpaceDE w:val="0"/>
        <w:autoSpaceDN w:val="0"/>
        <w:adjustRightInd w:val="0"/>
        <w:spacing w:after="0" w:line="240" w:lineRule="auto"/>
        <w:jc w:val="both"/>
        <w:rPr>
          <w:rFonts w:ascii="Times New Roman" w:hAnsi="Times New Roman"/>
          <w:color w:val="000000" w:themeColor="text1"/>
          <w:sz w:val="16"/>
          <w:szCs w:val="16"/>
        </w:rPr>
      </w:pPr>
    </w:p>
    <w:p w14:paraId="264F8363"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января 1932 г. фюзеляж АНТ-16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w:t>
      </w:r>
      <w:r w:rsidRPr="00142305">
        <w:rPr>
          <w:rFonts w:ascii="Times New Roman" w:hAnsi="Times New Roman"/>
          <w:color w:val="0070C0"/>
          <w:sz w:val="16"/>
          <w:szCs w:val="16"/>
        </w:rPr>
        <w:softHyphen/>
        <w:t>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w:t>
      </w:r>
    </w:p>
    <w:p w14:paraId="53702888"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просчитались. М-34 продолжали мучительно дово</w:t>
      </w:r>
      <w:r w:rsidRPr="00142305">
        <w:rPr>
          <w:rFonts w:ascii="Times New Roman" w:hAnsi="Times New Roman"/>
          <w:color w:val="0070C0"/>
          <w:sz w:val="16"/>
          <w:szCs w:val="16"/>
        </w:rPr>
        <w:softHyphen/>
        <w:t>дить, более мощные двигатели ФЭД в октябре 1931 г. толь</w:t>
      </w:r>
      <w:r w:rsidRPr="00142305">
        <w:rPr>
          <w:rFonts w:ascii="Times New Roman" w:hAnsi="Times New Roman"/>
          <w:color w:val="0070C0"/>
          <w:sz w:val="16"/>
          <w:szCs w:val="16"/>
        </w:rPr>
        <w:softHyphen/>
        <w:t>ко начали делать в опытных образцах. Все сроки прошли. 4 июля 1932 г. постановлением СТО постройка ТБ-4 была объявлена первоочередной. Срок готовности сдвинули на 1 ноября. Главное управление авиационной промышленнос</w:t>
      </w:r>
      <w:r w:rsidRPr="00142305">
        <w:rPr>
          <w:rFonts w:ascii="Times New Roman" w:hAnsi="Times New Roman"/>
          <w:color w:val="0070C0"/>
          <w:sz w:val="16"/>
          <w:szCs w:val="16"/>
        </w:rPr>
        <w:softHyphen/>
        <w:t>ти (ГУАП) Наркомтяжпрома возражало, говоря, что этот срок нереален. Оно заявляло о возможности выставить са</w:t>
      </w:r>
      <w:r w:rsidRPr="00142305">
        <w:rPr>
          <w:rFonts w:ascii="Times New Roman" w:hAnsi="Times New Roman"/>
          <w:color w:val="0070C0"/>
          <w:sz w:val="16"/>
          <w:szCs w:val="16"/>
        </w:rPr>
        <w:softHyphen/>
        <w:t>молет на испытания к 1 января 1933 г. Но и эта дата оказа</w:t>
      </w:r>
      <w:r w:rsidRPr="00142305">
        <w:rPr>
          <w:rFonts w:ascii="Times New Roman" w:hAnsi="Times New Roman"/>
          <w:color w:val="0070C0"/>
          <w:sz w:val="16"/>
          <w:szCs w:val="16"/>
        </w:rPr>
        <w:softHyphen/>
        <w:t>лась неосуществимой - лишь в декабре 1932 г. на завод при</w:t>
      </w:r>
      <w:r w:rsidRPr="00142305">
        <w:rPr>
          <w:rFonts w:ascii="Times New Roman" w:hAnsi="Times New Roman"/>
          <w:color w:val="0070C0"/>
          <w:sz w:val="16"/>
          <w:szCs w:val="16"/>
        </w:rPr>
        <w:softHyphen/>
        <w:t>шли долгожданные моторы.</w:t>
      </w:r>
    </w:p>
    <w:p w14:paraId="10CFD2C2"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тут конструкторов постигло новое разочарование. Се</w:t>
      </w:r>
      <w:r w:rsidRPr="00142305">
        <w:rPr>
          <w:rFonts w:ascii="Times New Roman" w:hAnsi="Times New Roman"/>
          <w:color w:val="0070C0"/>
          <w:sz w:val="16"/>
          <w:szCs w:val="16"/>
        </w:rPr>
        <w:softHyphen/>
        <w:t>рийные М-34 по габаритам и посадочным местам сущест</w:t>
      </w:r>
      <w:r w:rsidRPr="00142305">
        <w:rPr>
          <w:rFonts w:ascii="Times New Roman" w:hAnsi="Times New Roman"/>
          <w:color w:val="0070C0"/>
          <w:sz w:val="16"/>
          <w:szCs w:val="16"/>
        </w:rPr>
        <w:softHyphen/>
        <w:t>венно отличались от опытного образца, по чертежам кото</w:t>
      </w:r>
      <w:r w:rsidRPr="00142305">
        <w:rPr>
          <w:rFonts w:ascii="Times New Roman" w:hAnsi="Times New Roman"/>
          <w:color w:val="0070C0"/>
          <w:sz w:val="16"/>
          <w:szCs w:val="16"/>
        </w:rPr>
        <w:softHyphen/>
        <w:t>рого проектировали мотоустановку самолета. Последовал очередной этап переделки чертежей, а кое-где и уже гото</w:t>
      </w:r>
      <w:r w:rsidRPr="00142305">
        <w:rPr>
          <w:rFonts w:ascii="Times New Roman" w:hAnsi="Times New Roman"/>
          <w:color w:val="0070C0"/>
          <w:sz w:val="16"/>
          <w:szCs w:val="16"/>
        </w:rPr>
        <w:softHyphen/>
        <w:t>вых узлов (24977).</w:t>
      </w:r>
    </w:p>
    <w:p w14:paraId="0FD51ECB" w14:textId="77777777" w:rsidR="00AC428C" w:rsidRPr="00142305" w:rsidRDefault="00AC428C" w:rsidP="00AC428C">
      <w:pPr>
        <w:spacing w:after="0" w:line="240" w:lineRule="auto"/>
        <w:jc w:val="both"/>
        <w:rPr>
          <w:rFonts w:ascii="Times New Roman" w:hAnsi="Times New Roman"/>
          <w:color w:val="0070C0"/>
          <w:sz w:val="16"/>
          <w:szCs w:val="16"/>
        </w:rPr>
      </w:pPr>
    </w:p>
    <w:p w14:paraId="288A7093" w14:textId="77777777" w:rsidR="009D12BD" w:rsidRPr="00E93F40" w:rsidRDefault="009D12BD"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 вступил в строй завод опытных конструкций (ЗОК) ЦАГИ (29363).</w:t>
      </w:r>
    </w:p>
    <w:p w14:paraId="620D8999" w14:textId="77777777" w:rsidR="009D12BD" w:rsidRPr="00E93F40" w:rsidRDefault="009D12BD" w:rsidP="00E93F40">
      <w:pPr>
        <w:shd w:val="clear" w:color="auto" w:fill="FFFFFF"/>
        <w:spacing w:after="0" w:line="240" w:lineRule="auto"/>
        <w:jc w:val="both"/>
        <w:rPr>
          <w:rFonts w:ascii="Times New Roman" w:hAnsi="Times New Roman"/>
          <w:color w:val="000000" w:themeColor="text1"/>
          <w:sz w:val="16"/>
          <w:szCs w:val="16"/>
        </w:rPr>
      </w:pPr>
    </w:p>
    <w:p w14:paraId="5266D2AF"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 начал работать ЗОК. Первый машиной, постро</w:t>
      </w:r>
      <w:r w:rsidRPr="00E93F40">
        <w:rPr>
          <w:rFonts w:ascii="Times New Roman" w:hAnsi="Times New Roman"/>
          <w:color w:val="000000" w:themeColor="text1"/>
          <w:sz w:val="16"/>
          <w:szCs w:val="16"/>
        </w:rPr>
        <w:softHyphen/>
        <w:t>енной в его стенах, стал АНТ—16. К 1935 г. была закончена структурная реорганиза</w:t>
      </w:r>
      <w:r w:rsidRPr="00E93F40">
        <w:rPr>
          <w:rFonts w:ascii="Times New Roman" w:hAnsi="Times New Roman"/>
          <w:color w:val="000000" w:themeColor="text1"/>
          <w:sz w:val="16"/>
          <w:szCs w:val="16"/>
        </w:rPr>
        <w:softHyphen/>
        <w:t>ция КБ. До нее каждая бригада вела ка</w:t>
      </w:r>
      <w:r w:rsidRPr="00E93F40">
        <w:rPr>
          <w:rFonts w:ascii="Times New Roman" w:hAnsi="Times New Roman"/>
          <w:color w:val="000000" w:themeColor="text1"/>
          <w:sz w:val="16"/>
          <w:szCs w:val="16"/>
        </w:rPr>
        <w:softHyphen/>
        <w:t>кой-либо агрегат (фюзеляж, оперение и т.д.) для всех самолетов АНТ. При этом работники большинства бригад не виде</w:t>
      </w:r>
      <w:r w:rsidRPr="00E93F40">
        <w:rPr>
          <w:rFonts w:ascii="Times New Roman" w:hAnsi="Times New Roman"/>
          <w:color w:val="000000" w:themeColor="text1"/>
          <w:sz w:val="16"/>
          <w:szCs w:val="16"/>
        </w:rPr>
        <w:softHyphen/>
        <w:t>ли конечного результата своего труда. Возросшая квалификация инженерно-тех</w:t>
      </w:r>
      <w:r w:rsidRPr="00E93F40">
        <w:rPr>
          <w:rFonts w:ascii="Times New Roman" w:hAnsi="Times New Roman"/>
          <w:color w:val="000000" w:themeColor="text1"/>
          <w:sz w:val="16"/>
          <w:szCs w:val="16"/>
        </w:rPr>
        <w:softHyphen/>
        <w:t>нического персонала позволила изменить систему работы. Теперь каждая бригада стала маленьким КБ, специализировав</w:t>
      </w:r>
      <w:r w:rsidRPr="00E93F40">
        <w:rPr>
          <w:rFonts w:ascii="Times New Roman" w:hAnsi="Times New Roman"/>
          <w:color w:val="000000" w:themeColor="text1"/>
          <w:sz w:val="16"/>
          <w:szCs w:val="16"/>
        </w:rPr>
        <w:softHyphen/>
        <w:t>шимся на определенном типе самолетов, проектировала всю машину от начала до конца. И все видели, во что воплощается их труд. Новшество облегчило Туполеву техническое руководство КБ, повысило ответственность и самостоятельность начальников бригад, ускорило проекти</w:t>
      </w:r>
      <w:r w:rsidRPr="00E93F40">
        <w:rPr>
          <w:rFonts w:ascii="Times New Roman" w:hAnsi="Times New Roman"/>
          <w:color w:val="000000" w:themeColor="text1"/>
          <w:sz w:val="16"/>
          <w:szCs w:val="16"/>
        </w:rPr>
        <w:softHyphen/>
        <w:t>рование.</w:t>
      </w:r>
    </w:p>
    <w:p w14:paraId="4DAD758A"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Бригады разместились в новом поме</w:t>
      </w:r>
      <w:r w:rsidRPr="00E93F40">
        <w:rPr>
          <w:rFonts w:ascii="Times New Roman" w:hAnsi="Times New Roman"/>
          <w:color w:val="000000" w:themeColor="text1"/>
          <w:sz w:val="16"/>
          <w:szCs w:val="16"/>
        </w:rPr>
        <w:softHyphen/>
        <w:t>щении КОСОС на набережной р. Яузы:</w:t>
      </w:r>
    </w:p>
    <w:p w14:paraId="1283138A"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тяжелых самолетов — В.М. Петляков;</w:t>
      </w:r>
    </w:p>
    <w:p w14:paraId="499157E5"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 — гидросамолетов — И.И. Погосский (после его гибели — А.П. Голубков);</w:t>
      </w:r>
    </w:p>
    <w:p w14:paraId="67E5BFF6"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 — истребителей и рекордных са</w:t>
      </w:r>
      <w:r w:rsidRPr="00E93F40">
        <w:rPr>
          <w:rFonts w:ascii="Times New Roman" w:hAnsi="Times New Roman"/>
          <w:color w:val="000000" w:themeColor="text1"/>
          <w:sz w:val="16"/>
          <w:szCs w:val="16"/>
        </w:rPr>
        <w:softHyphen/>
        <w:t>молетов — П.О. Сухой;</w:t>
      </w:r>
    </w:p>
    <w:p w14:paraId="74021D0D"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5 — скоростных военных и пасса</w:t>
      </w:r>
      <w:r w:rsidRPr="00E93F40">
        <w:rPr>
          <w:rFonts w:ascii="Times New Roman" w:hAnsi="Times New Roman"/>
          <w:color w:val="000000" w:themeColor="text1"/>
          <w:sz w:val="16"/>
          <w:szCs w:val="16"/>
        </w:rPr>
        <w:softHyphen/>
        <w:t>жирских самолетов — А.А. Архангель</w:t>
      </w:r>
      <w:r w:rsidRPr="00E93F40">
        <w:rPr>
          <w:rFonts w:ascii="Times New Roman" w:hAnsi="Times New Roman"/>
          <w:color w:val="000000" w:themeColor="text1"/>
          <w:sz w:val="16"/>
          <w:szCs w:val="16"/>
        </w:rPr>
        <w:softHyphen/>
        <w:t>ский;</w:t>
      </w:r>
    </w:p>
    <w:p w14:paraId="10217004"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 экспериментальных самоле</w:t>
      </w:r>
      <w:r w:rsidRPr="00E93F40">
        <w:rPr>
          <w:rFonts w:ascii="Times New Roman" w:hAnsi="Times New Roman"/>
          <w:color w:val="000000" w:themeColor="text1"/>
          <w:sz w:val="16"/>
          <w:szCs w:val="16"/>
        </w:rPr>
        <w:softHyphen/>
        <w:t>тов — В.М. Мясищев;</w:t>
      </w:r>
    </w:p>
    <w:p w14:paraId="6DD2F954"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 торпедных катеров — Н.С. Некрасов.</w:t>
      </w:r>
    </w:p>
    <w:p w14:paraId="51B40E57"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Осталось несколько бригад, разраба</w:t>
      </w:r>
      <w:r w:rsidRPr="00E93F40">
        <w:rPr>
          <w:rFonts w:ascii="Times New Roman" w:hAnsi="Times New Roman"/>
          <w:color w:val="000000" w:themeColor="text1"/>
          <w:sz w:val="16"/>
          <w:szCs w:val="16"/>
        </w:rPr>
        <w:softHyphen/>
        <w:t>тывавших, как и раньше, отдельные агре</w:t>
      </w:r>
      <w:r w:rsidRPr="00E93F40">
        <w:rPr>
          <w:rFonts w:ascii="Times New Roman" w:hAnsi="Times New Roman"/>
          <w:color w:val="000000" w:themeColor="text1"/>
          <w:sz w:val="16"/>
          <w:szCs w:val="16"/>
        </w:rPr>
        <w:softHyphen/>
        <w:t>гаты и оборудование для всего коллекти</w:t>
      </w:r>
      <w:r w:rsidRPr="00E93F40">
        <w:rPr>
          <w:rFonts w:ascii="Times New Roman" w:hAnsi="Times New Roman"/>
          <w:color w:val="000000" w:themeColor="text1"/>
          <w:sz w:val="16"/>
          <w:szCs w:val="16"/>
        </w:rPr>
        <w:softHyphen/>
        <w:t>ва КБ:</w:t>
      </w:r>
    </w:p>
    <w:p w14:paraId="0396FF25"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7 — винты — В.Л. Александров,</w:t>
      </w:r>
    </w:p>
    <w:p w14:paraId="52C6D242"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 мотоустановки — Е.И. Погосский,</w:t>
      </w:r>
    </w:p>
    <w:p w14:paraId="307D0113"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 — шасси — М.Н. Петров (23474).</w:t>
      </w:r>
    </w:p>
    <w:p w14:paraId="469EFA3D" w14:textId="77777777" w:rsidR="00F57F57" w:rsidRPr="00E93F40" w:rsidRDefault="00F57F57" w:rsidP="00E93F40">
      <w:pPr>
        <w:spacing w:after="0" w:line="240" w:lineRule="auto"/>
        <w:jc w:val="both"/>
        <w:rPr>
          <w:rFonts w:ascii="Times New Roman" w:hAnsi="Times New Roman"/>
          <w:color w:val="000000" w:themeColor="text1"/>
          <w:sz w:val="16"/>
          <w:szCs w:val="16"/>
        </w:rPr>
      </w:pPr>
    </w:p>
    <w:p w14:paraId="5BF2C2CF" w14:textId="77777777" w:rsidR="00F57F57" w:rsidRPr="00E93F40" w:rsidRDefault="00F57F5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 в строй вошел Завод опытных конструкций (ЗОК), который сооружался специально для производства опытных образцов самолетов, разрабатываемых АГОС – конструкторским отделом ЦАГИ (Авиация и гидроавиация – опытное строительство), был спроектирован и оснащен под единичное строительство тяжелых цельнометаллических самолетов и летающих лодок. Формально ЗОК находился в подчинении объединенного ЦКБ-ЦАГИ и туда переводились все бригады ЦКБ-39, а завод №39 сосредотачивался на серийном производстве легких самолетов разработки ЦКБ-39 и тяжелых ТБ-3 АГОС ЦАГИ, но под тем предлогом, что там шла постройка совершенно секретного тяжелого бомбардировщика АНТ-16 (ТБ-4), работники ЦКБ-39, включая руководство, не получили пропуска туда. На проходных ЗОК и у ангаров его летно-испытательной станции на Центральном аэродроме по распоряжению А.Н. Туполева была выставлена военизированная охрана, которая имела особое указание пропускать сотрудников ЦКБ только с разрешения руководства АГОС (23554).</w:t>
      </w:r>
    </w:p>
    <w:p w14:paraId="0B287870" w14:textId="77777777" w:rsidR="00F57F57" w:rsidRPr="00E93F40" w:rsidRDefault="00F57F57" w:rsidP="00E93F40">
      <w:pPr>
        <w:spacing w:after="0" w:line="240" w:lineRule="auto"/>
        <w:jc w:val="both"/>
        <w:rPr>
          <w:rFonts w:ascii="Times New Roman" w:hAnsi="Times New Roman"/>
          <w:color w:val="000000" w:themeColor="text1"/>
          <w:sz w:val="16"/>
          <w:szCs w:val="16"/>
        </w:rPr>
      </w:pPr>
    </w:p>
    <w:p w14:paraId="7A5C64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стал работать ЗОК. Первая машина, построенная в ЗОК - АНТ-16 (71,186).</w:t>
      </w:r>
    </w:p>
    <w:p w14:paraId="458FA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понятно как он появился, ведь это было в составе ЦКБ. Впрочем, есть приказ</w:t>
      </w:r>
    </w:p>
    <w:p w14:paraId="344F4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Первой машиной, построенной в ЗОК был АНТ-16 (346,4).</w:t>
      </w:r>
    </w:p>
    <w:p w14:paraId="5FC21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18E147" w14:textId="77777777" w:rsidR="009D12BD" w:rsidRPr="00E93F40" w:rsidRDefault="009D12B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 ян</w:t>
      </w:r>
      <w:r w:rsidRPr="00E93F40">
        <w:rPr>
          <w:rFonts w:ascii="Times New Roman" w:hAnsi="Times New Roman"/>
          <w:color w:val="000000" w:themeColor="text1"/>
          <w:sz w:val="16"/>
          <w:szCs w:val="16"/>
        </w:rPr>
        <w:softHyphen/>
        <w:t>варя 1932 г. СОК ЦАГИ насчитывала 23 сотрудника, затем последовали ее реорганизация и расширение - через год здесь работали 93 сотрудника. 1 января 1933 г. СОК выде</w:t>
      </w:r>
      <w:r w:rsidRPr="00E93F40">
        <w:rPr>
          <w:rFonts w:ascii="Times New Roman" w:hAnsi="Times New Roman"/>
          <w:color w:val="000000" w:themeColor="text1"/>
          <w:sz w:val="16"/>
          <w:szCs w:val="16"/>
        </w:rPr>
        <w:softHyphen/>
        <w:t>лили из состава ЭАО и преобразовали в самостоятельный Отдел особых конструкций (ООК). В конце 1933 г. на тер</w:t>
      </w:r>
      <w:r w:rsidRPr="00E93F40">
        <w:rPr>
          <w:rFonts w:ascii="Times New Roman" w:hAnsi="Times New Roman"/>
          <w:color w:val="000000" w:themeColor="text1"/>
          <w:sz w:val="16"/>
          <w:szCs w:val="16"/>
        </w:rPr>
        <w:softHyphen/>
        <w:t>ритории завода ЗОК образовали специальный цех винтовых аппаратов (ЦВА) для изготовления вертолетов и автожиров (20361).</w:t>
      </w:r>
    </w:p>
    <w:p w14:paraId="218730D2" w14:textId="77777777" w:rsidR="009D12BD" w:rsidRPr="00E93F40" w:rsidRDefault="009D12BD" w:rsidP="00E93F40">
      <w:pPr>
        <w:shd w:val="clear" w:color="auto" w:fill="FFFFFF"/>
        <w:spacing w:after="0" w:line="240" w:lineRule="auto"/>
        <w:jc w:val="both"/>
        <w:rPr>
          <w:rFonts w:ascii="Times New Roman" w:hAnsi="Times New Roman"/>
          <w:color w:val="000000" w:themeColor="text1"/>
          <w:sz w:val="16"/>
          <w:szCs w:val="16"/>
        </w:rPr>
      </w:pPr>
    </w:p>
    <w:p w14:paraId="50BE5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 января 1932 была подготовлена Краткая характеристика работ программы опытного строительства по ЦКБ (2356):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670"/>
      </w:tblGrid>
      <w:tr w:rsidR="00DA227A" w:rsidRPr="00E93F40" w14:paraId="6E6DBD2D" w14:textId="77777777">
        <w:tc>
          <w:tcPr>
            <w:tcW w:w="4928" w:type="dxa"/>
          </w:tcPr>
          <w:p w14:paraId="31EA0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Проектирование и постройка 2-х местных</w:t>
            </w:r>
          </w:p>
        </w:tc>
        <w:tc>
          <w:tcPr>
            <w:tcW w:w="5670" w:type="dxa"/>
          </w:tcPr>
          <w:p w14:paraId="7A24B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ДИ-3 построен и испытан и производится постройка опытной</w:t>
            </w:r>
          </w:p>
        </w:tc>
      </w:tr>
      <w:tr w:rsidR="00DA227A" w:rsidRPr="00E93F40" w14:paraId="729D06B2" w14:textId="77777777">
        <w:tc>
          <w:tcPr>
            <w:tcW w:w="4928" w:type="dxa"/>
          </w:tcPr>
          <w:p w14:paraId="02FF5A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истребителей 3-х типов - ДИ-3 М-17, ДИ-4</w:t>
            </w:r>
          </w:p>
        </w:tc>
        <w:tc>
          <w:tcPr>
            <w:tcW w:w="5670" w:type="dxa"/>
          </w:tcPr>
          <w:p w14:paraId="193A7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серии в 5 шт.</w:t>
            </w:r>
          </w:p>
        </w:tc>
      </w:tr>
      <w:tr w:rsidR="00DA227A" w:rsidRPr="00E93F40" w14:paraId="617432CF" w14:textId="77777777">
        <w:tc>
          <w:tcPr>
            <w:tcW w:w="4928" w:type="dxa"/>
          </w:tcPr>
          <w:p w14:paraId="0D16C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Кертис Конк., ДИ-5 ФЭД</w:t>
            </w:r>
          </w:p>
        </w:tc>
        <w:tc>
          <w:tcPr>
            <w:tcW w:w="5670" w:type="dxa"/>
          </w:tcPr>
          <w:p w14:paraId="3DCC4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 построен и приступлено к заводским испытаниям</w:t>
            </w:r>
          </w:p>
        </w:tc>
      </w:tr>
      <w:tr w:rsidR="00DA227A" w:rsidRPr="00E93F40" w14:paraId="40E2C8E2" w14:textId="77777777">
        <w:tc>
          <w:tcPr>
            <w:tcW w:w="4928" w:type="dxa"/>
          </w:tcPr>
          <w:p w14:paraId="41CE0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88852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ДИ-5 - работы не ведутся из-за снятия с программы ФЭД</w:t>
            </w:r>
          </w:p>
        </w:tc>
      </w:tr>
      <w:tr w:rsidR="00DA227A" w:rsidRPr="00E93F40" w14:paraId="20EC76D5" w14:textId="77777777">
        <w:tc>
          <w:tcPr>
            <w:tcW w:w="4928" w:type="dxa"/>
          </w:tcPr>
          <w:p w14:paraId="57415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Сухопутные разведчики новых 2-х типов</w:t>
            </w:r>
          </w:p>
        </w:tc>
        <w:tc>
          <w:tcPr>
            <w:tcW w:w="5670" w:type="dxa"/>
          </w:tcPr>
          <w:p w14:paraId="01C295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Р-8 спроектирован и начат постройкой. Работы прекращены из-за </w:t>
            </w:r>
          </w:p>
        </w:tc>
      </w:tr>
      <w:tr w:rsidR="00DA227A" w:rsidRPr="00E93F40" w14:paraId="7F9AB2C0" w14:textId="77777777">
        <w:tc>
          <w:tcPr>
            <w:tcW w:w="4928" w:type="dxa"/>
          </w:tcPr>
          <w:p w14:paraId="2A978E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Р-8 (М-27) М-34 Р-9</w:t>
            </w:r>
          </w:p>
        </w:tc>
        <w:tc>
          <w:tcPr>
            <w:tcW w:w="5670" w:type="dxa"/>
          </w:tcPr>
          <w:p w14:paraId="1338A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неподачи мотора и снятия М-27 с программы. Кроме того, план ВВС</w:t>
            </w:r>
          </w:p>
        </w:tc>
      </w:tr>
      <w:tr w:rsidR="00DA227A" w:rsidRPr="00E93F40" w14:paraId="12B72846" w14:textId="77777777">
        <w:tc>
          <w:tcPr>
            <w:tcW w:w="4928" w:type="dxa"/>
          </w:tcPr>
          <w:p w14:paraId="6CC86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064B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предусматривает до 1934 нового типа разведчика, удовлетворяясь</w:t>
            </w:r>
          </w:p>
        </w:tc>
      </w:tr>
      <w:tr w:rsidR="00DA227A" w:rsidRPr="00E93F40" w14:paraId="17B5DA38" w14:textId="77777777">
        <w:tc>
          <w:tcPr>
            <w:tcW w:w="4928" w:type="dxa"/>
          </w:tcPr>
          <w:p w14:paraId="1790D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A0EE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строящимися Р-5 М-34</w:t>
            </w:r>
          </w:p>
        </w:tc>
      </w:tr>
      <w:tr w:rsidR="00DA227A" w:rsidRPr="00E93F40" w14:paraId="71A04B92" w14:textId="77777777">
        <w:tc>
          <w:tcPr>
            <w:tcW w:w="4928" w:type="dxa"/>
          </w:tcPr>
          <w:p w14:paraId="36815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9EB4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Р-9 снят с программы Нач. ВАО П.И.Б.</w:t>
            </w:r>
          </w:p>
        </w:tc>
      </w:tr>
      <w:tr w:rsidR="00DA227A" w:rsidRPr="00E93F40" w14:paraId="058D7890" w14:textId="77777777">
        <w:tc>
          <w:tcPr>
            <w:tcW w:w="4928" w:type="dxa"/>
          </w:tcPr>
          <w:p w14:paraId="2D800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Модификации и улучшения Р-5 М-19, Р-5 М-27</w:t>
            </w:r>
          </w:p>
        </w:tc>
        <w:tc>
          <w:tcPr>
            <w:tcW w:w="5670" w:type="dxa"/>
          </w:tcPr>
          <w:p w14:paraId="249BB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М-27 и М-34 не построены из-за неподачи моторов</w:t>
            </w:r>
          </w:p>
        </w:tc>
      </w:tr>
      <w:tr w:rsidR="00DA227A" w:rsidRPr="00E93F40" w14:paraId="6220C883" w14:textId="77777777">
        <w:tc>
          <w:tcPr>
            <w:tcW w:w="4928" w:type="dxa"/>
          </w:tcPr>
          <w:p w14:paraId="1F56E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М-34, Р-5 на поплавках, Р-5 с разрезным крылом</w:t>
            </w:r>
          </w:p>
        </w:tc>
        <w:tc>
          <w:tcPr>
            <w:tcW w:w="5670" w:type="dxa"/>
          </w:tcPr>
          <w:p w14:paraId="6477C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М-19 испытан, дав результаты худшие, чем Р-5 М-17.</w:t>
            </w:r>
          </w:p>
        </w:tc>
      </w:tr>
      <w:tr w:rsidR="00DA227A" w:rsidRPr="00E93F40" w14:paraId="5CBFA35A" w14:textId="77777777">
        <w:tc>
          <w:tcPr>
            <w:tcW w:w="4928" w:type="dxa"/>
          </w:tcPr>
          <w:p w14:paraId="1EB92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 М-15, Р-5 пассажирский</w:t>
            </w:r>
          </w:p>
        </w:tc>
        <w:tc>
          <w:tcPr>
            <w:tcW w:w="5670" w:type="dxa"/>
          </w:tcPr>
          <w:p w14:paraId="40461C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остальным идет подготовка к испытаний.</w:t>
            </w:r>
          </w:p>
        </w:tc>
      </w:tr>
      <w:tr w:rsidR="00DA227A" w:rsidRPr="00E93F40" w14:paraId="18B500F3" w14:textId="77777777">
        <w:tc>
          <w:tcPr>
            <w:tcW w:w="4928" w:type="dxa"/>
          </w:tcPr>
          <w:p w14:paraId="3EEA99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9107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 М-15 построен и не закончен испытаниями. Идет новая проработка</w:t>
            </w:r>
          </w:p>
        </w:tc>
      </w:tr>
      <w:tr w:rsidR="00DA227A" w:rsidRPr="00E93F40" w14:paraId="187969F2" w14:textId="77777777">
        <w:tc>
          <w:tcPr>
            <w:tcW w:w="4928" w:type="dxa"/>
          </w:tcPr>
          <w:p w14:paraId="72F227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EEA9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линии унификации с М-22</w:t>
            </w:r>
          </w:p>
        </w:tc>
      </w:tr>
      <w:tr w:rsidR="00DA227A" w:rsidRPr="00E93F40" w14:paraId="6FF64F70" w14:textId="77777777">
        <w:tc>
          <w:tcPr>
            <w:tcW w:w="4928" w:type="dxa"/>
          </w:tcPr>
          <w:p w14:paraId="04E223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26D8E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пассажирский построен и проходит испытания.</w:t>
            </w:r>
          </w:p>
        </w:tc>
      </w:tr>
      <w:tr w:rsidR="00DA227A" w:rsidRPr="00E93F40" w14:paraId="5BDE55F0" w14:textId="77777777">
        <w:tc>
          <w:tcPr>
            <w:tcW w:w="4928" w:type="dxa"/>
          </w:tcPr>
          <w:p w14:paraId="57526C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Морской разведчик МБР-2 М-27, МДР-3 4Ю-6 или</w:t>
            </w:r>
          </w:p>
        </w:tc>
        <w:tc>
          <w:tcPr>
            <w:tcW w:w="5670" w:type="dxa"/>
          </w:tcPr>
          <w:p w14:paraId="10064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 в периоде сборки</w:t>
            </w:r>
          </w:p>
        </w:tc>
      </w:tr>
      <w:tr w:rsidR="00DA227A" w:rsidRPr="00E93F40" w14:paraId="729D8649" w14:textId="77777777">
        <w:tc>
          <w:tcPr>
            <w:tcW w:w="4928" w:type="dxa"/>
          </w:tcPr>
          <w:p w14:paraId="7B93C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М-17, доводка МДР-1</w:t>
            </w:r>
          </w:p>
        </w:tc>
        <w:tc>
          <w:tcPr>
            <w:tcW w:w="5670" w:type="dxa"/>
          </w:tcPr>
          <w:p w14:paraId="6F1E2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МДР-3 4Ю-6 построен, но в связи с результатами заводских </w:t>
            </w:r>
          </w:p>
        </w:tc>
      </w:tr>
      <w:tr w:rsidR="00DA227A" w:rsidRPr="00E93F40" w14:paraId="2C21B85C" w14:textId="77777777">
        <w:tc>
          <w:tcPr>
            <w:tcW w:w="4928" w:type="dxa"/>
          </w:tcPr>
          <w:p w14:paraId="20358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00C1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испытаний</w:t>
            </w:r>
          </w:p>
        </w:tc>
      </w:tr>
      <w:tr w:rsidR="00DA227A" w:rsidRPr="00E93F40" w14:paraId="21208354" w14:textId="77777777">
        <w:tc>
          <w:tcPr>
            <w:tcW w:w="4928" w:type="dxa"/>
          </w:tcPr>
          <w:p w14:paraId="24AA7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BB4C6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ТБ-5 4Ю-6 изменена установка на 4М-17. Самолет отправлен на</w:t>
            </w:r>
          </w:p>
        </w:tc>
      </w:tr>
      <w:tr w:rsidR="00DA227A" w:rsidRPr="00E93F40" w14:paraId="0B6D348E" w14:textId="77777777">
        <w:tc>
          <w:tcPr>
            <w:tcW w:w="4928" w:type="dxa"/>
          </w:tcPr>
          <w:p w14:paraId="775AE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4DADD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в Севастополь</w:t>
            </w:r>
          </w:p>
        </w:tc>
      </w:tr>
      <w:tr w:rsidR="00DA227A" w:rsidRPr="00E93F40" w14:paraId="5BEAA7F8" w14:textId="77777777">
        <w:tc>
          <w:tcPr>
            <w:tcW w:w="4928" w:type="dxa"/>
          </w:tcPr>
          <w:p w14:paraId="7785E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712E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МДР-1 - производится доводка.</w:t>
            </w:r>
          </w:p>
        </w:tc>
      </w:tr>
      <w:tr w:rsidR="00DA227A" w:rsidRPr="00E93F40" w14:paraId="3E850227" w14:textId="77777777">
        <w:tc>
          <w:tcPr>
            <w:tcW w:w="4928" w:type="dxa"/>
          </w:tcPr>
          <w:p w14:paraId="543AC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Штурмовик ТШ М-17 и ТШ М-27</w:t>
            </w:r>
          </w:p>
        </w:tc>
        <w:tc>
          <w:tcPr>
            <w:tcW w:w="5670" w:type="dxa"/>
          </w:tcPr>
          <w:p w14:paraId="6EFEC2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 М-17 построен и испытан, в виду малой мощности мотора</w:t>
            </w:r>
          </w:p>
        </w:tc>
      </w:tr>
      <w:tr w:rsidR="00DA227A" w:rsidRPr="00E93F40" w14:paraId="635FE270" w14:textId="77777777">
        <w:tc>
          <w:tcPr>
            <w:tcW w:w="4928" w:type="dxa"/>
          </w:tcPr>
          <w:p w14:paraId="0FB06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CBC6A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 заменен на ТШ М-27. ТШ М-27 построен, но ввиду снятия с</w:t>
            </w:r>
          </w:p>
        </w:tc>
      </w:tr>
      <w:tr w:rsidR="00DA227A" w:rsidRPr="00E93F40" w14:paraId="198260BA" w14:textId="77777777">
        <w:tc>
          <w:tcPr>
            <w:tcW w:w="4928" w:type="dxa"/>
          </w:tcPr>
          <w:p w14:paraId="707EC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BA87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программы М-27 потерял актуальность. В настоящее время ТШ М-17</w:t>
            </w:r>
          </w:p>
        </w:tc>
      </w:tr>
      <w:tr w:rsidR="00DA227A" w:rsidRPr="00E93F40" w14:paraId="0BC5BE78" w14:textId="77777777">
        <w:tc>
          <w:tcPr>
            <w:tcW w:w="4928" w:type="dxa"/>
          </w:tcPr>
          <w:p w14:paraId="39C570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68808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улучшается конструктивно и в смысле оборудования вооружения</w:t>
            </w:r>
          </w:p>
        </w:tc>
      </w:tr>
      <w:tr w:rsidR="00DA227A" w:rsidRPr="00E93F40" w14:paraId="6436B2D3" w14:textId="77777777">
        <w:tc>
          <w:tcPr>
            <w:tcW w:w="4928" w:type="dxa"/>
          </w:tcPr>
          <w:p w14:paraId="3C28C4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Бомбардировщик ТБ-5 4Ю-6 - ТОМ 2М-17</w:t>
            </w:r>
          </w:p>
        </w:tc>
        <w:tc>
          <w:tcPr>
            <w:tcW w:w="5670" w:type="dxa"/>
          </w:tcPr>
          <w:p w14:paraId="0318A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ТБ-5 4Ю-6 построен и испытан. завод 39 дал данные, не </w:t>
            </w:r>
          </w:p>
        </w:tc>
      </w:tr>
      <w:tr w:rsidR="00DA227A" w:rsidRPr="00E93F40" w14:paraId="1062AF22" w14:textId="77777777">
        <w:tc>
          <w:tcPr>
            <w:tcW w:w="4928" w:type="dxa"/>
          </w:tcPr>
          <w:p w14:paraId="21773F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6DCD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соответствующие требованиям из-за недостатка мощности моторов.</w:t>
            </w:r>
          </w:p>
        </w:tc>
      </w:tr>
      <w:tr w:rsidR="00DA227A" w:rsidRPr="00E93F40" w14:paraId="4BC4D20E" w14:textId="77777777">
        <w:tc>
          <w:tcPr>
            <w:tcW w:w="4928" w:type="dxa"/>
          </w:tcPr>
          <w:p w14:paraId="34E57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1A9D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ТОМ - прошел заводские испытания и предложен ВВС или ВОГВФ</w:t>
            </w:r>
          </w:p>
        </w:tc>
      </w:tr>
      <w:tr w:rsidR="00DA227A" w:rsidRPr="00E93F40" w14:paraId="71AF2E82" w14:textId="77777777">
        <w:tc>
          <w:tcPr>
            <w:tcW w:w="4928" w:type="dxa"/>
          </w:tcPr>
          <w:p w14:paraId="58BB4F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Учебный МУ-3 М-11</w:t>
            </w:r>
          </w:p>
        </w:tc>
        <w:tc>
          <w:tcPr>
            <w:tcW w:w="5670" w:type="dxa"/>
          </w:tcPr>
          <w:p w14:paraId="24EEA1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построен, находится в периоде испытаний.</w:t>
            </w:r>
          </w:p>
        </w:tc>
      </w:tr>
      <w:tr w:rsidR="00DA227A" w:rsidRPr="00E93F40" w14:paraId="15CDE1CE" w14:textId="77777777">
        <w:tc>
          <w:tcPr>
            <w:tcW w:w="4928" w:type="dxa"/>
          </w:tcPr>
          <w:p w14:paraId="68983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Инициативные самолеты с Ю-6, ШОН М-17</w:t>
            </w:r>
          </w:p>
        </w:tc>
        <w:tc>
          <w:tcPr>
            <w:tcW w:w="5670" w:type="dxa"/>
          </w:tcPr>
          <w:p w14:paraId="328790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построены и испытаны. Из заказа 20 шт. построено 2 экз.</w:t>
            </w:r>
          </w:p>
        </w:tc>
      </w:tr>
      <w:tr w:rsidR="00DA227A" w:rsidRPr="00E93F40" w14:paraId="024F341A" w14:textId="77777777">
        <w:tc>
          <w:tcPr>
            <w:tcW w:w="4928" w:type="dxa"/>
          </w:tcPr>
          <w:p w14:paraId="165C5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0442B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Задержки в постройке остальных (из-за недостатка снарядов и </w:t>
            </w:r>
          </w:p>
        </w:tc>
      </w:tr>
      <w:tr w:rsidR="00DA227A" w:rsidRPr="00E93F40" w14:paraId="159F110F" w14:textId="77777777">
        <w:tc>
          <w:tcPr>
            <w:tcW w:w="4928" w:type="dxa"/>
          </w:tcPr>
          <w:p w14:paraId="338E8A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E6C2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неполной готовности спец. вооружения) отодвигают срок готовности</w:t>
            </w:r>
          </w:p>
        </w:tc>
      </w:tr>
      <w:tr w:rsidR="00DA227A" w:rsidRPr="00E93F40" w14:paraId="0E6F3087" w14:textId="77777777">
        <w:tc>
          <w:tcPr>
            <w:tcW w:w="4928" w:type="dxa"/>
          </w:tcPr>
          <w:p w14:paraId="125E29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1770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2 кв. 1932.</w:t>
            </w:r>
          </w:p>
        </w:tc>
      </w:tr>
      <w:tr w:rsidR="00DA227A" w:rsidRPr="00E93F40" w14:paraId="32C20F11" w14:textId="77777777">
        <w:tc>
          <w:tcPr>
            <w:tcW w:w="4928" w:type="dxa"/>
          </w:tcPr>
          <w:p w14:paraId="5AA55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9. Пассажирские ПГР 2М-26, ПС-4 М-26, МП-1</w:t>
            </w:r>
          </w:p>
        </w:tc>
        <w:tc>
          <w:tcPr>
            <w:tcW w:w="5670" w:type="dxa"/>
          </w:tcPr>
          <w:p w14:paraId="1513C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ПГР предложено осуществлять переделкой АНТ-9, а не постройкой</w:t>
            </w:r>
          </w:p>
        </w:tc>
      </w:tr>
      <w:tr w:rsidR="00DA227A" w:rsidRPr="00E93F40" w14:paraId="42784DCA" w14:textId="77777777">
        <w:tc>
          <w:tcPr>
            <w:tcW w:w="4928" w:type="dxa"/>
          </w:tcPr>
          <w:p w14:paraId="59C8CA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7181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специального самолета. работы ведутся.</w:t>
            </w:r>
          </w:p>
        </w:tc>
      </w:tr>
      <w:tr w:rsidR="00DA227A" w:rsidRPr="00E93F40" w14:paraId="447E257C" w14:textId="77777777">
        <w:tc>
          <w:tcPr>
            <w:tcW w:w="4928" w:type="dxa"/>
          </w:tcPr>
          <w:p w14:paraId="1C4D12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3BE3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НС-4 находится в периоде конструирования.</w:t>
            </w:r>
          </w:p>
        </w:tc>
      </w:tr>
      <w:tr w:rsidR="00DA227A" w:rsidRPr="00E93F40" w14:paraId="35E8125A" w14:textId="77777777">
        <w:tc>
          <w:tcPr>
            <w:tcW w:w="4928" w:type="dxa"/>
          </w:tcPr>
          <w:p w14:paraId="3670DC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2BFDF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МП-1 снят с программы</w:t>
            </w:r>
          </w:p>
        </w:tc>
      </w:tr>
      <w:tr w:rsidR="00DA227A" w:rsidRPr="00E93F40" w14:paraId="646362A5" w14:textId="77777777">
        <w:tc>
          <w:tcPr>
            <w:tcW w:w="4928" w:type="dxa"/>
          </w:tcPr>
          <w:p w14:paraId="2314E9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Фотосъемщик ФС, МФС</w:t>
            </w:r>
          </w:p>
        </w:tc>
        <w:tc>
          <w:tcPr>
            <w:tcW w:w="5670" w:type="dxa"/>
          </w:tcPr>
          <w:p w14:paraId="74470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Сняты, т.к. в план 1930 как отдельные машины не входят и будут</w:t>
            </w:r>
          </w:p>
        </w:tc>
      </w:tr>
      <w:tr w:rsidR="00DA227A" w:rsidRPr="00E93F40" w14:paraId="05FBD7AD" w14:textId="77777777">
        <w:tc>
          <w:tcPr>
            <w:tcW w:w="4928" w:type="dxa"/>
          </w:tcPr>
          <w:p w14:paraId="53CC4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FDEE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осуществляться как модификации</w:t>
            </w:r>
          </w:p>
        </w:tc>
      </w:tr>
      <w:tr w:rsidR="00DA227A" w:rsidRPr="00E93F40" w14:paraId="75821EBE" w14:textId="77777777">
        <w:tc>
          <w:tcPr>
            <w:tcW w:w="4928" w:type="dxa"/>
          </w:tcPr>
          <w:p w14:paraId="298DB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Подготовка К-8 М-27</w:t>
            </w:r>
          </w:p>
        </w:tc>
        <w:tc>
          <w:tcPr>
            <w:tcW w:w="5670" w:type="dxa"/>
          </w:tcPr>
          <w:p w14:paraId="3CDC96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Заканчивается постройка. Выход на испытание предложен в </w:t>
            </w:r>
          </w:p>
        </w:tc>
      </w:tr>
      <w:tr w:rsidR="00DA227A" w:rsidRPr="00E93F40" w14:paraId="2762F7BD" w14:textId="77777777">
        <w:tc>
          <w:tcPr>
            <w:tcW w:w="4928" w:type="dxa"/>
          </w:tcPr>
          <w:p w14:paraId="1BE243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2447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зависимости от срока получения мотора</w:t>
            </w:r>
          </w:p>
        </w:tc>
      </w:tr>
      <w:tr w:rsidR="00DA227A" w:rsidRPr="00E93F40" w14:paraId="421CD9B0" w14:textId="77777777">
        <w:tc>
          <w:tcPr>
            <w:tcW w:w="4928" w:type="dxa"/>
          </w:tcPr>
          <w:p w14:paraId="1AC6E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Установка на поплавки К-5 и К-6</w:t>
            </w:r>
          </w:p>
        </w:tc>
        <w:tc>
          <w:tcPr>
            <w:tcW w:w="5670" w:type="dxa"/>
          </w:tcPr>
          <w:p w14:paraId="5B896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Закончены конструкторские работы. Постройка не проводится, т.к.</w:t>
            </w:r>
          </w:p>
        </w:tc>
      </w:tr>
      <w:tr w:rsidR="00DA227A" w:rsidRPr="00E93F40" w14:paraId="2DB723A1" w14:textId="77777777">
        <w:tc>
          <w:tcPr>
            <w:tcW w:w="4928" w:type="dxa"/>
          </w:tcPr>
          <w:p w14:paraId="67D7F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451B5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ГРОСС загружен по выполнении эталонов К-5 для ХАЗ</w:t>
            </w:r>
          </w:p>
        </w:tc>
      </w:tr>
      <w:tr w:rsidR="00DA227A" w:rsidRPr="00E93F40" w14:paraId="6F9B9659" w14:textId="77777777">
        <w:tc>
          <w:tcPr>
            <w:tcW w:w="4928" w:type="dxa"/>
          </w:tcPr>
          <w:p w14:paraId="65DEA1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Легкие самолеты К-9, К-10</w:t>
            </w:r>
          </w:p>
        </w:tc>
        <w:tc>
          <w:tcPr>
            <w:tcW w:w="5670" w:type="dxa"/>
          </w:tcPr>
          <w:p w14:paraId="28F58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К-9 - испытания закончены</w:t>
            </w:r>
          </w:p>
        </w:tc>
      </w:tr>
      <w:tr w:rsidR="00DA227A" w:rsidRPr="00E93F40" w14:paraId="4F93B8C9" w14:textId="77777777">
        <w:tc>
          <w:tcPr>
            <w:tcW w:w="4928" w:type="dxa"/>
          </w:tcPr>
          <w:p w14:paraId="3EE3C8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38E9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К-10 с разрезным крылом в периоде испытания</w:t>
            </w:r>
          </w:p>
        </w:tc>
      </w:tr>
      <w:tr w:rsidR="00DA227A" w:rsidRPr="00E93F40" w14:paraId="296BEEA4" w14:textId="77777777">
        <w:tc>
          <w:tcPr>
            <w:tcW w:w="4928" w:type="dxa"/>
          </w:tcPr>
          <w:p w14:paraId="7124C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Пассажирский конструкции А.С.Я.</w:t>
            </w:r>
          </w:p>
        </w:tc>
        <w:tc>
          <w:tcPr>
            <w:tcW w:w="5670" w:type="dxa"/>
          </w:tcPr>
          <w:p w14:paraId="2BE91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периоде испытаний.</w:t>
            </w:r>
          </w:p>
        </w:tc>
      </w:tr>
      <w:tr w:rsidR="00F821E3" w:rsidRPr="00E93F40" w14:paraId="74FADAFA" w14:textId="77777777">
        <w:tc>
          <w:tcPr>
            <w:tcW w:w="4928" w:type="dxa"/>
          </w:tcPr>
          <w:p w14:paraId="2CAEC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Внедряются в серийное производство с доводкой самолета и оборудования И-5 М-22, ТШ М-17, Р-6 2М-17, ТБ-3 4М-17 и подготавливается унифицированный И-5 М-15 (2356)</w:t>
            </w:r>
          </w:p>
        </w:tc>
        <w:tc>
          <w:tcPr>
            <w:tcW w:w="5670" w:type="dxa"/>
          </w:tcPr>
          <w:p w14:paraId="4804A3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56AFA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9821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 января 1932 была подготовлена Краткая записка о выполнении плана 1931 по опытному моторостроению (2356).</w:t>
      </w:r>
    </w:p>
    <w:p w14:paraId="06395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569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состоянии работ по опытному моторо- и самолетостроению на 1 января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6946"/>
      </w:tblGrid>
      <w:tr w:rsidR="00DA227A" w:rsidRPr="00E93F40" w14:paraId="5A3BA7DE" w14:textId="77777777">
        <w:tc>
          <w:tcPr>
            <w:tcW w:w="3510" w:type="dxa"/>
          </w:tcPr>
          <w:p w14:paraId="75B01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моторам</w:t>
            </w:r>
          </w:p>
        </w:tc>
        <w:tc>
          <w:tcPr>
            <w:tcW w:w="6946" w:type="dxa"/>
          </w:tcPr>
          <w:p w14:paraId="00085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3C3BDB" w14:textId="77777777">
        <w:tc>
          <w:tcPr>
            <w:tcW w:w="3510" w:type="dxa"/>
          </w:tcPr>
          <w:p w14:paraId="3DA3E7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53F08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истребителей М-15</w:t>
            </w:r>
          </w:p>
        </w:tc>
      </w:tr>
      <w:tr w:rsidR="00DA227A" w:rsidRPr="00E93F40" w14:paraId="73A6AE8D" w14:textId="77777777">
        <w:tc>
          <w:tcPr>
            <w:tcW w:w="3510" w:type="dxa"/>
          </w:tcPr>
          <w:p w14:paraId="77D11C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2C2DC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r>
      <w:tr w:rsidR="00DA227A" w:rsidRPr="00E93F40" w14:paraId="6977CD1D" w14:textId="77777777">
        <w:tc>
          <w:tcPr>
            <w:tcW w:w="3510" w:type="dxa"/>
          </w:tcPr>
          <w:p w14:paraId="5C835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353C68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r>
      <w:tr w:rsidR="00DA227A" w:rsidRPr="00E93F40" w14:paraId="6385DCDC" w14:textId="77777777">
        <w:tc>
          <w:tcPr>
            <w:tcW w:w="3510" w:type="dxa"/>
          </w:tcPr>
          <w:p w14:paraId="3404D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382E4E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r>
      <w:tr w:rsidR="00DA227A" w:rsidRPr="00E93F40" w14:paraId="5418ACEB" w14:textId="77777777">
        <w:tc>
          <w:tcPr>
            <w:tcW w:w="3510" w:type="dxa"/>
          </w:tcPr>
          <w:p w14:paraId="2176E0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68991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415</w:t>
            </w:r>
          </w:p>
        </w:tc>
      </w:tr>
      <w:tr w:rsidR="00DA227A" w:rsidRPr="00E93F40" w14:paraId="1BBAE3D8" w14:textId="77777777">
        <w:tc>
          <w:tcPr>
            <w:tcW w:w="3510" w:type="dxa"/>
          </w:tcPr>
          <w:p w14:paraId="51AE97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31E79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0,92</w:t>
            </w:r>
          </w:p>
        </w:tc>
      </w:tr>
      <w:tr w:rsidR="00DA227A" w:rsidRPr="00E93F40" w14:paraId="3116D7B9" w14:textId="77777777">
        <w:tc>
          <w:tcPr>
            <w:tcW w:w="3510" w:type="dxa"/>
          </w:tcPr>
          <w:p w14:paraId="6BC38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47555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48EFF0E7" w14:textId="77777777">
        <w:tc>
          <w:tcPr>
            <w:tcW w:w="3510" w:type="dxa"/>
          </w:tcPr>
          <w:p w14:paraId="545EA6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4E310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3C8C30" w14:textId="77777777">
        <w:tc>
          <w:tcPr>
            <w:tcW w:w="3510" w:type="dxa"/>
          </w:tcPr>
          <w:p w14:paraId="37F99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7E359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1931 года</w:t>
            </w:r>
          </w:p>
        </w:tc>
      </w:tr>
      <w:tr w:rsidR="00DA227A" w:rsidRPr="00E93F40" w14:paraId="09AFB17A" w14:textId="77777777">
        <w:tc>
          <w:tcPr>
            <w:tcW w:w="3510" w:type="dxa"/>
          </w:tcPr>
          <w:p w14:paraId="2FDAF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E7C82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44BC1C" w14:textId="77777777">
        <w:tc>
          <w:tcPr>
            <w:tcW w:w="3510" w:type="dxa"/>
          </w:tcPr>
          <w:p w14:paraId="343846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6DFD0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проходил сравнительные с М-22 100-часовые испытания в НИИ. Испытания прошел</w:t>
            </w:r>
          </w:p>
        </w:tc>
      </w:tr>
      <w:tr w:rsidR="00DA227A" w:rsidRPr="00E93F40" w14:paraId="54AC4260" w14:textId="77777777">
        <w:tc>
          <w:tcPr>
            <w:tcW w:w="3510" w:type="dxa"/>
          </w:tcPr>
          <w:p w14:paraId="07F14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D7D2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неудовлетворительно. Отмечены следующие основные дефекты: обрыв шпилек крепления</w:t>
            </w:r>
          </w:p>
        </w:tc>
      </w:tr>
      <w:tr w:rsidR="00DA227A" w:rsidRPr="00E93F40" w14:paraId="6405CD5D" w14:textId="77777777">
        <w:tc>
          <w:tcPr>
            <w:tcW w:w="3510" w:type="dxa"/>
          </w:tcPr>
          <w:p w14:paraId="6F7B3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3EF0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цилиндров, неудовлетворительная конструкция передачи к импеллеру, падение давления масла,</w:t>
            </w:r>
          </w:p>
        </w:tc>
      </w:tr>
      <w:tr w:rsidR="00DA227A" w:rsidRPr="00E93F40" w14:paraId="0DBD0DF5" w14:textId="77777777">
        <w:tc>
          <w:tcPr>
            <w:tcW w:w="3510" w:type="dxa"/>
          </w:tcPr>
          <w:p w14:paraId="4DA44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1AB2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массовая поломка пружин и др. Мотор техническим требованиям ВВС не удовлетворяет.</w:t>
            </w:r>
          </w:p>
        </w:tc>
      </w:tr>
      <w:tr w:rsidR="00DA227A" w:rsidRPr="00E93F40" w14:paraId="321A71AA" w14:textId="77777777">
        <w:tc>
          <w:tcPr>
            <w:tcW w:w="3510" w:type="dxa"/>
          </w:tcPr>
          <w:p w14:paraId="28CD19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5F614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тяжелых бомбардировщиков ФЭД-3</w:t>
            </w:r>
          </w:p>
        </w:tc>
      </w:tr>
      <w:tr w:rsidR="00DA227A" w:rsidRPr="00E93F40" w14:paraId="5E002809" w14:textId="77777777">
        <w:tc>
          <w:tcPr>
            <w:tcW w:w="3510" w:type="dxa"/>
          </w:tcPr>
          <w:p w14:paraId="3B874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50476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r>
      <w:tr w:rsidR="00DA227A" w:rsidRPr="00E93F40" w14:paraId="08942B11" w14:textId="77777777">
        <w:tc>
          <w:tcPr>
            <w:tcW w:w="3510" w:type="dxa"/>
          </w:tcPr>
          <w:p w14:paraId="470CDB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53413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518D99E2" w14:textId="77777777">
        <w:tc>
          <w:tcPr>
            <w:tcW w:w="3510" w:type="dxa"/>
          </w:tcPr>
          <w:p w14:paraId="3744D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676966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06F84282" w14:textId="77777777">
        <w:tc>
          <w:tcPr>
            <w:tcW w:w="3510" w:type="dxa"/>
          </w:tcPr>
          <w:p w14:paraId="405550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23EE4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r>
      <w:tr w:rsidR="00DA227A" w:rsidRPr="00E93F40" w14:paraId="6E6A2643" w14:textId="77777777">
        <w:tc>
          <w:tcPr>
            <w:tcW w:w="3510" w:type="dxa"/>
          </w:tcPr>
          <w:p w14:paraId="7D1C2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3CF06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0,84</w:t>
            </w:r>
          </w:p>
        </w:tc>
      </w:tr>
      <w:tr w:rsidR="00DA227A" w:rsidRPr="00E93F40" w14:paraId="4DEE83C7" w14:textId="77777777">
        <w:tc>
          <w:tcPr>
            <w:tcW w:w="3510" w:type="dxa"/>
          </w:tcPr>
          <w:p w14:paraId="794AC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4406A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r>
      <w:tr w:rsidR="00DA227A" w:rsidRPr="00E93F40" w14:paraId="0C02ACDE" w14:textId="77777777">
        <w:tc>
          <w:tcPr>
            <w:tcW w:w="3510" w:type="dxa"/>
          </w:tcPr>
          <w:p w14:paraId="524241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52D9E3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B99673" w14:textId="77777777">
        <w:tc>
          <w:tcPr>
            <w:tcW w:w="3510" w:type="dxa"/>
          </w:tcPr>
          <w:p w14:paraId="5DAE87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0B7E2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мая 1931 года</w:t>
            </w:r>
          </w:p>
        </w:tc>
      </w:tr>
      <w:tr w:rsidR="00DA227A" w:rsidRPr="00E93F40" w14:paraId="078EDEAC" w14:textId="77777777">
        <w:tc>
          <w:tcPr>
            <w:tcW w:w="3510" w:type="dxa"/>
          </w:tcPr>
          <w:p w14:paraId="6ACD73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6CDFD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839108" w14:textId="77777777">
        <w:tc>
          <w:tcPr>
            <w:tcW w:w="3510" w:type="dxa"/>
          </w:tcPr>
          <w:p w14:paraId="0F0112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725E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указания нач. ВВС о необходимости доработать мотор постановкой редуктора и</w:t>
            </w:r>
          </w:p>
        </w:tc>
      </w:tr>
      <w:tr w:rsidR="00DA227A" w:rsidRPr="00E93F40" w14:paraId="02F95FDF" w14:textId="77777777">
        <w:tc>
          <w:tcPr>
            <w:tcW w:w="3510" w:type="dxa"/>
          </w:tcPr>
          <w:p w14:paraId="065FB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0E16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изжитием основных дефектов, выявленных в процессе заводских и гос. испытаний мотора, </w:t>
            </w:r>
          </w:p>
        </w:tc>
      </w:tr>
      <w:tr w:rsidR="00DA227A" w:rsidRPr="00E93F40" w14:paraId="4CD54023" w14:textId="77777777">
        <w:tc>
          <w:tcPr>
            <w:tcW w:w="3510" w:type="dxa"/>
          </w:tcPr>
          <w:p w14:paraId="33DFAB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6B01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по мотору ВАО не ведутся. ВАО мотивирует это положение отсутствием гл. </w:t>
            </w:r>
          </w:p>
        </w:tc>
      </w:tr>
      <w:tr w:rsidR="00DA227A" w:rsidRPr="00E93F40" w14:paraId="7D31A117" w14:textId="77777777">
        <w:tc>
          <w:tcPr>
            <w:tcW w:w="3510" w:type="dxa"/>
          </w:tcPr>
          <w:p w14:paraId="2C0A4D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23C4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Конструктора этого мотора и недостатком кадров вообще.</w:t>
            </w:r>
          </w:p>
        </w:tc>
      </w:tr>
      <w:tr w:rsidR="00DA227A" w:rsidRPr="00E93F40" w14:paraId="35611BBA" w14:textId="77777777">
        <w:tc>
          <w:tcPr>
            <w:tcW w:w="3510" w:type="dxa"/>
          </w:tcPr>
          <w:p w14:paraId="73FDF7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710705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истребителей М-32</w:t>
            </w:r>
          </w:p>
        </w:tc>
      </w:tr>
      <w:tr w:rsidR="00DA227A" w:rsidRPr="00E93F40" w14:paraId="3F508020" w14:textId="77777777">
        <w:tc>
          <w:tcPr>
            <w:tcW w:w="3510" w:type="dxa"/>
          </w:tcPr>
          <w:p w14:paraId="69718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42548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30DE2051" w14:textId="77777777">
        <w:tc>
          <w:tcPr>
            <w:tcW w:w="3510" w:type="dxa"/>
          </w:tcPr>
          <w:p w14:paraId="0E501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31AC0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65DA344B" w14:textId="77777777">
        <w:tc>
          <w:tcPr>
            <w:tcW w:w="3510" w:type="dxa"/>
          </w:tcPr>
          <w:p w14:paraId="548A99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643BD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13057757" w14:textId="77777777">
        <w:tc>
          <w:tcPr>
            <w:tcW w:w="3510" w:type="dxa"/>
          </w:tcPr>
          <w:p w14:paraId="7F1504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645E5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192811B2" w14:textId="77777777">
        <w:tc>
          <w:tcPr>
            <w:tcW w:w="3510" w:type="dxa"/>
          </w:tcPr>
          <w:p w14:paraId="53BFFC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074C6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0,66</w:t>
            </w:r>
          </w:p>
        </w:tc>
      </w:tr>
      <w:tr w:rsidR="00DA227A" w:rsidRPr="00E93F40" w14:paraId="13E7FDBE" w14:textId="77777777">
        <w:tc>
          <w:tcPr>
            <w:tcW w:w="3510" w:type="dxa"/>
          </w:tcPr>
          <w:p w14:paraId="313B9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56519C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2B87434D" w14:textId="77777777">
        <w:tc>
          <w:tcPr>
            <w:tcW w:w="3510" w:type="dxa"/>
          </w:tcPr>
          <w:p w14:paraId="45FE1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407A36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878DE3" w14:textId="77777777">
        <w:tc>
          <w:tcPr>
            <w:tcW w:w="3510" w:type="dxa"/>
          </w:tcPr>
          <w:p w14:paraId="7F2DA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15902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3B316B8D" w14:textId="77777777">
        <w:tc>
          <w:tcPr>
            <w:tcW w:w="3510" w:type="dxa"/>
          </w:tcPr>
          <w:p w14:paraId="065B2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30C55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740CA5" w14:textId="77777777">
        <w:tc>
          <w:tcPr>
            <w:tcW w:w="3510" w:type="dxa"/>
          </w:tcPr>
          <w:p w14:paraId="71F7C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AB4F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Рабочие чертежи изготовлены. Модели готовы на 75%. Технологическая разработка по мотору </w:t>
            </w:r>
          </w:p>
        </w:tc>
      </w:tr>
      <w:tr w:rsidR="00DA227A" w:rsidRPr="00E93F40" w14:paraId="131C70D2" w14:textId="77777777">
        <w:tc>
          <w:tcPr>
            <w:tcW w:w="3510" w:type="dxa"/>
          </w:tcPr>
          <w:p w14:paraId="2B15D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0F35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закончена. Запускаются в производство детали.</w:t>
            </w:r>
          </w:p>
        </w:tc>
      </w:tr>
      <w:tr w:rsidR="00DA227A" w:rsidRPr="00E93F40" w14:paraId="19BF1C73" w14:textId="77777777">
        <w:tc>
          <w:tcPr>
            <w:tcW w:w="3510" w:type="dxa"/>
          </w:tcPr>
          <w:p w14:paraId="4520EA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1ACF3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истребителей М-38</w:t>
            </w:r>
          </w:p>
        </w:tc>
      </w:tr>
      <w:tr w:rsidR="00DA227A" w:rsidRPr="00E93F40" w14:paraId="47798E29" w14:textId="77777777">
        <w:tc>
          <w:tcPr>
            <w:tcW w:w="3510" w:type="dxa"/>
          </w:tcPr>
          <w:p w14:paraId="53B31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19575C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6FC21AAE" w14:textId="77777777">
        <w:tc>
          <w:tcPr>
            <w:tcW w:w="3510" w:type="dxa"/>
          </w:tcPr>
          <w:p w14:paraId="1D4F8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10322B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r>
      <w:tr w:rsidR="00DA227A" w:rsidRPr="00E93F40" w14:paraId="0F17FCF1" w14:textId="77777777">
        <w:tc>
          <w:tcPr>
            <w:tcW w:w="3510" w:type="dxa"/>
          </w:tcPr>
          <w:p w14:paraId="04868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37854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5F5B7330" w14:textId="77777777">
        <w:tc>
          <w:tcPr>
            <w:tcW w:w="3510" w:type="dxa"/>
          </w:tcPr>
          <w:p w14:paraId="264F6C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50120B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97A0A7" w14:textId="77777777">
        <w:tc>
          <w:tcPr>
            <w:tcW w:w="3510" w:type="dxa"/>
          </w:tcPr>
          <w:p w14:paraId="525EEF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1F1F6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0,63</w:t>
            </w:r>
          </w:p>
        </w:tc>
      </w:tr>
      <w:tr w:rsidR="00DA227A" w:rsidRPr="00E93F40" w14:paraId="59CF7AF7" w14:textId="77777777">
        <w:tc>
          <w:tcPr>
            <w:tcW w:w="3510" w:type="dxa"/>
          </w:tcPr>
          <w:p w14:paraId="3AFAE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47A32B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5764B19F" w14:textId="77777777">
        <w:tc>
          <w:tcPr>
            <w:tcW w:w="3510" w:type="dxa"/>
          </w:tcPr>
          <w:p w14:paraId="07AD3D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1C2BC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28224D" w14:textId="77777777">
        <w:tc>
          <w:tcPr>
            <w:tcW w:w="3510" w:type="dxa"/>
          </w:tcPr>
          <w:p w14:paraId="4CFF10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701C9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3570BC86" w14:textId="77777777">
        <w:tc>
          <w:tcPr>
            <w:tcW w:w="3510" w:type="dxa"/>
          </w:tcPr>
          <w:p w14:paraId="05B8A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18880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4B17F4" w14:textId="77777777">
        <w:tc>
          <w:tcPr>
            <w:tcW w:w="3510" w:type="dxa"/>
          </w:tcPr>
          <w:p w14:paraId="40FD1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973A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Технологическая разработка закончена. Запускаются в производство детали. Производственное </w:t>
            </w:r>
          </w:p>
        </w:tc>
      </w:tr>
      <w:tr w:rsidR="00DA227A" w:rsidRPr="00E93F40" w14:paraId="49FC1ABA" w14:textId="77777777">
        <w:tc>
          <w:tcPr>
            <w:tcW w:w="3510" w:type="dxa"/>
          </w:tcPr>
          <w:p w14:paraId="7FE2EA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5C1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на 32%.</w:t>
            </w:r>
          </w:p>
        </w:tc>
      </w:tr>
      <w:tr w:rsidR="00DA227A" w:rsidRPr="00E93F40" w14:paraId="3194F0AB" w14:textId="77777777">
        <w:tc>
          <w:tcPr>
            <w:tcW w:w="3510" w:type="dxa"/>
          </w:tcPr>
          <w:p w14:paraId="679A1E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1E8363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тяжелых бомбардировщиков М-44</w:t>
            </w:r>
          </w:p>
        </w:tc>
      </w:tr>
      <w:tr w:rsidR="00DA227A" w:rsidRPr="00E93F40" w14:paraId="1AA0FEC6" w14:textId="77777777">
        <w:tc>
          <w:tcPr>
            <w:tcW w:w="3510" w:type="dxa"/>
          </w:tcPr>
          <w:p w14:paraId="39E1A8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211416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20E6C73F" w14:textId="77777777">
        <w:tc>
          <w:tcPr>
            <w:tcW w:w="3510" w:type="dxa"/>
          </w:tcPr>
          <w:p w14:paraId="2D5AB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0CA49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1715DB5F" w14:textId="77777777">
        <w:tc>
          <w:tcPr>
            <w:tcW w:w="3510" w:type="dxa"/>
          </w:tcPr>
          <w:p w14:paraId="50767E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6CEB39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538F9AB8" w14:textId="77777777">
        <w:tc>
          <w:tcPr>
            <w:tcW w:w="3510" w:type="dxa"/>
          </w:tcPr>
          <w:p w14:paraId="3C8D9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1F63D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tc>
      </w:tr>
      <w:tr w:rsidR="00DA227A" w:rsidRPr="00E93F40" w14:paraId="53F9732C" w14:textId="77777777">
        <w:tc>
          <w:tcPr>
            <w:tcW w:w="3510" w:type="dxa"/>
          </w:tcPr>
          <w:p w14:paraId="472F6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00C30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0,9</w:t>
            </w:r>
          </w:p>
        </w:tc>
      </w:tr>
      <w:tr w:rsidR="00DA227A" w:rsidRPr="00E93F40" w14:paraId="54F0A429" w14:textId="77777777">
        <w:tc>
          <w:tcPr>
            <w:tcW w:w="3510" w:type="dxa"/>
          </w:tcPr>
          <w:p w14:paraId="23C437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Высотность</w:t>
            </w:r>
          </w:p>
        </w:tc>
        <w:tc>
          <w:tcPr>
            <w:tcW w:w="6946" w:type="dxa"/>
          </w:tcPr>
          <w:p w14:paraId="39859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r>
      <w:tr w:rsidR="00DA227A" w:rsidRPr="00E93F40" w14:paraId="03807BDD" w14:textId="77777777">
        <w:tc>
          <w:tcPr>
            <w:tcW w:w="3510" w:type="dxa"/>
          </w:tcPr>
          <w:p w14:paraId="2ED694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790D04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688CB1" w14:textId="77777777">
        <w:tc>
          <w:tcPr>
            <w:tcW w:w="3510" w:type="dxa"/>
          </w:tcPr>
          <w:p w14:paraId="731C7E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2722C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47493A74" w14:textId="77777777">
        <w:tc>
          <w:tcPr>
            <w:tcW w:w="3510" w:type="dxa"/>
          </w:tcPr>
          <w:p w14:paraId="2EEA70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2EB48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DDF4474" w14:textId="77777777">
        <w:tc>
          <w:tcPr>
            <w:tcW w:w="3510" w:type="dxa"/>
          </w:tcPr>
          <w:p w14:paraId="5F545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20C5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ИАМом работа по этому мотору отнесена к второочередной вследствие чего сейчас темп работ</w:t>
            </w:r>
          </w:p>
        </w:tc>
      </w:tr>
      <w:tr w:rsidR="00DA227A" w:rsidRPr="00E93F40" w14:paraId="03304B69" w14:textId="77777777">
        <w:tc>
          <w:tcPr>
            <w:tcW w:w="3510" w:type="dxa"/>
          </w:tcPr>
          <w:p w14:paraId="2951F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8EE9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сильно снижен. На весь 1932 год ИАМ наметил заниматься только </w:t>
            </w:r>
          </w:p>
        </w:tc>
      </w:tr>
      <w:tr w:rsidR="00DA227A" w:rsidRPr="00E93F40" w14:paraId="3F2E4E03" w14:textId="77777777">
        <w:tc>
          <w:tcPr>
            <w:tcW w:w="3510" w:type="dxa"/>
          </w:tcPr>
          <w:p w14:paraId="6EC9A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A371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экспериментальными работами на одноцилиндровой установке и переделками проекта,</w:t>
            </w:r>
          </w:p>
        </w:tc>
      </w:tr>
      <w:tr w:rsidR="00DA227A" w:rsidRPr="00E93F40" w14:paraId="00655AEC" w14:textId="77777777">
        <w:tc>
          <w:tcPr>
            <w:tcW w:w="3510" w:type="dxa"/>
          </w:tcPr>
          <w:p w14:paraId="6E739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3138F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же мотора в целом перенесено на 1933 год.</w:t>
            </w:r>
          </w:p>
        </w:tc>
      </w:tr>
      <w:tr w:rsidR="00DA227A" w:rsidRPr="00E93F40" w14:paraId="240880FD" w14:textId="77777777">
        <w:tc>
          <w:tcPr>
            <w:tcW w:w="3510" w:type="dxa"/>
          </w:tcPr>
          <w:p w14:paraId="4B5DC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670E20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тяжелых бомбардировщиков М-35</w:t>
            </w:r>
          </w:p>
        </w:tc>
      </w:tr>
      <w:tr w:rsidR="00DA227A" w:rsidRPr="00E93F40" w14:paraId="0342B436" w14:textId="77777777">
        <w:tc>
          <w:tcPr>
            <w:tcW w:w="3510" w:type="dxa"/>
          </w:tcPr>
          <w:p w14:paraId="75493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14184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5EF79CA6" w14:textId="77777777">
        <w:tc>
          <w:tcPr>
            <w:tcW w:w="3510" w:type="dxa"/>
          </w:tcPr>
          <w:p w14:paraId="31083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24620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7FA281BA" w14:textId="77777777">
        <w:tc>
          <w:tcPr>
            <w:tcW w:w="3510" w:type="dxa"/>
          </w:tcPr>
          <w:p w14:paraId="5C417A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56F7E8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1250-1500</w:t>
            </w:r>
          </w:p>
        </w:tc>
      </w:tr>
      <w:tr w:rsidR="00DA227A" w:rsidRPr="00E93F40" w14:paraId="21BB5927" w14:textId="77777777">
        <w:tc>
          <w:tcPr>
            <w:tcW w:w="3510" w:type="dxa"/>
          </w:tcPr>
          <w:p w14:paraId="1857C8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7AB23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w:t>
            </w:r>
          </w:p>
        </w:tc>
      </w:tr>
      <w:tr w:rsidR="00DA227A" w:rsidRPr="00E93F40" w14:paraId="6B4990DD" w14:textId="77777777">
        <w:tc>
          <w:tcPr>
            <w:tcW w:w="3510" w:type="dxa"/>
          </w:tcPr>
          <w:p w14:paraId="2B57E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65FE6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должны быть</w:t>
            </w:r>
          </w:p>
        </w:tc>
      </w:tr>
      <w:tr w:rsidR="00DA227A" w:rsidRPr="00E93F40" w14:paraId="13CDC826" w14:textId="77777777">
        <w:tc>
          <w:tcPr>
            <w:tcW w:w="3510" w:type="dxa"/>
          </w:tcPr>
          <w:p w14:paraId="004752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4B4792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представлены ЦИАМом</w:t>
            </w:r>
          </w:p>
        </w:tc>
      </w:tr>
      <w:tr w:rsidR="00DA227A" w:rsidRPr="00E93F40" w14:paraId="54CC8B12" w14:textId="77777777">
        <w:tc>
          <w:tcPr>
            <w:tcW w:w="3510" w:type="dxa"/>
          </w:tcPr>
          <w:p w14:paraId="58842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5FCCF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2A7745" w14:textId="77777777">
        <w:tc>
          <w:tcPr>
            <w:tcW w:w="3510" w:type="dxa"/>
          </w:tcPr>
          <w:p w14:paraId="46001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0B8D7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0C482A" w14:textId="77777777">
        <w:tc>
          <w:tcPr>
            <w:tcW w:w="3510" w:type="dxa"/>
          </w:tcPr>
          <w:p w14:paraId="142E7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62D5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288012" w14:textId="77777777">
        <w:tc>
          <w:tcPr>
            <w:tcW w:w="3510" w:type="dxa"/>
          </w:tcPr>
          <w:p w14:paraId="63393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64D00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эскизная компоновка первого варианта.</w:t>
            </w:r>
          </w:p>
        </w:tc>
      </w:tr>
      <w:tr w:rsidR="00DA227A" w:rsidRPr="00E93F40" w14:paraId="6E86C8D7" w14:textId="77777777">
        <w:tc>
          <w:tcPr>
            <w:tcW w:w="3510" w:type="dxa"/>
          </w:tcPr>
          <w:p w14:paraId="73C63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154AB8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разведчика М-34</w:t>
            </w:r>
          </w:p>
        </w:tc>
      </w:tr>
      <w:tr w:rsidR="00DA227A" w:rsidRPr="00E93F40" w14:paraId="03CAD2E9" w14:textId="77777777">
        <w:tc>
          <w:tcPr>
            <w:tcW w:w="3510" w:type="dxa"/>
          </w:tcPr>
          <w:p w14:paraId="43D3C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2F8B0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6B441440" w14:textId="77777777">
        <w:tc>
          <w:tcPr>
            <w:tcW w:w="3510" w:type="dxa"/>
          </w:tcPr>
          <w:p w14:paraId="1709F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73BE6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54AC0FCE" w14:textId="77777777">
        <w:tc>
          <w:tcPr>
            <w:tcW w:w="3510" w:type="dxa"/>
          </w:tcPr>
          <w:p w14:paraId="2DC9B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2EECF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750-900</w:t>
            </w:r>
          </w:p>
        </w:tc>
      </w:tr>
      <w:tr w:rsidR="00DA227A" w:rsidRPr="00E93F40" w14:paraId="6EE910AD" w14:textId="77777777">
        <w:tc>
          <w:tcPr>
            <w:tcW w:w="3510" w:type="dxa"/>
          </w:tcPr>
          <w:p w14:paraId="67E73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2BBF8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w:t>
            </w:r>
          </w:p>
        </w:tc>
      </w:tr>
      <w:tr w:rsidR="00DA227A" w:rsidRPr="00E93F40" w14:paraId="0AFEEFB1" w14:textId="77777777">
        <w:tc>
          <w:tcPr>
            <w:tcW w:w="3510" w:type="dxa"/>
          </w:tcPr>
          <w:p w14:paraId="7E31B4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53DE1C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0,74</w:t>
            </w:r>
          </w:p>
        </w:tc>
      </w:tr>
      <w:tr w:rsidR="00DA227A" w:rsidRPr="00E93F40" w14:paraId="7DE4F100" w14:textId="77777777">
        <w:tc>
          <w:tcPr>
            <w:tcW w:w="3510" w:type="dxa"/>
          </w:tcPr>
          <w:p w14:paraId="713E2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777C7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6FAF4F37" w14:textId="77777777">
        <w:tc>
          <w:tcPr>
            <w:tcW w:w="3510" w:type="dxa"/>
          </w:tcPr>
          <w:p w14:paraId="52FE7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078AB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0A1BE6" w14:textId="77777777">
        <w:tc>
          <w:tcPr>
            <w:tcW w:w="3510" w:type="dxa"/>
          </w:tcPr>
          <w:p w14:paraId="337EF2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28256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1931 года</w:t>
            </w:r>
          </w:p>
        </w:tc>
      </w:tr>
      <w:tr w:rsidR="00DA227A" w:rsidRPr="00E93F40" w14:paraId="2CF6C764" w14:textId="77777777">
        <w:tc>
          <w:tcPr>
            <w:tcW w:w="3510" w:type="dxa"/>
          </w:tcPr>
          <w:p w14:paraId="24DD16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0BAE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9524AC" w14:textId="77777777">
        <w:tc>
          <w:tcPr>
            <w:tcW w:w="3510" w:type="dxa"/>
          </w:tcPr>
          <w:p w14:paraId="124C0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0A5706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 без нагнетателя прошел 100 часовые гос. испытания вовремя которых обнаружены </w:t>
            </w:r>
          </w:p>
        </w:tc>
      </w:tr>
      <w:tr w:rsidR="00DA227A" w:rsidRPr="00E93F40" w14:paraId="4F61AA3A" w14:textId="77777777">
        <w:tc>
          <w:tcPr>
            <w:tcW w:w="3510" w:type="dxa"/>
          </w:tcPr>
          <w:p w14:paraId="3FACAE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9D30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следующие основные дефекты: трещина на коленчатом валу, несоответствие карбюратора </w:t>
            </w:r>
          </w:p>
        </w:tc>
      </w:tr>
      <w:tr w:rsidR="00DA227A" w:rsidRPr="00E93F40" w14:paraId="0687E5C8" w14:textId="77777777">
        <w:tc>
          <w:tcPr>
            <w:tcW w:w="3510" w:type="dxa"/>
          </w:tcPr>
          <w:p w14:paraId="70CC48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7FA40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мощности мотора и большой перепад температур масла. Принято решение о внедрении мотора </w:t>
            </w:r>
          </w:p>
        </w:tc>
      </w:tr>
      <w:tr w:rsidR="00DA227A" w:rsidRPr="00E93F40" w14:paraId="747A1DCE" w14:textId="77777777">
        <w:tc>
          <w:tcPr>
            <w:tcW w:w="3510" w:type="dxa"/>
          </w:tcPr>
          <w:p w14:paraId="2686E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0624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серийное производство и о проведении дополнительных специальных 100-часовых испытаний </w:t>
            </w:r>
          </w:p>
        </w:tc>
      </w:tr>
      <w:tr w:rsidR="00DA227A" w:rsidRPr="00E93F40" w14:paraId="2FA7CDB9" w14:textId="77777777">
        <w:tc>
          <w:tcPr>
            <w:tcW w:w="3510" w:type="dxa"/>
          </w:tcPr>
          <w:p w14:paraId="0BD668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B7918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проверки надежности работы отдельных деталей мотора. Испытания начались.</w:t>
            </w:r>
          </w:p>
        </w:tc>
      </w:tr>
      <w:tr w:rsidR="00DA227A" w:rsidRPr="00E93F40" w14:paraId="51E08CE2" w14:textId="77777777">
        <w:tc>
          <w:tcPr>
            <w:tcW w:w="3510" w:type="dxa"/>
          </w:tcPr>
          <w:p w14:paraId="538BF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CE50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Нагнетатель мотора поступил в сборку и предварительно становится на испытания от </w:t>
            </w:r>
          </w:p>
        </w:tc>
      </w:tr>
      <w:tr w:rsidR="00DA227A" w:rsidRPr="00E93F40" w14:paraId="371B7E05" w14:textId="77777777">
        <w:tc>
          <w:tcPr>
            <w:tcW w:w="3510" w:type="dxa"/>
          </w:tcPr>
          <w:p w14:paraId="2E899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F33F3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электромотора.</w:t>
            </w:r>
          </w:p>
        </w:tc>
      </w:tr>
      <w:tr w:rsidR="00DA227A" w:rsidRPr="00E93F40" w14:paraId="19C3DE58" w14:textId="77777777">
        <w:tc>
          <w:tcPr>
            <w:tcW w:w="3510" w:type="dxa"/>
          </w:tcPr>
          <w:p w14:paraId="34BE5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05BC0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Н-1 - нефтяной мотор 600 л.с.</w:t>
            </w:r>
          </w:p>
        </w:tc>
      </w:tr>
      <w:tr w:rsidR="00DA227A" w:rsidRPr="00E93F40" w14:paraId="34123527" w14:textId="77777777">
        <w:tc>
          <w:tcPr>
            <w:tcW w:w="3510" w:type="dxa"/>
          </w:tcPr>
          <w:p w14:paraId="0A358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438A84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E1CD137" w14:textId="77777777">
        <w:tc>
          <w:tcPr>
            <w:tcW w:w="3510" w:type="dxa"/>
          </w:tcPr>
          <w:p w14:paraId="398DD6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11665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FF8F99" w14:textId="77777777">
        <w:tc>
          <w:tcPr>
            <w:tcW w:w="3510" w:type="dxa"/>
          </w:tcPr>
          <w:p w14:paraId="5292D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673C2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446D61E9" w14:textId="77777777">
        <w:tc>
          <w:tcPr>
            <w:tcW w:w="3510" w:type="dxa"/>
          </w:tcPr>
          <w:p w14:paraId="4F34A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22EB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9D2172" w14:textId="77777777">
        <w:tc>
          <w:tcPr>
            <w:tcW w:w="3510" w:type="dxa"/>
          </w:tcPr>
          <w:p w14:paraId="33520F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6E180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Заканчивается эскизная компоновка двигателя. Срок окончания 15 января. Одновременно </w:t>
            </w:r>
          </w:p>
        </w:tc>
      </w:tr>
      <w:tr w:rsidR="00DA227A" w:rsidRPr="00E93F40" w14:paraId="248086A7" w14:textId="77777777">
        <w:tc>
          <w:tcPr>
            <w:tcW w:w="3510" w:type="dxa"/>
          </w:tcPr>
          <w:p w14:paraId="4618D7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21E6E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подготавливается проверка некоторых узлов.</w:t>
            </w:r>
          </w:p>
        </w:tc>
      </w:tr>
      <w:tr w:rsidR="00DA227A" w:rsidRPr="00E93F40" w14:paraId="387552B4" w14:textId="77777777">
        <w:tc>
          <w:tcPr>
            <w:tcW w:w="3510" w:type="dxa"/>
          </w:tcPr>
          <w:p w14:paraId="71BA6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177682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Н-2 - нефтяной 1000 л.с.</w:t>
            </w:r>
          </w:p>
        </w:tc>
      </w:tr>
      <w:tr w:rsidR="00DA227A" w:rsidRPr="00E93F40" w14:paraId="2D3F587F" w14:textId="77777777">
        <w:tc>
          <w:tcPr>
            <w:tcW w:w="3510" w:type="dxa"/>
          </w:tcPr>
          <w:p w14:paraId="07F2A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02024C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ВНИДИ</w:t>
            </w:r>
          </w:p>
        </w:tc>
      </w:tr>
      <w:tr w:rsidR="00DA227A" w:rsidRPr="00E93F40" w14:paraId="6A288DF9" w14:textId="77777777">
        <w:tc>
          <w:tcPr>
            <w:tcW w:w="3510" w:type="dxa"/>
          </w:tcPr>
          <w:p w14:paraId="7232D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248DAC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959E51" w14:textId="77777777">
        <w:tc>
          <w:tcPr>
            <w:tcW w:w="3510" w:type="dxa"/>
          </w:tcPr>
          <w:p w14:paraId="30DB7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6E48EC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471179B8" w14:textId="77777777">
        <w:tc>
          <w:tcPr>
            <w:tcW w:w="3510" w:type="dxa"/>
          </w:tcPr>
          <w:p w14:paraId="4CE78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A5B2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013810" w14:textId="77777777">
        <w:tc>
          <w:tcPr>
            <w:tcW w:w="3510" w:type="dxa"/>
          </w:tcPr>
          <w:p w14:paraId="04776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460F7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 рассмотрен техническим совещанием НИИ ВВС и намечены конструктивные переделки </w:t>
            </w:r>
          </w:p>
        </w:tc>
      </w:tr>
      <w:tr w:rsidR="00DA227A" w:rsidRPr="00E93F40" w14:paraId="31C44BBF" w14:textId="77777777">
        <w:tc>
          <w:tcPr>
            <w:tcW w:w="3510" w:type="dxa"/>
          </w:tcPr>
          <w:p w14:paraId="14D09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128B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 которым уже приступлено. Мотор решено строить с условием проведения ряда экспериментов </w:t>
            </w:r>
          </w:p>
        </w:tc>
      </w:tr>
      <w:tr w:rsidR="00DA227A" w:rsidRPr="00E93F40" w14:paraId="45F4D01B" w14:textId="77777777">
        <w:tc>
          <w:tcPr>
            <w:tcW w:w="3510" w:type="dxa"/>
          </w:tcPr>
          <w:p w14:paraId="529AA6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1F6D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одноцилиндровой установке. В настоящее время ведутся переговоры с промышленностью на </w:t>
            </w:r>
          </w:p>
        </w:tc>
      </w:tr>
      <w:tr w:rsidR="00DA227A" w:rsidRPr="00E93F40" w14:paraId="716FAFAF" w14:textId="77777777">
        <w:tc>
          <w:tcPr>
            <w:tcW w:w="3510" w:type="dxa"/>
          </w:tcPr>
          <w:p w14:paraId="5BE08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5E5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предмет реализации двигателя, при чем основной базой намечен завод Русский дизель.</w:t>
            </w:r>
          </w:p>
        </w:tc>
      </w:tr>
      <w:tr w:rsidR="00DA227A" w:rsidRPr="00E93F40" w14:paraId="21B25E28" w14:textId="77777777">
        <w:tc>
          <w:tcPr>
            <w:tcW w:w="3510" w:type="dxa"/>
          </w:tcPr>
          <w:p w14:paraId="64B3C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5F177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Н-3 - нефтяной 500 л.с.</w:t>
            </w:r>
          </w:p>
        </w:tc>
      </w:tr>
      <w:tr w:rsidR="00DA227A" w:rsidRPr="00E93F40" w14:paraId="42316AEA" w14:textId="77777777">
        <w:tc>
          <w:tcPr>
            <w:tcW w:w="3510" w:type="dxa"/>
          </w:tcPr>
          <w:p w14:paraId="52D2D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7DDDD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ХИДВС</w:t>
            </w:r>
          </w:p>
        </w:tc>
      </w:tr>
      <w:tr w:rsidR="00DA227A" w:rsidRPr="00E93F40" w14:paraId="18697997" w14:textId="77777777">
        <w:tc>
          <w:tcPr>
            <w:tcW w:w="3510" w:type="dxa"/>
          </w:tcPr>
          <w:p w14:paraId="7CDF66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216E1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ABC229" w14:textId="77777777">
        <w:tc>
          <w:tcPr>
            <w:tcW w:w="3510" w:type="dxa"/>
          </w:tcPr>
          <w:p w14:paraId="216A5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06EDA3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10846A31" w14:textId="77777777">
        <w:tc>
          <w:tcPr>
            <w:tcW w:w="3510" w:type="dxa"/>
          </w:tcPr>
          <w:p w14:paraId="09449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802DA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F20404" w14:textId="77777777">
        <w:tc>
          <w:tcPr>
            <w:tcW w:w="3510" w:type="dxa"/>
          </w:tcPr>
          <w:p w14:paraId="42EA9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C5181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 рассмотрен техническим совещанием НИИ ВВС и намечены конструктивные </w:t>
            </w:r>
          </w:p>
        </w:tc>
      </w:tr>
      <w:tr w:rsidR="00DA227A" w:rsidRPr="00E93F40" w14:paraId="0C423DAA" w14:textId="77777777">
        <w:tc>
          <w:tcPr>
            <w:tcW w:w="3510" w:type="dxa"/>
          </w:tcPr>
          <w:p w14:paraId="6890D9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7FAD1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переделки, которые в настоящее время вносятся. Мотор решено строить с одновременным </w:t>
            </w:r>
          </w:p>
        </w:tc>
      </w:tr>
      <w:tr w:rsidR="00DA227A" w:rsidRPr="00E93F40" w14:paraId="5CA39877" w14:textId="77777777">
        <w:tc>
          <w:tcPr>
            <w:tcW w:w="3510" w:type="dxa"/>
          </w:tcPr>
          <w:p w14:paraId="64445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C373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экспериментированием на одноцилиндровой установке формы камеры сгорания, головки </w:t>
            </w:r>
          </w:p>
        </w:tc>
      </w:tr>
      <w:tr w:rsidR="00DA227A" w:rsidRPr="00E93F40" w14:paraId="205B2364" w14:textId="77777777">
        <w:tc>
          <w:tcPr>
            <w:tcW w:w="3510" w:type="dxa"/>
          </w:tcPr>
          <w:p w14:paraId="0B1CF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08E5B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цилиндра и количества форсунок. В настоящее время ведутся переговоры с промышленностью </w:t>
            </w:r>
          </w:p>
        </w:tc>
      </w:tr>
      <w:tr w:rsidR="00DA227A" w:rsidRPr="00E93F40" w14:paraId="6C093C56" w14:textId="77777777">
        <w:tc>
          <w:tcPr>
            <w:tcW w:w="3510" w:type="dxa"/>
          </w:tcPr>
          <w:p w14:paraId="63696D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A7F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предмет реализации двигателя. Базой производства мотора намечен Харьковский </w:t>
            </w:r>
          </w:p>
        </w:tc>
      </w:tr>
      <w:tr w:rsidR="00DA227A" w:rsidRPr="00E93F40" w14:paraId="1105BAAA" w14:textId="77777777">
        <w:tc>
          <w:tcPr>
            <w:tcW w:w="3510" w:type="dxa"/>
          </w:tcPr>
          <w:p w14:paraId="395CA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18D3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паровозостроительный завод.</w:t>
            </w:r>
          </w:p>
        </w:tc>
      </w:tr>
      <w:tr w:rsidR="00DA227A" w:rsidRPr="00E93F40" w14:paraId="110E4BB7" w14:textId="77777777">
        <w:tc>
          <w:tcPr>
            <w:tcW w:w="3510" w:type="dxa"/>
          </w:tcPr>
          <w:p w14:paraId="23D6D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самолетам</w:t>
            </w:r>
          </w:p>
        </w:tc>
        <w:tc>
          <w:tcPr>
            <w:tcW w:w="6946" w:type="dxa"/>
          </w:tcPr>
          <w:p w14:paraId="03A94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A1CEDE" w14:textId="77777777">
        <w:tc>
          <w:tcPr>
            <w:tcW w:w="3510" w:type="dxa"/>
          </w:tcPr>
          <w:p w14:paraId="6C7B71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6C82E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w:t>
            </w:r>
          </w:p>
        </w:tc>
      </w:tr>
      <w:tr w:rsidR="00DA227A" w:rsidRPr="00E93F40" w14:paraId="2464B38B" w14:textId="77777777">
        <w:tc>
          <w:tcPr>
            <w:tcW w:w="3510" w:type="dxa"/>
          </w:tcPr>
          <w:p w14:paraId="528A01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135AF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1743EA" w14:textId="77777777">
        <w:tc>
          <w:tcPr>
            <w:tcW w:w="3510" w:type="dxa"/>
          </w:tcPr>
          <w:p w14:paraId="46489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6AA16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DFB2DE" w14:textId="77777777">
        <w:tc>
          <w:tcPr>
            <w:tcW w:w="3510" w:type="dxa"/>
          </w:tcPr>
          <w:p w14:paraId="33955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028CF6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EA0756" w14:textId="77777777">
        <w:tc>
          <w:tcPr>
            <w:tcW w:w="3510" w:type="dxa"/>
          </w:tcPr>
          <w:p w14:paraId="44DDE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10691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B7B919" w14:textId="77777777">
        <w:tc>
          <w:tcPr>
            <w:tcW w:w="3510" w:type="dxa"/>
          </w:tcPr>
          <w:p w14:paraId="122825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292C5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82D7DB" w14:textId="77777777">
        <w:tc>
          <w:tcPr>
            <w:tcW w:w="3510" w:type="dxa"/>
          </w:tcPr>
          <w:p w14:paraId="1444AD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29D13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 с перегруз. 25% 6000 кг бомб</w:t>
            </w:r>
          </w:p>
        </w:tc>
      </w:tr>
      <w:tr w:rsidR="00DA227A" w:rsidRPr="00E93F40" w14:paraId="481E4F70" w14:textId="77777777">
        <w:tc>
          <w:tcPr>
            <w:tcW w:w="3510" w:type="dxa"/>
          </w:tcPr>
          <w:p w14:paraId="459FD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20932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43281A2C" w14:textId="77777777">
        <w:tc>
          <w:tcPr>
            <w:tcW w:w="3510" w:type="dxa"/>
          </w:tcPr>
          <w:p w14:paraId="4DDA62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4DFB77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5CF824" w14:textId="77777777">
        <w:tc>
          <w:tcPr>
            <w:tcW w:w="3510" w:type="dxa"/>
          </w:tcPr>
          <w:p w14:paraId="7480F1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11CD4F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7E199628" w14:textId="77777777">
        <w:tc>
          <w:tcPr>
            <w:tcW w:w="3510" w:type="dxa"/>
          </w:tcPr>
          <w:p w14:paraId="65A82C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FC33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14364C" w14:textId="77777777">
        <w:tc>
          <w:tcPr>
            <w:tcW w:w="3510" w:type="dxa"/>
          </w:tcPr>
          <w:p w14:paraId="36A28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3A07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истекший квартал продолжалась постройка самолета под 6 моторов М34.</w:t>
            </w:r>
          </w:p>
        </w:tc>
      </w:tr>
      <w:tr w:rsidR="00DA227A" w:rsidRPr="00E93F40" w14:paraId="548C61D0" w14:textId="77777777">
        <w:tc>
          <w:tcPr>
            <w:tcW w:w="3510" w:type="dxa"/>
          </w:tcPr>
          <w:p w14:paraId="1573C7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5C57E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Состояние постройки: конструкция фюзеляжа закончена за исключением деталей, связанных с </w:t>
            </w:r>
          </w:p>
        </w:tc>
      </w:tr>
      <w:tr w:rsidR="00DA227A" w:rsidRPr="00E93F40" w14:paraId="114818FC" w14:textId="77777777">
        <w:tc>
          <w:tcPr>
            <w:tcW w:w="3510" w:type="dxa"/>
          </w:tcPr>
          <w:p w14:paraId="289147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87951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вооружением и оборудованием и проводкой управления. Оперение закончено. Крылья собраны и </w:t>
            </w:r>
          </w:p>
        </w:tc>
      </w:tr>
      <w:tr w:rsidR="00DA227A" w:rsidRPr="00E93F40" w14:paraId="75F8A0B7" w14:textId="77777777">
        <w:tc>
          <w:tcPr>
            <w:tcW w:w="3510" w:type="dxa"/>
          </w:tcPr>
          <w:p w14:paraId="15F33E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9EB0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зашиты гофром, за исключением передних частей, оставленных открытыми для установки </w:t>
            </w:r>
          </w:p>
        </w:tc>
      </w:tr>
      <w:tr w:rsidR="00DA227A" w:rsidRPr="00E93F40" w14:paraId="51FF2AD9" w14:textId="77777777">
        <w:tc>
          <w:tcPr>
            <w:tcW w:w="3510" w:type="dxa"/>
          </w:tcPr>
          <w:p w14:paraId="5E3A7F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5315E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баков, проводок питания моторов и башен. Шасси находится в производстве. Срок выпуска </w:t>
            </w:r>
          </w:p>
        </w:tc>
      </w:tr>
      <w:tr w:rsidR="00DA227A" w:rsidRPr="00E93F40" w14:paraId="0751EEC4" w14:textId="77777777">
        <w:tc>
          <w:tcPr>
            <w:tcW w:w="3510" w:type="dxa"/>
          </w:tcPr>
          <w:p w14:paraId="451B9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A4F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самолета будет определяться подачей моторов М34. При условии предоставления моторов в </w:t>
            </w:r>
          </w:p>
        </w:tc>
      </w:tr>
      <w:tr w:rsidR="00DA227A" w:rsidRPr="00E93F40" w14:paraId="287338C0" w14:textId="77777777">
        <w:tc>
          <w:tcPr>
            <w:tcW w:w="3510" w:type="dxa"/>
          </w:tcPr>
          <w:p w14:paraId="6D419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8B1CF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феврале 1932 года (согласно постановления РВС) самолет сможет быть выпущен к 1 мая 1932 </w:t>
            </w:r>
          </w:p>
        </w:tc>
      </w:tr>
      <w:tr w:rsidR="00DA227A" w:rsidRPr="00E93F40" w14:paraId="6DA4EA0E" w14:textId="77777777">
        <w:tc>
          <w:tcPr>
            <w:tcW w:w="3510" w:type="dxa"/>
          </w:tcPr>
          <w:p w14:paraId="6754D4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784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года, однако по имеющимся сведениям сроки предоставления моторов М34 ВАО не выдержит</w:t>
            </w:r>
          </w:p>
        </w:tc>
      </w:tr>
      <w:tr w:rsidR="00DA227A" w:rsidRPr="00E93F40" w14:paraId="1B89EDFD" w14:textId="77777777">
        <w:tc>
          <w:tcPr>
            <w:tcW w:w="3510" w:type="dxa"/>
          </w:tcPr>
          <w:p w14:paraId="6AB3F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Холодов.</w:t>
            </w:r>
          </w:p>
        </w:tc>
        <w:tc>
          <w:tcPr>
            <w:tcW w:w="6946" w:type="dxa"/>
          </w:tcPr>
          <w:p w14:paraId="15CAAE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7E1D5C" w14:textId="77777777">
        <w:tc>
          <w:tcPr>
            <w:tcW w:w="3510" w:type="dxa"/>
          </w:tcPr>
          <w:p w14:paraId="157BC8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48C2A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ТБ5-4ЮVI</w:t>
            </w:r>
          </w:p>
        </w:tc>
      </w:tr>
      <w:tr w:rsidR="00DA227A" w:rsidRPr="00E93F40" w14:paraId="14FD3C48" w14:textId="77777777">
        <w:tc>
          <w:tcPr>
            <w:tcW w:w="3510" w:type="dxa"/>
          </w:tcPr>
          <w:p w14:paraId="773954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D5FF3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D12A43" w14:textId="77777777">
        <w:tc>
          <w:tcPr>
            <w:tcW w:w="3510" w:type="dxa"/>
          </w:tcPr>
          <w:p w14:paraId="51FE4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23DA1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208/3000</w:t>
            </w:r>
          </w:p>
        </w:tc>
      </w:tr>
      <w:tr w:rsidR="00DA227A" w:rsidRPr="00E93F40" w14:paraId="2388A37B" w14:textId="77777777">
        <w:tc>
          <w:tcPr>
            <w:tcW w:w="3510" w:type="dxa"/>
          </w:tcPr>
          <w:p w14:paraId="734F04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39739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95D1D6" w14:textId="77777777">
        <w:tc>
          <w:tcPr>
            <w:tcW w:w="3510" w:type="dxa"/>
          </w:tcPr>
          <w:p w14:paraId="4BF46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7AD90B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19/3000</w:t>
            </w:r>
          </w:p>
        </w:tc>
      </w:tr>
      <w:tr w:rsidR="00DA227A" w:rsidRPr="00E93F40" w14:paraId="6AF16351" w14:textId="77777777">
        <w:tc>
          <w:tcPr>
            <w:tcW w:w="3510" w:type="dxa"/>
          </w:tcPr>
          <w:p w14:paraId="55A004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76C7D2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7A8B03B3" w14:textId="77777777">
        <w:tc>
          <w:tcPr>
            <w:tcW w:w="3510" w:type="dxa"/>
          </w:tcPr>
          <w:p w14:paraId="497BF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34D215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6-10 пулем.,1500 кг бомб с перегрузк. И за счет горючего 4000 кг бомб</w:t>
            </w:r>
          </w:p>
        </w:tc>
      </w:tr>
      <w:tr w:rsidR="00DA227A" w:rsidRPr="00E93F40" w14:paraId="12153EDA" w14:textId="77777777">
        <w:tc>
          <w:tcPr>
            <w:tcW w:w="3510" w:type="dxa"/>
          </w:tcPr>
          <w:p w14:paraId="4219E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768973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4453C4CC" w14:textId="77777777">
        <w:tc>
          <w:tcPr>
            <w:tcW w:w="3510" w:type="dxa"/>
          </w:tcPr>
          <w:p w14:paraId="5418E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59F26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0BE0FD" w14:textId="77777777">
        <w:tc>
          <w:tcPr>
            <w:tcW w:w="3510" w:type="dxa"/>
          </w:tcPr>
          <w:p w14:paraId="5CB19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23217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1931 года</w:t>
            </w:r>
          </w:p>
        </w:tc>
      </w:tr>
      <w:tr w:rsidR="00DA227A" w:rsidRPr="00E93F40" w14:paraId="63888636" w14:textId="77777777">
        <w:tc>
          <w:tcPr>
            <w:tcW w:w="3510" w:type="dxa"/>
          </w:tcPr>
          <w:p w14:paraId="20C31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80E9C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B3C391" w14:textId="77777777">
        <w:tc>
          <w:tcPr>
            <w:tcW w:w="3510" w:type="dxa"/>
          </w:tcPr>
          <w:p w14:paraId="0791B8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C707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ЦАГИ проводит ряд исследований в аэродинамической трубе и путем оборудования самолета </w:t>
            </w:r>
          </w:p>
        </w:tc>
      </w:tr>
      <w:tr w:rsidR="00DA227A" w:rsidRPr="00E93F40" w14:paraId="7CE3D1E6" w14:textId="77777777">
        <w:tc>
          <w:tcPr>
            <w:tcW w:w="3510" w:type="dxa"/>
          </w:tcPr>
          <w:p w14:paraId="0B6245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4207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ТБ5 специальными приборами с целью выяснения причин низких полетных данных самолета, </w:t>
            </w:r>
          </w:p>
        </w:tc>
      </w:tr>
      <w:tr w:rsidR="00DA227A" w:rsidRPr="00E93F40" w14:paraId="3F0A46FC" w14:textId="77777777">
        <w:tc>
          <w:tcPr>
            <w:tcW w:w="3510" w:type="dxa"/>
          </w:tcPr>
          <w:p w14:paraId="4AF86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743CC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полученных на заводских испытаниях. К полетным испытаниям самолета еще не приступлено, </w:t>
            </w:r>
          </w:p>
        </w:tc>
      </w:tr>
      <w:tr w:rsidR="00DA227A" w:rsidRPr="00E93F40" w14:paraId="36C72BD5" w14:textId="77777777">
        <w:tc>
          <w:tcPr>
            <w:tcW w:w="3510" w:type="dxa"/>
          </w:tcPr>
          <w:p w14:paraId="08521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0ADCE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неокончания подготовки самолета к зимним полетам.</w:t>
            </w:r>
          </w:p>
        </w:tc>
      </w:tr>
      <w:tr w:rsidR="00DA227A" w:rsidRPr="00E93F40" w14:paraId="6DDCDBE1" w14:textId="77777777">
        <w:tc>
          <w:tcPr>
            <w:tcW w:w="3510" w:type="dxa"/>
          </w:tcPr>
          <w:p w14:paraId="11E95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Инженер Куликов.</w:t>
            </w:r>
          </w:p>
        </w:tc>
        <w:tc>
          <w:tcPr>
            <w:tcW w:w="6946" w:type="dxa"/>
          </w:tcPr>
          <w:p w14:paraId="3F244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9FE324" w14:textId="77777777">
        <w:tc>
          <w:tcPr>
            <w:tcW w:w="3510" w:type="dxa"/>
          </w:tcPr>
          <w:p w14:paraId="4CEC32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1C510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w:t>
            </w:r>
          </w:p>
        </w:tc>
      </w:tr>
      <w:tr w:rsidR="00DA227A" w:rsidRPr="00E93F40" w14:paraId="7961534E" w14:textId="77777777">
        <w:tc>
          <w:tcPr>
            <w:tcW w:w="3510" w:type="dxa"/>
          </w:tcPr>
          <w:p w14:paraId="12D9D8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4A494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356675" w14:textId="77777777">
        <w:tc>
          <w:tcPr>
            <w:tcW w:w="3510" w:type="dxa"/>
          </w:tcPr>
          <w:p w14:paraId="25C5D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32E4A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300/3000-6000</w:t>
            </w:r>
          </w:p>
        </w:tc>
      </w:tr>
      <w:tr w:rsidR="00DA227A" w:rsidRPr="00E93F40" w14:paraId="519C435C" w14:textId="77777777">
        <w:tc>
          <w:tcPr>
            <w:tcW w:w="3510" w:type="dxa"/>
          </w:tcPr>
          <w:p w14:paraId="3DA856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7E139D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459E84" w14:textId="77777777">
        <w:tc>
          <w:tcPr>
            <w:tcW w:w="3510" w:type="dxa"/>
          </w:tcPr>
          <w:p w14:paraId="72D108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582E96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13/5000</w:t>
            </w:r>
          </w:p>
        </w:tc>
      </w:tr>
      <w:tr w:rsidR="00DA227A" w:rsidRPr="00E93F40" w14:paraId="4D3F9039" w14:textId="77777777">
        <w:tc>
          <w:tcPr>
            <w:tcW w:w="3510" w:type="dxa"/>
          </w:tcPr>
          <w:p w14:paraId="1FDED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43A93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r>
      <w:tr w:rsidR="00DA227A" w:rsidRPr="00E93F40" w14:paraId="0DDA5BAC" w14:textId="77777777">
        <w:tc>
          <w:tcPr>
            <w:tcW w:w="3510" w:type="dxa"/>
          </w:tcPr>
          <w:p w14:paraId="1A8CB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22E03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тяж. пулем., 1 легк. пулем.</w:t>
            </w:r>
          </w:p>
        </w:tc>
      </w:tr>
      <w:tr w:rsidR="00DA227A" w:rsidRPr="00E93F40" w14:paraId="462BD35D" w14:textId="77777777">
        <w:tc>
          <w:tcPr>
            <w:tcW w:w="3510" w:type="dxa"/>
          </w:tcPr>
          <w:p w14:paraId="0CFBA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2C514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4EA34217" w14:textId="77777777">
        <w:tc>
          <w:tcPr>
            <w:tcW w:w="3510" w:type="dxa"/>
          </w:tcPr>
          <w:p w14:paraId="1A586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4CB4C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5A050B" w14:textId="77777777">
        <w:tc>
          <w:tcPr>
            <w:tcW w:w="3510" w:type="dxa"/>
          </w:tcPr>
          <w:p w14:paraId="682B3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5D3F7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r>
      <w:tr w:rsidR="00DA227A" w:rsidRPr="00E93F40" w14:paraId="0FD9727C" w14:textId="77777777">
        <w:tc>
          <w:tcPr>
            <w:tcW w:w="3510" w:type="dxa"/>
          </w:tcPr>
          <w:p w14:paraId="26807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9753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16CED8" w14:textId="77777777">
        <w:tc>
          <w:tcPr>
            <w:tcW w:w="3510" w:type="dxa"/>
          </w:tcPr>
          <w:p w14:paraId="2409A8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18E8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находится в стадии постройки. Производится на стапелях сборка фюзеляжа и крыльев. </w:t>
            </w:r>
          </w:p>
        </w:tc>
      </w:tr>
      <w:tr w:rsidR="00DA227A" w:rsidRPr="00E93F40" w14:paraId="089A3A90" w14:textId="77777777">
        <w:tc>
          <w:tcPr>
            <w:tcW w:w="3510" w:type="dxa"/>
          </w:tcPr>
          <w:p w14:paraId="4D0A1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8016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Оперение в производстве закончено. Срок выпуска самолета по плану (й1 января 1932 года) не </w:t>
            </w:r>
          </w:p>
        </w:tc>
      </w:tr>
      <w:tr w:rsidR="00DA227A" w:rsidRPr="00E93F40" w14:paraId="3EFEC35C" w14:textId="77777777">
        <w:tc>
          <w:tcPr>
            <w:tcW w:w="3510" w:type="dxa"/>
          </w:tcPr>
          <w:p w14:paraId="1FC56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3DB4B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выдержан. При условии предоставления мотора М34 в феврале, самолет сможет быть закончен </w:t>
            </w:r>
          </w:p>
        </w:tc>
      </w:tr>
      <w:tr w:rsidR="00DA227A" w:rsidRPr="00E93F40" w14:paraId="17A3A7B4" w14:textId="77777777">
        <w:tc>
          <w:tcPr>
            <w:tcW w:w="3510" w:type="dxa"/>
          </w:tcPr>
          <w:p w14:paraId="4E997E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A665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начале 2-го квартала 1932 года. Выпуск самолета в указанный срок, равно как и окончание </w:t>
            </w:r>
          </w:p>
        </w:tc>
      </w:tr>
      <w:tr w:rsidR="00DA227A" w:rsidRPr="00E93F40" w14:paraId="6ACFF745" w14:textId="77777777">
        <w:tc>
          <w:tcPr>
            <w:tcW w:w="3510" w:type="dxa"/>
          </w:tcPr>
          <w:p w14:paraId="7C6563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8A91D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постройки ТБ4-6М34 требует особого форсирования работ по М34 с целью получения в феврале-</w:t>
            </w:r>
          </w:p>
        </w:tc>
      </w:tr>
      <w:tr w:rsidR="00DA227A" w:rsidRPr="00E93F40" w14:paraId="2F887B15" w14:textId="77777777">
        <w:tc>
          <w:tcPr>
            <w:tcW w:w="3510" w:type="dxa"/>
          </w:tcPr>
          <w:p w14:paraId="474E0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6BB6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марте 1932 года 8-9 моторов.</w:t>
            </w:r>
          </w:p>
        </w:tc>
      </w:tr>
      <w:tr w:rsidR="00DA227A" w:rsidRPr="00E93F40" w14:paraId="761F8E8C" w14:textId="77777777">
        <w:tc>
          <w:tcPr>
            <w:tcW w:w="3510" w:type="dxa"/>
          </w:tcPr>
          <w:p w14:paraId="21E697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Холодов.</w:t>
            </w:r>
          </w:p>
        </w:tc>
        <w:tc>
          <w:tcPr>
            <w:tcW w:w="6946" w:type="dxa"/>
          </w:tcPr>
          <w:p w14:paraId="26506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656078" w14:textId="77777777">
        <w:tc>
          <w:tcPr>
            <w:tcW w:w="3510" w:type="dxa"/>
          </w:tcPr>
          <w:p w14:paraId="33AC8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7C9997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Р8-М27</w:t>
            </w:r>
          </w:p>
        </w:tc>
      </w:tr>
      <w:tr w:rsidR="00DA227A" w:rsidRPr="00E93F40" w14:paraId="5DCF926D" w14:textId="77777777">
        <w:tc>
          <w:tcPr>
            <w:tcW w:w="3510" w:type="dxa"/>
          </w:tcPr>
          <w:p w14:paraId="6B32B6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13953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FA3FBF" w14:textId="77777777">
        <w:tc>
          <w:tcPr>
            <w:tcW w:w="3510" w:type="dxa"/>
          </w:tcPr>
          <w:p w14:paraId="7F3141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FB46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245/3000</w:t>
            </w:r>
          </w:p>
        </w:tc>
      </w:tr>
      <w:tr w:rsidR="00DA227A" w:rsidRPr="00E93F40" w14:paraId="25DFB483" w14:textId="77777777">
        <w:tc>
          <w:tcPr>
            <w:tcW w:w="3510" w:type="dxa"/>
          </w:tcPr>
          <w:p w14:paraId="4C6C81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79A40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4F9B5B" w14:textId="77777777">
        <w:tc>
          <w:tcPr>
            <w:tcW w:w="3510" w:type="dxa"/>
          </w:tcPr>
          <w:p w14:paraId="121CCC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75EB7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10/3000</w:t>
            </w:r>
          </w:p>
        </w:tc>
      </w:tr>
      <w:tr w:rsidR="00DA227A" w:rsidRPr="00E93F40" w14:paraId="6C252EEE" w14:textId="77777777">
        <w:tc>
          <w:tcPr>
            <w:tcW w:w="3510" w:type="dxa"/>
          </w:tcPr>
          <w:p w14:paraId="5D07D6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10BE3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r>
      <w:tr w:rsidR="00DA227A" w:rsidRPr="00E93F40" w14:paraId="5C637D64" w14:textId="77777777">
        <w:tc>
          <w:tcPr>
            <w:tcW w:w="3510" w:type="dxa"/>
          </w:tcPr>
          <w:p w14:paraId="69866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63B2C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пулемета</w:t>
            </w:r>
          </w:p>
        </w:tc>
      </w:tr>
      <w:tr w:rsidR="00DA227A" w:rsidRPr="00E93F40" w14:paraId="51BB361A" w14:textId="77777777">
        <w:tc>
          <w:tcPr>
            <w:tcW w:w="3510" w:type="dxa"/>
          </w:tcPr>
          <w:p w14:paraId="6FCE3B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55CA6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650-750</w:t>
            </w:r>
          </w:p>
        </w:tc>
      </w:tr>
      <w:tr w:rsidR="00DA227A" w:rsidRPr="00E93F40" w14:paraId="0BF0F27F" w14:textId="77777777">
        <w:tc>
          <w:tcPr>
            <w:tcW w:w="3510" w:type="dxa"/>
          </w:tcPr>
          <w:p w14:paraId="161765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1A961D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DAE494" w14:textId="77777777">
        <w:tc>
          <w:tcPr>
            <w:tcW w:w="3510" w:type="dxa"/>
          </w:tcPr>
          <w:p w14:paraId="35939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7AC9DA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1931 года</w:t>
            </w:r>
          </w:p>
        </w:tc>
      </w:tr>
      <w:tr w:rsidR="00DA227A" w:rsidRPr="00E93F40" w14:paraId="6BED7D97" w14:textId="77777777">
        <w:tc>
          <w:tcPr>
            <w:tcW w:w="3510" w:type="dxa"/>
          </w:tcPr>
          <w:p w14:paraId="647FC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14B48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BCE980" w14:textId="77777777">
        <w:tc>
          <w:tcPr>
            <w:tcW w:w="3510" w:type="dxa"/>
          </w:tcPr>
          <w:p w14:paraId="10F800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533E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самолету ЦКБ ЦАГИ приостановило.</w:t>
            </w:r>
          </w:p>
        </w:tc>
      </w:tr>
      <w:tr w:rsidR="00DA227A" w:rsidRPr="00E93F40" w14:paraId="714C57B3" w14:textId="77777777">
        <w:tc>
          <w:tcPr>
            <w:tcW w:w="3510" w:type="dxa"/>
          </w:tcPr>
          <w:p w14:paraId="24568F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7CCA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Р8-М34</w:t>
            </w:r>
          </w:p>
        </w:tc>
      </w:tr>
      <w:tr w:rsidR="00DA227A" w:rsidRPr="00E93F40" w14:paraId="76935BE7" w14:textId="77777777">
        <w:tc>
          <w:tcPr>
            <w:tcW w:w="3510" w:type="dxa"/>
          </w:tcPr>
          <w:p w14:paraId="18CD5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1997FB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7271342" w14:textId="77777777">
        <w:tc>
          <w:tcPr>
            <w:tcW w:w="3510" w:type="dxa"/>
          </w:tcPr>
          <w:p w14:paraId="0E399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5299F3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r>
      <w:tr w:rsidR="00DA227A" w:rsidRPr="00E93F40" w14:paraId="665993C4" w14:textId="77777777">
        <w:tc>
          <w:tcPr>
            <w:tcW w:w="3510" w:type="dxa"/>
          </w:tcPr>
          <w:p w14:paraId="311AC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6B563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B29104" w14:textId="77777777">
        <w:tc>
          <w:tcPr>
            <w:tcW w:w="3510" w:type="dxa"/>
          </w:tcPr>
          <w:p w14:paraId="1586A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69129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8/10/3000</w:t>
            </w:r>
          </w:p>
        </w:tc>
      </w:tr>
      <w:tr w:rsidR="00DA227A" w:rsidRPr="00E93F40" w14:paraId="47C89032" w14:textId="77777777">
        <w:tc>
          <w:tcPr>
            <w:tcW w:w="3510" w:type="dxa"/>
          </w:tcPr>
          <w:p w14:paraId="4571F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409C50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7000-7500</w:t>
            </w:r>
          </w:p>
        </w:tc>
      </w:tr>
      <w:tr w:rsidR="00DA227A" w:rsidRPr="00E93F40" w14:paraId="132E6CE0" w14:textId="77777777">
        <w:tc>
          <w:tcPr>
            <w:tcW w:w="3510" w:type="dxa"/>
          </w:tcPr>
          <w:p w14:paraId="74509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53D45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пулемета</w:t>
            </w:r>
          </w:p>
        </w:tc>
      </w:tr>
      <w:tr w:rsidR="00DA227A" w:rsidRPr="00E93F40" w14:paraId="7528402A" w14:textId="77777777">
        <w:tc>
          <w:tcPr>
            <w:tcW w:w="3510" w:type="dxa"/>
          </w:tcPr>
          <w:p w14:paraId="77139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44B88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650-750</w:t>
            </w:r>
          </w:p>
        </w:tc>
      </w:tr>
      <w:tr w:rsidR="00DA227A" w:rsidRPr="00E93F40" w14:paraId="4DFDE38A" w14:textId="77777777">
        <w:tc>
          <w:tcPr>
            <w:tcW w:w="3510" w:type="dxa"/>
          </w:tcPr>
          <w:p w14:paraId="24328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4236DE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5E1368" w14:textId="77777777">
        <w:tc>
          <w:tcPr>
            <w:tcW w:w="3510" w:type="dxa"/>
          </w:tcPr>
          <w:p w14:paraId="200EF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791C3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1931 года</w:t>
            </w:r>
          </w:p>
        </w:tc>
      </w:tr>
      <w:tr w:rsidR="00DA227A" w:rsidRPr="00E93F40" w14:paraId="671087B4" w14:textId="77777777">
        <w:tc>
          <w:tcPr>
            <w:tcW w:w="3510" w:type="dxa"/>
          </w:tcPr>
          <w:p w14:paraId="161B48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FAEF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AA7BC2B" w14:textId="77777777">
        <w:tc>
          <w:tcPr>
            <w:tcW w:w="3510" w:type="dxa"/>
          </w:tcPr>
          <w:p w14:paraId="0032FD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F3E7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крайнего запоздания работ по самолету, который должен был быть выпущен 1 мая 1931 </w:t>
            </w:r>
          </w:p>
        </w:tc>
      </w:tr>
      <w:tr w:rsidR="00DA227A" w:rsidRPr="00E93F40" w14:paraId="33BC783F" w14:textId="77777777">
        <w:tc>
          <w:tcPr>
            <w:tcW w:w="3510" w:type="dxa"/>
          </w:tcPr>
          <w:p w14:paraId="6FEA9E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6CF8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года и вытекающего из этого устаревания технических требований, самолеты Р8-М27 и Р8-М34 в </w:t>
            </w:r>
          </w:p>
        </w:tc>
      </w:tr>
      <w:tr w:rsidR="00DA227A" w:rsidRPr="00E93F40" w14:paraId="3E856674" w14:textId="77777777">
        <w:tc>
          <w:tcPr>
            <w:tcW w:w="3510" w:type="dxa"/>
          </w:tcPr>
          <w:p w14:paraId="605DD3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A998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проекте плана опытного строительства на 1932-1934 г.г. представленного в РВС - исключены.</w:t>
            </w:r>
          </w:p>
        </w:tc>
      </w:tr>
      <w:tr w:rsidR="00DA227A" w:rsidRPr="00E93F40" w14:paraId="2481F6A2" w14:textId="77777777">
        <w:tc>
          <w:tcPr>
            <w:tcW w:w="3510" w:type="dxa"/>
          </w:tcPr>
          <w:p w14:paraId="1EB84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Жемчужин.</w:t>
            </w:r>
          </w:p>
        </w:tc>
        <w:tc>
          <w:tcPr>
            <w:tcW w:w="6946" w:type="dxa"/>
          </w:tcPr>
          <w:p w14:paraId="1DAD8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90753A" w14:textId="77777777">
        <w:tc>
          <w:tcPr>
            <w:tcW w:w="3510" w:type="dxa"/>
          </w:tcPr>
          <w:p w14:paraId="28DF6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1E8B1A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МДР3-4М17</w:t>
            </w:r>
          </w:p>
        </w:tc>
      </w:tr>
      <w:tr w:rsidR="00DA227A" w:rsidRPr="00E93F40" w14:paraId="5187F2BB" w14:textId="77777777">
        <w:tc>
          <w:tcPr>
            <w:tcW w:w="3510" w:type="dxa"/>
          </w:tcPr>
          <w:p w14:paraId="15EE1F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B4858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6206B7" w14:textId="77777777">
        <w:tc>
          <w:tcPr>
            <w:tcW w:w="3510" w:type="dxa"/>
          </w:tcPr>
          <w:p w14:paraId="6777D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7B396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r>
      <w:tr w:rsidR="00DA227A" w:rsidRPr="00E93F40" w14:paraId="75014CFA" w14:textId="77777777">
        <w:tc>
          <w:tcPr>
            <w:tcW w:w="3510" w:type="dxa"/>
          </w:tcPr>
          <w:p w14:paraId="7CA87B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66917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0A2DDD" w14:textId="77777777">
        <w:tc>
          <w:tcPr>
            <w:tcW w:w="3510" w:type="dxa"/>
          </w:tcPr>
          <w:p w14:paraId="4DF30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7EF758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20/3000</w:t>
            </w:r>
          </w:p>
        </w:tc>
      </w:tr>
      <w:tr w:rsidR="00DA227A" w:rsidRPr="00E93F40" w14:paraId="3090DF62" w14:textId="77777777">
        <w:tc>
          <w:tcPr>
            <w:tcW w:w="3510" w:type="dxa"/>
          </w:tcPr>
          <w:p w14:paraId="0B8E66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7106E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2DA97FD6" w14:textId="77777777">
        <w:tc>
          <w:tcPr>
            <w:tcW w:w="3510" w:type="dxa"/>
          </w:tcPr>
          <w:p w14:paraId="40D67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7E6CC4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 1 авт. Пушка, 500 кг бомб</w:t>
            </w:r>
          </w:p>
        </w:tc>
      </w:tr>
      <w:tr w:rsidR="00DA227A" w:rsidRPr="00E93F40" w14:paraId="0DC3EBF4" w14:textId="77777777">
        <w:tc>
          <w:tcPr>
            <w:tcW w:w="3510" w:type="dxa"/>
          </w:tcPr>
          <w:p w14:paraId="5A9A04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61A18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1000-1200</w:t>
            </w:r>
          </w:p>
        </w:tc>
      </w:tr>
      <w:tr w:rsidR="00DA227A" w:rsidRPr="00E93F40" w14:paraId="17D6CFDC" w14:textId="77777777">
        <w:tc>
          <w:tcPr>
            <w:tcW w:w="3510" w:type="dxa"/>
          </w:tcPr>
          <w:p w14:paraId="303FB0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16641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FF4C808" w14:textId="77777777">
        <w:tc>
          <w:tcPr>
            <w:tcW w:w="3510" w:type="dxa"/>
          </w:tcPr>
          <w:p w14:paraId="26F0EF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04202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1931 года</w:t>
            </w:r>
          </w:p>
        </w:tc>
      </w:tr>
      <w:tr w:rsidR="00DA227A" w:rsidRPr="00E93F40" w14:paraId="5814581A" w14:textId="77777777">
        <w:tc>
          <w:tcPr>
            <w:tcW w:w="3510" w:type="dxa"/>
          </w:tcPr>
          <w:p w14:paraId="4CAAB1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B74B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сентября 1931 года</w:t>
            </w:r>
          </w:p>
        </w:tc>
      </w:tr>
      <w:tr w:rsidR="00DA227A" w:rsidRPr="00E93F40" w14:paraId="055F5C7B" w14:textId="77777777">
        <w:tc>
          <w:tcPr>
            <w:tcW w:w="3510" w:type="dxa"/>
          </w:tcPr>
          <w:p w14:paraId="1F84C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Степень выполнения на</w:t>
            </w:r>
          </w:p>
        </w:tc>
        <w:tc>
          <w:tcPr>
            <w:tcW w:w="6946" w:type="dxa"/>
          </w:tcPr>
          <w:p w14:paraId="4349E8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27966D" w14:textId="77777777">
        <w:tc>
          <w:tcPr>
            <w:tcW w:w="3510" w:type="dxa"/>
          </w:tcPr>
          <w:p w14:paraId="366B98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58D49A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находится в периоде сборки в Севастополе для заводских испытаний. ЦКБ ВАО указало</w:t>
            </w:r>
          </w:p>
        </w:tc>
      </w:tr>
      <w:tr w:rsidR="00DA227A" w:rsidRPr="00E93F40" w14:paraId="3554EC74" w14:textId="77777777">
        <w:tc>
          <w:tcPr>
            <w:tcW w:w="3510" w:type="dxa"/>
          </w:tcPr>
          <w:p w14:paraId="5CC2D7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9CE2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срок сдачи в НИИ на типовые испытания 5 февраля 1932 года, но по ходу работ на сегодняшний </w:t>
            </w:r>
          </w:p>
        </w:tc>
      </w:tr>
      <w:tr w:rsidR="00DA227A" w:rsidRPr="00E93F40" w14:paraId="6D67F8AA" w14:textId="77777777">
        <w:tc>
          <w:tcPr>
            <w:tcW w:w="3510" w:type="dxa"/>
          </w:tcPr>
          <w:p w14:paraId="15FFF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82F6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день самолет к 5 февраля 1932 года на типовые испытания предъявлен не будет. Вторично </w:t>
            </w:r>
          </w:p>
        </w:tc>
      </w:tr>
      <w:tr w:rsidR="00DA227A" w:rsidRPr="00E93F40" w14:paraId="790C734F" w14:textId="77777777">
        <w:tc>
          <w:tcPr>
            <w:tcW w:w="3510" w:type="dxa"/>
          </w:tcPr>
          <w:p w14:paraId="48BB9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CCFC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данный срок РВС сдачи на типовые испытания 10 сентября 1931 года не выдержан.</w:t>
            </w:r>
          </w:p>
        </w:tc>
      </w:tr>
      <w:tr w:rsidR="00DA227A" w:rsidRPr="00E93F40" w14:paraId="40ABFDE6" w14:textId="77777777">
        <w:tc>
          <w:tcPr>
            <w:tcW w:w="3510" w:type="dxa"/>
          </w:tcPr>
          <w:p w14:paraId="6DB08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Волков.</w:t>
            </w:r>
          </w:p>
        </w:tc>
        <w:tc>
          <w:tcPr>
            <w:tcW w:w="6946" w:type="dxa"/>
          </w:tcPr>
          <w:p w14:paraId="2864DE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EB2491" w14:textId="77777777">
        <w:tc>
          <w:tcPr>
            <w:tcW w:w="3510" w:type="dxa"/>
          </w:tcPr>
          <w:p w14:paraId="213838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очередь (основные типы по системе вооружения)</w:t>
            </w:r>
          </w:p>
        </w:tc>
        <w:tc>
          <w:tcPr>
            <w:tcW w:w="6946" w:type="dxa"/>
          </w:tcPr>
          <w:p w14:paraId="04CBEA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901668" w14:textId="77777777">
        <w:tc>
          <w:tcPr>
            <w:tcW w:w="3510" w:type="dxa"/>
          </w:tcPr>
          <w:p w14:paraId="60E691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08608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ДИ4-КК</w:t>
            </w:r>
          </w:p>
        </w:tc>
      </w:tr>
      <w:tr w:rsidR="00DA227A" w:rsidRPr="00E93F40" w14:paraId="588FA1F4" w14:textId="77777777">
        <w:tc>
          <w:tcPr>
            <w:tcW w:w="3510" w:type="dxa"/>
          </w:tcPr>
          <w:p w14:paraId="04B887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362C3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F188DB" w14:textId="77777777">
        <w:tc>
          <w:tcPr>
            <w:tcW w:w="3510" w:type="dxa"/>
          </w:tcPr>
          <w:p w14:paraId="1944E1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0279F6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280/5000</w:t>
            </w:r>
          </w:p>
        </w:tc>
      </w:tr>
      <w:tr w:rsidR="00DA227A" w:rsidRPr="00E93F40" w14:paraId="1DD69439" w14:textId="77777777">
        <w:tc>
          <w:tcPr>
            <w:tcW w:w="3510" w:type="dxa"/>
          </w:tcPr>
          <w:p w14:paraId="1C1BE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758F84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6669E58" w14:textId="77777777">
        <w:tc>
          <w:tcPr>
            <w:tcW w:w="3510" w:type="dxa"/>
          </w:tcPr>
          <w:p w14:paraId="4C010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5DC91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8,5/5000</w:t>
            </w:r>
          </w:p>
        </w:tc>
      </w:tr>
      <w:tr w:rsidR="00DA227A" w:rsidRPr="00E93F40" w14:paraId="04708A25" w14:textId="77777777">
        <w:tc>
          <w:tcPr>
            <w:tcW w:w="3510" w:type="dxa"/>
          </w:tcPr>
          <w:p w14:paraId="29D53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74EB5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45DC371B" w14:textId="77777777">
        <w:tc>
          <w:tcPr>
            <w:tcW w:w="3510" w:type="dxa"/>
          </w:tcPr>
          <w:p w14:paraId="6C706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30764F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w:t>
            </w:r>
          </w:p>
        </w:tc>
      </w:tr>
      <w:tr w:rsidR="00DA227A" w:rsidRPr="00E93F40" w14:paraId="48301CA2" w14:textId="77777777">
        <w:tc>
          <w:tcPr>
            <w:tcW w:w="3510" w:type="dxa"/>
          </w:tcPr>
          <w:p w14:paraId="2C3ADF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69A3B3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450-500</w:t>
            </w:r>
          </w:p>
        </w:tc>
      </w:tr>
      <w:tr w:rsidR="00DA227A" w:rsidRPr="00E93F40" w14:paraId="367A710D" w14:textId="77777777">
        <w:tc>
          <w:tcPr>
            <w:tcW w:w="3510" w:type="dxa"/>
          </w:tcPr>
          <w:p w14:paraId="78C73C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0E5D9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3511DB" w14:textId="77777777">
        <w:tc>
          <w:tcPr>
            <w:tcW w:w="3510" w:type="dxa"/>
          </w:tcPr>
          <w:p w14:paraId="124FD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1BD8E0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1931 года</w:t>
            </w:r>
          </w:p>
        </w:tc>
      </w:tr>
      <w:tr w:rsidR="00DA227A" w:rsidRPr="00E93F40" w14:paraId="2AF45C87" w14:textId="77777777">
        <w:tc>
          <w:tcPr>
            <w:tcW w:w="3510" w:type="dxa"/>
          </w:tcPr>
          <w:p w14:paraId="10FAE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3C80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8FB329" w14:textId="77777777">
        <w:tc>
          <w:tcPr>
            <w:tcW w:w="3510" w:type="dxa"/>
          </w:tcPr>
          <w:p w14:paraId="7B8E8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4DF10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самолета закончена. Заводские испытания начнутся в 1-ой пятидневке января. В</w:t>
            </w:r>
          </w:p>
        </w:tc>
      </w:tr>
      <w:tr w:rsidR="00DA227A" w:rsidRPr="00E93F40" w14:paraId="6B0BBA16" w14:textId="77777777">
        <w:tc>
          <w:tcPr>
            <w:tcW w:w="3510" w:type="dxa"/>
          </w:tcPr>
          <w:p w14:paraId="4FD8FE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2A6FB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настоящее время происходит на аэродроме сборка и регулировка самолета.</w:t>
            </w:r>
          </w:p>
        </w:tc>
      </w:tr>
      <w:tr w:rsidR="00DA227A" w:rsidRPr="00E93F40" w14:paraId="5C87D9FF" w14:textId="77777777">
        <w:tc>
          <w:tcPr>
            <w:tcW w:w="3510" w:type="dxa"/>
          </w:tcPr>
          <w:p w14:paraId="3BEED4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45F0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Опоздание представления самолета на гос. испытания против срока по плану на настоящее </w:t>
            </w:r>
          </w:p>
        </w:tc>
      </w:tr>
      <w:tr w:rsidR="00DA227A" w:rsidRPr="00E93F40" w14:paraId="5027C4A3" w14:textId="77777777">
        <w:tc>
          <w:tcPr>
            <w:tcW w:w="3510" w:type="dxa"/>
          </w:tcPr>
          <w:p w14:paraId="62C2F2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BDE7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равно 4 месяцам.</w:t>
            </w:r>
          </w:p>
        </w:tc>
      </w:tr>
      <w:tr w:rsidR="00DA227A" w:rsidRPr="00E93F40" w14:paraId="0303E291" w14:textId="77777777">
        <w:tc>
          <w:tcPr>
            <w:tcW w:w="3510" w:type="dxa"/>
          </w:tcPr>
          <w:p w14:paraId="20AF8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Холодов.</w:t>
            </w:r>
          </w:p>
        </w:tc>
        <w:tc>
          <w:tcPr>
            <w:tcW w:w="6946" w:type="dxa"/>
          </w:tcPr>
          <w:p w14:paraId="095AF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3090E1" w14:textId="77777777">
        <w:tc>
          <w:tcPr>
            <w:tcW w:w="3510" w:type="dxa"/>
          </w:tcPr>
          <w:p w14:paraId="47177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6B0606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ДИ5-ФЭД</w:t>
            </w:r>
          </w:p>
        </w:tc>
      </w:tr>
      <w:tr w:rsidR="00DA227A" w:rsidRPr="00E93F40" w14:paraId="52EAAF20" w14:textId="77777777">
        <w:tc>
          <w:tcPr>
            <w:tcW w:w="3510" w:type="dxa"/>
          </w:tcPr>
          <w:p w14:paraId="1F330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03404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14FBDB8" w14:textId="77777777">
        <w:tc>
          <w:tcPr>
            <w:tcW w:w="3510" w:type="dxa"/>
          </w:tcPr>
          <w:p w14:paraId="104D4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7EE92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270/3000</w:t>
            </w:r>
          </w:p>
        </w:tc>
      </w:tr>
      <w:tr w:rsidR="00DA227A" w:rsidRPr="00E93F40" w14:paraId="0E16809E" w14:textId="77777777">
        <w:tc>
          <w:tcPr>
            <w:tcW w:w="3510" w:type="dxa"/>
          </w:tcPr>
          <w:p w14:paraId="7B2E1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31C92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7FF24B" w14:textId="77777777">
        <w:tc>
          <w:tcPr>
            <w:tcW w:w="3510" w:type="dxa"/>
          </w:tcPr>
          <w:p w14:paraId="1050D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09096B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7,6/3000</w:t>
            </w:r>
          </w:p>
        </w:tc>
      </w:tr>
      <w:tr w:rsidR="00DA227A" w:rsidRPr="00E93F40" w14:paraId="12109BD7" w14:textId="77777777">
        <w:tc>
          <w:tcPr>
            <w:tcW w:w="3510" w:type="dxa"/>
          </w:tcPr>
          <w:p w14:paraId="4C7F0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3F7BF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2B7B4140" w14:textId="77777777">
        <w:tc>
          <w:tcPr>
            <w:tcW w:w="3510" w:type="dxa"/>
          </w:tcPr>
          <w:p w14:paraId="22373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3ABE24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 1 авт. пуш.</w:t>
            </w:r>
          </w:p>
        </w:tc>
      </w:tr>
      <w:tr w:rsidR="00DA227A" w:rsidRPr="00E93F40" w14:paraId="61D5C8D5" w14:textId="77777777">
        <w:tc>
          <w:tcPr>
            <w:tcW w:w="3510" w:type="dxa"/>
          </w:tcPr>
          <w:p w14:paraId="32830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676D29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880D56" w14:textId="77777777">
        <w:tc>
          <w:tcPr>
            <w:tcW w:w="3510" w:type="dxa"/>
          </w:tcPr>
          <w:p w14:paraId="61868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003AC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AF03EB" w14:textId="77777777">
        <w:tc>
          <w:tcPr>
            <w:tcW w:w="3510" w:type="dxa"/>
          </w:tcPr>
          <w:p w14:paraId="007486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114FC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1931 года</w:t>
            </w:r>
          </w:p>
        </w:tc>
      </w:tr>
      <w:tr w:rsidR="00DA227A" w:rsidRPr="00E93F40" w14:paraId="154BBB5E" w14:textId="77777777">
        <w:tc>
          <w:tcPr>
            <w:tcW w:w="3510" w:type="dxa"/>
          </w:tcPr>
          <w:p w14:paraId="213614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2B643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5C07A7" w14:textId="77777777">
        <w:tc>
          <w:tcPr>
            <w:tcW w:w="3510" w:type="dxa"/>
          </w:tcPr>
          <w:p w14:paraId="155FD1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80358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не ведутся ввиду недоработки мотора ФЭД. Из проекта плана опытного строительства </w:t>
            </w:r>
          </w:p>
        </w:tc>
      </w:tr>
      <w:tr w:rsidR="00DA227A" w:rsidRPr="00E93F40" w14:paraId="5DED7499" w14:textId="77777777">
        <w:tc>
          <w:tcPr>
            <w:tcW w:w="3510" w:type="dxa"/>
          </w:tcPr>
          <w:p w14:paraId="0C9E6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47DEC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1932-34 г.г., представленного в РВС самолет исключен.</w:t>
            </w:r>
          </w:p>
        </w:tc>
      </w:tr>
      <w:tr w:rsidR="00DA227A" w:rsidRPr="00E93F40" w14:paraId="44EF62FE" w14:textId="77777777">
        <w:tc>
          <w:tcPr>
            <w:tcW w:w="3510" w:type="dxa"/>
          </w:tcPr>
          <w:p w14:paraId="799F0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646655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ТШ1-2М34</w:t>
            </w:r>
          </w:p>
        </w:tc>
      </w:tr>
      <w:tr w:rsidR="00DA227A" w:rsidRPr="00E93F40" w14:paraId="17B2FE9A" w14:textId="77777777">
        <w:tc>
          <w:tcPr>
            <w:tcW w:w="3510" w:type="dxa"/>
          </w:tcPr>
          <w:p w14:paraId="2EB58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05047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пулем., 1 авт. пушка, 800 кг бомб</w:t>
            </w:r>
          </w:p>
        </w:tc>
      </w:tr>
      <w:tr w:rsidR="00DA227A" w:rsidRPr="00E93F40" w14:paraId="07EA3B65" w14:textId="77777777">
        <w:tc>
          <w:tcPr>
            <w:tcW w:w="3510" w:type="dxa"/>
          </w:tcPr>
          <w:p w14:paraId="48DE0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0A0BF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r>
      <w:tr w:rsidR="00DA227A" w:rsidRPr="00E93F40" w14:paraId="6C2D892E" w14:textId="77777777">
        <w:tc>
          <w:tcPr>
            <w:tcW w:w="3510" w:type="dxa"/>
          </w:tcPr>
          <w:p w14:paraId="3FF544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3F5CF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762327" w14:textId="77777777">
        <w:tc>
          <w:tcPr>
            <w:tcW w:w="3510" w:type="dxa"/>
          </w:tcPr>
          <w:p w14:paraId="29F49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2821DF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r>
      <w:tr w:rsidR="00DA227A" w:rsidRPr="00E93F40" w14:paraId="676AE6D8" w14:textId="77777777">
        <w:tc>
          <w:tcPr>
            <w:tcW w:w="3510" w:type="dxa"/>
          </w:tcPr>
          <w:p w14:paraId="6D2F6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4DE50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5F29E7" w14:textId="77777777">
        <w:tc>
          <w:tcPr>
            <w:tcW w:w="3510" w:type="dxa"/>
          </w:tcPr>
          <w:p w14:paraId="0B26E7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6E807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не ведутся. Из проекта плана опытного строительства на 1932-34 г.г., представленного в </w:t>
            </w:r>
          </w:p>
        </w:tc>
      </w:tr>
      <w:tr w:rsidR="00DA227A" w:rsidRPr="00E93F40" w14:paraId="29F24C12" w14:textId="77777777">
        <w:tc>
          <w:tcPr>
            <w:tcW w:w="3510" w:type="dxa"/>
          </w:tcPr>
          <w:p w14:paraId="27D75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BF75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РВС самолет исключен.</w:t>
            </w:r>
          </w:p>
        </w:tc>
      </w:tr>
      <w:tr w:rsidR="00DA227A" w:rsidRPr="00E93F40" w14:paraId="7285355A" w14:textId="77777777">
        <w:tc>
          <w:tcPr>
            <w:tcW w:w="3510" w:type="dxa"/>
          </w:tcPr>
          <w:p w14:paraId="4F5D19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41B25C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МТБ3-4М34 или 2М35</w:t>
            </w:r>
          </w:p>
        </w:tc>
      </w:tr>
      <w:tr w:rsidR="00DA227A" w:rsidRPr="00E93F40" w14:paraId="2D4D7BFF" w14:textId="77777777">
        <w:tc>
          <w:tcPr>
            <w:tcW w:w="3510" w:type="dxa"/>
          </w:tcPr>
          <w:p w14:paraId="7B5CB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2EBD4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961E6D" w14:textId="77777777">
        <w:tc>
          <w:tcPr>
            <w:tcW w:w="3510" w:type="dxa"/>
          </w:tcPr>
          <w:p w14:paraId="109AB5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A2C6E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250/5000</w:t>
            </w:r>
          </w:p>
        </w:tc>
      </w:tr>
      <w:tr w:rsidR="00DA227A" w:rsidRPr="00E93F40" w14:paraId="523B8894" w14:textId="77777777">
        <w:tc>
          <w:tcPr>
            <w:tcW w:w="3510" w:type="dxa"/>
          </w:tcPr>
          <w:p w14:paraId="5B19F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0F232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тяжелые пулеметы и пушки</w:t>
            </w:r>
          </w:p>
        </w:tc>
      </w:tr>
      <w:tr w:rsidR="00DA227A" w:rsidRPr="00E93F40" w14:paraId="6F58F171" w14:textId="77777777">
        <w:tc>
          <w:tcPr>
            <w:tcW w:w="3510" w:type="dxa"/>
          </w:tcPr>
          <w:p w14:paraId="50F386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29745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7C162C05" w14:textId="77777777">
        <w:tc>
          <w:tcPr>
            <w:tcW w:w="3510" w:type="dxa"/>
          </w:tcPr>
          <w:p w14:paraId="42336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4A38B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C970F7" w14:textId="77777777">
        <w:tc>
          <w:tcPr>
            <w:tcW w:w="3510" w:type="dxa"/>
          </w:tcPr>
          <w:p w14:paraId="79A3B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18B326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w:t>
            </w:r>
          </w:p>
        </w:tc>
      </w:tr>
      <w:tr w:rsidR="00DA227A" w:rsidRPr="00E93F40" w14:paraId="27FA9962" w14:textId="77777777">
        <w:tc>
          <w:tcPr>
            <w:tcW w:w="3510" w:type="dxa"/>
          </w:tcPr>
          <w:p w14:paraId="69FF6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6E205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9669FE" w14:textId="77777777">
        <w:tc>
          <w:tcPr>
            <w:tcW w:w="3510" w:type="dxa"/>
          </w:tcPr>
          <w:p w14:paraId="53DB04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4549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предусмотрен в новом плане опытного строительства. ЦАГИ вело до сих пор научно-</w:t>
            </w:r>
          </w:p>
        </w:tc>
      </w:tr>
      <w:tr w:rsidR="00DA227A" w:rsidRPr="00E93F40" w14:paraId="12C2BD9E" w14:textId="77777777">
        <w:tc>
          <w:tcPr>
            <w:tcW w:w="3510" w:type="dxa"/>
          </w:tcPr>
          <w:p w14:paraId="246CF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337E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исследовательскую работу. С 1 марта 1932 года приступает к разработке конструкций.</w:t>
            </w:r>
          </w:p>
        </w:tc>
      </w:tr>
      <w:tr w:rsidR="00DA227A" w:rsidRPr="00E93F40" w14:paraId="4828BAEE" w14:textId="77777777">
        <w:tc>
          <w:tcPr>
            <w:tcW w:w="3510" w:type="dxa"/>
          </w:tcPr>
          <w:p w14:paraId="53F11C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Кудрявцев.</w:t>
            </w:r>
          </w:p>
        </w:tc>
        <w:tc>
          <w:tcPr>
            <w:tcW w:w="6946" w:type="dxa"/>
          </w:tcPr>
          <w:p w14:paraId="63DD9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F5B075" w14:textId="77777777">
        <w:tc>
          <w:tcPr>
            <w:tcW w:w="3510" w:type="dxa"/>
          </w:tcPr>
          <w:p w14:paraId="5D981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F6B5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МК1-4М34</w:t>
            </w:r>
          </w:p>
        </w:tc>
      </w:tr>
      <w:tr w:rsidR="00DA227A" w:rsidRPr="00E93F40" w14:paraId="45A1F78E" w14:textId="77777777">
        <w:tc>
          <w:tcPr>
            <w:tcW w:w="3510" w:type="dxa"/>
          </w:tcPr>
          <w:p w14:paraId="667F6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3FD411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67644C" w14:textId="77777777">
        <w:tc>
          <w:tcPr>
            <w:tcW w:w="3510" w:type="dxa"/>
          </w:tcPr>
          <w:p w14:paraId="71A2D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0E3467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1C93D253" w14:textId="77777777">
        <w:tc>
          <w:tcPr>
            <w:tcW w:w="3510" w:type="dxa"/>
          </w:tcPr>
          <w:p w14:paraId="187F72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6C588F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762042" w14:textId="77777777">
        <w:tc>
          <w:tcPr>
            <w:tcW w:w="3510" w:type="dxa"/>
          </w:tcPr>
          <w:p w14:paraId="6DF887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7263DF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FC756A" w14:textId="77777777">
        <w:tc>
          <w:tcPr>
            <w:tcW w:w="3510" w:type="dxa"/>
          </w:tcPr>
          <w:p w14:paraId="5AC06C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230F53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70525C86" w14:textId="77777777">
        <w:tc>
          <w:tcPr>
            <w:tcW w:w="3510" w:type="dxa"/>
          </w:tcPr>
          <w:p w14:paraId="79312A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6E3131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авто-пушки РМ. 2 сп. Установки ДАК. Макс. Емкость бомб 6200 кг или торпед 5260 кг или мин </w:t>
            </w:r>
          </w:p>
        </w:tc>
      </w:tr>
      <w:tr w:rsidR="00DA227A" w:rsidRPr="00E93F40" w14:paraId="1D5003ED" w14:textId="77777777">
        <w:tc>
          <w:tcPr>
            <w:tcW w:w="3510" w:type="dxa"/>
          </w:tcPr>
          <w:p w14:paraId="22B46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436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загражден. 6х1000. Будет рассматриваться и в случае утверждения разрабатываться вариант </w:t>
            </w:r>
          </w:p>
        </w:tc>
      </w:tr>
      <w:tr w:rsidR="00DA227A" w:rsidRPr="00E93F40" w14:paraId="4C1E5ECE" w14:textId="77777777">
        <w:tc>
          <w:tcPr>
            <w:tcW w:w="3510" w:type="dxa"/>
          </w:tcPr>
          <w:p w14:paraId="21B368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ACE01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подвески торпедного катера весом 5000 кг.</w:t>
            </w:r>
          </w:p>
        </w:tc>
      </w:tr>
      <w:tr w:rsidR="00DA227A" w:rsidRPr="00E93F40" w14:paraId="73DC100D" w14:textId="77777777">
        <w:tc>
          <w:tcPr>
            <w:tcW w:w="3510" w:type="dxa"/>
          </w:tcPr>
          <w:p w14:paraId="4427E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495F9B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1500 при перегруз. дальность 2400</w:t>
            </w:r>
          </w:p>
        </w:tc>
      </w:tr>
      <w:tr w:rsidR="00DA227A" w:rsidRPr="00E93F40" w14:paraId="505E325B" w14:textId="77777777">
        <w:tc>
          <w:tcPr>
            <w:tcW w:w="3510" w:type="dxa"/>
          </w:tcPr>
          <w:p w14:paraId="5C60AB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039398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CD4BD1" w14:textId="77777777">
        <w:tc>
          <w:tcPr>
            <w:tcW w:w="3510" w:type="dxa"/>
          </w:tcPr>
          <w:p w14:paraId="48BEB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574EB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сентябрь 1932 года</w:t>
            </w:r>
          </w:p>
        </w:tc>
      </w:tr>
      <w:tr w:rsidR="00DA227A" w:rsidRPr="00E93F40" w14:paraId="0DD9366A" w14:textId="77777777">
        <w:tc>
          <w:tcPr>
            <w:tcW w:w="3510" w:type="dxa"/>
          </w:tcPr>
          <w:p w14:paraId="18E23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947A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17B54B" w14:textId="77777777">
        <w:tc>
          <w:tcPr>
            <w:tcW w:w="3510" w:type="dxa"/>
          </w:tcPr>
          <w:p w14:paraId="61094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января 1932 года </w:t>
            </w:r>
          </w:p>
        </w:tc>
        <w:tc>
          <w:tcPr>
            <w:tcW w:w="6946" w:type="dxa"/>
          </w:tcPr>
          <w:p w14:paraId="3CA593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Консольные части находятся в производстве. Центроплан конструктивно разработан. </w:t>
            </w:r>
          </w:p>
        </w:tc>
      </w:tr>
      <w:tr w:rsidR="00DA227A" w:rsidRPr="00E93F40" w14:paraId="5C2A78D4" w14:textId="77777777">
        <w:tc>
          <w:tcPr>
            <w:tcW w:w="3510" w:type="dxa"/>
          </w:tcPr>
          <w:p w14:paraId="2392C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22B2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Заканчивается в производстве средний отсек лодки для статиспытаний. Конструкция лодок </w:t>
            </w:r>
          </w:p>
        </w:tc>
      </w:tr>
      <w:tr w:rsidR="00DA227A" w:rsidRPr="00E93F40" w14:paraId="499BD839" w14:textId="77777777">
        <w:tc>
          <w:tcPr>
            <w:tcW w:w="3510" w:type="dxa"/>
          </w:tcPr>
          <w:p w14:paraId="646A4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D05F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разработана, но ввиду изменения данных вооружения из-за замены легких пулеметов на пушки, </w:t>
            </w:r>
          </w:p>
        </w:tc>
      </w:tr>
      <w:tr w:rsidR="00DA227A" w:rsidRPr="00E93F40" w14:paraId="734519B6" w14:textId="77777777">
        <w:tc>
          <w:tcPr>
            <w:tcW w:w="3510" w:type="dxa"/>
          </w:tcPr>
          <w:p w14:paraId="7AC2F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39056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конструкция несколько изменится. Мотоустановки схематично разработаны. Схематично </w:t>
            </w:r>
          </w:p>
        </w:tc>
      </w:tr>
      <w:tr w:rsidR="00DA227A" w:rsidRPr="00E93F40" w14:paraId="4B283778" w14:textId="77777777">
        <w:tc>
          <w:tcPr>
            <w:tcW w:w="3510" w:type="dxa"/>
          </w:tcPr>
          <w:p w14:paraId="3CF840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AC67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 вариант самолета с опущенным на 400 мл крылом внутри лодки и втянутым в </w:t>
            </w:r>
          </w:p>
        </w:tc>
      </w:tr>
      <w:tr w:rsidR="00DA227A" w:rsidRPr="00E93F40" w14:paraId="0B220D6F" w14:textId="77777777">
        <w:tc>
          <w:tcPr>
            <w:tcW w:w="3510" w:type="dxa"/>
          </w:tcPr>
          <w:p w14:paraId="60E4C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4DDC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центроплан лимузином. Продувки и протаски в гидроканале закончены. Темп работ по самолету </w:t>
            </w:r>
          </w:p>
        </w:tc>
      </w:tr>
      <w:tr w:rsidR="00DA227A" w:rsidRPr="00E93F40" w14:paraId="3BEAAFD3" w14:textId="77777777">
        <w:tc>
          <w:tcPr>
            <w:tcW w:w="3510" w:type="dxa"/>
          </w:tcPr>
          <w:p w14:paraId="346A2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68CA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резко замедленный. Организационная неразбериха (слияние ЦКБ и ЦАГИ), изменение сроков </w:t>
            </w:r>
          </w:p>
        </w:tc>
      </w:tr>
      <w:tr w:rsidR="00DA227A" w:rsidRPr="00E93F40" w14:paraId="3D6AC2AE" w14:textId="77777777">
        <w:tc>
          <w:tcPr>
            <w:tcW w:w="3510" w:type="dxa"/>
          </w:tcPr>
          <w:p w14:paraId="35680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2EA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подачи на гос. испытания (был срок 1 сентября 1932 года, а затем дан 1 января 1933 года), </w:t>
            </w:r>
          </w:p>
        </w:tc>
      </w:tr>
      <w:tr w:rsidR="00DA227A" w:rsidRPr="00E93F40" w14:paraId="49682D4E" w14:textId="77777777">
        <w:tc>
          <w:tcPr>
            <w:tcW w:w="3510" w:type="dxa"/>
          </w:tcPr>
          <w:p w14:paraId="43BB7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8D75F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изменений вооружения, задержка техтребований - затормозило развертывание работ по МК1.</w:t>
            </w:r>
          </w:p>
        </w:tc>
      </w:tr>
      <w:tr w:rsidR="00DA227A" w:rsidRPr="00E93F40" w14:paraId="2BB2D641" w14:textId="77777777">
        <w:tc>
          <w:tcPr>
            <w:tcW w:w="3510" w:type="dxa"/>
          </w:tcPr>
          <w:p w14:paraId="3C9EE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613AB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 нажим на ВАО для окончания работ в срок.</w:t>
            </w:r>
          </w:p>
        </w:tc>
      </w:tr>
      <w:tr w:rsidR="00DA227A" w:rsidRPr="00E93F40" w14:paraId="0A17A621" w14:textId="77777777">
        <w:tc>
          <w:tcPr>
            <w:tcW w:w="3510" w:type="dxa"/>
          </w:tcPr>
          <w:p w14:paraId="06D23B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 Кудрявцев.</w:t>
            </w:r>
          </w:p>
        </w:tc>
        <w:tc>
          <w:tcPr>
            <w:tcW w:w="6946" w:type="dxa"/>
          </w:tcPr>
          <w:p w14:paraId="4A53C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DD6536" w14:textId="77777777">
        <w:tc>
          <w:tcPr>
            <w:tcW w:w="3510" w:type="dxa"/>
          </w:tcPr>
          <w:p w14:paraId="484D0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 конструкции</w:t>
            </w:r>
          </w:p>
        </w:tc>
        <w:tc>
          <w:tcPr>
            <w:tcW w:w="6946" w:type="dxa"/>
          </w:tcPr>
          <w:p w14:paraId="4D4FB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5F2F1E" w14:textId="77777777">
        <w:tc>
          <w:tcPr>
            <w:tcW w:w="3510" w:type="dxa"/>
          </w:tcPr>
          <w:p w14:paraId="19806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6EBE5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ВС1-2М26 (Р9-2М26)</w:t>
            </w:r>
          </w:p>
        </w:tc>
      </w:tr>
      <w:tr w:rsidR="00DA227A" w:rsidRPr="00E93F40" w14:paraId="2D8AF323" w14:textId="77777777">
        <w:tc>
          <w:tcPr>
            <w:tcW w:w="3510" w:type="dxa"/>
          </w:tcPr>
          <w:p w14:paraId="5C9F5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8B61D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A339B0" w14:textId="77777777">
        <w:tc>
          <w:tcPr>
            <w:tcW w:w="3510" w:type="dxa"/>
          </w:tcPr>
          <w:p w14:paraId="469E5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434C0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r>
      <w:tr w:rsidR="00DA227A" w:rsidRPr="00E93F40" w14:paraId="005676BA" w14:textId="77777777">
        <w:tc>
          <w:tcPr>
            <w:tcW w:w="3510" w:type="dxa"/>
          </w:tcPr>
          <w:p w14:paraId="2BE8F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24843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192394" w14:textId="77777777">
        <w:tc>
          <w:tcPr>
            <w:tcW w:w="3510" w:type="dxa"/>
          </w:tcPr>
          <w:p w14:paraId="10156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206559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12/3000</w:t>
            </w:r>
          </w:p>
        </w:tc>
      </w:tr>
      <w:tr w:rsidR="00DA227A" w:rsidRPr="00E93F40" w14:paraId="02D29DAB" w14:textId="77777777">
        <w:tc>
          <w:tcPr>
            <w:tcW w:w="3510" w:type="dxa"/>
          </w:tcPr>
          <w:p w14:paraId="3E76D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70944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F88E22" w14:textId="77777777">
        <w:tc>
          <w:tcPr>
            <w:tcW w:w="3510" w:type="dxa"/>
          </w:tcPr>
          <w:p w14:paraId="64F76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022F19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пулемета</w:t>
            </w:r>
          </w:p>
        </w:tc>
      </w:tr>
      <w:tr w:rsidR="00DA227A" w:rsidRPr="00E93F40" w14:paraId="35A53C79" w14:textId="77777777">
        <w:tc>
          <w:tcPr>
            <w:tcW w:w="3510" w:type="dxa"/>
          </w:tcPr>
          <w:p w14:paraId="5171A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100BF4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час. На мощн. 0,9 от номинала</w:t>
            </w:r>
          </w:p>
        </w:tc>
      </w:tr>
      <w:tr w:rsidR="00DA227A" w:rsidRPr="00E93F40" w14:paraId="5A0CE2DA" w14:textId="77777777">
        <w:tc>
          <w:tcPr>
            <w:tcW w:w="3510" w:type="dxa"/>
          </w:tcPr>
          <w:p w14:paraId="1F0DBA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6CC845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1132D9" w14:textId="77777777">
        <w:tc>
          <w:tcPr>
            <w:tcW w:w="3510" w:type="dxa"/>
          </w:tcPr>
          <w:p w14:paraId="3B679F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1169AC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2A316967" w14:textId="77777777">
        <w:tc>
          <w:tcPr>
            <w:tcW w:w="3510" w:type="dxa"/>
          </w:tcPr>
          <w:p w14:paraId="14D880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0D22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D275B11" w14:textId="77777777">
        <w:tc>
          <w:tcPr>
            <w:tcW w:w="3510" w:type="dxa"/>
          </w:tcPr>
          <w:p w14:paraId="44A561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7A0C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самолета ВАО приостановило, не начиная постройки.</w:t>
            </w:r>
          </w:p>
        </w:tc>
      </w:tr>
      <w:tr w:rsidR="00DA227A" w:rsidRPr="00E93F40" w14:paraId="173B97D4" w14:textId="77777777">
        <w:tc>
          <w:tcPr>
            <w:tcW w:w="3510" w:type="dxa"/>
          </w:tcPr>
          <w:p w14:paraId="39DD5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A728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проекте плана опытного строительства на 1932-34 г.г., представленном в РВС, самолет </w:t>
            </w:r>
          </w:p>
        </w:tc>
      </w:tr>
      <w:tr w:rsidR="00DA227A" w:rsidRPr="00E93F40" w14:paraId="61A4D1AD" w14:textId="77777777">
        <w:tc>
          <w:tcPr>
            <w:tcW w:w="3510" w:type="dxa"/>
          </w:tcPr>
          <w:p w14:paraId="643C5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944DB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ВС1-2М26 заменен самолетом ВС2-М52 с повышением его летно-тактических данных.</w:t>
            </w:r>
          </w:p>
        </w:tc>
      </w:tr>
      <w:tr w:rsidR="00DA227A" w:rsidRPr="00E93F40" w14:paraId="5F3E1B4A" w14:textId="77777777">
        <w:tc>
          <w:tcPr>
            <w:tcW w:w="3510" w:type="dxa"/>
          </w:tcPr>
          <w:p w14:paraId="0B0CC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 Жемчужин.</w:t>
            </w:r>
          </w:p>
        </w:tc>
        <w:tc>
          <w:tcPr>
            <w:tcW w:w="6946" w:type="dxa"/>
          </w:tcPr>
          <w:p w14:paraId="04E84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BAAB44" w14:textId="77777777">
        <w:tc>
          <w:tcPr>
            <w:tcW w:w="3510" w:type="dxa"/>
          </w:tcPr>
          <w:p w14:paraId="6CA9DE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4BCA5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ТШ2-М27 (ТШ2-М17)</w:t>
            </w:r>
          </w:p>
        </w:tc>
      </w:tr>
      <w:tr w:rsidR="00DA227A" w:rsidRPr="00E93F40" w14:paraId="27860A07" w14:textId="77777777">
        <w:tc>
          <w:tcPr>
            <w:tcW w:w="3510" w:type="dxa"/>
          </w:tcPr>
          <w:p w14:paraId="104925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12D7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1B1ED6" w14:textId="77777777">
        <w:tc>
          <w:tcPr>
            <w:tcW w:w="3510" w:type="dxa"/>
          </w:tcPr>
          <w:p w14:paraId="5C3B68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6E17E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5FBF37DA" w14:textId="77777777">
        <w:tc>
          <w:tcPr>
            <w:tcW w:w="3510" w:type="dxa"/>
          </w:tcPr>
          <w:p w14:paraId="1C7AB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2BE73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FC7FE6" w14:textId="77777777">
        <w:tc>
          <w:tcPr>
            <w:tcW w:w="3510" w:type="dxa"/>
          </w:tcPr>
          <w:p w14:paraId="45CE8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1F34FD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11,6/3000</w:t>
            </w:r>
          </w:p>
        </w:tc>
      </w:tr>
      <w:tr w:rsidR="00DA227A" w:rsidRPr="00E93F40" w14:paraId="03057EE4" w14:textId="77777777">
        <w:tc>
          <w:tcPr>
            <w:tcW w:w="3510" w:type="dxa"/>
          </w:tcPr>
          <w:p w14:paraId="47C368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2E836D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5860</w:t>
            </w:r>
          </w:p>
        </w:tc>
      </w:tr>
      <w:tr w:rsidR="00DA227A" w:rsidRPr="00E93F40" w14:paraId="47B8A2A9" w14:textId="77777777">
        <w:tc>
          <w:tcPr>
            <w:tcW w:w="3510" w:type="dxa"/>
          </w:tcPr>
          <w:p w14:paraId="04E1A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6012A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пулемет.</w:t>
            </w:r>
          </w:p>
        </w:tc>
      </w:tr>
      <w:tr w:rsidR="00DA227A" w:rsidRPr="00E93F40" w14:paraId="3C400136" w14:textId="77777777">
        <w:tc>
          <w:tcPr>
            <w:tcW w:w="3510" w:type="dxa"/>
          </w:tcPr>
          <w:p w14:paraId="1144F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1E1F92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755E02" w14:textId="77777777">
        <w:tc>
          <w:tcPr>
            <w:tcW w:w="3510" w:type="dxa"/>
          </w:tcPr>
          <w:p w14:paraId="7E7B4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5ADCB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E180F7" w14:textId="77777777">
        <w:tc>
          <w:tcPr>
            <w:tcW w:w="3510" w:type="dxa"/>
          </w:tcPr>
          <w:p w14:paraId="11A46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6A0E26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1930 года</w:t>
            </w:r>
          </w:p>
        </w:tc>
      </w:tr>
      <w:tr w:rsidR="00DA227A" w:rsidRPr="00E93F40" w14:paraId="174E0FA4" w14:textId="77777777">
        <w:tc>
          <w:tcPr>
            <w:tcW w:w="3510" w:type="dxa"/>
          </w:tcPr>
          <w:p w14:paraId="551D6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4226A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D25871" w14:textId="77777777">
        <w:tc>
          <w:tcPr>
            <w:tcW w:w="3510" w:type="dxa"/>
          </w:tcPr>
          <w:p w14:paraId="28BAB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EA5DB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решения отказаться от серийной постройки моторов М27 начальником ВВС принято </w:t>
            </w:r>
          </w:p>
        </w:tc>
      </w:tr>
      <w:tr w:rsidR="00DA227A" w:rsidRPr="00E93F40" w14:paraId="6391E1BF" w14:textId="77777777">
        <w:tc>
          <w:tcPr>
            <w:tcW w:w="3510" w:type="dxa"/>
          </w:tcPr>
          <w:p w14:paraId="2F97E0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08CC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решение впредь до замены на самолете мотора М17 мотором М34 остановиться на постройке </w:t>
            </w:r>
          </w:p>
        </w:tc>
      </w:tr>
      <w:tr w:rsidR="00DA227A" w:rsidRPr="00E93F40" w14:paraId="2451ACA5" w14:textId="77777777">
        <w:tc>
          <w:tcPr>
            <w:tcW w:w="3510" w:type="dxa"/>
          </w:tcPr>
          <w:p w14:paraId="6E8E55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57A6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серии ТШ2-М17. Образцовый (для серии) самолет ТШ2-М17 ВАО обязалось представить на </w:t>
            </w:r>
          </w:p>
        </w:tc>
      </w:tr>
      <w:tr w:rsidR="00DA227A" w:rsidRPr="00E93F40" w14:paraId="0AA125E4" w14:textId="77777777">
        <w:tc>
          <w:tcPr>
            <w:tcW w:w="3510" w:type="dxa"/>
          </w:tcPr>
          <w:p w14:paraId="6C58E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AEE1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 феврале 1932 года.</w:t>
            </w:r>
          </w:p>
        </w:tc>
      </w:tr>
      <w:tr w:rsidR="00DA227A" w:rsidRPr="00E93F40" w14:paraId="4544A280" w14:textId="77777777">
        <w:tc>
          <w:tcPr>
            <w:tcW w:w="3510" w:type="dxa"/>
          </w:tcPr>
          <w:p w14:paraId="63374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Жемчужин.</w:t>
            </w:r>
          </w:p>
        </w:tc>
        <w:tc>
          <w:tcPr>
            <w:tcW w:w="6946" w:type="dxa"/>
          </w:tcPr>
          <w:p w14:paraId="5A212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4E1A18" w14:textId="77777777">
        <w:tc>
          <w:tcPr>
            <w:tcW w:w="3510" w:type="dxa"/>
          </w:tcPr>
          <w:p w14:paraId="751AE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43EAB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И12-2ЮVI</w:t>
            </w:r>
          </w:p>
        </w:tc>
      </w:tr>
      <w:tr w:rsidR="00DA227A" w:rsidRPr="00E93F40" w14:paraId="6128BA9F" w14:textId="77777777">
        <w:tc>
          <w:tcPr>
            <w:tcW w:w="3510" w:type="dxa"/>
          </w:tcPr>
          <w:p w14:paraId="364BC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15365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05F255" w14:textId="77777777">
        <w:tc>
          <w:tcPr>
            <w:tcW w:w="3510" w:type="dxa"/>
          </w:tcPr>
          <w:p w14:paraId="728C5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0E059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r>
      <w:tr w:rsidR="00DA227A" w:rsidRPr="00E93F40" w14:paraId="262730CF" w14:textId="77777777">
        <w:tc>
          <w:tcPr>
            <w:tcW w:w="3510" w:type="dxa"/>
          </w:tcPr>
          <w:p w14:paraId="0A2E5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2F8F4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AAA7219" w14:textId="77777777">
        <w:tc>
          <w:tcPr>
            <w:tcW w:w="3510" w:type="dxa"/>
          </w:tcPr>
          <w:p w14:paraId="48884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2FDA0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10/5000</w:t>
            </w:r>
          </w:p>
        </w:tc>
      </w:tr>
      <w:tr w:rsidR="00DA227A" w:rsidRPr="00E93F40" w14:paraId="106A0502" w14:textId="77777777">
        <w:tc>
          <w:tcPr>
            <w:tcW w:w="3510" w:type="dxa"/>
          </w:tcPr>
          <w:p w14:paraId="57E80E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7C883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F7D595" w14:textId="77777777">
        <w:tc>
          <w:tcPr>
            <w:tcW w:w="3510" w:type="dxa"/>
          </w:tcPr>
          <w:p w14:paraId="4E4EDA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42157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 ДРП</w:t>
            </w:r>
          </w:p>
        </w:tc>
      </w:tr>
      <w:tr w:rsidR="00DA227A" w:rsidRPr="00E93F40" w14:paraId="133D2EEC" w14:textId="77777777">
        <w:tc>
          <w:tcPr>
            <w:tcW w:w="3510" w:type="dxa"/>
          </w:tcPr>
          <w:p w14:paraId="5AC98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00BDFA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792A04" w14:textId="77777777">
        <w:tc>
          <w:tcPr>
            <w:tcW w:w="3510" w:type="dxa"/>
          </w:tcPr>
          <w:p w14:paraId="2D3DC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364F7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3EB2207" w14:textId="77777777">
        <w:tc>
          <w:tcPr>
            <w:tcW w:w="3510" w:type="dxa"/>
          </w:tcPr>
          <w:p w14:paraId="1D4DB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48C0B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1931 года</w:t>
            </w:r>
          </w:p>
        </w:tc>
      </w:tr>
      <w:tr w:rsidR="00DA227A" w:rsidRPr="00E93F40" w14:paraId="4BD5AE16" w14:textId="77777777">
        <w:tc>
          <w:tcPr>
            <w:tcW w:w="3510" w:type="dxa"/>
          </w:tcPr>
          <w:p w14:paraId="0E8526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515A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CD0E7A" w14:textId="77777777">
        <w:tc>
          <w:tcPr>
            <w:tcW w:w="3510" w:type="dxa"/>
          </w:tcPr>
          <w:p w14:paraId="5F846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55ED9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истекший период ЦКБ ЦАГИ проводило заводские испытания самолета. Устранение </w:t>
            </w:r>
          </w:p>
        </w:tc>
      </w:tr>
      <w:tr w:rsidR="00DA227A" w:rsidRPr="00E93F40" w14:paraId="6F3AC4D1" w14:textId="77777777">
        <w:tc>
          <w:tcPr>
            <w:tcW w:w="3510" w:type="dxa"/>
          </w:tcPr>
          <w:p w14:paraId="1FB13B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4E4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дефектов, обнаруженных при полетах будет закончено к 5 января 1932 года. Стрельба из пушек </w:t>
            </w:r>
          </w:p>
        </w:tc>
      </w:tr>
      <w:tr w:rsidR="00DA227A" w:rsidRPr="00E93F40" w14:paraId="6FFEE43B" w14:textId="77777777">
        <w:tc>
          <w:tcPr>
            <w:tcW w:w="3510" w:type="dxa"/>
          </w:tcPr>
          <w:p w14:paraId="3C9D6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66E8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ДРП на земле показала неудовлетворительную работу механизмов перезаряжания. Последнее </w:t>
            </w:r>
          </w:p>
        </w:tc>
      </w:tr>
      <w:tr w:rsidR="00DA227A" w:rsidRPr="00E93F40" w14:paraId="4197BEA7" w14:textId="77777777">
        <w:tc>
          <w:tcPr>
            <w:tcW w:w="3510" w:type="dxa"/>
          </w:tcPr>
          <w:p w14:paraId="20869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62C0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задерживает предъявление самолета на гос. испытания, которые ожидаются в феврале.</w:t>
            </w:r>
          </w:p>
        </w:tc>
      </w:tr>
      <w:tr w:rsidR="00DA227A" w:rsidRPr="00E93F40" w14:paraId="5DDB1598" w14:textId="77777777">
        <w:tc>
          <w:tcPr>
            <w:tcW w:w="3510" w:type="dxa"/>
          </w:tcPr>
          <w:p w14:paraId="7579DC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 Холодов.</w:t>
            </w:r>
          </w:p>
        </w:tc>
        <w:tc>
          <w:tcPr>
            <w:tcW w:w="6946" w:type="dxa"/>
          </w:tcPr>
          <w:p w14:paraId="5F0BA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D52CDE4" w14:textId="77777777">
        <w:tc>
          <w:tcPr>
            <w:tcW w:w="3510" w:type="dxa"/>
          </w:tcPr>
          <w:p w14:paraId="38D850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DA71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И11-М41 (электр.)</w:t>
            </w:r>
          </w:p>
        </w:tc>
      </w:tr>
      <w:tr w:rsidR="00DA227A" w:rsidRPr="00E93F40" w14:paraId="4AC70325" w14:textId="77777777">
        <w:tc>
          <w:tcPr>
            <w:tcW w:w="3510" w:type="dxa"/>
          </w:tcPr>
          <w:p w14:paraId="1CB196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ведутся.</w:t>
            </w:r>
          </w:p>
        </w:tc>
        <w:tc>
          <w:tcPr>
            <w:tcW w:w="6946" w:type="dxa"/>
          </w:tcPr>
          <w:p w14:paraId="63DDB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D770FE" w14:textId="77777777">
        <w:tc>
          <w:tcPr>
            <w:tcW w:w="3510" w:type="dxa"/>
          </w:tcPr>
          <w:p w14:paraId="4FD074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0B0BF5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 с разрезными крыльями</w:t>
            </w:r>
          </w:p>
        </w:tc>
      </w:tr>
      <w:tr w:rsidR="00DA227A" w:rsidRPr="00E93F40" w14:paraId="233C2F95" w14:textId="77777777">
        <w:tc>
          <w:tcPr>
            <w:tcW w:w="3510" w:type="dxa"/>
          </w:tcPr>
          <w:p w14:paraId="3816B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9F190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F968722" w14:textId="77777777">
        <w:tc>
          <w:tcPr>
            <w:tcW w:w="3510" w:type="dxa"/>
          </w:tcPr>
          <w:p w14:paraId="56FA1A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53E6F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постройкой закончен. В последней декаде декабря начаты заводские испытания, </w:t>
            </w:r>
          </w:p>
        </w:tc>
      </w:tr>
      <w:tr w:rsidR="00DA227A" w:rsidRPr="00E93F40" w14:paraId="20637621" w14:textId="77777777">
        <w:tc>
          <w:tcPr>
            <w:tcW w:w="3510" w:type="dxa"/>
          </w:tcPr>
          <w:p w14:paraId="2CCB19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9BC1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которые на настоящее число показали недостаточность элеронов, которые должны будут </w:t>
            </w:r>
          </w:p>
        </w:tc>
      </w:tr>
      <w:tr w:rsidR="00DA227A" w:rsidRPr="00E93F40" w14:paraId="0E1EDF19" w14:textId="77777777">
        <w:tc>
          <w:tcPr>
            <w:tcW w:w="3510" w:type="dxa"/>
          </w:tcPr>
          <w:p w14:paraId="22B79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768E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переделываться.</w:t>
            </w:r>
          </w:p>
        </w:tc>
      </w:tr>
      <w:tr w:rsidR="00DA227A" w:rsidRPr="00E93F40" w14:paraId="23732BEA" w14:textId="77777777">
        <w:tc>
          <w:tcPr>
            <w:tcW w:w="3510" w:type="dxa"/>
          </w:tcPr>
          <w:p w14:paraId="51618C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Жемчужин.</w:t>
            </w:r>
          </w:p>
        </w:tc>
        <w:tc>
          <w:tcPr>
            <w:tcW w:w="6946" w:type="dxa"/>
          </w:tcPr>
          <w:p w14:paraId="26519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8C41F2" w14:textId="77777777">
        <w:tc>
          <w:tcPr>
            <w:tcW w:w="3510" w:type="dxa"/>
          </w:tcPr>
          <w:p w14:paraId="14687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07919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И5-М22</w:t>
            </w:r>
          </w:p>
        </w:tc>
      </w:tr>
      <w:tr w:rsidR="00DA227A" w:rsidRPr="00E93F40" w14:paraId="75911DD7" w14:textId="77777777">
        <w:tc>
          <w:tcPr>
            <w:tcW w:w="3510" w:type="dxa"/>
          </w:tcPr>
          <w:p w14:paraId="7DCAE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B534B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B27FCD" w14:textId="77777777">
        <w:tc>
          <w:tcPr>
            <w:tcW w:w="3510" w:type="dxa"/>
          </w:tcPr>
          <w:p w14:paraId="5B32BD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44AA8B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262,5/0*</w:t>
            </w:r>
          </w:p>
        </w:tc>
      </w:tr>
      <w:tr w:rsidR="00DA227A" w:rsidRPr="00E93F40" w14:paraId="0841C0D1" w14:textId="77777777">
        <w:tc>
          <w:tcPr>
            <w:tcW w:w="3510" w:type="dxa"/>
          </w:tcPr>
          <w:p w14:paraId="23DDBA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C508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245/5000</w:t>
            </w:r>
          </w:p>
        </w:tc>
      </w:tr>
      <w:tr w:rsidR="00DA227A" w:rsidRPr="00E93F40" w14:paraId="4BE66155" w14:textId="77777777">
        <w:tc>
          <w:tcPr>
            <w:tcW w:w="3510" w:type="dxa"/>
          </w:tcPr>
          <w:p w14:paraId="5D8ED4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4B851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65ED2F" w14:textId="77777777">
        <w:tc>
          <w:tcPr>
            <w:tcW w:w="3510" w:type="dxa"/>
          </w:tcPr>
          <w:p w14:paraId="6030C8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A7C5F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9,6-9,8*/5000</w:t>
            </w:r>
          </w:p>
        </w:tc>
      </w:tr>
      <w:tr w:rsidR="00DA227A" w:rsidRPr="00E93F40" w14:paraId="5796D6C2" w14:textId="77777777">
        <w:tc>
          <w:tcPr>
            <w:tcW w:w="3510" w:type="dxa"/>
          </w:tcPr>
          <w:p w14:paraId="0148DE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639EA1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8120*</w:t>
            </w:r>
          </w:p>
        </w:tc>
      </w:tr>
      <w:tr w:rsidR="00DA227A" w:rsidRPr="00E93F40" w14:paraId="428E378D" w14:textId="77777777">
        <w:tc>
          <w:tcPr>
            <w:tcW w:w="3510" w:type="dxa"/>
          </w:tcPr>
          <w:p w14:paraId="50B9A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9119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Серийный самолет</w:t>
            </w:r>
          </w:p>
        </w:tc>
      </w:tr>
      <w:tr w:rsidR="00DA227A" w:rsidRPr="00E93F40" w14:paraId="4355FA8D" w14:textId="77777777">
        <w:tc>
          <w:tcPr>
            <w:tcW w:w="3510" w:type="dxa"/>
          </w:tcPr>
          <w:p w14:paraId="64F5E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4824B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пулем.</w:t>
            </w:r>
          </w:p>
        </w:tc>
      </w:tr>
      <w:tr w:rsidR="00DA227A" w:rsidRPr="00E93F40" w14:paraId="2193B106" w14:textId="77777777">
        <w:tc>
          <w:tcPr>
            <w:tcW w:w="3510" w:type="dxa"/>
          </w:tcPr>
          <w:p w14:paraId="5479D7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6151F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55E966A0" w14:textId="77777777">
        <w:tc>
          <w:tcPr>
            <w:tcW w:w="3510" w:type="dxa"/>
          </w:tcPr>
          <w:p w14:paraId="39FAE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69DCC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64CD0D" w14:textId="77777777">
        <w:tc>
          <w:tcPr>
            <w:tcW w:w="3510" w:type="dxa"/>
          </w:tcPr>
          <w:p w14:paraId="7612E4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4DD82D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кв. 1931 года</w:t>
            </w:r>
          </w:p>
        </w:tc>
      </w:tr>
      <w:tr w:rsidR="00DA227A" w:rsidRPr="00E93F40" w14:paraId="40F2009A" w14:textId="77777777">
        <w:tc>
          <w:tcPr>
            <w:tcW w:w="3510" w:type="dxa"/>
          </w:tcPr>
          <w:p w14:paraId="2B1B7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74D0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3A73D7" w14:textId="77777777">
        <w:tc>
          <w:tcPr>
            <w:tcW w:w="3510" w:type="dxa"/>
          </w:tcPr>
          <w:p w14:paraId="1F0DE6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342D6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мотора М15.</w:t>
            </w:r>
          </w:p>
        </w:tc>
      </w:tr>
      <w:tr w:rsidR="00DA227A" w:rsidRPr="00E93F40" w14:paraId="150675AC" w14:textId="77777777">
        <w:tc>
          <w:tcPr>
            <w:tcW w:w="3510" w:type="dxa"/>
          </w:tcPr>
          <w:p w14:paraId="6B7AF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6EC5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Представленный в НИИ ВВС заводом N 39 самолет И5-М15 (образец для серии) в первый полет </w:t>
            </w:r>
          </w:p>
        </w:tc>
      </w:tr>
      <w:tr w:rsidR="00DA227A" w:rsidRPr="00E93F40" w14:paraId="524B3BC4" w14:textId="77777777">
        <w:tc>
          <w:tcPr>
            <w:tcW w:w="3510" w:type="dxa"/>
          </w:tcPr>
          <w:p w14:paraId="33DD11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2E47A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разбит при вынужденной посадке, вызванной остановкой мотора на малой высоте. Последняя </w:t>
            </w:r>
          </w:p>
        </w:tc>
      </w:tr>
      <w:tr w:rsidR="00DA227A" w:rsidRPr="00E93F40" w14:paraId="20480C26" w14:textId="77777777">
        <w:tc>
          <w:tcPr>
            <w:tcW w:w="3510" w:type="dxa"/>
          </w:tcPr>
          <w:p w14:paraId="2B40BE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CE59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произошла ввиду закупорки маслопровода тряпкой. Новый образец самолета постройки зав. N 1 </w:t>
            </w:r>
          </w:p>
        </w:tc>
      </w:tr>
      <w:tr w:rsidR="00DA227A" w:rsidRPr="00E93F40" w14:paraId="0A9D6164" w14:textId="77777777">
        <w:tc>
          <w:tcPr>
            <w:tcW w:w="3510" w:type="dxa"/>
          </w:tcPr>
          <w:p w14:paraId="0706D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C95D1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 передает на испытание в январе 1932 года.</w:t>
            </w:r>
          </w:p>
        </w:tc>
      </w:tr>
      <w:tr w:rsidR="00DA227A" w:rsidRPr="00E93F40" w14:paraId="6420B267" w14:textId="77777777">
        <w:tc>
          <w:tcPr>
            <w:tcW w:w="3510" w:type="dxa"/>
          </w:tcPr>
          <w:p w14:paraId="52ADD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35A2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образца И5-М22 для заказа на 1932 год.</w:t>
            </w:r>
          </w:p>
        </w:tc>
      </w:tr>
      <w:tr w:rsidR="00DA227A" w:rsidRPr="00E93F40" w14:paraId="33FE29A7" w14:textId="77777777">
        <w:tc>
          <w:tcPr>
            <w:tcW w:w="3510" w:type="dxa"/>
          </w:tcPr>
          <w:p w14:paraId="556916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BA13F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ЦКБ ЦАГИ провело ряд работ по устранению дефектов самолета, обнаруженных при </w:t>
            </w:r>
          </w:p>
        </w:tc>
      </w:tr>
      <w:tr w:rsidR="00DA227A" w:rsidRPr="00E93F40" w14:paraId="392A0893" w14:textId="77777777">
        <w:tc>
          <w:tcPr>
            <w:tcW w:w="3510" w:type="dxa"/>
          </w:tcPr>
          <w:p w14:paraId="3890A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132E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эксплуатации и снабжении его кольцевым капотом. Образец (эталон) для заказа на 1932 год </w:t>
            </w:r>
          </w:p>
        </w:tc>
      </w:tr>
      <w:tr w:rsidR="00DA227A" w:rsidRPr="00E93F40" w14:paraId="0EF8B8B4" w14:textId="77777777">
        <w:tc>
          <w:tcPr>
            <w:tcW w:w="3510" w:type="dxa"/>
          </w:tcPr>
          <w:p w14:paraId="1C97B3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2C30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должен поступить на испытание в первой половине января 1932 года.</w:t>
            </w:r>
          </w:p>
        </w:tc>
      </w:tr>
      <w:tr w:rsidR="00DA227A" w:rsidRPr="00E93F40" w14:paraId="31D06D35" w14:textId="77777777">
        <w:tc>
          <w:tcPr>
            <w:tcW w:w="3510" w:type="dxa"/>
          </w:tcPr>
          <w:p w14:paraId="76D27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Петров.</w:t>
            </w:r>
          </w:p>
        </w:tc>
        <w:tc>
          <w:tcPr>
            <w:tcW w:w="6946" w:type="dxa"/>
          </w:tcPr>
          <w:p w14:paraId="04404C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0D0222" w14:textId="77777777">
        <w:tc>
          <w:tcPr>
            <w:tcW w:w="3510" w:type="dxa"/>
          </w:tcPr>
          <w:p w14:paraId="23FA5E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7016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r>
      <w:tr w:rsidR="00DA227A" w:rsidRPr="00E93F40" w14:paraId="673CFF4C" w14:textId="77777777">
        <w:tc>
          <w:tcPr>
            <w:tcW w:w="3510" w:type="dxa"/>
          </w:tcPr>
          <w:p w14:paraId="4A17D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0EA4E6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FFB074" w14:textId="77777777">
        <w:tc>
          <w:tcPr>
            <w:tcW w:w="3510" w:type="dxa"/>
          </w:tcPr>
          <w:p w14:paraId="2A1AEC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65F318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210/220</w:t>
            </w:r>
          </w:p>
        </w:tc>
      </w:tr>
      <w:tr w:rsidR="00DA227A" w:rsidRPr="00E93F40" w14:paraId="26F28A51" w14:textId="77777777">
        <w:tc>
          <w:tcPr>
            <w:tcW w:w="3510" w:type="dxa"/>
          </w:tcPr>
          <w:p w14:paraId="21213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123C1B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175FFE" w14:textId="77777777">
        <w:tc>
          <w:tcPr>
            <w:tcW w:w="3510" w:type="dxa"/>
          </w:tcPr>
          <w:p w14:paraId="41B0FC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3DD38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22-25/3000</w:t>
            </w:r>
          </w:p>
        </w:tc>
      </w:tr>
      <w:tr w:rsidR="00DA227A" w:rsidRPr="00E93F40" w14:paraId="0C2A9273" w14:textId="77777777">
        <w:tc>
          <w:tcPr>
            <w:tcW w:w="3510" w:type="dxa"/>
          </w:tcPr>
          <w:p w14:paraId="79CA9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6C7CD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A70618" w14:textId="77777777">
        <w:tc>
          <w:tcPr>
            <w:tcW w:w="3510" w:type="dxa"/>
          </w:tcPr>
          <w:p w14:paraId="5840EE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4DFD9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6-11 пулем., 2000-4000 кг</w:t>
            </w:r>
          </w:p>
        </w:tc>
      </w:tr>
      <w:tr w:rsidR="00DA227A" w:rsidRPr="00E93F40" w14:paraId="589DC407" w14:textId="77777777">
        <w:tc>
          <w:tcPr>
            <w:tcW w:w="3510" w:type="dxa"/>
          </w:tcPr>
          <w:p w14:paraId="66A18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5D4C71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1A843A" w14:textId="77777777">
        <w:tc>
          <w:tcPr>
            <w:tcW w:w="3510" w:type="dxa"/>
          </w:tcPr>
          <w:p w14:paraId="377618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489FB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E499CB" w14:textId="77777777">
        <w:tc>
          <w:tcPr>
            <w:tcW w:w="3510" w:type="dxa"/>
          </w:tcPr>
          <w:p w14:paraId="3E4F6B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07CAC4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1930 года</w:t>
            </w:r>
          </w:p>
        </w:tc>
      </w:tr>
      <w:tr w:rsidR="00DA227A" w:rsidRPr="00E93F40" w14:paraId="67AA4C81" w14:textId="77777777">
        <w:tc>
          <w:tcPr>
            <w:tcW w:w="3510" w:type="dxa"/>
          </w:tcPr>
          <w:p w14:paraId="44ECB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486BB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F54C89" w14:textId="77777777">
        <w:tc>
          <w:tcPr>
            <w:tcW w:w="3510" w:type="dxa"/>
          </w:tcPr>
          <w:p w14:paraId="0B45D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0E57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 истекший квартал ЦАГИ произвело испытание тележек шасси , заменяющих 2-х метровые </w:t>
            </w:r>
          </w:p>
        </w:tc>
      </w:tr>
      <w:tr w:rsidR="00DA227A" w:rsidRPr="00E93F40" w14:paraId="621B78F3" w14:textId="77777777">
        <w:tc>
          <w:tcPr>
            <w:tcW w:w="3510" w:type="dxa"/>
          </w:tcPr>
          <w:p w14:paraId="3385F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5E660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колеса. Испытания дали положительные результаты. Параллельно было проведено ряд работ по </w:t>
            </w:r>
          </w:p>
        </w:tc>
      </w:tr>
      <w:tr w:rsidR="00DA227A" w:rsidRPr="00E93F40" w14:paraId="11E7545C" w14:textId="77777777">
        <w:tc>
          <w:tcPr>
            <w:tcW w:w="3510" w:type="dxa"/>
          </w:tcPr>
          <w:p w14:paraId="52FBE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4DEC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устранению дефектов самолета, оборудованию и вооружению его.</w:t>
            </w:r>
          </w:p>
        </w:tc>
      </w:tr>
      <w:tr w:rsidR="00DA227A" w:rsidRPr="00E93F40" w14:paraId="7349302C" w14:textId="77777777">
        <w:tc>
          <w:tcPr>
            <w:tcW w:w="3510" w:type="dxa"/>
          </w:tcPr>
          <w:p w14:paraId="729C05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69EC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частности установлены 2 опускающиеся подкрыльные башни, обеспечивающие обстрел назад </w:t>
            </w:r>
          </w:p>
        </w:tc>
      </w:tr>
      <w:tr w:rsidR="00DA227A" w:rsidRPr="00E93F40" w14:paraId="4C8DD7B8" w14:textId="77777777">
        <w:tc>
          <w:tcPr>
            <w:tcW w:w="3510" w:type="dxa"/>
          </w:tcPr>
          <w:p w14:paraId="59C9F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5139D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хвост. В настоящее время самолет передается на испытания.</w:t>
            </w:r>
          </w:p>
        </w:tc>
      </w:tr>
      <w:tr w:rsidR="00DA227A" w:rsidRPr="00E93F40" w14:paraId="48F79E5F" w14:textId="77777777">
        <w:tc>
          <w:tcPr>
            <w:tcW w:w="3510" w:type="dxa"/>
          </w:tcPr>
          <w:p w14:paraId="78998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Инженер Петров.</w:t>
            </w:r>
          </w:p>
        </w:tc>
        <w:tc>
          <w:tcPr>
            <w:tcW w:w="6946" w:type="dxa"/>
          </w:tcPr>
          <w:p w14:paraId="35924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A732F7" w14:textId="77777777">
        <w:tc>
          <w:tcPr>
            <w:tcW w:w="3510" w:type="dxa"/>
          </w:tcPr>
          <w:p w14:paraId="5E838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7690E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r>
      <w:tr w:rsidR="00DA227A" w:rsidRPr="00E93F40" w14:paraId="51843A91" w14:textId="77777777">
        <w:tc>
          <w:tcPr>
            <w:tcW w:w="3510" w:type="dxa"/>
          </w:tcPr>
          <w:p w14:paraId="195B00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5335C9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AD23C6" w14:textId="77777777">
        <w:tc>
          <w:tcPr>
            <w:tcW w:w="3510" w:type="dxa"/>
          </w:tcPr>
          <w:p w14:paraId="58C79E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7D23D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232/3000*</w:t>
            </w:r>
          </w:p>
        </w:tc>
      </w:tr>
      <w:tr w:rsidR="00DA227A" w:rsidRPr="00E93F40" w14:paraId="1999F5A1" w14:textId="77777777">
        <w:tc>
          <w:tcPr>
            <w:tcW w:w="3510" w:type="dxa"/>
          </w:tcPr>
          <w:p w14:paraId="27425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37217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69EE13" w14:textId="77777777">
        <w:tc>
          <w:tcPr>
            <w:tcW w:w="3510" w:type="dxa"/>
          </w:tcPr>
          <w:p w14:paraId="4270DB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7EA6A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12,28/3000*</w:t>
            </w:r>
          </w:p>
        </w:tc>
      </w:tr>
      <w:tr w:rsidR="00DA227A" w:rsidRPr="00E93F40" w14:paraId="3B329821" w14:textId="77777777">
        <w:tc>
          <w:tcPr>
            <w:tcW w:w="3510" w:type="dxa"/>
          </w:tcPr>
          <w:p w14:paraId="09DF3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54722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6050*</w:t>
            </w:r>
          </w:p>
        </w:tc>
      </w:tr>
      <w:tr w:rsidR="00DA227A" w:rsidRPr="00E93F40" w14:paraId="66A88595" w14:textId="77777777">
        <w:tc>
          <w:tcPr>
            <w:tcW w:w="3510" w:type="dxa"/>
          </w:tcPr>
          <w:p w14:paraId="1F02F2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1EAB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Головной серийный самолет</w:t>
            </w:r>
          </w:p>
        </w:tc>
      </w:tr>
      <w:tr w:rsidR="00DA227A" w:rsidRPr="00E93F40" w14:paraId="63C7D0E1" w14:textId="77777777">
        <w:tc>
          <w:tcPr>
            <w:tcW w:w="3510" w:type="dxa"/>
          </w:tcPr>
          <w:p w14:paraId="6A198F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71B264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пулемет.</w:t>
            </w:r>
          </w:p>
        </w:tc>
      </w:tr>
      <w:tr w:rsidR="00DA227A" w:rsidRPr="00E93F40" w14:paraId="6D521B58" w14:textId="77777777">
        <w:tc>
          <w:tcPr>
            <w:tcW w:w="3510" w:type="dxa"/>
          </w:tcPr>
          <w:p w14:paraId="03A54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763BC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01F4960" w14:textId="77777777">
        <w:tc>
          <w:tcPr>
            <w:tcW w:w="3510" w:type="dxa"/>
          </w:tcPr>
          <w:p w14:paraId="01EFE1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6AB07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865B67" w14:textId="77777777">
        <w:tc>
          <w:tcPr>
            <w:tcW w:w="3510" w:type="dxa"/>
          </w:tcPr>
          <w:p w14:paraId="1B4EA8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33A1A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4B9BF4" w14:textId="77777777">
        <w:tc>
          <w:tcPr>
            <w:tcW w:w="3510" w:type="dxa"/>
          </w:tcPr>
          <w:p w14:paraId="4C6D6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1C359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597EA4" w14:textId="77777777">
        <w:tc>
          <w:tcPr>
            <w:tcW w:w="3510" w:type="dxa"/>
          </w:tcPr>
          <w:p w14:paraId="45AAA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00AE7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течение октября головной серийный самолет прошел испытания. Последние показали близкое </w:t>
            </w:r>
          </w:p>
        </w:tc>
      </w:tr>
      <w:tr w:rsidR="00DA227A" w:rsidRPr="00E93F40" w14:paraId="39B68BD4" w14:textId="77777777">
        <w:tc>
          <w:tcPr>
            <w:tcW w:w="3510" w:type="dxa"/>
          </w:tcPr>
          <w:p w14:paraId="6D5C66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CE14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совпадение летных данных серийного и опытного самолетов за исключением снижения потолка, </w:t>
            </w:r>
          </w:p>
        </w:tc>
      </w:tr>
      <w:tr w:rsidR="00DA227A" w:rsidRPr="00E93F40" w14:paraId="7B289473" w14:textId="77777777">
        <w:tc>
          <w:tcPr>
            <w:tcW w:w="3510" w:type="dxa"/>
          </w:tcPr>
          <w:p w14:paraId="2B1F09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0BE2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объясняемого плохой работой моторов, стоявших на самолете.</w:t>
            </w:r>
          </w:p>
        </w:tc>
      </w:tr>
      <w:tr w:rsidR="00DA227A" w:rsidRPr="00E93F40" w14:paraId="64B378F9" w14:textId="77777777">
        <w:tc>
          <w:tcPr>
            <w:tcW w:w="3510" w:type="dxa"/>
          </w:tcPr>
          <w:p w14:paraId="5ED40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5ACE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Параллельно на самолете были обнаружены большие вибрации хвостового оперения на малых </w:t>
            </w:r>
          </w:p>
        </w:tc>
      </w:tr>
      <w:tr w:rsidR="00DA227A" w:rsidRPr="00E93F40" w14:paraId="7039E74F" w14:textId="77777777">
        <w:tc>
          <w:tcPr>
            <w:tcW w:w="3510" w:type="dxa"/>
          </w:tcPr>
          <w:p w14:paraId="5434E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BE87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скоростях полета, отсутствовавшие на опытном образце. В настоящее время ЦАГИ ведет </w:t>
            </w:r>
          </w:p>
        </w:tc>
      </w:tr>
      <w:tr w:rsidR="00DA227A" w:rsidRPr="00E93F40" w14:paraId="191C8D06" w14:textId="77777777">
        <w:tc>
          <w:tcPr>
            <w:tcW w:w="3510" w:type="dxa"/>
          </w:tcPr>
          <w:p w14:paraId="786BB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87EF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переделки самолета с целью устранения вибрации, не давшие до сих пор удовлетворительных </w:t>
            </w:r>
          </w:p>
        </w:tc>
      </w:tr>
      <w:tr w:rsidR="00DA227A" w:rsidRPr="00E93F40" w14:paraId="47A52F29" w14:textId="77777777">
        <w:tc>
          <w:tcPr>
            <w:tcW w:w="3510" w:type="dxa"/>
          </w:tcPr>
          <w:p w14:paraId="775AE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F3C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результатов.</w:t>
            </w:r>
          </w:p>
        </w:tc>
      </w:tr>
      <w:tr w:rsidR="00DA227A" w:rsidRPr="00E93F40" w14:paraId="4CC67FA4" w14:textId="77777777">
        <w:tc>
          <w:tcPr>
            <w:tcW w:w="3510" w:type="dxa"/>
          </w:tcPr>
          <w:p w14:paraId="270F18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инженер Куликов.</w:t>
            </w:r>
          </w:p>
        </w:tc>
        <w:tc>
          <w:tcPr>
            <w:tcW w:w="6946" w:type="dxa"/>
          </w:tcPr>
          <w:p w14:paraId="092AD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10F5B5" w14:textId="77777777">
        <w:tc>
          <w:tcPr>
            <w:tcW w:w="3510" w:type="dxa"/>
          </w:tcPr>
          <w:p w14:paraId="761BA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1DD02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И8-Кертис-Конкверор</w:t>
            </w:r>
          </w:p>
        </w:tc>
      </w:tr>
      <w:tr w:rsidR="00DA227A" w:rsidRPr="00E93F40" w14:paraId="37CCA5AB" w14:textId="77777777">
        <w:tc>
          <w:tcPr>
            <w:tcW w:w="3510" w:type="dxa"/>
          </w:tcPr>
          <w:p w14:paraId="06AEF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006ED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473A72" w14:textId="77777777">
        <w:tc>
          <w:tcPr>
            <w:tcW w:w="3510" w:type="dxa"/>
          </w:tcPr>
          <w:p w14:paraId="40FC57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2BBA9D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310/5000</w:t>
            </w:r>
          </w:p>
        </w:tc>
      </w:tr>
      <w:tr w:rsidR="00DA227A" w:rsidRPr="00E93F40" w14:paraId="0DDCEC58" w14:textId="77777777">
        <w:tc>
          <w:tcPr>
            <w:tcW w:w="3510" w:type="dxa"/>
          </w:tcPr>
          <w:p w14:paraId="1499F7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71B37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94C46B" w14:textId="77777777">
        <w:tc>
          <w:tcPr>
            <w:tcW w:w="3510" w:type="dxa"/>
          </w:tcPr>
          <w:p w14:paraId="6F63A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5E444E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6-7/5000</w:t>
            </w:r>
          </w:p>
        </w:tc>
      </w:tr>
      <w:tr w:rsidR="00DA227A" w:rsidRPr="00E93F40" w14:paraId="5B12EBA3" w14:textId="77777777">
        <w:tc>
          <w:tcPr>
            <w:tcW w:w="3510" w:type="dxa"/>
          </w:tcPr>
          <w:p w14:paraId="4F403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6D0104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2CDF3F56" w14:textId="77777777">
        <w:tc>
          <w:tcPr>
            <w:tcW w:w="3510" w:type="dxa"/>
          </w:tcPr>
          <w:p w14:paraId="7FE6A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4FCAA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пулем.</w:t>
            </w:r>
          </w:p>
        </w:tc>
      </w:tr>
      <w:tr w:rsidR="00DA227A" w:rsidRPr="00E93F40" w14:paraId="6848E984" w14:textId="77777777">
        <w:tc>
          <w:tcPr>
            <w:tcW w:w="3510" w:type="dxa"/>
          </w:tcPr>
          <w:p w14:paraId="0B8D8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4E9FE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1,5-2 час.</w:t>
            </w:r>
          </w:p>
        </w:tc>
      </w:tr>
      <w:tr w:rsidR="00DA227A" w:rsidRPr="00E93F40" w14:paraId="6754A415" w14:textId="77777777">
        <w:tc>
          <w:tcPr>
            <w:tcW w:w="3510" w:type="dxa"/>
          </w:tcPr>
          <w:p w14:paraId="50336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5E00FF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9C6F22" w14:textId="77777777">
        <w:tc>
          <w:tcPr>
            <w:tcW w:w="3510" w:type="dxa"/>
          </w:tcPr>
          <w:p w14:paraId="3527B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502AD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сентября 1930 года</w:t>
            </w:r>
          </w:p>
        </w:tc>
      </w:tr>
      <w:tr w:rsidR="00DA227A" w:rsidRPr="00E93F40" w14:paraId="2EF9C55B" w14:textId="77777777">
        <w:tc>
          <w:tcPr>
            <w:tcW w:w="3510" w:type="dxa"/>
          </w:tcPr>
          <w:p w14:paraId="2D601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A4F4A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236F90" w14:textId="77777777">
        <w:tc>
          <w:tcPr>
            <w:tcW w:w="3510" w:type="dxa"/>
          </w:tcPr>
          <w:p w14:paraId="3F14FF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3983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крайне медленных темпов доводки самолета последний до настоящего времени на </w:t>
            </w:r>
          </w:p>
        </w:tc>
      </w:tr>
      <w:tr w:rsidR="00DA227A" w:rsidRPr="00E93F40" w14:paraId="7D4A49FD" w14:textId="77777777">
        <w:tc>
          <w:tcPr>
            <w:tcW w:w="3510" w:type="dxa"/>
          </w:tcPr>
          <w:p w14:paraId="447BB9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999D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не предъявлен. ЦКБ ЦАГИ предполагает передать самолет на испытания в феврале-</w:t>
            </w:r>
          </w:p>
        </w:tc>
      </w:tr>
      <w:tr w:rsidR="00DA227A" w:rsidRPr="00E93F40" w14:paraId="2EEF5318" w14:textId="77777777">
        <w:tc>
          <w:tcPr>
            <w:tcW w:w="3510" w:type="dxa"/>
          </w:tcPr>
          <w:p w14:paraId="26056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822E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марте 1932 года.</w:t>
            </w:r>
          </w:p>
        </w:tc>
      </w:tr>
      <w:tr w:rsidR="00DA227A" w:rsidRPr="00E93F40" w14:paraId="2790F95D" w14:textId="77777777">
        <w:tc>
          <w:tcPr>
            <w:tcW w:w="3510" w:type="dxa"/>
          </w:tcPr>
          <w:p w14:paraId="2E538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Петров.</w:t>
            </w:r>
          </w:p>
        </w:tc>
        <w:tc>
          <w:tcPr>
            <w:tcW w:w="6946" w:type="dxa"/>
          </w:tcPr>
          <w:p w14:paraId="555135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A8B49A" w14:textId="77777777">
        <w:tc>
          <w:tcPr>
            <w:tcW w:w="3510" w:type="dxa"/>
          </w:tcPr>
          <w:p w14:paraId="7FBB1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48A428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И7-М17 Е=7,3</w:t>
            </w:r>
          </w:p>
        </w:tc>
      </w:tr>
      <w:tr w:rsidR="00DA227A" w:rsidRPr="00E93F40" w14:paraId="4392B7B9" w14:textId="77777777">
        <w:tc>
          <w:tcPr>
            <w:tcW w:w="3510" w:type="dxa"/>
          </w:tcPr>
          <w:p w14:paraId="4F256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A290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92FE51" w14:textId="77777777">
        <w:tc>
          <w:tcPr>
            <w:tcW w:w="3510" w:type="dxa"/>
          </w:tcPr>
          <w:p w14:paraId="6E9EFC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643E9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277/5000</w:t>
            </w:r>
          </w:p>
        </w:tc>
      </w:tr>
      <w:tr w:rsidR="00DA227A" w:rsidRPr="00E93F40" w14:paraId="5E029261" w14:textId="77777777">
        <w:tc>
          <w:tcPr>
            <w:tcW w:w="3510" w:type="dxa"/>
          </w:tcPr>
          <w:p w14:paraId="55335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2CCD60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BB1616" w14:textId="77777777">
        <w:tc>
          <w:tcPr>
            <w:tcW w:w="3510" w:type="dxa"/>
          </w:tcPr>
          <w:p w14:paraId="23B682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2BBF4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10,5/5000</w:t>
            </w:r>
          </w:p>
        </w:tc>
      </w:tr>
      <w:tr w:rsidR="00DA227A" w:rsidRPr="00E93F40" w14:paraId="0FFCE594" w14:textId="77777777">
        <w:tc>
          <w:tcPr>
            <w:tcW w:w="3510" w:type="dxa"/>
          </w:tcPr>
          <w:p w14:paraId="1B4B37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2F98B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1044C3C8" w14:textId="77777777">
        <w:tc>
          <w:tcPr>
            <w:tcW w:w="3510" w:type="dxa"/>
          </w:tcPr>
          <w:p w14:paraId="74001B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4332D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пулем.</w:t>
            </w:r>
          </w:p>
        </w:tc>
      </w:tr>
      <w:tr w:rsidR="00DA227A" w:rsidRPr="00E93F40" w14:paraId="154B4E9E" w14:textId="77777777">
        <w:tc>
          <w:tcPr>
            <w:tcW w:w="3510" w:type="dxa"/>
          </w:tcPr>
          <w:p w14:paraId="391780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5A42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C1A7F1" w14:textId="77777777">
        <w:tc>
          <w:tcPr>
            <w:tcW w:w="3510" w:type="dxa"/>
          </w:tcPr>
          <w:p w14:paraId="0513C3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6249E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N 1 ведется постройка первой серии самолетов.</w:t>
            </w:r>
          </w:p>
        </w:tc>
      </w:tr>
      <w:tr w:rsidR="00DA227A" w:rsidRPr="00E93F40" w14:paraId="5BDDB649" w14:textId="77777777">
        <w:tc>
          <w:tcPr>
            <w:tcW w:w="3510" w:type="dxa"/>
          </w:tcPr>
          <w:p w14:paraId="4854B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116F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95004F" w14:textId="77777777">
        <w:tc>
          <w:tcPr>
            <w:tcW w:w="3510" w:type="dxa"/>
          </w:tcPr>
          <w:p w14:paraId="63A6FE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Петров.</w:t>
            </w:r>
          </w:p>
        </w:tc>
        <w:tc>
          <w:tcPr>
            <w:tcW w:w="6946" w:type="dxa"/>
          </w:tcPr>
          <w:p w14:paraId="188B3C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E30A1C" w14:textId="77777777">
        <w:tc>
          <w:tcPr>
            <w:tcW w:w="3510" w:type="dxa"/>
          </w:tcPr>
          <w:p w14:paraId="5F39A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411168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 (д/химич. целей)</w:t>
            </w:r>
          </w:p>
        </w:tc>
      </w:tr>
      <w:tr w:rsidR="00DA227A" w:rsidRPr="00E93F40" w14:paraId="66E9D1A1" w14:textId="77777777">
        <w:tc>
          <w:tcPr>
            <w:tcW w:w="3510" w:type="dxa"/>
          </w:tcPr>
          <w:p w14:paraId="4807A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8B445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не установлены.</w:t>
            </w:r>
          </w:p>
        </w:tc>
      </w:tr>
      <w:tr w:rsidR="00DA227A" w:rsidRPr="00E93F40" w14:paraId="66F1C7D3" w14:textId="77777777">
        <w:tc>
          <w:tcPr>
            <w:tcW w:w="3510" w:type="dxa"/>
          </w:tcPr>
          <w:p w14:paraId="331C08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5743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8789B2" w14:textId="77777777">
        <w:tc>
          <w:tcPr>
            <w:tcW w:w="3510" w:type="dxa"/>
          </w:tcPr>
          <w:p w14:paraId="648BE9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66804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Установка химических баков в фюзеляже в места кассетного бомбодержателя будет закончена в </w:t>
            </w:r>
          </w:p>
        </w:tc>
      </w:tr>
      <w:tr w:rsidR="00DA227A" w:rsidRPr="00E93F40" w14:paraId="7D48317F" w14:textId="77777777">
        <w:tc>
          <w:tcPr>
            <w:tcW w:w="3510" w:type="dxa"/>
          </w:tcPr>
          <w:p w14:paraId="04BA63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7E9C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середине января 1932 года.</w:t>
            </w:r>
          </w:p>
        </w:tc>
      </w:tr>
      <w:tr w:rsidR="00DA227A" w:rsidRPr="00E93F40" w14:paraId="2325246D" w14:textId="77777777">
        <w:tc>
          <w:tcPr>
            <w:tcW w:w="3510" w:type="dxa"/>
          </w:tcPr>
          <w:p w14:paraId="559FCD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6E9D4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Горелова под мотор Вальтер</w:t>
            </w:r>
          </w:p>
        </w:tc>
      </w:tr>
      <w:tr w:rsidR="00DA227A" w:rsidRPr="00E93F40" w14:paraId="14C4D76E" w14:textId="77777777">
        <w:tc>
          <w:tcPr>
            <w:tcW w:w="3510" w:type="dxa"/>
          </w:tcPr>
          <w:p w14:paraId="62F333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7020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не установлены.</w:t>
            </w:r>
          </w:p>
        </w:tc>
      </w:tr>
      <w:tr w:rsidR="00DA227A" w:rsidRPr="00E93F40" w14:paraId="4DEF2FE7" w14:textId="77777777">
        <w:tc>
          <w:tcPr>
            <w:tcW w:w="3510" w:type="dxa"/>
          </w:tcPr>
          <w:p w14:paraId="5E8960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75AB5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7CC988" w14:textId="77777777">
        <w:tc>
          <w:tcPr>
            <w:tcW w:w="3510" w:type="dxa"/>
          </w:tcPr>
          <w:p w14:paraId="6C0D7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5C7A5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необходимости полной переделки управления разрезными крыльями, шасси и оперения </w:t>
            </w:r>
          </w:p>
        </w:tc>
      </w:tr>
      <w:tr w:rsidR="00DA227A" w:rsidRPr="00E93F40" w14:paraId="4F5B4602" w14:textId="77777777">
        <w:tc>
          <w:tcPr>
            <w:tcW w:w="3510" w:type="dxa"/>
          </w:tcPr>
          <w:p w14:paraId="174C3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29A2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ЦКБ ЦАГИ решило работы по самолету Горелова прекратить.</w:t>
            </w:r>
          </w:p>
        </w:tc>
      </w:tr>
      <w:tr w:rsidR="00DA227A" w:rsidRPr="00E93F40" w14:paraId="5795C22F" w14:textId="77777777">
        <w:tc>
          <w:tcPr>
            <w:tcW w:w="3510" w:type="dxa"/>
          </w:tcPr>
          <w:p w14:paraId="7B9998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4E7AC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"Парабола" М11</w:t>
            </w:r>
          </w:p>
        </w:tc>
      </w:tr>
      <w:tr w:rsidR="00DA227A" w:rsidRPr="00E93F40" w14:paraId="1A9132C9" w14:textId="77777777">
        <w:tc>
          <w:tcPr>
            <w:tcW w:w="3510" w:type="dxa"/>
          </w:tcPr>
          <w:p w14:paraId="274774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B5583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не установлены.</w:t>
            </w:r>
          </w:p>
        </w:tc>
      </w:tr>
      <w:tr w:rsidR="00DA227A" w:rsidRPr="00E93F40" w14:paraId="5D6CB969" w14:textId="77777777">
        <w:tc>
          <w:tcPr>
            <w:tcW w:w="3510" w:type="dxa"/>
          </w:tcPr>
          <w:p w14:paraId="4F561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Степень выполнения на</w:t>
            </w:r>
          </w:p>
        </w:tc>
        <w:tc>
          <w:tcPr>
            <w:tcW w:w="6946" w:type="dxa"/>
          </w:tcPr>
          <w:p w14:paraId="33DDC2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F61CC1" w14:textId="77777777">
        <w:tc>
          <w:tcPr>
            <w:tcW w:w="3510" w:type="dxa"/>
          </w:tcPr>
          <w:p w14:paraId="2F11DA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5AE6B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ЦКБ ЦАГИ включило переделку построенного самолета с целью устранения ряда имеющихся у </w:t>
            </w:r>
          </w:p>
        </w:tc>
      </w:tr>
      <w:tr w:rsidR="00DA227A" w:rsidRPr="00E93F40" w14:paraId="4D78787F" w14:textId="77777777">
        <w:tc>
          <w:tcPr>
            <w:tcW w:w="3510" w:type="dxa"/>
          </w:tcPr>
          <w:p w14:paraId="5CBA0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84F83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него дефектов в свой рабочий план на 1 квартал 1932 года.</w:t>
            </w:r>
          </w:p>
        </w:tc>
      </w:tr>
      <w:tr w:rsidR="00DA227A" w:rsidRPr="00E93F40" w14:paraId="420C7A46" w14:textId="77777777">
        <w:tc>
          <w:tcPr>
            <w:tcW w:w="3510" w:type="dxa"/>
          </w:tcPr>
          <w:p w14:paraId="21B37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585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должен быть подготовлен к полету к 1 мая 1932 года. Этот срок НИИ ВВС </w:t>
            </w:r>
          </w:p>
        </w:tc>
      </w:tr>
      <w:tr w:rsidR="00DA227A" w:rsidRPr="00E93F40" w14:paraId="779D36B1" w14:textId="77777777">
        <w:tc>
          <w:tcPr>
            <w:tcW w:w="3510" w:type="dxa"/>
          </w:tcPr>
          <w:p w14:paraId="73BB9D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F8DA2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опротестовывает как слишком поздний.</w:t>
            </w:r>
          </w:p>
        </w:tc>
      </w:tr>
      <w:tr w:rsidR="00DA227A" w:rsidRPr="00E93F40" w14:paraId="19446F06" w14:textId="77777777">
        <w:tc>
          <w:tcPr>
            <w:tcW w:w="3510" w:type="dxa"/>
          </w:tcPr>
          <w:p w14:paraId="65481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Кравцов.</w:t>
            </w:r>
          </w:p>
        </w:tc>
        <w:tc>
          <w:tcPr>
            <w:tcW w:w="6946" w:type="dxa"/>
          </w:tcPr>
          <w:p w14:paraId="18CD5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006BC0" w14:textId="77777777">
        <w:tc>
          <w:tcPr>
            <w:tcW w:w="3510" w:type="dxa"/>
          </w:tcPr>
          <w:p w14:paraId="7163F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1FEF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1-ВГ Геликоптер</w:t>
            </w:r>
          </w:p>
        </w:tc>
      </w:tr>
      <w:tr w:rsidR="00DA227A" w:rsidRPr="00E93F40" w14:paraId="3D39723C" w14:textId="77777777">
        <w:tc>
          <w:tcPr>
            <w:tcW w:w="3510" w:type="dxa"/>
          </w:tcPr>
          <w:p w14:paraId="24328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4106C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A9A4C9" w14:textId="77777777">
        <w:tc>
          <w:tcPr>
            <w:tcW w:w="3510" w:type="dxa"/>
          </w:tcPr>
          <w:p w14:paraId="5FE02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5FB81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Ремонт геликоптера за истекший период закончен. На Ухтомском аэродроме начаты </w:t>
            </w:r>
          </w:p>
        </w:tc>
      </w:tr>
      <w:tr w:rsidR="00DA227A" w:rsidRPr="00E93F40" w14:paraId="3B521C3A" w14:textId="77777777">
        <w:tc>
          <w:tcPr>
            <w:tcW w:w="3510" w:type="dxa"/>
          </w:tcPr>
          <w:p w14:paraId="63236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F3CD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испытания, которые в текущей стадии заключаются в взлетах на привязи. Переход к свободным </w:t>
            </w:r>
          </w:p>
        </w:tc>
      </w:tr>
      <w:tr w:rsidR="00DA227A" w:rsidRPr="00E93F40" w14:paraId="362A76F9" w14:textId="77777777">
        <w:tc>
          <w:tcPr>
            <w:tcW w:w="3510" w:type="dxa"/>
          </w:tcPr>
          <w:p w14:paraId="5811B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A359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полетам намечен на середину января 1932 года.</w:t>
            </w:r>
          </w:p>
        </w:tc>
      </w:tr>
      <w:tr w:rsidR="00DA227A" w:rsidRPr="00E93F40" w14:paraId="24457845" w14:textId="77777777">
        <w:tc>
          <w:tcPr>
            <w:tcW w:w="3510" w:type="dxa"/>
          </w:tcPr>
          <w:p w14:paraId="1622E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 инженер Квитко.</w:t>
            </w:r>
          </w:p>
        </w:tc>
        <w:tc>
          <w:tcPr>
            <w:tcW w:w="6946" w:type="dxa"/>
          </w:tcPr>
          <w:p w14:paraId="55226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BA48A4" w14:textId="77777777">
        <w:tc>
          <w:tcPr>
            <w:tcW w:w="3510" w:type="dxa"/>
          </w:tcPr>
          <w:p w14:paraId="1823A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C026A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Вертолет (автожир)</w:t>
            </w:r>
          </w:p>
        </w:tc>
      </w:tr>
      <w:tr w:rsidR="00DA227A" w:rsidRPr="00E93F40" w14:paraId="2A4D6BF9" w14:textId="77777777">
        <w:tc>
          <w:tcPr>
            <w:tcW w:w="3510" w:type="dxa"/>
          </w:tcPr>
          <w:p w14:paraId="4C81A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43F4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E313E2" w14:textId="77777777">
        <w:tc>
          <w:tcPr>
            <w:tcW w:w="3510" w:type="dxa"/>
          </w:tcPr>
          <w:p w14:paraId="7733F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ECEE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Работа по автожирам за текущий квартал организационно сосредоточена в Секции особых </w:t>
            </w:r>
          </w:p>
        </w:tc>
      </w:tr>
      <w:tr w:rsidR="00DA227A" w:rsidRPr="00E93F40" w14:paraId="3F9666BF" w14:textId="77777777">
        <w:tc>
          <w:tcPr>
            <w:tcW w:w="3510" w:type="dxa"/>
          </w:tcPr>
          <w:p w14:paraId="7F7E6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C54F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конструкций ЭАО ЦАГИ, в которую вошел конструктор вертолета инж. Камов.</w:t>
            </w:r>
          </w:p>
        </w:tc>
      </w:tr>
      <w:tr w:rsidR="00DA227A" w:rsidRPr="00E93F40" w14:paraId="4F9B0EF4" w14:textId="77777777">
        <w:tc>
          <w:tcPr>
            <w:tcW w:w="3510" w:type="dxa"/>
          </w:tcPr>
          <w:p w14:paraId="07F07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4A47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износа фюзеляжа и лопастей первого вертолета решено его доводку прекратить, построив </w:t>
            </w:r>
          </w:p>
        </w:tc>
      </w:tr>
      <w:tr w:rsidR="00DA227A" w:rsidRPr="00E93F40" w14:paraId="47124122" w14:textId="77777777">
        <w:tc>
          <w:tcPr>
            <w:tcW w:w="3510" w:type="dxa"/>
          </w:tcPr>
          <w:p w14:paraId="0A997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954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году 2 новых вертолета под моторы М11 и М22. В настоящее время на аэродроме начаты </w:t>
            </w:r>
          </w:p>
        </w:tc>
      </w:tr>
      <w:tr w:rsidR="00DA227A" w:rsidRPr="00E93F40" w14:paraId="2815E9BB" w14:textId="77777777">
        <w:tc>
          <w:tcPr>
            <w:tcW w:w="3510" w:type="dxa"/>
          </w:tcPr>
          <w:p w14:paraId="22597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5619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испытания автожира с мотором Титан, построенного ЭАО ЦАГИ и являющегося повторением </w:t>
            </w:r>
          </w:p>
        </w:tc>
      </w:tr>
      <w:tr w:rsidR="00DA227A" w:rsidRPr="00E93F40" w14:paraId="22A7393C" w14:textId="77777777">
        <w:tc>
          <w:tcPr>
            <w:tcW w:w="3510" w:type="dxa"/>
          </w:tcPr>
          <w:p w14:paraId="6BB472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4935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одного из последних образцов автожира Сиервы. Первые 3 полета проведены удачно.</w:t>
            </w:r>
          </w:p>
        </w:tc>
      </w:tr>
      <w:tr w:rsidR="00DA227A" w:rsidRPr="00E93F40" w14:paraId="174BFD54" w14:textId="77777777">
        <w:tc>
          <w:tcPr>
            <w:tcW w:w="3510" w:type="dxa"/>
          </w:tcPr>
          <w:p w14:paraId="044B71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Кравцов.</w:t>
            </w:r>
          </w:p>
        </w:tc>
        <w:tc>
          <w:tcPr>
            <w:tcW w:w="6946" w:type="dxa"/>
          </w:tcPr>
          <w:p w14:paraId="5D516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2A82AF" w14:textId="77777777">
        <w:tc>
          <w:tcPr>
            <w:tcW w:w="3510" w:type="dxa"/>
          </w:tcPr>
          <w:p w14:paraId="59423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CA80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Р5а-М17 на поплавках</w:t>
            </w:r>
          </w:p>
        </w:tc>
      </w:tr>
      <w:tr w:rsidR="00DA227A" w:rsidRPr="00E93F40" w14:paraId="26E2B1EC" w14:textId="77777777">
        <w:tc>
          <w:tcPr>
            <w:tcW w:w="3510" w:type="dxa"/>
          </w:tcPr>
          <w:p w14:paraId="5DE43C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7EE2A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будут получены при испытании.</w:t>
            </w:r>
          </w:p>
        </w:tc>
      </w:tr>
      <w:tr w:rsidR="00DA227A" w:rsidRPr="00E93F40" w14:paraId="47F02460" w14:textId="77777777">
        <w:tc>
          <w:tcPr>
            <w:tcW w:w="3510" w:type="dxa"/>
          </w:tcPr>
          <w:p w14:paraId="61D070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147E2F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6B1FFB" w14:textId="77777777">
        <w:tc>
          <w:tcPr>
            <w:tcW w:w="3510" w:type="dxa"/>
          </w:tcPr>
          <w:p w14:paraId="62B054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21A7E7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1934 года</w:t>
            </w:r>
          </w:p>
        </w:tc>
      </w:tr>
      <w:tr w:rsidR="00DA227A" w:rsidRPr="00E93F40" w14:paraId="759E66A6" w14:textId="77777777">
        <w:tc>
          <w:tcPr>
            <w:tcW w:w="3510" w:type="dxa"/>
          </w:tcPr>
          <w:p w14:paraId="45B6C1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F2AB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28B734" w14:textId="77777777">
        <w:tc>
          <w:tcPr>
            <w:tcW w:w="3510" w:type="dxa"/>
          </w:tcPr>
          <w:p w14:paraId="58D4E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9EEB8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находится на заводских испытаниях в Севастополе. После окончания заводских </w:t>
            </w:r>
          </w:p>
        </w:tc>
      </w:tr>
      <w:tr w:rsidR="00DA227A" w:rsidRPr="00E93F40" w14:paraId="39D769EA" w14:textId="77777777">
        <w:tc>
          <w:tcPr>
            <w:tcW w:w="3510" w:type="dxa"/>
          </w:tcPr>
          <w:p w14:paraId="730922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07A9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испытаний поступит на гос. испытания в ОАО НИИ.</w:t>
            </w:r>
          </w:p>
        </w:tc>
      </w:tr>
      <w:tr w:rsidR="00DA227A" w:rsidRPr="00E93F40" w14:paraId="512FB22A" w14:textId="77777777">
        <w:tc>
          <w:tcPr>
            <w:tcW w:w="3510" w:type="dxa"/>
          </w:tcPr>
          <w:p w14:paraId="1806F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Украинцев.</w:t>
            </w:r>
          </w:p>
        </w:tc>
        <w:tc>
          <w:tcPr>
            <w:tcW w:w="6946" w:type="dxa"/>
          </w:tcPr>
          <w:p w14:paraId="5E969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CA5210" w14:textId="77777777">
        <w:tc>
          <w:tcPr>
            <w:tcW w:w="3510" w:type="dxa"/>
          </w:tcPr>
          <w:p w14:paraId="2DD2C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09FB53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Р5-2М17 (на поплавках)</w:t>
            </w:r>
          </w:p>
        </w:tc>
      </w:tr>
      <w:tr w:rsidR="00DA227A" w:rsidRPr="00E93F40" w14:paraId="2411A2C1" w14:textId="77777777">
        <w:tc>
          <w:tcPr>
            <w:tcW w:w="3510" w:type="dxa"/>
          </w:tcPr>
          <w:p w14:paraId="31BAF5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C7A1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будут получены при испытании.</w:t>
            </w:r>
          </w:p>
        </w:tc>
      </w:tr>
      <w:tr w:rsidR="00DA227A" w:rsidRPr="00E93F40" w14:paraId="349AA000" w14:textId="77777777">
        <w:tc>
          <w:tcPr>
            <w:tcW w:w="3510" w:type="dxa"/>
          </w:tcPr>
          <w:p w14:paraId="539D7E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C11DE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3C2F70" w14:textId="77777777">
        <w:tc>
          <w:tcPr>
            <w:tcW w:w="3510" w:type="dxa"/>
          </w:tcPr>
          <w:p w14:paraId="2AF8E1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8E989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Даны техтребования. Разрабатывается центровка самолета. Схема шасси разрабатывается. </w:t>
            </w:r>
          </w:p>
        </w:tc>
      </w:tr>
      <w:tr w:rsidR="00DA227A" w:rsidRPr="00E93F40" w14:paraId="69D7AEA4" w14:textId="77777777">
        <w:tc>
          <w:tcPr>
            <w:tcW w:w="3510" w:type="dxa"/>
          </w:tcPr>
          <w:p w14:paraId="79F4A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90AA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Заготовлены модели для продувок и протасок. Срок ВАО для предъявления на заводские </w:t>
            </w:r>
          </w:p>
        </w:tc>
      </w:tr>
      <w:tr w:rsidR="00DA227A" w:rsidRPr="00E93F40" w14:paraId="4D82C4C0" w14:textId="77777777">
        <w:tc>
          <w:tcPr>
            <w:tcW w:w="3510" w:type="dxa"/>
          </w:tcPr>
          <w:p w14:paraId="1253A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EF02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19 июля 1932 года.</w:t>
            </w:r>
          </w:p>
        </w:tc>
      </w:tr>
      <w:tr w:rsidR="00DA227A" w:rsidRPr="00E93F40" w14:paraId="62DDD5AD" w14:textId="77777777">
        <w:tc>
          <w:tcPr>
            <w:tcW w:w="3510" w:type="dxa"/>
          </w:tcPr>
          <w:p w14:paraId="2CC2C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Украинцев.</w:t>
            </w:r>
          </w:p>
        </w:tc>
        <w:tc>
          <w:tcPr>
            <w:tcW w:w="6946" w:type="dxa"/>
          </w:tcPr>
          <w:p w14:paraId="47FA2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01765A" w14:textId="77777777">
        <w:tc>
          <w:tcPr>
            <w:tcW w:w="3510" w:type="dxa"/>
          </w:tcPr>
          <w:p w14:paraId="735B3E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0E8694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МДР2-2БМВVIз</w:t>
            </w:r>
          </w:p>
        </w:tc>
      </w:tr>
      <w:tr w:rsidR="00DA227A" w:rsidRPr="00E93F40" w14:paraId="2A40053D" w14:textId="77777777">
        <w:tc>
          <w:tcPr>
            <w:tcW w:w="3510" w:type="dxa"/>
          </w:tcPr>
          <w:p w14:paraId="3F263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3721E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4159F1" w14:textId="77777777">
        <w:tc>
          <w:tcPr>
            <w:tcW w:w="3510" w:type="dxa"/>
          </w:tcPr>
          <w:p w14:paraId="7515A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5BFBB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ном. 187</w:t>
            </w:r>
          </w:p>
        </w:tc>
      </w:tr>
      <w:tr w:rsidR="00DA227A" w:rsidRPr="00E93F40" w14:paraId="376373B5" w14:textId="77777777">
        <w:tc>
          <w:tcPr>
            <w:tcW w:w="3510" w:type="dxa"/>
          </w:tcPr>
          <w:p w14:paraId="5D247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5A16C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2A70CB" w14:textId="77777777">
        <w:tc>
          <w:tcPr>
            <w:tcW w:w="3510" w:type="dxa"/>
          </w:tcPr>
          <w:p w14:paraId="7D5AAD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1AAFF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39,75 м/3000</w:t>
            </w:r>
          </w:p>
        </w:tc>
      </w:tr>
      <w:tr w:rsidR="00DA227A" w:rsidRPr="00E93F40" w14:paraId="0DE24E33" w14:textId="77777777">
        <w:tc>
          <w:tcPr>
            <w:tcW w:w="3510" w:type="dxa"/>
          </w:tcPr>
          <w:p w14:paraId="33360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3B1ACA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3330</w:t>
            </w:r>
          </w:p>
        </w:tc>
      </w:tr>
      <w:tr w:rsidR="00DA227A" w:rsidRPr="00E93F40" w14:paraId="7887EFA0" w14:textId="77777777">
        <w:tc>
          <w:tcPr>
            <w:tcW w:w="3510" w:type="dxa"/>
          </w:tcPr>
          <w:p w14:paraId="3DDEB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234A68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пулем., бомбы в счет перегрузки 4х250 или 2Х250+4х100</w:t>
            </w:r>
          </w:p>
        </w:tc>
      </w:tr>
      <w:tr w:rsidR="00DA227A" w:rsidRPr="00E93F40" w14:paraId="345F8D5E" w14:textId="77777777">
        <w:tc>
          <w:tcPr>
            <w:tcW w:w="3510" w:type="dxa"/>
          </w:tcPr>
          <w:p w14:paraId="1200D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44A977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1060</w:t>
            </w:r>
          </w:p>
        </w:tc>
      </w:tr>
      <w:tr w:rsidR="00DA227A" w:rsidRPr="00E93F40" w14:paraId="4533047E" w14:textId="77777777">
        <w:tc>
          <w:tcPr>
            <w:tcW w:w="3510" w:type="dxa"/>
          </w:tcPr>
          <w:p w14:paraId="50BF3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51D07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5572F0" w14:textId="77777777">
        <w:tc>
          <w:tcPr>
            <w:tcW w:w="3510" w:type="dxa"/>
          </w:tcPr>
          <w:p w14:paraId="51402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251F1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1930 года</w:t>
            </w:r>
          </w:p>
        </w:tc>
      </w:tr>
      <w:tr w:rsidR="00DA227A" w:rsidRPr="00E93F40" w14:paraId="5BB8C14C" w14:textId="77777777">
        <w:tc>
          <w:tcPr>
            <w:tcW w:w="3510" w:type="dxa"/>
          </w:tcPr>
          <w:p w14:paraId="2A272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B80E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B527D2" w14:textId="77777777">
        <w:tc>
          <w:tcPr>
            <w:tcW w:w="3510" w:type="dxa"/>
          </w:tcPr>
          <w:p w14:paraId="59DC6C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83B8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с новыми поплавками большего водоизмещения испытан комиссией. Самолет оценен </w:t>
            </w:r>
          </w:p>
        </w:tc>
      </w:tr>
      <w:tr w:rsidR="00DA227A" w:rsidRPr="00E93F40" w14:paraId="12C3F5B5" w14:textId="77777777">
        <w:tc>
          <w:tcPr>
            <w:tcW w:w="3510" w:type="dxa"/>
          </w:tcPr>
          <w:p w14:paraId="49C558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2EEEB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комиссией неприемлемым для серийной постройки как неподходящий по летно-тактическим </w:t>
            </w:r>
          </w:p>
        </w:tc>
      </w:tr>
      <w:tr w:rsidR="00DA227A" w:rsidRPr="00E93F40" w14:paraId="3D2C89D7" w14:textId="77777777">
        <w:tc>
          <w:tcPr>
            <w:tcW w:w="3510" w:type="dxa"/>
          </w:tcPr>
          <w:p w14:paraId="02B5D3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708F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данным на сегодняшний день. Самолет к серийной постройке в 1932 году планом ВАО не </w:t>
            </w:r>
          </w:p>
        </w:tc>
      </w:tr>
      <w:tr w:rsidR="00DA227A" w:rsidRPr="00E93F40" w14:paraId="2319D48A" w14:textId="77777777">
        <w:tc>
          <w:tcPr>
            <w:tcW w:w="3510" w:type="dxa"/>
          </w:tcPr>
          <w:p w14:paraId="70B0D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C102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предусмотрен ввиду неудовлетворения его данных техтребованиям, предъявляемым к МДР </w:t>
            </w:r>
          </w:p>
        </w:tc>
      </w:tr>
      <w:tr w:rsidR="00DA227A" w:rsidRPr="00E93F40" w14:paraId="63771B0A" w14:textId="77777777">
        <w:tc>
          <w:tcPr>
            <w:tcW w:w="3510" w:type="dxa"/>
          </w:tcPr>
          <w:p w14:paraId="30FB7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B165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штабом РККА и ориентировки на самолет МДР3-4М17 по расчетным данным удовлетворяющим </w:t>
            </w:r>
          </w:p>
        </w:tc>
      </w:tr>
      <w:tr w:rsidR="00DA227A" w:rsidRPr="00E93F40" w14:paraId="59C6015B" w14:textId="77777777">
        <w:tc>
          <w:tcPr>
            <w:tcW w:w="3510" w:type="dxa"/>
          </w:tcPr>
          <w:p w14:paraId="6B554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1E3C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штаба РККА и находящемся сейчас на заводских испытаниях в Севастополе.</w:t>
            </w:r>
          </w:p>
        </w:tc>
      </w:tr>
      <w:tr w:rsidR="00DA227A" w:rsidRPr="00E93F40" w14:paraId="54EBDCA3" w14:textId="77777777">
        <w:tc>
          <w:tcPr>
            <w:tcW w:w="3510" w:type="dxa"/>
          </w:tcPr>
          <w:p w14:paraId="1C2EE6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Кудрявцев.</w:t>
            </w:r>
          </w:p>
        </w:tc>
        <w:tc>
          <w:tcPr>
            <w:tcW w:w="6946" w:type="dxa"/>
          </w:tcPr>
          <w:p w14:paraId="4E3EA9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3130D5" w14:textId="77777777">
        <w:tc>
          <w:tcPr>
            <w:tcW w:w="3510" w:type="dxa"/>
          </w:tcPr>
          <w:p w14:paraId="777C3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7468D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МДР1-2БМВVI</w:t>
            </w:r>
          </w:p>
        </w:tc>
      </w:tr>
      <w:tr w:rsidR="00DA227A" w:rsidRPr="00E93F40" w14:paraId="425A1949" w14:textId="77777777">
        <w:tc>
          <w:tcPr>
            <w:tcW w:w="3510" w:type="dxa"/>
          </w:tcPr>
          <w:p w14:paraId="582B4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0F90D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FE24E5" w14:textId="77777777">
        <w:tc>
          <w:tcPr>
            <w:tcW w:w="3510" w:type="dxa"/>
          </w:tcPr>
          <w:p w14:paraId="1588E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3FAB5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FF8D14" w14:textId="77777777">
        <w:tc>
          <w:tcPr>
            <w:tcW w:w="3510" w:type="dxa"/>
          </w:tcPr>
          <w:p w14:paraId="72DA25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35E83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D06C26" w14:textId="77777777">
        <w:tc>
          <w:tcPr>
            <w:tcW w:w="3510" w:type="dxa"/>
          </w:tcPr>
          <w:p w14:paraId="11D40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0D68E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32/3000</w:t>
            </w:r>
          </w:p>
        </w:tc>
      </w:tr>
      <w:tr w:rsidR="00DA227A" w:rsidRPr="00E93F40" w14:paraId="190D66BF" w14:textId="77777777">
        <w:tc>
          <w:tcPr>
            <w:tcW w:w="3510" w:type="dxa"/>
          </w:tcPr>
          <w:p w14:paraId="55D19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640E70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r>
      <w:tr w:rsidR="00DA227A" w:rsidRPr="00E93F40" w14:paraId="0F828811" w14:textId="77777777">
        <w:tc>
          <w:tcPr>
            <w:tcW w:w="3510" w:type="dxa"/>
          </w:tcPr>
          <w:p w14:paraId="322B5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448077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отсутствует</w:t>
            </w:r>
          </w:p>
        </w:tc>
      </w:tr>
      <w:tr w:rsidR="00DA227A" w:rsidRPr="00E93F40" w14:paraId="5D7EFC4F" w14:textId="77777777">
        <w:tc>
          <w:tcPr>
            <w:tcW w:w="3510" w:type="dxa"/>
          </w:tcPr>
          <w:p w14:paraId="1DAAAB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3783FC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36BF65D2" w14:textId="77777777">
        <w:tc>
          <w:tcPr>
            <w:tcW w:w="3510" w:type="dxa"/>
          </w:tcPr>
          <w:p w14:paraId="6BA244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4B271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0D1A25" w14:textId="77777777">
        <w:tc>
          <w:tcPr>
            <w:tcW w:w="3510" w:type="dxa"/>
          </w:tcPr>
          <w:p w14:paraId="67B1F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32A201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1931 года</w:t>
            </w:r>
          </w:p>
        </w:tc>
      </w:tr>
      <w:tr w:rsidR="00DA227A" w:rsidRPr="00E93F40" w14:paraId="3D50484A" w14:textId="77777777">
        <w:tc>
          <w:tcPr>
            <w:tcW w:w="3510" w:type="dxa"/>
          </w:tcPr>
          <w:p w14:paraId="6DB0B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FC1EA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EC387D" w14:textId="77777777">
        <w:tc>
          <w:tcPr>
            <w:tcW w:w="3510" w:type="dxa"/>
          </w:tcPr>
          <w:p w14:paraId="4BF21E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28E58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идет вне плана ЦКБ. Работы ведутся очень медленно. Лодка закончена в производстве. </w:t>
            </w:r>
          </w:p>
        </w:tc>
      </w:tr>
      <w:tr w:rsidR="00DA227A" w:rsidRPr="00E93F40" w14:paraId="14F159E3" w14:textId="77777777">
        <w:tc>
          <w:tcPr>
            <w:tcW w:w="3510" w:type="dxa"/>
          </w:tcPr>
          <w:p w14:paraId="063FFF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02F6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Конструкция крыльев разработана. Внимание КБ обращено всецело на плановые самолеты, а </w:t>
            </w:r>
          </w:p>
        </w:tc>
      </w:tr>
      <w:tr w:rsidR="00DA227A" w:rsidRPr="00E93F40" w14:paraId="7A2452CC" w14:textId="77777777">
        <w:tc>
          <w:tcPr>
            <w:tcW w:w="3510" w:type="dxa"/>
          </w:tcPr>
          <w:p w14:paraId="0A120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C3A8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МДР1 идет вне плана. Срок окончания в производстве ориентировочно к 1 мая 1932 года. Из </w:t>
            </w:r>
          </w:p>
        </w:tc>
      </w:tr>
      <w:tr w:rsidR="00DA227A" w:rsidRPr="00E93F40" w14:paraId="3B541CCE" w14:textId="77777777">
        <w:tc>
          <w:tcPr>
            <w:tcW w:w="3510" w:type="dxa"/>
          </w:tcPr>
          <w:p w14:paraId="5E8958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61D41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проекта плана опытного самолетостроения на 1932-34 г.г. исключен.</w:t>
            </w:r>
          </w:p>
        </w:tc>
      </w:tr>
      <w:tr w:rsidR="00DA227A" w:rsidRPr="00E93F40" w14:paraId="442576ED" w14:textId="77777777">
        <w:tc>
          <w:tcPr>
            <w:tcW w:w="3510" w:type="dxa"/>
          </w:tcPr>
          <w:p w14:paraId="24E1E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Кудрявцев.</w:t>
            </w:r>
          </w:p>
        </w:tc>
        <w:tc>
          <w:tcPr>
            <w:tcW w:w="6946" w:type="dxa"/>
          </w:tcPr>
          <w:p w14:paraId="09C0C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C5E970" w14:textId="77777777">
        <w:tc>
          <w:tcPr>
            <w:tcW w:w="3510" w:type="dxa"/>
          </w:tcPr>
          <w:p w14:paraId="6C5047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ED5C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"Звено"</w:t>
            </w:r>
          </w:p>
        </w:tc>
      </w:tr>
      <w:tr w:rsidR="00DA227A" w:rsidRPr="00E93F40" w14:paraId="15FE84E5" w14:textId="77777777">
        <w:tc>
          <w:tcPr>
            <w:tcW w:w="3510" w:type="dxa"/>
          </w:tcPr>
          <w:p w14:paraId="48995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D9B9D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D6D92E" w14:textId="77777777">
        <w:tc>
          <w:tcPr>
            <w:tcW w:w="3510" w:type="dxa"/>
          </w:tcPr>
          <w:p w14:paraId="603D1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1E81E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НИИ ВВС совместно с ЦАГИ реализовано изобретение инж. 1 отдела НИИ ВВС Вахмистрова, </w:t>
            </w:r>
          </w:p>
        </w:tc>
      </w:tr>
      <w:tr w:rsidR="00DA227A" w:rsidRPr="00E93F40" w14:paraId="42AA15B1" w14:textId="77777777">
        <w:tc>
          <w:tcPr>
            <w:tcW w:w="3510" w:type="dxa"/>
          </w:tcPr>
          <w:p w14:paraId="2D569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647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заключающееся в установке на крылья самолета ТБ-1 - 2М17 2-х самолетов - И-4 ЮVI с </w:t>
            </w:r>
          </w:p>
        </w:tc>
      </w:tr>
      <w:tr w:rsidR="00DA227A" w:rsidRPr="00E93F40" w14:paraId="394DD7A2" w14:textId="77777777">
        <w:tc>
          <w:tcPr>
            <w:tcW w:w="3510" w:type="dxa"/>
          </w:tcPr>
          <w:p w14:paraId="120EF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2DFA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возможностью их отцепки в воздухе. Изобретение позволяет в основном:</w:t>
            </w:r>
          </w:p>
        </w:tc>
      </w:tr>
      <w:tr w:rsidR="00DA227A" w:rsidRPr="00E93F40" w14:paraId="44A4A261" w14:textId="77777777">
        <w:tc>
          <w:tcPr>
            <w:tcW w:w="3510" w:type="dxa"/>
          </w:tcPr>
          <w:p w14:paraId="7A564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A031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Увеличить грузоподъемность и радиус действия самолета ТБ-1-2М17.</w:t>
            </w:r>
          </w:p>
        </w:tc>
      </w:tr>
      <w:tr w:rsidR="00DA227A" w:rsidRPr="00E93F40" w14:paraId="7D318CB0" w14:textId="77777777">
        <w:tc>
          <w:tcPr>
            <w:tcW w:w="3510" w:type="dxa"/>
          </w:tcPr>
          <w:p w14:paraId="7AF62B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0FFB7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того, что истребители при полете питаются горючим бомбовоза, получить бомбовозу </w:t>
            </w:r>
          </w:p>
        </w:tc>
      </w:tr>
      <w:tr w:rsidR="00DA227A" w:rsidRPr="00E93F40" w14:paraId="5F97A739" w14:textId="77777777">
        <w:tc>
          <w:tcPr>
            <w:tcW w:w="3510" w:type="dxa"/>
          </w:tcPr>
          <w:p w14:paraId="70EF2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2D4F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истребительную охрану на радиусе равном дальности полета истребителя.</w:t>
            </w:r>
          </w:p>
        </w:tc>
      </w:tr>
      <w:tr w:rsidR="00DA227A" w:rsidRPr="00E93F40" w14:paraId="61AB8EA8" w14:textId="77777777">
        <w:tc>
          <w:tcPr>
            <w:tcW w:w="3510" w:type="dxa"/>
          </w:tcPr>
          <w:p w14:paraId="57F713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A35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Проведенный испытательный полет показал хорошее поведение трех сцепленных самолетов в </w:t>
            </w:r>
          </w:p>
        </w:tc>
      </w:tr>
      <w:tr w:rsidR="00DA227A" w:rsidRPr="00E93F40" w14:paraId="246E7238" w14:textId="77777777">
        <w:tc>
          <w:tcPr>
            <w:tcW w:w="3510" w:type="dxa"/>
          </w:tcPr>
          <w:p w14:paraId="0D8CA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750DE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воздухе, а также возможность расцепления. В настоящее время ведутся работы по установке </w:t>
            </w:r>
          </w:p>
        </w:tc>
      </w:tr>
      <w:tr w:rsidR="00DA227A" w:rsidRPr="00E93F40" w14:paraId="0A43DBF9" w14:textId="77777777">
        <w:tc>
          <w:tcPr>
            <w:tcW w:w="3510" w:type="dxa"/>
          </w:tcPr>
          <w:p w14:paraId="3C2094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8E16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самолетов И-4 на ТБ-1 в зимних условиях (на лыжах), срок окончания работ 1-15 февраля 1932</w:t>
            </w:r>
          </w:p>
        </w:tc>
      </w:tr>
      <w:tr w:rsidR="00DA227A" w:rsidRPr="00E93F40" w14:paraId="3F64647F" w14:textId="77777777">
        <w:tc>
          <w:tcPr>
            <w:tcW w:w="3510" w:type="dxa"/>
          </w:tcPr>
          <w:p w14:paraId="685A96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647E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года.</w:t>
            </w:r>
          </w:p>
        </w:tc>
      </w:tr>
      <w:tr w:rsidR="00DA227A" w:rsidRPr="00E93F40" w14:paraId="7B35EFDA" w14:textId="77777777">
        <w:tc>
          <w:tcPr>
            <w:tcW w:w="3510" w:type="dxa"/>
          </w:tcPr>
          <w:p w14:paraId="09703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Вахмистров.</w:t>
            </w:r>
          </w:p>
        </w:tc>
        <w:tc>
          <w:tcPr>
            <w:tcW w:w="6946" w:type="dxa"/>
          </w:tcPr>
          <w:p w14:paraId="31ADFF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296257" w14:textId="77777777">
        <w:tc>
          <w:tcPr>
            <w:tcW w:w="3510" w:type="dxa"/>
          </w:tcPr>
          <w:p w14:paraId="5F3F6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1EA7E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МУ3-М11</w:t>
            </w:r>
          </w:p>
        </w:tc>
      </w:tr>
      <w:tr w:rsidR="00DA227A" w:rsidRPr="00E93F40" w14:paraId="50A5DF49" w14:textId="77777777">
        <w:tc>
          <w:tcPr>
            <w:tcW w:w="3510" w:type="dxa"/>
          </w:tcPr>
          <w:p w14:paraId="10AE79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10741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EFB298" w14:textId="77777777">
        <w:tc>
          <w:tcPr>
            <w:tcW w:w="3510" w:type="dxa"/>
          </w:tcPr>
          <w:p w14:paraId="0673D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24942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120/130/0</w:t>
            </w:r>
          </w:p>
        </w:tc>
      </w:tr>
      <w:tr w:rsidR="00DA227A" w:rsidRPr="00E93F40" w14:paraId="6CA96009" w14:textId="77777777">
        <w:tc>
          <w:tcPr>
            <w:tcW w:w="3510" w:type="dxa"/>
          </w:tcPr>
          <w:p w14:paraId="20A36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36A82B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B2A3B3" w14:textId="77777777">
        <w:tc>
          <w:tcPr>
            <w:tcW w:w="3510" w:type="dxa"/>
          </w:tcPr>
          <w:p w14:paraId="38D623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0A232E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E40F41" w14:textId="77777777">
        <w:tc>
          <w:tcPr>
            <w:tcW w:w="3510" w:type="dxa"/>
          </w:tcPr>
          <w:p w14:paraId="1A3EB7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73241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2ECBCC63" w14:textId="77777777">
        <w:tc>
          <w:tcPr>
            <w:tcW w:w="3510" w:type="dxa"/>
          </w:tcPr>
          <w:p w14:paraId="2A2A0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28646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1252C0" w14:textId="77777777">
        <w:tc>
          <w:tcPr>
            <w:tcW w:w="3510" w:type="dxa"/>
          </w:tcPr>
          <w:p w14:paraId="5B6CB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746C7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 3 час.</w:t>
            </w:r>
          </w:p>
        </w:tc>
      </w:tr>
      <w:tr w:rsidR="00DA227A" w:rsidRPr="00E93F40" w14:paraId="66479B7B" w14:textId="77777777">
        <w:tc>
          <w:tcPr>
            <w:tcW w:w="3510" w:type="dxa"/>
          </w:tcPr>
          <w:p w14:paraId="59FD3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628D6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244EF5" w14:textId="77777777">
        <w:tc>
          <w:tcPr>
            <w:tcW w:w="3510" w:type="dxa"/>
          </w:tcPr>
          <w:p w14:paraId="6424A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6D84C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1931 года</w:t>
            </w:r>
          </w:p>
        </w:tc>
      </w:tr>
      <w:tr w:rsidR="00DA227A" w:rsidRPr="00E93F40" w14:paraId="0D0F1AB4" w14:textId="77777777">
        <w:tc>
          <w:tcPr>
            <w:tcW w:w="3510" w:type="dxa"/>
          </w:tcPr>
          <w:p w14:paraId="20F5C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F13FE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37A960" w14:textId="77777777">
        <w:tc>
          <w:tcPr>
            <w:tcW w:w="3510" w:type="dxa"/>
          </w:tcPr>
          <w:p w14:paraId="178019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8556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прошел гос. испытания в ОАО НИИ в Севастополе. Для учебных целей МУ3 не </w:t>
            </w:r>
          </w:p>
        </w:tc>
      </w:tr>
      <w:tr w:rsidR="00DA227A" w:rsidRPr="00E93F40" w14:paraId="5894D66A" w14:textId="77777777">
        <w:tc>
          <w:tcPr>
            <w:tcW w:w="3510" w:type="dxa"/>
          </w:tcPr>
          <w:p w14:paraId="4569C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5F9BB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поступит по следующим соображениям:</w:t>
            </w:r>
          </w:p>
        </w:tc>
      </w:tr>
      <w:tr w:rsidR="00DA227A" w:rsidRPr="00E93F40" w14:paraId="50410293" w14:textId="77777777">
        <w:tc>
          <w:tcPr>
            <w:tcW w:w="3510" w:type="dxa"/>
          </w:tcPr>
          <w:p w14:paraId="60F28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3ADDE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Длительный разбег с нормальной нагрузкой 30-32.</w:t>
            </w:r>
          </w:p>
        </w:tc>
      </w:tr>
      <w:tr w:rsidR="00DA227A" w:rsidRPr="00E93F40" w14:paraId="65DDFD90" w14:textId="77777777">
        <w:tc>
          <w:tcPr>
            <w:tcW w:w="3510" w:type="dxa"/>
          </w:tcPr>
          <w:p w14:paraId="690C9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2565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2000 м - мал.</w:t>
            </w:r>
          </w:p>
        </w:tc>
      </w:tr>
      <w:tr w:rsidR="00DA227A" w:rsidRPr="00E93F40" w14:paraId="7AA41B89" w14:textId="77777777">
        <w:tc>
          <w:tcPr>
            <w:tcW w:w="3510" w:type="dxa"/>
          </w:tcPr>
          <w:p w14:paraId="10556B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810E1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делает никаких фигур (за исключением виражей).</w:t>
            </w:r>
          </w:p>
        </w:tc>
      </w:tr>
      <w:tr w:rsidR="00DA227A" w:rsidRPr="00E93F40" w14:paraId="4959A437" w14:textId="77777777">
        <w:tc>
          <w:tcPr>
            <w:tcW w:w="3510" w:type="dxa"/>
          </w:tcPr>
          <w:p w14:paraId="04C13E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Украинцев.</w:t>
            </w:r>
          </w:p>
        </w:tc>
        <w:tc>
          <w:tcPr>
            <w:tcW w:w="6946" w:type="dxa"/>
          </w:tcPr>
          <w:p w14:paraId="0497A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7E1F4B" w14:textId="77777777">
        <w:tc>
          <w:tcPr>
            <w:tcW w:w="3510" w:type="dxa"/>
          </w:tcPr>
          <w:p w14:paraId="0EFDB9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36B511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МТБ1-2БМВVI</w:t>
            </w:r>
          </w:p>
        </w:tc>
      </w:tr>
      <w:tr w:rsidR="00DA227A" w:rsidRPr="00E93F40" w14:paraId="7A38C3C3" w14:textId="77777777">
        <w:tc>
          <w:tcPr>
            <w:tcW w:w="3510" w:type="dxa"/>
          </w:tcPr>
          <w:p w14:paraId="10836A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1CA4D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29AB73" w14:textId="77777777">
        <w:tc>
          <w:tcPr>
            <w:tcW w:w="3510" w:type="dxa"/>
          </w:tcPr>
          <w:p w14:paraId="6EBB0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8AB5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170/180/0</w:t>
            </w:r>
          </w:p>
        </w:tc>
      </w:tr>
      <w:tr w:rsidR="00DA227A" w:rsidRPr="00E93F40" w14:paraId="632E1090" w14:textId="77777777">
        <w:tc>
          <w:tcPr>
            <w:tcW w:w="3510" w:type="dxa"/>
          </w:tcPr>
          <w:p w14:paraId="7CA360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22BDB7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851C61" w14:textId="77777777">
        <w:tc>
          <w:tcPr>
            <w:tcW w:w="3510" w:type="dxa"/>
          </w:tcPr>
          <w:p w14:paraId="793E4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662AB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20-30/3000</w:t>
            </w:r>
          </w:p>
        </w:tc>
      </w:tr>
      <w:tr w:rsidR="00DA227A" w:rsidRPr="00E93F40" w14:paraId="63858152" w14:textId="77777777">
        <w:tc>
          <w:tcPr>
            <w:tcW w:w="3510" w:type="dxa"/>
          </w:tcPr>
          <w:p w14:paraId="009E6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5757E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3500-4000</w:t>
            </w:r>
          </w:p>
        </w:tc>
      </w:tr>
      <w:tr w:rsidR="00DA227A" w:rsidRPr="00E93F40" w14:paraId="3C040556" w14:textId="77777777">
        <w:tc>
          <w:tcPr>
            <w:tcW w:w="3510" w:type="dxa"/>
          </w:tcPr>
          <w:p w14:paraId="13BF0C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23457E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 - 4 торпед.</w:t>
            </w:r>
          </w:p>
        </w:tc>
      </w:tr>
      <w:tr w:rsidR="00DA227A" w:rsidRPr="00E93F40" w14:paraId="0DFE488F" w14:textId="77777777">
        <w:tc>
          <w:tcPr>
            <w:tcW w:w="3510" w:type="dxa"/>
          </w:tcPr>
          <w:p w14:paraId="014D9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1886FF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 полета 4 час.</w:t>
            </w:r>
          </w:p>
        </w:tc>
      </w:tr>
      <w:tr w:rsidR="00DA227A" w:rsidRPr="00E93F40" w14:paraId="1822A2AC" w14:textId="77777777">
        <w:tc>
          <w:tcPr>
            <w:tcW w:w="3510" w:type="dxa"/>
          </w:tcPr>
          <w:p w14:paraId="6F324B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7783D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BACA22" w14:textId="77777777">
        <w:tc>
          <w:tcPr>
            <w:tcW w:w="3510" w:type="dxa"/>
          </w:tcPr>
          <w:p w14:paraId="03C76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151FE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1930 года</w:t>
            </w:r>
          </w:p>
        </w:tc>
      </w:tr>
      <w:tr w:rsidR="00DA227A" w:rsidRPr="00E93F40" w14:paraId="0B2716C2" w14:textId="77777777">
        <w:tc>
          <w:tcPr>
            <w:tcW w:w="3510" w:type="dxa"/>
          </w:tcPr>
          <w:p w14:paraId="2FE93B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19278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7BDAAD" w14:textId="77777777">
        <w:tc>
          <w:tcPr>
            <w:tcW w:w="3510" w:type="dxa"/>
          </w:tcPr>
          <w:p w14:paraId="75A0D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6199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1 января 1931 года по настоящее время находится в Севастополе не будучи доведен. </w:t>
            </w:r>
          </w:p>
        </w:tc>
      </w:tr>
      <w:tr w:rsidR="00DA227A" w:rsidRPr="00E93F40" w14:paraId="789CC4F7" w14:textId="77777777">
        <w:tc>
          <w:tcPr>
            <w:tcW w:w="3510" w:type="dxa"/>
          </w:tcPr>
          <w:p w14:paraId="1D80DD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3B81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Находится без достаточного присмотра, внимания и коррозирует. ВАО думает закончить </w:t>
            </w:r>
          </w:p>
        </w:tc>
      </w:tr>
      <w:tr w:rsidR="00DA227A" w:rsidRPr="00E93F40" w14:paraId="6238EAF6" w14:textId="77777777">
        <w:tc>
          <w:tcPr>
            <w:tcW w:w="3510" w:type="dxa"/>
          </w:tcPr>
          <w:p w14:paraId="313D3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55B1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в период с февраля 1932 года по май 1932 года.</w:t>
            </w:r>
          </w:p>
        </w:tc>
      </w:tr>
      <w:tr w:rsidR="00DA227A" w:rsidRPr="00E93F40" w14:paraId="5D58DE46" w14:textId="77777777">
        <w:tc>
          <w:tcPr>
            <w:tcW w:w="3510" w:type="dxa"/>
          </w:tcPr>
          <w:p w14:paraId="3C9AC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835A7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самолет в целом не интересует, за исключением некоторых конструктивных деталей.</w:t>
            </w:r>
          </w:p>
        </w:tc>
      </w:tr>
      <w:tr w:rsidR="00DA227A" w:rsidRPr="00E93F40" w14:paraId="339050E9" w14:textId="77777777">
        <w:tc>
          <w:tcPr>
            <w:tcW w:w="3510" w:type="dxa"/>
          </w:tcPr>
          <w:p w14:paraId="3553FB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F733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Планом опытного строительства на 1932-34 г.г. не предусмотрен.</w:t>
            </w:r>
          </w:p>
        </w:tc>
      </w:tr>
      <w:tr w:rsidR="00DA227A" w:rsidRPr="00E93F40" w14:paraId="4537A879" w14:textId="77777777">
        <w:tc>
          <w:tcPr>
            <w:tcW w:w="3510" w:type="dxa"/>
          </w:tcPr>
          <w:p w14:paraId="427CC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Кудрявцев.</w:t>
            </w:r>
          </w:p>
        </w:tc>
        <w:tc>
          <w:tcPr>
            <w:tcW w:w="6946" w:type="dxa"/>
          </w:tcPr>
          <w:p w14:paraId="473E8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610243" w14:textId="77777777">
        <w:tc>
          <w:tcPr>
            <w:tcW w:w="3510" w:type="dxa"/>
          </w:tcPr>
          <w:p w14:paraId="03471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871C3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МБР2-БМВVI</w:t>
            </w:r>
          </w:p>
        </w:tc>
      </w:tr>
      <w:tr w:rsidR="00DA227A" w:rsidRPr="00E93F40" w14:paraId="5C4A935D" w14:textId="77777777">
        <w:tc>
          <w:tcPr>
            <w:tcW w:w="3510" w:type="dxa"/>
          </w:tcPr>
          <w:p w14:paraId="67A07A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12803A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24FD67" w14:textId="77777777">
        <w:tc>
          <w:tcPr>
            <w:tcW w:w="3510" w:type="dxa"/>
          </w:tcPr>
          <w:p w14:paraId="34043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FE6F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r>
      <w:tr w:rsidR="00DA227A" w:rsidRPr="00E93F40" w14:paraId="19B6D5F0" w14:textId="77777777">
        <w:tc>
          <w:tcPr>
            <w:tcW w:w="3510" w:type="dxa"/>
          </w:tcPr>
          <w:p w14:paraId="551A5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6D98C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C3D58C" w14:textId="77777777">
        <w:tc>
          <w:tcPr>
            <w:tcW w:w="3510" w:type="dxa"/>
          </w:tcPr>
          <w:p w14:paraId="163A1D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E84A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15-50/3000</w:t>
            </w:r>
          </w:p>
        </w:tc>
      </w:tr>
      <w:tr w:rsidR="00DA227A" w:rsidRPr="00E93F40" w14:paraId="677B474E" w14:textId="77777777">
        <w:tc>
          <w:tcPr>
            <w:tcW w:w="3510" w:type="dxa"/>
          </w:tcPr>
          <w:p w14:paraId="3DE435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76EFC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58AE368E" w14:textId="77777777">
        <w:tc>
          <w:tcPr>
            <w:tcW w:w="3510" w:type="dxa"/>
          </w:tcPr>
          <w:p w14:paraId="7F6B7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57C5C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 бомбы за счет перегрузки</w:t>
            </w:r>
          </w:p>
        </w:tc>
      </w:tr>
      <w:tr w:rsidR="00DA227A" w:rsidRPr="00E93F40" w14:paraId="6FDC9E03" w14:textId="77777777">
        <w:tc>
          <w:tcPr>
            <w:tcW w:w="3510" w:type="dxa"/>
          </w:tcPr>
          <w:p w14:paraId="2E6FD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13990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r>
      <w:tr w:rsidR="00DA227A" w:rsidRPr="00E93F40" w14:paraId="4A516C64" w14:textId="77777777">
        <w:tc>
          <w:tcPr>
            <w:tcW w:w="3510" w:type="dxa"/>
          </w:tcPr>
          <w:p w14:paraId="7DA6D0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039D7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F709DD" w14:textId="77777777">
        <w:tc>
          <w:tcPr>
            <w:tcW w:w="3510" w:type="dxa"/>
          </w:tcPr>
          <w:p w14:paraId="30B80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1E8A0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1931 года</w:t>
            </w:r>
          </w:p>
        </w:tc>
      </w:tr>
      <w:tr w:rsidR="00DA227A" w:rsidRPr="00E93F40" w14:paraId="17700120" w14:textId="77777777">
        <w:tc>
          <w:tcPr>
            <w:tcW w:w="3510" w:type="dxa"/>
          </w:tcPr>
          <w:p w14:paraId="334238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E8EC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F368DE" w14:textId="77777777">
        <w:tc>
          <w:tcPr>
            <w:tcW w:w="3510" w:type="dxa"/>
          </w:tcPr>
          <w:p w14:paraId="3EE7E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60D0F9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за исключением мотоустановки готов в производстве. Статистические испытания </w:t>
            </w:r>
          </w:p>
        </w:tc>
      </w:tr>
      <w:tr w:rsidR="00DA227A" w:rsidRPr="00E93F40" w14:paraId="5A13F0DF" w14:textId="77777777">
        <w:tc>
          <w:tcPr>
            <w:tcW w:w="3510" w:type="dxa"/>
          </w:tcPr>
          <w:p w14:paraId="540AF7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3CE3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показали недостаточную прочность узлов крепления крыльев (вместо 7 кратн. Есть только 6).</w:t>
            </w:r>
          </w:p>
        </w:tc>
      </w:tr>
      <w:tr w:rsidR="00DA227A" w:rsidRPr="00E93F40" w14:paraId="1E8D3F36" w14:textId="77777777">
        <w:tc>
          <w:tcPr>
            <w:tcW w:w="3510" w:type="dxa"/>
          </w:tcPr>
          <w:p w14:paraId="4A0C72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A984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заводск. Испытания возможно выйдут 1 марта 1932 года. Разрешается вопрос с дачей </w:t>
            </w:r>
          </w:p>
        </w:tc>
      </w:tr>
      <w:tr w:rsidR="00DA227A" w:rsidRPr="00E93F40" w14:paraId="234AA68A" w14:textId="77777777">
        <w:tc>
          <w:tcPr>
            <w:tcW w:w="3510" w:type="dxa"/>
          </w:tcPr>
          <w:p w14:paraId="2BBEB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8B0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задания ВАО о разработке вопроса с установкой АССО/750 и затем М-34 на самолет для </w:t>
            </w:r>
          </w:p>
        </w:tc>
      </w:tr>
      <w:tr w:rsidR="00DA227A" w:rsidRPr="00E93F40" w14:paraId="45BC2964" w14:textId="77777777">
        <w:tc>
          <w:tcPr>
            <w:tcW w:w="3510" w:type="dxa"/>
          </w:tcPr>
          <w:p w14:paraId="01E3C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B3E72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получения сравнительных данных с С62б-АССО/750.</w:t>
            </w:r>
          </w:p>
        </w:tc>
      </w:tr>
      <w:tr w:rsidR="00DA227A" w:rsidRPr="00E93F40" w14:paraId="2D91CB18" w14:textId="77777777">
        <w:tc>
          <w:tcPr>
            <w:tcW w:w="3510" w:type="dxa"/>
          </w:tcPr>
          <w:p w14:paraId="5E8CC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Волков.</w:t>
            </w:r>
          </w:p>
        </w:tc>
        <w:tc>
          <w:tcPr>
            <w:tcW w:w="6946" w:type="dxa"/>
          </w:tcPr>
          <w:p w14:paraId="58BB8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E2D85B" w14:textId="77777777">
        <w:tc>
          <w:tcPr>
            <w:tcW w:w="3510" w:type="dxa"/>
          </w:tcPr>
          <w:p w14:paraId="4D291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3CC176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МБР3-2М22</w:t>
            </w:r>
          </w:p>
        </w:tc>
      </w:tr>
      <w:tr w:rsidR="00DA227A" w:rsidRPr="00E93F40" w14:paraId="7A75B297" w14:textId="77777777">
        <w:tc>
          <w:tcPr>
            <w:tcW w:w="3510" w:type="dxa"/>
          </w:tcPr>
          <w:p w14:paraId="6D930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3CF76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EDDCA9" w14:textId="77777777">
        <w:tc>
          <w:tcPr>
            <w:tcW w:w="3510" w:type="dxa"/>
          </w:tcPr>
          <w:p w14:paraId="10513D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7AB47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w:t>
            </w:r>
          </w:p>
        </w:tc>
      </w:tr>
      <w:tr w:rsidR="00DA227A" w:rsidRPr="00E93F40" w14:paraId="3DD5A203" w14:textId="77777777">
        <w:tc>
          <w:tcPr>
            <w:tcW w:w="3510" w:type="dxa"/>
          </w:tcPr>
          <w:p w14:paraId="60371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3C4BA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4E5BDB" w14:textId="77777777">
        <w:tc>
          <w:tcPr>
            <w:tcW w:w="3510" w:type="dxa"/>
          </w:tcPr>
          <w:p w14:paraId="47B53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0D105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26F876" w14:textId="77777777">
        <w:tc>
          <w:tcPr>
            <w:tcW w:w="3510" w:type="dxa"/>
          </w:tcPr>
          <w:p w14:paraId="2426B8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7C6DB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EB7A52" w14:textId="77777777">
        <w:tc>
          <w:tcPr>
            <w:tcW w:w="3510" w:type="dxa"/>
          </w:tcPr>
          <w:p w14:paraId="4D168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74997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r>
      <w:tr w:rsidR="00DA227A" w:rsidRPr="00E93F40" w14:paraId="2A3201D7" w14:textId="77777777">
        <w:tc>
          <w:tcPr>
            <w:tcW w:w="3510" w:type="dxa"/>
          </w:tcPr>
          <w:p w14:paraId="6AC06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72510B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 6-7 час.</w:t>
            </w:r>
          </w:p>
        </w:tc>
      </w:tr>
      <w:tr w:rsidR="00DA227A" w:rsidRPr="00E93F40" w14:paraId="1F865E8A" w14:textId="77777777">
        <w:tc>
          <w:tcPr>
            <w:tcW w:w="3510" w:type="dxa"/>
          </w:tcPr>
          <w:p w14:paraId="5B7D69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754CD4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C1817C" w14:textId="77777777">
        <w:tc>
          <w:tcPr>
            <w:tcW w:w="3510" w:type="dxa"/>
          </w:tcPr>
          <w:p w14:paraId="00E588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00A73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68712D8F" w14:textId="77777777">
        <w:tc>
          <w:tcPr>
            <w:tcW w:w="3510" w:type="dxa"/>
          </w:tcPr>
          <w:p w14:paraId="5C914E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4D87A9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BC8BAC" w14:textId="77777777">
        <w:tc>
          <w:tcPr>
            <w:tcW w:w="3510" w:type="dxa"/>
          </w:tcPr>
          <w:p w14:paraId="58EDB2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1E498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Макет уже закончен. Разработка в КБ в общем закончена. Из КБ материалы должны быть </w:t>
            </w:r>
          </w:p>
        </w:tc>
      </w:tr>
      <w:tr w:rsidR="00DA227A" w:rsidRPr="00E93F40" w14:paraId="04FFD5F0" w14:textId="77777777">
        <w:tc>
          <w:tcPr>
            <w:tcW w:w="3510" w:type="dxa"/>
          </w:tcPr>
          <w:p w14:paraId="41471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08C6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переданы в производство</w:t>
            </w:r>
          </w:p>
        </w:tc>
      </w:tr>
      <w:tr w:rsidR="00DA227A" w:rsidRPr="00E93F40" w14:paraId="3A6C4795" w14:textId="77777777">
        <w:tc>
          <w:tcPr>
            <w:tcW w:w="3510" w:type="dxa"/>
          </w:tcPr>
          <w:p w14:paraId="65BF0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Предусмотрен планом опытного строительства на 1932-34 г.г.</w:t>
            </w:r>
          </w:p>
          <w:p w14:paraId="6B801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D052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E93F40" w14:paraId="416B04E2" w14:textId="77777777">
        <w:tc>
          <w:tcPr>
            <w:tcW w:w="3510" w:type="dxa"/>
          </w:tcPr>
          <w:p w14:paraId="6702E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Украинцев (3474,28-35)</w:t>
            </w:r>
          </w:p>
        </w:tc>
        <w:tc>
          <w:tcPr>
            <w:tcW w:w="6946" w:type="dxa"/>
          </w:tcPr>
          <w:p w14:paraId="75B1C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41A71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307CAA" w14:textId="77777777" w:rsidR="009D12BD" w:rsidRPr="00E93F40" w:rsidRDefault="009D12BD"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К 1 января 1932 года аэродром будущего завода № 21 был готов на 75 %. Строительство ангара и тира было отнесено к объектам 1932 года. Окончательно на 1932 год заводу предстояло изготовить 276 самолетов только варианта И-5 (21100).</w:t>
      </w:r>
    </w:p>
    <w:p w14:paraId="132B56FC" w14:textId="77777777" w:rsidR="009D12BD" w:rsidRPr="00E93F40" w:rsidRDefault="009D12BD" w:rsidP="00E93F40">
      <w:pPr>
        <w:spacing w:after="0" w:line="240" w:lineRule="auto"/>
        <w:jc w:val="both"/>
        <w:rPr>
          <w:rFonts w:ascii="Times New Roman" w:hAnsi="Times New Roman"/>
          <w:color w:val="000000" w:themeColor="text1"/>
          <w:sz w:val="16"/>
          <w:szCs w:val="16"/>
          <w:lang w:eastAsia="ru-RU" w:bidi="ru-RU"/>
        </w:rPr>
      </w:pPr>
    </w:p>
    <w:p w14:paraId="00B4B121" w14:textId="77777777" w:rsidR="009D12BD" w:rsidRPr="00E93F40" w:rsidRDefault="009D12B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января 1932 г. в Советский Союз прибыли 36 S.62bis, а к июлю – все остальные (21410).</w:t>
      </w:r>
    </w:p>
    <w:p w14:paraId="2EFBFF94" w14:textId="77777777" w:rsidR="009D12BD" w:rsidRPr="00E93F40" w:rsidRDefault="009D12BD" w:rsidP="00E93F40">
      <w:pPr>
        <w:spacing w:after="0" w:line="240" w:lineRule="auto"/>
        <w:jc w:val="both"/>
        <w:rPr>
          <w:rFonts w:ascii="Times New Roman" w:hAnsi="Times New Roman"/>
          <w:color w:val="000000" w:themeColor="text1"/>
          <w:sz w:val="16"/>
          <w:szCs w:val="16"/>
        </w:rPr>
      </w:pPr>
    </w:p>
    <w:p w14:paraId="506FB2C8"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января 1932 г. в Советский Со</w:t>
      </w:r>
      <w:r w:rsidRPr="00142305">
        <w:rPr>
          <w:rFonts w:ascii="Times New Roman" w:hAnsi="Times New Roman"/>
          <w:color w:val="0070C0"/>
          <w:sz w:val="16"/>
          <w:szCs w:val="16"/>
        </w:rPr>
        <w:softHyphen/>
        <w:t>юз прибыли 36 S.62bis, а к июлю - все остальные. Последняя лодка имела № 51, поскольку первым считался про</w:t>
      </w:r>
      <w:r w:rsidRPr="00142305">
        <w:rPr>
          <w:rFonts w:ascii="Times New Roman" w:hAnsi="Times New Roman"/>
          <w:color w:val="0070C0"/>
          <w:sz w:val="16"/>
          <w:szCs w:val="16"/>
        </w:rPr>
        <w:softHyphen/>
        <w:t>данный в СССР опытный образец. Лишь пять машин получили двойное управле</w:t>
      </w:r>
      <w:r w:rsidRPr="00142305">
        <w:rPr>
          <w:rFonts w:ascii="Times New Roman" w:hAnsi="Times New Roman"/>
          <w:color w:val="0070C0"/>
          <w:sz w:val="16"/>
          <w:szCs w:val="16"/>
        </w:rPr>
        <w:softHyphen/>
        <w:t>ние, на прочих устанавливался только один штурвал и педали (24948).</w:t>
      </w:r>
    </w:p>
    <w:p w14:paraId="682A7154" w14:textId="77777777" w:rsidR="00AC428C" w:rsidRPr="00142305" w:rsidRDefault="00AC428C" w:rsidP="00AC428C">
      <w:pPr>
        <w:spacing w:after="0" w:line="240" w:lineRule="auto"/>
        <w:jc w:val="both"/>
        <w:rPr>
          <w:rFonts w:ascii="Times New Roman" w:hAnsi="Times New Roman"/>
          <w:color w:val="0070C0"/>
          <w:sz w:val="16"/>
          <w:szCs w:val="16"/>
        </w:rPr>
      </w:pPr>
    </w:p>
    <w:p w14:paraId="431A27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января 1932 г. все рабочие чертежи деталей М-32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E93F40">
        <w:rPr>
          <w:rFonts w:ascii="Times New Roman" w:hAnsi="Times New Roman"/>
          <w:color w:val="000000" w:themeColor="text1"/>
          <w:sz w:val="16"/>
          <w:szCs w:val="16"/>
        </w:rPr>
        <w:softHyphen/>
        <w:t>шипников и головок блоков. Со второго экзем</w:t>
      </w:r>
      <w:r w:rsidRPr="00E93F40">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E93F40">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5D6CE7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Известны модификации:</w:t>
      </w:r>
    </w:p>
    <w:p w14:paraId="35FAF7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М-32, первоначальный вариант без редук</w:t>
      </w:r>
      <w:r w:rsidRPr="00E93F40">
        <w:rPr>
          <w:rFonts w:ascii="Times New Roman" w:hAnsi="Times New Roman"/>
          <w:color w:val="000000" w:themeColor="text1"/>
          <w:sz w:val="16"/>
          <w:szCs w:val="16"/>
        </w:rPr>
        <w:softHyphen/>
        <w:t>тора и ПЦН, изготовлен в одном экзем</w:t>
      </w:r>
      <w:r w:rsidRPr="00E93F40">
        <w:rPr>
          <w:rFonts w:ascii="Times New Roman" w:hAnsi="Times New Roman"/>
          <w:color w:val="000000" w:themeColor="text1"/>
          <w:sz w:val="16"/>
          <w:szCs w:val="16"/>
        </w:rPr>
        <w:softHyphen/>
        <w:t>пляре. Вес по заданию 400 кг, фактически 430 кг.</w:t>
      </w:r>
    </w:p>
    <w:p w14:paraId="77F841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М-32РН, вариант с редуктором и одно-скоростным ПЦН. В дальнейшем предпо</w:t>
      </w:r>
      <w:r w:rsidRPr="00E93F40">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09E765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0D2C04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16-цилиндровый, рядный У-образный, че</w:t>
      </w:r>
      <w:r w:rsidRPr="00E93F40">
        <w:rPr>
          <w:rFonts w:ascii="Times New Roman" w:hAnsi="Times New Roman"/>
          <w:color w:val="000000" w:themeColor="text1"/>
          <w:sz w:val="16"/>
          <w:szCs w:val="16"/>
        </w:rPr>
        <w:softHyphen/>
        <w:t>тырехтактный, водяного охлаждения;</w:t>
      </w:r>
    </w:p>
    <w:p w14:paraId="6CBB81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600/750 л.с. (по заданию 650/700 л.с.);</w:t>
      </w:r>
    </w:p>
    <w:p w14:paraId="7076A2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120/120 мм;</w:t>
      </w:r>
    </w:p>
    <w:p w14:paraId="1240F4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21,7 л;</w:t>
      </w:r>
    </w:p>
    <w:p w14:paraId="60F67D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6,0;</w:t>
      </w:r>
    </w:p>
    <w:p w14:paraId="6B2C8D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безредукторный.</w:t>
      </w:r>
    </w:p>
    <w:p w14:paraId="274007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Предлагался для истребителей И-9, И-13, ДИ-6.</w:t>
      </w:r>
    </w:p>
    <w:p w14:paraId="5E72AE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709738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60E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Паспорт завода № 34</w:t>
      </w:r>
    </w:p>
    <w:p w14:paraId="44745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расположен в Москве в Краснопресненском районе по 3-ей улице Ямского поля, д. 26. Возникновение завода относится к концу 1930 года, когда последний выделился из завода № 1 после реконструкции Прокатного цеха.</w:t>
      </w:r>
    </w:p>
    <w:p w14:paraId="3EB0AE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авиапромышленности завод № 34 имеет подсобное значение, как изготовляющий материал для самолетостроения и находится в системе Авиаподсобтреста с момента его возникновения.</w:t>
      </w:r>
    </w:p>
    <w:p w14:paraId="1B335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Стремясь к освобождению от импорта дорогостоящего дюралюминия и лент-расчалок для самолетостроения, авиапромышленность в первой пятилетке осуществила внедрение в производство на собственных заводах как дюралюминия, так и лент-расчалок для самолетостроения.</w:t>
      </w:r>
    </w:p>
    <w:p w14:paraId="1CC36B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Данная задача в основном была решена на заводе № 34, который помимо этого в 1931 году первым в Союзе освоил производство плакированного дюралюминия для самолетостроения.</w:t>
      </w:r>
    </w:p>
    <w:p w14:paraId="100BC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выпускает полуфабрикаты для авиационной промышленности:</w:t>
      </w:r>
    </w:p>
    <w:p w14:paraId="2F9FDF1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Дюралюминий и алюминий листовой для обшивки самолетов и изготовления всевозможных деталей.</w:t>
      </w:r>
    </w:p>
    <w:p w14:paraId="233F7E4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Ленты-расчалки для самолетов.</w:t>
      </w:r>
    </w:p>
    <w:p w14:paraId="55DC57B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Профилирует радиаторные трубочки для радиаторов самолетов.</w:t>
      </w:r>
    </w:p>
    <w:p w14:paraId="011DCCD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Перетягивает трубы и прутки стальные, медные, латунные, алюминиевые и дюралюминиевые для самолетостроения и др. надобностей.</w:t>
      </w:r>
    </w:p>
    <w:p w14:paraId="6F491BC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Загибает обода Р-1 и АВРО для колес самолетов.</w:t>
      </w:r>
    </w:p>
    <w:p w14:paraId="62BB1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первоначальному плану развития самолетостроения, разработанному в 1929 году, вся потребность в листовом дюралюминии должна быть покрыта вновь строящимся заводом № 45, причем все старое производство завода № 1 ГУАП, Кольчугинского и Ворошиловского предполагалось закрыть к концу первой пятилетки.</w:t>
      </w:r>
    </w:p>
    <w:p w14:paraId="3DFF36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1930 года при пересмотре плана снабжения с участием ВМИ ЦКК РКИ оказалось, что новый завод № 45, даже со всеми работающими старыми заводами, при максимальном расширении их производства, не в состоянии обеспечить сильно возросшей потребности заводов в легких сплавах.</w:t>
      </w:r>
    </w:p>
    <w:p w14:paraId="02D64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обстоятельство заставило ГУАП пересмотреть свое решение и принять все меры по расширению производства прокатного цеха завода № 1 с последующим выделением его в самостоятельный завод (9368).</w:t>
      </w:r>
    </w:p>
    <w:p w14:paraId="70881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31FE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был подготовлен:</w:t>
      </w:r>
    </w:p>
    <w:p w14:paraId="65F635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Паспорт завода № 35:</w:t>
      </w:r>
    </w:p>
    <w:p w14:paraId="315D31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35 расположен на северной окраине Смоленска. С севера к нему вплотную прилегает местный военный аэродром, с запада – ремонтные мастерские авиапарка.</w:t>
      </w:r>
    </w:p>
    <w:p w14:paraId="5F51F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Расстояние от здания заводоуправления до городской заставы Покровской – 1400 м, до центра города – 6 км.</w:t>
      </w:r>
    </w:p>
    <w:p w14:paraId="66F225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Собственного аэродрома завод не имеет и пользуется услугами военного аэродрома.</w:t>
      </w:r>
    </w:p>
    <w:p w14:paraId="7291BD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настоящий момент завод производит ремонт сухопутных самолетов и моторов; изготовление новых запчастей и агрегатов.</w:t>
      </w:r>
    </w:p>
    <w:p w14:paraId="5C108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Годом возникновения завода нужно считать 1927 год, когда завод впервые начал с наличием определенной площади производить выпуск продукции.</w:t>
      </w:r>
    </w:p>
    <w:p w14:paraId="00743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1925 года на площадке, где ныне находится завод были бараки конюшни.</w:t>
      </w:r>
    </w:p>
    <w:p w14:paraId="06435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1925 году начинается строительство завода, которое продолжается 1925 и 1926 год.</w:t>
      </w:r>
    </w:p>
    <w:p w14:paraId="605DE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этот период завод был выстроен в половинном размере против запроектированного.</w:t>
      </w:r>
    </w:p>
    <w:p w14:paraId="0D17D6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строительства все проектные строительные объекты были разбиты на две очереди: первую и вторую, производственно эти площади были почти равновелики.</w:t>
      </w:r>
    </w:p>
    <w:p w14:paraId="667B6C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Отстроена была первая очередь, вторая была отложена на определенное время, а затем окончательно.</w:t>
      </w:r>
    </w:p>
    <w:p w14:paraId="28077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Собственно завод № 35 (его оборудование, первые кадры, организация) создан из подвижной Ремонтно-авиационной базы, которая в момент ее перехода «на оседлость» была названа Ремзаводом № 3 (9314).</w:t>
      </w:r>
    </w:p>
    <w:p w14:paraId="42180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E2B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Паспорт завода № 35</w:t>
      </w:r>
    </w:p>
    <w:p w14:paraId="4BE18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настоящий момент завод способен производить:</w:t>
      </w:r>
    </w:p>
    <w:p w14:paraId="2660F78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Ремонт сухопутных самолетов: деревянных, смешанных (дерево-сталь, дерево-кольчугалюминий), металлических (кольчугалюминий).</w:t>
      </w:r>
    </w:p>
    <w:p w14:paraId="7105D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возникновения завода до настоящего момента выпускались из ремонта в разных количествах следующие типы самолетов:</w:t>
      </w:r>
    </w:p>
    <w:p w14:paraId="07762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ФС IV – М5 Прима (Либерти)</w:t>
      </w:r>
    </w:p>
    <w:p w14:paraId="5A492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ФС IV – М5 Бис (Либерти)</w:t>
      </w:r>
    </w:p>
    <w:p w14:paraId="433457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ФД XI – М6 (Испано-Сюиза)</w:t>
      </w:r>
    </w:p>
    <w:p w14:paraId="4A0E43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ЮВ – БМВ III а</w:t>
      </w:r>
    </w:p>
    <w:p w14:paraId="20363E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ЮГ21 – БМВ IV</w:t>
      </w:r>
    </w:p>
    <w:p w14:paraId="5C00B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 – М5</w:t>
      </w:r>
    </w:p>
    <w:p w14:paraId="22E6F5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И3 – М17</w:t>
      </w:r>
    </w:p>
    <w:p w14:paraId="1151F7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 М17 Лимузин</w:t>
      </w:r>
    </w:p>
    <w:p w14:paraId="1083C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 М17</w:t>
      </w:r>
    </w:p>
    <w:p w14:paraId="2B0B7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НД37 – БМВ VI</w:t>
      </w:r>
    </w:p>
    <w:p w14:paraId="71A1E6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НД43 – БМВ VI</w:t>
      </w:r>
    </w:p>
    <w:p w14:paraId="6B127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ЧР20 – Фиат 420 Н</w:t>
      </w:r>
    </w:p>
    <w:p w14:paraId="3EFA3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И4 – М22</w:t>
      </w:r>
    </w:p>
    <w:p w14:paraId="20F9B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Р3 – ЛД</w:t>
      </w:r>
    </w:p>
    <w:p w14:paraId="261E1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 – 2М17</w:t>
      </w:r>
    </w:p>
    <w:p w14:paraId="6BA7D7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ТБ1 - 2М17</w:t>
      </w:r>
    </w:p>
    <w:p w14:paraId="20FBEA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ФС IV – М5 почтовый биплан</w:t>
      </w:r>
    </w:p>
    <w:p w14:paraId="7B70A8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габаритам все перечисленные типы самолетов легко охватываются производственными площадями завода, за исключением самолетов Р6-2М17 и ТБ1-2М17. Последние были освоены заводом при применении работ на открытом воздухе.</w:t>
      </w:r>
    </w:p>
    <w:p w14:paraId="2C074E2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Ремонт авиамоторов как водяного, так и воздушного охлаждения.</w:t>
      </w:r>
    </w:p>
    <w:p w14:paraId="2F4E1E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 данный момент проходили ремонтом следующие типы в разных количествах:</w:t>
      </w:r>
    </w:p>
    <w:p w14:paraId="62E8E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Либерти, Испано-Сюиза, М5, Фиат 420 НР, БМВ VI, М17, Лоррен-Дитрих, М6</w:t>
      </w:r>
    </w:p>
    <w:p w14:paraId="1AEAC01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Изготовление новых запчастей и агрегатов (9314).</w:t>
      </w:r>
    </w:p>
    <w:p w14:paraId="3AD7AFA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F7AAB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Паспорт завода № 36 НКТП Авиаподсобтреста</w:t>
      </w:r>
    </w:p>
    <w:p w14:paraId="20143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36 расположен по Можайскому шоссе на земельных участках №№ 108, 110 и 112.</w:t>
      </w:r>
    </w:p>
    <w:p w14:paraId="41FB9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Территория завода граничит с западной и северо-западной стороны с Дорогомиловскими кладбищами.</w:t>
      </w:r>
    </w:p>
    <w:p w14:paraId="6CF524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имеет своим основным назначением изготовление специальных пропиток-аэролаков, применяемых исключительно в деревянном и в металлическом самолетостроении.</w:t>
      </w:r>
    </w:p>
    <w:p w14:paraId="138805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Организация производства на заводе специальных пропиток для полотняной обтяжки крыльев и фюзеляжа и других частей деревянных конструкций самолетов относится к концу 1920 и началу 1921 года.</w:t>
      </w:r>
    </w:p>
    <w:p w14:paraId="644C7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до национализации принадлежал фирме «КОХ», эвакуированной во время империалистической войны из Риги. Под названием Дорогомиловский лаковый завод он был передан в ведение Центролака и последовательно в короткие промежутки времени переходил в ведение различных учреждений: Главкраслака, Главмоскатели (ныне Лакокраска), Москвохима.</w:t>
      </w:r>
    </w:p>
    <w:p w14:paraId="6511F2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Изготовление аэролаков было начато ручным способом в деревянных чанах с выпуском около 100 пудов аэролаков 1-го покрытия в месяц, каковая мера настоятельно диктовалась острым критическим положением в деле снабжения указанным аэролаком авиаремонтных единиц фронта.</w:t>
      </w:r>
    </w:p>
    <w:p w14:paraId="7C80F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Такое положение, грозившее срывом производства зарождавшегося самолетостроения ……………. остановило внимание состоявшегося в Москве в 1922 году съезда авиаработников и по его ходатайству постановлением СТО завод был изъят из ведения Москвохима и передан в ведение Промвоенсовета.</w:t>
      </w:r>
    </w:p>
    <w:p w14:paraId="7A9A5A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названием ГАЗ № 16 завод вошел в группу самолетостроительных заводов, объединявшихся Главкоавиа.</w:t>
      </w:r>
    </w:p>
    <w:p w14:paraId="0E8D9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этого времени началось развертывание работ завода по организации производства аэролаков, постепенное увеличение его мощности и расширение номенклатуры выпускаемых заводом изделий на основе развернувшихся исследовательских и изыскательских работ.</w:t>
      </w:r>
    </w:p>
    <w:p w14:paraId="67DEF0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основным вырабатываемым изделиям завода относятся:</w:t>
      </w:r>
    </w:p>
    <w:p w14:paraId="6EACB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Аэролаки бесцветные, служащие для пропитки полотняных обтяжек деревянных конструкций самолетов (аэролак первого покрытия марки «А1-Н»).</w:t>
      </w:r>
    </w:p>
    <w:p w14:paraId="72175A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Аэролаки цветные, служащие для предохранения бесцветных покрытий и для целей маскировки (аэролаки второго покрытия сероголубого, защитного, морского и шарового цветов).</w:t>
      </w:r>
    </w:p>
    <w:p w14:paraId="04EB7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Разжижители для указанных аэролаков.</w:t>
      </w:r>
    </w:p>
    <w:p w14:paraId="5743E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Краски и лаки для деревянных и металлических деталей самолетов.</w:t>
      </w:r>
    </w:p>
    <w:p w14:paraId="627110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Краски и лаки применяемые в металлическом самолетостроении.</w:t>
      </w:r>
    </w:p>
    <w:p w14:paraId="26995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Составы, применяемые в металлическом самолетостроении для удаления красок и лаков с окрашенных поверхностей при ремонте самолетов.</w:t>
      </w:r>
    </w:p>
    <w:p w14:paraId="64FE8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Ряд лакокрасочных быстросохнущих изделий, применяемых в гражданской промышленности, разработкой которых завод преследует цель заполнения свободных мощностей (9368).</w:t>
      </w:r>
    </w:p>
    <w:p w14:paraId="14A50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C15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Паспорт завода № 41 Авиаподсобтреста ГУАП</w:t>
      </w:r>
    </w:p>
    <w:p w14:paraId="29715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находится в Дзержинском районе Москвы по Полковой улице, д. 17.</w:t>
      </w:r>
    </w:p>
    <w:p w14:paraId="7B6E6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Назначением завода является распиловка кряжей твердых и мягких пород для целей самолетостроения.</w:t>
      </w:r>
    </w:p>
    <w:p w14:paraId="555C4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Моментом основания завода следует считать август 1929 года. На месте его до 1925 года находился корпус строившегося неизвестно кем лесопильного завода.</w:t>
      </w:r>
    </w:p>
    <w:p w14:paraId="51376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востока завод примыкает к заводу редких элементов и с севера к двум пересекающимся линиям ж/дорог.</w:t>
      </w:r>
    </w:p>
    <w:p w14:paraId="5558D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41 до июня 1931 года представлял собой цех завода № 28. В июле 1931 года распоряжением ГУАП завод № 41 из подчинения заводу № 28 был изъят и передан в распоряжение Авиаснаббазы, а последняя его передала в мае 1932 года Авиаподсобтресту (9368).</w:t>
      </w:r>
    </w:p>
    <w:p w14:paraId="4BEF26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A4F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Паспорт завода № 43</w:t>
      </w:r>
    </w:p>
    <w:p w14:paraId="43E6FD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43 находится в черте города Киева на окраине, так называемой «Хутор Грушки». С одной стороны (северной) завод прилегает к Брест Литовскому шоссе, с восточной ограничен переулком, отделяющим его от завода «Большевик». С южной стороны территория завода подходит к ж/д ветке, идущей от ст. Святошино к ст. Большевик и отделяющей его от территории Военно-технической части. Западная граница завода примыкает к территории казарм, принадлежащих военведу.</w:t>
      </w:r>
    </w:p>
    <w:p w14:paraId="0FA7EE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Напротив завода, по другую сторону Брест Литовского шоссе, находится заводской аэродром, ограниченный с одной стороны шоссе, с другой – территорией кинофабрики, с третьей – небольшими ангарами и постройками авиаинститута.</w:t>
      </w:r>
    </w:p>
    <w:p w14:paraId="38623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ремонта самолетов и моторов, завод изготовляет детали самолетов и моторов в своих подсобных цехах.</w:t>
      </w:r>
    </w:p>
    <w:p w14:paraId="29E67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ремонта и изготовления полуфабрикатов для самолетов и моторов ремонтируемых на заводе, завод № 43 ежегодно выполняет заказы УВВС и Треста на ремонт и изготовление запасных частей для нужд УВВС и других заводов Треста.</w:t>
      </w:r>
    </w:p>
    <w:p w14:paraId="08DA3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Соответственно с изменением типов машин находящихся на вооружении в авиачастях РККА изменялся и тип самолетов и моторов ремонтируемых заводом.</w:t>
      </w:r>
    </w:p>
    <w:p w14:paraId="377A2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первые годы своего существования для развития нашей авиапромышленности завод ремонтировал типы машин иностранного происхождения, оставшиеся как наследие Империалистической войны или закупленные за границей уже при Советской власти.</w:t>
      </w:r>
    </w:p>
    <w:p w14:paraId="6535A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Типы самолетов, ремонтированных заводом:</w:t>
      </w:r>
    </w:p>
    <w:p w14:paraId="565DF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деревянной конструкции: Бристоль Файтер; Альбатрос; Эльфауге; Ньюпоры 11, 21, 23, 24; Спады; ДН-4; Сопвич; Сопвич-Немаль; Ансальдо; Балилла; СВА; ДН-9;</w:t>
      </w:r>
    </w:p>
    <w:p w14:paraId="6EF34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Фоккер Д-8 – крылья деревянные, металлический сварной фюзеляж;</w:t>
      </w:r>
    </w:p>
    <w:p w14:paraId="056C5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Фоккер Д-7 – крылья деревянные, металлический сварной фюзеляж;</w:t>
      </w:r>
    </w:p>
    <w:p w14:paraId="29925F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Анрио – деревянная конструкция;</w:t>
      </w:r>
    </w:p>
    <w:p w14:paraId="6F6880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Анасаль - деревянная конструкция (русского производства).</w:t>
      </w:r>
    </w:p>
    <w:p w14:paraId="17291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p w14:paraId="1E9B79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РОН и Клерже – роторные с воздушным охлаждением</w:t>
      </w:r>
    </w:p>
    <w:p w14:paraId="4D8749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Бенц – стационарный</w:t>
      </w:r>
    </w:p>
    <w:p w14:paraId="5A22E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Рафф – стационарный</w:t>
      </w:r>
    </w:p>
    <w:p w14:paraId="076CEB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Фиат – стационарный</w:t>
      </w:r>
    </w:p>
    <w:p w14:paraId="788E7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СПА – стационарный</w:t>
      </w:r>
    </w:p>
    <w:p w14:paraId="0C330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Испано-Сюза – стационарный</w:t>
      </w:r>
    </w:p>
    <w:p w14:paraId="1DEB4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 IV, III, III-a – стационарный</w:t>
      </w:r>
    </w:p>
    <w:p w14:paraId="67393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Сиддлей-Пума – стационарный</w:t>
      </w:r>
    </w:p>
    <w:p w14:paraId="18D7A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Сальмсон – звездообразный стационарный с водяным охлаждением.</w:t>
      </w:r>
    </w:p>
    <w:p w14:paraId="23CC2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развитием отечественной авиапромышленности завод переходит на типы самолетов:</w:t>
      </w:r>
    </w:p>
    <w:p w14:paraId="6AAE1D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 и Р-5 – двухместные разведчики деревянной конструкции</w:t>
      </w:r>
    </w:p>
    <w:p w14:paraId="34B73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 – учебный двухместный</w:t>
      </w:r>
    </w:p>
    <w:p w14:paraId="7436B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моторы – М-5, Либерти и М-17.</w:t>
      </w:r>
    </w:p>
    <w:p w14:paraId="720178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с самолетом Р-1 завод ремонтирует также Фоккер Д-ХI – одноместные истребители, фюзеляж сварной из стальных труб, крылья деревянные и моторы к ним М-6 и Испано-Сюиза.</w:t>
      </w:r>
    </w:p>
    <w:p w14:paraId="3D7F2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видно из этого списка типов, завод ремонтировал и ремонтирует как самолеты деревянной, так и самолеты смешанной конструкции. Цельнометаллических и дюралевых самолетов завод до сих пор не ремонтировал, не ремонтировал также и стационарных звездообразных моторов.</w:t>
      </w:r>
    </w:p>
    <w:p w14:paraId="524AB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вышеупомянутые самолеты – сухопутные. Гидросамолеты завод лишен возможности ремонтировать из-за отсутствия водного аэродрома для сдачи машин. Сухопутный же аэродром обеспечивает сдачу самолетов всех типов, ремонтируемых на заводе.</w:t>
      </w:r>
    </w:p>
    <w:p w14:paraId="1706E3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ремонта самолетов и моторов завод № 43 производит и изготовление новых самолетов. В 1924 году заводом был построен первый самолет типа К-1 конструкции Калинина. Самолет имеет крылья деревянные и фюзеляж из сварных стальных труб.</w:t>
      </w:r>
    </w:p>
    <w:p w14:paraId="7E586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переделал по разработанному на заводе проекту серию самолетов Ансальдо с мотором Фиат под мотор ВМ IV, III-а.</w:t>
      </w:r>
    </w:p>
    <w:p w14:paraId="21580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завод строит серию автожиров типа 4-ЭА конструкции ЦАГИ. Головная машина этой серии уже закончена заводом и в ближайшее время будет пущена в летные испытания.</w:t>
      </w:r>
    </w:p>
    <w:p w14:paraId="48748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Удачные опыты по постройке новых машин заставляют с полной уверенностью сказать, что завод может брать на себя изготовление новых самолетов и автожиров небольших габаритов, смешанной и деревянной конструкции. Дальнейшее добавление в программу выпуска завода изготовления новых машин является весьма желательным для обеспечения загрузки завода в случае отсутствия ремфонда.</w:t>
      </w:r>
    </w:p>
    <w:p w14:paraId="39AC1B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первые годы своего существования, завод из-за разнообразия типов машин поступающих в ремонт, а также из-за небольшого количества выпускаемых машин вынужден был изготовлять детали для машин с одновременным ремонтом их. Такой метод работы естественно вызывал задержки в сборке, увеличивал ремонтные периоды и заделы. С появлением повторяющейся продукции, а именно самолетов Р-1, завод перешел к предварительному изготовлению деталей в количестве, учитывающем средний % заменяемости этих деталей. Завод на складе имеет месячный запас деталей.</w:t>
      </w:r>
    </w:p>
    <w:p w14:paraId="1A99A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История завода ведет свое начало со времени Империалистической войны.</w:t>
      </w:r>
    </w:p>
    <w:p w14:paraId="14032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плацу возле завода «Большевик» (бывш. Гретера) стояли низкие одноэтажные здания, служившие складами боеприпасов (ныне цеха завода). Напротив было расположено гульбище (ныне аэродром), метров 250-300 выше стояли палаточные ангары, в которых находились самолеты (Уточкина, Нестерова).</w:t>
      </w:r>
    </w:p>
    <w:p w14:paraId="5945E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1916 году в помещение бывш. Артсклада вселился воздухоплавательный парк со всем своим имуществом и оборудованием. А вместо стоящих напротив палаточных ангаров к этому времени на их месте были уже выстроены деревянные помещения, в которых находился 5 Авиапарк со своими цехами с кустарным оборудованием.</w:t>
      </w:r>
    </w:p>
    <w:p w14:paraId="68B3A9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1920 году 5 Авиапарк при наступлении поляков эвакуировался в Москву.</w:t>
      </w:r>
    </w:p>
    <w:p w14:paraId="4F6A37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кадры рабочих завода были разбросаны по фронтам.</w:t>
      </w:r>
    </w:p>
    <w:p w14:paraId="38DAAF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фронте, заботясь о судьбе будущего советского авиастроительства, группа коммунистов очутившихся в Полтаве, откомандировали Боброва организовать Авиазавод в Киеве. Это был период, когда Киев занимал гетман и только Бобров как старый специалист мог пробраться и координировать людей и оборудование и тогда организовались на месте 5-го Авиапарка Киевские главные авиационные мастерские.</w:t>
      </w:r>
    </w:p>
    <w:p w14:paraId="387D04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1920 году весной 5-й Авиапарк (оборудование и часть людей) вернулся из Москвы, но вселился уже не в свои помещения, а в помещения тогда Воздухоплавательного парка (раньше Артсклад, ныне завод № 43).</w:t>
      </w:r>
    </w:p>
    <w:p w14:paraId="2F325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1920 году, в начале лета, после польской оккупации, 5-й Авиапарк вернувшийся в Киев из Полтавской губернии с небольшим имуществом не имел места для размещения. По инициативе главных организаторов, Герасименко и командир Авиапарка Чвертко были откомандированы в Москву с целью организации в Киеве авиамастерских. Результатом этой командировки было распоряжение организовать в Киеве авиаремонтные и радиаторные мастерские с назначением заведующим этих мастерских инженера Боброва, комиссаром Герасименко, а начальником Радиаторного отдела был назначен Чвертко В.И.</w:t>
      </w:r>
    </w:p>
    <w:p w14:paraId="39622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общем, 1920 год следует считать годом возникновения завода как авиационного под названием ГАЗ № 12.</w:t>
      </w:r>
    </w:p>
    <w:p w14:paraId="05B9C2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Последней датой организации завода следует считать февраль 1921 года. В этом же году началось строительство аэроплана Калинина, известного под названием К-1. Калинин участник организации завода.</w:t>
      </w:r>
    </w:p>
    <w:p w14:paraId="42647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 директор завода № 43 – Чвертко (9397).</w:t>
      </w:r>
    </w:p>
    <w:p w14:paraId="23CEC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FCD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был подготовлен:</w:t>
      </w:r>
    </w:p>
    <w:p w14:paraId="3101C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Паспорт завода № 45</w:t>
      </w:r>
    </w:p>
    <w:p w14:paraId="2D251A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45 Авиаремтреста находится в Крымской АССР вблизи города Севастополь (6 км) на берегу Килен-Бухты Севастопольского рейда.</w:t>
      </w:r>
    </w:p>
    <w:p w14:paraId="03710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Местом испытания самолетов, спуска и подъема служит Килен-Бухта, сухопутного же аэродрома завод не имеет и выпускаемые сухлпутные самолеты сдаются без испытания в воздухе.</w:t>
      </w:r>
    </w:p>
    <w:p w14:paraId="22413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отметить, что на расстоянии 6 км от завода имеется аэродром Школы зенитной артиллерии, который вполне может обслуживать нужды завода при разрешении вопроса переброски самолетов и организации на территории аэродрома подсобных мастерских.</w:t>
      </w:r>
    </w:p>
    <w:p w14:paraId="3A84D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в настоящее время проводит ремонт самолетов, обслуживая гл. образом нужды воздушных сил Черного моря.</w:t>
      </w:r>
    </w:p>
    <w:p w14:paraId="154349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Возникновение завода как ремонтных мастерских относится к 1901-1904 году, когда на территории занимаемой ныне заводом существовали небольшие мастерские по ремонту отдельных частей для Черноморского флота и находились в ведении военного ведомства.</w:t>
      </w:r>
    </w:p>
    <w:p w14:paraId="515C59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изгнания белых из Крыма на территории завода была развернута авиабаза по ремонту авиаединиц и склад авиаимущества. В 1926 году в октябре мастерские передаются в объединение «Промвоздух» и в системе «Промвоздух» уже реорганизованные в завод находятся до начала 1928 года, когда «Промвоздух» реорганизуется в Авиаремтрест куда и переходит завод.</w:t>
      </w:r>
    </w:p>
    <w:p w14:paraId="5EE68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дата возникновения мастерских может быть отнесена к 1902-1914 году, а завода к 1926 году.</w:t>
      </w:r>
    </w:p>
    <w:p w14:paraId="4D47A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 ремонт самолетов и моторов.</w:t>
      </w:r>
    </w:p>
    <w:p w14:paraId="52315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1931 года завод начинает выпускать вооружения и дает 9 вооружений в 1932 году, гл. образом самолетов ДВ (9314).</w:t>
      </w:r>
    </w:p>
    <w:p w14:paraId="49B632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AEE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Паспорт завода № 47 Авиаремтреста ГУАП</w:t>
      </w:r>
    </w:p>
    <w:p w14:paraId="6AADA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47 находится в Ленинграде и расположен примерно в 2,5 км от Московской заставы или же иначе на 4 км от вокзалов Варшавского или Балтийского Октябрьской ж/д.</w:t>
      </w:r>
    </w:p>
    <w:p w14:paraId="2400F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Территория завода с севера граничит с Путиловской соединительной ж/д ветвью, причем к последней непосредственно прилегает склад № 96 ЛВО, с востока Александровский поселок, прилегающий к линии Варшавской ж/д, с юга поле Корпусного аэродрома и наконец с запада канал Лиговка, протекающий в специально устроенном акведуке в виде земляного вала, с руслом посредине, возвышающимся над уровнем поля до 3-4 метров. За каналом Лиговка, на расстоянии около 350 м проходит ж/д.</w:t>
      </w:r>
    </w:p>
    <w:p w14:paraId="531B63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обеспечен аэродромом непосредственно прилегающим к заводу с южной стороны и занимающим поле, граничащее с севера с заводом, с востока с Варшавской ж/д, с юга с Краснокабацким шоссе и с запада с каналом Лиговка.</w:t>
      </w:r>
    </w:p>
    <w:p w14:paraId="5CD22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Аэродром носящий название Корпусного, несмотря на произведенные крупные ремонтные работы в 1927, 28 и 29 гг. считается не вполне безопасным для эксплуатации, не только тяжелого типа машин, но и более легких, но при вложении капитальных затрат на его ремонт и прокладку посадочно-взлетных дорожек, может служить для эксплуатации тяжелого типа машин.</w:t>
      </w:r>
    </w:p>
    <w:p w14:paraId="04401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завод приспособлен для ремонта самолетов, моторов и мелких машиностроительных и деревообделочных работ. На протяжении своей деятельности завод занимался ремонтом самолетов истребительного и разведывательного типов, т.е. машин с малыми габаритами, что объясняется отсутствием до 1931 года соответствующих производственных площадей. До конца 1932 года завод был в состоянии производить ремонт самолетов деревянных, стальных и смешанных конструкций, за исключением дюралюминиевых.</w:t>
      </w:r>
    </w:p>
    <w:p w14:paraId="295DC6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Примерное наименование конструкций самолетов, ремонтировавшихся до настоящего времени на заводе следующее:</w:t>
      </w:r>
    </w:p>
    <w:p w14:paraId="0D861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ФД-XI, ФД-VII, ФС-IV, И-2, И-2 бис, Р-1, ФГ-62, У-1, Р-5, И-5</w:t>
      </w:r>
    </w:p>
    <w:p w14:paraId="6C728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типы машин исключительно сухопутные, так как дальнее расстояние завода от гидродрома не позволяет развивать ремонт гидросамолетов.</w:t>
      </w:r>
    </w:p>
    <w:p w14:paraId="7FE31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введения в эксплуатацию ангара-сборочной (капстроительство 1931 года) завод может производить ремонт машин с большими габаритами, чем до сего времени. Если до 1932 года размах крыльев ремонтируемых самолетов не должен был превышать 15-16 метров, то в настоящее время завод в состоянии ремонтировать и собирать самолеты с размахом в 28-30 метров.</w:t>
      </w:r>
    </w:p>
    <w:p w14:paraId="451B3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Ремонт моторов производится различных конструкций, как водяного, так и воздушного охлаждения.</w:t>
      </w:r>
    </w:p>
    <w:p w14:paraId="406664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Примерное наименование конструкций моторов ремонтировавшихся на заводе:</w:t>
      </w:r>
    </w:p>
    <w:p w14:paraId="3338E8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РОН, БМВ IV, БМВ III, С-П, ЮЛ-V, Лоррен-Дитрих, Испано-Сюиза, М-VI, Либерти, М-5, БМВ VI, М-17, Ю-VI, М-22</w:t>
      </w:r>
    </w:p>
    <w:p w14:paraId="2930CB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Габариты ремонтируемых моторов для завода не являются критерием, как по самолетному цеху и дальнейшее развитие авиамоторного ремонта этим не задерживается.</w:t>
      </w:r>
    </w:p>
    <w:p w14:paraId="500B8C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47 возник 10 сентября 1926 года путем передачи в ведение Ремонтных авиационных мастерских № 3 Промвоздуха (ныне завод № 47) имущества, принадлежащего 3-й подвижной авиабазе ВВС ЛВО.</w:t>
      </w:r>
    </w:p>
    <w:p w14:paraId="66104E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ведении Промвоздуха завод находился до 1928-29 гг. (9314).</w:t>
      </w:r>
    </w:p>
    <w:p w14:paraId="1AA3B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63454C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января 1932 года Харьковский филиал Украинского научно-исследовательского института промэнергетики - бывшая харьковская Лаборатория двигателей внутреннего сгорания Украинского научно-исследовательского института промэнергетики, организованная 29 ноября 1929 года - стала Украинским научно-исследовательским институтом двигателей внутреннего сгорания в системе ВСНХ УССР, затем Нарокмтяжпрома. С 15 марта 1932 года - Научно-исследовательский институт двигателей внутреннего сгорания (Харьковский филиал НИИ ГВФ). С 3 августа 1932 года Украинский научно-исследовательский авиадизельный институт Харьковский филиал НИИ авиационных двигателей ГВФ "Аэрофлота" (7726, 31-47).</w:t>
      </w:r>
    </w:p>
    <w:p w14:paraId="70A3F91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D985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 врид. начальника ВВС писал письмо N 37/03с Гамарнику.</w:t>
      </w:r>
    </w:p>
    <w:p w14:paraId="37AF7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Полигон близ Монинского аэродрома начат оборудованием в 1931 году и предназначается для работы на нем НИИ ВВС, 17-ой Тяжелой авиабригады и 10 Легк. авиабригады. НИИ, помимо обычной работы по стрельбе и бомбометанию должен производить на нем разного рода испытания, в частности испытанию корпусов авиабомб. (3045,5).</w:t>
      </w:r>
    </w:p>
    <w:p w14:paraId="60A22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108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января 1932 года дирижабле- строительный факультет МАИ был переподчинен Дирижаблестрою. Это позволило, в частности, решить вопрос об организации непрерывного производственного обучения будущих инженеров на предприятиях Дирижаблестроя. Наиболее подготовленные студенты старших курсов с разрешения деканата факультета оформлялись на рабочие должности и участвовали в создании отечественных дирижаблей. До конца 1932 года Главное управление ГВФ передало под руководство Дирижаблестроя все профильные учебные заведения, что позитивно повлияло на качество подготовки специалистов (11269).</w:t>
      </w:r>
    </w:p>
    <w:p w14:paraId="5FE3EC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E371C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190F54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1F5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января 1932 года завод «Новое Сормово», как в то время он именовался был выделен в самостоятельный завод и передан ВОАО для организации производства орудийных систем.</w:t>
      </w:r>
    </w:p>
    <w:p w14:paraId="5A602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Генеральный план и все проекты цехов и промышленных сооружений были разработаны специально организованным проектным бюро ВОАО в 1931-1933 гг.</w:t>
      </w:r>
    </w:p>
    <w:p w14:paraId="3608F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НКТП от 20 августа 1933 года завод стал именоваться Машиностроительный завод «Новое Сормово» № 92 с подчинением ГКТП. С 1934 года начался валовый выпуск артсистем. В 1937 года завод перешел в подчинение НКВ. С 5 января 1941 года заводу присваивается наименование Завод № 92 им. И.В. Сталина. С 1943 года завод именуется Артиллерийский завод им. И.В. Сталина. С 1946 года завод подчинен Министерству вооружения. С 1948 по 1953 гг. завод именуется: Четырежды орденоносный завод им. И.В. Сталина Министерства вооружения. С 1953 по 1957 гг. завод именуется: Завод им. И.В. Сталина Министерства оборонной промышленности. С 1957 по 1960-е гг. – завод «Новое Сормово» им. Сталина Горьковского Совнархозв.</w:t>
      </w:r>
    </w:p>
    <w:p w14:paraId="11BBA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Распоряжением Совнархоза № 33рс от 13 января 1960 года указано в открытой переписке именовать завод – организация п/я 52.</w:t>
      </w:r>
    </w:p>
    <w:p w14:paraId="682C2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СМ РСФСР от 20 ноября 1961 года за № 147-171 и распоряжением Горьковского Совнархоза за № 809 от 29 ноября 1961 года завод именуется – Машиностроительный завод Горьковского Совнархоза.</w:t>
      </w:r>
    </w:p>
    <w:p w14:paraId="022178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Министерства оборонной промышленности № 1сс от 11 марта 1965 года завод именуется – Машиностроительный завод, Горький (10249).</w:t>
      </w:r>
    </w:p>
    <w:p w14:paraId="591C4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7AB278" w14:textId="3AD2D1E1"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филиал завода Сормово стал именоваться Союзным машиностроительным заводом «Новое Сормово» Всесоюзного орудийно-арсенального объединения с подчинением Наркомату тяжелой промышленности. Предприятие предназначалось для производства различных артиллерийских систем для Красной Армии. Активная деятельность завода началась с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заложен термический цех, в августе пущен в эксплуатацию литейный с двумя мартеновскими печами. Примечательно, что первоначально параллельно существовали два плана строительства. Согласно так называемому большому генеральному плану, «Новое Сормово» должно было стать заводом-гигантом, площади которого раскинулись бы от Московского шоссе до Большой Сормовской дороги (ныне Сормовское шоссе). В случае реализации проекта длина завода составила бы около четырех километров. Однако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 этого плана отказались, и далее строительство велось по малому генеральному плану. [4 — Там же, с. 29.] Аналогичным образом не были достроены и многие другие заводы. Скудных ресурсов страны не хватало для воплощения в жизнь гигантоманческих планов. Первым делом завод «Новое Сормово» начал выпуск 76-мм динамореактивных пушек ДРП-4. В начале 30-х годов в руководстве Красной Армии шла дискуссия о приоритетах развития артиллерии. В частности, будущий маршал М. Н. Тухачевский отстаивал преимущества динамореактивных орудий из-за их большой мобильности и простоты эксплуатации. Однако такая система имела много недостатков: небольшую начальную скорость снаряда, наличие демаскирующих признаков из-за реактивной струи, а также большой расход пороха. В итоге массовое производство динамореактивных орудий признали нецелесообразным, хотя часть их продолжала долгое время состоять на вооружении РККА. Первоначально детали для пушек завод получал с «Красного Сормова», а их сборку производили на специально выделенном участке ремонтно-механического цеха. Затем весь объем работ производился в машиностроительном цехе (в дальнейшем механический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 В духе времени, этот цех начал выпускать продукцию, будучи недостроенным и необорудованным. Протекала крыша. Для сбора дождевой воды в цехе были оборудованы ямы, вода из которых периодически откачивалась в водопонижающую канаву, пересекавшую территорию завода. Цех был условно разделен на шесть участков: обдирочная, пробная и лафетная мастерские, мастерская механизмов и затворов, тел орудий и сборочная. Кроме того, «Новому Сормову» было поручено изготовление деталей, в основном стволов, необходимых для модернизации старых орудий, состоявших на вооружении РККА: 76-мм пушки Ф-17 образца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76-мм дивизионной пушки Ф-19 образца 1902/30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76-мм горной пушки Ф-10 образца 1909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др. Освоение серийного производства шло с большими трудностями. Так, в кузнечно-прессовом цехе основным методом изготовления заготовок стала так называемая «свободная ковка». При этом припуски на механическую обработку были огромны, и металл в основном шел в отходы. Вилка станины лафета при чистом весе 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в заготовке весила 140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то есть превышение составляло восемь раз. Выбрасыватель гильзы в чистом виде имел вес 0,7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а заготовка тянула на 15–17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(превышение в 20 раз). В результате в механических цехах цикл обработки отдельных деталей достигал месяца и более, а расход режущего инструмента был просто колоссальным (11741).</w:t>
      </w:r>
    </w:p>
    <w:p w14:paraId="7A1D630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6D28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 на заводе Новое Сормово организовали цеховые бюро технического нормирования (ТНБ). Они подчинялись начальникам цехов, и их задачей было проведение технического нормирования, определение зарплаты рабочих и служащих.</w:t>
      </w:r>
    </w:p>
    <w:p w14:paraId="7AA4C9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затем 21 мая в дополнение к ним был создан отдел экономики труда, ставший центральным органом заводоуправления по вопросам труда. В его функции входили:</w:t>
      </w:r>
    </w:p>
    <w:p w14:paraId="1ED493CB" w14:textId="23A3D0C4"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разработка системы оплаты труда и тарификации;</w:t>
      </w:r>
    </w:p>
    <w:p w14:paraId="5C369282" w14:textId="54246090"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разработка перспективных и текущих промфинпланов;</w:t>
      </w:r>
    </w:p>
    <w:p w14:paraId="349F752C" w14:textId="208E465D"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проведение работ по повышению производительности труда;</w:t>
      </w:r>
    </w:p>
    <w:p w14:paraId="645EDAB2" w14:textId="4018F24F"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техническое нормирование работ.</w:t>
      </w:r>
    </w:p>
    <w:p w14:paraId="25F8C3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все это не привело в полной мере к устранению указанных выше явлений, которые порождались самой организацией планового производства с заведомо завышенными производственными заданиями.</w:t>
      </w:r>
    </w:p>
    <w:p w14:paraId="5382CABF" w14:textId="66E16FAD"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приказе по заводу отмечалось, что часто «имеют место нарушения установленных расценок». [6 — Там же, Д. 16, Л. 28.] Рабочим постоянно производилась переплата путем преувеличения записей об объемах выполненных работ. Причем оплата производилась независимо от количества сделанного теми же рабочими брака.</w:t>
      </w:r>
    </w:p>
    <w:p w14:paraId="5BA8F06E" w14:textId="4531B175"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неоднократно выявлялась халатная работа нормировщиков, приводившая к тому, что нормы выработки превышались от пяти до пятидесяти. Следствием этого была неправильная загрузка и большой износ оборудования. [7 — Там же, Д. 111, Л. 24.] (11741).</w:t>
      </w:r>
    </w:p>
    <w:p w14:paraId="7B1C8D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5F8E79" w14:textId="3CA79CB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 в ведении ВОАО НКТП был образован Союзный машиностроительный завод «Новое Сормово» (Завод № 92 им. И.В. Сталина НКТП, НКОП, НКВ, НКМВ, Союзный машиностроительный завод «Новое Сормово» НКТП, Горьковский машиностроительный завод, ПО, ОАО «Нижегородский машиностроительный завод» (НМЗ) / г. Горький п/аг-во 52 (1938 г.)/ /603052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Нижний Новгород Сормовское ш., 21 тел. 43-80-10/). В 1934 г. завод из состава Орударса НКТП переподчинен другому ведомству." Находился в ведении ГВМУ НКТП, в 1936 г. завод № 92 вошел в состав ГУВП НКТП, в 12.1936 г. передан в НКОП. Приказом № 100 от 16.03.1937 г. утвержден Устав ТС завода № 92 ЗГУ НКОП. В 02.1939 г. завод № 92 ЗГУ передан в ведение ЗГУ НКВ, в 06.1940 г. - в ведении 1ГУ НКВ, в 02.1942 г. - в ведении НКМВ.</w:t>
      </w:r>
    </w:p>
    <w:p w14:paraId="19E97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заводу выдан заказ на изготовление 16 ДРП АПК-4 (не сделано ни одной), на 1933 г. - 50 шт. (не сделано, заказ был снят). В 1935 г. заказано 350 стволов для АПК-4, изготовлено 370.</w:t>
      </w:r>
    </w:p>
    <w:p w14:paraId="2D71B4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на заводе образовано артиллерийское КБ.</w:t>
      </w:r>
    </w:p>
    <w:p w14:paraId="7E257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(1936-37 г.): цехи: № 1 (ствольный участок), механический № 2, 3, литейный № 4, 5, 6, 7, 8, 9, 10, 11, 12, монтажный, экспериментальный, транспортный.</w:t>
      </w:r>
    </w:p>
    <w:p w14:paraId="7E81FC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0031 от 8.02.1937 г. заводу предписано создать к 1.01.1938 г. мощности по выпуску 1500 76-мм дивизионных пушек в год, приказом № 00102 от 8.05.1937 г. количество пушек доведено до 2000. Этим же приказом завод был обязан ввести в эксплуатацию в 1937 г.: кислородную станцию, лабораторию резания, испытательную станцию; дооборудовать обдирочно-механический цех и организовать замочно-прицельное отделение. Пр. ЗГУ № 71 от 17.11.1937 г. предписано набрать на завод до 1.02.1938 г. 4000 рабочих. По пр. № 48с от 8.02.1938 г. было необходимо построить в 1938 г. модельный цех. По пр. № 280с от 7.08.1938 г. требовалось ввести в эксплуатацию в 12.1938 г. цехи: литейный, кузнечно-прессовый, модельный и кислородную станцию. По пр. ЗГУ № 143 от 5.08.1938 г. на заводе на базе ОКСа создано УКС и введена должность начальника УКС/зам. директора по капстроительству.</w:t>
      </w:r>
    </w:p>
    <w:p w14:paraId="5BC53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перехода на крупносерийное производство пушки Ф-22 по пр. ЗГУ № 52 от 31.08.1937 г. на заводе организовано спецбюро. По пр. № 0278 от 20/21.12.1037 г. производство пушки Ф-22 переведено на конвейерную сборку. Приказом № 228сс от 1.07.1938 г. заводу поручено развернуть производство 76-мм дивизионной пушки Л- 12.</w:t>
      </w:r>
    </w:p>
    <w:p w14:paraId="38119C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(1937 г.): пушка Ф-22 (261, по плану- 500); стволы с затворами для Ф-12 (40, по плану- 110); оси вагонные, валы коленчатые, детали для автомобильных двигателей.</w:t>
      </w:r>
    </w:p>
    <w:p w14:paraId="16B7BA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06.1940 г. начато освоение производства танковой пушки Ф-32 с программой выпуска в 1941 г. 2000 штук.</w:t>
      </w:r>
    </w:p>
    <w:p w14:paraId="217712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НКВ № 164сс от 14.06.1940 г. заводу предписано с 1.09.1940 г. начать испытания новой танковой пушки Ф-34. По решению КО в 12.1940 г. начато ее серийное производство.</w:t>
      </w:r>
    </w:p>
    <w:p w14:paraId="70042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Приказом НКТМ № 231с от 04.1941 г. заводу поручено к 25.05.1941 г. изготовить пушку ЗиС-6 для КВ-3 и наладить ее серийное производство с выпуском в 07.1941 г. 45 пушек.</w:t>
      </w:r>
    </w:p>
    <w:p w14:paraId="6A2809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СНК № 1216-502сс/оп от 5.05.1941 г. заводу поручено организовать с 09.1941 г. производство пушек ЗиС-4 с выпуском к концу года 400 шт.</w:t>
      </w:r>
      <w:r w:rsidRPr="00E93F40">
        <w:rPr>
          <w:rFonts w:ascii="Times New Roman" w:hAnsi="Times New Roman"/>
          <w:color w:val="000000" w:themeColor="text1"/>
          <w:sz w:val="16"/>
          <w:szCs w:val="16"/>
          <w:vertAlign w:val="superscript"/>
        </w:rPr>
        <w:t>128</w:t>
      </w:r>
    </w:p>
    <w:p w14:paraId="1CFF08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самой войной на заводе спроектирован «танк-истребитель» на базе Т-34 с 57-мм пушкой ЗиС-4, не реализован.</w:t>
      </w:r>
    </w:p>
    <w:p w14:paraId="7F013E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ГКО № 1144 от 12.01.1942 г. заводу утвержден план на 1-й квартал 1942 г. по выпуску 76-мм дивизионных пушек УСВ, ЗиС-З и танковых пушек Ф-34 и ЗиС-5. 23.04.1942 г. вышло постановление ГКО № 1635 о плане посуточной сдачи артиллерии на заводе на II квартал 1942 г. С 05.1943 г. начато строительство новых цехов, которые были оснащены импортным оборудованием. К концу 1943 г. освоен выпуск пушки ЗИС-2. ЮЛ 1.1944 г. вышло распоряжение ГКО № 6904 о поставках заводу химических материалов и ГСМ. В годы войны завод ежесуточно выпускал около 100 пушек, всего за время войны выпущено около 100 тыс. пушек.</w:t>
      </w:r>
    </w:p>
    <w:p w14:paraId="6DBFA8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1946 г. изготовлена система разгрузки первого промышленного атомного реактора для Комбината № 817. В 1948-49 г. - первые диффузионные центрифуги</w:t>
      </w:r>
      <w:r w:rsidRPr="00E93F40">
        <w:rPr>
          <w:rFonts w:ascii="Times New Roman" w:hAnsi="Times New Roman"/>
          <w:iCs/>
          <w:color w:val="000000" w:themeColor="text1"/>
          <w:sz w:val="16"/>
          <w:szCs w:val="16"/>
        </w:rPr>
        <w:t xml:space="preserve"> для</w:t>
      </w:r>
      <w:r w:rsidRPr="00E93F40">
        <w:rPr>
          <w:rFonts w:ascii="Times New Roman" w:hAnsi="Times New Roman"/>
          <w:color w:val="000000" w:themeColor="text1"/>
          <w:sz w:val="16"/>
          <w:szCs w:val="16"/>
        </w:rPr>
        <w:t xml:space="preserve"> разделения изотопов урана.</w:t>
      </w:r>
      <w:r w:rsidRPr="00E93F40">
        <w:rPr>
          <w:rFonts w:ascii="Times New Roman" w:hAnsi="Times New Roman"/>
          <w:color w:val="000000" w:themeColor="text1"/>
          <w:sz w:val="16"/>
          <w:szCs w:val="16"/>
          <w:vertAlign w:val="superscript"/>
        </w:rPr>
        <w:t>92</w:t>
      </w:r>
    </w:p>
    <w:p w14:paraId="6CA95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07.1951 г. с завода в КБ-1 ТТУ переведены А.И. Савин, В.И. Самсонов и А.З. Филылтейн.</w:t>
      </w:r>
    </w:p>
    <w:p w14:paraId="36EF0C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1994 г. предприятие акционировано. По решению правительства № 22-р от 9.01.2004 г. ОАО вошло в перечень стратегических предприятий. Входит в состав Концерна «Алмаз-Антей» (2005 г.).</w:t>
      </w:r>
    </w:p>
    <w:p w14:paraId="0BC6C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(1936 г.)- 7178 чел., (1937 г.)- 8636 чел., (1997 г.)- 14.072 чел., (2007 г.)- 12.332 чел.</w:t>
      </w:r>
    </w:p>
    <w:p w14:paraId="638B32F8" w14:textId="37022A8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(08.1936 г.)- Радкевич (репрессирован); и.о. (-12.1936 г.)- И.А. Мирзаханов; (31.12.1936-13.01.1938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 Дунаев (репрессирован), (12.1937 г.)- А.О. Клип(п)ель, (26.01-08.1938 г.-)- И.А. Мирзаханов, (1940-51 г.)- А.С. Елян. Гендиректор (2001-05 г.-)- И. Г. Григорьев, (-21.12.2007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Басов, (01.2008 г.-)- В.Ф. Шевченко.</w:t>
      </w:r>
    </w:p>
    <w:p w14:paraId="6E2F4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(06.1937 г.)- Б.И. Каневский. Помощник директора: по коммерческой части (-4.02.1937 г.)- А.А. Максимович, (4.02.1937 г.-)- П.Ф. Полишевский; по найму и увольнению (-06-29.11.1937 г.)- А.А. Малыгин, (29.11.1937 г.-)- А.А. Никитин.</w:t>
      </w:r>
    </w:p>
    <w:p w14:paraId="28154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(1936; 11.07.1937-08.1938 г.-)- А.О. Клипель, (06.1937 г.)- Б.И. Каневский, (1953 г.)- М.А. Брежнев.</w:t>
      </w:r>
    </w:p>
    <w:p w14:paraId="526D0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(04.1941 г.)- В. Г. Грабин, (1941-51 г.)- А.И. Савин.</w:t>
      </w:r>
    </w:p>
    <w:p w14:paraId="3BBC34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энергетик (01.1938 г.)- Ашин.</w:t>
      </w:r>
    </w:p>
    <w:p w14:paraId="3E3D0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Заведующий производством (1936 г.)- Макулов.</w:t>
      </w:r>
    </w:p>
    <w:p w14:paraId="475DC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 2 (1936 г.)- Лубяго; № 8 (1937 г.)- Ковалев; № 9 (1937 г.)- Иванов; № 12 (1937 г.)- Ашин; литейного (1936 г.)- Эфрос (репрессирован).</w:t>
      </w:r>
    </w:p>
    <w:p w14:paraId="72D0A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УКС (08.1938 г.)- Карп. Начальники отделов: КО (09.1937 г.)- В. Г. Грабин; технического (1936 г.)- Смирнов; подготовки кадров (08.1938 г.)- Андронов.</w:t>
      </w:r>
    </w:p>
    <w:p w14:paraId="49F58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 пушки:</w:t>
      </w:r>
      <w:r w:rsidRPr="00E93F40">
        <w:rPr>
          <w:rFonts w:ascii="Times New Roman" w:hAnsi="Times New Roman"/>
          <w:color w:val="000000" w:themeColor="text1"/>
          <w:sz w:val="16"/>
          <w:szCs w:val="16"/>
        </w:rPr>
        <w:t xml:space="preserve"> дивизионные 76-мм Ф-22 (1937), Ф-22УСВ (1942), Л-12 (1938-), ЗиС-З (1942); противотанковая 57-мм ЗиС-2 (-12.1941; 1943-); танковые: Ф-32 (1940-), Ф-34 (12.1940-42-), 57-мм ЗиС-4 для Т-34 (-12.1941)- около 100 (1941), ЗиС-5 (1941-43), 106,7-мм ЗиС-6 для КВ-3 (07-08.1941)- 5, 85-мм С-53 для Т-34-85 (1944-), 125-мм 2А46М1 для Т-72 и Т-80, 100-мм 2А70 для БМП-3 (2005); зенитные: 76-мм тумбовая пушка (ВОВ), 57-мм С-60 (1954-); гаубица Д1; корабельные: Ф-35, Ф-36 (1941), 90К (1950-е), 92К (1950-53), 76,2-мм АК- 726 (1960-е), 23-мм счетверенная зенитная установка 2А10 (1960-е), башенные 57-мм А-220 (1970-е), 76,2-мм АК- 176М (1970-е-2005-), АК-126М; зенитные установки: «Амур» для ЗСУ-23-4 «Шилка» (1960-е), 2А40,2А40М1 для ЗСУ «Тунгуска» (2005); миномет 2Б14-1»Поднос» (2004); транспортно-заряжающая машина 2Ф77М на базе КамАЗа для ЗСУ «Тушуска» (2005), подвижный комплекс управления артогнем 1В17 на базе ГАЗ-66 и БТР-80 (1976-91); детали для </w:t>
      </w:r>
      <w:r w:rsidRPr="00E93F40">
        <w:rPr>
          <w:rFonts w:ascii="Times New Roman" w:hAnsi="Times New Roman"/>
          <w:color w:val="000000" w:themeColor="text1"/>
          <w:sz w:val="16"/>
          <w:szCs w:val="16"/>
          <w:lang w:val="en-US"/>
        </w:rPr>
        <w:t>PC</w:t>
      </w:r>
      <w:r w:rsidRPr="00E93F40">
        <w:rPr>
          <w:rFonts w:ascii="Times New Roman" w:hAnsi="Times New Roman"/>
          <w:color w:val="000000" w:themeColor="text1"/>
          <w:sz w:val="16"/>
          <w:szCs w:val="16"/>
        </w:rPr>
        <w:t xml:space="preserve"> М-30 (1942), узлы для ЗРК С-300, РЛС «Противник-ГЕ», «Небо» (2005); салютные установки: малого калибра 2А30, 2А34, большого калибра 2А35 «Юбилейная»; цилиндры авиационных моторов М-17, АМ-34 (1937); антенны: для РЛС системы С-25 (1953-); РС-10, РС-11 РЛС системы ПРО «А» (1950-е, совместно с заводом № 21), Т-10 РЛС РКЦ-35 системы ПРО А-35 (1966); реакторное и вспомогательное оборудование для ВМФ и АЭС (2005); блочные теплоцентрали повышенной заводской готовности, самоходные подъемные агрегаты для ремонта нефтяных скважин, очистные угольные комбайны, съемные грузозахватные приспособления (2005); пылесос «Циклон», зарядное устройство «Рассвет» (2005).</w:t>
      </w:r>
      <w:r w:rsidRPr="00E93F40">
        <w:rPr>
          <w:rFonts w:ascii="Times New Roman" w:hAnsi="Times New Roman"/>
          <w:color w:val="000000" w:themeColor="text1"/>
          <w:sz w:val="16"/>
          <w:szCs w:val="16"/>
          <w:vertAlign w:val="superscript"/>
        </w:rPr>
        <w:t>101</w:t>
      </w:r>
    </w:p>
    <w:p w14:paraId="6BBE8C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завода № 92, ОКБ-92</w:t>
      </w:r>
    </w:p>
    <w:p w14:paraId="082CC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на заводе в 01.1934 г. на базе ГКБ-38, откуда переведена группа конструкторов во главе с В. Г. Грабиным. Разработка артиллерийских орудий.</w:t>
      </w:r>
    </w:p>
    <w:p w14:paraId="396EC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 г. велись работы по 76-мм танковой пушке (с баллистикой зенитной) Ф-27, в начале 1939 г. они прекращены. В 1939 г. разработана 85-мм пушка Ф-30. В 01.1940 г. создана опытная 95-мм пушка Ф-39.</w:t>
      </w:r>
    </w:p>
    <w:p w14:paraId="698ED0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базе Ф-22 в 1939 г. разработана танковая Ф-32, в 01.1940 г. она пнв.</w:t>
      </w:r>
    </w:p>
    <w:p w14:paraId="26DDA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1940 г. на базе проекта 76-мм пушки Ф-27 начата разработка танковой пушки Ф-34. По приказу НКВ № 164 от 14.06.1940 г. ее требовалось передать к 1.09.1940 г. на испытания. 21.11.1940 г. Ф-34 пнв. Она стала самой массовой танковой пушкой периода войны.</w:t>
      </w:r>
    </w:p>
    <w:p w14:paraId="1F842B21" w14:textId="4E11346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 г. в инициативном порядке начата разработка 106,7-мм танковой пушки Ф-42. По решению НКО от 21.11.1940 г. в начале 1941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изготовлен опытный образец. Приказом НКТМ № 231 с от 04.1941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ОКБ поручено к 1.06.1941 г. разработать 107-мм пушку для танков КВ-4, КВ-5. 17.06.1941 г. пушка ЗиС-6 была рекомендована к принятию на вооружение, с 1.07.1941 г. начат ее серийный выпуск, но в августе прекращен из-за неготовности танка. В 11.1941 г. начата разработка строенной установки ЗиС-бА, включающей ЗиС-6, 45-мм пушку 20-К и пулемет ДТ.</w:t>
      </w:r>
    </w:p>
    <w:p w14:paraId="2C774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12.1941 г. по заказу ГБТУ разработаны варианты перевооружения английских танков: установка 45-мм пушки обр. 1938 г. и пулемета ДТ (ЗиС-95) для </w:t>
      </w:r>
      <w:r w:rsidRPr="00E93F40">
        <w:rPr>
          <w:rFonts w:ascii="Times New Roman" w:hAnsi="Times New Roman"/>
          <w:color w:val="000000" w:themeColor="text1"/>
          <w:sz w:val="16"/>
          <w:szCs w:val="16"/>
          <w:lang w:val="en-US"/>
        </w:rPr>
        <w:t>Mk</w:t>
      </w:r>
      <w:r w:rsidRPr="00E93F40">
        <w:rPr>
          <w:rFonts w:ascii="Times New Roman" w:hAnsi="Times New Roman"/>
          <w:color w:val="000000" w:themeColor="text1"/>
          <w:sz w:val="16"/>
          <w:szCs w:val="16"/>
        </w:rPr>
        <w:t xml:space="preserve"> III «Валентайн»; 76-мм пушка обр. 1941 г. и ДТ (ЗиС-96) для </w:t>
      </w:r>
      <w:r w:rsidRPr="00E93F40">
        <w:rPr>
          <w:rFonts w:ascii="Times New Roman" w:hAnsi="Times New Roman"/>
          <w:color w:val="000000" w:themeColor="text1"/>
          <w:sz w:val="16"/>
          <w:szCs w:val="16"/>
          <w:lang w:val="en-US"/>
        </w:rPr>
        <w:t>Mk</w:t>
      </w:r>
      <w:r w:rsidRPr="00E93F40">
        <w:rPr>
          <w:rFonts w:ascii="Times New Roman" w:hAnsi="Times New Roman"/>
          <w:color w:val="000000" w:themeColor="text1"/>
          <w:sz w:val="16"/>
          <w:szCs w:val="16"/>
        </w:rPr>
        <w:t xml:space="preserve"> II «Матильда».</w:t>
      </w:r>
    </w:p>
    <w:p w14:paraId="77425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1274 от 12.02.1942 г. пушка ЗиС-З пнв. Пост. ГКО № 3578 от 15.06.1943 г. пнв пушка ЗиС-2.</w:t>
      </w:r>
    </w:p>
    <w:p w14:paraId="4668A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2477 от 5.11.1942 г. в Подлипках организовано ЦАКБ НКВ, куда был переведен основной конструкторский коллектив во главе с В. Г. Грабиным.</w:t>
      </w:r>
    </w:p>
    <w:p w14:paraId="37279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(1934-42 г.)- В. Г. Грабин, (1943-47 г.)- А.И. Савин, (1950-е-66 г.-&gt; А.Е. Соколов (РС-10, «Дунай-2»).</w:t>
      </w:r>
    </w:p>
    <w:p w14:paraId="04D7C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(-13.10.1938 г.)- П.И. Костин.</w:t>
      </w:r>
    </w:p>
    <w:p w14:paraId="65C6D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Руководители групп: (1940 г.)- П. Муравьев (Ф-34), (1941 г.)- В. Норкин.</w:t>
      </w:r>
    </w:p>
    <w:p w14:paraId="1968C1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Создано: пушки:</w:t>
      </w:r>
      <w:r w:rsidRPr="00E93F40">
        <w:rPr>
          <w:rFonts w:ascii="Times New Roman" w:hAnsi="Times New Roman"/>
          <w:color w:val="000000" w:themeColor="text1"/>
          <w:sz w:val="16"/>
          <w:szCs w:val="16"/>
        </w:rPr>
        <w:t xml:space="preserve"> дивизионные: 76-мм Ф-22 обр. 1936 г. (52П363А, пнв 11.05.1936 г.), Ф-22УСВ (1938), ЗиС-З (пнв 12.02.1942 г.); танковые: 85-мм Ф-30 (1939), 76-мм Ф-32 для </w:t>
      </w:r>
      <w:r w:rsidRPr="00E93F40">
        <w:rPr>
          <w:rFonts w:ascii="Times New Roman" w:hAnsi="Times New Roman"/>
          <w:color w:val="000000" w:themeColor="text1"/>
          <w:sz w:val="16"/>
          <w:szCs w:val="16"/>
          <w:lang w:val="en-US"/>
        </w:rPr>
        <w:t>KB</w:t>
      </w:r>
      <w:r w:rsidRPr="00E93F40">
        <w:rPr>
          <w:rFonts w:ascii="Times New Roman" w:hAnsi="Times New Roman"/>
          <w:color w:val="000000" w:themeColor="text1"/>
          <w:sz w:val="16"/>
          <w:szCs w:val="16"/>
        </w:rPr>
        <w:t xml:space="preserve"> (пнв 26.01.1940 г.), 76-мм Ф-27 для </w:t>
      </w:r>
      <w:r w:rsidRPr="00E93F40">
        <w:rPr>
          <w:rFonts w:ascii="Times New Roman" w:hAnsi="Times New Roman"/>
          <w:color w:val="000000" w:themeColor="text1"/>
          <w:sz w:val="16"/>
          <w:szCs w:val="16"/>
          <w:lang w:val="en-US"/>
        </w:rPr>
        <w:t>KB</w:t>
      </w:r>
      <w:r w:rsidRPr="00E93F40">
        <w:rPr>
          <w:rFonts w:ascii="Times New Roman" w:hAnsi="Times New Roman"/>
          <w:color w:val="000000" w:themeColor="text1"/>
          <w:sz w:val="16"/>
          <w:szCs w:val="16"/>
        </w:rPr>
        <w:t xml:space="preserve"> (1941, опытная), 76-мм ЗиС-5 для </w:t>
      </w:r>
      <w:r w:rsidRPr="00E93F40">
        <w:rPr>
          <w:rFonts w:ascii="Times New Roman" w:hAnsi="Times New Roman"/>
          <w:color w:val="000000" w:themeColor="text1"/>
          <w:sz w:val="16"/>
          <w:szCs w:val="16"/>
          <w:lang w:val="en-US"/>
        </w:rPr>
        <w:t>KB</w:t>
      </w:r>
      <w:r w:rsidRPr="00E93F40">
        <w:rPr>
          <w:rFonts w:ascii="Times New Roman" w:hAnsi="Times New Roman"/>
          <w:color w:val="000000" w:themeColor="text1"/>
          <w:sz w:val="16"/>
          <w:szCs w:val="16"/>
        </w:rPr>
        <w:t xml:space="preserve"> (пнв 1.10.1941 г.), 95-мм Ф-39 (1940), Ф-34 для БТ-7 и Т-34 (пнв в 07.1941 г.), 106,7- мм Ф-42 (1941), 106,7-мм ЗиС-6 для КВ-3 (1941), 45-мм ЗиС-19БМ для Т-62 (1942), 37-мм ЗиС-19 для Т-60 (1942), 85-мм ЛБ-1 (ЗиС-8, 1943), 85-мм ЗиС-85ПМ (ЗиС-1, 1944), 100-мм ЗиС-100 (1944), 76-мм ЛБ-76 для Р-39 (1949); ЗиС-95, ЗиС-96 (1941); противотанковая 57-мм ЗиС-2 (пнв 15.06.1943 г.), 57-мм автоматическая зенитная С-60 (1953-54); антенна РС-10 РЛС системы ПРО «А» (1950-е), антенна РЭ-10 (1956), антенные системы РЛС «Дунай- 2» (1950-е) (11982).</w:t>
      </w:r>
    </w:p>
    <w:p w14:paraId="62E596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CFF1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января 1932 г. вместо положен</w:t>
      </w:r>
      <w:r w:rsidRPr="00E93F40">
        <w:rPr>
          <w:rFonts w:ascii="Times New Roman" w:hAnsi="Times New Roman"/>
          <w:color w:val="000000" w:themeColor="text1"/>
          <w:sz w:val="16"/>
          <w:szCs w:val="16"/>
        </w:rPr>
        <w:softHyphen/>
        <w:t>ных 50 комплектов на ХПЗ было отгружено всего на 7 машин подшипников, дви</w:t>
      </w:r>
      <w:r w:rsidRPr="00E93F40">
        <w:rPr>
          <w:rFonts w:ascii="Times New Roman" w:hAnsi="Times New Roman"/>
          <w:color w:val="000000" w:themeColor="text1"/>
          <w:sz w:val="16"/>
          <w:szCs w:val="16"/>
        </w:rPr>
        <w:softHyphen/>
        <w:t>гателей «Либерти», прошедших ремонт, имелось лишь 8 шт., комплектов бронедеталей для производства корпусов - 3 комплекта, КПП - 4 экз. Так что при всем желании в 1931 г. завод не смог в плюс к трем машинам, отгруженным к 7 ноября, сдать еще хоть одну. Освоение серийного производства БТ на ХПЗ шло медленно. Для выполнения обширной программы выпуска но</w:t>
      </w:r>
      <w:r w:rsidRPr="00E93F40">
        <w:rPr>
          <w:rFonts w:ascii="Times New Roman" w:hAnsi="Times New Roman"/>
          <w:color w:val="000000" w:themeColor="text1"/>
          <w:sz w:val="16"/>
          <w:szCs w:val="16"/>
        </w:rPr>
        <w:softHyphen/>
        <w:t>вого танка не хватало оборудования, сырья и материалов, подготовленных кадров. Срывали поставки смежники. Однако запланированную в мае—сентябре 1931 г. про</w:t>
      </w:r>
      <w:r w:rsidRPr="00E93F40">
        <w:rPr>
          <w:rFonts w:ascii="Times New Roman" w:hAnsi="Times New Roman"/>
          <w:color w:val="000000" w:themeColor="text1"/>
          <w:sz w:val="16"/>
          <w:szCs w:val="16"/>
        </w:rPr>
        <w:softHyphen/>
        <w:t>грамму выпуска 25 танков в 1931 г. и 2000 танков на 1932 г. не отменили, но уточнили, что первые 100 машин должны были быть переданы РККА не позднее 15 февраля. Особо волновало руководство ГУВП положение с дви</w:t>
      </w:r>
      <w:r w:rsidRPr="00E93F40">
        <w:rPr>
          <w:rFonts w:ascii="Times New Roman" w:hAnsi="Times New Roman"/>
          <w:color w:val="000000" w:themeColor="text1"/>
          <w:sz w:val="16"/>
          <w:szCs w:val="16"/>
        </w:rPr>
        <w:softHyphen/>
        <w:t>гателями «Либерти» для нового танка. Ведь выпуск его на заводе «Большевик» в 1928-30 гг. под маркой М-5 был пре</w:t>
      </w:r>
      <w:r w:rsidRPr="00E93F40">
        <w:rPr>
          <w:rFonts w:ascii="Times New Roman" w:hAnsi="Times New Roman"/>
          <w:color w:val="000000" w:themeColor="text1"/>
          <w:sz w:val="16"/>
          <w:szCs w:val="16"/>
        </w:rPr>
        <w:softHyphen/>
        <w:t>кращен в связи с переходом завода на производство танков Т-18, а позднее - Т-26, имевших оригинальные моторы. Новый же завод Авиационного Объединения, на который предполагалось передать программу выпуска М-5, постро</w:t>
      </w:r>
      <w:r w:rsidRPr="00E93F40">
        <w:rPr>
          <w:rFonts w:ascii="Times New Roman" w:hAnsi="Times New Roman"/>
          <w:color w:val="000000" w:themeColor="text1"/>
          <w:sz w:val="16"/>
          <w:szCs w:val="16"/>
        </w:rPr>
        <w:softHyphen/>
        <w:t>ен в 1930-31 гг. не был, и программа выпуска танков БТ вдруг оказалась под угрозой. Поэтому для выпуска первых 100 танков БТ правитель</w:t>
      </w:r>
      <w:r w:rsidRPr="00E93F40">
        <w:rPr>
          <w:rFonts w:ascii="Times New Roman" w:hAnsi="Times New Roman"/>
          <w:color w:val="000000" w:themeColor="text1"/>
          <w:sz w:val="16"/>
          <w:szCs w:val="16"/>
        </w:rPr>
        <w:softHyphen/>
        <w:t>ством было разрешено совершить закупку через АМТОРГ 50 авиамоторов «Либерти» в октябре 1931 г. и столько же в декабре. Обеспечение выпуска остальных танков БТ двигателя</w:t>
      </w:r>
      <w:r w:rsidRPr="00E93F40">
        <w:rPr>
          <w:rFonts w:ascii="Times New Roman" w:hAnsi="Times New Roman"/>
          <w:color w:val="000000" w:themeColor="text1"/>
          <w:sz w:val="16"/>
          <w:szCs w:val="16"/>
        </w:rPr>
        <w:softHyphen/>
        <w:t>ми сначала планировалось осуществить за счет возобнов</w:t>
      </w:r>
      <w:r w:rsidRPr="00E93F40">
        <w:rPr>
          <w:rFonts w:ascii="Times New Roman" w:hAnsi="Times New Roman"/>
          <w:color w:val="000000" w:themeColor="text1"/>
          <w:sz w:val="16"/>
          <w:szCs w:val="16"/>
        </w:rPr>
        <w:softHyphen/>
        <w:t>ления серийного производства двигателя М-5 на одном из авиационных заводов. Но в производстве самолетов в то время СССР переориентировался на более мощный бензо-мотор БМВ, выпуск которого был освоен под индексом М-17 по лицензии. Поэтому в отношении танка БТ было принято решение о закупке в САСШ всех оставшихся там устаревших авиамоторов «Либерти». Закупкой моторов от УММ занимался в САСШ Д. Свиридов (10733,200).</w:t>
      </w:r>
    </w:p>
    <w:p w14:paraId="706649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194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был пущен ГАЗ в Нижнем (3908,336).</w:t>
      </w:r>
    </w:p>
    <w:p w14:paraId="27045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A940B7" w14:textId="77777777" w:rsidR="00D45048" w:rsidRPr="00E93F40" w:rsidRDefault="00D4504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вступил в строй Горьковский автозавод. Первые модели ГАЗ-АА (1,5-тонный грузовик) и ГАЗ-А, легковушка (12629).</w:t>
      </w:r>
    </w:p>
    <w:p w14:paraId="3424A63D" w14:textId="77777777" w:rsidR="00D45048" w:rsidRPr="00E93F40" w:rsidRDefault="00D45048"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95C0F3" w14:textId="77777777" w:rsidR="00EA5E5D" w:rsidRPr="00E93F40" w:rsidRDefault="00EA5E5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 автозавод вступил в строй действующих. 29 января 1932 г. с конвейера сошел первый автомобиль - грузовик НАЗ-АА (21167).</w:t>
      </w:r>
    </w:p>
    <w:p w14:paraId="1B17FECD" w14:textId="77777777" w:rsidR="00EA5E5D" w:rsidRPr="00E93F40" w:rsidRDefault="00EA5E5D" w:rsidP="00E93F40">
      <w:pPr>
        <w:spacing w:after="0" w:line="240" w:lineRule="auto"/>
        <w:jc w:val="both"/>
        <w:rPr>
          <w:rFonts w:ascii="Times New Roman" w:hAnsi="Times New Roman"/>
          <w:color w:val="000000" w:themeColor="text1"/>
          <w:sz w:val="16"/>
          <w:szCs w:val="16"/>
        </w:rPr>
      </w:pPr>
    </w:p>
    <w:p w14:paraId="0296ADC2" w14:textId="77777777" w:rsidR="00EA5E5D" w:rsidRPr="00E93F40" w:rsidRDefault="00EA5E5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 введён в действие Нижегородский автомобильный завод им. Молотова (позднее Горьковский автомобильный завод — «ГАЗ»). Первыми собранными из американских запчастей были 1,5-тонные грузовики НАЗ-А. На тот момент Нижний Новгород еще не переименовали в Горький и завод называл Нижегородский автомобильный. Главной цель нового завода было насыщение Красной армии автомобильной техникой. Поэтому приоритет отдавался выпуску грузовиков и шасси для броневиков.</w:t>
      </w:r>
    </w:p>
    <w:p w14:paraId="69949030" w14:textId="77777777" w:rsidR="00EA5E5D" w:rsidRPr="00E93F40" w:rsidRDefault="00EA5E5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История завода началась в 1929 году после подписания соглашения о техническом сотрудничестве между ВСНХ СССР и Ford Motor Company. Собственно СССР от Ford были нужны технологии поточного производства автомобилей. Сам автомобиль большого значения не имел. Его советские специалисты могли скопировать не шибко напрягаясь. С технологиями было сложней. Купить технологию конвейерного производства было можно только у Ford. Близкими технологиями располагал GM, но корпорация была на подъеме и делится за дешево не желала. У Ford наоборот дела шли не важно. Новая модель Ford A бестселлером на рынке США не стала, спрос был сугубо замещающий. Владельцы Ford T меняли его на Ford A. Поэтому Генри Форд отчаянно нуждался в средствах. Был у старика Форда и более далекий расчет. Он считал, что Советская власть в России дольше сороковых годов не продержится. А после падения режима с новыми властями он как-то договорится и руки фирмы упадет готовый завод работающий по стандартам Ford (21177).</w:t>
      </w:r>
    </w:p>
    <w:p w14:paraId="036C81CC" w14:textId="77777777" w:rsidR="00EA5E5D" w:rsidRPr="00E93F40" w:rsidRDefault="00EA5E5D" w:rsidP="00E93F40">
      <w:pPr>
        <w:spacing w:after="0" w:line="240" w:lineRule="auto"/>
        <w:jc w:val="both"/>
        <w:rPr>
          <w:rFonts w:ascii="Times New Roman" w:hAnsi="Times New Roman"/>
          <w:color w:val="000000" w:themeColor="text1"/>
          <w:sz w:val="16"/>
          <w:szCs w:val="16"/>
        </w:rPr>
      </w:pPr>
    </w:p>
    <w:p w14:paraId="7D0A5271" w14:textId="77777777" w:rsidR="00042A9F" w:rsidRPr="00E93F40" w:rsidRDefault="00042A9F"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января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Горьковский автозавод вступил в строй действующих гигантов страны. Одно из крупнейших в Европе предприятий по производству автомобилей выросло за 19 месяцев. Насколько был оправдан путь, по которому пошло наше автомобилестроение? Не лучше ли было использовать опыт отечественных производителей как в организации производства, так и в выборе моделей, экономя при этом миллионы валютных рублей? Наверное, второй путь был бы тоже возможен. Однако для его осуществления необходимо было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Этого не могли позволить ни международная ситуация, ни внутреннее положение в стране. Иностранный опыт, научные знания, производственное оборудование позволили в кратчайшие сроки наладить выпуск автомобилей «Форд», «Аутокар», тракторов «Интернационал» (так тогда называли продукцию фирмы «Интернеэйшнл»), «Фордзон», «Катерпиллер», танков «Виккерс», «Кристи» и другой техники (15218).</w:t>
      </w:r>
    </w:p>
    <w:p w14:paraId="1009A28E" w14:textId="77777777" w:rsidR="00042A9F" w:rsidRPr="00E93F40" w:rsidRDefault="00042A9F" w:rsidP="00E93F40">
      <w:pPr>
        <w:widowControl w:val="0"/>
        <w:spacing w:after="0" w:line="240" w:lineRule="auto"/>
        <w:jc w:val="both"/>
        <w:rPr>
          <w:rFonts w:ascii="Times New Roman" w:hAnsi="Times New Roman"/>
          <w:color w:val="000000" w:themeColor="text1"/>
          <w:sz w:val="16"/>
          <w:szCs w:val="16"/>
        </w:rPr>
      </w:pPr>
    </w:p>
    <w:p w14:paraId="5CADCB78" w14:textId="113EAA51"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крупнейший советский автомобильный завод — ГАЗ — был пущен в эксплуатацию. Он стал первым российским автогигантом, выпускавшим сразу и легковые, и грузовые автомобили, а впоследствии и автобусы. К этому времени машины марки «Форд» составляли треть отечественного автопарка, теперь же «Форды», уже под маркой «ГАЗ», начали сходить с конвейеров прямо в СССР. Уже в конце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Горьковский автозавод освоил выпуск трехосного грузовика повышенной проходимости ГАЗ-ААА грузоподъемностью до 20 тонн. Это было тем более важно, что вскоре на базе трехосных машин началось производство бронеавтомобилей для Красной Армии. В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ГАЗе был разработан новый комфортабельный автомобиль ГАЗ-М1 — легендарная «эмка». Однако первые годы успехов вскоре сменились трудностями. Причем вызваны они были сталинской системой. Постоянная кампанейщина, заведомо невыполнимые задания, перебои в поставках сырья и топлива приводили к тому, что план перестал выполняться, значительно ухудшилось качество продукции. Нехватка сырья заставляла пускать в ход все, что есть под рукой. Если в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официальные убытки от брака на ГАЗе составляли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рублей, то в следующем — 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а в 1937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уже 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рублей. Аналогичная ситуация складывалась и на других заводах, что и послужило поводом к массовой расправе над промышленниками. Вину за собственные просчеты и дилетантизм Сталин решил списать на вредителей и иностранных шпионов (11741).</w:t>
      </w:r>
    </w:p>
    <w:p w14:paraId="1263A9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58B4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января 1932 г. был введен в строй Красноуральский медеплавильный комбинат введен в строй одновременно с Горьковским автозаводом (Нижний Новгород) Первую плавку выдал 4 сентября 1931 г. Первый гигант медной промышленности. Оснащен импортным и отечественным оборудованием по последнему слову техники. В 30-е годы испытывал хронические трудности. Медеплавильная отрасль СССР была на 90% создана при помощи импортного оборудования, в основном из Великобритании, Германии и США (11567). </w:t>
      </w:r>
    </w:p>
    <w:p w14:paraId="2A0ECA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8D01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 Центральная лаборатория связи преобразована в Научно-исследовательский институт связи (НИИС), в состав которого вошли основные лаборатории, опытная станция на ул. Радио и радиоиспытательная станция на Шаболовке. Были организованы также отделения в Ленинграде - ЛОНИИС - и в Харькове - УкрНИИС (9923).</w:t>
      </w:r>
    </w:p>
    <w:p w14:paraId="008080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D9C30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91C219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210253" w14:textId="77777777" w:rsidR="00017FCD" w:rsidRPr="00E93F40" w:rsidRDefault="00017F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г. согласно «Выписке из сводной ведомости самолетного парка с 1.10.1928 г. по 1.01.1933 г.», приложенной к письму № МП/00105 от 07.2.33 г. в частях ВВС РККА было 276 самолетов И-3 (возможно, только исправные, а также 6 Фоккер Д-VII из 50 приобретенных в Нидерландах в 1922 г., 54 Фоккер ФД-11, 64 Григорович И-2 и И-2бис, 164 Туполев И-4, 65 И-5 и 2 самолета И-6).</w:t>
      </w:r>
    </w:p>
    <w:p w14:paraId="78631A51" w14:textId="77777777" w:rsidR="00017FCD" w:rsidRPr="00E93F40" w:rsidRDefault="00017F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 данным на 1 января 1932 г. в частях ВВС РККА и Морской Авиации РКК ВМФ было 297 самолетов И-3 (а также 55 Фоккер Д-7, что является ошибкой, поскольку их закуплено было в 1922 г. всего 50, 6 Фоккер Д-11, 64 И-2 и И-2бис, 164 И-4, 65 И-5 и 2 самолета И-6) (24887_.</w:t>
      </w:r>
    </w:p>
    <w:p w14:paraId="0CF59269" w14:textId="77777777" w:rsidR="00017FCD" w:rsidRPr="00E93F40" w:rsidRDefault="00017FCD" w:rsidP="00E93F40">
      <w:pPr>
        <w:spacing w:after="0" w:line="240" w:lineRule="auto"/>
        <w:jc w:val="both"/>
        <w:rPr>
          <w:rFonts w:ascii="Times New Roman" w:hAnsi="Times New Roman"/>
          <w:color w:val="000000" w:themeColor="text1"/>
          <w:sz w:val="16"/>
          <w:szCs w:val="16"/>
        </w:rPr>
      </w:pPr>
    </w:p>
    <w:p w14:paraId="374068D4" w14:textId="77777777" w:rsidR="00AA6058" w:rsidRPr="00E93F40" w:rsidRDefault="00AA6058"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На 1 января 1932 в ВВС насчитывалось 164 И-4, из них 146 - исправных. На Балтийском море на 1 октября И-4 служили в 21-й эскадрилье (19 машин) и 46-м отряде (десять). В Московском военном округе новые самолеты с января 1932 г. осваивал 71-й отряд (19100).</w:t>
      </w:r>
    </w:p>
    <w:p w14:paraId="3D026CD9" w14:textId="77777777" w:rsidR="00AA6058" w:rsidRPr="00E93F40" w:rsidRDefault="00AA6058" w:rsidP="00E93F40">
      <w:pPr>
        <w:pStyle w:val="a8"/>
        <w:jc w:val="both"/>
        <w:rPr>
          <w:rFonts w:ascii="Times New Roman" w:hAnsi="Times New Roman" w:cs="Times New Roman"/>
          <w:color w:val="000000" w:themeColor="text1"/>
        </w:rPr>
      </w:pPr>
    </w:p>
    <w:p w14:paraId="53DFEBE8" w14:textId="77777777" w:rsidR="00AC428C" w:rsidRPr="00E93F40" w:rsidRDefault="00AC428C" w:rsidP="00AC428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г. согласно сводной ведо</w:t>
      </w:r>
      <w:r w:rsidRPr="00E93F40">
        <w:rPr>
          <w:rFonts w:ascii="Times New Roman" w:hAnsi="Times New Roman"/>
          <w:color w:val="000000" w:themeColor="text1"/>
          <w:sz w:val="16"/>
          <w:szCs w:val="16"/>
        </w:rPr>
        <w:softHyphen/>
        <w:t>мости наличия в ВВС РККА самолетов-истребителей, в армии числились два И-6 (один неисправный) (10729).</w:t>
      </w:r>
    </w:p>
    <w:p w14:paraId="506A0942" w14:textId="77777777" w:rsidR="00AC428C" w:rsidRPr="00E93F40" w:rsidRDefault="00AC428C" w:rsidP="00AC428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F20AFC" w14:textId="77777777" w:rsidR="00AC428C" w:rsidRPr="00E93F40" w:rsidRDefault="00AC428C" w:rsidP="00AC428C">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г. согласно сводной ведомости наличия самолетов-истребителей по состоянию в ВВС РККА числились два И-6 (один неи</w:t>
      </w:r>
      <w:r w:rsidRPr="00E93F40">
        <w:rPr>
          <w:rFonts w:ascii="Times New Roman" w:hAnsi="Times New Roman"/>
          <w:color w:val="000000" w:themeColor="text1"/>
          <w:sz w:val="16"/>
          <w:szCs w:val="16"/>
        </w:rPr>
        <w:softHyphen/>
        <w:t>справный). 1 января 1933 г. в строю оставал</w:t>
      </w:r>
      <w:r w:rsidRPr="00E93F40">
        <w:rPr>
          <w:rFonts w:ascii="Times New Roman" w:hAnsi="Times New Roman"/>
          <w:color w:val="000000" w:themeColor="text1"/>
          <w:sz w:val="16"/>
          <w:szCs w:val="16"/>
        </w:rPr>
        <w:softHyphen/>
        <w:t>ся один И-6 (12295).</w:t>
      </w:r>
    </w:p>
    <w:p w14:paraId="769C2F80" w14:textId="77777777" w:rsidR="00AC428C" w:rsidRPr="00E93F40" w:rsidRDefault="00AC428C" w:rsidP="00AC428C">
      <w:pPr>
        <w:spacing w:after="0" w:line="240" w:lineRule="auto"/>
        <w:jc w:val="both"/>
        <w:rPr>
          <w:rFonts w:ascii="Times New Roman" w:hAnsi="Times New Roman"/>
          <w:color w:val="000000" w:themeColor="text1"/>
          <w:sz w:val="16"/>
          <w:szCs w:val="16"/>
        </w:rPr>
      </w:pPr>
    </w:p>
    <w:p w14:paraId="2116A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г. в строю числился уже 281 Р-5. В основном они входили в авиачасти Московского, Ленинградского, Белорусского, Украинского, Северокавказского округов и Отдельной Краснознаменной армии на Дальнем Востоке (ОКДВА). В январе 1932 г. первый Р-5 получили морские летчики Балтики (11936).</w:t>
      </w:r>
    </w:p>
    <w:p w14:paraId="7D0D15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C28FE6"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 января 1932 года в составе ВВС Красной Армии числилось 25 экземпля</w:t>
      </w:r>
      <w:r w:rsidRPr="00142305">
        <w:rPr>
          <w:rFonts w:ascii="Times New Roman" w:hAnsi="Times New Roman"/>
          <w:color w:val="0070C0"/>
          <w:sz w:val="16"/>
          <w:szCs w:val="16"/>
        </w:rPr>
        <w:softHyphen/>
        <w:t>ров П-2, по состоянию на 1 января 1933 года в строю их осталось 14 экземпляров (24969).</w:t>
      </w:r>
    </w:p>
    <w:p w14:paraId="271736E9" w14:textId="77777777" w:rsidR="00AC428C" w:rsidRPr="00142305" w:rsidRDefault="00AC428C" w:rsidP="00AC428C">
      <w:pPr>
        <w:spacing w:after="0" w:line="240" w:lineRule="auto"/>
        <w:jc w:val="both"/>
        <w:rPr>
          <w:rFonts w:ascii="Times New Roman" w:hAnsi="Times New Roman"/>
          <w:color w:val="0070C0"/>
          <w:sz w:val="16"/>
          <w:szCs w:val="16"/>
        </w:rPr>
      </w:pPr>
    </w:p>
    <w:p w14:paraId="40A23FA4"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января 1932 г. в строю числился уже 281 самолет Р-5. Они дислоцирова</w:t>
      </w:r>
      <w:r w:rsidRPr="00142305">
        <w:rPr>
          <w:rFonts w:ascii="Times New Roman" w:hAnsi="Times New Roman"/>
          <w:color w:val="0070C0"/>
          <w:sz w:val="16"/>
          <w:szCs w:val="16"/>
        </w:rPr>
        <w:softHyphen/>
        <w:t>лись в основном в Московском, Ленинградском. Белорус</w:t>
      </w:r>
      <w:r w:rsidRPr="00142305">
        <w:rPr>
          <w:rFonts w:ascii="Times New Roman" w:hAnsi="Times New Roman"/>
          <w:color w:val="0070C0"/>
          <w:sz w:val="16"/>
          <w:szCs w:val="16"/>
        </w:rPr>
        <w:softHyphen/>
        <w:t>ском, Украинском, Северокавказском округах и в ОКДВА. В январе 1932 г. первый Р-5 получили морские летчики из Воздушных сил Балтийского моря (24990).</w:t>
      </w:r>
    </w:p>
    <w:p w14:paraId="2B705CDB" w14:textId="77777777" w:rsidR="00AC428C" w:rsidRPr="00142305" w:rsidRDefault="00AC428C" w:rsidP="00AC428C">
      <w:pPr>
        <w:spacing w:after="0" w:line="240" w:lineRule="auto"/>
        <w:jc w:val="both"/>
        <w:rPr>
          <w:rFonts w:ascii="Times New Roman" w:hAnsi="Times New Roman"/>
          <w:color w:val="0070C0"/>
          <w:sz w:val="16"/>
          <w:szCs w:val="16"/>
        </w:rPr>
      </w:pPr>
    </w:p>
    <w:p w14:paraId="79EE6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января 1932 г. в строю числился уже 281 самолет Р-5. Они дислоцировались в основном в Московском, Ленинградском, Белорусском, Украинском, Северокавказском округах и вОКДВА. В январе 1932 г. первый Р-5 получили морские летчики из Воздушных сил Балтийского моря (12034).</w:t>
      </w:r>
    </w:p>
    <w:p w14:paraId="49CFB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2EF0CC" w14:textId="77777777" w:rsidR="009D12BD" w:rsidRPr="00E93F40" w:rsidRDefault="009D12B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 января 1932 года спасенных с использованием парашюта и погибших летчиков значилось по 15 человек соответственно. Погибали в случае неудачного использования парашюта по вине летчика или неиспользования парашюта по неумению (Архив ЦДА и К. Ф.50. Оп. 1. Д. 2. Л. 42.) (21402).</w:t>
      </w:r>
    </w:p>
    <w:p w14:paraId="44D86E2B" w14:textId="1792BBDB" w:rsidR="009D12BD" w:rsidRPr="00E93F40" w:rsidRDefault="009D12BD" w:rsidP="00E93F40">
      <w:pPr>
        <w:spacing w:after="0" w:line="240" w:lineRule="auto"/>
        <w:jc w:val="both"/>
        <w:rPr>
          <w:rFonts w:ascii="Times New Roman" w:hAnsi="Times New Roman"/>
          <w:color w:val="000000" w:themeColor="text1"/>
          <w:sz w:val="16"/>
          <w:szCs w:val="16"/>
        </w:rPr>
      </w:pPr>
    </w:p>
    <w:p w14:paraId="733D7BD3" w14:textId="45ED25A7" w:rsidR="009D12BD" w:rsidRPr="00E93F40" w:rsidRDefault="009D12BD"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3C1151B8" w14:textId="77777777" w:rsidR="009D12BD" w:rsidRPr="00E93F40" w:rsidRDefault="009D12BD" w:rsidP="00E93F40">
      <w:pPr>
        <w:spacing w:after="0" w:line="240" w:lineRule="auto"/>
        <w:jc w:val="both"/>
        <w:rPr>
          <w:rFonts w:ascii="Times New Roman" w:hAnsi="Times New Roman"/>
          <w:i/>
          <w:iCs/>
          <w:color w:val="000000" w:themeColor="text1"/>
          <w:sz w:val="16"/>
          <w:szCs w:val="16"/>
        </w:rPr>
      </w:pPr>
    </w:p>
    <w:p w14:paraId="12831923" w14:textId="77777777" w:rsidR="009D12BD" w:rsidRPr="00E93F40" w:rsidRDefault="009D12B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января 1932 года только в одних США насчитывалось 329 случаев спасения пилотов при помощи парашюта во время самых разнообразных аварий в воздухе. В Англии за это время благодаря парашюту спаслось более 100 человек, в Италии – более 150, во Франции около 100. Десятки случаев спасения имели место в других странах, применявших парашют (Минов Л. Путь парашюта. Изд. 2-е, доп. М.: Молодая гвардия, 1935. С. 16) (21402).</w:t>
      </w:r>
    </w:p>
    <w:p w14:paraId="4A68149A" w14:textId="77777777" w:rsidR="009D12BD" w:rsidRPr="00E93F40" w:rsidRDefault="009D12BD" w:rsidP="00E93F40">
      <w:pPr>
        <w:spacing w:after="0" w:line="240" w:lineRule="auto"/>
        <w:jc w:val="both"/>
        <w:rPr>
          <w:rFonts w:ascii="Times New Roman" w:hAnsi="Times New Roman"/>
          <w:color w:val="000000" w:themeColor="text1"/>
          <w:sz w:val="16"/>
          <w:szCs w:val="16"/>
        </w:rPr>
      </w:pPr>
    </w:p>
    <w:p w14:paraId="3FECEA5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EE6EFD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8CA6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января 1932 состоялось заседание у Нач. ВАО (протокол 80):</w:t>
      </w:r>
    </w:p>
    <w:p w14:paraId="3ACD5C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 О ходе работ по производству ТШ</w:t>
      </w:r>
    </w:p>
    <w:p w14:paraId="73593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 Подтвердить срок изготовления машины эталона ТШ - 1 марта 1932</w:t>
      </w:r>
    </w:p>
    <w:p w14:paraId="4004B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случае невозможности обеспечить постройку к 1 марта на заводе 39 - перенести постройку образца на территорию ЦАГИ." (2319,1).</w:t>
      </w:r>
    </w:p>
    <w:p w14:paraId="103325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378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января 1932 года начальник 2 отдела НИИ ВВС писал письмо N 4с начальнику 3 управления ВВС.</w:t>
      </w:r>
    </w:p>
    <w:p w14:paraId="0F392C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Акт</w:t>
      </w:r>
    </w:p>
    <w:p w14:paraId="1F670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Комиссия назначенная распоряжением гл. инженера НИИ по морским самолетам Ганулич в составе ст. инженера Отдела морских самолетов НИИ Кудрявцева, к-ра отряда школы морлетчиков ст. летчика Шнер и летчика-инструктора НИИ Козлова произвели испытание на мореходность и буксировку самолета МУ-2 N 2259 и мотором М-11 N 7005.</w:t>
      </w:r>
    </w:p>
    <w:p w14:paraId="4EFA80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к моменту испытания налетал 26 час. 58 мин.</w:t>
      </w:r>
    </w:p>
    <w:p w14:paraId="7B208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к моменту испытания наработал 31 час 00 мин.</w:t>
      </w:r>
    </w:p>
    <w:p w14:paraId="2954EC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производились с 20 февраля 1931 года по 19 марта 1931 года.</w:t>
      </w:r>
    </w:p>
    <w:p w14:paraId="39F64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387A1F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Посадку на волну 0,5 определенную глазомерно при скоростях ветра 5-6 м/сек. для самолета МУ-2 можно считать предельной.</w:t>
      </w:r>
    </w:p>
    <w:p w14:paraId="400AFC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Рулежка самолета возможна при ветре до 8 м/сек. при незначительной волне.</w:t>
      </w:r>
    </w:p>
    <w:p w14:paraId="007859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Эксплуатация и обслуживание самолета МУ-2 с мотором М-11 по сравнению с МУ-1 проще, легче и удобнее.</w:t>
      </w:r>
    </w:p>
    <w:p w14:paraId="240315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Вполне удовлетворяет условиям школьной работы (3007).</w:t>
      </w:r>
    </w:p>
    <w:p w14:paraId="255AD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D3C6B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C7C5B6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9CC3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января 1932 Япония установило марионеточное правительство в Манчжурии (2100).</w:t>
      </w:r>
    </w:p>
    <w:p w14:paraId="79AB4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9CA7B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6DB9F7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80F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января 1932 был готов первый серийный ТБ-3 (АНТ-6) с БМВ 6Е (1017,168). Вообще-то это не правильно и это была машина головная для серии, испытывавшаяся с 29 апреля по 23 августа 1931, на которой были устранены недостатки (1017,173).</w:t>
      </w:r>
    </w:p>
    <w:p w14:paraId="394CD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5A1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января 1932 была открыта авиалиния Москва - Ленинград (3960,6).</w:t>
      </w:r>
    </w:p>
    <w:p w14:paraId="1F8E7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58F87D" w14:textId="4D84ED14" w:rsidR="007F0EE1" w:rsidRPr="00E93F40" w:rsidRDefault="007F0EE1"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 xml:space="preserve">3 </w:t>
      </w:r>
      <w:bookmarkStart w:id="0" w:name="YANDEX_3"/>
      <w:bookmarkEnd w:id="0"/>
      <w:r w:rsidRPr="00E93F40">
        <w:rPr>
          <w:rStyle w:val="highlight"/>
          <w:rFonts w:ascii="Times New Roman" w:hAnsi="Times New Roman"/>
          <w:color w:val="000000" w:themeColor="text1"/>
          <w:sz w:val="16"/>
          <w:szCs w:val="16"/>
        </w:rPr>
        <w:t>января</w:t>
      </w:r>
      <w:r w:rsidR="007C1411" w:rsidRPr="00E93F40">
        <w:rPr>
          <w:rStyle w:val="highlight"/>
          <w:rFonts w:ascii="Times New Roman" w:hAnsi="Times New Roman"/>
          <w:color w:val="000000" w:themeColor="text1"/>
          <w:sz w:val="16"/>
          <w:szCs w:val="16"/>
        </w:rPr>
        <w:t xml:space="preserve"> </w:t>
      </w:r>
      <w:bookmarkStart w:id="1" w:name="YANDEX_4"/>
      <w:bookmarkEnd w:id="1"/>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состоялось открытие авиалинии Москва—Ленинград — на строящемся аэродроме «Пулково» приземлился первый 4-местный пассажирский самолет «Дорнье-Меркур». Несмотря на то, что официально почтово-пассажирская аэролиния начала функционировать 23 мая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а аэродром «Пулково» был окончательно сдан в июне</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именно 3</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января</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считается началом регулярного авиасообщения между двумя столицами. С этого дня авиасообщение дополнило собой существующий транспорт — железнодорожный, автомобильный и водный (17252).</w:t>
      </w:r>
    </w:p>
    <w:p w14:paraId="6B41A036" w14:textId="77777777" w:rsidR="007F0EE1" w:rsidRPr="00E93F40" w:rsidRDefault="007F0EE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03202D"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января 1932 года состоялся пробный рейс между Москвой и Ленинградом. В этот день в Ленинград прилетел первый пассажирский самолет "Дорнье-Меркур" (4-местный). Почтово-пассажирский воздушный мост на этой трассе организован 24 мая 1932 года и делал промежуточные посадки на аэродромах в Малой Вишере и Твери (21182).</w:t>
      </w:r>
    </w:p>
    <w:p w14:paraId="3DF6289A" w14:textId="77777777" w:rsidR="00282CC6" w:rsidRPr="00E93F40" w:rsidRDefault="00282CC6" w:rsidP="00E93F40">
      <w:pPr>
        <w:spacing w:after="0" w:line="240" w:lineRule="auto"/>
        <w:jc w:val="both"/>
        <w:rPr>
          <w:rFonts w:ascii="Times New Roman" w:hAnsi="Times New Roman"/>
          <w:color w:val="000000" w:themeColor="text1"/>
          <w:sz w:val="16"/>
          <w:szCs w:val="16"/>
          <w:lang w:val="ru"/>
        </w:rPr>
      </w:pPr>
    </w:p>
    <w:p w14:paraId="250093F8"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января 1932 г. ПИСЬМО ЗАМЕСТИТЕЛЯ ПРЕДСЕДАТЕЛЯ ВСНХ П.И. БАРАНОВА ПРЕДСЕДАТЕЛЮ СНК СССР В.М. МОЛОТОВУ ОТНОСИТЕЛЬНО ОТКРЫТИЯ ЛИНИИ ВОЗДУШНОГО СООБЩЕНИЯ МЕЖДУ АЛЯСКОЙ И ВЛАДИВОСТОКОМ</w:t>
      </w:r>
    </w:p>
    <w:p w14:paraId="22395E0C"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Секретно</w:t>
      </w:r>
    </w:p>
    <w:p w14:paraId="0DD9BABE"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Нами получено письмо из Амторга, в котором товарищи сообщают следующее: М-р Морган запрашивает: заинтересовано ли советское правительство в организации на кооперативных началах воздушной линии между Аляской и Владивостоком. </w:t>
      </w:r>
    </w:p>
    <w:p w14:paraId="74DDD054"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объясняет, что Америка заинтересована в том, чтобы сомкнуть свои воздушные пути, протянутые до Аляски, с воздушными путями в Китае, принадлежащими фирме «Кертис», от Пекина до Шанхая и вовнутрь Китая.</w:t>
      </w:r>
    </w:p>
    <w:p w14:paraId="7C8E2764"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Смычка этих путей может произойти или через советскую территорию или через японскую; последнее они хотят обойти. Фирма «Кертис» разрабатывает этот вопрос как дело близкого будущего и прощупывает пути.</w:t>
      </w:r>
    </w:p>
    <w:p w14:paraId="748A1159"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 не компетентно в разрешении подобного вопроса.</w:t>
      </w:r>
    </w:p>
    <w:p w14:paraId="6FC8846E"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Донося о вышеизложенном, прошу Ваших распоряжений соответствующим организациям.</w:t>
      </w:r>
    </w:p>
    <w:p w14:paraId="7A8D6EF6"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председателя ВСНХ СССР Начальник ВАО БАРАНОВ</w:t>
      </w:r>
    </w:p>
    <w:p w14:paraId="1EE6CF13"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АВП</w:t>
      </w:r>
      <w:r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РФ</w:t>
      </w:r>
      <w:r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Ф</w:t>
      </w:r>
      <w:r w:rsidRPr="00E93F40">
        <w:rPr>
          <w:rFonts w:ascii="Times New Roman" w:hAnsi="Times New Roman"/>
          <w:color w:val="000000" w:themeColor="text1"/>
          <w:sz w:val="16"/>
          <w:szCs w:val="16"/>
          <w:lang w:val="en-US"/>
        </w:rPr>
        <w:t xml:space="preserve">. 0129. On. 15. </w:t>
      </w:r>
      <w:r w:rsidRPr="00E93F40">
        <w:rPr>
          <w:rFonts w:ascii="Times New Roman" w:hAnsi="Times New Roman"/>
          <w:color w:val="000000" w:themeColor="text1"/>
          <w:sz w:val="16"/>
          <w:szCs w:val="16"/>
        </w:rPr>
        <w:t>П</w:t>
      </w:r>
      <w:r w:rsidRPr="00E93F40">
        <w:rPr>
          <w:rFonts w:ascii="Times New Roman" w:hAnsi="Times New Roman"/>
          <w:color w:val="000000" w:themeColor="text1"/>
          <w:sz w:val="16"/>
          <w:szCs w:val="16"/>
          <w:lang w:val="en-US"/>
        </w:rPr>
        <w:t xml:space="preserve">. 129. </w:t>
      </w:r>
      <w:r w:rsidRPr="00E93F40">
        <w:rPr>
          <w:rFonts w:ascii="Times New Roman" w:hAnsi="Times New Roman"/>
          <w:color w:val="000000" w:themeColor="text1"/>
          <w:sz w:val="16"/>
          <w:szCs w:val="16"/>
        </w:rPr>
        <w:t>Д</w:t>
      </w:r>
      <w:r w:rsidRPr="00E93F40">
        <w:rPr>
          <w:rFonts w:ascii="Times New Roman" w:hAnsi="Times New Roman"/>
          <w:color w:val="000000" w:themeColor="text1"/>
          <w:sz w:val="16"/>
          <w:szCs w:val="16"/>
          <w:lang w:val="en-US"/>
        </w:rPr>
        <w:t xml:space="preserve">. 331. </w:t>
      </w:r>
      <w:r w:rsidRPr="00E93F40">
        <w:rPr>
          <w:rFonts w:ascii="Times New Roman" w:hAnsi="Times New Roman"/>
          <w:color w:val="000000" w:themeColor="text1"/>
          <w:sz w:val="16"/>
          <w:szCs w:val="16"/>
        </w:rPr>
        <w:t>Л. 34. Копия (23877).</w:t>
      </w:r>
    </w:p>
    <w:p w14:paraId="17A2E18C" w14:textId="77777777" w:rsidR="003B3871" w:rsidRPr="00E93F40" w:rsidRDefault="003B3871" w:rsidP="00E93F40">
      <w:pPr>
        <w:spacing w:after="0" w:line="240" w:lineRule="auto"/>
        <w:jc w:val="both"/>
        <w:rPr>
          <w:rFonts w:ascii="Times New Roman" w:hAnsi="Times New Roman"/>
          <w:color w:val="000000" w:themeColor="text1"/>
          <w:sz w:val="16"/>
          <w:szCs w:val="16"/>
        </w:rPr>
      </w:pPr>
    </w:p>
    <w:p w14:paraId="4FAC186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831DB2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BB11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января 1932 в Кремле у И.В.С. состоялось совещание по вопросам оборонной промышленности. Присутствовали: В.М.М., К.Е.В., Г.К.О., Л.М.Каганович, М.Н.Тухачевский, А.И.Егоров , В.М.Орлов (ВМФ), И.М.Лудрин, М.М.Каганович (ГУАП), И.П.Павлуновский и др. (9089,155).</w:t>
      </w:r>
    </w:p>
    <w:p w14:paraId="64551D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62DF89"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января 1932 г.</w:t>
      </w:r>
    </w:p>
    <w:p w14:paraId="5C26589E"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Докладная записка ОГПУ о положении с авторемонтной базой для РККА. 3 января 1932 г.</w:t>
      </w:r>
    </w:p>
    <w:p w14:paraId="46229B09" w14:textId="7E3A0C86" w:rsidR="00E6540F" w:rsidRPr="00E93F40" w:rsidRDefault="00E6540F"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Источник:</w:t>
      </w:r>
      <w:r w:rsidR="007C1411" w:rsidRPr="00E93F40">
        <w:rPr>
          <w:rFonts w:ascii="Times New Roman" w:hAnsi="Times New Roman"/>
          <w:bCs/>
          <w:color w:val="000000" w:themeColor="text1"/>
          <w:sz w:val="16"/>
          <w:szCs w:val="16"/>
        </w:rPr>
        <w:t xml:space="preserve"> </w:t>
      </w:r>
    </w:p>
    <w:p w14:paraId="38A288DA"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 Лубянка — Сталину о положении в стране (1922-1934 гг.)</w:t>
      </w:r>
    </w:p>
    <w:p w14:paraId="4E68F234" w14:textId="48D408D9" w:rsidR="00E6540F" w:rsidRPr="00E93F40" w:rsidRDefault="00E6540F"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Архив:</w:t>
      </w:r>
      <w:r w:rsidR="007C1411" w:rsidRPr="00E93F40">
        <w:rPr>
          <w:rFonts w:ascii="Times New Roman" w:hAnsi="Times New Roman"/>
          <w:bCs/>
          <w:color w:val="000000" w:themeColor="text1"/>
          <w:sz w:val="16"/>
          <w:szCs w:val="16"/>
        </w:rPr>
        <w:t xml:space="preserve"> </w:t>
      </w:r>
    </w:p>
    <w:p w14:paraId="2B209B05"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 2. Оп. 10. Д. 20. Л. 13-14 об. Копия</w:t>
      </w:r>
    </w:p>
    <w:p w14:paraId="1CE7D866" w14:textId="77777777" w:rsidR="00E6540F" w:rsidRPr="00E93F40" w:rsidRDefault="00E6540F" w:rsidP="00E93F40">
      <w:pPr>
        <w:pStyle w:val="rteright"/>
        <w:spacing w:before="0" w:after="0"/>
        <w:jc w:val="both"/>
        <w:rPr>
          <w:color w:val="000000" w:themeColor="text1"/>
          <w:sz w:val="16"/>
          <w:szCs w:val="16"/>
        </w:rPr>
      </w:pPr>
      <w:r w:rsidRPr="00E93F40">
        <w:rPr>
          <w:color w:val="000000" w:themeColor="text1"/>
          <w:sz w:val="16"/>
          <w:szCs w:val="16"/>
        </w:rPr>
        <w:t>3 января 1932 г.</w:t>
      </w:r>
    </w:p>
    <w:p w14:paraId="056582C5" w14:textId="77777777" w:rsidR="00E6540F" w:rsidRPr="00E93F40" w:rsidRDefault="00E6540F" w:rsidP="00E93F40">
      <w:pPr>
        <w:pStyle w:val="rteright"/>
        <w:spacing w:before="0" w:after="0"/>
        <w:jc w:val="both"/>
        <w:rPr>
          <w:color w:val="000000" w:themeColor="text1"/>
          <w:sz w:val="16"/>
          <w:szCs w:val="16"/>
        </w:rPr>
      </w:pPr>
      <w:r w:rsidRPr="00E93F40">
        <w:rPr>
          <w:color w:val="000000" w:themeColor="text1"/>
          <w:sz w:val="16"/>
          <w:szCs w:val="16"/>
        </w:rPr>
        <w:t>№ 40007</w:t>
      </w:r>
    </w:p>
    <w:p w14:paraId="22567E82" w14:textId="77777777" w:rsidR="00E6540F" w:rsidRPr="00E93F40" w:rsidRDefault="00E6540F" w:rsidP="00E93F40">
      <w:pPr>
        <w:pStyle w:val="rteright"/>
        <w:spacing w:before="0" w:after="0"/>
        <w:jc w:val="both"/>
        <w:rPr>
          <w:color w:val="000000" w:themeColor="text1"/>
          <w:sz w:val="16"/>
          <w:szCs w:val="16"/>
        </w:rPr>
      </w:pPr>
      <w:r w:rsidRPr="00E93F40">
        <w:rPr>
          <w:color w:val="000000" w:themeColor="text1"/>
          <w:sz w:val="16"/>
          <w:szCs w:val="16"/>
        </w:rPr>
        <w:t>Совершенно секретно</w:t>
      </w:r>
    </w:p>
    <w:p w14:paraId="6B400AE1" w14:textId="77777777" w:rsidR="00E6540F" w:rsidRPr="00E93F40" w:rsidRDefault="00E6540F" w:rsidP="00E93F40">
      <w:pPr>
        <w:pStyle w:val="ae"/>
        <w:spacing w:before="0" w:after="0"/>
        <w:jc w:val="both"/>
        <w:rPr>
          <w:color w:val="000000" w:themeColor="text1"/>
          <w:sz w:val="16"/>
          <w:szCs w:val="16"/>
        </w:rPr>
      </w:pPr>
      <w:r w:rsidRPr="00E93F40">
        <w:rPr>
          <w:color w:val="000000" w:themeColor="text1"/>
          <w:sz w:val="16"/>
          <w:szCs w:val="16"/>
        </w:rPr>
        <w:t>В ЦК ВКП(б) т. Сталину</w:t>
      </w:r>
    </w:p>
    <w:p w14:paraId="12EE48C9"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В связи с значительным ростом оснащения РККА механизированными и моторизованными средствами (4750 автоединиц в 1930 г., 9078 — в 1931 г. и 25 850 — в 1932 г.) все большее и большее значение приобретает вопрос организации ремонта автомашин. Между тем положение с ремонтом боевых и транспортных машин на сегодняшний день совершенно неблагополучное, в результате чего из общего парка не на ходу находится свыше 50 %.</w:t>
      </w:r>
    </w:p>
    <w:p w14:paraId="5A6B01FD"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Машины РККА в основной своей массе подвергаются лишь мелкому ремонту, производимому самими войсковыми частями. Средним же и капитальным ремонтом РККА в данный момент вовсе не обеспечена и если не принять срочных мер к организации ремонтных баз, то к весне все машины выйдут из строя и полностью будет сорвана боевая подготовка автобронечастей.</w:t>
      </w:r>
    </w:p>
    <w:p w14:paraId="56381EE0"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Из намеченных в 1931 г. к постройке окружных мастерских к настоящему времени мы имеем только Московскую (400 ремонтов) и Ленинградскую (400 рем[онтов]). Харьковская же (400 рем[онтов]) не готова, так же, как и мастерские УММ РККА: Брянская (на 800 рем[онтов]) и при скл[аде] № 37 (Москва) (на 500 рем[онтов]).</w:t>
      </w:r>
    </w:p>
    <w:p w14:paraId="42055AA8"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Принимая во внимание намечающийся выпуск в 1932 г. в войска до 26 тыс. единиц разных машин, указанных мастерских для производства средних и капитальных ремонтов совершенно недостаточно.</w:t>
      </w:r>
    </w:p>
    <w:p w14:paraId="6273AC5B"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Еще хуже обстоит дело с ремонтом гусеничных машин — танков и тракторов. Для производства среднего и капитального ремонта этих машин мастерских совершенно нет, и в случае надобности машины направляются на заводы их изготовления.</w:t>
      </w:r>
    </w:p>
    <w:p w14:paraId="0AA80A49"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Положение с ремонтом гусеничных машин еще более усугубляется тем, что заводы, изготовляющие танки и трактора, еще не освоили производства и зачастую выпускают машины в войсковые части с наличием целого ряда производственных дефектов. Из-за отсутствия на местах мастерских для устранения дефектов эти машины направляются обратно на заводы. Так, в июне в 6-ю отдельную танковую роту (г. Гомель) с завода «Большевик» поступили 20 танков Т-18 и ни одного из них исправного не оказалось. Машины были отправлены обратно на завод для ремонта. В мехбригаде из 25 танков, впервые вышедших на учение, в один день вышло из строя 23 шт.</w:t>
      </w:r>
    </w:p>
    <w:p w14:paraId="6B9F4338"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Вопрос с организацией ремонта в военное время находится в еще худшем положении. Чрезмерная в военное время эксплуатация машин — выход из строя их значительно усилит, создав особо угрожающее положение с ремонтом Т-18 и изготовлением запасных частей к нему, т.к. в армии имеется 1000 Т-18 и, в случае войны в 1932 г., этот тип танка будет пока единственно массовым и преобладающим оружием. Таким образом, длительная оттяжка в решении этого вопроса угрожает тем, что в первые же месяцы войны мы останемся без танков.</w:t>
      </w:r>
    </w:p>
    <w:p w14:paraId="57E2BE18"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Если средний и капитальный ремонт предусмотрен в размере 350 тыс. ремонтов, то потребность в мелком ремонте еще более острая. Между тем РККА к 1 января [19]32 г. будет иметь только 58 походных мастерских вместо 2000, необходимых по мобварианту № 11. На это число мастерских в феврале с.г. ВСНХ СССР было дано соответствующее моб- задание, но к проработке его МПС ВСНХ до сих пор еще не приступил.</w:t>
      </w:r>
    </w:p>
    <w:p w14:paraId="30A37736"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lastRenderedPageBreak/>
        <w:t>Представленные УММ РККА заявки на оборудование для походных войсковых мастерских не прорабатывались, и мелкий ремонт, таким образом, является совершенно необеспеченным.</w:t>
      </w:r>
    </w:p>
    <w:p w14:paraId="0A2119F4"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Наркомзем в своем ведении имеет всего лишь около 800 мастерских, что ни в коей мере не удовлетворяет потребность в ремонте ни НКЗ, а тем более НКВМ в военное время.</w:t>
      </w:r>
    </w:p>
    <w:p w14:paraId="32ED561F"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Если такое положение сохранится, то во время войны значительная часть автобронемашин выйдет из строя в первые же дни из-за мелких, совершенно неизбежных неполадок.</w:t>
      </w:r>
    </w:p>
    <w:p w14:paraId="560DAABE"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Из числа 234 тыс. средних ремонтов по м[об]в[арианту] № 11 предполагается отремонтировать средствами 10 подвижных ж.-д. мастерских фактически 40 тыс. единиц. Остальной ремонт подлежит размещению по заводам промышленности, мастерским Наркомзема и заводам Цудортранса, но ни одного среднего ремонта указанными организациями еще не размещено (не распланировано).</w:t>
      </w:r>
    </w:p>
    <w:p w14:paraId="655C1FCD"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Нужных 10 подвижных ж.-д. мастерских нет. Своевременная их готовность сомнительна, т.к. до сих пор между НКПС и ВСНХ ведется спор о том, кто из них эти мастерские будет монтировать. УММ РККА до сих пор не имеет ни опытного образца ж.-д. мастерской, ни разработанных чертежей.</w:t>
      </w:r>
    </w:p>
    <w:p w14:paraId="1A3CE114"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Из числа 117 100 капитальных ремонтов по м[об]в[арианту] № 11 распределено только 75 тыс. (ВСНХ — 66 тыс., Трактороцентр — 9 тыс.). Но и эта работа проделана в значительной степени формально. По существу, заводы, получившие мобзадание, до сих пор чертежами, техусловиями, инструментом, оборудованием, финансированием не обеспечены.</w:t>
      </w:r>
    </w:p>
    <w:p w14:paraId="2C937B6F"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УММ РККА до сих пор ни на один тип машины не разработана и не дана ВСНХ спецификация запасных частей, что задерживает изготовление их, и, в свою очередь, ведет к быстрому выводу из строя автоединиц.</w:t>
      </w:r>
    </w:p>
    <w:p w14:paraId="30F30986" w14:textId="77777777" w:rsidR="00E6540F" w:rsidRPr="00E93F40" w:rsidRDefault="00E6540F" w:rsidP="00E93F40">
      <w:pPr>
        <w:pStyle w:val="rtejustify"/>
        <w:spacing w:before="0" w:after="0"/>
        <w:rPr>
          <w:color w:val="000000" w:themeColor="text1"/>
          <w:sz w:val="16"/>
          <w:szCs w:val="16"/>
        </w:rPr>
      </w:pPr>
      <w:r w:rsidRPr="00E93F40">
        <w:rPr>
          <w:color w:val="000000" w:themeColor="text1"/>
          <w:sz w:val="16"/>
          <w:szCs w:val="16"/>
        </w:rPr>
        <w:t>Необходимо немедленно принять соответствующие меры к созданию авторемонтных баз, т.к. без них, при наличии даже самого лучшего авто-бронетанкового и тракторного парка, РККА окажется в первые же месяцы войны с значительно ослабленным автопарком.</w:t>
      </w:r>
    </w:p>
    <w:p w14:paraId="76C115FE" w14:textId="77777777" w:rsidR="00E6540F" w:rsidRPr="00E93F40" w:rsidRDefault="00E6540F" w:rsidP="00E93F40">
      <w:pPr>
        <w:pStyle w:val="rteright"/>
        <w:spacing w:before="0" w:after="0"/>
        <w:jc w:val="both"/>
        <w:rPr>
          <w:color w:val="000000" w:themeColor="text1"/>
          <w:sz w:val="16"/>
          <w:szCs w:val="16"/>
        </w:rPr>
      </w:pPr>
      <w:r w:rsidRPr="00E93F40">
        <w:rPr>
          <w:color w:val="000000" w:themeColor="text1"/>
          <w:sz w:val="16"/>
          <w:szCs w:val="16"/>
        </w:rPr>
        <w:t>Зам. председателя ОГПУ Акулов</w:t>
      </w:r>
    </w:p>
    <w:p w14:paraId="6875B9F1" w14:textId="77777777" w:rsidR="00E6540F" w:rsidRPr="00E93F40" w:rsidRDefault="00E6540F" w:rsidP="00E93F40">
      <w:pPr>
        <w:pStyle w:val="ae"/>
        <w:spacing w:before="0" w:after="0"/>
        <w:jc w:val="both"/>
        <w:rPr>
          <w:color w:val="000000" w:themeColor="text1"/>
          <w:sz w:val="16"/>
          <w:szCs w:val="16"/>
        </w:rPr>
      </w:pPr>
      <w:r w:rsidRPr="00E93F40">
        <w:rPr>
          <w:rStyle w:val="af0"/>
          <w:color w:val="000000" w:themeColor="text1"/>
          <w:sz w:val="16"/>
          <w:szCs w:val="16"/>
        </w:rPr>
        <w:t>Ф. 2. Оп. 10. Д. 20. Л. 13-14 об. Копия (19700)</w:t>
      </w:r>
      <w:r w:rsidRPr="00E93F40">
        <w:rPr>
          <w:color w:val="000000" w:themeColor="text1"/>
          <w:sz w:val="16"/>
          <w:szCs w:val="16"/>
        </w:rPr>
        <w:t>.</w:t>
      </w:r>
    </w:p>
    <w:p w14:paraId="076B3862" w14:textId="77777777" w:rsidR="00E6540F" w:rsidRPr="00E93F40" w:rsidRDefault="00E6540F" w:rsidP="00E93F40">
      <w:pPr>
        <w:spacing w:after="0" w:line="240" w:lineRule="auto"/>
        <w:jc w:val="both"/>
        <w:rPr>
          <w:rFonts w:ascii="Times New Roman" w:hAnsi="Times New Roman"/>
          <w:color w:val="000000" w:themeColor="text1"/>
          <w:sz w:val="16"/>
          <w:szCs w:val="16"/>
        </w:rPr>
      </w:pPr>
    </w:p>
    <w:p w14:paraId="375EB54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75E69E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115A0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4 января по 21 февраля 1932 проходили испытания самолета ТБ3 эталона на 1932 год с 4-мя моторами БМВ VI (6776).</w:t>
      </w:r>
    </w:p>
    <w:p w14:paraId="10B6636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400F4E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Петров</w:t>
      </w:r>
    </w:p>
    <w:p w14:paraId="2647B6B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Юмашев</w:t>
      </w:r>
    </w:p>
    <w:p w14:paraId="2839C14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4AB9AEF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 для выявления:</w:t>
      </w:r>
    </w:p>
    <w:p w14:paraId="507A2D9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Полной боеспособности самолета и возможности использования его в виде образца (эталона) для серийной постройки самолетов в 1932 году.</w:t>
      </w:r>
    </w:p>
    <w:p w14:paraId="7A330CD5"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Определение летных данных самолета с полным вооружением и оборудованием.</w:t>
      </w:r>
    </w:p>
    <w:p w14:paraId="13803C9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Краткий вывод</w:t>
      </w:r>
    </w:p>
    <w:p w14:paraId="39A063D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ТБ1-4М17 принять как эталон для серийной постройки в 1932 году.</w:t>
      </w:r>
    </w:p>
    <w:p w14:paraId="5921F3E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 прохождения испытания самолета ТБ-3 (без номера).</w:t>
      </w:r>
    </w:p>
    <w:p w14:paraId="0697FBB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года – самолет получен с завода ЦАГИ на испытание</w:t>
      </w:r>
    </w:p>
    <w:p w14:paraId="0FA0071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года – тренировочные полеты летчика ведущего испытания.</w:t>
      </w:r>
    </w:p>
    <w:p w14:paraId="093D3AB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года – тренировочные полеты летчика ведущего испытания.</w:t>
      </w:r>
    </w:p>
    <w:p w14:paraId="0D01BF1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года – тренировочные полеты летчика ведущего испытания.</w:t>
      </w:r>
    </w:p>
    <w:p w14:paraId="170CBBE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года – начало испытания по программе</w:t>
      </w:r>
    </w:p>
    <w:p w14:paraId="5E928CD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февраля 1932 года – фактическое окончание испытания.</w:t>
      </w:r>
    </w:p>
    <w:p w14:paraId="3732568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48 календарных дней, из них</w:t>
      </w:r>
    </w:p>
    <w:p w14:paraId="212EFA0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дней для испытания – 11</w:t>
      </w:r>
    </w:p>
    <w:p w14:paraId="223B794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налетано – 29 час. 04 мин.</w:t>
      </w:r>
    </w:p>
    <w:p w14:paraId="5EA74C6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Конструктивные отличия эталона от опытного самолета</w:t>
      </w:r>
    </w:p>
    <w:p w14:paraId="532A5E63"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самолете 2-х метровые колеса «Пальмер» заменены 2-мя тележками с тандемно расположенными колесами 1350х350.</w:t>
      </w:r>
    </w:p>
    <w:p w14:paraId="1B73CF7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крыльями установлено по одной стрелковой башне.</w:t>
      </w:r>
    </w:p>
    <w:p w14:paraId="44E9BC8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стабилизатора увеличен на 1 метр, площадь увеличена на 0,8 м кв.</w:t>
      </w:r>
    </w:p>
    <w:p w14:paraId="55F158E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фюзеляжем и под крыльями установлены балочные бомбодержатели.</w:t>
      </w:r>
    </w:p>
    <w:p w14:paraId="26ECB764"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Установлена жесткая антенна и динамо к радио и электроосветительному оборудованию.</w:t>
      </w:r>
    </w:p>
    <w:p w14:paraId="62443B83"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Усилены кронштейны крепления руля высоты к стабилизатору (6776).</w:t>
      </w:r>
    </w:p>
    <w:p w14:paraId="6EABF5AA"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FC7C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ТБ-3 (АНТ-6) 4М-17 головной был выведен на аэродром. Имел выдвижные вращающиеся пулеметные башни по типу Р-6 (92,427).</w:t>
      </w:r>
    </w:p>
    <w:p w14:paraId="5236D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4201C5"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января 1932 г. АНТ-6 после очередной переделки вновь выставили на испытания в НИИ ВВС уже как «эталон 1932 г». На этот раз полностью смонтировали все оборудование, воору</w:t>
      </w:r>
      <w:r w:rsidRPr="00142305">
        <w:rPr>
          <w:rFonts w:ascii="Times New Roman" w:hAnsi="Times New Roman"/>
          <w:color w:val="0070C0"/>
          <w:sz w:val="16"/>
          <w:szCs w:val="16"/>
        </w:rPr>
        <w:softHyphen/>
        <w:t>жение (включая подкрыльные башни), над фюзеляжем появились антенны радио</w:t>
      </w:r>
      <w:r w:rsidRPr="00142305">
        <w:rPr>
          <w:rFonts w:ascii="Times New Roman" w:hAnsi="Times New Roman"/>
          <w:color w:val="0070C0"/>
          <w:sz w:val="16"/>
          <w:szCs w:val="16"/>
        </w:rPr>
        <w:softHyphen/>
        <w:t>станций (их было две - 14-СК для связи между самолетами и 11-С для дальней связи с землей), а также динамомашины с ветрянками, вырабатывавшие электри</w:t>
      </w:r>
      <w:r w:rsidRPr="00142305">
        <w:rPr>
          <w:rFonts w:ascii="Times New Roman" w:hAnsi="Times New Roman"/>
          <w:color w:val="0070C0"/>
          <w:sz w:val="16"/>
          <w:szCs w:val="16"/>
        </w:rPr>
        <w:softHyphen/>
        <w:t>чество для освещения, приборов и радио. Кроме этого, огромные колеса заменили на двухколесные тележки, в которых друг за другом стояли спицованные колеса поменьше. Еще одним хорошо заметным внешним отличием стало увеличение на метр размаха стабилизатора.</w:t>
      </w:r>
    </w:p>
    <w:p w14:paraId="644A9FDB"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«эталона» начали на лыжах, а поближе к весне перешли на колеса. Летал на машине экипаж А.Б Юмашева. Вооружение и оборудование испытания прошли удовлетворительно. Но летные данные бомбардировщика после всех переделок упали. Боевая «начинка» подняла полетный вес машины почти на тонну. В сочетании с увеличением ло</w:t>
      </w:r>
      <w:r w:rsidRPr="00142305">
        <w:rPr>
          <w:rFonts w:ascii="Times New Roman" w:hAnsi="Times New Roman"/>
          <w:color w:val="0070C0"/>
          <w:sz w:val="16"/>
          <w:szCs w:val="16"/>
        </w:rPr>
        <w:softHyphen/>
        <w:t>бового сопротивления (антенны, башни, наружные бомбодержатели) и ухудшением работы моторов на морозе это привело к значительному ухудшению всех показа</w:t>
      </w:r>
      <w:r w:rsidRPr="00142305">
        <w:rPr>
          <w:rFonts w:ascii="Times New Roman" w:hAnsi="Times New Roman"/>
          <w:color w:val="0070C0"/>
          <w:sz w:val="16"/>
          <w:szCs w:val="16"/>
        </w:rPr>
        <w:softHyphen/>
        <w:t>телей. Максимальная скорость теперь не превышала 198 км/ч, потолок опустился ниже 3500 м. Больше всего пострадала скороподъемность: набор высоты 3000 м теперь занимал 46,5 мин.</w:t>
      </w:r>
    </w:p>
    <w:p w14:paraId="1DE384BB"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Испытатели отметили еще несколько мелких и достаточно легкоустранимых не</w:t>
      </w:r>
      <w:r w:rsidRPr="00142305">
        <w:rPr>
          <w:rFonts w:ascii="Times New Roman" w:hAnsi="Times New Roman"/>
          <w:color w:val="0070C0"/>
          <w:sz w:val="16"/>
          <w:szCs w:val="16"/>
        </w:rPr>
        <w:softHyphen/>
        <w:t>достатков. Приборные доски вибрировали, компас у штурмана от тряски системати</w:t>
      </w:r>
      <w:r w:rsidRPr="00142305">
        <w:rPr>
          <w:rFonts w:ascii="Times New Roman" w:hAnsi="Times New Roman"/>
          <w:color w:val="0070C0"/>
          <w:sz w:val="16"/>
          <w:szCs w:val="16"/>
        </w:rPr>
        <w:softHyphen/>
        <w:t>чески врал. Амортизаторы шасси признали чрезмерно жесткими. Радиаторы и расши</w:t>
      </w:r>
      <w:r w:rsidRPr="00142305">
        <w:rPr>
          <w:rFonts w:ascii="Times New Roman" w:hAnsi="Times New Roman"/>
          <w:color w:val="0070C0"/>
          <w:sz w:val="16"/>
          <w:szCs w:val="16"/>
        </w:rPr>
        <w:softHyphen/>
        <w:t>рительные бачки текли.</w:t>
      </w:r>
    </w:p>
    <w:p w14:paraId="3C67AA30"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Резкой критике подвергли выпускаю</w:t>
      </w:r>
      <w:r w:rsidRPr="00142305">
        <w:rPr>
          <w:rFonts w:ascii="Times New Roman" w:hAnsi="Times New Roman"/>
          <w:color w:val="0070C0"/>
          <w:sz w:val="16"/>
          <w:szCs w:val="16"/>
        </w:rPr>
        <w:softHyphen/>
        <w:t>щиеся подкрыльные башни, прозванные «штанами». Они действительно имели внизу два выступа, куда укладывались ноги стрелка. Чтобы попасть в башню, стрелку требовалось проползти по проходу внутри крыла, волоча за собой парашют. Затем вместе с парашютом ему предстояло усесться на сиденье башни и выдвинуться вниз. Сидеть приходилось неудобно, было холодно и изрядно поддувало. Пулемет ДА стоял на шкворне и не имел ограничите</w:t>
      </w:r>
      <w:r w:rsidRPr="00142305">
        <w:rPr>
          <w:rFonts w:ascii="Times New Roman" w:hAnsi="Times New Roman"/>
          <w:color w:val="0070C0"/>
          <w:sz w:val="16"/>
          <w:szCs w:val="16"/>
        </w:rPr>
        <w:softHyphen/>
        <w:t>лей: при стрельбе можно было угодить по своему самолету или, еще хуже, по бомбам на наружных держателях. Подкрыльные башни признали временными до создания новых вращающихся. Но нет ничего более постоянного, чем временное. «Штаны» со</w:t>
      </w:r>
      <w:r w:rsidRPr="00142305">
        <w:rPr>
          <w:rFonts w:ascii="Times New Roman" w:hAnsi="Times New Roman"/>
          <w:color w:val="0070C0"/>
          <w:sz w:val="16"/>
          <w:szCs w:val="16"/>
        </w:rPr>
        <w:softHyphen/>
        <w:t>хранились на серийных ТБ-3 надолго.</w:t>
      </w:r>
    </w:p>
    <w:p w14:paraId="6FF8CC60" w14:textId="77777777" w:rsidR="00AC428C" w:rsidRPr="00142305" w:rsidRDefault="00AC428C" w:rsidP="00AC42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завершились 22 февра</w:t>
      </w:r>
      <w:r w:rsidRPr="00142305">
        <w:rPr>
          <w:rFonts w:ascii="Times New Roman" w:hAnsi="Times New Roman"/>
          <w:color w:val="0070C0"/>
          <w:sz w:val="16"/>
          <w:szCs w:val="16"/>
        </w:rPr>
        <w:softHyphen/>
        <w:t>ля. Самолет еще раз одобрили. Что ни говори, при всех недостатках он, тем не менее, превосходил все, что могли тогда выставить потенциальные противники, и ВВС хотели заполучить его поскорее и в как можно большем количестве. «Самолет ТБЗ-4М17 принят как эталон для серийной постройки в 1932 г.», - гласило официаль</w:t>
      </w:r>
      <w:r w:rsidRPr="00142305">
        <w:rPr>
          <w:rFonts w:ascii="Times New Roman" w:hAnsi="Times New Roman"/>
          <w:color w:val="0070C0"/>
          <w:sz w:val="16"/>
          <w:szCs w:val="16"/>
        </w:rPr>
        <w:softHyphen/>
        <w:t>ное заключение (24937).</w:t>
      </w:r>
    </w:p>
    <w:p w14:paraId="36C57005" w14:textId="77777777" w:rsidR="00AC428C" w:rsidRPr="00142305" w:rsidRDefault="00AC428C" w:rsidP="00AC428C">
      <w:pPr>
        <w:spacing w:after="0" w:line="240" w:lineRule="auto"/>
        <w:jc w:val="both"/>
        <w:rPr>
          <w:rFonts w:ascii="Times New Roman" w:hAnsi="Times New Roman"/>
          <w:color w:val="0070C0"/>
          <w:sz w:val="16"/>
          <w:szCs w:val="16"/>
        </w:rPr>
      </w:pPr>
    </w:p>
    <w:p w14:paraId="1E0FBE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начались испытания ДИ-4, сделанный в БНК А.Лавиля, С.Н.Люшина и С.А.Л. Начал Ю.И.Пионтковский, (2 полета) подхватил В.П.Чкалов (75,19) - сделал лишь один полет вместе с директором завода (?) Гантманом, а потом Б.Л.Бухгольц (78,34).</w:t>
      </w:r>
    </w:p>
    <w:p w14:paraId="5CFF25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5BF8C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A64E42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B91ACE5" w14:textId="11B9D3A7"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4</w:t>
      </w:r>
      <w:r w:rsidR="007C1411" w:rsidRPr="00E93F40">
        <w:rPr>
          <w:rStyle w:val="af0"/>
          <w:i w:val="0"/>
          <w:color w:val="000000" w:themeColor="text1"/>
          <w:sz w:val="16"/>
          <w:szCs w:val="16"/>
        </w:rPr>
        <w:t xml:space="preserve"> </w:t>
      </w:r>
      <w:r w:rsidRPr="00E93F40">
        <w:rPr>
          <w:rStyle w:val="af0"/>
          <w:i w:val="0"/>
          <w:color w:val="000000" w:themeColor="text1"/>
          <w:sz w:val="16"/>
          <w:szCs w:val="16"/>
        </w:rPr>
        <w:t>января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1.</w:t>
      </w:r>
      <w:r w:rsidRPr="00E93F40">
        <w:rPr>
          <w:color w:val="000000" w:themeColor="text1"/>
          <w:sz w:val="16"/>
          <w:szCs w:val="16"/>
        </w:rPr>
        <w:t xml:space="preserve"> 2.</w:t>
      </w:r>
      <w:r w:rsidR="007C1411" w:rsidRPr="00E93F40">
        <w:rPr>
          <w:color w:val="000000" w:themeColor="text1"/>
          <w:sz w:val="16"/>
          <w:szCs w:val="16"/>
        </w:rPr>
        <w:t xml:space="preserve"> </w:t>
      </w:r>
      <w:r w:rsidRPr="00E93F40">
        <w:rPr>
          <w:color w:val="000000" w:themeColor="text1"/>
          <w:sz w:val="16"/>
          <w:szCs w:val="16"/>
        </w:rPr>
        <w:t>Строительство полигонов в 1932</w:t>
      </w:r>
      <w:r w:rsidR="007C1411" w:rsidRPr="00E93F40">
        <w:rPr>
          <w:color w:val="000000" w:themeColor="text1"/>
          <w:sz w:val="16"/>
          <w:szCs w:val="16"/>
        </w:rPr>
        <w:t xml:space="preserve"> </w:t>
      </w:r>
      <w:r w:rsidRPr="00E93F40">
        <w:rPr>
          <w:color w:val="000000" w:themeColor="text1"/>
          <w:sz w:val="16"/>
          <w:szCs w:val="16"/>
        </w:rPr>
        <w:t>г. (Лапин).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2) (12342).</w:t>
      </w:r>
    </w:p>
    <w:p w14:paraId="2EA2A948" w14:textId="77777777" w:rsidR="007E7FF2" w:rsidRPr="00E93F40" w:rsidRDefault="007E7FF2" w:rsidP="00E93F40">
      <w:pPr>
        <w:pStyle w:val="rtejustify"/>
        <w:spacing w:before="0" w:after="0"/>
        <w:rPr>
          <w:color w:val="000000" w:themeColor="text1"/>
          <w:sz w:val="16"/>
          <w:szCs w:val="16"/>
        </w:rPr>
      </w:pPr>
    </w:p>
    <w:p w14:paraId="3144EBB3" w14:textId="6AD0B62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г. завод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Петроград,</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Ленинград наб. р. Смоленки, 19-21 </w:t>
      </w:r>
      <w:r w:rsidRPr="00E93F40">
        <w:rPr>
          <w:rFonts w:ascii="Times New Roman" w:hAnsi="Times New Roman"/>
          <w:color w:val="000000" w:themeColor="text1"/>
          <w:sz w:val="16"/>
          <w:szCs w:val="16"/>
        </w:rPr>
        <w:lastRenderedPageBreak/>
        <w:t>«Вперед» (1948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3C1302E0" w14:textId="074FA15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1920-х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чугунолитейным заводом.</w:t>
      </w:r>
    </w:p>
    <w:p w14:paraId="406224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E93F40">
        <w:rPr>
          <w:rFonts w:ascii="Times New Roman" w:hAnsi="Times New Roman"/>
          <w:color w:val="000000" w:themeColor="text1"/>
          <w:sz w:val="16"/>
          <w:szCs w:val="16"/>
          <w:vertAlign w:val="superscript"/>
        </w:rPr>
        <w:t>129</w:t>
      </w:r>
      <w:r w:rsidRPr="00E93F40">
        <w:rPr>
          <w:rFonts w:ascii="Times New Roman" w:hAnsi="Times New Roman"/>
          <w:color w:val="000000" w:themeColor="text1"/>
          <w:sz w:val="16"/>
          <w:szCs w:val="16"/>
        </w:rPr>
        <w:t xml:space="preserve"> Производство боеприпасов.</w:t>
      </w:r>
      <w:r w:rsidRPr="00E93F40">
        <w:rPr>
          <w:rFonts w:ascii="Times New Roman" w:hAnsi="Times New Roman"/>
          <w:color w:val="000000" w:themeColor="text1"/>
          <w:sz w:val="16"/>
          <w:szCs w:val="16"/>
          <w:vertAlign w:val="superscript"/>
        </w:rPr>
        <w:t>65</w:t>
      </w:r>
    </w:p>
    <w:p w14:paraId="102C21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08064E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75025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территории (1947 г.)- 2,97 га; застройки (1947 г.)- 7957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производственная (1939 г.)- 5189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(1946 г.)- 5509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(1947 г.)- 5878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76A99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63EF7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E93F40">
        <w:rPr>
          <w:rFonts w:ascii="Times New Roman" w:hAnsi="Times New Roman"/>
          <w:color w:val="000000" w:themeColor="text1"/>
          <w:sz w:val="16"/>
          <w:szCs w:val="16"/>
          <w:vertAlign w:val="superscript"/>
        </w:rPr>
        <w:t>Ш,П4</w:t>
      </w:r>
      <w:r w:rsidRPr="00E93F40">
        <w:rPr>
          <w:rFonts w:ascii="Times New Roman" w:hAnsi="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75D659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3A8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января 1932 года в первом приказе директора комбината от было отмечено: </w:t>
      </w:r>
    </w:p>
    <w:p w14:paraId="4F5821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2 часов дня 3 января 1932 года рудники Тетюхе вошли в систему ЦМЗ на правах отдельного полиметаллического свинцово-серебряного комбината. </w:t>
      </w:r>
    </w:p>
    <w:p w14:paraId="0308E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этого момента все управление и распоряжение комбинатом осуществляется его дирекцией в лице директора М.М.Кокшенова» (11498). </w:t>
      </w:r>
    </w:p>
    <w:p w14:paraId="07D937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2C665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495ED36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E06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г. Постановлением РВС СССР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1D9AF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5D7334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BD29F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EFF908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D580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года в докладной записке Ягоды Сталину от приводятся суммарные цифры наличных спецпереселенцев-кулаков по 14 районам СССР: ее итог составляет 1 421380 чел. (11996).</w:t>
      </w:r>
    </w:p>
    <w:p w14:paraId="447BC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62D1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в Ленинграде была открыта первая фабрика-кухня (3960,7).</w:t>
      </w:r>
    </w:p>
    <w:p w14:paraId="55F8EB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6BB8A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498415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00EF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японские войска, осуществляющие операцию по захвату Манчжурии, вышли к Шанхайгуаню у восточного края Великой китайской стены (3907,172).</w:t>
      </w:r>
    </w:p>
    <w:p w14:paraId="7969B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C378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после возвращения Ганди и возобновления кампании гражданского неповиновения, правительство ввело чрезвычайное положение на 6 месяцев. Индийский национальный конгресс объявляется вне закона, а Ганди арестовывается (3907,172).</w:t>
      </w:r>
    </w:p>
    <w:p w14:paraId="73EE6E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1C3843"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4 января</w:t>
      </w:r>
      <w:r w:rsidRPr="00E93F40">
        <w:rPr>
          <w:rFonts w:ascii="Times New Roman" w:hAnsi="Times New Roman"/>
          <w:color w:val="000000" w:themeColor="text1"/>
          <w:sz w:val="16"/>
          <w:szCs w:val="16"/>
        </w:rPr>
        <w:t xml:space="preserve"> в 1932 году после возвращения Махатмы Ганди в Индию и возобновления кампании гражданского неповиновения правительство страны вводит чрезвычайное положение сроком на 6 месяцев. Индийский национальный конгресс объявлен вне закона, а Ганди вновь арестован (14999).</w:t>
      </w:r>
    </w:p>
    <w:p w14:paraId="5EA71AE9" w14:textId="77777777" w:rsidR="00042A9F" w:rsidRPr="00E93F40" w:rsidRDefault="00042A9F" w:rsidP="00E93F40">
      <w:pPr>
        <w:spacing w:after="0" w:line="240" w:lineRule="auto"/>
        <w:jc w:val="both"/>
        <w:rPr>
          <w:rFonts w:ascii="Times New Roman" w:hAnsi="Times New Roman"/>
          <w:color w:val="000000" w:themeColor="text1"/>
          <w:sz w:val="16"/>
          <w:szCs w:val="16"/>
        </w:rPr>
      </w:pPr>
    </w:p>
    <w:p w14:paraId="4BC03BC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в Индии арестован М. Ганди, а его Индийский национальный конгресс объявлен вне закона (4962).</w:t>
      </w:r>
    </w:p>
    <w:p w14:paraId="28C31B8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043E7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DDD6A6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486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постановлением ЦИК ВСНХ был упразднен и на его базе были образованы три наркомата: тяжелой, легкой и лесной промышленности. Глававиапром перешел в ведение Наркомтяжпрома (237,163).</w:t>
      </w:r>
    </w:p>
    <w:p w14:paraId="3EF604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ВСНХ с его функциональной оргструктурой, призванный лишь направлять деятельность относительно самостоятельных предприятий, был упразднен как несоответствующий требованиям момента и внедрения директивно-нажимных методов. Это произошло 10 января 1931 и на основе ВСНХ был сформирован НКТП, имеющий производственно-отраслевую схему и неограниченные права в сфере управления (80,414).</w:t>
      </w:r>
    </w:p>
    <w:p w14:paraId="7F0A65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Соответственно ВАО как хозрасчетное объединение было преобразовано в чисто бюджетное ГУАП (80,414).</w:t>
      </w:r>
    </w:p>
    <w:p w14:paraId="4CDDD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Глававиапрома были созданы государственные тресты:</w:t>
      </w:r>
    </w:p>
    <w:p w14:paraId="76C56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самолетостроительный;</w:t>
      </w:r>
    </w:p>
    <w:p w14:paraId="0D9F2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авиамоторный;</w:t>
      </w:r>
    </w:p>
    <w:p w14:paraId="2D557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подсобных и специальных производств.</w:t>
      </w:r>
    </w:p>
    <w:p w14:paraId="41E38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есть была попытка сохранения частичного хозрасчета. Но не надолго. Тресты стали промежуточными бюрократическими конторами.</w:t>
      </w:r>
    </w:p>
    <w:p w14:paraId="50684C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П.И.Баранов, который с 1931 был членом Президиума ВСНХ, начальником Всесоюзного авиационного объединения, с января 1932 стал зам. наркома тяжелой промышленности (нарком - Г.К.Орджоникидзе) и начальником ГУАП. Был членом ВЦИК и ЦИК (24,50).</w:t>
      </w:r>
    </w:p>
    <w:p w14:paraId="4C3C9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ведение НКТП, в состав его главков и управлений были переданы все военно-промышленные заводы кадра и запаса на равных основаниях и появились (1566,39):</w:t>
      </w:r>
    </w:p>
    <w:p w14:paraId="4B294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ГУАП - 17 заводов (1566,83).</w:t>
      </w:r>
    </w:p>
    <w:p w14:paraId="0A983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ГУСП (судостроительной) - 8 заводов в рамках Союзверфи (1566,83).</w:t>
      </w:r>
    </w:p>
    <w:p w14:paraId="0C13F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Военно-химический трест (Вохимтрест) - 7 заводов (1566,83).</w:t>
      </w:r>
    </w:p>
    <w:p w14:paraId="751C2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Всесоюзный трест Искусственного волокна (ВИВ) - 5 заводов (1566,83).</w:t>
      </w:r>
    </w:p>
    <w:p w14:paraId="54130E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Всесоюзный трест органических производств - 3 завода (1566,83).</w:t>
      </w:r>
    </w:p>
    <w:p w14:paraId="7A2579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Главное Военнно-мобилизационное управление (оружейные, пулеметные, бомбовые, снарядные, минные и торпедные) - 18 заводов (1566,83).</w:t>
      </w:r>
    </w:p>
    <w:p w14:paraId="0AA883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Патронно-гильзовый трест - 3 завода (1566,83).</w:t>
      </w:r>
    </w:p>
    <w:p w14:paraId="7DBB7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Арсенальный трест (артиллерия).</w:t>
      </w:r>
    </w:p>
    <w:p w14:paraId="1C408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 - 12 заводов (1566,83).</w:t>
      </w:r>
    </w:p>
    <w:p w14:paraId="72CF0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Специальный машиностроительный трест (Спецмаштрест) (автоброне) - 2 завода и танковый цех ХТЗ (1566,83).</w:t>
      </w:r>
    </w:p>
    <w:p w14:paraId="0C9E0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Государственное объединение Оптико-механических заводов (ГОМЗ) (1566,39).</w:t>
      </w:r>
    </w:p>
    <w:p w14:paraId="25A33B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плана - слабое: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4312"/>
      </w:tblGrid>
      <w:tr w:rsidR="00DA227A" w:rsidRPr="00E93F40" w14:paraId="1EB51E68" w14:textId="77777777">
        <w:tc>
          <w:tcPr>
            <w:tcW w:w="1024" w:type="dxa"/>
          </w:tcPr>
          <w:p w14:paraId="02290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55A1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p>
        </w:tc>
        <w:tc>
          <w:tcPr>
            <w:tcW w:w="1024" w:type="dxa"/>
          </w:tcPr>
          <w:p w14:paraId="420FE7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2A8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AB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1930/31</w:t>
            </w:r>
          </w:p>
        </w:tc>
        <w:tc>
          <w:tcPr>
            <w:tcW w:w="1024" w:type="dxa"/>
          </w:tcPr>
          <w:p w14:paraId="048FD8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12" w:type="dxa"/>
          </w:tcPr>
          <w:p w14:paraId="1D609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E745E7" w14:textId="77777777">
        <w:tc>
          <w:tcPr>
            <w:tcW w:w="1024" w:type="dxa"/>
          </w:tcPr>
          <w:p w14:paraId="255C4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BF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1024" w:type="dxa"/>
          </w:tcPr>
          <w:p w14:paraId="575649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p>
        </w:tc>
        <w:tc>
          <w:tcPr>
            <w:tcW w:w="1024" w:type="dxa"/>
          </w:tcPr>
          <w:p w14:paraId="244196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341B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1024" w:type="dxa"/>
          </w:tcPr>
          <w:p w14:paraId="0AA7D7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p>
        </w:tc>
        <w:tc>
          <w:tcPr>
            <w:tcW w:w="4312" w:type="dxa"/>
          </w:tcPr>
          <w:p w14:paraId="640B41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3229B27" w14:textId="77777777">
        <w:tc>
          <w:tcPr>
            <w:tcW w:w="1024" w:type="dxa"/>
          </w:tcPr>
          <w:p w14:paraId="29717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c>
          <w:tcPr>
            <w:tcW w:w="1024" w:type="dxa"/>
          </w:tcPr>
          <w:p w14:paraId="012B68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1232</w:t>
            </w:r>
          </w:p>
        </w:tc>
        <w:tc>
          <w:tcPr>
            <w:tcW w:w="1024" w:type="dxa"/>
          </w:tcPr>
          <w:p w14:paraId="7944CE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899</w:t>
            </w:r>
          </w:p>
        </w:tc>
        <w:tc>
          <w:tcPr>
            <w:tcW w:w="1024" w:type="dxa"/>
          </w:tcPr>
          <w:p w14:paraId="5FBEC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w:t>
            </w:r>
          </w:p>
        </w:tc>
        <w:tc>
          <w:tcPr>
            <w:tcW w:w="1024" w:type="dxa"/>
          </w:tcPr>
          <w:p w14:paraId="359556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2024</w:t>
            </w:r>
          </w:p>
        </w:tc>
        <w:tc>
          <w:tcPr>
            <w:tcW w:w="1024" w:type="dxa"/>
          </w:tcPr>
          <w:p w14:paraId="3D3440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860</w:t>
            </w:r>
          </w:p>
        </w:tc>
        <w:tc>
          <w:tcPr>
            <w:tcW w:w="4312" w:type="dxa"/>
          </w:tcPr>
          <w:p w14:paraId="18AA94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r>
      <w:tr w:rsidR="00DA227A" w:rsidRPr="00E93F40" w14:paraId="09590E96" w14:textId="77777777">
        <w:tc>
          <w:tcPr>
            <w:tcW w:w="1024" w:type="dxa"/>
          </w:tcPr>
          <w:p w14:paraId="41A72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бомбы</w:t>
            </w:r>
          </w:p>
        </w:tc>
        <w:tc>
          <w:tcPr>
            <w:tcW w:w="1024" w:type="dxa"/>
          </w:tcPr>
          <w:p w14:paraId="43A704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220000</w:t>
            </w:r>
          </w:p>
        </w:tc>
        <w:tc>
          <w:tcPr>
            <w:tcW w:w="1024" w:type="dxa"/>
          </w:tcPr>
          <w:p w14:paraId="795D0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14000</w:t>
            </w:r>
          </w:p>
        </w:tc>
        <w:tc>
          <w:tcPr>
            <w:tcW w:w="1024" w:type="dxa"/>
          </w:tcPr>
          <w:p w14:paraId="00DD4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024" w:type="dxa"/>
          </w:tcPr>
          <w:p w14:paraId="43FA52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460000</w:t>
            </w:r>
          </w:p>
        </w:tc>
        <w:tc>
          <w:tcPr>
            <w:tcW w:w="1024" w:type="dxa"/>
          </w:tcPr>
          <w:p w14:paraId="754271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316000</w:t>
            </w:r>
          </w:p>
        </w:tc>
        <w:tc>
          <w:tcPr>
            <w:tcW w:w="4312" w:type="dxa"/>
          </w:tcPr>
          <w:p w14:paraId="111262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w:t>
            </w:r>
          </w:p>
        </w:tc>
      </w:tr>
      <w:tr w:rsidR="00DA227A" w:rsidRPr="00E93F40" w14:paraId="3E081BD2" w14:textId="77777777">
        <w:tc>
          <w:tcPr>
            <w:tcW w:w="1024" w:type="dxa"/>
          </w:tcPr>
          <w:p w14:paraId="38913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танки</w:t>
            </w:r>
          </w:p>
        </w:tc>
        <w:tc>
          <w:tcPr>
            <w:tcW w:w="1024" w:type="dxa"/>
          </w:tcPr>
          <w:p w14:paraId="35908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w:t>
            </w:r>
          </w:p>
        </w:tc>
        <w:tc>
          <w:tcPr>
            <w:tcW w:w="1024" w:type="dxa"/>
          </w:tcPr>
          <w:p w14:paraId="059C8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w:t>
            </w:r>
          </w:p>
        </w:tc>
        <w:tc>
          <w:tcPr>
            <w:tcW w:w="1024" w:type="dxa"/>
          </w:tcPr>
          <w:p w14:paraId="6237D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1024" w:type="dxa"/>
          </w:tcPr>
          <w:p w14:paraId="12F5C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1288</w:t>
            </w:r>
          </w:p>
        </w:tc>
        <w:tc>
          <w:tcPr>
            <w:tcW w:w="1024" w:type="dxa"/>
          </w:tcPr>
          <w:p w14:paraId="78D56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740</w:t>
            </w:r>
          </w:p>
        </w:tc>
        <w:tc>
          <w:tcPr>
            <w:tcW w:w="4312" w:type="dxa"/>
          </w:tcPr>
          <w:p w14:paraId="2D234B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 (1566,84)</w:t>
            </w:r>
          </w:p>
        </w:tc>
      </w:tr>
      <w:tr w:rsidR="00DA227A" w:rsidRPr="00E93F40" w14:paraId="5A9FD86C" w14:textId="77777777">
        <w:tc>
          <w:tcPr>
            <w:tcW w:w="1024" w:type="dxa"/>
          </w:tcPr>
          <w:p w14:paraId="582027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DD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1024" w:type="dxa"/>
          </w:tcPr>
          <w:p w14:paraId="1610E9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D1EA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2CD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1024" w:type="dxa"/>
          </w:tcPr>
          <w:p w14:paraId="0B9D9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12" w:type="dxa"/>
          </w:tcPr>
          <w:p w14:paraId="381361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2C6A33" w14:textId="77777777">
        <w:tc>
          <w:tcPr>
            <w:tcW w:w="1024" w:type="dxa"/>
          </w:tcPr>
          <w:p w14:paraId="413E8A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79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1024" w:type="dxa"/>
          </w:tcPr>
          <w:p w14:paraId="164E7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p>
        </w:tc>
        <w:tc>
          <w:tcPr>
            <w:tcW w:w="1024" w:type="dxa"/>
          </w:tcPr>
          <w:p w14:paraId="5AC162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7F52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1024" w:type="dxa"/>
          </w:tcPr>
          <w:p w14:paraId="23A898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p>
        </w:tc>
        <w:tc>
          <w:tcPr>
            <w:tcW w:w="4312" w:type="dxa"/>
          </w:tcPr>
          <w:p w14:paraId="15F766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70EF5BF0" w14:textId="77777777">
        <w:tc>
          <w:tcPr>
            <w:tcW w:w="1024" w:type="dxa"/>
          </w:tcPr>
          <w:p w14:paraId="75F2F9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c>
          <w:tcPr>
            <w:tcW w:w="1024" w:type="dxa"/>
          </w:tcPr>
          <w:p w14:paraId="05621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3496</w:t>
            </w:r>
          </w:p>
        </w:tc>
        <w:tc>
          <w:tcPr>
            <w:tcW w:w="1024" w:type="dxa"/>
          </w:tcPr>
          <w:p w14:paraId="1E8C6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1734</w:t>
            </w:r>
          </w:p>
        </w:tc>
        <w:tc>
          <w:tcPr>
            <w:tcW w:w="1024" w:type="dxa"/>
          </w:tcPr>
          <w:p w14:paraId="0C2AA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1024" w:type="dxa"/>
          </w:tcPr>
          <w:p w14:paraId="5BF8F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3332</w:t>
            </w:r>
          </w:p>
        </w:tc>
        <w:tc>
          <w:tcPr>
            <w:tcW w:w="1024" w:type="dxa"/>
          </w:tcPr>
          <w:p w14:paraId="793B61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2952</w:t>
            </w:r>
          </w:p>
        </w:tc>
        <w:tc>
          <w:tcPr>
            <w:tcW w:w="4312" w:type="dxa"/>
          </w:tcPr>
          <w:p w14:paraId="761A7B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r>
      <w:tr w:rsidR="00DA227A" w:rsidRPr="00E93F40" w14:paraId="63876C29" w14:textId="77777777">
        <w:tc>
          <w:tcPr>
            <w:tcW w:w="1024" w:type="dxa"/>
          </w:tcPr>
          <w:p w14:paraId="29A70B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бомбы</w:t>
            </w:r>
          </w:p>
        </w:tc>
        <w:tc>
          <w:tcPr>
            <w:tcW w:w="1024" w:type="dxa"/>
          </w:tcPr>
          <w:p w14:paraId="08763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300000</w:t>
            </w:r>
          </w:p>
        </w:tc>
        <w:tc>
          <w:tcPr>
            <w:tcW w:w="1024" w:type="dxa"/>
          </w:tcPr>
          <w:p w14:paraId="39903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147000</w:t>
            </w:r>
          </w:p>
        </w:tc>
        <w:tc>
          <w:tcPr>
            <w:tcW w:w="1024" w:type="dxa"/>
          </w:tcPr>
          <w:p w14:paraId="6CFED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c>
          <w:tcPr>
            <w:tcW w:w="1024" w:type="dxa"/>
          </w:tcPr>
          <w:p w14:paraId="0709F6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314000</w:t>
            </w:r>
          </w:p>
        </w:tc>
        <w:tc>
          <w:tcPr>
            <w:tcW w:w="1024" w:type="dxa"/>
          </w:tcPr>
          <w:p w14:paraId="243D7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317000</w:t>
            </w:r>
          </w:p>
        </w:tc>
        <w:tc>
          <w:tcPr>
            <w:tcW w:w="4312" w:type="dxa"/>
          </w:tcPr>
          <w:p w14:paraId="64607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w:t>
            </w:r>
          </w:p>
        </w:tc>
      </w:tr>
      <w:tr w:rsidR="00DA227A" w:rsidRPr="00E93F40" w14:paraId="5B2AC857" w14:textId="77777777">
        <w:tc>
          <w:tcPr>
            <w:tcW w:w="1024" w:type="dxa"/>
          </w:tcPr>
          <w:p w14:paraId="5D4D4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танки</w:t>
            </w:r>
          </w:p>
        </w:tc>
        <w:tc>
          <w:tcPr>
            <w:tcW w:w="1024" w:type="dxa"/>
          </w:tcPr>
          <w:p w14:paraId="797C51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3400</w:t>
            </w:r>
          </w:p>
        </w:tc>
        <w:tc>
          <w:tcPr>
            <w:tcW w:w="1024" w:type="dxa"/>
          </w:tcPr>
          <w:p w14:paraId="31487E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3088</w:t>
            </w:r>
          </w:p>
        </w:tc>
        <w:tc>
          <w:tcPr>
            <w:tcW w:w="1024" w:type="dxa"/>
          </w:tcPr>
          <w:p w14:paraId="452C81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c>
          <w:tcPr>
            <w:tcW w:w="1024" w:type="dxa"/>
          </w:tcPr>
          <w:p w14:paraId="577008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1024" w:type="dxa"/>
          </w:tcPr>
          <w:p w14:paraId="7FFE29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3509</w:t>
            </w:r>
          </w:p>
        </w:tc>
        <w:tc>
          <w:tcPr>
            <w:tcW w:w="4312" w:type="dxa"/>
          </w:tcPr>
          <w:p w14:paraId="54910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(1566,84)</w:t>
            </w:r>
          </w:p>
        </w:tc>
      </w:tr>
    </w:tbl>
    <w:p w14:paraId="135498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Образование ВАО было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ЦИК СССР постановлением от 5 января 1932 г. упразднил ВСНХ СССР и образовал на его базе Наркоматы тяжелой , легкой и лесной промышленности (СЗ СССР, 1932, N 1, ст. 4) (275).</w:t>
      </w:r>
    </w:p>
    <w:p w14:paraId="2F6D6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начальником ЦАГИ, который с января 1932 ЦАГИ был подчинен НКТП (71,243) перейдя из ведения ВСНХ, стал бывший начальник управления ВВС Н.М.Харламов (80,39).</w:t>
      </w:r>
    </w:p>
    <w:p w14:paraId="14599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СНК СССР определил в постановлении от 10 января 1932 комплексы отраслей, относящихся к ведению каждого наркомата. Глававиапром вместе с подведомственными ему предприятиями был передан в систему Наркомата тяжелой промышленности (275).</w:t>
      </w:r>
    </w:p>
    <w:p w14:paraId="4BE5D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Глававиапром вместе с подведомственными ему предприятиями был передан в систему Наркомата тяжелой промышленности (СЗ СССР, 1932, N 4, ст. 24). Основным итогом индустриализации стало создание авиационной промышленности как ведущей динамично развивающейся народнохозяйственной отрасли с производством, базирующимся на передовой научно обоснованной технологии (275).</w:t>
      </w:r>
    </w:p>
    <w:p w14:paraId="4BA83E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6C8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г. произошло очередное реформирование органов управления: был упразднен ВСНХ, на его базе созданы Наркоматы тяжелой, легкой и лесной промышленности. Все военно-промышленные предприятия «кадра» и «запаса» переданы в ведение вновь созданного НКТП (в подчинении Главного Военно-мобилизационного управления, ГВМУ), в составе которого образованы главки и тресты. В начале 1931 г. это были: Орудийно-Арсенальное объединение (Орударс), Оружейно-пулеметный трест (Ружпультрест), объединение Патрубвзрыв, Военно-химическое объединение, Снарядный трест, Первый химический трест, Глававиапром, ГВМУ. К 1933г. структура НКТП изменилась: Авиатрест (41 предприятие), Орударс (16 предприятий), Ружпультрест (4 предприятия), Патрубвзрыв (17 предприятий), Вохимтрест (13 предприятий), Снарядный трест (14 предприятий), Спецмаштрест (4 предприятия), Всесоюзный трест Искусственного волокна (ВИВ, 14 предприятий), Бензоскладстрой (4 базы), ГВМУ; всего 127 предприятий. Система управления была или двухступенчатой (главк-завод), или трехступенчатой (главк-трест-завод). ГВМУ действовало по трехступенчатой системе. Авиатрест выведен из подчинения ГВМУ в ведение непосредственно НКТП. С 1929 по 1933г. в состав Авиатреста вошло 23 новых предприятия. В состав Патрубвзрыва вошло 9 предприятий, в т.ч. 2 КБ. В 1933г. в составе НКТП созданы ГУ морского судостроения, «Главморпром» (8 ССЗ, 1 торпедный завод), и «Главречпром» (16 верфей). В 1934г. структура НКТП вновь была изменена: в состав ГВМУ входили Орударс (4 предприятия), ружейно-пулеметный трест, РУЖ (3), Патрубвзрыв (15), снарядный трест (16), Спецмаштрест (6), Бензоскладстрой (7), строительство (1), полигоны (3); ГВМУ (11), ГУАП (18); всего 94 предприятия. В 1936г. единое ГВМУ НКТП было разделено на ГУ военной промышленности (Главвоенпром) и ГУ боеприпасов (ГУБ), к которым перешли функции координатора деятельности военных заводов. В 1936г. в состав НКТП входили: Главвоенпром (18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 (11982).</w:t>
      </w:r>
    </w:p>
    <w:p w14:paraId="2DCAA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9F014D" w14:textId="2A11817E" w:rsidR="00042A9F" w:rsidRPr="00E93F40" w:rsidRDefault="00042A9F"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на основании постановления ЦИК и СНК</w:t>
      </w:r>
      <w:r w:rsidR="007C1411" w:rsidRPr="00E93F40">
        <w:rPr>
          <w:color w:val="000000" w:themeColor="text1"/>
          <w:sz w:val="16"/>
          <w:szCs w:val="16"/>
        </w:rPr>
        <w:t xml:space="preserve"> </w:t>
      </w:r>
      <w:r w:rsidRPr="00E93F40">
        <w:rPr>
          <w:color w:val="000000" w:themeColor="text1"/>
          <w:sz w:val="16"/>
          <w:szCs w:val="16"/>
        </w:rPr>
        <w:t>СССР и приказа НКТП</w:t>
      </w:r>
      <w:r w:rsidR="007C1411" w:rsidRPr="00E93F40">
        <w:rPr>
          <w:color w:val="000000" w:themeColor="text1"/>
          <w:sz w:val="16"/>
          <w:szCs w:val="16"/>
        </w:rPr>
        <w:t xml:space="preserve"> </w:t>
      </w:r>
      <w:r w:rsidRPr="00E93F40">
        <w:rPr>
          <w:color w:val="000000" w:themeColor="text1"/>
          <w:sz w:val="16"/>
          <w:szCs w:val="16"/>
        </w:rPr>
        <w:t>СССР №</w:t>
      </w:r>
      <w:r w:rsidR="007C1411" w:rsidRPr="00E93F40">
        <w:rPr>
          <w:color w:val="000000" w:themeColor="text1"/>
          <w:sz w:val="16"/>
          <w:szCs w:val="16"/>
        </w:rPr>
        <w:t xml:space="preserve"> </w:t>
      </w:r>
      <w:r w:rsidRPr="00E93F40">
        <w:rPr>
          <w:color w:val="000000" w:themeColor="text1"/>
          <w:sz w:val="16"/>
          <w:szCs w:val="16"/>
        </w:rPr>
        <w:t>1 от 10</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 xml:space="preserve">г. </w:t>
      </w:r>
      <w:r w:rsidRPr="00E93F40">
        <w:rPr>
          <w:rStyle w:val="af0"/>
          <w:bCs/>
          <w:i w:val="0"/>
          <w:color w:val="000000" w:themeColor="text1"/>
          <w:sz w:val="16"/>
          <w:szCs w:val="16"/>
        </w:rPr>
        <w:t>Главное управление авиационной промышленности (Глававиапром, ГУАП)</w:t>
      </w:r>
      <w:r w:rsidRPr="00E93F40">
        <w:rPr>
          <w:color w:val="000000" w:themeColor="text1"/>
          <w:sz w:val="16"/>
          <w:szCs w:val="16"/>
        </w:rPr>
        <w:t xml:space="preserve"> ВСНХ СССР было передано в ведение НКТП</w:t>
      </w:r>
      <w:r w:rsidR="007C1411" w:rsidRPr="00E93F40">
        <w:rPr>
          <w:color w:val="000000" w:themeColor="text1"/>
          <w:sz w:val="16"/>
          <w:szCs w:val="16"/>
        </w:rPr>
        <w:t xml:space="preserve"> </w:t>
      </w:r>
      <w:r w:rsidRPr="00E93F40">
        <w:rPr>
          <w:color w:val="000000" w:themeColor="text1"/>
          <w:sz w:val="16"/>
          <w:szCs w:val="16"/>
        </w:rPr>
        <w:t>СССР. Глававиапром сохранил прежние функции и структуру: завод</w:t>
      </w:r>
      <w:r w:rsidR="007C1411" w:rsidRPr="00E93F40">
        <w:rPr>
          <w:color w:val="000000" w:themeColor="text1"/>
          <w:sz w:val="16"/>
          <w:szCs w:val="16"/>
        </w:rPr>
        <w:t xml:space="preserve"> </w:t>
      </w:r>
      <w:r w:rsidRPr="00E93F40">
        <w:rPr>
          <w:color w:val="000000" w:themeColor="text1"/>
          <w:sz w:val="16"/>
          <w:szCs w:val="16"/>
        </w:rPr>
        <w:t>— трест</w:t>
      </w:r>
      <w:r w:rsidR="007C1411" w:rsidRPr="00E93F40">
        <w:rPr>
          <w:color w:val="000000" w:themeColor="text1"/>
          <w:sz w:val="16"/>
          <w:szCs w:val="16"/>
        </w:rPr>
        <w:t xml:space="preserve"> </w:t>
      </w:r>
      <w:r w:rsidRPr="00E93F40">
        <w:rPr>
          <w:color w:val="000000" w:themeColor="text1"/>
          <w:sz w:val="16"/>
          <w:szCs w:val="16"/>
        </w:rPr>
        <w:t>— управление, и был подчинен непосредственно наркому тяжелой промышленности. Главк осуществлял техническое и организационно-хозяйственное руководство отраслью и предприятиями, распоряжение финансовыми и материальными ресурсами. В соответствии с постановлением СНК</w:t>
      </w:r>
      <w:r w:rsidR="007C1411" w:rsidRPr="00E93F40">
        <w:rPr>
          <w:color w:val="000000" w:themeColor="text1"/>
          <w:sz w:val="16"/>
          <w:szCs w:val="16"/>
        </w:rPr>
        <w:t xml:space="preserve"> </w:t>
      </w:r>
      <w:r w:rsidRPr="00E93F40">
        <w:rPr>
          <w:color w:val="000000" w:themeColor="text1"/>
          <w:sz w:val="16"/>
          <w:szCs w:val="16"/>
        </w:rPr>
        <w:t>СССР № 2139-425с от 21 декабря 1936^. и на основании приказа НКОП №</w:t>
      </w:r>
      <w:r w:rsidR="007C1411" w:rsidRPr="00E93F40">
        <w:rPr>
          <w:color w:val="000000" w:themeColor="text1"/>
          <w:sz w:val="16"/>
          <w:szCs w:val="16"/>
        </w:rPr>
        <w:t xml:space="preserve"> </w:t>
      </w:r>
      <w:r w:rsidRPr="00E93F40">
        <w:rPr>
          <w:color w:val="000000" w:themeColor="text1"/>
          <w:sz w:val="16"/>
          <w:szCs w:val="16"/>
        </w:rPr>
        <w:t>454сс от 23</w:t>
      </w:r>
      <w:r w:rsidR="007C1411" w:rsidRPr="00E93F40">
        <w:rPr>
          <w:color w:val="000000" w:themeColor="text1"/>
          <w:sz w:val="16"/>
          <w:szCs w:val="16"/>
        </w:rPr>
        <w:t xml:space="preserve"> </w:t>
      </w:r>
      <w:r w:rsidRPr="00E93F40">
        <w:rPr>
          <w:color w:val="000000" w:themeColor="text1"/>
          <w:sz w:val="16"/>
          <w:szCs w:val="16"/>
        </w:rPr>
        <w:t>декабря 1936</w:t>
      </w:r>
      <w:r w:rsidR="007C1411" w:rsidRPr="00E93F40">
        <w:rPr>
          <w:color w:val="000000" w:themeColor="text1"/>
          <w:sz w:val="16"/>
          <w:szCs w:val="16"/>
        </w:rPr>
        <w:t xml:space="preserve"> </w:t>
      </w:r>
      <w:r w:rsidRPr="00E93F40">
        <w:rPr>
          <w:color w:val="000000" w:themeColor="text1"/>
          <w:sz w:val="16"/>
          <w:szCs w:val="16"/>
        </w:rPr>
        <w:t>г. Глававиапром был передан в ведение Наркомата оборонной промышленности СССР. Приказом НКОП №</w:t>
      </w:r>
      <w:r w:rsidR="007C1411" w:rsidRPr="00E93F40">
        <w:rPr>
          <w:color w:val="000000" w:themeColor="text1"/>
          <w:sz w:val="16"/>
          <w:szCs w:val="16"/>
        </w:rPr>
        <w:t xml:space="preserve"> </w:t>
      </w:r>
      <w:r w:rsidRPr="00E93F40">
        <w:rPr>
          <w:color w:val="000000" w:themeColor="text1"/>
          <w:sz w:val="16"/>
          <w:szCs w:val="16"/>
        </w:rPr>
        <w:t>6сс от 30</w:t>
      </w:r>
      <w:r w:rsidR="007C1411" w:rsidRPr="00E93F40">
        <w:rPr>
          <w:color w:val="000000" w:themeColor="text1"/>
          <w:sz w:val="16"/>
          <w:szCs w:val="16"/>
        </w:rPr>
        <w:t xml:space="preserve"> </w:t>
      </w:r>
      <w:r w:rsidRPr="00E93F40">
        <w:rPr>
          <w:color w:val="000000" w:themeColor="text1"/>
          <w:sz w:val="16"/>
          <w:szCs w:val="16"/>
        </w:rPr>
        <w:t>декабря 1936</w:t>
      </w:r>
      <w:r w:rsidR="007C1411" w:rsidRPr="00E93F40">
        <w:rPr>
          <w:color w:val="000000" w:themeColor="text1"/>
          <w:sz w:val="16"/>
          <w:szCs w:val="16"/>
        </w:rPr>
        <w:t xml:space="preserve"> </w:t>
      </w:r>
      <w:r w:rsidRPr="00E93F40">
        <w:rPr>
          <w:color w:val="000000" w:themeColor="text1"/>
          <w:sz w:val="16"/>
          <w:szCs w:val="16"/>
        </w:rPr>
        <w:t>г. Глававиапром переименован в 1</w:t>
      </w:r>
      <w:r w:rsidRPr="00E93F40">
        <w:rPr>
          <w:color w:val="000000" w:themeColor="text1"/>
          <w:sz w:val="16"/>
          <w:szCs w:val="16"/>
        </w:rPr>
        <w:noBreakHyphen/>
        <w:t>е Главное управление НКОП. В его состав вошли 45 номерных заводов, Центральный аэрогидродинамический институт им.</w:t>
      </w:r>
      <w:r w:rsidR="007C1411" w:rsidRPr="00E93F40">
        <w:rPr>
          <w:color w:val="000000" w:themeColor="text1"/>
          <w:sz w:val="16"/>
          <w:szCs w:val="16"/>
        </w:rPr>
        <w:t xml:space="preserve"> </w:t>
      </w:r>
      <w:r w:rsidRPr="00E93F40">
        <w:rPr>
          <w:color w:val="000000" w:themeColor="text1"/>
          <w:sz w:val="16"/>
          <w:szCs w:val="16"/>
        </w:rPr>
        <w:t>Жуковского (ЦАГИ), Центральный научно-исследовательский институт авиационного моторостроения (ЦИАМ), Всесоюзный научно-исследовательский институт авиационных материалов (ВИАМ), ряд других авиационных институтов и техникумов, объединение «Дирежаблестрой». (ГАРФ. Ф.</w:t>
      </w:r>
      <w:r w:rsidR="007C1411" w:rsidRPr="00E93F40">
        <w:rPr>
          <w:color w:val="000000" w:themeColor="text1"/>
          <w:sz w:val="16"/>
          <w:szCs w:val="16"/>
        </w:rPr>
        <w:t xml:space="preserve"> </w:t>
      </w:r>
      <w:r w:rsidRPr="00E93F40">
        <w:rPr>
          <w:color w:val="000000" w:themeColor="text1"/>
          <w:sz w:val="16"/>
          <w:szCs w:val="16"/>
        </w:rPr>
        <w:t>8418. Оп.</w:t>
      </w:r>
      <w:r w:rsidR="007C1411" w:rsidRPr="00E93F40">
        <w:rPr>
          <w:color w:val="000000" w:themeColor="text1"/>
          <w:sz w:val="16"/>
          <w:szCs w:val="16"/>
        </w:rPr>
        <w:t xml:space="preserve"> </w:t>
      </w:r>
      <w:r w:rsidRPr="00E93F40">
        <w:rPr>
          <w:color w:val="000000" w:themeColor="text1"/>
          <w:sz w:val="16"/>
          <w:szCs w:val="16"/>
        </w:rPr>
        <w:t>5. Д.</w:t>
      </w:r>
      <w:r w:rsidR="007C1411" w:rsidRPr="00E93F40">
        <w:rPr>
          <w:color w:val="000000" w:themeColor="text1"/>
          <w:sz w:val="16"/>
          <w:szCs w:val="16"/>
        </w:rPr>
        <w:t xml:space="preserve"> </w:t>
      </w:r>
      <w:r w:rsidRPr="00E93F40">
        <w:rPr>
          <w:color w:val="000000" w:themeColor="text1"/>
          <w:sz w:val="16"/>
          <w:szCs w:val="16"/>
        </w:rPr>
        <w:t>163. Л.</w:t>
      </w:r>
      <w:r w:rsidR="007C1411" w:rsidRPr="00E93F40">
        <w:rPr>
          <w:color w:val="000000" w:themeColor="text1"/>
          <w:sz w:val="16"/>
          <w:szCs w:val="16"/>
        </w:rPr>
        <w:t xml:space="preserve"> </w:t>
      </w:r>
      <w:r w:rsidRPr="00E93F40">
        <w:rPr>
          <w:color w:val="000000" w:themeColor="text1"/>
          <w:sz w:val="16"/>
          <w:szCs w:val="16"/>
        </w:rPr>
        <w:t>43</w:t>
      </w:r>
      <w:r w:rsidRPr="00E93F40">
        <w:rPr>
          <w:color w:val="000000" w:themeColor="text1"/>
          <w:sz w:val="16"/>
          <w:szCs w:val="16"/>
        </w:rPr>
        <w:noBreakHyphen/>
        <w:t>43</w:t>
      </w:r>
      <w:r w:rsidR="007C1411" w:rsidRPr="00E93F40">
        <w:rPr>
          <w:color w:val="000000" w:themeColor="text1"/>
          <w:sz w:val="16"/>
          <w:szCs w:val="16"/>
        </w:rPr>
        <w:t xml:space="preserve"> </w:t>
      </w:r>
      <w:r w:rsidRPr="00E93F40">
        <w:rPr>
          <w:color w:val="000000" w:themeColor="text1"/>
          <w:sz w:val="16"/>
          <w:szCs w:val="16"/>
        </w:rPr>
        <w:t>об.; РГАЭ. Ф.</w:t>
      </w:r>
      <w:r w:rsidR="007C1411" w:rsidRPr="00E93F40">
        <w:rPr>
          <w:color w:val="000000" w:themeColor="text1"/>
          <w:sz w:val="16"/>
          <w:szCs w:val="16"/>
        </w:rPr>
        <w:t xml:space="preserve"> </w:t>
      </w:r>
      <w:r w:rsidRPr="00E93F40">
        <w:rPr>
          <w:color w:val="000000" w:themeColor="text1"/>
          <w:sz w:val="16"/>
          <w:szCs w:val="16"/>
        </w:rPr>
        <w:t>8328. Оп.</w:t>
      </w:r>
      <w:r w:rsidR="007C1411" w:rsidRPr="00E93F40">
        <w:rPr>
          <w:color w:val="000000" w:themeColor="text1"/>
          <w:sz w:val="16"/>
          <w:szCs w:val="16"/>
        </w:rPr>
        <w:t xml:space="preserve"> </w:t>
      </w:r>
      <w:r w:rsidRPr="00E93F40">
        <w:rPr>
          <w:color w:val="000000" w:themeColor="text1"/>
          <w:sz w:val="16"/>
          <w:szCs w:val="16"/>
        </w:rPr>
        <w:t>3. И/с; Ф.</w:t>
      </w:r>
      <w:r w:rsidR="007C1411" w:rsidRPr="00E93F40">
        <w:rPr>
          <w:color w:val="000000" w:themeColor="text1"/>
          <w:sz w:val="16"/>
          <w:szCs w:val="16"/>
        </w:rPr>
        <w:t xml:space="preserve"> </w:t>
      </w:r>
      <w:r w:rsidRPr="00E93F40">
        <w:rPr>
          <w:color w:val="000000" w:themeColor="text1"/>
          <w:sz w:val="16"/>
          <w:szCs w:val="16"/>
        </w:rPr>
        <w:t>7515. И/с) (15254).</w:t>
      </w:r>
    </w:p>
    <w:p w14:paraId="5C01BDBD" w14:textId="77777777" w:rsidR="00042A9F" w:rsidRPr="00E93F40" w:rsidRDefault="00042A9F" w:rsidP="00E93F40">
      <w:pPr>
        <w:pStyle w:val="rtejustify"/>
        <w:spacing w:before="0" w:after="0"/>
        <w:rPr>
          <w:color w:val="000000" w:themeColor="text1"/>
          <w:sz w:val="16"/>
          <w:szCs w:val="16"/>
        </w:rPr>
      </w:pPr>
    </w:p>
    <w:p w14:paraId="369964CF"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г. начальник данного отдела Федоров писал Г.М. Штерну (занимавшему в то время должности начальника Сектора Военных и Военно-Морских атташе при НКВМ и председателя РВС СССР) следующее: «По приказанию Нач. ВВС РККА т. Алксниса сообщаю, что изобретение Де Бернарди рассматривается им как унифицированное, т.е. автоматическое управление. Если же это изобретение сводится к перенесению всего управления только на одну ручку – то оно мало интересно – поскольку у нас есть свои опыты в этом направлении и выбрасывать 4.000 руб. в валюте на это дело нецелесообразно. Из полученных материалов видно, что вместе с летчиком и механиком должен был лететь за наш счет коммерческий представитель (очевидно фирмы Капрони). Если бы полет осуществился, то я не вижу оснований оплачивать за наш счет совершенно не нужного нам коммерческого представителя фирмы. Одновременно не могу не выразить своего удивления по поводу присылки т. Трудолюбовым материалов (письма и приложнения) на итальянском языке в то время, как ему отлично известны те трудности, с которыми приходиться встречаться при переводах с этого языка. Необходимо будет указать ему на это и просить все переводы делать на месте». Таким образом, в 1932 г. Де Бернарди не получил согласия советской стороны финансировать данный перелет.</w:t>
      </w:r>
    </w:p>
    <w:p w14:paraId="35BD3057"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Де Бернарди все же осуществил свое желание посетить Советский Союз. Как и несостоявшийся предыдущий перелет, 181 Там же. Л. 6. 182 Там же. Л. 2. 183 Там же. Л. 7. 70 данная инициатива также имела рекламную цель по привлечению покупательского интереса советской стороны к самолету фирмы «Caproni», в этот раз – к одномоторному дальнему разведчику и бомбардировщику Ca.111. (21410).</w:t>
      </w:r>
    </w:p>
    <w:p w14:paraId="35F45CF6" w14:textId="77777777" w:rsidR="00282CC6" w:rsidRPr="00E93F40" w:rsidRDefault="00282CC6" w:rsidP="00E93F40">
      <w:pPr>
        <w:spacing w:after="0" w:line="240" w:lineRule="auto"/>
        <w:jc w:val="both"/>
        <w:rPr>
          <w:rFonts w:ascii="Times New Roman" w:hAnsi="Times New Roman"/>
          <w:color w:val="000000" w:themeColor="text1"/>
          <w:sz w:val="16"/>
          <w:szCs w:val="16"/>
        </w:rPr>
      </w:pPr>
    </w:p>
    <w:p w14:paraId="49D8E289"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5 января</w:t>
      </w:r>
      <w:r w:rsidRPr="00E93F40">
        <w:rPr>
          <w:rFonts w:ascii="Times New Roman" w:hAnsi="Times New Roman"/>
          <w:color w:val="000000" w:themeColor="text1"/>
          <w:sz w:val="16"/>
          <w:szCs w:val="16"/>
        </w:rPr>
        <w:t xml:space="preserve"> в 1932 году сформирован первый отдельный пограничный контрольно-пропускной пункт аэропорта в Москве (15000).</w:t>
      </w:r>
    </w:p>
    <w:p w14:paraId="20778AAC" w14:textId="77777777" w:rsidR="00042A9F" w:rsidRPr="00E93F40" w:rsidRDefault="00042A9F" w:rsidP="00E93F40">
      <w:pPr>
        <w:spacing w:after="0" w:line="240" w:lineRule="auto"/>
        <w:jc w:val="both"/>
        <w:rPr>
          <w:rFonts w:ascii="Times New Roman" w:hAnsi="Times New Roman"/>
          <w:color w:val="000000" w:themeColor="text1"/>
          <w:sz w:val="16"/>
          <w:szCs w:val="16"/>
        </w:rPr>
      </w:pPr>
    </w:p>
    <w:p w14:paraId="250FA75A" w14:textId="482D57D7" w:rsidR="00A20FF6" w:rsidRPr="00E93F40" w:rsidRDefault="00A20F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5 января</w:t>
      </w:r>
      <w:r w:rsidR="00DD74E1">
        <w:rPr>
          <w:rFonts w:ascii="Times New Roman" w:hAnsi="Times New Roman"/>
          <w:bCs/>
          <w:color w:val="000000" w:themeColor="text1"/>
          <w:sz w:val="16"/>
          <w:szCs w:val="16"/>
        </w:rPr>
        <w:t xml:space="preserve"> </w:t>
      </w:r>
      <w:r w:rsidR="007C1411" w:rsidRPr="00E93F40">
        <w:rPr>
          <w:rStyle w:val="highlight"/>
          <w:rFonts w:ascii="Times New Roman" w:hAnsi="Times New Roman"/>
          <w:bCs/>
          <w:color w:val="000000" w:themeColor="text1"/>
          <w:sz w:val="16"/>
          <w:szCs w:val="16"/>
        </w:rPr>
        <w:t xml:space="preserve"> </w:t>
      </w:r>
      <w:r w:rsidRPr="00E93F40">
        <w:rPr>
          <w:rStyle w:val="highlight"/>
          <w:rFonts w:ascii="Times New Roman" w:hAnsi="Times New Roman"/>
          <w:bCs/>
          <w:color w:val="000000" w:themeColor="text1"/>
          <w:sz w:val="16"/>
          <w:szCs w:val="16"/>
        </w:rPr>
        <w:t>1932</w:t>
      </w:r>
      <w:r w:rsidR="00DD74E1">
        <w:rPr>
          <w:rStyle w:val="highlight"/>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г.</w:t>
      </w:r>
      <w:r w:rsidRPr="00E93F40">
        <w:rPr>
          <w:rFonts w:ascii="Times New Roman" w:hAnsi="Times New Roman"/>
          <w:color w:val="000000" w:themeColor="text1"/>
          <w:sz w:val="16"/>
          <w:szCs w:val="16"/>
        </w:rPr>
        <w:t xml:space="preserve"> «Аэрофлот» взамен «Дерулюфта» начал выполнять регулярные рейсы на авиалинии: Москва – Кенигсберг — Каунас — Велике Луки — Берлин (17256).</w:t>
      </w:r>
    </w:p>
    <w:p w14:paraId="6493EA61" w14:textId="77777777" w:rsidR="00A20FF6" w:rsidRPr="00E93F40" w:rsidRDefault="00A20FF6" w:rsidP="00E93F40">
      <w:pPr>
        <w:spacing w:after="0" w:line="240" w:lineRule="auto"/>
        <w:jc w:val="both"/>
        <w:rPr>
          <w:rFonts w:ascii="Times New Roman" w:hAnsi="Times New Roman"/>
          <w:color w:val="000000" w:themeColor="text1"/>
          <w:sz w:val="16"/>
          <w:szCs w:val="16"/>
        </w:rPr>
      </w:pPr>
    </w:p>
    <w:p w14:paraId="19937E6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A65163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3127C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г. распоряжением по Наркомату тя</w:t>
      </w:r>
      <w:r w:rsidRPr="00E93F40">
        <w:rPr>
          <w:rFonts w:ascii="Times New Roman" w:hAnsi="Times New Roman"/>
          <w:color w:val="000000" w:themeColor="text1"/>
          <w:sz w:val="16"/>
          <w:szCs w:val="16"/>
        </w:rPr>
        <w:softHyphen/>
        <w:t>желой промышленности в «Т-26 выпуска 1932 г.» все изменения, внесенные КБ в конструкцию танка, были узаконены (10733,179).</w:t>
      </w:r>
    </w:p>
    <w:p w14:paraId="1743B9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13AC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состоялось преобразование ВСНХ, который разделен на 3 наркомата: тяжелой, легкой и лесной промышленности. Переход к системе административного руководства промышленностью через министерства.</w:t>
      </w:r>
    </w:p>
    <w:p w14:paraId="27A78E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21DB6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Совет народного хозяйства СССР заменен наркоматами (4962).</w:t>
      </w:r>
    </w:p>
    <w:p w14:paraId="47EAF40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A19DAC" w14:textId="77777777" w:rsidR="007E7FF2" w:rsidRPr="00E93F40" w:rsidRDefault="007E7FF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5 января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ЦИК и СНК СССР об образовании народных комиссариатов тяжелой, легкой и лесной промышленности (СЗ. 1932. № 1. Ст. 4) (12415).</w:t>
      </w:r>
    </w:p>
    <w:p w14:paraId="222A8822" w14:textId="77777777" w:rsidR="007E7FF2" w:rsidRPr="00E93F40" w:rsidRDefault="007E7FF2" w:rsidP="00E93F40">
      <w:pPr>
        <w:spacing w:after="0" w:line="240" w:lineRule="auto"/>
        <w:jc w:val="both"/>
        <w:rPr>
          <w:rFonts w:ascii="Times New Roman" w:hAnsi="Times New Roman"/>
          <w:color w:val="000000" w:themeColor="text1"/>
          <w:sz w:val="16"/>
          <w:szCs w:val="16"/>
          <w:u w:color="002060"/>
        </w:rPr>
      </w:pPr>
    </w:p>
    <w:p w14:paraId="54B5401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г. Постановлением ВЦИК и СНК СССР ВСНХ СССР был преобразован в Наркомтяжпром. Наркомом тяжелой промышленности стал Григорий Константинович Орджоникидзе (Серго Орджоникидзе). Начальником Главного управления военной промышленности – заместителем наркома был назначен И.П. Павлуновский. До 1932 г. он являлся заместителем председателя ВСНХ. В НКТП ему подчинялось также Главное военно-мобилизационное управление. В непосредственном подчинении у Павлуновского находился и Спецмаштрест Орудобъединения (12137).</w:t>
      </w:r>
    </w:p>
    <w:p w14:paraId="4869887A" w14:textId="77777777" w:rsidR="007E7FF2" w:rsidRPr="00E93F40" w:rsidRDefault="007E7FF2" w:rsidP="00E93F40">
      <w:pPr>
        <w:spacing w:after="0" w:line="240" w:lineRule="auto"/>
        <w:jc w:val="both"/>
        <w:rPr>
          <w:rFonts w:ascii="Times New Roman" w:hAnsi="Times New Roman"/>
          <w:color w:val="000000" w:themeColor="text1"/>
          <w:sz w:val="16"/>
          <w:szCs w:val="16"/>
        </w:rPr>
      </w:pPr>
    </w:p>
    <w:p w14:paraId="13A59866" w14:textId="1DD1A735" w:rsidR="00F167B2" w:rsidRPr="00E93F40" w:rsidRDefault="00F167B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создан Народный комиссариат тяжелой промышленности (НКТП) СССР и осуществлял общее планирование промышленного производства и капитального строительства на принципах централизации и специализации. На протяжении всего периода деятельности НКТП его главные управления разукрупнялись, к 1937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их число увеличилось до 33. Руководство всей оборонной индустрией сосредотачивалось в Главном военно-мобилизационном управлении. Постановлением ЦИК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от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 НКТП была выделена оборонная промышленность и создан Наркомат оборонной промышленности.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1937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последовало очередное разукрупнение НКТП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был создан Наркомат машиностроения СССР. На протяжении следующих двух лет оборонные предприятия были переданы в НКОП, а 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НКТП был ликвидирован. На его базе образованы следующие наркоматы: топливной промышленности СССР, черной металлургии СССР, цветной металлургии СССР, электростанций и электропромышленности СССР, химической промышленности СССР и промышленности строительных материалов СССР. (ГА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РФ. Ф.</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8418. Оп.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467. 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 РГАЭ. Ф.</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7297. Д/ф.)</w:t>
      </w:r>
    </w:p>
    <w:p w14:paraId="52D43FFE" w14:textId="77777777" w:rsidR="00F167B2" w:rsidRPr="00E93F40" w:rsidRDefault="00F167B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 РФ. Ф. Р-8418. Оп. 28. Д. 30. Л. 121. Подлинник (17751).</w:t>
      </w:r>
    </w:p>
    <w:p w14:paraId="33A7E34B" w14:textId="77777777"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p>
    <w:p w14:paraId="51041CBB" w14:textId="77777777" w:rsidR="003B3871" w:rsidRPr="00E93F40" w:rsidRDefault="003B38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5 января 1932 г. коллегиальный управляющий орган власти ВСНХ упразднен, вместо него было сформировано три Народных Комиссариата – тяжелой, легкой и лесной промышленности, органы планово-административные, что ускорило принятие решений (Наркомат тяжелой промышленности или НКТП создан 10 января 1932 г., к его ведению отнесено и самолетостроение) (23554);</w:t>
      </w:r>
    </w:p>
    <w:p w14:paraId="25CF052E" w14:textId="77777777" w:rsidR="003B3871" w:rsidRPr="00E93F40" w:rsidRDefault="003B3871" w:rsidP="00E93F40">
      <w:pPr>
        <w:spacing w:after="0" w:line="240" w:lineRule="auto"/>
        <w:jc w:val="both"/>
        <w:rPr>
          <w:rFonts w:ascii="Times New Roman" w:hAnsi="Times New Roman"/>
          <w:color w:val="000000" w:themeColor="text1"/>
          <w:sz w:val="16"/>
          <w:szCs w:val="16"/>
        </w:rPr>
      </w:pPr>
    </w:p>
    <w:p w14:paraId="4AC77CED" w14:textId="27571040"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5</w:t>
      </w:r>
      <w:r w:rsidR="007C1411" w:rsidRPr="00E93F40">
        <w:rPr>
          <w:rStyle w:val="af0"/>
          <w:i w:val="0"/>
          <w:color w:val="000000" w:themeColor="text1"/>
          <w:sz w:val="16"/>
          <w:szCs w:val="16"/>
        </w:rPr>
        <w:t xml:space="preserve"> </w:t>
      </w:r>
      <w:r w:rsidRPr="00E93F40">
        <w:rPr>
          <w:rStyle w:val="af0"/>
          <w:i w:val="0"/>
          <w:color w:val="000000" w:themeColor="text1"/>
          <w:sz w:val="16"/>
          <w:szCs w:val="16"/>
        </w:rPr>
        <w:t>января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2.</w:t>
      </w:r>
      <w:r w:rsidRPr="00E93F40">
        <w:rPr>
          <w:color w:val="000000" w:themeColor="text1"/>
          <w:sz w:val="16"/>
          <w:szCs w:val="16"/>
        </w:rPr>
        <w:t xml:space="preserve"> 9.</w:t>
      </w:r>
      <w:r w:rsidR="007C1411" w:rsidRPr="00E93F40">
        <w:rPr>
          <w:color w:val="000000" w:themeColor="text1"/>
          <w:sz w:val="16"/>
          <w:szCs w:val="16"/>
        </w:rPr>
        <w:t xml:space="preserve"> </w:t>
      </w:r>
      <w:r w:rsidRPr="00E93F40">
        <w:rPr>
          <w:color w:val="000000" w:themeColor="text1"/>
          <w:sz w:val="16"/>
          <w:szCs w:val="16"/>
        </w:rPr>
        <w:t>О заключении договоров ДУ с промышленностью на 1932</w:t>
      </w:r>
      <w:r w:rsidR="007C1411" w:rsidRPr="00E93F40">
        <w:rPr>
          <w:color w:val="000000" w:themeColor="text1"/>
          <w:sz w:val="16"/>
          <w:szCs w:val="16"/>
        </w:rPr>
        <w:t xml:space="preserve"> </w:t>
      </w:r>
      <w:r w:rsidRPr="00E93F40">
        <w:rPr>
          <w:color w:val="000000" w:themeColor="text1"/>
          <w:sz w:val="16"/>
          <w:szCs w:val="16"/>
        </w:rPr>
        <w:t>г. (Ворошилов).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27, 29) (12342).</w:t>
      </w:r>
    </w:p>
    <w:p w14:paraId="62107147" w14:textId="77777777" w:rsidR="007E7FF2" w:rsidRPr="00E93F40" w:rsidRDefault="007E7FF2" w:rsidP="00E93F40">
      <w:pPr>
        <w:pStyle w:val="rtejustify"/>
        <w:spacing w:before="0" w:after="0"/>
        <w:rPr>
          <w:color w:val="000000" w:themeColor="text1"/>
          <w:sz w:val="16"/>
          <w:szCs w:val="16"/>
        </w:rPr>
      </w:pPr>
    </w:p>
    <w:p w14:paraId="2BD6A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года постановлению ВСНХ №7 Полиметаллический комбинат бывшей концессии «Тетюхе» будет именоваться «Сихотэ-Алинский полиметаллический комбинат им. Молотова» (11498).</w:t>
      </w:r>
    </w:p>
    <w:p w14:paraId="63F273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49812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9ECCDC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9FE506"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было письмо, направленное из БОП ВСНХ в те же инстанции, а также в РВС и самому Карахану:</w:t>
      </w:r>
    </w:p>
    <w:p w14:paraId="7D21EFD1"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...Генконсул в Урумчи... телеграммой от 25/12-31 сообщает об аварии 2-х само</w:t>
      </w:r>
      <w:r w:rsidRPr="00E93F40">
        <w:rPr>
          <w:rFonts w:ascii="Times New Roman" w:hAnsi="Times New Roman"/>
          <w:color w:val="000000" w:themeColor="text1"/>
          <w:sz w:val="16"/>
          <w:szCs w:val="16"/>
        </w:rPr>
        <w:softHyphen/>
        <w:t>лётов Р-1. Из этого сообщения как будто-бы явствует, что один из самолётов получил в пути повреждения какой-то ответственной части самолёта, другой повреждён при по</w:t>
      </w:r>
      <w:r w:rsidRPr="00E93F40">
        <w:rPr>
          <w:rFonts w:ascii="Times New Roman" w:hAnsi="Times New Roman"/>
          <w:color w:val="000000" w:themeColor="text1"/>
          <w:sz w:val="16"/>
          <w:szCs w:val="16"/>
        </w:rPr>
        <w:softHyphen/>
        <w:t>садке. Экипаж самолёта остался невредим.</w:t>
      </w:r>
    </w:p>
    <w:p w14:paraId="19FA208F"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Style w:val="91"/>
          <w:rFonts w:eastAsia="Arial"/>
          <w:color w:val="000000" w:themeColor="text1"/>
          <w:sz w:val="16"/>
          <w:szCs w:val="16"/>
        </w:rPr>
        <w:t>Несчастье</w:t>
      </w:r>
      <w:r w:rsidRPr="00E93F40">
        <w:rPr>
          <w:rFonts w:ascii="Times New Roman" w:hAnsi="Times New Roman"/>
          <w:color w:val="000000" w:themeColor="text1"/>
          <w:sz w:val="16"/>
          <w:szCs w:val="16"/>
        </w:rPr>
        <w:t xml:space="preserve"> с нашими лётчиками произошло на глазах немецких лётчиков, только что со</w:t>
      </w:r>
      <w:r w:rsidRPr="00E93F40">
        <w:rPr>
          <w:rFonts w:ascii="Times New Roman" w:hAnsi="Times New Roman"/>
          <w:color w:val="000000" w:themeColor="text1"/>
          <w:sz w:val="16"/>
          <w:szCs w:val="16"/>
        </w:rPr>
        <w:softHyphen/>
        <w:t xml:space="preserve">вершивших на «Юнкерсе» блестящий перелёт Пекин — Урумчи. Наша авиация, таким образом, оказалась </w:t>
      </w:r>
      <w:r w:rsidRPr="00E93F40">
        <w:rPr>
          <w:rStyle w:val="91"/>
          <w:rFonts w:eastAsia="Arial"/>
          <w:color w:val="000000" w:themeColor="text1"/>
          <w:sz w:val="16"/>
          <w:szCs w:val="16"/>
        </w:rPr>
        <w:t>широко скомпрометированной</w:t>
      </w:r>
      <w:r w:rsidRPr="00E93F40">
        <w:rPr>
          <w:rFonts w:ascii="Times New Roman" w:hAnsi="Times New Roman"/>
          <w:color w:val="000000" w:themeColor="text1"/>
          <w:sz w:val="16"/>
          <w:szCs w:val="16"/>
        </w:rPr>
        <w:t xml:space="preserve"> в глазах и китайцев, и западноевро</w:t>
      </w:r>
      <w:r w:rsidRPr="00E93F40">
        <w:rPr>
          <w:rFonts w:ascii="Times New Roman" w:hAnsi="Times New Roman"/>
          <w:color w:val="000000" w:themeColor="text1"/>
          <w:sz w:val="16"/>
          <w:szCs w:val="16"/>
        </w:rPr>
        <w:softHyphen/>
        <w:t>пейцев. Из дальнейших моих переговоров с НКИД выяснилось, что определенно изве</w:t>
      </w:r>
      <w:r w:rsidRPr="00E93F40">
        <w:rPr>
          <w:rFonts w:ascii="Times New Roman" w:hAnsi="Times New Roman"/>
          <w:color w:val="000000" w:themeColor="text1"/>
          <w:sz w:val="16"/>
          <w:szCs w:val="16"/>
        </w:rPr>
        <w:softHyphen/>
        <w:t>стно только о повреждении в пути у одного из самолётов несущей ленты заднего пролета полукоробки, срочной высылки которой в Урумчи требует [Генконсул в Урумчи] т. Златкин.</w:t>
      </w:r>
    </w:p>
    <w:p w14:paraId="2BBFDCB3"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попросил НКИД немедленно телеграфно запросить Урумчи все подробности про</w:t>
      </w:r>
      <w:r w:rsidRPr="00E93F40">
        <w:rPr>
          <w:rFonts w:ascii="Times New Roman" w:hAnsi="Times New Roman"/>
          <w:color w:val="000000" w:themeColor="text1"/>
          <w:sz w:val="16"/>
          <w:szCs w:val="16"/>
        </w:rPr>
        <w:softHyphen/>
        <w:t xml:space="preserve">изошедшего, акт повреждений самолётов и список срочно требуемых запчастей... </w:t>
      </w:r>
    </w:p>
    <w:p w14:paraId="7A829531"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января по моему настоянию ко мне в Бюро пришел... [референт по Синьцзяну] для обсуждения создавшегося положения и точного в письменной форме сообщения мне, всего известного НКИД об </w:t>
      </w:r>
      <w:r w:rsidRPr="00E93F40">
        <w:rPr>
          <w:rStyle w:val="103"/>
          <w:rFonts w:ascii="Times New Roman" w:hAnsi="Times New Roman" w:cs="Times New Roman"/>
          <w:color w:val="000000" w:themeColor="text1"/>
          <w:sz w:val="16"/>
          <w:szCs w:val="16"/>
        </w:rPr>
        <w:t>Урумчинском аэро-инциденте</w:t>
      </w:r>
      <w:r w:rsidRPr="00E93F40">
        <w:rPr>
          <w:rFonts w:ascii="Times New Roman" w:hAnsi="Times New Roman"/>
          <w:color w:val="000000" w:themeColor="text1"/>
          <w:sz w:val="16"/>
          <w:szCs w:val="16"/>
        </w:rPr>
        <w:t>. выводах и предложени</w:t>
      </w:r>
      <w:r w:rsidRPr="00E93F40">
        <w:rPr>
          <w:rFonts w:ascii="Times New Roman" w:hAnsi="Times New Roman"/>
          <w:color w:val="000000" w:themeColor="text1"/>
          <w:sz w:val="16"/>
          <w:szCs w:val="16"/>
        </w:rPr>
        <w:softHyphen/>
        <w:t>ях по сему поводу НКИД (этого письма я до сегодня не имею)» (15802).</w:t>
      </w:r>
    </w:p>
    <w:p w14:paraId="7EA274A7" w14:textId="77777777" w:rsidR="00042A9F" w:rsidRPr="00E93F40" w:rsidRDefault="00042A9F" w:rsidP="00E93F40">
      <w:pPr>
        <w:spacing w:after="0" w:line="240" w:lineRule="auto"/>
        <w:jc w:val="both"/>
        <w:rPr>
          <w:rFonts w:ascii="Times New Roman" w:hAnsi="Times New Roman"/>
          <w:color w:val="000000" w:themeColor="text1"/>
          <w:sz w:val="16"/>
          <w:szCs w:val="16"/>
        </w:rPr>
      </w:pPr>
    </w:p>
    <w:p w14:paraId="39623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был подписан договор о ненападении с Финляндией (3908,337).</w:t>
      </w:r>
    </w:p>
    <w:p w14:paraId="07892DF3" w14:textId="6F6733B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37E25F" w14:textId="3B02395B" w:rsidR="00282CC6" w:rsidRPr="00E93F40" w:rsidRDefault="00282CC6"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56B28788" w14:textId="77777777" w:rsidR="00282CC6" w:rsidRPr="00E93F40" w:rsidRDefault="00282CC6"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520C1EA9"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года, учитывая достигнутые успехи в воздушно-десантном деле, РВС СССР, обсудив вопрос «об авиамотодесантном отряде ЛВО», потребовал создать в 1932 г. в Ленинградском, Украинском, Белорусском и Московском военных округах по одному штатному авиамотодесантному отряду (АМДО). Выполняя постановление РВС, в ЛВО на базе существовавших ранее двух нештатных авиадесантных отрядов (АМДО и ПДО) было создано первое штатное подразделение десантников – Отдельный отряд № 3 численностью 144 человека под командованием М.В. Бойцова. В Украинском военном округе был сформирован только нештатный парашютно-десантный взвод в составе 30 человек. В Белорусском и Московском округах такие отряды в 1932 г. не были созданы в связи с 158 отсутствием необходимых кадров. Это свидетельствовало о необходимости более широкого развития парашютизма в стране (21402).</w:t>
      </w:r>
    </w:p>
    <w:p w14:paraId="360121FF" w14:textId="77777777" w:rsidR="00282CC6" w:rsidRPr="00E93F40" w:rsidRDefault="00282CC6" w:rsidP="00E93F40">
      <w:pPr>
        <w:spacing w:after="0" w:line="240" w:lineRule="auto"/>
        <w:jc w:val="both"/>
        <w:rPr>
          <w:rFonts w:ascii="Times New Roman" w:hAnsi="Times New Roman"/>
          <w:color w:val="000000" w:themeColor="text1"/>
          <w:sz w:val="16"/>
          <w:szCs w:val="16"/>
        </w:rPr>
      </w:pPr>
    </w:p>
    <w:p w14:paraId="34B47E9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B6A6E3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D12B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января 1932 состоялось заседание бюро ячейки ВКП(б) ЦС Осоавиахима с повесткой "Об обследовании работы Общества Осоавиахима по всем звеньям бригадой ЦК ВКП(б). Эта бригада была создана в конце 1931 (371,47).</w:t>
      </w:r>
    </w:p>
    <w:p w14:paraId="21DA3A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093F0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9C312D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BB74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января 1932 было составлено оперативно-техническое задание для подводной лодки типа "Щука-Б". Несмотря на форсирование дизелей фирмы МАН при освое</w:t>
      </w:r>
      <w:r w:rsidRPr="00E93F40">
        <w:rPr>
          <w:rFonts w:ascii="Times New Roman" w:hAnsi="Times New Roman"/>
          <w:color w:val="000000" w:themeColor="text1"/>
          <w:sz w:val="16"/>
          <w:szCs w:val="16"/>
        </w:rPr>
        <w:softHyphen/>
        <w:t>нии их на Коломенском заводе под маркой 38-В-8, скорость лодок в надводном положении не превысила 12 уз. Малая надводная скорость и слабое артиллерийское вооружение еще до начала по</w:t>
      </w:r>
      <w:r w:rsidRPr="00E93F40">
        <w:rPr>
          <w:rFonts w:ascii="Times New Roman" w:hAnsi="Times New Roman"/>
          <w:color w:val="000000" w:themeColor="text1"/>
          <w:sz w:val="16"/>
          <w:szCs w:val="16"/>
        </w:rPr>
        <w:softHyphen/>
        <w:t>стройки кораблей V серии вызвали требование УВМС (И. М. Лудри, В. М. Орлов) о коренном улучшении проекта. Однако учитывая необходимость срочного продолжения се</w:t>
      </w:r>
      <w:r w:rsidRPr="00E93F40">
        <w:rPr>
          <w:rFonts w:ascii="Times New Roman" w:hAnsi="Times New Roman"/>
          <w:color w:val="000000" w:themeColor="text1"/>
          <w:sz w:val="16"/>
          <w:szCs w:val="16"/>
        </w:rPr>
        <w:softHyphen/>
        <w:t>рийного строительства сравнительно дешевых (около 2,7 млн руб.) "Щука", моряки согласились на незначительные изменения V се</w:t>
      </w:r>
      <w:r w:rsidRPr="00E93F40">
        <w:rPr>
          <w:rFonts w:ascii="Times New Roman" w:hAnsi="Times New Roman"/>
          <w:color w:val="000000" w:themeColor="text1"/>
          <w:sz w:val="16"/>
          <w:szCs w:val="16"/>
        </w:rPr>
        <w:softHyphen/>
        <w:t>рии с устранением в ней наиболее существенных недостатков. Этот вариант вначале отнесли к VII, а потом — к Убис сериям. По нему построили 14 подводных лодок. Головная — "Стерлядь" (Щ-113) — была заложена на ленинградском заводе им. А. Марти 10 октября 1932 г., собрана на Дальзаводе и вступила в строй Морских сил Дальнего Востока в январе 1935 г. Эти же заводы построили лодки "Севрюга" (Щ-114), "Осетр" (Щ-116), "Белуга" (Щ-119) и "Навага" (Щ-120). Одновременно Балтийский завод и Дальзавод построили лодки "Скат" (Щ-115), "Макрель" (Щ-117) и "Кефаль" (Щ-118). Всего до марта 1935 г. в состав Морских сил Дальнего Востока по</w:t>
      </w:r>
      <w:r w:rsidRPr="00E93F40">
        <w:rPr>
          <w:rFonts w:ascii="Times New Roman" w:hAnsi="Times New Roman"/>
          <w:color w:val="000000" w:themeColor="text1"/>
          <w:sz w:val="16"/>
          <w:szCs w:val="16"/>
        </w:rPr>
        <w:softHyphen/>
        <w:t>ступили восемь подводных лодок Убис серии, которые довели об</w:t>
      </w:r>
      <w:r w:rsidRPr="00E93F40">
        <w:rPr>
          <w:rFonts w:ascii="Times New Roman" w:hAnsi="Times New Roman"/>
          <w:color w:val="000000" w:themeColor="text1"/>
          <w:sz w:val="16"/>
          <w:szCs w:val="16"/>
        </w:rPr>
        <w:softHyphen/>
        <w:t>щее количество лодок типа "Щука" на этом театре до 20.</w:t>
      </w:r>
    </w:p>
    <w:p w14:paraId="705167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Четыре лодки Убис серии были построены для Морских сил Черного моря. Из них "Сазан" (Щ-201), "Сельдь" (Щ-202) и "Ми</w:t>
      </w:r>
      <w:r w:rsidRPr="00E93F40">
        <w:rPr>
          <w:rFonts w:ascii="Times New Roman" w:hAnsi="Times New Roman"/>
          <w:color w:val="000000" w:themeColor="text1"/>
          <w:sz w:val="16"/>
          <w:szCs w:val="16"/>
        </w:rPr>
        <w:softHyphen/>
        <w:t>нога" (Щ-204) — заводом им. А. Марти в Ленинграде со сборкой на николаевском заводе им. 61 Коммунара. "Камбалу" (Щ-203) собра</w:t>
      </w:r>
      <w:r w:rsidRPr="00E93F40">
        <w:rPr>
          <w:rFonts w:ascii="Times New Roman" w:hAnsi="Times New Roman"/>
          <w:color w:val="000000" w:themeColor="text1"/>
          <w:sz w:val="16"/>
          <w:szCs w:val="16"/>
        </w:rPr>
        <w:softHyphen/>
        <w:t>ли там же, но из секций, изготовленных на Балтийском заводе. Для Морских сил Балтийского моря завод им. А. Марти построил "Линь" (Щ-305), а завод "Красное Сормово" — "Семгу" (Щ-308). Последней вступила в строй в декабре 1935 г. Щ-204. Таким обра</w:t>
      </w:r>
      <w:r w:rsidRPr="00E93F40">
        <w:rPr>
          <w:rFonts w:ascii="Times New Roman" w:hAnsi="Times New Roman"/>
          <w:color w:val="000000" w:themeColor="text1"/>
          <w:sz w:val="16"/>
          <w:szCs w:val="16"/>
        </w:rPr>
        <w:softHyphen/>
        <w:t>зом, всю серию создали в течение немногим более трех лет. (По другим, менее достоверным, данным, подводная лодка Щ-204 от</w:t>
      </w:r>
      <w:r w:rsidRPr="00E93F40">
        <w:rPr>
          <w:rFonts w:ascii="Times New Roman" w:hAnsi="Times New Roman"/>
          <w:color w:val="000000" w:themeColor="text1"/>
          <w:sz w:val="16"/>
          <w:szCs w:val="16"/>
        </w:rPr>
        <w:softHyphen/>
        <w:t>носилась уже к следующей серии лодок типа "Щука", а последним кораблем Убис серии была Щ-308, вступившая в строй в ноябре 1935 г.)</w:t>
      </w:r>
    </w:p>
    <w:p w14:paraId="7DEF8C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Лодки Убис серии практически повторяли предыдущие, от ко</w:t>
      </w:r>
      <w:r w:rsidRPr="00E93F40">
        <w:rPr>
          <w:rFonts w:ascii="Times New Roman" w:hAnsi="Times New Roman"/>
          <w:color w:val="000000" w:themeColor="text1"/>
          <w:sz w:val="16"/>
          <w:szCs w:val="16"/>
        </w:rPr>
        <w:softHyphen/>
        <w:t>торых отличались несколько измененными обводами носовой час</w:t>
      </w:r>
      <w:r w:rsidRPr="00E93F40">
        <w:rPr>
          <w:rFonts w:ascii="Times New Roman" w:hAnsi="Times New Roman"/>
          <w:color w:val="000000" w:themeColor="text1"/>
          <w:sz w:val="16"/>
          <w:szCs w:val="16"/>
        </w:rPr>
        <w:softHyphen/>
        <w:t>ти корпуса (длина 58,8 м). Скорость надводного хода составила 12,3 уз. (3898).</w:t>
      </w:r>
    </w:p>
    <w:p w14:paraId="69F3A6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51FE7A" w14:textId="77777777" w:rsidR="00BB5A6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B9C7486" w14:textId="77777777" w:rsidR="00BB5A6B" w:rsidRPr="00E93F40" w:rsidRDefault="00BB5A6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2F0939" w14:textId="5225C100" w:rsidR="00E96505" w:rsidRPr="00E93F40" w:rsidRDefault="00E96505" w:rsidP="00E93F40">
      <w:pPr>
        <w:pStyle w:val="ae"/>
        <w:spacing w:before="0" w:after="0"/>
        <w:jc w:val="both"/>
        <w:rPr>
          <w:color w:val="000000" w:themeColor="text1"/>
          <w:sz w:val="16"/>
          <w:szCs w:val="16"/>
          <w:lang w:eastAsia="ru-RU"/>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января</w:t>
      </w:r>
      <w:r w:rsidR="00DD74E1">
        <w:rPr>
          <w:color w:val="000000" w:themeColor="text1"/>
          <w:sz w:val="16"/>
          <w:szCs w:val="16"/>
        </w:rPr>
        <w:t xml:space="preserve"> </w:t>
      </w:r>
      <w:r w:rsidRPr="00E93F40">
        <w:rPr>
          <w:rStyle w:val="highlight"/>
          <w:color w:val="000000" w:themeColor="text1"/>
          <w:sz w:val="16"/>
          <w:szCs w:val="16"/>
        </w:rPr>
        <w:t>1932</w:t>
      </w:r>
      <w:r w:rsidR="00DD74E1">
        <w:rPr>
          <w:rStyle w:val="highlight"/>
          <w:color w:val="000000" w:themeColor="text1"/>
          <w:sz w:val="16"/>
          <w:szCs w:val="16"/>
        </w:rPr>
        <w:t xml:space="preserve"> </w:t>
      </w:r>
      <w:r w:rsidRPr="00E93F40">
        <w:rPr>
          <w:color w:val="000000" w:themeColor="text1"/>
          <w:sz w:val="16"/>
          <w:szCs w:val="16"/>
        </w:rPr>
        <w:t>г. в газете «Труд»</w:t>
      </w:r>
      <w:bookmarkStart w:id="2" w:name="029"/>
      <w:bookmarkEnd w:id="2"/>
      <w:r w:rsidRPr="00E93F40">
        <w:rPr>
          <w:color w:val="000000" w:themeColor="text1"/>
          <w:sz w:val="16"/>
          <w:szCs w:val="16"/>
        </w:rPr>
        <w:t xml:space="preserve"> было опубликовано Примерное содержание коллективного договора. Это весьма объемистый документ. Коллективные договора стали по сути генеральными соглашениями между ведомствами и ВЦСПС, которые определяли лимиты по увеличению заработной платы, обязательства по повышению производительности труда, снижению себестоимости, затраты на жилищные и культурные нужды. В договоре прежде всего должны были указываться мероприятия, касающиеся производственного процесса, на основе единоначалия, реконструкции, овладения новой техникой, изобретательства, механизации, рационализации, организации социалистического соревнования, укрепления трудовой дисциплины. Много внимания должно было уделяться оборудованию, сырью, топливу, энергии, привлечению рабочей силы. В договоре должны были содержаться обязательства по ликвидации обезлички и уравниловки, режиму экономии, выявлению внутренних ресурсов на предприятии, бережному отношению к технике. Предусматривался компенсационный механизм в случае возникновения конфликта интересов. Споры должны были разрешаться цеховой или заводской РКК. В типовом договоре формулировались общие принципы для повышения</w:t>
      </w:r>
      <w:r w:rsidR="00DD74E1">
        <w:rPr>
          <w:color w:val="000000" w:themeColor="text1"/>
          <w:sz w:val="16"/>
          <w:szCs w:val="16"/>
        </w:rPr>
        <w:t xml:space="preserve"> </w:t>
      </w:r>
      <w:r w:rsidRPr="00E93F40">
        <w:rPr>
          <w:rStyle w:val="highlight"/>
          <w:color w:val="000000" w:themeColor="text1"/>
          <w:sz w:val="16"/>
          <w:szCs w:val="16"/>
        </w:rPr>
        <w:t>зарплаты</w:t>
      </w:r>
      <w:r w:rsidR="00DD74E1">
        <w:rPr>
          <w:rStyle w:val="highlight"/>
          <w:color w:val="000000" w:themeColor="text1"/>
          <w:sz w:val="16"/>
          <w:szCs w:val="16"/>
        </w:rPr>
        <w:t xml:space="preserve"> </w:t>
      </w:r>
      <w:r w:rsidRPr="00E93F40">
        <w:rPr>
          <w:color w:val="000000" w:themeColor="text1"/>
          <w:sz w:val="16"/>
          <w:szCs w:val="16"/>
        </w:rPr>
        <w:t>наиболее важных профессий, заинтересованности рабочих в повышении квалификации и росте производительности труда, уменьшения разрывов в оплате труда рабочих одинаковой квалификации, нормального соотношения повременной и сдельной заработной платы, условия премирования за улучшение качества. Договор должен был содержать обязательства по улучшению работы кооперативной сети сверху донизу, по распределению предметов потребления, организации ЗРК, фабрик-кухонь, организации подсобных хозяйств на основе специальных дополнительных соглашений. Особые разделы предусматривались по оргнабору, по подготовке кадров, по социалистической организации труда. Эти общие положения должны были находить отражение в конкретных показателях по каждому предприятию, охватывающих всю сумму производственно-трудовых и организационно-должностных функций всех работников. Значительное место должно было уделяться вопросам оплаты труда, которые должны были доводиться вплоть до каждого цеха, указываться ставка 1-го</w:t>
      </w:r>
      <w:r w:rsidR="007C1411" w:rsidRPr="00E93F40">
        <w:rPr>
          <w:color w:val="000000" w:themeColor="text1"/>
          <w:sz w:val="16"/>
          <w:szCs w:val="16"/>
        </w:rPr>
        <w:t xml:space="preserve"> </w:t>
      </w:r>
      <w:r w:rsidRPr="00E93F40">
        <w:rPr>
          <w:color w:val="000000" w:themeColor="text1"/>
          <w:sz w:val="16"/>
          <w:szCs w:val="16"/>
        </w:rPr>
        <w:t>разряда для сдельщиков и повременщиков, тарифная сетка для тех и других, надбавки рабочим в случае перевыполнения плана. Договор должен был исходить из максимального внедрения сдельной оплаты труда и технического нормирования. Обязательным было прикрепление к производственным участкам контролеров-браковщиков. Пересмотр норм выработки и расценок должен был производиться с учетом их закрепления на продолжительное время. Обговаривались премии и их размеры для повременщиков, должностные разбивки для ИТР, их индивидуальные оклады и премиальные. Подчеркивался индивидуальный характер премирования.</w:t>
      </w:r>
    </w:p>
    <w:p w14:paraId="3381DA07" w14:textId="4509EE22" w:rsidR="00E96505" w:rsidRPr="00E93F40" w:rsidRDefault="00E96505" w:rsidP="00E93F40">
      <w:pPr>
        <w:pStyle w:val="ae"/>
        <w:spacing w:before="0" w:after="0"/>
        <w:jc w:val="both"/>
        <w:rPr>
          <w:color w:val="000000" w:themeColor="text1"/>
          <w:sz w:val="16"/>
          <w:szCs w:val="16"/>
        </w:rPr>
      </w:pPr>
      <w:r w:rsidRPr="00E93F40">
        <w:rPr>
          <w:color w:val="000000" w:themeColor="text1"/>
          <w:sz w:val="16"/>
          <w:szCs w:val="16"/>
        </w:rPr>
        <w:t>Такая система коллективных договоров объединяла работодателя и работника в единое целое. Она не имела характера социального партнерства, а представляла собой особый вид организации социально-трудовых отношений с элементами государственного патернализма и административного нажима. Особого смысла в таких коллективных договорах не было и с 1934</w:t>
      </w:r>
      <w:r w:rsidR="007C1411" w:rsidRPr="00E93F40">
        <w:rPr>
          <w:color w:val="000000" w:themeColor="text1"/>
          <w:sz w:val="16"/>
          <w:szCs w:val="16"/>
        </w:rPr>
        <w:t xml:space="preserve"> </w:t>
      </w:r>
      <w:r w:rsidRPr="00E93F40">
        <w:rPr>
          <w:color w:val="000000" w:themeColor="text1"/>
          <w:sz w:val="16"/>
          <w:szCs w:val="16"/>
        </w:rPr>
        <w:t>г. практика их заключения была прекращена (11601).</w:t>
      </w:r>
    </w:p>
    <w:p w14:paraId="1795FE03" w14:textId="77777777" w:rsidR="00E96505" w:rsidRPr="00E93F40" w:rsidRDefault="00E9650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03E66CB" w14:textId="77777777" w:rsidR="00042A9F"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4FA724F" w14:textId="77777777" w:rsidR="00042A9F" w:rsidRPr="00E93F40" w:rsidRDefault="00042A9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FFFE37"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lastRenderedPageBreak/>
        <w:t>6 января</w:t>
      </w:r>
      <w:r w:rsidRPr="00E93F40">
        <w:rPr>
          <w:rFonts w:ascii="Times New Roman" w:hAnsi="Times New Roman"/>
          <w:color w:val="000000" w:themeColor="text1"/>
          <w:sz w:val="16"/>
          <w:szCs w:val="16"/>
        </w:rPr>
        <w:t xml:space="preserve"> в 1932 году получил сертификат соответствия типа пассажирский (почтовый) самолёт «Fleetster», «Model 17AF» (компания Consolidated, США). Представлял собой девятиместный самолёт, оснащенный двигателем «R-1820-E» «Cyclone» мощностью 575 л.с. (429 кВт). Были построены три самолета для компании "Luddington Airline" для использования на линии Нью-Йорк - Вашингтон; увеличение максимальной взлетной массы на 454 кг позволило увеличить грузоподъемность на 318 кг, для компенсации чего были увеличены размах крыла и его площадь (15001).</w:t>
      </w:r>
    </w:p>
    <w:p w14:paraId="15C862B1" w14:textId="77777777" w:rsidR="00042A9F" w:rsidRPr="00E93F40" w:rsidRDefault="00042A9F" w:rsidP="00E93F40">
      <w:pPr>
        <w:spacing w:after="0" w:line="240" w:lineRule="auto"/>
        <w:jc w:val="both"/>
        <w:rPr>
          <w:rFonts w:ascii="Times New Roman" w:hAnsi="Times New Roman"/>
          <w:color w:val="000000" w:themeColor="text1"/>
          <w:sz w:val="16"/>
          <w:szCs w:val="16"/>
        </w:rPr>
      </w:pPr>
    </w:p>
    <w:p w14:paraId="437EEA8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6F923A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ED97D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первых числах января 1932-го один из первых серийных ТБ-3 с двигателями М-17 и подкрыльевыми стрелковыми установками передали на испытания в НИИ ВВС и по их окончании приняли на вооружение в качестве эталона. По сравнению с опытной машиной, у эталона уменьшился размах крыла при неизменной его площади и возросла полетная масса. Однако летные характеристики практически не изменились (5740,6).</w:t>
      </w:r>
    </w:p>
    <w:p w14:paraId="08BF1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E22364" w14:textId="77777777" w:rsidR="0025673E" w:rsidRPr="00142305" w:rsidRDefault="0025673E" w:rsidP="002567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января 1932 года один из первых серийных ТБ-3 с двигателями М-17 и под</w:t>
      </w:r>
      <w:r w:rsidRPr="00142305">
        <w:rPr>
          <w:rFonts w:ascii="Times New Roman" w:hAnsi="Times New Roman"/>
          <w:color w:val="0070C0"/>
          <w:sz w:val="16"/>
          <w:szCs w:val="16"/>
        </w:rPr>
        <w:softHyphen/>
        <w:t>крыльевыми стрелковыми установками передали на испытания в НИИ ВВС и по их окон</w:t>
      </w:r>
      <w:r w:rsidRPr="00142305">
        <w:rPr>
          <w:rFonts w:ascii="Times New Roman" w:hAnsi="Times New Roman"/>
          <w:color w:val="0070C0"/>
          <w:sz w:val="16"/>
          <w:szCs w:val="16"/>
        </w:rPr>
        <w:softHyphen/>
        <w:t>чании приняли на вооружение в качестве эталона. По сравнению с опытной машиной у эта</w:t>
      </w:r>
      <w:r w:rsidRPr="00142305">
        <w:rPr>
          <w:rFonts w:ascii="Times New Roman" w:hAnsi="Times New Roman"/>
          <w:color w:val="0070C0"/>
          <w:sz w:val="16"/>
          <w:szCs w:val="16"/>
        </w:rPr>
        <w:softHyphen/>
        <w:t>лона уменьшился размах крыла при неизменной его площади и возрос полетный вес. Однако летные характеристики практически не изменились (24991).</w:t>
      </w:r>
    </w:p>
    <w:p w14:paraId="3574842D" w14:textId="77777777" w:rsidR="0025673E" w:rsidRPr="00142305" w:rsidRDefault="0025673E" w:rsidP="0025673E">
      <w:pPr>
        <w:spacing w:after="0" w:line="240" w:lineRule="auto"/>
        <w:jc w:val="both"/>
        <w:rPr>
          <w:rFonts w:ascii="Times New Roman" w:hAnsi="Times New Roman"/>
          <w:color w:val="0070C0"/>
          <w:sz w:val="16"/>
          <w:szCs w:val="16"/>
        </w:rPr>
      </w:pPr>
    </w:p>
    <w:p w14:paraId="2576E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января 1932 на заводе № 22 выпустили АНТ-9 в военном варианте (10542,30).</w:t>
      </w:r>
    </w:p>
    <w:p w14:paraId="5D440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9AE5D7" w14:textId="77777777" w:rsidR="00042A9F"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27025B8" w14:textId="77777777" w:rsidR="00042A9F" w:rsidRPr="00E93F40" w:rsidRDefault="00042A9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3640206" w14:textId="77777777" w:rsidR="00042A9F" w:rsidRPr="00E93F40" w:rsidRDefault="00042A9F"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января 1932 года ВСНХ СССР преобразуется в Народные Комиссариаты. В ведение одного из них, наркомата тяжелой промышленности (НКТП) передается ГУАП. Наркомом НКТП назначается Г.К. Орджоникидзе, а его заместителем по авиации и начальником ГУАП – П.И. Баранов (15223).</w:t>
      </w:r>
    </w:p>
    <w:p w14:paraId="3EAE7586" w14:textId="77777777" w:rsidR="00042A9F" w:rsidRPr="00E93F40" w:rsidRDefault="00042A9F" w:rsidP="00E93F40">
      <w:pPr>
        <w:shd w:val="clear" w:color="auto" w:fill="FFFFFF"/>
        <w:spacing w:after="0" w:line="240" w:lineRule="auto"/>
        <w:jc w:val="both"/>
        <w:rPr>
          <w:rFonts w:ascii="Times New Roman" w:hAnsi="Times New Roman"/>
          <w:color w:val="000000" w:themeColor="text1"/>
          <w:sz w:val="16"/>
          <w:szCs w:val="16"/>
        </w:rPr>
      </w:pPr>
    </w:p>
    <w:p w14:paraId="45DF6B3F"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января 1932 г. ВСНХ СССР был упразднен. Все военно-промышленные предприятия "кадра" и "запаса", на равных основаниях, были переданы в ведение Наркомата Тяжелой промышленности СССР (НКТП), его главков и трестов, а именно:</w:t>
      </w:r>
    </w:p>
    <w:p w14:paraId="27223A5D"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авиационные- в Главное Управление Авиационной промышленности (ГУАП);</w:t>
      </w:r>
    </w:p>
    <w:p w14:paraId="6725B988"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судостроительные - в Главное Управление Судостроительной промышленности (ГУСП);</w:t>
      </w:r>
    </w:p>
    <w:p w14:paraId="2D4B75A4"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военно-химические - в Военно-Химический трест (Вохимтрест), Всесоюзный трест Органических Производств (ВТОП) и Всесоюзный трест Искусственного Волокна (ВИВ);</w:t>
      </w:r>
    </w:p>
    <w:p w14:paraId="42ECE93F"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оружейные, пулеметные, бомбовые, снарядные, минные и торпедные - в Главное Военно-Мобилизационное Управление (ГВМУ);</w:t>
      </w:r>
    </w:p>
    <w:p w14:paraId="15BCF978"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патронные и гильзовые - в Патронно-Гильзовый трест;</w:t>
      </w:r>
    </w:p>
    <w:p w14:paraId="0DBB336F"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орудийные - в Арсенальный трест;</w:t>
      </w:r>
    </w:p>
    <w:p w14:paraId="61B0DDB3"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снарядные - в Снарядный трест;</w:t>
      </w:r>
    </w:p>
    <w:p w14:paraId="5935F497"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автобронетанковые- в Специальный машиностроительный трест (Спецмаштрест);</w:t>
      </w:r>
    </w:p>
    <w:p w14:paraId="05F53986" w14:textId="34E4AB24"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оптико-механические - в Государственное объединение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Оптико-Механических заводов (ГОМЗ) (18389).</w:t>
      </w:r>
    </w:p>
    <w:p w14:paraId="2BAC760A" w14:textId="77777777" w:rsidR="00E6540F" w:rsidRPr="00E93F40" w:rsidRDefault="00E6540F" w:rsidP="00E93F40">
      <w:pPr>
        <w:spacing w:after="0" w:line="240" w:lineRule="auto"/>
        <w:jc w:val="both"/>
        <w:rPr>
          <w:rFonts w:ascii="Times New Roman" w:hAnsi="Times New Roman"/>
          <w:color w:val="000000" w:themeColor="text1"/>
          <w:sz w:val="16"/>
          <w:szCs w:val="16"/>
        </w:rPr>
      </w:pPr>
    </w:p>
    <w:p w14:paraId="1239257E" w14:textId="77777777" w:rsidR="003D4634" w:rsidRPr="00E93F40" w:rsidRDefault="003D4634" w:rsidP="00E93F40">
      <w:pPr>
        <w:pStyle w:val="ae"/>
        <w:spacing w:before="0" w:after="0"/>
        <w:jc w:val="both"/>
        <w:rPr>
          <w:color w:val="000000" w:themeColor="text1"/>
          <w:sz w:val="16"/>
          <w:szCs w:val="16"/>
          <w:lang w:eastAsia="ru-RU"/>
        </w:rPr>
      </w:pPr>
      <w:r w:rsidRPr="00E93F40">
        <w:rPr>
          <w:color w:val="000000" w:themeColor="text1"/>
          <w:sz w:val="16"/>
          <w:szCs w:val="16"/>
        </w:rPr>
        <w:t>В начале</w:t>
      </w:r>
      <w:r w:rsidR="007D2744" w:rsidRPr="00E93F40">
        <w:rPr>
          <w:color w:val="000000" w:themeColor="text1"/>
          <w:sz w:val="16"/>
          <w:szCs w:val="16"/>
        </w:rPr>
        <w:t xml:space="preserve"> января 1932</w:t>
      </w:r>
      <w:r w:rsidRPr="00E93F40">
        <w:rPr>
          <w:color w:val="000000" w:themeColor="text1"/>
          <w:sz w:val="16"/>
          <w:szCs w:val="16"/>
        </w:rPr>
        <w:t xml:space="preserve"> г. Ленинградский обком ВКП (б) направил специальную комиссию в г. Хибиногорск и поселок Нивастрой для проверки жилищно-бытовых условий спецпереселенцев. Комиссия выявила серьезные недостатки в работе Хибиногорского горкома партии, руководства трестом «Апатит» и управления Нивастроя по обеспечению </w:t>
      </w:r>
      <w:hyperlink r:id="rId8" w:history="1">
        <w:r w:rsidRPr="00E93F40">
          <w:rPr>
            <w:rStyle w:val="a5"/>
            <w:color w:val="000000" w:themeColor="text1"/>
            <w:sz w:val="16"/>
            <w:szCs w:val="16"/>
            <w:u w:val="none"/>
          </w:rPr>
          <w:t>спецпереселенцев</w:t>
        </w:r>
      </w:hyperlink>
      <w:r w:rsidRPr="00E93F40">
        <w:rPr>
          <w:color w:val="000000" w:themeColor="text1"/>
          <w:sz w:val="16"/>
          <w:szCs w:val="16"/>
        </w:rPr>
        <w:t xml:space="preserve"> нормальными бытовыми условиями. Итоги работы комиссии были обсуждены на заседании Секретариата обкома партии 15 февраля</w:t>
      </w:r>
      <w:r w:rsidR="007D2744" w:rsidRPr="00E93F40">
        <w:rPr>
          <w:color w:val="000000" w:themeColor="text1"/>
          <w:sz w:val="16"/>
          <w:szCs w:val="16"/>
        </w:rPr>
        <w:t xml:space="preserve"> 1932 </w:t>
      </w:r>
      <w:r w:rsidRPr="00E93F40">
        <w:rPr>
          <w:color w:val="000000" w:themeColor="text1"/>
          <w:sz w:val="16"/>
          <w:szCs w:val="16"/>
        </w:rPr>
        <w:t>г. В постановлении отмечалось, что Хибиногорский горком ВКП(б), управление треста «Апатит» и Нивастроя не выполнили постановление Секретариата обкома партии от 5 октября 1931 г. Спецпереселенцы продолжали жить в шалманах и палаточных городках. Обком ВКП (б) указал на недопустимость такого положения и в категорической форме постановил:</w:t>
      </w:r>
    </w:p>
    <w:p w14:paraId="35600DAB" w14:textId="77777777" w:rsidR="003D4634" w:rsidRPr="00E93F40" w:rsidRDefault="003D4634" w:rsidP="00E93F40">
      <w:pPr>
        <w:pStyle w:val="ae"/>
        <w:spacing w:before="0" w:after="0"/>
        <w:jc w:val="both"/>
        <w:rPr>
          <w:color w:val="000000" w:themeColor="text1"/>
          <w:sz w:val="16"/>
          <w:szCs w:val="16"/>
        </w:rPr>
      </w:pPr>
      <w:r w:rsidRPr="00E93F40">
        <w:rPr>
          <w:color w:val="000000" w:themeColor="text1"/>
          <w:sz w:val="16"/>
          <w:szCs w:val="16"/>
        </w:rPr>
        <w:t>1. Горкому В КП(б) Хибиногорска и тресту «Апатит», под личную ответственность тов. Кондрикова (управляющего трестом), к 01.03.32 г. закончить постройку 90 стандартных домов, которые полностью передать под жилье спецпереселенцам.</w:t>
      </w:r>
    </w:p>
    <w:p w14:paraId="40F92A1E" w14:textId="77777777" w:rsidR="003D4634" w:rsidRPr="00E93F40" w:rsidRDefault="003D4634" w:rsidP="00E93F40">
      <w:pPr>
        <w:pStyle w:val="ae"/>
        <w:spacing w:before="0" w:after="0"/>
        <w:jc w:val="both"/>
        <w:rPr>
          <w:color w:val="000000" w:themeColor="text1"/>
          <w:sz w:val="16"/>
          <w:szCs w:val="16"/>
        </w:rPr>
      </w:pPr>
      <w:r w:rsidRPr="00E93F40">
        <w:rPr>
          <w:color w:val="000000" w:themeColor="text1"/>
          <w:sz w:val="16"/>
          <w:szCs w:val="16"/>
        </w:rPr>
        <w:t>2. Немедленно приступить к постройке имеющихся в разобранном виде двухэтажных стандартных домов с таким расчетом, чтобы закончить всю стройку в течение трех месяцев.</w:t>
      </w:r>
    </w:p>
    <w:p w14:paraId="31D1A84D" w14:textId="77777777" w:rsidR="003D4634" w:rsidRPr="00E93F40" w:rsidRDefault="003D4634" w:rsidP="00E93F40">
      <w:pPr>
        <w:pStyle w:val="ae"/>
        <w:spacing w:before="0" w:after="0"/>
        <w:jc w:val="both"/>
        <w:rPr>
          <w:color w:val="000000" w:themeColor="text1"/>
          <w:sz w:val="16"/>
          <w:szCs w:val="16"/>
        </w:rPr>
      </w:pPr>
      <w:r w:rsidRPr="00E93F40">
        <w:rPr>
          <w:color w:val="000000" w:themeColor="text1"/>
          <w:sz w:val="16"/>
          <w:szCs w:val="16"/>
        </w:rPr>
        <w:t>3. Нивастрою, под личную ответственность тов. Степанченко, до 10.03.с.г. отстроить девять стандартных домов и полностью ликвидировать палаточный городок.</w:t>
      </w:r>
    </w:p>
    <w:p w14:paraId="53325EEC" w14:textId="77777777" w:rsidR="003D4634" w:rsidRPr="00E93F40" w:rsidRDefault="003D4634" w:rsidP="00E93F40">
      <w:pPr>
        <w:pStyle w:val="ae"/>
        <w:spacing w:before="0" w:after="0"/>
        <w:jc w:val="both"/>
        <w:rPr>
          <w:color w:val="000000" w:themeColor="text1"/>
          <w:sz w:val="16"/>
          <w:szCs w:val="16"/>
        </w:rPr>
      </w:pPr>
      <w:r w:rsidRPr="00E93F40">
        <w:rPr>
          <w:color w:val="000000" w:themeColor="text1"/>
          <w:sz w:val="16"/>
          <w:szCs w:val="16"/>
        </w:rPr>
        <w:t>4. Приступить к развертыванию строительства культурных учреждений с таким расчетом, чтобы в каждом поселке имелось соответствующее помещение под клуб, избу-читальню и пр.</w:t>
      </w:r>
    </w:p>
    <w:p w14:paraId="4E70727A" w14:textId="77777777" w:rsidR="003D4634" w:rsidRPr="00E93F40" w:rsidRDefault="003D4634" w:rsidP="00E93F40">
      <w:pPr>
        <w:pStyle w:val="ae"/>
        <w:spacing w:before="0" w:after="0"/>
        <w:jc w:val="both"/>
        <w:rPr>
          <w:color w:val="000000" w:themeColor="text1"/>
          <w:sz w:val="16"/>
          <w:szCs w:val="16"/>
        </w:rPr>
      </w:pPr>
      <w:r w:rsidRPr="00E93F40">
        <w:rPr>
          <w:color w:val="000000" w:themeColor="text1"/>
          <w:sz w:val="16"/>
          <w:szCs w:val="16"/>
        </w:rPr>
        <w:t xml:space="preserve">Но, несмотря на форсирование темпов в строительстве жилья, спецпереселенцы, проживающие в Хибиногорске и в поселке Нивастрой, прожив три года в </w:t>
      </w:r>
      <w:hyperlink r:id="rId9" w:history="1">
        <w:r w:rsidRPr="00E93F40">
          <w:rPr>
            <w:rStyle w:val="a5"/>
            <w:color w:val="000000" w:themeColor="text1"/>
            <w:sz w:val="16"/>
            <w:szCs w:val="16"/>
          </w:rPr>
          <w:t>палатках</w:t>
        </w:r>
      </w:hyperlink>
      <w:r w:rsidRPr="00E93F40">
        <w:rPr>
          <w:color w:val="000000" w:themeColor="text1"/>
          <w:sz w:val="16"/>
          <w:szCs w:val="16"/>
        </w:rPr>
        <w:t xml:space="preserve"> и землянках, только к концу</w:t>
      </w:r>
      <w:r w:rsidR="007D2744" w:rsidRPr="00E93F40">
        <w:rPr>
          <w:color w:val="000000" w:themeColor="text1"/>
          <w:sz w:val="16"/>
          <w:szCs w:val="16"/>
        </w:rPr>
        <w:t xml:space="preserve"> 1932</w:t>
      </w:r>
      <w:bookmarkStart w:id="3" w:name="YANDEX_8"/>
      <w:bookmarkEnd w:id="3"/>
      <w:r w:rsidRPr="00E93F40">
        <w:rPr>
          <w:color w:val="000000" w:themeColor="text1"/>
          <w:sz w:val="16"/>
          <w:szCs w:val="16"/>
        </w:rPr>
        <w:t xml:space="preserve"> г. были размещены в благоустроенных жилых домах. Так в условиях Заполярья трудом самих спецпереселенцев была решена одна из острейших социальных проблем — жилищно-бытовая.Однако размеры полезной жилой площади на одного члена семьи спецпереселенцев в</w:t>
      </w:r>
      <w:r w:rsidR="007D2744" w:rsidRPr="00E93F40">
        <w:rPr>
          <w:color w:val="000000" w:themeColor="text1"/>
          <w:sz w:val="16"/>
          <w:szCs w:val="16"/>
        </w:rPr>
        <w:t xml:space="preserve"> 1932 </w:t>
      </w:r>
      <w:r w:rsidRPr="00E93F40">
        <w:rPr>
          <w:color w:val="000000" w:themeColor="text1"/>
          <w:sz w:val="16"/>
          <w:szCs w:val="16"/>
        </w:rPr>
        <w:t>г. составляли 2,7 кв. м.</w:t>
      </w:r>
      <w:r w:rsidR="007D2744" w:rsidRPr="00E93F40">
        <w:rPr>
          <w:color w:val="000000" w:themeColor="text1"/>
          <w:sz w:val="16"/>
          <w:szCs w:val="16"/>
        </w:rPr>
        <w:t xml:space="preserve"> (17255).</w:t>
      </w:r>
    </w:p>
    <w:p w14:paraId="4AE49DFE" w14:textId="77777777" w:rsidR="003D4634" w:rsidRPr="00E93F40" w:rsidRDefault="003D4634" w:rsidP="00E93F40">
      <w:pPr>
        <w:autoSpaceDE w:val="0"/>
        <w:autoSpaceDN w:val="0"/>
        <w:adjustRightInd w:val="0"/>
        <w:spacing w:after="0" w:line="240" w:lineRule="auto"/>
        <w:jc w:val="both"/>
        <w:rPr>
          <w:rFonts w:ascii="Times New Roman" w:hAnsi="Times New Roman"/>
          <w:color w:val="000000" w:themeColor="text1"/>
          <w:sz w:val="16"/>
          <w:szCs w:val="16"/>
        </w:rPr>
      </w:pPr>
    </w:p>
    <w:p w14:paraId="3F8DF3C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3CE500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E19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января 1932 был подготовлен:</w:t>
      </w:r>
    </w:p>
    <w:p w14:paraId="547774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ОТЧЕТ о состоянии работ по самолету № 1 для 39 завода.</w:t>
      </w:r>
    </w:p>
    <w:p w14:paraId="05D006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договору, заключенному ЦАГИ с заводом № 39, срок пердачи моторамы значится 27/1-32 года.Состояние работ по вышеназванному агрегату на отчетный момент таково:</w:t>
      </w:r>
    </w:p>
    <w:p w14:paraId="189DAD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Чертежи закончены. Комплект синек о карандашных чертежей находится в О.Т.П. и О.П. 9/1-32 г. проработка будет закончена в О.Т.П. Нормировка материалов в картах заканчивается 13/1-32 г. и рабочего времени 14/1-32 г. 15/1 в карты будут внесены номера чертежей приспособления.Чертежи приспособления поступят в Контролеру 15/1. Контроль закончит проверку 17/1-32 г. Выданные в Секцию копировки чертежи будут скопированы. Переписка карт продлится до 15/2. Спесификации материалов деталей самолета, а также приспособления,указанного выше агрегата будет закончены 21/1 -32 г. Копировка чертежей приспособления будет закончена 25/1-32 г. Печатание синек по договору должно быть закончено к 27-му января и 28/1-32 г. матери</w:t>
      </w:r>
      <w:r w:rsidRPr="00E93F40">
        <w:rPr>
          <w:rFonts w:ascii="Times New Roman" w:hAnsi="Times New Roman"/>
          <w:color w:val="000000" w:themeColor="text1"/>
          <w:sz w:val="16"/>
          <w:szCs w:val="16"/>
        </w:rPr>
        <w:softHyphen/>
        <w:t>алы будут переданы по акту 39 заводу.</w:t>
      </w:r>
    </w:p>
    <w:p w14:paraId="740317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Передача технических материалов по фюзеляжу, согласно договора должна быть произведена 6/2-32 г.Чертежи в карандаше поступи ли в О.Т.П. и О.П. 7/1 работа по проработке карт сдается аккордно. О.Т.П. заканчивает проработку карт 19/1 с.г. Нормировка материалов будет закончена .к. 1/2 с.г. если эта секция будет пополнена 5-ю работниками 4, 5, 6 а.т. Нормировка времени будет закончена к 3/2. Работа нормировщиками ведется вечерами т.к. постоянного штата Т.Н.Б. до сего времени не имеется. Необходимо Т.Н.Б при Бюро внедрения начать организовывать немедленно и во всяком случае должен быть прикреплен на постоянную работу в Т.Н.Б Бюро Внедрения начальник, но не по совместительству,как это имеет место теперь.</w:t>
      </w:r>
    </w:p>
    <w:p w14:paraId="35A826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 Приспособления закончит прорабовкур чертеежей в карандаше к 1/2 с.г. при усословии, что из О.П. будут откомандированы деталировщики Муравьев, Ремизов, Бажаанов. Младший техник Скворцов будет переведен в секцию нормировки материалов с 15 января.</w:t>
      </w:r>
    </w:p>
    <w:p w14:paraId="0ECA35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Нач.Секцией Фюзеляжа Ерохин заводом будет откомандирован в О.П. в распоряжение Фирсова и с 13 го января деталировщица Григорьева будет откомандирована из секции вооружения /распоряжекие дано/.</w:t>
      </w:r>
    </w:p>
    <w:p w14:paraId="7E8351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Контроль закончит поверку чертежей прсспособления к 2/2. Светокопия закончит печатание 3/2 с.г. Сводная спесификацим материалов Фюзеляжа и Приспособления будут закончены к 6/2 с.г.</w:t>
      </w:r>
    </w:p>
    <w:p w14:paraId="0EED13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Извещение на приемку материалов 21 завод получит 6 и 7/2 с.г. начнется передача заказчику технических материалов.</w:t>
      </w:r>
    </w:p>
    <w:p w14:paraId="3818B9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проработки инструмента необходимо добавить 4-х работников 5, 6-го разрядов а.т. и в секцию нормирования материала 3-х работников.</w:t>
      </w:r>
    </w:p>
    <w:p w14:paraId="2797F5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костыль, ножное и ручное управление. Срок по договору 11/2 с.г. Чертежи в карандаше закончены. Последний срок предъявления синек в О.Т.П. и О.П. для проработки 10/1 с.г. О.Т.П. кончит проработку карт 7/2 февраля /вместе с нормированием материалов/. 9/2 будет закончена переписка карт.С 15/1 с.г. секция нормирования материалов должна быть пополнена еще 7-ю техниками 4,5,6 а.т О.П. должен закончить работу 5/2 с.г. копировка 10/2 и светокопия 11/2 с.г. Для выполнения этого срока требуется в О.П; 8 человек конструкторов 5 а.т. Необходимо разрешить вопрос о переводе в секцию нормирования материалов из ЦАГИ Васильеву, Кудинову и Крылова.</w:t>
      </w:r>
    </w:p>
    <w:p w14:paraId="0BC20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Баки бензиновые.Срок по договору 3/2 с.г.Чертежи в карандаше закончены. Комплект синек поступит в О.Т.П. и О.П. О.Т.П. закончит проработку карт 15/1 с.г. с нормировкой материалов Т.НБК должно закончить нормировку к 18/1 с.г. Приспособления по баку О.П. должно закончить к 28/1 с.г. Копировка 2/1 и Светокопия 3/1. Секция копировки должна быть пополнена копировщиками т.к. в конце января и вфеврале месяце-эта секция будет загружена ра</w:t>
      </w:r>
      <w:r w:rsidRPr="00E93F40">
        <w:rPr>
          <w:rFonts w:ascii="Times New Roman" w:hAnsi="Times New Roman"/>
          <w:color w:val="000000" w:themeColor="text1"/>
          <w:sz w:val="16"/>
          <w:szCs w:val="16"/>
        </w:rPr>
        <w:softHyphen/>
        <w:t xml:space="preserve">ботой Для выполения вышеуказанного </w:t>
      </w:r>
      <w:r w:rsidRPr="00E93F40">
        <w:rPr>
          <w:rFonts w:ascii="Times New Roman" w:hAnsi="Times New Roman"/>
          <w:color w:val="000000" w:themeColor="text1"/>
          <w:sz w:val="16"/>
          <w:szCs w:val="16"/>
        </w:rPr>
        <w:lastRenderedPageBreak/>
        <w:t>срока по бакам требуется доба вить в О.Т.П. 3-х техников и в О.П. 5 техников 5 и б-го разряда. Необхопим решить вопрос об откомандировании с завода 39 в Бюро Внедрения Александрова /механический цех 39 зав/ Игнатьев слесарь, Коротыгин /Производственный отдел/ и в О.П*.Тетивкина секция фюзеляжа и Тарасова /работает у Седельникова/. Согласно приказа, подписанного Пауфлером об организации Бюро Внедрения из секции Оборудования должен был быть откомандирован т.Козлов на постоянную работу в Бюро Внедрения, которого вданный момент можно было бы использовать с успехом в О.П., но по имеющимся сведениям т. Козлов бе</w:t>
      </w:r>
      <w:r w:rsidRPr="00E93F40">
        <w:rPr>
          <w:rFonts w:ascii="Times New Roman" w:hAnsi="Times New Roman"/>
          <w:color w:val="000000" w:themeColor="text1"/>
          <w:sz w:val="16"/>
          <w:szCs w:val="16"/>
        </w:rPr>
        <w:softHyphen/>
        <w:t>рется в Цаги на работу по нормализации.</w:t>
      </w:r>
    </w:p>
    <w:p w14:paraId="2E1C40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договору Бюро Внедрения обязано к 5/2 с.г. дать для формуляров общие виды самолетов. Чертежи общих видов для формуляров закончены и по ним производится фотосъемка. Срок договора будет выдержан. Срок на представление материальных сводных спесификаций договором установлен 8/2-32 г. Этот срок выдержан не буде из за сдвигов по выполнению чертежей капотов. Ввиду того, что сводные спесификации будут передаваться 21-му зав. по отдельным аг</w:t>
      </w:r>
      <w:r w:rsidRPr="00E93F40">
        <w:rPr>
          <w:rFonts w:ascii="Times New Roman" w:hAnsi="Times New Roman"/>
          <w:color w:val="000000" w:themeColor="text1"/>
          <w:sz w:val="16"/>
          <w:szCs w:val="16"/>
        </w:rPr>
        <w:softHyphen/>
        <w:t xml:space="preserve">регатам, полагаю, что 39 завод </w:t>
      </w:r>
      <w:r w:rsidRPr="00E93F40">
        <w:rPr>
          <w:rFonts w:ascii="Times New Roman" w:hAnsi="Times New Roman"/>
          <w:color w:val="000000" w:themeColor="text1"/>
          <w:sz w:val="16"/>
          <w:szCs w:val="16"/>
          <w:vertAlign w:val="subscript"/>
        </w:rPr>
        <w:t>Н</w:t>
      </w:r>
      <w:r w:rsidRPr="00E93F40">
        <w:rPr>
          <w:rFonts w:ascii="Times New Roman" w:hAnsi="Times New Roman"/>
          <w:color w:val="000000" w:themeColor="text1"/>
          <w:sz w:val="16"/>
          <w:szCs w:val="16"/>
        </w:rPr>
        <w:t>е будет претендовать на невыпол</w:t>
      </w:r>
      <w:r w:rsidRPr="00E93F40">
        <w:rPr>
          <w:rFonts w:ascii="Times New Roman" w:hAnsi="Times New Roman"/>
          <w:color w:val="000000" w:themeColor="text1"/>
          <w:sz w:val="16"/>
          <w:szCs w:val="16"/>
        </w:rPr>
        <w:softHyphen/>
        <w:t>нение договорного срока.</w:t>
      </w:r>
    </w:p>
    <w:p w14:paraId="0CE286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Технические условия на самолет,отдельные агрегата и ма</w:t>
      </w:r>
      <w:r w:rsidRPr="00E93F40">
        <w:rPr>
          <w:rFonts w:ascii="Times New Roman" w:hAnsi="Times New Roman"/>
          <w:color w:val="000000" w:themeColor="text1"/>
          <w:sz w:val="16"/>
          <w:szCs w:val="16"/>
        </w:rPr>
        <w:softHyphen/>
        <w:t>териалы должны быть приготовлены 13/? с.г. Списки Зав.частей по</w:t>
      </w:r>
      <w:r w:rsidRPr="00E93F40">
        <w:rPr>
          <w:rFonts w:ascii="Times New Roman" w:hAnsi="Times New Roman"/>
          <w:color w:val="000000" w:themeColor="text1"/>
          <w:sz w:val="16"/>
          <w:szCs w:val="16"/>
        </w:rPr>
        <w:softHyphen/>
        <w:t>лучены и подготовлены для передачи ?1-му заводу.Ыатериалы по стач испытанию будут даны к 1/1% также журнал весов.</w:t>
      </w:r>
    </w:p>
    <w:p w14:paraId="694BD1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Замечание У.В.В.С. по самолету И-5 и по эталону самоле та № 1 в срок 1/1 не могли быть выполнена передачей т.к. эталон самолета № 1 до сих пор еще не передан в НИИ на испытание и заключение. Расчеты готовятся и будут даны 16/2 с.г.</w:t>
      </w:r>
    </w:p>
    <w:p w14:paraId="1CC317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оборудования кабины.Срок передачи материалов 17/2 с.г. чертежи закончены. О.Т.П. и О.П. синьки поступят 10/1 января.</w:t>
      </w:r>
    </w:p>
    <w:p w14:paraId="035BD0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хвостовое оперение срок по договору 18/2 с.г. черте</w:t>
      </w:r>
      <w:r w:rsidRPr="00E93F40">
        <w:rPr>
          <w:rFonts w:ascii="Times New Roman" w:hAnsi="Times New Roman"/>
          <w:color w:val="000000" w:themeColor="text1"/>
          <w:sz w:val="16"/>
          <w:szCs w:val="16"/>
        </w:rPr>
        <w:softHyphen/>
        <w:t>жи закончены требуется копировка их. Технологический процесс проработан по старым чертежам и по получении комплекта синек в карты останется внести некоторые уточнения. Трудность заключается в проработке приспособления, необходимо укоштлектоыание отдела Приспособления работниками.</w:t>
      </w:r>
    </w:p>
    <w:p w14:paraId="745C1F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вооружения срок по договору 19/1 чертежи закончены трудность будет заключаться из за неукомплектования работниками О.Т.П. и О.П.</w:t>
      </w:r>
    </w:p>
    <w:p w14:paraId="0D3B6F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Группа Крыльев и Центроплан срок по договору 20/2 с.г. трудность заключается неукомплектовании секцией деревообделочных работ О.Т.П. и О.П. </w:t>
      </w:r>
    </w:p>
    <w:p w14:paraId="3C3839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капоты и Фюзеляж. Срок по договору 1/3 с.г.</w:t>
      </w:r>
    </w:p>
    <w:p w14:paraId="53F590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опоздания с эталоном, чертежи капотов фюзеляжа не были закончены к 1/1 и будут закончены к 16/1 с.г. состояние чертежей по это и группе таково: каркас капотов 80%, боковой капот - общий вид закон</w:t>
      </w:r>
      <w:r w:rsidRPr="00E93F40">
        <w:rPr>
          <w:rFonts w:ascii="Times New Roman" w:hAnsi="Times New Roman"/>
          <w:color w:val="000000" w:themeColor="text1"/>
          <w:sz w:val="16"/>
          <w:szCs w:val="16"/>
        </w:rPr>
        <w:softHyphen/>
        <w:t>чен, детали сделаны на 40%, нижний капот-общий вид закончен, детали 20%, верхний капот 30%, детали 70%, хвостовой капот сделан, детали 20% козырек 100% детали 20%, обтекатель головы 100%, детали 0% желоба 0%.</w:t>
      </w:r>
    </w:p>
    <w:p w14:paraId="0EAD62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Снятие 3-х работников из секции фюзеляжа в бригаду № 5 сдвинет сроки выполнения капота с 16/1 на 19/1, в дальнейшем трудность будет заключаться в проработке технологического процесса и чертежей приспособления, и срок 1/3 - находится под угрозой срыва.</w:t>
      </w:r>
    </w:p>
    <w:p w14:paraId="2C9AD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моторные капоты. Срок по договору 1/3 с.г. чертежи капотов, по планировке должны быть закончены к 1/1 с.г. из за сдвигов эталона срок окончания чертежей, намечается 21/1 с.г. работа по вычерчиванию этих капотов ведется по 3-му эталону, согласно указания Григоровича.Срок выполения работ по договору может быть сорван во первых из за опоздания в подаче чертежей капотов и но вторых из-за неукомплектования О.П.</w:t>
      </w:r>
    </w:p>
    <w:p w14:paraId="4A586E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Описание самолетов и отдельных агрегатов его срок по договору 1/3 с.г. работа ведется в О.Б.С.</w:t>
      </w:r>
    </w:p>
    <w:p w14:paraId="3D8EC1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Помимо вышеуказанных работ Бюро Внедрения было дано дополни</w:t>
      </w:r>
      <w:r w:rsidRPr="00E93F40">
        <w:rPr>
          <w:rFonts w:ascii="Times New Roman" w:hAnsi="Times New Roman"/>
          <w:color w:val="000000" w:themeColor="text1"/>
          <w:sz w:val="16"/>
          <w:szCs w:val="16"/>
        </w:rPr>
        <w:softHyphen/>
        <w:t>тельное задание на проработку ведомостей и подбору нертежей для использования задела зав. № 1 на 21 заводе срок выполнения этой рабты был намечен начальником В.А.О. Барановым 10/1 с.г. Ведомости будут передаваться приемочной комиссией задела 1-го завода в ука</w:t>
      </w:r>
      <w:r w:rsidRPr="00E93F40">
        <w:rPr>
          <w:rFonts w:ascii="Times New Roman" w:hAnsi="Times New Roman"/>
          <w:color w:val="000000" w:themeColor="text1"/>
          <w:sz w:val="16"/>
          <w:szCs w:val="16"/>
        </w:rPr>
        <w:softHyphen/>
        <w:t>занный выше срок.Приемка деталей задела должна будет производится по указанным выше ведомостям и чертежам, получаемым комиссией с 1-го завода, подобранные же Бюро Внедрения чертежи комплектуются для рабты 21-го завода, согласно совещания от......</w:t>
      </w:r>
    </w:p>
    <w:p w14:paraId="28A7CB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соддания более нормальной работы Бюро Внедрения необходимо-во первых: терривориалъно разместить работников Бюро Внедрения в одном помещении,согласно прилагаемого при сем плана, во вторых: прикрепить к Бюро Внедрения на постоянную работу сотрудников, указав иных в прилагаемом проэкте приказа.В третьих: Заключить договор с 39 заводом в части обслуживания им Бюро Внедрения.Согласно этого договора завод 39 должен предоставить Цаги 2 и З этажи корпуса б. ЦКБ, за исключением площади занятой под кабинет директора аавода. Кроме того завод 39 обслуживает вышеназванное помещение и штат работников-в Цаги в части отопления /160/ освещение, электро-энергия для светкопировального фонаря, уборки и мытья, обслуживания чернорабочими, охраны /все виды/, снабжение, столовой и буфета, набора рабсилы, врачебного обслуживания, бухгалтерского учета, выполнение производством от дельных работ /постройка эталонов и доводка их, изготовление плазов деталей и проч./ транпорта перевозка, грузов, машинописи и размножение копий на стеклографе, механической лаборатории, телефонного обслуживанияи хранения секретной переписки (10757).</w:t>
      </w:r>
    </w:p>
    <w:p w14:paraId="482F4C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19E92B"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января 1932 г. состоялся пуск электромеханического завода на территории Харьковской коммуны им. Дзержинского для производства электромеханического слесарного оборудования.</w:t>
      </w:r>
    </w:p>
    <w:p w14:paraId="1A12DF01"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под руководством ведущего инженера Харьковского электромеханического завода Н.А. Горбунова был разработан проект завода и техдокументация на электросвелилки. Не были забыты и объекты социально-культурной сферы. Строительство вели городские организации, но в нем активно участвовали ребята из старших по возрасту отрядов коммуны. Совет командиров отрядов решил внести на строительство 300 тысяч рублей, заработанных за счет перевыполнения плана. В день годовщины Октябрьской революции строительство было завершено и начался монтаж оборудования, которым поделились предприятия Харькова, Одессы и Николаева (23014)</w:t>
      </w:r>
    </w:p>
    <w:p w14:paraId="6101EEAC" w14:textId="77777777" w:rsidR="00282CC6" w:rsidRPr="00E93F40" w:rsidRDefault="00282CC6" w:rsidP="00E93F40">
      <w:pPr>
        <w:spacing w:after="0" w:line="240" w:lineRule="auto"/>
        <w:jc w:val="both"/>
        <w:rPr>
          <w:rFonts w:ascii="Times New Roman" w:hAnsi="Times New Roman"/>
          <w:color w:val="000000" w:themeColor="text1"/>
          <w:sz w:val="16"/>
          <w:szCs w:val="16"/>
        </w:rPr>
      </w:pPr>
    </w:p>
    <w:p w14:paraId="6D4EB8EF"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января 1932 г. ПИСЬМО ЗАМЕСТИТЕЛЯ УПРАВЛЯЮЩЕГО ДЕЛАМИ СНК СССР И. МИРОШНИКОВА ЗАМЕСТИТЕЛЮ НАРОДНОГО КОМИССАРА ИНОСТРАННЫХ ДЕЛ СССР Л.М. КАРАХАНУ ОТНОСИТЕЛЬНО ОТКРЫТИЯ ВОЗДУШНОЙ ЛИНИИ АЛЯСКА - ВЛАДИВОСТОК</w:t>
      </w:r>
    </w:p>
    <w:p w14:paraId="001996F9"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Секретно</w:t>
      </w:r>
    </w:p>
    <w:p w14:paraId="70C18288"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в 3-дневный срок для доклада тов. Куйбышеву дать заключение по письму ВАО о целесообразности участия в организации воздушной линии Аляска - Владивосток.</w:t>
      </w:r>
    </w:p>
    <w:p w14:paraId="4AB97E76"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указ, материал на 1 листе</w:t>
      </w:r>
    </w:p>
    <w:p w14:paraId="49356170"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управляющего делами СНК СССР И. МИРОШНИКОВ</w:t>
      </w:r>
    </w:p>
    <w:p w14:paraId="1FE7E719"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АВП</w:t>
      </w:r>
      <w:r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РФ</w:t>
      </w:r>
      <w:r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Ф</w:t>
      </w:r>
      <w:r w:rsidRPr="00E93F40">
        <w:rPr>
          <w:rFonts w:ascii="Times New Roman" w:hAnsi="Times New Roman"/>
          <w:color w:val="000000" w:themeColor="text1"/>
          <w:sz w:val="16"/>
          <w:szCs w:val="16"/>
          <w:lang w:val="en-US"/>
        </w:rPr>
        <w:t xml:space="preserve">. 0129. On. 15. </w:t>
      </w:r>
      <w:r w:rsidRPr="00E93F40">
        <w:rPr>
          <w:rFonts w:ascii="Times New Roman" w:hAnsi="Times New Roman"/>
          <w:color w:val="000000" w:themeColor="text1"/>
          <w:sz w:val="16"/>
          <w:szCs w:val="16"/>
        </w:rPr>
        <w:t>П</w:t>
      </w:r>
      <w:r w:rsidRPr="00E93F40">
        <w:rPr>
          <w:rFonts w:ascii="Times New Roman" w:hAnsi="Times New Roman"/>
          <w:color w:val="000000" w:themeColor="text1"/>
          <w:sz w:val="16"/>
          <w:szCs w:val="16"/>
          <w:lang w:val="en-US"/>
        </w:rPr>
        <w:t xml:space="preserve">. 128. </w:t>
      </w:r>
      <w:r w:rsidRPr="00E93F40">
        <w:rPr>
          <w:rFonts w:ascii="Times New Roman" w:hAnsi="Times New Roman"/>
          <w:color w:val="000000" w:themeColor="text1"/>
          <w:sz w:val="16"/>
          <w:szCs w:val="16"/>
        </w:rPr>
        <w:t>Д</w:t>
      </w:r>
      <w:r w:rsidRPr="00E93F40">
        <w:rPr>
          <w:rFonts w:ascii="Times New Roman" w:hAnsi="Times New Roman"/>
          <w:color w:val="000000" w:themeColor="text1"/>
          <w:sz w:val="16"/>
          <w:szCs w:val="16"/>
          <w:lang w:val="en-US"/>
        </w:rPr>
        <w:t xml:space="preserve">. 331. </w:t>
      </w:r>
      <w:r w:rsidRPr="00E93F40">
        <w:rPr>
          <w:rFonts w:ascii="Times New Roman" w:hAnsi="Times New Roman"/>
          <w:color w:val="000000" w:themeColor="text1"/>
          <w:sz w:val="16"/>
          <w:szCs w:val="16"/>
        </w:rPr>
        <w:t>Л. 38. Подлинник.</w:t>
      </w:r>
    </w:p>
    <w:p w14:paraId="1E9962A8"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Письмо направлено также в ВОГВФ (Гольцману А.З.) (23877).</w:t>
      </w:r>
    </w:p>
    <w:p w14:paraId="7D6A7FD3" w14:textId="77777777" w:rsidR="00356882" w:rsidRPr="00E93F40" w:rsidRDefault="00356882" w:rsidP="00E93F40">
      <w:pPr>
        <w:spacing w:after="0" w:line="240" w:lineRule="auto"/>
        <w:jc w:val="both"/>
        <w:rPr>
          <w:rFonts w:ascii="Times New Roman" w:hAnsi="Times New Roman"/>
          <w:color w:val="000000" w:themeColor="text1"/>
          <w:sz w:val="16"/>
          <w:szCs w:val="16"/>
        </w:rPr>
      </w:pPr>
    </w:p>
    <w:p w14:paraId="59986F3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7EED74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C5EA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января 1932 года, рассмотрев рабочие чертежи 82-мм миномета, Артуправление их утвердило и дало опытный заказ на пять 82-мм минометов заводу "Красный Октябрь" (3861).</w:t>
      </w:r>
    </w:p>
    <w:p w14:paraId="33C603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6F8274" w14:textId="77777777" w:rsidR="00042A9F" w:rsidRPr="00E93F40" w:rsidRDefault="00042A9F"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января 1932 года, рассмотрев рабочие чертежи, Артуправление утвердило их и дало опытный заказ на пять 82-мм минометов заводу «Красный Октябрь». Полигонные испытания 82-мм минометов, изготовленных на заводе «Красный Октябрь», начались 17 июня 1933 года. Вес минометов с колесным ходом составлял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81 кг</w:t>
        </w:r>
      </w:smartTag>
      <w:r w:rsidRPr="00E93F40">
        <w:rPr>
          <w:rFonts w:ascii="Times New Roman" w:hAnsi="Times New Roman"/>
          <w:color w:val="000000" w:themeColor="text1"/>
          <w:sz w:val="16"/>
          <w:szCs w:val="16"/>
        </w:rPr>
        <w:t xml:space="preserve">.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80 метров</w:t>
        </w:r>
      </w:smartTag>
      <w:r w:rsidRPr="00E93F40">
        <w:rPr>
          <w:rFonts w:ascii="Times New Roman" w:hAnsi="Times New Roman"/>
          <w:color w:val="000000" w:themeColor="text1"/>
          <w:sz w:val="16"/>
          <w:szCs w:val="16"/>
        </w:rPr>
        <w:t xml:space="preserve"> (15218).</w:t>
      </w:r>
    </w:p>
    <w:p w14:paraId="26EC8498" w14:textId="77777777" w:rsidR="00042A9F" w:rsidRPr="00E93F40" w:rsidRDefault="00042A9F" w:rsidP="00E93F40">
      <w:pPr>
        <w:widowControl w:val="0"/>
        <w:spacing w:after="0" w:line="240" w:lineRule="auto"/>
        <w:jc w:val="both"/>
        <w:rPr>
          <w:rFonts w:ascii="Times New Roman" w:hAnsi="Times New Roman"/>
          <w:color w:val="000000" w:themeColor="text1"/>
          <w:sz w:val="16"/>
          <w:szCs w:val="16"/>
        </w:rPr>
      </w:pPr>
    </w:p>
    <w:p w14:paraId="5AA776A3" w14:textId="0B0DB4BD"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рассмотрев рабочие чертежи, Артуправление утвердило их и дало опытный заказ на пять 82-мм минометов заводу «Красный Октябрь»29 ноября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рабочие чертежи 82-мм миномета были отправлены Доровлевым в Артиллерийское управление</w:t>
      </w:r>
    </w:p>
    <w:p w14:paraId="657F26A0" w14:textId="2669DF10"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Почему у минометов группы «Д» калибр был 82 мм, а не 81,4 мм, как у минометов Стокса—Брандта в остальных государствах мира? Доровлев обосновывал разницу в калибрах так: мины батальонных минометов иностранных армий могли быть использованы нашими минометчиками при стрельбе из наших минометов, в то время как наши мины не были пригодны для стрельбы из иностранных минометов. На мой взгляд, такое обоснование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 более чем остроумие на лестнице. Это в 1930-е то годы заранее планировать массовую сдачу минометного вооружения врагу? Да и в ходе Первой и Второй мировых войн чаше случались захваты артсистем без снарядов, чем снарядов без артсистем. Скорее всего, Доровлев и K° боялись заклинивания мин в каналах минометов, а возможно, это связано с «хитростями» с центрирующими поясками.</w:t>
      </w:r>
    </w:p>
    <w:p w14:paraId="59F9B90A"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проекту ствол 82-мм миномета был гладкий. На конец трубы навинчен казенник с шаровой пятой для упора в плиту. На ствол надета обойма, связывающая ствол со станком. Обойма снабжена амортизаторными пружинами.</w:t>
      </w:r>
    </w:p>
    <w:p w14:paraId="5C3CAA92" w14:textId="35134E94"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Колесников спроектировал колесный ход к миномету по типу своего знаменитого пулеметного станка обр. 1912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Колеса в боевом положении вывешивались. На поле боя станок перекатывался вручную с помощью двух оглобель. Число зарядов пять, вес их от 6 до 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E687922"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Проектные данные 82-мм миномета </w:t>
      </w:r>
    </w:p>
    <w:p w14:paraId="28FBDBE1" w14:textId="45307CD0"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82</w:t>
      </w:r>
    </w:p>
    <w:p w14:paraId="612F0800" w14:textId="25E2A92D"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мм/клб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1220/15</w:t>
      </w:r>
    </w:p>
    <w:p w14:paraId="6452C9DB" w14:textId="7DC0A3CD"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Угол вертикального наведения, град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+40; +80</w:t>
      </w:r>
    </w:p>
    <w:p w14:paraId="5716B8F0" w14:textId="09290F03"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горизонтального наведения, град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w:t>
      </w:r>
    </w:p>
    <w:p w14:paraId="1DC1BBFC" w14:textId="14FCBFEE"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миномета в боевом положении, 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75</w:t>
      </w:r>
    </w:p>
    <w:p w14:paraId="2C55827F" w14:textId="3CE8F5AA"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ствола с обоймой, 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22</w:t>
      </w:r>
    </w:p>
    <w:p w14:paraId="677C14B5" w14:textId="41007C3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станка с колесным ходом, 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38</w:t>
      </w:r>
    </w:p>
    <w:p w14:paraId="1E33440A" w14:textId="7A91F374"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опорной плиты, 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14</w:t>
      </w:r>
    </w:p>
    <w:p w14:paraId="2FC5F6C5" w14:textId="3DF131DB"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Скорострельность, выстр/мин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15–18</w:t>
      </w:r>
    </w:p>
    <w:p w14:paraId="5898B3D0" w14:textId="3DFF435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весе мины 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и максимальном давлении в канале ствола 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кг/см2 максимальная дальность стрельбы составляла 2500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а минимальная (при угле +70°)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(12705).</w:t>
      </w:r>
    </w:p>
    <w:p w14:paraId="75372101" w14:textId="77777777" w:rsidR="00684A8A" w:rsidRPr="00E93F40" w:rsidRDefault="00684A8A" w:rsidP="00E93F40">
      <w:pPr>
        <w:spacing w:after="0" w:line="240" w:lineRule="auto"/>
        <w:jc w:val="both"/>
        <w:rPr>
          <w:rFonts w:ascii="Times New Roman" w:hAnsi="Times New Roman"/>
          <w:color w:val="000000" w:themeColor="text1"/>
          <w:sz w:val="16"/>
          <w:szCs w:val="16"/>
        </w:rPr>
      </w:pPr>
    </w:p>
    <w:p w14:paraId="28F12527" w14:textId="77777777" w:rsidR="0025673E" w:rsidRPr="00142305" w:rsidRDefault="0025673E" w:rsidP="002567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января 1932 г., рассмотрев рабочие чертежи минометов, направленные 29 ноября Доровлевым, Артуправление утвердило их и дало опытный заказ на пять 82-мм миномётов заводу «Красный Октябрь».</w:t>
      </w:r>
    </w:p>
    <w:p w14:paraId="462B1944" w14:textId="77777777" w:rsidR="0025673E" w:rsidRPr="00142305" w:rsidRDefault="0025673E" w:rsidP="002567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Полигонные испытания 82-мм миномётов, изготовленных на заводе «Красный Октябрь», начались 17 июня 1933 г. на НИАПе. Вес миномётов с колёсным ходом составлял 81 кг.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80 метров.</w:t>
      </w:r>
    </w:p>
    <w:p w14:paraId="7E752635" w14:textId="77777777" w:rsidR="0025673E" w:rsidRPr="00142305" w:rsidRDefault="0025673E" w:rsidP="002567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Качество миномётов и отечественных мин было неудовлетворительное, и испытания шли одно за другим. К работе над миномётами подключились заводы № 13 (г. Брянск) и № 7 («Красный Арсенал»). Постепенно завод № 7 стал ведущим разработчиком и изготовителем миномётов (25184).</w:t>
      </w:r>
    </w:p>
    <w:p w14:paraId="6F47BDA8" w14:textId="77777777" w:rsidR="0025673E" w:rsidRPr="00142305" w:rsidRDefault="0025673E" w:rsidP="0025673E">
      <w:pPr>
        <w:spacing w:after="0" w:line="240" w:lineRule="auto"/>
        <w:jc w:val="both"/>
        <w:rPr>
          <w:rFonts w:ascii="Times New Roman" w:hAnsi="Times New Roman"/>
          <w:color w:val="0070C0"/>
          <w:sz w:val="16"/>
          <w:szCs w:val="16"/>
        </w:rPr>
      </w:pPr>
    </w:p>
    <w:p w14:paraId="5EFA1986" w14:textId="77777777" w:rsidR="00042A9F"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BB214C1" w14:textId="77777777" w:rsidR="00042A9F" w:rsidRPr="00E93F40" w:rsidRDefault="00042A9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D2F93E"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января 1932 замнаркоминдел Л. Карахан направил в Восточную Комиссию СТО, Наркомвнешторг, УВВС и ВСНХ грозное письмо с требованием немедленно сообщить о «распоряжениях и результатах расследования </w:t>
      </w:r>
      <w:r w:rsidRPr="00E93F40">
        <w:rPr>
          <w:rStyle w:val="91"/>
          <w:rFonts w:eastAsia="Arial"/>
          <w:color w:val="000000" w:themeColor="text1"/>
          <w:sz w:val="16"/>
          <w:szCs w:val="16"/>
        </w:rPr>
        <w:t>лётного происшествия</w:t>
      </w:r>
      <w:r w:rsidRPr="00E93F40">
        <w:rPr>
          <w:rFonts w:ascii="Times New Roman" w:hAnsi="Times New Roman"/>
          <w:color w:val="000000" w:themeColor="text1"/>
          <w:sz w:val="16"/>
          <w:szCs w:val="16"/>
        </w:rPr>
        <w:t>» (23 декабря). Со ссылкой на телеграмму Карахан особо отмечал «неблагоприятное впечатление, которое создалось у местных властей, в связи с длительной задержкой в доставке нами самолётов... и са</w:t>
      </w:r>
      <w:r w:rsidRPr="00E93F40">
        <w:rPr>
          <w:rFonts w:ascii="Times New Roman" w:hAnsi="Times New Roman"/>
          <w:color w:val="000000" w:themeColor="text1"/>
          <w:sz w:val="16"/>
          <w:szCs w:val="16"/>
        </w:rPr>
        <w:softHyphen/>
        <w:t>мой аварией, причём это неблагоприятное впечатление усугубилось удачным перелё</w:t>
      </w:r>
      <w:r w:rsidRPr="00E93F40">
        <w:rPr>
          <w:rFonts w:ascii="Times New Roman" w:hAnsi="Times New Roman"/>
          <w:color w:val="000000" w:themeColor="text1"/>
          <w:sz w:val="16"/>
          <w:szCs w:val="16"/>
        </w:rPr>
        <w:softHyphen/>
        <w:t>том одной из машин «Евразии», пилотируемой немецкими лётчиками, которая за несколько дней прибыла в Урумчи из Пекина.</w:t>
      </w:r>
    </w:p>
    <w:p w14:paraId="6DB0A426"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Придавая исключительное значение вопросу о работе наших самолётов в Синьцзяне, особенно в связи с появлением иноконкуренции, я прошу Вас:</w:t>
      </w:r>
    </w:p>
    <w:p w14:paraId="2C9643D6" w14:textId="77777777" w:rsidR="00042A9F" w:rsidRPr="00E93F40" w:rsidRDefault="00042A9F" w:rsidP="00E93F40">
      <w:pPr>
        <w:tabs>
          <w:tab w:val="left" w:pos="47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Обязать соответствующие организации немедленно организовать переброску в Урумчи запасных частей, необходимых для восстановления самолёта, если этих запча</w:t>
      </w:r>
      <w:r w:rsidRPr="00E93F40">
        <w:rPr>
          <w:rFonts w:ascii="Times New Roman" w:hAnsi="Times New Roman"/>
          <w:color w:val="000000" w:themeColor="text1"/>
          <w:sz w:val="16"/>
          <w:szCs w:val="16"/>
        </w:rPr>
        <w:softHyphen/>
        <w:t>стей нет среди этого комплекта запчастей, который был продан вместе с самолётами.</w:t>
      </w:r>
    </w:p>
    <w:p w14:paraId="1BB5304D" w14:textId="77777777" w:rsidR="00042A9F" w:rsidRPr="00E93F40" w:rsidRDefault="00042A9F" w:rsidP="00E93F40">
      <w:pPr>
        <w:tabs>
          <w:tab w:val="left" w:pos="45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Поручить произвести самую тщательную техническую экспертизу причин аварии са</w:t>
      </w:r>
      <w:r w:rsidRPr="00E93F40">
        <w:rPr>
          <w:rFonts w:ascii="Times New Roman" w:hAnsi="Times New Roman"/>
          <w:color w:val="000000" w:themeColor="text1"/>
          <w:sz w:val="16"/>
          <w:szCs w:val="16"/>
        </w:rPr>
        <w:softHyphen/>
        <w:t>молёта и обязать в будущем при очередных поставках самолётов в Синьцзян, произво</w:t>
      </w:r>
      <w:r w:rsidRPr="00E93F40">
        <w:rPr>
          <w:rFonts w:ascii="Times New Roman" w:hAnsi="Times New Roman"/>
          <w:color w:val="000000" w:themeColor="text1"/>
          <w:sz w:val="16"/>
          <w:szCs w:val="16"/>
        </w:rPr>
        <w:softHyphen/>
        <w:t>дить им особо тщательный технический осмотр» (15802).</w:t>
      </w:r>
    </w:p>
    <w:p w14:paraId="110ABF5C" w14:textId="77777777" w:rsidR="00042A9F" w:rsidRPr="00E93F40" w:rsidRDefault="00042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Сейчас трудно установить, успел ли Карахан перед подписанием своего письма оз</w:t>
      </w:r>
      <w:r w:rsidRPr="00E93F40">
        <w:rPr>
          <w:rFonts w:ascii="Times New Roman" w:hAnsi="Times New Roman"/>
          <w:color w:val="000000" w:themeColor="text1"/>
          <w:sz w:val="16"/>
          <w:szCs w:val="16"/>
        </w:rPr>
        <w:softHyphen/>
        <w:t>накомиться со «встречным» письмом, двумя днями ранее (15802).</w:t>
      </w:r>
    </w:p>
    <w:p w14:paraId="645BE78A" w14:textId="77777777" w:rsidR="00042A9F" w:rsidRPr="00E93F40" w:rsidRDefault="00042A9F" w:rsidP="00E93F40">
      <w:pPr>
        <w:spacing w:after="0" w:line="240" w:lineRule="auto"/>
        <w:jc w:val="both"/>
        <w:rPr>
          <w:rFonts w:ascii="Times New Roman" w:hAnsi="Times New Roman"/>
          <w:color w:val="000000" w:themeColor="text1"/>
          <w:sz w:val="16"/>
          <w:szCs w:val="16"/>
        </w:rPr>
      </w:pPr>
    </w:p>
    <w:p w14:paraId="34CE7F0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0EC574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5DE3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января 1932 США была провозглашена доктрина Стимпсона - политика открытых дверей в отношении Китая (3186).</w:t>
      </w:r>
    </w:p>
    <w:p w14:paraId="2A417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EF8D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января 1932 канцлер Германии Г.Брюнинг заявляет о том, что Германия не может и не будет выплачивать репарации (3907,172).</w:t>
      </w:r>
    </w:p>
    <w:p w14:paraId="200629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690BD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3F7E23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7AD3649" w14:textId="77777777" w:rsidR="00257404" w:rsidRPr="00E93F40" w:rsidRDefault="00257404"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bCs/>
          <w:color w:val="000000" w:themeColor="text1"/>
          <w:sz w:val="16"/>
          <w:szCs w:val="16"/>
        </w:rPr>
        <w:t>8 января 1932 г. — Справка 3-го управления УВВС РККА о выполнении авиапромышленностью специальных заказов ВВС РККА за 1931 г.</w:t>
      </w:r>
    </w:p>
    <w:p w14:paraId="2B08691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90"/>
        <w:gridCol w:w="2728"/>
        <w:gridCol w:w="1961"/>
        <w:gridCol w:w="1486"/>
        <w:gridCol w:w="2657"/>
      </w:tblGrid>
      <w:tr w:rsidR="00DA227A" w:rsidRPr="00E93F40" w14:paraId="6D952921" w14:textId="77777777" w:rsidTr="007E7FF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B521C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предметов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DE8C04" w14:textId="6711DC00"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по плану заказа на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3AE4780" w14:textId="1D33D915"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выполнения плана заказов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F9CF5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выполнения годового плана</w:t>
            </w:r>
          </w:p>
        </w:tc>
      </w:tr>
      <w:tr w:rsidR="00DA227A" w:rsidRPr="00E93F40" w14:paraId="41E78F9E" w14:textId="77777777" w:rsidTr="007E7FF2">
        <w:tc>
          <w:tcPr>
            <w:tcW w:w="0" w:type="auto"/>
            <w:vMerge/>
            <w:tcBorders>
              <w:top w:val="outset" w:sz="6" w:space="0" w:color="auto"/>
              <w:left w:val="outset" w:sz="6" w:space="0" w:color="auto"/>
              <w:bottom w:val="outset" w:sz="6" w:space="0" w:color="auto"/>
              <w:right w:val="outset" w:sz="6" w:space="0" w:color="auto"/>
            </w:tcBorders>
            <w:vAlign w:val="center"/>
            <w:hideMark/>
          </w:tcPr>
          <w:p w14:paraId="0E57CAFB" w14:textId="77777777" w:rsidR="007E7FF2" w:rsidRPr="00E93F40" w:rsidRDefault="007E7FF2" w:rsidP="00E93F40">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12B98D" w14:textId="77777777" w:rsidR="007E7FF2" w:rsidRPr="00E93F40" w:rsidRDefault="007E7FF2"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5432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EA68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Недодел[ано]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D6938F" w14:textId="77777777" w:rsidR="007E7FF2" w:rsidRPr="00E93F40" w:rsidRDefault="007E7FF2" w:rsidP="00E93F40">
            <w:pPr>
              <w:spacing w:after="0" w:line="240" w:lineRule="auto"/>
              <w:jc w:val="both"/>
              <w:rPr>
                <w:rFonts w:ascii="Times New Roman" w:hAnsi="Times New Roman"/>
                <w:color w:val="000000" w:themeColor="text1"/>
                <w:sz w:val="16"/>
                <w:szCs w:val="16"/>
              </w:rPr>
            </w:pPr>
          </w:p>
        </w:tc>
      </w:tr>
      <w:tr w:rsidR="00DA227A" w:rsidRPr="00E93F40" w14:paraId="4911D8F6" w14:textId="77777777" w:rsidTr="007E7FF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B7D82D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Самолеты:</w:t>
            </w:r>
          </w:p>
        </w:tc>
      </w:tr>
      <w:tr w:rsidR="00DA227A" w:rsidRPr="00E93F40" w14:paraId="47E4F879"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CBD214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w:t>
            </w:r>
            <w:r w:rsidRPr="00E93F40">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22DF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ACED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D49E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9B15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w:t>
            </w:r>
          </w:p>
        </w:tc>
      </w:tr>
      <w:tr w:rsidR="00DA227A" w:rsidRPr="00E93F40" w14:paraId="463EB00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361D17B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2C40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8365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492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44B6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26,2</w:t>
            </w:r>
          </w:p>
        </w:tc>
      </w:tr>
      <w:tr w:rsidR="00DA227A" w:rsidRPr="00E93F40" w14:paraId="11C39856"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DF2BF3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DE12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3053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BA80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921D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3DF961A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7B7D85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229F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0A55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41F2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BE12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12FCE3F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324C86C" w14:textId="685A37CD"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98EE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C328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FDA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EAC8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tc>
      </w:tr>
      <w:tr w:rsidR="00DA227A" w:rsidRPr="00E93F40" w14:paraId="42A369D4"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AC1AA4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D7CA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48C0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CD59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9DA2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42CE602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21FCB6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BCD2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AC9C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CB5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549D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5FACAE16"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24C5D9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F290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5836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DF38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58E3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5B77D29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E9F7C5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253E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A6CA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766C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E18B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88,08</w:t>
            </w:r>
          </w:p>
        </w:tc>
      </w:tr>
      <w:tr w:rsidR="00DA227A" w:rsidRPr="00E93F40" w14:paraId="5250F3D4"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ED6D31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C998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9D1A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C4A0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008D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44,6</w:t>
            </w:r>
          </w:p>
        </w:tc>
      </w:tr>
      <w:tr w:rsidR="00DA227A" w:rsidRPr="00E93F40" w14:paraId="4EC453FE"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6A6FB4A" w14:textId="09C8C586"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2EF3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1018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56AD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1AF0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w:t>
            </w:r>
          </w:p>
        </w:tc>
      </w:tr>
      <w:tr w:rsidR="00DA227A" w:rsidRPr="00E93F40" w14:paraId="3E19F5BE"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CD716C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2CD6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DD55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E089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BE26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r w:rsidR="00DA227A" w:rsidRPr="00E93F40" w14:paraId="75BA8765"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4F54FD2" w14:textId="36ADE5FB"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бис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3DDF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6384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A9BF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E435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7A99135F"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FE9144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B682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80FF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4D9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681A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22B22EE2"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D8921B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E58A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B878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A70D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820E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26,6</w:t>
            </w:r>
          </w:p>
        </w:tc>
      </w:tr>
      <w:tr w:rsidR="00DA227A" w:rsidRPr="00E93F40" w14:paraId="0656B53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8BD512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FB9E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AF61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F5B7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410D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2606227B"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772BFF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A6CE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800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D846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C81A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r>
      <w:tr w:rsidR="00DA227A" w:rsidRPr="00E93F40" w14:paraId="2A4FEA3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465A17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0822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E4B9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7B56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6211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r>
      <w:tr w:rsidR="00DA227A" w:rsidRPr="00E93F40" w14:paraId="45550A4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6D7F8D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171C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6787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86EA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90AE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41,1</w:t>
            </w:r>
          </w:p>
        </w:tc>
      </w:tr>
      <w:tr w:rsidR="00DA227A" w:rsidRPr="00E93F40" w14:paraId="11F29C0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A781A0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AC53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CF74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EA8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1374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101,6</w:t>
            </w:r>
          </w:p>
        </w:tc>
      </w:tr>
      <w:tr w:rsidR="00DA227A" w:rsidRPr="00E93F40" w14:paraId="20F0B8F9"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357737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У-1-М-2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61A7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2067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F0F2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3F6D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7B249DB1"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DF4E46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B02E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A6C2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4A62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8168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52,2</w:t>
            </w:r>
          </w:p>
        </w:tc>
      </w:tr>
      <w:tr w:rsidR="00DA227A" w:rsidRPr="00E93F40" w14:paraId="53AF3D7B"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6C2840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04D7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8ECA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AB5E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046F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73,3</w:t>
            </w:r>
          </w:p>
        </w:tc>
      </w:tr>
      <w:tr w:rsidR="00DA227A" w:rsidRPr="00E93F40" w14:paraId="3579E910" w14:textId="77777777" w:rsidTr="007E7FF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4D68A0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Моторы</w:t>
            </w:r>
          </w:p>
        </w:tc>
      </w:tr>
      <w:tr w:rsidR="00DA227A" w:rsidRPr="00E93F40" w14:paraId="0695B942"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0EEDF5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A958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700C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EC7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070D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w:t>
            </w:r>
          </w:p>
        </w:tc>
      </w:tr>
      <w:tr w:rsidR="00DA227A" w:rsidRPr="00E93F40" w14:paraId="535A86F6"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38F0C19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F829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0BDC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E6C7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3E8E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75,9</w:t>
            </w:r>
          </w:p>
        </w:tc>
      </w:tr>
      <w:tr w:rsidR="00DA227A" w:rsidRPr="00E93F40" w14:paraId="53D66D1D"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2F8692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7CD1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310B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4386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3D88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58,5</w:t>
            </w:r>
          </w:p>
        </w:tc>
      </w:tr>
      <w:tr w:rsidR="00DA227A" w:rsidRPr="00E93F40" w14:paraId="1D4A28D4"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424C29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AA2A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FB60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78CC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F89E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1EAAEE1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10D128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D744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A57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22EE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F277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058F2D0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E7D59C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9E43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4B8F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7E0C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6E30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24,2</w:t>
            </w:r>
          </w:p>
        </w:tc>
      </w:tr>
      <w:tr w:rsidR="00DA227A" w:rsidRPr="00E93F40" w14:paraId="2B77B349"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0BF179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908F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906E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ACD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8C2D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05EE8068"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A25B0B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8407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E81C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599F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188E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73D5104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9C0D1F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32BA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E470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7116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3C26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219E603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FDD619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668F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6075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DAF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021D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55,3</w:t>
            </w:r>
          </w:p>
        </w:tc>
      </w:tr>
      <w:tr w:rsidR="00DA227A" w:rsidRPr="00E93F40" w14:paraId="6551C4CD"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3DDD93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439B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7675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54FF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9EC0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40,6</w:t>
            </w:r>
          </w:p>
        </w:tc>
      </w:tr>
      <w:tr w:rsidR="00DA227A" w:rsidRPr="00E93F40" w14:paraId="0FB9DA7F"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CF7E60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FA60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1497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B20E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B431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7C588A1D"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7FFE764" w14:textId="138BE088"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Запчасти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особому</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списку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CDC7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B13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886D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A34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r>
      <w:tr w:rsidR="00DA227A" w:rsidRPr="00E93F40" w14:paraId="2F6C2D6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BB77FC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То же к М-2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D0DD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7EAC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5FA9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BD5F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r>
      <w:tr w:rsidR="00DA227A" w:rsidRPr="00E93F40" w14:paraId="7368276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416F65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4D58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13E5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1060¹*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76D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1023²*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B6ED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50,8</w:t>
            </w:r>
          </w:p>
        </w:tc>
      </w:tr>
      <w:tr w:rsidR="00DA227A" w:rsidRPr="00E93F40" w14:paraId="4E2389C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DBCF5C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Груп[повых]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D6A2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DF6B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EAC3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081E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w:t>
            </w:r>
          </w:p>
        </w:tc>
      </w:tr>
    </w:tbl>
    <w:p w14:paraId="4469667E" w14:textId="77777777" w:rsidR="007E7FF2" w:rsidRPr="00E93F40" w:rsidRDefault="007E7FF2" w:rsidP="00E93F40">
      <w:pPr>
        <w:pStyle w:val="ae"/>
        <w:spacing w:before="0" w:after="0"/>
        <w:jc w:val="both"/>
        <w:rPr>
          <w:color w:val="000000" w:themeColor="text1"/>
          <w:sz w:val="16"/>
          <w:szCs w:val="16"/>
        </w:rPr>
      </w:pPr>
      <w:r w:rsidRPr="00E93F40">
        <w:rPr>
          <w:rStyle w:val="af0"/>
          <w:i w:val="0"/>
          <w:color w:val="000000" w:themeColor="text1"/>
          <w:sz w:val="16"/>
          <w:szCs w:val="16"/>
        </w:rPr>
        <w:t>Начальник 3 управления УВВС РККА Жаров</w:t>
      </w:r>
    </w:p>
    <w:p w14:paraId="1A8DC964" w14:textId="77777777" w:rsidR="007E7FF2" w:rsidRPr="00E93F40" w:rsidRDefault="007E7FF2" w:rsidP="00E93F40">
      <w:pPr>
        <w:pStyle w:val="ae"/>
        <w:spacing w:before="0" w:after="0"/>
        <w:jc w:val="both"/>
        <w:rPr>
          <w:color w:val="000000" w:themeColor="text1"/>
          <w:sz w:val="16"/>
          <w:szCs w:val="16"/>
        </w:rPr>
      </w:pPr>
      <w:r w:rsidRPr="00E93F40">
        <w:rPr>
          <w:rStyle w:val="af0"/>
          <w:i w:val="0"/>
          <w:color w:val="000000" w:themeColor="text1"/>
          <w:sz w:val="16"/>
          <w:szCs w:val="16"/>
        </w:rPr>
        <w:t>Начальник 8 сектора 3 управления Нейланд</w:t>
      </w:r>
    </w:p>
    <w:p w14:paraId="4C73BE18" w14:textId="77777777" w:rsidR="007E7FF2" w:rsidRPr="00E93F40" w:rsidRDefault="007E7FF2"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0F50847A" w14:textId="77B314E4"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—1074.</w:t>
      </w:r>
    </w:p>
    <w:p w14:paraId="1EF6E310" w14:textId="5101E6BD"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—1009.</w:t>
      </w:r>
    </w:p>
    <w:p w14:paraId="00718CC5" w14:textId="77777777"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rPr>
        <w:t>ГА РФ. Ф. Р-8418. Оп. 5. Д. 163. Л. 160. Подлинник.</w:t>
      </w:r>
    </w:p>
    <w:p w14:paraId="1F321EA3" w14:textId="3041D9AD"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5. Д. 163. Л. 160. Подлинник. </w:t>
      </w:r>
    </w:p>
    <w:p w14:paraId="60CE081D" w14:textId="1D0BB458"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601-602 (12545).</w:t>
      </w:r>
    </w:p>
    <w:p w14:paraId="5B1A2F04" w14:textId="77777777" w:rsidR="007E7FF2" w:rsidRPr="00E93F40" w:rsidRDefault="007E7FF2" w:rsidP="00E93F40">
      <w:pPr>
        <w:spacing w:after="0" w:line="240" w:lineRule="auto"/>
        <w:jc w:val="both"/>
        <w:rPr>
          <w:rFonts w:ascii="Times New Roman" w:hAnsi="Times New Roman"/>
          <w:color w:val="000000" w:themeColor="text1"/>
          <w:sz w:val="16"/>
          <w:szCs w:val="16"/>
        </w:rPr>
      </w:pPr>
    </w:p>
    <w:p w14:paraId="168A92F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года начальник НИИ ВВС Бузанов писал начальнику ВВС Наумову, зам. начальника ВВС Меженинову:</w:t>
      </w:r>
    </w:p>
    <w:p w14:paraId="5D34870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Справка о работах КБ Гроховского</w:t>
      </w:r>
    </w:p>
    <w:p w14:paraId="432E4448"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из образцов намеченных зам. наркома РВС к серийному заказу фактически предъявлено, испытано и одобрено.</w:t>
      </w:r>
    </w:p>
    <w:p w14:paraId="60FE655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Предъявлено на испытания:</w:t>
      </w:r>
    </w:p>
    <w:p w14:paraId="1A824C4B"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 парашют к автоматической кабине (Г5) – испытан, признан негодным для принятия на снабжение.</w:t>
      </w:r>
    </w:p>
    <w:p w14:paraId="13B587A1"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Транспортный мешок для деформирующихся грузов (Г3) – испытан, дан положительный отзыв, принят на снабжение и в 1931 году сдан в серийное производство в количестве 1000 штук.</w:t>
      </w:r>
    </w:p>
    <w:p w14:paraId="3620EFAD"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Транспортный парашют (Г2) для сбрасывания литературы – испытан, признан годным ПУРом, в 1931 году был дан заказ парашютной фабрике на 100 штук.</w:t>
      </w:r>
    </w:p>
    <w:p w14:paraId="28977E9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Остальные предметы, намеченные зам. наркома РВС к серийному заказу, как-то: автоматические кабины, авиабус грузовой на 1 тонну (Г45), авиабус трехместный, парашютная установка для сбрасывания мотоциклов, парашютная площадка для сбрасывания велосипедов, картонажный сбрасыватель винтовок (Г52) – к гос. испытаниям предъявлены не были и испытания их не производилось.</w:t>
      </w:r>
    </w:p>
    <w:p w14:paraId="56DF356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серийного заказа данные образцы с техописанием их Гроховским могут быть предъявлены, по его объяснению, к 1 февраля 1932 года.</w:t>
      </w:r>
    </w:p>
    <w:p w14:paraId="4C116BA4"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работ на 1931 год по темам и объектам. Его выполнение. Кто давал задания и финансировал.</w:t>
      </w:r>
    </w:p>
    <w:p w14:paraId="535B52A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работ Конструкторского Отдела Гроховского на 1931 год определен протоколом заседания у начальника ВВС от 6 марта 1931 года. (План и его выполнение в отдельно прилагаемой справке).</w:t>
      </w:r>
    </w:p>
    <w:p w14:paraId="717E0BC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B97E0D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ли предложения помимо Гроховского по воздушной пехоте и сколько их реализовано.</w:t>
      </w:r>
    </w:p>
    <w:p w14:paraId="5C985285"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 году в июне был испытан транспортный прибор системы Благина для сбрасывания разного рода вооружения. Прибор был принят на снабжение и заказана серия 100 штук.</w:t>
      </w:r>
    </w:p>
    <w:p w14:paraId="5AA292AE"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Десантная лодка Благина была испытана летом 1931 года, ввиду того, что парашют к этой лодке порвался – испытания были прекращены.</w:t>
      </w:r>
    </w:p>
    <w:p w14:paraId="29E1F94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Других предложений в НИИ не было.</w:t>
      </w:r>
    </w:p>
    <w:p w14:paraId="5D25BB8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…………………………..(6770).</w:t>
      </w:r>
    </w:p>
    <w:p w14:paraId="0B9787C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Справка о выполнении плана работ конструкторского отдела Гроховского за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7513"/>
      </w:tblGrid>
      <w:tr w:rsidR="00DA227A" w:rsidRPr="00E93F40" w14:paraId="48CD0F3C" w14:textId="77777777">
        <w:tc>
          <w:tcPr>
            <w:tcW w:w="2943" w:type="dxa"/>
          </w:tcPr>
          <w:p w14:paraId="4F419CF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 парашют (Г40), индивидуальный для люльки.</w:t>
            </w:r>
          </w:p>
        </w:tc>
        <w:tc>
          <w:tcPr>
            <w:tcW w:w="7513" w:type="dxa"/>
          </w:tcPr>
          <w:p w14:paraId="232E786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Проведены гос. испытания, признан непригодным для принятия на снабжение. Изготовлена серия в количестве 100 штук, которая использована для демонстрации в Москве и Ленинграде, где произведен 71 прыжок, за исключением одного случая (парашют раскрывался своевременно, но с высоты 800 м). Сбрасывание производилось минимально с высоты 850 м. Решение начальника НИИ по акту испытания на парашюты -–предложить Гроховскому в новых опытных образцах устранить отмеченный дефект, после чего заказать серию.</w:t>
            </w:r>
          </w:p>
        </w:tc>
      </w:tr>
      <w:tr w:rsidR="00DA227A" w:rsidRPr="00E93F40" w14:paraId="4C3A641A" w14:textId="77777777">
        <w:tc>
          <w:tcPr>
            <w:tcW w:w="2943" w:type="dxa"/>
          </w:tcPr>
          <w:p w14:paraId="7DCE3D2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Грузовой картонажный выбрасыватель для винтовок (Г52).</w:t>
            </w:r>
          </w:p>
        </w:tc>
        <w:tc>
          <w:tcPr>
            <w:tcW w:w="7513" w:type="dxa"/>
          </w:tcPr>
          <w:p w14:paraId="6C0CB82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предъявлен не был. Гроховским испытывался около 15 раз и по его заявлению давал положительные результаты. Был использован на Ленинградских маневрах.</w:t>
            </w:r>
          </w:p>
          <w:p w14:paraId="3F0209A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Аналогичный грузовой картонажный выбрасыватель под названием Г2, приспособленный для сбрасывания литературы прошел гос. испытания, признан удовлетворительным, принят на снабжение ПУРом и заказан на парашютной фабрике в 1931 году в количестве 100 штук. Заказ еще не выполнен.</w:t>
            </w:r>
          </w:p>
        </w:tc>
      </w:tr>
      <w:tr w:rsidR="00DA227A" w:rsidRPr="00E93F40" w14:paraId="56F3B64D" w14:textId="77777777">
        <w:tc>
          <w:tcPr>
            <w:tcW w:w="2943" w:type="dxa"/>
          </w:tcPr>
          <w:p w14:paraId="771F180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Обмундирование для воздушной пехоты (Г55).</w:t>
            </w:r>
          </w:p>
        </w:tc>
        <w:tc>
          <w:tcPr>
            <w:tcW w:w="7513" w:type="dxa"/>
          </w:tcPr>
          <w:p w14:paraId="7EE8C10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проводились одновременно с десантным парашютом. Оценка дана неудовлетворительная. Гроховским изготовлено около 100 штук, производилось неоднократное сбрасывание (71).</w:t>
            </w:r>
          </w:p>
          <w:p w14:paraId="4242A56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F40C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Расхождение в оценке не с точки зрения, а с точки зрения приспособления к сезонным работам – зимним, летним и индивидуальной подгонки.</w:t>
            </w:r>
          </w:p>
        </w:tc>
      </w:tr>
      <w:tr w:rsidR="00DA227A" w:rsidRPr="00E93F40" w14:paraId="53D2F1D3" w14:textId="77777777">
        <w:tc>
          <w:tcPr>
            <w:tcW w:w="2943" w:type="dxa"/>
          </w:tcPr>
          <w:p w14:paraId="5EA59CC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вооруженного автомобиля (Г38).</w:t>
            </w:r>
          </w:p>
        </w:tc>
        <w:tc>
          <w:tcPr>
            <w:tcW w:w="7513" w:type="dxa"/>
          </w:tcPr>
          <w:p w14:paraId="127CABA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предъявлена не была. Один опытный образец сбрасывался пять раз и другой опытный образец – 3 раза. Один случай неудачного падения.</w:t>
            </w:r>
          </w:p>
        </w:tc>
      </w:tr>
      <w:tr w:rsidR="00DA227A" w:rsidRPr="00E93F40" w14:paraId="6317F8E2" w14:textId="77777777">
        <w:tc>
          <w:tcPr>
            <w:tcW w:w="2943" w:type="dxa"/>
          </w:tcPr>
          <w:p w14:paraId="5E940DA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мотоциклов.</w:t>
            </w:r>
          </w:p>
        </w:tc>
        <w:tc>
          <w:tcPr>
            <w:tcW w:w="7513" w:type="dxa"/>
          </w:tcPr>
          <w:p w14:paraId="70DCD65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предъявлена не была. Выполнено 2 образца. Производились сбрасывания, по словам Гроховского, 3 раза. Подробной оценки о скорости снижения и состоянии материальной части после сбрасывания в НИИ не имеется.</w:t>
            </w:r>
          </w:p>
        </w:tc>
      </w:tr>
      <w:tr w:rsidR="00DA227A" w:rsidRPr="00E93F40" w14:paraId="0A28E33D" w14:textId="77777777">
        <w:tc>
          <w:tcPr>
            <w:tcW w:w="2943" w:type="dxa"/>
          </w:tcPr>
          <w:p w14:paraId="29B3ED5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орудий на парашюте.</w:t>
            </w:r>
          </w:p>
        </w:tc>
        <w:tc>
          <w:tcPr>
            <w:tcW w:w="7513" w:type="dxa"/>
          </w:tcPr>
          <w:p w14:paraId="76A3EF8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предъявлена не была. Изготовлено 2 опытных образца. Производились сбрасывания в Москве и Ленинграде. По словам Гроховского произведено сбрасываний 76 мм полевого орудия – 5 раз и 76 мм горного орудия – 3 раза. В одном случае сбрасывания была поломка колеса. Подробных данных о результатах в смысле скорости снижения, центровки и т.д. в НИИ не имеется.</w:t>
            </w:r>
          </w:p>
        </w:tc>
      </w:tr>
      <w:tr w:rsidR="00DA227A" w:rsidRPr="00E93F40" w14:paraId="57335055" w14:textId="77777777">
        <w:tc>
          <w:tcPr>
            <w:tcW w:w="2943" w:type="dxa"/>
          </w:tcPr>
          <w:p w14:paraId="5DA262D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Подрыльный выбрасыватель красноармейцев (Г39). Люлька.</w:t>
            </w:r>
          </w:p>
        </w:tc>
        <w:tc>
          <w:tcPr>
            <w:tcW w:w="7513" w:type="dxa"/>
          </w:tcPr>
          <w:p w14:paraId="39B7B1F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испытаний не производилось. Аэродинамические свойства самолета с люльками исследованы не были. Люльки изготовлены в количестве 50 штук. Производилось несколько демонстраций. Подробной оценки состояния и качества люлек в НИИ не имеется. В настоящее время передается модель ТБ1 с люльками для продувки в ЦАГИ.</w:t>
            </w:r>
          </w:p>
        </w:tc>
      </w:tr>
      <w:tr w:rsidR="00DA227A" w:rsidRPr="00E93F40" w14:paraId="700306A5" w14:textId="77777777">
        <w:tc>
          <w:tcPr>
            <w:tcW w:w="2943" w:type="dxa"/>
          </w:tcPr>
          <w:p w14:paraId="669DB38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Подсамолетные водяные и бензиновые баки.</w:t>
            </w:r>
          </w:p>
        </w:tc>
        <w:tc>
          <w:tcPr>
            <w:tcW w:w="7513" w:type="dxa"/>
          </w:tcPr>
          <w:p w14:paraId="4AFD3C6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Алюминиевые баки образца 1930 года прошли гос. испытания, признаны удовлетворительными, приняты на снабжение. Баки образца 1931 года заказаны в серии в количестве 500 штук.</w:t>
            </w:r>
          </w:p>
        </w:tc>
      </w:tr>
      <w:tr w:rsidR="00DA227A" w:rsidRPr="00E93F40" w14:paraId="091FFE39" w14:textId="77777777">
        <w:tc>
          <w:tcPr>
            <w:tcW w:w="2943" w:type="dxa"/>
          </w:tcPr>
          <w:p w14:paraId="3F22CFD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Жироскопический парашют с лопастями (Г55).</w:t>
            </w:r>
          </w:p>
        </w:tc>
        <w:tc>
          <w:tcPr>
            <w:tcW w:w="7513" w:type="dxa"/>
          </w:tcPr>
          <w:p w14:paraId="358D4F1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Экспериментальная работа выполнена. Положительных результатов образец не дал. Конструктор эту работу прекратил.</w:t>
            </w:r>
          </w:p>
        </w:tc>
      </w:tr>
      <w:tr w:rsidR="00DA227A" w:rsidRPr="00E93F40" w14:paraId="068234F2" w14:textId="77777777">
        <w:tc>
          <w:tcPr>
            <w:tcW w:w="2943" w:type="dxa"/>
          </w:tcPr>
          <w:p w14:paraId="2B68948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Авиабусы для 5 человек (Г45).</w:t>
            </w:r>
          </w:p>
        </w:tc>
        <w:tc>
          <w:tcPr>
            <w:tcW w:w="7513" w:type="dxa"/>
          </w:tcPr>
          <w:p w14:paraId="6616748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предъявлен не был. Сбрасывания Гроховским производились 5 раз, в том числе один раз с людьми. Данных о состоянии материальной части после сбрасывания в НИИ не имеется.</w:t>
            </w:r>
          </w:p>
        </w:tc>
      </w:tr>
      <w:tr w:rsidR="00DA227A" w:rsidRPr="00E93F40" w14:paraId="3C37D21F" w14:textId="77777777">
        <w:tc>
          <w:tcPr>
            <w:tcW w:w="2943" w:type="dxa"/>
          </w:tcPr>
          <w:p w14:paraId="4C35D4B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3-х местный.</w:t>
            </w:r>
          </w:p>
        </w:tc>
        <w:tc>
          <w:tcPr>
            <w:tcW w:w="7513" w:type="dxa"/>
          </w:tcPr>
          <w:p w14:paraId="482E888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предъявлен не был. Сбрасывания Гроховским производились 5 раз. Данных о результатах сбрасывания в НИИ не имеется.</w:t>
            </w:r>
          </w:p>
        </w:tc>
      </w:tr>
      <w:tr w:rsidR="00DA227A" w:rsidRPr="00E93F40" w14:paraId="4EC03DE9" w14:textId="77777777">
        <w:tc>
          <w:tcPr>
            <w:tcW w:w="2943" w:type="dxa"/>
          </w:tcPr>
          <w:p w14:paraId="4484C28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12-ти местный.</w:t>
            </w:r>
          </w:p>
        </w:tc>
        <w:tc>
          <w:tcPr>
            <w:tcW w:w="7513" w:type="dxa"/>
          </w:tcPr>
          <w:p w14:paraId="3426C78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Находится в постройке в количестве 10 штук.</w:t>
            </w:r>
          </w:p>
        </w:tc>
      </w:tr>
      <w:tr w:rsidR="00DA227A" w:rsidRPr="00E93F40" w14:paraId="367E3A4F" w14:textId="77777777">
        <w:tc>
          <w:tcPr>
            <w:tcW w:w="2943" w:type="dxa"/>
          </w:tcPr>
          <w:p w14:paraId="4013E74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Десантные аэросани (Г47).</w:t>
            </w:r>
          </w:p>
        </w:tc>
        <w:tc>
          <w:tcPr>
            <w:tcW w:w="7513" w:type="dxa"/>
          </w:tcPr>
          <w:p w14:paraId="569BEA7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образец не выполнен.</w:t>
            </w:r>
          </w:p>
        </w:tc>
      </w:tr>
      <w:tr w:rsidR="00DA227A" w:rsidRPr="00E93F40" w14:paraId="3F562F91" w14:textId="77777777">
        <w:tc>
          <w:tcPr>
            <w:tcW w:w="2943" w:type="dxa"/>
          </w:tcPr>
          <w:p w14:paraId="238FBE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Беспарашютный грузосбрасыватель.</w:t>
            </w:r>
          </w:p>
        </w:tc>
        <w:tc>
          <w:tcPr>
            <w:tcW w:w="7513" w:type="dxa"/>
          </w:tcPr>
          <w:p w14:paraId="5C80414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образец не выполнен.</w:t>
            </w:r>
          </w:p>
        </w:tc>
      </w:tr>
      <w:tr w:rsidR="00DA227A" w:rsidRPr="00E93F40" w14:paraId="38F13E31" w14:textId="77777777">
        <w:tc>
          <w:tcPr>
            <w:tcW w:w="2943" w:type="dxa"/>
          </w:tcPr>
          <w:p w14:paraId="686BAC8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Десантная мотолодка (Г48).</w:t>
            </w:r>
          </w:p>
        </w:tc>
        <w:tc>
          <w:tcPr>
            <w:tcW w:w="7513" w:type="dxa"/>
          </w:tcPr>
          <w:p w14:paraId="05C6DBF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образец находится в постройке.</w:t>
            </w:r>
          </w:p>
        </w:tc>
      </w:tr>
      <w:tr w:rsidR="00DA227A" w:rsidRPr="00E93F40" w14:paraId="6A867CF0" w14:textId="77777777">
        <w:tc>
          <w:tcPr>
            <w:tcW w:w="2943" w:type="dxa"/>
          </w:tcPr>
          <w:p w14:paraId="19EB9EC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для взятия красноармейцев с земли (Г53).</w:t>
            </w:r>
          </w:p>
        </w:tc>
        <w:tc>
          <w:tcPr>
            <w:tcW w:w="7513" w:type="dxa"/>
          </w:tcPr>
          <w:p w14:paraId="7F368B2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данным Гроховского находится в производстве.</w:t>
            </w:r>
          </w:p>
        </w:tc>
      </w:tr>
      <w:tr w:rsidR="00DA227A" w:rsidRPr="00E93F40" w14:paraId="76910CC8" w14:textId="77777777">
        <w:tc>
          <w:tcPr>
            <w:tcW w:w="2943" w:type="dxa"/>
          </w:tcPr>
          <w:p w14:paraId="4473EE8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Транспортный мешок для сбрасывания деформирующихся грузов Г57, он же Г3.</w:t>
            </w:r>
          </w:p>
        </w:tc>
        <w:tc>
          <w:tcPr>
            <w:tcW w:w="7513" w:type="dxa"/>
          </w:tcPr>
          <w:p w14:paraId="2E93C8F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 произведены. Результаты получены удовлетворительные. Признан годным для снабжения. Дан серийный заказ на 10 штук.</w:t>
            </w:r>
          </w:p>
        </w:tc>
      </w:tr>
      <w:tr w:rsidR="00DA227A" w:rsidRPr="00E93F40" w14:paraId="0231A056" w14:textId="77777777">
        <w:tc>
          <w:tcPr>
            <w:tcW w:w="2943" w:type="dxa"/>
          </w:tcPr>
          <w:p w14:paraId="35A4542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Грузовой парашют для автомобилей, 76 мм полевых и 76 мм горных орудий.</w:t>
            </w:r>
          </w:p>
        </w:tc>
        <w:tc>
          <w:tcPr>
            <w:tcW w:w="7513" w:type="dxa"/>
          </w:tcPr>
          <w:p w14:paraId="7C3E6EE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Образцы изготовлены. Применялись Гроховским в действии. Гос. испытаниям не подвергались.</w:t>
            </w:r>
          </w:p>
        </w:tc>
      </w:tr>
      <w:tr w:rsidR="00DA227A" w:rsidRPr="00E93F40" w14:paraId="1C8E540B" w14:textId="77777777">
        <w:tc>
          <w:tcPr>
            <w:tcW w:w="2943" w:type="dxa"/>
          </w:tcPr>
          <w:p w14:paraId="44E0C60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для сбрасывания танков (Г43).</w:t>
            </w:r>
          </w:p>
        </w:tc>
        <w:tc>
          <w:tcPr>
            <w:tcW w:w="7513" w:type="dxa"/>
          </w:tcPr>
          <w:p w14:paraId="7E18E82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не выполнена.</w:t>
            </w:r>
          </w:p>
        </w:tc>
      </w:tr>
      <w:tr w:rsidR="00DA227A" w:rsidRPr="00E93F40" w14:paraId="36A5BC83" w14:textId="77777777">
        <w:tc>
          <w:tcPr>
            <w:tcW w:w="2943" w:type="dxa"/>
          </w:tcPr>
          <w:p w14:paraId="1B3AEED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Раскидывание телефонного кабеля (Г54).</w:t>
            </w:r>
          </w:p>
        </w:tc>
        <w:tc>
          <w:tcPr>
            <w:tcW w:w="7513" w:type="dxa"/>
          </w:tcPr>
          <w:p w14:paraId="3EEA1EA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предъявлено не было. Гроховским опыты применения производились. Данных для оценки в НИИ не имеется.</w:t>
            </w:r>
          </w:p>
        </w:tc>
      </w:tr>
      <w:tr w:rsidR="00DA227A" w:rsidRPr="00E93F40" w14:paraId="2B6A7C52" w14:textId="77777777">
        <w:tc>
          <w:tcPr>
            <w:tcW w:w="2943" w:type="dxa"/>
          </w:tcPr>
          <w:p w14:paraId="0F3DC60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Термитный прожектор Титова.</w:t>
            </w:r>
          </w:p>
        </w:tc>
        <w:tc>
          <w:tcPr>
            <w:tcW w:w="7513" w:type="dxa"/>
          </w:tcPr>
          <w:p w14:paraId="4FE1FB1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w:t>
            </w:r>
          </w:p>
        </w:tc>
      </w:tr>
      <w:tr w:rsidR="00DA227A" w:rsidRPr="00E93F40" w14:paraId="732F669E" w14:textId="77777777">
        <w:tc>
          <w:tcPr>
            <w:tcW w:w="2943" w:type="dxa"/>
          </w:tcPr>
          <w:p w14:paraId="2F301C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Зажигательные подогревательные патроны Титова.</w:t>
            </w:r>
          </w:p>
        </w:tc>
        <w:tc>
          <w:tcPr>
            <w:tcW w:w="7513" w:type="dxa"/>
          </w:tcPr>
          <w:p w14:paraId="63D1657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Выполнены, получили удовлетворительную оценку. Дан серийный заказ на 500 штук.</w:t>
            </w:r>
          </w:p>
        </w:tc>
      </w:tr>
      <w:tr w:rsidR="00DA227A" w:rsidRPr="00E93F40" w14:paraId="7C88B242" w14:textId="77777777">
        <w:tc>
          <w:tcPr>
            <w:tcW w:w="2943" w:type="dxa"/>
          </w:tcPr>
          <w:p w14:paraId="7C809F0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Термитная грелка.</w:t>
            </w:r>
          </w:p>
        </w:tc>
        <w:tc>
          <w:tcPr>
            <w:tcW w:w="7513" w:type="dxa"/>
          </w:tcPr>
          <w:p w14:paraId="6D62A60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выполнена.</w:t>
            </w:r>
          </w:p>
        </w:tc>
      </w:tr>
      <w:tr w:rsidR="00DA227A" w:rsidRPr="00E93F40" w14:paraId="05A06FED" w14:textId="77777777">
        <w:tc>
          <w:tcPr>
            <w:tcW w:w="2943" w:type="dxa"/>
          </w:tcPr>
          <w:p w14:paraId="232B8C1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Огнеметная установка на самолете Титова.</w:t>
            </w:r>
          </w:p>
        </w:tc>
        <w:tc>
          <w:tcPr>
            <w:tcW w:w="7513" w:type="dxa"/>
          </w:tcPr>
          <w:p w14:paraId="58A9D01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не производились.</w:t>
            </w:r>
          </w:p>
        </w:tc>
      </w:tr>
      <w:tr w:rsidR="00DA227A" w:rsidRPr="00E93F40" w14:paraId="55CDE394" w14:textId="77777777">
        <w:tc>
          <w:tcPr>
            <w:tcW w:w="2943" w:type="dxa"/>
          </w:tcPr>
          <w:p w14:paraId="76F296B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Огнеметный самолет Титова.</w:t>
            </w:r>
          </w:p>
        </w:tc>
        <w:tc>
          <w:tcPr>
            <w:tcW w:w="7513" w:type="dxa"/>
          </w:tcPr>
          <w:p w14:paraId="538CA61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w:t>
            </w:r>
          </w:p>
        </w:tc>
      </w:tr>
      <w:tr w:rsidR="00DA227A" w:rsidRPr="00E93F40" w14:paraId="6D4A89EF" w14:textId="77777777">
        <w:tc>
          <w:tcPr>
            <w:tcW w:w="2943" w:type="dxa"/>
          </w:tcPr>
          <w:p w14:paraId="56A0895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Подогревательный мотор воздушного охлаждения Титова.</w:t>
            </w:r>
          </w:p>
        </w:tc>
        <w:tc>
          <w:tcPr>
            <w:tcW w:w="7513" w:type="dxa"/>
          </w:tcPr>
          <w:p w14:paraId="67C0DF7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Проведены испытания, результаты удовлетворительные, заказана и выполнена серия в 20 штук.</w:t>
            </w:r>
          </w:p>
        </w:tc>
      </w:tr>
      <w:tr w:rsidR="00DA227A" w:rsidRPr="00E93F40" w14:paraId="46673DFE" w14:textId="77777777">
        <w:tc>
          <w:tcPr>
            <w:tcW w:w="2943" w:type="dxa"/>
          </w:tcPr>
          <w:p w14:paraId="5F9A999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Бензиномер Титова.</w:t>
            </w:r>
          </w:p>
        </w:tc>
        <w:tc>
          <w:tcPr>
            <w:tcW w:w="7513" w:type="dxa"/>
          </w:tcPr>
          <w:p w14:paraId="4904561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Испытаниями признан неудовлетворительным.</w:t>
            </w:r>
          </w:p>
        </w:tc>
      </w:tr>
      <w:tr w:rsidR="00DA227A" w:rsidRPr="00E93F40" w14:paraId="3F35605E" w14:textId="77777777">
        <w:tc>
          <w:tcPr>
            <w:tcW w:w="2943" w:type="dxa"/>
          </w:tcPr>
          <w:p w14:paraId="01C2155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Вымпел самолета Титова.</w:t>
            </w:r>
          </w:p>
        </w:tc>
        <w:tc>
          <w:tcPr>
            <w:tcW w:w="7513" w:type="dxa"/>
          </w:tcPr>
          <w:p w14:paraId="0DBA4D5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w:t>
            </w:r>
          </w:p>
        </w:tc>
      </w:tr>
      <w:tr w:rsidR="00DA227A" w:rsidRPr="00E93F40" w14:paraId="1933C67B" w14:textId="77777777">
        <w:tc>
          <w:tcPr>
            <w:tcW w:w="2943" w:type="dxa"/>
          </w:tcPr>
          <w:p w14:paraId="7DBEC04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Радиогромкоговоритель Титова.</w:t>
            </w:r>
          </w:p>
        </w:tc>
        <w:tc>
          <w:tcPr>
            <w:tcW w:w="7513" w:type="dxa"/>
          </w:tcPr>
          <w:p w14:paraId="19E249B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 образец, признан неудовлетворительным.</w:t>
            </w:r>
          </w:p>
        </w:tc>
      </w:tr>
      <w:tr w:rsidR="00DA227A" w:rsidRPr="00E93F40" w14:paraId="1ED36BF4" w14:textId="77777777">
        <w:tc>
          <w:tcPr>
            <w:tcW w:w="2943" w:type="dxa"/>
          </w:tcPr>
          <w:p w14:paraId="725228F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Плоский парашют.</w:t>
            </w:r>
          </w:p>
        </w:tc>
        <w:tc>
          <w:tcPr>
            <w:tcW w:w="7513" w:type="dxa"/>
          </w:tcPr>
          <w:p w14:paraId="54FA3BC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образец в производстве.</w:t>
            </w:r>
          </w:p>
        </w:tc>
      </w:tr>
      <w:tr w:rsidR="00DA227A" w:rsidRPr="00E93F40" w14:paraId="7B95D931" w14:textId="77777777">
        <w:tc>
          <w:tcPr>
            <w:tcW w:w="2943" w:type="dxa"/>
          </w:tcPr>
          <w:p w14:paraId="2FE1276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Ампульный прибор под самолет Р5 и ТБ1.</w:t>
            </w:r>
          </w:p>
        </w:tc>
        <w:tc>
          <w:tcPr>
            <w:tcW w:w="7513" w:type="dxa"/>
          </w:tcPr>
          <w:p w14:paraId="6BB0E0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 в чертежах.</w:t>
            </w:r>
          </w:p>
        </w:tc>
      </w:tr>
      <w:tr w:rsidR="00DA227A" w:rsidRPr="00E93F40" w14:paraId="7E4C1918" w14:textId="77777777">
        <w:tc>
          <w:tcPr>
            <w:tcW w:w="2943" w:type="dxa"/>
          </w:tcPr>
          <w:p w14:paraId="3EBA36E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Дымовой прибор Лукина.</w:t>
            </w:r>
          </w:p>
        </w:tc>
        <w:tc>
          <w:tcPr>
            <w:tcW w:w="7513" w:type="dxa"/>
          </w:tcPr>
          <w:p w14:paraId="08D8C00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испытания поступил в июне 1931 года. До настоящего времени многочисленные переделки не дали положительных результатов. В январе будет испытан в последний раз для окончательного заключения.</w:t>
            </w:r>
          </w:p>
        </w:tc>
      </w:tr>
      <w:tr w:rsidR="00DA227A" w:rsidRPr="00E93F40" w14:paraId="5BD091D2" w14:textId="77777777">
        <w:tc>
          <w:tcPr>
            <w:tcW w:w="2943" w:type="dxa"/>
          </w:tcPr>
          <w:p w14:paraId="486BA94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Тележка под ВАПы и ДАПы.</w:t>
            </w:r>
          </w:p>
        </w:tc>
        <w:tc>
          <w:tcPr>
            <w:tcW w:w="7513" w:type="dxa"/>
          </w:tcPr>
          <w:p w14:paraId="6549D07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 по отделу земного оборудования выполнен.</w:t>
            </w:r>
          </w:p>
        </w:tc>
      </w:tr>
      <w:tr w:rsidR="00DA227A" w:rsidRPr="00E93F40" w14:paraId="1D09EBD0" w14:textId="77777777">
        <w:tc>
          <w:tcPr>
            <w:tcW w:w="2943" w:type="dxa"/>
          </w:tcPr>
          <w:p w14:paraId="6B76FE8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Дымовая установка Строева.</w:t>
            </w:r>
          </w:p>
        </w:tc>
        <w:tc>
          <w:tcPr>
            <w:tcW w:w="7513" w:type="dxa"/>
          </w:tcPr>
          <w:p w14:paraId="4F0F67B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выполнена.</w:t>
            </w:r>
          </w:p>
        </w:tc>
      </w:tr>
      <w:tr w:rsidR="00DA227A" w:rsidRPr="00E93F40" w14:paraId="4AB6EBB6" w14:textId="77777777">
        <w:tc>
          <w:tcPr>
            <w:tcW w:w="2943" w:type="dxa"/>
          </w:tcPr>
          <w:p w14:paraId="20A83D5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для проверки тахометров.</w:t>
            </w:r>
          </w:p>
        </w:tc>
        <w:tc>
          <w:tcPr>
            <w:tcW w:w="7513" w:type="dxa"/>
          </w:tcPr>
          <w:p w14:paraId="7146F87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w:t>
            </w:r>
          </w:p>
        </w:tc>
      </w:tr>
      <w:tr w:rsidR="00DA227A" w:rsidRPr="00E93F40" w14:paraId="4FE0621B" w14:textId="77777777">
        <w:tc>
          <w:tcPr>
            <w:tcW w:w="2943" w:type="dxa"/>
          </w:tcPr>
          <w:p w14:paraId="667D6FF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Колпак для слепого полета на самолетах ТБ1 и Р5.</w:t>
            </w:r>
          </w:p>
        </w:tc>
        <w:tc>
          <w:tcPr>
            <w:tcW w:w="7513" w:type="dxa"/>
          </w:tcPr>
          <w:p w14:paraId="753D688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 Принят на снабжение.</w:t>
            </w:r>
          </w:p>
        </w:tc>
      </w:tr>
      <w:tr w:rsidR="00DA227A" w:rsidRPr="00E93F40" w14:paraId="46AE8E6C" w14:textId="77777777">
        <w:tc>
          <w:tcPr>
            <w:tcW w:w="2943" w:type="dxa"/>
          </w:tcPr>
          <w:p w14:paraId="6E2075E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Ударная агитбомба Гроховского.</w:t>
            </w:r>
          </w:p>
        </w:tc>
        <w:tc>
          <w:tcPr>
            <w:tcW w:w="7513" w:type="dxa"/>
          </w:tcPr>
          <w:p w14:paraId="6E5825C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Опытные образцы изготовлены. Гос. испытаниям не подвергались. Сбрасывания демонстрировались и по заказу ПУРа изготовлено 100 штук.</w:t>
            </w:r>
          </w:p>
        </w:tc>
      </w:tr>
      <w:tr w:rsidR="00DA227A" w:rsidRPr="00E93F40" w14:paraId="425C79BD" w14:textId="77777777">
        <w:tc>
          <w:tcPr>
            <w:tcW w:w="2943" w:type="dxa"/>
          </w:tcPr>
          <w:p w14:paraId="319AAF8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Дистанционная агитбомба Гроховского.</w:t>
            </w:r>
          </w:p>
        </w:tc>
        <w:tc>
          <w:tcPr>
            <w:tcW w:w="7513" w:type="dxa"/>
          </w:tcPr>
          <w:p w14:paraId="164DD12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выполнена.</w:t>
            </w:r>
          </w:p>
        </w:tc>
      </w:tr>
      <w:tr w:rsidR="00DA227A" w:rsidRPr="00E93F40" w14:paraId="001EAD17" w14:textId="77777777">
        <w:tc>
          <w:tcPr>
            <w:tcW w:w="2943" w:type="dxa"/>
          </w:tcPr>
          <w:p w14:paraId="70B71B9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Агитшары конструкции Федорова.</w:t>
            </w:r>
          </w:p>
        </w:tc>
        <w:tc>
          <w:tcPr>
            <w:tcW w:w="7513" w:type="dxa"/>
          </w:tcPr>
          <w:p w14:paraId="3BA9E76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Выполнены. Гос. испытаний не было.</w:t>
            </w:r>
          </w:p>
        </w:tc>
      </w:tr>
      <w:tr w:rsidR="00DA227A" w:rsidRPr="00E93F40" w14:paraId="243DB17D" w14:textId="77777777">
        <w:tc>
          <w:tcPr>
            <w:tcW w:w="2943" w:type="dxa"/>
          </w:tcPr>
          <w:p w14:paraId="33E302F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Автоматическая кабина для залистования местности у неприятеля на одну тонну листовок при помощи тяжелого самолета.</w:t>
            </w:r>
          </w:p>
        </w:tc>
        <w:tc>
          <w:tcPr>
            <w:tcW w:w="7513" w:type="dxa"/>
          </w:tcPr>
          <w:p w14:paraId="26F51BF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выполнена.</w:t>
            </w:r>
          </w:p>
        </w:tc>
      </w:tr>
      <w:tr w:rsidR="00DA227A" w:rsidRPr="00E93F40" w14:paraId="6AA0D321" w14:textId="77777777">
        <w:tc>
          <w:tcPr>
            <w:tcW w:w="2943" w:type="dxa"/>
          </w:tcPr>
          <w:p w14:paraId="6DCEC01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Десантные шары.</w:t>
            </w:r>
          </w:p>
        </w:tc>
        <w:tc>
          <w:tcPr>
            <w:tcW w:w="7513" w:type="dxa"/>
          </w:tcPr>
          <w:p w14:paraId="2FABBDE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выполнены.</w:t>
            </w:r>
          </w:p>
        </w:tc>
      </w:tr>
      <w:tr w:rsidR="00DA227A" w:rsidRPr="00E93F40" w14:paraId="0BFBDD54" w14:textId="77777777">
        <w:tc>
          <w:tcPr>
            <w:tcW w:w="2943" w:type="dxa"/>
          </w:tcPr>
          <w:p w14:paraId="36D08A2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Залистование реки специальными листовками.</w:t>
            </w:r>
          </w:p>
        </w:tc>
        <w:tc>
          <w:tcPr>
            <w:tcW w:w="7513" w:type="dxa"/>
          </w:tcPr>
          <w:p w14:paraId="794FF87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tc>
      </w:tr>
      <w:tr w:rsidR="00DA227A" w:rsidRPr="00E93F40" w14:paraId="04FD3B2D" w14:textId="77777777">
        <w:tc>
          <w:tcPr>
            <w:tcW w:w="2943" w:type="dxa"/>
          </w:tcPr>
          <w:p w14:paraId="586688C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Летающий парашют для залистования местности у неприятеля.</w:t>
            </w:r>
          </w:p>
        </w:tc>
        <w:tc>
          <w:tcPr>
            <w:tcW w:w="7513" w:type="dxa"/>
          </w:tcPr>
          <w:p w14:paraId="709AFD8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не предъявлен. Гроховским демонстрировался.</w:t>
            </w:r>
          </w:p>
        </w:tc>
      </w:tr>
      <w:tr w:rsidR="00DA227A" w:rsidRPr="00E93F40" w14:paraId="66DB70C5" w14:textId="77777777">
        <w:tc>
          <w:tcPr>
            <w:tcW w:w="2943" w:type="dxa"/>
          </w:tcPr>
          <w:p w14:paraId="01D3EF1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Площадка для сбрасывания орудий на бреющем полете.</w:t>
            </w:r>
          </w:p>
        </w:tc>
        <w:tc>
          <w:tcPr>
            <w:tcW w:w="7513" w:type="dxa"/>
          </w:tcPr>
          <w:p w14:paraId="3A86F7C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Находится в изготовлении.</w:t>
            </w:r>
          </w:p>
        </w:tc>
      </w:tr>
      <w:tr w:rsidR="00DA227A" w:rsidRPr="00E93F40" w14:paraId="045EB101" w14:textId="77777777">
        <w:tc>
          <w:tcPr>
            <w:tcW w:w="2943" w:type="dxa"/>
          </w:tcPr>
          <w:p w14:paraId="0B82154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Автоматический выбрасыватель красноармейцев с АНТ-9.</w:t>
            </w:r>
          </w:p>
        </w:tc>
        <w:tc>
          <w:tcPr>
            <w:tcW w:w="7513" w:type="dxa"/>
          </w:tcPr>
          <w:p w14:paraId="1876105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данным Гроховского изготавливается в мастерских.</w:t>
            </w:r>
          </w:p>
        </w:tc>
      </w:tr>
      <w:tr w:rsidR="00DA227A" w:rsidRPr="00E93F40" w14:paraId="77ECFAFC" w14:textId="77777777">
        <w:tc>
          <w:tcPr>
            <w:tcW w:w="2943" w:type="dxa"/>
          </w:tcPr>
          <w:p w14:paraId="3FB9387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 кг реактивная мина Тверского.</w:t>
            </w:r>
          </w:p>
        </w:tc>
        <w:tc>
          <w:tcPr>
            <w:tcW w:w="7513" w:type="dxa"/>
          </w:tcPr>
          <w:p w14:paraId="3FB7596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образец есть. По данным Гроховского, в январе поступит на гос. испытания.</w:t>
            </w:r>
          </w:p>
        </w:tc>
      </w:tr>
      <w:tr w:rsidR="00DA227A" w:rsidRPr="00E93F40" w14:paraId="474F18EF" w14:textId="77777777">
        <w:tc>
          <w:tcPr>
            <w:tcW w:w="2943" w:type="dxa"/>
          </w:tcPr>
          <w:p w14:paraId="5965957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кг</w:t>
            </w:r>
          </w:p>
        </w:tc>
        <w:tc>
          <w:tcPr>
            <w:tcW w:w="7513" w:type="dxa"/>
          </w:tcPr>
          <w:p w14:paraId="2923390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проектировании.</w:t>
            </w:r>
          </w:p>
        </w:tc>
      </w:tr>
      <w:tr w:rsidR="00DA227A" w:rsidRPr="00E93F40" w14:paraId="27E86380" w14:textId="77777777">
        <w:tc>
          <w:tcPr>
            <w:tcW w:w="2943" w:type="dxa"/>
          </w:tcPr>
          <w:p w14:paraId="407C516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кг</w:t>
            </w:r>
          </w:p>
        </w:tc>
        <w:tc>
          <w:tcPr>
            <w:tcW w:w="7513" w:type="dxa"/>
          </w:tcPr>
          <w:p w14:paraId="7C4CC32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проектировании.</w:t>
            </w:r>
          </w:p>
        </w:tc>
      </w:tr>
    </w:tbl>
    <w:p w14:paraId="193DEA5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(6770, 67-70, 79-83).</w:t>
      </w:r>
    </w:p>
    <w:p w14:paraId="7754A27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EA71C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года ст. инспектор ВВС Можев писал начальнику НИИ ВВС:</w:t>
      </w:r>
    </w:p>
    <w:p w14:paraId="311C779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устного Вашего приказания 8 января 1932 года дать оценку работы опытных мастерских НИИ находящихся в ведении Гроховского сообщаю следующее:</w:t>
      </w:r>
    </w:p>
    <w:p w14:paraId="2C25164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5D478A3"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Качество выпуска продукции на точность не велика, так как видимо это не требует администрация мастерских по ходу работ.</w:t>
      </w:r>
    </w:p>
    <w:p w14:paraId="6324CCB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Учет и пропускная способность мастерских по заявлению зав. мастерских Пономарева до перехода на хозрасчет не велась как это требуют предприятия, находящиеся на хозрасчете. ………………………</w:t>
      </w:r>
    </w:p>
    <w:p w14:paraId="15CDAD7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Установленной научной системы в организации опытных мастерских как-то: по ведению учета работ, расходу материалов, определению станков, степени загрузки их, определению в целом плана работ пропускной способности не выявлено, как требуют это приказы РВС и УВВС. Все выполнялось по собственному опыту и собственной системой, в которой нет четкости и ясности.</w:t>
      </w:r>
    </w:p>
    <w:p w14:paraId="0E83ADA8"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Касаясь в целом работы и руководства Гроховского – одно можно сказать, что учет находящегося имущества стоит не на высоте, например: не заприходованы и не значатся мотоциклы Харлей Дэвидсон – 2 шт., автомобиль Форд 4-х местный, покрышки и т.д., несмотря на то, что все это эксплуатируется. Работа напоминает семейственность и безалаберность постановки дела в опытных мастерских и в 12 отделе.</w:t>
      </w:r>
    </w:p>
    <w:p w14:paraId="6CA9C53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Мне кажется для такой серьезной работы, нужно поставить людей с большим опытом и хорошим стажем и научной эрудицией, только при таких условиях может быть нормальная работа в опытных мастерских (6770, 38).</w:t>
      </w:r>
    </w:p>
    <w:p w14:paraId="47FEEDB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F2B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года врид. начальника УВВС Наумов писал письмо N 3/003сс председателю РВС.</w:t>
      </w:r>
    </w:p>
    <w:p w14:paraId="0F180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Докладываю, что Глававиапром"ом 1931 производственный год окончен с огромным недовыполнением задания по поставкам имущества для УВВС.</w:t>
      </w:r>
    </w:p>
    <w:p w14:paraId="28582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Заданная Правительством сравнительно небольшая программа, заводами выполнена всего лишь - по самолетам на 52%, а по моторам - на 50%. при чем по отдельным номентклатурам главнейшего имущества этот процент еще ниже. (3045,11).</w:t>
      </w:r>
    </w:p>
    <w:p w14:paraId="57FD90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908CC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57568E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45A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Политбюро ЦК ВКП(б) приняло решение о включении сведений о военной промышленности по всем основным показателям в общие итоги работы всей промышленности. Без этого результаты пятилетки и индустриализации были недостаточно высокими. Потом публиковать перестали и это позволяло определить объем выпуска. В начале 1937 опубликовали отчет без ВП, а в конце года план НКТП - вновь с ВП и масштаб был ясен (1566,45).</w:t>
      </w:r>
    </w:p>
    <w:p w14:paraId="7F490D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ЦУНХУ Госплана СССР итоги пятилетки в тяжелой промышленности опублико</w:t>
      </w:r>
      <w:r w:rsidRPr="00E93F40">
        <w:rPr>
          <w:rFonts w:ascii="Times New Roman" w:hAnsi="Times New Roman"/>
          <w:color w:val="000000" w:themeColor="text1"/>
          <w:sz w:val="16"/>
          <w:szCs w:val="16"/>
        </w:rPr>
        <w:softHyphen/>
        <w:t>вало, но тут опять возникла заминка: что делать с последующи</w:t>
      </w:r>
      <w:r w:rsidRPr="00E93F40">
        <w:rPr>
          <w:rFonts w:ascii="Times New Roman" w:hAnsi="Times New Roman"/>
          <w:color w:val="000000" w:themeColor="text1"/>
          <w:sz w:val="16"/>
          <w:szCs w:val="16"/>
        </w:rPr>
        <w:softHyphen/>
        <w:t>ми годовыми отчетами тяжелой промышленности, составленны</w:t>
      </w:r>
      <w:r w:rsidRPr="00E93F40">
        <w:rPr>
          <w:rFonts w:ascii="Times New Roman" w:hAnsi="Times New Roman"/>
          <w:color w:val="000000" w:themeColor="text1"/>
          <w:sz w:val="16"/>
          <w:szCs w:val="16"/>
        </w:rPr>
        <w:softHyphen/>
        <w:t>ми без включения в них сведений о военной промышленности, поскольку путем сопоставления ранее опубликованных сум</w:t>
      </w:r>
      <w:r w:rsidRPr="00E93F40">
        <w:rPr>
          <w:rFonts w:ascii="Times New Roman" w:hAnsi="Times New Roman"/>
          <w:color w:val="000000" w:themeColor="text1"/>
          <w:sz w:val="16"/>
          <w:szCs w:val="16"/>
        </w:rPr>
        <w:softHyphen/>
        <w:t>марных данных с данными без военной промышленности пол</w:t>
      </w:r>
      <w:r w:rsidRPr="00E93F40">
        <w:rPr>
          <w:rFonts w:ascii="Times New Roman" w:hAnsi="Times New Roman"/>
          <w:color w:val="000000" w:themeColor="text1"/>
          <w:sz w:val="16"/>
          <w:szCs w:val="16"/>
        </w:rPr>
        <w:softHyphen/>
        <w:t>учалась разница, показывающая долю военной промышленности в валовой продукции и капитальных вложениях Наркомата Тяже</w:t>
      </w:r>
      <w:r w:rsidRPr="00E93F40">
        <w:rPr>
          <w:rFonts w:ascii="Times New Roman" w:hAnsi="Times New Roman"/>
          <w:color w:val="000000" w:themeColor="text1"/>
          <w:sz w:val="16"/>
          <w:szCs w:val="16"/>
        </w:rPr>
        <w:softHyphen/>
        <w:t xml:space="preserve">лой Промышленности. В начале 1937 г. Отчетно-экономический сектор Наркомтяжпрома оказался в очень неловком положении, опубликовав отраслевую сводку стоимости продукции тяжелой промышленности без данных о военной промышленности, а 30 марта 1937 г. все советские газеты </w:t>
      </w:r>
      <w:r w:rsidRPr="00E93F40">
        <w:rPr>
          <w:rFonts w:ascii="Times New Roman" w:hAnsi="Times New Roman"/>
          <w:color w:val="000000" w:themeColor="text1"/>
          <w:sz w:val="16"/>
          <w:szCs w:val="16"/>
        </w:rPr>
        <w:lastRenderedPageBreak/>
        <w:t>опубликовали контрольные цифры годового плана Наркомтяжпрома с включением в общую сумму стоимость продукции военной промышленности. Таким обра</w:t>
      </w:r>
      <w:r w:rsidRPr="00E93F40">
        <w:rPr>
          <w:rFonts w:ascii="Times New Roman" w:hAnsi="Times New Roman"/>
          <w:color w:val="000000" w:themeColor="text1"/>
          <w:sz w:val="16"/>
          <w:szCs w:val="16"/>
        </w:rPr>
        <w:softHyphen/>
        <w:t>зом тот, кто хотел составить представление о масштабах советско</w:t>
      </w:r>
      <w:r w:rsidRPr="00E93F40">
        <w:rPr>
          <w:rFonts w:ascii="Times New Roman" w:hAnsi="Times New Roman"/>
          <w:color w:val="000000" w:themeColor="text1"/>
          <w:sz w:val="16"/>
          <w:szCs w:val="16"/>
        </w:rPr>
        <w:softHyphen/>
        <w:t>го военно-промышленного производства, свой интерес удовлетво</w:t>
      </w:r>
      <w:r w:rsidRPr="00E93F40">
        <w:rPr>
          <w:rFonts w:ascii="Times New Roman" w:hAnsi="Times New Roman"/>
          <w:color w:val="000000" w:themeColor="text1"/>
          <w:sz w:val="16"/>
          <w:szCs w:val="16"/>
        </w:rPr>
        <w:softHyphen/>
        <w:t>рял (1566,45).</w:t>
      </w:r>
    </w:p>
    <w:p w14:paraId="308ACF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4F4FA9" w14:textId="64CB0B2F" w:rsidR="002752A3" w:rsidRPr="00E93F40" w:rsidRDefault="002752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г., учитывая, что по мере приближения</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даты</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обнародования в печати итогов выполнения 1-го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пятилетнего плана возникла довольно курьезная ситуация: из-за отсутствия в отчетах сведений о военной промышленности могла исказиться общая картина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индустриализации, Политбюро ЦК ВКП (б) приняло решение включить сведения о военной промышленности по всем основным показателям в общие итоги работы всей промышленности Советского Союза. ЦУНХУ Госплана СССР итоги 1-й пятилетки в тяжелой промышленности опубликовал. Но тут опять возникла заминка. Что делать с последующими годовыми отчетами тяжелой промышленности,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составленных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без включения в них сведений о военной промышленности? Путем сопоставления ранее опубликованных суммарных данных с данными без военной промышленности получалась разница, которая показывала долю военной промышленности в валовой продукции и капитальных вложениях (18389).</w:t>
      </w:r>
    </w:p>
    <w:p w14:paraId="75AFD85D" w14:textId="77777777" w:rsidR="002752A3" w:rsidRPr="00E93F40" w:rsidRDefault="002752A3" w:rsidP="00E93F40">
      <w:pPr>
        <w:spacing w:after="0" w:line="240" w:lineRule="auto"/>
        <w:jc w:val="both"/>
        <w:rPr>
          <w:rFonts w:ascii="Times New Roman" w:hAnsi="Times New Roman"/>
          <w:color w:val="000000" w:themeColor="text1"/>
          <w:sz w:val="16"/>
          <w:szCs w:val="16"/>
        </w:rPr>
      </w:pPr>
    </w:p>
    <w:p w14:paraId="760C5D0C" w14:textId="77777777" w:rsidR="007E7FF2" w:rsidRPr="00E93F40" w:rsidRDefault="007E7FF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8 января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№82. 11. О сводках роста промышленности ВСНХ и НКСнаба (ПБ от 15 декабря 1931 г., пр. № 80, п. 49/14) (Куйбышев, Орджоникидзе, Микоян, Пятаков и др.). 13. О передаче из ВСНХ СССР объединений и промышленных предприятий новым хозяйственным наркоматам (Орджоникидзе). 35. О тезисах к XVII партконференции: а) по отчетному докладу ВСНХ СССР о работе промышленности в 1931 г. и о перспективах на 1932 г. (Орджоникидзе); б) о второй пятилетке (Молотов, Сталин, Куйбышев и др.). Опросом членов ПБ: от 5 января 1932 г. 78/40. О новых наркоматах промышленности; от 8 января 1932 г. 102/64. О радиевом институте (ПБ от 26 ноября 1931 г., пр. № 78, п. 30/2г2). (Политбюро... Т. 2. С. 258, 259, 261) (12416).</w:t>
      </w:r>
    </w:p>
    <w:p w14:paraId="535A798A" w14:textId="77777777" w:rsidR="007E7FF2" w:rsidRPr="00E93F40" w:rsidRDefault="007E7FF2" w:rsidP="00E93F40">
      <w:pPr>
        <w:spacing w:after="0" w:line="240" w:lineRule="auto"/>
        <w:jc w:val="both"/>
        <w:rPr>
          <w:rFonts w:ascii="Times New Roman" w:hAnsi="Times New Roman"/>
          <w:color w:val="000000" w:themeColor="text1"/>
          <w:sz w:val="16"/>
          <w:szCs w:val="16"/>
          <w:u w:color="002060"/>
        </w:rPr>
      </w:pPr>
    </w:p>
    <w:p w14:paraId="50F5776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8 января 1932 </w:t>
      </w:r>
      <w:r w:rsidRPr="00E93F40">
        <w:rPr>
          <w:rFonts w:ascii="Times New Roman" w:hAnsi="Times New Roman"/>
          <w:color w:val="000000" w:themeColor="text1"/>
          <w:sz w:val="16"/>
          <w:szCs w:val="16"/>
        </w:rPr>
        <w:t>Политбюро ЦК ВКП (б) приняло решения: о привлечении к уголовной ответственности за представление неверных сведений о выполнении народнохозяйственных планов, о порядке и методах учета продукции промышленности, о создании комиссии для разработки вопросов о мероприятиях по развитию промышленности и сельского хозяйства Восточной Сибири; одобрило предложения комиссии о передаче предприятий ВСНХ новым хозяйственным наркоматам; предложило Наркомтяжпрому представлять в ЦК ВКП (б) сводки о выпуске продукции Нижегородского автозавода; поручило В. В. Куйбышеву представить к 12 января тезисы о второй пятилетке; утвердило комиссию по приемке Невского и Воскресенского химкомбинатов (12265).</w:t>
      </w:r>
    </w:p>
    <w:p w14:paraId="73F377B2" w14:textId="4B24675D" w:rsidR="007E7FF2"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17D15D03"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состоялось заседание ПБ (Протокол № 86)</w:t>
      </w:r>
    </w:p>
    <w:p w14:paraId="55EA0212"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Проект постановления по докладу ВЭО</w:t>
      </w:r>
    </w:p>
    <w:p w14:paraId="0D5E5F68"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5.XI.31 г., пр. № 73, п. 4-а, ПБ от 20.XI.31 г., пр. № 76, п.21, ПБ от 23.ХП.31 г., пр. № 81, п. 33).</w:t>
      </w:r>
    </w:p>
    <w:p w14:paraId="787EDDB6"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Орджоникидзе, Жуков, Антипов).</w:t>
      </w:r>
    </w:p>
    <w:p w14:paraId="360C9384"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НКВТ обеспечить размещение заказов на обо</w:t>
      </w:r>
      <w:r w:rsidRPr="00E93F40">
        <w:rPr>
          <w:rFonts w:ascii="Times New Roman" w:hAnsi="Times New Roman"/>
          <w:color w:val="000000" w:themeColor="text1"/>
          <w:sz w:val="16"/>
          <w:szCs w:val="16"/>
        </w:rPr>
        <w:softHyphen/>
        <w:t>рудование для Отдела автотракторного электрооборудования Электрозавода, согласно спецификации, представленной ВЭО на сумму 485.000 руб. в пределах годового и квартального кон</w:t>
      </w:r>
      <w:r w:rsidRPr="00E93F40">
        <w:rPr>
          <w:rFonts w:ascii="Times New Roman" w:hAnsi="Times New Roman"/>
          <w:color w:val="000000" w:themeColor="text1"/>
          <w:sz w:val="16"/>
          <w:szCs w:val="16"/>
        </w:rPr>
        <w:softHyphen/>
        <w:t>тингентов ВСНХ. Срок завоза согласовать т. Орджоникидзе с т.Розенгольцем</w:t>
      </w:r>
    </w:p>
    <w:p w14:paraId="1B84074C"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Обязать HKBT обеспечить размещение заказов на оборудование для электровозного корпуса завода "Динамо" на Европу, согласно спецификации, представленной ВЭО на сумму 1.800 тыс. руб. в счет утвержденных годо</w:t>
      </w:r>
      <w:r w:rsidRPr="00E93F40">
        <w:rPr>
          <w:rFonts w:ascii="Times New Roman" w:hAnsi="Times New Roman"/>
          <w:color w:val="000000" w:themeColor="text1"/>
          <w:sz w:val="16"/>
          <w:szCs w:val="16"/>
        </w:rPr>
        <w:softHyphen/>
        <w:t>вых и 1-го квартала контингентов ВСНХ. Срок завоза согласовать т. Орджоникидзе с т. Розеигольцем.</w:t>
      </w:r>
    </w:p>
    <w:p w14:paraId="3318A801" w14:textId="77777777"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Розеигольцу - "б","в"; Орджоникидзе, Жукову – все (23034).</w:t>
      </w:r>
    </w:p>
    <w:p w14:paraId="53F20D72" w14:textId="77777777" w:rsidR="00282CC6" w:rsidRPr="00E93F40" w:rsidRDefault="00282CC6" w:rsidP="00E93F40">
      <w:pPr>
        <w:spacing w:after="0" w:line="240" w:lineRule="auto"/>
        <w:jc w:val="both"/>
        <w:rPr>
          <w:rFonts w:ascii="Times New Roman" w:hAnsi="Times New Roman"/>
          <w:color w:val="000000" w:themeColor="text1"/>
          <w:sz w:val="16"/>
          <w:szCs w:val="16"/>
        </w:rPr>
      </w:pPr>
    </w:p>
    <w:p w14:paraId="5E43E578" w14:textId="77777777" w:rsidR="007E7FF2"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DC70588" w14:textId="77777777" w:rsidR="007E7FF2" w:rsidRPr="00E93F40" w:rsidRDefault="007E7FF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2C238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январе 1932 г. начальником ВВС Черноморского флота был издан приказ о перебазировании 66 эскадрильи из Севастополя на Красную речку, что под Хабаровском. Эскадрилья была сформирована 1929 г. на базе 64-го отдельного авиационного раз</w:t>
      </w:r>
      <w:r w:rsidRPr="00E93F40">
        <w:rPr>
          <w:rFonts w:ascii="Times New Roman" w:hAnsi="Times New Roman"/>
          <w:color w:val="000000" w:themeColor="text1"/>
          <w:sz w:val="16"/>
          <w:szCs w:val="16"/>
        </w:rPr>
        <w:softHyphen/>
        <w:t>ведывательного отряда ВВС. Она была вооружена самолетами МР-1 и «Савойя» С-62 бис.Здесь 66-я отдельная разведывательная авиаэскадрилья была переформирована в 111-й отдельный авиаотряд с подчинением Особой Дальневосточной Краснознаменной армии. Вскоре авиаотряд был перебазированна гидроаэродром ст. Океанская под Владивостоком и был переименован в 8-ю отдельную разведывательную авиаэскадрилью (Артемьев А.М. Морская авиация России. М.: Воениздат, 1996. С. 94).</w:t>
      </w:r>
    </w:p>
    <w:p w14:paraId="435C967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1933 г. 8-я отдельная разведывательная авиаэскадрилья переба</w:t>
      </w:r>
      <w:r w:rsidRPr="00E93F40">
        <w:rPr>
          <w:rFonts w:ascii="Times New Roman" w:hAnsi="Times New Roman"/>
          <w:color w:val="000000" w:themeColor="text1"/>
          <w:sz w:val="16"/>
          <w:szCs w:val="16"/>
        </w:rPr>
        <w:softHyphen/>
        <w:t>зируется на Камчатку с оперативным подчинением Камчатскому погранично</w:t>
      </w:r>
      <w:r w:rsidRPr="00E93F40">
        <w:rPr>
          <w:rFonts w:ascii="Times New Roman" w:hAnsi="Times New Roman"/>
          <w:color w:val="000000" w:themeColor="text1"/>
          <w:sz w:val="16"/>
          <w:szCs w:val="16"/>
        </w:rPr>
        <w:softHyphen/>
        <w:t>му отряду ОГПУ ДВК. Одиннадцать экипажей самолетов «Савойя» С-62 бис, МР-1 и Ш-2 совершили беспримерный по тому времени групповой перелет по маршруту Владивосток — Хабаровск — Николаевск-на-Амуре — Охотск — Магадан — Усть-Большерецк, и наконец приводнились на гидроаэродроме оз. Халактырка (ЦАПВ, ф. 777, оп. 1, ед.хр. 1; ф. 778, оп. 1, ед.хр. 1). И только 27 марта 1934 г. эскадрилья была официально передана из ВВС РККА в ОГПУ, а 22 мая 1934 г. эскадрилья, в соответствии с приказом, была включена в состав Пограничной охраны ОГПУ ДВК. 5 марта 1935 г. 8-ю от</w:t>
      </w:r>
      <w:r w:rsidRPr="00E93F40">
        <w:rPr>
          <w:rFonts w:ascii="Times New Roman" w:hAnsi="Times New Roman"/>
          <w:color w:val="000000" w:themeColor="text1"/>
          <w:sz w:val="16"/>
          <w:szCs w:val="16"/>
        </w:rPr>
        <w:softHyphen/>
        <w:t>дельную авиаэскадрилью переименовали во 2-ю отдельную морскую авиаэс</w:t>
      </w:r>
      <w:r w:rsidRPr="00E93F40">
        <w:rPr>
          <w:rFonts w:ascii="Times New Roman" w:hAnsi="Times New Roman"/>
          <w:color w:val="000000" w:themeColor="text1"/>
          <w:sz w:val="16"/>
          <w:szCs w:val="16"/>
        </w:rPr>
        <w:softHyphen/>
        <w:t>кадрилью Погранохраны НКВД СССР. Но официальным днем создания Кам</w:t>
      </w:r>
      <w:r w:rsidRPr="00E93F40">
        <w:rPr>
          <w:rFonts w:ascii="Times New Roman" w:hAnsi="Times New Roman"/>
          <w:color w:val="000000" w:themeColor="text1"/>
          <w:sz w:val="16"/>
          <w:szCs w:val="16"/>
        </w:rPr>
        <w:softHyphen/>
        <w:t>чатской авиационной пограничной части остался 27 марта 1934 г. Первым ко</w:t>
      </w:r>
      <w:r w:rsidRPr="00E93F40">
        <w:rPr>
          <w:rFonts w:ascii="Times New Roman" w:hAnsi="Times New Roman"/>
          <w:color w:val="000000" w:themeColor="text1"/>
          <w:sz w:val="16"/>
          <w:szCs w:val="16"/>
        </w:rPr>
        <w:softHyphen/>
        <w:t>мандиром пограничной эскадрильи до конца 1937 г. был Михаил Иванович Пармичев, бывший ее командиром еще во Владивостоке. В начале 1938 г. ко</w:t>
      </w:r>
      <w:r w:rsidRPr="00E93F40">
        <w:rPr>
          <w:rFonts w:ascii="Times New Roman" w:hAnsi="Times New Roman"/>
          <w:color w:val="000000" w:themeColor="text1"/>
          <w:sz w:val="16"/>
          <w:szCs w:val="16"/>
        </w:rPr>
        <w:softHyphen/>
        <w:t>мандиром эскадрильи стал капитан П. Соловьев.</w:t>
      </w:r>
    </w:p>
    <w:p w14:paraId="5206111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Являясь базовой авиационной частью, 2-я отдельная морская авиационная эскадрилья Погранохраны НКВД (2-я омаэ) дала жизнь другим пограничным авиационным отрядам дальневосточной границы. Так, еще 15 апреля 1933 г. тогда еще от 8-й омраэ на ст. Океанская выделился 2-й морской авиационный отряд в составе трех самолетов Ш-2, позднее дополненных тремя самолетами По-2. Командиром авиаотряда стал М. Репин. Вскоре он был переименован в 11-й отдельный авиационный отряд погранвойск. 15 апреля 1933 г. стало днем рождения Владивостокской пограничной авиационной части.</w:t>
      </w:r>
    </w:p>
    <w:p w14:paraId="4DC9F3A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из Камчатской авиаэскадрильи выделяется отдельное морское авиазвено самолетов Ш-2 с местом дислокации в Хабаровске. Первым коман</w:t>
      </w:r>
      <w:r w:rsidRPr="00E93F40">
        <w:rPr>
          <w:rFonts w:ascii="Times New Roman" w:hAnsi="Times New Roman"/>
          <w:color w:val="000000" w:themeColor="text1"/>
          <w:sz w:val="16"/>
          <w:szCs w:val="16"/>
        </w:rPr>
        <w:softHyphen/>
        <w:t>диром отдельного звена был назначен А. Шестов. Через некоторое время, до</w:t>
      </w:r>
      <w:r w:rsidRPr="00E93F40">
        <w:rPr>
          <w:rFonts w:ascii="Times New Roman" w:hAnsi="Times New Roman"/>
          <w:color w:val="000000" w:themeColor="text1"/>
          <w:sz w:val="16"/>
          <w:szCs w:val="16"/>
        </w:rPr>
        <w:softHyphen/>
        <w:t>бавив к нему звено самолетов По-2, из них будет сформирован 13-й отдель</w:t>
      </w:r>
      <w:r w:rsidRPr="00E93F40">
        <w:rPr>
          <w:rFonts w:ascii="Times New Roman" w:hAnsi="Times New Roman"/>
          <w:color w:val="000000" w:themeColor="text1"/>
          <w:sz w:val="16"/>
          <w:szCs w:val="16"/>
        </w:rPr>
        <w:softHyphen/>
        <w:t>ный авиационный отряд, первым командиром которого был назначен А. Го-речкин.</w:t>
      </w:r>
    </w:p>
    <w:p w14:paraId="5795EB4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на базе авиационного звена от Камчатской авиаэкадрильи форми</w:t>
      </w:r>
      <w:r w:rsidRPr="00E93F40">
        <w:rPr>
          <w:rFonts w:ascii="Times New Roman" w:hAnsi="Times New Roman"/>
          <w:color w:val="000000" w:themeColor="text1"/>
          <w:sz w:val="16"/>
          <w:szCs w:val="16"/>
        </w:rPr>
        <w:softHyphen/>
        <w:t>руется 12-й авиационный пограничный отряд в г. Александровске на о. Саха</w:t>
      </w:r>
      <w:r w:rsidRPr="00E93F40">
        <w:rPr>
          <w:rFonts w:ascii="Times New Roman" w:hAnsi="Times New Roman"/>
          <w:color w:val="000000" w:themeColor="text1"/>
          <w:sz w:val="16"/>
          <w:szCs w:val="16"/>
        </w:rPr>
        <w:softHyphen/>
        <w:t>лин с подчинением его начальнику 52-го Сахалинского пограничного отряда. Формированием этих четырех дальневосточных авиачастей с 1933 по 1937 г. занимался инспектор по авиации, а затем и начальник авиационного отделе</w:t>
      </w:r>
      <w:r w:rsidRPr="00E93F40">
        <w:rPr>
          <w:rFonts w:ascii="Times New Roman" w:hAnsi="Times New Roman"/>
          <w:color w:val="000000" w:themeColor="text1"/>
          <w:sz w:val="16"/>
          <w:szCs w:val="16"/>
        </w:rPr>
        <w:softHyphen/>
        <w:t>ния Тихоокеанского пограничного округа НКВД СССР майор Э. Лухт.</w:t>
      </w:r>
    </w:p>
    <w:p w14:paraId="2D7085F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к осени 1935 г. создаются отдельные авиационные эскадри</w:t>
      </w:r>
      <w:r w:rsidRPr="00E93F40">
        <w:rPr>
          <w:rFonts w:ascii="Times New Roman" w:hAnsi="Times New Roman"/>
          <w:color w:val="000000" w:themeColor="text1"/>
          <w:sz w:val="16"/>
          <w:szCs w:val="16"/>
        </w:rPr>
        <w:softHyphen/>
        <w:t>льи в подмосковном Быкове и Петропавловске-Камчатском, отдельные авиа</w:t>
      </w:r>
      <w:r w:rsidRPr="00E93F40">
        <w:rPr>
          <w:rFonts w:ascii="Times New Roman" w:hAnsi="Times New Roman"/>
          <w:color w:val="000000" w:themeColor="text1"/>
          <w:sz w:val="16"/>
          <w:szCs w:val="16"/>
        </w:rPr>
        <w:softHyphen/>
        <w:t>отряды в Грозном, Ростове-на-Дону, Нерчинске, на ст. Белая в Забайкалье, на Сахалине, Владивостоке, Хабаровске, Иркутске, Мурманске, Архангельске, а также отдельные авиазвенья в Новой Ладоге и бухте Провидения. Итого в составе пограничной авиации через 3 года после начала ее активного форми</w:t>
      </w:r>
      <w:r w:rsidRPr="00E93F40">
        <w:rPr>
          <w:rFonts w:ascii="Times New Roman" w:hAnsi="Times New Roman"/>
          <w:color w:val="000000" w:themeColor="text1"/>
          <w:sz w:val="16"/>
          <w:szCs w:val="16"/>
        </w:rPr>
        <w:softHyphen/>
        <w:t>рования были 2 отдельные авиаэскадрильи, 18 отдельных авиаотрядов и 2 от</w:t>
      </w:r>
      <w:r w:rsidRPr="00E93F40">
        <w:rPr>
          <w:rFonts w:ascii="Times New Roman" w:hAnsi="Times New Roman"/>
          <w:color w:val="000000" w:themeColor="text1"/>
          <w:sz w:val="16"/>
          <w:szCs w:val="16"/>
        </w:rPr>
        <w:softHyphen/>
        <w:t>дельных авиазвена. Анализ дислокации авиачастей в сентябре 1935 г. пока</w:t>
      </w:r>
      <w:r w:rsidRPr="00E93F40">
        <w:rPr>
          <w:rFonts w:ascii="Times New Roman" w:hAnsi="Times New Roman"/>
          <w:color w:val="000000" w:themeColor="text1"/>
          <w:sz w:val="16"/>
          <w:szCs w:val="16"/>
        </w:rPr>
        <w:softHyphen/>
        <w:t>зал, что из 22 соединений на дальневосточной границе было сосредоточено 7 частей; в восточной и западной Сибири — 4 авиачасти, в Средней Азии и Казахстане — 4 части, по одной авиачасти было придано Закавказью, Украи</w:t>
      </w:r>
      <w:r w:rsidRPr="00E93F40">
        <w:rPr>
          <w:rFonts w:ascii="Times New Roman" w:hAnsi="Times New Roman"/>
          <w:color w:val="000000" w:themeColor="text1"/>
          <w:sz w:val="16"/>
          <w:szCs w:val="16"/>
        </w:rPr>
        <w:softHyphen/>
        <w:t>не, Крыму, Белоруссии, Ленинградскому и Мурманскому пограничным окру</w:t>
      </w:r>
      <w:r w:rsidRPr="00E93F40">
        <w:rPr>
          <w:rFonts w:ascii="Times New Roman" w:hAnsi="Times New Roman"/>
          <w:color w:val="000000" w:themeColor="text1"/>
          <w:sz w:val="16"/>
          <w:szCs w:val="16"/>
        </w:rPr>
        <w:softHyphen/>
        <w:t>гам, 1-я отдельная авиаэскадрилья дислоцировалась под Москвой в Быкове и была резервом Главного управления пограничной и внутренней охраны НКВД СССР.</w:t>
      </w:r>
    </w:p>
    <w:p w14:paraId="50D0603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Отдельные авиационные эскадрильи по штату состояли из 3 авиаотрядов, которые подразделялись на авиазвенья, состоящие из 3 самолетов. Отдельные авиаотряды состояли из 3—4 авиазвеньев. Организационно отдельные авиаэскадрильи и авиаотряды входили в состав пограничных округов и в на</w:t>
      </w:r>
      <w:r w:rsidRPr="00E93F40">
        <w:rPr>
          <w:rFonts w:ascii="Times New Roman" w:hAnsi="Times New Roman"/>
          <w:color w:val="000000" w:themeColor="text1"/>
          <w:sz w:val="16"/>
          <w:szCs w:val="16"/>
        </w:rPr>
        <w:softHyphen/>
        <w:t>чальный момент формирования авиации погранвойск контролировались авиа</w:t>
      </w:r>
      <w:r w:rsidRPr="00E93F40">
        <w:rPr>
          <w:rFonts w:ascii="Times New Roman" w:hAnsi="Times New Roman"/>
          <w:color w:val="000000" w:themeColor="text1"/>
          <w:sz w:val="16"/>
          <w:szCs w:val="16"/>
        </w:rPr>
        <w:softHyphen/>
        <w:t>ционной инспекцией отдела вооружения Главного управления пограничных войск.</w:t>
      </w:r>
    </w:p>
    <w:p w14:paraId="650932F7" w14:textId="2A6F58C2"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количества авиачастей, самолетного парка, масштабов приме</w:t>
      </w:r>
      <w:r w:rsidRPr="00E93F40">
        <w:rPr>
          <w:rFonts w:ascii="Times New Roman" w:hAnsi="Times New Roman"/>
          <w:color w:val="000000" w:themeColor="text1"/>
          <w:sz w:val="16"/>
          <w:szCs w:val="16"/>
        </w:rPr>
        <w:softHyphen/>
        <w:t>нения авиации в охране границы, а также необходимость разработки докумен</w:t>
      </w:r>
      <w:r w:rsidRPr="00E93F40">
        <w:rPr>
          <w:rFonts w:ascii="Times New Roman" w:hAnsi="Times New Roman"/>
          <w:color w:val="000000" w:themeColor="text1"/>
          <w:sz w:val="16"/>
          <w:szCs w:val="16"/>
        </w:rPr>
        <w:softHyphen/>
        <w:t>тации по боевой подготовке, технико-эксплуатационной службы и материаль</w:t>
      </w:r>
      <w:r w:rsidRPr="00E93F40">
        <w:rPr>
          <w:rFonts w:ascii="Times New Roman" w:hAnsi="Times New Roman"/>
          <w:color w:val="000000" w:themeColor="text1"/>
          <w:sz w:val="16"/>
          <w:szCs w:val="16"/>
        </w:rPr>
        <w:softHyphen/>
        <w:t>но-техническому обеспечению авиации потребовало более квалифицирован</w:t>
      </w:r>
      <w:r w:rsidRPr="00E93F40">
        <w:rPr>
          <w:rFonts w:ascii="Times New Roman" w:hAnsi="Times New Roman"/>
          <w:color w:val="000000" w:themeColor="text1"/>
          <w:sz w:val="16"/>
          <w:szCs w:val="16"/>
        </w:rPr>
        <w:softHyphen/>
        <w:t>ного руководства ею. Включение в состав Главного управления пограничной и внутренней охраны (далее — ГУПВО) авиационных частей потребовало соот</w:t>
      </w:r>
      <w:r w:rsidRPr="00E93F40">
        <w:rPr>
          <w:rFonts w:ascii="Times New Roman" w:hAnsi="Times New Roman"/>
          <w:color w:val="000000" w:themeColor="text1"/>
          <w:sz w:val="16"/>
          <w:szCs w:val="16"/>
        </w:rPr>
        <w:softHyphen/>
        <w:t>ветствующей реорганизации системы управления путем создания в ней орга</w:t>
      </w:r>
      <w:r w:rsidRPr="00E93F40">
        <w:rPr>
          <w:rFonts w:ascii="Times New Roman" w:hAnsi="Times New Roman"/>
          <w:color w:val="000000" w:themeColor="text1"/>
          <w:sz w:val="16"/>
          <w:szCs w:val="16"/>
        </w:rPr>
        <w:softHyphen/>
        <w:t>на, призванного осуществлять общее руководство процессом строительства и боевой подготовки авиации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(12299).</w:t>
      </w:r>
    </w:p>
    <w:p w14:paraId="2CF52505" w14:textId="77777777" w:rsidR="007E7FF2" w:rsidRPr="00E93F40" w:rsidRDefault="007E7FF2" w:rsidP="00E93F40">
      <w:pPr>
        <w:spacing w:after="0" w:line="240" w:lineRule="auto"/>
        <w:jc w:val="both"/>
        <w:rPr>
          <w:rFonts w:ascii="Times New Roman" w:hAnsi="Times New Roman"/>
          <w:color w:val="000000" w:themeColor="text1"/>
          <w:sz w:val="16"/>
          <w:szCs w:val="16"/>
        </w:rPr>
      </w:pPr>
    </w:p>
    <w:p w14:paraId="5399EAE3" w14:textId="77777777" w:rsidR="00257404"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2D4D789" w14:textId="77777777" w:rsidR="00257404" w:rsidRPr="00E93F40" w:rsidRDefault="0025740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5D9123"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w:t>
      </w:r>
    </w:p>
    <w:p w14:paraId="0295DAEA" w14:textId="274F43B0"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82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49FBE566" w14:textId="13E60435"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8</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5F9C6235" w14:textId="7208A783"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30: О метрополитене</w:t>
      </w:r>
    </w:p>
    <w:p w14:paraId="0D70682B"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(Каганович, Булганин, Ротерт).</w:t>
      </w:r>
    </w:p>
    <w:p w14:paraId="2C58F617"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Утвердить предложению схему строительства линий метрополитена.</w:t>
      </w:r>
    </w:p>
    <w:p w14:paraId="6BE59A3B" w14:textId="5135EE2F"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МГК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и Моссовету представить в начале мая месяца на рассмотрение ЦК эскизный и технический проекты и смету строительства метрополитена. Привлечь к разработке проекта и строительству иностранную техническую помощь.</w:t>
      </w:r>
    </w:p>
    <w:p w14:paraId="625ACD61" w14:textId="1F257588"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Утвердить ассигнование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на строительство метрополитена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 тем, чтобы половина этой суммы была отпущена из средств Московской области, а вторая половина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из общегосударственного фонда.</w:t>
      </w:r>
    </w:p>
    <w:p w14:paraId="5085FD7F"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г) Необходимые строительные материалы обеспечить в порядке первоочередности, выделив специальный фонд материалов за счет общегосударственного фонда.</w:t>
      </w:r>
    </w:p>
    <w:p w14:paraId="3F5AC342" w14:textId="4875D3EF"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Срок окончания всей сети сократить с тем, чтобы окончить строительство метрополитена в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80197D1" w14:textId="038D761B"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 целях максимального сокращения импорта оборудования, предложить Президиуму ВСНХ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перебросить на строительство метрополитена часть оборудования с оканчивающихся новостроек, а также с Днепростроя. Обязать московские организации развернуть также производство оборудования на московских заводах.</w:t>
      </w:r>
    </w:p>
    <w:p w14:paraId="1029E26E" w14:textId="31074792"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31E03D99" w14:textId="46D47F0B"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Поручить СТО рассмотреть все заявки на закупку заграницей недостающего оборудования и оплату технической помощи и отпустить до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валюты.</w:t>
      </w:r>
    </w:p>
    <w:p w14:paraId="02A7F3CC"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00408B17"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Керженцеву, Кагановичу, Булганину.</w:t>
      </w:r>
    </w:p>
    <w:p w14:paraId="4724AAC1" w14:textId="77777777" w:rsidR="00E6540F" w:rsidRPr="00E93F40" w:rsidRDefault="00E654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(18120).</w:t>
      </w:r>
    </w:p>
    <w:p w14:paraId="64B77DD4" w14:textId="77777777" w:rsidR="00E6540F" w:rsidRPr="00E93F40" w:rsidRDefault="00E6540F" w:rsidP="00E93F40">
      <w:pPr>
        <w:spacing w:after="0" w:line="240" w:lineRule="auto"/>
        <w:jc w:val="both"/>
        <w:rPr>
          <w:rFonts w:ascii="Times New Roman" w:hAnsi="Times New Roman"/>
          <w:color w:val="000000" w:themeColor="text1"/>
          <w:sz w:val="16"/>
          <w:szCs w:val="16"/>
        </w:rPr>
      </w:pPr>
    </w:p>
    <w:p w14:paraId="6E632825" w14:textId="77777777" w:rsidR="002752A3" w:rsidRPr="00E93F40" w:rsidRDefault="002752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г. был отменен так называемый партмаксимум. До 1931 г. для членов партии действовал лимит доходов, который в Москве составлял около 300 руб. в месяц. Таким образом, члены партии на руководящих постах, — абстрагируясь от других привилегий, которыми они пользовались, — в материальном плане проигрывали своим беспартийным коллегам. Постановлением Центрального комитета ВКП(б) от 8 января 1932 г. устанавливались следующие нормативы денежных окладов руководящего состава: директорам металлургических заводов, крупных строек и предприятий с числом рабочих более 5 тыс. чел. назначался месячный оклад в 700 руб., прочим хозяйственным руководителям — от 600 до 650 руб. На практике эти нормы были вскоре превзойдены{1055} (18299).</w:t>
      </w:r>
    </w:p>
    <w:p w14:paraId="6D08167D" w14:textId="77777777" w:rsidR="002752A3" w:rsidRPr="00E93F40" w:rsidRDefault="002752A3" w:rsidP="00E93F40">
      <w:pPr>
        <w:spacing w:after="0" w:line="240" w:lineRule="auto"/>
        <w:jc w:val="both"/>
        <w:rPr>
          <w:rFonts w:ascii="Times New Roman" w:hAnsi="Times New Roman"/>
          <w:color w:val="000000" w:themeColor="text1"/>
          <w:sz w:val="16"/>
          <w:szCs w:val="16"/>
        </w:rPr>
      </w:pPr>
    </w:p>
    <w:p w14:paraId="6A53ADC6" w14:textId="77777777" w:rsidR="00257404" w:rsidRPr="00E93F40" w:rsidRDefault="00257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8 января</w:t>
      </w:r>
      <w:r w:rsidRPr="00E93F40">
        <w:rPr>
          <w:rFonts w:ascii="Times New Roman" w:hAnsi="Times New Roman"/>
          <w:color w:val="000000" w:themeColor="text1"/>
          <w:sz w:val="16"/>
          <w:szCs w:val="16"/>
        </w:rPr>
        <w:t xml:space="preserve"> в 1932 году служба наблюдения погоды в Ленинграде регистрирует рекордное для зимы поднятие воды в реке Неве - 227 см выше ординара (15003).</w:t>
      </w:r>
    </w:p>
    <w:p w14:paraId="273E6238" w14:textId="77777777" w:rsidR="00257404" w:rsidRPr="00E93F40" w:rsidRDefault="00257404" w:rsidP="00E93F40">
      <w:pPr>
        <w:spacing w:after="0" w:line="240" w:lineRule="auto"/>
        <w:jc w:val="both"/>
        <w:rPr>
          <w:rFonts w:ascii="Times New Roman" w:hAnsi="Times New Roman"/>
          <w:color w:val="000000" w:themeColor="text1"/>
          <w:sz w:val="16"/>
          <w:szCs w:val="16"/>
        </w:rPr>
      </w:pPr>
    </w:p>
    <w:p w14:paraId="1F4AB74B" w14:textId="77777777" w:rsidR="00257404"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0666D86" w14:textId="77777777" w:rsidR="00257404" w:rsidRPr="00E93F40" w:rsidRDefault="0025740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48466C6" w14:textId="77777777" w:rsidR="00257404" w:rsidRPr="00E93F40" w:rsidRDefault="00257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8 января</w:t>
      </w:r>
      <w:r w:rsidRPr="00E93F40">
        <w:rPr>
          <w:rFonts w:ascii="Times New Roman" w:hAnsi="Times New Roman"/>
          <w:color w:val="000000" w:themeColor="text1"/>
          <w:sz w:val="16"/>
          <w:szCs w:val="16"/>
        </w:rPr>
        <w:t xml:space="preserve"> в 1932 году первый полёт прототипа транспортного самолета «PZL-4», с регистрационным номером SP-AGY (компания «PZL», Польша). Самолет благополучно прошел испытания и осенью 1932 года передан авиакомпании PLL "LOT". В ходе эксплуатации самолета были выявлены серьезные недостатки и в 1937 году «PZL-4» был списан (15003).</w:t>
      </w:r>
    </w:p>
    <w:p w14:paraId="2667A381" w14:textId="77777777" w:rsidR="00257404" w:rsidRPr="00E93F40" w:rsidRDefault="00257404" w:rsidP="00E93F40">
      <w:pPr>
        <w:spacing w:after="0" w:line="240" w:lineRule="auto"/>
        <w:jc w:val="both"/>
        <w:rPr>
          <w:rFonts w:ascii="Times New Roman" w:hAnsi="Times New Roman"/>
          <w:color w:val="000000" w:themeColor="text1"/>
          <w:sz w:val="16"/>
          <w:szCs w:val="16"/>
        </w:rPr>
      </w:pPr>
    </w:p>
    <w:p w14:paraId="70F8631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3FDE09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9DD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января 1932 вышел приказ № 4/33 ГУАП:</w:t>
      </w:r>
    </w:p>
    <w:p w14:paraId="6A6BC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Вновь проектируемым заводам авиапрома впредь присвоить следующие номера: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DA227A" w:rsidRPr="00E93F40" w14:paraId="78F4AFC4" w14:textId="77777777">
        <w:tc>
          <w:tcPr>
            <w:tcW w:w="3757" w:type="dxa"/>
          </w:tcPr>
          <w:p w14:paraId="42D3B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 клапанов, поршневых колец и пальцев</w:t>
            </w:r>
          </w:p>
        </w:tc>
        <w:tc>
          <w:tcPr>
            <w:tcW w:w="3757" w:type="dxa"/>
          </w:tcPr>
          <w:p w14:paraId="4FAB7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757" w:type="dxa"/>
          </w:tcPr>
          <w:p w14:paraId="0005C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w:t>
            </w:r>
          </w:p>
        </w:tc>
      </w:tr>
      <w:tr w:rsidR="00DA227A" w:rsidRPr="00E93F40" w14:paraId="4E2E1682" w14:textId="77777777">
        <w:tc>
          <w:tcPr>
            <w:tcW w:w="3757" w:type="dxa"/>
          </w:tcPr>
          <w:p w14:paraId="5E07EF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 специальных самолетов</w:t>
            </w:r>
          </w:p>
        </w:tc>
        <w:tc>
          <w:tcPr>
            <w:tcW w:w="3757" w:type="dxa"/>
          </w:tcPr>
          <w:p w14:paraId="7189A3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Переяславль-Залесский</w:t>
            </w:r>
          </w:p>
        </w:tc>
        <w:tc>
          <w:tcPr>
            <w:tcW w:w="3757" w:type="dxa"/>
          </w:tcPr>
          <w:p w14:paraId="485A60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w:t>
            </w:r>
          </w:p>
        </w:tc>
      </w:tr>
      <w:tr w:rsidR="00DA227A" w:rsidRPr="00E93F40" w14:paraId="5A4F0D20" w14:textId="77777777">
        <w:tc>
          <w:tcPr>
            <w:tcW w:w="3757" w:type="dxa"/>
          </w:tcPr>
          <w:p w14:paraId="592268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моторный завод Райт-Циклон</w:t>
            </w:r>
          </w:p>
        </w:tc>
        <w:tc>
          <w:tcPr>
            <w:tcW w:w="3757" w:type="dxa"/>
          </w:tcPr>
          <w:p w14:paraId="18127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Новгород</w:t>
            </w:r>
          </w:p>
        </w:tc>
        <w:tc>
          <w:tcPr>
            <w:tcW w:w="3757" w:type="dxa"/>
          </w:tcPr>
          <w:p w14:paraId="18BB0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w:t>
            </w:r>
          </w:p>
        </w:tc>
      </w:tr>
      <w:tr w:rsidR="00DA227A" w:rsidRPr="00E93F40" w14:paraId="297619BC" w14:textId="77777777">
        <w:tc>
          <w:tcPr>
            <w:tcW w:w="3757" w:type="dxa"/>
          </w:tcPr>
          <w:p w14:paraId="25B76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 маслоамортизаторов и тормозных колес</w:t>
            </w:r>
          </w:p>
        </w:tc>
        <w:tc>
          <w:tcPr>
            <w:tcW w:w="3757" w:type="dxa"/>
          </w:tcPr>
          <w:p w14:paraId="085659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757" w:type="dxa"/>
          </w:tcPr>
          <w:p w14:paraId="73C36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w:t>
            </w:r>
          </w:p>
        </w:tc>
      </w:tr>
      <w:tr w:rsidR="00DA227A" w:rsidRPr="00E93F40" w14:paraId="6FEE4224" w14:textId="77777777">
        <w:tc>
          <w:tcPr>
            <w:tcW w:w="3757" w:type="dxa"/>
          </w:tcPr>
          <w:p w14:paraId="32C5FA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 металлических винтов</w:t>
            </w:r>
          </w:p>
        </w:tc>
        <w:tc>
          <w:tcPr>
            <w:tcW w:w="3757" w:type="dxa"/>
          </w:tcPr>
          <w:p w14:paraId="701B1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757" w:type="dxa"/>
          </w:tcPr>
          <w:p w14:paraId="5A7FB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w:t>
            </w:r>
          </w:p>
        </w:tc>
      </w:tr>
      <w:tr w:rsidR="00DA227A" w:rsidRPr="00E93F40" w14:paraId="56BFD57B" w14:textId="77777777">
        <w:tc>
          <w:tcPr>
            <w:tcW w:w="3757" w:type="dxa"/>
          </w:tcPr>
          <w:p w14:paraId="226C4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 моторный малых серий</w:t>
            </w:r>
          </w:p>
        </w:tc>
        <w:tc>
          <w:tcPr>
            <w:tcW w:w="3757" w:type="dxa"/>
          </w:tcPr>
          <w:p w14:paraId="2DFE3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Переяславль-Залесский</w:t>
            </w:r>
          </w:p>
        </w:tc>
        <w:tc>
          <w:tcPr>
            <w:tcW w:w="3757" w:type="dxa"/>
          </w:tcPr>
          <w:p w14:paraId="0C092A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w:t>
            </w:r>
          </w:p>
        </w:tc>
      </w:tr>
      <w:tr w:rsidR="00F821E3" w:rsidRPr="00E93F40" w14:paraId="744F4A9B" w14:textId="77777777">
        <w:tc>
          <w:tcPr>
            <w:tcW w:w="3757" w:type="dxa"/>
          </w:tcPr>
          <w:p w14:paraId="186DA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 самопусков</w:t>
            </w:r>
          </w:p>
        </w:tc>
        <w:tc>
          <w:tcPr>
            <w:tcW w:w="3757" w:type="dxa"/>
          </w:tcPr>
          <w:p w14:paraId="4204A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Новгород</w:t>
            </w:r>
          </w:p>
        </w:tc>
        <w:tc>
          <w:tcPr>
            <w:tcW w:w="3757" w:type="dxa"/>
          </w:tcPr>
          <w:p w14:paraId="483D5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 (2318)</w:t>
            </w:r>
          </w:p>
        </w:tc>
      </w:tr>
    </w:tbl>
    <w:p w14:paraId="20EE18F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941855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1A535D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A1068A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января 1932 г. — Доклад заместителя председателя Госплана СССР И. С. Уншлихта генеральному секретарю Политбюро ЦК ВКП(б) И. В. Сталину о мобилизационной готовности промышленности</w:t>
      </w:r>
    </w:p>
    <w:p w14:paraId="328AC04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100045A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постановкой вопроса на Комиссии обороны о мобилизационной готовности промышленности Госплан считает необходимым доложить свою точку зрения и свои предложения по этому вопросу. При этом мы не касаемся здесь авиационной промышленности, поскольку вопрос о ней должен быть рассмотрен особо.</w:t>
      </w:r>
    </w:p>
    <w:p w14:paraId="757DF9C7" w14:textId="545ECF00"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Итоги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7CE431C3" w14:textId="0230405C"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В 1931</w:t>
      </w:r>
      <w:r w:rsidR="007C1411" w:rsidRPr="00E93F40">
        <w:rPr>
          <w:color w:val="000000" w:themeColor="text1"/>
          <w:sz w:val="16"/>
          <w:szCs w:val="16"/>
        </w:rPr>
        <w:t xml:space="preserve"> </w:t>
      </w:r>
      <w:r w:rsidRPr="00E93F40">
        <w:rPr>
          <w:color w:val="000000" w:themeColor="text1"/>
          <w:sz w:val="16"/>
          <w:szCs w:val="16"/>
        </w:rPr>
        <w:t>г. перед промышленностью стояли 3 основные задачи, от решения которых в основном зависел уровень мобилизационной готовности к началу 1932</w:t>
      </w:r>
      <w:r w:rsidR="007C1411" w:rsidRPr="00E93F40">
        <w:rPr>
          <w:color w:val="000000" w:themeColor="text1"/>
          <w:sz w:val="16"/>
          <w:szCs w:val="16"/>
        </w:rPr>
        <w:t xml:space="preserve"> </w:t>
      </w:r>
      <w:r w:rsidRPr="00E93F40">
        <w:rPr>
          <w:color w:val="000000" w:themeColor="text1"/>
          <w:sz w:val="16"/>
          <w:szCs w:val="16"/>
        </w:rPr>
        <w:t>г.: 1)</w:t>
      </w:r>
      <w:r w:rsidR="007C1411" w:rsidRPr="00E93F40">
        <w:rPr>
          <w:color w:val="000000" w:themeColor="text1"/>
          <w:sz w:val="16"/>
          <w:szCs w:val="16"/>
        </w:rPr>
        <w:t xml:space="preserve"> </w:t>
      </w:r>
      <w:r w:rsidRPr="00E93F40">
        <w:rPr>
          <w:color w:val="000000" w:themeColor="text1"/>
          <w:sz w:val="16"/>
          <w:szCs w:val="16"/>
        </w:rPr>
        <w:t>успешно выполнить план оборонного строительства и тем подготовить производственную базу по варианту №</w:t>
      </w:r>
      <w:r w:rsidR="007C1411" w:rsidRPr="00E93F40">
        <w:rPr>
          <w:color w:val="000000" w:themeColor="text1"/>
          <w:sz w:val="16"/>
          <w:szCs w:val="16"/>
        </w:rPr>
        <w:t xml:space="preserve"> </w:t>
      </w:r>
      <w:r w:rsidRPr="00E93F40">
        <w:rPr>
          <w:color w:val="000000" w:themeColor="text1"/>
          <w:sz w:val="16"/>
          <w:szCs w:val="16"/>
        </w:rPr>
        <w:t>10 (МВ</w:t>
      </w:r>
      <w:r w:rsidRPr="00E93F40">
        <w:rPr>
          <w:color w:val="000000" w:themeColor="text1"/>
          <w:sz w:val="16"/>
          <w:szCs w:val="16"/>
        </w:rPr>
        <w:noBreakHyphen/>
        <w:t>10); 2)</w:t>
      </w:r>
      <w:r w:rsidR="007C1411" w:rsidRPr="00E93F40">
        <w:rPr>
          <w:color w:val="000000" w:themeColor="text1"/>
          <w:sz w:val="16"/>
          <w:szCs w:val="16"/>
        </w:rPr>
        <w:t xml:space="preserve"> </w:t>
      </w:r>
      <w:r w:rsidRPr="00E93F40">
        <w:rPr>
          <w:color w:val="000000" w:themeColor="text1"/>
          <w:sz w:val="16"/>
          <w:szCs w:val="16"/>
        </w:rPr>
        <w:t>выполнить заказы НКВМ и тем обеспечить освоение производства предметов вооружения как на действующих военных заводах, так и на тех гражданских заводах, которые имеют мобилизационное задание; 3)</w:t>
      </w:r>
      <w:r w:rsidR="007C1411" w:rsidRPr="00E93F40">
        <w:rPr>
          <w:color w:val="000000" w:themeColor="text1"/>
          <w:sz w:val="16"/>
          <w:szCs w:val="16"/>
        </w:rPr>
        <w:t xml:space="preserve"> </w:t>
      </w:r>
      <w:r w:rsidRPr="00E93F40">
        <w:rPr>
          <w:color w:val="000000" w:themeColor="text1"/>
          <w:sz w:val="16"/>
          <w:szCs w:val="16"/>
        </w:rPr>
        <w:t>подтянуть отстающие участки по линии общей промышленности (химия, цветная металлургия, ферросплавы, высококачественная сталь, инструмент) и тем обеспечить надежную базу снабжения военных производств на случай войны.</w:t>
      </w:r>
    </w:p>
    <w:p w14:paraId="59560A63" w14:textId="7777777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Как промышленность выполнила эти задачи?</w:t>
      </w:r>
    </w:p>
    <w:p w14:paraId="54D95E3E" w14:textId="30AB640B"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Выполнение плана капитального строительства дало неудовлетворительные результаты. Объем строительства военной промышленности без ВАО был принят на 1931</w:t>
      </w:r>
      <w:r w:rsidR="007C1411" w:rsidRPr="00E93F40">
        <w:rPr>
          <w:color w:val="000000" w:themeColor="text1"/>
          <w:sz w:val="16"/>
          <w:szCs w:val="16"/>
        </w:rPr>
        <w:t xml:space="preserve"> </w:t>
      </w:r>
      <w:r w:rsidRPr="00E93F40">
        <w:rPr>
          <w:color w:val="000000" w:themeColor="text1"/>
          <w:sz w:val="16"/>
          <w:szCs w:val="16"/>
        </w:rPr>
        <w:t>г. в сумме 426</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выполнение плана по предварительным данным составляет 320</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т.</w:t>
      </w:r>
      <w:r w:rsidR="007C1411" w:rsidRPr="00E93F40">
        <w:rPr>
          <w:color w:val="000000" w:themeColor="text1"/>
          <w:sz w:val="16"/>
          <w:szCs w:val="16"/>
        </w:rPr>
        <w:t xml:space="preserve"> </w:t>
      </w:r>
      <w:r w:rsidRPr="00E93F40">
        <w:rPr>
          <w:color w:val="000000" w:themeColor="text1"/>
          <w:sz w:val="16"/>
          <w:szCs w:val="16"/>
        </w:rPr>
        <w:t>е. 75% от плана. По главным объединениям результаты еще хуже: по Орудийному объединению недодел составляет свыше 30%, по Военно-химическому</w:t>
      </w:r>
      <w:r w:rsidR="007C1411" w:rsidRPr="00E93F40">
        <w:rPr>
          <w:color w:val="000000" w:themeColor="text1"/>
          <w:sz w:val="16"/>
          <w:szCs w:val="16"/>
        </w:rPr>
        <w:t xml:space="preserve"> </w:t>
      </w:r>
      <w:r w:rsidRPr="00E93F40">
        <w:rPr>
          <w:color w:val="000000" w:themeColor="text1"/>
          <w:sz w:val="16"/>
          <w:szCs w:val="16"/>
        </w:rPr>
        <w:t>— 28%. Это итоги по финансовым затратам, по физическому же объему невыполнение строительного плана еще больше.</w:t>
      </w:r>
    </w:p>
    <w:p w14:paraId="3201480A" w14:textId="5A8D3A2C"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По военным производствам гражданской промышленности (бронетанки, ОВ, выстрел, взрыв[чатые] вещества и</w:t>
      </w:r>
      <w:r w:rsidR="007C1411" w:rsidRPr="00E93F40">
        <w:rPr>
          <w:color w:val="000000" w:themeColor="text1"/>
          <w:sz w:val="16"/>
          <w:szCs w:val="16"/>
        </w:rPr>
        <w:t xml:space="preserve"> </w:t>
      </w:r>
      <w:r w:rsidRPr="00E93F40">
        <w:rPr>
          <w:color w:val="000000" w:themeColor="text1"/>
          <w:sz w:val="16"/>
          <w:szCs w:val="16"/>
        </w:rPr>
        <w:t>др.) капитальное строительство в 1931</w:t>
      </w:r>
      <w:r w:rsidR="007C1411" w:rsidRPr="00E93F40">
        <w:rPr>
          <w:color w:val="000000" w:themeColor="text1"/>
          <w:sz w:val="16"/>
          <w:szCs w:val="16"/>
        </w:rPr>
        <w:t xml:space="preserve"> </w:t>
      </w:r>
      <w:r w:rsidRPr="00E93F40">
        <w:rPr>
          <w:color w:val="000000" w:themeColor="text1"/>
          <w:sz w:val="16"/>
          <w:szCs w:val="16"/>
        </w:rPr>
        <w:t>г. протекало значительно хуже. Госплан не имеет точных данных по этому вопросу и не мог их добиться от МПС</w:t>
      </w:r>
      <w:r w:rsidR="007C1411" w:rsidRPr="00E93F40">
        <w:rPr>
          <w:color w:val="000000" w:themeColor="text1"/>
          <w:sz w:val="16"/>
          <w:szCs w:val="16"/>
        </w:rPr>
        <w:t xml:space="preserve"> </w:t>
      </w:r>
      <w:r w:rsidRPr="00E93F40">
        <w:rPr>
          <w:color w:val="000000" w:themeColor="text1"/>
          <w:sz w:val="16"/>
          <w:szCs w:val="16"/>
        </w:rPr>
        <w:t>ВСНХ, но есть основания предполагать, что план здесь выполнен не более чем на 50</w:t>
      </w:r>
      <w:r w:rsidRPr="00E93F40">
        <w:rPr>
          <w:color w:val="000000" w:themeColor="text1"/>
          <w:sz w:val="16"/>
          <w:szCs w:val="16"/>
        </w:rPr>
        <w:noBreakHyphen/>
        <w:t>60%.</w:t>
      </w:r>
    </w:p>
    <w:p w14:paraId="76358777" w14:textId="4D276599"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Неудовлетворительный итог капитального строительства в 1931</w:t>
      </w:r>
      <w:r w:rsidR="007C1411" w:rsidRPr="00E93F40">
        <w:rPr>
          <w:color w:val="000000" w:themeColor="text1"/>
          <w:sz w:val="16"/>
          <w:szCs w:val="16"/>
        </w:rPr>
        <w:t xml:space="preserve"> </w:t>
      </w:r>
      <w:r w:rsidRPr="00E93F40">
        <w:rPr>
          <w:color w:val="000000" w:themeColor="text1"/>
          <w:sz w:val="16"/>
          <w:szCs w:val="16"/>
        </w:rPr>
        <w:t>г. предрешает срыв мобилизационной готовности промышленности в отношении создания производственных мощностей по МВ</w:t>
      </w:r>
      <w:r w:rsidRPr="00E93F40">
        <w:rPr>
          <w:color w:val="000000" w:themeColor="text1"/>
          <w:sz w:val="16"/>
          <w:szCs w:val="16"/>
        </w:rPr>
        <w:noBreakHyphen/>
        <w:t>10. Кроме того, самый план 1931</w:t>
      </w:r>
      <w:r w:rsidR="007C1411" w:rsidRPr="00E93F40">
        <w:rPr>
          <w:color w:val="000000" w:themeColor="text1"/>
          <w:sz w:val="16"/>
          <w:szCs w:val="16"/>
        </w:rPr>
        <w:t xml:space="preserve"> </w:t>
      </w:r>
      <w:r w:rsidRPr="00E93F40">
        <w:rPr>
          <w:color w:val="000000" w:themeColor="text1"/>
          <w:sz w:val="16"/>
          <w:szCs w:val="16"/>
        </w:rPr>
        <w:t>г. был составлен неудовлетворительно, так как не обеспечивал полностью заданий по МВ</w:t>
      </w:r>
      <w:r w:rsidRPr="00E93F40">
        <w:rPr>
          <w:color w:val="000000" w:themeColor="text1"/>
          <w:sz w:val="16"/>
          <w:szCs w:val="16"/>
        </w:rPr>
        <w:noBreakHyphen/>
        <w:t>10 и оставлял целый ряд «узких» мест (порох, крупнокалиберные снаряды, пушечные гильзы, аэробомбы, электротехника, военная металлургия, вспомогательное хозяйство на военных заводах и</w:t>
      </w:r>
      <w:r w:rsidR="007C1411" w:rsidRPr="00E93F40">
        <w:rPr>
          <w:color w:val="000000" w:themeColor="text1"/>
          <w:sz w:val="16"/>
          <w:szCs w:val="16"/>
        </w:rPr>
        <w:t xml:space="preserve"> </w:t>
      </w:r>
      <w:r w:rsidRPr="00E93F40">
        <w:rPr>
          <w:color w:val="000000" w:themeColor="text1"/>
          <w:sz w:val="16"/>
          <w:szCs w:val="16"/>
        </w:rPr>
        <w:t>др.). В результате мы имеем положение, когда создание реальных мощностей по МВ</w:t>
      </w:r>
      <w:r w:rsidRPr="00E93F40">
        <w:rPr>
          <w:color w:val="000000" w:themeColor="text1"/>
          <w:sz w:val="16"/>
          <w:szCs w:val="16"/>
        </w:rPr>
        <w:noBreakHyphen/>
        <w:t>10 отодвигается к 1933</w:t>
      </w:r>
      <w:r w:rsidR="007C1411" w:rsidRPr="00E93F40">
        <w:rPr>
          <w:color w:val="000000" w:themeColor="text1"/>
          <w:sz w:val="16"/>
          <w:szCs w:val="16"/>
        </w:rPr>
        <w:t xml:space="preserve"> </w:t>
      </w:r>
      <w:r w:rsidRPr="00E93F40">
        <w:rPr>
          <w:color w:val="000000" w:themeColor="text1"/>
          <w:sz w:val="16"/>
          <w:szCs w:val="16"/>
        </w:rPr>
        <w:t>г., т.</w:t>
      </w:r>
      <w:r w:rsidR="007C1411" w:rsidRPr="00E93F40">
        <w:rPr>
          <w:color w:val="000000" w:themeColor="text1"/>
          <w:sz w:val="16"/>
          <w:szCs w:val="16"/>
        </w:rPr>
        <w:t xml:space="preserve"> </w:t>
      </w:r>
      <w:r w:rsidRPr="00E93F40">
        <w:rPr>
          <w:color w:val="000000" w:themeColor="text1"/>
          <w:sz w:val="16"/>
          <w:szCs w:val="16"/>
        </w:rPr>
        <w:t>е. может быть обеспечено только реализацией плана капитального строительства 1932</w:t>
      </w:r>
      <w:r w:rsidR="007C1411" w:rsidRPr="00E93F40">
        <w:rPr>
          <w:color w:val="000000" w:themeColor="text1"/>
          <w:sz w:val="16"/>
          <w:szCs w:val="16"/>
        </w:rPr>
        <w:t xml:space="preserve"> </w:t>
      </w:r>
      <w:r w:rsidRPr="00E93F40">
        <w:rPr>
          <w:color w:val="000000" w:themeColor="text1"/>
          <w:sz w:val="16"/>
          <w:szCs w:val="16"/>
        </w:rPr>
        <w:t>г.</w:t>
      </w:r>
    </w:p>
    <w:p w14:paraId="7E9AC648" w14:textId="401D1CCA"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В отношении выполнения заказов НКВМ и освоения производства итоги 1931</w:t>
      </w:r>
      <w:r w:rsidR="007C1411" w:rsidRPr="00E93F40">
        <w:rPr>
          <w:color w:val="000000" w:themeColor="text1"/>
          <w:sz w:val="16"/>
          <w:szCs w:val="16"/>
        </w:rPr>
        <w:t xml:space="preserve"> </w:t>
      </w:r>
      <w:r w:rsidRPr="00E93F40">
        <w:rPr>
          <w:color w:val="000000" w:themeColor="text1"/>
          <w:sz w:val="16"/>
          <w:szCs w:val="16"/>
        </w:rPr>
        <w:t>г. могут быть признаны удовлетворительными. Большинство предметов вооружения освоено в производстве, что создает надежную основу для развертывания военных производств во время войны. В этом отношении промышленность сделала шаг вперед по сравнению с тем положением, которое мы имели весной прошлого года, когда был составлен так называемый корректированный мобплан С</w:t>
      </w:r>
      <w:r w:rsidRPr="00E93F40">
        <w:rPr>
          <w:color w:val="000000" w:themeColor="text1"/>
          <w:sz w:val="16"/>
          <w:szCs w:val="16"/>
        </w:rPr>
        <w:noBreakHyphen/>
        <w:t>30. Тем не менее, далеко еще не все образцы вооружения освоены в производстве. Это прежде всего относится к зенитной и тяжелой артиллерии, тяжелым аэробомбам, снарядам из сталистого чугуна, железным пушечным гильзам, бронебойным снарядам, танкам «Кристи» и</w:t>
      </w:r>
      <w:r w:rsidR="007C1411" w:rsidRPr="00E93F40">
        <w:rPr>
          <w:color w:val="000000" w:themeColor="text1"/>
          <w:sz w:val="16"/>
          <w:szCs w:val="16"/>
        </w:rPr>
        <w:t xml:space="preserve"> </w:t>
      </w:r>
      <w:r w:rsidRPr="00E93F40">
        <w:rPr>
          <w:color w:val="000000" w:themeColor="text1"/>
          <w:sz w:val="16"/>
          <w:szCs w:val="16"/>
        </w:rPr>
        <w:t>др. Особенно нужно подчеркнуть, что производство не освоено еще на многих гражданских заводах, имеющих мобзадание. Следовательно, в отношении освоения производства как одной из важнейших предпосылок реальности мобплана промышленности предстоит еще проделать большую работу в 1932</w:t>
      </w:r>
      <w:r w:rsidR="007C1411" w:rsidRPr="00E93F40">
        <w:rPr>
          <w:color w:val="000000" w:themeColor="text1"/>
          <w:sz w:val="16"/>
          <w:szCs w:val="16"/>
        </w:rPr>
        <w:t xml:space="preserve"> </w:t>
      </w:r>
      <w:r w:rsidRPr="00E93F40">
        <w:rPr>
          <w:color w:val="000000" w:themeColor="text1"/>
          <w:sz w:val="16"/>
          <w:szCs w:val="16"/>
        </w:rPr>
        <w:t>г. К весне 1932</w:t>
      </w:r>
      <w:r w:rsidR="007C1411" w:rsidRPr="00E93F40">
        <w:rPr>
          <w:color w:val="000000" w:themeColor="text1"/>
          <w:sz w:val="16"/>
          <w:szCs w:val="16"/>
        </w:rPr>
        <w:t xml:space="preserve"> </w:t>
      </w:r>
      <w:r w:rsidRPr="00E93F40">
        <w:rPr>
          <w:color w:val="000000" w:themeColor="text1"/>
          <w:sz w:val="16"/>
          <w:szCs w:val="16"/>
        </w:rPr>
        <w:t>г. полной мобготовности в этом отношении не будет.</w:t>
      </w:r>
    </w:p>
    <w:p w14:paraId="12B5A149" w14:textId="58C0B881"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По вопросу об обеспечении базы снабжения военных производств необходимо сказать, что итоги 1931</w:t>
      </w:r>
      <w:r w:rsidR="007C1411" w:rsidRPr="00E93F40">
        <w:rPr>
          <w:color w:val="000000" w:themeColor="text1"/>
          <w:sz w:val="16"/>
          <w:szCs w:val="16"/>
        </w:rPr>
        <w:t xml:space="preserve"> </w:t>
      </w:r>
      <w:r w:rsidRPr="00E93F40">
        <w:rPr>
          <w:color w:val="000000" w:themeColor="text1"/>
          <w:sz w:val="16"/>
          <w:szCs w:val="16"/>
        </w:rPr>
        <w:t>г. тоже неудовлетворительны. Задания по МВ</w:t>
      </w:r>
      <w:r w:rsidRPr="00E93F40">
        <w:rPr>
          <w:color w:val="000000" w:themeColor="text1"/>
          <w:sz w:val="16"/>
          <w:szCs w:val="16"/>
        </w:rPr>
        <w:noBreakHyphen/>
        <w:t>10 не обеспечены ни по химии, ни по цветным металлам, ни по ферросплавам, ни по инструменту. Особенно угрожающее положение мы имеем по аммиаку и азотной кислоте, по хлору, фенолу, сере, толуолу, алюминию, никелю, ферровольфраму, феррованадию, ферромолибдену и контрольно-мерительному инструменту. По этим важнейшим для обороны предметам снабжения продолжается угрожающее отставание от мобилизационных потребностей. Реальность мобплана МВ</w:t>
      </w:r>
      <w:r w:rsidRPr="00E93F40">
        <w:rPr>
          <w:color w:val="000000" w:themeColor="text1"/>
          <w:sz w:val="16"/>
          <w:szCs w:val="16"/>
        </w:rPr>
        <w:noBreakHyphen/>
        <w:t>10 с этой стороны к весне 1932</w:t>
      </w:r>
      <w:r w:rsidR="007C1411" w:rsidRPr="00E93F40">
        <w:rPr>
          <w:color w:val="000000" w:themeColor="text1"/>
          <w:sz w:val="16"/>
          <w:szCs w:val="16"/>
        </w:rPr>
        <w:t xml:space="preserve"> </w:t>
      </w:r>
      <w:r w:rsidRPr="00E93F40">
        <w:rPr>
          <w:color w:val="000000" w:themeColor="text1"/>
          <w:sz w:val="16"/>
          <w:szCs w:val="16"/>
        </w:rPr>
        <w:t>г. не будет обеспечена.</w:t>
      </w:r>
    </w:p>
    <w:p w14:paraId="5CF91B00" w14:textId="7F44917C"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Перспектива на весну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B8DB2A7" w14:textId="613CDB3C"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Мобплан МВ-10 должен быть полностью подготовлен к апрелю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действительности мы будем иметь к этому времени значительно меньше мощности, что видно из следующих данных.</w:t>
      </w:r>
    </w:p>
    <w:p w14:paraId="660BA0D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военной химии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63"/>
        <w:gridCol w:w="2848"/>
        <w:gridCol w:w="2943"/>
        <w:gridCol w:w="2068"/>
      </w:tblGrid>
      <w:tr w:rsidR="00DA227A" w:rsidRPr="00E93F40" w14:paraId="2A265D0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726085B" w14:textId="5F9FBCE8" w:rsidR="007E7FF2"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B8A5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по заданию МВ</w:t>
            </w:r>
            <w:r w:rsidRPr="00E93F40">
              <w:rPr>
                <w:rFonts w:ascii="Times New Roman" w:hAnsi="Times New Roman"/>
                <w:color w:val="000000" w:themeColor="text1"/>
                <w:sz w:val="16"/>
                <w:szCs w:val="16"/>
              </w:rPr>
              <w:noBreakHyphen/>
              <w:t>10</w:t>
            </w:r>
          </w:p>
          <w:p w14:paraId="7097DC90" w14:textId="161AF46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апрелю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564C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Реально обеспе-чивающ[аяся]</w:t>
            </w:r>
          </w:p>
          <w:p w14:paraId="3D28898D" w14:textId="19823BA5"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к апрелю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1BCD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обеспечения</w:t>
            </w:r>
          </w:p>
        </w:tc>
      </w:tr>
      <w:tr w:rsidR="00DA227A" w:rsidRPr="00E93F40" w14:paraId="778F832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CCC602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1033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45EE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946D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r>
      <w:tr w:rsidR="00DA227A" w:rsidRPr="00E93F40" w14:paraId="0420AD3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7A7D306" w14:textId="382E60FC"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Взрыв[чатые]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7541" w14:textId="75759A68"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A23EB" w14:textId="22EBD531"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0B80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w:t>
            </w:r>
          </w:p>
        </w:tc>
      </w:tr>
      <w:tr w:rsidR="00DA227A" w:rsidRPr="00E93F40" w14:paraId="409E5428"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4A244E3" w14:textId="612426A8"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 мелинит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9A8D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FC51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8833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r w:rsidR="00DA227A" w:rsidRPr="00E93F40" w14:paraId="30AA9FFF"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50F5C8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Динитронафталин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D39E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40A3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9E1D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r>
      <w:tr w:rsidR="00DA227A" w:rsidRPr="00E93F40" w14:paraId="4383700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CC8C2C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Аммиачная 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4BDD5" w14:textId="6ECD841A"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36C0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4CFC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r>
      <w:tr w:rsidR="00DA227A" w:rsidRPr="00E93F40" w14:paraId="1904E93B"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46D0CD1" w14:textId="2D6A618F"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Отравляющие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вещества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16CB8"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48A9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4873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w:t>
            </w:r>
          </w:p>
        </w:tc>
      </w:tr>
      <w:tr w:rsidR="00DA227A" w:rsidRPr="00E93F40" w14:paraId="5C88E39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C744D81" w14:textId="4067B2F0"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Дым[ообразующие]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вещ[ества]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E3C3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92B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DD31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r>
      <w:tr w:rsidR="00DA227A" w:rsidRPr="00E93F40" w14:paraId="1D433E3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A8EF7F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Актив[ированный]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B5A6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160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5D04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r>
    </w:tbl>
    <w:p w14:paraId="37B73780" w14:textId="51DA910F"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Таким образом, по основным элементам военной химии обеспечение заданий по МВ</w:t>
      </w:r>
      <w:r w:rsidRPr="00E93F40">
        <w:rPr>
          <w:color w:val="000000" w:themeColor="text1"/>
          <w:sz w:val="16"/>
          <w:szCs w:val="16"/>
        </w:rPr>
        <w:noBreakHyphen/>
        <w:t>10 к апрелю с.</w:t>
      </w:r>
      <w:r w:rsidR="007C1411" w:rsidRPr="00E93F40">
        <w:rPr>
          <w:color w:val="000000" w:themeColor="text1"/>
          <w:sz w:val="16"/>
          <w:szCs w:val="16"/>
        </w:rPr>
        <w:t xml:space="preserve"> </w:t>
      </w:r>
      <w:r w:rsidRPr="00E93F40">
        <w:rPr>
          <w:color w:val="000000" w:themeColor="text1"/>
          <w:sz w:val="16"/>
          <w:szCs w:val="16"/>
        </w:rPr>
        <w:t>г. выразится в следующих процентах: по пороху</w:t>
      </w:r>
      <w:r w:rsidR="007C1411" w:rsidRPr="00E93F40">
        <w:rPr>
          <w:color w:val="000000" w:themeColor="text1"/>
          <w:sz w:val="16"/>
          <w:szCs w:val="16"/>
        </w:rPr>
        <w:t xml:space="preserve"> </w:t>
      </w:r>
      <w:r w:rsidRPr="00E93F40">
        <w:rPr>
          <w:color w:val="000000" w:themeColor="text1"/>
          <w:sz w:val="16"/>
          <w:szCs w:val="16"/>
        </w:rPr>
        <w:t>— 49%, по взрыв[чатым] веществам</w:t>
      </w:r>
      <w:r w:rsidR="007C1411" w:rsidRPr="00E93F40">
        <w:rPr>
          <w:color w:val="000000" w:themeColor="text1"/>
          <w:sz w:val="16"/>
          <w:szCs w:val="16"/>
        </w:rPr>
        <w:t xml:space="preserve"> </w:t>
      </w:r>
      <w:r w:rsidRPr="00E93F40">
        <w:rPr>
          <w:color w:val="000000" w:themeColor="text1"/>
          <w:sz w:val="16"/>
          <w:szCs w:val="16"/>
        </w:rPr>
        <w:t>— 47%, по отравл[яющим] вещ[ествам] (ОВ)</w:t>
      </w:r>
      <w:r w:rsidR="007C1411" w:rsidRPr="00E93F40">
        <w:rPr>
          <w:color w:val="000000" w:themeColor="text1"/>
          <w:sz w:val="16"/>
          <w:szCs w:val="16"/>
        </w:rPr>
        <w:t xml:space="preserve"> </w:t>
      </w:r>
      <w:r w:rsidRPr="00E93F40">
        <w:rPr>
          <w:color w:val="000000" w:themeColor="text1"/>
          <w:sz w:val="16"/>
          <w:szCs w:val="16"/>
        </w:rPr>
        <w:t>— 54%, по дым[ообразующим] вещ[ествам] (ДВ)</w:t>
      </w:r>
      <w:r w:rsidR="007C1411" w:rsidRPr="00E93F40">
        <w:rPr>
          <w:color w:val="000000" w:themeColor="text1"/>
          <w:sz w:val="16"/>
          <w:szCs w:val="16"/>
        </w:rPr>
        <w:t xml:space="preserve"> </w:t>
      </w:r>
      <w:r w:rsidRPr="00E93F40">
        <w:rPr>
          <w:color w:val="000000" w:themeColor="text1"/>
          <w:sz w:val="16"/>
          <w:szCs w:val="16"/>
        </w:rPr>
        <w:t>— 27% и по активиров[анному] углю</w:t>
      </w:r>
      <w:r w:rsidR="007C1411" w:rsidRPr="00E93F40">
        <w:rPr>
          <w:color w:val="000000" w:themeColor="text1"/>
          <w:sz w:val="16"/>
          <w:szCs w:val="16"/>
        </w:rPr>
        <w:t xml:space="preserve"> </w:t>
      </w:r>
      <w:r w:rsidRPr="00E93F40">
        <w:rPr>
          <w:color w:val="000000" w:themeColor="text1"/>
          <w:sz w:val="16"/>
          <w:szCs w:val="16"/>
        </w:rPr>
        <w:t>— 75%.</w:t>
      </w:r>
    </w:p>
    <w:p w14:paraId="0AD8E9B8" w14:textId="17FFE4B5"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Реально достигаемые мощности по пороху, считая и селитроугольные добавки, обеспечивают подачу в первый год войны только 17</w:t>
      </w:r>
      <w:r w:rsidR="007C1411" w:rsidRPr="00E93F40">
        <w:rPr>
          <w:color w:val="000000" w:themeColor="text1"/>
          <w:sz w:val="16"/>
          <w:szCs w:val="16"/>
        </w:rPr>
        <w:t xml:space="preserve"> </w:t>
      </w:r>
      <w:r w:rsidRPr="00E93F40">
        <w:rPr>
          <w:color w:val="000000" w:themeColor="text1"/>
          <w:sz w:val="16"/>
          <w:szCs w:val="16"/>
        </w:rPr>
        <w:t>млн. выстрелов против 35,5</w:t>
      </w:r>
      <w:r w:rsidR="007C1411" w:rsidRPr="00E93F40">
        <w:rPr>
          <w:color w:val="000000" w:themeColor="text1"/>
          <w:sz w:val="16"/>
          <w:szCs w:val="16"/>
        </w:rPr>
        <w:t xml:space="preserve"> </w:t>
      </w:r>
      <w:r w:rsidRPr="00E93F40">
        <w:rPr>
          <w:color w:val="000000" w:themeColor="text1"/>
          <w:sz w:val="16"/>
          <w:szCs w:val="16"/>
        </w:rPr>
        <w:t>млн. по МВ</w:t>
      </w:r>
      <w:r w:rsidRPr="00E93F40">
        <w:rPr>
          <w:color w:val="000000" w:themeColor="text1"/>
          <w:sz w:val="16"/>
          <w:szCs w:val="16"/>
        </w:rPr>
        <w:noBreakHyphen/>
        <w:t>10. Если учесть созданный в 1931</w:t>
      </w:r>
      <w:r w:rsidR="007C1411" w:rsidRPr="00E93F40">
        <w:rPr>
          <w:color w:val="000000" w:themeColor="text1"/>
          <w:sz w:val="16"/>
          <w:szCs w:val="16"/>
        </w:rPr>
        <w:t xml:space="preserve"> </w:t>
      </w:r>
      <w:r w:rsidRPr="00E93F40">
        <w:rPr>
          <w:color w:val="000000" w:themeColor="text1"/>
          <w:sz w:val="16"/>
          <w:szCs w:val="16"/>
        </w:rPr>
        <w:t>г. мобзапас пороха 3</w:t>
      </w:r>
      <w:r w:rsidR="007C1411" w:rsidRPr="00E93F40">
        <w:rPr>
          <w:color w:val="000000" w:themeColor="text1"/>
          <w:sz w:val="16"/>
          <w:szCs w:val="16"/>
        </w:rPr>
        <w:t xml:space="preserve"> </w:t>
      </w:r>
      <w:r w:rsidRPr="00E93F40">
        <w:rPr>
          <w:color w:val="000000" w:themeColor="text1"/>
          <w:sz w:val="16"/>
          <w:szCs w:val="16"/>
        </w:rPr>
        <w:t>тыс. т, то количество выстрелов, обеспеченных порохом, повысится до 18,5</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шт., т.</w:t>
      </w:r>
      <w:r w:rsidR="007C1411" w:rsidRPr="00E93F40">
        <w:rPr>
          <w:color w:val="000000" w:themeColor="text1"/>
          <w:sz w:val="16"/>
          <w:szCs w:val="16"/>
        </w:rPr>
        <w:t xml:space="preserve"> </w:t>
      </w:r>
      <w:r w:rsidRPr="00E93F40">
        <w:rPr>
          <w:color w:val="000000" w:themeColor="text1"/>
          <w:sz w:val="16"/>
          <w:szCs w:val="16"/>
        </w:rPr>
        <w:t>е. около половины правительственного задания по МВ</w:t>
      </w:r>
      <w:r w:rsidRPr="00E93F40">
        <w:rPr>
          <w:color w:val="000000" w:themeColor="text1"/>
          <w:sz w:val="16"/>
          <w:szCs w:val="16"/>
        </w:rPr>
        <w:noBreakHyphen/>
        <w:t>10.</w:t>
      </w:r>
    </w:p>
    <w:p w14:paraId="3E8ADE8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материальной части артиллерии</w:t>
      </w:r>
    </w:p>
    <w:p w14:paraId="7086F093" w14:textId="11C75B3C"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существующей в ВСНХ путаницы Госплан не смог установить реальные мощности, достигаемые к апрелю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отдельным орудийным системам. По этому вопросу можно лишь сказать следующее: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Пермский завод («Мотовилиха») к весне не будет иметь мощностей по МВ</w:t>
      </w:r>
      <w:r w:rsidRPr="00E93F40">
        <w:rPr>
          <w:rFonts w:ascii="Times New Roman" w:hAnsi="Times New Roman"/>
          <w:color w:val="000000" w:themeColor="text1"/>
          <w:sz w:val="16"/>
          <w:szCs w:val="16"/>
        </w:rPr>
        <w:noBreakHyphen/>
        <w:t>10. Мощности по гаубицам будут обеспечены, вероятно, немногим более чем на 50%.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Уралмашстрой, имеющий задание на подачу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гаубиц, не будет иметь никакой реальной мощности.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«Баррикады» будут подготовлены примерно наполовину своей мощности (около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артсистем вместо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630).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«Новое Сормово» будет в состоянии обеспечить задание по МВ</w:t>
      </w:r>
      <w:r w:rsidRPr="00E93F40">
        <w:rPr>
          <w:rFonts w:ascii="Times New Roman" w:hAnsi="Times New Roman"/>
          <w:color w:val="000000" w:themeColor="text1"/>
          <w:sz w:val="16"/>
          <w:szCs w:val="16"/>
        </w:rPr>
        <w:noBreakHyphen/>
        <w:t>10 менее чем наполовину.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Мощности по мелкокалиберной артиллерии в связи со снятием задания с Ленинградского арсенала не будут обеспечены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в Мытищах.</w:t>
      </w:r>
    </w:p>
    <w:p w14:paraId="03C81EF5" w14:textId="36EDA152"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к весне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мощности по орудийному производству будут намного отставать от заданий по МВ</w:t>
      </w:r>
      <w:r w:rsidRPr="00E93F40">
        <w:rPr>
          <w:rFonts w:ascii="Times New Roman" w:hAnsi="Times New Roman"/>
          <w:color w:val="000000" w:themeColor="text1"/>
          <w:sz w:val="16"/>
          <w:szCs w:val="16"/>
        </w:rPr>
        <w:noBreakHyphen/>
        <w:t>10. К этому надо прибавить, что целый ряд орудийных систем не освоен в производстве, что еще больше снижает мобилизационную готовность орудийных заводов.</w:t>
      </w:r>
    </w:p>
    <w:p w14:paraId="2F5851A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ручному оружию</w:t>
      </w:r>
    </w:p>
    <w:p w14:paraId="6A424E49" w14:textId="785DF074"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отношении ручного оружия положение более благоприятное. Тем не менее и здесь имеются «узкие» места (недостаток оборудования и неосвоенность производства), несколько снижающие мощности заводов по сравнению с МВ</w:t>
      </w:r>
      <w:r w:rsidRPr="00E93F40">
        <w:rPr>
          <w:rFonts w:ascii="Times New Roman" w:hAnsi="Times New Roman"/>
          <w:color w:val="000000" w:themeColor="text1"/>
          <w:sz w:val="16"/>
          <w:szCs w:val="16"/>
        </w:rPr>
        <w:noBreakHyphen/>
        <w:t>10. На Тульском заводе не будет обеспечена мощность по пулеметам ПВ</w:t>
      </w:r>
      <w:r w:rsidRPr="00E93F40">
        <w:rPr>
          <w:rFonts w:ascii="Times New Roman" w:hAnsi="Times New Roman"/>
          <w:color w:val="000000" w:themeColor="text1"/>
          <w:sz w:val="16"/>
          <w:szCs w:val="16"/>
        </w:rPr>
        <w:noBreakHyphen/>
        <w:t>1 более чем наполовину. Подольский завод «Госшвеймашина» не будет иметь мощностей на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винтовок и не освоил этого производства. На Ижевском заводе, являющемся металлургической базой для всех заводов Ружпультреста, мощности по прокату к весне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составят около 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против потребности по МВ</w:t>
      </w:r>
      <w:r w:rsidRPr="00E93F40">
        <w:rPr>
          <w:rFonts w:ascii="Times New Roman" w:hAnsi="Times New Roman"/>
          <w:color w:val="000000" w:themeColor="text1"/>
          <w:sz w:val="16"/>
          <w:szCs w:val="16"/>
        </w:rPr>
        <w:noBreakHyphen/>
        <w:t>10 в 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Тем не менее, отмеченные «узкие» места не дают оснований говорить о срыве мобилизационной готовности по ручному оружию. В этом отношении мобзадания по МВ</w:t>
      </w:r>
      <w:r w:rsidRPr="00E93F40">
        <w:rPr>
          <w:rFonts w:ascii="Times New Roman" w:hAnsi="Times New Roman"/>
          <w:color w:val="000000" w:themeColor="text1"/>
          <w:sz w:val="16"/>
          <w:szCs w:val="16"/>
        </w:rPr>
        <w:noBreakHyphen/>
        <w:t>10 в основном будут обеспечены.</w:t>
      </w:r>
    </w:p>
    <w:p w14:paraId="0CC22AB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танкам</w:t>
      </w:r>
    </w:p>
    <w:p w14:paraId="0FECE940" w14:textId="0E02251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Правительственное задание по танкам от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 весне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основном будет обеспечено. Срок готовности заводов по бронетанковому производству на полную мощность отнесен постановлением КО на конец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EBCF60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выстрелу</w:t>
      </w:r>
    </w:p>
    <w:p w14:paraId="0236F962" w14:textId="7777777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Наиболее неясным местом в мобилизационной подготовке промышленности является артвыстрел. Представляя собой весьма сложное изделие, производство которого расчленено по многим элементам (корпус, взрыватель, трубка, гильза, заряд, снаряжение и др.) на многочисленных заводах гражданской и военной промышленности, выстрел требует чрезвычайно четкой и внутренне увязанной подготовки всех его элементов. Подготовка единого выстрела является в этих условиях сложнейшей мобилизационной задачей. Малейшие промахи или прорывы в подготовке какого-либо элемента выстрела создают внутренние диспропорции в системе целого выстрела, которые неизбежно влекут за собой снижение подачи снарядов по «узкому» месту.</w:t>
      </w:r>
    </w:p>
    <w:p w14:paraId="1209D6BB" w14:textId="1CC3BE4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Госплан должен с особой силой подчеркнуть, что планирование и подготовка выстрела были и остаются одним из наиболее слабых мест в мобилизационной работе ВСНХ. Во всех составлявшихся до сих пор мобпланах отмечались большие диспропорции между элементами выстрела, в связи с чем уровень подачи снарядов вооруженному фронту был крайне низким. Такое же положение остается и по МВ</w:t>
      </w:r>
      <w:r w:rsidRPr="00E93F40">
        <w:rPr>
          <w:color w:val="000000" w:themeColor="text1"/>
          <w:sz w:val="16"/>
          <w:szCs w:val="16"/>
        </w:rPr>
        <w:noBreakHyphen/>
        <w:t>10. В этом вопросе существует такая неразбериха, что никто не в состоянии точно сказать, какие мощности имеет в данное время промышленность по всем элементам выстрела, какие мощности будут созданы к 1933</w:t>
      </w:r>
      <w:r w:rsidR="007C1411" w:rsidRPr="00E93F40">
        <w:rPr>
          <w:color w:val="000000" w:themeColor="text1"/>
          <w:sz w:val="16"/>
          <w:szCs w:val="16"/>
        </w:rPr>
        <w:t xml:space="preserve"> </w:t>
      </w:r>
      <w:r w:rsidRPr="00E93F40">
        <w:rPr>
          <w:color w:val="000000" w:themeColor="text1"/>
          <w:sz w:val="16"/>
          <w:szCs w:val="16"/>
        </w:rPr>
        <w:t>г. в результате запроектированного на 1932</w:t>
      </w:r>
      <w:r w:rsidR="007C1411" w:rsidRPr="00E93F40">
        <w:rPr>
          <w:color w:val="000000" w:themeColor="text1"/>
          <w:sz w:val="16"/>
          <w:szCs w:val="16"/>
        </w:rPr>
        <w:t xml:space="preserve"> </w:t>
      </w:r>
      <w:r w:rsidRPr="00E93F40">
        <w:rPr>
          <w:color w:val="000000" w:themeColor="text1"/>
          <w:sz w:val="16"/>
          <w:szCs w:val="16"/>
        </w:rPr>
        <w:t>г. плана капитального строительства и насколько увязаны все элементы выстрела между собой и с соответствующими калибрами орудий. Очень плохо проработан также вопрос о географическом размещении элементов выстрела с точки зрения рациональности перевозок и стратегических соображений. Иначе говоря, в этом сложном и важнейшем деле господствует самотек, за который страна будет дорого расплачиваться во время войны, если положение резко не изменится к лучшему.</w:t>
      </w:r>
    </w:p>
    <w:p w14:paraId="1E7F8B45" w14:textId="461E5588"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Госплан не раз поднимал вопрос о выстреле перед МПС</w:t>
      </w:r>
      <w:r w:rsidR="007C1411" w:rsidRPr="00E93F40">
        <w:rPr>
          <w:color w:val="000000" w:themeColor="text1"/>
          <w:sz w:val="16"/>
          <w:szCs w:val="16"/>
        </w:rPr>
        <w:t xml:space="preserve"> </w:t>
      </w:r>
      <w:r w:rsidRPr="00E93F40">
        <w:rPr>
          <w:color w:val="000000" w:themeColor="text1"/>
          <w:sz w:val="16"/>
          <w:szCs w:val="16"/>
        </w:rPr>
        <w:t>ВСНХ, но наталкивался на полное равнодушие и нежелание совместно разобраться в этом вопросе. В частности, Госплан докладывает, что у него нет никакой уверенности в том, что проектировка капитальных работ на 1932</w:t>
      </w:r>
      <w:r w:rsidR="007C1411" w:rsidRPr="00E93F40">
        <w:rPr>
          <w:color w:val="000000" w:themeColor="text1"/>
          <w:sz w:val="16"/>
          <w:szCs w:val="16"/>
        </w:rPr>
        <w:t xml:space="preserve"> </w:t>
      </w:r>
      <w:r w:rsidRPr="00E93F40">
        <w:rPr>
          <w:color w:val="000000" w:themeColor="text1"/>
          <w:sz w:val="16"/>
          <w:szCs w:val="16"/>
        </w:rPr>
        <w:t>г. в части выстрела обеспечивает увязку всех его элементов. Наоборот, у нас имеется большое опасение, что эта проектировка сохраняет диспропорцию как между элементами выстрела, так и между снарядами и орудиями соответствующих калибров. Опасность этих диспропорций имеется потому, что при рассмотрении плана капитальных работ МПС</w:t>
      </w:r>
      <w:r w:rsidR="007C1411" w:rsidRPr="00E93F40">
        <w:rPr>
          <w:color w:val="000000" w:themeColor="text1"/>
          <w:sz w:val="16"/>
          <w:szCs w:val="16"/>
        </w:rPr>
        <w:t xml:space="preserve"> </w:t>
      </w:r>
      <w:r w:rsidRPr="00E93F40">
        <w:rPr>
          <w:color w:val="000000" w:themeColor="text1"/>
          <w:sz w:val="16"/>
          <w:szCs w:val="16"/>
        </w:rPr>
        <w:t>ВСНХ не в состоянии был сообщить и не сообщил до сих пор, какие мощности обеспечиваются запроектированным планом как по отдельным элементам выстрела, так и по отдельным калибрам и типам снарядов, Госплан поставил этот вопрос перед МПС</w:t>
      </w:r>
      <w:r w:rsidR="007C1411" w:rsidRPr="00E93F40">
        <w:rPr>
          <w:color w:val="000000" w:themeColor="text1"/>
          <w:sz w:val="16"/>
          <w:szCs w:val="16"/>
        </w:rPr>
        <w:t xml:space="preserve"> </w:t>
      </w:r>
      <w:r w:rsidRPr="00E93F40">
        <w:rPr>
          <w:color w:val="000000" w:themeColor="text1"/>
          <w:sz w:val="16"/>
          <w:szCs w:val="16"/>
        </w:rPr>
        <w:t>ВСНХ и предложил дополнительно его проработать совместно с Сектором обороны Госплана и с Арт[иллерийским] управлением с тем, чтобы внести необходимые коррективы в проектировку капитальных работ на 1932</w:t>
      </w:r>
      <w:r w:rsidR="007C1411" w:rsidRPr="00E93F40">
        <w:rPr>
          <w:color w:val="000000" w:themeColor="text1"/>
          <w:sz w:val="16"/>
          <w:szCs w:val="16"/>
        </w:rPr>
        <w:t xml:space="preserve"> </w:t>
      </w:r>
      <w:r w:rsidRPr="00E93F40">
        <w:rPr>
          <w:color w:val="000000" w:themeColor="text1"/>
          <w:sz w:val="16"/>
          <w:szCs w:val="16"/>
        </w:rPr>
        <w:t>г. Но и на этот раз МПС отвечает молчанием.</w:t>
      </w:r>
    </w:p>
    <w:p w14:paraId="1E0E9D8D" w14:textId="28AAC236"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Конкретно мобилизационная готовность по выстрелу характеризуется к весне 1932</w:t>
      </w:r>
      <w:r w:rsidR="007C1411" w:rsidRPr="00E93F40">
        <w:rPr>
          <w:color w:val="000000" w:themeColor="text1"/>
          <w:sz w:val="16"/>
          <w:szCs w:val="16"/>
        </w:rPr>
        <w:t xml:space="preserve"> </w:t>
      </w:r>
      <w:r w:rsidRPr="00E93F40">
        <w:rPr>
          <w:color w:val="000000" w:themeColor="text1"/>
          <w:sz w:val="16"/>
          <w:szCs w:val="16"/>
        </w:rPr>
        <w:t>г. следующими данными: 1.</w:t>
      </w:r>
      <w:r w:rsidR="007C1411" w:rsidRPr="00E93F40">
        <w:rPr>
          <w:color w:val="000000" w:themeColor="text1"/>
          <w:sz w:val="16"/>
          <w:szCs w:val="16"/>
        </w:rPr>
        <w:t xml:space="preserve"> </w:t>
      </w:r>
      <w:r w:rsidRPr="00E93F40">
        <w:rPr>
          <w:color w:val="000000" w:themeColor="text1"/>
          <w:sz w:val="16"/>
          <w:szCs w:val="16"/>
        </w:rPr>
        <w:t>Порох и взрывчатые вещества обеспечивают, как указано выше, только 18,5</w:t>
      </w:r>
      <w:r w:rsidR="007C1411" w:rsidRPr="00E93F40">
        <w:rPr>
          <w:color w:val="000000" w:themeColor="text1"/>
          <w:sz w:val="16"/>
          <w:szCs w:val="16"/>
        </w:rPr>
        <w:t xml:space="preserve"> </w:t>
      </w:r>
      <w:r w:rsidRPr="00E93F40">
        <w:rPr>
          <w:color w:val="000000" w:themeColor="text1"/>
          <w:sz w:val="16"/>
          <w:szCs w:val="16"/>
        </w:rPr>
        <w:t>млн. снарядов, т.</w:t>
      </w:r>
      <w:r w:rsidR="007C1411" w:rsidRPr="00E93F40">
        <w:rPr>
          <w:color w:val="000000" w:themeColor="text1"/>
          <w:sz w:val="16"/>
          <w:szCs w:val="16"/>
        </w:rPr>
        <w:t xml:space="preserve"> </w:t>
      </w:r>
      <w:r w:rsidRPr="00E93F40">
        <w:rPr>
          <w:color w:val="000000" w:themeColor="text1"/>
          <w:sz w:val="16"/>
          <w:szCs w:val="16"/>
        </w:rPr>
        <w:t>е. около половины задания по МВ</w:t>
      </w:r>
      <w:r w:rsidRPr="00E93F40">
        <w:rPr>
          <w:color w:val="000000" w:themeColor="text1"/>
          <w:sz w:val="16"/>
          <w:szCs w:val="16"/>
        </w:rPr>
        <w:noBreakHyphen/>
        <w:t>10, 2.</w:t>
      </w:r>
      <w:r w:rsidR="007C1411" w:rsidRPr="00E93F40">
        <w:rPr>
          <w:color w:val="000000" w:themeColor="text1"/>
          <w:sz w:val="16"/>
          <w:szCs w:val="16"/>
        </w:rPr>
        <w:t xml:space="preserve"> </w:t>
      </w:r>
      <w:r w:rsidRPr="00E93F40">
        <w:rPr>
          <w:color w:val="000000" w:themeColor="text1"/>
          <w:sz w:val="16"/>
          <w:szCs w:val="16"/>
        </w:rPr>
        <w:t>Задания по мелкокалиберным снарядам не обеспечены взрывателями и не освоено производство бронебойных снарядов. Кроме того. Ярославский завод, рассчитанный на мощность 8</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шт. 37</w:t>
      </w:r>
      <w:r w:rsidRPr="00E93F40">
        <w:rPr>
          <w:color w:val="000000" w:themeColor="text1"/>
          <w:sz w:val="16"/>
          <w:szCs w:val="16"/>
        </w:rPr>
        <w:noBreakHyphen/>
        <w:t>мм снарядов, не будет готов к весне с.</w:t>
      </w:r>
      <w:r w:rsidR="007C1411" w:rsidRPr="00E93F40">
        <w:rPr>
          <w:color w:val="000000" w:themeColor="text1"/>
          <w:sz w:val="16"/>
          <w:szCs w:val="16"/>
        </w:rPr>
        <w:t xml:space="preserve"> </w:t>
      </w:r>
      <w:r w:rsidRPr="00E93F40">
        <w:rPr>
          <w:color w:val="000000" w:themeColor="text1"/>
          <w:sz w:val="16"/>
          <w:szCs w:val="16"/>
        </w:rPr>
        <w:t>г. и вступит в эксплуатацию, вероятно, лишь в 1933</w:t>
      </w:r>
      <w:r w:rsidR="007C1411" w:rsidRPr="00E93F40">
        <w:rPr>
          <w:color w:val="000000" w:themeColor="text1"/>
          <w:sz w:val="16"/>
          <w:szCs w:val="16"/>
        </w:rPr>
        <w:t xml:space="preserve"> </w:t>
      </w:r>
      <w:r w:rsidRPr="00E93F40">
        <w:rPr>
          <w:color w:val="000000" w:themeColor="text1"/>
          <w:sz w:val="16"/>
          <w:szCs w:val="16"/>
        </w:rPr>
        <w:t>г. 3.</w:t>
      </w:r>
      <w:r w:rsidR="007C1411" w:rsidRPr="00E93F40">
        <w:rPr>
          <w:color w:val="000000" w:themeColor="text1"/>
          <w:sz w:val="16"/>
          <w:szCs w:val="16"/>
        </w:rPr>
        <w:t xml:space="preserve"> </w:t>
      </w:r>
      <w:r w:rsidRPr="00E93F40">
        <w:rPr>
          <w:color w:val="000000" w:themeColor="text1"/>
          <w:sz w:val="16"/>
          <w:szCs w:val="16"/>
        </w:rPr>
        <w:t>Потребность по крупнокалиберным снарядам значительно превышает задания по МВ</w:t>
      </w:r>
      <w:r w:rsidRPr="00E93F40">
        <w:rPr>
          <w:color w:val="000000" w:themeColor="text1"/>
          <w:sz w:val="16"/>
          <w:szCs w:val="16"/>
        </w:rPr>
        <w:noBreakHyphen/>
        <w:t>10: заявка НКВМ</w:t>
      </w:r>
      <w:r w:rsidR="007C1411" w:rsidRPr="00E93F40">
        <w:rPr>
          <w:color w:val="000000" w:themeColor="text1"/>
          <w:sz w:val="16"/>
          <w:szCs w:val="16"/>
        </w:rPr>
        <w:t xml:space="preserve"> </w:t>
      </w:r>
      <w:r w:rsidRPr="00E93F40">
        <w:rPr>
          <w:color w:val="000000" w:themeColor="text1"/>
          <w:sz w:val="16"/>
          <w:szCs w:val="16"/>
        </w:rPr>
        <w:t>— 165</w:t>
      </w:r>
      <w:r w:rsidR="007C1411" w:rsidRPr="00E93F40">
        <w:rPr>
          <w:color w:val="000000" w:themeColor="text1"/>
          <w:sz w:val="16"/>
          <w:szCs w:val="16"/>
        </w:rPr>
        <w:t xml:space="preserve"> </w:t>
      </w:r>
      <w:r w:rsidRPr="00E93F40">
        <w:rPr>
          <w:color w:val="000000" w:themeColor="text1"/>
          <w:sz w:val="16"/>
          <w:szCs w:val="16"/>
        </w:rPr>
        <w:t>тыс. снарядов, задание по МВ</w:t>
      </w:r>
      <w:r w:rsidRPr="00E93F40">
        <w:rPr>
          <w:color w:val="000000" w:themeColor="text1"/>
          <w:sz w:val="16"/>
          <w:szCs w:val="16"/>
        </w:rPr>
        <w:noBreakHyphen/>
        <w:t>10</w:t>
      </w:r>
      <w:r w:rsidR="007C1411" w:rsidRPr="00E93F40">
        <w:rPr>
          <w:color w:val="000000" w:themeColor="text1"/>
          <w:sz w:val="16"/>
          <w:szCs w:val="16"/>
        </w:rPr>
        <w:t xml:space="preserve"> </w:t>
      </w:r>
      <w:r w:rsidRPr="00E93F40">
        <w:rPr>
          <w:color w:val="000000" w:themeColor="text1"/>
          <w:sz w:val="16"/>
          <w:szCs w:val="16"/>
        </w:rPr>
        <w:t>— 41,5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шт. Но и эти далеко недостаточные мощности к весне не будут обеспечены. 4.</w:t>
      </w:r>
      <w:r w:rsidR="007C1411" w:rsidRPr="00E93F40">
        <w:rPr>
          <w:color w:val="000000" w:themeColor="text1"/>
          <w:sz w:val="16"/>
          <w:szCs w:val="16"/>
        </w:rPr>
        <w:t xml:space="preserve"> </w:t>
      </w:r>
      <w:r w:rsidRPr="00E93F40">
        <w:rPr>
          <w:color w:val="000000" w:themeColor="text1"/>
          <w:sz w:val="16"/>
          <w:szCs w:val="16"/>
        </w:rPr>
        <w:t>Производство снарядов из сталистого чугуна не освоено большинством заводов, так что реальными выданные задания считать нельзя.</w:t>
      </w:r>
    </w:p>
    <w:p w14:paraId="31BEE8A4" w14:textId="77777777" w:rsidR="00257404" w:rsidRPr="00E93F40" w:rsidRDefault="00257404" w:rsidP="00E93F40">
      <w:pPr>
        <w:pStyle w:val="rtejustify"/>
        <w:spacing w:before="0" w:after="0"/>
        <w:rPr>
          <w:color w:val="000000" w:themeColor="text1"/>
          <w:sz w:val="16"/>
          <w:szCs w:val="16"/>
        </w:rPr>
      </w:pPr>
      <w:r w:rsidRPr="00E93F40">
        <w:rPr>
          <w:color w:val="000000" w:themeColor="text1"/>
          <w:sz w:val="16"/>
          <w:szCs w:val="16"/>
        </w:rPr>
        <w:t>По аэробомбам</w:t>
      </w:r>
    </w:p>
    <w:p w14:paraId="03EF9AD2" w14:textId="694E3E6E"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По этому важнейшему виду вооружения авиации мы имеем большое отставание, которое сохраняется и к весне с.</w:t>
      </w:r>
      <w:r w:rsidR="007C1411" w:rsidRPr="00E93F40">
        <w:rPr>
          <w:color w:val="000000" w:themeColor="text1"/>
          <w:sz w:val="16"/>
          <w:szCs w:val="16"/>
        </w:rPr>
        <w:t xml:space="preserve"> </w:t>
      </w:r>
      <w:r w:rsidRPr="00E93F40">
        <w:rPr>
          <w:color w:val="000000" w:themeColor="text1"/>
          <w:sz w:val="16"/>
          <w:szCs w:val="16"/>
        </w:rPr>
        <w:t>г. по МВ</w:t>
      </w:r>
      <w:r w:rsidRPr="00E93F40">
        <w:rPr>
          <w:color w:val="000000" w:themeColor="text1"/>
          <w:sz w:val="16"/>
          <w:szCs w:val="16"/>
        </w:rPr>
        <w:noBreakHyphen/>
        <w:t>10. Это видно из следующих цифр, полученных в МПС</w:t>
      </w:r>
      <w:r w:rsidR="007C1411" w:rsidRPr="00E93F40">
        <w:rPr>
          <w:color w:val="000000" w:themeColor="text1"/>
          <w:sz w:val="16"/>
          <w:szCs w:val="16"/>
        </w:rPr>
        <w:t xml:space="preserve"> </w:t>
      </w:r>
      <w:r w:rsidRPr="00E93F40">
        <w:rPr>
          <w:color w:val="000000" w:themeColor="text1"/>
          <w:sz w:val="16"/>
          <w:szCs w:val="16"/>
        </w:rPr>
        <w:t>ВСНХ: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1"/>
        <w:gridCol w:w="3188"/>
        <w:gridCol w:w="4504"/>
        <w:gridCol w:w="1839"/>
      </w:tblGrid>
      <w:tr w:rsidR="00DA227A" w:rsidRPr="00E93F40" w14:paraId="7151CA2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A13297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A25B3" w14:textId="31D8A28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МВ</w:t>
            </w:r>
            <w:r w:rsidRPr="00E93F40">
              <w:rPr>
                <w:rFonts w:ascii="Times New Roman" w:hAnsi="Times New Roman"/>
                <w:color w:val="000000" w:themeColor="text1"/>
                <w:sz w:val="16"/>
                <w:szCs w:val="16"/>
              </w:rPr>
              <w:noBreakHyphen/>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p>
          <w:p w14:paraId="27F526B6" w14:textId="7031DC05"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апрелю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AD024" w14:textId="72C9BDD3"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обеспечение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p>
          <w:p w14:paraId="1F6F9526" w14:textId="12E23B3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апрелю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9A2C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p>
          <w:p w14:paraId="6AA5AFA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обеспечения</w:t>
            </w:r>
          </w:p>
        </w:tc>
      </w:tr>
      <w:tr w:rsidR="00DA227A" w:rsidRPr="00E93F40" w14:paraId="2C0BD7B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9C5247D" w14:textId="6CE88C14"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АФ</w:t>
            </w:r>
            <w:r w:rsidRPr="00E93F40">
              <w:rPr>
                <w:rFonts w:ascii="Times New Roman" w:hAnsi="Times New Roman"/>
                <w:color w:val="000000" w:themeColor="text1"/>
                <w:sz w:val="16"/>
                <w:szCs w:val="16"/>
              </w:rPr>
              <w:noBreakHyphen/>
              <w:t>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5C60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A9C4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9862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w:t>
            </w:r>
          </w:p>
        </w:tc>
      </w:tr>
      <w:tr w:rsidR="00DA227A" w:rsidRPr="00E93F40" w14:paraId="1010E80B"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D5F49A4" w14:textId="7195AC22"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АХ</w:t>
            </w:r>
            <w:r w:rsidRPr="00E93F40">
              <w:rPr>
                <w:rFonts w:ascii="Times New Roman" w:hAnsi="Times New Roman"/>
                <w:color w:val="000000" w:themeColor="text1"/>
                <w:sz w:val="16"/>
                <w:szCs w:val="16"/>
              </w:rPr>
              <w:noBreakHyphen/>
              <w:t>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9015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4CACF" w14:textId="22B67E0E"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322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51FD60C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3A2AF7B" w14:textId="25355525"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АФ</w:t>
            </w:r>
            <w:r w:rsidRPr="00E93F40">
              <w:rPr>
                <w:rFonts w:ascii="Times New Roman" w:hAnsi="Times New Roman"/>
                <w:color w:val="000000" w:themeColor="text1"/>
                <w:sz w:val="16"/>
                <w:szCs w:val="16"/>
              </w:rPr>
              <w:noBreakHyphen/>
              <w:t>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32F87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Задание не размещено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2038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7249D215"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0758D61" w14:textId="284924AC"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АФ</w:t>
            </w:r>
            <w:r w:rsidRPr="00E93F40">
              <w:rPr>
                <w:rFonts w:ascii="Times New Roman" w:hAnsi="Times New Roman"/>
                <w:color w:val="000000" w:themeColor="text1"/>
                <w:sz w:val="16"/>
                <w:szCs w:val="16"/>
              </w:rPr>
              <w:noBreakHyphen/>
              <w:t>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D7DB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5150" w14:textId="7619D14C"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(произв[одство]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освоено)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5625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r>
      <w:tr w:rsidR="00DA227A" w:rsidRPr="00E93F40" w14:paraId="4FAA68B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50D57DB" w14:textId="4AF41EC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АФ</w:t>
            </w:r>
            <w:r w:rsidRPr="00E93F40">
              <w:rPr>
                <w:rFonts w:ascii="Times New Roman" w:hAnsi="Times New Roman"/>
                <w:color w:val="000000" w:themeColor="text1"/>
                <w:sz w:val="16"/>
                <w:szCs w:val="16"/>
              </w:rPr>
              <w:noBreakHyphen/>
              <w:t>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398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B1EF9" w14:textId="0F23B349"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(произв[одство]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освоено)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FFBC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r>
      <w:tr w:rsidR="00DA227A" w:rsidRPr="00E93F40" w14:paraId="5098B558"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7801E81" w14:textId="431248D0"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АФ</w:t>
            </w:r>
            <w:r w:rsidRPr="00E93F40">
              <w:rPr>
                <w:rFonts w:ascii="Times New Roman" w:hAnsi="Times New Roman"/>
                <w:color w:val="000000" w:themeColor="text1"/>
                <w:sz w:val="16"/>
                <w:szCs w:val="16"/>
              </w:rPr>
              <w:noBreakHyphen/>
              <w:t>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F158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9ADA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73F0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4EA0896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D71E2B7" w14:textId="644EEF18"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Абр</w:t>
            </w:r>
            <w:r w:rsidRPr="00E93F40">
              <w:rPr>
                <w:rFonts w:ascii="Times New Roman" w:hAnsi="Times New Roman"/>
                <w:color w:val="000000" w:themeColor="text1"/>
                <w:sz w:val="16"/>
                <w:szCs w:val="16"/>
              </w:rPr>
              <w:noBreakHyphen/>
              <w:t>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32F9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68F86"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CDA5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5B11B24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FC419F1" w14:textId="3F6237D9"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Абр</w:t>
            </w:r>
            <w:r w:rsidRPr="00E93F40">
              <w:rPr>
                <w:rFonts w:ascii="Times New Roman" w:hAnsi="Times New Roman"/>
                <w:color w:val="000000" w:themeColor="text1"/>
                <w:sz w:val="16"/>
                <w:szCs w:val="16"/>
              </w:rPr>
              <w:noBreakHyphen/>
              <w:t>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24377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Задание не размещено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0FFC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bl>
    <w:p w14:paraId="50F091ED" w14:textId="52546C53"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Таким образом, к весне можно считать реально обеспеченной мощность на 850</w:t>
      </w:r>
      <w:r w:rsidR="007C1411" w:rsidRPr="00E93F40">
        <w:rPr>
          <w:color w:val="000000" w:themeColor="text1"/>
          <w:sz w:val="16"/>
          <w:szCs w:val="16"/>
        </w:rPr>
        <w:t xml:space="preserve"> </w:t>
      </w:r>
      <w:r w:rsidRPr="00E93F40">
        <w:rPr>
          <w:color w:val="000000" w:themeColor="text1"/>
          <w:sz w:val="16"/>
          <w:szCs w:val="16"/>
        </w:rPr>
        <w:t>тыс. аэробомб весом в 50</w:t>
      </w:r>
      <w:r w:rsidR="007C1411" w:rsidRPr="00E93F40">
        <w:rPr>
          <w:color w:val="000000" w:themeColor="text1"/>
          <w:sz w:val="16"/>
          <w:szCs w:val="16"/>
        </w:rPr>
        <w:t xml:space="preserve"> </w:t>
      </w:r>
      <w:r w:rsidRPr="00E93F40">
        <w:rPr>
          <w:color w:val="000000" w:themeColor="text1"/>
          <w:sz w:val="16"/>
          <w:szCs w:val="16"/>
        </w:rPr>
        <w:t>кг. По более крупным бомбам или нет мощностей, или не освоено производство. На полное обеспечение заданий по аэробомбам можно рассчитывать лишь к 1933</w:t>
      </w:r>
      <w:r w:rsidR="007C1411" w:rsidRPr="00E93F40">
        <w:rPr>
          <w:color w:val="000000" w:themeColor="text1"/>
          <w:sz w:val="16"/>
          <w:szCs w:val="16"/>
        </w:rPr>
        <w:t xml:space="preserve"> </w:t>
      </w:r>
      <w:r w:rsidRPr="00E93F40">
        <w:rPr>
          <w:color w:val="000000" w:themeColor="text1"/>
          <w:sz w:val="16"/>
          <w:szCs w:val="16"/>
        </w:rPr>
        <w:t>г.</w:t>
      </w:r>
    </w:p>
    <w:p w14:paraId="381B05EB" w14:textId="77777777" w:rsidR="00257404" w:rsidRPr="00E93F40" w:rsidRDefault="00257404" w:rsidP="00E93F40">
      <w:pPr>
        <w:pStyle w:val="rtejustify"/>
        <w:spacing w:before="0" w:after="0"/>
        <w:rPr>
          <w:color w:val="000000" w:themeColor="text1"/>
          <w:sz w:val="16"/>
          <w:szCs w:val="16"/>
        </w:rPr>
      </w:pPr>
      <w:r w:rsidRPr="00E93F40">
        <w:rPr>
          <w:color w:val="000000" w:themeColor="text1"/>
          <w:sz w:val="16"/>
          <w:szCs w:val="16"/>
        </w:rPr>
        <w:t>По средствам связи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92"/>
        <w:gridCol w:w="2663"/>
        <w:gridCol w:w="2899"/>
        <w:gridCol w:w="1468"/>
      </w:tblGrid>
      <w:tr w:rsidR="00DA227A" w:rsidRPr="00E93F40" w14:paraId="793C63E9"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FBED385" w14:textId="404B924D" w:rsidR="007E7FF2"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59CA3" w14:textId="76BDD7AF"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МВ</w:t>
            </w:r>
            <w:r w:rsidRPr="00E93F40">
              <w:rPr>
                <w:rFonts w:ascii="Times New Roman" w:hAnsi="Times New Roman"/>
                <w:color w:val="000000" w:themeColor="text1"/>
                <w:sz w:val="16"/>
                <w:szCs w:val="16"/>
              </w:rPr>
              <w:noBreakHyphen/>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6F4D9" w14:textId="135EEE03"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мощность</w:t>
            </w:r>
          </w:p>
          <w:p w14:paraId="69BC2EA7" w14:textId="591A0096"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весне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6A66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p>
          <w:p w14:paraId="5E3A2F7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обеспечения</w:t>
            </w:r>
          </w:p>
        </w:tc>
      </w:tr>
      <w:tr w:rsidR="00DA227A" w:rsidRPr="00E93F40" w14:paraId="5BDCFDF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CD1E6D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AAFD" w14:textId="60E76379"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68BA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8FE3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r>
      <w:tr w:rsidR="00DA227A" w:rsidRPr="00E93F40" w14:paraId="5A05C314"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808985E" w14:textId="1AB695A5"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Телефонные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акк[умуляторы]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УКА</w:t>
            </w:r>
            <w:r w:rsidRPr="00E93F40">
              <w:rPr>
                <w:rFonts w:ascii="Times New Roman" w:hAnsi="Times New Roman"/>
                <w:color w:val="000000" w:themeColor="text1"/>
                <w:sz w:val="16"/>
                <w:szCs w:val="16"/>
              </w:rPr>
              <w:noBreakHyphen/>
              <w:t>Ф</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369A" w14:textId="76003363"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D6D5D" w14:textId="6B08B74D"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9643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tc>
      </w:tr>
      <w:tr w:rsidR="00DA227A" w:rsidRPr="00E93F40" w14:paraId="23A36D1E"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A19CC3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Прожекторы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BBCFC"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DDE1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D402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r w:rsidR="00DA227A" w:rsidRPr="00E93F40" w14:paraId="39DF6ED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F9DD41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Зеркальные отражатели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D648B"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7169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98C1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bl>
    <w:p w14:paraId="4BAB57CA" w14:textId="1878178E"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Приведенные цифры показывают, что по некоторым важнейшим средствам связи задания по МВ</w:t>
      </w:r>
      <w:r w:rsidRPr="00E93F40">
        <w:rPr>
          <w:color w:val="000000" w:themeColor="text1"/>
          <w:sz w:val="16"/>
          <w:szCs w:val="16"/>
        </w:rPr>
        <w:noBreakHyphen/>
        <w:t>10 не будут обеспечены, что может быть достигнуто лишь к концу 1932</w:t>
      </w:r>
      <w:r w:rsidR="007C1411" w:rsidRPr="00E93F40">
        <w:rPr>
          <w:color w:val="000000" w:themeColor="text1"/>
          <w:sz w:val="16"/>
          <w:szCs w:val="16"/>
        </w:rPr>
        <w:t xml:space="preserve"> </w:t>
      </w:r>
      <w:r w:rsidRPr="00E93F40">
        <w:rPr>
          <w:color w:val="000000" w:themeColor="text1"/>
          <w:sz w:val="16"/>
          <w:szCs w:val="16"/>
        </w:rPr>
        <w:t>г.</w:t>
      </w:r>
    </w:p>
    <w:p w14:paraId="0753B0A3" w14:textId="7777777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lastRenderedPageBreak/>
        <w:t>Выше была дана характеристика положения по некоторым основным видам боевого снабжения РККА. Она свидетельствует о явном неблагополучии, которое мы имеем в данное время в области мобилизационной подготовки промышленности. Этот вывод не меняется от того, что по отдельным видам вооружения, как ручное оружие и танки, положение более благоприятное.</w:t>
      </w:r>
    </w:p>
    <w:p w14:paraId="30ABFEEF" w14:textId="5E7A2371" w:rsidR="00257404" w:rsidRPr="00E93F40" w:rsidRDefault="00257404" w:rsidP="00E93F40">
      <w:pPr>
        <w:pStyle w:val="rtejustify"/>
        <w:spacing w:before="0" w:after="0"/>
        <w:rPr>
          <w:color w:val="000000" w:themeColor="text1"/>
          <w:sz w:val="16"/>
          <w:szCs w:val="16"/>
        </w:rPr>
      </w:pPr>
      <w:r w:rsidRPr="00E93F40">
        <w:rPr>
          <w:color w:val="000000" w:themeColor="text1"/>
          <w:sz w:val="16"/>
          <w:szCs w:val="16"/>
        </w:rPr>
        <w:t>III. План на 1932</w:t>
      </w:r>
      <w:r w:rsidR="007C1411" w:rsidRPr="00E93F40">
        <w:rPr>
          <w:color w:val="000000" w:themeColor="text1"/>
          <w:sz w:val="16"/>
          <w:szCs w:val="16"/>
        </w:rPr>
        <w:t xml:space="preserve"> </w:t>
      </w:r>
      <w:r w:rsidRPr="00E93F40">
        <w:rPr>
          <w:color w:val="000000" w:themeColor="text1"/>
          <w:sz w:val="16"/>
          <w:szCs w:val="16"/>
        </w:rPr>
        <w:t>г. и перспектива на 1933</w:t>
      </w:r>
      <w:r w:rsidR="007C1411" w:rsidRPr="00E93F40">
        <w:rPr>
          <w:color w:val="000000" w:themeColor="text1"/>
          <w:sz w:val="16"/>
          <w:szCs w:val="16"/>
        </w:rPr>
        <w:t xml:space="preserve"> </w:t>
      </w:r>
      <w:r w:rsidRPr="00E93F40">
        <w:rPr>
          <w:color w:val="000000" w:themeColor="text1"/>
          <w:sz w:val="16"/>
          <w:szCs w:val="16"/>
        </w:rPr>
        <w:t>г.</w:t>
      </w:r>
    </w:p>
    <w:p w14:paraId="515FE69F" w14:textId="2602EC1B"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При таком положении в оборонной подготовке промышленности основная задача 1932</w:t>
      </w:r>
      <w:r w:rsidR="007C1411" w:rsidRPr="00E93F40">
        <w:rPr>
          <w:color w:val="000000" w:themeColor="text1"/>
          <w:sz w:val="16"/>
          <w:szCs w:val="16"/>
        </w:rPr>
        <w:t xml:space="preserve"> </w:t>
      </w:r>
      <w:r w:rsidRPr="00E93F40">
        <w:rPr>
          <w:color w:val="000000" w:themeColor="text1"/>
          <w:sz w:val="16"/>
          <w:szCs w:val="16"/>
        </w:rPr>
        <w:t>г. сводится к тому, чтобы полностью обеспечить мобилизацию промышленности и в 1933</w:t>
      </w:r>
      <w:r w:rsidR="007C1411" w:rsidRPr="00E93F40">
        <w:rPr>
          <w:color w:val="000000" w:themeColor="text1"/>
          <w:sz w:val="16"/>
          <w:szCs w:val="16"/>
        </w:rPr>
        <w:t xml:space="preserve"> </w:t>
      </w:r>
      <w:r w:rsidRPr="00E93F40">
        <w:rPr>
          <w:color w:val="000000" w:themeColor="text1"/>
          <w:sz w:val="16"/>
          <w:szCs w:val="16"/>
        </w:rPr>
        <w:t>г. на уровне МВ</w:t>
      </w:r>
      <w:r w:rsidRPr="00E93F40">
        <w:rPr>
          <w:color w:val="000000" w:themeColor="text1"/>
          <w:sz w:val="16"/>
          <w:szCs w:val="16"/>
        </w:rPr>
        <w:noBreakHyphen/>
        <w:t>10.</w:t>
      </w:r>
    </w:p>
    <w:p w14:paraId="671F4CC2" w14:textId="2AAE4DE3"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Исходя из такой установки, а также из имеющихся постановлений Комиссии обороны, Госплан запроектировал план оборонного капитального строительства в следующем объеме: по военной промышленности (без ВАО)</w:t>
      </w:r>
      <w:r w:rsidR="007C1411" w:rsidRPr="00E93F40">
        <w:rPr>
          <w:color w:val="000000" w:themeColor="text1"/>
          <w:sz w:val="16"/>
          <w:szCs w:val="16"/>
        </w:rPr>
        <w:t xml:space="preserve"> </w:t>
      </w:r>
      <w:r w:rsidRPr="00E93F40">
        <w:rPr>
          <w:color w:val="000000" w:themeColor="text1"/>
          <w:sz w:val="16"/>
          <w:szCs w:val="16"/>
        </w:rPr>
        <w:t>— 468</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по военным производствам гражданской промышленности</w:t>
      </w:r>
      <w:r w:rsidR="007C1411" w:rsidRPr="00E93F40">
        <w:rPr>
          <w:color w:val="000000" w:themeColor="text1"/>
          <w:sz w:val="16"/>
          <w:szCs w:val="16"/>
        </w:rPr>
        <w:t xml:space="preserve"> </w:t>
      </w:r>
      <w:r w:rsidRPr="00E93F40">
        <w:rPr>
          <w:color w:val="000000" w:themeColor="text1"/>
          <w:sz w:val="16"/>
          <w:szCs w:val="16"/>
        </w:rPr>
        <w:t>— 260</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В специальных докладных записках в Комиссию обороны Госплан просил утвердить указанные ассигнования. Одновременно Госплан докладывал, что эти ассигнования, особенно при крайне незначительном импорте, не обеспечивают выполнения всех постановлений правительства к началу 1933</w:t>
      </w:r>
      <w:r w:rsidR="007C1411" w:rsidRPr="00E93F40">
        <w:rPr>
          <w:color w:val="000000" w:themeColor="text1"/>
          <w:sz w:val="16"/>
          <w:szCs w:val="16"/>
        </w:rPr>
        <w:t xml:space="preserve"> </w:t>
      </w:r>
      <w:r w:rsidRPr="00E93F40">
        <w:rPr>
          <w:color w:val="000000" w:themeColor="text1"/>
          <w:sz w:val="16"/>
          <w:szCs w:val="16"/>
        </w:rPr>
        <w:t>г. Однако проектировать больший объем строительства не представлялось целесообразным, так как невозможно будет обеспечить план оборудованием и стройматериалами.</w:t>
      </w:r>
    </w:p>
    <w:p w14:paraId="36D09701" w14:textId="1EFBA88D"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В этой связи необходимо отметить, что НКВМ в своих мобилизационных расчетах исходит из того предположения, что МВ</w:t>
      </w:r>
      <w:r w:rsidRPr="00E93F40">
        <w:rPr>
          <w:color w:val="000000" w:themeColor="text1"/>
          <w:sz w:val="16"/>
          <w:szCs w:val="16"/>
        </w:rPr>
        <w:noBreakHyphen/>
        <w:t>10 обеспечен со стороны промышленности уже в 1931</w:t>
      </w:r>
      <w:r w:rsidR="007C1411" w:rsidRPr="00E93F40">
        <w:rPr>
          <w:color w:val="000000" w:themeColor="text1"/>
          <w:sz w:val="16"/>
          <w:szCs w:val="16"/>
        </w:rPr>
        <w:t xml:space="preserve"> </w:t>
      </w:r>
      <w:r w:rsidRPr="00E93F40">
        <w:rPr>
          <w:color w:val="000000" w:themeColor="text1"/>
          <w:sz w:val="16"/>
          <w:szCs w:val="16"/>
        </w:rPr>
        <w:t>г., что к весне 1932</w:t>
      </w:r>
      <w:r w:rsidR="007C1411" w:rsidRPr="00E93F40">
        <w:rPr>
          <w:color w:val="000000" w:themeColor="text1"/>
          <w:sz w:val="16"/>
          <w:szCs w:val="16"/>
        </w:rPr>
        <w:t xml:space="preserve"> </w:t>
      </w:r>
      <w:r w:rsidRPr="00E93F40">
        <w:rPr>
          <w:color w:val="000000" w:themeColor="text1"/>
          <w:sz w:val="16"/>
          <w:szCs w:val="16"/>
        </w:rPr>
        <w:t>г. промышленность обеспечивает более высокий вариант №</w:t>
      </w:r>
      <w:r w:rsidR="007C1411" w:rsidRPr="00E93F40">
        <w:rPr>
          <w:color w:val="000000" w:themeColor="text1"/>
          <w:sz w:val="16"/>
          <w:szCs w:val="16"/>
        </w:rPr>
        <w:t xml:space="preserve"> </w:t>
      </w:r>
      <w:r w:rsidRPr="00E93F40">
        <w:rPr>
          <w:color w:val="000000" w:themeColor="text1"/>
          <w:sz w:val="16"/>
          <w:szCs w:val="16"/>
        </w:rPr>
        <w:t>11, а к весне 1933</w:t>
      </w:r>
      <w:r w:rsidR="007C1411" w:rsidRPr="00E93F40">
        <w:rPr>
          <w:color w:val="000000" w:themeColor="text1"/>
          <w:sz w:val="16"/>
          <w:szCs w:val="16"/>
        </w:rPr>
        <w:t xml:space="preserve"> </w:t>
      </w:r>
      <w:r w:rsidRPr="00E93F40">
        <w:rPr>
          <w:color w:val="000000" w:themeColor="text1"/>
          <w:sz w:val="16"/>
          <w:szCs w:val="16"/>
        </w:rPr>
        <w:t>г. будет подготовлен вариант №</w:t>
      </w:r>
      <w:r w:rsidR="007C1411" w:rsidRPr="00E93F40">
        <w:rPr>
          <w:color w:val="000000" w:themeColor="text1"/>
          <w:sz w:val="16"/>
          <w:szCs w:val="16"/>
        </w:rPr>
        <w:t xml:space="preserve"> </w:t>
      </w:r>
      <w:r w:rsidRPr="00E93F40">
        <w:rPr>
          <w:color w:val="000000" w:themeColor="text1"/>
          <w:sz w:val="16"/>
          <w:szCs w:val="16"/>
        </w:rPr>
        <w:t>12, который в 2</w:t>
      </w:r>
      <w:r w:rsidRPr="00E93F40">
        <w:rPr>
          <w:color w:val="000000" w:themeColor="text1"/>
          <w:sz w:val="16"/>
          <w:szCs w:val="16"/>
        </w:rPr>
        <w:noBreakHyphen/>
        <w:t>3</w:t>
      </w:r>
      <w:r w:rsidR="007C1411" w:rsidRPr="00E93F40">
        <w:rPr>
          <w:color w:val="000000" w:themeColor="text1"/>
          <w:sz w:val="16"/>
          <w:szCs w:val="16"/>
        </w:rPr>
        <w:t xml:space="preserve"> </w:t>
      </w:r>
      <w:r w:rsidRPr="00E93F40">
        <w:rPr>
          <w:color w:val="000000" w:themeColor="text1"/>
          <w:sz w:val="16"/>
          <w:szCs w:val="16"/>
        </w:rPr>
        <w:t>раза превышает задания по МВ</w:t>
      </w:r>
      <w:r w:rsidRPr="00E93F40">
        <w:rPr>
          <w:color w:val="000000" w:themeColor="text1"/>
          <w:sz w:val="16"/>
          <w:szCs w:val="16"/>
        </w:rPr>
        <w:noBreakHyphen/>
        <w:t>10. Ввиду отставания промышленности создается опасный разрыв между мобилизационными планами НКВМ и промышленности. Необходимо поэтому безотлагательно решить вопрос о мобварианте №</w:t>
      </w:r>
      <w:r w:rsidR="007C1411" w:rsidRPr="00E93F40">
        <w:rPr>
          <w:color w:val="000000" w:themeColor="text1"/>
          <w:sz w:val="16"/>
          <w:szCs w:val="16"/>
        </w:rPr>
        <w:t xml:space="preserve"> </w:t>
      </w:r>
      <w:r w:rsidRPr="00E93F40">
        <w:rPr>
          <w:color w:val="000000" w:themeColor="text1"/>
          <w:sz w:val="16"/>
          <w:szCs w:val="16"/>
        </w:rPr>
        <w:t>12 для того, чтобы и промышленность и НКВМ исходили из одного уровня подачи предметов вооружения и из одних сроков мобготовности. Доклад и предложения по этому вопросу от имени правительственной комиссии т.</w:t>
      </w:r>
      <w:r w:rsidR="007C1411" w:rsidRPr="00E93F40">
        <w:rPr>
          <w:color w:val="000000" w:themeColor="text1"/>
          <w:sz w:val="16"/>
          <w:szCs w:val="16"/>
        </w:rPr>
        <w:t xml:space="preserve"> </w:t>
      </w:r>
      <w:hyperlink r:id="rId10" w:history="1">
        <w:r w:rsidRPr="00E93F40">
          <w:rPr>
            <w:color w:val="000000" w:themeColor="text1"/>
            <w:sz w:val="16"/>
            <w:szCs w:val="16"/>
          </w:rPr>
          <w:t>Ломова</w:t>
        </w:r>
      </w:hyperlink>
      <w:r w:rsidRPr="00E93F40">
        <w:rPr>
          <w:color w:val="000000" w:themeColor="text1"/>
          <w:sz w:val="16"/>
          <w:szCs w:val="16"/>
        </w:rPr>
        <w:t xml:space="preserve"> внесены в Комиссию обороны.</w:t>
      </w:r>
    </w:p>
    <w:p w14:paraId="7B3DC3BF" w14:textId="762EC6AA"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К сказанному необходимо еще добавить, что общепромышленный план капитального строительства на 1932</w:t>
      </w:r>
      <w:r w:rsidR="007C1411" w:rsidRPr="00E93F40">
        <w:rPr>
          <w:color w:val="000000" w:themeColor="text1"/>
          <w:sz w:val="16"/>
          <w:szCs w:val="16"/>
        </w:rPr>
        <w:t xml:space="preserve"> </w:t>
      </w:r>
      <w:r w:rsidRPr="00E93F40">
        <w:rPr>
          <w:color w:val="000000" w:themeColor="text1"/>
          <w:sz w:val="16"/>
          <w:szCs w:val="16"/>
        </w:rPr>
        <w:t>г. не обеспечивает оборонной программы ни по химии, ни по цветным металлам. После окончательной сверстки плана Госплан доложит об этом более подробно.</w:t>
      </w:r>
    </w:p>
    <w:p w14:paraId="0B8B740C" w14:textId="77777777" w:rsidR="00257404" w:rsidRPr="00E93F40" w:rsidRDefault="00257404" w:rsidP="00E93F40">
      <w:pPr>
        <w:pStyle w:val="rtejustify"/>
        <w:spacing w:before="0" w:after="0"/>
        <w:rPr>
          <w:color w:val="000000" w:themeColor="text1"/>
          <w:sz w:val="16"/>
          <w:szCs w:val="16"/>
        </w:rPr>
      </w:pPr>
      <w:r w:rsidRPr="00E93F40">
        <w:rPr>
          <w:color w:val="000000" w:themeColor="text1"/>
          <w:sz w:val="16"/>
          <w:szCs w:val="16"/>
        </w:rPr>
        <w:t>IV. Кооперирование и ассимиляция военных производств</w:t>
      </w:r>
    </w:p>
    <w:p w14:paraId="7FEF94FF" w14:textId="7777777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В основном создание военно-производственной базы идет у нас по линии строительства кадровых военных заводов и военных цехов на гражданских заводах. Бесспорно, что мы должны иметь мощную кадровую военную промышленность. Но мы не должны ограничиваться только этим. Большой оборонной программы на базе одной только военной промышленности мы не обеспечим, так как строительство военных заводов стоит очень дорого, влечет за собой омертвление громадных капиталов и дает сравнительно узкую производственную базу.</w:t>
      </w:r>
    </w:p>
    <w:p w14:paraId="2533F406" w14:textId="3B793525"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Опыт иностранных государств в мировую войну и в послевоенное время, а также наш собственный небольшой опыт, доказывает, что вывести оборонную подготовку на широкую дорогу и обеспечить ей высокие темпы можно лишь при базировании этой подготовки на широком использовании общепромышленной индустриальной базы. Это доказывается двумя примерами из нашего опыта</w:t>
      </w:r>
      <w:r w:rsidR="007C1411" w:rsidRPr="00E93F40">
        <w:rPr>
          <w:color w:val="000000" w:themeColor="text1"/>
          <w:sz w:val="16"/>
          <w:szCs w:val="16"/>
        </w:rPr>
        <w:t xml:space="preserve"> </w:t>
      </w:r>
      <w:r w:rsidRPr="00E93F40">
        <w:rPr>
          <w:color w:val="000000" w:themeColor="text1"/>
          <w:sz w:val="16"/>
          <w:szCs w:val="16"/>
        </w:rPr>
        <w:t>— разрешением танковой и пороховой проблем. Совершенно очевидно, что без ассимиляции танкового производства на автотракторных заводах, а порохового на фабриках искусственного волокна мы не смогли бы в короткий срок создать мощные производственные базы ни по танкам, ни по порохам.</w:t>
      </w:r>
    </w:p>
    <w:p w14:paraId="5525478C" w14:textId="66015EF6"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Этим далеко не исчерпываются наши возможности. Громаднейший производственный эффект можно получить при широком кооперировании производства военных изделий между военными и гражданскими заводами. При специализации кадровых заводов на производстве наиболее ответственных и точных частей изделия (орудия, пулемета, винтовки и</w:t>
      </w:r>
      <w:r w:rsidR="007C1411" w:rsidRPr="00E93F40">
        <w:rPr>
          <w:color w:val="000000" w:themeColor="text1"/>
          <w:sz w:val="16"/>
          <w:szCs w:val="16"/>
        </w:rPr>
        <w:t xml:space="preserve"> </w:t>
      </w:r>
      <w:r w:rsidRPr="00E93F40">
        <w:rPr>
          <w:color w:val="000000" w:themeColor="text1"/>
          <w:sz w:val="16"/>
          <w:szCs w:val="16"/>
        </w:rPr>
        <w:t>пр.) и при кооперировании их с гражданскими заводами, на которых установлено производство остальных частей изделия, можно в короткий срок резко повысить наши военно-производственные возможности. Кооперирование на основе узкой специализации можно применять и между одними гражданскими заводами. При такой системе подготовки можно использовать с большой эффективностью немалое количество гражданских заводов, которые теперь не используются или используются нерационально.</w:t>
      </w:r>
    </w:p>
    <w:p w14:paraId="123696A3" w14:textId="5F17BDE9"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Громадное значение кооперирования заводов признают теперь все. В частности, получает общее признание утверждение, что кооперировать можно не только производство выстрела, что делала и царская Россия, но и производство винтовки, пулемета, орудийной системы и многих других предметов вооружения. Но за признанием этого на словах не следуют вытекающие отсюда действия. Продолжается топтание на месте в течение нескольких лет. Никаких конкретных сдвигов не намечается и в 1932</w:t>
      </w:r>
      <w:r w:rsidR="007C1411" w:rsidRPr="00E93F40">
        <w:rPr>
          <w:color w:val="000000" w:themeColor="text1"/>
          <w:sz w:val="16"/>
          <w:szCs w:val="16"/>
        </w:rPr>
        <w:t xml:space="preserve"> </w:t>
      </w:r>
      <w:r w:rsidRPr="00E93F40">
        <w:rPr>
          <w:color w:val="000000" w:themeColor="text1"/>
          <w:sz w:val="16"/>
          <w:szCs w:val="16"/>
        </w:rPr>
        <w:t>г. Консерватизм мобилизационного аппарата промышленности настолько велик, что все попытки сдвинуть дело кооперирования с мертвой точки не дают успеха. Госплан неоднократно ставил этот вопрос перед МПС</w:t>
      </w:r>
      <w:r w:rsidR="007C1411" w:rsidRPr="00E93F40">
        <w:rPr>
          <w:color w:val="000000" w:themeColor="text1"/>
          <w:sz w:val="16"/>
          <w:szCs w:val="16"/>
        </w:rPr>
        <w:t xml:space="preserve"> </w:t>
      </w:r>
      <w:r w:rsidRPr="00E93F40">
        <w:rPr>
          <w:color w:val="000000" w:themeColor="text1"/>
          <w:sz w:val="16"/>
          <w:szCs w:val="16"/>
        </w:rPr>
        <w:t>ВСНХ, не раз давались прямые задания правительства, но заметного сдвига нет. В частности, Сектор обороны Госплана начал в 1931</w:t>
      </w:r>
      <w:r w:rsidR="007C1411" w:rsidRPr="00E93F40">
        <w:rPr>
          <w:color w:val="000000" w:themeColor="text1"/>
          <w:sz w:val="16"/>
          <w:szCs w:val="16"/>
        </w:rPr>
        <w:t xml:space="preserve"> </w:t>
      </w:r>
      <w:r w:rsidRPr="00E93F40">
        <w:rPr>
          <w:color w:val="000000" w:themeColor="text1"/>
          <w:sz w:val="16"/>
          <w:szCs w:val="16"/>
        </w:rPr>
        <w:t>г. своими силами проработку вопроса о кооперировании пулеметного производства и получил выводы, полностью подтверждающие выгодность этого дела. Но окончание работы уперлось в равнодушие МПС</w:t>
      </w:r>
      <w:r w:rsidR="007C1411" w:rsidRPr="00E93F40">
        <w:rPr>
          <w:color w:val="000000" w:themeColor="text1"/>
          <w:sz w:val="16"/>
          <w:szCs w:val="16"/>
        </w:rPr>
        <w:t xml:space="preserve"> </w:t>
      </w:r>
      <w:r w:rsidRPr="00E93F40">
        <w:rPr>
          <w:color w:val="000000" w:themeColor="text1"/>
          <w:sz w:val="16"/>
          <w:szCs w:val="16"/>
        </w:rPr>
        <w:t>ВСНХ.</w:t>
      </w:r>
    </w:p>
    <w:p w14:paraId="533D9759" w14:textId="4A8688A0"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По мнению Госплана, одной из важнейших задач в области оборонной подготовки промышленности в 1932</w:t>
      </w:r>
      <w:r w:rsidR="007C1411" w:rsidRPr="00E93F40">
        <w:rPr>
          <w:color w:val="000000" w:themeColor="text1"/>
          <w:sz w:val="16"/>
          <w:szCs w:val="16"/>
        </w:rPr>
        <w:t xml:space="preserve"> </w:t>
      </w:r>
      <w:r w:rsidRPr="00E93F40">
        <w:rPr>
          <w:color w:val="000000" w:themeColor="text1"/>
          <w:sz w:val="16"/>
          <w:szCs w:val="16"/>
        </w:rPr>
        <w:t>г. является подготовка широкого кооперирования военных производств. В этот вопрос теперь упирается дальнейший подъем нашей обороноспособности. Госплан полагает, что [для] обеспечения перелома в этом деле недостаточно одной категорической директивы Президиуму ВСНХ. Необходимо создать для этого постоянную правительственную комиссию, которая должна переломить сопротивление аппарата, организовать разработку всех проблем кооперирования, мобилизовать для этого нужные силы и обеспечить скотический²* переход от разговоров на тему о кооперировании к практическому развертыванию кооперирования.</w:t>
      </w:r>
    </w:p>
    <w:p w14:paraId="7CE40AA5" w14:textId="77777777" w:rsidR="00257404" w:rsidRPr="00E93F40" w:rsidRDefault="00257404" w:rsidP="00E93F40">
      <w:pPr>
        <w:pStyle w:val="rtejustify"/>
        <w:spacing w:before="0" w:after="0"/>
        <w:rPr>
          <w:color w:val="000000" w:themeColor="text1"/>
          <w:sz w:val="16"/>
          <w:szCs w:val="16"/>
        </w:rPr>
      </w:pPr>
      <w:r w:rsidRPr="00E93F40">
        <w:rPr>
          <w:color w:val="000000" w:themeColor="text1"/>
          <w:sz w:val="16"/>
          <w:szCs w:val="16"/>
        </w:rPr>
        <w:t>V. Предложения</w:t>
      </w:r>
    </w:p>
    <w:p w14:paraId="53794990" w14:textId="7777777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На основании вышеизложенного Госплан предлагает:</w:t>
      </w:r>
    </w:p>
    <w:p w14:paraId="6F07E942" w14:textId="5EF92DD1"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Обязать ВСНХ составить и ввести в действие с 1</w:t>
      </w:r>
      <w:r w:rsidR="007C1411" w:rsidRPr="00E93F40">
        <w:rPr>
          <w:color w:val="000000" w:themeColor="text1"/>
          <w:sz w:val="16"/>
          <w:szCs w:val="16"/>
        </w:rPr>
        <w:t xml:space="preserve"> </w:t>
      </w:r>
      <w:r w:rsidRPr="00E93F40">
        <w:rPr>
          <w:color w:val="000000" w:themeColor="text1"/>
          <w:sz w:val="16"/>
          <w:szCs w:val="16"/>
        </w:rPr>
        <w:t>мая 1932</w:t>
      </w:r>
      <w:r w:rsidR="007C1411" w:rsidRPr="00E93F40">
        <w:rPr>
          <w:color w:val="000000" w:themeColor="text1"/>
          <w:sz w:val="16"/>
          <w:szCs w:val="16"/>
        </w:rPr>
        <w:t xml:space="preserve"> </w:t>
      </w:r>
      <w:r w:rsidRPr="00E93F40">
        <w:rPr>
          <w:color w:val="000000" w:themeColor="text1"/>
          <w:sz w:val="16"/>
          <w:szCs w:val="16"/>
        </w:rPr>
        <w:t>г. мобплан МВ</w:t>
      </w:r>
      <w:r w:rsidRPr="00E93F40">
        <w:rPr>
          <w:color w:val="000000" w:themeColor="text1"/>
          <w:sz w:val="16"/>
          <w:szCs w:val="16"/>
        </w:rPr>
        <w:noBreakHyphen/>
        <w:t>10 на основе реально достигнутых мощностей, не допуская в мобплане никаких условностей, делающих его нереальным.</w:t>
      </w:r>
    </w:p>
    <w:p w14:paraId="1D8C81EA" w14:textId="7777777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Предложить ВСНХ к этому же сроку разработать систему мероприятий, рассчитанных на военное время и обеспечивающих дополнительное наращивание мощностей в первый год войны, показав в приложении к мобплану то конкретное увеличение подачи боевого снабжения, которое будет получено в результате этого наращивания мощностей.</w:t>
      </w:r>
    </w:p>
    <w:p w14:paraId="3260A814" w14:textId="064C329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Срочно рассмотреть план оборонного капитального строительства на 1932</w:t>
      </w:r>
      <w:r w:rsidR="007C1411" w:rsidRPr="00E93F40">
        <w:rPr>
          <w:color w:val="000000" w:themeColor="text1"/>
          <w:sz w:val="16"/>
          <w:szCs w:val="16"/>
        </w:rPr>
        <w:t xml:space="preserve"> </w:t>
      </w:r>
      <w:r w:rsidRPr="00E93F40">
        <w:rPr>
          <w:color w:val="000000" w:themeColor="text1"/>
          <w:sz w:val="16"/>
          <w:szCs w:val="16"/>
        </w:rPr>
        <w:t>г. и утвердить объем строительства по военной промышленности</w:t>
      </w:r>
      <w:r w:rsidR="007C1411" w:rsidRPr="00E93F40">
        <w:rPr>
          <w:color w:val="000000" w:themeColor="text1"/>
          <w:sz w:val="16"/>
          <w:szCs w:val="16"/>
        </w:rPr>
        <w:t xml:space="preserve"> </w:t>
      </w:r>
      <w:r w:rsidRPr="00E93F40">
        <w:rPr>
          <w:color w:val="000000" w:themeColor="text1"/>
          <w:sz w:val="16"/>
          <w:szCs w:val="16"/>
        </w:rPr>
        <w:t>— 468</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и по военным производствам гражданской промышленности</w:t>
      </w:r>
      <w:r w:rsidR="007C1411" w:rsidRPr="00E93F40">
        <w:rPr>
          <w:color w:val="000000" w:themeColor="text1"/>
          <w:sz w:val="16"/>
          <w:szCs w:val="16"/>
        </w:rPr>
        <w:t xml:space="preserve"> </w:t>
      </w:r>
      <w:r w:rsidRPr="00E93F40">
        <w:rPr>
          <w:color w:val="000000" w:themeColor="text1"/>
          <w:sz w:val="16"/>
          <w:szCs w:val="16"/>
        </w:rPr>
        <w:t>— 260</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w:t>
      </w:r>
    </w:p>
    <w:p w14:paraId="411CD857" w14:textId="49CF9B04"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Срочно рассмотреть вопрос о заявке НКВМ по варианту №</w:t>
      </w:r>
      <w:r w:rsidR="007C1411" w:rsidRPr="00E93F40">
        <w:rPr>
          <w:color w:val="000000" w:themeColor="text1"/>
          <w:sz w:val="16"/>
          <w:szCs w:val="16"/>
        </w:rPr>
        <w:t xml:space="preserve"> </w:t>
      </w:r>
      <w:r w:rsidRPr="00E93F40">
        <w:rPr>
          <w:color w:val="000000" w:themeColor="text1"/>
          <w:sz w:val="16"/>
          <w:szCs w:val="16"/>
        </w:rPr>
        <w:t>12 и утвердить предложения Комиссии т.</w:t>
      </w:r>
      <w:r w:rsidR="007C1411" w:rsidRPr="00E93F40">
        <w:rPr>
          <w:color w:val="000000" w:themeColor="text1"/>
          <w:sz w:val="16"/>
          <w:szCs w:val="16"/>
        </w:rPr>
        <w:t xml:space="preserve"> </w:t>
      </w:r>
      <w:r w:rsidRPr="00E93F40">
        <w:rPr>
          <w:color w:val="000000" w:themeColor="text1"/>
          <w:sz w:val="16"/>
          <w:szCs w:val="16"/>
        </w:rPr>
        <w:t>Ломова.</w:t>
      </w:r>
    </w:p>
    <w:p w14:paraId="0AA4499D" w14:textId="79A0E4C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Поручить ВСНХ, Госплану и НКВМ в двухдекадный срок проработать вопрос об артвыстреле в плане 1932</w:t>
      </w:r>
      <w:r w:rsidR="007C1411" w:rsidRPr="00E93F40">
        <w:rPr>
          <w:color w:val="000000" w:themeColor="text1"/>
          <w:sz w:val="16"/>
          <w:szCs w:val="16"/>
        </w:rPr>
        <w:t xml:space="preserve"> </w:t>
      </w:r>
      <w:r w:rsidRPr="00E93F40">
        <w:rPr>
          <w:color w:val="000000" w:themeColor="text1"/>
          <w:sz w:val="16"/>
          <w:szCs w:val="16"/>
        </w:rPr>
        <w:t>г. с целью обеспечения полного соответствия всех его элементов и калибров снарядов и целесообразного географического размещения.</w:t>
      </w:r>
    </w:p>
    <w:p w14:paraId="5BA8D4DD" w14:textId="35FD44DA"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Создать постоянную правительственную комиссию по кооперированию военных производств.</w:t>
      </w:r>
    </w:p>
    <w:p w14:paraId="76FB1167" w14:textId="77777777" w:rsidR="007E7FF2" w:rsidRPr="00E93F40" w:rsidRDefault="007E7FF2"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Зам. председателя Госплана СССР </w:t>
      </w:r>
      <w:hyperlink r:id="rId11" w:history="1">
        <w:r w:rsidRPr="00E93F40">
          <w:rPr>
            <w:rStyle w:val="af0"/>
            <w:i w:val="0"/>
            <w:color w:val="000000" w:themeColor="text1"/>
            <w:sz w:val="16"/>
            <w:szCs w:val="16"/>
          </w:rPr>
          <w:t>Уншлихт</w:t>
        </w:r>
      </w:hyperlink>
    </w:p>
    <w:p w14:paraId="18D78492" w14:textId="77777777" w:rsidR="007E7FF2" w:rsidRPr="00E93F40" w:rsidRDefault="007E7FF2"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1F059B19" w14:textId="31D85814"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Копия направлена председателю Комиссии обороны В.</w:t>
      </w:r>
      <w:r w:rsidR="007C1411" w:rsidRPr="00E93F40">
        <w:rPr>
          <w:color w:val="000000" w:themeColor="text1"/>
          <w:sz w:val="16"/>
          <w:szCs w:val="16"/>
        </w:rPr>
        <w:t xml:space="preserve"> </w:t>
      </w:r>
      <w:r w:rsidRPr="00E93F40">
        <w:rPr>
          <w:color w:val="000000" w:themeColor="text1"/>
          <w:sz w:val="16"/>
          <w:szCs w:val="16"/>
        </w:rPr>
        <w:t>М.</w:t>
      </w:r>
      <w:r w:rsidR="007C1411" w:rsidRPr="00E93F40">
        <w:rPr>
          <w:color w:val="000000" w:themeColor="text1"/>
          <w:sz w:val="16"/>
          <w:szCs w:val="16"/>
        </w:rPr>
        <w:t xml:space="preserve"> </w:t>
      </w:r>
      <w:r w:rsidRPr="00E93F40">
        <w:rPr>
          <w:color w:val="000000" w:themeColor="text1"/>
          <w:sz w:val="16"/>
          <w:szCs w:val="16"/>
        </w:rPr>
        <w:t>Молотову.</w:t>
      </w:r>
    </w:p>
    <w:p w14:paraId="351BE18E" w14:textId="4AE9CC7E"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w:t>
      </w:r>
    </w:p>
    <w:p w14:paraId="09A8C567" w14:textId="77777777"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rPr>
        <w:t>РГАЭ. Ф. 4372. Оп. 91. Д. 951. Л. 94—81. Копия.</w:t>
      </w:r>
    </w:p>
    <w:p w14:paraId="2AA9B877" w14:textId="4DFC03CD"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РГАЭ. Ф. 4372. Оп. 91. Д. 951. Л. 94—81. Копия. </w:t>
      </w:r>
    </w:p>
    <w:p w14:paraId="4C1681F9" w14:textId="7663A29B"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607-613 (12547).</w:t>
      </w:r>
    </w:p>
    <w:p w14:paraId="16851802" w14:textId="77777777" w:rsidR="007E7FF2" w:rsidRPr="00E93F40" w:rsidRDefault="007E7FF2" w:rsidP="00E93F40">
      <w:pPr>
        <w:spacing w:after="0" w:line="240" w:lineRule="auto"/>
        <w:jc w:val="both"/>
        <w:rPr>
          <w:rFonts w:ascii="Times New Roman" w:hAnsi="Times New Roman"/>
          <w:color w:val="000000" w:themeColor="text1"/>
          <w:sz w:val="16"/>
          <w:szCs w:val="16"/>
        </w:rPr>
      </w:pPr>
    </w:p>
    <w:p w14:paraId="0AF6C372" w14:textId="77777777" w:rsidR="00257404" w:rsidRPr="00E93F40" w:rsidRDefault="00257404"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bCs/>
          <w:color w:val="000000" w:themeColor="text1"/>
          <w:sz w:val="16"/>
          <w:szCs w:val="16"/>
        </w:rPr>
        <w:t>9 января 1932 г. — Справка заместителя наркома по военным и морским делам СССР и председателя Реввоенсовета СССР М. Н. Тухачевского о выполнении плана заказов по вооружению за 1931 г.</w:t>
      </w:r>
    </w:p>
    <w:p w14:paraId="37B4A12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p w14:paraId="27979D4E" w14:textId="5072C006"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Итоги выполнения промышленностью плана заказов по вооружению за 1931</w:t>
      </w:r>
      <w:r w:rsidR="007C1411" w:rsidRPr="00E93F40">
        <w:rPr>
          <w:color w:val="000000" w:themeColor="text1"/>
          <w:sz w:val="16"/>
          <w:szCs w:val="16"/>
        </w:rPr>
        <w:t xml:space="preserve"> </w:t>
      </w:r>
      <w:r w:rsidRPr="00E93F40">
        <w:rPr>
          <w:color w:val="000000" w:themeColor="text1"/>
          <w:sz w:val="16"/>
          <w:szCs w:val="16"/>
        </w:rPr>
        <w:t>г. оказались крайне неудовлетворительными. План за 11</w:t>
      </w:r>
      <w:r w:rsidR="007C1411" w:rsidRPr="00E93F40">
        <w:rPr>
          <w:color w:val="000000" w:themeColor="text1"/>
          <w:sz w:val="16"/>
          <w:szCs w:val="16"/>
        </w:rPr>
        <w:t xml:space="preserve"> </w:t>
      </w:r>
      <w:r w:rsidRPr="00E93F40">
        <w:rPr>
          <w:color w:val="000000" w:themeColor="text1"/>
          <w:sz w:val="16"/>
          <w:szCs w:val="16"/>
        </w:rPr>
        <w:t>месяцев был выполнен в среднем только на 70%. Декабрь не дал перелома в ходе выполнения заказов, и годовой план сорван, что заставляет пересмотреть и отодвинуть сроки снабжения армии в ряде областей вооружения. Предварительные¹* итоги 1931</w:t>
      </w:r>
      <w:r w:rsidR="007C1411" w:rsidRPr="00E93F40">
        <w:rPr>
          <w:color w:val="000000" w:themeColor="text1"/>
          <w:sz w:val="16"/>
          <w:szCs w:val="16"/>
        </w:rPr>
        <w:t xml:space="preserve"> </w:t>
      </w:r>
      <w:r w:rsidRPr="00E93F40">
        <w:rPr>
          <w:color w:val="000000" w:themeColor="text1"/>
          <w:sz w:val="16"/>
          <w:szCs w:val="16"/>
        </w:rPr>
        <w:t>г. характеризуются следующей таблицей в финансовом выражении (в</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6"/>
        <w:gridCol w:w="3400"/>
        <w:gridCol w:w="2952"/>
        <w:gridCol w:w="2944"/>
      </w:tblGrid>
      <w:tr w:rsidR="00DA227A" w:rsidRPr="00E93F40" w14:paraId="465107E2"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E7A730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p w14:paraId="3A9BCE8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управлений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DE13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Подлежало выполнению</w:t>
            </w:r>
          </w:p>
          <w:p w14:paraId="74C4BC5C" w14:textId="1AB5B961"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B1207" w14:textId="2B548755"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731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выполнения</w:t>
            </w:r>
          </w:p>
          <w:p w14:paraId="349EAC9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годового плана</w:t>
            </w:r>
          </w:p>
        </w:tc>
      </w:tr>
      <w:tr w:rsidR="00DA227A" w:rsidRPr="00E93F40" w14:paraId="2DF6F4AE"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DA844D1"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4C5F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C605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9A76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w:t>
            </w:r>
          </w:p>
        </w:tc>
      </w:tr>
      <w:tr w:rsidR="00DA227A" w:rsidRPr="00E93F40" w14:paraId="7C24E82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61572C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Вохиму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25A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DED67"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966A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w:t>
            </w:r>
          </w:p>
        </w:tc>
      </w:tr>
      <w:tr w:rsidR="00DA227A" w:rsidRPr="00E93F40" w14:paraId="290F3731"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EEB941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BE695"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A18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6386A"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w:t>
            </w:r>
          </w:p>
        </w:tc>
      </w:tr>
      <w:tr w:rsidR="00DA227A" w:rsidRPr="00E93F40" w14:paraId="62838EC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7C50FD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E92E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6D7A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AED0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r>
    </w:tbl>
    <w:p w14:paraId="6C08C6A6" w14:textId="3465A4AF"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Всего за 12</w:t>
      </w:r>
      <w:r w:rsidR="007C1411" w:rsidRPr="00E93F40">
        <w:rPr>
          <w:color w:val="000000" w:themeColor="text1"/>
          <w:sz w:val="16"/>
          <w:szCs w:val="16"/>
        </w:rPr>
        <w:t xml:space="preserve"> </w:t>
      </w:r>
      <w:r w:rsidRPr="00E93F40">
        <w:rPr>
          <w:color w:val="000000" w:themeColor="text1"/>
          <w:sz w:val="16"/>
          <w:szCs w:val="16"/>
        </w:rPr>
        <w:t>месяцев 1931</w:t>
      </w:r>
      <w:r w:rsidR="007C1411" w:rsidRPr="00E93F40">
        <w:rPr>
          <w:color w:val="000000" w:themeColor="text1"/>
          <w:sz w:val="16"/>
          <w:szCs w:val="16"/>
        </w:rPr>
        <w:t xml:space="preserve"> </w:t>
      </w:r>
      <w:r w:rsidRPr="00E93F40">
        <w:rPr>
          <w:color w:val="000000" w:themeColor="text1"/>
          <w:sz w:val="16"/>
          <w:szCs w:val="16"/>
        </w:rPr>
        <w:t>г. план заказов по всем управлениям НВ выполнен в среднем только на 75%. Таким образом, постановление Совета труда и обороны от 9</w:t>
      </w:r>
      <w:r w:rsidR="007C1411" w:rsidRPr="00E93F40">
        <w:rPr>
          <w:color w:val="000000" w:themeColor="text1"/>
          <w:sz w:val="16"/>
          <w:szCs w:val="16"/>
        </w:rPr>
        <w:t xml:space="preserve"> </w:t>
      </w:r>
      <w:r w:rsidRPr="00E93F40">
        <w:rPr>
          <w:color w:val="000000" w:themeColor="text1"/>
          <w:sz w:val="16"/>
          <w:szCs w:val="16"/>
        </w:rPr>
        <w:t>ноября 1931</w:t>
      </w:r>
      <w:r w:rsidR="007C1411" w:rsidRPr="00E93F40">
        <w:rPr>
          <w:color w:val="000000" w:themeColor="text1"/>
          <w:sz w:val="16"/>
          <w:szCs w:val="16"/>
        </w:rPr>
        <w:t xml:space="preserve"> </w:t>
      </w:r>
      <w:r w:rsidRPr="00E93F40">
        <w:rPr>
          <w:color w:val="000000" w:themeColor="text1"/>
          <w:sz w:val="16"/>
          <w:szCs w:val="16"/>
        </w:rPr>
        <w:t>г., поставившее промышленности ряд задач с целью обеспечить выполнение установленных правительством заказов НКВМора па 1931</w:t>
      </w:r>
      <w:r w:rsidR="007C1411" w:rsidRPr="00E93F40">
        <w:rPr>
          <w:color w:val="000000" w:themeColor="text1"/>
          <w:sz w:val="16"/>
          <w:szCs w:val="16"/>
        </w:rPr>
        <w:t xml:space="preserve"> </w:t>
      </w:r>
      <w:r w:rsidRPr="00E93F40">
        <w:rPr>
          <w:color w:val="000000" w:themeColor="text1"/>
          <w:sz w:val="16"/>
          <w:szCs w:val="16"/>
        </w:rPr>
        <w:t>г., осталось невыполненным.</w:t>
      </w:r>
    </w:p>
    <w:p w14:paraId="27B9B927" w14:textId="4490BFA9"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lastRenderedPageBreak/>
        <w:t>Перспектив к коренному улучшению выполнения заказов в 1932</w:t>
      </w:r>
      <w:r w:rsidR="007C1411" w:rsidRPr="00E93F40">
        <w:rPr>
          <w:color w:val="000000" w:themeColor="text1"/>
          <w:sz w:val="16"/>
          <w:szCs w:val="16"/>
        </w:rPr>
        <w:t xml:space="preserve"> </w:t>
      </w:r>
      <w:r w:rsidRPr="00E93F40">
        <w:rPr>
          <w:color w:val="000000" w:themeColor="text1"/>
          <w:sz w:val="16"/>
          <w:szCs w:val="16"/>
        </w:rPr>
        <w:t>г. не видно, так как база для выполнения плана 1932</w:t>
      </w:r>
      <w:r w:rsidR="007C1411" w:rsidRPr="00E93F40">
        <w:rPr>
          <w:color w:val="000000" w:themeColor="text1"/>
          <w:sz w:val="16"/>
          <w:szCs w:val="16"/>
        </w:rPr>
        <w:t xml:space="preserve"> </w:t>
      </w:r>
      <w:r w:rsidRPr="00E93F40">
        <w:rPr>
          <w:color w:val="000000" w:themeColor="text1"/>
          <w:sz w:val="16"/>
          <w:szCs w:val="16"/>
        </w:rPr>
        <w:t>г. промышленностью не подготовлена. Одним из доказательств этого является чрезвычайно слабый темп хода договорной кампании по плану 1932</w:t>
      </w:r>
      <w:r w:rsidR="007C1411" w:rsidRPr="00E93F40">
        <w:rPr>
          <w:color w:val="000000" w:themeColor="text1"/>
          <w:sz w:val="16"/>
          <w:szCs w:val="16"/>
        </w:rPr>
        <w:t xml:space="preserve"> </w:t>
      </w:r>
      <w:r w:rsidRPr="00E93F40">
        <w:rPr>
          <w:color w:val="000000" w:themeColor="text1"/>
          <w:sz w:val="16"/>
          <w:szCs w:val="16"/>
        </w:rPr>
        <w:t>г. вследствие ряда разногласий с промышленностью по объему заказов 1932</w:t>
      </w:r>
      <w:r w:rsidR="007C1411" w:rsidRPr="00E93F40">
        <w:rPr>
          <w:color w:val="000000" w:themeColor="text1"/>
          <w:sz w:val="16"/>
          <w:szCs w:val="16"/>
        </w:rPr>
        <w:t xml:space="preserve"> </w:t>
      </w:r>
      <w:r w:rsidRPr="00E93F40">
        <w:rPr>
          <w:color w:val="000000" w:themeColor="text1"/>
          <w:sz w:val="16"/>
          <w:szCs w:val="16"/>
        </w:rPr>
        <w:t>г. и претензий на чрезмерное повышение цен.</w:t>
      </w:r>
    </w:p>
    <w:p w14:paraId="1B00E7E9" w14:textId="5008A8C3"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Срыв программы 1931</w:t>
      </w:r>
      <w:r w:rsidR="007C1411" w:rsidRPr="00E93F40">
        <w:rPr>
          <w:color w:val="000000" w:themeColor="text1"/>
          <w:sz w:val="16"/>
          <w:szCs w:val="16"/>
        </w:rPr>
        <w:t xml:space="preserve"> </w:t>
      </w:r>
      <w:r w:rsidRPr="00E93F40">
        <w:rPr>
          <w:color w:val="000000" w:themeColor="text1"/>
          <w:sz w:val="16"/>
          <w:szCs w:val="16"/>
        </w:rPr>
        <w:t>г. идет по линии наиболее ответственных предметов вооружения, как это видно из прилагаемых ведомостей недоделов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Ниже приводится краткая характеристика выполнения заказов по важнейшим предметам вооружения.</w:t>
      </w:r>
    </w:p>
    <w:p w14:paraId="0CCD87DA" w14:textId="77777777" w:rsidR="00257404" w:rsidRPr="00E93F40" w:rsidRDefault="00257404" w:rsidP="00E93F40">
      <w:pPr>
        <w:pStyle w:val="rtejustify"/>
        <w:spacing w:before="0" w:after="0"/>
        <w:rPr>
          <w:color w:val="000000" w:themeColor="text1"/>
          <w:sz w:val="16"/>
          <w:szCs w:val="16"/>
        </w:rPr>
      </w:pPr>
      <w:r w:rsidRPr="00E93F40">
        <w:rPr>
          <w:color w:val="000000" w:themeColor="text1"/>
          <w:sz w:val="16"/>
          <w:szCs w:val="16"/>
        </w:rPr>
        <w:t>Артиллерийские заказы</w:t>
      </w:r>
    </w:p>
    <w:p w14:paraId="43E15E22" w14:textId="2504133F"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Процент выполнения материального плана к суммам, назначенным по плану и полученным от других ведомств (всего 350,7</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дает большое расхождение с финансовым планом, потому что: а)</w:t>
      </w:r>
      <w:r w:rsidR="007C1411" w:rsidRPr="00E93F40">
        <w:rPr>
          <w:color w:val="000000" w:themeColor="text1"/>
          <w:sz w:val="16"/>
          <w:szCs w:val="16"/>
        </w:rPr>
        <w:t xml:space="preserve"> </w:t>
      </w:r>
      <w:r w:rsidRPr="00E93F40">
        <w:rPr>
          <w:color w:val="000000" w:themeColor="text1"/>
          <w:sz w:val="16"/>
          <w:szCs w:val="16"/>
        </w:rPr>
        <w:t>договоров было заключено на большую сумму (на</w:t>
      </w:r>
      <w:r w:rsidR="007C1411" w:rsidRPr="00E93F40">
        <w:rPr>
          <w:color w:val="000000" w:themeColor="text1"/>
          <w:sz w:val="16"/>
          <w:szCs w:val="16"/>
        </w:rPr>
        <w:t xml:space="preserve"> </w:t>
      </w:r>
      <w:r w:rsidRPr="00E93F40">
        <w:rPr>
          <w:color w:val="000000" w:themeColor="text1"/>
          <w:sz w:val="16"/>
          <w:szCs w:val="16"/>
        </w:rPr>
        <w:t>379,7</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б)</w:t>
      </w:r>
      <w:r w:rsidR="007C1411" w:rsidRPr="00E93F40">
        <w:rPr>
          <w:color w:val="000000" w:themeColor="text1"/>
          <w:sz w:val="16"/>
          <w:szCs w:val="16"/>
        </w:rPr>
        <w:t xml:space="preserve"> </w:t>
      </w:r>
      <w:r w:rsidRPr="00E93F40">
        <w:rPr>
          <w:color w:val="000000" w:themeColor="text1"/>
          <w:sz w:val="16"/>
          <w:szCs w:val="16"/>
        </w:rPr>
        <w:t>произведены дополнительные выплаты по разнице в ценах при переводе из ориентировочных в твердо расчетные; в)</w:t>
      </w:r>
      <w:r w:rsidR="007C1411" w:rsidRPr="00E93F40">
        <w:rPr>
          <w:color w:val="000000" w:themeColor="text1"/>
          <w:sz w:val="16"/>
          <w:szCs w:val="16"/>
        </w:rPr>
        <w:t xml:space="preserve"> </w:t>
      </w:r>
      <w:r w:rsidRPr="00E93F40">
        <w:rPr>
          <w:color w:val="000000" w:themeColor="text1"/>
          <w:sz w:val="16"/>
          <w:szCs w:val="16"/>
        </w:rPr>
        <w:t>по степени готовности за тяжелые системы заплачено больше, чем предусмотрено планом; г)</w:t>
      </w:r>
      <w:r w:rsidR="007C1411" w:rsidRPr="00E93F40">
        <w:rPr>
          <w:color w:val="000000" w:themeColor="text1"/>
          <w:sz w:val="16"/>
          <w:szCs w:val="16"/>
        </w:rPr>
        <w:t xml:space="preserve"> </w:t>
      </w:r>
      <w:r w:rsidRPr="00E93F40">
        <w:rPr>
          <w:color w:val="000000" w:themeColor="text1"/>
          <w:sz w:val="16"/>
          <w:szCs w:val="16"/>
        </w:rPr>
        <w:t>вследствие перевыполнения программы по порохам, некоторым корпусам снарядов и взрывателям, уже освоенным в производстве.</w:t>
      </w:r>
    </w:p>
    <w:p w14:paraId="37E51113" w14:textId="56ABF02F"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Ручное оружие.</w:t>
      </w:r>
      <w:r w:rsidRPr="00E93F40">
        <w:rPr>
          <w:color w:val="000000" w:themeColor="text1"/>
          <w:sz w:val="16"/>
          <w:szCs w:val="16"/>
        </w:rPr>
        <w:t xml:space="preserve"> План 1931</w:t>
      </w:r>
      <w:r w:rsidR="007C1411" w:rsidRPr="00E93F40">
        <w:rPr>
          <w:color w:val="000000" w:themeColor="text1"/>
          <w:sz w:val="16"/>
          <w:szCs w:val="16"/>
        </w:rPr>
        <w:t xml:space="preserve"> </w:t>
      </w:r>
      <w:r w:rsidRPr="00E93F40">
        <w:rPr>
          <w:color w:val="000000" w:themeColor="text1"/>
          <w:sz w:val="16"/>
          <w:szCs w:val="16"/>
        </w:rPr>
        <w:t>г. не выполнен по винтовкам, пулеметам ПВ</w:t>
      </w:r>
      <w:r w:rsidRPr="00E93F40">
        <w:rPr>
          <w:color w:val="000000" w:themeColor="text1"/>
          <w:sz w:val="16"/>
          <w:szCs w:val="16"/>
        </w:rPr>
        <w:noBreakHyphen/>
        <w:t>1, авиационным пулеметам Дегтярева, ружейным гранатам Дьяконова и винтпатронам</w:t>
      </w:r>
      <w:r w:rsidR="007C1411" w:rsidRPr="00E93F40">
        <w:rPr>
          <w:color w:val="000000" w:themeColor="text1"/>
          <w:sz w:val="16"/>
          <w:szCs w:val="16"/>
        </w:rPr>
        <w:t xml:space="preserve"> </w:t>
      </w:r>
      <w:r w:rsidRPr="00E93F40">
        <w:rPr>
          <w:color w:val="000000" w:themeColor="text1"/>
          <w:sz w:val="16"/>
          <w:szCs w:val="16"/>
        </w:rPr>
        <w:t>— плакированным и специальным. По винтовкам резкое отставание от программы началось с мая месяца, т.</w:t>
      </w:r>
      <w:r w:rsidR="007C1411" w:rsidRPr="00E93F40">
        <w:rPr>
          <w:color w:val="000000" w:themeColor="text1"/>
          <w:sz w:val="16"/>
          <w:szCs w:val="16"/>
        </w:rPr>
        <w:t xml:space="preserve"> </w:t>
      </w:r>
      <w:r w:rsidRPr="00E93F40">
        <w:rPr>
          <w:color w:val="000000" w:themeColor="text1"/>
          <w:sz w:val="16"/>
          <w:szCs w:val="16"/>
        </w:rPr>
        <w:t>е. с момента перехода на модернизированные, и к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в недоделе осталось 122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шт. (40% заказа). По пулеметам ПВ</w:t>
      </w:r>
      <w:r w:rsidRPr="00E93F40">
        <w:rPr>
          <w:color w:val="000000" w:themeColor="text1"/>
          <w:sz w:val="16"/>
          <w:szCs w:val="16"/>
        </w:rPr>
        <w:noBreakHyphen/>
        <w:t>1 в недоделе</w:t>
      </w:r>
      <w:r w:rsidR="007C1411" w:rsidRPr="00E93F40">
        <w:rPr>
          <w:color w:val="000000" w:themeColor="text1"/>
          <w:sz w:val="16"/>
          <w:szCs w:val="16"/>
        </w:rPr>
        <w:t xml:space="preserve"> </w:t>
      </w:r>
      <w:r w:rsidRPr="00E93F40">
        <w:rPr>
          <w:color w:val="000000" w:themeColor="text1"/>
          <w:sz w:val="16"/>
          <w:szCs w:val="16"/>
        </w:rPr>
        <w:t>— 743</w:t>
      </w:r>
      <w:r w:rsidR="007C1411" w:rsidRPr="00E93F40">
        <w:rPr>
          <w:color w:val="000000" w:themeColor="text1"/>
          <w:sz w:val="16"/>
          <w:szCs w:val="16"/>
        </w:rPr>
        <w:t xml:space="preserve"> </w:t>
      </w:r>
      <w:r w:rsidRPr="00E93F40">
        <w:rPr>
          <w:color w:val="000000" w:themeColor="text1"/>
          <w:sz w:val="16"/>
          <w:szCs w:val="16"/>
        </w:rPr>
        <w:t>шт. (30%) вследствие несвоевременной подачи ручек перезаряжания и приемников с левым входом. По авиационным пулеметам Дегтярева программа не выполнена из-за продолжающихся неполадок в производстве. Недодел в 1,6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шт., или 30% заказа. По ружейным гранатам Дьяконова срыв программы (33% выполнения) объясняется не поставкой заводом №</w:t>
      </w:r>
      <w:r w:rsidR="007C1411" w:rsidRPr="00E93F40">
        <w:rPr>
          <w:color w:val="000000" w:themeColor="text1"/>
          <w:sz w:val="16"/>
          <w:szCs w:val="16"/>
        </w:rPr>
        <w:t xml:space="preserve"> </w:t>
      </w:r>
      <w:r w:rsidRPr="00E93F40">
        <w:rPr>
          <w:color w:val="000000" w:themeColor="text1"/>
          <w:sz w:val="16"/>
          <w:szCs w:val="16"/>
        </w:rPr>
        <w:t>4 корпусов гранат и поздним приступом к снаряжению.</w:t>
      </w:r>
    </w:p>
    <w:p w14:paraId="69CCCDC2" w14:textId="1E237D19"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По специальным винтпатронам (бронебойным и трассирующим) производство до сего времени еще не стало массовым вследствие отсутствия специального оборудования и недостатка знающего дела техперсонала. На 1</w:t>
      </w:r>
      <w:r w:rsidR="007C1411" w:rsidRPr="00E93F40">
        <w:rPr>
          <w:color w:val="000000" w:themeColor="text1"/>
          <w:sz w:val="16"/>
          <w:szCs w:val="16"/>
        </w:rPr>
        <w:t xml:space="preserve"> </w:t>
      </w:r>
      <w:r w:rsidRPr="00E93F40">
        <w:rPr>
          <w:color w:val="000000" w:themeColor="text1"/>
          <w:sz w:val="16"/>
          <w:szCs w:val="16"/>
        </w:rPr>
        <w:t>января недодел</w:t>
      </w:r>
      <w:r w:rsidR="007C1411" w:rsidRPr="00E93F40">
        <w:rPr>
          <w:color w:val="000000" w:themeColor="text1"/>
          <w:sz w:val="16"/>
          <w:szCs w:val="16"/>
        </w:rPr>
        <w:t xml:space="preserve"> </w:t>
      </w:r>
      <w:r w:rsidRPr="00E93F40">
        <w:rPr>
          <w:color w:val="000000" w:themeColor="text1"/>
          <w:sz w:val="16"/>
          <w:szCs w:val="16"/>
        </w:rPr>
        <w:t>— 13,3</w:t>
      </w:r>
      <w:r w:rsidR="007C1411" w:rsidRPr="00E93F40">
        <w:rPr>
          <w:color w:val="000000" w:themeColor="text1"/>
          <w:sz w:val="16"/>
          <w:szCs w:val="16"/>
        </w:rPr>
        <w:t xml:space="preserve"> </w:t>
      </w:r>
      <w:r w:rsidRPr="00E93F40">
        <w:rPr>
          <w:color w:val="000000" w:themeColor="text1"/>
          <w:sz w:val="16"/>
          <w:szCs w:val="16"/>
        </w:rPr>
        <w:t>млн., или 91%, заказа. По плакированным винтпатронам</w:t>
      </w:r>
      <w:r w:rsidR="007C1411" w:rsidRPr="00E93F40">
        <w:rPr>
          <w:color w:val="000000" w:themeColor="text1"/>
          <w:sz w:val="16"/>
          <w:szCs w:val="16"/>
        </w:rPr>
        <w:t xml:space="preserve"> </w:t>
      </w:r>
      <w:r w:rsidRPr="00E93F40">
        <w:rPr>
          <w:color w:val="000000" w:themeColor="text1"/>
          <w:sz w:val="16"/>
          <w:szCs w:val="16"/>
        </w:rPr>
        <w:t>— огромный недодел (12,3</w:t>
      </w:r>
      <w:r w:rsidR="007C1411" w:rsidRPr="00E93F40">
        <w:rPr>
          <w:color w:val="000000" w:themeColor="text1"/>
          <w:sz w:val="16"/>
          <w:szCs w:val="16"/>
        </w:rPr>
        <w:t xml:space="preserve"> </w:t>
      </w:r>
      <w:r w:rsidRPr="00E93F40">
        <w:rPr>
          <w:color w:val="000000" w:themeColor="text1"/>
          <w:sz w:val="16"/>
          <w:szCs w:val="16"/>
        </w:rPr>
        <w:t>млн., или 30%) и все еще неудовлетворительное качество (трещины при стрельбе).</w:t>
      </w:r>
    </w:p>
    <w:p w14:paraId="70FE6CBB" w14:textId="019B09B6"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Материальная часть артиллерии.</w:t>
      </w:r>
      <w:r w:rsidRPr="00E93F40">
        <w:rPr>
          <w:color w:val="000000" w:themeColor="text1"/>
          <w:sz w:val="16"/>
          <w:szCs w:val="16"/>
        </w:rPr>
        <w:t xml:space="preserve"> В области выполнения орудийной программы создалось наиболее тяжелое положение по всем заводам. Программа по большинству новых образцов не выполнена вовсе. Орудийное объединение вообще дает самый низкий процент выполнения программы 1931</w:t>
      </w:r>
      <w:r w:rsidR="007C1411" w:rsidRPr="00E93F40">
        <w:rPr>
          <w:color w:val="000000" w:themeColor="text1"/>
          <w:sz w:val="16"/>
          <w:szCs w:val="16"/>
        </w:rPr>
        <w:t xml:space="preserve"> </w:t>
      </w:r>
      <w:r w:rsidRPr="00E93F40">
        <w:rPr>
          <w:color w:val="000000" w:themeColor="text1"/>
          <w:sz w:val="16"/>
          <w:szCs w:val="16"/>
        </w:rPr>
        <w:t>г. по всем заводам (56% в среднем).</w:t>
      </w:r>
    </w:p>
    <w:p w14:paraId="6B9E394B" w14:textId="7A11B08F"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По зенитным орудиям новых образцов (20</w:t>
      </w:r>
      <w:r w:rsidR="007C1411" w:rsidRPr="00E93F40">
        <w:rPr>
          <w:color w:val="000000" w:themeColor="text1"/>
          <w:sz w:val="16"/>
          <w:szCs w:val="16"/>
        </w:rPr>
        <w:t xml:space="preserve"> </w:t>
      </w:r>
      <w:r w:rsidRPr="00E93F40">
        <w:rPr>
          <w:color w:val="000000" w:themeColor="text1"/>
          <w:sz w:val="16"/>
          <w:szCs w:val="16"/>
        </w:rPr>
        <w:t>мм, 37</w:t>
      </w:r>
      <w:r w:rsidR="007C1411" w:rsidRPr="00E93F40">
        <w:rPr>
          <w:color w:val="000000" w:themeColor="text1"/>
          <w:sz w:val="16"/>
          <w:szCs w:val="16"/>
        </w:rPr>
        <w:t xml:space="preserve"> </w:t>
      </w:r>
      <w:r w:rsidRPr="00E93F40">
        <w:rPr>
          <w:color w:val="000000" w:themeColor="text1"/>
          <w:sz w:val="16"/>
          <w:szCs w:val="16"/>
        </w:rPr>
        <w:t>мм, 76</w:t>
      </w:r>
      <w:r w:rsidR="007C1411" w:rsidRPr="00E93F40">
        <w:rPr>
          <w:color w:val="000000" w:themeColor="text1"/>
          <w:sz w:val="16"/>
          <w:szCs w:val="16"/>
        </w:rPr>
        <w:t xml:space="preserve"> </w:t>
      </w:r>
      <w:r w:rsidRPr="00E93F40">
        <w:rPr>
          <w:color w:val="000000" w:themeColor="text1"/>
          <w:sz w:val="16"/>
          <w:szCs w:val="16"/>
        </w:rPr>
        <w:t>мм) годовой план не выполнен совершенно, что ставит под угрозу план заказа 1932</w:t>
      </w:r>
      <w:r w:rsidR="007C1411" w:rsidRPr="00E93F40">
        <w:rPr>
          <w:color w:val="000000" w:themeColor="text1"/>
          <w:sz w:val="16"/>
          <w:szCs w:val="16"/>
        </w:rPr>
        <w:t xml:space="preserve"> </w:t>
      </w:r>
      <w:r w:rsidRPr="00E93F40">
        <w:rPr>
          <w:color w:val="000000" w:themeColor="text1"/>
          <w:sz w:val="16"/>
          <w:szCs w:val="16"/>
        </w:rPr>
        <w:t>г. по этим калибрам. По 76</w:t>
      </w:r>
      <w:r w:rsidRPr="00E93F40">
        <w:rPr>
          <w:color w:val="000000" w:themeColor="text1"/>
          <w:sz w:val="16"/>
          <w:szCs w:val="16"/>
        </w:rPr>
        <w:noBreakHyphen/>
        <w:t>мм пушкам план выполнен полностью только по зенитным в 30</w:t>
      </w:r>
      <w:r w:rsidR="007C1411" w:rsidRPr="00E93F40">
        <w:rPr>
          <w:color w:val="000000" w:themeColor="text1"/>
          <w:sz w:val="16"/>
          <w:szCs w:val="16"/>
        </w:rPr>
        <w:t xml:space="preserve"> </w:t>
      </w:r>
      <w:r w:rsidRPr="00E93F40">
        <w:rPr>
          <w:color w:val="000000" w:themeColor="text1"/>
          <w:sz w:val="16"/>
          <w:szCs w:val="16"/>
        </w:rPr>
        <w:t>кал[ибров], по всем остальным</w:t>
      </w:r>
      <w:r w:rsidR="007C1411" w:rsidRPr="00E93F40">
        <w:rPr>
          <w:color w:val="000000" w:themeColor="text1"/>
          <w:sz w:val="16"/>
          <w:szCs w:val="16"/>
        </w:rPr>
        <w:t xml:space="preserve"> </w:t>
      </w:r>
      <w:r w:rsidRPr="00E93F40">
        <w:rPr>
          <w:color w:val="000000" w:themeColor="text1"/>
          <w:sz w:val="16"/>
          <w:szCs w:val="16"/>
        </w:rPr>
        <w:t>— большие недоделы, причем по пушкам «Н», «АПК» и «АГК», «ДРП» на мотоцикле и треноге ничего не поставлено. По 122</w:t>
      </w:r>
      <w:r w:rsidRPr="00E93F40">
        <w:rPr>
          <w:color w:val="000000" w:themeColor="text1"/>
          <w:sz w:val="16"/>
          <w:szCs w:val="16"/>
        </w:rPr>
        <w:noBreakHyphen/>
        <w:t>мм и 152</w:t>
      </w:r>
      <w:r w:rsidRPr="00E93F40">
        <w:rPr>
          <w:color w:val="000000" w:themeColor="text1"/>
          <w:sz w:val="16"/>
          <w:szCs w:val="16"/>
        </w:rPr>
        <w:noBreakHyphen/>
        <w:t>мм гаубицам в недоделе остается более половины годового заказа. 107</w:t>
      </w:r>
      <w:r w:rsidRPr="00E93F40">
        <w:rPr>
          <w:color w:val="000000" w:themeColor="text1"/>
          <w:sz w:val="16"/>
          <w:szCs w:val="16"/>
        </w:rPr>
        <w:noBreakHyphen/>
        <w:t>мм пушек поставлено за год 37 вместо 90. По 203</w:t>
      </w:r>
      <w:r w:rsidRPr="00E93F40">
        <w:rPr>
          <w:color w:val="000000" w:themeColor="text1"/>
          <w:sz w:val="16"/>
          <w:szCs w:val="16"/>
        </w:rPr>
        <w:noBreakHyphen/>
        <w:t>мм гаубицам при годовом плане в 33 системы поставлено всего</w:t>
      </w:r>
      <w:r w:rsidR="007C1411" w:rsidRPr="00E93F40">
        <w:rPr>
          <w:color w:val="000000" w:themeColor="text1"/>
          <w:sz w:val="16"/>
          <w:szCs w:val="16"/>
        </w:rPr>
        <w:t xml:space="preserve"> </w:t>
      </w:r>
      <w:r w:rsidRPr="00E93F40">
        <w:rPr>
          <w:color w:val="000000" w:themeColor="text1"/>
          <w:sz w:val="16"/>
          <w:szCs w:val="16"/>
        </w:rPr>
        <w:t>7.</w:t>
      </w:r>
    </w:p>
    <w:p w14:paraId="3008D9B9" w14:textId="4A348A7C"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Состояние заказов по модернизации орудий совершенно неудовлетворительно: из 963 орудий, подлежавших поставке в 1931</w:t>
      </w:r>
      <w:r w:rsidR="007C1411" w:rsidRPr="00E93F40">
        <w:rPr>
          <w:color w:val="000000" w:themeColor="text1"/>
          <w:sz w:val="16"/>
          <w:szCs w:val="16"/>
        </w:rPr>
        <w:t xml:space="preserve"> </w:t>
      </w:r>
      <w:r w:rsidRPr="00E93F40">
        <w:rPr>
          <w:color w:val="000000" w:themeColor="text1"/>
          <w:sz w:val="16"/>
          <w:szCs w:val="16"/>
        </w:rPr>
        <w:t>г., поставлено только 350.</w:t>
      </w:r>
    </w:p>
    <w:p w14:paraId="5E956233" w14:textId="2E3716A4"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Основными причинами срыва орудийной программы являются: а)</w:t>
      </w:r>
      <w:r w:rsidR="007C1411" w:rsidRPr="00E93F40">
        <w:rPr>
          <w:color w:val="000000" w:themeColor="text1"/>
          <w:sz w:val="16"/>
          <w:szCs w:val="16"/>
        </w:rPr>
        <w:t xml:space="preserve"> </w:t>
      </w:r>
      <w:r w:rsidRPr="00E93F40">
        <w:rPr>
          <w:color w:val="000000" w:themeColor="text1"/>
          <w:sz w:val="16"/>
          <w:szCs w:val="16"/>
        </w:rPr>
        <w:t>неосвоение производства вновь вводимых образцов; б)</w:t>
      </w:r>
      <w:r w:rsidR="007C1411" w:rsidRPr="00E93F40">
        <w:rPr>
          <w:color w:val="000000" w:themeColor="text1"/>
          <w:sz w:val="16"/>
          <w:szCs w:val="16"/>
        </w:rPr>
        <w:t xml:space="preserve"> </w:t>
      </w:r>
      <w:r w:rsidRPr="00E93F40">
        <w:rPr>
          <w:color w:val="000000" w:themeColor="text1"/>
          <w:sz w:val="16"/>
          <w:szCs w:val="16"/>
        </w:rPr>
        <w:t>несвоевременное снабжение заводов материалами и полуфабрикатами по междузаводским заказам; в)</w:t>
      </w:r>
      <w:r w:rsidR="007C1411" w:rsidRPr="00E93F40">
        <w:rPr>
          <w:color w:val="000000" w:themeColor="text1"/>
          <w:sz w:val="16"/>
          <w:szCs w:val="16"/>
        </w:rPr>
        <w:t xml:space="preserve"> </w:t>
      </w:r>
      <w:r w:rsidRPr="00E93F40">
        <w:rPr>
          <w:color w:val="000000" w:themeColor="text1"/>
          <w:sz w:val="16"/>
          <w:szCs w:val="16"/>
        </w:rPr>
        <w:t>неналаженность инструментального хозяйства (особенно на заводе №</w:t>
      </w:r>
      <w:r w:rsidR="007C1411" w:rsidRPr="00E93F40">
        <w:rPr>
          <w:color w:val="000000" w:themeColor="text1"/>
          <w:sz w:val="16"/>
          <w:szCs w:val="16"/>
        </w:rPr>
        <w:t xml:space="preserve"> </w:t>
      </w:r>
      <w:r w:rsidRPr="00E93F40">
        <w:rPr>
          <w:color w:val="000000" w:themeColor="text1"/>
          <w:sz w:val="16"/>
          <w:szCs w:val="16"/>
        </w:rPr>
        <w:t>8); г)</w:t>
      </w:r>
      <w:r w:rsidR="007C1411" w:rsidRPr="00E93F40">
        <w:rPr>
          <w:color w:val="000000" w:themeColor="text1"/>
          <w:sz w:val="16"/>
          <w:szCs w:val="16"/>
        </w:rPr>
        <w:t xml:space="preserve"> </w:t>
      </w:r>
      <w:r w:rsidRPr="00E93F40">
        <w:rPr>
          <w:color w:val="000000" w:themeColor="text1"/>
          <w:sz w:val="16"/>
          <w:szCs w:val="16"/>
        </w:rPr>
        <w:t>большой процент брака по металлу и по дереву; д)</w:t>
      </w:r>
      <w:r w:rsidR="007C1411" w:rsidRPr="00E93F40">
        <w:rPr>
          <w:color w:val="000000" w:themeColor="text1"/>
          <w:sz w:val="16"/>
          <w:szCs w:val="16"/>
        </w:rPr>
        <w:t xml:space="preserve"> </w:t>
      </w:r>
      <w:r w:rsidRPr="00E93F40">
        <w:rPr>
          <w:color w:val="000000" w:themeColor="text1"/>
          <w:sz w:val="16"/>
          <w:szCs w:val="16"/>
        </w:rPr>
        <w:t>неналаженность планирования и простои цехов.</w:t>
      </w:r>
    </w:p>
    <w:p w14:paraId="23E5301F" w14:textId="5F8231AB"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Корпуса снарядов.</w:t>
      </w:r>
      <w:r w:rsidRPr="00E93F40">
        <w:rPr>
          <w:color w:val="000000" w:themeColor="text1"/>
          <w:sz w:val="16"/>
          <w:szCs w:val="16"/>
        </w:rPr>
        <w:t xml:space="preserve"> По корпусам старых образцов программа выполнена, но по новым образцам</w:t>
      </w:r>
      <w:r w:rsidR="007C1411" w:rsidRPr="00E93F40">
        <w:rPr>
          <w:color w:val="000000" w:themeColor="text1"/>
          <w:sz w:val="16"/>
          <w:szCs w:val="16"/>
        </w:rPr>
        <w:t xml:space="preserve"> </w:t>
      </w:r>
      <w:r w:rsidRPr="00E93F40">
        <w:rPr>
          <w:color w:val="000000" w:themeColor="text1"/>
          <w:sz w:val="16"/>
          <w:szCs w:val="16"/>
        </w:rPr>
        <w:t>— огромные недоделы, составляющие в среднем 60% годовой программы. Основным тормозом здесь по-прежнему является отсутствие металлургической базы, необеспеченность сталью требуемого качества и большой процент брака по металлу.</w:t>
      </w:r>
    </w:p>
    <w:p w14:paraId="2A73D6D3" w14:textId="77777777"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Корпуса аэробомб.</w:t>
      </w:r>
      <w:r w:rsidRPr="00E93F40">
        <w:rPr>
          <w:color w:val="000000" w:themeColor="text1"/>
          <w:sz w:val="16"/>
          <w:szCs w:val="16"/>
        </w:rPr>
        <w:t xml:space="preserve"> Годовая программа выполнена в среднем на 68%. По следующим образцам программа совершенно не выполнена: АО</w:t>
      </w:r>
      <w:r w:rsidRPr="00E93F40">
        <w:rPr>
          <w:color w:val="000000" w:themeColor="text1"/>
          <w:sz w:val="16"/>
          <w:szCs w:val="16"/>
        </w:rPr>
        <w:noBreakHyphen/>
        <w:t>10, АОХ</w:t>
      </w:r>
      <w:r w:rsidRPr="00E93F40">
        <w:rPr>
          <w:color w:val="000000" w:themeColor="text1"/>
          <w:sz w:val="16"/>
          <w:szCs w:val="16"/>
        </w:rPr>
        <w:noBreakHyphen/>
        <w:t>10, АФ</w:t>
      </w:r>
      <w:r w:rsidRPr="00E93F40">
        <w:rPr>
          <w:color w:val="000000" w:themeColor="text1"/>
          <w:sz w:val="16"/>
          <w:szCs w:val="16"/>
        </w:rPr>
        <w:noBreakHyphen/>
        <w:t>50, АФ</w:t>
      </w:r>
      <w:r w:rsidRPr="00E93F40">
        <w:rPr>
          <w:color w:val="000000" w:themeColor="text1"/>
          <w:sz w:val="16"/>
          <w:szCs w:val="16"/>
        </w:rPr>
        <w:noBreakHyphen/>
        <w:t>100, АХ</w:t>
      </w:r>
      <w:r w:rsidRPr="00E93F40">
        <w:rPr>
          <w:color w:val="000000" w:themeColor="text1"/>
          <w:sz w:val="16"/>
          <w:szCs w:val="16"/>
        </w:rPr>
        <w:noBreakHyphen/>
        <w:t>100, АФ</w:t>
      </w:r>
      <w:r w:rsidRPr="00E93F40">
        <w:rPr>
          <w:color w:val="000000" w:themeColor="text1"/>
          <w:sz w:val="16"/>
          <w:szCs w:val="16"/>
        </w:rPr>
        <w:noBreakHyphen/>
        <w:t>500 и АФ</w:t>
      </w:r>
      <w:r w:rsidRPr="00E93F40">
        <w:rPr>
          <w:color w:val="000000" w:themeColor="text1"/>
          <w:sz w:val="16"/>
          <w:szCs w:val="16"/>
        </w:rPr>
        <w:noBreakHyphen/>
        <w:t>1000. Невыполнение программы по аэробомбам, особенно по крупным калибрам и новым образцам, вызывается в основном отсутствием ведущего завода по производству аэробомб и неподготовленностью металлургической базы для элементов крупнокалиберных бомб (цельнотянутые трубы, головки).</w:t>
      </w:r>
    </w:p>
    <w:p w14:paraId="39053405" w14:textId="69E7D9A1"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Трубки и взрыватели.</w:t>
      </w:r>
      <w:r w:rsidRPr="00E93F40">
        <w:rPr>
          <w:color w:val="000000" w:themeColor="text1"/>
          <w:sz w:val="16"/>
          <w:szCs w:val="16"/>
        </w:rPr>
        <w:t xml:space="preserve"> По дистанционным трубкам «Д» годовая программа выполнена на 57%, наибольшее отставание дает завод №</w:t>
      </w:r>
      <w:r w:rsidR="007C1411" w:rsidRPr="00E93F40">
        <w:rPr>
          <w:color w:val="000000" w:themeColor="text1"/>
          <w:sz w:val="16"/>
          <w:szCs w:val="16"/>
        </w:rPr>
        <w:t xml:space="preserve"> </w:t>
      </w:r>
      <w:r w:rsidRPr="00E93F40">
        <w:rPr>
          <w:color w:val="000000" w:themeColor="text1"/>
          <w:sz w:val="16"/>
          <w:szCs w:val="16"/>
        </w:rPr>
        <w:t>42. По взрывателям основных образцов РГ</w:t>
      </w:r>
      <w:r w:rsidRPr="00E93F40">
        <w:rPr>
          <w:color w:val="000000" w:themeColor="text1"/>
          <w:sz w:val="16"/>
          <w:szCs w:val="16"/>
        </w:rPr>
        <w:noBreakHyphen/>
        <w:t>6 и КАТ годовая программа выполнена соответственно на 39 и 32%. По взрывателям РГ</w:t>
      </w:r>
      <w:r w:rsidRPr="00E93F40">
        <w:rPr>
          <w:color w:val="000000" w:themeColor="text1"/>
          <w:sz w:val="16"/>
          <w:szCs w:val="16"/>
        </w:rPr>
        <w:noBreakHyphen/>
        <w:t>6 недодел объясняется чрезмерным процентом брака в производстве и плохим снабжением материалами (сталью, пружинами, до сих пор получаемым по импорту). Производство же взрывателей КАТ до сего времени не освоено в полной степени. По мелкокалиберным взрывателям (МГ</w:t>
      </w:r>
      <w:r w:rsidR="007C1411" w:rsidRPr="00E93F40">
        <w:rPr>
          <w:color w:val="000000" w:themeColor="text1"/>
          <w:sz w:val="16"/>
          <w:szCs w:val="16"/>
        </w:rPr>
        <w:t xml:space="preserve"> </w:t>
      </w:r>
      <w:r w:rsidRPr="00E93F40">
        <w:rPr>
          <w:color w:val="000000" w:themeColor="text1"/>
          <w:sz w:val="16"/>
          <w:szCs w:val="16"/>
        </w:rPr>
        <w:t>и</w:t>
      </w:r>
      <w:r w:rsidR="007C1411" w:rsidRPr="00E93F40">
        <w:rPr>
          <w:color w:val="000000" w:themeColor="text1"/>
          <w:sz w:val="16"/>
          <w:szCs w:val="16"/>
        </w:rPr>
        <w:t xml:space="preserve"> </w:t>
      </w:r>
      <w:r w:rsidRPr="00E93F40">
        <w:rPr>
          <w:color w:val="000000" w:themeColor="text1"/>
          <w:sz w:val="16"/>
          <w:szCs w:val="16"/>
        </w:rPr>
        <w:t>МД) программа почти совсем не выполнена (1%) вследствие недостаточного освоения производства и необеспеченности металлом требуемого качества.</w:t>
      </w:r>
    </w:p>
    <w:p w14:paraId="17A975B7" w14:textId="77777777" w:rsidR="00257404" w:rsidRPr="00E93F40" w:rsidRDefault="00257404" w:rsidP="00E93F40">
      <w:pPr>
        <w:pStyle w:val="rtejustify"/>
        <w:spacing w:before="0" w:after="0"/>
        <w:rPr>
          <w:color w:val="000000" w:themeColor="text1"/>
          <w:sz w:val="16"/>
          <w:szCs w:val="16"/>
        </w:rPr>
      </w:pPr>
      <w:r w:rsidRPr="00E93F40">
        <w:rPr>
          <w:color w:val="000000" w:themeColor="text1"/>
          <w:sz w:val="16"/>
          <w:szCs w:val="16"/>
        </w:rPr>
        <w:t>Военно-химические заказы</w:t>
      </w:r>
    </w:p>
    <w:p w14:paraId="5B15B569" w14:textId="361AB55C"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По Вохиму программа 1931</w:t>
      </w:r>
      <w:r w:rsidR="007C1411" w:rsidRPr="00E93F40">
        <w:rPr>
          <w:color w:val="000000" w:themeColor="text1"/>
          <w:sz w:val="16"/>
          <w:szCs w:val="16"/>
        </w:rPr>
        <w:t xml:space="preserve"> </w:t>
      </w:r>
      <w:r w:rsidRPr="00E93F40">
        <w:rPr>
          <w:color w:val="000000" w:themeColor="text1"/>
          <w:sz w:val="16"/>
          <w:szCs w:val="16"/>
        </w:rPr>
        <w:t>г. только по заказам промышленности выполнена на 78% в среднем. Если же учесть выполнение программы по противогазовому имуществу мастерскими Вохиму (на 6,2</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то процент выполнения плана повысится до 84%.</w:t>
      </w:r>
    </w:p>
    <w:p w14:paraId="6ADD655E" w14:textId="25C8AD6D"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Противогазы</w:t>
      </w:r>
      <w:r w:rsidRPr="00E93F40">
        <w:rPr>
          <w:color w:val="000000" w:themeColor="text1"/>
          <w:sz w:val="16"/>
          <w:szCs w:val="16"/>
        </w:rPr>
        <w:t xml:space="preserve"> (респираторные коробки). По противогазам БС и БН программа выполнена полностью. По изолирующим противогазам</w:t>
      </w:r>
      <w:r w:rsidR="007C1411" w:rsidRPr="00E93F40">
        <w:rPr>
          <w:color w:val="000000" w:themeColor="text1"/>
          <w:sz w:val="16"/>
          <w:szCs w:val="16"/>
        </w:rPr>
        <w:t xml:space="preserve"> </w:t>
      </w:r>
      <w:r w:rsidRPr="00E93F40">
        <w:rPr>
          <w:color w:val="000000" w:themeColor="text1"/>
          <w:sz w:val="16"/>
          <w:szCs w:val="16"/>
        </w:rPr>
        <w:t>— ноль выполнения вследствие неосвоенности производства заводом Мастяжарт.</w:t>
      </w:r>
    </w:p>
    <w:p w14:paraId="4A86BA63" w14:textId="01BE965E"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Монтированные резиновые детали к противогазам.</w:t>
      </w:r>
      <w:r w:rsidRPr="00E93F40">
        <w:rPr>
          <w:color w:val="000000" w:themeColor="text1"/>
          <w:sz w:val="16"/>
          <w:szCs w:val="16"/>
        </w:rPr>
        <w:t xml:space="preserve"> Недодел</w:t>
      </w:r>
      <w:r w:rsidR="007C1411" w:rsidRPr="00E93F40">
        <w:rPr>
          <w:color w:val="000000" w:themeColor="text1"/>
          <w:sz w:val="16"/>
          <w:szCs w:val="16"/>
        </w:rPr>
        <w:t xml:space="preserve"> </w:t>
      </w:r>
      <w:r w:rsidRPr="00E93F40">
        <w:rPr>
          <w:color w:val="000000" w:themeColor="text1"/>
          <w:sz w:val="16"/>
          <w:szCs w:val="16"/>
        </w:rPr>
        <w:t>— 232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шт., или 20% годового заказа из-за неподачи ниппелей и накидных гаек для гофрированных трубок и перехода на другую рецептуру по резине.</w:t>
      </w:r>
    </w:p>
    <w:p w14:paraId="2DA94FE4" w14:textId="62C46458"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Дымовые и ядовито-дымные шашки.</w:t>
      </w:r>
      <w:r w:rsidRPr="00E93F40">
        <w:rPr>
          <w:color w:val="000000" w:themeColor="text1"/>
          <w:sz w:val="16"/>
          <w:szCs w:val="16"/>
        </w:rPr>
        <w:t xml:space="preserve"> По шашкам ДМ</w:t>
      </w:r>
      <w:r w:rsidRPr="00E93F40">
        <w:rPr>
          <w:color w:val="000000" w:themeColor="text1"/>
          <w:sz w:val="16"/>
          <w:szCs w:val="16"/>
        </w:rPr>
        <w:noBreakHyphen/>
        <w:t>II недодел 74</w:t>
      </w:r>
      <w:r w:rsidR="007C1411" w:rsidRPr="00E93F40">
        <w:rPr>
          <w:color w:val="000000" w:themeColor="text1"/>
          <w:sz w:val="16"/>
          <w:szCs w:val="16"/>
        </w:rPr>
        <w:t xml:space="preserve"> </w:t>
      </w:r>
      <w:r w:rsidRPr="00E93F40">
        <w:rPr>
          <w:color w:val="000000" w:themeColor="text1"/>
          <w:sz w:val="16"/>
          <w:szCs w:val="16"/>
        </w:rPr>
        <w:t>250</w:t>
      </w:r>
      <w:r w:rsidR="007C1411" w:rsidRPr="00E93F40">
        <w:rPr>
          <w:color w:val="000000" w:themeColor="text1"/>
          <w:sz w:val="16"/>
          <w:szCs w:val="16"/>
        </w:rPr>
        <w:t xml:space="preserve"> </w:t>
      </w:r>
      <w:r w:rsidRPr="00E93F40">
        <w:rPr>
          <w:color w:val="000000" w:themeColor="text1"/>
          <w:sz w:val="16"/>
          <w:szCs w:val="16"/>
        </w:rPr>
        <w:t>шт. (17%) из-за недостатка бертолетовой соли. По шашкам ЯМ</w:t>
      </w:r>
      <w:r w:rsidRPr="00E93F40">
        <w:rPr>
          <w:color w:val="000000" w:themeColor="text1"/>
          <w:sz w:val="16"/>
          <w:szCs w:val="16"/>
        </w:rPr>
        <w:noBreakHyphen/>
        <w:t>II полный прорыв: недодел 71</w:t>
      </w:r>
      <w:r w:rsidR="007C1411" w:rsidRPr="00E93F40">
        <w:rPr>
          <w:color w:val="000000" w:themeColor="text1"/>
          <w:sz w:val="16"/>
          <w:szCs w:val="16"/>
        </w:rPr>
        <w:t xml:space="preserve"> </w:t>
      </w:r>
      <w:r w:rsidRPr="00E93F40">
        <w:rPr>
          <w:color w:val="000000" w:themeColor="text1"/>
          <w:sz w:val="16"/>
          <w:szCs w:val="16"/>
        </w:rPr>
        <w:t>280</w:t>
      </w:r>
      <w:r w:rsidR="007C1411" w:rsidRPr="00E93F40">
        <w:rPr>
          <w:color w:val="000000" w:themeColor="text1"/>
          <w:sz w:val="16"/>
          <w:szCs w:val="16"/>
        </w:rPr>
        <w:t xml:space="preserve"> </w:t>
      </w:r>
      <w:r w:rsidRPr="00E93F40">
        <w:rPr>
          <w:color w:val="000000" w:themeColor="text1"/>
          <w:sz w:val="16"/>
          <w:szCs w:val="16"/>
        </w:rPr>
        <w:t>шт., или 80% из-за отсутствия хлорацетофенона.</w:t>
      </w:r>
    </w:p>
    <w:p w14:paraId="536AB532" w14:textId="1949BC54"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Снаряжение химснарядов и аэрохимбомб.</w:t>
      </w:r>
      <w:r w:rsidRPr="00E93F40">
        <w:rPr>
          <w:color w:val="000000" w:themeColor="text1"/>
          <w:sz w:val="16"/>
          <w:szCs w:val="16"/>
        </w:rPr>
        <w:t xml:space="preserve"> По 107</w:t>
      </w:r>
      <w:r w:rsidR="007C1411" w:rsidRPr="00E93F40">
        <w:rPr>
          <w:color w:val="000000" w:themeColor="text1"/>
          <w:sz w:val="16"/>
          <w:szCs w:val="16"/>
        </w:rPr>
        <w:t xml:space="preserve"> </w:t>
      </w:r>
      <w:r w:rsidRPr="00E93F40">
        <w:rPr>
          <w:color w:val="000000" w:themeColor="text1"/>
          <w:sz w:val="16"/>
          <w:szCs w:val="16"/>
        </w:rPr>
        <w:t>мм в недоделе 96% годового заказа, по 122</w:t>
      </w:r>
      <w:r w:rsidR="007C1411" w:rsidRPr="00E93F40">
        <w:rPr>
          <w:color w:val="000000" w:themeColor="text1"/>
          <w:sz w:val="16"/>
          <w:szCs w:val="16"/>
        </w:rPr>
        <w:t xml:space="preserve"> </w:t>
      </w:r>
      <w:r w:rsidRPr="00E93F40">
        <w:rPr>
          <w:color w:val="000000" w:themeColor="text1"/>
          <w:sz w:val="16"/>
          <w:szCs w:val="16"/>
        </w:rPr>
        <w:t>мм</w:t>
      </w:r>
      <w:r w:rsidR="007C1411" w:rsidRPr="00E93F40">
        <w:rPr>
          <w:color w:val="000000" w:themeColor="text1"/>
          <w:sz w:val="16"/>
          <w:szCs w:val="16"/>
        </w:rPr>
        <w:t xml:space="preserve"> </w:t>
      </w:r>
      <w:r w:rsidRPr="00E93F40">
        <w:rPr>
          <w:color w:val="000000" w:themeColor="text1"/>
          <w:sz w:val="16"/>
          <w:szCs w:val="16"/>
        </w:rPr>
        <w:t>— 80%, по 76</w:t>
      </w:r>
      <w:r w:rsidR="007C1411" w:rsidRPr="00E93F40">
        <w:rPr>
          <w:color w:val="000000" w:themeColor="text1"/>
          <w:sz w:val="16"/>
          <w:szCs w:val="16"/>
        </w:rPr>
        <w:t xml:space="preserve"> </w:t>
      </w:r>
      <w:r w:rsidRPr="00E93F40">
        <w:rPr>
          <w:color w:val="000000" w:themeColor="text1"/>
          <w:sz w:val="16"/>
          <w:szCs w:val="16"/>
        </w:rPr>
        <w:t>мм</w:t>
      </w:r>
      <w:r w:rsidR="007C1411" w:rsidRPr="00E93F40">
        <w:rPr>
          <w:color w:val="000000" w:themeColor="text1"/>
          <w:sz w:val="16"/>
          <w:szCs w:val="16"/>
        </w:rPr>
        <w:t xml:space="preserve"> </w:t>
      </w:r>
      <w:r w:rsidRPr="00E93F40">
        <w:rPr>
          <w:color w:val="000000" w:themeColor="text1"/>
          <w:sz w:val="16"/>
          <w:szCs w:val="16"/>
        </w:rPr>
        <w:t>— 45%, по аэробомбам АОХ</w:t>
      </w:r>
      <w:r w:rsidRPr="00E93F40">
        <w:rPr>
          <w:color w:val="000000" w:themeColor="text1"/>
          <w:sz w:val="16"/>
          <w:szCs w:val="16"/>
        </w:rPr>
        <w:noBreakHyphen/>
        <w:t>8</w:t>
      </w:r>
      <w:r w:rsidR="007C1411" w:rsidRPr="00E93F40">
        <w:rPr>
          <w:color w:val="000000" w:themeColor="text1"/>
          <w:sz w:val="16"/>
          <w:szCs w:val="16"/>
        </w:rPr>
        <w:t xml:space="preserve"> </w:t>
      </w:r>
      <w:r w:rsidRPr="00E93F40">
        <w:rPr>
          <w:color w:val="000000" w:themeColor="text1"/>
          <w:sz w:val="16"/>
          <w:szCs w:val="16"/>
        </w:rPr>
        <w:t>— 76%. Недодел объясняется несвоевременной подачей корпусов для снаряжения.</w:t>
      </w:r>
    </w:p>
    <w:p w14:paraId="3FB61110" w14:textId="1B6E0D74"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Минометы Стокса</w:t>
      </w:r>
      <w:r w:rsidRPr="00E93F40">
        <w:rPr>
          <w:color w:val="000000" w:themeColor="text1"/>
          <w:sz w:val="16"/>
          <w:szCs w:val="16"/>
        </w:rPr>
        <w:t xml:space="preserve"> (завод «Кр[асный] Октябрь»). В недодел осталось 250</w:t>
      </w:r>
      <w:r w:rsidR="007C1411" w:rsidRPr="00E93F40">
        <w:rPr>
          <w:color w:val="000000" w:themeColor="text1"/>
          <w:sz w:val="16"/>
          <w:szCs w:val="16"/>
        </w:rPr>
        <w:t xml:space="preserve"> </w:t>
      </w:r>
      <w:r w:rsidRPr="00E93F40">
        <w:rPr>
          <w:color w:val="000000" w:themeColor="text1"/>
          <w:sz w:val="16"/>
          <w:szCs w:val="16"/>
        </w:rPr>
        <w:t>шт., или 50% заказа. Причины недодела: изменение конструкции 3</w:t>
      </w:r>
      <w:r w:rsidR="007C1411" w:rsidRPr="00E93F40">
        <w:rPr>
          <w:color w:val="000000" w:themeColor="text1"/>
          <w:sz w:val="16"/>
          <w:szCs w:val="16"/>
        </w:rPr>
        <w:t xml:space="preserve"> </w:t>
      </w:r>
      <w:r w:rsidRPr="00E93F40">
        <w:rPr>
          <w:color w:val="000000" w:themeColor="text1"/>
          <w:sz w:val="16"/>
          <w:szCs w:val="16"/>
        </w:rPr>
        <w:t>раза в течение года, неподача стального литья с завода «Большевик» и «Ленкузня» и позднее поступление оборудования на завод.</w:t>
      </w:r>
    </w:p>
    <w:p w14:paraId="46B95ABE" w14:textId="17E5AD98"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Мины Стокса.</w:t>
      </w:r>
      <w:r w:rsidRPr="00E93F40">
        <w:rPr>
          <w:color w:val="000000" w:themeColor="text1"/>
          <w:sz w:val="16"/>
          <w:szCs w:val="16"/>
        </w:rPr>
        <w:t xml:space="preserve"> Годовой заказ</w:t>
      </w:r>
      <w:r w:rsidR="007C1411" w:rsidRPr="00E93F40">
        <w:rPr>
          <w:color w:val="000000" w:themeColor="text1"/>
          <w:sz w:val="16"/>
          <w:szCs w:val="16"/>
        </w:rPr>
        <w:t xml:space="preserve"> </w:t>
      </w:r>
      <w:r w:rsidRPr="00E93F40">
        <w:rPr>
          <w:color w:val="000000" w:themeColor="text1"/>
          <w:sz w:val="16"/>
          <w:szCs w:val="16"/>
        </w:rPr>
        <w:t>— 30</w:t>
      </w:r>
      <w:r w:rsidR="007C1411" w:rsidRPr="00E93F40">
        <w:rPr>
          <w:color w:val="000000" w:themeColor="text1"/>
          <w:sz w:val="16"/>
          <w:szCs w:val="16"/>
        </w:rPr>
        <w:t xml:space="preserve"> </w:t>
      </w:r>
      <w:r w:rsidRPr="00E93F40">
        <w:rPr>
          <w:color w:val="000000" w:themeColor="text1"/>
          <w:sz w:val="16"/>
          <w:szCs w:val="16"/>
        </w:rPr>
        <w:t>тыс. Завод им.</w:t>
      </w:r>
      <w:r w:rsidR="007C1411" w:rsidRPr="00E93F40">
        <w:rPr>
          <w:color w:val="000000" w:themeColor="text1"/>
          <w:sz w:val="16"/>
          <w:szCs w:val="16"/>
        </w:rPr>
        <w:t xml:space="preserve"> </w:t>
      </w:r>
      <w:r w:rsidRPr="00E93F40">
        <w:rPr>
          <w:color w:val="000000" w:themeColor="text1"/>
          <w:sz w:val="16"/>
          <w:szCs w:val="16"/>
        </w:rPr>
        <w:t>Петровского поставил 7,5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шт., но ввиду несовершенства корпусов заказ приостановлен. Поставленные корпуса мин все негерметичны и приняты как учебные. Новый образец корпуса утвержден Вохиму лишь 18</w:t>
      </w:r>
      <w:r w:rsidR="007C1411" w:rsidRPr="00E93F40">
        <w:rPr>
          <w:color w:val="000000" w:themeColor="text1"/>
          <w:sz w:val="16"/>
          <w:szCs w:val="16"/>
        </w:rPr>
        <w:t xml:space="preserve"> </w:t>
      </w:r>
      <w:r w:rsidRPr="00E93F40">
        <w:rPr>
          <w:color w:val="000000" w:themeColor="text1"/>
          <w:sz w:val="16"/>
          <w:szCs w:val="16"/>
        </w:rPr>
        <w:t>декабря 1931</w:t>
      </w:r>
      <w:r w:rsidR="007C1411" w:rsidRPr="00E93F40">
        <w:rPr>
          <w:color w:val="000000" w:themeColor="text1"/>
          <w:sz w:val="16"/>
          <w:szCs w:val="16"/>
        </w:rPr>
        <w:t xml:space="preserve"> </w:t>
      </w:r>
      <w:r w:rsidRPr="00E93F40">
        <w:rPr>
          <w:color w:val="000000" w:themeColor="text1"/>
          <w:sz w:val="16"/>
          <w:szCs w:val="16"/>
        </w:rPr>
        <w:t>г.</w:t>
      </w:r>
    </w:p>
    <w:p w14:paraId="4FDB1340" w14:textId="1139E881"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Вещество №</w:t>
      </w:r>
      <w:r w:rsidR="007C1411" w:rsidRPr="00E93F40">
        <w:rPr>
          <w:rStyle w:val="af0"/>
          <w:i w:val="0"/>
          <w:color w:val="000000" w:themeColor="text1"/>
          <w:sz w:val="16"/>
          <w:szCs w:val="16"/>
        </w:rPr>
        <w:t xml:space="preserve"> </w:t>
      </w:r>
      <w:r w:rsidRPr="00E93F40">
        <w:rPr>
          <w:rStyle w:val="af0"/>
          <w:i w:val="0"/>
          <w:color w:val="000000" w:themeColor="text1"/>
          <w:sz w:val="16"/>
          <w:szCs w:val="16"/>
        </w:rPr>
        <w:t>6 (иприт).</w:t>
      </w:r>
      <w:r w:rsidRPr="00E93F40">
        <w:rPr>
          <w:color w:val="000000" w:themeColor="text1"/>
          <w:sz w:val="16"/>
          <w:szCs w:val="16"/>
        </w:rPr>
        <w:t xml:space="preserve"> Недодел</w:t>
      </w:r>
      <w:r w:rsidR="007C1411" w:rsidRPr="00E93F40">
        <w:rPr>
          <w:color w:val="000000" w:themeColor="text1"/>
          <w:sz w:val="16"/>
          <w:szCs w:val="16"/>
        </w:rPr>
        <w:t xml:space="preserve"> </w:t>
      </w:r>
      <w:r w:rsidRPr="00E93F40">
        <w:rPr>
          <w:color w:val="000000" w:themeColor="text1"/>
          <w:sz w:val="16"/>
          <w:szCs w:val="16"/>
        </w:rPr>
        <w:t>— 226</w:t>
      </w:r>
      <w:r w:rsidR="007C1411" w:rsidRPr="00E93F40">
        <w:rPr>
          <w:color w:val="000000" w:themeColor="text1"/>
          <w:sz w:val="16"/>
          <w:szCs w:val="16"/>
        </w:rPr>
        <w:t xml:space="preserve"> </w:t>
      </w:r>
      <w:r w:rsidRPr="00E93F40">
        <w:rPr>
          <w:color w:val="000000" w:themeColor="text1"/>
          <w:sz w:val="16"/>
          <w:szCs w:val="16"/>
        </w:rPr>
        <w:t>т, или 89% заказа из-за отсутствия тары под иприт.</w:t>
      </w:r>
    </w:p>
    <w:p w14:paraId="227E4B21" w14:textId="18DC468D"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Фильтры ФП</w:t>
      </w:r>
      <w:r w:rsidRPr="00E93F40">
        <w:rPr>
          <w:rStyle w:val="af0"/>
          <w:i w:val="0"/>
          <w:color w:val="000000" w:themeColor="text1"/>
          <w:sz w:val="16"/>
          <w:szCs w:val="16"/>
        </w:rPr>
        <w:noBreakHyphen/>
        <w:t>60, ФП</w:t>
      </w:r>
      <w:r w:rsidRPr="00E93F40">
        <w:rPr>
          <w:rStyle w:val="af0"/>
          <w:i w:val="0"/>
          <w:color w:val="000000" w:themeColor="text1"/>
          <w:sz w:val="16"/>
          <w:szCs w:val="16"/>
        </w:rPr>
        <w:noBreakHyphen/>
        <w:t>150 и ФП</w:t>
      </w:r>
      <w:r w:rsidRPr="00E93F40">
        <w:rPr>
          <w:rStyle w:val="af0"/>
          <w:i w:val="0"/>
          <w:color w:val="000000" w:themeColor="text1"/>
          <w:sz w:val="16"/>
          <w:szCs w:val="16"/>
        </w:rPr>
        <w:noBreakHyphen/>
        <w:t>360.</w:t>
      </w:r>
      <w:r w:rsidRPr="00E93F40">
        <w:rPr>
          <w:color w:val="000000" w:themeColor="text1"/>
          <w:sz w:val="16"/>
          <w:szCs w:val="16"/>
        </w:rPr>
        <w:t xml:space="preserve"> Заказ не выполнен ввиду неналаженности производства на заводе №</w:t>
      </w:r>
      <w:r w:rsidR="007C1411" w:rsidRPr="00E93F40">
        <w:rPr>
          <w:color w:val="000000" w:themeColor="text1"/>
          <w:sz w:val="16"/>
          <w:szCs w:val="16"/>
        </w:rPr>
        <w:t xml:space="preserve"> </w:t>
      </w:r>
      <w:r w:rsidRPr="00E93F40">
        <w:rPr>
          <w:color w:val="000000" w:themeColor="text1"/>
          <w:sz w:val="16"/>
          <w:szCs w:val="16"/>
        </w:rPr>
        <w:t>7 «Отопитель».</w:t>
      </w:r>
    </w:p>
    <w:p w14:paraId="6214F266" w14:textId="77777777" w:rsidR="00257404" w:rsidRPr="00E93F40" w:rsidRDefault="00257404" w:rsidP="00E93F40">
      <w:pPr>
        <w:pStyle w:val="rtejustify"/>
        <w:spacing w:before="0" w:after="0"/>
        <w:rPr>
          <w:rStyle w:val="af0"/>
          <w:i w:val="0"/>
          <w:color w:val="000000" w:themeColor="text1"/>
          <w:sz w:val="16"/>
          <w:szCs w:val="16"/>
        </w:rPr>
      </w:pPr>
      <w:r w:rsidRPr="00E93F40">
        <w:rPr>
          <w:color w:val="000000" w:themeColor="text1"/>
          <w:sz w:val="16"/>
          <w:szCs w:val="16"/>
        </w:rPr>
        <w:t>Заказы Управления связи</w:t>
      </w:r>
    </w:p>
    <w:p w14:paraId="58A422D9" w14:textId="13A16806"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Радиостанции.</w:t>
      </w:r>
      <w:r w:rsidRPr="00E93F40">
        <w:rPr>
          <w:color w:val="000000" w:themeColor="text1"/>
          <w:sz w:val="16"/>
          <w:szCs w:val="16"/>
        </w:rPr>
        <w:t xml:space="preserve"> На 1</w:t>
      </w:r>
      <w:r w:rsidR="007C1411" w:rsidRPr="00E93F40">
        <w:rPr>
          <w:color w:val="000000" w:themeColor="text1"/>
          <w:sz w:val="16"/>
          <w:szCs w:val="16"/>
        </w:rPr>
        <w:t xml:space="preserve"> </w:t>
      </w:r>
      <w:r w:rsidRPr="00E93F40">
        <w:rPr>
          <w:color w:val="000000" w:themeColor="text1"/>
          <w:sz w:val="16"/>
          <w:szCs w:val="16"/>
        </w:rPr>
        <w:t>января сдано промышленностью 717</w:t>
      </w:r>
      <w:r w:rsidR="007C1411" w:rsidRPr="00E93F40">
        <w:rPr>
          <w:color w:val="000000" w:themeColor="text1"/>
          <w:sz w:val="16"/>
          <w:szCs w:val="16"/>
        </w:rPr>
        <w:t xml:space="preserve"> </w:t>
      </w:r>
      <w:r w:rsidRPr="00E93F40">
        <w:rPr>
          <w:color w:val="000000" w:themeColor="text1"/>
          <w:sz w:val="16"/>
          <w:szCs w:val="16"/>
        </w:rPr>
        <w:t>радиостанций вместо 1174. Недодел</w:t>
      </w:r>
      <w:r w:rsidR="007C1411" w:rsidRPr="00E93F40">
        <w:rPr>
          <w:color w:val="000000" w:themeColor="text1"/>
          <w:sz w:val="16"/>
          <w:szCs w:val="16"/>
        </w:rPr>
        <w:t xml:space="preserve"> </w:t>
      </w:r>
      <w:r w:rsidRPr="00E93F40">
        <w:rPr>
          <w:color w:val="000000" w:themeColor="text1"/>
          <w:sz w:val="16"/>
          <w:szCs w:val="16"/>
        </w:rPr>
        <w:t>— 457</w:t>
      </w:r>
      <w:r w:rsidR="007C1411" w:rsidRPr="00E93F40">
        <w:rPr>
          <w:color w:val="000000" w:themeColor="text1"/>
          <w:sz w:val="16"/>
          <w:szCs w:val="16"/>
        </w:rPr>
        <w:t xml:space="preserve"> </w:t>
      </w:r>
      <w:r w:rsidRPr="00E93F40">
        <w:rPr>
          <w:color w:val="000000" w:themeColor="text1"/>
          <w:sz w:val="16"/>
          <w:szCs w:val="16"/>
        </w:rPr>
        <w:t>шт., или 39% годового заказа.</w:t>
      </w:r>
    </w:p>
    <w:p w14:paraId="2BD9B8F9" w14:textId="1235BDFE"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По группе радиостанций для высших войсковых соединений заказ выполнен в среднем только на 20%. В недоделе 86</w:t>
      </w:r>
      <w:r w:rsidR="007C1411" w:rsidRPr="00E93F40">
        <w:rPr>
          <w:color w:val="000000" w:themeColor="text1"/>
          <w:sz w:val="16"/>
          <w:szCs w:val="16"/>
        </w:rPr>
        <w:t xml:space="preserve"> </w:t>
      </w:r>
      <w:r w:rsidRPr="00E93F40">
        <w:rPr>
          <w:color w:val="000000" w:themeColor="text1"/>
          <w:sz w:val="16"/>
          <w:szCs w:val="16"/>
        </w:rPr>
        <w:t>станций, из коих 74 дивизионных 4А и 4Д (0 выполнения) и 12</w:t>
      </w:r>
      <w:r w:rsidR="007C1411" w:rsidRPr="00E93F40">
        <w:rPr>
          <w:color w:val="000000" w:themeColor="text1"/>
          <w:sz w:val="16"/>
          <w:szCs w:val="16"/>
        </w:rPr>
        <w:t xml:space="preserve"> </w:t>
      </w:r>
      <w:r w:rsidRPr="00E93F40">
        <w:rPr>
          <w:color w:val="000000" w:themeColor="text1"/>
          <w:sz w:val="16"/>
          <w:szCs w:val="16"/>
        </w:rPr>
        <w:t>корпусных ЗА (15% выполнения). Недодел образовался по вине завода им.</w:t>
      </w:r>
      <w:r w:rsidR="007C1411" w:rsidRPr="00E93F40">
        <w:rPr>
          <w:color w:val="000000" w:themeColor="text1"/>
          <w:sz w:val="16"/>
          <w:szCs w:val="16"/>
        </w:rPr>
        <w:t xml:space="preserve"> </w:t>
      </w:r>
      <w:r w:rsidRPr="00E93F40">
        <w:rPr>
          <w:color w:val="000000" w:themeColor="text1"/>
          <w:sz w:val="16"/>
          <w:szCs w:val="16"/>
        </w:rPr>
        <w:t>Козицкого, который не изготовил и не поставил заводу им.</w:t>
      </w:r>
      <w:r w:rsidR="007C1411" w:rsidRPr="00E93F40">
        <w:rPr>
          <w:color w:val="000000" w:themeColor="text1"/>
          <w:sz w:val="16"/>
          <w:szCs w:val="16"/>
        </w:rPr>
        <w:t xml:space="preserve"> </w:t>
      </w:r>
      <w:r w:rsidRPr="00E93F40">
        <w:rPr>
          <w:color w:val="000000" w:themeColor="text1"/>
          <w:sz w:val="16"/>
          <w:szCs w:val="16"/>
        </w:rPr>
        <w:t>Ленина приемопередатчиков для указанных станций. По группе полковых и батальонных радиостанций не выполнен план по батальонным станциям 6</w:t>
      </w:r>
      <w:r w:rsidRPr="00E93F40">
        <w:rPr>
          <w:color w:val="000000" w:themeColor="text1"/>
          <w:sz w:val="16"/>
          <w:szCs w:val="16"/>
        </w:rPr>
        <w:noBreakHyphen/>
        <w:t>ПК: в недоделе осталось 199</w:t>
      </w:r>
      <w:r w:rsidR="007C1411" w:rsidRPr="00E93F40">
        <w:rPr>
          <w:color w:val="000000" w:themeColor="text1"/>
          <w:sz w:val="16"/>
          <w:szCs w:val="16"/>
        </w:rPr>
        <w:t xml:space="preserve"> </w:t>
      </w:r>
      <w:r w:rsidRPr="00E93F40">
        <w:rPr>
          <w:color w:val="000000" w:themeColor="text1"/>
          <w:sz w:val="16"/>
          <w:szCs w:val="16"/>
        </w:rPr>
        <w:t>станций (20% заказа), которые хотя и закончены в основном, но ввиду низкого качества предъявленной продукции перенесены приемкой на январь. По самолетным радиостанциям план выполнен на 59%, в недоделе 172</w:t>
      </w:r>
      <w:r w:rsidR="007C1411" w:rsidRPr="00E93F40">
        <w:rPr>
          <w:color w:val="000000" w:themeColor="text1"/>
          <w:sz w:val="16"/>
          <w:szCs w:val="16"/>
        </w:rPr>
        <w:t xml:space="preserve"> </w:t>
      </w:r>
      <w:r w:rsidRPr="00E93F40">
        <w:rPr>
          <w:color w:val="000000" w:themeColor="text1"/>
          <w:sz w:val="16"/>
          <w:szCs w:val="16"/>
        </w:rPr>
        <w:t>шт. Прорыв по этим станциям произошел по вине завода им.</w:t>
      </w:r>
      <w:r w:rsidR="007C1411" w:rsidRPr="00E93F40">
        <w:rPr>
          <w:color w:val="000000" w:themeColor="text1"/>
          <w:sz w:val="16"/>
          <w:szCs w:val="16"/>
        </w:rPr>
        <w:t xml:space="preserve"> </w:t>
      </w:r>
      <w:r w:rsidRPr="00E93F40">
        <w:rPr>
          <w:color w:val="000000" w:themeColor="text1"/>
          <w:sz w:val="16"/>
          <w:szCs w:val="16"/>
        </w:rPr>
        <w:t>Козицкого, который в 1931</w:t>
      </w:r>
      <w:r w:rsidR="007C1411" w:rsidRPr="00E93F40">
        <w:rPr>
          <w:color w:val="000000" w:themeColor="text1"/>
          <w:sz w:val="16"/>
          <w:szCs w:val="16"/>
        </w:rPr>
        <w:t xml:space="preserve"> </w:t>
      </w:r>
      <w:r w:rsidRPr="00E93F40">
        <w:rPr>
          <w:color w:val="000000" w:themeColor="text1"/>
          <w:sz w:val="16"/>
          <w:szCs w:val="16"/>
        </w:rPr>
        <w:t>г. вообще значительно ухудшил свою работу.</w:t>
      </w:r>
    </w:p>
    <w:p w14:paraId="5A99EFA3" w14:textId="3B31A654"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Элементы.</w:t>
      </w:r>
      <w:r w:rsidRPr="00E93F40">
        <w:rPr>
          <w:color w:val="000000" w:themeColor="text1"/>
          <w:sz w:val="16"/>
          <w:szCs w:val="16"/>
        </w:rPr>
        <w:t xml:space="preserve"> Недодел</w:t>
      </w:r>
      <w:r w:rsidR="007C1411" w:rsidRPr="00E93F40">
        <w:rPr>
          <w:color w:val="000000" w:themeColor="text1"/>
          <w:sz w:val="16"/>
          <w:szCs w:val="16"/>
        </w:rPr>
        <w:t xml:space="preserve"> </w:t>
      </w:r>
      <w:r w:rsidRPr="00E93F40">
        <w:rPr>
          <w:color w:val="000000" w:themeColor="text1"/>
          <w:sz w:val="16"/>
          <w:szCs w:val="16"/>
        </w:rPr>
        <w:t>— 46</w:t>
      </w:r>
      <w:r w:rsidR="007C1411" w:rsidRPr="00E93F40">
        <w:rPr>
          <w:color w:val="000000" w:themeColor="text1"/>
          <w:sz w:val="16"/>
          <w:szCs w:val="16"/>
        </w:rPr>
        <w:t xml:space="preserve"> </w:t>
      </w:r>
      <w:r w:rsidRPr="00E93F40">
        <w:rPr>
          <w:color w:val="000000" w:themeColor="text1"/>
          <w:sz w:val="16"/>
          <w:szCs w:val="16"/>
        </w:rPr>
        <w:t>460</w:t>
      </w:r>
      <w:r w:rsidR="007C1411" w:rsidRPr="00E93F40">
        <w:rPr>
          <w:color w:val="000000" w:themeColor="text1"/>
          <w:sz w:val="16"/>
          <w:szCs w:val="16"/>
        </w:rPr>
        <w:t xml:space="preserve"> </w:t>
      </w:r>
      <w:r w:rsidRPr="00E93F40">
        <w:rPr>
          <w:color w:val="000000" w:themeColor="text1"/>
          <w:sz w:val="16"/>
          <w:szCs w:val="16"/>
        </w:rPr>
        <w:t>шт., или 7% заказа. По своей производительности завод «Мосэлемент» может выполнить заказ без всякого напряжения, но качество элементов за последние два года столь резко упало, что даже при приемке по пониженным кондициям (снижение до 40%) брак доходит до 75</w:t>
      </w:r>
      <w:r w:rsidRPr="00E93F40">
        <w:rPr>
          <w:color w:val="000000" w:themeColor="text1"/>
          <w:sz w:val="16"/>
          <w:szCs w:val="16"/>
        </w:rPr>
        <w:noBreakHyphen/>
        <w:t>100%.</w:t>
      </w:r>
    </w:p>
    <w:p w14:paraId="5E8B2F7B" w14:textId="253D2B3B"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Кабель полевой телеграфный.</w:t>
      </w:r>
      <w:r w:rsidRPr="00E93F40">
        <w:rPr>
          <w:color w:val="000000" w:themeColor="text1"/>
          <w:sz w:val="16"/>
          <w:szCs w:val="16"/>
        </w:rPr>
        <w:t xml:space="preserve"> Недодел</w:t>
      </w:r>
      <w:r w:rsidR="007C1411" w:rsidRPr="00E93F40">
        <w:rPr>
          <w:color w:val="000000" w:themeColor="text1"/>
          <w:sz w:val="16"/>
          <w:szCs w:val="16"/>
        </w:rPr>
        <w:t xml:space="preserve"> </w:t>
      </w:r>
      <w:r w:rsidRPr="00E93F40">
        <w:rPr>
          <w:color w:val="000000" w:themeColor="text1"/>
          <w:sz w:val="16"/>
          <w:szCs w:val="16"/>
        </w:rPr>
        <w:t>— 2319</w:t>
      </w:r>
      <w:r w:rsidR="007C1411" w:rsidRPr="00E93F40">
        <w:rPr>
          <w:color w:val="000000" w:themeColor="text1"/>
          <w:sz w:val="16"/>
          <w:szCs w:val="16"/>
        </w:rPr>
        <w:t xml:space="preserve"> </w:t>
      </w:r>
      <w:r w:rsidRPr="00E93F40">
        <w:rPr>
          <w:color w:val="000000" w:themeColor="text1"/>
          <w:sz w:val="16"/>
          <w:szCs w:val="16"/>
        </w:rPr>
        <w:t>км, или 54% годового заказа. Промышленность не может наладить производство телеграфного кабеля, отвечающего полностью техническим условиям, главным образом в отношении изоляции, что объясняется неоднородностью и плохим качеством поступающего на заводы каучука.</w:t>
      </w:r>
    </w:p>
    <w:p w14:paraId="1CA977C6" w14:textId="5405E4A7"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Кабель полевой телефонный.</w:t>
      </w:r>
      <w:r w:rsidRPr="00E93F40">
        <w:rPr>
          <w:color w:val="000000" w:themeColor="text1"/>
          <w:sz w:val="16"/>
          <w:szCs w:val="16"/>
        </w:rPr>
        <w:t xml:space="preserve"> Недодел</w:t>
      </w:r>
      <w:r w:rsidR="007C1411" w:rsidRPr="00E93F40">
        <w:rPr>
          <w:color w:val="000000" w:themeColor="text1"/>
          <w:sz w:val="16"/>
          <w:szCs w:val="16"/>
        </w:rPr>
        <w:t xml:space="preserve"> </w:t>
      </w:r>
      <w:r w:rsidRPr="00E93F40">
        <w:rPr>
          <w:color w:val="000000" w:themeColor="text1"/>
          <w:sz w:val="16"/>
          <w:szCs w:val="16"/>
        </w:rPr>
        <w:t>— 28</w:t>
      </w:r>
      <w:r w:rsidR="007C1411" w:rsidRPr="00E93F40">
        <w:rPr>
          <w:color w:val="000000" w:themeColor="text1"/>
          <w:sz w:val="16"/>
          <w:szCs w:val="16"/>
        </w:rPr>
        <w:t xml:space="preserve"> </w:t>
      </w:r>
      <w:r w:rsidRPr="00E93F40">
        <w:rPr>
          <w:color w:val="000000" w:themeColor="text1"/>
          <w:sz w:val="16"/>
          <w:szCs w:val="16"/>
        </w:rPr>
        <w:t>272</w:t>
      </w:r>
      <w:r w:rsidR="007C1411" w:rsidRPr="00E93F40">
        <w:rPr>
          <w:color w:val="000000" w:themeColor="text1"/>
          <w:sz w:val="16"/>
          <w:szCs w:val="16"/>
        </w:rPr>
        <w:t xml:space="preserve"> </w:t>
      </w:r>
      <w:r w:rsidRPr="00E93F40">
        <w:rPr>
          <w:color w:val="000000" w:themeColor="text1"/>
          <w:sz w:val="16"/>
          <w:szCs w:val="16"/>
        </w:rPr>
        <w:t>км, или 79%. Заказ на кабель в 1931</w:t>
      </w:r>
      <w:r w:rsidR="007C1411" w:rsidRPr="00E93F40">
        <w:rPr>
          <w:color w:val="000000" w:themeColor="text1"/>
          <w:sz w:val="16"/>
          <w:szCs w:val="16"/>
        </w:rPr>
        <w:t xml:space="preserve"> </w:t>
      </w:r>
      <w:r w:rsidRPr="00E93F40">
        <w:rPr>
          <w:color w:val="000000" w:themeColor="text1"/>
          <w:sz w:val="16"/>
          <w:szCs w:val="16"/>
        </w:rPr>
        <w:t>г. резко увеличен по сравнению с 1930</w:t>
      </w:r>
      <w:r w:rsidR="007C1411" w:rsidRPr="00E93F40">
        <w:rPr>
          <w:color w:val="000000" w:themeColor="text1"/>
          <w:sz w:val="16"/>
          <w:szCs w:val="16"/>
        </w:rPr>
        <w:t xml:space="preserve"> </w:t>
      </w:r>
      <w:r w:rsidRPr="00E93F40">
        <w:rPr>
          <w:color w:val="000000" w:themeColor="text1"/>
          <w:sz w:val="16"/>
          <w:szCs w:val="16"/>
        </w:rPr>
        <w:t>г. (в 5</w:t>
      </w:r>
      <w:r w:rsidR="007C1411" w:rsidRPr="00E93F40">
        <w:rPr>
          <w:color w:val="000000" w:themeColor="text1"/>
          <w:sz w:val="16"/>
          <w:szCs w:val="16"/>
        </w:rPr>
        <w:t xml:space="preserve"> </w:t>
      </w:r>
      <w:r w:rsidRPr="00E93F40">
        <w:rPr>
          <w:color w:val="000000" w:themeColor="text1"/>
          <w:sz w:val="16"/>
          <w:szCs w:val="16"/>
        </w:rPr>
        <w:t>раз больше), и технические условия значительно повышены. Промышленность не провела вовремя необходимых мероприятий, обеспечивающих выполнение увеличенного плана: не произведена была перестройка цехов кабельных заводов, не налажена заготовка и подача полуфабрикатов, В результате этого кабельные заводы приступили к массовому изготовлению кабеля фактически только в мае 1931</w:t>
      </w:r>
      <w:r w:rsidR="007C1411" w:rsidRPr="00E93F40">
        <w:rPr>
          <w:color w:val="000000" w:themeColor="text1"/>
          <w:sz w:val="16"/>
          <w:szCs w:val="16"/>
        </w:rPr>
        <w:t xml:space="preserve"> </w:t>
      </w:r>
      <w:r w:rsidRPr="00E93F40">
        <w:rPr>
          <w:color w:val="000000" w:themeColor="text1"/>
          <w:sz w:val="16"/>
          <w:szCs w:val="16"/>
        </w:rPr>
        <w:t>г.</w:t>
      </w:r>
    </w:p>
    <w:p w14:paraId="2C64A499" w14:textId="77777777" w:rsidR="00257404" w:rsidRPr="00E93F40" w:rsidRDefault="00257404" w:rsidP="00E93F40">
      <w:pPr>
        <w:pStyle w:val="rtejustify"/>
        <w:spacing w:before="0" w:after="0"/>
        <w:rPr>
          <w:rStyle w:val="af0"/>
          <w:i w:val="0"/>
          <w:color w:val="000000" w:themeColor="text1"/>
          <w:sz w:val="16"/>
          <w:szCs w:val="16"/>
        </w:rPr>
      </w:pPr>
      <w:r w:rsidRPr="00E93F40">
        <w:rPr>
          <w:color w:val="000000" w:themeColor="text1"/>
          <w:sz w:val="16"/>
          <w:szCs w:val="16"/>
        </w:rPr>
        <w:t>Заказы Военно-инж[енерного] управления</w:t>
      </w:r>
    </w:p>
    <w:p w14:paraId="2C0B47DE" w14:textId="236287C3"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Прожекторное имущество.</w:t>
      </w:r>
      <w:r w:rsidRPr="00E93F40">
        <w:rPr>
          <w:color w:val="000000" w:themeColor="text1"/>
          <w:sz w:val="16"/>
          <w:szCs w:val="16"/>
        </w:rPr>
        <w:t xml:space="preserve"> По прож[екторным] станциям план выполнен. Недодел остается по станциям АЭС</w:t>
      </w:r>
      <w:r w:rsidRPr="00E93F40">
        <w:rPr>
          <w:color w:val="000000" w:themeColor="text1"/>
          <w:sz w:val="16"/>
          <w:szCs w:val="16"/>
        </w:rPr>
        <w:noBreakHyphen/>
        <w:t>1 (28</w:t>
      </w:r>
      <w:r w:rsidR="007C1411" w:rsidRPr="00E93F40">
        <w:rPr>
          <w:color w:val="000000" w:themeColor="text1"/>
          <w:sz w:val="16"/>
          <w:szCs w:val="16"/>
        </w:rPr>
        <w:t xml:space="preserve"> </w:t>
      </w:r>
      <w:r w:rsidRPr="00E93F40">
        <w:rPr>
          <w:color w:val="000000" w:themeColor="text1"/>
          <w:sz w:val="16"/>
          <w:szCs w:val="16"/>
        </w:rPr>
        <w:t>шт.), по запчастям к прожекторам на 338</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 разным отдельным предметам к звукоулавливателям, агрегатам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д.</w:t>
      </w:r>
      <w:r w:rsidR="007C1411" w:rsidRPr="00E93F40">
        <w:rPr>
          <w:color w:val="000000" w:themeColor="text1"/>
          <w:sz w:val="16"/>
          <w:szCs w:val="16"/>
        </w:rPr>
        <w:t xml:space="preserve"> </w:t>
      </w:r>
      <w:r w:rsidRPr="00E93F40">
        <w:rPr>
          <w:color w:val="000000" w:themeColor="text1"/>
          <w:sz w:val="16"/>
          <w:szCs w:val="16"/>
        </w:rPr>
        <w:t>— всего на сумму 1817</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что составляет 24% от годового заказа по прож[екторному] имуществу.</w:t>
      </w:r>
    </w:p>
    <w:p w14:paraId="47D0D1A9" w14:textId="17726FE4"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Гидротехническое имущество.</w:t>
      </w:r>
      <w:r w:rsidRPr="00E93F40">
        <w:rPr>
          <w:color w:val="000000" w:themeColor="text1"/>
          <w:sz w:val="16"/>
          <w:szCs w:val="16"/>
        </w:rPr>
        <w:t xml:space="preserve"> В недоделе осталось на 201,4</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или 43% годового заказа. Недодел идет за счет водоподъемников (380</w:t>
      </w:r>
      <w:r w:rsidR="007C1411" w:rsidRPr="00E93F40">
        <w:rPr>
          <w:color w:val="000000" w:themeColor="text1"/>
          <w:sz w:val="16"/>
          <w:szCs w:val="16"/>
        </w:rPr>
        <w:t xml:space="preserve"> </w:t>
      </w:r>
      <w:r w:rsidRPr="00E93F40">
        <w:rPr>
          <w:color w:val="000000" w:themeColor="text1"/>
          <w:sz w:val="16"/>
          <w:szCs w:val="16"/>
        </w:rPr>
        <w:t>шт.), водяных насосов (100</w:t>
      </w:r>
      <w:r w:rsidR="007C1411" w:rsidRPr="00E93F40">
        <w:rPr>
          <w:color w:val="000000" w:themeColor="text1"/>
          <w:sz w:val="16"/>
          <w:szCs w:val="16"/>
        </w:rPr>
        <w:t xml:space="preserve"> </w:t>
      </w:r>
      <w:r w:rsidRPr="00E93F40">
        <w:rPr>
          <w:color w:val="000000" w:themeColor="text1"/>
          <w:sz w:val="16"/>
          <w:szCs w:val="16"/>
        </w:rPr>
        <w:t>шт.) и бурового инструмента.</w:t>
      </w:r>
    </w:p>
    <w:p w14:paraId="31081B35" w14:textId="11405BB2"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Имущество для механизации.</w:t>
      </w:r>
      <w:r w:rsidRPr="00E93F40">
        <w:rPr>
          <w:color w:val="000000" w:themeColor="text1"/>
          <w:sz w:val="16"/>
          <w:szCs w:val="16"/>
        </w:rPr>
        <w:t xml:space="preserve"> Недодел на 65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(52%) составляется из 35 лесопильных станков (отсутствие специальной стали на валы) и 25 моторных пил.</w:t>
      </w:r>
    </w:p>
    <w:p w14:paraId="1F089FCA" w14:textId="2F92A3EA"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Подрывное имущество.</w:t>
      </w:r>
      <w:r w:rsidRPr="00E93F40">
        <w:rPr>
          <w:color w:val="000000" w:themeColor="text1"/>
          <w:sz w:val="16"/>
          <w:szCs w:val="16"/>
        </w:rPr>
        <w:t xml:space="preserve"> В недоделе 500 подрывных машинок (по</w:t>
      </w:r>
      <w:r w:rsidR="007C1411" w:rsidRPr="00E93F40">
        <w:rPr>
          <w:color w:val="000000" w:themeColor="text1"/>
          <w:sz w:val="16"/>
          <w:szCs w:val="16"/>
        </w:rPr>
        <w:t xml:space="preserve"> </w:t>
      </w:r>
      <w:r w:rsidRPr="00E93F40">
        <w:rPr>
          <w:color w:val="000000" w:themeColor="text1"/>
          <w:sz w:val="16"/>
          <w:szCs w:val="16"/>
        </w:rPr>
        <w:t>ВЭО) при годовом заказе в 310</w:t>
      </w:r>
      <w:r w:rsidR="007C1411" w:rsidRPr="00E93F40">
        <w:rPr>
          <w:color w:val="000000" w:themeColor="text1"/>
          <w:sz w:val="16"/>
          <w:szCs w:val="16"/>
        </w:rPr>
        <w:t xml:space="preserve"> </w:t>
      </w:r>
      <w:r w:rsidRPr="00E93F40">
        <w:rPr>
          <w:color w:val="000000" w:themeColor="text1"/>
          <w:sz w:val="16"/>
          <w:szCs w:val="16"/>
        </w:rPr>
        <w:t>шт.</w:t>
      </w:r>
    </w:p>
    <w:p w14:paraId="28E6D290" w14:textId="2DF52EE4" w:rsidR="007E7FF2" w:rsidRPr="00E93F40" w:rsidRDefault="007E7FF2" w:rsidP="00E93F40">
      <w:pPr>
        <w:pStyle w:val="rtejustify"/>
        <w:spacing w:before="0" w:after="0"/>
        <w:rPr>
          <w:color w:val="000000" w:themeColor="text1"/>
          <w:sz w:val="16"/>
          <w:szCs w:val="16"/>
        </w:rPr>
      </w:pPr>
      <w:r w:rsidRPr="00E93F40">
        <w:rPr>
          <w:rStyle w:val="af0"/>
          <w:i w:val="0"/>
          <w:color w:val="000000" w:themeColor="text1"/>
          <w:sz w:val="16"/>
          <w:szCs w:val="16"/>
        </w:rPr>
        <w:t>Мастерской инструмент.</w:t>
      </w:r>
      <w:r w:rsidRPr="00E93F40">
        <w:rPr>
          <w:color w:val="000000" w:themeColor="text1"/>
          <w:sz w:val="16"/>
          <w:szCs w:val="16"/>
        </w:rPr>
        <w:t xml:space="preserve"> Недодел на 400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или 20% годового заказа. Кроме того, на 666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заказы аннулированы. Основными причинами невыполнения плана по инструменту является необеспеченность кондиционным сырьем, распыленность заказов между рядом предприятий гражданской промышленности и промысловой кооперации и недостаточное внимание промышленности к военным заказам. Недоделы, имеющиеся по остальным видам военно-инж[енерного] имущества, незначительны.</w:t>
      </w:r>
    </w:p>
    <w:p w14:paraId="3A28B169" w14:textId="77777777" w:rsidR="00257404" w:rsidRPr="00E93F40" w:rsidRDefault="00257404" w:rsidP="00E93F40">
      <w:pPr>
        <w:pStyle w:val="rtejustify"/>
        <w:spacing w:before="0" w:after="0"/>
        <w:rPr>
          <w:color w:val="000000" w:themeColor="text1"/>
          <w:sz w:val="16"/>
          <w:szCs w:val="16"/>
        </w:rPr>
      </w:pPr>
      <w:r w:rsidRPr="00E93F40">
        <w:rPr>
          <w:color w:val="000000" w:themeColor="text1"/>
          <w:sz w:val="16"/>
          <w:szCs w:val="16"/>
        </w:rPr>
        <w:lastRenderedPageBreak/>
        <w:t>Заказы управления воен[ных] приборов</w:t>
      </w:r>
    </w:p>
    <w:p w14:paraId="462ACD7B" w14:textId="5D7B641F"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По ряду номенклатур военных приборов, уже внедренных в валовое производство (стереотрубы, панорамы полевые, бинокли, буссоли), план 1931</w:t>
      </w:r>
      <w:r w:rsidR="007C1411" w:rsidRPr="00E93F40">
        <w:rPr>
          <w:color w:val="000000" w:themeColor="text1"/>
          <w:sz w:val="16"/>
          <w:szCs w:val="16"/>
        </w:rPr>
        <w:t xml:space="preserve"> </w:t>
      </w:r>
      <w:r w:rsidRPr="00E93F40">
        <w:rPr>
          <w:color w:val="000000" w:themeColor="text1"/>
          <w:sz w:val="16"/>
          <w:szCs w:val="16"/>
        </w:rPr>
        <w:t>г. не только выполнен, но и перевыполнен. По новым же образцам, несмотря на малые размеры заказов, план выполнен совершенно неудовлетворительно.</w:t>
      </w:r>
    </w:p>
    <w:p w14:paraId="7319B455" w14:textId="410462FB"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Бинокли 8×40</w:t>
      </w:r>
      <w:r w:rsidR="007C1411" w:rsidRPr="00E93F40">
        <w:rPr>
          <w:color w:val="000000" w:themeColor="text1"/>
          <w:sz w:val="16"/>
          <w:szCs w:val="16"/>
        </w:rPr>
        <w:t xml:space="preserve"> </w:t>
      </w:r>
      <w:r w:rsidRPr="00E93F40">
        <w:rPr>
          <w:color w:val="000000" w:themeColor="text1"/>
          <w:sz w:val="16"/>
          <w:szCs w:val="16"/>
        </w:rPr>
        <w:t>— годовой заказ 500</w:t>
      </w:r>
      <w:r w:rsidR="007C1411" w:rsidRPr="00E93F40">
        <w:rPr>
          <w:color w:val="000000" w:themeColor="text1"/>
          <w:sz w:val="16"/>
          <w:szCs w:val="16"/>
        </w:rPr>
        <w:t xml:space="preserve"> </w:t>
      </w:r>
      <w:r w:rsidRPr="00E93F40">
        <w:rPr>
          <w:color w:val="000000" w:themeColor="text1"/>
          <w:sz w:val="16"/>
          <w:szCs w:val="16"/>
        </w:rPr>
        <w:t>шт., поставлено же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33</w:t>
      </w:r>
      <w:r w:rsidR="007C1411" w:rsidRPr="00E93F40">
        <w:rPr>
          <w:color w:val="000000" w:themeColor="text1"/>
          <w:sz w:val="16"/>
          <w:szCs w:val="16"/>
        </w:rPr>
        <w:t xml:space="preserve"> </w:t>
      </w:r>
      <w:r w:rsidRPr="00E93F40">
        <w:rPr>
          <w:color w:val="000000" w:themeColor="text1"/>
          <w:sz w:val="16"/>
          <w:szCs w:val="16"/>
        </w:rPr>
        <w:t>шт. (7%). Угломеры зенитные: заказ 700, поставлено 17 (2,5%). Перископы 10</w:t>
      </w:r>
      <w:r w:rsidRPr="00E93F40">
        <w:rPr>
          <w:color w:val="000000" w:themeColor="text1"/>
          <w:sz w:val="16"/>
          <w:szCs w:val="16"/>
        </w:rPr>
        <w:noBreakHyphen/>
        <w:t>кр[атного] увел[ичения]: заказ 40, поставлено 0. Звукоулавливатели ЗП</w:t>
      </w:r>
      <w:r w:rsidRPr="00E93F40">
        <w:rPr>
          <w:color w:val="000000" w:themeColor="text1"/>
          <w:sz w:val="16"/>
          <w:szCs w:val="16"/>
        </w:rPr>
        <w:noBreakHyphen/>
        <w:t>2: заказ</w:t>
      </w:r>
      <w:r w:rsidR="007C1411" w:rsidRPr="00E93F40">
        <w:rPr>
          <w:color w:val="000000" w:themeColor="text1"/>
          <w:sz w:val="16"/>
          <w:szCs w:val="16"/>
        </w:rPr>
        <w:t xml:space="preserve"> </w:t>
      </w:r>
      <w:r w:rsidRPr="00E93F40">
        <w:rPr>
          <w:color w:val="000000" w:themeColor="text1"/>
          <w:sz w:val="16"/>
          <w:szCs w:val="16"/>
        </w:rPr>
        <w:t>45, поставлено 25 (51%).</w:t>
      </w:r>
    </w:p>
    <w:p w14:paraId="3C281A1D" w14:textId="7A0FC51F"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Наиболее опасным прорывом в плане 1931</w:t>
      </w:r>
      <w:r w:rsidR="007C1411" w:rsidRPr="00E93F40">
        <w:rPr>
          <w:color w:val="000000" w:themeColor="text1"/>
          <w:sz w:val="16"/>
          <w:szCs w:val="16"/>
        </w:rPr>
        <w:t xml:space="preserve"> </w:t>
      </w:r>
      <w:r w:rsidRPr="00E93F40">
        <w:rPr>
          <w:color w:val="000000" w:themeColor="text1"/>
          <w:sz w:val="16"/>
          <w:szCs w:val="16"/>
        </w:rPr>
        <w:t>г. является невыполнение вовсе заказа на 20</w:t>
      </w:r>
      <w:r w:rsidR="007C1411" w:rsidRPr="00E93F40">
        <w:rPr>
          <w:color w:val="000000" w:themeColor="text1"/>
          <w:sz w:val="16"/>
          <w:szCs w:val="16"/>
        </w:rPr>
        <w:t xml:space="preserve"> </w:t>
      </w:r>
      <w:r w:rsidRPr="00E93F40">
        <w:rPr>
          <w:color w:val="000000" w:themeColor="text1"/>
          <w:sz w:val="16"/>
          <w:szCs w:val="16"/>
        </w:rPr>
        <w:t>шт. ПУАЗО типа Сперри и 100</w:t>
      </w:r>
      <w:r w:rsidR="007C1411" w:rsidRPr="00E93F40">
        <w:rPr>
          <w:color w:val="000000" w:themeColor="text1"/>
          <w:sz w:val="16"/>
          <w:szCs w:val="16"/>
        </w:rPr>
        <w:t xml:space="preserve"> </w:t>
      </w:r>
      <w:r w:rsidRPr="00E93F40">
        <w:rPr>
          <w:color w:val="000000" w:themeColor="text1"/>
          <w:sz w:val="16"/>
          <w:szCs w:val="16"/>
        </w:rPr>
        <w:t>шт. приборов Крузе. Из первых не поступило ни одного. Приборов Крузе вместо серийной партии в 100</w:t>
      </w:r>
      <w:r w:rsidR="007C1411" w:rsidRPr="00E93F40">
        <w:rPr>
          <w:color w:val="000000" w:themeColor="text1"/>
          <w:sz w:val="16"/>
          <w:szCs w:val="16"/>
        </w:rPr>
        <w:t xml:space="preserve"> </w:t>
      </w:r>
      <w:r w:rsidRPr="00E93F40">
        <w:rPr>
          <w:color w:val="000000" w:themeColor="text1"/>
          <w:sz w:val="16"/>
          <w:szCs w:val="16"/>
        </w:rPr>
        <w:t>шт. сдан один опытный образец, и лишь с</w:t>
      </w:r>
      <w:r w:rsidR="007C1411" w:rsidRPr="00E93F40">
        <w:rPr>
          <w:color w:val="000000" w:themeColor="text1"/>
          <w:sz w:val="16"/>
          <w:szCs w:val="16"/>
        </w:rPr>
        <w:t xml:space="preserve"> </w:t>
      </w:r>
      <w:r w:rsidRPr="00E93F40">
        <w:rPr>
          <w:color w:val="000000" w:themeColor="text1"/>
          <w:sz w:val="16"/>
          <w:szCs w:val="16"/>
        </w:rPr>
        <w:t>февраля 1932</w:t>
      </w:r>
      <w:r w:rsidR="007C1411" w:rsidRPr="00E93F40">
        <w:rPr>
          <w:color w:val="000000" w:themeColor="text1"/>
          <w:sz w:val="16"/>
          <w:szCs w:val="16"/>
        </w:rPr>
        <w:t xml:space="preserve"> </w:t>
      </w:r>
      <w:r w:rsidRPr="00E93F40">
        <w:rPr>
          <w:color w:val="000000" w:themeColor="text1"/>
          <w:sz w:val="16"/>
          <w:szCs w:val="16"/>
        </w:rPr>
        <w:t>г. ставится вопрос об опытной серийной партии. Что же касается прибора Сперри, то выпуск хотя бы 10</w:t>
      </w:r>
      <w:r w:rsidR="007C1411" w:rsidRPr="00E93F40">
        <w:rPr>
          <w:color w:val="000000" w:themeColor="text1"/>
          <w:sz w:val="16"/>
          <w:szCs w:val="16"/>
        </w:rPr>
        <w:t xml:space="preserve"> </w:t>
      </w:r>
      <w:r w:rsidRPr="00E93F40">
        <w:rPr>
          <w:color w:val="000000" w:themeColor="text1"/>
          <w:sz w:val="16"/>
          <w:szCs w:val="16"/>
        </w:rPr>
        <w:t>экз. связывается с получением ВЭСО импортного оборудования.</w:t>
      </w:r>
    </w:p>
    <w:p w14:paraId="697EA07A" w14:textId="0354365E"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Неподготовленность промышленности (качественная и по мощностям) соответственно отражается и на перспективах плана заказов 1932</w:t>
      </w:r>
      <w:r w:rsidR="007C1411" w:rsidRPr="00E93F40">
        <w:rPr>
          <w:color w:val="000000" w:themeColor="text1"/>
          <w:sz w:val="16"/>
          <w:szCs w:val="16"/>
        </w:rPr>
        <w:t xml:space="preserve"> </w:t>
      </w:r>
      <w:r w:rsidRPr="00E93F40">
        <w:rPr>
          <w:color w:val="000000" w:themeColor="text1"/>
          <w:sz w:val="16"/>
          <w:szCs w:val="16"/>
        </w:rPr>
        <w:t>г. При этом следует отметить, что по недостатку мощностей промышленность отказывается принимать некоторые даже и освоенные в производстве номенклатуры, не говоря уже об опытных или серийных образцах.</w:t>
      </w:r>
    </w:p>
    <w:p w14:paraId="39DF4F46" w14:textId="7777777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Приложение: 5 ведомостей выполнения плана заказов²*.</w:t>
      </w:r>
    </w:p>
    <w:p w14:paraId="46F0F9EF" w14:textId="7DC3F88D" w:rsidR="007E7FF2" w:rsidRPr="00E93F40" w:rsidRDefault="007E7FF2" w:rsidP="00E93F40">
      <w:pPr>
        <w:pStyle w:val="ae"/>
        <w:spacing w:before="0" w:after="0"/>
        <w:jc w:val="both"/>
        <w:rPr>
          <w:color w:val="000000" w:themeColor="text1"/>
          <w:sz w:val="16"/>
          <w:szCs w:val="16"/>
        </w:rPr>
      </w:pPr>
      <w:r w:rsidRPr="00E93F40">
        <w:rPr>
          <w:rStyle w:val="af0"/>
          <w:i w:val="0"/>
          <w:color w:val="000000" w:themeColor="text1"/>
          <w:sz w:val="16"/>
          <w:szCs w:val="16"/>
        </w:rPr>
        <w:t>Зам. наркомвоенмора и председателя РВС</w:t>
      </w:r>
      <w:r w:rsidR="007C1411" w:rsidRPr="00E93F40">
        <w:rPr>
          <w:rStyle w:val="af0"/>
          <w:i w:val="0"/>
          <w:color w:val="000000" w:themeColor="text1"/>
          <w:sz w:val="16"/>
          <w:szCs w:val="16"/>
        </w:rPr>
        <w:t xml:space="preserve"> </w:t>
      </w:r>
      <w:r w:rsidRPr="00E93F40">
        <w:rPr>
          <w:rStyle w:val="af0"/>
          <w:i w:val="0"/>
          <w:color w:val="000000" w:themeColor="text1"/>
          <w:sz w:val="16"/>
          <w:szCs w:val="16"/>
        </w:rPr>
        <w:t xml:space="preserve">СССР </w:t>
      </w:r>
      <w:hyperlink r:id="rId12" w:history="1">
        <w:r w:rsidRPr="00E93F40">
          <w:rPr>
            <w:rStyle w:val="af0"/>
            <w:i w:val="0"/>
            <w:color w:val="000000" w:themeColor="text1"/>
            <w:sz w:val="16"/>
            <w:szCs w:val="16"/>
          </w:rPr>
          <w:t>Тухачевский</w:t>
        </w:r>
      </w:hyperlink>
    </w:p>
    <w:p w14:paraId="25B126EF" w14:textId="77777777" w:rsidR="007E7FF2" w:rsidRPr="00E93F40" w:rsidRDefault="007E7FF2"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182F61E3" w14:textId="7A36F52C"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Слово вписано от руки.</w:t>
      </w:r>
    </w:p>
    <w:p w14:paraId="6CCB0ABE" w14:textId="2B9BC5D7"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Приложения не публикуются (см. там же, л. 9-16).</w:t>
      </w:r>
    </w:p>
    <w:p w14:paraId="44680D97" w14:textId="77777777"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rPr>
        <w:t>ГА РФ. Ф. Р-8418. Оп. 6. Д. 1. Л. 1—8. Подлинник.</w:t>
      </w:r>
    </w:p>
    <w:p w14:paraId="66DE295A" w14:textId="61B5A80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1. Л. 1—8. Подлинник. </w:t>
      </w:r>
    </w:p>
    <w:p w14:paraId="73E5572E" w14:textId="2DA14401"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602-607 (12546).</w:t>
      </w:r>
    </w:p>
    <w:p w14:paraId="404E78B8" w14:textId="77777777" w:rsidR="007E7FF2" w:rsidRPr="00E93F40" w:rsidRDefault="007E7FF2" w:rsidP="00E93F40">
      <w:pPr>
        <w:spacing w:after="0" w:line="240" w:lineRule="auto"/>
        <w:jc w:val="both"/>
        <w:rPr>
          <w:rFonts w:ascii="Times New Roman" w:hAnsi="Times New Roman"/>
          <w:color w:val="000000" w:themeColor="text1"/>
          <w:sz w:val="16"/>
          <w:szCs w:val="16"/>
        </w:rPr>
      </w:pPr>
    </w:p>
    <w:p w14:paraId="1D7A1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января 1932 г. наморси В. М. Орлов, соблазнив</w:t>
      </w:r>
      <w:r w:rsidRPr="00E93F40">
        <w:rPr>
          <w:rFonts w:ascii="Times New Roman" w:hAnsi="Times New Roman"/>
          <w:color w:val="000000" w:themeColor="text1"/>
          <w:sz w:val="16"/>
          <w:szCs w:val="16"/>
        </w:rPr>
        <w:softHyphen/>
        <w:t>шись возможностью скорого межтеатрового маневра и, следова</w:t>
      </w:r>
      <w:r w:rsidRPr="00E93F40">
        <w:rPr>
          <w:rFonts w:ascii="Times New Roman" w:hAnsi="Times New Roman"/>
          <w:color w:val="000000" w:themeColor="text1"/>
          <w:sz w:val="16"/>
          <w:szCs w:val="16"/>
        </w:rPr>
        <w:softHyphen/>
        <w:t>тельно, быстрого усиления нового Тихоокеанского флота, утвердил новое ОТЗ для малой подводной лодки водоизме</w:t>
      </w:r>
      <w:r w:rsidRPr="00E93F40">
        <w:rPr>
          <w:rFonts w:ascii="Times New Roman" w:hAnsi="Times New Roman"/>
          <w:color w:val="000000" w:themeColor="text1"/>
          <w:sz w:val="16"/>
          <w:szCs w:val="16"/>
        </w:rPr>
        <w:softHyphen/>
        <w:t>щением всего 130—140 т (3898).</w:t>
      </w:r>
    </w:p>
    <w:p w14:paraId="6F17E7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2AE19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lang w:val="en-US"/>
        </w:rPr>
      </w:pPr>
      <w:r w:rsidRPr="00E93F40">
        <w:rPr>
          <w:rFonts w:ascii="Times New Roman" w:hAnsi="Times New Roman"/>
          <w:i/>
          <w:iCs/>
          <w:color w:val="000000" w:themeColor="text1"/>
          <w:sz w:val="16"/>
          <w:szCs w:val="16"/>
        </w:rPr>
        <w:t>За</w:t>
      </w:r>
      <w:r w:rsidRPr="00E93F40">
        <w:rPr>
          <w:rFonts w:ascii="Times New Roman" w:hAnsi="Times New Roman"/>
          <w:i/>
          <w:iCs/>
          <w:color w:val="000000" w:themeColor="text1"/>
          <w:sz w:val="16"/>
          <w:szCs w:val="16"/>
          <w:lang w:val="en-US"/>
        </w:rPr>
        <w:t xml:space="preserve"> </w:t>
      </w:r>
      <w:r w:rsidRPr="00E93F40">
        <w:rPr>
          <w:rFonts w:ascii="Times New Roman" w:hAnsi="Times New Roman"/>
          <w:i/>
          <w:iCs/>
          <w:color w:val="000000" w:themeColor="text1"/>
          <w:sz w:val="16"/>
          <w:szCs w:val="16"/>
        </w:rPr>
        <w:t>рубежом</w:t>
      </w:r>
      <w:r w:rsidRPr="00E93F40">
        <w:rPr>
          <w:rFonts w:ascii="Times New Roman" w:hAnsi="Times New Roman"/>
          <w:i/>
          <w:iCs/>
          <w:color w:val="000000" w:themeColor="text1"/>
          <w:sz w:val="16"/>
          <w:szCs w:val="16"/>
          <w:lang w:val="en-US"/>
        </w:rPr>
        <w:t>:</w:t>
      </w:r>
    </w:p>
    <w:p w14:paraId="1F1D6F9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74ED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r w:rsidRPr="00E93F40">
        <w:rPr>
          <w:rFonts w:ascii="Times New Roman" w:hAnsi="Times New Roman"/>
          <w:color w:val="000000" w:themeColor="text1"/>
          <w:sz w:val="16"/>
          <w:szCs w:val="16"/>
          <w:lang w:val="en-US"/>
        </w:rPr>
        <w:t>January 9, 1932 The Secretary of the Navy informed the Secretary of War of work being conducted at the Naval Research Laboratory in detecting ships and aircraft by radio and suggested that since one obvious application of the method was in air warning systems for large areas, the Army might be interested in undertaking further work (1090).</w:t>
      </w:r>
    </w:p>
    <w:p w14:paraId="36E25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p>
    <w:p w14:paraId="24CC9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января 1932 гос. секретарь США по флоту сообщил секретарю по военным вопросам, что во флотской исследовательской лаборатории ведутся работы по обнаружению кораблей и самолетов с помощью радио и предположил, что армия также может заинтересоваться в подобных работах (1090).</w:t>
      </w:r>
    </w:p>
    <w:p w14:paraId="56FBFA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CE6340" w14:textId="77777777" w:rsidR="00257404" w:rsidRPr="00E93F40" w:rsidRDefault="00257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9 января</w:t>
      </w:r>
      <w:r w:rsidRPr="00E93F40">
        <w:rPr>
          <w:rFonts w:ascii="Times New Roman" w:hAnsi="Times New Roman"/>
          <w:color w:val="000000" w:themeColor="text1"/>
          <w:sz w:val="16"/>
          <w:szCs w:val="16"/>
        </w:rPr>
        <w:t xml:space="preserve"> в 1932 году в южной части Мексики, близ города Оахака в одной из гробниц древне-индейского города Монте-Альбана археолог Альфонсо Касо Андраде (1896–1970) и его ассистент Хуан Валенсуэло обнаружили огромный клад, пролежавший нетронутым более восьмисот лет. Семь дней потребовалось на то, чтобы вынести из гробницы сокровища: около пятисот предметов, в их числе золотую маску бога Шипе Тотека, нос и щеки которой были обтянуты человеческой кожей. Этот клад был крупнейшей находкой Альфонсо Касо, который за год до того, обнаружил этот древнеиндийский город, бывший на протяжении почти двух тысячелетий одним из крупнейших центров доколумбовой Америки (15004).</w:t>
      </w:r>
    </w:p>
    <w:p w14:paraId="57C25222" w14:textId="77777777" w:rsidR="00257404" w:rsidRPr="00E93F40" w:rsidRDefault="00257404" w:rsidP="00E93F40">
      <w:pPr>
        <w:spacing w:after="0" w:line="240" w:lineRule="auto"/>
        <w:jc w:val="both"/>
        <w:rPr>
          <w:rFonts w:ascii="Times New Roman" w:hAnsi="Times New Roman"/>
          <w:color w:val="000000" w:themeColor="text1"/>
          <w:sz w:val="16"/>
          <w:szCs w:val="16"/>
        </w:rPr>
      </w:pPr>
    </w:p>
    <w:p w14:paraId="54D5D1E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9E30FF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6E870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начались гос. испытания полностью вооруженного ТБ-3 (АНТ-6) с М-17 и тандемными тележками (1854,7). Закончили 21 февраля 1932 и признали эталоном (80,308).</w:t>
      </w:r>
    </w:p>
    <w:p w14:paraId="1E360B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Решили в серию с 1933, а с 1934 поставить моторы АМ-34(346,27).</w:t>
      </w:r>
    </w:p>
    <w:p w14:paraId="1A5EA2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с 10 января по 21 февраля 1932 проходили гос. испытания АНТ-6 (ТБ-3) первого серийного 22 завода с БМВ-6 (1017,169), доделанного. Приняли в качестве эталона на 1932. Но фактически стал эталоном только на 1 половину, а на вторую - ТБ-3 (АНТ-6) N 2211 (1017,173).</w:t>
      </w:r>
    </w:p>
    <w:p w14:paraId="3B94F5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СНК СССР определил в постановлении от 10 января 1932 г. комплексы отраслей, относящихся к ведению каждого наркомата (275).</w:t>
      </w:r>
    </w:p>
    <w:p w14:paraId="5C90E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4EB996"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10 января по 21 февраля 1932 г. после выполнения требуемых доработок государственные испытания головного АНТ—6 с моторами BMW VI были продолжены В этот самолет были внесены следующие изменения:</w:t>
      </w:r>
    </w:p>
    <w:p w14:paraId="1932A309"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установлена тележка под колеса размером 1350x350мм, расположенные одно за другим;</w:t>
      </w:r>
    </w:p>
    <w:p w14:paraId="46A54731"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смонтированы подкрыльевые стрелковые башни с пулеметом ДА в каждой;</w:t>
      </w:r>
    </w:p>
    <w:p w14:paraId="4DA9021C"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стабилизатора увеличен на 1 м;</w:t>
      </w:r>
    </w:p>
    <w:p w14:paraId="67C2C7CF"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установлено все оборудование;</w:t>
      </w:r>
    </w:p>
    <w:p w14:paraId="36782FA9"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самолета увеличен до 11 че</w:t>
      </w:r>
      <w:r w:rsidRPr="00E93F40">
        <w:rPr>
          <w:rFonts w:ascii="Times New Roman" w:hAnsi="Times New Roman"/>
          <w:color w:val="000000" w:themeColor="text1"/>
          <w:sz w:val="16"/>
          <w:szCs w:val="16"/>
        </w:rPr>
        <w:softHyphen/>
        <w:t>ловек;</w:t>
      </w:r>
    </w:p>
    <w:p w14:paraId="3BC9299B"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носовой кабине стрелка установи</w:t>
      </w:r>
      <w:r w:rsidRPr="00E93F40">
        <w:rPr>
          <w:rFonts w:ascii="Times New Roman" w:hAnsi="Times New Roman"/>
          <w:color w:val="000000" w:themeColor="text1"/>
          <w:sz w:val="16"/>
          <w:szCs w:val="16"/>
        </w:rPr>
        <w:softHyphen/>
        <w:t>ли турель Тур—6 для одного или двух пу</w:t>
      </w:r>
      <w:r w:rsidRPr="00E93F40">
        <w:rPr>
          <w:rFonts w:ascii="Times New Roman" w:hAnsi="Times New Roman"/>
          <w:color w:val="000000" w:themeColor="text1"/>
          <w:sz w:val="16"/>
          <w:szCs w:val="16"/>
        </w:rPr>
        <w:softHyphen/>
        <w:t>леметов ДА, в кабине среднего стрелка и в фюзеляжной (для обстрела задней полу</w:t>
      </w:r>
      <w:r w:rsidRPr="00E93F40">
        <w:rPr>
          <w:rFonts w:ascii="Times New Roman" w:hAnsi="Times New Roman"/>
          <w:color w:val="000000" w:themeColor="text1"/>
          <w:sz w:val="16"/>
          <w:szCs w:val="16"/>
        </w:rPr>
        <w:softHyphen/>
        <w:t>сферы) — по одной перекатывающейся турели Тур—5 с пулеметом ДА. Бомбы массой до 100 кг размещались в бомбоот</w:t>
      </w:r>
      <w:r w:rsidRPr="00E93F40">
        <w:rPr>
          <w:rFonts w:ascii="Times New Roman" w:hAnsi="Times New Roman"/>
          <w:color w:val="000000" w:themeColor="text1"/>
          <w:sz w:val="16"/>
          <w:szCs w:val="16"/>
        </w:rPr>
        <w:softHyphen/>
        <w:t>секах фюзеляжа на кассетных бомбодер</w:t>
      </w:r>
      <w:r w:rsidRPr="00E93F40">
        <w:rPr>
          <w:rFonts w:ascii="Times New Roman" w:hAnsi="Times New Roman"/>
          <w:color w:val="000000" w:themeColor="text1"/>
          <w:sz w:val="16"/>
          <w:szCs w:val="16"/>
        </w:rPr>
        <w:softHyphen/>
        <w:t>жателях. Бомбы калибром 250, 500 и 1000 кг подвешивались только на наруж</w:t>
      </w:r>
      <w:r w:rsidRPr="00E93F40">
        <w:rPr>
          <w:rFonts w:ascii="Times New Roman" w:hAnsi="Times New Roman"/>
          <w:color w:val="000000" w:themeColor="text1"/>
          <w:sz w:val="16"/>
          <w:szCs w:val="16"/>
        </w:rPr>
        <w:softHyphen/>
        <w:t>ные держатели под фюзеляжем и крылом. Нормальная бомбовая нагрузка составля</w:t>
      </w:r>
      <w:r w:rsidRPr="00E93F40">
        <w:rPr>
          <w:rFonts w:ascii="Times New Roman" w:hAnsi="Times New Roman"/>
          <w:color w:val="000000" w:themeColor="text1"/>
          <w:sz w:val="16"/>
          <w:szCs w:val="16"/>
        </w:rPr>
        <w:softHyphen/>
        <w:t>ла 2000 кг, из них 1000 кг — на внутренней подвеске.</w:t>
      </w:r>
    </w:p>
    <w:p w14:paraId="2F4DF687"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испытаний комиссия пришла к следующим выводам:</w:t>
      </w:r>
    </w:p>
    <w:p w14:paraId="5CF75D00"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головной самолет по своему воору</w:t>
      </w:r>
      <w:r w:rsidRPr="00E93F40">
        <w:rPr>
          <w:rFonts w:ascii="Times New Roman" w:hAnsi="Times New Roman"/>
          <w:color w:val="000000" w:themeColor="text1"/>
          <w:sz w:val="16"/>
          <w:szCs w:val="16"/>
        </w:rPr>
        <w:softHyphen/>
        <w:t>жению и оборудованию вполне боеспо</w:t>
      </w:r>
      <w:r w:rsidRPr="00E93F40">
        <w:rPr>
          <w:rFonts w:ascii="Times New Roman" w:hAnsi="Times New Roman"/>
          <w:color w:val="000000" w:themeColor="text1"/>
          <w:sz w:val="16"/>
          <w:szCs w:val="16"/>
        </w:rPr>
        <w:softHyphen/>
        <w:t>собен и может быть рекомендован в каче</w:t>
      </w:r>
      <w:r w:rsidRPr="00E93F40">
        <w:rPr>
          <w:rFonts w:ascii="Times New Roman" w:hAnsi="Times New Roman"/>
          <w:color w:val="000000" w:themeColor="text1"/>
          <w:sz w:val="16"/>
          <w:szCs w:val="16"/>
        </w:rPr>
        <w:softHyphen/>
        <w:t>стве эталона для серии 1932 г.;</w:t>
      </w:r>
    </w:p>
    <w:p w14:paraId="18B7BF8A"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серию 1933 г. строить с моторами М—34 и более совершенными подкрыль</w:t>
      </w:r>
      <w:r w:rsidRPr="00E93F40">
        <w:rPr>
          <w:rFonts w:ascii="Times New Roman" w:hAnsi="Times New Roman"/>
          <w:color w:val="000000" w:themeColor="text1"/>
          <w:sz w:val="16"/>
          <w:szCs w:val="16"/>
        </w:rPr>
        <w:softHyphen/>
        <w:t>евыми башнями;</w:t>
      </w:r>
    </w:p>
    <w:p w14:paraId="5C3BD23E"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проверить аэронавигационное обо</w:t>
      </w:r>
      <w:r w:rsidRPr="00E93F40">
        <w:rPr>
          <w:rFonts w:ascii="Times New Roman" w:hAnsi="Times New Roman"/>
          <w:color w:val="000000" w:themeColor="text1"/>
          <w:sz w:val="16"/>
          <w:szCs w:val="16"/>
        </w:rPr>
        <w:softHyphen/>
        <w:t>рудование в слепом полете (23474).</w:t>
      </w:r>
    </w:p>
    <w:p w14:paraId="7DFD8ECE" w14:textId="77777777" w:rsidR="00356882" w:rsidRPr="00E93F40" w:rsidRDefault="00356882" w:rsidP="00E93F40">
      <w:pPr>
        <w:spacing w:after="0" w:line="240" w:lineRule="auto"/>
        <w:jc w:val="both"/>
        <w:rPr>
          <w:rFonts w:ascii="Times New Roman" w:hAnsi="Times New Roman"/>
          <w:color w:val="000000" w:themeColor="text1"/>
          <w:sz w:val="16"/>
          <w:szCs w:val="16"/>
        </w:rPr>
      </w:pPr>
    </w:p>
    <w:p w14:paraId="3DCDA0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КБ А.Н.Т. начало постройку дублера МИ-3 - МИ-3Д (АНТ-21бис) с однокилевым оперением - взяли целиком с АНТ-29 - ДИП-1. Пулеметы заменили на Эрликон 20 мм и поставили М-34Н в 830 нр (2072,68).</w:t>
      </w:r>
    </w:p>
    <w:p w14:paraId="1484C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B2BD37"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г. КБ А.Н.Т. начало строить дублер — МИ—ЗД (заводское обозначение — АНТ—21 бис). В апреле 1932 г. комиссия осмотрела и утвердила макет машины. Основные агрегаты начали делать такими же, как и для первой машины. Однако ре</w:t>
      </w:r>
      <w:r w:rsidRPr="00E93F40">
        <w:rPr>
          <w:rFonts w:ascii="Times New Roman" w:hAnsi="Times New Roman"/>
          <w:color w:val="000000" w:themeColor="text1"/>
          <w:sz w:val="16"/>
          <w:szCs w:val="16"/>
        </w:rPr>
        <w:softHyphen/>
        <w:t>зультаты испытаний МИ—3 вынудили инженеров сильно изменить конструк</w:t>
      </w:r>
      <w:r w:rsidRPr="00E93F40">
        <w:rPr>
          <w:rFonts w:ascii="Times New Roman" w:hAnsi="Times New Roman"/>
          <w:color w:val="000000" w:themeColor="text1"/>
          <w:sz w:val="16"/>
          <w:szCs w:val="16"/>
        </w:rPr>
        <w:softHyphen/>
        <w:t>цию. Пришлось заново проектировать хвостовое оперение. Оно стало однокиле</w:t>
      </w:r>
      <w:r w:rsidRPr="00E93F40">
        <w:rPr>
          <w:rFonts w:ascii="Times New Roman" w:hAnsi="Times New Roman"/>
          <w:color w:val="000000" w:themeColor="text1"/>
          <w:sz w:val="16"/>
          <w:szCs w:val="16"/>
        </w:rPr>
        <w:softHyphen/>
        <w:t>вым. Управляемый в полете стабилизатор поставили на киле. Доработки коснулись хвостовой части фюзеляжа, шасси и цен</w:t>
      </w:r>
      <w:r w:rsidRPr="00E93F40">
        <w:rPr>
          <w:rFonts w:ascii="Times New Roman" w:hAnsi="Times New Roman"/>
          <w:color w:val="000000" w:themeColor="text1"/>
          <w:sz w:val="16"/>
          <w:szCs w:val="16"/>
        </w:rPr>
        <w:softHyphen/>
        <w:t>троплана. Как и на МИ—3, гофрирован</w:t>
      </w:r>
      <w:r w:rsidRPr="00E93F40">
        <w:rPr>
          <w:rFonts w:ascii="Times New Roman" w:hAnsi="Times New Roman"/>
          <w:color w:val="000000" w:themeColor="text1"/>
          <w:sz w:val="16"/>
          <w:szCs w:val="16"/>
        </w:rPr>
        <w:softHyphen/>
        <w:t>ную обшивку крыла и оперения обтянули полотном.</w:t>
      </w:r>
    </w:p>
    <w:p w14:paraId="3811E071"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января МИ—ЗД перевезли на аэродром (23474)..</w:t>
      </w:r>
    </w:p>
    <w:p w14:paraId="20DC1363" w14:textId="77777777" w:rsidR="00356882" w:rsidRPr="00E93F40" w:rsidRDefault="00356882" w:rsidP="00E93F40">
      <w:pPr>
        <w:spacing w:after="0" w:line="240" w:lineRule="auto"/>
        <w:jc w:val="both"/>
        <w:rPr>
          <w:rFonts w:ascii="Times New Roman" w:hAnsi="Times New Roman"/>
          <w:color w:val="000000" w:themeColor="text1"/>
          <w:sz w:val="16"/>
          <w:szCs w:val="16"/>
        </w:rPr>
      </w:pPr>
    </w:p>
    <w:p w14:paraId="35E0899E"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года ЦАГИ приступил к постройке дублера АНТ-21. Основные части самолета, как-то: фюзеляж, крыло, оперение, изготовлялись параллельно с агрегатами опытного самолета (24198).</w:t>
      </w:r>
    </w:p>
    <w:p w14:paraId="020C4546" w14:textId="77777777" w:rsidR="00356882" w:rsidRPr="00E93F40" w:rsidRDefault="00356882" w:rsidP="00E93F40">
      <w:pPr>
        <w:spacing w:after="0" w:line="240" w:lineRule="auto"/>
        <w:jc w:val="both"/>
        <w:rPr>
          <w:rFonts w:ascii="Times New Roman" w:hAnsi="Times New Roman"/>
          <w:color w:val="000000" w:themeColor="text1"/>
          <w:sz w:val="16"/>
          <w:szCs w:val="16"/>
        </w:rPr>
      </w:pPr>
    </w:p>
    <w:p w14:paraId="4510F2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года начальник НИИ ВВС Бузанов писал письмо N 11сс председателю Военного совета Ворошилову, зам. Председателя РВС Тухачевскому, Гамарнику, Каменеву, начальнику штаба РККА Егорову, начальнику ВВС Алкснису, начальнику ВАО Баранову.</w:t>
      </w:r>
    </w:p>
    <w:p w14:paraId="3632D1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состоянии работ по опытному моторо- и самолетостроению на 1 января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6946"/>
      </w:tblGrid>
      <w:tr w:rsidR="00DA227A" w:rsidRPr="00E93F40" w14:paraId="2BF3223F" w14:textId="77777777">
        <w:tc>
          <w:tcPr>
            <w:tcW w:w="3510" w:type="dxa"/>
          </w:tcPr>
          <w:p w14:paraId="56A437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моторам</w:t>
            </w:r>
          </w:p>
        </w:tc>
        <w:tc>
          <w:tcPr>
            <w:tcW w:w="6946" w:type="dxa"/>
          </w:tcPr>
          <w:p w14:paraId="74EFBB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C40FC5" w14:textId="77777777">
        <w:tc>
          <w:tcPr>
            <w:tcW w:w="3510" w:type="dxa"/>
          </w:tcPr>
          <w:p w14:paraId="29758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1CD67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истребителей М-15</w:t>
            </w:r>
          </w:p>
        </w:tc>
      </w:tr>
      <w:tr w:rsidR="00DA227A" w:rsidRPr="00E93F40" w14:paraId="781399F2" w14:textId="77777777">
        <w:tc>
          <w:tcPr>
            <w:tcW w:w="3510" w:type="dxa"/>
          </w:tcPr>
          <w:p w14:paraId="7E9DF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0C9CD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r>
      <w:tr w:rsidR="00DA227A" w:rsidRPr="00E93F40" w14:paraId="43C07C99" w14:textId="77777777">
        <w:tc>
          <w:tcPr>
            <w:tcW w:w="3510" w:type="dxa"/>
          </w:tcPr>
          <w:p w14:paraId="2305E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33B1B6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r>
      <w:tr w:rsidR="00DA227A" w:rsidRPr="00E93F40" w14:paraId="58CDBAC1" w14:textId="77777777">
        <w:tc>
          <w:tcPr>
            <w:tcW w:w="3510" w:type="dxa"/>
          </w:tcPr>
          <w:p w14:paraId="4A78C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160F0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r>
      <w:tr w:rsidR="00DA227A" w:rsidRPr="00E93F40" w14:paraId="093234E4" w14:textId="77777777">
        <w:tc>
          <w:tcPr>
            <w:tcW w:w="3510" w:type="dxa"/>
          </w:tcPr>
          <w:p w14:paraId="67827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129F6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415</w:t>
            </w:r>
          </w:p>
        </w:tc>
      </w:tr>
      <w:tr w:rsidR="00DA227A" w:rsidRPr="00E93F40" w14:paraId="11A98830" w14:textId="77777777">
        <w:tc>
          <w:tcPr>
            <w:tcW w:w="3510" w:type="dxa"/>
          </w:tcPr>
          <w:p w14:paraId="6623CE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06B966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0,92</w:t>
            </w:r>
          </w:p>
        </w:tc>
      </w:tr>
      <w:tr w:rsidR="00DA227A" w:rsidRPr="00E93F40" w14:paraId="6FAEFBDF" w14:textId="77777777">
        <w:tc>
          <w:tcPr>
            <w:tcW w:w="3510" w:type="dxa"/>
          </w:tcPr>
          <w:p w14:paraId="2FDA5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Высотность</w:t>
            </w:r>
          </w:p>
        </w:tc>
        <w:tc>
          <w:tcPr>
            <w:tcW w:w="6946" w:type="dxa"/>
          </w:tcPr>
          <w:p w14:paraId="667D4A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711DDE31" w14:textId="77777777">
        <w:tc>
          <w:tcPr>
            <w:tcW w:w="3510" w:type="dxa"/>
          </w:tcPr>
          <w:p w14:paraId="27017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7EDFF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BDA1E5" w14:textId="77777777">
        <w:tc>
          <w:tcPr>
            <w:tcW w:w="3510" w:type="dxa"/>
          </w:tcPr>
          <w:p w14:paraId="21E1EC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733F5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1931 года</w:t>
            </w:r>
          </w:p>
        </w:tc>
      </w:tr>
      <w:tr w:rsidR="00DA227A" w:rsidRPr="00E93F40" w14:paraId="5E4BE0C9" w14:textId="77777777">
        <w:tc>
          <w:tcPr>
            <w:tcW w:w="3510" w:type="dxa"/>
          </w:tcPr>
          <w:p w14:paraId="65F8B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1135F6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814CB2" w14:textId="77777777">
        <w:tc>
          <w:tcPr>
            <w:tcW w:w="3510" w:type="dxa"/>
          </w:tcPr>
          <w:p w14:paraId="1FFB65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0A7E0B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проходил сравнительные с М-22 100-часовые испытания в НИИ. Испытания прошел</w:t>
            </w:r>
          </w:p>
        </w:tc>
      </w:tr>
      <w:tr w:rsidR="00DA227A" w:rsidRPr="00E93F40" w14:paraId="3CF1FF7E" w14:textId="77777777">
        <w:tc>
          <w:tcPr>
            <w:tcW w:w="3510" w:type="dxa"/>
          </w:tcPr>
          <w:p w14:paraId="1B680A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179E9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неудовлетворительно. Отмечены следующие основные дефекты: обрыв шпилек крепления</w:t>
            </w:r>
          </w:p>
        </w:tc>
      </w:tr>
      <w:tr w:rsidR="00DA227A" w:rsidRPr="00E93F40" w14:paraId="1F125E06" w14:textId="77777777">
        <w:tc>
          <w:tcPr>
            <w:tcW w:w="3510" w:type="dxa"/>
          </w:tcPr>
          <w:p w14:paraId="2AE35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9242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цилиндров, неудовлетворительная конструкция передачи к импеллеру, падение давления масла,</w:t>
            </w:r>
          </w:p>
        </w:tc>
      </w:tr>
      <w:tr w:rsidR="00DA227A" w:rsidRPr="00E93F40" w14:paraId="27F39462" w14:textId="77777777">
        <w:tc>
          <w:tcPr>
            <w:tcW w:w="3510" w:type="dxa"/>
          </w:tcPr>
          <w:p w14:paraId="1EADC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D058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массовая поломка пружин и др. Мотор техническим требованиям ВВС не удовлетворяет.</w:t>
            </w:r>
          </w:p>
        </w:tc>
      </w:tr>
      <w:tr w:rsidR="00DA227A" w:rsidRPr="00E93F40" w14:paraId="4EA1B183" w14:textId="77777777">
        <w:tc>
          <w:tcPr>
            <w:tcW w:w="3510" w:type="dxa"/>
          </w:tcPr>
          <w:p w14:paraId="46904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27BE67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тяжелых бомбардировщиков ФЭД-3</w:t>
            </w:r>
          </w:p>
        </w:tc>
      </w:tr>
      <w:tr w:rsidR="00DA227A" w:rsidRPr="00E93F40" w14:paraId="2A1625D1" w14:textId="77777777">
        <w:tc>
          <w:tcPr>
            <w:tcW w:w="3510" w:type="dxa"/>
          </w:tcPr>
          <w:p w14:paraId="2C23E0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77704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r>
      <w:tr w:rsidR="00DA227A" w:rsidRPr="00E93F40" w14:paraId="3A24626B" w14:textId="77777777">
        <w:tc>
          <w:tcPr>
            <w:tcW w:w="3510" w:type="dxa"/>
          </w:tcPr>
          <w:p w14:paraId="2EB59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0782A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7FDFBB01" w14:textId="77777777">
        <w:tc>
          <w:tcPr>
            <w:tcW w:w="3510" w:type="dxa"/>
          </w:tcPr>
          <w:p w14:paraId="20E07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5F314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1D47C5B7" w14:textId="77777777">
        <w:tc>
          <w:tcPr>
            <w:tcW w:w="3510" w:type="dxa"/>
          </w:tcPr>
          <w:p w14:paraId="45160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79ED3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r>
      <w:tr w:rsidR="00DA227A" w:rsidRPr="00E93F40" w14:paraId="7770B69E" w14:textId="77777777">
        <w:tc>
          <w:tcPr>
            <w:tcW w:w="3510" w:type="dxa"/>
          </w:tcPr>
          <w:p w14:paraId="6578C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64965C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0,84</w:t>
            </w:r>
          </w:p>
        </w:tc>
      </w:tr>
      <w:tr w:rsidR="00DA227A" w:rsidRPr="00E93F40" w14:paraId="01DA279E" w14:textId="77777777">
        <w:tc>
          <w:tcPr>
            <w:tcW w:w="3510" w:type="dxa"/>
          </w:tcPr>
          <w:p w14:paraId="3A1AC4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2FE51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r>
      <w:tr w:rsidR="00DA227A" w:rsidRPr="00E93F40" w14:paraId="52CFC1D7" w14:textId="77777777">
        <w:tc>
          <w:tcPr>
            <w:tcW w:w="3510" w:type="dxa"/>
          </w:tcPr>
          <w:p w14:paraId="292E8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782C3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5CE452" w14:textId="77777777">
        <w:tc>
          <w:tcPr>
            <w:tcW w:w="3510" w:type="dxa"/>
          </w:tcPr>
          <w:p w14:paraId="074C3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115E4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мая 1931 года</w:t>
            </w:r>
          </w:p>
        </w:tc>
      </w:tr>
      <w:tr w:rsidR="00DA227A" w:rsidRPr="00E93F40" w14:paraId="63D0D16E" w14:textId="77777777">
        <w:tc>
          <w:tcPr>
            <w:tcW w:w="3510" w:type="dxa"/>
          </w:tcPr>
          <w:p w14:paraId="4EB00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15C7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78567E" w14:textId="77777777">
        <w:tc>
          <w:tcPr>
            <w:tcW w:w="3510" w:type="dxa"/>
          </w:tcPr>
          <w:p w14:paraId="5CFF4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8593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указания нач. ВВС о необходимости доработать мотор постановкой редуктора и</w:t>
            </w:r>
          </w:p>
        </w:tc>
      </w:tr>
      <w:tr w:rsidR="00DA227A" w:rsidRPr="00E93F40" w14:paraId="463C8170" w14:textId="77777777">
        <w:tc>
          <w:tcPr>
            <w:tcW w:w="3510" w:type="dxa"/>
          </w:tcPr>
          <w:p w14:paraId="7D9AD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92B1E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изжитием основных дефектов, выявленных в процессе заводских и гос. испытаний мотора, </w:t>
            </w:r>
          </w:p>
        </w:tc>
      </w:tr>
      <w:tr w:rsidR="00DA227A" w:rsidRPr="00E93F40" w14:paraId="5F8E1FD3" w14:textId="77777777">
        <w:tc>
          <w:tcPr>
            <w:tcW w:w="3510" w:type="dxa"/>
          </w:tcPr>
          <w:p w14:paraId="1A3E8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BD182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по мотору ВАО не ведутся. ВАО мотивирует это положение отсутствием гл. </w:t>
            </w:r>
          </w:p>
        </w:tc>
      </w:tr>
      <w:tr w:rsidR="00DA227A" w:rsidRPr="00E93F40" w14:paraId="70866250" w14:textId="77777777">
        <w:tc>
          <w:tcPr>
            <w:tcW w:w="3510" w:type="dxa"/>
          </w:tcPr>
          <w:p w14:paraId="6A67D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C847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Конструктора этого мотора и недостатком кадров вообще.</w:t>
            </w:r>
          </w:p>
        </w:tc>
      </w:tr>
      <w:tr w:rsidR="00DA227A" w:rsidRPr="00E93F40" w14:paraId="07550FCD" w14:textId="77777777">
        <w:tc>
          <w:tcPr>
            <w:tcW w:w="3510" w:type="dxa"/>
          </w:tcPr>
          <w:p w14:paraId="6E769C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575C34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истребителей М-32</w:t>
            </w:r>
          </w:p>
        </w:tc>
      </w:tr>
      <w:tr w:rsidR="00DA227A" w:rsidRPr="00E93F40" w14:paraId="535047B4" w14:textId="77777777">
        <w:tc>
          <w:tcPr>
            <w:tcW w:w="3510" w:type="dxa"/>
          </w:tcPr>
          <w:p w14:paraId="654BCD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28229F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5503F665" w14:textId="77777777">
        <w:tc>
          <w:tcPr>
            <w:tcW w:w="3510" w:type="dxa"/>
          </w:tcPr>
          <w:p w14:paraId="49DBA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0BF87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4B40738C" w14:textId="77777777">
        <w:tc>
          <w:tcPr>
            <w:tcW w:w="3510" w:type="dxa"/>
          </w:tcPr>
          <w:p w14:paraId="14105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5270C4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4BD1E7D2" w14:textId="77777777">
        <w:tc>
          <w:tcPr>
            <w:tcW w:w="3510" w:type="dxa"/>
          </w:tcPr>
          <w:p w14:paraId="029D9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71BBC7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20CC5630" w14:textId="77777777">
        <w:tc>
          <w:tcPr>
            <w:tcW w:w="3510" w:type="dxa"/>
          </w:tcPr>
          <w:p w14:paraId="4EB73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65B9B7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0,66</w:t>
            </w:r>
          </w:p>
        </w:tc>
      </w:tr>
      <w:tr w:rsidR="00DA227A" w:rsidRPr="00E93F40" w14:paraId="68F74E99" w14:textId="77777777">
        <w:tc>
          <w:tcPr>
            <w:tcW w:w="3510" w:type="dxa"/>
          </w:tcPr>
          <w:p w14:paraId="5A1343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301D2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1B1FDBB8" w14:textId="77777777">
        <w:tc>
          <w:tcPr>
            <w:tcW w:w="3510" w:type="dxa"/>
          </w:tcPr>
          <w:p w14:paraId="728F4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7D1148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104521" w14:textId="77777777">
        <w:tc>
          <w:tcPr>
            <w:tcW w:w="3510" w:type="dxa"/>
          </w:tcPr>
          <w:p w14:paraId="303CD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28B97D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3EDF92AB" w14:textId="77777777">
        <w:tc>
          <w:tcPr>
            <w:tcW w:w="3510" w:type="dxa"/>
          </w:tcPr>
          <w:p w14:paraId="5E38F4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4A0BB9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E4EE9C" w14:textId="77777777">
        <w:tc>
          <w:tcPr>
            <w:tcW w:w="3510" w:type="dxa"/>
          </w:tcPr>
          <w:p w14:paraId="220A7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07449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Рабочие чертежи изготовлены. Модели готовы на 75%. Технологическая разработка по мотору </w:t>
            </w:r>
          </w:p>
        </w:tc>
      </w:tr>
      <w:tr w:rsidR="00DA227A" w:rsidRPr="00E93F40" w14:paraId="46E2D368" w14:textId="77777777">
        <w:tc>
          <w:tcPr>
            <w:tcW w:w="3510" w:type="dxa"/>
          </w:tcPr>
          <w:p w14:paraId="25A2C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28D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закончена. Запускаются в производство детали.</w:t>
            </w:r>
          </w:p>
        </w:tc>
      </w:tr>
      <w:tr w:rsidR="00DA227A" w:rsidRPr="00E93F40" w14:paraId="33DCAE16" w14:textId="77777777">
        <w:tc>
          <w:tcPr>
            <w:tcW w:w="3510" w:type="dxa"/>
          </w:tcPr>
          <w:p w14:paraId="06D50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36A6B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истребителей М-38</w:t>
            </w:r>
          </w:p>
        </w:tc>
      </w:tr>
      <w:tr w:rsidR="00DA227A" w:rsidRPr="00E93F40" w14:paraId="02C57BF0" w14:textId="77777777">
        <w:tc>
          <w:tcPr>
            <w:tcW w:w="3510" w:type="dxa"/>
          </w:tcPr>
          <w:p w14:paraId="340F4F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4A6E41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3DADE286" w14:textId="77777777">
        <w:tc>
          <w:tcPr>
            <w:tcW w:w="3510" w:type="dxa"/>
          </w:tcPr>
          <w:p w14:paraId="6D305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7387D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r>
      <w:tr w:rsidR="00DA227A" w:rsidRPr="00E93F40" w14:paraId="3C2CD4AE" w14:textId="77777777">
        <w:tc>
          <w:tcPr>
            <w:tcW w:w="3510" w:type="dxa"/>
          </w:tcPr>
          <w:p w14:paraId="52D80F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45C89C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282A83E7" w14:textId="77777777">
        <w:tc>
          <w:tcPr>
            <w:tcW w:w="3510" w:type="dxa"/>
          </w:tcPr>
          <w:p w14:paraId="1EE7E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408AC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445648" w14:textId="77777777">
        <w:tc>
          <w:tcPr>
            <w:tcW w:w="3510" w:type="dxa"/>
          </w:tcPr>
          <w:p w14:paraId="0212FA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2D2D5C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0,63</w:t>
            </w:r>
          </w:p>
        </w:tc>
      </w:tr>
      <w:tr w:rsidR="00DA227A" w:rsidRPr="00E93F40" w14:paraId="15E28DEE" w14:textId="77777777">
        <w:tc>
          <w:tcPr>
            <w:tcW w:w="3510" w:type="dxa"/>
          </w:tcPr>
          <w:p w14:paraId="18AED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06661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7208327C" w14:textId="77777777">
        <w:tc>
          <w:tcPr>
            <w:tcW w:w="3510" w:type="dxa"/>
          </w:tcPr>
          <w:p w14:paraId="2F6B9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4EA6DA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7DB0CD" w14:textId="77777777">
        <w:tc>
          <w:tcPr>
            <w:tcW w:w="3510" w:type="dxa"/>
          </w:tcPr>
          <w:p w14:paraId="3F85B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07186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040CE6B8" w14:textId="77777777">
        <w:tc>
          <w:tcPr>
            <w:tcW w:w="3510" w:type="dxa"/>
          </w:tcPr>
          <w:p w14:paraId="69F47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3B3C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6B5372" w14:textId="77777777">
        <w:tc>
          <w:tcPr>
            <w:tcW w:w="3510" w:type="dxa"/>
          </w:tcPr>
          <w:p w14:paraId="7DFBD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27A2F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Технологическая разработка закончена. Запускаются в производство детали. Производственное </w:t>
            </w:r>
          </w:p>
        </w:tc>
      </w:tr>
      <w:tr w:rsidR="00DA227A" w:rsidRPr="00E93F40" w14:paraId="7F2F3E3C" w14:textId="77777777">
        <w:tc>
          <w:tcPr>
            <w:tcW w:w="3510" w:type="dxa"/>
          </w:tcPr>
          <w:p w14:paraId="046D1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8AAE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на 32%.</w:t>
            </w:r>
          </w:p>
        </w:tc>
      </w:tr>
      <w:tr w:rsidR="00DA227A" w:rsidRPr="00E93F40" w14:paraId="74401C57" w14:textId="77777777">
        <w:tc>
          <w:tcPr>
            <w:tcW w:w="3510" w:type="dxa"/>
          </w:tcPr>
          <w:p w14:paraId="52738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364AF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тяжелых бомбардировщиков М-44</w:t>
            </w:r>
          </w:p>
        </w:tc>
      </w:tr>
      <w:tr w:rsidR="00DA227A" w:rsidRPr="00E93F40" w14:paraId="31CC1436" w14:textId="77777777">
        <w:tc>
          <w:tcPr>
            <w:tcW w:w="3510" w:type="dxa"/>
          </w:tcPr>
          <w:p w14:paraId="5A8C3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50499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3C2FF264" w14:textId="77777777">
        <w:tc>
          <w:tcPr>
            <w:tcW w:w="3510" w:type="dxa"/>
          </w:tcPr>
          <w:p w14:paraId="7D303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3CB664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68CF12DE" w14:textId="77777777">
        <w:tc>
          <w:tcPr>
            <w:tcW w:w="3510" w:type="dxa"/>
          </w:tcPr>
          <w:p w14:paraId="1672C0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4B5722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6DBD454E" w14:textId="77777777">
        <w:tc>
          <w:tcPr>
            <w:tcW w:w="3510" w:type="dxa"/>
          </w:tcPr>
          <w:p w14:paraId="6B13C5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709A62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tc>
      </w:tr>
      <w:tr w:rsidR="00DA227A" w:rsidRPr="00E93F40" w14:paraId="01B91A39" w14:textId="77777777">
        <w:tc>
          <w:tcPr>
            <w:tcW w:w="3510" w:type="dxa"/>
          </w:tcPr>
          <w:p w14:paraId="1118BD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7D24A4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0,9</w:t>
            </w:r>
          </w:p>
        </w:tc>
      </w:tr>
      <w:tr w:rsidR="00DA227A" w:rsidRPr="00E93F40" w14:paraId="02039929" w14:textId="77777777">
        <w:tc>
          <w:tcPr>
            <w:tcW w:w="3510" w:type="dxa"/>
          </w:tcPr>
          <w:p w14:paraId="352FB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01CBC9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r>
      <w:tr w:rsidR="00DA227A" w:rsidRPr="00E93F40" w14:paraId="106352D0" w14:textId="77777777">
        <w:tc>
          <w:tcPr>
            <w:tcW w:w="3510" w:type="dxa"/>
          </w:tcPr>
          <w:p w14:paraId="5F1761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1F0B5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791E54" w14:textId="77777777">
        <w:tc>
          <w:tcPr>
            <w:tcW w:w="3510" w:type="dxa"/>
          </w:tcPr>
          <w:p w14:paraId="4D6CC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6074C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7E86ED14" w14:textId="77777777">
        <w:tc>
          <w:tcPr>
            <w:tcW w:w="3510" w:type="dxa"/>
          </w:tcPr>
          <w:p w14:paraId="708D7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F2D0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6DCB46" w14:textId="77777777">
        <w:tc>
          <w:tcPr>
            <w:tcW w:w="3510" w:type="dxa"/>
          </w:tcPr>
          <w:p w14:paraId="19421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6D70F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ИАМом работа по этому мотору отнесена к второочередной вследствие чего сейчас темп работ</w:t>
            </w:r>
          </w:p>
        </w:tc>
      </w:tr>
      <w:tr w:rsidR="00DA227A" w:rsidRPr="00E93F40" w14:paraId="6B59B693" w14:textId="77777777">
        <w:tc>
          <w:tcPr>
            <w:tcW w:w="3510" w:type="dxa"/>
          </w:tcPr>
          <w:p w14:paraId="361C1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AEF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сильно снижен. На весь 1932 год ИАМ наметил заниматься только </w:t>
            </w:r>
          </w:p>
        </w:tc>
      </w:tr>
      <w:tr w:rsidR="00DA227A" w:rsidRPr="00E93F40" w14:paraId="1CBE2605" w14:textId="77777777">
        <w:tc>
          <w:tcPr>
            <w:tcW w:w="3510" w:type="dxa"/>
          </w:tcPr>
          <w:p w14:paraId="6BBE2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8598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экспериментальными работами на одноцилиндровой установке и переделками проекта,</w:t>
            </w:r>
          </w:p>
        </w:tc>
      </w:tr>
      <w:tr w:rsidR="00DA227A" w:rsidRPr="00E93F40" w14:paraId="15C7CDF6" w14:textId="77777777">
        <w:tc>
          <w:tcPr>
            <w:tcW w:w="3510" w:type="dxa"/>
          </w:tcPr>
          <w:p w14:paraId="45C552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E0D0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же мотора в целом перенесено на 1933 год.</w:t>
            </w:r>
          </w:p>
        </w:tc>
      </w:tr>
      <w:tr w:rsidR="00DA227A" w:rsidRPr="00E93F40" w14:paraId="7B2C295B" w14:textId="77777777">
        <w:tc>
          <w:tcPr>
            <w:tcW w:w="3510" w:type="dxa"/>
          </w:tcPr>
          <w:p w14:paraId="2D350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66CA55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тяжелых бомбардировщиков М-35</w:t>
            </w:r>
          </w:p>
        </w:tc>
      </w:tr>
      <w:tr w:rsidR="00DA227A" w:rsidRPr="00E93F40" w14:paraId="7BE9D4BF" w14:textId="77777777">
        <w:tc>
          <w:tcPr>
            <w:tcW w:w="3510" w:type="dxa"/>
          </w:tcPr>
          <w:p w14:paraId="683B7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4D3817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4FCCD24E" w14:textId="77777777">
        <w:tc>
          <w:tcPr>
            <w:tcW w:w="3510" w:type="dxa"/>
          </w:tcPr>
          <w:p w14:paraId="5493A8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3FAFA1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3E00DD2E" w14:textId="77777777">
        <w:tc>
          <w:tcPr>
            <w:tcW w:w="3510" w:type="dxa"/>
          </w:tcPr>
          <w:p w14:paraId="7FACDC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2590C5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1250-1500</w:t>
            </w:r>
          </w:p>
        </w:tc>
      </w:tr>
      <w:tr w:rsidR="00DA227A" w:rsidRPr="00E93F40" w14:paraId="3BB42E60" w14:textId="77777777">
        <w:tc>
          <w:tcPr>
            <w:tcW w:w="3510" w:type="dxa"/>
          </w:tcPr>
          <w:p w14:paraId="4231F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13082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w:t>
            </w:r>
          </w:p>
        </w:tc>
      </w:tr>
      <w:tr w:rsidR="00DA227A" w:rsidRPr="00E93F40" w14:paraId="3B51EA7D" w14:textId="77777777">
        <w:tc>
          <w:tcPr>
            <w:tcW w:w="3510" w:type="dxa"/>
          </w:tcPr>
          <w:p w14:paraId="0A63E1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34D3C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должны быть</w:t>
            </w:r>
          </w:p>
        </w:tc>
      </w:tr>
      <w:tr w:rsidR="00DA227A" w:rsidRPr="00E93F40" w14:paraId="567075C1" w14:textId="77777777">
        <w:tc>
          <w:tcPr>
            <w:tcW w:w="3510" w:type="dxa"/>
          </w:tcPr>
          <w:p w14:paraId="509D8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45B546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представлены ЦИАМом</w:t>
            </w:r>
          </w:p>
        </w:tc>
      </w:tr>
      <w:tr w:rsidR="00DA227A" w:rsidRPr="00E93F40" w14:paraId="2393279C" w14:textId="77777777">
        <w:tc>
          <w:tcPr>
            <w:tcW w:w="3510" w:type="dxa"/>
          </w:tcPr>
          <w:p w14:paraId="33624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срок представления</w:t>
            </w:r>
          </w:p>
        </w:tc>
        <w:tc>
          <w:tcPr>
            <w:tcW w:w="6946" w:type="dxa"/>
          </w:tcPr>
          <w:p w14:paraId="5C938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3ADA077" w14:textId="77777777">
        <w:tc>
          <w:tcPr>
            <w:tcW w:w="3510" w:type="dxa"/>
          </w:tcPr>
          <w:p w14:paraId="5F636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02F24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6D12EB" w14:textId="77777777">
        <w:tc>
          <w:tcPr>
            <w:tcW w:w="3510" w:type="dxa"/>
          </w:tcPr>
          <w:p w14:paraId="56F1B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127CF2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8EF927" w14:textId="77777777">
        <w:tc>
          <w:tcPr>
            <w:tcW w:w="3510" w:type="dxa"/>
          </w:tcPr>
          <w:p w14:paraId="197B9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5E73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эскизная компоновка первого варианта.</w:t>
            </w:r>
          </w:p>
        </w:tc>
      </w:tr>
      <w:tr w:rsidR="00DA227A" w:rsidRPr="00E93F40" w14:paraId="2C484DC0" w14:textId="77777777">
        <w:tc>
          <w:tcPr>
            <w:tcW w:w="3510" w:type="dxa"/>
          </w:tcPr>
          <w:p w14:paraId="41F8F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066A04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разведчика М-34</w:t>
            </w:r>
          </w:p>
        </w:tc>
      </w:tr>
      <w:tr w:rsidR="00DA227A" w:rsidRPr="00E93F40" w14:paraId="711FF153" w14:textId="77777777">
        <w:tc>
          <w:tcPr>
            <w:tcW w:w="3510" w:type="dxa"/>
          </w:tcPr>
          <w:p w14:paraId="6CDB8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3CED27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46FDD90E" w14:textId="77777777">
        <w:tc>
          <w:tcPr>
            <w:tcW w:w="3510" w:type="dxa"/>
          </w:tcPr>
          <w:p w14:paraId="7179F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6E081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w:t>
            </w:r>
          </w:p>
        </w:tc>
      </w:tr>
      <w:tr w:rsidR="00DA227A" w:rsidRPr="00E93F40" w14:paraId="61ED8844" w14:textId="77777777">
        <w:tc>
          <w:tcPr>
            <w:tcW w:w="3510" w:type="dxa"/>
          </w:tcPr>
          <w:p w14:paraId="137CC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34EC2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750-900</w:t>
            </w:r>
          </w:p>
        </w:tc>
      </w:tr>
      <w:tr w:rsidR="00DA227A" w:rsidRPr="00E93F40" w14:paraId="35FDF49D" w14:textId="77777777">
        <w:tc>
          <w:tcPr>
            <w:tcW w:w="3510" w:type="dxa"/>
          </w:tcPr>
          <w:p w14:paraId="70918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 кг</w:t>
            </w:r>
          </w:p>
        </w:tc>
        <w:tc>
          <w:tcPr>
            <w:tcW w:w="6946" w:type="dxa"/>
          </w:tcPr>
          <w:p w14:paraId="1A39C9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w:t>
            </w:r>
          </w:p>
        </w:tc>
      </w:tr>
      <w:tr w:rsidR="00DA227A" w:rsidRPr="00E93F40" w14:paraId="0B8B031B" w14:textId="77777777">
        <w:tc>
          <w:tcPr>
            <w:tcW w:w="3510" w:type="dxa"/>
          </w:tcPr>
          <w:p w14:paraId="6A9DF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 вес</w:t>
            </w:r>
          </w:p>
        </w:tc>
        <w:tc>
          <w:tcPr>
            <w:tcW w:w="6946" w:type="dxa"/>
          </w:tcPr>
          <w:p w14:paraId="49E90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0,74</w:t>
            </w:r>
          </w:p>
        </w:tc>
      </w:tr>
      <w:tr w:rsidR="00DA227A" w:rsidRPr="00E93F40" w14:paraId="5857701A" w14:textId="77777777">
        <w:tc>
          <w:tcPr>
            <w:tcW w:w="3510" w:type="dxa"/>
          </w:tcPr>
          <w:p w14:paraId="6F02E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6946" w:type="dxa"/>
          </w:tcPr>
          <w:p w14:paraId="5E4D58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6700068C" w14:textId="77777777">
        <w:tc>
          <w:tcPr>
            <w:tcW w:w="3510" w:type="dxa"/>
          </w:tcPr>
          <w:p w14:paraId="2D747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Новый срок представления</w:t>
            </w:r>
          </w:p>
        </w:tc>
        <w:tc>
          <w:tcPr>
            <w:tcW w:w="6946" w:type="dxa"/>
          </w:tcPr>
          <w:p w14:paraId="670933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7C832F" w14:textId="77777777">
        <w:tc>
          <w:tcPr>
            <w:tcW w:w="3510" w:type="dxa"/>
          </w:tcPr>
          <w:p w14:paraId="070823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c>
          <w:tcPr>
            <w:tcW w:w="6946" w:type="dxa"/>
          </w:tcPr>
          <w:p w14:paraId="5E3626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1931 года</w:t>
            </w:r>
          </w:p>
        </w:tc>
      </w:tr>
      <w:tr w:rsidR="00DA227A" w:rsidRPr="00E93F40" w14:paraId="36FCD04E" w14:textId="77777777">
        <w:tc>
          <w:tcPr>
            <w:tcW w:w="3510" w:type="dxa"/>
          </w:tcPr>
          <w:p w14:paraId="69C17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E3FF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5A47A9" w14:textId="77777777">
        <w:tc>
          <w:tcPr>
            <w:tcW w:w="3510" w:type="dxa"/>
          </w:tcPr>
          <w:p w14:paraId="1BCFFE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5617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 без нагнетателя прошел 100 часовые гос. испытания вовремя которых обнаружены </w:t>
            </w:r>
          </w:p>
        </w:tc>
      </w:tr>
      <w:tr w:rsidR="00DA227A" w:rsidRPr="00E93F40" w14:paraId="04068949" w14:textId="77777777">
        <w:tc>
          <w:tcPr>
            <w:tcW w:w="3510" w:type="dxa"/>
          </w:tcPr>
          <w:p w14:paraId="607BF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F6A8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следующие основные дефекты: трещина на коленчатом валу, несоответствие карбюратора </w:t>
            </w:r>
          </w:p>
        </w:tc>
      </w:tr>
      <w:tr w:rsidR="00DA227A" w:rsidRPr="00E93F40" w14:paraId="58621187" w14:textId="77777777">
        <w:tc>
          <w:tcPr>
            <w:tcW w:w="3510" w:type="dxa"/>
          </w:tcPr>
          <w:p w14:paraId="09CD6D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8EE4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мощности мотора и большой перепад температур масла. Принято решение о внедрении мотора </w:t>
            </w:r>
          </w:p>
        </w:tc>
      </w:tr>
      <w:tr w:rsidR="00DA227A" w:rsidRPr="00E93F40" w14:paraId="5DEB1B77" w14:textId="77777777">
        <w:tc>
          <w:tcPr>
            <w:tcW w:w="3510" w:type="dxa"/>
          </w:tcPr>
          <w:p w14:paraId="45474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B581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серийное производство и о проведении дополнительных специальных 100-часовых испытаний </w:t>
            </w:r>
          </w:p>
        </w:tc>
      </w:tr>
      <w:tr w:rsidR="00DA227A" w:rsidRPr="00E93F40" w14:paraId="003DD0AB" w14:textId="77777777">
        <w:tc>
          <w:tcPr>
            <w:tcW w:w="3510" w:type="dxa"/>
          </w:tcPr>
          <w:p w14:paraId="1F898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95D0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проверки надежности работы отдельных деталей мотора. Испытания начались.</w:t>
            </w:r>
          </w:p>
        </w:tc>
      </w:tr>
      <w:tr w:rsidR="00DA227A" w:rsidRPr="00E93F40" w14:paraId="1FE88485" w14:textId="77777777">
        <w:tc>
          <w:tcPr>
            <w:tcW w:w="3510" w:type="dxa"/>
          </w:tcPr>
          <w:p w14:paraId="5E7AE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D012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Нагнетатель мотора поступил в сборку и предварительно становится на испытания от </w:t>
            </w:r>
          </w:p>
        </w:tc>
      </w:tr>
      <w:tr w:rsidR="00DA227A" w:rsidRPr="00E93F40" w14:paraId="0ED2B7DC" w14:textId="77777777">
        <w:tc>
          <w:tcPr>
            <w:tcW w:w="3510" w:type="dxa"/>
          </w:tcPr>
          <w:p w14:paraId="3630B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1C8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электромотора.</w:t>
            </w:r>
          </w:p>
        </w:tc>
      </w:tr>
      <w:tr w:rsidR="00DA227A" w:rsidRPr="00E93F40" w14:paraId="717831CE" w14:textId="77777777">
        <w:tc>
          <w:tcPr>
            <w:tcW w:w="3510" w:type="dxa"/>
          </w:tcPr>
          <w:p w14:paraId="44E42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00C71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Н-1 - нефтяной мотор 600 л.с.</w:t>
            </w:r>
          </w:p>
        </w:tc>
      </w:tr>
      <w:tr w:rsidR="00DA227A" w:rsidRPr="00E93F40" w14:paraId="0A93BDFB" w14:textId="77777777">
        <w:tc>
          <w:tcPr>
            <w:tcW w:w="3510" w:type="dxa"/>
          </w:tcPr>
          <w:p w14:paraId="2B1BA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5DE08D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272818C7" w14:textId="77777777">
        <w:tc>
          <w:tcPr>
            <w:tcW w:w="3510" w:type="dxa"/>
          </w:tcPr>
          <w:p w14:paraId="60EBE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55A7F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897E9D" w14:textId="77777777">
        <w:tc>
          <w:tcPr>
            <w:tcW w:w="3510" w:type="dxa"/>
          </w:tcPr>
          <w:p w14:paraId="484B5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0E2AE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49743B15" w14:textId="77777777">
        <w:tc>
          <w:tcPr>
            <w:tcW w:w="3510" w:type="dxa"/>
          </w:tcPr>
          <w:p w14:paraId="78CB1B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2F5C4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B564A1" w14:textId="77777777">
        <w:tc>
          <w:tcPr>
            <w:tcW w:w="3510" w:type="dxa"/>
          </w:tcPr>
          <w:p w14:paraId="0B0B5F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E637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Заканчивается эскизная компоновка двигателя. Срок окончания 15 января. Одновременно </w:t>
            </w:r>
          </w:p>
        </w:tc>
      </w:tr>
      <w:tr w:rsidR="00DA227A" w:rsidRPr="00E93F40" w14:paraId="52EFDD87" w14:textId="77777777">
        <w:tc>
          <w:tcPr>
            <w:tcW w:w="3510" w:type="dxa"/>
          </w:tcPr>
          <w:p w14:paraId="1EE26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F560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подготавливается проверка некоторых узлов.</w:t>
            </w:r>
          </w:p>
        </w:tc>
      </w:tr>
      <w:tr w:rsidR="00DA227A" w:rsidRPr="00E93F40" w14:paraId="23F2119D" w14:textId="77777777">
        <w:tc>
          <w:tcPr>
            <w:tcW w:w="3510" w:type="dxa"/>
          </w:tcPr>
          <w:p w14:paraId="57127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79EA1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Н-2 - нефтяной 1000 л.с.</w:t>
            </w:r>
          </w:p>
        </w:tc>
      </w:tr>
      <w:tr w:rsidR="00DA227A" w:rsidRPr="00E93F40" w14:paraId="1A090BFE" w14:textId="77777777">
        <w:tc>
          <w:tcPr>
            <w:tcW w:w="3510" w:type="dxa"/>
          </w:tcPr>
          <w:p w14:paraId="189A7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798FB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ВНИДИ</w:t>
            </w:r>
          </w:p>
        </w:tc>
      </w:tr>
      <w:tr w:rsidR="00DA227A" w:rsidRPr="00E93F40" w14:paraId="01497DBB" w14:textId="77777777">
        <w:tc>
          <w:tcPr>
            <w:tcW w:w="3510" w:type="dxa"/>
          </w:tcPr>
          <w:p w14:paraId="681DD0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5AD03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321DD58" w14:textId="77777777">
        <w:tc>
          <w:tcPr>
            <w:tcW w:w="3510" w:type="dxa"/>
          </w:tcPr>
          <w:p w14:paraId="7B690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0854A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4B142DCF" w14:textId="77777777">
        <w:tc>
          <w:tcPr>
            <w:tcW w:w="3510" w:type="dxa"/>
          </w:tcPr>
          <w:p w14:paraId="35353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5417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A5E0C8" w14:textId="77777777">
        <w:tc>
          <w:tcPr>
            <w:tcW w:w="3510" w:type="dxa"/>
          </w:tcPr>
          <w:p w14:paraId="602E31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67203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 рассмотрен техническим совещанием НИИ ВВС и намечены конструктивные переделки </w:t>
            </w:r>
          </w:p>
        </w:tc>
      </w:tr>
      <w:tr w:rsidR="00DA227A" w:rsidRPr="00E93F40" w14:paraId="755922DE" w14:textId="77777777">
        <w:tc>
          <w:tcPr>
            <w:tcW w:w="3510" w:type="dxa"/>
          </w:tcPr>
          <w:p w14:paraId="4BAD5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30EAE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 которым уже приступлено. Мотор решено строить с условием проведения ряда экспериментов </w:t>
            </w:r>
          </w:p>
        </w:tc>
      </w:tr>
      <w:tr w:rsidR="00DA227A" w:rsidRPr="00E93F40" w14:paraId="5A7EBD42" w14:textId="77777777">
        <w:tc>
          <w:tcPr>
            <w:tcW w:w="3510" w:type="dxa"/>
          </w:tcPr>
          <w:p w14:paraId="779B9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663B7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одноцилиндровой установке. В настоящее время ведутся переговоры с промышленностью на </w:t>
            </w:r>
          </w:p>
        </w:tc>
      </w:tr>
      <w:tr w:rsidR="00DA227A" w:rsidRPr="00E93F40" w14:paraId="0E11F92F" w14:textId="77777777">
        <w:tc>
          <w:tcPr>
            <w:tcW w:w="3510" w:type="dxa"/>
          </w:tcPr>
          <w:p w14:paraId="4B2F6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5D882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предмет реализации двигателя, при чем основной базой намечен завод Русский дизель.</w:t>
            </w:r>
          </w:p>
        </w:tc>
      </w:tr>
      <w:tr w:rsidR="00DA227A" w:rsidRPr="00E93F40" w14:paraId="2E170854" w14:textId="77777777">
        <w:tc>
          <w:tcPr>
            <w:tcW w:w="3510" w:type="dxa"/>
          </w:tcPr>
          <w:p w14:paraId="62912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мотора</w:t>
            </w:r>
          </w:p>
        </w:tc>
        <w:tc>
          <w:tcPr>
            <w:tcW w:w="6946" w:type="dxa"/>
          </w:tcPr>
          <w:p w14:paraId="768D84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Н-3 - нефтяной 500 л.с.</w:t>
            </w:r>
          </w:p>
        </w:tc>
      </w:tr>
      <w:tr w:rsidR="00DA227A" w:rsidRPr="00E93F40" w14:paraId="64CBBBEA" w14:textId="77777777">
        <w:tc>
          <w:tcPr>
            <w:tcW w:w="3510" w:type="dxa"/>
          </w:tcPr>
          <w:p w14:paraId="44A75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строит</w:t>
            </w:r>
          </w:p>
        </w:tc>
        <w:tc>
          <w:tcPr>
            <w:tcW w:w="6946" w:type="dxa"/>
          </w:tcPr>
          <w:p w14:paraId="627CB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ХИДВС</w:t>
            </w:r>
          </w:p>
        </w:tc>
      </w:tr>
      <w:tr w:rsidR="00DA227A" w:rsidRPr="00E93F40" w14:paraId="193E9B42" w14:textId="77777777">
        <w:tc>
          <w:tcPr>
            <w:tcW w:w="3510" w:type="dxa"/>
          </w:tcPr>
          <w:p w14:paraId="76F4E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6946" w:type="dxa"/>
          </w:tcPr>
          <w:p w14:paraId="2BFCB8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87BA5A" w14:textId="77777777">
        <w:tc>
          <w:tcPr>
            <w:tcW w:w="3510" w:type="dxa"/>
          </w:tcPr>
          <w:p w14:paraId="11D6F2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6946" w:type="dxa"/>
          </w:tcPr>
          <w:p w14:paraId="7E228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2E41661D" w14:textId="77777777">
        <w:tc>
          <w:tcPr>
            <w:tcW w:w="3510" w:type="dxa"/>
          </w:tcPr>
          <w:p w14:paraId="0804C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B2C51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6309EA5" w14:textId="77777777">
        <w:tc>
          <w:tcPr>
            <w:tcW w:w="3510" w:type="dxa"/>
          </w:tcPr>
          <w:p w14:paraId="1DF74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1CC5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 рассмотрен техническим совещанием НИИ ВВС и намечены конструктивные </w:t>
            </w:r>
          </w:p>
        </w:tc>
      </w:tr>
      <w:tr w:rsidR="00DA227A" w:rsidRPr="00E93F40" w14:paraId="24F7ADCB" w14:textId="77777777">
        <w:tc>
          <w:tcPr>
            <w:tcW w:w="3510" w:type="dxa"/>
          </w:tcPr>
          <w:p w14:paraId="1242D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8D24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переделки, которые в настоящее время вносятся. Мотор решено строить с одновременным </w:t>
            </w:r>
          </w:p>
        </w:tc>
      </w:tr>
      <w:tr w:rsidR="00DA227A" w:rsidRPr="00E93F40" w14:paraId="0A34E022" w14:textId="77777777">
        <w:tc>
          <w:tcPr>
            <w:tcW w:w="3510" w:type="dxa"/>
          </w:tcPr>
          <w:p w14:paraId="4CD316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91B5F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экспериментированием на одноцилиндровой установке формы камеры сгорания, головки </w:t>
            </w:r>
          </w:p>
        </w:tc>
      </w:tr>
      <w:tr w:rsidR="00DA227A" w:rsidRPr="00E93F40" w14:paraId="3547FCB2" w14:textId="77777777">
        <w:tc>
          <w:tcPr>
            <w:tcW w:w="3510" w:type="dxa"/>
          </w:tcPr>
          <w:p w14:paraId="29871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C64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цилиндра и количества форсунок. В настоящее время ведутся переговоры с промышленностью </w:t>
            </w:r>
          </w:p>
        </w:tc>
      </w:tr>
      <w:tr w:rsidR="00DA227A" w:rsidRPr="00E93F40" w14:paraId="2EAB4FFD" w14:textId="77777777">
        <w:tc>
          <w:tcPr>
            <w:tcW w:w="3510" w:type="dxa"/>
          </w:tcPr>
          <w:p w14:paraId="25B614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5440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предмет реализации двигателя. Базой производства мотора намечен Харьковский </w:t>
            </w:r>
          </w:p>
        </w:tc>
      </w:tr>
      <w:tr w:rsidR="00DA227A" w:rsidRPr="00E93F40" w14:paraId="04C566B9" w14:textId="77777777">
        <w:tc>
          <w:tcPr>
            <w:tcW w:w="3510" w:type="dxa"/>
          </w:tcPr>
          <w:p w14:paraId="7D287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43B6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паровозостроительный завод.</w:t>
            </w:r>
          </w:p>
        </w:tc>
      </w:tr>
      <w:tr w:rsidR="00DA227A" w:rsidRPr="00E93F40" w14:paraId="158847B1" w14:textId="77777777">
        <w:tc>
          <w:tcPr>
            <w:tcW w:w="3510" w:type="dxa"/>
          </w:tcPr>
          <w:p w14:paraId="24026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самолетам</w:t>
            </w:r>
          </w:p>
        </w:tc>
        <w:tc>
          <w:tcPr>
            <w:tcW w:w="6946" w:type="dxa"/>
          </w:tcPr>
          <w:p w14:paraId="0BDC1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CE7932" w14:textId="77777777">
        <w:tc>
          <w:tcPr>
            <w:tcW w:w="3510" w:type="dxa"/>
          </w:tcPr>
          <w:p w14:paraId="28331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4C4A69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w:t>
            </w:r>
          </w:p>
        </w:tc>
      </w:tr>
      <w:tr w:rsidR="00DA227A" w:rsidRPr="00E93F40" w14:paraId="00908FEF" w14:textId="77777777">
        <w:tc>
          <w:tcPr>
            <w:tcW w:w="3510" w:type="dxa"/>
          </w:tcPr>
          <w:p w14:paraId="550C5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54F2C5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874911" w14:textId="77777777">
        <w:tc>
          <w:tcPr>
            <w:tcW w:w="3510" w:type="dxa"/>
          </w:tcPr>
          <w:p w14:paraId="44EE66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08E57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00DD16" w14:textId="77777777">
        <w:tc>
          <w:tcPr>
            <w:tcW w:w="3510" w:type="dxa"/>
          </w:tcPr>
          <w:p w14:paraId="120AF7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49BE34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49545D" w14:textId="77777777">
        <w:tc>
          <w:tcPr>
            <w:tcW w:w="3510" w:type="dxa"/>
          </w:tcPr>
          <w:p w14:paraId="392E53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156C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1B28C9" w14:textId="77777777">
        <w:tc>
          <w:tcPr>
            <w:tcW w:w="3510" w:type="dxa"/>
          </w:tcPr>
          <w:p w14:paraId="70365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6F6678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CF58DA" w14:textId="77777777">
        <w:tc>
          <w:tcPr>
            <w:tcW w:w="3510" w:type="dxa"/>
          </w:tcPr>
          <w:p w14:paraId="31F87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237A6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 с перегруз. 25% 6000 кг бомб</w:t>
            </w:r>
          </w:p>
        </w:tc>
      </w:tr>
      <w:tr w:rsidR="00DA227A" w:rsidRPr="00E93F40" w14:paraId="4A46D125" w14:textId="77777777">
        <w:tc>
          <w:tcPr>
            <w:tcW w:w="3510" w:type="dxa"/>
          </w:tcPr>
          <w:p w14:paraId="35907C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02F9F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3C1DEAAA" w14:textId="77777777">
        <w:tc>
          <w:tcPr>
            <w:tcW w:w="3510" w:type="dxa"/>
          </w:tcPr>
          <w:p w14:paraId="19D24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324FD7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6E6596" w14:textId="77777777">
        <w:tc>
          <w:tcPr>
            <w:tcW w:w="3510" w:type="dxa"/>
          </w:tcPr>
          <w:p w14:paraId="62C04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05B7F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7B62E14B" w14:textId="77777777">
        <w:tc>
          <w:tcPr>
            <w:tcW w:w="3510" w:type="dxa"/>
          </w:tcPr>
          <w:p w14:paraId="0F3C2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129BB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FEA69F" w14:textId="77777777">
        <w:tc>
          <w:tcPr>
            <w:tcW w:w="3510" w:type="dxa"/>
          </w:tcPr>
          <w:p w14:paraId="1B69E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9D13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истекший квартал продолжалась постройка самолета под 6 моторов М34.</w:t>
            </w:r>
          </w:p>
        </w:tc>
      </w:tr>
      <w:tr w:rsidR="00DA227A" w:rsidRPr="00E93F40" w14:paraId="724A8E9D" w14:textId="77777777">
        <w:tc>
          <w:tcPr>
            <w:tcW w:w="3510" w:type="dxa"/>
          </w:tcPr>
          <w:p w14:paraId="394B1F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1FB57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Состояние постройки: конструкция фюзеляжа закончена за исключением деталей, связанных с </w:t>
            </w:r>
          </w:p>
        </w:tc>
      </w:tr>
      <w:tr w:rsidR="00DA227A" w:rsidRPr="00E93F40" w14:paraId="3A001948" w14:textId="77777777">
        <w:tc>
          <w:tcPr>
            <w:tcW w:w="3510" w:type="dxa"/>
          </w:tcPr>
          <w:p w14:paraId="314E00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86371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вооружением и оборудованием и проводкой управления. Оперение закончено. Крылья собраны и </w:t>
            </w:r>
          </w:p>
        </w:tc>
      </w:tr>
      <w:tr w:rsidR="00DA227A" w:rsidRPr="00E93F40" w14:paraId="7772BC55" w14:textId="77777777">
        <w:tc>
          <w:tcPr>
            <w:tcW w:w="3510" w:type="dxa"/>
          </w:tcPr>
          <w:p w14:paraId="30D6B0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741E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зашиты гофром, за исключением передних частей, оставленных открытыми для установки </w:t>
            </w:r>
          </w:p>
        </w:tc>
      </w:tr>
      <w:tr w:rsidR="00DA227A" w:rsidRPr="00E93F40" w14:paraId="1395378F" w14:textId="77777777">
        <w:tc>
          <w:tcPr>
            <w:tcW w:w="3510" w:type="dxa"/>
          </w:tcPr>
          <w:p w14:paraId="07AFF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511B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баков, проводок питания моторов и башен. Шасси находится в производстве. Срок выпуска </w:t>
            </w:r>
          </w:p>
        </w:tc>
      </w:tr>
      <w:tr w:rsidR="00DA227A" w:rsidRPr="00E93F40" w14:paraId="5A2EBB70" w14:textId="77777777">
        <w:tc>
          <w:tcPr>
            <w:tcW w:w="3510" w:type="dxa"/>
          </w:tcPr>
          <w:p w14:paraId="5E8137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E4863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самолета будет определяться подачей моторов М34. При условии предоставления моторов в </w:t>
            </w:r>
          </w:p>
        </w:tc>
      </w:tr>
      <w:tr w:rsidR="00DA227A" w:rsidRPr="00E93F40" w14:paraId="2D0CF9AC" w14:textId="77777777">
        <w:tc>
          <w:tcPr>
            <w:tcW w:w="3510" w:type="dxa"/>
          </w:tcPr>
          <w:p w14:paraId="4DD99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04047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феврале 1932 года (согласно постановления РВС) самолет сможет быть выпущен к 1 мая 1932 </w:t>
            </w:r>
          </w:p>
        </w:tc>
      </w:tr>
      <w:tr w:rsidR="00DA227A" w:rsidRPr="00E93F40" w14:paraId="36EF26FB" w14:textId="77777777">
        <w:tc>
          <w:tcPr>
            <w:tcW w:w="3510" w:type="dxa"/>
          </w:tcPr>
          <w:p w14:paraId="65D31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E365F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года, однако по имеющимся сведениям сроки предоставления моторов М34 ВАО не выдержит</w:t>
            </w:r>
          </w:p>
        </w:tc>
      </w:tr>
      <w:tr w:rsidR="00DA227A" w:rsidRPr="00E93F40" w14:paraId="104F621E" w14:textId="77777777">
        <w:tc>
          <w:tcPr>
            <w:tcW w:w="3510" w:type="dxa"/>
          </w:tcPr>
          <w:p w14:paraId="0FB743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Холодов.</w:t>
            </w:r>
          </w:p>
        </w:tc>
        <w:tc>
          <w:tcPr>
            <w:tcW w:w="6946" w:type="dxa"/>
          </w:tcPr>
          <w:p w14:paraId="04B78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339ADE" w14:textId="77777777">
        <w:tc>
          <w:tcPr>
            <w:tcW w:w="3510" w:type="dxa"/>
          </w:tcPr>
          <w:p w14:paraId="5073E1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08AD4B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ТБ5-4ЮVI</w:t>
            </w:r>
          </w:p>
        </w:tc>
      </w:tr>
      <w:tr w:rsidR="00DA227A" w:rsidRPr="00E93F40" w14:paraId="568E8BE6" w14:textId="77777777">
        <w:tc>
          <w:tcPr>
            <w:tcW w:w="3510" w:type="dxa"/>
          </w:tcPr>
          <w:p w14:paraId="05C92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106A3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75C425" w14:textId="77777777">
        <w:tc>
          <w:tcPr>
            <w:tcW w:w="3510" w:type="dxa"/>
          </w:tcPr>
          <w:p w14:paraId="3599D3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6960B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208/3000</w:t>
            </w:r>
          </w:p>
        </w:tc>
      </w:tr>
      <w:tr w:rsidR="00DA227A" w:rsidRPr="00E93F40" w14:paraId="3DD21435" w14:textId="77777777">
        <w:tc>
          <w:tcPr>
            <w:tcW w:w="3510" w:type="dxa"/>
          </w:tcPr>
          <w:p w14:paraId="23F29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2DC6C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6A56A4" w14:textId="77777777">
        <w:tc>
          <w:tcPr>
            <w:tcW w:w="3510" w:type="dxa"/>
          </w:tcPr>
          <w:p w14:paraId="3F5DF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132E8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19/3000</w:t>
            </w:r>
          </w:p>
        </w:tc>
      </w:tr>
      <w:tr w:rsidR="00DA227A" w:rsidRPr="00E93F40" w14:paraId="60313D8B" w14:textId="77777777">
        <w:tc>
          <w:tcPr>
            <w:tcW w:w="3510" w:type="dxa"/>
          </w:tcPr>
          <w:p w14:paraId="5C8AC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53BBA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0250658E" w14:textId="77777777">
        <w:tc>
          <w:tcPr>
            <w:tcW w:w="3510" w:type="dxa"/>
          </w:tcPr>
          <w:p w14:paraId="5C12D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596E9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6-10 пулем.,1500 кг бомб с перегрузк. И за счет горючего 4000 кг бомб</w:t>
            </w:r>
          </w:p>
        </w:tc>
      </w:tr>
      <w:tr w:rsidR="00DA227A" w:rsidRPr="00E93F40" w14:paraId="6436A02E" w14:textId="77777777">
        <w:tc>
          <w:tcPr>
            <w:tcW w:w="3510" w:type="dxa"/>
          </w:tcPr>
          <w:p w14:paraId="6154B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0A39B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5934D371" w14:textId="77777777">
        <w:tc>
          <w:tcPr>
            <w:tcW w:w="3510" w:type="dxa"/>
          </w:tcPr>
          <w:p w14:paraId="1EABE2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430CB2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84D224" w14:textId="77777777">
        <w:tc>
          <w:tcPr>
            <w:tcW w:w="3510" w:type="dxa"/>
          </w:tcPr>
          <w:p w14:paraId="5AA075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58D74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1931 года</w:t>
            </w:r>
          </w:p>
        </w:tc>
      </w:tr>
      <w:tr w:rsidR="00DA227A" w:rsidRPr="00E93F40" w14:paraId="26FBE39A" w14:textId="77777777">
        <w:tc>
          <w:tcPr>
            <w:tcW w:w="3510" w:type="dxa"/>
          </w:tcPr>
          <w:p w14:paraId="637E9B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B17B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A552A4" w14:textId="77777777">
        <w:tc>
          <w:tcPr>
            <w:tcW w:w="3510" w:type="dxa"/>
          </w:tcPr>
          <w:p w14:paraId="28574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686C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ЦАГИ проводит ряд исследований в аэродинамической трубе и путем оборудования самолета </w:t>
            </w:r>
          </w:p>
        </w:tc>
      </w:tr>
      <w:tr w:rsidR="00DA227A" w:rsidRPr="00E93F40" w14:paraId="23C014B0" w14:textId="77777777">
        <w:tc>
          <w:tcPr>
            <w:tcW w:w="3510" w:type="dxa"/>
          </w:tcPr>
          <w:p w14:paraId="63603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E126B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ТБ5 специальными приборами с целью выяснения причин низких полетных данных самолета, </w:t>
            </w:r>
          </w:p>
        </w:tc>
      </w:tr>
      <w:tr w:rsidR="00DA227A" w:rsidRPr="00E93F40" w14:paraId="11D1710D" w14:textId="77777777">
        <w:tc>
          <w:tcPr>
            <w:tcW w:w="3510" w:type="dxa"/>
          </w:tcPr>
          <w:p w14:paraId="1AE667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2CB2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полученных на заводских испытаниях. К полетным испытаниям самолета еще не приступлено, </w:t>
            </w:r>
          </w:p>
        </w:tc>
      </w:tr>
      <w:tr w:rsidR="00DA227A" w:rsidRPr="00E93F40" w14:paraId="78BA398D" w14:textId="77777777">
        <w:tc>
          <w:tcPr>
            <w:tcW w:w="3510" w:type="dxa"/>
          </w:tcPr>
          <w:p w14:paraId="2AEAA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8066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неокончания подготовки самолета к зимним полетам.</w:t>
            </w:r>
          </w:p>
        </w:tc>
      </w:tr>
      <w:tr w:rsidR="00DA227A" w:rsidRPr="00E93F40" w14:paraId="5C5B897B" w14:textId="77777777">
        <w:tc>
          <w:tcPr>
            <w:tcW w:w="3510" w:type="dxa"/>
          </w:tcPr>
          <w:p w14:paraId="1B3ED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Инженер Куликов.</w:t>
            </w:r>
          </w:p>
        </w:tc>
        <w:tc>
          <w:tcPr>
            <w:tcW w:w="6946" w:type="dxa"/>
          </w:tcPr>
          <w:p w14:paraId="5447A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896CD6" w14:textId="77777777">
        <w:tc>
          <w:tcPr>
            <w:tcW w:w="3510" w:type="dxa"/>
          </w:tcPr>
          <w:p w14:paraId="3EB61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6A739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w:t>
            </w:r>
          </w:p>
        </w:tc>
      </w:tr>
      <w:tr w:rsidR="00DA227A" w:rsidRPr="00E93F40" w14:paraId="01A62796" w14:textId="77777777">
        <w:tc>
          <w:tcPr>
            <w:tcW w:w="3510" w:type="dxa"/>
          </w:tcPr>
          <w:p w14:paraId="29214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7C847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B9BE4C" w14:textId="77777777">
        <w:tc>
          <w:tcPr>
            <w:tcW w:w="3510" w:type="dxa"/>
          </w:tcPr>
          <w:p w14:paraId="5E494B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3CED0A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300/3000-6000</w:t>
            </w:r>
          </w:p>
        </w:tc>
      </w:tr>
      <w:tr w:rsidR="00DA227A" w:rsidRPr="00E93F40" w14:paraId="277A41F6" w14:textId="77777777">
        <w:tc>
          <w:tcPr>
            <w:tcW w:w="3510" w:type="dxa"/>
          </w:tcPr>
          <w:p w14:paraId="2CC66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5182F1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9EAAF9" w14:textId="77777777">
        <w:tc>
          <w:tcPr>
            <w:tcW w:w="3510" w:type="dxa"/>
          </w:tcPr>
          <w:p w14:paraId="18413E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высоту</w:t>
            </w:r>
          </w:p>
        </w:tc>
        <w:tc>
          <w:tcPr>
            <w:tcW w:w="6946" w:type="dxa"/>
          </w:tcPr>
          <w:p w14:paraId="1A0C6C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13/5000</w:t>
            </w:r>
          </w:p>
        </w:tc>
      </w:tr>
      <w:tr w:rsidR="00DA227A" w:rsidRPr="00E93F40" w14:paraId="09A89105" w14:textId="77777777">
        <w:tc>
          <w:tcPr>
            <w:tcW w:w="3510" w:type="dxa"/>
          </w:tcPr>
          <w:p w14:paraId="07120E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5AB91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r>
      <w:tr w:rsidR="00DA227A" w:rsidRPr="00E93F40" w14:paraId="1717EBFC" w14:textId="77777777">
        <w:tc>
          <w:tcPr>
            <w:tcW w:w="3510" w:type="dxa"/>
          </w:tcPr>
          <w:p w14:paraId="22D02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2625E6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тяж. пулем., 1 легк. пулем.</w:t>
            </w:r>
          </w:p>
        </w:tc>
      </w:tr>
      <w:tr w:rsidR="00DA227A" w:rsidRPr="00E93F40" w14:paraId="767F22A2" w14:textId="77777777">
        <w:tc>
          <w:tcPr>
            <w:tcW w:w="3510" w:type="dxa"/>
          </w:tcPr>
          <w:p w14:paraId="0BC4E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1B1101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23C3E2EE" w14:textId="77777777">
        <w:tc>
          <w:tcPr>
            <w:tcW w:w="3510" w:type="dxa"/>
          </w:tcPr>
          <w:p w14:paraId="0660A9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4545D9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60683B" w14:textId="77777777">
        <w:tc>
          <w:tcPr>
            <w:tcW w:w="3510" w:type="dxa"/>
          </w:tcPr>
          <w:p w14:paraId="2CE59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7DEB9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r>
      <w:tr w:rsidR="00DA227A" w:rsidRPr="00E93F40" w14:paraId="2918E736" w14:textId="77777777">
        <w:tc>
          <w:tcPr>
            <w:tcW w:w="3510" w:type="dxa"/>
          </w:tcPr>
          <w:p w14:paraId="578B7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1C4549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242E8D" w14:textId="77777777">
        <w:tc>
          <w:tcPr>
            <w:tcW w:w="3510" w:type="dxa"/>
          </w:tcPr>
          <w:p w14:paraId="3B6AC1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099BD4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находится в стадии постройки. Производится на стапелях сборка фюзеляжа и крыльев. </w:t>
            </w:r>
          </w:p>
        </w:tc>
      </w:tr>
      <w:tr w:rsidR="00DA227A" w:rsidRPr="00E93F40" w14:paraId="7FE73188" w14:textId="77777777">
        <w:tc>
          <w:tcPr>
            <w:tcW w:w="3510" w:type="dxa"/>
          </w:tcPr>
          <w:p w14:paraId="191AB9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15AB5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Оперение в производстве закончено. Срок выпуска самолета по плану (й1 января 1932 года) не </w:t>
            </w:r>
          </w:p>
        </w:tc>
      </w:tr>
      <w:tr w:rsidR="00DA227A" w:rsidRPr="00E93F40" w14:paraId="7D223784" w14:textId="77777777">
        <w:tc>
          <w:tcPr>
            <w:tcW w:w="3510" w:type="dxa"/>
          </w:tcPr>
          <w:p w14:paraId="636428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7F9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выдержан. При условии предоставления мотора М34 в феврале, самолет сможет быть закончен </w:t>
            </w:r>
          </w:p>
        </w:tc>
      </w:tr>
      <w:tr w:rsidR="00DA227A" w:rsidRPr="00E93F40" w14:paraId="03E01A3E" w14:textId="77777777">
        <w:tc>
          <w:tcPr>
            <w:tcW w:w="3510" w:type="dxa"/>
          </w:tcPr>
          <w:p w14:paraId="24B8B8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D96F9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начале 2-го квартала 1932 года. Выпуск самолета в указанный срок, равно как и окончание </w:t>
            </w:r>
          </w:p>
        </w:tc>
      </w:tr>
      <w:tr w:rsidR="00DA227A" w:rsidRPr="00E93F40" w14:paraId="586AC751" w14:textId="77777777">
        <w:tc>
          <w:tcPr>
            <w:tcW w:w="3510" w:type="dxa"/>
          </w:tcPr>
          <w:p w14:paraId="475B79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B48F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постройки ТБ4-6М34 требует особого форсирования работ по М34 с целью получения в феврале-</w:t>
            </w:r>
          </w:p>
        </w:tc>
      </w:tr>
      <w:tr w:rsidR="00DA227A" w:rsidRPr="00E93F40" w14:paraId="44CB0D67" w14:textId="77777777">
        <w:tc>
          <w:tcPr>
            <w:tcW w:w="3510" w:type="dxa"/>
          </w:tcPr>
          <w:p w14:paraId="136D44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1F31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марте 1932 года 8-9 моторов.</w:t>
            </w:r>
          </w:p>
        </w:tc>
      </w:tr>
      <w:tr w:rsidR="00DA227A" w:rsidRPr="00E93F40" w14:paraId="320B835B" w14:textId="77777777">
        <w:tc>
          <w:tcPr>
            <w:tcW w:w="3510" w:type="dxa"/>
          </w:tcPr>
          <w:p w14:paraId="3CCE0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Холодов.</w:t>
            </w:r>
          </w:p>
        </w:tc>
        <w:tc>
          <w:tcPr>
            <w:tcW w:w="6946" w:type="dxa"/>
          </w:tcPr>
          <w:p w14:paraId="47981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5466C4" w14:textId="77777777">
        <w:tc>
          <w:tcPr>
            <w:tcW w:w="3510" w:type="dxa"/>
          </w:tcPr>
          <w:p w14:paraId="7EBB0F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695357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Р8-М27</w:t>
            </w:r>
          </w:p>
        </w:tc>
      </w:tr>
      <w:tr w:rsidR="00DA227A" w:rsidRPr="00E93F40" w14:paraId="6405B378" w14:textId="77777777">
        <w:tc>
          <w:tcPr>
            <w:tcW w:w="3510" w:type="dxa"/>
          </w:tcPr>
          <w:p w14:paraId="69F753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50478D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D7EDC0" w14:textId="77777777">
        <w:tc>
          <w:tcPr>
            <w:tcW w:w="3510" w:type="dxa"/>
          </w:tcPr>
          <w:p w14:paraId="49C2E8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55558B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245/3000</w:t>
            </w:r>
          </w:p>
        </w:tc>
      </w:tr>
      <w:tr w:rsidR="00DA227A" w:rsidRPr="00E93F40" w14:paraId="7232D70E" w14:textId="77777777">
        <w:tc>
          <w:tcPr>
            <w:tcW w:w="3510" w:type="dxa"/>
          </w:tcPr>
          <w:p w14:paraId="6FC8C1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03BFD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CE327E" w14:textId="77777777">
        <w:tc>
          <w:tcPr>
            <w:tcW w:w="3510" w:type="dxa"/>
          </w:tcPr>
          <w:p w14:paraId="237137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965A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10/3000</w:t>
            </w:r>
          </w:p>
        </w:tc>
      </w:tr>
      <w:tr w:rsidR="00DA227A" w:rsidRPr="00E93F40" w14:paraId="3C3C6CAD" w14:textId="77777777">
        <w:tc>
          <w:tcPr>
            <w:tcW w:w="3510" w:type="dxa"/>
          </w:tcPr>
          <w:p w14:paraId="1073E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49CC4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r>
      <w:tr w:rsidR="00DA227A" w:rsidRPr="00E93F40" w14:paraId="46F5E4C0" w14:textId="77777777">
        <w:tc>
          <w:tcPr>
            <w:tcW w:w="3510" w:type="dxa"/>
          </w:tcPr>
          <w:p w14:paraId="75220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35DEFF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пулемета</w:t>
            </w:r>
          </w:p>
        </w:tc>
      </w:tr>
      <w:tr w:rsidR="00DA227A" w:rsidRPr="00E93F40" w14:paraId="2CB0D642" w14:textId="77777777">
        <w:tc>
          <w:tcPr>
            <w:tcW w:w="3510" w:type="dxa"/>
          </w:tcPr>
          <w:p w14:paraId="62556C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0223A6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650-750</w:t>
            </w:r>
          </w:p>
        </w:tc>
      </w:tr>
      <w:tr w:rsidR="00DA227A" w:rsidRPr="00E93F40" w14:paraId="12E3745C" w14:textId="77777777">
        <w:tc>
          <w:tcPr>
            <w:tcW w:w="3510" w:type="dxa"/>
          </w:tcPr>
          <w:p w14:paraId="17187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1FC63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C446AF" w14:textId="77777777">
        <w:tc>
          <w:tcPr>
            <w:tcW w:w="3510" w:type="dxa"/>
          </w:tcPr>
          <w:p w14:paraId="3AF3A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31929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1931 года</w:t>
            </w:r>
          </w:p>
        </w:tc>
      </w:tr>
      <w:tr w:rsidR="00DA227A" w:rsidRPr="00E93F40" w14:paraId="594A7A28" w14:textId="77777777">
        <w:tc>
          <w:tcPr>
            <w:tcW w:w="3510" w:type="dxa"/>
          </w:tcPr>
          <w:p w14:paraId="2AD89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2170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ED92A8" w14:textId="77777777">
        <w:tc>
          <w:tcPr>
            <w:tcW w:w="3510" w:type="dxa"/>
          </w:tcPr>
          <w:p w14:paraId="193D3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5D35B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самолету ЦКБ ЦАГИ приостановило.</w:t>
            </w:r>
          </w:p>
        </w:tc>
      </w:tr>
      <w:tr w:rsidR="00DA227A" w:rsidRPr="00E93F40" w14:paraId="4FF1A0E0" w14:textId="77777777">
        <w:tc>
          <w:tcPr>
            <w:tcW w:w="3510" w:type="dxa"/>
          </w:tcPr>
          <w:p w14:paraId="08203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6F6A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Р8-М34</w:t>
            </w:r>
          </w:p>
        </w:tc>
      </w:tr>
      <w:tr w:rsidR="00DA227A" w:rsidRPr="00E93F40" w14:paraId="1AED6A76" w14:textId="77777777">
        <w:tc>
          <w:tcPr>
            <w:tcW w:w="3510" w:type="dxa"/>
          </w:tcPr>
          <w:p w14:paraId="03B57F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4FB62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2106F5" w14:textId="77777777">
        <w:tc>
          <w:tcPr>
            <w:tcW w:w="3510" w:type="dxa"/>
          </w:tcPr>
          <w:p w14:paraId="2119ED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7AAFE6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r>
      <w:tr w:rsidR="00DA227A" w:rsidRPr="00E93F40" w14:paraId="395E1457" w14:textId="77777777">
        <w:tc>
          <w:tcPr>
            <w:tcW w:w="3510" w:type="dxa"/>
          </w:tcPr>
          <w:p w14:paraId="1314B9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1D1B3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C471B5" w14:textId="77777777">
        <w:tc>
          <w:tcPr>
            <w:tcW w:w="3510" w:type="dxa"/>
          </w:tcPr>
          <w:p w14:paraId="693F27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36D072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8/10/3000</w:t>
            </w:r>
          </w:p>
        </w:tc>
      </w:tr>
      <w:tr w:rsidR="00DA227A" w:rsidRPr="00E93F40" w14:paraId="161748B3" w14:textId="77777777">
        <w:tc>
          <w:tcPr>
            <w:tcW w:w="3510" w:type="dxa"/>
          </w:tcPr>
          <w:p w14:paraId="0C4B20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391FD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7000-7500</w:t>
            </w:r>
          </w:p>
        </w:tc>
      </w:tr>
      <w:tr w:rsidR="00DA227A" w:rsidRPr="00E93F40" w14:paraId="2A36E919" w14:textId="77777777">
        <w:tc>
          <w:tcPr>
            <w:tcW w:w="3510" w:type="dxa"/>
          </w:tcPr>
          <w:p w14:paraId="164CA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1667E1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пулемета</w:t>
            </w:r>
          </w:p>
        </w:tc>
      </w:tr>
      <w:tr w:rsidR="00DA227A" w:rsidRPr="00E93F40" w14:paraId="00CCD5CD" w14:textId="77777777">
        <w:tc>
          <w:tcPr>
            <w:tcW w:w="3510" w:type="dxa"/>
          </w:tcPr>
          <w:p w14:paraId="17992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692663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650-750</w:t>
            </w:r>
          </w:p>
        </w:tc>
      </w:tr>
      <w:tr w:rsidR="00DA227A" w:rsidRPr="00E93F40" w14:paraId="044A164D" w14:textId="77777777">
        <w:tc>
          <w:tcPr>
            <w:tcW w:w="3510" w:type="dxa"/>
          </w:tcPr>
          <w:p w14:paraId="4D32D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335FFB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C10E99" w14:textId="77777777">
        <w:tc>
          <w:tcPr>
            <w:tcW w:w="3510" w:type="dxa"/>
          </w:tcPr>
          <w:p w14:paraId="29462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043015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1931 года</w:t>
            </w:r>
          </w:p>
        </w:tc>
      </w:tr>
      <w:tr w:rsidR="00DA227A" w:rsidRPr="00E93F40" w14:paraId="53E838CE" w14:textId="77777777">
        <w:tc>
          <w:tcPr>
            <w:tcW w:w="3510" w:type="dxa"/>
          </w:tcPr>
          <w:p w14:paraId="6059D5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15138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C71327" w14:textId="77777777">
        <w:tc>
          <w:tcPr>
            <w:tcW w:w="3510" w:type="dxa"/>
          </w:tcPr>
          <w:p w14:paraId="0ED82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590E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крайнего запоздания работ по самолету, который должен был быть выпущен 1 мая 1931 </w:t>
            </w:r>
          </w:p>
        </w:tc>
      </w:tr>
      <w:tr w:rsidR="00DA227A" w:rsidRPr="00E93F40" w14:paraId="68730799" w14:textId="77777777">
        <w:tc>
          <w:tcPr>
            <w:tcW w:w="3510" w:type="dxa"/>
          </w:tcPr>
          <w:p w14:paraId="5A36B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0195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года и вытекающего из этого устаревания технических требований, самолеты Р8-М27 и Р8-М34 в </w:t>
            </w:r>
          </w:p>
        </w:tc>
      </w:tr>
      <w:tr w:rsidR="00DA227A" w:rsidRPr="00E93F40" w14:paraId="65DB09CD" w14:textId="77777777">
        <w:tc>
          <w:tcPr>
            <w:tcW w:w="3510" w:type="dxa"/>
          </w:tcPr>
          <w:p w14:paraId="1FF76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A86F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проекте плана опытного строительства на 1932-1934 г.г. представленного в РВС - исключены.</w:t>
            </w:r>
          </w:p>
        </w:tc>
      </w:tr>
      <w:tr w:rsidR="00DA227A" w:rsidRPr="00E93F40" w14:paraId="79502AA8" w14:textId="77777777">
        <w:tc>
          <w:tcPr>
            <w:tcW w:w="3510" w:type="dxa"/>
          </w:tcPr>
          <w:p w14:paraId="1F13DF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Жемчужин.</w:t>
            </w:r>
          </w:p>
        </w:tc>
        <w:tc>
          <w:tcPr>
            <w:tcW w:w="6946" w:type="dxa"/>
          </w:tcPr>
          <w:p w14:paraId="58741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2F8984" w14:textId="77777777">
        <w:tc>
          <w:tcPr>
            <w:tcW w:w="3510" w:type="dxa"/>
          </w:tcPr>
          <w:p w14:paraId="138166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6644D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МДР3-4М17</w:t>
            </w:r>
          </w:p>
        </w:tc>
      </w:tr>
      <w:tr w:rsidR="00DA227A" w:rsidRPr="00E93F40" w14:paraId="472FFA1B" w14:textId="77777777">
        <w:tc>
          <w:tcPr>
            <w:tcW w:w="3510" w:type="dxa"/>
          </w:tcPr>
          <w:p w14:paraId="2FBB7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455774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738407" w14:textId="77777777">
        <w:tc>
          <w:tcPr>
            <w:tcW w:w="3510" w:type="dxa"/>
          </w:tcPr>
          <w:p w14:paraId="169AC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4A2D9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r>
      <w:tr w:rsidR="00DA227A" w:rsidRPr="00E93F40" w14:paraId="3D688FD7" w14:textId="77777777">
        <w:tc>
          <w:tcPr>
            <w:tcW w:w="3510" w:type="dxa"/>
          </w:tcPr>
          <w:p w14:paraId="349CDF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01448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6EFA31" w14:textId="77777777">
        <w:tc>
          <w:tcPr>
            <w:tcW w:w="3510" w:type="dxa"/>
          </w:tcPr>
          <w:p w14:paraId="6F62EE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15D7C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20/3000</w:t>
            </w:r>
          </w:p>
        </w:tc>
      </w:tr>
      <w:tr w:rsidR="00DA227A" w:rsidRPr="00E93F40" w14:paraId="12EF5AF6" w14:textId="77777777">
        <w:tc>
          <w:tcPr>
            <w:tcW w:w="3510" w:type="dxa"/>
          </w:tcPr>
          <w:p w14:paraId="4E80F0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438CF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277B1311" w14:textId="77777777">
        <w:tc>
          <w:tcPr>
            <w:tcW w:w="3510" w:type="dxa"/>
          </w:tcPr>
          <w:p w14:paraId="038149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11E55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 1 авт. Пушка, 500 кг бомб</w:t>
            </w:r>
          </w:p>
        </w:tc>
      </w:tr>
      <w:tr w:rsidR="00DA227A" w:rsidRPr="00E93F40" w14:paraId="2247F0EE" w14:textId="77777777">
        <w:tc>
          <w:tcPr>
            <w:tcW w:w="3510" w:type="dxa"/>
          </w:tcPr>
          <w:p w14:paraId="37973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3FC92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1000-1200</w:t>
            </w:r>
          </w:p>
        </w:tc>
      </w:tr>
      <w:tr w:rsidR="00DA227A" w:rsidRPr="00E93F40" w14:paraId="470940E2" w14:textId="77777777">
        <w:tc>
          <w:tcPr>
            <w:tcW w:w="3510" w:type="dxa"/>
          </w:tcPr>
          <w:p w14:paraId="3CF29C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426F6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90D5DB" w14:textId="77777777">
        <w:tc>
          <w:tcPr>
            <w:tcW w:w="3510" w:type="dxa"/>
          </w:tcPr>
          <w:p w14:paraId="490AE9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429AA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1931 года</w:t>
            </w:r>
          </w:p>
        </w:tc>
      </w:tr>
      <w:tr w:rsidR="00DA227A" w:rsidRPr="00E93F40" w14:paraId="79E878BC" w14:textId="77777777">
        <w:tc>
          <w:tcPr>
            <w:tcW w:w="3510" w:type="dxa"/>
          </w:tcPr>
          <w:p w14:paraId="6C690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3A34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сентября 1931 года</w:t>
            </w:r>
          </w:p>
        </w:tc>
      </w:tr>
      <w:tr w:rsidR="00DA227A" w:rsidRPr="00E93F40" w14:paraId="10BC28F8" w14:textId="77777777">
        <w:tc>
          <w:tcPr>
            <w:tcW w:w="3510" w:type="dxa"/>
          </w:tcPr>
          <w:p w14:paraId="666CB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2AA77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1D0891" w14:textId="77777777">
        <w:tc>
          <w:tcPr>
            <w:tcW w:w="3510" w:type="dxa"/>
          </w:tcPr>
          <w:p w14:paraId="1D7C5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748E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находится в периоде сборки в Севастополе для заводских испытаний. ЦКБ ВАО указало</w:t>
            </w:r>
          </w:p>
        </w:tc>
      </w:tr>
      <w:tr w:rsidR="00DA227A" w:rsidRPr="00E93F40" w14:paraId="1A9929DB" w14:textId="77777777">
        <w:tc>
          <w:tcPr>
            <w:tcW w:w="3510" w:type="dxa"/>
          </w:tcPr>
          <w:p w14:paraId="78DE74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9339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срок сдачи в НИИ на типовые испытания 5 февраля 1932 года, но по ходу работ на сегодняшний </w:t>
            </w:r>
          </w:p>
        </w:tc>
      </w:tr>
      <w:tr w:rsidR="00DA227A" w:rsidRPr="00E93F40" w14:paraId="2EA5900D" w14:textId="77777777">
        <w:tc>
          <w:tcPr>
            <w:tcW w:w="3510" w:type="dxa"/>
          </w:tcPr>
          <w:p w14:paraId="00E76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820D5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день самолет к 5 февраля 1932 года на типовые испытания предъявлен не будет. Вторично </w:t>
            </w:r>
          </w:p>
        </w:tc>
      </w:tr>
      <w:tr w:rsidR="00DA227A" w:rsidRPr="00E93F40" w14:paraId="06B407B1" w14:textId="77777777">
        <w:tc>
          <w:tcPr>
            <w:tcW w:w="3510" w:type="dxa"/>
          </w:tcPr>
          <w:p w14:paraId="20940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96C9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данный срок РВС сдачи на типовые испытания 10 сентября 1931 года не выдержан.</w:t>
            </w:r>
          </w:p>
        </w:tc>
      </w:tr>
      <w:tr w:rsidR="00DA227A" w:rsidRPr="00E93F40" w14:paraId="4AB4AFE9" w14:textId="77777777">
        <w:tc>
          <w:tcPr>
            <w:tcW w:w="3510" w:type="dxa"/>
          </w:tcPr>
          <w:p w14:paraId="4397D8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Волков.</w:t>
            </w:r>
          </w:p>
        </w:tc>
        <w:tc>
          <w:tcPr>
            <w:tcW w:w="6946" w:type="dxa"/>
          </w:tcPr>
          <w:p w14:paraId="334A7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B0B319" w14:textId="77777777">
        <w:tc>
          <w:tcPr>
            <w:tcW w:w="3510" w:type="dxa"/>
          </w:tcPr>
          <w:p w14:paraId="10CD5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очередь (основные типы по системе вооружения)</w:t>
            </w:r>
          </w:p>
        </w:tc>
        <w:tc>
          <w:tcPr>
            <w:tcW w:w="6946" w:type="dxa"/>
          </w:tcPr>
          <w:p w14:paraId="31E11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540592" w14:textId="77777777">
        <w:tc>
          <w:tcPr>
            <w:tcW w:w="3510" w:type="dxa"/>
          </w:tcPr>
          <w:p w14:paraId="6FD397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3690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ДИ4-КК</w:t>
            </w:r>
          </w:p>
        </w:tc>
      </w:tr>
      <w:tr w:rsidR="00DA227A" w:rsidRPr="00E93F40" w14:paraId="45FBAD60" w14:textId="77777777">
        <w:tc>
          <w:tcPr>
            <w:tcW w:w="3510" w:type="dxa"/>
          </w:tcPr>
          <w:p w14:paraId="48666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1B206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A26ECC" w14:textId="77777777">
        <w:tc>
          <w:tcPr>
            <w:tcW w:w="3510" w:type="dxa"/>
          </w:tcPr>
          <w:p w14:paraId="63370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5096F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280/5000</w:t>
            </w:r>
          </w:p>
        </w:tc>
      </w:tr>
      <w:tr w:rsidR="00DA227A" w:rsidRPr="00E93F40" w14:paraId="04D0B9E1" w14:textId="77777777">
        <w:tc>
          <w:tcPr>
            <w:tcW w:w="3510" w:type="dxa"/>
          </w:tcPr>
          <w:p w14:paraId="31816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4D9FC1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896509" w14:textId="77777777">
        <w:tc>
          <w:tcPr>
            <w:tcW w:w="3510" w:type="dxa"/>
          </w:tcPr>
          <w:p w14:paraId="5677B2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8F650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8,5/5000</w:t>
            </w:r>
          </w:p>
        </w:tc>
      </w:tr>
      <w:tr w:rsidR="00DA227A" w:rsidRPr="00E93F40" w14:paraId="6F37DFA7" w14:textId="77777777">
        <w:tc>
          <w:tcPr>
            <w:tcW w:w="3510" w:type="dxa"/>
          </w:tcPr>
          <w:p w14:paraId="2DF5E4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4D5C7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40F472C5" w14:textId="77777777">
        <w:tc>
          <w:tcPr>
            <w:tcW w:w="3510" w:type="dxa"/>
          </w:tcPr>
          <w:p w14:paraId="4D8C02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0F440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w:t>
            </w:r>
          </w:p>
        </w:tc>
      </w:tr>
      <w:tr w:rsidR="00DA227A" w:rsidRPr="00E93F40" w14:paraId="1281912F" w14:textId="77777777">
        <w:tc>
          <w:tcPr>
            <w:tcW w:w="3510" w:type="dxa"/>
          </w:tcPr>
          <w:p w14:paraId="7CE3BA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47794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450-500</w:t>
            </w:r>
          </w:p>
        </w:tc>
      </w:tr>
      <w:tr w:rsidR="00DA227A" w:rsidRPr="00E93F40" w14:paraId="11BE0AD0" w14:textId="77777777">
        <w:tc>
          <w:tcPr>
            <w:tcW w:w="3510" w:type="dxa"/>
          </w:tcPr>
          <w:p w14:paraId="0FAB62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3CEE0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8A72DC" w14:textId="77777777">
        <w:tc>
          <w:tcPr>
            <w:tcW w:w="3510" w:type="dxa"/>
          </w:tcPr>
          <w:p w14:paraId="42B19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31A70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1931 года</w:t>
            </w:r>
          </w:p>
        </w:tc>
      </w:tr>
      <w:tr w:rsidR="00DA227A" w:rsidRPr="00E93F40" w14:paraId="5EB4C290" w14:textId="77777777">
        <w:tc>
          <w:tcPr>
            <w:tcW w:w="3510" w:type="dxa"/>
          </w:tcPr>
          <w:p w14:paraId="0A654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A47C7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D45657" w14:textId="77777777">
        <w:tc>
          <w:tcPr>
            <w:tcW w:w="3510" w:type="dxa"/>
          </w:tcPr>
          <w:p w14:paraId="5798EA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07C2C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самолета закончена. Заводские испытания начнутся в 1-ой пятидневке января. В</w:t>
            </w:r>
          </w:p>
        </w:tc>
      </w:tr>
      <w:tr w:rsidR="00DA227A" w:rsidRPr="00E93F40" w14:paraId="3117738E" w14:textId="77777777">
        <w:tc>
          <w:tcPr>
            <w:tcW w:w="3510" w:type="dxa"/>
          </w:tcPr>
          <w:p w14:paraId="2B012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5D17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настоящее время происходит на аэродроме сборка и регулировка самолета.</w:t>
            </w:r>
          </w:p>
        </w:tc>
      </w:tr>
      <w:tr w:rsidR="00DA227A" w:rsidRPr="00E93F40" w14:paraId="156EC96C" w14:textId="77777777">
        <w:tc>
          <w:tcPr>
            <w:tcW w:w="3510" w:type="dxa"/>
          </w:tcPr>
          <w:p w14:paraId="6BB8E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F2EC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Опоздание представления самолета на гос. испытания против срока по плану на настоящее </w:t>
            </w:r>
          </w:p>
        </w:tc>
      </w:tr>
      <w:tr w:rsidR="00DA227A" w:rsidRPr="00E93F40" w14:paraId="37E70873" w14:textId="77777777">
        <w:tc>
          <w:tcPr>
            <w:tcW w:w="3510" w:type="dxa"/>
          </w:tcPr>
          <w:p w14:paraId="5631F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50B9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равно 4 месяцам.</w:t>
            </w:r>
          </w:p>
        </w:tc>
      </w:tr>
      <w:tr w:rsidR="00DA227A" w:rsidRPr="00E93F40" w14:paraId="0FC15D3E" w14:textId="77777777">
        <w:tc>
          <w:tcPr>
            <w:tcW w:w="3510" w:type="dxa"/>
          </w:tcPr>
          <w:p w14:paraId="353BFC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Холодов.</w:t>
            </w:r>
          </w:p>
        </w:tc>
        <w:tc>
          <w:tcPr>
            <w:tcW w:w="6946" w:type="dxa"/>
          </w:tcPr>
          <w:p w14:paraId="595AE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BEA566" w14:textId="77777777">
        <w:tc>
          <w:tcPr>
            <w:tcW w:w="3510" w:type="dxa"/>
          </w:tcPr>
          <w:p w14:paraId="0822D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3C8ED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ДИ5-ФЭД</w:t>
            </w:r>
          </w:p>
        </w:tc>
      </w:tr>
      <w:tr w:rsidR="00DA227A" w:rsidRPr="00E93F40" w14:paraId="3055CF39" w14:textId="77777777">
        <w:tc>
          <w:tcPr>
            <w:tcW w:w="3510" w:type="dxa"/>
          </w:tcPr>
          <w:p w14:paraId="02DC2A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5363A2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0981D1" w14:textId="77777777">
        <w:tc>
          <w:tcPr>
            <w:tcW w:w="3510" w:type="dxa"/>
          </w:tcPr>
          <w:p w14:paraId="66FB7C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высоте</w:t>
            </w:r>
          </w:p>
        </w:tc>
        <w:tc>
          <w:tcPr>
            <w:tcW w:w="6946" w:type="dxa"/>
          </w:tcPr>
          <w:p w14:paraId="58D59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270/3000</w:t>
            </w:r>
          </w:p>
        </w:tc>
      </w:tr>
      <w:tr w:rsidR="00DA227A" w:rsidRPr="00E93F40" w14:paraId="028669DC" w14:textId="77777777">
        <w:tc>
          <w:tcPr>
            <w:tcW w:w="3510" w:type="dxa"/>
          </w:tcPr>
          <w:p w14:paraId="28C5E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4B407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FEC08B" w14:textId="77777777">
        <w:tc>
          <w:tcPr>
            <w:tcW w:w="3510" w:type="dxa"/>
          </w:tcPr>
          <w:p w14:paraId="7997DC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51EE96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7,6/3000</w:t>
            </w:r>
          </w:p>
        </w:tc>
      </w:tr>
      <w:tr w:rsidR="00DA227A" w:rsidRPr="00E93F40" w14:paraId="2F011AFE" w14:textId="77777777">
        <w:tc>
          <w:tcPr>
            <w:tcW w:w="3510" w:type="dxa"/>
          </w:tcPr>
          <w:p w14:paraId="702D7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1B1C7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1E240401" w14:textId="77777777">
        <w:tc>
          <w:tcPr>
            <w:tcW w:w="3510" w:type="dxa"/>
          </w:tcPr>
          <w:p w14:paraId="58755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28CEBC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 1 авт. пуш.</w:t>
            </w:r>
          </w:p>
        </w:tc>
      </w:tr>
      <w:tr w:rsidR="00DA227A" w:rsidRPr="00E93F40" w14:paraId="0ECAB971" w14:textId="77777777">
        <w:tc>
          <w:tcPr>
            <w:tcW w:w="3510" w:type="dxa"/>
          </w:tcPr>
          <w:p w14:paraId="66BA56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158AF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DF2E91" w14:textId="77777777">
        <w:tc>
          <w:tcPr>
            <w:tcW w:w="3510" w:type="dxa"/>
          </w:tcPr>
          <w:p w14:paraId="1238C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287D95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4989DD" w14:textId="77777777">
        <w:tc>
          <w:tcPr>
            <w:tcW w:w="3510" w:type="dxa"/>
          </w:tcPr>
          <w:p w14:paraId="310A63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769990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1931 года</w:t>
            </w:r>
          </w:p>
        </w:tc>
      </w:tr>
      <w:tr w:rsidR="00DA227A" w:rsidRPr="00E93F40" w14:paraId="7862E332" w14:textId="77777777">
        <w:tc>
          <w:tcPr>
            <w:tcW w:w="3510" w:type="dxa"/>
          </w:tcPr>
          <w:p w14:paraId="2C3ADD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95B8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2E3613" w14:textId="77777777">
        <w:tc>
          <w:tcPr>
            <w:tcW w:w="3510" w:type="dxa"/>
          </w:tcPr>
          <w:p w14:paraId="04B2E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5F9BB2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не ведутся ввиду недоработки мотора ФЭД. Из проекта плана опытного строительства </w:t>
            </w:r>
          </w:p>
        </w:tc>
      </w:tr>
      <w:tr w:rsidR="00DA227A" w:rsidRPr="00E93F40" w14:paraId="3E997991" w14:textId="77777777">
        <w:tc>
          <w:tcPr>
            <w:tcW w:w="3510" w:type="dxa"/>
          </w:tcPr>
          <w:p w14:paraId="4EDD70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03223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1932-34 г.г., представленного в РВС самолет исключен.</w:t>
            </w:r>
          </w:p>
        </w:tc>
      </w:tr>
      <w:tr w:rsidR="00DA227A" w:rsidRPr="00E93F40" w14:paraId="76AEE49A" w14:textId="77777777">
        <w:tc>
          <w:tcPr>
            <w:tcW w:w="3510" w:type="dxa"/>
          </w:tcPr>
          <w:p w14:paraId="20D97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2F0B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ТШ1-2М34</w:t>
            </w:r>
          </w:p>
        </w:tc>
      </w:tr>
      <w:tr w:rsidR="00DA227A" w:rsidRPr="00E93F40" w14:paraId="7C5AE2DB" w14:textId="77777777">
        <w:tc>
          <w:tcPr>
            <w:tcW w:w="3510" w:type="dxa"/>
          </w:tcPr>
          <w:p w14:paraId="2E84CF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380D9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пулем., 1 авт. пушка, 800 кг бомб</w:t>
            </w:r>
          </w:p>
        </w:tc>
      </w:tr>
      <w:tr w:rsidR="00DA227A" w:rsidRPr="00E93F40" w14:paraId="58F64EF2" w14:textId="77777777">
        <w:tc>
          <w:tcPr>
            <w:tcW w:w="3510" w:type="dxa"/>
          </w:tcPr>
          <w:p w14:paraId="45BDF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235D9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r>
      <w:tr w:rsidR="00DA227A" w:rsidRPr="00E93F40" w14:paraId="0EA01B04" w14:textId="77777777">
        <w:tc>
          <w:tcPr>
            <w:tcW w:w="3510" w:type="dxa"/>
          </w:tcPr>
          <w:p w14:paraId="7C3F90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2D8CD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ADCB89" w14:textId="77777777">
        <w:tc>
          <w:tcPr>
            <w:tcW w:w="3510" w:type="dxa"/>
          </w:tcPr>
          <w:p w14:paraId="2F391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3BA0FA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r>
      <w:tr w:rsidR="00DA227A" w:rsidRPr="00E93F40" w14:paraId="58C50449" w14:textId="77777777">
        <w:tc>
          <w:tcPr>
            <w:tcW w:w="3510" w:type="dxa"/>
          </w:tcPr>
          <w:p w14:paraId="0B660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56E6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CF1EC2" w14:textId="77777777">
        <w:tc>
          <w:tcPr>
            <w:tcW w:w="3510" w:type="dxa"/>
          </w:tcPr>
          <w:p w14:paraId="194250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013E1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не ведутся. Из проекта плана опытного строительства на 1932-34 г.г., представленного в </w:t>
            </w:r>
          </w:p>
        </w:tc>
      </w:tr>
      <w:tr w:rsidR="00DA227A" w:rsidRPr="00E93F40" w14:paraId="4C483CA1" w14:textId="77777777">
        <w:tc>
          <w:tcPr>
            <w:tcW w:w="3510" w:type="dxa"/>
          </w:tcPr>
          <w:p w14:paraId="65DBD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6AF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РВС самолет исключен.</w:t>
            </w:r>
          </w:p>
        </w:tc>
      </w:tr>
      <w:tr w:rsidR="00DA227A" w:rsidRPr="00E93F40" w14:paraId="76C1F18F" w14:textId="77777777">
        <w:tc>
          <w:tcPr>
            <w:tcW w:w="3510" w:type="dxa"/>
          </w:tcPr>
          <w:p w14:paraId="0A4AC4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715F7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МТБ3-4М34 или 2М35</w:t>
            </w:r>
          </w:p>
        </w:tc>
      </w:tr>
      <w:tr w:rsidR="00DA227A" w:rsidRPr="00E93F40" w14:paraId="5D5997FA" w14:textId="77777777">
        <w:tc>
          <w:tcPr>
            <w:tcW w:w="3510" w:type="dxa"/>
          </w:tcPr>
          <w:p w14:paraId="095CE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4BF6FD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2AC5AD" w14:textId="77777777">
        <w:tc>
          <w:tcPr>
            <w:tcW w:w="3510" w:type="dxa"/>
          </w:tcPr>
          <w:p w14:paraId="51284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20AC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250/5000</w:t>
            </w:r>
          </w:p>
        </w:tc>
      </w:tr>
      <w:tr w:rsidR="00DA227A" w:rsidRPr="00E93F40" w14:paraId="7470F57B" w14:textId="77777777">
        <w:tc>
          <w:tcPr>
            <w:tcW w:w="3510" w:type="dxa"/>
          </w:tcPr>
          <w:p w14:paraId="5AEE5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04816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тяжелые пулеметы и пушки</w:t>
            </w:r>
          </w:p>
        </w:tc>
      </w:tr>
      <w:tr w:rsidR="00DA227A" w:rsidRPr="00E93F40" w14:paraId="30D9DD08" w14:textId="77777777">
        <w:tc>
          <w:tcPr>
            <w:tcW w:w="3510" w:type="dxa"/>
          </w:tcPr>
          <w:p w14:paraId="2C865F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3A06C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4E05961C" w14:textId="77777777">
        <w:tc>
          <w:tcPr>
            <w:tcW w:w="3510" w:type="dxa"/>
          </w:tcPr>
          <w:p w14:paraId="31014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180D37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23DB97" w14:textId="77777777">
        <w:tc>
          <w:tcPr>
            <w:tcW w:w="3510" w:type="dxa"/>
          </w:tcPr>
          <w:p w14:paraId="475C8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439A8D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w:t>
            </w:r>
          </w:p>
        </w:tc>
      </w:tr>
      <w:tr w:rsidR="00DA227A" w:rsidRPr="00E93F40" w14:paraId="18D91F5E" w14:textId="77777777">
        <w:tc>
          <w:tcPr>
            <w:tcW w:w="3510" w:type="dxa"/>
          </w:tcPr>
          <w:p w14:paraId="49ABE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37EF7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F31C38" w14:textId="77777777">
        <w:tc>
          <w:tcPr>
            <w:tcW w:w="3510" w:type="dxa"/>
          </w:tcPr>
          <w:p w14:paraId="5C952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619E5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предусмотрен в новом плане опытного строительства. ЦАГИ вело до сих пор научно-</w:t>
            </w:r>
          </w:p>
        </w:tc>
      </w:tr>
      <w:tr w:rsidR="00DA227A" w:rsidRPr="00E93F40" w14:paraId="4725FE3D" w14:textId="77777777">
        <w:tc>
          <w:tcPr>
            <w:tcW w:w="3510" w:type="dxa"/>
          </w:tcPr>
          <w:p w14:paraId="368E5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E8CB5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исследовательскую работу. С 1 марта 1932 года приступает к разработке конструкций.</w:t>
            </w:r>
          </w:p>
        </w:tc>
      </w:tr>
      <w:tr w:rsidR="00DA227A" w:rsidRPr="00E93F40" w14:paraId="3906412C" w14:textId="77777777">
        <w:tc>
          <w:tcPr>
            <w:tcW w:w="3510" w:type="dxa"/>
          </w:tcPr>
          <w:p w14:paraId="179742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Кудрявцев.</w:t>
            </w:r>
          </w:p>
        </w:tc>
        <w:tc>
          <w:tcPr>
            <w:tcW w:w="6946" w:type="dxa"/>
          </w:tcPr>
          <w:p w14:paraId="20DC28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F26BF9" w14:textId="77777777">
        <w:tc>
          <w:tcPr>
            <w:tcW w:w="3510" w:type="dxa"/>
          </w:tcPr>
          <w:p w14:paraId="3FFEFB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33FD27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МК1-4М34</w:t>
            </w:r>
          </w:p>
        </w:tc>
      </w:tr>
      <w:tr w:rsidR="00DA227A" w:rsidRPr="00E93F40" w14:paraId="09EDAEAC" w14:textId="77777777">
        <w:tc>
          <w:tcPr>
            <w:tcW w:w="3510" w:type="dxa"/>
          </w:tcPr>
          <w:p w14:paraId="1C24E9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4F0B9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F6BBB0" w14:textId="77777777">
        <w:tc>
          <w:tcPr>
            <w:tcW w:w="3510" w:type="dxa"/>
          </w:tcPr>
          <w:p w14:paraId="7E52C2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4803E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4C32DA5B" w14:textId="77777777">
        <w:tc>
          <w:tcPr>
            <w:tcW w:w="3510" w:type="dxa"/>
          </w:tcPr>
          <w:p w14:paraId="2F8B2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09744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C16797" w14:textId="77777777">
        <w:tc>
          <w:tcPr>
            <w:tcW w:w="3510" w:type="dxa"/>
          </w:tcPr>
          <w:p w14:paraId="55EFBD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69546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EA0D39" w14:textId="77777777">
        <w:tc>
          <w:tcPr>
            <w:tcW w:w="3510" w:type="dxa"/>
          </w:tcPr>
          <w:p w14:paraId="47AFF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45C8E4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65E35AA3" w14:textId="77777777">
        <w:tc>
          <w:tcPr>
            <w:tcW w:w="3510" w:type="dxa"/>
          </w:tcPr>
          <w:p w14:paraId="1C0A1B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4AD19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авто-пушки РМ. 2 сп. Установки ДАК. Макс. Емкость бомб 6200 кг или торпед 5260 кг или мин </w:t>
            </w:r>
          </w:p>
        </w:tc>
      </w:tr>
      <w:tr w:rsidR="00DA227A" w:rsidRPr="00E93F40" w14:paraId="0731540D" w14:textId="77777777">
        <w:tc>
          <w:tcPr>
            <w:tcW w:w="3510" w:type="dxa"/>
          </w:tcPr>
          <w:p w14:paraId="5E190A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1A3E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загражден. 6х1000. Будет рассматриваться и в случае утверждения разрабатываться вариант </w:t>
            </w:r>
          </w:p>
        </w:tc>
      </w:tr>
      <w:tr w:rsidR="00DA227A" w:rsidRPr="00E93F40" w14:paraId="5B4B5EE0" w14:textId="77777777">
        <w:tc>
          <w:tcPr>
            <w:tcW w:w="3510" w:type="dxa"/>
          </w:tcPr>
          <w:p w14:paraId="0A7226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84B49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подвески торпедного катера весом 5000 кг.</w:t>
            </w:r>
          </w:p>
        </w:tc>
      </w:tr>
      <w:tr w:rsidR="00DA227A" w:rsidRPr="00E93F40" w14:paraId="40B5527F" w14:textId="77777777">
        <w:tc>
          <w:tcPr>
            <w:tcW w:w="3510" w:type="dxa"/>
          </w:tcPr>
          <w:p w14:paraId="75839B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5501C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1500 при перегруз. дальность 2400</w:t>
            </w:r>
          </w:p>
        </w:tc>
      </w:tr>
      <w:tr w:rsidR="00DA227A" w:rsidRPr="00E93F40" w14:paraId="659B78BF" w14:textId="77777777">
        <w:tc>
          <w:tcPr>
            <w:tcW w:w="3510" w:type="dxa"/>
          </w:tcPr>
          <w:p w14:paraId="072AB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0CA9B5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679D43" w14:textId="77777777">
        <w:tc>
          <w:tcPr>
            <w:tcW w:w="3510" w:type="dxa"/>
          </w:tcPr>
          <w:p w14:paraId="18741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3832E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сентябрь 1932 года</w:t>
            </w:r>
          </w:p>
        </w:tc>
      </w:tr>
      <w:tr w:rsidR="00DA227A" w:rsidRPr="00E93F40" w14:paraId="6C106E24" w14:textId="77777777">
        <w:tc>
          <w:tcPr>
            <w:tcW w:w="3510" w:type="dxa"/>
          </w:tcPr>
          <w:p w14:paraId="6608C9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A24A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898616" w14:textId="77777777">
        <w:tc>
          <w:tcPr>
            <w:tcW w:w="3510" w:type="dxa"/>
          </w:tcPr>
          <w:p w14:paraId="4D5E5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января 1932 года </w:t>
            </w:r>
          </w:p>
        </w:tc>
        <w:tc>
          <w:tcPr>
            <w:tcW w:w="6946" w:type="dxa"/>
          </w:tcPr>
          <w:p w14:paraId="381A2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Консольные части находятся в производстве. Центроплан конструктивно разработан. </w:t>
            </w:r>
          </w:p>
        </w:tc>
      </w:tr>
      <w:tr w:rsidR="00DA227A" w:rsidRPr="00E93F40" w14:paraId="4A4D6829" w14:textId="77777777">
        <w:tc>
          <w:tcPr>
            <w:tcW w:w="3510" w:type="dxa"/>
          </w:tcPr>
          <w:p w14:paraId="5CE9F1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5F3F0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Заканчивается в производстве средний отсек лодки для статиспытаний. Конструкция лодок </w:t>
            </w:r>
          </w:p>
        </w:tc>
      </w:tr>
      <w:tr w:rsidR="00DA227A" w:rsidRPr="00E93F40" w14:paraId="59C08D95" w14:textId="77777777">
        <w:tc>
          <w:tcPr>
            <w:tcW w:w="3510" w:type="dxa"/>
          </w:tcPr>
          <w:p w14:paraId="16A1B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5272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разработана, но ввиду изменения данных вооружения из-за замены легких пулеметов на пушки, </w:t>
            </w:r>
          </w:p>
        </w:tc>
      </w:tr>
      <w:tr w:rsidR="00DA227A" w:rsidRPr="00E93F40" w14:paraId="59C2901B" w14:textId="77777777">
        <w:tc>
          <w:tcPr>
            <w:tcW w:w="3510" w:type="dxa"/>
          </w:tcPr>
          <w:p w14:paraId="4B048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79AD3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конструкция несколько изменится. Мотоустановки схематично разработаны. Схематично </w:t>
            </w:r>
          </w:p>
        </w:tc>
      </w:tr>
      <w:tr w:rsidR="00DA227A" w:rsidRPr="00E93F40" w14:paraId="26CA21AE" w14:textId="77777777">
        <w:tc>
          <w:tcPr>
            <w:tcW w:w="3510" w:type="dxa"/>
          </w:tcPr>
          <w:p w14:paraId="181F52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4B82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 вариант самолета с опущенным на 400 мл крылом внутри лодки и втянутым в </w:t>
            </w:r>
          </w:p>
        </w:tc>
      </w:tr>
      <w:tr w:rsidR="00DA227A" w:rsidRPr="00E93F40" w14:paraId="3DDE324A" w14:textId="77777777">
        <w:tc>
          <w:tcPr>
            <w:tcW w:w="3510" w:type="dxa"/>
          </w:tcPr>
          <w:p w14:paraId="337AD6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A8C2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центроплан лимузином. Продувки и протаски в гидроканале закончены. Темп работ по самолету </w:t>
            </w:r>
          </w:p>
        </w:tc>
      </w:tr>
      <w:tr w:rsidR="00DA227A" w:rsidRPr="00E93F40" w14:paraId="34CEC12E" w14:textId="77777777">
        <w:tc>
          <w:tcPr>
            <w:tcW w:w="3510" w:type="dxa"/>
          </w:tcPr>
          <w:p w14:paraId="103C2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DF91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резко замедленный. Организационная неразбериха (слияние ЦКБ и ЦАГИ), изменение сроков </w:t>
            </w:r>
          </w:p>
        </w:tc>
      </w:tr>
      <w:tr w:rsidR="00DA227A" w:rsidRPr="00E93F40" w14:paraId="67B856E8" w14:textId="77777777">
        <w:tc>
          <w:tcPr>
            <w:tcW w:w="3510" w:type="dxa"/>
          </w:tcPr>
          <w:p w14:paraId="7AD5CB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6F31D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подачи на гос. испытания (был срок 1 сентября 1932 года, а затем дан 1 января 1933 года), </w:t>
            </w:r>
          </w:p>
        </w:tc>
      </w:tr>
      <w:tr w:rsidR="00DA227A" w:rsidRPr="00E93F40" w14:paraId="299964AC" w14:textId="77777777">
        <w:tc>
          <w:tcPr>
            <w:tcW w:w="3510" w:type="dxa"/>
          </w:tcPr>
          <w:p w14:paraId="25EB0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3BFA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изменений вооружения, задержка техтребований - затормозило развертывание работ по МК1.</w:t>
            </w:r>
          </w:p>
        </w:tc>
      </w:tr>
      <w:tr w:rsidR="00DA227A" w:rsidRPr="00E93F40" w14:paraId="186F4641" w14:textId="77777777">
        <w:tc>
          <w:tcPr>
            <w:tcW w:w="3510" w:type="dxa"/>
          </w:tcPr>
          <w:p w14:paraId="7CB7E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62DDC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 нажим на ВАО для окончания работ в срок.</w:t>
            </w:r>
          </w:p>
        </w:tc>
      </w:tr>
      <w:tr w:rsidR="00DA227A" w:rsidRPr="00E93F40" w14:paraId="13E4AD80" w14:textId="77777777">
        <w:tc>
          <w:tcPr>
            <w:tcW w:w="3510" w:type="dxa"/>
          </w:tcPr>
          <w:p w14:paraId="7FE6E5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 Кудрявцев.</w:t>
            </w:r>
          </w:p>
        </w:tc>
        <w:tc>
          <w:tcPr>
            <w:tcW w:w="6946" w:type="dxa"/>
          </w:tcPr>
          <w:p w14:paraId="58035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9C6E5C" w14:textId="77777777">
        <w:tc>
          <w:tcPr>
            <w:tcW w:w="3510" w:type="dxa"/>
          </w:tcPr>
          <w:p w14:paraId="46E0B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 конструкции</w:t>
            </w:r>
          </w:p>
        </w:tc>
        <w:tc>
          <w:tcPr>
            <w:tcW w:w="6946" w:type="dxa"/>
          </w:tcPr>
          <w:p w14:paraId="34E24C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1E5274" w14:textId="77777777">
        <w:tc>
          <w:tcPr>
            <w:tcW w:w="3510" w:type="dxa"/>
          </w:tcPr>
          <w:p w14:paraId="5442A6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1BF29A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ВС1-2М26 (Р9-2М26)</w:t>
            </w:r>
          </w:p>
        </w:tc>
      </w:tr>
      <w:tr w:rsidR="00DA227A" w:rsidRPr="00E93F40" w14:paraId="2B9C85C1" w14:textId="77777777">
        <w:tc>
          <w:tcPr>
            <w:tcW w:w="3510" w:type="dxa"/>
          </w:tcPr>
          <w:p w14:paraId="374E15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498FC5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ACE063" w14:textId="77777777">
        <w:tc>
          <w:tcPr>
            <w:tcW w:w="3510" w:type="dxa"/>
          </w:tcPr>
          <w:p w14:paraId="2EC40A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31D9F5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r>
      <w:tr w:rsidR="00DA227A" w:rsidRPr="00E93F40" w14:paraId="5615883D" w14:textId="77777777">
        <w:tc>
          <w:tcPr>
            <w:tcW w:w="3510" w:type="dxa"/>
          </w:tcPr>
          <w:p w14:paraId="3028E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2D1D3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0BDD09" w14:textId="77777777">
        <w:tc>
          <w:tcPr>
            <w:tcW w:w="3510" w:type="dxa"/>
          </w:tcPr>
          <w:p w14:paraId="13186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2B1094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12/3000</w:t>
            </w:r>
          </w:p>
        </w:tc>
      </w:tr>
      <w:tr w:rsidR="00DA227A" w:rsidRPr="00E93F40" w14:paraId="3DCDE896" w14:textId="77777777">
        <w:tc>
          <w:tcPr>
            <w:tcW w:w="3510" w:type="dxa"/>
          </w:tcPr>
          <w:p w14:paraId="002B6B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1CD54B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EB1F3D" w14:textId="77777777">
        <w:tc>
          <w:tcPr>
            <w:tcW w:w="3510" w:type="dxa"/>
          </w:tcPr>
          <w:p w14:paraId="1F609A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58153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пулемета</w:t>
            </w:r>
          </w:p>
        </w:tc>
      </w:tr>
      <w:tr w:rsidR="00DA227A" w:rsidRPr="00E93F40" w14:paraId="69CAD604" w14:textId="77777777">
        <w:tc>
          <w:tcPr>
            <w:tcW w:w="3510" w:type="dxa"/>
          </w:tcPr>
          <w:p w14:paraId="741A2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2B25F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час. На мощн. 0,9 от номинала</w:t>
            </w:r>
          </w:p>
        </w:tc>
      </w:tr>
      <w:tr w:rsidR="00DA227A" w:rsidRPr="00E93F40" w14:paraId="0CD892F1" w14:textId="77777777">
        <w:tc>
          <w:tcPr>
            <w:tcW w:w="3510" w:type="dxa"/>
          </w:tcPr>
          <w:p w14:paraId="258138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69696F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AF8B54" w14:textId="77777777">
        <w:tc>
          <w:tcPr>
            <w:tcW w:w="3510" w:type="dxa"/>
          </w:tcPr>
          <w:p w14:paraId="6B89C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20B60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307AA1FD" w14:textId="77777777">
        <w:tc>
          <w:tcPr>
            <w:tcW w:w="3510" w:type="dxa"/>
          </w:tcPr>
          <w:p w14:paraId="4680D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7DC10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3DB53B" w14:textId="77777777">
        <w:tc>
          <w:tcPr>
            <w:tcW w:w="3510" w:type="dxa"/>
          </w:tcPr>
          <w:p w14:paraId="6BA528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A0BA1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самолета ВАО приостановило, не начиная постройки.</w:t>
            </w:r>
          </w:p>
        </w:tc>
      </w:tr>
      <w:tr w:rsidR="00DA227A" w:rsidRPr="00E93F40" w14:paraId="3CDF465D" w14:textId="77777777">
        <w:tc>
          <w:tcPr>
            <w:tcW w:w="3510" w:type="dxa"/>
          </w:tcPr>
          <w:p w14:paraId="395E8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B606A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проекте плана опытного строительства на 1932-34 г.г., представленном в РВС, самолет </w:t>
            </w:r>
          </w:p>
        </w:tc>
      </w:tr>
      <w:tr w:rsidR="00DA227A" w:rsidRPr="00E93F40" w14:paraId="3C0C54D1" w14:textId="77777777">
        <w:tc>
          <w:tcPr>
            <w:tcW w:w="3510" w:type="dxa"/>
          </w:tcPr>
          <w:p w14:paraId="5C9B40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AFF3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ВС1-2М26 заменен самолетом ВС2-М52 с повышением его летно-тактических данных.</w:t>
            </w:r>
          </w:p>
        </w:tc>
      </w:tr>
      <w:tr w:rsidR="00DA227A" w:rsidRPr="00E93F40" w14:paraId="52FE4547" w14:textId="77777777">
        <w:tc>
          <w:tcPr>
            <w:tcW w:w="3510" w:type="dxa"/>
          </w:tcPr>
          <w:p w14:paraId="401EA9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 Жемчужин.</w:t>
            </w:r>
          </w:p>
        </w:tc>
        <w:tc>
          <w:tcPr>
            <w:tcW w:w="6946" w:type="dxa"/>
          </w:tcPr>
          <w:p w14:paraId="734FA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DCB487" w14:textId="77777777">
        <w:tc>
          <w:tcPr>
            <w:tcW w:w="3510" w:type="dxa"/>
          </w:tcPr>
          <w:p w14:paraId="7FB488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4BF63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ТШ2-М27 (ТШ2-М17)</w:t>
            </w:r>
          </w:p>
        </w:tc>
      </w:tr>
      <w:tr w:rsidR="00DA227A" w:rsidRPr="00E93F40" w14:paraId="4C9BBC7F" w14:textId="77777777">
        <w:tc>
          <w:tcPr>
            <w:tcW w:w="3510" w:type="dxa"/>
          </w:tcPr>
          <w:p w14:paraId="11068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422CD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D86FFC" w14:textId="77777777">
        <w:tc>
          <w:tcPr>
            <w:tcW w:w="3510" w:type="dxa"/>
          </w:tcPr>
          <w:p w14:paraId="0D9B39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6E90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00D3CB9B" w14:textId="77777777">
        <w:tc>
          <w:tcPr>
            <w:tcW w:w="3510" w:type="dxa"/>
          </w:tcPr>
          <w:p w14:paraId="5B4CCF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2CC0F0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0C8432" w14:textId="77777777">
        <w:tc>
          <w:tcPr>
            <w:tcW w:w="3510" w:type="dxa"/>
          </w:tcPr>
          <w:p w14:paraId="5836B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6EB1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11,6/3000</w:t>
            </w:r>
          </w:p>
        </w:tc>
      </w:tr>
      <w:tr w:rsidR="00DA227A" w:rsidRPr="00E93F40" w14:paraId="04FA5877" w14:textId="77777777">
        <w:tc>
          <w:tcPr>
            <w:tcW w:w="3510" w:type="dxa"/>
          </w:tcPr>
          <w:p w14:paraId="52383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52223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5860</w:t>
            </w:r>
          </w:p>
        </w:tc>
      </w:tr>
      <w:tr w:rsidR="00DA227A" w:rsidRPr="00E93F40" w14:paraId="7EB36002" w14:textId="77777777">
        <w:tc>
          <w:tcPr>
            <w:tcW w:w="3510" w:type="dxa"/>
          </w:tcPr>
          <w:p w14:paraId="13208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633837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пулемет.</w:t>
            </w:r>
          </w:p>
        </w:tc>
      </w:tr>
      <w:tr w:rsidR="00DA227A" w:rsidRPr="00E93F40" w14:paraId="394B70A3" w14:textId="77777777">
        <w:tc>
          <w:tcPr>
            <w:tcW w:w="3510" w:type="dxa"/>
          </w:tcPr>
          <w:p w14:paraId="42771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6F0F4E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392B2FD" w14:textId="77777777">
        <w:tc>
          <w:tcPr>
            <w:tcW w:w="3510" w:type="dxa"/>
          </w:tcPr>
          <w:p w14:paraId="1E2CF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Время предъявления на</w:t>
            </w:r>
          </w:p>
        </w:tc>
        <w:tc>
          <w:tcPr>
            <w:tcW w:w="6946" w:type="dxa"/>
          </w:tcPr>
          <w:p w14:paraId="3D6DA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905234" w14:textId="77777777">
        <w:tc>
          <w:tcPr>
            <w:tcW w:w="3510" w:type="dxa"/>
          </w:tcPr>
          <w:p w14:paraId="1DE973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20018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1930 года</w:t>
            </w:r>
          </w:p>
        </w:tc>
      </w:tr>
      <w:tr w:rsidR="00DA227A" w:rsidRPr="00E93F40" w14:paraId="1A548F6D" w14:textId="77777777">
        <w:tc>
          <w:tcPr>
            <w:tcW w:w="3510" w:type="dxa"/>
          </w:tcPr>
          <w:p w14:paraId="3CAE7F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D6FEF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C4BFF9" w14:textId="77777777">
        <w:tc>
          <w:tcPr>
            <w:tcW w:w="3510" w:type="dxa"/>
          </w:tcPr>
          <w:p w14:paraId="390EF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0DF7C1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решения отказаться от серийной постройки моторов М27 начальником ВВС принято </w:t>
            </w:r>
          </w:p>
        </w:tc>
      </w:tr>
      <w:tr w:rsidR="00DA227A" w:rsidRPr="00E93F40" w14:paraId="17B55275" w14:textId="77777777">
        <w:tc>
          <w:tcPr>
            <w:tcW w:w="3510" w:type="dxa"/>
          </w:tcPr>
          <w:p w14:paraId="3B05A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4151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решение впредь до замены на самолете мотора М17 мотором М34 остановиться на постройке </w:t>
            </w:r>
          </w:p>
        </w:tc>
      </w:tr>
      <w:tr w:rsidR="00DA227A" w:rsidRPr="00E93F40" w14:paraId="6646ED5B" w14:textId="77777777">
        <w:tc>
          <w:tcPr>
            <w:tcW w:w="3510" w:type="dxa"/>
          </w:tcPr>
          <w:p w14:paraId="22290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B4FF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серии ТШ2-М17. Образцовый (для серии) самолет ТШ2-М17 ВАО обязалось представить на </w:t>
            </w:r>
          </w:p>
        </w:tc>
      </w:tr>
      <w:tr w:rsidR="00DA227A" w:rsidRPr="00E93F40" w14:paraId="4A1BCC72" w14:textId="77777777">
        <w:tc>
          <w:tcPr>
            <w:tcW w:w="3510" w:type="dxa"/>
          </w:tcPr>
          <w:p w14:paraId="4A0C9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07D83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 феврале 1932 года.</w:t>
            </w:r>
          </w:p>
        </w:tc>
      </w:tr>
      <w:tr w:rsidR="00DA227A" w:rsidRPr="00E93F40" w14:paraId="7F6402C9" w14:textId="77777777">
        <w:tc>
          <w:tcPr>
            <w:tcW w:w="3510" w:type="dxa"/>
          </w:tcPr>
          <w:p w14:paraId="277F14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Жемчужин.</w:t>
            </w:r>
          </w:p>
        </w:tc>
        <w:tc>
          <w:tcPr>
            <w:tcW w:w="6946" w:type="dxa"/>
          </w:tcPr>
          <w:p w14:paraId="51387E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15A78F4" w14:textId="77777777">
        <w:tc>
          <w:tcPr>
            <w:tcW w:w="3510" w:type="dxa"/>
          </w:tcPr>
          <w:p w14:paraId="3ACBD4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38989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И12-2ЮVI</w:t>
            </w:r>
          </w:p>
        </w:tc>
      </w:tr>
      <w:tr w:rsidR="00DA227A" w:rsidRPr="00E93F40" w14:paraId="2A94680B" w14:textId="77777777">
        <w:tc>
          <w:tcPr>
            <w:tcW w:w="3510" w:type="dxa"/>
          </w:tcPr>
          <w:p w14:paraId="16DF04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04AE37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0754D1" w14:textId="77777777">
        <w:tc>
          <w:tcPr>
            <w:tcW w:w="3510" w:type="dxa"/>
          </w:tcPr>
          <w:p w14:paraId="1A684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2D175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r>
      <w:tr w:rsidR="00DA227A" w:rsidRPr="00E93F40" w14:paraId="5424BB47" w14:textId="77777777">
        <w:tc>
          <w:tcPr>
            <w:tcW w:w="3510" w:type="dxa"/>
          </w:tcPr>
          <w:p w14:paraId="7B4DB9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6FD83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81AE93" w14:textId="77777777">
        <w:tc>
          <w:tcPr>
            <w:tcW w:w="3510" w:type="dxa"/>
          </w:tcPr>
          <w:p w14:paraId="20316F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237D50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10/5000</w:t>
            </w:r>
          </w:p>
        </w:tc>
      </w:tr>
      <w:tr w:rsidR="00DA227A" w:rsidRPr="00E93F40" w14:paraId="7BC8DBFC" w14:textId="77777777">
        <w:tc>
          <w:tcPr>
            <w:tcW w:w="3510" w:type="dxa"/>
          </w:tcPr>
          <w:p w14:paraId="1F12F1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34BE1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BA5FB5" w14:textId="77777777">
        <w:tc>
          <w:tcPr>
            <w:tcW w:w="3510" w:type="dxa"/>
          </w:tcPr>
          <w:p w14:paraId="63AC4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6379B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 ДРП</w:t>
            </w:r>
          </w:p>
        </w:tc>
      </w:tr>
      <w:tr w:rsidR="00DA227A" w:rsidRPr="00E93F40" w14:paraId="71DC6E49" w14:textId="77777777">
        <w:tc>
          <w:tcPr>
            <w:tcW w:w="3510" w:type="dxa"/>
          </w:tcPr>
          <w:p w14:paraId="5EF688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32EE0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DFCA60" w14:textId="77777777">
        <w:tc>
          <w:tcPr>
            <w:tcW w:w="3510" w:type="dxa"/>
          </w:tcPr>
          <w:p w14:paraId="307FC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31BB27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8D76CE" w14:textId="77777777">
        <w:tc>
          <w:tcPr>
            <w:tcW w:w="3510" w:type="dxa"/>
          </w:tcPr>
          <w:p w14:paraId="6B63CC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6EA61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1931 года</w:t>
            </w:r>
          </w:p>
        </w:tc>
      </w:tr>
      <w:tr w:rsidR="00DA227A" w:rsidRPr="00E93F40" w14:paraId="446826C2" w14:textId="77777777">
        <w:tc>
          <w:tcPr>
            <w:tcW w:w="3510" w:type="dxa"/>
          </w:tcPr>
          <w:p w14:paraId="7213B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8BB4C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54CFA2" w14:textId="77777777">
        <w:tc>
          <w:tcPr>
            <w:tcW w:w="3510" w:type="dxa"/>
          </w:tcPr>
          <w:p w14:paraId="6AA3C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8A22A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истекший период ЦКБ ЦАГИ проводило заводские испытания самолета. Устранение </w:t>
            </w:r>
          </w:p>
        </w:tc>
      </w:tr>
      <w:tr w:rsidR="00DA227A" w:rsidRPr="00E93F40" w14:paraId="2EEBA757" w14:textId="77777777">
        <w:tc>
          <w:tcPr>
            <w:tcW w:w="3510" w:type="dxa"/>
          </w:tcPr>
          <w:p w14:paraId="00AE73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8D6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дефектов, обнаруженных при полетах будет закончено к 5 января 1932 года. Стрельба из пушек </w:t>
            </w:r>
          </w:p>
        </w:tc>
      </w:tr>
      <w:tr w:rsidR="00DA227A" w:rsidRPr="00E93F40" w14:paraId="6DD2F14D" w14:textId="77777777">
        <w:tc>
          <w:tcPr>
            <w:tcW w:w="3510" w:type="dxa"/>
          </w:tcPr>
          <w:p w14:paraId="217F8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5072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ДРП на земле показала неудовлетворительную работу механизмов перезаряжания. Последнее </w:t>
            </w:r>
          </w:p>
        </w:tc>
      </w:tr>
      <w:tr w:rsidR="00DA227A" w:rsidRPr="00E93F40" w14:paraId="1693A9A1" w14:textId="77777777">
        <w:tc>
          <w:tcPr>
            <w:tcW w:w="3510" w:type="dxa"/>
          </w:tcPr>
          <w:p w14:paraId="507FF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8C19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задерживает предъявление самолета на гос. испытания, которые ожидаются в феврале.</w:t>
            </w:r>
          </w:p>
        </w:tc>
      </w:tr>
      <w:tr w:rsidR="00DA227A" w:rsidRPr="00E93F40" w14:paraId="3161FC96" w14:textId="77777777">
        <w:tc>
          <w:tcPr>
            <w:tcW w:w="3510" w:type="dxa"/>
          </w:tcPr>
          <w:p w14:paraId="39DF34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 Холодов.</w:t>
            </w:r>
          </w:p>
        </w:tc>
        <w:tc>
          <w:tcPr>
            <w:tcW w:w="6946" w:type="dxa"/>
          </w:tcPr>
          <w:p w14:paraId="42E6F5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F6E179" w14:textId="77777777">
        <w:tc>
          <w:tcPr>
            <w:tcW w:w="3510" w:type="dxa"/>
          </w:tcPr>
          <w:p w14:paraId="1723E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6E908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И11-М41 (электр.)</w:t>
            </w:r>
          </w:p>
        </w:tc>
      </w:tr>
      <w:tr w:rsidR="00DA227A" w:rsidRPr="00E93F40" w14:paraId="7BDD584C" w14:textId="77777777">
        <w:tc>
          <w:tcPr>
            <w:tcW w:w="3510" w:type="dxa"/>
          </w:tcPr>
          <w:p w14:paraId="4E34B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ведутся.</w:t>
            </w:r>
          </w:p>
        </w:tc>
        <w:tc>
          <w:tcPr>
            <w:tcW w:w="6946" w:type="dxa"/>
          </w:tcPr>
          <w:p w14:paraId="588831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7DC275" w14:textId="77777777">
        <w:tc>
          <w:tcPr>
            <w:tcW w:w="3510" w:type="dxa"/>
          </w:tcPr>
          <w:p w14:paraId="75914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617C8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 с разрезными крыльями</w:t>
            </w:r>
          </w:p>
        </w:tc>
      </w:tr>
      <w:tr w:rsidR="00DA227A" w:rsidRPr="00E93F40" w14:paraId="2C5F53C1" w14:textId="77777777">
        <w:tc>
          <w:tcPr>
            <w:tcW w:w="3510" w:type="dxa"/>
          </w:tcPr>
          <w:p w14:paraId="2D99C0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E76B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38AE84" w14:textId="77777777">
        <w:tc>
          <w:tcPr>
            <w:tcW w:w="3510" w:type="dxa"/>
          </w:tcPr>
          <w:p w14:paraId="601CE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FB2AA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постройкой закончен. В последней декаде декабря начаты заводские испытания, </w:t>
            </w:r>
          </w:p>
        </w:tc>
      </w:tr>
      <w:tr w:rsidR="00DA227A" w:rsidRPr="00E93F40" w14:paraId="133E7781" w14:textId="77777777">
        <w:tc>
          <w:tcPr>
            <w:tcW w:w="3510" w:type="dxa"/>
          </w:tcPr>
          <w:p w14:paraId="5D8BA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1FA8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которые на настоящее число показали недостаточность элеронов, которые должны будут </w:t>
            </w:r>
          </w:p>
        </w:tc>
      </w:tr>
      <w:tr w:rsidR="00DA227A" w:rsidRPr="00E93F40" w14:paraId="739B1479" w14:textId="77777777">
        <w:tc>
          <w:tcPr>
            <w:tcW w:w="3510" w:type="dxa"/>
          </w:tcPr>
          <w:p w14:paraId="5E7B5D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CCC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переделываться.</w:t>
            </w:r>
          </w:p>
        </w:tc>
      </w:tr>
      <w:tr w:rsidR="00DA227A" w:rsidRPr="00E93F40" w14:paraId="547D752B" w14:textId="77777777">
        <w:tc>
          <w:tcPr>
            <w:tcW w:w="3510" w:type="dxa"/>
          </w:tcPr>
          <w:p w14:paraId="1F6D6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Жемчужин.</w:t>
            </w:r>
          </w:p>
        </w:tc>
        <w:tc>
          <w:tcPr>
            <w:tcW w:w="6946" w:type="dxa"/>
          </w:tcPr>
          <w:p w14:paraId="43D81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57F950" w14:textId="77777777">
        <w:tc>
          <w:tcPr>
            <w:tcW w:w="3510" w:type="dxa"/>
          </w:tcPr>
          <w:p w14:paraId="6C04D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109A4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И5-М22</w:t>
            </w:r>
          </w:p>
        </w:tc>
      </w:tr>
      <w:tr w:rsidR="00DA227A" w:rsidRPr="00E93F40" w14:paraId="1615E029" w14:textId="77777777">
        <w:tc>
          <w:tcPr>
            <w:tcW w:w="3510" w:type="dxa"/>
          </w:tcPr>
          <w:p w14:paraId="6C042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75F01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585673" w14:textId="77777777">
        <w:tc>
          <w:tcPr>
            <w:tcW w:w="3510" w:type="dxa"/>
          </w:tcPr>
          <w:p w14:paraId="604553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5EAC76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262,5/0*</w:t>
            </w:r>
          </w:p>
        </w:tc>
      </w:tr>
      <w:tr w:rsidR="00DA227A" w:rsidRPr="00E93F40" w14:paraId="449C90C9" w14:textId="77777777">
        <w:tc>
          <w:tcPr>
            <w:tcW w:w="3510" w:type="dxa"/>
          </w:tcPr>
          <w:p w14:paraId="6CF93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D976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245/5000</w:t>
            </w:r>
          </w:p>
        </w:tc>
      </w:tr>
      <w:tr w:rsidR="00DA227A" w:rsidRPr="00E93F40" w14:paraId="53473A61" w14:textId="77777777">
        <w:tc>
          <w:tcPr>
            <w:tcW w:w="3510" w:type="dxa"/>
          </w:tcPr>
          <w:p w14:paraId="456B5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4132C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0D985C" w14:textId="77777777">
        <w:tc>
          <w:tcPr>
            <w:tcW w:w="3510" w:type="dxa"/>
          </w:tcPr>
          <w:p w14:paraId="6E977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2C119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9,6-9,8*/5000</w:t>
            </w:r>
          </w:p>
        </w:tc>
      </w:tr>
      <w:tr w:rsidR="00DA227A" w:rsidRPr="00E93F40" w14:paraId="1861D466" w14:textId="77777777">
        <w:tc>
          <w:tcPr>
            <w:tcW w:w="3510" w:type="dxa"/>
          </w:tcPr>
          <w:p w14:paraId="759AB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4BA1C7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8120*</w:t>
            </w:r>
          </w:p>
        </w:tc>
      </w:tr>
      <w:tr w:rsidR="00DA227A" w:rsidRPr="00E93F40" w14:paraId="02D4EED2" w14:textId="77777777">
        <w:tc>
          <w:tcPr>
            <w:tcW w:w="3510" w:type="dxa"/>
          </w:tcPr>
          <w:p w14:paraId="7C1E0D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7F87C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Серийный самолет</w:t>
            </w:r>
          </w:p>
        </w:tc>
      </w:tr>
      <w:tr w:rsidR="00DA227A" w:rsidRPr="00E93F40" w14:paraId="225DF0EF" w14:textId="77777777">
        <w:tc>
          <w:tcPr>
            <w:tcW w:w="3510" w:type="dxa"/>
          </w:tcPr>
          <w:p w14:paraId="3DDA9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05016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пулем.</w:t>
            </w:r>
          </w:p>
        </w:tc>
      </w:tr>
      <w:tr w:rsidR="00DA227A" w:rsidRPr="00E93F40" w14:paraId="5B041362" w14:textId="77777777">
        <w:tc>
          <w:tcPr>
            <w:tcW w:w="3510" w:type="dxa"/>
          </w:tcPr>
          <w:p w14:paraId="08F0B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16FF4B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57DBEEC9" w14:textId="77777777">
        <w:tc>
          <w:tcPr>
            <w:tcW w:w="3510" w:type="dxa"/>
          </w:tcPr>
          <w:p w14:paraId="46687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30E4E2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914383" w14:textId="77777777">
        <w:tc>
          <w:tcPr>
            <w:tcW w:w="3510" w:type="dxa"/>
          </w:tcPr>
          <w:p w14:paraId="2B648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4B506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кв. 1931 года</w:t>
            </w:r>
          </w:p>
        </w:tc>
      </w:tr>
      <w:tr w:rsidR="00DA227A" w:rsidRPr="00E93F40" w14:paraId="6212C5A8" w14:textId="77777777">
        <w:tc>
          <w:tcPr>
            <w:tcW w:w="3510" w:type="dxa"/>
          </w:tcPr>
          <w:p w14:paraId="4AD7E3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7513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EFB4F3" w14:textId="77777777">
        <w:tc>
          <w:tcPr>
            <w:tcW w:w="3510" w:type="dxa"/>
          </w:tcPr>
          <w:p w14:paraId="05359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3F63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мотора М15.</w:t>
            </w:r>
          </w:p>
        </w:tc>
      </w:tr>
      <w:tr w:rsidR="00DA227A" w:rsidRPr="00E93F40" w14:paraId="587AF84B" w14:textId="77777777">
        <w:tc>
          <w:tcPr>
            <w:tcW w:w="3510" w:type="dxa"/>
          </w:tcPr>
          <w:p w14:paraId="51FD9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8E87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Представленный в НИИ ВВС заводом N 39 самолет И5-М15 (образец для серии) в первый полет </w:t>
            </w:r>
          </w:p>
        </w:tc>
      </w:tr>
      <w:tr w:rsidR="00DA227A" w:rsidRPr="00E93F40" w14:paraId="5F265B7D" w14:textId="77777777">
        <w:tc>
          <w:tcPr>
            <w:tcW w:w="3510" w:type="dxa"/>
          </w:tcPr>
          <w:p w14:paraId="00944B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4265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разбит при вынужденной посадке, вызванной остановкой мотора на малой высоте. Последняя </w:t>
            </w:r>
          </w:p>
        </w:tc>
      </w:tr>
      <w:tr w:rsidR="00DA227A" w:rsidRPr="00E93F40" w14:paraId="785A90FE" w14:textId="77777777">
        <w:tc>
          <w:tcPr>
            <w:tcW w:w="3510" w:type="dxa"/>
          </w:tcPr>
          <w:p w14:paraId="5D90B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518E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произошла ввиду закупорки маслопровода тряпкой. Новый образец самолета постройки зав. N 1 </w:t>
            </w:r>
          </w:p>
        </w:tc>
      </w:tr>
      <w:tr w:rsidR="00DA227A" w:rsidRPr="00E93F40" w14:paraId="62FFCECA" w14:textId="77777777">
        <w:tc>
          <w:tcPr>
            <w:tcW w:w="3510" w:type="dxa"/>
          </w:tcPr>
          <w:p w14:paraId="45796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14E7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 передает на испытание в январе 1932 года.</w:t>
            </w:r>
          </w:p>
        </w:tc>
      </w:tr>
      <w:tr w:rsidR="00DA227A" w:rsidRPr="00E93F40" w14:paraId="1EA657D9" w14:textId="77777777">
        <w:tc>
          <w:tcPr>
            <w:tcW w:w="3510" w:type="dxa"/>
          </w:tcPr>
          <w:p w14:paraId="0AACF5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8429D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образца И5-М22 для заказа на 1932 год.</w:t>
            </w:r>
          </w:p>
        </w:tc>
      </w:tr>
      <w:tr w:rsidR="00DA227A" w:rsidRPr="00E93F40" w14:paraId="58825109" w14:textId="77777777">
        <w:tc>
          <w:tcPr>
            <w:tcW w:w="3510" w:type="dxa"/>
          </w:tcPr>
          <w:p w14:paraId="6E84E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C90C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ЦКБ ЦАГИ провело ряд работ по устранению дефектов самолета, обнаруженных при </w:t>
            </w:r>
          </w:p>
        </w:tc>
      </w:tr>
      <w:tr w:rsidR="00DA227A" w:rsidRPr="00E93F40" w14:paraId="7C6303C4" w14:textId="77777777">
        <w:tc>
          <w:tcPr>
            <w:tcW w:w="3510" w:type="dxa"/>
          </w:tcPr>
          <w:p w14:paraId="1A6BAA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76D2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эксплуатации и снабжении его кольцевым капотом. Образец (эталон) для заказа на 1932 год </w:t>
            </w:r>
          </w:p>
        </w:tc>
      </w:tr>
      <w:tr w:rsidR="00DA227A" w:rsidRPr="00E93F40" w14:paraId="52C18FD5" w14:textId="77777777">
        <w:tc>
          <w:tcPr>
            <w:tcW w:w="3510" w:type="dxa"/>
          </w:tcPr>
          <w:p w14:paraId="7D9478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3D162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должен поступить на испытание в первой половине января 1932 года.</w:t>
            </w:r>
          </w:p>
        </w:tc>
      </w:tr>
      <w:tr w:rsidR="00DA227A" w:rsidRPr="00E93F40" w14:paraId="1B2FF514" w14:textId="77777777">
        <w:tc>
          <w:tcPr>
            <w:tcW w:w="3510" w:type="dxa"/>
          </w:tcPr>
          <w:p w14:paraId="66B7B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Петров.</w:t>
            </w:r>
          </w:p>
        </w:tc>
        <w:tc>
          <w:tcPr>
            <w:tcW w:w="6946" w:type="dxa"/>
          </w:tcPr>
          <w:p w14:paraId="307F35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05BB2F" w14:textId="77777777">
        <w:tc>
          <w:tcPr>
            <w:tcW w:w="3510" w:type="dxa"/>
          </w:tcPr>
          <w:p w14:paraId="19D9B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0A048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r>
      <w:tr w:rsidR="00DA227A" w:rsidRPr="00E93F40" w14:paraId="71CDB52A" w14:textId="77777777">
        <w:tc>
          <w:tcPr>
            <w:tcW w:w="3510" w:type="dxa"/>
          </w:tcPr>
          <w:p w14:paraId="66EABC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565E1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CEA04E" w14:textId="77777777">
        <w:tc>
          <w:tcPr>
            <w:tcW w:w="3510" w:type="dxa"/>
          </w:tcPr>
          <w:p w14:paraId="7BAC00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0AC30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210/220</w:t>
            </w:r>
          </w:p>
        </w:tc>
      </w:tr>
      <w:tr w:rsidR="00DA227A" w:rsidRPr="00E93F40" w14:paraId="1F670E3B" w14:textId="77777777">
        <w:tc>
          <w:tcPr>
            <w:tcW w:w="3510" w:type="dxa"/>
          </w:tcPr>
          <w:p w14:paraId="69E8B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мин.</w:t>
            </w:r>
          </w:p>
        </w:tc>
        <w:tc>
          <w:tcPr>
            <w:tcW w:w="6946" w:type="dxa"/>
          </w:tcPr>
          <w:p w14:paraId="1F5F2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0A5ADA" w14:textId="77777777">
        <w:tc>
          <w:tcPr>
            <w:tcW w:w="3510" w:type="dxa"/>
          </w:tcPr>
          <w:p w14:paraId="4F99A2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53F29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22-25/3000</w:t>
            </w:r>
          </w:p>
        </w:tc>
      </w:tr>
      <w:tr w:rsidR="00DA227A" w:rsidRPr="00E93F40" w14:paraId="7F4FBD06" w14:textId="77777777">
        <w:tc>
          <w:tcPr>
            <w:tcW w:w="3510" w:type="dxa"/>
          </w:tcPr>
          <w:p w14:paraId="314C0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4D6D9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F99730" w14:textId="77777777">
        <w:tc>
          <w:tcPr>
            <w:tcW w:w="3510" w:type="dxa"/>
          </w:tcPr>
          <w:p w14:paraId="31139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56CC7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6-11 пулем., 2000-4000 кг</w:t>
            </w:r>
          </w:p>
        </w:tc>
      </w:tr>
      <w:tr w:rsidR="00DA227A" w:rsidRPr="00E93F40" w14:paraId="13CBBEFB" w14:textId="77777777">
        <w:tc>
          <w:tcPr>
            <w:tcW w:w="3510" w:type="dxa"/>
          </w:tcPr>
          <w:p w14:paraId="312A0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34A40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B1DEE1" w14:textId="77777777">
        <w:tc>
          <w:tcPr>
            <w:tcW w:w="3510" w:type="dxa"/>
          </w:tcPr>
          <w:p w14:paraId="0A6A5A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2D20D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15E299" w14:textId="77777777">
        <w:tc>
          <w:tcPr>
            <w:tcW w:w="3510" w:type="dxa"/>
          </w:tcPr>
          <w:p w14:paraId="22C03F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444ECC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1930 года</w:t>
            </w:r>
          </w:p>
        </w:tc>
      </w:tr>
      <w:tr w:rsidR="00DA227A" w:rsidRPr="00E93F40" w14:paraId="3EA98A32" w14:textId="77777777">
        <w:tc>
          <w:tcPr>
            <w:tcW w:w="3510" w:type="dxa"/>
          </w:tcPr>
          <w:p w14:paraId="48A2D6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A169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60D947" w14:textId="77777777">
        <w:tc>
          <w:tcPr>
            <w:tcW w:w="3510" w:type="dxa"/>
          </w:tcPr>
          <w:p w14:paraId="09278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C4955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 истекший квартал ЦАГИ произвело испытание тележек шасси , заменяющих 2-х метровые </w:t>
            </w:r>
          </w:p>
        </w:tc>
      </w:tr>
      <w:tr w:rsidR="00DA227A" w:rsidRPr="00E93F40" w14:paraId="79B2320E" w14:textId="77777777">
        <w:tc>
          <w:tcPr>
            <w:tcW w:w="3510" w:type="dxa"/>
          </w:tcPr>
          <w:p w14:paraId="027C3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22B14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колеса. Испытания дали положительные результаты. Параллельно было проведено ряд работ по </w:t>
            </w:r>
          </w:p>
        </w:tc>
      </w:tr>
      <w:tr w:rsidR="00DA227A" w:rsidRPr="00E93F40" w14:paraId="684EED36" w14:textId="77777777">
        <w:tc>
          <w:tcPr>
            <w:tcW w:w="3510" w:type="dxa"/>
          </w:tcPr>
          <w:p w14:paraId="443731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825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устранению дефектов самолета, оборудованию и вооружению его.</w:t>
            </w:r>
          </w:p>
        </w:tc>
      </w:tr>
      <w:tr w:rsidR="00DA227A" w:rsidRPr="00E93F40" w14:paraId="0A2FCD97" w14:textId="77777777">
        <w:tc>
          <w:tcPr>
            <w:tcW w:w="3510" w:type="dxa"/>
          </w:tcPr>
          <w:p w14:paraId="36EF1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D4E2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частности установлены 2 опускающиеся подкрыльные башни, обеспечивающие обстрел назад </w:t>
            </w:r>
          </w:p>
        </w:tc>
      </w:tr>
      <w:tr w:rsidR="00DA227A" w:rsidRPr="00E93F40" w14:paraId="072BF1CB" w14:textId="77777777">
        <w:tc>
          <w:tcPr>
            <w:tcW w:w="3510" w:type="dxa"/>
          </w:tcPr>
          <w:p w14:paraId="66EED9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1C92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хвост. В настоящее время самолет передается на испытания.</w:t>
            </w:r>
          </w:p>
        </w:tc>
      </w:tr>
      <w:tr w:rsidR="00DA227A" w:rsidRPr="00E93F40" w14:paraId="451D1272" w14:textId="77777777">
        <w:tc>
          <w:tcPr>
            <w:tcW w:w="3510" w:type="dxa"/>
          </w:tcPr>
          <w:p w14:paraId="3BE7B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Инженер Петров.</w:t>
            </w:r>
          </w:p>
        </w:tc>
        <w:tc>
          <w:tcPr>
            <w:tcW w:w="6946" w:type="dxa"/>
          </w:tcPr>
          <w:p w14:paraId="437045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2CEFED" w14:textId="77777777">
        <w:tc>
          <w:tcPr>
            <w:tcW w:w="3510" w:type="dxa"/>
          </w:tcPr>
          <w:p w14:paraId="07597E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0F5F5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r>
      <w:tr w:rsidR="00DA227A" w:rsidRPr="00E93F40" w14:paraId="70940659" w14:textId="77777777">
        <w:tc>
          <w:tcPr>
            <w:tcW w:w="3510" w:type="dxa"/>
          </w:tcPr>
          <w:p w14:paraId="4EFD4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4A6D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BB255D" w14:textId="77777777">
        <w:tc>
          <w:tcPr>
            <w:tcW w:w="3510" w:type="dxa"/>
          </w:tcPr>
          <w:p w14:paraId="79C47A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01AA7E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232/3000*</w:t>
            </w:r>
          </w:p>
        </w:tc>
      </w:tr>
      <w:tr w:rsidR="00DA227A" w:rsidRPr="00E93F40" w14:paraId="6035A82B" w14:textId="77777777">
        <w:tc>
          <w:tcPr>
            <w:tcW w:w="3510" w:type="dxa"/>
          </w:tcPr>
          <w:p w14:paraId="1A952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668A3C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CF851A" w14:textId="77777777">
        <w:tc>
          <w:tcPr>
            <w:tcW w:w="3510" w:type="dxa"/>
          </w:tcPr>
          <w:p w14:paraId="05815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F00F5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12,28/3000*</w:t>
            </w:r>
          </w:p>
        </w:tc>
      </w:tr>
      <w:tr w:rsidR="00DA227A" w:rsidRPr="00E93F40" w14:paraId="7FEA9AEC" w14:textId="77777777">
        <w:tc>
          <w:tcPr>
            <w:tcW w:w="3510" w:type="dxa"/>
          </w:tcPr>
          <w:p w14:paraId="1E323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07D48B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6050*</w:t>
            </w:r>
          </w:p>
        </w:tc>
      </w:tr>
      <w:tr w:rsidR="00DA227A" w:rsidRPr="00E93F40" w14:paraId="42A01A5E" w14:textId="77777777">
        <w:tc>
          <w:tcPr>
            <w:tcW w:w="3510" w:type="dxa"/>
          </w:tcPr>
          <w:p w14:paraId="66464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23BFE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Головной серийный самолет</w:t>
            </w:r>
          </w:p>
        </w:tc>
      </w:tr>
      <w:tr w:rsidR="00DA227A" w:rsidRPr="00E93F40" w14:paraId="52EBD36E" w14:textId="77777777">
        <w:tc>
          <w:tcPr>
            <w:tcW w:w="3510" w:type="dxa"/>
          </w:tcPr>
          <w:p w14:paraId="132071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5EA09E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пулемет.</w:t>
            </w:r>
          </w:p>
        </w:tc>
      </w:tr>
      <w:tr w:rsidR="00DA227A" w:rsidRPr="00E93F40" w14:paraId="51F34354" w14:textId="77777777">
        <w:tc>
          <w:tcPr>
            <w:tcW w:w="3510" w:type="dxa"/>
          </w:tcPr>
          <w:p w14:paraId="3C1B1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763B0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582FDA" w14:textId="77777777">
        <w:tc>
          <w:tcPr>
            <w:tcW w:w="3510" w:type="dxa"/>
          </w:tcPr>
          <w:p w14:paraId="7C6AC9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27B3BC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A63E69" w14:textId="77777777">
        <w:tc>
          <w:tcPr>
            <w:tcW w:w="3510" w:type="dxa"/>
          </w:tcPr>
          <w:p w14:paraId="13307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4637B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E8F81C" w14:textId="77777777">
        <w:tc>
          <w:tcPr>
            <w:tcW w:w="3510" w:type="dxa"/>
          </w:tcPr>
          <w:p w14:paraId="41B52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CFC58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02ED12" w14:textId="77777777">
        <w:tc>
          <w:tcPr>
            <w:tcW w:w="3510" w:type="dxa"/>
          </w:tcPr>
          <w:p w14:paraId="1F833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083C9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течение октября головной серийный самолет прошел испытания. Последние показали близкое </w:t>
            </w:r>
          </w:p>
        </w:tc>
      </w:tr>
      <w:tr w:rsidR="00DA227A" w:rsidRPr="00E93F40" w14:paraId="2F18FC1E" w14:textId="77777777">
        <w:tc>
          <w:tcPr>
            <w:tcW w:w="3510" w:type="dxa"/>
          </w:tcPr>
          <w:p w14:paraId="664D9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8D1A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совпадение летных данных серийного и опытного самолетов за исключением снижения потолка, </w:t>
            </w:r>
          </w:p>
        </w:tc>
      </w:tr>
      <w:tr w:rsidR="00DA227A" w:rsidRPr="00E93F40" w14:paraId="675DC6C4" w14:textId="77777777">
        <w:tc>
          <w:tcPr>
            <w:tcW w:w="3510" w:type="dxa"/>
          </w:tcPr>
          <w:p w14:paraId="6C8CE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C29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объясняемого плохой работой моторов, стоявших на самолете.</w:t>
            </w:r>
          </w:p>
        </w:tc>
      </w:tr>
      <w:tr w:rsidR="00DA227A" w:rsidRPr="00E93F40" w14:paraId="272E924D" w14:textId="77777777">
        <w:tc>
          <w:tcPr>
            <w:tcW w:w="3510" w:type="dxa"/>
          </w:tcPr>
          <w:p w14:paraId="139F35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DD74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Параллельно на самолете были обнаружены большие вибрации хвостового оперения на малых </w:t>
            </w:r>
          </w:p>
        </w:tc>
      </w:tr>
      <w:tr w:rsidR="00DA227A" w:rsidRPr="00E93F40" w14:paraId="1A57E20A" w14:textId="77777777">
        <w:tc>
          <w:tcPr>
            <w:tcW w:w="3510" w:type="dxa"/>
          </w:tcPr>
          <w:p w14:paraId="40AF5E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2BBD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скоростях полета, отсутствовавшие на опытном образце. В настоящее время ЦАГИ ведет </w:t>
            </w:r>
          </w:p>
        </w:tc>
      </w:tr>
      <w:tr w:rsidR="00DA227A" w:rsidRPr="00E93F40" w14:paraId="6C4CBF1E" w14:textId="77777777">
        <w:tc>
          <w:tcPr>
            <w:tcW w:w="3510" w:type="dxa"/>
          </w:tcPr>
          <w:p w14:paraId="388766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6BD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переделки самолета с целью устранения вибрации, не давшие до сих пор удовлетворительных </w:t>
            </w:r>
          </w:p>
        </w:tc>
      </w:tr>
      <w:tr w:rsidR="00DA227A" w:rsidRPr="00E93F40" w14:paraId="1A7EB87E" w14:textId="77777777">
        <w:tc>
          <w:tcPr>
            <w:tcW w:w="3510" w:type="dxa"/>
          </w:tcPr>
          <w:p w14:paraId="574CE1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B6B32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результатов.</w:t>
            </w:r>
          </w:p>
        </w:tc>
      </w:tr>
      <w:tr w:rsidR="00DA227A" w:rsidRPr="00E93F40" w14:paraId="50DB7F1A" w14:textId="77777777">
        <w:tc>
          <w:tcPr>
            <w:tcW w:w="3510" w:type="dxa"/>
          </w:tcPr>
          <w:p w14:paraId="0A788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инженер Куликов.</w:t>
            </w:r>
          </w:p>
        </w:tc>
        <w:tc>
          <w:tcPr>
            <w:tcW w:w="6946" w:type="dxa"/>
          </w:tcPr>
          <w:p w14:paraId="4C681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3706FF" w14:textId="77777777">
        <w:tc>
          <w:tcPr>
            <w:tcW w:w="3510" w:type="dxa"/>
          </w:tcPr>
          <w:p w14:paraId="0FA7F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3A585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И8-Кертис-Конкверор</w:t>
            </w:r>
          </w:p>
        </w:tc>
      </w:tr>
      <w:tr w:rsidR="00DA227A" w:rsidRPr="00E93F40" w14:paraId="18CC90C5" w14:textId="77777777">
        <w:tc>
          <w:tcPr>
            <w:tcW w:w="3510" w:type="dxa"/>
          </w:tcPr>
          <w:p w14:paraId="7F146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4C05E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A46BE5" w14:textId="77777777">
        <w:tc>
          <w:tcPr>
            <w:tcW w:w="3510" w:type="dxa"/>
          </w:tcPr>
          <w:p w14:paraId="7ADAA4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30DBAD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310/5000</w:t>
            </w:r>
          </w:p>
        </w:tc>
      </w:tr>
      <w:tr w:rsidR="00DA227A" w:rsidRPr="00E93F40" w14:paraId="3318176E" w14:textId="77777777">
        <w:tc>
          <w:tcPr>
            <w:tcW w:w="3510" w:type="dxa"/>
          </w:tcPr>
          <w:p w14:paraId="1CCC1A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5D196A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BDD51D" w14:textId="77777777">
        <w:tc>
          <w:tcPr>
            <w:tcW w:w="3510" w:type="dxa"/>
          </w:tcPr>
          <w:p w14:paraId="3E47A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5E484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6-7/5000</w:t>
            </w:r>
          </w:p>
        </w:tc>
      </w:tr>
      <w:tr w:rsidR="00DA227A" w:rsidRPr="00E93F40" w14:paraId="4E5A9D95" w14:textId="77777777">
        <w:tc>
          <w:tcPr>
            <w:tcW w:w="3510" w:type="dxa"/>
          </w:tcPr>
          <w:p w14:paraId="2EA564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1A0F0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6E768C5A" w14:textId="77777777">
        <w:tc>
          <w:tcPr>
            <w:tcW w:w="3510" w:type="dxa"/>
          </w:tcPr>
          <w:p w14:paraId="055C4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411F7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пулем.</w:t>
            </w:r>
          </w:p>
        </w:tc>
      </w:tr>
      <w:tr w:rsidR="00DA227A" w:rsidRPr="00E93F40" w14:paraId="5A186C28" w14:textId="77777777">
        <w:tc>
          <w:tcPr>
            <w:tcW w:w="3510" w:type="dxa"/>
          </w:tcPr>
          <w:p w14:paraId="54F34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14BAB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1,5-2 час.</w:t>
            </w:r>
          </w:p>
        </w:tc>
      </w:tr>
      <w:tr w:rsidR="00DA227A" w:rsidRPr="00E93F40" w14:paraId="2DF378EF" w14:textId="77777777">
        <w:tc>
          <w:tcPr>
            <w:tcW w:w="3510" w:type="dxa"/>
          </w:tcPr>
          <w:p w14:paraId="75FA1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161490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003DB8" w14:textId="77777777">
        <w:tc>
          <w:tcPr>
            <w:tcW w:w="3510" w:type="dxa"/>
          </w:tcPr>
          <w:p w14:paraId="70733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0FDCF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сентября 1930 года</w:t>
            </w:r>
          </w:p>
        </w:tc>
      </w:tr>
      <w:tr w:rsidR="00DA227A" w:rsidRPr="00E93F40" w14:paraId="0FE99D8C" w14:textId="77777777">
        <w:tc>
          <w:tcPr>
            <w:tcW w:w="3510" w:type="dxa"/>
          </w:tcPr>
          <w:p w14:paraId="664C9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35F0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1D94AE" w14:textId="77777777">
        <w:tc>
          <w:tcPr>
            <w:tcW w:w="3510" w:type="dxa"/>
          </w:tcPr>
          <w:p w14:paraId="104DB5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028F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крайне медленных темпов доводки самолета последний до настоящего времени на </w:t>
            </w:r>
          </w:p>
        </w:tc>
      </w:tr>
      <w:tr w:rsidR="00DA227A" w:rsidRPr="00E93F40" w14:paraId="7E6A006D" w14:textId="77777777">
        <w:tc>
          <w:tcPr>
            <w:tcW w:w="3510" w:type="dxa"/>
          </w:tcPr>
          <w:p w14:paraId="1FDD9A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3715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не предъявлен. ЦКБ ЦАГИ предполагает передать самолет на испытания в феврале-</w:t>
            </w:r>
          </w:p>
        </w:tc>
      </w:tr>
      <w:tr w:rsidR="00DA227A" w:rsidRPr="00E93F40" w14:paraId="0DA19373" w14:textId="77777777">
        <w:tc>
          <w:tcPr>
            <w:tcW w:w="3510" w:type="dxa"/>
          </w:tcPr>
          <w:p w14:paraId="439F4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10D7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марте 1932 года.</w:t>
            </w:r>
          </w:p>
        </w:tc>
      </w:tr>
      <w:tr w:rsidR="00DA227A" w:rsidRPr="00E93F40" w14:paraId="265224A2" w14:textId="77777777">
        <w:tc>
          <w:tcPr>
            <w:tcW w:w="3510" w:type="dxa"/>
          </w:tcPr>
          <w:p w14:paraId="0AA25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Петров.</w:t>
            </w:r>
          </w:p>
        </w:tc>
        <w:tc>
          <w:tcPr>
            <w:tcW w:w="6946" w:type="dxa"/>
          </w:tcPr>
          <w:p w14:paraId="11E20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3B81C63" w14:textId="77777777">
        <w:tc>
          <w:tcPr>
            <w:tcW w:w="3510" w:type="dxa"/>
          </w:tcPr>
          <w:p w14:paraId="38542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0F3FF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И7-М17 Е=7,3</w:t>
            </w:r>
          </w:p>
        </w:tc>
      </w:tr>
      <w:tr w:rsidR="00DA227A" w:rsidRPr="00E93F40" w14:paraId="649F3C4C" w14:textId="77777777">
        <w:tc>
          <w:tcPr>
            <w:tcW w:w="3510" w:type="dxa"/>
          </w:tcPr>
          <w:p w14:paraId="6925D3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B20CE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C7D375" w14:textId="77777777">
        <w:tc>
          <w:tcPr>
            <w:tcW w:w="3510" w:type="dxa"/>
          </w:tcPr>
          <w:p w14:paraId="4BD91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638DE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277/5000</w:t>
            </w:r>
          </w:p>
        </w:tc>
      </w:tr>
      <w:tr w:rsidR="00DA227A" w:rsidRPr="00E93F40" w14:paraId="1B3BF357" w14:textId="77777777">
        <w:tc>
          <w:tcPr>
            <w:tcW w:w="3510" w:type="dxa"/>
          </w:tcPr>
          <w:p w14:paraId="4B081D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116643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0BA0F1F" w14:textId="77777777">
        <w:tc>
          <w:tcPr>
            <w:tcW w:w="3510" w:type="dxa"/>
          </w:tcPr>
          <w:p w14:paraId="65F31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38EA54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10,5/5000</w:t>
            </w:r>
          </w:p>
        </w:tc>
      </w:tr>
      <w:tr w:rsidR="00DA227A" w:rsidRPr="00E93F40" w14:paraId="17EA27FB" w14:textId="77777777">
        <w:tc>
          <w:tcPr>
            <w:tcW w:w="3510" w:type="dxa"/>
          </w:tcPr>
          <w:p w14:paraId="4CE2D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36132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4D7D0A0C" w14:textId="77777777">
        <w:tc>
          <w:tcPr>
            <w:tcW w:w="3510" w:type="dxa"/>
          </w:tcPr>
          <w:p w14:paraId="0D0C9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3768E0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пулем.</w:t>
            </w:r>
          </w:p>
        </w:tc>
      </w:tr>
      <w:tr w:rsidR="00DA227A" w:rsidRPr="00E93F40" w14:paraId="2194913A" w14:textId="77777777">
        <w:tc>
          <w:tcPr>
            <w:tcW w:w="3510" w:type="dxa"/>
          </w:tcPr>
          <w:p w14:paraId="50F75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CF517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696540" w14:textId="77777777">
        <w:tc>
          <w:tcPr>
            <w:tcW w:w="3510" w:type="dxa"/>
          </w:tcPr>
          <w:p w14:paraId="5B9429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5DFE5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N 1 ведется постройка первой серии самолетов.</w:t>
            </w:r>
          </w:p>
        </w:tc>
      </w:tr>
      <w:tr w:rsidR="00DA227A" w:rsidRPr="00E93F40" w14:paraId="39B5A870" w14:textId="77777777">
        <w:tc>
          <w:tcPr>
            <w:tcW w:w="3510" w:type="dxa"/>
          </w:tcPr>
          <w:p w14:paraId="665DF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4FCE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8BBC85" w14:textId="77777777">
        <w:tc>
          <w:tcPr>
            <w:tcW w:w="3510" w:type="dxa"/>
          </w:tcPr>
          <w:p w14:paraId="090B9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Петров.</w:t>
            </w:r>
          </w:p>
        </w:tc>
        <w:tc>
          <w:tcPr>
            <w:tcW w:w="6946" w:type="dxa"/>
          </w:tcPr>
          <w:p w14:paraId="1CA8B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7D7E7F" w14:textId="77777777">
        <w:tc>
          <w:tcPr>
            <w:tcW w:w="3510" w:type="dxa"/>
          </w:tcPr>
          <w:p w14:paraId="21CBF3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83A6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 (д/химич. целей)</w:t>
            </w:r>
          </w:p>
        </w:tc>
      </w:tr>
      <w:tr w:rsidR="00DA227A" w:rsidRPr="00E93F40" w14:paraId="291EBC4C" w14:textId="77777777">
        <w:tc>
          <w:tcPr>
            <w:tcW w:w="3510" w:type="dxa"/>
          </w:tcPr>
          <w:p w14:paraId="3D6AB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1F9D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не установлены.</w:t>
            </w:r>
          </w:p>
        </w:tc>
      </w:tr>
      <w:tr w:rsidR="00DA227A" w:rsidRPr="00E93F40" w14:paraId="424554BD" w14:textId="77777777">
        <w:tc>
          <w:tcPr>
            <w:tcW w:w="3510" w:type="dxa"/>
          </w:tcPr>
          <w:p w14:paraId="1B2A7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47E54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56E038" w14:textId="77777777">
        <w:tc>
          <w:tcPr>
            <w:tcW w:w="3510" w:type="dxa"/>
          </w:tcPr>
          <w:p w14:paraId="78D0A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8C53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Установка химических баков в фюзеляже в места кассетного бомбодержателя будет закончена в </w:t>
            </w:r>
          </w:p>
        </w:tc>
      </w:tr>
      <w:tr w:rsidR="00DA227A" w:rsidRPr="00E93F40" w14:paraId="0310F9D5" w14:textId="77777777">
        <w:tc>
          <w:tcPr>
            <w:tcW w:w="3510" w:type="dxa"/>
          </w:tcPr>
          <w:p w14:paraId="5FE48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D64E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середине января 1932 года.</w:t>
            </w:r>
          </w:p>
        </w:tc>
      </w:tr>
      <w:tr w:rsidR="00DA227A" w:rsidRPr="00E93F40" w14:paraId="29ACC818" w14:textId="77777777">
        <w:tc>
          <w:tcPr>
            <w:tcW w:w="3510" w:type="dxa"/>
          </w:tcPr>
          <w:p w14:paraId="3D4D10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508F6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Горелова под мотор Вальтер</w:t>
            </w:r>
          </w:p>
        </w:tc>
      </w:tr>
      <w:tr w:rsidR="00DA227A" w:rsidRPr="00E93F40" w14:paraId="3F1627A6" w14:textId="77777777">
        <w:tc>
          <w:tcPr>
            <w:tcW w:w="3510" w:type="dxa"/>
          </w:tcPr>
          <w:p w14:paraId="6484F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C0ECE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не установлены.</w:t>
            </w:r>
          </w:p>
        </w:tc>
      </w:tr>
      <w:tr w:rsidR="00DA227A" w:rsidRPr="00E93F40" w14:paraId="54237675" w14:textId="77777777">
        <w:tc>
          <w:tcPr>
            <w:tcW w:w="3510" w:type="dxa"/>
          </w:tcPr>
          <w:p w14:paraId="4FFBE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E224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F555A8" w14:textId="77777777">
        <w:tc>
          <w:tcPr>
            <w:tcW w:w="3510" w:type="dxa"/>
          </w:tcPr>
          <w:p w14:paraId="6F8447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0B65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необходимости полной переделки управления разрезными крыльями, шасси и оперения </w:t>
            </w:r>
          </w:p>
        </w:tc>
      </w:tr>
      <w:tr w:rsidR="00DA227A" w:rsidRPr="00E93F40" w14:paraId="2F1B4ACA" w14:textId="77777777">
        <w:tc>
          <w:tcPr>
            <w:tcW w:w="3510" w:type="dxa"/>
          </w:tcPr>
          <w:p w14:paraId="37E3E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269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ЦКБ ЦАГИ решило работы по самолету Горелова прекратить.</w:t>
            </w:r>
          </w:p>
        </w:tc>
      </w:tr>
      <w:tr w:rsidR="00DA227A" w:rsidRPr="00E93F40" w14:paraId="32A782B8" w14:textId="77777777">
        <w:tc>
          <w:tcPr>
            <w:tcW w:w="3510" w:type="dxa"/>
          </w:tcPr>
          <w:p w14:paraId="4510F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36DC0B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"Парабола" М11</w:t>
            </w:r>
          </w:p>
        </w:tc>
      </w:tr>
      <w:tr w:rsidR="00DA227A" w:rsidRPr="00E93F40" w14:paraId="119DE1B0" w14:textId="77777777">
        <w:tc>
          <w:tcPr>
            <w:tcW w:w="3510" w:type="dxa"/>
          </w:tcPr>
          <w:p w14:paraId="5F4E8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3A02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не установлены.</w:t>
            </w:r>
          </w:p>
        </w:tc>
      </w:tr>
      <w:tr w:rsidR="00DA227A" w:rsidRPr="00E93F40" w14:paraId="6881C152" w14:textId="77777777">
        <w:tc>
          <w:tcPr>
            <w:tcW w:w="3510" w:type="dxa"/>
          </w:tcPr>
          <w:p w14:paraId="70E7E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AC2A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BDF636" w14:textId="77777777">
        <w:tc>
          <w:tcPr>
            <w:tcW w:w="3510" w:type="dxa"/>
          </w:tcPr>
          <w:p w14:paraId="54E24B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087CB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ЦКБ ЦАГИ включило переделку построенного самолета с целью устранения ряда имеющихся у </w:t>
            </w:r>
          </w:p>
        </w:tc>
      </w:tr>
      <w:tr w:rsidR="00DA227A" w:rsidRPr="00E93F40" w14:paraId="7B6E7173" w14:textId="77777777">
        <w:tc>
          <w:tcPr>
            <w:tcW w:w="3510" w:type="dxa"/>
          </w:tcPr>
          <w:p w14:paraId="769B54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00784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него дефектов в свой рабочий план на 1 квартал 1932 года.</w:t>
            </w:r>
          </w:p>
        </w:tc>
      </w:tr>
      <w:tr w:rsidR="00DA227A" w:rsidRPr="00E93F40" w14:paraId="31CC961B" w14:textId="77777777">
        <w:tc>
          <w:tcPr>
            <w:tcW w:w="3510" w:type="dxa"/>
          </w:tcPr>
          <w:p w14:paraId="57033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27E49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должен быть подготовлен к полету к 1 мая 1932 года. Этот срок НИИ ВВС </w:t>
            </w:r>
          </w:p>
        </w:tc>
      </w:tr>
      <w:tr w:rsidR="00DA227A" w:rsidRPr="00E93F40" w14:paraId="5787AE4E" w14:textId="77777777">
        <w:tc>
          <w:tcPr>
            <w:tcW w:w="3510" w:type="dxa"/>
          </w:tcPr>
          <w:p w14:paraId="10A767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141E1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опротестовывает как слишком поздний.</w:t>
            </w:r>
          </w:p>
        </w:tc>
      </w:tr>
      <w:tr w:rsidR="00DA227A" w:rsidRPr="00E93F40" w14:paraId="5D9F06D8" w14:textId="77777777">
        <w:tc>
          <w:tcPr>
            <w:tcW w:w="3510" w:type="dxa"/>
          </w:tcPr>
          <w:p w14:paraId="0B36C8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Кравцов.</w:t>
            </w:r>
          </w:p>
        </w:tc>
        <w:tc>
          <w:tcPr>
            <w:tcW w:w="6946" w:type="dxa"/>
          </w:tcPr>
          <w:p w14:paraId="4FC1EC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D3B05C" w14:textId="77777777">
        <w:tc>
          <w:tcPr>
            <w:tcW w:w="3510" w:type="dxa"/>
          </w:tcPr>
          <w:p w14:paraId="38D675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1655F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1-ВГ Геликоптер</w:t>
            </w:r>
          </w:p>
        </w:tc>
      </w:tr>
      <w:tr w:rsidR="00DA227A" w:rsidRPr="00E93F40" w14:paraId="3E610C95" w14:textId="77777777">
        <w:tc>
          <w:tcPr>
            <w:tcW w:w="3510" w:type="dxa"/>
          </w:tcPr>
          <w:p w14:paraId="0321A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DAD59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396E15" w14:textId="77777777">
        <w:tc>
          <w:tcPr>
            <w:tcW w:w="3510" w:type="dxa"/>
          </w:tcPr>
          <w:p w14:paraId="2C2C9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4567C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Ремонт геликоптера за истекший период закончен. На Ухтомском аэродроме начаты </w:t>
            </w:r>
          </w:p>
        </w:tc>
      </w:tr>
      <w:tr w:rsidR="00DA227A" w:rsidRPr="00E93F40" w14:paraId="6ACB4678" w14:textId="77777777">
        <w:tc>
          <w:tcPr>
            <w:tcW w:w="3510" w:type="dxa"/>
          </w:tcPr>
          <w:p w14:paraId="4840F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012C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испытания, которые в текущей стадии заключаются в взлетах на привязи. Переход к свободным </w:t>
            </w:r>
          </w:p>
        </w:tc>
      </w:tr>
      <w:tr w:rsidR="00DA227A" w:rsidRPr="00E93F40" w14:paraId="2A8B3D12" w14:textId="77777777">
        <w:tc>
          <w:tcPr>
            <w:tcW w:w="3510" w:type="dxa"/>
          </w:tcPr>
          <w:p w14:paraId="135B5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26A13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полетам намечен на середину января 1932 года.</w:t>
            </w:r>
          </w:p>
        </w:tc>
      </w:tr>
      <w:tr w:rsidR="00DA227A" w:rsidRPr="00E93F40" w14:paraId="30442F00" w14:textId="77777777">
        <w:tc>
          <w:tcPr>
            <w:tcW w:w="3510" w:type="dxa"/>
          </w:tcPr>
          <w:p w14:paraId="3AB2A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 инженер Квитко.</w:t>
            </w:r>
          </w:p>
        </w:tc>
        <w:tc>
          <w:tcPr>
            <w:tcW w:w="6946" w:type="dxa"/>
          </w:tcPr>
          <w:p w14:paraId="73416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E35D5A" w14:textId="77777777">
        <w:tc>
          <w:tcPr>
            <w:tcW w:w="3510" w:type="dxa"/>
          </w:tcPr>
          <w:p w14:paraId="42CBD0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01C75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Вертолет (автожир)</w:t>
            </w:r>
          </w:p>
        </w:tc>
      </w:tr>
      <w:tr w:rsidR="00DA227A" w:rsidRPr="00E93F40" w14:paraId="529CE2ED" w14:textId="77777777">
        <w:tc>
          <w:tcPr>
            <w:tcW w:w="3510" w:type="dxa"/>
          </w:tcPr>
          <w:p w14:paraId="73814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41C23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2D830C" w14:textId="77777777">
        <w:tc>
          <w:tcPr>
            <w:tcW w:w="3510" w:type="dxa"/>
          </w:tcPr>
          <w:p w14:paraId="67BA7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8C016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Работа по автожирам за текущий квартал организационно сосредоточена в Секции особых </w:t>
            </w:r>
          </w:p>
        </w:tc>
      </w:tr>
      <w:tr w:rsidR="00DA227A" w:rsidRPr="00E93F40" w14:paraId="6B590980" w14:textId="77777777">
        <w:tc>
          <w:tcPr>
            <w:tcW w:w="3510" w:type="dxa"/>
          </w:tcPr>
          <w:p w14:paraId="79095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6887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конструкций ЭАО ЦАГИ, в которую вошел конструктор вертолета инж. Камов.</w:t>
            </w:r>
          </w:p>
        </w:tc>
      </w:tr>
      <w:tr w:rsidR="00DA227A" w:rsidRPr="00E93F40" w14:paraId="078998E0" w14:textId="77777777">
        <w:tc>
          <w:tcPr>
            <w:tcW w:w="3510" w:type="dxa"/>
          </w:tcPr>
          <w:p w14:paraId="51CE58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234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износа фюзеляжа и лопастей первого вертолета решено его доводку прекратить, построив </w:t>
            </w:r>
          </w:p>
        </w:tc>
      </w:tr>
      <w:tr w:rsidR="00DA227A" w:rsidRPr="00E93F40" w14:paraId="0093CBDB" w14:textId="77777777">
        <w:tc>
          <w:tcPr>
            <w:tcW w:w="3510" w:type="dxa"/>
          </w:tcPr>
          <w:p w14:paraId="44BA7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18E0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году 2 новых вертолета под моторы М11 и М22. В настоящее время на аэродроме начаты </w:t>
            </w:r>
          </w:p>
        </w:tc>
      </w:tr>
      <w:tr w:rsidR="00DA227A" w:rsidRPr="00E93F40" w14:paraId="4FDAE86B" w14:textId="77777777">
        <w:tc>
          <w:tcPr>
            <w:tcW w:w="3510" w:type="dxa"/>
          </w:tcPr>
          <w:p w14:paraId="41003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1A0C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испытания автожира с мотором Титан, построенного ЭАО ЦАГИ и являющегося повторением </w:t>
            </w:r>
          </w:p>
        </w:tc>
      </w:tr>
      <w:tr w:rsidR="00DA227A" w:rsidRPr="00E93F40" w14:paraId="2E531C82" w14:textId="77777777">
        <w:tc>
          <w:tcPr>
            <w:tcW w:w="3510" w:type="dxa"/>
          </w:tcPr>
          <w:p w14:paraId="1C132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6127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одного из последних образцов автожира Сиервы. Первые 3 полета проведены удачно.</w:t>
            </w:r>
          </w:p>
        </w:tc>
      </w:tr>
      <w:tr w:rsidR="00DA227A" w:rsidRPr="00E93F40" w14:paraId="1A2F9ED7" w14:textId="77777777">
        <w:tc>
          <w:tcPr>
            <w:tcW w:w="3510" w:type="dxa"/>
          </w:tcPr>
          <w:p w14:paraId="45796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Кравцов.</w:t>
            </w:r>
          </w:p>
        </w:tc>
        <w:tc>
          <w:tcPr>
            <w:tcW w:w="6946" w:type="dxa"/>
          </w:tcPr>
          <w:p w14:paraId="5E345F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55BFF1" w14:textId="77777777">
        <w:tc>
          <w:tcPr>
            <w:tcW w:w="3510" w:type="dxa"/>
          </w:tcPr>
          <w:p w14:paraId="2FED50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3E28F5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Р5а-М17 на поплавках</w:t>
            </w:r>
          </w:p>
        </w:tc>
      </w:tr>
      <w:tr w:rsidR="00DA227A" w:rsidRPr="00E93F40" w14:paraId="6CA8F0B9" w14:textId="77777777">
        <w:tc>
          <w:tcPr>
            <w:tcW w:w="3510" w:type="dxa"/>
          </w:tcPr>
          <w:p w14:paraId="28B14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416E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будут получены при испытании.</w:t>
            </w:r>
          </w:p>
        </w:tc>
      </w:tr>
      <w:tr w:rsidR="00DA227A" w:rsidRPr="00E93F40" w14:paraId="680E7CB6" w14:textId="77777777">
        <w:tc>
          <w:tcPr>
            <w:tcW w:w="3510" w:type="dxa"/>
          </w:tcPr>
          <w:p w14:paraId="2827C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19EB0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264298" w14:textId="77777777">
        <w:tc>
          <w:tcPr>
            <w:tcW w:w="3510" w:type="dxa"/>
          </w:tcPr>
          <w:p w14:paraId="0ED34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5AAB35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1934 года</w:t>
            </w:r>
          </w:p>
        </w:tc>
      </w:tr>
      <w:tr w:rsidR="00DA227A" w:rsidRPr="00E93F40" w14:paraId="0C794014" w14:textId="77777777">
        <w:tc>
          <w:tcPr>
            <w:tcW w:w="3510" w:type="dxa"/>
          </w:tcPr>
          <w:p w14:paraId="57D5AE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3B92DE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E4E567" w14:textId="77777777">
        <w:tc>
          <w:tcPr>
            <w:tcW w:w="3510" w:type="dxa"/>
          </w:tcPr>
          <w:p w14:paraId="229BF3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 января 1932 года</w:t>
            </w:r>
          </w:p>
        </w:tc>
        <w:tc>
          <w:tcPr>
            <w:tcW w:w="6946" w:type="dxa"/>
          </w:tcPr>
          <w:p w14:paraId="53CD7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находится на заводских испытаниях в Севастополе. После окончания заводских </w:t>
            </w:r>
          </w:p>
        </w:tc>
      </w:tr>
      <w:tr w:rsidR="00DA227A" w:rsidRPr="00E93F40" w14:paraId="5B88C857" w14:textId="77777777">
        <w:tc>
          <w:tcPr>
            <w:tcW w:w="3510" w:type="dxa"/>
          </w:tcPr>
          <w:p w14:paraId="67414A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ED4F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испытаний поступит на гос. испытания в ОАО НИИ.</w:t>
            </w:r>
          </w:p>
        </w:tc>
      </w:tr>
      <w:tr w:rsidR="00DA227A" w:rsidRPr="00E93F40" w14:paraId="3F2A20B4" w14:textId="77777777">
        <w:tc>
          <w:tcPr>
            <w:tcW w:w="3510" w:type="dxa"/>
          </w:tcPr>
          <w:p w14:paraId="297A9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Украинцев.</w:t>
            </w:r>
          </w:p>
        </w:tc>
        <w:tc>
          <w:tcPr>
            <w:tcW w:w="6946" w:type="dxa"/>
          </w:tcPr>
          <w:p w14:paraId="6001C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2A8AB6" w14:textId="77777777">
        <w:tc>
          <w:tcPr>
            <w:tcW w:w="3510" w:type="dxa"/>
          </w:tcPr>
          <w:p w14:paraId="4E357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74084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Р5-2М17 (на поплавках)</w:t>
            </w:r>
          </w:p>
        </w:tc>
      </w:tr>
      <w:tr w:rsidR="00DA227A" w:rsidRPr="00E93F40" w14:paraId="47816171" w14:textId="77777777">
        <w:tc>
          <w:tcPr>
            <w:tcW w:w="3510" w:type="dxa"/>
          </w:tcPr>
          <w:p w14:paraId="64186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7FC5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будут получены при испытании.</w:t>
            </w:r>
          </w:p>
        </w:tc>
      </w:tr>
      <w:tr w:rsidR="00DA227A" w:rsidRPr="00E93F40" w14:paraId="69B32F6C" w14:textId="77777777">
        <w:tc>
          <w:tcPr>
            <w:tcW w:w="3510" w:type="dxa"/>
          </w:tcPr>
          <w:p w14:paraId="49840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97287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D9EA67" w14:textId="77777777">
        <w:tc>
          <w:tcPr>
            <w:tcW w:w="3510" w:type="dxa"/>
          </w:tcPr>
          <w:p w14:paraId="1A2F23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1D65EA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Даны техтребования. Разрабатывается центровка самолета. Схема шасси разрабатывается. </w:t>
            </w:r>
          </w:p>
        </w:tc>
      </w:tr>
      <w:tr w:rsidR="00DA227A" w:rsidRPr="00E93F40" w14:paraId="7973BAB4" w14:textId="77777777">
        <w:tc>
          <w:tcPr>
            <w:tcW w:w="3510" w:type="dxa"/>
          </w:tcPr>
          <w:p w14:paraId="68026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EA5C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Заготовлены модели для продувок и протасок. Срок ВАО для предъявления на заводские </w:t>
            </w:r>
          </w:p>
        </w:tc>
      </w:tr>
      <w:tr w:rsidR="00DA227A" w:rsidRPr="00E93F40" w14:paraId="3F6FBB2B" w14:textId="77777777">
        <w:tc>
          <w:tcPr>
            <w:tcW w:w="3510" w:type="dxa"/>
          </w:tcPr>
          <w:p w14:paraId="67CE8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8C883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19 июля 1932 года.</w:t>
            </w:r>
          </w:p>
        </w:tc>
      </w:tr>
      <w:tr w:rsidR="00DA227A" w:rsidRPr="00E93F40" w14:paraId="3F99DC05" w14:textId="77777777">
        <w:tc>
          <w:tcPr>
            <w:tcW w:w="3510" w:type="dxa"/>
          </w:tcPr>
          <w:p w14:paraId="3C6C3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Украинцев.</w:t>
            </w:r>
          </w:p>
        </w:tc>
        <w:tc>
          <w:tcPr>
            <w:tcW w:w="6946" w:type="dxa"/>
          </w:tcPr>
          <w:p w14:paraId="1DF79E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57A53A" w14:textId="77777777">
        <w:tc>
          <w:tcPr>
            <w:tcW w:w="3510" w:type="dxa"/>
          </w:tcPr>
          <w:p w14:paraId="0C9A7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1DA4B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МДР2-2БМВVIз</w:t>
            </w:r>
          </w:p>
        </w:tc>
      </w:tr>
      <w:tr w:rsidR="00DA227A" w:rsidRPr="00E93F40" w14:paraId="399EEC0B" w14:textId="77777777">
        <w:tc>
          <w:tcPr>
            <w:tcW w:w="3510" w:type="dxa"/>
          </w:tcPr>
          <w:p w14:paraId="416A8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2FFA8A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C429F2" w14:textId="77777777">
        <w:tc>
          <w:tcPr>
            <w:tcW w:w="3510" w:type="dxa"/>
          </w:tcPr>
          <w:p w14:paraId="20D242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3D53E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ном. 187</w:t>
            </w:r>
          </w:p>
        </w:tc>
      </w:tr>
      <w:tr w:rsidR="00DA227A" w:rsidRPr="00E93F40" w14:paraId="61BC4A9B" w14:textId="77777777">
        <w:tc>
          <w:tcPr>
            <w:tcW w:w="3510" w:type="dxa"/>
          </w:tcPr>
          <w:p w14:paraId="3E8A1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52F6D0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2AA59D" w14:textId="77777777">
        <w:tc>
          <w:tcPr>
            <w:tcW w:w="3510" w:type="dxa"/>
          </w:tcPr>
          <w:p w14:paraId="0F870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4B3897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39,75 м/3000</w:t>
            </w:r>
          </w:p>
        </w:tc>
      </w:tr>
      <w:tr w:rsidR="00DA227A" w:rsidRPr="00E93F40" w14:paraId="161FA328" w14:textId="77777777">
        <w:tc>
          <w:tcPr>
            <w:tcW w:w="3510" w:type="dxa"/>
          </w:tcPr>
          <w:p w14:paraId="60204B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51FA9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3330</w:t>
            </w:r>
          </w:p>
        </w:tc>
      </w:tr>
      <w:tr w:rsidR="00DA227A" w:rsidRPr="00E93F40" w14:paraId="4B4DC76D" w14:textId="77777777">
        <w:tc>
          <w:tcPr>
            <w:tcW w:w="3510" w:type="dxa"/>
          </w:tcPr>
          <w:p w14:paraId="56C2E3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0D9FE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пулем., бомбы в счет перегрузки 4х250 или 2Х250+4х100</w:t>
            </w:r>
          </w:p>
        </w:tc>
      </w:tr>
      <w:tr w:rsidR="00DA227A" w:rsidRPr="00E93F40" w14:paraId="0F1E0FB1" w14:textId="77777777">
        <w:tc>
          <w:tcPr>
            <w:tcW w:w="3510" w:type="dxa"/>
          </w:tcPr>
          <w:p w14:paraId="01E87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4E96E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1060</w:t>
            </w:r>
          </w:p>
        </w:tc>
      </w:tr>
      <w:tr w:rsidR="00DA227A" w:rsidRPr="00E93F40" w14:paraId="7EDE73DF" w14:textId="77777777">
        <w:tc>
          <w:tcPr>
            <w:tcW w:w="3510" w:type="dxa"/>
          </w:tcPr>
          <w:p w14:paraId="0F4CB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0CCF11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3952C1" w14:textId="77777777">
        <w:tc>
          <w:tcPr>
            <w:tcW w:w="3510" w:type="dxa"/>
          </w:tcPr>
          <w:p w14:paraId="37102A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022FA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1930 года</w:t>
            </w:r>
          </w:p>
        </w:tc>
      </w:tr>
      <w:tr w:rsidR="00DA227A" w:rsidRPr="00E93F40" w14:paraId="1551573C" w14:textId="77777777">
        <w:tc>
          <w:tcPr>
            <w:tcW w:w="3510" w:type="dxa"/>
          </w:tcPr>
          <w:p w14:paraId="2728A8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DE781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C5FAEE" w14:textId="77777777">
        <w:tc>
          <w:tcPr>
            <w:tcW w:w="3510" w:type="dxa"/>
          </w:tcPr>
          <w:p w14:paraId="6C8C4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5D3A2C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с новыми поплавками большего водоизмещения испытан комиссией. Самолет оценен </w:t>
            </w:r>
          </w:p>
        </w:tc>
      </w:tr>
      <w:tr w:rsidR="00DA227A" w:rsidRPr="00E93F40" w14:paraId="2CD75CBF" w14:textId="77777777">
        <w:tc>
          <w:tcPr>
            <w:tcW w:w="3510" w:type="dxa"/>
          </w:tcPr>
          <w:p w14:paraId="15384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B0654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комиссией неприемлемым для серийной постройки как неподходящий по летно-тактическим </w:t>
            </w:r>
          </w:p>
        </w:tc>
      </w:tr>
      <w:tr w:rsidR="00DA227A" w:rsidRPr="00E93F40" w14:paraId="1D56D279" w14:textId="77777777">
        <w:tc>
          <w:tcPr>
            <w:tcW w:w="3510" w:type="dxa"/>
          </w:tcPr>
          <w:p w14:paraId="5D0DD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75F4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данным на сегодняшний день. Самолет к серийной постройке в 1932 году планом ВАО не </w:t>
            </w:r>
          </w:p>
        </w:tc>
      </w:tr>
      <w:tr w:rsidR="00DA227A" w:rsidRPr="00E93F40" w14:paraId="0EF16830" w14:textId="77777777">
        <w:tc>
          <w:tcPr>
            <w:tcW w:w="3510" w:type="dxa"/>
          </w:tcPr>
          <w:p w14:paraId="26D526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A266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предусмотрен ввиду неудовлетворения его данных техтребованиям, предъявляемым к МДР </w:t>
            </w:r>
          </w:p>
        </w:tc>
      </w:tr>
      <w:tr w:rsidR="00DA227A" w:rsidRPr="00E93F40" w14:paraId="54251858" w14:textId="77777777">
        <w:tc>
          <w:tcPr>
            <w:tcW w:w="3510" w:type="dxa"/>
          </w:tcPr>
          <w:p w14:paraId="5E36C3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5E458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штабом РККА и ориентировки на самолет МДР3-4М17 по расчетным данным удовлетворяющим </w:t>
            </w:r>
          </w:p>
        </w:tc>
      </w:tr>
      <w:tr w:rsidR="00DA227A" w:rsidRPr="00E93F40" w14:paraId="1BD8FB0A" w14:textId="77777777">
        <w:tc>
          <w:tcPr>
            <w:tcW w:w="3510" w:type="dxa"/>
          </w:tcPr>
          <w:p w14:paraId="2E23D7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021C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штаба РККА и находящемся сейчас на заводских испытаниях в Севастополе.</w:t>
            </w:r>
          </w:p>
        </w:tc>
      </w:tr>
      <w:tr w:rsidR="00DA227A" w:rsidRPr="00E93F40" w14:paraId="56B9C206" w14:textId="77777777">
        <w:tc>
          <w:tcPr>
            <w:tcW w:w="3510" w:type="dxa"/>
          </w:tcPr>
          <w:p w14:paraId="6E237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Кудрявцев.</w:t>
            </w:r>
          </w:p>
        </w:tc>
        <w:tc>
          <w:tcPr>
            <w:tcW w:w="6946" w:type="dxa"/>
          </w:tcPr>
          <w:p w14:paraId="61D8D6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BB53F8" w14:textId="77777777">
        <w:tc>
          <w:tcPr>
            <w:tcW w:w="3510" w:type="dxa"/>
          </w:tcPr>
          <w:p w14:paraId="2F5533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72944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МДР1-2БМВVI</w:t>
            </w:r>
          </w:p>
        </w:tc>
      </w:tr>
      <w:tr w:rsidR="00DA227A" w:rsidRPr="00E93F40" w14:paraId="2D1E0956" w14:textId="77777777">
        <w:tc>
          <w:tcPr>
            <w:tcW w:w="3510" w:type="dxa"/>
          </w:tcPr>
          <w:p w14:paraId="33912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1F27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95FE73" w14:textId="77777777">
        <w:tc>
          <w:tcPr>
            <w:tcW w:w="3510" w:type="dxa"/>
          </w:tcPr>
          <w:p w14:paraId="7458F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3A3A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C2CAD8" w14:textId="77777777">
        <w:tc>
          <w:tcPr>
            <w:tcW w:w="3510" w:type="dxa"/>
          </w:tcPr>
          <w:p w14:paraId="7D4F3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6341E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0C96FD" w14:textId="77777777">
        <w:tc>
          <w:tcPr>
            <w:tcW w:w="3510" w:type="dxa"/>
          </w:tcPr>
          <w:p w14:paraId="35ECA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52D9E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32/3000</w:t>
            </w:r>
          </w:p>
        </w:tc>
      </w:tr>
      <w:tr w:rsidR="00DA227A" w:rsidRPr="00E93F40" w14:paraId="68860AF4" w14:textId="77777777">
        <w:tc>
          <w:tcPr>
            <w:tcW w:w="3510" w:type="dxa"/>
          </w:tcPr>
          <w:p w14:paraId="5A092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2CA59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r>
      <w:tr w:rsidR="00DA227A" w:rsidRPr="00E93F40" w14:paraId="2748C336" w14:textId="77777777">
        <w:tc>
          <w:tcPr>
            <w:tcW w:w="3510" w:type="dxa"/>
          </w:tcPr>
          <w:p w14:paraId="795F24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520F12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отсутствует</w:t>
            </w:r>
          </w:p>
        </w:tc>
      </w:tr>
      <w:tr w:rsidR="00DA227A" w:rsidRPr="00E93F40" w14:paraId="1A7191DD" w14:textId="77777777">
        <w:tc>
          <w:tcPr>
            <w:tcW w:w="3510" w:type="dxa"/>
          </w:tcPr>
          <w:p w14:paraId="2D75A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15092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696716A1" w14:textId="77777777">
        <w:tc>
          <w:tcPr>
            <w:tcW w:w="3510" w:type="dxa"/>
          </w:tcPr>
          <w:p w14:paraId="11F579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114399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4D3815" w14:textId="77777777">
        <w:tc>
          <w:tcPr>
            <w:tcW w:w="3510" w:type="dxa"/>
          </w:tcPr>
          <w:p w14:paraId="32DC1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41A65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1931 года</w:t>
            </w:r>
          </w:p>
        </w:tc>
      </w:tr>
      <w:tr w:rsidR="00DA227A" w:rsidRPr="00E93F40" w14:paraId="61C82F5C" w14:textId="77777777">
        <w:tc>
          <w:tcPr>
            <w:tcW w:w="3510" w:type="dxa"/>
          </w:tcPr>
          <w:p w14:paraId="7B6D4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2B687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0B52BA" w14:textId="77777777">
        <w:tc>
          <w:tcPr>
            <w:tcW w:w="3510" w:type="dxa"/>
          </w:tcPr>
          <w:p w14:paraId="57CDD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0EF1DF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идет вне плана ЦКБ. Работы ведутся очень медленно. Лодка закончена в производстве. </w:t>
            </w:r>
          </w:p>
        </w:tc>
      </w:tr>
      <w:tr w:rsidR="00DA227A" w:rsidRPr="00E93F40" w14:paraId="4AF4AF68" w14:textId="77777777">
        <w:tc>
          <w:tcPr>
            <w:tcW w:w="3510" w:type="dxa"/>
          </w:tcPr>
          <w:p w14:paraId="7D71A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D59D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Конструкция крыльев разработана. Внимание КБ обращено всецело на плановые самолеты, а </w:t>
            </w:r>
          </w:p>
        </w:tc>
      </w:tr>
      <w:tr w:rsidR="00DA227A" w:rsidRPr="00E93F40" w14:paraId="09878226" w14:textId="77777777">
        <w:tc>
          <w:tcPr>
            <w:tcW w:w="3510" w:type="dxa"/>
          </w:tcPr>
          <w:p w14:paraId="27FA1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FDE0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МДР1 идет вне плана. Срок окончания в производстве ориентировочно к 1 мая 1932 года. Из </w:t>
            </w:r>
          </w:p>
        </w:tc>
      </w:tr>
      <w:tr w:rsidR="00DA227A" w:rsidRPr="00E93F40" w14:paraId="59E0A878" w14:textId="77777777">
        <w:tc>
          <w:tcPr>
            <w:tcW w:w="3510" w:type="dxa"/>
          </w:tcPr>
          <w:p w14:paraId="2E98A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08AD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проекта плана опытного самолетостроения на 1932-34 г.г. исключен.</w:t>
            </w:r>
          </w:p>
        </w:tc>
      </w:tr>
      <w:tr w:rsidR="00DA227A" w:rsidRPr="00E93F40" w14:paraId="4EF1B34B" w14:textId="77777777">
        <w:tc>
          <w:tcPr>
            <w:tcW w:w="3510" w:type="dxa"/>
          </w:tcPr>
          <w:p w14:paraId="1AABD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Кудрявцев.</w:t>
            </w:r>
          </w:p>
        </w:tc>
        <w:tc>
          <w:tcPr>
            <w:tcW w:w="6946" w:type="dxa"/>
          </w:tcPr>
          <w:p w14:paraId="4EA299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84016E" w14:textId="77777777">
        <w:tc>
          <w:tcPr>
            <w:tcW w:w="3510" w:type="dxa"/>
          </w:tcPr>
          <w:p w14:paraId="29781B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7FD0C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"Звено"</w:t>
            </w:r>
          </w:p>
        </w:tc>
      </w:tr>
      <w:tr w:rsidR="00DA227A" w:rsidRPr="00E93F40" w14:paraId="72E68A37" w14:textId="77777777">
        <w:tc>
          <w:tcPr>
            <w:tcW w:w="3510" w:type="dxa"/>
          </w:tcPr>
          <w:p w14:paraId="6E379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6695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BFF560" w14:textId="77777777">
        <w:tc>
          <w:tcPr>
            <w:tcW w:w="3510" w:type="dxa"/>
          </w:tcPr>
          <w:p w14:paraId="11516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7A6AD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НИИ ВВС совместно с ЦАГИ реализовано изобретение инж. 1 отдела НИИ ВВС Вахмистрова, </w:t>
            </w:r>
          </w:p>
        </w:tc>
      </w:tr>
      <w:tr w:rsidR="00DA227A" w:rsidRPr="00E93F40" w14:paraId="2BDE2F83" w14:textId="77777777">
        <w:tc>
          <w:tcPr>
            <w:tcW w:w="3510" w:type="dxa"/>
          </w:tcPr>
          <w:p w14:paraId="32356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4FCA8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заключающееся в установке на крылья самолета ТБ-1 - 2М17 2-х самолетов - И-4 ЮVI с </w:t>
            </w:r>
          </w:p>
        </w:tc>
      </w:tr>
      <w:tr w:rsidR="00DA227A" w:rsidRPr="00E93F40" w14:paraId="4351D182" w14:textId="77777777">
        <w:tc>
          <w:tcPr>
            <w:tcW w:w="3510" w:type="dxa"/>
          </w:tcPr>
          <w:p w14:paraId="05D17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63D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возможностью их отцепки в воздухе. Изобретение позволяет в основном:</w:t>
            </w:r>
          </w:p>
        </w:tc>
      </w:tr>
      <w:tr w:rsidR="00DA227A" w:rsidRPr="00E93F40" w14:paraId="65EA1F96" w14:textId="77777777">
        <w:tc>
          <w:tcPr>
            <w:tcW w:w="3510" w:type="dxa"/>
          </w:tcPr>
          <w:p w14:paraId="34DF4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5916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Увеличить грузоподъемность и радиус действия самолета ТБ-1-2М17.</w:t>
            </w:r>
          </w:p>
        </w:tc>
      </w:tr>
      <w:tr w:rsidR="00DA227A" w:rsidRPr="00E93F40" w14:paraId="6E3DFA5D" w14:textId="77777777">
        <w:tc>
          <w:tcPr>
            <w:tcW w:w="3510" w:type="dxa"/>
          </w:tcPr>
          <w:p w14:paraId="61CA9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4A66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того, что истребители при полете питаются горючим бомбовоза, получить бомбовозу </w:t>
            </w:r>
          </w:p>
        </w:tc>
      </w:tr>
      <w:tr w:rsidR="00DA227A" w:rsidRPr="00E93F40" w14:paraId="30FF0635" w14:textId="77777777">
        <w:tc>
          <w:tcPr>
            <w:tcW w:w="3510" w:type="dxa"/>
          </w:tcPr>
          <w:p w14:paraId="5ABAA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4E56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истребительную охрану на радиусе равном дальности полета истребителя.</w:t>
            </w:r>
          </w:p>
        </w:tc>
      </w:tr>
      <w:tr w:rsidR="00DA227A" w:rsidRPr="00E93F40" w14:paraId="571BBF2D" w14:textId="77777777">
        <w:tc>
          <w:tcPr>
            <w:tcW w:w="3510" w:type="dxa"/>
          </w:tcPr>
          <w:p w14:paraId="429DE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EB23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Проведенный испытательный полет показал хорошее поведение трех сцепленных самолетов в </w:t>
            </w:r>
          </w:p>
        </w:tc>
      </w:tr>
      <w:tr w:rsidR="00DA227A" w:rsidRPr="00E93F40" w14:paraId="022DF0DE" w14:textId="77777777">
        <w:tc>
          <w:tcPr>
            <w:tcW w:w="3510" w:type="dxa"/>
          </w:tcPr>
          <w:p w14:paraId="5E8207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79BB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воздухе, а также возможность расцепления. В настоящее время ведутся работы по установке </w:t>
            </w:r>
          </w:p>
        </w:tc>
      </w:tr>
      <w:tr w:rsidR="00DA227A" w:rsidRPr="00E93F40" w14:paraId="17178873" w14:textId="77777777">
        <w:tc>
          <w:tcPr>
            <w:tcW w:w="3510" w:type="dxa"/>
          </w:tcPr>
          <w:p w14:paraId="377E3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FF28C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самолетов И-4 на ТБ-1 в зимних условиях (на лыжах), срок окончания работ 1-15 февраля 1932</w:t>
            </w:r>
          </w:p>
        </w:tc>
      </w:tr>
      <w:tr w:rsidR="00DA227A" w:rsidRPr="00E93F40" w14:paraId="67FBEB70" w14:textId="77777777">
        <w:tc>
          <w:tcPr>
            <w:tcW w:w="3510" w:type="dxa"/>
          </w:tcPr>
          <w:p w14:paraId="7CDA62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1071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года.</w:t>
            </w:r>
          </w:p>
        </w:tc>
      </w:tr>
      <w:tr w:rsidR="00DA227A" w:rsidRPr="00E93F40" w14:paraId="1E10D25E" w14:textId="77777777">
        <w:tc>
          <w:tcPr>
            <w:tcW w:w="3510" w:type="dxa"/>
          </w:tcPr>
          <w:p w14:paraId="46841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Вахмистров.</w:t>
            </w:r>
          </w:p>
        </w:tc>
        <w:tc>
          <w:tcPr>
            <w:tcW w:w="6946" w:type="dxa"/>
          </w:tcPr>
          <w:p w14:paraId="545D6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E56DE2" w14:textId="77777777">
        <w:tc>
          <w:tcPr>
            <w:tcW w:w="3510" w:type="dxa"/>
          </w:tcPr>
          <w:p w14:paraId="06632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4619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МУ3-М11</w:t>
            </w:r>
          </w:p>
        </w:tc>
      </w:tr>
      <w:tr w:rsidR="00DA227A" w:rsidRPr="00E93F40" w14:paraId="168713EC" w14:textId="77777777">
        <w:tc>
          <w:tcPr>
            <w:tcW w:w="3510" w:type="dxa"/>
          </w:tcPr>
          <w:p w14:paraId="52B549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0FD26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EB0061" w14:textId="77777777">
        <w:tc>
          <w:tcPr>
            <w:tcW w:w="3510" w:type="dxa"/>
          </w:tcPr>
          <w:p w14:paraId="571414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385910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120/130/0</w:t>
            </w:r>
          </w:p>
        </w:tc>
      </w:tr>
      <w:tr w:rsidR="00DA227A" w:rsidRPr="00E93F40" w14:paraId="553A2601" w14:textId="77777777">
        <w:tc>
          <w:tcPr>
            <w:tcW w:w="3510" w:type="dxa"/>
          </w:tcPr>
          <w:p w14:paraId="117A7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213A5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78526C5" w14:textId="77777777">
        <w:tc>
          <w:tcPr>
            <w:tcW w:w="3510" w:type="dxa"/>
          </w:tcPr>
          <w:p w14:paraId="32D0D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1212D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84A1D1" w14:textId="77777777">
        <w:tc>
          <w:tcPr>
            <w:tcW w:w="3510" w:type="dxa"/>
          </w:tcPr>
          <w:p w14:paraId="4A2D5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47836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4028FD08" w14:textId="77777777">
        <w:tc>
          <w:tcPr>
            <w:tcW w:w="3510" w:type="dxa"/>
          </w:tcPr>
          <w:p w14:paraId="79408E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3CA926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90A948" w14:textId="77777777">
        <w:tc>
          <w:tcPr>
            <w:tcW w:w="3510" w:type="dxa"/>
          </w:tcPr>
          <w:p w14:paraId="7F800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6C9E7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 3 час.</w:t>
            </w:r>
          </w:p>
        </w:tc>
      </w:tr>
      <w:tr w:rsidR="00DA227A" w:rsidRPr="00E93F40" w14:paraId="48CED48B" w14:textId="77777777">
        <w:tc>
          <w:tcPr>
            <w:tcW w:w="3510" w:type="dxa"/>
          </w:tcPr>
          <w:p w14:paraId="23BAE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552D6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A3D9B3" w14:textId="77777777">
        <w:tc>
          <w:tcPr>
            <w:tcW w:w="3510" w:type="dxa"/>
          </w:tcPr>
          <w:p w14:paraId="41BCB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7F8DF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1931 года</w:t>
            </w:r>
          </w:p>
        </w:tc>
      </w:tr>
      <w:tr w:rsidR="00DA227A" w:rsidRPr="00E93F40" w14:paraId="01A5739A" w14:textId="77777777">
        <w:tc>
          <w:tcPr>
            <w:tcW w:w="3510" w:type="dxa"/>
          </w:tcPr>
          <w:p w14:paraId="1CE36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59E6AD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B02147" w14:textId="77777777">
        <w:tc>
          <w:tcPr>
            <w:tcW w:w="3510" w:type="dxa"/>
          </w:tcPr>
          <w:p w14:paraId="435099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061564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прошел гос. испытания в ОАО НИИ в Севастополе. Для учебных целей МУ3 не </w:t>
            </w:r>
          </w:p>
        </w:tc>
      </w:tr>
      <w:tr w:rsidR="00DA227A" w:rsidRPr="00E93F40" w14:paraId="0B7CB331" w14:textId="77777777">
        <w:tc>
          <w:tcPr>
            <w:tcW w:w="3510" w:type="dxa"/>
          </w:tcPr>
          <w:p w14:paraId="68F99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B154E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поступит по следующим соображениям:</w:t>
            </w:r>
          </w:p>
        </w:tc>
      </w:tr>
      <w:tr w:rsidR="00DA227A" w:rsidRPr="00E93F40" w14:paraId="3CB22567" w14:textId="77777777">
        <w:tc>
          <w:tcPr>
            <w:tcW w:w="3510" w:type="dxa"/>
          </w:tcPr>
          <w:p w14:paraId="49F312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D16B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Длительный разбег с нормальной нагрузкой 30-32.</w:t>
            </w:r>
          </w:p>
        </w:tc>
      </w:tr>
      <w:tr w:rsidR="00DA227A" w:rsidRPr="00E93F40" w14:paraId="58DE8A8C" w14:textId="77777777">
        <w:tc>
          <w:tcPr>
            <w:tcW w:w="3510" w:type="dxa"/>
          </w:tcPr>
          <w:p w14:paraId="1951A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C27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2000 м - мал.</w:t>
            </w:r>
          </w:p>
        </w:tc>
      </w:tr>
      <w:tr w:rsidR="00DA227A" w:rsidRPr="00E93F40" w14:paraId="2BBDF6D3" w14:textId="77777777">
        <w:tc>
          <w:tcPr>
            <w:tcW w:w="3510" w:type="dxa"/>
          </w:tcPr>
          <w:p w14:paraId="6C7601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23F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делает никаких фигур (за исключением виражей).</w:t>
            </w:r>
          </w:p>
        </w:tc>
      </w:tr>
      <w:tr w:rsidR="00DA227A" w:rsidRPr="00E93F40" w14:paraId="48850FA7" w14:textId="77777777">
        <w:tc>
          <w:tcPr>
            <w:tcW w:w="3510" w:type="dxa"/>
          </w:tcPr>
          <w:p w14:paraId="31B2C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Украинцев.</w:t>
            </w:r>
          </w:p>
        </w:tc>
        <w:tc>
          <w:tcPr>
            <w:tcW w:w="6946" w:type="dxa"/>
          </w:tcPr>
          <w:p w14:paraId="31CAB4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07B632" w14:textId="77777777">
        <w:tc>
          <w:tcPr>
            <w:tcW w:w="3510" w:type="dxa"/>
          </w:tcPr>
          <w:p w14:paraId="33B65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74DC7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МТБ1-2БМВVI</w:t>
            </w:r>
          </w:p>
        </w:tc>
      </w:tr>
      <w:tr w:rsidR="00DA227A" w:rsidRPr="00E93F40" w14:paraId="5B8154C0" w14:textId="77777777">
        <w:tc>
          <w:tcPr>
            <w:tcW w:w="3510" w:type="dxa"/>
          </w:tcPr>
          <w:p w14:paraId="6AE57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7F181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D802BE" w14:textId="77777777">
        <w:tc>
          <w:tcPr>
            <w:tcW w:w="3510" w:type="dxa"/>
          </w:tcPr>
          <w:p w14:paraId="0B9D2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2648A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170/180/0</w:t>
            </w:r>
          </w:p>
        </w:tc>
      </w:tr>
      <w:tr w:rsidR="00DA227A" w:rsidRPr="00E93F40" w14:paraId="26CFA8EC" w14:textId="77777777">
        <w:tc>
          <w:tcPr>
            <w:tcW w:w="3510" w:type="dxa"/>
          </w:tcPr>
          <w:p w14:paraId="15EE2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6BC60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969C99" w14:textId="77777777">
        <w:tc>
          <w:tcPr>
            <w:tcW w:w="3510" w:type="dxa"/>
          </w:tcPr>
          <w:p w14:paraId="07903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высоту</w:t>
            </w:r>
          </w:p>
        </w:tc>
        <w:tc>
          <w:tcPr>
            <w:tcW w:w="6946" w:type="dxa"/>
          </w:tcPr>
          <w:p w14:paraId="41995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20-30/3000</w:t>
            </w:r>
          </w:p>
        </w:tc>
      </w:tr>
      <w:tr w:rsidR="00DA227A" w:rsidRPr="00E93F40" w14:paraId="2403732F" w14:textId="77777777">
        <w:tc>
          <w:tcPr>
            <w:tcW w:w="3510" w:type="dxa"/>
          </w:tcPr>
          <w:p w14:paraId="570268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1260BB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3500-4000</w:t>
            </w:r>
          </w:p>
        </w:tc>
      </w:tr>
      <w:tr w:rsidR="00DA227A" w:rsidRPr="00E93F40" w14:paraId="627AA91D" w14:textId="77777777">
        <w:tc>
          <w:tcPr>
            <w:tcW w:w="3510" w:type="dxa"/>
          </w:tcPr>
          <w:p w14:paraId="33668E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0065F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 - 4 торпед.</w:t>
            </w:r>
          </w:p>
        </w:tc>
      </w:tr>
      <w:tr w:rsidR="00DA227A" w:rsidRPr="00E93F40" w14:paraId="0FE0D70C" w14:textId="77777777">
        <w:tc>
          <w:tcPr>
            <w:tcW w:w="3510" w:type="dxa"/>
          </w:tcPr>
          <w:p w14:paraId="16B6B6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7A8308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 полета 4 час.</w:t>
            </w:r>
          </w:p>
        </w:tc>
      </w:tr>
      <w:tr w:rsidR="00DA227A" w:rsidRPr="00E93F40" w14:paraId="153895E7" w14:textId="77777777">
        <w:tc>
          <w:tcPr>
            <w:tcW w:w="3510" w:type="dxa"/>
          </w:tcPr>
          <w:p w14:paraId="3FA69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7646CD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999906" w14:textId="77777777">
        <w:tc>
          <w:tcPr>
            <w:tcW w:w="3510" w:type="dxa"/>
          </w:tcPr>
          <w:p w14:paraId="36DB7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1D9D8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1930 года</w:t>
            </w:r>
          </w:p>
        </w:tc>
      </w:tr>
      <w:tr w:rsidR="00DA227A" w:rsidRPr="00E93F40" w14:paraId="267C6AFB" w14:textId="77777777">
        <w:tc>
          <w:tcPr>
            <w:tcW w:w="3510" w:type="dxa"/>
          </w:tcPr>
          <w:p w14:paraId="02906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77EEF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A456B6" w14:textId="77777777">
        <w:tc>
          <w:tcPr>
            <w:tcW w:w="3510" w:type="dxa"/>
          </w:tcPr>
          <w:p w14:paraId="0E20F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215D3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1 января 1931 года по настоящее время находится в Севастополе не будучи доведен. </w:t>
            </w:r>
          </w:p>
        </w:tc>
      </w:tr>
      <w:tr w:rsidR="00DA227A" w:rsidRPr="00E93F40" w14:paraId="1A7844CD" w14:textId="77777777">
        <w:tc>
          <w:tcPr>
            <w:tcW w:w="3510" w:type="dxa"/>
          </w:tcPr>
          <w:p w14:paraId="2E9F3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E01E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Находится без достаточного присмотра, внимания и коррозирует. ВАО думает закончить </w:t>
            </w:r>
          </w:p>
        </w:tc>
      </w:tr>
      <w:tr w:rsidR="00DA227A" w:rsidRPr="00E93F40" w14:paraId="1BA82C86" w14:textId="77777777">
        <w:tc>
          <w:tcPr>
            <w:tcW w:w="3510" w:type="dxa"/>
          </w:tcPr>
          <w:p w14:paraId="12F43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0FA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в период с февраля 1932 года по май 1932 года.</w:t>
            </w:r>
          </w:p>
        </w:tc>
      </w:tr>
      <w:tr w:rsidR="00DA227A" w:rsidRPr="00E93F40" w14:paraId="26DE1974" w14:textId="77777777">
        <w:tc>
          <w:tcPr>
            <w:tcW w:w="3510" w:type="dxa"/>
          </w:tcPr>
          <w:p w14:paraId="1DC0C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DEA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самолет в целом не интересует, за исключением некоторых конструктивных деталей.</w:t>
            </w:r>
          </w:p>
        </w:tc>
      </w:tr>
      <w:tr w:rsidR="00DA227A" w:rsidRPr="00E93F40" w14:paraId="407959C0" w14:textId="77777777">
        <w:tc>
          <w:tcPr>
            <w:tcW w:w="3510" w:type="dxa"/>
          </w:tcPr>
          <w:p w14:paraId="31833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2682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Планом опытного строительства на 1932-34 г.г. не предусмотрен.</w:t>
            </w:r>
          </w:p>
        </w:tc>
      </w:tr>
      <w:tr w:rsidR="00DA227A" w:rsidRPr="00E93F40" w14:paraId="1129D972" w14:textId="77777777">
        <w:tc>
          <w:tcPr>
            <w:tcW w:w="3510" w:type="dxa"/>
          </w:tcPr>
          <w:p w14:paraId="0A74E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Кудрявцев.</w:t>
            </w:r>
          </w:p>
        </w:tc>
        <w:tc>
          <w:tcPr>
            <w:tcW w:w="6946" w:type="dxa"/>
          </w:tcPr>
          <w:p w14:paraId="428205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5A2EEE" w14:textId="77777777">
        <w:tc>
          <w:tcPr>
            <w:tcW w:w="3510" w:type="dxa"/>
          </w:tcPr>
          <w:p w14:paraId="0D87B2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9D4A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МБР2-БМВVI</w:t>
            </w:r>
          </w:p>
        </w:tc>
      </w:tr>
      <w:tr w:rsidR="00DA227A" w:rsidRPr="00E93F40" w14:paraId="2E482D73" w14:textId="77777777">
        <w:tc>
          <w:tcPr>
            <w:tcW w:w="3510" w:type="dxa"/>
          </w:tcPr>
          <w:p w14:paraId="67C74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63397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3F656B" w14:textId="77777777">
        <w:tc>
          <w:tcPr>
            <w:tcW w:w="3510" w:type="dxa"/>
          </w:tcPr>
          <w:p w14:paraId="22045D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1C9092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r>
      <w:tr w:rsidR="00DA227A" w:rsidRPr="00E93F40" w14:paraId="109BDA3D" w14:textId="77777777">
        <w:tc>
          <w:tcPr>
            <w:tcW w:w="3510" w:type="dxa"/>
          </w:tcPr>
          <w:p w14:paraId="2822A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5477B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CE9314" w14:textId="77777777">
        <w:tc>
          <w:tcPr>
            <w:tcW w:w="3510" w:type="dxa"/>
          </w:tcPr>
          <w:p w14:paraId="461013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71B8B3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15-50/3000</w:t>
            </w:r>
          </w:p>
        </w:tc>
      </w:tr>
      <w:tr w:rsidR="00DA227A" w:rsidRPr="00E93F40" w14:paraId="01ADED2A" w14:textId="77777777">
        <w:tc>
          <w:tcPr>
            <w:tcW w:w="3510" w:type="dxa"/>
          </w:tcPr>
          <w:p w14:paraId="70ED3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5859A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69A570C4" w14:textId="77777777">
        <w:tc>
          <w:tcPr>
            <w:tcW w:w="3510" w:type="dxa"/>
          </w:tcPr>
          <w:p w14:paraId="08700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4D9F0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 бомбы за счет перегрузки</w:t>
            </w:r>
          </w:p>
        </w:tc>
      </w:tr>
      <w:tr w:rsidR="00DA227A" w:rsidRPr="00E93F40" w14:paraId="33934982" w14:textId="77777777">
        <w:tc>
          <w:tcPr>
            <w:tcW w:w="3510" w:type="dxa"/>
          </w:tcPr>
          <w:p w14:paraId="0AE400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67EE1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r>
      <w:tr w:rsidR="00DA227A" w:rsidRPr="00E93F40" w14:paraId="76341017" w14:textId="77777777">
        <w:tc>
          <w:tcPr>
            <w:tcW w:w="3510" w:type="dxa"/>
          </w:tcPr>
          <w:p w14:paraId="3477C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736EA1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F9113A" w14:textId="77777777">
        <w:tc>
          <w:tcPr>
            <w:tcW w:w="3510" w:type="dxa"/>
          </w:tcPr>
          <w:p w14:paraId="465A2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6946" w:type="dxa"/>
          </w:tcPr>
          <w:p w14:paraId="0C1AA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1931 года</w:t>
            </w:r>
          </w:p>
        </w:tc>
      </w:tr>
      <w:tr w:rsidR="00DA227A" w:rsidRPr="00E93F40" w14:paraId="4A0226C2" w14:textId="77777777">
        <w:tc>
          <w:tcPr>
            <w:tcW w:w="3510" w:type="dxa"/>
          </w:tcPr>
          <w:p w14:paraId="1216C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0F2999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85C1BF" w14:textId="77777777">
        <w:tc>
          <w:tcPr>
            <w:tcW w:w="3510" w:type="dxa"/>
          </w:tcPr>
          <w:p w14:paraId="4F95B3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D0B5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за исключением мотоустановки готов в производстве. Статистические испытания </w:t>
            </w:r>
          </w:p>
        </w:tc>
      </w:tr>
      <w:tr w:rsidR="00DA227A" w:rsidRPr="00E93F40" w14:paraId="1E541C88" w14:textId="77777777">
        <w:tc>
          <w:tcPr>
            <w:tcW w:w="3510" w:type="dxa"/>
          </w:tcPr>
          <w:p w14:paraId="0466B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318E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показали недостаточную прочность узлов крепления крыльев (вместо 7 кратн. Есть только 6).</w:t>
            </w:r>
          </w:p>
        </w:tc>
      </w:tr>
      <w:tr w:rsidR="00DA227A" w:rsidRPr="00E93F40" w14:paraId="5D446AE3" w14:textId="77777777">
        <w:tc>
          <w:tcPr>
            <w:tcW w:w="3510" w:type="dxa"/>
          </w:tcPr>
          <w:p w14:paraId="1BD74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E145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заводск. Испытания возможно выйдут 1 марта 1932 года. Разрешается вопрос с дачей </w:t>
            </w:r>
          </w:p>
        </w:tc>
      </w:tr>
      <w:tr w:rsidR="00DA227A" w:rsidRPr="00E93F40" w14:paraId="213037E5" w14:textId="77777777">
        <w:tc>
          <w:tcPr>
            <w:tcW w:w="3510" w:type="dxa"/>
          </w:tcPr>
          <w:p w14:paraId="24C57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69019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задания ВАО о разработке вопроса с установкой АССО/750 и затем М-34 на самолет для </w:t>
            </w:r>
          </w:p>
        </w:tc>
      </w:tr>
      <w:tr w:rsidR="00DA227A" w:rsidRPr="00E93F40" w14:paraId="22DB32EF" w14:textId="77777777">
        <w:tc>
          <w:tcPr>
            <w:tcW w:w="3510" w:type="dxa"/>
          </w:tcPr>
          <w:p w14:paraId="51DD1C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A9EA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получения сравнительных данных с С62б-АССО/750.</w:t>
            </w:r>
          </w:p>
        </w:tc>
      </w:tr>
      <w:tr w:rsidR="00DA227A" w:rsidRPr="00E93F40" w14:paraId="4E211C33" w14:textId="77777777">
        <w:tc>
          <w:tcPr>
            <w:tcW w:w="3510" w:type="dxa"/>
          </w:tcPr>
          <w:p w14:paraId="4E3DC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Волков.</w:t>
            </w:r>
          </w:p>
        </w:tc>
        <w:tc>
          <w:tcPr>
            <w:tcW w:w="6946" w:type="dxa"/>
          </w:tcPr>
          <w:p w14:paraId="32039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4554EE" w14:textId="77777777">
        <w:tc>
          <w:tcPr>
            <w:tcW w:w="3510" w:type="dxa"/>
          </w:tcPr>
          <w:p w14:paraId="6743AB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6946" w:type="dxa"/>
          </w:tcPr>
          <w:p w14:paraId="2A19A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МБР3-2М22</w:t>
            </w:r>
          </w:p>
        </w:tc>
      </w:tr>
      <w:tr w:rsidR="00DA227A" w:rsidRPr="00E93F40" w14:paraId="5865E488" w14:textId="77777777">
        <w:tc>
          <w:tcPr>
            <w:tcW w:w="3510" w:type="dxa"/>
          </w:tcPr>
          <w:p w14:paraId="3FD80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Максимум горизонт. скор.</w:t>
            </w:r>
          </w:p>
        </w:tc>
        <w:tc>
          <w:tcPr>
            <w:tcW w:w="6946" w:type="dxa"/>
          </w:tcPr>
          <w:p w14:paraId="5CEBAD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D4964F" w14:textId="77777777">
        <w:tc>
          <w:tcPr>
            <w:tcW w:w="3510" w:type="dxa"/>
          </w:tcPr>
          <w:p w14:paraId="57FD0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tc>
        <w:tc>
          <w:tcPr>
            <w:tcW w:w="6946" w:type="dxa"/>
          </w:tcPr>
          <w:p w14:paraId="220AF7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w:t>
            </w:r>
          </w:p>
        </w:tc>
      </w:tr>
      <w:tr w:rsidR="00DA227A" w:rsidRPr="00E93F40" w14:paraId="6E76A203" w14:textId="77777777">
        <w:tc>
          <w:tcPr>
            <w:tcW w:w="3510" w:type="dxa"/>
          </w:tcPr>
          <w:p w14:paraId="0B971C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Скороподъмность мин.</w:t>
            </w:r>
          </w:p>
        </w:tc>
        <w:tc>
          <w:tcPr>
            <w:tcW w:w="6946" w:type="dxa"/>
          </w:tcPr>
          <w:p w14:paraId="3F20F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703A8F" w14:textId="77777777">
        <w:tc>
          <w:tcPr>
            <w:tcW w:w="3510" w:type="dxa"/>
          </w:tcPr>
          <w:p w14:paraId="583232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6946" w:type="dxa"/>
          </w:tcPr>
          <w:p w14:paraId="18CCB6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166FA7" w14:textId="77777777">
        <w:tc>
          <w:tcPr>
            <w:tcW w:w="3510" w:type="dxa"/>
          </w:tcPr>
          <w:p w14:paraId="6C833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в м</w:t>
            </w:r>
          </w:p>
        </w:tc>
        <w:tc>
          <w:tcPr>
            <w:tcW w:w="6946" w:type="dxa"/>
          </w:tcPr>
          <w:p w14:paraId="00FF6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77D0EE" w14:textId="77777777">
        <w:tc>
          <w:tcPr>
            <w:tcW w:w="3510" w:type="dxa"/>
          </w:tcPr>
          <w:p w14:paraId="34C63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6946" w:type="dxa"/>
          </w:tcPr>
          <w:p w14:paraId="340EA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r>
      <w:tr w:rsidR="00DA227A" w:rsidRPr="00E93F40" w14:paraId="797F737D" w14:textId="77777777">
        <w:tc>
          <w:tcPr>
            <w:tcW w:w="3510" w:type="dxa"/>
          </w:tcPr>
          <w:p w14:paraId="3996FE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p>
        </w:tc>
        <w:tc>
          <w:tcPr>
            <w:tcW w:w="6946" w:type="dxa"/>
          </w:tcPr>
          <w:p w14:paraId="70BF64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 6-7 час.</w:t>
            </w:r>
          </w:p>
        </w:tc>
      </w:tr>
      <w:tr w:rsidR="00DA227A" w:rsidRPr="00E93F40" w14:paraId="60A2AFD3" w14:textId="77777777">
        <w:tc>
          <w:tcPr>
            <w:tcW w:w="3510" w:type="dxa"/>
          </w:tcPr>
          <w:p w14:paraId="297E7F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предъявления на</w:t>
            </w:r>
          </w:p>
        </w:tc>
        <w:tc>
          <w:tcPr>
            <w:tcW w:w="6946" w:type="dxa"/>
          </w:tcPr>
          <w:p w14:paraId="74E71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B6579F" w14:textId="77777777">
        <w:tc>
          <w:tcPr>
            <w:tcW w:w="3510" w:type="dxa"/>
          </w:tcPr>
          <w:p w14:paraId="5C4011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6946" w:type="dxa"/>
          </w:tcPr>
          <w:p w14:paraId="20F72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5C4914CB" w14:textId="77777777">
        <w:tc>
          <w:tcPr>
            <w:tcW w:w="3510" w:type="dxa"/>
          </w:tcPr>
          <w:p w14:paraId="224C3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w:t>
            </w:r>
          </w:p>
        </w:tc>
        <w:tc>
          <w:tcPr>
            <w:tcW w:w="6946" w:type="dxa"/>
          </w:tcPr>
          <w:p w14:paraId="60C40D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4DB5AF" w14:textId="77777777">
        <w:tc>
          <w:tcPr>
            <w:tcW w:w="3510" w:type="dxa"/>
          </w:tcPr>
          <w:p w14:paraId="7AAF9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6946" w:type="dxa"/>
          </w:tcPr>
          <w:p w14:paraId="3CE1B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Макет уже закончен. Разработка в КБ в общем закончена. Из КБ материалы должны быть </w:t>
            </w:r>
          </w:p>
        </w:tc>
      </w:tr>
      <w:tr w:rsidR="00DA227A" w:rsidRPr="00E93F40" w14:paraId="3F2EA536" w14:textId="77777777">
        <w:tc>
          <w:tcPr>
            <w:tcW w:w="3510" w:type="dxa"/>
          </w:tcPr>
          <w:p w14:paraId="2F3FD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79D0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переданы в производство</w:t>
            </w:r>
          </w:p>
        </w:tc>
      </w:tr>
      <w:tr w:rsidR="00DA227A" w:rsidRPr="00E93F40" w14:paraId="42D7F012" w14:textId="77777777">
        <w:tc>
          <w:tcPr>
            <w:tcW w:w="3510" w:type="dxa"/>
          </w:tcPr>
          <w:p w14:paraId="7B84EE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Предусмотрен планом опытного строительства на 1932-34 г.г.</w:t>
            </w:r>
          </w:p>
          <w:p w14:paraId="35BC5F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6A7E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E93F40" w14:paraId="10CEFD20" w14:textId="77777777">
        <w:tc>
          <w:tcPr>
            <w:tcW w:w="3510" w:type="dxa"/>
          </w:tcPr>
          <w:p w14:paraId="7121B2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Наблюдающий инженер Украинцев (3474,28-35)</w:t>
            </w:r>
          </w:p>
        </w:tc>
        <w:tc>
          <w:tcPr>
            <w:tcW w:w="6946" w:type="dxa"/>
          </w:tcPr>
          <w:p w14:paraId="34B7F8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6FD1758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E516D3"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г. ВАО подчинено НКТП, которое далее преобразовано в Государственное управление авиапромышленности (ГУАП, Глававиапром) – государственную бюджетную организацию (первый начальник – П.И. Баранов), в подчинение которой вошло и ЦКБ-39.</w:t>
      </w:r>
    </w:p>
    <w:p w14:paraId="74A9767D"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ГУАП по инициативе П.И. Баранова образован Отдел технико-экономических исследований, который составил варианты плана развития отрасли на периоды 1933 – 1935 гг. и 1936 – 1937 гг. После смерти Баранова в авиакатастрофе 05.09.1933 г. начальником Глававиапрома стал Г.Н. Королев, а с 1935 г. – М.М. Каганович. В том же году Главным инженером ГУАП назначен А.Н. Туполев, а отдел опытного самолетостроения ГУАП возглавил С.В. Ильюшин, продолжая руководить и ЦКБ-39 (23554).</w:t>
      </w:r>
    </w:p>
    <w:p w14:paraId="24339173" w14:textId="77777777" w:rsidR="00356882" w:rsidRPr="00E93F40" w:rsidRDefault="00356882" w:rsidP="00E93F40">
      <w:pPr>
        <w:spacing w:after="0" w:line="240" w:lineRule="auto"/>
        <w:jc w:val="both"/>
        <w:rPr>
          <w:rFonts w:ascii="Times New Roman" w:hAnsi="Times New Roman"/>
          <w:color w:val="000000" w:themeColor="text1"/>
          <w:sz w:val="16"/>
          <w:szCs w:val="16"/>
        </w:rPr>
      </w:pPr>
    </w:p>
    <w:p w14:paraId="0D134870"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10 января 1932 г. Главное управление авиационной промышленности при ВСНХ СССР стало ГК при Народном комиссариате тяжелой промышленности, а позже, с декабря 1936 г., — в Первое главное (авиационное) управление Наркомата оборонной промышленности (25035).</w:t>
      </w:r>
    </w:p>
    <w:p w14:paraId="37CEADFB" w14:textId="77777777" w:rsidR="006551DA" w:rsidRPr="00142305" w:rsidRDefault="006551DA" w:rsidP="006551DA">
      <w:pPr>
        <w:spacing w:after="0" w:line="240" w:lineRule="auto"/>
        <w:jc w:val="both"/>
        <w:rPr>
          <w:rFonts w:ascii="Times New Roman" w:hAnsi="Times New Roman"/>
          <w:color w:val="0070C0"/>
          <w:sz w:val="16"/>
          <w:szCs w:val="16"/>
        </w:rPr>
      </w:pPr>
    </w:p>
    <w:p w14:paraId="4B9C5A98" w14:textId="7B8621B9" w:rsidR="00282CC6" w:rsidRPr="00E93F40" w:rsidRDefault="00282C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Тушино основан моторостроительный завод № 63 ГВФ, ныне ММП им. В.В.Чернышева (22672).</w:t>
      </w:r>
    </w:p>
    <w:p w14:paraId="484C5B13" w14:textId="77777777" w:rsidR="00282CC6" w:rsidRPr="00E93F40" w:rsidRDefault="00282CC6" w:rsidP="00E93F40">
      <w:pPr>
        <w:spacing w:after="0" w:line="240" w:lineRule="auto"/>
        <w:jc w:val="both"/>
        <w:rPr>
          <w:rFonts w:ascii="Times New Roman" w:hAnsi="Times New Roman"/>
          <w:color w:val="000000" w:themeColor="text1"/>
          <w:sz w:val="16"/>
          <w:szCs w:val="16"/>
        </w:rPr>
      </w:pPr>
    </w:p>
    <w:p w14:paraId="519607F8" w14:textId="77777777" w:rsidR="00257404" w:rsidRPr="00E93F40" w:rsidRDefault="00257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10 января</w:t>
      </w:r>
      <w:r w:rsidRPr="00E93F40">
        <w:rPr>
          <w:rFonts w:ascii="Times New Roman" w:hAnsi="Times New Roman"/>
          <w:color w:val="000000" w:themeColor="text1"/>
          <w:sz w:val="16"/>
          <w:szCs w:val="16"/>
        </w:rPr>
        <w:t xml:space="preserve"> в 1932 году в Тушино основан моторостроительный завод № 63 ГВФ, ныне ММП имени В.В.Чернышева. Здесь впервые в стране изготавливаются звездообразные поршневые моторы конструкции А. Швецова - А. Назарова - М.Коссова: «МГ-11», «МГ-212 и «МГ-31Ф» (мощностью от 150 до 330 л. с.) для легких гражданских самолетов («Сталь-2», «Ш-7» и др.). В годы Великой Отечественной войны на заводе производятся авиадизели конструкции А. Чаромского - Ф. Тулупова - В. Яковлева: «АН-1», «М – 30», «АЧ-30Б» (мощностью от 900 до 1500 л. с.) для ночных бомбардировщиков «Пе-8», «Ер-2», а также торпедных катеров и танков. Организованно крупносерийное производство первых в стране турбореактивных двигателей РД-500 (тяга 1,6 т) на базе «Dervent-V», «ВК-1» (тяга 2,7 т) конструкции В. Климова, который позволил истребителю-перехватчику «МиГ-15» бис увеличить дальность полета до 2000 км, а фронтовому истребителю «МиГ-17» стать первым отечественным самолетом, превысившим скорость звука в горизонтальном полете. Двигатели использовались на самолетах Ильюшина, Лавочкина, Микояна, Сухого, Туполева, Яковлева. В 1952 г. На заводе начинается производство авиадвигателя «АМ-5А» (конструкции А. Микулина), который устанавливается на всепогодном истребителе-перехватчике «Як-25». 1958 г. Завод приступает к изготовлению двигателя С. Туманского «Р11Ф-300» (тяга 6,2 т.), который на истребителе МиГ-21 позволил установить рекорды скорости и высоты полета. Одновременно на заводе изготавливаются жидкостно-реактивные двигатели «С2-1150» конструкции А.Исаева для межконтинентальной крылатой ракеты «Буря», изготовление которой имело важное значение в развитии сверхзвуковой авиации. Начат серийный выпуск мощных двухвальных ТРДФ со сверхзвуковыми ступенями компрессора конструкции С.Туманского, Н. Мецхваришвили - К.Хачатурова: «Р11В-300», «Р11АФ-300», «Р11Ф2С-300», «Р29-300», «Р29Б-300», «Р-35» с тягой от 3,9 до 13,2 т. Двигатели устанавливались на высотных самолетах-разведчиках и сверхзвуковых истребителях (фронтовых, перехватчиках, бомбардировщиках) КБ Яковлева, Микояна, Сухого. С 1982 года завод изготавливает двухконтурный форсированный авиадвигатель (ТРДДФ) конструкции С.Изотова «РД-33» для фронтового истребителя «МиГ-29» ММП имени В.В.Чернышева участник интегрированной структуры ФГУП "Российская самолетостроительная корпорация "МиГ". Основные направления деятельности: авиационные двигатели ТРДДФ «РД-33» («МиГ-29»), ТВД «ТВ7-117С» («Ил-114»), «РД – 1700» («Як-130»), «ТВ3 – 117» / «ВК 2500» («Ка-50»); ремонт и сервисное обслуживание двигателей «РД-33», «Р-29-300», «Р-27Ф2М-300», «Р-35», «Р11Ф-300», «Р11-АФ-300» (15005).</w:t>
      </w:r>
    </w:p>
    <w:p w14:paraId="03BC85CC" w14:textId="77777777" w:rsidR="00257404" w:rsidRPr="00E93F40" w:rsidRDefault="00257404" w:rsidP="00E93F40">
      <w:pPr>
        <w:spacing w:after="0" w:line="240" w:lineRule="auto"/>
        <w:jc w:val="both"/>
        <w:rPr>
          <w:rFonts w:ascii="Times New Roman" w:hAnsi="Times New Roman"/>
          <w:color w:val="000000" w:themeColor="text1"/>
          <w:sz w:val="16"/>
          <w:szCs w:val="16"/>
        </w:rPr>
      </w:pPr>
    </w:p>
    <w:p w14:paraId="72658845"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C29C2D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2585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И.В.С. представил КО программу производства танков на 1932 (9089,154).</w:t>
      </w:r>
    </w:p>
    <w:p w14:paraId="1F836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E053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года на ХПЗ прибыл инженер дореволюционной вы</w:t>
      </w:r>
      <w:r w:rsidRPr="00E93F40">
        <w:rPr>
          <w:rFonts w:ascii="Times New Roman" w:hAnsi="Times New Roman"/>
          <w:color w:val="000000" w:themeColor="text1"/>
          <w:sz w:val="16"/>
          <w:szCs w:val="16"/>
        </w:rPr>
        <w:softHyphen/>
        <w:t>учки Фирсов Афанасий Осипович. Вместе с ним на завод приехали инже</w:t>
      </w:r>
      <w:r w:rsidRPr="00E93F40">
        <w:rPr>
          <w:rFonts w:ascii="Times New Roman" w:hAnsi="Times New Roman"/>
          <w:color w:val="000000" w:themeColor="text1"/>
          <w:sz w:val="16"/>
          <w:szCs w:val="16"/>
        </w:rPr>
        <w:softHyphen/>
        <w:t>неры В.Э.Клодт и К.И.Цереквицкий — тоже из «старых спецов». На пер</w:t>
      </w:r>
      <w:r w:rsidRPr="00E93F40">
        <w:rPr>
          <w:rFonts w:ascii="Times New Roman" w:hAnsi="Times New Roman"/>
          <w:color w:val="000000" w:themeColor="text1"/>
          <w:sz w:val="16"/>
          <w:szCs w:val="16"/>
        </w:rPr>
        <w:softHyphen/>
        <w:t>вых порах все трое жили в специальном бараке на территории завода, ходили на работу под конвоем и даже в арестантской одежде.</w:t>
      </w:r>
    </w:p>
    <w:p w14:paraId="4EF2EA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архивной оправке указан адрес места жительства А.О.Фирсова — Харьков, Старая Колония, дом 20, кв. 4.</w:t>
      </w:r>
    </w:p>
    <w:p w14:paraId="582C16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Ветераны завода рассказывали, что «старой колонией» назывался при</w:t>
      </w:r>
      <w:r w:rsidRPr="00E93F40">
        <w:rPr>
          <w:rFonts w:ascii="Times New Roman" w:hAnsi="Times New Roman"/>
          <w:color w:val="000000" w:themeColor="text1"/>
          <w:sz w:val="16"/>
          <w:szCs w:val="16"/>
        </w:rPr>
        <w:softHyphen/>
        <w:t>мыкавший к заводу рабочий поселок. В наше время это поселок Артема, где проживает много заводчан.</w:t>
      </w:r>
    </w:p>
    <w:p w14:paraId="2E7210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Дом, в котором проживали Фирсов, Клодт и Цереквицкий в те старые времена был расположен у самого завода. Рассказывают, что он в то время располагался на заводской территории, а позже передвинули забор и он оказался за территорией завода.</w:t>
      </w:r>
    </w:p>
    <w:p w14:paraId="68E855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прибытия на завод Фирсова, Клодта и Цереквицкого их посе</w:t>
      </w:r>
      <w:r w:rsidRPr="00E93F40">
        <w:rPr>
          <w:rFonts w:ascii="Times New Roman" w:hAnsi="Times New Roman"/>
          <w:color w:val="000000" w:themeColor="text1"/>
          <w:sz w:val="16"/>
          <w:szCs w:val="16"/>
        </w:rPr>
        <w:softHyphen/>
        <w:t>лили в этом доме и водили под конвоем на работу и с работы. Унизитель-нейшая процедура для людей высокообразованных и воспитанных в духе свободы мыслей и личности.</w:t>
      </w:r>
    </w:p>
    <w:p w14:paraId="34260A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Главным инженером завода И.П.Бондаренко каждый из них был на</w:t>
      </w:r>
      <w:r w:rsidRPr="00E93F40">
        <w:rPr>
          <w:rFonts w:ascii="Times New Roman" w:hAnsi="Times New Roman"/>
          <w:color w:val="000000" w:themeColor="text1"/>
          <w:sz w:val="16"/>
          <w:szCs w:val="16"/>
        </w:rPr>
        <w:softHyphen/>
        <w:t>целен на тот участок работы на заводе, который со временем им предсто</w:t>
      </w:r>
      <w:r w:rsidRPr="00E93F40">
        <w:rPr>
          <w:rFonts w:ascii="Times New Roman" w:hAnsi="Times New Roman"/>
          <w:color w:val="000000" w:themeColor="text1"/>
          <w:sz w:val="16"/>
          <w:szCs w:val="16"/>
        </w:rPr>
        <w:softHyphen/>
        <w:t>яло возглавить, Фирсов стал работать инженером-конструктором в КБ-Т2К, Клодт присматривался вообще к танковому производству завода, а Цереквицкий — к технологии производства.</w:t>
      </w:r>
    </w:p>
    <w:p w14:paraId="325BED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ХПЗ Фирсова встретил молодой коллектив конструкторов. Здесь ему предстояло продолжить работу по совершенствованию танка БТ-2 и, по мнению конструкторов, очень многое передать полезного и ценного из своего профессионального инженерного опыта и полученных им тео</w:t>
      </w:r>
      <w:r w:rsidRPr="00E93F40">
        <w:rPr>
          <w:rFonts w:ascii="Times New Roman" w:hAnsi="Times New Roman"/>
          <w:color w:val="000000" w:themeColor="text1"/>
          <w:sz w:val="16"/>
          <w:szCs w:val="16"/>
        </w:rPr>
        <w:softHyphen/>
        <w:t>ретических знаний от профессора Заславского в «маленькой академии» при Орудийно-Арсенальном тресте ВСНХ.</w:t>
      </w:r>
    </w:p>
    <w:p w14:paraId="0BC5B9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Главный инженер завода Бондаренко стал добиваться назначения Фирсова на должность начальника КБ-Т2К и снятия с него «хвоста» — охраны. Но пока не тут-то было... Осуществить это удалось только через год. Целый год «церберы» из ОГПУ убеждались в их лояльности!..</w:t>
      </w:r>
    </w:p>
    <w:p w14:paraId="3B79DF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 же архивная справка № 250 бывшего завода имени Коминтерна сви</w:t>
      </w:r>
      <w:r w:rsidRPr="00E93F40">
        <w:rPr>
          <w:rFonts w:ascii="Times New Roman" w:hAnsi="Times New Roman"/>
          <w:color w:val="000000" w:themeColor="text1"/>
          <w:sz w:val="16"/>
          <w:szCs w:val="16"/>
        </w:rPr>
        <w:softHyphen/>
        <w:t>детельствует, что Фирсов с 1 января 1933 года был назначен в отдел Т-2 начальником КБ-Т2К. В это же время за ним перестала ходить охрана, он получил квартиру по ул. Пушкинской, д.48/50, кв.25.</w:t>
      </w:r>
    </w:p>
    <w:p w14:paraId="4D8248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 же время новым начальником танкового отдела Т-2 был назначен Фокин. Начальником танкового производства завода стал Владимир Эду</w:t>
      </w:r>
      <w:r w:rsidRPr="00E93F40">
        <w:rPr>
          <w:rFonts w:ascii="Times New Roman" w:hAnsi="Times New Roman"/>
          <w:color w:val="000000" w:themeColor="text1"/>
          <w:sz w:val="16"/>
          <w:szCs w:val="16"/>
        </w:rPr>
        <w:softHyphen/>
        <w:t>ардович Клодт, а Константин Иванович Цереквицкий стал одним из ве</w:t>
      </w:r>
      <w:r w:rsidRPr="00E93F40">
        <w:rPr>
          <w:rFonts w:ascii="Times New Roman" w:hAnsi="Times New Roman"/>
          <w:color w:val="000000" w:themeColor="text1"/>
          <w:sz w:val="16"/>
          <w:szCs w:val="16"/>
        </w:rPr>
        <w:softHyphen/>
        <w:t>дущих технологов завода. За ними также перестали «болтаться хвосты».</w:t>
      </w:r>
    </w:p>
    <w:p w14:paraId="1A22DD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дизельного отдела заместителем Фирсова перевели И.Ш.Бера, ко</w:t>
      </w:r>
      <w:r w:rsidRPr="00E93F40">
        <w:rPr>
          <w:rFonts w:ascii="Times New Roman" w:hAnsi="Times New Roman"/>
          <w:color w:val="000000" w:themeColor="text1"/>
          <w:sz w:val="16"/>
          <w:szCs w:val="16"/>
        </w:rPr>
        <w:softHyphen/>
        <w:t>торый до этого был начальником дизельного КБ.</w:t>
      </w:r>
    </w:p>
    <w:p w14:paraId="468794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КБ-Т2К была введена и новая должность — главного инженера. Им был назначен Василий Тимофеевич Четков. Но эта должность просуще</w:t>
      </w:r>
      <w:r w:rsidRPr="00E93F40">
        <w:rPr>
          <w:rFonts w:ascii="Times New Roman" w:hAnsi="Times New Roman"/>
          <w:color w:val="000000" w:themeColor="text1"/>
          <w:sz w:val="16"/>
          <w:szCs w:val="16"/>
        </w:rPr>
        <w:softHyphen/>
        <w:t>ствовала недолго. Она была упразднена в 1932 году с приходом Фирсова в КБ и позже ее не существовало.</w:t>
      </w:r>
    </w:p>
    <w:p w14:paraId="5A66CB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Новые руководители Т-2 и его КБ потребовали организации опытного цеха и передачи заводу второго оригинала шасси У. Кристи, так как пер</w:t>
      </w:r>
      <w:r w:rsidRPr="00E93F40">
        <w:rPr>
          <w:rFonts w:ascii="Times New Roman" w:hAnsi="Times New Roman"/>
          <w:color w:val="000000" w:themeColor="text1"/>
          <w:sz w:val="16"/>
          <w:szCs w:val="16"/>
        </w:rPr>
        <w:softHyphen/>
        <w:t>вый был полностью разобран, некоторые детали разрезаны. Короче, он был «полностью уничтожен и нельзя было уточнить ряд принципиаль</w:t>
      </w:r>
      <w:r w:rsidRPr="00E93F40">
        <w:rPr>
          <w:rFonts w:ascii="Times New Roman" w:hAnsi="Times New Roman"/>
          <w:color w:val="000000" w:themeColor="text1"/>
          <w:sz w:val="16"/>
          <w:szCs w:val="16"/>
        </w:rPr>
        <w:softHyphen/>
        <w:t>ных вопросов, относящихся к машине в части прочности и надежности».</w:t>
      </w:r>
    </w:p>
    <w:p w14:paraId="34908F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Фирсова и Бера были удовлетворены, на завод прибыло второе шасси Уолтера Кристи с НИИ полигона, начали создавать экспе</w:t>
      </w:r>
      <w:r w:rsidRPr="00E93F40">
        <w:rPr>
          <w:rFonts w:ascii="Times New Roman" w:hAnsi="Times New Roman"/>
          <w:color w:val="000000" w:themeColor="text1"/>
          <w:sz w:val="16"/>
          <w:szCs w:val="16"/>
        </w:rPr>
        <w:softHyphen/>
        <w:t>риментальный цех.</w:t>
      </w:r>
    </w:p>
    <w:p w14:paraId="28D16F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«Полученный образец (второй), — пишет Н.Ш. Бер, — был нами тща</w:t>
      </w:r>
      <w:r w:rsidRPr="00E93F40">
        <w:rPr>
          <w:rFonts w:ascii="Times New Roman" w:hAnsi="Times New Roman"/>
          <w:color w:val="000000" w:themeColor="text1"/>
          <w:sz w:val="16"/>
          <w:szCs w:val="16"/>
        </w:rPr>
        <w:softHyphen/>
        <w:t>тельно изучен и выявлены причины поломок и дефектов. Были выполне</w:t>
      </w:r>
      <w:r w:rsidRPr="00E93F40">
        <w:rPr>
          <w:rFonts w:ascii="Times New Roman" w:hAnsi="Times New Roman"/>
          <w:color w:val="000000" w:themeColor="text1"/>
          <w:sz w:val="16"/>
          <w:szCs w:val="16"/>
        </w:rPr>
        <w:softHyphen/>
        <w:t>ны специальные расчеты, учитывающие инерционные и динамические нагрузки. Мы сами и наши конструкторы отправлялись в пробеги с ма</w:t>
      </w:r>
      <w:r w:rsidRPr="00E93F40">
        <w:rPr>
          <w:rFonts w:ascii="Times New Roman" w:hAnsi="Times New Roman"/>
          <w:color w:val="000000" w:themeColor="text1"/>
          <w:sz w:val="16"/>
          <w:szCs w:val="16"/>
        </w:rPr>
        <w:softHyphen/>
        <w:t>шинами для того, чтобы лучше понять условия работы механизмов.</w:t>
      </w:r>
    </w:p>
    <w:p w14:paraId="05BF31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 чертежно-конструкторская документация была капитально пере</w:t>
      </w:r>
      <w:r w:rsidRPr="00E93F40">
        <w:rPr>
          <w:rFonts w:ascii="Times New Roman" w:hAnsi="Times New Roman"/>
          <w:color w:val="000000" w:themeColor="text1"/>
          <w:sz w:val="16"/>
          <w:szCs w:val="16"/>
        </w:rPr>
        <w:softHyphen/>
        <w:t>работана с положительными результатами. Выпуск машин был возобнов</w:t>
      </w:r>
      <w:r w:rsidRPr="00E93F40">
        <w:rPr>
          <w:rFonts w:ascii="Times New Roman" w:hAnsi="Times New Roman"/>
          <w:color w:val="000000" w:themeColor="text1"/>
          <w:sz w:val="16"/>
          <w:szCs w:val="16"/>
        </w:rPr>
        <w:softHyphen/>
        <w:t>лен в установленные сроки» (11504).</w:t>
      </w:r>
    </w:p>
    <w:p w14:paraId="12CEB5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106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вышел приказ НКТП N 1 о преобразовании ВСНХ в НКТП (1647,5).</w:t>
      </w:r>
    </w:p>
    <w:p w14:paraId="53B50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C9EE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СНК СССР определил в постановлении комплексы отраслей, относящихся к ведению каждого наркомата. Глававиапром вместе с подведомственными ему предприятиями был передан в систему Наркомата тяжелой промышленности (275).</w:t>
      </w:r>
    </w:p>
    <w:p w14:paraId="77CF6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526697" w14:textId="77777777" w:rsidR="00C57239" w:rsidRPr="00E93F40" w:rsidRDefault="00C57239" w:rsidP="00E93F40">
      <w:pPr>
        <w:spacing w:after="0" w:line="240" w:lineRule="auto"/>
        <w:jc w:val="both"/>
        <w:rPr>
          <w:rFonts w:ascii="Times New Roman" w:hAnsi="Times New Roman"/>
          <w:color w:val="000000" w:themeColor="text1"/>
          <w:sz w:val="16"/>
          <w:szCs w:val="16"/>
        </w:rPr>
      </w:pPr>
      <w:bookmarkStart w:id="4" w:name="_Hlk153195525"/>
      <w:bookmarkStart w:id="5" w:name="_Hlk153196016"/>
      <w:r w:rsidRPr="00E93F40">
        <w:rPr>
          <w:rFonts w:ascii="Times New Roman" w:hAnsi="Times New Roman"/>
          <w:color w:val="000000" w:themeColor="text1"/>
          <w:sz w:val="16"/>
          <w:szCs w:val="16"/>
        </w:rPr>
        <w:t>10 января 1932 г. на базе упраздненного ВСНХ (ликвидирован 05.01.32 г.) создан Наркомат тяжелой промышленности (НКТП), к ведению которого относится и самолетостроение – ВАО подчинено НКТП и далее преобразовано в ГУАП – государственную бюджетную организацию, сменившую ВАО (хозрасчетное объединение), начальником ГУАП назначен П.И. Баранов (24331).</w:t>
      </w:r>
    </w:p>
    <w:bookmarkEnd w:id="4"/>
    <w:p w14:paraId="66366DB8" w14:textId="77777777" w:rsidR="00C57239" w:rsidRPr="00E93F40" w:rsidRDefault="00C57239" w:rsidP="00E93F40">
      <w:pPr>
        <w:spacing w:after="0" w:line="240" w:lineRule="auto"/>
        <w:jc w:val="both"/>
        <w:rPr>
          <w:rFonts w:ascii="Times New Roman" w:hAnsi="Times New Roman"/>
          <w:color w:val="000000" w:themeColor="text1"/>
          <w:sz w:val="16"/>
          <w:szCs w:val="16"/>
        </w:rPr>
      </w:pPr>
    </w:p>
    <w:bookmarkEnd w:id="5"/>
    <w:p w14:paraId="511C14E4"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10 января 1932 г. Всесоюзное авиационное объединение (ВАО) при Главном управлении металлопромышленности ВСНХ СССР было подчинено Наркомату тяжелой промышленности и преобразовано в Главное управление авиапромышленности - государственную бюджетную организацию (ВАО – хозрасчетное объединение (24115).</w:t>
      </w:r>
    </w:p>
    <w:p w14:paraId="3D5A61FE" w14:textId="77777777" w:rsidR="00C57239" w:rsidRPr="00E93F40" w:rsidRDefault="00C57239" w:rsidP="00E93F40">
      <w:pPr>
        <w:spacing w:after="0" w:line="240" w:lineRule="auto"/>
        <w:jc w:val="both"/>
        <w:rPr>
          <w:rFonts w:ascii="Times New Roman" w:hAnsi="Times New Roman"/>
          <w:color w:val="000000" w:themeColor="text1"/>
          <w:sz w:val="16"/>
          <w:szCs w:val="16"/>
        </w:rPr>
      </w:pPr>
    </w:p>
    <w:p w14:paraId="6ACA8855" w14:textId="77777777" w:rsidR="00D22833" w:rsidRPr="00E93F40" w:rsidRDefault="00D22833" w:rsidP="00E93F40">
      <w:pPr>
        <w:pStyle w:val="rtejustify"/>
        <w:spacing w:before="0" w:after="0"/>
        <w:rPr>
          <w:color w:val="000000" w:themeColor="text1"/>
          <w:sz w:val="16"/>
          <w:szCs w:val="16"/>
        </w:rPr>
      </w:pPr>
      <w:r w:rsidRPr="00E93F40">
        <w:rPr>
          <w:bCs/>
          <w:color w:val="000000" w:themeColor="text1"/>
          <w:sz w:val="16"/>
          <w:szCs w:val="16"/>
        </w:rPr>
        <w:t>10 января 1932 г. — Записка И. В. Сталина К. Е. Ворошилову об условиях покупки крейсеров в Италии</w:t>
      </w:r>
    </w:p>
    <w:p w14:paraId="76DD0F33" w14:textId="104A9EFE"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Сколько стоит последний крейсер итальянцев (в 6,6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водоизм[ещением])?</w:t>
      </w:r>
    </w:p>
    <w:p w14:paraId="199D0E24" w14:textId="474FED5D"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Нельзя ли заполучить 1</w:t>
      </w:r>
      <w:r w:rsidR="007C1411" w:rsidRPr="00E93F40">
        <w:rPr>
          <w:color w:val="000000" w:themeColor="text1"/>
          <w:sz w:val="16"/>
          <w:szCs w:val="16"/>
        </w:rPr>
        <w:t xml:space="preserve"> </w:t>
      </w:r>
      <w:r w:rsidRPr="00E93F40">
        <w:rPr>
          <w:color w:val="000000" w:themeColor="text1"/>
          <w:sz w:val="16"/>
          <w:szCs w:val="16"/>
        </w:rPr>
        <w:t>шт. у итальянцев за дешевую цену с условием научить нас строить такие крейсера (за добавочную плату за техпомощь), скажем, в Ленинграде (потом мы сами будем строить такие крейсера в Хабаровске).</w:t>
      </w:r>
    </w:p>
    <w:p w14:paraId="3934433C" w14:textId="40C901CA"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А если заказать 2</w:t>
      </w:r>
      <w:r w:rsidR="007C1411" w:rsidRPr="00E93F40">
        <w:rPr>
          <w:color w:val="000000" w:themeColor="text1"/>
          <w:sz w:val="16"/>
          <w:szCs w:val="16"/>
        </w:rPr>
        <w:t xml:space="preserve"> </w:t>
      </w:r>
      <w:r w:rsidRPr="00E93F40">
        <w:rPr>
          <w:color w:val="000000" w:themeColor="text1"/>
          <w:sz w:val="16"/>
          <w:szCs w:val="16"/>
        </w:rPr>
        <w:t>шт., то какую скидку могут нам дать?</w:t>
      </w:r>
    </w:p>
    <w:p w14:paraId="25042B91" w14:textId="18BD3D1A"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 xml:space="preserve">Помета: «Вызвать </w:t>
      </w:r>
      <w:hyperlink r:id="rId13" w:history="1">
        <w:r w:rsidRPr="00E93F40">
          <w:rPr>
            <w:color w:val="000000" w:themeColor="text1"/>
            <w:sz w:val="16"/>
            <w:szCs w:val="16"/>
          </w:rPr>
          <w:t>Орлова</w:t>
        </w:r>
      </w:hyperlink>
      <w:r w:rsidRPr="00E93F40">
        <w:rPr>
          <w:color w:val="000000" w:themeColor="text1"/>
          <w:sz w:val="16"/>
          <w:szCs w:val="16"/>
        </w:rPr>
        <w:t xml:space="preserve"> и </w:t>
      </w:r>
      <w:hyperlink r:id="rId14" w:history="1">
        <w:r w:rsidRPr="00E93F40">
          <w:rPr>
            <w:color w:val="000000" w:themeColor="text1"/>
            <w:sz w:val="16"/>
            <w:szCs w:val="16"/>
          </w:rPr>
          <w:t>Сивкова</w:t>
        </w:r>
      </w:hyperlink>
      <w:r w:rsidRPr="00E93F40">
        <w:rPr>
          <w:color w:val="000000" w:themeColor="text1"/>
          <w:sz w:val="16"/>
          <w:szCs w:val="16"/>
        </w:rPr>
        <w:t>. В[орошилов]. 10</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w:t>
      </w:r>
    </w:p>
    <w:p w14:paraId="2C081A31" w14:textId="77777777"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rPr>
        <w:t>РГАСПИ. Ф. 74. Оп. 2. Д. 38 Л. 55. Заверенная копия.</w:t>
      </w:r>
    </w:p>
    <w:p w14:paraId="4DE18C56" w14:textId="0FC9655A"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РГАСПИ. Ф. 74. Оп. 2. Д. 38 Л. 55. Заверенная копия. </w:t>
      </w:r>
    </w:p>
    <w:p w14:paraId="60D1A478" w14:textId="498D0272"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614 (12548).</w:t>
      </w:r>
    </w:p>
    <w:p w14:paraId="659F78A4" w14:textId="77777777" w:rsidR="007E7FF2" w:rsidRPr="00E93F40" w:rsidRDefault="007E7FF2" w:rsidP="00E93F40">
      <w:pPr>
        <w:spacing w:after="0" w:line="240" w:lineRule="auto"/>
        <w:jc w:val="both"/>
        <w:rPr>
          <w:rFonts w:ascii="Times New Roman" w:hAnsi="Times New Roman"/>
          <w:color w:val="000000" w:themeColor="text1"/>
          <w:sz w:val="16"/>
          <w:szCs w:val="16"/>
        </w:rPr>
      </w:pPr>
    </w:p>
    <w:p w14:paraId="31E41EB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77C3FD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A99B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января 1932 состоялся осмотр санитарного оборудования для АНТ-9 (346,44).</w:t>
      </w:r>
    </w:p>
    <w:p w14:paraId="49CFD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0C0B33" w14:textId="77777777" w:rsidR="00356882" w:rsidRPr="00E93F40" w:rsidRDefault="003568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января 1932 г. состоялся осмотр готового сани</w:t>
      </w:r>
      <w:r w:rsidRPr="00E93F40">
        <w:rPr>
          <w:rFonts w:ascii="Times New Roman" w:hAnsi="Times New Roman"/>
          <w:color w:val="000000" w:themeColor="text1"/>
          <w:sz w:val="16"/>
          <w:szCs w:val="16"/>
        </w:rPr>
        <w:softHyphen/>
        <w:t>тарного оборудования на самолете АНТ-9 (23474).</w:t>
      </w:r>
    </w:p>
    <w:p w14:paraId="08165E93" w14:textId="77777777" w:rsidR="00356882" w:rsidRPr="00E93F40" w:rsidRDefault="00356882" w:rsidP="00E93F40">
      <w:pPr>
        <w:spacing w:after="0" w:line="240" w:lineRule="auto"/>
        <w:jc w:val="both"/>
        <w:rPr>
          <w:rFonts w:ascii="Times New Roman" w:hAnsi="Times New Roman"/>
          <w:color w:val="000000" w:themeColor="text1"/>
          <w:sz w:val="16"/>
          <w:szCs w:val="16"/>
        </w:rPr>
      </w:pPr>
    </w:p>
    <w:p w14:paraId="44E72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января 1932 года начальник 2 отдела НИИ Ганулич писал письмо N 78с директору з-да N 31, нач. 3 управления ВВС, нач. ВАО Харламову, нач. ЦКБ ВАО С.В.И.</w:t>
      </w:r>
    </w:p>
    <w:p w14:paraId="722DE3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Устанавливаются следующие наименования различных вариантов самолета "Савойя-62".</w:t>
      </w:r>
    </w:p>
    <w:p w14:paraId="657B33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прибывший в СССР в 1930 году в единственном экземпляре, на котором впервые были получены летные и эксплуатационные данные, послужившие основанием для заключения договора на покупку самолетов и лицензии именуется "Савойя 62 Экспонат - АССО 750" обозначается "С 62 ЭКС - АССО 750".</w:t>
      </w:r>
    </w:p>
    <w:p w14:paraId="4282F4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Самолет закупленный за границей, поступивший в 1931 году на вооружение ВВС именуется "Савойя 62 бис АССО 750" обозначается "С 62 ЭКС - АССО 750".</w:t>
      </w:r>
    </w:p>
    <w:p w14:paraId="34E1B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Самолет, который должен быть построен ВАО (в частности заводом N 31) по лицензионным итальянским чертежам с:</w:t>
      </w:r>
    </w:p>
    <w:p w14:paraId="52FFE4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изменениями утвержденными нач. 3 управления УВВС, касающихся замены импортных материалов отечественными.</w:t>
      </w:r>
    </w:p>
    <w:p w14:paraId="3DEDE9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изменениями (по протоколу макетной комиссии под председательством Ганулича) утвержденным зам. нач. ВВС, касающимся замены импортного вооружения, оборудования отечественным.</w:t>
      </w:r>
    </w:p>
    <w:p w14:paraId="6B109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Именуется "Морской ближний разведчик 4" и обозначается сообразно мотору: "МБР4-АССО 750", "МБР4-М27" или "МБР4-М34".</w:t>
      </w:r>
    </w:p>
    <w:p w14:paraId="75A7A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 испытанию построенного самолета "МБР4" таковой сообразно с результатами испытаний может быть принят в качестве образца МБР4 для постройки. На настоящее время, т.е. на 15.01.32 г. "образец МБР4" не существует.</w:t>
      </w:r>
    </w:p>
    <w:p w14:paraId="3D0C73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Всякие дальнейшие обозначения по изменениям в размещении вооружения, оборудования или по изменениям в конструкции будут 3 упр. УВВС указываться буквами малого алфавита при основной марке, обозначающей вариант самолета, например "МБРа". (3066,36-37).</w:t>
      </w:r>
    </w:p>
    <w:p w14:paraId="21C01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579911"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 xml:space="preserve">11 января 1932 г. чтобы не путаться в многочисленных вариантах </w:t>
      </w:r>
      <w:r w:rsidRPr="00E93F40">
        <w:rPr>
          <w:rFonts w:ascii="Times New Roman" w:hAnsi="Times New Roman"/>
          <w:color w:val="000000" w:themeColor="text1"/>
          <w:sz w:val="16"/>
          <w:szCs w:val="16"/>
          <w:lang w:val="en-US" w:bidi="en-US"/>
        </w:rPr>
        <w:t>S</w:t>
      </w:r>
      <w:r w:rsidRPr="00E93F40">
        <w:rPr>
          <w:rFonts w:ascii="Times New Roman" w:hAnsi="Times New Roman"/>
          <w:color w:val="000000" w:themeColor="text1"/>
          <w:sz w:val="16"/>
          <w:szCs w:val="16"/>
          <w:lang w:bidi="en-US"/>
        </w:rPr>
        <w:t>-62</w:t>
      </w:r>
      <w:r w:rsidRPr="00E93F40">
        <w:rPr>
          <w:rFonts w:ascii="Times New Roman" w:hAnsi="Times New Roman"/>
          <w:color w:val="000000" w:themeColor="text1"/>
          <w:sz w:val="16"/>
          <w:szCs w:val="16"/>
          <w:lang w:val="en-US" w:bidi="en-US"/>
        </w:rPr>
        <w:t>bis</w:t>
      </w:r>
      <w:r w:rsidRPr="00E93F40">
        <w:rPr>
          <w:rFonts w:ascii="Times New Roman" w:hAnsi="Times New Roman"/>
          <w:color w:val="000000" w:themeColor="text1"/>
          <w:sz w:val="16"/>
          <w:szCs w:val="16"/>
          <w:lang w:bidi="en-US"/>
        </w:rPr>
        <w:t xml:space="preserve">, </w:t>
      </w:r>
      <w:r w:rsidRPr="00E93F40">
        <w:rPr>
          <w:rFonts w:ascii="Times New Roman" w:hAnsi="Times New Roman"/>
          <w:color w:val="000000" w:themeColor="text1"/>
          <w:sz w:val="16"/>
          <w:szCs w:val="16"/>
          <w:lang w:eastAsia="ru-RU" w:bidi="ru-RU"/>
        </w:rPr>
        <w:t>УВВС письмом от официально присвои</w:t>
      </w:r>
      <w:r w:rsidRPr="00E93F40">
        <w:rPr>
          <w:rFonts w:ascii="Times New Roman" w:hAnsi="Times New Roman"/>
          <w:color w:val="000000" w:themeColor="text1"/>
          <w:sz w:val="16"/>
          <w:szCs w:val="16"/>
          <w:lang w:eastAsia="ru-RU" w:bidi="ru-RU"/>
        </w:rPr>
        <w:softHyphen/>
        <w:t>ло наименования: опытной машине, прибывшей в 1929 г. — С-62ЭКС («экспонат»), серийным лодкам итальянской по</w:t>
      </w:r>
      <w:r w:rsidRPr="00E93F40">
        <w:rPr>
          <w:rFonts w:ascii="Times New Roman" w:hAnsi="Times New Roman"/>
          <w:color w:val="000000" w:themeColor="text1"/>
          <w:sz w:val="16"/>
          <w:szCs w:val="16"/>
          <w:lang w:eastAsia="ru-RU" w:bidi="ru-RU"/>
        </w:rPr>
        <w:softHyphen/>
        <w:t>стройки — С-62Б, пяти первым самолетам завода №31 — С-62КЭ («копия экспоната») и последующим серийным машинам — МБР-4.</w:t>
      </w:r>
    </w:p>
    <w:p w14:paraId="2297DD0C"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lastRenderedPageBreak/>
        <w:t>Приспосабливая «итальянку» к отечественным материа</w:t>
      </w:r>
      <w:r w:rsidRPr="00E93F40">
        <w:rPr>
          <w:rFonts w:ascii="Times New Roman" w:hAnsi="Times New Roman"/>
          <w:color w:val="000000" w:themeColor="text1"/>
          <w:sz w:val="16"/>
          <w:szCs w:val="16"/>
          <w:lang w:eastAsia="ru-RU" w:bidi="ru-RU"/>
        </w:rPr>
        <w:softHyphen/>
        <w:t>лам и технологии, пришлось внести в конструкцию нема</w:t>
      </w:r>
      <w:r w:rsidRPr="00E93F40">
        <w:rPr>
          <w:rFonts w:ascii="Times New Roman" w:hAnsi="Times New Roman"/>
          <w:color w:val="000000" w:themeColor="text1"/>
          <w:sz w:val="16"/>
          <w:szCs w:val="16"/>
          <w:lang w:eastAsia="ru-RU" w:bidi="ru-RU"/>
        </w:rPr>
        <w:softHyphen/>
        <w:t>ло изменений. В итоге лодка стала немного шире и выше, шпангоуты сдвинули с первоначальных мест и частично усилили. Трапециевидную фрезеровку лонжеронов заме</w:t>
      </w:r>
      <w:r w:rsidRPr="00E93F40">
        <w:rPr>
          <w:rFonts w:ascii="Times New Roman" w:hAnsi="Times New Roman"/>
          <w:color w:val="000000" w:themeColor="text1"/>
          <w:sz w:val="16"/>
          <w:szCs w:val="16"/>
          <w:lang w:eastAsia="ru-RU" w:bidi="ru-RU"/>
        </w:rPr>
        <w:softHyphen/>
        <w:t>нили более простой прямоугольной. Тополь и орех смени</w:t>
      </w:r>
      <w:r w:rsidRPr="00E93F40">
        <w:rPr>
          <w:rFonts w:ascii="Times New Roman" w:hAnsi="Times New Roman"/>
          <w:color w:val="000000" w:themeColor="text1"/>
          <w:sz w:val="16"/>
          <w:szCs w:val="16"/>
          <w:lang w:eastAsia="ru-RU" w:bidi="ru-RU"/>
        </w:rPr>
        <w:softHyphen/>
        <w:t>ли липа и ясень, заокеанский спрус — русская сосна. Итальянцы обшивали лодку рейками красного дерева, как яхту. У нас в ход пошла лиственница, которая не гниет, за</w:t>
      </w:r>
      <w:r w:rsidRPr="00E93F40">
        <w:rPr>
          <w:rFonts w:ascii="Times New Roman" w:hAnsi="Times New Roman"/>
          <w:color w:val="000000" w:themeColor="text1"/>
          <w:sz w:val="16"/>
          <w:szCs w:val="16"/>
          <w:lang w:eastAsia="ru-RU" w:bidi="ru-RU"/>
        </w:rPr>
        <w:softHyphen/>
        <w:t>то тонет в воде. Вообще качество отечественной древеси</w:t>
      </w:r>
      <w:r w:rsidRPr="00E93F40">
        <w:rPr>
          <w:rFonts w:ascii="Times New Roman" w:hAnsi="Times New Roman"/>
          <w:color w:val="000000" w:themeColor="text1"/>
          <w:sz w:val="16"/>
          <w:szCs w:val="16"/>
          <w:lang w:eastAsia="ru-RU" w:bidi="ru-RU"/>
        </w:rPr>
        <w:softHyphen/>
        <w:t>ны было куда ниже, чем импортной. Это вынуждало посто</w:t>
      </w:r>
      <w:r w:rsidRPr="00E93F40">
        <w:rPr>
          <w:rFonts w:ascii="Times New Roman" w:hAnsi="Times New Roman"/>
          <w:color w:val="000000" w:themeColor="text1"/>
          <w:sz w:val="16"/>
          <w:szCs w:val="16"/>
          <w:lang w:eastAsia="ru-RU" w:bidi="ru-RU"/>
        </w:rPr>
        <w:softHyphen/>
        <w:t>янно увеличивать сечение деталей, а, следовательно, их вес. Максимально избавились от медных и латунных де</w:t>
      </w:r>
      <w:r w:rsidRPr="00E93F40">
        <w:rPr>
          <w:rFonts w:ascii="Times New Roman" w:hAnsi="Times New Roman"/>
          <w:color w:val="000000" w:themeColor="text1"/>
          <w:sz w:val="16"/>
          <w:szCs w:val="16"/>
          <w:lang w:eastAsia="ru-RU" w:bidi="ru-RU"/>
        </w:rPr>
        <w:softHyphen/>
        <w:t>талей. Переход на трубы отечественного стандарта приба</w:t>
      </w:r>
      <w:r w:rsidRPr="00E93F40">
        <w:rPr>
          <w:rFonts w:ascii="Times New Roman" w:hAnsi="Times New Roman"/>
          <w:color w:val="000000" w:themeColor="text1"/>
          <w:sz w:val="16"/>
          <w:szCs w:val="16"/>
          <w:lang w:eastAsia="ru-RU" w:bidi="ru-RU"/>
        </w:rPr>
        <w:softHyphen/>
        <w:t>вил к весу самолета сразу 12 кг. Вообще все отечествен</w:t>
      </w:r>
      <w:r w:rsidRPr="00E93F40">
        <w:rPr>
          <w:rFonts w:ascii="Times New Roman" w:hAnsi="Times New Roman"/>
          <w:color w:val="000000" w:themeColor="text1"/>
          <w:sz w:val="16"/>
          <w:szCs w:val="16"/>
          <w:lang w:eastAsia="ru-RU" w:bidi="ru-RU"/>
        </w:rPr>
        <w:softHyphen/>
        <w:t>ное оборудование и вооружение оказалось тяжелее ита</w:t>
      </w:r>
      <w:r w:rsidRPr="00E93F40">
        <w:rPr>
          <w:rFonts w:ascii="Times New Roman" w:hAnsi="Times New Roman"/>
          <w:color w:val="000000" w:themeColor="text1"/>
          <w:sz w:val="16"/>
          <w:szCs w:val="16"/>
          <w:lang w:eastAsia="ru-RU" w:bidi="ru-RU"/>
        </w:rPr>
        <w:softHyphen/>
        <w:t>льянского, что добавляло 70-100 кг веса.</w:t>
      </w:r>
    </w:p>
    <w:p w14:paraId="3707CDDB" w14:textId="77777777" w:rsidR="00E00DEB" w:rsidRPr="00E93F40" w:rsidRDefault="00E00DEB"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 итоге все машины первой пятерки оказались тяжелее исходного образца (20325).</w:t>
      </w:r>
    </w:p>
    <w:p w14:paraId="417122C0" w14:textId="77777777" w:rsidR="00E00DEB" w:rsidRPr="00E93F40" w:rsidRDefault="00E00DEB" w:rsidP="00E93F40">
      <w:pPr>
        <w:spacing w:after="0" w:line="240" w:lineRule="auto"/>
        <w:jc w:val="both"/>
        <w:rPr>
          <w:rFonts w:ascii="Times New Roman" w:hAnsi="Times New Roman"/>
          <w:color w:val="000000" w:themeColor="text1"/>
          <w:sz w:val="16"/>
          <w:szCs w:val="16"/>
          <w:lang w:eastAsia="ru-RU" w:bidi="ru-RU"/>
        </w:rPr>
      </w:pPr>
    </w:p>
    <w:p w14:paraId="2C4EF193"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января 1932 г. УВВС присвоило опытной лодке, прибывшей в 1930 г., обозначение С-62ЭКС («экспонат»), серийным гидропланам итальянской постройки – С-62Б, пяти первым самолетам завода № 31 – С-62КЭ («копия экспоната»), а последующим серийным машинам – МБР-4 (РГВА. Ф. 29. Оп. 76. Д. 1413. Техусловия, изменения, дополн. и компл. запчастей на самолете С-62бис. 20.2.32-7.7.32. Л. 1.) (21410).</w:t>
      </w:r>
    </w:p>
    <w:p w14:paraId="6B96555D" w14:textId="77777777" w:rsidR="00E00DEB" w:rsidRPr="00E93F40" w:rsidRDefault="00E00DEB" w:rsidP="00E93F40">
      <w:pPr>
        <w:spacing w:after="0" w:line="240" w:lineRule="auto"/>
        <w:jc w:val="both"/>
        <w:rPr>
          <w:rFonts w:ascii="Times New Roman" w:hAnsi="Times New Roman"/>
          <w:color w:val="000000" w:themeColor="text1"/>
          <w:sz w:val="16"/>
          <w:szCs w:val="16"/>
        </w:rPr>
      </w:pPr>
    </w:p>
    <w:p w14:paraId="617778F8"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янва</w:t>
      </w:r>
      <w:r w:rsidRPr="00142305">
        <w:rPr>
          <w:rFonts w:ascii="Times New Roman" w:hAnsi="Times New Roman"/>
          <w:color w:val="0070C0"/>
          <w:sz w:val="16"/>
          <w:szCs w:val="16"/>
        </w:rPr>
        <w:softHyphen/>
        <w:t>ря 1932 г. УВВС присвоило опытной лод</w:t>
      </w:r>
      <w:r w:rsidRPr="00142305">
        <w:rPr>
          <w:rFonts w:ascii="Times New Roman" w:hAnsi="Times New Roman"/>
          <w:color w:val="0070C0"/>
          <w:sz w:val="16"/>
          <w:szCs w:val="16"/>
        </w:rPr>
        <w:softHyphen/>
        <w:t>ке, прибывшей в 1930 г., обозначение С-62ЭКС («экспонат»), серийным гидро</w:t>
      </w:r>
      <w:r w:rsidRPr="00142305">
        <w:rPr>
          <w:rFonts w:ascii="Times New Roman" w:hAnsi="Times New Roman"/>
          <w:color w:val="0070C0"/>
          <w:sz w:val="16"/>
          <w:szCs w:val="16"/>
        </w:rPr>
        <w:softHyphen/>
        <w:t>планам итальянской постройки - С-62Б, пяти первым самолетам завода № 31 - С-62КЭ («копия экспоната»), а последую</w:t>
      </w:r>
      <w:r w:rsidRPr="00142305">
        <w:rPr>
          <w:rFonts w:ascii="Times New Roman" w:hAnsi="Times New Roman"/>
          <w:color w:val="0070C0"/>
          <w:sz w:val="16"/>
          <w:szCs w:val="16"/>
        </w:rPr>
        <w:softHyphen/>
        <w:t>щим серийным машинам - МБР-4.</w:t>
      </w:r>
    </w:p>
    <w:p w14:paraId="3F689DBB"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Работа над серией С-62КЭ продолжа</w:t>
      </w:r>
      <w:r w:rsidRPr="00142305">
        <w:rPr>
          <w:rFonts w:ascii="Times New Roman" w:hAnsi="Times New Roman"/>
          <w:color w:val="0070C0"/>
          <w:sz w:val="16"/>
          <w:szCs w:val="16"/>
        </w:rPr>
        <w:softHyphen/>
        <w:t>лась. Приспосабливая «савойю» к оте</w:t>
      </w:r>
      <w:r w:rsidRPr="00142305">
        <w:rPr>
          <w:rFonts w:ascii="Times New Roman" w:hAnsi="Times New Roman"/>
          <w:color w:val="0070C0"/>
          <w:sz w:val="16"/>
          <w:szCs w:val="16"/>
        </w:rPr>
        <w:softHyphen/>
        <w:t>чественным материалам и технологии, пришлось внести в конструкцию немало изменений. В итоге лодка стала немно</w:t>
      </w:r>
      <w:r w:rsidRPr="00142305">
        <w:rPr>
          <w:rFonts w:ascii="Times New Roman" w:hAnsi="Times New Roman"/>
          <w:color w:val="0070C0"/>
          <w:sz w:val="16"/>
          <w:szCs w:val="16"/>
        </w:rPr>
        <w:softHyphen/>
        <w:t>го шире и выше, шпангоуты сдвинули с первоначальных мест и немного усили</w:t>
      </w:r>
      <w:r w:rsidRPr="00142305">
        <w:rPr>
          <w:rFonts w:ascii="Times New Roman" w:hAnsi="Times New Roman"/>
          <w:color w:val="0070C0"/>
          <w:sz w:val="16"/>
          <w:szCs w:val="16"/>
        </w:rPr>
        <w:softHyphen/>
        <w:t>ли. На С-62КЭ лонжероны сделали не фрезерованными с трапециевидной вы</w:t>
      </w:r>
      <w:r w:rsidRPr="00142305">
        <w:rPr>
          <w:rFonts w:ascii="Times New Roman" w:hAnsi="Times New Roman"/>
          <w:color w:val="0070C0"/>
          <w:sz w:val="16"/>
          <w:szCs w:val="16"/>
        </w:rPr>
        <w:softHyphen/>
        <w:t>емкой, а коробчатыми, более простыми в изготовлении.</w:t>
      </w:r>
    </w:p>
    <w:p w14:paraId="2B77EE65"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Тополь и орех уступили место липе и ясеню, заокеанский спрюс - русской сосне. Итальянцы обшивали лод</w:t>
      </w:r>
      <w:r w:rsidRPr="00142305">
        <w:rPr>
          <w:rFonts w:ascii="Times New Roman" w:hAnsi="Times New Roman"/>
          <w:color w:val="0070C0"/>
          <w:sz w:val="16"/>
          <w:szCs w:val="16"/>
        </w:rPr>
        <w:softHyphen/>
        <w:t>ку рейками из кедра, как яхту, а у нас пустили в ход лиственницу, которая не гниет, зато тонет в воде. Вообще качест</w:t>
      </w:r>
      <w:r w:rsidRPr="00142305">
        <w:rPr>
          <w:rFonts w:ascii="Times New Roman" w:hAnsi="Times New Roman"/>
          <w:color w:val="0070C0"/>
          <w:sz w:val="16"/>
          <w:szCs w:val="16"/>
        </w:rPr>
        <w:softHyphen/>
        <w:t>во отечественной древесины было куда ниже, чем у иностранной. Это вынуждало постоянно увеличивать сечения деталей, а, стало быть, и их вес. Максимально из</w:t>
      </w:r>
      <w:r w:rsidRPr="00142305">
        <w:rPr>
          <w:rFonts w:ascii="Times New Roman" w:hAnsi="Times New Roman"/>
          <w:color w:val="0070C0"/>
          <w:sz w:val="16"/>
          <w:szCs w:val="16"/>
        </w:rPr>
        <w:softHyphen/>
        <w:t>бавились от медных и латунных деталей, сменив, правда, в мотоустановке гибкие шланги на привычные отожженные мед</w:t>
      </w:r>
      <w:r w:rsidRPr="00142305">
        <w:rPr>
          <w:rFonts w:ascii="Times New Roman" w:hAnsi="Times New Roman"/>
          <w:color w:val="0070C0"/>
          <w:sz w:val="16"/>
          <w:szCs w:val="16"/>
        </w:rPr>
        <w:softHyphen/>
        <w:t>ные трубки. Переход на стальные трубы отечественного стандарта приплюсовал к весу самолета сразу 12 кг. Все советское вооружение и оборудование оказалось тяжелее итальянского, что добавляло 70-100 кг.</w:t>
      </w:r>
    </w:p>
    <w:p w14:paraId="33015BE7"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все машины первой пятерки имели перетяжеление по сравнению с образцом от 213 кг до 276 кг (при неком</w:t>
      </w:r>
      <w:r w:rsidRPr="00142305">
        <w:rPr>
          <w:rFonts w:ascii="Times New Roman" w:hAnsi="Times New Roman"/>
          <w:color w:val="0070C0"/>
          <w:sz w:val="16"/>
          <w:szCs w:val="16"/>
        </w:rPr>
        <w:softHyphen/>
        <w:t>плектном оборудовании и без радиостан</w:t>
      </w:r>
      <w:r w:rsidRPr="00142305">
        <w:rPr>
          <w:rFonts w:ascii="Times New Roman" w:hAnsi="Times New Roman"/>
          <w:color w:val="0070C0"/>
          <w:sz w:val="16"/>
          <w:szCs w:val="16"/>
        </w:rPr>
        <w:softHyphen/>
        <w:t>ций). Самый первый заложенный самолет с заводским номером ОЕ-67, в общей сложности, на разных стадиях построй</w:t>
      </w:r>
      <w:r w:rsidRPr="00142305">
        <w:rPr>
          <w:rFonts w:ascii="Times New Roman" w:hAnsi="Times New Roman"/>
          <w:color w:val="0070C0"/>
          <w:sz w:val="16"/>
          <w:szCs w:val="16"/>
        </w:rPr>
        <w:softHyphen/>
        <w:t>ки браковался на 40%. Даже плоскости у него оказались разной длины. Первой закончили лодку ОЕ-68. Это произошло в январе 1932 г. Она стала единствен</w:t>
      </w:r>
      <w:r w:rsidRPr="00142305">
        <w:rPr>
          <w:rFonts w:ascii="Times New Roman" w:hAnsi="Times New Roman"/>
          <w:color w:val="0070C0"/>
          <w:sz w:val="16"/>
          <w:szCs w:val="16"/>
        </w:rPr>
        <w:softHyphen/>
        <w:t>ной, укомплектованной двумя разными турелями: спереди Тур-6, сзади Тур-5. Последняя сильно выступала вверх из фюзеляжа, создавая дополнительное сопротивление. По согласованию с НИИ ВВС ее заменили на вторую Тур-6. По ко</w:t>
      </w:r>
      <w:r w:rsidRPr="00142305">
        <w:rPr>
          <w:rFonts w:ascii="Times New Roman" w:hAnsi="Times New Roman"/>
          <w:color w:val="0070C0"/>
          <w:sz w:val="16"/>
          <w:szCs w:val="16"/>
        </w:rPr>
        <w:softHyphen/>
        <w:t>личеству пулеметов ОЕ-68 тоже не соот</w:t>
      </w:r>
      <w:r w:rsidRPr="00142305">
        <w:rPr>
          <w:rFonts w:ascii="Times New Roman" w:hAnsi="Times New Roman"/>
          <w:color w:val="0070C0"/>
          <w:sz w:val="16"/>
          <w:szCs w:val="16"/>
        </w:rPr>
        <w:softHyphen/>
        <w:t>ветствовала остальным лодкам: На Тур-6 монтировалась спарка ДА-2, а на Тур-5 имелся только один пулемет ДА. Цент</w:t>
      </w:r>
      <w:r w:rsidRPr="00142305">
        <w:rPr>
          <w:rFonts w:ascii="Times New Roman" w:hAnsi="Times New Roman"/>
          <w:color w:val="0070C0"/>
          <w:sz w:val="16"/>
          <w:szCs w:val="16"/>
        </w:rPr>
        <w:softHyphen/>
        <w:t>ровка машины даже при этом получилась очень задней, и пришлось переместить вперед баллоны со сжатым воздухом для пневмопуска, чтобы войти в приемлемые пределы.</w:t>
      </w:r>
    </w:p>
    <w:p w14:paraId="562F8422"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МБР-4 получился тяжелее С-62Б на 226 кг. Центровка сдвинулась назад, что лишало машину столь успешного сопро</w:t>
      </w:r>
      <w:r w:rsidRPr="00142305">
        <w:rPr>
          <w:rFonts w:ascii="Times New Roman" w:hAnsi="Times New Roman"/>
          <w:color w:val="0070C0"/>
          <w:sz w:val="16"/>
          <w:szCs w:val="16"/>
        </w:rPr>
        <w:softHyphen/>
        <w:t>тивления затягиванию в штопор. Чтобы выправить ситуацию, вперед перенесли ящик с неприкосновенным запасом и за</w:t>
      </w:r>
      <w:r w:rsidRPr="00142305">
        <w:rPr>
          <w:rFonts w:ascii="Times New Roman" w:hAnsi="Times New Roman"/>
          <w:color w:val="0070C0"/>
          <w:sz w:val="16"/>
          <w:szCs w:val="16"/>
        </w:rPr>
        <w:softHyphen/>
        <w:t>пасной баллон сжатого воздуха Кроме того, изменили инструкцию по заправке самолета так, чтобы сместить центр тя</w:t>
      </w:r>
      <w:r w:rsidRPr="00142305">
        <w:rPr>
          <w:rFonts w:ascii="Times New Roman" w:hAnsi="Times New Roman"/>
          <w:color w:val="0070C0"/>
          <w:sz w:val="16"/>
          <w:szCs w:val="16"/>
        </w:rPr>
        <w:softHyphen/>
        <w:t>жести вперед (24948).</w:t>
      </w:r>
    </w:p>
    <w:p w14:paraId="77ECF6AC" w14:textId="77777777" w:rsidR="006551DA" w:rsidRPr="00142305" w:rsidRDefault="006551DA" w:rsidP="006551DA">
      <w:pPr>
        <w:spacing w:after="0" w:line="240" w:lineRule="auto"/>
        <w:jc w:val="both"/>
        <w:rPr>
          <w:rFonts w:ascii="Times New Roman" w:hAnsi="Times New Roman"/>
          <w:color w:val="0070C0"/>
          <w:sz w:val="16"/>
          <w:szCs w:val="16"/>
        </w:rPr>
      </w:pPr>
    </w:p>
    <w:p w14:paraId="58C01B05"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января 1932 г. чтобы не путаться в многочисленных вариантах S.62bis, Управление ВВС письмом официально присвоило наименования: опытной машине, прибывшей в 1929 г. – С-62ЭКС («экспонат»), серийным лодкам итальянской постройки – С-62Б, пяти первым самолётам завода № 31 – С-62КЭ («копия экспоната»), и последующим серийным машинам – МБР-4 (25184).</w:t>
      </w:r>
    </w:p>
    <w:p w14:paraId="5CD97671" w14:textId="77777777" w:rsidR="006551DA" w:rsidRPr="00142305" w:rsidRDefault="006551DA" w:rsidP="006551DA">
      <w:pPr>
        <w:spacing w:after="0" w:line="240" w:lineRule="auto"/>
        <w:jc w:val="both"/>
        <w:rPr>
          <w:rFonts w:ascii="Times New Roman" w:hAnsi="Times New Roman"/>
          <w:color w:val="0070C0"/>
          <w:sz w:val="16"/>
          <w:szCs w:val="16"/>
        </w:rPr>
      </w:pPr>
    </w:p>
    <w:p w14:paraId="33F04083"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11 января 1932 вышло постановление № 8сс РС РЗ СТО или КО (№ 21/ко от 11.1.1932 г.) О развитии авиапромышленности на период 1932-35 г. (21564).</w:t>
      </w:r>
    </w:p>
    <w:p w14:paraId="22E7A6C0" w14:textId="77777777" w:rsidR="00E00DEB" w:rsidRPr="00E93F40" w:rsidRDefault="00E00DEB" w:rsidP="00E93F40">
      <w:pPr>
        <w:spacing w:after="0" w:line="240" w:lineRule="auto"/>
        <w:jc w:val="both"/>
        <w:rPr>
          <w:rFonts w:ascii="Times New Roman" w:hAnsi="Times New Roman"/>
          <w:color w:val="000000" w:themeColor="text1"/>
          <w:sz w:val="16"/>
          <w:szCs w:val="16"/>
        </w:rPr>
      </w:pPr>
    </w:p>
    <w:p w14:paraId="6294B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января 1932 СТО утвердил план развития мощностей заводов ГУАП (2329).</w:t>
      </w:r>
    </w:p>
    <w:p w14:paraId="7DD921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D94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января 1932 г. началось cтроительство тушинского завода.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(11200).</w:t>
      </w:r>
    </w:p>
    <w:p w14:paraId="628BD0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BD52B8" w14:textId="77777777" w:rsidR="007A0309" w:rsidRPr="00E93F40" w:rsidRDefault="007A03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января 1932 г. началось </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троительство завода № 62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(19602).</w:t>
      </w:r>
    </w:p>
    <w:p w14:paraId="021B1B90" w14:textId="77777777" w:rsidR="007A0309" w:rsidRPr="00E93F40" w:rsidRDefault="007A0309" w:rsidP="00E93F40">
      <w:pPr>
        <w:spacing w:after="0" w:line="240" w:lineRule="auto"/>
        <w:jc w:val="both"/>
        <w:rPr>
          <w:rFonts w:ascii="Times New Roman" w:hAnsi="Times New Roman"/>
          <w:color w:val="000000" w:themeColor="text1"/>
          <w:sz w:val="16"/>
          <w:szCs w:val="16"/>
        </w:rPr>
      </w:pPr>
    </w:p>
    <w:p w14:paraId="64FD180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C90F2D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C1B29F" w14:textId="77777777" w:rsidR="007E7FF2" w:rsidRPr="00E93F40" w:rsidRDefault="007E7FF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11 января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6сс по порохам, взрывчатым веществам и снаряжению (ГА РФ. Ф. Р?8418. Оп. 28. Д. 1а. Л. 91?97) (12415).</w:t>
      </w:r>
    </w:p>
    <w:p w14:paraId="04EE494B" w14:textId="77777777" w:rsidR="007E7FF2" w:rsidRPr="00E93F40" w:rsidRDefault="007E7FF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7сс по связи (ГА РФ. Ф. Р?8418. Оп. 28. Д. 1а. Л. 98?107) (12415).</w:t>
      </w:r>
    </w:p>
    <w:p w14:paraId="447E7952" w14:textId="77777777" w:rsidR="007E7FF2" w:rsidRPr="00E93F40" w:rsidRDefault="007E7FF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8сс о развитии авиапромышленности на период 1932?1935 гг. (ГА РФ. Ф. Р?8418. Оп. 28. Д. 1а. Л. 108?112) (12415).</w:t>
      </w:r>
    </w:p>
    <w:p w14:paraId="430105AC" w14:textId="77777777" w:rsidR="007E7FF2" w:rsidRPr="00E93F40" w:rsidRDefault="007E7FF2" w:rsidP="00E93F40">
      <w:pPr>
        <w:spacing w:after="0" w:line="240" w:lineRule="auto"/>
        <w:jc w:val="both"/>
        <w:rPr>
          <w:rFonts w:ascii="Times New Roman" w:hAnsi="Times New Roman"/>
          <w:color w:val="000000" w:themeColor="text1"/>
          <w:sz w:val="16"/>
          <w:szCs w:val="16"/>
          <w:u w:color="002060"/>
        </w:rPr>
      </w:pPr>
    </w:p>
    <w:p w14:paraId="19436AE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января 1932 г. — Постановление № 6сс СТО СССР «По порохам, взрывчатым веществам и снаряжению»</w:t>
      </w:r>
    </w:p>
    <w:p w14:paraId="4A6819F2"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16B83B73"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Совет труда и обороны констатирует наличие за последний год решительного сдвига по порохам, взрывчатым веществам и снаряжению как в части производства, так и капитального строительства, а также оживление в области исследовательских и опытных работ. Наряду с этим Совет труда и обороны отмечает:</w:t>
      </w:r>
    </w:p>
    <w:p w14:paraId="34CD58C9" w14:textId="3E1CBA3C"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Значительное отставание мощностей военно-химического производства, лимитирующего обеспечение армии выстрелами.</w:t>
      </w:r>
    </w:p>
    <w:p w14:paraId="44D3DEBA" w14:textId="6F76E88A"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Нереальность части существующих мощностей ввиду сохранения «узких» мест, а также неудовлетворительные условия эксплуатации заводов.</w:t>
      </w:r>
    </w:p>
    <w:p w14:paraId="0F1458E5" w14:textId="5AFF1C4D"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Наличие запозданий и срывов капитального строительства, особенно по линии сырьевой промышленности, а также заводов ВВ, находящихся в Анилобъединении и Объединении основной химии.</w:t>
      </w:r>
    </w:p>
    <w:p w14:paraId="1AA2FC12" w14:textId="3F261692"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Необеспеченность мобзапасов сырьем, материалами, инструментом.</w:t>
      </w:r>
    </w:p>
    <w:p w14:paraId="79ACFED3" w14:textId="3D0030BA"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Неосвоенность технологических процессов некоторых производств.</w:t>
      </w:r>
    </w:p>
    <w:p w14:paraId="7CB8DF02" w14:textId="5DB40A26"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Все еще не соответствующее полностью кондициям НКВМ качество порохов и совершенно неудовлетворительное качество мелинита и динитронафталина.</w:t>
      </w:r>
    </w:p>
    <w:p w14:paraId="5B504164" w14:textId="29CE103D"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Неудовлетворительные показатели в части расходных коэффициентов по сырью и материалам.</w:t>
      </w:r>
    </w:p>
    <w:p w14:paraId="30E9884C" w14:textId="175EE9F2"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Медленное выполнение опытных работ.</w:t>
      </w:r>
    </w:p>
    <w:p w14:paraId="0A1EA5D4"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Совет труда и обороны постановляет:</w:t>
      </w:r>
    </w:p>
    <w:p w14:paraId="54CC5DC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План развития</w:t>
      </w:r>
    </w:p>
    <w:p w14:paraId="3F376C9F" w14:textId="65AAD77D"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Признавая существующие, а также намеченные по МВ</w:t>
      </w:r>
      <w:r w:rsidRPr="00E93F40">
        <w:rPr>
          <w:rFonts w:ascii="Times New Roman" w:hAnsi="Times New Roman"/>
          <w:color w:val="000000" w:themeColor="text1"/>
          <w:sz w:val="16"/>
          <w:szCs w:val="16"/>
        </w:rPr>
        <w:noBreakHyphen/>
        <w:t>10, мощности по порохам, взрывчатым веществам и снаряжению крайне недостаточными, установить следующий план дальнейшего развития мощностей: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порохам довести в первой половине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мощность до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 том числе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селитро-угольных довесков: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взрывчатым веществам к тому же сроку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 530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 том числе 350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аммиачной селитры, соответственно обеспечив к этому времени мощности по капсюльному и снаряжательному производствам.</w:t>
      </w:r>
    </w:p>
    <w:p w14:paraId="4C4EDFDC" w14:textId="0E3D3174"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соответствии с этим,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включить в план капитального строительства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строительство двух нитрошелковых фабрик по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нитрошелка каждая, а в переводе на порох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пороха каждая, одной фабрики искусственной шерсти и одной вискозной фабрики по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пороха со сроком окончания одной фабрики нитрошелка и одной фабрики искусственной шерсти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концу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 остальных двух фабрик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весне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Кроме того, на протяжении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выбрать точки строительства и разработать проекты для двух новых нитрошелковых фабрик, мощностью каждая в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пороха, одной фабрики искусственной шерсти и одной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вискозы в переводе па порох по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винтовочных порохов каждая;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строительство по искусственному волокну включить в особо ударное, взять под особое наблюдение и приравнять это строительство по линии НКТП в части снабжения оборудованием, материалами и кадрами, по линии НКПС в части транспорта, по линии НКСнаба в части рабочего снабжения и по линии НКТруда в части обеспечения рабочей силой и кадрами к важнейшим стройкам Союза;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результате рационализации существующих пороховых заводов к концу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поднять мощность с 57 до 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приступить к строительству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завода </w:t>
      </w:r>
      <w:r w:rsidRPr="00E93F40">
        <w:rPr>
          <w:rFonts w:ascii="Times New Roman" w:hAnsi="Times New Roman"/>
          <w:color w:val="000000" w:themeColor="text1"/>
          <w:sz w:val="16"/>
          <w:szCs w:val="16"/>
        </w:rPr>
        <w:lastRenderedPageBreak/>
        <w:t>тротила мощностью в 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мелинитового завода мощностью в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 также развернуть производство динитронафталина мощностью в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на базе ассимиляции с красителями. Срок окончания всех этих заводов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концу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Сверх того, в течение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разработать проекты и наметить точки строительства завода взрывчатых веществ для обеспечения производства в первой половине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приступить к строительству и закончить к весне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строительство снаряжательного и капсюльного завода на Урале с мощностью, обеспечивающей снаряжение производящихся там корпусов; 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НКТП в счет контингента по электростроительству начать строительством Закамскую ТЭЦ с таким расчетом, чтобы она обеспечила паром и энергией комбинат искусственного волокна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8EEDB6F"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Сырье</w:t>
      </w:r>
    </w:p>
    <w:p w14:paraId="4E64E300" w14:textId="32CBD3CF"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НКТП обеспечить в соответствующие сроки запроектированные мощности по порохам, взрывчатым веществам сырьем и исходными материалами, аммиаком, кислотами, толуолом, бензолом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В частности;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включить в план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строительство завода вискозной целлюлозы для обеспечения строящихся пороховых заводов на базе искусственного волокна, с окончанием этого строительства к концу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предусмотреть в плане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постройку завода метанола на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весны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начать форсированную постройку завода этиловой жидкости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учитывая уже на сегодняшний день отставание сырьевой базы от мощности пороховых заводов, обязать НКТП и Госплан включить в контрольные цифры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необходимые ассигнования и импортный контингент по строительству второй очереди Березников и Тукового комбината (аммиак, азотная кислота, селитра) на Магнитной;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НКТП представить на ближайшее заседание СТО доклад о ходе строительства и сроке пуска Березников, Бобриков и Горлово; 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НКТП и Госплан предусмотреть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начало постройки нового толуолового завода;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Госплану СССР и НКТП проработать весь план развития сырьевой базы оборонной химической промышленности в соответствии с указанными заданиями, обеспечив его необходимыми лимитами в контрольных цифрах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F656140"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Загрузка мирной продукцией</w:t>
      </w:r>
    </w:p>
    <w:p w14:paraId="3F509D75" w14:textId="4F8A72F9"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НКТП и Вохимобъединение в течение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добиться максимальной загрузки военно-химических заводов мирными производствами, в особенности нитролаком и нитрокрасками, для чего предусмотреть в плане 1932</w:t>
      </w:r>
      <w:r w:rsidRPr="00E93F40">
        <w:rPr>
          <w:rFonts w:ascii="Times New Roman" w:hAnsi="Times New Roman"/>
          <w:color w:val="000000" w:themeColor="text1"/>
          <w:sz w:val="16"/>
          <w:szCs w:val="16"/>
        </w:rPr>
        <w:noBreakHyphen/>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развитие мощностей по растворителям. В частности, предусмотреть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окончание постройки заводов ацетона и бутилового спирта методом брожения на Северном Кавказе. Обеспечить преимущественное снабжение растворителями заводов ВХО.</w:t>
      </w:r>
    </w:p>
    <w:p w14:paraId="12B556BE"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Обеспечение намеченных работ</w:t>
      </w:r>
    </w:p>
    <w:p w14:paraId="51CD6434" w14:textId="00C734DB"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большой объем предстоящих работ, обязать НКТП и НКТруд: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доукомплектовать проектные организации ВОИВа и Вохимобъединения инженерно-техническим персоналом в пределах, обеспечивающих выполнение в срок предстоящих проектных работ;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привлечь из-за границы для проектирования строительства и подготовки к пуску необходимое количество инженеров и техников, а также послать своих инженеров и техников за границу для ознакомления и изучения производства искусственного волокна;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плане исследовательских и опытных работ Вохимобъединения и ВОИВа считать особо важными работы по дальнейшему улучшению технологического процесса получения винтовочных и пушечных порохов на базе искусственного волокна, обеспечив эти работы необходимыми опытными установками. НКТП немедленно отпустить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по импорту на покупку опытной установки по нитрошелку. Организовать разработку вопроса замены импортных растворителей растворителями внутреннего производства, а также разработку проблемы нитроглицериновых порохов;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считая совершенно недопустимым затяжку выполнения заводами опытных работ, поручить НКТП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проверить ход этих работ;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 позднее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добиться кондиционности мелинита и динитронафталина, а также решительно улучшить качество порохов; 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НКВМ совместно с НКТП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пересмотреть технические условия на пороха для мирного и военного времени, учитывая ввод на вооружение новой материальной части;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провести пересмотр контингента учащихся, а также программ и постановки производственной практики всех специальных факультетов и втузов, подготовляющих инженеров и техников по производству порохов, взрывчатых веществ и искусственного волокна, а также пиротехников, приведя их в соответствии с запроектированным планом развития военно-химического производства и в соответствии с характером его развития (ассимиляция с искусственным волокном).</w:t>
      </w:r>
    </w:p>
    <w:p w14:paraId="4F8A0D09"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 Обеспечение МВ</w:t>
      </w:r>
      <w:r w:rsidRPr="00E93F40">
        <w:rPr>
          <w:rFonts w:ascii="Times New Roman" w:hAnsi="Times New Roman"/>
          <w:color w:val="000000" w:themeColor="text1"/>
          <w:sz w:val="16"/>
          <w:szCs w:val="16"/>
        </w:rPr>
        <w:noBreakHyphen/>
        <w:t>10</w:t>
      </w:r>
    </w:p>
    <w:p w14:paraId="7E22EC8E" w14:textId="3E4C1923"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обеспечения мобилизационного задания МВ</w:t>
      </w:r>
      <w:r w:rsidRPr="00E93F40">
        <w:rPr>
          <w:rFonts w:ascii="Times New Roman" w:hAnsi="Times New Roman"/>
          <w:color w:val="000000" w:themeColor="text1"/>
          <w:sz w:val="16"/>
          <w:szCs w:val="16"/>
        </w:rPr>
        <w:noBreakHyphen/>
        <w:t>10 по действующим и строящимся заводам обязать НКТП построить план капитальных работ таким образом, чтобы: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порохам в первой половине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мощности были доведены до 47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 во второй половине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 57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взрывчатым веществам окончание мощностей в первой половине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тротилу, ксилилу и тетрилу, а по мелиниту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во второй половине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Обратить особое внимание на форсирование работ по взрывчатым веществам и гражданской химии, приравняв их в части обеспечения материалами к стройкам военной промышленности;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снаряжению</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реконструкцию снаряжательных производств по всем заводам закончить не позднее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 строительство Павлоградского снаряжательного завода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 позднее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обязав т.</w:t>
      </w:r>
      <w:r w:rsidR="007C1411" w:rsidRPr="00E93F40">
        <w:rPr>
          <w:rFonts w:ascii="Times New Roman" w:hAnsi="Times New Roman"/>
          <w:color w:val="000000" w:themeColor="text1"/>
          <w:sz w:val="16"/>
          <w:szCs w:val="16"/>
        </w:rPr>
        <w:t xml:space="preserve"> </w:t>
      </w:r>
      <w:hyperlink r:id="rId15" w:history="1">
        <w:r w:rsidRPr="00E93F40">
          <w:rPr>
            <w:rStyle w:val="a5"/>
            <w:rFonts w:ascii="Times New Roman" w:hAnsi="Times New Roman"/>
            <w:color w:val="000000" w:themeColor="text1"/>
            <w:sz w:val="16"/>
            <w:szCs w:val="16"/>
          </w:rPr>
          <w:t>Павлуновского</w:t>
        </w:r>
      </w:hyperlink>
      <w:r w:rsidRPr="00E93F40">
        <w:rPr>
          <w:rFonts w:ascii="Times New Roman" w:hAnsi="Times New Roman"/>
          <w:color w:val="000000" w:themeColor="text1"/>
          <w:sz w:val="16"/>
          <w:szCs w:val="16"/>
        </w:rPr>
        <w:t xml:space="preserve"> разместить все заказы на оборудование со сроком сдачи не позднее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CD9FF12" w14:textId="3522166A"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обеспечения строительства заводов Вохимобъединения и ВОИВа обязать НКТП: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обеспечить под персональную ответственность управляющих объединениями полное и своевременное изготовление и отгрузку оборудования для заводов Вохимобъединения, обратив особое внимание на выполнение заказов ВЭО и ВОСХИМом. В течение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освоить производством новые типы машин, необходимые для промышленности искусственного волокна. Ответственность за выполнение настоящего пункта возложить на начальника Главмашпрома т.</w:t>
      </w:r>
      <w:r w:rsidR="007C1411" w:rsidRPr="00E93F40">
        <w:rPr>
          <w:rFonts w:ascii="Times New Roman" w:hAnsi="Times New Roman"/>
          <w:color w:val="000000" w:themeColor="text1"/>
          <w:sz w:val="16"/>
          <w:szCs w:val="16"/>
        </w:rPr>
        <w:t xml:space="preserve"> </w:t>
      </w:r>
      <w:hyperlink r:id="rId16" w:history="1">
        <w:r w:rsidRPr="00E93F40">
          <w:rPr>
            <w:rStyle w:val="a5"/>
            <w:rFonts w:ascii="Times New Roman" w:hAnsi="Times New Roman"/>
            <w:color w:val="000000" w:themeColor="text1"/>
            <w:sz w:val="16"/>
            <w:szCs w:val="16"/>
          </w:rPr>
          <w:t>Кагановича</w:t>
        </w:r>
      </w:hyperlink>
      <w:r w:rsidRPr="00E93F40">
        <w:rPr>
          <w:rFonts w:ascii="Times New Roman" w:hAnsi="Times New Roman"/>
          <w:color w:val="000000" w:themeColor="text1"/>
          <w:sz w:val="16"/>
          <w:szCs w:val="16"/>
        </w:rPr>
        <w:t>;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соответствии с создаваемыми мощностями и сроками их окончания обеспечить Вохимобъединение необходимым количеством всех видов труб, шамотом и электрооборудованием.</w:t>
      </w:r>
    </w:p>
    <w:p w14:paraId="721B1633" w14:textId="333CFAB2"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НКТП предоставить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ВХО импортный контингент, необходимый для обеспечения МВ</w:t>
      </w:r>
      <w:r w:rsidRPr="00E93F40">
        <w:rPr>
          <w:rFonts w:ascii="Times New Roman" w:hAnsi="Times New Roman"/>
          <w:color w:val="000000" w:themeColor="text1"/>
          <w:sz w:val="16"/>
          <w:szCs w:val="16"/>
        </w:rPr>
        <w:noBreakHyphen/>
        <w:t>10.</w:t>
      </w:r>
    </w:p>
    <w:p w14:paraId="142F995E" w14:textId="774E1133"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Принять к сведению заявление ВСНХ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что им рассмотрены и утверждены контрольные цифры строительства военно-химических заводов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которых предусматривается решительное подтягивание наиболее отсталых участков, в частности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внутризаводского транспорта, складского хозяйства, жилищного и культурно-бытового строительства, а также денитрации кислот на полную мощность.</w:t>
      </w:r>
    </w:p>
    <w:p w14:paraId="011B61ED" w14:textId="77777777"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w:t>
      </w:r>
    </w:p>
    <w:p w14:paraId="12886C1C" w14:textId="16041A47" w:rsidR="007E7FF2" w:rsidRPr="00E93F40" w:rsidRDefault="007E7FF2" w:rsidP="00E93F40">
      <w:pPr>
        <w:pStyle w:val="rtejustify"/>
        <w:spacing w:before="0" w:after="0"/>
        <w:rPr>
          <w:color w:val="000000" w:themeColor="text1"/>
          <w:sz w:val="16"/>
          <w:szCs w:val="16"/>
        </w:rPr>
      </w:pPr>
      <w:r w:rsidRPr="00E93F40">
        <w:rPr>
          <w:color w:val="000000" w:themeColor="text1"/>
          <w:sz w:val="16"/>
          <w:szCs w:val="16"/>
        </w:rPr>
        <w:t>Не позднее 1</w:t>
      </w:r>
      <w:r w:rsidR="007C1411" w:rsidRPr="00E93F40">
        <w:rPr>
          <w:color w:val="000000" w:themeColor="text1"/>
          <w:sz w:val="16"/>
          <w:szCs w:val="16"/>
        </w:rPr>
        <w:t xml:space="preserve"> </w:t>
      </w:r>
      <w:r w:rsidRPr="00E93F40">
        <w:rPr>
          <w:color w:val="000000" w:themeColor="text1"/>
          <w:sz w:val="16"/>
          <w:szCs w:val="16"/>
        </w:rPr>
        <w:t>мая 1932</w:t>
      </w:r>
      <w:r w:rsidR="007C1411" w:rsidRPr="00E93F40">
        <w:rPr>
          <w:color w:val="000000" w:themeColor="text1"/>
          <w:sz w:val="16"/>
          <w:szCs w:val="16"/>
        </w:rPr>
        <w:t xml:space="preserve"> </w:t>
      </w:r>
      <w:r w:rsidRPr="00E93F40">
        <w:rPr>
          <w:color w:val="000000" w:themeColor="text1"/>
          <w:sz w:val="16"/>
          <w:szCs w:val="16"/>
        </w:rPr>
        <w:t>г. НКТП доложить СТО о ходе выполнения настоящего постановления.</w:t>
      </w:r>
    </w:p>
    <w:p w14:paraId="16A82BB1" w14:textId="20EBC1F9" w:rsidR="007E7FF2" w:rsidRPr="00E93F40" w:rsidRDefault="007E7FF2" w:rsidP="00E93F40">
      <w:pPr>
        <w:pStyle w:val="rteright"/>
        <w:spacing w:before="0" w:after="0"/>
        <w:jc w:val="both"/>
        <w:rPr>
          <w:color w:val="000000" w:themeColor="text1"/>
          <w:sz w:val="16"/>
          <w:szCs w:val="16"/>
        </w:rPr>
      </w:pPr>
      <w:r w:rsidRPr="00E93F40">
        <w:rPr>
          <w:rStyle w:val="af0"/>
          <w:i w:val="0"/>
          <w:color w:val="000000" w:themeColor="text1"/>
          <w:sz w:val="16"/>
          <w:szCs w:val="16"/>
        </w:rPr>
        <w:t xml:space="preserve">Председатель Совета труда и обороны </w:t>
      </w:r>
      <w:hyperlink r:id="rId17" w:history="1">
        <w:r w:rsidRPr="00E93F40">
          <w:rPr>
            <w:rStyle w:val="af0"/>
            <w:i w:val="0"/>
            <w:color w:val="000000" w:themeColor="text1"/>
            <w:sz w:val="16"/>
            <w:szCs w:val="16"/>
          </w:rPr>
          <w:t>В.</w:t>
        </w:r>
        <w:r w:rsidR="007C1411" w:rsidRPr="00E93F40">
          <w:rPr>
            <w:rStyle w:val="af0"/>
            <w:i w:val="0"/>
            <w:color w:val="000000" w:themeColor="text1"/>
            <w:sz w:val="16"/>
            <w:szCs w:val="16"/>
          </w:rPr>
          <w:t xml:space="preserve"> </w:t>
        </w:r>
        <w:r w:rsidRPr="00E93F40">
          <w:rPr>
            <w:rStyle w:val="af0"/>
            <w:i w:val="0"/>
            <w:color w:val="000000" w:themeColor="text1"/>
            <w:sz w:val="16"/>
            <w:szCs w:val="16"/>
          </w:rPr>
          <w:t>Молотов (Скрябин)</w:t>
        </w:r>
      </w:hyperlink>
    </w:p>
    <w:p w14:paraId="4CA0E926" w14:textId="4F9E9466" w:rsidR="007E7FF2" w:rsidRPr="00E93F40" w:rsidRDefault="007E7FF2" w:rsidP="00E93F40">
      <w:pPr>
        <w:pStyle w:val="rteright"/>
        <w:spacing w:before="0" w:after="0"/>
        <w:jc w:val="both"/>
        <w:rPr>
          <w:color w:val="000000" w:themeColor="text1"/>
          <w:sz w:val="16"/>
          <w:szCs w:val="16"/>
        </w:rPr>
      </w:pPr>
      <w:r w:rsidRPr="00E93F40">
        <w:rPr>
          <w:rStyle w:val="af0"/>
          <w:i w:val="0"/>
          <w:color w:val="000000" w:themeColor="text1"/>
          <w:sz w:val="16"/>
          <w:szCs w:val="16"/>
        </w:rPr>
        <w:t xml:space="preserve">Секретарь Совета труда и обороны </w:t>
      </w:r>
      <w:hyperlink r:id="rId18" w:history="1">
        <w:r w:rsidRPr="00E93F40">
          <w:rPr>
            <w:rStyle w:val="af0"/>
            <w:i w:val="0"/>
            <w:color w:val="000000" w:themeColor="text1"/>
            <w:sz w:val="16"/>
            <w:szCs w:val="16"/>
          </w:rPr>
          <w:t>И.</w:t>
        </w:r>
        <w:r w:rsidR="007C1411" w:rsidRPr="00E93F40">
          <w:rPr>
            <w:rStyle w:val="af0"/>
            <w:i w:val="0"/>
            <w:color w:val="000000" w:themeColor="text1"/>
            <w:sz w:val="16"/>
            <w:szCs w:val="16"/>
          </w:rPr>
          <w:t xml:space="preserve"> </w:t>
        </w:r>
        <w:r w:rsidRPr="00E93F40">
          <w:rPr>
            <w:rStyle w:val="af0"/>
            <w:i w:val="0"/>
            <w:color w:val="000000" w:themeColor="text1"/>
            <w:sz w:val="16"/>
            <w:szCs w:val="16"/>
          </w:rPr>
          <w:t>Межлаук</w:t>
        </w:r>
      </w:hyperlink>
    </w:p>
    <w:p w14:paraId="541D2FB5" w14:textId="77777777" w:rsidR="007E7FF2" w:rsidRPr="00E93F40" w:rsidRDefault="007E7FF2" w:rsidP="00E93F40">
      <w:pPr>
        <w:pStyle w:val="ae"/>
        <w:spacing w:before="0" w:after="0"/>
        <w:jc w:val="both"/>
        <w:rPr>
          <w:color w:val="000000" w:themeColor="text1"/>
          <w:sz w:val="16"/>
          <w:szCs w:val="16"/>
        </w:rPr>
      </w:pPr>
      <w:r w:rsidRPr="00E93F40">
        <w:rPr>
          <w:color w:val="000000" w:themeColor="text1"/>
          <w:sz w:val="16"/>
          <w:szCs w:val="16"/>
        </w:rPr>
        <w:t>ГА РФ. Ф. Р-8418. Оп. 5. Д. 30. Л. 4—10. Заверенная копия.</w:t>
      </w:r>
    </w:p>
    <w:p w14:paraId="7EBC0D44" w14:textId="25D4BE5F"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5. Д. 30. Л. 4—10. Заверенная копия. </w:t>
      </w:r>
    </w:p>
    <w:p w14:paraId="0F55D3BB" w14:textId="7D5F7311" w:rsidR="007E7FF2" w:rsidRPr="00E93F40" w:rsidRDefault="007E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614-617 (12549).</w:t>
      </w:r>
    </w:p>
    <w:p w14:paraId="6AA8614E" w14:textId="77777777" w:rsidR="007E7FF2" w:rsidRPr="00E93F40" w:rsidRDefault="007E7FF2" w:rsidP="00E93F40">
      <w:pPr>
        <w:spacing w:after="0" w:line="240" w:lineRule="auto"/>
        <w:jc w:val="both"/>
        <w:rPr>
          <w:rFonts w:ascii="Times New Roman" w:hAnsi="Times New Roman"/>
          <w:color w:val="000000" w:themeColor="text1"/>
          <w:sz w:val="16"/>
          <w:szCs w:val="16"/>
        </w:rPr>
      </w:pPr>
    </w:p>
    <w:p w14:paraId="58A9EC43" w14:textId="601BC4F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января 1932 г. постановлением СТО СССР предусматривалось использование в интересах РККА сил и средств НКС и НКПС. В частности, НКС предполагалось привлечь к обеспечению связью звено – «Ставка» - «фронт» - «армия» (Архив ВИМАИВиВС, ф. 61р, оп. 2, д. 1, л. 97.).</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1932-1934 гг. государственными, партийными и хозяйственными орга нами были предприняты меры к исправлению создавшегося положения. На состоявшемся в августе 1932 г. открытом пленуме коллектива ВКП (б) и ВЛКСМ ВЭСО было отмечено крайне низкое качество телефонной продукции, а также ее значительное отставание от заграничных образцов. В качестве основ ной причины этого рассматривалось отсутствие отраслевой телефонной лабора тории. ЦЛПС с ее чрезвычайно широким спектром задач и направлений иссле дований не могла обеспечить нужных результатов во всех отраслях проводной связи (ЦГАИПД СПб., ф. 2526, оп. 1, д. 1, л. 29.). Аналогичные оценки содержались и в записке начальника Главэспрома, адресованной в Ленинградский обком ВКП (б) в октябре 1934 г. В ней снова от мечалась крайняя отсталость отечественной электрослаботочной промышленно 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 ния по линиям высокого напряжения (ЦГАИПД СПб., ф. 24, оп. 13, д. 834, л. 3-4.). Большое внимание вопросам развития связи в целом было уделено на XVII съезде ВКП (б). В частности, в своем докладе В.В. Куйбышев в числе приори тетных направлений реконструкции техники связи во второй пятилетке выдви нул «… широкое применение высокочастотной аппаратуры для многократного телефонирования и телеграфирования, что в несколько раз повысит объем теле графной и телефонной связи и создает экономию в проволоке» (Куйбышев В.В. Избранные произведения. - М.: Госполитиздат, 1958. С. 441.). В развитие решений съезда в 1934 г. был принят целый ряд постановлений СТО и СНК по развитию конкретных отраслей проводной связи. 27 августа вы шло постановление СТО № 831/180с об организации производства в 1935 г. при боров высокой частоты для НКПС. Аналогичные задачи в интересах НКС были определены постановлением СНК от 24 сентября (ЦГАИПД СПб., ф. 24, оп. 13, д. 834, л. 8.) (11870).</w:t>
      </w:r>
    </w:p>
    <w:p w14:paraId="09D9BB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E7E817" w14:textId="77777777" w:rsidR="007A0309" w:rsidRPr="00E93F40" w:rsidRDefault="007A03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января 1932 г. вышло постановление СТО СССР № 7сс предусматривавшее увеличение выпуска средств связи для НКВМ по сравнению с 1931 г. сразу в 3,4 раза. Объем заказа, например, радиостанций в результате составил 7999 комплектов.</w:t>
      </w:r>
    </w:p>
    <w:p w14:paraId="5BBF5BD9" w14:textId="77777777" w:rsidR="007A0309" w:rsidRPr="00E93F40" w:rsidRDefault="007A03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обеспечения ее выполнения приказом наркома тяжелой промышленности в начале марта 1932 г. ВЭСО выделялись дополнительные финансовые ресурсы (18297).</w:t>
      </w:r>
    </w:p>
    <w:p w14:paraId="57337517" w14:textId="77777777" w:rsidR="007A0309" w:rsidRPr="00E93F40" w:rsidRDefault="007A0309" w:rsidP="00E93F40">
      <w:pPr>
        <w:spacing w:after="0" w:line="240" w:lineRule="auto"/>
        <w:jc w:val="both"/>
        <w:rPr>
          <w:rFonts w:ascii="Times New Roman" w:hAnsi="Times New Roman"/>
          <w:color w:val="000000" w:themeColor="text1"/>
          <w:sz w:val="16"/>
          <w:szCs w:val="16"/>
        </w:rPr>
      </w:pPr>
    </w:p>
    <w:p w14:paraId="6C1FCFD1" w14:textId="708D2293" w:rsidR="00D22833" w:rsidRPr="00E93F40" w:rsidRDefault="00D22833" w:rsidP="00E93F40">
      <w:pPr>
        <w:pStyle w:val="ae"/>
        <w:spacing w:before="0" w:after="0"/>
        <w:jc w:val="both"/>
        <w:rPr>
          <w:color w:val="000000" w:themeColor="text1"/>
          <w:sz w:val="16"/>
          <w:szCs w:val="16"/>
        </w:rPr>
      </w:pPr>
      <w:r w:rsidRPr="00E93F40">
        <w:rPr>
          <w:color w:val="000000" w:themeColor="text1"/>
          <w:sz w:val="16"/>
          <w:szCs w:val="16"/>
        </w:rPr>
        <w:t>11 января 1932 года вышло постановление СТО №</w:t>
      </w:r>
      <w:r w:rsidR="007C1411" w:rsidRPr="00E93F40">
        <w:rPr>
          <w:color w:val="000000" w:themeColor="text1"/>
          <w:sz w:val="16"/>
          <w:szCs w:val="16"/>
        </w:rPr>
        <w:t xml:space="preserve"> </w:t>
      </w:r>
      <w:r w:rsidRPr="00E93F40">
        <w:rPr>
          <w:color w:val="000000" w:themeColor="text1"/>
          <w:sz w:val="16"/>
          <w:szCs w:val="16"/>
        </w:rPr>
        <w:t>7, в соответствии с которым ЗАТЭМ должен был выпустить в 1933 году 400 ПУАЗО «Сперри» и 200 звукоулавливателей типа «З-Т-4» (15736).</w:t>
      </w:r>
    </w:p>
    <w:p w14:paraId="1B746450" w14:textId="77777777" w:rsidR="00D22833" w:rsidRPr="00E93F40" w:rsidRDefault="00D22833" w:rsidP="00E93F40">
      <w:pPr>
        <w:pStyle w:val="ae"/>
        <w:spacing w:before="0" w:after="0"/>
        <w:jc w:val="both"/>
        <w:rPr>
          <w:color w:val="000000" w:themeColor="text1"/>
          <w:sz w:val="16"/>
          <w:szCs w:val="16"/>
        </w:rPr>
      </w:pPr>
    </w:p>
    <w:p w14:paraId="5B390D61" w14:textId="0A0F1068" w:rsidR="00D22833" w:rsidRPr="00E93F40" w:rsidRDefault="00D22833" w:rsidP="00E93F40">
      <w:pPr>
        <w:pStyle w:val="ae"/>
        <w:spacing w:before="0" w:after="0"/>
        <w:jc w:val="both"/>
        <w:rPr>
          <w:color w:val="000000" w:themeColor="text1"/>
          <w:sz w:val="16"/>
          <w:szCs w:val="16"/>
        </w:rPr>
      </w:pPr>
      <w:r w:rsidRPr="00E93F40">
        <w:rPr>
          <w:color w:val="000000" w:themeColor="text1"/>
          <w:sz w:val="16"/>
          <w:szCs w:val="16"/>
        </w:rPr>
        <w:t>11 января 1932</w:t>
      </w:r>
      <w:r w:rsidR="007C1411" w:rsidRPr="00E93F40">
        <w:rPr>
          <w:color w:val="000000" w:themeColor="text1"/>
          <w:sz w:val="16"/>
          <w:szCs w:val="16"/>
        </w:rPr>
        <w:t xml:space="preserve"> </w:t>
      </w:r>
      <w:r w:rsidRPr="00E93F40">
        <w:rPr>
          <w:color w:val="000000" w:themeColor="text1"/>
          <w:sz w:val="16"/>
          <w:szCs w:val="16"/>
        </w:rPr>
        <w:t>г. в постановлении СТО №</w:t>
      </w:r>
      <w:r w:rsidR="007C1411" w:rsidRPr="00E93F40">
        <w:rPr>
          <w:color w:val="000000" w:themeColor="text1"/>
          <w:sz w:val="16"/>
          <w:szCs w:val="16"/>
        </w:rPr>
        <w:t xml:space="preserve"> </w:t>
      </w:r>
      <w:r w:rsidRPr="00E93F40">
        <w:rPr>
          <w:color w:val="000000" w:themeColor="text1"/>
          <w:sz w:val="16"/>
          <w:szCs w:val="16"/>
        </w:rPr>
        <w:t>7сс «По связи» состояние дела характеризовалось следующим образом:</w:t>
      </w:r>
    </w:p>
    <w:p w14:paraId="36C3248C" w14:textId="77777777" w:rsidR="00D22833" w:rsidRPr="00E93F40" w:rsidRDefault="00D22833" w:rsidP="00E93F40">
      <w:pPr>
        <w:pStyle w:val="ae"/>
        <w:spacing w:before="0" w:after="0"/>
        <w:jc w:val="both"/>
        <w:rPr>
          <w:color w:val="000000" w:themeColor="text1"/>
          <w:sz w:val="16"/>
          <w:szCs w:val="16"/>
        </w:rPr>
      </w:pPr>
      <w:r w:rsidRPr="00E93F40">
        <w:rPr>
          <w:color w:val="000000" w:themeColor="text1"/>
          <w:sz w:val="16"/>
          <w:szCs w:val="16"/>
        </w:rPr>
        <w:t>«внедрение в армию новейших средств (радио, телемеханика, ПУАЗО) идет медленными темпами»;</w:t>
      </w:r>
    </w:p>
    <w:p w14:paraId="775DCE52" w14:textId="77777777" w:rsidR="00D22833" w:rsidRPr="00E93F40" w:rsidRDefault="00D22833" w:rsidP="00E93F40">
      <w:pPr>
        <w:pStyle w:val="ae"/>
        <w:spacing w:before="0" w:after="0"/>
        <w:jc w:val="both"/>
        <w:rPr>
          <w:color w:val="000000" w:themeColor="text1"/>
          <w:sz w:val="16"/>
          <w:szCs w:val="16"/>
        </w:rPr>
      </w:pPr>
      <w:r w:rsidRPr="00E93F40">
        <w:rPr>
          <w:color w:val="000000" w:themeColor="text1"/>
          <w:sz w:val="16"/>
          <w:szCs w:val="16"/>
        </w:rPr>
        <w:t>«промышленная база для производства средств связи крайне узка и не удовлетворяет потребностям армии и народного хозяйства»;</w:t>
      </w:r>
    </w:p>
    <w:p w14:paraId="64C11A38" w14:textId="77777777" w:rsidR="00D22833" w:rsidRPr="00E93F40" w:rsidRDefault="00D22833" w:rsidP="00E93F40">
      <w:pPr>
        <w:pStyle w:val="ae"/>
        <w:spacing w:before="0" w:after="0"/>
        <w:jc w:val="both"/>
        <w:rPr>
          <w:color w:val="000000" w:themeColor="text1"/>
          <w:sz w:val="16"/>
          <w:szCs w:val="16"/>
        </w:rPr>
      </w:pPr>
      <w:r w:rsidRPr="00E93F40">
        <w:rPr>
          <w:color w:val="000000" w:themeColor="text1"/>
          <w:sz w:val="16"/>
          <w:szCs w:val="16"/>
        </w:rPr>
        <w:t>«производство электронных ламп, источников питания и кабеля находится в большой зависимости от импорта»;</w:t>
      </w:r>
    </w:p>
    <w:p w14:paraId="5F17CF0D" w14:textId="77777777" w:rsidR="00D22833" w:rsidRPr="00E93F40" w:rsidRDefault="00D22833" w:rsidP="00E93F40">
      <w:pPr>
        <w:pStyle w:val="ae"/>
        <w:spacing w:before="0" w:after="0"/>
        <w:jc w:val="both"/>
        <w:rPr>
          <w:color w:val="000000" w:themeColor="text1"/>
          <w:sz w:val="16"/>
          <w:szCs w:val="16"/>
        </w:rPr>
      </w:pPr>
      <w:r w:rsidRPr="00E93F40">
        <w:rPr>
          <w:color w:val="000000" w:themeColor="text1"/>
          <w:sz w:val="16"/>
          <w:szCs w:val="16"/>
        </w:rPr>
        <w:lastRenderedPageBreak/>
        <w:t>«научно-исследовательская работа в области связи распылена между ведомственными институтами, не увязана с промышленностью и не имеет организующего центра»;</w:t>
      </w:r>
    </w:p>
    <w:p w14:paraId="2F6F1777" w14:textId="77777777" w:rsidR="00D22833" w:rsidRPr="00E93F40" w:rsidRDefault="00D22833" w:rsidP="00E93F40">
      <w:pPr>
        <w:pStyle w:val="ae"/>
        <w:spacing w:before="0" w:after="0"/>
        <w:jc w:val="both"/>
        <w:rPr>
          <w:color w:val="000000" w:themeColor="text1"/>
          <w:sz w:val="16"/>
          <w:szCs w:val="16"/>
        </w:rPr>
      </w:pPr>
      <w:r w:rsidRPr="00E93F40">
        <w:rPr>
          <w:color w:val="000000" w:themeColor="text1"/>
          <w:sz w:val="16"/>
          <w:szCs w:val="16"/>
        </w:rPr>
        <w:t>«новые технические средства (телемеханика, ПУАЗО) еще не вышли из состояния опытного серийного производства, а главное, не имеют производственной базы» (15736).</w:t>
      </w:r>
    </w:p>
    <w:p w14:paraId="53E3FFBA" w14:textId="77777777" w:rsidR="00D22833" w:rsidRPr="00E93F40" w:rsidRDefault="00D22833" w:rsidP="00E93F40">
      <w:pPr>
        <w:pStyle w:val="ae"/>
        <w:spacing w:before="0" w:after="0"/>
        <w:jc w:val="both"/>
        <w:rPr>
          <w:color w:val="000000" w:themeColor="text1"/>
          <w:sz w:val="16"/>
          <w:szCs w:val="16"/>
        </w:rPr>
      </w:pPr>
    </w:p>
    <w:p w14:paraId="34AEE46C" w14:textId="77777777" w:rsidR="00DA227A" w:rsidRPr="00E93F40" w:rsidRDefault="00DA227A"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47DD176" w14:textId="77777777" w:rsidR="00DA227A" w:rsidRPr="00E93F40" w:rsidRDefault="00DA227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9F3D2E" w14:textId="03559E12" w:rsidR="00DA227A" w:rsidRPr="00E93F40" w:rsidRDefault="00DA22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12 января 1932 г. Военно-воздушная академия имени Н.Е.Жуковекого организовала полет самолета АНТ-9 с группой преподавателей и слушателей в подшефную авиабригаду для оказания помощи летно-техническому составу в его текущей работе по овладению техникой. В группе было девять консультантов по разным видам техники. За месяц своего пребывания в авиабригаде они дали 43 консультации, провели 29 занятий по разным темам, оказали помощь рационализаторам и изобретателям. В свою очередь консультанты привезли 38 вопросов, выдвинутых практикой авиабригады и подлежащих научному исследованию в академии. Начинание ВВА оказалось полезным как для работников периферии, так и для самой академии. </w:t>
      </w:r>
    </w:p>
    <w:p w14:paraId="3111063F" w14:textId="7983CA9C" w:rsidR="00DA227A" w:rsidRPr="00E93F40" w:rsidRDefault="00DA22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/«Красная звезда» за 14 и 18 января 1932 г./ (23370).</w:t>
      </w:r>
    </w:p>
    <w:p w14:paraId="752965B1" w14:textId="77777777" w:rsidR="00DA227A" w:rsidRPr="00E93F40" w:rsidRDefault="00DA227A" w:rsidP="00E93F40">
      <w:pPr>
        <w:spacing w:after="0" w:line="240" w:lineRule="auto"/>
        <w:jc w:val="both"/>
        <w:rPr>
          <w:rFonts w:ascii="Times New Roman" w:hAnsi="Times New Roman"/>
          <w:color w:val="000000" w:themeColor="text1"/>
          <w:sz w:val="16"/>
          <w:szCs w:val="16"/>
        </w:rPr>
      </w:pPr>
    </w:p>
    <w:p w14:paraId="3C102F5E"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января 1932 г. под выпуск Ш-2 на заводе № 31 сформировали отдельный цех. Сначала его укомплектовали рабочими низкой квалификации, что вызвало много проб</w:t>
      </w:r>
      <w:r w:rsidRPr="00142305">
        <w:rPr>
          <w:rFonts w:ascii="Times New Roman" w:hAnsi="Times New Roman"/>
          <w:color w:val="0070C0"/>
          <w:sz w:val="16"/>
          <w:szCs w:val="16"/>
        </w:rPr>
        <w:softHyphen/>
        <w:t>лем, больше с металлическими, чем с деревянными частями амфибии. После реорганизации положение исправилось. Как и планировалось, к 1 апреля головной образец (с номером ОЖ-38) был готов, его предъявили заводским контролёрам. Интересно, что на этот раз серийный экземпляр, несмотря на усиление ряда деталей, получился легче опытного на 20 кг (обычно - наоборот). При этом бен</w:t>
      </w:r>
      <w:r w:rsidRPr="00142305">
        <w:rPr>
          <w:rFonts w:ascii="Times New Roman" w:hAnsi="Times New Roman"/>
          <w:color w:val="0070C0"/>
          <w:sz w:val="16"/>
          <w:szCs w:val="16"/>
        </w:rPr>
        <w:softHyphen/>
        <w:t>зобаков стало три (третий - под задним сиденьем), добавили ряд приборов. Выиг</w:t>
      </w:r>
      <w:r w:rsidRPr="00142305">
        <w:rPr>
          <w:rFonts w:ascii="Times New Roman" w:hAnsi="Times New Roman"/>
          <w:color w:val="0070C0"/>
          <w:sz w:val="16"/>
          <w:szCs w:val="16"/>
        </w:rPr>
        <w:softHyphen/>
        <w:t>рыша достигли в основном за счёт более качественного изготовления лодки.</w:t>
      </w:r>
    </w:p>
    <w:p w14:paraId="53F60DB4"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на Азовском море ещё стоял лёд, а на аэродроме - весенняя распутица (24952).</w:t>
      </w:r>
    </w:p>
    <w:p w14:paraId="21788317" w14:textId="77777777" w:rsidR="006551DA" w:rsidRPr="00142305" w:rsidRDefault="006551DA" w:rsidP="006551DA">
      <w:pPr>
        <w:spacing w:after="0" w:line="240" w:lineRule="auto"/>
        <w:jc w:val="both"/>
        <w:rPr>
          <w:rFonts w:ascii="Times New Roman" w:hAnsi="Times New Roman"/>
          <w:color w:val="0070C0"/>
          <w:sz w:val="16"/>
          <w:szCs w:val="16"/>
        </w:rPr>
      </w:pPr>
    </w:p>
    <w:p w14:paraId="0EFDA299" w14:textId="77777777" w:rsidR="006551DA" w:rsidRPr="00E93F40" w:rsidRDefault="006551DA" w:rsidP="006551DA">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35387DF" w14:textId="77777777" w:rsidR="006551DA" w:rsidRPr="00E93F40" w:rsidRDefault="006551DA" w:rsidP="006551DA">
      <w:pPr>
        <w:autoSpaceDE w:val="0"/>
        <w:autoSpaceDN w:val="0"/>
        <w:adjustRightInd w:val="0"/>
        <w:spacing w:after="0" w:line="240" w:lineRule="auto"/>
        <w:jc w:val="both"/>
        <w:rPr>
          <w:rFonts w:ascii="Times New Roman" w:hAnsi="Times New Roman"/>
          <w:iCs/>
          <w:color w:val="000000" w:themeColor="text1"/>
          <w:sz w:val="16"/>
          <w:szCs w:val="16"/>
        </w:rPr>
      </w:pPr>
    </w:p>
    <w:p w14:paraId="26904A02" w14:textId="77777777" w:rsidR="006551DA" w:rsidRPr="00E93F40" w:rsidRDefault="006551DA" w:rsidP="006551DA">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12 января 1932 </w:t>
      </w:r>
      <w:r w:rsidRPr="00E93F40">
        <w:rPr>
          <w:rFonts w:ascii="Times New Roman" w:hAnsi="Times New Roman"/>
          <w:color w:val="000000" w:themeColor="text1"/>
          <w:sz w:val="16"/>
          <w:szCs w:val="16"/>
        </w:rPr>
        <w:t>Политбюро ЦК ВКП (б) приняло решение о назначении на крупных военных заводах парторганизаторов ЦК ВКП (б) (12265).</w:t>
      </w:r>
    </w:p>
    <w:p w14:paraId="0873F9F5" w14:textId="77777777" w:rsidR="006551DA" w:rsidRPr="00E93F40" w:rsidRDefault="006551DA" w:rsidP="006551DA">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7E579049" w14:textId="77777777" w:rsidR="00D2283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047376F" w14:textId="77777777" w:rsidR="00D22833" w:rsidRPr="00E93F40" w:rsidRDefault="00D2283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8CF23E"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января 1932 года начальник мобсектора Снарядного треста писал письмо № 201с директору завода № 67, АУ РККА, УВВС, МПС ВСНХ Рудину:</w:t>
      </w:r>
    </w:p>
    <w:p w14:paraId="3F36085E"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года в кабинете начальника Снарядного треста Урываева состоится доклад директора завода № 67 (Мастяжарт) о перспективах развития опытного бомбостроения и о состоянии мобготовности завода.</w:t>
      </w:r>
    </w:p>
    <w:p w14:paraId="16EBE1CE"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Просьба командировать своих представителей в указанный день и час (7428, 29).</w:t>
      </w:r>
    </w:p>
    <w:p w14:paraId="724265A3"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p>
    <w:p w14:paraId="5341A052"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января 1932 г. На заседании бюро партийного комитета ХПЗ был рассмотрен вопрос «о задачах завода в области дизелестроения». В принятом по данному вопросу Постановлении бюро партийного комитета ХПЗ было отмечено:</w:t>
      </w:r>
    </w:p>
    <w:p w14:paraId="17B03D0A"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дизелей на ХПЗ производится уже в течение 20 лет (с 1912 г.), и завод имеет целый ряд значительных достижений в дизелестроении.</w:t>
      </w:r>
    </w:p>
    <w:p w14:paraId="5F22548A"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Дизельный цех ХПЗ первый в Союзе освоил производство дизелей фирмы «Зульцер» без помощи иностранных специалистов и полностью из советского материала. Дизельный отдел ХПЗ сконструировал новый советский двигатель Д-40, освобождающий нас от иностранной зависимости.</w:t>
      </w:r>
    </w:p>
    <w:p w14:paraId="43121CE8"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специализации и твердой производственной программы по дизелестроению, загрузка цеха несвойственными ему заказами затрудняет налаживание основного производства и удорожает его. Соединение значительного опыта по дизелестроению и паровозостроению позволяет легко разрешить на ХПЗ вопрос о постройке тепловозного дизеля. Специализация дизельного цеха должна пойти именно по линии обслуживания транспорта дизелями для тепловозостроения.</w:t>
      </w:r>
    </w:p>
    <w:p w14:paraId="28EBC3E7"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менее важную роль должен сыграть дизельный отдел в вопросе осуществления директив партии о создании в кратчайший срок дизель-мотора для трактора и спецмашины [танка БТ], удельный вес которых в производстве завода доминирующий».</w:t>
      </w:r>
    </w:p>
    <w:p w14:paraId="77C743AA"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[История ХПЗ. 1917 – 1932. Сборник документов и материалов. Изд. «Прапор», Харьков, 1965. С. 387 – 388]</w:t>
      </w:r>
    </w:p>
    <w:p w14:paraId="327BCD4A"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распорядительной части Постановления указывался целый ряд мероприятий по перспективному развитию дизелестроения на ХПЗ в 1932 г.:</w:t>
      </w:r>
    </w:p>
    <w:p w14:paraId="527F6586"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 дизельном отделе на базе существующего конструкторского бюро, имеющего в своем составе кадры квалифицированных дизелистов, создать сильный проектный отдел на заводе, сосредоточить в нем все работы по проектированию и исследованию дизель-моторов.</w:t>
      </w:r>
    </w:p>
    <w:p w14:paraId="7C66B71E"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Вести работы по проектированию и исследованию специального [танкового] дизель-мотора.</w:t>
      </w:r>
    </w:p>
    <w:p w14:paraId="0B8BFA41"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Спроектировать, построить и испытать на тракторе дизель-мотор в 1932 г.</w:t>
      </w:r>
    </w:p>
    <w:p w14:paraId="140C48F0"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Вести подготовительные работы по тепловозным двигателям, с тем чтобы с начала 1933 г. вплотную подойти к постройке двигателей для тепловозов.</w:t>
      </w:r>
    </w:p>
    <w:p w14:paraId="3656D0F1"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Изготовление опытных конструкций производить в дизельном цехе».</w:t>
      </w:r>
    </w:p>
    <w:p w14:paraId="3B9A7868"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[История ХПЗ. 1917 – 1932. Сборник документов и материалов. Изд. «Прапор», Харьков, 1965. С. 388]</w:t>
      </w:r>
    </w:p>
    <w:p w14:paraId="3009F2DE"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со 2-м пунктом данного Постановления в Дизельном отделе ХПЗ в начале 1932 г. приступили к проектированию быстроходного танкового дизеля, получившего индекс БД-2. В дальнейшем эти работы, инициатором которых была партийная организация ХПЗ, привели к созданию первого в мире серийного танкового дизеля – дизеля В-2 (24856).</w:t>
      </w:r>
    </w:p>
    <w:p w14:paraId="08B6F443" w14:textId="77777777" w:rsidR="003A5E02" w:rsidRPr="00E93F40" w:rsidRDefault="003A5E02" w:rsidP="003A5E02">
      <w:pPr>
        <w:spacing w:after="0" w:line="240" w:lineRule="auto"/>
        <w:jc w:val="both"/>
        <w:rPr>
          <w:rFonts w:ascii="Times New Roman" w:hAnsi="Times New Roman"/>
          <w:color w:val="000000" w:themeColor="text1"/>
          <w:sz w:val="16"/>
          <w:szCs w:val="16"/>
        </w:rPr>
      </w:pPr>
    </w:p>
    <w:p w14:paraId="6DC557FF"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января 1932 опросом членов ПБ</w:t>
      </w:r>
    </w:p>
    <w:p w14:paraId="46CDD18A"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24/17.- О моторах "Либерти".</w:t>
      </w:r>
    </w:p>
    <w:p w14:paraId="60EC775E"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НКВнешторгу закупить в январе ме</w:t>
      </w:r>
      <w:r w:rsidRPr="00E93F40">
        <w:rPr>
          <w:rFonts w:ascii="Times New Roman" w:hAnsi="Times New Roman"/>
          <w:color w:val="000000" w:themeColor="text1"/>
          <w:sz w:val="16"/>
          <w:szCs w:val="16"/>
        </w:rPr>
        <w:softHyphen/>
        <w:t>сяце 1932 г. в Америке за счет контингента ВСГК СССР на 1932 г- 500 моторов ’’.Либерти" на сумму 150 тыс. рублей.</w:t>
      </w:r>
    </w:p>
    <w:p w14:paraId="6AAC41FD"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 т. Молотову, Розен гольцу, Орджоникидзе.</w:t>
      </w:r>
    </w:p>
    <w:p w14:paraId="6D6C75E0"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состоялось заседание ПБ (Протокол № 83) (23035).</w:t>
      </w:r>
    </w:p>
    <w:p w14:paraId="74F312F3" w14:textId="77777777" w:rsidR="003A5E02" w:rsidRPr="00E93F40" w:rsidRDefault="003A5E02" w:rsidP="003A5E02">
      <w:pPr>
        <w:spacing w:after="0" w:line="240" w:lineRule="auto"/>
        <w:jc w:val="both"/>
        <w:rPr>
          <w:rFonts w:ascii="Times New Roman" w:hAnsi="Times New Roman"/>
          <w:color w:val="000000" w:themeColor="text1"/>
          <w:sz w:val="16"/>
          <w:szCs w:val="16"/>
        </w:rPr>
      </w:pPr>
    </w:p>
    <w:p w14:paraId="47265AFD" w14:textId="77777777" w:rsidR="00D22833" w:rsidRPr="00E93F40" w:rsidRDefault="00D22833"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13 января</w:t>
      </w:r>
      <w:r w:rsidRPr="00E93F40">
        <w:rPr>
          <w:rFonts w:ascii="Times New Roman" w:hAnsi="Times New Roman"/>
          <w:color w:val="000000" w:themeColor="text1"/>
          <w:sz w:val="16"/>
          <w:szCs w:val="16"/>
        </w:rPr>
        <w:t xml:space="preserve"> в 1932 году начал работу Нижегородский автомобильный завод (НАЗ), построенный в рекордные сроки с помощью компании «Форд Мотор», а в конце месяца с конвейера сошел первый отечественный полуторатонный грузовик НАЗ-АА — советская версия американского «Форда-АА». С переименованием Нижнего Новгорода в город Горький НАЗ превратился в ГАЗ, а ныне это ОАО «ГАЗ». В конце 1932 года началась сборка легкового автомобиля среднего класса ГАЗ-А («Форд-А») (15008).</w:t>
      </w:r>
    </w:p>
    <w:p w14:paraId="257D888F" w14:textId="77777777" w:rsidR="00D22833" w:rsidRPr="00E93F40" w:rsidRDefault="00D22833" w:rsidP="00E93F40">
      <w:pPr>
        <w:spacing w:after="0" w:line="240" w:lineRule="auto"/>
        <w:jc w:val="both"/>
        <w:rPr>
          <w:rFonts w:ascii="Times New Roman" w:hAnsi="Times New Roman"/>
          <w:color w:val="000000" w:themeColor="text1"/>
          <w:sz w:val="16"/>
          <w:szCs w:val="16"/>
        </w:rPr>
      </w:pPr>
    </w:p>
    <w:p w14:paraId="68AAB39D" w14:textId="1F37A4B0" w:rsidR="006551DA" w:rsidRPr="00E93F40" w:rsidRDefault="006551DA" w:rsidP="006551DA">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E93F40">
        <w:rPr>
          <w:rFonts w:ascii="Times New Roman" w:hAnsi="Times New Roman"/>
          <w:i/>
          <w:iCs/>
          <w:color w:val="000000" w:themeColor="text1"/>
          <w:sz w:val="16"/>
          <w:szCs w:val="16"/>
        </w:rPr>
        <w:t>:</w:t>
      </w:r>
    </w:p>
    <w:p w14:paraId="77B97881" w14:textId="77777777" w:rsidR="006551DA" w:rsidRPr="00E93F40" w:rsidRDefault="006551DA" w:rsidP="006551DA">
      <w:pPr>
        <w:autoSpaceDE w:val="0"/>
        <w:autoSpaceDN w:val="0"/>
        <w:adjustRightInd w:val="0"/>
        <w:spacing w:after="0" w:line="240" w:lineRule="auto"/>
        <w:jc w:val="both"/>
        <w:rPr>
          <w:rFonts w:ascii="Times New Roman" w:hAnsi="Times New Roman"/>
          <w:iCs/>
          <w:color w:val="000000" w:themeColor="text1"/>
          <w:sz w:val="16"/>
          <w:szCs w:val="16"/>
        </w:rPr>
      </w:pPr>
    </w:p>
    <w:p w14:paraId="55ECA960"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января, 15 февраля и 23 марта 1932 Комиссия Обороны СССР в своих решениях разработала практические меры по усилению военной авиации на Дальнем востоке. Сюда перебросили две ТБ эскадрильи (66,186).</w:t>
      </w:r>
    </w:p>
    <w:p w14:paraId="732AA442"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p>
    <w:p w14:paraId="64BB687C"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января, 15 февраля и 23 марта 1932 г. Комиссия обороны СССР на своих заседаниях наметила меропри</w:t>
      </w:r>
      <w:r w:rsidRPr="00142305">
        <w:rPr>
          <w:rFonts w:ascii="Times New Roman" w:hAnsi="Times New Roman"/>
          <w:color w:val="0070C0"/>
          <w:sz w:val="16"/>
          <w:szCs w:val="16"/>
        </w:rPr>
        <w:softHyphen/>
        <w:t>ятия по укреплению ВВС на Дальнем Востоке (РГВА.Ф. 4. Оп. 16. Д. 268. Л. 35).</w:t>
      </w:r>
    </w:p>
    <w:p w14:paraId="04A4504A"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1932 г. на Дальний Восток стали перебазироваться тяжелые бомбарди</w:t>
      </w:r>
      <w:r w:rsidRPr="00142305">
        <w:rPr>
          <w:rFonts w:ascii="Times New Roman" w:hAnsi="Times New Roman"/>
          <w:color w:val="0070C0"/>
          <w:sz w:val="16"/>
          <w:szCs w:val="16"/>
        </w:rPr>
        <w:softHyphen/>
        <w:t>ровщики ТБ-1 и ТБ-3. Активно работал в деле ускорения освоения в строевых частях самолета ТБ-3 летный состав Научно-испытательного института (НИИ) ВВС. В 1933 г. летчики-испытатели этого института А. Б. Юмашев, П. М. Стефановский и другие (всего пять человек) обучили пилотированию ТБ-1 команд</w:t>
      </w:r>
      <w:r w:rsidRPr="00142305">
        <w:rPr>
          <w:rFonts w:ascii="Times New Roman" w:hAnsi="Times New Roman"/>
          <w:color w:val="0070C0"/>
          <w:sz w:val="16"/>
          <w:szCs w:val="16"/>
        </w:rPr>
        <w:softHyphen/>
        <w:t>ный состав авиачастей Отдельной краснознаменной дальневосточной армии (ОКДВА).</w:t>
      </w:r>
    </w:p>
    <w:p w14:paraId="2EA8E84C" w14:textId="77777777" w:rsidR="006551DA" w:rsidRPr="00142305" w:rsidRDefault="006551DA" w:rsidP="006551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1930-х гг. было обращено внимание на строительство на Востоке авиации ВМФ. Так, в 1932 г. были сформированы ВВС Тихоокеанского флота. Одновременно укреплялись ВВС на Балтийском и Черном морях. В 1933 г. с об</w:t>
      </w:r>
      <w:r w:rsidRPr="00142305">
        <w:rPr>
          <w:rFonts w:ascii="Times New Roman" w:hAnsi="Times New Roman"/>
          <w:color w:val="0070C0"/>
          <w:sz w:val="16"/>
          <w:szCs w:val="16"/>
        </w:rPr>
        <w:softHyphen/>
        <w:t>разованием Северной военной флотилии сформировалась североморская авиа</w:t>
      </w:r>
      <w:r w:rsidRPr="00142305">
        <w:rPr>
          <w:rFonts w:ascii="Times New Roman" w:hAnsi="Times New Roman"/>
          <w:color w:val="0070C0"/>
          <w:sz w:val="16"/>
          <w:szCs w:val="16"/>
        </w:rPr>
        <w:softHyphen/>
        <w:t>ция. Заметим, что в это время ВВС флотов оставались в вопросах снабжения и подготовки летно-технического состава в структуре ВВС РККА (24968).</w:t>
      </w:r>
    </w:p>
    <w:p w14:paraId="20E4750B" w14:textId="77777777" w:rsidR="006551DA" w:rsidRPr="006551DA" w:rsidRDefault="006551DA" w:rsidP="006551DA">
      <w:pPr>
        <w:pStyle w:val="aff2"/>
        <w:tabs>
          <w:tab w:val="left" w:pos="594"/>
        </w:tabs>
        <w:spacing w:line="240" w:lineRule="auto"/>
        <w:rPr>
          <w:rFonts w:ascii="Times New Roman" w:hAnsi="Times New Roman" w:cs="Times New Roman"/>
          <w:i w:val="0"/>
          <w:iCs w:val="0"/>
          <w:color w:val="0070C0"/>
          <w:sz w:val="16"/>
          <w:szCs w:val="16"/>
          <w:lang w:val="ru-RU"/>
        </w:rPr>
      </w:pPr>
    </w:p>
    <w:p w14:paraId="5BECA65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0B67A5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809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г. И-5 М-15 № 4372 постройки завода № 1, который прибыл в НИИ ВВС 25 ноября и совершил всего два полета, вернули заводу № 1 с актом о недостатках, в котором насчитывался 31 пункт. Больше подобных самолётов не делали.</w:t>
      </w:r>
    </w:p>
    <w:p w14:paraId="47110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w:t>
      </w:r>
    </w:p>
    <w:p w14:paraId="726018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6B8A1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46B3F8" w14:textId="77777777" w:rsidR="00FE1566" w:rsidRPr="00E93F40" w:rsidRDefault="00FE15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г. в Севастополе состоялся первый испытательный полет нового дальнего разведчика МДР-3 конструкции морского отдела ЦКБ. МДР-З - подкосный моноплан лодочного типа металлической конструкции с четырьмя моторами БМВ по 570 л.с. в двух тандемных установках на центроплане, экипаж - 6 человек, максимальная скорость - 210 км/ч. Испытывал летчик НИИ ВВС В.Л.Бухгольц. Самолет казал хорошую мореходность, но плохую скороподъемность и низкий потолок – 2200 м, вследствие чего на вооружение не был принят, а был передан А.Н.Туполеву,который на его основе построил АНТ-27 /МДР-4/.</w:t>
      </w:r>
    </w:p>
    <w:p w14:paraId="3272DDE7" w14:textId="77777777" w:rsidR="00FE1566" w:rsidRPr="00E93F40" w:rsidRDefault="00FE15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материалам В.Б.Шаврова/ (23370).</w:t>
      </w:r>
    </w:p>
    <w:p w14:paraId="7BB7B238" w14:textId="77777777" w:rsidR="00FE1566" w:rsidRPr="00E93F40" w:rsidRDefault="00FE1566" w:rsidP="00E93F40">
      <w:pPr>
        <w:spacing w:after="0" w:line="240" w:lineRule="auto"/>
        <w:jc w:val="both"/>
        <w:rPr>
          <w:rFonts w:ascii="Times New Roman" w:hAnsi="Times New Roman"/>
          <w:color w:val="000000" w:themeColor="text1"/>
          <w:sz w:val="16"/>
          <w:szCs w:val="16"/>
        </w:rPr>
      </w:pPr>
    </w:p>
    <w:p w14:paraId="238D3F91" w14:textId="77777777" w:rsidR="003A5E02" w:rsidRPr="003A5E02" w:rsidRDefault="003A5E02" w:rsidP="003A5E02">
      <w:pPr>
        <w:pStyle w:val="aff2"/>
        <w:tabs>
          <w:tab w:val="left" w:pos="594"/>
        </w:tabs>
        <w:spacing w:line="240" w:lineRule="auto"/>
        <w:rPr>
          <w:rFonts w:ascii="Times New Roman" w:hAnsi="Times New Roman" w:cs="Times New Roman"/>
          <w:i w:val="0"/>
          <w:iCs w:val="0"/>
          <w:color w:val="0070C0"/>
          <w:sz w:val="16"/>
          <w:szCs w:val="16"/>
          <w:lang w:val="ru-RU"/>
        </w:rPr>
      </w:pPr>
      <w:r w:rsidRPr="003A5E02">
        <w:rPr>
          <w:rFonts w:ascii="Times New Roman" w:hAnsi="Times New Roman" w:cs="Times New Roman"/>
          <w:i w:val="0"/>
          <w:iCs w:val="0"/>
          <w:color w:val="0070C0"/>
          <w:sz w:val="16"/>
          <w:szCs w:val="16"/>
          <w:lang w:val="ru-RU"/>
        </w:rPr>
        <w:t>14 января 1932 г. летчик-испытатель Б.Л. Бухгольц совершил первый полет на МДР-3 Четверикова. Вместе с ним на борту летающей лодки находились механик А. Днепров и сам конструктор. Вот что вспоминал об этом И. В. Четвериков:</w:t>
      </w:r>
    </w:p>
    <w:p w14:paraId="7CCC5EA3" w14:textId="77777777" w:rsidR="003A5E02" w:rsidRPr="003A5E02" w:rsidRDefault="003A5E02" w:rsidP="003A5E02">
      <w:pPr>
        <w:pStyle w:val="aff2"/>
        <w:tabs>
          <w:tab w:val="left" w:pos="594"/>
        </w:tabs>
        <w:spacing w:line="240" w:lineRule="auto"/>
        <w:rPr>
          <w:rFonts w:ascii="Times New Roman" w:hAnsi="Times New Roman" w:cs="Times New Roman"/>
          <w:i w:val="0"/>
          <w:iCs w:val="0"/>
          <w:color w:val="0070C0"/>
          <w:sz w:val="16"/>
          <w:szCs w:val="16"/>
          <w:lang w:val="ru-RU"/>
        </w:rPr>
      </w:pPr>
      <w:r w:rsidRPr="003A5E02">
        <w:rPr>
          <w:rFonts w:ascii="Times New Roman" w:hAnsi="Times New Roman" w:cs="Times New Roman"/>
          <w:i w:val="0"/>
          <w:iCs w:val="0"/>
          <w:color w:val="0070C0"/>
          <w:sz w:val="16"/>
          <w:szCs w:val="16"/>
          <w:lang w:val="ru-RU"/>
        </w:rPr>
        <w:t>««Пошли!» — говорит Бухгольц и дает полный газ. Рванувшись вперед, самолет легко выходит на редан, скользит без раскачиваний, довольно быстро набирает скорость и плавно отрывается от воды. Все хорошо!</w:t>
      </w:r>
    </w:p>
    <w:p w14:paraId="47577F90" w14:textId="77777777" w:rsidR="003A5E02" w:rsidRPr="003A5E02" w:rsidRDefault="003A5E02" w:rsidP="003A5E02">
      <w:pPr>
        <w:pStyle w:val="aff2"/>
        <w:tabs>
          <w:tab w:val="left" w:pos="594"/>
        </w:tabs>
        <w:spacing w:line="240" w:lineRule="auto"/>
        <w:rPr>
          <w:rFonts w:ascii="Times New Roman" w:hAnsi="Times New Roman" w:cs="Times New Roman"/>
          <w:i w:val="0"/>
          <w:iCs w:val="0"/>
          <w:color w:val="0070C0"/>
          <w:sz w:val="16"/>
          <w:szCs w:val="16"/>
          <w:lang w:val="ru-RU"/>
        </w:rPr>
      </w:pPr>
      <w:r w:rsidRPr="003A5E02">
        <w:rPr>
          <w:rFonts w:ascii="Times New Roman" w:hAnsi="Times New Roman" w:cs="Times New Roman"/>
          <w:i w:val="0"/>
          <w:iCs w:val="0"/>
          <w:color w:val="0070C0"/>
          <w:sz w:val="16"/>
          <w:szCs w:val="16"/>
          <w:lang w:val="ru-RU"/>
        </w:rPr>
        <w:t>На высоте около 600 метров — первый разворот. Затем круг над бухтой, планирование и мягкая посадка. «Замечаний не имею! — говорит Бухгольц. Пока рулим к берегу, Днепров отправляется посмотреть, нет ли воды в лодке». «Конечно, все замечательно, — говорит Днепров, вернувшись, — только давайте, мальчики, скорее к берегу, а то затонем! Днище лодки сильно течет и отсеки довольно быстро заполняются водой. Если будете восторгаться дольше положенного, затонем на глазах восхищенной публики».</w:t>
      </w:r>
    </w:p>
    <w:p w14:paraId="02C583F8" w14:textId="77777777" w:rsidR="003A5E02" w:rsidRPr="003A5E02" w:rsidRDefault="003A5E02" w:rsidP="003A5E02">
      <w:pPr>
        <w:pStyle w:val="aff2"/>
        <w:tabs>
          <w:tab w:val="left" w:pos="594"/>
        </w:tabs>
        <w:spacing w:line="240" w:lineRule="auto"/>
        <w:rPr>
          <w:rFonts w:ascii="Times New Roman" w:hAnsi="Times New Roman" w:cs="Times New Roman"/>
          <w:i w:val="0"/>
          <w:iCs w:val="0"/>
          <w:color w:val="0070C0"/>
          <w:sz w:val="16"/>
          <w:szCs w:val="16"/>
          <w:lang w:val="ru-RU"/>
        </w:rPr>
      </w:pPr>
      <w:r w:rsidRPr="003A5E02">
        <w:rPr>
          <w:rFonts w:ascii="Times New Roman" w:hAnsi="Times New Roman" w:cs="Times New Roman"/>
          <w:i w:val="0"/>
          <w:iCs w:val="0"/>
          <w:color w:val="0070C0"/>
          <w:sz w:val="16"/>
          <w:szCs w:val="16"/>
          <w:lang w:val="ru-RU"/>
        </w:rPr>
        <w:t>Конечно, этого следовало бы ожидать. Лодку клепали без проверки на герметичность (весь цикл проектирования и постройки лодки занял десять месяцев!), и после нагрузки на взлете и посадке днище потекло в швах.</w:t>
      </w:r>
    </w:p>
    <w:p w14:paraId="6E646D99" w14:textId="77777777" w:rsidR="003A5E02" w:rsidRPr="003A5E02" w:rsidRDefault="003A5E02" w:rsidP="003A5E02">
      <w:pPr>
        <w:pStyle w:val="aff2"/>
        <w:tabs>
          <w:tab w:val="left" w:pos="594"/>
        </w:tabs>
        <w:spacing w:line="240" w:lineRule="auto"/>
        <w:rPr>
          <w:rFonts w:ascii="Times New Roman" w:hAnsi="Times New Roman" w:cs="Times New Roman"/>
          <w:i w:val="0"/>
          <w:iCs w:val="0"/>
          <w:color w:val="0070C0"/>
          <w:sz w:val="16"/>
          <w:szCs w:val="16"/>
          <w:lang w:val="ru-RU"/>
        </w:rPr>
      </w:pPr>
      <w:r w:rsidRPr="003A5E02">
        <w:rPr>
          <w:rFonts w:ascii="Times New Roman" w:hAnsi="Times New Roman" w:cs="Times New Roman"/>
          <w:i w:val="0"/>
          <w:iCs w:val="0"/>
          <w:color w:val="0070C0"/>
          <w:sz w:val="16"/>
          <w:szCs w:val="16"/>
          <w:lang w:val="ru-RU"/>
        </w:rPr>
        <w:t>На берегу нас ожидают радостные лица рабочих. Их приподнятое настроение можно понять каждый видит в машине свой труд, считает ее своей, близкой…</w:t>
      </w:r>
    </w:p>
    <w:p w14:paraId="1DCD82BE" w14:textId="77777777" w:rsidR="003A5E02" w:rsidRPr="003A5E02" w:rsidRDefault="003A5E02" w:rsidP="003A5E02">
      <w:pPr>
        <w:pStyle w:val="aff2"/>
        <w:tabs>
          <w:tab w:val="left" w:pos="594"/>
        </w:tabs>
        <w:spacing w:line="240" w:lineRule="auto"/>
        <w:rPr>
          <w:rFonts w:ascii="Times New Roman" w:hAnsi="Times New Roman" w:cs="Times New Roman"/>
          <w:i w:val="0"/>
          <w:iCs w:val="0"/>
          <w:color w:val="0070C0"/>
          <w:sz w:val="16"/>
          <w:szCs w:val="16"/>
          <w:lang w:val="ru-RU"/>
        </w:rPr>
      </w:pPr>
      <w:r w:rsidRPr="003A5E02">
        <w:rPr>
          <w:rFonts w:ascii="Times New Roman" w:hAnsi="Times New Roman" w:cs="Times New Roman"/>
          <w:i w:val="0"/>
          <w:iCs w:val="0"/>
          <w:color w:val="0070C0"/>
          <w:sz w:val="16"/>
          <w:szCs w:val="16"/>
          <w:lang w:val="ru-RU"/>
        </w:rPr>
        <w:t>Следующие полеты задерживаются восстановлением герметичности лодки. Если учесть, что производственная база далеко — это отнюдь не легкая операция (25300).</w:t>
      </w:r>
    </w:p>
    <w:p w14:paraId="701D7CAD" w14:textId="77777777" w:rsidR="003A5E02" w:rsidRPr="003A5E02" w:rsidRDefault="003A5E02" w:rsidP="003A5E02">
      <w:pPr>
        <w:pStyle w:val="aff2"/>
        <w:tabs>
          <w:tab w:val="left" w:pos="594"/>
        </w:tabs>
        <w:spacing w:line="240" w:lineRule="auto"/>
        <w:rPr>
          <w:rFonts w:ascii="Times New Roman" w:hAnsi="Times New Roman" w:cs="Times New Roman"/>
          <w:i w:val="0"/>
          <w:iCs w:val="0"/>
          <w:color w:val="0070C0"/>
          <w:sz w:val="16"/>
          <w:szCs w:val="16"/>
          <w:lang w:val="ru-RU"/>
        </w:rPr>
      </w:pPr>
    </w:p>
    <w:p w14:paraId="52A0459A"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Б.Л.Бухгольц выполнил первый полет на МДР-3 4БМВ-6 И.В.Четверикова и испытания закончились к 25 марта 1932 (1085,111).</w:t>
      </w:r>
    </w:p>
    <w:p w14:paraId="699AF50B"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p>
    <w:p w14:paraId="78B792F7"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14-го января 1932 года летчик-испытатель Б.Л. Бухгольц совершил на МДР-3 первый полет. Вместе с ним на борту находились И.В. Четвериков и механик В.А. Днепров. Полет прошел успешно, однако днище лодки сильно протекало и отсеки быстро заполнялись водой. Восстановление герметичности лодки, из-за отсутствия производственной базы, оказалось непростой операцией. После устранения течи испытания возобновились и продолжались до 25-го марта. Однако итог их оказался неутешительный. В полете отмечались сильные колебания лодки, передававшиеся от ее хвостовой части к носу. Причиной возникновения тряски стали воздушные винты тандемных установок. После установки новых винтов вибрации почти пропали. Однако для окончательной ликвидации колебаний требовались значительные доработки хвостовой части. Также отмечалась малая скороподъемность и малый практический потолок, равный 3000 м.</w:t>
      </w:r>
    </w:p>
    <w:p w14:paraId="358E041E"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большую продолжительность (восемь часов) и дальность (1600 км) полета МДР-3, а также острую нужду морской авиации в таком самолете, было принято решение продолжить работы над ним. Документацию на МДР-3 передали в ЗОК ЦАГИ. Однако модернизацию самолета признали бесперспективной и приступили к проектированию нового гидросамолета МДР-4 (АНТ-27). Новый самолет сохранил обводы лодки МДР-3 и стал трехдвигательным свободнонесущим монопланом с однокилевой схемой вертикального оперения (18293).</w:t>
      </w:r>
    </w:p>
    <w:p w14:paraId="2440CC71" w14:textId="77777777" w:rsidR="003A5E02" w:rsidRPr="00E93F40" w:rsidRDefault="003A5E02" w:rsidP="003A5E02">
      <w:pPr>
        <w:spacing w:after="0" w:line="240" w:lineRule="auto"/>
        <w:jc w:val="both"/>
        <w:rPr>
          <w:rFonts w:ascii="Times New Roman" w:hAnsi="Times New Roman"/>
          <w:color w:val="000000" w:themeColor="text1"/>
          <w:sz w:val="16"/>
          <w:szCs w:val="16"/>
        </w:rPr>
      </w:pPr>
    </w:p>
    <w:p w14:paraId="64EFC0D9"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14 января по 25 марта 1932 г. в Севастополе проходили летные испытания МДР-3 Четверикова, которые показали, что гидросамолет не отвечал всем требованиям для такого класса машин. В полете были отмечены очень сильные колебания лодки. Самолет показал плохую скороподъемность и потолок всего 3000 м. Причиной этого была отчасти тандемная установка двигателей, но главное - плохая аэроди</w:t>
      </w:r>
      <w:r w:rsidRPr="00E93F40">
        <w:rPr>
          <w:rFonts w:ascii="Times New Roman" w:hAnsi="Times New Roman"/>
          <w:color w:val="000000" w:themeColor="text1"/>
          <w:sz w:val="16"/>
          <w:szCs w:val="16"/>
        </w:rPr>
        <w:softHyphen/>
        <w:t>намика самолета. В частности, сказывалось располо</w:t>
      </w:r>
      <w:r w:rsidRPr="00E93F40">
        <w:rPr>
          <w:rFonts w:ascii="Times New Roman" w:hAnsi="Times New Roman"/>
          <w:color w:val="000000" w:themeColor="text1"/>
          <w:sz w:val="16"/>
          <w:szCs w:val="16"/>
        </w:rPr>
        <w:softHyphen/>
        <w:t>жение радиаторов тандемных установок над крылом на небольшом от него расстоянии.</w:t>
      </w:r>
    </w:p>
    <w:p w14:paraId="5CC62EB4"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Летающая лодка Четверикова МДР-3 (ЦКБ № 11) была построена к ноябрю 1931 г. Это был лодочный гидросамолет с высоко</w:t>
      </w:r>
      <w:r w:rsidRPr="00E93F40">
        <w:rPr>
          <w:rFonts w:ascii="Times New Roman" w:hAnsi="Times New Roman"/>
          <w:color w:val="000000" w:themeColor="text1"/>
          <w:sz w:val="16"/>
          <w:szCs w:val="16"/>
        </w:rPr>
        <w:softHyphen/>
        <w:t>расположенным подкосным крылом и двухкилевым вертикальным оперением. Он сохранил две тандемные силовые установки из четырех БМВ-VI, но не в крыле, а на стойках над центропланом. На два двигателя был общий радиатор под передним из них.</w:t>
      </w:r>
    </w:p>
    <w:p w14:paraId="39FAA27B"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Стоит отметить, что работая в ОПО-3 (КБ гидроавиции), Бартини выступил с проектом морского дальнего разведчика МДР-3 с четырьмя моторами БМВ VI Е=7,3, установленными в два тандема в крыле, с промежуточными валами к пропеллерам. Схема была та же - подкосное высокорасположенное крыло- парасоль и жабры остойчивости с поплавками на концах. Взлётный вес самолёта составлял 16 тонн. В своём отзыве представитель НТК ВВС отметил, что эскизный проект представляет интерес, однако требуется повысить коэффициент полезной нагрузки, а также провести экспериментальную проработку конструкции передаточных валов и исследования обводов лодки. Материалы по проекту МДР-3 от Бартини были переданы в конструкторскую группу И.В.Четверикова (бригада №5 в ЦКБ).</w:t>
      </w:r>
    </w:p>
    <w:p w14:paraId="5F382285" w14:textId="77777777" w:rsidR="003A5E02" w:rsidRPr="00E93F40" w:rsidRDefault="003A5E02" w:rsidP="003A5E0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Устранить недостатки было поручено коллективу КОСОС ЦАГИ во главе с А.Н. Туполевым. Там машину основательно переделали и получили уже совсем другой гидросамолет - трёхдвигательный АНТ-27 (МДР-4) (23907).</w:t>
      </w:r>
    </w:p>
    <w:p w14:paraId="0791405B" w14:textId="77777777" w:rsidR="003A5E02" w:rsidRPr="00E93F40" w:rsidRDefault="003A5E02" w:rsidP="003A5E02">
      <w:pPr>
        <w:spacing w:after="0" w:line="240" w:lineRule="auto"/>
        <w:jc w:val="both"/>
        <w:rPr>
          <w:rFonts w:ascii="Times New Roman" w:hAnsi="Times New Roman"/>
          <w:color w:val="000000" w:themeColor="text1"/>
          <w:sz w:val="16"/>
          <w:szCs w:val="16"/>
        </w:rPr>
      </w:pPr>
    </w:p>
    <w:p w14:paraId="6A5E9615"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на совещании зам. Начальника УВВС С.А.Меженинов предъявил новые требования к военной версии АНТ-9. Заходели передвинуть вперед место бомбардира (10542,30).</w:t>
      </w:r>
    </w:p>
    <w:p w14:paraId="49B09838" w14:textId="77777777" w:rsidR="003A5E02" w:rsidRPr="00E93F40" w:rsidRDefault="003A5E02" w:rsidP="003A5E02">
      <w:pPr>
        <w:autoSpaceDE w:val="0"/>
        <w:autoSpaceDN w:val="0"/>
        <w:adjustRightInd w:val="0"/>
        <w:spacing w:after="0" w:line="240" w:lineRule="auto"/>
        <w:jc w:val="both"/>
        <w:rPr>
          <w:rFonts w:ascii="Times New Roman" w:hAnsi="Times New Roman"/>
          <w:color w:val="000000" w:themeColor="text1"/>
          <w:sz w:val="16"/>
          <w:szCs w:val="16"/>
        </w:rPr>
      </w:pPr>
    </w:p>
    <w:p w14:paraId="3644E7E4" w14:textId="77777777" w:rsidR="003A5E02" w:rsidRPr="00142305" w:rsidRDefault="003A5E02" w:rsidP="003A5E0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января 1932 г. на очередном со</w:t>
      </w:r>
      <w:r w:rsidRPr="00142305">
        <w:rPr>
          <w:rFonts w:ascii="Times New Roman" w:hAnsi="Times New Roman"/>
          <w:color w:val="0070C0"/>
          <w:sz w:val="16"/>
          <w:szCs w:val="16"/>
        </w:rPr>
        <w:softHyphen/>
        <w:t>вещании заместитель начальника УВВС С.А. Меженинов предъявил конструкто</w:t>
      </w:r>
      <w:r w:rsidRPr="00142305">
        <w:rPr>
          <w:rFonts w:ascii="Times New Roman" w:hAnsi="Times New Roman"/>
          <w:color w:val="0070C0"/>
          <w:sz w:val="16"/>
          <w:szCs w:val="16"/>
        </w:rPr>
        <w:softHyphen/>
        <w:t>рам новое требование к военному варианту АНТ-9 - передвинуть вперед место командира самолета. Но вместе с ним перемещались бомбовый прицел, навигационные приборы, перего</w:t>
      </w:r>
      <w:r w:rsidRPr="00142305">
        <w:rPr>
          <w:rFonts w:ascii="Times New Roman" w:hAnsi="Times New Roman"/>
          <w:color w:val="0070C0"/>
          <w:sz w:val="16"/>
          <w:szCs w:val="16"/>
        </w:rPr>
        <w:softHyphen/>
        <w:t>ворное устройство и многое другое. Для использования в военно-транспортном варианте хотели предусмотреть укладку в кассету снарядов калибром 122 мм и 152 мм, а также мин Батиньоля (миномет</w:t>
      </w:r>
      <w:r w:rsidRPr="00142305">
        <w:rPr>
          <w:rFonts w:ascii="Times New Roman" w:hAnsi="Times New Roman"/>
          <w:color w:val="0070C0"/>
          <w:sz w:val="16"/>
          <w:szCs w:val="16"/>
        </w:rPr>
        <w:softHyphen/>
        <w:t>ных). На изменение чертежей военные отвели месяц, на переделку опытного образца - два с половиной. К 1 апреля бомбардировщик требовалось опять представить в НИИ ВВС (24949).</w:t>
      </w:r>
    </w:p>
    <w:p w14:paraId="0C80F72A" w14:textId="77777777" w:rsidR="003A5E02" w:rsidRPr="00142305" w:rsidRDefault="003A5E02" w:rsidP="003A5E02">
      <w:pPr>
        <w:spacing w:after="0" w:line="240" w:lineRule="auto"/>
        <w:jc w:val="both"/>
        <w:rPr>
          <w:rFonts w:ascii="Times New Roman" w:hAnsi="Times New Roman"/>
          <w:color w:val="0070C0"/>
          <w:sz w:val="16"/>
          <w:szCs w:val="16"/>
        </w:rPr>
      </w:pPr>
    </w:p>
    <w:p w14:paraId="682FE36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03508E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597337" w14:textId="77777777"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w:t>
      </w:r>
    </w:p>
    <w:p w14:paraId="53A5AD84" w14:textId="21C46F73"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83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15FE850F" w14:textId="6FD85D81"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14</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60435DB3" w14:textId="303323BD"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24/17: О моторах “Либерти”</w:t>
      </w:r>
    </w:p>
    <w:p w14:paraId="136E8049" w14:textId="494771F1"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113C2559" w14:textId="238FE94B"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НКВнешторгу закупить в январе месяце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Америке за счет контингента ВСНХ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моторов “Либерти” на сумму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w:t>
      </w:r>
    </w:p>
    <w:p w14:paraId="4B717CFB" w14:textId="77777777"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5BD4851F" w14:textId="77777777"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Молотову, Розенгольцу, Орджоникидзе.</w:t>
      </w:r>
    </w:p>
    <w:p w14:paraId="0303CB3C" w14:textId="77777777"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(18122).</w:t>
      </w:r>
    </w:p>
    <w:p w14:paraId="43986F86" w14:textId="77777777" w:rsidR="008757E0" w:rsidRPr="00E93F40" w:rsidRDefault="008757E0" w:rsidP="00E93F40">
      <w:pPr>
        <w:spacing w:after="0" w:line="240" w:lineRule="auto"/>
        <w:jc w:val="both"/>
        <w:rPr>
          <w:rFonts w:ascii="Times New Roman" w:hAnsi="Times New Roman"/>
          <w:color w:val="000000" w:themeColor="text1"/>
          <w:sz w:val="16"/>
          <w:szCs w:val="16"/>
        </w:rPr>
      </w:pPr>
    </w:p>
    <w:p w14:paraId="3216D190"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14 января 1932 РЗ вышло постановление № 14сс СТО или КО (№ 44/ко от 14.1.1932 г.) О моторах Либерти (21264).</w:t>
      </w:r>
    </w:p>
    <w:p w14:paraId="30726172" w14:textId="77777777" w:rsidR="00E00DEB" w:rsidRPr="00E93F40" w:rsidRDefault="00E00DEB" w:rsidP="00E93F40">
      <w:pPr>
        <w:spacing w:after="0" w:line="240" w:lineRule="auto"/>
        <w:jc w:val="both"/>
        <w:rPr>
          <w:rFonts w:ascii="Times New Roman" w:hAnsi="Times New Roman"/>
          <w:color w:val="000000" w:themeColor="text1"/>
          <w:sz w:val="16"/>
          <w:szCs w:val="16"/>
        </w:rPr>
      </w:pPr>
    </w:p>
    <w:p w14:paraId="2F112DFA"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состоялось заседание ПБ (Протокол № 83)</w:t>
      </w:r>
    </w:p>
    <w:p w14:paraId="411DA850"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января 1932 опросом членов ПБ</w:t>
      </w:r>
    </w:p>
    <w:p w14:paraId="29CECC65"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24/17.- О моторах "Либерти".</w:t>
      </w:r>
    </w:p>
    <w:p w14:paraId="7D841588"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НКВнешторгу закупить в январе ме</w:t>
      </w:r>
      <w:r w:rsidRPr="00E93F40">
        <w:rPr>
          <w:rFonts w:ascii="Times New Roman" w:hAnsi="Times New Roman"/>
          <w:color w:val="000000" w:themeColor="text1"/>
          <w:sz w:val="16"/>
          <w:szCs w:val="16"/>
        </w:rPr>
        <w:softHyphen/>
        <w:t>сяце 1932 г. в Америке за счет контингента ВСГК СССР на 1932 г- 500 моторов ’’.Либерти" на сумму 150 тыс. рублей.</w:t>
      </w:r>
    </w:p>
    <w:p w14:paraId="4F3AF040"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 т. Молотову, Розен гольцу, Орджоникидзе (23035).</w:t>
      </w:r>
    </w:p>
    <w:p w14:paraId="231FAC2E" w14:textId="77777777" w:rsidR="00E00DEB" w:rsidRPr="00E93F40" w:rsidRDefault="00E00DEB" w:rsidP="00E93F40">
      <w:pPr>
        <w:spacing w:after="0" w:line="240" w:lineRule="auto"/>
        <w:jc w:val="both"/>
        <w:rPr>
          <w:rFonts w:ascii="Times New Roman" w:hAnsi="Times New Roman"/>
          <w:color w:val="000000" w:themeColor="text1"/>
          <w:sz w:val="16"/>
          <w:szCs w:val="16"/>
        </w:rPr>
      </w:pPr>
    </w:p>
    <w:p w14:paraId="49FB40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года в кабинете начальника Снарядного треста Урываева состоялся доклад директора завода № 67 (Мастяжарт) о перспективах развития опытного бомбостроения и о состоянии мобготовности завода (7428, 29).</w:t>
      </w:r>
    </w:p>
    <w:p w14:paraId="46E25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07733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Другие оборонные отрасли:</w:t>
      </w:r>
    </w:p>
    <w:p w14:paraId="5CDCB497" w14:textId="77777777" w:rsidR="00AD6C32" w:rsidRPr="00E93F40" w:rsidRDefault="00AD6C32" w:rsidP="00E93F40">
      <w:pPr>
        <w:spacing w:after="0" w:line="240" w:lineRule="auto"/>
        <w:jc w:val="both"/>
        <w:rPr>
          <w:rFonts w:ascii="Times New Roman" w:hAnsi="Times New Roman"/>
          <w:color w:val="000000" w:themeColor="text1"/>
          <w:sz w:val="16"/>
          <w:szCs w:val="16"/>
        </w:rPr>
      </w:pPr>
    </w:p>
    <w:p w14:paraId="1A08DEFF"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14 января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13сс о формировании особого корпуса железнодорожных войск (ГА РФ. Ф. Р?8418. Оп. 28. Д. 1а. Л. 113?116) (12415).</w:t>
      </w:r>
    </w:p>
    <w:p w14:paraId="615FA3D1"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14сс о моторах «Либерти» (ГА РФ. Ф. Р?8418. Оп. 28. Д. 1а. Л. 118) (12415).</w:t>
      </w:r>
    </w:p>
    <w:p w14:paraId="2D1C7832"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p>
    <w:p w14:paraId="383BE5E3"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14 января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83. 1. О годовых планах по основным отраслям народного хозяйства. Доклады комиссий СНК СССР: б) по промышленности (Куйбышев). 6. О судостроительном заводе (Сталин). Опросом членов ПБ от 12 января 1932 г. 17/10. О выделении на военных заводах парторганизаторов. Постановили: а) Признать необходимым для всех крупных военных заводов, в первую очередь для заводов авиапромышленности, выделить парторганизаторов ЦК, являющихся одновременно секретарями партийных комитетов данных заводов; б) на обязанности секретарей-парторганизаторов лежит задача такой организации партийной и массовой работы, чтобы полностью выполнялись производственные задания и было обеспечено необходимое качество продукции; в) секретарь-парторганизатор завода обязан изучить технику производства и всячески помогать путем соответствующей мобилизации парторганизации и рабочих масс директору завода в наилучшей постановке производства; г) секретарь-парторганизатор осуществляет партийный контроль и наблюдение за приемом и увольнением личного состава рабочих и административно-технического персонала на предприятии, всемерно добиваясь улучшения личного состава и принимая все меры против проникновения на заводы чуждых, враждебных элементов; д) секретарь-парторганизатор осуществляет партийное наблюдение за постановкой охраны на заводе. Опросом членов ПБ от 13 января 1932 г. 24/17. О моторах «Либерти». Постановили: предложить НКВнешторгу закупить в январе месяце 1932 г. в Америке за счет контингента ВСНХ СССР на 1932 г. 500 моторов «Либерти» на сумму 150 тыс. руб. (Политбюро... Т. 2. С. 262, 263; РГАСПИ. Ф. 17. Оп. 3. Д. 868. Л. 7; РГАСПИ. Ф. 17, Оп. 162. Д. 11. Л. 122) (12416).</w:t>
      </w:r>
    </w:p>
    <w:p w14:paraId="6CEF197E"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p>
    <w:p w14:paraId="2BB1E36C"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14 января 1932 </w:t>
      </w:r>
      <w:r w:rsidRPr="00E93F40">
        <w:rPr>
          <w:rFonts w:ascii="Times New Roman" w:hAnsi="Times New Roman"/>
          <w:color w:val="000000" w:themeColor="text1"/>
          <w:sz w:val="16"/>
          <w:szCs w:val="16"/>
        </w:rPr>
        <w:t>Политбюро ЦК ВКП (б) одобрило в основном предложения комиссии СНК по промышленности о годовых планах основных отраслей народного хозяйства (12265).</w:t>
      </w:r>
    </w:p>
    <w:p w14:paraId="626E6865"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 принял постановление «О развитии сильноточной электропромышленности» (12265).</w:t>
      </w:r>
    </w:p>
    <w:p w14:paraId="40A7D371" w14:textId="0363A189" w:rsidR="00AD6C32"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01676D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г. были созданы специальные комиссии УВМС РККА, как "на</w:t>
      </w:r>
      <w:r w:rsidRPr="00E93F40">
        <w:rPr>
          <w:rFonts w:ascii="Times New Roman" w:hAnsi="Times New Roman"/>
          <w:color w:val="000000" w:themeColor="text1"/>
          <w:sz w:val="16"/>
          <w:szCs w:val="16"/>
        </w:rPr>
        <w:softHyphen/>
        <w:t>учно-совещательные и исследовательские органы" (3898).</w:t>
      </w:r>
    </w:p>
    <w:p w14:paraId="77DA9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68AA9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565EFC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BB1A986"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г. в Казахстане при</w:t>
      </w:r>
      <w:r w:rsidRPr="00E93F40">
        <w:rPr>
          <w:rFonts w:ascii="Times New Roman" w:hAnsi="Times New Roman"/>
          <w:color w:val="000000" w:themeColor="text1"/>
          <w:sz w:val="16"/>
          <w:szCs w:val="16"/>
        </w:rPr>
        <w:softHyphen/>
        <w:t>казом ОГПУ был сформирован 3-й отдельный авиаотряд погранвойск. Первым командиром авиаотряда, а затем и отдельной авиаэскадрильи был Л. Василевский. В феврале — апреле 1932 г. в формируемый авиаотряд стал прибывать летный и технический состав. До августа месяца летчики оказывали практическую помощь военным строите</w:t>
      </w:r>
      <w:r w:rsidRPr="00E93F40">
        <w:rPr>
          <w:rFonts w:ascii="Times New Roman" w:hAnsi="Times New Roman"/>
          <w:color w:val="000000" w:themeColor="text1"/>
          <w:sz w:val="16"/>
          <w:szCs w:val="16"/>
        </w:rPr>
        <w:softHyphen/>
        <w:t>лям в строительстве аэродрома, ангаров, штаба, казармы и других служеб</w:t>
      </w:r>
      <w:r w:rsidRPr="00E93F40">
        <w:rPr>
          <w:rFonts w:ascii="Times New Roman" w:hAnsi="Times New Roman"/>
          <w:color w:val="000000" w:themeColor="text1"/>
          <w:sz w:val="16"/>
          <w:szCs w:val="16"/>
        </w:rPr>
        <w:softHyphen/>
        <w:t>ных помещений. В августе 1932 г. личный состав был переведен на постоянное место дислокации в урочище Бурундай, в 18 км от Алма-Аты. Приказом НКВД СССР от 13 октября 1934 г. на базе 3, 4 и 14-го авиаотрядов была сфор</w:t>
      </w:r>
      <w:r w:rsidRPr="00E93F40">
        <w:rPr>
          <w:rFonts w:ascii="Times New Roman" w:hAnsi="Times New Roman"/>
          <w:color w:val="000000" w:themeColor="text1"/>
          <w:sz w:val="16"/>
          <w:szCs w:val="16"/>
        </w:rPr>
        <w:softHyphen/>
        <w:t>мирована 3-я авиаэскадрилья погранвойск, а приказом НКВД СССР от 8 октября 1935 г. она переформируется в 3-ю отдельную авиационную эскадри</w:t>
      </w:r>
      <w:r w:rsidRPr="00E93F40">
        <w:rPr>
          <w:rFonts w:ascii="Times New Roman" w:hAnsi="Times New Roman"/>
          <w:color w:val="000000" w:themeColor="text1"/>
          <w:sz w:val="16"/>
          <w:szCs w:val="16"/>
        </w:rPr>
        <w:softHyphen/>
        <w:t>лью Погранвойск НКВД СССР (20402).</w:t>
      </w:r>
    </w:p>
    <w:p w14:paraId="79C16A38" w14:textId="77777777" w:rsidR="00E00DEB" w:rsidRPr="00E93F40" w:rsidRDefault="00E00DEB" w:rsidP="00E93F40">
      <w:pPr>
        <w:spacing w:after="0" w:line="240" w:lineRule="auto"/>
        <w:jc w:val="both"/>
        <w:rPr>
          <w:rFonts w:ascii="Times New Roman" w:hAnsi="Times New Roman"/>
          <w:color w:val="000000" w:themeColor="text1"/>
          <w:sz w:val="16"/>
          <w:szCs w:val="16"/>
        </w:rPr>
      </w:pPr>
    </w:p>
    <w:p w14:paraId="52AC5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по приказу СТО на ДВ началось формирование Особого ж/д корпуса (3398,26).</w:t>
      </w:r>
    </w:p>
    <w:p w14:paraId="384F35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BD3FB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44125E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58803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в США начал работу первый тотализатор, принимающий ставки на бега (4962).</w:t>
      </w:r>
    </w:p>
    <w:p w14:paraId="083A86C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517C39" w14:textId="77777777" w:rsidR="00A74175" w:rsidRPr="00E93F40" w:rsidRDefault="00A741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14 января</w:t>
      </w:r>
      <w:r w:rsidRPr="00E93F40">
        <w:rPr>
          <w:rFonts w:ascii="Times New Roman" w:hAnsi="Times New Roman"/>
          <w:color w:val="000000" w:themeColor="text1"/>
          <w:sz w:val="16"/>
          <w:szCs w:val="16"/>
        </w:rPr>
        <w:t xml:space="preserve"> в 1932 году в США начал работу первый тотализатор, принимающий ставки на бега. В Европе букмекерство и тотализаторы процветали задолго до этого, в России, к примеру, с 1876 года. В США же букмекерство разрешено было только в Лас-Вегасе, поэтому, как все запрещенное, тут же перешло под покровительство мафии, сделавшей на нем свои первые капиталы. Наряду со ставками на конные состязания американцы принимали ставки на собачьи бега, а также эксклюзивный вариант - "тараканьи", потом и на игровые виды спорта. Время бежит быстро, век XX кончился, век XXI принес в букмекерство свои фишки - в Сан-Франциско осудили 33-летнего Джея Коэна, совладельца зарегистированного в Антигуа сайта World Sports Exchange, обвинив в том, что он нелегально принимал по телефону и через Интернет ставки на результаты спортивных соревнований по баскетболу, хоккею, бейсболу и футболу, а адмирал запаса Джон Пойндекстер, разработавший для Пентагона скандально известный проект террористического тотализатора, покинул министерство обороны США. Пойндекстер принимал активное участие в разработке тотализатора, игроки которого могли делать ставки на вероятность совершения громких убийств и террористических актов на Ближнем Востоке, занимая пост советника по национальной безопасности в администрации Рональда Рейгана. Террористический тотализатор - не первый скандальный проект Пойденкстера. Некоторое время назад он предлагал установить полный контроль над электронными коммуникациями граждан США с целью выявления террористов (15009).</w:t>
      </w:r>
    </w:p>
    <w:p w14:paraId="7917812D" w14:textId="77777777" w:rsidR="00A74175" w:rsidRPr="00E93F40" w:rsidRDefault="00A74175" w:rsidP="00E93F40">
      <w:pPr>
        <w:spacing w:after="0" w:line="240" w:lineRule="auto"/>
        <w:jc w:val="both"/>
        <w:rPr>
          <w:rFonts w:ascii="Times New Roman" w:hAnsi="Times New Roman"/>
          <w:color w:val="000000" w:themeColor="text1"/>
          <w:sz w:val="16"/>
          <w:szCs w:val="16"/>
        </w:rPr>
      </w:pPr>
    </w:p>
    <w:p w14:paraId="15C39FD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CD71A8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215B5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января 1932 г. состоялся первый полет летающей лодки МДР-3 И.В.Четверикова (6395). Летал л Б.Л.Бухгольц и на борту был И.В.Четвериков. На заводских испытания вел себя неплохо на воде, был устойчивым в полете, посадка - без проблем. Военные не удовлетворились низкой скоростью, скороподъемностью и малым практическим потолком. Выявились и конструктивные просчеты - тряска хвостового оперения от воздушного потока тандемных винтов. Забраковали, хотя были планы постройки 200 шт. В год. Решили дорабатывать и поручили А.Н.Т. (6472, 31).</w:t>
      </w:r>
    </w:p>
    <w:p w14:paraId="21BA48E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8BFB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января (14 - 92,425) 1932 состоялся первый полет МДР-3 И.В.Четверикова из ЦКБ. Решили передать А.Н.Т. для доделки (80,265). Летал Б.Л.Бухгольц (1085,111).</w:t>
      </w:r>
    </w:p>
    <w:p w14:paraId="4F4968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МДР-3 проводились по 25 марта 1932 (1049,12).</w:t>
      </w:r>
    </w:p>
    <w:p w14:paraId="4E2F91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1FA0A98" w14:textId="77777777" w:rsidR="002B29F9" w:rsidRPr="00E93F40" w:rsidRDefault="002B29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15 января</w:t>
      </w:r>
      <w:r w:rsidRPr="00E93F40">
        <w:rPr>
          <w:rFonts w:ascii="Times New Roman" w:hAnsi="Times New Roman"/>
          <w:color w:val="000000" w:themeColor="text1"/>
          <w:sz w:val="16"/>
          <w:szCs w:val="16"/>
        </w:rPr>
        <w:t xml:space="preserve"> в 1932 году первый полет морского дальнего разведчика «МДР-3» конструктора Игоря Вячеславовича Четверикова. В план работ морского отдела ЦКБ было включено задание на этот тип самолета под № 11. Было решено использовать крыло, оперение и различные части от самолета ТБ-5. В январе 1931 г. была сделана протаска модели его лодки в гидроканале ЦАГИ - впервые в нашей стране. Спроектированные обводы лодки казались удачными. Постройка самолета производилась с весны 1931 г. и была завершена в декабре 1931 г., самолет был перевезен в Севастополь. Самолет представлял собой летающую лодку-моноплан с подкосным крылом и близко поставленными подкрыльными поплавками. 15 января 1932 г. состоялся первый полет летчика Б.Л.Бухольца, а 25 марта испытания были закончены.Самолет показал хорошую мореходность, скорость до 210 км/ч, время разбега 36 с, но плохую скороподъемность и потолок всего 2200 м. Причиной этого была отчасти тандемная установка двигателей, но главное - ухудшенная аэродинамика самолета. Заклепки с полукруглыми головками, отсутствие обтекателей и зализов на узлах стоек и подкосов, наружные стрингеры и фальшборт лодки, подвеска бомб по бортам, радиаторы тандемных установок, особо вредившие тем, что они находились над крылом на небольшом от него расстоянии и, кроме того, множество мелких “колючих” деталей, находившихся в потоке, - все это сильно снижало аэродинамическое качество «МДР-3». Самолет «МДР-3» был признан неудовлетворительным и передан для переделки А.Н.Туполеву, который на его основе выпустил самолет «МДР-4» («АНТ-27») (15010).</w:t>
      </w:r>
    </w:p>
    <w:p w14:paraId="407532E0" w14:textId="77777777" w:rsidR="002B29F9" w:rsidRPr="00E93F40" w:rsidRDefault="002B29F9" w:rsidP="00E93F40">
      <w:pPr>
        <w:spacing w:after="0" w:line="240" w:lineRule="auto"/>
        <w:jc w:val="both"/>
        <w:rPr>
          <w:rFonts w:ascii="Times New Roman" w:hAnsi="Times New Roman"/>
          <w:color w:val="000000" w:themeColor="text1"/>
          <w:sz w:val="16"/>
          <w:szCs w:val="16"/>
        </w:rPr>
      </w:pPr>
    </w:p>
    <w:p w14:paraId="04A0AD02" w14:textId="77777777" w:rsidR="00327CAE" w:rsidRPr="00E93F40" w:rsidRDefault="00327CA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января (по др. – 14 января) 1932 г. состоялся первый полет летающей лодки МДР-3, разработанной в ОМОС ЦКБ под руководством И.В. Четверикова из ЦКБ. Они показали недостатки проекта, и самолет был передан для их устранения и доводки в КОСОС ЦАГИ. Там эта работа продолжалась 25 марта 1932 г. (с учетом летных испытаний). Планировался выпуск большой серией с темпом до 200 самолетов в год, но самолет на вооружение принят не был в пользу МДР-4 (АНТ-27) разработки КОСОС, который также в большую серию не пошел (23554).</w:t>
      </w:r>
    </w:p>
    <w:p w14:paraId="2319CC9E" w14:textId="77777777" w:rsidR="00327CAE" w:rsidRPr="00E93F40" w:rsidRDefault="00327CAE" w:rsidP="00E93F40">
      <w:pPr>
        <w:spacing w:after="0" w:line="240" w:lineRule="auto"/>
        <w:jc w:val="both"/>
        <w:rPr>
          <w:rFonts w:ascii="Times New Roman" w:hAnsi="Times New Roman"/>
          <w:color w:val="000000" w:themeColor="text1"/>
          <w:sz w:val="16"/>
          <w:szCs w:val="16"/>
        </w:rPr>
      </w:pPr>
    </w:p>
    <w:p w14:paraId="6B2D8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января 1932 года врид начальника ВВС Наумов писал письмо N 316/0062 зам. председателя РВС Тухачевскому и начальнику ВАО Баранову.</w:t>
      </w:r>
    </w:p>
    <w:p w14:paraId="4C2FEE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1931 года ВОГВФ передан ЦАГИ ВАО для переоборудования под тип тяжелого бомбардировщика самолет АНТ-9.</w:t>
      </w:r>
    </w:p>
    <w:p w14:paraId="65D497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Комиссией НИИ ВВС и ЦАГИ указанный самолет был осмотрен 15.08.31 г. и найден ряд недоделок, срок устранения которых был установлен 20.08.31 г.</w:t>
      </w:r>
    </w:p>
    <w:p w14:paraId="27B83F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Впоследствии по плану ВАО срок переоборудования указанного самолета был установлен 1.10.31 г.</w:t>
      </w:r>
    </w:p>
    <w:p w14:paraId="625A03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ознакомлении на месте в ЦАГИ 29.12.31 г. установлено, что самолет не закончен и работы ведутся неудовлетворительно.</w:t>
      </w:r>
    </w:p>
    <w:p w14:paraId="3257F3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ЦАГИ на 1932 год окончание работ по самолету и сдача его на испытания намечается в апреле с.г.</w:t>
      </w:r>
    </w:p>
    <w:p w14:paraId="73273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Ваших указаний ЦАГИ об ускорении работ на этом самолете с расчетом поступления его на летные испытания к 15.02.32 г. (3949,19).</w:t>
      </w:r>
    </w:p>
    <w:p w14:paraId="4399F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B63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января 1932 года начальник ОКБ Ниренберг писал письмо начальнику ВВС, начальнику Техштаба НВ, начальнику НИИ ВВС</w:t>
      </w:r>
    </w:p>
    <w:p w14:paraId="5D079C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организации в 1932 году Особого конструкторского бюро и производственной базы при нем</w:t>
      </w:r>
    </w:p>
    <w:p w14:paraId="080EF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Непосредственной задачей Осконбюро является первоначальная разработка проектов различных приборов оборонного значения по зпдпниям Техштаба и затем дальнейшее осуществление этих проектов в виде опытных образцов, годных для производства с ними принципиальных испытаний для доказательства правильности идеи положенной в основу данного изобретения.</w:t>
      </w:r>
    </w:p>
    <w:p w14:paraId="41B7D8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осуществления этой задачи Бюро должно иметь соответствующий штат конструкторов и чертежников, а также небольшую опытную мастерскую для выполнения первых образцов; размер такой организации определяется общим количеством тех заданий для разработки и осуществления, которые ставятся Техштабом.</w:t>
      </w:r>
    </w:p>
    <w:p w14:paraId="44EAF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Образцы приборов, проверенные в войсковых частях, т.е. на войсковых испытаниях, в случае признания их годными для снабжения, поступают в дальнейшем в госпромышленность, на предмет массового изготовления.</w:t>
      </w:r>
    </w:p>
    <w:p w14:paraId="04BA76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действительность показывает, что в подобных случаях обычно промышленность под всякими предлогами, стремится отделаться от получения заказа на подобные приборы нового типа.</w:t>
      </w:r>
    </w:p>
    <w:p w14:paraId="005785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8B458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Поэтому может выявиться необходимость для военведа организовать собственный завод и развернуть на нем массовое изготовление приборов, значение которых подтвердилось на войсковых испытаниях, а определенное количество диктуется тактическими и мобилизационными соображениями.</w:t>
      </w:r>
    </w:p>
    <w:p w14:paraId="79B895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Естественно, что насыщение РККА вновь изобретенными приборами и отсутствие новых аналогичных объектов для производства и внедрения в РККА обуславливает нецелесообразность дальнейшего существования производственного завода у военведа и определяет передачу его в Наркомат тяжелой промышленности.</w:t>
      </w:r>
    </w:p>
    <w:p w14:paraId="393D81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Исходя из вышеизложенных соображений, а также из указаний начальника ВВС Алксниса о необходимости в дальнейшем вести летно-испытательную работу, выполняемую ОКБ по заданиям УВВС, в Москве, где атмосферные и аэродромные условия летной работы несравненно благоприятнее, нежели в Ленинграде и где тесный контакт с НИИ ВВС облегчает первоначальную разработку заданий и проверку полученных результатов – приходится констатировать необходимость перенести также в Москву и конструкторские разработки всех заданий УВВС и следовательно небольшой опытной мастерской по осуществлению первоначальных образцов.</w:t>
      </w:r>
    </w:p>
    <w:p w14:paraId="079C2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Конструкторское бюро и опытные мастерские в Москве</w:t>
      </w:r>
    </w:p>
    <w:p w14:paraId="0D5705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взять за образец программу опытных работ ОКБ на 1932 год по линии УВВС, то состав КБ в Москве должен выразиться примерно в количестве 20 человек – конструкторов и чертежников, 5 человек – счетно-конструкторского персонала и 40 человек механиков, слесарей и токарей опытной мастерской. Принимая однако во внимание, что в 1932 году часть опытных работ будет производиться в Ленинграде и что поначалу в Москве встретятся затруднения по привлечению штатного персонала – можно будет вначале ограничиться 2-3 конструкторами и столькими же чертежниками, привлекая дополнительно необходимый персонал на вечерние работы по совместительству. То же надо сказать и относительно опытной мастерской, штат которой вначале можно будет ограничить 6-10 механиками, производя все остальные работы в мастерских производственной базы Ленинграда.</w:t>
      </w:r>
    </w:p>
    <w:p w14:paraId="5E845C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Сюда же надо прибавить несколько человек для монтажа приборов на самолетах и несения летно-испытательной работы.</w:t>
      </w:r>
    </w:p>
    <w:p w14:paraId="16EF0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в Ленинграде для изготовления серийных заказов</w:t>
      </w:r>
    </w:p>
    <w:p w14:paraId="6A890F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разделяется на две основные части: на собственно завод, предназначенный для массового изготовления приборов, принятых на снабжение и работающий на хозрасчете по жесткой смете и на опытные мастерские, изготовляющие отдельные детали для опытной мастерской в Москве, а также отдельные серии приборов для войсковых испытаний. Стоимость всей работы в опытной мастерской возмещается заводу по фактической себестоимости.</w:t>
      </w:r>
    </w:p>
    <w:p w14:paraId="271451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схема организации Осконбюро</w:t>
      </w:r>
    </w:p>
    <w:p w14:paraId="51849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главе Осконбюро в Москве находится начальник, назначаемый начальником Техштаба. Начальник ОКБ назначает себе заместителя.</w:t>
      </w:r>
    </w:p>
    <w:p w14:paraId="65A09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……………………………….(7470, 35-39).</w:t>
      </w:r>
    </w:p>
    <w:p w14:paraId="5D730E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0108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января 1932 года на полигоне НИИ ВВС закончились испытания бомб - корпус железный, насыпные осколки - бомба осколочная и осколочно-химическая, которые проходили с 1 декабря 1931 года (3326).</w:t>
      </w:r>
    </w:p>
    <w:p w14:paraId="1CC0C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6CB1D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3EFB62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E2C250E" w14:textId="77777777" w:rsidR="002B29F9" w:rsidRPr="00E93F40" w:rsidRDefault="002B29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15 января</w:t>
      </w:r>
      <w:r w:rsidRPr="00E93F40">
        <w:rPr>
          <w:rFonts w:ascii="Times New Roman" w:hAnsi="Times New Roman"/>
          <w:color w:val="000000" w:themeColor="text1"/>
          <w:sz w:val="16"/>
          <w:szCs w:val="16"/>
        </w:rPr>
        <w:t xml:space="preserve"> в 1932 году первый полёт тяжелого бомбардировщика «AB.20» (компания «Dyle et Bacalan», «SAB», Франция). В своём окончательном виде на нём были установлены четыре двигателя «Lorraine 12Fb» «Courlis» мощностью 500 л.с., попарно под крыльями, а в носовой части разместилась огневая точка стрелка. Вооружение самолета было довольно солидным - пять 7.7-мм пулеметов и 2500 килограмм бомб. «AB.20» стал самым большим четырехмоторным французским самолетом того времени. Уже в первом полете стало ясно как тяжело управлять этим "летающим ящером" в полете. После войсковых испытаний в сентябре 1933 года проведенных в «Villacoublay» «AB.20» вернули в декабре на завод в Бордо для последующих модификаций (15010).</w:t>
      </w:r>
    </w:p>
    <w:p w14:paraId="1E963B9E" w14:textId="77777777" w:rsidR="002B29F9" w:rsidRPr="00E93F40" w:rsidRDefault="002B29F9" w:rsidP="00E93F40">
      <w:pPr>
        <w:spacing w:after="0" w:line="240" w:lineRule="auto"/>
        <w:jc w:val="both"/>
        <w:rPr>
          <w:rFonts w:ascii="Times New Roman" w:hAnsi="Times New Roman"/>
          <w:color w:val="000000" w:themeColor="text1"/>
          <w:sz w:val="16"/>
          <w:szCs w:val="16"/>
        </w:rPr>
      </w:pPr>
    </w:p>
    <w:p w14:paraId="0479D2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января 1932 Франция завершила операцию по умиротворения во Французском Марокко (3907,172).</w:t>
      </w:r>
    </w:p>
    <w:p w14:paraId="508771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24CA23" w14:textId="77777777" w:rsidR="00072FD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96BA1AA" w14:textId="77777777" w:rsidR="00072FD9" w:rsidRPr="00E93F40" w:rsidRDefault="00072FD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25E7D4" w14:textId="77777777" w:rsidR="00072FD9" w:rsidRPr="00E93F40" w:rsidRDefault="00072FD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января 1932 года от руководства ЦАГИ освобождают Н.Е. Пауфлера, и его новым начальником становится Н.М. Харламов (15223).</w:t>
      </w:r>
    </w:p>
    <w:p w14:paraId="763B6729" w14:textId="77777777" w:rsidR="00072FD9" w:rsidRPr="00E93F40" w:rsidRDefault="00072FD9" w:rsidP="00E93F40">
      <w:pPr>
        <w:shd w:val="clear" w:color="auto" w:fill="FFFFFF"/>
        <w:spacing w:after="0" w:line="240" w:lineRule="auto"/>
        <w:jc w:val="both"/>
        <w:rPr>
          <w:rFonts w:ascii="Times New Roman" w:hAnsi="Times New Roman"/>
          <w:color w:val="000000" w:themeColor="text1"/>
          <w:sz w:val="16"/>
          <w:szCs w:val="16"/>
        </w:rPr>
      </w:pPr>
    </w:p>
    <w:p w14:paraId="5FF1841B" w14:textId="77777777" w:rsidR="008757E0" w:rsidRPr="00E93F40" w:rsidRDefault="008757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января 1932 года от руководства ЦАГИ освобождают Н.Е. Пауфлера, и его новым начальником становится Н.М. Харламов (18293).</w:t>
      </w:r>
    </w:p>
    <w:p w14:paraId="4F65F585" w14:textId="77777777" w:rsidR="008757E0" w:rsidRPr="00E93F40" w:rsidRDefault="008757E0" w:rsidP="00E93F40">
      <w:pPr>
        <w:spacing w:after="0" w:line="240" w:lineRule="auto"/>
        <w:jc w:val="both"/>
        <w:rPr>
          <w:rFonts w:ascii="Times New Roman" w:hAnsi="Times New Roman"/>
          <w:color w:val="000000" w:themeColor="text1"/>
          <w:sz w:val="16"/>
          <w:szCs w:val="16"/>
        </w:rPr>
      </w:pPr>
    </w:p>
    <w:p w14:paraId="1588D6D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DA7DD8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BEAB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января 1932 года Доровлев направил в Артуправление рабочие чертежи 165-мм миномета ПМ-2. Новый миномет представлял собой модификацию ПМ-1 и конструктивно мало отличался от него. Вес ПМ-2 с колесным ходом составлял 450 кг. В боекомплект ПМ-2 входили химическая мина весом 17,7 кг, содержавшая 6,7 кг отравляющего вещества и чугунная осколочно-фугасная мина весом 23,2 кг, содержавшая 6,8 кг взрывчатого вещества. Вес полного заряда 0,85 кг пороха марки ПКО. При полном заряде начальная скорость составляла 235 м/с, а дальность стрельбы 4000 м. Недостатками минометов ПМ-1 и ПМ-2 были малая дальность стрельбы, неустойчивость при стрельбе и непрочность деревянной опоры (3861).</w:t>
      </w:r>
    </w:p>
    <w:p w14:paraId="2685BE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E994F4" w14:textId="315E55CA"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Доровлев направил в Артуправление рабочие чертежи 165-мм миномета ПМ-2. Новый миномет представлял собой модификацию миномета ПМ-1 и конструктивно мало отличался от него. Вес ПМ-2 с колесным ходом составлял 450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p w14:paraId="630442C9" w14:textId="435AC5B6"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боекомплект ПМ-2 входили химическая мина весом 17,7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содержавшая 6,7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отравляющего вещества, и чугунная осколочно-фугасная мина весом 23,2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содержавшая 6,8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взрывчатого вещества.</w:t>
      </w:r>
    </w:p>
    <w:p w14:paraId="3582F375" w14:textId="4138F795"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полного заряда 0,85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пороха марки ПКО. При полном заряде начальная скорость составляла 235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м/с, а дальность стрельбы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p>
    <w:p w14:paraId="7BC2B28E"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Недостатками минометов ПМ-1 и ПМ-2 были малая дальность стрельбы, неустойчивость при стрельбе и непрочность деревянной опоры.</w:t>
      </w:r>
    </w:p>
    <w:p w14:paraId="7748F6BB" w14:textId="0C386E0F"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группой «Д» была разработана еще одна модификация 165-мм полкового миномета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АМ-3. Основным его отличием была большая дальность стрельбы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ПМ-3 стрелял теми же минами, что и ПМ-1 и ПМ-2.</w:t>
      </w:r>
    </w:p>
    <w:p w14:paraId="452E5B98" w14:textId="7BA9D6C8"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Несколько единиц 165-мм минометов ПМ-1, ПМ-2 и ПМ-3 было изготовлено на заводе «Красный Октябрь» (г. Харьков) с участием мастерских АНИИ. Точное число изготовленных минометов установить не удалось, так как данные по производству и службе минометов в 1920–1936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в большинстве своем до сих пор являются секретными, так это все было связано с химическими частями (12705).</w:t>
      </w:r>
    </w:p>
    <w:p w14:paraId="1E7CB335" w14:textId="77777777" w:rsidR="00684A8A" w:rsidRPr="00E93F40" w:rsidRDefault="00684A8A" w:rsidP="00E93F40">
      <w:pPr>
        <w:spacing w:after="0" w:line="240" w:lineRule="auto"/>
        <w:jc w:val="both"/>
        <w:rPr>
          <w:rFonts w:ascii="Times New Roman" w:hAnsi="Times New Roman"/>
          <w:color w:val="000000" w:themeColor="text1"/>
          <w:sz w:val="16"/>
          <w:szCs w:val="16"/>
        </w:rPr>
      </w:pPr>
    </w:p>
    <w:p w14:paraId="05FDFAEF" w14:textId="77777777" w:rsidR="00E00DEB" w:rsidRPr="00E93F40" w:rsidRDefault="00E00DEB" w:rsidP="00E93F40">
      <w:pPr>
        <w:spacing w:after="0" w:line="240" w:lineRule="auto"/>
        <w:jc w:val="both"/>
        <w:rPr>
          <w:rFonts w:ascii="Times New Roman" w:eastAsia="TimesNewRomanPSMT" w:hAnsi="Times New Roman"/>
          <w:color w:val="000000" w:themeColor="text1"/>
          <w:sz w:val="16"/>
          <w:szCs w:val="16"/>
        </w:rPr>
      </w:pPr>
      <w:r w:rsidRPr="00E93F40">
        <w:rPr>
          <w:rFonts w:ascii="Times New Roman" w:hAnsi="Times New Roman"/>
          <w:color w:val="000000" w:themeColor="text1"/>
          <w:sz w:val="16"/>
          <w:szCs w:val="16"/>
        </w:rPr>
        <w:t>16 января 1932 г. на рассмотрение II секции НТК АУ и III секции ВОХИМУ группой Н. А. Доровлева были направлены чертежи еще одного варианта 165-мм полкового миномета (165- ПМ-2). Общий вес системы в боевом положении с колесным ходом составлял около 450 кг, она была рассчитана для стрельбы оперенной миной весом около 23 кг на максимальную дистанцию до 4 000 м. Миномет включал в себя ствол орудия, опорную площадку и боевую ось с колесами. Ствол орудия предлагалось сделать разборным, само орудие состояло из гладкой трубы, каморы и казенной части с цилиндрическим клиновым затвором системы А. А. Соколова. С пятой опорной площадки оно скреплялось шарнирным устройством. Сама площадка была оснащена поворотным и подъемным механизмами. Заряжание было раздельным: мина - с дульной части, заряд в обрезанной 42-лин. гильзе — с казны. 5 июня 1932 г. представленные чертежи были утверждены, и ГВМУ НКТП был выдан опытный заказ на изготовление 2 опытных систем 165-ПМ-2 на заводе «Красный Октябрь» в срок до 1 июля 1932 г.289 В течение 1932 г. группой «Д» также был выполнен проект 240-мм миномета усиления.290 (20074).</w:t>
      </w:r>
    </w:p>
    <w:p w14:paraId="7B904AFC" w14:textId="77777777" w:rsidR="00E00DEB" w:rsidRPr="00E93F40" w:rsidRDefault="00E00DEB" w:rsidP="00E93F40">
      <w:pPr>
        <w:spacing w:after="0" w:line="240" w:lineRule="auto"/>
        <w:jc w:val="both"/>
        <w:rPr>
          <w:rFonts w:ascii="Times New Roman" w:eastAsia="TimesNewRomanPSMT" w:hAnsi="Times New Roman"/>
          <w:color w:val="000000" w:themeColor="text1"/>
          <w:sz w:val="16"/>
          <w:szCs w:val="16"/>
        </w:rPr>
      </w:pPr>
    </w:p>
    <w:p w14:paraId="1437618D" w14:textId="77777777" w:rsidR="00175962" w:rsidRPr="00142305" w:rsidRDefault="00175962" w:rsidP="00175962">
      <w:pPr>
        <w:widowControl w:val="0"/>
        <w:tabs>
          <w:tab w:val="left" w:pos="711"/>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16 января 1932 г. руководите</w:t>
      </w:r>
      <w:r w:rsidRPr="00142305">
        <w:rPr>
          <w:rStyle w:val="aff"/>
          <w:rFonts w:ascii="Times New Roman" w:hAnsi="Times New Roman" w:cs="Times New Roman"/>
          <w:color w:val="0070C0"/>
          <w:spacing w:val="0"/>
          <w:sz w:val="16"/>
          <w:szCs w:val="16"/>
        </w:rPr>
        <w:softHyphen/>
        <w:t>ль группы «Д» газодинамической лаборатории Доровлев направил в Артуправление рабочие чертежи 165-мм миномета ПМ-2. Новый миномет представлял собой модификацию миномета ПМ-1 и кон</w:t>
      </w:r>
      <w:r w:rsidRPr="00142305">
        <w:rPr>
          <w:rStyle w:val="aff"/>
          <w:rFonts w:ascii="Times New Roman" w:hAnsi="Times New Roman" w:cs="Times New Roman"/>
          <w:color w:val="0070C0"/>
          <w:spacing w:val="0"/>
          <w:sz w:val="16"/>
          <w:szCs w:val="16"/>
        </w:rPr>
        <w:softHyphen/>
        <w:t>структивно мало отличался от него. Вес ПМ-2 с колесным ходом составлял 450 кг.</w:t>
      </w:r>
    </w:p>
    <w:p w14:paraId="2BA625B5" w14:textId="77777777" w:rsidR="00175962" w:rsidRPr="00142305" w:rsidRDefault="00175962" w:rsidP="001759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боекомплект ПМ-2 входили химическая мина весом 17,7 кг, содержавшая 6,7 кг отравляющего вещества, и чу</w:t>
      </w:r>
      <w:r w:rsidRPr="00142305">
        <w:rPr>
          <w:rStyle w:val="aff"/>
          <w:rFonts w:ascii="Times New Roman" w:hAnsi="Times New Roman" w:cs="Times New Roman"/>
          <w:color w:val="0070C0"/>
          <w:spacing w:val="0"/>
          <w:sz w:val="16"/>
          <w:szCs w:val="16"/>
        </w:rPr>
        <w:softHyphen/>
        <w:t>гунная осколочно-фугасная мина весом 23,2 кг, содержав</w:t>
      </w:r>
      <w:r w:rsidRPr="00142305">
        <w:rPr>
          <w:rStyle w:val="aff"/>
          <w:rFonts w:ascii="Times New Roman" w:hAnsi="Times New Roman" w:cs="Times New Roman"/>
          <w:color w:val="0070C0"/>
          <w:spacing w:val="0"/>
          <w:sz w:val="16"/>
          <w:szCs w:val="16"/>
        </w:rPr>
        <w:softHyphen/>
        <w:t>шая 6,8 кг взрывчатого вещества.</w:t>
      </w:r>
    </w:p>
    <w:p w14:paraId="20014F2C" w14:textId="77777777" w:rsidR="00175962" w:rsidRPr="00142305" w:rsidRDefault="00175962" w:rsidP="0017596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Вес полного заряда 0,85 кг пороха марки ПКО. При пол</w:t>
      </w:r>
      <w:r w:rsidRPr="00142305">
        <w:rPr>
          <w:rStyle w:val="aff"/>
          <w:rFonts w:ascii="Times New Roman" w:hAnsi="Times New Roman" w:cs="Times New Roman"/>
          <w:color w:val="0070C0"/>
          <w:spacing w:val="0"/>
          <w:sz w:val="16"/>
          <w:szCs w:val="16"/>
        </w:rPr>
        <w:softHyphen/>
        <w:t>ном заряде начальная скорость составляла 235 м/с, а даль</w:t>
      </w:r>
      <w:r w:rsidRPr="00142305">
        <w:rPr>
          <w:rStyle w:val="aff"/>
          <w:rFonts w:ascii="Times New Roman" w:hAnsi="Times New Roman" w:cs="Times New Roman"/>
          <w:color w:val="0070C0"/>
          <w:spacing w:val="0"/>
          <w:sz w:val="16"/>
          <w:szCs w:val="16"/>
        </w:rPr>
        <w:softHyphen/>
        <w:t>ность стрельбы — 4000 м.</w:t>
      </w:r>
    </w:p>
    <w:p w14:paraId="6D470A39" w14:textId="77777777" w:rsidR="00175962" w:rsidRPr="00142305" w:rsidRDefault="00175962" w:rsidP="001759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Основным назначением миноме</w:t>
      </w:r>
      <w:r w:rsidRPr="00142305">
        <w:rPr>
          <w:rStyle w:val="aff"/>
          <w:rFonts w:ascii="Times New Roman" w:hAnsi="Times New Roman" w:cs="Times New Roman"/>
          <w:color w:val="0070C0"/>
          <w:spacing w:val="0"/>
          <w:sz w:val="16"/>
          <w:szCs w:val="16"/>
        </w:rPr>
        <w:softHyphen/>
        <w:t>та была стрельба химической миной, поэтому он чаще на</w:t>
      </w:r>
      <w:r w:rsidRPr="00142305">
        <w:rPr>
          <w:rStyle w:val="aff"/>
          <w:rFonts w:ascii="Times New Roman" w:hAnsi="Times New Roman" w:cs="Times New Roman"/>
          <w:color w:val="0070C0"/>
          <w:spacing w:val="0"/>
          <w:sz w:val="16"/>
          <w:szCs w:val="16"/>
        </w:rPr>
        <w:softHyphen/>
        <w:t>зывался газометом «В». Конструктивно миномет был вы</w:t>
      </w:r>
      <w:r w:rsidRPr="00142305">
        <w:rPr>
          <w:rStyle w:val="aff"/>
          <w:rFonts w:ascii="Times New Roman" w:hAnsi="Times New Roman" w:cs="Times New Roman"/>
          <w:color w:val="0070C0"/>
          <w:spacing w:val="0"/>
          <w:sz w:val="16"/>
          <w:szCs w:val="16"/>
        </w:rPr>
        <w:softHyphen/>
        <w:t>полнен по схеме перевернутого реального треугольника.</w:t>
      </w:r>
    </w:p>
    <w:p w14:paraId="5960123C" w14:textId="77777777" w:rsidR="00175962" w:rsidRPr="00142305" w:rsidRDefault="00175962" w:rsidP="001759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стрельбе колесный ход отделялся, и миномет опи</w:t>
      </w:r>
      <w:r w:rsidRPr="00142305">
        <w:rPr>
          <w:rStyle w:val="aff"/>
          <w:rFonts w:ascii="Times New Roman" w:hAnsi="Times New Roman" w:cs="Times New Roman"/>
          <w:color w:val="0070C0"/>
          <w:spacing w:val="0"/>
          <w:sz w:val="16"/>
          <w:szCs w:val="16"/>
        </w:rPr>
        <w:softHyphen/>
        <w:t>рался только на деревянную опорную плиту прямоугольной формы.</w:t>
      </w:r>
    </w:p>
    <w:p w14:paraId="55A8666E" w14:textId="77777777" w:rsidR="00175962" w:rsidRPr="00142305" w:rsidRDefault="00175962" w:rsidP="001759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Принцип воспламенения заряда газодинамический. Заряд помещался в отдельной камере, соединенной с кана</w:t>
      </w:r>
      <w:r w:rsidRPr="00142305">
        <w:rPr>
          <w:rStyle w:val="aff"/>
          <w:rFonts w:ascii="Times New Roman" w:hAnsi="Times New Roman" w:cs="Times New Roman"/>
          <w:color w:val="0070C0"/>
          <w:spacing w:val="0"/>
          <w:sz w:val="16"/>
          <w:szCs w:val="16"/>
        </w:rPr>
        <w:softHyphen/>
        <w:t>лом ствола отверстием, называемым соплом. Недостатком миномета была его малая скорострельность, так как заряжа</w:t>
      </w:r>
      <w:r w:rsidRPr="00142305">
        <w:rPr>
          <w:rStyle w:val="aff"/>
          <w:rFonts w:ascii="Times New Roman" w:hAnsi="Times New Roman" w:cs="Times New Roman"/>
          <w:color w:val="0070C0"/>
          <w:spacing w:val="0"/>
          <w:sz w:val="16"/>
          <w:szCs w:val="16"/>
        </w:rPr>
        <w:softHyphen/>
        <w:t>ние производилось в два приема: мина — с дула, заряд — с казенной части. Затвор миномета клиновой системы инже</w:t>
      </w:r>
      <w:r w:rsidRPr="00142305">
        <w:rPr>
          <w:rStyle w:val="aff"/>
          <w:rFonts w:ascii="Times New Roman" w:hAnsi="Times New Roman" w:cs="Times New Roman"/>
          <w:color w:val="0070C0"/>
          <w:spacing w:val="0"/>
          <w:sz w:val="16"/>
          <w:szCs w:val="16"/>
        </w:rPr>
        <w:softHyphen/>
        <w:t>нера Соколова.</w:t>
      </w:r>
    </w:p>
    <w:p w14:paraId="386E739C" w14:textId="77777777" w:rsidR="00175962" w:rsidRPr="00142305" w:rsidRDefault="00175962" w:rsidP="001759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Ствол миномета гладкий. Мины оперенные. Метатель</w:t>
      </w:r>
      <w:r w:rsidRPr="00142305">
        <w:rPr>
          <w:rStyle w:val="aff"/>
          <w:rFonts w:ascii="Times New Roman" w:hAnsi="Times New Roman" w:cs="Times New Roman"/>
          <w:color w:val="0070C0"/>
          <w:spacing w:val="0"/>
          <w:sz w:val="16"/>
          <w:szCs w:val="16"/>
        </w:rPr>
        <w:softHyphen/>
        <w:t>ный заряд помещался в укороченной гильзе от 107-мм пушки обр. 1910 г.</w:t>
      </w:r>
    </w:p>
    <w:p w14:paraId="005605DC" w14:textId="77777777" w:rsidR="00175962" w:rsidRPr="00142305" w:rsidRDefault="00175962" w:rsidP="0017596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Недостатками минометов ПМ-1 и ПМ-2 были малая дальность стрельбы, неустойчивость при стрельбе и непроч</w:t>
      </w:r>
      <w:r w:rsidRPr="00142305">
        <w:rPr>
          <w:rStyle w:val="aff"/>
          <w:rFonts w:ascii="Times New Roman" w:hAnsi="Times New Roman" w:cs="Times New Roman"/>
          <w:color w:val="0070C0"/>
          <w:spacing w:val="0"/>
          <w:sz w:val="16"/>
          <w:szCs w:val="16"/>
        </w:rPr>
        <w:softHyphen/>
        <w:t>ность деревянной опоры.</w:t>
      </w:r>
    </w:p>
    <w:p w14:paraId="7F2B88C2" w14:textId="77777777" w:rsidR="00175962" w:rsidRPr="00142305" w:rsidRDefault="00175962" w:rsidP="001759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Недостатками минометов ПМ-1 и ПМ-2 были малая дальность стрельбы, неустойчивость при стрельбе и непроч</w:t>
      </w:r>
      <w:r w:rsidRPr="00142305">
        <w:rPr>
          <w:rStyle w:val="aff"/>
          <w:rFonts w:ascii="Times New Roman" w:hAnsi="Times New Roman" w:cs="Times New Roman"/>
          <w:color w:val="0070C0"/>
          <w:spacing w:val="0"/>
          <w:sz w:val="16"/>
          <w:szCs w:val="16"/>
        </w:rPr>
        <w:softHyphen/>
        <w:t>ность деревянной опоры.</w:t>
      </w:r>
    </w:p>
    <w:p w14:paraId="442A7164" w14:textId="77777777" w:rsidR="00175962" w:rsidRPr="00142305" w:rsidRDefault="00175962" w:rsidP="001759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1933 г. группой «Д» была разработана еще одна моди</w:t>
      </w:r>
      <w:r w:rsidRPr="00142305">
        <w:rPr>
          <w:rStyle w:val="aff"/>
          <w:rFonts w:ascii="Times New Roman" w:hAnsi="Times New Roman" w:cs="Times New Roman"/>
          <w:color w:val="0070C0"/>
          <w:spacing w:val="0"/>
          <w:sz w:val="16"/>
          <w:szCs w:val="16"/>
        </w:rPr>
        <w:softHyphen/>
        <w:t>фикация 165-мм полкового миномета — ПМ-3. Основным его отличием была большая дальность стрельбы — 5500 м. ПМ-3 стрелял теми же минами, что и ПМ-1 и ПМ-2.</w:t>
      </w:r>
    </w:p>
    <w:p w14:paraId="2B4CD562" w14:textId="77777777" w:rsidR="00175962" w:rsidRPr="00142305" w:rsidRDefault="00175962" w:rsidP="001759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Несколько единиц 165-мм минометов ПМ-1, ПМ-2 и ПМ-3 было изготовлено на заводе «Красный Октябрь» (г. Харьков) с участием мастерских АНИИ. Точное число изготовленных минометов установить не удалось, так как данные по производству и службе минометов в 1920—1936 гг. в большинстве своем до сих пор являются секретными, так это все было связано с химическими частями (25437).</w:t>
      </w:r>
    </w:p>
    <w:p w14:paraId="3DA2D217" w14:textId="77777777" w:rsidR="00175962" w:rsidRPr="00142305" w:rsidRDefault="00175962" w:rsidP="00175962">
      <w:pPr>
        <w:spacing w:after="0" w:line="240" w:lineRule="auto"/>
        <w:jc w:val="both"/>
        <w:rPr>
          <w:rFonts w:ascii="Times New Roman" w:hAnsi="Times New Roman"/>
          <w:color w:val="0070C0"/>
          <w:sz w:val="16"/>
          <w:szCs w:val="16"/>
        </w:rPr>
      </w:pPr>
    </w:p>
    <w:p w14:paraId="0B398543"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января 1932 состоялось заседание ПБ (Протокол № 84)</w:t>
      </w:r>
    </w:p>
    <w:p w14:paraId="38BA0454"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 Об импорте авто-агрегатов из Америки</w:t>
      </w:r>
    </w:p>
    <w:p w14:paraId="5344E2B2"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Пятаков, Розенгольц).</w:t>
      </w:r>
    </w:p>
    <w:p w14:paraId="14B9AF91"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виде исключения разрешить Наркомтяжпрому заказать в Америке, в счет контингентов Наркомата тяжелой промышленности, недостающие авто-агрегаты для ярославского завода на 133,3 тыс. руб. и 6 лебедок фирмы "Отиса" для Магнитостроя, Кузнецкстроя и Днепростали на сумму 364 тыс. р; обязав наркомат тяжелой промышленности больше не обращать</w:t>
      </w:r>
      <w:r w:rsidRPr="00E93F40">
        <w:rPr>
          <w:rFonts w:ascii="Times New Roman" w:hAnsi="Times New Roman"/>
          <w:color w:val="000000" w:themeColor="text1"/>
          <w:sz w:val="16"/>
          <w:szCs w:val="16"/>
        </w:rPr>
        <w:softHyphen/>
        <w:t>ся в ЦК с заказами в Америку.</w:t>
      </w:r>
    </w:p>
    <w:p w14:paraId="32910C8B"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Орджоникидзе, Рудзутаку.</w:t>
      </w:r>
    </w:p>
    <w:p w14:paraId="019AF330"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января 1932 опросом членов ПБ</w:t>
      </w:r>
    </w:p>
    <w:p w14:paraId="30701EE1"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37/15.- Об отпуске средств Н.К. Тяжелой промышленности.</w:t>
      </w:r>
    </w:p>
    <w:p w14:paraId="585D582F"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постановление К.О. об отпуске из резерв</w:t>
      </w:r>
      <w:r w:rsidRPr="00E93F40">
        <w:rPr>
          <w:rFonts w:ascii="Times New Roman" w:hAnsi="Times New Roman"/>
          <w:color w:val="000000" w:themeColor="text1"/>
          <w:sz w:val="16"/>
          <w:szCs w:val="16"/>
        </w:rPr>
        <w:softHyphen/>
        <w:t>ного фонда СНК СССР 2 млн. рублей (в долларах) Народно</w:t>
      </w:r>
      <w:r w:rsidRPr="00E93F40">
        <w:rPr>
          <w:rFonts w:ascii="Times New Roman" w:hAnsi="Times New Roman"/>
          <w:color w:val="000000" w:themeColor="text1"/>
          <w:sz w:val="16"/>
          <w:szCs w:val="16"/>
        </w:rPr>
        <w:softHyphen/>
        <w:t>му Комиссариату Тяжелой промышленности на приобретение 15-тысяче-тонного пресса.</w:t>
      </w:r>
    </w:p>
    <w:p w14:paraId="100CDC21" w14:textId="77777777" w:rsidR="00E00DEB" w:rsidRPr="00E93F40" w:rsidRDefault="00E00D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Молотову, Орджоникидзе, Рудзутаку (23036).</w:t>
      </w:r>
    </w:p>
    <w:p w14:paraId="5865A013" w14:textId="77777777" w:rsidR="00E00DEB" w:rsidRPr="00E93F40" w:rsidRDefault="00E00DEB" w:rsidP="00E93F40">
      <w:pPr>
        <w:spacing w:after="0" w:line="240" w:lineRule="auto"/>
        <w:jc w:val="both"/>
        <w:rPr>
          <w:rFonts w:ascii="Times New Roman" w:hAnsi="Times New Roman"/>
          <w:color w:val="000000" w:themeColor="text1"/>
          <w:sz w:val="16"/>
          <w:szCs w:val="16"/>
        </w:rPr>
      </w:pPr>
    </w:p>
    <w:p w14:paraId="30F3B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января 1932 в Правде 1932 год был объявлен "годом решительного подъема черной металлургии" ("Правда", 1932, 16 января) (11495).</w:t>
      </w:r>
    </w:p>
    <w:p w14:paraId="11743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0A8C69"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16 января 1932 </w:t>
      </w:r>
      <w:r w:rsidRPr="00E93F40">
        <w:rPr>
          <w:rFonts w:ascii="Times New Roman" w:hAnsi="Times New Roman"/>
          <w:color w:val="000000" w:themeColor="text1"/>
          <w:sz w:val="16"/>
          <w:szCs w:val="16"/>
        </w:rPr>
        <w:t>Политбюро ЦК ВКП (б) обязало комиссию закончить разработку тезисов о второй пятилетке в трехдневный срок; одобрило проект постановления СТО о сроке окончания строительства первой очереди Днепростроя; приняло решение о строительстве Хабаровского судостроительного завода (12265).</w:t>
      </w:r>
    </w:p>
    <w:p w14:paraId="36B96971" w14:textId="0104DB42" w:rsidR="00AD6C32"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020EF0F7" w14:textId="77777777" w:rsidR="00DC020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123EF033"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919E69" w14:textId="7D290736"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16 января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w:t>
      </w:r>
      <w:r w:rsidRPr="00E93F40">
        <w:rPr>
          <w:rFonts w:ascii="Times New Roman" w:eastAsia="Times New Roman" w:hAnsi="Times New Roman"/>
          <w:color w:val="000000" w:themeColor="text1"/>
          <w:sz w:val="16"/>
          <w:szCs w:val="16"/>
          <w:lang w:eastAsia="ru-RU"/>
        </w:rPr>
        <w:t>-</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По утвержденному Политбюро плану на календарный</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 экспорт 6,2 млн. т. (6</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235 тыс.т.).</w:t>
      </w:r>
    </w:p>
    <w:p w14:paraId="5476F05E" w14:textId="352D0FD7"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23 июня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Каганович-Сталину: </w:t>
      </w:r>
      <w:r w:rsidRPr="00E93F40">
        <w:rPr>
          <w:rFonts w:ascii="Times New Roman" w:eastAsia="Times New Roman" w:hAnsi="Times New Roman"/>
          <w:iCs/>
          <w:color w:val="000000" w:themeColor="text1"/>
          <w:sz w:val="16"/>
          <w:szCs w:val="16"/>
          <w:lang w:eastAsia="ru-RU"/>
        </w:rPr>
        <w:t>«Внешторг</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включил в экспортно-импортный план</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III</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кв[артала] вывоз 60 мил. пуд]ов] зерновых и кроме этого завоз в порты сверх этого 50 м[лн]. пуд[ов] для залога и продажи в октябре. Годовой план экспорта из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32 г. он предлагает довести до 4 млн. тонн. Мы этот вопрос пока не решили. Конечно, вывозить обязательно необходимо немедленно и надо дать отпор настроениям, сложившимся на почве некоторых затруднений последних пару месяцев, что не надо-де вывозить, но</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вопрос</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сколько вывезти в</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IIIквартале, думаю, что цифру</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Внешторга</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немного сократить придется. Прошу Вас сообщить Ваше мнение»</w:t>
      </w:r>
      <w:r w:rsidRPr="00E93F40">
        <w:rPr>
          <w:rFonts w:ascii="Times New Roman" w:eastAsia="Times New Roman" w:hAnsi="Times New Roman"/>
          <w:color w:val="000000" w:themeColor="text1"/>
          <w:sz w:val="16"/>
          <w:szCs w:val="16"/>
          <w:lang w:eastAsia="ru-RU"/>
        </w:rPr>
        <w:t>.</w:t>
      </w:r>
    </w:p>
    <w:p w14:paraId="71F03843" w14:textId="375CDE98"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26 июня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Ответ Сталина: </w:t>
      </w:r>
      <w:r w:rsidRPr="00E93F40">
        <w:rPr>
          <w:rFonts w:ascii="Times New Roman" w:eastAsia="Times New Roman" w:hAnsi="Times New Roman"/>
          <w:iCs/>
          <w:color w:val="000000" w:themeColor="text1"/>
          <w:sz w:val="16"/>
          <w:szCs w:val="16"/>
          <w:lang w:eastAsia="ru-RU"/>
        </w:rPr>
        <w:t xml:space="preserve">«По экспорту хлеба предлагаю </w:t>
      </w:r>
      <w:r w:rsidRPr="00E93F40">
        <w:rPr>
          <w:rFonts w:ascii="Times New Roman" w:eastAsia="Times New Roman" w:hAnsi="Times New Roman"/>
          <w:iCs/>
          <w:color w:val="000000" w:themeColor="text1"/>
          <w:sz w:val="16"/>
          <w:szCs w:val="16"/>
          <w:u w:val="single"/>
          <w:lang w:eastAsia="ru-RU"/>
        </w:rPr>
        <w:t>серьезно</w:t>
      </w:r>
      <w:r w:rsidRPr="00E93F40">
        <w:rPr>
          <w:rFonts w:ascii="Times New Roman" w:eastAsia="Times New Roman" w:hAnsi="Times New Roman"/>
          <w:iCs/>
          <w:color w:val="000000" w:themeColor="text1"/>
          <w:sz w:val="16"/>
          <w:szCs w:val="16"/>
          <w:lang w:eastAsia="ru-RU"/>
        </w:rPr>
        <w:t xml:space="preserve"> сократить план</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Розенгольца</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(для</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III</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квартала)».</w:t>
      </w:r>
    </w:p>
    <w:p w14:paraId="27AB54AF" w14:textId="31F0CE1A"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16 июля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Политбюро утвердило экспорт хлеба в</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III</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квартале в размере 31,5 млн. пуд (включая и бобовые), 20 млн. пудов для варранта и 10 млн. пуд.</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переходящих остатков, всего 61,5 млн. пуд. Также принято решение, «</w:t>
      </w:r>
      <w:r w:rsidRPr="00E93F40">
        <w:rPr>
          <w:rFonts w:ascii="Times New Roman" w:eastAsia="Times New Roman" w:hAnsi="Times New Roman"/>
          <w:iCs/>
          <w:color w:val="000000" w:themeColor="text1"/>
          <w:sz w:val="16"/>
          <w:szCs w:val="16"/>
          <w:lang w:eastAsia="ru-RU"/>
        </w:rPr>
        <w:t>разрешить</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НКВТ</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по мере необходимости использовать метод продажи в порядке срочных сделок на бирже (фьючерсы) пшеницы в целях страхования цен. Объем таких продаж определить не свыше 200 тыс. тонн</w:t>
      </w:r>
      <w:r w:rsidRPr="00E93F40">
        <w:rPr>
          <w:rFonts w:ascii="Times New Roman" w:eastAsia="Times New Roman" w:hAnsi="Times New Roman"/>
          <w:color w:val="000000" w:themeColor="text1"/>
          <w:sz w:val="16"/>
          <w:szCs w:val="16"/>
          <w:lang w:eastAsia="ru-RU"/>
        </w:rPr>
        <w:t>».</w:t>
      </w:r>
    </w:p>
    <w:p w14:paraId="72DC783E" w14:textId="5C1FE442"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сентября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Принятие нового плана хлебозаготовок 21,6 млн. т., и хлебофуражного баланса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-1933 гг.</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После неоднократных переносов, наконец то были определены и размеры экспорта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в 2,7 млн. т.</w:t>
      </w:r>
    </w:p>
    <w:p w14:paraId="0EFDC4FC" w14:textId="35DFBE72"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20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о сокращении экспорта хлеба из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с 2,7 млн. до 2,46 млн. т.</w:t>
      </w:r>
    </w:p>
    <w:p w14:paraId="387A9EBC" w14:textId="19BFF5D0"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23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Постановление ЦК:</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Произведенное уменьшение экспортного плана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 15 млн. пудов распространить полностью на пшеницу</w:t>
      </w:r>
      <w:r w:rsidRPr="00E93F40">
        <w:rPr>
          <w:rFonts w:ascii="Times New Roman" w:eastAsia="Times New Roman" w:hAnsi="Times New Roman"/>
          <w:color w:val="000000" w:themeColor="text1"/>
          <w:sz w:val="16"/>
          <w:szCs w:val="16"/>
          <w:lang w:eastAsia="ru-RU"/>
        </w:rPr>
        <w:t>».</w:t>
      </w:r>
    </w:p>
    <w:p w14:paraId="53286C0F" w14:textId="062F864E"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Комзаг</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E93F40">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и</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продкультур</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после 1 января»</w:t>
      </w:r>
      <w:r w:rsidRPr="00E93F40">
        <w:rPr>
          <w:rFonts w:ascii="Times New Roman" w:eastAsia="Times New Roman" w:hAnsi="Times New Roman"/>
          <w:color w:val="000000" w:themeColor="text1"/>
          <w:sz w:val="16"/>
          <w:szCs w:val="16"/>
          <w:lang w:eastAsia="ru-RU"/>
        </w:rPr>
        <w:t>.</w:t>
      </w:r>
    </w:p>
    <w:p w14:paraId="50C66C84" w14:textId="65B861DC"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Политбюро</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E93F40">
        <w:rPr>
          <w:rFonts w:ascii="Times New Roman" w:eastAsia="Times New Roman" w:hAnsi="Times New Roman"/>
          <w:color w:val="000000" w:themeColor="text1"/>
          <w:sz w:val="16"/>
          <w:szCs w:val="16"/>
          <w:lang w:eastAsia="ru-RU"/>
        </w:rPr>
        <w:t>» и</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E93F40">
        <w:rPr>
          <w:rFonts w:ascii="Times New Roman" w:eastAsia="Times New Roman" w:hAnsi="Times New Roman"/>
          <w:color w:val="000000" w:themeColor="text1"/>
          <w:sz w:val="16"/>
          <w:szCs w:val="16"/>
          <w:lang w:eastAsia="ru-RU"/>
        </w:rPr>
        <w:t>».</w:t>
      </w:r>
    </w:p>
    <w:p w14:paraId="673DE176" w14:textId="64F2C16D"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xml:space="preserve">31 марта 1933 г. – </w:t>
      </w:r>
      <w:r w:rsidRPr="00E93F40">
        <w:rPr>
          <w:rFonts w:ascii="Times New Roman" w:eastAsia="Times New Roman" w:hAnsi="Times New Roman"/>
          <w:color w:val="000000" w:themeColor="text1"/>
          <w:sz w:val="16"/>
          <w:szCs w:val="16"/>
          <w:lang w:eastAsia="ru-RU"/>
        </w:rPr>
        <w:t>Принято решение: «</w:t>
      </w:r>
      <w:r w:rsidRPr="00E93F40">
        <w:rPr>
          <w:rFonts w:ascii="Times New Roman" w:eastAsia="Times New Roman" w:hAnsi="Times New Roman"/>
          <w:iCs/>
          <w:color w:val="000000" w:themeColor="text1"/>
          <w:sz w:val="16"/>
          <w:szCs w:val="16"/>
          <w:lang w:eastAsia="ru-RU"/>
        </w:rPr>
        <w:t>Прекратить экспорт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начиная с 1-4-1933» (12257).</w:t>
      </w:r>
    </w:p>
    <w:p w14:paraId="4BFF6015"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15D4E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395828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BC47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17 января 1932 г. Н.М.Харламов сменил на посту начальника ЦАГИ Н.Е.Пауфлера, не имевшего необходимого образования и опыта работы для руководства столь сложным и многопрофильным научным и опытно-конструкторским учреждением, каким был ЦАГИ в начале 1930-х годов (9528).</w:t>
      </w:r>
    </w:p>
    <w:p w14:paraId="07102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8268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января 1932 Н.М.Харламова, начальника НИС и опытного строительства Глававиапрома назначили начальником ЦАГИ (273,297).</w:t>
      </w:r>
    </w:p>
    <w:p w14:paraId="2FF51D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71852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января 1932 председатель комиссии НИИ ВВС Можаев А.В. писал письмо № 5л начальнику НИИ УВВС.</w:t>
      </w:r>
    </w:p>
    <w:p w14:paraId="430F4C1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Проверка техимущества и инвентаря 12 отдела и опытных мастерских НИИ производилась на основании приказа НИИ за № 58/342.</w:t>
      </w:r>
    </w:p>
    <w:p w14:paraId="3CE6FD6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494133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Проверкой обнаружено, что часть автотранспорта и техимущество, полученное из разных учреждений 12 отделом не заприходовано по НИИ.</w:t>
      </w:r>
    </w:p>
    <w:p w14:paraId="3FB2D53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AA97DF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Автомобиль Форд А за № 3817904 по сведениям разбит, документов о его аварии не предъявлено.</w:t>
      </w:r>
    </w:p>
    <w:p w14:paraId="635212F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Автомобиль Форд А двигатель № 3207389 заявлено, что принадлежит Гроховскому – его собственность. В подтверждение была предъявлена книжка удостоверение, в которой имеется резолюция: «3 октября 1931 года распоряжением комвойск автомобиль передан начальнику конструкторского отдела НИИ ВВС Гроховскому». Подпись начальника штаба ЛВО и печать.</w:t>
      </w:r>
    </w:p>
    <w:p w14:paraId="5EAD99D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Определить по данной резолюции невозможно, является ли передача в собственность или в отдел НИИ.</w:t>
      </w:r>
    </w:p>
    <w:p w14:paraId="44F2C0D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……………………(6770, 44).</w:t>
      </w:r>
    </w:p>
    <w:p w14:paraId="2FDCD0B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410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января 1932 года постановление СТО № 27/17/с</w:t>
      </w:r>
    </w:p>
    <w:p w14:paraId="6A5C6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вопросу о создании специального завода по производству авиастали</w:t>
      </w:r>
    </w:p>
    <w:p w14:paraId="77336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 постановляет:</w:t>
      </w:r>
    </w:p>
    <w:p w14:paraId="09469D5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предложение НКТП о постройке в Челябинске завода нержавеющего листа с выпуском до 25000 тонн в год, а также завода по производству малоуглеродистого и безуглеродистого ферро-хрома и электродного завода, обеспечивающих снабжение завода нержавеющего листа ферросплавами и электродами.</w:t>
      </w:r>
    </w:p>
    <w:p w14:paraId="750FDB9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НКТП вести строительство таким образом, чтобы завод первой очереди с производительностью нержавеющего листа – 10000 тонн пустить в ход не позднее 1 апреля 1933 года.</w:t>
      </w:r>
    </w:p>
    <w:p w14:paraId="7C69064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Включить строительство Челябинского комбината в список ударных строек (7429, 3).</w:t>
      </w:r>
    </w:p>
    <w:p w14:paraId="6422AF8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1B4B0E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BF24B4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93DD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января 1932 г. КБ завода "Большевик" направило в Научно-технический комитет Управления ВМС на утверждение проект переделки (с надеванием цапфенного кольца) 10/50-дюймовых орудий для установки на 10/45-дюймовом станке Дурляхера. Вес переделанного ствола должен был стать 30900 кг вместо 29500 кг с 10/45-дюймового ствола. Возиться с такой древней конструкцией не стали (3861).</w:t>
      </w:r>
    </w:p>
    <w:p w14:paraId="24E8A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02407D" w14:textId="77777777" w:rsidR="00072FD9" w:rsidRPr="00E93F40" w:rsidRDefault="00072F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17 января</w:t>
      </w:r>
      <w:r w:rsidRPr="00E93F40">
        <w:rPr>
          <w:rFonts w:ascii="Times New Roman" w:hAnsi="Times New Roman"/>
          <w:color w:val="000000" w:themeColor="text1"/>
          <w:sz w:val="16"/>
          <w:szCs w:val="16"/>
        </w:rPr>
        <w:t xml:space="preserve"> в 1932 году Совнарком СССР принял постановление «О состоянии связи». В нем, в частности, говорилось: «Развитие приемно-передающей вещательной сети должно пойти по линии внедрения телевидения, звукозаписывающей и звуковоспроизводящей аппаратуры, применения ультракоротких волн для целей вещания на дальнее расстояние» (Советская радиотехника и электросвязь. Москва, Связьиздат, 1975, страницы 67—68) (15012).</w:t>
      </w:r>
    </w:p>
    <w:p w14:paraId="2A70B601" w14:textId="77777777" w:rsidR="00072FD9" w:rsidRPr="00E93F40" w:rsidRDefault="00072FD9" w:rsidP="00E93F40">
      <w:pPr>
        <w:spacing w:after="0" w:line="240" w:lineRule="auto"/>
        <w:jc w:val="both"/>
        <w:rPr>
          <w:rFonts w:ascii="Times New Roman" w:hAnsi="Times New Roman"/>
          <w:color w:val="000000" w:themeColor="text1"/>
          <w:sz w:val="16"/>
          <w:szCs w:val="16"/>
        </w:rPr>
      </w:pPr>
    </w:p>
    <w:p w14:paraId="41031FDA" w14:textId="1FAD40AA" w:rsidR="00F167B2" w:rsidRPr="00E93F40" w:rsidRDefault="00F167B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образован Народный комиссариат связи СССР как центральный орган руководства организацией и деятельностью различных видов связи, в том числе почты, телеграфа, телефона, радио, а также контроля за строительством и эксплуатацией всех видов электросвязи и радиовещания, находящихся в ведении других ведомств, обеспечения связи с иностранными государствами. В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Наркомат связи СССР и местные управления связи перестроились по производственно-отраслевому принципу. Структура наркомата в рассматриваемый период претерпела следующие изменения. Так, в 1939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Финансовое управление наркомата переименовали в финансовый отдел. 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1939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утвердил положение, по которому вместо Планового управления был образован плановый отдел, выполнявший функции планирования и учета.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1940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постановлению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1116 его преобразовали в планово-экономический отдел. (РГАЭ. Ф.</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3527. Оп.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17, 18. Предисловия.) (17814).</w:t>
      </w:r>
    </w:p>
    <w:p w14:paraId="2FE9BFB8" w14:textId="77777777"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p>
    <w:p w14:paraId="356CC14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840571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5965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января 1932 Совет народных комиссаров (СНК) СССР принял постановление "О состоянии связи", подводившее итоги работы отрасли за первую пятилетку. Отмечая успехи электросвязи (увеличение общей протяженности телеграфно-телефонных проводов с 504 тыс. км в 1913 г. до 1400 км в 1931 г., пуск первых городских автоматических телефонных станций), СНК указал, что связь еще отстает от бурного развития народного хозяйства; в постановлении говорилось также о диспропорции между ростом передающей и приемной радиосетей и намечались меры по улучшению работы радио- и электросвязи, обращалось особое внимание на развитие вещательной сети, внедрение телевидения, ускорение разработки звукозаписывающей и звуковоспроизводящей аппаратуры и т. д. (9923).</w:t>
      </w:r>
    </w:p>
    <w:p w14:paraId="4B8ED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77B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января 1932 Народный комиссариат почт и телеграфов переименован в Народный комиссариат связи СССР (НК связи, или Наркомсвязь) (9923).</w:t>
      </w:r>
    </w:p>
    <w:p w14:paraId="06DC8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8C62A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2B2868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DFB04C"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18 января 1932 </w:t>
      </w:r>
      <w:r w:rsidRPr="00E93F40">
        <w:rPr>
          <w:rFonts w:ascii="Times New Roman" w:hAnsi="Times New Roman"/>
          <w:color w:val="000000" w:themeColor="text1"/>
          <w:sz w:val="16"/>
          <w:szCs w:val="16"/>
        </w:rPr>
        <w:t>Политбюро ЦК ВКП (б) предложило Наркомтяжпрому усилить руководство строительством Хабаровского судостроительного завода; утвердило тезисы о директивах к составлению второго пятилетнего плана для XVII партийной конференции,</w:t>
      </w:r>
    </w:p>
    <w:p w14:paraId="217B49D9" w14:textId="29C40A27" w:rsidR="00AD6C32"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11CCD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января 1932 г. в соответствии с приказом НКПС от № 2011 на ЭПРОН наряду с судоподъемными работами возлагались также аварийно-спасательное обеспечение действий Морских сил, водолазно-строительные и опытно-подводные работы. В оперативном отношении при выполнении аварийно-спасательных работ ЭПРОН подчинялся наркому по военным и морским делам.</w:t>
      </w:r>
    </w:p>
    <w:p w14:paraId="7A2AA7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марта 1931 г. в Москве было образовано Главное управление ЭПРОН, 20 ноября того же года его перевели в Ленинград, для чего ему был передан бывший дворец Юсупова, известный как место расправы над Григорием Распутиным (ныне это "Дом учителя"). </w:t>
      </w:r>
    </w:p>
    <w:p w14:paraId="516787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года, обязанности начальника Главного управления исполняли двое специалистов ЭПРОН Д. В. Усов и Ф. С. Медведев.</w:t>
      </w:r>
    </w:p>
    <w:p w14:paraId="0BC527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морских направлениях, а также для действий в районе Москвы, рек и озер создавались экспедиции по названиям направлений Северная, Балтийская, Черноморская, Каспийская, Тихоокеанская, Центрального района, рек и озер. Начальником Черноморской экспедиции ЭПРОН был назначен Ф. И. Крылов (11630).</w:t>
      </w:r>
    </w:p>
    <w:p w14:paraId="259918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5252B7" w14:textId="77777777" w:rsidR="00072FD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A3C3735" w14:textId="77777777" w:rsidR="00072FD9" w:rsidRPr="00E93F40" w:rsidRDefault="00072FD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31EC87D" w14:textId="77777777" w:rsidR="00072FD9" w:rsidRPr="00E93F40" w:rsidRDefault="00072F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18 января</w:t>
      </w:r>
      <w:r w:rsidRPr="00E93F40">
        <w:rPr>
          <w:rFonts w:ascii="Times New Roman" w:hAnsi="Times New Roman"/>
          <w:color w:val="000000" w:themeColor="text1"/>
          <w:sz w:val="16"/>
          <w:szCs w:val="16"/>
        </w:rPr>
        <w:t xml:space="preserve"> в 1932 году принимается решение о передаче в Ленинграде здания Казанского собора Академии наук для организации антирелигиозного музея (15013).</w:t>
      </w:r>
    </w:p>
    <w:p w14:paraId="5EFE5440" w14:textId="77777777" w:rsidR="00072FD9" w:rsidRPr="00E93F40" w:rsidRDefault="00072FD9" w:rsidP="00E93F40">
      <w:pPr>
        <w:spacing w:after="0" w:line="240" w:lineRule="auto"/>
        <w:jc w:val="both"/>
        <w:rPr>
          <w:rFonts w:ascii="Times New Roman" w:hAnsi="Times New Roman"/>
          <w:color w:val="000000" w:themeColor="text1"/>
          <w:sz w:val="16"/>
          <w:szCs w:val="16"/>
        </w:rPr>
      </w:pPr>
    </w:p>
    <w:p w14:paraId="5DF30A38" w14:textId="77777777" w:rsidR="004913A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FDBE08F" w14:textId="77777777" w:rsidR="004913A9" w:rsidRPr="00E93F40" w:rsidRDefault="004913A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BBD7CA3" w14:textId="726DBFC4" w:rsidR="007C5C40" w:rsidRPr="00E93F40" w:rsidRDefault="007C5C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января 1932 года — первый полёт гоночного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Cessna CR-1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(он же Cessna Racer). /США/</w:t>
      </w:r>
    </w:p>
    <w:p w14:paraId="7F633E72" w14:textId="79F65924" w:rsidR="007C5C40" w:rsidRPr="00E93F40" w:rsidRDefault="007C5C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 году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Cessna Aircraft Company</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прекратила работу из-за финансовых проблем, вызванных Великой депрессией. Но у основателя компании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Клайда Сессны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(Clyde Cessna) — остался самолёт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Cessna AW. Его доработали, и сын Клайда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Элдон Сессна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(Eldon Cessna) — на нём занял 3 место в гонке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Cleveland National Air Races. Полученные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1200 долларов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призовых отец и сын вложили в проект гоночного самолёта CR-1.</w:t>
      </w:r>
    </w:p>
    <w:p w14:paraId="1D5F9553" w14:textId="77777777" w:rsidR="007C5C40" w:rsidRPr="00E93F40" w:rsidRDefault="007C5C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был одноместный среднеплан с убираемым шасси. Конструкция смешанная — каркас фюзеляжа из стальных труб, крыло деревянное, обшивка из дюралюминия, фанеры и полотна. Оснащался двигателем Warner Scarab 422 (110 л.с.).</w:t>
      </w:r>
    </w:p>
    <w:p w14:paraId="76F05901" w14:textId="77777777" w:rsidR="007C5C40" w:rsidRPr="00E93F40" w:rsidRDefault="007C5C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полёт CR-1 стал же и последним. Самолёт с большим трудом смог взлететь, но оказался практически неуправляемым, и Элдон Сессна с трудом смог его посадить. Было принято решение доработать CR-1. Существенно переработанный самолёт получил новое обозначение CR-2 (22300).</w:t>
      </w:r>
    </w:p>
    <w:p w14:paraId="7D9382FB" w14:textId="77777777" w:rsidR="007C5C40" w:rsidRPr="00E93F40" w:rsidRDefault="007C5C40" w:rsidP="00E93F40">
      <w:pPr>
        <w:spacing w:after="0" w:line="240" w:lineRule="auto"/>
        <w:jc w:val="both"/>
        <w:rPr>
          <w:rFonts w:ascii="Times New Roman" w:eastAsia="TimesNewRomanPSMT" w:hAnsi="Times New Roman"/>
          <w:color w:val="000000" w:themeColor="text1"/>
          <w:sz w:val="16"/>
          <w:szCs w:val="16"/>
        </w:rPr>
      </w:pPr>
    </w:p>
    <w:p w14:paraId="41429C1A" w14:textId="77777777" w:rsidR="004913A9" w:rsidRPr="00E93F40" w:rsidRDefault="004913A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января 1932 г.</w:t>
      </w:r>
      <w:r w:rsidRPr="00E93F40">
        <w:rPr>
          <w:rFonts w:ascii="Times New Roman" w:hAnsi="Times New Roman"/>
          <w:bCs/>
          <w:color w:val="000000" w:themeColor="text1"/>
          <w:sz w:val="16"/>
          <w:szCs w:val="16"/>
        </w:rPr>
        <w:t xml:space="preserve"> у ворот китайской фабрики в Чапее (предместье Шанхая) произошла драка между японцами и китайцами. Японцы подожгли фабрику, убили нескольких китайцев и потребовали от китайского мэра Большого Шанхая удовлетворения. Мэр Шанхая поспешил удовлетворить все требования японцев. Тем не менее, в Шанхай были вызваны два японских крейсера с морской пехотой и 16 истребителей. Поздно вечером 28 января раздалась неожиданная ружейная и пулемётная стрельба японских войск, занявших Чапей. На рассвете бомбардировщики забросали бомбами Чапей, где проживало исключительно гражданское население. Только благодаря энергичному вмешательству американского и английского консулов бомбардировка через несколько часов была прекращена (17325).</w:t>
      </w:r>
    </w:p>
    <w:p w14:paraId="336B563B" w14:textId="77777777" w:rsidR="004913A9" w:rsidRPr="00E93F40" w:rsidRDefault="004913A9" w:rsidP="00E93F40">
      <w:pPr>
        <w:spacing w:after="0" w:line="240" w:lineRule="auto"/>
        <w:jc w:val="both"/>
        <w:rPr>
          <w:rFonts w:ascii="Times New Roman" w:hAnsi="Times New Roman"/>
          <w:color w:val="000000" w:themeColor="text1"/>
          <w:sz w:val="16"/>
          <w:szCs w:val="16"/>
        </w:rPr>
      </w:pPr>
    </w:p>
    <w:p w14:paraId="37D7E58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08D72E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D7E53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января 1932 состоялось совещание у Врид. нач. самолетного треста:</w:t>
      </w:r>
    </w:p>
    <w:p w14:paraId="7244D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 Информацию директора завода 16 о переговорах с заводом 39 о сроках сдачи чертежей и внедрению ТШ-2 на заводе 16.</w:t>
      </w:r>
    </w:p>
    <w:p w14:paraId="56F952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 Считать возможным начать изготовление машины ТШ-2 на заводе 16, не дожидаясь окончательных результатов гос. испытаний." (2320,68).</w:t>
      </w:r>
    </w:p>
    <w:p w14:paraId="35EB3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BC4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января 1932 года был утвержден макет МБР4 (С62бис) (3899).</w:t>
      </w:r>
    </w:p>
    <w:p w14:paraId="44BB2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Предъявление по плану было назначено 5 марта 1932 года.</w:t>
      </w:r>
    </w:p>
    <w:p w14:paraId="5B3808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9FBE7C"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 xml:space="preserve">19 января 1932 года в Москве председатель Гидрометеорологического комитета РСФСР Н.Н.Сперанский созвал первое заседание по изучению стратосферы. На этом заседании был заслушан доклад метеоролога В.И.Виткевича о задачах изучения стратосферы и образована Комиссия по изучению стратосферы под его председательством. Первое заседание Комиссии состоялось 22 января. На нем был намечен план работ, включавший также постройку стратостата для подъёма с </w:t>
      </w:r>
      <w:r w:rsidRPr="00E93F40">
        <w:rPr>
          <w:color w:val="000000" w:themeColor="text1"/>
          <w:sz w:val="16"/>
          <w:szCs w:val="16"/>
        </w:rPr>
        <w:lastRenderedPageBreak/>
        <w:t>людьми на высоту 20-25 км. Члену комиссии М.Н.Канищеву было поручено разработать проект стратосферного аэростата.</w:t>
      </w:r>
    </w:p>
    <w:p w14:paraId="7E5B5DBB"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На первом этапе создания этот стратостат назывался «СССР». Указывалось, что инициатором и организатором его постройки являлось Управление ВВС во главе с начальником ВВС РККА Я.И.Алкснисом. Расчеты предстоящих полетов в стратосферу и их научное обоснование велись в Военно-воздушной академии им. Жуковского под руководством начальника кафедры воздухоплавания В.А.Семенова.</w:t>
      </w:r>
    </w:p>
    <w:p w14:paraId="1227C21A"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Работу по созданию стратостата возглавил командир Отдельного воздухоплавательного дивизиона Г.А.Прокофьев. В проектировании и постройке принимали участие Отдел воздухоплавания ГК НИИ ВВС, кафедра воздухоплавания Военно-воздушной академии им. профессора Н.Е.Жуковского, Научно-исследовательский институт резиновой промышленности и другие организации.</w:t>
      </w:r>
    </w:p>
    <w:p w14:paraId="1A4E19F8"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Проектирование оболочки произвел начальник конструкторского отдела московского завода «Каучук» инженер К.Д.Годунов. Рабочее проектирование, разработку технологии, изготовление и предварительные испытания оболочки велись Научно-исследовательским институтом резиновой промышленности (НИИРП). Одновременно решались вопросы обеспечения прочности оболочки, покрытия внешней поверхности специальной краской на основе алюминиевой пудры для защиты от ультрафиолетового облучения и уменьшения нагрева газа. Когда опытные работы завершились, практическое изготовление оболочки перенесли на завод «Каучук». Особо отмечалось, что при значительном объеме удалось добиться ее незначительного веса – всего 950 кг. На неё пошло примерно 5000 погонных метров перкалевой материи производства Богородско-Глуховской мануфактуры, на которую нанесли тонкие слои специального резинового состава. Рецептуру и технологические процессы для изготовления ткани оболочки разработали сотрудники Научно-исследовательского института резиновой промышленности Е.Н.Кузина и Г.К.Левитина. Закончили изготовление оболочки в мае 1933 года. Объем оболочки стратостата «СССР-1» составил 24340 м3 (обычно это значение округляли и писали 25000 м3), при подъеме на расчетную высоту оболочка расширялась и принимала форму шара диаметром 36 м.</w:t>
      </w:r>
    </w:p>
    <w:p w14:paraId="4146ED40"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Гондола стратостата проектировалась с начала 1933 года в БОК под руководством В.А.Чижевского, при участии Н.Н.Каштанова, А.Я.Левина, И.И.Цебрикова и В.И.Лапинского. Построили ее на опытном производстве завода № 39 за 4 месяца. Так как всего заложили 4 практически одинаковых гондолы, то на этапе постройки стратостата его стали именовать «СССР-1». Гондола должна была удовлетворять следующим требованиям:</w:t>
      </w:r>
    </w:p>
    <w:p w14:paraId="590885E4"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-абсолютная герметичность;</w:t>
      </w:r>
    </w:p>
    <w:p w14:paraId="37056D45"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-достаточная прочность;</w:t>
      </w:r>
    </w:p>
    <w:p w14:paraId="663DCA0E"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-хорошая видимость во все стороны;</w:t>
      </w:r>
    </w:p>
    <w:p w14:paraId="6B7D5AB1"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-быстро открывающиеся входные люки;</w:t>
      </w:r>
    </w:p>
    <w:p w14:paraId="430D2FD0"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-размещение вне гондолы необходимого для спуска балласта и надежное устройство для его сбрасывания;</w:t>
      </w:r>
    </w:p>
    <w:p w14:paraId="6BF00D9C"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-амортизирующее посадочное устройство, предохраняющее гондолу от удара при посадке;</w:t>
      </w:r>
    </w:p>
    <w:p w14:paraId="73470BB6"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-защита от низкой температуры и солнечного нагрева;</w:t>
      </w:r>
    </w:p>
    <w:p w14:paraId="079930A5"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-удобное размещение приборов.</w:t>
      </w:r>
    </w:p>
    <w:p w14:paraId="1AEBD03B"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Трехместная гондола представляла собой сферу диаметром 2,3 м. Она состояла из 12 листов 2-мм дюралюминия, собранных при помощи 5 тысяч заклепок. Герметичность оболочки достигалась специальной промазкой клепаных швов. Силовой каркас гондолы выполнили из 8 вертикальных дюралевых труб, соединенных стальными узлами. Каркас воспринимал все усилия от веса экипажа, балласта и оборудования. Оболочка, выполненная с 12-кратным запасом прочности, воспринимала лишь нагрузку от разности давления. В верхней части каркас переходил в узлы крепления оболочки, в нижней части — в стойки посадочной амортизации. Сам амортизатор представлял классическую корзину из ивовых прутьев. При ударе о землю со скоростью 5-7 м/с амортизатор должен был сломаться, поглотив силу удара. Одновременно он выполнял роль подставки при стоянке гондолы на земле. Его размеры были достаточны, чтобы разместить внутри нее мешки с балластом. Теория и практика воздухоплавания установили, что начавшийся спуск аэростата с предельно достигнутой им высоты происходит со все возрастающей скоростью. Для того чтобы эта скорость не превысила допустимой величины, необходимо гасить ее сбрасыванием балласта. «СССР-1» мог брать для этого до 1 т балласта в виде мелкой свинцовой дроби в 40 мешках, подвешенных к кольцу гондолы внутри посадочного устройства.</w:t>
      </w:r>
    </w:p>
    <w:p w14:paraId="63A03A4D"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 центральной части гондолы имелся силовой обруч-экватор. На поверхности сферы оборудовали два больших лаза для входа и выхода экипажа, которые открывались в течение 5-6 секунд. Для кругового обзора и наблюдения прорезали 9 люков — иллюминаторов диаметром 100 мм. Установленные в иллюминаторах стекла толщиной 8 мм обработали специальным составом от запотевания и покрытия инеем.</w:t>
      </w:r>
    </w:p>
    <w:p w14:paraId="14E99822"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Оборудование стратостата включало:</w:t>
      </w:r>
    </w:p>
    <w:p w14:paraId="607E0300"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-высокоточный высотомер;</w:t>
      </w:r>
    </w:p>
    <w:p w14:paraId="5D460F1C"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-ртутный барометр;</w:t>
      </w:r>
    </w:p>
    <w:p w14:paraId="63BE8587"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-метеорографы для определения параметров воздуха (давление, влажность, температура);</w:t>
      </w:r>
    </w:p>
    <w:p w14:paraId="1F157C83"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-электротермометр;</w:t>
      </w:r>
    </w:p>
    <w:p w14:paraId="165679B8" w14:textId="77777777" w:rsidR="008757E0" w:rsidRPr="00E93F40" w:rsidRDefault="008757E0" w:rsidP="00E93F40">
      <w:pPr>
        <w:pStyle w:val="ae"/>
        <w:shd w:val="clear" w:color="auto" w:fill="FFFFFF"/>
        <w:spacing w:before="0" w:after="0"/>
        <w:jc w:val="both"/>
        <w:rPr>
          <w:color w:val="000000" w:themeColor="text1"/>
          <w:sz w:val="16"/>
          <w:szCs w:val="16"/>
        </w:rPr>
      </w:pPr>
      <w:r w:rsidRPr="00E93F40">
        <w:rPr>
          <w:color w:val="000000" w:themeColor="text1"/>
          <w:sz w:val="16"/>
          <w:szCs w:val="16"/>
        </w:rPr>
        <w:t>-приборы для определения интенсивности космического излучения.</w:t>
      </w:r>
    </w:p>
    <w:p w14:paraId="0E88504E" w14:textId="77777777" w:rsidR="008757E0" w:rsidRPr="00E93F40" w:rsidRDefault="008757E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Для проведения рекордного полета в стратосферу организовали специальный технический совет при УВВС РККА под председательством Начальника штаба ВВС РККА Хрипина. Приготовления к старту велись оперативно и уже в первых числах сентября 1933 года «СССР-1» подготовили к первому полету, после чего началось ожидание тихой погоды. Окончательная готовность определилась 26 сентября, в этот день все элементы стратостата проверили и взвесили.</w:t>
      </w:r>
    </w:p>
    <w:p w14:paraId="1E7D6641" w14:textId="77777777" w:rsidR="008757E0" w:rsidRPr="00E93F40" w:rsidRDefault="008757E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Основные весовые характеристики «СССР-1»:</w:t>
      </w:r>
    </w:p>
    <w:p w14:paraId="4BC87BA4" w14:textId="77777777" w:rsidR="008757E0" w:rsidRPr="00E93F40" w:rsidRDefault="008757E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Вес оболочки и подвесной системы, кг: 1191</w:t>
      </w:r>
    </w:p>
    <w:p w14:paraId="653C2CF9" w14:textId="77777777" w:rsidR="008757E0" w:rsidRPr="00E93F40" w:rsidRDefault="008757E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Вес гондолы и оборудования, кг: 730</w:t>
      </w:r>
    </w:p>
    <w:p w14:paraId="509649F6" w14:textId="77777777" w:rsidR="008757E0" w:rsidRPr="00E93F40" w:rsidRDefault="008757E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Внутренний балласт, кг: 360</w:t>
      </w:r>
    </w:p>
    <w:p w14:paraId="30A045B9" w14:textId="77777777" w:rsidR="008757E0" w:rsidRPr="00E93F40" w:rsidRDefault="008757E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Наружный балласт, кг: 420</w:t>
      </w:r>
    </w:p>
    <w:p w14:paraId="0F9F9E81" w14:textId="77777777" w:rsidR="008757E0" w:rsidRPr="00E93F40" w:rsidRDefault="008757E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Вес различного снаряжения, кг: 671</w:t>
      </w:r>
    </w:p>
    <w:p w14:paraId="79907B99" w14:textId="77777777" w:rsidR="008757E0" w:rsidRPr="00E93F40" w:rsidRDefault="008757E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Общий вес, кг: 3372</w:t>
      </w:r>
    </w:p>
    <w:p w14:paraId="36E29A63" w14:textId="77777777" w:rsidR="008757E0" w:rsidRPr="00E93F40" w:rsidRDefault="008757E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Экипаж стратостата состоял из трех человек: командир — Георгий Александрович Прокофьев (командир опытно-испытательного воздухоплавательного дивизиона, размещенного в Кунцево), пилот-радист и помощник командира Эрнст Карлович Бирнбаум (УВВС), пилот-инженер Константин Дмитриевич Годунов (конструктор НИИ ГВФ). Перед полетом все трое прошли длительную тренировку в специальной барокамере с пониженным атмосферным давлением (19614).</w:t>
      </w:r>
    </w:p>
    <w:p w14:paraId="2E49A0E8" w14:textId="77777777" w:rsidR="008757E0" w:rsidRPr="00E93F40" w:rsidRDefault="008757E0" w:rsidP="00E93F40">
      <w:pPr>
        <w:spacing w:after="0" w:line="240" w:lineRule="auto"/>
        <w:jc w:val="both"/>
        <w:rPr>
          <w:rFonts w:ascii="Times New Roman" w:hAnsi="Times New Roman"/>
          <w:color w:val="000000" w:themeColor="text1"/>
          <w:sz w:val="16"/>
          <w:szCs w:val="16"/>
        </w:rPr>
      </w:pPr>
    </w:p>
    <w:p w14:paraId="471F3840" w14:textId="77777777" w:rsidR="007C5C40" w:rsidRPr="00E93F40" w:rsidRDefault="007C5C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января 1932 г. в Мо</w:t>
      </w:r>
      <w:r w:rsidRPr="00E93F40">
        <w:rPr>
          <w:rFonts w:ascii="Times New Roman" w:hAnsi="Times New Roman"/>
          <w:color w:val="000000" w:themeColor="text1"/>
          <w:sz w:val="16"/>
          <w:szCs w:val="16"/>
        </w:rPr>
        <w:softHyphen/>
        <w:t>скве председатель Гидрометеорологического ко</w:t>
      </w:r>
      <w:r w:rsidRPr="00E93F40">
        <w:rPr>
          <w:rFonts w:ascii="Times New Roman" w:hAnsi="Times New Roman"/>
          <w:color w:val="000000" w:themeColor="text1"/>
          <w:sz w:val="16"/>
          <w:szCs w:val="16"/>
        </w:rPr>
        <w:softHyphen/>
        <w:t>митета РСФСР Н.Н. Сперанский созвал заседание по изучению стратосферы, на котором был за</w:t>
      </w:r>
      <w:r w:rsidRPr="00E93F40">
        <w:rPr>
          <w:rFonts w:ascii="Times New Roman" w:hAnsi="Times New Roman"/>
          <w:color w:val="000000" w:themeColor="text1"/>
          <w:sz w:val="16"/>
          <w:szCs w:val="16"/>
        </w:rPr>
        <w:softHyphen/>
        <w:t>слушан доклад метеоролога В.И. Виткевича о за</w:t>
      </w:r>
      <w:r w:rsidRPr="00E93F40">
        <w:rPr>
          <w:rFonts w:ascii="Times New Roman" w:hAnsi="Times New Roman"/>
          <w:color w:val="000000" w:themeColor="text1"/>
          <w:sz w:val="16"/>
          <w:szCs w:val="16"/>
        </w:rPr>
        <w:softHyphen/>
        <w:t>дачах изучения высоких слоёв атмосферы и обра</w:t>
      </w:r>
      <w:r w:rsidRPr="00E93F40">
        <w:rPr>
          <w:rFonts w:ascii="Times New Roman" w:hAnsi="Times New Roman"/>
          <w:color w:val="000000" w:themeColor="text1"/>
          <w:sz w:val="16"/>
          <w:szCs w:val="16"/>
        </w:rPr>
        <w:softHyphen/>
        <w:t>зована Комиссия под его председательством (20120).</w:t>
      </w:r>
    </w:p>
    <w:p w14:paraId="13BDC7D1" w14:textId="77777777" w:rsidR="007C5C40" w:rsidRPr="00E93F40" w:rsidRDefault="007C5C40" w:rsidP="00E93F40">
      <w:pPr>
        <w:spacing w:after="0" w:line="240" w:lineRule="auto"/>
        <w:jc w:val="both"/>
        <w:rPr>
          <w:rFonts w:ascii="Times New Roman" w:hAnsi="Times New Roman"/>
          <w:color w:val="000000" w:themeColor="text1"/>
          <w:sz w:val="16"/>
          <w:szCs w:val="16"/>
        </w:rPr>
      </w:pPr>
    </w:p>
    <w:p w14:paraId="59AEAF0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D7EB6E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13C9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января 1932 года Доровлев отправил в Артуправление рабочие чертежи 60-мм ротного миномета. Кстати, тогда он назывался не минометом, а 60-мм ротной мортирой, но к 1933 году в документации он уже постоянно именуется минометом. Миномет был создан по схеме мнимого треугольника, с системой воспламенения Стокса-Брандта. Ствол гладкий. Плита ввинчивалась в казенник, заканчивающийся шаровой пятой. Прямоугольная опорная плита размером 400 200 мм в проекте была представлена в двух вариантах. Станок имел подъемный и поворотный механизмы и пружинный амортизатор. Для переноски на людских вьюках миномет разбирался на три части: ствол (тело) весом около 7 кг, станок около 9 кг и опорную плиту около 4 кг. Артуправление утвердило рабочие чертежи миномета и заказало два опытных образца заводу "Красный Октябрь", причем к каждому миномету должно быть две плиты (1-го и 2-го вариантов) (3861).</w:t>
      </w:r>
    </w:p>
    <w:p w14:paraId="2BC13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31123E" w14:textId="77777777" w:rsidR="00981ECA" w:rsidRPr="00142305" w:rsidRDefault="00981ECA" w:rsidP="00981EC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19 января 1932 года Доровлев отпра</w:t>
      </w:r>
      <w:r w:rsidRPr="00142305">
        <w:rPr>
          <w:rStyle w:val="aff"/>
          <w:rFonts w:ascii="Times New Roman" w:hAnsi="Times New Roman" w:cs="Times New Roman"/>
          <w:color w:val="0070C0"/>
          <w:spacing w:val="0"/>
          <w:sz w:val="16"/>
          <w:szCs w:val="16"/>
        </w:rPr>
        <w:softHyphen/>
        <w:t>вил в Артуправление рабочие чертежи 60-мм ротного миномета. Кстати, тогда он назы</w:t>
      </w:r>
      <w:r w:rsidRPr="00142305">
        <w:rPr>
          <w:rStyle w:val="aff"/>
          <w:rFonts w:ascii="Times New Roman" w:hAnsi="Times New Roman" w:cs="Times New Roman"/>
          <w:color w:val="0070C0"/>
          <w:spacing w:val="0"/>
          <w:sz w:val="16"/>
          <w:szCs w:val="16"/>
        </w:rPr>
        <w:softHyphen/>
        <w:t>вался не минометом, а 60-мм ротной мортирой, но к 1933 году в документации он уже постоянно именуется минометом.</w:t>
      </w:r>
    </w:p>
    <w:p w14:paraId="7895BB66" w14:textId="77777777" w:rsidR="00981ECA" w:rsidRPr="00142305" w:rsidRDefault="00981ECA" w:rsidP="00981EC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Миномет был создан по схеме мнимого треугольника, с систе</w:t>
      </w:r>
      <w:r w:rsidRPr="00142305">
        <w:rPr>
          <w:rStyle w:val="aff"/>
          <w:rFonts w:ascii="Times New Roman" w:hAnsi="Times New Roman" w:cs="Times New Roman"/>
          <w:color w:val="0070C0"/>
          <w:spacing w:val="0"/>
          <w:sz w:val="16"/>
          <w:szCs w:val="16"/>
        </w:rPr>
        <w:softHyphen/>
        <w:t>мой воспламенения Стокса-Брандта. Ствол гладкий. Плита ввин</w:t>
      </w:r>
      <w:r w:rsidRPr="00142305">
        <w:rPr>
          <w:rStyle w:val="aff"/>
          <w:rFonts w:ascii="Times New Roman" w:hAnsi="Times New Roman" w:cs="Times New Roman"/>
          <w:color w:val="0070C0"/>
          <w:spacing w:val="0"/>
          <w:sz w:val="16"/>
          <w:szCs w:val="16"/>
        </w:rPr>
        <w:softHyphen/>
        <w:t>чивалась в казенник, заканчивающийся шаровой пятой. Прямо</w:t>
      </w:r>
      <w:r w:rsidRPr="00142305">
        <w:rPr>
          <w:rStyle w:val="aff"/>
          <w:rFonts w:ascii="Times New Roman" w:hAnsi="Times New Roman" w:cs="Times New Roman"/>
          <w:color w:val="0070C0"/>
          <w:spacing w:val="0"/>
          <w:sz w:val="16"/>
          <w:szCs w:val="16"/>
        </w:rPr>
        <w:softHyphen/>
        <w:t>угольная опорная плита размером 400</w:t>
      </w:r>
      <w:r w:rsidRPr="00142305">
        <w:rPr>
          <w:rStyle w:val="aff"/>
          <w:rFonts w:ascii="Times New Roman" w:hAnsi="Times New Roman" w:cs="Times New Roman"/>
          <w:color w:val="0070C0"/>
          <w:spacing w:val="0"/>
          <w:sz w:val="16"/>
          <w:szCs w:val="16"/>
          <w:lang w:val="en-US"/>
        </w:rPr>
        <w:t>x</w:t>
      </w:r>
      <w:r w:rsidRPr="00142305">
        <w:rPr>
          <w:rStyle w:val="aff"/>
          <w:rFonts w:ascii="Times New Roman" w:hAnsi="Times New Roman" w:cs="Times New Roman"/>
          <w:color w:val="0070C0"/>
          <w:spacing w:val="0"/>
          <w:sz w:val="16"/>
          <w:szCs w:val="16"/>
        </w:rPr>
        <w:t>200 мм в проекте была представлена в двух вариантах. Станок имел подъемный и пово</w:t>
      </w:r>
      <w:r w:rsidRPr="00142305">
        <w:rPr>
          <w:rStyle w:val="aff"/>
          <w:rFonts w:ascii="Times New Roman" w:hAnsi="Times New Roman" w:cs="Times New Roman"/>
          <w:color w:val="0070C0"/>
          <w:spacing w:val="0"/>
          <w:sz w:val="16"/>
          <w:szCs w:val="16"/>
        </w:rPr>
        <w:softHyphen/>
        <w:t>ротный механизмы и пружинный амортизатор. Для переноски в людских вьюках миномет разбирался на три части: ствол (тело) весом около 7 кг, станок около 9 кг и опорную плиту около 4 кг.</w:t>
      </w:r>
    </w:p>
    <w:p w14:paraId="234320F5" w14:textId="77777777" w:rsidR="00981ECA" w:rsidRPr="00142305" w:rsidRDefault="00981ECA" w:rsidP="00981EC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Артуправление РККА утвердило рабочие чертежи миномета и заказало два опытных образца заводу «Красный Октябрь», при</w:t>
      </w:r>
      <w:r w:rsidRPr="00142305">
        <w:rPr>
          <w:rStyle w:val="aff"/>
          <w:rFonts w:ascii="Times New Roman" w:hAnsi="Times New Roman" w:cs="Times New Roman"/>
          <w:color w:val="0070C0"/>
          <w:spacing w:val="0"/>
          <w:sz w:val="16"/>
          <w:szCs w:val="16"/>
        </w:rPr>
        <w:softHyphen/>
        <w:t>чем к каждому миномету должно было быть по две плиты (1-го и 2-го вариантов).</w:t>
      </w:r>
    </w:p>
    <w:p w14:paraId="615415DE" w14:textId="77777777" w:rsidR="00981ECA" w:rsidRPr="00142305" w:rsidRDefault="00981ECA" w:rsidP="00981EC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том же 1932 году 60-мм ротные минометы были испытаны, но на вооружение не приняты из-за плохой кучности стрельбы.</w:t>
      </w:r>
    </w:p>
    <w:p w14:paraId="71D7CEB2" w14:textId="77777777" w:rsidR="00981ECA" w:rsidRPr="00142305" w:rsidRDefault="00981ECA" w:rsidP="00981EC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Тем не менее от 60-мм минометов группа Д не отказалась. В 1936 году заводом № 7 были изготовлены опытные образцы но</w:t>
      </w:r>
      <w:r w:rsidRPr="00142305">
        <w:rPr>
          <w:rStyle w:val="aff"/>
          <w:rFonts w:ascii="Times New Roman" w:hAnsi="Times New Roman" w:cs="Times New Roman"/>
          <w:color w:val="0070C0"/>
          <w:spacing w:val="0"/>
          <w:sz w:val="16"/>
          <w:szCs w:val="16"/>
        </w:rPr>
        <w:softHyphen/>
        <w:t>вого 60-мм ротного миномета 60-РМ. Вес миномета 22,1 кг, вес ми</w:t>
      </w:r>
      <w:r w:rsidRPr="00142305">
        <w:rPr>
          <w:rStyle w:val="aff"/>
          <w:rFonts w:ascii="Times New Roman" w:hAnsi="Times New Roman" w:cs="Times New Roman"/>
          <w:color w:val="0070C0"/>
          <w:spacing w:val="0"/>
          <w:sz w:val="16"/>
          <w:szCs w:val="16"/>
        </w:rPr>
        <w:softHyphen/>
        <w:t>ны 1,6 кг. Вес взрывчатого вещества 0,13 кг. Дальность стрельбы 1845 м. Для хвостовых патронов заводом № 58 была разработана специальная гильза калибра № 24. Летом-осенью 1936 года мино</w:t>
      </w:r>
      <w:r w:rsidRPr="00142305">
        <w:rPr>
          <w:rStyle w:val="aff"/>
          <w:rFonts w:ascii="Times New Roman" w:hAnsi="Times New Roman" w:cs="Times New Roman"/>
          <w:color w:val="0070C0"/>
          <w:spacing w:val="0"/>
          <w:sz w:val="16"/>
          <w:szCs w:val="16"/>
        </w:rPr>
        <w:softHyphen/>
        <w:t>мет прошел полигонные испытания на НИАПе. Начальная ско</w:t>
      </w:r>
      <w:r w:rsidRPr="00142305">
        <w:rPr>
          <w:rStyle w:val="aff"/>
          <w:rFonts w:ascii="Times New Roman" w:hAnsi="Times New Roman" w:cs="Times New Roman"/>
          <w:color w:val="0070C0"/>
          <w:spacing w:val="0"/>
          <w:sz w:val="16"/>
          <w:szCs w:val="16"/>
        </w:rPr>
        <w:softHyphen/>
        <w:t>рость мины весом 1,7 кг с взрывателем М-1 составила при заряде: 4 г— 65 м/с, 8 г— 95 м/с, 12 г— 125 м/с и 16 г— 140 м/с. Испыта</w:t>
      </w:r>
      <w:r w:rsidRPr="00142305">
        <w:rPr>
          <w:rStyle w:val="aff"/>
          <w:rFonts w:ascii="Times New Roman" w:hAnsi="Times New Roman" w:cs="Times New Roman"/>
          <w:color w:val="0070C0"/>
          <w:spacing w:val="0"/>
          <w:sz w:val="16"/>
          <w:szCs w:val="16"/>
        </w:rPr>
        <w:softHyphen/>
        <w:t>ний миномет не выдержал из-за плохой устойчивости, неудовле</w:t>
      </w:r>
      <w:r w:rsidRPr="00142305">
        <w:rPr>
          <w:rStyle w:val="aff"/>
          <w:rFonts w:ascii="Times New Roman" w:hAnsi="Times New Roman" w:cs="Times New Roman"/>
          <w:color w:val="0070C0"/>
          <w:spacing w:val="0"/>
          <w:sz w:val="16"/>
          <w:szCs w:val="16"/>
        </w:rPr>
        <w:softHyphen/>
        <w:t>творительной меткости и непрочности амортизатора.</w:t>
      </w:r>
    </w:p>
    <w:p w14:paraId="7F2175D3" w14:textId="77777777" w:rsidR="00981ECA" w:rsidRPr="00142305" w:rsidRDefault="00981ECA" w:rsidP="00981EC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Завод № 7 переработал миномет, а заодно присвоил ему свой индекс — РМ-7 (25439).</w:t>
      </w:r>
    </w:p>
    <w:p w14:paraId="41B226E6" w14:textId="77777777" w:rsidR="00981ECA" w:rsidRPr="00142305" w:rsidRDefault="00981ECA" w:rsidP="00981ECA">
      <w:pPr>
        <w:spacing w:after="0" w:line="240" w:lineRule="auto"/>
        <w:jc w:val="both"/>
        <w:rPr>
          <w:rFonts w:ascii="Times New Roman" w:hAnsi="Times New Roman"/>
          <w:color w:val="0070C0"/>
          <w:sz w:val="16"/>
          <w:szCs w:val="16"/>
        </w:rPr>
      </w:pPr>
    </w:p>
    <w:p w14:paraId="7167D6F0" w14:textId="77777777" w:rsidR="007C5C40" w:rsidRPr="00E93F40" w:rsidRDefault="007C5C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января 1932 г. в развитие тематики создания легких систем сопровождения пехоты группой «Д» были направлены в II секцию НТК АУ рабочие чертежи 60-мм ротного миномета (в документах 60-мм и 82-мм системы также фигурируют как мортиры), который предназначался в качестве орудия непосредственной огневой поддержки пехоты в составе подразделений от отделения до роты для поражения живых целей за укрытиями и разрушения легких сооружений. Общий вес 60-мм ротного миномета составлял около 20 кг, система обеспечивала дальность стрельбы до 1 200 м чугунными минами весом 1,3 кг. Миномет был разборным и состоял из тела орудия (гладкой трубы), станка и опорной плиты (было предложено 2 варианта).190 Проект 60-мм ротного миномета был рассмотрен в марте 1932 г., заказ на изготовление двух опытных образцов минометов и опорных плит к ним (в 2 вариантах) в срок до 1 апреля 1932 г. был дан харьковскому заводу «Красный Октябрь» (Журнал НТК АУ РККА №95с от 20 марта 1932 г.).191 Чертежи осколочно-химических мин к 60-мм и 82-мм минометам для заказа опытной партии по 50 шт. каждого вида Н. А. Доровлевым были направлены в НТК АУ в середине февраля 1932 г.192 (20074).</w:t>
      </w:r>
    </w:p>
    <w:p w14:paraId="37ADB9A9" w14:textId="77777777" w:rsidR="007C5C40" w:rsidRPr="00E93F40" w:rsidRDefault="007C5C40" w:rsidP="00E93F40">
      <w:pPr>
        <w:spacing w:after="0" w:line="240" w:lineRule="auto"/>
        <w:jc w:val="both"/>
        <w:rPr>
          <w:rFonts w:ascii="Times New Roman" w:hAnsi="Times New Roman"/>
          <w:color w:val="000000" w:themeColor="text1"/>
          <w:sz w:val="16"/>
          <w:szCs w:val="16"/>
        </w:rPr>
      </w:pPr>
    </w:p>
    <w:p w14:paraId="2D92E5D7" w14:textId="77777777" w:rsidR="00072FD9" w:rsidRPr="00E93F40" w:rsidRDefault="00072FD9"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января 1932 года рабочие чертежи 60-мм ротного миномета Доровлев отправил в Артуправление. Кстати, тогда он назывался не минометом, а 60-мм ротной мортирой, но к 1933 году в документации он уже постоянно именуется минометом. Артуправление РККА утвердило рабочие чертежи миномета и заказало два опытных образца заводу «Красный Октябрь», причем к каждому миномету должно было быть по две плиты (1-го и 2-го вариантов).</w:t>
      </w:r>
    </w:p>
    <w:p w14:paraId="77883382" w14:textId="77777777" w:rsidR="00072FD9" w:rsidRPr="00E93F40" w:rsidRDefault="00072FD9"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же 1932 году 60-мм ротные минометы были испытаны, но на вооружение не были приняты из-за плохой кучности стрельбы (15218).</w:t>
      </w:r>
    </w:p>
    <w:p w14:paraId="3F2CEA3A" w14:textId="77777777" w:rsidR="00072FD9" w:rsidRPr="00E93F40" w:rsidRDefault="00072FD9" w:rsidP="00E93F40">
      <w:pPr>
        <w:widowControl w:val="0"/>
        <w:spacing w:after="0" w:line="240" w:lineRule="auto"/>
        <w:jc w:val="both"/>
        <w:rPr>
          <w:rFonts w:ascii="Times New Roman" w:hAnsi="Times New Roman"/>
          <w:color w:val="000000" w:themeColor="text1"/>
          <w:sz w:val="16"/>
          <w:szCs w:val="16"/>
        </w:rPr>
      </w:pPr>
    </w:p>
    <w:p w14:paraId="392291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января 1932 И.Д.Павлуновский представил производственные план, предусматривающий в 1932 выпуск 10000 танков. КО руководствоваласть во время своих регулярных заседаний в феврале. В марте вновь подтвердили цифру - 2000 Кристи (9089,155).</w:t>
      </w:r>
    </w:p>
    <w:p w14:paraId="7E3110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550641" w14:textId="77777777" w:rsidR="004913A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47DDD064" w14:textId="77777777" w:rsidR="004913A9" w:rsidRPr="00E93F40" w:rsidRDefault="004913A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39071EF" w14:textId="77777777" w:rsidR="004913A9" w:rsidRPr="00E93F40" w:rsidRDefault="004913A9"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19 января 1932 г.Финляндия и СССР подписали договор о ненападении и мирном улаживании конфликтов. Срок договора – 3 года (17325).</w:t>
      </w:r>
    </w:p>
    <w:p w14:paraId="776F9CFC" w14:textId="77777777" w:rsidR="004913A9" w:rsidRPr="00E93F40" w:rsidRDefault="004913A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FE67479" w14:textId="77777777" w:rsidR="00072FD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70F026D" w14:textId="77777777" w:rsidR="00072FD9" w:rsidRPr="00E93F40" w:rsidRDefault="00072FD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5DCD97A" w14:textId="77777777" w:rsidR="00072FD9" w:rsidRPr="00E93F40" w:rsidRDefault="00072F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19 января</w:t>
      </w:r>
      <w:r w:rsidRPr="00E93F40">
        <w:rPr>
          <w:rFonts w:ascii="Times New Roman" w:hAnsi="Times New Roman"/>
          <w:color w:val="000000" w:themeColor="text1"/>
          <w:sz w:val="16"/>
          <w:szCs w:val="16"/>
        </w:rPr>
        <w:t xml:space="preserve"> в 1932 году первый полёт учебно-тренировочного самолета «ДАР-6» (компания ДАР, Болгария) (15014).</w:t>
      </w:r>
    </w:p>
    <w:p w14:paraId="748FFAE7" w14:textId="77777777" w:rsidR="00072FD9" w:rsidRPr="00E93F40" w:rsidRDefault="00072FD9" w:rsidP="00E93F40">
      <w:pPr>
        <w:spacing w:after="0" w:line="240" w:lineRule="auto"/>
        <w:jc w:val="both"/>
        <w:rPr>
          <w:rFonts w:ascii="Times New Roman" w:hAnsi="Times New Roman"/>
          <w:color w:val="000000" w:themeColor="text1"/>
          <w:sz w:val="16"/>
          <w:szCs w:val="16"/>
        </w:rPr>
      </w:pPr>
    </w:p>
    <w:p w14:paraId="399391E4" w14:textId="346C7356" w:rsidR="007C5C40" w:rsidRPr="00E93F40" w:rsidRDefault="007C5C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полёт учебно-тренировочного самолета ДАР-6 (компания ДАР, Болгария), - учебного биплана для начальной подготовки пилотов, для тренировок и фигурного пилотажа (22653).</w:t>
      </w:r>
    </w:p>
    <w:p w14:paraId="6D5098F0" w14:textId="77777777" w:rsidR="007C5C40" w:rsidRPr="00E93F40" w:rsidRDefault="007C5C40" w:rsidP="00E93F40">
      <w:pPr>
        <w:spacing w:after="0" w:line="240" w:lineRule="auto"/>
        <w:jc w:val="both"/>
        <w:rPr>
          <w:rFonts w:ascii="Times New Roman" w:hAnsi="Times New Roman"/>
          <w:color w:val="000000" w:themeColor="text1"/>
          <w:sz w:val="16"/>
          <w:szCs w:val="16"/>
        </w:rPr>
      </w:pPr>
    </w:p>
    <w:p w14:paraId="52996B1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2AE8F9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C7C1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января 1932 года зам. начальника ВВС Наумов писал письмо N 36/024с зам. председателя РВС.</w:t>
      </w:r>
    </w:p>
    <w:p w14:paraId="5358A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парашютов спасательных и транспортных возложено на специально для этой цели организованную фабрику, находящуюся в ведении Московского кооператива Союза швейной промышленности (Мосшвейсоюз) состоящего в системе текстильного объединения Всекопромсоюза. (3045,23-24).</w:t>
      </w:r>
    </w:p>
    <w:p w14:paraId="0AFCF3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F784EE" w14:textId="77777777" w:rsidR="007C5C40" w:rsidRPr="00E93F40" w:rsidRDefault="007C5C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января 1932 года приказом ВВС РККА № 13 было определено обозначение типов парашютов, выпускаемых парашютной фабрикой. Так, парашют летчика обозначался ПЛ-1 (парашют-подушка для сидения). Парашют для летчиков-наблюдателей маркировался как ПН-1 (нагрудный парашют). Отдельно изготавливался тренировочный парашют – ПТ-1, который состоял из главного (наспинного) парашюта и запасного (нагрудного). Для воздухоплавателей и планеристов изготавливался парашют ПВ-1. В случае выпуска парашюта иного назначения им присваивалось обозначение, состоящее из буквы «П», и буквы, характеризующей его назначение: например, ПД – десантный с порядковым номером. Грузовым парашютам присваивалось обозначение ПГ с порядковым номером. В дальнейшем выпуск новых парашютов того же назначения обозначался следующим порядковым номером. Эти обозначения давал НИИ ВВС РККА парашютам, принимаемым на снабжение ВВС, по окончании государственных испытаний (РГВА. Ф. 29. Оп. 35. Д. 10. Л. 55.) (21402)</w:t>
      </w:r>
    </w:p>
    <w:p w14:paraId="2EB372C2" w14:textId="77777777" w:rsidR="007C5C40" w:rsidRPr="00E93F40" w:rsidRDefault="007C5C40" w:rsidP="00E93F40">
      <w:pPr>
        <w:spacing w:after="0" w:line="240" w:lineRule="auto"/>
        <w:jc w:val="both"/>
        <w:rPr>
          <w:rFonts w:ascii="Times New Roman" w:hAnsi="Times New Roman"/>
          <w:color w:val="000000" w:themeColor="text1"/>
          <w:sz w:val="16"/>
          <w:szCs w:val="16"/>
        </w:rPr>
      </w:pPr>
    </w:p>
    <w:p w14:paraId="7F0B9CC9" w14:textId="77777777" w:rsidR="00327CAE" w:rsidRPr="00E93F40" w:rsidRDefault="00327CA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января 1932 года на совещании, проходившим под председательством зам. начальника УВВС С.А. Меженинова и по</w:t>
      </w:r>
      <w:r w:rsidRPr="00E93F40">
        <w:rPr>
          <w:rFonts w:ascii="Times New Roman" w:hAnsi="Times New Roman"/>
          <w:color w:val="000000" w:themeColor="text1"/>
          <w:sz w:val="16"/>
          <w:szCs w:val="16"/>
        </w:rPr>
        <w:softHyphen/>
        <w:t>священном рассмотрению хода работ СОК ЭОА ЦАГИ, Александр Михайлович Изаксон придержи</w:t>
      </w:r>
      <w:r w:rsidRPr="00E93F40">
        <w:rPr>
          <w:rFonts w:ascii="Times New Roman" w:hAnsi="Times New Roman"/>
          <w:color w:val="000000" w:themeColor="text1"/>
          <w:sz w:val="16"/>
          <w:szCs w:val="16"/>
        </w:rPr>
        <w:softHyphen/>
        <w:t>вался, мягко говоря, иного мнения, называя плохую погоду - облачную и ветреную, глав</w:t>
      </w:r>
      <w:r w:rsidRPr="00E93F40">
        <w:rPr>
          <w:rFonts w:ascii="Times New Roman" w:hAnsi="Times New Roman"/>
          <w:color w:val="000000" w:themeColor="text1"/>
          <w:sz w:val="16"/>
          <w:szCs w:val="16"/>
        </w:rPr>
        <w:softHyphen/>
        <w:t>ной проблемой для продолжения испытаний, а наиболее серьезным летным происшестви</w:t>
      </w:r>
      <w:r w:rsidRPr="00E93F40">
        <w:rPr>
          <w:rFonts w:ascii="Times New Roman" w:hAnsi="Times New Roman"/>
          <w:color w:val="000000" w:themeColor="text1"/>
          <w:sz w:val="16"/>
          <w:szCs w:val="16"/>
        </w:rPr>
        <w:softHyphen/>
        <w:t>ем первого этапа испытаний - отказ мотора во втором полете. То ли просто не хотел им</w:t>
      </w:r>
      <w:r w:rsidRPr="00E93F40">
        <w:rPr>
          <w:rFonts w:ascii="Times New Roman" w:hAnsi="Times New Roman"/>
          <w:color w:val="000000" w:themeColor="text1"/>
          <w:sz w:val="16"/>
          <w:szCs w:val="16"/>
        </w:rPr>
        <w:softHyphen/>
        <w:t>портный двигатель на краснодарском бензи</w:t>
      </w:r>
      <w:r w:rsidRPr="00E93F40">
        <w:rPr>
          <w:rFonts w:ascii="Times New Roman" w:hAnsi="Times New Roman"/>
          <w:color w:val="000000" w:themeColor="text1"/>
          <w:sz w:val="16"/>
          <w:szCs w:val="16"/>
        </w:rPr>
        <w:softHyphen/>
        <w:t>не работать, то ли карбюратор засорился. Отказ произошел на высоте 130 метров над аэродромом, и С.А. Корзинщиков сумел со</w:t>
      </w:r>
      <w:r w:rsidRPr="00E93F40">
        <w:rPr>
          <w:rFonts w:ascii="Times New Roman" w:hAnsi="Times New Roman"/>
          <w:color w:val="000000" w:themeColor="text1"/>
          <w:sz w:val="16"/>
          <w:szCs w:val="16"/>
        </w:rPr>
        <w:softHyphen/>
        <w:t>вершить удачный спуск.</w:t>
      </w:r>
    </w:p>
    <w:p w14:paraId="7B8AD14A" w14:textId="77777777" w:rsidR="00327CAE" w:rsidRPr="00E93F40" w:rsidRDefault="00327CA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Изаксону в своем докладе вторил Алексей Михайлович Черемухин. Он докладывал, что к моменту проведения совещания было выпол</w:t>
      </w:r>
      <w:r w:rsidRPr="00E93F40">
        <w:rPr>
          <w:rFonts w:ascii="Times New Roman" w:hAnsi="Times New Roman"/>
          <w:color w:val="000000" w:themeColor="text1"/>
          <w:sz w:val="16"/>
          <w:szCs w:val="16"/>
        </w:rPr>
        <w:softHyphen/>
        <w:t>нено 11 полетов с общим налетом 1 час 10 минут. Максимальная высота, достигнутая в этих полетах, составила всего 500 метров, ле</w:t>
      </w:r>
      <w:r w:rsidRPr="00E93F40">
        <w:rPr>
          <w:rFonts w:ascii="Times New Roman" w:hAnsi="Times New Roman"/>
          <w:color w:val="000000" w:themeColor="text1"/>
          <w:sz w:val="16"/>
          <w:szCs w:val="16"/>
        </w:rPr>
        <w:softHyphen/>
        <w:t>тали не на полном газу, низкая облачность мешала подняться выше. Максимальная ско</w:t>
      </w:r>
      <w:r w:rsidRPr="00E93F40">
        <w:rPr>
          <w:rFonts w:ascii="Times New Roman" w:hAnsi="Times New Roman"/>
          <w:color w:val="000000" w:themeColor="text1"/>
          <w:sz w:val="16"/>
          <w:szCs w:val="16"/>
        </w:rPr>
        <w:softHyphen/>
        <w:t>рость на этой высоте составила 150 км/ч. Предварительное определение минимальной скорости без снижения дало около 45-50 км/ч, после чего указатель скорости переста</w:t>
      </w:r>
      <w:r w:rsidRPr="00E93F40">
        <w:rPr>
          <w:rFonts w:ascii="Times New Roman" w:hAnsi="Times New Roman"/>
          <w:color w:val="000000" w:themeColor="text1"/>
          <w:sz w:val="16"/>
          <w:szCs w:val="16"/>
        </w:rPr>
        <w:softHyphen/>
        <w:t>вал работать, а автожир еще летел без сниже</w:t>
      </w:r>
      <w:r w:rsidRPr="00E93F40">
        <w:rPr>
          <w:rFonts w:ascii="Times New Roman" w:hAnsi="Times New Roman"/>
          <w:color w:val="000000" w:themeColor="text1"/>
          <w:sz w:val="16"/>
          <w:szCs w:val="16"/>
        </w:rPr>
        <w:softHyphen/>
        <w:t>ния. Разбег при взлете составлял 15-30 мет</w:t>
      </w:r>
      <w:r w:rsidRPr="00E93F40">
        <w:rPr>
          <w:rFonts w:ascii="Times New Roman" w:hAnsi="Times New Roman"/>
          <w:color w:val="000000" w:themeColor="text1"/>
          <w:sz w:val="16"/>
          <w:szCs w:val="16"/>
        </w:rPr>
        <w:softHyphen/>
        <w:t>ров и занимал 4-10 секунд. Пробег был мини</w:t>
      </w:r>
      <w:r w:rsidRPr="00E93F40">
        <w:rPr>
          <w:rFonts w:ascii="Times New Roman" w:hAnsi="Times New Roman"/>
          <w:color w:val="000000" w:themeColor="text1"/>
          <w:sz w:val="16"/>
          <w:szCs w:val="16"/>
        </w:rPr>
        <w:softHyphen/>
        <w:t>мальным. Машина вела себя в воздухе удов</w:t>
      </w:r>
      <w:r w:rsidRPr="00E93F40">
        <w:rPr>
          <w:rFonts w:ascii="Times New Roman" w:hAnsi="Times New Roman"/>
          <w:color w:val="000000" w:themeColor="text1"/>
          <w:sz w:val="16"/>
          <w:szCs w:val="16"/>
        </w:rPr>
        <w:softHyphen/>
        <w:t>летворительно. Кроме плохих погодных условий в качестве основных причин затяги</w:t>
      </w:r>
      <w:r w:rsidRPr="00E93F40">
        <w:rPr>
          <w:rFonts w:ascii="Times New Roman" w:hAnsi="Times New Roman"/>
          <w:color w:val="000000" w:themeColor="text1"/>
          <w:sz w:val="16"/>
          <w:szCs w:val="16"/>
        </w:rPr>
        <w:softHyphen/>
        <w:t>вания испытаний Алексей Михайлович ука</w:t>
      </w:r>
      <w:r w:rsidRPr="00E93F40">
        <w:rPr>
          <w:rFonts w:ascii="Times New Roman" w:hAnsi="Times New Roman"/>
          <w:color w:val="000000" w:themeColor="text1"/>
          <w:sz w:val="16"/>
          <w:szCs w:val="16"/>
        </w:rPr>
        <w:softHyphen/>
        <w:t>зал работы по утеплению мотора, наладке и регулировке карбюратора, замене втулок ро</w:t>
      </w:r>
      <w:r w:rsidRPr="00E93F40">
        <w:rPr>
          <w:rFonts w:ascii="Times New Roman" w:hAnsi="Times New Roman"/>
          <w:color w:val="000000" w:themeColor="text1"/>
          <w:sz w:val="16"/>
          <w:szCs w:val="16"/>
        </w:rPr>
        <w:softHyphen/>
        <w:t>тора и ряд мелких неполадок и доработок, по</w:t>
      </w:r>
      <w:r w:rsidRPr="00E93F40">
        <w:rPr>
          <w:rFonts w:ascii="Times New Roman" w:hAnsi="Times New Roman"/>
          <w:color w:val="000000" w:themeColor="text1"/>
          <w:sz w:val="16"/>
          <w:szCs w:val="16"/>
        </w:rPr>
        <w:softHyphen/>
        <w:t>требовавшихся по ходу дела.</w:t>
      </w:r>
    </w:p>
    <w:p w14:paraId="178BF0E8" w14:textId="77777777" w:rsidR="00327CAE" w:rsidRPr="00E93F40" w:rsidRDefault="00327CA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втором этапе испытаний инженеры СОК планировали накопить массив фактических параметров автожира, достаточный для объективной оценки соответствия аэродина</w:t>
      </w:r>
      <w:r w:rsidRPr="00E93F40">
        <w:rPr>
          <w:rFonts w:ascii="Times New Roman" w:hAnsi="Times New Roman"/>
          <w:color w:val="000000" w:themeColor="text1"/>
          <w:sz w:val="16"/>
          <w:szCs w:val="16"/>
        </w:rPr>
        <w:softHyphen/>
        <w:t>мических расчетов практическим результа</w:t>
      </w:r>
      <w:r w:rsidRPr="00E93F40">
        <w:rPr>
          <w:rFonts w:ascii="Times New Roman" w:hAnsi="Times New Roman"/>
          <w:color w:val="000000" w:themeColor="text1"/>
          <w:sz w:val="16"/>
          <w:szCs w:val="16"/>
        </w:rPr>
        <w:softHyphen/>
        <w:t>там. Вот тут и проявились «неизвестные ранее моменты» (23518).</w:t>
      </w:r>
    </w:p>
    <w:p w14:paraId="6EA5B2D8" w14:textId="77777777" w:rsidR="00327CAE" w:rsidRPr="00E93F40" w:rsidRDefault="00327CAE" w:rsidP="00E93F40">
      <w:pPr>
        <w:spacing w:after="0" w:line="240" w:lineRule="auto"/>
        <w:jc w:val="both"/>
        <w:rPr>
          <w:rFonts w:ascii="Times New Roman" w:hAnsi="Times New Roman"/>
          <w:color w:val="000000" w:themeColor="text1"/>
          <w:sz w:val="16"/>
          <w:szCs w:val="16"/>
        </w:rPr>
      </w:pPr>
    </w:p>
    <w:p w14:paraId="250E02F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594E0E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85AF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января 1932 года вышел новый приказ директора, в котором отмечалось, что согласно постановлению ВСНХ №7 от 5 января 1932 года Полиметаллический комбинат бывшей концессии «Тетюхе» будет именоваться «Сихотэ-Алинский полиметаллический комбинат им. Молотова». А приказ директора от 16 марта 1932 года гласил: «Распоряжением Центра, сообщенном по телеграфу б. Рудник «Рудник Тетюхэ» переименовывается в «Сихотэ-Алинский полиметаллический комбинат Главцветметзолото, сокращенно - «Сихали» (11498).</w:t>
      </w:r>
    </w:p>
    <w:p w14:paraId="329B4B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AAF7F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BF7692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895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января 1932 Л.Д.Т., проживающий в Норвегии, был лишен советского гражданства (3263,90).</w:t>
      </w:r>
    </w:p>
    <w:p w14:paraId="59B14CB7" w14:textId="37B3AF1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50FEF8" w14:textId="6F54B9AE" w:rsidR="007C5C40" w:rsidRPr="00E93F40" w:rsidRDefault="007C5C40"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4A0916C6" w14:textId="77777777" w:rsidR="007C5C40" w:rsidRPr="00E93F40" w:rsidRDefault="007C5C40"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49A18937" w14:textId="77777777" w:rsidR="007C5C40" w:rsidRPr="00E93F40" w:rsidRDefault="007C5C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января 1932 еженедельная услуга авиапочты Imperial Airways расширена через Африку до Кейптауна (20803).</w:t>
      </w:r>
    </w:p>
    <w:p w14:paraId="5519CC56" w14:textId="77777777" w:rsidR="007C5C40" w:rsidRPr="00E93F40" w:rsidRDefault="007C5C40" w:rsidP="00E93F40">
      <w:pPr>
        <w:spacing w:after="0" w:line="240" w:lineRule="auto"/>
        <w:jc w:val="both"/>
        <w:rPr>
          <w:rFonts w:ascii="Times New Roman" w:hAnsi="Times New Roman"/>
          <w:color w:val="000000" w:themeColor="text1"/>
          <w:sz w:val="16"/>
          <w:szCs w:val="16"/>
        </w:rPr>
      </w:pPr>
    </w:p>
    <w:p w14:paraId="144C1CE3" w14:textId="77777777" w:rsidR="00CF6E96" w:rsidRPr="00E93F40" w:rsidRDefault="00CF6E9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6FCFDCB" w14:textId="77777777" w:rsidR="00CF6E96" w:rsidRPr="00E93F40" w:rsidRDefault="00CF6E9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50F97D" w14:textId="464099E8" w:rsidR="00CF6E96" w:rsidRPr="00E93F40" w:rsidRDefault="00CF6E9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первые недели 1932 г. в КБ Калинина был закончен технический проект К-7 и начался выпуск рабочей КД. Тогда же во дворе завода началось строительство деревянного полноразмерного отработочного макета пассажирского варианта самолета.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Статические прочностные испытания выполнялись по отдельным узлам (23097).</w:t>
      </w:r>
    </w:p>
    <w:p w14:paraId="197FD68D" w14:textId="77777777" w:rsidR="00CF6E96" w:rsidRPr="00E93F40" w:rsidRDefault="00CF6E96" w:rsidP="00E93F40">
      <w:pPr>
        <w:spacing w:after="0" w:line="240" w:lineRule="auto"/>
        <w:jc w:val="both"/>
        <w:rPr>
          <w:rFonts w:ascii="Times New Roman" w:hAnsi="Times New Roman"/>
          <w:color w:val="000000" w:themeColor="text1"/>
          <w:sz w:val="16"/>
          <w:szCs w:val="16"/>
        </w:rPr>
      </w:pPr>
    </w:p>
    <w:p w14:paraId="411F9552"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первые недели 1932 г. был закончен технический проект К-7 К.А.К. в четвертой, окончательной редакции и начался выпуск рабочей КД. Тогда же во дворе завода началось строительство деревянного полноразмерного отработочного макета пассажирского варианта самолета.</w:t>
      </w:r>
    </w:p>
    <w:p w14:paraId="73B04347"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проект тяжелого бомбардировщика, транспортно-десантного и большого пассажирского самолета (гражданский и военный варианты делались параллельно) при детальной проработке были внесены дальнейшие изменения – ее особенности приведены ниже.</w:t>
      </w:r>
    </w:p>
    <w:p w14:paraId="4C11E87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Компоновка, применяемые материалы и технологии:</w:t>
      </w:r>
    </w:p>
    <w:p w14:paraId="6610DA4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аэродинамическая схема классическая, но компоновка двухбалочная с размещением основных полезных объемов в крыле, а относительная площадь ГО сравнительно невелика;</w:t>
      </w:r>
    </w:p>
    <w:p w14:paraId="2F91B71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КСС всех лонжеронов, нервюр, центральной гондолы, гондол шасси, их крепления, хвостовых балок и моторных рам ферменная;</w:t>
      </w:r>
    </w:p>
    <w:p w14:paraId="0429F88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конструкции ферменных частей каркаса впервые в СССР широко применены трубы из хромо-молибденовой стали 40ХМА (с закалкой до повышенной твердости), расчет каркаса со сравнением с вариантом из стали 30ХГСА (меньшей прочности, но улучшенной обрабатываемости) выполнялся под руководством проф. Е.С. Балинского, окончательно был принят каркас из труб стали 40ХМА, производство которой было освоено Днепропетровским трубопрокатным заводом им. Ленина в 1931 г.;</w:t>
      </w:r>
    </w:p>
    <w:p w14:paraId="592F05B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полуфабрикаты каркасных деталей – трубы и гнутые профили;</w:t>
      </w:r>
    </w:p>
    <w:p w14:paraId="7BFC092F"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все окна – целлулоид в каркасе из алюминиевых профилей с резиновыми уплотнителями;</w:t>
      </w:r>
    </w:p>
    <w:p w14:paraId="0EF9550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основной вид соединения стальных деталей каркаса – сварка (ее отработка велась под руководством начальника отдела термообработки завода №135 В.И. Данилевича), дюралевых – клепка;</w:t>
      </w:r>
    </w:p>
    <w:p w14:paraId="0E3E9D7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обшивка в основном полотняная (перкаль на аэролаке) за исключением указанного ниже, выполненного из гладких или гофрированных листов дюраля Д1;</w:t>
      </w:r>
    </w:p>
    <w:p w14:paraId="132BCE7A"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все криволинейные участки металлической обшивки планера гладкие, гибка их выполняется в одной плоскости при установке на каркас и клепке за исключением передних кромок крыла и стабилизатора, все гофрированные панели (профиль – «волна ЦАГИ») – плоские, усиленные продольными лентами в виде желобов с радиусом гиба вдвое большим волны гофра;</w:t>
      </w:r>
    </w:p>
    <w:p w14:paraId="129CD58C"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панели двойной кривизны передних кромок крыла и стабилизатора, а также капотов моторов формуются предварительно выколотой на болване;</w:t>
      </w:r>
    </w:p>
    <w:p w14:paraId="25B90A51"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стенки внутренних перегородок – из гладких листов дюраля Д1, в расчет прочности они не включены;</w:t>
      </w:r>
    </w:p>
    <w:p w14:paraId="46CD9094"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все двери и люки для экипажа, десантников или пассажиров состоят из окантовок, каркаса, резинового уплотнителя, гладкой панели, петель и ручки с замком;</w:t>
      </w:r>
    </w:p>
    <w:p w14:paraId="57305EB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для колес шасси предполагалось использовать камерные колеса с шинами собственного производства, изготовленными намоткой из резиновой ленты на клею с вулканизацией, как минимум одна такая шина была сделана, но по результатам испытаний и оценки возможности их дальнейшего производства были закуплены американские шины фирмы Palmer (см. шасси);</w:t>
      </w:r>
    </w:p>
    <w:p w14:paraId="75AEBAB1"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для изготовления предметов интерьера пассажирского салона использованы тонкостенные трубы из полированной нержавеющей стали и алюминия, красное дерево, лоза, кожа и ткани высокого качества;</w:t>
      </w:r>
    </w:p>
    <w:p w14:paraId="4B3D103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при сборке самолета широко применено оборудование отечественного производства, в т.ч. пневматические сверлильные машины выпуска харьковского завода ФЭД.</w:t>
      </w:r>
    </w:p>
    <w:p w14:paraId="00A2CCE5"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Силовая установка:</w:t>
      </w:r>
    </w:p>
    <w:p w14:paraId="009B1D4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шесть форсированных двигателей М-34Ф мощностью по 830 л.с. на взлете и 750 л.с. в полете на малой высоте установлены в отдельных гондолах, выступающих из передней кромке крыла с тянущими винтами;</w:t>
      </w:r>
    </w:p>
    <w:p w14:paraId="59BFB79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уже в ходе постройки самолета был добавлен 7-й центральный мотор М-34Ф – установлен в хвостовой части центроплана;</w:t>
      </w:r>
    </w:p>
    <w:p w14:paraId="2AF3E08E"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воздушные винты двухлопастные постоянного шага, на двигателях №№ 1 … 6 – тянущие, № 7 – толкающий;</w:t>
      </w:r>
    </w:p>
    <w:p w14:paraId="68FA82FF"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капоты моторов №№ 1 … 6 обтекаемые сборные из формованных дюралевых панелей на дюралевом же каркасе, их боковые панели представляют собой открываемые трапы, на которых можно стоять при обслуживании мотора и с них можно перейти в отсеки крыла через люки с окнами в его передних кромках для подхода к задним частям моторов и другим агрегатам ВМГ;</w:t>
      </w:r>
    </w:p>
    <w:p w14:paraId="6D80618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капот мотора № 7 подобен примененным на №№ 1 … 6, но обращен назад, отличаясь в нижней части и конструкции люков-трапов, а также наличием длинной переходной секции, соединяющей его с верхней обшивкой центроплана;</w:t>
      </w:r>
    </w:p>
    <w:p w14:paraId="712B542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все панели капотов – дюралевые, собраны из формованных листов и профилей;</w:t>
      </w:r>
    </w:p>
    <w:p w14:paraId="26487F24"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охлаждение воды и масла осуществляется сотовыми радиаторами, для каждого из под моторов № 1 … 6 они установлены в своем тоннеле под мотоустановкой и имеют створки для регулировки тока воздуха, радиаторы мотора № 7 установлены открыто под ним и нижней поверхностью центроплана (в центре один сотовый пакет маслорадиатора, по бокам – два пакета водяных радиаторов), регулировка их температур осуществляется путем втягивания или вывода наружу, при чем меняется их площадь, находящаяся в потоке наружного воздуха;</w:t>
      </w:r>
    </w:p>
    <w:p w14:paraId="46423E4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топливная система состоит из 8 основных баков в крыле, 7 расходных баков у моторов и подвесных баков, которые устанавливаются в бомбоотсеках при полете на максимальную дальность с частичной бомбовой нагрузкой;</w:t>
      </w:r>
    </w:p>
    <w:p w14:paraId="765B039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все топливные баки резиновые в консольных частях крыла, они вкладываются в свои контейнеры в кессонах ОЧК через люки на верхней поверхности консолей и крепятся там;</w:t>
      </w:r>
    </w:p>
    <w:p w14:paraId="1CA6096F"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система выхлопа – индивидуальные патрубки, по 1 на каждый цилиндр мотора;</w:t>
      </w:r>
    </w:p>
    <w:p w14:paraId="28C49CC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проводка управления моторами – тросовая.</w:t>
      </w:r>
    </w:p>
    <w:p w14:paraId="19BE38C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w:t>
      </w:r>
    </w:p>
    <w:p w14:paraId="319531F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профиль крыла – ЦАГИ P-II относительной толщиной у корня 22% (наибольшая строительная высота сечения 2,33 м), на законцовках – 19%;</w:t>
      </w:r>
    </w:p>
    <w:p w14:paraId="43AB8EE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виде в плане центроплан имеет прямоугольную форму, ОЧК сделаны эллиптическими для достижения лучших величин циркуляции обтекающего их воздушного потока, снижения индуктивного сопротивления и повышения аэродинамического качества;</w:t>
      </w:r>
    </w:p>
    <w:p w14:paraId="27950AA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угол поперечного V центроплана нулевой, ОЧК – положительный;</w:t>
      </w:r>
    </w:p>
    <w:p w14:paraId="1BC69C5C"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технологически крыло состоит из центроплана и двух ОЧК;</w:t>
      </w:r>
    </w:p>
    <w:p w14:paraId="2D693A4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стыки между центропланом и ОЧК ухо-вильчатые, закрыты дюралевыми лентами на болтах;</w:t>
      </w:r>
    </w:p>
    <w:p w14:paraId="38EDB33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силовой набор центроплана состоит из 5 лонжеронов (все идут под прямым углом к ПСС, полки 2-го и 3-го л-нов сдвоенные – выполнены их двух соединенных параллельно труб каждая) и 11 нервюр, установленных по потоку);</w:t>
      </w:r>
    </w:p>
    <w:p w14:paraId="12016E1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обшивка центроплана дюралевая, 4 секции между л-нами №№ 2, 3 и 4 и н-рами осевой, 1-й и 2-й с каждой стороны от ПСС занимают бомбоотсеки, представляющие собой включенные в силовую схему жесткие кессоны, закрытые сверху панелью, а снизу – двумя створками в виде сборных дюралевых панелей;</w:t>
      </w:r>
    </w:p>
    <w:p w14:paraId="5BE96722"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панелях верхней обшивки центроплана по обоих сторонах гондолы центрального мотора сделаны по два окна;</w:t>
      </w:r>
    </w:p>
    <w:p w14:paraId="24266A15"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пассажирском варианте на месте должен быть оборудован салон повышенной комфортности с окнами в передней кромке и верхней обшивке центроплана;</w:t>
      </w:r>
    </w:p>
    <w:p w14:paraId="70C05C3A"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силовой набор каждой ОЧК состоит из 5 л-нов (1-й криволинейный, 2-й и 3-й идут с малым положительным углом стреловидности, 4-й – с малым отрицательным, 5-й в корневой части перпендикулярен ПСС, в концевой имеет малую отрицательную стреловидность, полки 2-го и 3-го л-нов сдвоенные, в зону между внешней нервюрой и кромочным профилем законцовки проходят л-ны №№ 2, 3 и 4), 29 нервюр, установленных по потоку, четырех кессонов между л-нами №№ 2-3 и 3-4 и н-рами №№ 9-11 и 11-13 (внутри их нервюр нет, снизу кессоны имеют съемное днище, а сверху – крышки, через которые ставятся топливные баки);</w:t>
      </w:r>
    </w:p>
    <w:p w14:paraId="1E9F0A8B"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дюралевая обшивка на ОЧК установлена на всем размахе передней кромки до л-на № 1, между л-нами 1 и 4 до конца баковых кессонов и на законцовках;</w:t>
      </w:r>
    </w:p>
    <w:p w14:paraId="56643882"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передней кромке центроплана и ОЧК выше плоскости хорд с обеих сторон каждой мотогондолы сделаны открываемые вверх люки для доступа к моторам при их установке, обслуживании и замене, в каждом люке по два окна, дающие свет при обслуживании моторов с закрытыми люками (в т.ч. в полете);</w:t>
      </w:r>
    </w:p>
    <w:p w14:paraId="5DD8AE0A"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отсеки мотогондол изолированы от остального пространства центроплана, но в них можно войти на стоянке и в полете для работы с мотором;</w:t>
      </w:r>
    </w:p>
    <w:p w14:paraId="5C99952A"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односекционные элероны с осевой компенсацией установлены на концевых частях ОЧК, занимают около 35% полного размаха крыла;</w:t>
      </w:r>
    </w:p>
    <w:p w14:paraId="0AFC5CCE"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силовой набор элерона состоит из лонжерона, силового дюралевого лобика, диафрагм, ограничивающих вырезы под узлы навески, нервюры и кромочный профиль;</w:t>
      </w:r>
    </w:p>
    <w:p w14:paraId="0E80F792"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элерон навешен на 5-й л-н ОЧК в зоне его «стреловидной» части (после излома) на 4 кронштейна с подшипниковыми узлами;</w:t>
      </w:r>
    </w:p>
    <w:p w14:paraId="04A66061"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каждом элероне на двух длинных кронштейнах установлен сервоэлерон, имеющий симметричный профиль и на виде в плане прямоугольную форму со скругленными законцовками;</w:t>
      </w:r>
    </w:p>
    <w:p w14:paraId="7DCC0F86"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силовой набор сервоэлерона состоит из лонжерона, кромочных профилей и нервюр;</w:t>
      </w:r>
    </w:p>
    <w:p w14:paraId="187C80EB"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вход во все отсеки центроплана и дальше в обитаемые отсеки центральной гондолы и хвостовых балок – через двери в гондолах шасси и далее по трапам в их колоннах, см. ниже;</w:t>
      </w:r>
    </w:p>
    <w:p w14:paraId="7B6A66F2"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для перемещения внутри центроплана проложены половицы из металлических листов на жестком каркасе.</w:t>
      </w:r>
    </w:p>
    <w:p w14:paraId="3BFC5F3B"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Центральная гондола:</w:t>
      </w:r>
    </w:p>
    <w:p w14:paraId="5BDE2416"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имеет прямоугольное сечение, носовую часть которой образует цилиндрический корпус носовой огневой точки, переход к основной части с постоянным сечением выполнен плоскими листами;</w:t>
      </w:r>
    </w:p>
    <w:p w14:paraId="741B4F0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крыша отсека за кабиной экипажа выпуклая, днище – плоское;</w:t>
      </w:r>
    </w:p>
    <w:p w14:paraId="56B3ED73"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отсек служит для размещения носовой огневой точки и кабин штурмана (в нижней носовой части, именовавшейся условно «бородой»), летчиков, радиста и бортмеханика, а в пассажирском варианте – и пассажирского салона, отделенного от кабины экипажа стенкой с дверью;</w:t>
      </w:r>
    </w:p>
    <w:p w14:paraId="4FA9453E"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силовой набор центральной гондолы с «бородой» представляет собой пространственную ферму из стальных труб, состоящий из бимсов, рам и раскосов, в ее конструкцию включены и каркасы остекления кабин;</w:t>
      </w:r>
    </w:p>
    <w:p w14:paraId="2BD24E04"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обшивка отсека гладкая дюралевая за исключением бортов за рамой № 2;</w:t>
      </w:r>
    </w:p>
    <w:p w14:paraId="3E07B7E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вход во все кабины центральной гондолы – из центроплана.</w:t>
      </w:r>
    </w:p>
    <w:p w14:paraId="492731EC"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Хвостовые балки:</w:t>
      </w:r>
    </w:p>
    <w:p w14:paraId="7FB3012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две балки имеют одинаковую конструкцию;</w:t>
      </w:r>
    </w:p>
    <w:p w14:paraId="113F1307"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балка имеет переменное по площади треугольное сечение, в передней части сопрягается с верхней и нижней обшивками центроплана, а в хвостовой оканчивается коническим корпусом огневой точки;</w:t>
      </w:r>
    </w:p>
    <w:p w14:paraId="3BC9A452"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каркас балки – сварная ферма из труб, состоящая из бимсов, рам и раскосов;</w:t>
      </w:r>
    </w:p>
    <w:p w14:paraId="41B1C125"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обшивка между рамами №№ 1…7 на верхней части из гладких дюралевых листов, боковых – из гофрированных, обшивка огневой точки – гладкие дюралевые листы, остальное – полотно;</w:t>
      </w:r>
    </w:p>
    <w:p w14:paraId="5B4B7CBC"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средней части балки между рамами №№ 6 и 7 оборудована огневая точка, вход в которую – из центроплана крыла;</w:t>
      </w:r>
    </w:p>
    <w:p w14:paraId="79FD1F65"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для перемещения внутри балки на всю ее длину проложены половицы из металлических усиленных листов на жестком каркасе.</w:t>
      </w:r>
    </w:p>
    <w:p w14:paraId="7EAA637E"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Хвостовое оперение:</w:t>
      </w:r>
    </w:p>
    <w:p w14:paraId="69B7D813"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состоит из ГО, установленного на хвостовых балках, двух поверхностей ВО, установленных на стабилизаторах на расстоянии, меньшем расстояния между плоскостями симметрии хвостовых балок, серворулей, связывавшего кили примерно на 2/3 их высоты и являвшегося дополнительной управляющей поверхностью, и подкосов;</w:t>
      </w:r>
    </w:p>
    <w:p w14:paraId="4CE9421E"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ГО состоит из стабилизатора, РВ и серворуля;</w:t>
      </w:r>
    </w:p>
    <w:p w14:paraId="2B9A645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РВ и РН имеют осевую компенсацию;</w:t>
      </w:r>
    </w:p>
    <w:p w14:paraId="5D086FF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ГО имеет симметричный аэродинамический профиль, его средняя часть прямоугольная, концевые эллиптические;</w:t>
      </w:r>
    </w:p>
    <w:p w14:paraId="27BB4093"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стабилизатор представляет собой единый агрегат, его конструкция подобна крылу и состоит из трех лонжеронов (в средней части они идут под прямым углом к ПСС, концевая часть л-на № 1 идет до внешней н-ры по кривой, концевые участки л-на № 2 прямые, идут до кромок стабилизатора с малым положительным углом стреловидности, л-н № 3 полностью прямой и идет до внешних нервюр, поперечный набор состоит из 41 нервюры, которые установлены по потку, обшивка передней кромки до 1-го л-на дюралевая, остальное – полотно;</w:t>
      </w:r>
    </w:p>
    <w:p w14:paraId="55A920F1"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РВ состоит из трех секций – средней между хвостовыми балками и двух концевых, все они отклоняются совместно;</w:t>
      </w:r>
    </w:p>
    <w:p w14:paraId="546199B6"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конструкция каждой секции РВ и серворулей высоты подобна элерону и сервоэлерону с отличием в форме, размерах и числе нервюр;</w:t>
      </w:r>
    </w:p>
    <w:p w14:paraId="3F52C4FE"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число узлов навески РВ – 9;</w:t>
      </w:r>
    </w:p>
    <w:p w14:paraId="655C110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РВ установлено 2 серворуля высоты, крепления которых подобны таковым на сервоэлеронах;</w:t>
      </w:r>
    </w:p>
    <w:p w14:paraId="180506D7"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каждая поверхность ВО состоит из киля, РН и серворуля;</w:t>
      </w:r>
    </w:p>
    <w:p w14:paraId="13E437C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ВО имеет симметричный аэродинамический профиль, его корневая часть трапециевидная, концевая округлая, контур РН в нижней части имеет треугольный подрез для обеспечения заданных углов отклонения РВ;</w:t>
      </w:r>
    </w:p>
    <w:p w14:paraId="353CA6AF"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силовой набор киля состоит из двух л-нов (главный № 2 установлен вертикально, № 1 – с малым углом стреловидности относительно строительной горизонтали самолета), профилей по передней кромке и законцовке, а также 8 нервюр, обшивка – полотно;</w:t>
      </w:r>
    </w:p>
    <w:p w14:paraId="72D355CC"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силовой набор РН состоит из лонжерона, 9 нервюр, продольной стяжки и кромочного профиля, обшивка лобика гладкая дюралевая, остальное – полотно;</w:t>
      </w:r>
    </w:p>
    <w:p w14:paraId="308F653A"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каждом РН установлено по одному серворулю (в отличие од сервоэлеронов и серворулей на РВ первоначально установлен не в плоскости хорд своей поверхности оперения, а с выпосом наружу, но затем также перемещено в плоскость хорд), ось симметрии серворуля вертикальна, форма и конструкция подобна сервоэлерону, отличаясь размерами и числом нервюр, единственное отличие в навеске – наличие подкоса в нижнем кронштейне;</w:t>
      </w:r>
    </w:p>
    <w:p w14:paraId="082B2E2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стабилизатор переставной, крепится ухо-вильчатыми узлами на 2-м л-не к ответным узлам на верхних бимсах каркасов хвостовых балок и подобными же узлами к верхним вилкам подъемников, нижние их вилки крепятся к нижним бимсам хвостовых балок в местах их стыков с предпоследними рамами ферм;</w:t>
      </w:r>
    </w:p>
    <w:p w14:paraId="7B95431C"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кили крепятся также ухо-вильчатыми узлами на л-нах к ответным узлам на каркасе стабилизатора;</w:t>
      </w:r>
    </w:p>
    <w:p w14:paraId="283C7FEF"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жесткость оперения, хвостовых балок и отсутствие аэроупругих колебаний всего планера должны были обеспечивать четыре подкоса, связывающих неподвижные поверхности оперения снаружи и внутри килей, а также вал стабилерона, проходящий между килями и крепящийся на узлах над их 5-ми нервюрами.</w:t>
      </w:r>
    </w:p>
    <w:p w14:paraId="3404C9EB"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управления самолетом:</w:t>
      </w:r>
    </w:p>
    <w:p w14:paraId="36C30AE6"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состоит из независимых каналов управления РВ (тангаж, отклонение от штурвала), стабилизатором (по углу установки), элеронами (крен, отклонение от штурвала) и РН (рыскание, отклонение от педалей);</w:t>
      </w:r>
    </w:p>
    <w:p w14:paraId="7385DAD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связи с большими расчетными величинами нагрузок на рычагах системы управления на начальном этапе выполнения этого проекта предполагалось установить во всех каналах электрические усилители, но они так и не были разработаны и по образцу известных в СССР английских и немецких тяжелых самолетов были сделаны серворули и сервоэлероны – управляющие поверхности малой площади, которые непосредственно отклонялись движением штурвала или педалей в сторону, противоположную требуемому отклонению основной РП, при этом на серворуле возникала аэродинамическая сила, отклонявшая основной руль в нужную сторону (система разработана под руководством А.В. Коваленко и отработана на ЛЛ на базе одномоторного пассажирского самолета К-5);</w:t>
      </w:r>
    </w:p>
    <w:p w14:paraId="712865C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самолет имеет два поста основного управления – командира экипажа (левый) и 2-го летчика (правый), которые могут работать совместно и самостоятельно (без механического разделения проводки);</w:t>
      </w:r>
    </w:p>
    <w:p w14:paraId="35D58C3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проводка управления смешанная с преобладанием тросовых участков;</w:t>
      </w:r>
    </w:p>
    <w:p w14:paraId="5C6FE1E1"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все шарниры проводки – на подшипниках, тем не менее, именно трение в ней составило большую часть усилий на рычагах;</w:t>
      </w:r>
    </w:p>
    <w:p w14:paraId="4B3969C7"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подъемники стабилизатора винтовые.</w:t>
      </w:r>
    </w:p>
    <w:p w14:paraId="749BC67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w:t>
      </w:r>
    </w:p>
    <w:p w14:paraId="171AA964"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состоит основных и предохранительных опор;</w:t>
      </w:r>
    </w:p>
    <w:p w14:paraId="74E11E1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основные опоры шасси типа «тележка» представляют собой две гондолы, установленные под центропланом на двух колоннах каждая и подкрепленных 8 подкосами каждая;</w:t>
      </w:r>
    </w:p>
    <w:p w14:paraId="7B4C647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гондолы шасси имеют одинаковую (зеркально симметричную) форму и конструкцию, в носовой и хвостовой оконечностях их форма – усеченный конус с вертикальной осью, основная часть имеет постоянное прямоугольное сечение с цилиндрической верхней панелью (радиус ее значительно больше ширины гондолы), она сопрягается коническими оконечностями участками с переменным прямоугольным сечением;</w:t>
      </w:r>
    </w:p>
    <w:p w14:paraId="3CB74335"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каркас гондолы шасси – ферма, состоящая из бимсов, рам и раскосов, полностью дюралевая обшивка конических, верхних цилиндрических и нижних плоских частей гладкая, боковых – гофрированная);</w:t>
      </w:r>
    </w:p>
    <w:p w14:paraId="5D9A2C95"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каждой гондоле установлено одна передняя опора шасси с одиночным колесом с шиной Palmer Cord Tyre 1750x350 и одна задняя со сдвоенными колесами Palmer Cord Tyre 2000x450 (производство – США);</w:t>
      </w:r>
    </w:p>
    <w:p w14:paraId="7EAD324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основные колеса шасси имеют пневматические тормоза;</w:t>
      </w:r>
    </w:p>
    <w:p w14:paraId="556EF26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колеса выступают из гондол менее чем на половину своих диаметров и гондолы являются обтекателями их самих и их стоек;</w:t>
      </w:r>
    </w:p>
    <w:p w14:paraId="1C56828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амортизация всех опор основного шасси – на масло-воздушных амортизаторах;</w:t>
      </w:r>
    </w:p>
    <w:p w14:paraId="3DDA73D2"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колонны гондол шасси имеют каплевидное сечение большой площади, их силовой набор состоит из лонжеронов и нервюр, обшивка – гладкие листы дюраля;</w:t>
      </w:r>
    </w:p>
    <w:p w14:paraId="009A2605"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колонны крепятся своим каркасом к силовому набору гондол шасси и центроплана, обшивки этих агрегатов соединены клепкой;</w:t>
      </w:r>
    </w:p>
    <w:p w14:paraId="34B1426B"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подкосы шасси состоят из стальных труб круглого сечения в дюралевых обтекателях каплевидного сечения с вильчатыми узлами крепления, также закрытых обтекателями;</w:t>
      </w:r>
    </w:p>
    <w:p w14:paraId="0F4DC9FC"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наружной (от ПСС) панели передней части каждой гондолы и в днище задней части имеются входные люки, через которые в них попадают стрелки пулеметных установок в их оконечностях, а также остальной экипаж, десантники или пассажиры, которые поднимаются дальше на свои места в средней гондоле, центроплане и хвостовых балках по трапам во всех колоннах шасси;</w:t>
      </w:r>
    </w:p>
    <w:p w14:paraId="364A6F9F"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предохранительные опоры шасси установлены под хвостовыми балками и состоят из пирамидальной рамы, оси и бескамерного колеса малого диаметра («дутика»).</w:t>
      </w:r>
    </w:p>
    <w:p w14:paraId="60A90941"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Оборудование:</w:t>
      </w:r>
    </w:p>
    <w:p w14:paraId="4FD4E6B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состоит из комплекта пилотажно-навигационных и контрольных приборов, электроситемы (аккумуляторы, генераторы постоянного тока на моторах, сети с устройствами коммутации и предохранителями), радиостанции, пневмопочты, свето-звуковой сигнализации (лампы и зуммеры с кнопочным управлением), переговорных труб, освещения, бытового, десантно-транспортного и пассажирского оборудования;</w:t>
      </w:r>
    </w:p>
    <w:p w14:paraId="35A3EE19"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пилотажно-навигационные приборы обеспечивают выполнение всех задач самолета днем в простых метеоусловиях;</w:t>
      </w:r>
    </w:p>
    <w:p w14:paraId="6CF1F2F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контрольные приборы обеспечивают наблюдение за состоянием и работой систем – зажигания (на моторах), топливной (давление топлива в подающих магистралях моторов), охлаждения и смазки (температуры воды и масла), электрической (напряжение на генераторах и аккумуляторах, а также самих моторов (обороты);</w:t>
      </w:r>
    </w:p>
    <w:p w14:paraId="190315A6"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радиостанция средневолновая приемо-передающая, работает в симплексных ТЛГ и ТЛФ режимах;</w:t>
      </w:r>
    </w:p>
    <w:p w14:paraId="2662370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встроенное освещение обеспечивает комфортное нахождение и деятельность экипажа, десанта и пассажиров во всех помещениях и в проходах;</w:t>
      </w:r>
    </w:p>
    <w:p w14:paraId="20E5EA73"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десантно-транспортное оборудование включает сиденья десанта, крепления и швартовочные узлы для грузов в таре и узлы подвески сбрасываемых и несбрасываемых кабин для десанта и техники;</w:t>
      </w:r>
    </w:p>
    <w:p w14:paraId="2F600EA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обеспечена подвеска под центральную гондолу легкого танка (фактически – танкетки) весом 8,4 т или десантной кабины весом 1 т;</w:t>
      </w:r>
    </w:p>
    <w:p w14:paraId="131DE99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бытовое оборудование включает, сиденья с привязными ремнями, пищевой и санитарные блоки для экипажа и пассажиров;</w:t>
      </w:r>
    </w:p>
    <w:p w14:paraId="7D971B0C"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пассажирское оборудование включает кресла, диваны и предметы удобств – столы, шкафы, поручни, шторы, дополнительное освежение и т.п.</w:t>
      </w:r>
    </w:p>
    <w:p w14:paraId="28F5895B"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6EA33468"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состоит из бомбардировочного и стрелково-пушечного вооружения;</w:t>
      </w:r>
    </w:p>
    <w:p w14:paraId="061E7D82"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нормальная бомбовая нагрузка 6 т (дальность 2000 км без ПТБ и 2400 км с ПТБ в бомбоотсеке), максимальная – 9,3 т, перегрузочная – 16,6 т, калибр бомб на внутренней подвеске – от 50 до 250 кг;</w:t>
      </w:r>
    </w:p>
    <w:p w14:paraId="5AC1A44A"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самолет может применять все типы бомб указанных калибров в фугасном, осколочном и химическом снаряжении;</w:t>
      </w:r>
    </w:p>
    <w:p w14:paraId="51C89056"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балки БД включены в силовую схему каркаса, что позволило сэкономить вес, трудоемкость и затраты материала (автор идеи – конструктор Винярский);</w:t>
      </w:r>
    </w:p>
    <w:p w14:paraId="16560AD6"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стрелково-пушечное вооружение состоит из 9 турельных и 1 шкворневой установок, в которых смонтированы одна спаренная и две одиночные пушки калибра 20 мм, 5 спаренных и 3 одиночных пулемета калибра 7,62 мм, всего 14 единиц оружия, см. ниже;</w:t>
      </w:r>
    </w:p>
    <w:p w14:paraId="7DEA742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один спаренный пулемет ДА-2 в верхней части носовой рубки;</w:t>
      </w:r>
    </w:p>
    <w:p w14:paraId="2677EAA5"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одна спаренная пушка калибра 20 мм в шкворневой установке в гондоле под носовой рубкой;</w:t>
      </w:r>
    </w:p>
    <w:p w14:paraId="61717F00"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 одному одиночному пулемету ДА калибра 7,62 мм установлено в ВУ в хвостовых балках сразу за крылом;</w:t>
      </w:r>
    </w:p>
    <w:p w14:paraId="5A2212A4"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 одной пушке калибра 20 мм установлено в КУ хвостовых балок (в полете ожидались их вибрации, которые могли вести к сильной утомляемости, потому стрелки в полете находились в центроплане и при появлении истребителей противника занимали свои места с помощью электротележек, ими же доставлялись в КУ боеприпасы);</w:t>
      </w:r>
    </w:p>
    <w:p w14:paraId="68321024"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 одному спаренному пулемету ДА-2 установках в передних и задних частях гондол ООШ;</w:t>
      </w:r>
    </w:p>
    <w:p w14:paraId="63A22AD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пушки вероятно предполагалось использовать немецкие Беккер М 2 или их развитие – швейцарские Эрликон тип L, скорострельность 500 выстр./мин., питание магазинное, гильзосборника нет;</w:t>
      </w:r>
    </w:p>
    <w:p w14:paraId="5F534ECE"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пулеметы предполагалось использовать спаренные ДА-2 или одиночные калибра 7,62 мм, скорострельность одиночного пулемета 780 выстр./мин., питание дисковое, емкость диска 48 патронов, гильзы падают в мешок-сборник;</w:t>
      </w:r>
    </w:p>
    <w:p w14:paraId="1A030B9B"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завершающем этапе проектирования рассматривалась замена пулеметов ДА скорострельными (1800 выстр./мин. на ствол) ШКАС того же калибра с ленточным питанием, которые поступили на испытания в 1930 г.);</w:t>
      </w:r>
    </w:p>
    <w:p w14:paraId="01E0F9D3"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предположительно, все пулеметные турели – типа ТУР-6, пушечные шкворневая и турельные установки – специальной разработки.</w:t>
      </w:r>
    </w:p>
    <w:p w14:paraId="2EDCD631"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сделаны новые компоновки пассажирских отсеков (буфет и кают-компания сохранялись по типу предыдущих вариантов проекта):</w:t>
      </w:r>
    </w:p>
    <w:p w14:paraId="6911D4AA"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128 сидячих мест (предполагалась дальность до 5000 км, но точность расчета вызывает сомнения);</w:t>
      </w:r>
    </w:p>
    <w:p w14:paraId="6C187DCF"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64 спальных места (2 яруса по восемь 8-местных кабин).</w:t>
      </w:r>
    </w:p>
    <w:p w14:paraId="029F584D"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Статические прочностные испытания выполнялись только по отдельным узлам, но не для самолета в целом. Его общие прочностные испытания предполагалось провести «обжатием скоростями и перегрузками» в испытательных полетах, что в то время практиковалось достаточно часто (23561).</w:t>
      </w:r>
    </w:p>
    <w:p w14:paraId="360B3D3E" w14:textId="77777777" w:rsidR="00C57239" w:rsidRPr="00E93F40" w:rsidRDefault="00C57239" w:rsidP="00E93F40">
      <w:pPr>
        <w:spacing w:after="0" w:line="240" w:lineRule="auto"/>
        <w:jc w:val="both"/>
        <w:rPr>
          <w:rFonts w:ascii="Times New Roman" w:hAnsi="Times New Roman"/>
          <w:color w:val="000000" w:themeColor="text1"/>
          <w:sz w:val="16"/>
          <w:szCs w:val="16"/>
        </w:rPr>
      </w:pPr>
    </w:p>
    <w:p w14:paraId="01D8F61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B66135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FFFC6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21 января по апрель 1932 проходили гос. испытание Р6 2М17, эталон 1932 года (6778).</w:t>
      </w:r>
    </w:p>
    <w:p w14:paraId="188283B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04A3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 25 января и 4 и 5 февраля 1932 в ходе испытаний на 22 заводе самолета Р6 N 2201 (эталон на 1932 год), которые проходили с 23 января по 7 апреля 1932, было выполнено 20 полетов на определение степени и характера вибраций хвостового оперения (3003).</w:t>
      </w:r>
    </w:p>
    <w:p w14:paraId="66FBAE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6819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января 1932 начальник УВВС дал распоряжение НИИ ВВС опубликовать рекомендации С.Михайлова по эксплуатации У-2 (1053,36).</w:t>
      </w:r>
    </w:p>
    <w:p w14:paraId="149EA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5780E7" w14:textId="77777777" w:rsidR="00072FD9" w:rsidRPr="00E93F40" w:rsidRDefault="00072F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21 января</w:t>
      </w:r>
      <w:r w:rsidRPr="00E93F40">
        <w:rPr>
          <w:rFonts w:ascii="Times New Roman" w:hAnsi="Times New Roman"/>
          <w:color w:val="000000" w:themeColor="text1"/>
          <w:sz w:val="16"/>
          <w:szCs w:val="16"/>
        </w:rPr>
        <w:t xml:space="preserve"> в 1932 году вся сельскохозяйственная авиация СССР передана в состав Главного Управления Гражданского Воздушного Флота СССР (Аэрофлота) (15016).</w:t>
      </w:r>
    </w:p>
    <w:p w14:paraId="28F8D3A5" w14:textId="14844150" w:rsidR="00072FD9" w:rsidRPr="00E93F40" w:rsidRDefault="00072FD9" w:rsidP="00E93F40">
      <w:pPr>
        <w:spacing w:after="0" w:line="240" w:lineRule="auto"/>
        <w:jc w:val="both"/>
        <w:rPr>
          <w:rFonts w:ascii="Times New Roman" w:hAnsi="Times New Roman"/>
          <w:color w:val="000000" w:themeColor="text1"/>
          <w:sz w:val="16"/>
          <w:szCs w:val="16"/>
        </w:rPr>
      </w:pPr>
    </w:p>
    <w:p w14:paraId="30CA5089" w14:textId="482FE020" w:rsidR="0062757D" w:rsidRPr="00E93F40" w:rsidRDefault="0062757D"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46E0DBDA" w14:textId="77777777" w:rsidR="0062757D" w:rsidRPr="00E93F40" w:rsidRDefault="0062757D" w:rsidP="00E93F40">
      <w:pPr>
        <w:spacing w:after="0" w:line="240" w:lineRule="auto"/>
        <w:jc w:val="both"/>
        <w:rPr>
          <w:rFonts w:ascii="Times New Roman" w:hAnsi="Times New Roman"/>
          <w:i/>
          <w:iCs/>
          <w:color w:val="000000" w:themeColor="text1"/>
          <w:sz w:val="16"/>
          <w:szCs w:val="16"/>
        </w:rPr>
      </w:pPr>
    </w:p>
    <w:p w14:paraId="39B6C10A" w14:textId="77777777" w:rsidR="0062757D" w:rsidRPr="00E93F40" w:rsidRDefault="0062757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21 января 1932 Тухачевский известил Сталина и Ворошилова о завершении разработки плана дезорганизации польской армии и нанесения "ударов тяжелой авиации по району Варшавы" в рамках операции по разгрому Польши, он отмечал, что в своей записке "не касался ни Румынии, ни Латвии". Тухачевский добавлял: "Между прочим, операцию подобного рода очень легко подготовить против Бессарабии" (Дьяков Ю. Л, БУШУЕВА Т. С. Фашистский меч ковался в СССР: Красная Армия и рейхсвер. Тайное сотрудничество, 1922-1933: Неизвестные документы. М., 1992. С. 132; МИНАКОВ СТ. Сталин и его маршал. М., 2004. С. 461. Архивное дело, содержащее рукописный подлинник Тухачевского (РГВА. Ф. 33987. Оп. 3- Д 400. Л. 14-29), переведено на секретное хранение. Л. Самуэльсон ошибается, утверждая, что записка Тухачевского была составлена летом 1930 г. (SAMUELSON L Rod koloss рй larvfotter Rysslands ekonomi i skug-ganav 1990-talskriegen. Stockholm, 1999- S. 152).). Эти оговорки свидетельствуют, что речь шла не о создании действительного оперативного плана войны на Западе, а об очередной инициативной записке Тухачевского. Надо думать, она не слишком отличалась от произведений популярного тогда жанра военно-технических пророчеств (например, книжки "Разрушение Парижа", которая так понравилась Сталину) (См.: Письмо Сталина Ворошилову, 12.06.1932 // Советское руководство: Переписка, 1928-1941 гг. / Сост. А В. Квашонкин и др. М, 1999- С. 175. Сталин, явно подражая литературным указаниям Ленина, советовал издать книгу Хельдерса на русском языке. Упоминание о том, что рассуждения Тухачевского бывают выдержаны "в стиле романов Уэльса", см.: Прения по докладу М. Н. Тухачевского // Записки Коммунистической академии. Т. 1. М, 1930. С. 30.). По всей видимости, подобные занятия начальника вооружений имели задачей убедить адресатов в новых наступательных возможностях, которые сулит стране Советов появление свежих технических средств. "В связи с новой программой танкостроения, - отмечал Тухачевский, - мы имеем полную возможность к концу 1932 г. превратить стрелковые дивизии, расположенные в прифронтовой полосе БВО (Белорусского военного округа) и УВО (Украинского военного округа), в механизированные корпуса" (МИНАКОВ С.Т. Указ. соч. С 461) (22725).</w:t>
      </w:r>
    </w:p>
    <w:p w14:paraId="33186F94" w14:textId="77777777" w:rsidR="0062757D" w:rsidRPr="00E93F40" w:rsidRDefault="0062757D" w:rsidP="00E93F40">
      <w:pPr>
        <w:spacing w:after="0" w:line="240" w:lineRule="auto"/>
        <w:jc w:val="both"/>
        <w:rPr>
          <w:rFonts w:ascii="Times New Roman" w:hAnsi="Times New Roman"/>
          <w:color w:val="000000" w:themeColor="text1"/>
          <w:sz w:val="16"/>
          <w:szCs w:val="16"/>
        </w:rPr>
      </w:pPr>
    </w:p>
    <w:p w14:paraId="6CDC1D7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363EEE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D0A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21 января по 4 февраля 1932 прошла 17 партконференция, на которой были выработаны директивы второго пятилетнего плана (1933-1937). Поставили менее амбициозные цели, но приоритет отдавали энергетике, черной металлургии, машиностроению, транспорту. Наметили повысить выпуск потребительских товаров. Решили продолжать коллективизацию (3908,33).</w:t>
      </w:r>
    </w:p>
    <w:p w14:paraId="4DB30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643C9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B755FF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EEA0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января 1932 был подписан договор о ненападении с Финляндией (1348,242) на 3 года (3907,172).</w:t>
      </w:r>
    </w:p>
    <w:p w14:paraId="4D99D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DE4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января 1932 был подписан советско-польский договор о ненападении (3481).</w:t>
      </w:r>
    </w:p>
    <w:p w14:paraId="438027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73334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C8283A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028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22 по 27 января 1932 в ходе испытаний на 22 заводе самолета Р6 N 2201 (эталон на 1932 год), которые проходили с 23 января по 7 апреля 1932, были произведены предварительные летные испытания (3003).</w:t>
      </w:r>
    </w:p>
    <w:p w14:paraId="4A9EE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D9B5CD" w14:textId="77777777" w:rsidR="00CD4FA6" w:rsidRPr="00E93F40" w:rsidRDefault="00CD4FA6" w:rsidP="00E93F40">
      <w:pPr>
        <w:pStyle w:val="ae"/>
        <w:shd w:val="clear" w:color="auto" w:fill="FFFFFF"/>
        <w:spacing w:before="0" w:after="0"/>
        <w:jc w:val="both"/>
        <w:rPr>
          <w:color w:val="000000" w:themeColor="text1"/>
          <w:sz w:val="16"/>
          <w:szCs w:val="16"/>
        </w:rPr>
      </w:pPr>
      <w:r w:rsidRPr="00E93F40">
        <w:rPr>
          <w:color w:val="000000" w:themeColor="text1"/>
          <w:sz w:val="16"/>
          <w:szCs w:val="16"/>
        </w:rPr>
        <w:t>22 января 1932 состоялось первое заседание Комиссии по изучению стратосферы под его председательством В.И.Виткевича, созданной 19 января. Комиссии. На нем был намечен план работ, включавший также постройку стратостата для подъёма с людьми на высоту 20-25 км. Члену комиссии М.Н.Канищеву было поручено разработать проект стратосферного аэростата (19614).</w:t>
      </w:r>
    </w:p>
    <w:p w14:paraId="34206AEA" w14:textId="77777777" w:rsidR="00CD4FA6" w:rsidRPr="00E93F40" w:rsidRDefault="00CD4FA6" w:rsidP="00E93F40">
      <w:pPr>
        <w:spacing w:after="0" w:line="240" w:lineRule="auto"/>
        <w:jc w:val="both"/>
        <w:rPr>
          <w:rFonts w:ascii="Times New Roman" w:hAnsi="Times New Roman"/>
          <w:color w:val="000000" w:themeColor="text1"/>
          <w:sz w:val="16"/>
          <w:szCs w:val="16"/>
        </w:rPr>
      </w:pPr>
    </w:p>
    <w:p w14:paraId="54335B10" w14:textId="77777777" w:rsidR="0062757D" w:rsidRPr="00E93F40" w:rsidRDefault="006275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января 1932 г. на первом заседании Комиссии по изучению стратосферы наметили план работ, включавший постройку пилотируемо</w:t>
      </w:r>
      <w:r w:rsidRPr="00E93F40">
        <w:rPr>
          <w:rFonts w:ascii="Times New Roman" w:hAnsi="Times New Roman"/>
          <w:color w:val="000000" w:themeColor="text1"/>
          <w:sz w:val="16"/>
          <w:szCs w:val="16"/>
        </w:rPr>
        <w:softHyphen/>
        <w:t>го стратостата для подъёма на высоту 20-25 км, проект которого поручили разработать члену ко</w:t>
      </w:r>
      <w:r w:rsidRPr="00E93F40">
        <w:rPr>
          <w:rFonts w:ascii="Times New Roman" w:hAnsi="Times New Roman"/>
          <w:color w:val="000000" w:themeColor="text1"/>
          <w:sz w:val="16"/>
          <w:szCs w:val="16"/>
        </w:rPr>
        <w:softHyphen/>
        <w:t>миссии М.Н. Канищеву. Однако отсутствие у ко</w:t>
      </w:r>
      <w:r w:rsidRPr="00E93F40">
        <w:rPr>
          <w:rFonts w:ascii="Times New Roman" w:hAnsi="Times New Roman"/>
          <w:color w:val="000000" w:themeColor="text1"/>
          <w:sz w:val="16"/>
          <w:szCs w:val="16"/>
        </w:rPr>
        <w:softHyphen/>
        <w:t>миссии средств не позволило развернуть работы, а весною 1932 г. Гидрометеокомитет РСФСР расформировали (20120).</w:t>
      </w:r>
    </w:p>
    <w:p w14:paraId="51394655" w14:textId="77777777" w:rsidR="0062757D" w:rsidRPr="00E93F40" w:rsidRDefault="0062757D" w:rsidP="00E93F40">
      <w:pPr>
        <w:spacing w:after="0" w:line="240" w:lineRule="auto"/>
        <w:jc w:val="both"/>
        <w:rPr>
          <w:rFonts w:ascii="Times New Roman" w:hAnsi="Times New Roman"/>
          <w:color w:val="000000" w:themeColor="text1"/>
          <w:sz w:val="16"/>
          <w:szCs w:val="16"/>
        </w:rPr>
      </w:pPr>
    </w:p>
    <w:p w14:paraId="5AB26CF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A0C524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BC0C09" w14:textId="77777777" w:rsidR="00072FD9" w:rsidRPr="00E93F40" w:rsidRDefault="00072F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22 января</w:t>
      </w:r>
      <w:r w:rsidRPr="00E93F40">
        <w:rPr>
          <w:rFonts w:ascii="Times New Roman" w:hAnsi="Times New Roman"/>
          <w:color w:val="000000" w:themeColor="text1"/>
          <w:sz w:val="16"/>
          <w:szCs w:val="16"/>
        </w:rPr>
        <w:t xml:space="preserve"> в 1932 году первый полёт легкого спортивного самолета «LKL-5» (компания LKL, Польша). Установлен двигатель «Warner Scarab» мощностью 110 л.с. Получил регистрацию «SP-AJS». Участвовал в различных международных мероприятиях, однако в процессе выявились серьезные дефекты топлипровода и двигателя. Всего выполнили 167 вылетов. 8 сентября 1936 года из-за дефекта двигателя самолет совершил вынужденную посадку. Это был последний его вылет, после чего самолет списали (15017).</w:t>
      </w:r>
    </w:p>
    <w:p w14:paraId="6A26843E" w14:textId="77777777" w:rsidR="00072FD9" w:rsidRPr="00E93F40" w:rsidRDefault="00072FD9" w:rsidP="00E93F40">
      <w:pPr>
        <w:spacing w:after="0" w:line="240" w:lineRule="auto"/>
        <w:jc w:val="both"/>
        <w:rPr>
          <w:rFonts w:ascii="Times New Roman" w:hAnsi="Times New Roman"/>
          <w:color w:val="000000" w:themeColor="text1"/>
          <w:sz w:val="16"/>
          <w:szCs w:val="16"/>
        </w:rPr>
      </w:pPr>
    </w:p>
    <w:p w14:paraId="62AC2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января 1932 правительственные войска разгромили коммунистическое восстание на севере Испании (2100).</w:t>
      </w:r>
    </w:p>
    <w:p w14:paraId="01C49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9679B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DC96C0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34333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23 января по 7 апреля 1932 проходили испытания самолета Р6 N 2201 (эталон на 1932 год) с моторами М17 Е=7,3 за N 26391 и 26398 винты Н=2,5 Д=3,15 сист. ЦАГИ.</w:t>
      </w:r>
    </w:p>
    <w:p w14:paraId="541E4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281A0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Кудиков</w:t>
      </w:r>
    </w:p>
    <w:p w14:paraId="08F8BA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Миндер</w:t>
      </w:r>
    </w:p>
    <w:p w14:paraId="49232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63DEA6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Выявление боеспособности самолета при наличии всего положенного оборудования и вооружения и возможности использования его в качестве образца (эталона) для серийной постройки самолетов в 1932 году.</w:t>
      </w:r>
    </w:p>
    <w:p w14:paraId="6FAAB6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Определение летных данных самолета с двумя вариантами нагрузок: 1) 2560 кг, 2) 1810 кг (3003).</w:t>
      </w:r>
    </w:p>
    <w:p w14:paraId="033A0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C7E7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января 1932 в ходе испытаний на 22 заводе самолета Р6 N 2201 (эталон на 1932 год), которые проходили с 23 января по 7 апреля 1932, самолет получен из ЦАГИ с недоконченным вооружением (3003).</w:t>
      </w:r>
    </w:p>
    <w:p w14:paraId="63F93B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70FA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января 1932 года начальник НИИ ВВС Бузанов и начальник 17-го отдела НИИ ВВС Трунов писали письмо N ТО/12с зам. начальника ВВС Меженинову.</w:t>
      </w:r>
    </w:p>
    <w:p w14:paraId="683BA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Докладная записка</w:t>
      </w:r>
    </w:p>
    <w:p w14:paraId="5467D8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штабном самолете для авиачастей</w:t>
      </w:r>
    </w:p>
    <w:p w14:paraId="2ED82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разрешения задачи техники управления авиационными соединениями, как при постановке боевых задач, так и при управлении ими во время самого боя может быть осуществлено создание специальных самолетов особо оборудованных для указанных целей. В основном необходимо создание следующих типов самолетов:</w:t>
      </w:r>
    </w:p>
    <w:p w14:paraId="3652E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Штабной самолет</w:t>
      </w:r>
    </w:p>
    <w:p w14:paraId="24B2E1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Командный самолет</w:t>
      </w:r>
    </w:p>
    <w:p w14:paraId="7D8A43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задачи, возлагаемые на штабной самолет:</w:t>
      </w:r>
    </w:p>
    <w:p w14:paraId="3C564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Переброска оперативной группы штаба авиасоединения вместе с летным эшелоном или ранее его.</w:t>
      </w:r>
    </w:p>
    <w:p w14:paraId="545E6C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Командный пункт на аэродроме.</w:t>
      </w:r>
    </w:p>
    <w:p w14:paraId="45708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Вылет оперативной группы штаба на аэродромы бригадного или АГ узла для дачи на месте боевых задач.</w:t>
      </w:r>
    </w:p>
    <w:p w14:paraId="09775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Вылет оперативной группы штаба к земному командованию для получения задачи по использованию ВВС в земной операции и немедленная организация использования ВВС.</w:t>
      </w:r>
    </w:p>
    <w:p w14:paraId="426EA3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Установка радиосвязи с самолетами соединения при нахождении последних в воздухе.</w:t>
      </w:r>
    </w:p>
    <w:p w14:paraId="29912E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Установка радиосвязи с аэродромами узла и земным командованием с земли и с воздуха.</w:t>
      </w:r>
    </w:p>
    <w:p w14:paraId="41BE3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Дополнительная разведка выбранного аэродрома.</w:t>
      </w:r>
    </w:p>
    <w:p w14:paraId="38638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задачи, возлагаемые на командный самолет.</w:t>
      </w:r>
    </w:p>
    <w:p w14:paraId="5D02E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Сопровождении группы самолетов в боевом задании.</w:t>
      </w:r>
    </w:p>
    <w:p w14:paraId="534E4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Командование авиасоединениями в бою.</w:t>
      </w:r>
    </w:p>
    <w:p w14:paraId="7D870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Установка связи с земным командованием во время боя авиасоединения.</w:t>
      </w:r>
    </w:p>
    <w:p w14:paraId="4097A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штабного самолета могут быть приспособлены некоторые типы самолетов эксплуатируемых ВОГВФ, за счет введения некоторых изменений и постановки вооружения. Для командного самолета лучшим решением вопроса будет приспособление для этой цели того типа самолета, каким вооружен данный род авиации. В настоящей докладной записке рассматривается лишь вопрос о штабном самолете, оставляя проработку вопроса о командном самолете на последующее время.</w:t>
      </w:r>
    </w:p>
    <w:p w14:paraId="14253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из имеющихся гражданских самолетов ни один тип не удовлетворяет предъявляемым требованиям. При проектировании новых типов гражданских самолетов необходимо к 1-2 самолетам предъявить требования как к штабному самолету. В настоящее время целесообразно использовать как временный тип штабного самолета, самолет Сталь-2. Его основной недостаток заключается в том, что он позволяет принять на борт не 6 человек, а только 4-х, из которых штабных работников 2 человека. Из положительных качеств Сталь-2 как штабного самолета необходимо отметить - малая посадочная скорость и весьма удобная кабина для штабного самолета (3063).</w:t>
      </w:r>
    </w:p>
    <w:p w14:paraId="72CBB0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348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января 1932 года врид начальника ВВС Наумов писал письмо № 142 председателю РВС</w:t>
      </w:r>
    </w:p>
    <w:p w14:paraId="7A69E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постройке специального завода авиаприборов</w:t>
      </w:r>
    </w:p>
    <w:p w14:paraId="4C717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Промышленность по производству авиаприборов к настоящему времени далеко не обеспечивает потребности военной и гражданской авиации.</w:t>
      </w:r>
    </w:p>
    <w:p w14:paraId="37A04B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Дальнейшее развертывание ВВС предъявляет к промышленности, производящей авиаприборы усиленные требования, удовлетворение которых возможно только при постройке нового завода авиаприборов.</w:t>
      </w:r>
    </w:p>
    <w:p w14:paraId="1B774A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Исходя из этого, прошу Вас поставить вопрос перед председателем Комиссии обороны Молотовым о форсировании в 1932 году постройки специального завода авиаприборов под Москвой в Филях и проведении ряда дополнительных мероприятий, согласно прилагаемого проекта предложений (7470, 47).</w:t>
      </w:r>
    </w:p>
    <w:p w14:paraId="4A679C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337530" w14:textId="77777777" w:rsidR="00F66410" w:rsidRPr="00E93F40" w:rsidRDefault="00F66410"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23 января 1932 инженер Воробьёв писал рапорт:</w:t>
      </w:r>
    </w:p>
    <w:p w14:paraId="0B235489" w14:textId="77777777" w:rsidR="00F66410" w:rsidRPr="00E93F40" w:rsidRDefault="00F664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 xml:space="preserve">В.[есьма] срочно </w:t>
      </w:r>
      <w:r w:rsidRPr="00E93F40">
        <w:rPr>
          <w:rFonts w:ascii="Times New Roman" w:hAnsi="Times New Roman"/>
          <w:color w:val="000000" w:themeColor="text1"/>
          <w:sz w:val="16"/>
          <w:szCs w:val="16"/>
          <w:lang w:bidi="en-US"/>
        </w:rPr>
        <w:t>28/1</w:t>
      </w:r>
      <w:r w:rsidRPr="00E93F40">
        <w:rPr>
          <w:rFonts w:ascii="Times New Roman" w:hAnsi="Times New Roman"/>
          <w:color w:val="000000" w:themeColor="text1"/>
          <w:sz w:val="16"/>
          <w:szCs w:val="16"/>
          <w:lang w:eastAsia="ru-RU" w:bidi="ru-RU"/>
        </w:rPr>
        <w:t>32</w:t>
      </w:r>
    </w:p>
    <w:p w14:paraId="656EB1AF" w14:textId="77777777" w:rsidR="00F66410" w:rsidRPr="00E93F40" w:rsidRDefault="00F664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Вр. нач. произв. сектора</w:t>
      </w:r>
    </w:p>
    <w:p w14:paraId="62A373F5" w14:textId="77777777" w:rsidR="00F66410" w:rsidRPr="00E93F40" w:rsidRDefault="00F664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Зам. нач. Дирижаблестроя Козлову</w:t>
      </w:r>
    </w:p>
    <w:p w14:paraId="33A4766A" w14:textId="77777777" w:rsidR="00F66410" w:rsidRPr="00E93F40" w:rsidRDefault="00F664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Производств. сектор не имеет никакого определённого места в помещении на Кузнецком мосту, 20. Начальник сектора и его заместитель путешествуют с одного чужого стола на другой, нося бумаги в портфеле, ибо их положить некуда. Так продолжается уже с момента переезда Дирижаблестроя на Кузнец. мост, 20. Сегодня меня попросили с последнего стола, у которого я было пристроился. Я Вам лично докладывал об этом примерно 1 раз в 5-10 дней, обращался по В. [ашему] указанию к коменданту - в результате имею обещание т. коменданта, что к 20 февраля получу помещение в освобождающейся от слепых комнате.</w:t>
      </w:r>
    </w:p>
    <w:p w14:paraId="475F9660" w14:textId="77777777" w:rsidR="00F66410" w:rsidRPr="00E93F40" w:rsidRDefault="00F664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Между тем, уже сейчас производственный] сектор состоит из 5 человек (нач., зам., инженер, техник по безопасности, секретарь), а к тому времени будет в составе 7 человек.</w:t>
      </w:r>
    </w:p>
    <w:p w14:paraId="3918C0DC" w14:textId="77777777" w:rsidR="00F66410" w:rsidRPr="00E93F40" w:rsidRDefault="00F664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виду всего изложенного заявляю, что в таких условиях больше работать не в состоянии, и если к завтрашнему дню у меня и моего заместителя не будет определённо зафиксированного места в помещении Дирижаблестроя, где я мог бы спокойно работать вместе с моим заместителем и секретарём, то я буду вынужден подать рапорт нач-ку Дирижаблестроя об освобождении меня вообще от службы, т. к. в таких невыносимых условиях я её продолжать не могу, да и коэффициент полезного действия при этом у меня (как и у всякого на моём месте), безусловно, понижается, и, кроме того, я вообще не могу себе представить - каким образом из большой площади, занимаемой Дирижаблестроем на Кузнецком, до сих пор не может быть выделена для важнейшей - производственной - работы хотя бы минимальная площадь.</w:t>
      </w:r>
    </w:p>
    <w:p w14:paraId="05AB858D" w14:textId="77777777" w:rsidR="00F66410" w:rsidRPr="00E93F40" w:rsidRDefault="00F664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Врид. нач. произв. сектора Б. Воробьёв</w:t>
      </w:r>
    </w:p>
    <w:p w14:paraId="202F2C98" w14:textId="77777777" w:rsidR="00F66410" w:rsidRPr="00E93F40" w:rsidRDefault="00F664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Неизвестно, получил ли проситель на следующий день подходящее место, но он никуда не ушёл и оставался на Дирижаблестрое ещё несколько лет (23192).</w:t>
      </w:r>
    </w:p>
    <w:p w14:paraId="4CCE89CD" w14:textId="77777777" w:rsidR="00F66410" w:rsidRPr="00E93F40" w:rsidRDefault="00F66410" w:rsidP="00E93F40">
      <w:pPr>
        <w:spacing w:after="0" w:line="240" w:lineRule="auto"/>
        <w:jc w:val="both"/>
        <w:rPr>
          <w:rFonts w:ascii="Times New Roman" w:hAnsi="Times New Roman"/>
          <w:color w:val="000000" w:themeColor="text1"/>
          <w:sz w:val="16"/>
          <w:szCs w:val="16"/>
        </w:rPr>
      </w:pPr>
    </w:p>
    <w:p w14:paraId="03E86654" w14:textId="77777777" w:rsidR="00AD6C32"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5AA5380" w14:textId="77777777" w:rsidR="00AD6C32" w:rsidRPr="00E93F40" w:rsidRDefault="00AD6C3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25204B4"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января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№85. 1. Проект тезисов по докладу ВСНХ СССР о работе промышленности в 1931 г. и о перспективах на 1932 г. (Орджоникидзе). 4. О строительстве Ижевского завода (ПБ от 23 декабря 1931 г., пр. № 81, п. 25). (Орджоникидзе, Темкин, Белоцерковец). 11. О работе Осоавиахима (ПБ от 18 декабря 1931 г., пр. № 81, п. 43/4). Опросом членов ПБ: от 19 января 1932 г. 34/6. О транспорте для военной промышленности — ОП; от 32 января 1932 г. 52/24. О работе Чапаевского военно-химического завода (постановление Средне-Волжского крайкома ВКП(б)). (Политбюро... Т. 2. С. 265, 266, 267) (12416).</w:t>
      </w:r>
    </w:p>
    <w:p w14:paraId="4F8B57DD"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p>
    <w:p w14:paraId="2FB69779"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23 января 1932 </w:t>
      </w:r>
      <w:r w:rsidRPr="00E93F40">
        <w:rPr>
          <w:rFonts w:ascii="Times New Roman" w:hAnsi="Times New Roman"/>
          <w:color w:val="000000" w:themeColor="text1"/>
          <w:sz w:val="16"/>
          <w:szCs w:val="16"/>
        </w:rPr>
        <w:t>Политбюро ЦК ВКП (б) утвердило в основном тезисы отчетного доклада Г. К. Орджоникидзе на XVII партийной конференции о работе промышленности в 1931 г. и о перспективах на 1932 г.; приняло постановления: о дополнительных бюджетных доходах в 1932 г., о постройке трех бумажных комбинатов в Сибири и на Дальнем (Востоке, об увеличении плана капитальных работ и ассигнований по промышленности Наркомснаба на 1932 г. и о расширении перевода уральской металлургии на минеральное топливо, об ускорении строительства калийных предприятий в Соликамске, о значительном увеличении строительства на Урале предприятий стройматериалов (12265).</w:t>
      </w:r>
    </w:p>
    <w:p w14:paraId="0ADDBCCD" w14:textId="0639772A" w:rsidR="00AD6C32"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77A0AEA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A5946F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0517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января ФДР начал президентскую компанию (2100).</w:t>
      </w:r>
    </w:p>
    <w:p w14:paraId="245E9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11C34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37CACB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0FAD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 25 января и 4 и 5 февраля 1932 в ходе испытаний на 22 заводе самолета Р6 N 2201 (эталон на 1932 год), которые проходили с 23 января по 7 апреля 1932, было выполнено 20 полетов на определение степени и характера вибраций хвостового оперения (3003).</w:t>
      </w:r>
    </w:p>
    <w:p w14:paraId="6330A5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3A5C5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5F6430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5766FF" w14:textId="5EA2519A" w:rsidR="0062757D" w:rsidRPr="00E93F40" w:rsidRDefault="006275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Французские пилоты Пол Кодос и Анри Робида приземляются в Париже, Франция после полета из Ханоя, Французский Индокитай, в рекордное время 3 дней 4 часа (22645).</w:t>
      </w:r>
    </w:p>
    <w:p w14:paraId="3D17157C" w14:textId="77777777" w:rsidR="0062757D" w:rsidRPr="00E93F40" w:rsidRDefault="0062757D" w:rsidP="00E93F40">
      <w:pPr>
        <w:spacing w:after="0" w:line="240" w:lineRule="auto"/>
        <w:jc w:val="both"/>
        <w:rPr>
          <w:rFonts w:ascii="Times New Roman" w:hAnsi="Times New Roman"/>
          <w:color w:val="000000" w:themeColor="text1"/>
          <w:sz w:val="16"/>
          <w:szCs w:val="16"/>
        </w:rPr>
      </w:pPr>
    </w:p>
    <w:p w14:paraId="137695A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января 1932 иезуитские ордена запрещены в Испании, их имущество конфисковано (4962).</w:t>
      </w:r>
    </w:p>
    <w:p w14:paraId="4757D1E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D5C0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4600D5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3EDE2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января 1932 г. состоялась Всеармейская конференция по качеству авиационной продукции, на которой отмечалось, что мотор М-17 имел 76 дефектов. Поэтому после заводских работ лицензионные двигатели проходили специальную доработку в Центральном авиамоторном институте (РГВА. Ф. 4. Оп. 14. Д. 709. Л. 12).). Ими оснастили 216 (по другим источникам — 218) тяжелых бомбардировщиков ТБ-1, 399 (возможно меньше — 389) истребителей И-3, 7000 разведчиков Р-5 и некоторые экспериментальные машины, а также самолеты морской и гражданской авиации (</w:t>
      </w:r>
      <w:r w:rsidRPr="00E93F40">
        <w:rPr>
          <w:rFonts w:ascii="Times New Roman" w:hAnsi="Times New Roman"/>
          <w:iCs/>
          <w:color w:val="000000" w:themeColor="text1"/>
          <w:sz w:val="16"/>
          <w:szCs w:val="16"/>
        </w:rPr>
        <w:t xml:space="preserve">Яковлев А.С. </w:t>
      </w:r>
      <w:r w:rsidRPr="00E93F40">
        <w:rPr>
          <w:rFonts w:ascii="Times New Roman" w:hAnsi="Times New Roman"/>
          <w:color w:val="000000" w:themeColor="text1"/>
          <w:sz w:val="16"/>
          <w:szCs w:val="16"/>
        </w:rPr>
        <w:t xml:space="preserve">Советские самолеты. Краткий очерк. М.: Наука, 1982. С. 41; </w:t>
      </w:r>
      <w:r w:rsidRPr="00E93F40">
        <w:rPr>
          <w:rFonts w:ascii="Times New Roman" w:hAnsi="Times New Roman"/>
          <w:iCs/>
          <w:color w:val="000000" w:themeColor="text1"/>
          <w:sz w:val="16"/>
          <w:szCs w:val="16"/>
        </w:rPr>
        <w:t xml:space="preserve">Шавров В.Б. </w:t>
      </w:r>
      <w:r w:rsidRPr="00E93F40">
        <w:rPr>
          <w:rFonts w:ascii="Times New Roman" w:hAnsi="Times New Roman"/>
          <w:color w:val="000000" w:themeColor="text1"/>
          <w:sz w:val="16"/>
          <w:szCs w:val="16"/>
        </w:rPr>
        <w:t>Указ. соч. С. 725, 727, 739.). Было еще одно обстоятельство, определявшее столь широкое применение моторов «БМВ» в советских авиационных частях. Германский мотор был едва ли не единственным, за производство которого советская сторона не платила фирме лицензионных отчислений и освобождалась от контроля над выпускаемой продукцией. Правда, за это в 1930 году пришлось уплатить фирме 650 тыс. германских марок (РГВА. Ф. 4. Оп. 1. Д. 1481. Л. 198.) (11174).</w:t>
      </w:r>
    </w:p>
    <w:p w14:paraId="7812A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EB59F8" w14:textId="77777777" w:rsidR="00F66410" w:rsidRPr="00E93F40" w:rsidRDefault="00F66410" w:rsidP="00E93F40">
      <w:pPr>
        <w:shd w:val="clear" w:color="auto" w:fill="FFFFFF"/>
        <w:spacing w:after="0" w:line="240" w:lineRule="auto"/>
        <w:jc w:val="both"/>
        <w:textAlignment w:val="top"/>
        <w:rPr>
          <w:rFonts w:ascii="Times New Roman" w:hAnsi="Times New Roman"/>
          <w:color w:val="000000" w:themeColor="text1"/>
          <w:sz w:val="16"/>
          <w:szCs w:val="16"/>
        </w:rPr>
      </w:pPr>
      <w:r w:rsidRPr="00E93F40">
        <w:rPr>
          <w:rFonts w:ascii="Times New Roman" w:hAnsi="Times New Roman"/>
          <w:color w:val="000000" w:themeColor="text1"/>
          <w:sz w:val="16"/>
          <w:szCs w:val="16"/>
        </w:rPr>
        <w:t>25 января 1932 года Постановление СНК от 25 января 1932 года «Об образовании главного управления гражданского воздушного флота при СНК Союза ССР», утверждено Политбюро ЦК ВКП(б) 23 февраля 1932 года. (Вместо Всесоюзного объединения гражданского воздушного флота при Совете Труда и Обороны (ВО ГВФ СТО) образовать Главное управление гражданского воздушного флота при СНК СССР, возложить на него регулирование всей гражданской авиации СССР, организовать тресты и инспекцию...)</w:t>
      </w:r>
    </w:p>
    <w:p w14:paraId="1DE7617A" w14:textId="77777777" w:rsidR="00F66410" w:rsidRPr="00E93F40" w:rsidRDefault="00F66410" w:rsidP="00E93F40">
      <w:pPr>
        <w:shd w:val="clear" w:color="auto" w:fill="FFFFFF"/>
        <w:spacing w:after="0" w:line="240" w:lineRule="auto"/>
        <w:jc w:val="both"/>
        <w:textAlignment w:val="top"/>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Утверждено СНК 28.05.1932 с отменой постановлений от 29.10.1930 и 6.08.1931 (20226).</w:t>
      </w:r>
    </w:p>
    <w:p w14:paraId="50934BC1" w14:textId="77777777" w:rsidR="00F66410" w:rsidRPr="00E93F40" w:rsidRDefault="00F66410" w:rsidP="00E93F40">
      <w:pPr>
        <w:spacing w:after="0" w:line="240" w:lineRule="auto"/>
        <w:jc w:val="both"/>
        <w:rPr>
          <w:rFonts w:ascii="Times New Roman" w:hAnsi="Times New Roman"/>
          <w:color w:val="000000" w:themeColor="text1"/>
          <w:sz w:val="16"/>
          <w:szCs w:val="16"/>
          <w:shd w:val="clear" w:color="auto" w:fill="FFFFFF"/>
        </w:rPr>
      </w:pPr>
    </w:p>
    <w:p w14:paraId="3DCDFB10" w14:textId="77777777" w:rsidR="00F66410" w:rsidRPr="00E93F40" w:rsidRDefault="00F66410"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25 января 1932 года в рамках постановления СНК создана Трансавиация (трест), ликвидирован в рамках постановления от 19 мая 1934 года</w:t>
      </w:r>
      <w:r w:rsidRPr="00E93F40">
        <w:rPr>
          <w:rFonts w:ascii="Times New Roman" w:hAnsi="Times New Roman"/>
          <w:color w:val="000000" w:themeColor="text1"/>
          <w:sz w:val="16"/>
          <w:szCs w:val="16"/>
        </w:rPr>
        <w:t xml:space="preserve"> (20226)</w:t>
      </w:r>
      <w:r w:rsidRPr="00E93F40">
        <w:rPr>
          <w:rFonts w:ascii="Times New Roman" w:hAnsi="Times New Roman"/>
          <w:color w:val="000000" w:themeColor="text1"/>
          <w:sz w:val="16"/>
          <w:szCs w:val="16"/>
          <w:shd w:val="clear" w:color="auto" w:fill="FFFFFF"/>
        </w:rPr>
        <w:t>.</w:t>
      </w:r>
    </w:p>
    <w:p w14:paraId="22256763" w14:textId="77777777" w:rsidR="00F66410" w:rsidRPr="00E93F40" w:rsidRDefault="00F66410" w:rsidP="00E93F40">
      <w:pPr>
        <w:shd w:val="clear" w:color="auto" w:fill="FFFFFF"/>
        <w:spacing w:after="0" w:line="240" w:lineRule="auto"/>
        <w:jc w:val="both"/>
        <w:textAlignment w:val="top"/>
        <w:rPr>
          <w:rFonts w:ascii="Times New Roman" w:hAnsi="Times New Roman"/>
          <w:color w:val="000000" w:themeColor="text1"/>
          <w:sz w:val="16"/>
          <w:szCs w:val="16"/>
        </w:rPr>
      </w:pPr>
    </w:p>
    <w:p w14:paraId="7DA7BCA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6FC95C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09CD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января 1932 г. на крейсере Красный Кавказ был поднят военно-морской флаг и он вступил в строй Морских сил Черного моря. Длительный срок модернизации объяснялся как необходимостью изготовления вновь утра</w:t>
      </w:r>
      <w:r w:rsidRPr="00E93F40">
        <w:rPr>
          <w:rFonts w:ascii="Times New Roman" w:hAnsi="Times New Roman"/>
          <w:color w:val="000000" w:themeColor="text1"/>
          <w:sz w:val="16"/>
          <w:szCs w:val="16"/>
        </w:rPr>
        <w:softHyphen/>
        <w:t>ченных деталей механизмов, так и доработкой проекта, а главное — проблемами в создании 180-мм башенных установок — основного вооружения крейсера (3898).</w:t>
      </w:r>
    </w:p>
    <w:p w14:paraId="6A111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8ABC11" w14:textId="77777777" w:rsidR="00AD6C32"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3E5D989D" w14:textId="77777777" w:rsidR="00AD6C32" w:rsidRPr="00E93F40" w:rsidRDefault="00AD6C3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B4A0F8"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25 января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ЦИК и СНК СССР о порядке обложения специальным военным налогом граждан, зачисленных в тыловое ополчение (СЗ. 1932. № 7. Ст. 41) (12415).</w:t>
      </w:r>
    </w:p>
    <w:p w14:paraId="57900D14"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p>
    <w:p w14:paraId="4C52A0F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18F50DE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221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января 1932 СССР подписал пакт о ненападении с Польшей (2100).</w:t>
      </w:r>
    </w:p>
    <w:p w14:paraId="133636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CD06C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18ACB7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ACDB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января и 20, 22 марта 1932 в ходе испытаний на 22 заводе самолета Р6 N 2201 (эталон на 1932 год), которые проходили с 23 января по 7 апреля 1932, было выполнено 3 полета на испытание аэронавигационного оборудования (3003).</w:t>
      </w:r>
    </w:p>
    <w:p w14:paraId="066C3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7C2B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января и 5 марта 1932 в ходе испытаний на 22 заводе самолета Р6 N 2201 (эталон на 1932 год), которые проходили с 23 января по 7 апреля 1932, было выполнено 2 полета на испытание вооружения (3003).</w:t>
      </w:r>
    </w:p>
    <w:p w14:paraId="1398D9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8C79FF" w14:textId="77777777" w:rsidR="00981ECA" w:rsidRPr="00142305" w:rsidRDefault="00981ECA" w:rsidP="00981EC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января 1932 г. НИИ ГВФ получил распоряжение произвести расчеты целесообразности установки на АНТ-9 двух двигателей М-17 мощнос</w:t>
      </w:r>
      <w:r w:rsidRPr="00142305">
        <w:rPr>
          <w:rFonts w:ascii="Times New Roman" w:hAnsi="Times New Roman"/>
          <w:color w:val="0070C0"/>
          <w:sz w:val="16"/>
          <w:szCs w:val="16"/>
        </w:rPr>
        <w:softHyphen/>
        <w:t>тью по 600 л.с. Мотор М-17 представлял собой лицензионную копию немецкого BMW VI и выпускался заводом № 26 в Рыбинске. Эту работу предписывалось закончить в феврале (34949).</w:t>
      </w:r>
    </w:p>
    <w:p w14:paraId="1E310E78" w14:textId="77777777" w:rsidR="00981ECA" w:rsidRPr="00142305" w:rsidRDefault="00981ECA" w:rsidP="00981ECA">
      <w:pPr>
        <w:spacing w:after="0" w:line="240" w:lineRule="auto"/>
        <w:jc w:val="both"/>
        <w:rPr>
          <w:rFonts w:ascii="Times New Roman" w:hAnsi="Times New Roman"/>
          <w:color w:val="0070C0"/>
          <w:sz w:val="16"/>
          <w:szCs w:val="16"/>
        </w:rPr>
      </w:pPr>
    </w:p>
    <w:p w14:paraId="69EFB020"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26 января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61/17 о пополнении перечня должностей, приравненных в продовольственном и промтоварном снабжении к мобработникам (ГА РФ. Ф. Р?8418. Оп. 28. Д. 146. Л. 1) (12415).</w:t>
      </w:r>
    </w:p>
    <w:p w14:paraId="2B44B293"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31/23сс о постройке заводов ОКБ Вирджили (ГА РФ. Ф. Р?8418. Оп. 28. Д. 1а. Л. 120) (12415).</w:t>
      </w:r>
    </w:p>
    <w:p w14:paraId="058385A0" w14:textId="77777777" w:rsidR="00AD6C32" w:rsidRPr="00E93F40" w:rsidRDefault="00AD6C32" w:rsidP="00E93F40">
      <w:pPr>
        <w:spacing w:after="0" w:line="240" w:lineRule="auto"/>
        <w:jc w:val="both"/>
        <w:rPr>
          <w:rFonts w:ascii="Times New Roman" w:hAnsi="Times New Roman"/>
          <w:color w:val="000000" w:themeColor="text1"/>
          <w:sz w:val="16"/>
          <w:szCs w:val="16"/>
          <w:u w:color="002060"/>
        </w:rPr>
      </w:pPr>
    </w:p>
    <w:p w14:paraId="21AA0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января 1932 НИИ ГВФ получил распоряжение провести рассчеты целесообразности установки на АНТ-9 двух М-17. Работы выполнили в СНИИ под руководством С.И.Комарова. Мотоустановку целиком взяли с Р-6ю Переделку выполнили в ЦАРБ (10542,31).</w:t>
      </w:r>
    </w:p>
    <w:p w14:paraId="128AA0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45E49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35FD5A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93CB6C" w14:textId="2AE5D374"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приказе по «Новому Сормову» говорилось: «На заводе отмечены ненормальные явления в области трудовых показателей, как то бессистемное и произвольное изменение расценок, огульное и необоснованное выделение премий, большие размеры сверхурочных работ, очень большие размеры оплаты на сдельных работах, несоответствие выполнения плана наличию рабочей силы. Например, выполнение плана — 74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наличие рабочей силы — 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производительность труда — 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зарплата — 109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 — ГУ ЦАНО, Ф. 2491, Оп. 1, Д. 1, Л. 46.] Заведующие цехами и мастера устанавливали произвольные нормы выработки и расценки в сторону завышения зарплаты (11741).</w:t>
      </w:r>
    </w:p>
    <w:p w14:paraId="46EFB5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1DF22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8DEBD7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4178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26 января 1932 года состоялось заседание коллегии ОГПУ, которая вынесла постановление заключить в концлагерь: сроком на 8 лет — профессора Тимирязевской сельскохозяйственной академии, директора Конъюнктурного института Н.Д.Кондратьева; профессора Тимирязевской академии, члена Президиума Земплана Наркомзема РСФСР Н.П.Макарова; профессора Московского планово-экономического института, начальника валютного управления, члена Коллегии Наркомфина СССР Л.Н.Юровского; сроком на 5 лет — профессора Тимирязевской академии, члена Коллегии Института крупного хозяйства и консультанта правления Зернотреста А.В.Чаянова; профессора Тимирязевской академии, редактора журнала «Вестник сельского хозяйства» А.Г.Дояренко; профессора Тимирязевской академии и МГУ А.А.Рыбникова; сроком на 3 года с заменой этого наказания высылкой на тот же срок — профессора Тимирязевской академии, научного сотрудника Госплана СССР Л.Н.Литошенко; профессора Тимирязевской академии, заведующего опытным отделом Наркомзема РСФСР С.К.Чаянова; профессора МГУ и Института промышленности и труда Л.Б.Кафенгауза; сроком на 3 года с заменой этого наказания ограничением в месте жительства на тот же срок — старшего экономиста Наркомзема РСФСР А.В.Тейтеля; доцента Московского планового института и консультанта Наркомфина СССР И.Н.Леонтьева; сроком на 3 года с последующим освобождением от наказания — профессора Тимирязевской академии и редактора журнала «Агропром» А.О.Фабриканта (11497).</w:t>
      </w:r>
    </w:p>
    <w:p w14:paraId="062BE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FEC75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5312C9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08AFB0" w14:textId="6B3D0A1A" w:rsidR="00F66410" w:rsidRPr="00E93F40" w:rsidRDefault="00F664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января 1932 после прототипа Stinson Model R, который он пилотирует, заканчивается топливо над озером Мичиган во время демонстрационного полета из Чикаго, штат Иллинойс. Эдвард «Эдди» Стинсон - основатель компании Stinson Aircraft Company - пытается посадить самолет на поле для гольфа. Крыло самолета ударило по флагштоку и самолет разбивается убив Стинсона и ранив остальных трех человек на борту (20803).</w:t>
      </w:r>
    </w:p>
    <w:p w14:paraId="5948B792" w14:textId="77777777" w:rsidR="00F66410" w:rsidRPr="00E93F40" w:rsidRDefault="00F66410" w:rsidP="00E93F40">
      <w:pPr>
        <w:spacing w:after="0" w:line="240" w:lineRule="auto"/>
        <w:jc w:val="both"/>
        <w:rPr>
          <w:rFonts w:ascii="Times New Roman" w:hAnsi="Times New Roman"/>
          <w:i/>
          <w:iCs/>
          <w:color w:val="000000" w:themeColor="text1"/>
          <w:sz w:val="16"/>
          <w:szCs w:val="16"/>
          <w:lang w:eastAsia="ru-RU" w:bidi="ru-RU"/>
        </w:rPr>
      </w:pPr>
    </w:p>
    <w:p w14:paraId="3A897A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января 1932 английский подводный авианосец М-2 затонул в Ла-Манше (3481). Затонула из-за незакрытого люка ангара. Несла самолет Пэто, сконструированный еще в 1926 и совершившем первый полет 19 августа 1926. Работы по подводным авианосцам - закрыли (3861, 97).</w:t>
      </w:r>
    </w:p>
    <w:p w14:paraId="471DDC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A52A1B" w14:textId="77777777" w:rsidR="00072FD9" w:rsidRPr="00E93F40" w:rsidRDefault="00072FD9"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26 января</w:t>
      </w:r>
      <w:r w:rsidRPr="00E93F40">
        <w:rPr>
          <w:rFonts w:ascii="Times New Roman" w:hAnsi="Times New Roman"/>
          <w:color w:val="000000" w:themeColor="text1"/>
          <w:sz w:val="16"/>
          <w:szCs w:val="16"/>
        </w:rPr>
        <w:t xml:space="preserve"> в 1932 году английский подводный </w:t>
      </w:r>
      <w:hyperlink r:id="rId19" w:tgtFrame="_blank" w:history="1">
        <w:r w:rsidRPr="00E93F40">
          <w:rPr>
            <w:rFonts w:ascii="Times New Roman" w:hAnsi="Times New Roman"/>
            <w:color w:val="000000" w:themeColor="text1"/>
            <w:sz w:val="16"/>
            <w:szCs w:val="16"/>
          </w:rPr>
          <w:t xml:space="preserve">«авианосец» «М-2» </w:t>
        </w:r>
      </w:hyperlink>
      <w:r w:rsidRPr="00E93F40">
        <w:rPr>
          <w:rFonts w:ascii="Times New Roman" w:hAnsi="Times New Roman"/>
          <w:color w:val="000000" w:themeColor="text1"/>
          <w:sz w:val="16"/>
          <w:szCs w:val="16"/>
        </w:rPr>
        <w:t>тонет в Ла-Манше.</w:t>
      </w:r>
    </w:p>
    <w:p w14:paraId="5E4D3B0D" w14:textId="77777777" w:rsidR="00072FD9" w:rsidRPr="00E93F40" w:rsidRDefault="00072F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Англии построили подводные мониторы «М-1», «М-2» и «М-3». В 1927 г. «М-2» переделали в подводный авианосец. Вместо орудийной башни был установлен ангар, в котором находился небольшой гидросамолет (15021).</w:t>
      </w:r>
    </w:p>
    <w:p w14:paraId="53DF5B7B" w14:textId="77777777" w:rsidR="00072FD9" w:rsidRPr="00E93F40" w:rsidRDefault="00072FD9" w:rsidP="00E93F40">
      <w:pPr>
        <w:spacing w:after="0" w:line="240" w:lineRule="auto"/>
        <w:jc w:val="both"/>
        <w:rPr>
          <w:rFonts w:ascii="Times New Roman" w:hAnsi="Times New Roman"/>
          <w:color w:val="000000" w:themeColor="text1"/>
          <w:sz w:val="16"/>
          <w:szCs w:val="16"/>
        </w:rPr>
      </w:pPr>
    </w:p>
    <w:p w14:paraId="3F299AA2" w14:textId="77777777" w:rsidR="00EB6B1E" w:rsidRPr="00E93F40" w:rsidRDefault="00EB6B1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ян</w:t>
      </w:r>
      <w:r w:rsidRPr="00E93F40">
        <w:rPr>
          <w:rFonts w:ascii="Times New Roman" w:hAnsi="Times New Roman"/>
          <w:color w:val="000000" w:themeColor="text1"/>
          <w:sz w:val="16"/>
          <w:szCs w:val="16"/>
        </w:rPr>
        <w:softHyphen/>
        <w:t>варя 1932 года в ходе одного из учебных погружений подводный авиа</w:t>
      </w:r>
      <w:r w:rsidRPr="00E93F40">
        <w:rPr>
          <w:rFonts w:ascii="Times New Roman" w:hAnsi="Times New Roman"/>
          <w:color w:val="000000" w:themeColor="text1"/>
          <w:sz w:val="16"/>
          <w:szCs w:val="16"/>
        </w:rPr>
        <w:softHyphen/>
        <w:t>носец М-2затонул на глубине 30 м недалеко от Портсмута. Некоторые специалисты связывают гибель М-2 с оригинальной конструк</w:t>
      </w:r>
      <w:r w:rsidRPr="00E93F40">
        <w:rPr>
          <w:rFonts w:ascii="Times New Roman" w:hAnsi="Times New Roman"/>
          <w:color w:val="000000" w:themeColor="text1"/>
          <w:sz w:val="16"/>
          <w:szCs w:val="16"/>
        </w:rPr>
        <w:softHyphen/>
        <w:t>цией его самолетного ангара. Чтобы не снижать и без того невысокую остой</w:t>
      </w:r>
      <w:r w:rsidRPr="00E93F40">
        <w:rPr>
          <w:rFonts w:ascii="Times New Roman" w:hAnsi="Times New Roman"/>
          <w:color w:val="000000" w:themeColor="text1"/>
          <w:sz w:val="16"/>
          <w:szCs w:val="16"/>
        </w:rPr>
        <w:softHyphen/>
        <w:t>чивость М-2 установкой на верхней палубе прочного тяжелого ангара, тол</w:t>
      </w:r>
      <w:r w:rsidRPr="00E93F40">
        <w:rPr>
          <w:rFonts w:ascii="Times New Roman" w:hAnsi="Times New Roman"/>
          <w:color w:val="000000" w:themeColor="text1"/>
          <w:sz w:val="16"/>
          <w:szCs w:val="16"/>
        </w:rPr>
        <w:softHyphen/>
        <w:t>стые стенки которого могли бы выдер</w:t>
      </w:r>
      <w:r w:rsidRPr="00E93F40">
        <w:rPr>
          <w:rFonts w:ascii="Times New Roman" w:hAnsi="Times New Roman"/>
          <w:color w:val="000000" w:themeColor="text1"/>
          <w:sz w:val="16"/>
          <w:szCs w:val="16"/>
        </w:rPr>
        <w:softHyphen/>
        <w:t>живать давление воды до предельной глубины погружения (ангар “тяжело</w:t>
      </w:r>
      <w:r w:rsidRPr="00E93F40">
        <w:rPr>
          <w:rFonts w:ascii="Times New Roman" w:hAnsi="Times New Roman"/>
          <w:color w:val="000000" w:themeColor="text1"/>
          <w:sz w:val="16"/>
          <w:szCs w:val="16"/>
        </w:rPr>
        <w:softHyphen/>
        <w:t>го” типа), конструкторы разработали для М-2 ангар “легкого” типа. Он имел тонкие стенки, а чтобы их не смяло давлением воды в подводном положе</w:t>
      </w:r>
      <w:r w:rsidRPr="00E93F40">
        <w:rPr>
          <w:rFonts w:ascii="Times New Roman" w:hAnsi="Times New Roman"/>
          <w:color w:val="000000" w:themeColor="text1"/>
          <w:sz w:val="16"/>
          <w:szCs w:val="16"/>
        </w:rPr>
        <w:softHyphen/>
        <w:t>нии, ангар автоматически поддавли</w:t>
      </w:r>
      <w:r w:rsidRPr="00E93F40">
        <w:rPr>
          <w:rFonts w:ascii="Times New Roman" w:hAnsi="Times New Roman"/>
          <w:color w:val="000000" w:themeColor="text1"/>
          <w:sz w:val="16"/>
          <w:szCs w:val="16"/>
        </w:rPr>
        <w:softHyphen/>
        <w:t>вался изнутри сжатым воздухом. При всплытии избыточное давление страв</w:t>
      </w:r>
      <w:r w:rsidRPr="00E93F40">
        <w:rPr>
          <w:rFonts w:ascii="Times New Roman" w:hAnsi="Times New Roman"/>
          <w:color w:val="000000" w:themeColor="text1"/>
          <w:sz w:val="16"/>
          <w:szCs w:val="16"/>
        </w:rPr>
        <w:softHyphen/>
        <w:t>ливалось через специальный клапан в крыше ангара. Хотя такая конструк</w:t>
      </w:r>
      <w:r w:rsidRPr="00E93F40">
        <w:rPr>
          <w:rFonts w:ascii="Times New Roman" w:hAnsi="Times New Roman"/>
          <w:color w:val="000000" w:themeColor="text1"/>
          <w:sz w:val="16"/>
          <w:szCs w:val="16"/>
        </w:rPr>
        <w:softHyphen/>
        <w:t>ция и позволила сохранить остойчи</w:t>
      </w:r>
      <w:r w:rsidRPr="00E93F40">
        <w:rPr>
          <w:rFonts w:ascii="Times New Roman" w:hAnsi="Times New Roman"/>
          <w:color w:val="000000" w:themeColor="text1"/>
          <w:sz w:val="16"/>
          <w:szCs w:val="16"/>
        </w:rPr>
        <w:softHyphen/>
        <w:t>вость лодки в допустимых пределах, но была более сложна, а значит и менее надежна, что и продемонстрировала гибель М-2. В дальнейшем все подвод</w:t>
      </w:r>
      <w:r w:rsidRPr="00E93F40">
        <w:rPr>
          <w:rFonts w:ascii="Times New Roman" w:hAnsi="Times New Roman"/>
          <w:color w:val="000000" w:themeColor="text1"/>
          <w:sz w:val="16"/>
          <w:szCs w:val="16"/>
        </w:rPr>
        <w:softHyphen/>
        <w:t>ные авианосцы оснащались ангарами только “тяжелого” типа.</w:t>
      </w:r>
    </w:p>
    <w:p w14:paraId="3A1E0DBF" w14:textId="77777777" w:rsidR="00EB6B1E" w:rsidRPr="00E93F40" w:rsidRDefault="00EB6B1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бюджетные ограничения, в 1927 году англичанам удалось переделать свой подводный монитор М-2 (ранее воо</w:t>
      </w:r>
      <w:r w:rsidRPr="00E93F40">
        <w:rPr>
          <w:rFonts w:ascii="Times New Roman" w:hAnsi="Times New Roman"/>
          <w:color w:val="000000" w:themeColor="text1"/>
          <w:sz w:val="16"/>
          <w:szCs w:val="16"/>
        </w:rPr>
        <w:softHyphen/>
        <w:t>руженный 305 мм орудием!) в авиа</w:t>
      </w:r>
      <w:r w:rsidRPr="00E93F40">
        <w:rPr>
          <w:rFonts w:ascii="Times New Roman" w:hAnsi="Times New Roman"/>
          <w:color w:val="000000" w:themeColor="text1"/>
          <w:sz w:val="16"/>
          <w:szCs w:val="16"/>
        </w:rPr>
        <w:softHyphen/>
        <w:t>несущую субмарину. Специально для нее фирмой G. Parmall Aircraft Со. был разработан двухместный самолет-раз</w:t>
      </w:r>
      <w:r w:rsidRPr="00E93F40">
        <w:rPr>
          <w:rFonts w:ascii="Times New Roman" w:hAnsi="Times New Roman"/>
          <w:color w:val="000000" w:themeColor="text1"/>
          <w:sz w:val="16"/>
          <w:szCs w:val="16"/>
        </w:rPr>
        <w:softHyphen/>
        <w:t>ведчик Peto. Взлет самолета осущест</w:t>
      </w:r>
      <w:r w:rsidRPr="00E93F40">
        <w:rPr>
          <w:rFonts w:ascii="Times New Roman" w:hAnsi="Times New Roman"/>
          <w:color w:val="000000" w:themeColor="text1"/>
          <w:sz w:val="16"/>
          <w:szCs w:val="16"/>
        </w:rPr>
        <w:softHyphen/>
        <w:t>влялся при помощи катапульты при полном ходу лодки на ветер, а после выполнения задания машина подни</w:t>
      </w:r>
      <w:r w:rsidRPr="00E93F40">
        <w:rPr>
          <w:rFonts w:ascii="Times New Roman" w:hAnsi="Times New Roman"/>
          <w:color w:val="000000" w:themeColor="text1"/>
          <w:sz w:val="16"/>
          <w:szCs w:val="16"/>
        </w:rPr>
        <w:softHyphen/>
        <w:t>малась на борт подъемным краном.</w:t>
      </w:r>
    </w:p>
    <w:p w14:paraId="2E022A82" w14:textId="77777777" w:rsidR="00EB6B1E" w:rsidRPr="00E93F40" w:rsidRDefault="00EB6B1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экономии времени запуска само</w:t>
      </w:r>
      <w:r w:rsidRPr="00E93F40">
        <w:rPr>
          <w:rFonts w:ascii="Times New Roman" w:hAnsi="Times New Roman"/>
          <w:color w:val="000000" w:themeColor="text1"/>
          <w:sz w:val="16"/>
          <w:szCs w:val="16"/>
        </w:rPr>
        <w:softHyphen/>
        <w:t>лета его заправка топливом и подог</w:t>
      </w:r>
      <w:r w:rsidRPr="00E93F40">
        <w:rPr>
          <w:rFonts w:ascii="Times New Roman" w:hAnsi="Times New Roman"/>
          <w:color w:val="000000" w:themeColor="text1"/>
          <w:sz w:val="16"/>
          <w:szCs w:val="16"/>
        </w:rPr>
        <w:softHyphen/>
        <w:t>ретым маслом осуществлялась еще под водой, а сразу же после всплытия самолет устанавливался на тележку катапульты для старта (22804).</w:t>
      </w:r>
    </w:p>
    <w:p w14:paraId="24259A11" w14:textId="77777777" w:rsidR="00EB6B1E" w:rsidRPr="00E93F40" w:rsidRDefault="00EB6B1E" w:rsidP="00E93F40">
      <w:pPr>
        <w:spacing w:after="0" w:line="240" w:lineRule="auto"/>
        <w:jc w:val="both"/>
        <w:rPr>
          <w:rFonts w:ascii="Times New Roman" w:hAnsi="Times New Roman"/>
          <w:color w:val="000000" w:themeColor="text1"/>
          <w:sz w:val="16"/>
          <w:szCs w:val="16"/>
        </w:rPr>
      </w:pPr>
    </w:p>
    <w:p w14:paraId="3AC55DE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0AFD65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4BF5BC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27 января по 13 марта 1932 в НИИ ВВС проходили гос. испытания И-5, эталон 1932 (6778).</w:t>
      </w:r>
    </w:p>
    <w:p w14:paraId="2C31427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CF2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27 января по 13 марта 1932 проходили испытания самолета И5 N 4298 (эталон на 1932 год) с мотором М-22 Е=6,5 N 9019 Винт Д=2,80 м Н=2,10 м N 29059 (3002).</w:t>
      </w:r>
    </w:p>
    <w:p w14:paraId="3F5C9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5EB74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Осипенко</w:t>
      </w:r>
    </w:p>
    <w:p w14:paraId="3759F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Чкалов</w:t>
      </w:r>
    </w:p>
    <w:p w14:paraId="12B496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Цель испытания</w:t>
      </w:r>
    </w:p>
    <w:p w14:paraId="34FAD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Определение возможности использования самолета И5 N 4298 как эталона для постройки самолетов И5-М22 в 1932 году.</w:t>
      </w:r>
    </w:p>
    <w:p w14:paraId="15E5C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Определение летных данных самолета, отличающегося от серийных И5-М22 выпуска 1931 года специальным капотом и рядом конструктивных изменений (3002).</w:t>
      </w:r>
    </w:p>
    <w:p w14:paraId="2B2A8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AD2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года И5 N 4298 (эталон на 1932 год) с мотором М-22 Е=6,5 N 9019 Винт Д=2,80 м Н=2,10 м N 29059 поступил на контрольные испытания и был выполнен полет на управляемость и фигуры на высоте 1000 м (3002).</w:t>
      </w:r>
    </w:p>
    <w:p w14:paraId="7FBEE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CF5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г. первый полет на И-5 №4298 совершил В.П. Чкалов Серий</w:t>
      </w:r>
      <w:r w:rsidRPr="00E93F40">
        <w:rPr>
          <w:rFonts w:ascii="Times New Roman" w:hAnsi="Times New Roman"/>
          <w:color w:val="000000" w:themeColor="text1"/>
          <w:sz w:val="16"/>
          <w:szCs w:val="16"/>
        </w:rPr>
        <w:softHyphen/>
        <w:t>ный И-5 № 4298 с М-22 № 9019 с деревянным воздушным винтом диаметром 2,8 метра, по</w:t>
      </w:r>
      <w:r w:rsidRPr="00E93F40">
        <w:rPr>
          <w:rFonts w:ascii="Times New Roman" w:hAnsi="Times New Roman"/>
          <w:color w:val="000000" w:themeColor="text1"/>
          <w:sz w:val="16"/>
          <w:szCs w:val="16"/>
        </w:rPr>
        <w:softHyphen/>
        <w:t>строенный на авиазаводе №1 стал эталоном на 1932 г. Он отличался, прежде всего, моторной установкой с кольцом Тауненда, разработку которой произвели в ЦАГИ (позднее говорилось, что теперь в кон</w:t>
      </w:r>
      <w:r w:rsidRPr="00E93F40">
        <w:rPr>
          <w:rFonts w:ascii="Times New Roman" w:hAnsi="Times New Roman"/>
          <w:color w:val="000000" w:themeColor="text1"/>
          <w:sz w:val="16"/>
          <w:szCs w:val="16"/>
        </w:rPr>
        <w:softHyphen/>
        <w:t>структорском отделе института действует сквозная бригада по капотам для авиацион</w:t>
      </w:r>
      <w:r w:rsidRPr="00E93F40">
        <w:rPr>
          <w:rFonts w:ascii="Times New Roman" w:hAnsi="Times New Roman"/>
          <w:color w:val="000000" w:themeColor="text1"/>
          <w:sz w:val="16"/>
          <w:szCs w:val="16"/>
        </w:rPr>
        <w:softHyphen/>
        <w:t>ных двигателей). Кроме того, И-5 №4298 отличался выносом шасси, креплением пулеметов, педалями ножного управления, на нем смон- тмровали управляемый костыль и открывае</w:t>
      </w:r>
      <w:r w:rsidRPr="00E93F40">
        <w:rPr>
          <w:rFonts w:ascii="Times New Roman" w:hAnsi="Times New Roman"/>
          <w:color w:val="000000" w:themeColor="text1"/>
          <w:sz w:val="16"/>
          <w:szCs w:val="16"/>
        </w:rPr>
        <w:softHyphen/>
        <w:t>те створки в кабине летчика. В фюзеляже оборудовали бомбовый отсек для подвески двух 8-10 кг авиабомб на держателях ДЕР-6, а за сидением пилота установили фотоаппарат «Лотте». После произведенных доработок самолет в очередной раз потяжелел: вес пустого соста</w:t>
      </w:r>
      <w:r w:rsidRPr="00E93F40">
        <w:rPr>
          <w:rFonts w:ascii="Times New Roman" w:hAnsi="Times New Roman"/>
          <w:color w:val="000000" w:themeColor="text1"/>
          <w:sz w:val="16"/>
          <w:szCs w:val="16"/>
        </w:rPr>
        <w:softHyphen/>
        <w:t>вит 943,5 кг, полетный вес -1355 кг. Испытательные полеты продолжались до 13 марта на лыжном шасси. Летные качества повысились - полет</w:t>
      </w:r>
      <w:r w:rsidRPr="00E93F40">
        <w:rPr>
          <w:rFonts w:ascii="Times New Roman" w:hAnsi="Times New Roman"/>
          <w:color w:val="000000" w:themeColor="text1"/>
          <w:sz w:val="16"/>
          <w:szCs w:val="16"/>
        </w:rPr>
        <w:softHyphen/>
        <w:t>ная скорость у земли составляла 278 км/ч, на высоте 5000 м - 252 км/ч. Отмечалось, что у земли скорость повысилась на 13-15 км/ч (11974).</w:t>
      </w:r>
    </w:p>
    <w:p w14:paraId="0224FB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D421D9"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года первый полет на И-5 №4298 совершил В.П. Чкалов. Испыта тельные полеты продолжались до 13 марта на лыжном шасси. Летные качества повыси</w:t>
      </w:r>
      <w:r w:rsidRPr="00E93F40">
        <w:rPr>
          <w:rFonts w:ascii="Times New Roman" w:hAnsi="Times New Roman"/>
          <w:color w:val="000000" w:themeColor="text1"/>
          <w:sz w:val="16"/>
          <w:szCs w:val="16"/>
        </w:rPr>
        <w:softHyphen/>
        <w:t>лись - полетная скорость у земли составляла 278 км/ч, на высоте 5000 м - 252 км/ч. Отме</w:t>
      </w:r>
      <w:r w:rsidRPr="00E93F40">
        <w:rPr>
          <w:rFonts w:ascii="Times New Roman" w:hAnsi="Times New Roman"/>
          <w:color w:val="000000" w:themeColor="text1"/>
          <w:sz w:val="16"/>
          <w:szCs w:val="16"/>
        </w:rPr>
        <w:softHyphen/>
        <w:t>чалось, что у земли скорость увеличилась на 13—15 км/ч (12295).</w:t>
      </w:r>
    </w:p>
    <w:p w14:paraId="68236DCE" w14:textId="77777777" w:rsidR="00AD6C32" w:rsidRPr="00E93F40" w:rsidRDefault="00AD6C32" w:rsidP="00E93F40">
      <w:pPr>
        <w:spacing w:after="0" w:line="240" w:lineRule="auto"/>
        <w:jc w:val="both"/>
        <w:rPr>
          <w:rFonts w:ascii="Times New Roman" w:hAnsi="Times New Roman"/>
          <w:color w:val="000000" w:themeColor="text1"/>
          <w:sz w:val="16"/>
          <w:szCs w:val="16"/>
        </w:rPr>
      </w:pPr>
    </w:p>
    <w:p w14:paraId="32385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в ходе испытаний на 22 заводе самолета Р6 N 2201 (эталон на 1932 год), которые проходили с 23 января по 7 апреля 1932, был выполнен полет на испытание фотооборудования (3003).</w:t>
      </w:r>
    </w:p>
    <w:p w14:paraId="379C1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D53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в ходе испытаний на 22 заводе самолета Р6 N 2201 (эталон на 1932 год), которые проходили с 23 января по 7 апреля 1932, закончились предварительные летные испытания, которые шли с 22 января (3003).</w:t>
      </w:r>
    </w:p>
    <w:p w14:paraId="03241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DFA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27 января 1932 по 17 апреля 1932 в г. Севастополе проходили гос. испытания Р-5а-М17 на поплавках</w:t>
      </w:r>
    </w:p>
    <w:p w14:paraId="6E5E9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3ED4C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Целесообразно представить на вооружение ВВС как самолет, могущий заменить МБР требуемый современной системой вооружения - особенно же на театрах, где необходим легкий переход на колеса и лыжи. Данные сухопутного Р-5-М17 понизились незначительно.</w:t>
      </w:r>
    </w:p>
    <w:p w14:paraId="037C9E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Произведенные испытания достаточны для принятия решения о пуске в серию.</w:t>
      </w:r>
    </w:p>
    <w:p w14:paraId="5ED41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Доиспытания произвести на головном серийном самолете (3064,176-185).</w:t>
      </w:r>
    </w:p>
    <w:p w14:paraId="08ECB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2B7927" w14:textId="77777777" w:rsidR="00CD4FA6" w:rsidRPr="00E93F40" w:rsidRDefault="00CD4F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27-го января по 17-е апреля 1932 года проходили государственные испытания Р-5а.</w:t>
      </w:r>
    </w:p>
    <w:p w14:paraId="4DD3CC78" w14:textId="77777777" w:rsidR="00CD4FA6" w:rsidRPr="00E93F40" w:rsidRDefault="00CD4F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морского разведчика, получившего обозначение Р-5а, началось в 1930 году под руководством Д.А. Михайлова. Он и конструктор В.Б. Шавров спроектировали поплавки и раму для крепления их к фюзеляжу и нижнему крылу. Каркас поплавков состоял из 21 шпангоута, из них восемь переборок, деливших поплавок на девять водонепроницаемых отсеков. Вся конструкция поплавков – по типу лодки Ш-2, наружная поверхность оклеена полотном на аэролаке. Рама для крепления поплавков состояла из стальных и дюралевых труб каплевидного сечения, всего 12 стоек и две круглые трубы с обтекателями и расчалками. Для большей жесткости всей системы были введены дополнительные расчалки от поплавков, проходящие через нижние крылья к стойкам центроплана.</w:t>
      </w:r>
    </w:p>
    <w:p w14:paraId="515808CF" w14:textId="77777777" w:rsidR="00CD4FA6" w:rsidRPr="00E93F40" w:rsidRDefault="00CD4F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Поскольку требовалось обеспечить эксплуатацию машины при волнении до 0,8 м, понадобилось усилить первую раму фюзеляжа и передний лонжерон нижнего крыла. С учетом возросшей боковой поверхности самолета площадь киля увеличили почти в два раза. Ненужный на воде костыль заменили причальным кольцом. Пропеллер менять не стали и оставили таким же, как у сухопутного варианта.</w:t>
      </w:r>
    </w:p>
    <w:p w14:paraId="3956D8A6" w14:textId="77777777" w:rsidR="00CD4FA6" w:rsidRPr="00E93F40" w:rsidRDefault="00CD4F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Бомбовое вооружение Р-5а было значительно слабее, чем у сухопутного варианта. Под крылом было установлено 4 балки ДЕР-7 и две ДЕР-6 под фюзеляжем. Максимальная нагрузка составляла 492 кг – шесть АФ-82.</w:t>
      </w:r>
    </w:p>
    <w:p w14:paraId="53C21DEA" w14:textId="77777777" w:rsidR="00CD4FA6" w:rsidRPr="00E93F40" w:rsidRDefault="00CD4F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образец завод № 39 построил в 1931 году. Поплавки для него изготавливал московский завод № 28.</w:t>
      </w:r>
    </w:p>
    <w:p w14:paraId="59026A08" w14:textId="77777777" w:rsidR="00CD4FA6" w:rsidRPr="00E93F40" w:rsidRDefault="00CD4F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Больший вес (поплавковое шасси было тяжелее колесного на 390 кг) и возросшее аэродинамимическое сопротивление ухудшили летные данные по сравнению с сухопутным вариантом. Отмечалось, что от воздействия воды коробилась обшивка, воздушный винт сильно страдал от брызг на взлете, они попадали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машину отправили в экспедицию на Крайний Север.</w:t>
      </w:r>
    </w:p>
    <w:p w14:paraId="4CAA8E72" w14:textId="77777777" w:rsidR="00CD4FA6" w:rsidRPr="00E93F40" w:rsidRDefault="00CD4F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второй половине 1933 года серийный выпуск Р-5а решили производить на авиационном заводе № 1 в Москве. Головная машина серии испытывалась в Севастополе до середины января 1934 года. Несмотря на некоторое увеличение взлетного веса Р-5а, все показатели улучшились по сравнению с опытным образцом. Повысилась скорость, вырос практический потолок, существенно уменьшилось время набора высоты 3000 метров. В 1934 году авиазавод № 1 выпустил 61 самолет Р-5а, а на следующий год еще 50 машин. Общее количество построенных поплавковых разведчиков составило 111 экземпляров (19293).</w:t>
      </w:r>
    </w:p>
    <w:p w14:paraId="46278793" w14:textId="77777777" w:rsidR="00CD4FA6" w:rsidRPr="00E93F40" w:rsidRDefault="00CD4FA6" w:rsidP="00E93F40">
      <w:pPr>
        <w:spacing w:after="0" w:line="240" w:lineRule="auto"/>
        <w:jc w:val="both"/>
        <w:rPr>
          <w:rFonts w:ascii="Times New Roman" w:hAnsi="Times New Roman"/>
          <w:color w:val="000000" w:themeColor="text1"/>
          <w:sz w:val="16"/>
          <w:szCs w:val="16"/>
        </w:rPr>
      </w:pPr>
    </w:p>
    <w:p w14:paraId="7588F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27 января по 17 апреля 1932 г. прошли государственные испытания Р-5а на поплавках.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Кроме того, отмечалось, что от воздействия воды коробилась обшивка. Винт сильно страдал от брызг на взлете, они попадали 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в мае 1932 г. машину отправили в экспедицию на Крайний Север.</w:t>
      </w:r>
    </w:p>
    <w:p w14:paraId="2342F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предполагалось изготовить 50 Р-5а. Производство организовывалось следующим образом. Сами самолеты и рамы под поплавки делали в Москве. Все узлы, отличавшиеся от сухопутного варианта, производил отдельный цех, чтобы не мешать массовому выпуску. Поплавки выпускал завод № 45 в Севастополе. Он же комплекси- ровал все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5BDE54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выпуск Р-5а наладили только в конце года. Головная машина № 6763 прошла Госиспытания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7B4F54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2D5E2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103C20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B5FB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27 января по 17 апреля 1932 г. Особым морским отделои (ОМО) НИИ ВВС в Севастополе велись госиспытания Р-5а.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Но при этом пилотаж оказался значительно проще, чем у старого МР-1. Новый самолет оказан с я гораздо менее "строг" в управлении.</w:t>
      </w:r>
    </w:p>
    <w:p w14:paraId="7973A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Недостатки в основном были связаны с приспособлением сухопутной машины к полетам с воды. Прочность поплавков оказалась недостаточной. Каркас разбалтывался, а обшивка коробилась. Внутрь поплавков поступала вода. Винт сильно страдал от брызг на взлете, они попадали и во всасывающий патрубок карбюратора. Это могло привести к остановке мотора в самый ответственный момент. От тряски на волнах замки бомбодержателей разбалтывались. Из-за этого на взлете несколько раз роняли бомбы в воду.</w:t>
      </w:r>
    </w:p>
    <w:p w14:paraId="64FE1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Завершить государственные испытания не удалось, по специальному распоряжению в мае 1932 г. машину отправили в экспедицию на Крайний Север (12034).</w:t>
      </w:r>
    </w:p>
    <w:p w14:paraId="01C924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07D966" w14:textId="77777777" w:rsidR="00C400E9" w:rsidRPr="00142305" w:rsidRDefault="00C400E9" w:rsidP="00C400E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27 января по 17 апреля 1932 г. в Севастополе, где располагался Особый морской отдел (ОМО) НИИ ВВС, велись государственные испытания поплавкового Р-5. Больший вес (поплавковое шасси было тяжелее колесного на 390 кг) и увеличившееся аэродинамическое сопротивле</w:t>
      </w:r>
      <w:r w:rsidRPr="00142305">
        <w:rPr>
          <w:rFonts w:ascii="Times New Roman" w:hAnsi="Times New Roman"/>
          <w:color w:val="0070C0"/>
          <w:sz w:val="16"/>
          <w:szCs w:val="16"/>
        </w:rPr>
        <w:softHyphen/>
        <w:t>ние серьезно ухудшили летные данные по сравнению с ко</w:t>
      </w:r>
      <w:r w:rsidRPr="00142305">
        <w:rPr>
          <w:rFonts w:ascii="Times New Roman" w:hAnsi="Times New Roman"/>
          <w:color w:val="0070C0"/>
          <w:sz w:val="16"/>
          <w:szCs w:val="16"/>
        </w:rPr>
        <w:softHyphen/>
        <w:t>лесным вариантом. Но при этом пилотаж оказался значи</w:t>
      </w:r>
      <w:r w:rsidRPr="00142305">
        <w:rPr>
          <w:rFonts w:ascii="Times New Roman" w:hAnsi="Times New Roman"/>
          <w:color w:val="0070C0"/>
          <w:sz w:val="16"/>
          <w:szCs w:val="16"/>
        </w:rPr>
        <w:softHyphen/>
        <w:t>тельно проще, чем у старого МР-1. Новый самолет оказался гораздо менее «строг» в управлении.</w:t>
      </w:r>
    </w:p>
    <w:p w14:paraId="372BFC04" w14:textId="77777777" w:rsidR="00C400E9" w:rsidRPr="00142305" w:rsidRDefault="00C400E9" w:rsidP="00C400E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Недостатки в основном были связаны с приспособлени</w:t>
      </w:r>
      <w:r w:rsidRPr="00142305">
        <w:rPr>
          <w:rFonts w:ascii="Times New Roman" w:hAnsi="Times New Roman"/>
          <w:color w:val="0070C0"/>
          <w:sz w:val="16"/>
          <w:szCs w:val="16"/>
        </w:rPr>
        <w:softHyphen/>
        <w:t>ем сухопутной машины к полетам с воды. Прочность поп</w:t>
      </w:r>
      <w:r w:rsidRPr="00142305">
        <w:rPr>
          <w:rFonts w:ascii="Times New Roman" w:hAnsi="Times New Roman"/>
          <w:color w:val="0070C0"/>
          <w:sz w:val="16"/>
          <w:szCs w:val="16"/>
        </w:rPr>
        <w:softHyphen/>
        <w:t>лавков оказалась недостаточной. Каркас разбалтывался, а обшивка коробилась. Внутрь поплавков поступала вода. Винт сильно страдал от брызг на взлете, они попадали и во всасывающий патрубок карбюратора. Это могло привес</w:t>
      </w:r>
      <w:r w:rsidRPr="00142305">
        <w:rPr>
          <w:rFonts w:ascii="Times New Roman" w:hAnsi="Times New Roman"/>
          <w:color w:val="0070C0"/>
          <w:sz w:val="16"/>
          <w:szCs w:val="16"/>
        </w:rPr>
        <w:softHyphen/>
        <w:t>ти к остановке мотора в самый ответственный момент. От тряски на волнах замки бомбодержателей разбалтывались. Из-за этого на взлете несколько раз роняли бомбы в воду.</w:t>
      </w:r>
    </w:p>
    <w:p w14:paraId="2D6FF6C0" w14:textId="77777777" w:rsidR="00C400E9" w:rsidRPr="00142305" w:rsidRDefault="00C400E9" w:rsidP="00C400E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Завершить государственные испытания не удалось, по специальному распоряжению в мае 1932 г. машину отпра</w:t>
      </w:r>
      <w:r w:rsidRPr="00142305">
        <w:rPr>
          <w:rFonts w:ascii="Times New Roman" w:hAnsi="Times New Roman"/>
          <w:color w:val="0070C0"/>
          <w:sz w:val="16"/>
          <w:szCs w:val="16"/>
        </w:rPr>
        <w:softHyphen/>
        <w:t>вили в экспедицию на Крайний Север.</w:t>
      </w:r>
    </w:p>
    <w:p w14:paraId="3B5A00A9" w14:textId="77777777" w:rsidR="00C400E9" w:rsidRPr="00142305" w:rsidRDefault="00C400E9" w:rsidP="00C400E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Москве проанализировали уже полученные результа</w:t>
      </w:r>
      <w:r w:rsidRPr="00142305">
        <w:rPr>
          <w:rFonts w:ascii="Times New Roman" w:hAnsi="Times New Roman"/>
          <w:color w:val="0070C0"/>
          <w:sz w:val="16"/>
          <w:szCs w:val="16"/>
        </w:rPr>
        <w:softHyphen/>
        <w:t>ты и составили список дефектов, которые надлежало уст</w:t>
      </w:r>
      <w:r w:rsidRPr="00142305">
        <w:rPr>
          <w:rFonts w:ascii="Times New Roman" w:hAnsi="Times New Roman"/>
          <w:color w:val="0070C0"/>
          <w:sz w:val="16"/>
          <w:szCs w:val="16"/>
        </w:rPr>
        <w:softHyphen/>
        <w:t>ранить на серийных машинах. Но возник вопрос: кто дол</w:t>
      </w:r>
      <w:r w:rsidRPr="00142305">
        <w:rPr>
          <w:rFonts w:ascii="Times New Roman" w:hAnsi="Times New Roman"/>
          <w:color w:val="0070C0"/>
          <w:sz w:val="16"/>
          <w:szCs w:val="16"/>
        </w:rPr>
        <w:softHyphen/>
        <w:t>жен их устранять? Серийный завод № 1 заявлял, что это не его дело, он должен получить комплект чертежей и окон</w:t>
      </w:r>
      <w:r w:rsidRPr="00142305">
        <w:rPr>
          <w:rFonts w:ascii="Times New Roman" w:hAnsi="Times New Roman"/>
          <w:color w:val="0070C0"/>
          <w:sz w:val="16"/>
          <w:szCs w:val="16"/>
        </w:rPr>
        <w:softHyphen/>
        <w:t>чательный образец-эталон. Появилось предложение ку</w:t>
      </w:r>
      <w:r w:rsidRPr="00142305">
        <w:rPr>
          <w:rFonts w:ascii="Times New Roman" w:hAnsi="Times New Roman"/>
          <w:color w:val="0070C0"/>
          <w:sz w:val="16"/>
          <w:szCs w:val="16"/>
        </w:rPr>
        <w:softHyphen/>
        <w:t>пить партию металлических поплавков за границей, но о нем быстро забыли - с валютой всегда было трудновато (24990).</w:t>
      </w:r>
    </w:p>
    <w:p w14:paraId="06D8363B" w14:textId="77777777" w:rsidR="00C400E9" w:rsidRPr="00142305" w:rsidRDefault="00C400E9" w:rsidP="00C400E9">
      <w:pPr>
        <w:spacing w:after="0" w:line="240" w:lineRule="auto"/>
        <w:jc w:val="both"/>
        <w:rPr>
          <w:rFonts w:ascii="Times New Roman" w:hAnsi="Times New Roman"/>
          <w:color w:val="0070C0"/>
          <w:sz w:val="16"/>
          <w:szCs w:val="16"/>
        </w:rPr>
      </w:pPr>
    </w:p>
    <w:p w14:paraId="1C76F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года директор завода Безруков, отв. секретарь Комитета ВКП(б) Завьялов, предзавкома РАТАП Коротков, начальник строительства Муратов писали письмо зам. начальника УВВС Наумову</w:t>
      </w:r>
    </w:p>
    <w:p w14:paraId="1C04A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Выполняя пятилетний план развития народного хозяйства СССР и управления обороноспособности страны, 1 февраля вступает в эксплуатацию самолетно-строительный завод № 21.</w:t>
      </w:r>
    </w:p>
    <w:p w14:paraId="7972B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Заводоуправление, партийная организация, профорганизация и управление строительства приглашают Вас на пуск завода, намеченного в 12 часов дня 1 февраля 1932 года (7486, 9).</w:t>
      </w:r>
    </w:p>
    <w:p w14:paraId="403FED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87369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147338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916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А.Г. выступил с докладом о программе фашистской партии на собрании финансистов и промышленников в Дюссельдорфе (3186).</w:t>
      </w:r>
    </w:p>
    <w:p w14:paraId="4D409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6C484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21E906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95D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января 1932 в ходе испытаний на 22 заводе самолета Р6 N 2201 (эталон на 1932 год), которые проходили с 23 января по 7 апреля 1932, самолет был сдан в ЦАГИ для дооборудования (3003).</w:t>
      </w:r>
    </w:p>
    <w:p w14:paraId="24001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A27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января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 выполнен пробный полет.</w:t>
      </w:r>
    </w:p>
    <w:p w14:paraId="7A1EDEE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A661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января 1932 г. в Иркутске образован авиазавод №125 (ныне ОАО ИАПО - "Иркут") (6395).</w:t>
      </w:r>
    </w:p>
    <w:p w14:paraId="600A505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94CB0"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января 1932</w:t>
      </w:r>
    </w:p>
    <w:p w14:paraId="0DBFB410" w14:textId="4D9FA300"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86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0E6B7F2A" w14:textId="2444A11A"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28</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4CFA2E52" w14:textId="2D5E0FB0"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Опросом членов Политбюро от 27.I.1932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4CFE53E" w14:textId="0AB92C62"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32/2: О фанерной промышленности</w:t>
      </w:r>
    </w:p>
    <w:p w14:paraId="269A531E" w14:textId="3A660393"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комиссии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Постышева (</w:t>
      </w:r>
      <w:hyperlink r:id="rId20"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2</w:t>
        </w:r>
      </w:hyperlink>
      <w:r w:rsidRPr="00E93F40">
        <w:rPr>
          <w:rFonts w:ascii="Times New Roman" w:hAnsi="Times New Roman"/>
          <w:color w:val="000000" w:themeColor="text1"/>
          <w:sz w:val="16"/>
          <w:szCs w:val="16"/>
        </w:rPr>
        <w:t>).</w:t>
      </w:r>
    </w:p>
    <w:p w14:paraId="09736657" w14:textId="0A3262D0"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w:t>
      </w:r>
    </w:p>
    <w:p w14:paraId="2B29D32D" w14:textId="1C60668F"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32/2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86.</w:t>
      </w:r>
    </w:p>
    <w:p w14:paraId="7E972854"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фанерной промышленности.</w:t>
      </w:r>
    </w:p>
    <w:p w14:paraId="07F32D8F" w14:textId="6EE34094"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(Утверждено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27.I.1932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72770FD"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I.</w:t>
      </w:r>
    </w:p>
    <w:p w14:paraId="5F264990" w14:textId="4E80BE25"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констатирует, что невыполнение производственной программы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валовой выработке фанеры план выполнен на 79,5%, а по экспорту на 78,6%) является следствием явно неудовлетворительного руководства фанерными заводами со стороны Главлеспрома к Фанертреста и отсутствия должной борьбы со стороны ряда организаций за проведением в жизнь решений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28.VI.1931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Комиссии Исполнения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от 6.X.1931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AE1073B"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фанерных заводов характеризуется:</w:t>
      </w:r>
    </w:p>
    <w:p w14:paraId="05DF4E2F" w14:textId="1C36A54E"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явно неудовлетворительной постановкой производства в целом и, в особенности, в деле организации труда (Парфинский завод, Старо-Русский, Ново-Милятинский, Поволжский, Зеленодольский, Океанский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w:t>
      </w:r>
    </w:p>
    <w:p w14:paraId="62C71C31"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необеспеченностью подавляющего большинства заводов необходимым кондиционным сырьем, вследствие чего на ряде заводов были длительные простои (завод “Пламя” на Урале, Океанский, Ленинградский, Парфинский, Усть-Ижорский, Нелидовский, Мантуровский и др.).</w:t>
      </w:r>
    </w:p>
    <w:p w14:paraId="0B9169B5" w14:textId="09664039"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совершенно недопустимыми извращениями в вопросах заработной платы, не стимулирующей поднятие производительности труда и выполнение программы заводов в целом (например, на заводе “Коминтерн” чернорабочий парочного отделения вырабатывает в день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а старший лущильщик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наиболее квалифицированный рабочий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уборщица мусора зарабатывает в день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а сушильщица, от которой требуется знание, навыки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на заводе “Красный Октябрь” средне-дневной заработок сортировщицы шпона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квалифицированного работника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составлял в ноябре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сушильщика и клейщика, от работы которых в огромной степени зависит выработка фанеры,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а чернорабочих по подвозке коры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уборщицы мусора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чернорабочего по колке дров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на заводе “Звезда” за октябрь месяц уборщица мусора выработала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в день, а сортировщик шпона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коп. По другим заводам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аналогичное положение);</w:t>
      </w:r>
    </w:p>
    <w:p w14:paraId="6490F96D"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абсолютно недостаточным техническим руководством заводами благодаря отсутствию инженерно-технических сил непосредственно на производстве и неналаженностью этой работы в тресте (на подавляющем большинстве заводов нет ни одного инженера и техника).</w:t>
      </w:r>
    </w:p>
    <w:p w14:paraId="28BDBF0A" w14:textId="35AA783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считает, что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ответственными за выполнение производственной программы и за перечисленные выше недостатки хозяйственного состояния заводов, являются:</w:t>
      </w:r>
    </w:p>
    <w:p w14:paraId="1256A074" w14:textId="094FE80D"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Управляющий Фанертрестом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Лесун, который на деле не смог обеспечить выполнения решения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и не знал действительного положения заводов, что характеризуется, в частности, поданной им в ЦК докладной запиской, абсолютно неверно освещающей положение заводов.</w:t>
      </w:r>
    </w:p>
    <w:p w14:paraId="20563000" w14:textId="73D842B5"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Начальник Главлеспрома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Фушман, на которого была возложена ответственность за своевременное снабжение заводов сырьем и ответственность за руководство Фанертрестом и который, тоже не зная действительного положения заводов, не сумел обеспечить своевременного снабжения кондиционным сырьем фанерных заводов, хотя в Комиссии Исполнения дал обязательство до 10</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провести мероприятия, полностью и своевременно обеспечивающие кондиционным сырьем фанерную промышленность.</w:t>
      </w:r>
    </w:p>
    <w:p w14:paraId="257C29C6" w14:textId="5A59749C"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Непосредственные поставщики сырья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областные тресты и, в особенности, председатель Севзаплеспрома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Альберт, председатель Нижлеспрома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Кузин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председатель Ураллеспрома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Советников, которые не выполнили нарядов по снабжению кондиционным сырьем фанерных заводов.</w:t>
      </w:r>
    </w:p>
    <w:p w14:paraId="275B4621" w14:textId="08656EDA"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Заместитель начальника ГУМП'а (главного управления металличкской промышленности)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3авенягин, на которого Комиссией Исполнения была возложена персональная ответственность за обеспечение фанерой промышленности необходимыми материалами и оборудованием по списку, утвержденному комиссией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Постышева.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Завенягин не выполнил этого решения; в частности, разнарядку по отгрузке материалов передал в “Стальсбыт” только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w:t>
      </w:r>
    </w:p>
    <w:p w14:paraId="739E387A" w14:textId="0F8A2666"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Руководитель сектора снабжения городов НКСнаба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Фатьянов, который не знал и не знает действительного состояния снабжения фанерных заводов продовольствием и промтоварами, несмотря на постановление Комиссии Исполнения, которым НКСнабу повторно было поручено принять меры к своевременному и правильному снабжению заводов, выделенных в список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p w14:paraId="17E98E05" w14:textId="5C2EDE1A"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этим ЦК считает совершенно неудовлетворительной работу НКВнешторга в части контроля за выполнением экспортной программы фанерными заводами и помощи им в этом деле. НКВнешторг и, в частности, председатель Экспортлеса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Данишевский, в условиях угрозы срыва экспортного плана, не знал действительного наличия экспортной фанеры как на заводах, так и в портах, что свидетельствует о полной оторванности аппарата НКВнешторга и Экспортлеса от заводов.</w:t>
      </w:r>
    </w:p>
    <w:p w14:paraId="75FA064B" w14:textId="549D497E"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Партийные и профессиональные организации не сумели организовать массы на борьбу за выполнение фанерными предприятиями промфинпланов и не приняли со своей стороны мер для изживания имеющихся на большинстве заводов извращений в заработной плате, повышения производительности труда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ЦК считает работу фракции ЦК союза лесдреврабочих в части руководства фанерными предприятиями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неудовлетворительной.</w:t>
      </w:r>
    </w:p>
    <w:p w14:paraId="13D05918" w14:textId="342EF1E9"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ВКП(б)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постановляет:</w:t>
      </w:r>
    </w:p>
    <w:p w14:paraId="3AF6AC49" w14:textId="00FB2380"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Управляющего Фанертрестом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Лесуна снять с работы.</w:t>
      </w:r>
    </w:p>
    <w:p w14:paraId="243C39B3" w14:textId="7CBC7A48"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Управляющим Фанеротрестом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Громова.</w:t>
      </w:r>
    </w:p>
    <w:p w14:paraId="357E3EF3" w14:textId="24427084"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Начальнику Главлеспрома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Фушману, председателю Севзаплеспрома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Альберту, председателю Нижлесппома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Кузину председателю Ураллеспрома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Советникову, нач.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сектора лесозаготовок Главлеспрома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Бутягину, нач.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сектора снабжения городов НКСнаба СССР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Фатьянову и зам.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нач. ГУМП'а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Завенягину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объявить выговор.</w:t>
      </w:r>
    </w:p>
    <w:p w14:paraId="4741CF96" w14:textId="4396D9E4"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Гайдамаку (не выполнившему своих обязанностей, возложенных на него Главлеспромом по решению Комиссии Исполнения, в качестве ответственного работника за своевременное снабжение заводов кондиционным сырьем) и директору лес-древообделочного комбината “Днепр”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Рожкову (за использование остродефицитной шинки для упаковки спичек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вместо использования ее исключительно для упаковки экспортной фанеры) объявить строгий выговор.</w:t>
      </w:r>
    </w:p>
    <w:p w14:paraId="42C58921"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w:t>
      </w:r>
    </w:p>
    <w:p w14:paraId="2F2A9673" w14:textId="3CE57536"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Одобряя мероприятия комиссии ЦК ВКП(б), принятые для обеспечения выполнения решения Политбюро о производстве и отгрузке в декабре месяце 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кубометров экспортной фанеры (произведено и отгружено 6.500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кубометров),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постановляет:</w:t>
      </w:r>
    </w:p>
    <w:p w14:paraId="0FDA7CFE" w14:textId="4F6AA611"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Определить общую производственную программу выработки фанеры по всему Союзу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размере 456.000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кбм., в том числе подлежащей сдаче целиком на экспорт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180.000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кбм. кроме филенки, инкубаторов и тары на экспортные товары, которых должно быть сдано не менее 25.000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кбм.</w:t>
      </w:r>
    </w:p>
    <w:p w14:paraId="4BF9CD20" w14:textId="5A7F7539"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обеспечения этой программы определить план снабжения сырьем фанерной промышленности на 1932г. в размере 1.380.800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кбм., в том числе по ВОЛТ'у НКПС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201.200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кбм.</w:t>
      </w:r>
    </w:p>
    <w:p w14:paraId="493F2EF3"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НКЛесу СССР в десятидневный срок разверстать эту программу по заводам с тем, чтобы по каждому заводу в отдельности была определена программа выпуска валовой продукции фанеры, программа снабжения сырьем, процент выхода фанеры на экспорт (в среднем по Союзу не менее 40</w:t>
      </w:r>
      <w:r w:rsidRPr="00E93F40">
        <w:rPr>
          <w:rFonts w:ascii="Times New Roman" w:hAnsi="Times New Roman"/>
          <w:color w:val="000000" w:themeColor="text1"/>
          <w:sz w:val="16"/>
          <w:szCs w:val="16"/>
        </w:rPr>
        <w:noBreakHyphen/>
        <w:t>45%).</w:t>
      </w:r>
    </w:p>
    <w:p w14:paraId="17F8F074" w14:textId="11B73796"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Предложить Наркомлесу СССР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Лобову возложить персональную ответственность на одного из замов за своевременное снабжение сырьем фанерных заводов согласно установленной программы. Прикрепить к каждому заводу определенные леспромхозы, ответственные за снабжение сырьем данного завода с тем, чтобы договора с леспромхозами заключались непосредственно фанерными заводами.</w:t>
      </w:r>
    </w:p>
    <w:p w14:paraId="442D5341"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Приравнять заготовку и вывозку фанерного сырья к экспортным лесоматериалам и распространить на него выдачу стимулирующих премий установленных для экспортных лесоматериалов.</w:t>
      </w:r>
    </w:p>
    <w:p w14:paraId="19DFB889"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Перевозку фанерного сырья по железным дорогам приравнять к перевозке экспортных лесоматериалов.</w:t>
      </w:r>
    </w:p>
    <w:p w14:paraId="36B72408" w14:textId="656180A9"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Наркомлес и персонально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Громова обеспечить заключение договоров на заготовку и доставку сырья фанерным заводам в течение января месяца.</w:t>
      </w:r>
    </w:p>
    <w:p w14:paraId="2AEE0C97" w14:textId="061C47FC"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Предложить комиссии в составе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Лобова (созыв), Розенгольца и Пятакова в 10</w:t>
      </w:r>
      <w:r w:rsidRPr="00E93F40">
        <w:rPr>
          <w:rFonts w:ascii="Times New Roman" w:hAnsi="Times New Roman"/>
          <w:color w:val="000000" w:themeColor="text1"/>
          <w:sz w:val="16"/>
          <w:szCs w:val="16"/>
        </w:rPr>
        <w:noBreakHyphen/>
        <w:t>дневный срок рассмотреть все вопросы, связанные со снабжением фанерных заводов необходимым оборудованием и техническими материалами, как за счет внутреннего производства, так и за счет импорта (котлы, шинка, ножеточки, лущильные машины, линейки, измерительные приборы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0965D3DA"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частности, признать необходимым:</w:t>
      </w:r>
    </w:p>
    <w:p w14:paraId="227D0141" w14:textId="6AEA6E61"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прекратить импорт шинки, обязав Наркомат тяжелой промышленности сдать фанерной промышленности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шинки (с Миньярского завода и завода “Красный Гвоздильщик”), причем установить программу сдачи по месяцам;</w:t>
      </w:r>
    </w:p>
    <w:p w14:paraId="30A5D0CA" w14:textId="0FE4D0B6"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обеспечить Нижегородский завод “Кр.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Металлист” высококачественной импортной сталью марки “Кампаунд” за счет импортных контингентов Наркомата тяжелой промышленности в количестве не менее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для обеспечения фанерной промышленности лущильными ножами и прижимными линейками.</w:t>
      </w:r>
    </w:p>
    <w:p w14:paraId="6447955F" w14:textId="7F3E04BE"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Предложить 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РКИ СССР расследовать причины задержки пуска Муромского фанерного завода, а также ознакомиться со всей историей строительства указанного завода.</w:t>
      </w:r>
    </w:p>
    <w:p w14:paraId="293A3BFF" w14:textId="3A256EB3"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Предложить Союзмясу, под личную ответственность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Корнюшина, обеспечить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сдачу фанерным заводам 18.000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крови и 2.400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альбумина.</w:t>
      </w:r>
    </w:p>
    <w:p w14:paraId="3A1C815A" w14:textId="35A24860"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Предложить Фанеротресту и директорам заводов в течение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центре внимания поставить задачу улучшения качества выпускаемой фанеры, для чего провести следующие мероприятия:</w:t>
      </w:r>
    </w:p>
    <w:p w14:paraId="729B19C2"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организовать на заводах починку сучков и трещин в соответствии со стандартными правилами, а также широко практиковать переклейку бракованной фанеры на толстую при помощи ручных холодных прессов, Фанеротресту снабдить в месячный срок заводы необходимыми для починки и переклейки инструментами материалами и приспособлениями;</w:t>
      </w:r>
    </w:p>
    <w:p w14:paraId="43380CEE"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 целях рациональной раскряжевки и правильной резки сырья на чурки установить на каждом заводе достаточный штат ответственных размотчиков как на биржах заводов, так и в других пунктах разделки и заготовки сырья;</w:t>
      </w:r>
    </w:p>
    <w:p w14:paraId="5854DE33"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добиться чистой окорки чураков, запретив принимать в лущильное отделение плохо окоренные и вовсе неокоренные чураки:</w:t>
      </w:r>
    </w:p>
    <w:p w14:paraId="4ADD3F44"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под личную ответственность заведующих биржами производить при выкатке сортировку сырья по качеству.</w:t>
      </w:r>
    </w:p>
    <w:p w14:paraId="24D0ED65" w14:textId="22599439"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7. Обязать ЦК союза лесдреврабочих, Наркомлес и Фанеротрест в течение января месяца упорядочить систему заработной платы на фанерных предприятиях, в пределах отпущенных им фондов зарплаты, введя прогрессивную сдельщину с оплатой по сортам, особо выделив ведущие профессии (раскряжевщики, лущильщики, прессовщики, сушильщики, сортировщики). Обязать председателя ЦК союза лесдреврабочих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Беккера для проведения этих мероприятий, наряду с посылкой работников ЦК союза и треста, выехать самому на заводы с тем, чтобы пробыть на них не менее двух месяцев.</w:t>
      </w:r>
    </w:p>
    <w:p w14:paraId="7E2FFF6C"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В целях форсированного расширения производства экспортной фанеры и повышения ее сортности передать Фанеротресту все фанерные предприятия и фанерные цеха деревообделочных комбинатов производящих экспортную фанеру одновременно поручив Фанеротресту приступить к производству экспортной фанеры на предприятиях, не производящих таковой (Одесский, Черкасский, Чернышевский, Уфимский заводы).</w:t>
      </w:r>
    </w:p>
    <w:p w14:paraId="1266DA3B"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Предложить Распредотделу ЦК и Наркомлесу обеспечить фанерные предприятия инженерно-техническим персоналом.</w:t>
      </w:r>
    </w:p>
    <w:p w14:paraId="0ECED6FD" w14:textId="77777777" w:rsidR="009225FF" w:rsidRPr="00E93F40" w:rsidRDefault="009225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(18123).</w:t>
      </w:r>
    </w:p>
    <w:p w14:paraId="301A5B50" w14:textId="77777777" w:rsidR="009225FF" w:rsidRPr="00E93F40" w:rsidRDefault="009225FF" w:rsidP="00E93F40">
      <w:pPr>
        <w:spacing w:after="0" w:line="240" w:lineRule="auto"/>
        <w:jc w:val="both"/>
        <w:rPr>
          <w:rFonts w:ascii="Times New Roman" w:hAnsi="Times New Roman"/>
          <w:color w:val="000000" w:themeColor="text1"/>
          <w:sz w:val="16"/>
          <w:szCs w:val="16"/>
        </w:rPr>
      </w:pPr>
    </w:p>
    <w:p w14:paraId="7E2DD6C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F94FAB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630C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При этом велась в прессе большая пропагандистская кампания о вредительстве (11248).</w:t>
      </w:r>
    </w:p>
    <w:p w14:paraId="5FDCE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C300C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C00A4C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FBD8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января 1932 японцы начали наступление на Шанхай и объявили военное положение (2100). Бои шли до 4 марта 1932 (2443,406).</w:t>
      </w:r>
    </w:p>
    <w:p w14:paraId="15C7D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E4EF8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января 1932 Япония напала на Шанхай (4962).</w:t>
      </w:r>
    </w:p>
    <w:p w14:paraId="7CC6666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54A05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39818B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F95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 выполнен полет на определение максимальных, средних и минимальных горизонтальных скоростей на мерном километре с нормальной нагрузкой на высоте 100 м (3002).</w:t>
      </w:r>
    </w:p>
    <w:p w14:paraId="64E5E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A1C000" w14:textId="77777777" w:rsidR="00EB6B1E" w:rsidRPr="00E93F40" w:rsidRDefault="00EB6B1E" w:rsidP="00E93F40">
      <w:pPr>
        <w:spacing w:after="0" w:line="240" w:lineRule="auto"/>
        <w:jc w:val="both"/>
        <w:rPr>
          <w:rFonts w:ascii="Times New Roman" w:hAnsi="Times New Roman"/>
          <w:color w:val="000000" w:themeColor="text1"/>
          <w:sz w:val="16"/>
          <w:szCs w:val="16"/>
          <w:lang w:bidi="en-US"/>
        </w:rPr>
      </w:pPr>
      <w:r w:rsidRPr="00E93F40">
        <w:rPr>
          <w:rFonts w:ascii="Times New Roman" w:hAnsi="Times New Roman"/>
          <w:color w:val="000000" w:themeColor="text1"/>
          <w:sz w:val="16"/>
          <w:szCs w:val="16"/>
        </w:rPr>
        <w:t>29 января 1932-го в рамках испытаний Сталь-2 в НИИ ГВФ был осуществлен перелет Москва-Рязань-Козлов-Тверь. Летал летчик С.А.Веребрюсов. Далее самолет было решено от</w:t>
      </w:r>
      <w:r w:rsidRPr="00E93F40">
        <w:rPr>
          <w:rFonts w:ascii="Times New Roman" w:hAnsi="Times New Roman"/>
          <w:color w:val="000000" w:themeColor="text1"/>
          <w:sz w:val="16"/>
          <w:szCs w:val="16"/>
        </w:rPr>
        <w:softHyphen/>
        <w:t>править на север в район Архангельска, где предполага</w:t>
      </w:r>
      <w:r w:rsidRPr="00E93F40">
        <w:rPr>
          <w:rFonts w:ascii="Times New Roman" w:hAnsi="Times New Roman"/>
          <w:color w:val="000000" w:themeColor="text1"/>
          <w:sz w:val="16"/>
          <w:szCs w:val="16"/>
        </w:rPr>
        <w:softHyphen/>
        <w:t xml:space="preserve">лось испытать его на зверобойных промыслах в горле Белого моря. Согласно разработанной схеме нанесения опознавательных знаков Сталь-2 получил международную регистрацию </w:t>
      </w:r>
      <w:r w:rsidRPr="00E93F40">
        <w:rPr>
          <w:rFonts w:ascii="Times New Roman" w:hAnsi="Times New Roman"/>
          <w:color w:val="000000" w:themeColor="text1"/>
          <w:sz w:val="16"/>
          <w:szCs w:val="16"/>
          <w:lang w:val="en-US" w:bidi="en-US"/>
        </w:rPr>
        <w:t>URSS</w:t>
      </w:r>
      <w:r w:rsidRPr="00E93F40">
        <w:rPr>
          <w:rFonts w:ascii="Times New Roman" w:hAnsi="Times New Roman"/>
          <w:color w:val="000000" w:themeColor="text1"/>
          <w:sz w:val="16"/>
          <w:szCs w:val="16"/>
          <w:lang w:bidi="en-US"/>
        </w:rPr>
        <w:t xml:space="preserve">-7 </w:t>
      </w:r>
      <w:r w:rsidRPr="00E93F40">
        <w:rPr>
          <w:rFonts w:ascii="Times New Roman" w:hAnsi="Times New Roman"/>
          <w:color w:val="000000" w:themeColor="text1"/>
          <w:sz w:val="16"/>
          <w:szCs w:val="16"/>
        </w:rPr>
        <w:t>и оригинальную яркую двуцветную ок</w:t>
      </w:r>
      <w:r w:rsidRPr="00E93F40">
        <w:rPr>
          <w:rFonts w:ascii="Times New Roman" w:hAnsi="Times New Roman"/>
          <w:color w:val="000000" w:themeColor="text1"/>
          <w:sz w:val="16"/>
          <w:szCs w:val="16"/>
        </w:rPr>
        <w:softHyphen/>
        <w:t>раску — синюю и серебристую. Однако на известных фо</w:t>
      </w:r>
      <w:r w:rsidRPr="00E93F40">
        <w:rPr>
          <w:rFonts w:ascii="Times New Roman" w:hAnsi="Times New Roman"/>
          <w:color w:val="000000" w:themeColor="text1"/>
          <w:sz w:val="16"/>
          <w:szCs w:val="16"/>
        </w:rPr>
        <w:softHyphen/>
        <w:t xml:space="preserve">тографиях на крыле самолета нанесены другие индексы — </w:t>
      </w:r>
      <w:r w:rsidRPr="00E93F40">
        <w:rPr>
          <w:rFonts w:ascii="Times New Roman" w:hAnsi="Times New Roman"/>
          <w:color w:val="000000" w:themeColor="text1"/>
          <w:sz w:val="16"/>
          <w:szCs w:val="16"/>
          <w:lang w:val="en-US" w:bidi="en-US"/>
        </w:rPr>
        <w:t>URSS</w:t>
      </w:r>
      <w:r w:rsidRPr="00E93F40">
        <w:rPr>
          <w:rFonts w:ascii="Times New Roman" w:hAnsi="Times New Roman"/>
          <w:color w:val="000000" w:themeColor="text1"/>
          <w:sz w:val="16"/>
          <w:szCs w:val="16"/>
          <w:lang w:bidi="en-US"/>
        </w:rPr>
        <w:t>-</w:t>
      </w:r>
      <w:r w:rsidRPr="00E93F40">
        <w:rPr>
          <w:rFonts w:ascii="Times New Roman" w:hAnsi="Times New Roman"/>
          <w:color w:val="000000" w:themeColor="text1"/>
          <w:sz w:val="16"/>
          <w:szCs w:val="16"/>
          <w:lang w:val="en-US" w:bidi="en-US"/>
        </w:rPr>
        <w:t>N</w:t>
      </w:r>
      <w:r w:rsidRPr="00E93F40">
        <w:rPr>
          <w:rFonts w:ascii="Times New Roman" w:hAnsi="Times New Roman"/>
          <w:color w:val="000000" w:themeColor="text1"/>
          <w:sz w:val="16"/>
          <w:szCs w:val="16"/>
          <w:lang w:bidi="en-US"/>
        </w:rPr>
        <w:t xml:space="preserve">800 </w:t>
      </w:r>
      <w:r w:rsidRPr="00E93F40">
        <w:rPr>
          <w:rFonts w:ascii="Times New Roman" w:hAnsi="Times New Roman"/>
          <w:color w:val="000000" w:themeColor="text1"/>
          <w:sz w:val="16"/>
          <w:szCs w:val="16"/>
        </w:rPr>
        <w:t>- в имеющихся документах не отображенные. Использование авиаразведки для поисков гренландского тюленя в интересах судов зверобойной экспедиции нача</w:t>
      </w:r>
      <w:r w:rsidRPr="00E93F40">
        <w:rPr>
          <w:rFonts w:ascii="Times New Roman" w:hAnsi="Times New Roman"/>
          <w:color w:val="000000" w:themeColor="text1"/>
          <w:sz w:val="16"/>
          <w:szCs w:val="16"/>
        </w:rPr>
        <w:softHyphen/>
        <w:t>лось в Белом море еще в 1926 году. Наиболее активно с самого начала там отметился М.С.Бабушкин - в ближай</w:t>
      </w:r>
      <w:r w:rsidRPr="00E93F40">
        <w:rPr>
          <w:rFonts w:ascii="Times New Roman" w:hAnsi="Times New Roman"/>
          <w:color w:val="000000" w:themeColor="text1"/>
          <w:sz w:val="16"/>
          <w:szCs w:val="16"/>
        </w:rPr>
        <w:softHyphen/>
        <w:t xml:space="preserve">шем будущем наш известный полярный летчик. Бабушкин летал поначалу на «Юнкерс» </w:t>
      </w:r>
      <w:r w:rsidRPr="00E93F40">
        <w:rPr>
          <w:rFonts w:ascii="Times New Roman" w:hAnsi="Times New Roman"/>
          <w:color w:val="000000" w:themeColor="text1"/>
          <w:sz w:val="16"/>
          <w:szCs w:val="16"/>
          <w:lang w:val="en-US" w:bidi="en-US"/>
        </w:rPr>
        <w:t>F</w:t>
      </w:r>
      <w:r w:rsidRPr="00E93F40">
        <w:rPr>
          <w:rFonts w:ascii="Times New Roman" w:hAnsi="Times New Roman"/>
          <w:color w:val="000000" w:themeColor="text1"/>
          <w:sz w:val="16"/>
          <w:szCs w:val="16"/>
          <w:lang w:bidi="en-US"/>
        </w:rPr>
        <w:t xml:space="preserve">.13, </w:t>
      </w:r>
      <w:r w:rsidRPr="00E93F40">
        <w:rPr>
          <w:rFonts w:ascii="Times New Roman" w:hAnsi="Times New Roman"/>
          <w:color w:val="000000" w:themeColor="text1"/>
          <w:sz w:val="16"/>
          <w:szCs w:val="16"/>
        </w:rPr>
        <w:t>участвовал во всех про</w:t>
      </w:r>
      <w:r w:rsidRPr="00E93F40">
        <w:rPr>
          <w:rFonts w:ascii="Times New Roman" w:hAnsi="Times New Roman"/>
          <w:color w:val="000000" w:themeColor="text1"/>
          <w:sz w:val="16"/>
          <w:szCs w:val="16"/>
        </w:rPr>
        <w:softHyphen/>
        <w:t>мысловых сезонах 1926-32 годов. Длился каждый сезон в период с февраля по середину мая. В своих воспоминаниях (Записки летчика М.С.Бабушкина. 1893-1938 г., ЛИТ МИР, Электронная библиотека) Михаил Сергеевич от</w:t>
      </w:r>
      <w:r w:rsidRPr="00E93F40">
        <w:rPr>
          <w:rFonts w:ascii="Times New Roman" w:hAnsi="Times New Roman"/>
          <w:color w:val="000000" w:themeColor="text1"/>
          <w:sz w:val="16"/>
          <w:szCs w:val="16"/>
        </w:rPr>
        <w:softHyphen/>
        <w:t>метил, что пропустил лишь 1931-й год. И даже его изве</w:t>
      </w:r>
      <w:r w:rsidRPr="00E93F40">
        <w:rPr>
          <w:rFonts w:ascii="Times New Roman" w:hAnsi="Times New Roman"/>
          <w:color w:val="000000" w:themeColor="text1"/>
          <w:sz w:val="16"/>
          <w:szCs w:val="16"/>
        </w:rPr>
        <w:softHyphen/>
        <w:t>стное участие в поисках экипажа дирижабля Нобиле состо</w:t>
      </w:r>
      <w:r w:rsidRPr="00E93F40">
        <w:rPr>
          <w:rFonts w:ascii="Times New Roman" w:hAnsi="Times New Roman"/>
          <w:color w:val="000000" w:themeColor="text1"/>
          <w:sz w:val="16"/>
          <w:szCs w:val="16"/>
        </w:rPr>
        <w:softHyphen/>
        <w:t>ялось летом 1928 года после проведения зверобойной экс</w:t>
      </w:r>
      <w:r w:rsidRPr="00E93F40">
        <w:rPr>
          <w:rFonts w:ascii="Times New Roman" w:hAnsi="Times New Roman"/>
          <w:color w:val="000000" w:themeColor="text1"/>
          <w:sz w:val="16"/>
          <w:szCs w:val="16"/>
        </w:rPr>
        <w:softHyphen/>
        <w:t>педиции того года. А вот события 1932 года он почему-то не описал. Тем не менее, на нескольких фотографиях Бабушкин вместе с другими участниками полетов запечат</w:t>
      </w:r>
      <w:r w:rsidRPr="00E93F40">
        <w:rPr>
          <w:rFonts w:ascii="Times New Roman" w:hAnsi="Times New Roman"/>
          <w:color w:val="000000" w:themeColor="text1"/>
          <w:sz w:val="16"/>
          <w:szCs w:val="16"/>
        </w:rPr>
        <w:softHyphen/>
        <w:t xml:space="preserve">лен именно у </w:t>
      </w:r>
      <w:r w:rsidRPr="00E93F40">
        <w:rPr>
          <w:rFonts w:ascii="Times New Roman" w:hAnsi="Times New Roman"/>
          <w:color w:val="000000" w:themeColor="text1"/>
          <w:sz w:val="16"/>
          <w:szCs w:val="16"/>
          <w:lang w:val="en-US" w:bidi="en-US"/>
        </w:rPr>
        <w:t>URSS</w:t>
      </w:r>
      <w:r w:rsidRPr="00E93F40">
        <w:rPr>
          <w:rFonts w:ascii="Times New Roman" w:hAnsi="Times New Roman"/>
          <w:color w:val="000000" w:themeColor="text1"/>
          <w:sz w:val="16"/>
          <w:szCs w:val="16"/>
          <w:lang w:bidi="en-US"/>
        </w:rPr>
        <w:t>-</w:t>
      </w:r>
      <w:r w:rsidRPr="00E93F40">
        <w:rPr>
          <w:rFonts w:ascii="Times New Roman" w:hAnsi="Times New Roman"/>
          <w:color w:val="000000" w:themeColor="text1"/>
          <w:sz w:val="16"/>
          <w:szCs w:val="16"/>
          <w:lang w:val="en-US" w:bidi="en-US"/>
        </w:rPr>
        <w:t>N</w:t>
      </w:r>
      <w:r w:rsidRPr="00E93F40">
        <w:rPr>
          <w:rFonts w:ascii="Times New Roman" w:hAnsi="Times New Roman"/>
          <w:color w:val="000000" w:themeColor="text1"/>
          <w:sz w:val="16"/>
          <w:szCs w:val="16"/>
          <w:lang w:bidi="en-US"/>
        </w:rPr>
        <w:t>800 (20365).</w:t>
      </w:r>
    </w:p>
    <w:p w14:paraId="014F9F17" w14:textId="77777777" w:rsidR="00EB6B1E" w:rsidRPr="00E93F40" w:rsidRDefault="00EB6B1E" w:rsidP="00E93F40">
      <w:pPr>
        <w:spacing w:after="0" w:line="240" w:lineRule="auto"/>
        <w:jc w:val="both"/>
        <w:rPr>
          <w:rFonts w:ascii="Times New Roman" w:hAnsi="Times New Roman"/>
          <w:color w:val="000000" w:themeColor="text1"/>
          <w:sz w:val="16"/>
          <w:szCs w:val="16"/>
        </w:rPr>
      </w:pPr>
    </w:p>
    <w:p w14:paraId="6275566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A80E99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E8D16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в Кремле у И.В.С. с участием Будняка, Тухачевского, Мартиновича обсуждались вопросы развития оборонной промышленности (9089,155)</w:t>
      </w:r>
    </w:p>
    <w:p w14:paraId="15B72A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DC7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с конвейера ГАЗ (еще НАЗ) сошли первые ГАЗ-АА, целиком построенные в СССР (2344,17).</w:t>
      </w:r>
    </w:p>
    <w:p w14:paraId="5B3E0D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A08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года под аплодисменты и крики "Ура!", звуки заводской сирены с конвейера сошел первый грузовой автомобиль Нижегородского автозавода НАЗ-АА. К концу года завод ежедневно выпускал по 60 грузовиков и освоил производство легковых автомобилей ГАЗ-А (9648).</w:t>
      </w:r>
    </w:p>
    <w:p w14:paraId="07E8A8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8EDF03" w14:textId="77777777" w:rsidR="00072FD9" w:rsidRPr="00E93F40" w:rsidRDefault="00072FD9"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hAnsi="Times New Roman"/>
          <w:color w:val="000000" w:themeColor="text1"/>
          <w:sz w:val="16"/>
          <w:szCs w:val="16"/>
        </w:rPr>
        <w:t xml:space="preserve">29 января </w:t>
      </w:r>
      <w:r w:rsidRPr="00E93F40">
        <w:rPr>
          <w:rFonts w:ascii="Times New Roman" w:hAnsi="Times New Roman"/>
          <w:color w:val="000000" w:themeColor="text1"/>
          <w:sz w:val="16"/>
          <w:szCs w:val="16"/>
        </w:rPr>
        <w:t>в 1932 году на горьковском заводе "рождается" полуторка – первый грузовой автомобиль "ГАЗ-АА" (15024).</w:t>
      </w:r>
    </w:p>
    <w:p w14:paraId="1B0E1B8E" w14:textId="77777777" w:rsidR="00072FD9" w:rsidRPr="00E93F40" w:rsidRDefault="00072FD9" w:rsidP="00E93F40">
      <w:pPr>
        <w:spacing w:after="0" w:line="240" w:lineRule="auto"/>
        <w:jc w:val="both"/>
        <w:rPr>
          <w:rFonts w:ascii="Times New Roman" w:hAnsi="Times New Roman"/>
          <w:color w:val="000000" w:themeColor="text1"/>
          <w:sz w:val="16"/>
          <w:szCs w:val="16"/>
        </w:rPr>
      </w:pPr>
    </w:p>
    <w:p w14:paraId="0743E989" w14:textId="77777777" w:rsidR="00072FD9" w:rsidRPr="00E93F40" w:rsidRDefault="00072FD9"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года в 19 часов 15 минут под аплодисменты и крики «Ура!», звуки заводской сирены сошел первый полуторатонный грузовой автомобиль Нижегородского автозавода (НАЗа). 31 января с конвейера сошла 25-я машина (15218).</w:t>
      </w:r>
    </w:p>
    <w:p w14:paraId="5362E32B" w14:textId="77777777" w:rsidR="00072FD9" w:rsidRPr="00E93F40" w:rsidRDefault="00072FD9" w:rsidP="00E93F40">
      <w:pPr>
        <w:widowControl w:val="0"/>
        <w:spacing w:after="0" w:line="240" w:lineRule="auto"/>
        <w:jc w:val="both"/>
        <w:rPr>
          <w:rFonts w:ascii="Times New Roman" w:hAnsi="Times New Roman"/>
          <w:color w:val="000000" w:themeColor="text1"/>
          <w:sz w:val="16"/>
          <w:szCs w:val="16"/>
        </w:rPr>
      </w:pPr>
    </w:p>
    <w:p w14:paraId="13B1BD85" w14:textId="77777777" w:rsidR="00072FD9" w:rsidRPr="00E93F40" w:rsidRDefault="00072F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29 января 1932 года в 19 часов 15 минут под аплодисменты и крики «Ура!», звуки заводской сирены сошел первый полуторатонный грузовой автомобиль Нижегородского автозавода (НАЗа). 31 января с конвейера сошла 25-я машина. К концу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автозавод ежедневно выпускал по 60 грузовиков, освоил производство легковых автомобилей модели ГАЗ-А.</w:t>
      </w:r>
    </w:p>
    <w:p w14:paraId="24C04314" w14:textId="77777777" w:rsidR="00072FD9" w:rsidRPr="00E93F40" w:rsidRDefault="00072FD9" w:rsidP="00E93F40">
      <w:pPr>
        <w:spacing w:after="0" w:line="240" w:lineRule="auto"/>
        <w:jc w:val="both"/>
        <w:rPr>
          <w:rFonts w:ascii="Times New Roman" w:hAnsi="Times New Roman"/>
          <w:color w:val="000000" w:themeColor="text1"/>
          <w:sz w:val="16"/>
          <w:szCs w:val="16"/>
        </w:rPr>
      </w:pPr>
    </w:p>
    <w:p w14:paraId="7EDA0C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г. сошли с конвейера первые грузовики НГАЗ-АА (впоследствии знаменитая “Полуторка” ГАЗ-АА4х2, двигатель 4 цил., 3,28 л, 40 л.с.; после модернизации в 1938 году ГАЗ-ММ, 50 л.с.). 2 мая 1930 г. состоялась торжественная церемония закладки первого камня НГАЗ. Уже в ноябре 1931 г. большая часть корпусов была готова для монтажа и отладки оборудования. В апреле начался их массовый выпуск. В конце года завод стал выпускать легковые ГАЗ-А (серийное производство). Одно из крупнейших в Европе предприятий по производству автомобилей – Горьковский автомобильный завод – выросло за 19 месяцев (12060).</w:t>
      </w:r>
    </w:p>
    <w:p w14:paraId="0E278A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329FB5" w14:textId="77777777" w:rsidR="00671C6F" w:rsidRPr="00E93F40" w:rsidRDefault="00671C6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года на Горьковском автомобильном заводе был собран первый грузовой автомобиль «ГАЗ-АА» - знаменитая полуторка.</w:t>
      </w:r>
    </w:p>
    <w:p w14:paraId="48259508" w14:textId="77777777" w:rsidR="00671C6F" w:rsidRPr="00E93F40" w:rsidRDefault="00671C6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1929 в Нижнем Новгороде были собраны первые грузовики Форд-АА и легковые Форд-А из частей, присылаемых из Североамериканских Соединённых Штатов. Одновременно в Нижнем Новгороде (с 1932 — Горький) началось строительство нового автомобильного завода. Новый завод получил имя ГАЗ (Горьковский Автомобильный Завод).</w:t>
      </w:r>
    </w:p>
    <w:p w14:paraId="64D3292D" w14:textId="77777777" w:rsidR="00671C6F" w:rsidRPr="00E93F40" w:rsidRDefault="00671C6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из ворот нового завода выехал первый грузовик ГАЗ-АА, который был почти копией американского Форд-АА (21176).</w:t>
      </w:r>
    </w:p>
    <w:p w14:paraId="13DF88F4" w14:textId="77777777" w:rsidR="00671C6F" w:rsidRPr="00E93F40" w:rsidRDefault="00671C6F" w:rsidP="00E93F40">
      <w:pPr>
        <w:spacing w:after="0" w:line="240" w:lineRule="auto"/>
        <w:jc w:val="both"/>
        <w:rPr>
          <w:rFonts w:ascii="Times New Roman" w:hAnsi="Times New Roman"/>
          <w:color w:val="000000" w:themeColor="text1"/>
          <w:sz w:val="16"/>
          <w:szCs w:val="16"/>
          <w:lang w:val="ru"/>
        </w:rPr>
      </w:pPr>
    </w:p>
    <w:p w14:paraId="1DFA0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29 января 1932 г. первые 25 грузовиков ГАЗ-АА сошли с конвейера нового завода, а с 1 апреля начался их непрерывный выпуск.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 вот нелегкие задачи,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"Катер-пиллер"), танки ("Виккерс", "Кристи") и многое другое. Стране нужен был быстрый рывок в индустриальную эпоху. Путь, на который она встала, оказался верным. С вводом в строй ГАЗа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w:t>
      </w:r>
      <w:r w:rsidRPr="00E93F40">
        <w:rPr>
          <w:rFonts w:ascii="Times New Roman" w:hAnsi="Times New Roman"/>
          <w:color w:val="000000" w:themeColor="text1"/>
          <w:sz w:val="16"/>
          <w:szCs w:val="16"/>
        </w:rPr>
        <w:lastRenderedPageBreak/>
        <w:t>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1B9824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B02F5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015969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7E5540" w14:textId="77777777" w:rsidR="00981EFF" w:rsidRPr="00E93F40" w:rsidRDefault="00981E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состоялся первый полет De Havilland Fox Moth (20803).</w:t>
      </w:r>
    </w:p>
    <w:p w14:paraId="6E995097" w14:textId="77777777" w:rsidR="00981EFF" w:rsidRPr="00E93F40" w:rsidRDefault="00981EFF" w:rsidP="00E93F40">
      <w:pPr>
        <w:spacing w:after="0" w:line="240" w:lineRule="auto"/>
        <w:jc w:val="both"/>
        <w:rPr>
          <w:rFonts w:ascii="Times New Roman" w:hAnsi="Times New Roman"/>
          <w:color w:val="000000" w:themeColor="text1"/>
          <w:sz w:val="16"/>
          <w:szCs w:val="16"/>
        </w:rPr>
      </w:pPr>
    </w:p>
    <w:p w14:paraId="0AB5909E" w14:textId="2A8067EC" w:rsidR="00981EFF" w:rsidRPr="00E93F40" w:rsidRDefault="00981E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полет легкого многоцелевого самолета de Havilland Fox Moth.</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 стандартным компонентам Tiger Moth (бипланная коробка, хвостовое оперение, шасси и силовая установка) конструктор фирмы "de Havilland" А.Е. Хэгг добавил новый деревянный фюзеляж с фанерной обшивкой, открытой кабиной пилота и размещенным перед ней закрытым салоном для трех пассажиров (22640).</w:t>
      </w:r>
    </w:p>
    <w:p w14:paraId="7279B644" w14:textId="77777777" w:rsidR="00981EFF" w:rsidRPr="00E93F40" w:rsidRDefault="00981EFF" w:rsidP="00E93F40">
      <w:pPr>
        <w:spacing w:after="0" w:line="240" w:lineRule="auto"/>
        <w:jc w:val="both"/>
        <w:rPr>
          <w:rFonts w:ascii="Times New Roman" w:hAnsi="Times New Roman"/>
          <w:color w:val="000000" w:themeColor="text1"/>
          <w:sz w:val="16"/>
          <w:szCs w:val="16"/>
        </w:rPr>
      </w:pPr>
    </w:p>
    <w:p w14:paraId="425249BC" w14:textId="243D1AA6" w:rsidR="00981EFF" w:rsidRPr="00E93F40" w:rsidRDefault="00981E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года — первый полёт лёгкого транспортного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de Havilland DH.83 Fox Moth. /Великобритания/</w:t>
      </w:r>
    </w:p>
    <w:p w14:paraId="69E39506" w14:textId="7DB771B8" w:rsidR="00981EFF" w:rsidRPr="00E93F40" w:rsidRDefault="00981E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1930-х годов появился спрос на небольшие и надёжные пассажирские самолёты. На него отреагировала компания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de Havilland Aircraft. Воспользовавшись своим опытом с успешным учебно-тренировочным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DH.82 Tiger Moth, она разработала новый самолёт DH.83 Fox Moth.</w:t>
      </w:r>
    </w:p>
    <w:p w14:paraId="5AD8FE50" w14:textId="72772E11" w:rsidR="00981EFF" w:rsidRPr="00E93F40" w:rsidRDefault="00981E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основу DH.83 легло много частей от Tiger Moth</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крылья, хвостовое оперение, шасси. Спроектировали новый деревянный фюзеляж с открытой кабиной пилота и закрытой кабиной на 3-4 пассажира. Fox Moth оснащался двигателем de Havilland Gipsy III. Крейсерская скорость — 146 км/ч, дальность полёта — 684 км. Кроме колёсного шасси, была возможность установить поплавки или лыжи.</w:t>
      </w:r>
    </w:p>
    <w:p w14:paraId="51A13BEC" w14:textId="5C55E79D" w:rsidR="00981EFF" w:rsidRPr="00E93F40" w:rsidRDefault="00981E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Выпустили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единицы DH.83 Fox Moth (в том числе и 53 единицы в Канаде после Второй мировой войны). Самолёт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ценился владельцами за хорошие лётные качества, надёжность и неприхотливость. На сегодня сохранилось 10 Fox Moth в лётном состоянии (22300).</w:t>
      </w:r>
    </w:p>
    <w:p w14:paraId="3184A60D" w14:textId="77777777" w:rsidR="00981EFF" w:rsidRPr="00E93F40" w:rsidRDefault="00981EFF" w:rsidP="00E93F40">
      <w:pPr>
        <w:spacing w:after="0" w:line="240" w:lineRule="auto"/>
        <w:jc w:val="both"/>
        <w:rPr>
          <w:rFonts w:ascii="Times New Roman" w:hAnsi="Times New Roman"/>
          <w:color w:val="000000" w:themeColor="text1"/>
          <w:sz w:val="16"/>
          <w:szCs w:val="16"/>
        </w:rPr>
      </w:pPr>
    </w:p>
    <w:p w14:paraId="48E307FB" w14:textId="25D2D1CF" w:rsidR="00981EFF" w:rsidRPr="00E93F40" w:rsidRDefault="00981E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полет двухместного биплана Bristol Type 118А(120), британского военного самолета общего назначения, кардинально модернизированного типа 118 с мощным двигателем и турелью (22640).</w:t>
      </w:r>
    </w:p>
    <w:p w14:paraId="48B5F80F" w14:textId="77777777" w:rsidR="00981EFF" w:rsidRPr="00E93F40" w:rsidRDefault="00981EFF" w:rsidP="00E93F40">
      <w:pPr>
        <w:spacing w:after="0" w:line="240" w:lineRule="auto"/>
        <w:jc w:val="both"/>
        <w:rPr>
          <w:rFonts w:ascii="Times New Roman" w:hAnsi="Times New Roman"/>
          <w:color w:val="000000" w:themeColor="text1"/>
          <w:sz w:val="16"/>
          <w:szCs w:val="16"/>
        </w:rPr>
      </w:pPr>
    </w:p>
    <w:p w14:paraId="204B7A01" w14:textId="77777777" w:rsidR="00981EFF" w:rsidRPr="00E93F40" w:rsidRDefault="00981E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гидросамолеты Императорского флота Японии с авианосца « Ноторо» атакуют военные позиции националистов Китая в Шанхае, Китай, начиная применение японской авиации в ходе инцидента в Шанхае. Операции, которые продлятся до февраля, станут первыми крупными военно-воздушными операциями в Восточной Азии (20803).</w:t>
      </w:r>
    </w:p>
    <w:p w14:paraId="0A94464B" w14:textId="77777777" w:rsidR="00981EFF" w:rsidRPr="00E93F40" w:rsidRDefault="00981EFF" w:rsidP="00E93F40">
      <w:pPr>
        <w:spacing w:after="0" w:line="240" w:lineRule="auto"/>
        <w:jc w:val="both"/>
        <w:rPr>
          <w:rFonts w:ascii="Times New Roman" w:hAnsi="Times New Roman"/>
          <w:color w:val="000000" w:themeColor="text1"/>
          <w:sz w:val="16"/>
          <w:szCs w:val="16"/>
        </w:rPr>
      </w:pPr>
    </w:p>
    <w:p w14:paraId="773E1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января 1932 японцы напали на Шанхай и оборонялись до 4 марта (3186).</w:t>
      </w:r>
    </w:p>
    <w:p w14:paraId="23142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1E9D4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C84F30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36D2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января 1932 XVII партконференция ВКП(б), проходившая до 4 февраля (388,73) в постановлении писала "Воздушное сообщение развить по всем основным направлениям, как одно из важнейших средств связи с отдаленными районами и с крупными промышленными центрами" (271,128).</w:t>
      </w:r>
    </w:p>
    <w:p w14:paraId="2E266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1D1C22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января 1932 (30 янв. - 4 февр.) На XVII партконференции выработаны директивы 2-го пятилетнего плана народного хозяйства СССР (1933-1937), изложенные в докладах В. Куйбышева и В. Молотова. Поставлены менее амбициозные цели, приоритет по-прежнему отдается развитию энергетики, черной металлургии, машиностроения, транспорта. Намечено улучшить ситуацию с выпуском потребительских товаров. Коллективизация сельского хозяйства должна продолжаться (4962).</w:t>
      </w:r>
    </w:p>
    <w:p w14:paraId="3712BDE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923E30" w14:textId="47848BAD" w:rsidR="00FE1566" w:rsidRPr="00E93F40" w:rsidRDefault="00FE15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января 1932 г. ХУ11 партийная конференция ВКП/б/ в своих директивах поавлению второго пятилетнего плана на 1933-37 г.г. указала: "воздушные сообщения развивать по всем основным направлениям как одно из важнейших средств связи с отдаленными районами и крупными промышленными центрами". В этой директиве давалось принципиальное отличие советской гражданской авиации от капиталистической, являющейся, прежде всего, орудием империалистической политики. Эту же мысль выразил и В.В.Куйбышев, заявивший на конференции: «Там авиация – это техника разрушения, а у нас это техника созидания».</w:t>
      </w:r>
    </w:p>
    <w:p w14:paraId="1368ABE1" w14:textId="77777777" w:rsidR="00FE1566" w:rsidRPr="00E93F40" w:rsidRDefault="00FE15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/КПСС в резолюциях и решениях, 2 часть, изд.7-е, стр.695/ (23370).</w:t>
      </w:r>
    </w:p>
    <w:p w14:paraId="3196948E" w14:textId="77777777" w:rsidR="00FE1566" w:rsidRPr="00E93F40" w:rsidRDefault="00FE1566" w:rsidP="00E93F40">
      <w:pPr>
        <w:spacing w:after="0" w:line="240" w:lineRule="auto"/>
        <w:jc w:val="both"/>
        <w:rPr>
          <w:rFonts w:ascii="Times New Roman" w:hAnsi="Times New Roman"/>
          <w:color w:val="000000" w:themeColor="text1"/>
          <w:sz w:val="16"/>
          <w:szCs w:val="16"/>
        </w:rPr>
      </w:pPr>
    </w:p>
    <w:p w14:paraId="650BBE99" w14:textId="45448885" w:rsidR="00446E58" w:rsidRPr="00E93F40" w:rsidRDefault="00446E5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30</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января</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 К. Орджоникидзе, нарком тяжелой промышленности, заявил на XVII партийной конференции, что на</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ставится следующая экономическая задача: «В течение одного года мы должны более чем удвоить мощность металлургических</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заводов</w:t>
      </w:r>
      <w:r w:rsidR="007C1411" w:rsidRPr="00E93F40">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доведя объем их продукции до 13,5-14 млн. тони (чугуна)… Что означает выполнение производственной программы металлургической и сталелитейной промышленностью в</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Это означает, что в одни год выпуск чугуна увеличится на 4 млн. тонн… Сколько времени потребовалось капиталистическим странам, чтобы достичь этого?.. Англии потребовалось для этого 35 лет.,. Германии - 10 лет… США - 8 лет. СССР должен пройти тот же путь за один год» (219). Фактически же ему потребовался не один год, а от 6 до 7 лет (17248).</w:t>
      </w:r>
    </w:p>
    <w:p w14:paraId="0E9BED92" w14:textId="77777777" w:rsidR="00446E58" w:rsidRPr="00E93F40" w:rsidRDefault="00446E5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F5A26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06505C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BBE92F" w14:textId="41BDBA2A"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Впервые поднялся в воздух прототип среднего транспортного самолета Curtiss Т-32, позже ставшей известной как "Condor II".</w:t>
      </w:r>
    </w:p>
    <w:p w14:paraId="70ED711C"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Фирма Curtiss под руководством конструктора Джорджа Пейджа (George Page) взяв за основу схему Curtiss CO, создав новое крыло, облагородив аэродинамику фюзеляжа, улучшив звукоизоляцию пассажирского салона, сделав шасси убираемым, заменив жидкостные двигатели Curtiss Conqueror на звёздообразные Wright Cyclone создали Curtiss Т-32 "Condor II". Все доработки позволили, несмотря на бипланную схему, существенно увеличить скорость новой машины. 23 марта 1933 года машина была передана заказчику, всего был изготовлен 21 самолёт модификации T-32.</w:t>
      </w:r>
    </w:p>
    <w:p w14:paraId="6019327C"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Серийное производство было налажено на заводе в Сент-Луисе (22639).</w:t>
      </w:r>
    </w:p>
    <w:p w14:paraId="41B2ADDE" w14:textId="77777777" w:rsidR="00DF34F7" w:rsidRPr="00E93F40" w:rsidRDefault="00DF34F7" w:rsidP="00E93F40">
      <w:pPr>
        <w:spacing w:after="0" w:line="240" w:lineRule="auto"/>
        <w:jc w:val="both"/>
        <w:rPr>
          <w:rFonts w:ascii="Times New Roman" w:hAnsi="Times New Roman"/>
          <w:color w:val="000000" w:themeColor="text1"/>
          <w:sz w:val="16"/>
          <w:szCs w:val="16"/>
        </w:rPr>
      </w:pPr>
    </w:p>
    <w:p w14:paraId="0363CADB"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января 1932 авианосец Императорского флота Японии «Кага» прибывает в территориальные воды Китая в момент начала инцидента в Шанхае. Использование авианосцев ВМС Японии в Шанхае является первым значительным боевым применением в истории авианосной авиации (20803).</w:t>
      </w:r>
    </w:p>
    <w:p w14:paraId="2669E1DE" w14:textId="77777777" w:rsidR="00DF34F7" w:rsidRPr="00E93F40" w:rsidRDefault="00DF34F7" w:rsidP="00E93F40">
      <w:pPr>
        <w:spacing w:after="0" w:line="240" w:lineRule="auto"/>
        <w:jc w:val="both"/>
        <w:rPr>
          <w:rFonts w:ascii="Times New Roman" w:hAnsi="Times New Roman"/>
          <w:color w:val="000000" w:themeColor="text1"/>
          <w:sz w:val="16"/>
          <w:szCs w:val="16"/>
        </w:rPr>
      </w:pPr>
    </w:p>
    <w:p w14:paraId="3E9B05B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января 1932 в Финляндии введен сухой закон (4962).</w:t>
      </w:r>
    </w:p>
    <w:p w14:paraId="5C36612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3A9F3D" w14:textId="77777777" w:rsidR="00072FD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CFBC139" w14:textId="77777777" w:rsidR="00072FD9" w:rsidRPr="00E93F40" w:rsidRDefault="00072FD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1308E4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января 1932 был пуск первой доменной печи Магнитогорского металлургического комбината, использующего уральскую железную руду и кузбасский уголь (4962).</w:t>
      </w:r>
    </w:p>
    <w:p w14:paraId="5ECF538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C4F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января 1932 пустили первую домну на Магнитке (1348,200). Использовали уральскую руду и Кузнецкий уголь (3908,337).</w:t>
      </w:r>
    </w:p>
    <w:p w14:paraId="686665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5C6A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января 1932 пуск первой домны Магнитогорского металлургического комбината (11437).</w:t>
      </w:r>
    </w:p>
    <w:p w14:paraId="63772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55092C" w14:textId="77777777" w:rsidR="00072FD9" w:rsidRPr="00E93F40" w:rsidRDefault="00072F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31 января</w:t>
      </w:r>
      <w:r w:rsidRPr="00E93F40">
        <w:rPr>
          <w:rFonts w:ascii="Times New Roman" w:hAnsi="Times New Roman"/>
          <w:color w:val="000000" w:themeColor="text1"/>
          <w:sz w:val="16"/>
          <w:szCs w:val="16"/>
        </w:rPr>
        <w:t xml:space="preserve"> в 1932 году состоялся пуск первой домны Магнитогорского металлургического комбината. Предприятие начало строиться в 1929 году у подножия горы Магнитной как составная часть угольно-металлургической базы на востоке - Урало-Кузбасса. В 1931 году вступил в строй рудник, а на следующий год легендарная Магнитка выдала первый чугун (15026).</w:t>
      </w:r>
    </w:p>
    <w:p w14:paraId="154DD6D2" w14:textId="77777777" w:rsidR="00072FD9" w:rsidRPr="00E93F40" w:rsidRDefault="00072FD9" w:rsidP="00E93F40">
      <w:pPr>
        <w:spacing w:after="0" w:line="240" w:lineRule="auto"/>
        <w:jc w:val="both"/>
        <w:rPr>
          <w:rFonts w:ascii="Times New Roman" w:hAnsi="Times New Roman"/>
          <w:color w:val="000000" w:themeColor="text1"/>
          <w:sz w:val="16"/>
          <w:szCs w:val="16"/>
        </w:rPr>
      </w:pPr>
    </w:p>
    <w:p w14:paraId="7CC6B572"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января 1932 года, несмотря на протесты американских инженеров, считавших необходимым отложить пуск до весны, была задута первая домна Магнитогорского комбината, а 1 февраля был получен первый чугун. Рождение Магнитки состоялось. Летом 1932 года дала первый чугун домна № 2 "Комсомолка" (21167).</w:t>
      </w:r>
    </w:p>
    <w:p w14:paraId="6E2BDFE8"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Май 1925 – проектирование Магнитогорского завода.</w:t>
      </w:r>
    </w:p>
    <w:p w14:paraId="2439AD1C"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Ноябрь 1926 – утверждение места стройки у горы Магнитная.</w:t>
      </w:r>
    </w:p>
    <w:p w14:paraId="53B2DF51"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Декабрь 1928 – утвержден проект завода.</w:t>
      </w:r>
    </w:p>
    <w:p w14:paraId="102DFF98"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 1929 – масштабное строительство, к июню подведена железнодорожная ветка.</w:t>
      </w:r>
    </w:p>
    <w:p w14:paraId="4FB3238A"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 год – время немыслимых рекордов:</w:t>
      </w:r>
    </w:p>
    <w:p w14:paraId="26673D40"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заложена первая доменная печь,</w:t>
      </w:r>
    </w:p>
    <w:p w14:paraId="61A58B1A"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74 дня построили плотину, обеспечивающую завод водой, создавались помещения цехов.</w:t>
      </w:r>
    </w:p>
    <w:p w14:paraId="26D64FE5"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год – рекорды продолжаются:</w:t>
      </w:r>
    </w:p>
    <w:p w14:paraId="06C3C9CE" w14:textId="77777777" w:rsidR="00DF34F7" w:rsidRPr="00E93F40" w:rsidRDefault="00DF34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строятся доменный, мартеновский и прокатный цехи, вводится в строй электростанция, запущен цех огнеупоров, коксовая батарея (21146).</w:t>
      </w:r>
    </w:p>
    <w:p w14:paraId="20218D80" w14:textId="77777777" w:rsidR="00DF34F7" w:rsidRPr="00E93F40" w:rsidRDefault="00DF34F7" w:rsidP="00E93F40">
      <w:pPr>
        <w:spacing w:after="0" w:line="240" w:lineRule="auto"/>
        <w:jc w:val="both"/>
        <w:rPr>
          <w:rFonts w:ascii="Times New Roman" w:hAnsi="Times New Roman"/>
          <w:color w:val="000000" w:themeColor="text1"/>
          <w:sz w:val="16"/>
          <w:szCs w:val="16"/>
        </w:rPr>
      </w:pPr>
    </w:p>
    <w:p w14:paraId="6636F74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5B83E9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464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января 1932 г. УВВС сообщило ЦАГИ, что рассчитывает на доведение радиуса действия самолета ТБ-1 до 1200 км. Решили попробовать дозаправку бомбардировщика в полете. Этим занималась в НИИ ВВС группа под руководством А.К. Запанованного. Схема была простой. Танкер ("бензиновоз") - биплан Р-5 с дополнительными баками. Он нес шланг, намотанный на ручную лебедку и имевший на свободном конце груз (так называемую "грушу"). Лебедку устанавливали на месте фотоаппарата. Летнаб или механик на заправляемом самолете руками ловил конец шланга и помещал его в приемную воронку (12001).</w:t>
      </w:r>
    </w:p>
    <w:p w14:paraId="6A155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2F1F68" w14:textId="77777777" w:rsidR="003959A8" w:rsidRPr="00142305" w:rsidRDefault="003959A8" w:rsidP="003959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января 1932 г. УВВС сообщило ЦАГИ, что рассчитывает на доведение радиуса дейс</w:t>
      </w:r>
      <w:r w:rsidRPr="00142305">
        <w:rPr>
          <w:rFonts w:ascii="Times New Roman" w:hAnsi="Times New Roman"/>
          <w:color w:val="0070C0"/>
          <w:sz w:val="16"/>
          <w:szCs w:val="16"/>
        </w:rPr>
        <w:softHyphen/>
        <w:t>твия самолета ТБ-1 до 1200 км.</w:t>
      </w:r>
    </w:p>
    <w:p w14:paraId="3AD4B23F" w14:textId="77777777" w:rsidR="003959A8" w:rsidRPr="00142305" w:rsidRDefault="003959A8" w:rsidP="003959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Решили попробовать организовать дозаправку бом</w:t>
      </w:r>
      <w:r w:rsidRPr="00142305">
        <w:rPr>
          <w:rFonts w:ascii="Times New Roman" w:hAnsi="Times New Roman"/>
          <w:color w:val="0070C0"/>
          <w:sz w:val="16"/>
          <w:szCs w:val="16"/>
        </w:rPr>
        <w:softHyphen/>
        <w:t>бардировщика в полете. Этим еще с 1931 г. в НИИ ВВС занималась группа под руководством А.К. Запанованного.</w:t>
      </w:r>
    </w:p>
    <w:p w14:paraId="0CC6F015" w14:textId="77777777" w:rsidR="003959A8" w:rsidRPr="00142305" w:rsidRDefault="003959A8" w:rsidP="003959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заправщика - танкера в первых опытах использовался самолет Р-5, в его фюзеляже разместили дополнительный бак, из которого выходил намотанный на ручную лебедку шланг с грузом на свободном конце (так называемой «грушей»). Лебедку устанавливали на месте фотоаппарата. Р-5 летел над ТБ-1, и техник че</w:t>
      </w:r>
      <w:r w:rsidRPr="00142305">
        <w:rPr>
          <w:rFonts w:ascii="Times New Roman" w:hAnsi="Times New Roman"/>
          <w:color w:val="0070C0"/>
          <w:sz w:val="16"/>
          <w:szCs w:val="16"/>
        </w:rPr>
        <w:softHyphen/>
        <w:t>рез отверстие в фюзеляже выпускал шланг. Летнаб или механик на заправляемом ТБ-1, находясь в кабине вер</w:t>
      </w:r>
      <w:r w:rsidRPr="00142305">
        <w:rPr>
          <w:rFonts w:ascii="Times New Roman" w:hAnsi="Times New Roman"/>
          <w:color w:val="0070C0"/>
          <w:sz w:val="16"/>
          <w:szCs w:val="16"/>
        </w:rPr>
        <w:softHyphen/>
        <w:t>хнего стрелка, ловил «конец» шланга и помещал его в приемную воронку топливной системы ТБ-1. Знак ру</w:t>
      </w:r>
      <w:r w:rsidRPr="00142305">
        <w:rPr>
          <w:rFonts w:ascii="Times New Roman" w:hAnsi="Times New Roman"/>
          <w:color w:val="0070C0"/>
          <w:sz w:val="16"/>
          <w:szCs w:val="16"/>
        </w:rPr>
        <w:softHyphen/>
        <w:t>кой - и с Р-5 самотеком начинал поступать бензин (25004).</w:t>
      </w:r>
    </w:p>
    <w:p w14:paraId="46F51D43" w14:textId="77777777" w:rsidR="003959A8" w:rsidRPr="00142305" w:rsidRDefault="003959A8" w:rsidP="003959A8">
      <w:pPr>
        <w:spacing w:after="0" w:line="240" w:lineRule="auto"/>
        <w:jc w:val="both"/>
        <w:rPr>
          <w:rFonts w:ascii="Times New Roman" w:hAnsi="Times New Roman"/>
          <w:color w:val="0070C0"/>
          <w:sz w:val="16"/>
          <w:szCs w:val="16"/>
        </w:rPr>
      </w:pPr>
    </w:p>
    <w:p w14:paraId="48823BCD" w14:textId="77777777" w:rsidR="00CF6E96" w:rsidRPr="00E93F40" w:rsidRDefault="00CF6E96"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конце января 1932 года сменивший Р.Л. Самойловича на посту директора ВАИ О.Ю. Шмидт провел совещание представителей 25 учреждений и организаций, в той или иной мере связанных с Арктикой, по обсуждению задач и маршрута возможной экспедиции вдоль берегов Сибири. И хотя большинство участников высказалось за проведение такого плавания, но с зимовкой в районе Таймыра, совет института все же предложил ориентироваться на возможность сквозного рейса, хотя и не исключая худшего варианта развития событий72.</w:t>
      </w:r>
    </w:p>
    <w:p w14:paraId="473CF9D2" w14:textId="77777777" w:rsidR="00CF6E96" w:rsidRPr="00E93F40" w:rsidRDefault="00CF6E96"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Исходя из последнего, и была составлена смета намечаемой экспедиции, учитывавшая не только расходы на фрахт судна, но и стоимость продовольствия, теплой одежды на восемнадцать месяцев.15 февраля СНК СССР, а на следующий день и Политбюро одобрили именно такое предложение. Постановили предоставить ВАИ «миллион рублей на расходы, связанные с экспедицией Северным морским путем из Архангельска во Владивосток»74. Сроки проведения экспедиции предусмотрительно не упоминались, но все же руководство страны рассчитывало, что ей удастся пройти огромное расстояние за одну навигацию, то есть за два — два с половиной месяца. Совершить то, что еще никогда не удавалось никому, а не всего лишь повторить плавания Норденшельда и Нансена, Вилькицкого и Амундсена (20467).</w:t>
      </w:r>
    </w:p>
    <w:p w14:paraId="0948B8AC" w14:textId="77777777" w:rsidR="00CF6E96" w:rsidRPr="00E93F40" w:rsidRDefault="00CF6E96" w:rsidP="00E93F40">
      <w:pPr>
        <w:spacing w:after="0" w:line="240" w:lineRule="auto"/>
        <w:jc w:val="both"/>
        <w:rPr>
          <w:rFonts w:ascii="Times New Roman" w:hAnsi="Times New Roman"/>
          <w:color w:val="000000" w:themeColor="text1"/>
          <w:sz w:val="16"/>
          <w:szCs w:val="16"/>
        </w:rPr>
      </w:pPr>
    </w:p>
    <w:p w14:paraId="4ECE7222" w14:textId="77777777" w:rsidR="00AD6C32"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0FD5A9E" w14:textId="77777777" w:rsidR="00AD6C32" w:rsidRPr="00E93F40" w:rsidRDefault="00AD6C3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28A3830"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последних числах января 1932 г. подлодка М-2 во время испытательного погру</w:t>
      </w:r>
      <w:r w:rsidRPr="00E93F40">
        <w:rPr>
          <w:rFonts w:ascii="Times New Roman" w:hAnsi="Times New Roman"/>
          <w:color w:val="000000" w:themeColor="text1"/>
          <w:sz w:val="16"/>
          <w:szCs w:val="16"/>
        </w:rPr>
        <w:softHyphen/>
        <w:t>жения затонула в районе Ла-Манша вместе со всем экипажем и самолетом. Более к теме подводных авианосцев в Великобритании не обращал ись. В Великобритании первые опыты по сов</w:t>
      </w:r>
      <w:r w:rsidRPr="00E93F40">
        <w:rPr>
          <w:rFonts w:ascii="Times New Roman" w:hAnsi="Times New Roman"/>
          <w:color w:val="000000" w:themeColor="text1"/>
          <w:sz w:val="16"/>
          <w:szCs w:val="16"/>
        </w:rPr>
        <w:softHyphen/>
        <w:t>мещению сил подводных и воздушных опро</w:t>
      </w:r>
      <w:r w:rsidRPr="00E93F40">
        <w:rPr>
          <w:rFonts w:ascii="Times New Roman" w:hAnsi="Times New Roman"/>
          <w:color w:val="000000" w:themeColor="text1"/>
          <w:sz w:val="16"/>
          <w:szCs w:val="16"/>
        </w:rPr>
        <w:softHyphen/>
        <w:t>бовали в 1916 г. Далее последовали более се</w:t>
      </w:r>
      <w:r w:rsidRPr="00E93F40">
        <w:rPr>
          <w:rFonts w:ascii="Times New Roman" w:hAnsi="Times New Roman"/>
          <w:color w:val="000000" w:themeColor="text1"/>
          <w:sz w:val="16"/>
          <w:szCs w:val="16"/>
        </w:rPr>
        <w:softHyphen/>
        <w:t>рьезные усовершенствования. В 1928 г. для экспериментов избрали подводную лод</w:t>
      </w:r>
      <w:r w:rsidRPr="00E93F40">
        <w:rPr>
          <w:rFonts w:ascii="Times New Roman" w:hAnsi="Times New Roman"/>
          <w:color w:val="000000" w:themeColor="text1"/>
          <w:sz w:val="16"/>
          <w:szCs w:val="16"/>
        </w:rPr>
        <w:softHyphen/>
        <w:t>ку М-2, которая относилась к классу под</w:t>
      </w:r>
      <w:r w:rsidRPr="00E93F40">
        <w:rPr>
          <w:rFonts w:ascii="Times New Roman" w:hAnsi="Times New Roman"/>
          <w:color w:val="000000" w:themeColor="text1"/>
          <w:sz w:val="16"/>
          <w:szCs w:val="16"/>
        </w:rPr>
        <w:softHyphen/>
        <w:t>водных крейсеров (по другим данным, лод</w:t>
      </w:r>
      <w:r w:rsidRPr="00E93F40">
        <w:rPr>
          <w:rFonts w:ascii="Times New Roman" w:hAnsi="Times New Roman"/>
          <w:color w:val="000000" w:themeColor="text1"/>
          <w:sz w:val="16"/>
          <w:szCs w:val="16"/>
        </w:rPr>
        <w:softHyphen/>
        <w:t>ку определяли как монитор) и поначалу бы</w:t>
      </w:r>
      <w:r w:rsidRPr="00E93F40">
        <w:rPr>
          <w:rFonts w:ascii="Times New Roman" w:hAnsi="Times New Roman"/>
          <w:color w:val="000000" w:themeColor="text1"/>
          <w:sz w:val="16"/>
          <w:szCs w:val="16"/>
        </w:rPr>
        <w:softHyphen/>
        <w:t>ла вооружена 305-мм орудием. Пришло вре</w:t>
      </w:r>
      <w:r w:rsidRPr="00E93F40">
        <w:rPr>
          <w:rFonts w:ascii="Times New Roman" w:hAnsi="Times New Roman"/>
          <w:color w:val="000000" w:themeColor="text1"/>
          <w:sz w:val="16"/>
          <w:szCs w:val="16"/>
        </w:rPr>
        <w:softHyphen/>
        <w:t>мя. от орудия отказались, а на его постаменте :монтировали герметичный самолетный ан</w:t>
      </w:r>
      <w:r w:rsidRPr="00E93F40">
        <w:rPr>
          <w:rFonts w:ascii="Times New Roman" w:hAnsi="Times New Roman"/>
          <w:color w:val="000000" w:themeColor="text1"/>
          <w:sz w:val="16"/>
          <w:szCs w:val="16"/>
        </w:rPr>
        <w:softHyphen/>
        <w:t>гар и катапульту. Двухпоплавковый биплан Рею РагпаН был весьма маленьким самоле</w:t>
      </w:r>
      <w:r w:rsidRPr="00E93F40">
        <w:rPr>
          <w:rFonts w:ascii="Times New Roman" w:hAnsi="Times New Roman"/>
          <w:color w:val="000000" w:themeColor="text1"/>
          <w:sz w:val="16"/>
          <w:szCs w:val="16"/>
        </w:rPr>
        <w:softHyphen/>
        <w:t>том, поэтому мог использоваться только в качестве разведывательного аппарата (12301).</w:t>
      </w:r>
    </w:p>
    <w:p w14:paraId="3B9A6CA5" w14:textId="77777777" w:rsidR="00AD6C32" w:rsidRPr="00E93F40" w:rsidRDefault="00AD6C32" w:rsidP="00E93F40">
      <w:pPr>
        <w:spacing w:after="0" w:line="240" w:lineRule="auto"/>
        <w:jc w:val="both"/>
        <w:rPr>
          <w:rFonts w:ascii="Times New Roman" w:hAnsi="Times New Roman"/>
          <w:color w:val="000000" w:themeColor="text1"/>
          <w:sz w:val="16"/>
          <w:szCs w:val="16"/>
        </w:rPr>
      </w:pPr>
    </w:p>
    <w:p w14:paraId="2E46BC4D" w14:textId="77777777" w:rsidR="00C145FA"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AB29EF3" w14:textId="77777777" w:rsidR="00C145FA" w:rsidRPr="00E93F40" w:rsidRDefault="00C145F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88CD55"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января 1932 Генконсул предложил Волынченко напрямую обратиться к Цзинь Шужэню с докладом о ненормальности сложившегося положения: 30 января лётчик написал: «Прошло более месяца со дня нашего прилёта в Урумчи. Положение, в котором в насто</w:t>
      </w:r>
      <w:r w:rsidRPr="00E93F40">
        <w:rPr>
          <w:rFonts w:ascii="Times New Roman" w:hAnsi="Times New Roman"/>
          <w:color w:val="000000" w:themeColor="text1"/>
          <w:sz w:val="16"/>
          <w:szCs w:val="16"/>
        </w:rPr>
        <w:softHyphen/>
        <w:t>ящее время находится работа... вынуждает меня довести до Вашего сведения следую</w:t>
      </w:r>
      <w:r w:rsidRPr="00E93F40">
        <w:rPr>
          <w:rFonts w:ascii="Times New Roman" w:hAnsi="Times New Roman"/>
          <w:color w:val="000000" w:themeColor="text1"/>
          <w:sz w:val="16"/>
          <w:szCs w:val="16"/>
        </w:rPr>
        <w:softHyphen/>
        <w:t>щее...» Далее лётчик жаловался: «1. Обучение лётному делу до сих пор не начато не только потому, что еще не прибыли учебные самолёты, но главным образом вследствие того, что не укомплектована Школа и Курсы лётчиков...». «2. Состояние ангаров для при</w:t>
      </w:r>
      <w:r w:rsidRPr="00E93F40">
        <w:rPr>
          <w:rFonts w:ascii="Times New Roman" w:hAnsi="Times New Roman"/>
          <w:color w:val="000000" w:themeColor="text1"/>
          <w:sz w:val="16"/>
          <w:szCs w:val="16"/>
        </w:rPr>
        <w:softHyphen/>
        <w:t>бывших двух самолётов внушает серьёезное опасение, ибо неустойчивость этих ангаров особенно при сильном ветре может повести к разрушению самолётов...»</w:t>
      </w:r>
    </w:p>
    <w:p w14:paraId="583A15C9"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Авиатехник Петров так описал конструкцию ангаров: «Вкопаны бревна, к ним верев</w:t>
      </w:r>
      <w:r w:rsidRPr="00E93F40">
        <w:rPr>
          <w:rFonts w:ascii="Times New Roman" w:hAnsi="Times New Roman"/>
          <w:color w:val="000000" w:themeColor="text1"/>
          <w:sz w:val="16"/>
          <w:szCs w:val="16"/>
        </w:rPr>
        <w:softHyphen/>
        <w:t>ками привязаны другие бревна и... со сторон и сверху обтянуты плетёным тростником и привязано веревками — в общем, держится на честном слове».</w:t>
      </w:r>
    </w:p>
    <w:p w14:paraId="4762AD0A"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Далее Волынченко жаловался на китайских рабочих: «3. Место, указанное мною для постройки ангаров, не соблюдено и последние вынесены на 50 м вперед на аэродром, что сократило рабочую площадь, и будет усложнять в дальнейшем производство по</w:t>
      </w:r>
      <w:r w:rsidRPr="00E93F40">
        <w:rPr>
          <w:rFonts w:ascii="Times New Roman" w:hAnsi="Times New Roman"/>
          <w:color w:val="000000" w:themeColor="text1"/>
          <w:sz w:val="16"/>
          <w:szCs w:val="16"/>
        </w:rPr>
        <w:softHyphen/>
        <w:t>лётов. На аэродроме произведена расстановка юрт и огорожен ангар, что тоже самое уменьшает рабочую площадь.</w:t>
      </w:r>
    </w:p>
    <w:p w14:paraId="2F953D7D" w14:textId="77777777" w:rsidR="00C145FA" w:rsidRPr="00E93F40" w:rsidRDefault="00C145FA" w:rsidP="00E93F40">
      <w:pPr>
        <w:tabs>
          <w:tab w:val="left" w:pos="409"/>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Положение хранения боеприпасов (бомб, взрывателей, пулемётов и патронов), ...со</w:t>
      </w:r>
      <w:r w:rsidRPr="00E93F40">
        <w:rPr>
          <w:rFonts w:ascii="Times New Roman" w:hAnsi="Times New Roman"/>
          <w:color w:val="000000" w:themeColor="text1"/>
          <w:sz w:val="16"/>
          <w:szCs w:val="16"/>
        </w:rPr>
        <w:softHyphen/>
        <w:t>вершенно недопустимо и является угрожающим... в густонаселенном районе города...</w:t>
      </w:r>
    </w:p>
    <w:p w14:paraId="0B64AA9F" w14:textId="77777777" w:rsidR="00C145FA" w:rsidRPr="00E93F40" w:rsidRDefault="00C145FA" w:rsidP="00E93F40">
      <w:pPr>
        <w:tabs>
          <w:tab w:val="left" w:pos="41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Находящиеся здесь китайские лётчики уже могли бы приступить к обучению с упра</w:t>
      </w:r>
      <w:r w:rsidRPr="00E93F40">
        <w:rPr>
          <w:rFonts w:ascii="Times New Roman" w:hAnsi="Times New Roman"/>
          <w:color w:val="000000" w:themeColor="text1"/>
          <w:sz w:val="16"/>
          <w:szCs w:val="16"/>
        </w:rPr>
        <w:softHyphen/>
        <w:t>влением самолётом, тем более, что время идет... форсирование [их] обучения... являет</w:t>
      </w:r>
      <w:r w:rsidRPr="00E93F40">
        <w:rPr>
          <w:rFonts w:ascii="Times New Roman" w:hAnsi="Times New Roman"/>
          <w:color w:val="000000" w:themeColor="text1"/>
          <w:sz w:val="16"/>
          <w:szCs w:val="16"/>
        </w:rPr>
        <w:softHyphen/>
        <w:t>ся вполне целесообразно... Но разрешения на такое их обучение я не имею еще и сейчас.</w:t>
      </w:r>
    </w:p>
    <w:p w14:paraId="2FF250CE" w14:textId="77777777" w:rsidR="00C145FA" w:rsidRPr="00E93F40" w:rsidRDefault="00C145FA" w:rsidP="00E93F40">
      <w:pPr>
        <w:tabs>
          <w:tab w:val="left" w:pos="42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Предоставленный нам в качестве переводчика г-н Ян не соответствует своему на</w:t>
      </w:r>
      <w:r w:rsidRPr="00E93F40">
        <w:rPr>
          <w:rFonts w:ascii="Times New Roman" w:hAnsi="Times New Roman"/>
          <w:color w:val="000000" w:themeColor="text1"/>
          <w:sz w:val="16"/>
          <w:szCs w:val="16"/>
        </w:rPr>
        <w:softHyphen/>
        <w:t>значению ввиду того, что сам недостаточно владеет русским языком и не в состоянии перевести тех технических терминов...»</w:t>
      </w:r>
    </w:p>
    <w:p w14:paraId="7E12CDC4"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главное в этом письме заключалось в следующем пункте: «7. По характеру пору</w:t>
      </w:r>
      <w:r w:rsidRPr="00E93F40">
        <w:rPr>
          <w:rFonts w:ascii="Times New Roman" w:hAnsi="Times New Roman"/>
          <w:color w:val="000000" w:themeColor="text1"/>
          <w:sz w:val="16"/>
          <w:szCs w:val="16"/>
        </w:rPr>
        <w:softHyphen/>
        <w:t>чений за истекший месяц я вижу, что моя роль значительно выходит за пределы той работы, на которую я и мои товарищи собственно приглашены. Не отказываясь от выполнения всего того, что может спо</w:t>
      </w:r>
      <w:r w:rsidRPr="00E93F40">
        <w:rPr>
          <w:rFonts w:ascii="Times New Roman" w:hAnsi="Times New Roman"/>
          <w:color w:val="000000" w:themeColor="text1"/>
          <w:sz w:val="16"/>
          <w:szCs w:val="16"/>
        </w:rPr>
        <w:softHyphen/>
        <w:t>собствовать... организации Военно-воз</w:t>
      </w:r>
      <w:r w:rsidRPr="00E93F40">
        <w:rPr>
          <w:rFonts w:ascii="Times New Roman" w:hAnsi="Times New Roman"/>
          <w:color w:val="000000" w:themeColor="text1"/>
          <w:sz w:val="16"/>
          <w:szCs w:val="16"/>
        </w:rPr>
        <w:softHyphen/>
        <w:t>душного флота в Синьцзяне и даже наобо</w:t>
      </w:r>
      <w:r w:rsidRPr="00E93F40">
        <w:rPr>
          <w:rFonts w:ascii="Times New Roman" w:hAnsi="Times New Roman"/>
          <w:color w:val="000000" w:themeColor="text1"/>
          <w:sz w:val="16"/>
          <w:szCs w:val="16"/>
        </w:rPr>
        <w:softHyphen/>
        <w:t>рот, всемерно стараясь сделать все, что в моих силах, — я нахожу большие недос</w:t>
      </w:r>
      <w:r w:rsidRPr="00E93F40">
        <w:rPr>
          <w:rFonts w:ascii="Times New Roman" w:hAnsi="Times New Roman"/>
          <w:color w:val="000000" w:themeColor="text1"/>
          <w:sz w:val="16"/>
          <w:szCs w:val="16"/>
        </w:rPr>
        <w:softHyphen/>
        <w:t>татки в деле руководства моей работой.</w:t>
      </w:r>
    </w:p>
    <w:p w14:paraId="326CDDBA"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Такое большое дело требует единого руководства и продуманного плана мероприятий. Такого плана мероприятий нет или же он мне неизвестен, а он необходим...</w:t>
      </w:r>
    </w:p>
    <w:p w14:paraId="1582F66C"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этом, если выполнение этих планов или даже части их поручается мне, то успеш</w:t>
      </w:r>
      <w:r w:rsidRPr="00E93F40">
        <w:rPr>
          <w:rFonts w:ascii="Times New Roman" w:hAnsi="Times New Roman"/>
          <w:color w:val="000000" w:themeColor="text1"/>
          <w:sz w:val="16"/>
          <w:szCs w:val="16"/>
        </w:rPr>
        <w:softHyphen/>
        <w:t>ность моей работы будет прямо в зависимости от степени доверия и самостоятельности, которые будут мне предоставлены.</w:t>
      </w:r>
    </w:p>
    <w:p w14:paraId="5C345C82"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Положение заключения договора с нами грозит затянуться на неопределенное вре</w:t>
      </w:r>
      <w:r w:rsidRPr="00E93F40">
        <w:rPr>
          <w:rFonts w:ascii="Times New Roman" w:hAnsi="Times New Roman"/>
          <w:color w:val="000000" w:themeColor="text1"/>
          <w:sz w:val="16"/>
          <w:szCs w:val="16"/>
        </w:rPr>
        <w:softHyphen/>
        <w:t>мя. Мы поставлены в необходимость унижать свое достоинство напоминанием об отсут</w:t>
      </w:r>
      <w:r w:rsidRPr="00E93F40">
        <w:rPr>
          <w:rFonts w:ascii="Times New Roman" w:hAnsi="Times New Roman"/>
          <w:color w:val="000000" w:themeColor="text1"/>
          <w:sz w:val="16"/>
          <w:szCs w:val="16"/>
        </w:rPr>
        <w:softHyphen/>
        <w:t>ствии у нас денег. Прошло более чем достаточно времени для того, чтобы упорядочить вопрос о вознаграждении за наш труд.</w:t>
      </w:r>
    </w:p>
    <w:p w14:paraId="5FCDC7CF"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Докладывая о всем вышеизложенном, прошу Вас учесть, что горячее желание работать на дело развития Синьцзянской авиации, с которым я и мои помощники сюда приехали месяц тому назад, может разбиться о перечисленные выше ряд обстоятельств и что мы можем оказаться вынуждены вернуться в СССР».</w:t>
      </w:r>
    </w:p>
    <w:p w14:paraId="74772F35"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Реакцией на этот «вопль души» стало лишь то, что китайцы согласились считать на</w:t>
      </w:r>
      <w:r w:rsidRPr="00E93F40">
        <w:rPr>
          <w:rFonts w:ascii="Times New Roman" w:hAnsi="Times New Roman"/>
          <w:color w:val="000000" w:themeColor="text1"/>
          <w:sz w:val="16"/>
          <w:szCs w:val="16"/>
        </w:rPr>
        <w:softHyphen/>
        <w:t>чалом срока службы в Синьцзяне 15 ноября, день отъезда из Москвы, а не 25 декабря (дата прилёта в Урумчи), и изменили пункт договора в том смысле, что лётчики не мо</w:t>
      </w:r>
      <w:r w:rsidRPr="00E93F40">
        <w:rPr>
          <w:rFonts w:ascii="Times New Roman" w:hAnsi="Times New Roman"/>
          <w:color w:val="000000" w:themeColor="text1"/>
          <w:sz w:val="16"/>
          <w:szCs w:val="16"/>
        </w:rPr>
        <w:softHyphen/>
        <w:t>гут принимать ни прямого, ни косвенного участия в военных действиях. Однако затяж</w:t>
      </w:r>
      <w:r w:rsidRPr="00E93F40">
        <w:rPr>
          <w:rFonts w:ascii="Times New Roman" w:hAnsi="Times New Roman"/>
          <w:color w:val="000000" w:themeColor="text1"/>
          <w:sz w:val="16"/>
          <w:szCs w:val="16"/>
        </w:rPr>
        <w:softHyphen/>
        <w:t>ка с подписанием договора вынудила Волынченко согласиться на полёт в Хами (15802).</w:t>
      </w:r>
    </w:p>
    <w:p w14:paraId="1B5AEA62" w14:textId="77777777" w:rsidR="00C145FA" w:rsidRPr="00E93F40" w:rsidRDefault="00C145FA" w:rsidP="00E93F40">
      <w:pPr>
        <w:spacing w:after="0" w:line="240" w:lineRule="auto"/>
        <w:jc w:val="both"/>
        <w:rPr>
          <w:rFonts w:ascii="Times New Roman" w:hAnsi="Times New Roman"/>
          <w:color w:val="000000" w:themeColor="text1"/>
          <w:sz w:val="16"/>
          <w:szCs w:val="16"/>
        </w:rPr>
      </w:pPr>
    </w:p>
    <w:p w14:paraId="09DE7B42" w14:textId="77777777" w:rsidR="00C145FA"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72B5BA8" w14:textId="77777777" w:rsidR="00C145FA" w:rsidRPr="00E93F40" w:rsidRDefault="00C145F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681D37"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второй половине января 1932 г. смогли приступить к ремонту И-12 после возвращения из Монино (15823).</w:t>
      </w:r>
    </w:p>
    <w:p w14:paraId="56359102" w14:textId="77777777" w:rsidR="00C145FA" w:rsidRPr="00E93F40" w:rsidRDefault="00C145FA" w:rsidP="00E93F40">
      <w:pPr>
        <w:spacing w:after="0" w:line="240" w:lineRule="auto"/>
        <w:jc w:val="both"/>
        <w:rPr>
          <w:rFonts w:ascii="Times New Roman" w:hAnsi="Times New Roman"/>
          <w:color w:val="000000" w:themeColor="text1"/>
          <w:sz w:val="16"/>
          <w:szCs w:val="16"/>
        </w:rPr>
      </w:pPr>
    </w:p>
    <w:p w14:paraId="6008E53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04F94D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80D54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Во второй половине января 1932 года на ГАЗе были освоены блок мотора, коленчатый вал; наладив мощный пресс, отштамповали первые 100 лонжеронов автомобильных рам. Поскольку от смежников еще не поступила в достаточном количестве листовая сталь, кабины изготовили из фанеры (9648).</w:t>
      </w:r>
    </w:p>
    <w:p w14:paraId="527F9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8EEA2A" w14:textId="77777777" w:rsidR="00C145FA" w:rsidRPr="00E93F40" w:rsidRDefault="00C145FA"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второй половине января 1932 на ГАЗ были освоены блок мотора, коленчатый вал, наладили мощный пресс, отштамповали первые 100 лонжеронов автомобильных рам. Поскольку от поставщиков пока не поступило листовой стали, кабину изготовили из фанеры. Наступил торжественный момент. Включили конвейер, на нем поплыла первая рама грузовика, далее мотор и кабина… В 19 часов 15 минут 29 января 1932 года под аплодисменты и крики «Ура!», звуки заводской сирены сошел первый полуторатонный грузовой автомобиль Нижегородского автозавода (НАЗа). 31 января с конвейера сошла 25-я машина (15218).</w:t>
      </w:r>
    </w:p>
    <w:p w14:paraId="1CB9FC2A" w14:textId="77777777" w:rsidR="00C145FA" w:rsidRPr="00E93F40" w:rsidRDefault="00C145FA" w:rsidP="00E93F40">
      <w:pPr>
        <w:widowControl w:val="0"/>
        <w:spacing w:after="0" w:line="240" w:lineRule="auto"/>
        <w:jc w:val="both"/>
        <w:rPr>
          <w:rFonts w:ascii="Times New Roman" w:hAnsi="Times New Roman"/>
          <w:color w:val="000000" w:themeColor="text1"/>
          <w:sz w:val="16"/>
          <w:szCs w:val="16"/>
        </w:rPr>
      </w:pPr>
    </w:p>
    <w:p w14:paraId="260BA5D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7E6B12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270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был готов к испытаниям военный вариант АНТ-9 (346,44).</w:t>
      </w:r>
    </w:p>
    <w:p w14:paraId="6BA73A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82C1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НИИ ВВС попросил просчитать вариант АНТ-9 с 2М-17 для размещения на месте центрального мотора кабины стрелка. В 1931 пытались ставить три М-22. В 1931 программу постройки АНТ-9 и весь задел передали с 22 на 31, а с 1934 сборку стал делать завод 89 (346,43).</w:t>
      </w:r>
    </w:p>
    <w:p w14:paraId="785011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BC443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НИИ ВВС попросил просчитать вариант самолета АНТ-9 с двумя моторами М—17 и размещением на мес</w:t>
      </w:r>
      <w:r w:rsidRPr="00E93F40">
        <w:rPr>
          <w:rFonts w:ascii="Times New Roman" w:hAnsi="Times New Roman"/>
          <w:color w:val="000000" w:themeColor="text1"/>
          <w:sz w:val="16"/>
          <w:szCs w:val="16"/>
        </w:rPr>
        <w:softHyphen/>
        <w:t>те среднего двигателя кабины стрелка. Неизвестно, была ли сделана таковая, но установка двух мощных и надежных М—17 решила проблему. В двухмотор</w:t>
      </w:r>
      <w:r w:rsidRPr="00E93F40">
        <w:rPr>
          <w:rFonts w:ascii="Times New Roman" w:hAnsi="Times New Roman"/>
          <w:color w:val="000000" w:themeColor="text1"/>
          <w:sz w:val="16"/>
          <w:szCs w:val="16"/>
        </w:rPr>
        <w:softHyphen/>
        <w:t>ном варианте самолет строился серийно под обозначением ПС—9 2М—17 на за</w:t>
      </w:r>
      <w:r w:rsidRPr="00E93F40">
        <w:rPr>
          <w:rFonts w:ascii="Times New Roman" w:hAnsi="Times New Roman"/>
          <w:color w:val="000000" w:themeColor="text1"/>
          <w:sz w:val="16"/>
          <w:szCs w:val="16"/>
        </w:rPr>
        <w:softHyphen/>
        <w:t>водах № 31 и № 89. С 1933 г. вместо М-17 стали устанавливать М—17Ф. Всего было построено 66 АНТ—9, из них около 60 — с двигателями М—17 или М—17Ф.</w:t>
      </w:r>
    </w:p>
    <w:p w14:paraId="4891312B"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характеристики самолетов АНТ-9</w:t>
      </w:r>
    </w:p>
    <w:tbl>
      <w:tblPr>
        <w:tblOverlap w:val="never"/>
        <w:tblW w:w="0" w:type="auto"/>
        <w:tblLayout w:type="fixed"/>
        <w:tblCellMar>
          <w:left w:w="10" w:type="dxa"/>
          <w:right w:w="10" w:type="dxa"/>
        </w:tblCellMar>
        <w:tblLook w:val="04A0" w:firstRow="1" w:lastRow="0" w:firstColumn="1" w:lastColumn="0" w:noHBand="0" w:noVBand="1"/>
      </w:tblPr>
      <w:tblGrid>
        <w:gridCol w:w="2280"/>
        <w:gridCol w:w="994"/>
        <w:gridCol w:w="1085"/>
        <w:gridCol w:w="1123"/>
      </w:tblGrid>
      <w:tr w:rsidR="00B97656" w:rsidRPr="00E93F40" w14:paraId="1C7750F5" w14:textId="77777777" w:rsidTr="004B2EA4">
        <w:trPr>
          <w:trHeight w:val="432"/>
        </w:trPr>
        <w:tc>
          <w:tcPr>
            <w:tcW w:w="2280" w:type="dxa"/>
          </w:tcPr>
          <w:p w14:paraId="051813E5"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994" w:type="dxa"/>
          </w:tcPr>
          <w:p w14:paraId="07BFE06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 опытный</w:t>
            </w:r>
          </w:p>
        </w:tc>
        <w:tc>
          <w:tcPr>
            <w:tcW w:w="1085" w:type="dxa"/>
          </w:tcPr>
          <w:p w14:paraId="6711A43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ПС-9 серийный</w:t>
            </w:r>
          </w:p>
        </w:tc>
        <w:tc>
          <w:tcPr>
            <w:tcW w:w="1123" w:type="dxa"/>
          </w:tcPr>
          <w:p w14:paraId="2AD4C98A"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ПС-9 2М-17</w:t>
            </w:r>
          </w:p>
          <w:p w14:paraId="40446F86"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w:t>
            </w:r>
          </w:p>
        </w:tc>
      </w:tr>
      <w:tr w:rsidR="00B97656" w:rsidRPr="00E93F40" w14:paraId="5B96DFAD" w14:textId="77777777" w:rsidTr="004B2EA4">
        <w:trPr>
          <w:trHeight w:val="206"/>
        </w:trPr>
        <w:tc>
          <w:tcPr>
            <w:tcW w:w="2280" w:type="dxa"/>
          </w:tcPr>
          <w:p w14:paraId="28698259"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и тип двигателя</w:t>
            </w:r>
          </w:p>
        </w:tc>
        <w:tc>
          <w:tcPr>
            <w:tcW w:w="994" w:type="dxa"/>
          </w:tcPr>
          <w:p w14:paraId="72BA64C6"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BxTitan</w:t>
            </w:r>
          </w:p>
        </w:tc>
        <w:tc>
          <w:tcPr>
            <w:tcW w:w="1085" w:type="dxa"/>
          </w:tcPr>
          <w:p w14:paraId="73B8F4F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3xWhirlwind</w:t>
            </w:r>
          </w:p>
        </w:tc>
        <w:tc>
          <w:tcPr>
            <w:tcW w:w="1123" w:type="dxa"/>
          </w:tcPr>
          <w:p w14:paraId="199A9D7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2хМ-1 7</w:t>
            </w:r>
          </w:p>
        </w:tc>
      </w:tr>
      <w:tr w:rsidR="00B97656" w:rsidRPr="00E93F40" w14:paraId="0097CBE0" w14:textId="77777777" w:rsidTr="004B2EA4">
        <w:trPr>
          <w:trHeight w:val="226"/>
        </w:trPr>
        <w:tc>
          <w:tcPr>
            <w:tcW w:w="2280" w:type="dxa"/>
            <w:vAlign w:val="bottom"/>
          </w:tcPr>
          <w:p w14:paraId="460FD1B4"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л. с.</w:t>
            </w:r>
          </w:p>
        </w:tc>
        <w:tc>
          <w:tcPr>
            <w:tcW w:w="994" w:type="dxa"/>
          </w:tcPr>
          <w:p w14:paraId="67ECC8C5"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1085" w:type="dxa"/>
          </w:tcPr>
          <w:p w14:paraId="01DF1A5E"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1123" w:type="dxa"/>
          </w:tcPr>
          <w:p w14:paraId="670331BB"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r>
      <w:tr w:rsidR="00B97656" w:rsidRPr="00E93F40" w14:paraId="39FA5609" w14:textId="77777777" w:rsidTr="004B2EA4">
        <w:trPr>
          <w:trHeight w:val="216"/>
        </w:trPr>
        <w:tc>
          <w:tcPr>
            <w:tcW w:w="2280" w:type="dxa"/>
          </w:tcPr>
          <w:p w14:paraId="5A74FAE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w:t>
            </w:r>
          </w:p>
        </w:tc>
        <w:tc>
          <w:tcPr>
            <w:tcW w:w="994" w:type="dxa"/>
          </w:tcPr>
          <w:p w14:paraId="54CB834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3x230</w:t>
            </w:r>
          </w:p>
        </w:tc>
        <w:tc>
          <w:tcPr>
            <w:tcW w:w="1085" w:type="dxa"/>
          </w:tcPr>
          <w:p w14:paraId="1E775784"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3x300</w:t>
            </w:r>
          </w:p>
        </w:tc>
        <w:tc>
          <w:tcPr>
            <w:tcW w:w="1123" w:type="dxa"/>
          </w:tcPr>
          <w:p w14:paraId="636522F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2x680</w:t>
            </w:r>
          </w:p>
        </w:tc>
      </w:tr>
      <w:tr w:rsidR="00B97656" w:rsidRPr="00E93F40" w14:paraId="1C9AF2C9" w14:textId="77777777" w:rsidTr="004B2EA4">
        <w:trPr>
          <w:trHeight w:val="216"/>
        </w:trPr>
        <w:tc>
          <w:tcPr>
            <w:tcW w:w="2280" w:type="dxa"/>
            <w:vAlign w:val="center"/>
          </w:tcPr>
          <w:p w14:paraId="53C372FB"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номинальная</w:t>
            </w:r>
          </w:p>
        </w:tc>
        <w:tc>
          <w:tcPr>
            <w:tcW w:w="994" w:type="dxa"/>
            <w:vAlign w:val="center"/>
          </w:tcPr>
          <w:p w14:paraId="0C1EED9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85" w:type="dxa"/>
            <w:vAlign w:val="center"/>
          </w:tcPr>
          <w:p w14:paraId="198E5F2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3" w:type="dxa"/>
            <w:vAlign w:val="center"/>
          </w:tcPr>
          <w:p w14:paraId="05E42638"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2x500</w:t>
            </w:r>
          </w:p>
        </w:tc>
      </w:tr>
      <w:tr w:rsidR="00B97656" w:rsidRPr="00E93F40" w14:paraId="69ECFB03" w14:textId="77777777" w:rsidTr="004B2EA4">
        <w:trPr>
          <w:trHeight w:val="221"/>
        </w:trPr>
        <w:tc>
          <w:tcPr>
            <w:tcW w:w="2280" w:type="dxa"/>
            <w:vAlign w:val="bottom"/>
          </w:tcPr>
          <w:p w14:paraId="7F60C49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самолета, м</w:t>
            </w:r>
          </w:p>
        </w:tc>
        <w:tc>
          <w:tcPr>
            <w:tcW w:w="994" w:type="dxa"/>
            <w:vAlign w:val="bottom"/>
          </w:tcPr>
          <w:p w14:paraId="3E6297D8"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16,80</w:t>
            </w:r>
          </w:p>
        </w:tc>
        <w:tc>
          <w:tcPr>
            <w:tcW w:w="1085" w:type="dxa"/>
            <w:vAlign w:val="bottom"/>
          </w:tcPr>
          <w:p w14:paraId="6767FBEE"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16,65</w:t>
            </w:r>
          </w:p>
        </w:tc>
        <w:tc>
          <w:tcPr>
            <w:tcW w:w="1123" w:type="dxa"/>
            <w:vAlign w:val="bottom"/>
          </w:tcPr>
          <w:p w14:paraId="1B38B7B9"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17,01</w:t>
            </w:r>
          </w:p>
        </w:tc>
      </w:tr>
      <w:tr w:rsidR="00B97656" w:rsidRPr="00E93F40" w14:paraId="46D463F4" w14:textId="77777777" w:rsidTr="004B2EA4">
        <w:trPr>
          <w:trHeight w:val="221"/>
        </w:trPr>
        <w:tc>
          <w:tcPr>
            <w:tcW w:w="2280" w:type="dxa"/>
            <w:vAlign w:val="bottom"/>
          </w:tcPr>
          <w:p w14:paraId="436694E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крыла, м</w:t>
            </w:r>
          </w:p>
        </w:tc>
        <w:tc>
          <w:tcPr>
            <w:tcW w:w="994" w:type="dxa"/>
            <w:vAlign w:val="bottom"/>
          </w:tcPr>
          <w:p w14:paraId="516A601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23,73</w:t>
            </w:r>
          </w:p>
        </w:tc>
        <w:tc>
          <w:tcPr>
            <w:tcW w:w="1085" w:type="dxa"/>
            <w:vAlign w:val="bottom"/>
          </w:tcPr>
          <w:p w14:paraId="78F44E54"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23,85</w:t>
            </w:r>
          </w:p>
        </w:tc>
        <w:tc>
          <w:tcPr>
            <w:tcW w:w="1123" w:type="dxa"/>
            <w:vAlign w:val="bottom"/>
          </w:tcPr>
          <w:p w14:paraId="4F6DEAC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23,72</w:t>
            </w:r>
          </w:p>
        </w:tc>
      </w:tr>
      <w:tr w:rsidR="00B97656" w:rsidRPr="00E93F40" w14:paraId="21C7651B" w14:textId="77777777" w:rsidTr="004B2EA4">
        <w:trPr>
          <w:trHeight w:val="216"/>
        </w:trPr>
        <w:tc>
          <w:tcPr>
            <w:tcW w:w="2280" w:type="dxa"/>
            <w:vAlign w:val="bottom"/>
          </w:tcPr>
          <w:p w14:paraId="5D0B600E"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самолета, м</w:t>
            </w:r>
          </w:p>
        </w:tc>
        <w:tc>
          <w:tcPr>
            <w:tcW w:w="994" w:type="dxa"/>
            <w:vAlign w:val="bottom"/>
          </w:tcPr>
          <w:p w14:paraId="1870DFD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085" w:type="dxa"/>
            <w:vAlign w:val="bottom"/>
          </w:tcPr>
          <w:p w14:paraId="3D47098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3" w:type="dxa"/>
            <w:vAlign w:val="bottom"/>
          </w:tcPr>
          <w:p w14:paraId="69454726"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w:t>
            </w:r>
          </w:p>
        </w:tc>
      </w:tr>
      <w:tr w:rsidR="00B97656" w:rsidRPr="00E93F40" w14:paraId="41539C7C" w14:textId="77777777" w:rsidTr="004B2EA4">
        <w:trPr>
          <w:trHeight w:val="230"/>
        </w:trPr>
        <w:tc>
          <w:tcPr>
            <w:tcW w:w="2280" w:type="dxa"/>
            <w:vAlign w:val="bottom"/>
          </w:tcPr>
          <w:p w14:paraId="797E90A6"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м'</w:t>
            </w:r>
          </w:p>
        </w:tc>
        <w:tc>
          <w:tcPr>
            <w:tcW w:w="994" w:type="dxa"/>
          </w:tcPr>
          <w:p w14:paraId="07803A54"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1085" w:type="dxa"/>
          </w:tcPr>
          <w:p w14:paraId="5D4A4C1B"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1123" w:type="dxa"/>
          </w:tcPr>
          <w:p w14:paraId="06568C5E"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r>
      <w:tr w:rsidR="00B97656" w:rsidRPr="00E93F40" w14:paraId="7771E78A" w14:textId="77777777" w:rsidTr="004B2EA4">
        <w:trPr>
          <w:trHeight w:val="230"/>
        </w:trPr>
        <w:tc>
          <w:tcPr>
            <w:tcW w:w="2280" w:type="dxa"/>
          </w:tcPr>
          <w:p w14:paraId="3FA70C93"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крыла</w:t>
            </w:r>
          </w:p>
        </w:tc>
        <w:tc>
          <w:tcPr>
            <w:tcW w:w="994" w:type="dxa"/>
          </w:tcPr>
          <w:p w14:paraId="069A40D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84,00</w:t>
            </w:r>
          </w:p>
        </w:tc>
        <w:tc>
          <w:tcPr>
            <w:tcW w:w="1085" w:type="dxa"/>
          </w:tcPr>
          <w:p w14:paraId="66B63EFC"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84,00</w:t>
            </w:r>
          </w:p>
        </w:tc>
        <w:tc>
          <w:tcPr>
            <w:tcW w:w="1123" w:type="dxa"/>
          </w:tcPr>
          <w:p w14:paraId="789B434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84,91</w:t>
            </w:r>
          </w:p>
        </w:tc>
      </w:tr>
      <w:tr w:rsidR="00B97656" w:rsidRPr="00E93F40" w14:paraId="19FCFEFE" w14:textId="77777777" w:rsidTr="004B2EA4">
        <w:trPr>
          <w:trHeight w:val="226"/>
        </w:trPr>
        <w:tc>
          <w:tcPr>
            <w:tcW w:w="2280" w:type="dxa"/>
            <w:vAlign w:val="center"/>
          </w:tcPr>
          <w:p w14:paraId="67CCA206"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горизонтального оперения</w:t>
            </w:r>
          </w:p>
        </w:tc>
        <w:tc>
          <w:tcPr>
            <w:tcW w:w="994" w:type="dxa"/>
          </w:tcPr>
          <w:p w14:paraId="3070BAF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10,61</w:t>
            </w:r>
          </w:p>
        </w:tc>
        <w:tc>
          <w:tcPr>
            <w:tcW w:w="1085" w:type="dxa"/>
            <w:vAlign w:val="center"/>
          </w:tcPr>
          <w:p w14:paraId="6FC24A9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3" w:type="dxa"/>
            <w:vAlign w:val="center"/>
          </w:tcPr>
          <w:p w14:paraId="0BB42BB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B97656" w:rsidRPr="00E93F40" w14:paraId="359E1399" w14:textId="77777777" w:rsidTr="004B2EA4">
        <w:trPr>
          <w:trHeight w:val="211"/>
        </w:trPr>
        <w:tc>
          <w:tcPr>
            <w:tcW w:w="2280" w:type="dxa"/>
            <w:vAlign w:val="center"/>
          </w:tcPr>
          <w:p w14:paraId="19CF1A03"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вертикального оперения</w:t>
            </w:r>
          </w:p>
        </w:tc>
        <w:tc>
          <w:tcPr>
            <w:tcW w:w="994" w:type="dxa"/>
            <w:vAlign w:val="center"/>
          </w:tcPr>
          <w:p w14:paraId="3925A05C"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4,43</w:t>
            </w:r>
          </w:p>
        </w:tc>
        <w:tc>
          <w:tcPr>
            <w:tcW w:w="1085" w:type="dxa"/>
            <w:vAlign w:val="center"/>
          </w:tcPr>
          <w:p w14:paraId="7385B6E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3" w:type="dxa"/>
            <w:vAlign w:val="center"/>
          </w:tcPr>
          <w:p w14:paraId="6BC66859"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B97656" w:rsidRPr="00E93F40" w14:paraId="659784DD" w14:textId="77777777" w:rsidTr="004B2EA4">
        <w:trPr>
          <w:trHeight w:val="202"/>
        </w:trPr>
        <w:tc>
          <w:tcPr>
            <w:tcW w:w="2280" w:type="dxa"/>
          </w:tcPr>
          <w:p w14:paraId="0C62926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Взлетная масса, кг</w:t>
            </w:r>
          </w:p>
        </w:tc>
        <w:tc>
          <w:tcPr>
            <w:tcW w:w="994" w:type="dxa"/>
          </w:tcPr>
          <w:p w14:paraId="3C972746"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1085" w:type="dxa"/>
          </w:tcPr>
          <w:p w14:paraId="0DCA8891"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1123" w:type="dxa"/>
          </w:tcPr>
          <w:p w14:paraId="2DE5D7E0"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r>
      <w:tr w:rsidR="00B97656" w:rsidRPr="00E93F40" w14:paraId="4C1F91B1" w14:textId="77777777" w:rsidTr="004B2EA4">
        <w:trPr>
          <w:trHeight w:val="235"/>
        </w:trPr>
        <w:tc>
          <w:tcPr>
            <w:tcW w:w="2280" w:type="dxa"/>
          </w:tcPr>
          <w:p w14:paraId="00D0FFFC"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нормальная</w:t>
            </w:r>
          </w:p>
        </w:tc>
        <w:tc>
          <w:tcPr>
            <w:tcW w:w="994" w:type="dxa"/>
          </w:tcPr>
          <w:p w14:paraId="6CF91706"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5044</w:t>
            </w:r>
          </w:p>
        </w:tc>
        <w:tc>
          <w:tcPr>
            <w:tcW w:w="1085" w:type="dxa"/>
          </w:tcPr>
          <w:p w14:paraId="2AF52F0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5690</w:t>
            </w:r>
          </w:p>
        </w:tc>
        <w:tc>
          <w:tcPr>
            <w:tcW w:w="1123" w:type="dxa"/>
          </w:tcPr>
          <w:p w14:paraId="1B19E980"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6200</w:t>
            </w:r>
          </w:p>
        </w:tc>
      </w:tr>
      <w:tr w:rsidR="00B97656" w:rsidRPr="00E93F40" w14:paraId="26B6E213" w14:textId="77777777" w:rsidTr="004B2EA4">
        <w:trPr>
          <w:trHeight w:val="206"/>
        </w:trPr>
        <w:tc>
          <w:tcPr>
            <w:tcW w:w="2280" w:type="dxa"/>
          </w:tcPr>
          <w:p w14:paraId="722503F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пустого самолета, кг</w:t>
            </w:r>
          </w:p>
        </w:tc>
        <w:tc>
          <w:tcPr>
            <w:tcW w:w="994" w:type="dxa"/>
          </w:tcPr>
          <w:p w14:paraId="11173F88"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3353</w:t>
            </w:r>
          </w:p>
        </w:tc>
        <w:tc>
          <w:tcPr>
            <w:tcW w:w="1085" w:type="dxa"/>
          </w:tcPr>
          <w:p w14:paraId="43ECFB7B"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3680</w:t>
            </w:r>
          </w:p>
        </w:tc>
        <w:tc>
          <w:tcPr>
            <w:tcW w:w="1123" w:type="dxa"/>
          </w:tcPr>
          <w:p w14:paraId="75786490"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4400</w:t>
            </w:r>
          </w:p>
        </w:tc>
      </w:tr>
      <w:tr w:rsidR="00B97656" w:rsidRPr="00E93F40" w14:paraId="4970849F" w14:textId="77777777" w:rsidTr="004B2EA4">
        <w:trPr>
          <w:trHeight w:val="221"/>
        </w:trPr>
        <w:tc>
          <w:tcPr>
            <w:tcW w:w="2280" w:type="dxa"/>
          </w:tcPr>
          <w:p w14:paraId="510BACD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топлива, кг</w:t>
            </w:r>
          </w:p>
        </w:tc>
        <w:tc>
          <w:tcPr>
            <w:tcW w:w="994" w:type="dxa"/>
          </w:tcPr>
          <w:p w14:paraId="47F1DDCA"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700-1180</w:t>
            </w:r>
          </w:p>
        </w:tc>
        <w:tc>
          <w:tcPr>
            <w:tcW w:w="1085" w:type="dxa"/>
          </w:tcPr>
          <w:p w14:paraId="24D65EA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920</w:t>
            </w:r>
          </w:p>
        </w:tc>
        <w:tc>
          <w:tcPr>
            <w:tcW w:w="1123" w:type="dxa"/>
          </w:tcPr>
          <w:p w14:paraId="4EF934E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B97656" w:rsidRPr="00E93F40" w14:paraId="2DA044D1" w14:textId="77777777" w:rsidTr="004B2EA4">
        <w:trPr>
          <w:trHeight w:val="230"/>
        </w:trPr>
        <w:tc>
          <w:tcPr>
            <w:tcW w:w="2280" w:type="dxa"/>
          </w:tcPr>
          <w:p w14:paraId="7C9CB2C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полезной нагрузки, кг</w:t>
            </w:r>
          </w:p>
        </w:tc>
        <w:tc>
          <w:tcPr>
            <w:tcW w:w="994" w:type="dxa"/>
          </w:tcPr>
          <w:p w14:paraId="2282A50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1700</w:t>
            </w:r>
          </w:p>
        </w:tc>
        <w:tc>
          <w:tcPr>
            <w:tcW w:w="1085" w:type="dxa"/>
          </w:tcPr>
          <w:p w14:paraId="0900D9D4"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3" w:type="dxa"/>
          </w:tcPr>
          <w:p w14:paraId="00B151EB"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1780</w:t>
            </w:r>
          </w:p>
        </w:tc>
      </w:tr>
      <w:tr w:rsidR="00B97656" w:rsidRPr="00E93F40" w14:paraId="3403F8A0" w14:textId="77777777" w:rsidTr="004B2EA4">
        <w:trPr>
          <w:trHeight w:val="221"/>
        </w:trPr>
        <w:tc>
          <w:tcPr>
            <w:tcW w:w="2280" w:type="dxa"/>
            <w:vAlign w:val="bottom"/>
          </w:tcPr>
          <w:p w14:paraId="787CD25A"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скорость, км/ч</w:t>
            </w:r>
          </w:p>
        </w:tc>
        <w:tc>
          <w:tcPr>
            <w:tcW w:w="994" w:type="dxa"/>
          </w:tcPr>
          <w:p w14:paraId="679EB686"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1085" w:type="dxa"/>
          </w:tcPr>
          <w:p w14:paraId="4ECD2399"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1123" w:type="dxa"/>
          </w:tcPr>
          <w:p w14:paraId="2EDB7428"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r>
      <w:tr w:rsidR="00B97656" w:rsidRPr="00E93F40" w14:paraId="75FB4BA1" w14:textId="77777777" w:rsidTr="004B2EA4">
        <w:trPr>
          <w:trHeight w:val="211"/>
        </w:trPr>
        <w:tc>
          <w:tcPr>
            <w:tcW w:w="2280" w:type="dxa"/>
          </w:tcPr>
          <w:p w14:paraId="1765E0A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земли</w:t>
            </w:r>
          </w:p>
        </w:tc>
        <w:tc>
          <w:tcPr>
            <w:tcW w:w="994" w:type="dxa"/>
          </w:tcPr>
          <w:p w14:paraId="3A6827EE"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209</w:t>
            </w:r>
          </w:p>
        </w:tc>
        <w:tc>
          <w:tcPr>
            <w:tcW w:w="1085" w:type="dxa"/>
          </w:tcPr>
          <w:p w14:paraId="48D0B75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205</w:t>
            </w:r>
          </w:p>
        </w:tc>
        <w:tc>
          <w:tcPr>
            <w:tcW w:w="1123" w:type="dxa"/>
          </w:tcPr>
          <w:p w14:paraId="0A1580C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r>
      <w:tr w:rsidR="00B97656" w:rsidRPr="00E93F40" w14:paraId="1780E8C6" w14:textId="77777777" w:rsidTr="004B2EA4">
        <w:trPr>
          <w:trHeight w:val="230"/>
        </w:trPr>
        <w:tc>
          <w:tcPr>
            <w:tcW w:w="2280" w:type="dxa"/>
            <w:vAlign w:val="bottom"/>
          </w:tcPr>
          <w:p w14:paraId="449155C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 м</w:t>
            </w:r>
          </w:p>
        </w:tc>
        <w:tc>
          <w:tcPr>
            <w:tcW w:w="994" w:type="dxa"/>
            <w:vAlign w:val="bottom"/>
          </w:tcPr>
          <w:p w14:paraId="16956C1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182/3000</w:t>
            </w:r>
          </w:p>
        </w:tc>
        <w:tc>
          <w:tcPr>
            <w:tcW w:w="1085" w:type="dxa"/>
            <w:vAlign w:val="center"/>
          </w:tcPr>
          <w:p w14:paraId="7D61A22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3" w:type="dxa"/>
            <w:vAlign w:val="bottom"/>
          </w:tcPr>
          <w:p w14:paraId="2596712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170/2000</w:t>
            </w:r>
          </w:p>
        </w:tc>
      </w:tr>
      <w:tr w:rsidR="00B97656" w:rsidRPr="00E93F40" w14:paraId="27B99FCB" w14:textId="77777777" w:rsidTr="004B2EA4">
        <w:trPr>
          <w:trHeight w:val="216"/>
        </w:trPr>
        <w:tc>
          <w:tcPr>
            <w:tcW w:w="2280" w:type="dxa"/>
          </w:tcPr>
          <w:p w14:paraId="476EBF7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Крейсерская скорость, км/ч</w:t>
            </w:r>
          </w:p>
        </w:tc>
        <w:tc>
          <w:tcPr>
            <w:tcW w:w="994" w:type="dxa"/>
          </w:tcPr>
          <w:p w14:paraId="7EB3C8F0"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w:t>
            </w:r>
          </w:p>
        </w:tc>
        <w:tc>
          <w:tcPr>
            <w:tcW w:w="1085" w:type="dxa"/>
          </w:tcPr>
          <w:p w14:paraId="52308C6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w:t>
            </w:r>
          </w:p>
        </w:tc>
        <w:tc>
          <w:tcPr>
            <w:tcW w:w="1123" w:type="dxa"/>
          </w:tcPr>
          <w:p w14:paraId="2B8851D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r>
      <w:tr w:rsidR="00B97656" w:rsidRPr="00E93F40" w14:paraId="16C8B760" w14:textId="77777777" w:rsidTr="004B2EA4">
        <w:trPr>
          <w:trHeight w:val="221"/>
        </w:trPr>
        <w:tc>
          <w:tcPr>
            <w:tcW w:w="2280" w:type="dxa"/>
            <w:vAlign w:val="bottom"/>
          </w:tcPr>
          <w:p w14:paraId="1734090A"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набора высоты, мин</w:t>
            </w:r>
          </w:p>
        </w:tc>
        <w:tc>
          <w:tcPr>
            <w:tcW w:w="994" w:type="dxa"/>
            <w:vAlign w:val="bottom"/>
          </w:tcPr>
          <w:p w14:paraId="424B7363"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6,46/1000</w:t>
            </w:r>
          </w:p>
        </w:tc>
        <w:tc>
          <w:tcPr>
            <w:tcW w:w="1085" w:type="dxa"/>
            <w:vAlign w:val="bottom"/>
          </w:tcPr>
          <w:p w14:paraId="639683F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8,50/1000</w:t>
            </w:r>
          </w:p>
        </w:tc>
        <w:tc>
          <w:tcPr>
            <w:tcW w:w="1123" w:type="dxa"/>
            <w:vAlign w:val="bottom"/>
          </w:tcPr>
          <w:p w14:paraId="205277C0"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6,50/1000</w:t>
            </w:r>
          </w:p>
        </w:tc>
      </w:tr>
      <w:tr w:rsidR="00B97656" w:rsidRPr="00E93F40" w14:paraId="73B860C5" w14:textId="77777777" w:rsidTr="004B2EA4">
        <w:trPr>
          <w:trHeight w:val="226"/>
        </w:trPr>
        <w:tc>
          <w:tcPr>
            <w:tcW w:w="2280" w:type="dxa"/>
          </w:tcPr>
          <w:p w14:paraId="2D2FA150" w14:textId="77777777" w:rsidR="00B97656" w:rsidRPr="00E93F40" w:rsidRDefault="00B97656" w:rsidP="00E93F40">
            <w:pPr>
              <w:spacing w:after="0" w:line="240" w:lineRule="auto"/>
              <w:jc w:val="both"/>
              <w:rPr>
                <w:rFonts w:ascii="Times New Roman" w:hAnsi="Times New Roman"/>
                <w:color w:val="000000" w:themeColor="text1"/>
                <w:sz w:val="16"/>
                <w:szCs w:val="16"/>
              </w:rPr>
            </w:pPr>
          </w:p>
        </w:tc>
        <w:tc>
          <w:tcPr>
            <w:tcW w:w="994" w:type="dxa"/>
            <w:vAlign w:val="bottom"/>
          </w:tcPr>
          <w:p w14:paraId="174C3FD3"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30,70/3000</w:t>
            </w:r>
          </w:p>
        </w:tc>
        <w:tc>
          <w:tcPr>
            <w:tcW w:w="1085" w:type="dxa"/>
            <w:vAlign w:val="bottom"/>
          </w:tcPr>
          <w:p w14:paraId="6339393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28,00/3000</w:t>
            </w:r>
          </w:p>
        </w:tc>
        <w:tc>
          <w:tcPr>
            <w:tcW w:w="1123" w:type="dxa"/>
            <w:vAlign w:val="bottom"/>
          </w:tcPr>
          <w:p w14:paraId="25561D8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10,90/3000</w:t>
            </w:r>
          </w:p>
        </w:tc>
      </w:tr>
      <w:tr w:rsidR="00B97656" w:rsidRPr="00E93F40" w14:paraId="22312F17" w14:textId="77777777" w:rsidTr="004B2EA4">
        <w:trPr>
          <w:trHeight w:val="211"/>
        </w:trPr>
        <w:tc>
          <w:tcPr>
            <w:tcW w:w="2280" w:type="dxa"/>
          </w:tcPr>
          <w:p w14:paraId="0365486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 км/ч</w:t>
            </w:r>
          </w:p>
        </w:tc>
        <w:tc>
          <w:tcPr>
            <w:tcW w:w="994" w:type="dxa"/>
          </w:tcPr>
          <w:p w14:paraId="5F973B0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w:t>
            </w:r>
          </w:p>
        </w:tc>
        <w:tc>
          <w:tcPr>
            <w:tcW w:w="1085" w:type="dxa"/>
          </w:tcPr>
          <w:p w14:paraId="47BFA048"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w:t>
            </w:r>
          </w:p>
        </w:tc>
        <w:tc>
          <w:tcPr>
            <w:tcW w:w="1123" w:type="dxa"/>
          </w:tcPr>
          <w:p w14:paraId="1D74BADB"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B97656" w:rsidRPr="00E93F40" w14:paraId="4B10C94E" w14:textId="77777777" w:rsidTr="004B2EA4">
        <w:trPr>
          <w:trHeight w:val="221"/>
        </w:trPr>
        <w:tc>
          <w:tcPr>
            <w:tcW w:w="2280" w:type="dxa"/>
          </w:tcPr>
          <w:p w14:paraId="53E83C6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p>
        </w:tc>
        <w:tc>
          <w:tcPr>
            <w:tcW w:w="994" w:type="dxa"/>
          </w:tcPr>
          <w:p w14:paraId="0F630ED9"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3810</w:t>
            </w:r>
          </w:p>
        </w:tc>
        <w:tc>
          <w:tcPr>
            <w:tcW w:w="1085" w:type="dxa"/>
          </w:tcPr>
          <w:p w14:paraId="663D47D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1123" w:type="dxa"/>
          </w:tcPr>
          <w:p w14:paraId="57FAC97E"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5100</w:t>
            </w:r>
          </w:p>
        </w:tc>
      </w:tr>
      <w:tr w:rsidR="00B97656" w:rsidRPr="00E93F40" w14:paraId="3F5DE393" w14:textId="77777777" w:rsidTr="004B2EA4">
        <w:trPr>
          <w:trHeight w:val="211"/>
        </w:trPr>
        <w:tc>
          <w:tcPr>
            <w:tcW w:w="2280" w:type="dxa"/>
          </w:tcPr>
          <w:p w14:paraId="5E0789B4"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полета, км</w:t>
            </w:r>
          </w:p>
        </w:tc>
        <w:tc>
          <w:tcPr>
            <w:tcW w:w="994" w:type="dxa"/>
          </w:tcPr>
          <w:p w14:paraId="623AAC7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1000-1800</w:t>
            </w:r>
          </w:p>
        </w:tc>
        <w:tc>
          <w:tcPr>
            <w:tcW w:w="1085" w:type="dxa"/>
          </w:tcPr>
          <w:p w14:paraId="7FF6FE2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1123" w:type="dxa"/>
          </w:tcPr>
          <w:p w14:paraId="418250A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r>
      <w:tr w:rsidR="00B97656" w:rsidRPr="00E93F40" w14:paraId="3139E9DA" w14:textId="77777777" w:rsidTr="004B2EA4">
        <w:trPr>
          <w:trHeight w:val="226"/>
        </w:trPr>
        <w:tc>
          <w:tcPr>
            <w:tcW w:w="2280" w:type="dxa"/>
          </w:tcPr>
          <w:p w14:paraId="0FF0595E"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разбега, м</w:t>
            </w:r>
          </w:p>
        </w:tc>
        <w:tc>
          <w:tcPr>
            <w:tcW w:w="994" w:type="dxa"/>
          </w:tcPr>
          <w:p w14:paraId="12A1324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275-290</w:t>
            </w:r>
          </w:p>
        </w:tc>
        <w:tc>
          <w:tcPr>
            <w:tcW w:w="1085" w:type="dxa"/>
          </w:tcPr>
          <w:p w14:paraId="4D11CFEA"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w:t>
            </w:r>
          </w:p>
        </w:tc>
        <w:tc>
          <w:tcPr>
            <w:tcW w:w="1123" w:type="dxa"/>
          </w:tcPr>
          <w:p w14:paraId="3F6217DA"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B97656" w:rsidRPr="00E93F40" w14:paraId="0BEC15F4" w14:textId="77777777" w:rsidTr="004B2EA4">
        <w:trPr>
          <w:trHeight w:val="221"/>
        </w:trPr>
        <w:tc>
          <w:tcPr>
            <w:tcW w:w="2280" w:type="dxa"/>
          </w:tcPr>
          <w:p w14:paraId="15CD1A0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пробега, м</w:t>
            </w:r>
          </w:p>
        </w:tc>
        <w:tc>
          <w:tcPr>
            <w:tcW w:w="994" w:type="dxa"/>
          </w:tcPr>
          <w:p w14:paraId="786B489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150-160</w:t>
            </w:r>
          </w:p>
        </w:tc>
        <w:tc>
          <w:tcPr>
            <w:tcW w:w="1085" w:type="dxa"/>
          </w:tcPr>
          <w:p w14:paraId="46CDAE5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123" w:type="dxa"/>
          </w:tcPr>
          <w:p w14:paraId="5BA60A7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B97656" w:rsidRPr="00E93F40" w14:paraId="7BBC057C" w14:textId="77777777" w:rsidTr="004B2EA4">
        <w:trPr>
          <w:trHeight w:val="211"/>
        </w:trPr>
        <w:tc>
          <w:tcPr>
            <w:tcW w:w="2280" w:type="dxa"/>
          </w:tcPr>
          <w:p w14:paraId="7B12F73F"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чел.</w:t>
            </w:r>
          </w:p>
        </w:tc>
        <w:tc>
          <w:tcPr>
            <w:tcW w:w="994" w:type="dxa"/>
          </w:tcPr>
          <w:p w14:paraId="21A4224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085" w:type="dxa"/>
          </w:tcPr>
          <w:p w14:paraId="30C3B0F8"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123" w:type="dxa"/>
          </w:tcPr>
          <w:p w14:paraId="5E68F64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r w:rsidR="00B97656" w:rsidRPr="00E93F40" w14:paraId="2F39B944" w14:textId="77777777" w:rsidTr="004B2EA4">
        <w:trPr>
          <w:trHeight w:val="230"/>
        </w:trPr>
        <w:tc>
          <w:tcPr>
            <w:tcW w:w="2280" w:type="dxa"/>
            <w:tcBorders>
              <w:bottom w:val="single" w:sz="4" w:space="0" w:color="auto"/>
            </w:tcBorders>
          </w:tcPr>
          <w:p w14:paraId="772B592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Пассажиры, чел.</w:t>
            </w:r>
          </w:p>
        </w:tc>
        <w:tc>
          <w:tcPr>
            <w:tcW w:w="994" w:type="dxa"/>
            <w:tcBorders>
              <w:bottom w:val="single" w:sz="4" w:space="0" w:color="auto"/>
            </w:tcBorders>
          </w:tcPr>
          <w:p w14:paraId="55076D8E"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1085" w:type="dxa"/>
            <w:tcBorders>
              <w:bottom w:val="single" w:sz="4" w:space="0" w:color="auto"/>
            </w:tcBorders>
          </w:tcPr>
          <w:p w14:paraId="1902B256"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1123" w:type="dxa"/>
            <w:tcBorders>
              <w:bottom w:val="single" w:sz="4" w:space="0" w:color="auto"/>
            </w:tcBorders>
          </w:tcPr>
          <w:p w14:paraId="1780473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r>
    </w:tbl>
    <w:p w14:paraId="548531D4"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(23474).</w:t>
      </w:r>
    </w:p>
    <w:p w14:paraId="14D580D6" w14:textId="77777777" w:rsidR="00B97656" w:rsidRPr="00E93F40" w:rsidRDefault="00B97656" w:rsidP="00E93F40">
      <w:pPr>
        <w:spacing w:after="0" w:line="240" w:lineRule="auto"/>
        <w:jc w:val="both"/>
        <w:rPr>
          <w:rFonts w:ascii="Times New Roman" w:hAnsi="Times New Roman"/>
          <w:color w:val="000000" w:themeColor="text1"/>
          <w:sz w:val="16"/>
          <w:szCs w:val="16"/>
        </w:rPr>
      </w:pPr>
    </w:p>
    <w:p w14:paraId="5DBC5E0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самолет АНТ-9 в военном варианте был готов к испытаниям. Документы о его дальней</w:t>
      </w:r>
      <w:r w:rsidRPr="00E93F40">
        <w:rPr>
          <w:rFonts w:ascii="Times New Roman" w:hAnsi="Times New Roman"/>
          <w:color w:val="000000" w:themeColor="text1"/>
          <w:sz w:val="16"/>
          <w:szCs w:val="16"/>
        </w:rPr>
        <w:softHyphen/>
        <w:t>шей судьбе пока не обнаружены (23474).</w:t>
      </w:r>
    </w:p>
    <w:p w14:paraId="1E6FBC36" w14:textId="77777777" w:rsidR="00B97656" w:rsidRPr="00E93F40" w:rsidRDefault="00B97656" w:rsidP="00E93F40">
      <w:pPr>
        <w:spacing w:after="0" w:line="240" w:lineRule="auto"/>
        <w:jc w:val="both"/>
        <w:rPr>
          <w:rFonts w:ascii="Times New Roman" w:hAnsi="Times New Roman"/>
          <w:color w:val="000000" w:themeColor="text1"/>
          <w:sz w:val="16"/>
          <w:szCs w:val="16"/>
        </w:rPr>
      </w:pPr>
    </w:p>
    <w:p w14:paraId="05F3869E"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1932 г. в НИИ ВВС впервые предложили разра</w:t>
      </w:r>
      <w:r w:rsidRPr="00142305">
        <w:rPr>
          <w:rFonts w:ascii="Times New Roman" w:hAnsi="Times New Roman"/>
          <w:color w:val="0070C0"/>
          <w:sz w:val="16"/>
          <w:szCs w:val="16"/>
        </w:rPr>
        <w:softHyphen/>
        <w:t>ботать вариант АНТ-9 с парой М-17 именно в качестве бомбардировщика. Два М-17 обеспечивали большую мощность, чем три М-26, но несколько меньшую, чем три М-22. В освободившейся носовой части хотели расположить рабочее место штур</w:t>
      </w:r>
      <w:r w:rsidRPr="00142305">
        <w:rPr>
          <w:rFonts w:ascii="Times New Roman" w:hAnsi="Times New Roman"/>
          <w:color w:val="0070C0"/>
          <w:sz w:val="16"/>
          <w:szCs w:val="16"/>
        </w:rPr>
        <w:softHyphen/>
        <w:t>мана и еще одну пулеметную установку.</w:t>
      </w:r>
    </w:p>
    <w:p w14:paraId="6A8012C5"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Модификация, которую создали в Са</w:t>
      </w:r>
      <w:r w:rsidRPr="00142305">
        <w:rPr>
          <w:rFonts w:ascii="Times New Roman" w:hAnsi="Times New Roman"/>
          <w:color w:val="0070C0"/>
          <w:sz w:val="16"/>
          <w:szCs w:val="16"/>
        </w:rPr>
        <w:softHyphen/>
        <w:t>молетном НИИ (СНИИ) ГВФ под руко</w:t>
      </w:r>
      <w:r w:rsidRPr="00142305">
        <w:rPr>
          <w:rFonts w:ascii="Times New Roman" w:hAnsi="Times New Roman"/>
          <w:color w:val="0070C0"/>
          <w:sz w:val="16"/>
          <w:szCs w:val="16"/>
        </w:rPr>
        <w:softHyphen/>
        <w:t>водством С И. Комарова, имела чисто гражданское назначение. Мотоустановку целиком взяли от «крейсера» Р-6, еще больше увеличив степень модификации между машинами. На месте централь</w:t>
      </w:r>
      <w:r w:rsidRPr="00142305">
        <w:rPr>
          <w:rFonts w:ascii="Times New Roman" w:hAnsi="Times New Roman"/>
          <w:color w:val="0070C0"/>
          <w:sz w:val="16"/>
          <w:szCs w:val="16"/>
        </w:rPr>
        <w:softHyphen/>
        <w:t>ного двигателя появился остроконечный металлический обтекатель.</w:t>
      </w:r>
    </w:p>
    <w:p w14:paraId="4E5CF252"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Переделку первого самолета проводили на опытном заводе СНИИ (бывшей ЦАРБ ГВФ) в Москве. Более мощные и тяжелые двигатели привели к некоторому ухудше</w:t>
      </w:r>
      <w:r w:rsidRPr="00142305">
        <w:rPr>
          <w:rFonts w:ascii="Times New Roman" w:hAnsi="Times New Roman"/>
          <w:color w:val="0070C0"/>
          <w:sz w:val="16"/>
          <w:szCs w:val="16"/>
        </w:rPr>
        <w:softHyphen/>
        <w:t>нию пилотажных свойств, и это пришлось исправлять изменением площади роговых компенсаторов рулей и элеронов. Увели</w:t>
      </w:r>
      <w:r w:rsidRPr="00142305">
        <w:rPr>
          <w:rFonts w:ascii="Times New Roman" w:hAnsi="Times New Roman"/>
          <w:color w:val="0070C0"/>
          <w:sz w:val="16"/>
          <w:szCs w:val="16"/>
        </w:rPr>
        <w:softHyphen/>
        <w:t>чился вес пустого самолета, так что при</w:t>
      </w:r>
      <w:r w:rsidRPr="00142305">
        <w:rPr>
          <w:rFonts w:ascii="Times New Roman" w:hAnsi="Times New Roman"/>
          <w:color w:val="0070C0"/>
          <w:sz w:val="16"/>
          <w:szCs w:val="16"/>
        </w:rPr>
        <w:softHyphen/>
        <w:t>шлось поднять взлетный вес до 6200 кг. Но объем бензобаков остался прежним (24949).</w:t>
      </w:r>
    </w:p>
    <w:p w14:paraId="5EC91D10" w14:textId="77777777" w:rsidR="00C55E74" w:rsidRPr="00142305" w:rsidRDefault="00C55E74" w:rsidP="00C55E74">
      <w:pPr>
        <w:spacing w:after="0" w:line="240" w:lineRule="auto"/>
        <w:jc w:val="both"/>
        <w:rPr>
          <w:rFonts w:ascii="Times New Roman" w:hAnsi="Times New Roman"/>
          <w:color w:val="0070C0"/>
          <w:sz w:val="16"/>
          <w:szCs w:val="16"/>
        </w:rPr>
      </w:pPr>
    </w:p>
    <w:p w14:paraId="32B2E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П.М.Стефановский попал в НИИ ВВС и получил назначение на ТБ. Первый вылет сделал на И-4 парасоль, доработанным В.В.Вахмистровым для установки на ТБ-1, а второй с В.П.Ч. на ТБ-1 2М-17 (2921,6).</w:t>
      </w:r>
    </w:p>
    <w:p w14:paraId="15238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60E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ЦАГИ были получены ТТ на МГ 2М-34РН и началось его проектирование (2287,128).</w:t>
      </w:r>
    </w:p>
    <w:p w14:paraId="36A4A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412B91" w14:textId="77777777"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в Остехбюро был изготовлен опытный образец «универсального двойного моста ОТБ», но Остехбюро не располагало самолетом для его установки. ТБ-3 явля</w:t>
      </w:r>
      <w:r w:rsidRPr="00E93F40">
        <w:rPr>
          <w:rFonts w:ascii="Times New Roman" w:hAnsi="Times New Roman"/>
          <w:color w:val="000000" w:themeColor="text1"/>
          <w:sz w:val="16"/>
          <w:szCs w:val="16"/>
        </w:rPr>
        <w:softHyphen/>
        <w:t>лись большим дефицитом, их не хватало для укомплектования бригад. Только в конце 1933 г. для испытаний выделили одну машину с моторами М-17. Самолет получил так</w:t>
      </w:r>
      <w:r w:rsidRPr="00E93F40">
        <w:rPr>
          <w:rFonts w:ascii="Times New Roman" w:hAnsi="Times New Roman"/>
          <w:color w:val="000000" w:themeColor="text1"/>
          <w:sz w:val="16"/>
          <w:szCs w:val="16"/>
        </w:rPr>
        <w:softHyphen/>
        <w:t>же специальный прицел СП-123 (впоследствии принятый на вооружение как ПВТБ-1). Сброс торпеды осуществлялся механическим сбрасывателем ОТБ (23464).</w:t>
      </w:r>
    </w:p>
    <w:p w14:paraId="14311A7E" w14:textId="77777777" w:rsidR="00C57239" w:rsidRPr="00E93F40" w:rsidRDefault="00C57239" w:rsidP="00E93F40">
      <w:pPr>
        <w:spacing w:after="0" w:line="240" w:lineRule="auto"/>
        <w:jc w:val="both"/>
        <w:rPr>
          <w:rFonts w:ascii="Times New Roman" w:hAnsi="Times New Roman"/>
          <w:color w:val="000000" w:themeColor="text1"/>
          <w:sz w:val="16"/>
          <w:szCs w:val="16"/>
        </w:rPr>
      </w:pPr>
    </w:p>
    <w:p w14:paraId="66B1C513" w14:textId="479D17CC"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закончили проработку проекта переделки обоих самолетов для дозаправки в воздухе: ТБ-1, а в качестве "бензиновоза" -. В отличие от Р-1 на Р-5 шланг наматывался на барабан ручной лебедки в кабине летнаба. Лебедка монтировалась на месте фотоаппарата. Но запас горючего серийного Р-5 делал эту затею бессмысленной. Сначала рассчитывали на комплект дополнительных бензобаков, монтировавшийся на варианте для дальних перелетов. Баки располагались за приборной доской (126 л), под педалями летчика (215 л) и под его сиденьем (110 л)</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(12036).</w:t>
      </w:r>
    </w:p>
    <w:p w14:paraId="4CE251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5E8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началось проектирование МИ-3 (АНТ-21) (4,8).</w:t>
      </w:r>
    </w:p>
    <w:p w14:paraId="42DD1E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в январе 1931, 1 марта 1931 или 1 июня 1931.</w:t>
      </w:r>
    </w:p>
    <w:p w14:paraId="37F8A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A9D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врид начальника ВВС Наумов</w:t>
      </w:r>
    </w:p>
    <w:p w14:paraId="07384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декабря 1931 года мною было созвано совещание по вопросу возможности применения самолета Р-6 2М-17 в качестве среднего бомбардировщика, берущего с собой 1000 кг сбрасываемого груза (кроме пристрелочных бомб) и запас горючего, обеспечивающий тактический радиус действия в 1200 км.</w:t>
      </w:r>
    </w:p>
    <w:p w14:paraId="15962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этой цели необходимо самолет оборудовать:</w:t>
      </w:r>
    </w:p>
    <w:p w14:paraId="3BABA7D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Бомбодержателями "ДОС", бомбодержателями для пристрелочных бомб и расположенными таким образом, чтобы они не исключали возможность пользования башенной установкой.</w:t>
      </w:r>
    </w:p>
    <w:p w14:paraId="4352D9B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Дополнительными баками для горючего и смазочного, обеспечивающими тактический радиус действия в 1200 км.</w:t>
      </w:r>
    </w:p>
    <w:p w14:paraId="5C772F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этим необходимо произвести соответствующий пересчет конструкции самолета и представить проект изменений и переделок его.</w:t>
      </w:r>
    </w:p>
    <w:p w14:paraId="63766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выполнение этого проекта представители ВАО определяют срок до 3-х месяцев.</w:t>
      </w:r>
    </w:p>
    <w:p w14:paraId="50564A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Считая, что указанный срок в 3 месяца для ВВС не приемлем, прошу поставить вопрос перед ВАО о сокращении срока до 1 месяца с тем, чтобы проект был представлен к 1 февраля 1932 года (7470, 4).</w:t>
      </w:r>
    </w:p>
    <w:p w14:paraId="1968FB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96F51D"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временно исполнявший обязанности начальника УВВС Наумов потребовал изучить возможность переделки Р-6 в средний бомбардировщик с бомбовой нагрузкой 1000 кг и дальностью полёта 1200 км. Никаких следов попыток выполнить это «ценное» указание найти не удалось, видимо, в связи с явной нереалистичностью.</w:t>
      </w:r>
    </w:p>
    <w:p w14:paraId="19465731"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эталоне 1933 г. военные хотели иметь подвеску под одну бомбу калибра 250 кг или даже 500 кг. Это требование конструкторы также проигнорировали.</w:t>
      </w:r>
    </w:p>
    <w:p w14:paraId="3A8BBDCE"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С.С. Львов из Военно-воздушной академии предложил сделать из Р-6 пикирующий бомбардировщик. Речь шла не о реальном бомбометании с пикирования с уже устаревшей машины, а о проверке конструкции аэродинамических тормозов, необходимых для этого. Тормозное устройство Львова выглядело как веер с каркасом из стальных труб, между которыми натягивалась шёлковая сетка. Р-6 должен был нести четыре таких «опахала» под крылом. Для приведения их в действие пилот дёргал рукоятку, открывая замки. Набегающим потоком веера раскрывались назад, удерживаемые стальными тросами, прикреплёнными ко второму лонжерону. При открытии других замков тросы отсоединялись, и веера напором воздуха складывались назад. Расчёты системы на прочность выполнялись сотрудниками ЦАГИ и завода № 39.</w:t>
      </w:r>
    </w:p>
    <w:p w14:paraId="1DFD5ADC"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Сначала построили уменьшенную в пять раз модель и продули её в аэродинамической трубе. Выявились вибрации в раскрытом положении. Их попытались устранить введением обтекателей, которых разработали пять вариантов. Когда устройство довели до ума, оказалось, что туполевцы передали академии чертежи не серийного Р-6, а опытного образца, отличавшегося и по конструкции, и по весу. Пришлось все пересчитывать. Изготовили новую модель, опять опробовали её, а затем в мастерских академии приступили к изготовлению вееров уже в полный размер. Была ли оборудована ими настоящая машина, установить не удалось (12264).</w:t>
      </w:r>
    </w:p>
    <w:p w14:paraId="1B93674A" w14:textId="77777777" w:rsidR="00AD6C32" w:rsidRPr="00E93F40" w:rsidRDefault="00AD6C32" w:rsidP="00E93F40">
      <w:pPr>
        <w:spacing w:after="0" w:line="240" w:lineRule="auto"/>
        <w:jc w:val="both"/>
        <w:rPr>
          <w:rFonts w:ascii="Times New Roman" w:hAnsi="Times New Roman"/>
          <w:color w:val="000000" w:themeColor="text1"/>
          <w:sz w:val="16"/>
          <w:szCs w:val="16"/>
        </w:rPr>
      </w:pPr>
    </w:p>
    <w:p w14:paraId="00EE52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на испытания поступил новый комплект лыж для КР-1 и в январе-феврале их опробовали в Ораниенбауме. Пацынко выполнил 3, а затем еще 14 полетов (1083,7).</w:t>
      </w:r>
    </w:p>
    <w:p w14:paraId="51E5C9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711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специальная комиссия проверила состояние всех 12 КР-1 на Балтике, на которых начиная с осени 1931 стали гнить нижние крылья. Оплачивать весь ремонт пришлось Хейнкелю (1083,8).</w:t>
      </w:r>
    </w:p>
    <w:p w14:paraId="48E6B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26A04C" w14:textId="77777777" w:rsidR="00AD6C32" w:rsidRPr="00E93F40" w:rsidRDefault="00AD6C32"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t>В январе 1932 г. Четвериков докладывал, что начались испытания самолета N210 (МР-5). Очевидно, это были летные испытания на лыжах. Основ</w:t>
      </w:r>
      <w:r w:rsidRPr="00E93F40">
        <w:rPr>
          <w:rFonts w:ascii="Times New Roman" w:cs="Times New Roman"/>
          <w:color w:val="000000" w:themeColor="text1"/>
          <w:sz w:val="16"/>
          <w:szCs w:val="16"/>
        </w:rPr>
        <w:softHyphen/>
        <w:t>ные испытания провели летом 1932 г. на участке Москвы-реки, там, где сейчас находится Центральный парк культуры и отдыха (ЦПКО).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E93F40">
        <w:rPr>
          <w:rFonts w:ascii="Times New Roman" w:cs="Times New Roman"/>
          <w:color w:val="000000" w:themeColor="text1"/>
          <w:sz w:val="16"/>
          <w:szCs w:val="16"/>
        </w:rPr>
        <w:softHyphen/>
        <w:t>де в Таганроге уже серийно строили лицензионную летающую лодку ита</w:t>
      </w:r>
      <w:r w:rsidRPr="00E93F40">
        <w:rPr>
          <w:rFonts w:ascii="Times New Roman" w:cs="Times New Roman"/>
          <w:color w:val="000000" w:themeColor="text1"/>
          <w:sz w:val="16"/>
          <w:szCs w:val="16"/>
        </w:rPr>
        <w:softHyphen/>
        <w:t>льянской конструкции Савойя С-62, которая в ВВС РККА получила обо</w:t>
      </w:r>
      <w:r w:rsidRPr="00E93F40">
        <w:rPr>
          <w:rFonts w:ascii="Times New Roman" w:cs="Times New Roman"/>
          <w:color w:val="000000" w:themeColor="text1"/>
          <w:sz w:val="16"/>
          <w:szCs w:val="16"/>
        </w:rPr>
        <w:softHyphen/>
        <w:t>значение МР-4 (12609).</w:t>
      </w:r>
    </w:p>
    <w:p w14:paraId="45E064DE" w14:textId="77777777" w:rsidR="00AD6C32" w:rsidRPr="00E93F40" w:rsidRDefault="00AD6C32" w:rsidP="00E93F40">
      <w:pPr>
        <w:pStyle w:val="45"/>
        <w:shd w:val="clear" w:color="auto" w:fill="auto"/>
        <w:spacing w:before="0" w:line="240" w:lineRule="auto"/>
        <w:jc w:val="both"/>
        <w:rPr>
          <w:rFonts w:ascii="Times New Roman" w:cs="Times New Roman"/>
          <w:color w:val="000000" w:themeColor="text1"/>
          <w:sz w:val="16"/>
          <w:szCs w:val="16"/>
        </w:rPr>
      </w:pPr>
    </w:p>
    <w:p w14:paraId="364B52EF" w14:textId="77777777" w:rsidR="00AF27DE" w:rsidRPr="00E93F40" w:rsidRDefault="00AF27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на заводе № 31 первой закончили лодку С-62Б с заводским номером ОЕ-78. Заводские летные испытания начали в апреле 1932 г. Затем самолет передали на государственные испытания в Особый морской отдел (ОМО) НИИ ВВС в Севастополе. Было очевидно падение характеристик – самолет был перетяжелен: вес пустого самолета был 2860 кг против веса, указанного в техусловиях – 2674 кг. (РГВА. Ф. 29. Оп. 76. Д. 1415. Отчет об испытании вооружения на самолете С-62бис. 1.1.32-30.12.32. Л. 5.). Поскольку серия была невелика – 5 шт. и считалась промежуточной между С-62 бис и МБР-4, проводивший испытания инженер Украинцев рекомендовал отдать лодку в летную школу, поскольку для эксплуатации на флотах она была непригодна (РГВА. Ф. 29. Оп. 76. Д. 1412. Материалы по испытанию самолетов С-62бис. 31.3.32- 30.12.32. Л. 14.). По результатам военной приемки констатировалось, что эти С-62КЭ не могут считаться взаимозаменяемыми и следует их признать неподлежащими к эксплуатации в строевых частях. (21410).</w:t>
      </w:r>
    </w:p>
    <w:p w14:paraId="02B97232" w14:textId="77777777" w:rsidR="00AF27DE" w:rsidRPr="00E93F40" w:rsidRDefault="00AF27DE" w:rsidP="00E93F40">
      <w:pPr>
        <w:spacing w:after="0" w:line="240" w:lineRule="auto"/>
        <w:jc w:val="both"/>
        <w:rPr>
          <w:rFonts w:ascii="Times New Roman" w:hAnsi="Times New Roman"/>
          <w:color w:val="000000" w:themeColor="text1"/>
          <w:sz w:val="16"/>
          <w:szCs w:val="16"/>
        </w:rPr>
      </w:pPr>
    </w:p>
    <w:p w14:paraId="43B70058"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1932 г. комиссии во главе с начальником 2-го отдела УВВС К.В. Гануличем предста</w:t>
      </w:r>
      <w:r w:rsidRPr="00142305">
        <w:rPr>
          <w:rFonts w:ascii="Times New Roman" w:hAnsi="Times New Roman"/>
          <w:color w:val="0070C0"/>
          <w:sz w:val="16"/>
          <w:szCs w:val="16"/>
        </w:rPr>
        <w:softHyphen/>
        <w:t>вили макет С-62 – МБР-4. От оригинальной «савойи», помимо из</w:t>
      </w:r>
      <w:r w:rsidRPr="00142305">
        <w:rPr>
          <w:rFonts w:ascii="Times New Roman" w:hAnsi="Times New Roman"/>
          <w:color w:val="0070C0"/>
          <w:sz w:val="16"/>
          <w:szCs w:val="16"/>
        </w:rPr>
        <w:softHyphen/>
        <w:t>менений внесенных на С-62КЭ, он от</w:t>
      </w:r>
      <w:r w:rsidRPr="00142305">
        <w:rPr>
          <w:rFonts w:ascii="Times New Roman" w:hAnsi="Times New Roman"/>
          <w:color w:val="0070C0"/>
          <w:sz w:val="16"/>
          <w:szCs w:val="16"/>
        </w:rPr>
        <w:softHyphen/>
        <w:t>личался дальнейшими изменениями в размещении оборудования и усилением некоторых шпангоутов. Вместо шести балок Дер-7 на макете появились четыре новых бомбодержателя ДОС в сочета</w:t>
      </w:r>
      <w:r w:rsidRPr="00142305">
        <w:rPr>
          <w:rFonts w:ascii="Times New Roman" w:hAnsi="Times New Roman"/>
          <w:color w:val="0070C0"/>
          <w:sz w:val="16"/>
          <w:szCs w:val="16"/>
        </w:rPr>
        <w:softHyphen/>
        <w:t>нии со сбрасывателем Сбр-9 (на С-62КЭ стояли Сбр-8). Балки были двухзамко</w:t>
      </w:r>
      <w:r w:rsidRPr="00142305">
        <w:rPr>
          <w:rFonts w:ascii="Times New Roman" w:hAnsi="Times New Roman"/>
          <w:color w:val="0070C0"/>
          <w:sz w:val="16"/>
          <w:szCs w:val="16"/>
        </w:rPr>
        <w:softHyphen/>
        <w:t>вые, позволявшие подвеску двух бомб друг за другом. Но максимальный ка</w:t>
      </w:r>
      <w:r w:rsidRPr="00142305">
        <w:rPr>
          <w:rFonts w:ascii="Times New Roman" w:hAnsi="Times New Roman"/>
          <w:color w:val="0070C0"/>
          <w:sz w:val="16"/>
          <w:szCs w:val="16"/>
        </w:rPr>
        <w:softHyphen/>
        <w:t>либр боеприпасов ограничивался 82 кг, а максимальная нагрузка - 528 кг. На каждую турель предусматривалось не 16. а 12 дисков.</w:t>
      </w:r>
    </w:p>
    <w:p w14:paraId="5E9519D7"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Контуры лодки гораздо точнее соот</w:t>
      </w:r>
      <w:r w:rsidRPr="00142305">
        <w:rPr>
          <w:rFonts w:ascii="Times New Roman" w:hAnsi="Times New Roman"/>
          <w:color w:val="0070C0"/>
          <w:sz w:val="16"/>
          <w:szCs w:val="16"/>
        </w:rPr>
        <w:softHyphen/>
        <w:t>ветствовали итальянскому прототипу, хо</w:t>
      </w:r>
      <w:r w:rsidRPr="00142305">
        <w:rPr>
          <w:rFonts w:ascii="Times New Roman" w:hAnsi="Times New Roman"/>
          <w:color w:val="0070C0"/>
          <w:sz w:val="16"/>
          <w:szCs w:val="16"/>
        </w:rPr>
        <w:softHyphen/>
        <w:t>тя фюзеляж МБР-4 все равно оставался шире и выше за счет того, что Тур-6 по габаритам превосходила турели «Вик</w:t>
      </w:r>
      <w:r w:rsidRPr="00142305">
        <w:rPr>
          <w:rFonts w:ascii="Times New Roman" w:hAnsi="Times New Roman"/>
          <w:color w:val="0070C0"/>
          <w:sz w:val="16"/>
          <w:szCs w:val="16"/>
        </w:rPr>
        <w:softHyphen/>
        <w:t>керс». Комиссия записала 42 пункта не</w:t>
      </w:r>
      <w:r w:rsidRPr="00142305">
        <w:rPr>
          <w:rFonts w:ascii="Times New Roman" w:hAnsi="Times New Roman"/>
          <w:color w:val="0070C0"/>
          <w:sz w:val="16"/>
          <w:szCs w:val="16"/>
        </w:rPr>
        <w:softHyphen/>
        <w:t>достатков. но ни один из них не являлся существенным</w:t>
      </w:r>
    </w:p>
    <w:p w14:paraId="190D4033"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и у С-62КЭ, материалы заменя</w:t>
      </w:r>
      <w:r w:rsidRPr="00142305">
        <w:rPr>
          <w:rFonts w:ascii="Times New Roman" w:hAnsi="Times New Roman"/>
          <w:color w:val="0070C0"/>
          <w:sz w:val="16"/>
          <w:szCs w:val="16"/>
        </w:rPr>
        <w:softHyphen/>
        <w:t>лись на их советские аналоги, однако, вернулись к обшивке лодки планками из красного дерева. В радиаторах вместо итальянских четырехгранных латунных трубок использовали трубки Андрэ (шес</w:t>
      </w:r>
      <w:r w:rsidRPr="00142305">
        <w:rPr>
          <w:rFonts w:ascii="Times New Roman" w:hAnsi="Times New Roman"/>
          <w:color w:val="0070C0"/>
          <w:sz w:val="16"/>
          <w:szCs w:val="16"/>
        </w:rPr>
        <w:softHyphen/>
        <w:t>тигранные) Бензобаки стояли так же, как на С-62Б. но объем их стал меньше из-за усиленной конструкции с двухрядными заклепочными швами. Передние баки имели емкость по 227 л, центральные - по 623 л, задние - по 145 л. Всего запас уменьшился на 60 л. Итальянские бен- зиномеры заменили простыми мерными стеклами. Вместо импортного огнету</w:t>
      </w:r>
      <w:r w:rsidRPr="00142305">
        <w:rPr>
          <w:rFonts w:ascii="Times New Roman" w:hAnsi="Times New Roman"/>
          <w:color w:val="0070C0"/>
          <w:sz w:val="16"/>
          <w:szCs w:val="16"/>
        </w:rPr>
        <w:softHyphen/>
        <w:t>шителя «Нокаут» применили «Тайфун» советского производства, для которого ставили вместо двух только один бал</w:t>
      </w:r>
      <w:r w:rsidRPr="00142305">
        <w:rPr>
          <w:rFonts w:ascii="Times New Roman" w:hAnsi="Times New Roman"/>
          <w:color w:val="0070C0"/>
          <w:sz w:val="16"/>
          <w:szCs w:val="16"/>
        </w:rPr>
        <w:softHyphen/>
        <w:t>лон с углекислым газом (но больший по объему). Самолеты несли советский комплект электрооборудования КОСА-3. Фара имелась всего одна, находившаяся на передней кромке центроплана верх</w:t>
      </w:r>
      <w:r w:rsidRPr="00142305">
        <w:rPr>
          <w:rFonts w:ascii="Times New Roman" w:hAnsi="Times New Roman"/>
          <w:color w:val="0070C0"/>
          <w:sz w:val="16"/>
          <w:szCs w:val="16"/>
        </w:rPr>
        <w:softHyphen/>
        <w:t>него крыла. Питание электрооборудова</w:t>
      </w:r>
      <w:r w:rsidRPr="00142305">
        <w:rPr>
          <w:rFonts w:ascii="Times New Roman" w:hAnsi="Times New Roman"/>
          <w:color w:val="0070C0"/>
          <w:sz w:val="16"/>
          <w:szCs w:val="16"/>
        </w:rPr>
        <w:softHyphen/>
        <w:t>ния осуществлялось от динамо-машины ДОМ-1, закрепленной справа на центро</w:t>
      </w:r>
      <w:r w:rsidRPr="00142305">
        <w:rPr>
          <w:rFonts w:ascii="Times New Roman" w:hAnsi="Times New Roman"/>
          <w:color w:val="0070C0"/>
          <w:sz w:val="16"/>
          <w:szCs w:val="16"/>
        </w:rPr>
        <w:softHyphen/>
        <w:t>плане. Слева симметрично располагал</w:t>
      </w:r>
      <w:r w:rsidRPr="00142305">
        <w:rPr>
          <w:rFonts w:ascii="Times New Roman" w:hAnsi="Times New Roman"/>
          <w:color w:val="0070C0"/>
          <w:sz w:val="16"/>
          <w:szCs w:val="16"/>
        </w:rPr>
        <w:softHyphen/>
        <w:t>ся генератор для радиостанции 14С-1. Последнюю ставили слева в передней кабине, как и итальянцы. В связи с этим функции радиста приобрел летнаб, а в задней кабине размещался просто стре</w:t>
      </w:r>
      <w:r w:rsidRPr="00142305">
        <w:rPr>
          <w:rFonts w:ascii="Times New Roman" w:hAnsi="Times New Roman"/>
          <w:color w:val="0070C0"/>
          <w:sz w:val="16"/>
          <w:szCs w:val="16"/>
        </w:rPr>
        <w:softHyphen/>
        <w:t>лок. Предусматривалась установка фо</w:t>
      </w:r>
      <w:r w:rsidRPr="00142305">
        <w:rPr>
          <w:rFonts w:ascii="Times New Roman" w:hAnsi="Times New Roman"/>
          <w:color w:val="0070C0"/>
          <w:sz w:val="16"/>
          <w:szCs w:val="16"/>
        </w:rPr>
        <w:softHyphen/>
        <w:t>тоаппарата АФА-13 (24948).</w:t>
      </w:r>
    </w:p>
    <w:p w14:paraId="2C649801" w14:textId="77777777" w:rsidR="00C55E74" w:rsidRPr="00142305" w:rsidRDefault="00C55E74" w:rsidP="00C55E74">
      <w:pPr>
        <w:spacing w:after="0" w:line="240" w:lineRule="auto"/>
        <w:jc w:val="both"/>
        <w:rPr>
          <w:rFonts w:ascii="Times New Roman" w:hAnsi="Times New Roman"/>
          <w:color w:val="0070C0"/>
          <w:sz w:val="16"/>
          <w:szCs w:val="16"/>
        </w:rPr>
      </w:pPr>
    </w:p>
    <w:p w14:paraId="2A283009"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1932 г. на заводе № 31 первой закончили лодку ОЕ-68. Она стала единствен</w:t>
      </w:r>
      <w:r w:rsidRPr="00142305">
        <w:rPr>
          <w:rFonts w:ascii="Times New Roman" w:hAnsi="Times New Roman"/>
          <w:color w:val="0070C0"/>
          <w:sz w:val="16"/>
          <w:szCs w:val="16"/>
        </w:rPr>
        <w:softHyphen/>
        <w:t>ной, укомплектованной двумя разными турелями: спереди Тур-6, сзади Тур-5. Последняя сильно выступала вверх из фюзеляжа, создавая дополнительное сопротивление. По согласованию с НИИ ВВС ее заменили на вторую Тур-6. По ко</w:t>
      </w:r>
      <w:r w:rsidRPr="00142305">
        <w:rPr>
          <w:rFonts w:ascii="Times New Roman" w:hAnsi="Times New Roman"/>
          <w:color w:val="0070C0"/>
          <w:sz w:val="16"/>
          <w:szCs w:val="16"/>
        </w:rPr>
        <w:softHyphen/>
        <w:t>личеству пулеметов ОЕ-68 тоже не соот</w:t>
      </w:r>
      <w:r w:rsidRPr="00142305">
        <w:rPr>
          <w:rFonts w:ascii="Times New Roman" w:hAnsi="Times New Roman"/>
          <w:color w:val="0070C0"/>
          <w:sz w:val="16"/>
          <w:szCs w:val="16"/>
        </w:rPr>
        <w:softHyphen/>
        <w:t>ветствовала остальным лодкам: На Тур-6 монтировалась спарка ДА-2, а на Тур-5 имелся только один пулемет ДА. Цент</w:t>
      </w:r>
      <w:r w:rsidRPr="00142305">
        <w:rPr>
          <w:rFonts w:ascii="Times New Roman" w:hAnsi="Times New Roman"/>
          <w:color w:val="0070C0"/>
          <w:sz w:val="16"/>
          <w:szCs w:val="16"/>
        </w:rPr>
        <w:softHyphen/>
        <w:t>ровка машины даже при этом получилась очень задней, и пришлось переместить вперед баллоны со сжатым воздухом для пневмопуска, чтобы войти в приемлемые пределы.</w:t>
      </w:r>
    </w:p>
    <w:p w14:paraId="62C7A2A8"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МБР-4 получился тяжелее С-62Б на 226 кг. Центровка сдвинулась назад, что лишало машину столь успешного сопро</w:t>
      </w:r>
      <w:r w:rsidRPr="00142305">
        <w:rPr>
          <w:rFonts w:ascii="Times New Roman" w:hAnsi="Times New Roman"/>
          <w:color w:val="0070C0"/>
          <w:sz w:val="16"/>
          <w:szCs w:val="16"/>
        </w:rPr>
        <w:softHyphen/>
        <w:t>тивления затягиванию в штопор. Чтобы выправить ситуацию, вперед перенесли ящик с неприкосновенным запасом и за</w:t>
      </w:r>
      <w:r w:rsidRPr="00142305">
        <w:rPr>
          <w:rFonts w:ascii="Times New Roman" w:hAnsi="Times New Roman"/>
          <w:color w:val="0070C0"/>
          <w:sz w:val="16"/>
          <w:szCs w:val="16"/>
        </w:rPr>
        <w:softHyphen/>
        <w:t>пасной баллон сжатого воздуха Кроме того, изменили инструкцию по заправке самолета так, чтобы сместить центр тя</w:t>
      </w:r>
      <w:r w:rsidRPr="00142305">
        <w:rPr>
          <w:rFonts w:ascii="Times New Roman" w:hAnsi="Times New Roman"/>
          <w:color w:val="0070C0"/>
          <w:sz w:val="16"/>
          <w:szCs w:val="16"/>
        </w:rPr>
        <w:softHyphen/>
        <w:t>жести вперед (24948).</w:t>
      </w:r>
    </w:p>
    <w:p w14:paraId="1FB7FB9F" w14:textId="77777777" w:rsidR="00C55E74" w:rsidRPr="00142305" w:rsidRDefault="00C55E74" w:rsidP="00C55E74">
      <w:pPr>
        <w:spacing w:after="0" w:line="240" w:lineRule="auto"/>
        <w:jc w:val="both"/>
        <w:rPr>
          <w:rFonts w:ascii="Times New Roman" w:hAnsi="Times New Roman"/>
          <w:color w:val="0070C0"/>
          <w:sz w:val="16"/>
          <w:szCs w:val="16"/>
        </w:rPr>
      </w:pPr>
    </w:p>
    <w:p w14:paraId="425CAC7F" w14:textId="77777777" w:rsidR="0059309B" w:rsidRPr="00E93F40" w:rsidRDefault="005930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январе 1932 г. на заводе № 31 первой закончили лод</w:t>
      </w:r>
      <w:r w:rsidRPr="00E93F40">
        <w:rPr>
          <w:rFonts w:ascii="Times New Roman" w:hAnsi="Times New Roman"/>
          <w:color w:val="000000" w:themeColor="text1"/>
          <w:sz w:val="16"/>
          <w:szCs w:val="16"/>
          <w:lang w:eastAsia="ru-RU" w:bidi="ru-RU"/>
        </w:rPr>
        <w:softHyphen/>
        <w:t>ку с серийным номером ОЕ-68. Центровка машины полу</w:t>
      </w:r>
      <w:r w:rsidRPr="00E93F40">
        <w:rPr>
          <w:rFonts w:ascii="Times New Roman" w:hAnsi="Times New Roman"/>
          <w:color w:val="000000" w:themeColor="text1"/>
          <w:sz w:val="16"/>
          <w:szCs w:val="16"/>
          <w:lang w:eastAsia="ru-RU" w:bidi="ru-RU"/>
        </w:rPr>
        <w:softHyphen/>
        <w:t>чилась очень задней. Чтобы войти в приемлемые преде</w:t>
      </w:r>
      <w:r w:rsidRPr="00E93F40">
        <w:rPr>
          <w:rFonts w:ascii="Times New Roman" w:hAnsi="Times New Roman"/>
          <w:color w:val="000000" w:themeColor="text1"/>
          <w:sz w:val="16"/>
          <w:szCs w:val="16"/>
          <w:lang w:eastAsia="ru-RU" w:bidi="ru-RU"/>
        </w:rPr>
        <w:softHyphen/>
        <w:t>лы, пришлось установить в задней турели только один пу</w:t>
      </w:r>
      <w:r w:rsidRPr="00E93F40">
        <w:rPr>
          <w:rFonts w:ascii="Times New Roman" w:hAnsi="Times New Roman"/>
          <w:color w:val="000000" w:themeColor="text1"/>
          <w:sz w:val="16"/>
          <w:szCs w:val="16"/>
          <w:lang w:eastAsia="ru-RU" w:bidi="ru-RU"/>
        </w:rPr>
        <w:softHyphen/>
        <w:t>лемет и переместить вперед баллоны стартера.</w:t>
      </w:r>
    </w:p>
    <w:p w14:paraId="78526E75" w14:textId="77777777" w:rsidR="0059309B" w:rsidRPr="00E93F40" w:rsidRDefault="005930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Летные испытания начали в марте 1932 г. В апреле са</w:t>
      </w:r>
      <w:r w:rsidRPr="00E93F40">
        <w:rPr>
          <w:rFonts w:ascii="Times New Roman" w:hAnsi="Times New Roman"/>
          <w:color w:val="000000" w:themeColor="text1"/>
          <w:sz w:val="16"/>
          <w:szCs w:val="16"/>
          <w:lang w:eastAsia="ru-RU" w:bidi="ru-RU"/>
        </w:rPr>
        <w:softHyphen/>
        <w:t>молет передали на государственные испытания в Особый морской отдел НИИ ВВС в Севастополе. Характеристики С-62КЭ оказались настолько хуже импортных С-62Б, что по результатам испытаний было рекомендовано отдать само</w:t>
      </w:r>
      <w:r w:rsidRPr="00E93F40">
        <w:rPr>
          <w:rFonts w:ascii="Times New Roman" w:hAnsi="Times New Roman"/>
          <w:color w:val="000000" w:themeColor="text1"/>
          <w:sz w:val="16"/>
          <w:szCs w:val="16"/>
          <w:lang w:eastAsia="ru-RU" w:bidi="ru-RU"/>
        </w:rPr>
        <w:softHyphen/>
        <w:t>лет в летную школу, поскольку для эксплуатации на фло</w:t>
      </w:r>
      <w:r w:rsidRPr="00E93F40">
        <w:rPr>
          <w:rFonts w:ascii="Times New Roman" w:hAnsi="Times New Roman"/>
          <w:color w:val="000000" w:themeColor="text1"/>
          <w:sz w:val="16"/>
          <w:szCs w:val="16"/>
          <w:lang w:eastAsia="ru-RU" w:bidi="ru-RU"/>
        </w:rPr>
        <w:softHyphen/>
        <w:t>тах он явно не годился.</w:t>
      </w:r>
    </w:p>
    <w:p w14:paraId="0D64750B" w14:textId="77777777" w:rsidR="0059309B" w:rsidRPr="00E93F40" w:rsidRDefault="0059309B"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 свою очередь, военная приемка сообщала, что дета</w:t>
      </w:r>
      <w:r w:rsidRPr="00E93F40">
        <w:rPr>
          <w:rFonts w:ascii="Times New Roman" w:hAnsi="Times New Roman"/>
          <w:color w:val="000000" w:themeColor="text1"/>
          <w:sz w:val="16"/>
          <w:szCs w:val="16"/>
          <w:lang w:eastAsia="ru-RU" w:bidi="ru-RU"/>
        </w:rPr>
        <w:softHyphen/>
        <w:t>ли построенных С-62КЭ не взаимозаменяемы. Военпреда</w:t>
      </w:r>
      <w:r w:rsidRPr="00E93F40">
        <w:rPr>
          <w:rFonts w:ascii="Times New Roman" w:hAnsi="Times New Roman"/>
          <w:color w:val="000000" w:themeColor="text1"/>
          <w:sz w:val="16"/>
          <w:szCs w:val="16"/>
          <w:lang w:eastAsia="ru-RU" w:bidi="ru-RU"/>
        </w:rPr>
        <w:softHyphen/>
        <w:t>ми отмечались трещины силовых конструкций, местные утолщения обшивки, щели в стыках, плохая окраска. Не</w:t>
      </w:r>
      <w:r w:rsidRPr="00E93F40">
        <w:rPr>
          <w:rFonts w:ascii="Times New Roman" w:hAnsi="Times New Roman"/>
          <w:color w:val="000000" w:themeColor="text1"/>
          <w:sz w:val="16"/>
          <w:szCs w:val="16"/>
          <w:lang w:eastAsia="ru-RU" w:bidi="ru-RU"/>
        </w:rPr>
        <w:softHyphen/>
        <w:t>удивительно, что самолеты признали непригодными для ис</w:t>
      </w:r>
      <w:r w:rsidRPr="00E93F40">
        <w:rPr>
          <w:rFonts w:ascii="Times New Roman" w:hAnsi="Times New Roman"/>
          <w:color w:val="000000" w:themeColor="text1"/>
          <w:sz w:val="16"/>
          <w:szCs w:val="16"/>
          <w:lang w:eastAsia="ru-RU" w:bidi="ru-RU"/>
        </w:rPr>
        <w:softHyphen/>
        <w:t>пользования в строевых частях. Три летающие лодки пе</w:t>
      </w:r>
      <w:r w:rsidRPr="00E93F40">
        <w:rPr>
          <w:rFonts w:ascii="Times New Roman" w:hAnsi="Times New Roman"/>
          <w:color w:val="000000" w:themeColor="text1"/>
          <w:sz w:val="16"/>
          <w:szCs w:val="16"/>
          <w:lang w:eastAsia="ru-RU" w:bidi="ru-RU"/>
        </w:rPr>
        <w:softHyphen/>
        <w:t>редали гражданским эксплуатантам, а две использовали в учебных целях (20325).</w:t>
      </w:r>
    </w:p>
    <w:p w14:paraId="61EAE842" w14:textId="77777777" w:rsidR="0059309B" w:rsidRPr="00E93F40" w:rsidRDefault="0059309B" w:rsidP="00E93F40">
      <w:pPr>
        <w:spacing w:after="0" w:line="240" w:lineRule="auto"/>
        <w:jc w:val="both"/>
        <w:rPr>
          <w:rFonts w:ascii="Times New Roman" w:hAnsi="Times New Roman"/>
          <w:color w:val="000000" w:themeColor="text1"/>
          <w:sz w:val="16"/>
          <w:szCs w:val="16"/>
          <w:lang w:eastAsia="ru-RU" w:bidi="ru-RU"/>
        </w:rPr>
      </w:pPr>
    </w:p>
    <w:p w14:paraId="2E0131B4" w14:textId="77777777" w:rsidR="0059309B" w:rsidRPr="00E93F40" w:rsidRDefault="005930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январе 1932 г. эшелонами на Дальний Восток прибыли С-62Б для 68- го отряда и 70-го авиапарка Амурской военной флотилии. Отряд дислоцировался в Красной Речке под Хабаровском. Затем поступили самолеты для Морских сил Дальнего Востока (МСДВ), предшествовавших Тихоокеанскому флоту. Поскольку в зимнее время р. Амур замерзает, сообщение по воздуху поддерживалось самолетами, снабженными лыжами (РГВА. Ф. 29. Оп. 76. Д. 67. Альбом самолетов и моторов ВВС КА и их характеристика. 8.06.31- 3.12.32 гг. Л. 52.) (21410).</w:t>
      </w:r>
    </w:p>
    <w:p w14:paraId="7EDCA266" w14:textId="77777777" w:rsidR="0059309B" w:rsidRPr="00E93F40" w:rsidRDefault="0059309B" w:rsidP="00E93F40">
      <w:pPr>
        <w:spacing w:after="0" w:line="240" w:lineRule="auto"/>
        <w:jc w:val="both"/>
        <w:rPr>
          <w:rFonts w:ascii="Times New Roman" w:hAnsi="Times New Roman"/>
          <w:color w:val="000000" w:themeColor="text1"/>
          <w:sz w:val="16"/>
          <w:szCs w:val="16"/>
        </w:rPr>
      </w:pPr>
    </w:p>
    <w:p w14:paraId="114D7B03" w14:textId="77777777" w:rsidR="00AF27DE" w:rsidRPr="00E93F40" w:rsidRDefault="00AF27DE"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январе 1932 г. Владимира Сергеевича назначили старшим руководителем кафедры «Аэродинамика самолета», а после организации в академии кафедры «Динамика полета» приказом НКО СССР №0536 от 16 апреля 1935 г. его назначили ее начальником. Но научной и преподавательской деятельностью творчество В.С.Пышнова не ограничивалось. В 1935 г. он разработал легкий самолет, который получил название ВВА-1 (Военно-Воздушная Академия - первый). Об этом самолете до сего дня было известно совсем не много, а вернее лишь скромное упоминание с приведением схемы машины в книге В.Б.Шаврова «История конструкций самолетов в СССР до 1938 года» со ссылкой на 9-й номер журнала «Самолет». В Российском государственном военном архиве удалось отыскать некоторые подробности, а фотоальбом, посвященный постройке и испытанию ВВА-1, автор по чистой случайности приобрел на «барахолке». Вернее, сперва приобрел альбом, а уж потом начался поиск материалов в архиве. </w:t>
      </w:r>
    </w:p>
    <w:p w14:paraId="6474CA40" w14:textId="77777777" w:rsidR="00AF27DE" w:rsidRPr="00E93F40" w:rsidRDefault="00AF27DE" w:rsidP="00E93F40">
      <w:pPr>
        <w:shd w:val="clear" w:color="auto" w:fill="FFFFFF"/>
        <w:spacing w:after="0" w:line="240" w:lineRule="auto"/>
        <w:jc w:val="both"/>
        <w:rPr>
          <w:rFonts w:ascii="Times New Roman" w:hAnsi="Times New Roman"/>
          <w:color w:val="000000" w:themeColor="text1"/>
          <w:sz w:val="16"/>
          <w:szCs w:val="16"/>
        </w:rPr>
      </w:pPr>
    </w:p>
    <w:p w14:paraId="193ADE7F"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eastAsia="Times New Roman" w:hAnsi="Times New Roman"/>
          <w:color w:val="000000" w:themeColor="text1"/>
          <w:sz w:val="16"/>
          <w:szCs w:val="16"/>
          <w:lang w:eastAsia="ru-RU"/>
        </w:rPr>
        <w:t>В январе и феврале 1932 г. вышли решения СТО о доведении мощности авиационных заводов к 1 января 1935 г. до 23 тыс. самолетов, 12 тыс. авиэток и 84 тыс. моторов (Доклад Начальника Штаба РККА Егорова Народному Комиссару по Военным и Морским Делам Ворошилову "О втором пятилетнем плане раз-Ш1ТИЯ РККА", 30.3/2.04.1933 // РГВА Ф.40442. Оп. 1.Д 1042.Л.61. В 1932 г. текущий бюджет НКВМ был увеличен с 1323 до 2286 млн руб., главным образом за счет дополнительных инвестиций в военную и гражданскую промышленность (STONE D. Op. cit. P. 190-191)) (22725).</w:t>
      </w:r>
    </w:p>
    <w:p w14:paraId="02765B19" w14:textId="77777777" w:rsidR="001A1FB6" w:rsidRPr="00E93F40" w:rsidRDefault="001A1FB6" w:rsidP="00E93F40">
      <w:pPr>
        <w:spacing w:after="0" w:line="240" w:lineRule="auto"/>
        <w:jc w:val="both"/>
        <w:rPr>
          <w:rFonts w:ascii="Times New Roman" w:hAnsi="Times New Roman"/>
          <w:color w:val="000000" w:themeColor="text1"/>
          <w:sz w:val="16"/>
          <w:szCs w:val="16"/>
        </w:rPr>
      </w:pPr>
    </w:p>
    <w:p w14:paraId="4C8A69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уже изготовили около трети деталей М-38.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E93F40">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7503C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E93F40">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2CDCEA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мощности двигателя заданию и превышения веса (по заданию не более 400 кг).</w:t>
      </w:r>
    </w:p>
    <w:p w14:paraId="322D28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096BAC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9-цилиндровый, звездообразный, четырехтактный, воздушного охлаж</w:t>
      </w:r>
      <w:r w:rsidRPr="00E93F40">
        <w:rPr>
          <w:rFonts w:ascii="Times New Roman" w:hAnsi="Times New Roman"/>
          <w:color w:val="000000" w:themeColor="text1"/>
          <w:sz w:val="16"/>
          <w:szCs w:val="16"/>
        </w:rPr>
        <w:softHyphen/>
        <w:t>дения;</w:t>
      </w:r>
    </w:p>
    <w:p w14:paraId="02B551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безредукторный;</w:t>
      </w:r>
    </w:p>
    <w:p w14:paraId="010A84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по проекту 570/600 л.с. (фактически получено 575 л.с.);</w:t>
      </w:r>
    </w:p>
    <w:p w14:paraId="0B8747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460 кг (по заданию 450 кг);</w:t>
      </w:r>
    </w:p>
    <w:p w14:paraId="5FBFAA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135/160 мм;</w:t>
      </w:r>
    </w:p>
    <w:p w14:paraId="570832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полный рабочий объем 30,7 л;</w:t>
      </w:r>
    </w:p>
    <w:p w14:paraId="708914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6,0. Проектировались несколько модификаций:</w:t>
      </w:r>
    </w:p>
    <w:p w14:paraId="55F6CA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М-38 без редуктора и нагнетателя.</w:t>
      </w:r>
    </w:p>
    <w:p w14:paraId="77BEEC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М-38Н с односкоростным ПЦН.</w:t>
      </w:r>
    </w:p>
    <w:p w14:paraId="727D9E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М-38Г (М-38Гр) для гражданских самолетов на базе М-38Н.</w:t>
      </w:r>
    </w:p>
    <w:p w14:paraId="5829CC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E93F40">
        <w:rPr>
          <w:rFonts w:ascii="Times New Roman" w:hAnsi="Times New Roman"/>
          <w:color w:val="000000" w:themeColor="text1"/>
          <w:sz w:val="16"/>
          <w:szCs w:val="16"/>
        </w:rPr>
        <w:softHyphen/>
        <w:t>ведчика КР-2 (11852).</w:t>
      </w:r>
    </w:p>
    <w:p w14:paraId="56949F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6C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были образованы мастерские ГВФ. В 1933 г. на их базе создан завод № 63 ГВФ. С 1936 г. - опытный завод НИИ ГВФ, с 1937 г. - самостоятельный мелкосерийный завод (имел обиходное название - Тушинский завод ГВФ). В соответствии с пост. КО № 176сс от 31.07.1938 г. завод передан в ведение НКВД и переименован в завод № 82. С 08.1938 г. - филиал ЦИАМ в подчинении НКВД. В 02.1940 г. передан из НКВД в 8ГУ НКАП.</w:t>
      </w:r>
    </w:p>
    <w:p w14:paraId="7F7B15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выпускал запчасти к моторам М-17, М-11, МГ-11, МГ-21, МГ-31 (до 1938 г.); с 1937 г. начато опытное и мелкосерийное строительство мотора МГ-31. В 1937 г. выпущена опытная партия дизелей Д-11. В 1938 г. завод перепрофилирован на выпуск дизелей. С 1939 г. начато освоение производства дизелей АН-1, М-30, М-31. На 1939 г. был задан план в 50 моторов с доведением в последующем годовой мощности до 200 шт.</w:t>
      </w:r>
    </w:p>
    <w:p w14:paraId="2FFFD7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03.1940 г. на площадке завода организован также завод № 291 НКАП.</w:t>
      </w:r>
    </w:p>
    <w:p w14:paraId="04EAD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12.1940 г. передан в ЗГУ НКАП. По приказу № 614с/ 105с от 2.11.1940 г. в состав завода был влит радиозавод № 85 ГУ ГВФ. Полностью завод должен был быть введен в строй в 1941 г. К середине 1941 г. завод имел две территории: старую и новую.</w:t>
      </w:r>
    </w:p>
    <w:p w14:paraId="3FF7B748" w14:textId="4936A96F"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729сс от 22.07.1941 г. завод № 82 ЗГУ НКАП эвакуирован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Казань на площадку завода № 27 НКАП. Организационно завод влит в состав завода № 27, но по приказам № 1091с от 1.11.1941 г.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w:t>
      </w:r>
    </w:p>
    <w:p w14:paraId="1D3F1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17B7C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7FDE7C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15510C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(1932-35 г.)- С.Е. Киселев, (1936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Войтов, (1937 г.)- А.С. Черняков, (1938-41 г.)- С.Н. Жилин, (1941-42 г.-)- В.Н. Дубов.</w:t>
      </w:r>
      <w:r w:rsidRPr="00E93F40">
        <w:rPr>
          <w:rFonts w:ascii="Times New Roman" w:hAnsi="Times New Roman"/>
          <w:color w:val="000000" w:themeColor="text1"/>
          <w:sz w:val="16"/>
          <w:szCs w:val="16"/>
          <w:vertAlign w:val="superscript"/>
        </w:rPr>
        <w:t>49</w:t>
      </w:r>
    </w:p>
    <w:p w14:paraId="61698E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(конец 1930-х)- А. Г. Таканаев</w:t>
      </w:r>
      <w:r w:rsidRPr="00E93F40">
        <w:rPr>
          <w:rFonts w:ascii="Times New Roman" w:hAnsi="Times New Roman"/>
          <w:color w:val="000000" w:themeColor="text1"/>
          <w:sz w:val="16"/>
          <w:szCs w:val="16"/>
          <w:vertAlign w:val="superscript"/>
        </w:rPr>
        <w:t>34</w:t>
      </w:r>
      <w:r w:rsidRPr="00E93F40">
        <w:rPr>
          <w:rFonts w:ascii="Times New Roman" w:hAnsi="Times New Roman"/>
          <w:color w:val="000000" w:themeColor="text1"/>
          <w:sz w:val="16"/>
          <w:szCs w:val="16"/>
        </w:rPr>
        <w:t>.</w:t>
      </w:r>
    </w:p>
    <w:p w14:paraId="29974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конструкторы: (1942 г.)- Ф.Я. Тулупов (М-30) (11982).</w:t>
      </w:r>
    </w:p>
    <w:p w14:paraId="2BBF79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9CE8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УНИАДИ разработал эскизный проект 12-цилиндрового V-образного авиадизеля АД-1 со следующими параметрами: мощность 500 л.с. при частоте вращения 1600 об/мин, расчетный удельный расход топлива 185...195 г/л.с.·ч. Для оценки принятых решений там разработали, построили и испытали несколько вариантов двухцилиндровых отсеков двигателя (9021).</w:t>
      </w:r>
    </w:p>
    <w:p w14:paraId="7D9017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D2CE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УИДВС был представлен эскизный проект дизеля, названного АД-1. Он также являлся 12-цилиндровым, выполнял</w:t>
      </w:r>
      <w:r w:rsidRPr="00E93F40">
        <w:rPr>
          <w:rFonts w:ascii="Times New Roman" w:hAnsi="Times New Roman"/>
          <w:color w:val="000000" w:themeColor="text1"/>
          <w:sz w:val="16"/>
          <w:szCs w:val="16"/>
        </w:rPr>
        <w:softHyphen/>
        <w:t>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(11852).</w:t>
      </w:r>
    </w:p>
    <w:p w14:paraId="013BB7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01B4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Командарм (впоследствии маршал) М.Н. Тухачев</w:t>
      </w:r>
      <w:r w:rsidRPr="00E93F40">
        <w:rPr>
          <w:rFonts w:ascii="Times New Roman" w:hAnsi="Times New Roman"/>
          <w:color w:val="000000" w:themeColor="text1"/>
          <w:sz w:val="16"/>
          <w:szCs w:val="16"/>
        </w:rPr>
        <w:softHyphen/>
        <w:t>ский, курировавший всю новую технику Красной армии, писал: «Создание авиационного дизеля есть одна из главнейших проблем в развитии авиации». В план опытных работ по авиационному моторостроению на 1932— 1933 гг. включили шесть дизелей, получивших обозначения от Н-1 до Н-6. Буква «Н» означала «нефтяной», хотя фактически все двигатели долж</w:t>
      </w:r>
      <w:r w:rsidRPr="00E93F40">
        <w:rPr>
          <w:rFonts w:ascii="Times New Roman" w:hAnsi="Times New Roman"/>
          <w:color w:val="000000" w:themeColor="text1"/>
          <w:sz w:val="16"/>
          <w:szCs w:val="16"/>
        </w:rPr>
        <w:softHyphen/>
        <w:t>ны были работать на газойле. В программу вошли задания на двигатели жидкостного и воздушного охлаждения, четырехтактные и двухтактные, различной мощности (от 500 до 2000 л.с.). Проектный вес по заданиям определялся из расчета 1,3-1,5 кг на 1 л.с. ЦНИДИ занимался разработкой дизелей различного назначения — судо</w:t>
      </w:r>
      <w:r w:rsidRPr="00E93F40">
        <w:rPr>
          <w:rFonts w:ascii="Times New Roman" w:hAnsi="Times New Roman"/>
          <w:color w:val="000000" w:themeColor="text1"/>
          <w:sz w:val="16"/>
          <w:szCs w:val="16"/>
        </w:rPr>
        <w:softHyphen/>
        <w:t>вых, тракторных, танковых, автомобильных. Там уже накопили некоторый опыт создания быстроходных (высокооборотных) дизелей, потенциально пригодных для применения на самолете. Группа профессора Л.К. Мартенса занялась проектированием мощного четырехтактного авиадизеля. Для него выбрали У-образную компоновку из двух блоков по шесть цилин</w:t>
      </w:r>
      <w:r w:rsidRPr="00E93F40">
        <w:rPr>
          <w:rFonts w:ascii="Times New Roman" w:hAnsi="Times New Roman"/>
          <w:color w:val="000000" w:themeColor="text1"/>
          <w:sz w:val="16"/>
          <w:szCs w:val="16"/>
        </w:rPr>
        <w:softHyphen/>
        <w:t>дров. Этот мотор потом дорабатывался в ЦИАМ и на заводе № 24 в Москве, но не имел успеха. УИДВС (его иногда сокращенно именовали также УкрИДВС) вырос из небольшой лаборатории двигателей внутреннего сгорания, которая в июле 1931 г. получила задание на разработку авиадизеля Н-3. Институт возглавлял Я.М. Майер. Непосредственно конструированием занимался от</w:t>
      </w:r>
      <w:r w:rsidRPr="00E93F40">
        <w:rPr>
          <w:rFonts w:ascii="Times New Roman" w:hAnsi="Times New Roman"/>
          <w:color w:val="000000" w:themeColor="text1"/>
          <w:sz w:val="16"/>
          <w:szCs w:val="16"/>
        </w:rPr>
        <w:softHyphen/>
        <w:t>дел Г.И. Аптекмана. В январе 1932 г. был представлен эскизный проект дизеля, названного АД-1. Он также являлся 12-цилиндровым, выполнял</w:t>
      </w:r>
      <w:r w:rsidRPr="00E93F40">
        <w:rPr>
          <w:rFonts w:ascii="Times New Roman" w:hAnsi="Times New Roman"/>
          <w:color w:val="000000" w:themeColor="text1"/>
          <w:sz w:val="16"/>
          <w:szCs w:val="16"/>
        </w:rPr>
        <w:softHyphen/>
        <w:t xml:space="preserve">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С 1935 г. там работали также над дизелем для дирижабля. УНИАДИ (он уже назывался так) </w:t>
      </w:r>
      <w:r w:rsidRPr="00E93F40">
        <w:rPr>
          <w:rFonts w:ascii="Times New Roman" w:hAnsi="Times New Roman"/>
          <w:color w:val="000000" w:themeColor="text1"/>
          <w:sz w:val="16"/>
          <w:szCs w:val="16"/>
        </w:rPr>
        <w:lastRenderedPageBreak/>
        <w:t>переориентировался на дизели для танков. Среди созданных там двигателей был и очень удачный БД-2, за</w:t>
      </w:r>
      <w:r w:rsidRPr="00E93F40">
        <w:rPr>
          <w:rFonts w:ascii="Times New Roman" w:hAnsi="Times New Roman"/>
          <w:color w:val="000000" w:themeColor="text1"/>
          <w:sz w:val="16"/>
          <w:szCs w:val="16"/>
        </w:rPr>
        <w:softHyphen/>
        <w:t>пущенный затем в серию как В-2. Его ставили на танки Т-34, КВ, ИС и самоходные орудия на их базе, артиллерийские тягачи «Ворошиловец». В мае 1935 г.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E93F40">
        <w:rPr>
          <w:rFonts w:ascii="Times New Roman" w:hAnsi="Times New Roman"/>
          <w:color w:val="000000" w:themeColor="text1"/>
          <w:sz w:val="16"/>
          <w:szCs w:val="16"/>
        </w:rPr>
        <w:softHyphen/>
        <w:t>ектирование дизеля АД-3. Задание на дизель Н-4 (двухтактный водяного охлаждения мощностью 500-600 л.с.) получил ИПЭ в Харькове. Несколько позже эта работа пере</w:t>
      </w:r>
      <w:r w:rsidRPr="00E93F40">
        <w:rPr>
          <w:rFonts w:ascii="Times New Roman" w:hAnsi="Times New Roman"/>
          <w:color w:val="000000" w:themeColor="text1"/>
          <w:sz w:val="16"/>
          <w:szCs w:val="16"/>
        </w:rPr>
        <w:softHyphen/>
        <w:t>шла в Харьковский авиационный институт (ХАИ). Но никакой информа</w:t>
      </w:r>
      <w:r w:rsidRPr="00E93F40">
        <w:rPr>
          <w:rFonts w:ascii="Times New Roman" w:hAnsi="Times New Roman"/>
          <w:color w:val="000000" w:themeColor="text1"/>
          <w:sz w:val="16"/>
          <w:szCs w:val="16"/>
        </w:rPr>
        <w:softHyphen/>
        <w:t>ции о постройке и испытании этого двигателя нет. Особое конструкторское бюро (ОКБ) НКВД являлось «шарагой», в ко</w:t>
      </w:r>
      <w:r w:rsidRPr="00E93F40">
        <w:rPr>
          <w:rFonts w:ascii="Times New Roman" w:hAnsi="Times New Roman"/>
          <w:color w:val="000000" w:themeColor="text1"/>
          <w:sz w:val="16"/>
          <w:szCs w:val="16"/>
        </w:rPr>
        <w:softHyphen/>
        <w:t>торой работали инженеры-заключенные. В большинстве их объявили «вре</w:t>
      </w:r>
      <w:r w:rsidRPr="00E93F40">
        <w:rPr>
          <w:rFonts w:ascii="Times New Roman" w:hAnsi="Times New Roman"/>
          <w:color w:val="000000" w:themeColor="text1"/>
          <w:sz w:val="16"/>
          <w:szCs w:val="16"/>
        </w:rPr>
        <w:softHyphen/>
        <w:t>дителями» по «делу Промпартии». Это были инженеры дореволюционной выучки, на которых свалили неудачи первых пятилеток. Формально ОКБ руководил некий Горяинов (сотрудник НКВД), но среди заключенных было немало крупных специалистов, которые фактически и вели проек</w:t>
      </w:r>
      <w:r w:rsidRPr="00E93F40">
        <w:rPr>
          <w:rFonts w:ascii="Times New Roman" w:hAnsi="Times New Roman"/>
          <w:color w:val="000000" w:themeColor="text1"/>
          <w:sz w:val="16"/>
          <w:szCs w:val="16"/>
        </w:rPr>
        <w:softHyphen/>
        <w:t>тирование. В ОКБ разрабатывались два дизеля — Н-5 (он же ФЭД-8) и Н-6 (он же МСК). В создании первого участвовали такие известные моторостроители, как Н.Р. Бриллинг, Б.С. Стечкин и А.А. Бессонов, вто</w:t>
      </w:r>
      <w:r w:rsidRPr="00E93F40">
        <w:rPr>
          <w:rFonts w:ascii="Times New Roman" w:hAnsi="Times New Roman"/>
          <w:color w:val="000000" w:themeColor="text1"/>
          <w:sz w:val="16"/>
          <w:szCs w:val="16"/>
        </w:rPr>
        <w:softHyphen/>
        <w:t>рого — тот же Стечкин и Курчевский. Располагалось ОКБ НКВД при заводе № 24 в Москве (11852).</w:t>
      </w:r>
    </w:p>
    <w:p w14:paraId="3B68E2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D5C0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из Главного управления авиапромыш</w:t>
      </w:r>
      <w:r w:rsidRPr="00E93F40">
        <w:rPr>
          <w:rFonts w:ascii="Times New Roman" w:hAnsi="Times New Roman"/>
          <w:color w:val="000000" w:themeColor="text1"/>
          <w:sz w:val="16"/>
          <w:szCs w:val="16"/>
        </w:rPr>
        <w:softHyphen/>
        <w:t>ленности (ГУАП) в Рыбинск на завод № 26 поступило распоря</w:t>
      </w:r>
      <w:r w:rsidRPr="00E93F40">
        <w:rPr>
          <w:rFonts w:ascii="Times New Roman" w:hAnsi="Times New Roman"/>
          <w:color w:val="000000" w:themeColor="text1"/>
          <w:sz w:val="16"/>
          <w:szCs w:val="16"/>
        </w:rPr>
        <w:softHyphen/>
        <w:t>жение остановиться на сборке двух моторов, сдать все уже готовые де</w:t>
      </w:r>
      <w:r w:rsidRPr="00E93F40">
        <w:rPr>
          <w:rFonts w:ascii="Times New Roman" w:hAnsi="Times New Roman"/>
          <w:color w:val="000000" w:themeColor="text1"/>
          <w:sz w:val="16"/>
          <w:szCs w:val="16"/>
        </w:rPr>
        <w:softHyphen/>
        <w:t>тали ИАМ. В мастерских ИАМ к на</w:t>
      </w:r>
      <w:r w:rsidRPr="00E93F40">
        <w:rPr>
          <w:rFonts w:ascii="Times New Roman" w:hAnsi="Times New Roman"/>
          <w:color w:val="000000" w:themeColor="text1"/>
          <w:sz w:val="16"/>
          <w:szCs w:val="16"/>
        </w:rPr>
        <w:softHyphen/>
        <w:t>чалу октября 1932 г. сделали пять М-34, из них один - макетный для ЦАГИ (11848).</w:t>
      </w:r>
    </w:p>
    <w:p w14:paraId="403BC0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66A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зам. наркома по военным и морским делам и председателя РВС Тухачевский писал письмо секретарю Ленинградского обкома ВКП(б) Кирову</w:t>
      </w:r>
    </w:p>
    <w:p w14:paraId="30F0E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Создание авиационного дизеля есть одна из главнейших проблем в развитии авиации. Все авиамоторные и дизельные фирмы за границей с исключительной энергией занимаются изысканиями и практической опытной постройкой авиадизелей. Такое внимание авиадизелю объясняется теми огромнейшими преимуществами, которые дизель имеет перед бензиновым двигателем. К числу главнейших преимуществ относятся:</w:t>
      </w:r>
    </w:p>
    <w:p w14:paraId="241EF4D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Возможность работы на простом экономичном топливе.</w:t>
      </w:r>
    </w:p>
    <w:p w14:paraId="52A4679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Экономичность работы самого двигателя (расход топлива у дизеля снижается по сравнению с бензиновым на 15-20%).</w:t>
      </w:r>
    </w:p>
    <w:p w14:paraId="082743F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Отпадает электрическое зажигание и, следовательно, устраняется агрегат, который более всех других является причиной неисправностей работы мотора.</w:t>
      </w:r>
    </w:p>
    <w:p w14:paraId="6566CCA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Отсутствие приборов зажигания устраняет также помехи в работе радиостанции самолета.</w:t>
      </w:r>
    </w:p>
    <w:p w14:paraId="33C5AA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эти основные преимущества авиадизеля перед бензиновым мотором говорят об огромном экономическом и военном значении авиадизелей.</w:t>
      </w:r>
    </w:p>
    <w:p w14:paraId="411AE7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сегодняшний день в этой работе мы сильно отстали. Мы даже не имеем еще ни одного опытного авиадизеля, который мог бы лечь в основу нашего дальнейшего продвижения в этом вопросе. Естественно, перед нами встала задача навалиться на этот участок с тем, чтобы не позднее 1933 года иметь советский авиадизель. С этой целью нами поставлены основные задания на авиадизель большой мощности Московскому институту авиационного моторостроения (ИАМ), Ленинградскому научно-исследовательскому дизельному институту (ВНИДИ) и Харьковскому институту промышленной энергетики (ИПЭ). Поставленные задания выполнимы, но требуют максимального напряжения сил и средств и особого внимания партийной общественности.</w:t>
      </w:r>
    </w:p>
    <w:p w14:paraId="4022C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РВС, придавая отмеченной работе чрезвычайное значение, просит Вас принять под свое непосредственное руководство и наблюдение эти работы (7470, 2).</w:t>
      </w:r>
    </w:p>
    <w:p w14:paraId="118E1B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92B801"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1932 г. закончили проработку проекта пере</w:t>
      </w:r>
      <w:r w:rsidRPr="00142305">
        <w:rPr>
          <w:rFonts w:ascii="Times New Roman" w:hAnsi="Times New Roman"/>
          <w:color w:val="0070C0"/>
          <w:sz w:val="16"/>
          <w:szCs w:val="16"/>
        </w:rPr>
        <w:softHyphen/>
        <w:t>делки самолетов Р-5 и ТБ-1 для дозаправки последнего в воздузе. В отличие от Р-l на Р-5 шланг наматывался на барабан ручной лебедки в кабине летнаба. Ле</w:t>
      </w:r>
      <w:r w:rsidRPr="00142305">
        <w:rPr>
          <w:rFonts w:ascii="Times New Roman" w:hAnsi="Times New Roman"/>
          <w:color w:val="0070C0"/>
          <w:sz w:val="16"/>
          <w:szCs w:val="16"/>
        </w:rPr>
        <w:softHyphen/>
        <w:t>бедка монтировалась на месте фотоаппарата.</w:t>
      </w:r>
    </w:p>
    <w:p w14:paraId="7BA9C3E5"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запас горючего серийного Р-5 делал эту затею бес</w:t>
      </w:r>
      <w:r w:rsidRPr="00142305">
        <w:rPr>
          <w:rFonts w:ascii="Times New Roman" w:hAnsi="Times New Roman"/>
          <w:color w:val="0070C0"/>
          <w:sz w:val="16"/>
          <w:szCs w:val="16"/>
        </w:rPr>
        <w:softHyphen/>
        <w:t>смысленной. Сначала рассчитывали на комплект допол</w:t>
      </w:r>
      <w:r w:rsidRPr="00142305">
        <w:rPr>
          <w:rFonts w:ascii="Times New Roman" w:hAnsi="Times New Roman"/>
          <w:color w:val="0070C0"/>
          <w:sz w:val="16"/>
          <w:szCs w:val="16"/>
        </w:rPr>
        <w:softHyphen/>
        <w:t>нительных бензобаков, монтировавшийся на варианте для дальних перелетов. Баки располагались за приборной до</w:t>
      </w:r>
      <w:r w:rsidRPr="00142305">
        <w:rPr>
          <w:rFonts w:ascii="Times New Roman" w:hAnsi="Times New Roman"/>
          <w:color w:val="0070C0"/>
          <w:sz w:val="16"/>
          <w:szCs w:val="16"/>
        </w:rPr>
        <w:softHyphen/>
        <w:t>ской (126 л), под педалями летчика (215 л) и под его сиде</w:t>
      </w:r>
      <w:r w:rsidRPr="00142305">
        <w:rPr>
          <w:rFonts w:ascii="Times New Roman" w:hAnsi="Times New Roman"/>
          <w:color w:val="0070C0"/>
          <w:sz w:val="16"/>
          <w:szCs w:val="16"/>
        </w:rPr>
        <w:softHyphen/>
        <w:t>ньем (110 л). В апреле 1932 г. попробовали вдобавок подве</w:t>
      </w:r>
      <w:r w:rsidRPr="00142305">
        <w:rPr>
          <w:rFonts w:ascii="Times New Roman" w:hAnsi="Times New Roman"/>
          <w:color w:val="0070C0"/>
          <w:sz w:val="16"/>
          <w:szCs w:val="16"/>
        </w:rPr>
        <w:softHyphen/>
        <w:t>сить сигарообразные баки на балках бомбодержателей под нижним крылом. Но подвело кустарное изготовление. Ба</w:t>
      </w:r>
      <w:r w:rsidRPr="00142305">
        <w:rPr>
          <w:rFonts w:ascii="Times New Roman" w:hAnsi="Times New Roman"/>
          <w:color w:val="0070C0"/>
          <w:sz w:val="16"/>
          <w:szCs w:val="16"/>
        </w:rPr>
        <w:softHyphen/>
        <w:t>ки и магистрали к ним текли, проводить испытания даже не рискнули (24977).</w:t>
      </w:r>
    </w:p>
    <w:p w14:paraId="3ACD179C" w14:textId="77777777" w:rsidR="00C55E74" w:rsidRPr="00142305" w:rsidRDefault="00C55E74" w:rsidP="00C55E74">
      <w:pPr>
        <w:spacing w:after="0" w:line="240" w:lineRule="auto"/>
        <w:jc w:val="both"/>
        <w:rPr>
          <w:rFonts w:ascii="Times New Roman" w:hAnsi="Times New Roman"/>
          <w:color w:val="0070C0"/>
          <w:sz w:val="16"/>
          <w:szCs w:val="16"/>
        </w:rPr>
      </w:pPr>
    </w:p>
    <w:p w14:paraId="0B710640"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1932 года О.К.А вернулся из Крыма в Москву. На планерном заводе в Тушине Антонов, став главным конструктором, продолжил работу над «Учебным стандартом», создав его третий вариант. Затем последовал «Учебный паритель» («УПАР»). На очередных состязаниях 1932 года в Коктебеле С.Ф. Гаврыш установил на «УПАРе» всесоюзный рекорд высоты, поднявшись на 2230 метров (25092).</w:t>
      </w:r>
    </w:p>
    <w:p w14:paraId="0A09846B" w14:textId="77777777" w:rsidR="00C55E74" w:rsidRPr="00142305" w:rsidRDefault="00C55E74" w:rsidP="00C55E74">
      <w:pPr>
        <w:spacing w:after="0" w:line="240" w:lineRule="auto"/>
        <w:jc w:val="both"/>
        <w:rPr>
          <w:rFonts w:ascii="Times New Roman" w:hAnsi="Times New Roman"/>
          <w:color w:val="0070C0"/>
          <w:sz w:val="16"/>
          <w:szCs w:val="16"/>
        </w:rPr>
      </w:pPr>
    </w:p>
    <w:p w14:paraId="4E8A8809"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ЦКБ и ЦАГИ вновь разъединены в самостоятельные организации, но и это решение сразу выполнено не было, потому что ряд сотрудников ЦКБ-39 уже занимал руководящие должности в ЦАГИ и наоборот.</w:t>
      </w:r>
    </w:p>
    <w:p w14:paraId="3391B0B0"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Также помешало разделению ЦКБ и ЦАГИ в то время опоздание ЦАГИ с рядом работ – в частности, в начале 1932 г. бригаде ЦКБ под началом С.А. Кочеригина передается от АГОС не выполненное в срок задание на легкий разведчик. С объединением ЦКБ и ЦАГИ положение АГОС как самостоятельной конструкторской организации становится неопределенным, но Туполев добивается продолжения самостоятельной работы подразделений АГОС, начальником которого он являлся.</w:t>
      </w:r>
    </w:p>
    <w:p w14:paraId="77342D98"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 время обострились существовавшие ранее противоречия по вопросу общей технической политики ЦКБ и ЦАГИ. Начальник АГОС А.Н. Туполев считал, что все усилия необходимо сосредоточить на цельнометаллическом самолетостроении, поскольку за ним будущее. Именно под такие самолеты был оборудован ЗОК ЦАГИ. Возглавивший в АГОС направление легких самолетов П.О. Сухой его в этом активно поддерживал. Начальник ЦКБ-39 С.В. Ильюшин и его подчиненные Н.Н. Поликарпов, Д.П. Григорович, Г.М. Бериев в принципе соглашались с этими взглядами, Ильюшин прилагал усилия к модернизации оснащения его завода №39 прежде всего в части оборудования металлообработки, но указывал на отставание в производстве дюраля (который стал нужен и др. отраслям промышленности) от плановых объемов выпуска самолетов, а также считал назревшей необходимость перехода на новые принципы проектирования цельнометаллических самолетов, поскольку используемые ЦАГИ ферменные конструкции с тонкой гофрированной обшивкой устарели. Ильюшин и Поликарпов продвигали переход на конструкции с гладкой работающей обшивкой, которые давали выигрыш в весе и обтекаемости одновременно, однако для их внедрения требовалось освоить только недавно появившийся в Германии метод расчета их на касательные напряжения, а главное – провести замену большей части номенклатуры выпускаемого в СССР алюминиевого проката. На все это требовалось много времени, потому Ильюшин предполагал постепенным, с продолжением использования на его время деревянных конструкций каркаса, с чем Туполев и Сухой не соглашались (23554).</w:t>
      </w:r>
    </w:p>
    <w:p w14:paraId="27C6225F" w14:textId="77777777" w:rsidR="00B97656" w:rsidRPr="00E93F40" w:rsidRDefault="00B97656" w:rsidP="00E93F40">
      <w:pPr>
        <w:spacing w:after="0" w:line="240" w:lineRule="auto"/>
        <w:jc w:val="both"/>
        <w:rPr>
          <w:rFonts w:ascii="Times New Roman" w:hAnsi="Times New Roman"/>
          <w:color w:val="000000" w:themeColor="text1"/>
          <w:sz w:val="16"/>
          <w:szCs w:val="16"/>
        </w:rPr>
      </w:pPr>
    </w:p>
    <w:p w14:paraId="13B258F0" w14:textId="405CF6E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был основан завод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Москва наб. Академика Туполева, 15; 105005 наб. Академика Туполева, 17 тел. 267-25-33/) как ЗОК ЦАГИ. В 07.1936 г. КОСОС и ЗОК выделены из ЦАГИ, на их базе образован самостоятельный опытный завод (ЗОК) под руководством А.Н. Туполева в ведении ГУАП НКТТ1. По п</w:t>
      </w:r>
      <w:r w:rsidRPr="00E93F40">
        <w:rPr>
          <w:rFonts w:ascii="Times New Roman" w:hAnsi="Times New Roman"/>
          <w:color w:val="000000" w:themeColor="text1"/>
          <w:sz w:val="16"/>
          <w:szCs w:val="16"/>
          <w:lang w:val="en-US"/>
        </w:rPr>
        <w:t>p</w:t>
      </w:r>
      <w:r w:rsidRPr="00E93F40">
        <w:rPr>
          <w:rFonts w:ascii="Times New Roman" w:hAnsi="Times New Roman"/>
          <w:color w:val="000000" w:themeColor="text1"/>
          <w:sz w:val="16"/>
          <w:szCs w:val="16"/>
        </w:rPr>
        <w:t>. НКОП № Обсс от 30.12.1936 г. ЗОК переименован в завод № 156. В 02.1937 г. - в ведении 1ГУ ЖОП, (и на 12.1938 г.). По пр. № 238с от 9.07.1938 г. завод переведен из 2-й категории в 1-ю. С 1939 г. - в НКАП.</w:t>
      </w:r>
    </w:p>
    <w:p w14:paraId="3C0AB4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ЗОК строились металлические конструкции (гондола, оперение, моторная установка) дирижаблей В-2 и В-3.</w:t>
      </w:r>
    </w:p>
    <w:p w14:paraId="01B2A7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12.1937 г. на завод № 156 с завода № 21 переведено ОКБ Поликарпова. В это время на заводе № 21 велась подготовка к серийному выпуску самолета И-180, представителем ОКБ на заводе № 21 был М.К. Янгель. Приказом № 331с от 16/17.08.1938 г. «придавая исключительное значение быстрейшему выпуску опытных самолетов И-180», заводу поручено закончить постройку И-180 с М-88 к 20.10.1938 г. и И-180 с М-62 к 10.11.1938 г.</w:t>
      </w:r>
    </w:p>
    <w:p w14:paraId="3DBEFA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222с от 23/24.06.1938 г. требовалось к 25.07.1938 г. закончить постройку самолета «Иванов».</w:t>
      </w:r>
    </w:p>
    <w:p w14:paraId="62A2D8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11.1937 г. на завод № 126 для освоения ДБ-3 командировано 13 специалистов. По пр. № 0259 от 3.12.1937 г., в связи с освоением на заводе «Саркомбайн» выпуска Р-10, туда переведено 28 рабочих и 2 инженера.</w:t>
      </w:r>
    </w:p>
    <w:p w14:paraId="1C5B4C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180с от 26/27.05.1938 г., в связи с освоением выпуска АНТ-42 на заводе № 124, на заводе организовано КБ по приспособлениям в составе 100 чел. сроком на 2 месяца в подчинении гл. инженера завода № 124.</w:t>
      </w:r>
    </w:p>
    <w:p w14:paraId="758747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1939</w:t>
      </w:r>
      <w:r w:rsidRPr="00E93F40">
        <w:rPr>
          <w:rFonts w:ascii="Times New Roman" w:hAnsi="Times New Roman"/>
          <w:color w:val="000000" w:themeColor="text1"/>
          <w:sz w:val="16"/>
          <w:szCs w:val="16"/>
          <w:vertAlign w:val="subscript"/>
        </w:rPr>
        <w:t>г</w:t>
      </w:r>
      <w:r w:rsidRPr="00E93F40">
        <w:rPr>
          <w:rFonts w:ascii="Times New Roman" w:hAnsi="Times New Roman"/>
          <w:color w:val="000000" w:themeColor="text1"/>
          <w:sz w:val="16"/>
          <w:szCs w:val="16"/>
        </w:rPr>
        <w:t>41 г. на заводе конструктором С. Г. Козловым проводились работы по опытному истребителю «ПИ».</w:t>
      </w:r>
    </w:p>
    <w:p w14:paraId="61D66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1940-41 г. на заводе базировалось ОКБ-3 С.А. Кочеригина. В 1938-41г, на заводе - ОКБ-16 В.Н. Беляева.</w:t>
      </w:r>
    </w:p>
    <w:p w14:paraId="79E9E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1939-07.1943 г. при заводе работало ЦКБ-29 НКВД (сначала- отдел № 29).</w:t>
      </w:r>
    </w:p>
    <w:p w14:paraId="1D409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001198/504сс от 24.09.1940 г. завод № 156 преобразован в закрытый завод в системе НКВД. На заводе организовано единое КБ ОТБ НКВД.</w:t>
      </w:r>
    </w:p>
    <w:p w14:paraId="52600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НКАП № 106с от 5.03.1940 г. на заводе № 156 предоставлена опытная база для ОКБ-ЗО В.В. Шевченко.</w:t>
      </w:r>
    </w:p>
    <w:p w14:paraId="49AE9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533 от 17.06.1941 г. заводу было поручено до 15.09.1941 г. передать тех. документацию по Ту-2 на завод № 18 для организации его выпуска.</w:t>
      </w:r>
    </w:p>
    <w:p w14:paraId="497EC4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823с от 9.08.1941 г. основная часть коллектива ОКБ А.А. Архангельского со всем имуществом и техдокументацией переведена с завода № 32 на завод № 156 НКАП.</w:t>
      </w:r>
    </w:p>
    <w:p w14:paraId="1F32E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1941 г. группа специалистов по электросистемам была переведена для укрепления в ОКБ-2 завода № 266.</w:t>
      </w:r>
    </w:p>
    <w:p w14:paraId="7ED12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08.1941 г. по приказу № 652сс от 9.07.1941 г. завод № 156 7ГУ НКАП эвакуирован в Омск, где вместе с заводом № 81 влит в состав завода № 166 НКАП, и выбыл из состава действующих с 07.1941 г.</w:t>
      </w:r>
    </w:p>
    <w:p w14:paraId="399672EF" w14:textId="3638440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площадке эвакуированного завода в Москве по приказу № 1073с от 20.10.1941 г. образованы ремонтные мастерские по приборам и изготовлению металлических деталей винтов при Ремотделе НКАП. Далее в системе 6ГУ НКАП начал действовать завод № 156. По приказу № 1168с от 16.12.1941 г. на завод № 156 переведена часть личного состава с завода № 207 НКАП, в 1942 г. они возвращены обратно. Пост. ГКО № 1293 от 16.02.1942 г. и приказом № 150с от 24.02.1942 г. было принято решение о переброске оборудования завода № 156 из</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Нейвинска в Москву и организации производства подвесных бензобаков для бомбардировщиков. Завод № 156 в 1942 г. действовал на старом месте (ул. Салтыковская). Производство амортизаторов для лыж, подвесных бензо- и маслобаков из целлюлозы конструкции ОКБ гл. конструктора П.В. Гулянского. Освоено производство ВАП-250 го целлюлозы.</w:t>
      </w:r>
    </w:p>
    <w:p w14:paraId="5BC41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1943 г. на территории завода № 156 размещалось КБ М.И. Гудкова (переведено с завода № 21). Работы поГу-1.</w:t>
      </w:r>
    </w:p>
    <w:p w14:paraId="0C4E0F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04.1943 г. завод № 156 передан из 6ГУ в 7ГУ НКАП, и началось возобновление работ по опытному самолетостроению. По приказу № 233с от 14/19.04.1943 г. гл. конструктором/ ответственным руководителем завода назначен А.Н. Туполев. Осенью 1943 г. КБ вернулось на площадку завода № 156 и продолжило работу как ОКБ-156 НКАП. В начале 1944 г. при заводе образован филиал ОКБ-166 НКАП для доводки Ту-2.</w:t>
      </w:r>
    </w:p>
    <w:p w14:paraId="29C6A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08.1943 г. заводу дано задание освоить производство бензофильтров, бензопистолетов, арматуры к бензо- и маслозаправщикам.</w:t>
      </w:r>
    </w:p>
    <w:p w14:paraId="4413321C" w14:textId="308EB5D9"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1946 г. на завод передано 150 станков с завода Эрля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Гройтш (Германия), а всего - 208 трофейных металлорежущих станков.</w:t>
      </w:r>
    </w:p>
    <w:p w14:paraId="2F7636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 г. завод № 156 - в ведении ГКАТ.</w:t>
      </w:r>
    </w:p>
    <w:p w14:paraId="6502E2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Ответственный руководитель (04.1943 г.-)- А.Н. Туполев.</w:t>
      </w:r>
    </w:p>
    <w:p w14:paraId="3AC22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(-05-13.11.1937 г.)- А.А. Осипов, (13.11.1937-13.04.1938 г.)- А.Т. Туманов, (13.04-11.1938 г.-)- М.А. Усачев, (1939 г.)- Ленкин, (09.1940-07.1941 г.; -11.1943-02.1945 г.-)- А.В. Ляпидевский, (12.1941 г.)- П.В. Гулянский, (-07.1943 г.)- С.С. Ржыщев; И.О. директора (08.1943 г.)- Новосельский; (1955 г.)- И.Б. Иосилович.</w:t>
      </w:r>
    </w:p>
    <w:p w14:paraId="4627A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(06.1937 г.)- Б.А. Новосельский. Помощник директора по найму и увольнению рабочей силы (1.02.1937 г.-)- Н.Б. Суровцев.</w:t>
      </w:r>
    </w:p>
    <w:p w14:paraId="79719C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Технический директор (07.1936 г.-)- В.М. Петляков, (28.05-08.1938 г.-)- Н.Н. Поликарпов. Директор по общим вопросам (-2005-06 г.-)-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Затучный.</w:t>
      </w:r>
    </w:p>
    <w:p w14:paraId="168029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(06.1937 г.)- Б.А. Новосельский.</w:t>
      </w:r>
    </w:p>
    <w:p w14:paraId="4DCFB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(1940 г.)- С.А. Кочеригин, (04.1943 г.-)- А.Н. Туполев.</w:t>
      </w:r>
    </w:p>
    <w:p w14:paraId="35D348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конструктора (07.1936 г.-)- П.О. Сухой.</w:t>
      </w:r>
    </w:p>
    <w:p w14:paraId="058D18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КО (07.1936 г.-)- В.М. Петляков.</w:t>
      </w:r>
    </w:p>
    <w:p w14:paraId="10E21C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отдела: КО (07.1936 г.-)- П.О. Сухой; ОТК (07.1938 г.)- А.С. Комаленков.</w:t>
      </w:r>
    </w:p>
    <w:p w14:paraId="4D6DF9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КО (1937 г.-)- П.О. Сухой.</w:t>
      </w:r>
    </w:p>
    <w:p w14:paraId="0F153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департамента по связям с общественностью (2005 г.)- Т.В. Скворцова.</w:t>
      </w:r>
    </w:p>
    <w:p w14:paraId="3AF632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самолеты: «Иванов» (1938)- 1, И-180 (1938)- 2, «100». (1939)- 1, ДБ-Ж (1940)- 1, «103» (1940)- 1, «ЮЗУ» (04.1941)- 1, «103В» (1941)- 1, «370» (1941)- 1, Ту-2Д («62», 1944-45)- 2, Ту-14 («73», 1947)- 3, «82» (1949)- 1, Ту-16 («88», 1952-53)- 2, Ту-91 (1954)- 1, Ту-98 («98», 1955-)- 2, «105» (1958)- 1, Ту-160 (1981)- 3 (из деталей КАПО); торпедные катера: Г-6 (1935)- 1, Г-8 (1937)- 1 (11982).</w:t>
      </w:r>
    </w:p>
    <w:p w14:paraId="11FB4472" w14:textId="77777777" w:rsidR="00C145FA" w:rsidRPr="00E93F40" w:rsidRDefault="00C145FA"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7D7FE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начальник НИИ Бузанов подготовил (6770):</w:t>
      </w:r>
    </w:p>
    <w:p w14:paraId="3CA0035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Перечень работ выполненных конструкторским отделом Гроховского в НИИ</w:t>
      </w:r>
    </w:p>
    <w:p w14:paraId="61AC7BA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Подвесные баки для самолетов Р-1 и Р-5</w:t>
      </w:r>
    </w:p>
    <w:p w14:paraId="311113E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Образцы испытаны, дали положительные результаты, проведены войсковые испытания. Дан серийный заказ. Баки приняты на снабжение.</w:t>
      </w:r>
    </w:p>
    <w:p w14:paraId="77357B6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Г-2 – для сбрасывания литературы</w:t>
      </w:r>
    </w:p>
    <w:p w14:paraId="59CB18B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Прошел гос. испытания; признан – удовлетворительно. Принят ПУРом на снабжение в 1931 году.</w:t>
      </w:r>
    </w:p>
    <w:p w14:paraId="5F812F6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Г-40 – для сбрасывания фотокассет.</w:t>
      </w:r>
    </w:p>
    <w:p w14:paraId="7A0552D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Прошел гос. испытания в декабре 1931 года. Дал положительные результаты; подлежит серийному заказу.</w:t>
      </w:r>
    </w:p>
    <w:p w14:paraId="3948180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Г-3 – для сбрасывания вооружения-снарядов, пулеметов и патронов</w:t>
      </w:r>
    </w:p>
    <w:p w14:paraId="1DCEFCF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Прошел гос. испытания, дал удовлетворительные результаты. Составлена инструкция по применению парашюта Г-3.</w:t>
      </w:r>
    </w:p>
    <w:p w14:paraId="28CA841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Индивидуальный парашют Гроховского типа «ИРВИН» из хлопчатобумажной ткани прошел гос. испытание в июле 1930 года. Признан негодным вследствие большого веса и большой скорости снижения и замедленного раскрытия.</w:t>
      </w:r>
    </w:p>
    <w:p w14:paraId="7C3943D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Второй индивидуальный парашют Гроховского из хлопчатобумажной ткани сист. самолетных ремней для летнаба, испытаны в августе 1930 года. Признан неудовлетворительным вследствие большого веса, большого времени раскрытия и несовершенства подвесной системы.</w:t>
      </w:r>
    </w:p>
    <w:p w14:paraId="3BEC436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 парашют для люльки испытан в ноябре и декабре 1931 года. В данном виде признан негодным для принятия на снабжение, требуется перестройка образца, согласно указаний Испытательной комиссии НИИ.</w:t>
      </w:r>
    </w:p>
    <w:p w14:paraId="71E2BE8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Оборудование для переливки горючего в воздухе</w:t>
      </w:r>
    </w:p>
    <w:p w14:paraId="22B4216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переливке горючего в воздухе велись до 20 апреля 1931 года 5-м отделом НИИ, с 20 апреля эта работа была передана конструкторскому отделу со сроком окончания к 15 июня. В качестве конкретного задания было поставлено задание – оборудование самолета ТБ-1 в качестве принимающего и самолет Р-5 – бензиноносец.</w:t>
      </w:r>
    </w:p>
    <w:p w14:paraId="737236A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баков и испытание в воздухе затянулось вследствие несовершенства системы, баки текли и самолет в течение лета 1931 года не годился для эксплуатации.</w:t>
      </w:r>
    </w:p>
    <w:p w14:paraId="7FA83E8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с 1 января 1931 года оборудование баками для переливки горючего переслано заводу № 39, куда передан самолет Тб-1.</w:t>
      </w:r>
    </w:p>
    <w:p w14:paraId="7474679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производится под наблюдением конструктора Запанованного, остальные работы Гроховского, выполняемые по плану 1931 года не были подвержены гос. испытаниям, несмотря на неоднократные требования командования института (180, 6770).</w:t>
      </w:r>
    </w:p>
    <w:p w14:paraId="30B6C08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04EF8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начальник 5 отдела НИИ ВВС инженер-механик Соловьев писал письмо № со/13 зам. начальника НИИ ВВС:</w:t>
      </w:r>
    </w:p>
    <w:p w14:paraId="4E6705B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приказанию начальника НИИ ВВС мною был затребован из 12 отдела десантный парашют системы Гроховского для производства испытания его на изнашиваемость во 2-й школе летчиков (приказ зам. начальника ВВС).</w:t>
      </w:r>
    </w:p>
    <w:p w14:paraId="6153CD8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перехода 12 отдела на хозрасчет таковой парашют может быть представлен при уплате 550 руб.</w:t>
      </w:r>
    </w:p>
    <w:p w14:paraId="67013BF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как в смете 5 отдела указанная сумма не предусмотрена, прошу ваших указаний (6770, 52).</w:t>
      </w:r>
    </w:p>
    <w:p w14:paraId="35655C5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94AD5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начальник НИИ ВВС Бузанов писал председателю комиссии РВС Эйдеману:</w:t>
      </w:r>
    </w:p>
    <w:p w14:paraId="3ECA580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поставленные мне комиссией вопросы по работе конструкторского отдела под руководством Гроховского имею доложить следующее:</w:t>
      </w:r>
    </w:p>
    <w:p w14:paraId="73A06061"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занятое Гроховским в составе Института являлось ненормальным. Гроховский. Признавая формально подчинение командованию института, фактически считал себя не подчиненным Институту. Вследствие этих ненормальных взаимоотношений вопросы воздушной пехоты в пределах института не могли быть разрешены правильным порядком.</w:t>
      </w:r>
    </w:p>
    <w:p w14:paraId="6A9E66E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Неоднократные предложения Гроховскому предъявить образцы для проведения гос. испытаний вызывали отказ с его стороны. Даже после того, как зам. наркома в письменной форме было приказано внедрить в серийное производство образцы оборудования Гроховского, не прошедшие гос. испытаний, командование не может до настоящего времени получить ни самих образцов, ни технических описаний для передачи заказов в серийное производство.</w:t>
      </w:r>
    </w:p>
    <w:p w14:paraId="59DE2A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…………………………..(6770, 42-43).</w:t>
      </w:r>
    </w:p>
    <w:p w14:paraId="3B05932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EC55C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Начальник штаба НИИ ВВС Азаров подготовил:</w:t>
      </w:r>
    </w:p>
    <w:p w14:paraId="08A490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Справка о работах, выполненных конструкторским отделом НИИ в 1931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905"/>
        <w:gridCol w:w="2693"/>
      </w:tblGrid>
      <w:tr w:rsidR="00DA227A" w:rsidRPr="00E93F40" w14:paraId="4FF87B72" w14:textId="77777777">
        <w:tc>
          <w:tcPr>
            <w:tcW w:w="7905" w:type="dxa"/>
          </w:tcPr>
          <w:p w14:paraId="2C4C832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Содержание работ</w:t>
            </w:r>
          </w:p>
        </w:tc>
        <w:tc>
          <w:tcPr>
            <w:tcW w:w="2693" w:type="dxa"/>
          </w:tcPr>
          <w:p w14:paraId="0E50E1F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выполнения</w:t>
            </w:r>
          </w:p>
        </w:tc>
      </w:tr>
      <w:tr w:rsidR="00DA227A" w:rsidRPr="00E93F40" w14:paraId="100770C7" w14:textId="77777777">
        <w:tc>
          <w:tcPr>
            <w:tcW w:w="7905" w:type="dxa"/>
          </w:tcPr>
          <w:p w14:paraId="0AA4944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Десантные парашюты Г-40</w:t>
            </w:r>
          </w:p>
          <w:p w14:paraId="66D9A67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испытание опытных образцов</w:t>
            </w:r>
          </w:p>
          <w:p w14:paraId="46D4C77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испытание серии</w:t>
            </w:r>
          </w:p>
        </w:tc>
        <w:tc>
          <w:tcPr>
            <w:tcW w:w="2693" w:type="dxa"/>
          </w:tcPr>
          <w:p w14:paraId="6BF46F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1B75C4B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0111A5ED" w14:textId="77777777">
        <w:tc>
          <w:tcPr>
            <w:tcW w:w="7905" w:type="dxa"/>
          </w:tcPr>
          <w:p w14:paraId="087E37C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Грузовой картонажный выбрасыватель Г-52.</w:t>
            </w:r>
          </w:p>
        </w:tc>
        <w:tc>
          <w:tcPr>
            <w:tcW w:w="2693" w:type="dxa"/>
          </w:tcPr>
          <w:p w14:paraId="6D2F34B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4707609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465785A2" w14:textId="77777777">
        <w:tc>
          <w:tcPr>
            <w:tcW w:w="7905" w:type="dxa"/>
          </w:tcPr>
          <w:p w14:paraId="1D172E7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Обмундирование воздушной пехоты Г-55</w:t>
            </w:r>
          </w:p>
          <w:p w14:paraId="1D5F76D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изготовление опытного экземпляра</w:t>
            </w:r>
          </w:p>
          <w:p w14:paraId="725FA82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изготовление и испытание серии</w:t>
            </w:r>
          </w:p>
        </w:tc>
        <w:tc>
          <w:tcPr>
            <w:tcW w:w="2693" w:type="dxa"/>
          </w:tcPr>
          <w:p w14:paraId="5AC2DAA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004A88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09A79CD6" w14:textId="77777777">
        <w:tc>
          <w:tcPr>
            <w:tcW w:w="7905" w:type="dxa"/>
          </w:tcPr>
          <w:p w14:paraId="26AE7CC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вооруженного автомобиля Г-38.</w:t>
            </w:r>
          </w:p>
        </w:tc>
        <w:tc>
          <w:tcPr>
            <w:tcW w:w="2693" w:type="dxa"/>
          </w:tcPr>
          <w:p w14:paraId="0EF5E03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40E5174C" w14:textId="77777777">
        <w:tc>
          <w:tcPr>
            <w:tcW w:w="7905" w:type="dxa"/>
          </w:tcPr>
          <w:p w14:paraId="7E38851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мотоцикла.</w:t>
            </w:r>
          </w:p>
        </w:tc>
        <w:tc>
          <w:tcPr>
            <w:tcW w:w="2693" w:type="dxa"/>
          </w:tcPr>
          <w:p w14:paraId="595600B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536766F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3C875704" w14:textId="77777777">
        <w:tc>
          <w:tcPr>
            <w:tcW w:w="7905" w:type="dxa"/>
          </w:tcPr>
          <w:p w14:paraId="2FBBA01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Парашютная установка для сбрасывания орудия на парашюте.</w:t>
            </w:r>
          </w:p>
        </w:tc>
        <w:tc>
          <w:tcPr>
            <w:tcW w:w="2693" w:type="dxa"/>
          </w:tcPr>
          <w:p w14:paraId="4BF9784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5DA81BFF" w14:textId="77777777">
        <w:tc>
          <w:tcPr>
            <w:tcW w:w="7905" w:type="dxa"/>
          </w:tcPr>
          <w:p w14:paraId="2F22028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Подкрыльный выбрасыватель кр-цев Г-39</w:t>
            </w:r>
          </w:p>
          <w:p w14:paraId="46C7D93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постройка и испытание опытных экземпляров</w:t>
            </w:r>
          </w:p>
          <w:p w14:paraId="7BE533E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постройка и испытание серии</w:t>
            </w:r>
          </w:p>
        </w:tc>
        <w:tc>
          <w:tcPr>
            <w:tcW w:w="2693" w:type="dxa"/>
          </w:tcPr>
          <w:p w14:paraId="2305EB3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351E121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713FF2B3" w14:textId="77777777">
        <w:tc>
          <w:tcPr>
            <w:tcW w:w="7905" w:type="dxa"/>
          </w:tcPr>
          <w:p w14:paraId="1546EF3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Подсамолетно-водяные баки и бензиновые.</w:t>
            </w:r>
          </w:p>
        </w:tc>
        <w:tc>
          <w:tcPr>
            <w:tcW w:w="2693" w:type="dxa"/>
          </w:tcPr>
          <w:p w14:paraId="5D53C1D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7B466F60" w14:textId="77777777">
        <w:tc>
          <w:tcPr>
            <w:tcW w:w="7905" w:type="dxa"/>
          </w:tcPr>
          <w:p w14:paraId="3D4EB39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Жироскопический парашют с лопастями Г-55.</w:t>
            </w:r>
          </w:p>
        </w:tc>
        <w:tc>
          <w:tcPr>
            <w:tcW w:w="2693" w:type="dxa"/>
          </w:tcPr>
          <w:p w14:paraId="0F4B82F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5EEB130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Неудачно.</w:t>
            </w:r>
          </w:p>
        </w:tc>
      </w:tr>
      <w:tr w:rsidR="00DA227A" w:rsidRPr="00E93F40" w14:paraId="47EF9F3C" w14:textId="77777777">
        <w:tc>
          <w:tcPr>
            <w:tcW w:w="7905" w:type="dxa"/>
          </w:tcPr>
          <w:p w14:paraId="582BA2A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Авиабусы (сбрасывание кр-цев с бреющего полета) Г-45</w:t>
            </w:r>
          </w:p>
          <w:p w14:paraId="1D0C706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авиабус пятиместный</w:t>
            </w:r>
          </w:p>
          <w:p w14:paraId="014224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авиабус 16-ти местный</w:t>
            </w:r>
          </w:p>
          <w:p w14:paraId="618E457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авиабус 12-ти местный</w:t>
            </w:r>
          </w:p>
          <w:p w14:paraId="2A0C1C7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авиабус 16-ти санный местный</w:t>
            </w:r>
          </w:p>
        </w:tc>
        <w:tc>
          <w:tcPr>
            <w:tcW w:w="2693" w:type="dxa"/>
          </w:tcPr>
          <w:p w14:paraId="2DAC903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 выполнено.</w:t>
            </w:r>
          </w:p>
          <w:p w14:paraId="5025746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0870E523" w14:textId="77777777">
        <w:tc>
          <w:tcPr>
            <w:tcW w:w="7905" w:type="dxa"/>
          </w:tcPr>
          <w:p w14:paraId="4EBC986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Десантные аэросани Г-47.</w:t>
            </w:r>
          </w:p>
        </w:tc>
        <w:tc>
          <w:tcPr>
            <w:tcW w:w="2693" w:type="dxa"/>
          </w:tcPr>
          <w:p w14:paraId="342EF4C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Чертежи выполнены.</w:t>
            </w:r>
          </w:p>
        </w:tc>
      </w:tr>
      <w:tr w:rsidR="00DA227A" w:rsidRPr="00E93F40" w14:paraId="6825ED79" w14:textId="77777777">
        <w:tc>
          <w:tcPr>
            <w:tcW w:w="7905" w:type="dxa"/>
          </w:tcPr>
          <w:p w14:paraId="6E1332B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Беспарашютный грузосбрасыватель (сбрасывание грузов без парашюта).</w:t>
            </w:r>
          </w:p>
        </w:tc>
        <w:tc>
          <w:tcPr>
            <w:tcW w:w="2693" w:type="dxa"/>
          </w:tcPr>
          <w:p w14:paraId="718CE5B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4554FAC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6F671173" w14:textId="77777777">
        <w:tc>
          <w:tcPr>
            <w:tcW w:w="7905" w:type="dxa"/>
          </w:tcPr>
          <w:p w14:paraId="12142FD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Десантная мотолодка Г-48</w:t>
            </w:r>
          </w:p>
          <w:p w14:paraId="2B7C591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модель лодки 1-6 для экспериментальной работы</w:t>
            </w:r>
          </w:p>
          <w:p w14:paraId="5C72CF9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лодка для сбрасывания кр-цев с бреющего полета на водные пространства</w:t>
            </w:r>
          </w:p>
        </w:tc>
        <w:tc>
          <w:tcPr>
            <w:tcW w:w="2693" w:type="dxa"/>
          </w:tcPr>
          <w:p w14:paraId="3B921CC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 выполнено.</w:t>
            </w:r>
          </w:p>
        </w:tc>
      </w:tr>
      <w:tr w:rsidR="00DA227A" w:rsidRPr="00E93F40" w14:paraId="731E8F40" w14:textId="77777777">
        <w:tc>
          <w:tcPr>
            <w:tcW w:w="7905" w:type="dxa"/>
          </w:tcPr>
          <w:p w14:paraId="60155F1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для взятия кр-цев с земли Г-53.</w:t>
            </w:r>
          </w:p>
        </w:tc>
        <w:tc>
          <w:tcPr>
            <w:tcW w:w="2693" w:type="dxa"/>
          </w:tcPr>
          <w:p w14:paraId="2EEDC80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r>
      <w:tr w:rsidR="00DA227A" w:rsidRPr="00E93F40" w14:paraId="4199B11D" w14:textId="77777777">
        <w:tc>
          <w:tcPr>
            <w:tcW w:w="7905" w:type="dxa"/>
          </w:tcPr>
          <w:p w14:paraId="766A6FA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Транспортные мешки для деформирующихся грузов Г-57.</w:t>
            </w:r>
          </w:p>
        </w:tc>
        <w:tc>
          <w:tcPr>
            <w:tcW w:w="2693" w:type="dxa"/>
          </w:tcPr>
          <w:p w14:paraId="6C49442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51C9B10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19762FFF" w14:textId="77777777">
        <w:tc>
          <w:tcPr>
            <w:tcW w:w="7905" w:type="dxa"/>
          </w:tcPr>
          <w:p w14:paraId="402C6F4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Грузовые парашюты</w:t>
            </w:r>
          </w:p>
          <w:p w14:paraId="03B5535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25-ти метровый</w:t>
            </w:r>
          </w:p>
          <w:p w14:paraId="5E4B80C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20-ти метровый</w:t>
            </w:r>
          </w:p>
          <w:p w14:paraId="11975CE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30-ти метровый</w:t>
            </w:r>
          </w:p>
        </w:tc>
        <w:tc>
          <w:tcPr>
            <w:tcW w:w="2693" w:type="dxa"/>
          </w:tcPr>
          <w:p w14:paraId="76D30BB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36214B28" w14:textId="77777777">
        <w:tc>
          <w:tcPr>
            <w:tcW w:w="7905" w:type="dxa"/>
          </w:tcPr>
          <w:p w14:paraId="661C177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для сбрасывания танков Г-43.</w:t>
            </w:r>
          </w:p>
        </w:tc>
        <w:tc>
          <w:tcPr>
            <w:tcW w:w="2693" w:type="dxa"/>
          </w:tcPr>
          <w:p w14:paraId="5EBDE5A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tc>
      </w:tr>
      <w:tr w:rsidR="00DA227A" w:rsidRPr="00E93F40" w14:paraId="667893EB" w14:textId="77777777">
        <w:tc>
          <w:tcPr>
            <w:tcW w:w="7905" w:type="dxa"/>
          </w:tcPr>
          <w:p w14:paraId="364D1C8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Раскидывание телефонного кабеля Г-54.</w:t>
            </w:r>
          </w:p>
        </w:tc>
        <w:tc>
          <w:tcPr>
            <w:tcW w:w="2693" w:type="dxa"/>
          </w:tcPr>
          <w:p w14:paraId="474CC04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45066480" w14:textId="77777777">
        <w:tc>
          <w:tcPr>
            <w:tcW w:w="7905" w:type="dxa"/>
          </w:tcPr>
          <w:p w14:paraId="3ACF867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Термитный прожектор Титова.</w:t>
            </w:r>
          </w:p>
        </w:tc>
        <w:tc>
          <w:tcPr>
            <w:tcW w:w="2693" w:type="dxa"/>
          </w:tcPr>
          <w:p w14:paraId="4665A8B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 не выполнено.</w:t>
            </w:r>
          </w:p>
        </w:tc>
      </w:tr>
      <w:tr w:rsidR="00DA227A" w:rsidRPr="00E93F40" w14:paraId="513642DD" w14:textId="77777777">
        <w:tc>
          <w:tcPr>
            <w:tcW w:w="7905" w:type="dxa"/>
          </w:tcPr>
          <w:p w14:paraId="214A4B2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Зажигательные и подогревательные патроны Титова.</w:t>
            </w:r>
          </w:p>
        </w:tc>
        <w:tc>
          <w:tcPr>
            <w:tcW w:w="2693" w:type="dxa"/>
          </w:tcPr>
          <w:p w14:paraId="3A3304E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524F8F3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0ABFD960" w14:textId="77777777">
        <w:tc>
          <w:tcPr>
            <w:tcW w:w="7905" w:type="dxa"/>
          </w:tcPr>
          <w:p w14:paraId="29B00B3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Термитная грелка.</w:t>
            </w:r>
          </w:p>
        </w:tc>
        <w:tc>
          <w:tcPr>
            <w:tcW w:w="2693" w:type="dxa"/>
          </w:tcPr>
          <w:p w14:paraId="61AB7BF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r>
      <w:tr w:rsidR="00DA227A" w:rsidRPr="00E93F40" w14:paraId="1AA02A71" w14:textId="77777777">
        <w:tc>
          <w:tcPr>
            <w:tcW w:w="7905" w:type="dxa"/>
          </w:tcPr>
          <w:p w14:paraId="7D02EA2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Огнеметная установка на самолете Титова.</w:t>
            </w:r>
          </w:p>
        </w:tc>
        <w:tc>
          <w:tcPr>
            <w:tcW w:w="2693" w:type="dxa"/>
          </w:tcPr>
          <w:p w14:paraId="73DDAF6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 не выполнено.</w:t>
            </w:r>
          </w:p>
        </w:tc>
      </w:tr>
      <w:tr w:rsidR="00DA227A" w:rsidRPr="00E93F40" w14:paraId="7D8CCB1D" w14:textId="77777777">
        <w:tc>
          <w:tcPr>
            <w:tcW w:w="7905" w:type="dxa"/>
          </w:tcPr>
          <w:p w14:paraId="0D88E0E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Огнеметный самолет Титова.</w:t>
            </w:r>
          </w:p>
        </w:tc>
        <w:tc>
          <w:tcPr>
            <w:tcW w:w="2693" w:type="dxa"/>
          </w:tcPr>
          <w:p w14:paraId="5729E6E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 Снято.</w:t>
            </w:r>
          </w:p>
        </w:tc>
      </w:tr>
      <w:tr w:rsidR="00DA227A" w:rsidRPr="00E93F40" w14:paraId="721E022A" w14:textId="77777777">
        <w:tc>
          <w:tcPr>
            <w:tcW w:w="7905" w:type="dxa"/>
          </w:tcPr>
          <w:p w14:paraId="1D59208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Подогреватель моторов воздушного охлаждения системы Титова.</w:t>
            </w:r>
          </w:p>
        </w:tc>
        <w:tc>
          <w:tcPr>
            <w:tcW w:w="2693" w:type="dxa"/>
          </w:tcPr>
          <w:p w14:paraId="7F40D03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74801E7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135EA5F2" w14:textId="77777777">
        <w:tc>
          <w:tcPr>
            <w:tcW w:w="7905" w:type="dxa"/>
          </w:tcPr>
          <w:p w14:paraId="0445E8F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Бензиномер Титова.</w:t>
            </w:r>
          </w:p>
        </w:tc>
        <w:tc>
          <w:tcPr>
            <w:tcW w:w="2693" w:type="dxa"/>
          </w:tcPr>
          <w:p w14:paraId="090802C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 выполнено.</w:t>
            </w:r>
          </w:p>
        </w:tc>
      </w:tr>
      <w:tr w:rsidR="00DA227A" w:rsidRPr="00E93F40" w14:paraId="793B322A" w14:textId="77777777">
        <w:tc>
          <w:tcPr>
            <w:tcW w:w="7905" w:type="dxa"/>
          </w:tcPr>
          <w:p w14:paraId="3110E3B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Вымпел самолета Титова.</w:t>
            </w:r>
          </w:p>
        </w:tc>
        <w:tc>
          <w:tcPr>
            <w:tcW w:w="2693" w:type="dxa"/>
          </w:tcPr>
          <w:p w14:paraId="6FFDDE0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tc>
      </w:tr>
      <w:tr w:rsidR="00DA227A" w:rsidRPr="00E93F40" w14:paraId="72299F38" w14:textId="77777777">
        <w:tc>
          <w:tcPr>
            <w:tcW w:w="7905" w:type="dxa"/>
          </w:tcPr>
          <w:p w14:paraId="6F00790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Радиогромкоговоритель с самолета.</w:t>
            </w:r>
          </w:p>
        </w:tc>
        <w:tc>
          <w:tcPr>
            <w:tcW w:w="2693" w:type="dxa"/>
          </w:tcPr>
          <w:p w14:paraId="0030FB6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 выполнено.</w:t>
            </w:r>
          </w:p>
        </w:tc>
      </w:tr>
      <w:tr w:rsidR="00DA227A" w:rsidRPr="00E93F40" w14:paraId="6280F57F" w14:textId="77777777">
        <w:tc>
          <w:tcPr>
            <w:tcW w:w="7905" w:type="dxa"/>
          </w:tcPr>
          <w:p w14:paraId="41CE0A6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Плоский парашют.</w:t>
            </w:r>
          </w:p>
        </w:tc>
        <w:tc>
          <w:tcPr>
            <w:tcW w:w="2693" w:type="dxa"/>
          </w:tcPr>
          <w:p w14:paraId="1871D83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 выполнения.</w:t>
            </w:r>
          </w:p>
        </w:tc>
      </w:tr>
      <w:tr w:rsidR="00DA227A" w:rsidRPr="00E93F40" w14:paraId="50CBFA75" w14:textId="77777777">
        <w:tc>
          <w:tcPr>
            <w:tcW w:w="7905" w:type="dxa"/>
          </w:tcPr>
          <w:p w14:paraId="0856ED7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Ампульный прибор под самолеты</w:t>
            </w:r>
          </w:p>
          <w:p w14:paraId="09E0D06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Р-5</w:t>
            </w:r>
          </w:p>
          <w:p w14:paraId="10A73DD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ТБ-1</w:t>
            </w:r>
          </w:p>
        </w:tc>
        <w:tc>
          <w:tcPr>
            <w:tcW w:w="2693" w:type="dxa"/>
          </w:tcPr>
          <w:p w14:paraId="7AFCD6D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 чертежи выполнены на Р-5.</w:t>
            </w:r>
          </w:p>
        </w:tc>
      </w:tr>
      <w:tr w:rsidR="00DA227A" w:rsidRPr="00E93F40" w14:paraId="5AF4ED0A" w14:textId="77777777">
        <w:tc>
          <w:tcPr>
            <w:tcW w:w="7905" w:type="dxa"/>
          </w:tcPr>
          <w:p w14:paraId="3C54456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Дымовой прибор Лукина.</w:t>
            </w:r>
          </w:p>
        </w:tc>
        <w:tc>
          <w:tcPr>
            <w:tcW w:w="2693" w:type="dxa"/>
          </w:tcPr>
          <w:p w14:paraId="07F8482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74A4A124" w14:textId="77777777">
        <w:tc>
          <w:tcPr>
            <w:tcW w:w="7905" w:type="dxa"/>
          </w:tcPr>
          <w:p w14:paraId="01366F8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Тележка для вапы и дапы.</w:t>
            </w:r>
          </w:p>
        </w:tc>
        <w:tc>
          <w:tcPr>
            <w:tcW w:w="2693" w:type="dxa"/>
          </w:tcPr>
          <w:p w14:paraId="206242A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17BB67C6" w14:textId="77777777">
        <w:tc>
          <w:tcPr>
            <w:tcW w:w="7905" w:type="dxa"/>
          </w:tcPr>
          <w:p w14:paraId="6AC6D38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Дымовая установка Строева.</w:t>
            </w:r>
          </w:p>
        </w:tc>
        <w:tc>
          <w:tcPr>
            <w:tcW w:w="2693" w:type="dxa"/>
          </w:tcPr>
          <w:p w14:paraId="68AEDF5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 выполнено.</w:t>
            </w:r>
          </w:p>
        </w:tc>
      </w:tr>
      <w:tr w:rsidR="00DA227A" w:rsidRPr="00E93F40" w14:paraId="555789CD" w14:textId="77777777">
        <w:tc>
          <w:tcPr>
            <w:tcW w:w="7905" w:type="dxa"/>
          </w:tcPr>
          <w:p w14:paraId="0B88D5D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для поверки тахометров.</w:t>
            </w:r>
          </w:p>
        </w:tc>
        <w:tc>
          <w:tcPr>
            <w:tcW w:w="2693" w:type="dxa"/>
          </w:tcPr>
          <w:p w14:paraId="1B8195A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1F8726E7" w14:textId="77777777">
        <w:tc>
          <w:tcPr>
            <w:tcW w:w="7905" w:type="dxa"/>
          </w:tcPr>
          <w:p w14:paraId="1A4E5EA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Колпак для слепого полета на самолете:</w:t>
            </w:r>
          </w:p>
          <w:p w14:paraId="4B921D0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ТБ-1</w:t>
            </w:r>
          </w:p>
          <w:p w14:paraId="3F71B3F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Р-5</w:t>
            </w:r>
          </w:p>
        </w:tc>
        <w:tc>
          <w:tcPr>
            <w:tcW w:w="2693" w:type="dxa"/>
          </w:tcPr>
          <w:p w14:paraId="0812240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3AFD392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 на снабжение.</w:t>
            </w:r>
          </w:p>
        </w:tc>
      </w:tr>
      <w:tr w:rsidR="00DA227A" w:rsidRPr="00E93F40" w14:paraId="715B25EC" w14:textId="77777777">
        <w:tc>
          <w:tcPr>
            <w:tcW w:w="7905" w:type="dxa"/>
          </w:tcPr>
          <w:p w14:paraId="1EEC1E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Кронштейн для установки на самолете ТБ-1 электрогенератора и электропоказателя скорости.</w:t>
            </w:r>
          </w:p>
        </w:tc>
        <w:tc>
          <w:tcPr>
            <w:tcW w:w="2693" w:type="dxa"/>
          </w:tcPr>
          <w:p w14:paraId="634F396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5A450301" w14:textId="77777777">
        <w:tc>
          <w:tcPr>
            <w:tcW w:w="7905" w:type="dxa"/>
          </w:tcPr>
          <w:p w14:paraId="50CABD5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чертежей тележки для подъема гидросамолетов.</w:t>
            </w:r>
          </w:p>
        </w:tc>
        <w:tc>
          <w:tcPr>
            <w:tcW w:w="2693" w:type="dxa"/>
          </w:tcPr>
          <w:p w14:paraId="0CCE1D4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выполнено.</w:t>
            </w:r>
          </w:p>
        </w:tc>
      </w:tr>
      <w:tr w:rsidR="00DA227A" w:rsidRPr="00E93F40" w14:paraId="3A565E2E" w14:textId="77777777">
        <w:tc>
          <w:tcPr>
            <w:tcW w:w="7905" w:type="dxa"/>
          </w:tcPr>
          <w:p w14:paraId="249126A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чертежей термоса для горячей воды и масла.</w:t>
            </w:r>
          </w:p>
        </w:tc>
        <w:tc>
          <w:tcPr>
            <w:tcW w:w="2693" w:type="dxa"/>
          </w:tcPr>
          <w:p w14:paraId="6F841CE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разработан.</w:t>
            </w:r>
          </w:p>
        </w:tc>
      </w:tr>
      <w:tr w:rsidR="00DA227A" w:rsidRPr="00E93F40" w14:paraId="6EA0E0C3" w14:textId="77777777">
        <w:tc>
          <w:tcPr>
            <w:tcW w:w="7905" w:type="dxa"/>
          </w:tcPr>
          <w:p w14:paraId="1E67D97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конструкции походного водоочистителя.</w:t>
            </w:r>
          </w:p>
        </w:tc>
        <w:tc>
          <w:tcPr>
            <w:tcW w:w="2693" w:type="dxa"/>
          </w:tcPr>
          <w:p w14:paraId="110E5A0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tc>
      </w:tr>
      <w:tr w:rsidR="00DA227A" w:rsidRPr="00E93F40" w14:paraId="19196964" w14:textId="77777777">
        <w:tc>
          <w:tcPr>
            <w:tcW w:w="7905" w:type="dxa"/>
          </w:tcPr>
          <w:p w14:paraId="2CDB7C5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тележки для перевозки моторов.</w:t>
            </w:r>
          </w:p>
        </w:tc>
        <w:tc>
          <w:tcPr>
            <w:tcW w:w="2693" w:type="dxa"/>
          </w:tcPr>
          <w:p w14:paraId="7B3E1E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tc>
      </w:tr>
      <w:tr w:rsidR="00DA227A" w:rsidRPr="00E93F40" w14:paraId="051572F5" w14:textId="77777777">
        <w:tc>
          <w:tcPr>
            <w:tcW w:w="7905" w:type="dxa"/>
          </w:tcPr>
          <w:p w14:paraId="7EECD34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тележки для авиабомб и торпед.</w:t>
            </w:r>
          </w:p>
        </w:tc>
        <w:tc>
          <w:tcPr>
            <w:tcW w:w="2693" w:type="dxa"/>
          </w:tcPr>
          <w:p w14:paraId="5E73371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1B83A5FF" w14:textId="77777777">
        <w:tc>
          <w:tcPr>
            <w:tcW w:w="7905" w:type="dxa"/>
          </w:tcPr>
          <w:p w14:paraId="22E7CF5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 для освещения мишеней ночной стрельбы.</w:t>
            </w:r>
          </w:p>
        </w:tc>
        <w:tc>
          <w:tcPr>
            <w:tcW w:w="2693" w:type="dxa"/>
          </w:tcPr>
          <w:p w14:paraId="3208ED4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r>
      <w:tr w:rsidR="00DA227A" w:rsidRPr="00E93F40" w14:paraId="110FF656" w14:textId="77777777">
        <w:tc>
          <w:tcPr>
            <w:tcW w:w="7905" w:type="dxa"/>
          </w:tcPr>
          <w:p w14:paraId="2483DC0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автоматический спасающий на воде жилет для летчика.</w:t>
            </w:r>
          </w:p>
        </w:tc>
        <w:tc>
          <w:tcPr>
            <w:tcW w:w="2693" w:type="dxa"/>
          </w:tcPr>
          <w:p w14:paraId="719C37A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 Снят комиссией.</w:t>
            </w:r>
          </w:p>
        </w:tc>
      </w:tr>
      <w:tr w:rsidR="00DA227A" w:rsidRPr="00E93F40" w14:paraId="1E1EA79F" w14:textId="77777777">
        <w:tc>
          <w:tcPr>
            <w:tcW w:w="7905" w:type="dxa"/>
          </w:tcPr>
          <w:p w14:paraId="2C69EDA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открывающий парашют (при сбрасывании грузов) на определенной высоте.</w:t>
            </w:r>
          </w:p>
        </w:tc>
        <w:tc>
          <w:tcPr>
            <w:tcW w:w="2693" w:type="dxa"/>
          </w:tcPr>
          <w:p w14:paraId="76CFD4A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 Снят комиссией.</w:t>
            </w:r>
          </w:p>
        </w:tc>
      </w:tr>
      <w:tr w:rsidR="00DA227A" w:rsidRPr="00E93F40" w14:paraId="30F47C09" w14:textId="77777777">
        <w:tc>
          <w:tcPr>
            <w:tcW w:w="7905" w:type="dxa"/>
          </w:tcPr>
          <w:p w14:paraId="1911503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Шибаева для натягивания амортизаторов лыж на тяжелых самолетах.</w:t>
            </w:r>
          </w:p>
        </w:tc>
        <w:tc>
          <w:tcPr>
            <w:tcW w:w="2693" w:type="dxa"/>
          </w:tcPr>
          <w:p w14:paraId="483EEC1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756ACE0D" w14:textId="77777777">
        <w:tc>
          <w:tcPr>
            <w:tcW w:w="7905" w:type="dxa"/>
          </w:tcPr>
          <w:p w14:paraId="2E472F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Электропроводка низкого напряжения для моторов испыт. установка Ханей-Фруд.</w:t>
            </w:r>
          </w:p>
        </w:tc>
        <w:tc>
          <w:tcPr>
            <w:tcW w:w="2693" w:type="dxa"/>
          </w:tcPr>
          <w:p w14:paraId="7C05611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tc>
      </w:tr>
      <w:tr w:rsidR="00DA227A" w:rsidRPr="00E93F40" w14:paraId="7C2A9791" w14:textId="77777777">
        <w:tc>
          <w:tcPr>
            <w:tcW w:w="7905" w:type="dxa"/>
          </w:tcPr>
          <w:p w14:paraId="1D6FBE2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для испытания карбюратора.</w:t>
            </w:r>
          </w:p>
        </w:tc>
        <w:tc>
          <w:tcPr>
            <w:tcW w:w="2693" w:type="dxa"/>
          </w:tcPr>
          <w:p w14:paraId="62DE107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tc>
      </w:tr>
      <w:tr w:rsidR="00DA227A" w:rsidRPr="00E93F40" w14:paraId="409B1921" w14:textId="77777777">
        <w:tc>
          <w:tcPr>
            <w:tcW w:w="7905" w:type="dxa"/>
          </w:tcPr>
          <w:p w14:paraId="09059CE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для испытания помп и радиатора.</w:t>
            </w:r>
          </w:p>
        </w:tc>
        <w:tc>
          <w:tcPr>
            <w:tcW w:w="2693" w:type="dxa"/>
          </w:tcPr>
          <w:p w14:paraId="3761DE5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tc>
      </w:tr>
      <w:tr w:rsidR="00DA227A" w:rsidRPr="00E93F40" w14:paraId="6DB45AE1" w14:textId="77777777">
        <w:tc>
          <w:tcPr>
            <w:tcW w:w="7905" w:type="dxa"/>
          </w:tcPr>
          <w:p w14:paraId="191FCDF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Мулинетка металлическая 6-ти лопастная.</w:t>
            </w:r>
          </w:p>
        </w:tc>
        <w:tc>
          <w:tcPr>
            <w:tcW w:w="2693" w:type="dxa"/>
          </w:tcPr>
          <w:p w14:paraId="742C974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tc>
      </w:tr>
      <w:tr w:rsidR="00DA227A" w:rsidRPr="00E93F40" w14:paraId="56B2369C" w14:textId="77777777">
        <w:tc>
          <w:tcPr>
            <w:tcW w:w="7905" w:type="dxa"/>
          </w:tcPr>
          <w:p w14:paraId="3B0F4CB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сдвоенную фотоустановку Потте тип 1-А и Б.</w:t>
            </w:r>
          </w:p>
        </w:tc>
        <w:tc>
          <w:tcPr>
            <w:tcW w:w="2693" w:type="dxa"/>
          </w:tcPr>
          <w:p w14:paraId="54FF06B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4A12EEFA" w14:textId="77777777">
        <w:tc>
          <w:tcPr>
            <w:tcW w:w="7905" w:type="dxa"/>
          </w:tcPr>
          <w:p w14:paraId="0DE5D01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аэробомбы Львова.</w:t>
            </w:r>
          </w:p>
        </w:tc>
        <w:tc>
          <w:tcPr>
            <w:tcW w:w="2693" w:type="dxa"/>
          </w:tcPr>
          <w:p w14:paraId="446DF9B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457254C3" w14:textId="77777777">
        <w:tc>
          <w:tcPr>
            <w:tcW w:w="7905" w:type="dxa"/>
          </w:tcPr>
          <w:p w14:paraId="5366B77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предохранительный для истребительн. И-3 и И-4 от попадания каната буксируемого конуса в щели рулей.</w:t>
            </w:r>
          </w:p>
        </w:tc>
        <w:tc>
          <w:tcPr>
            <w:tcW w:w="2693" w:type="dxa"/>
          </w:tcPr>
          <w:p w14:paraId="26988D5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142CED75" w14:textId="77777777">
        <w:tc>
          <w:tcPr>
            <w:tcW w:w="7905" w:type="dxa"/>
          </w:tcPr>
          <w:p w14:paraId="4E2A8BB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вопроса наливки бензина в воздухе.</w:t>
            </w:r>
          </w:p>
        </w:tc>
        <w:tc>
          <w:tcPr>
            <w:tcW w:w="2693" w:type="dxa"/>
          </w:tcPr>
          <w:p w14:paraId="513FB5C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r>
      <w:tr w:rsidR="00DA227A" w:rsidRPr="00E93F40" w14:paraId="4F6313C0" w14:textId="77777777">
        <w:tc>
          <w:tcPr>
            <w:tcW w:w="7905" w:type="dxa"/>
          </w:tcPr>
          <w:p w14:paraId="1A9E5F6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стержневой антенны для самолетов ТБ-1, ТБ-3, Р-6 и Дорнье-Валь.</w:t>
            </w:r>
          </w:p>
        </w:tc>
        <w:tc>
          <w:tcPr>
            <w:tcW w:w="2693" w:type="dxa"/>
          </w:tcPr>
          <w:p w14:paraId="48BE80E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 разрабатывается</w:t>
            </w:r>
          </w:p>
        </w:tc>
      </w:tr>
      <w:tr w:rsidR="00DA227A" w:rsidRPr="00E93F40" w14:paraId="15794960" w14:textId="77777777">
        <w:tc>
          <w:tcPr>
            <w:tcW w:w="7905" w:type="dxa"/>
          </w:tcPr>
          <w:p w14:paraId="26F988B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Ударная агитбомба Гроховского.</w:t>
            </w:r>
          </w:p>
        </w:tc>
        <w:tc>
          <w:tcPr>
            <w:tcW w:w="2693" w:type="dxa"/>
          </w:tcPr>
          <w:p w14:paraId="4DFD9CE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6E05C42D" w14:textId="77777777">
        <w:tc>
          <w:tcPr>
            <w:tcW w:w="7905" w:type="dxa"/>
          </w:tcPr>
          <w:p w14:paraId="69009A3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Дистанционная агитбомба Гроховского.</w:t>
            </w:r>
          </w:p>
        </w:tc>
        <w:tc>
          <w:tcPr>
            <w:tcW w:w="2693" w:type="dxa"/>
          </w:tcPr>
          <w:p w14:paraId="57297F4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r>
      <w:tr w:rsidR="00DA227A" w:rsidRPr="00E93F40" w14:paraId="3832D3AD" w14:textId="77777777">
        <w:tc>
          <w:tcPr>
            <w:tcW w:w="7905" w:type="dxa"/>
          </w:tcPr>
          <w:p w14:paraId="6E43E15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агитшаров конструкции Федорова.</w:t>
            </w:r>
          </w:p>
        </w:tc>
        <w:tc>
          <w:tcPr>
            <w:tcW w:w="2693" w:type="dxa"/>
          </w:tcPr>
          <w:p w14:paraId="3D27BAB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7F4618A0" w14:textId="77777777">
        <w:tc>
          <w:tcPr>
            <w:tcW w:w="7905" w:type="dxa"/>
          </w:tcPr>
          <w:p w14:paraId="10EF5B7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Автоматический козелок для взвешивания плоскостей.</w:t>
            </w:r>
          </w:p>
        </w:tc>
        <w:tc>
          <w:tcPr>
            <w:tcW w:w="2693" w:type="dxa"/>
          </w:tcPr>
          <w:p w14:paraId="49954A0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bl>
    <w:p w14:paraId="3F2BBEC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(6769, 10-12).</w:t>
      </w:r>
    </w:p>
    <w:p w14:paraId="0C423CC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231E8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Врид начальника ВВС Наумов писал письмо заместителю председателя РВС Тухачевскому Об утверждении положения об ОКБ Гроховского.</w:t>
      </w:r>
    </w:p>
    <w:p w14:paraId="3257C2C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об Особом конструкторском бюро Гроховского (6769).</w:t>
      </w:r>
    </w:p>
    <w:p w14:paraId="6BD8A8B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Задачи конструкторского бюро</w:t>
      </w:r>
    </w:p>
    <w:p w14:paraId="71CDF69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Реализация изобретений Гроховского</w:t>
      </w:r>
    </w:p>
    <w:p w14:paraId="057A8F13"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и постройка материальной части для высадки десанта с воздуха.</w:t>
      </w:r>
    </w:p>
    <w:p w14:paraId="49CF7BA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стратосферным полетам.</w:t>
      </w:r>
    </w:p>
    <w:p w14:paraId="37C6C461"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Проектирование и постройка реактивных двигателей.</w:t>
      </w:r>
    </w:p>
    <w:p w14:paraId="5F687E8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Центральное бюро состоит их трех отделов и летного отряда.</w:t>
      </w:r>
    </w:p>
    <w:p w14:paraId="46C9D65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831437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смета ОСКОНБЮРО и завода Гроховского на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29"/>
        <w:gridCol w:w="1240"/>
        <w:gridCol w:w="2729"/>
      </w:tblGrid>
      <w:tr w:rsidR="00DA227A" w:rsidRPr="00E93F40" w14:paraId="3297D68A" w14:textId="77777777">
        <w:tc>
          <w:tcPr>
            <w:tcW w:w="6629" w:type="dxa"/>
          </w:tcPr>
          <w:p w14:paraId="24F50C7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1240" w:type="dxa"/>
          </w:tcPr>
          <w:p w14:paraId="67ECC0F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Стоимость</w:t>
            </w:r>
          </w:p>
        </w:tc>
        <w:tc>
          <w:tcPr>
            <w:tcW w:w="2729" w:type="dxa"/>
          </w:tcPr>
          <w:p w14:paraId="00B4C93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передачи образца на гос. испытания</w:t>
            </w:r>
          </w:p>
        </w:tc>
      </w:tr>
      <w:tr w:rsidR="00DA227A" w:rsidRPr="00E93F40" w14:paraId="2B3FB235" w14:textId="77777777">
        <w:tc>
          <w:tcPr>
            <w:tcW w:w="6629" w:type="dxa"/>
          </w:tcPr>
          <w:p w14:paraId="060E2F4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Г-63 (буксируется разведывательным самолетом с грузоподъемностью 17 человек и 500 кг груза).</w:t>
            </w:r>
          </w:p>
        </w:tc>
        <w:tc>
          <w:tcPr>
            <w:tcW w:w="1240" w:type="dxa"/>
          </w:tcPr>
          <w:p w14:paraId="693845D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52700</w:t>
            </w:r>
          </w:p>
        </w:tc>
        <w:tc>
          <w:tcPr>
            <w:tcW w:w="2729" w:type="dxa"/>
          </w:tcPr>
          <w:p w14:paraId="2EDB39A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1046E229" w14:textId="77777777">
        <w:tc>
          <w:tcPr>
            <w:tcW w:w="6629" w:type="dxa"/>
          </w:tcPr>
          <w:p w14:paraId="45A45C5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Г-64 (буксируется самолетом) с грузоподъемностью 50 человек.</w:t>
            </w:r>
          </w:p>
        </w:tc>
        <w:tc>
          <w:tcPr>
            <w:tcW w:w="1240" w:type="dxa"/>
          </w:tcPr>
          <w:p w14:paraId="4D78561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71200</w:t>
            </w:r>
          </w:p>
        </w:tc>
        <w:tc>
          <w:tcPr>
            <w:tcW w:w="2729" w:type="dxa"/>
          </w:tcPr>
          <w:p w14:paraId="1C8AB4C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725B47D3" w14:textId="77777777">
        <w:tc>
          <w:tcPr>
            <w:tcW w:w="6629" w:type="dxa"/>
          </w:tcPr>
          <w:p w14:paraId="0A5EEF8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Г-45А для сбрасывания 12-ти кр-цев без парашютов с бреющего полета самолета ТБ1.</w:t>
            </w:r>
          </w:p>
        </w:tc>
        <w:tc>
          <w:tcPr>
            <w:tcW w:w="1240" w:type="dxa"/>
          </w:tcPr>
          <w:p w14:paraId="7717BD1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35500</w:t>
            </w:r>
          </w:p>
        </w:tc>
        <w:tc>
          <w:tcPr>
            <w:tcW w:w="2729" w:type="dxa"/>
          </w:tcPr>
          <w:p w14:paraId="64BE449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25DF6046" w14:textId="77777777">
        <w:tc>
          <w:tcPr>
            <w:tcW w:w="6629" w:type="dxa"/>
          </w:tcPr>
          <w:p w14:paraId="32DF4F1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Авиабусная площадка Г-51 для разбрасывания разнообразных грузов с бреющего полета весом в 1 тонну с самолета ТБ1.</w:t>
            </w:r>
          </w:p>
        </w:tc>
        <w:tc>
          <w:tcPr>
            <w:tcW w:w="1240" w:type="dxa"/>
          </w:tcPr>
          <w:p w14:paraId="3BEA968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7800</w:t>
            </w:r>
          </w:p>
        </w:tc>
        <w:tc>
          <w:tcPr>
            <w:tcW w:w="2729" w:type="dxa"/>
          </w:tcPr>
          <w:p w14:paraId="319E6D9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w:t>
            </w:r>
          </w:p>
        </w:tc>
      </w:tr>
      <w:tr w:rsidR="00DA227A" w:rsidRPr="00E93F40" w14:paraId="41BBCC22" w14:textId="77777777">
        <w:tc>
          <w:tcPr>
            <w:tcW w:w="6629" w:type="dxa"/>
          </w:tcPr>
          <w:p w14:paraId="057D212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малый Г-68 (для сбрасывания грузов с самолета Р-5).</w:t>
            </w:r>
          </w:p>
        </w:tc>
        <w:tc>
          <w:tcPr>
            <w:tcW w:w="1240" w:type="dxa"/>
          </w:tcPr>
          <w:p w14:paraId="2C6E29E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25200</w:t>
            </w:r>
          </w:p>
        </w:tc>
        <w:tc>
          <w:tcPr>
            <w:tcW w:w="2729" w:type="dxa"/>
          </w:tcPr>
          <w:p w14:paraId="1949DD4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 года</w:t>
            </w:r>
          </w:p>
        </w:tc>
      </w:tr>
      <w:tr w:rsidR="00DA227A" w:rsidRPr="00E93F40" w14:paraId="21B3BCC1" w14:textId="77777777">
        <w:tc>
          <w:tcPr>
            <w:tcW w:w="6629" w:type="dxa"/>
          </w:tcPr>
          <w:p w14:paraId="5C93032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Г-37А (для сбрасывания полевого 76-ти мм орудия образца 1927 года).</w:t>
            </w:r>
          </w:p>
        </w:tc>
        <w:tc>
          <w:tcPr>
            <w:tcW w:w="1240" w:type="dxa"/>
          </w:tcPr>
          <w:p w14:paraId="0EEDB27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13250</w:t>
            </w:r>
          </w:p>
        </w:tc>
        <w:tc>
          <w:tcPr>
            <w:tcW w:w="2729" w:type="dxa"/>
          </w:tcPr>
          <w:p w14:paraId="4FE5106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2AE12ABB" w14:textId="77777777">
        <w:tc>
          <w:tcPr>
            <w:tcW w:w="6629" w:type="dxa"/>
          </w:tcPr>
          <w:p w14:paraId="075CF07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Г-38А для сбрасывания авто Форд, переделанного в полугрузовик на 1 тонну.</w:t>
            </w:r>
          </w:p>
        </w:tc>
        <w:tc>
          <w:tcPr>
            <w:tcW w:w="1240" w:type="dxa"/>
          </w:tcPr>
          <w:p w14:paraId="1381A92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17200</w:t>
            </w:r>
          </w:p>
        </w:tc>
        <w:tc>
          <w:tcPr>
            <w:tcW w:w="2729" w:type="dxa"/>
          </w:tcPr>
          <w:p w14:paraId="7041E45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2E0A5200" w14:textId="77777777">
        <w:tc>
          <w:tcPr>
            <w:tcW w:w="6629" w:type="dxa"/>
          </w:tcPr>
          <w:p w14:paraId="1B31150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Г-43 (для сбрасывания танкетки с самолета ТБ-1).</w:t>
            </w:r>
          </w:p>
        </w:tc>
        <w:tc>
          <w:tcPr>
            <w:tcW w:w="1240" w:type="dxa"/>
          </w:tcPr>
          <w:p w14:paraId="4500D09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12400</w:t>
            </w:r>
          </w:p>
        </w:tc>
        <w:tc>
          <w:tcPr>
            <w:tcW w:w="2729" w:type="dxa"/>
          </w:tcPr>
          <w:p w14:paraId="4B4EEDE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7EFB37B8" w14:textId="77777777">
        <w:tc>
          <w:tcPr>
            <w:tcW w:w="6629" w:type="dxa"/>
          </w:tcPr>
          <w:p w14:paraId="5CF8869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Г-36А для сбрасывания мотоциклов Харлей 3 НР с самолета Р-5.</w:t>
            </w:r>
          </w:p>
        </w:tc>
        <w:tc>
          <w:tcPr>
            <w:tcW w:w="1240" w:type="dxa"/>
          </w:tcPr>
          <w:p w14:paraId="4551333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6400</w:t>
            </w:r>
          </w:p>
        </w:tc>
        <w:tc>
          <w:tcPr>
            <w:tcW w:w="2729" w:type="dxa"/>
          </w:tcPr>
          <w:p w14:paraId="57269A5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23C9F0ED" w14:textId="77777777">
        <w:tc>
          <w:tcPr>
            <w:tcW w:w="6629" w:type="dxa"/>
          </w:tcPr>
          <w:p w14:paraId="0695785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Г-62 (для сбрасывания мотоциклов с прицепкой с самолета ТБ-1).</w:t>
            </w:r>
          </w:p>
        </w:tc>
        <w:tc>
          <w:tcPr>
            <w:tcW w:w="1240" w:type="dxa"/>
          </w:tcPr>
          <w:p w14:paraId="2F3599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8200</w:t>
            </w:r>
          </w:p>
        </w:tc>
        <w:tc>
          <w:tcPr>
            <w:tcW w:w="2729" w:type="dxa"/>
          </w:tcPr>
          <w:p w14:paraId="3652DBE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705D64D8" w14:textId="77777777">
        <w:tc>
          <w:tcPr>
            <w:tcW w:w="6629" w:type="dxa"/>
          </w:tcPr>
          <w:p w14:paraId="152C71B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Г-56 на 160 кг.</w:t>
            </w:r>
          </w:p>
        </w:tc>
        <w:tc>
          <w:tcPr>
            <w:tcW w:w="1240" w:type="dxa"/>
          </w:tcPr>
          <w:p w14:paraId="651252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10300</w:t>
            </w:r>
          </w:p>
        </w:tc>
        <w:tc>
          <w:tcPr>
            <w:tcW w:w="2729" w:type="dxa"/>
          </w:tcPr>
          <w:p w14:paraId="0AF83D8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10DC0E05" w14:textId="77777777">
        <w:tc>
          <w:tcPr>
            <w:tcW w:w="6629" w:type="dxa"/>
          </w:tcPr>
          <w:p w14:paraId="49F2958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Г-57А на 500 кг.</w:t>
            </w:r>
          </w:p>
        </w:tc>
        <w:tc>
          <w:tcPr>
            <w:tcW w:w="1240" w:type="dxa"/>
          </w:tcPr>
          <w:p w14:paraId="7A5F149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10900</w:t>
            </w:r>
          </w:p>
        </w:tc>
        <w:tc>
          <w:tcPr>
            <w:tcW w:w="2729" w:type="dxa"/>
          </w:tcPr>
          <w:p w14:paraId="2CA6AA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2695557A" w14:textId="77777777">
        <w:tc>
          <w:tcPr>
            <w:tcW w:w="6629" w:type="dxa"/>
          </w:tcPr>
          <w:p w14:paraId="65127EB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Г-558А на 1000 кг.</w:t>
            </w:r>
          </w:p>
        </w:tc>
        <w:tc>
          <w:tcPr>
            <w:tcW w:w="1240" w:type="dxa"/>
          </w:tcPr>
          <w:p w14:paraId="1194862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6700</w:t>
            </w:r>
          </w:p>
        </w:tc>
        <w:tc>
          <w:tcPr>
            <w:tcW w:w="2729" w:type="dxa"/>
          </w:tcPr>
          <w:p w14:paraId="09EB652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2DB15767" w14:textId="77777777">
        <w:tc>
          <w:tcPr>
            <w:tcW w:w="6629" w:type="dxa"/>
          </w:tcPr>
          <w:p w14:paraId="49FCF2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Г-59А на 1300 кг.</w:t>
            </w:r>
          </w:p>
        </w:tc>
        <w:tc>
          <w:tcPr>
            <w:tcW w:w="1240" w:type="dxa"/>
          </w:tcPr>
          <w:p w14:paraId="07FF49A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2729" w:type="dxa"/>
          </w:tcPr>
          <w:p w14:paraId="67B88AC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04E18276" w14:textId="77777777">
        <w:tc>
          <w:tcPr>
            <w:tcW w:w="6629" w:type="dxa"/>
          </w:tcPr>
          <w:p w14:paraId="0772D31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Г-72 на 3000 кг.</w:t>
            </w:r>
          </w:p>
        </w:tc>
        <w:tc>
          <w:tcPr>
            <w:tcW w:w="1240" w:type="dxa"/>
          </w:tcPr>
          <w:p w14:paraId="5B19474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16500</w:t>
            </w:r>
          </w:p>
        </w:tc>
        <w:tc>
          <w:tcPr>
            <w:tcW w:w="2729" w:type="dxa"/>
          </w:tcPr>
          <w:p w14:paraId="73CFC5B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7C13E5A1" w14:textId="77777777">
        <w:tc>
          <w:tcPr>
            <w:tcW w:w="6629" w:type="dxa"/>
          </w:tcPr>
          <w:p w14:paraId="5A568F2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летчика Г-70.</w:t>
            </w:r>
          </w:p>
        </w:tc>
        <w:tc>
          <w:tcPr>
            <w:tcW w:w="1240" w:type="dxa"/>
          </w:tcPr>
          <w:p w14:paraId="45BEC46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6700</w:t>
            </w:r>
          </w:p>
        </w:tc>
        <w:tc>
          <w:tcPr>
            <w:tcW w:w="2729" w:type="dxa"/>
          </w:tcPr>
          <w:p w14:paraId="4281793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14C9B034" w14:textId="77777777">
        <w:tc>
          <w:tcPr>
            <w:tcW w:w="6629" w:type="dxa"/>
          </w:tcPr>
          <w:p w14:paraId="225D499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Автоматический выбрасыватель Г-60 (для сбрасывания кр-цев с самолета АНТ-9).</w:t>
            </w:r>
          </w:p>
        </w:tc>
        <w:tc>
          <w:tcPr>
            <w:tcW w:w="1240" w:type="dxa"/>
          </w:tcPr>
          <w:p w14:paraId="6FDD530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28500</w:t>
            </w:r>
          </w:p>
        </w:tc>
        <w:tc>
          <w:tcPr>
            <w:tcW w:w="2729" w:type="dxa"/>
          </w:tcPr>
          <w:p w14:paraId="18C6918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0706FB20" w14:textId="77777777">
        <w:tc>
          <w:tcPr>
            <w:tcW w:w="6629" w:type="dxa"/>
          </w:tcPr>
          <w:p w14:paraId="18796B4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для взятия грузов и людей Г-53(грузы и люди поднимаются с земли на самолет без посадки).</w:t>
            </w:r>
          </w:p>
        </w:tc>
        <w:tc>
          <w:tcPr>
            <w:tcW w:w="1240" w:type="dxa"/>
          </w:tcPr>
          <w:p w14:paraId="0516032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15300</w:t>
            </w:r>
          </w:p>
        </w:tc>
        <w:tc>
          <w:tcPr>
            <w:tcW w:w="2729" w:type="dxa"/>
          </w:tcPr>
          <w:p w14:paraId="3882A52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0C728B46" w14:textId="77777777">
        <w:tc>
          <w:tcPr>
            <w:tcW w:w="6629" w:type="dxa"/>
          </w:tcPr>
          <w:p w14:paraId="31DCBD5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Распылитель кабеля Г-54 (прокладка телефонной связи с самолета на 20 км).</w:t>
            </w:r>
          </w:p>
        </w:tc>
        <w:tc>
          <w:tcPr>
            <w:tcW w:w="1240" w:type="dxa"/>
          </w:tcPr>
          <w:p w14:paraId="7C5772D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11400</w:t>
            </w:r>
          </w:p>
        </w:tc>
        <w:tc>
          <w:tcPr>
            <w:tcW w:w="2729" w:type="dxa"/>
          </w:tcPr>
          <w:p w14:paraId="41DE691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w:t>
            </w:r>
          </w:p>
        </w:tc>
      </w:tr>
      <w:tr w:rsidR="00DA227A" w:rsidRPr="00E93F40" w14:paraId="47329AEE" w14:textId="77777777">
        <w:tc>
          <w:tcPr>
            <w:tcW w:w="6629" w:type="dxa"/>
          </w:tcPr>
          <w:p w14:paraId="2155AFD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Аппаратура для переливки бензина в воздухе с самолета Р-5 на самолет ТБ-1.</w:t>
            </w:r>
          </w:p>
        </w:tc>
        <w:tc>
          <w:tcPr>
            <w:tcW w:w="1240" w:type="dxa"/>
          </w:tcPr>
          <w:p w14:paraId="6F47491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17200</w:t>
            </w:r>
          </w:p>
        </w:tc>
        <w:tc>
          <w:tcPr>
            <w:tcW w:w="2729" w:type="dxa"/>
          </w:tcPr>
          <w:p w14:paraId="1CCB882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года</w:t>
            </w:r>
          </w:p>
        </w:tc>
      </w:tr>
      <w:tr w:rsidR="00DA227A" w:rsidRPr="00E93F40" w14:paraId="58336662" w14:textId="77777777">
        <w:tc>
          <w:tcPr>
            <w:tcW w:w="6629" w:type="dxa"/>
          </w:tcPr>
          <w:p w14:paraId="7B6E6BB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100-кг реактивная авиамина Тверского.</w:t>
            </w:r>
          </w:p>
        </w:tc>
        <w:tc>
          <w:tcPr>
            <w:tcW w:w="1240" w:type="dxa"/>
          </w:tcPr>
          <w:p w14:paraId="5627EBE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27700</w:t>
            </w:r>
          </w:p>
        </w:tc>
        <w:tc>
          <w:tcPr>
            <w:tcW w:w="2729" w:type="dxa"/>
          </w:tcPr>
          <w:p w14:paraId="5490F5D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года</w:t>
            </w:r>
          </w:p>
        </w:tc>
      </w:tr>
      <w:tr w:rsidR="00DA227A" w:rsidRPr="00E93F40" w14:paraId="7CC5A978" w14:textId="77777777">
        <w:tc>
          <w:tcPr>
            <w:tcW w:w="6629" w:type="dxa"/>
          </w:tcPr>
          <w:p w14:paraId="46EBA96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1000-кг реактивная авиамина Тверского.</w:t>
            </w:r>
          </w:p>
        </w:tc>
        <w:tc>
          <w:tcPr>
            <w:tcW w:w="1240" w:type="dxa"/>
          </w:tcPr>
          <w:p w14:paraId="59CF7CA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74200</w:t>
            </w:r>
          </w:p>
        </w:tc>
        <w:tc>
          <w:tcPr>
            <w:tcW w:w="2729" w:type="dxa"/>
          </w:tcPr>
          <w:p w14:paraId="07EF275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bl>
    <w:p w14:paraId="4603518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Экспериментально-исследовательские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29"/>
        <w:gridCol w:w="1240"/>
        <w:gridCol w:w="2729"/>
      </w:tblGrid>
      <w:tr w:rsidR="00DA227A" w:rsidRPr="00E93F40" w14:paraId="7FA91A2B" w14:textId="77777777">
        <w:tc>
          <w:tcPr>
            <w:tcW w:w="6629" w:type="dxa"/>
          </w:tcPr>
          <w:p w14:paraId="085ADE3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моторовинт Г-65.</w:t>
            </w:r>
          </w:p>
        </w:tc>
        <w:tc>
          <w:tcPr>
            <w:tcW w:w="1240" w:type="dxa"/>
          </w:tcPr>
          <w:p w14:paraId="210CA73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16400</w:t>
            </w:r>
          </w:p>
        </w:tc>
        <w:tc>
          <w:tcPr>
            <w:tcW w:w="2729" w:type="dxa"/>
          </w:tcPr>
          <w:p w14:paraId="7D78001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11BCC6" w14:textId="77777777">
        <w:tc>
          <w:tcPr>
            <w:tcW w:w="6629" w:type="dxa"/>
          </w:tcPr>
          <w:p w14:paraId="155DE85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Ротативная батарея Г-66, установленная на самолете ТБ-1 в количестве 4-х орудий 76 мм.</w:t>
            </w:r>
          </w:p>
        </w:tc>
        <w:tc>
          <w:tcPr>
            <w:tcW w:w="1240" w:type="dxa"/>
          </w:tcPr>
          <w:p w14:paraId="4EA65FA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73500</w:t>
            </w:r>
          </w:p>
        </w:tc>
        <w:tc>
          <w:tcPr>
            <w:tcW w:w="2729" w:type="dxa"/>
          </w:tcPr>
          <w:p w14:paraId="5FAFE5D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334241" w14:textId="77777777">
        <w:tc>
          <w:tcPr>
            <w:tcW w:w="6629" w:type="dxa"/>
          </w:tcPr>
          <w:p w14:paraId="1583FD4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танк Г-67 (буксируется самолетом и сбрасывается на территории расположения противника).</w:t>
            </w:r>
          </w:p>
        </w:tc>
        <w:tc>
          <w:tcPr>
            <w:tcW w:w="1240" w:type="dxa"/>
          </w:tcPr>
          <w:p w14:paraId="0399591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71200</w:t>
            </w:r>
          </w:p>
        </w:tc>
        <w:tc>
          <w:tcPr>
            <w:tcW w:w="2729" w:type="dxa"/>
          </w:tcPr>
          <w:p w14:paraId="2CFC040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8FA20B" w14:textId="77777777">
        <w:tc>
          <w:tcPr>
            <w:tcW w:w="6629" w:type="dxa"/>
          </w:tcPr>
          <w:p w14:paraId="58819CE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Истребитель-бомбовоз Г-73 (превращение самолета-истребителя в бомбовоз с грузоподъемностью в 2000 кг).</w:t>
            </w:r>
          </w:p>
        </w:tc>
        <w:tc>
          <w:tcPr>
            <w:tcW w:w="1240" w:type="dxa"/>
          </w:tcPr>
          <w:p w14:paraId="7F6DAD0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30400</w:t>
            </w:r>
          </w:p>
        </w:tc>
        <w:tc>
          <w:tcPr>
            <w:tcW w:w="2729" w:type="dxa"/>
          </w:tcPr>
          <w:p w14:paraId="2D93AE3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13EFE5" w14:textId="77777777">
        <w:tc>
          <w:tcPr>
            <w:tcW w:w="6629" w:type="dxa"/>
          </w:tcPr>
          <w:p w14:paraId="4248319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Г-71 (для летнаба и бортмеханика).</w:t>
            </w:r>
          </w:p>
        </w:tc>
        <w:tc>
          <w:tcPr>
            <w:tcW w:w="1240" w:type="dxa"/>
          </w:tcPr>
          <w:p w14:paraId="66A39DD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6700</w:t>
            </w:r>
          </w:p>
        </w:tc>
        <w:tc>
          <w:tcPr>
            <w:tcW w:w="2729" w:type="dxa"/>
          </w:tcPr>
          <w:p w14:paraId="2DEBF4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7E6FB4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Обслуживание отдельного мотодесантного отряда согласно табеля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29"/>
        <w:gridCol w:w="1225"/>
        <w:gridCol w:w="2602"/>
      </w:tblGrid>
      <w:tr w:rsidR="00DA227A" w:rsidRPr="00E93F40" w14:paraId="33DFCAA7" w14:textId="77777777">
        <w:tc>
          <w:tcPr>
            <w:tcW w:w="6629" w:type="dxa"/>
          </w:tcPr>
          <w:p w14:paraId="6341EF5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25" w:type="dxa"/>
          </w:tcPr>
          <w:p w14:paraId="73889B3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Pr>
          <w:p w14:paraId="5AB6DA4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передачи матчасти отряду</w:t>
            </w:r>
          </w:p>
        </w:tc>
      </w:tr>
      <w:tr w:rsidR="00DA227A" w:rsidRPr="00E93F40" w14:paraId="36A2E84E" w14:textId="77777777">
        <w:tc>
          <w:tcPr>
            <w:tcW w:w="6629" w:type="dxa"/>
          </w:tcPr>
          <w:p w14:paraId="2B6E36B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Автомобиль легковой (Форд 1) переделанный на 1 тонну.</w:t>
            </w:r>
          </w:p>
        </w:tc>
        <w:tc>
          <w:tcPr>
            <w:tcW w:w="1225" w:type="dxa"/>
          </w:tcPr>
          <w:p w14:paraId="3E36FB3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28500</w:t>
            </w:r>
          </w:p>
        </w:tc>
        <w:tc>
          <w:tcPr>
            <w:tcW w:w="2602" w:type="dxa"/>
          </w:tcPr>
          <w:p w14:paraId="5E4FCE1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7AE4B324" w14:textId="77777777">
        <w:tc>
          <w:tcPr>
            <w:tcW w:w="6629" w:type="dxa"/>
          </w:tcPr>
          <w:p w14:paraId="22B6D3E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Автомобиль под рацию полотнища попхем и голубятню (он же штаб).</w:t>
            </w:r>
          </w:p>
        </w:tc>
        <w:tc>
          <w:tcPr>
            <w:tcW w:w="1225" w:type="dxa"/>
          </w:tcPr>
          <w:p w14:paraId="5AEBF70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11200</w:t>
            </w:r>
          </w:p>
        </w:tc>
        <w:tc>
          <w:tcPr>
            <w:tcW w:w="2602" w:type="dxa"/>
          </w:tcPr>
          <w:p w14:paraId="29714EB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0440AB1D" w14:textId="77777777">
        <w:tc>
          <w:tcPr>
            <w:tcW w:w="6629" w:type="dxa"/>
          </w:tcPr>
          <w:p w14:paraId="32B959E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мотоцикла Харлей с коляской.</w:t>
            </w:r>
          </w:p>
        </w:tc>
        <w:tc>
          <w:tcPr>
            <w:tcW w:w="1225" w:type="dxa"/>
          </w:tcPr>
          <w:p w14:paraId="0BBB97A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16500</w:t>
            </w:r>
          </w:p>
        </w:tc>
        <w:tc>
          <w:tcPr>
            <w:tcW w:w="2602" w:type="dxa"/>
          </w:tcPr>
          <w:p w14:paraId="36B621E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07B94977" w14:textId="77777777">
        <w:tc>
          <w:tcPr>
            <w:tcW w:w="6629" w:type="dxa"/>
          </w:tcPr>
          <w:p w14:paraId="3FF1307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самолетов с комплектом патронов (500 шт.).</w:t>
            </w:r>
          </w:p>
        </w:tc>
        <w:tc>
          <w:tcPr>
            <w:tcW w:w="1225" w:type="dxa"/>
          </w:tcPr>
          <w:p w14:paraId="22DDBA5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8300</w:t>
            </w:r>
          </w:p>
        </w:tc>
        <w:tc>
          <w:tcPr>
            <w:tcW w:w="2602" w:type="dxa"/>
          </w:tcPr>
          <w:p w14:paraId="2F41BB4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68F6F109" w14:textId="77777777">
        <w:tc>
          <w:tcPr>
            <w:tcW w:w="6629" w:type="dxa"/>
          </w:tcPr>
          <w:p w14:paraId="6A440B1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орудий ДРП.</w:t>
            </w:r>
          </w:p>
        </w:tc>
        <w:tc>
          <w:tcPr>
            <w:tcW w:w="1225" w:type="dxa"/>
          </w:tcPr>
          <w:p w14:paraId="4F6A0EF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10200</w:t>
            </w:r>
          </w:p>
        </w:tc>
        <w:tc>
          <w:tcPr>
            <w:tcW w:w="2602" w:type="dxa"/>
          </w:tcPr>
          <w:p w14:paraId="32CC76D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261B83F2" w14:textId="77777777">
        <w:tc>
          <w:tcPr>
            <w:tcW w:w="6629" w:type="dxa"/>
          </w:tcPr>
          <w:p w14:paraId="6489E08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снарядов (к ДРП).</w:t>
            </w:r>
          </w:p>
        </w:tc>
        <w:tc>
          <w:tcPr>
            <w:tcW w:w="1225" w:type="dxa"/>
          </w:tcPr>
          <w:p w14:paraId="18786BD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4400</w:t>
            </w:r>
          </w:p>
        </w:tc>
        <w:tc>
          <w:tcPr>
            <w:tcW w:w="2602" w:type="dxa"/>
          </w:tcPr>
          <w:p w14:paraId="5ECE298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1B090F69" w14:textId="77777777">
        <w:tc>
          <w:tcPr>
            <w:tcW w:w="6629" w:type="dxa"/>
          </w:tcPr>
          <w:p w14:paraId="08A1B05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ручных пулеметов.</w:t>
            </w:r>
          </w:p>
        </w:tc>
        <w:tc>
          <w:tcPr>
            <w:tcW w:w="1225" w:type="dxa"/>
          </w:tcPr>
          <w:p w14:paraId="3DF6896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10550</w:t>
            </w:r>
          </w:p>
        </w:tc>
        <w:tc>
          <w:tcPr>
            <w:tcW w:w="2602" w:type="dxa"/>
          </w:tcPr>
          <w:p w14:paraId="36028DD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срок - 1 мая 1932 года, второй срок - 1 сентября 1932 года</w:t>
            </w:r>
          </w:p>
        </w:tc>
      </w:tr>
      <w:tr w:rsidR="00DA227A" w:rsidRPr="00E93F40" w14:paraId="72DEB5C6" w14:textId="77777777">
        <w:tc>
          <w:tcPr>
            <w:tcW w:w="6629" w:type="dxa"/>
          </w:tcPr>
          <w:p w14:paraId="45A0E47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Гранат ручных образца 1914 года</w:t>
            </w:r>
          </w:p>
        </w:tc>
        <w:tc>
          <w:tcPr>
            <w:tcW w:w="1225" w:type="dxa"/>
          </w:tcPr>
          <w:p w14:paraId="486A9C3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w:t>
            </w:r>
          </w:p>
        </w:tc>
        <w:tc>
          <w:tcPr>
            <w:tcW w:w="2602" w:type="dxa"/>
          </w:tcPr>
          <w:p w14:paraId="3CF735F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62CEA31B" w14:textId="77777777">
        <w:tc>
          <w:tcPr>
            <w:tcW w:w="6629" w:type="dxa"/>
          </w:tcPr>
          <w:p w14:paraId="64F053B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Подрывное имущество</w:t>
            </w:r>
          </w:p>
          <w:p w14:paraId="72C90ED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4-х фугасов для подрыва мостов.</w:t>
            </w:r>
          </w:p>
        </w:tc>
        <w:tc>
          <w:tcPr>
            <w:tcW w:w="1225" w:type="dxa"/>
          </w:tcPr>
          <w:p w14:paraId="264C1DA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w:t>
            </w:r>
          </w:p>
        </w:tc>
        <w:tc>
          <w:tcPr>
            <w:tcW w:w="2602" w:type="dxa"/>
          </w:tcPr>
          <w:p w14:paraId="5119B8A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w:t>
            </w:r>
          </w:p>
        </w:tc>
      </w:tr>
      <w:tr w:rsidR="00DA227A" w:rsidRPr="00E93F40" w14:paraId="21EE4F29" w14:textId="77777777">
        <w:tc>
          <w:tcPr>
            <w:tcW w:w="6629" w:type="dxa"/>
          </w:tcPr>
          <w:p w14:paraId="2C542FF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разного подрывного имущества.</w:t>
            </w:r>
          </w:p>
        </w:tc>
        <w:tc>
          <w:tcPr>
            <w:tcW w:w="1225" w:type="dxa"/>
          </w:tcPr>
          <w:p w14:paraId="34C17C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4550</w:t>
            </w:r>
          </w:p>
        </w:tc>
        <w:tc>
          <w:tcPr>
            <w:tcW w:w="2602" w:type="dxa"/>
          </w:tcPr>
          <w:p w14:paraId="7DD650F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w:t>
            </w:r>
          </w:p>
        </w:tc>
      </w:tr>
      <w:tr w:rsidR="00DA227A" w:rsidRPr="00E93F40" w14:paraId="06CDD0F8" w14:textId="77777777">
        <w:tc>
          <w:tcPr>
            <w:tcW w:w="6629" w:type="dxa"/>
          </w:tcPr>
          <w:p w14:paraId="4E5F899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Шанцевый инструмент</w:t>
            </w:r>
          </w:p>
          <w:p w14:paraId="422D904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Лопаты малые</w:t>
            </w:r>
          </w:p>
          <w:p w14:paraId="6905301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Лопаты большие</w:t>
            </w:r>
          </w:p>
          <w:p w14:paraId="0712A79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Кирки</w:t>
            </w:r>
          </w:p>
        </w:tc>
        <w:tc>
          <w:tcPr>
            <w:tcW w:w="1225" w:type="dxa"/>
          </w:tcPr>
          <w:p w14:paraId="71B41F6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2100</w:t>
            </w:r>
          </w:p>
        </w:tc>
        <w:tc>
          <w:tcPr>
            <w:tcW w:w="2602" w:type="dxa"/>
          </w:tcPr>
          <w:p w14:paraId="26257A3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1000FB49" w14:textId="77777777">
        <w:tc>
          <w:tcPr>
            <w:tcW w:w="6629" w:type="dxa"/>
          </w:tcPr>
          <w:p w14:paraId="20D676C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Военно-санитарное имущество</w:t>
            </w:r>
          </w:p>
          <w:p w14:paraId="5E97DBC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Санитарные сумки</w:t>
            </w:r>
          </w:p>
        </w:tc>
        <w:tc>
          <w:tcPr>
            <w:tcW w:w="1225" w:type="dxa"/>
          </w:tcPr>
          <w:p w14:paraId="02D83F1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2602" w:type="dxa"/>
          </w:tcPr>
          <w:p w14:paraId="3CF7F86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704174A0" w14:textId="77777777">
        <w:tc>
          <w:tcPr>
            <w:tcW w:w="6629" w:type="dxa"/>
          </w:tcPr>
          <w:p w14:paraId="10B4D9A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Запас продовольствия (150 банок)</w:t>
            </w:r>
          </w:p>
        </w:tc>
        <w:tc>
          <w:tcPr>
            <w:tcW w:w="1225" w:type="dxa"/>
          </w:tcPr>
          <w:p w14:paraId="050F26C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2602" w:type="dxa"/>
          </w:tcPr>
          <w:p w14:paraId="31504A5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года</w:t>
            </w:r>
          </w:p>
        </w:tc>
      </w:tr>
      <w:tr w:rsidR="00DA227A" w:rsidRPr="00E93F40" w14:paraId="1EDCAD6F" w14:textId="77777777">
        <w:tc>
          <w:tcPr>
            <w:tcW w:w="6629" w:type="dxa"/>
          </w:tcPr>
          <w:p w14:paraId="1A2409B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Галеты</w:t>
            </w:r>
          </w:p>
          <w:p w14:paraId="7395D1C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Шоколад</w:t>
            </w:r>
          </w:p>
          <w:p w14:paraId="559CA0E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Молоко консервированное</w:t>
            </w:r>
          </w:p>
        </w:tc>
        <w:tc>
          <w:tcPr>
            <w:tcW w:w="1225" w:type="dxa"/>
          </w:tcPr>
          <w:p w14:paraId="74D54BA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tc>
        <w:tc>
          <w:tcPr>
            <w:tcW w:w="2602" w:type="dxa"/>
          </w:tcPr>
          <w:p w14:paraId="35C3428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года</w:t>
            </w:r>
          </w:p>
        </w:tc>
      </w:tr>
      <w:tr w:rsidR="00DA227A" w:rsidRPr="00E93F40" w14:paraId="22AD8C01" w14:textId="77777777">
        <w:tc>
          <w:tcPr>
            <w:tcW w:w="6629" w:type="dxa"/>
          </w:tcPr>
          <w:p w14:paraId="12F6341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Оборудование для самолета АНТ9 прибором для автоматического выбрасывания бойцов.</w:t>
            </w:r>
          </w:p>
        </w:tc>
        <w:tc>
          <w:tcPr>
            <w:tcW w:w="1225" w:type="dxa"/>
          </w:tcPr>
          <w:p w14:paraId="0A3A56F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19500</w:t>
            </w:r>
          </w:p>
        </w:tc>
        <w:tc>
          <w:tcPr>
            <w:tcW w:w="2602" w:type="dxa"/>
          </w:tcPr>
          <w:p w14:paraId="7B27031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bl>
    <w:p w14:paraId="76E0BA5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(6769, 1-8).</w:t>
      </w:r>
    </w:p>
    <w:p w14:paraId="2659430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6CD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работала особая комиссия в состав которой входил и Гроховский. В результате работы зам. нач. ВВС Наумовым дано было приказание разместить в 1932 году заказ на 2400 грузовых парашютов разных типов и 5000 людских десантных.</w:t>
      </w:r>
    </w:p>
    <w:p w14:paraId="70BE4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 не был в 1932 году реализован, т.к. результаты испытаний и техническая документация начали поступать только во 2 квартале и в основном через НИИ ВВС они были получены в декабре 1932 года (3853).</w:t>
      </w:r>
    </w:p>
    <w:p w14:paraId="4F919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A07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был изготовлен опытный образец "универсального двойного моста ОТБ», но Остехбюро не располагало самолетом для его установки. ТБ-3 являлись большим дефицитом, их не хватало для укомплектования бригад (9807).</w:t>
      </w:r>
    </w:p>
    <w:p w14:paraId="0E581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BBE8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январе 1932 г. опытный образец "универсального двойного моста ОТБ" был изготовлен, но Остехбюро не располагало самолетом для его установки. Это был универсальный мост, на котором могли подвешиваться все имевшиеся и разрабатывавшиеся в то время авиационные мины и торпеды. Самолет мог нести одновременно две торпеды типов ТАН-12, ТАВ-12 и TAB-15 (причем возможна была одновременная подвеска двух разных торпед) или одну ТАВ-27. На том же мосте могли подвешиваться авиационные мины МАВ-1 (две штуки, друг за другом) или МАВ-2. ТБ-3 являлись большим дефицитом, их не хватало для </w:t>
      </w:r>
      <w:r w:rsidRPr="00E93F40">
        <w:rPr>
          <w:rFonts w:ascii="Times New Roman" w:hAnsi="Times New Roman"/>
          <w:color w:val="000000" w:themeColor="text1"/>
          <w:sz w:val="16"/>
          <w:szCs w:val="16"/>
        </w:rPr>
        <w:lastRenderedPageBreak/>
        <w:t>укомплектования бригад. Только в конце 1933 г. для испытаний выделили одну машину с моторами М-17. Самолет получил также специальный прицел СП-123 (впоследствии принятый на вооружение как ПВТБ-1). Сброс торпеды осуществлялся механическим сбрасывателем ОТБ (12002).</w:t>
      </w:r>
    </w:p>
    <w:p w14:paraId="3AC53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8FE466" w14:textId="3EC36C24" w:rsidR="00AC6AC7" w:rsidRPr="00E93F40" w:rsidRDefault="00AC6AC7" w:rsidP="00E93F40">
      <w:pPr>
        <w:pStyle w:val="afff1"/>
        <w:shd w:val="clear" w:color="auto" w:fill="FFFFFF"/>
        <w:spacing w:before="0" w:beforeAutospacing="0" w:after="0" w:afterAutospacing="0"/>
        <w:jc w:val="both"/>
        <w:rPr>
          <w:color w:val="000000" w:themeColor="text1"/>
          <w:sz w:val="16"/>
          <w:szCs w:val="16"/>
        </w:rPr>
      </w:pPr>
      <w:r w:rsidRPr="00E93F40">
        <w:rPr>
          <w:color w:val="000000" w:themeColor="text1"/>
          <w:sz w:val="16"/>
          <w:szCs w:val="16"/>
        </w:rPr>
        <w:t>В январе 1932 года</w:t>
      </w:r>
      <w:r w:rsidR="007C1411" w:rsidRPr="00E93F40">
        <w:rPr>
          <w:color w:val="000000" w:themeColor="text1"/>
          <w:sz w:val="16"/>
          <w:szCs w:val="16"/>
        </w:rPr>
        <w:t xml:space="preserve"> </w:t>
      </w:r>
      <w:r w:rsidRPr="00E93F40">
        <w:rPr>
          <w:color w:val="000000" w:themeColor="text1"/>
          <w:sz w:val="16"/>
          <w:szCs w:val="16"/>
        </w:rPr>
        <w:t>на заводе № 18 развернуто изготовление инструментов и приспособлений. На завод поступили первые станки. Начато комплектование отделов инженерно-техническими работниками (19822).</w:t>
      </w:r>
    </w:p>
    <w:p w14:paraId="3D39DFE4" w14:textId="77777777" w:rsidR="00AC6AC7" w:rsidRPr="00E93F40" w:rsidRDefault="00AC6AC7" w:rsidP="00E93F40">
      <w:pPr>
        <w:pStyle w:val="afff1"/>
        <w:shd w:val="clear" w:color="auto" w:fill="FFFFFF"/>
        <w:spacing w:before="0" w:beforeAutospacing="0" w:after="0" w:afterAutospacing="0"/>
        <w:jc w:val="both"/>
        <w:rPr>
          <w:color w:val="000000" w:themeColor="text1"/>
          <w:sz w:val="16"/>
          <w:szCs w:val="16"/>
        </w:rPr>
      </w:pPr>
    </w:p>
    <w:p w14:paraId="704F08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постановлением Правительства ремонтные мастерские 4-го Московского авиатехникума ГВФ, где производился мелкий ремонт агрегатов и аппаратуры моторов М-11 был присвоен № 63 ГВФ, директором которого был назначен Емельянов. 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23087B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кадры и имущество завода 3 82 были переданы заводу № 27.</w:t>
      </w:r>
    </w:p>
    <w:p w14:paraId="176CC7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43407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1BE64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6CC565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6BD768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41D234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38310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Тушино. Производственный профиль – авиамоторный (9861).</w:t>
      </w:r>
    </w:p>
    <w:p w14:paraId="4B91D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917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января 1932 г. ремонтные мастерские авиатехникума, занимавшиеся мелким ремонтом агрегатов и аппаратуры самолета У-2 и его мотора М-11, переименовываются в завод № 63 ГВФ.</w:t>
      </w:r>
    </w:p>
    <w:p w14:paraId="4AEB80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одном из бараков (корпусе "Г") размещалось заводоуправление, в нём же - общежитие для рабочих. В другом бараке (корпусе "Д") умещались все производственные цеха и лаборатории. Здесь стояли три допотопных токарных станочка, два новеньких краснопролетарских "ДиП", два поперечно-строгальных станка и один универсально-фрезерный. Работников завода, начиная с директора и кончая уборщицей, насчитывалось не более семидесяти человек.</w:t>
      </w:r>
    </w:p>
    <w:p w14:paraId="47A98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Именно здесь известный авиаконструктор из ЦАГИ Александр Иванович Путилов (ученик "отца русской авиации" Н.Е. Жуковского и соратник А.Н. Туполева) создаёт в своем КБ, переведенном в 1933 г. на завод № 62 (ТМЗ) в Тушино, пассажирский самолёт "Сталь-2".</w:t>
      </w:r>
    </w:p>
    <w:p w14:paraId="4D463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Каркас у этого шестиместного моноплана впервые в стране был изготовлен из отечественной нержавеющей стали "Энерж-6" вместо страшно дефицитного в те годы у нас в стране дюраля. Мотор для самолёта предполагалось изготавливать на соседнем заводе № 63 ГВФ.</w:t>
      </w:r>
    </w:p>
    <w:p w14:paraId="18EAC0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Возводимому в Тушине авиамоторному заводу требовались молодые энергичные специалисты 5 двигателестроители. Московский авиационный институт только строился, Военно-воздушная инженерная академия мотористов ещё не выпускала. Выручил Киевский машиностроительный институт. Первый выпуск его авиафакультета (всего 14 человек) дал заводу сразу четырёх инженеров-авиамоторостроителей.</w:t>
      </w:r>
    </w:p>
    <w:p w14:paraId="00DF7F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Вначале 30-х гг. прошлого века в районе деревни Тушино строится аэродром гражданского воздушного флота (ГВФ), а при нём авиаклуб. Сегодня Национальный аэроклуб России им. В.П. Чкалова. Здесь возводятся кирпичные корпуса 45го Московского авиационного техникума и его ремонтных мастерских. Рядом размещают дирижаблестроительный учебный комбинат (ДУК), в котором преподавал полярный исследователь и конструктор дирижаблей итальянский генерал Умберто Нобиле. По соседству организуется производство парашютной фабрики, а также радиозавода № 85.</w:t>
      </w:r>
    </w:p>
    <w:p w14:paraId="19253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Наличие Тушинской погрузочно-разгрузочной станции Калининской железной дороги (сегодня Рижской ж.д.) с широкой колеей, Волоколамского шоссе, судоходной Москвы-реки и малонаселённого ровного пространства позволило Гипроавиапрому, чуть севернее аэродрома, создать самолётостроительный завод ГВФ (Тушинский машиностроительный завод, ТМЗ), а немного южнее, в двух километрах от аэродрома, авиамоторный - для удовлетворения всё возраставших нужд ГВФ в инструменте, запчастях и новых моторах (12059).</w:t>
      </w:r>
    </w:p>
    <w:p w14:paraId="42B34D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A4CD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У.Нобиле, после того как И.В.С. дал согласие на ратификацию договора У.Нобиле с Аэрофлотом, получил официальное предложение Советского правительства (1228,7).</w:t>
      </w:r>
    </w:p>
    <w:p w14:paraId="145CD8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F41F15" w14:textId="77777777" w:rsidR="009D2177" w:rsidRPr="00E93F40" w:rsidRDefault="009D2177" w:rsidP="00E93F40">
      <w:pPr>
        <w:pStyle w:val="a3"/>
        <w:rPr>
          <w:color w:val="000000" w:themeColor="text1"/>
          <w:lang w:val="ru-RU"/>
        </w:rPr>
      </w:pPr>
      <w:r w:rsidRPr="00E93F40">
        <w:rPr>
          <w:color w:val="000000" w:themeColor="text1"/>
          <w:lang w:val="ru-RU"/>
        </w:rPr>
        <w:t>В январе 1932 г. инженер-генерал получает офи</w:t>
      </w:r>
      <w:r w:rsidRPr="00E93F40">
        <w:rPr>
          <w:color w:val="000000" w:themeColor="text1"/>
          <w:lang w:val="ru-RU"/>
        </w:rPr>
        <w:softHyphen/>
        <w:t>циальное приглашение «Аэрофлота» на приезд в СССР. В конце апреля он с группой итальянских специалистов прибывает в Москву, где после подписания контракта, зарегистрированного в Наркомтруде СССР, 2 мая приступает к исполнению своих обязанностей. Предлагаем неполный пере</w:t>
      </w:r>
      <w:r w:rsidRPr="00E93F40">
        <w:rPr>
          <w:color w:val="000000" w:themeColor="text1"/>
          <w:lang w:val="ru-RU"/>
        </w:rPr>
        <w:softHyphen/>
        <w:t>чень</w:t>
      </w:r>
      <w:r w:rsidRPr="00E93F40">
        <w:rPr>
          <w:rStyle w:val="83"/>
          <w:rFonts w:ascii="Times New Roman" w:eastAsia="Microsoft Sans Serif" w:hAnsi="Times New Roman" w:cs="Times New Roman"/>
          <w:i w:val="0"/>
          <w:color w:val="000000" w:themeColor="text1"/>
          <w:sz w:val="16"/>
          <w:szCs w:val="16"/>
          <w:lang w:val="ru-RU"/>
        </w:rPr>
        <w:t xml:space="preserve"> свиты</w:t>
      </w:r>
      <w:r w:rsidRPr="00E93F40">
        <w:rPr>
          <w:color w:val="000000" w:themeColor="text1"/>
          <w:lang w:val="ru-RU"/>
        </w:rPr>
        <w:t xml:space="preserve"> покорителя Северного полюса (с некоторыми примечаниями), который нам удалось восстановить:</w:t>
      </w:r>
    </w:p>
    <w:p w14:paraId="58594098" w14:textId="77777777" w:rsidR="009D2177" w:rsidRPr="00E93F40" w:rsidRDefault="009D2177" w:rsidP="00E93F40">
      <w:pPr>
        <w:pStyle w:val="a3"/>
        <w:widowControl/>
        <w:numPr>
          <w:ilvl w:val="0"/>
          <w:numId w:val="1"/>
        </w:numPr>
        <w:tabs>
          <w:tab w:val="left" w:pos="428"/>
        </w:tabs>
        <w:autoSpaceDE/>
        <w:autoSpaceDN/>
        <w:adjustRightInd/>
        <w:rPr>
          <w:color w:val="000000" w:themeColor="text1"/>
          <w:lang w:val="ru-RU"/>
        </w:rPr>
      </w:pPr>
      <w:r w:rsidRPr="00E93F40">
        <w:rPr>
          <w:color w:val="000000" w:themeColor="text1"/>
          <w:lang w:val="ru-RU"/>
        </w:rPr>
        <w:t>У. Нобиле - начальник КБ, женат. Месячный оклад 600$ и 1700 руб. (Справка: Курс $ США 1932 года соотносится к курсу 2014 г., как 17,5:1,0, т.е. был выше в 17,5 раз);</w:t>
      </w:r>
    </w:p>
    <w:p w14:paraId="730FEA7F" w14:textId="77777777" w:rsidR="009D2177" w:rsidRPr="00E93F40" w:rsidRDefault="009D2177" w:rsidP="00E93F40">
      <w:pPr>
        <w:pStyle w:val="a3"/>
        <w:widowControl/>
        <w:numPr>
          <w:ilvl w:val="0"/>
          <w:numId w:val="1"/>
        </w:numPr>
        <w:tabs>
          <w:tab w:val="left" w:pos="390"/>
        </w:tabs>
        <w:autoSpaceDE/>
        <w:autoSpaceDN/>
        <w:adjustRightInd/>
        <w:rPr>
          <w:color w:val="000000" w:themeColor="text1"/>
        </w:rPr>
      </w:pPr>
      <w:r w:rsidRPr="00E93F40">
        <w:rPr>
          <w:color w:val="000000" w:themeColor="text1"/>
          <w:lang w:val="ru-RU"/>
        </w:rPr>
        <w:t xml:space="preserve">Ф. Трояни - зам. начальника КБ, женат, оформлен по договору. </w:t>
      </w:r>
      <w:r w:rsidRPr="00E93F40">
        <w:rPr>
          <w:color w:val="000000" w:themeColor="text1"/>
        </w:rPr>
        <w:t>Месячный оклад 300$ и 650 руб.;</w:t>
      </w:r>
    </w:p>
    <w:p w14:paraId="44A3FDD3" w14:textId="77777777" w:rsidR="009D2177" w:rsidRPr="00E93F40" w:rsidRDefault="009D2177" w:rsidP="00E93F40">
      <w:pPr>
        <w:pStyle w:val="a3"/>
        <w:widowControl/>
        <w:numPr>
          <w:ilvl w:val="0"/>
          <w:numId w:val="1"/>
        </w:numPr>
        <w:tabs>
          <w:tab w:val="left" w:pos="423"/>
        </w:tabs>
        <w:autoSpaceDE/>
        <w:autoSpaceDN/>
        <w:adjustRightInd/>
        <w:rPr>
          <w:color w:val="000000" w:themeColor="text1"/>
        </w:rPr>
      </w:pPr>
      <w:r w:rsidRPr="00E93F40">
        <w:rPr>
          <w:color w:val="000000" w:themeColor="text1"/>
          <w:lang w:val="ru-RU"/>
        </w:rPr>
        <w:t xml:space="preserve">Р. Палья - старший мастер-токарь. </w:t>
      </w:r>
      <w:r w:rsidRPr="00E93F40">
        <w:rPr>
          <w:color w:val="000000" w:themeColor="text1"/>
        </w:rPr>
        <w:t>Месячный оклад 83$ и 450 руб.;</w:t>
      </w:r>
    </w:p>
    <w:p w14:paraId="624D72DF" w14:textId="77777777" w:rsidR="009D2177" w:rsidRPr="00E93F40" w:rsidRDefault="009D2177" w:rsidP="00E93F40">
      <w:pPr>
        <w:pStyle w:val="a3"/>
        <w:widowControl/>
        <w:numPr>
          <w:ilvl w:val="0"/>
          <w:numId w:val="1"/>
        </w:numPr>
        <w:tabs>
          <w:tab w:val="left" w:pos="394"/>
        </w:tabs>
        <w:autoSpaceDE/>
        <w:autoSpaceDN/>
        <w:adjustRightInd/>
        <w:rPr>
          <w:color w:val="000000" w:themeColor="text1"/>
          <w:lang w:val="ru-RU"/>
        </w:rPr>
      </w:pPr>
      <w:r w:rsidRPr="00E93F40">
        <w:rPr>
          <w:color w:val="000000" w:themeColor="text1"/>
          <w:lang w:val="ru-RU"/>
        </w:rPr>
        <w:t>Д. Белли - механик. Месячный оклад 135$ и 550 руб.;</w:t>
      </w:r>
    </w:p>
    <w:p w14:paraId="503CD271" w14:textId="77777777" w:rsidR="009D2177" w:rsidRPr="00E93F40" w:rsidRDefault="009D2177" w:rsidP="00E93F40">
      <w:pPr>
        <w:pStyle w:val="a3"/>
        <w:widowControl/>
        <w:numPr>
          <w:ilvl w:val="0"/>
          <w:numId w:val="1"/>
        </w:numPr>
        <w:tabs>
          <w:tab w:val="left" w:pos="442"/>
        </w:tabs>
        <w:autoSpaceDE/>
        <w:autoSpaceDN/>
        <w:adjustRightInd/>
        <w:rPr>
          <w:color w:val="000000" w:themeColor="text1"/>
        </w:rPr>
      </w:pPr>
      <w:r w:rsidRPr="00E93F40">
        <w:rPr>
          <w:color w:val="000000" w:themeColor="text1"/>
          <w:lang w:val="ru-RU"/>
        </w:rPr>
        <w:t xml:space="preserve">А. Каратти - механик-моторист, оформлен по договору. </w:t>
      </w:r>
      <w:r w:rsidRPr="00E93F40">
        <w:rPr>
          <w:color w:val="000000" w:themeColor="text1"/>
        </w:rPr>
        <w:t>Месячный оклад 20$ и 450 руб.;</w:t>
      </w:r>
    </w:p>
    <w:p w14:paraId="48621570" w14:textId="77777777" w:rsidR="009D2177" w:rsidRPr="00E93F40" w:rsidRDefault="009D2177" w:rsidP="00E93F40">
      <w:pPr>
        <w:pStyle w:val="a3"/>
        <w:widowControl/>
        <w:numPr>
          <w:ilvl w:val="0"/>
          <w:numId w:val="1"/>
        </w:numPr>
        <w:tabs>
          <w:tab w:val="left" w:pos="385"/>
        </w:tabs>
        <w:autoSpaceDE/>
        <w:autoSpaceDN/>
        <w:adjustRightInd/>
        <w:rPr>
          <w:color w:val="000000" w:themeColor="text1"/>
          <w:lang w:val="ru-RU"/>
        </w:rPr>
      </w:pPr>
      <w:r w:rsidRPr="00E93F40">
        <w:rPr>
          <w:color w:val="000000" w:themeColor="text1"/>
          <w:lang w:val="ru-RU"/>
        </w:rPr>
        <w:t>Л. Високки - инженер. Месячный оклад 35$ и 650 руб.;</w:t>
      </w:r>
    </w:p>
    <w:p w14:paraId="75DD421A" w14:textId="77777777" w:rsidR="009D2177" w:rsidRPr="00E93F40" w:rsidRDefault="009D2177" w:rsidP="00E93F40">
      <w:pPr>
        <w:pStyle w:val="a3"/>
        <w:widowControl/>
        <w:numPr>
          <w:ilvl w:val="0"/>
          <w:numId w:val="1"/>
        </w:numPr>
        <w:tabs>
          <w:tab w:val="left" w:pos="394"/>
        </w:tabs>
        <w:autoSpaceDE/>
        <w:autoSpaceDN/>
        <w:adjustRightInd/>
        <w:rPr>
          <w:color w:val="000000" w:themeColor="text1"/>
          <w:lang w:val="ru-RU"/>
        </w:rPr>
      </w:pPr>
      <w:r w:rsidRPr="00E93F40">
        <w:rPr>
          <w:color w:val="000000" w:themeColor="text1"/>
          <w:lang w:val="ru-RU"/>
        </w:rPr>
        <w:t>А. (Д.) Вилла - мастер по металлокон</w:t>
      </w:r>
      <w:r w:rsidRPr="00E93F40">
        <w:rPr>
          <w:color w:val="000000" w:themeColor="text1"/>
          <w:lang w:val="ru-RU"/>
        </w:rPr>
        <w:softHyphen/>
        <w:t>струкциям, женат. Месячный оклад 115$ и 700 руб.;</w:t>
      </w:r>
    </w:p>
    <w:p w14:paraId="443DC62C" w14:textId="77777777" w:rsidR="009D2177" w:rsidRPr="00E93F40" w:rsidRDefault="009D2177" w:rsidP="00E93F40">
      <w:pPr>
        <w:pStyle w:val="a3"/>
        <w:widowControl/>
        <w:numPr>
          <w:ilvl w:val="0"/>
          <w:numId w:val="1"/>
        </w:numPr>
        <w:tabs>
          <w:tab w:val="left" w:pos="399"/>
        </w:tabs>
        <w:autoSpaceDE/>
        <w:autoSpaceDN/>
        <w:adjustRightInd/>
        <w:rPr>
          <w:color w:val="000000" w:themeColor="text1"/>
          <w:lang w:val="ru-RU"/>
        </w:rPr>
      </w:pPr>
      <w:r w:rsidRPr="00E93F40">
        <w:rPr>
          <w:color w:val="000000" w:themeColor="text1"/>
          <w:lang w:val="ru-RU"/>
        </w:rPr>
        <w:t>Вилли - чертежник КБ, холост. Месяч</w:t>
      </w:r>
      <w:r w:rsidRPr="00E93F40">
        <w:rPr>
          <w:color w:val="000000" w:themeColor="text1"/>
          <w:lang w:val="ru-RU"/>
        </w:rPr>
        <w:softHyphen/>
        <w:t>ный оклад 115$ и 125 руб.;</w:t>
      </w:r>
    </w:p>
    <w:p w14:paraId="10E86107" w14:textId="77777777" w:rsidR="009D2177" w:rsidRPr="00E93F40" w:rsidRDefault="009D2177" w:rsidP="00E93F40">
      <w:pPr>
        <w:pStyle w:val="a3"/>
        <w:widowControl/>
        <w:numPr>
          <w:ilvl w:val="0"/>
          <w:numId w:val="1"/>
        </w:numPr>
        <w:tabs>
          <w:tab w:val="left" w:pos="442"/>
        </w:tabs>
        <w:autoSpaceDE/>
        <w:autoSpaceDN/>
        <w:adjustRightInd/>
        <w:rPr>
          <w:color w:val="000000" w:themeColor="text1"/>
        </w:rPr>
      </w:pPr>
      <w:r w:rsidRPr="00E93F40">
        <w:rPr>
          <w:color w:val="000000" w:themeColor="text1"/>
          <w:lang w:val="ru-RU"/>
        </w:rPr>
        <w:t xml:space="preserve">Г. Гарутти - инженер-конструктор, холост, оформлен по договору. </w:t>
      </w:r>
      <w:r w:rsidRPr="00E93F40">
        <w:rPr>
          <w:color w:val="000000" w:themeColor="text1"/>
        </w:rPr>
        <w:t>Месячный оклад 250$ и 1000 руб.;</w:t>
      </w:r>
    </w:p>
    <w:p w14:paraId="3DDEF141" w14:textId="77777777" w:rsidR="009D2177" w:rsidRPr="00E93F40" w:rsidRDefault="009D2177" w:rsidP="00E93F40">
      <w:pPr>
        <w:pStyle w:val="a3"/>
        <w:widowControl/>
        <w:numPr>
          <w:ilvl w:val="0"/>
          <w:numId w:val="1"/>
        </w:numPr>
        <w:tabs>
          <w:tab w:val="left" w:pos="414"/>
        </w:tabs>
        <w:autoSpaceDE/>
        <w:autoSpaceDN/>
        <w:adjustRightInd/>
        <w:rPr>
          <w:color w:val="000000" w:themeColor="text1"/>
        </w:rPr>
      </w:pPr>
      <w:r w:rsidRPr="00E93F40">
        <w:rPr>
          <w:color w:val="000000" w:themeColor="text1"/>
          <w:lang w:val="ru-RU"/>
        </w:rPr>
        <w:t>А. Ди-Бернардино - мастер сбороч</w:t>
      </w:r>
      <w:r w:rsidRPr="00E93F40">
        <w:rPr>
          <w:color w:val="000000" w:themeColor="text1"/>
          <w:lang w:val="ru-RU"/>
        </w:rPr>
        <w:softHyphen/>
        <w:t xml:space="preserve">ного цеха по металлоконструкциям, женат. </w:t>
      </w:r>
      <w:r w:rsidRPr="00E93F40">
        <w:rPr>
          <w:color w:val="000000" w:themeColor="text1"/>
        </w:rPr>
        <w:t>Месячный оклад 45$ и 700 руб.;</w:t>
      </w:r>
    </w:p>
    <w:p w14:paraId="2CDA2ECB" w14:textId="77777777" w:rsidR="009D2177" w:rsidRPr="00E93F40" w:rsidRDefault="009D2177" w:rsidP="00E93F40">
      <w:pPr>
        <w:pStyle w:val="a3"/>
        <w:widowControl/>
        <w:numPr>
          <w:ilvl w:val="0"/>
          <w:numId w:val="1"/>
        </w:numPr>
        <w:tabs>
          <w:tab w:val="left" w:pos="414"/>
        </w:tabs>
        <w:autoSpaceDE/>
        <w:autoSpaceDN/>
        <w:adjustRightInd/>
        <w:rPr>
          <w:color w:val="000000" w:themeColor="text1"/>
        </w:rPr>
      </w:pPr>
      <w:r w:rsidRPr="00E93F40">
        <w:rPr>
          <w:color w:val="000000" w:themeColor="text1"/>
          <w:lang w:val="ru-RU"/>
        </w:rPr>
        <w:t xml:space="preserve">А. Беретта - мастер моторного цеха, женат, оформлен по договору. </w:t>
      </w:r>
      <w:r w:rsidRPr="00E93F40">
        <w:rPr>
          <w:color w:val="000000" w:themeColor="text1"/>
        </w:rPr>
        <w:t>Месячный оклад 20$ и 300 руб.;</w:t>
      </w:r>
    </w:p>
    <w:p w14:paraId="4941F5F7" w14:textId="77777777" w:rsidR="009D2177" w:rsidRPr="00E93F40" w:rsidRDefault="009D2177" w:rsidP="00E93F40">
      <w:pPr>
        <w:pStyle w:val="a3"/>
        <w:widowControl/>
        <w:numPr>
          <w:ilvl w:val="0"/>
          <w:numId w:val="1"/>
        </w:numPr>
        <w:tabs>
          <w:tab w:val="left" w:pos="433"/>
        </w:tabs>
        <w:autoSpaceDE/>
        <w:autoSpaceDN/>
        <w:adjustRightInd/>
        <w:rPr>
          <w:color w:val="000000" w:themeColor="text1"/>
        </w:rPr>
      </w:pPr>
      <w:r w:rsidRPr="00E93F40">
        <w:rPr>
          <w:color w:val="000000" w:themeColor="text1"/>
          <w:lang w:val="ru-RU"/>
        </w:rPr>
        <w:t xml:space="preserve">В. Шакко - мастер баллонного цеха, холост, оформлен по договору. </w:t>
      </w:r>
      <w:r w:rsidRPr="00E93F40">
        <w:rPr>
          <w:color w:val="000000" w:themeColor="text1"/>
        </w:rPr>
        <w:t>Месячный оклад 83$ и 700 руб.;</w:t>
      </w:r>
    </w:p>
    <w:p w14:paraId="0285E4DE" w14:textId="77777777" w:rsidR="009D2177" w:rsidRPr="00E93F40" w:rsidRDefault="009D2177" w:rsidP="00E93F40">
      <w:pPr>
        <w:pStyle w:val="a3"/>
        <w:widowControl/>
        <w:numPr>
          <w:ilvl w:val="0"/>
          <w:numId w:val="1"/>
        </w:numPr>
        <w:tabs>
          <w:tab w:val="left" w:pos="428"/>
        </w:tabs>
        <w:autoSpaceDE/>
        <w:autoSpaceDN/>
        <w:adjustRightInd/>
        <w:rPr>
          <w:color w:val="000000" w:themeColor="text1"/>
        </w:rPr>
      </w:pPr>
      <w:r w:rsidRPr="00E93F40">
        <w:rPr>
          <w:color w:val="000000" w:themeColor="text1"/>
          <w:lang w:val="ru-RU"/>
        </w:rPr>
        <w:lastRenderedPageBreak/>
        <w:t>Н. Де-Мартино - инженер-конструк</w:t>
      </w:r>
      <w:r w:rsidRPr="00E93F40">
        <w:rPr>
          <w:color w:val="000000" w:themeColor="text1"/>
          <w:lang w:val="ru-RU"/>
        </w:rPr>
        <w:softHyphen/>
        <w:t xml:space="preserve">тор, оформлен по договору. </w:t>
      </w:r>
      <w:r w:rsidRPr="00E93F40">
        <w:rPr>
          <w:color w:val="000000" w:themeColor="text1"/>
        </w:rPr>
        <w:t>Месячный оклад 324$ и 650 руб.;</w:t>
      </w:r>
    </w:p>
    <w:p w14:paraId="65A9CDD8" w14:textId="77777777" w:rsidR="009D2177" w:rsidRPr="00E93F40" w:rsidRDefault="009D2177" w:rsidP="00E93F40">
      <w:pPr>
        <w:pStyle w:val="a3"/>
        <w:widowControl/>
        <w:numPr>
          <w:ilvl w:val="0"/>
          <w:numId w:val="1"/>
        </w:numPr>
        <w:tabs>
          <w:tab w:val="left" w:pos="404"/>
        </w:tabs>
        <w:autoSpaceDE/>
        <w:autoSpaceDN/>
        <w:adjustRightInd/>
        <w:rPr>
          <w:color w:val="000000" w:themeColor="text1"/>
          <w:lang w:val="ru-RU"/>
        </w:rPr>
      </w:pPr>
      <w:r w:rsidRPr="00E93F40">
        <w:rPr>
          <w:color w:val="000000" w:themeColor="text1"/>
          <w:lang w:val="ru-RU"/>
        </w:rPr>
        <w:t>с Нобиле также работали прибывшие в Россию ранее:</w:t>
      </w:r>
    </w:p>
    <w:p w14:paraId="3E4AD653" w14:textId="77777777" w:rsidR="009D2177" w:rsidRPr="00E93F40" w:rsidRDefault="009D2177" w:rsidP="00E93F40">
      <w:pPr>
        <w:pStyle w:val="a3"/>
        <w:widowControl/>
        <w:numPr>
          <w:ilvl w:val="0"/>
          <w:numId w:val="1"/>
        </w:numPr>
        <w:tabs>
          <w:tab w:val="left" w:pos="390"/>
        </w:tabs>
        <w:autoSpaceDE/>
        <w:autoSpaceDN/>
        <w:adjustRightInd/>
        <w:rPr>
          <w:color w:val="000000" w:themeColor="text1"/>
        </w:rPr>
      </w:pPr>
      <w:r w:rsidRPr="00E93F40">
        <w:rPr>
          <w:color w:val="000000" w:themeColor="text1"/>
          <w:lang w:val="ru-RU"/>
        </w:rPr>
        <w:t xml:space="preserve">Р. Бианкони - переводчик, женат, член ВКП(б). </w:t>
      </w:r>
      <w:r w:rsidRPr="00E93F40">
        <w:rPr>
          <w:color w:val="000000" w:themeColor="text1"/>
        </w:rPr>
        <w:t>Месячный оклад 350 руб.;</w:t>
      </w:r>
    </w:p>
    <w:p w14:paraId="580D0C7C" w14:textId="77777777" w:rsidR="009D2177" w:rsidRPr="00E93F40" w:rsidRDefault="009D2177" w:rsidP="00E93F40">
      <w:pPr>
        <w:pStyle w:val="a3"/>
        <w:widowControl/>
        <w:numPr>
          <w:ilvl w:val="0"/>
          <w:numId w:val="1"/>
        </w:numPr>
        <w:tabs>
          <w:tab w:val="left" w:pos="438"/>
        </w:tabs>
        <w:autoSpaceDE/>
        <w:autoSpaceDN/>
        <w:adjustRightInd/>
        <w:rPr>
          <w:color w:val="000000" w:themeColor="text1"/>
        </w:rPr>
      </w:pPr>
      <w:r w:rsidRPr="00E93F40">
        <w:rPr>
          <w:color w:val="000000" w:themeColor="text1"/>
          <w:lang w:val="ru-RU"/>
        </w:rPr>
        <w:t xml:space="preserve">Б. Сигалини - инструктор бригады слесарей сборочного цеха, холост, член ВКП(б). </w:t>
      </w:r>
      <w:r w:rsidRPr="00E93F40">
        <w:rPr>
          <w:color w:val="000000" w:themeColor="text1"/>
        </w:rPr>
        <w:t>Месячный оклад 350 руб.</w:t>
      </w:r>
    </w:p>
    <w:p w14:paraId="07A4E531" w14:textId="77777777" w:rsidR="009D2177" w:rsidRPr="00E93F40" w:rsidRDefault="009D2177" w:rsidP="00E93F40">
      <w:pPr>
        <w:pStyle w:val="a3"/>
        <w:rPr>
          <w:color w:val="000000" w:themeColor="text1"/>
          <w:lang w:val="ru-RU"/>
        </w:rPr>
      </w:pPr>
      <w:r w:rsidRPr="00E93F40">
        <w:rPr>
          <w:color w:val="000000" w:themeColor="text1"/>
          <w:lang w:val="ru-RU"/>
        </w:rPr>
        <w:t>Кроме денежного содержания итальян</w:t>
      </w:r>
      <w:r w:rsidRPr="00E93F40">
        <w:rPr>
          <w:color w:val="000000" w:themeColor="text1"/>
          <w:lang w:val="ru-RU"/>
        </w:rPr>
        <w:softHyphen/>
        <w:t>цы обеспечивались:</w:t>
      </w:r>
    </w:p>
    <w:p w14:paraId="5BF92ABE" w14:textId="77777777" w:rsidR="009D2177" w:rsidRPr="00E93F40" w:rsidRDefault="009D2177" w:rsidP="00E93F40">
      <w:pPr>
        <w:pStyle w:val="a3"/>
        <w:widowControl/>
        <w:numPr>
          <w:ilvl w:val="0"/>
          <w:numId w:val="1"/>
        </w:numPr>
        <w:tabs>
          <w:tab w:val="left" w:pos="385"/>
        </w:tabs>
        <w:autoSpaceDE/>
        <w:autoSpaceDN/>
        <w:adjustRightInd/>
        <w:rPr>
          <w:color w:val="000000" w:themeColor="text1"/>
          <w:lang w:val="ru-RU"/>
        </w:rPr>
      </w:pPr>
      <w:r w:rsidRPr="00E93F40">
        <w:rPr>
          <w:color w:val="000000" w:themeColor="text1"/>
          <w:lang w:val="ru-RU"/>
        </w:rPr>
        <w:t>оплачиваемой комнатой (с кухней, ван</w:t>
      </w:r>
      <w:r w:rsidRPr="00E93F40">
        <w:rPr>
          <w:color w:val="000000" w:themeColor="text1"/>
          <w:lang w:val="ru-RU"/>
        </w:rPr>
        <w:softHyphen/>
        <w:t>ной) в квартирах дома ИНО на Долгопрудной или гостиничным номером (квартирой) в Москве (У. Нобиле, Ф. Трояни, Г. Гарутти, Н. Де-Мартино, А. Беретта);</w:t>
      </w:r>
    </w:p>
    <w:p w14:paraId="00E99FBB" w14:textId="77777777" w:rsidR="009D2177" w:rsidRPr="00E93F40" w:rsidRDefault="009D2177" w:rsidP="00E93F40">
      <w:pPr>
        <w:pStyle w:val="a3"/>
        <w:widowControl/>
        <w:numPr>
          <w:ilvl w:val="0"/>
          <w:numId w:val="1"/>
        </w:numPr>
        <w:tabs>
          <w:tab w:val="left" w:pos="423"/>
        </w:tabs>
        <w:autoSpaceDE/>
        <w:autoSpaceDN/>
        <w:adjustRightInd/>
        <w:rPr>
          <w:color w:val="000000" w:themeColor="text1"/>
          <w:lang w:val="ru-RU"/>
        </w:rPr>
      </w:pPr>
      <w:r w:rsidRPr="00E93F40">
        <w:rPr>
          <w:color w:val="000000" w:themeColor="text1"/>
          <w:lang w:val="ru-RU"/>
        </w:rPr>
        <w:t>оплачиваемым месячным отпуском (раз в году, включая проезд по ж/дороге 2-м классом до Италии и обратно);</w:t>
      </w:r>
    </w:p>
    <w:p w14:paraId="1DA18135" w14:textId="77777777" w:rsidR="009D2177" w:rsidRPr="00E93F40" w:rsidRDefault="009D2177" w:rsidP="00E93F40">
      <w:pPr>
        <w:pStyle w:val="a3"/>
        <w:widowControl/>
        <w:numPr>
          <w:ilvl w:val="0"/>
          <w:numId w:val="1"/>
        </w:numPr>
        <w:tabs>
          <w:tab w:val="left" w:pos="409"/>
        </w:tabs>
        <w:autoSpaceDE/>
        <w:autoSpaceDN/>
        <w:adjustRightInd/>
        <w:rPr>
          <w:color w:val="000000" w:themeColor="text1"/>
          <w:lang w:val="ru-RU"/>
        </w:rPr>
      </w:pPr>
      <w:r w:rsidRPr="00E93F40">
        <w:rPr>
          <w:color w:val="000000" w:themeColor="text1"/>
          <w:lang w:val="ru-RU"/>
        </w:rPr>
        <w:t>компенсацией расходов по приезду и отъезду из России (12732).</w:t>
      </w:r>
    </w:p>
    <w:p w14:paraId="57E6918A" w14:textId="77777777" w:rsidR="009D2177" w:rsidRPr="00E93F40" w:rsidRDefault="009D2177" w:rsidP="00E93F40">
      <w:pPr>
        <w:pStyle w:val="a3"/>
        <w:rPr>
          <w:color w:val="000000" w:themeColor="text1"/>
          <w:lang w:val="ru-RU"/>
        </w:rPr>
      </w:pPr>
    </w:p>
    <w:p w14:paraId="436A44D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EDEFAD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48E5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января 1932 г., после упразднения ВСНХ СССР, «кадро</w:t>
      </w:r>
      <w:r w:rsidRPr="00E93F40">
        <w:rPr>
          <w:rFonts w:ascii="Times New Roman" w:hAnsi="Times New Roman"/>
          <w:color w:val="000000" w:themeColor="text1"/>
          <w:sz w:val="16"/>
          <w:szCs w:val="16"/>
        </w:rPr>
        <w:softHyphen/>
        <w:t>вые» военные заводы перешли в подчинение управлений и тре</w:t>
      </w:r>
      <w:r w:rsidRPr="00E93F40">
        <w:rPr>
          <w:rFonts w:ascii="Times New Roman" w:hAnsi="Times New Roman"/>
          <w:color w:val="000000" w:themeColor="text1"/>
          <w:sz w:val="16"/>
          <w:szCs w:val="16"/>
        </w:rPr>
        <w:softHyphen/>
        <w:t>стов Наркомата тяжелой промышленности СССР, в том числе: в Глававиапром — 17 заводов, в Вохимтрест — 7 заводов, во Все</w:t>
      </w:r>
      <w:r w:rsidRPr="00E93F40">
        <w:rPr>
          <w:rFonts w:ascii="Times New Roman" w:hAnsi="Times New Roman"/>
          <w:color w:val="000000" w:themeColor="text1"/>
          <w:sz w:val="16"/>
          <w:szCs w:val="16"/>
        </w:rPr>
        <w:softHyphen/>
        <w:t xml:space="preserve">союзный трест органических производств — 3 завода, Всесоюзный трест искусственного волокна — 5 заводов, в Патронно-гильзовый трест — 3 завода, в Снарядный трест — 12 заводов, </w:t>
      </w:r>
      <w:r w:rsidRPr="00E93F40">
        <w:rPr>
          <w:rFonts w:ascii="Times New Roman" w:hAnsi="Times New Roman"/>
          <w:color w:val="000000" w:themeColor="text1"/>
          <w:sz w:val="16"/>
          <w:szCs w:val="16"/>
          <w:vertAlign w:val="subscript"/>
        </w:rPr>
        <w:t>8</w:t>
      </w:r>
      <w:r w:rsidRPr="00E93F40">
        <w:rPr>
          <w:rFonts w:ascii="Times New Roman" w:hAnsi="Times New Roman"/>
          <w:color w:val="000000" w:themeColor="text1"/>
          <w:sz w:val="16"/>
          <w:szCs w:val="16"/>
        </w:rPr>
        <w:t xml:space="preserve"> в Спецмаштрест — 2 завода и танковый цех Харьковского паровозостроительного завода. 18 оружейных и артиллерийских заводов были переданы в подчинение Главного военно-мобилизационного управления Наркомата тяжелой промышленности СССР. Военное судостроение было представлено 8 заводами, входившими в «гражданское» производственное объединение «Союзверфь» (РГАЭ ф. 7297, оп. 38, д. 91, л. 36) (1566,83).</w:t>
      </w:r>
    </w:p>
    <w:p w14:paraId="268D44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81D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с созданием наркомата тяжелой промышленности (НКТП) руководство всей оборонной индустрией было сосредоточено в Главном военномобилизационном управлении (ГВМУ) НКТП. В состав ГВМУ входило и Всесоюзное объединение авиационной промышленности (ВОА). В 1934 году ВОА (с 7 декабря того же года преобразованное в Главное управление авиационной промышленности – ГУАП) из ГВМУ было переподчинено непосредственно НКТП. Таким образом, авиапромышленность перешла из ведомства военного в ведомство экономическое. В 1936 году ГУАП занимало одно из центральных мест в военной промышленности, входившей в систему НКТП. В его подчинении находилось 24 предприятия. Крупнейшим трестом ГУАП был самолетостроительный, а вторым по количеству предприятий – моторный (Мухин М.Ю. Эволюция системы управления советской оборонной промышленностью в 1921-1941 годах и смена приоритетов «оборонки». С. 7, 9-10.) (11672).</w:t>
      </w:r>
    </w:p>
    <w:p w14:paraId="53A08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CCBDB9" w14:textId="77777777" w:rsidR="0059309B" w:rsidRPr="00E93F40" w:rsidRDefault="0059309B"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в системе Технического штаба Начальника вооружений РККА был создан специальный сектор по руководству большим количеством Особых КБ, экспериментальных баз и полигонов, в том числе и ГДЛ. Начальником этого сектора (впоследствии отдела) стал Я.М. Терентьев, его помошниками Б.Н. Лопаков и И.П. Попков. «Летом 1932 г., - пишет Терентьев, - в Спецсектор пришли представители ГИРД - СП. Королев и заместитель начальника первой бригады Л.К. Корнеев (Корнеев будучи членом В1СП(б) сопровождал Королева, который, как беспартийный испытывал трудности с допуском в военные и секретные учреждения). Они просили помощи у Наркомата военных и морских дел. Я не мог принять решения не ознакомившись поближе с их работой». Тогда же, летом и состоялся знаменитый визит Я.М. Терентьева в ГИРД, когда он, шокированный нищетой конструкторской организации, поразился результатам ее работы, особенно по сравнению с обласканной ГДЛ, для выполнения заказов которой подключали промышленность. Вот выводы, к которым пришел Я.М. Терентьев после посещения ГИРД и с которыми пошел докладывать Начальнику вооружений РККА М.Н. Тухачевскому:</w:t>
      </w:r>
    </w:p>
    <w:p w14:paraId="70973CA5" w14:textId="77777777" w:rsidR="0059309B" w:rsidRPr="00E93F40" w:rsidRDefault="0059309B"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проекту Ф.А. Цандера уже создан реактивный двигатель, прошедший испытания и подтвердивший теоретические выводы конструктора.</w:t>
      </w:r>
    </w:p>
    <w:p w14:paraId="74FE68FE" w14:textId="77777777" w:rsidR="0059309B" w:rsidRPr="00E93F40" w:rsidRDefault="0059309B"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Инженеры СП . Королев, М.К. Тихонравов, М.А. Кисенко имеют свои проекты ракетных двигателей и ракет.</w:t>
      </w:r>
    </w:p>
    <w:p w14:paraId="5F0EDD92" w14:textId="77777777" w:rsidR="0059309B" w:rsidRPr="00E93F40" w:rsidRDefault="0059309B"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 отдельным разработкам деталей реактивных двигателей, в частности жидкостных, коллектив ТИР Да имеет оригинальные (по сравнению с ГДЛ) решения» (22685).</w:t>
      </w:r>
    </w:p>
    <w:p w14:paraId="58570946" w14:textId="77777777" w:rsidR="0059309B" w:rsidRPr="00E93F40" w:rsidRDefault="0059309B" w:rsidP="00E93F40">
      <w:pPr>
        <w:shd w:val="clear" w:color="auto" w:fill="FFFFFF"/>
        <w:spacing w:after="0" w:line="240" w:lineRule="auto"/>
        <w:jc w:val="both"/>
        <w:rPr>
          <w:rFonts w:ascii="Times New Roman" w:hAnsi="Times New Roman"/>
          <w:color w:val="000000" w:themeColor="text1"/>
          <w:sz w:val="16"/>
          <w:szCs w:val="16"/>
        </w:rPr>
      </w:pPr>
    </w:p>
    <w:p w14:paraId="517166AF" w14:textId="77777777" w:rsidR="00E30AB1" w:rsidRPr="00E93F40" w:rsidRDefault="00E30A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вместо ВСНХ было образовано три наркомата: тяжелой, легкой и лесной промышленности. Военпром почти целиком вошел в состав наркомата тяжелой промышленности (Наркомтяжпрома, НКТП). Это был шаг в сторону дальнейшей концентрации военной промышленности и военной мобилизации. Появился ряд новых производственных трестов. Сами объединения дробились на главки с целью, как го</w:t>
      </w:r>
      <w:r w:rsidRPr="00E93F40">
        <w:rPr>
          <w:rFonts w:ascii="Times New Roman" w:hAnsi="Times New Roman"/>
          <w:color w:val="000000" w:themeColor="text1"/>
          <w:sz w:val="16"/>
          <w:szCs w:val="16"/>
        </w:rPr>
        <w:softHyphen/>
        <w:t>ворилось, приблизить управление к заводам. Кадровые военные заводы перешли в подчинение НКТП, в том числе в Глававиа</w:t>
      </w:r>
      <w:r w:rsidRPr="00E93F40">
        <w:rPr>
          <w:rFonts w:ascii="Times New Roman" w:hAnsi="Times New Roman"/>
          <w:color w:val="000000" w:themeColor="text1"/>
          <w:sz w:val="16"/>
          <w:szCs w:val="16"/>
        </w:rPr>
        <w:softHyphen/>
        <w:t>пром - 17 заводов, Вохимтрест - 7 заводов, трест органических производств - 3 завода, Всесоюзный трест искусственного волок</w:t>
      </w:r>
      <w:r w:rsidRPr="00E93F40">
        <w:rPr>
          <w:rFonts w:ascii="Times New Roman" w:hAnsi="Times New Roman"/>
          <w:color w:val="000000" w:themeColor="text1"/>
          <w:sz w:val="16"/>
          <w:szCs w:val="16"/>
        </w:rPr>
        <w:softHyphen/>
        <w:t>на-5, Патронно-гильзовый - 3, Снарядный - 12, Спецмаштрест - 2 завода. 18 оружейных и артиллерийских заводов подчинялись непосредственно ГВМУ НКТП. Военное судостроение, представ</w:t>
      </w:r>
      <w:r w:rsidRPr="00E93F40">
        <w:rPr>
          <w:rFonts w:ascii="Times New Roman" w:hAnsi="Times New Roman"/>
          <w:color w:val="000000" w:themeColor="text1"/>
          <w:sz w:val="16"/>
          <w:szCs w:val="16"/>
        </w:rPr>
        <w:softHyphen/>
        <w:t>ленное восемью заводами, подчинялось объединению “Союз- верфь”. Глава ГВМУ И.П. Павлуновский обратился к Сталину и Молотову с письмом о необходимости расширения капитало</w:t>
      </w:r>
      <w:r w:rsidRPr="00E93F40">
        <w:rPr>
          <w:rFonts w:ascii="Times New Roman" w:hAnsi="Times New Roman"/>
          <w:color w:val="000000" w:themeColor="text1"/>
          <w:sz w:val="16"/>
          <w:szCs w:val="16"/>
        </w:rPr>
        <w:softHyphen/>
        <w:t>вложений в военную промышленность на 1932 г. Накопление мощностей по плану МВ-10, писал он, требует 958 млн руб. капи</w:t>
      </w:r>
      <w:r w:rsidRPr="00E93F40">
        <w:rPr>
          <w:rFonts w:ascii="Times New Roman" w:hAnsi="Times New Roman"/>
          <w:color w:val="000000" w:themeColor="text1"/>
          <w:sz w:val="16"/>
          <w:szCs w:val="16"/>
        </w:rPr>
        <w:softHyphen/>
        <w:t>таловложений, тогда как выделено только 702 млн руб. Особен</w:t>
      </w:r>
      <w:r w:rsidRPr="00E93F40">
        <w:rPr>
          <w:rFonts w:ascii="Times New Roman" w:hAnsi="Times New Roman"/>
          <w:color w:val="000000" w:themeColor="text1"/>
          <w:sz w:val="16"/>
          <w:szCs w:val="16"/>
        </w:rPr>
        <w:softHyphen/>
        <w:t>ное внимание, по его мнению, следовало бы обратить на кадро</w:t>
      </w:r>
      <w:r w:rsidRPr="00E93F40">
        <w:rPr>
          <w:rFonts w:ascii="Times New Roman" w:hAnsi="Times New Roman"/>
          <w:color w:val="000000" w:themeColor="text1"/>
          <w:sz w:val="16"/>
          <w:szCs w:val="16"/>
        </w:rPr>
        <w:softHyphen/>
        <w:t>вые заводы</w:t>
      </w:r>
      <w:bookmarkStart w:id="6" w:name="_ednref66"/>
      <w:r w:rsidRPr="00E93F40">
        <w:rPr>
          <w:rFonts w:ascii="Times New Roman" w:hAnsi="Times New Roman"/>
          <w:color w:val="000000" w:themeColor="text1"/>
          <w:sz w:val="16"/>
          <w:szCs w:val="16"/>
        </w:rPr>
        <w:t xml:space="preserve"> (18393)</w:t>
      </w:r>
      <w:bookmarkEnd w:id="6"/>
      <w:r w:rsidRPr="00E93F40">
        <w:rPr>
          <w:rFonts w:ascii="Times New Roman" w:hAnsi="Times New Roman"/>
          <w:color w:val="000000" w:themeColor="text1"/>
          <w:sz w:val="16"/>
          <w:szCs w:val="16"/>
        </w:rPr>
        <w:t>.</w:t>
      </w:r>
    </w:p>
    <w:p w14:paraId="067D1A26" w14:textId="77777777" w:rsidR="00E30AB1" w:rsidRPr="00E93F40" w:rsidRDefault="00E30AB1" w:rsidP="00E93F40">
      <w:pPr>
        <w:spacing w:after="0" w:line="240" w:lineRule="auto"/>
        <w:jc w:val="both"/>
        <w:rPr>
          <w:rFonts w:ascii="Times New Roman" w:hAnsi="Times New Roman"/>
          <w:color w:val="000000" w:themeColor="text1"/>
          <w:sz w:val="16"/>
          <w:szCs w:val="16"/>
        </w:rPr>
      </w:pPr>
    </w:p>
    <w:p w14:paraId="0860DDBA" w14:textId="77777777" w:rsidR="00E30AB1" w:rsidRPr="00E93F40" w:rsidRDefault="00E30A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января 1932 г., после упразднения ВСНХ СССР, «кадровые» военные заводы перешли в подчинение управлений и трестов Наркомата тяжелой промышленности СССР, в том числе: в Глававиапром – 17 заводов, в Вохимтрест – 7 заводов, во Всесоюзный трест органических производств – 3 завода, Всесоюзный трест искусственного волокна – 5 заводов, в Патронно-гильзовый трест – 3 завода, в Снарядный трест – 12 заводов, в Спецмаштрест – 2 завода и танковый цех Харьковского паровозостроительного завода. 18 оружейных и артиллерийских заводов были переданы в подчинение Главного военно-мобилизационного управления Наркомата тяжелой промышленности СССР. Военное судостроение было представлено 8 заводами, входившими в «гражданское» производственное объединение «Союзверфь».</w:t>
      </w:r>
    </w:p>
    <w:p w14:paraId="0726EBB6" w14:textId="77777777" w:rsidR="00E30AB1" w:rsidRPr="00E93F40" w:rsidRDefault="00E30A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данным архивов Государственного планового комитета (Госплана), второй советский пятилетний план (1933-1937 гг.) предусматривал сокращение производства боевых самолетов с 3,515 тыс. до 2 тыс. единиц, а танков – с 4,22 тыс. до 2,8 тыс. В то же время Госплан потребовал от оборонной промышленности резко увеличить ее мобилизационный потенциал: по самолетам – с 13,1 тыс. до 46,3 тыс. единиц, а по танкам – с 40,4 тыс. до 90 тыс.!!! (19406).</w:t>
      </w:r>
    </w:p>
    <w:p w14:paraId="7B2D4F00" w14:textId="77777777" w:rsidR="00E30AB1" w:rsidRPr="00E93F40" w:rsidRDefault="00E30AB1" w:rsidP="00E93F40">
      <w:pPr>
        <w:spacing w:after="0" w:line="240" w:lineRule="auto"/>
        <w:jc w:val="both"/>
        <w:rPr>
          <w:rFonts w:ascii="Times New Roman" w:hAnsi="Times New Roman"/>
          <w:color w:val="000000" w:themeColor="text1"/>
          <w:sz w:val="16"/>
          <w:szCs w:val="16"/>
        </w:rPr>
      </w:pPr>
    </w:p>
    <w:p w14:paraId="40C3C49F"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созданием в январе 1932 г. наркомата тяжелой промышленности (НКТП), руководство всей оборонной индустрией было сосредоточено в Глав</w:t>
      </w:r>
      <w:r w:rsidRPr="00142305">
        <w:rPr>
          <w:rStyle w:val="aff"/>
          <w:rFonts w:ascii="Times New Roman" w:hAnsi="Times New Roman" w:cs="Times New Roman"/>
          <w:color w:val="0070C0"/>
          <w:spacing w:val="0"/>
          <w:sz w:val="16"/>
          <w:szCs w:val="16"/>
        </w:rPr>
        <w:softHyphen/>
        <w:t>ном военно-мобилизационном управлении (ГВМУ) НКТП. В состав ГВМУ входило и Всесоюзное объединение авиационной промышленности (ВОА). В 1934 г. ВОА (с 7 декабря того же года преобразованное в Главное управление авиационной промышленности - ГУАП) из ГВМУ был переподчинен непо</w:t>
      </w:r>
      <w:r w:rsidRPr="00142305">
        <w:rPr>
          <w:rStyle w:val="aff"/>
          <w:rFonts w:ascii="Times New Roman" w:hAnsi="Times New Roman" w:cs="Times New Roman"/>
          <w:color w:val="0070C0"/>
          <w:spacing w:val="0"/>
          <w:sz w:val="16"/>
          <w:szCs w:val="16"/>
        </w:rPr>
        <w:softHyphen/>
        <w:t>средственно НКТП. Таким образом, авиапромышленность перешла из ведомст</w:t>
      </w:r>
      <w:r w:rsidRPr="00142305">
        <w:rPr>
          <w:rStyle w:val="aff"/>
          <w:rFonts w:ascii="Times New Roman" w:hAnsi="Times New Roman" w:cs="Times New Roman"/>
          <w:color w:val="0070C0"/>
          <w:spacing w:val="0"/>
          <w:sz w:val="16"/>
          <w:szCs w:val="16"/>
        </w:rPr>
        <w:softHyphen/>
        <w:t>ва военного в ведомство экономическое. В 1936 г. ГУАП занимал одно из цен</w:t>
      </w:r>
      <w:r w:rsidRPr="00142305">
        <w:rPr>
          <w:rStyle w:val="aff"/>
          <w:rFonts w:ascii="Times New Roman" w:hAnsi="Times New Roman" w:cs="Times New Roman"/>
          <w:color w:val="0070C0"/>
          <w:spacing w:val="0"/>
          <w:sz w:val="16"/>
          <w:szCs w:val="16"/>
        </w:rPr>
        <w:softHyphen/>
        <w:t>тральных мест в военной промышленности, входившей в систему НКТП. В его подчинении находилось 24 предприятия. Крупнейшим трестом ГУАП был самолетостроительный, а вторым по количеству предприятий – моторный (</w:t>
      </w:r>
      <w:r w:rsidRPr="00C55E74">
        <w:rPr>
          <w:rStyle w:val="aff3"/>
          <w:rFonts w:ascii="Times New Roman" w:hAnsi="Times New Roman" w:cs="Times New Roman"/>
          <w:i w:val="0"/>
          <w:iCs w:val="0"/>
          <w:color w:val="0070C0"/>
          <w:sz w:val="16"/>
          <w:szCs w:val="16"/>
          <w:lang w:val="ru-RU"/>
        </w:rPr>
        <w:t>Мухин М.Ю. Источники по развитию военной промышленности СССР в 1921 - 1941 годах (обзор) // Отечественная история. 1996. № 4. С. 7, 9-10.</w:t>
      </w:r>
      <w:r w:rsidRPr="00142305">
        <w:rPr>
          <w:rStyle w:val="aff"/>
          <w:rFonts w:ascii="Times New Roman" w:hAnsi="Times New Roman" w:cs="Times New Roman"/>
          <w:color w:val="0070C0"/>
          <w:spacing w:val="0"/>
          <w:sz w:val="16"/>
          <w:szCs w:val="16"/>
        </w:rPr>
        <w:t>) (25647).</w:t>
      </w:r>
    </w:p>
    <w:p w14:paraId="315AE2A7" w14:textId="77777777" w:rsidR="00C55E74" w:rsidRPr="00142305" w:rsidRDefault="00C55E74" w:rsidP="00C55E74">
      <w:pPr>
        <w:spacing w:after="0" w:line="240" w:lineRule="auto"/>
        <w:jc w:val="both"/>
        <w:rPr>
          <w:rFonts w:ascii="Times New Roman" w:hAnsi="Times New Roman"/>
          <w:color w:val="0070C0"/>
          <w:sz w:val="16"/>
          <w:szCs w:val="16"/>
        </w:rPr>
      </w:pPr>
    </w:p>
    <w:p w14:paraId="143CA173" w14:textId="6C99CC5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комбинат № 2(Завод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Троцк,</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Чапаевск Куйбышевской, Самарской обл. п/я 2 (1930 г.)/ /446102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Чапаевск Самарской обл. ул. Орджоникидзе, 1/), в августе 1930 влитый в состав комбината № 15, был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750A625C" w14:textId="67261AC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2A6C5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w:t>
      </w:r>
      <w:r w:rsidRPr="00E93F40">
        <w:rPr>
          <w:rFonts w:ascii="Times New Roman" w:hAnsi="Times New Roman"/>
          <w:color w:val="000000" w:themeColor="text1"/>
          <w:sz w:val="16"/>
          <w:szCs w:val="16"/>
        </w:rPr>
        <w:lastRenderedPageBreak/>
        <w:t>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1A1FEF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3455 от 31.05.1943 г. заводу выделено 500 чел. военнообязанных для работы с ОВ.</w:t>
      </w:r>
    </w:p>
    <w:p w14:paraId="56338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11A29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268E09F0" w14:textId="583BB63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Впоследствии назывался Чапаевский завод химических удобрений, в 1990-е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переименован в Средневолжский завод химикатов (СВЗХ).</w:t>
      </w:r>
    </w:p>
    <w:p w14:paraId="32200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116A79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3CCBB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(1942 г.)- 1840 чел., (1943 г.)- 2420 чел., (1944 г.)- 2450 чел.</w:t>
      </w:r>
    </w:p>
    <w:p w14:paraId="6DD0B3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7A834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Помощник директора по найму и увольнению (06.1937 г.)- П.С. Брандес.</w:t>
      </w:r>
    </w:p>
    <w:p w14:paraId="19EBE6E5" w14:textId="39546CE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(1934-; 19.06.1937-31.12.1938; -1941 г.)- Я.П. Чопоров; и.о. (31.12.1938 г.-)- В.В. Ярыгин; (1942- 45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Г.Ф. Нехорошее.</w:t>
      </w:r>
      <w:r w:rsidRPr="00E93F40">
        <w:rPr>
          <w:rFonts w:ascii="Times New Roman" w:hAnsi="Times New Roman"/>
          <w:color w:val="000000" w:themeColor="text1"/>
          <w:sz w:val="16"/>
          <w:szCs w:val="16"/>
          <w:vertAlign w:val="superscript"/>
        </w:rPr>
        <w:t>71</w:t>
      </w:r>
    </w:p>
    <w:p w14:paraId="0A059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авиабомбы ФАБ-100КД (1942) (11982).</w:t>
      </w:r>
    </w:p>
    <w:p w14:paraId="14316C47" w14:textId="77777777" w:rsidR="00C145FA" w:rsidRPr="00E93F40" w:rsidRDefault="00C145FA" w:rsidP="00E93F40">
      <w:pPr>
        <w:spacing w:after="0" w:line="240" w:lineRule="auto"/>
        <w:jc w:val="both"/>
        <w:rPr>
          <w:rFonts w:ascii="Times New Roman" w:hAnsi="Times New Roman"/>
          <w:color w:val="000000" w:themeColor="text1"/>
          <w:sz w:val="16"/>
          <w:szCs w:val="16"/>
        </w:rPr>
      </w:pPr>
    </w:p>
    <w:p w14:paraId="47139704"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при посещении завода «Большевик» Курчевский дал указание укоротить ствол 305-мм ДРП на 10 калибров и оставить длину 3429 мм, то есть 11,2 калибра, а вес снаряда уменьшить до 250 кг.</w:t>
      </w:r>
    </w:p>
    <w:p w14:paraId="55954945"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5B28CD95"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4763AE16"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561A5D7B"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4C810935"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0D4B01B6"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118D5339"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75BE7CB5"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7C32524"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04749373"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07494D31" w14:textId="77777777" w:rsidR="00C145FA" w:rsidRPr="00E93F40" w:rsidRDefault="00C145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2222FCF0" w14:textId="77777777" w:rsidR="00C145FA" w:rsidRPr="00E93F40" w:rsidRDefault="00C145FA" w:rsidP="00E93F40">
      <w:pPr>
        <w:spacing w:after="0" w:line="240" w:lineRule="auto"/>
        <w:jc w:val="both"/>
        <w:rPr>
          <w:rFonts w:ascii="Times New Roman" w:hAnsi="Times New Roman"/>
          <w:color w:val="000000" w:themeColor="text1"/>
          <w:sz w:val="16"/>
          <w:szCs w:val="16"/>
        </w:rPr>
      </w:pPr>
    </w:p>
    <w:p w14:paraId="334E36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на заводе № 8 КБ под руководством И.А.Маханова для БТ разрабатывали 37 мм пушка РМ (9527,62).</w:t>
      </w:r>
    </w:p>
    <w:p w14:paraId="5A7FCA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8215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Курчевский при посещении завода «Большевик» дал указание укоротить ствол 305-мм ДРП Курчевского на 10 калибров и оставить длину 3429 мм, то есть 11,2 калибра, а вес снаряда уменьшить до 250 кг.</w:t>
      </w:r>
    </w:p>
    <w:p w14:paraId="6070E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w:t>
      </w:r>
    </w:p>
    <w:p w14:paraId="670771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23AC7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9E7A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3717B5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238B2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2BF5A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978329"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январе 1932 г. при посещении завода «Большевик» Курчевский дал указание укоротить ствол 305-мм ДРП Курчевского на 10 калибров и оставить длину 3429 мм, то есть 11,2 калибра, а вес снаряда уменьшить до 250 кг (25213).</w:t>
      </w:r>
    </w:p>
    <w:p w14:paraId="6C8F865F" w14:textId="77777777" w:rsidR="00C55E74" w:rsidRPr="00142305" w:rsidRDefault="00C55E74" w:rsidP="00C55E74">
      <w:pPr>
        <w:spacing w:after="0" w:line="240" w:lineRule="auto"/>
        <w:jc w:val="both"/>
        <w:rPr>
          <w:rFonts w:ascii="Times New Roman" w:hAnsi="Times New Roman"/>
          <w:color w:val="0070C0"/>
          <w:sz w:val="16"/>
          <w:szCs w:val="16"/>
        </w:rPr>
      </w:pPr>
    </w:p>
    <w:p w14:paraId="093865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Ленинградскому Металлическому заводу (ЛМЗ) было выдано предварительное техническое задание на проектирование береговой батареи в составе двух 12/52-дюймовых трехорудийных башенных установок МБ-3-12 с использованием башен, снятых с линкора "Полтава". Разработкой проекта на ЛМЗ руководили Флоренский А.А. и Богданов Н.В. На Дальнем Востоке в юго-западной части бухты Новик на о. Русском были установлены две башни МБ-3-12. Первая башня вошла в строй в 1933 году, вторая в 1934 году. Батарея получила номер 981. Эта батарея до сих пор поддерживается в боевой готовности. Еще две башни с "Полтавы" предполагалось установить на полуострове Ханко. На 22.06.1941 г. эти башни находились на территории Металлического завода, где и пролежали всю войну. Первоначально береговые установки МБ-3-12 имели угол вертикального наведения 5; +25. Почти все башенные механизмы были взяты с линкоров. В конце 40-х начале 50-х годов трехорудийные башенные установки были модернизированы и получили индекс МБ-3-12ФМ. Проект модернизации был выполнен ЦКБ-34. Угол вертикального наведения был увеличен до 3; +40, немного увеличена скорострельность за счет изменения конструкции досылателя, введен новый прибор управления стрельбой (ПУС) "Берег-30". В 1953 году была принята на вооружение радиолокационная станция орудийной наводки "Залп-Б", работавшая в 3-см диапазоне. В ПУС был введен индикатор с прямоугольной системой координат, обеспечивающий наблюдение всплесков артиллерийских снарядов и коррекцию по приборным данным. РЛС обеспечивала автоматическое сопровождение целей по двум координатам. Постановлением СМ были начаты работы по проектированию трехорудийной башенной установки на месте батареи № 30 в Севастополе. Оставшиеся две башни с "Полтавы" в 1952 году были модернизированы по проекту МБ-3-12ФМ. Использовались стволы морской артиллерии разных выпусков от 1911 до 1917 годов. Все стволы были лейнированы в 1940-1942 годах. В 1954 году батарея вступила в строй. Нумерация ее неоднократно менялась. Например, предпоследнее наименование 3-й дивизион 346-го ракетно-артиллерийского полка береговой обороны, последнее 459-й отдельный башенный артиллерийский дивизион 951-го полка береговой обороны. В 1996 году батарея передана Украине (3861).</w:t>
      </w:r>
    </w:p>
    <w:p w14:paraId="53A16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AAA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январе 1932 под руководством нач. КБ Т-2К ХПЗ А.О.Фирсова конструкторами Н.А.Кучеренко, В.М.Дорошенко и А.А.Морозовым начались работы по совершенствованию БТ-2 - созданию БТ-5 (3880).</w:t>
      </w:r>
    </w:p>
    <w:p w14:paraId="16FFD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E7A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январе 1932 г. был изготовлен опытный образец танка Д-38, причем гусеницы на нем были заимствованы от второго закупленного танка «Кристи» М.1940, который находился в бюро на исследовании. Машина отличалась от серийного танка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 </w:t>
      </w:r>
    </w:p>
    <w:p w14:paraId="012762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качестве основного оружия на машине, согласно техническому проекту, предполагалось установить две пушки: 37-мм танковую и 76,2-мм противоштурмовую пушку «Гарфорда».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танка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 Для ведения прицельной стрельбы использовался удлиненный телескопический танковый прицел обр. 1930 г., для которого в броне башни было сделано специальное окно. Подъемный механизм был сохранен от полковой пушки. Бронировка орудия на машине не устанавливалась. Справа от пушки автономно размещался 7,62-мм пулемет ДТ. </w:t>
      </w:r>
    </w:p>
    <w:p w14:paraId="5F0CE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Боекомплект машины состоял из 50 выстрелов к пушке и 2700 патронов к пулемету. 25 марта 1932 году пушка ПС-3, установленная в башне конструкции Дыренкова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0E3F9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C8416B" w14:textId="77777777" w:rsidR="00C55E74" w:rsidRPr="00E93F40" w:rsidRDefault="00C55E74" w:rsidP="00C55E74">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был изготовлен опытный образец модернизированной КБ Н.И.Дыренкова версии танка БТ под названием Д-38. Гусеницы взяли со второго Кристи. Поставили полковую пушку ПС-3 76-мм и разработали два варианта башни: сварная из плоских листов и куполообразная штампованная. Скорость 90/60 км/час при массе 11.5 т (3879,22).</w:t>
      </w:r>
    </w:p>
    <w:p w14:paraId="5E82803C" w14:textId="77777777" w:rsidR="00C55E74" w:rsidRPr="00E93F40" w:rsidRDefault="00C55E74" w:rsidP="00C55E74">
      <w:pPr>
        <w:autoSpaceDE w:val="0"/>
        <w:autoSpaceDN w:val="0"/>
        <w:adjustRightInd w:val="0"/>
        <w:spacing w:after="0" w:line="240" w:lineRule="auto"/>
        <w:jc w:val="both"/>
        <w:rPr>
          <w:rFonts w:ascii="Times New Roman" w:hAnsi="Times New Roman"/>
          <w:color w:val="000000" w:themeColor="text1"/>
          <w:sz w:val="16"/>
          <w:szCs w:val="16"/>
        </w:rPr>
      </w:pPr>
    </w:p>
    <w:p w14:paraId="47B988B3"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январе 1932 г. построили первый опытный экземпляр танка, получившего обозначение Д-38. </w:t>
      </w:r>
    </w:p>
    <w:p w14:paraId="33BE2906"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был разработан Дыренковым, но ведущим инженером был Н.Гуленко. Рабочие чертежи подготовили в конце 1931 г.</w:t>
      </w:r>
    </w:p>
    <w:p w14:paraId="21389789"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Корпус БТ-2 был доработан под установку новой башни двух типов: сварной (из плоских броневых листов) и куполообразной (штампованной). Ходовая часть осталась прежней, но гусеницы (вероятно, в целях экономии) позаимствовали от американского танка Christy M1930, проходившего в то время испытания в СССР.</w:t>
      </w:r>
    </w:p>
    <w:p w14:paraId="131A19C5"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Была спроектирована новая башня, в которой можно было установить 76,2-мм противоштурмовую пушку «Гарфорд». Подобное орудие устанавливалось на пушечные бронеавтомобили в Первую Мировую войну и зарекомендовало себя с хорошей стороны. Когда прототип Д-38 был почти готов, старую пушку решили заменить на более современную ПС-3 того же калибра, правда без её бронирования. По существу это была стандартная полковая пушка образца 1927 г. с укороченным откатом, которая устанавливалась в цапфах на станине, приваренной к башне и имевшей максимальный угол возвышения 25°. Подъёмный механизм сохранили от полковой пушки, а для ведения прицельной стрельбы использовали удлиненный телескопический танковый прицел обр.1930 г., устанавливаемый рядом с орудием в специальном вырезе в броне. Для борьбы с пехотой справа от орудия располагался 7,62-мм пулемет ДТ. Боекомплект танка состоял из 50 выстрелов к пушке и 2700 патронов к пулемету.</w:t>
      </w:r>
    </w:p>
    <w:p w14:paraId="6B5B5A7A"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Непосредственно перед началом испытательного цикла Д-38 его башня и пушка ПС-3 прошли испытания на серийном танке БТ-2 (25498).</w:t>
      </w:r>
    </w:p>
    <w:p w14:paraId="2AAAF834" w14:textId="77777777" w:rsidR="00C55E74" w:rsidRPr="00142305" w:rsidRDefault="00C55E74" w:rsidP="00C55E74">
      <w:pPr>
        <w:spacing w:after="0" w:line="240" w:lineRule="auto"/>
        <w:jc w:val="both"/>
        <w:rPr>
          <w:rFonts w:ascii="Times New Roman" w:hAnsi="Times New Roman"/>
          <w:color w:val="0070C0"/>
          <w:sz w:val="16"/>
          <w:szCs w:val="16"/>
        </w:rPr>
      </w:pPr>
    </w:p>
    <w:p w14:paraId="39CF6D78" w14:textId="77777777" w:rsidR="009B5B0B" w:rsidRPr="00E93F40" w:rsidRDefault="009B5B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Январь 1932 г.</w:t>
      </w:r>
    </w:p>
    <w:p w14:paraId="65A77147" w14:textId="77777777" w:rsidR="009B5B0B" w:rsidRPr="00E93F40" w:rsidRDefault="009B5B0B"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color w:val="000000" w:themeColor="text1"/>
          <w:sz w:val="16"/>
          <w:szCs w:val="16"/>
        </w:rPr>
        <w:t>Спецсообщение ЭКУ ОГПУ о вооружении танков артиллерией. Январь 1932 г.</w:t>
      </w:r>
    </w:p>
    <w:p w14:paraId="63B1A514" w14:textId="49F9667B" w:rsidR="009B5B0B" w:rsidRPr="00E93F40" w:rsidRDefault="009B5B0B"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Источник:</w:t>
      </w:r>
      <w:r w:rsidR="007C1411" w:rsidRPr="00E93F40">
        <w:rPr>
          <w:rFonts w:ascii="Times New Roman" w:hAnsi="Times New Roman"/>
          <w:bCs/>
          <w:color w:val="000000" w:themeColor="text1"/>
          <w:sz w:val="16"/>
          <w:szCs w:val="16"/>
        </w:rPr>
        <w:t xml:space="preserve"> </w:t>
      </w:r>
    </w:p>
    <w:p w14:paraId="3116ECDF" w14:textId="77777777" w:rsidR="009B5B0B" w:rsidRPr="00E93F40" w:rsidRDefault="009B5B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 Лубянка — Сталину о положении в стране (1922-1934 гг.)</w:t>
      </w:r>
    </w:p>
    <w:p w14:paraId="578A0379" w14:textId="68C60A6D" w:rsidR="009B5B0B" w:rsidRPr="00E93F40" w:rsidRDefault="009B5B0B"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Архив:</w:t>
      </w:r>
      <w:r w:rsidR="007C1411" w:rsidRPr="00E93F40">
        <w:rPr>
          <w:rFonts w:ascii="Times New Roman" w:hAnsi="Times New Roman"/>
          <w:bCs/>
          <w:color w:val="000000" w:themeColor="text1"/>
          <w:sz w:val="16"/>
          <w:szCs w:val="16"/>
        </w:rPr>
        <w:t xml:space="preserve"> </w:t>
      </w:r>
    </w:p>
    <w:p w14:paraId="64B41857" w14:textId="77777777" w:rsidR="009B5B0B" w:rsidRPr="00E93F40" w:rsidRDefault="009B5B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 2. Оп. 10. Д. 116. Л. 137-138. Заверенная копия</w:t>
      </w:r>
    </w:p>
    <w:p w14:paraId="6C16A435" w14:textId="77777777" w:rsidR="009B5B0B" w:rsidRPr="00E93F40" w:rsidRDefault="009B5B0B" w:rsidP="00E93F40">
      <w:pPr>
        <w:pStyle w:val="rteright"/>
        <w:spacing w:before="0" w:after="0"/>
        <w:jc w:val="both"/>
        <w:rPr>
          <w:color w:val="000000" w:themeColor="text1"/>
          <w:sz w:val="16"/>
          <w:szCs w:val="16"/>
        </w:rPr>
      </w:pPr>
      <w:r w:rsidRPr="00E93F40">
        <w:rPr>
          <w:color w:val="000000" w:themeColor="text1"/>
          <w:sz w:val="16"/>
          <w:szCs w:val="16"/>
        </w:rPr>
        <w:t>Январь 1932 г.</w:t>
      </w:r>
    </w:p>
    <w:p w14:paraId="3BA686F5" w14:textId="77777777" w:rsidR="009B5B0B" w:rsidRPr="00E93F40" w:rsidRDefault="009B5B0B" w:rsidP="00E93F40">
      <w:pPr>
        <w:pStyle w:val="rteright"/>
        <w:spacing w:before="0" w:after="0"/>
        <w:jc w:val="both"/>
        <w:rPr>
          <w:color w:val="000000" w:themeColor="text1"/>
          <w:sz w:val="16"/>
          <w:szCs w:val="16"/>
        </w:rPr>
      </w:pPr>
      <w:r w:rsidRPr="00E93F40">
        <w:rPr>
          <w:color w:val="000000" w:themeColor="text1"/>
          <w:sz w:val="16"/>
          <w:szCs w:val="16"/>
        </w:rPr>
        <w:t>Совершенно секретно</w:t>
      </w:r>
    </w:p>
    <w:p w14:paraId="7E9428A9" w14:textId="77777777" w:rsidR="009B5B0B" w:rsidRPr="00E93F40" w:rsidRDefault="009B5B0B" w:rsidP="00E93F40">
      <w:pPr>
        <w:pStyle w:val="ae"/>
        <w:spacing w:before="0" w:after="0"/>
        <w:jc w:val="both"/>
        <w:rPr>
          <w:color w:val="000000" w:themeColor="text1"/>
          <w:sz w:val="16"/>
          <w:szCs w:val="16"/>
        </w:rPr>
      </w:pPr>
      <w:r w:rsidRPr="00E93F40">
        <w:rPr>
          <w:color w:val="000000" w:themeColor="text1"/>
          <w:sz w:val="16"/>
          <w:szCs w:val="16"/>
        </w:rPr>
        <w:t>Зам. председателя ОГПУ т. Акулову</w:t>
      </w:r>
    </w:p>
    <w:p w14:paraId="14E8DC6D" w14:textId="77777777" w:rsidR="009B5B0B" w:rsidRPr="00E93F40" w:rsidRDefault="009B5B0B" w:rsidP="00E93F40">
      <w:pPr>
        <w:pStyle w:val="rtejustify"/>
        <w:spacing w:before="0" w:after="0"/>
        <w:rPr>
          <w:color w:val="000000" w:themeColor="text1"/>
          <w:sz w:val="16"/>
          <w:szCs w:val="16"/>
        </w:rPr>
      </w:pPr>
      <w:r w:rsidRPr="00E93F40">
        <w:rPr>
          <w:color w:val="000000" w:themeColor="text1"/>
          <w:sz w:val="16"/>
          <w:szCs w:val="16"/>
        </w:rPr>
        <w:t>Вопрос вооружения танков артиллерией до сих пор остается неразрешенным. Промышленностью ведется мобподготовка и изготовление танков по текущей программе (типы: БТ — Т-26 Виккерса), для вооружения которых нет принятых систем пушек. Единого конструкторского центра по танкам и пушкам нет.</w:t>
      </w:r>
    </w:p>
    <w:p w14:paraId="445CECFB" w14:textId="77777777" w:rsidR="009B5B0B" w:rsidRPr="00E93F40" w:rsidRDefault="009B5B0B" w:rsidP="00E93F40">
      <w:pPr>
        <w:pStyle w:val="rtejustify"/>
        <w:spacing w:before="0" w:after="0"/>
        <w:rPr>
          <w:color w:val="000000" w:themeColor="text1"/>
          <w:sz w:val="16"/>
          <w:szCs w:val="16"/>
        </w:rPr>
      </w:pPr>
      <w:r w:rsidRPr="00E93F40">
        <w:rPr>
          <w:color w:val="000000" w:themeColor="text1"/>
          <w:sz w:val="16"/>
          <w:szCs w:val="16"/>
        </w:rPr>
        <w:t>Управление механизации и мотор[изации] РККА, давая задание Конструкторскому бюро танкостроения при заводе «Большевик» (Ленинград) по конструированию танков, не дает ему конкретных указаний о необходимом вооружении этих танков, ввиду чего Конструкторское бюро принуждено само конструировать образцы вооружения, не увязывая их с общей системой вооружения РККА. Конструкторское бюро ВОАО ведет конструирование танковых пушек по заданию РККА в отрыве от Конструкторского бюро танкостроения.</w:t>
      </w:r>
    </w:p>
    <w:p w14:paraId="3BFC398B" w14:textId="77777777" w:rsidR="009B5B0B" w:rsidRPr="00E93F40" w:rsidRDefault="009B5B0B" w:rsidP="00E93F40">
      <w:pPr>
        <w:pStyle w:val="rtejustify"/>
        <w:spacing w:before="0" w:after="0"/>
        <w:rPr>
          <w:color w:val="000000" w:themeColor="text1"/>
          <w:sz w:val="16"/>
          <w:szCs w:val="16"/>
        </w:rPr>
      </w:pPr>
      <w:r w:rsidRPr="00E93F40">
        <w:rPr>
          <w:color w:val="000000" w:themeColor="text1"/>
          <w:sz w:val="16"/>
          <w:szCs w:val="16"/>
        </w:rPr>
        <w:t>Артиллерийский научно-испыт[ательный] ин[ститу]т испытывает различные образцы вооружений, не зная, для каких танков они предназначаются и как они будут себя вести в этих танках.</w:t>
      </w:r>
    </w:p>
    <w:p w14:paraId="56385399" w14:textId="77777777" w:rsidR="009B5B0B" w:rsidRPr="00E93F40" w:rsidRDefault="009B5B0B" w:rsidP="00E93F40">
      <w:pPr>
        <w:pStyle w:val="rtejustify"/>
        <w:spacing w:before="0" w:after="0"/>
        <w:rPr>
          <w:color w:val="000000" w:themeColor="text1"/>
          <w:sz w:val="16"/>
          <w:szCs w:val="16"/>
        </w:rPr>
      </w:pPr>
      <w:r w:rsidRPr="00E93F40">
        <w:rPr>
          <w:color w:val="000000" w:themeColor="text1"/>
          <w:sz w:val="16"/>
          <w:szCs w:val="16"/>
        </w:rPr>
        <w:t>В результате из имеющихся нескольких образцов танковых пушек ни один не удовлетворяет требованиям. 37-мм танковая пушка обр[азца] 1930 г. предназначалась для легкого танка, но с введением легкого танка Т-26 Виккерса Артиллерийское управление РККА от этого образца решило отказаться из-за недостаточной бронепробиваемости (на 300 м — 30 мм броню).</w:t>
      </w:r>
    </w:p>
    <w:p w14:paraId="49EC0712" w14:textId="77777777" w:rsidR="009B5B0B" w:rsidRPr="00E93F40" w:rsidRDefault="009B5B0B" w:rsidP="00E93F40">
      <w:pPr>
        <w:pStyle w:val="rtejustify"/>
        <w:spacing w:before="0" w:after="0"/>
        <w:rPr>
          <w:color w:val="000000" w:themeColor="text1"/>
          <w:sz w:val="16"/>
          <w:szCs w:val="16"/>
        </w:rPr>
      </w:pPr>
      <w:r w:rsidRPr="00E93F40">
        <w:rPr>
          <w:color w:val="000000" w:themeColor="text1"/>
          <w:sz w:val="16"/>
          <w:szCs w:val="16"/>
        </w:rPr>
        <w:t>На 1932 г. на 37-мм пушку выдан заказ для обеспечения вооружением танка БТ-[2] Кристи на 400 шт.</w:t>
      </w:r>
    </w:p>
    <w:p w14:paraId="7ED82C5B" w14:textId="77777777" w:rsidR="009B5B0B" w:rsidRPr="00E93F40" w:rsidRDefault="009B5B0B" w:rsidP="00E93F40">
      <w:pPr>
        <w:pStyle w:val="rtejustify"/>
        <w:spacing w:before="0" w:after="0"/>
        <w:rPr>
          <w:color w:val="000000" w:themeColor="text1"/>
          <w:sz w:val="16"/>
          <w:szCs w:val="16"/>
        </w:rPr>
      </w:pPr>
      <w:r w:rsidRPr="00E93F40">
        <w:rPr>
          <w:rStyle w:val="af0"/>
          <w:color w:val="000000" w:themeColor="text1"/>
          <w:sz w:val="16"/>
          <w:szCs w:val="16"/>
        </w:rPr>
        <w:t>37-мм пушка ТГ</w:t>
      </w:r>
      <w:r w:rsidRPr="00E93F40">
        <w:rPr>
          <w:color w:val="000000" w:themeColor="text1"/>
          <w:sz w:val="16"/>
          <w:szCs w:val="16"/>
        </w:rPr>
        <w:t>. Испытанный образец этой пушки для валового производства не принят из-за недостаточной бронепробиваемости.</w:t>
      </w:r>
    </w:p>
    <w:p w14:paraId="462A91B3" w14:textId="77777777" w:rsidR="009B5B0B" w:rsidRPr="00E93F40" w:rsidRDefault="009B5B0B" w:rsidP="00E93F40">
      <w:pPr>
        <w:pStyle w:val="rtejustify"/>
        <w:spacing w:before="0" w:after="0"/>
        <w:rPr>
          <w:color w:val="000000" w:themeColor="text1"/>
          <w:sz w:val="16"/>
          <w:szCs w:val="16"/>
        </w:rPr>
      </w:pPr>
      <w:r w:rsidRPr="00E93F40">
        <w:rPr>
          <w:rStyle w:val="af0"/>
          <w:color w:val="000000" w:themeColor="text1"/>
          <w:sz w:val="16"/>
          <w:szCs w:val="16"/>
        </w:rPr>
        <w:t>37-мм рейнметаллическая пушка</w:t>
      </w:r>
      <w:r w:rsidRPr="00E93F40">
        <w:rPr>
          <w:color w:val="000000" w:themeColor="text1"/>
          <w:sz w:val="16"/>
          <w:szCs w:val="16"/>
        </w:rPr>
        <w:t>. После испытания Артиллерийское управление от нее отказалось, как от непригодной.</w:t>
      </w:r>
    </w:p>
    <w:p w14:paraId="6A245691" w14:textId="77777777" w:rsidR="009B5B0B" w:rsidRPr="00E93F40" w:rsidRDefault="009B5B0B" w:rsidP="00E93F40">
      <w:pPr>
        <w:pStyle w:val="rtejustify"/>
        <w:spacing w:before="0" w:after="0"/>
        <w:rPr>
          <w:color w:val="000000" w:themeColor="text1"/>
          <w:sz w:val="16"/>
          <w:szCs w:val="16"/>
        </w:rPr>
      </w:pPr>
      <w:r w:rsidRPr="00E93F40">
        <w:rPr>
          <w:rStyle w:val="af0"/>
          <w:color w:val="000000" w:themeColor="text1"/>
          <w:sz w:val="16"/>
          <w:szCs w:val="16"/>
        </w:rPr>
        <w:t>45-мм танковая пушка обр[азца] 1930 г.</w:t>
      </w:r>
      <w:r w:rsidRPr="00E93F40">
        <w:rPr>
          <w:color w:val="000000" w:themeColor="text1"/>
          <w:sz w:val="16"/>
          <w:szCs w:val="16"/>
        </w:rPr>
        <w:t>, предполагавшаяся для танка Т-24, который на вооружение не принят, теперь тоже А[ртиллерийским] у [правлением] снимается с заказа, и завод № 8 в 1932 г. ведет ее производство, не имея установленной программы, только из-за экономических соображений.</w:t>
      </w:r>
    </w:p>
    <w:p w14:paraId="0F19F104" w14:textId="77777777" w:rsidR="009B5B0B" w:rsidRPr="00E93F40" w:rsidRDefault="009B5B0B" w:rsidP="00E93F40">
      <w:pPr>
        <w:pStyle w:val="rtejustify"/>
        <w:spacing w:before="0" w:after="0"/>
        <w:rPr>
          <w:color w:val="000000" w:themeColor="text1"/>
          <w:sz w:val="16"/>
          <w:szCs w:val="16"/>
        </w:rPr>
      </w:pPr>
      <w:r w:rsidRPr="00E93F40">
        <w:rPr>
          <w:color w:val="000000" w:themeColor="text1"/>
          <w:sz w:val="16"/>
          <w:szCs w:val="16"/>
        </w:rPr>
        <w:t>В настоящее время завод № 8 конструирует новый образец: 45-мм пушку с частичным использованием данных рейнметалловской пушки. Сейчас эта пушка уже выдана в валовое производство, но испытаниям в танке она не подвергалась.</w:t>
      </w:r>
    </w:p>
    <w:p w14:paraId="713FCEFD" w14:textId="77777777" w:rsidR="009B5B0B" w:rsidRPr="00E93F40" w:rsidRDefault="009B5B0B" w:rsidP="00E93F40">
      <w:pPr>
        <w:pStyle w:val="rtejustify"/>
        <w:spacing w:before="0" w:after="0"/>
        <w:rPr>
          <w:color w:val="000000" w:themeColor="text1"/>
          <w:sz w:val="16"/>
          <w:szCs w:val="16"/>
        </w:rPr>
      </w:pPr>
      <w:r w:rsidRPr="00E93F40">
        <w:rPr>
          <w:color w:val="000000" w:themeColor="text1"/>
          <w:sz w:val="16"/>
          <w:szCs w:val="16"/>
        </w:rPr>
        <w:t>Таким образом, несмотря на наличие валовых заказов по отдельным образцам пушек, предполагаемый увеличенный выпуск танков в 1932 г. не будет обеспечен надлежащим вооружением.</w:t>
      </w:r>
    </w:p>
    <w:p w14:paraId="37F4A404" w14:textId="77777777" w:rsidR="009B5B0B" w:rsidRPr="00E93F40" w:rsidRDefault="009B5B0B" w:rsidP="00E93F40">
      <w:pPr>
        <w:pStyle w:val="rteright"/>
        <w:spacing w:before="0" w:after="0"/>
        <w:jc w:val="both"/>
        <w:rPr>
          <w:color w:val="000000" w:themeColor="text1"/>
          <w:sz w:val="16"/>
          <w:szCs w:val="16"/>
        </w:rPr>
      </w:pPr>
      <w:r w:rsidRPr="00E93F40">
        <w:rPr>
          <w:color w:val="000000" w:themeColor="text1"/>
          <w:sz w:val="16"/>
          <w:szCs w:val="16"/>
        </w:rPr>
        <w:t>Начальник 3-го отделения ЭКУ ОГПУ</w:t>
      </w:r>
    </w:p>
    <w:p w14:paraId="3F44FAB4" w14:textId="77777777" w:rsidR="009B5B0B" w:rsidRPr="00E93F40" w:rsidRDefault="009B5B0B" w:rsidP="00E93F40">
      <w:pPr>
        <w:pStyle w:val="rteright"/>
        <w:spacing w:before="0" w:after="0"/>
        <w:jc w:val="both"/>
        <w:rPr>
          <w:color w:val="000000" w:themeColor="text1"/>
          <w:sz w:val="16"/>
          <w:szCs w:val="16"/>
        </w:rPr>
      </w:pPr>
      <w:r w:rsidRPr="00E93F40">
        <w:rPr>
          <w:color w:val="000000" w:themeColor="text1"/>
          <w:sz w:val="16"/>
          <w:szCs w:val="16"/>
        </w:rPr>
        <w:t>Коновалов</w:t>
      </w:r>
    </w:p>
    <w:p w14:paraId="5452AFA5" w14:textId="77777777" w:rsidR="009B5B0B" w:rsidRPr="00E93F40" w:rsidRDefault="009B5B0B" w:rsidP="00E93F40">
      <w:pPr>
        <w:pStyle w:val="rteright"/>
        <w:spacing w:before="0" w:after="0"/>
        <w:jc w:val="both"/>
        <w:rPr>
          <w:color w:val="000000" w:themeColor="text1"/>
          <w:sz w:val="16"/>
          <w:szCs w:val="16"/>
        </w:rPr>
      </w:pPr>
      <w:r w:rsidRPr="00E93F40">
        <w:rPr>
          <w:color w:val="000000" w:themeColor="text1"/>
          <w:sz w:val="16"/>
          <w:szCs w:val="16"/>
        </w:rPr>
        <w:t>Зам. начальника ЭКУ ОГПУ Гроссман</w:t>
      </w:r>
    </w:p>
    <w:p w14:paraId="03292822" w14:textId="77777777" w:rsidR="009B5B0B" w:rsidRPr="00E93F40" w:rsidRDefault="009B5B0B" w:rsidP="00E93F40">
      <w:pPr>
        <w:pStyle w:val="ae"/>
        <w:spacing w:before="0" w:after="0"/>
        <w:jc w:val="both"/>
        <w:rPr>
          <w:color w:val="000000" w:themeColor="text1"/>
          <w:sz w:val="16"/>
          <w:szCs w:val="16"/>
        </w:rPr>
      </w:pPr>
      <w:r w:rsidRPr="00E93F40">
        <w:rPr>
          <w:color w:val="000000" w:themeColor="text1"/>
          <w:sz w:val="16"/>
          <w:szCs w:val="16"/>
        </w:rPr>
        <w:t>Рассылается:</w:t>
      </w:r>
    </w:p>
    <w:p w14:paraId="5CF55600" w14:textId="6FC9A5A8" w:rsidR="009B5B0B" w:rsidRPr="00E93F40" w:rsidRDefault="009B5B0B" w:rsidP="00E93F40">
      <w:pPr>
        <w:pStyle w:val="ae"/>
        <w:spacing w:before="0" w:after="0"/>
        <w:jc w:val="both"/>
        <w:rPr>
          <w:color w:val="000000" w:themeColor="text1"/>
          <w:sz w:val="16"/>
          <w:szCs w:val="16"/>
        </w:rPr>
      </w:pPr>
      <w:r w:rsidRPr="00E93F40">
        <w:rPr>
          <w:color w:val="000000" w:themeColor="text1"/>
          <w:sz w:val="16"/>
          <w:szCs w:val="16"/>
        </w:rPr>
        <w:t>1)</w:t>
      </w:r>
      <w:r w:rsidR="00DD74E1">
        <w:rPr>
          <w:color w:val="000000" w:themeColor="text1"/>
          <w:sz w:val="16"/>
          <w:szCs w:val="16"/>
        </w:rPr>
        <w:t xml:space="preserve"> </w:t>
      </w:r>
      <w:r w:rsidRPr="00E93F40">
        <w:rPr>
          <w:color w:val="000000" w:themeColor="text1"/>
          <w:sz w:val="16"/>
          <w:szCs w:val="16"/>
        </w:rPr>
        <w:t xml:space="preserve"> Ягоде; 2) Тухачевскому; 3) Куйбышеву; 4) Павлуновскому.</w:t>
      </w:r>
    </w:p>
    <w:p w14:paraId="4AF119F0" w14:textId="77777777" w:rsidR="009B5B0B" w:rsidRPr="00E93F40" w:rsidRDefault="009B5B0B" w:rsidP="00E93F40">
      <w:pPr>
        <w:pStyle w:val="ae"/>
        <w:spacing w:before="0" w:after="0"/>
        <w:jc w:val="both"/>
        <w:rPr>
          <w:color w:val="000000" w:themeColor="text1"/>
          <w:sz w:val="16"/>
          <w:szCs w:val="16"/>
        </w:rPr>
      </w:pPr>
      <w:r w:rsidRPr="00E93F40">
        <w:rPr>
          <w:rStyle w:val="af0"/>
          <w:color w:val="000000" w:themeColor="text1"/>
          <w:sz w:val="16"/>
          <w:szCs w:val="16"/>
        </w:rPr>
        <w:t>Ф. 2. Оп. 10. Д. 116. Л. 137-138. Заверенная копия (19699)</w:t>
      </w:r>
      <w:r w:rsidRPr="00E93F40">
        <w:rPr>
          <w:color w:val="000000" w:themeColor="text1"/>
          <w:sz w:val="16"/>
          <w:szCs w:val="16"/>
        </w:rPr>
        <w:t>.</w:t>
      </w:r>
    </w:p>
    <w:p w14:paraId="1E7CF829" w14:textId="77777777" w:rsidR="009B5B0B" w:rsidRPr="00E93F40" w:rsidRDefault="009B5B0B" w:rsidP="00E93F40">
      <w:pPr>
        <w:spacing w:after="0" w:line="240" w:lineRule="auto"/>
        <w:jc w:val="both"/>
        <w:rPr>
          <w:rFonts w:ascii="Times New Roman" w:hAnsi="Times New Roman"/>
          <w:color w:val="000000" w:themeColor="text1"/>
          <w:sz w:val="16"/>
          <w:szCs w:val="16"/>
        </w:rPr>
      </w:pPr>
    </w:p>
    <w:p w14:paraId="5F1B19C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Январь 1932 г. СПЕЦСООБЩЕНИЕ ЭКУ ОГПУ о вооружении танков артиллерией</w:t>
      </w:r>
    </w:p>
    <w:p w14:paraId="2DB9AF68"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478AEBC4"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председателя ОГПУ т. Акулову</w:t>
      </w:r>
    </w:p>
    <w:p w14:paraId="3783A6E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Вопрос вооружения танков артиллерией до сих пор остается неразрешенным. </w:t>
      </w:r>
    </w:p>
    <w:p w14:paraId="50A5D610"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Промышленностью ведется мобподготовка и изготовление танков по текущей программе (типы: БТ2 - Т-26 Виккерса3), для вооружения которых нет принятых систем пушек. Единого конструкторского центра по танкам и пушкам нет.</w:t>
      </w:r>
    </w:p>
    <w:p w14:paraId="0511F2DE"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Управление механизации] и мотор[изации] РККА, давая задание Конструкторскому бюро танкостроения при заводе «Большевик» </w:t>
      </w:r>
      <w:r w:rsidRPr="00E93F40">
        <w:rPr>
          <w:rFonts w:ascii="Tahoma" w:hAnsi="Tahoma" w:cs="Tahoma"/>
          <w:color w:val="000000" w:themeColor="text1"/>
          <w:sz w:val="16"/>
          <w:szCs w:val="16"/>
        </w:rPr>
        <w:t>﻿</w:t>
      </w:r>
      <w:r w:rsidRPr="00E93F40">
        <w:rPr>
          <w:rFonts w:ascii="Times New Roman" w:hAnsi="Times New Roman"/>
          <w:color w:val="000000" w:themeColor="text1"/>
          <w:sz w:val="16"/>
          <w:szCs w:val="16"/>
        </w:rPr>
        <w:t>(Ленинград) по конструированию танков, не дает ему конкретных указаний о необходимом вооружении этих танков, ввиду чего Конструкторское бюро принуждено само конструировать образцы вооружения, не увязывая их с общей системой вооружения РККА. Конструкторское бюро ВОАО ведет конструирование танковых пушек по заданию РККА в отрыве от Конструкторского бюро танкостроения.</w:t>
      </w:r>
    </w:p>
    <w:p w14:paraId="1C9ED3F7"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Артиллерийский] научно-испыт[ательный] ин[ститу]т испытывает различные образцы вооружений, не зная, для каких танков они предназначаются и как они будут себя вести в этих танках.</w:t>
      </w:r>
    </w:p>
    <w:p w14:paraId="14366FBE"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из имеющихся нескольких образцов танковых пушек ни один не удовлетворяет требованиям. 37-мм танковая пушка обр[азца] 1930 г. предназначалась для легкого танка, но с введением легкого танка Т-26 Виккерса Артиллерийское] управление] РККА от этого образца решило отказаться из-за недостаточной бронепробиваемости (на 300 м - 30 мм броню).</w:t>
      </w:r>
    </w:p>
    <w:p w14:paraId="07698AAB"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На 1932 г. на 37-мм пушку выдан заказ для обеспечения вооружением танка БТ-[2] Кристи4 на 400 шт. </w:t>
      </w:r>
    </w:p>
    <w:p w14:paraId="76F96FE6"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37-мм пушка ТГ. Испытанный образец этой пушки для валового производства не принят из-за недостаточной бронепробиваемости.</w:t>
      </w:r>
    </w:p>
    <w:p w14:paraId="5A46CA1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37-мм рейнметаллическая пушка. После испытания Артиллерийское] управление] от нее отказалось, как от непригодной.</w:t>
      </w:r>
    </w:p>
    <w:p w14:paraId="68C36776"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45-мм танковая пушка обр[азца] 1930г., предполагавшаяся для танка Т-245, который на вооружение не принят, теперь тоже Артиллерийским] управлением] снимается с заказа, и завод № 8 в 1932 г. ведет ее производство, не имея установленной программы, только из-за экономических соображений.</w:t>
      </w:r>
    </w:p>
    <w:p w14:paraId="2B64FFEC"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завод № 8 конструирует новый образец: 45-мм пушку с частичным использованием данных рейнметалловской пушки.</w:t>
      </w:r>
    </w:p>
    <w:p w14:paraId="5CBAC358"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Сейчас эта пушка уже выдана в валовое производство, но испытаниям в танке она не подвергалась.</w:t>
      </w:r>
    </w:p>
    <w:p w14:paraId="03E4F32B"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несмотря на наличие валовых заказов по отдельным образцам пушек, предполагаемый увеличенный выпуск танков в 1932 г. не будет обеспечен надлежащим вооружением.</w:t>
      </w:r>
    </w:p>
    <w:p w14:paraId="01517731"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3-го отделения ЭКУ ОГПУ Коновалов</w:t>
      </w:r>
    </w:p>
    <w:p w14:paraId="2D56399D"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ЭКУ ОГПУ Гроссман</w:t>
      </w:r>
    </w:p>
    <w:p w14:paraId="5FED1952"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Рассылается:</w:t>
      </w:r>
    </w:p>
    <w:p w14:paraId="25F1499A"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Ягоде; 2) Тухачевскому; 3) Куйбышеву; 4) Павлуновскому.</w:t>
      </w:r>
    </w:p>
    <w:p w14:paraId="34A15CD5" w14:textId="77777777" w:rsidR="00B97656" w:rsidRPr="00E93F40" w:rsidRDefault="00B9765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 2. Оп. 10. Д. 116. Л. 137-138. Заверенная копия (23788).</w:t>
      </w:r>
    </w:p>
    <w:p w14:paraId="2D732096" w14:textId="77777777" w:rsidR="00B97656" w:rsidRPr="00E93F40" w:rsidRDefault="00B97656" w:rsidP="00E93F40">
      <w:pPr>
        <w:spacing w:after="0" w:line="240" w:lineRule="auto"/>
        <w:jc w:val="both"/>
        <w:rPr>
          <w:rFonts w:ascii="Times New Roman" w:hAnsi="Times New Roman"/>
          <w:color w:val="000000" w:themeColor="text1"/>
          <w:sz w:val="16"/>
          <w:szCs w:val="16"/>
        </w:rPr>
      </w:pPr>
    </w:p>
    <w:p w14:paraId="3B490C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с ХПЗ был отозван представитель УММ — начальник НТК военинженер 2 ранга Н.М.Тоскин.</w:t>
      </w:r>
    </w:p>
    <w:p w14:paraId="7C816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 же время (июнь 1932 года) с ХПЗ уволился начальник КБ-Т2К Иван Никанорович Алексенко, который уехал в Ленинград конструиро</w:t>
      </w:r>
      <w:r w:rsidRPr="00E93F40">
        <w:rPr>
          <w:rFonts w:ascii="Times New Roman" w:hAnsi="Times New Roman"/>
          <w:color w:val="000000" w:themeColor="text1"/>
          <w:sz w:val="16"/>
          <w:szCs w:val="16"/>
        </w:rPr>
        <w:softHyphen/>
        <w:t>вать танки на завод имени Ворошилова. Он так и не смог согласиться с тем, что танк Т-24, в создание которого он сам и коллектив КБ-Т2К вло</w:t>
      </w:r>
      <w:r w:rsidRPr="00E93F40">
        <w:rPr>
          <w:rFonts w:ascii="Times New Roman" w:hAnsi="Times New Roman"/>
          <w:color w:val="000000" w:themeColor="text1"/>
          <w:sz w:val="16"/>
          <w:szCs w:val="16"/>
        </w:rPr>
        <w:softHyphen/>
        <w:t>жили столько сил, снимается с производства, а взамен начинается выпуск быстроходного танка БТ-2.</w:t>
      </w:r>
    </w:p>
    <w:p w14:paraId="0C3C02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также заменены некоторые руководители цехов и технологичес</w:t>
      </w:r>
      <w:r w:rsidRPr="00E93F40">
        <w:rPr>
          <w:rFonts w:ascii="Times New Roman" w:hAnsi="Times New Roman"/>
          <w:color w:val="000000" w:themeColor="text1"/>
          <w:sz w:val="16"/>
          <w:szCs w:val="16"/>
        </w:rPr>
        <w:softHyphen/>
        <w:t>кой службы.</w:t>
      </w:r>
    </w:p>
    <w:p w14:paraId="754482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этому времени произошли кадровые изменения в КБ-Т2К Из архивной справки П.О. «Завод имени Малышева» (бывшего ХПЗ имени Коминтерна):</w:t>
      </w:r>
    </w:p>
    <w:p w14:paraId="605D0C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года на завод прибыл инженер дореволюционной вы</w:t>
      </w:r>
      <w:r w:rsidRPr="00E93F40">
        <w:rPr>
          <w:rFonts w:ascii="Times New Roman" w:hAnsi="Times New Roman"/>
          <w:color w:val="000000" w:themeColor="text1"/>
          <w:sz w:val="16"/>
          <w:szCs w:val="16"/>
        </w:rPr>
        <w:softHyphen/>
        <w:t>учки Фирсов Афанасий Осипович. Вместе с ним на завод приехали инже</w:t>
      </w:r>
      <w:r w:rsidRPr="00E93F40">
        <w:rPr>
          <w:rFonts w:ascii="Times New Roman" w:hAnsi="Times New Roman"/>
          <w:color w:val="000000" w:themeColor="text1"/>
          <w:sz w:val="16"/>
          <w:szCs w:val="16"/>
        </w:rPr>
        <w:softHyphen/>
        <w:t>неры В.Э.Клодт и К.И.Цереквицкий — тоже из «старых спецов». На пер</w:t>
      </w:r>
      <w:r w:rsidRPr="00E93F40">
        <w:rPr>
          <w:rFonts w:ascii="Times New Roman" w:hAnsi="Times New Roman"/>
          <w:color w:val="000000" w:themeColor="text1"/>
          <w:sz w:val="16"/>
          <w:szCs w:val="16"/>
        </w:rPr>
        <w:softHyphen/>
        <w:t>вых порах все трое жили в специальном бараке на территории завода, ходили на работу под конвоем и даже в арестантской одежде.</w:t>
      </w:r>
    </w:p>
    <w:p w14:paraId="6CB8A8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архивной оправке указан адрес места жительства А.О.Фирсова — Харьков, Старая Колония, дом 20, кв. 4.</w:t>
      </w:r>
    </w:p>
    <w:p w14:paraId="031B0C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Ветераны завода рассказывали, что «старой колонией» назывался при</w:t>
      </w:r>
      <w:r w:rsidRPr="00E93F40">
        <w:rPr>
          <w:rFonts w:ascii="Times New Roman" w:hAnsi="Times New Roman"/>
          <w:color w:val="000000" w:themeColor="text1"/>
          <w:sz w:val="16"/>
          <w:szCs w:val="16"/>
        </w:rPr>
        <w:softHyphen/>
        <w:t>мыкавший к заводу рабочий поселок. В наше время это поселок Артема, где проживает много заводчан.</w:t>
      </w:r>
    </w:p>
    <w:p w14:paraId="3FBC14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Дом, в котором проживали Фирсов, Клодт и Цереквицкий в те старые времена был расположен у самого завода. Рассказывают, что он в то время располагался на заводской территории, а позже передвинули забор и он оказался за территорией завода.</w:t>
      </w:r>
    </w:p>
    <w:p w14:paraId="2D6DFF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прибытия на завод Фирсова, Клодта и Цереквицкого их посе</w:t>
      </w:r>
      <w:r w:rsidRPr="00E93F40">
        <w:rPr>
          <w:rFonts w:ascii="Times New Roman" w:hAnsi="Times New Roman"/>
          <w:color w:val="000000" w:themeColor="text1"/>
          <w:sz w:val="16"/>
          <w:szCs w:val="16"/>
        </w:rPr>
        <w:softHyphen/>
        <w:t>лили в этом доме и водили под конвоем на работу и с работы. Унизитель-нейшая процедура для людей высокообразованных и воспитанных в духе свободы мыслей и личности.</w:t>
      </w:r>
    </w:p>
    <w:p w14:paraId="6FE086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Главным инженером завода И.П.Бондаренко каждый из них был на</w:t>
      </w:r>
      <w:r w:rsidRPr="00E93F40">
        <w:rPr>
          <w:rFonts w:ascii="Times New Roman" w:hAnsi="Times New Roman"/>
          <w:color w:val="000000" w:themeColor="text1"/>
          <w:sz w:val="16"/>
          <w:szCs w:val="16"/>
        </w:rPr>
        <w:softHyphen/>
        <w:t>целен на тот участок работы на заводе, который со временем им предсто</w:t>
      </w:r>
      <w:r w:rsidRPr="00E93F40">
        <w:rPr>
          <w:rFonts w:ascii="Times New Roman" w:hAnsi="Times New Roman"/>
          <w:color w:val="000000" w:themeColor="text1"/>
          <w:sz w:val="16"/>
          <w:szCs w:val="16"/>
        </w:rPr>
        <w:softHyphen/>
        <w:t>яло возглавить, Фирсов стал работать инженером-конструктором в КБ-Т2К, Клодт присматривался вообще к танковому производству завода, а Цереквицкий — к технологии производства.</w:t>
      </w:r>
    </w:p>
    <w:p w14:paraId="13827E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ХПЗ Фирсова встретил молодой коллектив конструкторов. Здесь ему предстояло продолжить работу по совершенствованию танка БТ-2 и, по мнению конструкторов, очень многое передать полезного и ценного из своего профессионального инженерного опыта и полученных им тео</w:t>
      </w:r>
      <w:r w:rsidRPr="00E93F40">
        <w:rPr>
          <w:rFonts w:ascii="Times New Roman" w:hAnsi="Times New Roman"/>
          <w:color w:val="000000" w:themeColor="text1"/>
          <w:sz w:val="16"/>
          <w:szCs w:val="16"/>
        </w:rPr>
        <w:softHyphen/>
        <w:t>ретических знаний от профессора Заславского в «маленькой академии» при Орудийно-Арсенальном тресте ВСНХ.</w:t>
      </w:r>
    </w:p>
    <w:p w14:paraId="103BEB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Главный инженер завода Бондаренко стал добиваться назначения Фирсова на должность начальника КБ-Т2К и снятия с него «хвоста» — охраны. Но пока не тут-то было... Осуществить это удалось только через год. Целый год «церберы» из ОГПУ убеждались в их лояльности!..</w:t>
      </w:r>
    </w:p>
    <w:p w14:paraId="65B77F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 же архивная справка № 250 бывшего завода имени Коминтерна сви</w:t>
      </w:r>
      <w:r w:rsidRPr="00E93F40">
        <w:rPr>
          <w:rFonts w:ascii="Times New Roman" w:hAnsi="Times New Roman"/>
          <w:color w:val="000000" w:themeColor="text1"/>
          <w:sz w:val="16"/>
          <w:szCs w:val="16"/>
        </w:rPr>
        <w:softHyphen/>
        <w:t>детельствует, что Фирсов с 1 января 1933 года был назначен в отдел Т-2 начальником КБ-Т2К. В это же время за ним перестала ходить охрана, он получил квартиру по ул. Пушкинской, д.48/50, кв.25.</w:t>
      </w:r>
    </w:p>
    <w:p w14:paraId="4BA7A0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 же время новым начальником танкового отдела Т-2 был назначен Фокин. Начальником танкового производства завода стал Владимир Эду</w:t>
      </w:r>
      <w:r w:rsidRPr="00E93F40">
        <w:rPr>
          <w:rFonts w:ascii="Times New Roman" w:hAnsi="Times New Roman"/>
          <w:color w:val="000000" w:themeColor="text1"/>
          <w:sz w:val="16"/>
          <w:szCs w:val="16"/>
        </w:rPr>
        <w:softHyphen/>
        <w:t>ардович Клодт, а Константин Иванович Цереквицкий стал одним из ве</w:t>
      </w:r>
      <w:r w:rsidRPr="00E93F40">
        <w:rPr>
          <w:rFonts w:ascii="Times New Roman" w:hAnsi="Times New Roman"/>
          <w:color w:val="000000" w:themeColor="text1"/>
          <w:sz w:val="16"/>
          <w:szCs w:val="16"/>
        </w:rPr>
        <w:softHyphen/>
        <w:t>дущих технологов завода. За ними также перестали «болтаться хвосты».</w:t>
      </w:r>
    </w:p>
    <w:p w14:paraId="78B989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дизельного отдела заместителем Фирсова перевели И.Ш.Бера, ко</w:t>
      </w:r>
      <w:r w:rsidRPr="00E93F40">
        <w:rPr>
          <w:rFonts w:ascii="Times New Roman" w:hAnsi="Times New Roman"/>
          <w:color w:val="000000" w:themeColor="text1"/>
          <w:sz w:val="16"/>
          <w:szCs w:val="16"/>
        </w:rPr>
        <w:softHyphen/>
        <w:t>торый до этого был начальником дизельного КБ.</w:t>
      </w:r>
    </w:p>
    <w:p w14:paraId="00CFD2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КБ-Т2К была введена и новая должность — главного инженера. Им был назначен Василий Тимофеевич Четков. Но эта должность просуще</w:t>
      </w:r>
      <w:r w:rsidRPr="00E93F40">
        <w:rPr>
          <w:rFonts w:ascii="Times New Roman" w:hAnsi="Times New Roman"/>
          <w:color w:val="000000" w:themeColor="text1"/>
          <w:sz w:val="16"/>
          <w:szCs w:val="16"/>
        </w:rPr>
        <w:softHyphen/>
        <w:t>ствовала недолго. Она была упразднена в 1932 году с приходом Фирсова в КБ и позже ее не существовало.</w:t>
      </w:r>
    </w:p>
    <w:p w14:paraId="3FC83B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Новые руководители Т-2 и его КБ потребовали организации опытного цеха и передачи заводу второго оригинала шасси У. Кристи, так как пер</w:t>
      </w:r>
      <w:r w:rsidRPr="00E93F40">
        <w:rPr>
          <w:rFonts w:ascii="Times New Roman" w:hAnsi="Times New Roman"/>
          <w:color w:val="000000" w:themeColor="text1"/>
          <w:sz w:val="16"/>
          <w:szCs w:val="16"/>
        </w:rPr>
        <w:softHyphen/>
        <w:t>вый был полностью разобран, некоторые детали разрезаны. Короче, он был «полностью уничтожен и нельзя было уточнить ряд принципиаль</w:t>
      </w:r>
      <w:r w:rsidRPr="00E93F40">
        <w:rPr>
          <w:rFonts w:ascii="Times New Roman" w:hAnsi="Times New Roman"/>
          <w:color w:val="000000" w:themeColor="text1"/>
          <w:sz w:val="16"/>
          <w:szCs w:val="16"/>
        </w:rPr>
        <w:softHyphen/>
        <w:t>ных вопросов, относящихся к машине в части прочности и надежности».</w:t>
      </w:r>
    </w:p>
    <w:p w14:paraId="7FA6F9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Фирсова и Бера были удовлетворены, на завод прибыло второе шасси Уолтера Кристи с НИИ полигона, начали создавать экспе</w:t>
      </w:r>
      <w:r w:rsidRPr="00E93F40">
        <w:rPr>
          <w:rFonts w:ascii="Times New Roman" w:hAnsi="Times New Roman"/>
          <w:color w:val="000000" w:themeColor="text1"/>
          <w:sz w:val="16"/>
          <w:szCs w:val="16"/>
        </w:rPr>
        <w:softHyphen/>
        <w:t>риментальный цех.</w:t>
      </w:r>
    </w:p>
    <w:p w14:paraId="43CECB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«Полученный образец (второй), — пишет Н.Ш. Бер, — был нами тща</w:t>
      </w:r>
      <w:r w:rsidRPr="00E93F40">
        <w:rPr>
          <w:rFonts w:ascii="Times New Roman" w:hAnsi="Times New Roman"/>
          <w:color w:val="000000" w:themeColor="text1"/>
          <w:sz w:val="16"/>
          <w:szCs w:val="16"/>
        </w:rPr>
        <w:softHyphen/>
        <w:t>тельно изучен и выявлены причины поломок и дефектов. Были выполне</w:t>
      </w:r>
      <w:r w:rsidRPr="00E93F40">
        <w:rPr>
          <w:rFonts w:ascii="Times New Roman" w:hAnsi="Times New Roman"/>
          <w:color w:val="000000" w:themeColor="text1"/>
          <w:sz w:val="16"/>
          <w:szCs w:val="16"/>
        </w:rPr>
        <w:softHyphen/>
        <w:t>ны специальные расчеты, учитывающие инерционные и динамические нагрузки. Мы сами и наши конструкторы отправлялись в пробеги с ма</w:t>
      </w:r>
      <w:r w:rsidRPr="00E93F40">
        <w:rPr>
          <w:rFonts w:ascii="Times New Roman" w:hAnsi="Times New Roman"/>
          <w:color w:val="000000" w:themeColor="text1"/>
          <w:sz w:val="16"/>
          <w:szCs w:val="16"/>
        </w:rPr>
        <w:softHyphen/>
        <w:t>шинами для того, чтобы лучше понять условия работы механизмов.</w:t>
      </w:r>
    </w:p>
    <w:p w14:paraId="6F5CC0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 чертежно-конструкторская документация была капитально пере</w:t>
      </w:r>
      <w:r w:rsidRPr="00E93F40">
        <w:rPr>
          <w:rFonts w:ascii="Times New Roman" w:hAnsi="Times New Roman"/>
          <w:color w:val="000000" w:themeColor="text1"/>
          <w:sz w:val="16"/>
          <w:szCs w:val="16"/>
        </w:rPr>
        <w:softHyphen/>
        <w:t>работана с положительными результатами. Выпуск машин был возобнов</w:t>
      </w:r>
      <w:r w:rsidRPr="00E93F40">
        <w:rPr>
          <w:rFonts w:ascii="Times New Roman" w:hAnsi="Times New Roman"/>
          <w:color w:val="000000" w:themeColor="text1"/>
          <w:sz w:val="16"/>
          <w:szCs w:val="16"/>
        </w:rPr>
        <w:softHyphen/>
        <w:t>лен в установленные сроки» (11504).</w:t>
      </w:r>
    </w:p>
    <w:p w14:paraId="544154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4409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задание на проектирование плавающего танка получили КБ 2-го автозавода ВАТО под руководством Н. Козы</w:t>
      </w:r>
      <w:r w:rsidRPr="00E93F40">
        <w:rPr>
          <w:rFonts w:ascii="Times New Roman" w:hAnsi="Times New Roman"/>
          <w:color w:val="000000" w:themeColor="text1"/>
          <w:sz w:val="16"/>
          <w:szCs w:val="16"/>
        </w:rPr>
        <w:softHyphen/>
        <w:t>рева, а также ОКМО завода им. Ворошилова под руководством М. Зигеля (С. Гинзбург был в отъезде). КБ 2-го завода Всесоюзного автотракторного объеди</w:t>
      </w:r>
      <w:r w:rsidRPr="00E93F40">
        <w:rPr>
          <w:rFonts w:ascii="Times New Roman" w:hAnsi="Times New Roman"/>
          <w:color w:val="000000" w:themeColor="text1"/>
          <w:sz w:val="16"/>
          <w:szCs w:val="16"/>
        </w:rPr>
        <w:softHyphen/>
        <w:t>нения (ВАТО), выпускавшее танкетки Т-27, спроектирова</w:t>
      </w:r>
      <w:r w:rsidRPr="00E93F40">
        <w:rPr>
          <w:rFonts w:ascii="Times New Roman" w:hAnsi="Times New Roman"/>
          <w:color w:val="000000" w:themeColor="text1"/>
          <w:sz w:val="16"/>
          <w:szCs w:val="16"/>
        </w:rPr>
        <w:softHyphen/>
        <w:t>ло танк, получивший индекс Т-41. Танк имел клепано-сварной корпус, собранный на уголках. Для герметизации стыков между броневыми листами в нижней части корпуса устанавливались резиновые прокладки. На крыше корпуса, на шариковой опоре, устанавливалась башня, несколько смещенная к правому борту. Ее поворот осуществлялся вручную при помощи специальных рукояток. Т-41 был вооружен пулеметом ДТ, установленным в подвижном лобовом щитке башни при помощи специаль</w:t>
      </w:r>
      <w:r w:rsidRPr="00E93F40">
        <w:rPr>
          <w:rFonts w:ascii="Times New Roman" w:hAnsi="Times New Roman"/>
          <w:color w:val="000000" w:themeColor="text1"/>
          <w:sz w:val="16"/>
          <w:szCs w:val="16"/>
        </w:rPr>
        <w:softHyphen/>
        <w:t>ного хомута. По идее такая установка помогала быстрому наведению пулемета в цель без поворота всей башни, но установка получилась чрезвычайно громоздкой и сложной. Машина боевой массы 3,5 тонны была оснащена авто</w:t>
      </w:r>
      <w:r w:rsidRPr="00E93F40">
        <w:rPr>
          <w:rFonts w:ascii="Times New Roman" w:hAnsi="Times New Roman"/>
          <w:color w:val="000000" w:themeColor="text1"/>
          <w:sz w:val="16"/>
          <w:szCs w:val="16"/>
        </w:rPr>
        <w:softHyphen/>
        <w:t>мобильным двигателем «Форд-АА» мощностью 40 л.с. (тем же, что устанавливался в танкетку Т-27), расположенным по оси машины. Трансмиссия также полностью заимство</w:t>
      </w:r>
      <w:r w:rsidRPr="00E93F40">
        <w:rPr>
          <w:rFonts w:ascii="Times New Roman" w:hAnsi="Times New Roman"/>
          <w:color w:val="000000" w:themeColor="text1"/>
          <w:sz w:val="16"/>
          <w:szCs w:val="16"/>
        </w:rPr>
        <w:softHyphen/>
        <w:t>валась от Т-27, но была дополнена жесткой зубчатой муф</w:t>
      </w:r>
      <w:r w:rsidRPr="00E93F40">
        <w:rPr>
          <w:rFonts w:ascii="Times New Roman" w:hAnsi="Times New Roman"/>
          <w:color w:val="000000" w:themeColor="text1"/>
          <w:sz w:val="16"/>
          <w:szCs w:val="16"/>
        </w:rPr>
        <w:softHyphen/>
        <w:t>той, соединяющей вал гребного винта с коленчатым валом двигателя и механизмом реверсирования. Причем конст</w:t>
      </w:r>
      <w:r w:rsidRPr="00E93F40">
        <w:rPr>
          <w:rFonts w:ascii="Times New Roman" w:hAnsi="Times New Roman"/>
          <w:color w:val="000000" w:themeColor="text1"/>
          <w:sz w:val="16"/>
          <w:szCs w:val="16"/>
        </w:rPr>
        <w:softHyphen/>
        <w:t>рукция муфты была такова, что для отключения винта тре</w:t>
      </w:r>
      <w:r w:rsidRPr="00E93F40">
        <w:rPr>
          <w:rFonts w:ascii="Times New Roman" w:hAnsi="Times New Roman"/>
          <w:color w:val="000000" w:themeColor="text1"/>
          <w:sz w:val="16"/>
          <w:szCs w:val="16"/>
        </w:rPr>
        <w:softHyphen/>
        <w:t>бовалась остановка танка и выключение двигателя. На плаву Т-41 передвигался при помощи двухлопаст</w:t>
      </w:r>
      <w:r w:rsidRPr="00E93F40">
        <w:rPr>
          <w:rFonts w:ascii="Times New Roman" w:hAnsi="Times New Roman"/>
          <w:color w:val="000000" w:themeColor="text1"/>
          <w:sz w:val="16"/>
          <w:szCs w:val="16"/>
        </w:rPr>
        <w:softHyphen/>
        <w:t>ного гребного винта и плоского руля. При передвижении лопастей винта механизмом реверсирования при движе</w:t>
      </w:r>
      <w:r w:rsidRPr="00E93F40">
        <w:rPr>
          <w:rFonts w:ascii="Times New Roman" w:hAnsi="Times New Roman"/>
          <w:color w:val="000000" w:themeColor="text1"/>
          <w:sz w:val="16"/>
          <w:szCs w:val="16"/>
        </w:rPr>
        <w:softHyphen/>
        <w:t>нии на воде танк мог двигаться передним и задним ходом. Скорость на плаву достигала 3—3,5 км/ч. Ходовая часть Т-41 была в определенной степени заим ствована у танка Т-33, а гусеничные цепи — у Т-27. После проведения длительных заводских и полигонных испыта</w:t>
      </w:r>
      <w:r w:rsidRPr="00E93F40">
        <w:rPr>
          <w:rFonts w:ascii="Times New Roman" w:hAnsi="Times New Roman"/>
          <w:color w:val="000000" w:themeColor="text1"/>
          <w:sz w:val="16"/>
          <w:szCs w:val="16"/>
        </w:rPr>
        <w:softHyphen/>
        <w:t>ний было принято решение об изготовлении опытной се</w:t>
      </w:r>
      <w:r w:rsidRPr="00E93F40">
        <w:rPr>
          <w:rFonts w:ascii="Times New Roman" w:hAnsi="Times New Roman"/>
          <w:color w:val="000000" w:themeColor="text1"/>
          <w:sz w:val="16"/>
          <w:szCs w:val="16"/>
        </w:rPr>
        <w:softHyphen/>
        <w:t>рии танков Т-41 с устранением отмеченных недостатков для проведения войсковых испытаний. Второй вариант танка, называемый «серийный», имел пониженный корпус и массу в 2,95 т. В ходе проведения испытаний никаких особых улучшений по сравнению с первым вариантом отмечено не было. Танк на вооружение принят не был. Плавающий танк конструкции ОКМО, получивший индекс Т-37, был более легким (боевая масса — 2,85 т), вы</w:t>
      </w:r>
      <w:r w:rsidRPr="00E93F40">
        <w:rPr>
          <w:rFonts w:ascii="Times New Roman" w:hAnsi="Times New Roman"/>
          <w:color w:val="000000" w:themeColor="text1"/>
          <w:sz w:val="16"/>
          <w:szCs w:val="16"/>
        </w:rPr>
        <w:softHyphen/>
        <w:t>шел на испытания в июле 1932 г. Его компоновка была по</w:t>
      </w:r>
      <w:r w:rsidRPr="00E93F40">
        <w:rPr>
          <w:rFonts w:ascii="Times New Roman" w:hAnsi="Times New Roman"/>
          <w:color w:val="000000" w:themeColor="text1"/>
          <w:sz w:val="16"/>
          <w:szCs w:val="16"/>
        </w:rPr>
        <w:softHyphen/>
        <w:t>добна Т-33 с двигателем, смещенным к правому борту. Танк имел клепано-сварной корпус, изготовленный для скорости из неброневой стали. На крыше корпуса, не</w:t>
      </w:r>
      <w:r w:rsidRPr="00E93F40">
        <w:rPr>
          <w:rFonts w:ascii="Times New Roman" w:hAnsi="Times New Roman"/>
          <w:color w:val="000000" w:themeColor="text1"/>
          <w:sz w:val="16"/>
          <w:szCs w:val="16"/>
        </w:rPr>
        <w:softHyphen/>
        <w:t>сколько смещенная к левому борту, стояла малая пулемет</w:t>
      </w:r>
      <w:r w:rsidRPr="00E93F40">
        <w:rPr>
          <w:rFonts w:ascii="Times New Roman" w:hAnsi="Times New Roman"/>
          <w:color w:val="000000" w:themeColor="text1"/>
          <w:sz w:val="16"/>
          <w:szCs w:val="16"/>
        </w:rPr>
        <w:softHyphen/>
        <w:t>ная башня, вращаемая вручную. Вооружение Т-37 состоя</w:t>
      </w:r>
      <w:r w:rsidRPr="00E93F40">
        <w:rPr>
          <w:rFonts w:ascii="Times New Roman" w:hAnsi="Times New Roman"/>
          <w:color w:val="000000" w:themeColor="text1"/>
          <w:sz w:val="16"/>
          <w:szCs w:val="16"/>
        </w:rPr>
        <w:softHyphen/>
        <w:t>ло из 7,62-мм пулемета ДТ, установленного в шаровой уста</w:t>
      </w:r>
      <w:r w:rsidRPr="00E93F40">
        <w:rPr>
          <w:rFonts w:ascii="Times New Roman" w:hAnsi="Times New Roman"/>
          <w:color w:val="000000" w:themeColor="text1"/>
          <w:sz w:val="16"/>
          <w:szCs w:val="16"/>
        </w:rPr>
        <w:softHyphen/>
        <w:t>новке в лобовом листе башни. Автомобильный двигатель «Форд-АА» мощностью 40 л.сю, как уже говорилось, располагался вдоль правого борта танка. Он позволял машине разгоняться до 35 км/ч по земле и 4 км/ч на плаву. Запас хода Т-37 по шоссе составлял 160 км. Трансмиссия состояла из главного фрикциона (автомо</w:t>
      </w:r>
      <w:r w:rsidRPr="00E93F40">
        <w:rPr>
          <w:rFonts w:ascii="Times New Roman" w:hAnsi="Times New Roman"/>
          <w:color w:val="000000" w:themeColor="text1"/>
          <w:sz w:val="16"/>
          <w:szCs w:val="16"/>
        </w:rPr>
        <w:softHyphen/>
        <w:t>бильного сцепления), главной передачи, дифференциала и коробки перемены передач, карданного вала и привода во</w:t>
      </w:r>
      <w:r w:rsidRPr="00E93F40">
        <w:rPr>
          <w:rFonts w:ascii="Times New Roman" w:hAnsi="Times New Roman"/>
          <w:color w:val="000000" w:themeColor="text1"/>
          <w:sz w:val="16"/>
          <w:szCs w:val="16"/>
        </w:rPr>
        <w:softHyphen/>
        <w:t>доходного движителя. На плаву Т-37 передвигался при по</w:t>
      </w:r>
      <w:r w:rsidRPr="00E93F40">
        <w:rPr>
          <w:rFonts w:ascii="Times New Roman" w:hAnsi="Times New Roman"/>
          <w:color w:val="000000" w:themeColor="text1"/>
          <w:sz w:val="16"/>
          <w:szCs w:val="16"/>
        </w:rPr>
        <w:softHyphen/>
        <w:t>мощи трехлопастного гребного винта и плоского руля. Ходовая часть Т-37 была изготовлена «по типу ходовой части “Крупп”, с которой наши конструкторы познакоми</w:t>
      </w:r>
      <w:r w:rsidRPr="00E93F40">
        <w:rPr>
          <w:rFonts w:ascii="Times New Roman" w:hAnsi="Times New Roman"/>
          <w:color w:val="000000" w:themeColor="text1"/>
          <w:sz w:val="16"/>
          <w:szCs w:val="16"/>
        </w:rPr>
        <w:softHyphen/>
        <w:t>лись в «ТЕКО», и состояла из двух двухкатковых опорных тележек, двух поддерживающих катков, переднего ведуще</w:t>
      </w:r>
      <w:r w:rsidRPr="00E93F40">
        <w:rPr>
          <w:rFonts w:ascii="Times New Roman" w:hAnsi="Times New Roman"/>
          <w:color w:val="000000" w:themeColor="text1"/>
          <w:sz w:val="16"/>
          <w:szCs w:val="16"/>
        </w:rPr>
        <w:softHyphen/>
        <w:t>го и заднего направляющего колес. Однако ив этом танке была обнаружена масса недо</w:t>
      </w:r>
      <w:r w:rsidRPr="00E93F40">
        <w:rPr>
          <w:rFonts w:ascii="Times New Roman" w:hAnsi="Times New Roman"/>
          <w:color w:val="000000" w:themeColor="text1"/>
          <w:sz w:val="16"/>
          <w:szCs w:val="16"/>
        </w:rPr>
        <w:softHyphen/>
        <w:t>статков и недоработок и потому работы над ним были пре</w:t>
      </w:r>
      <w:r w:rsidRPr="00E93F40">
        <w:rPr>
          <w:rFonts w:ascii="Times New Roman" w:hAnsi="Times New Roman"/>
          <w:color w:val="000000" w:themeColor="text1"/>
          <w:sz w:val="16"/>
          <w:szCs w:val="16"/>
        </w:rPr>
        <w:softHyphen/>
        <w:t>кращены (10733,152).</w:t>
      </w:r>
    </w:p>
    <w:p w14:paraId="72367C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39A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январе 1932 г. завод ХПЗ получил четыре металлообрабатывающих станка, закупленных АМТОРГом в САСШ, а также трех чертежников. В январе 1932 г. Краматорский завод освоил производство траков и готовился отливать опорные катки для танка БТ. Были наконец получены первые 100 шт. закупленных в САСШ двигателей «Либерти». Ижорский завод подготовил шаблоны для вырезания бронедеталей, прошла испытания полуавтоматическая 37-мм пушка ПС-2. Казалось, что тучи над БТ наконец-то рассеялись. Но это только казалось. Ликвидация отдельных «узких мест» в производстве новых танков не уменьшала, а, напротив, казалось бы, порождала все больше и больше дефектов в сдаваемых машинах. Полученные двигатели «Либерти» даже американского ряроизводства были плохого качества, </w:t>
      </w:r>
      <w:r w:rsidRPr="00E93F40">
        <w:rPr>
          <w:rFonts w:ascii="Times New Roman" w:hAnsi="Times New Roman"/>
          <w:color w:val="000000" w:themeColor="text1"/>
          <w:sz w:val="16"/>
          <w:szCs w:val="16"/>
        </w:rPr>
        <w:lastRenderedPageBreak/>
        <w:t>трудно заводились, особенно на морозе, перегревались, были случаи самовос-ршаменения их при запуске. Многие моторы, имевшие сно-венную поршневую группу, отличались большим потреблением масла. Большие проблемы создавали и недостаточ</w:t>
      </w:r>
      <w:r w:rsidRPr="00E93F40">
        <w:rPr>
          <w:rFonts w:ascii="Times New Roman" w:hAnsi="Times New Roman"/>
          <w:color w:val="000000" w:themeColor="text1"/>
          <w:sz w:val="16"/>
          <w:szCs w:val="16"/>
        </w:rPr>
        <w:softHyphen/>
        <w:t>но надежные воздухоочистители. Траки, поставляемые с Краматорского завода плоть до конца 1933 г., быстро ломались, так как для их производства использовалась некондиционная сталь. Конические шестер</w:t>
      </w:r>
      <w:r w:rsidRPr="00E93F40">
        <w:rPr>
          <w:rFonts w:ascii="Times New Roman" w:hAnsi="Times New Roman"/>
          <w:color w:val="000000" w:themeColor="text1"/>
          <w:sz w:val="16"/>
          <w:szCs w:val="16"/>
        </w:rPr>
        <w:softHyphen/>
        <w:t>ни КПП не выдерживали длительной работы под нагрузкой (10733,201).</w:t>
      </w:r>
    </w:p>
    <w:p w14:paraId="354DF8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666366"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января 1932 года на ХПЗ началось разворачивание выпуска нового тягача «Коминтерн» к концу года удалось собрать порядка 200 машин, но уже в 1933 году завод вышел на плановые показатели (25520).</w:t>
      </w:r>
    </w:p>
    <w:p w14:paraId="34001CD1" w14:textId="77777777" w:rsidR="00C55E74" w:rsidRPr="00142305" w:rsidRDefault="00C55E74" w:rsidP="00C55E74">
      <w:pPr>
        <w:spacing w:after="0" w:line="240" w:lineRule="auto"/>
        <w:jc w:val="both"/>
        <w:rPr>
          <w:rFonts w:ascii="Times New Roman" w:hAnsi="Times New Roman"/>
          <w:color w:val="0070C0"/>
          <w:sz w:val="16"/>
          <w:szCs w:val="16"/>
        </w:rPr>
      </w:pPr>
    </w:p>
    <w:p w14:paraId="5021C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с момента пуска Нижегородского (Горьковского) автомобильного завода и началом поставок с него комплектующих будущий АЗЛК постепенно прекратило выпуск автомобилей из импортных автокомплектов (собрав из них в общей сложности 3761 автомобиль модели Форд-А и 11675 - модели Форд-АА). 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В 1935-1937-х годах без остановки производства была проведена реконструкция завода, ставившая целью довести его производительность до 60 тыс. автомобилей в год (200 автомобилей в сутки), а также освоение выпуска модернизированной «полуторки» ГАЗ-АА и легкового автомобиля М-1 (однако, в последствии ГАЗ отказался от планов сборки модели М-1 на своем московском филиале и ни один товарный автомобиль этой модели произведен на нем не был) (10766).</w:t>
      </w:r>
    </w:p>
    <w:p w14:paraId="3A674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DA4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вступил в строй ГАЗ - тогда НАЗ - и стал делать НАЗ-АА (1231,23).</w:t>
      </w:r>
    </w:p>
    <w:p w14:paraId="7C85A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76776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был запущен автомо</w:t>
      </w:r>
      <w:r w:rsidRPr="00E93F40">
        <w:rPr>
          <w:rFonts w:ascii="Times New Roman" w:hAnsi="Times New Roman"/>
          <w:color w:val="000000" w:themeColor="text1"/>
          <w:sz w:val="16"/>
          <w:szCs w:val="16"/>
        </w:rPr>
        <w:softHyphen/>
        <w:t>бильный завод в Нижнем Новгороде, ставший крупнейшим производителем легковых и грузовых машин в СССР (по</w:t>
      </w:r>
      <w:r w:rsidRPr="00E93F40">
        <w:rPr>
          <w:rFonts w:ascii="Times New Roman" w:hAnsi="Times New Roman"/>
          <w:color w:val="000000" w:themeColor="text1"/>
          <w:sz w:val="16"/>
          <w:szCs w:val="16"/>
        </w:rPr>
        <w:softHyphen/>
        <w:t>сле переименования Нижнего Новгорода в Горький пред</w:t>
      </w:r>
      <w:r w:rsidRPr="00E93F40">
        <w:rPr>
          <w:rFonts w:ascii="Times New Roman" w:hAnsi="Times New Roman"/>
          <w:color w:val="000000" w:themeColor="text1"/>
          <w:sz w:val="16"/>
          <w:szCs w:val="16"/>
        </w:rPr>
        <w:softHyphen/>
        <w:t>приятие стало называться ГАЗ — Горьковский автомобиль</w:t>
      </w:r>
      <w:r w:rsidRPr="00E93F40">
        <w:rPr>
          <w:rFonts w:ascii="Times New Roman" w:hAnsi="Times New Roman"/>
          <w:color w:val="000000" w:themeColor="text1"/>
          <w:sz w:val="16"/>
          <w:szCs w:val="16"/>
        </w:rPr>
        <w:softHyphen/>
        <w:t>ный завод имени Молотова). Здесь выпускались грузовики ГАЗ-АА и легковые ГАЗ-А, являвшиеся советскими вариан</w:t>
      </w:r>
      <w:r w:rsidRPr="00E93F40">
        <w:rPr>
          <w:rFonts w:ascii="Times New Roman" w:hAnsi="Times New Roman"/>
          <w:color w:val="000000" w:themeColor="text1"/>
          <w:sz w:val="16"/>
          <w:szCs w:val="16"/>
        </w:rPr>
        <w:softHyphen/>
        <w:t>тами фордовских моделей. Работы по созданию машин для разведки и связи с ис</w:t>
      </w:r>
      <w:r w:rsidRPr="00E93F40">
        <w:rPr>
          <w:rFonts w:ascii="Times New Roman" w:hAnsi="Times New Roman"/>
          <w:color w:val="000000" w:themeColor="text1"/>
          <w:sz w:val="16"/>
          <w:szCs w:val="16"/>
        </w:rPr>
        <w:softHyphen/>
        <w:t>пользованием шасси легковых автомобилей начались в СССР, как только появились первые американские легко</w:t>
      </w:r>
      <w:r w:rsidRPr="00E93F40">
        <w:rPr>
          <w:rFonts w:ascii="Times New Roman" w:hAnsi="Times New Roman"/>
          <w:color w:val="000000" w:themeColor="text1"/>
          <w:sz w:val="16"/>
          <w:szCs w:val="16"/>
        </w:rPr>
        <w:softHyphen/>
        <w:t>вые «форды» (11284).</w:t>
      </w:r>
    </w:p>
    <w:p w14:paraId="6ECF08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07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заложенный в мае 1931 г. под Нижним Новгородом, у деревни Монастырка большой завод полного цикла, рассчитанный уже не на 100 000, а на 140 000 машин, начал давать продукцию За образец был взят фордовский завод в Канаде с годовой производительностью в 110 000 машин. Нижегородский завод проектировал упоминавшийся уже Альберт Кан; техническое руководство строительством осуществляла американская компания Остин, а само строительство — трест Металлострой. Крупнее этого советского завода были только американские.</w:t>
      </w:r>
    </w:p>
    <w:p w14:paraId="1D5C73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Организация и качество впервые проводившихся в СССР столь масштабных работ не дотягивали до американского уровня. Велика была доля ручного труда, нерационального использования ресурсов, показухи и бюрократизма. Заокеанские специалисты не могли действовать столь же эффективно, как в своей стране: они столкнулись с реалиями другой страны, другой экономики, другой культуры. Довольно производительно трудились, впрочем, работавшие в Америке до революции российские эмигранты, которые захотели вернуться на родину.</w:t>
      </w:r>
    </w:p>
    <w:p w14:paraId="7EB5D2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Особенно трудно было научить людей, привыкших к поштучной работе, работать на конвейере или на скоростных станках. Специалист по производству тракторов П.Макгрегор с возмущением докладывал руководству Путиловского завода, что “вся система работ настолько плоха, что процесс невозможно ускорить”. Например, на изготовление рабочего чертежа здесь требовались недели, а на американских заводах — меньше пяти минут.</w:t>
      </w:r>
    </w:p>
    <w:p w14:paraId="20583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Другой менеджер компании Форда, побывавший на объектах в конце 1931 г.,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w:t>
      </w:r>
    </w:p>
    <w:p w14:paraId="73BFC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Вместо 72 000 комплектов к 1932/33 финансовому году их было закуплено вдвое меньше (11506).</w:t>
      </w:r>
    </w:p>
    <w:p w14:paraId="1F8622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F02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момента пуска в январе 1932 года Нижегородского (Горьковского) автомобильного завода и началом поставок с него комплектующих предприятие постепенно прекратило выпуск автомобилей из импортных автокомплектов (собрав из них в общей сложности 3761 автомобиль модели Форд-А и 11675 - модели Форд-АА). 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(11580).</w:t>
      </w:r>
    </w:p>
    <w:p w14:paraId="52851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1AF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на Ярославском автомобильном заводе выпустили первый 8-тонный грузовик и начали серийное производство 5-тонных грузовиков ЯГ-5 (11275).</w:t>
      </w:r>
    </w:p>
    <w:p w14:paraId="1E1404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EB68E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В январе 1932 г. был создан НИИС (Москва) с отделениями в Ленинграде (ЛОНИИС) и Харькове (Укр. НИИС). В 1927 г. была создана Центральная лаборатория связи (ЦЛС). В 1930 г. ЦЛС была преобразована в Научно-техническое управление (НТУ). В 1932 г. все лаборатории МТУ переведены в созданный НИИС (11482).</w:t>
      </w:r>
    </w:p>
    <w:p w14:paraId="6224D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D31C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был создан Северный государственный институт по проектированию предприятий цветной и золото-платиновой промышленности "Севгипроцветмет". Институт переименовывался: сентябрь 1939 г. - в Государственный институт по проектированию предприятий меднорудной промышленности "Гипромедьруда", 1947 г. - в Уральский научно-исследовательский и проектный институт медной промышленности "Унипромедь" (12102).</w:t>
      </w:r>
    </w:p>
    <w:p w14:paraId="4FFD6250" w14:textId="77777777" w:rsidR="00AE3492" w:rsidRPr="00E93F40" w:rsidRDefault="00AE349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B1888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3CE96D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7E0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в строевых частях осталось всего 17 МР-1, остальные передали в Школу морских летчиков. На смену им пришли купленные в Италии летающие лодки С-62Б. Последние Р-1СП списали к началу 1932 г., зато в школы передавали все больше Р-1. В начале 1933 г. Р-1 насчитывалось еще 1297, но из них 705 находились в различных летных и технических школах. Большинство остальных входило в войсковую авиацию - в корпусные, артиллерийские и мотомеханизированные отдельные отряды. Практически все (61 из 62) Р-1 БМВ сосредоточили в Школе морских летчиков. В июне 1933 г. сдала МР-1 последняя строевая часть - 67-й речной отряд. В 1935 г. в ВВС остались только единичные машины, использовавшиеся как вспомогательные. Так, на весь Украинский военный округ остались четыре Р-1. Через год не стало и их (11923).</w:t>
      </w:r>
    </w:p>
    <w:p w14:paraId="492497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E76D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первый Р-5 получили морские летчики Балтики (11936).</w:t>
      </w:r>
    </w:p>
    <w:p w14:paraId="186172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332275"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1932 г. эшелонами на Дальний Восток прибыли С-62Б для 68-го отряда и 70-го авиапарка Амурской военной фло</w:t>
      </w:r>
      <w:r w:rsidRPr="00142305">
        <w:rPr>
          <w:rFonts w:ascii="Times New Roman" w:hAnsi="Times New Roman"/>
          <w:color w:val="0070C0"/>
          <w:sz w:val="16"/>
          <w:szCs w:val="16"/>
        </w:rPr>
        <w:softHyphen/>
        <w:t>тилии. Отряд дислоцировался в Красной Речке под Хабаровском. Затем поступи</w:t>
      </w:r>
      <w:r w:rsidRPr="00142305">
        <w:rPr>
          <w:rFonts w:ascii="Times New Roman" w:hAnsi="Times New Roman"/>
          <w:color w:val="0070C0"/>
          <w:sz w:val="16"/>
          <w:szCs w:val="16"/>
        </w:rPr>
        <w:softHyphen/>
        <w:t>ли самолеты для Морских сил Дальнего Востока (МСДВ), предшествовавших Ти</w:t>
      </w:r>
      <w:r w:rsidRPr="00142305">
        <w:rPr>
          <w:rFonts w:ascii="Times New Roman" w:hAnsi="Times New Roman"/>
          <w:color w:val="0070C0"/>
          <w:sz w:val="16"/>
          <w:szCs w:val="16"/>
        </w:rPr>
        <w:softHyphen/>
        <w:t>хоокеанскому флоту. В июне МСДВ уже располагали 13 летающими лодками. 7 ноября три С-62Б 68-го отряда участво</w:t>
      </w:r>
      <w:r w:rsidRPr="00142305">
        <w:rPr>
          <w:rFonts w:ascii="Times New Roman" w:hAnsi="Times New Roman"/>
          <w:color w:val="0070C0"/>
          <w:sz w:val="16"/>
          <w:szCs w:val="16"/>
        </w:rPr>
        <w:softHyphen/>
        <w:t>вали в воздушном параде в Хабаровске (24948).</w:t>
      </w:r>
    </w:p>
    <w:p w14:paraId="5CBDCEC7" w14:textId="77777777" w:rsidR="00C55E74" w:rsidRPr="00142305" w:rsidRDefault="00C55E74" w:rsidP="00C55E74">
      <w:pPr>
        <w:spacing w:after="0" w:line="240" w:lineRule="auto"/>
        <w:jc w:val="both"/>
        <w:rPr>
          <w:rFonts w:ascii="Times New Roman" w:hAnsi="Times New Roman"/>
          <w:color w:val="0070C0"/>
          <w:sz w:val="16"/>
          <w:szCs w:val="16"/>
        </w:rPr>
      </w:pPr>
    </w:p>
    <w:p w14:paraId="78B284D4"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1932 г. эшелонами прибыли С-62Б для 68-го отдельного отряда и 70-го авиапарка Амурской военной флотилии. Затем поступили самолёты для ВВС созданных в апреле Морских сил Дальнего Востока – зародыша будущего Тихоокеанского флота. В июне МСДВ располагали 13 С-62Б. 7 ноября 1932 г. три С-62Б 68-го отряда участвовали в воздушном параде в Хабаровске»</w:t>
      </w:r>
      <w:bookmarkStart w:id="7" w:name="n_29"/>
      <w:r w:rsidRPr="00142305">
        <w:rPr>
          <w:rFonts w:ascii="Times New Roman" w:hAnsi="Times New Roman"/>
          <w:color w:val="0070C0"/>
          <w:sz w:val="16"/>
          <w:szCs w:val="16"/>
        </w:rPr>
        <w:t xml:space="preserve"> (25184)</w:t>
      </w:r>
      <w:bookmarkEnd w:id="7"/>
      <w:r w:rsidRPr="00142305">
        <w:rPr>
          <w:rFonts w:ascii="Times New Roman" w:hAnsi="Times New Roman"/>
          <w:color w:val="0070C0"/>
          <w:sz w:val="16"/>
          <w:szCs w:val="16"/>
        </w:rPr>
        <w:t>.</w:t>
      </w:r>
    </w:p>
    <w:p w14:paraId="739E9F5D" w14:textId="77777777" w:rsidR="00C55E74" w:rsidRPr="00142305" w:rsidRDefault="00C55E74" w:rsidP="00C55E74">
      <w:pPr>
        <w:spacing w:after="0" w:line="240" w:lineRule="auto"/>
        <w:jc w:val="both"/>
        <w:rPr>
          <w:rFonts w:ascii="Times New Roman" w:hAnsi="Times New Roman"/>
          <w:color w:val="0070C0"/>
          <w:sz w:val="16"/>
          <w:szCs w:val="16"/>
        </w:rPr>
      </w:pPr>
    </w:p>
    <w:p w14:paraId="2754B7C9"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1932:</w:t>
      </w:r>
    </w:p>
    <w:p w14:paraId="781B5D61"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Проблемы современного авиастроительства и военного применения Воздушного флота</w:t>
      </w:r>
    </w:p>
    <w:p w14:paraId="4CDA3764"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В. Хрипин в 1932 г., имея в виду необходимость развития аэродромной сети и создание военно-транспортной авиации, писал:] «Минимальный размер летного поля для взлета и посадки одиночных самолетов определяется в 400 х 400 м. Для боль</w:t>
      </w:r>
      <w:r w:rsidRPr="00142305">
        <w:rPr>
          <w:rFonts w:ascii="Times New Roman" w:hAnsi="Times New Roman"/>
          <w:color w:val="0070C0"/>
          <w:sz w:val="16"/>
          <w:szCs w:val="16"/>
        </w:rPr>
        <w:softHyphen/>
        <w:t xml:space="preserve">ших самолетов требуется летное поле размером 1 000 </w:t>
      </w:r>
      <w:r w:rsidRPr="00142305">
        <w:rPr>
          <w:rFonts w:ascii="Times New Roman" w:hAnsi="Times New Roman"/>
          <w:color w:val="0070C0"/>
          <w:sz w:val="16"/>
          <w:szCs w:val="16"/>
          <w:vertAlign w:val="superscript"/>
        </w:rPr>
        <w:t>х</w:t>
      </w:r>
      <w:r w:rsidRPr="00142305">
        <w:rPr>
          <w:rFonts w:ascii="Times New Roman" w:hAnsi="Times New Roman"/>
          <w:color w:val="0070C0"/>
          <w:sz w:val="16"/>
          <w:szCs w:val="16"/>
        </w:rPr>
        <w:t xml:space="preserve"> 1 000 м.</w:t>
      </w:r>
    </w:p>
    <w:p w14:paraId="6A8BD98F"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Каждый полевой аэродром нуждается в минимально необходимом оборудо</w:t>
      </w:r>
      <w:r w:rsidRPr="00142305">
        <w:rPr>
          <w:rFonts w:ascii="Times New Roman" w:hAnsi="Times New Roman"/>
          <w:color w:val="0070C0"/>
          <w:sz w:val="16"/>
          <w:szCs w:val="16"/>
        </w:rPr>
        <w:softHyphen/>
        <w:t>вании средствами связи и сигнализации, полевыми хранилищами для боеприпасов и топлива, убежищами для защиты от осколков аэробомб, пуль и отравляющих веществ; он должен иметь источник водоснабжения, подъездные пути и т. д.</w:t>
      </w:r>
    </w:p>
    <w:p w14:paraId="122621D0"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Подготовка целой аэродромной сети для расположения авиационных соедине</w:t>
      </w:r>
      <w:r w:rsidRPr="00142305">
        <w:rPr>
          <w:rFonts w:ascii="Times New Roman" w:hAnsi="Times New Roman"/>
          <w:color w:val="0070C0"/>
          <w:sz w:val="16"/>
          <w:szCs w:val="16"/>
        </w:rPr>
        <w:softHyphen/>
        <w:t>ний - дело очень большое и сложное, требующее затраты крупных сил в короткие сроки. Можно считать, что подготовка 1 аэродрома в средних условиях требует до 3 000 человеко-часов, которые надо затратить не более чем в сутки (не считая работы механических средств, лошадей и т. д.). Следовательно, при большом напряжении в работе на 1 аэродром требуется до 300 человек рабочей силы.</w:t>
      </w:r>
    </w:p>
    <w:p w14:paraId="5BEBDA63"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Авиационная масса в 1 000 самолетов нуждается в 75-100 аэродромах, подгото</w:t>
      </w:r>
      <w:r w:rsidRPr="00142305">
        <w:rPr>
          <w:rFonts w:ascii="Times New Roman" w:hAnsi="Times New Roman"/>
          <w:color w:val="0070C0"/>
          <w:sz w:val="16"/>
          <w:szCs w:val="16"/>
        </w:rPr>
        <w:softHyphen/>
        <w:t>вить которые надо в течение 3-4 дней; в противном случае аэродромная сеть или оста</w:t>
      </w:r>
      <w:r w:rsidRPr="00142305">
        <w:rPr>
          <w:rFonts w:ascii="Times New Roman" w:hAnsi="Times New Roman"/>
          <w:color w:val="0070C0"/>
          <w:sz w:val="16"/>
          <w:szCs w:val="16"/>
        </w:rPr>
        <w:softHyphen/>
        <w:t>нется глубоко в тылу от ушедших вперед войск или частично будет захвачена против</w:t>
      </w:r>
      <w:r w:rsidRPr="00142305">
        <w:rPr>
          <w:rFonts w:ascii="Times New Roman" w:hAnsi="Times New Roman"/>
          <w:color w:val="0070C0"/>
          <w:sz w:val="16"/>
          <w:szCs w:val="16"/>
        </w:rPr>
        <w:softHyphen/>
        <w:t>ником, так как стабилизация фронта явится исключением. Следовательно, в этих усло</w:t>
      </w:r>
      <w:r w:rsidRPr="00142305">
        <w:rPr>
          <w:rFonts w:ascii="Times New Roman" w:hAnsi="Times New Roman"/>
          <w:color w:val="0070C0"/>
          <w:sz w:val="16"/>
          <w:szCs w:val="16"/>
        </w:rPr>
        <w:softHyphen/>
        <w:t>виях ежедневно должно быть занято подготовкой аэродромов не менее 10 000 человек, снабженных необходимым инструментом и орудиями.</w:t>
      </w:r>
    </w:p>
    <w:p w14:paraId="02260027"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войны возможно, конечно, постепенное развитие аэродромной сети в том или ином районе; в начальный же период военных действий необходимо иметь (...) достаточно не только полевых, но и постоянных аэродромов, с развитыми техниче</w:t>
      </w:r>
      <w:r w:rsidRPr="00142305">
        <w:rPr>
          <w:rFonts w:ascii="Times New Roman" w:hAnsi="Times New Roman"/>
          <w:color w:val="0070C0"/>
          <w:sz w:val="16"/>
          <w:szCs w:val="16"/>
        </w:rPr>
        <w:softHyphen/>
        <w:t>скими средствами для ухода за самолетами и ремонта их.</w:t>
      </w:r>
    </w:p>
    <w:p w14:paraId="06E09922"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Военный воздушный флот своими силами такой сети создать не может, так как это было бы слишком большим расходом средств на капитальные вложения и на со</w:t>
      </w:r>
      <w:r w:rsidRPr="00142305">
        <w:rPr>
          <w:rFonts w:ascii="Times New Roman" w:hAnsi="Times New Roman"/>
          <w:color w:val="0070C0"/>
          <w:sz w:val="16"/>
          <w:szCs w:val="16"/>
        </w:rPr>
        <w:softHyphen/>
        <w:t>держание аэродромной сети. Поэтому здесь решающее значение приобретает граждан</w:t>
      </w:r>
      <w:r w:rsidRPr="00142305">
        <w:rPr>
          <w:rFonts w:ascii="Times New Roman" w:hAnsi="Times New Roman"/>
          <w:color w:val="0070C0"/>
          <w:sz w:val="16"/>
          <w:szCs w:val="16"/>
        </w:rPr>
        <w:softHyphen/>
        <w:t>ская авиация с ее густой сетью аэродромов и посадочных площадок, а также оборонные мероприятия, проводимые в особом порядке.</w:t>
      </w:r>
    </w:p>
    <w:p w14:paraId="715F7356"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Надо сказать, что последние два направления работ по подготовке территории в условиях СССР могут в самый короткий срок привести к таким результатам, которые оставят за собою все то, что мы наблюдаем за рубежом. Так, только в САСШ и, пожа</w:t>
      </w:r>
      <w:r w:rsidRPr="00142305">
        <w:rPr>
          <w:rFonts w:ascii="Times New Roman" w:hAnsi="Times New Roman"/>
          <w:color w:val="0070C0"/>
          <w:sz w:val="16"/>
          <w:szCs w:val="16"/>
        </w:rPr>
        <w:softHyphen/>
        <w:t>луй, в Германии интенсивная деятельность гражданской авиации вызвала к жизни мощно растущую аэродромную службу и службу движения (в САСШ имеется свыше 1 500 аэродромов), способную обеспечить потребности военной авиации.</w:t>
      </w:r>
    </w:p>
    <w:p w14:paraId="75D88DBC"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Наше аэродромное строительство надо признать отставшим от имеющихся ре</w:t>
      </w:r>
      <w:r w:rsidRPr="00142305">
        <w:rPr>
          <w:rFonts w:ascii="Times New Roman" w:hAnsi="Times New Roman"/>
          <w:color w:val="0070C0"/>
          <w:sz w:val="16"/>
          <w:szCs w:val="16"/>
        </w:rPr>
        <w:softHyphen/>
        <w:t>альных потребностей. Эту отсталость необходимо ликвидировать возможно скорей в общих интересах страны и в целях повышения безопасности и регулярности полетов. В числе мероприятий, способствующих достижению указанных целей, наиболее эф</w:t>
      </w:r>
      <w:r w:rsidRPr="00142305">
        <w:rPr>
          <w:rFonts w:ascii="Times New Roman" w:hAnsi="Times New Roman"/>
          <w:color w:val="0070C0"/>
          <w:sz w:val="16"/>
          <w:szCs w:val="16"/>
        </w:rPr>
        <w:softHyphen/>
        <w:t>фективным является включение строительства аэродромов и посадочных площадок в план развития городов, совхозов, колхозов, машино-тракторных станций и т. д. Необ</w:t>
      </w:r>
      <w:r w:rsidRPr="00142305">
        <w:rPr>
          <w:rFonts w:ascii="Times New Roman" w:hAnsi="Times New Roman"/>
          <w:color w:val="0070C0"/>
          <w:sz w:val="16"/>
          <w:szCs w:val="16"/>
        </w:rPr>
        <w:softHyphen/>
        <w:t>ходимо установить обязательным правилом, чтобы в этом строительстве отводились и подготовлялись под аэродромы соответствующие земельные участки, культивируемые таким образом, чтобы авиация могла использовать каждый данный аэродром в любое время года.</w:t>
      </w:r>
    </w:p>
    <w:p w14:paraId="0FC25EC2"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Подготовка аэродрома не должна ограничиваться только планированием и обра</w:t>
      </w:r>
      <w:r w:rsidRPr="00142305">
        <w:rPr>
          <w:rFonts w:ascii="Times New Roman" w:hAnsi="Times New Roman"/>
          <w:color w:val="0070C0"/>
          <w:sz w:val="16"/>
          <w:szCs w:val="16"/>
        </w:rPr>
        <w:softHyphen/>
        <w:t>боткой земельного участка. В новом строительстве служебных зданий (особенно в сов</w:t>
      </w:r>
      <w:r w:rsidRPr="00142305">
        <w:rPr>
          <w:rFonts w:ascii="Times New Roman" w:hAnsi="Times New Roman"/>
          <w:color w:val="0070C0"/>
          <w:sz w:val="16"/>
          <w:szCs w:val="16"/>
        </w:rPr>
        <w:softHyphen/>
        <w:t>хозах, на машинно-тракторных станциях и т. д.) необходимо учитывать специальные требования авиации по возможному использованию этих зданий в военное время для технических нужд (размещение мастерских, складов топлива, технического имущества; укрытие самолетов, транспорта и т. д.).</w:t>
      </w:r>
    </w:p>
    <w:p w14:paraId="2EB9FCE3"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этих условиях авиация получит почти неограниченные возможности ма</w:t>
      </w:r>
      <w:r w:rsidRPr="00142305">
        <w:rPr>
          <w:rFonts w:ascii="Times New Roman" w:hAnsi="Times New Roman"/>
          <w:color w:val="0070C0"/>
          <w:sz w:val="16"/>
          <w:szCs w:val="16"/>
        </w:rPr>
        <w:softHyphen/>
        <w:t>невра, будет укрыта от глаз воздушного противника и сможет вести боевую работу в самой благоприятной обстановке, по крайней мере, в начальный период войны, что имеет громадное значение для дальнейшего ведения военных действий.</w:t>
      </w:r>
    </w:p>
    <w:p w14:paraId="30276416"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Второй решающей проблемой является организация боевого питания авиации и обеспечение быстроты перебросок авиачастей в новые районы.</w:t>
      </w:r>
    </w:p>
    <w:p w14:paraId="72376EBD"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обстановке будущей войны авиация многократно встретится с необходимо</w:t>
      </w:r>
      <w:r w:rsidRPr="00142305">
        <w:rPr>
          <w:rFonts w:ascii="Times New Roman" w:hAnsi="Times New Roman"/>
          <w:color w:val="0070C0"/>
          <w:sz w:val="16"/>
          <w:szCs w:val="16"/>
        </w:rPr>
        <w:softHyphen/>
        <w:t>стью в течение одного-двух дней перебрасываться в крупных силах на новые направ</w:t>
      </w:r>
      <w:r w:rsidRPr="00142305">
        <w:rPr>
          <w:rFonts w:ascii="Times New Roman" w:hAnsi="Times New Roman"/>
          <w:color w:val="0070C0"/>
          <w:sz w:val="16"/>
          <w:szCs w:val="16"/>
        </w:rPr>
        <w:softHyphen/>
        <w:t>ления за несколько сот километров. Летные эшелоны частей легко выполнят такую за</w:t>
      </w:r>
      <w:r w:rsidRPr="00142305">
        <w:rPr>
          <w:rFonts w:ascii="Times New Roman" w:hAnsi="Times New Roman"/>
          <w:color w:val="0070C0"/>
          <w:sz w:val="16"/>
          <w:szCs w:val="16"/>
        </w:rPr>
        <w:softHyphen/>
        <w:t>дачу, но техническо-хозяйственная база их, пользующаяся средствами земного транс</w:t>
      </w:r>
      <w:r w:rsidRPr="00142305">
        <w:rPr>
          <w:rFonts w:ascii="Times New Roman" w:hAnsi="Times New Roman"/>
          <w:color w:val="0070C0"/>
          <w:sz w:val="16"/>
          <w:szCs w:val="16"/>
        </w:rPr>
        <w:softHyphen/>
        <w:t>порта, надолго отстанет от боевой части, вынужденная ждать прибытия механиков и прочего обслуживающего персонала, запасов специального имущества, транспортных средств и т. д. [Советско-финляндская война 1939-1940 гг. полностью подтвердила это положение}.</w:t>
      </w:r>
    </w:p>
    <w:p w14:paraId="53A04531"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Совершенно иная картина получается при использовании воздушного транс</w:t>
      </w:r>
      <w:r w:rsidRPr="00142305">
        <w:rPr>
          <w:rFonts w:ascii="Times New Roman" w:hAnsi="Times New Roman"/>
          <w:color w:val="0070C0"/>
          <w:sz w:val="16"/>
          <w:szCs w:val="16"/>
        </w:rPr>
        <w:softHyphen/>
        <w:t>порта для переброски главнейшей части земного хозяйства вместе с летным эшелоном. Здесь боевые силы могут немедленно приступить к выполнению своих задач, обруши</w:t>
      </w:r>
      <w:r w:rsidRPr="00142305">
        <w:rPr>
          <w:rFonts w:ascii="Times New Roman" w:hAnsi="Times New Roman"/>
          <w:color w:val="0070C0"/>
          <w:sz w:val="16"/>
          <w:szCs w:val="16"/>
        </w:rPr>
        <w:softHyphen/>
        <w:t>ваясь на противника неожиданно, что служит одним из главных условий успеха [Это выдающееся предвидение Хрипина. Использование воздушного транспорта для пере</w:t>
      </w:r>
      <w:r w:rsidRPr="00142305">
        <w:rPr>
          <w:rFonts w:ascii="Times New Roman" w:hAnsi="Times New Roman"/>
          <w:color w:val="0070C0"/>
          <w:sz w:val="16"/>
          <w:szCs w:val="16"/>
        </w:rPr>
        <w:softHyphen/>
        <w:t>базирования считается до сих пор аксиомой переброски авиации к новому месту дис</w:t>
      </w:r>
      <w:r w:rsidRPr="00142305">
        <w:rPr>
          <w:rFonts w:ascii="Times New Roman" w:hAnsi="Times New Roman"/>
          <w:color w:val="0070C0"/>
          <w:sz w:val="16"/>
          <w:szCs w:val="16"/>
        </w:rPr>
        <w:softHyphen/>
        <w:t>локации}.</w:t>
      </w:r>
    </w:p>
    <w:p w14:paraId="468B3E72"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Примерный расчет показывает, что на каждые 2-3 боевых самолета надо иметь один транспортный с полезной грузоподъемностью не менее тонны.</w:t>
      </w:r>
    </w:p>
    <w:p w14:paraId="66E7667D"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Еще значительнее определяется роль воздушного транспорта в боевом питании сосредоточенных авиационных соединений.</w:t>
      </w:r>
    </w:p>
    <w:p w14:paraId="5653C9C3"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Потребности современных армий в снабжении боеприпасами, топливом для мо</w:t>
      </w:r>
      <w:r w:rsidRPr="00142305">
        <w:rPr>
          <w:rFonts w:ascii="Times New Roman" w:hAnsi="Times New Roman"/>
          <w:color w:val="0070C0"/>
          <w:sz w:val="16"/>
          <w:szCs w:val="16"/>
        </w:rPr>
        <w:softHyphen/>
        <w:t>торов, инженерным имуществом для производства различных оборонительных работ, продовольствием и т. д. настолько возросли, что железнодорожная сеть оказывается крайне перегруженной и нередко совершенно недостаточной по своей провозоспособ</w:t>
      </w:r>
      <w:r w:rsidRPr="00142305">
        <w:rPr>
          <w:rFonts w:ascii="Times New Roman" w:hAnsi="Times New Roman"/>
          <w:color w:val="0070C0"/>
          <w:sz w:val="16"/>
          <w:szCs w:val="16"/>
        </w:rPr>
        <w:softHyphen/>
        <w:t>ности для удовлетворения этих потребностей.</w:t>
      </w:r>
    </w:p>
    <w:p w14:paraId="67701D72"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тем железные дороги, являясь одним из главнейших объектов воздуш</w:t>
      </w:r>
      <w:r w:rsidRPr="00142305">
        <w:rPr>
          <w:rFonts w:ascii="Times New Roman" w:hAnsi="Times New Roman"/>
          <w:color w:val="0070C0"/>
          <w:sz w:val="16"/>
          <w:szCs w:val="16"/>
        </w:rPr>
        <w:softHyphen/>
        <w:t>ных нападений, могут отказать на тот или иной срок в самые решающие периоды бое</w:t>
      </w:r>
      <w:r w:rsidRPr="00142305">
        <w:rPr>
          <w:rFonts w:ascii="Times New Roman" w:hAnsi="Times New Roman"/>
          <w:color w:val="0070C0"/>
          <w:sz w:val="16"/>
          <w:szCs w:val="16"/>
        </w:rPr>
        <w:softHyphen/>
        <w:t>вых действий. Разрушение станций и путей, обстрел и бомбардировки железнодорож</w:t>
      </w:r>
      <w:r w:rsidRPr="00142305">
        <w:rPr>
          <w:rFonts w:ascii="Times New Roman" w:hAnsi="Times New Roman"/>
          <w:color w:val="0070C0"/>
          <w:sz w:val="16"/>
          <w:szCs w:val="16"/>
        </w:rPr>
        <w:softHyphen/>
        <w:t>ных эшелонов, взрывы и пожары складов, - все это не может быть исключено из тыло</w:t>
      </w:r>
      <w:r w:rsidRPr="00142305">
        <w:rPr>
          <w:rFonts w:ascii="Times New Roman" w:hAnsi="Times New Roman"/>
          <w:color w:val="0070C0"/>
          <w:sz w:val="16"/>
          <w:szCs w:val="16"/>
        </w:rPr>
        <w:softHyphen/>
        <w:t>вой обстановки будущей войны, особенно там, где сильные группировки неприятель</w:t>
      </w:r>
      <w:r w:rsidRPr="00142305">
        <w:rPr>
          <w:rFonts w:ascii="Times New Roman" w:hAnsi="Times New Roman"/>
          <w:color w:val="0070C0"/>
          <w:sz w:val="16"/>
          <w:szCs w:val="16"/>
        </w:rPr>
        <w:softHyphen/>
        <w:t>ской авиации будут пытаться расстроить службу тыла.</w:t>
      </w:r>
    </w:p>
    <w:p w14:paraId="532695ED"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Защита тыла и обеспечение своих армий боевым питанием в этой обстановке является одной из главных задач нашей авиации. Поэтому она должна выполнять бое</w:t>
      </w:r>
      <w:r w:rsidRPr="00142305">
        <w:rPr>
          <w:rFonts w:ascii="Times New Roman" w:hAnsi="Times New Roman"/>
          <w:color w:val="0070C0"/>
          <w:sz w:val="16"/>
          <w:szCs w:val="16"/>
        </w:rPr>
        <w:softHyphen/>
        <w:t>вую работу, не имея недостатка в боеприпасах, топливе и прочем имуществе.</w:t>
      </w:r>
    </w:p>
    <w:p w14:paraId="0A527413"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Наиболее надежным средством подвоза всего необходимого имущества явится воздушный транспорт, не связанный с состоянием земных путей и могущий подавать грузы в 10 раз быстрее, чем механический земной транспорт.</w:t>
      </w:r>
    </w:p>
    <w:p w14:paraId="183BC19D"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 будет преувеличением считать, что современный транспортный самолет среднего тоннажа эффективнее аналогичного по тоннажу грузового автомобиля не ме</w:t>
      </w:r>
      <w:r w:rsidRPr="00142305">
        <w:rPr>
          <w:rFonts w:ascii="Times New Roman" w:hAnsi="Times New Roman"/>
          <w:color w:val="0070C0"/>
          <w:sz w:val="16"/>
          <w:szCs w:val="16"/>
        </w:rPr>
        <w:softHyphen/>
        <w:t>нее чем в 8-10 раз по скорости и значительно надежнее по доставке имущества к месту назначения (суточная работа самолета - 1 000 км, автомобиля - 100 км; порча и заку</w:t>
      </w:r>
      <w:r w:rsidRPr="00142305">
        <w:rPr>
          <w:rFonts w:ascii="Times New Roman" w:hAnsi="Times New Roman"/>
          <w:color w:val="0070C0"/>
          <w:sz w:val="16"/>
          <w:szCs w:val="16"/>
        </w:rPr>
        <w:softHyphen/>
        <w:t>порка шоссейных и грунтовых путей осуществляется легче, чем вывод из строя глубоко расположенных аэродромов).</w:t>
      </w:r>
    </w:p>
    <w:p w14:paraId="477F6D2A"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Суточная потребность в боеприпасах и топливе мощной группировки современ</w:t>
      </w:r>
      <w:r w:rsidRPr="00142305">
        <w:rPr>
          <w:rFonts w:ascii="Times New Roman" w:hAnsi="Times New Roman"/>
          <w:color w:val="0070C0"/>
          <w:sz w:val="16"/>
          <w:szCs w:val="16"/>
        </w:rPr>
        <w:softHyphen/>
        <w:t>ной авиации выражается в очень больших числах: для питания только 100 бомбарди</w:t>
      </w:r>
      <w:r w:rsidRPr="00142305">
        <w:rPr>
          <w:rFonts w:ascii="Times New Roman" w:hAnsi="Times New Roman"/>
          <w:color w:val="0070C0"/>
          <w:sz w:val="16"/>
          <w:szCs w:val="16"/>
        </w:rPr>
        <w:softHyphen/>
        <w:t>ровочных самолетов тяжелого типа требуется свыше 500 т разных грузов, т. е. 2 желез</w:t>
      </w:r>
      <w:r w:rsidRPr="00142305">
        <w:rPr>
          <w:rFonts w:ascii="Times New Roman" w:hAnsi="Times New Roman"/>
          <w:color w:val="0070C0"/>
          <w:sz w:val="16"/>
          <w:szCs w:val="16"/>
        </w:rPr>
        <w:softHyphen/>
        <w:t>нодорожных состава; для доставки этого груза от станций снабжения на аэродромы на обычное (среднее) расстояние около 50-60 км потребуется не менее 500 автомобилей. Если же применить транспортные самолеты грузоподъемностью 1 ’/2—2 т, то окажется, что переброска грузов из тыла непосредственно на аэродромы и на расстояние 100-150 км потребует всего 90-100 машин, т. е. по 1 транспортному самолету на каждый боевой (тяжелый).</w:t>
      </w:r>
    </w:p>
    <w:p w14:paraId="7E8BC8E2"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Военно-воздушный транспорт должен служить не только для питания воздуш</w:t>
      </w:r>
      <w:r w:rsidRPr="00142305">
        <w:rPr>
          <w:rFonts w:ascii="Times New Roman" w:hAnsi="Times New Roman"/>
          <w:color w:val="0070C0"/>
          <w:sz w:val="16"/>
          <w:szCs w:val="16"/>
        </w:rPr>
        <w:softHyphen/>
        <w:t>ных сил; он будет иметь громадное значение в боевом питании земных войск, частично заменяя и усиливая работу железнодорожного и автомобильного транспорта.</w:t>
      </w:r>
    </w:p>
    <w:p w14:paraId="53A68421"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Приведенные нами цифры говорят о том, что в современной организации воен</w:t>
      </w:r>
      <w:r w:rsidRPr="00142305">
        <w:rPr>
          <w:rFonts w:ascii="Times New Roman" w:hAnsi="Times New Roman"/>
          <w:color w:val="0070C0"/>
          <w:sz w:val="16"/>
          <w:szCs w:val="16"/>
        </w:rPr>
        <w:softHyphen/>
        <w:t>ного воздушного флота очень большое место (на военное время) надо отвести воздуш</w:t>
      </w:r>
      <w:r w:rsidRPr="00142305">
        <w:rPr>
          <w:rFonts w:ascii="Times New Roman" w:hAnsi="Times New Roman"/>
          <w:color w:val="0070C0"/>
          <w:sz w:val="16"/>
          <w:szCs w:val="16"/>
        </w:rPr>
        <w:softHyphen/>
        <w:t>ному транспорту, который по числу самолетов, в общем, должен составить не менее 50% от числа боевых единиц. Это только те средства, которые надо будет применять в армейской и частично фронтовой зоне театра военных действий. Более глубокий тыл и внутренняя зона государства точно также должны располагать воздушным транспор</w:t>
      </w:r>
      <w:r w:rsidRPr="00142305">
        <w:rPr>
          <w:rFonts w:ascii="Times New Roman" w:hAnsi="Times New Roman"/>
          <w:color w:val="0070C0"/>
          <w:sz w:val="16"/>
          <w:szCs w:val="16"/>
        </w:rPr>
        <w:softHyphen/>
        <w:t>том, несущим специальную службу в интересах армии, независимо от регулярной ра</w:t>
      </w:r>
      <w:r w:rsidRPr="00142305">
        <w:rPr>
          <w:rFonts w:ascii="Times New Roman" w:hAnsi="Times New Roman"/>
          <w:color w:val="0070C0"/>
          <w:sz w:val="16"/>
          <w:szCs w:val="16"/>
        </w:rPr>
        <w:softHyphen/>
        <w:t>боты воздушных путей общегосударственного значения» (Хрипин В. В. Проблемы современного авиастроительства и военного применения воздушного флота // Вестник воздушного флота. - 1932. - № 1. - С. 15-19).</w:t>
      </w:r>
    </w:p>
    <w:p w14:paraId="3627D3E9"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Хрипин обосновал создание военно-транспортной авиации, за</w:t>
      </w:r>
      <w:r w:rsidRPr="00142305">
        <w:rPr>
          <w:rFonts w:ascii="Times New Roman" w:hAnsi="Times New Roman"/>
          <w:color w:val="0070C0"/>
          <w:sz w:val="16"/>
          <w:szCs w:val="16"/>
        </w:rPr>
        <w:softHyphen/>
        <w:t>чатки которой появились в 1931 году. В дальнейшем она развилась в род ВВС] (24868).</w:t>
      </w:r>
    </w:p>
    <w:p w14:paraId="30F95708" w14:textId="77777777" w:rsidR="00C55E74" w:rsidRPr="00C55E74" w:rsidRDefault="00C55E74" w:rsidP="00C55E74">
      <w:pPr>
        <w:pStyle w:val="aff2"/>
        <w:tabs>
          <w:tab w:val="left" w:pos="594"/>
        </w:tabs>
        <w:spacing w:line="240" w:lineRule="auto"/>
        <w:rPr>
          <w:rFonts w:ascii="Times New Roman" w:hAnsi="Times New Roman" w:cs="Times New Roman"/>
          <w:i w:val="0"/>
          <w:iCs w:val="0"/>
          <w:color w:val="0070C0"/>
          <w:sz w:val="16"/>
          <w:szCs w:val="16"/>
          <w:lang w:val="ru-RU"/>
        </w:rPr>
      </w:pPr>
    </w:p>
    <w:p w14:paraId="6D6E2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вышел Приказ ВВС N 001 от января 1932 года</w:t>
      </w:r>
    </w:p>
    <w:p w14:paraId="371F80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исполнение приказа РВС от 7.10.31 года N 0018 и циркулярного распоряжения штаба РККА от 28.12.31 г. N 1/21258сс приказываю:</w:t>
      </w:r>
    </w:p>
    <w:p w14:paraId="4E837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Продлить сроком до 1 января 1933 года условное зашифрованное именование новых формированных частей ВВС, согласно прилагаемого при сем списка....</w:t>
      </w:r>
    </w:p>
    <w:p w14:paraId="23701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для всей не секретной и частной корреспонденции в адрес части завести при местной почтово-телеграфной конторе почтовый ящик, на номер которого и производить адресование упомянутой корреспонденции.</w:t>
      </w:r>
    </w:p>
    <w:p w14:paraId="1E32C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Воспретить вывешивание вывесок с действительным номером и наименованием части. (3046,27).</w:t>
      </w:r>
    </w:p>
    <w:p w14:paraId="1DFEF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9EB1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вышло решение РВС о создании на базе опытного авиадесантного отряда в Ленинграде полнокомплектного авиамотодесантного отряда под командованием М.В.Бойцова. Такие же хотели формировать в Московском, Белорусском, Украинском ВО. Новая задача для П.И.Гроховского (1101,101).</w:t>
      </w:r>
    </w:p>
    <w:p w14:paraId="38075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A0FAB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6BEC09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EECAE7" w14:textId="77777777" w:rsidR="009B5B0B" w:rsidRPr="00E93F40" w:rsidRDefault="009B5B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 Политбюро и Совнарком утвердили объем строительных работ и установили срок пуска упомянутых линий протяженностью 58,4 км — до конца 1935 г. Срок завершения технического проекта был продлен до начала мая 1932 г. Госплану поручалось заготовить необходимые стройматериалы. К разработке проекта и производству строительных работ намечалось привлечь иностранных специалистов{414} (18299).</w:t>
      </w:r>
    </w:p>
    <w:p w14:paraId="19EAD14B" w14:textId="77777777" w:rsidR="009B5B0B" w:rsidRPr="00E93F40" w:rsidRDefault="009B5B0B" w:rsidP="00E93F40">
      <w:pPr>
        <w:spacing w:after="0" w:line="240" w:lineRule="auto"/>
        <w:jc w:val="both"/>
        <w:rPr>
          <w:rFonts w:ascii="Times New Roman" w:hAnsi="Times New Roman"/>
          <w:color w:val="000000" w:themeColor="text1"/>
          <w:sz w:val="16"/>
          <w:szCs w:val="16"/>
        </w:rPr>
      </w:pPr>
    </w:p>
    <w:p w14:paraId="606BE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в первый месяц 1932 года он купил у населения 90 кг чистого золота, то летом месячная скупка уже превышала тонну, а в октябре перевалила за две тонны чистого золота. Руководство в определении перспектив скупки явно не поспевало "за голодом" и темпами, которыми население несло свои сбережения в Торгсин. Первоначально план скупки валютных ценностей на 1932 год был определен в 25 миллионов рублей, но уже зимой увеличен до 40 миллионов, а к весне еще на миллион рублей. Увеличение плана шло за счет роста скупки бытового золота. По новым наметкам Торгсин должен был скупить золота на 20,9 миллиона, из них лома на 14,9 и чекана на 6 миллионов рублей. К осени 1932 года валютный план Торгсина достиг 60 миллионов рублей. Торгсин перевыполнил и увеличенный план. За 1932 год он скупил у населения золота на 26,8 миллиона рублей, превысив плановые наметки почти на 6 миллионов! План скупки и по лому, и по чекану был превзойден, но бытовое золото лидировало.</w:t>
      </w:r>
    </w:p>
    <w:p w14:paraId="26A70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Соотношение между бытовым золотом и монетами царской чеканки имеет интересное социальное содержание. По мнению торгсиновских руководителей, царские монеты поступали в Торгсин в основном из глубинки, от крестьян, в то время как бытовое золото было индикатором вовлечения городского населения. Деление "лом - город, чекан - деревня", конечно, приблизительное. И крестьяне приносили в Торгсин золотые украшения, а в городе в кубышках сохранились царские монеты. Но </w:t>
      </w:r>
      <w:r w:rsidRPr="00E93F40">
        <w:rPr>
          <w:rFonts w:ascii="Times New Roman" w:hAnsi="Times New Roman"/>
          <w:color w:val="000000" w:themeColor="text1"/>
          <w:sz w:val="16"/>
          <w:szCs w:val="16"/>
        </w:rPr>
        <w:lastRenderedPageBreak/>
        <w:t>все-таки по нему можно судить об основных тенденциях в социальном и географическом развитии Торгсина. Возвращаясь к соотношению лома (19 млн) и чекана (7,8 млн) в золотоскупке 1932 года, можно сказать, что Торгсин в тот год оставался в значительной степени городским.</w:t>
      </w:r>
    </w:p>
    <w:p w14:paraId="7019A5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Абсолютным лидером в скупке золота в 1932 году была Московская контора. За девять месяцев она "заготовила" золота на 4,6 миллиона рублей (3,6 тонны чистого золота). Это более четверти всей годовой золотоскупки Торгсина. На втором месте стояла Ленинградская контора, скупившая золота почти на 2 миллиона рублей, на третьем - Харьковская (1,5 млн). По скупке золота выделялись также Северо-Кавказская (1 млн), Закавказская (0,9 млн), Одесская (0,8 млн), Киевская (0,6 млн), Горьковская и Центрально-Черноземная (по 0,5 млн) конторы. Существенно отставали Казахская (17 тыс.), Дальневосточная (111 тыс.), Башкирская (144 тыс.).</w:t>
      </w:r>
    </w:p>
    <w:p w14:paraId="22EE1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работы контор в 1932 году уже отражают географию голода - высокие показатели по украинским конторам, наивысшие показатели выполнения плана в наиболее голодные месяцы - апрель, май, июнь. Но в значительной степени итоги золотоскупки 1932 года - свидетельство неравномерности развития сети Торгсина. Наиболее "старые", столичные и украинские конторы с развитой сетью магазинов шли впереди, "молодые", находившиеся в стадии образования, отставали.</w:t>
      </w:r>
    </w:p>
    <w:p w14:paraId="226A7D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люди принесли в Торгсин почти 21 тонну чистого золота - более половины промышленной добычи золота в тот год. С учетом того, что сдавали золото не чистое, разных и преимущественно низших проб, реальный физический тоннаж принесенного в Торгсин ценного металла вырастет в несколько раз. 1932-й стал первым годом массового мора в СССР. Настал звездный час Торгсина. На 1933 год окрыленное руководство назначило Торгсину план в 2 раза больше прошлогоднего - скупить золота на 48 миллионов рублей. Золотоскупка должна была обеспечить почти 40 процентов выполнения общего плана "заготовки ценностей"!</w:t>
      </w:r>
    </w:p>
    <w:p w14:paraId="6A56DA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Тот факт, что Торгсину по плану предстояло скупить монет почти в 4 раза больше, чем в 1932 году, - свидетельство того, что руководство ожидало в 1933 году массовый приход крестьян в Торгсин. Руководство осознавало, какие регионы будут голодать. По плану 1933 года Украина должна была скупить ценностей на 28 миллионов рублей, фактически столько же, сколько и элитная Москва с ее огромным столичным валютным потенциалом (29 млн). Даже вторая по значимости после Москвы Ленинградская контора получила план почти в 2 раза меньше украинского (15 млн). Высокий план скупки ценностей на 1933 год, по б миллионов рублей, получили также Северный Кавказ, Закавказье и Белоруссия (11558).</w:t>
      </w:r>
    </w:p>
    <w:p w14:paraId="21086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8298AF" w14:textId="367B6B5C" w:rsidR="00FC0C68" w:rsidRPr="00E93F40" w:rsidRDefault="00FC0C68" w:rsidP="00E93F40">
      <w:pPr>
        <w:spacing w:after="0" w:line="240" w:lineRule="auto"/>
        <w:jc w:val="both"/>
        <w:rPr>
          <w:rFonts w:ascii="Times New Roman" w:hAnsi="Times New Roman"/>
          <w:color w:val="000000" w:themeColor="text1"/>
          <w:sz w:val="16"/>
          <w:szCs w:val="16"/>
          <w:lang w:eastAsia="ru-RU"/>
        </w:rPr>
      </w:pPr>
      <w:r w:rsidRPr="00E93F40">
        <w:rPr>
          <w:rFonts w:ascii="Times New Roman" w:hAnsi="Times New Roman"/>
          <w:color w:val="000000" w:themeColor="text1"/>
          <w:sz w:val="16"/>
          <w:szCs w:val="16"/>
        </w:rPr>
        <w:t>В</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январе</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Сталин и </w:t>
      </w:r>
      <w:hyperlink r:id="rId21" w:history="1">
        <w:r w:rsidRPr="00E93F40">
          <w:rPr>
            <w:rStyle w:val="a5"/>
            <w:rFonts w:ascii="Times New Roman" w:hAnsi="Times New Roman"/>
            <w:color w:val="000000" w:themeColor="text1"/>
            <w:sz w:val="16"/>
            <w:szCs w:val="16"/>
          </w:rPr>
          <w:t>Молотов</w:t>
        </w:r>
      </w:hyperlink>
      <w:r w:rsidRPr="00E93F40">
        <w:rPr>
          <w:rFonts w:ascii="Times New Roman" w:hAnsi="Times New Roman"/>
          <w:color w:val="000000" w:themeColor="text1"/>
          <w:sz w:val="16"/>
          <w:szCs w:val="16"/>
        </w:rPr>
        <w:t xml:space="preserve"> в телеграмме СВ. Косиору, членам Политбюро ЦК КП(б) Украины и членам Политбюро ЦК ВКП(б) решительно потребовали безусловного выполнения планов хлебозаготовок: «Положение с хлебозаготовками на Украине считаем тревожным. На основании имеющихся в ЦК ВКП(б) данных работники Украины стихийно ориентируются на невыполнение плана на 70-80 млн пудов. Такую перспективу считаем неприемлемой и нетерпимой.</w:t>
      </w:r>
    </w:p>
    <w:p w14:paraId="5F28456B" w14:textId="0155B8D4" w:rsidR="00FC0C68" w:rsidRPr="00E93F40" w:rsidRDefault="00FC0C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Счигаем позором, что Украина в этом году при более высоком уровне коллективизации и большем количестве совхозов заготовила на 1</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января</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сего года на 20 млн пудов меньше, чем в прошлом году. Кто тут виноват: высший уровень коллективизации или низший уровень руководства делом заготовок?</w:t>
      </w:r>
    </w:p>
    <w:p w14:paraId="26FBFD87" w14:textId="77777777" w:rsidR="00FC0C68" w:rsidRPr="00E93F40" w:rsidRDefault="00FC0C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Считаем необходимым Ваш немедленный приезд в Харьков и взятие Вами в собственные руки всего дела хлебозаготовок. План должен быть выполнен полностью и безусловно. Решение Пленума ЦК ВКП(б) должно быть выполнено».</w:t>
      </w:r>
    </w:p>
    <w:p w14:paraId="2C39EDD9" w14:textId="77777777" w:rsidR="00FC0C68" w:rsidRPr="00E93F40" w:rsidRDefault="00FC0C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телеграммы видно, что Сталин и Молотов ставили хлебозаготовки в непосредственную связь с коллективизацией, хотя года два назад Сталин отрицал, что колхозы создаются для решения зерновой проблемы. Он говорил, что для этого достаточно частичной коллективизации и что колхозы организуются для решения вопросов социалистического строительства в деревне.</w:t>
      </w:r>
    </w:p>
    <w:p w14:paraId="45667473" w14:textId="77777777" w:rsidR="00FC0C68" w:rsidRPr="00E93F40" w:rsidRDefault="00FC0C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Ссылаясь на высказывания В.И. Ленина о необходимости учитывать материальную заинтересованность крестьян, Сталин на практике игнорировал это указание, что проявилось, в частности, и при планировании хлебозаготовок (17254).</w:t>
      </w:r>
    </w:p>
    <w:p w14:paraId="068E38B9" w14:textId="77777777" w:rsidR="00FC0C68" w:rsidRPr="00E93F40" w:rsidRDefault="00FC0C68" w:rsidP="00E93F40">
      <w:pPr>
        <w:spacing w:after="0" w:line="240" w:lineRule="auto"/>
        <w:jc w:val="both"/>
        <w:rPr>
          <w:rFonts w:ascii="Times New Roman" w:hAnsi="Times New Roman"/>
          <w:color w:val="000000" w:themeColor="text1"/>
          <w:sz w:val="16"/>
          <w:szCs w:val="16"/>
        </w:rPr>
      </w:pPr>
    </w:p>
    <w:p w14:paraId="1922B5A0" w14:textId="683AB04D" w:rsidR="00FC0C68" w:rsidRPr="00E93F40" w:rsidRDefault="00FC0C6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В</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январе</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председатель Центральной контрольной комиссии ВКП(б) и нарком рабоче-крестьянской инспекции (ЦКК-РКИ) Я.Э. Рудзутак в записке Сталину предлагал в числе других вопросов колхозного строительства (улучшение организации труда, внедрение сдельщины, создание постоянных бригад в колхозах) пересмотреть систему планирования хлебозаготовок. «Планы, - писал Рудзутак, - надо давать в начале хозяйственного года, чтобы колхоз имел возможность планировать продажу на рынке части продукции после выполнения государственного задания. По некоторым продуктам (фрукты, овощи и др.) - централизованные планы свести до минимума» (17254).</w:t>
      </w:r>
    </w:p>
    <w:p w14:paraId="639E793D" w14:textId="77777777" w:rsidR="00FC0C68" w:rsidRPr="00E93F40" w:rsidRDefault="00FC0C6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9E094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6D5D24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F031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Акрон удачно взаимодействовал с разведывательными [432] кораблями восточнее Флориды. Во время этих учений «Акрон» успешно миновал снежную бурю, хотя при этом ледовая корка, образовавшаяся на корпусе дирижабля, весила 8 т. Он обнаружил «неприятеля» на 7 часов раньше, чем крейсера, посланные в тот же район. Теперь пришла пора опробовать «Акрон» по его прямому назначению — в качестве дальнего стратегического разведчика и патрульного дирижабля. Но до этого следовало отработать взаимодействие с бортовыми самолетами и в первую очередь натренировать летчиков в таком непростом действии, как стыковка с дирижаблем (11321).</w:t>
      </w:r>
    </w:p>
    <w:p w14:paraId="70A40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63BA2E" w14:textId="77777777" w:rsidR="0059309B" w:rsidRPr="00E93F40" w:rsidRDefault="005930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1932-го дирижабль США «Акрон» удачно взаимодействовал с разведывательными кораблями восточнее Флориды, обнаружив «неприятеля» на 7 часов раньше, чем крейсера, посланные в тот же район (22730).</w:t>
      </w:r>
    </w:p>
    <w:p w14:paraId="48EA6D52" w14:textId="77777777" w:rsidR="0059309B" w:rsidRPr="00E93F40" w:rsidRDefault="0059309B" w:rsidP="00E93F40">
      <w:pPr>
        <w:spacing w:after="0" w:line="240" w:lineRule="auto"/>
        <w:jc w:val="both"/>
        <w:rPr>
          <w:rFonts w:ascii="Times New Roman" w:hAnsi="Times New Roman"/>
          <w:color w:val="000000" w:themeColor="text1"/>
          <w:sz w:val="16"/>
          <w:szCs w:val="16"/>
        </w:rPr>
      </w:pPr>
    </w:p>
    <w:p w14:paraId="5FA68E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Люфтганза заказала фирмам Хейнкель и Юнкерс новые машины под БМВ в 575 нр. и скоростью 280 км/ч. Хейнкель стал делать Не 65, который потом стал Хе-70 Блитц (1167,23).</w:t>
      </w:r>
    </w:p>
    <w:p w14:paraId="13AD8B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C2B1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в воздух поднялся первый в мире СБ Мартин 123, ТЗ на который было выдано еще в декабре 1929. В первых полетах скорость была 300 км/час. Это был прообраз советского СБ, на который потом ссылался А.Н.Т. (2468,8).</w:t>
      </w:r>
    </w:p>
    <w:p w14:paraId="5F11BA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2F3161" w14:textId="6B19096D" w:rsidR="00655811" w:rsidRPr="00E93F40" w:rsidRDefault="0065581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w:t>
      </w:r>
      <w:r w:rsidR="00DD74E1">
        <w:rPr>
          <w:rFonts w:ascii="Times New Roman" w:eastAsia="Times New Roman" w:hAnsi="Times New Roman"/>
          <w:color w:val="000000" w:themeColor="text1"/>
          <w:sz w:val="16"/>
          <w:szCs w:val="16"/>
          <w:lang w:eastAsia="ru-RU"/>
        </w:rPr>
        <w:t xml:space="preserve">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январе</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года, когда Конгресс США создал Финансовую корпорацию реконструкции (</w:t>
      </w:r>
      <w:r w:rsidRPr="00E93F40">
        <w:rPr>
          <w:rFonts w:ascii="Times New Roman" w:eastAsia="Times New Roman" w:hAnsi="Times New Roman"/>
          <w:color w:val="000000" w:themeColor="text1"/>
          <w:sz w:val="16"/>
          <w:szCs w:val="16"/>
          <w:lang w:val="en-US" w:eastAsia="ru-RU"/>
        </w:rPr>
        <w:t>RFC</w:t>
      </w:r>
      <w:r w:rsidRPr="00E93F40">
        <w:rPr>
          <w:rFonts w:ascii="Times New Roman" w:eastAsia="Times New Roman" w:hAnsi="Times New Roman"/>
          <w:color w:val="000000" w:themeColor="text1"/>
          <w:sz w:val="16"/>
          <w:szCs w:val="16"/>
          <w:lang w:eastAsia="ru-RU"/>
        </w:rPr>
        <w:t xml:space="preserve">) было положено начало выхода из кризиса. Эта организация была призвана оказывать финансовую помощь железным дорогам, финансовым институтам и бизнес-корпорациям. В июле её роль была расширена для оказания помощи сельскому хозяйству и финансирования государственных и местных общественных работ. </w:t>
      </w:r>
    </w:p>
    <w:p w14:paraId="1B8634E0" w14:textId="77777777" w:rsidR="00655811" w:rsidRPr="00E93F40" w:rsidRDefault="0065581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Был принят закон о Федеральном жилищном банке, который должен предоставлять кредиты организациям, занимающимся ипотечным кредитованием (прообраз будущей </w:t>
      </w:r>
      <w:r w:rsidRPr="00E93F40">
        <w:rPr>
          <w:rFonts w:ascii="Times New Roman" w:eastAsia="Times New Roman" w:hAnsi="Times New Roman"/>
          <w:color w:val="000000" w:themeColor="text1"/>
          <w:sz w:val="16"/>
          <w:szCs w:val="16"/>
          <w:lang w:val="en-US" w:eastAsia="ru-RU"/>
        </w:rPr>
        <w:t>FannieMae</w:t>
      </w:r>
      <w:r w:rsidRPr="00E93F40">
        <w:rPr>
          <w:rFonts w:ascii="Times New Roman" w:eastAsia="Times New Roman" w:hAnsi="Times New Roman"/>
          <w:color w:val="000000" w:themeColor="text1"/>
          <w:sz w:val="16"/>
          <w:szCs w:val="16"/>
          <w:lang w:eastAsia="ru-RU"/>
        </w:rPr>
        <w:t xml:space="preserve">). Был принят первый из двух законов, носящих имя Гласа—Стигала, направленный на либерализацию ФРС и разрешающий, в частности, ей кредитовать банки-члены. Было признано необходимым активизировать бюджетное перераспределение доходов от богатых к бедным, чтобы стимулировать потребление. Максимальная ставка подоходного налога была повышена с 25 до 63 %. </w:t>
      </w:r>
    </w:p>
    <w:p w14:paraId="06A738AA" w14:textId="7F0F3E98" w:rsidR="00655811" w:rsidRPr="00E93F40" w:rsidRDefault="0065581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Однако общественность считала, что меры, предпринимаемые администрацией Гувера, тридцать первого президента США с 1929 по 1933, от Республиканской партии, недостаточны и слишком запоздали. Франклин Рузвельт легко победил Гувера на президентских выборах осенью</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года, одновременно демократы смогли завоевать контроль над Конгрессом. </w:t>
      </w:r>
    </w:p>
    <w:p w14:paraId="58358994" w14:textId="77777777" w:rsidR="00655811" w:rsidRPr="00E93F40" w:rsidRDefault="0065581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Для выхода из кризиса в 1933 г. начал осуществляться Новый курс Рузвельта — различные меры, направленные на регулирование экономики. Некоторые из них, по современным представлениям, помогли устранить причины Великой депрессии, некоторые носили социальную направленность, помогая наиболее пострадавшим выжить, другие меры усугубили положение. </w:t>
      </w:r>
    </w:p>
    <w:p w14:paraId="18EBD8F8" w14:textId="77777777" w:rsidR="00655811" w:rsidRPr="00E93F40" w:rsidRDefault="0065581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Почти сразу же после вступления в должность, в марте 1933 года, Рузвельту пришлось столкнуться с третьей волной банковской паники, на которую новый президент отреагировал закрытием банков на неделю и подготовкой за это время программы гарантирования вкладов (17253). </w:t>
      </w:r>
    </w:p>
    <w:p w14:paraId="2AEF72A5" w14:textId="77777777" w:rsidR="00655811" w:rsidRPr="00E93F40" w:rsidRDefault="0065581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1F4E79" w14:textId="77777777" w:rsidR="0059309B" w:rsidRPr="00E93F40" w:rsidRDefault="005930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w:t>
      </w:r>
      <w:r w:rsidRPr="00E93F40">
        <w:rPr>
          <w:rFonts w:ascii="Times New Roman" w:hAnsi="Times New Roman"/>
          <w:color w:val="000000" w:themeColor="text1"/>
          <w:sz w:val="16"/>
          <w:szCs w:val="16"/>
        </w:rPr>
        <w:softHyphen/>
        <w:t>ре 1932 года в Японии, где работы над гидросамолетами подводных лодок велисб с 1925 г., на вооружение был при</w:t>
      </w:r>
      <w:r w:rsidRPr="00E93F40">
        <w:rPr>
          <w:rFonts w:ascii="Times New Roman" w:hAnsi="Times New Roman"/>
          <w:color w:val="000000" w:themeColor="text1"/>
          <w:sz w:val="16"/>
          <w:szCs w:val="16"/>
        </w:rPr>
        <w:softHyphen/>
        <w:t>нят новый одноместный поплавковый разведывательный биплан — Yokosho E6Y1 тип 91 (22804).</w:t>
      </w:r>
    </w:p>
    <w:p w14:paraId="56122E47" w14:textId="77777777" w:rsidR="0059309B" w:rsidRPr="00E93F40" w:rsidRDefault="0059309B" w:rsidP="00E93F40">
      <w:pPr>
        <w:spacing w:after="0" w:line="240" w:lineRule="auto"/>
        <w:jc w:val="both"/>
        <w:rPr>
          <w:rFonts w:ascii="Times New Roman" w:hAnsi="Times New Roman"/>
          <w:color w:val="000000" w:themeColor="text1"/>
          <w:sz w:val="16"/>
          <w:szCs w:val="16"/>
        </w:rPr>
      </w:pPr>
    </w:p>
    <w:p w14:paraId="1431937C" w14:textId="77777777" w:rsidR="00D37B6C" w:rsidRPr="00E93F40" w:rsidRDefault="00D37B6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1932 года опытный бомбардировщик Мартин 123 впервые под</w:t>
      </w:r>
      <w:r w:rsidRPr="00E93F40">
        <w:rPr>
          <w:rFonts w:ascii="Times New Roman" w:hAnsi="Times New Roman"/>
          <w:color w:val="000000" w:themeColor="text1"/>
          <w:sz w:val="16"/>
          <w:szCs w:val="16"/>
        </w:rPr>
        <w:softHyphen/>
        <w:t>нялся в воздух, Этот двухмоторный моноплан обгонял бипланы-истребители тех лет. После доработки в 1934 году машина пошла в серийное производство как Мартин 139, а Авиацион</w:t>
      </w:r>
      <w:r w:rsidRPr="00E93F40">
        <w:rPr>
          <w:rFonts w:ascii="Times New Roman" w:hAnsi="Times New Roman"/>
          <w:color w:val="000000" w:themeColor="text1"/>
          <w:sz w:val="16"/>
          <w:szCs w:val="16"/>
        </w:rPr>
        <w:softHyphen/>
        <w:t>ный корпус армии США именовал различные модифи</w:t>
      </w:r>
      <w:r w:rsidRPr="00E93F40">
        <w:rPr>
          <w:rFonts w:ascii="Times New Roman" w:hAnsi="Times New Roman"/>
          <w:color w:val="000000" w:themeColor="text1"/>
          <w:sz w:val="16"/>
          <w:szCs w:val="16"/>
        </w:rPr>
        <w:softHyphen/>
        <w:t>кации этого бомбардировщика В-10 и В-12 (23545).</w:t>
      </w:r>
    </w:p>
    <w:p w14:paraId="4CF3B943" w14:textId="77777777" w:rsidR="00D37B6C" w:rsidRPr="00E93F40" w:rsidRDefault="00D37B6C" w:rsidP="00E93F40">
      <w:pPr>
        <w:spacing w:after="0" w:line="240" w:lineRule="auto"/>
        <w:jc w:val="both"/>
        <w:rPr>
          <w:rFonts w:ascii="Times New Roman" w:hAnsi="Times New Roman"/>
          <w:color w:val="000000" w:themeColor="text1"/>
          <w:sz w:val="16"/>
          <w:szCs w:val="16"/>
        </w:rPr>
      </w:pPr>
    </w:p>
    <w:p w14:paraId="3F0DE188" w14:textId="7011BC11" w:rsidR="009B5B0B" w:rsidRPr="00E93F40" w:rsidRDefault="009B5B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1932 года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Германия в одностороннем порядке отказалась от дальнейшей выплаты репараций, летом того же года на международной конференции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Лозанне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этим решением согласились державы-победительницы. Всего, по различным оценкам, Германией было выплачено от 12 до 44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млрд рейхсмарок репараций (18291).</w:t>
      </w:r>
    </w:p>
    <w:p w14:paraId="12920416" w14:textId="77777777" w:rsidR="009B5B0B" w:rsidRPr="00E93F40" w:rsidRDefault="009B5B0B" w:rsidP="00E93F40">
      <w:pPr>
        <w:spacing w:after="0" w:line="240" w:lineRule="auto"/>
        <w:jc w:val="both"/>
        <w:rPr>
          <w:rFonts w:ascii="Times New Roman" w:hAnsi="Times New Roman"/>
          <w:color w:val="000000" w:themeColor="text1"/>
          <w:sz w:val="16"/>
          <w:szCs w:val="16"/>
        </w:rPr>
      </w:pPr>
    </w:p>
    <w:p w14:paraId="2AF709DB" w14:textId="77777777" w:rsidR="00C55E74" w:rsidRPr="00E93F40" w:rsidRDefault="00C55E74" w:rsidP="00C55E74">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241D4F9" w14:textId="77777777" w:rsidR="00C55E74" w:rsidRPr="00E93F40" w:rsidRDefault="00C55E74" w:rsidP="00C55E74">
      <w:pPr>
        <w:autoSpaceDE w:val="0"/>
        <w:autoSpaceDN w:val="0"/>
        <w:adjustRightInd w:val="0"/>
        <w:spacing w:after="0" w:line="240" w:lineRule="auto"/>
        <w:jc w:val="both"/>
        <w:rPr>
          <w:rFonts w:ascii="Times New Roman" w:hAnsi="Times New Roman"/>
          <w:iCs/>
          <w:color w:val="000000" w:themeColor="text1"/>
          <w:sz w:val="16"/>
          <w:szCs w:val="16"/>
        </w:rPr>
      </w:pPr>
    </w:p>
    <w:p w14:paraId="099C78C3"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январе и феврале 1932 г. СТО были приняты решения о доведении мощности авиационных заводов к 1 января 1935 г. до 23 тыс. самолетов, 12 тыс. авиэток и 84 тыс. моторов. Как отмечал О. Кен, «эти меры являлись естествен</w:t>
      </w:r>
      <w:r w:rsidRPr="00142305">
        <w:rPr>
          <w:rStyle w:val="aff"/>
          <w:rFonts w:ascii="Times New Roman" w:hAnsi="Times New Roman" w:cs="Times New Roman"/>
          <w:color w:val="0070C0"/>
          <w:spacing w:val="0"/>
          <w:sz w:val="16"/>
          <w:szCs w:val="16"/>
        </w:rPr>
        <w:softHyphen/>
        <w:t xml:space="preserve">ным следствием как обновленной оборонной доктрины, так и невозможности осуществить их без </w:t>
      </w:r>
      <w:r w:rsidRPr="00142305">
        <w:rPr>
          <w:rStyle w:val="aff"/>
          <w:rFonts w:ascii="Times New Roman" w:hAnsi="Times New Roman" w:cs="Times New Roman"/>
          <w:color w:val="0070C0"/>
          <w:spacing w:val="0"/>
          <w:sz w:val="16"/>
          <w:szCs w:val="16"/>
        </w:rPr>
        <w:lastRenderedPageBreak/>
        <w:t>командного нажима, одним из инструментов которого слу</w:t>
      </w:r>
      <w:r w:rsidRPr="00142305">
        <w:rPr>
          <w:rStyle w:val="aff"/>
          <w:rFonts w:ascii="Times New Roman" w:hAnsi="Times New Roman" w:cs="Times New Roman"/>
          <w:color w:val="0070C0"/>
          <w:spacing w:val="0"/>
          <w:sz w:val="16"/>
          <w:szCs w:val="16"/>
        </w:rPr>
        <w:softHyphen/>
        <w:t>жили мобилизационные планы» (</w:t>
      </w:r>
      <w:r w:rsidRPr="00C55E74">
        <w:rPr>
          <w:rStyle w:val="aff3"/>
          <w:rFonts w:ascii="Times New Roman" w:hAnsi="Times New Roman" w:cs="Times New Roman"/>
          <w:i w:val="0"/>
          <w:iCs w:val="0"/>
          <w:color w:val="0070C0"/>
          <w:sz w:val="16"/>
          <w:szCs w:val="16"/>
          <w:lang w:val="ru-RU"/>
        </w:rPr>
        <w:t xml:space="preserve">Кен О.Н. Мобилизационное планирование и политические решения (конец 1920 - середина 1930-х годов). </w:t>
      </w:r>
      <w:r w:rsidRPr="00142305">
        <w:rPr>
          <w:rStyle w:val="aff3"/>
          <w:rFonts w:ascii="Times New Roman" w:hAnsi="Times New Roman" w:cs="Times New Roman"/>
          <w:i w:val="0"/>
          <w:iCs w:val="0"/>
          <w:color w:val="0070C0"/>
          <w:sz w:val="16"/>
          <w:szCs w:val="16"/>
        </w:rPr>
        <w:t>СПб, 2002. С. 211.</w:t>
      </w:r>
      <w:r w:rsidRPr="00142305">
        <w:rPr>
          <w:rStyle w:val="aff"/>
          <w:rFonts w:ascii="Times New Roman" w:hAnsi="Times New Roman" w:cs="Times New Roman"/>
          <w:color w:val="0070C0"/>
          <w:spacing w:val="0"/>
          <w:sz w:val="16"/>
          <w:szCs w:val="16"/>
        </w:rPr>
        <w:t>) (25647).</w:t>
      </w:r>
    </w:p>
    <w:p w14:paraId="52D197A5" w14:textId="77777777" w:rsidR="00C55E74" w:rsidRPr="00142305" w:rsidRDefault="00C55E74" w:rsidP="00C55E74">
      <w:pPr>
        <w:pStyle w:val="aff2"/>
        <w:tabs>
          <w:tab w:val="left" w:pos="594"/>
        </w:tabs>
        <w:spacing w:line="240" w:lineRule="auto"/>
        <w:rPr>
          <w:rFonts w:ascii="Times New Roman" w:hAnsi="Times New Roman" w:cs="Times New Roman"/>
          <w:i w:val="0"/>
          <w:iCs w:val="0"/>
          <w:color w:val="0070C0"/>
          <w:sz w:val="16"/>
          <w:szCs w:val="16"/>
        </w:rPr>
      </w:pPr>
    </w:p>
    <w:p w14:paraId="06B3862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02D541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FECC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январе—марте 1932 были выпущены 22 танка со сварными корпусами из незакаленной гомогенной брони. Однако массовое изготовление корпусов с применением сварки тогда не было освоено ввиду отсутствия оборудования, не</w:t>
      </w:r>
      <w:r w:rsidRPr="00E93F40">
        <w:rPr>
          <w:rFonts w:ascii="Times New Roman" w:hAnsi="Times New Roman"/>
          <w:color w:val="000000" w:themeColor="text1"/>
          <w:sz w:val="16"/>
          <w:szCs w:val="16"/>
        </w:rPr>
        <w:softHyphen/>
        <w:t>обходимых материалов и подготовленных кадров (10733,179).</w:t>
      </w:r>
    </w:p>
    <w:p w14:paraId="2B063F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BC568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39510EC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B1B5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 феврале 1932 г. разведчики Р-3ЛД опять активно использовались против банд Дурды-Мурды, Анна-Кули и Ахмет-бека.</w:t>
      </w:r>
    </w:p>
    <w:p w14:paraId="3D89E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 не менее следующий год в целом прошел довольно тихо. Это позволило перебросить войска в северную часть Казахстана, где недовольные коллективизацией местные жители получили поддержку из- за китайской границы, где после Гражданской войны осели белые казаки. В апреле в Казахстан передислоцировали 37-ю аэ и звено из состава 40-го ао. Но действия там были кратковременными. Казаки вернулись восвояси, за китайскую границу, преследовать их не стали. К началу июля самолеты перелетели в Ташкент.</w:t>
      </w:r>
    </w:p>
    <w:p w14:paraId="6D672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этому времени в Средней Азии были сосредоточены почти все Р-ЗЛД. В августе 1932 г. их здесь насчитывалось 70 из 80 имевшихся в ВВС РККА плюс три старых Р-ЗМ5. Это явилось следствием того, что потери возмещались за счет машин, освобождавшихся при перевооружении авиачастей в других округах. Самолеты были сильно изношены. Моторы "Лоррэн-Дитрих" многократно перебирались, запчастей к ним не хватало; 20 Р-ЗЛД и два Р-ЗМ5 числились неисправными.</w:t>
      </w:r>
    </w:p>
    <w:p w14:paraId="2941B8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Поэтому приступили к перевооружению частей 16-й бригады новыми самолетами Р-5. Первые машины, как уже говорилось, поступили еще в 1931 г. К началу 1933 г. они составляли более половины ее состава. Однако процесс затянулся. Басмачей не рассматривали как серьезного противника, считалось, что против них годится и старье. 19 января 1933 г. командующий войсками Среднеазиатского округа докладывал председателю Реввоенсовета: "Состояние самолетов Р-3 с моторами "Лорен Дитрих", находящихся на вооружении в авиачастях вверенного мне округа, в силу изношенности таково, что может обеспечить боевую подготовку... только на 1933 г.". Р-ЗЛД постепенно списывались, но старые самолеты еще принимали участие в операциях. На 1 января 1933 г. в САВО имелось 68 машин, 39 из которых могли подняться в воздух. Примерно в таком же состоянии парк 16-й бригады пребывал и в конце года (11985). </w:t>
      </w:r>
    </w:p>
    <w:p w14:paraId="59508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0393E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E4DAA7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912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январе-феврале 1932 XVII партконференция рассмотрела вопрос о плане второй пятилетки (226,419).</w:t>
      </w:r>
    </w:p>
    <w:p w14:paraId="2F2F0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Постановила "воздушное сообщение развивать по всем основным направлениям как одно из важнейших средств связи с отдаленными районами и крупными промышленными центрами" (442,303).</w:t>
      </w:r>
    </w:p>
    <w:p w14:paraId="3AFFF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E15A80" w14:textId="26A265D6" w:rsidR="00C57239" w:rsidRPr="00E93F40" w:rsidRDefault="00C57239"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1DD2FE5A" w14:textId="77777777" w:rsidR="00C57239" w:rsidRPr="00E93F40" w:rsidRDefault="00C57239"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42747C9D" w14:textId="4AE8346E"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января по май 1932 г. Винклер вместе с Р. Небелем, юным В. фон Брауном и механиками ракетодрома провел более 20 стендовых испытаний HW-2. Осталось произвести запуск. Однако для этого ракетодром был недостаточно велик.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ходе многочисленных переговоров 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властями земель удалось получить участок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Восточной Пруссии, на песчаной косе Фрише-Нерунг (Frische Nehrung) недалеко от Пиллау (ныне Балтийск). Запуск назначили на 6 октября 1932 г. (23372).</w:t>
      </w:r>
    </w:p>
    <w:p w14:paraId="09DD7C8A" w14:textId="6B3F8F6E" w:rsidR="00C57239" w:rsidRPr="00E93F40" w:rsidRDefault="00C572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Ее длина была 190 см, наибольший диаметр 40 см. Вес ракеты на старте составлял 43</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вес топлива 34</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(в т. ч. жидкий кислород 30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сжиженный метан 4</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Предполагалось, что в течение 49 секунд двигатель разовьет тягу 96 кгс. Топливные клапаны изготовили из нового материала электрон</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сплава алюминия 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магнием. Для замера высоты служил барограф. Возвращение ракеты на землю обеспечивал парашют. На тот момент времени HW-2 была самой крупной и мощной в мире ракетой с ЖРД, отличавшейся высоким техническим совершенством. Достаточно сказать, что соотношение полной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сухой её масс равнялось коэффициенту 4,6 и оставалось непревзойденным до 1943 г. Она вмещала топлива в 20 раз больше, чем HW-1, но при этом была тяжелее только в 3 раза.</w:t>
      </w:r>
    </w:p>
    <w:p w14:paraId="10FF6405" w14:textId="77777777" w:rsidR="00C57239" w:rsidRPr="00E93F40" w:rsidRDefault="00C57239" w:rsidP="00E93F40">
      <w:pPr>
        <w:spacing w:after="0" w:line="240" w:lineRule="auto"/>
        <w:jc w:val="both"/>
        <w:rPr>
          <w:rFonts w:ascii="Times New Roman" w:hAnsi="Times New Roman"/>
          <w:color w:val="000000" w:themeColor="text1"/>
          <w:sz w:val="16"/>
          <w:szCs w:val="16"/>
        </w:rPr>
      </w:pPr>
    </w:p>
    <w:p w14:paraId="07ACFDF6" w14:textId="3A59B073"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297682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83C3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в бригаде 3 П.О.С. началось эскизное проектирование АНТ-31 - будущего И-14, раньше, чем в УВВС сформулировали окончательные требования к машине (4020,9).</w:t>
      </w:r>
    </w:p>
    <w:p w14:paraId="3AF611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016CF8" w14:textId="77777777" w:rsidR="00AE3492" w:rsidRPr="00E93F40" w:rsidRDefault="00AE3492"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закончились испытания ШОН. Первые же полеты показали неудовлетворительную работу двигателя: при температуре окружающего воздуха выше 21 градуса закипала вода в радиаторе, перегревалось масло. После устранения этих и других недостатков, ШОН получил положительную оценку летных данных, однако в серию не запускался. К тому времени от создания авианосцев отказались, а для применения с сухопутных аэродромов вполне годились штурмовики-монопланы, имевшие лучшие скоростные качества (15223).</w:t>
      </w:r>
    </w:p>
    <w:p w14:paraId="0ABE24F6" w14:textId="77777777" w:rsidR="00AE3492" w:rsidRPr="00E93F40" w:rsidRDefault="00AE3492" w:rsidP="00E93F40">
      <w:pPr>
        <w:shd w:val="clear" w:color="auto" w:fill="FFFFFF"/>
        <w:spacing w:after="0" w:line="240" w:lineRule="auto"/>
        <w:jc w:val="both"/>
        <w:rPr>
          <w:rFonts w:ascii="Times New Roman" w:hAnsi="Times New Roman"/>
          <w:color w:val="000000" w:themeColor="text1"/>
          <w:sz w:val="16"/>
          <w:szCs w:val="16"/>
        </w:rPr>
      </w:pPr>
    </w:p>
    <w:p w14:paraId="3B9CB40E"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на совещании, которое проводил начальник ВВС РККА Яков Алкснис, говорилось: «…Ускорить работу по установке пушек калибра 65 мм на И-4. Если получим удовлетворительные результаты, то нужно в кратчайший срок вооружить имеющиеся самолеты И-4 этими пушками… Курчевскому доработать АПК-3, чтобы в апреле—мае 1933 г. провести госиспытания… ЦАГИ установить пушки на самолет И-4 и предъявить в НИИ ВВС» (15117).</w:t>
      </w:r>
    </w:p>
    <w:p w14:paraId="05B449E4" w14:textId="77777777" w:rsidR="00AE3492" w:rsidRPr="00E93F40" w:rsidRDefault="00AE3492" w:rsidP="00E93F40">
      <w:pPr>
        <w:spacing w:after="0" w:line="240" w:lineRule="auto"/>
        <w:jc w:val="both"/>
        <w:rPr>
          <w:rFonts w:ascii="Times New Roman" w:hAnsi="Times New Roman"/>
          <w:color w:val="000000" w:themeColor="text1"/>
          <w:sz w:val="16"/>
          <w:szCs w:val="16"/>
        </w:rPr>
      </w:pPr>
    </w:p>
    <w:p w14:paraId="70836A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бригаде С.А.Кочеригина ЦКБ и КОСОС было дано задание на легкий разведчик. А.Н.Т., занятый большими машинами - не сделал (92,421).</w:t>
      </w:r>
    </w:p>
    <w:p w14:paraId="7C90C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Хамил - как хотел несмотря на то, что ЦАГИ так "опустили"</w:t>
      </w:r>
    </w:p>
    <w:p w14:paraId="5A149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другой стороны, КОСОС-то еще не было.</w:t>
      </w:r>
    </w:p>
    <w:p w14:paraId="62591E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044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было выдано задание на проектирование лёгкого разведчика ЛР (ЦКБ-1). Проект выполнялся бригадой С.А. Кочеригина в Центральном конструкторском бюро (ЦКБ). Это также был классический полутораплан, но его фюзеляж выполнялся металлическим, а не деревянным. Его основой являлась сварная ферма из труб легированной стали, на которой крепился лёгкий дюралюминиевый каркас. В передней части обшивка выполнялась из дюралюминиевых панелей, сзади - из полотна. Кабину пилота оставили открытой, а у стрелка турель прикрывал прозрачный экран, вращавшийся вместе с нею. Крыло ЛР изготовлялось целиком из дерева, хвостовое оперение - дюралюминиевое, с полотняной обтяжкой. Шасси, включая костыль, оснащалось мас- ляно-пневматическими амортизаторами, на колёсах имелись тормоза. Стрелковое вооружение - два пулемёта: неподвижный синхронный - под капотом мотора и второй - на турели в задней кабине. Самолёт ЛР был меньше и легче Р-Зет, что при установке того же мотора М-34 сулило выигрыш в лётных данных. Этому способствовала и небольшая бомбовая нагрузка - 200 кг. Машина рассматривалась как скоростной разведчик и двухместный истребитель (11995).</w:t>
      </w:r>
    </w:p>
    <w:p w14:paraId="0FA934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81CA96"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 последние две машины АНТ-4 прошли военную прием</w:t>
      </w:r>
      <w:r w:rsidRPr="00142305">
        <w:rPr>
          <w:rFonts w:ascii="Times New Roman" w:hAnsi="Times New Roman"/>
          <w:color w:val="0070C0"/>
          <w:sz w:val="16"/>
          <w:szCs w:val="16"/>
        </w:rPr>
        <w:softHyphen/>
        <w:t>ку на заводе № 22. Всего выпустили 216 серийных са</w:t>
      </w:r>
      <w:r w:rsidRPr="00142305">
        <w:rPr>
          <w:rFonts w:ascii="Times New Roman" w:hAnsi="Times New Roman"/>
          <w:color w:val="0070C0"/>
          <w:sz w:val="16"/>
          <w:szCs w:val="16"/>
        </w:rPr>
        <w:softHyphen/>
        <w:t>молетов (25994)</w:t>
      </w:r>
    </w:p>
    <w:p w14:paraId="0745B49D" w14:textId="77777777" w:rsidR="00E254A5" w:rsidRPr="00142305" w:rsidRDefault="00E254A5" w:rsidP="00E254A5">
      <w:pPr>
        <w:spacing w:after="0" w:line="240" w:lineRule="auto"/>
        <w:jc w:val="both"/>
        <w:rPr>
          <w:rFonts w:ascii="Times New Roman" w:hAnsi="Times New Roman"/>
          <w:color w:val="0070C0"/>
          <w:sz w:val="16"/>
          <w:szCs w:val="16"/>
        </w:rPr>
      </w:pPr>
    </w:p>
    <w:p w14:paraId="1493AEE1"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 Реввоенсовет предложил УВВС в срочном порядке увеличить радиус действия самолетов ТБ-1 2М-17. Ставилась задача увеличить радиус дейс</w:t>
      </w:r>
      <w:r w:rsidRPr="00142305">
        <w:rPr>
          <w:rFonts w:ascii="Times New Roman" w:hAnsi="Times New Roman"/>
          <w:color w:val="0070C0"/>
          <w:sz w:val="16"/>
          <w:szCs w:val="16"/>
        </w:rPr>
        <w:softHyphen/>
        <w:t>твия самолета с нагрузкой в 500 кг бомб до 1000 км. На первом этапе его довели до 800 км. УВВС в свою очередь дал задание ЦАГИ решить вопрос увеличения дальности самолета путем установки дополнительных бензиновых баков, увеличивавших радиус действия до 1200 км.</w:t>
      </w:r>
    </w:p>
    <w:p w14:paraId="00A8A6FD"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Два дополнительных бензобака подвесили в бом</w:t>
      </w:r>
      <w:r w:rsidRPr="00142305">
        <w:rPr>
          <w:rFonts w:ascii="Times New Roman" w:hAnsi="Times New Roman"/>
          <w:color w:val="0070C0"/>
          <w:sz w:val="16"/>
          <w:szCs w:val="16"/>
        </w:rPr>
        <w:softHyphen/>
        <w:t>боотсеке, еще четыре расположили в консолях. Об</w:t>
      </w:r>
      <w:r w:rsidRPr="00142305">
        <w:rPr>
          <w:rFonts w:ascii="Times New Roman" w:hAnsi="Times New Roman"/>
          <w:color w:val="0070C0"/>
          <w:sz w:val="16"/>
          <w:szCs w:val="16"/>
        </w:rPr>
        <w:softHyphen/>
        <w:t>щий запас топлива возрос с 2010 до 3570 л. В бом</w:t>
      </w:r>
      <w:r w:rsidRPr="00142305">
        <w:rPr>
          <w:rFonts w:ascii="Times New Roman" w:hAnsi="Times New Roman"/>
          <w:color w:val="0070C0"/>
          <w:sz w:val="16"/>
          <w:szCs w:val="16"/>
        </w:rPr>
        <w:softHyphen/>
        <w:t>боотсеке разместили и дополнительный маслобак, из которого масло гнали в основные баки ручным насосом-альвейером. Поскольку в полете мотоустановка теряла и воду, за правым пилотским сиденьем поя</w:t>
      </w:r>
      <w:r w:rsidRPr="00142305">
        <w:rPr>
          <w:rFonts w:ascii="Times New Roman" w:hAnsi="Times New Roman"/>
          <w:color w:val="0070C0"/>
          <w:sz w:val="16"/>
          <w:szCs w:val="16"/>
        </w:rPr>
        <w:softHyphen/>
        <w:t>вился бачок на 45 л, откуда опять же вручную можно было перекачивать воду в расширительные бачки у обоих моторов.</w:t>
      </w:r>
    </w:p>
    <w:p w14:paraId="611AE2B1"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к июню 1932 г. доработали серийный ТБ-1 № 690, 5 июня машину передали в НИИ, и с 8 по 21 июня 1932 г. там прошли государственные испыта</w:t>
      </w:r>
      <w:r w:rsidRPr="00142305">
        <w:rPr>
          <w:rFonts w:ascii="Times New Roman" w:hAnsi="Times New Roman"/>
          <w:color w:val="0070C0"/>
          <w:sz w:val="16"/>
          <w:szCs w:val="16"/>
        </w:rPr>
        <w:softHyphen/>
        <w:t>ния самолета с дополнительными баками (25004).</w:t>
      </w:r>
    </w:p>
    <w:p w14:paraId="5F7795A3" w14:textId="77777777" w:rsidR="00E254A5" w:rsidRPr="00142305" w:rsidRDefault="00E254A5" w:rsidP="00E254A5">
      <w:pPr>
        <w:spacing w:after="0" w:line="240" w:lineRule="auto"/>
        <w:jc w:val="both"/>
        <w:rPr>
          <w:rFonts w:ascii="Times New Roman" w:hAnsi="Times New Roman"/>
          <w:color w:val="0070C0"/>
          <w:sz w:val="16"/>
          <w:szCs w:val="16"/>
        </w:rPr>
      </w:pPr>
    </w:p>
    <w:p w14:paraId="09B484C1"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 Реввоенсовет предложил УВВС в срочном порядке увеличить радиус действия самолетов ТБ-1 2М-17. Ставилась задача увеличить радиус дейс</w:t>
      </w:r>
      <w:r w:rsidRPr="00142305">
        <w:rPr>
          <w:rFonts w:ascii="Times New Roman" w:hAnsi="Times New Roman"/>
          <w:color w:val="0070C0"/>
          <w:sz w:val="16"/>
          <w:szCs w:val="16"/>
        </w:rPr>
        <w:softHyphen/>
        <w:t>твия самолета с нагрузкой в 500 кг бомб до 1000 км. На первом этапе его довели до 800 км. УВВС в свою очередь дал задание ЦАГИ решить вопрос увеличения дальности самолета путем установки дополнительных бензиновых баков, увеличивавших радиус действия до 1200 км.</w:t>
      </w:r>
    </w:p>
    <w:p w14:paraId="6D55A139"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Два дополнительных бензобака подвесили в бом</w:t>
      </w:r>
      <w:r w:rsidRPr="00142305">
        <w:rPr>
          <w:rFonts w:ascii="Times New Roman" w:hAnsi="Times New Roman"/>
          <w:color w:val="0070C0"/>
          <w:sz w:val="16"/>
          <w:szCs w:val="16"/>
        </w:rPr>
        <w:softHyphen/>
        <w:t>боотсеке, еще четыре расположили в консолях. Об</w:t>
      </w:r>
      <w:r w:rsidRPr="00142305">
        <w:rPr>
          <w:rFonts w:ascii="Times New Roman" w:hAnsi="Times New Roman"/>
          <w:color w:val="0070C0"/>
          <w:sz w:val="16"/>
          <w:szCs w:val="16"/>
        </w:rPr>
        <w:softHyphen/>
        <w:t>щий запас топлива возрос с 2010 до 3570 л. В бом</w:t>
      </w:r>
      <w:r w:rsidRPr="00142305">
        <w:rPr>
          <w:rFonts w:ascii="Times New Roman" w:hAnsi="Times New Roman"/>
          <w:color w:val="0070C0"/>
          <w:sz w:val="16"/>
          <w:szCs w:val="16"/>
        </w:rPr>
        <w:softHyphen/>
        <w:t>боотсеке разместили и дополнительный маслобак, из которого масло гнали в основные баки ручным насосом-альвейером. Поскольку в полете мотоустановка теряла и воду, за правым пилотским сиденьем поя</w:t>
      </w:r>
      <w:r w:rsidRPr="00142305">
        <w:rPr>
          <w:rFonts w:ascii="Times New Roman" w:hAnsi="Times New Roman"/>
          <w:color w:val="0070C0"/>
          <w:sz w:val="16"/>
          <w:szCs w:val="16"/>
        </w:rPr>
        <w:softHyphen/>
        <w:t>вился бачок на 45 л, откуда опять же вручную можно было перекачивать воду в расширительные бачки у обоих моторов.</w:t>
      </w:r>
    </w:p>
    <w:p w14:paraId="091701FE" w14:textId="77777777" w:rsidR="00E254A5" w:rsidRPr="00142305" w:rsidRDefault="00E254A5" w:rsidP="00E254A5">
      <w:pPr>
        <w:spacing w:after="0" w:line="240" w:lineRule="auto"/>
        <w:jc w:val="both"/>
        <w:rPr>
          <w:rFonts w:ascii="Times New Roman" w:hAnsi="Times New Roman"/>
          <w:color w:val="0070C0"/>
          <w:sz w:val="16"/>
          <w:szCs w:val="16"/>
        </w:rPr>
      </w:pPr>
    </w:p>
    <w:p w14:paraId="695410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на опытном АНТ-6 смонтировали 20-мм пушку РМ, которую, однако, вскоре сняли (8887).</w:t>
      </w:r>
    </w:p>
    <w:p w14:paraId="59155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F39F55"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 на опытном АНТ-6 смонтировали 30-мм автоматичес</w:t>
      </w:r>
      <w:r w:rsidRPr="00142305">
        <w:rPr>
          <w:rFonts w:ascii="Times New Roman" w:hAnsi="Times New Roman"/>
          <w:color w:val="0070C0"/>
          <w:sz w:val="16"/>
          <w:szCs w:val="16"/>
        </w:rPr>
        <w:softHyphen/>
        <w:t>кую пушку немецкой фирмы «Рейнметалл», которую, однако, вскоре сняли. А в апреле того же года А.В. Надашкевичу и Л.В. Курчевскому предложили разработать установки динамореактивных (безоткатных) пушек на крыльях и в хвостовой части бомбардировщика. Неизвестно, создали ли такой проект. Более реалистичным вы</w:t>
      </w:r>
      <w:r w:rsidRPr="00142305">
        <w:rPr>
          <w:rFonts w:ascii="Times New Roman" w:hAnsi="Times New Roman"/>
          <w:color w:val="0070C0"/>
          <w:sz w:val="16"/>
          <w:szCs w:val="16"/>
        </w:rPr>
        <w:softHyphen/>
        <w:t>глядело применение на ТБ-3 швейцарских 20-мм автоматических пушек «Эрликон». Работы по размещению их в носовой части самолета велись с 1933 г. (24937).</w:t>
      </w:r>
    </w:p>
    <w:p w14:paraId="5B34731E" w14:textId="77777777" w:rsidR="00E254A5" w:rsidRPr="00142305" w:rsidRDefault="00E254A5" w:rsidP="00E254A5">
      <w:pPr>
        <w:spacing w:after="0" w:line="240" w:lineRule="auto"/>
        <w:jc w:val="both"/>
        <w:rPr>
          <w:rFonts w:ascii="Times New Roman" w:hAnsi="Times New Roman"/>
          <w:color w:val="0070C0"/>
          <w:sz w:val="16"/>
          <w:szCs w:val="16"/>
        </w:rPr>
      </w:pPr>
    </w:p>
    <w:p w14:paraId="21CE86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началось проектирование ТБ-3 4М-34РН (2287,130).</w:t>
      </w:r>
    </w:p>
    <w:p w14:paraId="0B13D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1D3752"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 ЦАГИ представил схему рекордного самолета и расчеты, которые гарантировали дальность только в пределах 9000 - 10 000 км. Глававиа</w:t>
      </w:r>
      <w:r w:rsidRPr="00142305">
        <w:rPr>
          <w:rFonts w:ascii="Times New Roman" w:hAnsi="Times New Roman"/>
          <w:color w:val="0070C0"/>
          <w:sz w:val="16"/>
          <w:szCs w:val="16"/>
        </w:rPr>
        <w:softHyphen/>
        <w:t>пром, посчитав осуществление перелета в августе 1932 г. нереальным, предложил перенести его на 1933 г. (24946).</w:t>
      </w:r>
    </w:p>
    <w:p w14:paraId="47E019C2" w14:textId="77777777" w:rsidR="00E254A5" w:rsidRPr="00142305" w:rsidRDefault="00E254A5" w:rsidP="00E254A5">
      <w:pPr>
        <w:spacing w:after="0" w:line="240" w:lineRule="auto"/>
        <w:jc w:val="both"/>
        <w:rPr>
          <w:rFonts w:ascii="Times New Roman" w:hAnsi="Times New Roman"/>
          <w:color w:val="0070C0"/>
          <w:sz w:val="16"/>
          <w:szCs w:val="16"/>
        </w:rPr>
      </w:pPr>
    </w:p>
    <w:p w14:paraId="100E16C7"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история строительства И-7 на заводе № 1 вновь продолжилась, так как производство И-5 пере</w:t>
      </w:r>
      <w:r w:rsidRPr="00E93F40">
        <w:rPr>
          <w:rFonts w:ascii="Times New Roman" w:hAnsi="Times New Roman"/>
          <w:color w:val="000000" w:themeColor="text1"/>
          <w:sz w:val="16"/>
          <w:szCs w:val="16"/>
        </w:rPr>
        <w:softHyphen/>
        <w:t>несли на авиационный завод №21 в Нижний Новгород.</w:t>
      </w:r>
    </w:p>
    <w:p w14:paraId="078C7E3A"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Причиной столь значительных перемен стало осознание руководством авиапро</w:t>
      </w:r>
      <w:r w:rsidRPr="00E93F40">
        <w:rPr>
          <w:rFonts w:ascii="Times New Roman" w:hAnsi="Times New Roman"/>
          <w:color w:val="000000" w:themeColor="text1"/>
          <w:sz w:val="16"/>
          <w:szCs w:val="16"/>
        </w:rPr>
        <w:softHyphen/>
        <w:t>мышленности невозможности воплощения в жизнь грандиозных замыслов по выпуску новых самолетов. В частности, план на 1931- й год предписывал заводу №1 построить 776 Р-5, 318 И-5, 60 И-7, 100 ТШ-1 (или ТШ-2). В результате произвели 336 Р-5, 66 И-5 и 2 И-7. В связи с провалом годового плана пыл пришлось поумерить, завод №1 ориентиро</w:t>
      </w:r>
      <w:r w:rsidRPr="00E93F40">
        <w:rPr>
          <w:rFonts w:ascii="Times New Roman" w:hAnsi="Times New Roman"/>
          <w:color w:val="000000" w:themeColor="text1"/>
          <w:sz w:val="16"/>
          <w:szCs w:val="16"/>
        </w:rPr>
        <w:softHyphen/>
        <w:t>вать на выпуск разведчиков Р-5, а необхо</w:t>
      </w:r>
      <w:r w:rsidRPr="00E93F40">
        <w:rPr>
          <w:rFonts w:ascii="Times New Roman" w:hAnsi="Times New Roman"/>
          <w:color w:val="000000" w:themeColor="text1"/>
          <w:sz w:val="16"/>
          <w:szCs w:val="16"/>
        </w:rPr>
        <w:softHyphen/>
        <w:t>димое количество истребителей добирать на других заводах.</w:t>
      </w:r>
    </w:p>
    <w:p w14:paraId="33D337CF"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решили построить две серии И-7: 60 самолетов в 1932 г. и 100 самолетов в 1933 г. Разворачивался этот процесс следующим образом.</w:t>
      </w:r>
    </w:p>
    <w:p w14:paraId="4910D7A4"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Первые самолеты серийной постройки бы</w:t>
      </w:r>
      <w:r w:rsidRPr="00E93F40">
        <w:rPr>
          <w:rFonts w:ascii="Times New Roman" w:hAnsi="Times New Roman"/>
          <w:color w:val="000000" w:themeColor="text1"/>
          <w:sz w:val="16"/>
          <w:szCs w:val="16"/>
        </w:rPr>
        <w:softHyphen/>
        <w:t>ли готовы в октябре 1932 г. Заказчику они не сдавались до накопления необходимого коли</w:t>
      </w:r>
      <w:r w:rsidRPr="00E93F40">
        <w:rPr>
          <w:rFonts w:ascii="Times New Roman" w:hAnsi="Times New Roman"/>
          <w:color w:val="000000" w:themeColor="text1"/>
          <w:sz w:val="16"/>
          <w:szCs w:val="16"/>
        </w:rPr>
        <w:softHyphen/>
        <w:t>чества готовых аппаратов. Были и другие при</w:t>
      </w:r>
      <w:r w:rsidRPr="00E93F40">
        <w:rPr>
          <w:rFonts w:ascii="Times New Roman" w:hAnsi="Times New Roman"/>
          <w:color w:val="000000" w:themeColor="text1"/>
          <w:sz w:val="16"/>
          <w:szCs w:val="16"/>
        </w:rPr>
        <w:softHyphen/>
        <w:t>чины, тормозившие процесс сдачи готовой продукции. Например, авиационная фанера, поставляемая в этот период на завод, не со</w:t>
      </w:r>
      <w:r w:rsidRPr="00E93F40">
        <w:rPr>
          <w:rFonts w:ascii="Times New Roman" w:hAnsi="Times New Roman"/>
          <w:color w:val="000000" w:themeColor="text1"/>
          <w:sz w:val="16"/>
          <w:szCs w:val="16"/>
        </w:rPr>
        <w:softHyphen/>
        <w:t>ответствовала необходимому качеству — бра</w:t>
      </w:r>
      <w:r w:rsidRPr="00E93F40">
        <w:rPr>
          <w:rFonts w:ascii="Times New Roman" w:hAnsi="Times New Roman"/>
          <w:color w:val="000000" w:themeColor="text1"/>
          <w:sz w:val="16"/>
          <w:szCs w:val="16"/>
        </w:rPr>
        <w:softHyphen/>
        <w:t>ковалось до 90% полученных листов. Уже на готовых самолетах фанера трещала, приходи</w:t>
      </w:r>
      <w:r w:rsidRPr="00E93F40">
        <w:rPr>
          <w:rFonts w:ascii="Times New Roman" w:hAnsi="Times New Roman"/>
          <w:color w:val="000000" w:themeColor="text1"/>
          <w:sz w:val="16"/>
          <w:szCs w:val="16"/>
        </w:rPr>
        <w:softHyphen/>
        <w:t>лось увеличивать ее толщину, что вело к по</w:t>
      </w:r>
      <w:r w:rsidRPr="00E93F40">
        <w:rPr>
          <w:rFonts w:ascii="Times New Roman" w:hAnsi="Times New Roman"/>
          <w:color w:val="000000" w:themeColor="text1"/>
          <w:sz w:val="16"/>
          <w:szCs w:val="16"/>
        </w:rPr>
        <w:softHyphen/>
        <w:t>вышению веса. Головной И-7 №4441 имел по</w:t>
      </w:r>
      <w:r w:rsidRPr="00E93F40">
        <w:rPr>
          <w:rFonts w:ascii="Times New Roman" w:hAnsi="Times New Roman"/>
          <w:color w:val="000000" w:themeColor="text1"/>
          <w:sz w:val="16"/>
          <w:szCs w:val="16"/>
        </w:rPr>
        <w:softHyphen/>
        <w:t>летный вес 1793 кг против заданных 1700 кг.</w:t>
      </w:r>
    </w:p>
    <w:p w14:paraId="262D8772" w14:textId="77777777" w:rsidR="00AD6C32" w:rsidRPr="00E93F40" w:rsidRDefault="00AD6C32" w:rsidP="00E93F40">
      <w:pPr>
        <w:pStyle w:val="4a"/>
        <w:shd w:val="clear" w:color="auto" w:fill="auto"/>
        <w:spacing w:after="0" w:line="240" w:lineRule="auto"/>
        <w:jc w:val="both"/>
        <w:rPr>
          <w:rFonts w:ascii="Times New Roman" w:hAnsi="Times New Roman"/>
          <w:color w:val="000000" w:themeColor="text1"/>
          <w:sz w:val="16"/>
          <w:szCs w:val="16"/>
          <w:lang w:val="ru-RU"/>
        </w:rPr>
      </w:pPr>
      <w:r w:rsidRPr="00E93F40">
        <w:rPr>
          <w:rFonts w:ascii="Times New Roman" w:hAnsi="Times New Roman"/>
          <w:color w:val="000000" w:themeColor="text1"/>
          <w:sz w:val="16"/>
          <w:szCs w:val="16"/>
          <w:lang w:val="ru-RU"/>
        </w:rPr>
        <w:t>Технические и летные характеристики НР-37, НО-43, И-7</w:t>
      </w:r>
    </w:p>
    <w:tbl>
      <w:tblPr>
        <w:tblW w:w="0" w:type="auto"/>
        <w:tblLayout w:type="fixed"/>
        <w:tblCellMar>
          <w:left w:w="10" w:type="dxa"/>
          <w:right w:w="10" w:type="dxa"/>
        </w:tblCellMar>
        <w:tblLook w:val="0000" w:firstRow="0" w:lastRow="0" w:firstColumn="0" w:lastColumn="0" w:noHBand="0" w:noVBand="0"/>
      </w:tblPr>
      <w:tblGrid>
        <w:gridCol w:w="3143"/>
        <w:gridCol w:w="1476"/>
        <w:gridCol w:w="1476"/>
        <w:gridCol w:w="1483"/>
      </w:tblGrid>
      <w:tr w:rsidR="00DA227A" w:rsidRPr="00E93F40" w14:paraId="5C3A6E6E" w14:textId="77777777" w:rsidTr="00495872">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BB1E43A" w14:textId="77777777" w:rsidR="00AD6C32" w:rsidRPr="00E93F40" w:rsidRDefault="00AD6C32" w:rsidP="00E93F40">
            <w:pPr>
              <w:spacing w:after="0" w:line="240" w:lineRule="auto"/>
              <w:jc w:val="both"/>
              <w:rPr>
                <w:rFonts w:ascii="Times New Roman" w:hAnsi="Times New Roman"/>
                <w:color w:val="000000" w:themeColor="text1"/>
                <w:sz w:val="16"/>
                <w:szCs w:val="16"/>
              </w:rPr>
            </w:pP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328D474F" w14:textId="77777777" w:rsidR="00AD6C32" w:rsidRPr="00E93F40" w:rsidRDefault="00AD6C32" w:rsidP="00E93F40">
            <w:pPr>
              <w:pStyle w:val="380"/>
              <w:shd w:val="clear" w:color="auto" w:fill="auto"/>
              <w:spacing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rPr>
              <w:t>НЭ-37 №292</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70F56B0D" w14:textId="77777777" w:rsidR="00AD6C32" w:rsidRPr="00E93F40" w:rsidRDefault="00AD6C32" w:rsidP="00E93F40">
            <w:pPr>
              <w:pStyle w:val="380"/>
              <w:shd w:val="clear" w:color="auto" w:fill="auto"/>
              <w:spacing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rPr>
              <w:t>НО-43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218CB42" w14:textId="77777777" w:rsidR="00AD6C32" w:rsidRPr="00E93F40" w:rsidRDefault="00AD6C32" w:rsidP="00E93F40">
            <w:pPr>
              <w:pStyle w:val="380"/>
              <w:shd w:val="clear" w:color="auto" w:fill="auto"/>
              <w:spacing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rPr>
              <w:t>И-7*</w:t>
            </w:r>
          </w:p>
        </w:tc>
      </w:tr>
      <w:tr w:rsidR="00DA227A" w:rsidRPr="00E93F40" w14:paraId="4D86D075" w14:textId="77777777" w:rsidTr="00495872">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8AB486E"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в линии полета (м)</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6E066EF6"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6,950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7DBCCC1"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7,022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64AC57C"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6,95</w:t>
            </w:r>
          </w:p>
        </w:tc>
      </w:tr>
      <w:tr w:rsidR="00DA227A" w:rsidRPr="00E93F40" w14:paraId="51B01E61" w14:textId="77777777" w:rsidTr="00495872">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7F7EB00"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в линии полета (м)</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CFF3851"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362042AF"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3,223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EAB0373"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3,100</w:t>
            </w:r>
          </w:p>
        </w:tc>
      </w:tr>
      <w:tr w:rsidR="00DA227A" w:rsidRPr="00E93F40" w14:paraId="01FE0CF3" w14:textId="77777777" w:rsidTr="00495872">
        <w:trPr>
          <w:trHeight w:val="248"/>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C8A53A4"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верхнего крыла (м)</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11B7A3B5"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4D10043C"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A7F5573"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724B2202" w14:textId="77777777" w:rsidTr="00495872">
        <w:trPr>
          <w:trHeight w:val="238"/>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0A43769C"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нижнего крыла (м)</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929F838"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8,520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3A2459FF"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F9D5824"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w:t>
            </w:r>
          </w:p>
        </w:tc>
      </w:tr>
      <w:tr w:rsidR="00DA227A" w:rsidRPr="00E93F40" w14:paraId="03EB859D" w14:textId="77777777" w:rsidTr="00495872">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764AB20"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крыльев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7C05C2F6"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26,70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4155D7E"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25,75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2B063A5"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25,87</w:t>
            </w:r>
          </w:p>
        </w:tc>
      </w:tr>
      <w:tr w:rsidR="00DA227A" w:rsidRPr="00E93F40" w14:paraId="10B6479F" w14:textId="77777777" w:rsidTr="00495872">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7D719540"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пустого (кг)</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977A174"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1236,2</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4D799384"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1238,5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C1D0785"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1419</w:t>
            </w:r>
          </w:p>
        </w:tc>
      </w:tr>
      <w:tr w:rsidR="00DA227A" w:rsidRPr="00E93F40" w14:paraId="5AE41171" w14:textId="77777777" w:rsidTr="00495872">
        <w:trPr>
          <w:trHeight w:val="248"/>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BE64B1F"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Полетный вес (кг)</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CDCAC1F"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1678</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8C3DC29"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CE1BB87"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1792</w:t>
            </w:r>
          </w:p>
        </w:tc>
      </w:tr>
      <w:tr w:rsidR="00DA227A" w:rsidRPr="00E93F40" w14:paraId="07C3A715" w14:textId="77777777" w:rsidTr="00495872">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7A7E0F5D"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у земли (км/ч)</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1205187"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FE493DD"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297</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F096DBC"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291</w:t>
            </w:r>
          </w:p>
        </w:tc>
      </w:tr>
      <w:tr w:rsidR="00DA227A" w:rsidRPr="00E93F40" w14:paraId="2BBEFA54" w14:textId="77777777" w:rsidTr="00495872">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77ED85AD"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на 2000-3000 м (км/ч)</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6E2E2EC3"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7CC4E4D9"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301-305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88C5C55"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286</w:t>
            </w:r>
          </w:p>
        </w:tc>
      </w:tr>
      <w:tr w:rsidR="00DA227A" w:rsidRPr="00E93F40" w14:paraId="078353D5" w14:textId="77777777" w:rsidTr="00495872">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8962D00"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набора 5000 м (мин.)</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14493397"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74CF27C"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9,66</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DFF5597"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w:t>
            </w:r>
          </w:p>
        </w:tc>
      </w:tr>
      <w:tr w:rsidR="00DA227A" w:rsidRPr="00E93F40" w14:paraId="1C591F9F" w14:textId="77777777" w:rsidTr="00495872">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433BAEA"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виража (сек.)</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F96871C"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12-13,3</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2CCA30CA" w14:textId="77777777" w:rsidR="00AD6C32" w:rsidRPr="00E93F40" w:rsidRDefault="00AD6C32" w:rsidP="00E93F40">
            <w:pPr>
              <w:pStyle w:val="130"/>
              <w:shd w:val="clear" w:color="auto" w:fill="auto"/>
              <w:spacing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3BE7346" w14:textId="77777777" w:rsidR="00AD6C32" w:rsidRPr="00E93F40" w:rsidRDefault="00AD6C32" w:rsidP="00E93F40">
            <w:pPr>
              <w:pStyle w:val="390"/>
              <w:shd w:val="clear" w:color="auto" w:fill="auto"/>
              <w:spacing w:line="240" w:lineRule="auto"/>
              <w:jc w:val="both"/>
              <w:rPr>
                <w:rFonts w:ascii="Times New Roman" w:hAnsi="Times New Roman" w:cs="Times New Roman"/>
                <w:i w:val="0"/>
                <w:color w:val="000000" w:themeColor="text1"/>
                <w:sz w:val="16"/>
                <w:szCs w:val="16"/>
              </w:rPr>
            </w:pPr>
            <w:r w:rsidRPr="00E93F40">
              <w:rPr>
                <w:rFonts w:ascii="Times New Roman" w:hAnsi="Times New Roman" w:cs="Times New Roman"/>
                <w:i w:val="0"/>
                <w:color w:val="000000" w:themeColor="text1"/>
                <w:sz w:val="16"/>
                <w:szCs w:val="16"/>
              </w:rPr>
              <w:t>-</w:t>
            </w:r>
          </w:p>
        </w:tc>
      </w:tr>
    </w:tbl>
    <w:p w14:paraId="221ECC6A" w14:textId="77777777" w:rsidR="00AD6C32" w:rsidRPr="00E93F40" w:rsidRDefault="00AD6C32" w:rsidP="00E93F40">
      <w:pPr>
        <w:pStyle w:val="aff0"/>
        <w:shd w:val="clear" w:color="auto" w:fill="auto"/>
        <w:spacing w:line="240" w:lineRule="auto"/>
        <w:rPr>
          <w:rFonts w:ascii="Times New Roman" w:hAnsi="Times New Roman" w:cs="Times New Roman"/>
          <w:i w:val="0"/>
          <w:color w:val="000000" w:themeColor="text1"/>
          <w:sz w:val="16"/>
          <w:szCs w:val="16"/>
          <w:lang w:val="ru-RU"/>
        </w:rPr>
      </w:pPr>
      <w:r w:rsidRPr="00E93F40">
        <w:rPr>
          <w:rFonts w:ascii="Times New Roman" w:hAnsi="Times New Roman" w:cs="Times New Roman"/>
          <w:i w:val="0"/>
          <w:color w:val="000000" w:themeColor="text1"/>
          <w:sz w:val="16"/>
          <w:szCs w:val="16"/>
          <w:lang w:val="ru-RU"/>
        </w:rPr>
        <w:t>* Серийный самолет по данным технического описании (12295).</w:t>
      </w:r>
    </w:p>
    <w:p w14:paraId="1294B416" w14:textId="77777777" w:rsidR="00AD6C32" w:rsidRPr="00E93F40" w:rsidRDefault="00AD6C32" w:rsidP="00E93F40">
      <w:pPr>
        <w:spacing w:after="0" w:line="240" w:lineRule="auto"/>
        <w:jc w:val="both"/>
        <w:rPr>
          <w:rFonts w:ascii="Times New Roman" w:hAnsi="Times New Roman"/>
          <w:color w:val="000000" w:themeColor="text1"/>
          <w:sz w:val="16"/>
          <w:szCs w:val="16"/>
        </w:rPr>
      </w:pPr>
    </w:p>
    <w:p w14:paraId="6DCD5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1932 года проект К-7 К.А.К. был на 80% переделан, так что проектирование с первого квартала 1932 года началось почти заново. Завод первоначальный проект К-7 забраковал (3903).</w:t>
      </w:r>
    </w:p>
    <w:p w14:paraId="7AB2EC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2E5B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был закончен технический проект К-7 К.А.К. и началось изготовление технических чертежей. К этому времени во дворе ХАЗ был построен и деревянный макет центральной части машины в натуральную величину с тремя пассажирскими салонами (70,214).</w:t>
      </w:r>
    </w:p>
    <w:p w14:paraId="36706F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центре Харькова на здании аэроклуба вывесили световой щит с надписью Даешь К-7 (2788,24).</w:t>
      </w:r>
    </w:p>
    <w:p w14:paraId="127A66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C5FC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завершили технический проект К-7. Он получил высокую оценку комиссии, в которую входили представители НИИ ВВС, ЦАГИ и НИИ ГВФ. Комиссия под руководством профессора Н.А. Жемчужина записала в своем отзыве: "Самолет К-7 по своей конструкции, вне зависимости от летных данных, от него ожидаемых, представляет крупный шаг вперед в самолетостроении...". Было принято решение о постройке опытного образца самолета на специально организованном Харьковском авиационном заводе опытного самолетостроения (ХАЗОСС) (12036).</w:t>
      </w:r>
    </w:p>
    <w:p w14:paraId="5E817C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3DF360" w14:textId="77777777" w:rsidR="00C55E74" w:rsidRPr="00142305" w:rsidRDefault="00C55E74" w:rsidP="00C55E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 завершили технический проект К-7. Он получил высокую оценку комиссии, в которую входи</w:t>
      </w:r>
      <w:r w:rsidRPr="00142305">
        <w:rPr>
          <w:rFonts w:ascii="Times New Roman" w:hAnsi="Times New Roman"/>
          <w:color w:val="0070C0"/>
          <w:sz w:val="16"/>
          <w:szCs w:val="16"/>
        </w:rPr>
        <w:softHyphen/>
        <w:t>ли представители НИИ ВВС, Ц^И и НИИ ГВФ. Комис</w:t>
      </w:r>
      <w:r w:rsidRPr="00142305">
        <w:rPr>
          <w:rFonts w:ascii="Times New Roman" w:hAnsi="Times New Roman"/>
          <w:color w:val="0070C0"/>
          <w:sz w:val="16"/>
          <w:szCs w:val="16"/>
        </w:rPr>
        <w:softHyphen/>
        <w:t>сия под руководством профессора Н.А. Жемчужина записа</w:t>
      </w:r>
      <w:r w:rsidRPr="00142305">
        <w:rPr>
          <w:rFonts w:ascii="Times New Roman" w:hAnsi="Times New Roman"/>
          <w:color w:val="0070C0"/>
          <w:sz w:val="16"/>
          <w:szCs w:val="16"/>
        </w:rPr>
        <w:softHyphen/>
        <w:t>ла в своем отзыве: «Самолет К-7 по своей конструкции, вне зависимости от летных данных, от него ожидаемых, пред</w:t>
      </w:r>
      <w:r w:rsidRPr="00142305">
        <w:rPr>
          <w:rFonts w:ascii="Times New Roman" w:hAnsi="Times New Roman"/>
          <w:color w:val="0070C0"/>
          <w:sz w:val="16"/>
          <w:szCs w:val="16"/>
        </w:rPr>
        <w:softHyphen/>
        <w:t>ставляет крупный шаг вперед в самолетостроении...». Было принято решение о постройке опытного образца самолета на специально организованном Харьковском авиационном заводе опытного самолетостроения (ХАЗОСС) )24977).</w:t>
      </w:r>
    </w:p>
    <w:p w14:paraId="35AEB2EB" w14:textId="77777777" w:rsidR="00C55E74" w:rsidRPr="00142305" w:rsidRDefault="00C55E74" w:rsidP="00C55E74">
      <w:pPr>
        <w:spacing w:after="0" w:line="240" w:lineRule="auto"/>
        <w:jc w:val="both"/>
        <w:rPr>
          <w:rFonts w:ascii="Times New Roman" w:hAnsi="Times New Roman"/>
          <w:color w:val="0070C0"/>
          <w:sz w:val="16"/>
          <w:szCs w:val="16"/>
        </w:rPr>
      </w:pPr>
    </w:p>
    <w:p w14:paraId="5E636F80" w14:textId="77777777" w:rsidR="00C55E74" w:rsidRPr="00E93F40" w:rsidRDefault="00C55E74" w:rsidP="00C55E74">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ГРОСС был слит с ХАЗ в ХАЗОСС - Харьковский авиазавод опытного самолетостроения (70,214).</w:t>
      </w:r>
    </w:p>
    <w:p w14:paraId="27B97A36" w14:textId="77777777" w:rsidR="00C55E74" w:rsidRPr="00E93F40" w:rsidRDefault="00C55E74" w:rsidP="00C55E74">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это произошло в 1933</w:t>
      </w:r>
    </w:p>
    <w:p w14:paraId="11923500" w14:textId="77777777" w:rsidR="00C55E74" w:rsidRPr="00E93F40" w:rsidRDefault="00C55E74" w:rsidP="00C55E74">
      <w:pPr>
        <w:autoSpaceDE w:val="0"/>
        <w:autoSpaceDN w:val="0"/>
        <w:adjustRightInd w:val="0"/>
        <w:spacing w:after="0" w:line="240" w:lineRule="auto"/>
        <w:jc w:val="both"/>
        <w:rPr>
          <w:rFonts w:ascii="Times New Roman" w:hAnsi="Times New Roman"/>
          <w:color w:val="000000" w:themeColor="text1"/>
          <w:sz w:val="16"/>
          <w:szCs w:val="16"/>
        </w:rPr>
      </w:pPr>
    </w:p>
    <w:p w14:paraId="5A82A3E6"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начале 1932 г. на завод №31 приехал новый главный кон</w:t>
      </w:r>
      <w:r w:rsidRPr="00E93F40">
        <w:rPr>
          <w:rFonts w:ascii="Times New Roman" w:hAnsi="Times New Roman"/>
          <w:color w:val="000000" w:themeColor="text1"/>
          <w:sz w:val="16"/>
          <w:szCs w:val="16"/>
          <w:lang w:eastAsia="ru-RU" w:bidi="ru-RU"/>
        </w:rPr>
        <w:softHyphen/>
        <w:t>структор — В.Б. Шавров. Созданный им самолет-амфибия Ш-2 был построен в 1930 г. в Ленинграде на заводе «Красный летчик» и с 12 по 17 июня 1931 г. прошел в Ле</w:t>
      </w:r>
      <w:r w:rsidRPr="00E93F40">
        <w:rPr>
          <w:rFonts w:ascii="Times New Roman" w:hAnsi="Times New Roman"/>
          <w:color w:val="000000" w:themeColor="text1"/>
          <w:sz w:val="16"/>
          <w:szCs w:val="16"/>
          <w:lang w:eastAsia="ru-RU" w:bidi="ru-RU"/>
        </w:rPr>
        <w:softHyphen/>
        <w:t>нинграде государственные испытания в НИИ ГВФ. Вско</w:t>
      </w:r>
      <w:r w:rsidRPr="00E93F40">
        <w:rPr>
          <w:rFonts w:ascii="Times New Roman" w:hAnsi="Times New Roman"/>
          <w:color w:val="000000" w:themeColor="text1"/>
          <w:sz w:val="16"/>
          <w:szCs w:val="16"/>
          <w:lang w:eastAsia="ru-RU" w:bidi="ru-RU"/>
        </w:rPr>
        <w:softHyphen/>
        <w:t>ре было принято решение и о серийной постройке Ш-2.</w:t>
      </w:r>
    </w:p>
    <w:p w14:paraId="60D69248"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Строить Ш-2 решили на авиазаводе №31 в Таганроге, ку</w:t>
      </w:r>
      <w:r w:rsidRPr="00E93F40">
        <w:rPr>
          <w:rFonts w:ascii="Times New Roman" w:hAnsi="Times New Roman"/>
          <w:color w:val="000000" w:themeColor="text1"/>
          <w:sz w:val="16"/>
          <w:szCs w:val="16"/>
          <w:lang w:eastAsia="ru-RU" w:bidi="ru-RU"/>
        </w:rPr>
        <w:softHyphen/>
        <w:t>да Шавров передал всю имевшуюся техническую докумен</w:t>
      </w:r>
      <w:r w:rsidRPr="00E93F40">
        <w:rPr>
          <w:rFonts w:ascii="Times New Roman" w:hAnsi="Times New Roman"/>
          <w:color w:val="000000" w:themeColor="text1"/>
          <w:sz w:val="16"/>
          <w:szCs w:val="16"/>
          <w:lang w:eastAsia="ru-RU" w:bidi="ru-RU"/>
        </w:rPr>
        <w:softHyphen/>
        <w:t>тацию и опытный экземпляр самолета. Однако рабочие чертежи на детали, сборочные чертежи на агрегаты, спе</w:t>
      </w:r>
      <w:r w:rsidRPr="00E93F40">
        <w:rPr>
          <w:rFonts w:ascii="Times New Roman" w:hAnsi="Times New Roman"/>
          <w:color w:val="000000" w:themeColor="text1"/>
          <w:sz w:val="16"/>
          <w:szCs w:val="16"/>
          <w:lang w:eastAsia="ru-RU" w:bidi="ru-RU"/>
        </w:rPr>
        <w:softHyphen/>
        <w:t>цификация материалов и оборудования и т.д. полностью отсутствовали, что ставило под угрозу срыва запуск Ш-2 в серийное производство.</w:t>
      </w:r>
    </w:p>
    <w:p w14:paraId="22B6CB4B"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Следует отметить, что должность главного конструкто</w:t>
      </w:r>
      <w:r w:rsidRPr="00E93F40">
        <w:rPr>
          <w:rFonts w:ascii="Times New Roman" w:hAnsi="Times New Roman"/>
          <w:color w:val="000000" w:themeColor="text1"/>
          <w:sz w:val="16"/>
          <w:szCs w:val="16"/>
          <w:lang w:eastAsia="ru-RU" w:bidi="ru-RU"/>
        </w:rPr>
        <w:softHyphen/>
        <w:t>ра в те времена была почти номинальной. На предприя</w:t>
      </w:r>
      <w:r w:rsidRPr="00E93F40">
        <w:rPr>
          <w:rFonts w:ascii="Times New Roman" w:hAnsi="Times New Roman"/>
          <w:color w:val="000000" w:themeColor="text1"/>
          <w:sz w:val="16"/>
          <w:szCs w:val="16"/>
          <w:lang w:eastAsia="ru-RU" w:bidi="ru-RU"/>
        </w:rPr>
        <w:softHyphen/>
        <w:t>тии тогда фактически никакого конструкторского бюро не было. Например, в 1926 г. КБ завода состояло из четырех человек: главного конструктора, двух конструкторов и чер</w:t>
      </w:r>
      <w:r w:rsidRPr="00E93F40">
        <w:rPr>
          <w:rFonts w:ascii="Times New Roman" w:hAnsi="Times New Roman"/>
          <w:color w:val="000000" w:themeColor="text1"/>
          <w:sz w:val="16"/>
          <w:szCs w:val="16"/>
          <w:lang w:eastAsia="ru-RU" w:bidi="ru-RU"/>
        </w:rPr>
        <w:softHyphen/>
        <w:t>тежника.</w:t>
      </w:r>
    </w:p>
    <w:p w14:paraId="59A1CEBE" w14:textId="77777777" w:rsidR="001A1FB6" w:rsidRPr="00E93F40" w:rsidRDefault="001A1FB6"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Выход нашли в привлечении к подготовке технологиче</w:t>
      </w:r>
      <w:r w:rsidRPr="00E93F40">
        <w:rPr>
          <w:rFonts w:ascii="Times New Roman" w:hAnsi="Times New Roman"/>
          <w:color w:val="000000" w:themeColor="text1"/>
          <w:sz w:val="16"/>
          <w:szCs w:val="16"/>
          <w:lang w:eastAsia="ru-RU" w:bidi="ru-RU"/>
        </w:rPr>
        <w:softHyphen/>
        <w:t>ской документации учащихся таганрогского авиационного техникума. Эта практическая деятельность явилась диплом</w:t>
      </w:r>
      <w:r w:rsidRPr="00E93F40">
        <w:rPr>
          <w:rFonts w:ascii="Times New Roman" w:hAnsi="Times New Roman"/>
          <w:color w:val="000000" w:themeColor="text1"/>
          <w:sz w:val="16"/>
          <w:szCs w:val="16"/>
          <w:lang w:eastAsia="ru-RU" w:bidi="ru-RU"/>
        </w:rPr>
        <w:softHyphen/>
        <w:t>ной работой для 45 слушателей техникума, выпущенных весной 1932 г. и пришедших работать на завод №31 тех</w:t>
      </w:r>
      <w:r w:rsidRPr="00E93F40">
        <w:rPr>
          <w:rFonts w:ascii="Times New Roman" w:hAnsi="Times New Roman"/>
          <w:color w:val="000000" w:themeColor="text1"/>
          <w:sz w:val="16"/>
          <w:szCs w:val="16"/>
          <w:lang w:eastAsia="ru-RU" w:bidi="ru-RU"/>
        </w:rPr>
        <w:softHyphen/>
        <w:t>никами-конструкторами и техниками-технологами (20325).</w:t>
      </w:r>
    </w:p>
    <w:p w14:paraId="2F852857" w14:textId="77777777" w:rsidR="001A1FB6" w:rsidRPr="00E93F40" w:rsidRDefault="001A1FB6" w:rsidP="00E93F40">
      <w:pPr>
        <w:spacing w:after="0" w:line="240" w:lineRule="auto"/>
        <w:jc w:val="both"/>
        <w:rPr>
          <w:rFonts w:ascii="Times New Roman" w:hAnsi="Times New Roman"/>
          <w:color w:val="000000" w:themeColor="text1"/>
          <w:sz w:val="16"/>
          <w:szCs w:val="16"/>
        </w:rPr>
      </w:pPr>
    </w:p>
    <w:p w14:paraId="5E1BA946"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по</w:t>
      </w:r>
      <w:r w:rsidRPr="00E93F40">
        <w:rPr>
          <w:rFonts w:ascii="Times New Roman" w:hAnsi="Times New Roman"/>
          <w:color w:val="000000" w:themeColor="text1"/>
          <w:sz w:val="16"/>
          <w:szCs w:val="16"/>
        </w:rPr>
        <w:softHyphen/>
        <w:t>явилось задание на сухопутный армейский самолет-разведчик и легкий бомбардировщик для замены разведчика Р-5. Разработка началась еще в бри</w:t>
      </w:r>
      <w:r w:rsidRPr="00E93F40">
        <w:rPr>
          <w:rFonts w:ascii="Times New Roman" w:hAnsi="Times New Roman"/>
          <w:color w:val="000000" w:themeColor="text1"/>
          <w:sz w:val="16"/>
          <w:szCs w:val="16"/>
        </w:rPr>
        <w:softHyphen/>
        <w:t>гаде №5 ЦКБ-ЦАГИ, которой руководил С.А. Кочеригин, его заместителем в этот период являлся А.А. Дубровин. Основ</w:t>
      </w:r>
      <w:r w:rsidRPr="00E93F40">
        <w:rPr>
          <w:rFonts w:ascii="Times New Roman" w:hAnsi="Times New Roman"/>
          <w:color w:val="000000" w:themeColor="text1"/>
          <w:sz w:val="16"/>
          <w:szCs w:val="16"/>
        </w:rPr>
        <w:softHyphen/>
        <w:t>ная надежда была на двигатель М-34, с которым надеялись добиться значительного повышения всех боевых и летных данных (20362).</w:t>
      </w:r>
    </w:p>
    <w:p w14:paraId="6639C183" w14:textId="77777777" w:rsidR="001A1FB6" w:rsidRPr="00E93F40" w:rsidRDefault="001A1FB6" w:rsidP="00E93F40">
      <w:pPr>
        <w:shd w:val="clear" w:color="auto" w:fill="FFFFFF"/>
        <w:spacing w:after="0" w:line="240" w:lineRule="auto"/>
        <w:jc w:val="both"/>
        <w:rPr>
          <w:rFonts w:ascii="Times New Roman" w:hAnsi="Times New Roman"/>
          <w:color w:val="000000" w:themeColor="text1"/>
          <w:sz w:val="16"/>
          <w:szCs w:val="16"/>
        </w:rPr>
      </w:pPr>
    </w:p>
    <w:p w14:paraId="288D589A" w14:textId="77777777" w:rsidR="00CC533B" w:rsidRPr="00E93F40" w:rsidRDefault="00CC53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начале 1932 г. инженерами П.Д.Самсоновым и А.Л.Добровольским был предложен проект того же «дуэта» конструкторов, обозначенный ими как «Универсальный самолёт-амфибия-танк». Его содержание приведено в письме за номером 110/1206авиа от 22 марта 1932 г., которое направил в НИИ ВВС пом. начальника 1 сектора ОВИ Техштаба НВ (Наземных Войск?) Глухов. Он писал: 1-й сектор Отдела военных изобретений Технического штаба НВ препровождает для реализации, одобренное </w:t>
      </w:r>
      <w:r w:rsidRPr="00E93F40">
        <w:rPr>
          <w:rFonts w:ascii="Times New Roman" w:hAnsi="Times New Roman"/>
          <w:color w:val="000000" w:themeColor="text1"/>
          <w:sz w:val="16"/>
          <w:szCs w:val="16"/>
        </w:rPr>
        <w:lastRenderedPageBreak/>
        <w:t>экспертизой предложение Самсонова и Добровольского – «Универсальный самолет-амфибия-танк». Согласно авторскому описанию, предметом изобретения является самолёт-амфибия (как лодочный, так и поплавковый), способный «взлетать и совершать посадку на море, сушу, в снег, на палубу корабля, а также могущий передвигаться по земле», а также вылезать из воды на сушу и обратно. Для этого в специальном тоннеле, сделанном в днище лодки или поплавка, устанавливается гусеница, состоящая из ряда параллельных полых цилиндров (катков), подвешенных на амортизаторах со специальными направляющими, допускающими вертикальное перемещение каждого отдельного цилиндра. Гусеница обтянута эластичной лентой из резины, кожи, металла или иного материала. Это устройство, по мысли авторов, позволяет самолёту-амфибии осуществлять взлёт и посадку на водную поверхность, взлёт и посадку на землю и на снег, «что особенно ценно в условиях Арктики», причём «возможно уменьшить длину послепосадочного пробега торможением гусеницы». Самолёт может «влезть на сушу и слезать обратно в воду в любых условиях». Гусеница может быть применена и для сухопутных машин. Предметом данной заявки, пишут они, является «сухопутный самолёт-танк» с применением в качестве посадочного и взлётного приспособления центральной, расположенной в днище фюзеляжа гусеницы, подвешенной на амортизаторах. «Применение легкой брони для обшивки корпуса, - пишут они, - позволяет использовать самолет (со сброшенными крыльями) в качестве танка (танкетки), создавая этим самым новую тактическую возможность применения самолёта как боевого средства, причём брошенные крылья могут быть предварительно снабжены взрывчатым веществом». Предложение было сформулировано в самом общем виде лишь как принципиальная идея, без какого-либо конструктивного оформления. Можно лишь понять, что авторы имеют в виду не оснащение уже имеющегося обычного танка взлётным устройством (крыльями), а превращение некоего самолёта как такового в танк за счёт брони, предложенной ими гусеницы и, видимо, вооружения – но как предполагалось увязать в одной машине «танковые» элементы с самолётными, остаётся неясным. Реакция НИИ ВВС на вышеприведённое обращение не известна, однако до реализации данного «изобретения» дело явно не дошло. П.Д.Самсонов позже проявил себя как конструктор гидросамолётов, работая в КБ Г.М.Бериева, а затем возглавив отдельное КБ (19165).</w:t>
      </w:r>
    </w:p>
    <w:p w14:paraId="518CCABC" w14:textId="77777777" w:rsidR="00CC533B" w:rsidRPr="00E93F40" w:rsidRDefault="00CC533B" w:rsidP="00E93F40">
      <w:pPr>
        <w:spacing w:after="0" w:line="240" w:lineRule="auto"/>
        <w:jc w:val="both"/>
        <w:rPr>
          <w:rFonts w:ascii="Times New Roman" w:hAnsi="Times New Roman"/>
          <w:color w:val="000000" w:themeColor="text1"/>
          <w:sz w:val="16"/>
          <w:szCs w:val="16"/>
        </w:rPr>
      </w:pPr>
    </w:p>
    <w:p w14:paraId="52A4445C" w14:textId="77777777" w:rsidR="00577FF4" w:rsidRPr="00E93F40" w:rsidRDefault="00577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 Севастополе прохо</w:t>
      </w:r>
      <w:r w:rsidRPr="00E93F40">
        <w:rPr>
          <w:rFonts w:ascii="Times New Roman" w:hAnsi="Times New Roman"/>
          <w:color w:val="000000" w:themeColor="text1"/>
          <w:sz w:val="16"/>
          <w:szCs w:val="16"/>
        </w:rPr>
        <w:softHyphen/>
        <w:t>дил испытания четырехмоторный самолет МДР—3, построенный на заводе №39 по проекту И.В. Четверикова. По результатам испытаний конструкцию признали нерациональной и машину на</w:t>
      </w:r>
      <w:r w:rsidRPr="00E93F40">
        <w:rPr>
          <w:rFonts w:ascii="Times New Roman" w:hAnsi="Times New Roman"/>
          <w:color w:val="000000" w:themeColor="text1"/>
          <w:sz w:val="16"/>
          <w:szCs w:val="16"/>
        </w:rPr>
        <w:softHyphen/>
        <w:t>правили в ЦАГИ для переделки. Передача МДР—3 именно в КБ Туполева была не случайна. Еще в 1929 г. здесь провели рас</w:t>
      </w:r>
      <w:r w:rsidRPr="00E93F40">
        <w:rPr>
          <w:rFonts w:ascii="Times New Roman" w:hAnsi="Times New Roman"/>
          <w:color w:val="000000" w:themeColor="text1"/>
          <w:sz w:val="16"/>
          <w:szCs w:val="16"/>
        </w:rPr>
        <w:softHyphen/>
        <w:t>чет трехмоторной летающей лодки под двигатели BMW VII или Jupiter IV, причем средний мотор имел толкающий винт. В июле 1929 г. проект новой машины рас</w:t>
      </w:r>
      <w:r w:rsidRPr="00E93F40">
        <w:rPr>
          <w:rFonts w:ascii="Times New Roman" w:hAnsi="Times New Roman"/>
          <w:color w:val="000000" w:themeColor="text1"/>
          <w:sz w:val="16"/>
          <w:szCs w:val="16"/>
        </w:rPr>
        <w:softHyphen/>
        <w:t>смотрели, ознакомили с ним и НТК УВВС. Однако КБ было перегружено в то время заказами по тяжелым сухопутным самоле</w:t>
      </w:r>
      <w:r w:rsidRPr="00E93F40">
        <w:rPr>
          <w:rFonts w:ascii="Times New Roman" w:hAnsi="Times New Roman"/>
          <w:color w:val="000000" w:themeColor="text1"/>
          <w:sz w:val="16"/>
          <w:szCs w:val="16"/>
        </w:rPr>
        <w:softHyphen/>
        <w:t>там и эту работу пришлось отложить (23474).</w:t>
      </w:r>
    </w:p>
    <w:p w14:paraId="02DF5DDC" w14:textId="77777777" w:rsidR="00577FF4" w:rsidRPr="00E93F40" w:rsidRDefault="00577FF4" w:rsidP="00E93F40">
      <w:pPr>
        <w:spacing w:after="0" w:line="240" w:lineRule="auto"/>
        <w:jc w:val="both"/>
        <w:rPr>
          <w:rFonts w:ascii="Times New Roman" w:hAnsi="Times New Roman"/>
          <w:color w:val="000000" w:themeColor="text1"/>
          <w:sz w:val="16"/>
          <w:szCs w:val="16"/>
        </w:rPr>
      </w:pPr>
    </w:p>
    <w:p w14:paraId="214A70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 ВВС насчитывалось 212 У-2, в ноя</w:t>
      </w:r>
      <w:r w:rsidRPr="00E93F40">
        <w:rPr>
          <w:rFonts w:ascii="Times New Roman" w:hAnsi="Times New Roman"/>
          <w:color w:val="000000" w:themeColor="text1"/>
          <w:sz w:val="16"/>
          <w:szCs w:val="16"/>
        </w:rPr>
        <w:softHyphen/>
        <w:t>бре 1933 г. - уже 1036. По состоянию на 22 июня 1941 г. только в авиации флота находилось 390 У-2 (10667).</w:t>
      </w:r>
    </w:p>
    <w:p w14:paraId="3FC60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FA140E"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активно обсуждались но</w:t>
      </w:r>
      <w:r w:rsidRPr="00E93F40">
        <w:rPr>
          <w:rFonts w:ascii="Times New Roman" w:hAnsi="Times New Roman"/>
          <w:color w:val="000000" w:themeColor="text1"/>
          <w:sz w:val="16"/>
          <w:szCs w:val="16"/>
        </w:rPr>
        <w:softHyphen/>
        <w:t>вые проекты автожиров. Однако Начальник ГУАП П.И. Ба</w:t>
      </w:r>
      <w:r w:rsidRPr="00E93F40">
        <w:rPr>
          <w:rFonts w:ascii="Times New Roman" w:hAnsi="Times New Roman"/>
          <w:color w:val="000000" w:themeColor="text1"/>
          <w:sz w:val="16"/>
          <w:szCs w:val="16"/>
        </w:rPr>
        <w:softHyphen/>
        <w:t>ранов предложил на данном этапе пойти по пути улучше</w:t>
      </w:r>
      <w:r w:rsidRPr="00E93F40">
        <w:rPr>
          <w:rFonts w:ascii="Times New Roman" w:hAnsi="Times New Roman"/>
          <w:color w:val="000000" w:themeColor="text1"/>
          <w:sz w:val="16"/>
          <w:szCs w:val="16"/>
        </w:rPr>
        <w:softHyphen/>
        <w:t>ния 2-ЭА, оборудовать его отечественным двигателем М-26 с механической раскруткой ротора перед запуском взамен аэродинамической, установить двойное управле</w:t>
      </w:r>
      <w:r w:rsidRPr="00E93F40">
        <w:rPr>
          <w:rFonts w:ascii="Times New Roman" w:hAnsi="Times New Roman"/>
          <w:color w:val="000000" w:themeColor="text1"/>
          <w:sz w:val="16"/>
          <w:szCs w:val="16"/>
        </w:rPr>
        <w:softHyphen/>
        <w:t>ние для обучения летчиков. Причем, одновременно с из</w:t>
      </w:r>
      <w:r w:rsidRPr="00E93F40">
        <w:rPr>
          <w:rFonts w:ascii="Times New Roman" w:hAnsi="Times New Roman"/>
          <w:color w:val="000000" w:themeColor="text1"/>
          <w:sz w:val="16"/>
          <w:szCs w:val="16"/>
        </w:rPr>
        <w:softHyphen/>
        <w:t>готовлением опытного образца предлагалось заложить небольшую серию для получения навыков эксплуатации.</w:t>
      </w:r>
    </w:p>
    <w:p w14:paraId="04E01F2D"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Эскизный проект автожира, получившего обозначение ЦАГИ А-4, был разработан в Отделе особых конструкций (ООК) под общим руководством А.М. Черемухина. Ведущим инженером по подготовке технической документации и постройке первого экземпляра стал Г.И. Солнцев. Разработка чертежей велась в специально созданном Конструк</w:t>
      </w:r>
      <w:r w:rsidRPr="00E93F40">
        <w:rPr>
          <w:rFonts w:ascii="Times New Roman" w:hAnsi="Times New Roman"/>
          <w:color w:val="000000" w:themeColor="text1"/>
          <w:sz w:val="16"/>
          <w:szCs w:val="16"/>
        </w:rPr>
        <w:softHyphen/>
        <w:t>торском бюро Московского авиационного института (МАИ). Все аэродинамические изыскания и расчеты А-4 провела бригада аэродинамики ООК под руководством М.Л. Миля. Серийное производство решили развернуть на авиаре</w:t>
      </w:r>
      <w:r w:rsidRPr="00E93F40">
        <w:rPr>
          <w:rFonts w:ascii="Times New Roman" w:hAnsi="Times New Roman"/>
          <w:color w:val="000000" w:themeColor="text1"/>
          <w:sz w:val="16"/>
          <w:szCs w:val="16"/>
        </w:rPr>
        <w:softHyphen/>
        <w:t>монтном заводе № 43 в Киеве. Техническое руководство внедрением А-4 в серийное производство, доводку конст</w:t>
      </w:r>
      <w:r w:rsidRPr="00E93F40">
        <w:rPr>
          <w:rFonts w:ascii="Times New Roman" w:hAnsi="Times New Roman"/>
          <w:color w:val="000000" w:themeColor="text1"/>
          <w:sz w:val="16"/>
          <w:szCs w:val="16"/>
        </w:rPr>
        <w:softHyphen/>
        <w:t>рукции в период летных испытаний осуществлял Н.К. Скржинский.</w:t>
      </w:r>
    </w:p>
    <w:p w14:paraId="2518BCC5"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ЦАГИ А-4 представлял собой двухместный ап</w:t>
      </w:r>
      <w:r w:rsidRPr="00E93F40">
        <w:rPr>
          <w:rFonts w:ascii="Times New Roman" w:hAnsi="Times New Roman"/>
          <w:color w:val="000000" w:themeColor="text1"/>
          <w:sz w:val="16"/>
          <w:szCs w:val="16"/>
        </w:rPr>
        <w:softHyphen/>
        <w:t>парат, основу которого составляла стальная сварная фер</w:t>
      </w:r>
      <w:r w:rsidRPr="00E93F40">
        <w:rPr>
          <w:rFonts w:ascii="Times New Roman" w:hAnsi="Times New Roman"/>
          <w:color w:val="000000" w:themeColor="text1"/>
          <w:sz w:val="16"/>
          <w:szCs w:val="16"/>
        </w:rPr>
        <w:softHyphen/>
        <w:t>ма фюзеляжа. Передняя часть фюзеляжа имела обшивку из дюралюминия, хвостовая часть обшивалась полотном. К фюзеляжу на трех стальных стойках, закрытых дюралю</w:t>
      </w:r>
      <w:r w:rsidRPr="00E93F40">
        <w:rPr>
          <w:rFonts w:ascii="Times New Roman" w:hAnsi="Times New Roman"/>
          <w:color w:val="000000" w:themeColor="text1"/>
          <w:sz w:val="16"/>
          <w:szCs w:val="16"/>
        </w:rPr>
        <w:softHyphen/>
        <w:t>миниевыми обтекателями, шарнирно крепился свободно вращающийся ротор, состоящий из четырех лопастей. Диаметр ротора 13,0 м, ширина лопастей 540 мм, профиль сечения Геттинген № 429. В спокойном состоянии лопа</w:t>
      </w:r>
      <w:r w:rsidRPr="00E93F40">
        <w:rPr>
          <w:rFonts w:ascii="Times New Roman" w:hAnsi="Times New Roman"/>
          <w:color w:val="000000" w:themeColor="text1"/>
          <w:sz w:val="16"/>
          <w:szCs w:val="16"/>
        </w:rPr>
        <w:softHyphen/>
        <w:t>сти висели на четырех поддерживающих тросах, свешива</w:t>
      </w:r>
      <w:r w:rsidRPr="00E93F40">
        <w:rPr>
          <w:rFonts w:ascii="Times New Roman" w:hAnsi="Times New Roman"/>
          <w:color w:val="000000" w:themeColor="text1"/>
          <w:sz w:val="16"/>
          <w:szCs w:val="16"/>
        </w:rPr>
        <w:softHyphen/>
        <w:t>ясь вниз на 7° по отношению к горизонту. В полете при на</w:t>
      </w:r>
      <w:r w:rsidRPr="00E93F40">
        <w:rPr>
          <w:rFonts w:ascii="Times New Roman" w:hAnsi="Times New Roman"/>
          <w:color w:val="000000" w:themeColor="text1"/>
          <w:sz w:val="16"/>
          <w:szCs w:val="16"/>
        </w:rPr>
        <w:softHyphen/>
        <w:t xml:space="preserve">грузке лопастей, их движение вверх до 25° ограничивалось </w:t>
      </w:r>
      <w:bookmarkStart w:id="8" w:name="_Hlk62314906"/>
      <w:r w:rsidRPr="00E93F40">
        <w:rPr>
          <w:rFonts w:ascii="Times New Roman" w:hAnsi="Times New Roman"/>
          <w:color w:val="000000" w:themeColor="text1"/>
          <w:sz w:val="16"/>
          <w:szCs w:val="16"/>
        </w:rPr>
        <w:t>ботка чертежей велась в специально созданном Конструк</w:t>
      </w:r>
      <w:r w:rsidRPr="00E93F40">
        <w:rPr>
          <w:rFonts w:ascii="Times New Roman" w:hAnsi="Times New Roman"/>
          <w:color w:val="000000" w:themeColor="text1"/>
          <w:sz w:val="16"/>
          <w:szCs w:val="16"/>
        </w:rPr>
        <w:softHyphen/>
        <w:t>торском бюро Московского авиационного института (МАИ). Все аэродинамические изыскания и расчеты А-4 провела бригада аэродинамики ООК под руководством М.Л. Миля. Серийное производство решили развернуть на авиаре</w:t>
      </w:r>
      <w:r w:rsidRPr="00E93F40">
        <w:rPr>
          <w:rFonts w:ascii="Times New Roman" w:hAnsi="Times New Roman"/>
          <w:color w:val="000000" w:themeColor="text1"/>
          <w:sz w:val="16"/>
          <w:szCs w:val="16"/>
        </w:rPr>
        <w:softHyphen/>
        <w:t>монтном заводе № 43 в Киеве. Техническое руководство внедрением А-4 в серийное производство, доводку конст</w:t>
      </w:r>
      <w:r w:rsidRPr="00E93F40">
        <w:rPr>
          <w:rFonts w:ascii="Times New Roman" w:hAnsi="Times New Roman"/>
          <w:color w:val="000000" w:themeColor="text1"/>
          <w:sz w:val="16"/>
          <w:szCs w:val="16"/>
        </w:rPr>
        <w:softHyphen/>
        <w:t>рукции в период летных испытаний осуществлял Н.К. Скржинский.</w:t>
      </w:r>
    </w:p>
    <w:p w14:paraId="410E869E"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ЦАГИ А-4 представлял собой двухместный ап</w:t>
      </w:r>
      <w:r w:rsidRPr="00E93F40">
        <w:rPr>
          <w:rFonts w:ascii="Times New Roman" w:hAnsi="Times New Roman"/>
          <w:color w:val="000000" w:themeColor="text1"/>
          <w:sz w:val="16"/>
          <w:szCs w:val="16"/>
        </w:rPr>
        <w:softHyphen/>
        <w:t>парат, основу которого составляла стальная сварная фер</w:t>
      </w:r>
      <w:r w:rsidRPr="00E93F40">
        <w:rPr>
          <w:rFonts w:ascii="Times New Roman" w:hAnsi="Times New Roman"/>
          <w:color w:val="000000" w:themeColor="text1"/>
          <w:sz w:val="16"/>
          <w:szCs w:val="16"/>
        </w:rPr>
        <w:softHyphen/>
        <w:t>ма фюзеляжа. Передняя часть фюзеляжа имела обшивку из дюралюминия, хвостовая часть обшивалась полотном. К фюзеляжу на трех стальных стойках, закрытых дюралю</w:t>
      </w:r>
      <w:r w:rsidRPr="00E93F40">
        <w:rPr>
          <w:rFonts w:ascii="Times New Roman" w:hAnsi="Times New Roman"/>
          <w:color w:val="000000" w:themeColor="text1"/>
          <w:sz w:val="16"/>
          <w:szCs w:val="16"/>
        </w:rPr>
        <w:softHyphen/>
        <w:t>миниевыми обтекателями, шарнирно крепился свободно вращающийся ротор, состоящий из четырех лопастей. Диаметр ротора 13,0 м, ширина лопастей 540 мм, профиль сечения Геттинген № 429. В спокойном состоянии лопа</w:t>
      </w:r>
      <w:r w:rsidRPr="00E93F40">
        <w:rPr>
          <w:rFonts w:ascii="Times New Roman" w:hAnsi="Times New Roman"/>
          <w:color w:val="000000" w:themeColor="text1"/>
          <w:sz w:val="16"/>
          <w:szCs w:val="16"/>
        </w:rPr>
        <w:softHyphen/>
        <w:t>сти висели на четырех поддерживающих тросах, свешива</w:t>
      </w:r>
      <w:r w:rsidRPr="00E93F40">
        <w:rPr>
          <w:rFonts w:ascii="Times New Roman" w:hAnsi="Times New Roman"/>
          <w:color w:val="000000" w:themeColor="text1"/>
          <w:sz w:val="16"/>
          <w:szCs w:val="16"/>
        </w:rPr>
        <w:softHyphen/>
        <w:t>ясь вниз на 7° по отношению к горизонту. В полете при на</w:t>
      </w:r>
      <w:r w:rsidRPr="00E93F40">
        <w:rPr>
          <w:rFonts w:ascii="Times New Roman" w:hAnsi="Times New Roman"/>
          <w:color w:val="000000" w:themeColor="text1"/>
          <w:sz w:val="16"/>
          <w:szCs w:val="16"/>
        </w:rPr>
        <w:softHyphen/>
        <w:t>грузке лопастей, их движение вверх до 25° ограничивалось</w:t>
      </w:r>
      <w:bookmarkEnd w:id="8"/>
      <w:r w:rsidRPr="00E93F40">
        <w:rPr>
          <w:rFonts w:ascii="Times New Roman" w:hAnsi="Times New Roman"/>
          <w:color w:val="000000" w:themeColor="text1"/>
          <w:sz w:val="16"/>
          <w:szCs w:val="16"/>
        </w:rPr>
        <w:t xml:space="preserve"> специальными шпильками, размещенными на сухарях втулки ротора.</w:t>
      </w:r>
    </w:p>
    <w:p w14:paraId="654F25F3"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Крылья автожира деревянной конструкции, с полотняной обшивкой, общей площадью 6,2 м2 были снабжены элеро</w:t>
      </w:r>
      <w:r w:rsidRPr="00E93F40">
        <w:rPr>
          <w:rFonts w:ascii="Times New Roman" w:hAnsi="Times New Roman"/>
          <w:color w:val="000000" w:themeColor="text1"/>
          <w:sz w:val="16"/>
          <w:szCs w:val="16"/>
        </w:rPr>
        <w:softHyphen/>
        <w:t>нами для осуществления поперечного управления. За- концовки крыла отогнуты вверх на 35° для увеличения пу</w:t>
      </w:r>
      <w:r w:rsidRPr="00E93F40">
        <w:rPr>
          <w:rFonts w:ascii="Times New Roman" w:hAnsi="Times New Roman"/>
          <w:color w:val="000000" w:themeColor="text1"/>
          <w:sz w:val="16"/>
          <w:szCs w:val="16"/>
        </w:rPr>
        <w:softHyphen/>
        <w:t>тевой устойчивости; одновременно, по замыслу создате</w:t>
      </w:r>
      <w:r w:rsidRPr="00E93F40">
        <w:rPr>
          <w:rFonts w:ascii="Times New Roman" w:hAnsi="Times New Roman"/>
          <w:color w:val="000000" w:themeColor="text1"/>
          <w:sz w:val="16"/>
          <w:szCs w:val="16"/>
        </w:rPr>
        <w:softHyphen/>
        <w:t>лей, они препятствовали боковому скольжению при парашютировании. Шасси для более устойчивого пробе га имели колею, увеличенную до 2650 мм, ход амортиза</w:t>
      </w:r>
      <w:r w:rsidRPr="00E93F40">
        <w:rPr>
          <w:rFonts w:ascii="Times New Roman" w:hAnsi="Times New Roman"/>
          <w:color w:val="000000" w:themeColor="text1"/>
          <w:sz w:val="16"/>
          <w:szCs w:val="16"/>
        </w:rPr>
        <w:softHyphen/>
        <w:t>ции на случай посадки с высокой вертикальной скоростью составлял 245 мм. Зимой вместо колес размером 700x125 мм устанавливались лыжи от истребителя И-5.</w:t>
      </w:r>
    </w:p>
    <w:p w14:paraId="286FD137"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Управление автожира ЦАГИ А-4 двойное, причем пилот размещался сзади, а наблюдатель впереди. Хвостовое оперение имело стабилизатор с переменным углом уста</w:t>
      </w:r>
      <w:r w:rsidRPr="00E93F40">
        <w:rPr>
          <w:rFonts w:ascii="Times New Roman" w:hAnsi="Times New Roman"/>
          <w:color w:val="000000" w:themeColor="text1"/>
          <w:sz w:val="16"/>
          <w:szCs w:val="16"/>
        </w:rPr>
        <w:softHyphen/>
        <w:t>новки в полете, костыль управлялся одновременно с рулем поворота.</w:t>
      </w:r>
    </w:p>
    <w:p w14:paraId="64BA0112"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Силовая установка автожира состояла из звездообраз</w:t>
      </w:r>
      <w:r w:rsidRPr="00E93F40">
        <w:rPr>
          <w:rFonts w:ascii="Times New Roman" w:hAnsi="Times New Roman"/>
          <w:color w:val="000000" w:themeColor="text1"/>
          <w:sz w:val="16"/>
          <w:szCs w:val="16"/>
        </w:rPr>
        <w:softHyphen/>
        <w:t>ного двигателя воздушного охлаждения М-26 мощностью 300 л.с., оборудованного кольцом Тауненда диаметром 1350 мм и шириной 350 мм. Конструкция крепления дви</w:t>
      </w:r>
      <w:r w:rsidRPr="00E93F40">
        <w:rPr>
          <w:rFonts w:ascii="Times New Roman" w:hAnsi="Times New Roman"/>
          <w:color w:val="000000" w:themeColor="text1"/>
          <w:sz w:val="16"/>
          <w:szCs w:val="16"/>
        </w:rPr>
        <w:softHyphen/>
        <w:t>гателя, система бензопитания, коллектор выхлопных газов и деревянный воздушный винт диаметром 2,65 м почти без изменений позаимствовали от самолета АНТ-9. Для осуще</w:t>
      </w:r>
      <w:r w:rsidRPr="00E93F40">
        <w:rPr>
          <w:rFonts w:ascii="Times New Roman" w:hAnsi="Times New Roman"/>
          <w:color w:val="000000" w:themeColor="text1"/>
          <w:sz w:val="16"/>
          <w:szCs w:val="16"/>
        </w:rPr>
        <w:softHyphen/>
        <w:t>ствления раскрутки ротора автожира перед стартом непо</w:t>
      </w:r>
      <w:r w:rsidRPr="00E93F40">
        <w:rPr>
          <w:rFonts w:ascii="Times New Roman" w:hAnsi="Times New Roman"/>
          <w:color w:val="000000" w:themeColor="text1"/>
          <w:sz w:val="16"/>
          <w:szCs w:val="16"/>
        </w:rPr>
        <w:softHyphen/>
        <w:t>средственно на двигателе располагался редуктор механи</w:t>
      </w:r>
      <w:r w:rsidRPr="00E93F40">
        <w:rPr>
          <w:rFonts w:ascii="Times New Roman" w:hAnsi="Times New Roman"/>
          <w:color w:val="000000" w:themeColor="text1"/>
          <w:sz w:val="16"/>
          <w:szCs w:val="16"/>
        </w:rPr>
        <w:softHyphen/>
        <w:t>ческого запуска. После начала работы двигателя пилот включал муфту сцепления механизма запуска ротора - по</w:t>
      </w:r>
      <w:r w:rsidRPr="00E93F40">
        <w:rPr>
          <w:rFonts w:ascii="Times New Roman" w:hAnsi="Times New Roman"/>
          <w:color w:val="000000" w:themeColor="text1"/>
          <w:sz w:val="16"/>
          <w:szCs w:val="16"/>
        </w:rPr>
        <w:softHyphen/>
        <w:t>следний раскручивался до 140-150 об/мин. Затем меха</w:t>
      </w:r>
      <w:r w:rsidRPr="00E93F40">
        <w:rPr>
          <w:rFonts w:ascii="Times New Roman" w:hAnsi="Times New Roman"/>
          <w:color w:val="000000" w:themeColor="text1"/>
          <w:sz w:val="16"/>
          <w:szCs w:val="16"/>
        </w:rPr>
        <w:softHyphen/>
        <w:t>низм выключался, к моменту набора взлетной скорости обороты ротора падали до 100-110 об/мин, чего было вполне достаточно для отрыва от земли (20361).</w:t>
      </w:r>
    </w:p>
    <w:p w14:paraId="4EC8046D" w14:textId="77777777" w:rsidR="001A1FB6" w:rsidRPr="00E93F40" w:rsidRDefault="001A1FB6" w:rsidP="00E93F40">
      <w:pPr>
        <w:spacing w:after="0" w:line="240" w:lineRule="auto"/>
        <w:jc w:val="both"/>
        <w:rPr>
          <w:rFonts w:ascii="Times New Roman" w:hAnsi="Times New Roman"/>
          <w:color w:val="000000" w:themeColor="text1"/>
          <w:sz w:val="16"/>
          <w:szCs w:val="16"/>
        </w:rPr>
      </w:pPr>
    </w:p>
    <w:p w14:paraId="6A5EB139"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 Отдел Опытных Конструкций ЦАГИ по</w:t>
      </w:r>
      <w:r w:rsidRPr="00E93F40">
        <w:rPr>
          <w:rFonts w:ascii="Times New Roman" w:hAnsi="Times New Roman"/>
          <w:color w:val="000000" w:themeColor="text1"/>
          <w:sz w:val="16"/>
          <w:szCs w:val="16"/>
        </w:rPr>
        <w:softHyphen/>
        <w:t>ступило задание ВВС на двухместный автожир с двигате</w:t>
      </w:r>
      <w:r w:rsidRPr="00E93F40">
        <w:rPr>
          <w:rFonts w:ascii="Times New Roman" w:hAnsi="Times New Roman"/>
          <w:color w:val="000000" w:themeColor="text1"/>
          <w:sz w:val="16"/>
          <w:szCs w:val="16"/>
        </w:rPr>
        <w:softHyphen/>
        <w:t>лем М-11, который мог использоваться для обучения и как средство связи. В период проектирования для обозначе</w:t>
      </w:r>
      <w:r w:rsidRPr="00E93F40">
        <w:rPr>
          <w:rFonts w:ascii="Times New Roman" w:hAnsi="Times New Roman"/>
          <w:color w:val="000000" w:themeColor="text1"/>
          <w:sz w:val="16"/>
          <w:szCs w:val="16"/>
        </w:rPr>
        <w:softHyphen/>
        <w:t>ния аппарата использовалось обозначение С-1 (связной- первый), дополнительным его назначением назывались туризм и местное пассажирское сообщение. Эскизный проект этого автожира, в дальнейшем называемом ЦАГИ А-6, разрабатывался под руководством В.А. Кузнецова, аэ</w:t>
      </w:r>
      <w:r w:rsidRPr="00E93F40">
        <w:rPr>
          <w:rFonts w:ascii="Times New Roman" w:hAnsi="Times New Roman"/>
          <w:color w:val="000000" w:themeColor="text1"/>
          <w:sz w:val="16"/>
          <w:szCs w:val="16"/>
        </w:rPr>
        <w:softHyphen/>
        <w:t>родинамические расчеты выполнила бригада М.Л. Миля.</w:t>
      </w:r>
    </w:p>
    <w:p w14:paraId="4DC1B990"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А-6 построили на заводе опытных конструкций ЦАГИ к се</w:t>
      </w:r>
      <w:r w:rsidRPr="00E93F40">
        <w:rPr>
          <w:rFonts w:ascii="Times New Roman" w:hAnsi="Times New Roman"/>
          <w:color w:val="000000" w:themeColor="text1"/>
          <w:sz w:val="16"/>
          <w:szCs w:val="16"/>
        </w:rPr>
        <w:softHyphen/>
        <w:t>редине 1933 г. Автожир имел сварной ферменный фюзеляж и цельнодеревянное, низкорасположенное крыло с отогну</w:t>
      </w:r>
      <w:r w:rsidRPr="00E93F40">
        <w:rPr>
          <w:rFonts w:ascii="Times New Roman" w:hAnsi="Times New Roman"/>
          <w:color w:val="000000" w:themeColor="text1"/>
          <w:sz w:val="16"/>
          <w:szCs w:val="16"/>
        </w:rPr>
        <w:softHyphen/>
        <w:t>тыми законцовками. Подобную конструкцию фюзеляжа и крыла ранее отработали на аппаратах ЦАГИ 2-ЭА и А-4.</w:t>
      </w:r>
    </w:p>
    <w:p w14:paraId="1BF8ABB2"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шасси А-6 использовались баллонные колеса низко</w:t>
      </w:r>
      <w:r w:rsidRPr="00E93F40">
        <w:rPr>
          <w:rFonts w:ascii="Times New Roman" w:hAnsi="Times New Roman"/>
          <w:color w:val="000000" w:themeColor="text1"/>
          <w:sz w:val="16"/>
          <w:szCs w:val="16"/>
        </w:rPr>
        <w:softHyphen/>
        <w:t>го давления, амортизация отсутствовала. Для сокращения разбега при взлете использовалась система механическо</w:t>
      </w:r>
      <w:r w:rsidRPr="00E93F40">
        <w:rPr>
          <w:rFonts w:ascii="Times New Roman" w:hAnsi="Times New Roman"/>
          <w:color w:val="000000" w:themeColor="text1"/>
          <w:sz w:val="16"/>
          <w:szCs w:val="16"/>
        </w:rPr>
        <w:softHyphen/>
        <w:t>го запуска с приводом от двигателя М-11. Управление ав</w:t>
      </w:r>
      <w:r w:rsidRPr="00E93F40">
        <w:rPr>
          <w:rFonts w:ascii="Times New Roman" w:hAnsi="Times New Roman"/>
          <w:color w:val="000000" w:themeColor="text1"/>
          <w:sz w:val="16"/>
          <w:szCs w:val="16"/>
        </w:rPr>
        <w:softHyphen/>
        <w:t>тожиром осуществлялось при помощи рулей хвостового оперения и элеронов. Для повышения чувствительности на малых скоростях полета специальным штурвалом менялось передаточное число в системе управления.</w:t>
      </w:r>
    </w:p>
    <w:p w14:paraId="2DDF9219"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создании А-6 учитывались удобства его эксплуата</w:t>
      </w:r>
      <w:r w:rsidRPr="00E93F40">
        <w:rPr>
          <w:rFonts w:ascii="Times New Roman" w:hAnsi="Times New Roman"/>
          <w:color w:val="000000" w:themeColor="text1"/>
          <w:sz w:val="16"/>
          <w:szCs w:val="16"/>
        </w:rPr>
        <w:softHyphen/>
        <w:t>ции и возможность практического использования. На нем впервые применили трехлопастный ротор со свободнонесущими лопастями. Для возможности транспортировки и более компактного хранения в ангаре лопасти ротора и отъемные части крыла складывались. Лопасти в сложен</w:t>
      </w:r>
      <w:r w:rsidRPr="00E93F40">
        <w:rPr>
          <w:rFonts w:ascii="Times New Roman" w:hAnsi="Times New Roman"/>
          <w:color w:val="000000" w:themeColor="text1"/>
          <w:sz w:val="16"/>
          <w:szCs w:val="16"/>
        </w:rPr>
        <w:softHyphen/>
        <w:t>ном виде закреплялись при помощи специальной рамы на фюзеляже, крыло фиксировалось своими законцовками над кабаном ротора (20361).</w:t>
      </w:r>
    </w:p>
    <w:p w14:paraId="74F49907" w14:textId="77777777" w:rsidR="001A1FB6" w:rsidRPr="00E93F40" w:rsidRDefault="001A1FB6" w:rsidP="00E93F40">
      <w:pPr>
        <w:spacing w:after="0" w:line="240" w:lineRule="auto"/>
        <w:jc w:val="both"/>
        <w:rPr>
          <w:rFonts w:ascii="Times New Roman" w:hAnsi="Times New Roman"/>
          <w:color w:val="000000" w:themeColor="text1"/>
          <w:sz w:val="16"/>
          <w:szCs w:val="16"/>
        </w:rPr>
      </w:pPr>
    </w:p>
    <w:p w14:paraId="669F9A7A" w14:textId="77777777" w:rsidR="001A1FB6" w:rsidRPr="00E93F40" w:rsidRDefault="001A1FB6"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В начале 1932 года в МАИ создана конструкторская группа для помощи ЦАГИ по оформлению рабочих чертежей и разработке технологической документации первого серийного отечественного автожира ЦАГИ А-4. В работе этой группы под руководством Кирилла Александровича Виганда, Аркадия Львовича Гиммельфарба, Николая Федоровича Чехонина и И.И.Оловянникова в порядке прохождения производственной практики участвовало около пятидесяти студентов самолётостроительного факультета. В актив группы входили студенты М.Антонов, П.Кирилин, В.Карпов, Ф.Курочкин, Б.Чирков.</w:t>
      </w:r>
    </w:p>
    <w:p w14:paraId="13F61AC2" w14:textId="77777777" w:rsidR="001A1FB6" w:rsidRPr="00E93F40" w:rsidRDefault="001A1FB6"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Автожир ЦАГИ А-4 был выполнен по винтокрылой схеме. Конструкция — смешанная, с использованием стальных труб для лонжеронов крыла, фюзеляжа и моторамы. Крыло — деревянное, подкосное. Обшивка — везде полотняная. Управление двойное. Двигатель — М-26 мощностью 300 л.с. Несущий воздушный винт имел механизм раскрутки перед взлётом.</w:t>
      </w:r>
    </w:p>
    <w:p w14:paraId="636D2F2F"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 xml:space="preserve">Главный конструктор автожира ЦАГИ А-4 Николай Кириллович Скржинский — автор многих винтокрылых летательных аппаратов, созданных в ЦАГИ.В октябре на опытном заводе ЦАГИ был построен головной экземпляр. 6 ноября 1932 года С.А.Корзинщиков совершил на нём первый полёт, а 30 ноября того же года был испытан первый серийный автожир. Лётные качества нового автожира оказались весьма высокими и соответствовали расчётам.В.Б.Шавров в своей книге «История развития конструкций самолётов в СССР» упоминает: «Уверенность в машине была столь велика, что ещё до окончания опытного экземпляра была начата небольшая серия. А-4 был первым автожиром, проходившим испытания в НИИ ВВС (1933 г.) Испытания проходили удачно и в 1934 г. были выпущены серийные экземпляры. </w:t>
      </w:r>
      <w:r w:rsidRPr="00E93F40">
        <w:rPr>
          <w:rFonts w:ascii="Times New Roman" w:hAnsi="Times New Roman"/>
          <w:color w:val="000000" w:themeColor="text1"/>
          <w:sz w:val="16"/>
          <w:szCs w:val="16"/>
          <w:shd w:val="clear" w:color="auto" w:fill="FFFFFF"/>
        </w:rPr>
        <w:lastRenderedPageBreak/>
        <w:t>К сожалению, их раздали поштучно в воинские части, а так как никто ещё не был обучен полётам на автожире, то все аппараты быстро были разбиты при попытках летать на них.» (22315).</w:t>
      </w:r>
    </w:p>
    <w:p w14:paraId="6EB80C71" w14:textId="77777777" w:rsidR="001A1FB6" w:rsidRPr="00E93F40" w:rsidRDefault="001A1FB6" w:rsidP="00E93F40">
      <w:pPr>
        <w:spacing w:after="0" w:line="240" w:lineRule="auto"/>
        <w:jc w:val="both"/>
        <w:rPr>
          <w:rFonts w:ascii="Times New Roman" w:hAnsi="Times New Roman"/>
          <w:color w:val="000000" w:themeColor="text1"/>
          <w:sz w:val="16"/>
          <w:szCs w:val="16"/>
        </w:rPr>
      </w:pPr>
    </w:p>
    <w:p w14:paraId="21A7E740" w14:textId="77777777" w:rsidR="00577FF4" w:rsidRPr="00E93F40" w:rsidRDefault="00577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начала 1932 г. командование ВВС РККА начало интересоваться иностран</w:t>
      </w:r>
      <w:r w:rsidRPr="00E93F40">
        <w:rPr>
          <w:rFonts w:ascii="Times New Roman" w:hAnsi="Times New Roman"/>
          <w:color w:val="000000" w:themeColor="text1"/>
          <w:sz w:val="16"/>
          <w:szCs w:val="16"/>
        </w:rPr>
        <w:softHyphen/>
        <w:t>ными автожирами. В конечном итоге это привело к покупке в 1935 г. образца бескрылого автожира Авро С.ЗОА, испы</w:t>
      </w:r>
      <w:r w:rsidRPr="00E93F40">
        <w:rPr>
          <w:rFonts w:ascii="Times New Roman" w:hAnsi="Times New Roman"/>
          <w:color w:val="000000" w:themeColor="text1"/>
          <w:sz w:val="16"/>
          <w:szCs w:val="16"/>
        </w:rPr>
        <w:softHyphen/>
        <w:t>тывавшегося и изучавшегося в ОЭЛИД ЦАГИ и НИИ ВВС (23513).</w:t>
      </w:r>
    </w:p>
    <w:p w14:paraId="415F4B88" w14:textId="77777777" w:rsidR="00577FF4" w:rsidRPr="00E93F40" w:rsidRDefault="00577FF4" w:rsidP="00E93F40">
      <w:pPr>
        <w:spacing w:after="0" w:line="240" w:lineRule="auto"/>
        <w:jc w:val="both"/>
        <w:rPr>
          <w:rFonts w:ascii="Times New Roman" w:hAnsi="Times New Roman"/>
          <w:color w:val="000000" w:themeColor="text1"/>
          <w:sz w:val="16"/>
          <w:szCs w:val="16"/>
        </w:rPr>
      </w:pPr>
    </w:p>
    <w:p w14:paraId="2B80A7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в МАИ была создана конструкторская группа в помощь ЦАГИ для оформления рабочих чертежей и разработки технологической документации автожира ЦАГИ А-4 (1040,15).</w:t>
      </w:r>
    </w:p>
    <w:p w14:paraId="01A012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F5F2D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нам было предписано самым срочным образом перепроектировать автожир 2-ЭА под советский мотор М-26 – 300 л.с., внеся туда минимальное количество изменений и нововведений с тем, чтобы не ожидая постройки и испытания опытного образца передать чертежи на Киевский завод № 43 для постройки небольшой серии для нужд ВВС и гражданской авиации. Согласно этих указаний машина была перепроектирована и чертежи для серии этих машин А-4 были переданы на Киевский завод № 43 в мае 1932 года. Одновременно были переданы чертежи на завод ЦАГИ для постройки опытного образца.</w:t>
      </w:r>
    </w:p>
    <w:p w14:paraId="1A72D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 (3849,13).</w:t>
      </w:r>
    </w:p>
    <w:p w14:paraId="41CD40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247E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В.К.Грибовский начал разработку шестиместного транспортного планера Г-11 - моноплана с двумя кабинами. Постройка на заводе Осоавиахима затянулась и, хотя к середине 1933 были изготовлены все детали и началась сборка, работу прервали (94,31).</w:t>
      </w:r>
    </w:p>
    <w:p w14:paraId="65253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6311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2 оставшихся Фарман Голиаф 62 (ФГ-62) числились как неисправные и законсервированные на складе N 8 в Ленинграде, однако, один летал вплоть до ноября 1933 (3200,19).</w:t>
      </w:r>
    </w:p>
    <w:p w14:paraId="539DE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C963CA" w14:textId="17A979EB"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начале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первый БИЧ-11 был готов. Он отличался от БИЧ-8 увеличенным размахом крыла и раздельными рулями высоты и элеронами вместо элевонов. Конструкция — деревянная, обшивка крыла частично из фанеры, частично из полотна (17489).</w:t>
      </w:r>
    </w:p>
    <w:p w14:paraId="28062C7A" w14:textId="77777777"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p>
    <w:p w14:paraId="4FFDFD71" w14:textId="77777777" w:rsidR="00577FF4" w:rsidRPr="00E93F40" w:rsidRDefault="00577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первый планер БИЧ-11 был готов. С двигателем дела обстояли намного хуже. Стендовые испытания выявили ненадежность ОР-2: из-за неустойчивости горения топливной смеси и прогаров деталей конструкции двигатель мог работать максимум 9 секунд. Начались бесконечные доработки (24253).</w:t>
      </w:r>
    </w:p>
    <w:p w14:paraId="5DF0A839" w14:textId="77777777" w:rsidR="00577FF4" w:rsidRPr="00E93F40" w:rsidRDefault="00577FF4" w:rsidP="00E93F40">
      <w:pPr>
        <w:spacing w:after="0" w:line="240" w:lineRule="auto"/>
        <w:jc w:val="both"/>
        <w:rPr>
          <w:rFonts w:ascii="Times New Roman" w:hAnsi="Times New Roman"/>
          <w:color w:val="000000" w:themeColor="text1"/>
          <w:sz w:val="16"/>
          <w:szCs w:val="16"/>
        </w:rPr>
      </w:pPr>
    </w:p>
    <w:p w14:paraId="0FE513F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был подготовлен Отчет о выполнении плана работ 2 отдела НИИ ВВС за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DA227A" w:rsidRPr="00E93F40" w14:paraId="2C773ED4" w14:textId="77777777">
        <w:tc>
          <w:tcPr>
            <w:tcW w:w="4428" w:type="dxa"/>
          </w:tcPr>
          <w:p w14:paraId="623BEE2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 по плану 1931 года</w:t>
            </w:r>
          </w:p>
        </w:tc>
        <w:tc>
          <w:tcPr>
            <w:tcW w:w="6028" w:type="dxa"/>
          </w:tcPr>
          <w:p w14:paraId="302C3EF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Краткое содержание результатов выполненных работ</w:t>
            </w:r>
          </w:p>
        </w:tc>
      </w:tr>
    </w:tbl>
    <w:p w14:paraId="75B202F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Наблюдение за проектированием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DA227A" w:rsidRPr="00E93F40" w14:paraId="213C2FF8" w14:textId="77777777">
        <w:tc>
          <w:tcPr>
            <w:tcW w:w="4428" w:type="dxa"/>
          </w:tcPr>
          <w:p w14:paraId="492971A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МБР2-М34</w:t>
            </w:r>
          </w:p>
        </w:tc>
        <w:tc>
          <w:tcPr>
            <w:tcW w:w="6028" w:type="dxa"/>
          </w:tcPr>
          <w:p w14:paraId="55FB356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постройке на заводе № 39. Построен на 75%.</w:t>
            </w:r>
          </w:p>
        </w:tc>
      </w:tr>
      <w:tr w:rsidR="00DA227A" w:rsidRPr="00E93F40" w14:paraId="4E8FFA8E" w14:textId="77777777">
        <w:tc>
          <w:tcPr>
            <w:tcW w:w="4428" w:type="dxa"/>
          </w:tcPr>
          <w:p w14:paraId="1D09137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МБР3</w:t>
            </w:r>
          </w:p>
        </w:tc>
        <w:tc>
          <w:tcPr>
            <w:tcW w:w="6028" w:type="dxa"/>
          </w:tcPr>
          <w:p w14:paraId="003D667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048BFCF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опытных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DA227A" w:rsidRPr="00E93F40" w14:paraId="5998597D" w14:textId="77777777">
        <w:tc>
          <w:tcPr>
            <w:tcW w:w="4428" w:type="dxa"/>
          </w:tcPr>
          <w:p w14:paraId="09738C3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МДР3-4М17</w:t>
            </w:r>
          </w:p>
        </w:tc>
        <w:tc>
          <w:tcPr>
            <w:tcW w:w="6028" w:type="dxa"/>
          </w:tcPr>
          <w:p w14:paraId="30D795B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закончена, но с опозданием на 4 месяца. Находится на заводских испытаниях.</w:t>
            </w:r>
          </w:p>
        </w:tc>
      </w:tr>
      <w:tr w:rsidR="00DA227A" w:rsidRPr="00E93F40" w14:paraId="02E4DF8C" w14:textId="77777777">
        <w:tc>
          <w:tcPr>
            <w:tcW w:w="4428" w:type="dxa"/>
          </w:tcPr>
          <w:p w14:paraId="44ADE47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М43-М11</w:t>
            </w:r>
          </w:p>
        </w:tc>
        <w:tc>
          <w:tcPr>
            <w:tcW w:w="6028" w:type="dxa"/>
          </w:tcPr>
          <w:p w14:paraId="5E2314E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закончена с опозданием на 5,5 месяцев.</w:t>
            </w:r>
          </w:p>
        </w:tc>
      </w:tr>
      <w:tr w:rsidR="00DA227A" w:rsidRPr="00E93F40" w14:paraId="5B22C976" w14:textId="77777777">
        <w:tc>
          <w:tcPr>
            <w:tcW w:w="4428" w:type="dxa"/>
          </w:tcPr>
          <w:p w14:paraId="2160AF3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МДР2-2БМВVI (доводка)</w:t>
            </w:r>
          </w:p>
        </w:tc>
        <w:tc>
          <w:tcPr>
            <w:tcW w:w="6028" w:type="dxa"/>
          </w:tcPr>
          <w:p w14:paraId="152F858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в постройке должен был быть закончен в 1930 году, но частично доводился в 1931 году, по конструктивным дефектам испытывался дважды. Готовность 5%.</w:t>
            </w:r>
          </w:p>
        </w:tc>
      </w:tr>
      <w:tr w:rsidR="00DA227A" w:rsidRPr="00E93F40" w14:paraId="2DE4267E" w14:textId="77777777">
        <w:tc>
          <w:tcPr>
            <w:tcW w:w="4428" w:type="dxa"/>
          </w:tcPr>
          <w:p w14:paraId="609794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Р5-а-М17</w:t>
            </w:r>
          </w:p>
        </w:tc>
        <w:tc>
          <w:tcPr>
            <w:tcW w:w="6028" w:type="dxa"/>
          </w:tcPr>
          <w:p w14:paraId="32381E0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в стройке с опозданием.</w:t>
            </w:r>
          </w:p>
        </w:tc>
      </w:tr>
      <w:tr w:rsidR="00DA227A" w:rsidRPr="00E93F40" w14:paraId="021A2898" w14:textId="77777777">
        <w:tc>
          <w:tcPr>
            <w:tcW w:w="4428" w:type="dxa"/>
          </w:tcPr>
          <w:p w14:paraId="24A57B9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А1-М11 (военный тип)</w:t>
            </w:r>
          </w:p>
        </w:tc>
        <w:tc>
          <w:tcPr>
            <w:tcW w:w="6028" w:type="dxa"/>
          </w:tcPr>
          <w:p w14:paraId="7B8395E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Т.к. идет вне плана, то в постройке задержалась.</w:t>
            </w:r>
          </w:p>
        </w:tc>
      </w:tr>
      <w:tr w:rsidR="00DA227A" w:rsidRPr="00E93F40" w14:paraId="3B3BB2A2" w14:textId="77777777">
        <w:tc>
          <w:tcPr>
            <w:tcW w:w="4428" w:type="dxa"/>
          </w:tcPr>
          <w:p w14:paraId="4093FD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ТБ1а-2М17</w:t>
            </w:r>
          </w:p>
        </w:tc>
        <w:tc>
          <w:tcPr>
            <w:tcW w:w="6028" w:type="dxa"/>
          </w:tcPr>
          <w:p w14:paraId="0880409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3A4CA02E" w14:textId="77777777">
        <w:tc>
          <w:tcPr>
            <w:tcW w:w="4428" w:type="dxa"/>
          </w:tcPr>
          <w:p w14:paraId="7C40C46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МТБ1-2БМВVI</w:t>
            </w:r>
          </w:p>
        </w:tc>
        <w:tc>
          <w:tcPr>
            <w:tcW w:w="6028" w:type="dxa"/>
          </w:tcPr>
          <w:p w14:paraId="5BBB44D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сих пор самолет не доведен до конца. Самолет не представляет интереса для ВВС и на типовые испытания не поступит.</w:t>
            </w:r>
          </w:p>
        </w:tc>
      </w:tr>
      <w:tr w:rsidR="00DA227A" w:rsidRPr="00E93F40" w14:paraId="748A4321" w14:textId="77777777">
        <w:tc>
          <w:tcPr>
            <w:tcW w:w="4428" w:type="dxa"/>
          </w:tcPr>
          <w:p w14:paraId="28A9E7C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МБР2-М34</w:t>
            </w:r>
          </w:p>
        </w:tc>
        <w:tc>
          <w:tcPr>
            <w:tcW w:w="6028" w:type="dxa"/>
          </w:tcPr>
          <w:p w14:paraId="192D28F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постройке на заводе № 39. Построен на 75%.</w:t>
            </w:r>
          </w:p>
        </w:tc>
      </w:tr>
    </w:tbl>
    <w:p w14:paraId="773E454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опытных экземпляров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DA227A" w:rsidRPr="00E93F40" w14:paraId="35BEF0C7" w14:textId="77777777">
        <w:tc>
          <w:tcPr>
            <w:tcW w:w="4428" w:type="dxa"/>
          </w:tcPr>
          <w:p w14:paraId="2AF5354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МДР2-2БМВVI</w:t>
            </w:r>
          </w:p>
        </w:tc>
        <w:tc>
          <w:tcPr>
            <w:tcW w:w="6028" w:type="dxa"/>
          </w:tcPr>
          <w:p w14:paraId="1C098EF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Прошел полные типовые испытания, за исключением определения предела мореходности. Испытывался из-за конструктивных дефектов 2 раза. В серию не принят.</w:t>
            </w:r>
          </w:p>
        </w:tc>
      </w:tr>
      <w:tr w:rsidR="00DA227A" w:rsidRPr="00E93F40" w14:paraId="4DA51046" w14:textId="77777777">
        <w:tc>
          <w:tcPr>
            <w:tcW w:w="4428" w:type="dxa"/>
          </w:tcPr>
          <w:p w14:paraId="7927C19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ТБ1а-2М17</w:t>
            </w:r>
          </w:p>
        </w:tc>
        <w:tc>
          <w:tcPr>
            <w:tcW w:w="6028" w:type="dxa"/>
          </w:tcPr>
          <w:p w14:paraId="053B43C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Прошел полные типовые испытания, за исключением определения предела мореходности. Поплавки и шасси приняты в серийную постройку.</w:t>
            </w:r>
          </w:p>
        </w:tc>
      </w:tr>
      <w:tr w:rsidR="00DA227A" w:rsidRPr="00E93F40" w14:paraId="709F3399" w14:textId="77777777">
        <w:tc>
          <w:tcPr>
            <w:tcW w:w="4428" w:type="dxa"/>
          </w:tcPr>
          <w:p w14:paraId="506E307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М43-М11 </w:t>
            </w:r>
          </w:p>
        </w:tc>
        <w:tc>
          <w:tcPr>
            <w:tcW w:w="6028" w:type="dxa"/>
          </w:tcPr>
          <w:p w14:paraId="2E46E3D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Проведены неполные испытания. В серию не принят – перетяжелен. Задняя центровка не делает фигуры.</w:t>
            </w:r>
          </w:p>
        </w:tc>
      </w:tr>
      <w:tr w:rsidR="00DA227A" w:rsidRPr="00E93F40" w14:paraId="3738013F" w14:textId="77777777">
        <w:tc>
          <w:tcPr>
            <w:tcW w:w="4428" w:type="dxa"/>
          </w:tcPr>
          <w:p w14:paraId="268B70E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М42-М11 (до испытаний на мореходность)</w:t>
            </w:r>
          </w:p>
        </w:tc>
        <w:tc>
          <w:tcPr>
            <w:tcW w:w="6028" w:type="dxa"/>
          </w:tcPr>
          <w:p w14:paraId="4E769B7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Полностью проведены испытания с поплавком первого варианта. Самолет для эксплуатации передан школе летчиков в Ейск. Принят к постройке серии с первым вариантом поплавка.</w:t>
            </w:r>
          </w:p>
        </w:tc>
      </w:tr>
      <w:tr w:rsidR="00DA227A" w:rsidRPr="00E93F40" w14:paraId="31B3EF52" w14:textId="77777777">
        <w:tc>
          <w:tcPr>
            <w:tcW w:w="4428" w:type="dxa"/>
          </w:tcPr>
          <w:p w14:paraId="7A94AAD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А1-М11 (гражданский тип)</w:t>
            </w:r>
          </w:p>
        </w:tc>
        <w:tc>
          <w:tcPr>
            <w:tcW w:w="6028" w:type="dxa"/>
          </w:tcPr>
          <w:p w14:paraId="346C16D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 НИИ ВОГВФ. Заказана серия для УВВС в 10 штук. Второй экземпляр для УВВС будет испытан НИИ ВВС в 1931 году.</w:t>
            </w:r>
          </w:p>
        </w:tc>
      </w:tr>
      <w:tr w:rsidR="00DA227A" w:rsidRPr="00E93F40" w14:paraId="1F5ACE46" w14:textId="77777777">
        <w:tc>
          <w:tcPr>
            <w:tcW w:w="4428" w:type="dxa"/>
          </w:tcPr>
          <w:p w14:paraId="5EF0FAB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МДР3-4М17</w:t>
            </w:r>
          </w:p>
        </w:tc>
        <w:tc>
          <w:tcPr>
            <w:tcW w:w="6028" w:type="dxa"/>
          </w:tcPr>
          <w:p w14:paraId="5DD0690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Из-за задержки в производстве завода № 39 и отказа от установки ЮП VI (тандем) на испытания в 1931 году не был предъявлен.</w:t>
            </w:r>
          </w:p>
        </w:tc>
      </w:tr>
      <w:tr w:rsidR="00DA227A" w:rsidRPr="00E93F40" w14:paraId="47F4E40F" w14:textId="77777777">
        <w:tc>
          <w:tcPr>
            <w:tcW w:w="4428" w:type="dxa"/>
          </w:tcPr>
          <w:p w14:paraId="79A80FE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МБР2-М34</w:t>
            </w:r>
          </w:p>
        </w:tc>
        <w:tc>
          <w:tcPr>
            <w:tcW w:w="6028" w:type="dxa"/>
          </w:tcPr>
          <w:p w14:paraId="3F76B46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Задержался в производстве завода № 39 из-за реорганизации в ЦКБ 39 и ВАО ЦАГИ и на испытание не был предъявлен.</w:t>
            </w:r>
          </w:p>
        </w:tc>
      </w:tr>
      <w:tr w:rsidR="00DA227A" w:rsidRPr="00E93F40" w14:paraId="7334B6F6" w14:textId="77777777">
        <w:tc>
          <w:tcPr>
            <w:tcW w:w="4428" w:type="dxa"/>
          </w:tcPr>
          <w:p w14:paraId="18DDF63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Р5а-М17</w:t>
            </w:r>
          </w:p>
        </w:tc>
        <w:tc>
          <w:tcPr>
            <w:tcW w:w="6028" w:type="dxa"/>
          </w:tcPr>
          <w:p w14:paraId="163B122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самолет окончен в производстве, находится на заводских испытаниях в Севастополе. В 1932 году поступит на гос. испытания.</w:t>
            </w:r>
          </w:p>
        </w:tc>
      </w:tr>
      <w:tr w:rsidR="00DA227A" w:rsidRPr="00E93F40" w14:paraId="16EAF441" w14:textId="77777777">
        <w:tc>
          <w:tcPr>
            <w:tcW w:w="4428" w:type="dxa"/>
          </w:tcPr>
          <w:p w14:paraId="485BF62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МТБ1-2БМВVI</w:t>
            </w:r>
          </w:p>
        </w:tc>
        <w:tc>
          <w:tcPr>
            <w:tcW w:w="6028" w:type="dxa"/>
          </w:tcPr>
          <w:p w14:paraId="0AFFEB1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в течение всего 1931 года не доведен до состояния готовности к гос. испытаниям МОС ВАО.</w:t>
            </w:r>
          </w:p>
        </w:tc>
      </w:tr>
    </w:tbl>
    <w:p w14:paraId="4EA910B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Эксплуатационные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DA227A" w:rsidRPr="00E93F40" w14:paraId="2E9F714A" w14:textId="77777777">
        <w:tc>
          <w:tcPr>
            <w:tcW w:w="4428" w:type="dxa"/>
          </w:tcPr>
          <w:p w14:paraId="46F42C8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МДР3-4М17</w:t>
            </w:r>
          </w:p>
        </w:tc>
        <w:tc>
          <w:tcPr>
            <w:tcW w:w="6028" w:type="dxa"/>
          </w:tcPr>
          <w:p w14:paraId="205D194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Из-за задержки в производстве завода № 39 и отказа от установки ЮП VI (тандем) на испытания в 1931 году не был предъявлен.</w:t>
            </w:r>
          </w:p>
        </w:tc>
      </w:tr>
      <w:tr w:rsidR="00DA227A" w:rsidRPr="00E93F40" w14:paraId="21B83E89" w14:textId="77777777">
        <w:tc>
          <w:tcPr>
            <w:tcW w:w="4428" w:type="dxa"/>
          </w:tcPr>
          <w:p w14:paraId="35C9FC1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М43-М11</w:t>
            </w:r>
          </w:p>
        </w:tc>
        <w:tc>
          <w:tcPr>
            <w:tcW w:w="6028" w:type="dxa"/>
          </w:tcPr>
          <w:p w14:paraId="20D836B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непринятия типа в серию от эксплуатационных испытаний отказались.</w:t>
            </w:r>
          </w:p>
        </w:tc>
      </w:tr>
      <w:tr w:rsidR="00DA227A" w:rsidRPr="00E93F40" w14:paraId="33A3F555" w14:textId="77777777">
        <w:tc>
          <w:tcPr>
            <w:tcW w:w="4428" w:type="dxa"/>
          </w:tcPr>
          <w:p w14:paraId="3443D3C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МБР2-М34</w:t>
            </w:r>
          </w:p>
        </w:tc>
        <w:tc>
          <w:tcPr>
            <w:tcW w:w="6028" w:type="dxa"/>
          </w:tcPr>
          <w:p w14:paraId="291F5F9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Задержался в производстве завода № 39 из-за реорганизации в ЦКБ 39 и ВАО ЦАГИ и на испытание не был предъявлен.</w:t>
            </w:r>
          </w:p>
        </w:tc>
      </w:tr>
      <w:tr w:rsidR="00DA227A" w:rsidRPr="00E93F40" w14:paraId="347CAE39" w14:textId="77777777">
        <w:tc>
          <w:tcPr>
            <w:tcW w:w="4428" w:type="dxa"/>
          </w:tcPr>
          <w:p w14:paraId="34079BE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С62б-АССО 750</w:t>
            </w:r>
          </w:p>
        </w:tc>
        <w:tc>
          <w:tcPr>
            <w:tcW w:w="6028" w:type="dxa"/>
          </w:tcPr>
          <w:p w14:paraId="22F5384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позднего получения машин из-за границы испытания перенесены на 1932 год.</w:t>
            </w:r>
          </w:p>
        </w:tc>
      </w:tr>
      <w:tr w:rsidR="00DA227A" w:rsidRPr="00E93F40" w14:paraId="493D2D1C" w14:textId="77777777">
        <w:tc>
          <w:tcPr>
            <w:tcW w:w="4428" w:type="dxa"/>
          </w:tcPr>
          <w:p w14:paraId="2E347D8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Р5А-М17</w:t>
            </w:r>
          </w:p>
        </w:tc>
        <w:tc>
          <w:tcPr>
            <w:tcW w:w="6028" w:type="dxa"/>
          </w:tcPr>
          <w:p w14:paraId="2EC1509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самолет окончен в производстве, находится на заводских испытаниях в Севастополе. В 1932 году поступит на гос. испытания.</w:t>
            </w:r>
          </w:p>
        </w:tc>
      </w:tr>
      <w:tr w:rsidR="00DA227A" w:rsidRPr="00E93F40" w14:paraId="6A1EB3D2" w14:textId="77777777">
        <w:tc>
          <w:tcPr>
            <w:tcW w:w="4428" w:type="dxa"/>
          </w:tcPr>
          <w:p w14:paraId="4AF861D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М42-М11</w:t>
            </w:r>
          </w:p>
        </w:tc>
        <w:tc>
          <w:tcPr>
            <w:tcW w:w="6028" w:type="dxa"/>
          </w:tcPr>
          <w:p w14:paraId="35CF3B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Эксплуатационные испытания переданы в школу мореплавателей. Самолет задержан в ремонте на заводе № 45 на 4-5 месяцев.</w:t>
            </w:r>
          </w:p>
        </w:tc>
      </w:tr>
    </w:tbl>
    <w:p w14:paraId="36E5642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Наблюдение за постройкой серий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DA227A" w:rsidRPr="00E93F40" w14:paraId="7D4ECF0C" w14:textId="77777777">
        <w:tc>
          <w:tcPr>
            <w:tcW w:w="4428" w:type="dxa"/>
          </w:tcPr>
          <w:p w14:paraId="193FA5A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С62б-АССО 750</w:t>
            </w:r>
          </w:p>
        </w:tc>
        <w:tc>
          <w:tcPr>
            <w:tcW w:w="6028" w:type="dxa"/>
          </w:tcPr>
          <w:p w14:paraId="39C2B2B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серии задержалось из-за неподготовленности завода № 31 к переходу на новый тип самолета.</w:t>
            </w:r>
          </w:p>
        </w:tc>
      </w:tr>
      <w:tr w:rsidR="00DA227A" w:rsidRPr="00E93F40" w14:paraId="27B8A2EB" w14:textId="77777777">
        <w:tc>
          <w:tcPr>
            <w:tcW w:w="4428" w:type="dxa"/>
          </w:tcPr>
          <w:p w14:paraId="536A04E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Р5а-М17</w:t>
            </w:r>
          </w:p>
        </w:tc>
        <w:tc>
          <w:tcPr>
            <w:tcW w:w="6028" w:type="dxa"/>
          </w:tcPr>
          <w:p w14:paraId="254A1FF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не испытан опытный экземпляр, не передан опытному заводу эталон.</w:t>
            </w:r>
          </w:p>
        </w:tc>
      </w:tr>
      <w:tr w:rsidR="00DA227A" w:rsidRPr="00E93F40" w14:paraId="53A98A69" w14:textId="77777777">
        <w:tc>
          <w:tcPr>
            <w:tcW w:w="4428" w:type="dxa"/>
          </w:tcPr>
          <w:p w14:paraId="714ECB9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ТД1А-2М17</w:t>
            </w:r>
          </w:p>
        </w:tc>
        <w:tc>
          <w:tcPr>
            <w:tcW w:w="6028" w:type="dxa"/>
          </w:tcPr>
          <w:p w14:paraId="76E53ED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поплавков задержалась на заводе № 31.</w:t>
            </w:r>
          </w:p>
        </w:tc>
      </w:tr>
      <w:tr w:rsidR="00DA227A" w:rsidRPr="00E93F40" w14:paraId="628F7D5E" w14:textId="77777777">
        <w:tc>
          <w:tcPr>
            <w:tcW w:w="4428" w:type="dxa"/>
          </w:tcPr>
          <w:p w14:paraId="2A2FCE2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М43-М11</w:t>
            </w:r>
          </w:p>
        </w:tc>
        <w:tc>
          <w:tcPr>
            <w:tcW w:w="6028" w:type="dxa"/>
          </w:tcPr>
          <w:p w14:paraId="0704E9F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серию не идет.</w:t>
            </w:r>
          </w:p>
        </w:tc>
      </w:tr>
      <w:tr w:rsidR="00DA227A" w:rsidRPr="00E93F40" w14:paraId="362BB59C" w14:textId="77777777">
        <w:tc>
          <w:tcPr>
            <w:tcW w:w="4428" w:type="dxa"/>
          </w:tcPr>
          <w:p w14:paraId="35C96F8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М42-М11</w:t>
            </w:r>
          </w:p>
        </w:tc>
        <w:tc>
          <w:tcPr>
            <w:tcW w:w="6028" w:type="dxa"/>
          </w:tcPr>
          <w:p w14:paraId="0BC8ECA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серии перенесена на 1932 год.</w:t>
            </w:r>
          </w:p>
        </w:tc>
      </w:tr>
    </w:tbl>
    <w:p w14:paraId="45E2ED9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готовых серий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DA227A" w:rsidRPr="00E93F40" w14:paraId="13A13772" w14:textId="77777777">
        <w:tc>
          <w:tcPr>
            <w:tcW w:w="4428" w:type="dxa"/>
          </w:tcPr>
          <w:p w14:paraId="2DC0FA5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 ТБ1А, Р5А, М43, М42</w:t>
            </w:r>
          </w:p>
        </w:tc>
        <w:tc>
          <w:tcPr>
            <w:tcW w:w="6028" w:type="dxa"/>
          </w:tcPr>
          <w:p w14:paraId="5F4FCE1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Переносятся на 1932 год ввиду отставания промышленности.</w:t>
            </w:r>
          </w:p>
        </w:tc>
      </w:tr>
    </w:tbl>
    <w:p w14:paraId="2AD8DF0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(6955, 325).</w:t>
      </w:r>
    </w:p>
    <w:p w14:paraId="5CF064A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36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была подготовлена Ведомость выполнения планов заказа авиапромышленностью специального имущества ВВС за весь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DA227A" w:rsidRPr="00E93F40" w14:paraId="71527217" w14:textId="77777777">
        <w:tc>
          <w:tcPr>
            <w:tcW w:w="1409" w:type="dxa"/>
          </w:tcPr>
          <w:p w14:paraId="54489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c>
          <w:tcPr>
            <w:tcW w:w="1409" w:type="dxa"/>
          </w:tcPr>
          <w:p w14:paraId="000D8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Кол-во</w:t>
            </w:r>
          </w:p>
        </w:tc>
        <w:tc>
          <w:tcPr>
            <w:tcW w:w="1409" w:type="dxa"/>
          </w:tcPr>
          <w:p w14:paraId="21775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выполнения</w:t>
            </w:r>
          </w:p>
        </w:tc>
        <w:tc>
          <w:tcPr>
            <w:tcW w:w="1409" w:type="dxa"/>
          </w:tcPr>
          <w:p w14:paraId="7AF32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C562E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выполнения</w:t>
            </w:r>
          </w:p>
        </w:tc>
      </w:tr>
      <w:tr w:rsidR="00DA227A" w:rsidRPr="00E93F40" w14:paraId="2570584E" w14:textId="77777777">
        <w:tc>
          <w:tcPr>
            <w:tcW w:w="1409" w:type="dxa"/>
          </w:tcPr>
          <w:p w14:paraId="02EFC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3B9F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w:t>
            </w:r>
          </w:p>
        </w:tc>
        <w:tc>
          <w:tcPr>
            <w:tcW w:w="1409" w:type="dxa"/>
          </w:tcPr>
          <w:p w14:paraId="4F512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плана заказов за 31 г.</w:t>
            </w:r>
          </w:p>
        </w:tc>
        <w:tc>
          <w:tcPr>
            <w:tcW w:w="1409" w:type="dxa"/>
          </w:tcPr>
          <w:p w14:paraId="77A0E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2403C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годового</w:t>
            </w:r>
          </w:p>
        </w:tc>
      </w:tr>
      <w:tr w:rsidR="00DA227A" w:rsidRPr="00E93F40" w14:paraId="77C7E29A" w14:textId="77777777">
        <w:tc>
          <w:tcPr>
            <w:tcW w:w="1409" w:type="dxa"/>
          </w:tcPr>
          <w:p w14:paraId="61F86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20EF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заказа</w:t>
            </w:r>
          </w:p>
        </w:tc>
        <w:tc>
          <w:tcPr>
            <w:tcW w:w="1409" w:type="dxa"/>
          </w:tcPr>
          <w:p w14:paraId="629C9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w:t>
            </w:r>
          </w:p>
        </w:tc>
        <w:tc>
          <w:tcPr>
            <w:tcW w:w="1409" w:type="dxa"/>
          </w:tcPr>
          <w:p w14:paraId="2D6DA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Недодел</w:t>
            </w:r>
          </w:p>
        </w:tc>
        <w:tc>
          <w:tcPr>
            <w:tcW w:w="1409" w:type="dxa"/>
          </w:tcPr>
          <w:p w14:paraId="63A97A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плана</w:t>
            </w:r>
          </w:p>
        </w:tc>
      </w:tr>
      <w:tr w:rsidR="00DA227A" w:rsidRPr="00E93F40" w14:paraId="74E43CA4" w14:textId="77777777">
        <w:tc>
          <w:tcPr>
            <w:tcW w:w="1409" w:type="dxa"/>
          </w:tcPr>
          <w:p w14:paraId="4A4D1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B6696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1931 г.</w:t>
            </w:r>
          </w:p>
        </w:tc>
        <w:tc>
          <w:tcPr>
            <w:tcW w:w="1409" w:type="dxa"/>
          </w:tcPr>
          <w:p w14:paraId="79B33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год</w:t>
            </w:r>
          </w:p>
        </w:tc>
        <w:tc>
          <w:tcPr>
            <w:tcW w:w="1409" w:type="dxa"/>
          </w:tcPr>
          <w:p w14:paraId="6BF66E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7F674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E46C3D" w14:textId="77777777">
        <w:tc>
          <w:tcPr>
            <w:tcW w:w="1409" w:type="dxa"/>
          </w:tcPr>
          <w:p w14:paraId="72F75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1409" w:type="dxa"/>
          </w:tcPr>
          <w:p w14:paraId="15538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409" w:type="dxa"/>
          </w:tcPr>
          <w:p w14:paraId="3FBA9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1409" w:type="dxa"/>
          </w:tcPr>
          <w:p w14:paraId="733F9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197</w:t>
            </w:r>
          </w:p>
        </w:tc>
        <w:tc>
          <w:tcPr>
            <w:tcW w:w="1409" w:type="dxa"/>
          </w:tcPr>
          <w:p w14:paraId="6A8A9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w:t>
            </w:r>
          </w:p>
        </w:tc>
      </w:tr>
      <w:tr w:rsidR="00DA227A" w:rsidRPr="00E93F40" w14:paraId="55DC561D" w14:textId="77777777">
        <w:tc>
          <w:tcPr>
            <w:tcW w:w="1409" w:type="dxa"/>
          </w:tcPr>
          <w:p w14:paraId="36194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w:t>
            </w:r>
          </w:p>
        </w:tc>
        <w:tc>
          <w:tcPr>
            <w:tcW w:w="1409" w:type="dxa"/>
          </w:tcPr>
          <w:p w14:paraId="02C42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1409" w:type="dxa"/>
          </w:tcPr>
          <w:p w14:paraId="3B0AA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228D9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1409" w:type="dxa"/>
          </w:tcPr>
          <w:p w14:paraId="2BF44A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1E6B11E8" w14:textId="77777777">
        <w:tc>
          <w:tcPr>
            <w:tcW w:w="1409" w:type="dxa"/>
          </w:tcPr>
          <w:p w14:paraId="00E08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И4</w:t>
            </w:r>
          </w:p>
        </w:tc>
        <w:tc>
          <w:tcPr>
            <w:tcW w:w="1409" w:type="dxa"/>
          </w:tcPr>
          <w:p w14:paraId="4103F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1409" w:type="dxa"/>
          </w:tcPr>
          <w:p w14:paraId="5081CF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1409" w:type="dxa"/>
          </w:tcPr>
          <w:p w14:paraId="1F0B1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085776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5C952042" w14:textId="77777777">
        <w:tc>
          <w:tcPr>
            <w:tcW w:w="1409" w:type="dxa"/>
          </w:tcPr>
          <w:p w14:paraId="0C9AA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И3</w:t>
            </w:r>
          </w:p>
        </w:tc>
        <w:tc>
          <w:tcPr>
            <w:tcW w:w="1409" w:type="dxa"/>
          </w:tcPr>
          <w:p w14:paraId="239B5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tc>
        <w:tc>
          <w:tcPr>
            <w:tcW w:w="1409" w:type="dxa"/>
          </w:tcPr>
          <w:p w14:paraId="19B43D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tc>
        <w:tc>
          <w:tcPr>
            <w:tcW w:w="1409" w:type="dxa"/>
          </w:tcPr>
          <w:p w14:paraId="32B9D1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1DB8F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74557C1F" w14:textId="77777777">
        <w:tc>
          <w:tcPr>
            <w:tcW w:w="1409" w:type="dxa"/>
          </w:tcPr>
          <w:p w14:paraId="60037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w:t>
            </w:r>
          </w:p>
        </w:tc>
        <w:tc>
          <w:tcPr>
            <w:tcW w:w="1409" w:type="dxa"/>
          </w:tcPr>
          <w:p w14:paraId="0109D4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09" w:type="dxa"/>
          </w:tcPr>
          <w:p w14:paraId="7137C9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04476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09" w:type="dxa"/>
          </w:tcPr>
          <w:p w14:paraId="413DA0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3D8907C0" w14:textId="77777777">
        <w:tc>
          <w:tcPr>
            <w:tcW w:w="1409" w:type="dxa"/>
          </w:tcPr>
          <w:p w14:paraId="0E87A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Р1-М5</w:t>
            </w:r>
          </w:p>
        </w:tc>
        <w:tc>
          <w:tcPr>
            <w:tcW w:w="1409" w:type="dxa"/>
          </w:tcPr>
          <w:p w14:paraId="04430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302</w:t>
            </w:r>
          </w:p>
        </w:tc>
        <w:tc>
          <w:tcPr>
            <w:tcW w:w="1409" w:type="dxa"/>
          </w:tcPr>
          <w:p w14:paraId="1BC645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266</w:t>
            </w:r>
          </w:p>
        </w:tc>
        <w:tc>
          <w:tcPr>
            <w:tcW w:w="1409" w:type="dxa"/>
          </w:tcPr>
          <w:p w14:paraId="20706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tc>
        <w:tc>
          <w:tcPr>
            <w:tcW w:w="1409" w:type="dxa"/>
          </w:tcPr>
          <w:p w14:paraId="1379A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88,08</w:t>
            </w:r>
          </w:p>
        </w:tc>
      </w:tr>
      <w:tr w:rsidR="00DA227A" w:rsidRPr="00E93F40" w14:paraId="4B2A9B07" w14:textId="77777777">
        <w:tc>
          <w:tcPr>
            <w:tcW w:w="1409" w:type="dxa"/>
          </w:tcPr>
          <w:p w14:paraId="4CFB2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1409" w:type="dxa"/>
          </w:tcPr>
          <w:p w14:paraId="5B304D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675</w:t>
            </w:r>
          </w:p>
        </w:tc>
        <w:tc>
          <w:tcPr>
            <w:tcW w:w="1409" w:type="dxa"/>
          </w:tcPr>
          <w:p w14:paraId="672A9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301</w:t>
            </w:r>
          </w:p>
        </w:tc>
        <w:tc>
          <w:tcPr>
            <w:tcW w:w="1409" w:type="dxa"/>
          </w:tcPr>
          <w:p w14:paraId="67040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374</w:t>
            </w:r>
          </w:p>
        </w:tc>
        <w:tc>
          <w:tcPr>
            <w:tcW w:w="1409" w:type="dxa"/>
          </w:tcPr>
          <w:p w14:paraId="1FEFB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44,6</w:t>
            </w:r>
          </w:p>
        </w:tc>
      </w:tr>
      <w:tr w:rsidR="00DA227A" w:rsidRPr="00E93F40" w14:paraId="5869B35B" w14:textId="77777777">
        <w:tc>
          <w:tcPr>
            <w:tcW w:w="1409" w:type="dxa"/>
          </w:tcPr>
          <w:p w14:paraId="3C8A28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1409" w:type="dxa"/>
          </w:tcPr>
          <w:p w14:paraId="1B4EB7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1409" w:type="dxa"/>
          </w:tcPr>
          <w:p w14:paraId="35F0BD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1409" w:type="dxa"/>
          </w:tcPr>
          <w:p w14:paraId="6F9284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c>
          <w:tcPr>
            <w:tcW w:w="1409" w:type="dxa"/>
          </w:tcPr>
          <w:p w14:paraId="62F7D3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r w:rsidR="00DA227A" w:rsidRPr="00E93F40" w14:paraId="73AEE487" w14:textId="77777777">
        <w:tc>
          <w:tcPr>
            <w:tcW w:w="1409" w:type="dxa"/>
          </w:tcPr>
          <w:p w14:paraId="6A128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 бис</w:t>
            </w:r>
          </w:p>
        </w:tc>
        <w:tc>
          <w:tcPr>
            <w:tcW w:w="1409" w:type="dxa"/>
          </w:tcPr>
          <w:p w14:paraId="6385F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1409" w:type="dxa"/>
          </w:tcPr>
          <w:p w14:paraId="26791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0FA03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1409" w:type="dxa"/>
          </w:tcPr>
          <w:p w14:paraId="0FB026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3327ED22" w14:textId="77777777">
        <w:tc>
          <w:tcPr>
            <w:tcW w:w="1409" w:type="dxa"/>
          </w:tcPr>
          <w:p w14:paraId="17820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w:t>
            </w:r>
          </w:p>
        </w:tc>
        <w:tc>
          <w:tcPr>
            <w:tcW w:w="1409" w:type="dxa"/>
          </w:tcPr>
          <w:p w14:paraId="73141B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146</w:t>
            </w:r>
          </w:p>
        </w:tc>
        <w:tc>
          <w:tcPr>
            <w:tcW w:w="1409" w:type="dxa"/>
          </w:tcPr>
          <w:p w14:paraId="65613F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146</w:t>
            </w:r>
          </w:p>
        </w:tc>
        <w:tc>
          <w:tcPr>
            <w:tcW w:w="1409" w:type="dxa"/>
          </w:tcPr>
          <w:p w14:paraId="5EBC47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7806AD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7F2B6A63" w14:textId="77777777">
        <w:tc>
          <w:tcPr>
            <w:tcW w:w="1409" w:type="dxa"/>
          </w:tcPr>
          <w:p w14:paraId="1DC10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1409" w:type="dxa"/>
          </w:tcPr>
          <w:p w14:paraId="127261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4912D9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732CA6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12FC96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6F694B96" w14:textId="77777777">
        <w:tc>
          <w:tcPr>
            <w:tcW w:w="1409" w:type="dxa"/>
          </w:tcPr>
          <w:p w14:paraId="3F9D58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1409" w:type="dxa"/>
          </w:tcPr>
          <w:p w14:paraId="124F1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409" w:type="dxa"/>
          </w:tcPr>
          <w:p w14:paraId="7FD1E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409" w:type="dxa"/>
          </w:tcPr>
          <w:p w14:paraId="33DED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07C36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r>
      <w:tr w:rsidR="00DA227A" w:rsidRPr="00E93F40" w14:paraId="27B5282E" w14:textId="77777777">
        <w:tc>
          <w:tcPr>
            <w:tcW w:w="1409" w:type="dxa"/>
          </w:tcPr>
          <w:p w14:paraId="3585B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К-5</w:t>
            </w:r>
          </w:p>
        </w:tc>
        <w:tc>
          <w:tcPr>
            <w:tcW w:w="1409" w:type="dxa"/>
          </w:tcPr>
          <w:p w14:paraId="66E9AB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409" w:type="dxa"/>
          </w:tcPr>
          <w:p w14:paraId="2D571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01ED6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0AF9A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r>
      <w:tr w:rsidR="00DA227A" w:rsidRPr="00E93F40" w14:paraId="04B37488" w14:textId="77777777">
        <w:tc>
          <w:tcPr>
            <w:tcW w:w="1409" w:type="dxa"/>
          </w:tcPr>
          <w:p w14:paraId="6BD32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У2-М11</w:t>
            </w:r>
          </w:p>
        </w:tc>
        <w:tc>
          <w:tcPr>
            <w:tcW w:w="1409" w:type="dxa"/>
          </w:tcPr>
          <w:p w14:paraId="1FA86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365</w:t>
            </w:r>
          </w:p>
        </w:tc>
        <w:tc>
          <w:tcPr>
            <w:tcW w:w="1409" w:type="dxa"/>
          </w:tcPr>
          <w:p w14:paraId="1BA66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409" w:type="dxa"/>
          </w:tcPr>
          <w:p w14:paraId="5A097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c>
          <w:tcPr>
            <w:tcW w:w="1409" w:type="dxa"/>
          </w:tcPr>
          <w:p w14:paraId="3803CB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41,1</w:t>
            </w:r>
          </w:p>
        </w:tc>
      </w:tr>
      <w:tr w:rsidR="00DA227A" w:rsidRPr="00E93F40" w14:paraId="01DDF0A7" w14:textId="77777777">
        <w:tc>
          <w:tcPr>
            <w:tcW w:w="1409" w:type="dxa"/>
          </w:tcPr>
          <w:p w14:paraId="738A3D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У1-М2</w:t>
            </w:r>
          </w:p>
        </w:tc>
        <w:tc>
          <w:tcPr>
            <w:tcW w:w="1409" w:type="dxa"/>
          </w:tcPr>
          <w:p w14:paraId="196CF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1409" w:type="dxa"/>
          </w:tcPr>
          <w:p w14:paraId="059289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1409" w:type="dxa"/>
          </w:tcPr>
          <w:p w14:paraId="61B0B4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53125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5DE3CD85" w14:textId="77777777">
        <w:tc>
          <w:tcPr>
            <w:tcW w:w="1409" w:type="dxa"/>
          </w:tcPr>
          <w:p w14:paraId="3A65E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409" w:type="dxa"/>
          </w:tcPr>
          <w:p w14:paraId="738C5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2024</w:t>
            </w:r>
          </w:p>
        </w:tc>
        <w:tc>
          <w:tcPr>
            <w:tcW w:w="1409" w:type="dxa"/>
          </w:tcPr>
          <w:p w14:paraId="69EC44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1059</w:t>
            </w:r>
          </w:p>
        </w:tc>
        <w:tc>
          <w:tcPr>
            <w:tcW w:w="1409" w:type="dxa"/>
          </w:tcPr>
          <w:p w14:paraId="281D3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965</w:t>
            </w:r>
          </w:p>
        </w:tc>
        <w:tc>
          <w:tcPr>
            <w:tcW w:w="1409" w:type="dxa"/>
          </w:tcPr>
          <w:p w14:paraId="04842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52,2</w:t>
            </w:r>
          </w:p>
        </w:tc>
      </w:tr>
      <w:tr w:rsidR="00DA227A" w:rsidRPr="00E93F40" w14:paraId="65A8A3F4" w14:textId="77777777">
        <w:tc>
          <w:tcPr>
            <w:tcW w:w="1409" w:type="dxa"/>
          </w:tcPr>
          <w:p w14:paraId="07504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tc>
        <w:tc>
          <w:tcPr>
            <w:tcW w:w="1409" w:type="dxa"/>
          </w:tcPr>
          <w:p w14:paraId="2D9B4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AB2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7FE1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AE74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EC7BA0" w14:textId="77777777">
        <w:tc>
          <w:tcPr>
            <w:tcW w:w="1409" w:type="dxa"/>
          </w:tcPr>
          <w:p w14:paraId="11A6AF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М-15</w:t>
            </w:r>
          </w:p>
        </w:tc>
        <w:tc>
          <w:tcPr>
            <w:tcW w:w="1409" w:type="dxa"/>
          </w:tcPr>
          <w:p w14:paraId="429BC5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w:t>
            </w:r>
          </w:p>
        </w:tc>
        <w:tc>
          <w:tcPr>
            <w:tcW w:w="1409" w:type="dxa"/>
          </w:tcPr>
          <w:p w14:paraId="6CFBD7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1484D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129</w:t>
            </w:r>
          </w:p>
        </w:tc>
        <w:tc>
          <w:tcPr>
            <w:tcW w:w="1409" w:type="dxa"/>
          </w:tcPr>
          <w:p w14:paraId="46309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w:t>
            </w:r>
          </w:p>
        </w:tc>
      </w:tr>
      <w:tr w:rsidR="00DA227A" w:rsidRPr="00E93F40" w14:paraId="776D291C" w14:textId="77777777">
        <w:tc>
          <w:tcPr>
            <w:tcW w:w="1409" w:type="dxa"/>
          </w:tcPr>
          <w:p w14:paraId="1B4F8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w:t>
            </w:r>
          </w:p>
        </w:tc>
        <w:tc>
          <w:tcPr>
            <w:tcW w:w="1409" w:type="dxa"/>
          </w:tcPr>
          <w:p w14:paraId="54714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890</w:t>
            </w:r>
          </w:p>
        </w:tc>
        <w:tc>
          <w:tcPr>
            <w:tcW w:w="1409" w:type="dxa"/>
          </w:tcPr>
          <w:p w14:paraId="19E23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679</w:t>
            </w:r>
          </w:p>
        </w:tc>
        <w:tc>
          <w:tcPr>
            <w:tcW w:w="1409" w:type="dxa"/>
          </w:tcPr>
          <w:p w14:paraId="166AA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216</w:t>
            </w:r>
          </w:p>
        </w:tc>
        <w:tc>
          <w:tcPr>
            <w:tcW w:w="1409" w:type="dxa"/>
          </w:tcPr>
          <w:p w14:paraId="1414A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75,9</w:t>
            </w:r>
          </w:p>
        </w:tc>
      </w:tr>
      <w:tr w:rsidR="00DA227A" w:rsidRPr="00E93F40" w14:paraId="6A9EB91A" w14:textId="77777777">
        <w:tc>
          <w:tcPr>
            <w:tcW w:w="1409" w:type="dxa"/>
          </w:tcPr>
          <w:p w14:paraId="31CF03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М-19</w:t>
            </w:r>
          </w:p>
        </w:tc>
        <w:tc>
          <w:tcPr>
            <w:tcW w:w="1409" w:type="dxa"/>
          </w:tcPr>
          <w:p w14:paraId="6DBE3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09" w:type="dxa"/>
          </w:tcPr>
          <w:p w14:paraId="349BC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57FE2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09" w:type="dxa"/>
          </w:tcPr>
          <w:p w14:paraId="4BBE9D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406857CD" w14:textId="77777777">
        <w:tc>
          <w:tcPr>
            <w:tcW w:w="1409" w:type="dxa"/>
          </w:tcPr>
          <w:p w14:paraId="66300A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М-27</w:t>
            </w:r>
          </w:p>
        </w:tc>
        <w:tc>
          <w:tcPr>
            <w:tcW w:w="1409" w:type="dxa"/>
          </w:tcPr>
          <w:p w14:paraId="5C111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409" w:type="dxa"/>
          </w:tcPr>
          <w:p w14:paraId="17FD18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63AA1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409" w:type="dxa"/>
          </w:tcPr>
          <w:p w14:paraId="0EFDF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73A84E39" w14:textId="77777777">
        <w:tc>
          <w:tcPr>
            <w:tcW w:w="1409" w:type="dxa"/>
          </w:tcPr>
          <w:p w14:paraId="7DFD2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w:t>
            </w:r>
          </w:p>
        </w:tc>
        <w:tc>
          <w:tcPr>
            <w:tcW w:w="1409" w:type="dxa"/>
          </w:tcPr>
          <w:p w14:paraId="72F15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w:t>
            </w:r>
          </w:p>
        </w:tc>
        <w:tc>
          <w:tcPr>
            <w:tcW w:w="1409" w:type="dxa"/>
          </w:tcPr>
          <w:p w14:paraId="30789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w:t>
            </w:r>
          </w:p>
        </w:tc>
        <w:tc>
          <w:tcPr>
            <w:tcW w:w="1409" w:type="dxa"/>
          </w:tcPr>
          <w:p w14:paraId="1D7A0D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w:t>
            </w:r>
          </w:p>
        </w:tc>
        <w:tc>
          <w:tcPr>
            <w:tcW w:w="1409" w:type="dxa"/>
          </w:tcPr>
          <w:p w14:paraId="6E635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24,2</w:t>
            </w:r>
          </w:p>
        </w:tc>
      </w:tr>
      <w:tr w:rsidR="00DA227A" w:rsidRPr="00E93F40" w14:paraId="3221B862" w14:textId="77777777">
        <w:tc>
          <w:tcPr>
            <w:tcW w:w="1409" w:type="dxa"/>
          </w:tcPr>
          <w:p w14:paraId="1ACDC3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М-22Н</w:t>
            </w:r>
          </w:p>
        </w:tc>
        <w:tc>
          <w:tcPr>
            <w:tcW w:w="1409" w:type="dxa"/>
          </w:tcPr>
          <w:p w14:paraId="62DEC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09" w:type="dxa"/>
          </w:tcPr>
          <w:p w14:paraId="18A78B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6E908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09" w:type="dxa"/>
          </w:tcPr>
          <w:p w14:paraId="390C90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68442A15" w14:textId="77777777">
        <w:tc>
          <w:tcPr>
            <w:tcW w:w="1409" w:type="dxa"/>
          </w:tcPr>
          <w:p w14:paraId="52AB5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М-26</w:t>
            </w:r>
          </w:p>
        </w:tc>
        <w:tc>
          <w:tcPr>
            <w:tcW w:w="1409" w:type="dxa"/>
          </w:tcPr>
          <w:p w14:paraId="120E31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09" w:type="dxa"/>
          </w:tcPr>
          <w:p w14:paraId="458E3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7B2D7B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09" w:type="dxa"/>
          </w:tcPr>
          <w:p w14:paraId="1AF29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30B3E273" w14:textId="77777777">
        <w:tc>
          <w:tcPr>
            <w:tcW w:w="1409" w:type="dxa"/>
          </w:tcPr>
          <w:p w14:paraId="1A0F4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М-11</w:t>
            </w:r>
          </w:p>
        </w:tc>
        <w:tc>
          <w:tcPr>
            <w:tcW w:w="1409" w:type="dxa"/>
          </w:tcPr>
          <w:p w14:paraId="56BF85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590</w:t>
            </w:r>
          </w:p>
        </w:tc>
        <w:tc>
          <w:tcPr>
            <w:tcW w:w="1409" w:type="dxa"/>
          </w:tcPr>
          <w:p w14:paraId="0C66A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326</w:t>
            </w:r>
          </w:p>
        </w:tc>
        <w:tc>
          <w:tcPr>
            <w:tcW w:w="1409" w:type="dxa"/>
          </w:tcPr>
          <w:p w14:paraId="5A277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264</w:t>
            </w:r>
          </w:p>
        </w:tc>
        <w:tc>
          <w:tcPr>
            <w:tcW w:w="1409" w:type="dxa"/>
          </w:tcPr>
          <w:p w14:paraId="37A0D9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55,3</w:t>
            </w:r>
          </w:p>
        </w:tc>
      </w:tr>
      <w:tr w:rsidR="00DA227A" w:rsidRPr="00E93F40" w14:paraId="666425E5" w14:textId="77777777">
        <w:tc>
          <w:tcPr>
            <w:tcW w:w="1409" w:type="dxa"/>
          </w:tcPr>
          <w:p w14:paraId="000332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409" w:type="dxa"/>
          </w:tcPr>
          <w:p w14:paraId="15C7E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409" w:type="dxa"/>
          </w:tcPr>
          <w:p w14:paraId="31BF3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9" w:type="dxa"/>
          </w:tcPr>
          <w:p w14:paraId="0F14C0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409" w:type="dxa"/>
          </w:tcPr>
          <w:p w14:paraId="2A2EF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6CD88DBC" w14:textId="77777777">
        <w:tc>
          <w:tcPr>
            <w:tcW w:w="1409" w:type="dxa"/>
          </w:tcPr>
          <w:p w14:paraId="2B0EA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409" w:type="dxa"/>
          </w:tcPr>
          <w:p w14:paraId="6B917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2083</w:t>
            </w:r>
          </w:p>
        </w:tc>
        <w:tc>
          <w:tcPr>
            <w:tcW w:w="1409" w:type="dxa"/>
          </w:tcPr>
          <w:p w14:paraId="463013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1060</w:t>
            </w:r>
          </w:p>
        </w:tc>
        <w:tc>
          <w:tcPr>
            <w:tcW w:w="1409" w:type="dxa"/>
          </w:tcPr>
          <w:p w14:paraId="3D770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1023</w:t>
            </w:r>
          </w:p>
        </w:tc>
        <w:tc>
          <w:tcPr>
            <w:tcW w:w="1409" w:type="dxa"/>
          </w:tcPr>
          <w:p w14:paraId="1A709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50,8</w:t>
            </w:r>
          </w:p>
        </w:tc>
      </w:tr>
    </w:tbl>
    <w:p w14:paraId="4AC26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(3045,12).</w:t>
      </w:r>
    </w:p>
    <w:p w14:paraId="1EAE51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A0B3F9" w14:textId="77777777" w:rsidR="00577FF4" w:rsidRPr="00E93F40" w:rsidRDefault="00577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Главное управление ГВФ попробовало добиться ассигнований на приобретение за рубежом образцов современных пасса</w:t>
      </w:r>
      <w:r w:rsidRPr="00E93F40">
        <w:rPr>
          <w:rFonts w:ascii="Times New Roman" w:hAnsi="Times New Roman"/>
          <w:color w:val="000000" w:themeColor="text1"/>
          <w:sz w:val="16"/>
          <w:szCs w:val="16"/>
        </w:rPr>
        <w:softHyphen/>
        <w:t>жирских самолетов. В США хотели купить 10-местный «Пилигрим» 100 и скоростной моноплан Локхид «Орион». Но денег на это не дали (23513).</w:t>
      </w:r>
    </w:p>
    <w:p w14:paraId="7A254A78" w14:textId="77777777" w:rsidR="00577FF4" w:rsidRPr="00E93F40" w:rsidRDefault="00577FF4" w:rsidP="00E93F40">
      <w:pPr>
        <w:spacing w:after="0" w:line="240" w:lineRule="auto"/>
        <w:jc w:val="both"/>
        <w:rPr>
          <w:rFonts w:ascii="Times New Roman" w:hAnsi="Times New Roman"/>
          <w:color w:val="000000" w:themeColor="text1"/>
          <w:sz w:val="16"/>
          <w:szCs w:val="16"/>
        </w:rPr>
      </w:pPr>
    </w:p>
    <w:p w14:paraId="0E0F4143" w14:textId="77777777" w:rsidR="001A1FB6" w:rsidRPr="00E93F40" w:rsidRDefault="001A1F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вся деятельность по М-27 прекратилась, его сняли с программы, ибо уже имелся бо</w:t>
      </w:r>
      <w:r w:rsidRPr="00E93F40">
        <w:rPr>
          <w:rFonts w:ascii="Times New Roman" w:hAnsi="Times New Roman"/>
          <w:color w:val="000000" w:themeColor="text1"/>
          <w:sz w:val="16"/>
          <w:szCs w:val="16"/>
        </w:rPr>
        <w:softHyphen/>
        <w:t>лее реальный двигатель М-34 (20362).</w:t>
      </w:r>
    </w:p>
    <w:p w14:paraId="7A4754BE" w14:textId="77777777" w:rsidR="001A1FB6" w:rsidRPr="00E93F40" w:rsidRDefault="001A1FB6" w:rsidP="00E93F40">
      <w:pPr>
        <w:shd w:val="clear" w:color="auto" w:fill="FFFFFF"/>
        <w:spacing w:after="0" w:line="240" w:lineRule="auto"/>
        <w:jc w:val="both"/>
        <w:rPr>
          <w:rFonts w:ascii="Times New Roman" w:hAnsi="Times New Roman"/>
          <w:color w:val="000000" w:themeColor="text1"/>
          <w:sz w:val="16"/>
          <w:szCs w:val="16"/>
        </w:rPr>
      </w:pPr>
    </w:p>
    <w:p w14:paraId="208B6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М-34 был передан в серийное производство на московский завод № 24. Параллельно происходило создание и становление Центрального института авиационного моторостроения (ЦИАМ), куда Микулин был назначен главным конструктором. М-34 обладал выдающимися для своего времени техническими данными и превосходил лучшие зарубежные образцы. Его номинальная мощность составила 750 л.с., а взлетная - 850 л.с. при сухой массе 535 кг. В конструкции М-34 имелся целый ряд нововведений. Одним из них являлась силовая схема блока, так называемая схема "сжатой рубашки и свободной гильзы", которая обеспечила исключительно высокую жесткость системы и позволила в дальнейшем значительно форсировать мотор. Силовая схема блока М-34 оказалась более рациональной и жизнеспособной, чем широко рекламировавшаяся в то время английской фирмой "Роллс-Ройс" силовая схема "со сжатой гильзой". Следует отметить, что спустя 10...12 лет после создания мотора М-34 английская фирма "Роллс-Ройс" и американская фирма "Паккард" при форсировании своих моторов вынуждены были перейти на силовую схему поршневого двигателя по типу М-34. При разработке блока цилиндров удалось создать хотя и сложный, но достаточно технологичный и надежный узел. В отличие от М-17, вместо одного выпускного клапана на цилиндр применили два уменьшенного размера (во избежание коробления). Форму камеры сгорания выбрали особой, препятствующей возникновению детонации. Это позволило питать мотор бакинским бензином второго сорта. У других моторов при работе на том же бензине при степени сжатия 6,0...6,2 начиналась детонация. Необходимо отметить, что, связав себя размерностью мотора М-17, конструкторы согласились и со всеми минусами этого решения: трудностями организации рабочего процесса и конструктивного оформления некоторых узлов. Относительно большие диаметр цилиндра и ход поршня М-34 многим специалистам "мозолили глаз". В начале тридцатых годов теоретики и практики моторостроения считали, что оптимальный диаметр цилиндра составляет 140...150 мм. Одновременно с подготовкой мотора М-34 к внедрению в серию началась разработка редуктора, нагнетателя, винта изменяемого шага с целью улучшения его технических характеристик. В 1931 г. было закончено проектирование редукторного варианта М-34Р, параллельно осуществлялось проектирование мотора М-34Н с двухскоростным нагнетателем, обеспечившим высотность 5000 м (9028).</w:t>
      </w:r>
    </w:p>
    <w:p w14:paraId="1FD479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5417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w:t>
      </w:r>
      <w:r w:rsidRPr="00E93F40">
        <w:rPr>
          <w:rFonts w:ascii="Times New Roman" w:hAnsi="Times New Roman"/>
          <w:color w:val="000000" w:themeColor="text1"/>
          <w:sz w:val="16"/>
          <w:szCs w:val="16"/>
        </w:rPr>
        <w:softHyphen/>
        <w:t>ле 1932 г. М-34 был передан в серийное производство на завод № 24 (Москва). Разработка мощного авиамотора, ставшего первым отече</w:t>
      </w:r>
      <w:r w:rsidRPr="00E93F40">
        <w:rPr>
          <w:rFonts w:ascii="Times New Roman" w:hAnsi="Times New Roman"/>
          <w:color w:val="000000" w:themeColor="text1"/>
          <w:sz w:val="16"/>
          <w:szCs w:val="16"/>
        </w:rPr>
        <w:softHyphen/>
        <w:t>ственным серийным, совпала с созданием и становлением Централь</w:t>
      </w:r>
      <w:r w:rsidRPr="00E93F40">
        <w:rPr>
          <w:rFonts w:ascii="Times New Roman" w:hAnsi="Times New Roman"/>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E93F40">
        <w:rPr>
          <w:rFonts w:ascii="Times New Roman" w:hAnsi="Times New Roman"/>
          <w:color w:val="000000" w:themeColor="text1"/>
          <w:sz w:val="16"/>
          <w:szCs w:val="16"/>
        </w:rPr>
        <w:softHyphen/>
        <w:t>дающимися для своего времени техническими данными и превосхо</w:t>
      </w:r>
      <w:r w:rsidRPr="00E93F40">
        <w:rPr>
          <w:rFonts w:ascii="Times New Roman" w:hAnsi="Times New Roman"/>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E93F40">
        <w:rPr>
          <w:rFonts w:ascii="Times New Roman" w:hAnsi="Times New Roman"/>
          <w:color w:val="000000" w:themeColor="text1"/>
          <w:sz w:val="16"/>
          <w:szCs w:val="16"/>
        </w:rPr>
        <w:softHyphen/>
        <w:t>ша страна получила мощный мотор, являвшийся выдающимся достижени</w:t>
      </w:r>
      <w:r w:rsidRPr="00E93F40">
        <w:rPr>
          <w:rFonts w:ascii="Times New Roman" w:hAnsi="Times New Roman"/>
          <w:color w:val="000000" w:themeColor="text1"/>
          <w:sz w:val="16"/>
          <w:szCs w:val="16"/>
        </w:rPr>
        <w:softHyphen/>
        <w:t>ем мирового моторостроения. В конструкции М-34 имелся целый ряд нововведений. Одним из них явля</w:t>
      </w:r>
      <w:r w:rsidRPr="00E93F40">
        <w:rPr>
          <w:rFonts w:ascii="Times New Roman" w:hAnsi="Times New Roman"/>
          <w:color w:val="000000" w:themeColor="text1"/>
          <w:sz w:val="16"/>
          <w:szCs w:val="16"/>
        </w:rPr>
        <w:softHyphen/>
        <w:t>лась силовая схема блока, так называе</w:t>
      </w:r>
      <w:r w:rsidRPr="00E93F40">
        <w:rPr>
          <w:rFonts w:ascii="Times New Roman" w:hAnsi="Times New Roman"/>
          <w:color w:val="000000" w:themeColor="text1"/>
          <w:sz w:val="16"/>
          <w:szCs w:val="16"/>
        </w:rPr>
        <w:softHyphen/>
        <w:t>мая схема «сжатой рубашки и свободной гильзы&gt;&gt;, которая обеспечи</w:t>
      </w:r>
      <w:r w:rsidRPr="00E93F40">
        <w:rPr>
          <w:rFonts w:ascii="Times New Roman" w:hAnsi="Times New Roman"/>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E93F40">
        <w:rPr>
          <w:rFonts w:ascii="Times New Roman" w:hAnsi="Times New Roman"/>
          <w:color w:val="000000" w:themeColor="text1"/>
          <w:sz w:val="16"/>
          <w:szCs w:val="16"/>
        </w:rPr>
        <w:softHyphen/>
        <w:t>линдровый блок, включающий шесть цилиндров одного ряда, состоит из от</w:t>
      </w:r>
      <w:r w:rsidRPr="00E93F40">
        <w:rPr>
          <w:rFonts w:ascii="Times New Roman" w:hAnsi="Times New Roman"/>
          <w:color w:val="000000" w:themeColor="text1"/>
          <w:sz w:val="16"/>
          <w:szCs w:val="16"/>
        </w:rPr>
        <w:softHyphen/>
        <w:t>дельной головки, отдельной рубашки, выполненных из алюминиевого сплаизготовить буквально с «белка») (с кальки) первые двигатели. После 38 часов заводских испытаний моторы предъявили на стендовые го</w:t>
      </w:r>
      <w:r w:rsidRPr="00E93F40">
        <w:rPr>
          <w:rFonts w:ascii="Times New Roman" w:hAnsi="Times New Roman"/>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E93F40">
        <w:rPr>
          <w:rFonts w:ascii="Times New Roman" w:hAnsi="Times New Roman"/>
          <w:color w:val="000000" w:themeColor="text1"/>
          <w:sz w:val="16"/>
          <w:szCs w:val="16"/>
        </w:rPr>
        <w:softHyphen/>
        <w:t>да № 26. Именно он дал путевку в жизнь уникальному мотору М-34. Первые М-34 проходили испытания с импортным карбюратором, однако в ЦИАМе конструкторы К.А. Стариков и А.М. Добротворский разработали свой, отечественный, с которым в 1932 г. двигатель был предъявлен на повторные государственные испытания. В октя</w:t>
      </w:r>
      <w:r w:rsidRPr="00E93F40">
        <w:rPr>
          <w:rFonts w:ascii="Times New Roman" w:hAnsi="Times New Roman"/>
          <w:color w:val="000000" w:themeColor="text1"/>
          <w:sz w:val="16"/>
          <w:szCs w:val="16"/>
        </w:rPr>
        <w:softHyphen/>
        <w:t>бре 1933 г. самолет ТБ-3 с мотором М-34 прошел летные госиспыта</w:t>
      </w:r>
      <w:r w:rsidRPr="00E93F40">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E93F40">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E93F40">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E93F40">
        <w:rPr>
          <w:rFonts w:ascii="Times New Roman" w:hAnsi="Times New Roman"/>
          <w:color w:val="000000" w:themeColor="text1"/>
          <w:sz w:val="16"/>
          <w:szCs w:val="16"/>
        </w:rPr>
        <w:softHyphen/>
        <w:t>ти напротив — застава с биржей извозчиков. А дальше за заводом тя</w:t>
      </w:r>
      <w:r w:rsidRPr="00E93F40">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E93F40">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E93F40">
        <w:rPr>
          <w:rFonts w:ascii="Times New Roman" w:hAnsi="Times New Roman"/>
          <w:color w:val="000000" w:themeColor="text1"/>
          <w:sz w:val="16"/>
          <w:szCs w:val="16"/>
        </w:rPr>
        <w:softHyphen/>
        <w:t>менно строились три корпуса, в том числе корпус механических це</w:t>
      </w:r>
      <w:r w:rsidRPr="00E93F40">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E93F40">
        <w:rPr>
          <w:rFonts w:ascii="Times New Roman" w:hAnsi="Times New Roman"/>
          <w:color w:val="000000" w:themeColor="text1"/>
          <w:sz w:val="16"/>
          <w:szCs w:val="16"/>
        </w:rPr>
        <w:softHyphen/>
        <w:t xml:space="preserve">ботало около тысячи человек, то после реконструкции </w:t>
      </w:r>
      <w:r w:rsidRPr="00E93F40">
        <w:rPr>
          <w:rFonts w:ascii="Times New Roman" w:hAnsi="Times New Roman"/>
          <w:color w:val="000000" w:themeColor="text1"/>
          <w:sz w:val="16"/>
          <w:szCs w:val="16"/>
        </w:rPr>
        <w:lastRenderedPageBreak/>
        <w:t>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76204C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BB6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ВСНХ упразднили, разделив на систему отдельных наркоматов. Одним из них стал Наркомат тяжелой промышленности (НКТП) во главе с Г.К. Орджоникидзе. ВАО включили в состав НКТП как Главное управление авиационной промышленности (ГУАП). Если ВАО был хозрасчетным объединением, то ГУАП стало чисто бюджетной орга</w:t>
      </w:r>
      <w:r w:rsidRPr="00E93F40">
        <w:rPr>
          <w:rFonts w:ascii="Times New Roman" w:hAnsi="Times New Roman"/>
          <w:color w:val="000000" w:themeColor="text1"/>
          <w:sz w:val="16"/>
          <w:szCs w:val="16"/>
        </w:rPr>
        <w:softHyphen/>
        <w:t>низацией, действовавшей строго в рамках директив наркомата. Она дели</w:t>
      </w:r>
      <w:r w:rsidRPr="00E93F40">
        <w:rPr>
          <w:rFonts w:ascii="Times New Roman" w:hAnsi="Times New Roman"/>
          <w:color w:val="000000" w:themeColor="text1"/>
          <w:sz w:val="16"/>
          <w:szCs w:val="16"/>
        </w:rPr>
        <w:softHyphen/>
        <w:t>лась на четыре треста, одним из них был авиамоторный. Но в 1933 г. эти промежуточные структурные звенья сочли излишними, и началась их ликвидация. В том числе в 1933 г. расформировали авиамоторный трест. Заводы напрямую подчинили ГУАП. Эта структура просуществовала довольно долго. После смерти П.И. Ба</w:t>
      </w:r>
      <w:r w:rsidRPr="00E93F40">
        <w:rPr>
          <w:rFonts w:ascii="Times New Roman" w:hAnsi="Times New Roman"/>
          <w:color w:val="000000" w:themeColor="text1"/>
          <w:sz w:val="16"/>
          <w:szCs w:val="16"/>
        </w:rPr>
        <w:softHyphen/>
        <w:t>ранова в авиационной катастрофе во главе ГУАП встал Г.Н. Королев, а с конца 1935 г. — М.М. Каганович. Руководство Главного управления Гражданского воздушного флота (ГУ ГВФ), недовольное тем, что его нужды игнорировались промышленно</w:t>
      </w:r>
      <w:r w:rsidRPr="00E93F40">
        <w:rPr>
          <w:rFonts w:ascii="Times New Roman" w:hAnsi="Times New Roman"/>
          <w:color w:val="000000" w:themeColor="text1"/>
          <w:sz w:val="16"/>
          <w:szCs w:val="16"/>
        </w:rPr>
        <w:softHyphen/>
        <w:t>стью, ориентированной в первую очередь на заказы ВВС (что согласовы</w:t>
      </w:r>
      <w:r w:rsidRPr="00E93F40">
        <w:rPr>
          <w:rFonts w:ascii="Times New Roman" w:hAnsi="Times New Roman"/>
          <w:color w:val="000000" w:themeColor="text1"/>
          <w:sz w:val="16"/>
          <w:szCs w:val="16"/>
        </w:rPr>
        <w:softHyphen/>
        <w:t>валось с позицией правительства), в первой половине 30-х годов начало создавать свои моторостроительные заводы и проектно-конструкторские институты. Они функционировали обособленно до 1939 г., после чего их объединили с остальным авиамоторостроением (11852).</w:t>
      </w:r>
    </w:p>
    <w:p w14:paraId="381020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C53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реконструкция завода № 16 в Воронеже в основном была завершена, значительная часть инженерно-технических работников прошла переподготовку на родственных предприятиях Москвы. В 1932 году завод собрал пять самолетов, еще пять находилось в производстве. Но летные испытания выявили ряд конструктивных и технологических недоработок, поэтому Всесоюзное авиационное объединение сочло нужным ликвидировать самолетостроительный профиль завода и переориентировать его на серийное производство самолетного оборудования.</w:t>
      </w:r>
    </w:p>
    <w:p w14:paraId="71C98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видно, за очень короткое время завод трижды менял и производственные программы, и основной профиль. А в феврале 1934 года по приказу Главного управления управления авиационной промыш ленности "Гипроавиапром" разрабатывается еще один прект реконструкции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5B06E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33188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w:t>
      </w:r>
    </w:p>
    <w:p w14:paraId="4F4D2E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w:t>
      </w:r>
    </w:p>
    <w:p w14:paraId="5EF718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48651B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D54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коллектив завода «Красный Октябрь» получил задание по ремонту авиадвигателей. По решению Народного комиссариата тяжелой промышленности завод № 47, освоивший к тому времени самостоятельное производство самолетов, освободили от задания по ремонту авиационных моторов М-5, перепоручив эти работы «Красному Октябрю». В период с 11 по 24 марта сюда поступил 41 мотор (Там же. Д. 74. Л. 45.).</w:t>
      </w:r>
    </w:p>
    <w:p w14:paraId="35558C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ремонт авиационных двигателей отличается высокой технической сложностью, а для предприятия это было новым делом, понадобилось время на подготовку соответствующих кадров и установку дополнительно 150 специальных станков. Потребовалась и срочная техническая помощь со стороны завода № 47, откуда по решению руководства Ленинграда на «Красный Октябрь» была направлена бригада специалистов для обучения сменщиков на месте. Фактически несколько месяцев два завода трудились, тесно кооперируясь и зачастую отвлекая друг друга не только от последовательного выполнения совместного задания, но и от основных задач. Конечно же, целесообразнее было бы завершить ремонт оставшихся моторов на заводе № 47, где прошли бы соответствующую стажировку представители «Красного Октября», ну а последнему дать время на подготовку нового производства. Цену не до конца продуманного решения можно в какой-то степени просчитать, учитывая то, что не введенные в строй за потерянное время авиационные двигатели могли бы отработать полный моторесурс — 80 часов (Там же. Л. 47.) (11176).</w:t>
      </w:r>
    </w:p>
    <w:p w14:paraId="2E096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49A3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был спроектирован дизель «ПГЕ», раньше, чем БД ХПЗ, но позже, чем Д-300 в НАМИ. Проектировал «ПГЕ» Б.А.Витт. Теперь трудно сказать, то ли это печальный опыт с авиационным мотором М- 13 в НАМИ, то ли желание использовать возможность и попро-пойти иным путем, но Витт решил спроектировать 2-х тактный, 6-цилиндровый танковый дизель с продувкой цилиндров сжатым воздухом. Идея эта была заимствована от судовых дизелей и, скорее всего, Витт, хорошо знавший их конструкцию, сам настоял на этой идее (11504).</w:t>
      </w:r>
    </w:p>
    <w:p w14:paraId="590019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EA1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Л.П.Курчевский начал проектирование 100 (или 102) мм пушки АПК-8 и к февралю 1933 был готов опытный образец (3996, 103).</w:t>
      </w:r>
    </w:p>
    <w:p w14:paraId="75871E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995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Курчевский приступил к проектированию 100-мм пушки АПК-8. В некоторых документах ее калибр указывается — 102 мм. Это связано с тем, что в это время в СССР происходил переход с 4-дюймового (102-мм) дореволюционного калибра на калибр закупленных итальянских пушек «Минизини» (100-мм). По устройству АПК-8 мало отличалась от АПК-4. 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2,1 кг пороха Г248. Практическая скорострельность 25 выстр/мин.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Разработка ДИПа началась лишь в 1933 г., после получения в декабре 1932 г. уточненных тактико-технических требований от ВВС.</w:t>
      </w:r>
    </w:p>
    <w:p w14:paraId="24593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0DC3D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 (12091).</w:t>
      </w:r>
    </w:p>
    <w:p w14:paraId="2E4E3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008F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завершилась окончательная от</w:t>
      </w:r>
      <w:r w:rsidRPr="00E93F40">
        <w:rPr>
          <w:rFonts w:ascii="Times New Roman" w:hAnsi="Times New Roman"/>
          <w:color w:val="000000" w:themeColor="text1"/>
          <w:sz w:val="16"/>
          <w:szCs w:val="16"/>
        </w:rPr>
        <w:softHyphen/>
        <w:t>ладка конструкции ШКАС (10695).</w:t>
      </w:r>
    </w:p>
    <w:p w14:paraId="5295F3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9989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была завершена окончательная отладка конструкции, и 13 февраля 1932 г. Артиллерийское управление дало заказ на изготовление 7 пулеметов ШКАС (11316).</w:t>
      </w:r>
    </w:p>
    <w:p w14:paraId="66471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DC8C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технологическую документацию на производство ФАБ-500св пересмотрели, внеся в нее изменения, требовавшиеся по условиям производства и эксплуатации. При этом подвесную систему боеприпаса модернизировали, дополнив ее вторым ушком для подвески, которое крепили на корпусе посредством заклепок. Кроме того, упростили конфигурацию и увеличили ширину соединительного кольца для более надежного резьбового соединения конической и цилиндрической частей корпуса авиабомбы, а также увеличили длину головного и донного запальных стаканов, гудроновые головную и донную пробки заменили стальными. Все эти изменения прошли утверждение в Артуправлении.</w:t>
      </w:r>
    </w:p>
    <w:p w14:paraId="37F3F8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тем в ходе двухлетнего опыта массового производства назрела необходимость уточнить допуски на обработку и размеры отдельных деталей. С учетом упомянутых изменений на основании Научно-технического журнала АУ РККА № 287 в 1932 г. ФАБ-500св новой конструкции присвоили номер чертежа 3710. При этом ФАБ-500 предыдущей модели с производства сняли. Год спустя на новых боеприпасах основное ушко для подвески начали устанавливать на хомуте, что слегка отразилось в наименовании авиабомбы - номер ее чертежа дополнила литера «а» (7453).</w:t>
      </w:r>
    </w:p>
    <w:p w14:paraId="25921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880862" w14:textId="77777777" w:rsidR="00A83C47" w:rsidRPr="00E93F40" w:rsidRDefault="00A83C4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начале 1932 г. городские власти предоставили ЛенГИРД помещение — Иоанновский равелин Петропавловской крепости (там же в это время работала одна из секций Газо</w:t>
      </w:r>
      <w:r w:rsidRPr="00E93F40">
        <w:rPr>
          <w:rFonts w:ascii="Times New Roman" w:hAnsi="Times New Roman"/>
          <w:color w:val="000000" w:themeColor="text1"/>
          <w:sz w:val="16"/>
          <w:szCs w:val="16"/>
        </w:rPr>
        <w:softHyphen/>
        <w:t>динамической лаборатории) (23550).</w:t>
      </w:r>
    </w:p>
    <w:p w14:paraId="3BB687D8" w14:textId="77777777" w:rsidR="00A83C47" w:rsidRPr="00E93F40" w:rsidRDefault="00A83C47" w:rsidP="00E93F40">
      <w:pPr>
        <w:spacing w:after="0" w:line="240" w:lineRule="auto"/>
        <w:jc w:val="both"/>
        <w:rPr>
          <w:rFonts w:ascii="Times New Roman" w:hAnsi="Times New Roman"/>
          <w:color w:val="000000" w:themeColor="text1"/>
          <w:sz w:val="16"/>
          <w:szCs w:val="16"/>
        </w:rPr>
      </w:pPr>
    </w:p>
    <w:p w14:paraId="35F6B9F7" w14:textId="77777777" w:rsidR="00556A26" w:rsidRPr="00E93F40" w:rsidRDefault="00556A2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началась постройка «СССР В-2» и «СССР В-3» (20120).</w:t>
      </w:r>
    </w:p>
    <w:p w14:paraId="55490515" w14:textId="77777777" w:rsidR="00556A26" w:rsidRPr="00E93F40" w:rsidRDefault="00556A26" w:rsidP="00E93F40">
      <w:pPr>
        <w:spacing w:after="0" w:line="240" w:lineRule="auto"/>
        <w:jc w:val="both"/>
        <w:rPr>
          <w:rFonts w:ascii="Times New Roman" w:hAnsi="Times New Roman"/>
          <w:color w:val="000000" w:themeColor="text1"/>
          <w:sz w:val="16"/>
          <w:szCs w:val="16"/>
        </w:rPr>
      </w:pPr>
    </w:p>
    <w:p w14:paraId="70A3305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F83954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0202C8" w14:textId="77777777" w:rsidR="00E30AB1" w:rsidRPr="00E93F40" w:rsidRDefault="00E30A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о недоснабжении РККА в связи с невыполнением планов в 1931 г. докладывал в КО новый замнаркома, начальник вооруже</w:t>
      </w:r>
      <w:r w:rsidRPr="00E93F40">
        <w:rPr>
          <w:rFonts w:ascii="Times New Roman" w:hAnsi="Times New Roman"/>
          <w:color w:val="000000" w:themeColor="text1"/>
          <w:sz w:val="16"/>
          <w:szCs w:val="16"/>
        </w:rPr>
        <w:softHyphen/>
        <w:t>ний РККА Тухачевский. Так, по АУ РККА при плане заказов на 380 млн руб. было поставлено вооружений на 281 млн руб. Ос</w:t>
      </w:r>
      <w:r w:rsidRPr="00E93F40">
        <w:rPr>
          <w:rFonts w:ascii="Times New Roman" w:hAnsi="Times New Roman"/>
          <w:color w:val="000000" w:themeColor="text1"/>
          <w:sz w:val="16"/>
          <w:szCs w:val="16"/>
        </w:rPr>
        <w:softHyphen/>
        <w:t>новные причины отодвижения снабжения и недофинансирования Тухачевский видел в задержке с оформлением заказов, с освое</w:t>
      </w:r>
      <w:r w:rsidRPr="00E93F40">
        <w:rPr>
          <w:rFonts w:ascii="Times New Roman" w:hAnsi="Times New Roman"/>
          <w:color w:val="000000" w:themeColor="text1"/>
          <w:sz w:val="16"/>
          <w:szCs w:val="16"/>
        </w:rPr>
        <w:softHyphen/>
        <w:t>нием новых образцов, в поставке бракованной продукции и про</w:t>
      </w:r>
      <w:r w:rsidRPr="00E93F40">
        <w:rPr>
          <w:rFonts w:ascii="Times New Roman" w:hAnsi="Times New Roman"/>
          <w:color w:val="000000" w:themeColor="text1"/>
          <w:sz w:val="16"/>
          <w:szCs w:val="16"/>
        </w:rPr>
        <w:softHyphen/>
        <w:t>стоях на военных заводах. Возникли проблемы в связи с дополни</w:t>
      </w:r>
      <w:r w:rsidRPr="00E93F40">
        <w:rPr>
          <w:rFonts w:ascii="Times New Roman" w:hAnsi="Times New Roman"/>
          <w:color w:val="000000" w:themeColor="text1"/>
          <w:sz w:val="16"/>
          <w:szCs w:val="16"/>
        </w:rPr>
        <w:softHyphen/>
        <w:t>тельными выплатами вследствие изменения цен. За тяжелые артсистемы приходилось платить больше, чем предусмотрено планом. Отмечал большие недоделы. По авиационному пулеме</w:t>
      </w:r>
      <w:r w:rsidRPr="00E93F40">
        <w:rPr>
          <w:rFonts w:ascii="Times New Roman" w:hAnsi="Times New Roman"/>
          <w:color w:val="000000" w:themeColor="text1"/>
          <w:sz w:val="16"/>
          <w:szCs w:val="16"/>
        </w:rPr>
        <w:softHyphen/>
        <w:t>ту Дегтярева недодел составил 30%. Самый низкий процент вы</w:t>
      </w:r>
      <w:r w:rsidRPr="00E93F40">
        <w:rPr>
          <w:rFonts w:ascii="Times New Roman" w:hAnsi="Times New Roman"/>
          <w:color w:val="000000" w:themeColor="text1"/>
          <w:sz w:val="16"/>
          <w:szCs w:val="16"/>
        </w:rPr>
        <w:softHyphen/>
        <w:t>полнения, особенно новых образцов, дало ОАО. Вохимтрест из- за отсутствия тары поставил только 89% иприта. По радиостан</w:t>
      </w:r>
      <w:r w:rsidRPr="00E93F40">
        <w:rPr>
          <w:rFonts w:ascii="Times New Roman" w:hAnsi="Times New Roman"/>
          <w:color w:val="000000" w:themeColor="text1"/>
          <w:sz w:val="16"/>
          <w:szCs w:val="16"/>
        </w:rPr>
        <w:softHyphen/>
        <w:t>циям для РККА недодел составил 39%, а по самолетным радио</w:t>
      </w:r>
      <w:r w:rsidRPr="00E93F40">
        <w:rPr>
          <w:rFonts w:ascii="Times New Roman" w:hAnsi="Times New Roman"/>
          <w:color w:val="000000" w:themeColor="text1"/>
          <w:sz w:val="16"/>
          <w:szCs w:val="16"/>
        </w:rPr>
        <w:softHyphen/>
        <w:t>станциям - 41%. По производству кабеля недодел составил 79%, по прожекторам - 24%. Биноклей было поставлено только 7% от плана, а угломеров и перископов - О</w:t>
      </w:r>
      <w:bookmarkStart w:id="9" w:name="_ednref60"/>
      <w:r w:rsidRPr="00E93F40">
        <w:rPr>
          <w:rFonts w:ascii="Times New Roman" w:hAnsi="Times New Roman"/>
          <w:color w:val="000000" w:themeColor="text1"/>
          <w:sz w:val="16"/>
          <w:szCs w:val="16"/>
        </w:rPr>
        <w:t xml:space="preserve"> (18393)</w:t>
      </w:r>
      <w:bookmarkEnd w:id="9"/>
      <w:r w:rsidRPr="00E93F40">
        <w:rPr>
          <w:rFonts w:ascii="Times New Roman" w:hAnsi="Times New Roman"/>
          <w:color w:val="000000" w:themeColor="text1"/>
          <w:sz w:val="16"/>
          <w:szCs w:val="16"/>
        </w:rPr>
        <w:t>.</w:t>
      </w:r>
    </w:p>
    <w:p w14:paraId="06318B86" w14:textId="77777777" w:rsidR="00E30AB1" w:rsidRPr="00E93F40" w:rsidRDefault="00E30AB1" w:rsidP="00E93F40">
      <w:pPr>
        <w:spacing w:after="0" w:line="240" w:lineRule="auto"/>
        <w:jc w:val="both"/>
        <w:rPr>
          <w:rFonts w:ascii="Times New Roman" w:hAnsi="Times New Roman"/>
          <w:color w:val="000000" w:themeColor="text1"/>
          <w:sz w:val="16"/>
          <w:szCs w:val="16"/>
        </w:rPr>
      </w:pPr>
    </w:p>
    <w:p w14:paraId="35C2577E" w14:textId="7AA3A7B4" w:rsidR="00E30AB1" w:rsidRPr="00E93F40" w:rsidRDefault="00E30A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назначенный зампред Госплана Уншлихт со</w:t>
      </w:r>
      <w:r w:rsidRPr="00E93F40">
        <w:rPr>
          <w:rFonts w:ascii="Times New Roman" w:hAnsi="Times New Roman"/>
          <w:color w:val="000000" w:themeColor="text1"/>
          <w:sz w:val="16"/>
          <w:szCs w:val="16"/>
        </w:rPr>
        <w:softHyphen/>
        <w:t>общал в ПБ и КО, что за 1931 г. получены неудовлетворитель</w:t>
      </w:r>
      <w:r w:rsidRPr="00E93F40">
        <w:rPr>
          <w:rFonts w:ascii="Times New Roman" w:hAnsi="Times New Roman"/>
          <w:color w:val="000000" w:themeColor="text1"/>
          <w:sz w:val="16"/>
          <w:szCs w:val="16"/>
        </w:rPr>
        <w:softHyphen/>
        <w:t>ные результаты по капитальному строительству в военпроме. Было выполнено 75% плана, а по орудийному и химическому объединениям положение было еще хуже (недодел 30 и 28%). Особенно плохо обстояло дело по военным заказам гражданской промышленности (недодел 50-60%). План С-30, в том числе и скорректированный, оценивался как совсем плохой, поскольку многое в военном производстве не было предусмотрено к освое</w:t>
      </w:r>
      <w:r w:rsidRPr="00E93F40">
        <w:rPr>
          <w:rFonts w:ascii="Times New Roman" w:hAnsi="Times New Roman"/>
          <w:color w:val="000000" w:themeColor="text1"/>
          <w:sz w:val="16"/>
          <w:szCs w:val="16"/>
        </w:rPr>
        <w:softHyphen/>
        <w:t>нию (зенитная и тяжелая артиллерия, бронебойные снаряды, аэробомбы, танк “Кристи” и др.). Угрожающее положение сложи</w:t>
      </w:r>
      <w:r w:rsidRPr="00E93F40">
        <w:rPr>
          <w:rFonts w:ascii="Times New Roman" w:hAnsi="Times New Roman"/>
          <w:color w:val="000000" w:themeColor="text1"/>
          <w:sz w:val="16"/>
          <w:szCs w:val="16"/>
        </w:rPr>
        <w:softHyphen/>
        <w:t>лось по химии, металлическим сплавам, инструменту. Вариант МВ-10 мобилизационного плана оценивался лучше, его, по мне</w:t>
      </w:r>
      <w:r w:rsidRPr="00E93F40">
        <w:rPr>
          <w:rFonts w:ascii="Times New Roman" w:hAnsi="Times New Roman"/>
          <w:color w:val="000000" w:themeColor="text1"/>
          <w:sz w:val="16"/>
          <w:szCs w:val="16"/>
        </w:rPr>
        <w:softHyphen/>
        <w:t>нию Уншлихта, следовало обеспечить в 1932 г., но и в нем указы</w:t>
      </w:r>
      <w:r w:rsidRPr="00E93F40">
        <w:rPr>
          <w:rFonts w:ascii="Times New Roman" w:hAnsi="Times New Roman"/>
          <w:color w:val="000000" w:themeColor="text1"/>
          <w:sz w:val="16"/>
          <w:szCs w:val="16"/>
        </w:rPr>
        <w:softHyphen/>
        <w:t>вались узкие места. По многим позициям создание реальных мощностей, указывал он, придется отнести на 1933 г. К этому времени следует подготовить вариант МВ-12, согласно которому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[183]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военные задания возрастали в 2-3 раза. Сейчас же, отмечал Ун</w:t>
      </w:r>
      <w:r w:rsidRPr="00E93F40">
        <w:rPr>
          <w:rFonts w:ascii="Times New Roman" w:hAnsi="Times New Roman"/>
          <w:color w:val="000000" w:themeColor="text1"/>
          <w:sz w:val="16"/>
          <w:szCs w:val="16"/>
        </w:rPr>
        <w:softHyphen/>
        <w:t>шлихт, наблюдается топтание на месте. Курс на ассимиляцию во</w:t>
      </w:r>
      <w:r w:rsidRPr="00E93F40">
        <w:rPr>
          <w:rFonts w:ascii="Times New Roman" w:hAnsi="Times New Roman"/>
          <w:color w:val="000000" w:themeColor="text1"/>
          <w:sz w:val="16"/>
          <w:szCs w:val="16"/>
        </w:rPr>
        <w:softHyphen/>
        <w:t>енной и гражданской промышленности следует усилить, преодо</w:t>
      </w:r>
      <w:r w:rsidRPr="00E93F40">
        <w:rPr>
          <w:rFonts w:ascii="Times New Roman" w:hAnsi="Times New Roman"/>
          <w:color w:val="000000" w:themeColor="text1"/>
          <w:sz w:val="16"/>
          <w:szCs w:val="16"/>
        </w:rPr>
        <w:softHyphen/>
        <w:t>леть сопротивление аппарата</w:t>
      </w:r>
      <w:bookmarkStart w:id="10" w:name="_ednref59"/>
      <w:r w:rsidRPr="00E93F40">
        <w:rPr>
          <w:rFonts w:ascii="Times New Roman" w:hAnsi="Times New Roman"/>
          <w:color w:val="000000" w:themeColor="text1"/>
          <w:sz w:val="16"/>
          <w:szCs w:val="16"/>
        </w:rPr>
        <w:t xml:space="preserve"> (18393)</w:t>
      </w:r>
      <w:bookmarkEnd w:id="10"/>
      <w:r w:rsidRPr="00E93F40">
        <w:rPr>
          <w:rFonts w:ascii="Times New Roman" w:hAnsi="Times New Roman"/>
          <w:color w:val="000000" w:themeColor="text1"/>
          <w:sz w:val="16"/>
          <w:szCs w:val="16"/>
        </w:rPr>
        <w:t>.</w:t>
      </w:r>
    </w:p>
    <w:p w14:paraId="7BA33F02" w14:textId="77777777" w:rsidR="00E30AB1" w:rsidRPr="00E93F40" w:rsidRDefault="00E30AB1" w:rsidP="00E93F40">
      <w:pPr>
        <w:spacing w:after="0" w:line="240" w:lineRule="auto"/>
        <w:jc w:val="both"/>
        <w:rPr>
          <w:rFonts w:ascii="Times New Roman" w:hAnsi="Times New Roman"/>
          <w:color w:val="000000" w:themeColor="text1"/>
          <w:sz w:val="16"/>
          <w:szCs w:val="16"/>
        </w:rPr>
      </w:pPr>
    </w:p>
    <w:p w14:paraId="40B51F72" w14:textId="77777777" w:rsidR="00CC533B" w:rsidRPr="00E93F40" w:rsidRDefault="00CC53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правлением ВЭСО было издано «Положение о порядке приема к выполнению, учету и контролю за исполнением заказов ВЭСО на продукцию, имеющую назначение укрепление обороноспособности страны». В соответствии с этим положением оборонные заказы различались как:</w:t>
      </w:r>
    </w:p>
    <w:p w14:paraId="7F842BA8" w14:textId="77777777" w:rsidR="00CC533B" w:rsidRPr="00E93F40" w:rsidRDefault="00CC53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военные заказы (литер «А») – заказы для НКВМ (РККА и УВМС), для ОГПУ;</w:t>
      </w:r>
    </w:p>
    <w:p w14:paraId="0C8BC4AB" w14:textId="77777777" w:rsidR="00CC533B" w:rsidRPr="00E93F40" w:rsidRDefault="00CC53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специальные заказы (литера «Б») – заказы для общегражданских объединений и наркоматов (для объектов, имеющих оборонное значение).</w:t>
      </w:r>
    </w:p>
    <w:p w14:paraId="690498AE" w14:textId="77777777" w:rsidR="00CC533B" w:rsidRPr="00E93F40" w:rsidRDefault="00CC53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Функции единого планирующего и директивного органа объединения получало Специальное управление ВЭСО, а на заводах – отделы специального назначения (военные отделы) во главе с помощниками директоров заводов по военной части. По мере трансформации системы управления электрослаботочной отраслью менялись вышестоящие органы, контролирующих выполнение военных и специальных заказов. В 1933-1936 гг. к ним относились Спецотдел Главэспрома, мобилизационно-плановый сектор Управления уполномоченного НКТП по Ленинграду и Ленинградской области и Главное военно-мобилизационное управление НКТП. Позднее – специальные органы соответствующих главных управлений НКОП, НКАП, НКЭП (18297).</w:t>
      </w:r>
    </w:p>
    <w:p w14:paraId="70622CC4" w14:textId="77777777" w:rsidR="00CC533B" w:rsidRPr="00E93F40" w:rsidRDefault="00CC533B" w:rsidP="00E93F40">
      <w:pPr>
        <w:spacing w:after="0" w:line="240" w:lineRule="auto"/>
        <w:jc w:val="both"/>
        <w:rPr>
          <w:rFonts w:ascii="Times New Roman" w:hAnsi="Times New Roman"/>
          <w:color w:val="000000" w:themeColor="text1"/>
          <w:sz w:val="16"/>
          <w:szCs w:val="16"/>
        </w:rPr>
      </w:pPr>
    </w:p>
    <w:p w14:paraId="015C48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1931 г. это были: Орудийно-Арсенальное объединение (Орударс), Оружейно-пулеметный трест (Ружпультрест), объединение Патрубвзрыв, Военно-химическое объединение, Снарядный трест, Первый химический трест, Глававиапром, ГВМУ. К 1933г. структура НКТП изменилась: Авиатрест (41 предприятие), Орударс (16 предприятий), Ружпультрест (4 предприятия), Патрубвзрыв (17 предприятий), Вохимтрест (13 предприятий), Снарядный трест (14 предприятий), Спецмаштрест (4 предприятия), Всесоюзный трест Искусственного волокна (ВИВ, 14 предприятий), Бензоскладстрой (4 базы), ГВМУ; всего 127 предприятий. Система управления была или двухступенчатой (главк-завод), или трехступенчатой (главк-трест-завод). ГВМУ действовало по трехступенчатой системе. Авиатрест выведен из подчинения ГВМУ в ведение непосредственно НКТП. С 1929 по 1933г. в состав Авиатреста вошло 23 новых предприятия. В состав Патрубвзрыва вошло 9 предприятий, в т.ч. 2 КБ. В 1933г. в составе НКТП созданы ГУ морского судостроения, «Главморпром» (8 ССЗ, 1 торпедный завод), и «Главречпром» (16 верфей). В 1934г. структура НКТП вновь была изменена: в состав ГВМУ входили Орударс (4 предприятия), ружейно-пулеметный трест, РУЖ (3), Патрубвзрыв (15), снарядный трест (16), Спецмаштрест (6), Бензоскладстрой (7), строительство (1), полигоны (3); ГВМУ (11), ГУАП (18); всего 94 предприятия. В 1936г. единое ГВМУ НКТП было разделено на ГУ военной промышленности (Главвоенпром) и ГУ боеприпасов (ГУБ), к которым перешли функции координатора деятельности военных заводов. В 1936г. в состав НКТП входили: Главвоенпром (18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 (11982).</w:t>
      </w:r>
    </w:p>
    <w:p w14:paraId="4C45D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7841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из общей суммы подлежащих размещению но</w:t>
      </w:r>
      <w:r w:rsidRPr="00E93F40">
        <w:rPr>
          <w:rFonts w:ascii="Times New Roman" w:hAnsi="Times New Roman"/>
          <w:color w:val="000000" w:themeColor="text1"/>
          <w:sz w:val="16"/>
          <w:szCs w:val="16"/>
        </w:rPr>
        <w:softHyphen/>
        <w:t>менклатур плана заказов на вооружение и боевую технику в размере 1275 млн. руб. было заключено генеральных и пря</w:t>
      </w:r>
      <w:r w:rsidRPr="00E93F40">
        <w:rPr>
          <w:rFonts w:ascii="Times New Roman" w:hAnsi="Times New Roman"/>
          <w:color w:val="000000" w:themeColor="text1"/>
          <w:sz w:val="16"/>
          <w:szCs w:val="16"/>
        </w:rPr>
        <w:softHyphen/>
        <w:t>мых договоров на сумму 1056,5 млн.руб. или 83% (ГАРФ ф. 8418, оп. 6, д. 3, л. 10) (1566). Это об</w:t>
      </w:r>
      <w:r w:rsidRPr="00E93F40">
        <w:rPr>
          <w:rFonts w:ascii="Times New Roman" w:hAnsi="Times New Roman"/>
          <w:color w:val="000000" w:themeColor="text1"/>
          <w:sz w:val="16"/>
          <w:szCs w:val="16"/>
        </w:rPr>
        <w:softHyphen/>
        <w:t>стоятельство наводит на мысль о том, что сталинская система уп</w:t>
      </w:r>
      <w:r w:rsidRPr="00E93F40">
        <w:rPr>
          <w:rFonts w:ascii="Times New Roman" w:hAnsi="Times New Roman"/>
          <w:color w:val="000000" w:themeColor="text1"/>
          <w:sz w:val="16"/>
          <w:szCs w:val="16"/>
        </w:rPr>
        <w:softHyphen/>
        <w:t>равления экономикой, кцторую в наши дни назвали «командно-административной системой», не являлась настолько жесткой, что производитель не мог отстаивать свои экономические инте</w:t>
      </w:r>
      <w:r w:rsidRPr="00E93F40">
        <w:rPr>
          <w:rFonts w:ascii="Times New Roman" w:hAnsi="Times New Roman"/>
          <w:color w:val="000000" w:themeColor="text1"/>
          <w:sz w:val="16"/>
          <w:szCs w:val="16"/>
        </w:rPr>
        <w:softHyphen/>
        <w:t>ресы (1566,85).</w:t>
      </w:r>
    </w:p>
    <w:p w14:paraId="5679E5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CD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на завод Новое Сормово приехал заместитель председателя ВСНХ Пятаков. При обследовании завода он был возмущен безобразным хранением под открытым небом дорогостоящего оборудования. Складских помещений не было, цеха только строились, а оборудование интенсивно поступало на завод. Пятаков арестовал начальника бюро оборудования завода Казачкина и его заместителя Колмакова сроком на один месяц с содержанием в изоляторе, находящемся на территории завода. В те годы в оборонной промышленности и на транспорте допускалось взыскание по типу воинской гауптвахты (арест). Арест был двух видов: с исполнением провинившимся своих служебных обязанностей (изолятор после работы) и без исполнения служебных обязанностей (весь период пребывания в изоляторе). Наиболее суровым в моральном отношении считалось последнее дисциплинарное наказание. В феврале 1933 года приказом ВОАО на должность директора завода был назначен Леонард Антонович Радкевич. Приход нового директора совпал с периодом развернутого строительства предприятия, монтажом оборудования, получением новых оборонных заказов. И это в крайне тяжелой обстановке острого дефицита строительных материалов и рабочей силы. Очень тяжелыми были социально-бытовые условия, особенно жилищные. С развитием производства и вводом новых цехов и производственных участков требовалось все больше и больше рабочих производственных специальностей. Директор завода Леонард Антонович Радкевич с первых дней вступления в должность ввел на заводе обязательное прохождение в цехах техминимума, а для руководящего состава организовал курсы хозяйственников. Планомерная учеба началась в 1934 году. К этому времени организовалось 47 кружков техминимума, где обучалось 753 человека. Здесь получили первичные знания рабочие, не имеющие производственной квалификации, а также повышали знания рабочие, уже имеющие определенный опыт. В 1932 году при профкоме начинает функционировать первая техническая библиотека с книжным фондом 2300 технических книг. Молодежь, да и люди старшего возраста потянулись к знаниям. Уже в 1932-1933 гг. на завод из-за рубежа стало поступать оборудование. Из-за низкой квалификации рабочих оно часто выходило из строя, особенно механизмы переключения скоростей у станков фирм «Франц Браун», «Воленберг», «Берингер» (11818).</w:t>
      </w:r>
    </w:p>
    <w:p w14:paraId="7353A7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3CFF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Курчевским для мотомеханизированных частей была спроектирована 76-мм самоходная пушка (СПК). Пушка устанавливалась на тумбе в трехосном легковом автомобиле «Форд». В некоторых документах эта система именовалась СУ-4.</w:t>
      </w:r>
    </w:p>
    <w:p w14:paraId="1E21F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пушки устроен одинаково с 76-мм МПК. Баллистика и боекомплект также одинаковы с МПК. Первый опытный образец установки не имел щита, позже появился небольшой щит.</w:t>
      </w:r>
    </w:p>
    <w:p w14:paraId="17F8F2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Данные установки СПК </w:t>
      </w:r>
    </w:p>
    <w:p w14:paraId="447DAA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76,2</w:t>
      </w:r>
    </w:p>
    <w:p w14:paraId="2415AC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с воронкой, мм/клб — 2033/27</w:t>
      </w:r>
    </w:p>
    <w:p w14:paraId="6E8FA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ВН, град — (-15); +25</w:t>
      </w:r>
    </w:p>
    <w:p w14:paraId="17C06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ГН, град — 240</w:t>
      </w:r>
    </w:p>
    <w:p w14:paraId="4B59C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тела орудия с затвором, кг — 75,9*</w:t>
      </w:r>
    </w:p>
    <w:p w14:paraId="4D6F1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затвора, кг — 12,6*</w:t>
      </w:r>
    </w:p>
    <w:p w14:paraId="3A001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тумбы без щита, кг — 49,8*</w:t>
      </w:r>
    </w:p>
    <w:p w14:paraId="30CBB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щита, кг — 27,8*</w:t>
      </w:r>
    </w:p>
    <w:p w14:paraId="12727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орудия в боевом положении, кг — 160,6*</w:t>
      </w:r>
    </w:p>
    <w:p w14:paraId="4D46E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Данные опытного образца, испытанного в июле 1932 г.</w:t>
      </w:r>
    </w:p>
    <w:p w14:paraId="34D6BA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Испытания опытного образца СПК были начаты 10 апреля 1932 г. на полигоне «Выстрел» в Кунцеве.</w:t>
      </w:r>
    </w:p>
    <w:p w14:paraId="2CC8D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Тумба с пушкой снималась с автомобиля и могла вести огонь с грунта. При стрельбе с грунта максимальный угол возвышения без подкапывания составлял 19°30?. Под шасси автомобиля «Форд» была подведена вторая ведущая ось. Для увеличения проходимости на задние колеса надевалась легкая съемная гусеница. Без гусениц по шоссе автомобиль с пушкой развивал скорость до 90 км/час.</w:t>
      </w:r>
    </w:p>
    <w:p w14:paraId="31147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стрельбе с автомобиля скорострельность составляла до 10 выстр/мин. Было сделано несколько выстрелов с ходу при скорости 15–20 км/час.</w:t>
      </w:r>
    </w:p>
    <w:p w14:paraId="79BAD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стрельбе с автомобиля угол горизонтального наведения составлял 240° (вперед и вбок), сектор в 120° назад не обстреливался.</w:t>
      </w:r>
    </w:p>
    <w:p w14:paraId="107A6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испытаний в Кунцеве СПК сделала пробег по маршруту Москва — Ленинград — НИАП со средней скоростью 37 км/час. Затем последовали испытания на НИАПе. Акт об их завершении был подписан 22 июля 1932 г.</w:t>
      </w:r>
    </w:p>
    <w:p w14:paraId="42799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Войсковые испытания СПК были проведены в московской Пролетарской стрелковой дивизии и 4-й кавалерийской дивизии, по результатам которых СП К была принята на вооружение кавалерийских и мотомеханизированных частей.</w:t>
      </w:r>
    </w:p>
    <w:p w14:paraId="4D8766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 планировалось вести серийное производство СПК на заводе № 8. В 1933 г. завод имел план на 25 СПК, но ни одной пушки не сдал.</w:t>
      </w:r>
    </w:p>
    <w:p w14:paraId="5E81AE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заводу № 7 было поручено освоить производство СПК. На 1934 г. ему заказали 10 °CПК, но вскоре с согласия заказчика систему сняли с производства «ввиду ее несовершенства». По отчету завода № 7 за 1934 т. было изготовлено всего 7 СПК.</w:t>
      </w:r>
    </w:p>
    <w:p w14:paraId="300EA2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1935 г. заводу № 7 было заказано 11 °CПК, а сдано под пломбу в течение года 20. Трубы и сопла для завода № 7 изготавливал завод «Большевик».</w:t>
      </w:r>
    </w:p>
    <w:p w14:paraId="3C810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завод № 38 должен был приступить к изготовлению и монтажу 5 °CПК на автомобилях.</w:t>
      </w:r>
    </w:p>
    <w:p w14:paraId="3D19C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Сколько всего было изготовлено систем — установить невозможно. Во всяком случае, к 1 ноября 1936 г. на вооружении РККА состояло 85 годных СПК. В ходе Зимней войны 1939–1940 гг. финнам удалось захватить одну установку СПК.</w:t>
      </w:r>
    </w:p>
    <w:p w14:paraId="21D9E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об участии СПК или каких-либо других пушек Курчевского в Великой Отечественной войне отсутствуют (12091).</w:t>
      </w:r>
    </w:p>
    <w:p w14:paraId="3E9D5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235BFE"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1932 г. Курчевским для мотомеханизированных частей была спроектирована 76-мм самоходная пушка (СПК). Пушка устанавливалась на тумбе в трехосном легковом автомобиле «Форд». В некоторых документах эта система именовалась СУ-4.</w:t>
      </w:r>
    </w:p>
    <w:p w14:paraId="4C8CEF12"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Ствол пушки устроен одинаково с 76-мм МПК. Баллистика и боекомплект также одинаковы с МПК. Первый опытный образец установки не имел щита, позже появился небольшой щит.</w:t>
      </w:r>
    </w:p>
    <w:p w14:paraId="55BC7089"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Данные установки СПК</w:t>
      </w:r>
    </w:p>
    <w:p w14:paraId="3936204C"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Калибр, мм 76,2</w:t>
      </w:r>
    </w:p>
    <w:p w14:paraId="6C81C5FE"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ствола с воронкой, мм/клб 2033/27</w:t>
      </w:r>
    </w:p>
    <w:p w14:paraId="49959EEE"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Угол ВН, град. –15°; +25°</w:t>
      </w:r>
    </w:p>
    <w:p w14:paraId="0BFEDB78"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Угол ГН, град. 240°</w:t>
      </w:r>
    </w:p>
    <w:p w14:paraId="4B363740"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тела орудия с затвором, кг 75,9*</w:t>
      </w:r>
    </w:p>
    <w:p w14:paraId="79F275FA"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затвора, кг 12,6*</w:t>
      </w:r>
    </w:p>
    <w:p w14:paraId="65A4EEF4"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тумбы без щита, кг 49,8*</w:t>
      </w:r>
    </w:p>
    <w:p w14:paraId="036FFFA7"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щита, кг 27,8*</w:t>
      </w:r>
    </w:p>
    <w:p w14:paraId="7AAF6A8D"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орудия в боевом положении, кг 160,6*</w:t>
      </w:r>
    </w:p>
    <w:p w14:paraId="3697AEF7"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Данные опытного образца, испытанного в июле 1932 г. (25213)ю</w:t>
      </w:r>
    </w:p>
    <w:p w14:paraId="74200A6D" w14:textId="77777777" w:rsidR="00E254A5" w:rsidRPr="00142305" w:rsidRDefault="00E254A5" w:rsidP="00E254A5">
      <w:pPr>
        <w:spacing w:after="0" w:line="240" w:lineRule="auto"/>
        <w:jc w:val="both"/>
        <w:rPr>
          <w:rStyle w:val="aff"/>
          <w:rFonts w:ascii="Times New Roman" w:hAnsi="Times New Roman" w:cs="Times New Roman"/>
          <w:color w:val="0070C0"/>
          <w:spacing w:val="0"/>
          <w:sz w:val="16"/>
          <w:szCs w:val="16"/>
        </w:rPr>
      </w:pPr>
    </w:p>
    <w:p w14:paraId="35496CA8"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Курчевским был разработан проект 100-мм корабельной ДРП для установки на малых речных канонерских лодках, подводных лодках и мобилизованных судах речного форта. Вес снаряда 100-мм пушки 16 кг, начальная скорость 550 м/с.</w:t>
      </w:r>
    </w:p>
    <w:p w14:paraId="5CDA3E00"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началось изготовление опытного образца 100-мм ДРП. (Сх. 7)</w:t>
      </w:r>
    </w:p>
    <w:p w14:paraId="3B895F17"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в 1932 г. предполагалось изготовить сто 100-мм ДРП. Их предполагалось установить на канонерских лодках ГВИУ, тральщиках, подводных лодках и мобилизованных судах речного флота.</w:t>
      </w:r>
    </w:p>
    <w:p w14:paraId="2011CE13"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весе снаряда 16 кг начальная скорость составляла 550 м/с.</w:t>
      </w:r>
    </w:p>
    <w:p w14:paraId="661B64C6"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100-мм ДРП были испытаны на Тихом океане на тральщиках «Патрокл» и «Пластун» (15117).</w:t>
      </w:r>
    </w:p>
    <w:p w14:paraId="43F5F0C6" w14:textId="77777777" w:rsidR="00AE3492" w:rsidRPr="00E93F40" w:rsidRDefault="00AE3492" w:rsidP="00E93F40">
      <w:pPr>
        <w:spacing w:after="0" w:line="240" w:lineRule="auto"/>
        <w:jc w:val="both"/>
        <w:rPr>
          <w:rFonts w:ascii="Times New Roman" w:hAnsi="Times New Roman"/>
          <w:color w:val="000000" w:themeColor="text1"/>
          <w:sz w:val="16"/>
          <w:szCs w:val="16"/>
        </w:rPr>
      </w:pPr>
    </w:p>
    <w:p w14:paraId="288826C8"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Курчевским был разработан проект 100мм корабельной ДРП для установки на малых речных канонерских лодках, подводных лодках и мобилизованных судах речного форта. Вес снаряда 100-мм пушки — 16 кг, начальная скорость — 550 м/с.</w:t>
      </w:r>
    </w:p>
    <w:p w14:paraId="0A4480A8"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началось изготовление опытного образца 100-мм ДРП. Однако вскоре Курчевский забросил этот проект, и до корабельных испытаний дело не дошло (12091).</w:t>
      </w:r>
    </w:p>
    <w:p w14:paraId="010850C7"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p>
    <w:p w14:paraId="2AE0A056"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1932 г. Курчевским был разработан проект 100-мм корабельной ДРП для установки на малых речных канонерских лодках, подводных лодках и мобилизованных судах речного форта. Вес снаряда 100-мм пушки 16 кг, начальная скорость 550 м/с.</w:t>
      </w:r>
    </w:p>
    <w:p w14:paraId="0673BC6B"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июне 1932 г. началось изготовление опытного образца 100-мм ДРП.</w:t>
      </w:r>
    </w:p>
    <w:p w14:paraId="210FF8B0"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плану в 1932 г. предполагалось изготовить сто 100-мм ДРП. Их предполагалось установить на канонерских лодках ГВИУ, тральщиках, подводных лодках и мобилизованных судах речного флота.</w:t>
      </w:r>
    </w:p>
    <w:p w14:paraId="7CC44B08"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весе снаряда 16 кг начальная скорость составляла 550 м/с.</w:t>
      </w:r>
    </w:p>
    <w:p w14:paraId="117F5C9B"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100-мм ДРП были испытаны на Тихом океане на тральщиках «Патрокл» и «Пластун» (25213).</w:t>
      </w:r>
    </w:p>
    <w:p w14:paraId="5E1072F5" w14:textId="77777777" w:rsidR="00E254A5" w:rsidRPr="00142305" w:rsidRDefault="00E254A5" w:rsidP="00E254A5">
      <w:pPr>
        <w:spacing w:after="0" w:line="240" w:lineRule="auto"/>
        <w:jc w:val="both"/>
        <w:rPr>
          <w:rStyle w:val="aff"/>
          <w:rFonts w:ascii="Times New Roman" w:hAnsi="Times New Roman" w:cs="Times New Roman"/>
          <w:color w:val="0070C0"/>
          <w:spacing w:val="0"/>
          <w:sz w:val="16"/>
          <w:szCs w:val="16"/>
        </w:rPr>
      </w:pPr>
    </w:p>
    <w:p w14:paraId="4D22A489"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Курчевским была спроектирована 152-мм полковая мортира на шасси трехосного автомобиля. Курчевский назвал свое орудие мортирой только затем, чтобы влезть с ней в систему артиллерийского вооружения РККА. На самом деле это орудие не могло вести навесной стрельбы и было фактически пушкой, то есть ДРП.</w:t>
      </w:r>
    </w:p>
    <w:p w14:paraId="450EF5FC"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152-мм ДРП был устроен наподобие 76-мм МПК, Заряжание производилось с казенной части, воронка при этом сдвигалась. Ствол был установлен на легкой тумбе. Тумба помещалась в кузове грузового автомобиля. В качестве шасси использовались автомобили «АМО-6» и «Форд».</w:t>
      </w:r>
    </w:p>
    <w:p w14:paraId="69FF92B2"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заводе № 8 был изготовлен опытный образец 152-мм ДРП Курчевского. ДРП установили на трехосном автомобиле «Форд». В ходе заводских испытаний летом 1932 г. при весе снаряда 24 кг и заряда 6 кг пороха была получена начальная скорость 400 м/с.</w:t>
      </w:r>
    </w:p>
    <w:p w14:paraId="0CABA1D1"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152-мм ДРП Курчевского на заводе № 73 в 1932— 1933 гг. было изготовлено 2500 фугасных снарядов чертежа 4637 и 1000 лафетопробных снарядов, специально сконструированных для нее. Отметим, что 152-мм снаряд весом 24 кг — очень легкий для такого калибра. Для сравнения: 122-мм гаубичный снаряд имел вес 22 кг, а 152-мм гаубичный снаряд весил 40—43 кг.</w:t>
      </w:r>
    </w:p>
    <w:p w14:paraId="2F6B78AA"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25—26 марта 1933 г. на полигоне «Выстрел» в Кунцево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4900CBE7" w14:textId="77777777" w:rsidR="00AE3492" w:rsidRPr="00E93F40" w:rsidRDefault="00AE3492" w:rsidP="00E93F40">
      <w:pPr>
        <w:spacing w:after="0" w:line="240" w:lineRule="auto"/>
        <w:jc w:val="both"/>
        <w:rPr>
          <w:rFonts w:ascii="Times New Roman" w:hAnsi="Times New Roman"/>
          <w:bCs/>
          <w:color w:val="000000" w:themeColor="text1"/>
          <w:sz w:val="16"/>
          <w:szCs w:val="16"/>
        </w:rPr>
      </w:pPr>
      <w:bookmarkStart w:id="11" w:name="label63"/>
      <w:bookmarkEnd w:id="11"/>
      <w:r w:rsidRPr="00E93F40">
        <w:rPr>
          <w:rFonts w:ascii="Times New Roman" w:hAnsi="Times New Roman"/>
          <w:bCs/>
          <w:color w:val="000000" w:themeColor="text1"/>
          <w:sz w:val="16"/>
          <w:szCs w:val="16"/>
        </w:rPr>
        <w:t>Данные установки</w:t>
      </w:r>
    </w:p>
    <w:p w14:paraId="3E9B34F6"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152,4*</w:t>
      </w:r>
    </w:p>
    <w:p w14:paraId="634B8540"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без сопла, мм/клб …… 5090/33,5</w:t>
      </w:r>
    </w:p>
    <w:p w14:paraId="6343D7D1"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сопла, мм …… 1750</w:t>
      </w:r>
    </w:p>
    <w:p w14:paraId="3CBB5886"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ВН, град. …… -5°; +35°</w:t>
      </w:r>
    </w:p>
    <w:p w14:paraId="7A3FE039"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ГН, град …… 270°</w:t>
      </w:r>
    </w:p>
    <w:p w14:paraId="7F89D8D9"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ствола с тумбой, кг …… 750 (по др. источникам— 850)</w:t>
      </w:r>
    </w:p>
    <w:p w14:paraId="6650FDA2"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Возимый боекомплект, выстр …… 20</w:t>
      </w:r>
    </w:p>
    <w:p w14:paraId="4C1F12FB"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 чел. …… 2—3</w:t>
      </w:r>
    </w:p>
    <w:p w14:paraId="5F280CEF"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снаряда, кг …… 24</w:t>
      </w:r>
    </w:p>
    <w:p w14:paraId="1E85204B"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Начальная скорость, м/с …… 450</w:t>
      </w:r>
    </w:p>
    <w:p w14:paraId="74348D33"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предельная, м …… 8500</w:t>
      </w:r>
    </w:p>
    <w:p w14:paraId="1F19C0F6"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Скорострельность …… 4 выстрела за 45—60 с</w:t>
      </w:r>
    </w:p>
    <w:p w14:paraId="3A0C5258"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испытаний комиссия отметила, что:</w:t>
      </w:r>
    </w:p>
    <w:p w14:paraId="05BFBD8F"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Стрельба должна вестись исключительно с места.</w:t>
      </w:r>
    </w:p>
    <w:p w14:paraId="27D7C448"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Платформа при стрельбе неустойчива, требуются упоры в грунт.</w:t>
      </w:r>
    </w:p>
    <w:p w14:paraId="1B91D3E0"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447A0A6C"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18EEA71B"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и другие проекты 152-мм ДРП Курчевского, но ни одна из них не&gt; поступила ни на вооружение, ни в серийное производство.</w:t>
      </w:r>
    </w:p>
    <w:p w14:paraId="168D706E"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Письмом от 24 июля 1930 г. «Оружобъединение» поставило в известность завод «Большевик» о предстоящем изготовлении 305-мм ДРП Курчевского и 50 снарядов.</w:t>
      </w:r>
    </w:p>
    <w:p w14:paraId="4B1EF996"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7E59D039"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569607A7"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54B06FB4"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0FBA24A9"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731D19D2"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3E74707F"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140C7E7F"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3E5D971E"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277B3098"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3C03F0C4"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7E3855DB"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5242BDC6"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657741A6" w14:textId="77777777" w:rsidR="00AE3492" w:rsidRPr="00E93F40" w:rsidRDefault="00AE3492" w:rsidP="00E93F40">
      <w:pPr>
        <w:spacing w:after="0" w:line="240" w:lineRule="auto"/>
        <w:jc w:val="both"/>
        <w:rPr>
          <w:rFonts w:ascii="Times New Roman" w:hAnsi="Times New Roman"/>
          <w:color w:val="000000" w:themeColor="text1"/>
          <w:sz w:val="16"/>
          <w:szCs w:val="16"/>
        </w:rPr>
      </w:pPr>
    </w:p>
    <w:p w14:paraId="6C4DA8EC"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Курчевским была спроектирована 152-мм полковая мортира на шасси трехосного автомобиля. Курчевский назвал свое орудие мортирой только затем, чтобы влезть с ней в систему артиллерийского вооружения РККА. На самом деле это орудие не могло вести навесной стрельбы и было фактически пушкой, то есть ДРП.</w:t>
      </w:r>
    </w:p>
    <w:p w14:paraId="7A565A18"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152-мм ДРП был устроен наподобие 76-мм МПК. Заряжание производилось с казенной части, воронка при этом сдвигалась. Ствол был установлен на легкой тумбе. Тумба помещалась в кузове грузового автомобиля. В качестве шасси использовались автомобили «АМО-6» и «Форд».</w:t>
      </w:r>
    </w:p>
    <w:p w14:paraId="5DCB4E5E"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заводе № 8 был изготовлен опытный образец 152-мм ДРП Курчевского. ДРП установили на трехосном автомобиле «Форд». В ходе заводских испытаний летом 1932 г. при весе снаряда 24 кг и заряда 6 кг пороха Г2–48 была получена начальная скорость 400 м/с.</w:t>
      </w:r>
    </w:p>
    <w:p w14:paraId="5B8A4B88"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152-мм ДРП Курчевского на заводе № 73 в 1932–1933 гг. было изготовлено 2500 фугасных снарядов чертежа 4637 и 1000 лафетопробных снарядов, специально сконструированных для нее. Отметим, что 152-мм снаряд весом 24 кг очень легкий для такого калибра. Для сравнения: 122-мм гаубичный снаряд имел вес 22 кг, а 152-мм гаубичный снаряд весил 40–43 кг.</w:t>
      </w:r>
    </w:p>
    <w:p w14:paraId="63808303"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25–26 марта 1933 г. на полигоне «Выстрел» в Кунцеве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542EE56D"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Данные установки </w:t>
      </w:r>
    </w:p>
    <w:p w14:paraId="2624708C"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152,4</w:t>
      </w:r>
    </w:p>
    <w:p w14:paraId="5EFE7E8D"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без сопла, мм/клб — 5090/33,5</w:t>
      </w:r>
    </w:p>
    <w:p w14:paraId="6449E34D"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сопла, мм — 1750</w:t>
      </w:r>
    </w:p>
    <w:p w14:paraId="01A1F963"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ВН, град — ?5; +35</w:t>
      </w:r>
    </w:p>
    <w:p w14:paraId="3DE8FA78"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ГН, град — 270</w:t>
      </w:r>
    </w:p>
    <w:p w14:paraId="2DDDAD94"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ствола с тумбой, кг — 750 (по др. источникам 850)</w:t>
      </w:r>
    </w:p>
    <w:p w14:paraId="2C58DFDB"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Возимый боекомплект, выстр — 20</w:t>
      </w:r>
    </w:p>
    <w:p w14:paraId="6890AD46"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 чел — 2–3</w:t>
      </w:r>
    </w:p>
    <w:p w14:paraId="115432AB"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снаряда, кг — 24</w:t>
      </w:r>
    </w:p>
    <w:p w14:paraId="66289499"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Начальная скорость, м/с — 450</w:t>
      </w:r>
    </w:p>
    <w:p w14:paraId="3DD9A08D"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предельная, м — 8500</w:t>
      </w:r>
    </w:p>
    <w:p w14:paraId="60F11B6F"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Скорострельность — 4 выстрела за 45–60 с.</w:t>
      </w:r>
    </w:p>
    <w:p w14:paraId="1CB665D7"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испытаний комиссия отметила, что:</w:t>
      </w:r>
    </w:p>
    <w:p w14:paraId="1C6DADE4"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Стрельба должна вестись исключительно с места.</w:t>
      </w:r>
    </w:p>
    <w:p w14:paraId="36B4D3ED"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Платформа при стрельбе неустойчива, требуются упоры в грунт.</w:t>
      </w:r>
    </w:p>
    <w:p w14:paraId="52330B9B"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0B51115A"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40136D95"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и другие проекты 152-мм ДРП Курчевского, но ни одна из них не поступила ни на вооружение, ни в серийное производство (12091).</w:t>
      </w:r>
    </w:p>
    <w:p w14:paraId="445FB655"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p>
    <w:p w14:paraId="5490A93E"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1932 г. Курчевским была спроектирована 152-мм полковая мортира на шасси трехосного автомобиля. Курчевский назвал свое орудие мортирой только затем, чтобы влезть с ней в систему артиллерийского вооружения РККА. На самом деле это орудие не могло вести навесной стрельбы и было фактически пушкой, то есть ДРП.</w:t>
      </w:r>
    </w:p>
    <w:p w14:paraId="4CB98F48"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Ствол 152-мм ДРП был устроен наподобие 76-мм МПК. Заряжание производилось с казенной части, воронка при этом сдвигалась. Ствол был установлен на легкой тумбе. Тумба помещалась в кузове грузового автомобиля. В качестве шасси использовались автомобили «АМО-6» и «Форд».</w:t>
      </w:r>
    </w:p>
    <w:p w14:paraId="05BA9C3E"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1932 г. на заводе № 8 был изготовлен опытный образец 152-мм ДРП Курчевского. ДРП установили на трехосном автомобиле «Форд». В ходе заводских испытаний летом 1932 г. при весе снаряда 24 кг и заряда 6 кг пороха была получена начальная скорость 400 м/с (25213).</w:t>
      </w:r>
    </w:p>
    <w:p w14:paraId="6308BD41" w14:textId="77777777" w:rsidR="00E254A5" w:rsidRPr="00142305" w:rsidRDefault="00E254A5" w:rsidP="00E254A5">
      <w:pPr>
        <w:spacing w:after="0" w:line="240" w:lineRule="auto"/>
        <w:jc w:val="both"/>
        <w:rPr>
          <w:rStyle w:val="aff"/>
          <w:rFonts w:ascii="Times New Roman" w:hAnsi="Times New Roman" w:cs="Times New Roman"/>
          <w:color w:val="0070C0"/>
          <w:spacing w:val="0"/>
          <w:sz w:val="16"/>
          <w:szCs w:val="16"/>
        </w:rPr>
      </w:pPr>
    </w:p>
    <w:p w14:paraId="2B1E6CA6"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Курчевский разработал проект 305-мм пушки ДРП на железнодорожной платформе. Вес артиллерийской части 6—10 т. При стрельбе 250-кг снарядом начальная скорость составляла 600 м/с, а дальность 20—25 км. А при стрельбе 330-кг снарядом, соответственно, 550 м/с и 10—15 км.</w:t>
      </w:r>
    </w:p>
    <w:p w14:paraId="493AF2FF" w14:textId="77777777" w:rsidR="00AE3492" w:rsidRPr="00E93F40" w:rsidRDefault="00AE3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Было начато изготовление опытного образца. Испытания предполагалось начать в сентябре 1932 г. Увы, «косные» военспецы заблокировали сей проект, и до испытаний дело не дошло (15117).</w:t>
      </w:r>
    </w:p>
    <w:p w14:paraId="7589008B" w14:textId="77777777" w:rsidR="00AE3492" w:rsidRPr="00E93F40" w:rsidRDefault="00AE3492" w:rsidP="00E93F40">
      <w:pPr>
        <w:spacing w:after="0" w:line="240" w:lineRule="auto"/>
        <w:jc w:val="both"/>
        <w:rPr>
          <w:rFonts w:ascii="Times New Roman" w:hAnsi="Times New Roman"/>
          <w:color w:val="000000" w:themeColor="text1"/>
          <w:sz w:val="16"/>
          <w:szCs w:val="16"/>
        </w:rPr>
      </w:pPr>
    </w:p>
    <w:p w14:paraId="41B8516E"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было начато проектирование 305/40-мм ж. д. установки ТМ-2-12. Их выпуск полностью осуществлял завод им. Марти в г. Николаеве (завод № 198). Установки ТМ-1-14, ТМ-2-12 и ТМ-3-12 были устроены в принципе одинаково. Изготовление стволов калибра 305-мм и выше прекращено отечественной промышленностью в 1917 году и возобновлено только в конце 30-х годов. Поэтому для 356-мм установок использовали стволы, имевшиеся на крейсерах типа "Измаил", которые производились в Англии для России в 1915-1917 годах. Для ТМ-2-12 применялись 305/40-мм стволы (также изготовленные в Англии, которые находились в качестве запасных на броненосцах типа "Андрей Первозванный"). Установки ТМ-3-12 получили 305/52-мм орудия, поднятые в буквальном смысле со дна моря, точнее, с затопленного в Севастополе линкора "Императрица Мария" (3861).</w:t>
      </w:r>
    </w:p>
    <w:p w14:paraId="5718C340" w14:textId="77777777" w:rsidR="00E254A5" w:rsidRPr="00E93F40" w:rsidRDefault="00E254A5" w:rsidP="00E254A5">
      <w:pPr>
        <w:autoSpaceDE w:val="0"/>
        <w:autoSpaceDN w:val="0"/>
        <w:adjustRightInd w:val="0"/>
        <w:spacing w:after="0" w:line="240" w:lineRule="auto"/>
        <w:jc w:val="both"/>
        <w:rPr>
          <w:rFonts w:ascii="Times New Roman" w:hAnsi="Times New Roman"/>
          <w:color w:val="000000" w:themeColor="text1"/>
          <w:sz w:val="16"/>
          <w:szCs w:val="16"/>
        </w:rPr>
      </w:pPr>
    </w:p>
    <w:p w14:paraId="5E454E87"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1932 г. Курчевский разработал проект 305-мм пушки ДРП на железнодорожной платформе. Вес артиллерийской части 6—10 т. При стрельбе 250-кг снарядом начальная скорость составляла 600 м/с, а дальность 20–25 км. А при стрельбе 330-кг снарядом, соответственно, 550 м/с и 10–15 км.</w:t>
      </w:r>
    </w:p>
    <w:p w14:paraId="23E281F6"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Было начато изготовление опытного образца. Испытания предполагалось начать в сентябре 1932 г. Увы, «косные» военспецы заблокировали сей проект, и до испытаний дело не дошло (25213).</w:t>
      </w:r>
    </w:p>
    <w:p w14:paraId="43A089F1" w14:textId="77777777" w:rsidR="00E254A5" w:rsidRPr="00142305" w:rsidRDefault="00E254A5" w:rsidP="00E254A5">
      <w:pPr>
        <w:spacing w:after="0" w:line="240" w:lineRule="auto"/>
        <w:jc w:val="both"/>
        <w:rPr>
          <w:rStyle w:val="aff"/>
          <w:rFonts w:ascii="Times New Roman" w:hAnsi="Times New Roman" w:cs="Times New Roman"/>
          <w:color w:val="0070C0"/>
          <w:spacing w:val="0"/>
          <w:sz w:val="16"/>
          <w:szCs w:val="16"/>
        </w:rPr>
      </w:pPr>
    </w:p>
    <w:p w14:paraId="7F399EEC" w14:textId="512987EC" w:rsidR="00EA543B" w:rsidRPr="00E93F40" w:rsidRDefault="00EA54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было изготовлено три ТМ-1-14 (к этому времени имелось в наличии 16 орудий 356/52). Передвижение транспортёров по железнодорожным путям вызывало немалые трудности. Первой из них был переезд через Неву по Финляндскому железнодорожному мосту, который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был рассчитан на осевую нагрузку в 20 т. На транспортёрах на самой нагруженной оси она достигала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~28 т (общий вес транспортёра -400 т). Потребовалось специальное обследование моста, которое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подтвердило возможность передвижения по нему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транспортёра. В связи с тем, что железнодорожные пути на Ржевском полигоне были слабые, испытания было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решено проводить в Лебяжьем. Из трёх первых транспортёров ТМ-1-14 была организована батарея № 6 (15132).</w:t>
      </w:r>
    </w:p>
    <w:p w14:paraId="6092B1A7" w14:textId="77777777" w:rsidR="00EA543B" w:rsidRPr="00E93F40" w:rsidRDefault="00EA543B" w:rsidP="00E93F40">
      <w:pPr>
        <w:spacing w:after="0" w:line="240" w:lineRule="auto"/>
        <w:jc w:val="both"/>
        <w:rPr>
          <w:rFonts w:ascii="Times New Roman" w:hAnsi="Times New Roman"/>
          <w:color w:val="000000" w:themeColor="text1"/>
          <w:sz w:val="16"/>
          <w:szCs w:val="16"/>
        </w:rPr>
      </w:pPr>
    </w:p>
    <w:p w14:paraId="76B63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приступили к изготовлению тела орудия и станка 130/45-мм установки для подводных лодок с углом возвышения до +30 и для надводных кораблей с углом возвышения +45. Все рабочие чертежи были запущены в производство в мае 1932 года, за исключением чертежей досылателя, которые многократно менялись, что вело за собой многочисленные изменения в казеннике и затворе. Еще на стадии проектирования прекратились работы по изготовлению 130-мм установок для подводных лодок (3861).</w:t>
      </w:r>
    </w:p>
    <w:p w14:paraId="48AE8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3ABFE2" w14:textId="77777777" w:rsidR="00246B6F" w:rsidRPr="00142305" w:rsidRDefault="00246B6F" w:rsidP="00246B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года, как только появились первые образцы 45-мм танковой пушки началось проектирование танка БТ, вооружен</w:t>
      </w:r>
      <w:r w:rsidRPr="00142305">
        <w:rPr>
          <w:rFonts w:ascii="Times New Roman" w:hAnsi="Times New Roman"/>
          <w:color w:val="0070C0"/>
          <w:sz w:val="16"/>
          <w:szCs w:val="16"/>
        </w:rPr>
        <w:softHyphen/>
        <w:t>ного 45-мм пушкой 20К (25009).</w:t>
      </w:r>
    </w:p>
    <w:p w14:paraId="67DFFCAB" w14:textId="77777777" w:rsidR="00246B6F" w:rsidRPr="00142305" w:rsidRDefault="00246B6F" w:rsidP="00246B6F">
      <w:pPr>
        <w:spacing w:after="0" w:line="240" w:lineRule="auto"/>
        <w:jc w:val="both"/>
        <w:rPr>
          <w:rFonts w:ascii="Times New Roman" w:hAnsi="Times New Roman"/>
          <w:color w:val="0070C0"/>
          <w:sz w:val="16"/>
          <w:szCs w:val="16"/>
        </w:rPr>
      </w:pPr>
    </w:p>
    <w:p w14:paraId="6A7887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нача</w:t>
      </w:r>
      <w:r w:rsidRPr="00E93F40">
        <w:rPr>
          <w:rFonts w:ascii="Times New Roman" w:hAnsi="Times New Roman"/>
          <w:color w:val="000000" w:themeColor="text1"/>
          <w:sz w:val="16"/>
          <w:szCs w:val="16"/>
        </w:rPr>
        <w:softHyphen/>
        <w:t>ла 1932 г. в танке Т-26 были введены новый бензобак и маслобак (10733,179).</w:t>
      </w:r>
    </w:p>
    <w:p w14:paraId="2D009F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58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после выполнения эскизных чертежей и постройки деревянной модели танка все работы по Т-30 были прекращены, ввиду его полной несостоятельности, как боевой машины (3862).</w:t>
      </w:r>
    </w:p>
    <w:p w14:paraId="6442E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D6E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коллектив конструкторско-испытательного бюро УММ РККА под руководством Н.Дыренкова предложил проект танка Д-38, представлявший собой корпус БТ-2, с некоторыми узлами от оригинального танка «Кристи» (такой танк имелся в бюро) с водруженным на нем деревянным макетом башни, в которой была смонтирована 76-мм противоштурмовая пушка «Гарфорда» («противоштурмовая пушка обр. 1910 г.»). В целом макет произвел неплохое впечатление и башенная установка была заказана Ижорскому заводу в двух вариантах - сварном из плоских броневых листов и частично штампованном «обтекаемой формы» для проведения дальнейших испытаний на танках Т-26 и БТ-2 (6469, 12).</w:t>
      </w:r>
    </w:p>
    <w:p w14:paraId="516BA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7603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конструкторско-испытательное бюро УММ РККА под руководством Н.И. Дыренкова предложило проект танка Д-38, представлявший собой корпус БТ-2, с некоторыми узлами оригинального танка «Кристи» (именно такой танк имелся в бюро) с водруженным на нем деревянным макетом баш</w:t>
      </w:r>
      <w:r w:rsidRPr="00E93F40">
        <w:rPr>
          <w:rFonts w:ascii="Times New Roman" w:hAnsi="Times New Roman"/>
          <w:color w:val="000000" w:themeColor="text1"/>
          <w:sz w:val="16"/>
          <w:szCs w:val="16"/>
        </w:rPr>
        <w:softHyphen/>
        <w:t>ни, в которой была смонтирована 76-мм противоштурмо-вая пушка «Гарфода» обр. 1910 г. (или даже «короткая пуш</w:t>
      </w:r>
      <w:r w:rsidRPr="00E93F40">
        <w:rPr>
          <w:rFonts w:ascii="Times New Roman" w:hAnsi="Times New Roman"/>
          <w:color w:val="000000" w:themeColor="text1"/>
          <w:sz w:val="16"/>
          <w:szCs w:val="16"/>
        </w:rPr>
        <w:softHyphen/>
        <w:t>ка» обр. 1913 г.). Второй вариант Д-38 нес вооружение из 76,2-мм пушки в корпусе и 37-мм пушки в башне танка.</w:t>
      </w:r>
    </w:p>
    <w:p w14:paraId="0C6288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 был спроектирован неграмотно, но макет башни первого варианта Д-38 произвел неплохое впечатление, и та</w:t>
      </w:r>
      <w:r w:rsidRPr="00E93F40">
        <w:rPr>
          <w:rFonts w:ascii="Times New Roman" w:hAnsi="Times New Roman"/>
          <w:color w:val="000000" w:themeColor="text1"/>
          <w:sz w:val="16"/>
          <w:szCs w:val="16"/>
        </w:rPr>
        <w:softHyphen/>
        <w:t>кая башня была заказана Ижорскому заводу в двух вариан</w:t>
      </w:r>
      <w:r w:rsidRPr="00E93F40">
        <w:rPr>
          <w:rFonts w:ascii="Times New Roman" w:hAnsi="Times New Roman"/>
          <w:color w:val="000000" w:themeColor="text1"/>
          <w:sz w:val="16"/>
          <w:szCs w:val="16"/>
        </w:rPr>
        <w:softHyphen/>
        <w:t>тах (сварном из плоских броневых листов и частично штам</w:t>
      </w:r>
      <w:r w:rsidRPr="00E93F40">
        <w:rPr>
          <w:rFonts w:ascii="Times New Roman" w:hAnsi="Times New Roman"/>
          <w:color w:val="000000" w:themeColor="text1"/>
          <w:sz w:val="16"/>
          <w:szCs w:val="16"/>
        </w:rPr>
        <w:softHyphen/>
        <w:t>пованной «обтекаемой», или «грибообразной» формы) для проведения дальнейших испытаний на танках Т-26 и БТ-2.</w:t>
      </w:r>
    </w:p>
    <w:p w14:paraId="3B286C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Штампованная башня была изготовлена раньше и, буду</w:t>
      </w:r>
      <w:r w:rsidRPr="00E93F40">
        <w:rPr>
          <w:rFonts w:ascii="Times New Roman" w:hAnsi="Times New Roman"/>
          <w:color w:val="000000" w:themeColor="text1"/>
          <w:sz w:val="16"/>
          <w:szCs w:val="16"/>
        </w:rPr>
        <w:softHyphen/>
        <w:t>чи установлена на танк БТ-2, уже в марте 1932 г. выдержала испытания возкой и стрельбой. Но из-за большого отката и чрезмерной реакции на погон испытания были прекращены «вплоть до готовности новой 76-мм танковой пушки обр. 1927 г. укороченного отката». Вместо запланированных на испытаниях 200 выстрелов было сделано лишь 50.</w:t>
      </w:r>
    </w:p>
    <w:p w14:paraId="18C462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Первые испытания «улучшенной сварной башни», по</w:t>
      </w:r>
      <w:r w:rsidRPr="00E93F40">
        <w:rPr>
          <w:rFonts w:ascii="Times New Roman" w:hAnsi="Times New Roman"/>
          <w:color w:val="000000" w:themeColor="text1"/>
          <w:sz w:val="16"/>
          <w:szCs w:val="16"/>
        </w:rPr>
        <w:softHyphen/>
        <w:t>лучившей индекс А-43, проходили в НИАП с 26 ноября по 5 декабря 1932 г. Башня была установлена на переработан</w:t>
      </w:r>
      <w:r w:rsidRPr="00E93F40">
        <w:rPr>
          <w:rFonts w:ascii="Times New Roman" w:hAnsi="Times New Roman"/>
          <w:color w:val="000000" w:themeColor="text1"/>
          <w:sz w:val="16"/>
          <w:szCs w:val="16"/>
        </w:rPr>
        <w:softHyphen/>
        <w:t>ный корпус танка Т-26. Большой размер круга обслужива</w:t>
      </w:r>
      <w:r w:rsidRPr="00E93F40">
        <w:rPr>
          <w:rFonts w:ascii="Times New Roman" w:hAnsi="Times New Roman"/>
          <w:color w:val="000000" w:themeColor="text1"/>
          <w:sz w:val="16"/>
          <w:szCs w:val="16"/>
        </w:rPr>
        <w:softHyphen/>
        <w:t>ния (погона) башни заставил наращивать длину подба</w:t>
      </w:r>
      <w:r w:rsidRPr="00E93F40">
        <w:rPr>
          <w:rFonts w:ascii="Times New Roman" w:hAnsi="Times New Roman"/>
          <w:color w:val="000000" w:themeColor="text1"/>
          <w:sz w:val="16"/>
          <w:szCs w:val="16"/>
        </w:rPr>
        <w:softHyphen/>
        <w:t>шенной коробки Т-26 назад, что привело к установке кор</w:t>
      </w:r>
      <w:r w:rsidRPr="00E93F40">
        <w:rPr>
          <w:rFonts w:ascii="Times New Roman" w:hAnsi="Times New Roman"/>
          <w:color w:val="000000" w:themeColor="text1"/>
          <w:sz w:val="16"/>
          <w:szCs w:val="16"/>
        </w:rPr>
        <w:softHyphen/>
        <w:t>мового листа наклонно.</w:t>
      </w:r>
    </w:p>
    <w:p w14:paraId="410906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выявили большое количество недостатков как в конструкции башни, так и в конструкции пушки. Неудачная конструкция погона заставляла прикладывать на маховик поворотного механизма чрезмерные усилия, особенно при страгивании башни с места. Полковую пушку ус</w:t>
      </w:r>
      <w:r w:rsidRPr="00E93F40">
        <w:rPr>
          <w:rFonts w:ascii="Times New Roman" w:hAnsi="Times New Roman"/>
          <w:color w:val="000000" w:themeColor="text1"/>
          <w:sz w:val="16"/>
          <w:szCs w:val="16"/>
        </w:rPr>
        <w:softHyphen/>
        <w:t>тановить в башню не удалось из-за чрезмерной длины отка</w:t>
      </w:r>
      <w:r w:rsidRPr="00E93F40">
        <w:rPr>
          <w:rFonts w:ascii="Times New Roman" w:hAnsi="Times New Roman"/>
          <w:color w:val="000000" w:themeColor="text1"/>
          <w:sz w:val="16"/>
          <w:szCs w:val="16"/>
        </w:rPr>
        <w:softHyphen/>
        <w:t>та (до 900 мм). Уменьшить же откат путем применения дуль</w:t>
      </w:r>
      <w:r w:rsidRPr="00E93F40">
        <w:rPr>
          <w:rFonts w:ascii="Times New Roman" w:hAnsi="Times New Roman"/>
          <w:color w:val="000000" w:themeColor="text1"/>
          <w:sz w:val="16"/>
          <w:szCs w:val="16"/>
        </w:rPr>
        <w:softHyphen/>
        <w:t>ного тормоза АНИИ не разрешил. На эти испытания посту</w:t>
      </w:r>
      <w:r w:rsidRPr="00E93F40">
        <w:rPr>
          <w:rFonts w:ascii="Times New Roman" w:hAnsi="Times New Roman"/>
          <w:color w:val="000000" w:themeColor="text1"/>
          <w:sz w:val="16"/>
          <w:szCs w:val="16"/>
        </w:rPr>
        <w:softHyphen/>
        <w:t>пила башня А-43 с пушкой «Гарфорда» обр. 1910 г.</w:t>
      </w:r>
    </w:p>
    <w:p w14:paraId="124067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1933 г. в этой же башне была смонтирована уже 76,2-мм пушка КТ обр. 1927/32 гг., представлявшая собой ту же полковую пушку, но с уменьшенной до 500 мм длиной отката. Конструкция башни была немного изме</w:t>
      </w:r>
      <w:r w:rsidRPr="00E93F40">
        <w:rPr>
          <w:rFonts w:ascii="Times New Roman" w:hAnsi="Times New Roman"/>
          <w:color w:val="000000" w:themeColor="text1"/>
          <w:sz w:val="16"/>
          <w:szCs w:val="16"/>
        </w:rPr>
        <w:softHyphen/>
        <w:t>нена, но кардинальных улучшений не последовало. Осо</w:t>
      </w:r>
      <w:r w:rsidRPr="00E93F40">
        <w:rPr>
          <w:rFonts w:ascii="Times New Roman" w:hAnsi="Times New Roman"/>
          <w:color w:val="000000" w:themeColor="text1"/>
          <w:sz w:val="16"/>
          <w:szCs w:val="16"/>
        </w:rPr>
        <w:softHyphen/>
        <w:t>бенно угнетала теснота в боевом отделении.</w:t>
      </w:r>
    </w:p>
    <w:p w14:paraId="4BD3C0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 при производстве выстрела заряжающему (он же пулеметчик) приходилось буквально вжиматься в правую стенку башни и, </w:t>
      </w:r>
      <w:r w:rsidRPr="00E93F40">
        <w:rPr>
          <w:rFonts w:ascii="Times New Roman" w:hAnsi="Times New Roman"/>
          <w:iCs/>
          <w:color w:val="000000" w:themeColor="text1"/>
          <w:sz w:val="16"/>
          <w:szCs w:val="16"/>
        </w:rPr>
        <w:t xml:space="preserve">«прерывая всякую возможность ведения стрельбы из пулемета», </w:t>
      </w:r>
      <w:r w:rsidRPr="00E93F40">
        <w:rPr>
          <w:rFonts w:ascii="Times New Roman" w:hAnsi="Times New Roman"/>
          <w:color w:val="000000" w:themeColor="text1"/>
          <w:sz w:val="16"/>
          <w:szCs w:val="16"/>
        </w:rPr>
        <w:t>прижимать к себе левую руку (что</w:t>
      </w:r>
      <w:r w:rsidRPr="00E93F40">
        <w:rPr>
          <w:rFonts w:ascii="Times New Roman" w:hAnsi="Times New Roman"/>
          <w:color w:val="000000" w:themeColor="text1"/>
          <w:sz w:val="16"/>
          <w:szCs w:val="16"/>
        </w:rPr>
        <w:softHyphen/>
        <w:t>бы его не ударило откатывающейся казенной частью). Механизированный спуск давал частые отказы, а произ</w:t>
      </w:r>
      <w:r w:rsidRPr="00E93F40">
        <w:rPr>
          <w:rFonts w:ascii="Times New Roman" w:hAnsi="Times New Roman"/>
          <w:color w:val="000000" w:themeColor="text1"/>
          <w:sz w:val="16"/>
          <w:szCs w:val="16"/>
        </w:rPr>
        <w:softHyphen/>
        <w:t>водить выстрел со шнура в такой тесноте было невозмож</w:t>
      </w:r>
      <w:r w:rsidRPr="00E93F40">
        <w:rPr>
          <w:rFonts w:ascii="Times New Roman" w:hAnsi="Times New Roman"/>
          <w:color w:val="000000" w:themeColor="text1"/>
          <w:sz w:val="16"/>
          <w:szCs w:val="16"/>
        </w:rPr>
        <w:softHyphen/>
        <w:t>но. Угол обстрела из башенного пулемета был никуда не годным. Обзор — ограниченным. Отсутствие вентиляции могло привести к угару экипажа при ведении огня с за</w:t>
      </w:r>
      <w:r w:rsidRPr="00E93F40">
        <w:rPr>
          <w:rFonts w:ascii="Times New Roman" w:hAnsi="Times New Roman"/>
          <w:color w:val="000000" w:themeColor="text1"/>
          <w:sz w:val="16"/>
          <w:szCs w:val="16"/>
        </w:rPr>
        <w:softHyphen/>
        <w:t>крытыми дверьми башни. По окончании этих испытаний башня была забракована УММ (11417).</w:t>
      </w:r>
    </w:p>
    <w:p w14:paraId="1591F5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81F42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на московском заводе «Красный Пролетарий» рассматривался вопрос о изготовлении штампованных «грибообразных» (полусферических) башен под установку 76,2-мм орудия и 7,62-мм пулемета ДТ. Однако из-за малой мощности штамповочного пресса, позволившего изготовить «грибообразную» башню из 6-мм брони вместо требуемой по техническим условиям — 11 мм, дальнейшие работы в этом направлении были прекращены (15619).</w:t>
      </w:r>
    </w:p>
    <w:p w14:paraId="6380388F"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906AF39"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начале 1932 года наряду с изготовлением опытного образца </w:t>
      </w:r>
      <w:hyperlink r:id="rId22"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 Т-28в КБ ХПЗ под руководством Н.М. Тоскина были разработаны очередные проекты среднего </w:t>
      </w:r>
      <w:hyperlink r:id="rId23"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 Базовой машиной был выбран легкий колесно-гусеничный </w:t>
      </w:r>
      <w:hyperlink r:id="rId24"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 БТ. В одном из проектов без коренной переделки базовой машины во вращающейся башне устанавливалась 76,2-мм противоштурмовая пушка Гарфорда и увеличивалась толщина лобового листа корпуса до 30 мм, а башни до 25-30 мм. При коренной переделке машины предполагалось создать средний </w:t>
      </w:r>
      <w:hyperlink r:id="rId25"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 с мощным вооружением и усиленным бронированием с толщиной лобовых листов 50 мм и бортовых - 35 мм. В качестве вспомогательного оружия использовались четыре 7,62-мм пулемета ДТ. Боекомплект машины должен был состоять из 50-60 выстрелов и 6000 патронов.</w:t>
      </w:r>
    </w:p>
    <w:p w14:paraId="207CFF6A"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Первоначально на машины планировалось установить четырехтактный двенадцатилитровый V-образный карбюраторный двигатель М-5 с последующей заменой его на дизель мощностью 400 л.с., который бы обеспечивал </w:t>
      </w:r>
      <w:hyperlink r:id="rId26"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у массой 26-28 т с экипажем 4-5 человек максимальную скорость на колесном ходу - 40-45 км/ч, на гусеничном ходу - 30-35 км/ч. Однако эти проекты остались на бумаге (15620).</w:t>
      </w: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479"/>
        <w:gridCol w:w="1673"/>
        <w:gridCol w:w="2725"/>
        <w:gridCol w:w="2725"/>
        <w:gridCol w:w="2726"/>
      </w:tblGrid>
      <w:tr w:rsidR="00DA227A" w:rsidRPr="00E93F40" w14:paraId="64BF0277"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765F59F3"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30AB451"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Тип </w:t>
            </w:r>
            <w:hyperlink r:id="rId27"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w:t>
            </w:r>
          </w:p>
        </w:tc>
        <w:tc>
          <w:tcPr>
            <w:tcW w:w="2624"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CB456C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D71D17A"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Тоскина №1</w:t>
            </w:r>
          </w:p>
        </w:tc>
        <w:tc>
          <w:tcPr>
            <w:tcW w:w="2624"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27E3693"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F00659F"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Тоскина №2</w:t>
            </w:r>
          </w:p>
        </w:tc>
        <w:tc>
          <w:tcPr>
            <w:tcW w:w="2625"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D472B6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E59C3F2"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ИТ-3</w:t>
            </w:r>
          </w:p>
        </w:tc>
      </w:tr>
      <w:tr w:rsidR="00DA227A" w:rsidRPr="00E93F40" w14:paraId="1D900064"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ECE6A1F"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FC9E76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Боевая масса, т</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BF207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24DBBC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2A1B8E"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9701B5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26000 - 28000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D6843E"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C9C26F9"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17500</w:t>
            </w:r>
          </w:p>
        </w:tc>
      </w:tr>
      <w:tr w:rsidR="00DA227A" w:rsidRPr="00E93F40" w14:paraId="1076CC80"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86BBF51"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89748B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чел</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CE4AF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B1F7499"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C8DD5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4DFF839"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425D3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FFF4E9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1D8ED3B9"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890159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A98A8C2"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Габаритные размеры, мм</w:t>
            </w:r>
          </w:p>
        </w:tc>
      </w:tr>
      <w:tr w:rsidR="00DA227A" w:rsidRPr="00E93F40" w14:paraId="54BA456C"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B5D315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13B3F09"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EE00F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DA8665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69EFB1"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B1D30F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EC617F"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C65494F"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≈6500</w:t>
            </w:r>
          </w:p>
        </w:tc>
      </w:tr>
      <w:tr w:rsidR="00DA227A" w:rsidRPr="00E93F40" w14:paraId="7231776C"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906257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BD808E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9DAEC2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EA334C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2D1D4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BC9C66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CC1BB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F509A0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≈2400-2600**</w:t>
            </w:r>
          </w:p>
        </w:tc>
      </w:tr>
      <w:tr w:rsidR="00DA227A" w:rsidRPr="00E93F40" w14:paraId="2AB65D8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EBF609E"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EEA8D4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3B9F3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557A51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6578B1"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5D3D22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31F052"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8DD3E9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≈2520</w:t>
            </w:r>
          </w:p>
        </w:tc>
      </w:tr>
      <w:tr w:rsidR="00DA227A" w:rsidRPr="00E93F40" w14:paraId="571B07D0"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12DD802"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6C49CC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Клиренс</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BEF573"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BDB2C5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4117A5"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634C91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136163"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C8BB7E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r>
      <w:tr w:rsidR="00DA227A" w:rsidRPr="00E93F40" w14:paraId="6A317CD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307A0D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6B114C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768EC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9512205" w14:textId="40E87E20" w:rsidR="0062640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92E198"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5E584DF" w14:textId="2A352152" w:rsidR="0062640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273435"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80A9CE3" w14:textId="292DE1F1" w:rsidR="0062640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28E91257"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78E3B4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68545C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Пушки, мм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D37A9F"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9142BF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 76,2 Гарфорд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5E73C21"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2FAADEE"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 76,2 Гарфорд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EF6BB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D030BD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 76,2 обр. 1927г.</w:t>
            </w:r>
          </w:p>
        </w:tc>
      </w:tr>
      <w:tr w:rsidR="00DA227A" w:rsidRPr="00E93F40" w14:paraId="2280C7EF"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0715D1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80DDC4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 мм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C8793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3DF22A1"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 7,62 ДТ</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40207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12AC5AF"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 7,62 ДТ</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EE8A7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A43B4E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 7,62 ДК, 3 × 7,62 ШКАС</w:t>
            </w:r>
          </w:p>
        </w:tc>
      </w:tr>
      <w:tr w:rsidR="00DA227A" w:rsidRPr="00E93F40" w14:paraId="3ADD9582"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182DB83"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42C199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Боекомплект</w:t>
            </w:r>
          </w:p>
        </w:tc>
      </w:tr>
      <w:tr w:rsidR="00DA227A" w:rsidRPr="00E93F40" w14:paraId="726E373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1BD812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E10A8B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Пушки, выстрелы</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25050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73F2FF1"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50 - 60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1F0C3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8236CE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50 - 60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1576C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C7A146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r>
      <w:tr w:rsidR="00DA227A" w:rsidRPr="00E93F40" w14:paraId="4FCC00BF"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948496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5352FAA"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 патроны</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72638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360F28E"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461A7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172EC4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DF228F"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B3D755C"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 к ДК, 7000 к ШКАС</w:t>
            </w:r>
          </w:p>
        </w:tc>
      </w:tr>
      <w:tr w:rsidR="00DA227A" w:rsidRPr="00E93F40" w14:paraId="3434FF7C"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04578D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438A86A"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Приборы прицеливания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CA1D71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7C4FBA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Прицел ПТ-1, ТОП, телескопическая панорама ПТК</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AF7D46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09CEC09"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Прицел ПТ-1, ТОП, телескопическая панорама ПТК</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17BCC1"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CB12DBF"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Прицел ПТ-1, ТОП, телескопическая панорама ПТК</w:t>
            </w:r>
          </w:p>
        </w:tc>
      </w:tr>
      <w:tr w:rsidR="00DA227A" w:rsidRPr="00E93F40" w14:paraId="53944B3E"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039FEB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BED243E"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Бронирование</w:t>
            </w:r>
          </w:p>
        </w:tc>
      </w:tr>
      <w:tr w:rsidR="00DA227A" w:rsidRPr="00E93F40" w14:paraId="43E41046"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B1778F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E879336"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Лоб корпуса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2275A8E"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AC9CE8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05F6A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ED523A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C5076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EBA809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7C564DE0"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F512B18"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7EEED2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Борт корпуса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0C6B78"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B83E24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8D08E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69C2FFC"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E99FC2"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DA27459"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r>
      <w:tr w:rsidR="00DA227A" w:rsidRPr="00E93F40" w14:paraId="6E4016A7"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5F6840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D339CC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Корма корпуса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12DD95"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ECB5BB1"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8988D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9537D6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FE44A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F9BFCD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r>
      <w:tr w:rsidR="00DA227A" w:rsidRPr="00E93F40" w14:paraId="63BC6A04"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BB1EE3E"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40D97D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Башня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85F7D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682589C"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25-30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8E409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95104F3"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35-50**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37B02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76E764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15-20</w:t>
            </w:r>
          </w:p>
        </w:tc>
      </w:tr>
      <w:tr w:rsidR="00DA227A" w:rsidRPr="00E93F40" w14:paraId="3F329E2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E3C0EC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10F63F2"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Крыша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7A2695"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727231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79A755"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D15456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13DB2E"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8CC42F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r>
      <w:tr w:rsidR="00DA227A" w:rsidRPr="00E93F40" w14:paraId="59BAE8E9"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3E9370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4EFBAC3"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Днище</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DCBAC9"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DF672E2"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A214F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F0BA299"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C69910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8ED113C"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r>
      <w:tr w:rsidR="00DA227A" w:rsidRPr="00E93F40" w14:paraId="6480BFD5"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28622B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EEF7C5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Силовая установка</w:t>
            </w:r>
          </w:p>
        </w:tc>
      </w:tr>
      <w:tr w:rsidR="00DA227A" w:rsidRPr="00E93F40" w14:paraId="162178FB"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A4C461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B2AAA6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двигателя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D8833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32EC599"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45F58A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8D8988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85FF358"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4074652"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четырехтактный двенадцатилитровый V-образный карбюраторный двигатель М-17Б</w:t>
            </w:r>
          </w:p>
        </w:tc>
      </w:tr>
      <w:tr w:rsidR="00DA227A" w:rsidRPr="00E93F40" w14:paraId="292B3FE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D2AE9B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254AB42"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л.с.</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3AC909"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B3F31B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6406D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2671E26"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FC92E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C9CDF3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4CAB1DDD"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B3E75E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63EE11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мощность, л.с.</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4ECB1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AD2C62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082C2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B934656"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FE2D7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123922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18C912AF"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BA5818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765E51C"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Трансмиссия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136CAB"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33C9B96"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механическая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299D9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28E6F82"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механическая</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58B208"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EB2B4A6"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механическая</w:t>
            </w:r>
          </w:p>
        </w:tc>
      </w:tr>
      <w:tr w:rsidR="00DA227A" w:rsidRPr="00E93F40" w14:paraId="2334C429" w14:textId="77777777" w:rsidTr="00626404">
        <w:trPr>
          <w:trHeight w:val="575"/>
        </w:trPr>
        <w:tc>
          <w:tcPr>
            <w:tcW w:w="1424"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4DE76E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5843FA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Ходовая часть</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D8ACB4E"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0A61673"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гусеницах</w:t>
            </w:r>
          </w:p>
        </w:tc>
        <w:tc>
          <w:tcPr>
            <w:tcW w:w="262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1EB80C93"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5C7323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15DEB83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C4D9AA1"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31D001"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A059512"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опорных катка, переднее направляющее и заднее ведущее колесо</w:t>
            </w:r>
          </w:p>
        </w:tc>
      </w:tr>
      <w:tr w:rsidR="00DA227A" w:rsidRPr="00E93F40" w14:paraId="787F88F7" w14:textId="77777777" w:rsidTr="00626404">
        <w:trPr>
          <w:trHeight w:val="575"/>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A560C99" w14:textId="77777777" w:rsidR="00626404" w:rsidRPr="00E93F40" w:rsidRDefault="00626404" w:rsidP="00E93F40">
            <w:pPr>
              <w:spacing w:after="0" w:line="240" w:lineRule="auto"/>
              <w:jc w:val="both"/>
              <w:rPr>
                <w:rFonts w:ascii="Times New Roman" w:hAnsi="Times New Roman"/>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2E09C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B3AA42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3B7A210" w14:textId="77777777" w:rsidR="00626404" w:rsidRPr="00E93F40" w:rsidRDefault="00626404" w:rsidP="00E93F40">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16D1275E" w14:textId="77777777" w:rsidR="00626404" w:rsidRPr="00E93F40" w:rsidRDefault="00626404" w:rsidP="00E93F40">
            <w:pPr>
              <w:spacing w:after="0" w:line="240" w:lineRule="auto"/>
              <w:jc w:val="both"/>
              <w:rPr>
                <w:rFonts w:ascii="Times New Roman" w:hAnsi="Times New Roman"/>
                <w:color w:val="000000" w:themeColor="text1"/>
                <w:sz w:val="16"/>
                <w:szCs w:val="16"/>
              </w:rPr>
            </w:pP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DFF5A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AE0ADFC"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передняя и задняя пары колес управляемые,</w:t>
            </w:r>
          </w:p>
        </w:tc>
      </w:tr>
      <w:tr w:rsidR="00DA227A" w:rsidRPr="00E93F40" w14:paraId="697C785E" w14:textId="77777777" w:rsidTr="00626404">
        <w:tc>
          <w:tcPr>
            <w:tcW w:w="1424"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FB6659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3632CA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Скорость </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B45590"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74341D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гусеницах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40B3D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F40DCF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697B4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7AADEDA"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30-35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345AC3"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08AD791"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r>
      <w:tr w:rsidR="00DA227A" w:rsidRPr="00E93F40" w14:paraId="69A70699" w14:textId="77777777" w:rsidTr="00626404">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7228BCF" w14:textId="77777777" w:rsidR="00626404" w:rsidRPr="00E93F40" w:rsidRDefault="00626404" w:rsidP="00E93F40">
            <w:pPr>
              <w:spacing w:after="0" w:line="240" w:lineRule="auto"/>
              <w:jc w:val="both"/>
              <w:rPr>
                <w:rFonts w:ascii="Times New Roman" w:hAnsi="Times New Roman"/>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5A6B7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ED9002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колесах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E7CF2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902F61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A7B1E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961248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40-45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C2B2DE"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E54E37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r>
      <w:tr w:rsidR="00DA227A" w:rsidRPr="00E93F40" w14:paraId="031720B4" w14:textId="77777777" w:rsidTr="00626404">
        <w:tc>
          <w:tcPr>
            <w:tcW w:w="1424"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7B5088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71500EF"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Запас хода, км</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D174C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D7A4A6A"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гусеницах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85A6F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D631F21"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AE272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A21E2A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0123C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3C6F7A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r>
      <w:tr w:rsidR="00DA227A" w:rsidRPr="00E93F40" w14:paraId="14714CD7" w14:textId="77777777" w:rsidTr="00626404">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294E4FDD" w14:textId="77777777" w:rsidR="00626404" w:rsidRPr="00E93F40" w:rsidRDefault="00626404" w:rsidP="00E93F40">
            <w:pPr>
              <w:spacing w:after="0" w:line="240" w:lineRule="auto"/>
              <w:jc w:val="both"/>
              <w:rPr>
                <w:rFonts w:ascii="Times New Roman" w:hAnsi="Times New Roman"/>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C5AAD2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DB16FCE"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колесах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1B2C59"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C81053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B1A8E7"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6A9A06D"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7C4ED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FE94E6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r>
      <w:tr w:rsidR="00DA227A" w:rsidRPr="00E93F40" w14:paraId="304E48D9"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99D86E8"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B4D51F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Преодолеваемые препятствия</w:t>
            </w:r>
          </w:p>
        </w:tc>
      </w:tr>
      <w:tr w:rsidR="00DA227A" w:rsidRPr="00E93F40" w14:paraId="2BA60F08"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64D77AF"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4F56006"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подъёма, град.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718BC9"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30C946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A63352"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70BACF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F6D026"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489C34E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r>
      <w:tr w:rsidR="00DA227A" w:rsidRPr="00E93F40" w14:paraId="38BED579"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C9B7795"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1347422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стенки, 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C1C6C2"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7F2CC3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91BF68"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A690008"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32E122"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FF3D85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r>
      <w:tr w:rsidR="00DA227A" w:rsidRPr="00E93F40" w14:paraId="7AB029B5"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C105D53"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AD8EEE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рва, 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50EA48"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7E389D0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EC08D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61B825B"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64D8F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FE54C62"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r>
      <w:tr w:rsidR="00DA227A" w:rsidRPr="00E93F40" w14:paraId="4CF6E8DF"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33D0A5A"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67C2F37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Глубина брода, 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D01FA3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FE9B4E1"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CCD07E"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33672074"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54E234"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176931F"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r>
      <w:tr w:rsidR="00DA227A" w:rsidRPr="00E93F40" w14:paraId="091FA979"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750A055"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B23B73E"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Средства связи</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439A19D"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01F9C095"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5DBE9C"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8666680"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7728B2"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55611997"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w:t>
            </w:r>
          </w:p>
        </w:tc>
      </w:tr>
    </w:tbl>
    <w:p w14:paraId="1EB544DA" w14:textId="77777777" w:rsidR="00626404" w:rsidRPr="00E93F40" w:rsidRDefault="006264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(15620).</w:t>
      </w:r>
    </w:p>
    <w:p w14:paraId="2B1F1405" w14:textId="77777777" w:rsidR="00626404" w:rsidRPr="00E93F40" w:rsidRDefault="00626404" w:rsidP="00E93F40">
      <w:pPr>
        <w:spacing w:after="0" w:line="240" w:lineRule="auto"/>
        <w:jc w:val="both"/>
        <w:rPr>
          <w:rFonts w:ascii="Times New Roman" w:hAnsi="Times New Roman"/>
          <w:color w:val="000000" w:themeColor="text1"/>
          <w:sz w:val="16"/>
          <w:szCs w:val="16"/>
        </w:rPr>
      </w:pPr>
    </w:p>
    <w:p w14:paraId="21B47F67" w14:textId="77777777" w:rsidR="00EA6B06" w:rsidRPr="00E93F40" w:rsidRDefault="00EA6B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выпуск броневого проката отставал даже от танкового сборочного производства, но к середине года ситуация выправилась. Хотя только два из четырех металлургических заводов освоили выпуск брони, но и они продолжали работать значительно ниже установленных планов: на 1 сентября броневая программа была выполнена Ижорским заводом на 38 %, Мариупольским - на 25 %. В течение 1932 г. металлургические заводы освоили новый тип брони, поскольку прежний углеродистый цементированный вариант, во-первых, требовал дефицитных импортных ферросплавных присадок (никеля и молибдена), а во-вторых, оказался слишком сложным в производстве, «давая... почти 100-процентный брак». Ижорский завод перешел на хромо-кремнисто-марганцовистую сталь марки «ПИ», а Мариупольский - на двухслойную марганцовистую марку «МИ». Во второй половине года на Кулебакском заводе осуществлялись опытные плавки из двухслойной марганцовистой стали, но серийное производство предприятие пока еще не освоило.</w:t>
      </w:r>
    </w:p>
    <w:p w14:paraId="248858C7" w14:textId="77777777" w:rsidR="00EA6B06" w:rsidRPr="00E93F40" w:rsidRDefault="00EA6B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тип броневой стали выглядел, безусловно, более перспективным, но и он не мог решить всех проблем бронепроизводства. Броневые листы из такого металла приходилось делать более толстыми: вместо 13- и 10-мм цементированной брони на танк Т-26 ставилась броня марки «ПИ» 15-мм толщины, что приводило к утяжелению корпуса до 800 к. Следовательно, увеличивался общий вес боевой машины, на который танк не был рассчитан. Но проблема качества не была решена полностью (23536).</w:t>
      </w:r>
    </w:p>
    <w:p w14:paraId="1DC29347" w14:textId="77777777" w:rsidR="00EA6B06" w:rsidRPr="00E93F40" w:rsidRDefault="00EA6B06" w:rsidP="00E93F40">
      <w:pPr>
        <w:spacing w:after="0" w:line="240" w:lineRule="auto"/>
        <w:jc w:val="both"/>
        <w:rPr>
          <w:rFonts w:ascii="Times New Roman" w:hAnsi="Times New Roman"/>
          <w:color w:val="000000" w:themeColor="text1"/>
          <w:sz w:val="16"/>
          <w:szCs w:val="16"/>
        </w:rPr>
      </w:pPr>
    </w:p>
    <w:p w14:paraId="624FDF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в ТО ЭКО ПП ОГПУ разработали эс</w:t>
      </w:r>
      <w:r w:rsidRPr="00E93F40">
        <w:rPr>
          <w:rFonts w:ascii="Times New Roman" w:hAnsi="Times New Roman"/>
          <w:color w:val="000000" w:themeColor="text1"/>
          <w:sz w:val="16"/>
          <w:szCs w:val="16"/>
        </w:rPr>
        <w:softHyphen/>
        <w:t>кизный проект более мощной бронемашины-амфибии под обозначением БАД-2. Его передали военным, которые и ве</w:t>
      </w:r>
      <w:r w:rsidRPr="00E93F40">
        <w:rPr>
          <w:rFonts w:ascii="Times New Roman" w:hAnsi="Times New Roman"/>
          <w:color w:val="000000" w:themeColor="text1"/>
          <w:sz w:val="16"/>
          <w:szCs w:val="16"/>
        </w:rPr>
        <w:softHyphen/>
        <w:t>ли дальнейшую работу над этой машиной. Кроме БАД-1 и БАД-2, «шараги» ОГПУ спроектирова</w:t>
      </w:r>
      <w:r w:rsidRPr="00E93F40">
        <w:rPr>
          <w:rFonts w:ascii="Times New Roman" w:hAnsi="Times New Roman"/>
          <w:color w:val="000000" w:themeColor="text1"/>
          <w:sz w:val="16"/>
          <w:szCs w:val="16"/>
        </w:rPr>
        <w:softHyphen/>
        <w:t>ли еще несколько броневых автомобилей (11284).</w:t>
      </w:r>
    </w:p>
    <w:p w14:paraId="2D4AA3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09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в ХПЗ был сконструирован и изготовлен 2-х цилиндровый V--образный отсек будущего танкового дизеля (3879,40).</w:t>
      </w:r>
    </w:p>
    <w:p w14:paraId="1804E5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EF4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начале 1932 г. был сконструирован и изготовлен двухцилиндровый V-образный отсек (БД-14) с размерностью 14/16,5, углом развала 45°, развивающий мощность 70 л.с. (51 кВт) при частоте вращения 1700 об/мин. На этом отсеке отрабатывался рабочий цикл двигателя, механизмы кривошипно-шатунный, газораспределения и другие составные части дизеля. Выпуск рабочих чертежей для изготовления опытного образца дизеля продолжался с октября 1932 г. по февраль 1933 г. 28 апреля 1933 г. первый образец дизеля, получившего название «быстроходный дизель второй» - БД-2, был размещен на стенде для испытаний. Основными конструктивными особенностями опытного дизеля БД-2 были: картер, выполненный из алюминиевого сплава и с разъемом по оси коленчатого вала; общий на каждые шесть цилиндров алюминиевый блок со стальными «мокрыми» гильзами и общая алюминиевая распределительная головка и верхнеклапанный механизм газораспределения с одним впускным и одним выпускным клапанами. Нижний не несущий алюминиевый картер являлся поддоном для масла. Два шестисекционных насоса фирмы «Бош» располагались в развале цилиндров и соединялись трубопроводами с закрытыми форсунками «Бош», находившимися в головках цилиндров по оси поршня. Поршень - алюминиевый с камерой сгорания в поршне (типа Гессельмана). Коленчатый вал, шатуны, клапаны, шестерни - кованые, с последующей обработкой. Полгода проработал дизель БД-2 на стенде. </w:t>
      </w:r>
    </w:p>
    <w:p w14:paraId="0BD91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Испытания выявили много дефектов, конструктивных и производственных недостатков. Началась трудная, кропотливая конструкторская доводка дизеля. Наработка испытываемых на стенде двигателей до поломок сначала не превышала 10 - 15 часов. 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пробеговые испытания танка с новым двигателем по территории завода были </w:t>
      </w:r>
      <w:r w:rsidRPr="00E93F40">
        <w:rPr>
          <w:rFonts w:ascii="Times New Roman" w:hAnsi="Times New Roman"/>
          <w:color w:val="000000" w:themeColor="text1"/>
          <w:sz w:val="16"/>
          <w:szCs w:val="16"/>
        </w:rPr>
        <w:lastRenderedPageBreak/>
        <w:t xml:space="preserve">«первыми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Трашутин,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2359F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AACA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1932 г. были определены основные параметры двигателя и материалы для его изготовления. Требовалось спроектировать двенадцатицилиндровый дизель мощностью 400 л.с. при 1700 об./мин. с удельным расходом топлива 180 - 190 г/л.с. час, в танковом и самолетном вариантах. Двигатель должен был строиться из отечественных материалов и комплектующих, кроме топ-ливных насосов и форсунок фирмы "Бош". В его конструкции использова-лись прогрессивные решения - непосредственный впрыск топлива, штампо-ванные легкосплавные поршни, четыре клапана на цилиндр, несущие сило-вые шпильки, литая алюминиевая головка. Проектирование быстроходного дизеля (БД - 2) было стремительным. Началось оно в октябре 1932 г., а закончилось в феврале 1933 г. 28 апреля собрали первый полноразмерный БД - 2, а в мае 1933 г. начались внутризаводские стендовые испытания. Для сборки первых БД-2 в дизель-ном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про-изводства ЧТЗ. К работе активно подключился вернувшийся в 1933 г. из США И.Я. Трашутин,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сек-цию (11224).</w:t>
      </w:r>
    </w:p>
    <w:p w14:paraId="4F38F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D77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танковому отделу ХПЗ совместно с московским КБ Оружобъединения и конструкторам НАТИ была поставлена задача в установке на БТ 76-мм противоштурмовой пушки Гатфорда, 4 пулеметов ДТ и мощного бронирования - 45 мм, 25 мм и 20 мм (3879,21). Работы по усилению вооружения БТ могут рассматриваться как начало работ над БТ-7 (3881,3).</w:t>
      </w:r>
    </w:p>
    <w:p w14:paraId="235CC1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884A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на заводе Красный Пролетарий рассматривался вопрос изготовления штампованных грибообразных башен для БТ под установку пушки 76 мм и ДТ. Из-за малой мощности штампов могли делать только из 6 мм брони, а требовалось 11 мм (3879,22).</w:t>
      </w:r>
    </w:p>
    <w:p w14:paraId="5FABAD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3AB5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проект тяже</w:t>
      </w:r>
      <w:r w:rsidRPr="00E93F40">
        <w:rPr>
          <w:rFonts w:ascii="Times New Roman" w:hAnsi="Times New Roman"/>
          <w:color w:val="000000" w:themeColor="text1"/>
          <w:sz w:val="16"/>
          <w:szCs w:val="16"/>
        </w:rPr>
        <w:softHyphen/>
        <w:t>лого танка массой 60 т с броней 30-50 мм, максимальной скоростью 20-25 км/ч и вооружением из двух 76,2-мм пу</w:t>
      </w:r>
      <w:r w:rsidRPr="00E93F40">
        <w:rPr>
          <w:rFonts w:ascii="Times New Roman" w:hAnsi="Times New Roman"/>
          <w:color w:val="000000" w:themeColor="text1"/>
          <w:sz w:val="16"/>
          <w:szCs w:val="16"/>
        </w:rPr>
        <w:softHyphen/>
        <w:t>шек, одной 37-мм пушки и шести пулеметов был завершен и была изготов</w:t>
      </w:r>
      <w:r w:rsidRPr="00E93F40">
        <w:rPr>
          <w:rFonts w:ascii="Times New Roman" w:hAnsi="Times New Roman"/>
          <w:color w:val="000000" w:themeColor="text1"/>
          <w:sz w:val="16"/>
          <w:szCs w:val="16"/>
        </w:rPr>
        <w:softHyphen/>
        <w:t>лена деревянная модель танка. По одному из вариантов танк Т-30 должен был иметь массу 50—55 т, защищен броней 40-60 мм и вооружен одной 76,2-мм дивизионной пушкой, одной 37-мм пушкой большой мощности в двух конических башнях, а также 3 станковых и 4 легких пулеметов. На танк предполагалось установить авиационный кар</w:t>
      </w:r>
      <w:r w:rsidRPr="00E93F40">
        <w:rPr>
          <w:rFonts w:ascii="Times New Roman" w:hAnsi="Times New Roman"/>
          <w:color w:val="000000" w:themeColor="text1"/>
          <w:sz w:val="16"/>
          <w:szCs w:val="16"/>
        </w:rPr>
        <w:softHyphen/>
        <w:t>бюраторный двигатель АМ6 мощностью 750 л.с., при этом его расчетная скорость должна была составить 30 км/ч. В случае же установки авиамотора «БМВ» мощностью 650 л.с. расчетная скорость танка должна была составить 24 км/ч. Танк был сочтен чрезвычайно сложным, и дальнейшие работы над ним были прекращены (10733,117).</w:t>
      </w:r>
    </w:p>
    <w:p w14:paraId="5F5200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B21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ввиду неготовности двигателя проект ТП-1 был адаптирован под авиамотор Микулина мощностью 1450 л.с., а в марте закрыт по причине чрезвычайно высокой стоимости (10733,118).</w:t>
      </w:r>
    </w:p>
    <w:p w14:paraId="5CAA3B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B026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в КБ ХПЗ под руководством Н.М.Тоскина был разработан ряд проектов среднего танка. Базовая машина - БТ (9527,119).</w:t>
      </w:r>
    </w:p>
    <w:p w14:paraId="45C2A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124B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используя опыт работ по созданию первого броневика на шасси «Форд-Тимкен», конструкторское бюро Ижор</w:t>
      </w:r>
      <w:r w:rsidRPr="00E93F40">
        <w:rPr>
          <w:rFonts w:ascii="Times New Roman" w:hAnsi="Times New Roman"/>
          <w:color w:val="000000" w:themeColor="text1"/>
          <w:sz w:val="16"/>
          <w:szCs w:val="16"/>
        </w:rPr>
        <w:softHyphen/>
        <w:t>ского завода изготовило новый образец броневого автомобиля, получивший обозначение БАИ — «Бронеавтомобиль Ижорский».</w:t>
      </w:r>
    </w:p>
    <w:p w14:paraId="50DA12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Сварной корпус новой машины собирался из бронелистов толщиной 4—8 мм и крепился к шасси в 10 точках. Бла</w:t>
      </w:r>
      <w:r w:rsidRPr="00E93F40">
        <w:rPr>
          <w:rFonts w:ascii="Times New Roman" w:hAnsi="Times New Roman"/>
          <w:color w:val="000000" w:themeColor="text1"/>
          <w:sz w:val="16"/>
          <w:szCs w:val="16"/>
        </w:rPr>
        <w:softHyphen/>
        <w:t>годаря тому, что задняя часть шасси «Форд-Тимкен» была обрезана на 400 мм, ижорцам удалось сделать конструкцию броневика более компактной по сравнению с Д-13 — масса БАИ составляла 3860 т. Крыша корпуса над местами води</w:t>
      </w:r>
      <w:r w:rsidRPr="00E93F40">
        <w:rPr>
          <w:rFonts w:ascii="Times New Roman" w:hAnsi="Times New Roman"/>
          <w:color w:val="000000" w:themeColor="text1"/>
          <w:sz w:val="16"/>
          <w:szCs w:val="16"/>
        </w:rPr>
        <w:softHyphen/>
        <w:t>теля и пулеметчика бьла выше, чем над боевым отделени</w:t>
      </w:r>
      <w:r w:rsidRPr="00E93F40">
        <w:rPr>
          <w:rFonts w:ascii="Times New Roman" w:hAnsi="Times New Roman"/>
          <w:color w:val="000000" w:themeColor="text1"/>
          <w:sz w:val="16"/>
          <w:szCs w:val="16"/>
        </w:rPr>
        <w:softHyphen/>
        <w:t>ем. Такое решение, позволившее снизить общую высоту машины, в последующем применялось на всех советских средних бронеавтомобилях 30-х годов.</w:t>
      </w:r>
    </w:p>
    <w:p w14:paraId="590A51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посадки экипажа из трех человек в корпусе БАИ имелось три двери — две в бортах и одна в корме. Для наблюдения за дорогой водитель имел откидной люк со смотровой щелью в лобовом листе корпуса и два лючка в боковых две</w:t>
      </w:r>
      <w:r w:rsidRPr="00E93F40">
        <w:rPr>
          <w:rFonts w:ascii="Times New Roman" w:hAnsi="Times New Roman"/>
          <w:color w:val="000000" w:themeColor="text1"/>
          <w:sz w:val="16"/>
          <w:szCs w:val="16"/>
        </w:rPr>
        <w:softHyphen/>
        <w:t>рях. Кроме того, лючки со смотровыми щелями устанавли</w:t>
      </w:r>
      <w:r w:rsidRPr="00E93F40">
        <w:rPr>
          <w:rFonts w:ascii="Times New Roman" w:hAnsi="Times New Roman"/>
          <w:color w:val="000000" w:themeColor="text1"/>
          <w:sz w:val="16"/>
          <w:szCs w:val="16"/>
        </w:rPr>
        <w:softHyphen/>
        <w:t>вались в кормовой двери и заднем листе бронекорпуса. В крыше над водителем и пулеметчиком находился люк для вентиляции и наблюдения за авиацией противника. Коман</w:t>
      </w:r>
      <w:r w:rsidRPr="00E93F40">
        <w:rPr>
          <w:rFonts w:ascii="Times New Roman" w:hAnsi="Times New Roman"/>
          <w:color w:val="000000" w:themeColor="text1"/>
          <w:sz w:val="16"/>
          <w:szCs w:val="16"/>
        </w:rPr>
        <w:softHyphen/>
        <w:t>дир машины находился в башне, где сидел в петле из брезен</w:t>
      </w:r>
      <w:r w:rsidRPr="00E93F40">
        <w:rPr>
          <w:rFonts w:ascii="Times New Roman" w:hAnsi="Times New Roman"/>
          <w:color w:val="000000" w:themeColor="text1"/>
          <w:sz w:val="16"/>
          <w:szCs w:val="16"/>
        </w:rPr>
        <w:softHyphen/>
        <w:t>тового ремня. Он мог вести наблюдение за полем боя через откидной бронеколпак с прорезями или три смотровые ще</w:t>
      </w:r>
      <w:r w:rsidRPr="00E93F40">
        <w:rPr>
          <w:rFonts w:ascii="Times New Roman" w:hAnsi="Times New Roman"/>
          <w:color w:val="000000" w:themeColor="text1"/>
          <w:sz w:val="16"/>
          <w:szCs w:val="16"/>
        </w:rPr>
        <w:softHyphen/>
        <w:t>ли в стенках башни, закрываемые броневыми заслонками.</w:t>
      </w:r>
    </w:p>
    <w:p w14:paraId="7BDEFA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БАИ состояло из 37-мм пушки Гочкиса (ПС-1) и 7,62-мм пулемета ДТ, установленных в лобовом листе цилиндрической башни, и еще одного ДТ в лобовом листе корпуса. Прицельные приспособления пушки состо</w:t>
      </w:r>
      <w:r w:rsidRPr="00E93F40">
        <w:rPr>
          <w:rFonts w:ascii="Times New Roman" w:hAnsi="Times New Roman"/>
          <w:color w:val="000000" w:themeColor="text1"/>
          <w:sz w:val="16"/>
          <w:szCs w:val="16"/>
        </w:rPr>
        <w:softHyphen/>
        <w:t>яли из мушки, прицельной планки и целика. Боекомплект состоял из 34 снарядов, уложенных в брезентовые карманы внутри башни, и 3024 патронов (48 дисков) в специальных стеллажах на боковых стенках боевого отделения. Здесь же под полом крепились два ящика — для инструментов и за</w:t>
      </w:r>
      <w:r w:rsidRPr="00E93F40">
        <w:rPr>
          <w:rFonts w:ascii="Times New Roman" w:hAnsi="Times New Roman"/>
          <w:color w:val="000000" w:themeColor="text1"/>
          <w:sz w:val="16"/>
          <w:szCs w:val="16"/>
        </w:rPr>
        <w:softHyphen/>
        <w:t>пасных частей к вооружению.</w:t>
      </w:r>
    </w:p>
    <w:p w14:paraId="34372B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БАИ оснащался двигателем «Форд» мощностью 40 л.с., «фордовской» коробкой перемены передач и демуль</w:t>
      </w:r>
      <w:r w:rsidRPr="00E93F40">
        <w:rPr>
          <w:rFonts w:ascii="Times New Roman" w:hAnsi="Times New Roman"/>
          <w:color w:val="000000" w:themeColor="text1"/>
          <w:sz w:val="16"/>
          <w:szCs w:val="16"/>
        </w:rPr>
        <w:softHyphen/>
        <w:t>типликатором. Доступ к двигателю осуществлялся через верхний откидной лист и два бортовых люка. В переднем листе корпуса имелись жалюзи для притока воздуха к ра</w:t>
      </w:r>
      <w:r w:rsidRPr="00E93F40">
        <w:rPr>
          <w:rFonts w:ascii="Times New Roman" w:hAnsi="Times New Roman"/>
          <w:color w:val="000000" w:themeColor="text1"/>
          <w:sz w:val="16"/>
          <w:szCs w:val="16"/>
        </w:rPr>
        <w:softHyphen/>
        <w:t>диатору. Рама шасси усиливалась дополнительной попе</w:t>
      </w:r>
      <w:r w:rsidRPr="00E93F40">
        <w:rPr>
          <w:rFonts w:ascii="Times New Roman" w:hAnsi="Times New Roman"/>
          <w:color w:val="000000" w:themeColor="text1"/>
          <w:sz w:val="16"/>
          <w:szCs w:val="16"/>
        </w:rPr>
        <w:softHyphen/>
        <w:t>речиной, а передние рессоры — установкой дополнитель</w:t>
      </w:r>
      <w:r w:rsidRPr="00E93F40">
        <w:rPr>
          <w:rFonts w:ascii="Times New Roman" w:hAnsi="Times New Roman"/>
          <w:color w:val="000000" w:themeColor="text1"/>
          <w:sz w:val="16"/>
          <w:szCs w:val="16"/>
        </w:rPr>
        <w:softHyphen/>
        <w:t>ных листов. Запасные колеса, установленные по бортам, при преодолении препятствий вращались, играя роль до</w:t>
      </w:r>
      <w:r w:rsidRPr="00E93F40">
        <w:rPr>
          <w:rFonts w:ascii="Times New Roman" w:hAnsi="Times New Roman"/>
          <w:color w:val="000000" w:themeColor="text1"/>
          <w:sz w:val="16"/>
          <w:szCs w:val="16"/>
        </w:rPr>
        <w:softHyphen/>
        <w:t>полнительных опорных катков. Кроме того, для улучше</w:t>
      </w:r>
      <w:r w:rsidRPr="00E93F40">
        <w:rPr>
          <w:rFonts w:ascii="Times New Roman" w:hAnsi="Times New Roman"/>
          <w:color w:val="000000" w:themeColor="text1"/>
          <w:sz w:val="16"/>
          <w:szCs w:val="16"/>
        </w:rPr>
        <w:softHyphen/>
        <w:t>ния проходимости по слабым грунтам и снегу БАИ осна</w:t>
      </w:r>
      <w:r w:rsidRPr="00E93F40">
        <w:rPr>
          <w:rFonts w:ascii="Times New Roman" w:hAnsi="Times New Roman"/>
          <w:color w:val="000000" w:themeColor="text1"/>
          <w:sz w:val="16"/>
          <w:szCs w:val="16"/>
        </w:rPr>
        <w:softHyphen/>
        <w:t>щался вездеходными цепями, которые за 8—10 минут дву</w:t>
      </w:r>
      <w:r w:rsidRPr="00E93F40">
        <w:rPr>
          <w:rFonts w:ascii="Times New Roman" w:hAnsi="Times New Roman"/>
          <w:color w:val="000000" w:themeColor="text1"/>
          <w:sz w:val="16"/>
          <w:szCs w:val="16"/>
        </w:rPr>
        <w:softHyphen/>
        <w:t>мя членами экипажа одевались на колеса задних мостов. Каждая гусеница массой 71 кг состояла из 24 звеньев-плиц длиной 780 и шириной 310 мм. Впоследствии эти гу</w:t>
      </w:r>
      <w:r w:rsidRPr="00E93F40">
        <w:rPr>
          <w:rFonts w:ascii="Times New Roman" w:hAnsi="Times New Roman"/>
          <w:color w:val="000000" w:themeColor="text1"/>
          <w:sz w:val="16"/>
          <w:szCs w:val="16"/>
        </w:rPr>
        <w:softHyphen/>
        <w:t>сеницы стали именоваться вездеходными цепями «Ове-ролл» и ими оснащались все средние броневики Красной Армии (11284).</w:t>
      </w:r>
    </w:p>
    <w:p w14:paraId="43939C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D7C4B9"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начале 1932 года на заводе им. Серго Орджоникидзе состоялся "общественный суд над радиоприёмником ЭЧС-2". Основные "обвинения", которые были выдвинуты против него, сводились к следующим: большая металлоемкость, особенно дорогих и дифицитных металлов - меди, бронзы, латуни, нихрома; большой процент ручных работ, что приобретало решающее значение при острой нехватке производственных площадей; неудовлетворительные электрические параметры, большой их разброс; низкая надежность блока питания; высокая себестоимость. В итоге в 1933 году уже серийно выпускался приемник ЭЧС-3. </w:t>
      </w:r>
    </w:p>
    <w:p w14:paraId="40A2A0AF"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Комсомольцы завода им. Серго Орджоникидзе первыми поставили вопрос об использовании радио политотделами колхозов и совхозов и выступили с инициативой о производстве необходимой аппаратуры на заводе. Так родилась переносная радиостанция "Малая политотдельская" с дальностью связи в походных условиях - 10 км, а в стационарных, при поднятой антенне на 15 м - 20 км. В дальнейшем была разработана "Большая политотдельская". В ноябре 1933 года была закончена разработка и начались испытания радиостанции. Таким образом, к 1935 году были созданы все необходимые условия для крупносерийного выпуска первого в стране современного, массового и недорого радиоприемника "СИ-235". Этот приемник без преувеличения можно назвать назвать одной из главных вех на пути массовой радиофикации нашей страны. Собранный по схеме прямого усиления на очень современных по тем временам экранированных радиолампах, он имел целый ряд совершенно оригинальных технических, схемных и конструктивных особенностей: встроенный электродинамический громкоговоритель мощностью 2 ватта, регулируемую положительную обратную связь по высокой частоте, нониусную шкалу и другие. И за два года было выпущено 172 тыс. штук (12239).</w:t>
      </w:r>
    </w:p>
    <w:p w14:paraId="39FB2B3F" w14:textId="77777777" w:rsidR="00AD6C32" w:rsidRPr="00E93F40" w:rsidRDefault="00AD6C32" w:rsidP="00E93F40">
      <w:pPr>
        <w:spacing w:after="0" w:line="240" w:lineRule="auto"/>
        <w:jc w:val="both"/>
        <w:rPr>
          <w:rFonts w:ascii="Times New Roman" w:hAnsi="Times New Roman"/>
          <w:color w:val="000000" w:themeColor="text1"/>
          <w:sz w:val="16"/>
          <w:szCs w:val="16"/>
        </w:rPr>
      </w:pPr>
    </w:p>
    <w:p w14:paraId="73B6E946" w14:textId="0A90D080" w:rsidR="00CC533B" w:rsidRPr="00E93F40" w:rsidRDefault="00CC53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начале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строительство основных цехов СК-1 было завершено и на площадке развернулись монтажные работы. Строители в трудных условиях выполнили большой объем работы. Было вынуто 76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кубометров земли, уложено в здания и сооружения 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штук кирпича, проложено 130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трубопроводов, и все это сделано почти без применения строительной техники. Под руководством партийной организации на стройке было развернуто массовое социалистическое соревнование. Люди работали самоотверженно, выполняя задание на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и выше. При монтаже оборудования широко проявилась творческая инициатива ИТР и рабочих-монтажников. Самоотверженный труд всего коллектива дал возможность смонтировать оборудование и подготовить завод к пуску в установленные сроки (18298).</w:t>
      </w:r>
    </w:p>
    <w:p w14:paraId="4B201705" w14:textId="77777777" w:rsidR="00CC533B" w:rsidRPr="00E93F40" w:rsidRDefault="00CC533B" w:rsidP="00E93F40">
      <w:pPr>
        <w:spacing w:after="0" w:line="240" w:lineRule="auto"/>
        <w:jc w:val="both"/>
        <w:rPr>
          <w:rFonts w:ascii="Times New Roman" w:hAnsi="Times New Roman"/>
          <w:color w:val="000000" w:themeColor="text1"/>
          <w:sz w:val="16"/>
          <w:szCs w:val="16"/>
        </w:rPr>
      </w:pPr>
    </w:p>
    <w:p w14:paraId="291FE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А. Н. Асафов при поддержке органов ОГПУ предложил руководству УВМС спроекти</w:t>
      </w:r>
      <w:r w:rsidRPr="00E93F40">
        <w:rPr>
          <w:rFonts w:ascii="Times New Roman" w:hAnsi="Times New Roman"/>
          <w:color w:val="000000" w:themeColor="text1"/>
          <w:sz w:val="16"/>
          <w:szCs w:val="16"/>
        </w:rPr>
        <w:softHyphen/>
        <w:t>ровать малую лодку, которую можно было бы перевозить без раз</w:t>
      </w:r>
      <w:r w:rsidRPr="00E93F40">
        <w:rPr>
          <w:rFonts w:ascii="Times New Roman" w:hAnsi="Times New Roman"/>
          <w:color w:val="000000" w:themeColor="text1"/>
          <w:sz w:val="16"/>
          <w:szCs w:val="16"/>
        </w:rPr>
        <w:softHyphen/>
        <w:t>борки по железной дороге. Противника малых лодок А. Н. Гарсоева уже не было в кадрах флота. И наморси В. М. Орлов, соблазнив</w:t>
      </w:r>
      <w:r w:rsidRPr="00E93F40">
        <w:rPr>
          <w:rFonts w:ascii="Times New Roman" w:hAnsi="Times New Roman"/>
          <w:color w:val="000000" w:themeColor="text1"/>
          <w:sz w:val="16"/>
          <w:szCs w:val="16"/>
        </w:rPr>
        <w:softHyphen/>
        <w:t>шись возможностью скорого межтеатрового маневра и, следова</w:t>
      </w:r>
      <w:r w:rsidRPr="00E93F40">
        <w:rPr>
          <w:rFonts w:ascii="Times New Roman" w:hAnsi="Times New Roman"/>
          <w:color w:val="000000" w:themeColor="text1"/>
          <w:sz w:val="16"/>
          <w:szCs w:val="16"/>
        </w:rPr>
        <w:softHyphen/>
        <w:t>тельно, быстрого усиления нового Тихоокеанского флота, 9 января 1932 г. утвердил новое ОТЗ для малой подводной лодки водоизме</w:t>
      </w:r>
      <w:r w:rsidRPr="00E93F40">
        <w:rPr>
          <w:rFonts w:ascii="Times New Roman" w:hAnsi="Times New Roman"/>
          <w:color w:val="000000" w:themeColor="text1"/>
          <w:sz w:val="16"/>
          <w:szCs w:val="16"/>
        </w:rPr>
        <w:softHyphen/>
        <w:t>щением всего 130—140 т (3898).</w:t>
      </w:r>
    </w:p>
    <w:p w14:paraId="47DD3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2DE9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по инициативе конструктора А. Н. Асафова в Научно-техническом комитете управления Военно-Морских Сил был разработан эскизный проект малой подводной лодки (VI серии), а к середине марта был уже готов осуществленный под руководством А. Н. Асафова, как это было принято тогда называть, общий проект (10672).</w:t>
      </w:r>
    </w:p>
    <w:p w14:paraId="355D5C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BC7A7B" w14:textId="5ECA0A1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в районе села Перм­ское на левом берегу Амура началось стро­ительство судостроительного завода. Так как строительно-монтажные работы в про­изводственных цехах завода еще не были закончены, то для постройки лидеров вблизи доков эллинга «А», где должны были формироваться их корпуса, был организо­ван участок — филиал завода им. А.Марти для приема и подготовки к сборке секций, изготовленных в Николаеве. Там корабли и были перезаложены. В навигацию 1935 года на строящийся судостроительный завод на Амуре из Нико­лаева стали поступать корпусные конструк­ции, предназначенные для строительства головного тихоокеанского лидера. Конст­рукции поступали в виде транспортировоч­ных секций массой до 10 т и отдельных уз­лов россыпью. Грузы доставлялись на плат­формах по железной дороге до станции Покровка (вблизи Хабаровска), где была организована перевалочная база. Здесь же­лезнодорожные платформы подавались на длинный мол, сооруженный на берегу Аму­ра. Конструкции и оборудование с них пла­вучим краном перегружались на баржи для дальнейшей транспортировки по Амуру в Комсомольск (как стал называться строя­щийся одновременно с заводом, на месте бывшего села Пермское, город). К началу марта 1936 года в доке № 3 эллинга «А» были закончены бетонные ра­боты и в нем стало возможно монтировать стапель. Над доками № 2 и № 3 сделали перекрытия, параллельно производились работы по доковым стенкам дока, парапе­ту и полу. Головной лидер «Киев» Тихоокеанского флота, получивший еще в Николаеве завод­ской номер С-267, был перезаложен 10 мар­та 1936 года в доке № 3 эллинга «А» Амур­ского завода. День закладки стал большим праздником для про­ектантов корабля и строителей заво­да. Формирование корпуса лидера, по существу, сводилось к его сборке из сек­ций, изготовленных николаевским заво­дом им. А.Марти. Несколько позже, в августе 1936 года, в доке № 2 того же эллинга под заводс­ким номером С-268 прошел перезаклад­ку второй лидер — «Тифлис». Для строитель­ства этих кораблей на базе филиала за­вода им. А.Марти был организован цех № 2 (или, как его тогда называли, цех «Доки»), начальни­ком которого и од­новременно строителем лидеров был на­значен инженер К.Ф.Терлецкий,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П.Г.Гойнкис.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П.Г.Гойнкис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2EB3B2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0AF0F3"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 начальник Морских сил В. М. Орлов предложил закупить в Италии крейсера водоизмещением в 6000 т. Нашим военморам больше всего импонировало то, что итальянские крейсера были самыми быстроходными в мире, и это им казалось «главным и решающим для советских кораблей».</w:t>
      </w:r>
    </w:p>
    <w:p w14:paraId="44CA6FFF" w14:textId="77777777" w:rsidR="00E254A5" w:rsidRPr="00142305" w:rsidRDefault="00E254A5" w:rsidP="00E254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Комиссия Сивкова в 1930 г. пыталась купить крейсера типа «Монтекукколи». Сивков установил, что по итальянским законам купить готовый крейсер нельзя, но построить в Италии можно хоть целый флот. Тогда было выработано компромиссное решение – закупить для нашего крейсера двигатели, согласовать с итальянцами проект последнего, а уже на его основе заказать в Италии теоретический чертеж корабля (25184).</w:t>
      </w:r>
    </w:p>
    <w:p w14:paraId="25375BAF" w14:textId="77777777" w:rsidR="00E254A5" w:rsidRPr="00142305" w:rsidRDefault="00E254A5" w:rsidP="00E254A5">
      <w:pPr>
        <w:spacing w:after="0" w:line="240" w:lineRule="auto"/>
        <w:jc w:val="both"/>
        <w:rPr>
          <w:rFonts w:ascii="Times New Roman" w:hAnsi="Times New Roman"/>
          <w:color w:val="0070C0"/>
          <w:sz w:val="16"/>
          <w:szCs w:val="16"/>
        </w:rPr>
      </w:pPr>
    </w:p>
    <w:p w14:paraId="10590826" w14:textId="77777777" w:rsidR="00556A26" w:rsidRPr="00E93F40" w:rsidRDefault="00556A2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со стороны ВСНХ к руководству Всесоюзного электрослаботочного объединения (ВЭСО), в которое в 1931 году был преобразован ЭТЗСТ, начались настойчивые требования о сворачивании тех договорных отношений, которые не сулили существенного и быстрого эффекта. Следствием этих требований стало, например, расторжение договора с фирмой «Телефункен» в феврале 1931 г. по передаче образцов радиоламп, несмотря на протесты руководителей ВЭСО (21526).</w:t>
      </w:r>
    </w:p>
    <w:p w14:paraId="429A4F61" w14:textId="77777777" w:rsidR="00556A26" w:rsidRPr="00E93F40" w:rsidRDefault="00556A26" w:rsidP="00E93F40">
      <w:pPr>
        <w:spacing w:after="0" w:line="240" w:lineRule="auto"/>
        <w:jc w:val="both"/>
        <w:rPr>
          <w:rFonts w:ascii="Times New Roman" w:hAnsi="Times New Roman"/>
          <w:color w:val="000000" w:themeColor="text1"/>
          <w:sz w:val="16"/>
          <w:szCs w:val="16"/>
        </w:rPr>
      </w:pPr>
    </w:p>
    <w:p w14:paraId="34E41135" w14:textId="77777777" w:rsidR="00556A26" w:rsidRPr="00E93F40" w:rsidRDefault="00556A2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ВАТО обязало московский Завод имени Сталина построить 5 дизелей НАТИ-1-60 к 1 мая. Но завод по-прежнему отказывался осваивать дизель (22528).</w:t>
      </w:r>
    </w:p>
    <w:p w14:paraId="2C74F758" w14:textId="77777777" w:rsidR="00556A26" w:rsidRPr="00E93F40" w:rsidRDefault="00556A26" w:rsidP="00E93F40">
      <w:pPr>
        <w:spacing w:after="0" w:line="240" w:lineRule="auto"/>
        <w:jc w:val="both"/>
        <w:rPr>
          <w:rFonts w:ascii="Times New Roman" w:hAnsi="Times New Roman"/>
          <w:color w:val="000000" w:themeColor="text1"/>
          <w:sz w:val="16"/>
          <w:szCs w:val="16"/>
        </w:rPr>
      </w:pPr>
    </w:p>
    <w:p w14:paraId="4FCA615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204BE9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028A629" w14:textId="77777777" w:rsidR="00556A26" w:rsidRPr="00E93F40" w:rsidRDefault="00556A2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 Морских Силах РККА было уже 208 боевых самолетов, а к 1 июня их количество увеличилось до 299 (19929).</w:t>
      </w:r>
    </w:p>
    <w:p w14:paraId="427B410B" w14:textId="77777777" w:rsidR="00556A26" w:rsidRPr="00E93F40" w:rsidRDefault="00556A26" w:rsidP="00E93F40">
      <w:pPr>
        <w:spacing w:after="0" w:line="240" w:lineRule="auto"/>
        <w:jc w:val="both"/>
        <w:rPr>
          <w:rFonts w:ascii="Times New Roman" w:hAnsi="Times New Roman"/>
          <w:color w:val="000000" w:themeColor="text1"/>
          <w:sz w:val="16"/>
          <w:szCs w:val="16"/>
        </w:rPr>
      </w:pPr>
    </w:p>
    <w:p w14:paraId="1AEFEE31" w14:textId="77777777" w:rsidR="00402786" w:rsidRPr="00E93F40" w:rsidRDefault="0040278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начале 1932 года первые ТБ-3 начали поступать в ВВС Красной Ар</w:t>
      </w:r>
      <w:r w:rsidRPr="00E93F40">
        <w:rPr>
          <w:rFonts w:ascii="Times New Roman" w:hAnsi="Times New Roman"/>
          <w:color w:val="000000" w:themeColor="text1"/>
          <w:sz w:val="16"/>
          <w:szCs w:val="16"/>
        </w:rPr>
        <w:softHyphen/>
        <w:t>мии. В тот же год один такой ТБ-3 4М-17 направили для использования в экспериментах Вахмистрова с соединенными самолетами (23378).</w:t>
      </w:r>
    </w:p>
    <w:p w14:paraId="019187CD" w14:textId="77777777" w:rsidR="00402786" w:rsidRPr="00E93F40" w:rsidRDefault="00402786" w:rsidP="00E93F40">
      <w:pPr>
        <w:spacing w:after="0" w:line="240" w:lineRule="auto"/>
        <w:jc w:val="both"/>
        <w:rPr>
          <w:rFonts w:ascii="Times New Roman" w:hAnsi="Times New Roman"/>
          <w:color w:val="000000" w:themeColor="text1"/>
          <w:sz w:val="16"/>
          <w:szCs w:val="16"/>
        </w:rPr>
      </w:pPr>
    </w:p>
    <w:p w14:paraId="2B106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два ФГ-62, неисправные и законсервированные на складе №8, числились в Ленинградском военном округе. Однако в октябре один "Голиаф" опять стал летать. В ноябре 1933 г. он входил в 6-ю отдельную разведывательную эскадрилью в Красногвардейске. Эта машина эксплуатировалась, по крайней мере, до начала 1934 г., причем в ведомостях она шла по разряду строевых частей. Этот последний советский "Голиаф" пережил практически всех своих экспортных собратьев по семейству (11984).</w:t>
      </w:r>
    </w:p>
    <w:p w14:paraId="30A4F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44C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легкобомбардировочные эскадрильи окончательно перевели на штат в 28 машин - три отряда по девять плюс одна командирская. Отряд делился на три звена по три самолета.</w:t>
      </w:r>
    </w:p>
    <w:p w14:paraId="1D46F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этому времени сложилась достаточно четкая структура ВВС. Управлению ВВС (УВВС) в Москве подчинялись управления в округах. Свои ВВС на правах окружных имели Краснознаменная Кавказская армия (ККА), позже переформированная в Северо-Кавказский и Закавказский военные округа, и Особая Дальневосточная Армия (ОДВА, позднее Краснознаменная - ОКДВА), созданная в 1928 г. Аналогичным образом в ВВС входили воздушные силы морей, в оперативном отношении подчинявшиеся командованию соответствующих флотов. Управлениям ВВС округов и приравненных к ним структурных единиц подчинялись бригады, отдельные эскадрильи и отряды.</w:t>
      </w:r>
    </w:p>
    <w:p w14:paraId="45B962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ходе военных действий могли временно создаваться авиагруппы. Подобные группы участвовали в операциях против басмачей в Средней Азии. Именовались они по месту "работы", например, Туркменская авиагруппа. В ККА некоторое время существовали Новочеркасская и Ростовская авиагруппы, позже переформированные в бригады.</w:t>
      </w:r>
    </w:p>
    <w:p w14:paraId="740D89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бригады постепенно становились специализированными: истребительными, бомбардировочными, штурмовыми. Их стали комплектовать однородной техникой. С 1 марта 1935 г. это получило отражение в их названии. Так, 207-я авиабригада стала 95-й истребительной, 254-я - 102-й штурмовой. Сохранились и смешанные бригады, включавшие части разных родов авиации, например, 97-я смешанная (бывшая 454-я). Трехзначные цифры не свидетельствовали о грандиозной мощи ВВС РККА, похоже, номера давали произвольно, возможно, с целью запутать вражеских шпионов.</w:t>
      </w:r>
    </w:p>
    <w:p w14:paraId="4666D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бригаду входило от двух до пяти эскадрилий. В истребительные, легкобомбардировочные, штурмовые бригады обычно сводили эскадрильи одного назначения. В тяжелобомбардировочные добавляли одну дальнеразведывательную эскадрилью на Р-5 или Р-6 или крейсерскую на Р-6. По штатам 1932 г. тяжелобомбардировочной бригаде полагалось 48 ТБ-3, 12 Р-6, 11 Р-5 или 36 ТБ-3, 12 ТБ-1, 12 Р-6 и 11 Р-5. В середине 1933 г. в каждую такую бригаду включили еще и одну истребительную эскадрилью.</w:t>
      </w:r>
    </w:p>
    <w:p w14:paraId="725A0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в этот период многие бригады формировались заново, не имея какой-либо базовой эскадрильи, то номера всех эскадрилий соединения шли один за другим (например, 25-я, 26-я, 27-я...) (11987).</w:t>
      </w:r>
    </w:p>
    <w:p w14:paraId="02FD7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560EF3" w14:textId="77777777" w:rsidR="004902CD" w:rsidRPr="00E93F40" w:rsidRDefault="004902CD" w:rsidP="004902CD">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на вооружении ВВС находилось 297 самолетов И-3. В эксплуатации И-3 зарекомендовал себя как проч</w:t>
      </w:r>
      <w:r w:rsidRPr="00E93F40">
        <w:rPr>
          <w:rFonts w:ascii="Times New Roman" w:hAnsi="Times New Roman"/>
          <w:color w:val="000000" w:themeColor="text1"/>
          <w:sz w:val="16"/>
          <w:szCs w:val="16"/>
        </w:rPr>
        <w:softHyphen/>
        <w:t>ный, надежный истребитель. Но срок военной службы самолета оказался недолгим, и в конце 1934 г. последовал приказ о снятии его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24886342" w14:textId="77777777" w:rsidR="004902CD" w:rsidRPr="00E93F40" w:rsidRDefault="004902CD" w:rsidP="004902CD">
      <w:pPr>
        <w:autoSpaceDE w:val="0"/>
        <w:autoSpaceDN w:val="0"/>
        <w:adjustRightInd w:val="0"/>
        <w:spacing w:after="0" w:line="240" w:lineRule="auto"/>
        <w:jc w:val="both"/>
        <w:rPr>
          <w:rFonts w:ascii="Times New Roman" w:hAnsi="Times New Roman"/>
          <w:color w:val="000000" w:themeColor="text1"/>
          <w:sz w:val="16"/>
          <w:szCs w:val="16"/>
        </w:rPr>
      </w:pPr>
    </w:p>
    <w:p w14:paraId="278A1AFD" w14:textId="1F54B2DF" w:rsidR="00246B6F" w:rsidRPr="00142305" w:rsidRDefault="00246B6F" w:rsidP="00246B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 на вооружении ВВС находилось 297 самолетов</w:t>
      </w:r>
      <w:r w:rsidR="004902CD">
        <w:rPr>
          <w:rFonts w:ascii="Times New Roman" w:hAnsi="Times New Roman"/>
          <w:color w:val="0070C0"/>
          <w:sz w:val="16"/>
          <w:szCs w:val="16"/>
        </w:rPr>
        <w:t xml:space="preserve"> </w:t>
      </w:r>
      <w:r w:rsidRPr="00142305">
        <w:rPr>
          <w:rFonts w:ascii="Times New Roman" w:hAnsi="Times New Roman"/>
          <w:color w:val="0070C0"/>
          <w:sz w:val="16"/>
          <w:szCs w:val="16"/>
        </w:rPr>
        <w:t>И-3. В эксплуатации И-3 зарекомендовал себя как прочный, надежный истребитель. Срок военной службы самолета оказался недолгим, и в конце 1934 г. последовал приказ о снятии его со снабжения ВВС РККА. Некоторое количество И-3 использовалось затем в летных школах.</w:t>
      </w:r>
    </w:p>
    <w:p w14:paraId="783A29D5" w14:textId="77777777" w:rsidR="00246B6F" w:rsidRPr="00142305" w:rsidRDefault="00246B6F" w:rsidP="00246B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авиации ВМФ И-3 практически не использовался, так как там основным истребителем являлся И-4 (25035).</w:t>
      </w:r>
    </w:p>
    <w:p w14:paraId="6A63CCFB" w14:textId="77777777" w:rsidR="00246B6F" w:rsidRPr="00142305" w:rsidRDefault="00246B6F" w:rsidP="00246B6F">
      <w:pPr>
        <w:spacing w:after="0" w:line="240" w:lineRule="auto"/>
        <w:jc w:val="both"/>
        <w:rPr>
          <w:rFonts w:ascii="Times New Roman" w:hAnsi="Times New Roman"/>
          <w:color w:val="0070C0"/>
          <w:sz w:val="16"/>
          <w:szCs w:val="16"/>
        </w:rPr>
      </w:pPr>
    </w:p>
    <w:p w14:paraId="7C4E88E5" w14:textId="77777777" w:rsidR="00246B6F" w:rsidRPr="00142305" w:rsidRDefault="00246B6F" w:rsidP="00246B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1932 г. Начальником ВВС РККА были даны специальные указа</w:t>
      </w:r>
      <w:r w:rsidRPr="00142305">
        <w:rPr>
          <w:rFonts w:ascii="Times New Roman" w:hAnsi="Times New Roman"/>
          <w:color w:val="0070C0"/>
          <w:sz w:val="16"/>
          <w:szCs w:val="16"/>
        </w:rPr>
        <w:softHyphen/>
        <w:t>ния о боевой подготовке авиапарков, особенно в плане совершенствования под</w:t>
      </w:r>
      <w:r w:rsidRPr="00142305">
        <w:rPr>
          <w:rFonts w:ascii="Times New Roman" w:hAnsi="Times New Roman"/>
          <w:color w:val="0070C0"/>
          <w:sz w:val="16"/>
          <w:szCs w:val="16"/>
        </w:rPr>
        <w:softHyphen/>
        <w:t>готовки их начальствующего состава, который должен был выполнять новые за</w:t>
      </w:r>
      <w:r w:rsidRPr="00142305">
        <w:rPr>
          <w:rFonts w:ascii="Times New Roman" w:hAnsi="Times New Roman"/>
          <w:color w:val="0070C0"/>
          <w:sz w:val="16"/>
          <w:szCs w:val="16"/>
        </w:rPr>
        <w:softHyphen/>
        <w:t>дачи в связи поступлением в войска новой сложной авиатехники.</w:t>
      </w:r>
    </w:p>
    <w:p w14:paraId="6BE6AC0E" w14:textId="77777777" w:rsidR="00246B6F" w:rsidRPr="00142305" w:rsidRDefault="00246B6F" w:rsidP="00246B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Старший начсостав авиапарков привлекался к командирской учебе и уча</w:t>
      </w:r>
      <w:r w:rsidRPr="00142305">
        <w:rPr>
          <w:rFonts w:ascii="Times New Roman" w:hAnsi="Times New Roman"/>
          <w:color w:val="0070C0"/>
          <w:sz w:val="16"/>
          <w:szCs w:val="16"/>
        </w:rPr>
        <w:softHyphen/>
        <w:t>стию на занятиях в общебригадном масштабе. Кроме того, по специальным пар</w:t>
      </w:r>
      <w:r w:rsidRPr="00142305">
        <w:rPr>
          <w:rFonts w:ascii="Times New Roman" w:hAnsi="Times New Roman"/>
          <w:color w:val="0070C0"/>
          <w:sz w:val="16"/>
          <w:szCs w:val="16"/>
        </w:rPr>
        <w:softHyphen/>
        <w:t>ковым вопросам должны были теперь проводиться занятия под личным руковод</w:t>
      </w:r>
      <w:r w:rsidRPr="00142305">
        <w:rPr>
          <w:rFonts w:ascii="Times New Roman" w:hAnsi="Times New Roman"/>
          <w:color w:val="0070C0"/>
          <w:sz w:val="16"/>
          <w:szCs w:val="16"/>
        </w:rPr>
        <w:softHyphen/>
        <w:t>ством командира парка. В программу этих занятий включались вопросы службы парков, общетактическая и стрелковая подготовка и изучение вопросов полити</w:t>
      </w:r>
      <w:r w:rsidRPr="00142305">
        <w:rPr>
          <w:rFonts w:ascii="Times New Roman" w:hAnsi="Times New Roman"/>
          <w:color w:val="0070C0"/>
          <w:sz w:val="16"/>
          <w:szCs w:val="16"/>
        </w:rPr>
        <w:softHyphen/>
        <w:t>ческого руководства и политобеспечения.</w:t>
      </w:r>
    </w:p>
    <w:p w14:paraId="0B638076" w14:textId="77777777" w:rsidR="00246B6F" w:rsidRPr="00142305" w:rsidRDefault="00246B6F" w:rsidP="00246B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Средний начсостав парков делился на три группы, в которых учеба должна была проводиться под руководством соответствующих помощников командира парка. Первая группа - по аэродромной службе, вторая с включением работни</w:t>
      </w:r>
      <w:r w:rsidRPr="00142305">
        <w:rPr>
          <w:rFonts w:ascii="Times New Roman" w:hAnsi="Times New Roman"/>
          <w:color w:val="0070C0"/>
          <w:sz w:val="16"/>
          <w:szCs w:val="16"/>
        </w:rPr>
        <w:softHyphen/>
        <w:t>ков технической части и третья группа - начсостав хозяйственного отдела парка. Для каждой группы давались конкретные задачи и установки в отношении про</w:t>
      </w:r>
      <w:r w:rsidRPr="00142305">
        <w:rPr>
          <w:rFonts w:ascii="Times New Roman" w:hAnsi="Times New Roman"/>
          <w:color w:val="0070C0"/>
          <w:sz w:val="16"/>
          <w:szCs w:val="16"/>
        </w:rPr>
        <w:softHyphen/>
        <w:t>работки рассматриваемых вопросов и совершенствования знаний.</w:t>
      </w:r>
    </w:p>
    <w:p w14:paraId="0343ED96" w14:textId="77777777" w:rsidR="00246B6F" w:rsidRPr="00142305" w:rsidRDefault="00246B6F" w:rsidP="00246B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Командиры парков должны были быть подготовлены не только техниче</w:t>
      </w:r>
      <w:r w:rsidRPr="00142305">
        <w:rPr>
          <w:rFonts w:ascii="Times New Roman" w:hAnsi="Times New Roman"/>
          <w:color w:val="0070C0"/>
          <w:sz w:val="16"/>
          <w:szCs w:val="16"/>
        </w:rPr>
        <w:softHyphen/>
        <w:t>ски, но и тактически. Снабженческая деятельность парка должна была быть увя</w:t>
      </w:r>
      <w:r w:rsidRPr="00142305">
        <w:rPr>
          <w:rFonts w:ascii="Times New Roman" w:hAnsi="Times New Roman"/>
          <w:color w:val="0070C0"/>
          <w:sz w:val="16"/>
          <w:szCs w:val="16"/>
        </w:rPr>
        <w:softHyphen/>
        <w:t>зана с оперативными задачами, поставленными перед авиацией.</w:t>
      </w:r>
    </w:p>
    <w:p w14:paraId="5FFE483D" w14:textId="77777777" w:rsidR="00246B6F" w:rsidRPr="00142305" w:rsidRDefault="00246B6F" w:rsidP="00246B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Важной признавалась работа по регулировке и расчету летно-технического ресурса и средств вооружения строевых авиачастей: горючего, бомб, патронов, работы моторов, обеспечения запчастями и т. д. (24968).</w:t>
      </w:r>
    </w:p>
    <w:p w14:paraId="39264792" w14:textId="77777777" w:rsidR="00246B6F" w:rsidRPr="00142305" w:rsidRDefault="00246B6F" w:rsidP="00246B6F">
      <w:pPr>
        <w:spacing w:after="0" w:line="240" w:lineRule="auto"/>
        <w:jc w:val="both"/>
        <w:rPr>
          <w:rFonts w:ascii="Times New Roman" w:hAnsi="Times New Roman"/>
          <w:color w:val="0070C0"/>
          <w:sz w:val="16"/>
          <w:szCs w:val="16"/>
        </w:rPr>
      </w:pPr>
    </w:p>
    <w:p w14:paraId="50D2918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924E1A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6F086D9" w14:textId="77777777" w:rsidR="00CC533B" w:rsidRPr="00E93F40" w:rsidRDefault="00CC53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началу 1932 г. между инженерами Метростроя вспыхнула полемика о способе строительства. Молодой инженер Технического отдела В. Л. Маковский выразил несогласие с решением о строительстве открытым способом и предложил руководству Метростроя прокладывать линии по американскому образцу на большой глубине щитовым методом. Его предложение не встретило одобрения других инженеров. Большинство стояло на стороне Ротерта, меньшая часть поддерживала профессора Розанова, склоняясь к парижскому способу{421}.</w:t>
      </w:r>
    </w:p>
    <w:p w14:paraId="647216DC" w14:textId="77777777" w:rsidR="00CC533B" w:rsidRPr="00E93F40" w:rsidRDefault="00CC53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Маковский, который не был ни членом парии, ни комсомольцем{422},обратился, минуя непосредственное начальство, к городскому комитету ВКП(б) и смог увлечь своей идеей Хрущева. 1 марта 1932 г. в «Правде» вышла статья Маковского, вызвавшая оживленную дискуссию. Автор отстаивал щитовой метод проходки тоннелей на глубине 20-30 м, где, по данным геологических изысканий, находились стабильные слои осадочных пород юрского периода[42],и облицовку тоннелей железобетонными тюбингами[43].Против берлинского способа он, в частности, приводил аргумент, что тот требует громадной работы по перемещению городских коммуникаций, необходимо перекрывать уличное движение, зимой обогревать строительные котлованы, и к тому же линии метро будут связаны с направлением существующих улиц. Парижский метод из-за неблагоприятных условий залегания грунтов в Москве Маковский считал слишком опасным{423} (18299).</w:t>
      </w:r>
    </w:p>
    <w:p w14:paraId="07E3E292" w14:textId="77777777" w:rsidR="00CC533B" w:rsidRPr="00E93F40" w:rsidRDefault="00CC533B" w:rsidP="00E93F40">
      <w:pPr>
        <w:spacing w:after="0" w:line="240" w:lineRule="auto"/>
        <w:jc w:val="both"/>
        <w:rPr>
          <w:rFonts w:ascii="Times New Roman" w:hAnsi="Times New Roman"/>
          <w:color w:val="000000" w:themeColor="text1"/>
          <w:sz w:val="16"/>
          <w:szCs w:val="16"/>
        </w:rPr>
      </w:pPr>
    </w:p>
    <w:p w14:paraId="4C77BD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года карточек были лишены все домохозяйки моложе 56 лет: чтобы получить карточки, они должны были устроиться на работу.</w:t>
      </w:r>
    </w:p>
    <w:p w14:paraId="289C76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Особенно тяжелым на всем протяжении карточного снабжения было положение с мясом, жирами, молочными продуктами. 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w:t>
      </w:r>
    </w:p>
    <w:p w14:paraId="157C45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5B7B8B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A41A0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B88291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19BF11B" w14:textId="15B85DC6" w:rsidR="00CC533B" w:rsidRPr="00E93F40" w:rsidRDefault="00CC53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Германии поднялась кампания против импорта советского зерна, леса, нефти. Ее инициаторами были крупные аграрии, фирмы деревообрабатывающей и нефтяной промышленности. Фирмы же тяжелой промышленности постоянно пытались побудить германское правительство не чинить препятствий советскому экспорту в Германию, а также предоставить СССР гарантированные экспортные кредиты (18265).</w:t>
      </w:r>
    </w:p>
    <w:p w14:paraId="567D4551" w14:textId="77777777" w:rsidR="00CC533B" w:rsidRPr="00E93F40" w:rsidRDefault="00CC533B" w:rsidP="00E93F40">
      <w:pPr>
        <w:spacing w:after="0" w:line="240" w:lineRule="auto"/>
        <w:jc w:val="both"/>
        <w:rPr>
          <w:rFonts w:ascii="Times New Roman" w:hAnsi="Times New Roman"/>
          <w:color w:val="000000" w:themeColor="text1"/>
          <w:sz w:val="16"/>
          <w:szCs w:val="16"/>
        </w:rPr>
      </w:pPr>
    </w:p>
    <w:p w14:paraId="1ED90A39" w14:textId="2308457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в Германии поднялась кампания против импорта советского зерна, леса, нефти. Ее инициаторами были крупные аграрии, фирмы деревообрабатывающей и нефтяной промышленности. Фирмы же тяжелой промышленности постоянно пытались побудить германское правительство не чинить препятствий советскому экспорту в Германию, а также предоставить СССР гарантированные экспортные кредиты. В июне 1932 г. Пятаков вновь приехал в Германию. 15 июня 1932 г. он достиг рамочного соглашения о поставках, расширявших «соглашение Пятакова» от 14 апреля 1931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(Rosenfeld Gunter. Op. cit. .S. 419.). 17 января </w:t>
      </w:r>
      <w:r w:rsidRPr="00E93F40">
        <w:rPr>
          <w:rFonts w:ascii="Times New Roman" w:hAnsi="Times New Roman"/>
          <w:color w:val="000000" w:themeColor="text1"/>
          <w:sz w:val="16"/>
          <w:szCs w:val="16"/>
        </w:rPr>
        <w:lastRenderedPageBreak/>
        <w:t>1933 г. был подписан советско-германский протокол об увеличении экспорта СССР в Германию и предоставления ему кредитов под закупки оборудования. 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 (в млн. марок) (Архив НКВТ СССР, ф. Особый сектор, on. 6066, д. 233, л. 129, огп)</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573"/>
        <w:gridCol w:w="3223"/>
        <w:gridCol w:w="3091"/>
        <w:gridCol w:w="1633"/>
        <w:gridCol w:w="838"/>
      </w:tblGrid>
      <w:tr w:rsidR="00DA227A" w:rsidRPr="00E93F40" w14:paraId="72AE213B" w14:textId="77777777">
        <w:tc>
          <w:tcPr>
            <w:tcW w:w="573" w:type="dxa"/>
            <w:tcBorders>
              <w:top w:val="single" w:sz="12" w:space="0" w:color="000000"/>
            </w:tcBorders>
          </w:tcPr>
          <w:p w14:paraId="0769E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Годы</w:t>
            </w:r>
          </w:p>
        </w:tc>
        <w:tc>
          <w:tcPr>
            <w:tcW w:w="3223" w:type="dxa"/>
            <w:tcBorders>
              <w:top w:val="single" w:sz="12" w:space="0" w:color="000000"/>
            </w:tcBorders>
          </w:tcPr>
          <w:p w14:paraId="05626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Экспорт СССР в Германию </w:t>
            </w:r>
          </w:p>
        </w:tc>
        <w:tc>
          <w:tcPr>
            <w:tcW w:w="3091" w:type="dxa"/>
            <w:tcBorders>
              <w:top w:val="single" w:sz="12" w:space="0" w:color="000000"/>
            </w:tcBorders>
          </w:tcPr>
          <w:p w14:paraId="2B980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Импорт СССР из Германии</w:t>
            </w:r>
          </w:p>
        </w:tc>
        <w:tc>
          <w:tcPr>
            <w:tcW w:w="1633" w:type="dxa"/>
            <w:tcBorders>
              <w:top w:val="single" w:sz="12" w:space="0" w:color="000000"/>
            </w:tcBorders>
          </w:tcPr>
          <w:p w14:paraId="0174D1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Товарооборот</w:t>
            </w:r>
          </w:p>
        </w:tc>
        <w:tc>
          <w:tcPr>
            <w:tcW w:w="838" w:type="dxa"/>
            <w:tcBorders>
              <w:top w:val="single" w:sz="12" w:space="0" w:color="000000"/>
            </w:tcBorders>
          </w:tcPr>
          <w:p w14:paraId="798EB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Сальдо</w:t>
            </w:r>
          </w:p>
        </w:tc>
      </w:tr>
      <w:tr w:rsidR="00DA227A" w:rsidRPr="00E93F40" w14:paraId="01227929" w14:textId="77777777">
        <w:tc>
          <w:tcPr>
            <w:tcW w:w="573" w:type="dxa"/>
          </w:tcPr>
          <w:p w14:paraId="1D3DB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3223" w:type="dxa"/>
          </w:tcPr>
          <w:p w14:paraId="64BAA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425,7</w:t>
            </w:r>
          </w:p>
        </w:tc>
        <w:tc>
          <w:tcPr>
            <w:tcW w:w="3091" w:type="dxa"/>
          </w:tcPr>
          <w:p w14:paraId="680574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353,9</w:t>
            </w:r>
          </w:p>
        </w:tc>
        <w:tc>
          <w:tcPr>
            <w:tcW w:w="1633" w:type="dxa"/>
          </w:tcPr>
          <w:p w14:paraId="344BC8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779,6</w:t>
            </w:r>
          </w:p>
        </w:tc>
        <w:tc>
          <w:tcPr>
            <w:tcW w:w="838" w:type="dxa"/>
          </w:tcPr>
          <w:p w14:paraId="5A4E1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+71,8</w:t>
            </w:r>
          </w:p>
        </w:tc>
      </w:tr>
      <w:tr w:rsidR="00DA227A" w:rsidRPr="00E93F40" w14:paraId="4EA58AA0" w14:textId="77777777">
        <w:tc>
          <w:tcPr>
            <w:tcW w:w="573" w:type="dxa"/>
          </w:tcPr>
          <w:p w14:paraId="228ED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3223" w:type="dxa"/>
          </w:tcPr>
          <w:p w14:paraId="5BF66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436,3</w:t>
            </w:r>
          </w:p>
        </w:tc>
        <w:tc>
          <w:tcPr>
            <w:tcW w:w="3091" w:type="dxa"/>
          </w:tcPr>
          <w:p w14:paraId="15EE3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430,6</w:t>
            </w:r>
          </w:p>
        </w:tc>
        <w:tc>
          <w:tcPr>
            <w:tcW w:w="1633" w:type="dxa"/>
          </w:tcPr>
          <w:p w14:paraId="700B0C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866,9</w:t>
            </w:r>
          </w:p>
        </w:tc>
        <w:tc>
          <w:tcPr>
            <w:tcW w:w="838" w:type="dxa"/>
          </w:tcPr>
          <w:p w14:paraId="72EB7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p>
        </w:tc>
      </w:tr>
      <w:tr w:rsidR="00DA227A" w:rsidRPr="00E93F40" w14:paraId="0E951AC5" w14:textId="77777777">
        <w:tc>
          <w:tcPr>
            <w:tcW w:w="573" w:type="dxa"/>
          </w:tcPr>
          <w:p w14:paraId="3FC3E9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23" w:type="dxa"/>
          </w:tcPr>
          <w:p w14:paraId="59D16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303,5</w:t>
            </w:r>
          </w:p>
        </w:tc>
        <w:tc>
          <w:tcPr>
            <w:tcW w:w="3091" w:type="dxa"/>
          </w:tcPr>
          <w:p w14:paraId="5241E1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762,7</w:t>
            </w:r>
          </w:p>
        </w:tc>
        <w:tc>
          <w:tcPr>
            <w:tcW w:w="1633" w:type="dxa"/>
          </w:tcPr>
          <w:p w14:paraId="44791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1066,2</w:t>
            </w:r>
          </w:p>
        </w:tc>
        <w:tc>
          <w:tcPr>
            <w:tcW w:w="838" w:type="dxa"/>
          </w:tcPr>
          <w:p w14:paraId="7595C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-499,2</w:t>
            </w:r>
          </w:p>
        </w:tc>
      </w:tr>
      <w:tr w:rsidR="00DA227A" w:rsidRPr="00E93F40" w14:paraId="1E5C284C" w14:textId="77777777">
        <w:tc>
          <w:tcPr>
            <w:tcW w:w="573" w:type="dxa"/>
          </w:tcPr>
          <w:p w14:paraId="0930A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23" w:type="dxa"/>
          </w:tcPr>
          <w:p w14:paraId="29E824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270,9</w:t>
            </w:r>
          </w:p>
        </w:tc>
        <w:tc>
          <w:tcPr>
            <w:tcW w:w="3091" w:type="dxa"/>
          </w:tcPr>
          <w:p w14:paraId="49D24B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625,8</w:t>
            </w:r>
          </w:p>
        </w:tc>
        <w:tc>
          <w:tcPr>
            <w:tcW w:w="1633" w:type="dxa"/>
          </w:tcPr>
          <w:p w14:paraId="23A05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896,7</w:t>
            </w:r>
          </w:p>
        </w:tc>
        <w:tc>
          <w:tcPr>
            <w:tcW w:w="838" w:type="dxa"/>
          </w:tcPr>
          <w:p w14:paraId="58E68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-354,9</w:t>
            </w:r>
          </w:p>
        </w:tc>
      </w:tr>
      <w:tr w:rsidR="00DA227A" w:rsidRPr="00E93F40" w14:paraId="07B15EAE" w14:textId="77777777">
        <w:tc>
          <w:tcPr>
            <w:tcW w:w="573" w:type="dxa"/>
          </w:tcPr>
          <w:p w14:paraId="50829B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3223" w:type="dxa"/>
          </w:tcPr>
          <w:p w14:paraId="3D99A6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194,1</w:t>
            </w:r>
          </w:p>
        </w:tc>
        <w:tc>
          <w:tcPr>
            <w:tcW w:w="3091" w:type="dxa"/>
          </w:tcPr>
          <w:p w14:paraId="4A99AC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282,2</w:t>
            </w:r>
          </w:p>
        </w:tc>
        <w:tc>
          <w:tcPr>
            <w:tcW w:w="1633" w:type="dxa"/>
          </w:tcPr>
          <w:p w14:paraId="046F1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476,3</w:t>
            </w:r>
          </w:p>
        </w:tc>
        <w:tc>
          <w:tcPr>
            <w:tcW w:w="838" w:type="dxa"/>
          </w:tcPr>
          <w:p w14:paraId="35D356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-88,1</w:t>
            </w:r>
          </w:p>
        </w:tc>
      </w:tr>
      <w:tr w:rsidR="00DA227A" w:rsidRPr="00E93F40" w14:paraId="5BB4F6EF" w14:textId="77777777">
        <w:tc>
          <w:tcPr>
            <w:tcW w:w="573" w:type="dxa"/>
            <w:tcBorders>
              <w:bottom w:val="single" w:sz="12" w:space="0" w:color="000000"/>
            </w:tcBorders>
          </w:tcPr>
          <w:p w14:paraId="3A89EA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w:t>
            </w:r>
          </w:p>
        </w:tc>
        <w:tc>
          <w:tcPr>
            <w:tcW w:w="3223" w:type="dxa"/>
            <w:tcBorders>
              <w:bottom w:val="single" w:sz="12" w:space="0" w:color="000000"/>
            </w:tcBorders>
          </w:tcPr>
          <w:p w14:paraId="57EDF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233,0</w:t>
            </w:r>
          </w:p>
        </w:tc>
        <w:tc>
          <w:tcPr>
            <w:tcW w:w="3091" w:type="dxa"/>
            <w:tcBorders>
              <w:bottom w:val="single" w:sz="12" w:space="0" w:color="000000"/>
            </w:tcBorders>
          </w:tcPr>
          <w:p w14:paraId="5E601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63,31</w:t>
            </w:r>
          </w:p>
        </w:tc>
        <w:tc>
          <w:tcPr>
            <w:tcW w:w="1633" w:type="dxa"/>
            <w:tcBorders>
              <w:bottom w:val="single" w:sz="12" w:space="0" w:color="000000"/>
            </w:tcBorders>
          </w:tcPr>
          <w:p w14:paraId="274E54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286,31</w:t>
            </w:r>
          </w:p>
        </w:tc>
        <w:tc>
          <w:tcPr>
            <w:tcW w:w="838" w:type="dxa"/>
            <w:tcBorders>
              <w:bottom w:val="single" w:sz="12" w:space="0" w:color="000000"/>
            </w:tcBorders>
          </w:tcPr>
          <w:p w14:paraId="030E6E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+159,7</w:t>
            </w:r>
          </w:p>
        </w:tc>
      </w:tr>
    </w:tbl>
    <w:p w14:paraId="48722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(11784).</w:t>
      </w:r>
    </w:p>
    <w:p w14:paraId="5D55614E" w14:textId="1A2730E8"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C8BFF82" w14:textId="7C2AAF60" w:rsidR="00556A26" w:rsidRPr="00E93F40" w:rsidRDefault="00556A26" w:rsidP="00E93F40">
      <w:pPr>
        <w:autoSpaceDE w:val="0"/>
        <w:autoSpaceDN w:val="0"/>
        <w:adjustRightInd w:val="0"/>
        <w:spacing w:after="0" w:line="240" w:lineRule="auto"/>
        <w:jc w:val="both"/>
        <w:rPr>
          <w:rFonts w:ascii="Times New Roman" w:hAnsi="Times New Roman"/>
          <w:i/>
          <w:color w:val="000000" w:themeColor="text1"/>
          <w:sz w:val="16"/>
          <w:szCs w:val="16"/>
        </w:rPr>
      </w:pPr>
      <w:r w:rsidRPr="00E93F40">
        <w:rPr>
          <w:rFonts w:ascii="Times New Roman" w:hAnsi="Times New Roman"/>
          <w:i/>
          <w:color w:val="000000" w:themeColor="text1"/>
          <w:sz w:val="16"/>
          <w:szCs w:val="16"/>
        </w:rPr>
        <w:t>За рубежом:</w:t>
      </w:r>
    </w:p>
    <w:p w14:paraId="1AB6DD9D" w14:textId="77777777" w:rsidR="00556A26" w:rsidRPr="00E93F40" w:rsidRDefault="00556A26" w:rsidP="00E93F40">
      <w:pPr>
        <w:autoSpaceDE w:val="0"/>
        <w:autoSpaceDN w:val="0"/>
        <w:adjustRightInd w:val="0"/>
        <w:spacing w:after="0" w:line="240" w:lineRule="auto"/>
        <w:jc w:val="both"/>
        <w:rPr>
          <w:rFonts w:ascii="Times New Roman" w:hAnsi="Times New Roman"/>
          <w:i/>
          <w:color w:val="000000" w:themeColor="text1"/>
          <w:sz w:val="16"/>
          <w:szCs w:val="16"/>
        </w:rPr>
      </w:pPr>
    </w:p>
    <w:p w14:paraId="1AA09520" w14:textId="77777777" w:rsidR="00556A26" w:rsidRPr="00E93F40" w:rsidRDefault="00556A2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Начало 1932 года состоялся первый полет почтового самолета Saro Percival, позже преобразованного в Spartan Cruiser (20803).</w:t>
      </w:r>
    </w:p>
    <w:p w14:paraId="1D859AA2" w14:textId="77777777" w:rsidR="00556A26" w:rsidRPr="00E93F40" w:rsidRDefault="00556A26" w:rsidP="00E93F40">
      <w:pPr>
        <w:spacing w:after="0" w:line="240" w:lineRule="auto"/>
        <w:jc w:val="both"/>
        <w:rPr>
          <w:rFonts w:ascii="Times New Roman" w:hAnsi="Times New Roman"/>
          <w:color w:val="000000" w:themeColor="text1"/>
          <w:sz w:val="16"/>
          <w:szCs w:val="16"/>
        </w:rPr>
      </w:pPr>
    </w:p>
    <w:p w14:paraId="4E70C749" w14:textId="77777777" w:rsidR="00402786" w:rsidRPr="00E93F40" w:rsidRDefault="0040278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1932 г. по и инициативе Deutsche Lufthansa (DLH) одномоторные самолеты Ju-52ces (Werk. Nr. 4008 и 4009) переоборудовали в трехмоторные на заводе Юнкерс в Дессау. Помимо установки трех звездообразных моторов, был внесен ряд других изменений в конструкцию: в средней части фюзеляжа прорезаны по два прямоугольных иллюминатора, в задней части правого борта сделана двустворчатая дверь. После модернизации самолеты получили обозначение Ju-52/3m de, первый из них (Werk. Nr. 4008) впервые поднялся в воздух на трех моторах 7 марта 1932 г. Оба самолета в короткий срок прошли испытания. Уже летом 1932 г. аэропланы отправили заказчику — боливийской авиакомпании Lloyd Aero Boliviano (LAB). Коммерческая эксплуатация самолетов Ju-52/3m de началась в октябре 1932 г. (24200).</w:t>
      </w:r>
    </w:p>
    <w:p w14:paraId="579A22FF" w14:textId="77777777" w:rsidR="00402786" w:rsidRPr="00E93F40" w:rsidRDefault="00402786" w:rsidP="00E93F40">
      <w:pPr>
        <w:spacing w:after="0" w:line="240" w:lineRule="auto"/>
        <w:jc w:val="both"/>
        <w:rPr>
          <w:rFonts w:ascii="Times New Roman" w:hAnsi="Times New Roman"/>
          <w:color w:val="000000" w:themeColor="text1"/>
          <w:sz w:val="16"/>
          <w:szCs w:val="16"/>
        </w:rPr>
      </w:pPr>
    </w:p>
    <w:p w14:paraId="298A008F" w14:textId="77777777" w:rsidR="00556A26" w:rsidRPr="00E93F40" w:rsidRDefault="00556A26"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rPr>
        <w:t>В начале 1932 года Императорский флот инициировал программу создания 10 новых самолетов палубного и берегового базирования. Конструкторское бюро 11-го военно-морского арсенала в городе Хиро в ней не участвовало, но по собственной инициативе под руководством лейтенант-коммандера Юна Окамуры и коммандера Мисао Вады всего за несколько недель подготовило проект цельнометаллического моноплана с двумя моторами Хиро «тип 94» по 900 л.с., способного нести 2 т бомб. В нем чувствовалось влияние «Юнкерса» (гофрированная обшивка, «разрезное» крыло как у Ju 52 или у Ki 20), но компоновка и аэродинамика по сравнению с ними были гораздо рациональнее. В марте 1933 года экспериментальный морской бомбардировщик 7-Shi тип 95 совершил первый полет. Дальность 3700 км открывала ему путь в серийное производство, но бомбардировщиков G2H-1 построили только 7 — производственная база арсенала «Хиро» больше не потянула (22811).</w:t>
      </w:r>
    </w:p>
    <w:p w14:paraId="2E444145" w14:textId="77777777" w:rsidR="00556A26" w:rsidRPr="00E93F40" w:rsidRDefault="00556A26" w:rsidP="00E93F40">
      <w:pPr>
        <w:spacing w:after="0" w:line="240" w:lineRule="auto"/>
        <w:jc w:val="both"/>
        <w:rPr>
          <w:rFonts w:ascii="Times New Roman" w:hAnsi="Times New Roman"/>
          <w:color w:val="000000" w:themeColor="text1"/>
          <w:sz w:val="16"/>
          <w:szCs w:val="16"/>
          <w:lang w:eastAsia="ru-RU" w:bidi="ru-RU"/>
        </w:rPr>
      </w:pPr>
    </w:p>
    <w:p w14:paraId="0DB13498" w14:textId="77777777" w:rsidR="00556A26" w:rsidRPr="00E93F40" w:rsidRDefault="00556A2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23B6CA1" w14:textId="77777777" w:rsidR="00556A26" w:rsidRPr="00E93F40" w:rsidRDefault="00556A2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D73273" w14:textId="77777777" w:rsidR="00556A26" w:rsidRPr="00E93F40" w:rsidRDefault="00556A26"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Зимой 1932-го началось строительство упрощенного заво</w:t>
      </w:r>
      <w:r w:rsidRPr="00E93F40">
        <w:rPr>
          <w:rFonts w:ascii="Times New Roman" w:hAnsi="Times New Roman"/>
          <w:color w:val="000000" w:themeColor="text1"/>
          <w:sz w:val="16"/>
          <w:szCs w:val="16"/>
          <w:lang w:eastAsia="ru-RU" w:bidi="ru-RU"/>
        </w:rPr>
        <w:softHyphen/>
        <w:t>да (в барачных помещениях) для производства Сталь-2 в Тушино. Исполь</w:t>
      </w:r>
      <w:r w:rsidRPr="00E93F40">
        <w:rPr>
          <w:rFonts w:ascii="Times New Roman" w:hAnsi="Times New Roman"/>
          <w:color w:val="000000" w:themeColor="text1"/>
          <w:sz w:val="16"/>
          <w:szCs w:val="16"/>
          <w:lang w:eastAsia="ru-RU" w:bidi="ru-RU"/>
        </w:rPr>
        <w:softHyphen/>
        <w:t>зовалось (но не прижилось) название: завод стальных са</w:t>
      </w:r>
      <w:r w:rsidRPr="00E93F40">
        <w:rPr>
          <w:rFonts w:ascii="Times New Roman" w:hAnsi="Times New Roman"/>
          <w:color w:val="000000" w:themeColor="text1"/>
          <w:sz w:val="16"/>
          <w:szCs w:val="16"/>
          <w:lang w:eastAsia="ru-RU" w:bidi="ru-RU"/>
        </w:rPr>
        <w:softHyphen/>
        <w:t>молетов «Авиасталь».</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eastAsia="ru-RU" w:bidi="ru-RU"/>
        </w:rPr>
        <w:t>Место для постройки определили вблизи села Тушино под Москвой. Участок, выбран</w:t>
      </w:r>
      <w:r w:rsidRPr="00E93F40">
        <w:rPr>
          <w:rFonts w:ascii="Times New Roman" w:hAnsi="Times New Roman"/>
          <w:color w:val="000000" w:themeColor="text1"/>
          <w:sz w:val="16"/>
          <w:szCs w:val="16"/>
          <w:lang w:eastAsia="ru-RU" w:bidi="ru-RU"/>
        </w:rPr>
        <w:softHyphen/>
        <w:t>ный для строительства, пред</w:t>
      </w:r>
      <w:r w:rsidRPr="00E93F40">
        <w:rPr>
          <w:rFonts w:ascii="Times New Roman" w:hAnsi="Times New Roman"/>
          <w:color w:val="000000" w:themeColor="text1"/>
          <w:sz w:val="16"/>
          <w:szCs w:val="16"/>
          <w:lang w:eastAsia="ru-RU" w:bidi="ru-RU"/>
        </w:rPr>
        <w:softHyphen/>
        <w:t>ставлял собой сплошной лес</w:t>
      </w:r>
      <w:r w:rsidRPr="00E93F40">
        <w:rPr>
          <w:rFonts w:ascii="Times New Roman" w:hAnsi="Times New Roman"/>
          <w:color w:val="000000" w:themeColor="text1"/>
          <w:sz w:val="16"/>
          <w:szCs w:val="16"/>
          <w:lang w:eastAsia="ru-RU" w:bidi="ru-RU"/>
        </w:rPr>
        <w:softHyphen/>
        <w:t>ной массив, поначалу там не было даже дороги через 3,5 месяца, 5 мая тушинский за</w:t>
      </w:r>
      <w:r w:rsidRPr="00E93F40">
        <w:rPr>
          <w:rFonts w:ascii="Times New Roman" w:hAnsi="Times New Roman"/>
          <w:color w:val="000000" w:themeColor="text1"/>
          <w:sz w:val="16"/>
          <w:szCs w:val="16"/>
          <w:lang w:eastAsia="ru-RU" w:bidi="ru-RU"/>
        </w:rPr>
        <w:softHyphen/>
        <w:t>вод вступил в строй. Понача</w:t>
      </w:r>
      <w:r w:rsidRPr="00E93F40">
        <w:rPr>
          <w:rFonts w:ascii="Times New Roman" w:hAnsi="Times New Roman"/>
          <w:color w:val="000000" w:themeColor="text1"/>
          <w:sz w:val="16"/>
          <w:szCs w:val="16"/>
          <w:lang w:eastAsia="ru-RU" w:bidi="ru-RU"/>
        </w:rPr>
        <w:softHyphen/>
        <w:t>лу предприятие определя</w:t>
      </w:r>
      <w:r w:rsidRPr="00E93F40">
        <w:rPr>
          <w:rFonts w:ascii="Times New Roman" w:hAnsi="Times New Roman"/>
          <w:color w:val="000000" w:themeColor="text1"/>
          <w:sz w:val="16"/>
          <w:szCs w:val="16"/>
          <w:lang w:eastAsia="ru-RU" w:bidi="ru-RU"/>
        </w:rPr>
        <w:softHyphen/>
        <w:t>лось как авиаремонтный завод АРЗ №62 ГВФ. С таким названием он существовал па</w:t>
      </w:r>
      <w:r w:rsidRPr="00E93F40">
        <w:rPr>
          <w:rFonts w:ascii="Times New Roman" w:hAnsi="Times New Roman"/>
          <w:color w:val="000000" w:themeColor="text1"/>
          <w:sz w:val="16"/>
          <w:szCs w:val="16"/>
          <w:lang w:eastAsia="ru-RU" w:bidi="ru-RU"/>
        </w:rPr>
        <w:softHyphen/>
        <w:t>ру лет, затем его стали именовать как авиазавод №81 им. В.М.Молотова, а в 1936 году завод передали из ГВФ в нар</w:t>
      </w:r>
      <w:r w:rsidRPr="00E93F40">
        <w:rPr>
          <w:rFonts w:ascii="Times New Roman" w:hAnsi="Times New Roman"/>
          <w:color w:val="000000" w:themeColor="text1"/>
          <w:sz w:val="16"/>
          <w:szCs w:val="16"/>
          <w:lang w:eastAsia="ru-RU" w:bidi="ru-RU"/>
        </w:rPr>
        <w:softHyphen/>
        <w:t>комат оборонной</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eastAsia="ru-RU" w:bidi="ru-RU"/>
        </w:rPr>
        <w:t>промышленности (НКОП) (20365).</w:t>
      </w:r>
    </w:p>
    <w:p w14:paraId="62B72756" w14:textId="77777777" w:rsidR="00556A26" w:rsidRPr="00E93F40" w:rsidRDefault="00556A26" w:rsidP="00E93F40">
      <w:pPr>
        <w:spacing w:after="0" w:line="240" w:lineRule="auto"/>
        <w:jc w:val="both"/>
        <w:rPr>
          <w:rFonts w:ascii="Times New Roman" w:hAnsi="Times New Roman"/>
          <w:color w:val="000000" w:themeColor="text1"/>
          <w:sz w:val="16"/>
          <w:szCs w:val="16"/>
        </w:rPr>
      </w:pPr>
    </w:p>
    <w:p w14:paraId="2F82DDE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A86D3D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797D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февралю 1932 были готовы проекты ХАИ-1 и ХАИ-2 И.Г.Немана. Первый с убирающимися шасси делала студенческая бригада во главе с Л.Арсоном, второй - с неубирающимся - бригада А.Еременко. В марте 1932 чертежи пошли в цеха. Комсомольцы брали шефство (143,22).</w:t>
      </w:r>
    </w:p>
    <w:p w14:paraId="1CC03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Опять что-то не чисто с И.Г.Неманом.</w:t>
      </w:r>
    </w:p>
    <w:p w14:paraId="14BAEE3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9CB6D4" w14:textId="66C02D43" w:rsidR="007A10AD" w:rsidRPr="00E93F40" w:rsidRDefault="007A10AD"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3F4B7A2D" w14:textId="77777777" w:rsidR="007A10AD" w:rsidRPr="00E93F40" w:rsidRDefault="007A10AD"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4D9AF799" w14:textId="0561AD5B" w:rsidR="007A10AD" w:rsidRPr="00E93F40" w:rsidRDefault="007A10A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февралю 1932 г. в подвальной мастерской одного из членов общества «Американского межпланетного общества» (American Interplanetary Society — AIS) была завершена ракета № 1. Ее конструкция повторяла «двухбалочный» немецкий «репульсор» 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четырьмя алюминиевыми стабилизаторами в нижней части. Длина ракеты — 213 см, ширина почти 23 см. Масса пустой — 6,8 кг. ЖРД из сплава алюминия и молибдена находился в носовой части, окруженный алюминиевой «рубашкой» с водяным охлаждением. Его длина была 15 см, диаметр 7,5 см. Два цилиндрических бака, каждый диаметром 4 см, длиной 160 см, заправлялись бензином и жидким кислородом. Повышение давления осуществлялось сжатым азотом. Постройка обошлась в 49 долларов 40 центов: сама ракета — 30,5 долларов, пусковая установка, другие принадлежности, покупка топлива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азота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18,9 долларов. Большинство деталей члены общества нашли у</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себя дома или подобрали на свалках (23372). </w:t>
      </w:r>
    </w:p>
    <w:p w14:paraId="4D198DF6" w14:textId="77777777" w:rsidR="007A10AD" w:rsidRPr="00E93F40" w:rsidRDefault="007A10AD" w:rsidP="00E93F40">
      <w:pPr>
        <w:spacing w:after="0" w:line="240" w:lineRule="auto"/>
        <w:jc w:val="both"/>
        <w:rPr>
          <w:rFonts w:ascii="Times New Roman" w:hAnsi="Times New Roman"/>
          <w:color w:val="000000" w:themeColor="text1"/>
          <w:sz w:val="16"/>
          <w:szCs w:val="16"/>
        </w:rPr>
      </w:pPr>
    </w:p>
    <w:p w14:paraId="62529651" w14:textId="1D1EBD28"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55D7A7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2F12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началось проектирование АНТ-26 (ТБ-6) (514).</w:t>
      </w:r>
    </w:p>
    <w:p w14:paraId="2EF0FC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1251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в ходе испытаний на 22 заводе самолета Р6 N 2201 (эталон на 1932 год), которые проходили с 23 января по 7 апреля 1932, самолет был принят для продолжения испытаний (без рации) (3003).</w:t>
      </w:r>
    </w:p>
    <w:p w14:paraId="4FD50C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4022FD" w14:textId="77777777" w:rsidR="00AD6C32" w:rsidRPr="00E93F40" w:rsidRDefault="00AD6C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февраля 1932 г. в нашей авиации числились всего четыре самолёта Р-6: два в ЦАГИ и два - в НИИ ВВС. Но чуть позже машины всё-таки начали постепенно поступать в строевые части. Первые Р-6 прибыли в Московский военный округ. 1 мая 1932 г. в параде над Красной площадью участвовали самолёты 11-й и 17-й авиабригад (12264).</w:t>
      </w:r>
    </w:p>
    <w:p w14:paraId="268B1030" w14:textId="77777777" w:rsidR="00AD6C32" w:rsidRPr="00E93F40" w:rsidRDefault="00AD6C32" w:rsidP="00E93F40">
      <w:pPr>
        <w:spacing w:after="0" w:line="240" w:lineRule="auto"/>
        <w:jc w:val="both"/>
        <w:rPr>
          <w:rFonts w:ascii="Times New Roman" w:hAnsi="Times New Roman"/>
          <w:color w:val="000000" w:themeColor="text1"/>
          <w:sz w:val="16"/>
          <w:szCs w:val="16"/>
        </w:rPr>
      </w:pPr>
    </w:p>
    <w:p w14:paraId="3FF8D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был официально пущен 21 завод в Нижнем Новгороде (2668).</w:t>
      </w:r>
    </w:p>
    <w:p w14:paraId="487CC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6E1BA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г. состоялся пуск в строй авиазавода в г. Нижний Новгород (ныне "Сокол") (6395).</w:t>
      </w:r>
    </w:p>
    <w:p w14:paraId="792792A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23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вступил в эксплуатацию самолетно-строительный завод № 21. Заводоуправление, партийная организация, профорганизация и управление строительства организовали торжественное мероприятие (7486, 9).</w:t>
      </w:r>
    </w:p>
    <w:p w14:paraId="66AED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830F9F" w14:textId="77777777" w:rsidR="00190DA5" w:rsidRPr="00E93F40" w:rsidRDefault="00190DA5"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1 февраля 1932 года Горьковский авиазавод № 21 вступил в строй. Приказом по Главному Управлению авиационной промышленности Народного Комиссариата Тяжелой Промышленности № 109 от 21.02.1932 года ему присваивается имя секретаря ЦИК СССР Енукидзе. Со дня пуска завода была введена в действие схема управления заводом. По ней на заводе существовали следующие основные производственные цеха: деревообделочный, столярный, слесарно</w:t>
      </w:r>
      <w:r w:rsidRPr="00E93F40">
        <w:rPr>
          <w:rFonts w:ascii="Times New Roman" w:hAnsi="Times New Roman"/>
          <w:color w:val="000000" w:themeColor="text1"/>
          <w:sz w:val="16"/>
          <w:szCs w:val="16"/>
          <w:lang w:eastAsia="ru-RU" w:bidi="ru-RU"/>
        </w:rPr>
        <w:softHyphen/>
        <w:t>сварочный, механический, медно-дюралевый и сборочный. По этой схеме аэродром как мастерская (21100).</w:t>
      </w:r>
    </w:p>
    <w:p w14:paraId="02FB04E2" w14:textId="77777777" w:rsidR="00190DA5" w:rsidRPr="00E93F40" w:rsidRDefault="00190DA5" w:rsidP="00E93F40">
      <w:pPr>
        <w:spacing w:after="0" w:line="240" w:lineRule="auto"/>
        <w:jc w:val="both"/>
        <w:rPr>
          <w:rFonts w:ascii="Times New Roman" w:hAnsi="Times New Roman"/>
          <w:color w:val="000000" w:themeColor="text1"/>
          <w:sz w:val="16"/>
          <w:szCs w:val="16"/>
          <w:lang w:eastAsia="ru-RU" w:bidi="ru-RU"/>
        </w:rPr>
      </w:pPr>
    </w:p>
    <w:p w14:paraId="5C024ECD" w14:textId="77777777" w:rsidR="000D1B25" w:rsidRPr="00E93F40" w:rsidRDefault="000D1B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февраля</w:t>
      </w:r>
      <w:r w:rsidRPr="00E93F40">
        <w:rPr>
          <w:rFonts w:ascii="Times New Roman" w:hAnsi="Times New Roman"/>
          <w:color w:val="000000" w:themeColor="text1"/>
          <w:sz w:val="16"/>
          <w:szCs w:val="16"/>
        </w:rPr>
        <w:t xml:space="preserve"> в 1932 году ввод в строй авиазавода № 21 (с января 1936 года имени С.Орджоникидзе) в городе Нижний Новгород (ныне ОАО «Нижегородский авиастроительный завод «Сокол»). Его строительство было начато в 1929 г. Именно в этот день Совет Труда и Обороны СССР принял постановление о строительстве в Нижнем Новгороде авиационного завода № 21., а уже в августе 1932 г. в небо поднялся первый самолет - истребитель И-5. Завод стал одним из ведущих в стране производителей истребителей. С ним долгие годы сотрудничали выдающиеся авиаконструкторы Н.Н.Поликарпов и С.А.Лавочкин. Шеф-пилотом был легендарный летчик В.П.Чкалов. С 1934 г. коллектив завода выпускает истребитель И-16. С 1940 по 1942 г. на заводе производят самолет ЛаГГ-3. С 1942 г. начат выпуск Ла-5. Этот самолет и его модификации Ла-5ФН и Ла-7 снискали всемирную славу как одни из лучших истребителей Второй мировой войны. За годы войны завод поставил фронту 17691 самолет, или каждый четвертый истребитель, изготовленный в стране. В 1947 г. завод спроектировал и построил две модификации реактивного </w:t>
      </w:r>
      <w:r w:rsidRPr="00E93F40">
        <w:rPr>
          <w:rFonts w:ascii="Times New Roman" w:hAnsi="Times New Roman"/>
          <w:color w:val="000000" w:themeColor="text1"/>
          <w:sz w:val="16"/>
          <w:szCs w:val="16"/>
        </w:rPr>
        <w:lastRenderedPageBreak/>
        <w:t>самолета. В 1949 г. завязалось тесное сотрудничество с ОКБ А.И.Микояна. В 50-е годы были созданы реактивные Миг-15, Миг-17, Миг-19 - самые совершенные машины своего времени. Около сорока лет сходил с конвейера завода N21 МиГ-21, став самым массовым реактивным самолетом. С 1966 г. по 1985 г. завод производит МиГ-25 - самолет полностью выполненный из стали и титана. Самолет выпускался в варианте перехватчика, разведчика и в учебно-тренировочном варианте. С 1979 г. по настоящее время завод выпускает двухместный истребитель-перехватчик МиГ-31, который обеспечивает перехваты самолетов-носителей крылатых ракет на удалении до 2000 км от базового аэродрома в диапазоне высот от 30 до 28000 м. С 1984 г. по настоящее время завод производит самолет МиГ-29УБ. С 1992 г. на заводе выполняются работы по модернизации самолета МиГ-21БИС. Продукция завода гражданского назначения представлена легкими скоростными самолетами М-101Т "Гжель", катерами-экранопланами "Волга-2", катерами на подводных крыльях "Сокол-330". Также завод производит агрегаты, узлы и детали для сельскохозяйственных машин, радиотелеантенны для спутникового телевидения, мебель.Четырежды завод отмечался правительственными наградами: в 1936 году - орденом Ленина, в 1941- орденом Трудового Красного Знамени, в 1970 - вторым орденом Ленина, а в 1982 - орденом Октябрьской революции. За время существования предприятия его сотрудники награждены 2191 орденами и медалями. Среди работников завода 14 Героев Советского Союза и России, 5 Героев Социалистического Труда, 30 лауреатов государственных премий (15027).</w:t>
      </w:r>
    </w:p>
    <w:p w14:paraId="5F95EAEF" w14:textId="77777777" w:rsidR="000D1B25" w:rsidRPr="00E93F40" w:rsidRDefault="000D1B25" w:rsidP="00E93F40">
      <w:pPr>
        <w:spacing w:after="0" w:line="240" w:lineRule="auto"/>
        <w:jc w:val="both"/>
        <w:rPr>
          <w:rFonts w:ascii="Times New Roman" w:hAnsi="Times New Roman"/>
          <w:color w:val="000000" w:themeColor="text1"/>
          <w:sz w:val="16"/>
          <w:szCs w:val="16"/>
        </w:rPr>
      </w:pPr>
    </w:p>
    <w:p w14:paraId="255FE5BF" w14:textId="77777777" w:rsidR="00190DA5" w:rsidRPr="00E93F40" w:rsidRDefault="00190DA5"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rPr>
        <w:t>1 февраля 1932 г. СП. Королев докладывает о работе ГИРД в Управлении ВВС РККА (22685).</w:t>
      </w:r>
    </w:p>
    <w:p w14:paraId="6AFD93D2" w14:textId="77777777" w:rsidR="00190DA5" w:rsidRPr="00E93F40" w:rsidRDefault="00190DA5" w:rsidP="00E93F40">
      <w:pPr>
        <w:spacing w:after="0" w:line="240" w:lineRule="auto"/>
        <w:jc w:val="both"/>
        <w:rPr>
          <w:rFonts w:ascii="Times New Roman" w:hAnsi="Times New Roman"/>
          <w:color w:val="000000" w:themeColor="text1"/>
          <w:sz w:val="16"/>
          <w:szCs w:val="16"/>
          <w:lang w:eastAsia="ru-RU" w:bidi="ru-RU"/>
        </w:rPr>
      </w:pPr>
    </w:p>
    <w:p w14:paraId="1562B236" w14:textId="77777777" w:rsidR="000D1B25"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65B7DDD" w14:textId="77777777" w:rsidR="000D1B25" w:rsidRPr="00E93F40" w:rsidRDefault="000D1B2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F83C42" w14:textId="5041783F" w:rsidR="00EE4A34" w:rsidRPr="00E93F40" w:rsidRDefault="00EE4A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февраля 1932 на Коломенском заводе по бронедрезинам Д-2 «заложено одно днище, на заводе № 1 заложено 3 единицы, остальные закладка - 0».</w:t>
      </w:r>
      <w:r w:rsidR="007C1411" w:rsidRPr="00E93F40">
        <w:rPr>
          <w:rFonts w:ascii="Times New Roman" w:hAnsi="Times New Roman"/>
          <w:color w:val="000000" w:themeColor="text1"/>
          <w:sz w:val="16"/>
          <w:szCs w:val="16"/>
        </w:rPr>
        <w:t xml:space="preserve"> </w:t>
      </w:r>
    </w:p>
    <w:p w14:paraId="142C99EE" w14:textId="23EBF7D8" w:rsidR="00EE4A34" w:rsidRPr="00E93F40" w:rsidRDefault="00EE4A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Ход дальнейших работ можно проследить по «Справкам по Д-2», направляемым начальником УММ РККА Халепским наркому обороны СССР. Так, по состоянию на 1 марта было сделано следующее:</w:t>
      </w:r>
      <w:r w:rsidR="007C1411" w:rsidRPr="00E93F40">
        <w:rPr>
          <w:rFonts w:ascii="Times New Roman" w:hAnsi="Times New Roman"/>
          <w:color w:val="000000" w:themeColor="text1"/>
          <w:sz w:val="16"/>
          <w:szCs w:val="16"/>
        </w:rPr>
        <w:t xml:space="preserve"> </w:t>
      </w:r>
    </w:p>
    <w:p w14:paraId="0E19ECF2" w14:textId="62BDF7A5" w:rsidR="00EE4A34" w:rsidRPr="00E93F40" w:rsidRDefault="00EE4A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Договора заключены со всеми заводами.</w:t>
      </w:r>
      <w:r w:rsidR="007C1411" w:rsidRPr="00E93F40">
        <w:rPr>
          <w:rFonts w:ascii="Times New Roman" w:hAnsi="Times New Roman"/>
          <w:color w:val="000000" w:themeColor="text1"/>
          <w:sz w:val="16"/>
          <w:szCs w:val="16"/>
        </w:rPr>
        <w:t xml:space="preserve"> </w:t>
      </w:r>
    </w:p>
    <w:p w14:paraId="13A3BD35" w14:textId="201BA72B" w:rsidR="00EE4A34" w:rsidRPr="00E93F40" w:rsidRDefault="00EE4A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Броня - на завод № 1 подана для 10 вагонов, на остальные - по одному комплекту.</w:t>
      </w:r>
      <w:r w:rsidR="007C1411" w:rsidRPr="00E93F40">
        <w:rPr>
          <w:rFonts w:ascii="Times New Roman" w:hAnsi="Times New Roman"/>
          <w:color w:val="000000" w:themeColor="text1"/>
          <w:sz w:val="16"/>
          <w:szCs w:val="16"/>
        </w:rPr>
        <w:t xml:space="preserve"> </w:t>
      </w:r>
    </w:p>
    <w:p w14:paraId="0B9E6410" w14:textId="046F7F22" w:rsidR="00EE4A34" w:rsidRPr="00E93F40" w:rsidRDefault="00EE4A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Моторы - получены все.</w:t>
      </w:r>
      <w:r w:rsidR="007C1411" w:rsidRPr="00E93F40">
        <w:rPr>
          <w:rFonts w:ascii="Times New Roman" w:hAnsi="Times New Roman"/>
          <w:color w:val="000000" w:themeColor="text1"/>
          <w:sz w:val="16"/>
          <w:szCs w:val="16"/>
        </w:rPr>
        <w:t xml:space="preserve"> </w:t>
      </w:r>
    </w:p>
    <w:p w14:paraId="56716A11" w14:textId="226948CF" w:rsidR="00EE4A34" w:rsidRPr="00E93F40" w:rsidRDefault="00EE4A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Завод № 1 - к 1.03-32 г. заложено 6 единиц, из коих 1 корпус сварен полностью, башни заканчиваются. Обеспечены материалами 8 единиц. Завод планирует к 15.03.32 г. полностью закончить 5 вагонов, если получат импортные подшипники.</w:t>
      </w:r>
      <w:r w:rsidR="007C1411" w:rsidRPr="00E93F40">
        <w:rPr>
          <w:rFonts w:ascii="Times New Roman" w:hAnsi="Times New Roman"/>
          <w:color w:val="000000" w:themeColor="text1"/>
          <w:sz w:val="16"/>
          <w:szCs w:val="16"/>
        </w:rPr>
        <w:t xml:space="preserve"> </w:t>
      </w:r>
    </w:p>
    <w:p w14:paraId="57FEE71D" w14:textId="7290EBD2" w:rsidR="00EE4A34" w:rsidRPr="00E93F40" w:rsidRDefault="00EE4A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Остальные заводы ведут работу в объеме полученной брони.</w:t>
      </w:r>
      <w:r w:rsidR="007C1411" w:rsidRPr="00E93F40">
        <w:rPr>
          <w:rFonts w:ascii="Times New Roman" w:hAnsi="Times New Roman"/>
          <w:color w:val="000000" w:themeColor="text1"/>
          <w:sz w:val="16"/>
          <w:szCs w:val="16"/>
        </w:rPr>
        <w:t xml:space="preserve"> </w:t>
      </w:r>
    </w:p>
    <w:p w14:paraId="68F534AD" w14:textId="59AC968A" w:rsidR="00EE4A34" w:rsidRPr="00E93F40" w:rsidRDefault="00EE4A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Задержка в подшипниках - не выделена валюта и не заказаны за границей» (18626).</w:t>
      </w:r>
      <w:r w:rsidR="007C1411" w:rsidRPr="00E93F40">
        <w:rPr>
          <w:rFonts w:ascii="Times New Roman" w:hAnsi="Times New Roman"/>
          <w:color w:val="000000" w:themeColor="text1"/>
          <w:sz w:val="16"/>
          <w:szCs w:val="16"/>
        </w:rPr>
        <w:t xml:space="preserve"> </w:t>
      </w:r>
    </w:p>
    <w:p w14:paraId="21F2B554" w14:textId="77777777" w:rsidR="00EE4A34" w:rsidRPr="00E93F40" w:rsidRDefault="00EE4A34" w:rsidP="00E93F40">
      <w:pPr>
        <w:spacing w:after="0" w:line="240" w:lineRule="auto"/>
        <w:jc w:val="both"/>
        <w:rPr>
          <w:rFonts w:ascii="Times New Roman" w:hAnsi="Times New Roman"/>
          <w:color w:val="000000" w:themeColor="text1"/>
          <w:sz w:val="16"/>
          <w:szCs w:val="16"/>
        </w:rPr>
      </w:pPr>
    </w:p>
    <w:p w14:paraId="101D443E"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февраля 1932 г. на Коломенском заводе в ходе производства нового мотоброневагона Д-2 Дыренкова «заложено одно днище, на заводе № 1 заложено 3 единицы, остальные закладка — 0» (25568).</w:t>
      </w:r>
    </w:p>
    <w:p w14:paraId="4DCFBBE4" w14:textId="77777777" w:rsidR="00643739" w:rsidRPr="00142305" w:rsidRDefault="00643739" w:rsidP="00643739">
      <w:pPr>
        <w:spacing w:after="0" w:line="240" w:lineRule="auto"/>
        <w:jc w:val="both"/>
        <w:rPr>
          <w:rFonts w:ascii="Times New Roman" w:hAnsi="Times New Roman"/>
          <w:color w:val="0070C0"/>
          <w:sz w:val="16"/>
          <w:szCs w:val="16"/>
        </w:rPr>
      </w:pPr>
    </w:p>
    <w:p w14:paraId="7723213E" w14:textId="77777777" w:rsidR="000D1B25" w:rsidRPr="00E93F40" w:rsidRDefault="000D1B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февраля</w:t>
      </w:r>
      <w:r w:rsidRPr="00E93F40">
        <w:rPr>
          <w:rFonts w:ascii="Times New Roman" w:hAnsi="Times New Roman"/>
          <w:color w:val="000000" w:themeColor="text1"/>
          <w:sz w:val="16"/>
          <w:szCs w:val="16"/>
        </w:rPr>
        <w:t xml:space="preserve"> в 1932 году в СССР произвел первую плавку Магнитогорский металлургический комбинат (ММК). Эта дата и стала днем рождения легендарной Магнитки, предприятия, которое на протяжении всей своей истории являлось флагманом отечественной металлургической отрасли. Став символом советской индустриализации, комбинат внес неоценимый вклад в дело разгрома немецко-фашистских захватчиков в годы Великой Отечественной войны. Достаточно сказать, что каждый третий снаряд и броня каждого второго танка в годы войны были изготовлены из магнитогорской стали. В послевоенное время ММК, являвшийся крупнейшим в мире металлургическим комбинатом, переключился на решение мирных задач. К концу 1980-х годов комбинат достиг максимальных в своей истории показателей выпуска продукции – свыше 16 млн. тонн стали в год. Магнитка с честью выстояла и в непростое время экономических реформ. Пережив серьезный спад производства в середине 1990-х годов, комбинат в течение последнего десятилетия неуклонно увеличивает выпуск стали и товарной металлопродукции, активно реализует политику технического перевооружения, ежегодно инвестируя сотни миллионов долларов в реконструкцию и модернизацию производства. В 2006 году на ММК впервые за многие годы выплавка стали составила около 12,5 млн. тонн, выпуск товарной металлопродукции – 11,3 млн. тонн, что более чем на 1 млн. тонн превышает показатели предыдущего года. В честь 75-летия славного предприятия ИТЦ "Марка" выпустил в обращение художественный маркированный конверт (15027).</w:t>
      </w:r>
    </w:p>
    <w:p w14:paraId="19BF3D8A" w14:textId="77777777" w:rsidR="000D1B25" w:rsidRPr="00E93F40" w:rsidRDefault="000D1B25" w:rsidP="00E93F40">
      <w:pPr>
        <w:spacing w:after="0" w:line="240" w:lineRule="auto"/>
        <w:jc w:val="both"/>
        <w:rPr>
          <w:rFonts w:ascii="Times New Roman" w:hAnsi="Times New Roman"/>
          <w:color w:val="000000" w:themeColor="text1"/>
          <w:sz w:val="16"/>
          <w:szCs w:val="16"/>
        </w:rPr>
      </w:pPr>
    </w:p>
    <w:p w14:paraId="691A84A0" w14:textId="77777777" w:rsidR="00190DA5" w:rsidRPr="00E93F40" w:rsidRDefault="00190D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года вступили в строй Магнитогорский металлургический комбинат и Нижегородский авиастроительный завод (21176).</w:t>
      </w:r>
    </w:p>
    <w:p w14:paraId="395ECC63" w14:textId="77777777" w:rsidR="00190DA5" w:rsidRPr="00E93F40" w:rsidRDefault="00190DA5" w:rsidP="00E93F40">
      <w:pPr>
        <w:spacing w:after="0" w:line="240" w:lineRule="auto"/>
        <w:jc w:val="both"/>
        <w:rPr>
          <w:rFonts w:ascii="Times New Roman" w:hAnsi="Times New Roman"/>
          <w:color w:val="000000" w:themeColor="text1"/>
          <w:sz w:val="16"/>
          <w:szCs w:val="16"/>
        </w:rPr>
      </w:pPr>
    </w:p>
    <w:p w14:paraId="58A88DE7" w14:textId="77777777" w:rsidR="000D1B25" w:rsidRPr="00E93F40" w:rsidRDefault="000D1B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февраля 1932 на Коломенском заводе «заложено одно днище, на заводе № 1 заложено 3 единицы, остальные закладка — 0» мтотоброневагонов Дыренкова. Не хватало легирующих присадок для выплавки броневой стали, металла, электрооборудования, подшипников, кислорода для резки брони, все заводы испытывали хронический дефицит опытных рабочих, техников и инженеров (15624).</w:t>
      </w:r>
    </w:p>
    <w:p w14:paraId="5558CEA7" w14:textId="77777777" w:rsidR="000D1B25" w:rsidRPr="00E93F40" w:rsidRDefault="000D1B25" w:rsidP="00E93F40">
      <w:pPr>
        <w:spacing w:after="0" w:line="240" w:lineRule="auto"/>
        <w:jc w:val="both"/>
        <w:rPr>
          <w:rFonts w:ascii="Times New Roman" w:hAnsi="Times New Roman"/>
          <w:color w:val="000000" w:themeColor="text1"/>
          <w:sz w:val="16"/>
          <w:szCs w:val="16"/>
        </w:rPr>
      </w:pPr>
    </w:p>
    <w:p w14:paraId="4AFCC08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5D73999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D74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w:t>
      </w:r>
    </w:p>
    <w:p w14:paraId="7ACA57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Наличие самолетов Р-5 в ВВС РККА на 1.02.1932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DA227A" w:rsidRPr="00E93F40" w14:paraId="487831A8" w14:textId="77777777">
        <w:tc>
          <w:tcPr>
            <w:tcW w:w="3736" w:type="dxa"/>
            <w:tcBorders>
              <w:top w:val="single" w:sz="12" w:space="0" w:color="auto"/>
            </w:tcBorders>
          </w:tcPr>
          <w:p w14:paraId="3F845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533B6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Исправн.</w:t>
            </w:r>
          </w:p>
        </w:tc>
        <w:tc>
          <w:tcPr>
            <w:tcW w:w="3736" w:type="dxa"/>
            <w:tcBorders>
              <w:top w:val="single" w:sz="12" w:space="0" w:color="auto"/>
            </w:tcBorders>
          </w:tcPr>
          <w:p w14:paraId="2933E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Неисправн.</w:t>
            </w:r>
          </w:p>
        </w:tc>
      </w:tr>
      <w:tr w:rsidR="00DA227A" w:rsidRPr="00E93F40" w14:paraId="15978AD0" w14:textId="77777777">
        <w:tc>
          <w:tcPr>
            <w:tcW w:w="3736" w:type="dxa"/>
          </w:tcPr>
          <w:p w14:paraId="4615D5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Московский ВО</w:t>
            </w:r>
          </w:p>
        </w:tc>
        <w:tc>
          <w:tcPr>
            <w:tcW w:w="3736" w:type="dxa"/>
          </w:tcPr>
          <w:p w14:paraId="4EA481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c>
          <w:tcPr>
            <w:tcW w:w="3736" w:type="dxa"/>
          </w:tcPr>
          <w:p w14:paraId="17FE65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0EC9151D" w14:textId="77777777">
        <w:tc>
          <w:tcPr>
            <w:tcW w:w="3736" w:type="dxa"/>
          </w:tcPr>
          <w:p w14:paraId="71B4F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Ленинградский ВО</w:t>
            </w:r>
          </w:p>
        </w:tc>
        <w:tc>
          <w:tcPr>
            <w:tcW w:w="3736" w:type="dxa"/>
          </w:tcPr>
          <w:p w14:paraId="4751D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c>
          <w:tcPr>
            <w:tcW w:w="3736" w:type="dxa"/>
          </w:tcPr>
          <w:p w14:paraId="297F2C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3A041B84" w14:textId="77777777">
        <w:tc>
          <w:tcPr>
            <w:tcW w:w="3736" w:type="dxa"/>
          </w:tcPr>
          <w:p w14:paraId="533BA3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Белорусский ВО</w:t>
            </w:r>
          </w:p>
        </w:tc>
        <w:tc>
          <w:tcPr>
            <w:tcW w:w="3736" w:type="dxa"/>
          </w:tcPr>
          <w:p w14:paraId="3204A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3736" w:type="dxa"/>
          </w:tcPr>
          <w:p w14:paraId="788C5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r w:rsidR="00DA227A" w:rsidRPr="00E93F40" w14:paraId="39218930" w14:textId="77777777">
        <w:tc>
          <w:tcPr>
            <w:tcW w:w="3736" w:type="dxa"/>
          </w:tcPr>
          <w:p w14:paraId="4AA07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Украинский ВО</w:t>
            </w:r>
          </w:p>
        </w:tc>
        <w:tc>
          <w:tcPr>
            <w:tcW w:w="3736" w:type="dxa"/>
          </w:tcPr>
          <w:p w14:paraId="082AEC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3736" w:type="dxa"/>
          </w:tcPr>
          <w:p w14:paraId="71BB4A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3CE57A72" w14:textId="77777777">
        <w:tc>
          <w:tcPr>
            <w:tcW w:w="3736" w:type="dxa"/>
          </w:tcPr>
          <w:p w14:paraId="5698C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Северо-Кавказский ВО</w:t>
            </w:r>
          </w:p>
        </w:tc>
        <w:tc>
          <w:tcPr>
            <w:tcW w:w="3736" w:type="dxa"/>
          </w:tcPr>
          <w:p w14:paraId="3EE58C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c>
          <w:tcPr>
            <w:tcW w:w="3736" w:type="dxa"/>
          </w:tcPr>
          <w:p w14:paraId="073FFD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r w:rsidR="00DA227A" w:rsidRPr="00E93F40" w14:paraId="60100C3A" w14:textId="77777777">
        <w:tc>
          <w:tcPr>
            <w:tcW w:w="3736" w:type="dxa"/>
          </w:tcPr>
          <w:p w14:paraId="4A972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Приволжский ВО</w:t>
            </w:r>
          </w:p>
        </w:tc>
        <w:tc>
          <w:tcPr>
            <w:tcW w:w="3736" w:type="dxa"/>
          </w:tcPr>
          <w:p w14:paraId="24455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3736" w:type="dxa"/>
          </w:tcPr>
          <w:p w14:paraId="12A50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0C5E3E1E" w14:textId="77777777">
        <w:tc>
          <w:tcPr>
            <w:tcW w:w="3736" w:type="dxa"/>
          </w:tcPr>
          <w:p w14:paraId="62B1F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ОКДВА</w:t>
            </w:r>
          </w:p>
        </w:tc>
        <w:tc>
          <w:tcPr>
            <w:tcW w:w="3736" w:type="dxa"/>
          </w:tcPr>
          <w:p w14:paraId="610DA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c>
          <w:tcPr>
            <w:tcW w:w="3736" w:type="dxa"/>
          </w:tcPr>
          <w:p w14:paraId="63BE08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0B30744D" w14:textId="77777777">
        <w:tc>
          <w:tcPr>
            <w:tcW w:w="3736" w:type="dxa"/>
          </w:tcPr>
          <w:p w14:paraId="1681C3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Среднеазиатский ВО</w:t>
            </w:r>
          </w:p>
        </w:tc>
        <w:tc>
          <w:tcPr>
            <w:tcW w:w="3736" w:type="dxa"/>
          </w:tcPr>
          <w:p w14:paraId="0B3FF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3736" w:type="dxa"/>
          </w:tcPr>
          <w:p w14:paraId="303C0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5BC89997" w14:textId="77777777">
        <w:tc>
          <w:tcPr>
            <w:tcW w:w="3736" w:type="dxa"/>
          </w:tcPr>
          <w:p w14:paraId="5CEA5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Балтийского моря</w:t>
            </w:r>
          </w:p>
        </w:tc>
        <w:tc>
          <w:tcPr>
            <w:tcW w:w="3736" w:type="dxa"/>
          </w:tcPr>
          <w:p w14:paraId="24D1DF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3736" w:type="dxa"/>
          </w:tcPr>
          <w:p w14:paraId="227E2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5BB1E173" w14:textId="77777777">
        <w:tc>
          <w:tcPr>
            <w:tcW w:w="3736" w:type="dxa"/>
          </w:tcPr>
          <w:p w14:paraId="39B92A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 н н о - во зд у ш н ая а каде м и я</w:t>
            </w:r>
          </w:p>
        </w:tc>
        <w:tc>
          <w:tcPr>
            <w:tcW w:w="3736" w:type="dxa"/>
          </w:tcPr>
          <w:p w14:paraId="0F8FC3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3736" w:type="dxa"/>
          </w:tcPr>
          <w:p w14:paraId="1957E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428429F1" w14:textId="77777777">
        <w:tc>
          <w:tcPr>
            <w:tcW w:w="3736" w:type="dxa"/>
          </w:tcPr>
          <w:p w14:paraId="5222D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Отряд особого назначения</w:t>
            </w:r>
          </w:p>
        </w:tc>
        <w:tc>
          <w:tcPr>
            <w:tcW w:w="3736" w:type="dxa"/>
          </w:tcPr>
          <w:p w14:paraId="1ECE33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3736" w:type="dxa"/>
          </w:tcPr>
          <w:p w14:paraId="67A86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08D4FDC2" w14:textId="77777777">
        <w:tc>
          <w:tcPr>
            <w:tcW w:w="3736" w:type="dxa"/>
            <w:tcBorders>
              <w:bottom w:val="single" w:sz="12" w:space="0" w:color="auto"/>
            </w:tcBorders>
          </w:tcPr>
          <w:p w14:paraId="6349CC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w:t>
            </w:r>
          </w:p>
        </w:tc>
        <w:tc>
          <w:tcPr>
            <w:tcW w:w="3736" w:type="dxa"/>
            <w:tcBorders>
              <w:bottom w:val="single" w:sz="12" w:space="0" w:color="auto"/>
            </w:tcBorders>
          </w:tcPr>
          <w:p w14:paraId="212BD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3736" w:type="dxa"/>
            <w:tcBorders>
              <w:bottom w:val="single" w:sz="12" w:space="0" w:color="auto"/>
            </w:tcBorders>
          </w:tcPr>
          <w:p w14:paraId="29BB1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bl>
    <w:p w14:paraId="6E17C0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(12034).</w:t>
      </w:r>
    </w:p>
    <w:p w14:paraId="2045F9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477C03"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февраля 1932 наличие самолетов Р-5 в ВВС РККА</w:t>
      </w:r>
    </w:p>
    <w:tbl>
      <w:tblPr>
        <w:tblOverlap w:val="never"/>
        <w:tblW w:w="0" w:type="auto"/>
        <w:tblLayout w:type="fixed"/>
        <w:tblCellMar>
          <w:left w:w="10" w:type="dxa"/>
          <w:right w:w="10" w:type="dxa"/>
        </w:tblCellMar>
        <w:tblLook w:val="04A0" w:firstRow="1" w:lastRow="0" w:firstColumn="1" w:lastColumn="0" w:noHBand="0" w:noVBand="1"/>
      </w:tblPr>
      <w:tblGrid>
        <w:gridCol w:w="2635"/>
        <w:gridCol w:w="961"/>
        <w:gridCol w:w="1120"/>
      </w:tblGrid>
      <w:tr w:rsidR="00643739" w:rsidRPr="00142305" w14:paraId="4072A370" w14:textId="77777777" w:rsidTr="00DC550A">
        <w:trPr>
          <w:trHeight w:hRule="exact" w:val="310"/>
        </w:trPr>
        <w:tc>
          <w:tcPr>
            <w:tcW w:w="2635" w:type="dxa"/>
            <w:tcBorders>
              <w:top w:val="single" w:sz="4" w:space="0" w:color="auto"/>
              <w:left w:val="single" w:sz="4" w:space="0" w:color="auto"/>
            </w:tcBorders>
            <w:shd w:val="clear" w:color="auto" w:fill="FFFFFF"/>
          </w:tcPr>
          <w:p w14:paraId="286D68E4" w14:textId="77777777" w:rsidR="00643739" w:rsidRPr="00142305" w:rsidRDefault="00643739" w:rsidP="00DC550A">
            <w:pPr>
              <w:spacing w:after="0" w:line="240" w:lineRule="auto"/>
              <w:jc w:val="both"/>
              <w:rPr>
                <w:rFonts w:ascii="Times New Roman" w:hAnsi="Times New Roman"/>
                <w:color w:val="0070C0"/>
                <w:sz w:val="16"/>
                <w:szCs w:val="16"/>
              </w:rPr>
            </w:pPr>
          </w:p>
        </w:tc>
        <w:tc>
          <w:tcPr>
            <w:tcW w:w="961" w:type="dxa"/>
            <w:tcBorders>
              <w:top w:val="single" w:sz="4" w:space="0" w:color="auto"/>
              <w:left w:val="single" w:sz="4" w:space="0" w:color="auto"/>
            </w:tcBorders>
            <w:shd w:val="clear" w:color="auto" w:fill="FFFFFF"/>
            <w:vAlign w:val="bottom"/>
          </w:tcPr>
          <w:p w14:paraId="085DB897"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Исправ.</w:t>
            </w:r>
          </w:p>
        </w:tc>
        <w:tc>
          <w:tcPr>
            <w:tcW w:w="1120" w:type="dxa"/>
            <w:tcBorders>
              <w:top w:val="single" w:sz="4" w:space="0" w:color="auto"/>
              <w:left w:val="single" w:sz="4" w:space="0" w:color="auto"/>
              <w:right w:val="single" w:sz="4" w:space="0" w:color="auto"/>
            </w:tcBorders>
            <w:shd w:val="clear" w:color="auto" w:fill="FFFFFF"/>
            <w:vAlign w:val="bottom"/>
          </w:tcPr>
          <w:p w14:paraId="0E7F3075"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Неисправ.</w:t>
            </w:r>
          </w:p>
        </w:tc>
      </w:tr>
      <w:tr w:rsidR="00643739" w:rsidRPr="00142305" w14:paraId="7264CB8C" w14:textId="77777777" w:rsidTr="00DC550A">
        <w:trPr>
          <w:trHeight w:hRule="exact" w:val="306"/>
        </w:trPr>
        <w:tc>
          <w:tcPr>
            <w:tcW w:w="2635" w:type="dxa"/>
            <w:tcBorders>
              <w:top w:val="single" w:sz="4" w:space="0" w:color="auto"/>
              <w:left w:val="single" w:sz="4" w:space="0" w:color="auto"/>
            </w:tcBorders>
            <w:shd w:val="clear" w:color="auto" w:fill="FFFFFF"/>
            <w:vAlign w:val="bottom"/>
          </w:tcPr>
          <w:p w14:paraId="08F4DC9A"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Московский ВО</w:t>
            </w:r>
          </w:p>
        </w:tc>
        <w:tc>
          <w:tcPr>
            <w:tcW w:w="961" w:type="dxa"/>
            <w:tcBorders>
              <w:top w:val="single" w:sz="4" w:space="0" w:color="auto"/>
              <w:left w:val="single" w:sz="4" w:space="0" w:color="auto"/>
            </w:tcBorders>
            <w:shd w:val="clear" w:color="auto" w:fill="FFFFFF"/>
            <w:vAlign w:val="bottom"/>
          </w:tcPr>
          <w:p w14:paraId="34BFBC6A"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w:t>
            </w:r>
          </w:p>
        </w:tc>
        <w:tc>
          <w:tcPr>
            <w:tcW w:w="1120" w:type="dxa"/>
            <w:tcBorders>
              <w:top w:val="single" w:sz="4" w:space="0" w:color="auto"/>
              <w:left w:val="single" w:sz="4" w:space="0" w:color="auto"/>
              <w:right w:val="single" w:sz="4" w:space="0" w:color="auto"/>
            </w:tcBorders>
            <w:shd w:val="clear" w:color="auto" w:fill="FFFFFF"/>
            <w:vAlign w:val="bottom"/>
          </w:tcPr>
          <w:p w14:paraId="3AABF863"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r>
      <w:tr w:rsidR="00643739" w:rsidRPr="00142305" w14:paraId="0D296055" w14:textId="77777777" w:rsidTr="00DC550A">
        <w:trPr>
          <w:trHeight w:hRule="exact" w:val="302"/>
        </w:trPr>
        <w:tc>
          <w:tcPr>
            <w:tcW w:w="2635" w:type="dxa"/>
            <w:tcBorders>
              <w:top w:val="single" w:sz="4" w:space="0" w:color="auto"/>
              <w:left w:val="single" w:sz="4" w:space="0" w:color="auto"/>
            </w:tcBorders>
            <w:shd w:val="clear" w:color="auto" w:fill="FFFFFF"/>
            <w:vAlign w:val="bottom"/>
          </w:tcPr>
          <w:p w14:paraId="1FE1B50B"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Ленинградский ВО</w:t>
            </w:r>
          </w:p>
        </w:tc>
        <w:tc>
          <w:tcPr>
            <w:tcW w:w="961" w:type="dxa"/>
            <w:tcBorders>
              <w:top w:val="single" w:sz="4" w:space="0" w:color="auto"/>
              <w:left w:val="single" w:sz="4" w:space="0" w:color="auto"/>
            </w:tcBorders>
            <w:shd w:val="clear" w:color="auto" w:fill="FFFFFF"/>
            <w:vAlign w:val="bottom"/>
          </w:tcPr>
          <w:p w14:paraId="30EB3227"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w:t>
            </w:r>
          </w:p>
        </w:tc>
        <w:tc>
          <w:tcPr>
            <w:tcW w:w="1120" w:type="dxa"/>
            <w:tcBorders>
              <w:top w:val="single" w:sz="4" w:space="0" w:color="auto"/>
              <w:left w:val="single" w:sz="4" w:space="0" w:color="auto"/>
              <w:right w:val="single" w:sz="4" w:space="0" w:color="auto"/>
            </w:tcBorders>
            <w:shd w:val="clear" w:color="auto" w:fill="FFFFFF"/>
            <w:vAlign w:val="bottom"/>
          </w:tcPr>
          <w:p w14:paraId="49EFBCC3"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r>
      <w:tr w:rsidR="00643739" w:rsidRPr="00142305" w14:paraId="12C51EE0" w14:textId="77777777" w:rsidTr="00DC550A">
        <w:trPr>
          <w:trHeight w:hRule="exact" w:val="299"/>
        </w:trPr>
        <w:tc>
          <w:tcPr>
            <w:tcW w:w="2635" w:type="dxa"/>
            <w:tcBorders>
              <w:top w:val="single" w:sz="4" w:space="0" w:color="auto"/>
              <w:left w:val="single" w:sz="4" w:space="0" w:color="auto"/>
            </w:tcBorders>
            <w:shd w:val="clear" w:color="auto" w:fill="FFFFFF"/>
            <w:vAlign w:val="bottom"/>
          </w:tcPr>
          <w:p w14:paraId="0761480B"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Белорусский ВО</w:t>
            </w:r>
          </w:p>
        </w:tc>
        <w:tc>
          <w:tcPr>
            <w:tcW w:w="961" w:type="dxa"/>
            <w:tcBorders>
              <w:top w:val="single" w:sz="4" w:space="0" w:color="auto"/>
              <w:left w:val="single" w:sz="4" w:space="0" w:color="auto"/>
            </w:tcBorders>
            <w:shd w:val="clear" w:color="auto" w:fill="FFFFFF"/>
            <w:vAlign w:val="bottom"/>
          </w:tcPr>
          <w:p w14:paraId="3A157316"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90</w:t>
            </w:r>
          </w:p>
        </w:tc>
        <w:tc>
          <w:tcPr>
            <w:tcW w:w="1120" w:type="dxa"/>
            <w:tcBorders>
              <w:top w:val="single" w:sz="4" w:space="0" w:color="auto"/>
              <w:left w:val="single" w:sz="4" w:space="0" w:color="auto"/>
              <w:right w:val="single" w:sz="4" w:space="0" w:color="auto"/>
            </w:tcBorders>
            <w:shd w:val="clear" w:color="auto" w:fill="FFFFFF"/>
            <w:vAlign w:val="bottom"/>
          </w:tcPr>
          <w:p w14:paraId="63ECE975"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w:t>
            </w:r>
          </w:p>
        </w:tc>
      </w:tr>
      <w:tr w:rsidR="00643739" w:rsidRPr="00142305" w14:paraId="316BDF8F" w14:textId="77777777" w:rsidTr="00DC550A">
        <w:trPr>
          <w:trHeight w:hRule="exact" w:val="302"/>
        </w:trPr>
        <w:tc>
          <w:tcPr>
            <w:tcW w:w="2635" w:type="dxa"/>
            <w:tcBorders>
              <w:top w:val="single" w:sz="4" w:space="0" w:color="auto"/>
              <w:left w:val="single" w:sz="4" w:space="0" w:color="auto"/>
            </w:tcBorders>
            <w:shd w:val="clear" w:color="auto" w:fill="FFFFFF"/>
            <w:vAlign w:val="bottom"/>
          </w:tcPr>
          <w:p w14:paraId="2F3E2409"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Украинский ВО</w:t>
            </w:r>
          </w:p>
        </w:tc>
        <w:tc>
          <w:tcPr>
            <w:tcW w:w="961" w:type="dxa"/>
            <w:tcBorders>
              <w:top w:val="single" w:sz="4" w:space="0" w:color="auto"/>
              <w:left w:val="single" w:sz="4" w:space="0" w:color="auto"/>
            </w:tcBorders>
            <w:shd w:val="clear" w:color="auto" w:fill="FFFFFF"/>
            <w:vAlign w:val="bottom"/>
          </w:tcPr>
          <w:p w14:paraId="7DF92AA2"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w:t>
            </w:r>
          </w:p>
        </w:tc>
        <w:tc>
          <w:tcPr>
            <w:tcW w:w="1120" w:type="dxa"/>
            <w:tcBorders>
              <w:top w:val="single" w:sz="4" w:space="0" w:color="auto"/>
              <w:left w:val="single" w:sz="4" w:space="0" w:color="auto"/>
              <w:right w:val="single" w:sz="4" w:space="0" w:color="auto"/>
            </w:tcBorders>
            <w:shd w:val="clear" w:color="auto" w:fill="FFFFFF"/>
            <w:vAlign w:val="bottom"/>
          </w:tcPr>
          <w:p w14:paraId="5AE57FFC"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r>
      <w:tr w:rsidR="00643739" w:rsidRPr="00142305" w14:paraId="1EF22E07" w14:textId="77777777" w:rsidTr="00DC550A">
        <w:trPr>
          <w:trHeight w:hRule="exact" w:val="302"/>
        </w:trPr>
        <w:tc>
          <w:tcPr>
            <w:tcW w:w="2635" w:type="dxa"/>
            <w:tcBorders>
              <w:top w:val="single" w:sz="4" w:space="0" w:color="auto"/>
              <w:left w:val="single" w:sz="4" w:space="0" w:color="auto"/>
            </w:tcBorders>
            <w:shd w:val="clear" w:color="auto" w:fill="FFFFFF"/>
            <w:vAlign w:val="center"/>
          </w:tcPr>
          <w:p w14:paraId="126C31D7"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Северо-Кавказский ВО</w:t>
            </w:r>
          </w:p>
        </w:tc>
        <w:tc>
          <w:tcPr>
            <w:tcW w:w="961" w:type="dxa"/>
            <w:tcBorders>
              <w:top w:val="single" w:sz="4" w:space="0" w:color="auto"/>
              <w:left w:val="single" w:sz="4" w:space="0" w:color="auto"/>
            </w:tcBorders>
            <w:shd w:val="clear" w:color="auto" w:fill="FFFFFF"/>
            <w:vAlign w:val="center"/>
          </w:tcPr>
          <w:p w14:paraId="5BC0C41E"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38</w:t>
            </w:r>
          </w:p>
        </w:tc>
        <w:tc>
          <w:tcPr>
            <w:tcW w:w="1120" w:type="dxa"/>
            <w:tcBorders>
              <w:top w:val="single" w:sz="4" w:space="0" w:color="auto"/>
              <w:left w:val="single" w:sz="4" w:space="0" w:color="auto"/>
              <w:right w:val="single" w:sz="4" w:space="0" w:color="auto"/>
            </w:tcBorders>
            <w:shd w:val="clear" w:color="auto" w:fill="FFFFFF"/>
            <w:vAlign w:val="center"/>
          </w:tcPr>
          <w:p w14:paraId="0D30A9E3"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r>
      <w:tr w:rsidR="00643739" w:rsidRPr="00142305" w14:paraId="6382B695" w14:textId="77777777" w:rsidTr="00DC550A">
        <w:trPr>
          <w:trHeight w:hRule="exact" w:val="302"/>
        </w:trPr>
        <w:tc>
          <w:tcPr>
            <w:tcW w:w="2635" w:type="dxa"/>
            <w:tcBorders>
              <w:top w:val="single" w:sz="4" w:space="0" w:color="auto"/>
              <w:left w:val="single" w:sz="4" w:space="0" w:color="auto"/>
            </w:tcBorders>
            <w:shd w:val="clear" w:color="auto" w:fill="FFFFFF"/>
            <w:vAlign w:val="bottom"/>
          </w:tcPr>
          <w:p w14:paraId="4BDC7DBC"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Приволжский ВО</w:t>
            </w:r>
          </w:p>
        </w:tc>
        <w:tc>
          <w:tcPr>
            <w:tcW w:w="961" w:type="dxa"/>
            <w:tcBorders>
              <w:top w:val="single" w:sz="4" w:space="0" w:color="auto"/>
              <w:left w:val="single" w:sz="4" w:space="0" w:color="auto"/>
            </w:tcBorders>
            <w:shd w:val="clear" w:color="auto" w:fill="FFFFFF"/>
            <w:vAlign w:val="bottom"/>
          </w:tcPr>
          <w:p w14:paraId="64D0822A"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1120" w:type="dxa"/>
            <w:tcBorders>
              <w:top w:val="single" w:sz="4" w:space="0" w:color="auto"/>
              <w:left w:val="single" w:sz="4" w:space="0" w:color="auto"/>
              <w:right w:val="single" w:sz="4" w:space="0" w:color="auto"/>
            </w:tcBorders>
            <w:shd w:val="clear" w:color="auto" w:fill="FFFFFF"/>
            <w:vAlign w:val="bottom"/>
          </w:tcPr>
          <w:p w14:paraId="2E1E828A"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r>
      <w:tr w:rsidR="00643739" w:rsidRPr="00142305" w14:paraId="1E3FF9E6" w14:textId="77777777" w:rsidTr="00DC550A">
        <w:trPr>
          <w:trHeight w:hRule="exact" w:val="299"/>
        </w:trPr>
        <w:tc>
          <w:tcPr>
            <w:tcW w:w="2635" w:type="dxa"/>
            <w:tcBorders>
              <w:top w:val="single" w:sz="4" w:space="0" w:color="auto"/>
              <w:left w:val="single" w:sz="4" w:space="0" w:color="auto"/>
            </w:tcBorders>
            <w:shd w:val="clear" w:color="auto" w:fill="FFFFFF"/>
            <w:vAlign w:val="bottom"/>
          </w:tcPr>
          <w:p w14:paraId="28A352CA"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ОКДВА</w:t>
            </w:r>
          </w:p>
        </w:tc>
        <w:tc>
          <w:tcPr>
            <w:tcW w:w="961" w:type="dxa"/>
            <w:tcBorders>
              <w:top w:val="single" w:sz="4" w:space="0" w:color="auto"/>
              <w:left w:val="single" w:sz="4" w:space="0" w:color="auto"/>
            </w:tcBorders>
            <w:shd w:val="clear" w:color="auto" w:fill="FFFFFF"/>
            <w:vAlign w:val="bottom"/>
          </w:tcPr>
          <w:p w14:paraId="1CABCF00"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66</w:t>
            </w:r>
          </w:p>
        </w:tc>
        <w:tc>
          <w:tcPr>
            <w:tcW w:w="1120" w:type="dxa"/>
            <w:tcBorders>
              <w:top w:val="single" w:sz="4" w:space="0" w:color="auto"/>
              <w:left w:val="single" w:sz="4" w:space="0" w:color="auto"/>
              <w:right w:val="single" w:sz="4" w:space="0" w:color="auto"/>
            </w:tcBorders>
            <w:shd w:val="clear" w:color="auto" w:fill="FFFFFF"/>
            <w:vAlign w:val="bottom"/>
          </w:tcPr>
          <w:p w14:paraId="0630EEA6"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r>
      <w:tr w:rsidR="00643739" w:rsidRPr="00142305" w14:paraId="765968C0" w14:textId="77777777" w:rsidTr="00DC550A">
        <w:trPr>
          <w:trHeight w:hRule="exact" w:val="302"/>
        </w:trPr>
        <w:tc>
          <w:tcPr>
            <w:tcW w:w="2635" w:type="dxa"/>
            <w:tcBorders>
              <w:top w:val="single" w:sz="4" w:space="0" w:color="auto"/>
              <w:left w:val="single" w:sz="4" w:space="0" w:color="auto"/>
            </w:tcBorders>
            <w:shd w:val="clear" w:color="auto" w:fill="FFFFFF"/>
            <w:vAlign w:val="bottom"/>
          </w:tcPr>
          <w:p w14:paraId="1762AABF"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Среднеазиатский ВО</w:t>
            </w:r>
          </w:p>
        </w:tc>
        <w:tc>
          <w:tcPr>
            <w:tcW w:w="961" w:type="dxa"/>
            <w:tcBorders>
              <w:top w:val="single" w:sz="4" w:space="0" w:color="auto"/>
              <w:left w:val="single" w:sz="4" w:space="0" w:color="auto"/>
            </w:tcBorders>
            <w:shd w:val="clear" w:color="auto" w:fill="FFFFFF"/>
            <w:vAlign w:val="bottom"/>
          </w:tcPr>
          <w:p w14:paraId="3F3D3216"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w:t>
            </w:r>
          </w:p>
        </w:tc>
        <w:tc>
          <w:tcPr>
            <w:tcW w:w="1120" w:type="dxa"/>
            <w:tcBorders>
              <w:top w:val="single" w:sz="4" w:space="0" w:color="auto"/>
              <w:left w:val="single" w:sz="4" w:space="0" w:color="auto"/>
              <w:right w:val="single" w:sz="4" w:space="0" w:color="auto"/>
            </w:tcBorders>
            <w:shd w:val="clear" w:color="auto" w:fill="FFFFFF"/>
            <w:vAlign w:val="bottom"/>
          </w:tcPr>
          <w:p w14:paraId="29B74186"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r>
      <w:tr w:rsidR="00643739" w:rsidRPr="00142305" w14:paraId="4AB831D9" w14:textId="77777777" w:rsidTr="00DC550A">
        <w:trPr>
          <w:trHeight w:hRule="exact" w:val="306"/>
        </w:trPr>
        <w:tc>
          <w:tcPr>
            <w:tcW w:w="2635" w:type="dxa"/>
            <w:tcBorders>
              <w:top w:val="single" w:sz="4" w:space="0" w:color="auto"/>
              <w:left w:val="single" w:sz="4" w:space="0" w:color="auto"/>
            </w:tcBorders>
            <w:shd w:val="clear" w:color="auto" w:fill="FFFFFF"/>
            <w:vAlign w:val="center"/>
          </w:tcPr>
          <w:p w14:paraId="5F147AFE"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ВВС Балтийского моря</w:t>
            </w:r>
          </w:p>
        </w:tc>
        <w:tc>
          <w:tcPr>
            <w:tcW w:w="961" w:type="dxa"/>
            <w:tcBorders>
              <w:top w:val="single" w:sz="4" w:space="0" w:color="auto"/>
              <w:left w:val="single" w:sz="4" w:space="0" w:color="auto"/>
            </w:tcBorders>
            <w:shd w:val="clear" w:color="auto" w:fill="FFFFFF"/>
            <w:vAlign w:val="center"/>
          </w:tcPr>
          <w:p w14:paraId="2FBF5C2F"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120" w:type="dxa"/>
            <w:tcBorders>
              <w:top w:val="single" w:sz="4" w:space="0" w:color="auto"/>
              <w:left w:val="single" w:sz="4" w:space="0" w:color="auto"/>
              <w:right w:val="single" w:sz="4" w:space="0" w:color="auto"/>
            </w:tcBorders>
            <w:shd w:val="clear" w:color="auto" w:fill="FFFFFF"/>
            <w:vAlign w:val="center"/>
          </w:tcPr>
          <w:p w14:paraId="5B403EDB"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r>
      <w:tr w:rsidR="00643739" w:rsidRPr="00142305" w14:paraId="5419B956" w14:textId="77777777" w:rsidTr="00DC550A">
        <w:trPr>
          <w:trHeight w:hRule="exact" w:val="302"/>
        </w:trPr>
        <w:tc>
          <w:tcPr>
            <w:tcW w:w="2635" w:type="dxa"/>
            <w:tcBorders>
              <w:top w:val="single" w:sz="4" w:space="0" w:color="auto"/>
              <w:left w:val="single" w:sz="4" w:space="0" w:color="auto"/>
            </w:tcBorders>
            <w:shd w:val="clear" w:color="auto" w:fill="FFFFFF"/>
            <w:vAlign w:val="bottom"/>
          </w:tcPr>
          <w:p w14:paraId="175D26F4"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Военно-воздушная акадедемия</w:t>
            </w:r>
          </w:p>
        </w:tc>
        <w:tc>
          <w:tcPr>
            <w:tcW w:w="961" w:type="dxa"/>
            <w:tcBorders>
              <w:top w:val="single" w:sz="4" w:space="0" w:color="auto"/>
              <w:left w:val="single" w:sz="4" w:space="0" w:color="auto"/>
            </w:tcBorders>
            <w:shd w:val="clear" w:color="auto" w:fill="FFFFFF"/>
            <w:vAlign w:val="bottom"/>
          </w:tcPr>
          <w:p w14:paraId="6BAC1F4D"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w:t>
            </w:r>
          </w:p>
        </w:tc>
        <w:tc>
          <w:tcPr>
            <w:tcW w:w="1120" w:type="dxa"/>
            <w:tcBorders>
              <w:top w:val="single" w:sz="4" w:space="0" w:color="auto"/>
              <w:left w:val="single" w:sz="4" w:space="0" w:color="auto"/>
              <w:right w:val="single" w:sz="4" w:space="0" w:color="auto"/>
            </w:tcBorders>
            <w:shd w:val="clear" w:color="auto" w:fill="FFFFFF"/>
            <w:vAlign w:val="bottom"/>
          </w:tcPr>
          <w:p w14:paraId="4539C3CF"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r>
      <w:tr w:rsidR="00643739" w:rsidRPr="00142305" w14:paraId="7B77D6F7" w14:textId="77777777" w:rsidTr="00DC550A">
        <w:trPr>
          <w:trHeight w:hRule="exact" w:val="299"/>
        </w:trPr>
        <w:tc>
          <w:tcPr>
            <w:tcW w:w="2635" w:type="dxa"/>
            <w:tcBorders>
              <w:top w:val="single" w:sz="4" w:space="0" w:color="auto"/>
              <w:left w:val="single" w:sz="4" w:space="0" w:color="auto"/>
            </w:tcBorders>
            <w:shd w:val="clear" w:color="auto" w:fill="FFFFFF"/>
            <w:vAlign w:val="bottom"/>
          </w:tcPr>
          <w:p w14:paraId="79E7E99C"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Отряд особого назначения</w:t>
            </w:r>
          </w:p>
        </w:tc>
        <w:tc>
          <w:tcPr>
            <w:tcW w:w="961" w:type="dxa"/>
            <w:tcBorders>
              <w:top w:val="single" w:sz="4" w:space="0" w:color="auto"/>
              <w:left w:val="single" w:sz="4" w:space="0" w:color="auto"/>
            </w:tcBorders>
            <w:shd w:val="clear" w:color="auto" w:fill="FFFFFF"/>
            <w:vAlign w:val="bottom"/>
          </w:tcPr>
          <w:p w14:paraId="50FA0FEA"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1120" w:type="dxa"/>
            <w:tcBorders>
              <w:top w:val="single" w:sz="4" w:space="0" w:color="auto"/>
              <w:left w:val="single" w:sz="4" w:space="0" w:color="auto"/>
              <w:right w:val="single" w:sz="4" w:space="0" w:color="auto"/>
            </w:tcBorders>
            <w:shd w:val="clear" w:color="auto" w:fill="FFFFFF"/>
            <w:vAlign w:val="bottom"/>
          </w:tcPr>
          <w:p w14:paraId="244162CB"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r>
      <w:tr w:rsidR="00643739" w:rsidRPr="00142305" w14:paraId="69ECDCC3" w14:textId="77777777" w:rsidTr="00DC550A">
        <w:trPr>
          <w:trHeight w:hRule="exact" w:val="310"/>
        </w:trPr>
        <w:tc>
          <w:tcPr>
            <w:tcW w:w="2635" w:type="dxa"/>
            <w:tcBorders>
              <w:top w:val="single" w:sz="4" w:space="0" w:color="auto"/>
              <w:left w:val="single" w:sz="4" w:space="0" w:color="auto"/>
              <w:bottom w:val="single" w:sz="4" w:space="0" w:color="auto"/>
            </w:tcBorders>
            <w:shd w:val="clear" w:color="auto" w:fill="FFFFFF"/>
            <w:vAlign w:val="bottom"/>
          </w:tcPr>
          <w:p w14:paraId="3F7EBE09"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НИИ ВВС</w:t>
            </w:r>
          </w:p>
        </w:tc>
        <w:tc>
          <w:tcPr>
            <w:tcW w:w="961" w:type="dxa"/>
            <w:tcBorders>
              <w:top w:val="single" w:sz="4" w:space="0" w:color="auto"/>
              <w:left w:val="single" w:sz="4" w:space="0" w:color="auto"/>
              <w:bottom w:val="single" w:sz="4" w:space="0" w:color="auto"/>
            </w:tcBorders>
            <w:shd w:val="clear" w:color="auto" w:fill="FFFFFF"/>
            <w:vAlign w:val="bottom"/>
          </w:tcPr>
          <w:p w14:paraId="7C4D464B"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w:t>
            </w:r>
          </w:p>
        </w:tc>
        <w:tc>
          <w:tcPr>
            <w:tcW w:w="1120" w:type="dxa"/>
            <w:tcBorders>
              <w:top w:val="single" w:sz="4" w:space="0" w:color="auto"/>
              <w:left w:val="single" w:sz="4" w:space="0" w:color="auto"/>
              <w:bottom w:val="single" w:sz="4" w:space="0" w:color="auto"/>
              <w:right w:val="single" w:sz="4" w:space="0" w:color="auto"/>
            </w:tcBorders>
            <w:shd w:val="clear" w:color="auto" w:fill="FFFFFF"/>
            <w:vAlign w:val="bottom"/>
          </w:tcPr>
          <w:p w14:paraId="3B8EA215" w14:textId="77777777" w:rsidR="00643739" w:rsidRPr="00142305" w:rsidRDefault="00643739"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r>
    </w:tbl>
    <w:p w14:paraId="3EDE1C93"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(24990)</w:t>
      </w:r>
    </w:p>
    <w:p w14:paraId="69FB1748" w14:textId="77777777" w:rsidR="00643739" w:rsidRPr="00142305" w:rsidRDefault="00643739" w:rsidP="00643739">
      <w:pPr>
        <w:spacing w:after="0" w:line="240" w:lineRule="auto"/>
        <w:jc w:val="both"/>
        <w:rPr>
          <w:rFonts w:ascii="Times New Roman" w:hAnsi="Times New Roman"/>
          <w:color w:val="0070C0"/>
          <w:sz w:val="16"/>
          <w:szCs w:val="16"/>
          <w:lang w:val="en-US"/>
        </w:rPr>
      </w:pPr>
    </w:p>
    <w:p w14:paraId="378CAC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февраля 1932 г. в ВВС числились всего четыре Р-6 - два в ЦАГИ и два в НИИ ВВС. Но темпы выпуска постепенно росли. Завод сдавал по четыре-пять самолетов в месяц, в мае даже обогнав план. Моторы ставили и советские, и оригинальные немецкие. Последние были полегче и помощнее, поэтому самолеты с ними обычно использовали как командирские. Электрика и приборы тоже могли быть и отечественными, и импортными. Самолеты выпуска 1932 г. имели увеличенные маслобаки и пневмопуски на моторах. В полете они работали от бортовых баллонов, на аэродроме - от больших наземных. Первые серии Р-6 комплектовались импортными покрышками "Пальмер", а далее - советскими прямобортного типа той же ширины, но меньшего диаметра. Для эксплуатации зимой к каждому самолету придавали комплект деревянных окованных лыж.</w:t>
      </w:r>
    </w:p>
    <w:p w14:paraId="2ACDF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Серийный Р-6 стоил недешево - 253 000 рублей. Сейчас эта цифра кажется смехотворной, но тогда это были большие деньги. Истребители того времени обходились в 35 - 50 тысяч рублей, легкий бомбардировщик Р-5 - 36 тысяч, тяжелый четырехмоторный ТБ-3 - 450 тысяч.</w:t>
      </w:r>
    </w:p>
    <w:p w14:paraId="3A61AE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предприятие в Филях было сильно перегружено заказами на бомбардировщики, которым придавалось большее значение. Поэтому привлекли таганрогский завод № 31. Ему передали документацию и самолет-эталон.</w:t>
      </w:r>
    </w:p>
    <w:p w14:paraId="507A6B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Москве же производство стало сворачиваться. За все второе полугодие сдали меньше десятка машин, закончив год на 30-м самолете. Таким образом, всего завод № 22 сделал 45 Р-6. Узлы пяти машин 6-й серии отгрузили в Таганрог, где до конца 1932 г. собрали всего один "крейсер". Передача производства в другой город сильно затормозила выпуск Р-6 и привела к срыву планов перевооружения ВВС.</w:t>
      </w:r>
    </w:p>
    <w:p w14:paraId="03703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Выпущенные весной 1932 г. Р-6 поступили в части ВВС Московского военного округа. 1 мая в воздушном параде участвовали самолеты 11-й и 17-й авиабригад. По штату каждой тяжелобомбардировочной бригаде полагалась эскадрилья из дюжины "крейсеров" (12036).</w:t>
      </w:r>
    </w:p>
    <w:p w14:paraId="021EC317" w14:textId="4BA5C05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8745EA" w14:textId="77777777" w:rsidR="0034496F" w:rsidRPr="00E93F40" w:rsidRDefault="0034496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 февраля 1932 г. на Дальнем Востоке насчитывалось 139 совет</w:t>
      </w:r>
      <w:r w:rsidRPr="00E93F40">
        <w:rPr>
          <w:rFonts w:ascii="Times New Roman" w:hAnsi="Times New Roman"/>
          <w:color w:val="000000" w:themeColor="text1"/>
          <w:sz w:val="16"/>
          <w:szCs w:val="16"/>
        </w:rPr>
        <w:softHyphen/>
        <w:t>ских самолетов: 64 Р-5, 6 Р-6, 30 Р-1, 22 С-62, 19 И- 5, 12 ТБ-1. Упомянутые 12 ТБ-1 51-й тбаэ перевезли по железной дороге в ноябре-декабре 1931 г. Летом 1932 г. поближе к Тихому океану решили перевести еще несколько эскадрилий из Центральной России. Однако главным событием летнего сезона должна была стать перегонка 24 самолетов ТБ-3 (две эскад</w:t>
      </w:r>
      <w:r w:rsidRPr="00E93F40">
        <w:rPr>
          <w:rFonts w:ascii="Times New Roman" w:hAnsi="Times New Roman"/>
          <w:color w:val="000000" w:themeColor="text1"/>
          <w:sz w:val="16"/>
          <w:szCs w:val="16"/>
        </w:rPr>
        <w:softHyphen/>
        <w:t>рильи) вновь сформированной 19-й тяжелой бомбардировочной авиабригады (тбаб). Задуманная понача</w:t>
      </w:r>
      <w:r w:rsidRPr="00E93F40">
        <w:rPr>
          <w:rFonts w:ascii="Times New Roman" w:hAnsi="Times New Roman"/>
          <w:color w:val="000000" w:themeColor="text1"/>
          <w:sz w:val="16"/>
          <w:szCs w:val="16"/>
        </w:rPr>
        <w:softHyphen/>
        <w:t>лу перевозка по железной дороге представлялась чрезвычайно сложной и долгой, поэтому выбран был все-таки перелет группы самолетов. Для решения задуманного планировалось не позд</w:t>
      </w:r>
      <w:r w:rsidRPr="00E93F40">
        <w:rPr>
          <w:rFonts w:ascii="Times New Roman" w:hAnsi="Times New Roman"/>
          <w:color w:val="000000" w:themeColor="text1"/>
          <w:sz w:val="16"/>
          <w:szCs w:val="16"/>
        </w:rPr>
        <w:softHyphen/>
        <w:t>нее августа 1932 г. создать одну тяжелую бомбарди</w:t>
      </w:r>
      <w:r w:rsidRPr="00E93F40">
        <w:rPr>
          <w:rFonts w:ascii="Times New Roman" w:hAnsi="Times New Roman"/>
          <w:color w:val="000000" w:themeColor="text1"/>
          <w:sz w:val="16"/>
          <w:szCs w:val="16"/>
        </w:rPr>
        <w:softHyphen/>
        <w:t>ровочную авиабригаду для ОКДВА в составе двух эс</w:t>
      </w:r>
      <w:r w:rsidRPr="00E93F40">
        <w:rPr>
          <w:rFonts w:ascii="Times New Roman" w:hAnsi="Times New Roman"/>
          <w:color w:val="000000" w:themeColor="text1"/>
          <w:sz w:val="16"/>
          <w:szCs w:val="16"/>
        </w:rPr>
        <w:softHyphen/>
        <w:t>кадрилий ТБ-1 и двух эскадрилий ТБ-3 (23378).</w:t>
      </w:r>
    </w:p>
    <w:p w14:paraId="1C92042B" w14:textId="77777777" w:rsidR="0034496F" w:rsidRPr="00E93F40" w:rsidRDefault="0034496F" w:rsidP="00E93F40">
      <w:pPr>
        <w:spacing w:after="0" w:line="240" w:lineRule="auto"/>
        <w:jc w:val="both"/>
        <w:rPr>
          <w:rFonts w:ascii="Times New Roman" w:hAnsi="Times New Roman"/>
          <w:color w:val="000000" w:themeColor="text1"/>
          <w:sz w:val="16"/>
          <w:szCs w:val="16"/>
        </w:rPr>
      </w:pPr>
    </w:p>
    <w:p w14:paraId="30D04782" w14:textId="37FD6B91" w:rsidR="00190DA5" w:rsidRPr="00E93F40" w:rsidRDefault="00190DA5"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52E0838A" w14:textId="77777777" w:rsidR="00190DA5" w:rsidRPr="00E93F40" w:rsidRDefault="00190DA5"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6567E427" w14:textId="77777777" w:rsidR="00190DA5" w:rsidRPr="00E93F40" w:rsidRDefault="00190D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авианосец Императорского флота Японии Hōshō присоединяется к авианосцу Kaga в китайских территориальных водах во время инцидента в Шанхае (20803).</w:t>
      </w:r>
    </w:p>
    <w:p w14:paraId="5DA8887A" w14:textId="77777777" w:rsidR="00190DA5" w:rsidRPr="00E93F40" w:rsidRDefault="00190DA5" w:rsidP="00E93F40">
      <w:pPr>
        <w:spacing w:after="0" w:line="240" w:lineRule="auto"/>
        <w:jc w:val="both"/>
        <w:rPr>
          <w:rFonts w:ascii="Times New Roman" w:hAnsi="Times New Roman"/>
          <w:color w:val="000000" w:themeColor="text1"/>
          <w:sz w:val="16"/>
          <w:szCs w:val="16"/>
        </w:rPr>
      </w:pPr>
    </w:p>
    <w:p w14:paraId="712F047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3CB7BD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05B9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 по 6 февраля 1932 в ходе испытаний на 22 заводе самолета Р6 N 2201 (эталон на 1932 год), которые проходили с 23 января по 7 апреля 1932, были произведены испытания спецоборудвания (3003).</w:t>
      </w:r>
    </w:p>
    <w:p w14:paraId="750AE0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57A18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5DD992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14A5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февраля 1932 г. по докладу представителя МЗ состоялось заседание артиллерийской секции НТК УВМС, где были рассмотрены три варианта заряжания 180-мм двухорудийной башенной береговой установки:</w:t>
      </w:r>
    </w:p>
    <w:p w14:paraId="1BDE75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 постоянном угле возвышения +13;</w:t>
      </w:r>
    </w:p>
    <w:p w14:paraId="403F8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при углах возвышения от 0 до 25 с остановкой во время заряжания вертикального наведения;</w:t>
      </w:r>
    </w:p>
    <w:p w14:paraId="6125A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тоже, но без установки вертикального наведения.</w:t>
      </w:r>
    </w:p>
    <w:p w14:paraId="7CB89C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Было решено остановиться на втором варианте. Тем не менее заряжание в серийных установках производилось при постоянном угле +15 (3861).</w:t>
      </w:r>
    </w:p>
    <w:p w14:paraId="515E74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9DD2E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февраля 1932 года </w:t>
      </w:r>
      <w:r w:rsidRPr="00E93F40">
        <w:rPr>
          <w:rFonts w:ascii="Times New Roman" w:hAnsi="Times New Roman"/>
          <w:color w:val="000000" w:themeColor="text1"/>
          <w:sz w:val="16"/>
          <w:szCs w:val="16"/>
          <w:lang w:val="en-US"/>
        </w:rPr>
        <w:t>g</w:t>
      </w:r>
      <w:r w:rsidRPr="00E93F40">
        <w:rPr>
          <w:rFonts w:ascii="Times New Roman" w:hAnsi="Times New Roman"/>
          <w:color w:val="000000" w:themeColor="text1"/>
          <w:sz w:val="16"/>
          <w:szCs w:val="16"/>
        </w:rPr>
        <w:t>ервая партия из пяти серийных ЯГ-10 покинула территорию завода.</w:t>
      </w:r>
    </w:p>
    <w:p w14:paraId="54AFB43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изменения в конструкции стандартного Я-5 сводились к следующему:</w:t>
      </w:r>
    </w:p>
    <w:p w14:paraId="73A2725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Путем установки дополнительного швеллера усилена рама.</w:t>
      </w:r>
    </w:p>
    <w:p w14:paraId="3A090F7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Поднят кузов.</w:t>
      </w:r>
    </w:p>
    <w:p w14:paraId="08A3AB0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 шасси приспособлена рессорная подвеска шестиколесного автомобиля «Мореланд».</w:t>
      </w:r>
    </w:p>
    <w:p w14:paraId="09E571C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Приспособлены карданные валы «Мореланд».</w:t>
      </w:r>
    </w:p>
    <w:p w14:paraId="424BB72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Выполнены переборы для снятия мощности со среднего моста и подвода ее к заднему.</w:t>
      </w:r>
    </w:p>
    <w:p w14:paraId="6DBDA89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Переделано тормозное хозяйство.</w:t>
      </w:r>
    </w:p>
    <w:p w14:paraId="1FFA3BE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7.На каждое колесо заднего моста установлены цилиндры «Девандр».</w:t>
      </w:r>
    </w:p>
    <w:p w14:paraId="5DD978B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 копирования задней тележки «Морленда» и заимствования некоторых деталей с него подтверждают и «Замечания завода по конструкции», подписанные главным конструктором Ярославского автозавода А. С. Литвиновым и приложенные к акту об испытаниях:</w:t>
      </w:r>
    </w:p>
    <w:p w14:paraId="7AF8F63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ускорения выпуска ЯГ-10 на нем установлены следующие детали с американского автомобиля «Мореланд»:</w:t>
      </w:r>
    </w:p>
    <w:p w14:paraId="3C0AB83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карданные валы (наклонный и задний);</w:t>
      </w:r>
    </w:p>
    <w:p w14:paraId="0249987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кронштейн задней тележки и шаровые опоры рессор.</w:t>
      </w:r>
    </w:p>
    <w:p w14:paraId="5C6A73C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Ответственности за их прочность завод взять на себя не может».</w:t>
      </w:r>
    </w:p>
    <w:p w14:paraId="7AE7963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 отсюда напрашивается только один: из-за нехватки времени, отведенного на создание трехосной машины, конструкторы ЯГ-10 пошли по пути наименьших затрат, полностью заимствовав импортную конструкцию этого узла. Вообще же, называть ЯГ-10 полностью отечественным автомобилем можно лишь условно, так как для него (как и для базовой модели Я-5) использовались импортные силовые агрегаты «Геркулес» («Hercules-YXC», 93,5 л.с.), шедшие вместе с карбюратором, магнето, регулятором, вентилятором в сборе, воздушным фильтром, глушителем и всеми рычагами управления. В комплекте с двигателями закупались также многодисковые сцепления фирмы Brown-Lipe и 4-ступенчатые коробки передач Brown-Lipe-554. Да и сам Я-5, по правде говоря, представлял собой глубокую модернизацию «White-ТАD» времен Первой мировой войны.</w:t>
      </w:r>
    </w:p>
    <w:p w14:paraId="217BC54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даже в таком виде конструкция ЯГ-10 являла собой значительный шаг вперед, сделанный отечественным автопромом (12201).</w:t>
      </w:r>
    </w:p>
    <w:p w14:paraId="244C1F45" w14:textId="77777777" w:rsidR="00275520" w:rsidRPr="00E93F40" w:rsidRDefault="00275520" w:rsidP="00E93F40">
      <w:pPr>
        <w:spacing w:after="0" w:line="240" w:lineRule="auto"/>
        <w:jc w:val="both"/>
        <w:rPr>
          <w:rFonts w:ascii="Times New Roman" w:hAnsi="Times New Roman"/>
          <w:color w:val="000000" w:themeColor="text1"/>
          <w:sz w:val="16"/>
          <w:szCs w:val="16"/>
        </w:rPr>
      </w:pPr>
    </w:p>
    <w:p w14:paraId="175851D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24777C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CBA1C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февраля 1932 на Женевской конференции СССР предложил план всеобщего и полного разоружения (4962).</w:t>
      </w:r>
    </w:p>
    <w:p w14:paraId="710A32D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E7E4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февраля 1932 на открывшейся в Женеве Конференции по разоружению М. М. Литвинов вновь выдвигает предложение о всеобщем и полном разоружении.</w:t>
      </w:r>
    </w:p>
    <w:p w14:paraId="714F98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929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февраля 1932 на конференции по разоружению в Женеве СССР опять предложил план всеобщего и полного разоружения (1348,242). Работала по июль. Германия отвергла французское предложение о создании вооруженных сил под международным контролем (3907,172).</w:t>
      </w:r>
    </w:p>
    <w:p w14:paraId="34ACA9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F022E4" w14:textId="77777777" w:rsidR="003A28E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D775AEC" w14:textId="77777777" w:rsidR="003A28EC" w:rsidRPr="00E93F40" w:rsidRDefault="003A28E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B7B2A8" w14:textId="2CAFDE62" w:rsidR="00494E17" w:rsidRPr="00E93F40" w:rsidRDefault="00494E1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февраля 1932 года — первый полёт истребителя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Avia B-34. /Чехословакия/</w:t>
      </w:r>
    </w:p>
    <w:p w14:paraId="034DBA8A" w14:textId="5C8BDCE1" w:rsidR="00494E17" w:rsidRPr="00E93F40" w:rsidRDefault="00494E1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Конструктор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Франтишек Новотны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(František Novotný) возглавил отдел проектирования военных самолётов компании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Avia</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1929 году. Первым его проектом в этой должности стал поршневой истребитель B-34.</w:t>
      </w:r>
    </w:p>
    <w:p w14:paraId="57F9FC00" w14:textId="4B1DF449" w:rsidR="00494E17" w:rsidRPr="00E93F40" w:rsidRDefault="00494E1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Новотны разработал типичный для своего времени биплан с неубирающимся шасси. Самолёт был цельнометаллическим, лишь крылья обтягивались полотном. Оснащался двигателем Avia Vr-36, позволявшим развить скорость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315 км/ч. Дальность полёта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600 км. Вооружение — 2 × 7,92-мм пулемёта vz.28.</w:t>
      </w:r>
    </w:p>
    <w:p w14:paraId="2C456ADD" w14:textId="67C404DF" w:rsidR="00494E17" w:rsidRPr="00E93F40" w:rsidRDefault="00494E1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испытаний самолёт доработали и запустили в серию. Выпустили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истребителей Avia B-34. Они были приняли на вооружение в 37-й истребительной эскадрилье 3-го авиаполка чехословацких ВВС. Второй прототип B-34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 основой для разработки более успешного и совершенного истребителя Avia B.534 (22300).</w:t>
      </w:r>
    </w:p>
    <w:p w14:paraId="7E21691D" w14:textId="77777777" w:rsidR="00494E17" w:rsidRPr="00E93F40" w:rsidRDefault="00494E17" w:rsidP="00E93F40">
      <w:pPr>
        <w:spacing w:after="0" w:line="240" w:lineRule="auto"/>
        <w:jc w:val="both"/>
        <w:rPr>
          <w:rFonts w:ascii="Times New Roman" w:hAnsi="Times New Roman"/>
          <w:color w:val="000000" w:themeColor="text1"/>
          <w:sz w:val="16"/>
          <w:szCs w:val="16"/>
        </w:rPr>
      </w:pPr>
    </w:p>
    <w:p w14:paraId="26E7DE43" w14:textId="77777777" w:rsidR="003A28EC" w:rsidRPr="00E93F40" w:rsidRDefault="003A28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 февраля</w:t>
      </w:r>
      <w:r w:rsidRPr="00E93F40">
        <w:rPr>
          <w:rFonts w:ascii="Times New Roman" w:hAnsi="Times New Roman"/>
          <w:color w:val="000000" w:themeColor="text1"/>
          <w:sz w:val="16"/>
          <w:szCs w:val="16"/>
        </w:rPr>
        <w:t xml:space="preserve"> в 1932 году известный американский гангстер Аль-Капоне заключен в тюрьму в Атланте, штат Джорджия неуплату налогов (15028).</w:t>
      </w:r>
    </w:p>
    <w:p w14:paraId="2846719B" w14:textId="77777777" w:rsidR="003A28EC" w:rsidRPr="00E93F40" w:rsidRDefault="003A28EC" w:rsidP="00E93F40">
      <w:pPr>
        <w:spacing w:after="0" w:line="240" w:lineRule="auto"/>
        <w:jc w:val="both"/>
        <w:rPr>
          <w:rFonts w:ascii="Times New Roman" w:hAnsi="Times New Roman"/>
          <w:color w:val="000000" w:themeColor="text1"/>
          <w:sz w:val="16"/>
          <w:szCs w:val="16"/>
        </w:rPr>
      </w:pPr>
    </w:p>
    <w:p w14:paraId="318102C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D5554D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DA51B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5 и 10 февраля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4 полета на определение вертикальной скорости и потолка с нормальной нагрузкой; определение максимальных, средних и минимальных скоростей на высотах от потолка через каждые 1000 м. Стрельба на высоте 7000 м (3002).</w:t>
      </w:r>
    </w:p>
    <w:p w14:paraId="122FAF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61F047" w14:textId="77777777" w:rsidR="008561EF" w:rsidRPr="00E93F40" w:rsidRDefault="008561EF" w:rsidP="00E93F40">
      <w:pPr>
        <w:pStyle w:val="a3"/>
        <w:rPr>
          <w:color w:val="000000" w:themeColor="text1"/>
          <w:lang w:val="ru-RU"/>
        </w:rPr>
      </w:pPr>
      <w:r w:rsidRPr="00E93F40">
        <w:rPr>
          <w:color w:val="000000" w:themeColor="text1"/>
          <w:lang w:val="ru-RU"/>
        </w:rPr>
        <w:t>С 3 февра</w:t>
      </w:r>
      <w:r w:rsidRPr="00E93F40">
        <w:rPr>
          <w:color w:val="000000" w:themeColor="text1"/>
          <w:lang w:val="ru-RU"/>
        </w:rPr>
        <w:softHyphen/>
        <w:t>ля 1932 г. начали отсчитывать начало работ по его строи</w:t>
      </w:r>
      <w:r w:rsidRPr="00E93F40">
        <w:rPr>
          <w:color w:val="000000" w:themeColor="text1"/>
          <w:lang w:val="ru-RU"/>
        </w:rPr>
        <w:softHyphen/>
        <w:t>тельству дальнего самолета МАИ. Так как создавался дальний самолет по договору между МАИ и Осоавиахимом, то и назывался он первоначаль</w:t>
      </w:r>
      <w:r w:rsidRPr="00E93F40">
        <w:rPr>
          <w:color w:val="000000" w:themeColor="text1"/>
          <w:lang w:val="ru-RU"/>
        </w:rPr>
        <w:softHyphen/>
        <w:t>но «ОСО-МАИ». Неизвестно с какого момента, но более прижилось другое название - РД-МАИ (Рекорд дально</w:t>
      </w:r>
      <w:r w:rsidRPr="00E93F40">
        <w:rPr>
          <w:color w:val="000000" w:themeColor="text1"/>
          <w:lang w:val="ru-RU"/>
        </w:rPr>
        <w:softHyphen/>
        <w:t>сти - МАИ). Тогда же последовал приказ по институту за №1, согласно которому следовало:</w:t>
      </w:r>
      <w:r w:rsidRPr="00E93F40">
        <w:rPr>
          <w:rStyle w:val="251"/>
          <w:rFonts w:ascii="Times New Roman" w:hAnsi="Times New Roman" w:cs="Times New Roman"/>
          <w:i w:val="0"/>
          <w:color w:val="000000" w:themeColor="text1"/>
          <w:sz w:val="16"/>
          <w:szCs w:val="16"/>
          <w:lang w:val="ru-RU"/>
        </w:rPr>
        <w:t xml:space="preserve"> «Главному конструктору Григоровичу Д. Г\. приступить к набору необходимого числа конструкторов и к окончательной разработке эскизного проекта самолета, с расчетом предо</w:t>
      </w:r>
      <w:r w:rsidRPr="00E93F40">
        <w:rPr>
          <w:rStyle w:val="251"/>
          <w:rFonts w:ascii="Times New Roman" w:hAnsi="Times New Roman" w:cs="Times New Roman"/>
          <w:i w:val="0"/>
          <w:color w:val="000000" w:themeColor="text1"/>
          <w:sz w:val="16"/>
          <w:szCs w:val="16"/>
          <w:lang w:val="ru-RU"/>
        </w:rPr>
        <w:softHyphen/>
        <w:t>ставления эскизного проекта на пред</w:t>
      </w:r>
      <w:r w:rsidRPr="00E93F40">
        <w:rPr>
          <w:rStyle w:val="251"/>
          <w:rFonts w:ascii="Times New Roman" w:hAnsi="Times New Roman" w:cs="Times New Roman"/>
          <w:i w:val="0"/>
          <w:color w:val="000000" w:themeColor="text1"/>
          <w:sz w:val="16"/>
          <w:szCs w:val="16"/>
          <w:lang w:val="ru-RU"/>
        </w:rPr>
        <w:softHyphen/>
        <w:t>варительный просмотр штаба, не позд</w:t>
      </w:r>
      <w:r w:rsidRPr="00E93F40">
        <w:rPr>
          <w:rStyle w:val="251"/>
          <w:rFonts w:ascii="Times New Roman" w:hAnsi="Times New Roman" w:cs="Times New Roman"/>
          <w:i w:val="0"/>
          <w:color w:val="000000" w:themeColor="text1"/>
          <w:sz w:val="16"/>
          <w:szCs w:val="16"/>
          <w:lang w:val="ru-RU"/>
        </w:rPr>
        <w:softHyphen/>
        <w:t>нее 25 февраля».</w:t>
      </w:r>
    </w:p>
    <w:p w14:paraId="2A4BB414" w14:textId="77777777" w:rsidR="008561EF" w:rsidRPr="00E93F40" w:rsidRDefault="008561EF" w:rsidP="00E93F40">
      <w:pPr>
        <w:pStyle w:val="a3"/>
        <w:rPr>
          <w:color w:val="000000" w:themeColor="text1"/>
          <w:lang w:val="ru-RU"/>
        </w:rPr>
      </w:pPr>
      <w:r w:rsidRPr="00E93F40">
        <w:rPr>
          <w:color w:val="000000" w:themeColor="text1"/>
          <w:lang w:val="ru-RU"/>
        </w:rPr>
        <w:t>Позднее создание РД-МАИ опреде</w:t>
      </w:r>
      <w:r w:rsidRPr="00E93F40">
        <w:rPr>
          <w:color w:val="000000" w:themeColor="text1"/>
          <w:lang w:val="ru-RU"/>
        </w:rPr>
        <w:softHyphen/>
        <w:t>лили как процесс «привлечения студен</w:t>
      </w:r>
      <w:r w:rsidRPr="00E93F40">
        <w:rPr>
          <w:color w:val="000000" w:themeColor="text1"/>
          <w:lang w:val="ru-RU"/>
        </w:rPr>
        <w:softHyphen/>
        <w:t>тов к проектно-конструкторской работе в порядке выполнения учебной практики и получения производственных навыков». Постепенно сформировалась группа, в которую вошли студенты П.Д. Грушин, М.М. Пашинин, Л.П. Курбала, В.А. Федулов, А.П. Щекин и другие. Расчеты на прочность выполнил В.Д. Яровицкий. С появлением учебно-производственных мастерских изготовлением самолета ру</w:t>
      </w:r>
      <w:r w:rsidRPr="00E93F40">
        <w:rPr>
          <w:color w:val="000000" w:themeColor="text1"/>
          <w:lang w:val="ru-RU"/>
        </w:rPr>
        <w:softHyphen/>
        <w:t>ководил С.М. Беляйкин.</w:t>
      </w:r>
    </w:p>
    <w:p w14:paraId="35482667" w14:textId="77777777" w:rsidR="008561EF" w:rsidRPr="00E93F40" w:rsidRDefault="008561EF" w:rsidP="00E93F40">
      <w:pPr>
        <w:pStyle w:val="222"/>
        <w:shd w:val="clear" w:color="auto" w:fill="auto"/>
        <w:spacing w:line="240" w:lineRule="auto"/>
        <w:rPr>
          <w:rFonts w:ascii="Times New Roman" w:hAnsi="Times New Roman" w:cs="Times New Roman"/>
          <w:b w:val="0"/>
          <w:color w:val="000000" w:themeColor="text1"/>
          <w:sz w:val="16"/>
          <w:szCs w:val="16"/>
        </w:rPr>
      </w:pPr>
      <w:r w:rsidRPr="00E93F40">
        <w:rPr>
          <w:rStyle w:val="223"/>
          <w:rFonts w:ascii="Times New Roman" w:hAnsi="Times New Roman" w:cs="Times New Roman"/>
          <w:b w:val="0"/>
          <w:bCs w:val="0"/>
          <w:color w:val="000000" w:themeColor="text1"/>
          <w:sz w:val="16"/>
          <w:szCs w:val="16"/>
        </w:rPr>
        <w:t>РД-МАИ</w:t>
      </w:r>
      <w:r w:rsidRPr="00E93F40">
        <w:rPr>
          <w:rFonts w:ascii="Times New Roman" w:hAnsi="Times New Roman" w:cs="Times New Roman"/>
          <w:b w:val="0"/>
          <w:color w:val="000000" w:themeColor="text1"/>
          <w:sz w:val="16"/>
          <w:szCs w:val="16"/>
        </w:rPr>
        <w:t xml:space="preserve"> представлял собой</w:t>
      </w:r>
      <w:r w:rsidRPr="00E93F40">
        <w:rPr>
          <w:rStyle w:val="223"/>
          <w:rFonts w:ascii="Times New Roman" w:hAnsi="Times New Roman" w:cs="Times New Roman"/>
          <w:b w:val="0"/>
          <w:bCs w:val="0"/>
          <w:color w:val="000000" w:themeColor="text1"/>
          <w:sz w:val="16"/>
          <w:szCs w:val="16"/>
        </w:rPr>
        <w:t xml:space="preserve"> одно</w:t>
      </w:r>
      <w:r w:rsidRPr="00E93F40">
        <w:rPr>
          <w:rStyle w:val="223"/>
          <w:rFonts w:ascii="Times New Roman" w:hAnsi="Times New Roman" w:cs="Times New Roman"/>
          <w:b w:val="0"/>
          <w:bCs w:val="0"/>
          <w:color w:val="000000" w:themeColor="text1"/>
          <w:sz w:val="16"/>
          <w:szCs w:val="16"/>
        </w:rPr>
        <w:softHyphen/>
        <w:t>моторный низкоплан с</w:t>
      </w:r>
      <w:r w:rsidRPr="00E93F40">
        <w:rPr>
          <w:rFonts w:ascii="Times New Roman" w:hAnsi="Times New Roman" w:cs="Times New Roman"/>
          <w:b w:val="0"/>
          <w:color w:val="000000" w:themeColor="text1"/>
          <w:sz w:val="16"/>
          <w:szCs w:val="16"/>
        </w:rPr>
        <w:t xml:space="preserve"> трапециевидным </w:t>
      </w:r>
      <w:r w:rsidRPr="00E93F40">
        <w:rPr>
          <w:rStyle w:val="223"/>
          <w:rFonts w:ascii="Times New Roman" w:hAnsi="Times New Roman" w:cs="Times New Roman"/>
          <w:b w:val="0"/>
          <w:bCs w:val="0"/>
          <w:color w:val="000000" w:themeColor="text1"/>
          <w:sz w:val="16"/>
          <w:szCs w:val="16"/>
        </w:rPr>
        <w:t>крылом и</w:t>
      </w:r>
      <w:r w:rsidRPr="00E93F40">
        <w:rPr>
          <w:rFonts w:ascii="Times New Roman" w:hAnsi="Times New Roman" w:cs="Times New Roman"/>
          <w:b w:val="0"/>
          <w:color w:val="000000" w:themeColor="text1"/>
          <w:sz w:val="16"/>
          <w:szCs w:val="16"/>
        </w:rPr>
        <w:t xml:space="preserve"> веретенообразным фюзеля</w:t>
      </w:r>
      <w:r w:rsidRPr="00E93F40">
        <w:rPr>
          <w:rFonts w:ascii="Times New Roman" w:hAnsi="Times New Roman" w:cs="Times New Roman"/>
          <w:b w:val="0"/>
          <w:color w:val="000000" w:themeColor="text1"/>
          <w:sz w:val="16"/>
          <w:szCs w:val="16"/>
        </w:rPr>
        <w:softHyphen/>
      </w:r>
      <w:r w:rsidRPr="00E93F40">
        <w:rPr>
          <w:rStyle w:val="223"/>
          <w:rFonts w:ascii="Times New Roman" w:hAnsi="Times New Roman" w:cs="Times New Roman"/>
          <w:b w:val="0"/>
          <w:bCs w:val="0"/>
          <w:color w:val="000000" w:themeColor="text1"/>
          <w:sz w:val="16"/>
          <w:szCs w:val="16"/>
        </w:rPr>
        <w:t>жем, двухместной</w:t>
      </w:r>
      <w:r w:rsidRPr="00E93F40">
        <w:rPr>
          <w:rFonts w:ascii="Times New Roman" w:hAnsi="Times New Roman" w:cs="Times New Roman"/>
          <w:b w:val="0"/>
          <w:color w:val="000000" w:themeColor="text1"/>
          <w:sz w:val="16"/>
          <w:szCs w:val="16"/>
        </w:rPr>
        <w:t xml:space="preserve"> кабиной, закрытой </w:t>
      </w:r>
      <w:r w:rsidRPr="00E93F40">
        <w:rPr>
          <w:rStyle w:val="223"/>
          <w:rFonts w:ascii="Times New Roman" w:hAnsi="Times New Roman" w:cs="Times New Roman"/>
          <w:b w:val="0"/>
          <w:bCs w:val="0"/>
          <w:color w:val="000000" w:themeColor="text1"/>
          <w:sz w:val="16"/>
          <w:szCs w:val="16"/>
        </w:rPr>
        <w:t>общим фонарем.</w:t>
      </w:r>
      <w:r w:rsidRPr="00E93F40">
        <w:rPr>
          <w:rFonts w:ascii="Times New Roman" w:hAnsi="Times New Roman" w:cs="Times New Roman"/>
          <w:b w:val="0"/>
          <w:color w:val="000000" w:themeColor="text1"/>
          <w:sz w:val="16"/>
          <w:szCs w:val="16"/>
        </w:rPr>
        <w:t xml:space="preserve"> Посадка в самолет </w:t>
      </w:r>
      <w:r w:rsidRPr="00E93F40">
        <w:rPr>
          <w:rStyle w:val="223"/>
          <w:rFonts w:ascii="Times New Roman" w:hAnsi="Times New Roman" w:cs="Times New Roman"/>
          <w:b w:val="0"/>
          <w:bCs w:val="0"/>
          <w:color w:val="000000" w:themeColor="text1"/>
          <w:sz w:val="16"/>
          <w:szCs w:val="16"/>
        </w:rPr>
        <w:t>осуществлялась</w:t>
      </w:r>
      <w:r w:rsidRPr="00E93F40">
        <w:rPr>
          <w:rFonts w:ascii="Times New Roman" w:hAnsi="Times New Roman" w:cs="Times New Roman"/>
          <w:b w:val="0"/>
          <w:color w:val="000000" w:themeColor="text1"/>
          <w:sz w:val="16"/>
          <w:szCs w:val="16"/>
        </w:rPr>
        <w:t xml:space="preserve"> при помощи дверей и </w:t>
      </w:r>
      <w:r w:rsidRPr="00E93F40">
        <w:rPr>
          <w:rStyle w:val="223"/>
          <w:rFonts w:ascii="Times New Roman" w:hAnsi="Times New Roman" w:cs="Times New Roman"/>
          <w:b w:val="0"/>
          <w:bCs w:val="0"/>
          <w:color w:val="000000" w:themeColor="text1"/>
          <w:sz w:val="16"/>
          <w:szCs w:val="16"/>
        </w:rPr>
        <w:t>открывающейся</w:t>
      </w:r>
      <w:r w:rsidRPr="00E93F40">
        <w:rPr>
          <w:rFonts w:ascii="Times New Roman" w:hAnsi="Times New Roman" w:cs="Times New Roman"/>
          <w:b w:val="0"/>
          <w:color w:val="000000" w:themeColor="text1"/>
          <w:sz w:val="16"/>
          <w:szCs w:val="16"/>
        </w:rPr>
        <w:t xml:space="preserve"> части фонаря. Пред</w:t>
      </w:r>
      <w:r w:rsidRPr="00E93F40">
        <w:rPr>
          <w:rFonts w:ascii="Times New Roman" w:hAnsi="Times New Roman" w:cs="Times New Roman"/>
          <w:b w:val="0"/>
          <w:color w:val="000000" w:themeColor="text1"/>
          <w:sz w:val="16"/>
          <w:szCs w:val="16"/>
        </w:rPr>
        <w:softHyphen/>
      </w:r>
      <w:r w:rsidRPr="00E93F40">
        <w:rPr>
          <w:rStyle w:val="223"/>
          <w:rFonts w:ascii="Times New Roman" w:hAnsi="Times New Roman" w:cs="Times New Roman"/>
          <w:b w:val="0"/>
          <w:bCs w:val="0"/>
          <w:color w:val="000000" w:themeColor="text1"/>
          <w:sz w:val="16"/>
          <w:szCs w:val="16"/>
        </w:rPr>
        <w:t>усматривался</w:t>
      </w:r>
      <w:r w:rsidRPr="00E93F40">
        <w:rPr>
          <w:rFonts w:ascii="Times New Roman" w:hAnsi="Times New Roman" w:cs="Times New Roman"/>
          <w:b w:val="0"/>
          <w:color w:val="000000" w:themeColor="text1"/>
          <w:sz w:val="16"/>
          <w:szCs w:val="16"/>
        </w:rPr>
        <w:t xml:space="preserve"> третий член</w:t>
      </w:r>
      <w:r w:rsidRPr="00E93F40">
        <w:rPr>
          <w:rStyle w:val="229"/>
          <w:rFonts w:ascii="Times New Roman" w:hAnsi="Times New Roman" w:cs="Times New Roman"/>
          <w:bCs/>
          <w:color w:val="000000" w:themeColor="text1"/>
          <w:spacing w:val="0"/>
          <w:sz w:val="16"/>
          <w:szCs w:val="16"/>
        </w:rPr>
        <w:t xml:space="preserve"> экипажа.</w:t>
      </w:r>
      <w:r w:rsidRPr="00E93F40">
        <w:rPr>
          <w:rFonts w:ascii="Times New Roman" w:hAnsi="Times New Roman" w:cs="Times New Roman"/>
          <w:b w:val="0"/>
          <w:color w:val="000000" w:themeColor="text1"/>
          <w:sz w:val="16"/>
          <w:szCs w:val="16"/>
        </w:rPr>
        <w:t xml:space="preserve"> Для </w:t>
      </w:r>
      <w:r w:rsidRPr="00E93F40">
        <w:rPr>
          <w:rStyle w:val="223"/>
          <w:rFonts w:ascii="Times New Roman" w:hAnsi="Times New Roman" w:cs="Times New Roman"/>
          <w:b w:val="0"/>
          <w:bCs w:val="0"/>
          <w:color w:val="000000" w:themeColor="text1"/>
          <w:sz w:val="16"/>
          <w:szCs w:val="16"/>
        </w:rPr>
        <w:t>него оборудовали</w:t>
      </w:r>
      <w:r w:rsidRPr="00E93F40">
        <w:rPr>
          <w:rFonts w:ascii="Times New Roman" w:hAnsi="Times New Roman" w:cs="Times New Roman"/>
          <w:b w:val="0"/>
          <w:color w:val="000000" w:themeColor="text1"/>
          <w:sz w:val="16"/>
          <w:szCs w:val="16"/>
        </w:rPr>
        <w:t xml:space="preserve"> небольшой отсек с </w:t>
      </w:r>
      <w:r w:rsidRPr="00E93F40">
        <w:rPr>
          <w:rStyle w:val="223"/>
          <w:rFonts w:ascii="Times New Roman" w:hAnsi="Times New Roman" w:cs="Times New Roman"/>
          <w:b w:val="0"/>
          <w:bCs w:val="0"/>
          <w:color w:val="000000" w:themeColor="text1"/>
          <w:sz w:val="16"/>
          <w:szCs w:val="16"/>
        </w:rPr>
        <w:t>иллюминаторами за</w:t>
      </w:r>
      <w:r w:rsidRPr="00E93F40">
        <w:rPr>
          <w:rFonts w:ascii="Times New Roman" w:hAnsi="Times New Roman" w:cs="Times New Roman"/>
          <w:b w:val="0"/>
          <w:color w:val="000000" w:themeColor="text1"/>
          <w:sz w:val="16"/>
          <w:szCs w:val="16"/>
        </w:rPr>
        <w:t xml:space="preserve"> основной кабиной.</w:t>
      </w:r>
    </w:p>
    <w:p w14:paraId="2BF60DAB" w14:textId="77777777" w:rsidR="008561EF" w:rsidRPr="00E93F40" w:rsidRDefault="008561EF" w:rsidP="00E93F40">
      <w:pPr>
        <w:pStyle w:val="a3"/>
        <w:rPr>
          <w:color w:val="000000" w:themeColor="text1"/>
          <w:lang w:val="ru-RU"/>
        </w:rPr>
      </w:pPr>
      <w:r w:rsidRPr="00E93F40">
        <w:rPr>
          <w:color w:val="000000" w:themeColor="text1"/>
          <w:lang w:val="ru-RU"/>
        </w:rPr>
        <w:t>Основным конструкционным ма</w:t>
      </w:r>
      <w:r w:rsidRPr="00E93F40">
        <w:rPr>
          <w:color w:val="000000" w:themeColor="text1"/>
          <w:lang w:val="ru-RU"/>
        </w:rPr>
        <w:softHyphen/>
        <w:t>териалом для новой машины избрали сталь, в основном коррозионностойкую Энерж-6. Практически вся конструкция фюзеляжа, крыла и оперения была вы</w:t>
      </w:r>
      <w:r w:rsidRPr="00E93F40">
        <w:rPr>
          <w:color w:val="000000" w:themeColor="text1"/>
          <w:lang w:val="ru-RU"/>
        </w:rPr>
        <w:softHyphen/>
        <w:t>полнена точечной и роликовой электро</w:t>
      </w:r>
      <w:r w:rsidRPr="00E93F40">
        <w:rPr>
          <w:color w:val="000000" w:themeColor="text1"/>
          <w:lang w:val="ru-RU"/>
        </w:rPr>
        <w:softHyphen/>
        <w:t>сваркой из катаных листовых профилей, обшивка крыла и фюзеляжа из тонкого листа толщиной 0,3-0,5 мм с частыми отбортовками (рифтами или зигами) с шагом 80 мм.</w:t>
      </w:r>
    </w:p>
    <w:p w14:paraId="19772134" w14:textId="77777777" w:rsidR="008561EF" w:rsidRPr="00E93F40" w:rsidRDefault="008561EF" w:rsidP="00E93F40">
      <w:pPr>
        <w:pStyle w:val="a3"/>
        <w:rPr>
          <w:color w:val="000000" w:themeColor="text1"/>
          <w:lang w:val="ru-RU"/>
        </w:rPr>
      </w:pPr>
      <w:r w:rsidRPr="00E93F40">
        <w:rPr>
          <w:color w:val="000000" w:themeColor="text1"/>
          <w:lang w:val="ru-RU"/>
        </w:rPr>
        <w:t>Силовая установка включала двига</w:t>
      </w:r>
      <w:r w:rsidRPr="00E93F40">
        <w:rPr>
          <w:color w:val="000000" w:themeColor="text1"/>
          <w:lang w:val="ru-RU"/>
        </w:rPr>
        <w:softHyphen/>
        <w:t>тель М-34Р мощностью 830 л.с., в от</w:t>
      </w:r>
      <w:r w:rsidRPr="00E93F40">
        <w:rPr>
          <w:color w:val="000000" w:themeColor="text1"/>
          <w:lang w:val="ru-RU"/>
        </w:rPr>
        <w:softHyphen/>
        <w:t>ношении которого указывалось, что он ранее экспонировался на выставке, по</w:t>
      </w:r>
      <w:r w:rsidRPr="00E93F40">
        <w:rPr>
          <w:color w:val="000000" w:themeColor="text1"/>
          <w:lang w:val="ru-RU"/>
        </w:rPr>
        <w:softHyphen/>
        <w:t>этому отличался особой тщательностью отделки (возможно, первоначально это был макетный вариант, полученный для проведения увязочных работ по винто</w:t>
      </w:r>
      <w:r w:rsidRPr="00E93F40">
        <w:rPr>
          <w:color w:val="000000" w:themeColor="text1"/>
          <w:lang w:val="ru-RU"/>
        </w:rPr>
        <w:softHyphen/>
        <w:t>моторной группе).</w:t>
      </w:r>
    </w:p>
    <w:p w14:paraId="0A4197B1" w14:textId="77777777" w:rsidR="008561EF" w:rsidRPr="00E93F40" w:rsidRDefault="008561EF" w:rsidP="00E93F40">
      <w:pPr>
        <w:pStyle w:val="a3"/>
        <w:rPr>
          <w:color w:val="000000" w:themeColor="text1"/>
          <w:lang w:val="ru-RU"/>
        </w:rPr>
      </w:pPr>
      <w:r w:rsidRPr="00E93F40">
        <w:rPr>
          <w:color w:val="000000" w:themeColor="text1"/>
          <w:lang w:val="ru-RU"/>
        </w:rPr>
        <w:t>Шасси самолета состояло из двух подкрыльевых опор с пневматической амортизацией и хвостового колеса. Ос</w:t>
      </w:r>
      <w:r w:rsidRPr="00E93F40">
        <w:rPr>
          <w:color w:val="000000" w:themeColor="text1"/>
          <w:lang w:val="ru-RU"/>
        </w:rPr>
        <w:softHyphen/>
        <w:t>новные стойки по замыслу убирались в крыло при помощи ручного привода. В 1934 г. по планам ГУАП такое шасси построили (использовалось обозначе</w:t>
      </w:r>
      <w:r w:rsidRPr="00E93F40">
        <w:rPr>
          <w:color w:val="000000" w:themeColor="text1"/>
          <w:lang w:val="ru-RU"/>
        </w:rPr>
        <w:softHyphen/>
        <w:t>ние Сталь-МАИ-2), однако на практике самолет оборудовали неубираемым шасси (15746).</w:t>
      </w:r>
    </w:p>
    <w:p w14:paraId="116525F0" w14:textId="77777777" w:rsidR="008561EF" w:rsidRPr="00E93F40" w:rsidRDefault="008561EF" w:rsidP="00E93F40">
      <w:pPr>
        <w:pStyle w:val="a3"/>
        <w:rPr>
          <w:color w:val="000000" w:themeColor="text1"/>
          <w:lang w:val="ru-RU"/>
        </w:rPr>
      </w:pPr>
    </w:p>
    <w:p w14:paraId="706D2A59" w14:textId="05652F92"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3 февраля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Д.П. Григорович дал согласие и подписал следующий договор:</w:t>
      </w:r>
    </w:p>
    <w:p w14:paraId="26FE8115" w14:textId="1769002D"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Осоавиахим и МАИ совместно предпринимают на научно-технической и производственной базе МАИ проектирование и постройку двух стальных сварочных самолётов, имеющих назначение совершить кругосветный перелёт.</w:t>
      </w:r>
    </w:p>
    <w:p w14:paraId="0CAADA13" w14:textId="42244F23"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Работы по проектированию и строительству самолётов производятся с таким расчетом, чтобы самолёты были готовы к полёту не позднее 1-го мая</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1933 года.</w:t>
      </w:r>
    </w:p>
    <w:p w14:paraId="117CBD68" w14:textId="73175EDD"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МАИ совместно с ЦС Осоавиахима обеспечивает приобретение у Всесоюзного авиационного объединения одного мотора М-34 к 15 сентября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года…</w:t>
      </w:r>
    </w:p>
    <w:p w14:paraId="797B0297" w14:textId="120DBACA"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4.</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Для целей, обусловленных настоящим договором, Осоавиахим отпускает МАИ средства в сумме 600 000 рублей» </w:t>
      </w:r>
      <w:hyperlink r:id="rId28" w:history="1">
        <w:r w:rsidRPr="00E93F40">
          <w:rPr>
            <w:rFonts w:ascii="Times New Roman" w:eastAsia="Times New Roman" w:hAnsi="Times New Roman"/>
            <w:color w:val="000000" w:themeColor="text1"/>
            <w:sz w:val="16"/>
            <w:szCs w:val="16"/>
            <w:lang w:eastAsia="ru-RU"/>
          </w:rPr>
          <w:t>[133]</w:t>
        </w:r>
      </w:hyperlink>
      <w:r w:rsidRPr="00E93F40">
        <w:rPr>
          <w:rFonts w:ascii="Times New Roman" w:eastAsia="Times New Roman" w:hAnsi="Times New Roman"/>
          <w:color w:val="000000" w:themeColor="text1"/>
          <w:sz w:val="16"/>
          <w:szCs w:val="16"/>
          <w:lang w:eastAsia="ru-RU"/>
        </w:rPr>
        <w:t xml:space="preserve"> .</w:t>
      </w:r>
    </w:p>
    <w:p w14:paraId="7F1F4374" w14:textId="72DAA740"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Тогда же последовал приказ по институту, согласно которому Д.П. Григорович должен был приступить к набору необходимого числа конструкторов и к окончательной разработке эскизного проекта самолёта, с расчётом предоставления эскизного проекта на предварительный просмотр штаба не позднее</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25 февраля (17489).</w:t>
      </w:r>
    </w:p>
    <w:p w14:paraId="6D6BA8DB" w14:textId="77777777"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p>
    <w:p w14:paraId="5639D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февраля 1932 года врид начальника ВВС Наумов писал письмо N 3/010c председателю РВС.</w:t>
      </w:r>
    </w:p>
    <w:p w14:paraId="0366E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году ВВС получили 2 образца химвооружения: ВАП"ы и ДАП"ы (выливной химический и дымовой авиационные приборы), причем в 1932 г. вся штурмовая и войсковая авиация (в том числе и авиация береговой обороны и ближней разведки) должны быть обеспечены ВАП"ами на 100%, значительная часть этой и бомбардировочной авиации (сухопутная и морская) и ДАП"ами.</w:t>
      </w:r>
    </w:p>
    <w:p w14:paraId="1E50F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РВС за N 090 ВВС поставлена задача освоения в 1932 г. новой материальной части вооружения и овладение тактикой применения новых технических средств борьбы. (3045,33).</w:t>
      </w:r>
    </w:p>
    <w:p w14:paraId="2332AC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0ED3A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5D99A2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FAF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 25 января и 4 и 5 февраля 1932 в ходе испытаний на 22 заводе самолета Р6 N 2201 (эталон на 1932 год), которые проходили с 23 января по 7 апреля 1932, было выполнено 20 полетов на определение степени и характера вибраций хвостового оперения (3003).</w:t>
      </w:r>
    </w:p>
    <w:p w14:paraId="11138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14EEC7" w14:textId="77777777" w:rsidR="0027552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F190CD9" w14:textId="77777777" w:rsidR="00275520" w:rsidRPr="00E93F40" w:rsidRDefault="0027552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0EE8C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февраля 1932 г. — Справка ВСНХ СССР о работе военной промышленности за 1931 г.</w:t>
      </w:r>
    </w:p>
    <w:p w14:paraId="7A03FAC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Секретно.</w:t>
      </w:r>
    </w:p>
    <w:p w14:paraId="05B83C8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w:t>
      </w:r>
    </w:p>
    <w:p w14:paraId="07F5A164" w14:textId="68D7C783" w:rsidR="003A28EC" w:rsidRPr="00E93F40" w:rsidRDefault="003A28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Валовая продукция в ценах 1926/27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84"/>
        <w:gridCol w:w="1951"/>
        <w:gridCol w:w="1583"/>
        <w:gridCol w:w="1501"/>
        <w:gridCol w:w="1803"/>
      </w:tblGrid>
      <w:tr w:rsidR="00DA227A" w:rsidRPr="00E93F40" w14:paraId="41D06EF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53D3737" w14:textId="63BB3684"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C3A8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Окончательный</w:t>
            </w:r>
          </w:p>
          <w:p w14:paraId="60DE4F7E" w14:textId="1DAFF5F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C77A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Фактическая</w:t>
            </w:r>
          </w:p>
          <w:p w14:paraId="4CA81F0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продукция</w:t>
            </w:r>
          </w:p>
          <w:p w14:paraId="68BC5BE9" w14:textId="443E72F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EF53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p>
          <w:p w14:paraId="47B1938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54809" w14:textId="43E05A5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роста</w:t>
            </w:r>
          </w:p>
          <w:p w14:paraId="68593844" w14:textId="00BEC14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08240E2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43E81B3" w14:textId="438FFB9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2AD2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9BE9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0446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DC03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57,3</w:t>
            </w:r>
          </w:p>
        </w:tc>
      </w:tr>
      <w:tr w:rsidR="00DA227A" w:rsidRPr="00E93F40" w14:paraId="208BEBB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A3F6733" w14:textId="55C312F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w:t>
            </w:r>
            <w:r w:rsidRPr="00E93F40">
              <w:rPr>
                <w:rFonts w:ascii="Times New Roman" w:hAnsi="Times New Roman"/>
                <w:color w:val="000000" w:themeColor="text1"/>
                <w:sz w:val="16"/>
                <w:szCs w:val="16"/>
              </w:rPr>
              <w:noBreakHyphen/>
              <w:t>пулеметный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ED7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1A5B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EEDA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0759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91,8</w:t>
            </w:r>
          </w:p>
        </w:tc>
      </w:tr>
      <w:tr w:rsidR="00DA227A" w:rsidRPr="00E93F40" w14:paraId="49355BB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2DF68E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77AE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37AE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E376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05B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58,2</w:t>
            </w:r>
          </w:p>
        </w:tc>
      </w:tr>
      <w:tr w:rsidR="00DA227A" w:rsidRPr="00E93F40" w14:paraId="2C426A5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F0CEEC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0F39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E345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A957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4E85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44,1</w:t>
            </w:r>
          </w:p>
        </w:tc>
      </w:tr>
      <w:tr w:rsidR="00DA227A" w:rsidRPr="00E93F40" w14:paraId="0BE497A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AF539B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9D6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6D2B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F1BD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BBAA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53,4</w:t>
            </w:r>
          </w:p>
        </w:tc>
      </w:tr>
      <w:tr w:rsidR="00DA227A" w:rsidRPr="00E93F40" w14:paraId="7FEA238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B9B76C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798B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A6CB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95FD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F10F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48,4</w:t>
            </w:r>
          </w:p>
        </w:tc>
      </w:tr>
      <w:tr w:rsidR="00DA227A" w:rsidRPr="00E93F40" w14:paraId="404FFEF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462B9E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B3E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999F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41B3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4738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w:t>
            </w:r>
          </w:p>
        </w:tc>
      </w:tr>
      <w:tr w:rsidR="00DA227A" w:rsidRPr="00E93F40" w14:paraId="1FD55A2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7F63C0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9A5A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4814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FA46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3050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70,6</w:t>
            </w:r>
          </w:p>
        </w:tc>
      </w:tr>
    </w:tbl>
    <w:p w14:paraId="56EF6360" w14:textId="7BF04BDA"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По ВАО включено увеличение незавершенного производства в сумме 66,7</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w:t>
      </w:r>
    </w:p>
    <w:p w14:paraId="38C44D57" w14:textId="5C5D7DA8" w:rsidR="003A28EC" w:rsidRPr="00E93F40" w:rsidRDefault="003A28EC" w:rsidP="00E93F40">
      <w:pPr>
        <w:pStyle w:val="rtejustify"/>
        <w:spacing w:before="0" w:after="0"/>
        <w:rPr>
          <w:color w:val="000000" w:themeColor="text1"/>
          <w:sz w:val="16"/>
          <w:szCs w:val="16"/>
        </w:rPr>
      </w:pPr>
      <w:r w:rsidRPr="00E93F40">
        <w:rPr>
          <w:color w:val="000000" w:themeColor="text1"/>
          <w:sz w:val="16"/>
          <w:szCs w:val="16"/>
        </w:rPr>
        <w:t>Валовая продукция в ценах 1926/27</w:t>
      </w:r>
      <w:r w:rsidR="007C1411" w:rsidRPr="00E93F40">
        <w:rPr>
          <w:color w:val="000000" w:themeColor="text1"/>
          <w:sz w:val="16"/>
          <w:szCs w:val="16"/>
        </w:rPr>
        <w:t xml:space="preserve"> </w:t>
      </w:r>
      <w:r w:rsidRPr="00E93F40">
        <w:rPr>
          <w:color w:val="000000" w:themeColor="text1"/>
          <w:sz w:val="16"/>
          <w:szCs w:val="16"/>
        </w:rPr>
        <w:t>г. по кварталам (в</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4"/>
        <w:gridCol w:w="1160"/>
        <w:gridCol w:w="3589"/>
        <w:gridCol w:w="1160"/>
        <w:gridCol w:w="3589"/>
      </w:tblGrid>
      <w:tr w:rsidR="00DA227A" w:rsidRPr="00E93F40" w14:paraId="3E90E04C"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DD7D8EC" w14:textId="6DE84945"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A9B92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 продукция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315B8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военная</w:t>
            </w:r>
          </w:p>
        </w:tc>
      </w:tr>
      <w:tr w:rsidR="00DA227A" w:rsidRPr="00E93F40" w14:paraId="4125A81E"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56F99B6D"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CC79F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EE81E" w14:textId="2A3DAF5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выполнения</w:t>
            </w:r>
          </w:p>
          <w:p w14:paraId="5CCBB15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годового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067B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6FDDE" w14:textId="7E0FD47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выполнения</w:t>
            </w:r>
          </w:p>
          <w:p w14:paraId="5DF5FE3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годового плана</w:t>
            </w:r>
          </w:p>
        </w:tc>
      </w:tr>
      <w:tr w:rsidR="00DA227A" w:rsidRPr="00E93F40" w14:paraId="63569B3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CAF6C93" w14:textId="44D3751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52FE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B64F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E475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3404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w:t>
            </w:r>
          </w:p>
        </w:tc>
      </w:tr>
      <w:tr w:rsidR="00DA227A" w:rsidRPr="00E93F40" w14:paraId="551FB5D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C8CA31C" w14:textId="66EAC63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A29C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0E75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7FC1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E4E5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w:t>
            </w:r>
          </w:p>
        </w:tc>
      </w:tr>
      <w:tr w:rsidR="00DA227A" w:rsidRPr="00E93F40" w14:paraId="1889352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C90FF2F" w14:textId="15C8251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A796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F46C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AC6D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9EB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16,1</w:t>
            </w:r>
          </w:p>
        </w:tc>
      </w:tr>
      <w:tr w:rsidR="00DA227A" w:rsidRPr="00E93F40" w14:paraId="180EB4A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2C8ECC9" w14:textId="2CFB374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0D02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D7E8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B89D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2ADB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28,2</w:t>
            </w:r>
          </w:p>
        </w:tc>
      </w:tr>
      <w:tr w:rsidR="00DA227A" w:rsidRPr="00E93F40" w14:paraId="48EFBB2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73416A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4A9F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8C77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8E13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4013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77,3</w:t>
            </w:r>
          </w:p>
        </w:tc>
      </w:tr>
    </w:tbl>
    <w:p w14:paraId="2FEC9486" w14:textId="1410A34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военной программы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93"/>
        <w:gridCol w:w="1869"/>
        <w:gridCol w:w="1517"/>
        <w:gridCol w:w="1915"/>
        <w:gridCol w:w="1728"/>
      </w:tblGrid>
      <w:tr w:rsidR="00DA227A" w:rsidRPr="00E93F40" w14:paraId="5F2D309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20AB717" w14:textId="7C816974"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EC21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Окончательный</w:t>
            </w:r>
          </w:p>
          <w:p w14:paraId="070923A2" w14:textId="198B3B6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8BC9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Фактическая</w:t>
            </w:r>
          </w:p>
          <w:p w14:paraId="5856E1C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D76E" w14:textId="07E50D3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выпол-</w:t>
            </w:r>
          </w:p>
          <w:p w14:paraId="3EF550A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нения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411A0" w14:textId="6B9707C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роста</w:t>
            </w:r>
          </w:p>
          <w:p w14:paraId="56C503BC" w14:textId="0B037B9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272C58B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3AEF7C3" w14:textId="1826EE9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3CFE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C9A0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CE93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B962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58,8</w:t>
            </w:r>
          </w:p>
        </w:tc>
      </w:tr>
      <w:tr w:rsidR="00DA227A" w:rsidRPr="00E93F40" w14:paraId="6E79563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B53682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531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FD9B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11FC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CA8E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137,5</w:t>
            </w:r>
          </w:p>
        </w:tc>
      </w:tr>
      <w:tr w:rsidR="00DA227A" w:rsidRPr="00E93F40" w14:paraId="33B8302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FECD50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4E94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5EEB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36C4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E719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59,1</w:t>
            </w:r>
          </w:p>
        </w:tc>
      </w:tr>
      <w:tr w:rsidR="00DA227A" w:rsidRPr="00E93F40" w14:paraId="6FE6343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C1D206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0615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3053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D160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30A1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45,8</w:t>
            </w:r>
          </w:p>
        </w:tc>
      </w:tr>
      <w:tr w:rsidR="00DA227A" w:rsidRPr="00E93F40" w14:paraId="07003BF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D6E46D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FD78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B5B6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DB18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0ED6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45,4</w:t>
            </w:r>
          </w:p>
        </w:tc>
      </w:tr>
      <w:tr w:rsidR="00DA227A" w:rsidRPr="00E93F40" w14:paraId="2090B1C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F0971B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D0E9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49F4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F2F0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BD6E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w:t>
            </w:r>
          </w:p>
        </w:tc>
      </w:tr>
      <w:tr w:rsidR="00DA227A" w:rsidRPr="00E93F40" w14:paraId="3E8627D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A006F1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38D3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E57F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193C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EBBC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54,9</w:t>
            </w:r>
          </w:p>
        </w:tc>
      </w:tr>
      <w:tr w:rsidR="00DA227A" w:rsidRPr="00E93F40" w14:paraId="67EEA0D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BB2600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BDED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760,4²*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0AB3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4E69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E527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67,9</w:t>
            </w:r>
          </w:p>
        </w:tc>
      </w:tr>
    </w:tbl>
    <w:p w14:paraId="489DD4B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мирной программы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95"/>
        <w:gridCol w:w="993"/>
        <w:gridCol w:w="1717"/>
        <w:gridCol w:w="2322"/>
        <w:gridCol w:w="2095"/>
      </w:tblGrid>
      <w:tr w:rsidR="00DA227A" w:rsidRPr="00E93F40" w14:paraId="6B7EE2B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9F549B0" w14:textId="22681282"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8D86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p w14:paraId="0E32BDBD" w14:textId="067E229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5B8B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w:t>
            </w:r>
          </w:p>
          <w:p w14:paraId="2FACA9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C50A9" w14:textId="62AE1A0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выпол-</w:t>
            </w:r>
          </w:p>
          <w:p w14:paraId="23AF15A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нения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F3CC2" w14:textId="4FD8BD2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роста</w:t>
            </w:r>
          </w:p>
          <w:p w14:paraId="252A86B7" w14:textId="7CFF6BD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2636478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DCC3DD9" w14:textId="3E36EE7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целом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DB70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3517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A59B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FABF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w:t>
            </w:r>
          </w:p>
        </w:tc>
      </w:tr>
    </w:tbl>
    <w:p w14:paraId="0B62E37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Снижение себестоимости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5"/>
        <w:gridCol w:w="2701"/>
        <w:gridCol w:w="3706"/>
      </w:tblGrid>
      <w:tr w:rsidR="00DA227A" w:rsidRPr="00E93F40" w14:paraId="0F8C45C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BBDAC90" w14:textId="7EC355A7"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20A1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Назначено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934D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снижено за год</w:t>
            </w:r>
          </w:p>
        </w:tc>
      </w:tr>
      <w:tr w:rsidR="00DA227A" w:rsidRPr="00E93F40" w14:paraId="11839AC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35E26A2" w14:textId="43B9768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CDCE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48CA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w:t>
            </w:r>
          </w:p>
        </w:tc>
      </w:tr>
      <w:tr w:rsidR="00DA227A" w:rsidRPr="00E93F40" w14:paraId="37354E6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0D4ED0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501C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0FA0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w:t>
            </w:r>
          </w:p>
        </w:tc>
      </w:tr>
      <w:tr w:rsidR="00DA227A" w:rsidRPr="00E93F40" w14:paraId="056D4A4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30E584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E934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42C8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r>
      <w:tr w:rsidR="00DA227A" w:rsidRPr="00E93F40" w14:paraId="02AE71D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CC75CB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C809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D1B5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w:t>
            </w:r>
          </w:p>
        </w:tc>
      </w:tr>
      <w:tr w:rsidR="00DA227A" w:rsidRPr="00E93F40" w14:paraId="03DD241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952C09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244A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FD00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w:t>
            </w:r>
          </w:p>
        </w:tc>
      </w:tr>
      <w:tr w:rsidR="00DA227A" w:rsidRPr="00E93F40" w14:paraId="2C907C0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5BD737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4A86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C518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r>
      <w:tr w:rsidR="00DA227A" w:rsidRPr="00E93F40" w14:paraId="7ECEA76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DF356D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81DD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DE53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21,7</w:t>
            </w:r>
          </w:p>
        </w:tc>
      </w:tr>
      <w:tr w:rsidR="00DA227A" w:rsidRPr="00E93F40" w14:paraId="7BC71F5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8F9C88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ECB4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8E2F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w:t>
            </w:r>
          </w:p>
        </w:tc>
      </w:tr>
    </w:tbl>
    <w:p w14:paraId="2109AE69" w14:textId="212E1C5E"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В результате снижения себестоимости достигнута экономия 42</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По плану же должна быть экономия 94</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если даже считать не плановые, а фактические размеры продукции.</w:t>
      </w:r>
    </w:p>
    <w:p w14:paraId="0B74C458" w14:textId="77777777" w:rsidR="003A28EC" w:rsidRPr="00E93F40" w:rsidRDefault="003A28EC" w:rsidP="00E93F40">
      <w:pPr>
        <w:pStyle w:val="rtejustify"/>
        <w:spacing w:before="0" w:after="0"/>
        <w:rPr>
          <w:color w:val="000000" w:themeColor="text1"/>
          <w:sz w:val="16"/>
          <w:szCs w:val="16"/>
        </w:rPr>
      </w:pPr>
      <w:r w:rsidRPr="00E93F40">
        <w:rPr>
          <w:color w:val="000000" w:themeColor="text1"/>
          <w:sz w:val="16"/>
          <w:szCs w:val="16"/>
        </w:rPr>
        <w:t>Труд</w:t>
      </w:r>
    </w:p>
    <w:p w14:paraId="199D216A" w14:textId="77777777" w:rsidR="003A28EC" w:rsidRPr="00E93F40" w:rsidRDefault="003A28EC" w:rsidP="00E93F40">
      <w:pPr>
        <w:pStyle w:val="rtejustify"/>
        <w:spacing w:before="0" w:after="0"/>
        <w:rPr>
          <w:color w:val="000000" w:themeColor="text1"/>
          <w:sz w:val="16"/>
          <w:szCs w:val="16"/>
        </w:rPr>
      </w:pPr>
      <w:r w:rsidRPr="00E93F40">
        <w:rPr>
          <w:color w:val="000000" w:themeColor="text1"/>
          <w:sz w:val="16"/>
          <w:szCs w:val="16"/>
        </w:rPr>
        <w:t>Количество рабочих без мл[адшего] обсл[уживающего] персонала и учеников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3"/>
        <w:gridCol w:w="2926"/>
        <w:gridCol w:w="1160"/>
        <w:gridCol w:w="2133"/>
        <w:gridCol w:w="2280"/>
      </w:tblGrid>
      <w:tr w:rsidR="00DA227A" w:rsidRPr="00E93F40" w14:paraId="59C6D89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C1790E3" w14:textId="6E0DD953"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E22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Среднее годовое количество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B6BC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Фактические</w:t>
            </w:r>
          </w:p>
          <w:p w14:paraId="06D334E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w:t>
            </w:r>
            <w:r w:rsidRPr="00E93F40">
              <w:rPr>
                <w:rFonts w:ascii="Times New Roman" w:hAnsi="Times New Roman"/>
                <w:color w:val="000000" w:themeColor="text1"/>
                <w:sz w:val="16"/>
                <w:szCs w:val="16"/>
              </w:rPr>
              <w:softHyphen/>
              <w:t>годовые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2040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выполнения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210AF" w14:textId="3EA5C40A"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роста против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6B6B475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C713DCE" w14:textId="5FD8FBF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CCCD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47 105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B5F7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43 033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A791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4B39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39,8</w:t>
            </w:r>
          </w:p>
        </w:tc>
      </w:tr>
      <w:tr w:rsidR="00DA227A" w:rsidRPr="00E93F40" w14:paraId="3BE86A1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D9D462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9F73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D4AF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21E6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631F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37,3</w:t>
            </w:r>
          </w:p>
        </w:tc>
      </w:tr>
      <w:tr w:rsidR="00DA227A" w:rsidRPr="00E93F40" w14:paraId="61781E3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E3AAA3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163E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45 407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2D09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48 634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9F14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8F26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51,6</w:t>
            </w:r>
          </w:p>
        </w:tc>
      </w:tr>
      <w:tr w:rsidR="00DA227A" w:rsidRPr="00E93F40" w14:paraId="79B8BE4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82B80F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04A6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3C2E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37 086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94EE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4706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141,7</w:t>
            </w:r>
          </w:p>
        </w:tc>
      </w:tr>
      <w:tr w:rsidR="00DA227A" w:rsidRPr="00E93F40" w14:paraId="31919CB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F69078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1CBF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B608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22C8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2ED9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37,8</w:t>
            </w:r>
          </w:p>
        </w:tc>
      </w:tr>
      <w:tr w:rsidR="00DA227A" w:rsidRPr="00E93F40" w14:paraId="58A56A1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A34D5E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E706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A304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BC58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49CF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40,2</w:t>
            </w:r>
          </w:p>
        </w:tc>
      </w:tr>
      <w:tr w:rsidR="00DA227A" w:rsidRPr="00E93F40" w14:paraId="2EB8C69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CE307E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43C0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FE16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85A0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3B94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57,5</w:t>
            </w:r>
          </w:p>
        </w:tc>
      </w:tr>
      <w:tr w:rsidR="00DA227A" w:rsidRPr="00E93F40" w14:paraId="3DD2113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1A7863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4D36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239 486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E238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237 248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6D27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5198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51,6</w:t>
            </w:r>
          </w:p>
        </w:tc>
      </w:tr>
    </w:tbl>
    <w:p w14:paraId="3EEA258B" w14:textId="7EBED0F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Заработная плата (по данным за 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46"/>
        <w:gridCol w:w="3130"/>
        <w:gridCol w:w="2408"/>
        <w:gridCol w:w="3038"/>
      </w:tblGrid>
      <w:tr w:rsidR="00DA227A" w:rsidRPr="00E93F40" w14:paraId="30EADC2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7AF2DCC" w14:textId="1CDBD13C"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CBEF4" w14:textId="0E6FCF1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Средняя дневная зарплата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67A4D" w14:textId="1EFB1E9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Рост в процентах против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E7F6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Назначенный рост по плану в процентах</w:t>
            </w:r>
          </w:p>
        </w:tc>
      </w:tr>
      <w:tr w:rsidR="00DA227A" w:rsidRPr="00E93F40" w14:paraId="6125B95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D0B9091" w14:textId="47F27A0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5D57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AA79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D489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p>
        </w:tc>
      </w:tr>
      <w:tr w:rsidR="00DA227A" w:rsidRPr="00E93F40" w14:paraId="36F3DB0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F452B0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1A51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7E1B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BDC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13,9</w:t>
            </w:r>
          </w:p>
        </w:tc>
      </w:tr>
      <w:tr w:rsidR="00DA227A" w:rsidRPr="00E93F40" w14:paraId="2E11FBA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4267AD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3D8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242D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AF55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w:t>
            </w:r>
          </w:p>
        </w:tc>
      </w:tr>
      <w:tr w:rsidR="00DA227A" w:rsidRPr="00E93F40" w14:paraId="6E6D9C8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2EFACE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8EA1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95B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4E54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w:t>
            </w:r>
          </w:p>
        </w:tc>
      </w:tr>
      <w:tr w:rsidR="00DA227A" w:rsidRPr="00E93F40" w14:paraId="1A2F1F0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E1AD3E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08EF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C87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A6D4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tc>
      </w:tr>
      <w:tr w:rsidR="00DA227A" w:rsidRPr="00E93F40" w14:paraId="670FDDB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CC6081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21FB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BD5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809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0,51</w:t>
            </w:r>
          </w:p>
        </w:tc>
      </w:tr>
      <w:tr w:rsidR="00DA227A" w:rsidRPr="00E93F40" w14:paraId="5006D69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6BA9C2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5BE7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7BDF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2FB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74FA07B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163983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3E87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558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2D60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r>
    </w:tbl>
    <w:p w14:paraId="3707A9C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распространения сдельной работы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40"/>
        <w:gridCol w:w="1843"/>
        <w:gridCol w:w="1663"/>
        <w:gridCol w:w="2112"/>
        <w:gridCol w:w="1864"/>
      </w:tblGrid>
      <w:tr w:rsidR="00DA227A" w:rsidRPr="00E93F40" w14:paraId="53A27BFE"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0972D7" w14:textId="1F9BFAF3"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1876E6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сдельной работы по отношению к числу проработанных часов</w:t>
            </w:r>
          </w:p>
        </w:tc>
      </w:tr>
      <w:tr w:rsidR="00DA227A" w:rsidRPr="00E93F40" w14:paraId="5EC496F5"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1B7BA9AD"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902A0" w14:textId="463E867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Январь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6977B" w14:textId="273AC29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Июнь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1E20" w14:textId="292C8F3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Сентябрь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6A6A9" w14:textId="61947116"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Ноябрь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13B3CD2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6E00EB2" w14:textId="59C6E3F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866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0D8B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5A56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A64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63,86</w:t>
            </w:r>
          </w:p>
        </w:tc>
      </w:tr>
      <w:tr w:rsidR="00DA227A" w:rsidRPr="00E93F40" w14:paraId="2B5D683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3D27B0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6B34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88ED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BFB0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96B1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r>
      <w:tr w:rsidR="00DA227A" w:rsidRPr="00E93F40" w14:paraId="332ECE3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9747F5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19A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F3F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9AA6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9FB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60,2</w:t>
            </w:r>
          </w:p>
        </w:tc>
      </w:tr>
      <w:tr w:rsidR="00DA227A" w:rsidRPr="00E93F40" w14:paraId="4383275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5AA8C9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070E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8CF1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CCE5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5A40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60,35</w:t>
            </w:r>
          </w:p>
        </w:tc>
      </w:tr>
      <w:tr w:rsidR="00DA227A" w:rsidRPr="00E93F40" w14:paraId="6365433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98828D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4895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5AD6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9A68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7452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r>
      <w:tr w:rsidR="00DA227A" w:rsidRPr="00E93F40" w14:paraId="3F77829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ED0382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5ECC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88CB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C2CB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B49B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58,8</w:t>
            </w:r>
          </w:p>
        </w:tc>
      </w:tr>
      <w:tr w:rsidR="00DA227A" w:rsidRPr="00E93F40" w14:paraId="559DAD4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6D8B80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9166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E0F5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E675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FA1C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20,7</w:t>
            </w:r>
          </w:p>
        </w:tc>
      </w:tr>
      <w:tr w:rsidR="00DA227A" w:rsidRPr="00E93F40" w14:paraId="397EA4B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D0D44C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540C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864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735C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6EC2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58,4</w:t>
            </w:r>
          </w:p>
        </w:tc>
      </w:tr>
    </w:tbl>
    <w:p w14:paraId="4A8175F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Оборот рабочих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98"/>
        <w:gridCol w:w="543"/>
        <w:gridCol w:w="3229"/>
        <w:gridCol w:w="1762"/>
        <w:gridCol w:w="1490"/>
      </w:tblGrid>
      <w:tr w:rsidR="00DA227A" w:rsidRPr="00E93F40" w14:paraId="72F4EB6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3985AA0" w14:textId="786A26A0"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A5A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50FB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Среднее 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80E8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Прибыло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3573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Убыло за год</w:t>
            </w:r>
          </w:p>
        </w:tc>
      </w:tr>
      <w:tr w:rsidR="00DA227A" w:rsidRPr="00E93F40" w14:paraId="6E287AFB"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F8EC1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 объединение³*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64EC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8FE02" w14:textId="34C2B60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58B23" w14:textId="73E1B3E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793A9" w14:textId="50BFA17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817</w:t>
            </w:r>
          </w:p>
        </w:tc>
      </w:tr>
      <w:tr w:rsidR="00DA227A" w:rsidRPr="00E93F40" w14:paraId="39B6256C"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2202DF0E"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33D6E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84C4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41 851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45E3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F7D4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24 373</w:t>
            </w:r>
          </w:p>
        </w:tc>
      </w:tr>
      <w:tr w:rsidR="00DA227A" w:rsidRPr="00E93F40" w14:paraId="6A112F80"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C67A2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8DC7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DD6B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36 878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1C62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45 277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C749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25 291</w:t>
            </w:r>
          </w:p>
        </w:tc>
      </w:tr>
      <w:tr w:rsidR="00DA227A" w:rsidRPr="00E93F40" w14:paraId="26AC426A"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30582442"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3BAE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5782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0046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38 604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6BEA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31 009</w:t>
            </w:r>
          </w:p>
        </w:tc>
      </w:tr>
      <w:tr w:rsidR="00DA227A" w:rsidRPr="00E93F40" w14:paraId="5E2CE3D6"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97CB61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3A66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3301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32 076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862B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38 287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084A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19 699</w:t>
            </w:r>
          </w:p>
        </w:tc>
      </w:tr>
      <w:tr w:rsidR="00DA227A" w:rsidRPr="00E93F40" w14:paraId="21245C24"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7B2D705D"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CA80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10E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48 634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2F58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47 479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5D0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32 968</w:t>
            </w:r>
          </w:p>
        </w:tc>
      </w:tr>
      <w:tr w:rsidR="00DA227A" w:rsidRPr="00E93F40" w14:paraId="45C3DD4A"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EF83F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60E4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F273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140C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DEDA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13 259</w:t>
            </w:r>
          </w:p>
        </w:tc>
      </w:tr>
      <w:tr w:rsidR="00DA227A" w:rsidRPr="00E93F40" w14:paraId="358DBB5D"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060D38C0"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6E18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8138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37 086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2D19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43 684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EEE0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22 174</w:t>
            </w:r>
          </w:p>
        </w:tc>
      </w:tr>
      <w:tr w:rsidR="00DA227A" w:rsidRPr="00E93F40" w14:paraId="044F27C8"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59A35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C488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7298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1DD2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43 462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D7C8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30 974</w:t>
            </w:r>
          </w:p>
        </w:tc>
      </w:tr>
      <w:tr w:rsidR="00DA227A" w:rsidRPr="00E93F40" w14:paraId="1A22CFD7"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6BB5C3F3"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2B262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2ACB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88B1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42 526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D14C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34 972</w:t>
            </w:r>
          </w:p>
        </w:tc>
      </w:tr>
      <w:tr w:rsidR="00DA227A" w:rsidRPr="00E93F40" w14:paraId="3E1298FF"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8C31C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DEAB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174E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D706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E97C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16 239</w:t>
            </w:r>
          </w:p>
        </w:tc>
      </w:tr>
      <w:tr w:rsidR="00DA227A" w:rsidRPr="00E93F40" w14:paraId="7988B8FE"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6A843C56"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B96F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A846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5353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33 895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7266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25 592</w:t>
            </w:r>
          </w:p>
        </w:tc>
      </w:tr>
      <w:tr w:rsidR="00DA227A" w:rsidRPr="00E93F40" w14:paraId="466DAB62"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2DF35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D2F3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20C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9836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2CC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416</w:t>
            </w:r>
          </w:p>
        </w:tc>
      </w:tr>
      <w:tr w:rsidR="00DA227A" w:rsidRPr="00E93F40" w14:paraId="4E767A31"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7854B28E"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52D74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11E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0F90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F46A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575</w:t>
            </w:r>
          </w:p>
        </w:tc>
      </w:tr>
      <w:tr w:rsidR="00DA227A" w:rsidRPr="00E93F40" w14:paraId="22F5ECFE"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3A778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7513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2FA5B" w14:textId="793E0AE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095⁴*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B2CF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226 018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879D0" w14:textId="7FADB0AA"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695</w:t>
            </w:r>
          </w:p>
        </w:tc>
      </w:tr>
      <w:tr w:rsidR="00DA227A" w:rsidRPr="00E93F40" w14:paraId="0D4CD0A9"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4F918A3D"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71285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4835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236 153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E96BD" w14:textId="7A8A5C0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204⁵*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9A21C" w14:textId="5EDFE74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663</w:t>
            </w:r>
          </w:p>
        </w:tc>
      </w:tr>
    </w:tbl>
    <w:p w14:paraId="56ED979E" w14:textId="77777777" w:rsidR="008561EF" w:rsidRPr="00E93F40" w:rsidRDefault="008561EF" w:rsidP="00E93F40">
      <w:pPr>
        <w:pStyle w:val="rtejustify"/>
        <w:spacing w:before="0" w:after="0"/>
        <w:rPr>
          <w:color w:val="000000" w:themeColor="text1"/>
          <w:sz w:val="16"/>
          <w:szCs w:val="16"/>
        </w:rPr>
      </w:pPr>
      <w:r w:rsidRPr="00E93F40">
        <w:rPr>
          <w:color w:val="000000" w:themeColor="text1"/>
          <w:sz w:val="16"/>
          <w:szCs w:val="16"/>
        </w:rPr>
        <w:t>Организованный набор рабочей силы</w:t>
      </w:r>
    </w:p>
    <w:p w14:paraId="73DE7963" w14:textId="703717C5"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Сведения об организованном наборе очень скудны, ряд заводов не включен, а по ВАО, Патрубвзрыву и I</w:t>
      </w:r>
      <w:r w:rsidR="007C1411" w:rsidRPr="00E93F40">
        <w:rPr>
          <w:color w:val="000000" w:themeColor="text1"/>
          <w:sz w:val="16"/>
          <w:szCs w:val="16"/>
        </w:rPr>
        <w:t xml:space="preserve"> </w:t>
      </w:r>
      <w:r w:rsidRPr="00E93F40">
        <w:rPr>
          <w:color w:val="000000" w:themeColor="text1"/>
          <w:sz w:val="16"/>
          <w:szCs w:val="16"/>
        </w:rPr>
        <w:t>Химтресту сведений совсем не представлено.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19"/>
        <w:gridCol w:w="2378"/>
        <w:gridCol w:w="2903"/>
        <w:gridCol w:w="3122"/>
      </w:tblGrid>
      <w:tr w:rsidR="00DA227A" w:rsidRPr="00E93F40" w14:paraId="1B92C5C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8E3C7DF" w14:textId="35554841"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881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Подлежало прибыть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B7D5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Фактическое прибытие колхозников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36C6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Фактическое прибытие единоличников</w:t>
            </w:r>
          </w:p>
        </w:tc>
      </w:tr>
      <w:tr w:rsidR="00DA227A" w:rsidRPr="00E93F40" w14:paraId="52A8D18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8B9F74C" w14:textId="5922CA9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10B8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5247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5004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2035</w:t>
            </w:r>
          </w:p>
        </w:tc>
      </w:tr>
      <w:tr w:rsidR="00DA227A" w:rsidRPr="00E93F40" w14:paraId="651BF33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17BF0A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109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322D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D4B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9D4FF5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C4D9A0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C039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1D4D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0713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4212</w:t>
            </w:r>
          </w:p>
        </w:tc>
      </w:tr>
      <w:tr w:rsidR="00DA227A" w:rsidRPr="00E93F40" w14:paraId="175A5E9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B5364D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0A8E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92F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C0C2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w:t>
            </w:r>
          </w:p>
        </w:tc>
      </w:tr>
      <w:tr w:rsidR="00DA227A" w:rsidRPr="00E93F40" w14:paraId="54E91CD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0EC032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1B466" w14:textId="2A88A9D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2A6F6" w14:textId="100D66B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C252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6320</w:t>
            </w:r>
          </w:p>
        </w:tc>
      </w:tr>
    </w:tbl>
    <w:p w14:paraId="0E03F9EA" w14:textId="64075B73"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По РУЖу включены сезонные рабочие по лесоразработкам</w:t>
      </w:r>
      <w:r w:rsidR="007C1411" w:rsidRPr="00E93F40">
        <w:rPr>
          <w:color w:val="000000" w:themeColor="text1"/>
          <w:sz w:val="16"/>
          <w:szCs w:val="16"/>
        </w:rPr>
        <w:t xml:space="preserve"> </w:t>
      </w:r>
      <w:r w:rsidRPr="00E93F40">
        <w:rPr>
          <w:color w:val="000000" w:themeColor="text1"/>
          <w:sz w:val="16"/>
          <w:szCs w:val="16"/>
        </w:rPr>
        <w:t>— 7497</w:t>
      </w:r>
      <w:r w:rsidR="007C1411" w:rsidRPr="00E93F40">
        <w:rPr>
          <w:color w:val="000000" w:themeColor="text1"/>
          <w:sz w:val="16"/>
          <w:szCs w:val="16"/>
        </w:rPr>
        <w:t xml:space="preserve"> </w:t>
      </w:r>
      <w:r w:rsidRPr="00E93F40">
        <w:rPr>
          <w:color w:val="000000" w:themeColor="text1"/>
          <w:sz w:val="16"/>
          <w:szCs w:val="16"/>
        </w:rPr>
        <w:t>чел.</w:t>
      </w:r>
    </w:p>
    <w:p w14:paraId="4997340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Производительность труда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23"/>
        <w:gridCol w:w="4842"/>
        <w:gridCol w:w="2257"/>
      </w:tblGrid>
      <w:tr w:rsidR="00DA227A" w:rsidRPr="00E93F40" w14:paraId="368DB6F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8B34529" w14:textId="49481185"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10938" w14:textId="3F13251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Средняя дневная выработка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B5C39" w14:textId="49ED062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Рост против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5C45042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5B228A1" w14:textId="3E380B7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D9A1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CD93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+17,1</w:t>
            </w:r>
          </w:p>
        </w:tc>
      </w:tr>
      <w:tr w:rsidR="00DA227A" w:rsidRPr="00E93F40" w14:paraId="661EF36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EBDB78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6314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C261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+40,4</w:t>
            </w:r>
          </w:p>
        </w:tc>
      </w:tr>
      <w:tr w:rsidR="00DA227A" w:rsidRPr="00E93F40" w14:paraId="3A18B23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C6CEAE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D292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10A6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r>
      <w:tr w:rsidR="00DA227A" w:rsidRPr="00E93F40" w14:paraId="1A73B5C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07A971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236E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0F99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r>
      <w:tr w:rsidR="00DA227A" w:rsidRPr="00E93F40" w14:paraId="5A014CC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411554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26C2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BCD5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w:t>
            </w:r>
          </w:p>
        </w:tc>
      </w:tr>
      <w:tr w:rsidR="00DA227A" w:rsidRPr="00E93F40" w14:paraId="3592D1A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EEB8E1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7D9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59F7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w:t>
            </w:r>
          </w:p>
        </w:tc>
      </w:tr>
      <w:tr w:rsidR="00DA227A" w:rsidRPr="00E93F40" w14:paraId="24C5C5A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C81A319" w14:textId="53A19B8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ADA8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F900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w:t>
            </w:r>
          </w:p>
        </w:tc>
      </w:tr>
      <w:tr w:rsidR="00DA227A" w:rsidRPr="00E93F40" w14:paraId="2CBFAC3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23C280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778C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0DF3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w:t>
            </w:r>
          </w:p>
        </w:tc>
      </w:tr>
    </w:tbl>
    <w:p w14:paraId="503EFAD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Переход на хозрасчет. Соцсоревнование и ударничество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8"/>
        <w:gridCol w:w="1241"/>
        <w:gridCol w:w="2665"/>
        <w:gridCol w:w="1132"/>
        <w:gridCol w:w="2006"/>
        <w:gridCol w:w="2250"/>
      </w:tblGrid>
      <w:tr w:rsidR="00DA227A" w:rsidRPr="00E93F40" w14:paraId="12982C36"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2A1F24" w14:textId="0028C800"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9F9666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Списочное число рабочих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DAF58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них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093F8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цехов, переведенных на хозрасчет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D662C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рабочих занятых в хозрасчетных бригадах</w:t>
            </w:r>
          </w:p>
        </w:tc>
      </w:tr>
      <w:tr w:rsidR="00DA227A" w:rsidRPr="00E93F40" w14:paraId="74838C2B"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72E4C4C4"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5D9966"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D2C42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Участв[ующих] во всех видах соцсоревнований и ударничества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D08A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ударников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01D6BE"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981C53"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r>
      <w:tr w:rsidR="00DA227A" w:rsidRPr="00E93F40" w14:paraId="08AF8BA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5A53CA9" w14:textId="41A84F46"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5271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49 490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9756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98DF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71FC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A1AB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19 404</w:t>
            </w:r>
          </w:p>
        </w:tc>
      </w:tr>
      <w:tr w:rsidR="00DA227A" w:rsidRPr="00E93F40" w14:paraId="4FD1C41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18DC09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3284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47 456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D963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9AFE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EE40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F8F1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15 207</w:t>
            </w:r>
          </w:p>
        </w:tc>
      </w:tr>
      <w:tr w:rsidR="00DA227A" w:rsidRPr="00E93F40" w14:paraId="3A3B181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D5D8D6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6DF2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55 969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C4F4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38 205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A751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36 827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BD25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0662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27 687</w:t>
            </w:r>
          </w:p>
        </w:tc>
      </w:tr>
      <w:tr w:rsidR="00DA227A" w:rsidRPr="00E93F40" w14:paraId="4FDECAE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818203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8D378" w14:textId="2AE0802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5753E" w14:textId="0452079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F8C6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A7D8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E4E4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9794</w:t>
            </w:r>
          </w:p>
        </w:tc>
      </w:tr>
      <w:tr w:rsidR="00DA227A" w:rsidRPr="00E93F40" w14:paraId="34885DC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11A94C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9504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8CAE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C81A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651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50E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11 101</w:t>
            </w:r>
          </w:p>
        </w:tc>
      </w:tr>
      <w:tr w:rsidR="00DA227A" w:rsidRPr="00E93F40" w14:paraId="0727359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E817DC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8C3B5E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Сведений нет</w:t>
            </w:r>
          </w:p>
        </w:tc>
      </w:tr>
      <w:tr w:rsidR="00DA227A" w:rsidRPr="00E93F40" w14:paraId="7244860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63EC7E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6D22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95D6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1824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F9E4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8FF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CB0392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9D67D4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1ED2E" w14:textId="51559CB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4E15E" w14:textId="5E24B15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69CF4" w14:textId="3C87BE1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0134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FA3EA" w14:textId="61FB8AF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193⁶*</w:t>
            </w:r>
          </w:p>
        </w:tc>
      </w:tr>
    </w:tbl>
    <w:p w14:paraId="2F8D4B6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сводку не включены некоторые заводы, процент включенных заводов по отношению к числу рабочих составляет 83%.</w:t>
      </w:r>
    </w:p>
    <w:p w14:paraId="5A93B8F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Жилищное обслуживание рабочих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29"/>
        <w:gridCol w:w="1393"/>
      </w:tblGrid>
      <w:tr w:rsidR="00DA227A" w:rsidRPr="00E93F40" w14:paraId="61419D8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02CAFAD" w14:textId="4CB0323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жилплощадь, принадлежащая заводам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C8405" w14:textId="0EBB611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м²</w:t>
            </w:r>
          </w:p>
        </w:tc>
      </w:tr>
      <w:tr w:rsidR="00DA227A" w:rsidRPr="00E93F40" w14:paraId="3E1114C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D459C5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Введено за год в эксплуатацию жилплощади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C5E78" w14:textId="74BD441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693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м²</w:t>
            </w:r>
          </w:p>
        </w:tc>
      </w:tr>
      <w:tr w:rsidR="00DA227A" w:rsidRPr="00E93F40" w14:paraId="1C2FC14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056374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Жилая площадь, предоставленная рабочим и их семьям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3B911" w14:textId="78EF666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м²</w:t>
            </w:r>
          </w:p>
        </w:tc>
      </w:tr>
      <w:tr w:rsidR="00DA227A" w:rsidRPr="00E93F40" w14:paraId="7A634E3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F17983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всех работающих на предприятиях, которым предоставлена площадь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654E2" w14:textId="4EAC826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079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w:t>
            </w:r>
          </w:p>
        </w:tc>
      </w:tr>
      <w:tr w:rsidR="00DA227A" w:rsidRPr="00E93F40" w14:paraId="079A6A8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EBCBEB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всех работающих и членов их семей, которым предоставлена жилплощадь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E575D" w14:textId="4796FD36"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w:t>
            </w:r>
          </w:p>
        </w:tc>
      </w:tr>
    </w:tbl>
    <w:p w14:paraId="49F6359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Капитальные работы.</w:t>
      </w:r>
    </w:p>
    <w:p w14:paraId="05725BD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плана строительства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34"/>
        <w:gridCol w:w="1493"/>
        <w:gridCol w:w="2776"/>
        <w:gridCol w:w="2519"/>
      </w:tblGrid>
      <w:tr w:rsidR="00DA227A" w:rsidRPr="00E93F40" w14:paraId="387E2B7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F3AF2BF" w14:textId="007EF90A"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F4B79" w14:textId="1CBE09B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F42B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0281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выполнения</w:t>
            </w:r>
          </w:p>
        </w:tc>
      </w:tr>
      <w:tr w:rsidR="00DA227A" w:rsidRPr="00E93F40" w14:paraId="57028DF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B55F714" w14:textId="25D6C27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4905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102 790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2E7F2" w14:textId="74325F8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9168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69,2</w:t>
            </w:r>
          </w:p>
        </w:tc>
      </w:tr>
      <w:tr w:rsidR="00DA227A" w:rsidRPr="00E93F40" w14:paraId="5013AF7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80E054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DD4A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4E72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4E28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70,9</w:t>
            </w:r>
          </w:p>
        </w:tc>
      </w:tr>
      <w:tr w:rsidR="00DA227A" w:rsidRPr="00E93F40" w14:paraId="22A0CFB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E3F07D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D02B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45 395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D51F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41 665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E286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91,8</w:t>
            </w:r>
          </w:p>
        </w:tc>
      </w:tr>
      <w:tr w:rsidR="00DA227A" w:rsidRPr="00E93F40" w14:paraId="1262AA3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E4C455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DE3F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04DA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19 474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F08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62,6</w:t>
            </w:r>
          </w:p>
        </w:tc>
      </w:tr>
      <w:tr w:rsidR="00DA227A" w:rsidRPr="00E93F40" w14:paraId="6C47677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E29143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85A3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9D5A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102 844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67A8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67,8</w:t>
            </w:r>
          </w:p>
        </w:tc>
      </w:tr>
      <w:tr w:rsidR="00DA227A" w:rsidRPr="00E93F40" w14:paraId="246AE3E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A59BCBE" w14:textId="5C735B2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Химтрест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A7D9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10F6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7C9F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79,4</w:t>
            </w:r>
          </w:p>
        </w:tc>
      </w:tr>
      <w:tr w:rsidR="00DA227A" w:rsidRPr="00E93F40" w14:paraId="1B19972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3B5644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5492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164 576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3D74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104 534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57EA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63,5</w:t>
            </w:r>
          </w:p>
        </w:tc>
      </w:tr>
      <w:tr w:rsidR="00DA227A" w:rsidRPr="00E93F40" w14:paraId="1EE10AD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FC97B8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3DBC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552 680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2576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380 733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0C20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68,9</w:t>
            </w:r>
          </w:p>
        </w:tc>
      </w:tr>
    </w:tbl>
    <w:p w14:paraId="3A69DB0F" w14:textId="028583A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капитальных работ по кварталам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0A05991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квартал .............. 50</w:t>
      </w:r>
    </w:p>
    <w:p w14:paraId="13CE6AD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квартал ............. 67,4</w:t>
      </w:r>
    </w:p>
    <w:p w14:paraId="70E4592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квартал ............111,5</w:t>
      </w:r>
    </w:p>
    <w:p w14:paraId="033DBBE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квартал .............151,8</w:t>
      </w:r>
    </w:p>
    <w:p w14:paraId="725DB14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_____________________________</w:t>
      </w:r>
    </w:p>
    <w:p w14:paraId="0F66EB6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..................380,7</w:t>
      </w:r>
    </w:p>
    <w:p w14:paraId="7A60B91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Ввод в эксплуатацию сверхлимитных строительств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55"/>
        <w:gridCol w:w="2166"/>
        <w:gridCol w:w="1807"/>
        <w:gridCol w:w="2604"/>
        <w:gridCol w:w="1190"/>
      </w:tblGrid>
      <w:tr w:rsidR="00DA227A" w:rsidRPr="00E93F40" w14:paraId="65D89374"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A95A74" w14:textId="03069C4C"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000FD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Назначаемая по плану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6CCD7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введено в эксплуатацию</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138C6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p>
          <w:p w14:paraId="39FDFF0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выполнения</w:t>
            </w:r>
          </w:p>
          <w:p w14:paraId="602E289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плана</w:t>
            </w:r>
          </w:p>
        </w:tc>
      </w:tr>
      <w:tr w:rsidR="00DA227A" w:rsidRPr="00E93F40" w14:paraId="3F30160A"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409DBE7B"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EA13964"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3A0D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сметным ценам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D7CE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фактической стоимости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30E1B0A"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r>
      <w:tr w:rsidR="00DA227A" w:rsidRPr="00E93F40" w14:paraId="2555A61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2CA5B72" w14:textId="2B7FF5B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2E7C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27C1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F13B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40 536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3FE0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39,7</w:t>
            </w:r>
          </w:p>
        </w:tc>
      </w:tr>
      <w:tr w:rsidR="00DA227A" w:rsidRPr="00E93F40" w14:paraId="77C0F8A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1D0AB3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67E4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53 227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672C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F37F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273C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48,9</w:t>
            </w:r>
          </w:p>
        </w:tc>
      </w:tr>
      <w:tr w:rsidR="00DA227A" w:rsidRPr="00E93F40" w14:paraId="664859A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1100A9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225B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E549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0270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53ED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w:t>
            </w:r>
          </w:p>
        </w:tc>
      </w:tr>
      <w:tr w:rsidR="00DA227A" w:rsidRPr="00E93F40" w14:paraId="4CD4E7B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0A53C0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DC8B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AEAD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FA91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6F51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67,3</w:t>
            </w:r>
          </w:p>
        </w:tc>
      </w:tr>
      <w:tr w:rsidR="00DA227A" w:rsidRPr="00E93F40" w14:paraId="4F26C04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ECB37F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E032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97 010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C9B0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38 217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4590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42 504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904B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39,4</w:t>
            </w:r>
          </w:p>
        </w:tc>
      </w:tr>
      <w:tr w:rsidR="00DA227A" w:rsidRPr="00E93F40" w14:paraId="3C497BC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CAB3338" w14:textId="490A31B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Химтрест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8B37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B0C4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273B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E9D6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88,5</w:t>
            </w:r>
          </w:p>
        </w:tc>
      </w:tr>
      <w:tr w:rsidR="00DA227A" w:rsidRPr="00E93F40" w14:paraId="5103864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A1DF80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0042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54 545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AF73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20 321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B170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E5E4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37,3</w:t>
            </w:r>
          </w:p>
        </w:tc>
      </w:tr>
      <w:tr w:rsidR="00DA227A" w:rsidRPr="00E93F40" w14:paraId="2D85668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F42823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A7BE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32 109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12E4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134 890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94B5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154 880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AF6A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r>
    </w:tbl>
    <w:p w14:paraId="71BACD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Обеспеченность строительства рабочей силой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7"/>
        <w:gridCol w:w="3681"/>
        <w:gridCol w:w="2605"/>
        <w:gridCol w:w="2569"/>
      </w:tblGrid>
      <w:tr w:rsidR="00DA227A" w:rsidRPr="00E93F40" w14:paraId="32BEE5B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6777C8F" w14:textId="5248CF5E"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507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Среднее число имевшихся за год строительных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6C3B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обеспеченности потребностей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04549" w14:textId="59D6D2E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Состояло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списку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7CD26A0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07ED83F" w14:textId="43E4462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AC90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EA06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B81E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19 963</w:t>
            </w:r>
          </w:p>
        </w:tc>
      </w:tr>
      <w:tr w:rsidR="00DA227A" w:rsidRPr="00E93F40" w14:paraId="74E7630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F399D5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567D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CC7F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39E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11 309</w:t>
            </w:r>
          </w:p>
        </w:tc>
      </w:tr>
      <w:tr w:rsidR="00DA227A" w:rsidRPr="00E93F40" w14:paraId="09673E0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BCE028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43642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Сведений нет</w:t>
            </w:r>
          </w:p>
        </w:tc>
      </w:tr>
      <w:tr w:rsidR="00DA227A" w:rsidRPr="00E93F40" w14:paraId="33ED435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8C2B1E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F1F2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B75F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920D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2583</w:t>
            </w:r>
          </w:p>
        </w:tc>
      </w:tr>
      <w:tr w:rsidR="00DA227A" w:rsidRPr="00E93F40" w14:paraId="75F9A82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03DA17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8674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E5A0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136A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17 577</w:t>
            </w:r>
          </w:p>
        </w:tc>
      </w:tr>
      <w:tr w:rsidR="00DA227A" w:rsidRPr="00E93F40" w14:paraId="6DF9203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5B424E7" w14:textId="7680BD4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Химтрест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871D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3CFE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B640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w:t>
            </w:r>
          </w:p>
        </w:tc>
      </w:tr>
      <w:tr w:rsidR="00DA227A" w:rsidRPr="00E93F40" w14:paraId="1476139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956606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D620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7789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B34D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27 735</w:t>
            </w:r>
          </w:p>
        </w:tc>
      </w:tr>
      <w:tr w:rsidR="00DA227A" w:rsidRPr="00E93F40" w14:paraId="69D3D1A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0DA3D4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DBA3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69 090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CA4C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9F188" w14:textId="1B45F24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249⁸*</w:t>
            </w:r>
          </w:p>
        </w:tc>
      </w:tr>
    </w:tbl>
    <w:p w14:paraId="7E201A4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Финансовые показатели.</w:t>
      </w:r>
    </w:p>
    <w:p w14:paraId="309C6790" w14:textId="2BA2A98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Дебиторы (долги объединениям) (млн.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2"/>
        <w:gridCol w:w="2199"/>
        <w:gridCol w:w="2078"/>
        <w:gridCol w:w="3093"/>
      </w:tblGrid>
      <w:tr w:rsidR="00DA227A" w:rsidRPr="00E93F40" w14:paraId="38CFD9E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B3DD673" w14:textId="2D1F9274"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90380" w14:textId="3FB5B05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7F396" w14:textId="20CAAAE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87869C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предполаг[аемое]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FD308" w14:textId="13D9C8B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плану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1BCAA83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8E6963C" w14:textId="0AA4C76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E3B2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16D8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41D7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4,37</w:t>
            </w:r>
          </w:p>
        </w:tc>
      </w:tr>
      <w:tr w:rsidR="00DA227A" w:rsidRPr="00E93F40" w14:paraId="7E2E704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8A3D48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CBD5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7C5C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C79E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w:t>
            </w:r>
          </w:p>
        </w:tc>
      </w:tr>
      <w:tr w:rsidR="00DA227A" w:rsidRPr="00E93F40" w14:paraId="657610E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697602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1009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0E98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B311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w:t>
            </w:r>
          </w:p>
        </w:tc>
      </w:tr>
      <w:tr w:rsidR="00DA227A" w:rsidRPr="00E93F40" w14:paraId="78C4090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D740CF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25AC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0CE9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187C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46B4531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39C5DD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Вохимобъединение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8CF6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99B8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F6BB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25,1</w:t>
            </w:r>
          </w:p>
        </w:tc>
      </w:tr>
      <w:tr w:rsidR="00DA227A" w:rsidRPr="00E93F40" w14:paraId="269CF85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EE4DD9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5DF3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045D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56B9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tc>
      </w:tr>
      <w:tr w:rsidR="00DA227A" w:rsidRPr="00E93F40" w14:paraId="518A0B1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EF0DB5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B13A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E14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2127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0,2</w:t>
            </w:r>
          </w:p>
        </w:tc>
      </w:tr>
      <w:tr w:rsidR="00DA227A" w:rsidRPr="00E93F40" w14:paraId="3B93C1B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7D9026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DB2A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AD7C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74,1¹⁰*</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5C35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52,53¹¹*</w:t>
            </w:r>
          </w:p>
        </w:tc>
      </w:tr>
    </w:tbl>
    <w:p w14:paraId="2E7B4C8B" w14:textId="0CF7F17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Кредиторы (долги объединения)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2"/>
        <w:gridCol w:w="2199"/>
        <w:gridCol w:w="2078"/>
        <w:gridCol w:w="3093"/>
      </w:tblGrid>
      <w:tr w:rsidR="00DA227A" w:rsidRPr="00E93F40" w14:paraId="5CD3AC6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B3439C7" w14:textId="654DC26E"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9537F" w14:textId="768E7BD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FE8F" w14:textId="641FF15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6A279" w14:textId="1B3A2DD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5EA26E8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F8B0C2B" w14:textId="2FB2816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EB26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ED8A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A8A9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41,1</w:t>
            </w:r>
          </w:p>
        </w:tc>
      </w:tr>
      <w:tr w:rsidR="00DA227A" w:rsidRPr="00E93F40" w14:paraId="41DEB41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87653E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DCD9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4D95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F2D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20,46</w:t>
            </w:r>
          </w:p>
        </w:tc>
      </w:tr>
      <w:tr w:rsidR="00DA227A" w:rsidRPr="00E93F40" w14:paraId="39E20B5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7B0C6C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9F0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EB39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D8E8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26,8</w:t>
            </w:r>
          </w:p>
        </w:tc>
      </w:tr>
      <w:tr w:rsidR="00DA227A" w:rsidRPr="00E93F40" w14:paraId="2E7B7CD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FD8EB5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8EB9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356F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C7B1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r>
      <w:tr w:rsidR="00DA227A" w:rsidRPr="00E93F40" w14:paraId="6D5C35F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2705F2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Вохимобъединение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027D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59C4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83D1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28,6</w:t>
            </w:r>
          </w:p>
        </w:tc>
      </w:tr>
      <w:tr w:rsidR="00DA227A" w:rsidRPr="00E93F40" w14:paraId="317537A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58EBDF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5F9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DEA2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DE2D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w:t>
            </w:r>
          </w:p>
        </w:tc>
      </w:tr>
      <w:tr w:rsidR="00DA227A" w:rsidRPr="00E93F40" w14:paraId="1E7B008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8E5468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EA33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88BF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E366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0,2</w:t>
            </w:r>
          </w:p>
        </w:tc>
      </w:tr>
      <w:tr w:rsidR="00DA227A" w:rsidRPr="00E93F40" w14:paraId="24BF0DC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FD07B2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1A33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296¹²*</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0692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EB8A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126,8¹³*</w:t>
            </w:r>
          </w:p>
        </w:tc>
      </w:tr>
    </w:tbl>
    <w:p w14:paraId="508051C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Материальные запасы (сырье, материалы, топливо, незавершенное производство и другие тому подобные без готовых изделий)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20"/>
        <w:gridCol w:w="1751"/>
        <w:gridCol w:w="1819"/>
        <w:gridCol w:w="2844"/>
        <w:gridCol w:w="2488"/>
      </w:tblGrid>
      <w:tr w:rsidR="00DA227A" w:rsidRPr="00E93F40" w14:paraId="7248E0B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5CEFC63" w14:textId="0FE85ADA"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556C7" w14:textId="6D58943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Остатки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EF0F3" w14:textId="0824BF6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Остатки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E8041" w14:textId="3B15F5C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Предполагаемые остатки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B1F9F" w14:textId="294CB93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Назначено по плану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73D0858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0E1B108" w14:textId="28CA8BBA"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1771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3937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0BD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F6DB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112,9</w:t>
            </w:r>
          </w:p>
        </w:tc>
      </w:tr>
      <w:tr w:rsidR="00DA227A" w:rsidRPr="00E93F40" w14:paraId="132A3E3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1A0796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DE53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0554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4C29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9D20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63,2</w:t>
            </w:r>
          </w:p>
        </w:tc>
      </w:tr>
      <w:tr w:rsidR="00DA227A" w:rsidRPr="00E93F40" w14:paraId="774A6E9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6A1934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B053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32E2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F341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F061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w:t>
            </w:r>
          </w:p>
        </w:tc>
      </w:tr>
      <w:tr w:rsidR="00DA227A" w:rsidRPr="00E93F40" w14:paraId="2EF75F2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D823BF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3AF7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FA41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6550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9BFF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134,7</w:t>
            </w:r>
          </w:p>
        </w:tc>
      </w:tr>
      <w:tr w:rsidR="00DA227A" w:rsidRPr="00E93F40" w14:paraId="3B3B054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30AE40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Вохимобъединение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B314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EE60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BAE4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AA14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52,4</w:t>
            </w:r>
          </w:p>
        </w:tc>
      </w:tr>
      <w:tr w:rsidR="00DA227A" w:rsidRPr="00E93F40" w14:paraId="7BC587C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2473E4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C10F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2B26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33D3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01D0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w:t>
            </w:r>
          </w:p>
        </w:tc>
      </w:tr>
      <w:tr w:rsidR="00DA227A" w:rsidRPr="00E93F40" w14:paraId="5DB242C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3F6C40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CED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75A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3AC0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B832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r>
      <w:tr w:rsidR="00DA227A" w:rsidRPr="00E93F40" w14:paraId="43FDACF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AB7E80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DA02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4B2F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237D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5475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441</w:t>
            </w:r>
          </w:p>
        </w:tc>
      </w:tr>
    </w:tbl>
    <w:p w14:paraId="75E25972" w14:textId="4555103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работы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97"/>
        <w:gridCol w:w="1627"/>
        <w:gridCol w:w="1180"/>
        <w:gridCol w:w="1707"/>
        <w:gridCol w:w="2011"/>
      </w:tblGrid>
      <w:tr w:rsidR="00DA227A" w:rsidRPr="00E93F40" w14:paraId="0D7793E8"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78E6E11" w14:textId="5DE55AE2"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213B3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Намечалось по плану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E8CFC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получено за год</w:t>
            </w:r>
          </w:p>
        </w:tc>
      </w:tr>
      <w:tr w:rsidR="00DA227A" w:rsidRPr="00E93F40" w14:paraId="311BD77E"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3F71EEDE"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E58E5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Прибыль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29BB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Убыток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80F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Прибыль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0196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Убыток</w:t>
            </w:r>
          </w:p>
        </w:tc>
      </w:tr>
      <w:tr w:rsidR="00DA227A" w:rsidRPr="00E93F40" w14:paraId="72A3534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426D5DE" w14:textId="1FE6F10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7580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7D43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5F2A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A462F" w14:textId="75F7CC7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512,8</w:t>
            </w:r>
          </w:p>
        </w:tc>
      </w:tr>
      <w:tr w:rsidR="00DA227A" w:rsidRPr="00E93F40" w14:paraId="117D45B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EBF0C0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D7A2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31B2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4A45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1AF4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4760,6</w:t>
            </w:r>
          </w:p>
        </w:tc>
      </w:tr>
      <w:tr w:rsidR="00DA227A" w:rsidRPr="00E93F40" w14:paraId="134FA5C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DE8C6B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D162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12 151,6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7B9A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ADDB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8945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10 000</w:t>
            </w:r>
          </w:p>
        </w:tc>
      </w:tr>
      <w:tr w:rsidR="00DA227A" w:rsidRPr="00E93F40" w14:paraId="7AAB391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19854E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F15C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3AC7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B3E9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D3B5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80 000</w:t>
            </w:r>
          </w:p>
        </w:tc>
      </w:tr>
      <w:tr w:rsidR="00DA227A" w:rsidRPr="00E93F40" w14:paraId="122A10C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5B9630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Восхимобъединение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89DD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C37F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AF58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729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6832</w:t>
            </w:r>
          </w:p>
        </w:tc>
      </w:tr>
      <w:tr w:rsidR="00DA227A" w:rsidRPr="00E93F40" w14:paraId="1A122C2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2D3402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0A3B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52FB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38A7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2F58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1742</w:t>
            </w:r>
          </w:p>
        </w:tc>
      </w:tr>
      <w:tr w:rsidR="00DA227A" w:rsidRPr="00E93F40" w14:paraId="2ADBB93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6340A5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E6ED8" w14:textId="40AC1BB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227,8¹⁴*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F45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FF6C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BCE73" w14:textId="1B24622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847,4¹⁵*</w:t>
            </w:r>
          </w:p>
        </w:tc>
      </w:tr>
    </w:tbl>
    <w:p w14:paraId="4A5C551B" w14:textId="7DEA400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приведены на основе неполных данных, нет бухгалтерских балансов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не отражена инвентаризация.</w:t>
      </w:r>
    </w:p>
    <w:p w14:paraId="5339D18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Показатели рационализации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32"/>
        <w:gridCol w:w="1560"/>
        <w:gridCol w:w="1559"/>
        <w:gridCol w:w="1984"/>
        <w:gridCol w:w="2187"/>
      </w:tblGrid>
      <w:tr w:rsidR="00DA227A" w:rsidRPr="00E93F40" w14:paraId="4A4C0277"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276D39" w14:textId="14A51CC9"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960D5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Затраты на рационализацию</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8B3A6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Валовая экономия от рационализации</w:t>
            </w:r>
          </w:p>
        </w:tc>
      </w:tr>
      <w:tr w:rsidR="00DA227A" w:rsidRPr="00E93F40" w14:paraId="3CBD0A5D"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61077E0C" w14:textId="77777777" w:rsidR="00275520" w:rsidRPr="00E93F40" w:rsidRDefault="00275520"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B84FF" w14:textId="583C90D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A2764" w14:textId="3B6925A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611CE" w14:textId="27C8B39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5C395" w14:textId="589971E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45E50CE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B436688" w14:textId="3AAEF14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3C1339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 сведений</w:t>
            </w:r>
          </w:p>
        </w:tc>
      </w:tr>
      <w:tr w:rsidR="00DA227A" w:rsidRPr="00E93F40" w14:paraId="6B7FBA1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F2E07E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357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6529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A60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ADCA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9176</w:t>
            </w:r>
          </w:p>
        </w:tc>
      </w:tr>
      <w:tr w:rsidR="00DA227A" w:rsidRPr="00E93F40" w14:paraId="6218153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E1248C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F37C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C020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582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09DF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9422</w:t>
            </w:r>
          </w:p>
        </w:tc>
      </w:tr>
      <w:tr w:rsidR="00DA227A" w:rsidRPr="00E93F40" w14:paraId="4CF8FCF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0F2EA0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ACF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E75E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EBCE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2699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1742</w:t>
            </w:r>
          </w:p>
        </w:tc>
      </w:tr>
      <w:tr w:rsidR="00DA227A" w:rsidRPr="00E93F40" w14:paraId="0D5FF12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70CDA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CEF1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DF1A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D079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7DC0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5687,1</w:t>
            </w:r>
          </w:p>
        </w:tc>
      </w:tr>
      <w:tr w:rsidR="00DA227A" w:rsidRPr="00E93F40" w14:paraId="14E4E62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4B3101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D925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48FE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0E7B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5E87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2436</w:t>
            </w:r>
          </w:p>
        </w:tc>
      </w:tr>
      <w:tr w:rsidR="00DA227A" w:rsidRPr="00E93F40" w14:paraId="52DBB59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C5EC28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9BD1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8D5F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4057,9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5CCD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0E34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28 463,1</w:t>
            </w:r>
          </w:p>
        </w:tc>
      </w:tr>
    </w:tbl>
    <w:p w14:paraId="51D3494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Показатель по изобретательству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39"/>
        <w:gridCol w:w="1602"/>
        <w:gridCol w:w="1602"/>
        <w:gridCol w:w="1602"/>
        <w:gridCol w:w="2177"/>
      </w:tblGrid>
      <w:tr w:rsidR="00DA227A" w:rsidRPr="00E93F40" w14:paraId="6964ED9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1AF5C06" w14:textId="623726DF"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A183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Поступило</w:t>
            </w:r>
          </w:p>
          <w:p w14:paraId="1430AFA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E9AA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Принято</w:t>
            </w:r>
          </w:p>
          <w:p w14:paraId="53104A2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A285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Внедрено</w:t>
            </w:r>
          </w:p>
          <w:p w14:paraId="41EB625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83BF4" w14:textId="0C8AEC0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Валовая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экономия</w:t>
            </w:r>
          </w:p>
          <w:p w14:paraId="6891011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внедрения</w:t>
            </w:r>
          </w:p>
          <w:p w14:paraId="1DE4B0F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предложений</w:t>
            </w:r>
          </w:p>
        </w:tc>
      </w:tr>
      <w:tr w:rsidR="00DA227A" w:rsidRPr="00E93F40" w14:paraId="2FA397B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FFC4E44" w14:textId="778255F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w:t>
            </w:r>
            <w:r w:rsidRPr="00E93F40">
              <w:rPr>
                <w:rFonts w:ascii="Times New Roman" w:hAnsi="Times New Roman"/>
                <w:color w:val="000000" w:themeColor="text1"/>
                <w:sz w:val="16"/>
                <w:szCs w:val="16"/>
              </w:rPr>
              <w:noBreakHyphen/>
              <w:t>арсенальное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3635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5E16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4470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62DB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r>
      <w:tr w:rsidR="00DA227A" w:rsidRPr="00E93F40" w14:paraId="4ACA97D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200656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002E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C3ED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4BA8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43B1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2291,7</w:t>
            </w:r>
          </w:p>
        </w:tc>
      </w:tr>
      <w:tr w:rsidR="00DA227A" w:rsidRPr="00E93F40" w14:paraId="4FA4A31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93135A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43A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ADF3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255D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4D60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3163,5</w:t>
            </w:r>
          </w:p>
        </w:tc>
      </w:tr>
      <w:tr w:rsidR="00DA227A" w:rsidRPr="00E93F40" w14:paraId="5204F73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A11EDA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61F1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39AE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9AEA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E6C1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2183,1</w:t>
            </w:r>
          </w:p>
        </w:tc>
      </w:tr>
      <w:tr w:rsidR="00DA227A" w:rsidRPr="00E93F40" w14:paraId="75278A4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38C921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D03B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BC3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8BA8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80B5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3873</w:t>
            </w:r>
          </w:p>
        </w:tc>
      </w:tr>
      <w:tr w:rsidR="00DA227A" w:rsidRPr="00E93F40" w14:paraId="2628271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8EFB94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4A92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9D90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8445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303D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1218,9</w:t>
            </w:r>
          </w:p>
        </w:tc>
      </w:tr>
      <w:tr w:rsidR="00DA227A" w:rsidRPr="00E93F40" w14:paraId="2AE3040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D70E6E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76A0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76 231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AC82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42 082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E9DC6" w14:textId="7D3DBB8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769¹⁶*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7819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16 730,2</w:t>
            </w:r>
          </w:p>
        </w:tc>
      </w:tr>
    </w:tbl>
    <w:p w14:paraId="621D49F1"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Начальник I группы МПС Бородин</w:t>
      </w:r>
    </w:p>
    <w:p w14:paraId="18AA8981"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6169E35E" w14:textId="5543043F"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Составлена по данным предварительного отчета.</w:t>
      </w:r>
    </w:p>
    <w:p w14:paraId="36446E42" w14:textId="39F09D96"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760,3.</w:t>
      </w:r>
    </w:p>
    <w:p w14:paraId="7A469D09" w14:textId="05D4F4A5"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Без завода «Двигатель» (</w:t>
      </w:r>
      <w:r w:rsidRPr="00E93F40">
        <w:rPr>
          <w:rStyle w:val="af0"/>
          <w:i w:val="0"/>
          <w:color w:val="000000" w:themeColor="text1"/>
          <w:sz w:val="16"/>
          <w:szCs w:val="16"/>
        </w:rPr>
        <w:t>Прим.</w:t>
      </w:r>
      <w:r w:rsidR="007C1411" w:rsidRPr="00E93F40">
        <w:rPr>
          <w:rStyle w:val="af0"/>
          <w:i w:val="0"/>
          <w:color w:val="000000" w:themeColor="text1"/>
          <w:sz w:val="16"/>
          <w:szCs w:val="16"/>
        </w:rPr>
        <w:t xml:space="preserve"> </w:t>
      </w:r>
      <w:r w:rsidRPr="00E93F40">
        <w:rPr>
          <w:rStyle w:val="af0"/>
          <w:i w:val="0"/>
          <w:color w:val="000000" w:themeColor="text1"/>
          <w:sz w:val="16"/>
          <w:szCs w:val="16"/>
        </w:rPr>
        <w:t>док</w:t>
      </w:r>
      <w:r w:rsidRPr="00E93F40">
        <w:rPr>
          <w:color w:val="000000" w:themeColor="text1"/>
          <w:sz w:val="16"/>
          <w:szCs w:val="16"/>
        </w:rPr>
        <w:t>.).</w:t>
      </w:r>
    </w:p>
    <w:p w14:paraId="020351EB" w14:textId="2E75554D"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155</w:t>
      </w:r>
      <w:r w:rsidR="007C1411" w:rsidRPr="00E93F40">
        <w:rPr>
          <w:color w:val="000000" w:themeColor="text1"/>
          <w:sz w:val="16"/>
          <w:szCs w:val="16"/>
        </w:rPr>
        <w:t xml:space="preserve"> </w:t>
      </w:r>
      <w:r w:rsidRPr="00E93F40">
        <w:rPr>
          <w:color w:val="000000" w:themeColor="text1"/>
          <w:sz w:val="16"/>
          <w:szCs w:val="16"/>
        </w:rPr>
        <w:t>275.</w:t>
      </w:r>
    </w:p>
    <w:p w14:paraId="546A4A5C" w14:textId="7781BDCB"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242</w:t>
      </w:r>
      <w:r w:rsidR="007C1411" w:rsidRPr="00E93F40">
        <w:rPr>
          <w:color w:val="000000" w:themeColor="text1"/>
          <w:sz w:val="16"/>
          <w:szCs w:val="16"/>
        </w:rPr>
        <w:t xml:space="preserve"> </w:t>
      </w:r>
      <w:r w:rsidRPr="00E93F40">
        <w:rPr>
          <w:color w:val="000000" w:themeColor="text1"/>
          <w:sz w:val="16"/>
          <w:szCs w:val="16"/>
        </w:rPr>
        <w:t>024.</w:t>
      </w:r>
    </w:p>
    <w:p w14:paraId="0CB388CA" w14:textId="05852899"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83</w:t>
      </w:r>
      <w:r w:rsidR="007C1411" w:rsidRPr="00E93F40">
        <w:rPr>
          <w:color w:val="000000" w:themeColor="text1"/>
          <w:sz w:val="16"/>
          <w:szCs w:val="16"/>
        </w:rPr>
        <w:t xml:space="preserve"> </w:t>
      </w:r>
      <w:r w:rsidRPr="00E93F40">
        <w:rPr>
          <w:color w:val="000000" w:themeColor="text1"/>
          <w:sz w:val="16"/>
          <w:szCs w:val="16"/>
        </w:rPr>
        <w:t>193.</w:t>
      </w:r>
    </w:p>
    <w:p w14:paraId="5E935DEF" w14:textId="3D26142F"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7</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Без завода «Новое Сормово» (</w:t>
      </w:r>
      <w:r w:rsidRPr="00E93F40">
        <w:rPr>
          <w:rStyle w:val="af0"/>
          <w:i w:val="0"/>
          <w:color w:val="000000" w:themeColor="text1"/>
          <w:sz w:val="16"/>
          <w:szCs w:val="16"/>
        </w:rPr>
        <w:t>Прим. док</w:t>
      </w:r>
      <w:r w:rsidRPr="00E93F40">
        <w:rPr>
          <w:color w:val="000000" w:themeColor="text1"/>
          <w:sz w:val="16"/>
          <w:szCs w:val="16"/>
        </w:rPr>
        <w:t>.).</w:t>
      </w:r>
    </w:p>
    <w:p w14:paraId="56878EA3" w14:textId="130C0894"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8</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79</w:t>
      </w:r>
      <w:r w:rsidR="007C1411" w:rsidRPr="00E93F40">
        <w:rPr>
          <w:color w:val="000000" w:themeColor="text1"/>
          <w:sz w:val="16"/>
          <w:szCs w:val="16"/>
        </w:rPr>
        <w:t xml:space="preserve"> </w:t>
      </w:r>
      <w:r w:rsidRPr="00E93F40">
        <w:rPr>
          <w:color w:val="000000" w:themeColor="text1"/>
          <w:sz w:val="16"/>
          <w:szCs w:val="16"/>
        </w:rPr>
        <w:t>249.</w:t>
      </w:r>
    </w:p>
    <w:p w14:paraId="2977E3E0" w14:textId="0728E082"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9</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100,98.</w:t>
      </w:r>
    </w:p>
    <w:p w14:paraId="776DC7FC" w14:textId="3A5A348C"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10</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74,15.</w:t>
      </w:r>
    </w:p>
    <w:p w14:paraId="499E16EB" w14:textId="00302142"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lastRenderedPageBreak/>
        <w:t>11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52,57.</w:t>
      </w:r>
    </w:p>
    <w:p w14:paraId="50E1FF53" w14:textId="7FEF72B5"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12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295,97.</w:t>
      </w:r>
    </w:p>
    <w:p w14:paraId="090CF7B6" w14:textId="60566495"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13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132,76.</w:t>
      </w:r>
    </w:p>
    <w:p w14:paraId="5187AB73" w14:textId="43AFE5A9"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14</w:t>
      </w:r>
      <w:r w:rsidRPr="00E93F40">
        <w:rPr>
          <w:color w:val="000000" w:themeColor="text1"/>
          <w:sz w:val="16"/>
          <w:szCs w:val="16"/>
        </w:rPr>
        <w:t>*</w:t>
      </w:r>
      <w:r w:rsidR="00DD74E1">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35</w:t>
      </w:r>
      <w:r w:rsidR="007C1411" w:rsidRPr="00E93F40">
        <w:rPr>
          <w:color w:val="000000" w:themeColor="text1"/>
          <w:sz w:val="16"/>
          <w:szCs w:val="16"/>
        </w:rPr>
        <w:t xml:space="preserve"> </w:t>
      </w:r>
      <w:r w:rsidRPr="00E93F40">
        <w:rPr>
          <w:color w:val="000000" w:themeColor="text1"/>
          <w:sz w:val="16"/>
          <w:szCs w:val="16"/>
        </w:rPr>
        <w:t>227,6.</w:t>
      </w:r>
    </w:p>
    <w:p w14:paraId="5CC94CAB" w14:textId="68AB930E"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15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118</w:t>
      </w:r>
      <w:r w:rsidR="007C1411" w:rsidRPr="00E93F40">
        <w:rPr>
          <w:color w:val="000000" w:themeColor="text1"/>
          <w:sz w:val="16"/>
          <w:szCs w:val="16"/>
        </w:rPr>
        <w:t xml:space="preserve"> </w:t>
      </w:r>
      <w:r w:rsidRPr="00E93F40">
        <w:rPr>
          <w:color w:val="000000" w:themeColor="text1"/>
          <w:sz w:val="16"/>
          <w:szCs w:val="16"/>
        </w:rPr>
        <w:t>847,4.</w:t>
      </w:r>
    </w:p>
    <w:p w14:paraId="318F198F" w14:textId="3273EEDF"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16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26</w:t>
      </w:r>
      <w:r w:rsidR="007C1411" w:rsidRPr="00E93F40">
        <w:rPr>
          <w:color w:val="000000" w:themeColor="text1"/>
          <w:sz w:val="16"/>
          <w:szCs w:val="16"/>
        </w:rPr>
        <w:t xml:space="preserve"> </w:t>
      </w:r>
      <w:r w:rsidRPr="00E93F40">
        <w:rPr>
          <w:color w:val="000000" w:themeColor="text1"/>
          <w:sz w:val="16"/>
          <w:szCs w:val="16"/>
        </w:rPr>
        <w:t>779.</w:t>
      </w:r>
    </w:p>
    <w:p w14:paraId="59D449D5" w14:textId="77777777"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rPr>
        <w:t>РГАЭ. Ф. 4372. Оп. 91. Д. 871. Л. 113—103. Копия.</w:t>
      </w:r>
    </w:p>
    <w:p w14:paraId="402143C6" w14:textId="1ACAFD2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РГАЭ. Ф. 4372. Оп. 91. Д. 871. Л. 113—103. Копия. </w:t>
      </w:r>
    </w:p>
    <w:p w14:paraId="5731E323" w14:textId="743C094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617-624 (12550).</w:t>
      </w:r>
    </w:p>
    <w:p w14:paraId="2FE3983F" w14:textId="77777777" w:rsidR="00275520" w:rsidRPr="00E93F40" w:rsidRDefault="00275520" w:rsidP="00E93F40">
      <w:pPr>
        <w:spacing w:after="0" w:line="240" w:lineRule="auto"/>
        <w:jc w:val="both"/>
        <w:rPr>
          <w:rFonts w:ascii="Times New Roman" w:hAnsi="Times New Roman"/>
          <w:color w:val="000000" w:themeColor="text1"/>
          <w:sz w:val="16"/>
          <w:szCs w:val="16"/>
        </w:rPr>
      </w:pPr>
    </w:p>
    <w:p w14:paraId="09A8F820"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февраля 1932 г. Комиссия осмотрела тракторы. Затем они прошли обкатку, динамометрирование, а в период с 1 по 16 марта состоялись пробеги протяженностью до 300 км по шоссе и 50 км по грунтовым дорогам, снежной целине ближнего Подмосковья в районе деревни Черной и по Хорошевскому шоссе (сейчас это уже в черте города).</w:t>
      </w:r>
    </w:p>
    <w:p w14:paraId="3243984D"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Тракторы выводились на испытания с поездами в составе 203-мм гаубицы М-6, 152-мм мортиры с передком, 76-мм зенитной пушки, а также пары повозок П-26.</w:t>
      </w:r>
    </w:p>
    <w:p w14:paraId="6636900C"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5641008A"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Двигаясь на большой скорости, трактор КПД скатился с дороги под откос</w:t>
      </w:r>
    </w:p>
    <w:p w14:paraId="16BE825B"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движении на малых скоростях все поезда двигались без затруднений. С ростом скорости буксировки до 8—10 км/ч наблюдалось виляние (занос) поезда. С повышением скорости до 16 км/ч виляние прицепов становилось очень сильным, «угрожая возможностью закатиться в канаву или задеть за встречный экипаж задней прицепкой». Во время очередного скоростного заезда трактор КПД съехал с дороги под откос, и его пришлось извлекать при помощи «Коммунара».</w:t>
      </w:r>
    </w:p>
    <w:p w14:paraId="259B96D5"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итогам испытаний военные констатировали: «Трактор Катерпиллер-60 прочен и прост, удобен в обращении. Исключительно надежно работает мотор в различных условиях, независимо от продолжительности беспрерывной работы».</w:t>
      </w:r>
    </w:p>
    <w:p w14:paraId="5CF61E94"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числе недостатков трактора «Sixty» были отмечены: скорость не выше 5,9 км/ч, громоздкая крыша, наличие несменных и вызывавших сильную тряску при движении на максимальной скорости по твердому грунту шпор, а также дефект помпы.</w:t>
      </w:r>
    </w:p>
    <w:p w14:paraId="68FFEC41"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 КПД имел те же недостатки гусеничного хода, что и у базовой модели, в связи с чем, военные отметили, что он может надежно работать в тех же условиях, что и «Sixty». Выхлоп отработанных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3D17674F"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целом предъявленная конструкция подтвердила очевидные преимущества дизельных двигателей и принципиальную возможность создания относительно быстроходного трактора на основе «Sixty», но выявленные дефекты воспрепятствовали принятию КПД на вооружение. Опыт разработки и испытаний трактора КПД был учтен при создании новых конструкций машин (23316).</w:t>
      </w:r>
    </w:p>
    <w:p w14:paraId="45E3188B" w14:textId="77777777" w:rsidR="00731874" w:rsidRPr="00E93F40" w:rsidRDefault="00731874" w:rsidP="00E93F40">
      <w:pPr>
        <w:spacing w:after="0" w:line="240" w:lineRule="auto"/>
        <w:jc w:val="both"/>
        <w:rPr>
          <w:rFonts w:ascii="Times New Roman" w:hAnsi="Times New Roman"/>
          <w:color w:val="000000" w:themeColor="text1"/>
          <w:sz w:val="16"/>
          <w:szCs w:val="16"/>
        </w:rPr>
      </w:pPr>
    </w:p>
    <w:p w14:paraId="49547D4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4 февраля 1932 </w:t>
      </w:r>
      <w:r w:rsidRPr="00E93F40">
        <w:rPr>
          <w:rFonts w:ascii="Times New Roman" w:hAnsi="Times New Roman"/>
          <w:color w:val="000000" w:themeColor="text1"/>
          <w:sz w:val="16"/>
          <w:szCs w:val="16"/>
        </w:rPr>
        <w:t>XVII Всесоюзная конференция ВКП (б) приняла резолюцию «Итоги развития промышленности за 1931 г. и задачи 1932 г.» и «Директивы к составлению второго пятилетнего плана народного хозяйства СССР (1933-1937 гт.)» (12265).</w:t>
      </w:r>
    </w:p>
    <w:p w14:paraId="495614AF" w14:textId="2DA43823"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066450E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1803A6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4E7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февраля 1932 вышло Постановление ЦК ВКП(б) "Об очередных мероприятиях по организационно-хозяйственному укреплению колхозов" в котором предложено создать в колхозах производственные бригады с постоянным составом колхозников и обратить особое внимание на "правильный подбор бригадиров" (10687).</w:t>
      </w:r>
    </w:p>
    <w:p w14:paraId="3FDC7F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02212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1BDFD4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AA642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февраля 1932 в Лейк-Плесиде (США) начались Третьи зимние Олимпийские игры (4962).</w:t>
      </w:r>
    </w:p>
    <w:p w14:paraId="03D14AC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2F15A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февраля 1932 был подписан Договор о ненападении с Эстонией на 3 года (4962).</w:t>
      </w:r>
    </w:p>
    <w:p w14:paraId="1C5F761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4183C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D69511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C57E8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5 и 10 февраля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4 полета на определение вертикальной скорости и потолка с нормальной нагрузкой; определение максимальных, средних и минимальных скоростей на высотах от потолка через каждые 1000 м. Стрельба на высоте 7000 м (3002).</w:t>
      </w:r>
    </w:p>
    <w:p w14:paraId="73914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2660FB" w14:textId="77777777" w:rsidR="00A20FF6" w:rsidRPr="00E93F40" w:rsidRDefault="00A20FF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5 февраля 1932 г.</w:t>
      </w:r>
      <w:r w:rsidRPr="00E93F40">
        <w:rPr>
          <w:rFonts w:ascii="Times New Roman" w:hAnsi="Times New Roman"/>
          <w:color w:val="000000" w:themeColor="text1"/>
          <w:sz w:val="16"/>
          <w:szCs w:val="16"/>
        </w:rPr>
        <w:t xml:space="preserve"> открылась авиалиния: Архангельск–Лешуконское–Усть-Цильма (17256).</w:t>
      </w:r>
    </w:p>
    <w:p w14:paraId="6363463D" w14:textId="77777777" w:rsidR="00A20FF6" w:rsidRPr="00E93F40" w:rsidRDefault="00A20FF6" w:rsidP="00E93F40">
      <w:pPr>
        <w:autoSpaceDE w:val="0"/>
        <w:autoSpaceDN w:val="0"/>
        <w:adjustRightInd w:val="0"/>
        <w:spacing w:after="0" w:line="240" w:lineRule="auto"/>
        <w:jc w:val="both"/>
        <w:rPr>
          <w:rFonts w:ascii="Times New Roman" w:hAnsi="Times New Roman"/>
          <w:color w:val="000000" w:themeColor="text1"/>
          <w:sz w:val="16"/>
          <w:szCs w:val="16"/>
        </w:rPr>
      </w:pPr>
    </w:p>
    <w:p w14:paraId="728A6FD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3F0A71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4671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февраля 1932 г. УММ через представителя фир</w:t>
      </w:r>
      <w:r w:rsidRPr="00E93F40">
        <w:rPr>
          <w:rFonts w:ascii="Times New Roman" w:hAnsi="Times New Roman"/>
          <w:color w:val="000000" w:themeColor="text1"/>
          <w:sz w:val="16"/>
          <w:szCs w:val="16"/>
        </w:rPr>
        <w:softHyphen/>
        <w:t>мы «Аркос» (All Russian Cooperative Society Limited) Сквирского сделало заказ фирме «Виккерс» на 8 плаваюрщих танков. Переговоры прошли быстро, и уже в июне 1932 г. первые два танка были отправлены в СССР. Однако вопреки вполне логичного предположения о том, что отечественные плавающие танки были скопированы с «Виккерсов-амфибий», когда британские амфибии ршько грузились для отправления в нашу страну, в СССР уже были построены плавающие танки трех типов — Т-33, Т-41 и Т-37 (10733,150).</w:t>
      </w:r>
    </w:p>
    <w:p w14:paraId="637831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4AAB86"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февраля 1932 года, получив информацию об испытани</w:t>
      </w:r>
      <w:r w:rsidRPr="00142305">
        <w:rPr>
          <w:rFonts w:ascii="Times New Roman" w:hAnsi="Times New Roman"/>
          <w:color w:val="0070C0"/>
          <w:sz w:val="16"/>
          <w:szCs w:val="16"/>
        </w:rPr>
        <w:softHyphen/>
        <w:t>ях нового английского плавающего танка, руководство Управления механизации и мо</w:t>
      </w:r>
      <w:r w:rsidRPr="00142305">
        <w:rPr>
          <w:rFonts w:ascii="Times New Roman" w:hAnsi="Times New Roman"/>
          <w:color w:val="0070C0"/>
          <w:sz w:val="16"/>
          <w:szCs w:val="16"/>
        </w:rPr>
        <w:softHyphen/>
        <w:t>торизации РККА зака</w:t>
      </w:r>
      <w:r w:rsidRPr="00142305">
        <w:rPr>
          <w:rFonts w:ascii="Times New Roman" w:hAnsi="Times New Roman"/>
          <w:color w:val="0070C0"/>
          <w:sz w:val="16"/>
          <w:szCs w:val="16"/>
        </w:rPr>
        <w:softHyphen/>
        <w:t>зало фирме Vickers через представителей со</w:t>
      </w:r>
      <w:r w:rsidRPr="00142305">
        <w:rPr>
          <w:rFonts w:ascii="Times New Roman" w:hAnsi="Times New Roman"/>
          <w:color w:val="0070C0"/>
          <w:sz w:val="16"/>
          <w:szCs w:val="16"/>
        </w:rPr>
        <w:softHyphen/>
        <w:t xml:space="preserve">ветской внешнеторговой фирмы Arcos Ltd. </w:t>
      </w:r>
      <w:r w:rsidRPr="00142305">
        <w:rPr>
          <w:rFonts w:ascii="Times New Roman" w:hAnsi="Times New Roman"/>
          <w:color w:val="0070C0"/>
          <w:sz w:val="16"/>
          <w:szCs w:val="16"/>
          <w:lang w:val="en-US"/>
        </w:rPr>
        <w:t xml:space="preserve">(All Russian Cooperative Society Limited) </w:t>
      </w:r>
      <w:r w:rsidRPr="00142305">
        <w:rPr>
          <w:rFonts w:ascii="Times New Roman" w:hAnsi="Times New Roman"/>
          <w:color w:val="0070C0"/>
          <w:sz w:val="16"/>
          <w:szCs w:val="16"/>
        </w:rPr>
        <w:t>во</w:t>
      </w:r>
      <w:r w:rsidRPr="00142305">
        <w:rPr>
          <w:rFonts w:ascii="Times New Roman" w:hAnsi="Times New Roman"/>
          <w:color w:val="0070C0"/>
          <w:sz w:val="16"/>
          <w:szCs w:val="16"/>
          <w:lang w:val="en-US"/>
        </w:rPr>
        <w:softHyphen/>
      </w:r>
      <w:r w:rsidRPr="00142305">
        <w:rPr>
          <w:rFonts w:ascii="Times New Roman" w:hAnsi="Times New Roman"/>
          <w:color w:val="0070C0"/>
          <w:sz w:val="16"/>
          <w:szCs w:val="16"/>
        </w:rPr>
        <w:t>семь</w:t>
      </w:r>
      <w:r w:rsidRPr="00142305">
        <w:rPr>
          <w:rFonts w:ascii="Times New Roman" w:hAnsi="Times New Roman"/>
          <w:color w:val="0070C0"/>
          <w:sz w:val="16"/>
          <w:szCs w:val="16"/>
          <w:lang w:val="en-US"/>
        </w:rPr>
        <w:t xml:space="preserve"> </w:t>
      </w:r>
      <w:r w:rsidRPr="00142305">
        <w:rPr>
          <w:rFonts w:ascii="Times New Roman" w:hAnsi="Times New Roman"/>
          <w:color w:val="0070C0"/>
          <w:sz w:val="16"/>
          <w:szCs w:val="16"/>
        </w:rPr>
        <w:t>амфибий</w:t>
      </w:r>
      <w:r w:rsidRPr="00142305">
        <w:rPr>
          <w:rFonts w:ascii="Times New Roman" w:hAnsi="Times New Roman"/>
          <w:color w:val="0070C0"/>
          <w:sz w:val="16"/>
          <w:szCs w:val="16"/>
          <w:lang w:val="en-US"/>
        </w:rPr>
        <w:t xml:space="preserve"> Vickers-Carden-Loyd. </w:t>
      </w:r>
      <w:r w:rsidRPr="00142305">
        <w:rPr>
          <w:rFonts w:ascii="Times New Roman" w:hAnsi="Times New Roman"/>
          <w:color w:val="0070C0"/>
          <w:sz w:val="16"/>
          <w:szCs w:val="16"/>
        </w:rPr>
        <w:t>В июне 1932 года были отправлены в СССР первые из заказанных танков, а последние машины прибыли 22 октября того же года (25019).</w:t>
      </w:r>
    </w:p>
    <w:p w14:paraId="55A300EE" w14:textId="77777777" w:rsidR="00643739" w:rsidRPr="00142305" w:rsidRDefault="00643739" w:rsidP="00643739">
      <w:pPr>
        <w:spacing w:after="0" w:line="240" w:lineRule="auto"/>
        <w:jc w:val="both"/>
        <w:rPr>
          <w:rFonts w:ascii="Times New Roman" w:hAnsi="Times New Roman"/>
          <w:color w:val="0070C0"/>
          <w:sz w:val="16"/>
          <w:szCs w:val="16"/>
        </w:rPr>
      </w:pPr>
    </w:p>
    <w:p w14:paraId="151BCC6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67DAC7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4D2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февраля 1932 был подписан договор о ненападении с Литвой (1348,242) на 3 года (3908:337).</w:t>
      </w:r>
    </w:p>
    <w:p w14:paraId="7195B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917A2E" w14:textId="77777777" w:rsidR="00CA4331" w:rsidRPr="00E93F40" w:rsidRDefault="00CA4331"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F08FEDE" w14:textId="77777777" w:rsidR="00CA4331" w:rsidRPr="00E93F40" w:rsidRDefault="00CA433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AD0C1B"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февраля 1932 происходит первое столкновение в воздухе во время шанхайского инцидента между пятью японскими самолетами с авианосца Hōshō и девятью националистическими китайскими истребителями (20803).</w:t>
      </w:r>
    </w:p>
    <w:p w14:paraId="17B657AE" w14:textId="77777777" w:rsidR="00CA4331" w:rsidRPr="00E93F40" w:rsidRDefault="00CA4331" w:rsidP="00E93F40">
      <w:pPr>
        <w:spacing w:after="0" w:line="240" w:lineRule="auto"/>
        <w:jc w:val="both"/>
        <w:rPr>
          <w:rFonts w:ascii="Times New Roman" w:hAnsi="Times New Roman"/>
          <w:color w:val="000000" w:themeColor="text1"/>
          <w:sz w:val="16"/>
          <w:szCs w:val="16"/>
        </w:rPr>
      </w:pPr>
    </w:p>
    <w:p w14:paraId="1853669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293A01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70BD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февраля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 выполнен полет на определение вертикальной скорости и потолка с перегрузкой; определение максимальных, средних и минимальных скоростей на высотах от потолка через каждые 1000 м (3002).</w:t>
      </w:r>
    </w:p>
    <w:p w14:paraId="74355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91B6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февраля 1932 г. на завод № 24 поступил формальный заказ на М-34, хотя московский завод № 24 уже начал подготовку к серийному производству микулинского двигателя в декабре 1931 г.. Ради этого там отказа</w:t>
      </w:r>
      <w:r w:rsidRPr="00E93F40">
        <w:rPr>
          <w:rFonts w:ascii="Times New Roman" w:hAnsi="Times New Roman"/>
          <w:color w:val="000000" w:themeColor="text1"/>
          <w:sz w:val="16"/>
          <w:szCs w:val="16"/>
        </w:rPr>
        <w:softHyphen/>
        <w:t>лись от развертывания выпуска 18-цилиндрового мотора М-27, под ко</w:t>
      </w:r>
      <w:r w:rsidRPr="00E93F40">
        <w:rPr>
          <w:rFonts w:ascii="Times New Roman" w:hAnsi="Times New Roman"/>
          <w:color w:val="000000" w:themeColor="text1"/>
          <w:sz w:val="16"/>
          <w:szCs w:val="16"/>
        </w:rPr>
        <w:softHyphen/>
        <w:t>торый уже подготовили оснастку (11848).</w:t>
      </w:r>
    </w:p>
    <w:p w14:paraId="1A0D01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1C49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lang w:val="en-US"/>
        </w:rPr>
      </w:pPr>
      <w:r w:rsidRPr="00E93F40">
        <w:rPr>
          <w:rFonts w:ascii="Times New Roman" w:hAnsi="Times New Roman"/>
          <w:i/>
          <w:iCs/>
          <w:color w:val="000000" w:themeColor="text1"/>
          <w:sz w:val="16"/>
          <w:szCs w:val="16"/>
        </w:rPr>
        <w:t>За</w:t>
      </w:r>
      <w:r w:rsidRPr="00E93F40">
        <w:rPr>
          <w:rFonts w:ascii="Times New Roman" w:hAnsi="Times New Roman"/>
          <w:i/>
          <w:iCs/>
          <w:color w:val="000000" w:themeColor="text1"/>
          <w:sz w:val="16"/>
          <w:szCs w:val="16"/>
          <w:lang w:val="en-US"/>
        </w:rPr>
        <w:t xml:space="preserve"> </w:t>
      </w:r>
      <w:r w:rsidRPr="00E93F40">
        <w:rPr>
          <w:rFonts w:ascii="Times New Roman" w:hAnsi="Times New Roman"/>
          <w:i/>
          <w:iCs/>
          <w:color w:val="000000" w:themeColor="text1"/>
          <w:sz w:val="16"/>
          <w:szCs w:val="16"/>
        </w:rPr>
        <w:t>рубежом</w:t>
      </w:r>
      <w:r w:rsidRPr="00E93F40">
        <w:rPr>
          <w:rFonts w:ascii="Times New Roman" w:hAnsi="Times New Roman"/>
          <w:i/>
          <w:iCs/>
          <w:color w:val="000000" w:themeColor="text1"/>
          <w:sz w:val="16"/>
          <w:szCs w:val="16"/>
          <w:lang w:val="en-US"/>
        </w:rPr>
        <w:t>:</w:t>
      </w:r>
    </w:p>
    <w:p w14:paraId="791031D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D5412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r w:rsidRPr="00E93F40">
        <w:rPr>
          <w:rFonts w:ascii="Times New Roman" w:hAnsi="Times New Roman"/>
          <w:color w:val="000000" w:themeColor="text1"/>
          <w:sz w:val="16"/>
          <w:szCs w:val="16"/>
          <w:lang w:val="en-US"/>
        </w:rPr>
        <w:t>February 7 to 17, 1932 - In a series of experiments James Chadwick demonstrates the existence of the neutron (1039).</w:t>
      </w:r>
    </w:p>
    <w:p w14:paraId="1D46D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p>
    <w:p w14:paraId="42A24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(7) февраля 1932 в Клайпеде (Мемеле) был совершен фашистский переворот (3907,172).</w:t>
      </w:r>
    </w:p>
    <w:p w14:paraId="65C16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68578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8F2B06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6661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февраля 1932 г. ленинградский завод "Красный путиловец" приступил к освоению серийного производства танка Т-28, разработанного коллективом опытного конструкторско-механического отдела (ОКМО) завода "Большевик". К 1 мая 1933 г. были выпущены первые 12 танков Т-28. Максимальная скорость танка с боевой массой 28 т достигала 37 км/час. На нем стоял двигатель М-17Т. Имелась механическая коробка передач, бортовые фрикционы. Подвеска сблокированная, на четыре катка. Главная башня имела цилиндрическую форму. Почти сразу в ней стали устанавливать пушку калибра 76 мм с длиной ствола 16,5 калибров. Перед главной башней по обе стороны "будки" водителя размещались пулеметные башенки с сектором обстрела до 220 градусов у каждой. Всего на танке устанавливали до четырех пулеметов. Обеспечивал боевую деятельность танка экипаж из шести человек. Достаточно продуманной и мощной для своего времени была схема бронирования танка. Лобовой лист корпуса-30 мм, бортовой-20 мм. Башня бронировалась 20-мм листом. Подвеска закрывалась броневым фальшбортом. В 1938 г. на танк стали ставить 76-мм пушку Л-10 с длиной ствола 26 калибров. Башня приобрела коническую форму, более снарядостойкую. В ходе боев на Карельском перешейке в декабре 1939 г. выявилась недостаточность бронезащиты и танки стали оборудовать экранами из листов толщиной 30-50 мм. Бронирование лобовое корпуса и башни возросло до 50-80 мм, борта и кормы - до 40 мм. Боевая масса увеличилась до 32 т. В процессе отработки, производства и эксплуатации в течение шести с лишним лет танк Т-28 превратился в надежную, достаточно эффективную боевую машину. Имелись возможности дальнейшего повышения энерговооруженности, оптимизации бронезащиты, огневой мощи. Последнее обстоятельство, очень важное с точки зрения перспектив использования танка Т-28 войсками, подтвердил весной 1940 г. коллектив КБ Грабина. На серийный Т-28 установили опытный образец пушки Ф-39 калибра 85 мм. Дульная энергия пушки составляла 300 тм., т.е. втрое превышала показатели Л-10. Бронепробиваемость также увеличилась почти втрое. Испытания прошли успешно. Но танк сняли с производства еще в декабре 1939 г. Этот шаг представляется несколько поспешным. Ведь завод выпустил 523 машины. И мог их выпускать дальше, модернизируя и улучшая. Войска накопили опыт эксплуатации, технического обслуживания и ремонта Т-28. Особенно привлекательным было то, что машина имела надежный двигатель, трансмиссию. И без ухудшения показателей безотказности существенно можно было повысить боевую эффективность за счет установки новой пушки и экранной брони (11224).</w:t>
      </w:r>
    </w:p>
    <w:p w14:paraId="2FC564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AF6C6F" w14:textId="77777777" w:rsidR="00EE4A34" w:rsidRPr="00E93F40" w:rsidRDefault="00EE4A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февраля 1932 на заводе им. Кулакова производственная программа по отделу точной механики (ОТМ) в размере 2,2 млн. руб. была увеличена до 4,1 млн. руб., а в середине марта дополнена заказом Мортехупра на телефонное оборудование береговой обороны Балтийского моря (БО БМ) на сумму более 300 тыс. руб. (18297).</w:t>
      </w:r>
    </w:p>
    <w:p w14:paraId="5EDFB7C9" w14:textId="77777777" w:rsidR="00EE4A34" w:rsidRPr="00E93F40" w:rsidRDefault="00EE4A34" w:rsidP="00E93F40">
      <w:pPr>
        <w:spacing w:after="0" w:line="240" w:lineRule="auto"/>
        <w:jc w:val="both"/>
        <w:rPr>
          <w:rFonts w:ascii="Times New Roman" w:hAnsi="Times New Roman"/>
          <w:color w:val="000000" w:themeColor="text1"/>
          <w:sz w:val="16"/>
          <w:szCs w:val="16"/>
        </w:rPr>
      </w:pPr>
    </w:p>
    <w:p w14:paraId="479A959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069166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8D1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февраля 1932 в ходе испытаний на 22 заводе самолета Р6 N 2201 (эталон на 1932 год), которые проходили с 23 января по 7 апреля 1932, самолет сдан в ЦАГИ для установки рации (3003).</w:t>
      </w:r>
    </w:p>
    <w:p w14:paraId="012E5A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44FD5A" w14:textId="77777777" w:rsidR="008561EF" w:rsidRPr="00E93F40" w:rsidRDefault="008561EF"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bCs/>
          <w:color w:val="000000" w:themeColor="text1"/>
          <w:sz w:val="16"/>
          <w:szCs w:val="16"/>
        </w:rPr>
        <w:t>7 февраля 1932 г. — Из протокола № 4 Комиссии обороны о проверке исполнения постановления комиссии от 10 января 1932 г. о производстве тяжелых бомбовозов</w:t>
      </w:r>
    </w:p>
    <w:p w14:paraId="73B8639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p w14:paraId="03D0E9B4" w14:textId="78C5D341"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Программу по производству в 1932</w:t>
      </w:r>
      <w:r w:rsidR="007C1411" w:rsidRPr="00E93F40">
        <w:rPr>
          <w:color w:val="000000" w:themeColor="text1"/>
          <w:sz w:val="16"/>
          <w:szCs w:val="16"/>
        </w:rPr>
        <w:t xml:space="preserve"> </w:t>
      </w:r>
      <w:r w:rsidRPr="00E93F40">
        <w:rPr>
          <w:color w:val="000000" w:themeColor="text1"/>
          <w:sz w:val="16"/>
          <w:szCs w:val="16"/>
        </w:rPr>
        <w:t>г. 200</w:t>
      </w:r>
      <w:r w:rsidR="007C1411" w:rsidRPr="00E93F40">
        <w:rPr>
          <w:color w:val="000000" w:themeColor="text1"/>
          <w:sz w:val="16"/>
          <w:szCs w:val="16"/>
        </w:rPr>
        <w:t xml:space="preserve"> </w:t>
      </w:r>
      <w:r w:rsidRPr="00E93F40">
        <w:rPr>
          <w:color w:val="000000" w:themeColor="text1"/>
          <w:sz w:val="16"/>
          <w:szCs w:val="16"/>
        </w:rPr>
        <w:t>ТБ</w:t>
      </w:r>
      <w:r w:rsidRPr="00E93F40">
        <w:rPr>
          <w:color w:val="000000" w:themeColor="text1"/>
          <w:sz w:val="16"/>
          <w:szCs w:val="16"/>
        </w:rPr>
        <w:noBreakHyphen/>
        <w:t>3 и моторов 400</w:t>
      </w:r>
      <w:r w:rsidR="007C1411" w:rsidRPr="00E93F40">
        <w:rPr>
          <w:color w:val="000000" w:themeColor="text1"/>
          <w:sz w:val="16"/>
          <w:szCs w:val="16"/>
        </w:rPr>
        <w:t xml:space="preserve"> </w:t>
      </w:r>
      <w:r w:rsidRPr="00E93F40">
        <w:rPr>
          <w:color w:val="000000" w:themeColor="text1"/>
          <w:sz w:val="16"/>
          <w:szCs w:val="16"/>
        </w:rPr>
        <w:t>М</w:t>
      </w:r>
      <w:r w:rsidRPr="00E93F40">
        <w:rPr>
          <w:color w:val="000000" w:themeColor="text1"/>
          <w:sz w:val="16"/>
          <w:szCs w:val="16"/>
        </w:rPr>
        <w:noBreakHyphen/>
        <w:t>34 подтвердить. Довести в 1933</w:t>
      </w:r>
      <w:r w:rsidR="007C1411" w:rsidRPr="00E93F40">
        <w:rPr>
          <w:color w:val="000000" w:themeColor="text1"/>
          <w:sz w:val="16"/>
          <w:szCs w:val="16"/>
        </w:rPr>
        <w:t xml:space="preserve"> </w:t>
      </w:r>
      <w:r w:rsidRPr="00E93F40">
        <w:rPr>
          <w:color w:val="000000" w:themeColor="text1"/>
          <w:sz w:val="16"/>
          <w:szCs w:val="16"/>
        </w:rPr>
        <w:t>г. моторо- и самолетостроение, обеспечивающее выпуск самолетов типа не слабее ТБ-3 в количестве не менее 4</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шт.</w:t>
      </w:r>
    </w:p>
    <w:p w14:paraId="00A25611" w14:textId="596C2766"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Для выработки конкретных предложений на основе обмена мнений образовать комиссию в составе т.</w:t>
      </w:r>
      <w:r w:rsidR="007C1411" w:rsidRPr="00E93F40">
        <w:rPr>
          <w:color w:val="000000" w:themeColor="text1"/>
          <w:sz w:val="16"/>
          <w:szCs w:val="16"/>
        </w:rPr>
        <w:t xml:space="preserve"> </w:t>
      </w:r>
      <w:hyperlink r:id="rId29" w:history="1">
        <w:r w:rsidRPr="00E93F40">
          <w:rPr>
            <w:color w:val="000000" w:themeColor="text1"/>
            <w:sz w:val="16"/>
            <w:szCs w:val="16"/>
          </w:rPr>
          <w:t>Орджоникидзе</w:t>
        </w:r>
      </w:hyperlink>
      <w:r w:rsidRPr="00E93F40">
        <w:rPr>
          <w:color w:val="000000" w:themeColor="text1"/>
          <w:sz w:val="16"/>
          <w:szCs w:val="16"/>
        </w:rPr>
        <w:t xml:space="preserve"> (председатель), </w:t>
      </w:r>
      <w:hyperlink r:id="rId30" w:history="1">
        <w:r w:rsidRPr="00E93F40">
          <w:rPr>
            <w:color w:val="000000" w:themeColor="text1"/>
            <w:sz w:val="16"/>
            <w:szCs w:val="16"/>
          </w:rPr>
          <w:t>Кагановича</w:t>
        </w:r>
        <w:r w:rsidR="007C1411" w:rsidRPr="00E93F40">
          <w:rPr>
            <w:color w:val="000000" w:themeColor="text1"/>
            <w:sz w:val="16"/>
            <w:szCs w:val="16"/>
          </w:rPr>
          <w:t xml:space="preserve"> </w:t>
        </w:r>
        <w:r w:rsidRPr="00E93F40">
          <w:rPr>
            <w:color w:val="000000" w:themeColor="text1"/>
            <w:sz w:val="16"/>
            <w:szCs w:val="16"/>
          </w:rPr>
          <w:t>Л.</w:t>
        </w:r>
      </w:hyperlink>
      <w:r w:rsidRPr="00E93F40">
        <w:rPr>
          <w:color w:val="000000" w:themeColor="text1"/>
          <w:sz w:val="16"/>
          <w:szCs w:val="16"/>
        </w:rPr>
        <w:t xml:space="preserve">, </w:t>
      </w:r>
      <w:hyperlink r:id="rId31" w:history="1">
        <w:r w:rsidRPr="00E93F40">
          <w:rPr>
            <w:color w:val="000000" w:themeColor="text1"/>
            <w:sz w:val="16"/>
            <w:szCs w:val="16"/>
          </w:rPr>
          <w:t>Тухачевского</w:t>
        </w:r>
      </w:hyperlink>
      <w:r w:rsidRPr="00E93F40">
        <w:rPr>
          <w:color w:val="000000" w:themeColor="text1"/>
          <w:sz w:val="16"/>
          <w:szCs w:val="16"/>
        </w:rPr>
        <w:t xml:space="preserve">, </w:t>
      </w:r>
      <w:hyperlink r:id="rId32" w:history="1">
        <w:r w:rsidRPr="00E93F40">
          <w:rPr>
            <w:color w:val="000000" w:themeColor="text1"/>
            <w:sz w:val="16"/>
            <w:szCs w:val="16"/>
          </w:rPr>
          <w:t>Баранова</w:t>
        </w:r>
      </w:hyperlink>
      <w:r w:rsidRPr="00E93F40">
        <w:rPr>
          <w:color w:val="000000" w:themeColor="text1"/>
          <w:sz w:val="16"/>
          <w:szCs w:val="16"/>
        </w:rPr>
        <w:t xml:space="preserve">, </w:t>
      </w:r>
      <w:hyperlink r:id="rId33" w:history="1">
        <w:r w:rsidRPr="00E93F40">
          <w:rPr>
            <w:color w:val="000000" w:themeColor="text1"/>
            <w:sz w:val="16"/>
            <w:szCs w:val="16"/>
          </w:rPr>
          <w:t>Гольцмана</w:t>
        </w:r>
      </w:hyperlink>
      <w:r w:rsidRPr="00E93F40">
        <w:rPr>
          <w:color w:val="000000" w:themeColor="text1"/>
          <w:sz w:val="16"/>
          <w:szCs w:val="16"/>
        </w:rPr>
        <w:t xml:space="preserve">, </w:t>
      </w:r>
      <w:hyperlink r:id="rId34" w:history="1">
        <w:r w:rsidRPr="00E93F40">
          <w:rPr>
            <w:color w:val="000000" w:themeColor="text1"/>
            <w:sz w:val="16"/>
            <w:szCs w:val="16"/>
          </w:rPr>
          <w:t>Кагановича</w:t>
        </w:r>
        <w:r w:rsidR="007C1411" w:rsidRPr="00E93F40">
          <w:rPr>
            <w:color w:val="000000" w:themeColor="text1"/>
            <w:sz w:val="16"/>
            <w:szCs w:val="16"/>
          </w:rPr>
          <w:t xml:space="preserve"> </w:t>
        </w:r>
        <w:r w:rsidRPr="00E93F40">
          <w:rPr>
            <w:color w:val="000000" w:themeColor="text1"/>
            <w:sz w:val="16"/>
            <w:szCs w:val="16"/>
          </w:rPr>
          <w:t>М.</w:t>
        </w:r>
      </w:hyperlink>
      <w:r w:rsidRPr="00E93F40">
        <w:rPr>
          <w:color w:val="000000" w:themeColor="text1"/>
          <w:sz w:val="16"/>
          <w:szCs w:val="16"/>
        </w:rPr>
        <w:t>, Наумова и Макаровского.</w:t>
      </w:r>
    </w:p>
    <w:p w14:paraId="6ECC7C13" w14:textId="77777777"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Комиссии руководствоваться следующими установками:</w:t>
      </w:r>
    </w:p>
    <w:p w14:paraId="35C0E40F" w14:textId="11D89671"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Обеспечить максимальный выпуск в 1932</w:t>
      </w:r>
      <w:r w:rsidR="007C1411" w:rsidRPr="00E93F40">
        <w:rPr>
          <w:color w:val="000000" w:themeColor="text1"/>
          <w:sz w:val="16"/>
          <w:szCs w:val="16"/>
        </w:rPr>
        <w:t xml:space="preserve"> </w:t>
      </w:r>
      <w:r w:rsidRPr="00E93F40">
        <w:rPr>
          <w:color w:val="000000" w:themeColor="text1"/>
          <w:sz w:val="16"/>
          <w:szCs w:val="16"/>
        </w:rPr>
        <w:t>г. тяжелых бомбовозов, подчинив этой задаче все остальное, не останавливаясь перед сокращением программ гражданских производств и привлекая гражданские заводы к выполнению этого задания.</w:t>
      </w:r>
    </w:p>
    <w:p w14:paraId="43F9DBE8" w14:textId="1EA47431"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Завод №</w:t>
      </w:r>
      <w:r w:rsidR="007C1411" w:rsidRPr="00E93F40">
        <w:rPr>
          <w:color w:val="000000" w:themeColor="text1"/>
          <w:sz w:val="16"/>
          <w:szCs w:val="16"/>
        </w:rPr>
        <w:t xml:space="preserve"> </w:t>
      </w:r>
      <w:r w:rsidRPr="00E93F40">
        <w:rPr>
          <w:color w:val="000000" w:themeColor="text1"/>
          <w:sz w:val="16"/>
          <w:szCs w:val="16"/>
        </w:rPr>
        <w:t>24 немедленно освободить от выполнения других заданий, сосредоточив все усилия на производстве М</w:t>
      </w:r>
      <w:r w:rsidRPr="00E93F40">
        <w:rPr>
          <w:color w:val="000000" w:themeColor="text1"/>
          <w:sz w:val="16"/>
          <w:szCs w:val="16"/>
        </w:rPr>
        <w:noBreakHyphen/>
        <w:t>34. Освободить также от всех других заданий заводы, производящие тяжелые бомбовозы. Сосредоточить производство ТБ</w:t>
      </w:r>
      <w:r w:rsidRPr="00E93F40">
        <w:rPr>
          <w:color w:val="000000" w:themeColor="text1"/>
          <w:sz w:val="16"/>
          <w:szCs w:val="16"/>
        </w:rPr>
        <w:noBreakHyphen/>
        <w:t>3 максимум на 4 заводах.</w:t>
      </w:r>
    </w:p>
    <w:p w14:paraId="63761F8E" w14:textId="7461F34F"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Обеспечить в максимальной степени техснабжение моторо- и самолетостроительных заводов, производящих тяжелые бомбовозы.</w:t>
      </w:r>
    </w:p>
    <w:p w14:paraId="45A58757" w14:textId="20596353"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Обеспечить производство тяжелых бомбардировщиков квалифицированной рабочей силой и инженерно-техническим персоналом, не останавливаясь перед переброской с других заводов.</w:t>
      </w:r>
    </w:p>
    <w:p w14:paraId="7A45FF00" w14:textId="77777777"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Обсудить возможность привлечения в индивидуальном порядке иностранных мастеров и высококвалифицированных рабочих.</w:t>
      </w:r>
    </w:p>
    <w:p w14:paraId="6A54A081" w14:textId="2553E6E8"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Точно установить сроки окончания строительства заводов</w:t>
      </w:r>
      <w:r w:rsidR="007C1411" w:rsidRPr="00E93F40">
        <w:rPr>
          <w:color w:val="000000" w:themeColor="text1"/>
          <w:sz w:val="16"/>
          <w:szCs w:val="16"/>
        </w:rPr>
        <w:t xml:space="preserve"> </w:t>
      </w:r>
      <w:r w:rsidRPr="00E93F40">
        <w:rPr>
          <w:color w:val="000000" w:themeColor="text1"/>
          <w:sz w:val="16"/>
          <w:szCs w:val="16"/>
        </w:rPr>
        <w:t>— 18 (Воронеж), 22, 24 и 39 (Москва) и 26 (Рыбинск).</w:t>
      </w:r>
    </w:p>
    <w:p w14:paraId="4B9E584B" w14:textId="4D3CB840"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Максимально форсировать строительство 24</w:t>
      </w:r>
      <w:r w:rsidR="007C1411" w:rsidRPr="00E93F40">
        <w:rPr>
          <w:color w:val="000000" w:themeColor="text1"/>
          <w:sz w:val="16"/>
          <w:szCs w:val="16"/>
        </w:rPr>
        <w:t xml:space="preserve"> </w:t>
      </w:r>
      <w:r w:rsidRPr="00E93F40">
        <w:rPr>
          <w:color w:val="000000" w:themeColor="text1"/>
          <w:sz w:val="16"/>
          <w:szCs w:val="16"/>
        </w:rPr>
        <w:t>завода до мощности 15</w:t>
      </w:r>
      <w:r w:rsidR="007C1411" w:rsidRPr="00E93F40">
        <w:rPr>
          <w:color w:val="000000" w:themeColor="text1"/>
          <w:sz w:val="16"/>
          <w:szCs w:val="16"/>
        </w:rPr>
        <w:t xml:space="preserve"> </w:t>
      </w:r>
      <w:r w:rsidRPr="00E93F40">
        <w:rPr>
          <w:color w:val="000000" w:themeColor="text1"/>
          <w:sz w:val="16"/>
          <w:szCs w:val="16"/>
        </w:rPr>
        <w:t>тыс. моторов, 26</w:t>
      </w:r>
      <w:r w:rsidR="007C1411" w:rsidRPr="00E93F40">
        <w:rPr>
          <w:color w:val="000000" w:themeColor="text1"/>
          <w:sz w:val="16"/>
          <w:szCs w:val="16"/>
        </w:rPr>
        <w:t xml:space="preserve"> </w:t>
      </w:r>
      <w:r w:rsidRPr="00E93F40">
        <w:rPr>
          <w:color w:val="000000" w:themeColor="text1"/>
          <w:sz w:val="16"/>
          <w:szCs w:val="16"/>
        </w:rPr>
        <w:t>— до 10</w:t>
      </w:r>
      <w:r w:rsidR="007C1411" w:rsidRPr="00E93F40">
        <w:rPr>
          <w:color w:val="000000" w:themeColor="text1"/>
          <w:sz w:val="16"/>
          <w:szCs w:val="16"/>
        </w:rPr>
        <w:t xml:space="preserve"> </w:t>
      </w:r>
      <w:r w:rsidRPr="00E93F40">
        <w:rPr>
          <w:color w:val="000000" w:themeColor="text1"/>
          <w:sz w:val="16"/>
          <w:szCs w:val="16"/>
        </w:rPr>
        <w:t>тыс. Обсудить вопрос о производстве моторов «Либерти» и запасных частей к ним. Срок работы</w:t>
      </w:r>
      <w:r w:rsidR="007C1411" w:rsidRPr="00E93F40">
        <w:rPr>
          <w:color w:val="000000" w:themeColor="text1"/>
          <w:sz w:val="16"/>
          <w:szCs w:val="16"/>
        </w:rPr>
        <w:t xml:space="preserve"> </w:t>
      </w:r>
      <w:r w:rsidRPr="00E93F40">
        <w:rPr>
          <w:color w:val="000000" w:themeColor="text1"/>
          <w:sz w:val="16"/>
          <w:szCs w:val="16"/>
        </w:rPr>
        <w:t>— 7</w:t>
      </w:r>
      <w:r w:rsidR="007C1411" w:rsidRPr="00E93F40">
        <w:rPr>
          <w:color w:val="000000" w:themeColor="text1"/>
          <w:sz w:val="16"/>
          <w:szCs w:val="16"/>
        </w:rPr>
        <w:t xml:space="preserve"> </w:t>
      </w:r>
      <w:r w:rsidRPr="00E93F40">
        <w:rPr>
          <w:color w:val="000000" w:themeColor="text1"/>
          <w:sz w:val="16"/>
          <w:szCs w:val="16"/>
        </w:rPr>
        <w:t>дней. Результаты доложить КО 15</w:t>
      </w:r>
      <w:r w:rsidR="007C1411" w:rsidRPr="00E93F40">
        <w:rPr>
          <w:color w:val="000000" w:themeColor="text1"/>
          <w:sz w:val="16"/>
          <w:szCs w:val="16"/>
        </w:rPr>
        <w:t xml:space="preserve"> </w:t>
      </w:r>
      <w:r w:rsidRPr="00E93F40">
        <w:rPr>
          <w:color w:val="000000" w:themeColor="text1"/>
          <w:sz w:val="16"/>
          <w:szCs w:val="16"/>
        </w:rPr>
        <w:t>февраля 1932</w:t>
      </w:r>
      <w:r w:rsidR="007C1411" w:rsidRPr="00E93F40">
        <w:rPr>
          <w:color w:val="000000" w:themeColor="text1"/>
          <w:sz w:val="16"/>
          <w:szCs w:val="16"/>
        </w:rPr>
        <w:t xml:space="preserve"> </w:t>
      </w:r>
      <w:r w:rsidRPr="00E93F40">
        <w:rPr>
          <w:color w:val="000000" w:themeColor="text1"/>
          <w:sz w:val="16"/>
          <w:szCs w:val="16"/>
        </w:rPr>
        <w:t>г. Отпустить для трех авиационных заводов №</w:t>
      </w:r>
      <w:r w:rsidR="007C1411" w:rsidRPr="00E93F40">
        <w:rPr>
          <w:color w:val="000000" w:themeColor="text1"/>
          <w:sz w:val="16"/>
          <w:szCs w:val="16"/>
        </w:rPr>
        <w:t xml:space="preserve"> </w:t>
      </w:r>
      <w:r w:rsidRPr="00E93F40">
        <w:rPr>
          <w:color w:val="000000" w:themeColor="text1"/>
          <w:sz w:val="16"/>
          <w:szCs w:val="16"/>
        </w:rPr>
        <w:t>22, 24 и 29 12</w:t>
      </w:r>
      <w:r w:rsidR="007C1411" w:rsidRPr="00E93F40">
        <w:rPr>
          <w:color w:val="000000" w:themeColor="text1"/>
          <w:sz w:val="16"/>
          <w:szCs w:val="16"/>
        </w:rPr>
        <w:t xml:space="preserve"> </w:t>
      </w:r>
      <w:r w:rsidRPr="00E93F40">
        <w:rPr>
          <w:color w:val="000000" w:themeColor="text1"/>
          <w:sz w:val="16"/>
          <w:szCs w:val="16"/>
        </w:rPr>
        <w:t>грузовых автомобилей, 6</w:t>
      </w:r>
      <w:r w:rsidR="007C1411" w:rsidRPr="00E93F40">
        <w:rPr>
          <w:color w:val="000000" w:themeColor="text1"/>
          <w:sz w:val="16"/>
          <w:szCs w:val="16"/>
        </w:rPr>
        <w:t xml:space="preserve"> </w:t>
      </w:r>
      <w:r w:rsidRPr="00E93F40">
        <w:rPr>
          <w:color w:val="000000" w:themeColor="text1"/>
          <w:sz w:val="16"/>
          <w:szCs w:val="16"/>
        </w:rPr>
        <w:t>легковых автомобилей, 3 гусеничных трактора, 3</w:t>
      </w:r>
      <w:r w:rsidR="007C1411" w:rsidRPr="00E93F40">
        <w:rPr>
          <w:color w:val="000000" w:themeColor="text1"/>
          <w:sz w:val="16"/>
          <w:szCs w:val="16"/>
        </w:rPr>
        <w:t xml:space="preserve"> </w:t>
      </w:r>
      <w:r w:rsidRPr="00E93F40">
        <w:rPr>
          <w:color w:val="000000" w:themeColor="text1"/>
          <w:sz w:val="16"/>
          <w:szCs w:val="16"/>
        </w:rPr>
        <w:t>тягача-грузовика, 3</w:t>
      </w:r>
      <w:r w:rsidR="007C1411" w:rsidRPr="00E93F40">
        <w:rPr>
          <w:color w:val="000000" w:themeColor="text1"/>
          <w:sz w:val="16"/>
          <w:szCs w:val="16"/>
        </w:rPr>
        <w:t xml:space="preserve"> </w:t>
      </w:r>
      <w:r w:rsidRPr="00E93F40">
        <w:rPr>
          <w:color w:val="000000" w:themeColor="text1"/>
          <w:sz w:val="16"/>
          <w:szCs w:val="16"/>
        </w:rPr>
        <w:t>мотовоза, 2 экскаватора¹*.</w:t>
      </w:r>
    </w:p>
    <w:p w14:paraId="14AE1083"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Базилевич</w:t>
      </w:r>
    </w:p>
    <w:p w14:paraId="74BC2E34"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Примечание:</w:t>
      </w:r>
    </w:p>
    <w:p w14:paraId="72457F11" w14:textId="25CC199A"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разделы: «Проверка исполнения постановления спецкомиссии от 13</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«Аэрбомбы», «Разрезные крылья и тормозные колеса», «Тип мотора на Пермском заводе» (см. там же, л.</w:t>
      </w:r>
      <w:r w:rsidR="007C1411" w:rsidRPr="00E93F40">
        <w:rPr>
          <w:color w:val="000000" w:themeColor="text1"/>
          <w:sz w:val="16"/>
          <w:szCs w:val="16"/>
        </w:rPr>
        <w:t xml:space="preserve"> </w:t>
      </w:r>
      <w:r w:rsidRPr="00E93F40">
        <w:rPr>
          <w:color w:val="000000" w:themeColor="text1"/>
          <w:sz w:val="16"/>
          <w:szCs w:val="16"/>
        </w:rPr>
        <w:t>23</w:t>
      </w:r>
      <w:r w:rsidRPr="00E93F40">
        <w:rPr>
          <w:color w:val="000000" w:themeColor="text1"/>
          <w:sz w:val="16"/>
          <w:szCs w:val="16"/>
        </w:rPr>
        <w:noBreakHyphen/>
        <w:t>24).</w:t>
      </w:r>
    </w:p>
    <w:p w14:paraId="6F28AAE1" w14:textId="77777777"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ГА РФ. Ф. Р-8414. Оп. 5. Д. 163. Л. 21—23. Подлинник.</w:t>
      </w:r>
    </w:p>
    <w:p w14:paraId="063075C0" w14:textId="4974CBB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Р-8414. Оп. 5. Д. 163. Л. 21—23. Подлинник. </w:t>
      </w:r>
    </w:p>
    <w:p w14:paraId="0C21EB8B" w14:textId="770EBB8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625 (12550).</w:t>
      </w:r>
    </w:p>
    <w:p w14:paraId="0C55EE18" w14:textId="77777777" w:rsidR="00275520" w:rsidRPr="00E93F40" w:rsidRDefault="00275520" w:rsidP="00E93F40">
      <w:pPr>
        <w:spacing w:after="0" w:line="240" w:lineRule="auto"/>
        <w:jc w:val="both"/>
        <w:rPr>
          <w:rFonts w:ascii="Times New Roman" w:hAnsi="Times New Roman"/>
          <w:color w:val="000000" w:themeColor="text1"/>
          <w:sz w:val="16"/>
          <w:szCs w:val="16"/>
        </w:rPr>
      </w:pPr>
    </w:p>
    <w:p w14:paraId="579BC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февраля 1932 вышло постановление Правительства, предусмотревшее проработку вопросов об установке разрезных крыльев на самолетах серийного производства и конструировании тормозных колес для установки их на всех опытных самолетах (2286,21).</w:t>
      </w:r>
    </w:p>
    <w:p w14:paraId="0DB50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DA09B9" w14:textId="77777777" w:rsidR="0027552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BB3FB09" w14:textId="77777777" w:rsidR="00275520" w:rsidRPr="00E93F40" w:rsidRDefault="0027552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2B279C8" w14:textId="7EADADDD" w:rsidR="008561EF" w:rsidRPr="00E93F40" w:rsidRDefault="008561EF"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февраля 1932</w:t>
      </w:r>
      <w:r w:rsidR="007C1411" w:rsidRPr="00E93F40">
        <w:rPr>
          <w:color w:val="000000" w:themeColor="text1"/>
          <w:sz w:val="16"/>
          <w:szCs w:val="16"/>
        </w:rPr>
        <w:t xml:space="preserve"> </w:t>
      </w:r>
      <w:r w:rsidRPr="00E93F40">
        <w:rPr>
          <w:color w:val="000000" w:themeColor="text1"/>
          <w:sz w:val="16"/>
          <w:szCs w:val="16"/>
        </w:rPr>
        <w:t>г. на основании приказа №</w:t>
      </w:r>
      <w:r w:rsidR="007C1411" w:rsidRPr="00E93F40">
        <w:rPr>
          <w:color w:val="000000" w:themeColor="text1"/>
          <w:sz w:val="16"/>
          <w:szCs w:val="16"/>
        </w:rPr>
        <w:t xml:space="preserve"> </w:t>
      </w:r>
      <w:r w:rsidRPr="00E93F40">
        <w:rPr>
          <w:color w:val="000000" w:themeColor="text1"/>
          <w:sz w:val="16"/>
          <w:szCs w:val="16"/>
        </w:rPr>
        <w:t xml:space="preserve">25с НКТП было организовано </w:t>
      </w:r>
      <w:r w:rsidRPr="00E93F40">
        <w:rPr>
          <w:rStyle w:val="af0"/>
          <w:bCs/>
          <w:i w:val="0"/>
          <w:color w:val="000000" w:themeColor="text1"/>
          <w:sz w:val="16"/>
          <w:szCs w:val="16"/>
        </w:rPr>
        <w:t>Главное военно-мобилизационном управление (ГВМУ)</w:t>
      </w:r>
      <w:r w:rsidRPr="00E93F40">
        <w:rPr>
          <w:color w:val="000000" w:themeColor="text1"/>
          <w:sz w:val="16"/>
          <w:szCs w:val="16"/>
        </w:rPr>
        <w:t xml:space="preserve"> НКТП СССР от и подчинено непосредственно наркомату. ГВМУ с 1932</w:t>
      </w:r>
      <w:r w:rsidR="007C1411" w:rsidRPr="00E93F40">
        <w:rPr>
          <w:color w:val="000000" w:themeColor="text1"/>
          <w:sz w:val="16"/>
          <w:szCs w:val="16"/>
        </w:rPr>
        <w:t xml:space="preserve"> </w:t>
      </w:r>
      <w:r w:rsidRPr="00E93F40">
        <w:rPr>
          <w:color w:val="000000" w:themeColor="text1"/>
          <w:sz w:val="16"/>
          <w:szCs w:val="16"/>
        </w:rPr>
        <w:t>г. по 1935</w:t>
      </w:r>
      <w:r w:rsidR="007C1411" w:rsidRPr="00E93F40">
        <w:rPr>
          <w:color w:val="000000" w:themeColor="text1"/>
          <w:sz w:val="16"/>
          <w:szCs w:val="16"/>
        </w:rPr>
        <w:t xml:space="preserve"> </w:t>
      </w:r>
      <w:r w:rsidRPr="00E93F40">
        <w:rPr>
          <w:color w:val="000000" w:themeColor="text1"/>
          <w:sz w:val="16"/>
          <w:szCs w:val="16"/>
        </w:rPr>
        <w:t>г. объединяло в своей структуре Авиатрест, Орудийно-арсенальное объединение, Оружейно-пулеметный трест, объединение «Паттрубвзрыв», Военно-химический трест, Снарядный трест, Спецмаштрест, Всесоюзный трест искусственного волокна, Бензоскладстрой (всего более 120</w:t>
      </w:r>
      <w:r w:rsidR="007C1411" w:rsidRPr="00E93F40">
        <w:rPr>
          <w:color w:val="000000" w:themeColor="text1"/>
          <w:sz w:val="16"/>
          <w:szCs w:val="16"/>
        </w:rPr>
        <w:t xml:space="preserve"> </w:t>
      </w:r>
      <w:r w:rsidRPr="00E93F40">
        <w:rPr>
          <w:color w:val="000000" w:themeColor="text1"/>
          <w:sz w:val="16"/>
          <w:szCs w:val="16"/>
        </w:rPr>
        <w:t>заводов). Выполняло следующие функции: планирование и руководство всей военной промышленностью, регулирование и контроль деятельности предприятий, руководство технической реконструкцией, освоение новой техники и производств, организация финансовой политики и труда. ГВМУ ликвидировано на основании постановления №</w:t>
      </w:r>
      <w:r w:rsidR="007C1411" w:rsidRPr="00E93F40">
        <w:rPr>
          <w:color w:val="000000" w:themeColor="text1"/>
          <w:sz w:val="16"/>
          <w:szCs w:val="16"/>
        </w:rPr>
        <w:t xml:space="preserve"> </w:t>
      </w:r>
      <w:r w:rsidRPr="00E93F40">
        <w:rPr>
          <w:color w:val="000000" w:themeColor="text1"/>
          <w:sz w:val="16"/>
          <w:szCs w:val="16"/>
        </w:rPr>
        <w:t>51с СНК</w:t>
      </w:r>
      <w:r w:rsidR="007C1411" w:rsidRPr="00E93F40">
        <w:rPr>
          <w:color w:val="000000" w:themeColor="text1"/>
          <w:sz w:val="16"/>
          <w:szCs w:val="16"/>
        </w:rPr>
        <w:t xml:space="preserve"> </w:t>
      </w:r>
      <w:r w:rsidRPr="00E93F40">
        <w:rPr>
          <w:color w:val="000000" w:themeColor="text1"/>
          <w:sz w:val="16"/>
          <w:szCs w:val="16"/>
        </w:rPr>
        <w:t>СССР от 17</w:t>
      </w:r>
      <w:r w:rsidR="007C1411" w:rsidRPr="00E93F40">
        <w:rPr>
          <w:color w:val="000000" w:themeColor="text1"/>
          <w:sz w:val="16"/>
          <w:szCs w:val="16"/>
        </w:rPr>
        <w:t xml:space="preserve"> </w:t>
      </w:r>
      <w:r w:rsidRPr="00E93F40">
        <w:rPr>
          <w:color w:val="000000" w:themeColor="text1"/>
          <w:sz w:val="16"/>
          <w:szCs w:val="16"/>
        </w:rPr>
        <w:t>декабря 1935</w:t>
      </w:r>
      <w:r w:rsidR="007C1411" w:rsidRPr="00E93F40">
        <w:rPr>
          <w:color w:val="000000" w:themeColor="text1"/>
          <w:sz w:val="16"/>
          <w:szCs w:val="16"/>
        </w:rPr>
        <w:t xml:space="preserve"> </w:t>
      </w:r>
      <w:r w:rsidRPr="00E93F40">
        <w:rPr>
          <w:color w:val="000000" w:themeColor="text1"/>
          <w:sz w:val="16"/>
          <w:szCs w:val="16"/>
        </w:rPr>
        <w:t>г. и приказа №</w:t>
      </w:r>
      <w:r w:rsidR="007C1411" w:rsidRPr="00E93F40">
        <w:rPr>
          <w:color w:val="000000" w:themeColor="text1"/>
          <w:sz w:val="16"/>
          <w:szCs w:val="16"/>
        </w:rPr>
        <w:t xml:space="preserve"> </w:t>
      </w:r>
      <w:r w:rsidRPr="00E93F40">
        <w:rPr>
          <w:color w:val="000000" w:themeColor="text1"/>
          <w:sz w:val="16"/>
          <w:szCs w:val="16"/>
        </w:rPr>
        <w:t>1337 НКТП от 19</w:t>
      </w:r>
      <w:r w:rsidR="007C1411" w:rsidRPr="00E93F40">
        <w:rPr>
          <w:color w:val="000000" w:themeColor="text1"/>
          <w:sz w:val="16"/>
          <w:szCs w:val="16"/>
        </w:rPr>
        <w:t xml:space="preserve"> </w:t>
      </w:r>
      <w:r w:rsidRPr="00E93F40">
        <w:rPr>
          <w:color w:val="000000" w:themeColor="text1"/>
          <w:sz w:val="16"/>
          <w:szCs w:val="16"/>
        </w:rPr>
        <w:t>декабря 1935</w:t>
      </w:r>
      <w:r w:rsidR="007C1411" w:rsidRPr="00E93F40">
        <w:rPr>
          <w:color w:val="000000" w:themeColor="text1"/>
          <w:sz w:val="16"/>
          <w:szCs w:val="16"/>
        </w:rPr>
        <w:t xml:space="preserve"> </w:t>
      </w:r>
      <w:r w:rsidRPr="00E93F40">
        <w:rPr>
          <w:color w:val="000000" w:themeColor="text1"/>
          <w:sz w:val="16"/>
          <w:szCs w:val="16"/>
        </w:rPr>
        <w:t>г. На его базе было создано два новых управления</w:t>
      </w:r>
      <w:r w:rsidR="007C1411" w:rsidRPr="00E93F40">
        <w:rPr>
          <w:color w:val="000000" w:themeColor="text1"/>
          <w:sz w:val="16"/>
          <w:szCs w:val="16"/>
        </w:rPr>
        <w:t xml:space="preserve"> </w:t>
      </w:r>
      <w:r w:rsidRPr="00E93F40">
        <w:rPr>
          <w:color w:val="000000" w:themeColor="text1"/>
          <w:sz w:val="16"/>
          <w:szCs w:val="16"/>
        </w:rPr>
        <w:t>— Главное управление военной промышленности и Главное управление боеприпасов, выполнявших те же функции (15254).</w:t>
      </w:r>
    </w:p>
    <w:p w14:paraId="43F6F50D" w14:textId="77777777" w:rsidR="008561EF" w:rsidRPr="00E93F40" w:rsidRDefault="008561EF" w:rsidP="00E93F40">
      <w:pPr>
        <w:pStyle w:val="rtejustify"/>
        <w:spacing w:before="0" w:after="0"/>
        <w:rPr>
          <w:color w:val="000000" w:themeColor="text1"/>
          <w:sz w:val="16"/>
          <w:szCs w:val="16"/>
        </w:rPr>
      </w:pPr>
    </w:p>
    <w:p w14:paraId="7423D64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7 февраля 1932 </w:t>
      </w:r>
      <w:r w:rsidRPr="00E93F40">
        <w:rPr>
          <w:rFonts w:ascii="Times New Roman" w:hAnsi="Times New Roman"/>
          <w:color w:val="000000" w:themeColor="text1"/>
          <w:sz w:val="16"/>
          <w:szCs w:val="16"/>
        </w:rPr>
        <w:t>ЦИК и СНК приняли постановление «О выпуске государственного выигрышного займа 1932 г.» (12265).</w:t>
      </w:r>
    </w:p>
    <w:p w14:paraId="1DDF4FF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Комиссия исполнения при СНК приняла постановление «О развитии сланцевой промышленности» (12265).</w:t>
      </w:r>
    </w:p>
    <w:p w14:paraId="1B0C3E68" w14:textId="16393ED9"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3FC2D6AD" w14:textId="77777777" w:rsidR="008561EF"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0B27BD9" w14:textId="77777777" w:rsidR="008561EF" w:rsidRPr="00E93F40" w:rsidRDefault="008561E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45F4DF" w14:textId="77777777" w:rsidR="008561EF" w:rsidRPr="00E93F40" w:rsidRDefault="008561EF"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7 по 17 февраля 1932 в серии экспериментов James Chadwick доказал существование нейтрона (1039).</w:t>
      </w:r>
    </w:p>
    <w:p w14:paraId="78CFDBF6" w14:textId="77777777" w:rsidR="008561EF" w:rsidRPr="00E93F40" w:rsidRDefault="008561EF" w:rsidP="00E93F40">
      <w:pPr>
        <w:autoSpaceDE w:val="0"/>
        <w:autoSpaceDN w:val="0"/>
        <w:adjustRightInd w:val="0"/>
        <w:spacing w:after="0" w:line="240" w:lineRule="auto"/>
        <w:jc w:val="both"/>
        <w:rPr>
          <w:rFonts w:ascii="Times New Roman" w:hAnsi="Times New Roman"/>
          <w:color w:val="000000" w:themeColor="text1"/>
          <w:sz w:val="16"/>
          <w:szCs w:val="16"/>
        </w:rPr>
      </w:pPr>
    </w:p>
    <w:p w14:paraId="59365B1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5522CF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94F4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11 и 15 февраля и 7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 (3002).</w:t>
      </w:r>
    </w:p>
    <w:p w14:paraId="497D3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E64B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после опробования машины в воздухе И.Ф.Козлов перегнал И-12 (АНТ-23) в Монино, где продолжились наземные огневые испытания. Первые наземные стрельбы на аэродроме НИИ ВВС состоялись еще 11 ноября 1931 (2693,15).</w:t>
      </w:r>
    </w:p>
    <w:p w14:paraId="71E479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3D01BA"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г. летчик Козлов перегнал самолет И-12 (АНТ-23) на аэродром Монино, где в тот же день был проведен повторный отстрел пушек на земле – сделано 26 выстрелов. Были отказы пневмомеханизма полуавтоматического перезаряжания пушек (неподача снаряда из магазина в ствол – задержка выстрела устранялась повторной перезарядкой) и на этот раз были повреждения –деформация обшивки и нервюр стабилизатора (23136).</w:t>
      </w:r>
    </w:p>
    <w:p w14:paraId="7F78259E" w14:textId="77777777" w:rsidR="00CA4331" w:rsidRPr="00E93F40" w:rsidRDefault="00CA4331" w:rsidP="00E93F40">
      <w:pPr>
        <w:spacing w:after="0" w:line="240" w:lineRule="auto"/>
        <w:jc w:val="both"/>
        <w:rPr>
          <w:rFonts w:ascii="Times New Roman" w:hAnsi="Times New Roman"/>
          <w:color w:val="000000" w:themeColor="text1"/>
          <w:sz w:val="16"/>
          <w:szCs w:val="16"/>
        </w:rPr>
      </w:pPr>
    </w:p>
    <w:p w14:paraId="651DE453" w14:textId="77777777" w:rsidR="00E05DC1" w:rsidRPr="00E93F40" w:rsidRDefault="00E05DC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И-12 перелетел в Монино, где провели повторные наземные испытания си</w:t>
      </w:r>
      <w:r w:rsidRPr="00E93F40">
        <w:rPr>
          <w:rFonts w:ascii="Times New Roman" w:hAnsi="Times New Roman"/>
          <w:color w:val="000000" w:themeColor="text1"/>
          <w:sz w:val="16"/>
          <w:szCs w:val="16"/>
        </w:rPr>
        <w:softHyphen/>
        <w:t>стемы вооружения. После 26 выстрелов деформировался силовой каркас и обшивка ста</w:t>
      </w:r>
      <w:r w:rsidRPr="00E93F40">
        <w:rPr>
          <w:rFonts w:ascii="Times New Roman" w:hAnsi="Times New Roman"/>
          <w:color w:val="000000" w:themeColor="text1"/>
          <w:sz w:val="16"/>
          <w:szCs w:val="16"/>
        </w:rPr>
        <w:softHyphen/>
        <w:t>билизатора, самолёт возвратился на Центральный аэродром, где специалисты ЦАГИ выполнили ремонт хвостового оперения, совместно с группой Л.</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 Курчевского устрани</w:t>
      </w:r>
      <w:r w:rsidRPr="00E93F40">
        <w:rPr>
          <w:rFonts w:ascii="Times New Roman" w:hAnsi="Times New Roman"/>
          <w:color w:val="000000" w:themeColor="text1"/>
          <w:sz w:val="16"/>
          <w:szCs w:val="16"/>
        </w:rPr>
        <w:softHyphen/>
        <w:t>ли отказы пневмосистемы заряжающего механизма пушек и на 350 мм удлинили газоотводящие трубы (15823).</w:t>
      </w:r>
    </w:p>
    <w:p w14:paraId="46CD40C2" w14:textId="77777777" w:rsidR="00E05DC1" w:rsidRPr="00E93F40" w:rsidRDefault="00E05DC1" w:rsidP="00E93F40">
      <w:pPr>
        <w:spacing w:after="0" w:line="240" w:lineRule="auto"/>
        <w:jc w:val="both"/>
        <w:rPr>
          <w:rFonts w:ascii="Times New Roman" w:hAnsi="Times New Roman"/>
          <w:color w:val="000000" w:themeColor="text1"/>
          <w:sz w:val="16"/>
          <w:szCs w:val="16"/>
        </w:rPr>
      </w:pPr>
    </w:p>
    <w:p w14:paraId="4B3A2EF0" w14:textId="77777777" w:rsidR="00AE6CFB" w:rsidRPr="00E93F40" w:rsidRDefault="00AE6CFB" w:rsidP="00E93F40">
      <w:pPr>
        <w:pStyle w:val="rtejustify"/>
        <w:shd w:val="clear" w:color="auto" w:fill="FFFFFF"/>
        <w:spacing w:before="0" w:after="0"/>
        <w:rPr>
          <w:color w:val="000000" w:themeColor="text1"/>
          <w:sz w:val="16"/>
          <w:szCs w:val="16"/>
        </w:rPr>
      </w:pPr>
      <w:r w:rsidRPr="00E93F40">
        <w:rPr>
          <w:color w:val="000000" w:themeColor="text1"/>
          <w:sz w:val="16"/>
          <w:szCs w:val="16"/>
        </w:rPr>
        <w:t>8 февраля 1932 самолет И-12 перелетел в Монино, где были проведены повторные наземные испытания системы вооружения. После 26 выстрелов деформировался силовой каркас и обшивка стабилизатора, самолет возвратился на Центральный аэродром, где специалисты ЦАГИ выполнили ремонт хвостового оперения, совместно с группой Л. В. Курчевского устранили отказы пневмосистемы заряжающего механизма пушек и на 350 мм удлинили газоотводящие трубы. 13 марта самолет выполнил контрольный полет (19172).</w:t>
      </w:r>
    </w:p>
    <w:p w14:paraId="12278C93" w14:textId="77777777" w:rsidR="00AE6CFB" w:rsidRPr="00E93F40" w:rsidRDefault="00AE6CFB" w:rsidP="00E93F40">
      <w:pPr>
        <w:pStyle w:val="ae"/>
        <w:shd w:val="clear" w:color="auto" w:fill="FFFFFF"/>
        <w:spacing w:before="0" w:after="0"/>
        <w:jc w:val="both"/>
        <w:textAlignment w:val="baseline"/>
        <w:rPr>
          <w:color w:val="000000" w:themeColor="text1"/>
          <w:sz w:val="16"/>
          <w:szCs w:val="16"/>
        </w:rPr>
      </w:pPr>
    </w:p>
    <w:p w14:paraId="12489F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летчик-испытатель Иван Фролович Козлов перегнал И-12 на аэродром в Монино, где были продолжены наземные огневые испытания (12091).</w:t>
      </w:r>
    </w:p>
    <w:p w14:paraId="07215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448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года самолет И-12 с двумя пушками ДРП был готов к испытанию. 8 февраля было сделано 26 выстрелов на земле: у стабилизатора подогнуты нервюры и погнута обшивка, пневматика заряжающего механизма пушки отказывала в действии. Хвостовое оперение ЦАГИ переделало вновь; на пушке изменена длина отводящей трубы и к 10 марта 1932 года самолет был готов к полету (7416, 58-59).</w:t>
      </w:r>
    </w:p>
    <w:p w14:paraId="50CB9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6E7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года 2 пушки АПК-4 на самолете И-12, которые испытывал ЦАГИ и завод № 39 совместно с НИИ, отстреливались на земле. Было произведено 26 выстрелов, из коих два выстрела были залповые. При стрельбе полуавтоматика работала не совсем исправно, было рад задержек из-за неподачи очередного снаряда из магазина в канал пушки (7470, 244).</w:t>
      </w:r>
    </w:p>
    <w:p w14:paraId="5E077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B5E8B5"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8 февраля 1932 г. после опробования И-12 (АНТ-23) машины в воздухе летчик испытатель Иван Фролович Козлов перегнал И-12 на аэродром в Монино, где были продолжены наземные огневые испытания (25213).</w:t>
      </w:r>
    </w:p>
    <w:p w14:paraId="43AD1F0D" w14:textId="77777777" w:rsidR="00643739" w:rsidRPr="00142305" w:rsidRDefault="00643739" w:rsidP="00643739">
      <w:pPr>
        <w:spacing w:after="0" w:line="240" w:lineRule="auto"/>
        <w:jc w:val="both"/>
        <w:rPr>
          <w:rFonts w:ascii="Times New Roman" w:hAnsi="Times New Roman"/>
          <w:color w:val="0070C0"/>
          <w:sz w:val="16"/>
          <w:szCs w:val="16"/>
        </w:rPr>
      </w:pPr>
    </w:p>
    <w:p w14:paraId="638D1182"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февраля 1931 года, после проверки машины в воздухе, летчик-испытатель И.Ф. Козлов перегнал И-12 АНТ-23 в Монино, где продолжились наземные огневые испытания (25642).</w:t>
      </w:r>
    </w:p>
    <w:p w14:paraId="35E5959F" w14:textId="77777777" w:rsidR="00643739" w:rsidRPr="00142305" w:rsidRDefault="00643739" w:rsidP="00643739">
      <w:pPr>
        <w:spacing w:after="0" w:line="240" w:lineRule="auto"/>
        <w:jc w:val="both"/>
        <w:rPr>
          <w:rFonts w:ascii="Times New Roman" w:hAnsi="Times New Roman"/>
          <w:color w:val="0070C0"/>
          <w:sz w:val="16"/>
          <w:szCs w:val="16"/>
        </w:rPr>
      </w:pPr>
    </w:p>
    <w:p w14:paraId="5EE16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года врид начальника ВВС Наумов писал письмо № 3Н2/016 Тухачевскому</w:t>
      </w:r>
    </w:p>
    <w:p w14:paraId="081E04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организации Бюро Попова</w:t>
      </w:r>
    </w:p>
    <w:p w14:paraId="02AD86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Бюро Попова расположено в Школе спецслужб при Октябрьском аэродроме.</w:t>
      </w:r>
    </w:p>
    <w:p w14:paraId="56050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поделок будут использованы мастерские Гроховского.</w:t>
      </w:r>
    </w:p>
    <w:p w14:paraId="1AB06D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Выделен на работу инженер Попов и 2 чертежника из НИИ.</w:t>
      </w:r>
    </w:p>
    <w:p w14:paraId="7D72C5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конструктора от руководителя Максимова (7428, 13).</w:t>
      </w:r>
    </w:p>
    <w:p w14:paraId="37228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EAC1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8 февраля 1932 по 21 июня (3 марта - 390,124) 1932 проводились летные испытания первого советского автопилота АВП-1 на ТБ-1 (237,163). Летали Г.В.Коренев, Д.Ф.Тихомиров, А.А.Колосов (390,124).</w:t>
      </w:r>
    </w:p>
    <w:p w14:paraId="430D9B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0F5A5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40A987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8829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НКТП Г.К.О. подписал заказ на производство 10000 танков (2000 БТ - ХПЗ, 3000 Т-26 - Большевик, 5000 танкеток - Москва и Нижний) (9089,157).</w:t>
      </w:r>
    </w:p>
    <w:p w14:paraId="6399F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9E23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УММ РККА утвердил проект тяжелого танка, который был разработан в ОКМО завода Большевик по ТТТ ноября 1931. Потом стал Т-35 (9527,119).</w:t>
      </w:r>
    </w:p>
    <w:p w14:paraId="3ECAE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ED3C31" w14:textId="77777777" w:rsidR="00CA4331" w:rsidRPr="00E93F40" w:rsidRDefault="00CA433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8 февраля 1932 года на "Большевик" пришло письмо от начальника НТК УММ КА Г.Г. Бокиса. В нем он приказал, до особого распоряжения, выпускать Т-26 с чисто пулеметным вооружением. То есть чисто пулеметные танки - это исключительно вынужденная мера (20740).</w:t>
      </w:r>
    </w:p>
    <w:p w14:paraId="5E2AE9B5" w14:textId="77777777" w:rsidR="00CA4331" w:rsidRPr="00E93F40" w:rsidRDefault="00CA433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9B0D751"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8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87. 8. О строительстве Ижевского завода (ПБ от 23 января 1932 г., пр. № 85, п. 4). (Орджоникидзе, Прокофьев, Темкин и др.). 16. О гаражах и авторемонтных базах по линии гражданских и военных ведомств (Акулов, Каганович, Ворошилов). (Политбюро... Т. 2. С. 269) (12416).</w:t>
      </w:r>
    </w:p>
    <w:p w14:paraId="6040EDB4"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p>
    <w:p w14:paraId="35EC03D5" w14:textId="77777777"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w:t>
      </w:r>
    </w:p>
    <w:p w14:paraId="3A5BDC5E" w14:textId="11CA1CF2"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87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7121E1C1" w14:textId="0A2C8472"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8</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3BDEA0A0" w14:textId="38D8B453"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О строительстве Ижевского завода</w:t>
      </w:r>
    </w:p>
    <w:p w14:paraId="66C4E92C" w14:textId="12E4198B" w:rsidR="00AE6CFB"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r w:rsidR="00AE6CFB" w:rsidRPr="00E93F40">
        <w:rPr>
          <w:rFonts w:ascii="Times New Roman" w:hAnsi="Times New Roman"/>
          <w:color w:val="000000" w:themeColor="text1"/>
          <w:sz w:val="16"/>
          <w:szCs w:val="16"/>
        </w:rPr>
        <w:t>(ПБ от 23.I.32</w:t>
      </w:r>
      <w:r w:rsidRPr="00E93F40">
        <w:rPr>
          <w:rFonts w:ascii="Times New Roman" w:hAnsi="Times New Roman"/>
          <w:color w:val="000000" w:themeColor="text1"/>
          <w:sz w:val="16"/>
          <w:szCs w:val="16"/>
        </w:rPr>
        <w:t xml:space="preserve"> </w:t>
      </w:r>
      <w:r w:rsidR="00AE6CFB" w:rsidRPr="00E93F40">
        <w:rPr>
          <w:rFonts w:ascii="Times New Roman" w:hAnsi="Times New Roman"/>
          <w:color w:val="000000" w:themeColor="text1"/>
          <w:sz w:val="16"/>
          <w:szCs w:val="16"/>
        </w:rPr>
        <w:t>г., пр.</w:t>
      </w:r>
      <w:r w:rsidRPr="00E93F40">
        <w:rPr>
          <w:rFonts w:ascii="Times New Roman" w:hAnsi="Times New Roman"/>
          <w:color w:val="000000" w:themeColor="text1"/>
          <w:sz w:val="16"/>
          <w:szCs w:val="16"/>
        </w:rPr>
        <w:t xml:space="preserve"> </w:t>
      </w:r>
      <w:r w:rsidR="00AE6CFB"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 xml:space="preserve"> </w:t>
      </w:r>
      <w:r w:rsidR="00AE6CFB" w:rsidRPr="00E93F40">
        <w:rPr>
          <w:rFonts w:ascii="Times New Roman" w:hAnsi="Times New Roman"/>
          <w:color w:val="000000" w:themeColor="text1"/>
          <w:sz w:val="16"/>
          <w:szCs w:val="16"/>
        </w:rPr>
        <w:t>85, п.</w:t>
      </w:r>
      <w:r w:rsidRPr="00E93F40">
        <w:rPr>
          <w:rFonts w:ascii="Times New Roman" w:hAnsi="Times New Roman"/>
          <w:color w:val="000000" w:themeColor="text1"/>
          <w:sz w:val="16"/>
          <w:szCs w:val="16"/>
        </w:rPr>
        <w:t xml:space="preserve"> </w:t>
      </w:r>
      <w:r w:rsidR="00AE6CFB" w:rsidRPr="00E93F40">
        <w:rPr>
          <w:rFonts w:ascii="Times New Roman" w:hAnsi="Times New Roman"/>
          <w:color w:val="000000" w:themeColor="text1"/>
          <w:sz w:val="16"/>
          <w:szCs w:val="16"/>
        </w:rPr>
        <w:t>4).</w:t>
      </w:r>
    </w:p>
    <w:p w14:paraId="2B322F07" w14:textId="52E58EE7"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(Орджоникидзе, Прокофьев, Темкин, Трейдуб, Каганович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Межлаук, Гуревич).</w:t>
      </w:r>
    </w:p>
    <w:p w14:paraId="3F42E48D" w14:textId="5DCF0767"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Проект постановления, предложенный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Орджоникидзе, утвердить, за исключением пункта о четырехмиллионном импорте, каковой пункт исключить (</w:t>
      </w:r>
      <w:hyperlink r:id="rId35"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1</w:t>
        </w:r>
      </w:hyperlink>
      <w:r w:rsidRPr="00E93F40">
        <w:rPr>
          <w:rFonts w:ascii="Times New Roman" w:hAnsi="Times New Roman"/>
          <w:color w:val="000000" w:themeColor="text1"/>
          <w:sz w:val="16"/>
          <w:szCs w:val="16"/>
        </w:rPr>
        <w:t>).</w:t>
      </w:r>
    </w:p>
    <w:p w14:paraId="0446DA3B" w14:textId="77777777"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Предложить Наркомтяжу поискать у себя оборудование, могущее заменить импортное, а если таковое не найдется, то растянуть реконструкцию, но на срок не более, чем на полгода.</w:t>
      </w:r>
    </w:p>
    <w:p w14:paraId="2D2EB737" w14:textId="645D066F"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p w14:paraId="74379224" w14:textId="3938895F"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87.</w:t>
      </w:r>
    </w:p>
    <w:p w14:paraId="12EE7521" w14:textId="710CA703"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8.II.1932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 реконструкции Ижевских заводов.</w:t>
      </w:r>
    </w:p>
    <w:p w14:paraId="611024D0" w14:textId="72574A36"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Утвердить реконструкцию Ижевских заводов на выпуск 60.000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готового проката и 30.000 комплектов авиапоковок, с общей суммой затрат не металлургию и авиаблок 50</w:t>
      </w:r>
      <w:r w:rsidRPr="00E93F40">
        <w:rPr>
          <w:rFonts w:ascii="Times New Roman" w:hAnsi="Times New Roman"/>
          <w:color w:val="000000" w:themeColor="text1"/>
          <w:sz w:val="16"/>
          <w:szCs w:val="16"/>
        </w:rPr>
        <w:noBreakHyphen/>
        <w:t>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 Срок пуска в эксплуатацию цехов и агрегатов установить 1</w:t>
      </w:r>
      <w:r w:rsidRPr="00E93F40">
        <w:rPr>
          <w:rFonts w:ascii="Times New Roman" w:hAnsi="Times New Roman"/>
          <w:color w:val="000000" w:themeColor="text1"/>
          <w:sz w:val="16"/>
          <w:szCs w:val="16"/>
        </w:rPr>
        <w:noBreakHyphen/>
        <w:t>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Реконструкцию вести таким образом, чтобы в случае необходимости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иметь возможность дальнейшего расширения.</w:t>
      </w:r>
    </w:p>
    <w:p w14:paraId="436137BF" w14:textId="77777777"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Предложить НКПС:</w:t>
      </w:r>
    </w:p>
    <w:p w14:paraId="03A481B8" w14:textId="76134C63"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основе утвержденной реконструкции завода обеспечить своевременно реконструкцию железнодорожного транспорта (Ижевск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Агрыз, Ижевск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Гальяны).</w:t>
      </w:r>
    </w:p>
    <w:p w14:paraId="59110F76" w14:textId="3F868B88"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Выделить в распоряжение заводов для строительства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паровоза и 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вагонов.</w:t>
      </w:r>
    </w:p>
    <w:p w14:paraId="7E8B14BB" w14:textId="77777777"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Включить реконструкцию Ижевских заводов в число ударных строек.</w:t>
      </w:r>
    </w:p>
    <w:p w14:paraId="38A7353B" w14:textId="77777777"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Поручить НКТП разработать мероприятия, обеспечивающие темпы строительства и окончания его в установленный срок.</w:t>
      </w:r>
    </w:p>
    <w:p w14:paraId="01B1F679" w14:textId="4D5849A3"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234931DD" w14:textId="77777777" w:rsidR="00AE6CFB" w:rsidRPr="00E93F40" w:rsidRDefault="00AE6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(18124).</w:t>
      </w:r>
    </w:p>
    <w:p w14:paraId="4A0A9DB7" w14:textId="77777777" w:rsidR="00AE6CFB" w:rsidRPr="00E93F40" w:rsidRDefault="00AE6CFB" w:rsidP="00E93F40">
      <w:pPr>
        <w:spacing w:after="0" w:line="240" w:lineRule="auto"/>
        <w:jc w:val="both"/>
        <w:rPr>
          <w:rFonts w:ascii="Times New Roman" w:hAnsi="Times New Roman"/>
          <w:color w:val="000000" w:themeColor="text1"/>
          <w:sz w:val="16"/>
          <w:szCs w:val="16"/>
        </w:rPr>
      </w:pPr>
    </w:p>
    <w:p w14:paraId="14514954"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8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52/36сс о выделении НКВМ фондов стройматериалов на I квартал 1932 г. по спецстроительству (ГА РФ. Ф. Р?8418. Оп. 28. Д. 1а. Л. 122?125) (12415).</w:t>
      </w:r>
    </w:p>
    <w:p w14:paraId="0D76D8CF"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p>
    <w:p w14:paraId="23684701" w14:textId="55371E2B" w:rsidR="00E05DC1" w:rsidRPr="00E93F40" w:rsidRDefault="00E05DC1" w:rsidP="00E93F40">
      <w:pPr>
        <w:pStyle w:val="rtejustify"/>
        <w:spacing w:before="0" w:after="0"/>
        <w:rPr>
          <w:color w:val="000000" w:themeColor="text1"/>
          <w:sz w:val="16"/>
          <w:szCs w:val="16"/>
        </w:rPr>
      </w:pPr>
      <w:r w:rsidRPr="00E93F40">
        <w:rPr>
          <w:color w:val="000000" w:themeColor="text1"/>
          <w:sz w:val="16"/>
          <w:szCs w:val="16"/>
        </w:rPr>
        <w:t>8</w:t>
      </w:r>
      <w:r w:rsidR="007C1411" w:rsidRPr="00E93F40">
        <w:rPr>
          <w:color w:val="000000" w:themeColor="text1"/>
          <w:sz w:val="16"/>
          <w:szCs w:val="16"/>
        </w:rPr>
        <w:t xml:space="preserve"> </w:t>
      </w:r>
      <w:r w:rsidRPr="00E93F40">
        <w:rPr>
          <w:color w:val="000000" w:themeColor="text1"/>
          <w:sz w:val="16"/>
          <w:szCs w:val="16"/>
        </w:rPr>
        <w:t>февраля 1932</w:t>
      </w:r>
      <w:r w:rsidR="007C1411" w:rsidRPr="00E93F40">
        <w:rPr>
          <w:color w:val="000000" w:themeColor="text1"/>
          <w:sz w:val="16"/>
          <w:szCs w:val="16"/>
        </w:rPr>
        <w:t xml:space="preserve"> </w:t>
      </w:r>
      <w:r w:rsidRPr="00E93F40">
        <w:rPr>
          <w:color w:val="000000" w:themeColor="text1"/>
          <w:sz w:val="16"/>
          <w:szCs w:val="16"/>
        </w:rPr>
        <w:t>г. в составе НКТП Постановлением коллегии НКТП СССР №</w:t>
      </w:r>
      <w:r w:rsidR="007C1411" w:rsidRPr="00E93F40">
        <w:rPr>
          <w:color w:val="000000" w:themeColor="text1"/>
          <w:sz w:val="16"/>
          <w:szCs w:val="16"/>
        </w:rPr>
        <w:t xml:space="preserve"> </w:t>
      </w:r>
      <w:r w:rsidRPr="00E93F40">
        <w:rPr>
          <w:color w:val="000000" w:themeColor="text1"/>
          <w:sz w:val="16"/>
          <w:szCs w:val="16"/>
        </w:rPr>
        <w:t xml:space="preserve">53 было создано </w:t>
      </w:r>
      <w:r w:rsidRPr="00E93F40">
        <w:rPr>
          <w:rStyle w:val="af0"/>
          <w:bCs/>
          <w:i w:val="0"/>
          <w:color w:val="000000" w:themeColor="text1"/>
          <w:sz w:val="16"/>
          <w:szCs w:val="16"/>
        </w:rPr>
        <w:t>Главное управление электротехнической и котлотурбинной промышленности (Главэнергопром)</w:t>
      </w:r>
      <w:r w:rsidRPr="00E93F40">
        <w:rPr>
          <w:color w:val="000000" w:themeColor="text1"/>
          <w:sz w:val="16"/>
          <w:szCs w:val="16"/>
        </w:rPr>
        <w:t>. Этим же постановлением Всесоюзное электротехническое объединение ВСНХ</w:t>
      </w:r>
      <w:r w:rsidR="007C1411" w:rsidRPr="00E93F40">
        <w:rPr>
          <w:color w:val="000000" w:themeColor="text1"/>
          <w:sz w:val="16"/>
          <w:szCs w:val="16"/>
        </w:rPr>
        <w:t xml:space="preserve"> </w:t>
      </w:r>
      <w:r w:rsidRPr="00E93F40">
        <w:rPr>
          <w:color w:val="000000" w:themeColor="text1"/>
          <w:sz w:val="16"/>
          <w:szCs w:val="16"/>
        </w:rPr>
        <w:t xml:space="preserve">СССР, Всесоюзное объединение </w:t>
      </w:r>
      <w:r w:rsidRPr="00E93F40">
        <w:rPr>
          <w:color w:val="000000" w:themeColor="text1"/>
          <w:sz w:val="16"/>
          <w:szCs w:val="16"/>
        </w:rPr>
        <w:lastRenderedPageBreak/>
        <w:t>электрослаботочной промышленности и ряд других объединений передавались в ведение Главэнергопрома. В целях дальнейшей специализации управления тяжелой промышленностью приказом по НКТП №</w:t>
      </w:r>
      <w:r w:rsidR="007C1411" w:rsidRPr="00E93F40">
        <w:rPr>
          <w:color w:val="000000" w:themeColor="text1"/>
          <w:sz w:val="16"/>
          <w:szCs w:val="16"/>
        </w:rPr>
        <w:t xml:space="preserve"> </w:t>
      </w:r>
      <w:r w:rsidRPr="00E93F40">
        <w:rPr>
          <w:color w:val="000000" w:themeColor="text1"/>
          <w:sz w:val="16"/>
          <w:szCs w:val="16"/>
        </w:rPr>
        <w:t>767 от 31</w:t>
      </w:r>
      <w:r w:rsidR="007C1411" w:rsidRPr="00E93F40">
        <w:rPr>
          <w:color w:val="000000" w:themeColor="text1"/>
          <w:sz w:val="16"/>
          <w:szCs w:val="16"/>
        </w:rPr>
        <w:t xml:space="preserve"> </w:t>
      </w:r>
      <w:r w:rsidRPr="00E93F40">
        <w:rPr>
          <w:color w:val="000000" w:themeColor="text1"/>
          <w:sz w:val="16"/>
          <w:szCs w:val="16"/>
        </w:rPr>
        <w:t>августа 1933</w:t>
      </w:r>
      <w:r w:rsidR="007C1411" w:rsidRPr="00E93F40">
        <w:rPr>
          <w:color w:val="000000" w:themeColor="text1"/>
          <w:sz w:val="16"/>
          <w:szCs w:val="16"/>
        </w:rPr>
        <w:t xml:space="preserve"> </w:t>
      </w:r>
      <w:r w:rsidRPr="00E93F40">
        <w:rPr>
          <w:color w:val="000000" w:themeColor="text1"/>
          <w:sz w:val="16"/>
          <w:szCs w:val="16"/>
        </w:rPr>
        <w:t>г. Главэнергопром был разукрупнен: из его ведения было выделено Главное управление слаботочной промышленности, а также ликвидированы ВЭО (ВЭСО) с подчинением ряда заводов непосредственно Главэнергопрому. Согласно этому же приказу на базе ВЭО был организован Государственный Всесоюзный электротехнический трест (ВЭТ) в составе Главэнергопрома. К 1937</w:t>
      </w:r>
      <w:r w:rsidR="007C1411" w:rsidRPr="00E93F40">
        <w:rPr>
          <w:color w:val="000000" w:themeColor="text1"/>
          <w:sz w:val="16"/>
          <w:szCs w:val="16"/>
        </w:rPr>
        <w:t xml:space="preserve"> </w:t>
      </w:r>
      <w:r w:rsidRPr="00E93F40">
        <w:rPr>
          <w:color w:val="000000" w:themeColor="text1"/>
          <w:sz w:val="16"/>
          <w:szCs w:val="16"/>
        </w:rPr>
        <w:t>г. в связи с развитием и дальнейшим усилением специализации различных отраслей электротехнической промышленности вновь возникла необходимость разукрупнения Главэнергопрома. Постановлением СНК</w:t>
      </w:r>
      <w:r w:rsidR="007C1411" w:rsidRPr="00E93F40">
        <w:rPr>
          <w:color w:val="000000" w:themeColor="text1"/>
          <w:sz w:val="16"/>
          <w:szCs w:val="16"/>
        </w:rPr>
        <w:t xml:space="preserve"> </w:t>
      </w:r>
      <w:r w:rsidRPr="00E93F40">
        <w:rPr>
          <w:color w:val="000000" w:themeColor="text1"/>
          <w:sz w:val="16"/>
          <w:szCs w:val="16"/>
        </w:rPr>
        <w:t>СССР №</w:t>
      </w:r>
      <w:r w:rsidR="007C1411" w:rsidRPr="00E93F40">
        <w:rPr>
          <w:color w:val="000000" w:themeColor="text1"/>
          <w:sz w:val="16"/>
          <w:szCs w:val="16"/>
        </w:rPr>
        <w:t xml:space="preserve"> </w:t>
      </w:r>
      <w:r w:rsidRPr="00E93F40">
        <w:rPr>
          <w:color w:val="000000" w:themeColor="text1"/>
          <w:sz w:val="16"/>
          <w:szCs w:val="16"/>
        </w:rPr>
        <w:t>761 от 11</w:t>
      </w:r>
      <w:r w:rsidR="007C1411" w:rsidRPr="00E93F40">
        <w:rPr>
          <w:color w:val="000000" w:themeColor="text1"/>
          <w:sz w:val="16"/>
          <w:szCs w:val="16"/>
        </w:rPr>
        <w:t xml:space="preserve"> </w:t>
      </w:r>
      <w:r w:rsidRPr="00E93F40">
        <w:rPr>
          <w:color w:val="000000" w:themeColor="text1"/>
          <w:sz w:val="16"/>
          <w:szCs w:val="16"/>
        </w:rPr>
        <w:t>мая 1937</w:t>
      </w:r>
      <w:r w:rsidR="007C1411" w:rsidRPr="00E93F40">
        <w:rPr>
          <w:color w:val="000000" w:themeColor="text1"/>
          <w:sz w:val="16"/>
          <w:szCs w:val="16"/>
        </w:rPr>
        <w:t xml:space="preserve"> </w:t>
      </w:r>
      <w:r w:rsidRPr="00E93F40">
        <w:rPr>
          <w:color w:val="000000" w:themeColor="text1"/>
          <w:sz w:val="16"/>
          <w:szCs w:val="16"/>
        </w:rPr>
        <w:t>г. Главэнергопром был разукрупнен на два главка: Главное управление по производству электротехнического оборудования и Главное управление по производству теплосилового и электротехнического оборудования для электрических станций и судов, а также для крупных установок металлургической, химической и других отраслей промышленности. Этим же постановлением ВЭТ ликвидировался. В связи с постановлением СНК</w:t>
      </w:r>
      <w:r w:rsidR="007C1411" w:rsidRPr="00E93F40">
        <w:rPr>
          <w:color w:val="000000" w:themeColor="text1"/>
          <w:sz w:val="16"/>
          <w:szCs w:val="16"/>
        </w:rPr>
        <w:t xml:space="preserve"> </w:t>
      </w:r>
      <w:r w:rsidRPr="00E93F40">
        <w:rPr>
          <w:color w:val="000000" w:themeColor="text1"/>
          <w:sz w:val="16"/>
          <w:szCs w:val="16"/>
        </w:rPr>
        <w:t>СССР №</w:t>
      </w:r>
      <w:r w:rsidR="007C1411" w:rsidRPr="00E93F40">
        <w:rPr>
          <w:color w:val="000000" w:themeColor="text1"/>
          <w:sz w:val="16"/>
          <w:szCs w:val="16"/>
        </w:rPr>
        <w:t xml:space="preserve"> </w:t>
      </w:r>
      <w:r w:rsidRPr="00E93F40">
        <w:rPr>
          <w:color w:val="000000" w:themeColor="text1"/>
          <w:sz w:val="16"/>
          <w:szCs w:val="16"/>
        </w:rPr>
        <w:t>1484 «О выделении из состава НКТП СССР машиностроительной промышленности и организации Наркоммаша СССР» от 29</w:t>
      </w:r>
      <w:r w:rsidR="007C1411" w:rsidRPr="00E93F40">
        <w:rPr>
          <w:color w:val="000000" w:themeColor="text1"/>
          <w:sz w:val="16"/>
          <w:szCs w:val="16"/>
        </w:rPr>
        <w:t xml:space="preserve"> </w:t>
      </w:r>
      <w:r w:rsidRPr="00E93F40">
        <w:rPr>
          <w:color w:val="000000" w:themeColor="text1"/>
          <w:sz w:val="16"/>
          <w:szCs w:val="16"/>
        </w:rPr>
        <w:t>августа 1937</w:t>
      </w:r>
      <w:r w:rsidR="007C1411" w:rsidRPr="00E93F40">
        <w:rPr>
          <w:color w:val="000000" w:themeColor="text1"/>
          <w:sz w:val="16"/>
          <w:szCs w:val="16"/>
        </w:rPr>
        <w:t xml:space="preserve"> </w:t>
      </w:r>
      <w:r w:rsidRPr="00E93F40">
        <w:rPr>
          <w:color w:val="000000" w:themeColor="text1"/>
          <w:sz w:val="16"/>
          <w:szCs w:val="16"/>
        </w:rPr>
        <w:t>г. и приказом по Наркомтяжпрому СССР и Наркоммашу СССР №</w:t>
      </w:r>
      <w:r w:rsidR="007C1411" w:rsidRPr="00E93F40">
        <w:rPr>
          <w:color w:val="000000" w:themeColor="text1"/>
          <w:sz w:val="16"/>
          <w:szCs w:val="16"/>
        </w:rPr>
        <w:t xml:space="preserve"> </w:t>
      </w:r>
      <w:r w:rsidRPr="00E93F40">
        <w:rPr>
          <w:color w:val="000000" w:themeColor="text1"/>
          <w:sz w:val="16"/>
          <w:szCs w:val="16"/>
        </w:rPr>
        <w:t>743/3 от 4</w:t>
      </w:r>
      <w:r w:rsidR="007C1411" w:rsidRPr="00E93F40">
        <w:rPr>
          <w:color w:val="000000" w:themeColor="text1"/>
          <w:sz w:val="16"/>
          <w:szCs w:val="16"/>
        </w:rPr>
        <w:t xml:space="preserve"> </w:t>
      </w:r>
      <w:r w:rsidRPr="00E93F40">
        <w:rPr>
          <w:color w:val="000000" w:themeColor="text1"/>
          <w:sz w:val="16"/>
          <w:szCs w:val="16"/>
        </w:rPr>
        <w:t>сентября 1937</w:t>
      </w:r>
      <w:r w:rsidR="007C1411" w:rsidRPr="00E93F40">
        <w:rPr>
          <w:color w:val="000000" w:themeColor="text1"/>
          <w:sz w:val="16"/>
          <w:szCs w:val="16"/>
        </w:rPr>
        <w:t xml:space="preserve"> </w:t>
      </w:r>
      <w:r w:rsidRPr="00E93F40">
        <w:rPr>
          <w:color w:val="000000" w:themeColor="text1"/>
          <w:sz w:val="16"/>
          <w:szCs w:val="16"/>
        </w:rPr>
        <w:t>г. главки вместе с рядом учреждений были переданы в состав Наркоммаша СССР. (РГАЭ. Ф.</w:t>
      </w:r>
      <w:r w:rsidR="007C1411" w:rsidRPr="00E93F40">
        <w:rPr>
          <w:color w:val="000000" w:themeColor="text1"/>
          <w:sz w:val="16"/>
          <w:szCs w:val="16"/>
        </w:rPr>
        <w:t xml:space="preserve"> </w:t>
      </w:r>
      <w:r w:rsidRPr="00E93F40">
        <w:rPr>
          <w:color w:val="000000" w:themeColor="text1"/>
          <w:sz w:val="16"/>
          <w:szCs w:val="16"/>
        </w:rPr>
        <w:t>7297. Оп.</w:t>
      </w:r>
      <w:r w:rsidR="007C1411" w:rsidRPr="00E93F40">
        <w:rPr>
          <w:color w:val="000000" w:themeColor="text1"/>
          <w:sz w:val="16"/>
          <w:szCs w:val="16"/>
        </w:rPr>
        <w:t xml:space="preserve"> </w:t>
      </w:r>
      <w:r w:rsidRPr="00E93F40">
        <w:rPr>
          <w:color w:val="000000" w:themeColor="text1"/>
          <w:sz w:val="16"/>
          <w:szCs w:val="16"/>
        </w:rPr>
        <w:t>44. Д.</w:t>
      </w:r>
      <w:r w:rsidR="007C1411" w:rsidRPr="00E93F40">
        <w:rPr>
          <w:color w:val="000000" w:themeColor="text1"/>
          <w:sz w:val="16"/>
          <w:szCs w:val="16"/>
        </w:rPr>
        <w:t xml:space="preserve"> </w:t>
      </w:r>
      <w:r w:rsidRPr="00E93F40">
        <w:rPr>
          <w:color w:val="000000" w:themeColor="text1"/>
          <w:sz w:val="16"/>
          <w:szCs w:val="16"/>
        </w:rPr>
        <w:t>1. Л.</w:t>
      </w:r>
      <w:r w:rsidR="007C1411" w:rsidRPr="00E93F40">
        <w:rPr>
          <w:color w:val="000000" w:themeColor="text1"/>
          <w:sz w:val="16"/>
          <w:szCs w:val="16"/>
        </w:rPr>
        <w:t xml:space="preserve"> </w:t>
      </w:r>
      <w:r w:rsidRPr="00E93F40">
        <w:rPr>
          <w:color w:val="000000" w:themeColor="text1"/>
          <w:sz w:val="16"/>
          <w:szCs w:val="16"/>
        </w:rPr>
        <w:t>29</w:t>
      </w:r>
      <w:r w:rsidR="007C1411" w:rsidRPr="00E93F40">
        <w:rPr>
          <w:color w:val="000000" w:themeColor="text1"/>
          <w:sz w:val="16"/>
          <w:szCs w:val="16"/>
        </w:rPr>
        <w:t xml:space="preserve"> </w:t>
      </w:r>
      <w:r w:rsidRPr="00E93F40">
        <w:rPr>
          <w:color w:val="000000" w:themeColor="text1"/>
          <w:sz w:val="16"/>
          <w:szCs w:val="16"/>
        </w:rPr>
        <w:t>об.; РГАЭ. Ф.</w:t>
      </w:r>
      <w:r w:rsidR="007C1411" w:rsidRPr="00E93F40">
        <w:rPr>
          <w:color w:val="000000" w:themeColor="text1"/>
          <w:sz w:val="16"/>
          <w:szCs w:val="16"/>
        </w:rPr>
        <w:t xml:space="preserve"> </w:t>
      </w:r>
      <w:r w:rsidRPr="00E93F40">
        <w:rPr>
          <w:color w:val="000000" w:themeColor="text1"/>
          <w:sz w:val="16"/>
          <w:szCs w:val="16"/>
        </w:rPr>
        <w:t>7297. Оп.</w:t>
      </w:r>
      <w:r w:rsidR="007C1411" w:rsidRPr="00E93F40">
        <w:rPr>
          <w:color w:val="000000" w:themeColor="text1"/>
          <w:sz w:val="16"/>
          <w:szCs w:val="16"/>
        </w:rPr>
        <w:t xml:space="preserve"> </w:t>
      </w:r>
      <w:r w:rsidRPr="00E93F40">
        <w:rPr>
          <w:color w:val="000000" w:themeColor="text1"/>
          <w:sz w:val="16"/>
          <w:szCs w:val="16"/>
        </w:rPr>
        <w:t>1. Д.</w:t>
      </w:r>
      <w:r w:rsidR="007C1411" w:rsidRPr="00E93F40">
        <w:rPr>
          <w:color w:val="000000" w:themeColor="text1"/>
          <w:sz w:val="16"/>
          <w:szCs w:val="16"/>
        </w:rPr>
        <w:t xml:space="preserve"> </w:t>
      </w:r>
      <w:r w:rsidRPr="00E93F40">
        <w:rPr>
          <w:color w:val="000000" w:themeColor="text1"/>
          <w:sz w:val="16"/>
          <w:szCs w:val="16"/>
        </w:rPr>
        <w:t>19. Л.</w:t>
      </w:r>
      <w:r w:rsidR="007C1411" w:rsidRPr="00E93F40">
        <w:rPr>
          <w:color w:val="000000" w:themeColor="text1"/>
          <w:sz w:val="16"/>
          <w:szCs w:val="16"/>
        </w:rPr>
        <w:t xml:space="preserve"> </w:t>
      </w:r>
      <w:r w:rsidRPr="00E93F40">
        <w:rPr>
          <w:color w:val="000000" w:themeColor="text1"/>
          <w:sz w:val="16"/>
          <w:szCs w:val="16"/>
        </w:rPr>
        <w:t>90</w:t>
      </w:r>
      <w:r w:rsidRPr="00E93F40">
        <w:rPr>
          <w:color w:val="000000" w:themeColor="text1"/>
          <w:sz w:val="16"/>
          <w:szCs w:val="16"/>
        </w:rPr>
        <w:noBreakHyphen/>
        <w:t>91; СЗ, 1937</w:t>
      </w:r>
      <w:r w:rsidR="007C1411" w:rsidRPr="00E93F40">
        <w:rPr>
          <w:color w:val="000000" w:themeColor="text1"/>
          <w:sz w:val="16"/>
          <w:szCs w:val="16"/>
        </w:rPr>
        <w:t xml:space="preserve"> </w:t>
      </w:r>
      <w:r w:rsidRPr="00E93F40">
        <w:rPr>
          <w:color w:val="000000" w:themeColor="text1"/>
          <w:sz w:val="16"/>
          <w:szCs w:val="16"/>
        </w:rPr>
        <w:t>г 1937 вышел приказ НКОП №</w:t>
      </w:r>
      <w:r w:rsidR="007C1411" w:rsidRPr="00E93F40">
        <w:rPr>
          <w:color w:val="000000" w:themeColor="text1"/>
          <w:sz w:val="16"/>
          <w:szCs w:val="16"/>
        </w:rPr>
        <w:t xml:space="preserve"> </w:t>
      </w:r>
      <w:r w:rsidRPr="00E93F40">
        <w:rPr>
          <w:color w:val="000000" w:themeColor="text1"/>
          <w:sz w:val="16"/>
          <w:szCs w:val="16"/>
        </w:rPr>
        <w:t>34, ст.</w:t>
      </w:r>
      <w:r w:rsidR="007C1411" w:rsidRPr="00E93F40">
        <w:rPr>
          <w:color w:val="000000" w:themeColor="text1"/>
          <w:sz w:val="16"/>
          <w:szCs w:val="16"/>
        </w:rPr>
        <w:t xml:space="preserve"> </w:t>
      </w:r>
      <w:r w:rsidRPr="00E93F40">
        <w:rPr>
          <w:color w:val="000000" w:themeColor="text1"/>
          <w:sz w:val="16"/>
          <w:szCs w:val="16"/>
        </w:rPr>
        <w:t>139; СЗ, 1937, №</w:t>
      </w:r>
      <w:r w:rsidR="007C1411" w:rsidRPr="00E93F40">
        <w:rPr>
          <w:color w:val="000000" w:themeColor="text1"/>
          <w:sz w:val="16"/>
          <w:szCs w:val="16"/>
        </w:rPr>
        <w:t xml:space="preserve"> </w:t>
      </w:r>
      <w:r w:rsidRPr="00E93F40">
        <w:rPr>
          <w:color w:val="000000" w:themeColor="text1"/>
          <w:sz w:val="16"/>
          <w:szCs w:val="16"/>
        </w:rPr>
        <w:t>58, ст.</w:t>
      </w:r>
      <w:r w:rsidR="007C1411" w:rsidRPr="00E93F40">
        <w:rPr>
          <w:color w:val="000000" w:themeColor="text1"/>
          <w:sz w:val="16"/>
          <w:szCs w:val="16"/>
        </w:rPr>
        <w:t xml:space="preserve"> </w:t>
      </w:r>
      <w:r w:rsidRPr="00E93F40">
        <w:rPr>
          <w:color w:val="000000" w:themeColor="text1"/>
          <w:sz w:val="16"/>
          <w:szCs w:val="16"/>
        </w:rPr>
        <w:t>248.) (15273).</w:t>
      </w:r>
    </w:p>
    <w:p w14:paraId="7278C7FA" w14:textId="77777777" w:rsidR="00E05DC1" w:rsidRPr="00E93F40" w:rsidRDefault="00E05DC1" w:rsidP="00E93F40">
      <w:pPr>
        <w:pStyle w:val="rtejustify"/>
        <w:spacing w:before="0" w:after="0"/>
        <w:rPr>
          <w:color w:val="000000" w:themeColor="text1"/>
          <w:sz w:val="16"/>
          <w:szCs w:val="16"/>
        </w:rPr>
      </w:pPr>
    </w:p>
    <w:p w14:paraId="1E9CC120" w14:textId="77777777" w:rsidR="00E05DC1" w:rsidRPr="00E93F40" w:rsidRDefault="00E05DC1"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8 февраля</w:t>
      </w:r>
      <w:r w:rsidRPr="00E93F40">
        <w:rPr>
          <w:rFonts w:ascii="Times New Roman" w:hAnsi="Times New Roman"/>
          <w:color w:val="000000" w:themeColor="text1"/>
          <w:sz w:val="16"/>
          <w:szCs w:val="16"/>
        </w:rPr>
        <w:t xml:space="preserve"> в 1932 году постановлением правительства было утверждено место стройки Новочеркасского паровозостроительного завода. Ныне — Новочеркасский электровозостроительный завод (ОАО "НЭВЗ", Ростовская область) — крупнейшее предприятие России по выпуску магистральных грузовых и пассажирских электровозов</w:t>
      </w:r>
    </w:p>
    <w:p w14:paraId="7EA9B37A" w14:textId="77777777" w:rsidR="00E05DC1" w:rsidRPr="00E93F40" w:rsidRDefault="00E05DC1" w:rsidP="00E93F40">
      <w:pPr>
        <w:spacing w:after="0" w:line="240" w:lineRule="auto"/>
        <w:jc w:val="both"/>
        <w:rPr>
          <w:rFonts w:ascii="Times New Roman" w:hAnsi="Times New Roman"/>
          <w:bCs/>
          <w:color w:val="000000" w:themeColor="text1"/>
          <w:sz w:val="16"/>
          <w:szCs w:val="16"/>
        </w:rPr>
      </w:pPr>
    </w:p>
    <w:p w14:paraId="4F573AC4" w14:textId="7E6F19BC"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г. пост. СНК была утверждена Площадка строительства завода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Новочеркасск Ростовской обл. ул. Машиностроителей, 7/). А 27.04.1936 г. была выпущена первая продукция- узкоколейный паровоз 0-4-0 серии 159. В 1937 г. велась подготовка к производству гусеничных грейдеров и магистральных паровозов.</w:t>
      </w:r>
    </w:p>
    <w:p w14:paraId="60765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пост.ениями ЭКОСО СНК № 26 от 2.04.1938 г. и правительства № 248 от 2.03.1938 г. по пр. НКОП № 164 от 26.04.1938 г. Новочеркасский локомотивный завод НКМ был передан в ведение НКОП и переименован в завод № 352 ЗГУ; пр. № 185/к от 26.05.1938 г. утвержден Акт приемки завода в ведение ЗГУ. По распоряжению НКОП № 1648 от 13.08.1938 г. и пр. ЗГУ № 150 от 15.08.1938 г. завод включен в число заводов 2-й категории. В 02.1939 г. передан из ЗГУ НКОП в ЗГУ НКВ.</w:t>
      </w:r>
    </w:p>
    <w:p w14:paraId="37E71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правительства № ЮОсс от 28.05.1938 г. о реконструкции завода приказом № 204сс от 11.06.1938 г. требовалось начать организацию производства 76-мм зенитных пушек обр. 1931 г.; обеспечить при реконструкции мощность завода по 76-мм пушкам - 1500 шт. в год; к 1.01.1940 г. обеспечить выделение заводу территории под испытательный полигон и тир; заводу было заказано 46 ед. импортного оборудования. К концу 1938 г. начато также освоение выпуска минометов.</w:t>
      </w:r>
    </w:p>
    <w:p w14:paraId="376E8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ЗГУ № 143 от 5.08.1938 г. на заводе на базе ОКСа создано УКС и введена должность начальника УКС/зам. директора по капстроительству.</w:t>
      </w:r>
    </w:p>
    <w:p w14:paraId="25EAB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760 от 10.10.1941 г. оборудование и кадры завода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39464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E93F40">
        <w:rPr>
          <w:rFonts w:ascii="Times New Roman" w:hAnsi="Times New Roman"/>
          <w:color w:val="000000" w:themeColor="text1"/>
          <w:sz w:val="16"/>
          <w:szCs w:val="16"/>
          <w:lang w:val="en-US"/>
        </w:rPr>
        <w:t>BJI</w:t>
      </w:r>
      <w:r w:rsidRPr="00E93F40">
        <w:rPr>
          <w:rFonts w:ascii="Times New Roman" w:hAnsi="Times New Roman"/>
          <w:color w:val="000000" w:themeColor="text1"/>
          <w:sz w:val="16"/>
          <w:szCs w:val="16"/>
        </w:rPr>
        <w:t>22</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w:t>
      </w:r>
    </w:p>
    <w:p w14:paraId="57ED47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1962 г. -НЭВЗ им. С.М. Буденного. Крупнейший в СССР завод магистральных электровозов (1967 г.).</w:t>
      </w:r>
    </w:p>
    <w:p w14:paraId="44D772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183D8B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(26.05-08.1938 г.-)- Н.А. Максимов. Гендиректор (2007 г.)- С.Ф. Подуст.</w:t>
      </w:r>
    </w:p>
    <w:p w14:paraId="0C1F4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(26.05.1938 г.-)- И.И. Хомяков.</w:t>
      </w:r>
      <w:r w:rsidRPr="00E93F40">
        <w:rPr>
          <w:rFonts w:ascii="Times New Roman" w:hAnsi="Times New Roman"/>
          <w:color w:val="000000" w:themeColor="text1"/>
          <w:sz w:val="16"/>
          <w:szCs w:val="16"/>
          <w:vertAlign w:val="superscript"/>
        </w:rPr>
        <w:t>139</w:t>
      </w:r>
    </w:p>
    <w:p w14:paraId="26A76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паровозы: узкоколейный серии 159 (1936-); ширококолейный серии 9П (1937-); электровозы: магистральные </w:t>
      </w:r>
      <w:r w:rsidRPr="00E93F40">
        <w:rPr>
          <w:rFonts w:ascii="Times New Roman" w:hAnsi="Times New Roman"/>
          <w:color w:val="000000" w:themeColor="text1"/>
          <w:sz w:val="16"/>
          <w:szCs w:val="16"/>
          <w:lang w:val="en-US"/>
        </w:rPr>
        <w:t>BJI</w:t>
      </w:r>
      <w:r w:rsidRPr="00E93F40">
        <w:rPr>
          <w:rFonts w:ascii="Times New Roman" w:hAnsi="Times New Roman"/>
          <w:color w:val="000000" w:themeColor="text1"/>
          <w:sz w:val="16"/>
          <w:szCs w:val="16"/>
        </w:rPr>
        <w:t>22</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xml:space="preserve"> (1947-), </w:t>
      </w:r>
      <w:r w:rsidRPr="00E93F40">
        <w:rPr>
          <w:rFonts w:ascii="Times New Roman" w:hAnsi="Times New Roman"/>
          <w:color w:val="000000" w:themeColor="text1"/>
          <w:sz w:val="16"/>
          <w:szCs w:val="16"/>
          <w:lang w:val="en-US"/>
        </w:rPr>
        <w:t>BJI</w:t>
      </w:r>
      <w:r w:rsidRPr="00E93F40">
        <w:rPr>
          <w:rFonts w:ascii="Times New Roman" w:hAnsi="Times New Roman"/>
          <w:color w:val="000000" w:themeColor="text1"/>
          <w:sz w:val="16"/>
          <w:szCs w:val="16"/>
        </w:rPr>
        <w:t>60 (1959-); «Ермак», «Дончак» (2000-е), грузовой переменного тока Э5К (2007); гусеничные экскаваторы.</w:t>
      </w:r>
    </w:p>
    <w:p w14:paraId="7EDC58D8" w14:textId="77777777" w:rsidR="00E05DC1" w:rsidRPr="00E93F40" w:rsidRDefault="00E05DC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66494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254FC483" w14:textId="049D9C1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1958</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базе СКБ завода, ОГК и ЦЗЭЛ был создан ВЭлНИИ для проведения научных исследований и разработки схем и конструкций электровозов.</w:t>
      </w:r>
    </w:p>
    <w:p w14:paraId="0032A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Создано:</w:t>
      </w:r>
      <w:r w:rsidRPr="00E93F40">
        <w:rPr>
          <w:rFonts w:ascii="Times New Roman" w:hAnsi="Times New Roman"/>
          <w:color w:val="000000" w:themeColor="text1"/>
          <w:sz w:val="16"/>
          <w:szCs w:val="16"/>
        </w:rPr>
        <w:t xml:space="preserve"> электровозы: 1</w:t>
      </w:r>
      <w:r w:rsidRPr="00E93F40">
        <w:rPr>
          <w:rFonts w:ascii="Times New Roman" w:hAnsi="Times New Roman"/>
          <w:color w:val="000000" w:themeColor="text1"/>
          <w:sz w:val="16"/>
          <w:szCs w:val="16"/>
          <w:lang w:val="en-US"/>
        </w:rPr>
        <w:t>V</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K</w:t>
      </w:r>
      <w:r w:rsidRPr="00E93F40">
        <w:rPr>
          <w:rFonts w:ascii="Times New Roman" w:hAnsi="Times New Roman"/>
          <w:color w:val="000000" w:themeColor="text1"/>
          <w:sz w:val="16"/>
          <w:szCs w:val="16"/>
        </w:rPr>
        <w:t>1</w:t>
      </w:r>
      <w:r w:rsidRPr="00E93F40">
        <w:rPr>
          <w:rFonts w:ascii="Times New Roman" w:hAnsi="Times New Roman"/>
          <w:color w:val="000000" w:themeColor="text1"/>
          <w:sz w:val="16"/>
          <w:szCs w:val="16"/>
          <w:lang w:val="en-US"/>
        </w:rPr>
        <w:t>I</w:t>
      </w:r>
      <w:r w:rsidRPr="00E93F40">
        <w:rPr>
          <w:rFonts w:ascii="Times New Roman" w:hAnsi="Times New Roman"/>
          <w:color w:val="000000" w:themeColor="text1"/>
          <w:sz w:val="16"/>
          <w:szCs w:val="16"/>
        </w:rPr>
        <w:t>-1. П-КП-4Б «Бурлаки» для буксировки судов через шлюзы Камской ГЭС (11982).</w:t>
      </w:r>
    </w:p>
    <w:p w14:paraId="32FF8674" w14:textId="77777777" w:rsidR="00E05DC1" w:rsidRPr="00E93F40" w:rsidRDefault="00E05DC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F1A169"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состоялось заседание ПБ (Протокол № 87)</w:t>
      </w:r>
    </w:p>
    <w:p w14:paraId="58CA10CF"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опросом членов ПБ</w:t>
      </w:r>
    </w:p>
    <w:p w14:paraId="5AF3C2F8"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32/45.- О связи.</w:t>
      </w:r>
    </w:p>
    <w:p w14:paraId="548B81E7"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скорейшей постановки производства и изуче</w:t>
      </w:r>
      <w:r w:rsidRPr="00E93F40">
        <w:rPr>
          <w:rFonts w:ascii="Times New Roman" w:hAnsi="Times New Roman"/>
          <w:color w:val="000000" w:themeColor="text1"/>
          <w:sz w:val="16"/>
          <w:szCs w:val="16"/>
        </w:rPr>
        <w:softHyphen/>
        <w:t>ния их комсоставом РККА, разрешить НКВМ, в виде исключения, закупить в Америке 5 малых приборов ПУАЗО Сперри.</w:t>
      </w:r>
    </w:p>
    <w:p w14:paraId="070364A5"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Розенгольну.</w:t>
      </w:r>
    </w:p>
    <w:p w14:paraId="2838CCBC"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33/46.- О заводе им. т. Сталина.</w:t>
      </w:r>
    </w:p>
    <w:p w14:paraId="26130404"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Определить в соответствии с предложением т. Лихачева общий расход на 1932 г. в 2.800 тыс. рублей, из них 1.100 тыс. рублей валютой с правом заказа 30% в Америке.</w:t>
      </w:r>
    </w:p>
    <w:p w14:paraId="428DDE60" w14:textId="77777777" w:rsidR="00CA4331" w:rsidRPr="00E93F40" w:rsidRDefault="00CA4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Керженцеву, Розенгольцу, Орджоникидзе (23037)</w:t>
      </w:r>
    </w:p>
    <w:p w14:paraId="5798E94E" w14:textId="77777777" w:rsidR="00CA4331" w:rsidRPr="00E93F40" w:rsidRDefault="00CA4331" w:rsidP="00E93F40">
      <w:pPr>
        <w:spacing w:after="0" w:line="240" w:lineRule="auto"/>
        <w:jc w:val="both"/>
        <w:rPr>
          <w:rFonts w:ascii="Times New Roman" w:hAnsi="Times New Roman"/>
          <w:color w:val="000000" w:themeColor="text1"/>
          <w:sz w:val="16"/>
          <w:szCs w:val="16"/>
        </w:rPr>
      </w:pPr>
    </w:p>
    <w:p w14:paraId="0FD5E32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B788E0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ECD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года секретным постановлением Политбюро был окончательно отменен партмаксимум. Даже Е. Варга, занимавший в 20-30-е годы ответственные партийные посты, вспоминал, что ему неизвестно время отмены партмаксимума, о самом существовании которого умалчивалось во всех сталинских и послесталинских учебниках по истории партии. Однако он со всей определённостью подчеркивал, что после отмены партмаксимума в 30-е годы "началось радикальное расслоение советского общества, в зависимости от окладов. Один за другим - в соответствии с их значением для режима Сталина - выделялись привилегированные слои" (9492).</w:t>
      </w:r>
    </w:p>
    <w:p w14:paraId="6AB6C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0BEA0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E1E849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D21B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февраля 1932 Болгария возобновила выплаты репараций (3907,172).</w:t>
      </w:r>
    </w:p>
    <w:p w14:paraId="7E7AE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11049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6E9857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B329E9" w14:textId="77777777" w:rsidR="00EF29ED" w:rsidRPr="00E93F40" w:rsidRDefault="00EF2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февраля 1932 г.</w:t>
      </w:r>
    </w:p>
    <w:p w14:paraId="1F5BA225" w14:textId="77777777" w:rsidR="00EF29ED" w:rsidRPr="00E93F40" w:rsidRDefault="00EF29ED"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color w:val="000000" w:themeColor="text1"/>
          <w:sz w:val="16"/>
          <w:szCs w:val="16"/>
        </w:rPr>
        <w:t>Докладная записка ОГПУ о причинах скопления самолетов на авиазаводе №1. 9 февраля 1932 г.</w:t>
      </w:r>
    </w:p>
    <w:p w14:paraId="19681865" w14:textId="4B4D3AEA" w:rsidR="00EF29ED" w:rsidRPr="00E93F40" w:rsidRDefault="00EF29ED"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Источник:</w:t>
      </w:r>
      <w:r w:rsidR="007C1411" w:rsidRPr="00E93F40">
        <w:rPr>
          <w:rFonts w:ascii="Times New Roman" w:hAnsi="Times New Roman"/>
          <w:bCs/>
          <w:color w:val="000000" w:themeColor="text1"/>
          <w:sz w:val="16"/>
          <w:szCs w:val="16"/>
        </w:rPr>
        <w:t xml:space="preserve"> </w:t>
      </w:r>
    </w:p>
    <w:p w14:paraId="497CA1F3" w14:textId="77777777" w:rsidR="00EF29ED" w:rsidRPr="00E93F40" w:rsidRDefault="00EF2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 Лубянка — Сталину о положении в стране (1922-1934 гг.)</w:t>
      </w:r>
    </w:p>
    <w:p w14:paraId="4D5DB727" w14:textId="04C2801B" w:rsidR="00EF29ED" w:rsidRPr="00E93F40" w:rsidRDefault="00EF29ED"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Архив:</w:t>
      </w:r>
      <w:r w:rsidR="007C1411" w:rsidRPr="00E93F40">
        <w:rPr>
          <w:rFonts w:ascii="Times New Roman" w:hAnsi="Times New Roman"/>
          <w:bCs/>
          <w:color w:val="000000" w:themeColor="text1"/>
          <w:sz w:val="16"/>
          <w:szCs w:val="16"/>
        </w:rPr>
        <w:t xml:space="preserve"> </w:t>
      </w:r>
    </w:p>
    <w:p w14:paraId="1F481EC6" w14:textId="77777777" w:rsidR="00EF29ED" w:rsidRPr="00E93F40" w:rsidRDefault="00EF2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 2. Оп. 10. Д. 20. Л. 144-146. Копия</w:t>
      </w:r>
    </w:p>
    <w:p w14:paraId="2CD14FF9" w14:textId="77777777" w:rsidR="00EF29ED" w:rsidRPr="00E93F40" w:rsidRDefault="00EF29ED" w:rsidP="00E93F40">
      <w:pPr>
        <w:pStyle w:val="rteright"/>
        <w:spacing w:before="0" w:after="0"/>
        <w:jc w:val="both"/>
        <w:rPr>
          <w:color w:val="000000" w:themeColor="text1"/>
          <w:sz w:val="16"/>
          <w:szCs w:val="16"/>
        </w:rPr>
      </w:pPr>
      <w:r w:rsidRPr="00E93F40">
        <w:rPr>
          <w:color w:val="000000" w:themeColor="text1"/>
          <w:sz w:val="16"/>
          <w:szCs w:val="16"/>
        </w:rPr>
        <w:t>9 февраля 1932 г.</w:t>
      </w:r>
    </w:p>
    <w:p w14:paraId="74F5C637" w14:textId="77777777" w:rsidR="00EF29ED" w:rsidRPr="00E93F40" w:rsidRDefault="00EF29ED" w:rsidP="00E93F40">
      <w:pPr>
        <w:pStyle w:val="rteright"/>
        <w:spacing w:before="0" w:after="0"/>
        <w:jc w:val="both"/>
        <w:rPr>
          <w:color w:val="000000" w:themeColor="text1"/>
          <w:sz w:val="16"/>
          <w:szCs w:val="16"/>
        </w:rPr>
      </w:pPr>
      <w:r w:rsidRPr="00E93F40">
        <w:rPr>
          <w:color w:val="000000" w:themeColor="text1"/>
          <w:sz w:val="16"/>
          <w:szCs w:val="16"/>
        </w:rPr>
        <w:t>№40109</w:t>
      </w:r>
    </w:p>
    <w:p w14:paraId="13C2261E" w14:textId="77777777" w:rsidR="00EF29ED" w:rsidRPr="00E93F40" w:rsidRDefault="00EF29ED" w:rsidP="00E93F40">
      <w:pPr>
        <w:pStyle w:val="rteright"/>
        <w:spacing w:before="0" w:after="0"/>
        <w:jc w:val="both"/>
        <w:rPr>
          <w:color w:val="000000" w:themeColor="text1"/>
          <w:sz w:val="16"/>
          <w:szCs w:val="16"/>
        </w:rPr>
      </w:pPr>
      <w:r w:rsidRPr="00E93F40">
        <w:rPr>
          <w:color w:val="000000" w:themeColor="text1"/>
          <w:sz w:val="16"/>
          <w:szCs w:val="16"/>
        </w:rPr>
        <w:t>Совершенно секретно</w:t>
      </w:r>
    </w:p>
    <w:p w14:paraId="1A3D0360" w14:textId="77777777" w:rsidR="00EF29ED" w:rsidRPr="00E93F40" w:rsidRDefault="00EF29ED" w:rsidP="00E93F40">
      <w:pPr>
        <w:pStyle w:val="ae"/>
        <w:spacing w:before="0" w:after="0"/>
        <w:jc w:val="both"/>
        <w:rPr>
          <w:color w:val="000000" w:themeColor="text1"/>
          <w:sz w:val="16"/>
          <w:szCs w:val="16"/>
        </w:rPr>
      </w:pPr>
      <w:r w:rsidRPr="00E93F40">
        <w:rPr>
          <w:color w:val="000000" w:themeColor="text1"/>
          <w:sz w:val="16"/>
          <w:szCs w:val="16"/>
        </w:rPr>
        <w:t>ЦК ВКП(б) т. Сталину</w:t>
      </w:r>
    </w:p>
    <w:p w14:paraId="31B72F60" w14:textId="77777777"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Произведенным ОГПУ обследованием положения на заводе № 1 ВАО в связи с образованием на его территории пробки с готовой продукцией установлено:</w:t>
      </w:r>
    </w:p>
    <w:p w14:paraId="5BA143E0" w14:textId="2DC2A2A4"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1)</w:t>
      </w:r>
      <w:r w:rsidR="00DD74E1">
        <w:rPr>
          <w:color w:val="000000" w:themeColor="text1"/>
          <w:sz w:val="16"/>
          <w:szCs w:val="16"/>
        </w:rPr>
        <w:t xml:space="preserve"> </w:t>
      </w:r>
      <w:r w:rsidRPr="00E93F40">
        <w:rPr>
          <w:color w:val="000000" w:themeColor="text1"/>
          <w:sz w:val="16"/>
          <w:szCs w:val="16"/>
        </w:rPr>
        <w:t xml:space="preserve"> в настоящее время на заводской территории под открытым небом хранится 64 самолета, в т.ч. 1 самолет, забракованный военной приемкой вследствие неисправностей мотора. Самолеты стоят как на площадках между заводскими корпусами, так и за чертой завода на примыкающей к нему территории аэродрома.</w:t>
      </w:r>
    </w:p>
    <w:p w14:paraId="54B5C596" w14:textId="67609C49"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2)</w:t>
      </w:r>
      <w:r w:rsidR="00DD74E1">
        <w:rPr>
          <w:color w:val="000000" w:themeColor="text1"/>
          <w:sz w:val="16"/>
          <w:szCs w:val="16"/>
        </w:rPr>
        <w:t xml:space="preserve">  </w:t>
      </w:r>
      <w:r w:rsidRPr="00E93F40">
        <w:rPr>
          <w:color w:val="000000" w:themeColor="text1"/>
          <w:sz w:val="16"/>
          <w:szCs w:val="16"/>
        </w:rPr>
        <w:t>ответственность за создавшееся положение несут:</w:t>
      </w:r>
    </w:p>
    <w:p w14:paraId="5C69E3D5" w14:textId="5CF6A6AA"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а)</w:t>
      </w:r>
      <w:r w:rsidR="00DD74E1">
        <w:rPr>
          <w:color w:val="000000" w:themeColor="text1"/>
          <w:sz w:val="16"/>
          <w:szCs w:val="16"/>
        </w:rPr>
        <w:t xml:space="preserve"> </w:t>
      </w:r>
      <w:r w:rsidRPr="00E93F40">
        <w:rPr>
          <w:color w:val="000000" w:themeColor="text1"/>
          <w:sz w:val="16"/>
          <w:szCs w:val="16"/>
        </w:rPr>
        <w:t>дирекция авиазавода № 1, в лице т. Мурашова, не заготовившая достаточного количества ящиков для возможности перевозки самолетов по железной дороге;</w:t>
      </w:r>
    </w:p>
    <w:p w14:paraId="65564223" w14:textId="18141098"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б)</w:t>
      </w:r>
      <w:r w:rsidR="00DD74E1">
        <w:rPr>
          <w:color w:val="000000" w:themeColor="text1"/>
          <w:sz w:val="16"/>
          <w:szCs w:val="16"/>
        </w:rPr>
        <w:t xml:space="preserve"> </w:t>
      </w:r>
      <w:r w:rsidRPr="00E93F40">
        <w:rPr>
          <w:color w:val="000000" w:themeColor="text1"/>
          <w:sz w:val="16"/>
          <w:szCs w:val="16"/>
        </w:rPr>
        <w:t>Управление военно-воздушных сил, в лице начальника 3-го управления т. Жарова, не принявшее своевременно мер к разгрузке завода от готовой продукции.</w:t>
      </w:r>
    </w:p>
    <w:p w14:paraId="393417CD" w14:textId="77777777"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lastRenderedPageBreak/>
        <w:t>Отдельные мероприятия были намечены только в момент нашего обследования.</w:t>
      </w:r>
    </w:p>
    <w:p w14:paraId="1E81DA35" w14:textId="6197ED44"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3)</w:t>
      </w:r>
      <w:r w:rsidR="00DD74E1">
        <w:rPr>
          <w:color w:val="000000" w:themeColor="text1"/>
          <w:sz w:val="16"/>
          <w:szCs w:val="16"/>
        </w:rPr>
        <w:t xml:space="preserve"> </w:t>
      </w:r>
      <w:r w:rsidRPr="00E93F40">
        <w:rPr>
          <w:color w:val="000000" w:themeColor="text1"/>
          <w:sz w:val="16"/>
          <w:szCs w:val="16"/>
        </w:rPr>
        <w:t xml:space="preserve"> объяснение скопления готовых самолетов нелетной погодой, стоявшей в течение последних недель как в Москве, так, особенно, в пунктах расположения аэродромов частей, получающих самолеты, не снимает ответственности с УВВС, обязанного в этом случае изыскать иные способы отправки самолетов в части и предложить их заводу.</w:t>
      </w:r>
    </w:p>
    <w:p w14:paraId="769CE8B6" w14:textId="7F716CCC"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4)</w:t>
      </w:r>
      <w:r w:rsidR="00DD74E1">
        <w:rPr>
          <w:color w:val="000000" w:themeColor="text1"/>
          <w:sz w:val="16"/>
          <w:szCs w:val="16"/>
        </w:rPr>
        <w:t xml:space="preserve"> </w:t>
      </w:r>
      <w:r w:rsidRPr="00E93F40">
        <w:rPr>
          <w:color w:val="000000" w:themeColor="text1"/>
          <w:sz w:val="16"/>
          <w:szCs w:val="16"/>
        </w:rPr>
        <w:t xml:space="preserve"> в качестве выхода из положения дирекция завода настаивает перед УВВС на отправке самолетов на ж.-д. платформах без ящиков, но ответственность за целость самолетов в этом случае на себя не берет (личное заявление директора завода на совещании).</w:t>
      </w:r>
    </w:p>
    <w:p w14:paraId="7C987690" w14:textId="77777777"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УВВС (начальник 3-го управления т. Жаров) категорически возражает против такой системы переброски самолетов, как правило, ссылаясь на то, что такой способ не проверен опытом и при наличии неблагоприятной погоды (сильный ветер) грозит большим риском, особенно на дальние расстояния и, кроме того, отсутствие ящиков лишает возможности нормального хранения самолетов в мобзапасе.</w:t>
      </w:r>
    </w:p>
    <w:p w14:paraId="00097A9C" w14:textId="514EB139" w:rsidR="00EF29ED" w:rsidRPr="00E93F40" w:rsidRDefault="00EF29ED" w:rsidP="00E93F40">
      <w:pPr>
        <w:pStyle w:val="ae"/>
        <w:spacing w:before="0" w:after="0"/>
        <w:jc w:val="both"/>
        <w:rPr>
          <w:color w:val="000000" w:themeColor="text1"/>
          <w:sz w:val="16"/>
          <w:szCs w:val="16"/>
        </w:rPr>
      </w:pPr>
      <w:r w:rsidRPr="00E93F40">
        <w:rPr>
          <w:color w:val="000000" w:themeColor="text1"/>
          <w:sz w:val="16"/>
          <w:szCs w:val="16"/>
        </w:rPr>
        <w:t>5)</w:t>
      </w:r>
      <w:r w:rsidR="00DD74E1">
        <w:rPr>
          <w:color w:val="000000" w:themeColor="text1"/>
          <w:sz w:val="16"/>
          <w:szCs w:val="16"/>
        </w:rPr>
        <w:t xml:space="preserve"> </w:t>
      </w:r>
      <w:r w:rsidRPr="00E93F40">
        <w:rPr>
          <w:color w:val="000000" w:themeColor="text1"/>
          <w:sz w:val="16"/>
          <w:szCs w:val="16"/>
        </w:rPr>
        <w:t xml:space="preserve"> начальник 3-го управления УВВС т. Жаров и директор завода т. Мурашов обязались значительно ликвидировать пробку следующим путем:</w:t>
      </w:r>
    </w:p>
    <w:p w14:paraId="06B175BD" w14:textId="1FFB1997"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1.</w:t>
      </w:r>
      <w:r w:rsidR="00DD74E1">
        <w:rPr>
          <w:color w:val="000000" w:themeColor="text1"/>
          <w:sz w:val="16"/>
          <w:szCs w:val="16"/>
        </w:rPr>
        <w:t xml:space="preserve"> </w:t>
      </w:r>
      <w:r w:rsidRPr="00E93F40">
        <w:rPr>
          <w:color w:val="000000" w:themeColor="text1"/>
          <w:sz w:val="16"/>
          <w:szCs w:val="16"/>
        </w:rPr>
        <w:t xml:space="preserve"> 10 самолетов в течение ближайших дней при условии летной погоды в Москве и БВО будут уведены летом уже прибывшими на завод летчиками. При этом необходимо отметить, что данные самолеты могли быть отправлены летом уже 7 и 8 февраля с.г. (погода благоприятствовала), но отлет их задержан вследствие неподачи заводом горючего;</w:t>
      </w:r>
    </w:p>
    <w:p w14:paraId="60FE7694" w14:textId="5CA0756B"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2.</w:t>
      </w:r>
      <w:r w:rsidR="00DD74E1">
        <w:rPr>
          <w:color w:val="000000" w:themeColor="text1"/>
          <w:sz w:val="16"/>
          <w:szCs w:val="16"/>
        </w:rPr>
        <w:t xml:space="preserve"> </w:t>
      </w:r>
      <w:r w:rsidRPr="00E93F40">
        <w:rPr>
          <w:color w:val="000000" w:themeColor="text1"/>
          <w:sz w:val="16"/>
          <w:szCs w:val="16"/>
        </w:rPr>
        <w:t>15 самолетов при тех же условиях к 15 февраля будут уведены летом летчиками ЛВО, тренирующимися в Москве;</w:t>
      </w:r>
    </w:p>
    <w:p w14:paraId="1D17E5A0" w14:textId="39559160"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3.</w:t>
      </w:r>
      <w:r w:rsidR="00DD74E1">
        <w:rPr>
          <w:color w:val="000000" w:themeColor="text1"/>
          <w:sz w:val="16"/>
          <w:szCs w:val="16"/>
        </w:rPr>
        <w:t xml:space="preserve"> </w:t>
      </w:r>
      <w:r w:rsidRPr="00E93F40">
        <w:rPr>
          <w:color w:val="000000" w:themeColor="text1"/>
          <w:sz w:val="16"/>
          <w:szCs w:val="16"/>
        </w:rPr>
        <w:t>10 самолетов разбираются и укладываются в ящики, изготовляемые на заводе в течение 3-4 дней, а также возвращенные из частей;</w:t>
      </w:r>
    </w:p>
    <w:p w14:paraId="38D0F4EE" w14:textId="5EFA1A19"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4.</w:t>
      </w:r>
      <w:r w:rsidR="00DD74E1">
        <w:rPr>
          <w:color w:val="000000" w:themeColor="text1"/>
          <w:sz w:val="16"/>
          <w:szCs w:val="16"/>
        </w:rPr>
        <w:t xml:space="preserve"> </w:t>
      </w:r>
      <w:r w:rsidRPr="00E93F40">
        <w:rPr>
          <w:color w:val="000000" w:themeColor="text1"/>
          <w:sz w:val="16"/>
          <w:szCs w:val="16"/>
        </w:rPr>
        <w:t>3 самолета отправляются в 10-ю авиабригаду (Москва);</w:t>
      </w:r>
    </w:p>
    <w:p w14:paraId="43512514" w14:textId="0709B25F"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5.</w:t>
      </w:r>
      <w:r w:rsidR="00DD74E1">
        <w:rPr>
          <w:color w:val="000000" w:themeColor="text1"/>
          <w:sz w:val="16"/>
          <w:szCs w:val="16"/>
        </w:rPr>
        <w:t xml:space="preserve"> </w:t>
      </w:r>
      <w:r w:rsidRPr="00E93F40">
        <w:rPr>
          <w:color w:val="000000" w:themeColor="text1"/>
          <w:sz w:val="16"/>
          <w:szCs w:val="16"/>
        </w:rPr>
        <w:t>1 самолет уходит в 36-й а[виа]о[тряд];</w:t>
      </w:r>
    </w:p>
    <w:p w14:paraId="1B084935" w14:textId="77777777"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6. 10 самолетов будут погружены на платформы без укупорки для отправки в УВО под охраной и ответственностью самой части;</w:t>
      </w:r>
    </w:p>
    <w:p w14:paraId="27ED4109" w14:textId="71AD02DF"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7.</w:t>
      </w:r>
      <w:r w:rsidR="00DD74E1">
        <w:rPr>
          <w:color w:val="000000" w:themeColor="text1"/>
          <w:sz w:val="16"/>
          <w:szCs w:val="16"/>
        </w:rPr>
        <w:t xml:space="preserve"> </w:t>
      </w:r>
      <w:r w:rsidRPr="00E93F40">
        <w:rPr>
          <w:color w:val="000000" w:themeColor="text1"/>
          <w:sz w:val="16"/>
          <w:szCs w:val="16"/>
        </w:rPr>
        <w:t>За 11 самолетами вызывается экипаж из БВО для отправки летом.</w:t>
      </w:r>
    </w:p>
    <w:p w14:paraId="53E4B462" w14:textId="77777777"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Однако все эти мероприятия вопроса радикально не разрешают.</w:t>
      </w:r>
    </w:p>
    <w:p w14:paraId="07E903B3" w14:textId="77777777"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Положение станет особенно угрожающим, если не будут немедленно приняты меры в марте и апреле, когда переброска самолетов летом будет вообще невозможна из-за распутицы.</w:t>
      </w:r>
    </w:p>
    <w:p w14:paraId="113F9351" w14:textId="55DA1B1C"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6)</w:t>
      </w:r>
      <w:r w:rsidR="00DD74E1">
        <w:rPr>
          <w:color w:val="000000" w:themeColor="text1"/>
          <w:sz w:val="16"/>
          <w:szCs w:val="16"/>
        </w:rPr>
        <w:t xml:space="preserve"> </w:t>
      </w:r>
      <w:r w:rsidRPr="00E93F40">
        <w:rPr>
          <w:color w:val="000000" w:themeColor="text1"/>
          <w:sz w:val="16"/>
          <w:szCs w:val="16"/>
        </w:rPr>
        <w:t xml:space="preserve"> для разрядки ныне существующей пробки и предотвращения впредь подобного положения необходимо:</w:t>
      </w:r>
    </w:p>
    <w:p w14:paraId="4F03411F" w14:textId="0BB06E34"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а)</w:t>
      </w:r>
      <w:r w:rsidR="00DD74E1">
        <w:rPr>
          <w:color w:val="000000" w:themeColor="text1"/>
          <w:sz w:val="16"/>
          <w:szCs w:val="16"/>
        </w:rPr>
        <w:t xml:space="preserve"> </w:t>
      </w:r>
      <w:r w:rsidRPr="00E93F40">
        <w:rPr>
          <w:color w:val="000000" w:themeColor="text1"/>
          <w:sz w:val="16"/>
          <w:szCs w:val="16"/>
        </w:rPr>
        <w:t>предложить УВВС под личную ответственность т. Наумова и заводоуправлению в лице т. Мурашова немедленно отправить самолеты по назначению.</w:t>
      </w:r>
    </w:p>
    <w:p w14:paraId="4AE63307" w14:textId="7F1C5360"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б)</w:t>
      </w:r>
      <w:r w:rsidR="00DD74E1">
        <w:rPr>
          <w:color w:val="000000" w:themeColor="text1"/>
          <w:sz w:val="16"/>
          <w:szCs w:val="16"/>
        </w:rPr>
        <w:t xml:space="preserve"> </w:t>
      </w:r>
      <w:r w:rsidRPr="00E93F40">
        <w:rPr>
          <w:color w:val="000000" w:themeColor="text1"/>
          <w:sz w:val="16"/>
          <w:szCs w:val="16"/>
        </w:rPr>
        <w:t>перед отправкой самолетов в части обязать УВВС тщательно проверить их состояние, т.к. в связи с их ненормальным хранением не исключена возможность порчи (ржавения) отдельных деталей и вооружения.</w:t>
      </w:r>
    </w:p>
    <w:p w14:paraId="7C407B8A" w14:textId="266A27E9"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в)</w:t>
      </w:r>
      <w:r w:rsidR="00DD74E1">
        <w:rPr>
          <w:color w:val="000000" w:themeColor="text1"/>
          <w:sz w:val="16"/>
          <w:szCs w:val="16"/>
        </w:rPr>
        <w:t xml:space="preserve"> </w:t>
      </w:r>
      <w:r w:rsidRPr="00E93F40">
        <w:rPr>
          <w:color w:val="000000" w:themeColor="text1"/>
          <w:sz w:val="16"/>
          <w:szCs w:val="16"/>
        </w:rPr>
        <w:t>обязать директора завода добиться срочного изготовления самолетных ящиков, обеспечивающих перевозку самолетов по ж.д.</w:t>
      </w:r>
    </w:p>
    <w:p w14:paraId="50D061D5" w14:textId="77777777" w:rsidR="00EF29ED" w:rsidRPr="00E93F40" w:rsidRDefault="00EF29ED" w:rsidP="00E93F40">
      <w:pPr>
        <w:pStyle w:val="rtejustify"/>
        <w:spacing w:before="0" w:after="0"/>
        <w:rPr>
          <w:color w:val="000000" w:themeColor="text1"/>
          <w:sz w:val="16"/>
          <w:szCs w:val="16"/>
        </w:rPr>
      </w:pPr>
      <w:r w:rsidRPr="00E93F40">
        <w:rPr>
          <w:color w:val="000000" w:themeColor="text1"/>
          <w:sz w:val="16"/>
          <w:szCs w:val="16"/>
        </w:rPr>
        <w:t>В связи с этим предложить Лесоснабу немедленно обеспечить завод № 1 ВАО лесом в потребном количестве. Также обязать директора завода обеспечить фактическое получение заводом горючего (главным образом бензола) для заправки самолетов.</w:t>
      </w:r>
    </w:p>
    <w:p w14:paraId="6545F63A" w14:textId="77777777" w:rsidR="00EF29ED" w:rsidRPr="00E93F40" w:rsidRDefault="00EF29ED" w:rsidP="00E93F40">
      <w:pPr>
        <w:pStyle w:val="ae"/>
        <w:spacing w:before="0" w:after="0"/>
        <w:jc w:val="both"/>
        <w:rPr>
          <w:color w:val="000000" w:themeColor="text1"/>
          <w:sz w:val="16"/>
          <w:szCs w:val="16"/>
        </w:rPr>
      </w:pPr>
      <w:r w:rsidRPr="00E93F40">
        <w:rPr>
          <w:color w:val="000000" w:themeColor="text1"/>
          <w:sz w:val="16"/>
          <w:szCs w:val="16"/>
        </w:rPr>
        <w:t>Зам. председателя ОГПУ Акулов</w:t>
      </w:r>
    </w:p>
    <w:p w14:paraId="480404B5" w14:textId="77777777" w:rsidR="00EF29ED" w:rsidRPr="00E93F40" w:rsidRDefault="00EF29ED" w:rsidP="00E93F40">
      <w:pPr>
        <w:pStyle w:val="rtejustify"/>
        <w:spacing w:before="0" w:after="0"/>
        <w:rPr>
          <w:color w:val="000000" w:themeColor="text1"/>
          <w:sz w:val="16"/>
          <w:szCs w:val="16"/>
        </w:rPr>
      </w:pPr>
      <w:r w:rsidRPr="00E93F40">
        <w:rPr>
          <w:rStyle w:val="af0"/>
          <w:color w:val="000000" w:themeColor="text1"/>
          <w:sz w:val="16"/>
          <w:szCs w:val="16"/>
        </w:rPr>
        <w:t>Ф. 2. Оп. 10. Д. 20. Л. 144-146. Копия (19701)</w:t>
      </w:r>
      <w:r w:rsidRPr="00E93F40">
        <w:rPr>
          <w:color w:val="000000" w:themeColor="text1"/>
          <w:sz w:val="16"/>
          <w:szCs w:val="16"/>
        </w:rPr>
        <w:t>.</w:t>
      </w:r>
    </w:p>
    <w:p w14:paraId="5D357456" w14:textId="77777777" w:rsidR="00EF29ED" w:rsidRPr="00E93F40" w:rsidRDefault="00EF29ED" w:rsidP="00E93F40">
      <w:pPr>
        <w:spacing w:after="0" w:line="240" w:lineRule="auto"/>
        <w:jc w:val="both"/>
        <w:rPr>
          <w:rFonts w:ascii="Times New Roman" w:hAnsi="Times New Roman"/>
          <w:color w:val="000000" w:themeColor="text1"/>
          <w:sz w:val="16"/>
          <w:szCs w:val="16"/>
        </w:rPr>
      </w:pPr>
    </w:p>
    <w:p w14:paraId="66BCE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февраля 1932 года Меженинов писал письмо начальнику 1, 2, 3 Управлений УВВС, начальнику Химсектора УВВС, начальнику НИИ, начальнику Академии ВВС.</w:t>
      </w:r>
    </w:p>
    <w:p w14:paraId="77DA0B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февраля 1932 года в кабинете врид. начальника ВВС Наумова созывается совещание с докладом Фишмана "О задачах авиации в области химии".</w:t>
      </w:r>
    </w:p>
    <w:p w14:paraId="02F351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присутствие начальников 1, 2, 3 Управлений и начальника Химсектора.</w:t>
      </w:r>
    </w:p>
    <w:p w14:paraId="4B96A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НИИ и начальнику Академии ВВС выделить на данное совещание представителей (7428, 12).</w:t>
      </w:r>
    </w:p>
    <w:p w14:paraId="6D975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E6B4C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DB1F6A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5065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февраля 1932 года опытный образец 45-мм ПТП с заводским индексом 19-К был испытан стрельбой на заводском полигоне. Вес снаряда 1,409 кг, начальная скорость 731-747 м/с. 11 февраля произведены стрельбы с целью подбора зарядов. Всего на заводе было сделано 53 выстрела (3861).</w:t>
      </w:r>
    </w:p>
    <w:p w14:paraId="4A65A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39C555" w14:textId="77777777" w:rsidR="00E431C6" w:rsidRPr="00E93F40" w:rsidRDefault="00E431C6"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9 февраля 1932 опросом членов ПБ</w:t>
      </w:r>
    </w:p>
    <w:p w14:paraId="345414C3"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21/1.- О судостроительном заводе.</w:t>
      </w:r>
    </w:p>
    <w:p w14:paraId="18AD503D"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близости Хабаровска от границы, выбор места для судостроительного завода перенести на север по Амуру в район между Малмнжем и сел. Тамбовское.</w:t>
      </w:r>
    </w:p>
    <w:p w14:paraId="4BEBEE01"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Гамарнику, Муклевичу и Блюхеру немедленно принять все меры к точному определению места указанного завода. О принятых шагах донести. Решение считать окончательным.</w:t>
      </w:r>
    </w:p>
    <w:p w14:paraId="35167EE5"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 Ворошилову.</w:t>
      </w:r>
    </w:p>
    <w:p w14:paraId="3B0EEB90"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состоялось заседание ПБ (Протокол № 88) (23038).</w:t>
      </w:r>
    </w:p>
    <w:p w14:paraId="466FBB05" w14:textId="77777777" w:rsidR="00E431C6" w:rsidRPr="00E93F40" w:rsidRDefault="00E431C6" w:rsidP="00E93F40">
      <w:pPr>
        <w:spacing w:after="0" w:line="240" w:lineRule="auto"/>
        <w:jc w:val="both"/>
        <w:rPr>
          <w:rFonts w:ascii="Times New Roman" w:hAnsi="Times New Roman"/>
          <w:color w:val="000000" w:themeColor="text1"/>
          <w:sz w:val="16"/>
          <w:szCs w:val="16"/>
        </w:rPr>
      </w:pPr>
    </w:p>
    <w:p w14:paraId="39ED976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AD5FED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9F6A2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февраля 1932 принято решение о создании областей на Украине (4962).</w:t>
      </w:r>
    </w:p>
    <w:p w14:paraId="34B9575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580B9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DC1135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30FE3FF" w14:textId="77777777" w:rsidR="00E05DC1" w:rsidRPr="00E93F40" w:rsidRDefault="00E05DC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9 февраля</w:t>
      </w:r>
      <w:r w:rsidRPr="00E93F40">
        <w:rPr>
          <w:rFonts w:ascii="Times New Roman" w:hAnsi="Times New Roman"/>
          <w:color w:val="000000" w:themeColor="text1"/>
          <w:sz w:val="16"/>
          <w:szCs w:val="16"/>
        </w:rPr>
        <w:t xml:space="preserve"> в 1932 году американский воздушный корабль "Колумбия" разбивается во время шторма (Flushing, Нью-Йорк) (15035).</w:t>
      </w:r>
    </w:p>
    <w:p w14:paraId="23AA7CFD" w14:textId="77777777" w:rsidR="00E05DC1" w:rsidRPr="00E93F40" w:rsidRDefault="00E05DC1" w:rsidP="00E93F40">
      <w:pPr>
        <w:spacing w:after="0" w:line="240" w:lineRule="auto"/>
        <w:jc w:val="both"/>
        <w:rPr>
          <w:rFonts w:ascii="Times New Roman" w:hAnsi="Times New Roman"/>
          <w:color w:val="000000" w:themeColor="text1"/>
          <w:sz w:val="16"/>
          <w:szCs w:val="16"/>
        </w:rPr>
      </w:pPr>
    </w:p>
    <w:p w14:paraId="5E89B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февраля 1932 в Ирландском свободном государстве была создана Ассоциация товарищей по оружию и 20 июля 1933 ее переименовали в Национальную гвардию (синие рубашки) (3907,173).</w:t>
      </w:r>
    </w:p>
    <w:p w14:paraId="644214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2B549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75937A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B862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5 и 10 февраля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4 полета на определение вертикальной скорости и потолка с нормальной нагрузкой; определение максимальных, средних и минимальных скоростей на высотах от потолка через каждые 1000 м. Стрельба на высоте 7000 м (3002).</w:t>
      </w:r>
    </w:p>
    <w:p w14:paraId="00964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6D040C"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10 февраля 1932 г. таганрогский завод №31 имел около 90% необходимой доку</w:t>
      </w:r>
      <w:r w:rsidRPr="00142305">
        <w:rPr>
          <w:rFonts w:ascii="Times New Roman" w:hAnsi="Times New Roman"/>
          <w:color w:val="0070C0"/>
          <w:sz w:val="16"/>
          <w:szCs w:val="16"/>
        </w:rPr>
        <w:softHyphen/>
        <w:t>ментации по Ш-2. Подготовили плазы и стапель для сборки лодки, для двух головных эк</w:t>
      </w:r>
      <w:r w:rsidRPr="00142305">
        <w:rPr>
          <w:rFonts w:ascii="Times New Roman" w:hAnsi="Times New Roman"/>
          <w:color w:val="0070C0"/>
          <w:sz w:val="16"/>
          <w:szCs w:val="16"/>
        </w:rPr>
        <w:softHyphen/>
        <w:t>земпляров даже изготовили шпангоуты. Для помощи в освоении нового самолёта в Таганрог ещё в январе командирова</w:t>
      </w:r>
      <w:r w:rsidRPr="00142305">
        <w:rPr>
          <w:rFonts w:ascii="Times New Roman" w:hAnsi="Times New Roman"/>
          <w:color w:val="0070C0"/>
          <w:sz w:val="16"/>
          <w:szCs w:val="16"/>
        </w:rPr>
        <w:softHyphen/>
        <w:t>ли Шаврова. Возможно, именно в этот период в набор верхнего крыла включи</w:t>
      </w:r>
      <w:r w:rsidRPr="00142305">
        <w:rPr>
          <w:rFonts w:ascii="Times New Roman" w:hAnsi="Times New Roman"/>
          <w:color w:val="0070C0"/>
          <w:sz w:val="16"/>
          <w:szCs w:val="16"/>
        </w:rPr>
        <w:softHyphen/>
        <w:t>ли добавочные нервюры в носке крыла, уменьшившие провисание полотна.</w:t>
      </w:r>
    </w:p>
    <w:p w14:paraId="0041158F"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завода № 31 время было очень не</w:t>
      </w:r>
      <w:r w:rsidRPr="00142305">
        <w:rPr>
          <w:rFonts w:ascii="Times New Roman" w:hAnsi="Times New Roman"/>
          <w:color w:val="0070C0"/>
          <w:sz w:val="16"/>
          <w:szCs w:val="16"/>
        </w:rPr>
        <w:softHyphen/>
        <w:t>лёгким. Практически одновременно он вёл производство пяти типов машин, как цель</w:t>
      </w:r>
      <w:r w:rsidRPr="00142305">
        <w:rPr>
          <w:rFonts w:ascii="Times New Roman" w:hAnsi="Times New Roman"/>
          <w:color w:val="0070C0"/>
          <w:sz w:val="16"/>
          <w:szCs w:val="16"/>
        </w:rPr>
        <w:softHyphen/>
        <w:t>нометаллических, так и деревянных (24952).</w:t>
      </w:r>
    </w:p>
    <w:p w14:paraId="5BE4B037" w14:textId="77777777" w:rsidR="00643739" w:rsidRPr="00142305" w:rsidRDefault="00643739" w:rsidP="00643739">
      <w:pPr>
        <w:spacing w:after="0" w:line="240" w:lineRule="auto"/>
        <w:jc w:val="both"/>
        <w:rPr>
          <w:rFonts w:ascii="Times New Roman" w:hAnsi="Times New Roman"/>
          <w:color w:val="0070C0"/>
          <w:sz w:val="16"/>
          <w:szCs w:val="16"/>
        </w:rPr>
      </w:pPr>
    </w:p>
    <w:p w14:paraId="21295F2E" w14:textId="77777777" w:rsidR="002957CB" w:rsidRPr="00E93F40" w:rsidRDefault="002957CB"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B353C75" w14:textId="77777777" w:rsidR="002957CB" w:rsidRPr="00E93F40" w:rsidRDefault="002957C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FF29B2" w14:textId="77777777" w:rsidR="00E431C6" w:rsidRPr="00E93F40" w:rsidRDefault="00E431C6"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10 февраля 1932 в приказе НКТП № 27/сс Орджоникидзе потребовал: "Программу изготовления 10 000 танков полностью и безоговорочно закончить к 1 января 1933 г."Приказ по Наркомату Тяжелой Промышленности СССР № 27/сс, 10.02.1932 (заверенная копия) // РГАЭ. Ф. 4372. Оп. 91. Д 770. Л. 82. Л. Самуэльсон датирует этот приказ 8 февраля 1932 г. (SAMUELSON L Op. cit. P. 170) (22725).</w:t>
      </w:r>
    </w:p>
    <w:p w14:paraId="38EF6A74" w14:textId="77777777" w:rsidR="00E431C6" w:rsidRPr="00E93F40" w:rsidRDefault="00E431C6"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45D2430" w14:textId="77777777" w:rsidR="002957CB" w:rsidRPr="00E93F40" w:rsidRDefault="002957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февраля 1932. Газета "Вечерняя Москва" сообщала: "Первый советский тягач имени XVII Всесоюзной конференции. Его выпускают рабочие и техперсонал экспериментального завода имени Сталина (бывший АМО). До сих пор тягачи ввозились из-за границы" (18723).</w:t>
      </w:r>
    </w:p>
    <w:p w14:paraId="14423921" w14:textId="77777777" w:rsidR="002957CB" w:rsidRPr="00E93F40" w:rsidRDefault="002957CB" w:rsidP="00E93F40">
      <w:pPr>
        <w:spacing w:after="0" w:line="240" w:lineRule="auto"/>
        <w:jc w:val="both"/>
        <w:rPr>
          <w:rFonts w:ascii="Times New Roman" w:hAnsi="Times New Roman"/>
          <w:color w:val="000000" w:themeColor="text1"/>
          <w:sz w:val="16"/>
          <w:szCs w:val="16"/>
        </w:rPr>
      </w:pPr>
    </w:p>
    <w:p w14:paraId="3849DA92"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февраля 1932 опросом членов ПБ</w:t>
      </w:r>
    </w:p>
    <w:p w14:paraId="0452E371"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28/8.- Вопрос т. Ворошилова.</w:t>
      </w:r>
    </w:p>
    <w:p w14:paraId="7AEC15B4"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Разрешить заграничную командировку по линии Наркомвоепмора для изучения мобилизации промышленности, сроком на 1 1/2 месяца следующим т.т. Луневу, Заборовскому, Рудневу, Каюкову, Елисееву.</w:t>
      </w:r>
    </w:p>
    <w:p w14:paraId="4E09884F"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эту же группу включить работников ВСНХ, ВМИ РКП, Госплана и ЭКУ ОГПУ, обязав руководителей этих учрежде</w:t>
      </w:r>
      <w:r w:rsidRPr="00E93F40">
        <w:rPr>
          <w:rFonts w:ascii="Times New Roman" w:hAnsi="Times New Roman"/>
          <w:color w:val="000000" w:themeColor="text1"/>
          <w:sz w:val="16"/>
          <w:szCs w:val="16"/>
        </w:rPr>
        <w:softHyphen/>
        <w:t>ний представить кандидатуры на утверждение ЦК.</w:t>
      </w:r>
    </w:p>
    <w:p w14:paraId="5EBF2A85"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По линии военных сообщений Наокомвсенмора команди</w:t>
      </w:r>
      <w:r w:rsidRPr="00E93F40">
        <w:rPr>
          <w:rFonts w:ascii="Times New Roman" w:hAnsi="Times New Roman"/>
          <w:color w:val="000000" w:themeColor="text1"/>
          <w:sz w:val="16"/>
          <w:szCs w:val="16"/>
        </w:rPr>
        <w:softHyphen/>
        <w:t>ровать следующих т.т.: Колтунова, Павлова, Грунд, Федорова и Бернера. Срок 5-6 месяцев.</w:t>
      </w:r>
    </w:p>
    <w:p w14:paraId="66CF18C4"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посаны: т.т. Ворошилову, Артузову - все; Орджоникидзе, Рудзутаку, Куйбышеву, Менжинскому - п."а"</w:t>
      </w:r>
    </w:p>
    <w:p w14:paraId="31F5F8FC" w14:textId="77777777" w:rsidR="00E431C6" w:rsidRPr="00E93F40" w:rsidRDefault="00E431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состоялось заседание ПБ (Протокол № 88) (23038).</w:t>
      </w:r>
    </w:p>
    <w:p w14:paraId="445DB6F6" w14:textId="77777777" w:rsidR="00E431C6" w:rsidRPr="00E93F40" w:rsidRDefault="00E431C6" w:rsidP="00E93F40">
      <w:pPr>
        <w:spacing w:after="0" w:line="240" w:lineRule="auto"/>
        <w:jc w:val="both"/>
        <w:rPr>
          <w:rFonts w:ascii="Times New Roman" w:hAnsi="Times New Roman"/>
          <w:color w:val="000000" w:themeColor="text1"/>
          <w:sz w:val="16"/>
          <w:szCs w:val="16"/>
        </w:rPr>
      </w:pPr>
    </w:p>
    <w:p w14:paraId="4B966BD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4B43AE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446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февраля 1932 г. по приказу РВС СССР No.07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6807A6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089D3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8BBB7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5A3B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E50854" w14:textId="12836487" w:rsidR="00FC0C68" w:rsidRPr="00E93F40" w:rsidRDefault="00FC0C68"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eastAsia="Times New Roman" w:hAnsi="Times New Roman"/>
          <w:color w:val="000000" w:themeColor="text1"/>
          <w:sz w:val="16"/>
          <w:szCs w:val="16"/>
          <w:lang w:eastAsia="ru-RU"/>
        </w:rPr>
        <w:t>10 февраля 1932 бригада газеты «Правда» направила Сталину, Кагановичу, Постышеву письмо о хлебозаготовках в Молдавии. В письме сообщалось, что в ходе хлебозаготовительной кампании производятся повальные обыски у колхозников и единоличников и в случае обнаружения зерна крестьянина объявляют «твердозаданцем» и забирают у него все имущество. Имеются случаи избиения крестьян (иногда с увечьем), производятся незаконные аресты и т.д. В результате этого крестьяне бегут за границу, особенно из пограничных с Румынией районов. Сталин разослал письмо членам Политбюро ЦК ВКП(б) и ЦК КП(б) Украины «для сведения». Правда, Политбюро ЦК КП(б) Украины 29 февраля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приняло специальное постановление о перегибах в Молдавии, в котором подчеркивалось, что эти перегибы «являются обратной стороной правооппортунистических настроений в партийном руководстве хлебозаготовительной кампанией». ЦК КП(б)У объявил выговор бюро Молдавского обкома партии, строгий выговор бывшему секретарю обкома Ильину, председателю СНК Молдавии Дмитриу и председателю ЦИК МАССР Вороновичу - предложил немедленно устроить «несколько показательных процессов» (17254).</w:t>
      </w:r>
    </w:p>
    <w:p w14:paraId="447D525C" w14:textId="77777777" w:rsidR="00FC0C68" w:rsidRPr="00E93F40" w:rsidRDefault="00FC0C68" w:rsidP="00E93F40">
      <w:pPr>
        <w:autoSpaceDE w:val="0"/>
        <w:autoSpaceDN w:val="0"/>
        <w:adjustRightInd w:val="0"/>
        <w:spacing w:after="0" w:line="240" w:lineRule="auto"/>
        <w:jc w:val="both"/>
        <w:rPr>
          <w:rFonts w:ascii="Times New Roman" w:hAnsi="Times New Roman"/>
          <w:color w:val="000000" w:themeColor="text1"/>
          <w:sz w:val="16"/>
          <w:szCs w:val="16"/>
        </w:rPr>
      </w:pPr>
    </w:p>
    <w:p w14:paraId="16CD77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февраля 1932-го Приказом ОГПУ № 122/с число отделений в составе ЭКУ вновь было увеличено до восьми: </w:t>
      </w:r>
    </w:p>
    <w:p w14:paraId="635E0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отделение (тяжелая промышленность), </w:t>
      </w:r>
    </w:p>
    <w:p w14:paraId="28CEF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отделение (легкая промышленность), </w:t>
      </w:r>
    </w:p>
    <w:p w14:paraId="27D2C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отделение (военная промышленность), </w:t>
      </w:r>
    </w:p>
    <w:p w14:paraId="5B2EAC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отделение (снабжение), </w:t>
      </w:r>
    </w:p>
    <w:p w14:paraId="28A58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отделение (внешняя торговля), </w:t>
      </w:r>
    </w:p>
    <w:p w14:paraId="72167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отделение (сельское хозяйство), </w:t>
      </w:r>
    </w:p>
    <w:p w14:paraId="63074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отделение (финансово-кредитное), </w:t>
      </w:r>
    </w:p>
    <w:p w14:paraId="2A419B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отделение (специально-техническое) (7557).</w:t>
      </w:r>
    </w:p>
    <w:p w14:paraId="31E9F8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F0AA02" w14:textId="77777777" w:rsidR="002735B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6B713CC" w14:textId="77777777" w:rsidR="002735B1" w:rsidRPr="00E93F40" w:rsidRDefault="002735B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87F69BB"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февраля 1932 Волынченко с механиком Чекаловым совершили полёт по маршруту Урумчи — Хами протяженностью 560 км. До Гучена метеоусловия сначала были удовлетворительными, затем появилась облачность, закрыв горы на маршруте. В облаках лётчик изменил маршрут и пошел на озеро Баркуль, отметив, что карта не совпадает с местностью, а дорога идёт не по равнине, а по горам, и без движения по ней не видна. У занесенного снегом озера Волынченко потерял ориентировку и про</w:t>
      </w:r>
      <w:r w:rsidRPr="00E93F40">
        <w:rPr>
          <w:rFonts w:ascii="Times New Roman" w:hAnsi="Times New Roman"/>
          <w:color w:val="000000" w:themeColor="text1"/>
          <w:sz w:val="16"/>
          <w:szCs w:val="16"/>
        </w:rPr>
        <w:softHyphen/>
        <w:t>извёл вынужденную посадку. В конце пробега левое колесо попало в яму, самолёт стал на нос, но относительно удачно, повредив только радиатор у крана.</w:t>
      </w:r>
    </w:p>
    <w:p w14:paraId="6B07DEA2"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Запаять радиатор было нечем, население русского языка не знало, все необходимые ин</w:t>
      </w:r>
      <w:r w:rsidRPr="00E93F40">
        <w:rPr>
          <w:rFonts w:ascii="Times New Roman" w:hAnsi="Times New Roman"/>
          <w:color w:val="000000" w:themeColor="text1"/>
          <w:sz w:val="16"/>
          <w:szCs w:val="16"/>
        </w:rPr>
        <w:softHyphen/>
        <w:t>струменты экипаж рисовал или показывал на пальцах. Ремонт на морозе в 30° занял ночь и половину следующего дня, для взлёта полосу в снегу протаптывали более 500 чел.</w:t>
      </w:r>
    </w:p>
    <w:p w14:paraId="27F4D36E"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Перелетая через Тянь-Шань, на перевале высотой выше 3500 м проход нашли лишь со второй попытки. Аэродром в Хами к их прилёту хорошо обозначили (15802).</w:t>
      </w:r>
    </w:p>
    <w:p w14:paraId="765FF00F" w14:textId="77777777" w:rsidR="002735B1" w:rsidRPr="00E93F40" w:rsidRDefault="002735B1" w:rsidP="00E93F40">
      <w:pPr>
        <w:spacing w:after="0" w:line="240" w:lineRule="auto"/>
        <w:jc w:val="both"/>
        <w:rPr>
          <w:rFonts w:ascii="Times New Roman" w:hAnsi="Times New Roman"/>
          <w:color w:val="000000" w:themeColor="text1"/>
          <w:sz w:val="16"/>
          <w:szCs w:val="16"/>
        </w:rPr>
      </w:pPr>
    </w:p>
    <w:p w14:paraId="59896C2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806116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BD71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11 и 15 февраля и 7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 (3002) и 11 февраля также был выполнен полет на штопор (3002).</w:t>
      </w:r>
    </w:p>
    <w:p w14:paraId="34B928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87BAB0"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февраля 1932 г. Письмом №ос/164с от зам. начальника 1 отдела НИИ Квитко начальнику ВВС «О выполнении промышленностью решений РВС в части сухопутных самолетов» доложил, что темпы работ по предкрылкам слабы и ЦАГИ пока выпустил с ними только модификацию своего самолета И-4, а по остальным ведет лишь предварительные работы (24331).</w:t>
      </w:r>
    </w:p>
    <w:p w14:paraId="3911D72B" w14:textId="77777777" w:rsidR="00731874" w:rsidRPr="00E93F40" w:rsidRDefault="00731874" w:rsidP="00E93F40">
      <w:pPr>
        <w:spacing w:after="0" w:line="240" w:lineRule="auto"/>
        <w:jc w:val="both"/>
        <w:rPr>
          <w:rFonts w:ascii="Times New Roman" w:hAnsi="Times New Roman"/>
          <w:color w:val="000000" w:themeColor="text1"/>
          <w:sz w:val="16"/>
          <w:szCs w:val="16"/>
        </w:rPr>
      </w:pPr>
    </w:p>
    <w:p w14:paraId="3E4D1C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февраля 1932 года в кабинете врид. начальника ВВС Наумова было созвано совещание с докладом Фишмана "О задачах авиации в области химии" (7428, 12).</w:t>
      </w:r>
    </w:p>
    <w:p w14:paraId="2F558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30C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февраля 1932 С.П.К. организовал по просьбе Ф.А. Цандера изготовление деталей для двигателя ОР-2 в ЦАГИ (ААН, ф. 573, оп. 3, № 38) (10676).</w:t>
      </w:r>
    </w:p>
    <w:p w14:paraId="69966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508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февраля 1932 г. на запрос тов. Мирошникова6 дать заключение по предложению «Норд-Америкэн эвиэйшн корпорейшн»,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6BFDC8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01F4EB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2BF655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243E0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7A80D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Примечание: </w:t>
      </w:r>
    </w:p>
    <w:p w14:paraId="3BE77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w:t>
      </w:r>
      <w:r w:rsidRPr="00E93F40">
        <w:rPr>
          <w:rFonts w:ascii="Times New Roman" w:hAnsi="Times New Roman"/>
          <w:color w:val="000000" w:themeColor="text1"/>
          <w:sz w:val="16"/>
          <w:szCs w:val="16"/>
        </w:rPr>
        <w:lastRenderedPageBreak/>
        <w:t xml:space="preserve">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3A0D9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3708EF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6CCA0C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«Форд инструмент Ко»; </w:t>
      </w:r>
    </w:p>
    <w:p w14:paraId="1E56B8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7FFF2E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7BA90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1EFEC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2EC0C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Зав. 3-м Западным отделом Е. РУБИНИН </w:t>
      </w:r>
    </w:p>
    <w:p w14:paraId="354CD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Отв. референт С. СТОЛЯР </w:t>
      </w:r>
    </w:p>
    <w:p w14:paraId="5F0A7B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АВП РФ. Ф. 05. Оп. 14. П. 101. Д. 84. Л. 1—3. Подлинник (11430).</w:t>
      </w:r>
    </w:p>
    <w:p w14:paraId="301F1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4AACEC"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февраля 1932 г. ПИСЬМО ЗАМЕСТИТЕЛЯ НАРОДНОГО КОМИССАРА ИНОСТРАННЫХ ДЕЛ СССР Н.Н. КРЕСТИНСКОГО ЗАМЕСТИТЕЛЮ УПРАВЛЯЮЩЕГО ДЕЛАМИ СНК СССР И. МИРОШНИКОВУ ОТНОСИТЕЛЬНО ВОЗДУШНОЙ линии АЛЯСКА - ВЛАДИВОСТОК</w:t>
      </w:r>
    </w:p>
    <w:p w14:paraId="5CD8B8AB"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Секретно</w:t>
      </w:r>
    </w:p>
    <w:p w14:paraId="01315749"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ответ на Вашу просьбу дать заключение по письму ВАО о целесообразности участия в организации воздушной линии Аляска — Владивосток сообщаем следующее:</w:t>
      </w:r>
    </w:p>
    <w:p w14:paraId="5CEE32DB"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30 октября 1931 г. Объединение панамериканских воздушных линий влице своего председателя Триппе обратилось с письмом к ВОГВФу, в котором предлагает обсудить вопрос о совместной организации транстихоокеанского воздушного сообщения. </w:t>
      </w:r>
    </w:p>
    <w:p w14:paraId="3921E343"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своем письме Триппе выдвигает ряд общих положений, на основе которых между Объединением и ВОГВФом могло бы быть заключено соглашение.</w:t>
      </w:r>
    </w:p>
    <w:p w14:paraId="64184F43"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 Гольцман, препровождая копию этого письма нам, сообщил, что считает, что это предложение могло бы быть осуществлено на первых порах путем организации воздушного сообщения по маршруту Аляска — Камчатка, и просил НКИД высказать свое принципиальное мнение по этому вопросу.</w:t>
      </w:r>
    </w:p>
    <w:p w14:paraId="13A5B9F3"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Коллегия НКИД, рассмотрев указанное предложение, в постановлении от 20.12.1931 г. признала, что предложение не вызывает возражений с политической точки зрения, но рекомендовала ВОГВФу поставить этот вопрос на разрешение авторитетной инстанции. Об этом решении т. Гольцман нами был поставлен в известность немедленно после его вынесения Коллегией.</w:t>
      </w:r>
    </w:p>
    <w:p w14:paraId="57DB5560"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Уже после этого президент американской авиационной фирмы «Кертис Райт» Морган обратился к представителю ВАО в САСШ т. Петрову с вопросом,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Америки в том, чтобы сомкнуть свои воздушные пути, протянутые до Аляски, с воздушными путями в Китае, эксплуатируемыми фирмой «Кертис», до Шанхая и далее во внутрь Китая. Причем он заметил, что смычка этих путей может иметь место либо через территорию СССР, либо через японскую. </w:t>
      </w:r>
    </w:p>
    <w:p w14:paraId="14672343"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они предпочитают смычку путей через советскую территорию.</w:t>
      </w:r>
    </w:p>
    <w:p w14:paraId="53C07D95"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Оба предложения имеют то общее, что, во-первых, они исходят от весьма солидных организаций, а, во-вторых, то, что оба имеют целью установить сотрудничество советских и американских организаций воздушных сообщений на Дальнем Востоке. Все это исходит из стремления соединить американский и азиатский континенты путем организации советско-американской воздушной линии через Тихий океан.</w:t>
      </w:r>
    </w:p>
    <w:p w14:paraId="1A9E9878"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рассмотрении этого вопроса нельзя упустить из виду, что эвентуальное осуществление этого проекта, результатом чего было бы появление американской авиации в зоне, являющейся, с точки зрения Японии, наиболее для нее уязвимой, не может не вызывать с ее стороны весьма серьезной тревоги.</w:t>
      </w:r>
    </w:p>
    <w:p w14:paraId="514BF72E"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подтверждение этого можно для иллюстрации привести заявление бывшего начальника военной авиации САСШ генерала Уильяма Митчелла. В статье, помещенной им в журнале «Либерти» под заглавием «Готовы ли мы к войне с Японией», Митчелл, описывая борьбу между САСШ и Японией за господство на Тихом океане и за гегемонию торговли с азиатскими странами, указывает, что японские города, построенные, главным образом, из дерева и бумажных материалов, «представляют идеальную мишень при операциях с воздуха. Зажигательные снаряды, — продолжает генерал, — быстро разрушили бы эти города.</w:t>
      </w:r>
    </w:p>
    <w:p w14:paraId="6A567367"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Воздушные газовые атаки полностью снесли бы население с лица земли. Представляется вполне практическим атаковать Японию с воздуха и Гавайских островов. </w:t>
      </w:r>
    </w:p>
    <w:p w14:paraId="11963281"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Аляска по своему стратегическому значению является ключом ко всему Тихому океану. Из Аляски можно непосредственно атаковать Японию с воздуха». </w:t>
      </w:r>
    </w:p>
    <w:p w14:paraId="4A1C2A8C"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Указывая далее на неизбежность участия САСШ в случае войны в Тихом океане, Митчелл заключает, что «американцы должны осознать эти факты и должны достаточно укрепить вооруженные силы, в особенности авиацию и подводный флот».</w:t>
      </w:r>
    </w:p>
    <w:p w14:paraId="359912BA"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другой стороны, установление делового контакта с крупнейшими американскими фирмами по столь серьезному как с политической, так и с экономической и технической стороны вопросу представляет для нас немалый интерес.</w:t>
      </w:r>
    </w:p>
    <w:p w14:paraId="4C70498E"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всем этим соображениям мы полагали бы целесообразным дать нашим соответствующим организациям директиву —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w:t>
      </w:r>
    </w:p>
    <w:p w14:paraId="0AC29A37"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Врио наркома КРЕСТИНСКИЙ</w:t>
      </w:r>
    </w:p>
    <w:p w14:paraId="66A2EA59"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 /// Западным отделом РУБИНИН</w:t>
      </w:r>
    </w:p>
    <w:p w14:paraId="13054548"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В РФ. Ф. 0129. On. 15. П. 128. Д. 331. Л. 35-37. Копия (23878).</w:t>
      </w:r>
    </w:p>
    <w:p w14:paraId="4C3F92AD" w14:textId="77777777" w:rsidR="00731874" w:rsidRPr="00E93F40" w:rsidRDefault="00731874" w:rsidP="00E93F40">
      <w:pPr>
        <w:spacing w:after="0" w:line="240" w:lineRule="auto"/>
        <w:jc w:val="both"/>
        <w:rPr>
          <w:rFonts w:ascii="Times New Roman" w:hAnsi="Times New Roman"/>
          <w:color w:val="000000" w:themeColor="text1"/>
          <w:sz w:val="16"/>
          <w:szCs w:val="16"/>
        </w:rPr>
      </w:pPr>
    </w:p>
    <w:p w14:paraId="34A5985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FD1750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837552"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11 февраля</w:t>
      </w:r>
      <w:r w:rsidRPr="00E93F40">
        <w:rPr>
          <w:rFonts w:ascii="Times New Roman" w:hAnsi="Times New Roman"/>
          <w:color w:val="000000" w:themeColor="text1"/>
          <w:sz w:val="16"/>
          <w:szCs w:val="16"/>
        </w:rPr>
        <w:t xml:space="preserve"> в 1932 году состоялся первый полет самолета – «Couzinet 70» «Arc en Сiel». Самолет значительно отличался от своих предшественников - имел другой фюзеляж и силовую установку состоящую из трех двигателей «Hispano-Suiza» 12Nb мощностью 650 л.с. Такая силовая установка позволила увеличить дальность полета самолета почти до 7000 километров (15037).</w:t>
      </w:r>
    </w:p>
    <w:p w14:paraId="1B389439" w14:textId="77777777" w:rsidR="002735B1" w:rsidRPr="00E93F40" w:rsidRDefault="002735B1" w:rsidP="00E93F40">
      <w:pPr>
        <w:spacing w:after="0" w:line="240" w:lineRule="auto"/>
        <w:jc w:val="both"/>
        <w:rPr>
          <w:rFonts w:ascii="Times New Roman" w:hAnsi="Times New Roman"/>
          <w:color w:val="000000" w:themeColor="text1"/>
          <w:sz w:val="16"/>
          <w:szCs w:val="16"/>
        </w:rPr>
      </w:pPr>
    </w:p>
    <w:p w14:paraId="649B027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февраля 1932 впервые встретились папа римский и Б. Муссолини (4962).</w:t>
      </w:r>
    </w:p>
    <w:p w14:paraId="29BB163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509E58" w14:textId="77777777" w:rsidR="002957CB" w:rsidRPr="00E93F40" w:rsidRDefault="002957CB"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4D73F54" w14:textId="77777777" w:rsidR="002957CB" w:rsidRPr="00E93F40" w:rsidRDefault="002957C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A55D8D" w14:textId="77777777" w:rsidR="002957CB" w:rsidRPr="00E93F40" w:rsidRDefault="002957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февраля 1932 г. на опытном участке произошла авария: при проходке неожиданно натолкнулись на грунтовые воды, что привело к понижению их уровня. В результате на соседних зданиях появились трещины, лопнула труба водопровода, снабжавшего близлежащую фабрику минеральных вод, шахту полностью залило водой, а фабрика остановилась{415}.Шахта оказалась потеряна, нужно было закладывать новую на другом месте. При расследовании аварии было установлено, что в этой местности раньше было много прудов, засыпанных в XIX в., некоторые сохранившиеся подземные водные потоки пересекли трассу метро, и было признано необходимым считаться с подобными неожиданностями и в будущем. Геологическое бурение производилось с частотой 50 м, и никто не мог с уверенностью сказать, каково состояние грунта между двумя скважинами{416}.</w:t>
      </w:r>
    </w:p>
    <w:p w14:paraId="63028A37" w14:textId="77777777" w:rsidR="002957CB" w:rsidRPr="00E93F40" w:rsidRDefault="002957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Проблемы с опытным участком строительства закрытым способом усугубляла позиция Ротерта, отдававшего предпочтение берлинскому методу прокладки метро открытым способом или в перекрытом сверху котловане. Этот метод облегчал развертывание широкого фронта работ и к тому же в высоком темпе, не требовал квалифицированных рабочих для прокладки тоннелей и позволял без крупных затрат провести наружную гидроизоляцию. Впрочем, пришлось бы перенести некоторые коммунальные линии, пересекавшие трассу метро{417}.Парижский метод Ротерт. считал непригодным и опасным из-за неблагоприятных геологических условий. Щитовой способ прокладки тоннелей, практиковавшийся в Англии и Америке, хотя и облегчал проходку в водоносных слоях, но технически был весьма сложен и требовал импорта дорогостоящего оборудования{418}.</w:t>
      </w:r>
    </w:p>
    <w:p w14:paraId="737D4F52" w14:textId="77777777" w:rsidR="002957CB" w:rsidRPr="00E93F40" w:rsidRDefault="002957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 не был готов проект, нельзя было приступить и к эффективному строительству. Наряду с опытным участком велись также работы открытым способом{419},но деятельность Метростроя концентрировалась пока на проектировании и возведении складов, гаражей, мастерских, вспомогательных предприятий и жилья для рабочих. Следовало обеспечить стройку электроэнергией; в радиусе 150 км от Москвы Метрострой приобретал прежние или заводил новые каменоломни и песчаные карьеры{420} (18299).</w:t>
      </w:r>
    </w:p>
    <w:p w14:paraId="2959054F" w14:textId="77777777" w:rsidR="002957CB" w:rsidRPr="00E93F40" w:rsidRDefault="002957CB" w:rsidP="00E93F40">
      <w:pPr>
        <w:spacing w:after="0" w:line="240" w:lineRule="auto"/>
        <w:jc w:val="both"/>
        <w:rPr>
          <w:rFonts w:ascii="Times New Roman" w:hAnsi="Times New Roman"/>
          <w:color w:val="000000" w:themeColor="text1"/>
          <w:sz w:val="16"/>
          <w:szCs w:val="16"/>
        </w:rPr>
      </w:pPr>
    </w:p>
    <w:p w14:paraId="7A8C20F5" w14:textId="77777777" w:rsidR="00836580" w:rsidRPr="00E93F40" w:rsidRDefault="0083658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CD942D3" w14:textId="77777777" w:rsidR="00836580" w:rsidRPr="00E93F40" w:rsidRDefault="0083658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8C1DAE"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февраля 1932 г.</w:t>
      </w:r>
    </w:p>
    <w:p w14:paraId="765B4DCF"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заседания комиссии Политбюро от 11 февраля 1932 г.</w:t>
      </w:r>
    </w:p>
    <w:p w14:paraId="27C507D8"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Присутствуют члены комиссии: тт. Сталин, Молотов, Ворошилов, Орджоникидзе, Розенгольц</w:t>
      </w:r>
    </w:p>
    <w:p w14:paraId="4CCAB6DF"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присутствовали тт. Пятаков и Дволайцкий</w:t>
      </w:r>
    </w:p>
    <w:p w14:paraId="17D654D8"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 О переговорах с итальянским] правительством].</w:t>
      </w:r>
    </w:p>
    <w:p w14:paraId="14818F0E"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 1. Назначить делегацию в составе тт. Вейцера, Пятакова, Дволайцкого и торгпреда в Италии; т. Пятакову выехать в Италию на 10 дней. 2. Делегации выехать с таким расчетом, чтобы быть в Риме 22 февраля.</w:t>
      </w:r>
    </w:p>
    <w:p w14:paraId="4959C27C"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Сообщить итал[ьянскому] пра[вительству] о назначении делегации в указанном в п. 1 составе через т. Курского.</w:t>
      </w:r>
    </w:p>
    <w:p w14:paraId="1386E3F2"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От военведа, военной промышленности и от ВОИВ (Нитрошелк) командировать т. Ефимова и 20—30 работников.</w:t>
      </w:r>
    </w:p>
    <w:p w14:paraId="38E366AC"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Выдвинуть следующие требования по обеспечению нашего экспорта в Италии:</w:t>
      </w:r>
    </w:p>
    <w:p w14:paraId="06E6B153"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итал[ьянское] пра[вительство] обеспечивает покупку у нас пшеницы в 1932-1933 сельхозгоду (1.08-1.08) в количестве 65-70% импортной потребности Италии;</w:t>
      </w:r>
    </w:p>
    <w:p w14:paraId="5B2D72A6"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итал[ьянское] пра[вительство] обязуется по линии сбыта нашей нефти удовлетворить наши требования, изложенные в приложении </w:t>
      </w:r>
    </w:p>
    <w:p w14:paraId="79943EAA"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настоящему постановлению;</w:t>
      </w:r>
    </w:p>
    <w:p w14:paraId="47350355"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 отношении лесоматериалов итал[ьянское] пра[вительство] обязуется дать указание государственным и муниципальным организациям покрывать свои импортные потребности по преимуществу советским лесом, и в частности, обеспечить покупку у нас леса военным ведомством и государственными железными дорогами;</w:t>
      </w:r>
    </w:p>
    <w:p w14:paraId="57CDAC38"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итал[ьянское] пра[вительство] обязуется дать распоряжение государственным и муниципальным организациям, в первую очередь государственным железным дорогам, покупать для своих потребностей преимущественно наш антрацит и уголь;</w:t>
      </w:r>
    </w:p>
    <w:p w14:paraId="0854C01B"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итал[ьянское] пра[вительство] предоставляет нам генеральное наибольшее благоприятствование (на началах взаимности), причем мы, в случае требования итал[ьянского] пра[вительства], отказываемся от льгот, предоставленных нам по отдельным товарам Таможенной конвенцией 1924 года;</w:t>
      </w:r>
    </w:p>
    <w:p w14:paraId="365A8488"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итал[ьянское] пра[вительство] принимает на себя обязательство, в случае введения им в дальнейшем ограничения по импорту и по переводу валюты, предоставлять нам право перевода нашей валютной выручки. Мы соглашаемся на внесение этого обязательства итальянского] пра[вительства] в отдельный особо секретный протокол.</w:t>
      </w:r>
    </w:p>
    <w:p w14:paraId="499B1C23"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Если для осуществления мер итальянского правительства, обеспечивающих реализацию наших экспортных товаров, потребуется заключение нами договоров со специально созданными для этой цели организациями итальянских фирм, предоставить делегации право принять в принципе указанный модус.</w:t>
      </w:r>
    </w:p>
    <w:p w14:paraId="5E935689"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Считать возможным пойти на следующие уступки итальянскому] правительству]:</w:t>
      </w:r>
    </w:p>
    <w:p w14:paraId="556BAE38"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обязаться перед итальянским] пра[вительством] целиком использовать в 1932 году гарантийный кредит, предоставленный нам соглашением 27 апреля 1931 года, при условии, что цены и техусловия итальянских фирм не будут хуже, чем в других странах;</w:t>
      </w:r>
    </w:p>
    <w:p w14:paraId="1F077C21"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мы обязуемся увеличить фрахтование итальянских судов на 600 тыс. тонн против 1931 года (до 3,2 млн тонн) при условии соответствия фрахтовых ставок;</w:t>
      </w:r>
    </w:p>
    <w:p w14:paraId="7D31B309"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мы обязуемся кредитовать итальянские фирмы по экспорту с таким расчетом, чтобы задолженность итальянских фирм нам составила </w:t>
      </w:r>
    </w:p>
    <w:p w14:paraId="76AE512F"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3 млн рублей;</w:t>
      </w:r>
    </w:p>
    <w:p w14:paraId="186D6E17"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мы обязуемся в порядке так называемого джентльменского соглашения вносить в один из итальянских банков срочные вклады в золоте с таким расчетом, чтобы общая сумма этих вкладов достигла к концу 1932 года 3,5 млн рублей.</w:t>
      </w:r>
    </w:p>
    <w:p w14:paraId="39251F21"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Оговорить, что наши уступки по импорту сохраняют силу в случае выполнения итал[ьянским] пра[вительством] его обязательств по обеспечению нашего экспорта.</w:t>
      </w:r>
    </w:p>
    <w:p w14:paraId="6028065C"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Размещение заказов по импорту поставить в зависимости от обеспечения итал[ьянским] пра[вительством] нашего экспорта, и крупных заказов не подписывать до подписания соглашения по экспорту и валюте.</w:t>
      </w:r>
    </w:p>
    <w:p w14:paraId="7A88DB4C"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Заказы для военной промышленности на предмет вооружений и на техпомощь по нитрошелку определить в 50-100 млн лир.</w:t>
      </w:r>
    </w:p>
    <w:p w14:paraId="6F51F7AE"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к постановлению</w:t>
      </w:r>
    </w:p>
    <w:p w14:paraId="3697BED4"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переговорах с итальянским правительством</w:t>
      </w:r>
    </w:p>
    <w:p w14:paraId="7680A527"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нефти итал[ьянское] пра[вительство] обязуется:</w:t>
      </w:r>
    </w:p>
    <w:p w14:paraId="404CB6B7"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закупить у нас через “Аджип”, кроме предусмотренных договором 75 тыс. тонн бензина ежегодно, по 20 тыс. тонн дополнительно ежегодно в 1932, 1933 и 1934 гг. по мировым ценам с 10-процентной скидкой с них;</w:t>
      </w:r>
    </w:p>
    <w:p w14:paraId="5A0A5389"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способствовать нашей организации '“Петролеа”1 разместить через собственный аппарат последней следующие количества бензина:</w:t>
      </w:r>
    </w:p>
    <w:p w14:paraId="59338C6E"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20 000 тонн</w:t>
      </w:r>
    </w:p>
    <w:p w14:paraId="299F33C0"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1933 “</w:t>
      </w:r>
      <w:r w:rsidRPr="00E93F40">
        <w:rPr>
          <w:rFonts w:ascii="Times New Roman" w:hAnsi="Times New Roman"/>
          <w:color w:val="000000" w:themeColor="text1"/>
          <w:sz w:val="16"/>
          <w:szCs w:val="16"/>
        </w:rPr>
        <w:tab/>
        <w:t>30 000 “</w:t>
      </w:r>
    </w:p>
    <w:p w14:paraId="5B9113C8"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1934 “</w:t>
      </w:r>
      <w:r w:rsidRPr="00E93F40">
        <w:rPr>
          <w:rFonts w:ascii="Times New Roman" w:hAnsi="Times New Roman"/>
          <w:color w:val="000000" w:themeColor="text1"/>
          <w:sz w:val="16"/>
          <w:szCs w:val="16"/>
        </w:rPr>
        <w:tab/>
        <w:t>40 000 “</w:t>
      </w:r>
    </w:p>
    <w:p w14:paraId="67B0C0FC"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случае, если “Петролеа” не продаст означенные количества, итал[ьянское] пра[вительство] обязуется побудить “Аджип” закупить у “Петролеа” непроданные остатки;</w:t>
      </w:r>
    </w:p>
    <w:p w14:paraId="02E881E1"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закупить у нас через “Аджип”, сверх установленных договором 225 тыс. тонн мазута в год, в 1932 году дополнительно 175 тыс. тонн;</w:t>
      </w:r>
    </w:p>
    <w:p w14:paraId="2CCB51A8"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побудить “Марину” заключить с нами договор о закупке 1 млн тонн мазута в течение 3-6 лет;</w:t>
      </w:r>
    </w:p>
    <w:p w14:paraId="0F08675D"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предоставить “Петролеа” реальную возможность свободного строительства инсталляций.</w:t>
      </w:r>
    </w:p>
    <w:p w14:paraId="50721049"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 3. On. 65. Д. 243. Л. 21. Заверенная копия (21017).</w:t>
      </w:r>
    </w:p>
    <w:p w14:paraId="42E78E85" w14:textId="68F574A6" w:rsidR="00836580" w:rsidRPr="00E93F40" w:rsidRDefault="00836580" w:rsidP="00E93F40">
      <w:pPr>
        <w:spacing w:after="0" w:line="240" w:lineRule="auto"/>
        <w:jc w:val="both"/>
        <w:rPr>
          <w:rFonts w:ascii="Times New Roman" w:hAnsi="Times New Roman"/>
          <w:color w:val="000000" w:themeColor="text1"/>
          <w:sz w:val="16"/>
          <w:szCs w:val="16"/>
        </w:rPr>
      </w:pPr>
    </w:p>
    <w:p w14:paraId="2B88EC88" w14:textId="5B794904" w:rsidR="00836580" w:rsidRPr="00E93F40" w:rsidRDefault="00836580"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3BB6B3EF" w14:textId="77777777" w:rsidR="00836580" w:rsidRPr="00E93F40" w:rsidRDefault="00836580" w:rsidP="00E93F40">
      <w:pPr>
        <w:spacing w:after="0" w:line="240" w:lineRule="auto"/>
        <w:jc w:val="both"/>
        <w:rPr>
          <w:rFonts w:ascii="Times New Roman" w:hAnsi="Times New Roman"/>
          <w:i/>
          <w:iCs/>
          <w:color w:val="000000" w:themeColor="text1"/>
          <w:sz w:val="16"/>
          <w:szCs w:val="16"/>
        </w:rPr>
      </w:pPr>
    </w:p>
    <w:p w14:paraId="642C98F9" w14:textId="77777777"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февраля 1932 состоялся первый полет Кузине 70 (20803).</w:t>
      </w:r>
    </w:p>
    <w:p w14:paraId="1DF572C8" w14:textId="77777777" w:rsidR="00836580" w:rsidRPr="00E93F40" w:rsidRDefault="00836580" w:rsidP="00E93F40">
      <w:pPr>
        <w:spacing w:after="0" w:line="240" w:lineRule="auto"/>
        <w:jc w:val="both"/>
        <w:rPr>
          <w:rFonts w:ascii="Times New Roman" w:hAnsi="Times New Roman"/>
          <w:color w:val="000000" w:themeColor="text1"/>
          <w:sz w:val="16"/>
          <w:szCs w:val="16"/>
        </w:rPr>
      </w:pPr>
    </w:p>
    <w:p w14:paraId="6C4132D4" w14:textId="4D48D785"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Состоялся первый полет самолета - Couzinet 70 Arc en ciel. Самолет значительно отличался от своих предшественников - имел другой фюзеляж и силовую установку состоящую из трех двигателей Hispano-Suiza 12Nb мощностью 650 л.с. Такая силовая установка позволила увеличить дальность полета самолета почти до 7000 километров (22601).</w:t>
      </w:r>
    </w:p>
    <w:p w14:paraId="1C47D67E" w14:textId="729D9ADF"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 году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Рене Кузине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(Rene Couzinet) начал работу над своим 10-м проектом. Используя наработки от первых двух самолётов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семейства Arc-en-Ciel («Радуга»), конструктор спроектировал более совершенный дальний почтовый самолёт Couzinet 70 Arc-en-Ciel III.</w:t>
      </w:r>
    </w:p>
    <w:p w14:paraId="0AFC73C6" w14:textId="1A91F7C5"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Couzinet 70 представлял собой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деревянный низкоплан с неубирающимся шасси и хвостовой частью оригинальной формы. Был оснащён 3 × двигателями Hispano-Suiza 12Nb (650 л.с.), к которым можно было добраться в полёте по специальному тоннелю в крыле. Максимальная скорость — 280 км/ч, дальность полёта — 6800 км. Экипаж состоял из 4 человек.</w:t>
      </w:r>
    </w:p>
    <w:p w14:paraId="11F217CC" w14:textId="00A75B4D" w:rsidR="00836580" w:rsidRPr="00E93F40" w:rsidRDefault="008365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демонстрации возможностей в 1933 году лётчик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Жан Мермоз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(Jean Mermoz) выполнил на Couzinet 70 перелёт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Буэнос-Айрес. А через год модернизированный самолёт под обозначением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Couzinet 71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начал перевозить почту на южноатлантических маршрутах а/к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Aéropostale. Его списали в 1937 году (22300).</w:t>
      </w:r>
    </w:p>
    <w:p w14:paraId="0F87AEAD" w14:textId="77777777" w:rsidR="00836580" w:rsidRPr="00E93F40" w:rsidRDefault="00836580" w:rsidP="00E93F40">
      <w:pPr>
        <w:spacing w:after="0" w:line="240" w:lineRule="auto"/>
        <w:jc w:val="both"/>
        <w:rPr>
          <w:rFonts w:ascii="Times New Roman" w:hAnsi="Times New Roman"/>
          <w:color w:val="000000" w:themeColor="text1"/>
          <w:sz w:val="16"/>
          <w:szCs w:val="16"/>
        </w:rPr>
      </w:pPr>
    </w:p>
    <w:p w14:paraId="572D7FB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78A5FE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28E36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февраля 1932 г. Артиллерийское управле</w:t>
      </w:r>
      <w:r w:rsidRPr="00E93F40">
        <w:rPr>
          <w:rFonts w:ascii="Times New Roman" w:hAnsi="Times New Roman"/>
          <w:color w:val="000000" w:themeColor="text1"/>
          <w:sz w:val="16"/>
          <w:szCs w:val="16"/>
        </w:rPr>
        <w:softHyphen/>
        <w:t>ние дало заказ на изготовление семи пулеметов ШКАС (10695).</w:t>
      </w:r>
    </w:p>
    <w:p w14:paraId="04DB0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C56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февраля 1932 г. Артиллерийское управление дало заказ на изготовление 7 пулеметов ШКАС (11316).</w:t>
      </w:r>
    </w:p>
    <w:p w14:paraId="49D3F4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4C1F1C"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февраля 1932 г. Артиллерийское управление РККА выдало заказ на изготовление семи пулеметов ШКАС для проведения полигонных испытаний, а в начале июня 1932-го новинку продемонстрировали наркомвоенмору К.Е. Ворошилову. Присутствовавший при этом предста</w:t>
      </w:r>
      <w:r w:rsidRPr="00142305">
        <w:rPr>
          <w:rFonts w:ascii="Times New Roman" w:hAnsi="Times New Roman"/>
          <w:color w:val="0070C0"/>
          <w:sz w:val="16"/>
          <w:szCs w:val="16"/>
        </w:rPr>
        <w:softHyphen/>
        <w:t>витель «Оружпултреста» И. Глотов впоследствии воспо</w:t>
      </w:r>
      <w:r w:rsidRPr="00142305">
        <w:rPr>
          <w:rFonts w:ascii="Times New Roman" w:hAnsi="Times New Roman"/>
          <w:color w:val="0070C0"/>
          <w:sz w:val="16"/>
          <w:szCs w:val="16"/>
        </w:rPr>
        <w:softHyphen/>
        <w:t>минал: «На демонстрации пулемета объяснения давали Шпитальный и Комарицкий, а также представитель ВВС Пономарев. По окончании демонстрации пулемета мною, по предварительному согласованию с изобрета</w:t>
      </w:r>
      <w:r w:rsidRPr="00142305">
        <w:rPr>
          <w:rFonts w:ascii="Times New Roman" w:hAnsi="Times New Roman"/>
          <w:color w:val="0070C0"/>
          <w:sz w:val="16"/>
          <w:szCs w:val="16"/>
        </w:rPr>
        <w:softHyphen/>
        <w:t>телями, было предложено испытать его в местном тире, на что Ворошилов дал свое согласие. С некоторым вполне понятным волнением встал за пулемет Комарицкий, и открытая по команде наркома обороны стрельба, казалось, слилась в один мощный шквал выстрелов... Все механизмы пулемета ШКАС действовали при стрельбе безотказно. Такой результат внепла</w:t>
      </w:r>
      <w:r w:rsidRPr="00142305">
        <w:rPr>
          <w:rFonts w:ascii="Times New Roman" w:hAnsi="Times New Roman"/>
          <w:color w:val="0070C0"/>
          <w:sz w:val="16"/>
          <w:szCs w:val="16"/>
        </w:rPr>
        <w:softHyphen/>
        <w:t>нового испытания пулемета вызвал одобрение Ворошилова.</w:t>
      </w:r>
    </w:p>
    <w:p w14:paraId="1C527633"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Он поздравил изобрета</w:t>
      </w:r>
      <w:r w:rsidRPr="00142305">
        <w:rPr>
          <w:rFonts w:ascii="Times New Roman" w:hAnsi="Times New Roman"/>
          <w:color w:val="0070C0"/>
          <w:sz w:val="16"/>
          <w:szCs w:val="16"/>
        </w:rPr>
        <w:softHyphen/>
        <w:t>телей с достигнутым успехом.» (24933).</w:t>
      </w:r>
    </w:p>
    <w:p w14:paraId="228D5447" w14:textId="77777777" w:rsidR="00643739" w:rsidRPr="00142305" w:rsidRDefault="00643739" w:rsidP="00643739">
      <w:pPr>
        <w:spacing w:after="0" w:line="240" w:lineRule="auto"/>
        <w:jc w:val="both"/>
        <w:rPr>
          <w:rFonts w:ascii="Times New Roman" w:hAnsi="Times New Roman"/>
          <w:color w:val="0070C0"/>
          <w:sz w:val="16"/>
          <w:szCs w:val="16"/>
        </w:rPr>
      </w:pPr>
    </w:p>
    <w:p w14:paraId="22E6E1CA" w14:textId="77777777" w:rsidR="00643739" w:rsidRPr="00142305" w:rsidRDefault="00643739" w:rsidP="00643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февраля 1932 года Артиллерийское управление РККА выдало заказ на изготовление семи пулеметов для проведения полигонных испытаний (25380).</w:t>
      </w:r>
    </w:p>
    <w:p w14:paraId="0E70CC7E" w14:textId="77777777" w:rsidR="00643739" w:rsidRPr="00142305" w:rsidRDefault="00643739" w:rsidP="00643739">
      <w:pPr>
        <w:spacing w:after="0" w:line="240" w:lineRule="auto"/>
        <w:jc w:val="both"/>
        <w:rPr>
          <w:rFonts w:ascii="Times New Roman" w:hAnsi="Times New Roman"/>
          <w:color w:val="0070C0"/>
          <w:sz w:val="16"/>
          <w:szCs w:val="16"/>
        </w:rPr>
      </w:pPr>
    </w:p>
    <w:p w14:paraId="6344CB0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12D2D9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3A21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13 февраля 1931 г. пост. РВС танкетка Т-27 Опытно конструкторского-механического отдела (ОКМО) завода пнв; легкий плавающий танк Т-33 «Селезень» по образцу амфибии фирмы «Виккерс» (построен в 03.1932 г.); малый танк Т-19 (11982).</w:t>
      </w:r>
    </w:p>
    <w:p w14:paraId="5A1359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63124B" w14:textId="77777777" w:rsidR="00AB00F4" w:rsidRPr="00E93F40" w:rsidRDefault="00AB00F4"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AC18AAE" w14:textId="77777777" w:rsidR="00AB00F4" w:rsidRPr="00E93F40" w:rsidRDefault="00AB00F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F22154" w14:textId="77777777" w:rsidR="00AB00F4" w:rsidRPr="00E93F40" w:rsidRDefault="00AB00F4"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января, 15 февраля и 23 марта 1932 Комиссия Обороны СССР в своих решениях разработала практические меры по усилению военной авиации на Дальнем востоке. Сюда перебросили две ТБ эскадрильи (66,186).</w:t>
      </w:r>
    </w:p>
    <w:p w14:paraId="7CF597E9" w14:textId="77777777" w:rsidR="00AB00F4" w:rsidRPr="00E93F40" w:rsidRDefault="00AB00F4" w:rsidP="00E93F40">
      <w:pPr>
        <w:autoSpaceDE w:val="0"/>
        <w:autoSpaceDN w:val="0"/>
        <w:adjustRightInd w:val="0"/>
        <w:spacing w:after="0" w:line="240" w:lineRule="auto"/>
        <w:jc w:val="both"/>
        <w:rPr>
          <w:rFonts w:ascii="Times New Roman" w:hAnsi="Times New Roman"/>
          <w:color w:val="000000" w:themeColor="text1"/>
          <w:sz w:val="16"/>
          <w:szCs w:val="16"/>
        </w:rPr>
      </w:pPr>
    </w:p>
    <w:p w14:paraId="74D1C45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E666A2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03B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февраля 1932 эталон К-5М-22 "эталон 1932" был выведен на аэродром - на один день раньше срока, определенного ГУАП и П.И.Б. и л М.А.Снегирев (70,170).</w:t>
      </w:r>
    </w:p>
    <w:p w14:paraId="6B05A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D30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февраля 1932 состоялся Первый полет самолета К-5 с двигателем М-22 (10674).</w:t>
      </w:r>
    </w:p>
    <w:p w14:paraId="054968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37A17E"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14 февраля</w:t>
      </w:r>
      <w:r w:rsidRPr="00E93F40">
        <w:rPr>
          <w:rFonts w:ascii="Times New Roman" w:hAnsi="Times New Roman"/>
          <w:color w:val="000000" w:themeColor="text1"/>
          <w:sz w:val="16"/>
          <w:szCs w:val="16"/>
        </w:rPr>
        <w:t xml:space="preserve"> в 1932 году впервые взлетела модификация пассажирского самолета </w:t>
      </w:r>
      <w:hyperlink r:id="rId36" w:tgtFrame="_blank" w:history="1">
        <w:r w:rsidRPr="00E93F40">
          <w:rPr>
            <w:rFonts w:ascii="Times New Roman" w:hAnsi="Times New Roman"/>
            <w:color w:val="000000" w:themeColor="text1"/>
            <w:sz w:val="16"/>
            <w:szCs w:val="16"/>
          </w:rPr>
          <w:t xml:space="preserve">«К-5» </w:t>
        </w:r>
      </w:hyperlink>
      <w:r w:rsidRPr="00E93F40">
        <w:rPr>
          <w:rFonts w:ascii="Times New Roman" w:hAnsi="Times New Roman"/>
          <w:color w:val="000000" w:themeColor="text1"/>
          <w:sz w:val="16"/>
          <w:szCs w:val="16"/>
        </w:rPr>
        <w:t>с двигателем «М-22» (советская лицензия мотора «Bristol» «Jupiter» VI, производство Государственного авиационного завода № 29 в Запорожье). На этой версии усилили фюзеляж, крыло, хвостовой костыль, укоротили мотораму. Салон обили мягкой звукопоглощающей обшивкой. В нём установили удобные регулируемые кресла. Салон и пилотская кабина были оборудованы системой отопления. Первый самолёт этой версии был перетяжелён, но затем удалось довести его до требований заказчика (т.е. Аэрофлота). В 1933 году «К-5М-22» вышел на линии. Эти самолёты производились на Харьковском заводе по завершению производства «К-5М-15» (15040).</w:t>
      </w:r>
    </w:p>
    <w:p w14:paraId="2D3B49B3" w14:textId="77777777" w:rsidR="002735B1" w:rsidRPr="00E93F40" w:rsidRDefault="002735B1" w:rsidP="00E93F40">
      <w:pPr>
        <w:spacing w:after="0" w:line="240" w:lineRule="auto"/>
        <w:jc w:val="both"/>
        <w:rPr>
          <w:rFonts w:ascii="Times New Roman" w:hAnsi="Times New Roman"/>
          <w:color w:val="000000" w:themeColor="text1"/>
          <w:sz w:val="16"/>
          <w:szCs w:val="16"/>
        </w:rPr>
      </w:pPr>
    </w:p>
    <w:p w14:paraId="5687134B" w14:textId="004EAFA5"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февраля 1932 на московский завод № 24</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w:t>
      </w:r>
      <w:r w:rsidRPr="00E93F40">
        <w:rPr>
          <w:rFonts w:ascii="Times New Roman" w:hAnsi="Times New Roman"/>
          <w:color w:val="000000" w:themeColor="text1"/>
          <w:sz w:val="16"/>
          <w:szCs w:val="16"/>
        </w:rPr>
        <w:softHyphen/>
        <w:t>были новые чертежи М-34, доработанные с учетом замечаний по госиспытани</w:t>
      </w:r>
      <w:r w:rsidRPr="00E93F40">
        <w:rPr>
          <w:rFonts w:ascii="Times New Roman" w:hAnsi="Times New Roman"/>
          <w:color w:val="000000" w:themeColor="text1"/>
          <w:sz w:val="16"/>
          <w:szCs w:val="16"/>
        </w:rPr>
        <w:softHyphen/>
        <w:t>ям. Первые два серийных М-34 со</w:t>
      </w:r>
      <w:r w:rsidRPr="00E93F40">
        <w:rPr>
          <w:rFonts w:ascii="Times New Roman" w:hAnsi="Times New Roman"/>
          <w:color w:val="000000" w:themeColor="text1"/>
          <w:sz w:val="16"/>
          <w:szCs w:val="16"/>
        </w:rPr>
        <w:softHyphen/>
        <w:t>брали к 1 мая. В тот же день один из них запустили на стенде. Так тогда было принято - подарок к праздни</w:t>
      </w:r>
      <w:r w:rsidRPr="00E93F40">
        <w:rPr>
          <w:rFonts w:ascii="Times New Roman" w:hAnsi="Times New Roman"/>
          <w:color w:val="000000" w:themeColor="text1"/>
          <w:sz w:val="16"/>
          <w:szCs w:val="16"/>
        </w:rPr>
        <w:softHyphen/>
        <w:t>ку. В июне первый серийный мотор, № 2001, установили на доработан</w:t>
      </w:r>
      <w:r w:rsidRPr="00E93F40">
        <w:rPr>
          <w:rFonts w:ascii="Times New Roman" w:hAnsi="Times New Roman"/>
          <w:color w:val="000000" w:themeColor="text1"/>
          <w:sz w:val="16"/>
          <w:szCs w:val="16"/>
        </w:rPr>
        <w:softHyphen/>
        <w:t>ный в ЦАГИ биплан Р-5, на котором провели летные испытания. Первые серии М-34 комплекто</w:t>
      </w:r>
      <w:r w:rsidRPr="00E93F40">
        <w:rPr>
          <w:rFonts w:ascii="Times New Roman" w:hAnsi="Times New Roman"/>
          <w:color w:val="000000" w:themeColor="text1"/>
          <w:sz w:val="16"/>
          <w:szCs w:val="16"/>
        </w:rPr>
        <w:softHyphen/>
        <w:t>вались французскими карбюратора</w:t>
      </w:r>
      <w:r w:rsidRPr="00E93F40">
        <w:rPr>
          <w:rFonts w:ascii="Times New Roman" w:hAnsi="Times New Roman"/>
          <w:color w:val="000000" w:themeColor="text1"/>
          <w:sz w:val="16"/>
          <w:szCs w:val="16"/>
        </w:rPr>
        <w:softHyphen/>
        <w:t>ми «Зенит 90Р». Серийный мотор оказался примерно на 60 кг тяже</w:t>
      </w:r>
      <w:r w:rsidRPr="00E93F40">
        <w:rPr>
          <w:rFonts w:ascii="Times New Roman" w:hAnsi="Times New Roman"/>
          <w:color w:val="000000" w:themeColor="text1"/>
          <w:sz w:val="16"/>
          <w:szCs w:val="16"/>
        </w:rPr>
        <w:softHyphen/>
        <w:t>лее М-17, вес которого был зало</w:t>
      </w:r>
      <w:r w:rsidRPr="00E93F40">
        <w:rPr>
          <w:rFonts w:ascii="Times New Roman" w:hAnsi="Times New Roman"/>
          <w:color w:val="000000" w:themeColor="text1"/>
          <w:sz w:val="16"/>
          <w:szCs w:val="16"/>
        </w:rPr>
        <w:softHyphen/>
        <w:t>жен в задание (550 кг), а максималь</w:t>
      </w:r>
      <w:r w:rsidRPr="00E93F40">
        <w:rPr>
          <w:rFonts w:ascii="Times New Roman" w:hAnsi="Times New Roman"/>
          <w:color w:val="000000" w:themeColor="text1"/>
          <w:sz w:val="16"/>
          <w:szCs w:val="16"/>
        </w:rPr>
        <w:softHyphen/>
        <w:t>ная мощность - на 100 л.с. меньше требуемой (800 л.с. вместо 900 л.с.}. В результате удельная мощность ока</w:t>
      </w:r>
      <w:r w:rsidRPr="00E93F40">
        <w:rPr>
          <w:rFonts w:ascii="Times New Roman" w:hAnsi="Times New Roman"/>
          <w:color w:val="000000" w:themeColor="text1"/>
          <w:sz w:val="16"/>
          <w:szCs w:val="16"/>
        </w:rPr>
        <w:softHyphen/>
        <w:t>залась примерно той же, что и у «немца». Расход бензина и масла, по мировым стандартам, был вели</w:t>
      </w:r>
      <w:r w:rsidRPr="00E93F40">
        <w:rPr>
          <w:rFonts w:ascii="Times New Roman" w:hAnsi="Times New Roman"/>
          <w:color w:val="000000" w:themeColor="text1"/>
          <w:sz w:val="16"/>
          <w:szCs w:val="16"/>
        </w:rPr>
        <w:softHyphen/>
        <w:t>коват. А посадочные места не соот</w:t>
      </w:r>
      <w:r w:rsidRPr="00E93F40">
        <w:rPr>
          <w:rFonts w:ascii="Times New Roman" w:hAnsi="Times New Roman"/>
          <w:color w:val="000000" w:themeColor="text1"/>
          <w:sz w:val="16"/>
          <w:szCs w:val="16"/>
        </w:rPr>
        <w:softHyphen/>
        <w:t>ветствовали "не только немецкому двигателю, но и полноразмерным макетам, которые ИАМ рассылал самолетостроителям. Значит, заме</w:t>
      </w:r>
      <w:r w:rsidRPr="00E93F40">
        <w:rPr>
          <w:rFonts w:ascii="Times New Roman" w:hAnsi="Times New Roman"/>
          <w:color w:val="000000" w:themeColor="text1"/>
          <w:sz w:val="16"/>
          <w:szCs w:val="16"/>
        </w:rPr>
        <w:softHyphen/>
        <w:t>на М-17 на М-34 получалась доволь</w:t>
      </w:r>
      <w:r w:rsidRPr="00E93F40">
        <w:rPr>
          <w:rFonts w:ascii="Times New Roman" w:hAnsi="Times New Roman"/>
          <w:color w:val="000000" w:themeColor="text1"/>
          <w:sz w:val="16"/>
          <w:szCs w:val="16"/>
        </w:rPr>
        <w:softHyphen/>
        <w:t>но хлопотной. В производстве М-34 оказался и сложнее, и дороже пред</w:t>
      </w:r>
      <w:r w:rsidRPr="00E93F40">
        <w:rPr>
          <w:rFonts w:ascii="Times New Roman" w:hAnsi="Times New Roman"/>
          <w:color w:val="000000" w:themeColor="text1"/>
          <w:sz w:val="16"/>
          <w:szCs w:val="16"/>
        </w:rPr>
        <w:softHyphen/>
        <w:t>шественника. Первые моторы даже не пытались сдавать военным. Дело в том, что технические условия писали на за</w:t>
      </w:r>
      <w:r w:rsidRPr="00E93F40">
        <w:rPr>
          <w:rFonts w:ascii="Times New Roman" w:hAnsi="Times New Roman"/>
          <w:color w:val="000000" w:themeColor="text1"/>
          <w:sz w:val="16"/>
          <w:szCs w:val="16"/>
        </w:rPr>
        <w:softHyphen/>
        <w:t>воде, и в УВВС их отправили только в декабре 1932 г. А утвердили их только 19 мая следующего года, ког</w:t>
      </w:r>
      <w:r w:rsidRPr="00E93F40">
        <w:rPr>
          <w:rFonts w:ascii="Times New Roman" w:hAnsi="Times New Roman"/>
          <w:color w:val="000000" w:themeColor="text1"/>
          <w:sz w:val="16"/>
          <w:szCs w:val="16"/>
        </w:rPr>
        <w:softHyphen/>
        <w:t>да М-34 уже шли из цехов сотнями! (11848).</w:t>
      </w:r>
    </w:p>
    <w:p w14:paraId="16FC18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4D6C9" w14:textId="77777777" w:rsidR="002735B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620D235" w14:textId="77777777" w:rsidR="002735B1" w:rsidRPr="00E93F40" w:rsidRDefault="002735B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2D1865"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февраля 1932 Генконсул доложил в НКИД, что «до сих пор правительство не подписало с ними договора... [решив] использовать лётчиков не только в качестве инструкторов... но и в качестве непосредственных участников боевых действий...</w:t>
      </w:r>
    </w:p>
    <w:p w14:paraId="210D85B4"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намерениях китайцев с достаточной ясностью говорится в п. 9 прилагаемых 2-х китайских проектов договора. Почти одновременно с передачей одного из проектов лётчикам (середина января), т. Во</w:t>
      </w:r>
      <w:r w:rsidRPr="00E93F40">
        <w:rPr>
          <w:rFonts w:ascii="Times New Roman" w:hAnsi="Times New Roman"/>
          <w:color w:val="000000" w:themeColor="text1"/>
          <w:sz w:val="16"/>
          <w:szCs w:val="16"/>
        </w:rPr>
        <w:softHyphen/>
        <w:t>лынченко был приглашен Цзинем, который предложил ему и Назаро</w:t>
      </w:r>
      <w:r w:rsidRPr="00E93F40">
        <w:rPr>
          <w:rFonts w:ascii="Times New Roman" w:hAnsi="Times New Roman"/>
          <w:color w:val="000000" w:themeColor="text1"/>
          <w:sz w:val="16"/>
          <w:szCs w:val="16"/>
        </w:rPr>
        <w:softHyphen/>
        <w:t>ву отправиться на самолётах в Ха</w:t>
      </w:r>
      <w:r w:rsidRPr="00E93F40">
        <w:rPr>
          <w:rFonts w:ascii="Times New Roman" w:hAnsi="Times New Roman"/>
          <w:color w:val="000000" w:themeColor="text1"/>
          <w:sz w:val="16"/>
          <w:szCs w:val="16"/>
        </w:rPr>
        <w:softHyphen/>
        <w:t>ми «для организации там аэродро</w:t>
      </w:r>
      <w:r w:rsidRPr="00E93F40">
        <w:rPr>
          <w:rFonts w:ascii="Times New Roman" w:hAnsi="Times New Roman"/>
          <w:color w:val="000000" w:themeColor="text1"/>
          <w:sz w:val="16"/>
          <w:szCs w:val="16"/>
        </w:rPr>
        <w:softHyphen/>
        <w:t>ма»... Это вероятно, попытки китай</w:t>
      </w:r>
      <w:r w:rsidRPr="00E93F40">
        <w:rPr>
          <w:rFonts w:ascii="Times New Roman" w:hAnsi="Times New Roman"/>
          <w:color w:val="000000" w:themeColor="text1"/>
          <w:sz w:val="16"/>
          <w:szCs w:val="16"/>
        </w:rPr>
        <w:softHyphen/>
        <w:t>цев использовать их для военных действий, в частности, посылка их в Хами с демонстрационной целью...».</w:t>
      </w:r>
    </w:p>
    <w:p w14:paraId="1ECF07E9"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первом варианте проекта дого</w:t>
      </w:r>
      <w:r w:rsidRPr="00E93F40">
        <w:rPr>
          <w:rFonts w:ascii="Times New Roman" w:hAnsi="Times New Roman"/>
          <w:color w:val="000000" w:themeColor="text1"/>
          <w:sz w:val="16"/>
          <w:szCs w:val="16"/>
        </w:rPr>
        <w:softHyphen/>
        <w:t>вора значилось: «Ни в каких военных операциях (указанные лица) участ</w:t>
      </w:r>
      <w:r w:rsidRPr="00E93F40">
        <w:rPr>
          <w:rFonts w:ascii="Times New Roman" w:hAnsi="Times New Roman"/>
          <w:color w:val="000000" w:themeColor="text1"/>
          <w:sz w:val="16"/>
          <w:szCs w:val="16"/>
        </w:rPr>
        <w:softHyphen/>
        <w:t>вовать не могут. Под военными опе</w:t>
      </w:r>
      <w:r w:rsidRPr="00E93F40">
        <w:rPr>
          <w:rFonts w:ascii="Times New Roman" w:hAnsi="Times New Roman"/>
          <w:color w:val="000000" w:themeColor="text1"/>
          <w:sz w:val="16"/>
          <w:szCs w:val="16"/>
        </w:rPr>
        <w:softHyphen/>
        <w:t>рациями подразумеваются внешние войны. Что же касается работы по искоренению бандитизма внутри провинции Синьцзян, то на лётчиках лежит обязательство по оказанию помощи лётчикам из китайских граждан». После активных возражений генконсула и самих лётчиков, формулировки слегка «смягчи</w:t>
      </w:r>
      <w:r w:rsidRPr="00E93F40">
        <w:rPr>
          <w:rFonts w:ascii="Times New Roman" w:hAnsi="Times New Roman"/>
          <w:color w:val="000000" w:themeColor="text1"/>
          <w:sz w:val="16"/>
          <w:szCs w:val="16"/>
        </w:rPr>
        <w:softHyphen/>
        <w:t>ли», во втором варианте говорилось: «Не принимать участия ни в каких боевых действи</w:t>
      </w:r>
      <w:r w:rsidRPr="00E93F40">
        <w:rPr>
          <w:rFonts w:ascii="Times New Roman" w:hAnsi="Times New Roman"/>
          <w:color w:val="000000" w:themeColor="text1"/>
          <w:sz w:val="16"/>
          <w:szCs w:val="16"/>
        </w:rPr>
        <w:softHyphen/>
        <w:t>ях» (имелись ввиду всё те же «внешние» войны), однако на территории Синьцзяна наши авиаторы «для подавления бандитизма обязаны помогать китайским лётчикам».</w:t>
      </w:r>
    </w:p>
    <w:p w14:paraId="076F2DFF"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Китайцы также «смягчили» формулировку ещё одного пункта договора: в первой редак</w:t>
      </w:r>
      <w:r w:rsidRPr="00E93F40">
        <w:rPr>
          <w:rFonts w:ascii="Times New Roman" w:hAnsi="Times New Roman"/>
          <w:color w:val="000000" w:themeColor="text1"/>
          <w:sz w:val="16"/>
          <w:szCs w:val="16"/>
        </w:rPr>
        <w:softHyphen/>
        <w:t xml:space="preserve">ции авиаторы полностью подчинялись Синьцзянскому провинциальному правительству «при выполнении своих обязанностей </w:t>
      </w:r>
      <w:r w:rsidRPr="00E93F40">
        <w:rPr>
          <w:rStyle w:val="122"/>
          <w:rFonts w:ascii="Times New Roman" w:hAnsi="Times New Roman" w:cs="Times New Roman"/>
          <w:color w:val="000000" w:themeColor="text1"/>
          <w:sz w:val="16"/>
          <w:szCs w:val="16"/>
        </w:rPr>
        <w:t>в работе по авиации</w:t>
      </w:r>
      <w:r w:rsidRPr="00E93F40">
        <w:rPr>
          <w:rFonts w:ascii="Times New Roman" w:hAnsi="Times New Roman"/>
          <w:color w:val="000000" w:themeColor="text1"/>
          <w:sz w:val="16"/>
          <w:szCs w:val="16"/>
        </w:rPr>
        <w:t>, равно как и в работе по обу</w:t>
      </w:r>
      <w:r w:rsidRPr="00E93F40">
        <w:rPr>
          <w:rFonts w:ascii="Times New Roman" w:hAnsi="Times New Roman"/>
          <w:color w:val="000000" w:themeColor="text1"/>
          <w:sz w:val="16"/>
          <w:szCs w:val="16"/>
        </w:rPr>
        <w:softHyphen/>
        <w:t>чению лётчиков...», а в новой они «целиком подчинялись» только «в деле подготовки уче</w:t>
      </w:r>
      <w:r w:rsidRPr="00E93F40">
        <w:rPr>
          <w:rFonts w:ascii="Times New Roman" w:hAnsi="Times New Roman"/>
          <w:color w:val="000000" w:themeColor="text1"/>
          <w:sz w:val="16"/>
          <w:szCs w:val="16"/>
        </w:rPr>
        <w:softHyphen/>
        <w:t>ников по лётному делу». Однако Генконсул докладывал в НКИД, что и новую редакцию — «обязаны помогать китайским лётчикам в их работе» — китайский чиновник интерпрети</w:t>
      </w:r>
      <w:r w:rsidRPr="00E93F40">
        <w:rPr>
          <w:rFonts w:ascii="Times New Roman" w:hAnsi="Times New Roman"/>
          <w:color w:val="000000" w:themeColor="text1"/>
          <w:sz w:val="16"/>
          <w:szCs w:val="16"/>
        </w:rPr>
        <w:softHyphen/>
        <w:t>ровал в том смысле, что прямо говорил о «возможности такого положения, когда наш лёт</w:t>
      </w:r>
      <w:r w:rsidRPr="00E93F40">
        <w:rPr>
          <w:rFonts w:ascii="Times New Roman" w:hAnsi="Times New Roman"/>
          <w:color w:val="000000" w:themeColor="text1"/>
          <w:sz w:val="16"/>
          <w:szCs w:val="16"/>
        </w:rPr>
        <w:softHyphen/>
        <w:t>чик будет вести самолёт, [а] китаец будет бомбить...» (15802).</w:t>
      </w:r>
    </w:p>
    <w:p w14:paraId="4F443387" w14:textId="77777777" w:rsidR="002735B1" w:rsidRPr="00E93F40" w:rsidRDefault="002735B1" w:rsidP="00E93F40">
      <w:pPr>
        <w:spacing w:after="0" w:line="240" w:lineRule="auto"/>
        <w:jc w:val="both"/>
        <w:rPr>
          <w:rFonts w:ascii="Times New Roman" w:hAnsi="Times New Roman"/>
          <w:color w:val="000000" w:themeColor="text1"/>
          <w:sz w:val="16"/>
          <w:szCs w:val="16"/>
        </w:rPr>
      </w:pPr>
    </w:p>
    <w:p w14:paraId="06799C1C"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февраля 1932 советский Генконсула сообщил в НКИД, что предложил Волынченко отказаться от полёта в Хами, «исходя из несколько напряженно</w:t>
      </w:r>
      <w:r w:rsidRPr="00E93F40">
        <w:rPr>
          <w:rFonts w:ascii="Times New Roman" w:hAnsi="Times New Roman"/>
          <w:color w:val="000000" w:themeColor="text1"/>
          <w:sz w:val="16"/>
          <w:szCs w:val="16"/>
        </w:rPr>
        <w:softHyphen/>
        <w:t>го, в тот момент, положения».</w:t>
      </w:r>
    </w:p>
    <w:p w14:paraId="02669E64"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Цзиню Генконсул указал, что «не вправе допускать нарушения лётчиками условий, на ко</w:t>
      </w:r>
      <w:r w:rsidRPr="00E93F40">
        <w:rPr>
          <w:rFonts w:ascii="Times New Roman" w:hAnsi="Times New Roman"/>
          <w:color w:val="000000" w:themeColor="text1"/>
          <w:sz w:val="16"/>
          <w:szCs w:val="16"/>
        </w:rPr>
        <w:softHyphen/>
        <w:t>торых они были командированы, наоборот, — обязан наблюдать, чтобы лётчики проводи</w:t>
      </w:r>
      <w:r w:rsidRPr="00E93F40">
        <w:rPr>
          <w:rFonts w:ascii="Times New Roman" w:hAnsi="Times New Roman"/>
          <w:color w:val="000000" w:themeColor="text1"/>
          <w:sz w:val="16"/>
          <w:szCs w:val="16"/>
        </w:rPr>
        <w:softHyphen/>
        <w:t>ли общую линию Союза в вопросе о невмешательстве Союза во внутренние дела других стран... В их обязанности не входят даже полёты с пассажирами куда бы то ни было».</w:t>
      </w:r>
    </w:p>
    <w:p w14:paraId="35D708FE"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ответ дубань, ссылаясь на то, что «Моу Вэйтун информировал его о возможности </w:t>
      </w:r>
      <w:r w:rsidRPr="00E93F40">
        <w:rPr>
          <w:rStyle w:val="131"/>
          <w:rFonts w:ascii="Times New Roman" w:hAnsi="Times New Roman" w:cs="Times New Roman"/>
          <w:color w:val="000000" w:themeColor="text1"/>
          <w:sz w:val="16"/>
          <w:szCs w:val="16"/>
        </w:rPr>
        <w:t>более широкого использования лётчиков</w:t>
      </w:r>
      <w:r w:rsidRPr="00E93F40">
        <w:rPr>
          <w:rFonts w:ascii="Times New Roman" w:hAnsi="Times New Roman"/>
          <w:color w:val="000000" w:themeColor="text1"/>
          <w:sz w:val="16"/>
          <w:szCs w:val="16"/>
        </w:rPr>
        <w:t xml:space="preserve"> (выделено), заявил, что он поставлен сей</w:t>
      </w:r>
      <w:r w:rsidRPr="00E93F40">
        <w:rPr>
          <w:rFonts w:ascii="Times New Roman" w:hAnsi="Times New Roman"/>
          <w:color w:val="000000" w:themeColor="text1"/>
          <w:sz w:val="16"/>
          <w:szCs w:val="16"/>
        </w:rPr>
        <w:softHyphen/>
        <w:t>час в тяжёлое положение, ибо самолёты, купленные Правительством, бездействуют.</w:t>
      </w:r>
    </w:p>
    <w:p w14:paraId="1580C7A1"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он в категорической форме заявил, что военные действия на востоке законче</w:t>
      </w:r>
      <w:r w:rsidRPr="00E93F40">
        <w:rPr>
          <w:rFonts w:ascii="Times New Roman" w:hAnsi="Times New Roman"/>
          <w:color w:val="000000" w:themeColor="text1"/>
          <w:sz w:val="16"/>
          <w:szCs w:val="16"/>
        </w:rPr>
        <w:softHyphen/>
        <w:t>ны, войска уже сняты и идут в Урумчи (впоследствии это не подтвердилось) и что по</w:t>
      </w:r>
      <w:r w:rsidRPr="00E93F40">
        <w:rPr>
          <w:rFonts w:ascii="Times New Roman" w:hAnsi="Times New Roman"/>
          <w:color w:val="000000" w:themeColor="text1"/>
          <w:sz w:val="16"/>
          <w:szCs w:val="16"/>
        </w:rPr>
        <w:softHyphen/>
        <w:t>лёт в Хами ни в какой мере нельзя рассматривать как хотя бы косвенное вмешательство в борьбу на востоке. Цзинь указал, что, если приглашенные лётчики не будут выполнять даже таких его заданий, то под большое сомнение ставится вопрос не только о целе</w:t>
      </w:r>
      <w:r w:rsidRPr="00E93F40">
        <w:rPr>
          <w:rFonts w:ascii="Times New Roman" w:hAnsi="Times New Roman"/>
          <w:color w:val="000000" w:themeColor="text1"/>
          <w:sz w:val="16"/>
          <w:szCs w:val="16"/>
        </w:rPr>
        <w:softHyphen/>
        <w:t>сообразности дальнейших закупок в Союзе самолётов, но и о целесообразности состо</w:t>
      </w:r>
      <w:r w:rsidRPr="00E93F40">
        <w:rPr>
          <w:rFonts w:ascii="Times New Roman" w:hAnsi="Times New Roman"/>
          <w:color w:val="000000" w:themeColor="text1"/>
          <w:sz w:val="16"/>
          <w:szCs w:val="16"/>
        </w:rPr>
        <w:softHyphen/>
        <w:t>явшейся покупки и приглашения на службу лётчиков. Он очень просил согласиться на этот полёт в Хами, приготовления к которому уже сделаны и объявлено о нём, ибо, ес</w:t>
      </w:r>
      <w:r w:rsidRPr="00E93F40">
        <w:rPr>
          <w:rFonts w:ascii="Times New Roman" w:hAnsi="Times New Roman"/>
          <w:color w:val="000000" w:themeColor="text1"/>
          <w:sz w:val="16"/>
          <w:szCs w:val="16"/>
        </w:rPr>
        <w:softHyphen/>
        <w:t>ли полёт не состоится, то он, Цзинь, «потеряет лицо» перед своими комиссарами. Он согласился также, что о всех заданиях, могущих быть в дальнейшем и выходящих за круг непосредственных обязанностей лётчиков, он будет договариваться, предвари</w:t>
      </w:r>
      <w:r w:rsidRPr="00E93F40">
        <w:rPr>
          <w:rFonts w:ascii="Times New Roman" w:hAnsi="Times New Roman"/>
          <w:color w:val="000000" w:themeColor="text1"/>
          <w:sz w:val="16"/>
          <w:szCs w:val="16"/>
        </w:rPr>
        <w:softHyphen/>
        <w:t>тельно со мной, но оговорился всё же, что такое положение — невозможность свобод</w:t>
      </w:r>
      <w:r w:rsidRPr="00E93F40">
        <w:rPr>
          <w:rFonts w:ascii="Times New Roman" w:hAnsi="Times New Roman"/>
          <w:color w:val="000000" w:themeColor="text1"/>
          <w:sz w:val="16"/>
          <w:szCs w:val="16"/>
        </w:rPr>
        <w:softHyphen/>
        <w:t>ного использования им лётчиков — его очень стесняет и не устраивает».</w:t>
      </w:r>
    </w:p>
    <w:p w14:paraId="08771D52"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такого разговора Генконсулу ничего не оставалось, как согласиться на полёт в Хами. Он объяснил свое решение ещё и тем, «что за пару дней до прибытия наших лёт</w:t>
      </w:r>
      <w:r w:rsidRPr="00E93F40">
        <w:rPr>
          <w:rFonts w:ascii="Times New Roman" w:hAnsi="Times New Roman"/>
          <w:color w:val="000000" w:themeColor="text1"/>
          <w:sz w:val="16"/>
          <w:szCs w:val="16"/>
        </w:rPr>
        <w:softHyphen/>
        <w:t>чиков сюда прибыли с Востока четыре китайца — два лётчика и два техника. Лётчики окончили, по всем данным, японскую школу и имеют некоторый опыт. Потребовалось бы всего несколько недель для того, чтобы они могли летать на наших самолётах, однако Цзинь не допускает их к самолётам и не торопится с их обучением, и по намёкам... им не доверяет и боится пускать на самолёты. Не торопится Цзинь также и с организаци</w:t>
      </w:r>
      <w:r w:rsidRPr="00E93F40">
        <w:rPr>
          <w:rFonts w:ascii="Times New Roman" w:hAnsi="Times New Roman"/>
          <w:color w:val="000000" w:themeColor="text1"/>
          <w:sz w:val="16"/>
          <w:szCs w:val="16"/>
        </w:rPr>
        <w:softHyphen/>
        <w:t>ей школы. До сих пор не сделано ничего конкретного в области подготовки к обучению...</w:t>
      </w:r>
    </w:p>
    <w:p w14:paraId="5CAC7E3F"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Создалась всем этим совершенно неудовлетворительная обстановка бездействия лётчиков, отсутствия ясности, чего от них хотят, кроме полёта в Хами. Лётчики стали нервничать, говорить о бесцельности приезда сюда. Нужно также отметить, что китай</w:t>
      </w:r>
      <w:r w:rsidRPr="00E93F40">
        <w:rPr>
          <w:rFonts w:ascii="Times New Roman" w:hAnsi="Times New Roman"/>
          <w:color w:val="000000" w:themeColor="text1"/>
          <w:sz w:val="16"/>
          <w:szCs w:val="16"/>
        </w:rPr>
        <w:softHyphen/>
        <w:t>цы не озаботились тем, чтобы обеспечить их приличной квартирой и обстановкой, раз</w:t>
      </w:r>
      <w:r w:rsidRPr="00E93F40">
        <w:rPr>
          <w:rFonts w:ascii="Times New Roman" w:hAnsi="Times New Roman"/>
          <w:color w:val="000000" w:themeColor="text1"/>
          <w:sz w:val="16"/>
          <w:szCs w:val="16"/>
        </w:rPr>
        <w:softHyphen/>
        <w:t>местив их помещении Канцелярии Коминдела.</w:t>
      </w:r>
    </w:p>
    <w:p w14:paraId="60741E36"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Вследствие этого в конце января я при очередной встрече с Цзинем сообщил ему о всех недовольствах лётчиков вопросами организационного порядка, что создает неудо</w:t>
      </w:r>
      <w:r w:rsidRPr="00E93F40">
        <w:rPr>
          <w:rFonts w:ascii="Times New Roman" w:hAnsi="Times New Roman"/>
          <w:color w:val="000000" w:themeColor="text1"/>
          <w:sz w:val="16"/>
          <w:szCs w:val="16"/>
        </w:rPr>
        <w:softHyphen/>
        <w:t>влетворительные условия для их работы, и что т. Волынченко ставит даже вопрос о це</w:t>
      </w:r>
      <w:r w:rsidRPr="00E93F40">
        <w:rPr>
          <w:rFonts w:ascii="Times New Roman" w:hAnsi="Times New Roman"/>
          <w:color w:val="000000" w:themeColor="text1"/>
          <w:sz w:val="16"/>
          <w:szCs w:val="16"/>
        </w:rPr>
        <w:softHyphen/>
        <w:t>лесообразности их дальнейшего пребывания в Синьцзяне... Прошло... уже больше неде</w:t>
      </w:r>
      <w:r w:rsidRPr="00E93F40">
        <w:rPr>
          <w:rFonts w:ascii="Times New Roman" w:hAnsi="Times New Roman"/>
          <w:color w:val="000000" w:themeColor="text1"/>
          <w:sz w:val="16"/>
          <w:szCs w:val="16"/>
        </w:rPr>
        <w:softHyphen/>
        <w:t>ли, однако, договор ещё не подписан, а жалование, хотя и выплачено им, но ещё не по</w:t>
      </w:r>
      <w:r w:rsidRPr="00E93F40">
        <w:rPr>
          <w:rFonts w:ascii="Times New Roman" w:hAnsi="Times New Roman"/>
          <w:color w:val="000000" w:themeColor="text1"/>
          <w:sz w:val="16"/>
          <w:szCs w:val="16"/>
        </w:rPr>
        <w:softHyphen/>
        <w:t>лностью. Надо полагать, что, судя по разговорам... Правительство... [Синьцзяна] поста</w:t>
      </w:r>
      <w:r w:rsidRPr="00E93F40">
        <w:rPr>
          <w:rFonts w:ascii="Times New Roman" w:hAnsi="Times New Roman"/>
          <w:color w:val="000000" w:themeColor="text1"/>
          <w:sz w:val="16"/>
          <w:szCs w:val="16"/>
        </w:rPr>
        <w:softHyphen/>
        <w:t>вило перед Москвой вопрос об изменении характера использования наших лётчиков».</w:t>
      </w:r>
    </w:p>
    <w:p w14:paraId="61B7E9F6"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«крайним» в сложившейся авиационной международной «напряжённо</w:t>
      </w:r>
      <w:r w:rsidRPr="00E93F40">
        <w:rPr>
          <w:rFonts w:ascii="Times New Roman" w:hAnsi="Times New Roman"/>
          <w:color w:val="000000" w:themeColor="text1"/>
          <w:sz w:val="16"/>
          <w:szCs w:val="16"/>
        </w:rPr>
        <w:softHyphen/>
        <w:t xml:space="preserve">сти» консул посчитал старшего лётной группы: «Нужно отметить, что </w:t>
      </w:r>
      <w:r w:rsidRPr="00E93F40">
        <w:rPr>
          <w:rStyle w:val="142"/>
          <w:rFonts w:ascii="Times New Roman" w:hAnsi="Times New Roman" w:cs="Times New Roman"/>
          <w:color w:val="000000" w:themeColor="text1"/>
          <w:sz w:val="16"/>
          <w:szCs w:val="16"/>
        </w:rPr>
        <w:t>большая доля ви</w:t>
      </w:r>
      <w:r w:rsidRPr="00E93F40">
        <w:rPr>
          <w:rStyle w:val="142"/>
          <w:rFonts w:ascii="Times New Roman" w:hAnsi="Times New Roman" w:cs="Times New Roman"/>
          <w:color w:val="000000" w:themeColor="text1"/>
          <w:sz w:val="16"/>
          <w:szCs w:val="16"/>
        </w:rPr>
        <w:softHyphen/>
        <w:t>ны</w:t>
      </w:r>
      <w:r w:rsidRPr="00E93F40">
        <w:rPr>
          <w:rFonts w:ascii="Times New Roman" w:hAnsi="Times New Roman"/>
          <w:color w:val="000000" w:themeColor="text1"/>
          <w:sz w:val="16"/>
          <w:szCs w:val="16"/>
        </w:rPr>
        <w:t xml:space="preserve"> (здесь и ниже выделено в тексте красным) за создавшееся положение лежит на </w:t>
      </w:r>
      <w:r w:rsidRPr="00E93F40">
        <w:rPr>
          <w:rStyle w:val="142"/>
          <w:rFonts w:ascii="Times New Roman" w:hAnsi="Times New Roman" w:cs="Times New Roman"/>
          <w:color w:val="000000" w:themeColor="text1"/>
          <w:sz w:val="16"/>
          <w:szCs w:val="16"/>
        </w:rPr>
        <w:t>т. Волынченко</w:t>
      </w:r>
      <w:r w:rsidRPr="00E93F40">
        <w:rPr>
          <w:rFonts w:ascii="Times New Roman" w:hAnsi="Times New Roman"/>
          <w:color w:val="000000" w:themeColor="text1"/>
          <w:sz w:val="16"/>
          <w:szCs w:val="16"/>
        </w:rPr>
        <w:t>. который не смог себя должным образом поставить, не проявил на</w:t>
      </w:r>
      <w:r w:rsidRPr="00E93F40">
        <w:rPr>
          <w:rFonts w:ascii="Times New Roman" w:hAnsi="Times New Roman"/>
          <w:color w:val="000000" w:themeColor="text1"/>
          <w:sz w:val="16"/>
          <w:szCs w:val="16"/>
        </w:rPr>
        <w:softHyphen/>
        <w:t>стойчивости, а главное, не сумел организовать и наладить новое здесь дело, к которо</w:t>
      </w:r>
      <w:r w:rsidRPr="00E93F40">
        <w:rPr>
          <w:rFonts w:ascii="Times New Roman" w:hAnsi="Times New Roman"/>
          <w:color w:val="000000" w:themeColor="text1"/>
          <w:sz w:val="16"/>
          <w:szCs w:val="16"/>
        </w:rPr>
        <w:softHyphen/>
        <w:t xml:space="preserve">му сами китайцы не знают, с какой стороны подойти. </w:t>
      </w:r>
      <w:r w:rsidRPr="00E93F40">
        <w:rPr>
          <w:rStyle w:val="142"/>
          <w:rFonts w:ascii="Times New Roman" w:hAnsi="Times New Roman" w:cs="Times New Roman"/>
          <w:color w:val="000000" w:themeColor="text1"/>
          <w:sz w:val="16"/>
          <w:szCs w:val="16"/>
        </w:rPr>
        <w:t>На роль организатора и полити</w:t>
      </w:r>
      <w:r w:rsidRPr="00E93F40">
        <w:rPr>
          <w:rStyle w:val="142"/>
          <w:rFonts w:ascii="Times New Roman" w:hAnsi="Times New Roman" w:cs="Times New Roman"/>
          <w:color w:val="000000" w:themeColor="text1"/>
          <w:sz w:val="16"/>
          <w:szCs w:val="16"/>
        </w:rPr>
        <w:softHyphen/>
        <w:t>ческого работника в данных условиях т. Волынченко не подошёл</w:t>
      </w:r>
      <w:r w:rsidRPr="00E93F40">
        <w:rPr>
          <w:rFonts w:ascii="Times New Roman" w:hAnsi="Times New Roman"/>
          <w:color w:val="000000" w:themeColor="text1"/>
          <w:sz w:val="16"/>
          <w:szCs w:val="16"/>
        </w:rPr>
        <w:t>. Будь здесь более силь</w:t>
      </w:r>
      <w:r w:rsidRPr="00E93F40">
        <w:rPr>
          <w:rFonts w:ascii="Times New Roman" w:hAnsi="Times New Roman"/>
          <w:color w:val="000000" w:themeColor="text1"/>
          <w:sz w:val="16"/>
          <w:szCs w:val="16"/>
        </w:rPr>
        <w:softHyphen/>
        <w:t xml:space="preserve">ный работник, весьма вероятно, что эти вопросы разрешились бы более гладко и без моего, весьма нежелательного вмешательства. Я полагаю, что </w:t>
      </w:r>
      <w:r w:rsidRPr="00E93F40">
        <w:rPr>
          <w:rStyle w:val="142"/>
          <w:rFonts w:ascii="Times New Roman" w:hAnsi="Times New Roman" w:cs="Times New Roman"/>
          <w:color w:val="000000" w:themeColor="text1"/>
          <w:sz w:val="16"/>
          <w:szCs w:val="16"/>
        </w:rPr>
        <w:t>если бы была возмож</w:t>
      </w:r>
      <w:r w:rsidRPr="00E93F40">
        <w:rPr>
          <w:rStyle w:val="142"/>
          <w:rFonts w:ascii="Times New Roman" w:hAnsi="Times New Roman" w:cs="Times New Roman"/>
          <w:color w:val="000000" w:themeColor="text1"/>
          <w:sz w:val="16"/>
          <w:szCs w:val="16"/>
        </w:rPr>
        <w:softHyphen/>
        <w:t>ность заменить сейчас т. Волынченко другим работником, то это обеспечило бы нор</w:t>
      </w:r>
      <w:r w:rsidRPr="00E93F40">
        <w:rPr>
          <w:rStyle w:val="142"/>
          <w:rFonts w:ascii="Times New Roman" w:hAnsi="Times New Roman" w:cs="Times New Roman"/>
          <w:color w:val="000000" w:themeColor="text1"/>
          <w:sz w:val="16"/>
          <w:szCs w:val="16"/>
        </w:rPr>
        <w:softHyphen/>
        <w:t>мальную работу всей группы лётчиков</w:t>
      </w:r>
      <w:r w:rsidRPr="00E93F40">
        <w:rPr>
          <w:rFonts w:ascii="Times New Roman" w:hAnsi="Times New Roman"/>
          <w:color w:val="000000" w:themeColor="text1"/>
          <w:sz w:val="16"/>
          <w:szCs w:val="16"/>
        </w:rPr>
        <w:t>. На днях в Москву выезжает Чжао, который будет вести переговоры о продаже Синьцзянскому Правительству ещё пяти самолётов. Оче</w:t>
      </w:r>
      <w:r w:rsidRPr="00E93F40">
        <w:rPr>
          <w:rFonts w:ascii="Times New Roman" w:hAnsi="Times New Roman"/>
          <w:color w:val="000000" w:themeColor="text1"/>
          <w:sz w:val="16"/>
          <w:szCs w:val="16"/>
        </w:rPr>
        <w:softHyphen/>
        <w:t xml:space="preserve">видно, встанет вопрос о командировании сюда новой группы лётчиков. Нужно было бы при отборе их учесть необходимость послать сюда такого товарища, которого можно было бы назначить старшим, освободив от этой обязанности </w:t>
      </w:r>
      <w:r w:rsidRPr="00E93F40">
        <w:rPr>
          <w:rStyle w:val="142"/>
          <w:rFonts w:ascii="Times New Roman" w:hAnsi="Times New Roman" w:cs="Times New Roman"/>
          <w:color w:val="000000" w:themeColor="text1"/>
          <w:sz w:val="16"/>
          <w:szCs w:val="16"/>
        </w:rPr>
        <w:t>т. Волынченко</w:t>
      </w:r>
      <w:r w:rsidRPr="00E93F40">
        <w:rPr>
          <w:rFonts w:ascii="Times New Roman" w:hAnsi="Times New Roman"/>
          <w:color w:val="000000" w:themeColor="text1"/>
          <w:sz w:val="16"/>
          <w:szCs w:val="16"/>
        </w:rPr>
        <w:t>».</w:t>
      </w:r>
    </w:p>
    <w:p w14:paraId="6797753B"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Генконсул поставил в вину Волынченко, главным образом то, что тот оказался всего лишь... лётчиком, а не политкомиссаром и не дипломатом. В свою очередь Апкснис «прокомментировал» этот документ Начальнику Разведупра Берзину так: «Считаю, что НКИД должен быстро добиться подписания соглашения на их усло</w:t>
      </w:r>
      <w:r w:rsidRPr="00E93F40">
        <w:rPr>
          <w:rFonts w:ascii="Times New Roman" w:hAnsi="Times New Roman"/>
          <w:color w:val="000000" w:themeColor="text1"/>
          <w:sz w:val="16"/>
          <w:szCs w:val="16"/>
        </w:rPr>
        <w:softHyphen/>
        <w:t>виях, как это было договорено до выезда их. Мы не можем согласиться на участие лётчиков в боевых действиях...» (15802).</w:t>
      </w:r>
    </w:p>
    <w:p w14:paraId="387943BB" w14:textId="77777777" w:rsidR="002735B1" w:rsidRPr="00E93F40" w:rsidRDefault="002735B1" w:rsidP="00E93F40">
      <w:pPr>
        <w:spacing w:after="0" w:line="240" w:lineRule="auto"/>
        <w:jc w:val="both"/>
        <w:rPr>
          <w:rFonts w:ascii="Times New Roman" w:hAnsi="Times New Roman"/>
          <w:color w:val="000000" w:themeColor="text1"/>
          <w:sz w:val="16"/>
          <w:szCs w:val="16"/>
        </w:rPr>
      </w:pPr>
    </w:p>
    <w:p w14:paraId="1F283AF9"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февраля 1932 состоялся обратный перелёт их Гучена, посадка в Урумчи окончилась аварией. По докладу пилота, «в Хами снега нет, [а] в Урумчи снег, [и] полоса расчищена для взлё</w:t>
      </w:r>
      <w:r w:rsidRPr="00E93F40">
        <w:rPr>
          <w:rFonts w:ascii="Times New Roman" w:hAnsi="Times New Roman"/>
          <w:color w:val="000000" w:themeColor="text1"/>
          <w:sz w:val="16"/>
          <w:szCs w:val="16"/>
        </w:rPr>
        <w:softHyphen/>
        <w:t>та на колесах. Дал указание расчистить для прилёта, но не выполнили, из-за чего на се</w:t>
      </w:r>
      <w:r w:rsidRPr="00E93F40">
        <w:rPr>
          <w:rFonts w:ascii="Times New Roman" w:hAnsi="Times New Roman"/>
          <w:color w:val="000000" w:themeColor="text1"/>
          <w:sz w:val="16"/>
          <w:szCs w:val="16"/>
        </w:rPr>
        <w:softHyphen/>
        <w:t>редине пробега попал в снег, скапотировал. Повреждены винт и радиатор, смят руль поворота, на верхней плоскости ряд повреждений». Из-за снежного покрова поврежде</w:t>
      </w:r>
      <w:r w:rsidRPr="00E93F40">
        <w:rPr>
          <w:rFonts w:ascii="Times New Roman" w:hAnsi="Times New Roman"/>
          <w:color w:val="000000" w:themeColor="text1"/>
          <w:sz w:val="16"/>
          <w:szCs w:val="16"/>
        </w:rPr>
        <w:softHyphen/>
        <w:t>ния оказались несерьезными, и регулировка не нарушилась.</w:t>
      </w:r>
    </w:p>
    <w:p w14:paraId="656B145B"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отчете Волынченко упомянул китайских лётчиков, окончивших школу в Мукдене и имевших налет по 50 час на Потезе 36. Вместе с ними в Урумчи прибыли два авиатех</w:t>
      </w:r>
      <w:r w:rsidRPr="00E93F40">
        <w:rPr>
          <w:rFonts w:ascii="Times New Roman" w:hAnsi="Times New Roman"/>
          <w:color w:val="000000" w:themeColor="text1"/>
          <w:sz w:val="16"/>
          <w:szCs w:val="16"/>
        </w:rPr>
        <w:softHyphen/>
        <w:t>ника. Лётчики русским языком не владели и зимой не летали, поэтому «приступать к их обучению на Р-1 рискованно, тем более снег на аэродроме настолько рыхл, что лыжи увязают в снегу, чем увеличивается разбег в два раза и опасна посадка».</w:t>
      </w:r>
    </w:p>
    <w:p w14:paraId="57F8E636" w14:textId="77777777" w:rsidR="002735B1" w:rsidRPr="00E93F40" w:rsidRDefault="002735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Поняв, что из советских лётчиков наёемников не получится, и воевать они не собира</w:t>
      </w:r>
      <w:r w:rsidRPr="00E93F40">
        <w:rPr>
          <w:rFonts w:ascii="Times New Roman" w:hAnsi="Times New Roman"/>
          <w:color w:val="000000" w:themeColor="text1"/>
          <w:sz w:val="16"/>
          <w:szCs w:val="16"/>
        </w:rPr>
        <w:softHyphen/>
        <w:t>ются, китайцы решили просто обойтись без них (15802).</w:t>
      </w:r>
    </w:p>
    <w:p w14:paraId="02A488D4" w14:textId="77777777" w:rsidR="002735B1" w:rsidRPr="00E93F40" w:rsidRDefault="002735B1" w:rsidP="00E93F40">
      <w:pPr>
        <w:spacing w:after="0" w:line="240" w:lineRule="auto"/>
        <w:jc w:val="both"/>
        <w:rPr>
          <w:rFonts w:ascii="Times New Roman" w:hAnsi="Times New Roman"/>
          <w:color w:val="000000" w:themeColor="text1"/>
          <w:sz w:val="16"/>
          <w:szCs w:val="16"/>
        </w:rPr>
      </w:pPr>
    </w:p>
    <w:p w14:paraId="08C44C41" w14:textId="77777777" w:rsidR="00770E6C" w:rsidRPr="00E93F40" w:rsidRDefault="00770E6C"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6DAE1148" w14:textId="77777777" w:rsidR="00770E6C" w:rsidRPr="00E93F40" w:rsidRDefault="00770E6C" w:rsidP="00E93F40">
      <w:pPr>
        <w:spacing w:after="0" w:line="240" w:lineRule="auto"/>
        <w:jc w:val="both"/>
        <w:rPr>
          <w:rFonts w:ascii="Times New Roman" w:hAnsi="Times New Roman"/>
          <w:i/>
          <w:iCs/>
          <w:color w:val="000000" w:themeColor="text1"/>
          <w:sz w:val="16"/>
          <w:szCs w:val="16"/>
        </w:rPr>
      </w:pPr>
    </w:p>
    <w:p w14:paraId="0EA49208" w14:textId="77777777" w:rsidR="00770E6C" w:rsidRPr="00E93F40" w:rsidRDefault="00770E6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февраля 1932 Рут Николс устанавливает новый рекорд высоты для самолета с дизельным двигателем - 6047 м (19 928 футов) на модифицированном Lockheed Vega (20803).</w:t>
      </w:r>
    </w:p>
    <w:p w14:paraId="5A82F8EC" w14:textId="77777777" w:rsidR="00770E6C" w:rsidRPr="00E93F40" w:rsidRDefault="00770E6C" w:rsidP="00E93F40">
      <w:pPr>
        <w:spacing w:after="0" w:line="240" w:lineRule="auto"/>
        <w:jc w:val="both"/>
        <w:rPr>
          <w:rFonts w:ascii="Times New Roman" w:hAnsi="Times New Roman"/>
          <w:color w:val="000000" w:themeColor="text1"/>
          <w:sz w:val="16"/>
          <w:szCs w:val="16"/>
        </w:rPr>
      </w:pPr>
    </w:p>
    <w:p w14:paraId="6D946287" w14:textId="02EBA551" w:rsidR="00770E6C" w:rsidRPr="00E93F40" w:rsidRDefault="00770E6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Рут Николс (Ruth Rowland Nichols) установила новый мировой рекорд высоты 19 928 футов (6047 м) для дизельных самолетов в Флойд-Беннетт-Филд, штат Нью-Йорк, на Lockheed Vega с дизельным двигателем "Паккард" мощностью 225 л.с. (22598).</w:t>
      </w:r>
    </w:p>
    <w:p w14:paraId="7094CB5A" w14:textId="77777777" w:rsidR="00770E6C" w:rsidRPr="00E93F40" w:rsidRDefault="00770E6C" w:rsidP="00E93F40">
      <w:pPr>
        <w:spacing w:after="0" w:line="240" w:lineRule="auto"/>
        <w:jc w:val="both"/>
        <w:rPr>
          <w:rFonts w:ascii="Times New Roman" w:hAnsi="Times New Roman"/>
          <w:color w:val="000000" w:themeColor="text1"/>
          <w:sz w:val="16"/>
          <w:szCs w:val="16"/>
        </w:rPr>
      </w:pPr>
    </w:p>
    <w:p w14:paraId="7D21CD0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4C2B51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A961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февраля 1932 должны были быть готовы два И5-М15, до 1 апреля предполагалось закончить заводские испытания и передать на гос. испытания (352).</w:t>
      </w:r>
    </w:p>
    <w:p w14:paraId="5906F1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6BF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11 и 15 февраля и 7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 (3002).</w:t>
      </w:r>
    </w:p>
    <w:p w14:paraId="1A2DDC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6E4A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февраля 1932 - начало гос. испытаний МДР-2 (АНТ-8) Решили, что примерно равен Дорнье Валь, состоявшему на вооружение ЧМФ с 1927 - морально устарел для серии (80,263).</w:t>
      </w:r>
    </w:p>
    <w:p w14:paraId="5E211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это произошло 8 октября 1931 и решение о бесперспективности было принято еще 14 ноября 1931.</w:t>
      </w:r>
    </w:p>
    <w:p w14:paraId="36BBE3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третьим данным шли с 15 февраля по 20 марта 1931 (3043).</w:t>
      </w:r>
    </w:p>
    <w:p w14:paraId="611C8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15 февраля 1932 П.И.Б. требовал передать в производство рабочие чертежи (70,170).</w:t>
      </w:r>
    </w:p>
    <w:p w14:paraId="1DDC8F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6D51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февраля 1932 года вышло постановление СТО № 32/4400 о строительстве завода № 105 НКО, которое началось 18 августа 1932</w:t>
      </w:r>
    </w:p>
    <w:p w14:paraId="49E4C5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Ввод в эксплуатацию – 1936 год (8893)</w:t>
      </w:r>
    </w:p>
    <w:p w14:paraId="68720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Бронетанковый ремонтный завод № 105 НК обороны (Главкотлотурбопрома НКТМ) им. Кагановича</w:t>
      </w:r>
    </w:p>
    <w:p w14:paraId="78FA2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расположен на восточной окраине Хабаровска, в 3,8 км от центра города и в 6 км от рек Амур и Уссури (8895).</w:t>
      </w:r>
    </w:p>
    <w:p w14:paraId="2FDDFC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3A9B3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D60E97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E9507A" w14:textId="77777777" w:rsidR="00275520" w:rsidRPr="00E93F40" w:rsidRDefault="00275520" w:rsidP="00E93F40">
      <w:pPr>
        <w:pStyle w:val="a3"/>
        <w:rPr>
          <w:color w:val="000000" w:themeColor="text1"/>
          <w:lang w:val="ru-RU"/>
        </w:rPr>
      </w:pPr>
      <w:r w:rsidRPr="00E93F40">
        <w:rPr>
          <w:color w:val="000000" w:themeColor="text1"/>
          <w:lang w:val="ru-RU"/>
        </w:rPr>
        <w:t>15 февраля 1932 г. на основании приказа НКТП №60/с после предварительной разработки технического проекта раз</w:t>
      </w:r>
      <w:r w:rsidRPr="00E93F40">
        <w:rPr>
          <w:color w:val="000000" w:themeColor="text1"/>
          <w:lang w:val="ru-RU"/>
        </w:rPr>
        <w:softHyphen/>
        <w:t>мер капиталовложений в спецстроительство СТЗ был доведен до 44 млн. руб. Размер капиталовложений на 1932 г. до про</w:t>
      </w:r>
      <w:r w:rsidRPr="00E93F40">
        <w:rPr>
          <w:color w:val="000000" w:themeColor="text1"/>
          <w:lang w:val="ru-RU"/>
        </w:rPr>
        <w:softHyphen/>
        <w:t>работки технического проекта расширения за</w:t>
      </w:r>
      <w:r w:rsidRPr="00E93F40">
        <w:rPr>
          <w:color w:val="000000" w:themeColor="text1"/>
          <w:lang w:val="ru-RU"/>
        </w:rPr>
        <w:softHyphen/>
        <w:t>вода был установлен в 14 млн. руб. с окончанием работ в январе 1933 г. В июне 1932 г. с изменением промышленного задания и окон</w:t>
      </w:r>
      <w:r w:rsidRPr="00E93F40">
        <w:rPr>
          <w:color w:val="000000" w:themeColor="text1"/>
          <w:lang w:val="ru-RU"/>
        </w:rPr>
        <w:softHyphen/>
        <w:t>чательным утверждением технического проекта расширения завода размер капиталовложений был определен Главмашупром в сумме 94 млн. руб., из которых на основании специального правительственного решения к освоению в том же году выделялось 68 млн. руб., в том числе непосредственно на строительные работы — 18 млн. 247 тыс. руб., а окончательная генсмета была выведена в 137 млн. руб.</w:t>
      </w:r>
    </w:p>
    <w:p w14:paraId="26C10E6C" w14:textId="77777777" w:rsidR="00275520" w:rsidRPr="00E93F40" w:rsidRDefault="00275520" w:rsidP="00E93F40">
      <w:pPr>
        <w:pStyle w:val="a3"/>
        <w:rPr>
          <w:color w:val="000000" w:themeColor="text1"/>
          <w:lang w:val="ru-RU"/>
        </w:rPr>
      </w:pPr>
      <w:r w:rsidRPr="00E93F40">
        <w:rPr>
          <w:color w:val="000000" w:themeColor="text1"/>
          <w:lang w:val="ru-RU"/>
        </w:rPr>
        <w:t>Одновременно с этим снабжение строи</w:t>
      </w:r>
      <w:r w:rsidRPr="00E93F40">
        <w:rPr>
          <w:color w:val="000000" w:themeColor="text1"/>
          <w:lang w:val="ru-RU"/>
        </w:rPr>
        <w:softHyphen/>
        <w:t>тельства протекало крайне неудовлетворитель</w:t>
      </w:r>
      <w:r w:rsidRPr="00E93F40">
        <w:rPr>
          <w:color w:val="000000" w:themeColor="text1"/>
          <w:lang w:val="ru-RU"/>
        </w:rPr>
        <w:softHyphen/>
        <w:t>но. Поставки сырья и материалов осуществля</w:t>
      </w:r>
      <w:r w:rsidRPr="00E93F40">
        <w:rPr>
          <w:color w:val="000000" w:themeColor="text1"/>
          <w:lang w:val="ru-RU"/>
        </w:rPr>
        <w:softHyphen/>
        <w:t>лись несвоевременно и не в полном объеме. Отсутствие монтажного материала на площад</w:t>
      </w:r>
      <w:r w:rsidRPr="00E93F40">
        <w:rPr>
          <w:color w:val="000000" w:themeColor="text1"/>
          <w:lang w:val="ru-RU"/>
        </w:rPr>
        <w:softHyphen/>
        <w:t>ке завода остановило работу монтажных бригад и вызвало вынужденный простой 1200 человек. Помимо срыва поставок материалов и комплек</w:t>
      </w:r>
      <w:r w:rsidRPr="00E93F40">
        <w:rPr>
          <w:color w:val="000000" w:themeColor="text1"/>
          <w:lang w:val="ru-RU"/>
        </w:rPr>
        <w:softHyphen/>
        <w:t>тующих, необходимое оборудование (такелаж, дрезины, стационарные силовые установки и пр.) также поступало крайне неритмично. В установленные сроки Станкообъединение не перепроектировало спецстанки. Не были за</w:t>
      </w:r>
      <w:r w:rsidRPr="00E93F40">
        <w:rPr>
          <w:color w:val="000000" w:themeColor="text1"/>
          <w:lang w:val="ru-RU"/>
        </w:rPr>
        <w:softHyphen/>
        <w:t>проектированы большой и малый сборочные конвейеры:</w:t>
      </w:r>
      <w:r w:rsidRPr="00E93F40">
        <w:rPr>
          <w:rStyle w:val="1a"/>
          <w:rFonts w:ascii="Times New Roman" w:hAnsi="Times New Roman" w:cs="Times New Roman"/>
          <w:i w:val="0"/>
          <w:color w:val="000000" w:themeColor="text1"/>
          <w:sz w:val="16"/>
          <w:szCs w:val="16"/>
          <w:lang w:val="ru-RU"/>
        </w:rPr>
        <w:t xml:space="preserve"> «Союзтранстехпром перегружен, Гипровато не в состоянии справиться с рабо</w:t>
      </w:r>
      <w:r w:rsidRPr="00E93F40">
        <w:rPr>
          <w:rStyle w:val="1a"/>
          <w:rFonts w:ascii="Times New Roman" w:hAnsi="Times New Roman" w:cs="Times New Roman"/>
          <w:i w:val="0"/>
          <w:color w:val="000000" w:themeColor="text1"/>
          <w:sz w:val="16"/>
          <w:szCs w:val="16"/>
          <w:lang w:val="ru-RU"/>
        </w:rPr>
        <w:softHyphen/>
        <w:t>той без активной помощи Союзтранстехпрома, каковую тот не в состоянии оказать» (12622).</w:t>
      </w:r>
    </w:p>
    <w:p w14:paraId="5752FE41" w14:textId="77777777" w:rsidR="00275520" w:rsidRPr="00E93F40" w:rsidRDefault="00275520" w:rsidP="00E93F40">
      <w:pPr>
        <w:pStyle w:val="a3"/>
        <w:rPr>
          <w:color w:val="000000" w:themeColor="text1"/>
          <w:lang w:val="ru-RU"/>
        </w:rPr>
      </w:pPr>
    </w:p>
    <w:p w14:paraId="7B91E400" w14:textId="77777777" w:rsidR="00643739" w:rsidRPr="00142305" w:rsidRDefault="00643739" w:rsidP="00643739">
      <w:pPr>
        <w:spacing w:after="0" w:line="240" w:lineRule="auto"/>
        <w:jc w:val="both"/>
        <w:rPr>
          <w:rFonts w:ascii="Times New Roman" w:eastAsia="Trebuchet MS" w:hAnsi="Times New Roman"/>
          <w:color w:val="0070C0"/>
          <w:sz w:val="16"/>
          <w:szCs w:val="16"/>
          <w:shd w:val="clear" w:color="auto" w:fill="FFFFFF"/>
        </w:rPr>
      </w:pPr>
      <w:r w:rsidRPr="00142305">
        <w:rPr>
          <w:rFonts w:ascii="Times New Roman" w:eastAsia="Trebuchet MS" w:hAnsi="Times New Roman"/>
          <w:color w:val="0070C0"/>
          <w:sz w:val="16"/>
          <w:szCs w:val="16"/>
          <w:shd w:val="clear" w:color="auto" w:fill="FFFFFF"/>
        </w:rPr>
        <w:t>15 февраля 1932 г. после предварительной разработки технического проекта танкового производства на СТЗ на основании приказа НКТП №60/с размер капиталовложений в спецстроительство завода был доведен до 44 млн. руб. В июне 1932 г. с изменением промышленного задания и окончательным утверждением технического проекта расширения завода размер капиталовложений был определен Главмашупром в сумме 94 млн. руб., из которых на основании специального правительственного решения к освоению в том же году выделялось 68 млн. руб., в том числе непосредственно на строительные работы – 18 млн. 247 тыс. руб., а окончательная генсмета была выведена в 137 млн. руб. (25580).</w:t>
      </w:r>
    </w:p>
    <w:p w14:paraId="26E4D8DA" w14:textId="77777777" w:rsidR="00643739" w:rsidRPr="00142305" w:rsidRDefault="00643739" w:rsidP="00643739">
      <w:pPr>
        <w:spacing w:after="0" w:line="240" w:lineRule="auto"/>
        <w:jc w:val="both"/>
        <w:rPr>
          <w:rFonts w:ascii="Times New Roman" w:eastAsia="Trebuchet MS" w:hAnsi="Times New Roman"/>
          <w:color w:val="0070C0"/>
          <w:sz w:val="16"/>
          <w:szCs w:val="16"/>
          <w:shd w:val="clear" w:color="auto" w:fill="FFFFFF"/>
        </w:rPr>
      </w:pPr>
    </w:p>
    <w:p w14:paraId="25F0E63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15 февраля 1932 </w:t>
      </w:r>
      <w:r w:rsidRPr="00E93F40">
        <w:rPr>
          <w:rFonts w:ascii="Times New Roman" w:hAnsi="Times New Roman"/>
          <w:color w:val="000000" w:themeColor="text1"/>
          <w:sz w:val="16"/>
          <w:szCs w:val="16"/>
        </w:rPr>
        <w:t>Политбюро ЦК ВКП (б) приняло решения: о реконструкции Ижевского машиностроительного завода, о календарном плане строительства текстильных комбинатов в Средней Азии и на Дальнем Востоке, об увеличении ассигнований на капитальное строительство Наркомтяжпрому в феврале 1932 г., о строительстве и реконструкции паровозостроительных, вагоностроительных и электровозостроительного заводов (12265).</w:t>
      </w:r>
    </w:p>
    <w:p w14:paraId="25BCCDA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 принял постановление «О Подмосковном угольном бассейне» (12265).</w:t>
      </w:r>
    </w:p>
    <w:p w14:paraId="572B7629" w14:textId="00F2D47D"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4A8FB5A2" w14:textId="77777777" w:rsidR="005F6692" w:rsidRPr="00E93F40" w:rsidRDefault="005F6692"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15 февраля 1932 года Приказом НКТП №35 танковое производство "Большевика" выделили в новое предприятие - завод №174 им. Ворошилова. Что же касается КБ-3 ВОАО, то оно просуществовало до осени 1932 года. Впрочем, постепенно шла переброска сотрудников в Ленинград. Никакого глубинного смысла нахождения данного КБ в отрыве от производства не имелось. Гинзбург стал главным конструктором ОКМО, а Иванов его заместителем (20375).</w:t>
      </w:r>
    </w:p>
    <w:p w14:paraId="0637E9C9" w14:textId="77777777" w:rsidR="005F6692" w:rsidRPr="00E93F40" w:rsidRDefault="005F6692" w:rsidP="00E93F40">
      <w:pPr>
        <w:shd w:val="clear" w:color="auto" w:fill="FFFFFF"/>
        <w:spacing w:after="0" w:line="240" w:lineRule="auto"/>
        <w:jc w:val="both"/>
        <w:rPr>
          <w:rFonts w:ascii="Times New Roman" w:hAnsi="Times New Roman"/>
          <w:color w:val="000000" w:themeColor="text1"/>
          <w:sz w:val="16"/>
          <w:szCs w:val="16"/>
        </w:rPr>
      </w:pPr>
    </w:p>
    <w:p w14:paraId="52ABC1F5" w14:textId="77777777" w:rsidR="005F6692" w:rsidRPr="00E93F40" w:rsidRDefault="005F669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15 февраля 1932 года согласно Приказу НКТП №35 танковое производство "Большевика" выделили в новое предприятие - завод №174 им. Ворошилова. Также, еще в декабре 1931 года, был образован ОКМО (опытно-конструкторский машиностроительный отдел), который возглавил Н.В. Барыков. Его заместителем стал С.А. Гинзбург, одно из задач которого стала доработка Т-26 (20740).</w:t>
      </w:r>
    </w:p>
    <w:p w14:paraId="223CA30E" w14:textId="77777777" w:rsidR="005F6692" w:rsidRPr="00E93F40" w:rsidRDefault="005F669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Весной 1932 года была изменена конструкция креплений глушителя Т-26. К лету 1932 года ввели смотровые щели в бортах башен, а также увеличили бензобак. Осенью 1932 года на верхнем лобовом листе корпуса ввели люк доступа к коробке передач. Также на Ижорском заводе, еще в начале 1932 года, начали эксперименты по сварке корпусов и башен. И если с корпусами дела шли не очень (они выпускались, но редко), то сварные башни в серию всё же пошли довольно массово. Также с сентября 1932 года Ижорский завод начал выпускать корпуса из стали ПИ, толщина листов выросла до 15 мм. Это, естественно, повлияла на массу машины. По ходу выпуска УММ КА увеличило объем выпуска до 1600 штук. Впрочем, это явно было перебором. К концу 1932 года из предъявленных 1341 танков приняли 1032 штуки. Но при этом план на 1933 года был еще более грандиозным - 1700 танков. 1933 год стал последним, когда выпускался двухбашенный Т-26. По планам, Ижорский завод сдавал 720 башен, после чего переходил на "большую", двухместную башню, которая стала развитием конструкции, начатой еще в 1931 году. Теперь там стояла 45-мм танковая пушка обр.1932 года, а в корме появилась ниша. За 1933 год сдали 576 двухбашенных Т-26, из которых часть являлась "заделом" с прошлого года. Еще один танк сдали в 1934 года, тоже "переходящий". Также к двухбашенным танкам относилась как минимум часть из 20 радийных Т-26. Эти танки получили поручневые антенны, которые, подобно немецким танкам, размещались на корпусе (20740).</w:t>
      </w:r>
    </w:p>
    <w:p w14:paraId="0B481BC4" w14:textId="77777777" w:rsidR="005F6692" w:rsidRPr="00E93F40" w:rsidRDefault="005F669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960D697"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15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89/44сс о ремонтных авто- и авиабазах на Дальнем Востоке (ГА РФ. Ф. Р?8418. Оп. 28. Д. 1а. Л. 26?137) (12415).</w:t>
      </w:r>
    </w:p>
    <w:p w14:paraId="53153493"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p>
    <w:p w14:paraId="068E4BF9" w14:textId="77777777" w:rsidR="005F6692" w:rsidRPr="00E93F40" w:rsidRDefault="005F6692"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15 февраля 1932 вышло постановление № 89/44сс (№ 219/ко от 17.2.1932 г.) О ремонтных авто и авиабазах на Дальнем Востоке (21564).</w:t>
      </w:r>
    </w:p>
    <w:p w14:paraId="1C053D17" w14:textId="77777777" w:rsidR="005F6692" w:rsidRPr="00E93F40" w:rsidRDefault="005F6692" w:rsidP="00E93F40">
      <w:pPr>
        <w:shd w:val="clear" w:color="auto" w:fill="FFFFFF"/>
        <w:spacing w:after="0" w:line="240" w:lineRule="auto"/>
        <w:jc w:val="both"/>
        <w:rPr>
          <w:rFonts w:ascii="Times New Roman" w:hAnsi="Times New Roman"/>
          <w:color w:val="000000" w:themeColor="text1"/>
          <w:sz w:val="16"/>
          <w:szCs w:val="16"/>
        </w:rPr>
      </w:pPr>
    </w:p>
    <w:p w14:paraId="6F8EBD72" w14:textId="6E22806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15 февраля 1932 г. Пост. СТО № 82/44 принято решение о строительстве «Авторемстроя»- Хабаровского авторемонтного завода № 5 (Авторемонтный завод № 105 им. Кагановича НКТП, НКОП, Хабаровский авторемонтный завод № 5, Автобронетанковая ремонтная база № 105 НКО, ГС Хабаровский завод им. Кагановича, Завод энергетического машиностроения «Энергомаш», Дальневосточный завод энергетического машиностроения («Дальэнергомаш») Минтяжмаша, ОАО «Дальэнергомаш» /680013</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Хабаровск ул. Ленинградская, 28 тел. 38-15-15/). В 04.1932 г. началось строительство, 17.08.1932 г. был заложен первый корпус «А» (блок механических цехов). В 1934 г. в корпусе «А» действовали механический, инструментальный, кузнечный цехи, термическое отделение. В корпусе «Б» действовали цеха сборки автомобилей (№ 12) и бронетанковой техники, участки ремонта и испытаний двигателей.</w:t>
      </w:r>
    </w:p>
    <w:p w14:paraId="5206B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1933 г. производился ремонт атомобилей «Форд-А», «Форд-АА», АМО-2, АМО-3, АМО-4, ГАЗ-А, ГАЗ-АА, ГАЗ-</w:t>
      </w:r>
      <w:r w:rsidRPr="00E93F40">
        <w:rPr>
          <w:rFonts w:ascii="Times New Roman" w:hAnsi="Times New Roman"/>
          <w:color w:val="000000" w:themeColor="text1"/>
          <w:sz w:val="16"/>
          <w:szCs w:val="16"/>
          <w:lang w:val="en-US"/>
        </w:rPr>
        <w:t>AAA</w:t>
      </w:r>
      <w:r w:rsidRPr="00E93F40">
        <w:rPr>
          <w:rFonts w:ascii="Times New Roman" w:hAnsi="Times New Roman"/>
          <w:color w:val="000000" w:themeColor="text1"/>
          <w:sz w:val="16"/>
          <w:szCs w:val="16"/>
        </w:rPr>
        <w:t>, ГАЗ-4, ЗиС-5, Я-6, ГАЗ-</w:t>
      </w:r>
      <w:r w:rsidRPr="00E93F40">
        <w:rPr>
          <w:rFonts w:ascii="Times New Roman" w:hAnsi="Times New Roman"/>
          <w:color w:val="000000" w:themeColor="text1"/>
          <w:sz w:val="16"/>
          <w:szCs w:val="16"/>
          <w:lang w:val="en-US"/>
        </w:rPr>
        <w:t>MI</w:t>
      </w:r>
      <w:r w:rsidRPr="00E93F40">
        <w:rPr>
          <w:rFonts w:ascii="Times New Roman" w:hAnsi="Times New Roman"/>
          <w:color w:val="000000" w:themeColor="text1"/>
          <w:sz w:val="16"/>
          <w:szCs w:val="16"/>
        </w:rPr>
        <w:t xml:space="preserve"> (с 1936 г.); трактора «Коммунар»; танков Т-26, Т-27, Т-37, БТ-7.</w:t>
      </w:r>
    </w:p>
    <w:p w14:paraId="67332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 переведен из системы «Цудортранса» в ведение «Спецмаштреста» НКТП и переименован в Авторемонтный завод № 105 им. Кагановича. В 08.1936 г. завод официально был сдан в эксплуатацию, по пр. № 01с от 21.12.1936 г. завод № 105 включен в число действующих предприятий НКОП. По пр. № 09с от 23.01.1937 г. передан в ведение 8ГУ НКОП (и на 12.1938 г.), Устав завода утвержден приказом № 52 от 4.02.1937 г.</w:t>
      </w:r>
    </w:p>
    <w:p w14:paraId="312EB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181сс от 28.05.1938 г. сюда с завода № 106 переданы танки и трактора, не законченные ремонтом в 1938 г., а также станки по обработке коленвалов и стенды для испытания моторов.</w:t>
      </w:r>
    </w:p>
    <w:p w14:paraId="67349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начала войны завод был преобразован в Автобронетанковую ремонтную базу № 105 Дальневосточного фронта НКО. В 11.1943 г. завод - в ведении ГАБТУ КА. В 1941 г. к заводу был прикомандирован 556-й отдельный строительный батальон в количестве 400 чел. для пополнения коллектива завода. В 1942 г. они были уволены из армии и зачислены в штат завода.</w:t>
      </w:r>
    </w:p>
    <w:p w14:paraId="68938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выпуска гранат и запалов построен цех № 2. Во время ВОВ ремонтировал танки Т-34, боевые машины. В соответствии с пост. ГКО № 5389 от 14.03.1944 г. на заводе организовано производство запчастей для танков БТ и Т-26.</w:t>
      </w:r>
    </w:p>
    <w:p w14:paraId="7F104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1945 г. завод вновь переведен в НКТП и перепрофилирован на производство турбинной техники: промышленных насосов, вентиляторов. В 1946 г. завод переименован в ГС Хабаровский завод им. Кагановича. В 1957 г. переименован в Завод энергетического машиностроения «Энергомаш».</w:t>
      </w:r>
    </w:p>
    <w:p w14:paraId="2EF2C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1946 г. созданы ОГТ, ОГ металлурга. Действовал цех № 21 (1950-е). Создан конструкторско- технологический отдел стандартизации. В 1947-50 г. проведена реконструкция корпуса «Б», сюда переведены цеха из корпуса «А», который подлежал сносу.</w:t>
      </w:r>
    </w:p>
    <w:p w14:paraId="323B45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1957 г. освоено производство компрессоров, нагнетателей.</w:t>
      </w:r>
    </w:p>
    <w:p w14:paraId="26F57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1963 г. началось освоение производства ПУ ракет для ПЛ. Гл. строителем по ним назначен М.М. Чечик. Сформирован Специальный конструкторско-технологический отдел (СКТО).</w:t>
      </w:r>
    </w:p>
    <w:p w14:paraId="32A68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1968 г. началось освоение выпуска технологических газовых турбин разработки НИКТИТ, газоперекачивающих агрегатов. Для этого построено три новых цеха, в т.ч. № 12. В цехе № 17 построены испытательные стенды для турбин. В 1975 г. построен новый корпус для производства турбин. В 1976 г. построено новое заготовительное отделение для цеха № 3.</w:t>
      </w:r>
    </w:p>
    <w:p w14:paraId="38D63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1980 г. построен корпус цехов № 18 и № 19 с административно-бытовым корпусом; в 1981 г.- корпус вспомогательных цехов № 9, 10, 11 и 16; в 1982 г.- административно-бытовой корпус цеха № 8, гальваническое отделение этого цеха; в 1983 г.- новая компрессорная станция. Действовали отделы гл. сварщика, АСУП. В составе ОГК работало 16 специализированных бюро: центробежных компрессорных машин, газовых турбин, нагнетателей сернистого газа, вентиляторов, спецузлов, регулирования, расчетное, электротехническое, стендов и испытаний, исследовательское. В ОГК разработано около 30 типов компрессоров и нагнетателей, более 20 тягодутьевых машин, несколько газоперекачивающих агрегатов.</w:t>
      </w:r>
    </w:p>
    <w:p w14:paraId="0E558520" w14:textId="339A05E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1990 г. завод- в ведении Минтяжмаша. 9.01.1991 г. завод преобразован в АО «Далъэнергомаш». Решением № 115 от 19.03.1991 г. АО зарегистрировано в Центральном райисполкоме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Хабаровска.</w:t>
      </w:r>
    </w:p>
    <w:p w14:paraId="01E0D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10.2002 г. на заводе введено внешнее управление.</w:t>
      </w:r>
    </w:p>
    <w:p w14:paraId="2973DD6B" w14:textId="6E2947FC"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(02.1932-16.08.1937 г.)- Я.Б. Везбин (репрессирован), (16.09-29.11.1937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 Кошелев, (29.11.1937- 21.11.1938 г.)- С.Д. Срыбник (снят), (1938-39 г.)- П.Н. Петров; и.о. (1939 г.)- Я.М. Савенков; (начало 1939-41 г.)- Ф.М. Куракин. Начальник (06.1941-47 г.)- Д. Г. Копейкин. Директор (1947-48 г.)- П.П. Васильев, (1948-51 г.)- И.И. Фетисов, (1952-54 г.)- П.Д. Старостин , (1954-60; 1962-65 г.)- В.А. Носанов, (1960-62 г.)- А.Р. Буряк, (1965-68 г.)- В.Н. Заварзин, (1968-76 г.)- А.М. Кормич, (1976-78 г.)- Н.И. Парков, (1978-90 г.)- М.М. Чечик, (27.06.1990-93 г.&gt; Н.В. Котенко, (1994-97 г.)- В.Н. Машулов, (1997-98 г.)- С.Я. Ильницкий, (1998-2002 г.)- А.С. Бушко. Внешний управляющий (10.2002 г.-)- П. Г. Бойчук.</w:t>
      </w:r>
    </w:p>
    <w:p w14:paraId="5D022917" w14:textId="731BB30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по строительству (1932-37 г.)- М.И. Карпов (репрессирован); (-1937 г.)- Л.И. Левин (репрессирован), (06.1937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 Кошелев. Исполнительный директор (2003 г.)- О.В. Конюшев.</w:t>
      </w:r>
    </w:p>
    <w:p w14:paraId="36EF3252" w14:textId="5EA2E2C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(1932-37 г.)- П. Г. Чистяков (репрессирован), (-06.1937-39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 Кошелев, (1939-41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Г.И. Третьяков, (1946 г.)- И.И. Фетисов, С.И. Зайц, (1950-е)-М.И. Бурцев, Б.А. Яровой, В.И. Дмитриев, А.И. Чмыхов, (- 1973 г.)- М.М. Чечик, (2003 г.)- С.Л. Шептицкий.</w:t>
      </w:r>
    </w:p>
    <w:p w14:paraId="116A3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инженера (1963 г.)- М.М. Чечик, (-06.1990 г.)- Н.В. Котенко.</w:t>
      </w:r>
    </w:p>
    <w:p w14:paraId="33624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Гл. конструктор- В.А. Калмыков, Ф.П. Гаврильчук, Д.С. Мишин, Н.И. Войтенко, О. Г. Рощин,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Кормич, Н.И. Минтиненко, (1990-е-2003 г.-&gt; В.В. Кучеренко.</w:t>
      </w:r>
    </w:p>
    <w:p w14:paraId="5CF6F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технолог (1937 г.)- М.И. Бурцев, Ф.П. Гаврильчук, (2003 г.)- Б. Г. Давыдов. Гл. металлург - В.Я. Козак, А.А. Плоткин. Гл. механик (1990-е-2003 г.-)- Ю.И. Лакнер. Гл. энергетик (1990-е)- С.В. Качуров. Гл. экономист (1932 г.-)- Л. Левин. Гл. диспетчер (-1937 г.)- Б.М. Гейзер (репрессирован).</w:t>
      </w:r>
    </w:p>
    <w:p w14:paraId="091335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производства (1941 г.)- И.И. Фетисов.</w:t>
      </w:r>
    </w:p>
    <w:p w14:paraId="40E723E4" w14:textId="64D0414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сборочного № 6- Д.Р. Турич; № 7 (-08.1937 г.)- С.Л. Шапиро (репрессирован); механосборочного (2003 г.)- А. Г. Волченков; общей сборки (1990-е-2003 г.-)- А.И. Бадрухин; механического (2003 г.)- А.Е. Воейков; инструментального (2003 г.)- В.Д. Иванов; ремонтно-механического (2003 г.)- А.П. Самохвалов; ремонтно-строительного (2003 г.)- В.Н. Журавлев; электроремонтного (2003 г.)- В.Д. Юрченко; связи (2003 г.)- А.П. Ведмецкая; (-1937 г.)- И.П. Мыглан (репрессирован), (-1937 г.)- Ю.Ю. Девиц (репрессирован), (1939 г.)- И. Коршунов, (1939 г.)- В.Ф. Кулыгин, (-1939-41 г.-)- В.Л. Пастухов, (1939 г.)- С. Попов, (1939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Сопов, (1939 г.)- В .А. Шаповаленко, (1941 г.)- В.Т. Кучер, В.А. Богданов, Ю.Н. Зорин, В.П. Устинов, В.П. Шевчук, (1970-е)- А.А. Ромашевский, В.И. Вахрушев, А.М. Меркулов, В.Н. Кулик.</w:t>
      </w:r>
    </w:p>
    <w:p w14:paraId="7E58B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цеха: (1968 г.)- Ф. Мазниченко, (1990-е)- О.В. Папота, (2003 г.)- А.С. Шукшин.</w:t>
      </w:r>
    </w:p>
    <w:p w14:paraId="2CA8C6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производственного (ПДО) (1939 г.)- М.И. Бурцев, В.А. Шаповаленко, И.И. Фетисов, (1960-е)- С.М. Человяга, В.Ф. Воробьев, А.И. Чмыхов, (2003 г.)- А.Ф. Чернеюк; технического (1946 г.)- В.Я. Кюммис, (1990-е-2003 г.-)- В.А. Соколов; конструкторско-технологического- В.И. Вахрушев; новой техники- И.И. Лузгин; планового (-1937 г.)- А.А. Рерих (репрессирован); ОТК и.о. (-1937 г.)- В.М. Сабылин (репрессирован), В.К. Гнибеда, (2003 г.)- Б.А. Мерк; МТС (1990-е)- Н. Г. Костельнюк; кадров (1990-е)- А.И. Попова; строительного (1939 г.-)- Шумакевич.</w:t>
      </w:r>
    </w:p>
    <w:p w14:paraId="61CE5B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отдела: ПДО (2003 г.)- А.И. Бондарюк; (2003 г.)- Н.В. Марлина.</w:t>
      </w:r>
    </w:p>
    <w:p w14:paraId="44A8E5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КБ (-1937 г.)- Л.П. Геращенко (репрессирован); КБ ОГТ- М.М. Чечик, Ю.А. Абрамов; ПРБ Д.С. Медведев, П.М. Жабин, М. Г. Марков, М.О. Мазуркевич, (1990-е)- Т.И. Орлянская; техбюро (1990-е)- В.А. Дедур; бюро испытаний- С. Г. Левченко; бюро газовых турбин- И.А. Бычкова; бюро отдела сбыта (1990-е-2003 г.-)- А.Н. Терехов; бюро АСУП (2003 г.)- А.Ф. Белый; измерительной лаборатории - А.И. Игнатченко; лаборатории ОГ метролога (2003 г.)- В.Д. Белкин; участка композиционных материалов (2005-06 г.-)- В.В. Колотыгин; участка ТИП (2003 г.)- С.В. Медведев; группы СКТО (1970-е)- А.П. Лиховолов.</w:t>
      </w:r>
    </w:p>
    <w:p w14:paraId="1E698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конструктора- Ю.А. Горейко, (2003 г.)- П.В. Гоголев. Зам. гл. технолога - Л.Д. Баланда. Зам. гл. механика (1970-е)- В.И. Вахрушев.</w:t>
      </w:r>
    </w:p>
    <w:p w14:paraId="52AC59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мины М-50, М-80, М-120, гранаты Ф-1 (08.1941-); запал Ковешникова (1943); ПУ ракет для ПЛ (-1978); газогенераторные установки для автомобилей и тракторов Т2Г, СГ-65 (1946-47); промышленные турбовентиляторы: ЭВ-40 (1947-); котельные ТВК-2 (1948-), ТВК-9 (1952-54-), ТВК-10, ТВМ-3, ЭВ-52; вентиляторы ВД-15, ВВДН, ВМН, ВГДН; турбонасосы: питательные ПТ-35 (1951), РВПТ-90 (1952-); тягодутьевые машины ВД-8, ВД-10, ВД-12, Д-8, Д-10, Д-12 (1954-); паровые турбины ППТ-1, ППТ-2 (1955-), ППТ-50 (1955); компрессоры К-250 (1957-), К-100; вакуумный компрессор ВК-700; турбокомпрессорные агрегаты ТКА-50, ТКА-130 (1996-), ЖА-80 (2001-), ТКА-250; центробежные насосные агрегаты НЦВ-800, ШДС- 52, НЦС-55 (1994-); нагнетатели Н-50, Н-1200 (1959), ЦНС, ЦНТ-700, ЦНВ-100 (2000-), ЦНВ-60, ЦНВ-160, ЦНВ- 200 (2001-), ЦНВ-80, ЦНВ-130 (2002-); дымососы ДН-8У; газовые турбины ГТТ-3 (1969-), ГТТ-12, КМА-2, ГТА-3, ГТК-10; газоперекачивающие агрегаты ЭГПА-280 (1978), ЭГПА-235 (1983); оборудование для металлургического производства; плунжерные насосы-дозаторы ПНД-16 (1990-е), ПНД-24, ПНД-63, ПНД-100 (1996-), ПНД-10, ПНД-40 (1997-); насосы для тепловых сетей СЦН-1250, СЦН-2500 (1993-), для сточных вод НСЦ-62 (1990-е), НЦС-580, НЦС-720, НЦС-800 (1995-);</w:t>
      </w:r>
    </w:p>
    <w:p w14:paraId="38F3D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ремонт автомобилей, танков, танковых моторов (1930-е-ВОВ) (11982).</w:t>
      </w:r>
    </w:p>
    <w:p w14:paraId="7E658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1E39D1" w14:textId="39A92677" w:rsidR="007E2BE2" w:rsidRPr="00E93F40" w:rsidRDefault="007E2BE2"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bCs/>
          <w:iCs/>
          <w:color w:val="000000" w:themeColor="text1"/>
          <w:sz w:val="16"/>
          <w:szCs w:val="16"/>
        </w:rPr>
        <w:t>15</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февраля 1932</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г.</w:t>
      </w:r>
      <w:r w:rsidRPr="00E93F40">
        <w:rPr>
          <w:rFonts w:ascii="Times New Roman" w:hAnsi="Times New Roman"/>
          <w:color w:val="000000" w:themeColor="text1"/>
          <w:sz w:val="16"/>
          <w:szCs w:val="16"/>
        </w:rPr>
        <w:t xml:space="preserve"> Начало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полигоны Шиханы (Саратовская область) зимних тактико-технических испытаний средств химической борьбы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первых больших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многоплановых испытаний химического оружия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этом полигоне. Ударная двухмесячная работа проходила без участия немецких специалистов. Технические испытания включали проверку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зимних условиях тех средств химической борьбы, которые предназначались 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вводу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вооружение, 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еще 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были проверены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зимних условиях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боевых химических машин, химических фугасов, шашек ядовитого дыма, осколочно-химических снарядов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химснарядов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СОВ, 107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химминометы. Тактические испытания включали применение СОВ воздушными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наземными средствами нападения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марше,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также применение СОВ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других видах деятельности, использование химминометов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различных видах боя, применение ЯД-атак («сковывающих»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изнурение»).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было даже изучено «</w:t>
      </w:r>
      <w:r w:rsidRPr="00E93F40">
        <w:rPr>
          <w:rFonts w:ascii="Times New Roman" w:hAnsi="Times New Roman"/>
          <w:iCs/>
          <w:color w:val="000000" w:themeColor="text1"/>
          <w:sz w:val="16"/>
          <w:szCs w:val="16"/>
        </w:rPr>
        <w:t>действие</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ОВ в</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населенном пункте в</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результате аэрохиматаки</w:t>
      </w:r>
      <w:r w:rsidRPr="00E93F40">
        <w:rPr>
          <w:rFonts w:ascii="Times New Roman" w:hAnsi="Times New Roman"/>
          <w:color w:val="000000" w:themeColor="text1"/>
          <w:sz w:val="16"/>
          <w:szCs w:val="16"/>
        </w:rPr>
        <w:t>». Количества химоружия, выделенные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испытания: иприта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 разных смесей иприта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lastRenderedPageBreak/>
        <w:t>люизита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синильной кислоты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 дифенилцианарсина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бромбензилцианида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химических фугасов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мин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мин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шашек ЯМ-11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шашек ЯМ-21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(17133).</w:t>
      </w:r>
    </w:p>
    <w:p w14:paraId="379CD3BA" w14:textId="5E95B646" w:rsidR="007E2BE2" w:rsidRPr="00E93F40" w:rsidRDefault="007E2BE2" w:rsidP="00E93F40">
      <w:pPr>
        <w:shd w:val="clear" w:color="auto" w:fill="FFFFFF"/>
        <w:spacing w:after="0" w:line="240" w:lineRule="auto"/>
        <w:jc w:val="both"/>
        <w:rPr>
          <w:rFonts w:ascii="Times New Roman" w:hAnsi="Times New Roman"/>
          <w:color w:val="000000" w:themeColor="text1"/>
          <w:sz w:val="16"/>
          <w:szCs w:val="16"/>
        </w:rPr>
      </w:pPr>
    </w:p>
    <w:p w14:paraId="6792CAB6" w14:textId="68D519DE" w:rsidR="00731874" w:rsidRPr="00E93F40" w:rsidRDefault="00731874" w:rsidP="00E93F40">
      <w:pPr>
        <w:shd w:val="clear" w:color="auto" w:fill="FFFFFF"/>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595630E9" w14:textId="77777777" w:rsidR="00731874" w:rsidRPr="00E93F40" w:rsidRDefault="00731874" w:rsidP="00E93F40">
      <w:pPr>
        <w:shd w:val="clear" w:color="auto" w:fill="FFFFFF"/>
        <w:spacing w:after="0" w:line="240" w:lineRule="auto"/>
        <w:jc w:val="both"/>
        <w:rPr>
          <w:rFonts w:ascii="Times New Roman" w:hAnsi="Times New Roman"/>
          <w:i/>
          <w:iCs/>
          <w:color w:val="000000" w:themeColor="text1"/>
          <w:sz w:val="16"/>
          <w:szCs w:val="16"/>
        </w:rPr>
      </w:pPr>
    </w:p>
    <w:p w14:paraId="5A9F3AA0"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февраля 1932 г. в связи со сложной обстановкой на Дальнем Востоке страны, согласно постановлению Комитета Обороны Союза ССР последовало усиле</w:t>
      </w:r>
      <w:r w:rsidRPr="00E93F40">
        <w:rPr>
          <w:rFonts w:ascii="Times New Roman" w:hAnsi="Times New Roman"/>
          <w:color w:val="000000" w:themeColor="text1"/>
          <w:sz w:val="16"/>
          <w:szCs w:val="16"/>
        </w:rPr>
        <w:softHyphen/>
        <w:t>ние ВВС Особой Краснознаменной Дальневосточ</w:t>
      </w:r>
      <w:r w:rsidRPr="00E93F40">
        <w:rPr>
          <w:rFonts w:ascii="Times New Roman" w:hAnsi="Times New Roman"/>
          <w:color w:val="000000" w:themeColor="text1"/>
          <w:sz w:val="16"/>
          <w:szCs w:val="16"/>
        </w:rPr>
        <w:softHyphen/>
        <w:t>ной армии (ОКДВА). По состоянию на 1 февраля 1932 г. на Дальнем Востоке насчитывалось 139 совет</w:t>
      </w:r>
      <w:r w:rsidRPr="00E93F40">
        <w:rPr>
          <w:rFonts w:ascii="Times New Roman" w:hAnsi="Times New Roman"/>
          <w:color w:val="000000" w:themeColor="text1"/>
          <w:sz w:val="16"/>
          <w:szCs w:val="16"/>
        </w:rPr>
        <w:softHyphen/>
        <w:t>ских самолетов: 64 Р-5, 6 Р-6, 30 Р-1, 22 С-62, 19 И- 5, 12 ТБ-1. Упомянутые 12 ТБ-1 51-й тбаэ перевезли по железной дороге в ноябре-декабре 1931 г. Летом 1932 г. поближе к Тихому океану решили перевести еще несколько эскадрилий из Центральной России. Однако главным событием летнего сезона должна была стать перегонка 24 самолетов ТБ-3 (две эскад</w:t>
      </w:r>
      <w:r w:rsidRPr="00E93F40">
        <w:rPr>
          <w:rFonts w:ascii="Times New Roman" w:hAnsi="Times New Roman"/>
          <w:color w:val="000000" w:themeColor="text1"/>
          <w:sz w:val="16"/>
          <w:szCs w:val="16"/>
        </w:rPr>
        <w:softHyphen/>
        <w:t>рильи) вновь сформированной 19-й тяжелой бомбардировочной авиабригады (тбаб). Задуманная понача</w:t>
      </w:r>
      <w:r w:rsidRPr="00E93F40">
        <w:rPr>
          <w:rFonts w:ascii="Times New Roman" w:hAnsi="Times New Roman"/>
          <w:color w:val="000000" w:themeColor="text1"/>
          <w:sz w:val="16"/>
          <w:szCs w:val="16"/>
        </w:rPr>
        <w:softHyphen/>
        <w:t>лу перевозка по железной дороге представлялась чрезвычайно сложной и долгой, поэтому выбран был все-таки перелет группы самолетов. Для решения задуманного планировалось не позд</w:t>
      </w:r>
      <w:r w:rsidRPr="00E93F40">
        <w:rPr>
          <w:rFonts w:ascii="Times New Roman" w:hAnsi="Times New Roman"/>
          <w:color w:val="000000" w:themeColor="text1"/>
          <w:sz w:val="16"/>
          <w:szCs w:val="16"/>
        </w:rPr>
        <w:softHyphen/>
        <w:t>нее августа 1932 г. создать одну тяжелую бомбарди</w:t>
      </w:r>
      <w:r w:rsidRPr="00E93F40">
        <w:rPr>
          <w:rFonts w:ascii="Times New Roman" w:hAnsi="Times New Roman"/>
          <w:color w:val="000000" w:themeColor="text1"/>
          <w:sz w:val="16"/>
          <w:szCs w:val="16"/>
        </w:rPr>
        <w:softHyphen/>
        <w:t>ровочную авиабригаду для ОКДВА в составе двух эс</w:t>
      </w:r>
      <w:r w:rsidRPr="00E93F40">
        <w:rPr>
          <w:rFonts w:ascii="Times New Roman" w:hAnsi="Times New Roman"/>
          <w:color w:val="000000" w:themeColor="text1"/>
          <w:sz w:val="16"/>
          <w:szCs w:val="16"/>
        </w:rPr>
        <w:softHyphen/>
        <w:t>кадрилий ТБ-1 и двух эскадрилий ТБ-3 (23378).</w:t>
      </w:r>
    </w:p>
    <w:p w14:paraId="2999001E" w14:textId="77777777" w:rsidR="00731874" w:rsidRPr="00E93F40" w:rsidRDefault="00731874" w:rsidP="00E93F40">
      <w:pPr>
        <w:spacing w:after="0" w:line="240" w:lineRule="auto"/>
        <w:jc w:val="both"/>
        <w:rPr>
          <w:rFonts w:ascii="Times New Roman" w:hAnsi="Times New Roman"/>
          <w:color w:val="000000" w:themeColor="text1"/>
          <w:sz w:val="16"/>
          <w:szCs w:val="16"/>
        </w:rPr>
      </w:pPr>
    </w:p>
    <w:p w14:paraId="307E8874" w14:textId="0577A088" w:rsidR="005F6692" w:rsidRPr="00E93F40" w:rsidRDefault="005F6692" w:rsidP="00E93F40">
      <w:pPr>
        <w:shd w:val="clear" w:color="auto" w:fill="FFFFFF"/>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397750F" w14:textId="77777777" w:rsidR="005F6692" w:rsidRPr="00E93F40" w:rsidRDefault="005F6692" w:rsidP="00E93F40">
      <w:pPr>
        <w:shd w:val="clear" w:color="auto" w:fill="FFFFFF"/>
        <w:spacing w:after="0" w:line="240" w:lineRule="auto"/>
        <w:jc w:val="both"/>
        <w:rPr>
          <w:rFonts w:ascii="Times New Roman" w:hAnsi="Times New Roman"/>
          <w:i/>
          <w:iCs/>
          <w:color w:val="000000" w:themeColor="text1"/>
          <w:sz w:val="16"/>
          <w:szCs w:val="16"/>
        </w:rPr>
      </w:pPr>
    </w:p>
    <w:p w14:paraId="3213A71F" w14:textId="77777777" w:rsidR="005F6692" w:rsidRPr="00E93F40" w:rsidRDefault="005F669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15 февраля 1932 СНК СССР, а на следующий день и Политбюро одобрили предложение о полярной экспедиции ВАИ. Постановили предоставить ВАИ «миллион рублей на расходы, связанные с экспедицией Северным морским путем из Архангельска во Владивосток». Сроки проведения экспедиции предусмотрительно не упоминались, но все же руководство страны рассчитывало, что ей удастся пройти огромное расстояние за одну навигацию, то есть за два — два с половиной месяца. Совершить то, что еще никогда не удавалось никому, а не всего лишь повторить плавания Норденшельда и Нансена, Вилькицкого и Амундсена.</w:t>
      </w:r>
    </w:p>
    <w:p w14:paraId="36FF241B" w14:textId="77777777" w:rsidR="005F6692" w:rsidRPr="00E93F40" w:rsidRDefault="005F669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hAnsi="Times New Roman"/>
          <w:color w:val="000000" w:themeColor="text1"/>
          <w:sz w:val="16"/>
          <w:szCs w:val="16"/>
          <w:shd w:val="clear" w:color="auto" w:fill="FFFFFF"/>
        </w:rPr>
        <w:t>Как бывало уже не раз, решение задачи возложили на несколько ведомств. Совторгфлоту следовало предоставить один из имевшихся у него ледокольных пароходов — для чистоты эксперимента. Выбор остановили на «Сибирякове», построенном в 1909 году в Глазго, водоизмещением 1383 тонны, с машиной в две тысячи лошадиных сил. До 1915 года его («Беллавенчюр») использовали в водах Ньюфаундленда, а затем, после покупки Россией, он обеспечивал зимнюю навигацию в Белом море и еще, но с 1925 года, совершал случайные рейсы на Мурман, Новую Землю, Шпицберген</w:t>
      </w:r>
      <w:r w:rsidRPr="00E93F40">
        <w:rPr>
          <w:rFonts w:ascii="Times New Roman" w:eastAsia="Times New Roman" w:hAnsi="Times New Roman"/>
          <w:color w:val="000000" w:themeColor="text1"/>
          <w:sz w:val="16"/>
          <w:szCs w:val="16"/>
          <w:lang w:eastAsia="ru-RU"/>
        </w:rPr>
        <w:t xml:space="preserve"> (20467).</w:t>
      </w:r>
    </w:p>
    <w:p w14:paraId="75190376" w14:textId="77777777" w:rsidR="005F6692" w:rsidRPr="00E93F40" w:rsidRDefault="005F6692" w:rsidP="00E93F40">
      <w:pPr>
        <w:spacing w:after="0" w:line="240" w:lineRule="auto"/>
        <w:jc w:val="both"/>
        <w:rPr>
          <w:rFonts w:ascii="Times New Roman" w:hAnsi="Times New Roman"/>
          <w:color w:val="000000" w:themeColor="text1"/>
          <w:sz w:val="16"/>
          <w:szCs w:val="16"/>
        </w:rPr>
      </w:pPr>
    </w:p>
    <w:p w14:paraId="1673676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451C1C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F843C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февраля 1932 ГИРД получил ЛК БИЧ-11 Б.И.Черановского. 22 февраля 1931 на нем как на планере летал С.П.К. 25 февраля ЦС Осоавиахима выделило 13 тыс. руб. на испытания РП (371,49).</w:t>
      </w:r>
    </w:p>
    <w:p w14:paraId="7F0448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5E80B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E7DA08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8390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года постановление № 101/46сс СТО</w:t>
      </w:r>
    </w:p>
    <w:p w14:paraId="16594E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авиации</w:t>
      </w:r>
    </w:p>
    <w:p w14:paraId="7B3379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 постановляет:</w:t>
      </w:r>
    </w:p>
    <w:p w14:paraId="00CF082A"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производственной программе 1932 года:</w:t>
      </w:r>
    </w:p>
    <w:p w14:paraId="2178D68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обеспечения выполнения программы в 400 моторов М-34 на заводе № 24 к 1 апреля 1932 года прекратить по механическому цеху производство моторов М-15 и М-26.</w:t>
      </w:r>
    </w:p>
    <w:p w14:paraId="33CBA7E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Увеличить на 1932 год производственную программу по самолетам ТБ-3 на 100 штук, изготовив и сдав вместо намечавшихся программой 200 штук – 300 самолетов со следующей разбивкой по заводам:</w:t>
      </w:r>
    </w:p>
    <w:p w14:paraId="26F535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22 –250 штук</w:t>
      </w:r>
    </w:p>
    <w:p w14:paraId="28162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39 – 40 штук</w:t>
      </w:r>
    </w:p>
    <w:p w14:paraId="75E118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18 – 10 штук</w:t>
      </w:r>
    </w:p>
    <w:p w14:paraId="577D446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эти м производство самолетов АНТ-9 на заводе № 22 немедленно прекратить и весь задел отправить на завод № 31 в таганроге.</w:t>
      </w:r>
    </w:p>
    <w:p w14:paraId="7BB55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Р-6 на заводе № 22 в количестве 20 штук закончить и сдать, а остальные производством прекратить к 1 апреля 1932 года, отправив весь задел по 80 самолетам Р-6 на завод № 31 в Таганроге.</w:t>
      </w:r>
    </w:p>
    <w:p w14:paraId="7627C58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Коиссии в составе Баранова, Гольцмана и Наумова определить количество, порядок и сроки сдачи самолетов Р-6 и АНТ-9 с завода № 31.</w:t>
      </w:r>
    </w:p>
    <w:p w14:paraId="6ED1092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Разрешить Глававиапрому первые два самолета ТБ-3 сдать с вооружением типа ДЕР-9 и ДЕР-13.</w:t>
      </w:r>
    </w:p>
    <w:p w14:paraId="64582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Комиссии в составе Ворошилова (председатель), Баранова, Алксниса, Туполева, Чернышева, Фельдмана, Калганова и Пауфлера в трех дневный срок установить окончательный тип вооружения для ТБ-3 на 1932 год.</w:t>
      </w:r>
    </w:p>
    <w:p w14:paraId="261F32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Ответственность за Ворошиловым, об исполнении сообщить председателю СТО.</w:t>
      </w:r>
    </w:p>
    <w:p w14:paraId="15CDEA9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вопросу установления необходимых для выполнения заданий программы конкретных мероприятий, утвердить в основном предложения заводов Глававиапрома, поручив комиссии в составе Кагановича, Горбунова, Фельдмана, Манфреда, Беленковича, Пауфлера, Тевосьяна предложения заводов уточнить и дать на утверждение Орджоникидзе в декадный срок.</w:t>
      </w:r>
    </w:p>
    <w:p w14:paraId="17AD6C5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НКВМ под личную ответственность Алксниса в полуторамесячный срок освободить территорию склада № 1 и вывезти все имущество на другие свои склады. Об исполнении доложить председателю СТО.</w:t>
      </w:r>
    </w:p>
    <w:p w14:paraId="7322E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Глававиапрому выделить необходимые средства.</w:t>
      </w:r>
    </w:p>
    <w:p w14:paraId="1CF2B27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на 1932 год дополнительно к отпущенным Глававиапрому ассигнованиям, в связи с ростом производства и переброской его с одного завода на другой на увеличение оборотных средств 55000 тыс. рублей.</w:t>
      </w:r>
    </w:p>
    <w:p w14:paraId="25B56EF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Изготовление запасных частей к моторам М-5 и Либерти и ремонт этих моторов поставить производством на заводе "Красный Октябрь" в Ленинграде с переводом этого завода на производство моторов Либерти.</w:t>
      </w:r>
    </w:p>
    <w:p w14:paraId="3C6E337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НКВМ немедленно выделить 1273 моторов М-5 и Либерти для отремонтирования и использования их для танков.</w:t>
      </w:r>
    </w:p>
    <w:p w14:paraId="6AB88E14"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разрезным крыльям и тормозным колесам.</w:t>
      </w:r>
    </w:p>
    <w:p w14:paraId="452F842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работ комиссии Орджоникидзе по разрезным крыльям и тормозным колесам продлить на 2 декады.</w:t>
      </w:r>
    </w:p>
    <w:p w14:paraId="4AEDEC24"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моторостроению.</w:t>
      </w:r>
    </w:p>
    <w:p w14:paraId="2488F35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Подвердить доведение завода № 26 к 1 января 1933 года до мощности 10000 моторов М-17, что обеспечивается отпущенными Глававиапрому на 1932 год средствами, как по внутренним кредитам, так и по импорту.</w:t>
      </w:r>
    </w:p>
    <w:p w14:paraId="34EC881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закончить в 1932 году реконструкцию завода № 24, доведя его мощность до 15000 моторов.</w:t>
      </w:r>
    </w:p>
    <w:p w14:paraId="712E4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Ассигновать для этой цели дополнительно к отпущенным кредитам в 1932 году 6000 тысяч рублей на оборудование.</w:t>
      </w:r>
    </w:p>
    <w:p w14:paraId="177715B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Подвердить доведение завода № 29 в 1932 году до мощности 6000 моторов М-14, что обеспечивается отпущенными Глававиапрому в 1932 году кредитами.</w:t>
      </w:r>
    </w:p>
    <w:p w14:paraId="4E88BD5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довести в 1932 году завод № 19 по строительству до проектной мощности в 6000 моторов, а по оборудованию до 1000 моторов, что обеспечивается отпущенными Глававиапрому в 1932 году кредитами.</w:t>
      </w:r>
    </w:p>
    <w:p w14:paraId="6ED54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840137D"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1D385EB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закончить в 1932 году реконструкцию завода № 22 на мощность 600 ТБ3.</w:t>
      </w:r>
    </w:p>
    <w:p w14:paraId="1696E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Ассигновать для этой цели дополнительно к отпущенным кредитам в 1932 году кредитам 7600 тысяч рублей на строительство и 1500 тысяч рублей на оборудование.</w:t>
      </w:r>
    </w:p>
    <w:p w14:paraId="364A623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закончить в 1932 году строительство завода 3 18 на мощность 1500 ТБ3.</w:t>
      </w:r>
    </w:p>
    <w:p w14:paraId="5EA638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Ассигновать для этой цели в 1932 году дополнительно к отпущенным кредитам на строительство 10000 тысяч рублей и на оборудование 5000 тысяч рублей.</w:t>
      </w:r>
    </w:p>
    <w:p w14:paraId="29E40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отпустить дополнительно на жилстроительство в 1932 году 3000 тысяч рублей.</w:t>
      </w:r>
    </w:p>
    <w:p w14:paraId="2C03031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построить новый завод в Казани на мощность 2400 тысяч рублей.</w:t>
      </w:r>
    </w:p>
    <w:p w14:paraId="0A9B6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Постройку произвести в две очереди комплектно: первая очередь строится в 1932 году на мощность 1200 ТБ3; вторая очередь – окончание завода к 1 июля 1934 года.</w:t>
      </w:r>
    </w:p>
    <w:p w14:paraId="07C9FA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Объем капработ по всему заводу определить ориентировочно в 140000 тысяч рублей, из которых жилстроительство и культбыт 57000 тысяч рублей.</w:t>
      </w:r>
    </w:p>
    <w:p w14:paraId="6AAD3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Ассигновать в 1932 году дополнительно к отпущенным кредитам на постройку этого завода 58000 тысяч рублей, в том числе на жилстроительство и культбыт 20000 тысяч рублей.</w:t>
      </w:r>
    </w:p>
    <w:p w14:paraId="12F04C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……………………………………………….(7429, 4-9).</w:t>
      </w:r>
    </w:p>
    <w:p w14:paraId="27B80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97E199" w14:textId="77777777"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16 февраля 1932</w:t>
      </w:r>
    </w:p>
    <w:p w14:paraId="32B67D61" w14:textId="67946B83"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88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1DF4C111" w14:textId="53A51844"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16</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519F5FF3" w14:textId="540C6EE9"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14: О самолетах</w:t>
      </w:r>
    </w:p>
    <w:p w14:paraId="6A30BEA6" w14:textId="77777777"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(Каганович).</w:t>
      </w:r>
    </w:p>
    <w:p w14:paraId="6B0ECA2F" w14:textId="1046A6FC"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Резолюцию принять (</w:t>
      </w:r>
      <w:hyperlink r:id="rId37"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5</w:t>
        </w:r>
      </w:hyperlink>
      <w:r w:rsidRPr="00E93F40">
        <w:rPr>
          <w:rFonts w:ascii="Times New Roman" w:hAnsi="Times New Roman"/>
          <w:color w:val="000000" w:themeColor="text1"/>
          <w:sz w:val="16"/>
          <w:szCs w:val="16"/>
        </w:rPr>
        <w:t>) без опубликования в печати.</w:t>
      </w:r>
    </w:p>
    <w:p w14:paraId="316F4BC9" w14:textId="77777777"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3асдушать на следующем заседании Политбюро доклад НКТяжа о бензоле.</w:t>
      </w:r>
    </w:p>
    <w:p w14:paraId="15BB2847" w14:textId="77777777"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Предложить НКТяжу сообщить в ЦК о мерах, принятых в отношении производства приборов.</w:t>
      </w:r>
    </w:p>
    <w:p w14:paraId="4804DF7E" w14:textId="36194195"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Выписать из заграницы часы для самолетов, поручив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Кагановичу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 принять меры к усилению производства самолетных часов в Москве.</w:t>
      </w:r>
    </w:p>
    <w:p w14:paraId="7DFECB59" w14:textId="09055CE6"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w:t>
      </w:r>
    </w:p>
    <w:p w14:paraId="32CC08B9" w14:textId="39C8B358"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14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88.</w:t>
      </w:r>
    </w:p>
    <w:p w14:paraId="5877708E" w14:textId="6A36B569"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Политбюро ЦК ВКП(б) от 16.II.1932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о самолетах.</w:t>
      </w:r>
    </w:p>
    <w:p w14:paraId="7925DF22" w14:textId="291EA002"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Объявить выговор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Жарову (нач. 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управления УВВС) и поставить на вид Мурашеву (директор завода № 1) за небрежное отношение к государственному добру, выразившееся в непринятии мер к разгрузке завода и отправке готовой продукции, предупредив их, что за повторение подобных случаев преступно-небрежного отношения к государственному имуществу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они подвергнутся более строгим мерам взыскания.</w:t>
      </w:r>
    </w:p>
    <w:p w14:paraId="3CEE1C9A" w14:textId="45FE501A"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Указать руководителям ВАО и УВВС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Баранову и Наумову на недопустимость вышеуказанных фактов и предложить им впредь принимать решительные меры к быстрой и своевременной отправке готовой продукции, внедрив следующий порядок:</w:t>
      </w:r>
    </w:p>
    <w:p w14:paraId="15CC2686" w14:textId="77777777"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Считая наиболее целесообразным отправление самолетов летным путем, установить, что в случае, если отправка их летом невозможна, военное ведомство не позже, чем в течение 3</w:t>
      </w:r>
      <w:r w:rsidRPr="00E93F40">
        <w:rPr>
          <w:rFonts w:ascii="Times New Roman" w:hAnsi="Times New Roman"/>
          <w:color w:val="000000" w:themeColor="text1"/>
          <w:sz w:val="16"/>
          <w:szCs w:val="16"/>
        </w:rPr>
        <w:noBreakHyphen/>
        <w:t>дневного срока предъявляет заводу требование об упаковке и отправке самолетов поездом, а завод обязан в трехдневный срок после предъявления требования готовые самолеты упаковать и отправить на место по указанию военного ведомства.</w:t>
      </w:r>
    </w:p>
    <w:p w14:paraId="53EEAFB5" w14:textId="260B1337"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Обязать УВВС в трехдневный срок разгрузить 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 от скопившейся готовой продукции.</w:t>
      </w:r>
    </w:p>
    <w:p w14:paraId="06D7821B" w14:textId="6D443E1F"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Обязать ВАО обеспечить эти самолеты горючим и принять меры к снабжению завода бензолом в необходимом количестве. Временно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для отправки готовых самолетов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обязать Моссовет дать для нужд завода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один автомобиль-цистерн.</w:t>
      </w:r>
    </w:p>
    <w:p w14:paraId="14A70700" w14:textId="77777777" w:rsidR="00AB00F4" w:rsidRPr="00E93F40" w:rsidRDefault="00AB0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(18125).</w:t>
      </w:r>
    </w:p>
    <w:p w14:paraId="66C43F86" w14:textId="77777777" w:rsidR="00AB00F4" w:rsidRPr="00E93F40" w:rsidRDefault="00AB00F4" w:rsidP="00E93F40">
      <w:pPr>
        <w:spacing w:after="0" w:line="240" w:lineRule="auto"/>
        <w:jc w:val="both"/>
        <w:rPr>
          <w:rFonts w:ascii="Times New Roman" w:hAnsi="Times New Roman"/>
          <w:color w:val="000000" w:themeColor="text1"/>
          <w:sz w:val="16"/>
          <w:szCs w:val="16"/>
        </w:rPr>
      </w:pPr>
    </w:p>
    <w:p w14:paraId="5B1E16C2" w14:textId="77777777" w:rsidR="00424A01" w:rsidRPr="00E93F40" w:rsidRDefault="00424A01"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16 февраля 1932 вышло постановление № 101/46сс РЗ СТО или КО (№ 218/ко от 17.2.1932 г.) По авиации (21564).</w:t>
      </w:r>
    </w:p>
    <w:p w14:paraId="2C5C042B" w14:textId="77777777" w:rsidR="00424A01" w:rsidRPr="00E93F40" w:rsidRDefault="00424A01" w:rsidP="00E93F40">
      <w:pPr>
        <w:shd w:val="clear" w:color="auto" w:fill="FFFFFF"/>
        <w:spacing w:after="0" w:line="240" w:lineRule="auto"/>
        <w:jc w:val="both"/>
        <w:rPr>
          <w:rFonts w:ascii="Times New Roman" w:hAnsi="Times New Roman"/>
          <w:color w:val="000000" w:themeColor="text1"/>
          <w:sz w:val="16"/>
          <w:szCs w:val="16"/>
        </w:rPr>
      </w:pPr>
    </w:p>
    <w:p w14:paraId="11C5DE2F"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101/46сс по авиации (ГА РФ. Ф. Р?8418. Оп. 28. Д. 1а. Л. 138?143) (12415).</w:t>
      </w:r>
    </w:p>
    <w:p w14:paraId="6EE97721"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p>
    <w:p w14:paraId="0D8C26D3"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№88. 4. Вопрос Комиссии обороны (ПБ от 6 февраля 1932 г., пр. № 87, п. 55/18). 14. О самолетах (Каганович). 18. О работе Осоавиахима (ПБ от 18 декабря 1931 г., пр. № 81, п. 43/4) (Постышев, Антипов и др.). Решения ПБ: от 9 февраля 1932 г. 21/1. О судостроительном заводе — ОП. Постановили: ввиду близости Хабаровска от границы выбор места для судостроительного завода перенести на север по Амуру в район между Малмыжем и сел. Тамбовское. Тов. Гамарнику, Муклевичу и Блюхеру немедленно принять все меры к точному определению места указанного завода. О принятых шагах донести. Решение считать окончательным; от 13 февраля 1932 г. П. 34/14. О соляной промышленности. П. 36/16. О комитете заготовок при СТО; от 16 февраля 1932 г. П. 43/23. О перспективах развития азотной промышленности на ближайшие 3?4 года и, в частности, в 1932 г. (Политбюро... Т. 2. С. 272, 273; РГАСПИ. Ф. 17. Оп. 162. Д. 11. Л. 180). Приложение к п. 14. Постановление ПБ ЦК ВКП(б) о самолетах. (РГАСПИ. Ф. 17. Оп. 3. Д. 872. Л. 21) (12416).</w:t>
      </w:r>
    </w:p>
    <w:p w14:paraId="54BA2D9D"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p>
    <w:p w14:paraId="0574CC6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 — Постановление № 101/46сс СТО СССР «По авиации»</w:t>
      </w:r>
    </w:p>
    <w:p w14:paraId="6CD1981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3FC508B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Совет труда и обороны постановляет:</w:t>
      </w:r>
    </w:p>
    <w:p w14:paraId="04ED3F10" w14:textId="7DCD8C9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По производственной программе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C98FAB8" w14:textId="7C44A8D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обеспечения выполнения программы в 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моторов М</w:t>
      </w:r>
      <w:r w:rsidRPr="00E93F40">
        <w:rPr>
          <w:rFonts w:ascii="Times New Roman" w:hAnsi="Times New Roman"/>
          <w:color w:val="000000" w:themeColor="text1"/>
          <w:sz w:val="16"/>
          <w:szCs w:val="16"/>
        </w:rPr>
        <w:noBreakHyphen/>
        <w:t>34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прекратить по механическому цеху производство моторов М</w:t>
      </w:r>
      <w:r w:rsidRPr="00E93F40">
        <w:rPr>
          <w:rFonts w:ascii="Times New Roman" w:hAnsi="Times New Roman"/>
          <w:color w:val="000000" w:themeColor="text1"/>
          <w:sz w:val="16"/>
          <w:szCs w:val="16"/>
        </w:rPr>
        <w:noBreakHyphen/>
        <w:t>15 и М</w:t>
      </w:r>
      <w:r w:rsidRPr="00E93F40">
        <w:rPr>
          <w:rFonts w:ascii="Times New Roman" w:hAnsi="Times New Roman"/>
          <w:color w:val="000000" w:themeColor="text1"/>
          <w:sz w:val="16"/>
          <w:szCs w:val="16"/>
        </w:rPr>
        <w:noBreakHyphen/>
        <w:t>26.</w:t>
      </w:r>
    </w:p>
    <w:p w14:paraId="33D71746" w14:textId="7DB5470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Увеличить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производственную программу по самолетам ТБ</w:t>
      </w:r>
      <w:r w:rsidRPr="00E93F40">
        <w:rPr>
          <w:rFonts w:ascii="Times New Roman" w:hAnsi="Times New Roman"/>
          <w:color w:val="000000" w:themeColor="text1"/>
          <w:sz w:val="16"/>
          <w:szCs w:val="16"/>
        </w:rPr>
        <w:noBreakHyphen/>
        <w:t>3 на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изготовив и сдав вместо намечавшихся программой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самолетов со следующей разбивкой по заводам: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5DA49545" w14:textId="445E2B46"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связи с этим производство самолетов АНТ</w:t>
      </w:r>
      <w:r w:rsidRPr="00E93F40">
        <w:rPr>
          <w:rFonts w:ascii="Times New Roman" w:hAnsi="Times New Roman"/>
          <w:color w:val="000000" w:themeColor="text1"/>
          <w:sz w:val="16"/>
          <w:szCs w:val="16"/>
        </w:rPr>
        <w:noBreakHyphen/>
        <w:t>9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22 немедленно прекратить и весь задел отправить на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31 в Таганроге. Самолеты Р</w:t>
      </w:r>
      <w:r w:rsidRPr="00E93F40">
        <w:rPr>
          <w:rFonts w:ascii="Times New Roman" w:hAnsi="Times New Roman"/>
          <w:color w:val="000000" w:themeColor="text1"/>
          <w:sz w:val="16"/>
          <w:szCs w:val="16"/>
        </w:rPr>
        <w:noBreakHyphen/>
        <w:t>6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22 в количестве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закончить и сдать, а остальные производством прекратить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отправив весь задел по 80 самолетам Р</w:t>
      </w:r>
      <w:r w:rsidRPr="00E93F40">
        <w:rPr>
          <w:rFonts w:ascii="Times New Roman" w:hAnsi="Times New Roman"/>
          <w:color w:val="000000" w:themeColor="text1"/>
          <w:sz w:val="16"/>
          <w:szCs w:val="16"/>
        </w:rPr>
        <w:noBreakHyphen/>
        <w:t>6 на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31 в Таганроге.</w:t>
      </w:r>
    </w:p>
    <w:p w14:paraId="0DFF64CA" w14:textId="32E9158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Комиссии в составе т.</w:t>
      </w:r>
      <w:r w:rsidR="007C1411" w:rsidRPr="00E93F40">
        <w:rPr>
          <w:rFonts w:ascii="Times New Roman" w:hAnsi="Times New Roman"/>
          <w:color w:val="000000" w:themeColor="text1"/>
          <w:sz w:val="16"/>
          <w:szCs w:val="16"/>
        </w:rPr>
        <w:t xml:space="preserve"> </w:t>
      </w:r>
      <w:hyperlink r:id="rId38" w:history="1">
        <w:r w:rsidRPr="00E93F40">
          <w:rPr>
            <w:rStyle w:val="a5"/>
            <w:rFonts w:ascii="Times New Roman" w:hAnsi="Times New Roman"/>
            <w:color w:val="000000" w:themeColor="text1"/>
            <w:sz w:val="16"/>
            <w:szCs w:val="16"/>
            <w:u w:val="none"/>
          </w:rPr>
          <w:t>Баранова</w:t>
        </w:r>
      </w:hyperlink>
      <w:r w:rsidRPr="00E93F40">
        <w:rPr>
          <w:rFonts w:ascii="Times New Roman" w:hAnsi="Times New Roman"/>
          <w:color w:val="000000" w:themeColor="text1"/>
          <w:sz w:val="16"/>
          <w:szCs w:val="16"/>
        </w:rPr>
        <w:t xml:space="preserve">, </w:t>
      </w:r>
      <w:hyperlink r:id="rId39" w:history="1">
        <w:r w:rsidRPr="00E93F40">
          <w:rPr>
            <w:rStyle w:val="a5"/>
            <w:rFonts w:ascii="Times New Roman" w:hAnsi="Times New Roman"/>
            <w:color w:val="000000" w:themeColor="text1"/>
            <w:sz w:val="16"/>
            <w:szCs w:val="16"/>
            <w:u w:val="none"/>
          </w:rPr>
          <w:t>Гольцмана</w:t>
        </w:r>
      </w:hyperlink>
      <w:r w:rsidRPr="00E93F40">
        <w:rPr>
          <w:rFonts w:ascii="Times New Roman" w:hAnsi="Times New Roman"/>
          <w:color w:val="000000" w:themeColor="text1"/>
          <w:sz w:val="16"/>
          <w:szCs w:val="16"/>
        </w:rPr>
        <w:t xml:space="preserve"> и Наумова определить количество, порядок и сроки сдачи самолетов Р</w:t>
      </w:r>
      <w:r w:rsidRPr="00E93F40">
        <w:rPr>
          <w:rFonts w:ascii="Times New Roman" w:hAnsi="Times New Roman"/>
          <w:color w:val="000000" w:themeColor="text1"/>
          <w:sz w:val="16"/>
          <w:szCs w:val="16"/>
        </w:rPr>
        <w:noBreakHyphen/>
        <w:t>6 и АНТ</w:t>
      </w:r>
      <w:r w:rsidRPr="00E93F40">
        <w:rPr>
          <w:rFonts w:ascii="Times New Roman" w:hAnsi="Times New Roman"/>
          <w:color w:val="000000" w:themeColor="text1"/>
          <w:sz w:val="16"/>
          <w:szCs w:val="16"/>
        </w:rPr>
        <w:noBreakHyphen/>
        <w:t>9 с 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31.</w:t>
      </w:r>
    </w:p>
    <w:p w14:paraId="19CA625E" w14:textId="7CBE24C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Разрешить Глававиапрому¹* первые два самолета ТБ</w:t>
      </w:r>
      <w:r w:rsidRPr="00E93F40">
        <w:rPr>
          <w:rFonts w:ascii="Times New Roman" w:hAnsi="Times New Roman"/>
          <w:color w:val="000000" w:themeColor="text1"/>
          <w:sz w:val="16"/>
          <w:szCs w:val="16"/>
        </w:rPr>
        <w:noBreakHyphen/>
        <w:t>3 сдать с вооружением типа ДЕР</w:t>
      </w:r>
      <w:r w:rsidRPr="00E93F40">
        <w:rPr>
          <w:rFonts w:ascii="Times New Roman" w:hAnsi="Times New Roman"/>
          <w:color w:val="000000" w:themeColor="text1"/>
          <w:sz w:val="16"/>
          <w:szCs w:val="16"/>
        </w:rPr>
        <w:noBreakHyphen/>
        <w:t>9 и ДЕР</w:t>
      </w:r>
      <w:r w:rsidRPr="00E93F40">
        <w:rPr>
          <w:rFonts w:ascii="Times New Roman" w:hAnsi="Times New Roman"/>
          <w:color w:val="000000" w:themeColor="text1"/>
          <w:sz w:val="16"/>
          <w:szCs w:val="16"/>
        </w:rPr>
        <w:noBreakHyphen/>
        <w:t>13. Комиссии в составе т.</w:t>
      </w:r>
      <w:r w:rsidR="007C1411" w:rsidRPr="00E93F40">
        <w:rPr>
          <w:rFonts w:ascii="Times New Roman" w:hAnsi="Times New Roman"/>
          <w:color w:val="000000" w:themeColor="text1"/>
          <w:sz w:val="16"/>
          <w:szCs w:val="16"/>
        </w:rPr>
        <w:t xml:space="preserve"> </w:t>
      </w:r>
      <w:hyperlink r:id="rId40" w:history="1">
        <w:r w:rsidRPr="00E93F40">
          <w:rPr>
            <w:rStyle w:val="a5"/>
            <w:rFonts w:ascii="Times New Roman" w:hAnsi="Times New Roman"/>
            <w:color w:val="000000" w:themeColor="text1"/>
            <w:sz w:val="16"/>
            <w:szCs w:val="16"/>
            <w:u w:val="none"/>
          </w:rPr>
          <w:t>Ворошилова</w:t>
        </w:r>
      </w:hyperlink>
      <w:r w:rsidRPr="00E93F40">
        <w:rPr>
          <w:rFonts w:ascii="Times New Roman" w:hAnsi="Times New Roman"/>
          <w:color w:val="000000" w:themeColor="text1"/>
          <w:sz w:val="16"/>
          <w:szCs w:val="16"/>
        </w:rPr>
        <w:t xml:space="preserve"> (председатель), Баранова, </w:t>
      </w:r>
      <w:hyperlink r:id="rId41" w:history="1">
        <w:r w:rsidRPr="00E93F40">
          <w:rPr>
            <w:rStyle w:val="a5"/>
            <w:rFonts w:ascii="Times New Roman" w:hAnsi="Times New Roman"/>
            <w:color w:val="000000" w:themeColor="text1"/>
            <w:sz w:val="16"/>
            <w:szCs w:val="16"/>
            <w:u w:val="none"/>
          </w:rPr>
          <w:t>Алксниса</w:t>
        </w:r>
      </w:hyperlink>
      <w:r w:rsidRPr="00E93F40">
        <w:rPr>
          <w:rFonts w:ascii="Times New Roman" w:hAnsi="Times New Roman"/>
          <w:color w:val="000000" w:themeColor="text1"/>
          <w:sz w:val="16"/>
          <w:szCs w:val="16"/>
        </w:rPr>
        <w:t xml:space="preserve">, </w:t>
      </w:r>
      <w:hyperlink r:id="rId42" w:history="1">
        <w:r w:rsidRPr="00E93F40">
          <w:rPr>
            <w:rStyle w:val="a5"/>
            <w:rFonts w:ascii="Times New Roman" w:hAnsi="Times New Roman"/>
            <w:color w:val="000000" w:themeColor="text1"/>
            <w:sz w:val="16"/>
            <w:szCs w:val="16"/>
            <w:u w:val="none"/>
          </w:rPr>
          <w:t>Туполева</w:t>
        </w:r>
      </w:hyperlink>
      <w:r w:rsidRPr="00E93F40">
        <w:rPr>
          <w:rFonts w:ascii="Times New Roman" w:hAnsi="Times New Roman"/>
          <w:color w:val="000000" w:themeColor="text1"/>
          <w:sz w:val="16"/>
          <w:szCs w:val="16"/>
        </w:rPr>
        <w:t xml:space="preserve">, Чернышева, </w:t>
      </w:r>
      <w:hyperlink r:id="rId43" w:history="1">
        <w:r w:rsidRPr="00E93F40">
          <w:rPr>
            <w:rStyle w:val="a5"/>
            <w:rFonts w:ascii="Times New Roman" w:hAnsi="Times New Roman"/>
            <w:color w:val="000000" w:themeColor="text1"/>
            <w:sz w:val="16"/>
            <w:szCs w:val="16"/>
            <w:u w:val="none"/>
          </w:rPr>
          <w:t>Фельдмана</w:t>
        </w:r>
      </w:hyperlink>
      <w:r w:rsidRPr="00E93F40">
        <w:rPr>
          <w:rFonts w:ascii="Times New Roman" w:hAnsi="Times New Roman"/>
          <w:color w:val="000000" w:themeColor="text1"/>
          <w:sz w:val="16"/>
          <w:szCs w:val="16"/>
        </w:rPr>
        <w:t xml:space="preserve">, Калганова и </w:t>
      </w:r>
      <w:hyperlink r:id="rId44" w:history="1">
        <w:r w:rsidRPr="00E93F40">
          <w:rPr>
            <w:rStyle w:val="a5"/>
            <w:rFonts w:ascii="Times New Roman" w:hAnsi="Times New Roman"/>
            <w:color w:val="000000" w:themeColor="text1"/>
            <w:sz w:val="16"/>
            <w:szCs w:val="16"/>
            <w:u w:val="none"/>
          </w:rPr>
          <w:t>Пауфлера</w:t>
        </w:r>
      </w:hyperlink>
      <w:r w:rsidRPr="00E93F40">
        <w:rPr>
          <w:rFonts w:ascii="Times New Roman" w:hAnsi="Times New Roman"/>
          <w:color w:val="000000" w:themeColor="text1"/>
          <w:sz w:val="16"/>
          <w:szCs w:val="16"/>
        </w:rPr>
        <w:t xml:space="preserve"> в трехдневных срок установить окончательный тип вооружения для ТБ</w:t>
      </w:r>
      <w:r w:rsidRPr="00E93F40">
        <w:rPr>
          <w:rFonts w:ascii="Times New Roman" w:hAnsi="Times New Roman"/>
          <w:color w:val="000000" w:themeColor="text1"/>
          <w:sz w:val="16"/>
          <w:szCs w:val="16"/>
        </w:rPr>
        <w:noBreakHyphen/>
        <w:t>3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Ответственность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Ворошиловым; об исполнении сообщить председателю СТО.</w:t>
      </w:r>
    </w:p>
    <w:p w14:paraId="042C607B" w14:textId="47C88C3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вопросу установления необходимых для выполнения заданий программы конкретных мероприятий утвердить в основном предложения заводов Глававиапрома, поручив комиссии в составе т.</w:t>
      </w:r>
      <w:r w:rsidR="007C1411" w:rsidRPr="00E93F40">
        <w:rPr>
          <w:rFonts w:ascii="Times New Roman" w:hAnsi="Times New Roman"/>
          <w:color w:val="000000" w:themeColor="text1"/>
          <w:sz w:val="16"/>
          <w:szCs w:val="16"/>
        </w:rPr>
        <w:t xml:space="preserve"> </w:t>
      </w:r>
      <w:hyperlink r:id="rId45" w:history="1">
        <w:r w:rsidRPr="00E93F40">
          <w:rPr>
            <w:rStyle w:val="a5"/>
            <w:rFonts w:ascii="Times New Roman" w:hAnsi="Times New Roman"/>
            <w:color w:val="000000" w:themeColor="text1"/>
            <w:sz w:val="16"/>
            <w:szCs w:val="16"/>
            <w:u w:val="none"/>
          </w:rPr>
          <w:t>Кагановича М</w:t>
        </w:r>
      </w:hyperlink>
      <w:r w:rsidRPr="00E93F40">
        <w:rPr>
          <w:rFonts w:ascii="Times New Roman" w:hAnsi="Times New Roman"/>
          <w:color w:val="000000" w:themeColor="text1"/>
          <w:sz w:val="16"/>
          <w:szCs w:val="16"/>
        </w:rPr>
        <w:t xml:space="preserve">., Горбунова, Фельдмана, Манфреда, Беленковича, Пауфлера, </w:t>
      </w:r>
      <w:hyperlink r:id="rId46" w:history="1">
        <w:r w:rsidRPr="00E93F40">
          <w:rPr>
            <w:rStyle w:val="a5"/>
            <w:rFonts w:ascii="Times New Roman" w:hAnsi="Times New Roman"/>
            <w:color w:val="000000" w:themeColor="text1"/>
            <w:sz w:val="16"/>
            <w:szCs w:val="16"/>
            <w:u w:val="none"/>
          </w:rPr>
          <w:t>Тевосяна</w:t>
        </w:r>
      </w:hyperlink>
      <w:r w:rsidRPr="00E93F40">
        <w:rPr>
          <w:rFonts w:ascii="Times New Roman" w:hAnsi="Times New Roman"/>
          <w:color w:val="000000" w:themeColor="text1"/>
          <w:sz w:val="16"/>
          <w:szCs w:val="16"/>
        </w:rPr>
        <w:t xml:space="preserve"> предложения заводов уточнить и дать на утверждение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Орджоникидзе в декадный срок.</w:t>
      </w:r>
    </w:p>
    <w:p w14:paraId="357E083B" w14:textId="4C390BF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НКВМ под личную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Алксниса в полуторамесячный срок освободить территорию склада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 и вывезти все имущество на другие свои склады. Об исполнении доложить председателю СТО. Глававиапрому выделить необходимые средства.</w:t>
      </w:r>
    </w:p>
    <w:p w14:paraId="3F0E8617" w14:textId="56D1320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Утвердить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дополнительно к отпущенным Глававиапрому ассигнованиям, в связи с ростом производства и переброской его с одного завода на другой, на увеличение оборотных средств 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2B3B0536" w14:textId="1272393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Изготовление запасных частей к моторам М</w:t>
      </w:r>
      <w:r w:rsidRPr="00E93F40">
        <w:rPr>
          <w:rFonts w:ascii="Times New Roman" w:hAnsi="Times New Roman"/>
          <w:color w:val="000000" w:themeColor="text1"/>
          <w:sz w:val="16"/>
          <w:szCs w:val="16"/>
        </w:rPr>
        <w:noBreakHyphen/>
        <w:t>5 и «Либерти» и ремонт этих моторов поставить производством на заводе «Красный Октябрь» в Ленинграде, с дальнейшим переводом этого завода на производство моторов «Либерти».</w:t>
      </w:r>
    </w:p>
    <w:p w14:paraId="1243AED4" w14:textId="062CA19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НКВМ немедленно выделить 1273 мотора М</w:t>
      </w:r>
      <w:r w:rsidRPr="00E93F40">
        <w:rPr>
          <w:rFonts w:ascii="Times New Roman" w:hAnsi="Times New Roman"/>
          <w:color w:val="000000" w:themeColor="text1"/>
          <w:sz w:val="16"/>
          <w:szCs w:val="16"/>
        </w:rPr>
        <w:noBreakHyphen/>
        <w:t>5 и «Либерти» для отремонтирования и использования их для танков.</w:t>
      </w:r>
    </w:p>
    <w:p w14:paraId="4996B60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По разрезным крыльям и тормозным колесам</w:t>
      </w:r>
    </w:p>
    <w:p w14:paraId="35D33C62" w14:textId="726C44C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Срок работ Комиссии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Орджоникидзе по разрезным крыльям и тормозным колесам продлить на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декады.</w:t>
      </w:r>
    </w:p>
    <w:p w14:paraId="03C05AC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По моторостроению</w:t>
      </w:r>
    </w:p>
    <w:p w14:paraId="0566B88B" w14:textId="1DCCEAA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Подтвердить доведение 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26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 мощности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моторов М</w:t>
      </w:r>
      <w:r w:rsidRPr="00E93F40">
        <w:rPr>
          <w:rFonts w:ascii="Times New Roman" w:hAnsi="Times New Roman"/>
          <w:color w:val="000000" w:themeColor="text1"/>
          <w:sz w:val="16"/>
          <w:szCs w:val="16"/>
        </w:rPr>
        <w:noBreakHyphen/>
        <w:t>17, что обеспечивается отпущенными Глававиапрому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средствами как по внутренним кредитам, так и по импорту.</w:t>
      </w:r>
    </w:p>
    <w:p w14:paraId="50C26DD5" w14:textId="0E2A7C5A"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Глававиапром закончить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реконструкцию 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 доведя его мощность до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моторов. Ассигновать для этой цели дополнительно к отпущенным кредитам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на оборудование.</w:t>
      </w:r>
    </w:p>
    <w:p w14:paraId="4DFC6D34" w14:textId="1A1F6A3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Подтвердить доведение 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29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 мощности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моторов М</w:t>
      </w:r>
      <w:r w:rsidRPr="00E93F40">
        <w:rPr>
          <w:rFonts w:ascii="Times New Roman" w:hAnsi="Times New Roman"/>
          <w:color w:val="000000" w:themeColor="text1"/>
          <w:sz w:val="16"/>
          <w:szCs w:val="16"/>
        </w:rPr>
        <w:noBreakHyphen/>
        <w:t>11, что обеспечивается отпущенными Глававиапрому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кредитами.</w:t>
      </w:r>
    </w:p>
    <w:p w14:paraId="67F64226" w14:textId="2F631F3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Глававиапром довести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 по строительству до проектной мощности в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моторов, а по оборудованию до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моторов, что обеспечивается отпущенными Глававиапрому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кредитами.</w:t>
      </w:r>
    </w:p>
    <w:p w14:paraId="6D5498F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По базам для моторостроения</w:t>
      </w:r>
    </w:p>
    <w:p w14:paraId="617D7B3F" w14:textId="0A76956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изменение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постановления СТО за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8/сс от 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г.²*:</w:t>
      </w:r>
    </w:p>
    <w:p w14:paraId="25EE0438" w14:textId="074012B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Спецсталь: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реконструировать кузнечно-штамповальный цех завода «Электросталь» на мощность 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комплектов поковок моторов типа М</w:t>
      </w:r>
      <w:r w:rsidRPr="00E93F40">
        <w:rPr>
          <w:rFonts w:ascii="Times New Roman" w:hAnsi="Times New Roman"/>
          <w:color w:val="000000" w:themeColor="text1"/>
          <w:sz w:val="16"/>
          <w:szCs w:val="16"/>
        </w:rPr>
        <w:noBreakHyphen/>
        <w:t>34;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«Днепросталь»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мощность в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комплектов поковок моторов типа М</w:t>
      </w:r>
      <w:r w:rsidRPr="00E93F40">
        <w:rPr>
          <w:rFonts w:ascii="Times New Roman" w:hAnsi="Times New Roman"/>
          <w:color w:val="000000" w:themeColor="text1"/>
          <w:sz w:val="16"/>
          <w:szCs w:val="16"/>
        </w:rPr>
        <w:noBreakHyphen/>
        <w:t>22 и М</w:t>
      </w:r>
      <w:r w:rsidRPr="00E93F40">
        <w:rPr>
          <w:rFonts w:ascii="Times New Roman" w:hAnsi="Times New Roman"/>
          <w:color w:val="000000" w:themeColor="text1"/>
          <w:sz w:val="16"/>
          <w:szCs w:val="16"/>
        </w:rPr>
        <w:noBreakHyphen/>
        <w:t>11.</w:t>
      </w:r>
    </w:p>
    <w:p w14:paraId="37249423" w14:textId="7AD4932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РУЖ при реконструкции завода ИОЗ развить кузнечно-штамповальный цех на мощность в 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комплектов поковок моторов типа М</w:t>
      </w:r>
      <w:r w:rsidRPr="00E93F40">
        <w:rPr>
          <w:rFonts w:ascii="Times New Roman" w:hAnsi="Times New Roman"/>
          <w:color w:val="000000" w:themeColor="text1"/>
          <w:sz w:val="16"/>
          <w:szCs w:val="16"/>
        </w:rPr>
        <w:noBreakHyphen/>
        <w:t>34 и М</w:t>
      </w:r>
      <w:r w:rsidRPr="00E93F40">
        <w:rPr>
          <w:rFonts w:ascii="Times New Roman" w:hAnsi="Times New Roman"/>
          <w:color w:val="000000" w:themeColor="text1"/>
          <w:sz w:val="16"/>
          <w:szCs w:val="16"/>
        </w:rPr>
        <w:noBreakHyphen/>
        <w:t>38.</w:t>
      </w:r>
    </w:p>
    <w:p w14:paraId="1153DA9C" w14:textId="4D9833F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НКТП при постройке Бакальского завода обеспечить мощность кузнечно-штамповального цеха в 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комплектов поковок моторов типа М</w:t>
      </w:r>
      <w:r w:rsidRPr="00E93F40">
        <w:rPr>
          <w:rFonts w:ascii="Times New Roman" w:hAnsi="Times New Roman"/>
          <w:color w:val="000000" w:themeColor="text1"/>
          <w:sz w:val="16"/>
          <w:szCs w:val="16"/>
        </w:rPr>
        <w:noBreakHyphen/>
        <w:t>44 и мощных дизельных.</w:t>
      </w:r>
    </w:p>
    <w:p w14:paraId="58F6489E" w14:textId="464CDB6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поставщиков и Глававиапром положить в основу реконструкции и постройки этих заводов промзадания, разработанные Глававиаиромом в соответствии с планом производства моторов.</w:t>
      </w:r>
    </w:p>
    <w:p w14:paraId="7B4CCD35" w14:textId="206AACD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поставщиков поковок в проекте реконструкции заводов предусмотреть обдирку поковок, их термообработку и травление.</w:t>
      </w:r>
    </w:p>
    <w:p w14:paraId="4C69551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 По самолетостроению</w:t>
      </w:r>
    </w:p>
    <w:p w14:paraId="7FF2A12E" w14:textId="119D83F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Глававиапром закончить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реконструкцию 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22 на мощность 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ТБ</w:t>
      </w:r>
      <w:r w:rsidRPr="00E93F40">
        <w:rPr>
          <w:rFonts w:ascii="Times New Roman" w:hAnsi="Times New Roman"/>
          <w:color w:val="000000" w:themeColor="text1"/>
          <w:sz w:val="16"/>
          <w:szCs w:val="16"/>
        </w:rPr>
        <w:noBreakHyphen/>
        <w:t>3. Ассигновать для этой цели дополнительно к отпущенным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кредитам 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на строительство и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на оборудование.</w:t>
      </w:r>
    </w:p>
    <w:p w14:paraId="1A1E60A4" w14:textId="05232BB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Глававиапром закончить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строительство 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18 на мощность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ТБ</w:t>
      </w:r>
      <w:r w:rsidRPr="00E93F40">
        <w:rPr>
          <w:rFonts w:ascii="Times New Roman" w:hAnsi="Times New Roman"/>
          <w:color w:val="000000" w:themeColor="text1"/>
          <w:sz w:val="16"/>
          <w:szCs w:val="16"/>
        </w:rPr>
        <w:noBreakHyphen/>
        <w:t>3. Ассигновать для этой цели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дополнительно к отпущенным кредитам на строительство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 на оборудование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Кроме того, отпустить дополнительно на жилстроительство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1A6E4208" w14:textId="3AF6D82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Обязать Глававиапром построить новый завод в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Казань на мощность 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ТБ</w:t>
      </w:r>
      <w:r w:rsidRPr="00E93F40">
        <w:rPr>
          <w:rFonts w:ascii="Times New Roman" w:hAnsi="Times New Roman"/>
          <w:color w:val="000000" w:themeColor="text1"/>
          <w:sz w:val="16"/>
          <w:szCs w:val="16"/>
        </w:rPr>
        <w:noBreakHyphen/>
        <w:t>3. Постройку произвести в две очереди комплектно: первая очередь строится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мощность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ТБ</w:t>
      </w:r>
      <w:r w:rsidRPr="00E93F40">
        <w:rPr>
          <w:rFonts w:ascii="Times New Roman" w:hAnsi="Times New Roman"/>
          <w:color w:val="000000" w:themeColor="text1"/>
          <w:sz w:val="16"/>
          <w:szCs w:val="16"/>
        </w:rPr>
        <w:noBreakHyphen/>
        <w:t>3; вторая очередь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окончание заводом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Объем капитальных работ по всему заводу определить ориентировочно в 140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из которых [на] жилстроительство и культбыт 57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Ассигновать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дополнительно к отпущенным кредитам на постройку этого завода 58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том числе на жилстроительство и культбыт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12E7E73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V³*. По подсобным заводам</w:t>
      </w:r>
    </w:p>
    <w:p w14:paraId="659D7581" w14:textId="36D4B47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Ввиду того что реконструкция 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 не предусматривает литейного хозяйства, обязать Глававиапром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форсировать строительство центральной литейной. Ассигновать для этой цели дополнительно к отпущенным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кредитам 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64B1B7DE" w14:textId="19655EF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обеспечения моторных заводов нормальными деталями и механизмами и самолетным вооружением отпустить дополнительно к ассигнованным Глававиапрому кредитам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оборудование заводов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32 и 20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10E7AFF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 Финансирование</w:t>
      </w:r>
    </w:p>
    <w:p w14:paraId="23567B49" w14:textId="079371FC"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Исходя из установленных предыдущими пунктами настоящего постановления мероприятий, утвердить на 1932</w:t>
      </w:r>
      <w:r w:rsidR="007C1411" w:rsidRPr="00E93F40">
        <w:rPr>
          <w:color w:val="000000" w:themeColor="text1"/>
          <w:sz w:val="16"/>
          <w:szCs w:val="16"/>
        </w:rPr>
        <w:t xml:space="preserve"> </w:t>
      </w:r>
      <w:r w:rsidRPr="00E93F40">
        <w:rPr>
          <w:color w:val="000000" w:themeColor="text1"/>
          <w:sz w:val="16"/>
          <w:szCs w:val="16"/>
        </w:rPr>
        <w:t>г. дополнительно к отпущенным Глававиапрому ассигнованиям на капитальное строительство указанных выше заводов, а также для заводов в Иркутске и Белен-Отжеле 107,8</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из которых 28</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 на жилстроительство.</w:t>
      </w:r>
    </w:p>
    <w:p w14:paraId="47C47038" w14:textId="7FC6FAD9"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Поручить т.</w:t>
      </w:r>
      <w:r w:rsidR="007C1411" w:rsidRPr="00E93F40">
        <w:rPr>
          <w:color w:val="000000" w:themeColor="text1"/>
          <w:sz w:val="16"/>
          <w:szCs w:val="16"/>
        </w:rPr>
        <w:t xml:space="preserve"> </w:t>
      </w:r>
      <w:r w:rsidRPr="00E93F40">
        <w:rPr>
          <w:color w:val="000000" w:themeColor="text1"/>
          <w:sz w:val="16"/>
          <w:szCs w:val="16"/>
        </w:rPr>
        <w:t>Кагановичу и Баранову немедленно приступить к размещению заказов оборудования на наших заводах за счет преимущественного перед другими отраслями промышленности удовлетворения авиапромышленности. Исходить при размещении оборудования из того, что в основном заводы должны быть оборудованы машинами советского производства. В III</w:t>
      </w:r>
      <w:r w:rsidR="007C1411" w:rsidRPr="00E93F40">
        <w:rPr>
          <w:color w:val="000000" w:themeColor="text1"/>
          <w:sz w:val="16"/>
          <w:szCs w:val="16"/>
        </w:rPr>
        <w:t xml:space="preserve"> </w:t>
      </w:r>
      <w:r w:rsidRPr="00E93F40">
        <w:rPr>
          <w:color w:val="000000" w:themeColor="text1"/>
          <w:sz w:val="16"/>
          <w:szCs w:val="16"/>
        </w:rPr>
        <w:t>квартале доложить Совету труда и обороны о размерах размещенного оборудования и необходимого импорта.</w:t>
      </w:r>
    </w:p>
    <w:p w14:paraId="5611DFDF" w14:textId="7B305F43"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Обязать НКТП в полуторамесячный срок представить на утверждение разработанный план мероприятий, необходимых для осуществления задания по реконструкции указанных выше заводов.</w:t>
      </w:r>
    </w:p>
    <w:p w14:paraId="06C64B73" w14:textId="2E7E7ACB"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Председатель Совета труда и обороны </w:t>
      </w:r>
      <w:hyperlink r:id="rId47" w:history="1">
        <w:r w:rsidRPr="00E93F40">
          <w:rPr>
            <w:rStyle w:val="af0"/>
            <w:i w:val="0"/>
            <w:color w:val="000000" w:themeColor="text1"/>
            <w:sz w:val="16"/>
            <w:szCs w:val="16"/>
          </w:rPr>
          <w:t>В.</w:t>
        </w:r>
        <w:r w:rsidR="007C1411" w:rsidRPr="00E93F40">
          <w:rPr>
            <w:rStyle w:val="af0"/>
            <w:i w:val="0"/>
            <w:color w:val="000000" w:themeColor="text1"/>
            <w:sz w:val="16"/>
            <w:szCs w:val="16"/>
          </w:rPr>
          <w:t xml:space="preserve"> </w:t>
        </w:r>
        <w:r w:rsidRPr="00E93F40">
          <w:rPr>
            <w:rStyle w:val="af0"/>
            <w:i w:val="0"/>
            <w:color w:val="000000" w:themeColor="text1"/>
            <w:sz w:val="16"/>
            <w:szCs w:val="16"/>
          </w:rPr>
          <w:t>Молотов (Скрябин)</w:t>
        </w:r>
      </w:hyperlink>
    </w:p>
    <w:p w14:paraId="004941AA"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Секретарь Совета труда и обороны⁴* </w:t>
      </w:r>
    </w:p>
    <w:p w14:paraId="1568C3CB"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6F2BFC97" w14:textId="1D785400"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На заседании Комиссии обороны при СНК</w:t>
      </w:r>
      <w:r w:rsidR="007C1411" w:rsidRPr="00E93F40">
        <w:rPr>
          <w:color w:val="000000" w:themeColor="text1"/>
          <w:sz w:val="16"/>
          <w:szCs w:val="16"/>
        </w:rPr>
        <w:t xml:space="preserve"> </w:t>
      </w:r>
      <w:r w:rsidRPr="00E93F40">
        <w:rPr>
          <w:color w:val="000000" w:themeColor="text1"/>
          <w:sz w:val="16"/>
          <w:szCs w:val="16"/>
        </w:rPr>
        <w:t>СССР 7</w:t>
      </w:r>
      <w:r w:rsidR="007C1411" w:rsidRPr="00E93F40">
        <w:rPr>
          <w:color w:val="000000" w:themeColor="text1"/>
          <w:sz w:val="16"/>
          <w:szCs w:val="16"/>
        </w:rPr>
        <w:t xml:space="preserve"> </w:t>
      </w:r>
      <w:r w:rsidRPr="00E93F40">
        <w:rPr>
          <w:color w:val="000000" w:themeColor="text1"/>
          <w:sz w:val="16"/>
          <w:szCs w:val="16"/>
        </w:rPr>
        <w:t>декабря 1931</w:t>
      </w:r>
      <w:r w:rsidR="007C1411" w:rsidRPr="00E93F40">
        <w:rPr>
          <w:color w:val="000000" w:themeColor="text1"/>
          <w:sz w:val="16"/>
          <w:szCs w:val="16"/>
        </w:rPr>
        <w:t xml:space="preserve"> </w:t>
      </w:r>
      <w:r w:rsidRPr="00E93F40">
        <w:rPr>
          <w:color w:val="000000" w:themeColor="text1"/>
          <w:sz w:val="16"/>
          <w:szCs w:val="16"/>
        </w:rPr>
        <w:t xml:space="preserve">г. было принято решение о реорганизации Всесоюзного авиационного объединения (ВАО) в </w:t>
      </w:r>
      <w:r w:rsidRPr="00E93F40">
        <w:rPr>
          <w:rStyle w:val="af0"/>
          <w:i w:val="0"/>
          <w:color w:val="000000" w:themeColor="text1"/>
          <w:sz w:val="16"/>
          <w:szCs w:val="16"/>
        </w:rPr>
        <w:t>Главное управление авиационной промышленности (Глававиапром, ГУАП),</w:t>
      </w:r>
      <w:r w:rsidRPr="00E93F40">
        <w:rPr>
          <w:color w:val="000000" w:themeColor="text1"/>
          <w:sz w:val="16"/>
          <w:szCs w:val="16"/>
        </w:rPr>
        <w:t xml:space="preserve"> подчиненное непосредственно Президиуму ВСНХ и возглавляемое заместителем председателя ВСНХ</w:t>
      </w:r>
      <w:r w:rsidR="007C1411" w:rsidRPr="00E93F40">
        <w:rPr>
          <w:color w:val="000000" w:themeColor="text1"/>
          <w:sz w:val="16"/>
          <w:szCs w:val="16"/>
        </w:rPr>
        <w:t xml:space="preserve"> </w:t>
      </w:r>
      <w:r w:rsidRPr="00E93F40">
        <w:rPr>
          <w:color w:val="000000" w:themeColor="text1"/>
          <w:sz w:val="16"/>
          <w:szCs w:val="16"/>
        </w:rPr>
        <w:t>СССР. Было признано необходимым в составе управления создать 4 треста: самолетостроительный, авиамоторостроительный, трест подсобных предприятий и трест ремонтного производства. Заместителем председателя ВСНХ по Глававиапрому был утвержден П.</w:t>
      </w:r>
      <w:r w:rsidR="007C1411" w:rsidRPr="00E93F40">
        <w:rPr>
          <w:color w:val="000000" w:themeColor="text1"/>
          <w:sz w:val="16"/>
          <w:szCs w:val="16"/>
        </w:rPr>
        <w:t xml:space="preserve"> </w:t>
      </w:r>
      <w:r w:rsidRPr="00E93F40">
        <w:rPr>
          <w:color w:val="000000" w:themeColor="text1"/>
          <w:sz w:val="16"/>
          <w:szCs w:val="16"/>
        </w:rPr>
        <w:t>И.</w:t>
      </w:r>
      <w:r w:rsidR="007C1411" w:rsidRPr="00E93F40">
        <w:rPr>
          <w:color w:val="000000" w:themeColor="text1"/>
          <w:sz w:val="16"/>
          <w:szCs w:val="16"/>
        </w:rPr>
        <w:t xml:space="preserve"> </w:t>
      </w:r>
      <w:r w:rsidRPr="00E93F40">
        <w:rPr>
          <w:color w:val="000000" w:themeColor="text1"/>
          <w:sz w:val="16"/>
          <w:szCs w:val="16"/>
        </w:rPr>
        <w:t>Баранов. (ГА</w:t>
      </w:r>
      <w:r w:rsidR="007C1411" w:rsidRPr="00E93F40">
        <w:rPr>
          <w:color w:val="000000" w:themeColor="text1"/>
          <w:sz w:val="16"/>
          <w:szCs w:val="16"/>
        </w:rPr>
        <w:t xml:space="preserve"> </w:t>
      </w:r>
      <w:r w:rsidRPr="00E93F40">
        <w:rPr>
          <w:color w:val="000000" w:themeColor="text1"/>
          <w:sz w:val="16"/>
          <w:szCs w:val="16"/>
        </w:rPr>
        <w:t>РФ. Ф.</w:t>
      </w:r>
      <w:r w:rsidR="007C1411" w:rsidRPr="00E93F40">
        <w:rPr>
          <w:color w:val="000000" w:themeColor="text1"/>
          <w:sz w:val="16"/>
          <w:szCs w:val="16"/>
        </w:rPr>
        <w:t xml:space="preserve"> </w:t>
      </w:r>
      <w:r w:rsidRPr="00E93F40">
        <w:rPr>
          <w:color w:val="000000" w:themeColor="text1"/>
          <w:sz w:val="16"/>
          <w:szCs w:val="16"/>
        </w:rPr>
        <w:t>8418. Оп.</w:t>
      </w:r>
      <w:r w:rsidR="007C1411" w:rsidRPr="00E93F40">
        <w:rPr>
          <w:color w:val="000000" w:themeColor="text1"/>
          <w:sz w:val="16"/>
          <w:szCs w:val="16"/>
        </w:rPr>
        <w:t xml:space="preserve"> </w:t>
      </w:r>
      <w:r w:rsidRPr="00E93F40">
        <w:rPr>
          <w:color w:val="000000" w:themeColor="text1"/>
          <w:sz w:val="16"/>
          <w:szCs w:val="16"/>
        </w:rPr>
        <w:t>5. Д.</w:t>
      </w:r>
      <w:r w:rsidR="007C1411" w:rsidRPr="00E93F40">
        <w:rPr>
          <w:color w:val="000000" w:themeColor="text1"/>
          <w:sz w:val="16"/>
          <w:szCs w:val="16"/>
        </w:rPr>
        <w:t xml:space="preserve"> </w:t>
      </w:r>
      <w:r w:rsidRPr="00E93F40">
        <w:rPr>
          <w:color w:val="000000" w:themeColor="text1"/>
          <w:sz w:val="16"/>
          <w:szCs w:val="16"/>
        </w:rPr>
        <w:t>163. Л.</w:t>
      </w:r>
      <w:r w:rsidR="007C1411" w:rsidRPr="00E93F40">
        <w:rPr>
          <w:color w:val="000000" w:themeColor="text1"/>
          <w:sz w:val="16"/>
          <w:szCs w:val="16"/>
        </w:rPr>
        <w:t xml:space="preserve"> </w:t>
      </w:r>
      <w:r w:rsidRPr="00E93F40">
        <w:rPr>
          <w:color w:val="000000" w:themeColor="text1"/>
          <w:sz w:val="16"/>
          <w:szCs w:val="16"/>
        </w:rPr>
        <w:t>43</w:t>
      </w:r>
      <w:r w:rsidRPr="00E93F40">
        <w:rPr>
          <w:color w:val="000000" w:themeColor="text1"/>
          <w:sz w:val="16"/>
          <w:szCs w:val="16"/>
        </w:rPr>
        <w:noBreakHyphen/>
        <w:t>43</w:t>
      </w:r>
      <w:r w:rsidR="007C1411" w:rsidRPr="00E93F40">
        <w:rPr>
          <w:color w:val="000000" w:themeColor="text1"/>
          <w:sz w:val="16"/>
          <w:szCs w:val="16"/>
        </w:rPr>
        <w:t xml:space="preserve"> </w:t>
      </w:r>
      <w:r w:rsidRPr="00E93F40">
        <w:rPr>
          <w:color w:val="000000" w:themeColor="text1"/>
          <w:sz w:val="16"/>
          <w:szCs w:val="16"/>
        </w:rPr>
        <w:t>об.)</w:t>
      </w:r>
    </w:p>
    <w:p w14:paraId="05861DC2" w14:textId="301EFD5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Style w:val="af0"/>
          <w:rFonts w:ascii="Times New Roman" w:hAnsi="Times New Roman"/>
          <w:i w:val="0"/>
          <w:color w:val="000000" w:themeColor="text1"/>
          <w:sz w:val="16"/>
          <w:szCs w:val="16"/>
        </w:rPr>
        <w:t>В пункте 8 постановления СТО №</w:t>
      </w:r>
      <w:r w:rsidR="007C1411" w:rsidRPr="00E93F40">
        <w:rPr>
          <w:rStyle w:val="af0"/>
          <w:rFonts w:ascii="Times New Roman" w:hAnsi="Times New Roman"/>
          <w:i w:val="0"/>
          <w:color w:val="000000" w:themeColor="text1"/>
          <w:sz w:val="16"/>
          <w:szCs w:val="16"/>
        </w:rPr>
        <w:t xml:space="preserve"> </w:t>
      </w:r>
      <w:r w:rsidRPr="00E93F40">
        <w:rPr>
          <w:rStyle w:val="af0"/>
          <w:rFonts w:ascii="Times New Roman" w:hAnsi="Times New Roman"/>
          <w:i w:val="0"/>
          <w:color w:val="000000" w:themeColor="text1"/>
          <w:sz w:val="16"/>
          <w:szCs w:val="16"/>
        </w:rPr>
        <w:t>8сс «О развитии авиапромышленности на период 1932-1935 гг.» от 11</w:t>
      </w:r>
      <w:r w:rsidR="007C1411" w:rsidRPr="00E93F40">
        <w:rPr>
          <w:rStyle w:val="af0"/>
          <w:rFonts w:ascii="Times New Roman" w:hAnsi="Times New Roman"/>
          <w:i w:val="0"/>
          <w:color w:val="000000" w:themeColor="text1"/>
          <w:sz w:val="16"/>
          <w:szCs w:val="16"/>
        </w:rPr>
        <w:t xml:space="preserve"> </w:t>
      </w:r>
      <w:r w:rsidRPr="00E93F40">
        <w:rPr>
          <w:rStyle w:val="af0"/>
          <w:rFonts w:ascii="Times New Roman" w:hAnsi="Times New Roman"/>
          <w:i w:val="0"/>
          <w:color w:val="000000" w:themeColor="text1"/>
          <w:sz w:val="16"/>
          <w:szCs w:val="16"/>
        </w:rPr>
        <w:t>января 1932</w:t>
      </w:r>
      <w:r w:rsidR="007C1411" w:rsidRPr="00E93F40">
        <w:rPr>
          <w:rStyle w:val="af0"/>
          <w:rFonts w:ascii="Times New Roman" w:hAnsi="Times New Roman"/>
          <w:i w:val="0"/>
          <w:color w:val="000000" w:themeColor="text1"/>
          <w:sz w:val="16"/>
          <w:szCs w:val="16"/>
        </w:rPr>
        <w:t xml:space="preserve"> </w:t>
      </w:r>
      <w:r w:rsidRPr="00E93F40">
        <w:rPr>
          <w:rStyle w:val="af0"/>
          <w:rFonts w:ascii="Times New Roman" w:hAnsi="Times New Roman"/>
          <w:i w:val="0"/>
          <w:color w:val="000000" w:themeColor="text1"/>
          <w:sz w:val="16"/>
          <w:szCs w:val="16"/>
        </w:rPr>
        <w:t>г.</w:t>
      </w:r>
      <w:r w:rsidRPr="00E93F40">
        <w:rPr>
          <w:rFonts w:ascii="Times New Roman" w:hAnsi="Times New Roman"/>
          <w:color w:val="000000" w:themeColor="text1"/>
          <w:sz w:val="16"/>
          <w:szCs w:val="16"/>
        </w:rPr>
        <w:t xml:space="preserve"> устанавливался следующий план развития мощностей по авиапоставкам (в комплектах):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57"/>
        <w:gridCol w:w="1864"/>
        <w:gridCol w:w="1864"/>
        <w:gridCol w:w="1864"/>
        <w:gridCol w:w="2073"/>
      </w:tblGrid>
      <w:tr w:rsidR="00DA227A" w:rsidRPr="00E93F40" w14:paraId="361FDFE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5304C8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5BC74" w14:textId="39D6063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B71F3" w14:textId="26E7270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F5FE1" w14:textId="63823AA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E0418" w14:textId="4BDCC29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5258EE7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FDCF92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Электросталь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E55E1" w14:textId="2187F65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19258" w14:textId="21F32B7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8329A" w14:textId="2F2F6AD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A28B8" w14:textId="3FD1668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r>
      <w:tr w:rsidR="00DA227A" w:rsidRPr="00E93F40" w14:paraId="2881D08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8C119F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Ижевский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E885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1BA30" w14:textId="223184E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A6F1" w14:textId="5A9D38F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14DC8" w14:textId="79F8694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r>
      <w:tr w:rsidR="00DA227A" w:rsidRPr="00E93F40" w14:paraId="394061F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729302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Днепросталъ</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8CD4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6AAB" w14:textId="108EB93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3E81B" w14:textId="087C925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C2050" w14:textId="484BF55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r>
      <w:tr w:rsidR="00DA227A" w:rsidRPr="00E93F40" w14:paraId="4EFEF40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5FC51A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Бакальский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60BB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D9DB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75A28" w14:textId="74365076"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A759E" w14:textId="0AEC86FA"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r>
      <w:tr w:rsidR="00DA227A" w:rsidRPr="00E93F40" w14:paraId="2D3ABC8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5E3C0C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65F4A" w14:textId="1B5BCB5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2760B" w14:textId="0253882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76DDF" w14:textId="077BEEF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ED0BE" w14:textId="5148F9C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r>
    </w:tbl>
    <w:p w14:paraId="415E4C2C" w14:textId="0CBE40AA"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РФ. Ф.</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8418. Оп.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28.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1а. 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110).</w:t>
      </w:r>
    </w:p>
    <w:p w14:paraId="599D0D5F" w14:textId="598A453C"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Нумерация нарушена.</w:t>
      </w:r>
    </w:p>
    <w:p w14:paraId="7916EA19" w14:textId="0F3FF2B7"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Фамилия не указана.</w:t>
      </w:r>
    </w:p>
    <w:p w14:paraId="7F1FB332" w14:textId="77777777"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rPr>
        <w:t>ГА РФ. Ф. Р-8418. Оп. 5. Д. 163. Л. 6—11. Заверенная копия.</w:t>
      </w:r>
    </w:p>
    <w:p w14:paraId="7E2A7793" w14:textId="2B90FE6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5. Д. 163. Л. 6—11. Заверенная копия. </w:t>
      </w:r>
    </w:p>
    <w:p w14:paraId="3E3A50B1" w14:textId="7C9BCD4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626-628 (12551).</w:t>
      </w:r>
    </w:p>
    <w:p w14:paraId="5E366DBE" w14:textId="77777777" w:rsidR="00275520" w:rsidRPr="00E93F40" w:rsidRDefault="00275520" w:rsidP="00E93F40">
      <w:pPr>
        <w:spacing w:after="0" w:line="240" w:lineRule="auto"/>
        <w:jc w:val="both"/>
        <w:rPr>
          <w:rFonts w:ascii="Times New Roman" w:hAnsi="Times New Roman"/>
          <w:color w:val="000000" w:themeColor="text1"/>
          <w:sz w:val="16"/>
          <w:szCs w:val="16"/>
        </w:rPr>
      </w:pPr>
    </w:p>
    <w:p w14:paraId="691CEA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года со стороны ПУРККА в Осконбюро ВВС поступил заказ на объекты ТСП (технические средства пропаганды). К концу февраля 1932 года бюро был составлен план реализации указанных объектов, причем бюро оговаривало обязательность своевременного получения предусмотренных сметой сумм и неизбежность невыполнения сроков плана в случае задержки в поступлении денег(7470, 331-334).</w:t>
      </w:r>
    </w:p>
    <w:p w14:paraId="156BF0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FB8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СТО скорректировал план развития мощностей заводов ГУАП, утвержденный СТО 11 января 1932 (2329).</w:t>
      </w:r>
    </w:p>
    <w:p w14:paraId="14496C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CBD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 вышло постановление СТО за N 101/46сс:</w:t>
      </w:r>
    </w:p>
    <w:p w14:paraId="2A5D3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ГУАП довести годовую мощность моторостроительного завода N 26 до 10000 моторов М-17 в год к 1.01.33 г.</w:t>
      </w:r>
    </w:p>
    <w:p w14:paraId="550CD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1.01.33 г. доведено в основном по оборудованию до 7200 моторов.</w:t>
      </w:r>
    </w:p>
    <w:p w14:paraId="69CCF1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ГУАП довести годовую мощность моторостроительного завода N 24 до 15000 моторов М34 в год к 1.01.33 г.</w:t>
      </w:r>
    </w:p>
    <w:p w14:paraId="765AE7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1.01.33 г. доведено до 2400 моторов.</w:t>
      </w:r>
    </w:p>
    <w:p w14:paraId="185E5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в 1933 г. сокращено из-за нецелесообразности, т.к. не будет получено импортного оборудования.</w:t>
      </w:r>
    </w:p>
    <w:p w14:paraId="75FF4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Обязать ГУАП довести годовую мощность моторостроительного завода N 29 до 6000 моторов М11 в год к 1.01.33 г.</w:t>
      </w:r>
    </w:p>
    <w:p w14:paraId="5DD900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1.01.33 г. доведено до 4500 моторов в год.</w:t>
      </w:r>
    </w:p>
    <w:p w14:paraId="68E351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Обязать ГУАП довести годовую мощность моторостроительного завода N 19 до 6000 моторов М22 в год к 1.01.33 г.</w:t>
      </w:r>
    </w:p>
    <w:p w14:paraId="73C156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1.01.33 г. не выполнено ничего.</w:t>
      </w:r>
    </w:p>
    <w:p w14:paraId="5B101D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Обязать ГУАП довести годовую мощность самолетостроительного завода N 22 до 600 самолетов ТБ3 в год к 1.01.33 г.</w:t>
      </w:r>
    </w:p>
    <w:p w14:paraId="143EED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1.01.33 г. доведено до 500 самолетов.</w:t>
      </w:r>
    </w:p>
    <w:p w14:paraId="4D3B6A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Обязать ГУАП довести годовую мощность самолетостроительного завода N 18 до 1500 самолетов ТБ3 в год к 1.01.33 г.</w:t>
      </w:r>
    </w:p>
    <w:p w14:paraId="7B83E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1.01.33 г. доведено до 200 самолетов годовой мощности.</w:t>
      </w:r>
    </w:p>
    <w:p w14:paraId="0D745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Обязать ГУАП довести годовую мощность самолетостроительного завода в Казани до 1200 самолетов в год к 1.01.33 г.</w:t>
      </w:r>
    </w:p>
    <w:p w14:paraId="42F57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1.01.33 г. строительство этого завода только в основном начато и будет продолжаться в небольшом объеме из-за отсутствия средств (3082).</w:t>
      </w:r>
    </w:p>
    <w:p w14:paraId="5D43C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8A5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СТО принял постановление о создании в Казани мощного авиакомбината для выпуска тяжелых самолетов (505,93).</w:t>
      </w:r>
    </w:p>
    <w:p w14:paraId="3374F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Планировался Авиакомбинат в составе:</w:t>
      </w:r>
    </w:p>
    <w:p w14:paraId="2A20B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Самолетного завода проектной мощностью 2400 типа ТБ-3</w:t>
      </w:r>
    </w:p>
    <w:p w14:paraId="444E3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Моторного завода мощностью 25 тыс.</w:t>
      </w:r>
    </w:p>
    <w:p w14:paraId="082EE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Завода карбюраторов</w:t>
      </w:r>
    </w:p>
    <w:p w14:paraId="096AA2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Завода винтов и лыж</w:t>
      </w:r>
    </w:p>
    <w:p w14:paraId="5ADA71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завода вооружений</w:t>
      </w:r>
    </w:p>
    <w:p w14:paraId="09536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Гидродрома</w:t>
      </w:r>
    </w:p>
    <w:p w14:paraId="5EC407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ТЭЦ мощностью 1500 Кватт</w:t>
      </w:r>
    </w:p>
    <w:p w14:paraId="21734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Водозабора и водоводов</w:t>
      </w:r>
    </w:p>
    <w:p w14:paraId="5F47D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Соцгородка на 350 тыс. (2366,177).</w:t>
      </w:r>
    </w:p>
    <w:p w14:paraId="613A4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F60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года вышло решение Совета Труда и Обороны о создании в городе Казани Авиационного комбината и 20 апреля 1932 года приказом по Наркомату Тяжелой промышленности за №233 от было организовано «Специальное строительное управление по сооружению Авиационного комбината №124» (5764,36).</w:t>
      </w:r>
    </w:p>
    <w:p w14:paraId="3EACC5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0EC2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 вышло постановление СТО о строительстве в Казани, с центром в селе Караваево, авиакомбината мощностью в 2400 самолетов ТБ-3 и 20000 моторов М-34 (или «Кертисс-Конкверор») в год. Напомним читателю, что всего в 1932 г. в СССР выпустили 2509 самолетов.</w:t>
      </w:r>
    </w:p>
    <w:p w14:paraId="224E7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апреле, на пленуме Техсовета ГУАП был утвержден проект специалистов Гипроавиапрома по строительству в Казани «самолетостроительного завода с выпуском машин типа АНТ-4/АНТ-6, моторного завода с выпуском двигателей типа «Кертисс-Конкверор», теплоэлектроцентрали ТЭЦ-2, водозабора, двух вспомогательных заводов по производству самолетных лыж и запасных частей к изделиям, поселка Соцгород на 350 тысяч человек» (здесь и далее в цитатах в основном сохраняется стиль и орфография документов - авт.). Выгодность расположения будущего промышленного гиганта была очевидна. Рядом проходили магистральные железнодорожные и водные пути. Предполагалось построить пятнадцать основных цехов.</w:t>
      </w:r>
    </w:p>
    <w:p w14:paraId="36CCF2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сумма стоимости комбината оценивалась в 300 млн. рублей, что равнялось затратам на сооружение Магнитогорского гиганта, и вдвое превышала бюджет Горьковского автозавода. Предполагалось, что работников авиазаводов будет в два раза больше, чем жителей во всей Казани.</w:t>
      </w:r>
    </w:p>
    <w:p w14:paraId="6F8177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апреля в приказе НКТП, подписанном наркомом Серго Орджоникидзе, говорится об организации специального строительного треста для производства строительных и монтажных работ по сооружению авиакомбината № 124. Начальником «Казавиастроя» назначается Кузнецов Кузьма Дмитриевич, бывший до этого партийным работником на Горьковском автозаводе. Первым директором завода назначили тов. Ситникова. Инициалы его, к сожалению, в доступных документах не сохранились.</w:t>
      </w:r>
    </w:p>
    <w:p w14:paraId="54D005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только ни называли тогдашнюю «Стройку века» - Казавиастрой, Казавиакомбинат, Казмашстрой, Казмашстройкомбинат... Трудности, с которыми пришлось столкнуться первому руководству завода, явились естественным результатом ударных темпов подготовки к строительству. Отсутствовали проекты и сметы, не было строительных механизмов, не хватало воды и электричества. Дефицитные материалы, такие, как железо, гвозди, кровельный материал, трубы и многое другое, обеспечивались в первую очередь за счет внеплановой заготовки стройматериалов.</w:t>
      </w:r>
    </w:p>
    <w:p w14:paraId="4B7710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Вот вам и плановое строительство! Принимаются решения и постановления, а реального ничего нет, кроме «голого» энтузиазма населения в период насильственной коллективизации и надвигающегося Великого голода. По воспоминаниям Маршева Н.Д., заместителя начальника строительства, секретарь Татарского обкома партии Разумов М.И. так и отвечал Иосифу Виссарионовичу в разговоре по поводу авиакомбината:</w:t>
      </w:r>
    </w:p>
    <w:p w14:paraId="31BFB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Вы хотите, товарищ Разумов, строить у себя авиазавод?</w:t>
      </w:r>
    </w:p>
    <w:p w14:paraId="23A15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Да, хотим, товарищ Сталин.</w:t>
      </w:r>
    </w:p>
    <w:p w14:paraId="0098B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всё ли у вас, в Татарии, для этого есть? Как, например, обстоят дела с кадрами строителей?</w:t>
      </w:r>
    </w:p>
    <w:p w14:paraId="7DFA1C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Таких кадров пока нет.</w:t>
      </w:r>
    </w:p>
    <w:p w14:paraId="7F18F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дорожная сеть у вас хорошо развита?</w:t>
      </w:r>
    </w:p>
    <w:p w14:paraId="7AC0DC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дорогами плоховато, товарищ Сталин.</w:t>
      </w:r>
    </w:p>
    <w:p w14:paraId="53E97B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на счет строительного материала как?</w:t>
      </w:r>
    </w:p>
    <w:p w14:paraId="3F223F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Это у нас найдется, надо только руки приложить.</w:t>
      </w:r>
    </w:p>
    <w:p w14:paraId="1FE3FC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как с жильем?</w:t>
      </w:r>
    </w:p>
    <w:p w14:paraId="086C5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Плохо.</w:t>
      </w:r>
    </w:p>
    <w:p w14:paraId="3E6642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с электроэнергией? Ведь у вас на всю Казань имеется только одна электростанция на Булаке, мощность которой составляет всего лишь 5 тысяч киловатт.</w:t>
      </w:r>
    </w:p>
    <w:p w14:paraId="740DB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Правильно, товарищ Сталин, тут дела пока тоже плохи, но мы заложили в 1929 году. ТЭЦ-1, которая должна вскоре вступить в строй.</w:t>
      </w:r>
    </w:p>
    <w:p w14:paraId="4DBBF8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 с водой, вероятно, плохо?</w:t>
      </w:r>
    </w:p>
    <w:p w14:paraId="3F3A9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Плохо.</w:t>
      </w:r>
    </w:p>
    <w:p w14:paraId="46B069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 наконец, есть ли у вас какой-либо опыт больших новостроек?</w:t>
      </w:r>
    </w:p>
    <w:p w14:paraId="78D718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Нет ? отвечал Разумов.</w:t>
      </w:r>
    </w:p>
    <w:p w14:paraId="6ECC9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Так что же у вас, в конце концов, есть для того, чтобы осуществить такую грандиозную стройку?</w:t>
      </w:r>
    </w:p>
    <w:p w14:paraId="3A8FC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У нас, товарищ Сталин, есть совесть и честь татарского народа и на это мы очень и очень рассчитываем. Отправляясь к Вам, меня просили передать, что народ Татарии гордится доверием партии и правительства и ничего не пожалеет для того, чтобы на полях Республики воздвигнуть авиационный комбинат.</w:t>
      </w:r>
    </w:p>
    <w:p w14:paraId="39F981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Ну что ж, тогда давайте, стройте... - сказал мудрый вождь.</w:t>
      </w:r>
    </w:p>
    <w:p w14:paraId="33FBD1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праздничный день 2 мая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5EAF3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03B07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23E55F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318E01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2FE22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130E5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27349C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286375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0A9A8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650C87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2CBC0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DD30E9" w14:textId="4C051A64" w:rsidR="00075CBB" w:rsidRPr="00E93F40" w:rsidRDefault="00075CB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 вышло постановление правительства о строительстве завода № 125 им. Сталина.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Строительная площадка находилась на берегу Ангары, в 7 км от Иркутска (18304).</w:t>
      </w:r>
    </w:p>
    <w:p w14:paraId="74AA38D4" w14:textId="77777777" w:rsidR="00075CBB" w:rsidRPr="00E93F40" w:rsidRDefault="00075CBB" w:rsidP="00E93F40">
      <w:pPr>
        <w:spacing w:after="0" w:line="240" w:lineRule="auto"/>
        <w:jc w:val="both"/>
        <w:rPr>
          <w:rFonts w:ascii="Times New Roman" w:hAnsi="Times New Roman"/>
          <w:color w:val="000000" w:themeColor="text1"/>
          <w:sz w:val="16"/>
          <w:szCs w:val="16"/>
        </w:rPr>
      </w:pPr>
    </w:p>
    <w:p w14:paraId="41530338" w14:textId="6FA0515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16 февраля 1932 г. постановлением правительства в пос. Инокентьевского, станция Иннокентьевская (далее- пос. Ленино) возле Иркутска начал строиться авиационный завод (Завод № 125 им. Сталина НКТП, НКОП, НКАП /г. Иркутск/ /Московское представительство: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Москва ул. Разина, 20 (1938 г.)/). Основан 28.03.1932 г.</w:t>
      </w:r>
      <w:r w:rsidRPr="00E93F40">
        <w:rPr>
          <w:rFonts w:ascii="Times New Roman" w:hAnsi="Times New Roman"/>
          <w:color w:val="000000" w:themeColor="text1"/>
          <w:sz w:val="16"/>
          <w:szCs w:val="16"/>
          <w:vertAlign w:val="superscript"/>
        </w:rPr>
        <w:t>69</w:t>
      </w:r>
      <w:r w:rsidRPr="00E93F40">
        <w:rPr>
          <w:rFonts w:ascii="Times New Roman" w:hAnsi="Times New Roman"/>
          <w:color w:val="000000" w:themeColor="text1"/>
          <w:sz w:val="16"/>
          <w:szCs w:val="16"/>
        </w:rPr>
        <w:t xml:space="preserve"> в ведении самолетного треста ГУАП НКТП. Частично вступил в строй 24.08.1934 г., в 02.1937-12.193 8 г. - в ведении 1ГУ НКОП.</w:t>
      </w:r>
    </w:p>
    <w:p w14:paraId="28AF4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0032 от 8.02.1937 г. заводу предписано в 1937 г. сдать в эксплуатацию два пролета главного корпуса и ангар. По пр. № 247с от 14/15.07.1938 г. к 10.08.1938 г. требовалось закончить проектирование гл. корпуса (ГПИ-1); на площадях строящегося корпуса № 2 (моторный цех) временно организовать производство шасси и моторам. В 1938 г. начато строительство бетонной ВПП, но до начала войны оно не было закончено. В конце 1940 г. завод еще строился. К 1941 г. завод занимал территорию 40,5 га, включая аэродром. Производственные площади- 25.158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Имелись основной корпус, сборочный. 852 единицы оборудования. По пр. № 67с от 21/23.02.1938 г. заводу передан (по состоянию на 1.03.1938 г.) кирпичный завод, принадлежавший «Востсибэлементу» ( г. Усолье).</w:t>
      </w:r>
    </w:p>
    <w:p w14:paraId="67FF4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1939 г. проектная мощность завода составляла 700 СБ в год.</w:t>
      </w:r>
    </w:p>
    <w:p w14:paraId="4857D7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262сс от 22.03.1941 г. завод передан в ЮГУ НКАП.</w:t>
      </w:r>
    </w:p>
    <w:p w14:paraId="6CECC4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628с от 5.07.1941 г. завод № 99 ( г. Улан-Удэ) преобразован в филиал завода № 125 НКАП. Начальник филиала- И.М. Барышев.</w:t>
      </w:r>
    </w:p>
    <w:p w14:paraId="523671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02.1941 г. начато освоение выпука Пе-2. План производства на 1941 г.: 250 Пе-2. Пост. ГКО № 566 от 23.08.1941 г. заводу поручено производство упрощенного Пе-2. 23.09.1941 г. вновь вышло постановление ГКО № 707 о производстве Пе-2 на заводе.</w:t>
      </w:r>
    </w:p>
    <w:p w14:paraId="0DA5ED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соответствии с пост. Совета эвакуации № 14323сс 10.1941 г. на площадку завода № 125 НКАП ЮГУ эвакуирован завод № 39 ЮГУ. В соответствии с пост. ГКО № 996с от 6.12.1941 г. и приказом </w:t>
      </w:r>
      <w:r w:rsidRPr="00E93F40">
        <w:rPr>
          <w:rFonts w:ascii="Times New Roman" w:hAnsi="Times New Roman"/>
          <w:color w:val="000000" w:themeColor="text1"/>
          <w:sz w:val="16"/>
          <w:szCs w:val="16"/>
          <w:lang w:val="en-US"/>
        </w:rPr>
        <w:t>HKAII</w:t>
      </w:r>
      <w:r w:rsidRPr="00E93F40">
        <w:rPr>
          <w:rFonts w:ascii="Times New Roman" w:hAnsi="Times New Roman"/>
          <w:color w:val="000000" w:themeColor="text1"/>
          <w:sz w:val="16"/>
          <w:szCs w:val="16"/>
        </w:rPr>
        <w:t xml:space="preserve"> № 1139с от 8.12.1941 г. завод № 39 объединен с заводом № 125 с образованием единого завода № 39 НКАП. Выбыл из состава действующих с 11.1941 г.</w:t>
      </w:r>
    </w:p>
    <w:p w14:paraId="318956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1941 г. на площадку завода № 125 эвакуировано ОКБ-240 Ермолаева. Работы по самолету СРГ-2 с М-40Ф.</w:t>
      </w:r>
    </w:p>
    <w:p w14:paraId="7CCA5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(11.1940 г.)- 529 металлорежущих станков.</w:t>
      </w:r>
    </w:p>
    <w:p w14:paraId="78D30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(1.01.1941 г.)- 7369 чел.</w:t>
      </w:r>
    </w:p>
    <w:p w14:paraId="51BDA10B" w14:textId="691B62D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(-06-20.12.1937 г.)- А. Г. Горелш (снят); и.о. (30.12.1937 г.-)- Ю.В. Колганов; (8.02-07.1938 г.-)- И.С. Левин, (06.1940-10.1941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 И.Б. Иосилович.</w:t>
      </w:r>
    </w:p>
    <w:p w14:paraId="72D7FE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(06.1937 г.)- Ю.В. Колганов; по капстроительству (8.03-21.11.1938 г.)- М.М. Верховский (снят), (27.11.1938 г.-)- Н.В. Островский. Помощник директора по найму и увольнению рабочей силы (-1.02.1937 г.)- К.М. Аниканов, (8.03.1938 г.-)- Р.С. Карабач.</w:t>
      </w:r>
    </w:p>
    <w:p w14:paraId="6344E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(10.07.1938 г.-)- В.Т. Редин.</w:t>
      </w:r>
    </w:p>
    <w:p w14:paraId="663E5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(06.1937 г.)- Ю.В. Колганов.</w:t>
      </w:r>
      <w:r w:rsidRPr="00E93F40">
        <w:rPr>
          <w:rFonts w:ascii="Times New Roman" w:hAnsi="Times New Roman"/>
          <w:color w:val="000000" w:themeColor="text1"/>
          <w:sz w:val="16"/>
          <w:szCs w:val="16"/>
          <w:vertAlign w:val="superscript"/>
        </w:rPr>
        <w:t>139</w:t>
      </w:r>
    </w:p>
    <w:p w14:paraId="004A5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Летчики-испытатели: (02.1941 г.-)- Щ.Б. Бидзинашвили.</w:t>
      </w:r>
    </w:p>
    <w:p w14:paraId="40417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самолеты: ИП-1 (1936-37)- 90, И-14 (1936-37)- 18, СБ (1937-41)- 1136, Пе-2 (1941)- 144 (11982).</w:t>
      </w:r>
    </w:p>
    <w:p w14:paraId="2B080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675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Арткомитет принял решение об испытаниях 7 ШКАС (1023,48).</w:t>
      </w:r>
    </w:p>
    <w:p w14:paraId="0DDBE4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D6366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FF3133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343AF5" w14:textId="47EE3F5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 по приказу Всесоюзного орудийно-арсенального объединения от танковый цех завода «Большевик» (вероятно, вместе с ОКМО) выделен в самостоятельный Ленинградский машиностроительный завод им. Ворошилова (Государственный Завод № 174 им. К.Е. Ворошилова НКОП, НКСМ, Ленинградский машиностроительный завод им. К.Е. Ворошилова НКТП, НКМ, и/я 13, Ордена Трудового Красного Знамени ленинградский государственный завод № 174 НКТП, Завод им. Октябрьской революции, ПО «Завод транспортного машиностроения им. Октябрьской революции», ФГУП «ПО «Омский завод транспортного машиностроения» («Омсктрансмаш») ФАП /г. Ленинград;</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Чкалов;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Омск/ /644020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Омск ул. Красный переулок, 2 тел. 44-61-13/), в 10.1932 г. вошел в состав Спецмаштреста НКТП. По пр. НКОП № Обсс от 30.12.1936 г. переименован в завод № 174 им. Ворошилова. По пр. № 09с от 23.01.1937 г. завод передан в ведение 8ГУ НКОП, Устав завода утвержден приказом № 52 от 4.02.1937 г. В 1939 г. завод № 174 8ГУ передан в ведение вновь образованного НКСМ, в 1940 г. - в ведении Главспецмаша НКСМ. В 09.1941 г. вошел в состав НКТП.</w:t>
      </w:r>
    </w:p>
    <w:p w14:paraId="0DC6A2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11.1936 г. начат серийный выпуск танка Т-46, но было построено только 4 шт., в начале 1937 г. работы по нему прекращены.</w:t>
      </w:r>
    </w:p>
    <w:p w14:paraId="18454B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(04.1937 г.): цехи: литейный, модельный, механический, холодной штамповки, термический, монтажно-сборочный; испытательная станция. По пр. № 0081 от 14.04.1937 г. организован экспериментальный цех. По пр. № 292с от 7.08.1938 г. необходимо было сдать в 1938 г. в эксплуатацию: формовочное, обрубное и плавильное отделения цеха цветного литья; цех холодной штамповки; компрессорную, трансформаторные подстанции, ацетилено-кислородную станцию.</w:t>
      </w:r>
    </w:p>
    <w:p w14:paraId="356BBD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Имелся двигательный отдел завода, в 1936 г. здесь проведены работы по форсированию двигателя для Т-26. Имелся двигательный участок завода. В 07.1941 г. велась подготовка к производству танкового дизеля Д-744.</w:t>
      </w:r>
    </w:p>
    <w:p w14:paraId="01540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50сс от 4/9.02.1938 г. заводу поручено к 20.07.1938 г. выпустить 5 Т-26 с экранированными корпусами. Приказом № 335сс от 21.08.1938 г. были определены варианты изготовления Т-26: в 1938 г.: химический; в 1939 г.: усовершенствованный, химический, арттанк с 76-мм пушкой Л-10, с оборудованием для подводного хождения. Этим же приказом Т-46 был снят с производства.</w:t>
      </w:r>
    </w:p>
    <w:p w14:paraId="0FBBB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1940 г. группе И. Савина (бывшего завода № 185) поручено разработать башню с зенитным автоматом для танков Т-126 и Т-34 со сроком I квартал 1941 г.</w:t>
      </w:r>
    </w:p>
    <w:p w14:paraId="30A8B9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соответствии с пост, правительства от 12.04.1941 г. на заводе с 1.07.1941 г. запускался в серию танк Т-50 с выпуском к 1.10.1941 г. 25 машин. В </w:t>
      </w:r>
      <w:r w:rsidRPr="00E93F40">
        <w:rPr>
          <w:rFonts w:ascii="Times New Roman" w:hAnsi="Times New Roman"/>
          <w:color w:val="000000" w:themeColor="text1"/>
          <w:sz w:val="16"/>
          <w:szCs w:val="16"/>
          <w:lang w:val="en-US"/>
        </w:rPr>
        <w:t>IV</w:t>
      </w:r>
      <w:r w:rsidRPr="00E93F40">
        <w:rPr>
          <w:rFonts w:ascii="Times New Roman" w:hAnsi="Times New Roman"/>
          <w:color w:val="000000" w:themeColor="text1"/>
          <w:sz w:val="16"/>
          <w:szCs w:val="16"/>
        </w:rPr>
        <w:t>-м квартале 1941 г. для него планировалось пустить 1-ю очередь нового конвейера.</w:t>
      </w:r>
    </w:p>
    <w:p w14:paraId="53F0F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СНК от 21.06.1941 г. начато производство БМ-13.</w:t>
      </w:r>
    </w:p>
    <w:p w14:paraId="5E98AC0A" w14:textId="013873D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99сс от 11.07.1941 г. Ордена Трудового Красного Знамени ленинградский государственный завод № 174 подлежал эвакуации на площадку ЧТЗ (туда была вывезена часть оборудования и задел танковых дизелей В-4). В 08.1941 г. завод частично эвакуирован (большая часть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Чкалов, а так же в Нижний Тагил и Челябинск). Двигательное производство эвакуировано в Барнаул, где создан завод № 77.</w:t>
      </w:r>
      <w:r w:rsidRPr="00E93F40">
        <w:rPr>
          <w:rFonts w:ascii="Times New Roman" w:hAnsi="Times New Roman"/>
          <w:color w:val="000000" w:themeColor="text1"/>
          <w:sz w:val="16"/>
          <w:szCs w:val="16"/>
          <w:vertAlign w:val="superscript"/>
        </w:rPr>
        <w:t xml:space="preserve">128 </w:t>
      </w:r>
      <w:r w:rsidRPr="00E93F40">
        <w:rPr>
          <w:rFonts w:ascii="Times New Roman" w:hAnsi="Times New Roman"/>
          <w:color w:val="000000" w:themeColor="text1"/>
          <w:sz w:val="16"/>
          <w:szCs w:val="16"/>
        </w:rPr>
        <w:t>Также Завод № 174 продолжал действовать в Ленинграде в 07.1942 г., затем, вероятно, эвакуирован.</w:t>
      </w:r>
      <w:r w:rsidRPr="00E93F40">
        <w:rPr>
          <w:rFonts w:ascii="Times New Roman" w:hAnsi="Times New Roman"/>
          <w:color w:val="000000" w:themeColor="text1"/>
          <w:sz w:val="16"/>
          <w:szCs w:val="16"/>
          <w:vertAlign w:val="superscript"/>
        </w:rPr>
        <w:t>63</w:t>
      </w:r>
    </w:p>
    <w:p w14:paraId="220CF2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месте эвакуированного завода в Ленинграде в 1945 г. создан завод № 800 НКТП.</w:t>
      </w:r>
      <w:r w:rsidRPr="00E93F40">
        <w:rPr>
          <w:rFonts w:ascii="Times New Roman" w:hAnsi="Times New Roman"/>
          <w:color w:val="000000" w:themeColor="text1"/>
          <w:sz w:val="16"/>
          <w:szCs w:val="16"/>
          <w:vertAlign w:val="superscript"/>
        </w:rPr>
        <w:t>131</w:t>
      </w:r>
    </w:p>
    <w:p w14:paraId="65BEC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03.1942 г. завод № 174 перебазируется из Чкалова, куда был первоначально эвакуирован, в Омск на площадку завода № 173 НКТП. Вместе с коллективом этого предприятия в Омск прибыла часть рабочих и служащих Великолукского паровозоремонтного завода. В результате был создан единый завод № 174 НКТП.</w:t>
      </w:r>
    </w:p>
    <w:p w14:paraId="623B9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пост.ениями ГКО № 1410 от 7.03.1942 г. и № 2120 от 28.07.1942 г. на заводе организовано производство танка Т-34 со сроком выпуска первого танка к 1.10.1942 г. 16.08.1942 г. вышло постановление ГКО № 2176 о строительстве двух электропечей на заводе, 23.09.1942 г. - постановление ГКО № 2334 о мерах помощи заводу для обеспечения выпуска Т-34. 13.01.1945 г. вышло постановление ГКО № 7313 о завершении строительства заготовительных цехов завода.</w:t>
      </w:r>
    </w:p>
    <w:p w14:paraId="224C2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ПСМ№438-194сс от 15.03.1954 г. СУ-122 пнв.</w:t>
      </w:r>
    </w:p>
    <w:p w14:paraId="5F77D948" w14:textId="29A05D3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 г. завод получил наименование «предприятие - п/я 13», а в 1965 г.- Завод им. Октябрьской революции. 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ведении Управления точного машиностроения Западно-Сибирского совнархоза.</w:t>
      </w:r>
    </w:p>
    <w:p w14:paraId="13D79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Распоряжением СМ СССР № 890 от 21.03.1958 г. ОГК завода преобразован в самостоятельное ОКБ-174.</w:t>
      </w:r>
    </w:p>
    <w:p w14:paraId="50C1ACD6" w14:textId="3B7740A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имел 18 производственных цехов, 14 вспомогательных и продолжал строиться. В 1970-е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проведена коренная реконструкция завода. Начато производство Т-80.</w:t>
      </w:r>
    </w:p>
    <w:p w14:paraId="31107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1988 г. завод объединился с КБ, образовав ПО «Завод транспортного машиностроения им. Октябрьской революции». В 2000 г. предприятие переименовано в ГУП «Омский завод транспортного машиностроения».</w:t>
      </w:r>
    </w:p>
    <w:p w14:paraId="5EBB8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изготовлен коцептуальный образец танка нового поколения «Черный орел».</w:t>
      </w:r>
    </w:p>
    <w:p w14:paraId="5A5B8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Правительства № 953 от 12.1992 г. на заводе освоено производство тракторов. В 1998 г. производство танков на заводе остановлено.</w:t>
      </w:r>
    </w:p>
    <w:p w14:paraId="04004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2002 г. начата процедура банкротства, на предприятии введено внешнее управление, в 04.2005 г.- конкурсное производство. В 2006 г. действовало 3 цеха. В 2008 г. предприятие являлось банкротом.</w:t>
      </w:r>
    </w:p>
    <w:p w14:paraId="18EAC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1D2A2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2005 г. действовало дочернее предприятие- «Омсквагонзавод». В начале 2007 г. принято решение ВПК по преобразованию завода в ремонтно-модернизационный центр, в который также должно войти КБТМ. Основной задачей РМЦ станет ремонт и модернизация танков Т-55, Т-62 и Т-80.</w:t>
      </w:r>
    </w:p>
    <w:p w14:paraId="08B94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Производственные площади (ВОВ)-113 тыс.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4718B6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(15.09.1964 г.)- 12.532 чел.</w:t>
      </w:r>
      <w:r w:rsidRPr="00E93F40">
        <w:rPr>
          <w:rFonts w:ascii="Times New Roman" w:hAnsi="Times New Roman"/>
          <w:color w:val="000000" w:themeColor="text1"/>
          <w:sz w:val="16"/>
          <w:szCs w:val="16"/>
          <w:vertAlign w:val="superscript"/>
        </w:rPr>
        <w:t>80</w:t>
      </w:r>
      <w:r w:rsidRPr="00E93F40">
        <w:rPr>
          <w:rFonts w:ascii="Times New Roman" w:hAnsi="Times New Roman"/>
          <w:color w:val="000000" w:themeColor="text1"/>
          <w:sz w:val="16"/>
          <w:szCs w:val="16"/>
        </w:rPr>
        <w:t>, (2005 г.)- 3600 чел.</w:t>
      </w:r>
    </w:p>
    <w:p w14:paraId="1A1A6F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(-01-23.06.1937 г.)- А.Л. Дюфур, (23.06.1937-27.07.1938 г.)- Н.С. Казаков, (29.07.1938 г.-)- А.И. Алексеев, (1940 г.)- Маркин, (06.1942 г.)- Кацнельсон. Гендиректор (2000-е)- А.М. Вишняков. Внешний управляющий (-11.2005 г.)- В. Харитонов (осужден).</w:t>
      </w:r>
    </w:p>
    <w:p w14:paraId="034255C5" w14:textId="15BE41F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(20.05.1938 г.-)- Н.Ф. Зубков; по ПВО и охране (5.11.1938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 Арапов. Помощник директора по найму и увольнению (9.08.1937 г.-)- Ф.Е. Бобров.</w:t>
      </w:r>
    </w:p>
    <w:p w14:paraId="22E109EF" w14:textId="6689717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(-5.04.1937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 Гутман, (5.04.1937 г.-)- В.О. Аранович, (20.05-17.12.1938 г.)- Н.Ф. Зубков, (17.12.1938 г.-)- А.С. Овсянников, (1940 г.)- Засовенко, (2001 г.)- А. Аполлонов.</w:t>
      </w:r>
    </w:p>
    <w:p w14:paraId="2E46E57A" w14:textId="41EC4A4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инженера (5.04.1937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 Гутман.</w:t>
      </w:r>
    </w:p>
    <w:p w14:paraId="70DE47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Гл. конструктор (1940 г.)- С. Гинзбург, (1941 г.)- Л.С. Троянов (Т-50).</w:t>
      </w:r>
    </w:p>
    <w:p w14:paraId="1A5772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оборудования (-08.1938 г.)- Быков.</w:t>
      </w:r>
    </w:p>
    <w:p w14:paraId="27D11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отдела: оборудования (-02.1938 г.)- Ф.Д. Кодолов.</w:t>
      </w:r>
    </w:p>
    <w:p w14:paraId="1BFD2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танки: Т-26 (1932-41-), Т-46 (1936-38)- 4, Т-50 (1941-42-)- около 50 (1941), Т-34 (1942-44-)- 3927 (всего 6900), Т-44, Т-54 («объект 137», 1947-49)- 39 (1949), Т-55А (-1964-65-)- 1130 (в 1964-65 г.), Т-55ПС (1950-е-70-е), Т-80Б (1979-), Т-80БК (1990-), Т-80У (1991-98), Т-80УК (1995-98), Т-80УМ1 «Барс» (изд. 219АС-</w:t>
      </w:r>
      <w:r w:rsidRPr="00E93F40">
        <w:rPr>
          <w:rFonts w:ascii="Times New Roman" w:hAnsi="Times New Roman"/>
          <w:color w:val="000000" w:themeColor="text1"/>
          <w:sz w:val="16"/>
          <w:szCs w:val="16"/>
          <w:lang w:val="en-US"/>
        </w:rPr>
        <w:t>Ml</w:t>
      </w:r>
      <w:r w:rsidRPr="00E93F40">
        <w:rPr>
          <w:rFonts w:ascii="Times New Roman" w:hAnsi="Times New Roman"/>
          <w:color w:val="000000" w:themeColor="text1"/>
          <w:sz w:val="16"/>
          <w:szCs w:val="16"/>
        </w:rPr>
        <w:t>); САУ: СУ-100, СУ-122, ЗСУ-57-2 (1950-е-70-е); бронетранспортер БТР-Т; инженерные машины ИМР-1, БРЭМ-80У, ТММ-6; мостоукладчики МТУ-20, МТУ-72 (1950-е-70-е); спецкраны для РВСН 8Т-25, 8Т-26; танковый дизель В-4 (07.1941); модернизация танков Т-55 (1990-е); корпуса снарядов: ОС-122 - более 1 млн.; БМ-13 - 300 тыс. (ВОВ);</w:t>
      </w:r>
    </w:p>
    <w:p w14:paraId="592368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угледобывающие комбайны УКМ, ГКМ-4 (1945-48); тракторы ЗТМ-60Л, ЗТМ-80, ЗТМ-62Л, ЗТМ-82 (2004), экскаваторы ЭО-2621 (1993-2004-), траншеекопатель (1999-); бурильные машины БМ-221, гидромолот ГПМ-150, картофелекопатель КПТ, снегоочистители УМ-70, УМ-75, погрузчик ПФ-1, (2004), машина МЗС-219 для установки винтовых анкерных свай (2000-е); стиральные машины Омь-1,5, 0мь-2,0 (1989-); задвижки клиновые для нефтегазопроводов; шахтная монтажная лебедка, шахтный конвейер.</w:t>
      </w:r>
    </w:p>
    <w:p w14:paraId="3E68B7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апреля 1937 г. Приказом № 0081 на ЦКБ завода № 174 возложен выпуск серийных чертежей выпускаемых заводом машин, экспериментальная работа и усовершенствования. Этим же приказом предписано довести штат ЦКБ до 100 чел., закончив его комплектование в трехмесячный срок.</w:t>
      </w:r>
      <w:r w:rsidRPr="00E93F40">
        <w:rPr>
          <w:rFonts w:ascii="Times New Roman" w:hAnsi="Times New Roman"/>
          <w:color w:val="000000" w:themeColor="text1"/>
          <w:sz w:val="16"/>
          <w:szCs w:val="16"/>
          <w:vertAlign w:val="superscript"/>
        </w:rPr>
        <w:t>139</w:t>
      </w:r>
    </w:p>
    <w:p w14:paraId="5245D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КБ-2 завода № 174</w:t>
      </w:r>
    </w:p>
    <w:p w14:paraId="5D6B3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 г. начата разработка модернизированного Т-26-1 («126»). В 1940 г. после объединения заводов № 185 и № 174 продолжены работы по танку Т-26-5 «СП», получившего наименование «проект 126». В 08.1940 г. построен опытный Т-126.</w:t>
      </w:r>
    </w:p>
    <w:p w14:paraId="757F3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велась разработка облегченного варианта «126» - танка «127» (Голтвянский). В 12.1940 г. разработан проект улучшенного варианта Т-126 - «объект 135» (Т-50), в начале 1941 г. изготовлен опытный образец, в 02.1941 г. Т-50 пнв. Перед войной велись работы по модернизированному Т-50-2 (Т-135-2) с 57-мм пушкой.</w:t>
      </w:r>
    </w:p>
    <w:p w14:paraId="2D78E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Руководитель группы: (1940 г.)- </w:t>
      </w:r>
      <w:r w:rsidRPr="00E93F40">
        <w:rPr>
          <w:rFonts w:ascii="Times New Roman" w:hAnsi="Times New Roman"/>
          <w:color w:val="000000" w:themeColor="text1"/>
          <w:sz w:val="16"/>
          <w:szCs w:val="16"/>
          <w:lang w:val="en-US"/>
        </w:rPr>
        <w:t>JI</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Троянов.</w:t>
      </w:r>
    </w:p>
    <w:p w14:paraId="119CFEA9" w14:textId="73A7388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Объединенное КБ (ОКБ)-174, ФГУП «КБ транспортного машиностроения» /644020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Омск Красный пер., 2 тел. 41-85-13/</w:t>
      </w:r>
    </w:p>
    <w:p w14:paraId="4EE25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ОКБ-174 создано в соответствии с распоряжением СМ СССР № 890 от 21.03.1958 г. на базе ОГК завода № 174 для конструкторских работ по танковой технике, зенитным самоходным установкам и специальным подвижным реактивным комплексам. Одновременно осуществляло конструкторское сопровождение серийного производства танков Т-54, Т-55, Т-80.</w:t>
      </w:r>
    </w:p>
    <w:p w14:paraId="5D385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Разработаны новые модификации танков (Т-55М, командирский Т-80, Т-80У), установка реактивного вооружения для танка Т-54А. Разработана танковая гусеница с резинометаллическим шарниром. Велись работы над повышением защиты танков Т-54Б от радиации, экранной защитой танков от кумулятивных боеприпасов.</w:t>
      </w:r>
      <w:r w:rsidRPr="00E93F40">
        <w:rPr>
          <w:rFonts w:ascii="Times New Roman" w:hAnsi="Times New Roman"/>
          <w:color w:val="000000" w:themeColor="text1"/>
          <w:sz w:val="16"/>
          <w:szCs w:val="16"/>
          <w:vertAlign w:val="superscript"/>
        </w:rPr>
        <w:t>80</w:t>
      </w:r>
    </w:p>
    <w:p w14:paraId="56147025" w14:textId="77777777" w:rsidR="007E2BE2" w:rsidRPr="00E93F40" w:rsidRDefault="007E2BE2"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ПСМ №216-131сс от 14.02.1955 г. ЗСУ-57-2 пив.</w:t>
      </w:r>
    </w:p>
    <w:p w14:paraId="691F11FB" w14:textId="7CB6920F"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Головное предприятие (1990-е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разработке инженерных машин для армии.</w:t>
      </w:r>
    </w:p>
    <w:p w14:paraId="6801C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1988 г. КБ объединилось с заводом, образовав ПО «Завод транспортного машиностроения им. Октябрьской революции». Затем- вновь самостоятельное КБ.</w:t>
      </w:r>
    </w:p>
    <w:p w14:paraId="269037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1997 г. создан ходовой макет инициативной разработки перспективного танка «объект 640».</w:t>
      </w:r>
      <w:r w:rsidRPr="00E93F40">
        <w:rPr>
          <w:rFonts w:ascii="Times New Roman" w:hAnsi="Times New Roman"/>
          <w:color w:val="000000" w:themeColor="text1"/>
          <w:sz w:val="16"/>
          <w:szCs w:val="16"/>
          <w:vertAlign w:val="superscript"/>
        </w:rPr>
        <w:t>117</w:t>
      </w:r>
    </w:p>
    <w:p w14:paraId="05A31D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2004 г. выполенно 85 НИОКР для МО, разработано более 40 изделий, принятых на вооружение.</w:t>
      </w:r>
    </w:p>
    <w:p w14:paraId="5D9FA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КБ вошло в число стратегических оборонных предприятий.</w:t>
      </w:r>
    </w:p>
    <w:p w14:paraId="502008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(-2004-07 г.-)- И.К. Шумаков.</w:t>
      </w:r>
    </w:p>
    <w:p w14:paraId="77FD9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(1958-60 г.)- А.Е. Сулин, (1960-94 г.)- А.А. Моров, (1994-2003 г.)- Б.М. Куракин. Директор (-2004- 07 г.-)- И.К. Шумаков.</w:t>
      </w:r>
    </w:p>
    <w:p w14:paraId="565C6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Создано: самоходная артиллерийская установка СУ-122 (пнв 15.03.1954 г.), ЗСУ-57-2 (пнв 14.02.1955 г.); тяжелый бронетранспортер БТР-Т; мостоукладчики: МТУ-20 на базе Т-55, «Гусеница-1», МТУ-72 на базе Т-72, МТУ-90 на базе Т-90 (2004); ремонтно-эвакуационная машина БРЭМ-1, БРЭМ-80У (2004), тяжелый механизированный мост ТММ-6 на шасси «Урал-4302» или </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3</w:t>
      </w:r>
      <w:r w:rsidRPr="00E93F40">
        <w:rPr>
          <w:rFonts w:ascii="Times New Roman" w:hAnsi="Times New Roman"/>
          <w:color w:val="000000" w:themeColor="text1"/>
          <w:sz w:val="16"/>
          <w:szCs w:val="16"/>
          <w:lang w:val="en-US"/>
        </w:rPr>
        <w:t>KT</w:t>
      </w:r>
      <w:r w:rsidRPr="00E93F40">
        <w:rPr>
          <w:rFonts w:ascii="Times New Roman" w:hAnsi="Times New Roman"/>
          <w:color w:val="000000" w:themeColor="text1"/>
          <w:sz w:val="16"/>
          <w:szCs w:val="16"/>
        </w:rPr>
        <w:t>-7930 (пнв в 2004 г.), штурмовой мост МТУ-90 набазе Т-90, «Гусеница-2» (2004); шасси инженерных машин разграждения ИМР-2, ИМР-3; тяжелая огнеметная система ТОС-1 «Буратино» (2004), тренажер механика-водителя ТВ-219 (2004) (11982).</w:t>
      </w:r>
    </w:p>
    <w:p w14:paraId="329C6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3F5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из завода «Большевик» в состав нового завода № 174 был выделен ОКМО (Опытный конструкторско-механический отдел (ОКМО), Опытный завод «ОКМО» им. С.М. Кирова Спецмаштреста), в него влито КБ АВО-5. Затем ОКМО преобразован в Опытный завод Спецмаштреста, в 1936 г. получил наименование «Завод № 185». В 1940 г. завод № 185 вновь влит в состав завода № 174.</w:t>
      </w:r>
    </w:p>
    <w:p w14:paraId="598311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Продолжены работы по тяжелому танку Т-35, построенному в 1932 г. С 11.1932 г. начаты работы над улучшенным вариантом Т-35-2. Пост. СНК во втором полугодии 1933 г. ХПЗ должен был начать серийный выпуск варианта Т-35 А. В 1933-34 г. разработан проект тяжелого Т-39 (8 вариантов), затем работы прекращены.</w:t>
      </w:r>
    </w:p>
    <w:p w14:paraId="1433C4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01.1932 г. отделу выдано задание на разработку плавающего танка Т-37 (М. Зигель). Опытный экземпляр построен в 07.1932 г. Пост. СТО от 11.08.1932 г. Т-37А пнв.</w:t>
      </w:r>
    </w:p>
    <w:p w14:paraId="2111A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03.1932 г. разработан проект мобилизационного танка (упрощенной конструкции) Т-34, в конце года изготовлен опытный экземпляр.</w:t>
      </w:r>
    </w:p>
    <w:p w14:paraId="3C8DF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велись работы по дизельному мотору ПГЕ для танка Т-28; в 1933 г. начата разработка семейства дизельных и бензиновых двигателей для всех типов танков. Для Т-26А разрабатывались дизельный ДМТ-4 (ДТ-4) и карбюраторный МТ-4; для Т-28А - соответственно, ДМТ-1 и МТ-1.</w:t>
      </w:r>
    </w:p>
    <w:p w14:paraId="2DDBC6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12.1933 г. на конкурсной основе начата разработка легкого плавающего танка Т-43-1. Весной 1935 г. построен опытный экземпляр, к концу года работы прекращены.</w:t>
      </w:r>
    </w:p>
    <w:p w14:paraId="634E39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КБ разработана новая башня для танка Т-26 под новую 76-мм пушку КТ. В 1933 г. начата разработка проекта колесно-гусеничного Т-26А, в 1935 г. построен опытный экземпляр Т-46. Пост. СТО от 29.02.1936 г. Т-46 был пнв. По решению СНК № 94сс от 15.08.1937 г. Т-46 был снят с производства.</w:t>
      </w:r>
    </w:p>
    <w:p w14:paraId="4B0D94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СТО № 51 от 06.1933 г. на заводе в 1934 г. построены два опытных экземпляра танка ПТ-1А - Т-29-4 и Т-29-5 разработки ТО ЭКУ ОГПУ.</w:t>
      </w:r>
    </w:p>
    <w:p w14:paraId="6315D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1936 г. Гинзбург приказом Тухачевского отстранен от руководства КБ, его возглавил О. Иванов.</w:t>
      </w:r>
    </w:p>
    <w:p w14:paraId="58581B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Работала группа П. Сячинтова по проектированию танковых орудий. К началу 1938 г. все члены группы арестованы.</w:t>
      </w:r>
    </w:p>
    <w:p w14:paraId="4733E6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(1932 г.)- Н. Баранов.</w:t>
      </w:r>
    </w:p>
    <w:p w14:paraId="2D2D1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руководитель (1932 г.)- О. Иванов.</w:t>
      </w:r>
    </w:p>
    <w:p w14:paraId="36DC4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КБ (1932-36 г.)- С.А. Гинзбур г.</w:t>
      </w:r>
    </w:p>
    <w:p w14:paraId="3B64A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(-1936 г.)- С.А. Гинзбург (Т-26).</w:t>
      </w:r>
    </w:p>
    <w:p w14:paraId="208EF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опытного участка (1932 г.)- И. Иванов.</w:t>
      </w:r>
    </w:p>
    <w:p w14:paraId="274B71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Ведущие конструкторы: (1934 г.)- В. Симский (Т-46).</w:t>
      </w:r>
    </w:p>
    <w:p w14:paraId="14549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Ведущие инженеры: (-1934-36 г.)- В. Цейц (ПТ-1А, Т-29) (11982).</w:t>
      </w:r>
    </w:p>
    <w:p w14:paraId="0CD55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EA3A64" w14:textId="09A9B60D" w:rsidR="007E2BE2" w:rsidRPr="00E93F40" w:rsidRDefault="007E2BE2" w:rsidP="00E93F40">
      <w:pPr>
        <w:pStyle w:val="ae"/>
        <w:spacing w:before="0" w:after="0"/>
        <w:jc w:val="both"/>
        <w:rPr>
          <w:color w:val="000000" w:themeColor="text1"/>
          <w:sz w:val="16"/>
          <w:szCs w:val="16"/>
        </w:rPr>
      </w:pPr>
      <w:r w:rsidRPr="00E93F40">
        <w:rPr>
          <w:color w:val="000000" w:themeColor="text1"/>
          <w:sz w:val="16"/>
          <w:szCs w:val="16"/>
        </w:rPr>
        <w:t>16 февраля 1932 г. приказом по Всесоюзному орудийно-арсенальному объединению машиностроительный отдел (МО) вывели из состава «Большевика», придав ему статус самостоятельного</w:t>
      </w:r>
      <w:r w:rsidR="007C1411" w:rsidRPr="00E93F40">
        <w:rPr>
          <w:color w:val="000000" w:themeColor="text1"/>
          <w:sz w:val="16"/>
          <w:szCs w:val="16"/>
        </w:rPr>
        <w:t xml:space="preserve"> </w:t>
      </w:r>
      <w:r w:rsidRPr="00E93F40">
        <w:rPr>
          <w:color w:val="000000" w:themeColor="text1"/>
          <w:sz w:val="16"/>
          <w:szCs w:val="16"/>
        </w:rPr>
        <w:t>предприятия. Новый завод получил наименование Ленинградский машиностроительный завод (завод № 174). Через месяц ему присвоили имя Ворошилова. В настоящее время это ОАО «Звезда». Директором назначили К. К. Сиркена, руководившего до</w:t>
      </w:r>
      <w:r w:rsidR="007C1411" w:rsidRPr="00E93F40">
        <w:rPr>
          <w:color w:val="000000" w:themeColor="text1"/>
          <w:sz w:val="16"/>
          <w:szCs w:val="16"/>
        </w:rPr>
        <w:t xml:space="preserve"> </w:t>
      </w:r>
      <w:r w:rsidRPr="00E93F40">
        <w:rPr>
          <w:color w:val="000000" w:themeColor="text1"/>
          <w:sz w:val="16"/>
          <w:szCs w:val="16"/>
        </w:rPr>
        <w:t>этого машиностроительным отделом «Большевика», Главным инженером нового завода — С. Гинзбурга. Опытно-конструкторский моторный отдел</w:t>
      </w:r>
      <w:r w:rsidR="007C1411" w:rsidRPr="00E93F40">
        <w:rPr>
          <w:color w:val="000000" w:themeColor="text1"/>
          <w:sz w:val="16"/>
          <w:szCs w:val="16"/>
        </w:rPr>
        <w:t xml:space="preserve"> </w:t>
      </w:r>
      <w:r w:rsidRPr="00E93F40">
        <w:rPr>
          <w:color w:val="000000" w:themeColor="text1"/>
          <w:sz w:val="16"/>
          <w:szCs w:val="16"/>
        </w:rPr>
        <w:t>(ОКМО) возглавил обуховец Барыков Всеволод Николаевич. В цеха и отделы завода было переведено</w:t>
      </w:r>
      <w:r w:rsidR="007C1411" w:rsidRPr="00E93F40">
        <w:rPr>
          <w:color w:val="000000" w:themeColor="text1"/>
          <w:sz w:val="16"/>
          <w:szCs w:val="16"/>
        </w:rPr>
        <w:t xml:space="preserve"> </w:t>
      </w:r>
      <w:r w:rsidRPr="00E93F40">
        <w:rPr>
          <w:color w:val="000000" w:themeColor="text1"/>
          <w:sz w:val="16"/>
          <w:szCs w:val="16"/>
        </w:rPr>
        <w:t>48 специалистов обуховцев. Завод им. Ворошилова</w:t>
      </w:r>
      <w:r w:rsidR="007C1411" w:rsidRPr="00E93F40">
        <w:rPr>
          <w:color w:val="000000" w:themeColor="text1"/>
          <w:sz w:val="16"/>
          <w:szCs w:val="16"/>
        </w:rPr>
        <w:t xml:space="preserve"> </w:t>
      </w:r>
      <w:r w:rsidRPr="00E93F40">
        <w:rPr>
          <w:color w:val="000000" w:themeColor="text1"/>
          <w:sz w:val="16"/>
          <w:szCs w:val="16"/>
        </w:rPr>
        <w:t>стал первым в СССР предприятием, которое занималось только производством танков (92,8-95,7%</w:t>
      </w:r>
      <w:r w:rsidR="007C1411" w:rsidRPr="00E93F40">
        <w:rPr>
          <w:color w:val="000000" w:themeColor="text1"/>
          <w:sz w:val="16"/>
          <w:szCs w:val="16"/>
        </w:rPr>
        <w:t xml:space="preserve"> </w:t>
      </w:r>
      <w:r w:rsidRPr="00E93F40">
        <w:rPr>
          <w:color w:val="000000" w:themeColor="text1"/>
          <w:sz w:val="16"/>
          <w:szCs w:val="16"/>
        </w:rPr>
        <w:t>всей товарной продукций). Завод «Большевик» стал</w:t>
      </w:r>
      <w:r w:rsidR="007C1411" w:rsidRPr="00E93F40">
        <w:rPr>
          <w:color w:val="000000" w:themeColor="text1"/>
          <w:sz w:val="16"/>
          <w:szCs w:val="16"/>
        </w:rPr>
        <w:t xml:space="preserve"> </w:t>
      </w:r>
      <w:r w:rsidRPr="00E93F40">
        <w:rPr>
          <w:color w:val="000000" w:themeColor="text1"/>
          <w:sz w:val="16"/>
          <w:szCs w:val="16"/>
        </w:rPr>
        <w:t>одним из крупнейших смежников, поставляя металлургические заготовки для двигателя. В порядке кооперации «Большевик» до 1935 г. обеспечивал завод Ворошилова инструментом,</w:t>
      </w:r>
      <w:r w:rsidR="007C1411" w:rsidRPr="00E93F40">
        <w:rPr>
          <w:color w:val="000000" w:themeColor="text1"/>
          <w:sz w:val="16"/>
          <w:szCs w:val="16"/>
        </w:rPr>
        <w:t xml:space="preserve"> </w:t>
      </w:r>
      <w:r w:rsidRPr="00E93F40">
        <w:rPr>
          <w:color w:val="000000" w:themeColor="text1"/>
          <w:sz w:val="16"/>
          <w:szCs w:val="16"/>
        </w:rPr>
        <w:t>приспособлениями, цветным литьём (15132).</w:t>
      </w:r>
    </w:p>
    <w:p w14:paraId="07CEF55C" w14:textId="77777777" w:rsidR="007E2BE2" w:rsidRPr="00E93F40" w:rsidRDefault="007E2BE2" w:rsidP="00E93F40">
      <w:pPr>
        <w:pStyle w:val="ae"/>
        <w:spacing w:before="0" w:after="0"/>
        <w:jc w:val="both"/>
        <w:rPr>
          <w:color w:val="000000" w:themeColor="text1"/>
          <w:sz w:val="16"/>
          <w:szCs w:val="16"/>
        </w:rPr>
      </w:pPr>
    </w:p>
    <w:p w14:paraId="29A7749C" w14:textId="57BECB4F" w:rsidR="007A234E" w:rsidRPr="00E93F40" w:rsidRDefault="007A234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 приказом по Всесоюзному орудийно-арсенальному объединению машиностроительный отдел (МО) вывели из состава "Большевика", придав ему статус самостоятельного предприятия. Новый завод получил наименование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Ленинградский машиностроительный завод (завод № 174). Через месяц ему присвоили имя Ворошилова. В настоящее время это</w:t>
      </w:r>
      <w:r w:rsidR="007C1411" w:rsidRPr="00E93F40">
        <w:rPr>
          <w:rFonts w:ascii="Times New Roman" w:hAnsi="Times New Roman"/>
          <w:color w:val="000000" w:themeColor="text1"/>
          <w:sz w:val="16"/>
          <w:szCs w:val="16"/>
        </w:rPr>
        <w:t xml:space="preserve"> </w:t>
      </w:r>
      <w:hyperlink r:id="rId48" w:tgtFrame="_blank" w:history="1">
        <w:r w:rsidRPr="00E93F40">
          <w:rPr>
            <w:rStyle w:val="a5"/>
            <w:rFonts w:ascii="Times New Roman" w:hAnsi="Times New Roman"/>
            <w:color w:val="000000" w:themeColor="text1"/>
            <w:sz w:val="16"/>
            <w:szCs w:val="16"/>
            <w:u w:val="none"/>
          </w:rPr>
          <w:t>ОАО "Звезда"</w:t>
        </w:r>
      </w:hyperlink>
      <w:r w:rsidRPr="00E93F40">
        <w:rPr>
          <w:rFonts w:ascii="Times New Roman" w:hAnsi="Times New Roman"/>
          <w:color w:val="000000" w:themeColor="text1"/>
          <w:sz w:val="16"/>
          <w:szCs w:val="16"/>
        </w:rPr>
        <w:t xml:space="preserve"> (18356).</w:t>
      </w:r>
    </w:p>
    <w:p w14:paraId="18314244" w14:textId="77777777" w:rsidR="007A234E" w:rsidRPr="00E93F40" w:rsidRDefault="007A234E" w:rsidP="00E93F40">
      <w:pPr>
        <w:spacing w:after="0" w:line="240" w:lineRule="auto"/>
        <w:jc w:val="both"/>
        <w:rPr>
          <w:rFonts w:ascii="Times New Roman" w:hAnsi="Times New Roman"/>
          <w:color w:val="000000" w:themeColor="text1"/>
          <w:sz w:val="16"/>
          <w:szCs w:val="16"/>
        </w:rPr>
      </w:pPr>
    </w:p>
    <w:p w14:paraId="34C7EA05" w14:textId="77777777" w:rsidR="007A234E" w:rsidRPr="00E93F40" w:rsidRDefault="007A234E"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года танковое производство выделили в отдельное предприятие - завод №174 им. Ворошилова. Танковую разработку сконцентрировали в ОКМО (опытно-конструкторский машиностроительный отдел), руководителем которого стал Н.В. Барыков, который до того занимался ТГ-1. На новую площадку перебрался часть коллектива КБ-3 ВОАО. Гинзбург стал заместителем Барыкова и возглавил КБ ОКМО, а Иванов стал замом Гинзбурга. Вот эта самая троица и разработала Т-28 в окончательном виде. В октябре 1932 года переработанный вариант танка приняли на вооружение Красной Армии, а Гинзбург получил Орден Ленина. Также его вручили Иванову и Барыкову (19634).</w:t>
      </w:r>
    </w:p>
    <w:p w14:paraId="746987F2" w14:textId="77777777" w:rsidR="007A234E" w:rsidRPr="00E93F40" w:rsidRDefault="007A234E" w:rsidP="00E93F40">
      <w:pPr>
        <w:shd w:val="clear" w:color="auto" w:fill="FFFFFF"/>
        <w:spacing w:after="0" w:line="240" w:lineRule="auto"/>
        <w:jc w:val="both"/>
        <w:rPr>
          <w:rFonts w:ascii="Times New Roman" w:hAnsi="Times New Roman"/>
          <w:color w:val="000000" w:themeColor="text1"/>
          <w:sz w:val="16"/>
          <w:szCs w:val="16"/>
        </w:rPr>
      </w:pPr>
    </w:p>
    <w:p w14:paraId="0F914FB8" w14:textId="77777777" w:rsidR="007A234E" w:rsidRPr="00E93F40" w:rsidRDefault="007A234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16 февраля 1932 года приказом танковое производство выделили из завода «Большевик» в отдельное предприятие - завод №174. В свою очередь, примерно в то же время был организован ОКМО (опытно-конструкторский машиностроительный отдел), который и занимался подобными работами. Возглавил КБ ОКМО перебравшийся в Ленинград конструктор С.А. Гинзбург. Первые наработки по артиллерийскому танку, получившему обозначение Т-26-4, датированы началом 1933 года (19671).</w:t>
      </w:r>
    </w:p>
    <w:p w14:paraId="54AC029C" w14:textId="77777777" w:rsidR="007A234E" w:rsidRPr="00E93F40" w:rsidRDefault="007A234E" w:rsidP="00E93F40">
      <w:pPr>
        <w:pStyle w:val="ae"/>
        <w:shd w:val="clear" w:color="auto" w:fill="FFFFFF"/>
        <w:spacing w:before="0" w:after="0"/>
        <w:jc w:val="both"/>
        <w:textAlignment w:val="baseline"/>
        <w:rPr>
          <w:color w:val="000000" w:themeColor="text1"/>
          <w:sz w:val="16"/>
          <w:szCs w:val="16"/>
        </w:rPr>
      </w:pPr>
    </w:p>
    <w:p w14:paraId="24696F86" w14:textId="77777777" w:rsidR="00424A01" w:rsidRPr="00E93F40" w:rsidRDefault="00424A01"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16 февраля 1932 года официально организовали ОКМО, но на самом деле всё решили еще раньше. Начальником ОКМО стал Н.В. Барыков, до того курировавший работы по ТГ-1. А заместителем Барыкова назначили Гинзбурга. Таким образом, теперь начальник КБ-3 ВОАО оказался между Ленинградом и Москвой. Приказом НКТП №35 от 15 февраля 1932 года танковое производство "Большевика" выделили в новое предприятие - завод №174 им. Ворошилова. Что же касается КБ-3 ВОАО, то оно просуществовало до осени 1932 года. Впрочем, постепенно шла переброска сотрудников в Ленинград. Никакого глубинного смысла нахождения данного КБ в отрыве от производства не имелось. Гинзбург стал главным конструктором ОКМО, а Иванов его заместителем (20375).</w:t>
      </w:r>
    </w:p>
    <w:p w14:paraId="7BE8299D" w14:textId="77777777" w:rsidR="00424A01" w:rsidRPr="00E93F40" w:rsidRDefault="00424A01" w:rsidP="00E93F40">
      <w:pPr>
        <w:shd w:val="clear" w:color="auto" w:fill="FFFFFF"/>
        <w:spacing w:after="0" w:line="240" w:lineRule="auto"/>
        <w:jc w:val="both"/>
        <w:rPr>
          <w:rFonts w:ascii="Times New Roman" w:hAnsi="Times New Roman"/>
          <w:color w:val="000000" w:themeColor="text1"/>
          <w:sz w:val="16"/>
          <w:szCs w:val="16"/>
        </w:rPr>
      </w:pPr>
    </w:p>
    <w:p w14:paraId="1491663F" w14:textId="77777777" w:rsidR="00424A01" w:rsidRPr="00E93F40" w:rsidRDefault="00424A01"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16 февраля 1932 года танковое производство завода "Большевика" выделили в завод №174 им. Ворошилова. При этом еще образовалась и отдельная структура, которая занималась опытной разработкой танков - ОКМО (Опытно-Конструкторский Машиностроительный Отдел). Его возглавил Н.В. Барыков. Основной задачей ОКМО изначально шла отработка Т-28, который создавался сразу в двух местах - ОКМО и КБ-3 ВОАО (Москва, начальником КБ был Гинзбург). В 1932 году было решено перебросить КБ-3 ВОАО в Ленинград, тем более что производство разработок КБ, в основном, осуществлялось как раз там. По этой причине и Т-33, и Т-34 записали как разработку ОКМО, а общее руководство проектами записали за Гинзбургом. В самом деле, Семён Александрович имел к теме обеих машин самое непосредственное отношение, но, как видите, реально работы по Т-34 начинались еще до него (22724).</w:t>
      </w:r>
    </w:p>
    <w:p w14:paraId="290C3C41" w14:textId="77777777" w:rsidR="00424A01" w:rsidRPr="00E93F40" w:rsidRDefault="00424A01" w:rsidP="00E93F40">
      <w:pPr>
        <w:shd w:val="clear" w:color="auto" w:fill="FFFFFF"/>
        <w:spacing w:after="0" w:line="240" w:lineRule="auto"/>
        <w:jc w:val="both"/>
        <w:rPr>
          <w:rFonts w:ascii="Times New Roman" w:hAnsi="Times New Roman"/>
          <w:color w:val="000000" w:themeColor="text1"/>
          <w:sz w:val="16"/>
          <w:szCs w:val="16"/>
        </w:rPr>
      </w:pPr>
    </w:p>
    <w:p w14:paraId="65ED006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16 февраля 1932 </w:t>
      </w:r>
      <w:r w:rsidRPr="00E93F40">
        <w:rPr>
          <w:rFonts w:ascii="Times New Roman" w:hAnsi="Times New Roman"/>
          <w:color w:val="000000" w:themeColor="text1"/>
          <w:sz w:val="16"/>
          <w:szCs w:val="16"/>
        </w:rPr>
        <w:t>Политбюро ЦК ВКП (б) утвердило состав комиссии по газификации угля, одобрило проект постановления СТО о перспективах развития азотной промышленности на ближайшие 3-4 года (12265).</w:t>
      </w:r>
    </w:p>
    <w:p w14:paraId="503622B3" w14:textId="3487942F" w:rsidR="00275520"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00FF1F1E"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состоялось заседание ПБ (Протокол № 88)</w:t>
      </w:r>
    </w:p>
    <w:p w14:paraId="56597A8B" w14:textId="77777777" w:rsidR="00424A01" w:rsidRPr="00E93F40" w:rsidRDefault="00424A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9 февраля 1932 опросом членов ПБ</w:t>
      </w:r>
    </w:p>
    <w:p w14:paraId="41BF0CA0"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21/1.- О судостроительном заводе.</w:t>
      </w:r>
    </w:p>
    <w:p w14:paraId="59542B2B"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близости Хабаровска от границы, выбор места для судостроительного завода перенести на север по Амуру в район между Малмнжем и сел. Тамбовское.</w:t>
      </w:r>
    </w:p>
    <w:p w14:paraId="0D08F0AF"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Гамарнику, Муклевичу и Блюхеру немедленно принять все меры к точному определению места указанного завода. О принятых шагах донести. Решение считать окончательным.</w:t>
      </w:r>
    </w:p>
    <w:p w14:paraId="2B0617CE"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 Ворошилову.</w:t>
      </w:r>
    </w:p>
    <w:p w14:paraId="23CC1673"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февраля 1932 опросом членов ПБ</w:t>
      </w:r>
    </w:p>
    <w:p w14:paraId="678600BB"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28/8.- Вопрос т. Ворошилова.</w:t>
      </w:r>
    </w:p>
    <w:p w14:paraId="1AD706AA"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Разрешить заграничную командировку по линии Наркомвоепмора для изучения мобилизации промышленности, сроком на 1 1/2 месяца следующим т.т. Луневу, Заборовскому, Рудневу, Каюкову, Елисееву.</w:t>
      </w:r>
    </w:p>
    <w:p w14:paraId="46275D7B"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эту же группу включить работников ВСНХ, ВМИ РКП, Госплана и ЭКУ ОГПУ, обязав руководителей этих учрежде</w:t>
      </w:r>
      <w:r w:rsidRPr="00E93F40">
        <w:rPr>
          <w:rFonts w:ascii="Times New Roman" w:hAnsi="Times New Roman"/>
          <w:color w:val="000000" w:themeColor="text1"/>
          <w:sz w:val="16"/>
          <w:szCs w:val="16"/>
        </w:rPr>
        <w:softHyphen/>
        <w:t>ний представить кандидатуры на утверждение ЦК.</w:t>
      </w:r>
    </w:p>
    <w:p w14:paraId="6F3A1A96"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По линии военных сообщений Наокомвсенмора команди</w:t>
      </w:r>
      <w:r w:rsidRPr="00E93F40">
        <w:rPr>
          <w:rFonts w:ascii="Times New Roman" w:hAnsi="Times New Roman"/>
          <w:color w:val="000000" w:themeColor="text1"/>
          <w:sz w:val="16"/>
          <w:szCs w:val="16"/>
        </w:rPr>
        <w:softHyphen/>
        <w:t>ровать следующих т.т.: Колтунова, Павлова, Грунд, Федорова и Бернера. Срок 5-6 месяцев.</w:t>
      </w:r>
    </w:p>
    <w:p w14:paraId="231AE3B5" w14:textId="77777777" w:rsidR="00424A01" w:rsidRPr="00E93F40" w:rsidRDefault="00424A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посаны: т.т. Ворошилову, Артузову - все; Орджоникидзе, Рудзутаку, Куйбышеву, Менжинскому - п."а" (23038).</w:t>
      </w:r>
    </w:p>
    <w:p w14:paraId="599E49EE" w14:textId="77777777" w:rsidR="00424A01" w:rsidRPr="00E93F40" w:rsidRDefault="00424A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7DE035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B332A6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EE6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в Москве начали сносить Охотный ряд и храм Параскевы-Пятницы (3481).</w:t>
      </w:r>
    </w:p>
    <w:p w14:paraId="28D814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93B19A" w14:textId="77777777" w:rsidR="00075CBB" w:rsidRPr="00E93F40" w:rsidRDefault="00075CB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Газета "Вечерняя Москва" сообщала: "Житная улица. В середине нее, между двумя газовыми фонарями вкраплен яркий синий огонь. Здесь отделение милиции. Трест наружного освещения установил около каждого отделения милиции синий фонарь" (18723).</w:t>
      </w:r>
    </w:p>
    <w:p w14:paraId="31110FED" w14:textId="77777777" w:rsidR="00075CBB" w:rsidRPr="00E93F40" w:rsidRDefault="00075CBB" w:rsidP="00E93F40">
      <w:pPr>
        <w:spacing w:after="0" w:line="240" w:lineRule="auto"/>
        <w:jc w:val="both"/>
        <w:rPr>
          <w:rFonts w:ascii="Times New Roman" w:hAnsi="Times New Roman"/>
          <w:color w:val="000000" w:themeColor="text1"/>
          <w:sz w:val="16"/>
          <w:szCs w:val="16"/>
        </w:rPr>
      </w:pPr>
    </w:p>
    <w:p w14:paraId="769CCCAA" w14:textId="77777777" w:rsidR="00075CBB" w:rsidRPr="00E93F40" w:rsidRDefault="00075CB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г. Советом Народных Комиссаров РСФСР было принято новое постановление «О порядке приобретения, хранения и пользования охотничьим и спортивным оружием и о торговле огне- стрельным охотничьим и спортивным оружием» . В соответствии с данным Постановлением разрешения на приобретение, хранение, пользование нарезным охотничьим и спортивным оружием и боеприпасами к нему, торговлю охотничьим и спортивным оружием, открытие пиротехнических заведений и стрелковых тиров выдавались органами ОГ- ПУ и Главного управления Рабоче-Крестьянской милиции (18514).</w:t>
      </w:r>
    </w:p>
    <w:p w14:paraId="7864803A" w14:textId="77777777" w:rsidR="00075CBB" w:rsidRPr="00E93F40" w:rsidRDefault="00075CBB" w:rsidP="00E93F40">
      <w:pPr>
        <w:spacing w:after="0" w:line="240" w:lineRule="auto"/>
        <w:jc w:val="both"/>
        <w:rPr>
          <w:rFonts w:ascii="Times New Roman" w:hAnsi="Times New Roman"/>
          <w:color w:val="000000" w:themeColor="text1"/>
          <w:sz w:val="16"/>
          <w:szCs w:val="16"/>
        </w:rPr>
      </w:pPr>
    </w:p>
    <w:p w14:paraId="4298359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44DD4A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410087" w14:textId="77777777" w:rsidR="00A37CE0" w:rsidRPr="00E93F40" w:rsidRDefault="00A37C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состоялся первый полет Мартин Б-10 (20803).</w:t>
      </w:r>
    </w:p>
    <w:p w14:paraId="15BE21FF" w14:textId="77777777" w:rsidR="00A37CE0" w:rsidRPr="00E93F40" w:rsidRDefault="00A37CE0" w:rsidP="00E93F40">
      <w:pPr>
        <w:spacing w:after="0" w:line="240" w:lineRule="auto"/>
        <w:jc w:val="both"/>
        <w:rPr>
          <w:rFonts w:ascii="Times New Roman" w:hAnsi="Times New Roman"/>
          <w:color w:val="000000" w:themeColor="text1"/>
          <w:sz w:val="16"/>
          <w:szCs w:val="16"/>
        </w:rPr>
      </w:pPr>
    </w:p>
    <w:p w14:paraId="3A2AFD24" w14:textId="23EB395E" w:rsidR="00A37CE0" w:rsidRPr="00E93F40" w:rsidRDefault="00A37C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полет американского бомбардировщика Martin B-10 (прототип XB-907).</w:t>
      </w:r>
    </w:p>
    <w:p w14:paraId="1E3E2F30" w14:textId="77777777" w:rsidR="00A37CE0" w:rsidRPr="00E93F40" w:rsidRDefault="00A37C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был свободнонесущим цельнометаллическим монопланом, разительно отличавшимся от предшествующих ему опытных образцов американских двухмоторных бомбардировщиков - "Дуглас" Y1B-7 и "Боинг" YB-9 (ХВ-901). В новой машине собрали все новинки тогдашнего самолетостроения. Каплевидный фюзеляж овального сечения, убирающиеся в мотогондолы основные стойки шасси. Уборка стоек производилась по очень своеобразной схеме: задний подкос не ломался и телескопически не складывался, а уходил назад по направляющему рельсу и в сложенном положении выступал за заднюю кромку крыла. Гофрированные панели применялись только для обшивки верхней и нижней частей фюзеляжа; борта, крыло и оперение были покрыты гладкими листами "алкледа" - алюминиевого сплава, обладающего повышенной коррозийной устойчивостью. Вся обшивка являлась несущей. Крыло, правда, имело довольно толстый профиль "Геттинген-388", но он вполне соответствовал расчетному диапазону скоростей. Рули и элероны обладали статической и динамической балансировкой и были оснащены триммерами. На опытной машине стояли два мотора "Райт" SR-1820E по 600 л.с., укрытые лобовыми капотами и узкими кольцами Тауненда. Все члены экипажа (их было трое) поначалу размещались в открытых сверху кабинах. Стрелкового вооружения не устанавливали, но проектом предусматривалось три пулемета винтовочного калибра - в носовой и задней кабинах, а также в люке внизу в хвостовой части самолета. Бомбы размещались в емком фюзеляжном бомбоотсеке.</w:t>
      </w:r>
    </w:p>
    <w:p w14:paraId="52A5077F" w14:textId="77777777" w:rsidR="00A37CE0" w:rsidRPr="00E93F40" w:rsidRDefault="00A37C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Строился серийно (22596).</w:t>
      </w:r>
    </w:p>
    <w:p w14:paraId="201D82C8" w14:textId="77777777" w:rsidR="00A37CE0" w:rsidRPr="00E93F40" w:rsidRDefault="00A37CE0" w:rsidP="00E93F40">
      <w:pPr>
        <w:spacing w:after="0" w:line="240" w:lineRule="auto"/>
        <w:jc w:val="both"/>
        <w:rPr>
          <w:rFonts w:ascii="Times New Roman" w:hAnsi="Times New Roman"/>
          <w:color w:val="000000" w:themeColor="text1"/>
          <w:sz w:val="16"/>
          <w:szCs w:val="16"/>
        </w:rPr>
      </w:pPr>
    </w:p>
    <w:p w14:paraId="18E4C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февраля 1932 французский сенат отправил правительство Лаваля в отставку и 23 февраля новое правительство сформировал А.Тардье (3907,172).</w:t>
      </w:r>
    </w:p>
    <w:p w14:paraId="1BE77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E4CE7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9D0FAC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308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года Протоколом КО № 1 срок испытания Р-5 Т был установлен 15 марта 1934 года, причем параллельно со сбрасыванием торпед предложено испытать сбрасывание бомб и РАБов (4244, 4).</w:t>
      </w:r>
    </w:p>
    <w:p w14:paraId="1D42BF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C68EA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закончились гос. испытания Р-5 М-17 эталон 1932, которые проходили с 15 ноября 1931 (6778).</w:t>
      </w:r>
    </w:p>
    <w:p w14:paraId="705B2D3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E2E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закончились испытания самолета Р-5 N 4629 (эталон на 1932 год) с мотором М-17 Е=6 N 26494 с испытанием на штопор при разных центровках, которые проходили с 15 ноября 1931</w:t>
      </w:r>
    </w:p>
    <w:p w14:paraId="40200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2827B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Жемчужин</w:t>
      </w:r>
    </w:p>
    <w:p w14:paraId="167A7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Байдуков</w:t>
      </w:r>
    </w:p>
    <w:p w14:paraId="7306F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25.12 - фактическое начало испытаний.</w:t>
      </w:r>
    </w:p>
    <w:p w14:paraId="6C9B74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17.02.32 г. - фактическое окончание испытаний.</w:t>
      </w:r>
    </w:p>
    <w:p w14:paraId="22C13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54 календарных дня, затрачено 20 летных дней.</w:t>
      </w:r>
    </w:p>
    <w:p w14:paraId="6A405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время нахождения самолета в НИИ налетано 59 час. 24 мин.</w:t>
      </w:r>
    </w:p>
    <w:p w14:paraId="419ED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Сделано посадок - 93.</w:t>
      </w:r>
    </w:p>
    <w:p w14:paraId="06005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56AE8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Р5-М17 N 4629 принят как эталон для серийной постройки в 1932 году. (3064,2-53).</w:t>
      </w:r>
    </w:p>
    <w:p w14:paraId="009E93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7B75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17 февраля 1932 г. закончились госиспытания эталона Р-5 на 1932 год, которым стал самолет № 4629, в НИИ ВВС, которые шли с 15 ноября 1931 г. Летал Г.Ф. Байдуков.</w:t>
      </w:r>
    </w:p>
    <w:p w14:paraId="4161D4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 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w:t>
      </w:r>
    </w:p>
    <w:p w14:paraId="6124A7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от установки Дер-13 под крылом отказались. Переход на комплект из двух Дер-7 и двух Дер-13 резко уменьшал бомбовую нагрузку при подвеске мелких бомб: на балки Дер-13 они вообще не могли подвешиваться. Кроме того, неудачная конструкция проводки тросиков привела к очень большому усилию на ручке механического сбрасывателя. Летнабу приходилось тянуть ее двумя руками. Остальные нововведения были одобрены.</w:t>
      </w:r>
    </w:p>
    <w:p w14:paraId="5634F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Р-5 строился в трех вариантах, отличавшихся по комплектации: легкий бомбардировщик, разведчик и учебный самолет. Разведчик имел полный комплект бомбового вооружения Бомбр-2, аналогичный Р-1 (шесть балок Дер-7 и две Дер-6), радиостанцию и фотоустановку. На бомбардировщике фото- и радиооборудование отсутствовало, а подфюзеляжные Дер-6 могли заменяться Дер- 13. Учебные машины часто отправлялись без вооружения или с неполным вооружением; радиостанции и фотоаппараты ставили крайне редко. Взлетный вес у них был меньше, чем у разведчиков, почти на 200 кг.</w:t>
      </w:r>
    </w:p>
    <w:p w14:paraId="491BA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Радиостанции ставили разных типов - что удавалось получить. На большинстве машин монтировали 13СК и ИСК, но встречались также 14С1 и 13С.</w:t>
      </w:r>
    </w:p>
    <w:p w14:paraId="44DD5E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к вооружению Р-5 добавились выливные химические и дымовые приборы. Выливные приборы ВАП-4 предназначались для "поражения живой силы противника и заражения местности с налаженным валовым производством". Их разработали в 1930 г. для самолета Р-1. Прибор емкостью 82 л заправляли раствором иприта или люизита (или их смеси) в керосине или дихлорэтане. Раствор вытеснялся из емкости скоростным напором. На Р-5 поставили усовершенствованный образец ВАП-4 с продувным люком и возможностью сброса в полете. И выливанием, и сбросом управляли при помощи штатного бомбосбрасывателя Сбр-8. Самолет нес два, а позже четыре ВАП-4 под нижним крылом, на ближних к фюзеляжу балках Дер-7 (12034).</w:t>
      </w:r>
    </w:p>
    <w:p w14:paraId="7B7881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0DD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в справке ГВФ для И.В.С. по воводу АНТ-14 отмечалось ”...пятимоторный АНТ-14, переоборудованный под 4 М-34, может быть использован как для перевозки частей, так и в качестве бомбовоза...” Мы просили ПБ утвердить следующие предложения: обязать НКТП построить в 1933 для ГУГВФ 50 самолетов АНТ-14 с М-34 и... выделить ГУ ГВФ не позднее 1 января 1933 4 М-34 для переделки опытной машины под этот мотор. ГУ ГВФ переоборудование АНТ-14 под этот мотор закончит к 1 марта 1933.” (8663,7).</w:t>
      </w:r>
    </w:p>
    <w:p w14:paraId="02F1C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E19E6A" w14:textId="77777777" w:rsidR="00643739" w:rsidRPr="00142305" w:rsidRDefault="00643739" w:rsidP="00643739">
      <w:pPr>
        <w:spacing w:after="0" w:line="240" w:lineRule="auto"/>
        <w:jc w:val="both"/>
        <w:rPr>
          <w:rFonts w:ascii="Times New Roman" w:eastAsia="Trebuchet MS" w:hAnsi="Times New Roman"/>
          <w:color w:val="0070C0"/>
          <w:sz w:val="16"/>
          <w:szCs w:val="16"/>
          <w:shd w:val="clear" w:color="auto" w:fill="FFFFFF"/>
        </w:rPr>
      </w:pPr>
      <w:r w:rsidRPr="00142305">
        <w:rPr>
          <w:rFonts w:ascii="Times New Roman" w:eastAsia="Trebuchet MS" w:hAnsi="Times New Roman"/>
          <w:color w:val="0070C0"/>
          <w:sz w:val="16"/>
          <w:szCs w:val="16"/>
          <w:shd w:val="clear" w:color="auto" w:fill="FFFFFF"/>
        </w:rPr>
        <w:t>17 февраля 1932 года в справке, направленной Сталину за подписью руководства ГУ ГВФ, отмечалось, в частности:</w:t>
      </w:r>
    </w:p>
    <w:p w14:paraId="2486F3E5" w14:textId="77777777" w:rsidR="00643739" w:rsidRPr="00142305" w:rsidRDefault="00643739" w:rsidP="00643739">
      <w:pPr>
        <w:spacing w:after="0" w:line="240" w:lineRule="auto"/>
        <w:jc w:val="both"/>
        <w:rPr>
          <w:rFonts w:ascii="Times New Roman" w:eastAsia="Trebuchet MS" w:hAnsi="Times New Roman"/>
          <w:color w:val="0070C0"/>
          <w:sz w:val="16"/>
          <w:szCs w:val="16"/>
          <w:shd w:val="clear" w:color="auto" w:fill="FFFFFF"/>
        </w:rPr>
      </w:pPr>
      <w:r w:rsidRPr="00142305">
        <w:rPr>
          <w:rFonts w:ascii="Times New Roman" w:eastAsia="Trebuchet MS" w:hAnsi="Times New Roman"/>
          <w:color w:val="0070C0"/>
          <w:sz w:val="16"/>
          <w:szCs w:val="16"/>
          <w:shd w:val="clear" w:color="auto" w:fill="FFFFFF"/>
        </w:rPr>
        <w:t>"…пятимоторный АНТ-14, переоборудованный под четыре мотора М-34, может быть использован как для перевозки частей </w:t>
      </w:r>
      <w:r w:rsidRPr="00142305">
        <w:rPr>
          <w:rFonts w:ascii="Times New Roman" w:eastAsia="Trebuchet MS" w:hAnsi="Times New Roman"/>
          <w:b/>
          <w:bCs/>
          <w:color w:val="0070C0"/>
          <w:sz w:val="16"/>
          <w:szCs w:val="16"/>
          <w:shd w:val="clear" w:color="auto" w:fill="FFFFFF"/>
        </w:rPr>
        <w:t>(воинских – прим. авт.)</w:t>
      </w:r>
      <w:r w:rsidRPr="00142305">
        <w:rPr>
          <w:rFonts w:ascii="Times New Roman" w:eastAsia="Trebuchet MS" w:hAnsi="Times New Roman"/>
          <w:color w:val="0070C0"/>
          <w:sz w:val="16"/>
          <w:szCs w:val="16"/>
          <w:shd w:val="clear" w:color="auto" w:fill="FFFFFF"/>
        </w:rPr>
        <w:t>, так и в качестве тяжелого бомбовоза… Мы просили Политбюро утвердить следующие предложения: обязать НКТП построить в 1933 г. для ГУ ГВФ 50 самолетов АНТ-14 с М-34 и (…) выделить ГУ ГВФ не позднее 1 января 1933 г. четыре М-34 для переделки опытной машины АНТ-14 под этот мотор. ГУ ГВФ переоборудование АНТ-14 под этот мотор закончит к 1 марта 1933 г." (25604).</w:t>
      </w:r>
    </w:p>
    <w:p w14:paraId="68475230" w14:textId="77777777" w:rsidR="00643739" w:rsidRPr="00142305" w:rsidRDefault="00643739" w:rsidP="00643739">
      <w:pPr>
        <w:spacing w:after="0" w:line="240" w:lineRule="auto"/>
        <w:jc w:val="both"/>
        <w:rPr>
          <w:rFonts w:ascii="Times New Roman" w:eastAsia="Trebuchet MS" w:hAnsi="Times New Roman"/>
          <w:color w:val="0070C0"/>
          <w:sz w:val="16"/>
          <w:szCs w:val="16"/>
          <w:shd w:val="clear" w:color="auto" w:fill="FFFFFF"/>
        </w:rPr>
      </w:pPr>
    </w:p>
    <w:p w14:paraId="11212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года начальник Глававиапрома Баранов писал письмо № 332/с председателю Реввоенсовета Тухачевскому, врид начальника ВВС Наумову</w:t>
      </w:r>
    </w:p>
    <w:p w14:paraId="407BC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 127/798 от 21 января 1932 года</w:t>
      </w:r>
    </w:p>
    <w:p w14:paraId="68376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для аэрофотосъемок в плане опытного строительства 1930-31 г.г. и по нему была проделана предварительная работа. Однако, в план опытного строительства на 1932 год данный самолет УВВС не был поставлен.</w:t>
      </w:r>
    </w:p>
    <w:p w14:paraId="30F47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общей перегрузкой ЦАГИ по внедрению в серийное производство наиболее актуальных машин, как-то: И5М22, ТШМ17, ТБ3, переделки Р-6, АНТ-9 и др., ЦАГИ вынужден сократить план опытного строительства и аэрофотосъемочный самолет также не был поставлен в план опытного строительства 1932 года со стороны ЦАГИ.</w:t>
      </w:r>
    </w:p>
    <w:p w14:paraId="2D25CB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сути, задание может быть выполнено в сравнительно небольшой срок. Однако, построенный опытный самолет не имеет перспектив для серийной постройки, так как завода, где может быть построен данный самолет, Глававиапром не имеет.</w:t>
      </w:r>
    </w:p>
    <w:p w14:paraId="1E03B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Ставить производство нового типа самолета на имеющихся заводах, ввиду перегрузки их постройкой других самолетов, также будет весьма затруднительно.</w:t>
      </w:r>
    </w:p>
    <w:p w14:paraId="10A10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Поэтому Глававиапром считает, что строить еще один тип самолета, который не обеспечен в перспективе заводом для серийного производства, будет не рационально (7470, 69).</w:t>
      </w:r>
    </w:p>
    <w:p w14:paraId="0BB8E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3840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года начальник Глававиапрома Баранов писал письмо № 330/с зам. председателю Реввоенсовета Тухачевскому, начальнику УВВС Наумову</w:t>
      </w:r>
    </w:p>
    <w:p w14:paraId="1917C0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 316/0062 от 15 января 1932 года</w:t>
      </w:r>
    </w:p>
    <w:p w14:paraId="3F36C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Переоборудование самолета АНТ-9 для бомбового вооружения было произведено ЦАГИ и самолет был готов к испытанию в начале января 1932 года. Однако, 14 января 1932 года на совещании в ЦАГИ под председательством Меженинова в самолет были введены новые требования. Было признано необходимым место командира перенести вперед, что вызвало перенос сбрасывателя, прицела "Герца", переговорного прибора и проводки.</w:t>
      </w:r>
    </w:p>
    <w:p w14:paraId="33434A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том же совещании было решено, что чертежи переделок самолета под новые требования должны быть готовы к середине февраля, каковой срок ЦАГИ и выдерживает. По плану ЦАГИ, выпуск вполне оборудованного под бомбовое вооружение самолета и сдача его в НИИ на испытание назначены 1 апреля 1932 года.</w:t>
      </w:r>
    </w:p>
    <w:p w14:paraId="37971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Этот срок ЦАГИ все время выдерживал, однако, в связи с последними заданиями ЦАГИ по оказанию помощи заводу № 22, ЦАГИ несколько замедлит работу по переоборудованию и срок сдачи самолета АНТ-14 намечается на середину апреля 1932 года (7470, 70).</w:t>
      </w:r>
    </w:p>
    <w:p w14:paraId="3A7E45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4B8D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года выписка из протокола № 6 заседания РВС</w:t>
      </w:r>
    </w:p>
    <w:p w14:paraId="0283F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 результатах обследования конструкторского бюро Гроховского (прот. РВСС № 2 п. 1- 32 г.).</w:t>
      </w:r>
    </w:p>
    <w:p w14:paraId="1CA6A5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Эйдеман.</w:t>
      </w:r>
    </w:p>
    <w:p w14:paraId="402F4FB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основном принять предложения комиссии.</w:t>
      </w:r>
    </w:p>
    <w:p w14:paraId="72121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Эйдеману окончательно (на основе происшедшего обмена мнений) отредактировать проект постановления и представить на утверждение пред. РВСС.</w:t>
      </w:r>
    </w:p>
    <w:p w14:paraId="3BF77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 2 дня.</w:t>
      </w:r>
    </w:p>
    <w:p w14:paraId="1EF0F9F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Указать Алкснису, что несмотря на проявленное им внимание к работам Гроховского, проведенные им мероприятия были недостаточны для изжития ненормальностей работы бюро Гроховского.</w:t>
      </w:r>
    </w:p>
    <w:p w14:paraId="1DB21B3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Гроховскому случаи проявления им недисциплинированности, недопустимой для командира РККА.</w:t>
      </w:r>
    </w:p>
    <w:p w14:paraId="54CA3C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РВС Ворошилов, секретарь РВС Литуновский (7431, 22).</w:t>
      </w:r>
    </w:p>
    <w:p w14:paraId="6D777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3562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года состоялось заседание РВС (выписка из протокола N 6):</w:t>
      </w:r>
    </w:p>
    <w:p w14:paraId="4714C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 результатах обследования КБ Гроховского.</w:t>
      </w:r>
    </w:p>
    <w:p w14:paraId="02215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Указать Алкснису, что несмотря на проявленное им внимание к работам Гроховского, проведенные им мероприятия были недостаточны для изжития ненормальностей работы бюро Гроховского.</w:t>
      </w:r>
    </w:p>
    <w:p w14:paraId="548D7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Гроховскому случаи проявления им недисциплинированности, недопустимой для командира РККА (3771,42).</w:t>
      </w:r>
    </w:p>
    <w:p w14:paraId="51182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137406" w14:textId="77777777" w:rsidR="0027552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356CDD7" w14:textId="77777777" w:rsidR="00275520" w:rsidRPr="00E93F40" w:rsidRDefault="0027552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4238BC5" w14:textId="1DE99CAC" w:rsidR="00275520" w:rsidRPr="00E93F40" w:rsidRDefault="00275520" w:rsidP="00E93F40">
      <w:pPr>
        <w:pStyle w:val="rtejustify"/>
        <w:spacing w:before="0" w:after="0"/>
        <w:rPr>
          <w:color w:val="000000" w:themeColor="text1"/>
          <w:sz w:val="16"/>
          <w:szCs w:val="16"/>
        </w:rPr>
      </w:pPr>
      <w:r w:rsidRPr="00E93F40">
        <w:rPr>
          <w:rStyle w:val="af0"/>
          <w:i w:val="0"/>
          <w:color w:val="000000" w:themeColor="text1"/>
          <w:sz w:val="16"/>
          <w:szCs w:val="16"/>
        </w:rPr>
        <w:t>17</w:t>
      </w:r>
      <w:r w:rsidR="007C1411" w:rsidRPr="00E93F40">
        <w:rPr>
          <w:rStyle w:val="af0"/>
          <w:i w:val="0"/>
          <w:color w:val="000000" w:themeColor="text1"/>
          <w:sz w:val="16"/>
          <w:szCs w:val="16"/>
        </w:rPr>
        <w:t xml:space="preserve"> </w:t>
      </w:r>
      <w:r w:rsidRPr="00E93F40">
        <w:rPr>
          <w:rStyle w:val="af0"/>
          <w:i w:val="0"/>
          <w:color w:val="000000" w:themeColor="text1"/>
          <w:sz w:val="16"/>
          <w:szCs w:val="16"/>
        </w:rPr>
        <w:t xml:space="preserve">февраля 1932 г. Протокол Реввоенсовета № 6. </w:t>
      </w: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Осуществление системы химвооружения и ввод образцов на вооружение (Фишман). 8.</w:t>
      </w:r>
      <w:r w:rsidR="007C1411" w:rsidRPr="00E93F40">
        <w:rPr>
          <w:color w:val="000000" w:themeColor="text1"/>
          <w:sz w:val="16"/>
          <w:szCs w:val="16"/>
        </w:rPr>
        <w:t xml:space="preserve"> </w:t>
      </w:r>
      <w:r w:rsidRPr="00E93F40">
        <w:rPr>
          <w:color w:val="000000" w:themeColor="text1"/>
          <w:sz w:val="16"/>
          <w:szCs w:val="16"/>
        </w:rPr>
        <w:t>О результатах обследования конструкторского бюро Гроховского (Эйдеман). 9.</w:t>
      </w:r>
      <w:r w:rsidR="007C1411" w:rsidRPr="00E93F40">
        <w:rPr>
          <w:color w:val="000000" w:themeColor="text1"/>
          <w:sz w:val="16"/>
          <w:szCs w:val="16"/>
        </w:rPr>
        <w:t xml:space="preserve"> </w:t>
      </w:r>
      <w:r w:rsidRPr="00E93F40">
        <w:rPr>
          <w:color w:val="000000" w:themeColor="text1"/>
          <w:sz w:val="16"/>
          <w:szCs w:val="16"/>
        </w:rPr>
        <w:t>О состоянии строительства центральных полигонов и о состоянии строительства научно-испытательного института ВВС в Щелково (Егоров).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59, 61) (12342).</w:t>
      </w:r>
    </w:p>
    <w:p w14:paraId="22B5D62A" w14:textId="77777777" w:rsidR="00275520" w:rsidRPr="00E93F40" w:rsidRDefault="00275520" w:rsidP="00E93F40">
      <w:pPr>
        <w:pStyle w:val="rtejustify"/>
        <w:spacing w:before="0" w:after="0"/>
        <w:rPr>
          <w:color w:val="000000" w:themeColor="text1"/>
          <w:sz w:val="16"/>
          <w:szCs w:val="16"/>
        </w:rPr>
      </w:pPr>
    </w:p>
    <w:p w14:paraId="34E5DBA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129748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E695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в Ленинграде приступили к строительству крупнейшего в Европе швейного комбината на территории б. Александровского рынка (3960,67).</w:t>
      </w:r>
    </w:p>
    <w:p w14:paraId="0B2E2F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D43B53" w14:textId="77777777" w:rsidR="00DF471F"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bookmarkStart w:id="12" w:name="bookmark17"/>
      <w:r w:rsidRPr="00E93F40">
        <w:rPr>
          <w:rFonts w:ascii="Times New Roman" w:hAnsi="Times New Roman"/>
          <w:i/>
          <w:iCs/>
          <w:color w:val="000000" w:themeColor="text1"/>
          <w:sz w:val="16"/>
          <w:szCs w:val="16"/>
        </w:rPr>
        <w:t>Внешняя политика:</w:t>
      </w:r>
    </w:p>
    <w:p w14:paraId="39F48332" w14:textId="77777777" w:rsidR="00DF471F" w:rsidRPr="00E93F40" w:rsidRDefault="00DF471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59D6CC" w14:textId="77777777" w:rsidR="00DF471F" w:rsidRPr="00E93F40" w:rsidRDefault="00DF4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февраля 1932 г., когда Алкснису со</w:t>
      </w:r>
      <w:r w:rsidRPr="00E93F40">
        <w:rPr>
          <w:rFonts w:ascii="Times New Roman" w:hAnsi="Times New Roman"/>
          <w:color w:val="000000" w:themeColor="text1"/>
          <w:sz w:val="16"/>
          <w:szCs w:val="16"/>
        </w:rPr>
        <w:softHyphen/>
        <w:t>общили, что РВС СССР разрешил «проводить Синьцзянский заказ в полном объеме».</w:t>
      </w:r>
    </w:p>
    <w:p w14:paraId="359254CF" w14:textId="77777777" w:rsidR="00DF471F" w:rsidRPr="00E93F40" w:rsidRDefault="00DF4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УВВС предписывалось: «1). Немедленно передать в Глававиапром три новых</w:t>
      </w:r>
      <w:r w:rsidRPr="00E93F40">
        <w:rPr>
          <w:rStyle w:val="0pt0"/>
          <w:rFonts w:eastAsia="Arial"/>
          <w:b w:val="0"/>
          <w:color w:val="000000" w:themeColor="text1"/>
          <w:spacing w:val="0"/>
          <w:sz w:val="16"/>
          <w:szCs w:val="16"/>
        </w:rPr>
        <w:t xml:space="preserve"> само</w:t>
      </w:r>
      <w:r w:rsidRPr="00E93F40">
        <w:rPr>
          <w:rStyle w:val="0pt0"/>
          <w:rFonts w:eastAsia="Arial"/>
          <w:b w:val="0"/>
          <w:color w:val="000000" w:themeColor="text1"/>
          <w:spacing w:val="0"/>
          <w:sz w:val="16"/>
          <w:szCs w:val="16"/>
        </w:rPr>
        <w:softHyphen/>
        <w:t>лёта</w:t>
      </w:r>
      <w:r w:rsidRPr="00E93F40">
        <w:rPr>
          <w:rFonts w:ascii="Times New Roman" w:hAnsi="Times New Roman"/>
          <w:color w:val="000000" w:themeColor="text1"/>
          <w:sz w:val="16"/>
          <w:szCs w:val="16"/>
        </w:rPr>
        <w:t xml:space="preserve"> Р-1 с моторами М-5, полным вооружением, оборудованием для раций, усилен</w:t>
      </w:r>
      <w:r w:rsidRPr="00E93F40">
        <w:rPr>
          <w:rFonts w:ascii="Times New Roman" w:hAnsi="Times New Roman"/>
          <w:color w:val="000000" w:themeColor="text1"/>
          <w:sz w:val="16"/>
          <w:szCs w:val="16"/>
        </w:rPr>
        <w:softHyphen/>
      </w:r>
      <w:r w:rsidRPr="00E93F40">
        <w:rPr>
          <w:rStyle w:val="0pt0"/>
          <w:rFonts w:eastAsia="Arial"/>
          <w:b w:val="0"/>
          <w:color w:val="000000" w:themeColor="text1"/>
          <w:spacing w:val="0"/>
          <w:sz w:val="16"/>
          <w:szCs w:val="16"/>
        </w:rPr>
        <w:t>ным</w:t>
      </w:r>
      <w:r w:rsidRPr="00E93F40">
        <w:rPr>
          <w:rFonts w:ascii="Times New Roman" w:hAnsi="Times New Roman"/>
          <w:color w:val="000000" w:themeColor="text1"/>
          <w:sz w:val="16"/>
          <w:szCs w:val="16"/>
        </w:rPr>
        <w:t xml:space="preserve"> комплектом запчастей и добавочными радиаторами.</w:t>
      </w:r>
    </w:p>
    <w:p w14:paraId="49CC570D" w14:textId="77777777" w:rsidR="00DF471F" w:rsidRPr="00E93F40" w:rsidRDefault="00DF4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должны быть доставлены на завод № 1 — Москва, где будет</w:t>
      </w:r>
      <w:r w:rsidRPr="00E93F40">
        <w:rPr>
          <w:rStyle w:val="10pt"/>
          <w:rFonts w:ascii="Times New Roman" w:hAnsi="Times New Roman" w:cs="Times New Roman"/>
          <w:color w:val="000000" w:themeColor="text1"/>
          <w:spacing w:val="0"/>
          <w:sz w:val="16"/>
          <w:szCs w:val="16"/>
        </w:rPr>
        <w:t xml:space="preserve"> произведе</w:t>
      </w:r>
      <w:r w:rsidRPr="00E93F40">
        <w:rPr>
          <w:rStyle w:val="10pt"/>
          <w:rFonts w:ascii="Times New Roman" w:hAnsi="Times New Roman" w:cs="Times New Roman"/>
          <w:color w:val="000000" w:themeColor="text1"/>
          <w:spacing w:val="0"/>
          <w:sz w:val="16"/>
          <w:szCs w:val="16"/>
        </w:rPr>
        <w:softHyphen/>
      </w:r>
      <w:r w:rsidRPr="00E93F40">
        <w:rPr>
          <w:rStyle w:val="0pt0"/>
          <w:rFonts w:eastAsia="Arial"/>
          <w:b w:val="0"/>
          <w:color w:val="000000" w:themeColor="text1"/>
          <w:spacing w:val="0"/>
          <w:sz w:val="16"/>
          <w:szCs w:val="16"/>
        </w:rPr>
        <w:t>на</w:t>
      </w:r>
      <w:r w:rsidRPr="00E93F40">
        <w:rPr>
          <w:rFonts w:ascii="Times New Roman" w:hAnsi="Times New Roman"/>
          <w:color w:val="000000" w:themeColor="text1"/>
          <w:sz w:val="16"/>
          <w:szCs w:val="16"/>
        </w:rPr>
        <w:t xml:space="preserve"> установка раций, заменены пульустановки Дегтярева и произведена тщательная от</w:t>
      </w:r>
      <w:r w:rsidRPr="00E93F40">
        <w:rPr>
          <w:rFonts w:ascii="Times New Roman" w:hAnsi="Times New Roman"/>
          <w:color w:val="000000" w:themeColor="text1"/>
          <w:sz w:val="16"/>
          <w:szCs w:val="16"/>
        </w:rPr>
        <w:softHyphen/>
        <w:t>делка машин с закраской звезд и опознавательных знаков.</w:t>
      </w:r>
    </w:p>
    <w:p w14:paraId="3F345CFF" w14:textId="77777777" w:rsidR="00DF471F" w:rsidRPr="00E93F40" w:rsidRDefault="00DF471F" w:rsidP="00E93F40">
      <w:pPr>
        <w:tabs>
          <w:tab w:val="left" w:pos="63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Отпустить для трех Р-1 три фотоаппарата ПАТЕ-1-БС с принадлежностями.</w:t>
      </w:r>
    </w:p>
    <w:p w14:paraId="56E08338" w14:textId="77777777" w:rsidR="00DF471F" w:rsidRPr="00E93F40" w:rsidRDefault="00DF471F" w:rsidP="00E93F40">
      <w:pPr>
        <w:tabs>
          <w:tab w:val="left" w:pos="64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Разрешить Глававиапрому:</w:t>
      </w:r>
    </w:p>
    <w:p w14:paraId="7E16DA59" w14:textId="77777777" w:rsidR="00DF471F" w:rsidRPr="00E93F40" w:rsidRDefault="00DF471F" w:rsidP="00E93F40">
      <w:pPr>
        <w:tabs>
          <w:tab w:val="left" w:pos="602"/>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немедленно передать заводу № 23 в Ленинграде три самолёта У-2 с моторами М-11, усиленным комплектом запчастей.</w:t>
      </w:r>
    </w:p>
    <w:p w14:paraId="4DC394D2" w14:textId="77777777" w:rsidR="00DF471F" w:rsidRPr="00E93F40" w:rsidRDefault="00DF471F" w:rsidP="00E93F40">
      <w:pPr>
        <w:tabs>
          <w:tab w:val="left" w:pos="59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перебросить с завода № 29 в г. Запорожье два мотора М-22 с запчастями для ус</w:t>
      </w:r>
      <w:r w:rsidRPr="00E93F40">
        <w:rPr>
          <w:rFonts w:ascii="Times New Roman" w:hAnsi="Times New Roman"/>
          <w:color w:val="000000" w:themeColor="text1"/>
          <w:sz w:val="16"/>
          <w:szCs w:val="16"/>
        </w:rPr>
        <w:softHyphen/>
        <w:t>тановки на самолётах К-5 взамен М-15.</w:t>
      </w:r>
    </w:p>
    <w:p w14:paraId="63312C4E" w14:textId="77777777" w:rsidR="00DF471F" w:rsidRPr="00E93F40" w:rsidRDefault="00DF471F" w:rsidP="00E93F40">
      <w:pPr>
        <w:tabs>
          <w:tab w:val="left" w:pos="64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Отпустить 1000 16-кг аэробомб, из коих 700 осколочных и 300 фугасных.</w:t>
      </w:r>
    </w:p>
    <w:p w14:paraId="707D9B61" w14:textId="77777777" w:rsidR="00DF471F" w:rsidRPr="00E93F40" w:rsidRDefault="00DF471F" w:rsidP="00E93F40">
      <w:pPr>
        <w:tabs>
          <w:tab w:val="left" w:pos="67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 целях скорейшего продвижения грузов разрешить отправку их произвести по военным требованиям.</w:t>
      </w:r>
    </w:p>
    <w:p w14:paraId="1DBEB96C" w14:textId="77777777" w:rsidR="00DF471F" w:rsidRPr="00E93F40" w:rsidRDefault="00DF471F" w:rsidP="00E93F40">
      <w:pPr>
        <w:tabs>
          <w:tab w:val="left" w:pos="665"/>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Выделить для перегонки трёх самолётов Р-1 трёх лётчиков, двух техников и од</w:t>
      </w:r>
      <w:r w:rsidRPr="00E93F40">
        <w:rPr>
          <w:rFonts w:ascii="Times New Roman" w:hAnsi="Times New Roman"/>
          <w:color w:val="000000" w:themeColor="text1"/>
          <w:sz w:val="16"/>
          <w:szCs w:val="16"/>
        </w:rPr>
        <w:softHyphen/>
        <w:t>ного лётчика-наблюдателя, знакомого с радио-работой и аэрофотосъемкой. Самолё</w:t>
      </w:r>
      <w:r w:rsidRPr="00E93F40">
        <w:rPr>
          <w:rFonts w:ascii="Times New Roman" w:hAnsi="Times New Roman"/>
          <w:color w:val="000000" w:themeColor="text1"/>
          <w:sz w:val="16"/>
          <w:szCs w:val="16"/>
        </w:rPr>
        <w:softHyphen/>
      </w:r>
      <w:r w:rsidRPr="00E93F40">
        <w:rPr>
          <w:rStyle w:val="0pt0"/>
          <w:rFonts w:eastAsia="Arial"/>
          <w:b w:val="0"/>
          <w:color w:val="000000" w:themeColor="text1"/>
          <w:spacing w:val="0"/>
          <w:sz w:val="16"/>
          <w:szCs w:val="16"/>
        </w:rPr>
        <w:t>ты</w:t>
      </w:r>
      <w:r w:rsidRPr="00E93F40">
        <w:rPr>
          <w:rFonts w:ascii="Times New Roman" w:hAnsi="Times New Roman"/>
          <w:color w:val="000000" w:themeColor="text1"/>
          <w:sz w:val="16"/>
          <w:szCs w:val="16"/>
        </w:rPr>
        <w:t xml:space="preserve"> идут лётом из Аягуза до Урумчи...</w:t>
      </w:r>
    </w:p>
    <w:p w14:paraId="38DC2E57" w14:textId="77777777" w:rsidR="00DF471F" w:rsidRPr="00E93F40" w:rsidRDefault="00DF4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Оформить загранпаспорта команди</w:t>
      </w:r>
      <w:r w:rsidRPr="00E93F40">
        <w:rPr>
          <w:rFonts w:ascii="Times New Roman" w:hAnsi="Times New Roman"/>
          <w:color w:val="000000" w:themeColor="text1"/>
          <w:sz w:val="16"/>
          <w:szCs w:val="16"/>
        </w:rPr>
        <w:softHyphen/>
        <w:t>руемых лётчиков, техников и летнаба сро</w:t>
      </w:r>
      <w:r w:rsidRPr="00E93F40">
        <w:rPr>
          <w:rFonts w:ascii="Times New Roman" w:hAnsi="Times New Roman"/>
          <w:color w:val="000000" w:themeColor="text1"/>
          <w:sz w:val="16"/>
          <w:szCs w:val="16"/>
        </w:rPr>
        <w:softHyphen/>
        <w:t>ком командировки на 1,5 месяца.</w:t>
      </w:r>
    </w:p>
    <w:p w14:paraId="71EA8BBB" w14:textId="77777777" w:rsidR="00DF471F" w:rsidRPr="00E93F40" w:rsidRDefault="00DF4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Самолёты У-2, моторы М-11 и М-22 Вам будут возмещены заводами в текущем операционном году. Стоимость авиабомб, самолётов Р-1 и остального имущества будет оплачена нами по предоставлению счетов. Расходы по командировке лётчиков оплачиваются Вами» (15802).</w:t>
      </w:r>
    </w:p>
    <w:p w14:paraId="4DFF73C1" w14:textId="77777777" w:rsidR="00DF471F" w:rsidRPr="00E93F40" w:rsidRDefault="00DF471F" w:rsidP="00E93F40">
      <w:pPr>
        <w:spacing w:after="0" w:line="240" w:lineRule="auto"/>
        <w:jc w:val="both"/>
        <w:rPr>
          <w:rFonts w:ascii="Times New Roman" w:hAnsi="Times New Roman"/>
          <w:color w:val="000000" w:themeColor="text1"/>
          <w:sz w:val="16"/>
          <w:szCs w:val="16"/>
        </w:rPr>
      </w:pPr>
    </w:p>
    <w:bookmarkEnd w:id="12"/>
    <w:p w14:paraId="5C087F7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D0ED59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D24E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февраля 1932 прошли массовые аресты монашества. В один день в тюрьмы заключены практически все монахи Ленинграда, в их числе - 40 монахов Александро-Невской лавры. Всего арестовано около 500 человек (10739).</w:t>
      </w:r>
    </w:p>
    <w:p w14:paraId="1BEA37D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6E1F7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2BA97B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5BF046" w14:textId="77777777" w:rsidR="00D45048" w:rsidRPr="00E93F40" w:rsidRDefault="00D4504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февраля 1932 СССР предложил на Женевской конференции по разоружению проекты всеобщего, полного и немедленного разоружения либо прогрессивно-пропорционального сокращения вооружённых сил. Проекты были отклонены (12629).</w:t>
      </w:r>
    </w:p>
    <w:p w14:paraId="511D7343" w14:textId="77777777" w:rsidR="00D45048" w:rsidRPr="00E93F40" w:rsidRDefault="00D45048" w:rsidP="00E93F40">
      <w:pPr>
        <w:autoSpaceDE w:val="0"/>
        <w:autoSpaceDN w:val="0"/>
        <w:adjustRightInd w:val="0"/>
        <w:spacing w:after="0" w:line="240" w:lineRule="auto"/>
        <w:jc w:val="both"/>
        <w:rPr>
          <w:rFonts w:ascii="Times New Roman" w:hAnsi="Times New Roman"/>
          <w:color w:val="000000" w:themeColor="text1"/>
          <w:sz w:val="16"/>
          <w:szCs w:val="16"/>
        </w:rPr>
      </w:pPr>
    </w:p>
    <w:p w14:paraId="71DBB6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февраля 1932 была объявлена независимость Манчжурии (2100), которая фактически стала протекторатом Японии (2908,32) во главе с бывшим японским императором Пу И, провозглашенным императором Манчжурии 1 марта (3907,172).</w:t>
      </w:r>
    </w:p>
    <w:p w14:paraId="14EC4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B621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февраля 1932 г. в письме одного из высших менеджеров компании Форда Чарлза Соренсена председателю Амторга П.А.Богданову подчёркивалось, что компания «работала на вас добросовестно, не беря лишних денег. Наша работа обогатила вас и в тех аспектах, которые не просматриваются в бухгалтерских балансах». Справка Иностранного отдела Наркомата тяжёлой промышленности гласила: затраты, даже в валюте, на иностранных техников и рабочих «с избытком себя оправдывают и дают возможность сберечь значительные суммы». Речь шла о внедрении с их помощью передовых методов работы, о повышении качества продукции, сохранении дорогостоящего импортного оборудования и обучении работать на нём. Там, где требовались высокая точность и качество, а также количественное выполнение норм, иностранные рабочие превосходили наших. За большие заслуги в области развития тяжёлой промышленности ордена СССР получило не менее 10 иностранных специалистов (11520).</w:t>
      </w:r>
    </w:p>
    <w:p w14:paraId="5441A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D3E7A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06A852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82E55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февраля 1932 Манчжурия провозгласила независимость от Китая (4962).</w:t>
      </w:r>
    </w:p>
    <w:p w14:paraId="65A4E89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CA23F" w14:textId="77777777" w:rsidR="003C129D" w:rsidRPr="00E93F40" w:rsidRDefault="003C12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18 февраля</w:t>
      </w:r>
      <w:r w:rsidRPr="00E93F40">
        <w:rPr>
          <w:rFonts w:ascii="Times New Roman" w:hAnsi="Times New Roman"/>
          <w:color w:val="000000" w:themeColor="text1"/>
          <w:sz w:val="16"/>
          <w:szCs w:val="16"/>
        </w:rPr>
        <w:t xml:space="preserve"> в 1932 году на территории Маньчжурии образовано прояпонское марионеточное государство Маньчжоу-Го во главе с бывшим китайским императором Пу И (15044).</w:t>
      </w:r>
    </w:p>
    <w:p w14:paraId="02690689" w14:textId="77777777" w:rsidR="003C129D" w:rsidRPr="00E93F40" w:rsidRDefault="003C129D" w:rsidP="00E93F40">
      <w:pPr>
        <w:spacing w:after="0" w:line="240" w:lineRule="auto"/>
        <w:jc w:val="both"/>
        <w:rPr>
          <w:rFonts w:ascii="Times New Roman" w:hAnsi="Times New Roman"/>
          <w:color w:val="000000" w:themeColor="text1"/>
          <w:sz w:val="16"/>
          <w:szCs w:val="16"/>
        </w:rPr>
      </w:pPr>
    </w:p>
    <w:p w14:paraId="122C595E" w14:textId="77777777" w:rsidR="004913A9" w:rsidRPr="00E93F40" w:rsidRDefault="004913A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eastAsia="Times New Roman" w:hAnsi="Times New Roman"/>
          <w:color w:val="000000" w:themeColor="text1"/>
          <w:sz w:val="16"/>
          <w:szCs w:val="16"/>
          <w:lang w:eastAsia="ru-RU"/>
        </w:rPr>
        <w:t>18 февраля (1932)</w:t>
      </w:r>
      <w:r w:rsidRPr="00E93F40">
        <w:rPr>
          <w:rFonts w:ascii="Times New Roman" w:eastAsia="Times New Roman" w:hAnsi="Times New Roman"/>
          <w:bCs/>
          <w:color w:val="000000" w:themeColor="text1"/>
          <w:sz w:val="16"/>
          <w:szCs w:val="16"/>
          <w:lang w:eastAsia="ru-RU"/>
        </w:rPr>
        <w:t xml:space="preserve"> вновь начал свою деятельность так называемый Административный совет Северо-Востока. Руководителями этого совета стали капитулировавший Чжан Цзинхуэй, бывший начальник особого Харбинского района, председатель провинции Ляонин (к тому времени Фэн-тяньская провинция) Цзан Шии, представитель Хэйлунцзянской провинции Ма Чжаньшань и только что признанный новым членом этого комитета председатель провинции Гирин Си Ся. Председателем комитета был Чжан Цзинхуэй. </w:t>
      </w:r>
      <w:r w:rsidRPr="00E93F40">
        <w:rPr>
          <w:rFonts w:ascii="Times New Roman" w:eastAsia="Times New Roman" w:hAnsi="Times New Roman"/>
          <w:color w:val="000000" w:themeColor="text1"/>
          <w:sz w:val="16"/>
          <w:szCs w:val="16"/>
          <w:lang w:eastAsia="ru-RU"/>
        </w:rPr>
        <w:t>19 февраля</w:t>
      </w:r>
      <w:r w:rsidRPr="00E93F40">
        <w:rPr>
          <w:rFonts w:ascii="Times New Roman" w:eastAsia="Times New Roman" w:hAnsi="Times New Roman"/>
          <w:bCs/>
          <w:color w:val="000000" w:themeColor="text1"/>
          <w:sz w:val="16"/>
          <w:szCs w:val="16"/>
          <w:lang w:eastAsia="ru-RU"/>
        </w:rPr>
        <w:t xml:space="preserve"> этот член комитета по указке Итагаки принял решение о создании республики, а затем опубликовал «декларацию независимости» (17325).</w:t>
      </w:r>
    </w:p>
    <w:p w14:paraId="4A6D19F9" w14:textId="77777777" w:rsidR="004913A9" w:rsidRPr="00E93F40" w:rsidRDefault="004913A9" w:rsidP="00E93F40">
      <w:pPr>
        <w:spacing w:after="0" w:line="240" w:lineRule="auto"/>
        <w:jc w:val="both"/>
        <w:rPr>
          <w:rFonts w:ascii="Times New Roman" w:hAnsi="Times New Roman"/>
          <w:color w:val="000000" w:themeColor="text1"/>
          <w:sz w:val="16"/>
          <w:szCs w:val="16"/>
        </w:rPr>
      </w:pPr>
    </w:p>
    <w:p w14:paraId="568A4BD4" w14:textId="77777777" w:rsidR="004913A9" w:rsidRPr="00E93F40" w:rsidRDefault="004913A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февраля 1932 г.</w:t>
      </w:r>
      <w:r w:rsidRPr="00E93F40">
        <w:rPr>
          <w:rFonts w:ascii="Times New Roman" w:hAnsi="Times New Roman"/>
          <w:bCs/>
          <w:color w:val="000000" w:themeColor="text1"/>
          <w:sz w:val="16"/>
          <w:szCs w:val="16"/>
        </w:rPr>
        <w:t xml:space="preserve"> Гитлер становится гражданином Германии. Еще будучи австрийцем, будущий фюрер сражался на стороне Германии в Первой мировой войне, за что даже получил Железный крест первого класса. Потеряв после войны австрийское гражданство — поскольку скрывался от австрийских властей в Баварии, Гитлер долгие годы жил без гражданства вообще, что ему не помешало в 1921 г. стать лидером Национал-социалистической партии Германии (НСДАП). И если еще в 1930 г. он наотрез отказался от возможности получить немецкое гражданство «не прямолинейным» путем, а путем партийной поддержки, то зимой 1932 г. поступает именно таким образом: земельное правительство, находящееся в Брауншвейге и полное партийных друзей Гитлера, выбирает его на пост государственного советника, что автоматически означает разрешение на получение немецкого гражданства (17325).</w:t>
      </w:r>
    </w:p>
    <w:p w14:paraId="128BDAA3" w14:textId="77777777" w:rsidR="004913A9" w:rsidRPr="00E93F40" w:rsidRDefault="004913A9" w:rsidP="00E93F40">
      <w:pPr>
        <w:spacing w:after="0" w:line="240" w:lineRule="auto"/>
        <w:jc w:val="both"/>
        <w:rPr>
          <w:rFonts w:ascii="Times New Roman" w:hAnsi="Times New Roman"/>
          <w:color w:val="000000" w:themeColor="text1"/>
          <w:sz w:val="16"/>
          <w:szCs w:val="16"/>
        </w:rPr>
      </w:pPr>
    </w:p>
    <w:p w14:paraId="1A4F51C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001A38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9EB30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февраля 1932 года вышло Постановление N 109/49сс О производстве аэробомб в 1932 году (3535,2).</w:t>
      </w:r>
    </w:p>
    <w:p w14:paraId="1EA35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74CFA4"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19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109/49сс о производстве аэробомб в 1932 г. (ГА РФ. Ф. Р?8418. Оп. 28. Д. 1а. Л. 144?145) (12415).</w:t>
      </w:r>
    </w:p>
    <w:p w14:paraId="284EC5E2"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p>
    <w:p w14:paraId="669CEE20" w14:textId="77777777" w:rsidR="0078683E" w:rsidRPr="00E93F40" w:rsidRDefault="007868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19 февраля 1932 вышло постановление № 109/49сс РЗ СТО или КО (№ 254/ко от 19.2.1932 г.) О производстве аэробомб в 1932 г. (21564).</w:t>
      </w:r>
    </w:p>
    <w:p w14:paraId="2D681FF6" w14:textId="77777777" w:rsidR="0078683E" w:rsidRPr="00E93F40" w:rsidRDefault="0078683E" w:rsidP="00E93F40">
      <w:pPr>
        <w:spacing w:after="0" w:line="240" w:lineRule="auto"/>
        <w:jc w:val="both"/>
        <w:rPr>
          <w:rFonts w:ascii="Times New Roman" w:hAnsi="Times New Roman"/>
          <w:color w:val="000000" w:themeColor="text1"/>
          <w:sz w:val="16"/>
          <w:szCs w:val="16"/>
        </w:rPr>
      </w:pPr>
    </w:p>
    <w:p w14:paraId="710A39F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05E311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8E0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февраля 1932 г. комиссия, которую возглавил заместитель председателя Реввоенсовета Я. Б. Гамарник, а в ее состав вошли инспектор Морских сил Р. А. Муклевич, председатель Востоксоюзверфи П. Г. Гойнкис, ко</w:t>
      </w:r>
      <w:r w:rsidRPr="00E93F40">
        <w:rPr>
          <w:rFonts w:ascii="Times New Roman" w:hAnsi="Times New Roman"/>
          <w:color w:val="000000" w:themeColor="text1"/>
          <w:sz w:val="16"/>
          <w:szCs w:val="16"/>
        </w:rPr>
        <w:softHyphen/>
        <w:t>мандующий Амурской военной флотилией Д. П. Исаков, И. Кат-тель, который работал главным инженером на строительстве ме</w:t>
      </w:r>
      <w:r w:rsidRPr="00E93F40">
        <w:rPr>
          <w:rFonts w:ascii="Times New Roman" w:hAnsi="Times New Roman"/>
          <w:color w:val="000000" w:themeColor="text1"/>
          <w:sz w:val="16"/>
          <w:szCs w:val="16"/>
        </w:rPr>
        <w:softHyphen/>
        <w:t>таллургического комбината у горы Магнитной на Урале, выбрала местом расположения завода, который получил название Амурская верфь, село Пермское, находившееся на берегу Амура, но ближе к его устью. Решающим доводом в пользу этого выбора бьша удаленность площадки от го</w:t>
      </w:r>
      <w:r w:rsidRPr="00E93F40">
        <w:rPr>
          <w:rFonts w:ascii="Times New Roman" w:hAnsi="Times New Roman"/>
          <w:color w:val="000000" w:themeColor="text1"/>
          <w:sz w:val="16"/>
          <w:szCs w:val="16"/>
        </w:rPr>
        <w:softHyphen/>
        <w:t>сударственной границы СССР. После доклада в Москву на Дальний Восток из столицы ушло две телеграммы:</w:t>
      </w:r>
    </w:p>
    <w:p w14:paraId="6B67077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97646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CF4D34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5B6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19 и 26 февраля 1932. Из протокола заседания Политбюро № 89, 1932 г.</w:t>
      </w:r>
    </w:p>
    <w:p w14:paraId="389E5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гравюрах Рембрандта </w:t>
      </w:r>
    </w:p>
    <w:p w14:paraId="2EB94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Обязать НКПрос выдать в пятидневный срок 150 рембрандтовских гравюр из коллекции Мосолова "Антиквариату" на экспорт... </w:t>
      </w:r>
    </w:p>
    <w:p w14:paraId="14967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НКВТорг вывезти указанные гравюры, согласно договору, на аукцион в Германию с тем, что в случае если не удастся их реализовать по значительно повышенной цене против предварительно установленной по соглашению с фирмой, то в этом случае их не продавать, а оставить за "Антиквариатом" (11652).</w:t>
      </w:r>
    </w:p>
    <w:p w14:paraId="6C327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1702D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5D495B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77FB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февраля 1932 состоялось совещание комиссии "Об опытных самолетах, находящихся в производстве на заводе 39:</w:t>
      </w:r>
    </w:p>
    <w:p w14:paraId="58E4DF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 Зет М-22 - изготовлять в 20 экз. на заводе 39, заключив договор на сдачу с ВВС</w:t>
      </w:r>
    </w:p>
    <w:p w14:paraId="5F4D74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ШОН - предложить директору завода 39 передать самолет заказчику в том виде, в каком он находится в настоящее время. В случае отказа заказчика принять, самолет отправить на завод 16 для реализации по указаниям самолетного треста.</w:t>
      </w:r>
    </w:p>
    <w:p w14:paraId="397C1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ДИ-3 готовую машину и весь задел передать на завод 16 для использования по указаниям самолетного треста.</w:t>
      </w:r>
    </w:p>
    <w:p w14:paraId="68694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И-5 М-15 прекратить постройку ввиду того, что данный тип снимается с производства. Задел отправить на завод 21. Чертежи передать в архив ЦАГИ.</w:t>
      </w:r>
    </w:p>
    <w:p w14:paraId="295A2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ТШ М-17 - самолет с тормозным шасси передать в ЦАГИ для испытания тормозных колес. После испытания самолет сдать на завод 16. Два эталонных экз. доделать заводу 39 и после контрольных полетов сдать ЦАГИ. остальные экз., находящиеся в различных стадиях готовности и задела отправить немедленно на завод 16 для использования по указаниям самолетного треста.</w:t>
      </w:r>
    </w:p>
    <w:p w14:paraId="01FF8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МДР-4 - передать ЦАГИ для статиспытаний и НИР, известив об этом ВВС.</w:t>
      </w:r>
    </w:p>
    <w:p w14:paraId="435B5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Р-5 лимузин передать в ЦАГИ для доделки.</w:t>
      </w:r>
    </w:p>
    <w:p w14:paraId="216551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Р-5 с разрезным крылом передать ЦАГИ</w:t>
      </w:r>
    </w:p>
    <w:p w14:paraId="46FA0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ТБ-5 снять с вооружения и передать в ВОГВФ в том виде, в каком находится в настоящее время.</w:t>
      </w:r>
    </w:p>
    <w:p w14:paraId="00B7A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МДР-3 2-й экз. - весь задел отправить на завод 31.</w:t>
      </w:r>
    </w:p>
    <w:p w14:paraId="1FCBB4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ТШ М-27 отправить на завод 16 для использования по указаниям самолетного треста.</w:t>
      </w:r>
    </w:p>
    <w:p w14:paraId="64E3DC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МБР-2 передать в ЦАГИ для испытаний." (2320,64).</w:t>
      </w:r>
    </w:p>
    <w:p w14:paraId="14962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01C7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февраля 1932 года постановление РВС "О результатах обследования Конструкторского бюро Гроховского"</w:t>
      </w:r>
    </w:p>
    <w:p w14:paraId="62437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Заслушав доклад Эйдемана об обследовании ОСКОНБЮРО, РВС отмечает:</w:t>
      </w:r>
    </w:p>
    <w:p w14:paraId="50C9BFF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недопустимую задержку в проведении изобретений ОСКОНБЮРО через государственные испытания. Из всех работ ОСКОНБЮРО прошли через госиспытания и приняты на вооружение лишь четыре образца. Основные изобретения, в том числе и образцы, демонстрировавшиеся на маневрах, через госиспытания не проведены. Совершенно не определено влияние изобретений Гроховского (люлька, тяжелые подвески) на аэродинамические свойства самолетов.</w:t>
      </w:r>
    </w:p>
    <w:p w14:paraId="66D7561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Нахождение Конструкторского бюро, руководимого Гроховским в составе Научно-исследовательского института ВВС – не обеспечивало в достаточной мере работу бюро в области десантных операций. Вопросы, связанные с производством десанта, занимали в работе института второстепенное место. КБ Гроховского загружалось рядом побочных заданий. Руководство НИИ ВВС не сумело в достаточной мере обеспечить нормальные условия работы для бюро Гроховского.</w:t>
      </w:r>
    </w:p>
    <w:p w14:paraId="6E0F13A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Крайнюю слабость личного состава Бюро как в техническом, так и в социальном и партийном отношении, на 45 человек только 4 члена ВКП(б).</w:t>
      </w:r>
    </w:p>
    <w:p w14:paraId="5373248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нормальных взаимоотношений между Гроховским и руководством НИИ ВВС, что объясняется как причинами, отмеченными в п.п. 1 и 2, так и крайней недисциплинированностью самого Гроховского.</w:t>
      </w:r>
    </w:p>
    <w:p w14:paraId="034CFD9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Неналаженность производства парашютов на фабрике № 1 Мостекстильшвейсоюза (программа 1931 года выполнена лишь на 30-40%, дороговизна парашютов, нечеткая калькуляция), в результате чего не представляется даже возможным точно установить действительную стоимость парашюта Гроховского.</w:t>
      </w:r>
    </w:p>
    <w:p w14:paraId="3BA8C2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Фабрика № 1 в нынешнем состоянии не может обеспечить производства парашютов даже для удовлетворения потребностей мирного времени.</w:t>
      </w:r>
    </w:p>
    <w:p w14:paraId="543B6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РВС, учитывая важность и актуальность задач, возложенных на ОСКОНБЮРО, руководимое Гроховским, постановляет:</w:t>
      </w:r>
    </w:p>
    <w:p w14:paraId="069899D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Осконбюро подчинить непосредственно начальнику ВВС, сосредоточив все внимание и силы Осконбюро на разработке вопросов воздушного десанта.</w:t>
      </w:r>
    </w:p>
    <w:p w14:paraId="2751D23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ВВС в срочном порядке укрепить аппарат Осконбюро техсоставом, командировав туда не менее двух инженеров и 10 одногодичников из инженерно-технического состава. Повысить партийную прослойку в личном составе Осконбюро до 50-60%.</w:t>
      </w:r>
    </w:p>
    <w:p w14:paraId="08FAB2B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Отменить решение ВВС о переводе Осконбюро на хозрасчетс оставлением на последнем лишь находящихся в ведении Осконбюро мастерских. Установить, что Осконбюро работает на основе твердого плана, утверждаемого ВВС и Штабом РККА и обеспечиваемого отпуском средств по госбюджету.</w:t>
      </w:r>
    </w:p>
    <w:p w14:paraId="14A7FB4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Финансирование Осконбюро проводить лишь через УВВС, окончательно прекратив всякое финансирование Осконбюро из других источников. Предложить Гроховскому наладить отчетность Осконбюро и мастерских.</w:t>
      </w:r>
    </w:p>
    <w:p w14:paraId="0B601EA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Штабу РККА совместно с УВВС в месячный срок определить тактико-технические требования к специфическому снаряжению и вооружению десантных отрядов.</w:t>
      </w:r>
    </w:p>
    <w:p w14:paraId="01858FB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Подтвердить решение УВВС о принятии на вооружение транспортного подсамолетного бензинового бака на 34,4 кг, транспортного картонажного цилиндра Г2, транспортного фанерного цилиндра Г3 и фотокассетного сбрасывателя, как прошедших испытания. Предложить УВВС в срочном порядке провести госиспытания по всем остальным изобретениям Гроховского, по которым уже имеются готовые образцы.</w:t>
      </w:r>
    </w:p>
    <w:p w14:paraId="7BE63FA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не дожидаясь результатов испытания, дать серийный заказ на десантный и грузовой парашюты 3 и 12 м, десантную кабину и трехместный авиабус и провести все эти образцы в лето текущего года через войсковые испытания. О возможности передачи авиабуса в 1,7 тонны на войсковые испытания – решить дополнительно после проверки ВВС первого изготовленного образца.</w:t>
      </w:r>
    </w:p>
    <w:p w14:paraId="4B24FF6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в Правительстве вопрос о переводе парашютной фабрики на положение государственного предприятия с подчинением Наркомату легкой промышленности.</w:t>
      </w:r>
    </w:p>
    <w:p w14:paraId="6565E81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Гроховскому продолжать дальнейшую работу над грузовыми парашютами крупного диаметра 20-25 - 30-40 м.</w:t>
      </w:r>
    </w:p>
    <w:p w14:paraId="118632A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и Штабу РКККА в декадный срок утвердить план заданий Гроховскому на 1932 год.</w:t>
      </w:r>
    </w:p>
    <w:p w14:paraId="6452A24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Указать Алкснису, что несмотря на проявленное им к работам Гроховского внимание, проведенные им мероприятия были недостаточны для изжития ненормальностей в работе Осконбюро.</w:t>
      </w:r>
    </w:p>
    <w:p w14:paraId="5129A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поставить на вид Гроховскому случаи проявленной им недисциплинированности, недопустимой для командира РККА. Предложить Гроховскому интенсивной работой и дисциплинированностью ликвидировать нездоровую атмосферу, создавшуюся вокруг его бюро.</w:t>
      </w:r>
    </w:p>
    <w:p w14:paraId="4640CD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(Пометка: Наумову, Меженинову. 1. К руководству и исполнению. 2. КБ подчиняю непосредственно Меженинову, на которого и возлагаю ответственность за его состояние, работу и проведение в жизнь настоящего постановления. 3. Меженинову ускорить согласование со Штабом РККА план работы Осконбюро на утверждение РВС. 26 февраля 1932 года. Алкснис) (7431, 43).</w:t>
      </w:r>
    </w:p>
    <w:p w14:paraId="3F15BA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B1A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февраля 1932 года вышло Постановление РВС _О результатах обследования КБ Гроховского_:</w:t>
      </w:r>
    </w:p>
    <w:p w14:paraId="1CB0A7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Заслушав доклад Эйдемана об обследовании ОСКОНБЮРО, РВС отмечает:</w:t>
      </w:r>
    </w:p>
    <w:p w14:paraId="402267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недопустимую задержку в проведении изобретений ОСКОНБЮРО через гос. испытания. Из всех работ ОСКОНБЮРО прошли через испытания и приняты на вооружение лишь четыре образца. Основные изобретения, в т.ч. и образцы демонстрировавшиеся на маневрах, через гос. испытания не проведены. Совершенно не определено влияние изобретений Гроховского (люлька, тяжелые подвески) на аэродинамические свойства самолетов.</w:t>
      </w:r>
    </w:p>
    <w:p w14:paraId="02F7A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Нахождение КБ, руководимого Гроховским не обеспечивало в достаточной мере работу бюро в области десантных операций. Вопросы, связанные с производством десанта, занимали в работе института второстепенное место. КБ Гроховского загружалось рядом побочных заданий.</w:t>
      </w:r>
    </w:p>
    <w:p w14:paraId="72E5B2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Неналаженность производства парашютов на фабрике N 1 Мостекстильшвейсоюза (программа 1931 года выполнена лишь на 30-40%, дороговизна парашютов, нечеткая калькуляция), в результате чего невозможно установить действительную стоимость парашюта Гроховского.</w:t>
      </w:r>
    </w:p>
    <w:p w14:paraId="7100E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РВС учитывая важность и актуальность задач, возложенных на ОСКОНБЮРО постановляет:</w:t>
      </w:r>
    </w:p>
    <w:p w14:paraId="49D17D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ОСКОНБЮРО подчинить непосредственно начальнику ВВС, сосредоточив все внимание и силы ОСКОНБЮРО на разработке вопросов воздушного десанта.</w:t>
      </w:r>
    </w:p>
    <w:p w14:paraId="04CF43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Подтвердить решение УВВС о принятии на вооружение транспортного подсамолетного бензинового бака на 34,4 кг, транспортного картонного цилиндра Г2, транспортного фанерного цилиндра Г3 и фотокассетного сбрасывателя как прошедших испытания. Предложить УВВС в срочном порядке провести гос. испытания по всем остальным изобретениям Гроховского по которым имеются уже готовые образцы.</w:t>
      </w:r>
    </w:p>
    <w:p w14:paraId="1E50A2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не дожидаясь результатов испытания, дать серийный заказ на десантный и грузовой парашюты 3 и 12 м, десантную кабину и 3-х местный авиабус и провести все эти образцы в лето текущего года через войсковые испытания. О возможности передачи авиабуса в 1,7 тонны на войсковые испытания - решить дополнительно после проверки ВВС первого изготовленного образца.</w:t>
      </w:r>
    </w:p>
    <w:p w14:paraId="16897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Гроховскому продолжать работу над грузовыми парашютами крупного диаметра 20-25-30-40 м.</w:t>
      </w:r>
    </w:p>
    <w:p w14:paraId="330C1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и штабу РККА в декадный срок утвердить план заданий Гроховскому на 1932 год (3788,27).</w:t>
      </w:r>
    </w:p>
    <w:p w14:paraId="7304C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DBF48A" w14:textId="77777777" w:rsidR="0078683E" w:rsidRPr="00E93F40" w:rsidRDefault="007868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февраля 1932 года вышло постановлении РВС СССР «О результатах обследования Конструкторского бюро т. Гроховского». В постановлении:</w:t>
      </w:r>
    </w:p>
    <w:p w14:paraId="7C412FCA" w14:textId="77777777" w:rsidR="0078683E" w:rsidRPr="00E93F40" w:rsidRDefault="007868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Во-первых, были выделены недостатки работы бюро. Проверяющие отметили «совершенно недопустимую затяжку в проведении изобретений Осконбюро через гос. испытания». Действительно, только 4 образца прошли государственные испытания и были приняты на вооружение. Даже те опытные экземпляры, которые демонстрировались на маневрах, не проходили эти испытания. Кроме того, испытания в области десантных операций тормозились тем, что КБ подчинялось НИИ ВВС, а между руководством НИИ и П. Гороховским не было взаимопонимания. Как отмечали члены комиссии РВС, это было связано с «крайней недисциплинированностью самого т. Гроховского». П. Гроховскому ставились «на вид случаи проявления им недисциплинированности, недопустимой для командира РККА», и предложено «интенсивной работой и дисциплинированностью ликвидировать нездоровую атмосферу, создавшуюся вокруг его бюро». Делу мешала, по мнению комиссии, «слабость личного состава бюро как в техническом, так и в социальном и партийном отношении». Из 15 работников бюро только 4 человека были членами ВКП(б).</w:t>
      </w:r>
    </w:p>
    <w:p w14:paraId="6BD35A88" w14:textId="77777777" w:rsidR="0078683E" w:rsidRPr="00E93F40" w:rsidRDefault="007868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Во-вторых, выводы Реввоенсовета содержали ряд мер по улучшению работы КБ П. Гроховского. Так, РВС, учитывая важность и актуальность задач, возложенных на Осконбюро, постановил подчинить КБ непосредственно Начальнику ВВС, сосредоточив все внимание и силы его коллектива на разработке вопросов воздушного десанта (Архив ЦДА и К. Ф. 50. Оп. 1. Д. 3. Л. 21-22.).</w:t>
      </w:r>
    </w:p>
    <w:p w14:paraId="264500E1" w14:textId="77777777" w:rsidR="0078683E" w:rsidRPr="00E93F40" w:rsidRDefault="007868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Вместе с тем, были приняты меры по повышению уровня работников. В КБ были направлены 2 инженера с высшим образованием и 10 представителей инженернотехнического состава, прошедших специальную одногодичную подготовку, так называемых одногодичников. Штаб РККА совместно с Управлением ВВС в месячный срок определили тактико-технические требования к специфическому снаряжению и вооружению десантных отрядов. На вооружение был принят ряд образцов, прошедших испытания, готовые образцы в срочном порядке допускались к государственным испытаниям, а на десантный и грузовой 3-х и 12-метровые парашюты, на десантную кабину и трехместный авиабус был дан серийный заказ без результатов государственных испытаний. По этим показателям разрешалось ограничиться войсковыми испытаниями. Продолжилась работа над грузовыми парашютами 20-25-30-40 метров (Архив ЦДА и К. Ф. 50. Оп. 1. Д. 3. Лл. 22-23.) (21402).</w:t>
      </w:r>
    </w:p>
    <w:p w14:paraId="403F79C0" w14:textId="77777777" w:rsidR="0078683E" w:rsidRPr="00E93F40" w:rsidRDefault="0078683E" w:rsidP="00E93F40">
      <w:pPr>
        <w:spacing w:after="0" w:line="240" w:lineRule="auto"/>
        <w:jc w:val="both"/>
        <w:rPr>
          <w:rFonts w:ascii="Times New Roman" w:hAnsi="Times New Roman"/>
          <w:color w:val="000000" w:themeColor="text1"/>
          <w:sz w:val="16"/>
          <w:szCs w:val="16"/>
        </w:rPr>
      </w:pPr>
    </w:p>
    <w:p w14:paraId="19AC4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февраля 1932 года вышло Постановление РВС по обследованию Осконбюро Гроховского (п. 10) и поручили представить на утверждение одобренный начальником ВВС РККА план работ Осконбюро Гроховского (3788).</w:t>
      </w:r>
    </w:p>
    <w:p w14:paraId="0250D8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97C69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3AA795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DFD8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февраля 1932 Л.Д.Т., который находился в Норвегии (3481), был лишен советского гражданства (1348,119).</w:t>
      </w:r>
    </w:p>
    <w:p w14:paraId="013C76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AF4EC6" w14:textId="77777777" w:rsidR="0078683E" w:rsidRPr="00E93F40" w:rsidRDefault="007868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февраля 1932 года Лев Троцкий лишён советского гражданства за антисоветскую деятельность (21176).</w:t>
      </w:r>
    </w:p>
    <w:p w14:paraId="466DCE95" w14:textId="77777777" w:rsidR="0078683E" w:rsidRPr="00E93F40" w:rsidRDefault="0078683E" w:rsidP="00E93F40">
      <w:pPr>
        <w:spacing w:after="0" w:line="240" w:lineRule="auto"/>
        <w:jc w:val="both"/>
        <w:rPr>
          <w:rFonts w:ascii="Times New Roman" w:hAnsi="Times New Roman"/>
          <w:color w:val="000000" w:themeColor="text1"/>
          <w:sz w:val="16"/>
          <w:szCs w:val="16"/>
        </w:rPr>
      </w:pPr>
    </w:p>
    <w:p w14:paraId="07A0E0A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1D817E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1AC49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февраля 1932 закончились испытания самолета ТБ3 эталона на 1932 год с 4-мя моторами БМВ VI С, которые проходили с 4 января (6776).</w:t>
      </w:r>
    </w:p>
    <w:p w14:paraId="0FF49CC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362FB33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Петров</w:t>
      </w:r>
    </w:p>
    <w:p w14:paraId="5EFC44C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Юмашев</w:t>
      </w:r>
    </w:p>
    <w:p w14:paraId="0EE6D49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48777AD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 для выявления:</w:t>
      </w:r>
    </w:p>
    <w:p w14:paraId="2AAFF128"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Полной боеспособности самолета и возможности использования его в виде образца (эталона) для серийной постройки самолетов в 1932 году.</w:t>
      </w:r>
    </w:p>
    <w:p w14:paraId="3AC352B7"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Определение летных данных самолета с полным вооружением и оборудованием.</w:t>
      </w:r>
    </w:p>
    <w:p w14:paraId="7248FF6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Краткий вывод</w:t>
      </w:r>
    </w:p>
    <w:p w14:paraId="757A48B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ТБ1-4М17 принять как эталон для серийной постройки в 1932 году.</w:t>
      </w:r>
    </w:p>
    <w:p w14:paraId="6F436BF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 прохождения испытания самолета ТБ-3 (без номера).</w:t>
      </w:r>
    </w:p>
    <w:p w14:paraId="0891CF7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года – самолет получен с завода ЦАГИ на испытание</w:t>
      </w:r>
    </w:p>
    <w:p w14:paraId="5CD05E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года – тренировочные полеты летчика ведущего испытания.</w:t>
      </w:r>
    </w:p>
    <w:p w14:paraId="40BA81D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года – тренировочные полеты летчика ведущего испытания.</w:t>
      </w:r>
    </w:p>
    <w:p w14:paraId="4E13577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года – тренировочные полеты летчика ведущего испытания.</w:t>
      </w:r>
    </w:p>
    <w:p w14:paraId="570E511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года – начало испытания по программе</w:t>
      </w:r>
    </w:p>
    <w:p w14:paraId="5B4973F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февраля 1932 года – фактическое окончание испытания.</w:t>
      </w:r>
    </w:p>
    <w:p w14:paraId="2BF27C5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48 календарных дней, из них</w:t>
      </w:r>
    </w:p>
    <w:p w14:paraId="1098AC2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дней для испытания – 11</w:t>
      </w:r>
    </w:p>
    <w:p w14:paraId="4C116E3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налетано – 29 час. 04 мин.</w:t>
      </w:r>
    </w:p>
    <w:p w14:paraId="53BE459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Конструктивные отличия эталона от опытного самолета</w:t>
      </w:r>
    </w:p>
    <w:p w14:paraId="457FA2BE"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самолете 2-х метровые колеса «Пальмер» заменены 2-мя тележками с тандемно расположенными колесами 1350х350.</w:t>
      </w:r>
    </w:p>
    <w:p w14:paraId="4C932F6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крыльями установлено по одной стрелковой башне.</w:t>
      </w:r>
    </w:p>
    <w:p w14:paraId="458EA78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стабилизатора увеличен на 1 метр, площадь увеличена на 0,8 м кв.</w:t>
      </w:r>
    </w:p>
    <w:p w14:paraId="0CBEFFAE"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фюзеляжем и под крыльями установлены балочные бомбодержатели.</w:t>
      </w:r>
    </w:p>
    <w:p w14:paraId="16636AD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Установлена жесткая антенна и динамо к радио и электроосветительному оборудованию.</w:t>
      </w:r>
    </w:p>
    <w:p w14:paraId="7F0574AA"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Усилены кронштейны крепления руля высоты к стабилизатору (6776).</w:t>
      </w:r>
    </w:p>
    <w:p w14:paraId="0F59AC6D"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87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февраля 1932 закончились гос. испытания полностью вооруженного ТБ-3 (АНТ-6) с М-17, которые велись с 10 января 1932. Признали эталоном (80,308).</w:t>
      </w:r>
    </w:p>
    <w:p w14:paraId="587005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с 10 января по 21 февраля 1932 проходили гос. испытания АНТ-6 (ТБ-3) первого серийного 22 завода с БМВ-6 (1017,169), доделанного. Приняли в качестве эталона на 1932. Но фактически стал эталоном только на 1 половину, а на вторую - ТБ-3 (АНТ-6) N 2211 (1017,173).</w:t>
      </w:r>
    </w:p>
    <w:p w14:paraId="5C9FF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C45BA0"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февраля 1932 г. закончился третий этап госиспытаний головного АНТ—6 с моторами BMW VI.</w:t>
      </w:r>
    </w:p>
    <w:p w14:paraId="22FBDDDF"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этот самолет были внесены следующие изменения:</w:t>
      </w:r>
    </w:p>
    <w:p w14:paraId="337B7833"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установлена тележка под колеса размером 1350x350мм, расположенные одно за другим;</w:t>
      </w:r>
    </w:p>
    <w:p w14:paraId="22BEFB3F"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смонтированы подкрыльевые стрелковые башни с пулеметом ДА в каждой;</w:t>
      </w:r>
    </w:p>
    <w:p w14:paraId="13B954A4"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стабилизатора увеличен на 1 м;</w:t>
      </w:r>
    </w:p>
    <w:p w14:paraId="47F0C642"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установлено все оборудование;</w:t>
      </w:r>
    </w:p>
    <w:p w14:paraId="7AF2B208"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самолета увеличен до 11 че</w:t>
      </w:r>
      <w:r w:rsidRPr="00E93F40">
        <w:rPr>
          <w:rFonts w:ascii="Times New Roman" w:hAnsi="Times New Roman"/>
          <w:color w:val="000000" w:themeColor="text1"/>
          <w:sz w:val="16"/>
          <w:szCs w:val="16"/>
        </w:rPr>
        <w:softHyphen/>
        <w:t>ловек;</w:t>
      </w:r>
    </w:p>
    <w:p w14:paraId="4BA4D7DD"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носовой кабине стрелка установи</w:t>
      </w:r>
      <w:r w:rsidRPr="00E93F40">
        <w:rPr>
          <w:rFonts w:ascii="Times New Roman" w:hAnsi="Times New Roman"/>
          <w:color w:val="000000" w:themeColor="text1"/>
          <w:sz w:val="16"/>
          <w:szCs w:val="16"/>
        </w:rPr>
        <w:softHyphen/>
        <w:t>ли турель Тур—6 для одного или двух пу</w:t>
      </w:r>
      <w:r w:rsidRPr="00E93F40">
        <w:rPr>
          <w:rFonts w:ascii="Times New Roman" w:hAnsi="Times New Roman"/>
          <w:color w:val="000000" w:themeColor="text1"/>
          <w:sz w:val="16"/>
          <w:szCs w:val="16"/>
        </w:rPr>
        <w:softHyphen/>
        <w:t>леметов ДА, в кабине среднего стрелка и в фюзеляжной (для обстрела задней полу</w:t>
      </w:r>
      <w:r w:rsidRPr="00E93F40">
        <w:rPr>
          <w:rFonts w:ascii="Times New Roman" w:hAnsi="Times New Roman"/>
          <w:color w:val="000000" w:themeColor="text1"/>
          <w:sz w:val="16"/>
          <w:szCs w:val="16"/>
        </w:rPr>
        <w:softHyphen/>
        <w:t>сферы) — по одной перекатывающейся турели Тур—5 с пулеметом ДА. Бомбы массой до 100 кг размещались в бомбоот</w:t>
      </w:r>
      <w:r w:rsidRPr="00E93F40">
        <w:rPr>
          <w:rFonts w:ascii="Times New Roman" w:hAnsi="Times New Roman"/>
          <w:color w:val="000000" w:themeColor="text1"/>
          <w:sz w:val="16"/>
          <w:szCs w:val="16"/>
        </w:rPr>
        <w:softHyphen/>
        <w:t>секах фюзеляжа на кассетных бомбодер</w:t>
      </w:r>
      <w:r w:rsidRPr="00E93F40">
        <w:rPr>
          <w:rFonts w:ascii="Times New Roman" w:hAnsi="Times New Roman"/>
          <w:color w:val="000000" w:themeColor="text1"/>
          <w:sz w:val="16"/>
          <w:szCs w:val="16"/>
        </w:rPr>
        <w:softHyphen/>
        <w:t>жателях. Бомбы калибром 250, 500 и 1000 кг подвешивались только на наруж</w:t>
      </w:r>
      <w:r w:rsidRPr="00E93F40">
        <w:rPr>
          <w:rFonts w:ascii="Times New Roman" w:hAnsi="Times New Roman"/>
          <w:color w:val="000000" w:themeColor="text1"/>
          <w:sz w:val="16"/>
          <w:szCs w:val="16"/>
        </w:rPr>
        <w:softHyphen/>
        <w:t>ные держатели под фюзеляжем и крылом. Нормальная бомбовая нагрузка составля</w:t>
      </w:r>
      <w:r w:rsidRPr="00E93F40">
        <w:rPr>
          <w:rFonts w:ascii="Times New Roman" w:hAnsi="Times New Roman"/>
          <w:color w:val="000000" w:themeColor="text1"/>
          <w:sz w:val="16"/>
          <w:szCs w:val="16"/>
        </w:rPr>
        <w:softHyphen/>
        <w:t>ла 2000 кг, из них 1000 кг — на внутренней подвеске.</w:t>
      </w:r>
    </w:p>
    <w:p w14:paraId="0DFA15FA"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испытаний комиссия пришла к следующим выводам:</w:t>
      </w:r>
    </w:p>
    <w:p w14:paraId="4E29BF62" w14:textId="68F1210E"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головной самолет по своему воору</w:t>
      </w:r>
      <w:r w:rsidRPr="00E93F40">
        <w:rPr>
          <w:rFonts w:ascii="Times New Roman" w:hAnsi="Times New Roman"/>
          <w:color w:val="000000" w:themeColor="text1"/>
          <w:sz w:val="16"/>
          <w:szCs w:val="16"/>
        </w:rPr>
        <w:softHyphen/>
        <w:t>жению и оборудованию вполне боеспо</w:t>
      </w:r>
      <w:r w:rsidRPr="00E93F40">
        <w:rPr>
          <w:rFonts w:ascii="Times New Roman" w:hAnsi="Times New Roman"/>
          <w:color w:val="000000" w:themeColor="text1"/>
          <w:sz w:val="16"/>
          <w:szCs w:val="16"/>
        </w:rPr>
        <w:softHyphen/>
        <w:t>собен и может быть рекомендован в каче</w:t>
      </w:r>
      <w:r w:rsidRPr="00E93F40">
        <w:rPr>
          <w:rFonts w:ascii="Times New Roman" w:hAnsi="Times New Roman"/>
          <w:color w:val="000000" w:themeColor="text1"/>
          <w:sz w:val="16"/>
          <w:szCs w:val="16"/>
        </w:rPr>
        <w:softHyphen/>
        <w:t>стве эталона для серии 1932 г.;</w:t>
      </w:r>
    </w:p>
    <w:p w14:paraId="329FE8D8"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серию 1933 г. строить с моторами М—34 и более совершенными подкрыль</w:t>
      </w:r>
      <w:r w:rsidRPr="00E93F40">
        <w:rPr>
          <w:rFonts w:ascii="Times New Roman" w:hAnsi="Times New Roman"/>
          <w:color w:val="000000" w:themeColor="text1"/>
          <w:sz w:val="16"/>
          <w:szCs w:val="16"/>
        </w:rPr>
        <w:softHyphen/>
        <w:t>евыми башнями;</w:t>
      </w:r>
    </w:p>
    <w:p w14:paraId="3BB482EE"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проверить аэронавигационное обо</w:t>
      </w:r>
      <w:r w:rsidRPr="00E93F40">
        <w:rPr>
          <w:rFonts w:ascii="Times New Roman" w:hAnsi="Times New Roman"/>
          <w:color w:val="000000" w:themeColor="text1"/>
          <w:sz w:val="16"/>
          <w:szCs w:val="16"/>
        </w:rPr>
        <w:softHyphen/>
        <w:t>рудование в слепом полете (23474).</w:t>
      </w:r>
    </w:p>
    <w:p w14:paraId="170FC3D9" w14:textId="77777777" w:rsidR="00731874" w:rsidRPr="00E93F40" w:rsidRDefault="00731874" w:rsidP="00E93F40">
      <w:pPr>
        <w:spacing w:after="0" w:line="240" w:lineRule="auto"/>
        <w:jc w:val="both"/>
        <w:rPr>
          <w:rFonts w:ascii="Times New Roman" w:hAnsi="Times New Roman"/>
          <w:color w:val="000000" w:themeColor="text1"/>
          <w:sz w:val="16"/>
          <w:szCs w:val="16"/>
        </w:rPr>
      </w:pPr>
    </w:p>
    <w:p w14:paraId="045EFF24" w14:textId="77777777" w:rsidR="0078683E" w:rsidRPr="00E93F40" w:rsidRDefault="007868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21 февраля 1932 года Горьковскому авиазаводу № 21, который вступил в строй 1 февраля 1932 года, приказом по Главному Управлению авиационной промышленности Народного Комиссариата Тяжелой Промышленности № 109 от ему присваивается имя секретаря ЦИК СССР Енукидзе. Со дня пуска завода была введена в действие схема управления заводом. По ней на заводе существовали следующие основные производственные цеха: деревообделочный, столярный, слесарно</w:t>
      </w:r>
      <w:r w:rsidRPr="00E93F40">
        <w:rPr>
          <w:rFonts w:ascii="Times New Roman" w:hAnsi="Times New Roman"/>
          <w:color w:val="000000" w:themeColor="text1"/>
          <w:sz w:val="16"/>
          <w:szCs w:val="16"/>
          <w:lang w:eastAsia="ru-RU" w:bidi="ru-RU"/>
        </w:rPr>
        <w:softHyphen/>
        <w:t>сварочный, механический, медно-дюралевый и сборочный. По этой схеме аэродром как мастерская входил в состав сборочного цеха, возглавляемого Н.В. Красненьковым. Всего в составе сборочного цеха было несколько мастерских:</w:t>
      </w:r>
    </w:p>
    <w:p w14:paraId="4B6EB3FC" w14:textId="77777777" w:rsidR="0078683E" w:rsidRPr="00E93F40" w:rsidRDefault="0078683E" w:rsidP="00E93F40">
      <w:pPr>
        <w:widowControl w:val="0"/>
        <w:tabs>
          <w:tab w:val="left" w:pos="164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сборочная;</w:t>
      </w:r>
    </w:p>
    <w:p w14:paraId="70FBB551" w14:textId="77777777" w:rsidR="0078683E" w:rsidRPr="00E93F40" w:rsidRDefault="0078683E" w:rsidP="00E93F40">
      <w:pPr>
        <w:widowControl w:val="0"/>
        <w:tabs>
          <w:tab w:val="left" w:pos="164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моторная;</w:t>
      </w:r>
    </w:p>
    <w:p w14:paraId="0367DE6A" w14:textId="77777777" w:rsidR="0078683E" w:rsidRPr="00E93F40" w:rsidRDefault="0078683E" w:rsidP="00E93F40">
      <w:pPr>
        <w:widowControl w:val="0"/>
        <w:tabs>
          <w:tab w:val="left" w:pos="164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обойная;</w:t>
      </w:r>
    </w:p>
    <w:p w14:paraId="42CC30E5" w14:textId="77777777" w:rsidR="0078683E" w:rsidRPr="00E93F40" w:rsidRDefault="0078683E" w:rsidP="00E93F40">
      <w:pPr>
        <w:widowControl w:val="0"/>
        <w:tabs>
          <w:tab w:val="left" w:pos="164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эмалитная;</w:t>
      </w:r>
    </w:p>
    <w:p w14:paraId="2E7C975C" w14:textId="77777777" w:rsidR="0078683E" w:rsidRPr="00E93F40" w:rsidRDefault="0078683E" w:rsidP="00E93F40">
      <w:pPr>
        <w:widowControl w:val="0"/>
        <w:tabs>
          <w:tab w:val="left" w:pos="164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аэродром;</w:t>
      </w:r>
    </w:p>
    <w:p w14:paraId="7CC779E9" w14:textId="77777777" w:rsidR="0078683E" w:rsidRPr="00E93F40" w:rsidRDefault="0078683E" w:rsidP="00E93F40">
      <w:pPr>
        <w:widowControl w:val="0"/>
        <w:tabs>
          <w:tab w:val="left" w:pos="164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эксплуатации.</w:t>
      </w:r>
    </w:p>
    <w:p w14:paraId="0B9CE984" w14:textId="77777777" w:rsidR="0078683E" w:rsidRPr="00E93F40" w:rsidRDefault="0078683E"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Должность начальника аэродромной мастерской, или начальника аэродрома, первое время занимал летчик Т.С.Жуков, а к моменту начала летных испытаний А.П. Ефремов (21100).</w:t>
      </w:r>
    </w:p>
    <w:p w14:paraId="1DB728D3" w14:textId="77777777" w:rsidR="0078683E" w:rsidRPr="00E93F40" w:rsidRDefault="0078683E" w:rsidP="00E93F40">
      <w:pPr>
        <w:spacing w:after="0" w:line="240" w:lineRule="auto"/>
        <w:jc w:val="both"/>
        <w:rPr>
          <w:rFonts w:ascii="Times New Roman" w:hAnsi="Times New Roman"/>
          <w:color w:val="000000" w:themeColor="text1"/>
          <w:sz w:val="16"/>
          <w:szCs w:val="16"/>
          <w:lang w:eastAsia="ru-RU" w:bidi="ru-RU"/>
        </w:rPr>
      </w:pPr>
    </w:p>
    <w:p w14:paraId="00145C7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82D1E79" w14:textId="77777777" w:rsidR="00682F06" w:rsidRPr="00E93F40" w:rsidRDefault="00682F06" w:rsidP="00E93F40">
      <w:pPr>
        <w:spacing w:after="0" w:line="240" w:lineRule="auto"/>
        <w:jc w:val="both"/>
        <w:rPr>
          <w:rFonts w:ascii="Times New Roman" w:hAnsi="Times New Roman"/>
          <w:color w:val="000000" w:themeColor="text1"/>
          <w:sz w:val="16"/>
          <w:szCs w:val="16"/>
        </w:rPr>
      </w:pPr>
    </w:p>
    <w:p w14:paraId="65F6D37C"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21 февраля 1932 г.</w:t>
      </w:r>
    </w:p>
    <w:p w14:paraId="491C271F"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размещения договоров с промышленностью на 21 февраля 1932 г.</w:t>
      </w:r>
    </w:p>
    <w:tbl>
      <w:tblPr>
        <w:tblW w:w="0" w:type="auto"/>
        <w:tblInd w:w="5" w:type="dxa"/>
        <w:shd w:val="clear" w:color="auto" w:fill="FFFFFF"/>
        <w:tblCellMar>
          <w:left w:w="0" w:type="dxa"/>
          <w:right w:w="0" w:type="dxa"/>
        </w:tblCellMar>
        <w:tblLook w:val="04A0" w:firstRow="1" w:lastRow="0" w:firstColumn="1" w:lastColumn="0" w:noHBand="0" w:noVBand="1"/>
      </w:tblPr>
      <w:tblGrid>
        <w:gridCol w:w="2170"/>
        <w:gridCol w:w="1685"/>
        <w:gridCol w:w="1680"/>
        <w:gridCol w:w="854"/>
      </w:tblGrid>
      <w:tr w:rsidR="00DA227A" w:rsidRPr="00E93F40" w14:paraId="3B9908A4" w14:textId="77777777" w:rsidTr="004D32A9">
        <w:trPr>
          <w:trHeight w:val="902"/>
        </w:trPr>
        <w:tc>
          <w:tcPr>
            <w:tcW w:w="2170" w:type="dxa"/>
            <w:tcBorders>
              <w:top w:val="single" w:sz="8" w:space="0" w:color="auto"/>
              <w:left w:val="single" w:sz="8" w:space="0" w:color="auto"/>
              <w:bottom w:val="nil"/>
              <w:right w:val="nil"/>
            </w:tcBorders>
            <w:shd w:val="clear" w:color="auto" w:fill="FFFFFF"/>
            <w:vAlign w:val="center"/>
            <w:hideMark/>
          </w:tcPr>
          <w:p w14:paraId="58159964"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Управления Штаба РККА</w:t>
            </w:r>
          </w:p>
        </w:tc>
        <w:tc>
          <w:tcPr>
            <w:tcW w:w="1685" w:type="dxa"/>
            <w:tcBorders>
              <w:top w:val="single" w:sz="8" w:space="0" w:color="auto"/>
              <w:left w:val="single" w:sz="8" w:space="0" w:color="auto"/>
              <w:bottom w:val="nil"/>
              <w:right w:val="nil"/>
            </w:tcBorders>
            <w:shd w:val="clear" w:color="auto" w:fill="FFFFFF"/>
            <w:vAlign w:val="center"/>
            <w:hideMark/>
          </w:tcPr>
          <w:p w14:paraId="4FAA75F5"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Намечено раз</w:t>
            </w:r>
            <w:r w:rsidRPr="00E93F40">
              <w:rPr>
                <w:rFonts w:ascii="Times New Roman" w:hAnsi="Times New Roman"/>
                <w:color w:val="000000" w:themeColor="text1"/>
                <w:sz w:val="16"/>
                <w:szCs w:val="16"/>
              </w:rPr>
              <w:softHyphen/>
              <w:t>местить договоров на сумму (млн руб.)</w:t>
            </w:r>
          </w:p>
        </w:tc>
        <w:tc>
          <w:tcPr>
            <w:tcW w:w="1680" w:type="dxa"/>
            <w:tcBorders>
              <w:top w:val="single" w:sz="8" w:space="0" w:color="auto"/>
              <w:left w:val="single" w:sz="8" w:space="0" w:color="auto"/>
              <w:bottom w:val="nil"/>
              <w:right w:val="nil"/>
            </w:tcBorders>
            <w:shd w:val="clear" w:color="auto" w:fill="FFFFFF"/>
            <w:vAlign w:val="center"/>
            <w:hideMark/>
          </w:tcPr>
          <w:p w14:paraId="597C0FAB"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Заключено догово</w:t>
            </w:r>
            <w:r w:rsidRPr="00E93F40">
              <w:rPr>
                <w:rFonts w:ascii="Times New Roman" w:hAnsi="Times New Roman"/>
                <w:color w:val="000000" w:themeColor="text1"/>
                <w:sz w:val="16"/>
                <w:szCs w:val="16"/>
              </w:rPr>
              <w:softHyphen/>
              <w:t>ров (прямых и кос</w:t>
            </w:r>
            <w:r w:rsidRPr="00E93F40">
              <w:rPr>
                <w:rFonts w:ascii="Times New Roman" w:hAnsi="Times New Roman"/>
                <w:color w:val="000000" w:themeColor="text1"/>
                <w:sz w:val="16"/>
                <w:szCs w:val="16"/>
              </w:rPr>
              <w:softHyphen/>
              <w:t>венных) на сумму (млн руб.)</w:t>
            </w:r>
          </w:p>
        </w:tc>
        <w:tc>
          <w:tcPr>
            <w:tcW w:w="854" w:type="dxa"/>
            <w:tcBorders>
              <w:top w:val="single" w:sz="8" w:space="0" w:color="auto"/>
              <w:left w:val="single" w:sz="8" w:space="0" w:color="auto"/>
              <w:bottom w:val="nil"/>
              <w:right w:val="single" w:sz="8" w:space="0" w:color="auto"/>
            </w:tcBorders>
            <w:shd w:val="clear" w:color="auto" w:fill="FFFFFF"/>
            <w:vAlign w:val="center"/>
            <w:hideMark/>
          </w:tcPr>
          <w:p w14:paraId="077200E5"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p>
        </w:tc>
      </w:tr>
      <w:tr w:rsidR="00DA227A" w:rsidRPr="00E93F40" w14:paraId="5A658922" w14:textId="77777777" w:rsidTr="004D32A9">
        <w:trPr>
          <w:trHeight w:val="326"/>
        </w:trPr>
        <w:tc>
          <w:tcPr>
            <w:tcW w:w="2170" w:type="dxa"/>
            <w:tcBorders>
              <w:top w:val="single" w:sz="8" w:space="0" w:color="auto"/>
              <w:left w:val="single" w:sz="8" w:space="0" w:color="auto"/>
              <w:bottom w:val="nil"/>
              <w:right w:val="nil"/>
            </w:tcBorders>
            <w:shd w:val="clear" w:color="auto" w:fill="FFFFFF"/>
            <w:vAlign w:val="center"/>
            <w:hideMark/>
          </w:tcPr>
          <w:p w14:paraId="78ED3EEF"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АУ</w:t>
            </w:r>
          </w:p>
        </w:tc>
        <w:tc>
          <w:tcPr>
            <w:tcW w:w="1685" w:type="dxa"/>
            <w:tcBorders>
              <w:top w:val="single" w:sz="8" w:space="0" w:color="auto"/>
              <w:left w:val="single" w:sz="8" w:space="0" w:color="auto"/>
              <w:bottom w:val="nil"/>
              <w:right w:val="nil"/>
            </w:tcBorders>
            <w:shd w:val="clear" w:color="auto" w:fill="FFFFFF"/>
            <w:vAlign w:val="center"/>
            <w:hideMark/>
          </w:tcPr>
          <w:p w14:paraId="40946257"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439</w:t>
            </w:r>
          </w:p>
        </w:tc>
        <w:tc>
          <w:tcPr>
            <w:tcW w:w="1680" w:type="dxa"/>
            <w:tcBorders>
              <w:top w:val="single" w:sz="8" w:space="0" w:color="auto"/>
              <w:left w:val="single" w:sz="8" w:space="0" w:color="auto"/>
              <w:bottom w:val="nil"/>
              <w:right w:val="nil"/>
            </w:tcBorders>
            <w:shd w:val="clear" w:color="auto" w:fill="FFFFFF"/>
            <w:vAlign w:val="center"/>
            <w:hideMark/>
          </w:tcPr>
          <w:p w14:paraId="178D85D7"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231</w:t>
            </w:r>
          </w:p>
        </w:tc>
        <w:tc>
          <w:tcPr>
            <w:tcW w:w="854" w:type="dxa"/>
            <w:tcBorders>
              <w:top w:val="single" w:sz="8" w:space="0" w:color="auto"/>
              <w:left w:val="single" w:sz="8" w:space="0" w:color="auto"/>
              <w:bottom w:val="nil"/>
              <w:right w:val="single" w:sz="8" w:space="0" w:color="auto"/>
            </w:tcBorders>
            <w:shd w:val="clear" w:color="auto" w:fill="FFFFFF"/>
            <w:vAlign w:val="center"/>
            <w:hideMark/>
          </w:tcPr>
          <w:p w14:paraId="2B54419A"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52,6</w:t>
            </w:r>
          </w:p>
        </w:tc>
      </w:tr>
      <w:tr w:rsidR="00DA227A" w:rsidRPr="00E93F40" w14:paraId="441D4D38"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044AD58A"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УВВС</w:t>
            </w:r>
          </w:p>
        </w:tc>
        <w:tc>
          <w:tcPr>
            <w:tcW w:w="1685" w:type="dxa"/>
            <w:tcBorders>
              <w:top w:val="nil"/>
              <w:left w:val="single" w:sz="8" w:space="0" w:color="auto"/>
              <w:bottom w:val="nil"/>
              <w:right w:val="nil"/>
            </w:tcBorders>
            <w:shd w:val="clear" w:color="auto" w:fill="FFFFFF"/>
            <w:vAlign w:val="center"/>
            <w:hideMark/>
          </w:tcPr>
          <w:p w14:paraId="45EED018"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w:t>
            </w:r>
          </w:p>
        </w:tc>
        <w:tc>
          <w:tcPr>
            <w:tcW w:w="1680" w:type="dxa"/>
            <w:tcBorders>
              <w:top w:val="nil"/>
              <w:left w:val="single" w:sz="8" w:space="0" w:color="auto"/>
              <w:bottom w:val="nil"/>
              <w:right w:val="nil"/>
            </w:tcBorders>
            <w:shd w:val="clear" w:color="auto" w:fill="FFFFFF"/>
            <w:vAlign w:val="center"/>
            <w:hideMark/>
          </w:tcPr>
          <w:p w14:paraId="75B21510"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854" w:type="dxa"/>
            <w:tcBorders>
              <w:top w:val="nil"/>
              <w:left w:val="single" w:sz="8" w:space="0" w:color="auto"/>
              <w:bottom w:val="nil"/>
              <w:right w:val="single" w:sz="8" w:space="0" w:color="auto"/>
            </w:tcBorders>
            <w:shd w:val="clear" w:color="auto" w:fill="FFFFFF"/>
            <w:vAlign w:val="center"/>
            <w:hideMark/>
          </w:tcPr>
          <w:p w14:paraId="4BDEF9AD"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w:t>
            </w:r>
          </w:p>
        </w:tc>
      </w:tr>
      <w:tr w:rsidR="00DA227A" w:rsidRPr="00E93F40" w14:paraId="535A9F20"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33284259"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ВОХИМУ</w:t>
            </w:r>
          </w:p>
        </w:tc>
        <w:tc>
          <w:tcPr>
            <w:tcW w:w="1685" w:type="dxa"/>
            <w:tcBorders>
              <w:top w:val="nil"/>
              <w:left w:val="single" w:sz="8" w:space="0" w:color="auto"/>
              <w:bottom w:val="nil"/>
              <w:right w:val="nil"/>
            </w:tcBorders>
            <w:shd w:val="clear" w:color="auto" w:fill="FFFFFF"/>
            <w:vAlign w:val="center"/>
            <w:hideMark/>
          </w:tcPr>
          <w:p w14:paraId="2A86247A"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w:t>
            </w:r>
          </w:p>
        </w:tc>
        <w:tc>
          <w:tcPr>
            <w:tcW w:w="1680" w:type="dxa"/>
            <w:tcBorders>
              <w:top w:val="nil"/>
              <w:left w:val="single" w:sz="8" w:space="0" w:color="auto"/>
              <w:bottom w:val="nil"/>
              <w:right w:val="nil"/>
            </w:tcBorders>
            <w:shd w:val="clear" w:color="auto" w:fill="FFFFFF"/>
            <w:vAlign w:val="center"/>
            <w:hideMark/>
          </w:tcPr>
          <w:p w14:paraId="7732357B"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w:t>
            </w:r>
          </w:p>
        </w:tc>
        <w:tc>
          <w:tcPr>
            <w:tcW w:w="854" w:type="dxa"/>
            <w:tcBorders>
              <w:top w:val="nil"/>
              <w:left w:val="single" w:sz="8" w:space="0" w:color="auto"/>
              <w:bottom w:val="nil"/>
              <w:right w:val="single" w:sz="8" w:space="0" w:color="auto"/>
            </w:tcBorders>
            <w:shd w:val="clear" w:color="auto" w:fill="FFFFFF"/>
            <w:vAlign w:val="center"/>
            <w:hideMark/>
          </w:tcPr>
          <w:p w14:paraId="5C3AB5BB"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71,3</w:t>
            </w:r>
          </w:p>
        </w:tc>
      </w:tr>
      <w:tr w:rsidR="00DA227A" w:rsidRPr="00E93F40" w14:paraId="6A1E745E" w14:textId="77777777" w:rsidTr="004D32A9">
        <w:trPr>
          <w:trHeight w:val="216"/>
        </w:trPr>
        <w:tc>
          <w:tcPr>
            <w:tcW w:w="2170" w:type="dxa"/>
            <w:tcBorders>
              <w:top w:val="nil"/>
              <w:left w:val="single" w:sz="8" w:space="0" w:color="auto"/>
              <w:bottom w:val="nil"/>
              <w:right w:val="nil"/>
            </w:tcBorders>
            <w:shd w:val="clear" w:color="auto" w:fill="FFFFFF"/>
            <w:vAlign w:val="center"/>
            <w:hideMark/>
          </w:tcPr>
          <w:p w14:paraId="56976072"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УВМС</w:t>
            </w:r>
          </w:p>
        </w:tc>
        <w:tc>
          <w:tcPr>
            <w:tcW w:w="1685" w:type="dxa"/>
            <w:tcBorders>
              <w:top w:val="nil"/>
              <w:left w:val="single" w:sz="8" w:space="0" w:color="auto"/>
              <w:bottom w:val="nil"/>
              <w:right w:val="nil"/>
            </w:tcBorders>
            <w:shd w:val="clear" w:color="auto" w:fill="FFFFFF"/>
            <w:vAlign w:val="center"/>
            <w:hideMark/>
          </w:tcPr>
          <w:p w14:paraId="085BDCBE"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w:t>
            </w:r>
          </w:p>
        </w:tc>
        <w:tc>
          <w:tcPr>
            <w:tcW w:w="1680" w:type="dxa"/>
            <w:tcBorders>
              <w:top w:val="nil"/>
              <w:left w:val="single" w:sz="8" w:space="0" w:color="auto"/>
              <w:bottom w:val="nil"/>
              <w:right w:val="nil"/>
            </w:tcBorders>
            <w:shd w:val="clear" w:color="auto" w:fill="FFFFFF"/>
            <w:vAlign w:val="center"/>
            <w:hideMark/>
          </w:tcPr>
          <w:p w14:paraId="47302B02"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854" w:type="dxa"/>
            <w:tcBorders>
              <w:top w:val="nil"/>
              <w:left w:val="single" w:sz="8" w:space="0" w:color="auto"/>
              <w:bottom w:val="nil"/>
              <w:right w:val="single" w:sz="8" w:space="0" w:color="auto"/>
            </w:tcBorders>
            <w:shd w:val="clear" w:color="auto" w:fill="FFFFFF"/>
            <w:vAlign w:val="center"/>
            <w:hideMark/>
          </w:tcPr>
          <w:p w14:paraId="1DEEB83B"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28,3</w:t>
            </w:r>
          </w:p>
        </w:tc>
      </w:tr>
      <w:tr w:rsidR="00DA227A" w:rsidRPr="00E93F40" w14:paraId="349187EA"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2D63182F"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УММ</w:t>
            </w:r>
          </w:p>
        </w:tc>
        <w:tc>
          <w:tcPr>
            <w:tcW w:w="1685" w:type="dxa"/>
            <w:tcBorders>
              <w:top w:val="nil"/>
              <w:left w:val="single" w:sz="8" w:space="0" w:color="auto"/>
              <w:bottom w:val="nil"/>
              <w:right w:val="nil"/>
            </w:tcBorders>
            <w:shd w:val="clear" w:color="auto" w:fill="FFFFFF"/>
            <w:vAlign w:val="center"/>
            <w:hideMark/>
          </w:tcPr>
          <w:p w14:paraId="4DA39B57"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w:t>
            </w:r>
          </w:p>
        </w:tc>
        <w:tc>
          <w:tcPr>
            <w:tcW w:w="1680" w:type="dxa"/>
            <w:tcBorders>
              <w:top w:val="nil"/>
              <w:left w:val="single" w:sz="8" w:space="0" w:color="auto"/>
              <w:bottom w:val="nil"/>
              <w:right w:val="nil"/>
            </w:tcBorders>
            <w:shd w:val="clear" w:color="auto" w:fill="FFFFFF"/>
            <w:vAlign w:val="center"/>
            <w:hideMark/>
          </w:tcPr>
          <w:p w14:paraId="188B3166"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w:t>
            </w:r>
          </w:p>
        </w:tc>
        <w:tc>
          <w:tcPr>
            <w:tcW w:w="854" w:type="dxa"/>
            <w:tcBorders>
              <w:top w:val="nil"/>
              <w:left w:val="single" w:sz="8" w:space="0" w:color="auto"/>
              <w:bottom w:val="nil"/>
              <w:right w:val="single" w:sz="8" w:space="0" w:color="auto"/>
            </w:tcBorders>
            <w:shd w:val="clear" w:color="auto" w:fill="FFFFFF"/>
            <w:vAlign w:val="center"/>
            <w:hideMark/>
          </w:tcPr>
          <w:p w14:paraId="2EF2D2E6"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w:t>
            </w:r>
          </w:p>
        </w:tc>
      </w:tr>
      <w:tr w:rsidR="00DA227A" w:rsidRPr="00E93F40" w14:paraId="321109D6"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4E17E4FD"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УСКА</w:t>
            </w:r>
          </w:p>
        </w:tc>
        <w:tc>
          <w:tcPr>
            <w:tcW w:w="1685" w:type="dxa"/>
            <w:tcBorders>
              <w:top w:val="nil"/>
              <w:left w:val="single" w:sz="8" w:space="0" w:color="auto"/>
              <w:bottom w:val="nil"/>
              <w:right w:val="nil"/>
            </w:tcBorders>
            <w:shd w:val="clear" w:color="auto" w:fill="FFFFFF"/>
            <w:vAlign w:val="center"/>
            <w:hideMark/>
          </w:tcPr>
          <w:p w14:paraId="05B8949B"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tc>
        <w:tc>
          <w:tcPr>
            <w:tcW w:w="1680" w:type="dxa"/>
            <w:tcBorders>
              <w:top w:val="nil"/>
              <w:left w:val="single" w:sz="8" w:space="0" w:color="auto"/>
              <w:bottom w:val="nil"/>
              <w:right w:val="nil"/>
            </w:tcBorders>
            <w:shd w:val="clear" w:color="auto" w:fill="FFFFFF"/>
            <w:vAlign w:val="center"/>
            <w:hideMark/>
          </w:tcPr>
          <w:p w14:paraId="1529B7DB"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854" w:type="dxa"/>
            <w:tcBorders>
              <w:top w:val="nil"/>
              <w:left w:val="single" w:sz="8" w:space="0" w:color="auto"/>
              <w:bottom w:val="nil"/>
              <w:right w:val="single" w:sz="8" w:space="0" w:color="auto"/>
            </w:tcBorders>
            <w:shd w:val="clear" w:color="auto" w:fill="FFFFFF"/>
            <w:vAlign w:val="center"/>
            <w:hideMark/>
          </w:tcPr>
          <w:p w14:paraId="7C7F1336"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106,2</w:t>
            </w:r>
          </w:p>
        </w:tc>
      </w:tr>
      <w:tr w:rsidR="00DA227A" w:rsidRPr="00E93F40" w14:paraId="56F02F67" w14:textId="77777777" w:rsidTr="004D32A9">
        <w:trPr>
          <w:trHeight w:val="216"/>
        </w:trPr>
        <w:tc>
          <w:tcPr>
            <w:tcW w:w="2170" w:type="dxa"/>
            <w:tcBorders>
              <w:top w:val="nil"/>
              <w:left w:val="single" w:sz="8" w:space="0" w:color="auto"/>
              <w:bottom w:val="nil"/>
              <w:right w:val="nil"/>
            </w:tcBorders>
            <w:shd w:val="clear" w:color="auto" w:fill="FFFFFF"/>
            <w:vAlign w:val="center"/>
            <w:hideMark/>
          </w:tcPr>
          <w:p w14:paraId="52B31D19"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ВИУ</w:t>
            </w:r>
          </w:p>
        </w:tc>
        <w:tc>
          <w:tcPr>
            <w:tcW w:w="1685" w:type="dxa"/>
            <w:tcBorders>
              <w:top w:val="nil"/>
              <w:left w:val="single" w:sz="8" w:space="0" w:color="auto"/>
              <w:bottom w:val="nil"/>
              <w:right w:val="nil"/>
            </w:tcBorders>
            <w:shd w:val="clear" w:color="auto" w:fill="FFFFFF"/>
            <w:vAlign w:val="center"/>
            <w:hideMark/>
          </w:tcPr>
          <w:p w14:paraId="3C70376D"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1680" w:type="dxa"/>
            <w:tcBorders>
              <w:top w:val="nil"/>
              <w:left w:val="single" w:sz="8" w:space="0" w:color="auto"/>
              <w:bottom w:val="nil"/>
              <w:right w:val="nil"/>
            </w:tcBorders>
            <w:shd w:val="clear" w:color="auto" w:fill="FFFFFF"/>
            <w:vAlign w:val="center"/>
            <w:hideMark/>
          </w:tcPr>
          <w:p w14:paraId="380B274A"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c>
          <w:tcPr>
            <w:tcW w:w="854" w:type="dxa"/>
            <w:tcBorders>
              <w:top w:val="nil"/>
              <w:left w:val="single" w:sz="8" w:space="0" w:color="auto"/>
              <w:bottom w:val="nil"/>
              <w:right w:val="single" w:sz="8" w:space="0" w:color="auto"/>
            </w:tcBorders>
            <w:shd w:val="clear" w:color="auto" w:fill="FFFFFF"/>
            <w:vAlign w:val="center"/>
            <w:hideMark/>
          </w:tcPr>
          <w:p w14:paraId="1EEF21CB"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66,2</w:t>
            </w:r>
          </w:p>
        </w:tc>
      </w:tr>
      <w:tr w:rsidR="00DA227A" w:rsidRPr="00E93F40" w14:paraId="3C60D9D3"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57576745"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УВП</w:t>
            </w:r>
          </w:p>
        </w:tc>
        <w:tc>
          <w:tcPr>
            <w:tcW w:w="1685" w:type="dxa"/>
            <w:tcBorders>
              <w:top w:val="nil"/>
              <w:left w:val="single" w:sz="8" w:space="0" w:color="auto"/>
              <w:bottom w:val="nil"/>
              <w:right w:val="nil"/>
            </w:tcBorders>
            <w:shd w:val="clear" w:color="auto" w:fill="FFFFFF"/>
            <w:vAlign w:val="center"/>
            <w:hideMark/>
          </w:tcPr>
          <w:p w14:paraId="4F21AEA3"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1680" w:type="dxa"/>
            <w:tcBorders>
              <w:top w:val="nil"/>
              <w:left w:val="single" w:sz="8" w:space="0" w:color="auto"/>
              <w:bottom w:val="nil"/>
              <w:right w:val="nil"/>
            </w:tcBorders>
            <w:shd w:val="clear" w:color="auto" w:fill="FFFFFF"/>
            <w:vAlign w:val="center"/>
            <w:hideMark/>
          </w:tcPr>
          <w:p w14:paraId="5A35849F"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854" w:type="dxa"/>
            <w:tcBorders>
              <w:top w:val="nil"/>
              <w:left w:val="single" w:sz="8" w:space="0" w:color="auto"/>
              <w:bottom w:val="nil"/>
              <w:right w:val="single" w:sz="8" w:space="0" w:color="auto"/>
            </w:tcBorders>
            <w:shd w:val="clear" w:color="auto" w:fill="FFFFFF"/>
            <w:vAlign w:val="center"/>
            <w:hideMark/>
          </w:tcPr>
          <w:p w14:paraId="522DA6B2"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52,4</w:t>
            </w:r>
          </w:p>
        </w:tc>
      </w:tr>
      <w:tr w:rsidR="00DA227A" w:rsidRPr="00E93F40" w14:paraId="2419FACA" w14:textId="77777777" w:rsidTr="004D32A9">
        <w:trPr>
          <w:trHeight w:val="235"/>
        </w:trPr>
        <w:tc>
          <w:tcPr>
            <w:tcW w:w="2170" w:type="dxa"/>
            <w:tcBorders>
              <w:top w:val="nil"/>
              <w:left w:val="single" w:sz="8" w:space="0" w:color="auto"/>
              <w:bottom w:val="nil"/>
              <w:right w:val="nil"/>
            </w:tcBorders>
            <w:shd w:val="clear" w:color="auto" w:fill="FFFFFF"/>
            <w:vAlign w:val="center"/>
            <w:hideMark/>
          </w:tcPr>
          <w:p w14:paraId="6A91415A"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управление Штаба</w:t>
            </w:r>
          </w:p>
        </w:tc>
        <w:tc>
          <w:tcPr>
            <w:tcW w:w="1685" w:type="dxa"/>
            <w:tcBorders>
              <w:top w:val="nil"/>
              <w:left w:val="single" w:sz="8" w:space="0" w:color="auto"/>
              <w:bottom w:val="nil"/>
              <w:right w:val="nil"/>
            </w:tcBorders>
            <w:shd w:val="clear" w:color="auto" w:fill="FFFFFF"/>
            <w:vAlign w:val="center"/>
            <w:hideMark/>
          </w:tcPr>
          <w:p w14:paraId="61850165"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c>
          <w:tcPr>
            <w:tcW w:w="1680" w:type="dxa"/>
            <w:tcBorders>
              <w:top w:val="nil"/>
              <w:left w:val="single" w:sz="8" w:space="0" w:color="auto"/>
              <w:bottom w:val="nil"/>
              <w:right w:val="nil"/>
            </w:tcBorders>
            <w:shd w:val="clear" w:color="auto" w:fill="FFFFFF"/>
            <w:vAlign w:val="center"/>
            <w:hideMark/>
          </w:tcPr>
          <w:p w14:paraId="46936884"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854" w:type="dxa"/>
            <w:tcBorders>
              <w:top w:val="nil"/>
              <w:left w:val="single" w:sz="8" w:space="0" w:color="auto"/>
              <w:bottom w:val="nil"/>
              <w:right w:val="single" w:sz="8" w:space="0" w:color="auto"/>
            </w:tcBorders>
            <w:shd w:val="clear" w:color="auto" w:fill="FFFFFF"/>
            <w:vAlign w:val="center"/>
            <w:hideMark/>
          </w:tcPr>
          <w:p w14:paraId="201D6E37"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31,5</w:t>
            </w:r>
          </w:p>
        </w:tc>
      </w:tr>
      <w:tr w:rsidR="00DA227A" w:rsidRPr="00E93F40" w14:paraId="4CE6962F" w14:textId="77777777" w:rsidTr="004D32A9">
        <w:trPr>
          <w:trHeight w:val="322"/>
        </w:trPr>
        <w:tc>
          <w:tcPr>
            <w:tcW w:w="2170" w:type="dxa"/>
            <w:tcBorders>
              <w:top w:val="nil"/>
              <w:left w:val="single" w:sz="8" w:space="0" w:color="auto"/>
              <w:bottom w:val="single" w:sz="8" w:space="0" w:color="auto"/>
              <w:right w:val="nil"/>
            </w:tcBorders>
            <w:shd w:val="clear" w:color="auto" w:fill="FFFFFF"/>
            <w:vAlign w:val="center"/>
            <w:hideMark/>
          </w:tcPr>
          <w:p w14:paraId="13B6E3D0"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1685" w:type="dxa"/>
            <w:tcBorders>
              <w:top w:val="nil"/>
              <w:left w:val="single" w:sz="8" w:space="0" w:color="auto"/>
              <w:bottom w:val="single" w:sz="8" w:space="0" w:color="auto"/>
              <w:right w:val="nil"/>
            </w:tcBorders>
            <w:shd w:val="clear" w:color="auto" w:fill="FFFFFF"/>
            <w:vAlign w:val="center"/>
            <w:hideMark/>
          </w:tcPr>
          <w:p w14:paraId="6A4E6087"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1275</w:t>
            </w:r>
          </w:p>
        </w:tc>
        <w:tc>
          <w:tcPr>
            <w:tcW w:w="1680" w:type="dxa"/>
            <w:tcBorders>
              <w:top w:val="nil"/>
              <w:left w:val="single" w:sz="8" w:space="0" w:color="auto"/>
              <w:bottom w:val="single" w:sz="8" w:space="0" w:color="auto"/>
              <w:right w:val="nil"/>
            </w:tcBorders>
            <w:shd w:val="clear" w:color="auto" w:fill="FFFFFF"/>
            <w:vAlign w:val="center"/>
            <w:hideMark/>
          </w:tcPr>
          <w:p w14:paraId="5BD9FD33"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486,5</w:t>
            </w:r>
          </w:p>
        </w:tc>
        <w:tc>
          <w:tcPr>
            <w:tcW w:w="854" w:type="dxa"/>
            <w:tcBorders>
              <w:top w:val="nil"/>
              <w:left w:val="single" w:sz="8" w:space="0" w:color="auto"/>
              <w:bottom w:val="single" w:sz="8" w:space="0" w:color="auto"/>
              <w:right w:val="single" w:sz="8" w:space="0" w:color="auto"/>
            </w:tcBorders>
            <w:shd w:val="clear" w:color="auto" w:fill="FFFFFF"/>
            <w:vAlign w:val="center"/>
            <w:hideMark/>
          </w:tcPr>
          <w:p w14:paraId="54D3656B"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r>
    </w:tbl>
    <w:p w14:paraId="451C5A85" w14:textId="77777777" w:rsidR="00682F06" w:rsidRPr="00E93F40" w:rsidRDefault="00682F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Конечно, и раньше заключение договоров с промышленно</w:t>
      </w:r>
      <w:r w:rsidRPr="00E93F40">
        <w:rPr>
          <w:rFonts w:ascii="Times New Roman" w:hAnsi="Times New Roman"/>
          <w:color w:val="000000" w:themeColor="text1"/>
          <w:sz w:val="16"/>
          <w:szCs w:val="16"/>
        </w:rPr>
        <w:softHyphen/>
        <w:t>стью по заказам военных шло с большим запозданием. Подобное запаздывание означало, что военная промышленность продол</w:t>
      </w:r>
      <w:r w:rsidRPr="00E93F40">
        <w:rPr>
          <w:rFonts w:ascii="Times New Roman" w:hAnsi="Times New Roman"/>
          <w:color w:val="000000" w:themeColor="text1"/>
          <w:sz w:val="16"/>
          <w:szCs w:val="16"/>
        </w:rPr>
        <w:softHyphen/>
        <w:t>жала работать по текущим оперативным планам, а это служило причиной довольно острых конфликтов между военведом и воен</w:t>
      </w:r>
      <w:r w:rsidRPr="00E93F40">
        <w:rPr>
          <w:rFonts w:ascii="Times New Roman" w:hAnsi="Times New Roman"/>
          <w:color w:val="000000" w:themeColor="text1"/>
          <w:sz w:val="16"/>
          <w:szCs w:val="16"/>
        </w:rPr>
        <w:softHyphen/>
        <w:t>промом (18393).</w:t>
      </w:r>
    </w:p>
    <w:p w14:paraId="6BC98B2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ECA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февраля 1932 на заседании КО в п. 3 протокола 7 была признана необходимость: “вооружать 50% танков БТ 3-х дюймовой пушкой” (3881,3).</w:t>
      </w:r>
    </w:p>
    <w:p w14:paraId="6A7CE3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31DC4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февраля 1932 г. — Доклад наркома по военным и морским делам СССР и председателя Реввоенсовета СССР К. Е. Ворошилова председателю Комиссии обороны В. М. Молотову «О ходе заключения договоров с промышленностью по плану заказов 1932 г.»</w:t>
      </w:r>
    </w:p>
    <w:p w14:paraId="17DC840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01C11001" w14:textId="5CF87DD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своевременно данные директивы правительства о завершении договорной компании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положение на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в отношении заказов НКВМ представляется в следующем виде: из общей суммы подлежащих размещению по основному плану заказов на технику и вооружение в сумме 1275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заключено генеральных и прямых договоров на 1056,5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или 83%, а локальных и прямых договоров на 486,5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или 38,2% от всей суммы плана.</w:t>
      </w:r>
    </w:p>
    <w:p w14:paraId="668FB095" w14:textId="273616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Такие неблагоприятные результаты договорной кампании являются следствием как недостаточной активности со стороны довольствующих управлений НКВМ, так, в особенности, и из-за той волокиты, которую затевают объединения и отдельные предприятия промышленности при заключении договоров по вопросам объема заказа, сроках поставки, условий приемки, расчетов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 Необходимо при этом учесть, что основной вопрос (о ценах) Комиссией т.</w:t>
      </w:r>
      <w:r w:rsidR="007C1411" w:rsidRPr="00E93F40">
        <w:rPr>
          <w:rFonts w:ascii="Times New Roman" w:hAnsi="Times New Roman"/>
          <w:color w:val="000000" w:themeColor="text1"/>
          <w:sz w:val="16"/>
          <w:szCs w:val="16"/>
        </w:rPr>
        <w:t xml:space="preserve"> </w:t>
      </w:r>
      <w:hyperlink r:id="rId49" w:history="1">
        <w:r w:rsidRPr="00E93F40">
          <w:rPr>
            <w:rStyle w:val="a5"/>
            <w:rFonts w:ascii="Times New Roman" w:hAnsi="Times New Roman"/>
            <w:color w:val="000000" w:themeColor="text1"/>
            <w:sz w:val="16"/>
            <w:szCs w:val="16"/>
            <w:u w:val="none"/>
          </w:rPr>
          <w:t>Прокофьева</w:t>
        </w:r>
      </w:hyperlink>
      <w:r w:rsidRPr="00E93F40">
        <w:rPr>
          <w:rFonts w:ascii="Times New Roman" w:hAnsi="Times New Roman"/>
          <w:color w:val="000000" w:themeColor="text1"/>
          <w:sz w:val="16"/>
          <w:szCs w:val="16"/>
        </w:rPr>
        <w:t xml:space="preserve"> разрешен, и с этой стороны препятствий для заключения договоров нет.</w:t>
      </w:r>
    </w:p>
    <w:p w14:paraId="31762324" w14:textId="23C220B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РВС СССР в своем заседании от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заслушав доклады о ходе договорной кампании, поставил на вид начальникам ДУ НКВМ медлительность, проявленную ими в этом важнейшем деле.</w:t>
      </w:r>
    </w:p>
    <w:p w14:paraId="1C2EF2D9" w14:textId="1479C599"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Вместе с тем считаю необходимым поставить перед Вами вопрос: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 принятии также жестких мер по отношению к объединениям и предприятиям промышленности, без всяких серьезных оснований затягивающим заключение договоров и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 установлении крайнего, обязательного для НКТП, НКЛП и НКВМ конечного срока завершения всей договорной кампании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0272F5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Народный комиссар по военным и морским делам и председатель РВС СССР </w:t>
      </w:r>
      <w:hyperlink r:id="rId50" w:history="1">
        <w:r w:rsidRPr="00E93F40">
          <w:rPr>
            <w:rStyle w:val="a5"/>
            <w:rFonts w:ascii="Times New Roman" w:hAnsi="Times New Roman"/>
            <w:color w:val="000000" w:themeColor="text1"/>
            <w:sz w:val="16"/>
            <w:szCs w:val="16"/>
            <w:u w:val="none"/>
          </w:rPr>
          <w:t>Ворошилов</w:t>
        </w:r>
      </w:hyperlink>
    </w:p>
    <w:p w14:paraId="0A502BD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p>
    <w:p w14:paraId="40AFC8E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32BA226D" w14:textId="51B1A29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Справка о ходе заключения договоров с промышленностью на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29C77C67" w14:textId="2EF22CB8"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21</w:t>
      </w:r>
      <w:r w:rsidR="007C1411" w:rsidRPr="00E93F40">
        <w:rPr>
          <w:rStyle w:val="af0"/>
          <w:i w:val="0"/>
          <w:color w:val="000000" w:themeColor="text1"/>
          <w:sz w:val="16"/>
          <w:szCs w:val="16"/>
        </w:rPr>
        <w:t xml:space="preserve"> </w:t>
      </w:r>
      <w:r w:rsidRPr="00E93F40">
        <w:rPr>
          <w:rStyle w:val="af0"/>
          <w:i w:val="0"/>
          <w:color w:val="000000" w:themeColor="text1"/>
          <w:sz w:val="16"/>
          <w:szCs w:val="16"/>
        </w:rPr>
        <w:t>февраля 1932</w:t>
      </w:r>
      <w:r w:rsidR="007C1411" w:rsidRPr="00E93F40">
        <w:rPr>
          <w:rStyle w:val="af0"/>
          <w:i w:val="0"/>
          <w:color w:val="000000" w:themeColor="text1"/>
          <w:sz w:val="16"/>
          <w:szCs w:val="16"/>
        </w:rPr>
        <w:t xml:space="preserve"> </w:t>
      </w:r>
      <w:r w:rsidRPr="00E93F40">
        <w:rPr>
          <w:rStyle w:val="af0"/>
          <w:i w:val="0"/>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50"/>
        <w:gridCol w:w="3573"/>
        <w:gridCol w:w="3506"/>
        <w:gridCol w:w="2793"/>
      </w:tblGrid>
      <w:tr w:rsidR="00DA227A" w:rsidRPr="00E93F40" w14:paraId="38A2F7F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4FC35D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 управления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B2CD6" w14:textId="3803FB1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Подлежит размещению в промышленности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3E781" w14:textId="19EA941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Заключено локальных и прямых договоров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530E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к сумме, подлежащей размещению</w:t>
            </w:r>
          </w:p>
        </w:tc>
      </w:tr>
      <w:tr w:rsidR="00DA227A" w:rsidRPr="00E93F40" w14:paraId="6C8C5A9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F0FD94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7AF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A830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1F5B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52,6</w:t>
            </w:r>
          </w:p>
        </w:tc>
      </w:tr>
      <w:tr w:rsidR="00DA227A" w:rsidRPr="00E93F40" w14:paraId="5D4BAF2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F7BA53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E643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8142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B265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w:t>
            </w:r>
          </w:p>
        </w:tc>
      </w:tr>
      <w:tr w:rsidR="00DA227A" w:rsidRPr="00E93F40" w14:paraId="3BDEE4C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B8B3E3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Вохиму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D9B2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6916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4A23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71,3</w:t>
            </w:r>
          </w:p>
        </w:tc>
      </w:tr>
      <w:tr w:rsidR="00DA227A" w:rsidRPr="00E93F40" w14:paraId="3A195B2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0FA875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8176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5FCB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CEAD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28,3</w:t>
            </w:r>
          </w:p>
        </w:tc>
      </w:tr>
      <w:tr w:rsidR="00DA227A" w:rsidRPr="00E93F40" w14:paraId="6C327C2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9CB7B9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0B96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4853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6A98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w:t>
            </w:r>
          </w:p>
        </w:tc>
      </w:tr>
      <w:tr w:rsidR="00DA227A" w:rsidRPr="00E93F40" w14:paraId="4F309A6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7D0E0E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820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9931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CFB4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106,2</w:t>
            </w:r>
          </w:p>
        </w:tc>
      </w:tr>
      <w:tr w:rsidR="00DA227A" w:rsidRPr="00E93F40" w14:paraId="2B3D3CB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6A113F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72EA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5097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9FE4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66,2</w:t>
            </w:r>
          </w:p>
        </w:tc>
      </w:tr>
      <w:tr w:rsidR="00DA227A" w:rsidRPr="00E93F40" w14:paraId="23EA62C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74F1E8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ГУВП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3306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3E56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5B84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52,4</w:t>
            </w:r>
          </w:p>
        </w:tc>
      </w:tr>
      <w:tr w:rsidR="00DA227A" w:rsidRPr="00E93F40" w14:paraId="3094283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1DCBCAA" w14:textId="490E9AD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Управление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Штаба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ECB6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169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2CB0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31,5</w:t>
            </w:r>
          </w:p>
        </w:tc>
      </w:tr>
      <w:tr w:rsidR="00DA227A" w:rsidRPr="00E93F40" w14:paraId="5E3132E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ED7508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9D5C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B726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1F42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r>
    </w:tbl>
    <w:p w14:paraId="207A5F39"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Начальник Финансового управления РККА </w:t>
      </w:r>
      <w:hyperlink r:id="rId51" w:history="1">
        <w:r w:rsidRPr="00E93F40">
          <w:rPr>
            <w:rStyle w:val="af0"/>
            <w:i w:val="0"/>
            <w:color w:val="000000" w:themeColor="text1"/>
            <w:sz w:val="16"/>
            <w:szCs w:val="16"/>
          </w:rPr>
          <w:t>Хрулев</w:t>
        </w:r>
      </w:hyperlink>
    </w:p>
    <w:p w14:paraId="11A3D3FE" w14:textId="77777777"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rPr>
        <w:t>ГА РФ. Ф. Р-8418. Оп. 6. Д. 3. Л. 4—5. Подлинник.</w:t>
      </w:r>
    </w:p>
    <w:p w14:paraId="5508794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(12552).</w:t>
      </w:r>
    </w:p>
    <w:p w14:paraId="4121C055" w14:textId="77777777" w:rsidR="00275520" w:rsidRPr="00E93F40" w:rsidRDefault="00275520" w:rsidP="00E93F40">
      <w:pPr>
        <w:spacing w:after="0" w:line="240" w:lineRule="auto"/>
        <w:jc w:val="both"/>
        <w:rPr>
          <w:rFonts w:ascii="Times New Roman" w:hAnsi="Times New Roman"/>
          <w:color w:val="000000" w:themeColor="text1"/>
          <w:sz w:val="16"/>
          <w:szCs w:val="16"/>
        </w:rPr>
      </w:pPr>
    </w:p>
    <w:p w14:paraId="46DC5C6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ED218B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09EB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февраля 1932 американец Уильям Гудвин запатентовал фотоэкспонометр (3263,92).</w:t>
      </w:r>
    </w:p>
    <w:p w14:paraId="708A7C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DB12F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E733A4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1DC3AC" w14:textId="77777777" w:rsidR="00E0749E" w:rsidRPr="00E93F40" w:rsidRDefault="00E0749E"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г. начальник ГУАП П.И.Баранов отметил, что основные детали самолёта СС уже изготовлены и его постройка в целом может быть закончена в IV квартале 1933 г. – но пока с обычным, невысотным М-34 ввиду незавершённости работ по высотному варианту. [РГАЭ Ф. 8328 оп. 1 д. 702 л. 11] Незадолго до этого, 11 января 1933 г. П.И.Баранов издал приказ о формировании на заводе № 39 нового ЦКБ «для организации замкнутого цикла проектирования и производства лёгких самолётов» (т.е. конструкторские отделы ЦАГИ, занимавшиеся тяжёлыми самолётами, были вновь изъяты из состава ЦКБ). В ЦКБ создаётся 6 бригад, в т.ч. бригада №3 Чижевского для продолжения работ над самолётом СС (в документах он также именуется ЦКБ-2). Вероятно, тогда же принимается решение о слиянии БНК сначала с ЦАГИ, а затем о переводе БНК в состав ЦКБ на завод № 39. Лавочкин становится сотрудником этого завода. В результате всего этого оба проекта стратосферных самолётов оказались в подчинении у С.В.Ильюшина как руководителя ЦКБ завода № 39. У Ильюшина возникло сомнение в целесообразности продолжения работ по проекту БНК-4, параллельно с работами по самолёту СС, которому он отдавал предпочтение (19876).</w:t>
      </w:r>
    </w:p>
    <w:p w14:paraId="01E85CCE" w14:textId="77777777" w:rsidR="00E0749E" w:rsidRPr="00E93F40" w:rsidRDefault="00E0749E" w:rsidP="00E93F40">
      <w:pPr>
        <w:shd w:val="clear" w:color="auto" w:fill="FFFFFF"/>
        <w:spacing w:after="0" w:line="240" w:lineRule="auto"/>
        <w:jc w:val="both"/>
        <w:rPr>
          <w:rFonts w:ascii="Times New Roman" w:hAnsi="Times New Roman"/>
          <w:color w:val="000000" w:themeColor="text1"/>
          <w:sz w:val="16"/>
          <w:szCs w:val="16"/>
        </w:rPr>
      </w:pPr>
    </w:p>
    <w:p w14:paraId="5590E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года зам. начальника Глававиапрома Григорьев и нач. план.-техн. группы проектного сектора Сальдау писали письмо N 141-48317 начальнику Управления ВВС Алкснису.</w:t>
      </w:r>
    </w:p>
    <w:p w14:paraId="33B3D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Авиастрой ГУАП настоящим ставит Вас в известность, что на нас возложено задание на разработку проекта строительства завода N 16 под самолет ТШ-2. В настоящее время перед нами стоят затруднения, по которым начать разработку проекта этого завода мы не можем, т.к. для этого необходимы следующие материалы.... (2994,4).</w:t>
      </w:r>
    </w:p>
    <w:p w14:paraId="14A6D6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884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28 февраля и 12, 13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15 полетов на облет со стрельбой поземным целям; проверка температуры головок цилиндров по термопаре, в связи с установкой на самолете кольца; определение времени длины разбега и пробега (3002).</w:t>
      </w:r>
    </w:p>
    <w:p w14:paraId="0AD0D4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651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года Бузановым был направлен на имя П.И.Б. рапорт (N 8сс от 22 февраля 1932 года) с просьбой дать задание ГУАП"у на разработку и постройку самолета БНК-3 (3029,181).</w:t>
      </w:r>
    </w:p>
    <w:p w14:paraId="292E4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BF6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С.П.К. совершил первый полет на планере БИЧ-11, и хотя двигатель Цандера опаздывал БИЧ-11 переделали в ракетоплан РП-1, закрыли кабину колпаком, установили гаргрот и сделали надпись ГИРД справа и ГИРД РП-1 слева. Чтобы не терять время поставили импортный двухцилиндровый мотор Скорпион 25 нр (2544,60).</w:t>
      </w:r>
    </w:p>
    <w:p w14:paraId="40458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8C279B" w14:textId="697042A9"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22 февраля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Королёв сделал на БИЧ-11 первые полёты. «В полёте машина отлично слушается всех рулей. В полёте по прямой допускается бросание ручки и педалей от момента установившегося полёта (после взлёта) вплоть до захода на посадку»,</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 докладывал он </w:t>
      </w:r>
      <w:hyperlink r:id="rId52" w:history="1">
        <w:r w:rsidRPr="00E93F40">
          <w:rPr>
            <w:rFonts w:ascii="Times New Roman" w:eastAsia="Times New Roman" w:hAnsi="Times New Roman"/>
            <w:color w:val="000000" w:themeColor="text1"/>
            <w:sz w:val="16"/>
            <w:szCs w:val="16"/>
            <w:lang w:eastAsia="ru-RU"/>
          </w:rPr>
          <w:t>[260]</w:t>
        </w:r>
      </w:hyperlink>
      <w:r w:rsidRPr="00E93F40">
        <w:rPr>
          <w:rFonts w:ascii="Times New Roman" w:eastAsia="Times New Roman" w:hAnsi="Times New Roman"/>
          <w:color w:val="000000" w:themeColor="text1"/>
          <w:sz w:val="16"/>
          <w:szCs w:val="16"/>
          <w:lang w:eastAsia="ru-RU"/>
        </w:rPr>
        <w:t xml:space="preserve"> (17489).</w:t>
      </w:r>
    </w:p>
    <w:p w14:paraId="2CD83EC6" w14:textId="77777777"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p>
    <w:p w14:paraId="4E176B8F"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г. С.П.Королев совершил на БИЧ-11 первые полеты. "В полете &lt;...&gt; машина отлично слушается всех рулей. В полете по прямой допускается бросание ручки и педалей от момента установившегося полета (после взлета) вплоть до захода на посадку", — докладывал Королев после испытаний (24253).</w:t>
      </w:r>
    </w:p>
    <w:p w14:paraId="73861E9E" w14:textId="77777777" w:rsidR="00731874" w:rsidRPr="00E93F40" w:rsidRDefault="00731874" w:rsidP="00E93F40">
      <w:pPr>
        <w:spacing w:after="0" w:line="240" w:lineRule="auto"/>
        <w:jc w:val="both"/>
        <w:rPr>
          <w:rFonts w:ascii="Times New Roman" w:hAnsi="Times New Roman"/>
          <w:color w:val="000000" w:themeColor="text1"/>
          <w:sz w:val="16"/>
          <w:szCs w:val="16"/>
        </w:rPr>
      </w:pPr>
    </w:p>
    <w:p w14:paraId="38F13094" w14:textId="77777777" w:rsidR="00E0749E" w:rsidRPr="00E93F40" w:rsidRDefault="00E0749E" w:rsidP="00E93F40">
      <w:pPr>
        <w:pStyle w:val="HTML2"/>
        <w:shd w:val="clear" w:color="auto" w:fill="FFFFFF"/>
        <w:jc w:val="both"/>
        <w:rPr>
          <w:color w:val="000000" w:themeColor="text1"/>
          <w:sz w:val="16"/>
          <w:szCs w:val="16"/>
        </w:rPr>
      </w:pPr>
      <w:r w:rsidRPr="00E93F40">
        <w:rPr>
          <w:i w:val="0"/>
          <w:iCs w:val="0"/>
          <w:color w:val="000000" w:themeColor="text1"/>
          <w:sz w:val="16"/>
          <w:szCs w:val="16"/>
        </w:rPr>
        <w:t>22 февраля 1932 года, через два месяца после получения Statement</w:t>
      </w:r>
      <w:r w:rsidRPr="00E93F40">
        <w:rPr>
          <w:color w:val="000000" w:themeColor="text1"/>
          <w:sz w:val="16"/>
          <w:szCs w:val="16"/>
          <w:shd w:val="clear" w:color="auto" w:fill="FFFFFF"/>
        </w:rPr>
        <w:t xml:space="preserve"> </w:t>
      </w:r>
      <w:r w:rsidRPr="00E93F40">
        <w:rPr>
          <w:i w:val="0"/>
          <w:iCs w:val="0"/>
          <w:color w:val="000000" w:themeColor="text1"/>
          <w:sz w:val="16"/>
          <w:szCs w:val="16"/>
          <w:shd w:val="clear" w:color="auto" w:fill="FFFFFF"/>
        </w:rPr>
        <w:t>от The Helium Co.</w:t>
      </w:r>
      <w:r w:rsidRPr="00E93F40">
        <w:rPr>
          <w:i w:val="0"/>
          <w:iCs w:val="0"/>
          <w:color w:val="000000" w:themeColor="text1"/>
          <w:sz w:val="16"/>
          <w:szCs w:val="16"/>
        </w:rPr>
        <w:t>, управляющий "Всехимпрома" Борис Норкин и начальник "Стройгаза" Абрам Гинзбург писали Льву Хвостовскому: "Мы принципиально согласны на продолжение переговоров с упомянутой фирмой по оказанию ею нам полной технической помощи по всему объему гелиевого дела &lt;…&gt; Представляем себе организацию этой работы в виде, прежде всего, создания специального бюро, работа которого будет протекать с участием компетентных работников фирмы, по ее указаниям, на основе того плана работ, наметка которого изложена в присланной Вами записке". Однако в ходе ведения переговоров советская тяжелая промышленность была в очередной раз реформирована. Существовавшие около трех лет всесоюзные объединения" была создана центральная лаборатория, которую возглавил профессор Клюквин.</w:t>
      </w:r>
    </w:p>
    <w:p w14:paraId="17E16D31" w14:textId="77777777" w:rsidR="00E0749E" w:rsidRPr="00E93F40" w:rsidRDefault="00E0749E" w:rsidP="00E93F40">
      <w:pPr>
        <w:pStyle w:val="HTML2"/>
        <w:shd w:val="clear" w:color="auto" w:fill="FFFFFF"/>
        <w:jc w:val="both"/>
        <w:rPr>
          <w:color w:val="000000" w:themeColor="text1"/>
          <w:sz w:val="16"/>
          <w:szCs w:val="16"/>
        </w:rPr>
      </w:pPr>
      <w:r w:rsidRPr="00E93F40">
        <w:rPr>
          <w:i w:val="0"/>
          <w:iCs w:val="0"/>
          <w:color w:val="000000" w:themeColor="text1"/>
          <w:sz w:val="16"/>
          <w:szCs w:val="16"/>
        </w:rPr>
        <w:t>Главным инженером лаборатории и заведующим проектно-расчетным отделом стал инженер Александр Бари. Он-то и предложил технологию получения гелия, опробованную в итоге в Мельниково. "Конверсионно-аммиачный метод" Фокина–Клюквина, где гелий являлся побочным продуктом и стоял в связи с производством аммиака, имел все шансы на успех, и именно на него ориентировались при начале обустройства Мельниковского газопромысла. Однако вскоре выяснилось, что запасы месторождения ограничены 100–125 млн куб. м газа и строительство крупного газохимического комбината будет нерентабельным, поэтому его решено было перенести в Дагестан на месторождение "Дагестанские огни". В этих условиях Александр Бари предложил схему, в которой гелий являлся главным целевым продуктом. В ее основе лежала частичная конверсия метана для получения водорода, обогащение этим водородом основной массы гелийсодержащей газовой смеси, сжатие и подача в холодильную установку "Линде", отбор сжиженных (метан – азот) и несжиженных (гелий – водород) фракций. Это также позволяло получать газовую смесь с повышенным содержанием гелия перед его окончательным выделением. Как значилось в патентной заявке Александра Бари, "предлагаемый способ, не исключая возможности использования заключающегося в природном газе метана и азота для целей синтеза аммиака, в то же время не ставит осуществление проблемы выделения гелия из бедных газов в зависимость от срока и успеха разрешения проблемы получения аммиака из природных газов" (21452).</w:t>
      </w:r>
    </w:p>
    <w:p w14:paraId="3E26B8F5" w14:textId="77777777" w:rsidR="00E0749E" w:rsidRPr="00E93F40" w:rsidRDefault="00E0749E" w:rsidP="00E93F40">
      <w:pPr>
        <w:pStyle w:val="article-renderblock"/>
        <w:shd w:val="clear" w:color="auto" w:fill="FFFFFF"/>
        <w:spacing w:before="0" w:beforeAutospacing="0" w:after="0" w:afterAutospacing="0"/>
        <w:jc w:val="both"/>
        <w:rPr>
          <w:color w:val="000000" w:themeColor="text1"/>
          <w:sz w:val="16"/>
          <w:szCs w:val="16"/>
        </w:rPr>
      </w:pPr>
    </w:p>
    <w:p w14:paraId="7EED071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6371E4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B9096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года опытная 45-мм ПТП прибыла на НИАП с завода № 8. С 23 февраля по 3 марта 1932 года из нее на НИАПе было сделано 2399 выстрелов. 45-мм пушка завода № 8 проходила испытания параллельно с ПТП завода "Красный Путиловец", там и приведены данные опытных образцов и результаты испытаний (см. стр. ). Выводы НИАПа по результатам испытаний: Пушка завода № 8 тяжела в возке - 389,м кг (с грузом 6,66 кг для уравновешивания качающейся части). Система длинна, хорошо бы станины сделать телескопическими или складными. Деревянные колеса от 37-мм ПТП непрочны, нужны металлические дисковые колеса (3861).</w:t>
      </w:r>
    </w:p>
    <w:p w14:paraId="24E3F1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C304C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г. — Доклад ЭКУ ОГПУ СССР в Комиссию обороны о работе Государственного всесоюзного объединения патронно-трубочного и взрывчатого производства на 15 февраля 1932 г.</w:t>
      </w:r>
    </w:p>
    <w:p w14:paraId="6F9C11E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516888B0" w14:textId="63739CD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Имеющиеся материалы указывают, что с выполнением программы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дело обстояло далеко неблагополучно, это главным образом относится к военным изделиям, по которым недодел выражается в следующем виде, взрыватель РГ</w:t>
      </w:r>
      <w:r w:rsidRPr="00E93F40">
        <w:rPr>
          <w:rFonts w:ascii="Times New Roman" w:hAnsi="Times New Roman"/>
          <w:color w:val="000000" w:themeColor="text1"/>
          <w:sz w:val="16"/>
          <w:szCs w:val="16"/>
        </w:rPr>
        <w:noBreakHyphen/>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недодел 553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взрыватель КАТ</w:t>
      </w:r>
      <w:r w:rsidRPr="00E93F40">
        <w:rPr>
          <w:rFonts w:ascii="Times New Roman" w:hAnsi="Times New Roman"/>
          <w:color w:val="000000" w:themeColor="text1"/>
          <w:sz w:val="16"/>
          <w:szCs w:val="16"/>
        </w:rPr>
        <w:noBreakHyphen/>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недодел 270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взрыватель мелкокалиберный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недодел 670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трубка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недодел 304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трубка франц[узская] 24/31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недодел 1140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первой очереди,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второй очереди; бронебойно-оскол[очные] снаряды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недодел 290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мелкокалиберные патроны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недодел 183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Мирные изделия: велосипеды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недодел 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автотракторные свечи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недодел 884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Всего недодел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представляет сумму около 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Самое неблагополучное состояние с выполнением программы является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трубочные заводы: Пензенский трубзавод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42,5%, Ленинградский трубзавод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69,8%.</w:t>
      </w:r>
    </w:p>
    <w:p w14:paraId="3250AED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указать, что при окончательной приемке военной продукции после отстрела происходят браки и переделки. Таким образом, процент выполнения фактически ниже.</w:t>
      </w:r>
    </w:p>
    <w:p w14:paraId="5C4F4A76" w14:textId="4C2FA9D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Производительность труда по заводам объединения составляла от плана 73,4%. Ни один завод не достиг производительности труда по плану. Разрыв между зарплатой и производительностью труда составляет 23,8%. Объединение от производства имеет чистый убыток в 10</w:t>
      </w:r>
      <w:r w:rsidRPr="00E93F40">
        <w:rPr>
          <w:rFonts w:ascii="Times New Roman" w:hAnsi="Times New Roman"/>
          <w:color w:val="000000" w:themeColor="text1"/>
          <w:sz w:val="16"/>
          <w:szCs w:val="16"/>
        </w:rPr>
        <w:noBreakHyphen/>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при незавершенном производстве. Это положение на протяжении всего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задерживало выдачу зарплаты от 1 до 2</w:t>
      </w:r>
      <w:r w:rsidRPr="00E93F40">
        <w:rPr>
          <w:rFonts w:ascii="Times New Roman" w:hAnsi="Times New Roman"/>
          <w:color w:val="000000" w:themeColor="text1"/>
          <w:sz w:val="16"/>
          <w:szCs w:val="16"/>
        </w:rPr>
        <w:noBreakHyphen/>
        <w:t>х месяцев.</w:t>
      </w:r>
    </w:p>
    <w:p w14:paraId="68E87618" w14:textId="599A59B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капитальное строительство на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было ассигновано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из которых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давало правительство, а остальные 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должны были быть изысканы из средств самого объединения, но вследствие недостижения проектированных по снижению стоимости цен и недоделов в выполнении программы правительство вынуждено было отпустить все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39075FC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Брак</w:t>
      </w:r>
    </w:p>
    <w:p w14:paraId="6AF1D55E" w14:textId="593389B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взрывателю РГ</w:t>
      </w:r>
      <w:r w:rsidRPr="00E93F40">
        <w:rPr>
          <w:rFonts w:ascii="Times New Roman" w:hAnsi="Times New Roman"/>
          <w:color w:val="000000" w:themeColor="text1"/>
          <w:sz w:val="16"/>
          <w:szCs w:val="16"/>
        </w:rPr>
        <w:noBreakHyphen/>
        <w:t>6 брак доходит до 60%; по головке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61%; по корпусу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58%; по ударнику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59%; по жалу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52%; по донной втулке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42%. По капсюльной втулке брак доходит до 29% по отдельным деталям (по корпусу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29%, по наковаленке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64%). По ружгранате Дьяконова брак доходит до 41,6% по отдельным деталям (по корпусу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41%, центральной трубке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14%, по соединительной втулке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w:t>
      </w:r>
    </w:p>
    <w:p w14:paraId="5A9357F4" w14:textId="5835416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части военной продукции в связи с неосвоением изделий РГ</w:t>
      </w:r>
      <w:r w:rsidRPr="00E93F40">
        <w:rPr>
          <w:rFonts w:ascii="Times New Roman" w:hAnsi="Times New Roman"/>
          <w:color w:val="000000" w:themeColor="text1"/>
          <w:sz w:val="16"/>
          <w:szCs w:val="16"/>
        </w:rPr>
        <w:noBreakHyphen/>
        <w:t>6, МГ</w:t>
      </w:r>
      <w:r w:rsidRPr="00E93F40">
        <w:rPr>
          <w:rFonts w:ascii="Times New Roman" w:hAnsi="Times New Roman"/>
          <w:color w:val="000000" w:themeColor="text1"/>
          <w:sz w:val="16"/>
          <w:szCs w:val="16"/>
        </w:rPr>
        <w:noBreakHyphen/>
        <w:t>2, МД</w:t>
      </w:r>
      <w:r w:rsidRPr="00E93F40">
        <w:rPr>
          <w:rFonts w:ascii="Times New Roman" w:hAnsi="Times New Roman"/>
          <w:color w:val="000000" w:themeColor="text1"/>
          <w:sz w:val="16"/>
          <w:szCs w:val="16"/>
        </w:rPr>
        <w:noBreakHyphen/>
        <w:t>2, трубки «Д» и других требует особо внимательного технического руководства, чего на сегодня объединение не имеет, а, следовательно, ставит под угрозу выполнение промфинплана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1A21F8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мобилизационной готовности заводов</w:t>
      </w:r>
    </w:p>
    <w:p w14:paraId="23A1645A" w14:textId="6391C7D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«узкими» местами являются пушечно-гильзовое производство из железа, мощность у объединения по которым от мобплана МВ</w:t>
      </w:r>
      <w:r w:rsidRPr="00E93F40">
        <w:rPr>
          <w:rFonts w:ascii="Times New Roman" w:hAnsi="Times New Roman"/>
          <w:color w:val="000000" w:themeColor="text1"/>
          <w:sz w:val="16"/>
          <w:szCs w:val="16"/>
        </w:rPr>
        <w:noBreakHyphen/>
        <w:t>10 выражается по Тульскому патронному заводу 3600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вместо требуемых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Этот момент особо важен потому, что в Союзе производство крупных калибров пушечных гильз имеется только на этом заводе.</w:t>
      </w:r>
    </w:p>
    <w:p w14:paraId="01939B6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Инструментальные мастерские заводов Самарского трубочного и «Прогресс» имеют готовность в пределах 50</w:t>
      </w:r>
      <w:r w:rsidRPr="00E93F40">
        <w:rPr>
          <w:rFonts w:ascii="Times New Roman" w:hAnsi="Times New Roman"/>
          <w:color w:val="000000" w:themeColor="text1"/>
          <w:sz w:val="16"/>
          <w:szCs w:val="16"/>
        </w:rPr>
        <w:noBreakHyphen/>
        <w:t>60% по всей номенклатуре мобзадания. По ружгранате Дьяконова Ленинградский трубочный завод имеет готовность по оборудованию на 42%. По винтпатронам железным благодаря отсутствию вырубных станков и отжигательных печей мощности у заводов Подольского, Ульяновского, Луганского и Тульского патронных имеются в пределах 30</w:t>
      </w:r>
      <w:r w:rsidRPr="00E93F40">
        <w:rPr>
          <w:rFonts w:ascii="Times New Roman" w:hAnsi="Times New Roman"/>
          <w:color w:val="000000" w:themeColor="text1"/>
          <w:sz w:val="16"/>
          <w:szCs w:val="16"/>
        </w:rPr>
        <w:noBreakHyphen/>
        <w:t>35%.</w:t>
      </w:r>
    </w:p>
    <w:p w14:paraId="16BD759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Паттрубвзрывобъединением и «Цветметзолотом» в течение полутора лет ведется переписка, кто будет производить вырубку пульного и гильзового колпачка, и только на днях был разрешен вопрос, что эту вырубку будет производить Паттрубвзрыв</w:t>
      </w:r>
      <w:r w:rsidRPr="00E93F40">
        <w:rPr>
          <w:rFonts w:ascii="Times New Roman" w:hAnsi="Times New Roman"/>
          <w:color w:val="000000" w:themeColor="text1"/>
          <w:sz w:val="16"/>
          <w:szCs w:val="16"/>
        </w:rPr>
        <w:softHyphen/>
        <w:t>объединение, которое на сегодня не имеет готовности ни по вырубке, ни по термической обработке.</w:t>
      </w:r>
    </w:p>
    <w:p w14:paraId="7D54098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разрешен вопрос со снаряжением взрывателей РГ</w:t>
      </w:r>
      <w:r w:rsidRPr="00E93F40">
        <w:rPr>
          <w:rFonts w:ascii="Times New Roman" w:hAnsi="Times New Roman"/>
          <w:color w:val="000000" w:themeColor="text1"/>
          <w:sz w:val="16"/>
          <w:szCs w:val="16"/>
        </w:rPr>
        <w:noBreakHyphen/>
        <w:t>6, запала Калашникова, МГ</w:t>
      </w:r>
      <w:r w:rsidRPr="00E93F40">
        <w:rPr>
          <w:rFonts w:ascii="Times New Roman" w:hAnsi="Times New Roman"/>
          <w:color w:val="000000" w:themeColor="text1"/>
          <w:sz w:val="16"/>
          <w:szCs w:val="16"/>
        </w:rPr>
        <w:noBreakHyphen/>
        <w:t>2, МД</w:t>
      </w:r>
      <w:r w:rsidRPr="00E93F40">
        <w:rPr>
          <w:rFonts w:ascii="Times New Roman" w:hAnsi="Times New Roman"/>
          <w:color w:val="000000" w:themeColor="text1"/>
          <w:sz w:val="16"/>
          <w:szCs w:val="16"/>
        </w:rPr>
        <w:noBreakHyphen/>
        <w:t>2, АГМ</w:t>
      </w:r>
      <w:r w:rsidRPr="00E93F40">
        <w:rPr>
          <w:rFonts w:ascii="Times New Roman" w:hAnsi="Times New Roman"/>
          <w:color w:val="000000" w:themeColor="text1"/>
          <w:sz w:val="16"/>
          <w:szCs w:val="16"/>
        </w:rPr>
        <w:noBreakHyphen/>
        <w:t>1 и по трассирующим винтпатронам. Заводы объединения не имеют чертежей и техусловий на следующие изделия, вошедшие в мобплан: по железной пушечной гильзе всех калибров, по железным винтпатронам, по трубке «Д», по взрывателям РГ</w:t>
      </w:r>
      <w:r w:rsidRPr="00E93F40">
        <w:rPr>
          <w:rFonts w:ascii="Times New Roman" w:hAnsi="Times New Roman"/>
          <w:color w:val="000000" w:themeColor="text1"/>
          <w:sz w:val="16"/>
          <w:szCs w:val="16"/>
        </w:rPr>
        <w:noBreakHyphen/>
        <w:t>6, МГ</w:t>
      </w:r>
      <w:r w:rsidRPr="00E93F40">
        <w:rPr>
          <w:rFonts w:ascii="Times New Roman" w:hAnsi="Times New Roman"/>
          <w:color w:val="000000" w:themeColor="text1"/>
          <w:sz w:val="16"/>
          <w:szCs w:val="16"/>
        </w:rPr>
        <w:noBreakHyphen/>
        <w:t>2, МД</w:t>
      </w:r>
      <w:r w:rsidRPr="00E93F40">
        <w:rPr>
          <w:rFonts w:ascii="Times New Roman" w:hAnsi="Times New Roman"/>
          <w:color w:val="000000" w:themeColor="text1"/>
          <w:sz w:val="16"/>
          <w:szCs w:val="16"/>
        </w:rPr>
        <w:noBreakHyphen/>
        <w:t>2, по гранате Дьяконова, по запалу Калашникова.</w:t>
      </w:r>
    </w:p>
    <w:p w14:paraId="1BFE5AD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снабжении заводов металлом</w:t>
      </w:r>
    </w:p>
    <w:p w14:paraId="07EEF33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 из-за неполучения металла находятся под угрозой остановки не только отдельных цехов, но целых производств. Положение со снабжением металлом на сегодня характеризуется так.</w:t>
      </w:r>
    </w:p>
    <w:p w14:paraId="74F494E3" w14:textId="663899C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Железные винтпатроны. Железо под плакировку гильзовой лепты дает Алапаевский завод. Завод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должен был подать 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дал только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из которых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негодного. В декабре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должен был подать 984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 фактически ничего не дал. Благодаря несдаче железа в декабре месяце под плакировку Алапаевским заводом в январе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плакировка на всех трех заводах (Тульский, Кольчугинский и «Красный выборжец») по прокату стояла.</w:t>
      </w:r>
    </w:p>
    <w:p w14:paraId="6600AC7E" w14:textId="3EB01FC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Железные пули. По пульному биметаллу положение также катастрофическое. Н[овый] Сергинский завод подает для старого цеха Тульского патронного завода железо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какового должен был дать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дал только 1440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Белорецкий 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железо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для пуска нового цеха Тульского патр[онного] завода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должен был дать в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дал только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должен подавать по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ежемесячно, а не дал ни одной партии. Партия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забракована на месте. Неполучение железа задерживает сдачу и пуск нового цеха, к тому же немецкие специалисты по Туле задерживаются и не могут в срок закончить пуск завода. Вообще программа на 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патрону с плакированной пулей и гильзой не обеспечена и ставит под угрозу снабжение армии ввиду остановки патронных заводов из-за неимения биметалла.</w:t>
      </w:r>
    </w:p>
    <w:p w14:paraId="42E64A7F" w14:textId="6B310FA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месяце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Паттрубвзрыв получил разрешение АУ сдавать патроны с латунной гильзой и мельхиоровой пулей с позаимствованием металла из мобзапаса, чем ослабило и до того неполную обеспеченность мобзапасов по цветному металлу патр[онных] заводов. В феврале положение не улучшается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биметалла нет. Таким образом, февральская и мартовская программы находятся под угрозой, и объединение вынуждено продолжать позаимствование цветных металлов из мобзапаса, что, в конечном итоге, приведет к тому, что во время первого года войны патронные заводы не будут иметь мобготовности по МВ</w:t>
      </w:r>
      <w:r w:rsidRPr="00E93F40">
        <w:rPr>
          <w:rFonts w:ascii="Times New Roman" w:hAnsi="Times New Roman"/>
          <w:color w:val="000000" w:themeColor="text1"/>
          <w:sz w:val="16"/>
          <w:szCs w:val="16"/>
        </w:rPr>
        <w:noBreakHyphen/>
        <w:t>10, потребность же в патронах исчисляется в несколько миллиардов штук.</w:t>
      </w:r>
    </w:p>
    <w:p w14:paraId="17C4B31F" w14:textId="5B5D3B3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Пушечно-гильзовое производство. Тульский патронный завод является одним из главных заводов, изготовляющих пушечные железные гильзы разных калибров (76, 107, 122 и 152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Завод получает железные кружки от Добрянского завода.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Добрянский завод должен был дать 120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кружков, дал только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кружков одного калибра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Добрянский завод имеет задание на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кружков. В 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должен дать 57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кружков разных калибров, но до сего времени не дал ни одного кружка. Таким образом, обеспеченности железом и для пушечных гильз Паттрубвзрыв на сегодняшний день не имеет, что также срывает готовность по МВ</w:t>
      </w:r>
      <w:r w:rsidRPr="00E93F40">
        <w:rPr>
          <w:rFonts w:ascii="Times New Roman" w:hAnsi="Times New Roman"/>
          <w:color w:val="000000" w:themeColor="text1"/>
          <w:sz w:val="16"/>
          <w:szCs w:val="16"/>
        </w:rPr>
        <w:noBreakHyphen/>
        <w:t>10 (на Паратском заводе это производство еще не освоено).</w:t>
      </w:r>
    </w:p>
    <w:p w14:paraId="70185C96" w14:textId="05443FE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Инструментальная сталь. Инструментальные мастерские заводов Паттрубвзрыва из-за неимения сталей не выполняют программу. Из-за отсутствия всех размеров сталей заводы расходуют сталь 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вместо 18</w:t>
      </w:r>
      <w:r w:rsidRPr="00E93F40">
        <w:rPr>
          <w:rFonts w:ascii="Times New Roman" w:hAnsi="Times New Roman"/>
          <w:color w:val="000000" w:themeColor="text1"/>
          <w:sz w:val="16"/>
          <w:szCs w:val="16"/>
        </w:rPr>
        <w:noBreakHyphen/>
        <w:t>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что создает более 50% отходов. Стальсбыт снабжает заводы сталью путем проката ижевских слитков, а последний не имеет мощности для обжимки слитков.</w:t>
      </w:r>
    </w:p>
    <w:p w14:paraId="71A4ECC3" w14:textId="636B36F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Обеспеченность программы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цветными металлами</w:t>
      </w:r>
    </w:p>
    <w:p w14:paraId="5F1BE1DC" w14:textId="67BD0B3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 Паттрубвзрывобъединения из-за отсутствия железа в январе месяце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стояли под угрозой остановки, и только с согласия правительства им было дано разрешение использовать цветные металлы, находящиеся в мобзапасе и спецрезерве. Всего в январе месяце заводы Паттрубвзрыва позаимствовали через Комитет резерва при СТО: меди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алюминия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Позаимствовано из мобзапасов заводов Паттрубвзрыва. свинца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сурьмы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олова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p>
    <w:p w14:paraId="4BB499DA" w14:textId="19B39C1A"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 получением цветных металлов заводами Паттрубвзрыва на сегодня характеризуется так: свинец</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обеспеченность только 40%; алюминий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обеспеченность только 40%; олово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обеспеченность только 65%; цинк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обеспеченность только 45%. Таким образом, в январе месяце заводы Паттрубвзрыва полностью программу выполняют из металла, позаимствованного из мобзапаса и спецрезерва. Паттрубвзрывом вновь поднят вопрос о позаимствовании цинка и свинца по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каждого на февраль-март месяцы.</w:t>
      </w:r>
    </w:p>
    <w:p w14:paraId="6A7F0D5F"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руководстве в Паттрубвзрыве</w:t>
      </w:r>
    </w:p>
    <w:p w14:paraId="2730D2CD" w14:textId="7219A81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ОГПУ еще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обращало внимание на исключительно ненормальное положение в руководстве Паттрубвзрыв</w:t>
      </w:r>
      <w:r w:rsidRPr="00E93F40">
        <w:rPr>
          <w:rFonts w:ascii="Times New Roman" w:hAnsi="Times New Roman"/>
          <w:color w:val="000000" w:themeColor="text1"/>
          <w:sz w:val="16"/>
          <w:szCs w:val="16"/>
        </w:rPr>
        <w:softHyphen/>
        <w:t>объединения, которое происходит и в настоящее время, что не может не отражаться на производственном и хозяйственном состоянии заводов объединения.</w:t>
      </w:r>
    </w:p>
    <w:p w14:paraId="1713BB6C" w14:textId="5FB2DCD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ненормальное положение характеризуется следующим: имеется принципиальная несогласованность в работе между начальником объединения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Венецким и зам. начальника объединения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Месхием как в вопросах руководства заводами, так и в вопросах аппарата.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Венецкий больше уделяет внимания на создание себе выхода из этого положения в виде повседневного хождения по парторганизациям и ВСНХ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чем делу руководства.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Месхий стремится отойти от разрешения принципиальных вопросов и открыто заявляет, что больше он работать не будет и уйдет.</w:t>
      </w:r>
    </w:p>
    <w:p w14:paraId="6B09D382" w14:textId="1AFAEBB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последнее время взаимоотношения обострились: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вопросам снаряжательных мастерских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Венецкий склонен и после взрыва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17 иметь их у себя, тогда как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Месхий против этого, между тем как 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РКИ приняло решение о выделении снаряжательного производства с заводов Паттрубвзрыва;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связи с полным провалом производственной деятельности и финансовой Ленинградского трубочного завода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вначале имело место единодушие в снятии директора завода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Кондруцкого, а теперь, когда Ленинградским обкомом и Военно-морской инспекцией создана комиссия по обследованию указанного завода, принять участие в работе этой комиссии и выехать на Ленинградский трубочный завод никто не хочет.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Месхий заявляет: «Я новый человек», 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Венецкий говорит: «Вы это дело затевали, вы и расхлебывайте». Работники аппарата и приезжающие работники заводов все это видят, что отрицательно влияет на работу.</w:t>
      </w:r>
    </w:p>
    <w:p w14:paraId="730401AF" w14:textId="7794AC6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отметить, что благодаря отсутствию внимания руководства к аппарату в ведущем секторе технико-планово-производственном нет руководителей, как и в трубочно-взрывательной и патронной группах. Сотрудники этих секторов находятся в полной беспризорности и без всякого руководства. Начальник сектора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Лосев заявляет: «Парторганизация дала директиву о перестройке работы, но руководством ничего не сделано». Текучесть в аппарате объединения велика, специалисты говорят: «Наши секторы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проходные дворы».</w:t>
      </w:r>
    </w:p>
    <w:p w14:paraId="7BC1804B" w14:textId="09FE078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Анализа материалов не делается. Характерно, как пример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Комис[сариат] тяж[елой] промышленности] затребовал последнюю калькуляцию на изделия. Никто таковой не имеет, потребовалась посылка телеграмм и молний по заводам. Зам, начальника спецсектора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Прибылов заявляет о руководстве: «Руководят только сами, а не через аппарат, в связи с чем последний обезличен и не знает, что делается на заводах, а в результате: текущая работа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пустая бумага».</w:t>
      </w:r>
    </w:p>
    <w:p w14:paraId="4963C8D6" w14:textId="16B39CC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Такое положение особенно тяжело отражается на работе, когда объединение прорабатывает оборонные контрольные цифры, документацию мобплана МВ</w:t>
      </w:r>
      <w:r w:rsidRPr="00E93F40">
        <w:rPr>
          <w:rFonts w:ascii="Times New Roman" w:hAnsi="Times New Roman"/>
          <w:color w:val="000000" w:themeColor="text1"/>
          <w:sz w:val="16"/>
          <w:szCs w:val="16"/>
        </w:rPr>
        <w:noBreakHyphen/>
        <w:t>10 и только что начало производственно-хозяйственную деятельность по промфинплану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41CA2DF" w14:textId="4539B82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слабое место в объединении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пушечно-гильзовое производство, и на этом участке в объединении нет ни одного специалиста. Такое положение оставило фактически заводы без технического руководства и технической помощи. Руководство объединения в заводах неавторитетно, его распоряжения директора заводов зачастую не выполняют. Борьбы с этим явлением начальником объединения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Венецким не ведется и в отношении директоров никаких мер не принимается.</w:t>
      </w:r>
    </w:p>
    <w:p w14:paraId="29A0F26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Выводы</w:t>
      </w:r>
    </w:p>
    <w:p w14:paraId="1E80CF8F" w14:textId="77777777"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Таким образом, на основании имеющихся материалов надлежит констатировать:</w:t>
      </w:r>
    </w:p>
    <w:p w14:paraId="4EA76EE0" w14:textId="7863DB2E"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Если в 1931</w:t>
      </w:r>
      <w:r w:rsidR="007C1411" w:rsidRPr="00E93F40">
        <w:rPr>
          <w:color w:val="000000" w:themeColor="text1"/>
          <w:sz w:val="16"/>
          <w:szCs w:val="16"/>
        </w:rPr>
        <w:t xml:space="preserve"> </w:t>
      </w:r>
      <w:r w:rsidRPr="00E93F40">
        <w:rPr>
          <w:color w:val="000000" w:themeColor="text1"/>
          <w:sz w:val="16"/>
          <w:szCs w:val="16"/>
        </w:rPr>
        <w:t>г. Паттрубвзрыв вышел с недоделом в 70</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то и в 1932</w:t>
      </w:r>
      <w:r w:rsidR="007C1411" w:rsidRPr="00E93F40">
        <w:rPr>
          <w:color w:val="000000" w:themeColor="text1"/>
          <w:sz w:val="16"/>
          <w:szCs w:val="16"/>
        </w:rPr>
        <w:t xml:space="preserve"> </w:t>
      </w:r>
      <w:r w:rsidRPr="00E93F40">
        <w:rPr>
          <w:color w:val="000000" w:themeColor="text1"/>
          <w:sz w:val="16"/>
          <w:szCs w:val="16"/>
        </w:rPr>
        <w:t>г. ввиду неосвоенности значительного количества изделий (РГ</w:t>
      </w:r>
      <w:r w:rsidRPr="00E93F40">
        <w:rPr>
          <w:color w:val="000000" w:themeColor="text1"/>
          <w:sz w:val="16"/>
          <w:szCs w:val="16"/>
        </w:rPr>
        <w:noBreakHyphen/>
        <w:t>6, МГ</w:t>
      </w:r>
      <w:r w:rsidRPr="00E93F40">
        <w:rPr>
          <w:color w:val="000000" w:themeColor="text1"/>
          <w:sz w:val="16"/>
          <w:szCs w:val="16"/>
        </w:rPr>
        <w:noBreakHyphen/>
        <w:t>2, МД</w:t>
      </w:r>
      <w:r w:rsidRPr="00E93F40">
        <w:rPr>
          <w:color w:val="000000" w:themeColor="text1"/>
          <w:sz w:val="16"/>
          <w:szCs w:val="16"/>
        </w:rPr>
        <w:noBreakHyphen/>
        <w:t>2, трубки «Д» и</w:t>
      </w:r>
      <w:r w:rsidR="007C1411" w:rsidRPr="00E93F40">
        <w:rPr>
          <w:color w:val="000000" w:themeColor="text1"/>
          <w:sz w:val="16"/>
          <w:szCs w:val="16"/>
        </w:rPr>
        <w:t xml:space="preserve"> </w:t>
      </w:r>
      <w:r w:rsidRPr="00E93F40">
        <w:rPr>
          <w:color w:val="000000" w:themeColor="text1"/>
          <w:sz w:val="16"/>
          <w:szCs w:val="16"/>
        </w:rPr>
        <w:t>др.), большого брака, отсутствия плановости положение не будет улучшено.</w:t>
      </w:r>
    </w:p>
    <w:p w14:paraId="08555D9F" w14:textId="0785FEB6"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Из-за недоснабжения заводов металлом многие заводы стоят под угрозой срыва.</w:t>
      </w:r>
    </w:p>
    <w:p w14:paraId="4DF552DC" w14:textId="3BE3F837"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В части мобготовности «узкими» местами являются: пушечно-гильзовое производство, инструментальные мастерские, отсутствие вырубных станков и отжигательных печей.</w:t>
      </w:r>
    </w:p>
    <w:p w14:paraId="5778A14E" w14:textId="6C899D29"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В части руководства заводами требуется принятие ряда мер по созданию работоспособного аппарата, так как все данные говорят о том, что технического руководства заводами нет.</w:t>
      </w:r>
    </w:p>
    <w:p w14:paraId="49D10FF1"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Начальник VI отдела ЭКУ ОГПУ Коновалов</w:t>
      </w:r>
    </w:p>
    <w:p w14:paraId="745D6BE3"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Уполномоченный VI отдела ЭКУ Киселев</w:t>
      </w:r>
    </w:p>
    <w:p w14:paraId="3F00CD6A" w14:textId="1DE128A3"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rPr>
        <w:t>ГА РФ. Ф.</w:t>
      </w:r>
      <w:r w:rsidR="007C1411" w:rsidRPr="00E93F40">
        <w:rPr>
          <w:color w:val="000000" w:themeColor="text1"/>
          <w:sz w:val="16"/>
          <w:szCs w:val="16"/>
        </w:rPr>
        <w:t xml:space="preserve"> </w:t>
      </w:r>
      <w:r w:rsidRPr="00E93F40">
        <w:rPr>
          <w:color w:val="000000" w:themeColor="text1"/>
          <w:sz w:val="16"/>
          <w:szCs w:val="16"/>
        </w:rPr>
        <w:t>Р-8418. Оп.</w:t>
      </w:r>
      <w:r w:rsidR="007C1411" w:rsidRPr="00E93F40">
        <w:rPr>
          <w:color w:val="000000" w:themeColor="text1"/>
          <w:sz w:val="16"/>
          <w:szCs w:val="16"/>
        </w:rPr>
        <w:t xml:space="preserve"> </w:t>
      </w:r>
      <w:r w:rsidRPr="00E93F40">
        <w:rPr>
          <w:color w:val="000000" w:themeColor="text1"/>
          <w:sz w:val="16"/>
          <w:szCs w:val="16"/>
        </w:rPr>
        <w:t>5 Д.</w:t>
      </w:r>
      <w:r w:rsidR="007C1411" w:rsidRPr="00E93F40">
        <w:rPr>
          <w:color w:val="000000" w:themeColor="text1"/>
          <w:sz w:val="16"/>
          <w:szCs w:val="16"/>
        </w:rPr>
        <w:t xml:space="preserve"> </w:t>
      </w:r>
      <w:r w:rsidRPr="00E93F40">
        <w:rPr>
          <w:color w:val="000000" w:themeColor="text1"/>
          <w:sz w:val="16"/>
          <w:szCs w:val="16"/>
        </w:rPr>
        <w:t>60. Л.</w:t>
      </w:r>
      <w:r w:rsidR="007C1411" w:rsidRPr="00E93F40">
        <w:rPr>
          <w:color w:val="000000" w:themeColor="text1"/>
          <w:sz w:val="16"/>
          <w:szCs w:val="16"/>
        </w:rPr>
        <w:t xml:space="preserve"> </w:t>
      </w:r>
      <w:r w:rsidRPr="00E93F40">
        <w:rPr>
          <w:color w:val="000000" w:themeColor="text1"/>
          <w:sz w:val="16"/>
          <w:szCs w:val="16"/>
        </w:rPr>
        <w:t>67-76. Подлинник.</w:t>
      </w:r>
    </w:p>
    <w:p w14:paraId="1CD52F5B" w14:textId="05915F0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5 Д. 60. Л. 67-76. Подлинник. </w:t>
      </w:r>
    </w:p>
    <w:p w14:paraId="3986735A" w14:textId="6241B2C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629-633 (12553).</w:t>
      </w:r>
    </w:p>
    <w:p w14:paraId="76040D7F" w14:textId="77777777" w:rsidR="00275520" w:rsidRPr="00E93F40" w:rsidRDefault="00275520" w:rsidP="00E93F40">
      <w:pPr>
        <w:spacing w:after="0" w:line="240" w:lineRule="auto"/>
        <w:jc w:val="both"/>
        <w:rPr>
          <w:rFonts w:ascii="Times New Roman" w:hAnsi="Times New Roman"/>
          <w:color w:val="000000" w:themeColor="text1"/>
          <w:sz w:val="16"/>
          <w:szCs w:val="16"/>
        </w:rPr>
      </w:pPr>
    </w:p>
    <w:p w14:paraId="1486BE1F"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22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199/40 об отнесении к числу ударных строек заводов военной промышленности НКТП (ГА РФ. Ф. Р?8418. Оп. 28. Д. 146. Л. 2?5) (12415).</w:t>
      </w:r>
    </w:p>
    <w:p w14:paraId="10385DD7" w14:textId="2D64C20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u w:color="002060"/>
        </w:rPr>
        <w:t xml:space="preserve">Постановление СТО СССР и Комиссии обороны № 128/55сс по строительству военно-морских сил РККА на 1932 г. (ГА РФ. Ф. Р?8418. Оп. 28. Д. 1а. Л. 145?156) </w:t>
      </w: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3. Л. 4—5. Подлинник. </w:t>
      </w:r>
    </w:p>
    <w:p w14:paraId="5D74CBE2" w14:textId="2B89E251" w:rsidR="00275520" w:rsidRPr="00E93F40" w:rsidRDefault="0027552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628-629</w:t>
      </w:r>
      <w:r w:rsidRPr="00E93F40">
        <w:rPr>
          <w:rFonts w:ascii="Times New Roman" w:hAnsi="Times New Roman"/>
          <w:color w:val="000000" w:themeColor="text1"/>
          <w:sz w:val="16"/>
          <w:szCs w:val="16"/>
          <w:u w:color="002060"/>
        </w:rPr>
        <w:t xml:space="preserve"> (12415).</w:t>
      </w:r>
    </w:p>
    <w:p w14:paraId="64BE8194" w14:textId="77777777" w:rsidR="00275520" w:rsidRPr="00E93F40" w:rsidRDefault="00275520" w:rsidP="00E93F40">
      <w:pPr>
        <w:spacing w:after="0" w:line="240" w:lineRule="auto"/>
        <w:jc w:val="both"/>
        <w:rPr>
          <w:rFonts w:ascii="Times New Roman" w:hAnsi="Times New Roman"/>
          <w:color w:val="000000" w:themeColor="text1"/>
          <w:sz w:val="16"/>
          <w:szCs w:val="16"/>
          <w:u w:color="002060"/>
        </w:rPr>
      </w:pPr>
    </w:p>
    <w:p w14:paraId="7B7DFADB"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г. — Из справки ЭКУ ОГПУ СССР генеральному секретарю ЦК ВКП(б) И. В. Сталину о работах осужденных специалистов при техническом отделе ЭКУ ОГПУ в 1931 г.</w:t>
      </w:r>
    </w:p>
    <w:p w14:paraId="2B0D999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43C9532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Авто-танко-тракторостроение</w:t>
      </w:r>
    </w:p>
    <w:p w14:paraId="1D88B6B9" w14:textId="18B307D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Закончена разработка конструкции плавающего быстроходного танка весом в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Танк частично запускается в производство.</w:t>
      </w:r>
    </w:p>
    <w:p w14:paraId="20D694BA" w14:textId="6F62802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Проведены работы по изменению и приспособлению трактора «Катерпиллер» в связи с установкой на него дизель-мотора.</w:t>
      </w:r>
    </w:p>
    <w:p w14:paraId="63145BEA" w14:textId="52DAE43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Путем введения дополнительной коробки скоростей в трактор «Катерпиллер» существующие скорости трактора увеличены в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раза. Повышенные скорости увеличивают агротехнические качества трактора и усиливают его, как тяговую машину. Для уменьшения потерь при перекатывании гусеницы на больших скоростях и для уменьшения веса неподрессоренных масс поставлены облегченные гусеничные башмаки из броневой стали, а для прохождения трактора по шоссе и мостовым запроектированы резиновые накладки к гусеничным башмакам.</w:t>
      </w:r>
    </w:p>
    <w:p w14:paraId="1F1710A1" w14:textId="5AA9A3D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Трактор мобилизационно подготовлен, забронирован и вооружен пулеметом. Поставлена специальная зенитная установка для пулемета. В таком виде трактор будет работать как вооружений тягач.</w:t>
      </w:r>
    </w:p>
    <w:p w14:paraId="52E5A430" w14:textId="48349D7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B.</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Разработана конструкция превращения полуторатонного грузовика «Форд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АА» в трехосную машину с одной ведущей осью. Машина рассчитана на использование обычных деталей «форда» (мобилизационная задача). Машина покрыта броней 7</w:t>
      </w:r>
      <w:r w:rsidRPr="00E93F40">
        <w:rPr>
          <w:rFonts w:ascii="Times New Roman" w:hAnsi="Times New Roman"/>
          <w:color w:val="000000" w:themeColor="text1"/>
          <w:sz w:val="16"/>
          <w:szCs w:val="16"/>
        </w:rPr>
        <w:noBreakHyphen/>
        <w:t>8</w:t>
      </w:r>
      <w:r w:rsidRPr="00E93F40">
        <w:rPr>
          <w:rFonts w:ascii="Times New Roman" w:hAnsi="Times New Roman"/>
          <w:color w:val="000000" w:themeColor="text1"/>
          <w:sz w:val="16"/>
          <w:szCs w:val="16"/>
        </w:rPr>
        <w:noBreakHyphen/>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и вооружена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пулеметами ДТУ. Машина производством полностью закончена и сдается военному ведомству.</w:t>
      </w:r>
    </w:p>
    <w:p w14:paraId="4ED8AC04" w14:textId="00D0DA2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Разработана конструкция и выполнена в производстве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превращение полуторатонного грузовика «Форд АА» в трехосную машину с двумя ведущими осями. Машина рассчитана на высокую проходимость по плохим дорогам и пересеченной местности. В мирное время будет транспортной машиной для тяжелых условий работы. В военное время машина будет покрыта 7</w:t>
      </w:r>
      <w:r w:rsidRPr="00E93F40">
        <w:rPr>
          <w:rFonts w:ascii="Times New Roman" w:hAnsi="Times New Roman"/>
          <w:color w:val="000000" w:themeColor="text1"/>
          <w:sz w:val="16"/>
          <w:szCs w:val="16"/>
        </w:rPr>
        <w:noBreakHyphen/>
        <w:t>6</w:t>
      </w:r>
      <w:r w:rsidRPr="00E93F40">
        <w:rPr>
          <w:rFonts w:ascii="Times New Roman" w:hAnsi="Times New Roman"/>
          <w:color w:val="000000" w:themeColor="text1"/>
          <w:sz w:val="16"/>
          <w:szCs w:val="16"/>
        </w:rPr>
        <w:noBreakHyphen/>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броней и вооружена 37</w:t>
      </w:r>
      <w:r w:rsidRPr="00E93F40">
        <w:rPr>
          <w:rFonts w:ascii="Times New Roman" w:hAnsi="Times New Roman"/>
          <w:color w:val="000000" w:themeColor="text1"/>
          <w:sz w:val="16"/>
          <w:szCs w:val="16"/>
        </w:rPr>
        <w:noBreakHyphen/>
        <w:t>мм орудием и двумя пулеметами ДТУ. Машина прошла испытания и сдается военному ведомству.</w:t>
      </w:r>
    </w:p>
    <w:p w14:paraId="694BE27A" w14:textId="260A709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Разработана конструкция бронирования трехосной полуторатонной машины системы «Форд-Тимкен». Броня 7</w:t>
      </w:r>
      <w:r w:rsidRPr="00E93F40">
        <w:rPr>
          <w:rFonts w:ascii="Times New Roman" w:hAnsi="Times New Roman"/>
          <w:color w:val="000000" w:themeColor="text1"/>
          <w:sz w:val="16"/>
          <w:szCs w:val="16"/>
        </w:rPr>
        <w:noBreakHyphen/>
        <w:t>6</w:t>
      </w:r>
      <w:r w:rsidRPr="00E93F40">
        <w:rPr>
          <w:rFonts w:ascii="Times New Roman" w:hAnsi="Times New Roman"/>
          <w:color w:val="000000" w:themeColor="text1"/>
          <w:sz w:val="16"/>
          <w:szCs w:val="16"/>
        </w:rPr>
        <w:noBreakHyphen/>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Вооружение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37</w:t>
      </w:r>
      <w:r w:rsidRPr="00E93F40">
        <w:rPr>
          <w:rFonts w:ascii="Times New Roman" w:hAnsi="Times New Roman"/>
          <w:color w:val="000000" w:themeColor="text1"/>
          <w:sz w:val="16"/>
          <w:szCs w:val="16"/>
        </w:rPr>
        <w:noBreakHyphen/>
        <w:t>мм орудие и два пулемета ДТУ. Машина изготовлена и сдана военведу.</w:t>
      </w:r>
    </w:p>
    <w:p w14:paraId="1F3C5809"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Дизелестроение</w:t>
      </w:r>
    </w:p>
    <w:p w14:paraId="690A1274"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Закончено проектированием, производством и испытанием.</w:t>
      </w:r>
    </w:p>
    <w:p w14:paraId="4272ED64" w14:textId="52A43FE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 нефтяных двухтактных бескомпрессорных дизеля по 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при 650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оборотах. Двигатели предназначены для замены существующего газолинового двигателя трактора «Катерпиллер». Переход с газолина на нефть и уменьшение количества расходуемого топлива (200</w:t>
      </w:r>
      <w:r w:rsidRPr="00E93F40">
        <w:rPr>
          <w:rFonts w:ascii="Times New Roman" w:hAnsi="Times New Roman"/>
          <w:color w:val="000000" w:themeColor="text1"/>
          <w:sz w:val="16"/>
          <w:szCs w:val="16"/>
        </w:rPr>
        <w:noBreakHyphen/>
        <w:t>220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силу/ч вместо 330</w:t>
      </w:r>
      <w:r w:rsidRPr="00E93F40">
        <w:rPr>
          <w:rFonts w:ascii="Times New Roman" w:hAnsi="Times New Roman"/>
          <w:color w:val="000000" w:themeColor="text1"/>
          <w:sz w:val="16"/>
          <w:szCs w:val="16"/>
        </w:rPr>
        <w:noBreakHyphen/>
        <w:t>360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оригинальном «Катерпиллере») создают экономию не менее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чаc. Принимая годовую работу одного трактора в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часов, получаем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экономии в год на одной машине, а, считаясь с годовым выпуском Челябинского тракторного завода в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имеем экономию при эксплуатации годовой продукции завода в 120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4E09FBD4" w14:textId="2BE5BCD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Запроектирован двухтактный дизель мощностью в 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при числе оборотов 500 в минуту, весом 7</w:t>
      </w:r>
      <w:r w:rsidRPr="00E93F40">
        <w:rPr>
          <w:rFonts w:ascii="Times New Roman" w:hAnsi="Times New Roman"/>
          <w:color w:val="000000" w:themeColor="text1"/>
          <w:sz w:val="16"/>
          <w:szCs w:val="16"/>
        </w:rPr>
        <w:noBreakHyphen/>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на силу для подводной лодки. Дизель находится в постройке и должен будет заменить собою заграничные дизели фирмы «МАН», вес которых около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на силу. Строится на Коломенском заводе.</w:t>
      </w:r>
    </w:p>
    <w:p w14:paraId="700EE06F" w14:textId="437C6606"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Запроектирован легкий быстроходный дизель для танка. Мощность его 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при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оборотах в минуту при весе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на силу. Этот дизель в настоящий момент также находится в постройке на заводе «Большевик». По изготовлении будет установлен на плавающем танке.</w:t>
      </w:r>
    </w:p>
    <w:p w14:paraId="05C4FC29" w14:textId="57D4B7FA"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стадии проектировки и разработки рабочих чертежей находятся четыре быстроходных дизеля: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авиационный дизель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частично запущен в производство;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авиационный воздушного охлаждения в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звездообразный;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100</w:t>
      </w:r>
      <w:r w:rsidRPr="00E93F40">
        <w:rPr>
          <w:rFonts w:ascii="Times New Roman" w:hAnsi="Times New Roman"/>
          <w:color w:val="000000" w:themeColor="text1"/>
          <w:sz w:val="16"/>
          <w:szCs w:val="16"/>
        </w:rPr>
        <w:noBreakHyphen/>
        <w:t>сильный, 80</w:t>
      </w:r>
      <w:r w:rsidRPr="00E93F40">
        <w:rPr>
          <w:rFonts w:ascii="Times New Roman" w:hAnsi="Times New Roman"/>
          <w:color w:val="000000" w:themeColor="text1"/>
          <w:sz w:val="16"/>
          <w:szCs w:val="16"/>
        </w:rPr>
        <w:noBreakHyphen/>
        <w:t>сильный и 40</w:t>
      </w:r>
      <w:r w:rsidRPr="00E93F40">
        <w:rPr>
          <w:rFonts w:ascii="Times New Roman" w:hAnsi="Times New Roman"/>
          <w:color w:val="000000" w:themeColor="text1"/>
          <w:sz w:val="16"/>
          <w:szCs w:val="16"/>
        </w:rPr>
        <w:noBreakHyphen/>
        <w:t>сильный для автомобилей. Под 100</w:t>
      </w:r>
      <w:r w:rsidRPr="00E93F40">
        <w:rPr>
          <w:rFonts w:ascii="Times New Roman" w:hAnsi="Times New Roman"/>
          <w:color w:val="000000" w:themeColor="text1"/>
          <w:sz w:val="16"/>
          <w:szCs w:val="16"/>
        </w:rPr>
        <w:noBreakHyphen/>
        <w:t>сильный нами будет разработан специальной конструкции автомобиль. 80</w:t>
      </w:r>
      <w:r w:rsidRPr="00E93F40">
        <w:rPr>
          <w:rFonts w:ascii="Times New Roman" w:hAnsi="Times New Roman"/>
          <w:color w:val="000000" w:themeColor="text1"/>
          <w:sz w:val="16"/>
          <w:szCs w:val="16"/>
        </w:rPr>
        <w:noBreakHyphen/>
        <w:t>сильный предположено установить на 1,5</w:t>
      </w:r>
      <w:r w:rsidRPr="00E93F40">
        <w:rPr>
          <w:rFonts w:ascii="Times New Roman" w:hAnsi="Times New Roman"/>
          <w:color w:val="000000" w:themeColor="text1"/>
          <w:sz w:val="16"/>
          <w:szCs w:val="16"/>
        </w:rPr>
        <w:noBreakHyphen/>
        <w:t>тонные автомобили и 40</w:t>
      </w:r>
      <w:r w:rsidRPr="00E93F40">
        <w:rPr>
          <w:rFonts w:ascii="Times New Roman" w:hAnsi="Times New Roman"/>
          <w:color w:val="000000" w:themeColor="text1"/>
          <w:sz w:val="16"/>
          <w:szCs w:val="16"/>
        </w:rPr>
        <w:noBreakHyphen/>
        <w:t>сильные на легковые «форды»;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разрабатывается дизель в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для аэросаней, приспособленный для работ на севере.</w:t>
      </w:r>
    </w:p>
    <w:p w14:paraId="710A71DB" w14:textId="2CC1AFCA"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Проектировка и постройка дизелей как для авиации, так и для автомобилей имеет громадное значение в смысле государственной экономии. Если считать, что в авиации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в час расходуется бензина 240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 на дизель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в час 190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то на 1 силу в час уже имеется экономия в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 полете длительностью в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получится экономия 50×10=500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 при мощном дизеле в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при 10</w:t>
      </w:r>
      <w:r w:rsidRPr="00E93F40">
        <w:rPr>
          <w:rFonts w:ascii="Times New Roman" w:hAnsi="Times New Roman"/>
          <w:color w:val="000000" w:themeColor="text1"/>
          <w:sz w:val="16"/>
          <w:szCs w:val="16"/>
        </w:rPr>
        <w:noBreakHyphen/>
        <w:t>часовом полете будет иметь экономию 500×2300=115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или более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Если принять во внимание, что нефть примерно в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 дешевле, то по стоимости при 10</w:t>
      </w:r>
      <w:r w:rsidRPr="00E93F40">
        <w:rPr>
          <w:rFonts w:ascii="Times New Roman" w:hAnsi="Times New Roman"/>
          <w:color w:val="000000" w:themeColor="text1"/>
          <w:sz w:val="16"/>
          <w:szCs w:val="16"/>
        </w:rPr>
        <w:noBreakHyphen/>
        <w:t>часовом полете получится экономия в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бензина.</w:t>
      </w:r>
    </w:p>
    <w:p w14:paraId="38BECAE8"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Химия, ОВ и взрывчатые вещества</w:t>
      </w:r>
    </w:p>
    <w:p w14:paraId="0A7AF2F0" w14:textId="521B2A1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будет пущена полузаводская установка, полученного нового в Союзе ОВ капсицина. Разработан метод получения 19 аналогов капсицина. Разрешен вопрос получения вещества на базе имеющегося в Союзе сырья. Стоимость тонны «К»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вместо предполагавшихся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при импорте ряда полупродуктов. Свойства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мгновенное, неожиданное, крайне резкое действие на слизистые оболочки носоглотки и верхние дыхательные пути, приводящие к удушью и обморочному состоянию. Испытания проведены.</w:t>
      </w:r>
    </w:p>
    <w:p w14:paraId="29C68DB2" w14:textId="2F7F2502"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Кантаридин²*. Лабораторно получены образцы аналогов кантаридина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вещества накожного нарывного действия. Образцы испытываются.</w:t>
      </w:r>
    </w:p>
    <w:p w14:paraId="4136BB75" w14:textId="0E2D6D5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Хлорацетофенон³*. Полностью разрешен вопрос способа производства одного из важнейших 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хлорацетофенона. Способ освобождает производство от заграничной зависимости (импорт треххлористого алюминия), устраняет применение дефицитного сырья и удешевляет продукт: вместо 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до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за тонну.</w:t>
      </w:r>
    </w:p>
    <w:p w14:paraId="6BC25084" w14:textId="094BE47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Способ дает возможность развернуть производство в широком масштабе на базе отечественного сырья. В 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будет пущена полузаводская установка.</w:t>
      </w:r>
    </w:p>
    <w:p w14:paraId="1897D011" w14:textId="09EA146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Фтористый иприт. Получен лабораторным путем фтористый иприт. Ведутся анализы вещества и исследования его токсичности.</w:t>
      </w:r>
    </w:p>
    <w:p w14:paraId="1315D640" w14:textId="68020FA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Уксусно-натриевая соль. Разработан метод извлечения уксусно-натриевой соли из отбросов производства уксусного ангидрида. Метод передан промышленности. Способ внедрен на Первом Химзаводе и за год дал экономию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47C8FFF5" w14:textId="34F46FA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Оксилит. Ведутся работы по применению оксилита для противогаза. Применение оксилита дает возможность бойцу выключиться из окружающей атмосферы на 30</w:t>
      </w:r>
      <w:r w:rsidRPr="00E93F40">
        <w:rPr>
          <w:rFonts w:ascii="Times New Roman" w:hAnsi="Times New Roman"/>
          <w:color w:val="000000" w:themeColor="text1"/>
          <w:sz w:val="16"/>
          <w:szCs w:val="16"/>
        </w:rPr>
        <w:noBreakHyphen/>
        <w:t>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 ибо оксилит производит очистку углекислоты в выдыхаемом воздухе. Имеет огромное значение для чистки воздуха в газоубежищах⁴*.</w:t>
      </w:r>
    </w:p>
    <w:p w14:paraId="05104861"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Пороха и взрывчатые вещества</w:t>
      </w:r>
    </w:p>
    <w:p w14:paraId="5CB553B4" w14:textId="62260A8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 метод механизации работ по снаряжению снарядов амматолом (взрывчатое вещество) и конструкции станков для механического снаряжения. Принято на заводы Вохимобъединения.</w:t>
      </w:r>
    </w:p>
    <w:p w14:paraId="33590F83" w14:textId="3A86D1A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25 «Красный боевик» в результате проводившихся работ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предложено расширение завода до производительности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порохов в год вместо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Принято ВХО к исполнению в строительстве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7AB4D660" w14:textId="406D0F0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 «Шостка» разработан вопрос о концентрации порохового производства, на основе чего ВХО принято решение перестроить завод по нашему проекту, что дает экономию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год.</w:t>
      </w:r>
    </w:p>
    <w:p w14:paraId="06910D26" w14:textId="5D0CDD26"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28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Косякова установлен технологический процесс производства пироксилина и порохов, в результате чего ликвидирован производственный брак и систематические прорывы на заводе.</w:t>
      </w:r>
    </w:p>
    <w:p w14:paraId="05B2306B" w14:textId="0271033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Закончены расчеты и рабочие чертежи полной механизации всего цикла производства бездымных порохов (пироксилиновых). Механизация даст большую экономию в площадях, рабочей силе, ускоряет процесс производства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Для практического выполнения работы вынесены на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28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Косякова.</w:t>
      </w:r>
    </w:p>
    <w:p w14:paraId="1FF82289" w14:textId="661B385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 метод и получен лабораторным путем порох на метиловом спирте в качестве растворителя. До сего времени применялся спирт винный. Готовится опытная партия. Преимущества: метиловый спирт получается из водяного газа. Отпадает необходимость в эфире и этиловом (винном) спирте, получаемом из хлебных злаков. Удешевляется тонна пороха на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Ускоряется и упрощается весь технологический процесс. Повышается химическая стойкость.</w:t>
      </w:r>
    </w:p>
    <w:p w14:paraId="0D5194F3" w14:textId="32451C56"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 метод получения пироксилина с большим содержанием азота (получено до 218</w:t>
      </w:r>
      <w:r w:rsidRPr="00E93F40">
        <w:rPr>
          <w:rFonts w:ascii="Times New Roman" w:hAnsi="Times New Roman"/>
          <w:color w:val="000000" w:themeColor="text1"/>
          <w:sz w:val="16"/>
          <w:szCs w:val="16"/>
        </w:rPr>
        <w:noBreakHyphen/>
        <w:t>219 кубиков азота вместо предельных 212), что дает возможность изготовлять пороха повышенной мощности.</w:t>
      </w:r>
    </w:p>
    <w:p w14:paraId="0DCBE414" w14:textId="25CB8EC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 новый метод флегматизации винтовочного пороха, что увеличивает дальнобойность стрельбы. Образцы переданы на опытную стрельбу.</w:t>
      </w:r>
    </w:p>
    <w:p w14:paraId="61F996C6" w14:textId="4EC46404"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 проект механизма, предупреждающего взрывы в прессах для нитроглицериновых порохов. Передано в Артил[лерийское] управление РККА и Вохимобъединение.</w:t>
      </w:r>
    </w:p>
    <w:p w14:paraId="3F1A1D05" w14:textId="273B2F20"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Получено лабораторным путем взрывчатое вещество бризантит. Предполагается мощность в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раза больше, чем у тротила. Вещество направлено в Военно-техническую академию на испытание.</w:t>
      </w:r>
    </w:p>
    <w:p w14:paraId="67D822A7"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Азот</w:t>
      </w:r>
    </w:p>
    <w:p w14:paraId="69B658B3" w14:textId="1EC063F3"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 метод получения азотно-водородной смеси на базе низкосортного топлива для синтеза аммиака.</w:t>
      </w:r>
    </w:p>
    <w:p w14:paraId="1375CAC8" w14:textId="51954B81"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 замкнутый цикл производства аммиака на коксохимических комбинатах. Метод превращает коксохимический завод в химико-коксовый.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кокса выход 490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аммиака. По обоим методам изготовлены технические проекты опытно-производственных заводов, мощностью первого на 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 год аммиака и второго на 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 первому методу, базирующемуся на низкосортном топливе, утверждено строительство опытного завода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Бобриках. Разработанные методы полностью разрешают азотную проблему для СССР на отечественной технической базе. Развитие азотной промышленности Союза по пятилетке до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связанного азота в год по разработанным методам даст большую экономию по капиталовложениям.</w:t>
      </w:r>
    </w:p>
    <w:p w14:paraId="28F128E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осуществление приведенного метода нами проделаны нижеследующие работы:</w:t>
      </w:r>
    </w:p>
    <w:p w14:paraId="46BA31DB" w14:textId="7C11D83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Газогенератор непрерывного действия для газификации низкосортного топлива. Газогенератор изготовлен на советских заводах по проекту и под нашим наблюдением и руководством и смонтирован на Московском газовом заводе.</w:t>
      </w:r>
    </w:p>
    <w:p w14:paraId="70176A89" w14:textId="29BA4DE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Технический проект кислородно-азотной установки на 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м³ жидкого кислорода в час. Проект кислородной установки делается в СССР впервые. Спроектированный агрегат по своей производительности значительно превышает мощность работающих в настоящее время заграничных кислородных установок. Проект передан в трест ВАТ для исполнения.</w:t>
      </w:r>
    </w:p>
    <w:p w14:paraId="4D5EEAA7" w14:textId="7727013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Проект компрессора для воздуха. Производительность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м³ в час. Рабочее давление 220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атм. Проект предназначен для обслуживания спроектированной кислородно-азотной установки. Компрессор на такое высокое давление проектируется в СССР впервые. Разработка советского компрессора позволит СССР освободиться от импорта подобных компрессоров.</w:t>
      </w:r>
    </w:p>
    <w:p w14:paraId="4D5CDD43" w14:textId="68159DA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Разработан проект установки глубокого охлаждения. Производительность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м³ кислорода и 8,8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м³ азота. Целью проекта является получение водородно-азотной смеси для синтетического, аммиака и кислорода для газификации подмосковного угля.</w:t>
      </w:r>
    </w:p>
    <w:p w14:paraId="7EA12FF3"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Ассимиляция целлюлозного производства с пироксилиновым</w:t>
      </w:r>
    </w:p>
    <w:p w14:paraId="08B96A9A" w14:textId="544301C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переданному в промышленность методу получения древесной целлюлозы для изготовления порохов, разработан и сдан промышленности проект завода мощностью 10</w:t>
      </w:r>
      <w:r w:rsidRPr="00E93F40">
        <w:rPr>
          <w:rFonts w:ascii="Times New Roman" w:hAnsi="Times New Roman"/>
          <w:color w:val="000000" w:themeColor="text1"/>
          <w:sz w:val="16"/>
          <w:szCs w:val="16"/>
        </w:rPr>
        <w:noBreakHyphen/>
        <w:t>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 год. Завод строится на Свердловском целлюлозном комбинате.</w:t>
      </w:r>
    </w:p>
    <w:p w14:paraId="4C3B4A0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Резиновая промышленность</w:t>
      </w:r>
    </w:p>
    <w:p w14:paraId="199384E0" w14:textId="1B8A37C5"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Маска-противогаз. Разработана конструкция и изготовлены образцы противогаза-маски, со следующими показателями: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маска дает защиту от капельножидкого иприта в течение от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 до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 (требования Вохиму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час);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конструкция маски предоставляет значительные удобства для пользования (одевание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сек);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конструкция маски рассчитана на обеспечение свободного передвижения бойца, свободное владение огнестрельным орудием и оптическими приборами;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единственным импортным материалом является каучук с расходом на одну маску от 32 до 59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против 81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шлем, вырабатываемый до сих пор⁵*;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маска производится методом формования. Стоимость маски в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раза дешевле существующих шлемов.</w:t>
      </w:r>
    </w:p>
    <w:p w14:paraId="4B5D3DC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Прорезиненная ткань. Разработана техническая характеристика прорезиненной ткани для защитных костюмов. Полученные образцы ткани по всем показателям стоят значительно выше германской ткани.</w:t>
      </w:r>
    </w:p>
    <w:p w14:paraId="53188C5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метод вулканизации и новый лак для галош. Заводами Резинообъединения при изготовлении галош как на внутренний рынок, так и на экспорт употреблялся импортный глет, который, будучи примешан в резиновую смесь, обеспечивал общую прочность изделий, лака и облегчал вулканизацию.</w:t>
      </w:r>
    </w:p>
    <w:p w14:paraId="6FCC6ED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запущена в производство опытная партия галош без глета, в которой расход каучука по нашему методу снижается на 15</w:t>
      </w:r>
      <w:r w:rsidRPr="00E93F40">
        <w:rPr>
          <w:rFonts w:ascii="Times New Roman" w:hAnsi="Times New Roman"/>
          <w:color w:val="000000" w:themeColor="text1"/>
          <w:sz w:val="16"/>
          <w:szCs w:val="16"/>
        </w:rPr>
        <w:noBreakHyphen/>
        <w:t>20% при повышенной прочности в несколько раз. Одновременно повышается производительная мощность заводов до 25% с возможностью дальнейшего увеличения продукции при условии незначительных затрат на реконструкцию. Качество галош предполагается получить лучше галош лучших заграничных фирм⁶*.</w:t>
      </w:r>
    </w:p>
    <w:p w14:paraId="10C4553E"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Снаряды и взрыватели</w:t>
      </w:r>
    </w:p>
    <w:p w14:paraId="5706F52D" w14:textId="2F8E8CAB"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40</w:t>
      </w:r>
      <w:r w:rsidRPr="00E93F40">
        <w:rPr>
          <w:rFonts w:ascii="Times New Roman" w:hAnsi="Times New Roman"/>
          <w:color w:val="000000" w:themeColor="text1"/>
          <w:sz w:val="16"/>
          <w:szCs w:val="16"/>
        </w:rPr>
        <w:noBreakHyphen/>
        <w:t>мм ружейная граната безопасного типа. Принятая на вооружение ружейная граната Дьяконова не имеет предохранительного устройства и в случае преждевременного разрыва в мортирке влечет порчу оружия и ранение стрелков. Разработанный нами тип гранаты устраняет эти недостатки благодаря наличию пулеуловителя. Предполагается в дальнейшем повышение дальности полета на 20</w:t>
      </w:r>
      <w:r w:rsidRPr="00E93F40">
        <w:rPr>
          <w:rFonts w:ascii="Times New Roman" w:hAnsi="Times New Roman"/>
          <w:color w:val="000000" w:themeColor="text1"/>
          <w:sz w:val="16"/>
          <w:szCs w:val="16"/>
        </w:rPr>
        <w:noBreakHyphen/>
        <w:t>25%. Граната передается на изготовление опытных образцов на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75.</w:t>
      </w:r>
    </w:p>
    <w:p w14:paraId="40F8AE64" w14:textId="32DD38E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Снаряд, изготовляемый из железных труб. Спроектирована и запущена в производство опытная серия снарядов, изготовляемых из железных труб. Введение на вооружение подобных снарядов значительно увеличит осколочно-фугасное действие на большую зону поражаемого пространства. Снаряды начиняются осколками (отбросами) металла, заливаются цементом и при разрыве стелятся параллельно земле.</w:t>
      </w:r>
    </w:p>
    <w:p w14:paraId="1F471383" w14:textId="71309B4F"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75</w:t>
      </w:r>
      <w:r w:rsidRPr="00E93F40">
        <w:rPr>
          <w:rFonts w:ascii="Times New Roman" w:hAnsi="Times New Roman"/>
          <w:color w:val="000000" w:themeColor="text1"/>
          <w:sz w:val="16"/>
          <w:szCs w:val="16"/>
        </w:rPr>
        <w:noBreakHyphen/>
        <w:t>мм жироскопический реактивный снаряд. Разработана конструкция специального жироскопического реактивного снаряда. Главная особенность снаряда заключается в том, что он действует самостоятельно, без орудия. Выпускается снаряд из тонкой гладкоствольной трубы. Дальность полета (теоретически) 8</w:t>
      </w:r>
      <w:r w:rsidRPr="00E93F40">
        <w:rPr>
          <w:rFonts w:ascii="Times New Roman" w:hAnsi="Times New Roman"/>
          <w:color w:val="000000" w:themeColor="text1"/>
          <w:sz w:val="16"/>
          <w:szCs w:val="16"/>
        </w:rPr>
        <w:noBreakHyphen/>
        <w:t>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Предусмотрена возможность увеличения дальности. Введение на вооружение таких снарядов должно дать значительное удешевление стоимости артвооружения и большую подвижность в маневренной войне. Изготовленные опытные образцы будут опробованы в марте месяце.</w:t>
      </w:r>
    </w:p>
    <w:p w14:paraId="04C4529F" w14:textId="6375E93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45</w:t>
      </w:r>
      <w:r w:rsidRPr="00E93F40">
        <w:rPr>
          <w:rFonts w:ascii="Times New Roman" w:hAnsi="Times New Roman"/>
          <w:color w:val="000000" w:themeColor="text1"/>
          <w:sz w:val="16"/>
          <w:szCs w:val="16"/>
        </w:rPr>
        <w:noBreakHyphen/>
        <w:t>мм бронебойный снаряд. Спроектированы и изготовлены опытные серии снарядов. Снаряды рассчитаны на большую пробиваемость брони против существующих на вооружении армии. Снаряд имеет два наконечника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стальной бронебойный и медный. По теоретическим расчетам снаряд должен пробить 30</w:t>
      </w:r>
      <w:r w:rsidRPr="00E93F40">
        <w:rPr>
          <w:rFonts w:ascii="Times New Roman" w:hAnsi="Times New Roman"/>
          <w:color w:val="000000" w:themeColor="text1"/>
          <w:sz w:val="16"/>
          <w:szCs w:val="16"/>
        </w:rPr>
        <w:noBreakHyphen/>
        <w:t>мм броню на 2</w:t>
      </w:r>
      <w:r w:rsidRPr="00E93F40">
        <w:rPr>
          <w:rFonts w:ascii="Times New Roman" w:hAnsi="Times New Roman"/>
          <w:color w:val="000000" w:themeColor="text1"/>
          <w:sz w:val="16"/>
          <w:szCs w:val="16"/>
        </w:rPr>
        <w:noBreakHyphen/>
        <w:t>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w:t>
      </w:r>
    </w:p>
    <w:p w14:paraId="7AA262EB" w14:textId="16E8791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Пуля ОВ. Спроектирована и изготовлена опытная партия пуль для жидких отравляющих веществ. Назначение пули -увеличение огневых средств борьбы с броневыми закрытиями для пехоты и кавалерии путем отравления ОВ поверхностей и закрытых помещений и заражения окружающего воздуха. Проводятся испытания.</w:t>
      </w:r>
    </w:p>
    <w:p w14:paraId="42B9C450" w14:textId="0FC661FD"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76</w:t>
      </w:r>
      <w:r w:rsidRPr="00E93F40">
        <w:rPr>
          <w:rFonts w:ascii="Times New Roman" w:hAnsi="Times New Roman"/>
          <w:color w:val="000000" w:themeColor="text1"/>
          <w:sz w:val="16"/>
          <w:szCs w:val="16"/>
        </w:rPr>
        <w:noBreakHyphen/>
        <w:t>мм тросовый снаряд. Сконструирована и изготовлена опытная партия тросовых снарядов, имеющих специальное назначение борьбы с авиацией. Снаряд состоит из двух массивных грузов, соединенных стальным тросом длиной в 3</w:t>
      </w:r>
      <w:r w:rsidRPr="00E93F40">
        <w:rPr>
          <w:rFonts w:ascii="Times New Roman" w:hAnsi="Times New Roman"/>
          <w:color w:val="000000" w:themeColor="text1"/>
          <w:sz w:val="16"/>
          <w:szCs w:val="16"/>
        </w:rPr>
        <w:noBreakHyphen/>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При запуске в воздух снаряд делает беспорядочные движения грузами, соединенными вытянутым тросом, рассекая все попадающееся на пути. Испытания будут проведены в конце февраля⁷*.</w:t>
      </w:r>
    </w:p>
    <w:p w14:paraId="6BACFD1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Броня</w:t>
      </w:r>
    </w:p>
    <w:p w14:paraId="6677296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Ведутся работа по созданию устойчивости против бронебойных пуль брони из котельного железа. Непробиваемость брони достигается не путем дорогостоящей и длительной в обработке цементации, а дождеванием и магнетизацией особо термически обработанного котельного железа.</w:t>
      </w:r>
    </w:p>
    <w:p w14:paraId="047B8B84" w14:textId="77AA0528"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Предварительными опытами достигнуты следующие результаты на плитке размером 200×200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плита толщиной в 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на дистанции в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не пробивалась бронебойной пулей Бойно-Родзевича, Кутового и обыкновенной мельхиоровой пулей. На обратной стороне плиты ни трещины, ни отдулины не образовывались.</w:t>
      </w:r>
    </w:p>
    <w:p w14:paraId="12A4048C" w14:textId="77C4331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данное время изготовляются указанным методом плиты разных толщин для испытания их с разных дистанций, с установкой дать непробиваемую броню толщиной до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w:t>
      </w:r>
    </w:p>
    <w:p w14:paraId="394F2E2D"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Бериллий</w:t>
      </w:r>
    </w:p>
    <w:p w14:paraId="2DAB3A7B" w14:textId="3C619D5C"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Приступлено к перестройке и оборудованию здания бывшей церкви под Опытный берилловый завод. Срок строительства, включая и пробный пуск,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w:t>
      </w:r>
      <w:r w:rsidRPr="00E93F40">
        <w:rPr>
          <w:rFonts w:ascii="Times New Roman" w:hAnsi="Times New Roman"/>
          <w:color w:val="000000" w:themeColor="text1"/>
          <w:sz w:val="16"/>
          <w:szCs w:val="16"/>
        </w:rPr>
        <w:noBreakHyphen/>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 Завод рассчитан на производительность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металлического бериллия в год. Задачей строящегося бериллового завода является получение как металлического бериллия, так и его лигатур с различными металлами для дальнейшего их использования в виде присадок для получения высококачественных сплавов. С пуском этого завода советская техника получит новую базу для получения сложных специальных сплавов, обладающих исключительными свойствами, как-то: твердость, сопротивление коррозии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1CEF5B20"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Судостроение</w:t>
      </w:r>
    </w:p>
    <w:p w14:paraId="2587975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 Готовность строящейся подводной лодки в Ленинграде по корпусу 95%. Производится разработка рабочих чертежей по внутреннему оборудованию лодки.</w:t>
      </w:r>
    </w:p>
    <w:p w14:paraId="5DC4DD35"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транспортеру</w:t>
      </w:r>
    </w:p>
    <w:p w14:paraId="646731D6"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 Продолжается постройка железнодорожного транспортера для 14</w:t>
      </w:r>
      <w:r w:rsidRPr="00E93F40">
        <w:rPr>
          <w:rFonts w:ascii="Times New Roman" w:hAnsi="Times New Roman"/>
          <w:color w:val="000000" w:themeColor="text1"/>
          <w:sz w:val="16"/>
          <w:szCs w:val="16"/>
        </w:rPr>
        <w:noBreakHyphen/>
        <w:t>дюймового орудия.</w:t>
      </w:r>
    </w:p>
    <w:p w14:paraId="65EFDB0C"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Кабельная экспедиция</w:t>
      </w:r>
    </w:p>
    <w:p w14:paraId="3DB34250" w14:textId="31718BA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Закончена работа кабельной экспедиции по прокладке кабелей в Азовском, Черном и Каспийском морях. В общем итоге кабельная экспедиция подняла со дна Баренцева и Белого морей подводного телеграфного кабеля в круглых цифрах 825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из которых проложила 350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на Каспийском море и 212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на Азовском и Черном морях. Прокладка и выемка кабеля произведены в рекордные сроки. Прокладка кабеля в Азовском море разгружает Ростовский телеграфный узел и имеет важное стратегическое значение.</w:t>
      </w:r>
    </w:p>
    <w:p w14:paraId="2103C092"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Микробиология</w:t>
      </w:r>
    </w:p>
    <w:p w14:paraId="27FF5BC9" w14:textId="77777777"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В Институте специального назначения Техотделом ЭКУ ОГПУ проводятся научно-исследовательские работы по изучению мер борьбы и обороны в биологической войне. Имеются следующие результаты, полученные в лабораторных условиях:</w:t>
      </w:r>
    </w:p>
    <w:p w14:paraId="0A70F115" w14:textId="4F103627"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Доказана жизнеспособность микроба туляремии (самый заразный микроб из всех микробов, до сего времени открытых наукой) в высушенном виде, без потери своих первоначальных качеств. Высушенный микроб сохраняет способность заражения после нагревания его в температуре 120°С в течение одной минуты. Этот опыт доказывает возможность приготовления и хранения микроба в порошкообразном виде и ввода его в горячую пищу, воду и</w:t>
      </w:r>
      <w:r w:rsidR="007C1411" w:rsidRPr="00E93F40">
        <w:rPr>
          <w:color w:val="000000" w:themeColor="text1"/>
          <w:sz w:val="16"/>
          <w:szCs w:val="16"/>
        </w:rPr>
        <w:t xml:space="preserve"> </w:t>
      </w:r>
      <w:r w:rsidRPr="00E93F40">
        <w:rPr>
          <w:color w:val="000000" w:themeColor="text1"/>
          <w:sz w:val="16"/>
          <w:szCs w:val="16"/>
        </w:rPr>
        <w:t>пр.</w:t>
      </w:r>
    </w:p>
    <w:p w14:paraId="29DD7BE9" w14:textId="0F68B10B"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Доказана возможность заражения туляремией путем распыления.</w:t>
      </w:r>
    </w:p>
    <w:p w14:paraId="30E765D9" w14:textId="06E379AC"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По линии заражения водоемов, обезвреженных хлорной известью, проведенными опытами доказана возможность заражения микробами кишечно-тифозной группы водоемов, даже перенасыщенных растворами хлора.</w:t>
      </w:r>
    </w:p>
    <w:p w14:paraId="383B0542" w14:textId="660FB11D"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Проведена работа по высушиванию микробов кишечно-тифозной группы. Высушенные микробы брюшного тифа и дизетифии сохранили жизнеспособность, и зараженные ими мыши восприняли заболевание. При нагревании в 100°С в течение 2</w:t>
      </w:r>
      <w:r w:rsidR="007C1411" w:rsidRPr="00E93F40">
        <w:rPr>
          <w:color w:val="000000" w:themeColor="text1"/>
          <w:sz w:val="16"/>
          <w:szCs w:val="16"/>
        </w:rPr>
        <w:t xml:space="preserve"> </w:t>
      </w:r>
      <w:r w:rsidRPr="00E93F40">
        <w:rPr>
          <w:color w:val="000000" w:themeColor="text1"/>
          <w:sz w:val="16"/>
          <w:szCs w:val="16"/>
        </w:rPr>
        <w:t>мин высушенные микробы сохранили жизнеспособность.</w:t>
      </w:r>
    </w:p>
    <w:p w14:paraId="4B457D22" w14:textId="4654E592"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Приступлено к работам по выделению культур специфических типов кишечных бактерий (тифозо-паротифозной группы). Начата работа по составлению сывороток и изменчивости бактерий.</w:t>
      </w:r>
    </w:p>
    <w:p w14:paraId="43DE581E" w14:textId="5F745BA9"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Кроме того, приступлено к работе с микробами чумы.</w:t>
      </w:r>
    </w:p>
    <w:p w14:paraId="43E75DC6" w14:textId="64D5B14E"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Приступлено к составлению брошюры для руководства и текущей работы «Бактериология врача Красной армии».</w:t>
      </w:r>
    </w:p>
    <w:p w14:paraId="1E055DD5" w14:textId="1B806AE0"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rPr>
        <w:t>8.</w:t>
      </w:r>
      <w:r w:rsidR="007C1411" w:rsidRPr="00E93F40">
        <w:rPr>
          <w:color w:val="000000" w:themeColor="text1"/>
          <w:sz w:val="16"/>
          <w:szCs w:val="16"/>
        </w:rPr>
        <w:t xml:space="preserve"> </w:t>
      </w:r>
      <w:r w:rsidRPr="00E93F40">
        <w:rPr>
          <w:color w:val="000000" w:themeColor="text1"/>
          <w:sz w:val="16"/>
          <w:szCs w:val="16"/>
        </w:rPr>
        <w:t>Подготавливается работа по консервированию микробов в полузаводском масштабе⁸*.</w:t>
      </w:r>
    </w:p>
    <w:p w14:paraId="4EED733E"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Начальник ЭКУ ОГПУ </w:t>
      </w:r>
      <w:hyperlink r:id="rId53" w:history="1">
        <w:r w:rsidRPr="00E93F40">
          <w:rPr>
            <w:rStyle w:val="af0"/>
            <w:i w:val="0"/>
            <w:color w:val="000000" w:themeColor="text1"/>
            <w:sz w:val="16"/>
            <w:szCs w:val="16"/>
          </w:rPr>
          <w:t>Миронов</w:t>
        </w:r>
      </w:hyperlink>
    </w:p>
    <w:p w14:paraId="066AFA94" w14:textId="77777777" w:rsidR="00275520" w:rsidRPr="00E93F40" w:rsidRDefault="00275520"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511BA634" w14:textId="193A9378"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Передана И.</w:t>
      </w:r>
      <w:r w:rsidR="007C1411" w:rsidRPr="00E93F40">
        <w:rPr>
          <w:color w:val="000000" w:themeColor="text1"/>
          <w:sz w:val="16"/>
          <w:szCs w:val="16"/>
        </w:rPr>
        <w:t xml:space="preserve"> </w:t>
      </w:r>
      <w:r w:rsidRPr="00E93F40">
        <w:rPr>
          <w:color w:val="000000" w:themeColor="text1"/>
          <w:sz w:val="16"/>
          <w:szCs w:val="16"/>
        </w:rPr>
        <w:t>В.</w:t>
      </w:r>
      <w:r w:rsidR="007C1411" w:rsidRPr="00E93F40">
        <w:rPr>
          <w:color w:val="000000" w:themeColor="text1"/>
          <w:sz w:val="16"/>
          <w:szCs w:val="16"/>
        </w:rPr>
        <w:t xml:space="preserve"> </w:t>
      </w:r>
      <w:r w:rsidRPr="00E93F40">
        <w:rPr>
          <w:color w:val="000000" w:themeColor="text1"/>
          <w:sz w:val="16"/>
          <w:szCs w:val="16"/>
        </w:rPr>
        <w:t>Сталиным для ознакомления В.</w:t>
      </w:r>
      <w:r w:rsidR="007C1411" w:rsidRPr="00E93F40">
        <w:rPr>
          <w:color w:val="000000" w:themeColor="text1"/>
          <w:sz w:val="16"/>
          <w:szCs w:val="16"/>
        </w:rPr>
        <w:t xml:space="preserve"> </w:t>
      </w:r>
      <w:r w:rsidRPr="00E93F40">
        <w:rPr>
          <w:color w:val="000000" w:themeColor="text1"/>
          <w:sz w:val="16"/>
          <w:szCs w:val="16"/>
        </w:rPr>
        <w:t>М.</w:t>
      </w:r>
      <w:r w:rsidR="007C1411" w:rsidRPr="00E93F40">
        <w:rPr>
          <w:color w:val="000000" w:themeColor="text1"/>
          <w:sz w:val="16"/>
          <w:szCs w:val="16"/>
        </w:rPr>
        <w:t xml:space="preserve"> </w:t>
      </w:r>
      <w:r w:rsidRPr="00E93F40">
        <w:rPr>
          <w:color w:val="000000" w:themeColor="text1"/>
          <w:sz w:val="16"/>
          <w:szCs w:val="16"/>
        </w:rPr>
        <w:t>Молотову, К.</w:t>
      </w:r>
      <w:r w:rsidR="007C1411" w:rsidRPr="00E93F40">
        <w:rPr>
          <w:color w:val="000000" w:themeColor="text1"/>
          <w:sz w:val="16"/>
          <w:szCs w:val="16"/>
        </w:rPr>
        <w:t xml:space="preserve"> </w:t>
      </w:r>
      <w:r w:rsidRPr="00E93F40">
        <w:rPr>
          <w:color w:val="000000" w:themeColor="text1"/>
          <w:sz w:val="16"/>
          <w:szCs w:val="16"/>
        </w:rPr>
        <w:t>Е.</w:t>
      </w:r>
      <w:r w:rsidR="007C1411" w:rsidRPr="00E93F40">
        <w:rPr>
          <w:color w:val="000000" w:themeColor="text1"/>
          <w:sz w:val="16"/>
          <w:szCs w:val="16"/>
        </w:rPr>
        <w:t xml:space="preserve"> </w:t>
      </w:r>
      <w:r w:rsidRPr="00E93F40">
        <w:rPr>
          <w:color w:val="000000" w:themeColor="text1"/>
          <w:sz w:val="16"/>
          <w:szCs w:val="16"/>
        </w:rPr>
        <w:t>Ворошилову, Г.</w:t>
      </w:r>
      <w:r w:rsidR="007C1411" w:rsidRPr="00E93F40">
        <w:rPr>
          <w:color w:val="000000" w:themeColor="text1"/>
          <w:sz w:val="16"/>
          <w:szCs w:val="16"/>
        </w:rPr>
        <w:t xml:space="preserve"> </w:t>
      </w:r>
      <w:r w:rsidRPr="00E93F40">
        <w:rPr>
          <w:color w:val="000000" w:themeColor="text1"/>
          <w:sz w:val="16"/>
          <w:szCs w:val="16"/>
        </w:rPr>
        <w:t>К.</w:t>
      </w:r>
      <w:r w:rsidR="007C1411" w:rsidRPr="00E93F40">
        <w:rPr>
          <w:color w:val="000000" w:themeColor="text1"/>
          <w:sz w:val="16"/>
          <w:szCs w:val="16"/>
        </w:rPr>
        <w:t xml:space="preserve"> </w:t>
      </w:r>
      <w:r w:rsidRPr="00E93F40">
        <w:rPr>
          <w:color w:val="000000" w:themeColor="text1"/>
          <w:sz w:val="16"/>
          <w:szCs w:val="16"/>
        </w:rPr>
        <w:t>Орджоникидзе, В.</w:t>
      </w:r>
      <w:r w:rsidR="007C1411" w:rsidRPr="00E93F40">
        <w:rPr>
          <w:color w:val="000000" w:themeColor="text1"/>
          <w:sz w:val="16"/>
          <w:szCs w:val="16"/>
        </w:rPr>
        <w:t xml:space="preserve"> </w:t>
      </w:r>
      <w:r w:rsidRPr="00E93F40">
        <w:rPr>
          <w:color w:val="000000" w:themeColor="text1"/>
          <w:sz w:val="16"/>
          <w:szCs w:val="16"/>
        </w:rPr>
        <w:t>В.</w:t>
      </w:r>
      <w:r w:rsidR="007C1411" w:rsidRPr="00E93F40">
        <w:rPr>
          <w:color w:val="000000" w:themeColor="text1"/>
          <w:sz w:val="16"/>
          <w:szCs w:val="16"/>
        </w:rPr>
        <w:t xml:space="preserve"> </w:t>
      </w:r>
      <w:r w:rsidRPr="00E93F40">
        <w:rPr>
          <w:color w:val="000000" w:themeColor="text1"/>
          <w:sz w:val="16"/>
          <w:szCs w:val="16"/>
        </w:rPr>
        <w:t>Куйбышеву, М.</w:t>
      </w:r>
      <w:r w:rsidR="007C1411" w:rsidRPr="00E93F40">
        <w:rPr>
          <w:color w:val="000000" w:themeColor="text1"/>
          <w:sz w:val="16"/>
          <w:szCs w:val="16"/>
        </w:rPr>
        <w:t xml:space="preserve"> </w:t>
      </w:r>
      <w:r w:rsidRPr="00E93F40">
        <w:rPr>
          <w:color w:val="000000" w:themeColor="text1"/>
          <w:sz w:val="16"/>
          <w:szCs w:val="16"/>
        </w:rPr>
        <w:t>Н.</w:t>
      </w:r>
      <w:r w:rsidR="007C1411" w:rsidRPr="00E93F40">
        <w:rPr>
          <w:color w:val="000000" w:themeColor="text1"/>
          <w:sz w:val="16"/>
          <w:szCs w:val="16"/>
        </w:rPr>
        <w:t xml:space="preserve"> </w:t>
      </w:r>
      <w:r w:rsidRPr="00E93F40">
        <w:rPr>
          <w:color w:val="000000" w:themeColor="text1"/>
          <w:sz w:val="16"/>
          <w:szCs w:val="16"/>
        </w:rPr>
        <w:t>Тухачевскому, И.</w:t>
      </w:r>
      <w:r w:rsidR="007C1411" w:rsidRPr="00E93F40">
        <w:rPr>
          <w:color w:val="000000" w:themeColor="text1"/>
          <w:sz w:val="16"/>
          <w:szCs w:val="16"/>
        </w:rPr>
        <w:t xml:space="preserve"> </w:t>
      </w:r>
      <w:r w:rsidRPr="00E93F40">
        <w:rPr>
          <w:color w:val="000000" w:themeColor="text1"/>
          <w:sz w:val="16"/>
          <w:szCs w:val="16"/>
        </w:rPr>
        <w:t>П,</w:t>
      </w:r>
      <w:r w:rsidR="007C1411" w:rsidRPr="00E93F40">
        <w:rPr>
          <w:color w:val="000000" w:themeColor="text1"/>
          <w:sz w:val="16"/>
          <w:szCs w:val="16"/>
        </w:rPr>
        <w:t xml:space="preserve"> </w:t>
      </w:r>
      <w:r w:rsidRPr="00E93F40">
        <w:rPr>
          <w:color w:val="000000" w:themeColor="text1"/>
          <w:sz w:val="16"/>
          <w:szCs w:val="16"/>
        </w:rPr>
        <w:t>Павлуновскому.</w:t>
      </w:r>
    </w:p>
    <w:p w14:paraId="2CC3F9B3" w14:textId="3E4BB51F"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Кантаридин</w:t>
      </w:r>
      <w:r w:rsidR="007C1411" w:rsidRPr="00E93F40">
        <w:rPr>
          <w:color w:val="000000" w:themeColor="text1"/>
          <w:sz w:val="16"/>
          <w:szCs w:val="16"/>
        </w:rPr>
        <w:t xml:space="preserve"> </w:t>
      </w:r>
      <w:r w:rsidRPr="00E93F40">
        <w:rPr>
          <w:color w:val="000000" w:themeColor="text1"/>
          <w:sz w:val="16"/>
          <w:szCs w:val="16"/>
        </w:rPr>
        <w:t>— ядовитое вещество, вызывающее нарывы на коже.</w:t>
      </w:r>
    </w:p>
    <w:p w14:paraId="754F1593" w14:textId="258E0E95"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Хлорацетофенон</w:t>
      </w:r>
      <w:r w:rsidR="007C1411" w:rsidRPr="00E93F40">
        <w:rPr>
          <w:color w:val="000000" w:themeColor="text1"/>
          <w:sz w:val="16"/>
          <w:szCs w:val="16"/>
        </w:rPr>
        <w:t xml:space="preserve"> </w:t>
      </w:r>
      <w:r w:rsidRPr="00E93F40">
        <w:rPr>
          <w:color w:val="000000" w:themeColor="text1"/>
          <w:sz w:val="16"/>
          <w:szCs w:val="16"/>
        </w:rPr>
        <w:t>— бесцветное кристаллическое вещество, пары которого обладают чрезвычайно сильным слезоточивым действием.</w:t>
      </w:r>
    </w:p>
    <w:p w14:paraId="75FBA887" w14:textId="7CDA23F3"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Помета И.</w:t>
      </w:r>
      <w:r w:rsidR="007C1411" w:rsidRPr="00E93F40">
        <w:rPr>
          <w:color w:val="000000" w:themeColor="text1"/>
          <w:sz w:val="16"/>
          <w:szCs w:val="16"/>
        </w:rPr>
        <w:t xml:space="preserve"> </w:t>
      </w:r>
      <w:r w:rsidRPr="00E93F40">
        <w:rPr>
          <w:color w:val="000000" w:themeColor="text1"/>
          <w:sz w:val="16"/>
          <w:szCs w:val="16"/>
        </w:rPr>
        <w:t>В.</w:t>
      </w:r>
      <w:r w:rsidR="007C1411" w:rsidRPr="00E93F40">
        <w:rPr>
          <w:color w:val="000000" w:themeColor="text1"/>
          <w:sz w:val="16"/>
          <w:szCs w:val="16"/>
        </w:rPr>
        <w:t xml:space="preserve"> </w:t>
      </w:r>
      <w:r w:rsidRPr="00E93F40">
        <w:rPr>
          <w:color w:val="000000" w:themeColor="text1"/>
          <w:sz w:val="16"/>
          <w:szCs w:val="16"/>
        </w:rPr>
        <w:t>Сталина на полях:“А в подлодке?”.</w:t>
      </w:r>
    </w:p>
    <w:p w14:paraId="527D3442" w14:textId="00980CB2"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w:t>
      </w:r>
    </w:p>
    <w:p w14:paraId="284AB380" w14:textId="7BFA6CF7"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 раздел «Спиртовая промышленность».</w:t>
      </w:r>
    </w:p>
    <w:p w14:paraId="54D50213" w14:textId="34DB1493"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7</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разделы «По энергетике», «Электровозостроение», «Крупное электромашиностроение», «Котлостроение».</w:t>
      </w:r>
    </w:p>
    <w:p w14:paraId="0ABD852C" w14:textId="4BCF45A3" w:rsidR="00275520" w:rsidRPr="00E93F40" w:rsidRDefault="00275520" w:rsidP="00E93F40">
      <w:pPr>
        <w:pStyle w:val="rtejustify"/>
        <w:spacing w:before="0" w:after="0"/>
        <w:rPr>
          <w:color w:val="000000" w:themeColor="text1"/>
          <w:sz w:val="16"/>
          <w:szCs w:val="16"/>
        </w:rPr>
      </w:pPr>
      <w:r w:rsidRPr="00E93F40">
        <w:rPr>
          <w:color w:val="000000" w:themeColor="text1"/>
          <w:sz w:val="16"/>
          <w:szCs w:val="16"/>
          <w:vertAlign w:val="superscript"/>
        </w:rPr>
        <w:t>8</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разделы «По текстилю», «Проект комбината», «Группа Манычи».</w:t>
      </w:r>
    </w:p>
    <w:p w14:paraId="23AA9C89" w14:textId="77777777" w:rsidR="00275520" w:rsidRPr="00E93F40" w:rsidRDefault="00275520" w:rsidP="00E93F40">
      <w:pPr>
        <w:pStyle w:val="ae"/>
        <w:spacing w:before="0" w:after="0"/>
        <w:jc w:val="both"/>
        <w:rPr>
          <w:color w:val="000000" w:themeColor="text1"/>
          <w:sz w:val="16"/>
          <w:szCs w:val="16"/>
        </w:rPr>
      </w:pPr>
      <w:r w:rsidRPr="00E93F40">
        <w:rPr>
          <w:color w:val="000000" w:themeColor="text1"/>
          <w:sz w:val="16"/>
          <w:szCs w:val="16"/>
        </w:rPr>
        <w:t>АП РФ. Ф. 3. Оп. 58. Д. 142. Л. 5-34, 36-37, 41-44. Подлинник.</w:t>
      </w:r>
    </w:p>
    <w:p w14:paraId="63440C68" w14:textId="087E2F7E"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АП РФ. Ф. 3. Оп. 58. Д. 142. Л. 5-34, 36-37, 41-44. Подлинник. </w:t>
      </w:r>
    </w:p>
    <w:p w14:paraId="449CED6A" w14:textId="77777777" w:rsidR="00275520" w:rsidRPr="00E93F40" w:rsidRDefault="0027552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Становление оборонно-промышленного комплекса СССР (1927-1932). М. 2008, стр. 634-640 (12554).</w:t>
      </w:r>
    </w:p>
    <w:p w14:paraId="534CCA1B" w14:textId="77777777" w:rsidR="00275520" w:rsidRPr="00E93F40" w:rsidRDefault="00275520" w:rsidP="00E93F40">
      <w:pPr>
        <w:spacing w:after="0" w:line="240" w:lineRule="auto"/>
        <w:jc w:val="both"/>
        <w:rPr>
          <w:rFonts w:ascii="Times New Roman" w:hAnsi="Times New Roman"/>
          <w:color w:val="000000" w:themeColor="text1"/>
          <w:sz w:val="16"/>
          <w:szCs w:val="16"/>
        </w:rPr>
      </w:pPr>
    </w:p>
    <w:p w14:paraId="43F25C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22 февраля 1932 г. было принято постановление СТО "По строительству ВМС РККА на 1932 г.", которым предписывалось ус</w:t>
      </w:r>
      <w:r w:rsidRPr="00E93F40">
        <w:rPr>
          <w:rFonts w:ascii="Times New Roman" w:hAnsi="Times New Roman"/>
          <w:color w:val="000000" w:themeColor="text1"/>
          <w:sz w:val="16"/>
          <w:szCs w:val="16"/>
        </w:rPr>
        <w:softHyphen/>
        <w:t>корить постройку подводных лодок и заложить 25 новых средних (из них 12 — для Дальнего Востока), 30 новых малых подводных лодок и 3 лидера эскадренных миноносцев. Все эти корабли, как и модернизированный линкор "Октябрьская революция" и переобо</w:t>
      </w:r>
      <w:r w:rsidRPr="00E93F40">
        <w:rPr>
          <w:rFonts w:ascii="Times New Roman" w:hAnsi="Times New Roman"/>
          <w:color w:val="000000" w:themeColor="text1"/>
          <w:sz w:val="16"/>
          <w:szCs w:val="16"/>
        </w:rPr>
        <w:softHyphen/>
        <w:t>рудованные суда на Дальнем Востоке, планировалось ввести в ст</w:t>
      </w:r>
      <w:r w:rsidR="007359D1"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t>ой к концу 1933 г. Количество и названия судов коммерческого флота, подлежавших передаче ВМС РККА для переоборудования в минзаги, тральщики и гидрографические суда, были определены постановлением СТО в августе того же года. К этому времени программа военного судостроения первой пя</w:t>
      </w:r>
      <w:r w:rsidRPr="00E93F40">
        <w:rPr>
          <w:rFonts w:ascii="Times New Roman" w:hAnsi="Times New Roman"/>
          <w:color w:val="000000" w:themeColor="text1"/>
          <w:sz w:val="16"/>
          <w:szCs w:val="16"/>
        </w:rPr>
        <w:softHyphen/>
        <w:t>тилетки, включавшая в себя программу 1926 г., подверглась суще</w:t>
      </w:r>
      <w:r w:rsidRPr="00E93F40">
        <w:rPr>
          <w:rFonts w:ascii="Times New Roman" w:hAnsi="Times New Roman"/>
          <w:color w:val="000000" w:themeColor="text1"/>
          <w:sz w:val="16"/>
          <w:szCs w:val="16"/>
        </w:rPr>
        <w:softHyphen/>
        <w:t>ственной корректировке из-за сокращения финансирования в 1929 г. и значительного отставания готовности кораблей по раз</w:t>
      </w:r>
      <w:r w:rsidRPr="00E93F40">
        <w:rPr>
          <w:rFonts w:ascii="Times New Roman" w:hAnsi="Times New Roman"/>
          <w:color w:val="000000" w:themeColor="text1"/>
          <w:sz w:val="16"/>
          <w:szCs w:val="16"/>
        </w:rPr>
        <w:softHyphen/>
        <w:t>личным техническим причинам (3898).</w:t>
      </w:r>
    </w:p>
    <w:p w14:paraId="43CFB9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A5D866" w14:textId="77777777" w:rsidR="00E0749E" w:rsidRPr="00E93F40" w:rsidRDefault="00E0749E"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eastAsia="Times New Roman" w:hAnsi="Times New Roman"/>
          <w:color w:val="000000" w:themeColor="text1"/>
          <w:sz w:val="16"/>
          <w:szCs w:val="16"/>
          <w:lang w:eastAsia="ru-RU"/>
        </w:rPr>
        <w:t>22 февраля 1932 г. Совет Труда и Обороны СССР принял решение "По строительству ВМС РККА на 1932 г.", которым определялся корабельный состав, подлежащий постройке и вводу в строй к концу 1933 г. (БЕРЕЗОВСКИЙ Н. Ю. и др. Боевая летопись ВМФ, 1917-1941. М., 1993- С. 584.) (22725).</w:t>
      </w:r>
    </w:p>
    <w:p w14:paraId="206B9700" w14:textId="77777777" w:rsidR="00E0749E" w:rsidRPr="00E93F40" w:rsidRDefault="00E0749E" w:rsidP="00E93F40">
      <w:pPr>
        <w:shd w:val="clear" w:color="auto" w:fill="FFFFFF"/>
        <w:spacing w:after="0" w:line="240" w:lineRule="auto"/>
        <w:jc w:val="both"/>
        <w:rPr>
          <w:rFonts w:ascii="Times New Roman" w:hAnsi="Times New Roman"/>
          <w:color w:val="000000" w:themeColor="text1"/>
          <w:sz w:val="16"/>
          <w:szCs w:val="16"/>
        </w:rPr>
      </w:pPr>
    </w:p>
    <w:p w14:paraId="0AC8968B" w14:textId="77777777" w:rsidR="000C7DD6" w:rsidRPr="00951B40" w:rsidRDefault="000C7DD6" w:rsidP="000C7DD6">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22 февраля 1932 г. вышло постановле</w:t>
      </w:r>
      <w:r w:rsidRPr="00951B40">
        <w:rPr>
          <w:rStyle w:val="aff"/>
          <w:rFonts w:ascii="Times New Roman" w:hAnsi="Times New Roman" w:cs="Times New Roman"/>
          <w:color w:val="0070C0"/>
          <w:spacing w:val="0"/>
          <w:sz w:val="16"/>
          <w:szCs w:val="16"/>
        </w:rPr>
        <w:softHyphen/>
        <w:t>ние Совета труда и обороны СССР «По строительству военно-морских сил РККА на 1932 г». Им предусматривались из</w:t>
      </w:r>
      <w:r w:rsidRPr="00951B40">
        <w:rPr>
          <w:rStyle w:val="aff"/>
          <w:rFonts w:ascii="Times New Roman" w:hAnsi="Times New Roman" w:cs="Times New Roman"/>
          <w:color w:val="0070C0"/>
          <w:spacing w:val="0"/>
          <w:sz w:val="16"/>
          <w:szCs w:val="16"/>
        </w:rPr>
        <w:softHyphen/>
        <w:t>готовление 12 комплектов аппаратуры ВУ конструкции ЦЛПС, закладка одного боль</w:t>
      </w:r>
      <w:r w:rsidRPr="00951B40">
        <w:rPr>
          <w:rStyle w:val="aff"/>
          <w:rFonts w:ascii="Times New Roman" w:hAnsi="Times New Roman" w:cs="Times New Roman"/>
          <w:color w:val="0070C0"/>
          <w:spacing w:val="0"/>
          <w:sz w:val="16"/>
          <w:szCs w:val="16"/>
        </w:rPr>
        <w:softHyphen/>
        <w:t>шого торпедного катера-лидера конструк</w:t>
      </w:r>
      <w:r w:rsidRPr="00951B40">
        <w:rPr>
          <w:rStyle w:val="aff"/>
          <w:rFonts w:ascii="Times New Roman" w:hAnsi="Times New Roman" w:cs="Times New Roman"/>
          <w:color w:val="0070C0"/>
          <w:spacing w:val="0"/>
          <w:sz w:val="16"/>
          <w:szCs w:val="16"/>
        </w:rPr>
        <w:softHyphen/>
        <w:t>ции и изготовления мастерскими ЦАГИ со сроком готовности 1 апреля 1933 г. (впоследствии получил обозначение Г-6) и постройка 46 малых торпедных катеров со вступлением в строй в том же году (25781).</w:t>
      </w:r>
    </w:p>
    <w:p w14:paraId="4C441076" w14:textId="77777777" w:rsidR="000C7DD6" w:rsidRPr="00951B40" w:rsidRDefault="000C7DD6" w:rsidP="000C7DD6">
      <w:pPr>
        <w:spacing w:after="0" w:line="240" w:lineRule="auto"/>
        <w:jc w:val="both"/>
        <w:rPr>
          <w:rStyle w:val="aff"/>
          <w:rFonts w:ascii="Times New Roman" w:hAnsi="Times New Roman" w:cs="Times New Roman"/>
          <w:color w:val="0070C0"/>
          <w:spacing w:val="0"/>
          <w:sz w:val="16"/>
          <w:szCs w:val="16"/>
        </w:rPr>
      </w:pPr>
    </w:p>
    <w:p w14:paraId="12FEEFE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9471A0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BDA070"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22 февраля</w:t>
      </w:r>
      <w:r w:rsidRPr="00E93F40">
        <w:rPr>
          <w:rFonts w:ascii="Times New Roman" w:hAnsi="Times New Roman"/>
          <w:color w:val="000000" w:themeColor="text1"/>
          <w:sz w:val="16"/>
          <w:szCs w:val="16"/>
        </w:rPr>
        <w:t xml:space="preserve"> в 1932 году первый бой японских и китайских ВВС. Первая победа японцев. Тройка истребителей </w:t>
      </w:r>
      <w:hyperlink r:id="rId54" w:tgtFrame="_blank" w:history="1">
        <w:r w:rsidRPr="00E93F40">
          <w:rPr>
            <w:rFonts w:ascii="Times New Roman" w:hAnsi="Times New Roman"/>
            <w:color w:val="000000" w:themeColor="text1"/>
            <w:sz w:val="16"/>
            <w:szCs w:val="16"/>
          </w:rPr>
          <w:t xml:space="preserve">«Тип 3» («Nakajima» «A1N») </w:t>
        </w:r>
      </w:hyperlink>
      <w:r w:rsidRPr="00E93F40">
        <w:rPr>
          <w:rFonts w:ascii="Times New Roman" w:hAnsi="Times New Roman"/>
          <w:color w:val="000000" w:themeColor="text1"/>
          <w:sz w:val="16"/>
          <w:szCs w:val="16"/>
        </w:rPr>
        <w:t>– палубный вариант «Gloster Gambet», пилоты Нокийи Икута, Куро Ива и Итто Кокухей перехватили «Боинг-218» (CFS2 «Boeing» 218) китайских ВВС (пилот - американец Роберт Шорт). Сбит один Тип 3 (Икута), остальные двое расстреляли Боинг (15048).</w:t>
      </w:r>
    </w:p>
    <w:p w14:paraId="60C096C4" w14:textId="77777777" w:rsidR="007359D1" w:rsidRPr="00E93F40" w:rsidRDefault="007359D1" w:rsidP="00E93F40">
      <w:pPr>
        <w:spacing w:after="0" w:line="240" w:lineRule="auto"/>
        <w:jc w:val="both"/>
        <w:rPr>
          <w:rFonts w:ascii="Times New Roman" w:hAnsi="Times New Roman"/>
          <w:color w:val="000000" w:themeColor="text1"/>
          <w:sz w:val="16"/>
          <w:szCs w:val="16"/>
        </w:rPr>
      </w:pPr>
    </w:p>
    <w:p w14:paraId="02849E63" w14:textId="77777777" w:rsidR="00913183" w:rsidRPr="00E93F40" w:rsidRDefault="009131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во время инцидента в Шанхае три истребителя Накадзима A1N2 Императорского флота Японии с авианосца « Кага» совершают первое в истории Японии поражение в воздухе, сбив националистический китайский истребитель « Боинг », пилотируемый американским добровольцем (20803).</w:t>
      </w:r>
    </w:p>
    <w:p w14:paraId="34BCE181" w14:textId="77777777" w:rsidR="00913183" w:rsidRPr="00E93F40" w:rsidRDefault="00913183" w:rsidP="00E93F40">
      <w:pPr>
        <w:spacing w:after="0" w:line="240" w:lineRule="auto"/>
        <w:jc w:val="both"/>
        <w:rPr>
          <w:rFonts w:ascii="Times New Roman" w:hAnsi="Times New Roman"/>
          <w:color w:val="000000" w:themeColor="text1"/>
          <w:sz w:val="16"/>
          <w:szCs w:val="16"/>
        </w:rPr>
      </w:pPr>
    </w:p>
    <w:p w14:paraId="4D23EBC7" w14:textId="0A599217" w:rsidR="00913183" w:rsidRPr="00E93F40" w:rsidRDefault="009131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бой между японскими и китайскими ВВС: три истребителя Nakajima A1N перехватили китайский Boeing 218 и сбили его, потеряв один самолёт.</w:t>
      </w:r>
    </w:p>
    <w:p w14:paraId="761920EF" w14:textId="77777777" w:rsidR="00913183" w:rsidRPr="00E93F40" w:rsidRDefault="009131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Этот бой,который также признан первым в истории японской авиации, произошёл над железнодорожным узлом Сучжоу вблизи Шанхая. Тогда три бомбардировщика Mitsubishi Type 13-3 (B1M) под командованием тайи (ст. лейт.) Susumu Kotani из авиагруппы «Kaga» взлетели с аэродрома Кунда для бомбардировки железнодорожного узла.</w:t>
      </w:r>
    </w:p>
    <w:p w14:paraId="3D116364" w14:textId="77777777" w:rsidR="00913183" w:rsidRPr="00E93F40" w:rsidRDefault="009131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Сопровождали их три истребителя А1N из той же группы, пилотируемые тайи (ст. лейт.) Nokiji Ikuta, санто хико хэйсо (старшина 2-й ст.) Toshio Kuro-iwa и итто хико хэй (матрос) Kazuo Takeo.</w:t>
      </w:r>
    </w:p>
    <w:p w14:paraId="5F1EC2D3" w14:textId="77777777" w:rsidR="00913183" w:rsidRPr="00E93F40" w:rsidRDefault="009131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Истребители заняли эшелон выше бомбардировщиков и несколько отстали от своих подопечных, поэтому прозевали одиночный китайский истребитель Boeing P12-E (модель 218) который пилотировал американский доброволец Роберт Шорт (Robert McCawley Short). Американец быстро атаковал ведущего бомбардировщиков и открыл огонь. В результате лидер группы тайи (ст. лейт.) Susumu Kotani, занимавший место штурмана в средней кабине В1М, был убит, а его стрелок Sasaki тяжело ранен. Подоспевшие истребители Nokiji Ikuta немедленно атаковали американца с тыла. Ikuta и Kuro-iwa, подойдя почти вплотную к Роберту Шорту расстреляли его Боинг.</w:t>
      </w:r>
    </w:p>
    <w:p w14:paraId="3A250E24" w14:textId="77777777" w:rsidR="00913183" w:rsidRPr="00E93F40" w:rsidRDefault="009131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Характерно, что и японские летчики, и погибший американский пилот одинаково прославлялись обеими сторонами как герои (22590).</w:t>
      </w:r>
    </w:p>
    <w:p w14:paraId="3A9C4DBA" w14:textId="77777777" w:rsidR="00913183" w:rsidRPr="00E93F40" w:rsidRDefault="00913183" w:rsidP="00E93F40">
      <w:pPr>
        <w:spacing w:after="0" w:line="240" w:lineRule="auto"/>
        <w:jc w:val="both"/>
        <w:rPr>
          <w:rFonts w:ascii="Times New Roman" w:hAnsi="Times New Roman"/>
          <w:color w:val="000000" w:themeColor="text1"/>
          <w:sz w:val="16"/>
          <w:szCs w:val="16"/>
        </w:rPr>
      </w:pPr>
    </w:p>
    <w:p w14:paraId="5764D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А. Гитлер стал кандидатом на президентских выборах от нацистской партии (2100).</w:t>
      </w:r>
    </w:p>
    <w:p w14:paraId="51E26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1889D1" w14:textId="77777777" w:rsidR="00481984"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96C206B" w14:textId="77777777" w:rsidR="00481984" w:rsidRPr="00E93F40" w:rsidRDefault="0048198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248EB3" w14:textId="77777777" w:rsidR="00481984" w:rsidRPr="00E93F40" w:rsidRDefault="0048198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89. 8. О Луганском паровозостроительном заводе (ПБ от 16 февраля 1932 г., пр. № 88, п. 16). 26. О гаражах и авторемонтных базах по линии гражданских и военных ведомств (ПБ от 8 февраля 1932 г., пр. № 87, п. 16). 32. О работе Осоавиахима (ПБ от 16 февраля 1932 г., пр. № 88, п. 18) (Постышев, Ворошилов). (Политбюро... Т. 2. С. 274, 275) (12416).</w:t>
      </w:r>
    </w:p>
    <w:p w14:paraId="19833D19" w14:textId="77777777" w:rsidR="00481984" w:rsidRPr="00E93F40" w:rsidRDefault="00481984" w:rsidP="00E93F40">
      <w:pPr>
        <w:spacing w:after="0" w:line="240" w:lineRule="auto"/>
        <w:jc w:val="both"/>
        <w:rPr>
          <w:rFonts w:ascii="Times New Roman" w:hAnsi="Times New Roman"/>
          <w:color w:val="000000" w:themeColor="text1"/>
          <w:sz w:val="16"/>
          <w:szCs w:val="16"/>
          <w:u w:color="002060"/>
        </w:rPr>
      </w:pPr>
    </w:p>
    <w:p w14:paraId="5ACBBA47" w14:textId="77777777" w:rsidR="00481984" w:rsidRPr="00E93F40" w:rsidRDefault="0048198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ЦК ВКП(б) «О работе Осоавиахима». (КПСС в резолюциях... изд. 9?е, т. 5., с. 403?405) (12416).</w:t>
      </w:r>
    </w:p>
    <w:p w14:paraId="54B61999" w14:textId="77777777" w:rsidR="00481984" w:rsidRPr="00E93F40" w:rsidRDefault="00481984" w:rsidP="00E93F40">
      <w:pPr>
        <w:spacing w:after="0" w:line="240" w:lineRule="auto"/>
        <w:jc w:val="both"/>
        <w:rPr>
          <w:rFonts w:ascii="Times New Roman" w:hAnsi="Times New Roman"/>
          <w:color w:val="000000" w:themeColor="text1"/>
          <w:sz w:val="16"/>
          <w:szCs w:val="16"/>
          <w:u w:color="002060"/>
        </w:rPr>
      </w:pPr>
    </w:p>
    <w:p w14:paraId="6900DA52"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февраля 1932</w:t>
      </w:r>
    </w:p>
    <w:p w14:paraId="60C47087" w14:textId="0034990E"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89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6B1DC4BB" w14:textId="0D29B76A"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23</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70112408" w14:textId="5F2692DA"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32: О работе Осоавиахима</w:t>
      </w:r>
    </w:p>
    <w:p w14:paraId="5CA02889" w14:textId="3822B334"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16.II.32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88,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18).</w:t>
      </w:r>
    </w:p>
    <w:p w14:paraId="074003B0"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(Постышев, Ворошилов).</w:t>
      </w:r>
    </w:p>
    <w:p w14:paraId="3DDA2A57" w14:textId="6FD211FA"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Утвердить проект постановления, представленный комиссией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Постышева (</w:t>
      </w:r>
      <w:hyperlink r:id="rId55"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3</w:t>
        </w:r>
      </w:hyperlink>
      <w:r w:rsidRPr="00E93F40">
        <w:rPr>
          <w:rFonts w:ascii="Times New Roman" w:hAnsi="Times New Roman"/>
          <w:color w:val="000000" w:themeColor="text1"/>
          <w:sz w:val="16"/>
          <w:szCs w:val="16"/>
        </w:rPr>
        <w:t>).</w:t>
      </w:r>
    </w:p>
    <w:p w14:paraId="7597164E" w14:textId="6D7C6325"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Предложить прокурору РСФСР привлечь к судебной ответственности начальника Московской леткой школы Осоавиахима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Грибовского за преступное руководство школой и как непосредственного виновника катастрофы с учлетом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Кочергиным. Привлечь к судебной ответственности следователя военной прокуратуры Московского военного округа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Филицына за бюрократический подход к рассмотрению дела о катастрофе в Московской школе.</w:t>
      </w:r>
    </w:p>
    <w:p w14:paraId="403FB236"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Поручить ОГПУ расследовать факты пропажи и порчи оружия и боеприпасов в осоавиахимовских организациях и привлечь виновных к ответственности.</w:t>
      </w:r>
    </w:p>
    <w:p w14:paraId="66A48F77" w14:textId="12CD10B8"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w:t>
      </w:r>
    </w:p>
    <w:p w14:paraId="5220BDDE" w14:textId="09AC82B2"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32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89.</w:t>
      </w:r>
    </w:p>
    <w:p w14:paraId="4D20CE3B" w14:textId="17112E79"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23.II.1932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7E948C70" w14:textId="26A41006"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работе Осоавиахима (в связи с письмом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Кочергина).</w:t>
      </w:r>
    </w:p>
    <w:p w14:paraId="23DCB12E"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w:t>
      </w:r>
    </w:p>
    <w:p w14:paraId="6485FB5D"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Осоавиахим, являясь массовой пролетарской организацией, имеет исключительное значение в деле военной подготовки широких масс и укрепления обороноспособности страны.</w:t>
      </w:r>
    </w:p>
    <w:p w14:paraId="03090DD5"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отмечает, что местные партийные, профсоюзные, комсомольские и советские организации недооценивают значения Осоавиахима и на деле не принимают всех необходимых мер для укрепления и развития его исключительно важной работы. Эта недооценка привела к тому, что в ряде организаций отмечаются: совершенно неудовлетворительное состояние работы Осоавиахима, и в особенности низовых его звеньев ячеек, являющихся основой всей массовой работы общества, громоздкость и засоренность в отдельных звеньях его аппарата, крайне слабое привлечение рабочего и колхозного актива к работе, огромная текучесть кадров и отсутствие отбора и систематического выдвижения работников, преступно-небрежное отношение к материальным средствам и оружию (хищения, растраты), а также отсутствие надлежащей постановки денежной и материальной отчетности.</w:t>
      </w:r>
    </w:p>
    <w:p w14:paraId="0D645F33" w14:textId="7B57717B"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Произведенная комиссией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и ЦКК</w:t>
      </w:r>
      <w:r w:rsidRPr="00E93F40">
        <w:rPr>
          <w:rFonts w:ascii="Times New Roman" w:hAnsi="Times New Roman"/>
          <w:color w:val="000000" w:themeColor="text1"/>
          <w:sz w:val="16"/>
          <w:szCs w:val="16"/>
        </w:rPr>
        <w:noBreakHyphen/>
        <w:t>РКИ проверка полностью подтвердила все отмеченные выше недостатки, а также сообщенные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Кочергиным факты о состоянии московской школы летчиков Осоавиахима и причины катастрофы учебного самолета. Наряду с этим выяснилось неудовлетворительное состояние школ Осоавиахима в ряде других его организаций (Нижегородской, Ульяновской, Тульской, Полтавской, Ростовской и Хабаровской).</w:t>
      </w:r>
    </w:p>
    <w:p w14:paraId="5EA4F18F"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Неудовлетворительная постановка работы осоавиахимовских организаций в значительной степени объясняется тем, что Центральный Совет Осоавиахима и его президиум не перестроили своего руководства в соответствии со стоящими перед ним задачами и тем самым не сумели широко использовать активность и энтузиазм многомиллионных масс рабочих и колхозников в деле превращения Осоавиахима в мощную организацию по обороне страны.</w:t>
      </w:r>
    </w:p>
    <w:p w14:paraId="78D3D71C" w14:textId="350D5D9C"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Исходя из этого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признает работу Центрального Совета Осоавиахима и его президиума, а также руководство осоавиахимовскими организациями на местах со стороны партийных, профсоюзных, комсомольских и советских организаций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неудовлетворительными.</w:t>
      </w:r>
    </w:p>
    <w:p w14:paraId="71F0370B"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w:t>
      </w:r>
    </w:p>
    <w:p w14:paraId="277C942A" w14:textId="3BE7D9FC"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Предложить президиуму Центрального Совета Осоавиахима основное внимание сосредоточить на массовой военизации трудящихся (добровольные виды учебы, вневойсковая и допризывная подготовка), военной подготовке комсомола, подготовке и переподготовке командных к специальных кадров для РККА, массовом обучении трудящихся противовоздушной обороне (пользование противогазом, организация убежищ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 Качество всей военной работы Осоавиахима должно соответствовать требованиям технической реконструкции Красной Армии.</w:t>
      </w:r>
    </w:p>
    <w:p w14:paraId="714CC9C6" w14:textId="7C5E1836"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Важнейшим звеном всей работы должна быть ячейка Осоавиахима, работу которой необходимо дифференцировать применительно к характеру отдельных предприятий и организаций (заводы,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узлы, совхозы, колхозы, МТС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w:t>
      </w:r>
    </w:p>
    <w:p w14:paraId="29E5ABD0"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Для обеспечения конкретного руководства и перестройки работы в соответствии с этими задачами выделить председателя Осоавиахима и двух его заместителей, освобожденных от всякой другой работы, а также двух освобожденных секретарей и специальных работников по руководству отдельными отраслями работы, перестроив структуру аппарата таким образом, чтобы в нем были выделены самостоятельные секции по военной, авиационной, химической, организационно-массовой работе и по противовоздушной обороне. Обеспечить привлечение к работе секций широкого рабочего и колхозного актива.</w:t>
      </w:r>
    </w:p>
    <w:p w14:paraId="6AFD2034"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Предложить Реввоенсовету СССР:</w:t>
      </w:r>
    </w:p>
    <w:p w14:paraId="0BC95C56" w14:textId="17DE683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обеспечить практическую помощь осоавиахимовским организациям установлением постоянной действенной связи РККА с Осоавиахимом (выделение в качестве постоянных работников в Осоавиахиме начальствующего состава запаса, дача основных указаний по боевой работе 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 организаций, инструктаж низовых ячеек и учебных пунктов Осоавиахима, контроль за качеством военной работы, обеспечение размещения Осоавиахиму военных заказов промышленности);</w:t>
      </w:r>
    </w:p>
    <w:p w14:paraId="46E80304"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выделить в аппарате НКВоенмора и аппаратах военных округов специальных работников по вопросам систематического контроля и учебно-методического инструктажа всех видов обязательной военной учебы в Осоавиахиме.</w:t>
      </w:r>
    </w:p>
    <w:p w14:paraId="4DC89DFF"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 целях обеспечения систематического руководства со стороны партийных организаций работой Осоавиахима выделить при секторе военно-политической работы агитмассотдела ЦК специальную группу по работе Осоавиахима. При агитмассотделах ЦК нацкомпартий, крайкомов и обкомов ВКП(б) образовать такие же группы по работе Осоавиахима.</w:t>
      </w:r>
    </w:p>
    <w:p w14:paraId="24622EE8"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Обязать ЦК нацкомпартий, крайкомы и обкомы ВКП(б) в месячный срок пересмотреть состав руководящих работников осоавиахимовских организаций на местах с целью укрепления их руководящего состава и аппарата и перестроить методы работы в соответствии с данным решением ЦК.</w:t>
      </w:r>
    </w:p>
    <w:p w14:paraId="65AE4A01"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Распредотделу и агитмассотделу ЦК проверить выполнение этого решения.</w:t>
      </w:r>
    </w:p>
    <w:p w14:paraId="6A59EC64" w14:textId="2538E572"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Предложить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ВЛКСМ, нац.</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ЦК, крайкомам и обкомам ВЛКСМ выделить специальных секретарей по военной подготовке молодежи, проводимой через организации Осоавиахима с обязательным вхождением: выделенного секретаря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ВЛКСМ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состав президиума Центрального Совета Осоавиахима, выделенных секретарей нац.</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ЦК, крайкомов и обкомов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президиумы местных осоавиахимовских организаций.</w:t>
      </w:r>
    </w:p>
    <w:p w14:paraId="16CEA4FA"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Предложить ВЦСПС и местным профсоюзным организациям установить систематическую связь с организациями Осоавиахима путем введения в состав их президиумов для практической работы заведующих организационными секторами центральных и местных профорганизаций.</w:t>
      </w:r>
    </w:p>
    <w:p w14:paraId="109BCCD6" w14:textId="7B94D623"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Предложить 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РКИ поставить на должную высоту в осоавиахимовских организациях дело отчетности по финансам и снабжению и установить систематическую проверку хозяйственной работы Осоавиахима.</w:t>
      </w:r>
    </w:p>
    <w:p w14:paraId="440DE231"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осоавиахимовским организациям установить регулярную отчетность как о своей работе, так и о расходовании денежных средств перед членскими массами.</w:t>
      </w:r>
    </w:p>
    <w:p w14:paraId="63AB5155" w14:textId="6B66B323"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Предложить фракции ЦИК'а Союза дать указания местным советским органам об оказании постоянной практической помощи осоавиахимовским организациям на местах в части выделения необходимых материальных средств на организацию военно-учебных пунктов, тиров, улучшения материального положения авиационных школ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3E5C1A6C"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Предложить Наркомтяжу обеспечить бесперебойное снабжение Осоавиахима необходимым количеством мелкокалиберного оружия и патронов к нему, для чего дать необходимые указания по линии военной промышленности.</w:t>
      </w:r>
    </w:p>
    <w:p w14:paraId="6E6E7454"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Наркомвоенмору обеспечить осоавиахимовские организации военно-учебными пособиями.</w:t>
      </w:r>
    </w:p>
    <w:p w14:paraId="1E71A537" w14:textId="261C1150"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Поручить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Николаевой, Ежову и Гамарнику (с заменой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Булиным) в месячный срок подобрать руководящий состав работников Центрального Совета Осоавиахима.</w:t>
      </w:r>
    </w:p>
    <w:p w14:paraId="08DBFBA3" w14:textId="73FD4434"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Поручить Секретариату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в августе месяце заслушать доклад фракции Центрального Совета Осоавиахима о выполнении настоящего постановления ЦК.</w:t>
      </w:r>
    </w:p>
    <w:p w14:paraId="7A5148B8" w14:textId="77777777" w:rsidR="00115D78" w:rsidRPr="00E93F40" w:rsidRDefault="00115D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(19126).</w:t>
      </w:r>
    </w:p>
    <w:p w14:paraId="1B5FB701" w14:textId="77777777" w:rsidR="00115D78" w:rsidRPr="00E93F40" w:rsidRDefault="00115D78" w:rsidP="00E93F40">
      <w:pPr>
        <w:spacing w:after="0" w:line="240" w:lineRule="auto"/>
        <w:jc w:val="both"/>
        <w:rPr>
          <w:rFonts w:ascii="Times New Roman" w:hAnsi="Times New Roman"/>
          <w:color w:val="000000" w:themeColor="text1"/>
          <w:sz w:val="16"/>
          <w:szCs w:val="16"/>
        </w:rPr>
      </w:pPr>
    </w:p>
    <w:p w14:paraId="11F86295" w14:textId="77777777" w:rsidR="002B40D9" w:rsidRPr="00E93F40" w:rsidRDefault="002B40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февраля 1932 года в связи с просчетами в работе ОАХ Политбюро ЦК ВКП(б) приняло специальное постановление «О работе Осоавиахима», согласно которого высшее партийное руководство СССР признало ОАХ организацией, которая «имеет исключительное значение в деле военной подготовки широких масс и укрепления обороноспособности страны». Его же реальное состояние, как показала проверка комиссии ЦК ВКП(б) и ЦКК-РКИ, было неудовлетворительным. Именно в этом документе был поставлен вопрос о массовой военизации, включавшей допризывную подготовку. Деятельность Общества должна была соответствовать технической реконструкции Красной Армии, что подтверждает вывод о том, что реформа Вооруженных Сил стала предпосылкой рождения парашютизма. Там же говорилось о повышении роли комсомола и профсоюзных организаций в работе ОАХ. Реввоенсовету страны было предложено осуществлять контроль и военную помощь Осоавиахиму (РГАСПИ. Ф. 17. Оп. 3. Д. 873. Л. 25-27) (21402).</w:t>
      </w:r>
    </w:p>
    <w:p w14:paraId="00EAA08F" w14:textId="77777777" w:rsidR="002B40D9" w:rsidRPr="00E93F40" w:rsidRDefault="002B40D9" w:rsidP="00E93F40">
      <w:pPr>
        <w:spacing w:after="0" w:line="240" w:lineRule="auto"/>
        <w:jc w:val="both"/>
        <w:rPr>
          <w:rFonts w:ascii="Times New Roman" w:hAnsi="Times New Roman"/>
          <w:color w:val="000000" w:themeColor="text1"/>
          <w:sz w:val="16"/>
          <w:szCs w:val="16"/>
        </w:rPr>
      </w:pPr>
    </w:p>
    <w:p w14:paraId="41FC541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832CF1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03EC1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февраля 1932 г. был собран первый образец универсальной 76-мм пушки завода "Красный Путиловец" и испытан на заводском полигоне 29 февраля и 1 марта 1932 года (3861).</w:t>
      </w:r>
    </w:p>
    <w:p w14:paraId="229CB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8FA988"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февраля 1932 г. первый образец 76-мм пушки был собран и испытан на заводском полигоне 29 февраля и 1 марта 1932 г.</w:t>
      </w:r>
    </w:p>
    <w:p w14:paraId="2F67C6FC"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качающейся части пушки 950 кг, вес системы в боевом положении 3470 кг. Лафетные колеса от автомобиля Я-5.</w:t>
      </w:r>
    </w:p>
    <w:p w14:paraId="3B497FB3"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w:t>
      </w:r>
    </w:p>
    <w:p w14:paraId="0DB4BAD1"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НИАП измененный опытный образец прибыл 30 мая 1932 г. Колеса для испытаний первого образца были взяты от Я-5, Результаты испытаний системы:</w:t>
      </w:r>
    </w:p>
    <w:p w14:paraId="696F8DA9"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 …… Вес снаряда, кг — Начальная скорость, м/с — Длина отката при: 25° / 30° / 75°</w:t>
      </w:r>
    </w:p>
    <w:p w14:paraId="779A6CE6"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 3809 …… 7,1 — 875 — 1193 / 1242 /830</w:t>
      </w:r>
    </w:p>
    <w:p w14:paraId="7A50B1F5"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(15117).</w:t>
      </w:r>
    </w:p>
    <w:p w14:paraId="04C7EE55" w14:textId="77777777" w:rsidR="007359D1" w:rsidRPr="00E93F40" w:rsidRDefault="007359D1" w:rsidP="00E93F40">
      <w:pPr>
        <w:spacing w:after="0" w:line="240" w:lineRule="auto"/>
        <w:jc w:val="both"/>
        <w:rPr>
          <w:rFonts w:ascii="Times New Roman" w:hAnsi="Times New Roman"/>
          <w:color w:val="000000" w:themeColor="text1"/>
          <w:sz w:val="16"/>
          <w:szCs w:val="16"/>
        </w:rPr>
      </w:pPr>
    </w:p>
    <w:p w14:paraId="758D6167"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23 февраля 1932 г. заводу «Красный путиловец» был собран первый образец 76-мм универсальной пушки и испытан на заводском полигоне 29 февраля и 1 марта 1932 г.</w:t>
      </w:r>
    </w:p>
    <w:p w14:paraId="4BDEB310"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качающейся части пушки 950 кг, вес системы в боевом положении 3470 кг. Лафетные колеса от автомобиля Я-5.</w:t>
      </w:r>
    </w:p>
    <w:p w14:paraId="39885663"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 (25213).</w:t>
      </w:r>
    </w:p>
    <w:p w14:paraId="3E66EB2F" w14:textId="77777777" w:rsidR="00D1046D" w:rsidRPr="00142305" w:rsidRDefault="00D1046D" w:rsidP="00D1046D">
      <w:pPr>
        <w:spacing w:after="0" w:line="240" w:lineRule="auto"/>
        <w:jc w:val="both"/>
        <w:rPr>
          <w:rFonts w:ascii="Times New Roman" w:hAnsi="Times New Roman"/>
          <w:color w:val="0070C0"/>
          <w:sz w:val="16"/>
          <w:szCs w:val="16"/>
        </w:rPr>
      </w:pPr>
    </w:p>
    <w:p w14:paraId="050EDCC5"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23 февраля</w:t>
      </w:r>
      <w:r w:rsidRPr="00E93F40">
        <w:rPr>
          <w:rFonts w:ascii="Times New Roman" w:hAnsi="Times New Roman"/>
          <w:color w:val="000000" w:themeColor="text1"/>
          <w:sz w:val="16"/>
          <w:szCs w:val="16"/>
        </w:rPr>
        <w:t xml:space="preserve"> в 1932 году основано ОАО "Звезда", город Санкт-Петербург. Первоначально существовал Машиностроительный отдел завода "Большевик", который в 1932 г. получил статус самостоятельного предприятия. Акт приема передачи был подписан первым директором К.К.Сиркеном 23 февраля 1932 г. Эту дату и принято считать датой основания предприятия. Причем, первым названием было Ленинградский машиностроительный завод имени К.Е.Ворошилова. Завод "Звезда" был основан как государственное предприятие по производству промышленной продукции для государственных нужд. ОАО "Звезда" преобразовано в 1993 году из государственного предприятия Объединение "Звезда". Учредителем является Комитет по управлению Государственным имуществом. Основным видом деятельности является разработка конструкции, производство и реализация легких, быстроходных дизелей, дизель-генераторных установок, запасных частей к ним, сервисное обслуживание и ремонт выпускаемой продукции (15049).</w:t>
      </w:r>
    </w:p>
    <w:p w14:paraId="26381349" w14:textId="77777777" w:rsidR="007359D1" w:rsidRPr="00E93F40" w:rsidRDefault="007359D1" w:rsidP="00E93F40">
      <w:pPr>
        <w:spacing w:after="0" w:line="240" w:lineRule="auto"/>
        <w:jc w:val="both"/>
        <w:rPr>
          <w:rFonts w:ascii="Times New Roman" w:hAnsi="Times New Roman"/>
          <w:color w:val="000000" w:themeColor="text1"/>
          <w:sz w:val="16"/>
          <w:szCs w:val="16"/>
        </w:rPr>
      </w:pPr>
    </w:p>
    <w:p w14:paraId="5048A7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февраля 1932 года за № 46 л/сс Акулов подготовил:</w:t>
      </w:r>
    </w:p>
    <w:p w14:paraId="0E47B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Ц.К. ВКП(б) </w:t>
      </w:r>
    </w:p>
    <w:p w14:paraId="70A14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тов. Сталину </w:t>
      </w:r>
    </w:p>
    <w:p w14:paraId="770A9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Рез Сталина: Секретно, лично. Молотову, Ворошилову, Орджоникидзе, Куйбышеву, Тухачевскому, Павлуновскому. </w:t>
      </w:r>
    </w:p>
    <w:p w14:paraId="6C586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тов. Сталин ! </w:t>
      </w:r>
    </w:p>
    <w:p w14:paraId="15EE71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Направляю Вам записку ЭКУ ОГПУ о важнейших работах осужденных специалистов при Техническом Отделе ЭКУ, произведенных в 1931 году и производимых в настоящее время. </w:t>
      </w:r>
    </w:p>
    <w:p w14:paraId="778639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СЕКРЕТАРЮ ЦК ВКП/б/ т. Сталину </w:t>
      </w:r>
    </w:p>
    <w:p w14:paraId="734F8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СПРАВКА. </w:t>
      </w:r>
    </w:p>
    <w:p w14:paraId="4C980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РАБОТАХ ОСУЖДЕННЫХ СПЕЦИАЛИСТОВ ИСПОЛЬЗУЕМЫХ ТЕХ.ОТД. ЭКУ О.Г.П.У.</w:t>
      </w:r>
    </w:p>
    <w:p w14:paraId="0091F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АВТО-ТАНКО-ТРАКТОРОСТРОЕНИЕ</w:t>
      </w:r>
    </w:p>
    <w:p w14:paraId="7A4E14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3акончена разработка конструкции плавающего, быстроходного танка весом в 12 тонн. Танк частично запускается в производство. </w:t>
      </w:r>
    </w:p>
    <w:p w14:paraId="2087E0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Проведены работы по изменению и приспособлению трактора «КАТЕРПИЛЛЕР» в связи с установкой на него дизель-мотора. </w:t>
      </w:r>
    </w:p>
    <w:p w14:paraId="17B63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Путем введения дополнительной коробки скоростей в трактор «КАТЕРПИЛЛЕР», существующие скорости трактора увеличены в 2,5 раза. </w:t>
      </w:r>
    </w:p>
    <w:p w14:paraId="43AB5C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Повышенные скорости увеличивают агротехнические качества трактора и усиливают его, как тяговую машину. Для уменьшения потерь при перекатывании гусеницы на больших скоростях и для уменьшения веса неподрессоренных масс, поставлены облегченные гусеничные башмаки из броневой стали, а для прохождения-трактора по шоссе и мостовым запроектированы резиновые накладки к гусеничным башмакам. </w:t>
      </w:r>
    </w:p>
    <w:p w14:paraId="1FF8B4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Трактор мобилизационно подготовлен, забронирован и вооружен пулеметом. </w:t>
      </w:r>
    </w:p>
    <w:p w14:paraId="233AE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Поставлена специальная зенитная установка для пулемета </w:t>
      </w:r>
    </w:p>
    <w:p w14:paraId="26C10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таком виде трактор будет работать как вооружений тягач. </w:t>
      </w:r>
    </w:p>
    <w:p w14:paraId="576F7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 /Разработана конструкция превращения полуторатонного грузовика «ФОРД АА» в трехосную машину с 1 ведущей осью. Машина рассчитана на использование обычных деталей Форда /мобилизационная задача/. Машина покрыта броней 7-8-5 мм и вооружена 4 пулеметами ДТУ. </w:t>
      </w:r>
    </w:p>
    <w:p w14:paraId="6AD81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Машина производством полностью закончена и сдается Военному Ведомству. </w:t>
      </w:r>
    </w:p>
    <w:p w14:paraId="7F7F2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Разработана конструкция и выполнена в производстве - превращения полуторатонного грузовика «ФОРД АА» в трехосную маши-ну с двумя ведущими осями. Машина рассчитана на высокую про-ходимость по плохим дорогам и пересеченной местности. В мир¬ное время будет транспортной машиной, для тяжелых условий ра¬боты. В военное время - машина будет покрыта 7-6-4 мм броней и вооружена 37 мм орудием и двумя пулеметами ДТУ. Машина прошла испытания и сдается Военному Ведомству. </w:t>
      </w:r>
    </w:p>
    <w:p w14:paraId="4D051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Разработана конструкция бронирования трехосной полуторатонной машины системы «ФОРД-ТИМКЕН». Броня 7-6-4 мм. Вооружение 37 мм орудие и два пулемета ДТУ. </w:t>
      </w:r>
    </w:p>
    <w:p w14:paraId="585DA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Машина изготовлена и сдана Военведу. </w:t>
      </w:r>
    </w:p>
    <w:p w14:paraId="1B946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ДИЗЕЛЕСТРОЕНИЕ</w:t>
      </w:r>
    </w:p>
    <w:p w14:paraId="265BA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Закончено проектированием, производством и испытанием: </w:t>
      </w:r>
    </w:p>
    <w:p w14:paraId="24409F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3 нефтяных двухтактных бескомпрессорных дизеля по 60 лош.сил при 650 оборотах. Двигатели предназначены для замены существующего газолинового двигателя трактора «КАТЕРПИЛЛЕР». Переход с газолина на нефть и уменьшение количества расходуемого топлива / 200-220 гр. на силу/час/вместо ЗЗ0-360 в оригинальном «КАТЕРПИЛЛЕРЕ»/ создают экономию не менее 2 р. в час. Принимая годовую работу 1 трактора в 1500 часов, полу¬чаем 3000 руб. экономии в год на одной машине, а считаясь с годовым выпуском Челябинского Тракторного завода в 40 тысяч шт. имеем экономию при эксплуатации годовой продукции завода в 120 мил. рублей. </w:t>
      </w:r>
    </w:p>
    <w:p w14:paraId="5E2AC3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Запроектирован двухтактный дизель мощностью в 3200 лош. сил при числе оборотов 500 – в минуту, весом 7-10 клгр. на силу, для подводной лодки. Дизель находится в постройке и должен будет земенить собою заграничные дизеля фирмы "МАН" вес которых около 14 клгр. на силу. Строится на Коломенском заводе. </w:t>
      </w:r>
    </w:p>
    <w:p w14:paraId="299530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Запроектирован легкий быстроходный дизель для танка. Мощность его 400 лош.сил при 1500 оборотах в минуту при весе 2 клгр. на силу. Этот дизель в настоящий момент также находится в постройке на заводе "БОЛЬШЕВИК" .По изготовлении будет установлен на плавающем танке. </w:t>
      </w:r>
    </w:p>
    <w:p w14:paraId="5B7C4C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В стадии проектировки и разработки рабочих чертеже находятся четыре быстроходных дизеля: </w:t>
      </w:r>
    </w:p>
    <w:p w14:paraId="4A9E3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а/авиационный дизель 2300 лош. сил частично запущен в производство; </w:t>
      </w:r>
    </w:p>
    <w:p w14:paraId="33669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авиационный воздушного охлаждения в 500 лош, сил звездо-образный; </w:t>
      </w:r>
    </w:p>
    <w:p w14:paraId="0314C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100 сильный, 80 сильный и 40 сильный для автомобилей. Под 100 сильный нами будет разработан специальной конструкции автомобиль. 80 сильный предположено установить на 1,5 тонные автомобили и 40 сильные на легковые форды. </w:t>
      </w:r>
    </w:p>
    <w:p w14:paraId="4F32F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Разрабатывается дизель в 100 лош .сил для аэросаней приспособленный для работ на севере. </w:t>
      </w:r>
    </w:p>
    <w:p w14:paraId="710D1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Проектировка и постройка дизелей, как для авиации, так и для автомобилей имеет громадное значение в смысле государст¬венной экономии. Если считать, что в авиации на 1 лош. силу в час расходуется бензина 240 гр., а на дизель на 1 лош. силу в час 190 гр.; то на 1 силу в час уже имеемся экономия в 50 г. При полете длительностью в 10 часов на 1 лош. силу получится экономия 50 х 10 - 500 гр., а при мощном дизеле в 2300 лош. сил при 10 часовом полете будет иметь экономию 500 х 2300 =115000 гр. или более 1 тонны. Если принять во внимание, что нефть примерно в 5 раз дешевле, то по стоимости при десятичасовом по¬лете получится экономия в 5-тъ тонн бензина. </w:t>
      </w:r>
    </w:p>
    <w:p w14:paraId="1D5C5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ХИМИЯ, OB и ВЗРЫВ.ВЕЩЕСТВА.</w:t>
      </w:r>
    </w:p>
    <w:p w14:paraId="79F61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1 марта будет пущена полузаводская установка, полу¬ченного нового в Союзе "ОВ" КАПСИЦИНА. Разработан метод полу¬чения 19 аналогов капсицина. Разрешен вопрос получения вещества на базе имеющегося в Союзе сырья. Стоимость тонны "К" 20.000 руб. вместо предполагавшихся 150.000 руб., при импорте ряда полупродуктов. </w:t>
      </w:r>
    </w:p>
    <w:p w14:paraId="7003FD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Свойства - МНГНОВЕННОЕ, НЕОЖИДАННОЕ, КРАЙНЕ РЕЗКОЕ ДЕЙСТВИЕ на слизистые оболочки носоглотки и верхние дыхательные пути приводящие к УДУШЬЮ и ОБМОРОЧНОМУ СОСТОЯНИЮ. </w:t>
      </w:r>
    </w:p>
    <w:p w14:paraId="6414F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Испытания проведены. </w:t>
      </w:r>
    </w:p>
    <w:p w14:paraId="138D1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КАНТАРИДИН.</w:t>
      </w:r>
    </w:p>
    <w:p w14:paraId="2603C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Лабораторно получены образцы аналогов кантаридина-вещества накожного нарывного действия. Образцы испытываются.</w:t>
      </w:r>
    </w:p>
    <w:p w14:paraId="7AEA6E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ХЛОРАЦЕТОФЕНОН</w:t>
      </w:r>
    </w:p>
    <w:p w14:paraId="0E93B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Полностью разрешен вопрос способа производства одного из важнейших ОВ - хлорацетофенона. </w:t>
      </w:r>
    </w:p>
    <w:p w14:paraId="5467B8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СПОСОБ. Освобождает производство от заграничной зависимости /импорт треххлористого алюминия/, устраняет применение дефицитного сырья и удешевляет продукт вместо 24.000 руб. до 5.000 руб. за тонну. </w:t>
      </w:r>
    </w:p>
    <w:p w14:paraId="2A2BDE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Способ дает возможность развернуть производства в широком масштабе на базе отечественного сырья. </w:t>
      </w:r>
    </w:p>
    <w:p w14:paraId="700CB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первом квартале 1932 г. будет пущена полузаводская установка. </w:t>
      </w:r>
    </w:p>
    <w:p w14:paraId="32653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ФТОРИСТЫЙ ИПРИТ.</w:t>
      </w:r>
    </w:p>
    <w:p w14:paraId="712263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Получен лабораторным путем фтористый иприт. Ведутся анализы вещества и исследования его токсичности.</w:t>
      </w:r>
    </w:p>
    <w:p w14:paraId="4F5A25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УКСУСНО-НАТРИЕВАЯ СОЛЬ.</w:t>
      </w:r>
    </w:p>
    <w:p w14:paraId="50681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Разработан метод извлечения уксусно-натриевой соли из отбросов производства уксусного ангидрида. Метод передан промышленности. Способ внедрен на 1-м Химзаводе и за год дал экономию 1.500.000 руб. </w:t>
      </w:r>
    </w:p>
    <w:p w14:paraId="44A87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ОКСИЛИТ</w:t>
      </w:r>
    </w:p>
    <w:p w14:paraId="0E3FA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Ведутся работы по применению оксилита для противогаза. </w:t>
      </w:r>
    </w:p>
    <w:p w14:paraId="3BAF5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Применение оксилита дает возможность бойцу выключиться из окружающей атмосферы на 30-35 минут, ибо оксилит произво¬дит очистку углекислоты в выдыхаемом воздухе. </w:t>
      </w:r>
    </w:p>
    <w:p w14:paraId="50246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Имеет огромное значение для чистки воздуха в газоубежищах. </w:t>
      </w:r>
    </w:p>
    <w:p w14:paraId="1F135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Пометка Сталина: А в подлодке? </w:t>
      </w:r>
    </w:p>
    <w:p w14:paraId="446F79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ПОРОХА И_ВЗРЫВЧАТЫЕ ВЕЩЕСТВА.</w:t>
      </w:r>
    </w:p>
    <w:p w14:paraId="0387A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Разработан метод механизации работ по снаряжению снарядов амматолом /взрывчатое вещество/ и конструкции станков для механического снаряжения. Принято на заводы Вохимобъединения. </w:t>
      </w:r>
    </w:p>
    <w:p w14:paraId="0580B0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На заводе № 25 "Красный Боевик" в результате проводившихся работ - предложено расширение завода до производительности 15.000 тонн порохов в год вместо 10.000 тонн. Принято ВХО к исполнению в строительстве 1932 года. </w:t>
      </w:r>
    </w:p>
    <w:p w14:paraId="350067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На заводе № 9 - ШОСТКА - разработан вопрос о кон¬центрации порохового производства, на основе чего ВХО принято решение перестроить завод по нашему проекту, что дает эконо¬мию 1 мил.руб.в год. </w:t>
      </w:r>
    </w:p>
    <w:p w14:paraId="6B8DD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На заводе № 28 имени "КОСЯКОВА" установлен техноло¬гический процесс производства пироксилина и порохов - в результате чего ликвидирован производственный брак и систематические прорывы на заводе. </w:t>
      </w:r>
    </w:p>
    <w:p w14:paraId="3AF730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Закончены расчеты и рабочие чертежи полной механи¬зации всего цикла производства бездымных порохов /пироксилиновых/. </w:t>
      </w:r>
    </w:p>
    <w:p w14:paraId="37FAAA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Механизация даст большую экономию в площадях, рабочей силе, ускоряет процесс производства и т.д. </w:t>
      </w:r>
    </w:p>
    <w:p w14:paraId="2658AE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практического выполнения, работы вынесены на завод № 28 имени Косякова. </w:t>
      </w:r>
    </w:p>
    <w:p w14:paraId="333C5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Разработан метод и получен лабораторным путем порох на метиловом спирте в качестве растворителя. До сего време¬ни применялся спирт винный. Готовится опытная партия. </w:t>
      </w:r>
    </w:p>
    <w:p w14:paraId="2D011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Преимущества: метиловый спирт получается из водяного газa. Отпадает необходимость в эфире и этиловом /винном/ спир¬те, получаемом из хлебных злаков. Удешевляется тонна пороха на 300 руб. Ускоряется и упрощается весь технологический процесс. Повышается химическая стойкость. </w:t>
      </w:r>
    </w:p>
    <w:p w14:paraId="1EE12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7/ Разработан метод получения пироксилина с большим со-держанием азота /получено до 218-219 кубиков азота вместо пре¬дельных 212/, что дает возможность изготовлять пороха повышенной мощности. </w:t>
      </w:r>
    </w:p>
    <w:p w14:paraId="3DF59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Разработан новый метод флегматизации винтовочного по¬роха, что увеличивает дальнобойность стрельбы. </w:t>
      </w:r>
    </w:p>
    <w:p w14:paraId="10D4C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Образцы переданы на опытную стрельбу. </w:t>
      </w:r>
    </w:p>
    <w:p w14:paraId="4D7757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Разработан проект механизма предупреждающего взрывы в прессах для нитроглицериновых порохов. </w:t>
      </w:r>
    </w:p>
    <w:p w14:paraId="76698E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Передано в Артил.Управление РККА и Вохимобъединение. </w:t>
      </w:r>
    </w:p>
    <w:p w14:paraId="4A8A15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Получено лабораторным путем взрывчатое вещества: «БРИЗАНТИТ». </w:t>
      </w:r>
    </w:p>
    <w:p w14:paraId="2E57C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Предполагается мощность в 2,5 раза больше, чем у тротила. Вещество направлено в Военно-Техническую Академию на испытание. </w:t>
      </w:r>
    </w:p>
    <w:p w14:paraId="77BBB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AЗОТ.</w:t>
      </w:r>
    </w:p>
    <w:p w14:paraId="76DB7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Разработан метод получения азотно-водородной смеси на базе низкосортного топлива для синтеза аммиака. </w:t>
      </w:r>
    </w:p>
    <w:p w14:paraId="5BB57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Разработан замкнутый цикл производства аммиака на кокс химических комбинатах. </w:t>
      </w:r>
    </w:p>
    <w:p w14:paraId="5BEA5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Метод превращает Коксо-Химический завод в химико-коксовый. На 1000000 тонн кокса - выход 490000 тонн аммиака. </w:t>
      </w:r>
    </w:p>
    <w:p w14:paraId="49220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обоим методам изготовлены технические проекты опытно-производственных заводов, мощностью 1-го на 30.000 тонн в год аммиака и 2-го на 24.000 тонны. </w:t>
      </w:r>
    </w:p>
    <w:p w14:paraId="38FE3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первому методу базирующемуся на низкосортном топливе утверждено строительство опытного завода на 1932 г. в Бобриках. </w:t>
      </w:r>
    </w:p>
    <w:p w14:paraId="0B0124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Разработанные методы полностью разрешают азотную проблему для СССР на отечественной технической базе. </w:t>
      </w:r>
    </w:p>
    <w:p w14:paraId="45DD2F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Развитие азотной промышленности Союза по пятилетке до 1.500.000 тонн связанного азота в год по разработанным мето¬дам даст большую экономию по капиталовложениям. </w:t>
      </w:r>
    </w:p>
    <w:p w14:paraId="5177C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осуществление приведенного метода нами проделаны нижеследующие работы: </w:t>
      </w:r>
    </w:p>
    <w:p w14:paraId="7B263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Газогенератор непрерывного действия для газификации низкосортного топлива. Газогенератор изготовлен на Советских заводах по проекту и под нашим наблюдением и руководством и смонтирован на Московском Газовом заводе. </w:t>
      </w:r>
    </w:p>
    <w:p w14:paraId="03A14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Технический проект кислородно-азотной установки на 250 куб.метр жидкого кислорода в час. </w:t>
      </w:r>
    </w:p>
    <w:p w14:paraId="5E28FC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 кислородной установки делается в СССР впервые. </w:t>
      </w:r>
    </w:p>
    <w:p w14:paraId="655E4D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Спроектированный агрегат по своей производительности значи-тельно превышает мощность работающих в настоящее время загра¬ничных кислородных установок. </w:t>
      </w:r>
    </w:p>
    <w:p w14:paraId="6DD0A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 передан в Трест ВАТ для исполнения. </w:t>
      </w:r>
    </w:p>
    <w:p w14:paraId="79085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Проект компрессора для воздуха. Производительность 1.500 куб. метр, в час. Рабочее давление 220 атм. Проект пред¬назначен для обслуживания спроектированной кислородно-азотной установки. Компрессор на такое высокое давление проектируется в СССР впервые. Разработка советского компрессора позволит СССР освободиться от импорта подобных компрессоров. </w:t>
      </w:r>
    </w:p>
    <w:p w14:paraId="4FD0DB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Разработан проект установки глубокого охлаждения. Производительность 2.000 куб. м. кислорода и 8800 куб. м. азота. Целью проекта является получение водородно-азотной смеси для синтетического, аммиака и кислорода для газификации подмосковного угля. </w:t>
      </w:r>
    </w:p>
    <w:p w14:paraId="1A85E1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Ассимиляция целлюлозного производства с пироксилиновым. </w:t>
      </w:r>
    </w:p>
    <w:p w14:paraId="1D33CE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переданному в промышленность методу получения древес¬ной целлюлозы для изготовления порохов, разработан и сдан про-мышленности проект завода мощностью 10.000-14.000 тонн в год. Завод строится на Свердловском Целлюлозном Комбинате. </w:t>
      </w:r>
    </w:p>
    <w:p w14:paraId="678080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РЕЗИНОВАЯ ПРОМЫШЛЕННОСТЬ.</w:t>
      </w:r>
    </w:p>
    <w:p w14:paraId="47C70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/Маска противогаз/ </w:t>
      </w:r>
    </w:p>
    <w:p w14:paraId="39121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Разработана конструкция и изготовлены образцы противога¬за - маски, со следующими показателями: </w:t>
      </w:r>
    </w:p>
    <w:p w14:paraId="06AA6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Маска дает защиту от капельно-жидкого иприта в течении от 1 ч.2 мин. до 2 ч.2 мин. /требования ВОХИМ'У 1 час/. </w:t>
      </w:r>
    </w:p>
    <w:p w14:paraId="51F05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Конструкция маски предоставляет значительные удобства для пользования /одевание 3 секунды/. </w:t>
      </w:r>
    </w:p>
    <w:p w14:paraId="0C6FFD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Конструкция маски рассчитана на обеспечение свободного передвижения бойца, свободное владение огнестрельным орудием и оптическими приборами. </w:t>
      </w:r>
    </w:p>
    <w:p w14:paraId="3F52D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Единственным импортным материалом является каучук с расходом на одну маску от 32 до 59 грамм против 81 гр. на шлем вырабатываемый до сих пор. </w:t>
      </w:r>
    </w:p>
    <w:p w14:paraId="69274B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Маска производится методом формования. Стоимость ма¬ски в 2,5 раза дешевле существующих шлемов. </w:t>
      </w:r>
    </w:p>
    <w:p w14:paraId="238EF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/Прорезиненная ткань/ . </w:t>
      </w:r>
    </w:p>
    <w:p w14:paraId="3DAF67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Разработана техническая характеристика прорезиненной ткани для защитных костюмов. </w:t>
      </w:r>
    </w:p>
    <w:p w14:paraId="0D124E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Полученные образцы ткани по всем показателям стоят значительно выше германской ткани. </w:t>
      </w:r>
    </w:p>
    <w:p w14:paraId="12697E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/Новый метод вулканизации и новый лак для галош/. </w:t>
      </w:r>
    </w:p>
    <w:p w14:paraId="74348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Заводами Резинообъединения при изготовлении галош, как на внутренний рынок, так и на экспорт, употреблялся импортный глет который будучи примешан в резиновую смесь, обеспечивал общую прочность изделий, лака и облегчал вулканизацию. </w:t>
      </w:r>
    </w:p>
    <w:p w14:paraId="1DEBC5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настоящее время запущена в производство опытная партия галош без глета в которой расход каучука по нашему методу снижается на 15-20% при повышенной прочности в несколько раз. Одновременно повышается производительная мощность заводов до 25% с возможностью дальнейшего увеличения про¬дукции при условии незначительных затрат на реконструкцию. Качество галош предполагается получить лучше галош лучших заграничных фирм. </w:t>
      </w:r>
    </w:p>
    <w:p w14:paraId="78FDEA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СПИРТОВАЯ ПРОМЫШЛЕННОСТЬ.</w:t>
      </w:r>
    </w:p>
    <w:p w14:paraId="402878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 метод получения спирта из цикория. Произведено пробное винокурение на Суковкинском винокуренном заводе в присутствии представителей Союзспирта, Научно-Исследова¬тельского института Спиртовой промышленности, и Спиртотреста ЦЧО. Опыт полностью оправдал себя и превзошел некоторые положения, указанные в записке, поданной в свое время в ПБ. </w:t>
      </w:r>
    </w:p>
    <w:p w14:paraId="6BA4B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выход спирта при цикорном винокурении выше выхо¬дов спирта при хлебо-картофельном винокурении. </w:t>
      </w:r>
    </w:p>
    <w:p w14:paraId="28CB1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Экономия топлива /угля / при цикорном винокурении составляет ориентировочно 20%. </w:t>
      </w:r>
    </w:p>
    <w:p w14:paraId="132F78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Цикорное винокурение дает возможность перейти на не¬прерывное сбраживание, что в свою очередь упраздняет дрож¬жевой цех. </w:t>
      </w:r>
    </w:p>
    <w:p w14:paraId="1F2402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результате проведенного цикорного винокурения уста-навливается, помимо вышеприведенного еще следующее: </w:t>
      </w:r>
    </w:p>
    <w:p w14:paraId="437F6E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Цикорное винокурение может производиться на сущест¬вующих винокуренных заводах без какого либо дополнительного оборудования. </w:t>
      </w:r>
    </w:p>
    <w:p w14:paraId="0AB7E0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При цикорном винокурении упраздняется солодовенный цех и дробилка для солода. . </w:t>
      </w:r>
    </w:p>
    <w:p w14:paraId="4B1F4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Процесс варки и выдувание в заторный чан цикорной массы сокращается по времени вдвое. </w:t>
      </w:r>
    </w:p>
    <w:p w14:paraId="0A7447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Сбраживание цикорных заторов в квасильных чанах по времени сокращается вдвое и упраздняется процесс расхолодки </w:t>
      </w:r>
    </w:p>
    <w:p w14:paraId="29DA38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Выхода цикорного спирта выше выходов хлебо-картофельного спирта. </w:t>
      </w:r>
    </w:p>
    <w:p w14:paraId="33ABBE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Качество цикорного спирта не ниже качества хлебо-картофельного спирта. </w:t>
      </w:r>
    </w:p>
    <w:p w14:paraId="5EA97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Отходы цикорного винокурения не превышает отходов хлебо-картофельного винокурения и также идут в корм скоту. </w:t>
      </w:r>
    </w:p>
    <w:p w14:paraId="2619A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Все эти выводы подтверждены протоколом расширенного производственного совещания технического персонала и рабо¬чих Суковкинского завода при участии представителей Союзспирта, Научно-Исследовательского Института Спиртовой промышленности ЦЧО и актом, подписанным теми же представителями совместно со специалистами ОКПБ Тех.Отд. ЭКУ ОГПУ. </w:t>
      </w:r>
    </w:p>
    <w:p w14:paraId="407BD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Согласно протокола и акта устанавливается, что технологический процесс цикорного винокурения является вполне приемлемым для внедрения в промышленность. </w:t>
      </w:r>
    </w:p>
    <w:p w14:paraId="6B173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СНАРЯДЫ И ВЗРЫВАТЕЛИ.</w:t>
      </w:r>
    </w:p>
    <w:p w14:paraId="755BCF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40 м/м ружейная граната безопасного типа. Принятая на вооружение ружейная граната Дьяконова не имеет предохранительного устройства и в случае преждевременного разрыва в мортирке влечет порчу оружия и ранение стрелков. </w:t>
      </w:r>
    </w:p>
    <w:p w14:paraId="5E39F5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Разработанный нами тип гранаты устраняет эти недостатки благодаря наличию пулеуловителя. Предполагается в дальнейшем повышение дальности полета на 20-25%. Граната передается на изготовление опытных образцов на завод № 75. </w:t>
      </w:r>
    </w:p>
    <w:p w14:paraId="7081E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СНАРЯД изготовляемый из железных труб </w:t>
      </w:r>
    </w:p>
    <w:p w14:paraId="42B69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Спроектирована и запущена в производство опытная се¬рия снарядов изготовляемых из железных труб. Введение на вооружение подобных снарядов значительно увеличит осколочно-фугасное действие на большую зону поражаемого пространства. </w:t>
      </w:r>
    </w:p>
    <w:p w14:paraId="728B05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Снаряды начиняются осколками /отбросами/ металла, заливаются цементом и при разрыве стелятся параллельно земли. </w:t>
      </w:r>
    </w:p>
    <w:p w14:paraId="5A55B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75 мм ЖИРОСКОПИЧЕСКИЙ РЕАКТИВНЫЙ СНАРЯД. </w:t>
      </w:r>
    </w:p>
    <w:p w14:paraId="259B91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Разработана конструкция специального гироскопического реактивного снаряда. Главная особенность снаряда заключает¬ся в том, что он действует самостоятельно без орудия. Выпускается снаряд из тонкой гладкоствольной трубы. Дальность полета /теоретич./ 8-9 километров. Предусмотрена возмож¬ность увеличения дальности. </w:t>
      </w:r>
    </w:p>
    <w:p w14:paraId="5C27F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Введение на вооружение таких снарядов должно дать значительное удешевление стоимости артвооружения и большую подвижность в маневренной войне. </w:t>
      </w:r>
    </w:p>
    <w:p w14:paraId="03DF42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Изготовленные опытные образцы будут опробованы в марте месяце. </w:t>
      </w:r>
    </w:p>
    <w:p w14:paraId="2712E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45 мм БРОНЕБОЙНЫЙ СНАРЯД. </w:t>
      </w:r>
    </w:p>
    <w:p w14:paraId="1B0E6F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Спроектированы и изготовлены опытные серии снарядов. </w:t>
      </w:r>
    </w:p>
    <w:p w14:paraId="13E8E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Снаряды расчитаны на большую пробиваемость брони против существующих на вооружении армии. Снаряд имеет два наконечника - стальной бронебойный и медный. По теоретическим расчетам снаряд должен пробить 30 милиметр. броню на 2-2,5 километра. </w:t>
      </w:r>
    </w:p>
    <w:p w14:paraId="68EB7B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ПУЛЯ О.В. </w:t>
      </w:r>
    </w:p>
    <w:p w14:paraId="2CFC1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Спроектирована и изготовлена опытная партия пуль для жидких отравляющих веществ. Назначение пули - увеличение огневых средств борьбы с броневыми закрытиями для пехоты и каваллерии путем отравления ОВ поверхностей и закрытых помещений и заражения окружающего воздуха. Проводятся испытания. </w:t>
      </w:r>
    </w:p>
    <w:p w14:paraId="5D1972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76 мм ТРОССОВЫЙ СНАРЯД. </w:t>
      </w:r>
    </w:p>
    <w:p w14:paraId="343A3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Сконструирована и изготовлена опытная партия троссовых снарядов, имеющих специальное назначение борьбы с авиа¬цией. Снаряд состоит из 2-х массивных грузов соединенных стальным троссом дл. в 3-4 метра. При запуске в воздух снаряд делает безпорядочные движения грузами, соединенными вытянутым троссом, рассекая все попадающееся на пути. </w:t>
      </w:r>
    </w:p>
    <w:p w14:paraId="380DEC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Испытания будут проведены в конце февраля. </w:t>
      </w:r>
    </w:p>
    <w:p w14:paraId="0946F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ЭНЕРГЕТИКЕ</w:t>
      </w:r>
    </w:p>
    <w:p w14:paraId="03A76C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ЕДИНАЯ ВЫСОКОВОЛЬТНАЯ СЕТЬ СССР. </w:t>
      </w:r>
    </w:p>
    <w:p w14:paraId="4905F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Производится проработка отдельных элементов высоковольтной сети для всего СССР. Проработка ведет¬ся по районно, в первую очередь прорабатываются центр, промышлен.район Урало-Кузнецкий Комбинат, Донбасс, Средняя Волга и т.д. </w:t>
      </w:r>
    </w:p>
    <w:p w14:paraId="046E83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Работа дает основную базу для плана электрофикации СССР и согласована с тов. КРЖИЖАНОВСКИМ </w:t>
      </w:r>
    </w:p>
    <w:p w14:paraId="1EBEA8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СТАНДАРТИЗАЦИЯ СТАНЦИЙ. </w:t>
      </w:r>
    </w:p>
    <w:p w14:paraId="135A59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Закончен разработкой стандарт электростанции в 50 мгв. /50 тысяч киловатт/, состоящей из котельной генератора и высоковольтной сети. </w:t>
      </w:r>
    </w:p>
    <w:p w14:paraId="0C1B1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Находится в разработке станция в 25 мгв., готовность 60%. На очереди разработка такого же стандарта в 100 мгв. </w:t>
      </w:r>
    </w:p>
    <w:p w14:paraId="068C2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РАЗРАБОТАНА 1-ая ЧАСТЬ МЕЖДУГОРОДНОЙ ТЕЛЕФОННОЙ станции большой емкости, с применением многократ¬ного телефонирования, т.е. по одному и тому же прово¬ду можно вести одновременно несколько разговоров. </w:t>
      </w:r>
    </w:p>
    <w:p w14:paraId="4A5AB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 телефонной станции предусматривает вызов абонентов в продолжении 1,5-2 минут, в существующих установках процесс вызова занимает в среднем 2-3 часа. </w:t>
      </w:r>
    </w:p>
    <w:p w14:paraId="15E18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ПО СТРОИТЕЛЬСТВУ ПЕРЕДВИЖНЫХ СТАНЦИЙ. </w:t>
      </w:r>
    </w:p>
    <w:p w14:paraId="091C89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К 15 февраля с. г. заканчивается изготовлением передвижная трансформаторная подстанция высокого напряжения, мощностью в 1.800 кватт. </w:t>
      </w:r>
    </w:p>
    <w:p w14:paraId="26C254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Подстанция монтирована на большегрузовом 50 тн. четы¬рехосном вагоне. </w:t>
      </w:r>
    </w:p>
    <w:p w14:paraId="083EB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Подстанция целиком изготовлена из Советских материа¬лов и стандартных частей вырабатываемых заводами СССР. </w:t>
      </w:r>
    </w:p>
    <w:p w14:paraId="69B51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Подстанция предназначается для снабжения электро¬энергией небольших промрайонов, новостроек, совхозов, а так же для военных целей. </w:t>
      </w:r>
    </w:p>
    <w:p w14:paraId="63ECCF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Проектируется передвижная электрическая станция высокого напряжения с установкой на тепловоз. </w:t>
      </w:r>
    </w:p>
    <w:p w14:paraId="0ED4A4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ЭЛЕКТРОВОЗОСТРОЕНИЕ</w:t>
      </w:r>
    </w:p>
    <w:p w14:paraId="0EB2C5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Организована новая особая группа на заводе "ДИНАМО", ставящая себе задачей наладить и запустить в производ¬ство строение электровозов. </w:t>
      </w:r>
    </w:p>
    <w:p w14:paraId="7B404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Группа произвела обследование завода ”ДИНАМО” и наме¬тила план работы для создания производства электровозов, </w:t>
      </w:r>
    </w:p>
    <w:p w14:paraId="6B386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план входит: а/ разработка всех технологических процессов, б/ разработка производственных операций, в/ выбор материалов для работы горячих вспомогательных цехов, г/ установление внутризаводского транспорта, д/ определение техно-экономических вопросов по производ-ству электровозов и т.п. </w:t>
      </w:r>
    </w:p>
    <w:p w14:paraId="6E5AB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намеченному плану, установлен группой и принят За-водоуправлением, технологический процесс производства и проект монтажа электровозов по системе продольно-принудительного потока, осуществляемого на путях монтажного пролета. </w:t>
      </w:r>
    </w:p>
    <w:p w14:paraId="294DA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1932 г., в зависимости от нормального поступления кузовов с Коломенского завода, намечено к выпуску: в июне 1 /опытный/ 132 тн. электровоз; в августе 2 электровоза в сентябре 3, в октябре, ноябре и декабре по 10 электрово¬зов ежемесячно. </w:t>
      </w:r>
    </w:p>
    <w:p w14:paraId="2434C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КРУПНОЕ ЭЛЕКТРОМАШИНОСТРОЕНИЕ</w:t>
      </w:r>
    </w:p>
    <w:p w14:paraId="1742A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Закончен постройкой, испытан и передан промышленности электропривод для БЛЮМИНГА. </w:t>
      </w:r>
    </w:p>
    <w:p w14:paraId="73DA7B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Электропривод состоит в основном из двигателя постоянного тока 7.000 лош. сил, /с максимумом в 20.000 лош. сил/ -2-х генераторов по 3.000 киловатт и электродвигателя в 5.000 лош.сил переменного тока. Вес привода около 400 тонн. Всего приводов такой мощности во всем мире 12. Изготовле¬но деталей около.- 230.000 штук. Изданы труды в виде 4-х выпусков бюллетеней имеющих большой научный интерес. Обучено 9-ть молодых советских инженеров. </w:t>
      </w:r>
    </w:p>
    <w:p w14:paraId="1FB3F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Помимо основного оборудования изготовлено сложное вспомогательное оборудование. </w:t>
      </w:r>
    </w:p>
    <w:p w14:paraId="5693B2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КОТЛОСТРОЕНИЕ</w:t>
      </w:r>
    </w:p>
    <w:p w14:paraId="7B4413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Приступлено к монтажу опытного-безбарабанного прямоточного котла высокого давления / на 140 атм./ по системе РАМЗИНА. Монтаж производится в котельной Всесоюз¬ного Теплотехнического Института. Пуск котла в действие по плану намечен к 1-му мая с.г. </w:t>
      </w:r>
    </w:p>
    <w:p w14:paraId="7DBA5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Параллельно с производством частей котла разрешен ряд производственных проблем по высокому давлению: так например; найдены новые методы и способы сварки и загибки труб, давшие хорошие результаты на давление и температуру. </w:t>
      </w:r>
    </w:p>
    <w:p w14:paraId="71E6B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Закончен полный расчет котла того же принципа промышленного значения на производительность 200 тн. в час пара на пылевидном Подмосковном угле. </w:t>
      </w:r>
    </w:p>
    <w:p w14:paraId="3BED9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Котел будет крупнейшим котлом в мире, как по давлению, так и по производительности пара. Котел находится в настоящее время в конструктивной разработке. Готовность проекта на 25% </w:t>
      </w:r>
    </w:p>
    <w:p w14:paraId="243F6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БРОНЯ</w:t>
      </w:r>
    </w:p>
    <w:p w14:paraId="2F64B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Ведутся работа по. созданию устойчивости против - броне¬бойных пуль брони из котельного железа. </w:t>
      </w:r>
    </w:p>
    <w:p w14:paraId="45B1B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Непробиваемость брони достигается не путем дорого стоящей и длительной в обработке цементации, а дождеванием и магнетизацией особо термически обработанного котельного железа. </w:t>
      </w:r>
    </w:p>
    <w:p w14:paraId="4E07B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Предварительными опытами достигнута следующие результа¬ты на плитке размером 200 х 200 мм: плита толщиной в 9 мм на дистанции в 40 метров не пробивалась бронебойной пулей Бойно-Родзевича, Кутового и обыкновенной мельхиоровой пулей. На обратной стороне плиты ни трещины, ни отдулины не образовывались. </w:t>
      </w:r>
    </w:p>
    <w:p w14:paraId="18C4D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данное время изготовляются указанным методом плиты разных толщин для испытания их с разных дистанций, с установкой дать непробиваемую броню толщиной до 7 мм. </w:t>
      </w:r>
    </w:p>
    <w:p w14:paraId="526B6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БЕРИЛЛИЙ</w:t>
      </w:r>
    </w:p>
    <w:p w14:paraId="7CF8F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Приступлено к перестройке и оборудованию здания бывшей церкви под опытный Берилловый завод. Срок строительства включая и пробный пуск - 5-6 месяцев. Завод расчитан на производительностъ 3-х тонн металлического бериллия в год. </w:t>
      </w:r>
    </w:p>
    <w:p w14:paraId="762D6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Задачей строющегося Бериллового завода является получение, как металлического бериллия, так и его лигатур с различными металлами для дальнейшего их использования в виде присадок для получения высококачественных спла¬вов. </w:t>
      </w:r>
    </w:p>
    <w:p w14:paraId="473C1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пуском этого завода Советская техника получив новую базу для получения сложных специальных сплавов, обладающих исключительными свойствами, как-то: твердость сопротивление коррозии и т.д. </w:t>
      </w:r>
    </w:p>
    <w:p w14:paraId="6750C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СУДОСТРОЕНИЕ</w:t>
      </w:r>
    </w:p>
    <w:p w14:paraId="20BC52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/Ленинград/ </w:t>
      </w:r>
    </w:p>
    <w:p w14:paraId="73B67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Готовность строящейся подводной лодки в Ленинграде по корпусу – 95%. </w:t>
      </w:r>
    </w:p>
    <w:p w14:paraId="39C7C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Производится разработка рабочих чертежей по внутрен¬нему оборудованию лодки.</w:t>
      </w:r>
    </w:p>
    <w:p w14:paraId="40DAD4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ТРАНСПОРТЕРУ</w:t>
      </w:r>
    </w:p>
    <w:p w14:paraId="2605A8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/Ленинград/. </w:t>
      </w:r>
    </w:p>
    <w:p w14:paraId="422E5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Продолжается постройка ж. д. транспорта для 14 дм. оруд</w:t>
      </w:r>
    </w:p>
    <w:p w14:paraId="074EC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КАБЕЛЬНАЯ ЭКСПЕДИЦИЯ</w:t>
      </w:r>
    </w:p>
    <w:p w14:paraId="753913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Закончена работа кабельной экспедиция по прокладке кабелей в Азовском, Черном и Каспийском морях. В общем итоге Кабельная Экспедиция подняла со дна Баренцова и Белого морей подводного телеграфного кабеле в круглых цифрах - 825 км., из которых проложила 350 КМ на Каспийском море и 212 км. на Азовском и Черном морях. Прокладка и выемка кабеля произведены в рекордные сроки. Прокладка кабеля в Азовском море разгружает Ростовский телеграфный узел и имеет важное стратегическое значение </w:t>
      </w:r>
    </w:p>
    <w:p w14:paraId="29A07A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МИКРОБИОЛОГИЯ</w:t>
      </w:r>
    </w:p>
    <w:p w14:paraId="0C7788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Институте специального назначения Тех. Отд. ЭКУ ОГПУ проводятся научно-исследовательские работы по изучению мер борьбы и обороны в биологической войне. </w:t>
      </w:r>
    </w:p>
    <w:p w14:paraId="60CE1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Имеются следующие результаты полученные в лабораторных условиях: </w:t>
      </w:r>
    </w:p>
    <w:p w14:paraId="5CEF38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1.Доказана жизнеспособность микроба "туляремии" /самый заразный микроб из всех микробов до сего времени откры¬тых наукой/ в высушенном виде, без потери своих первоначальных качеств. Высушенный микроб сохраняет способность заражения после нагревания его в температуре 120°С в течении одной минуты. Этот опыт доказывает возможность при¬готовления и хранения микроба в порошкообразном виде и ввода его в горячую пищу, воду и пр. </w:t>
      </w:r>
    </w:p>
    <w:p w14:paraId="605E3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Доказана возможность заражения туляремией путем распыления. </w:t>
      </w:r>
    </w:p>
    <w:p w14:paraId="190AD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3. По линии заражения водоемов обезвреженных хлорной известью, проведенными опытами доказана возможность зара¬жения микробами кишечно-тифозной группы водоемов даже перенасыщенных растворами хлора. </w:t>
      </w:r>
    </w:p>
    <w:p w14:paraId="4F301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Проведена работа по высушиванию микробов кишечно-тифозной группы. Высушенные микробы брюшного тифа и дизетифии сохранили жизнеспособность и зараженные ими мыши восприняли заболевание. При нагревании в 100°С в течении 2 мин. высушенные микробы сохранили жизнеспособность. </w:t>
      </w:r>
    </w:p>
    <w:p w14:paraId="0433DF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Приступлено к работам по выделению культур специ¬фических типов кишечных бактерий /тифозо-паротифозной группы/. Начата работа по составлению сывороток и изменчи¬вости бактерий. </w:t>
      </w:r>
    </w:p>
    <w:p w14:paraId="55174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Кроме того приступлено к работе с микробами чумы. </w:t>
      </w:r>
    </w:p>
    <w:p w14:paraId="7A192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Приступлено к составлению брошюры для руководства и текущей работа "Бактериология врача Кр.Армии". </w:t>
      </w:r>
    </w:p>
    <w:p w14:paraId="31CFF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Подготавливается работа по консервированию микробов в полузаводском масштабе. </w:t>
      </w:r>
    </w:p>
    <w:p w14:paraId="11D338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ТЕКСТИЛЮ.</w:t>
      </w:r>
    </w:p>
    <w:p w14:paraId="6F35B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Котонин </w:t>
      </w:r>
    </w:p>
    <w:p w14:paraId="7B8A79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Разработан и проверен в фабричном масштабе новый способ котонизации лубяных волокон. </w:t>
      </w:r>
    </w:p>
    <w:p w14:paraId="0A6F0C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Предлагаемый котонин: </w:t>
      </w:r>
    </w:p>
    <w:p w14:paraId="6136EE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позволяет СССР бать независимым от заграничного рынка в отношении ввоза хлопка и шерсти. </w:t>
      </w:r>
    </w:p>
    <w:p w14:paraId="135B8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Позволяет широко развивать хлопчато-бумажную и шерстяную промышленность даже в случае временного несо¬ответствия развития хлопководства и овцеводства с раз¬витием промышленности. </w:t>
      </w:r>
    </w:p>
    <w:p w14:paraId="39CD5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Позволяет сократить дорогостоящее освоение земель под хлопок /иригация и проч./, за счет более дешевой культуры льна. </w:t>
      </w:r>
    </w:p>
    <w:p w14:paraId="1679E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Предлагаемый способ удешевляет производство: котонин из тресты будет стоить 865руб.за тонну против существующих цен 1.600 - 2.000 рублей. </w:t>
      </w:r>
    </w:p>
    <w:p w14:paraId="5D12A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Котонин предлагаемого качества может быть использован в настоящее время хлопчато-бумажной промышленностью в количестве от 80 до 100.000 тонн, шерстяной -до 20.000 тонн, в ватной - до 20.000 тн., в валяльно-войлочной до 30.000 тн., с освобождением соответствующих количеств основного сырья. </w:t>
      </w:r>
    </w:p>
    <w:p w14:paraId="30860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КОМБИНАТА.</w:t>
      </w:r>
    </w:p>
    <w:p w14:paraId="206193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Составлен проект Дальне-Восточного сете-вязального, канато-веревочного Комбината. </w:t>
      </w:r>
    </w:p>
    <w:p w14:paraId="5A601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 составлен на выпуск продукции в год льняно¬го и пенькового производств на 21.600.000 рублей. </w:t>
      </w:r>
    </w:p>
    <w:p w14:paraId="33EA4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Комбинат будет состоять: </w:t>
      </w:r>
    </w:p>
    <w:p w14:paraId="3DD5A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 льно-пенько-прядильной, крутильной и сетевязальной фабрики. </w:t>
      </w:r>
    </w:p>
    <w:p w14:paraId="47DC97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 канатно-веревочной фабрики. </w:t>
      </w:r>
    </w:p>
    <w:p w14:paraId="74BEB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Шпагатно-веревочной фабрики и </w:t>
      </w:r>
    </w:p>
    <w:p w14:paraId="5373A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Льно-пенько-чесальной </w:t>
      </w:r>
    </w:p>
    <w:p w14:paraId="17E4EA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Рабочих и служащих будет около 9.000 человек. </w:t>
      </w:r>
    </w:p>
    <w:p w14:paraId="43FDF1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МАНЫЧИ</w:t>
      </w:r>
    </w:p>
    <w:p w14:paraId="001D1D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Каспийско-Черноморский канал </w:t>
      </w:r>
    </w:p>
    <w:p w14:paraId="7803D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Производится разработка устройства глубоководного пути - канала на Манычах. </w:t>
      </w:r>
    </w:p>
    <w:p w14:paraId="45DDC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Проблема состоит из нескольких частей: </w:t>
      </w:r>
    </w:p>
    <w:p w14:paraId="6768C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морского пути между морями Азовским и Каспийским </w:t>
      </w:r>
    </w:p>
    <w:p w14:paraId="3AA71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энергетического тракта, дающего энергию равную Днепрострою. </w:t>
      </w:r>
    </w:p>
    <w:p w14:paraId="3849A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Орошения Прикаспийских пустынь под хлопковые и другие культура в количестве до 2.000.000 гектар. </w:t>
      </w:r>
    </w:p>
    <w:p w14:paraId="7DA14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Обводнение земель к югу от Маныча 4.500.000 га </w:t>
      </w:r>
    </w:p>
    <w:p w14:paraId="2E343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Создание новых рыбных угодий в Маныче. </w:t>
      </w:r>
    </w:p>
    <w:p w14:paraId="232A6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 Привлечение вод Маныча, Кубани, Дона и Волги к использованию на орошение. </w:t>
      </w:r>
    </w:p>
    <w:p w14:paraId="2DA44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Канал позволит морским судам заходить в Каспийское море, приблизит к морскому берегу многие пункты Сибири, Казахстана и Урала на сотни километров. </w:t>
      </w:r>
    </w:p>
    <w:p w14:paraId="11B525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Этот водный путь создаст также новый ход на мировые рынки для Бакинской нефти. </w:t>
      </w:r>
    </w:p>
    <w:p w14:paraId="6D7BCA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эскизный (предварительный) проект и полностью разработаны вопросы экономики, транспорта, мелиорации, энергетики и др.</w:t>
      </w:r>
    </w:p>
    <w:p w14:paraId="41058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ЭКУ ОГПУ (МИРОНОВ)</w:t>
      </w:r>
    </w:p>
    <w:p w14:paraId="0B3459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«22» февраля 1932 года </w:t>
      </w:r>
    </w:p>
    <w:p w14:paraId="726D1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Ф.3., Оп.58., Д.142., л. 24-46 (11462).</w:t>
      </w:r>
    </w:p>
    <w:p w14:paraId="5DB1B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C854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февраля 1932 года СТО принял постановление, в котором было рекомендовано обязать Народный комиссариат тяжелой промышленности обеспечить программу судостроения необходимым вооружением, а также жестко соблюдать ком­плектность для обеспечения полной боевой готовности кораблей при вступлении их в строй (11866).</w:t>
      </w:r>
    </w:p>
    <w:p w14:paraId="71511B41" w14:textId="437BED4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4A8CBF" w14:textId="7C77B2FE" w:rsidR="002B40D9" w:rsidRPr="00E93F40" w:rsidRDefault="002B40D9"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7629D280" w14:textId="77777777" w:rsidR="002B40D9" w:rsidRPr="00E93F40" w:rsidRDefault="002B40D9"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2A19063C" w14:textId="77777777" w:rsidR="002B40D9" w:rsidRPr="00E93F40" w:rsidRDefault="002B40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февраля 1932 г. вышло постановление РВС СССР «Об основах организации ВВС РККА», а 19 апреля 1932 г. - постановление Комиссии обороны при СНК СССР «Об организации ВВС РККА». Эти документы определили новый этап в развитии ВВС – из вспомогательного рода войск ВВС становились самостоятельным родом войск, которому отводилась одна из главных ролей в разрабатываемой военными умами стратегии глубокой наступательной операции. Такая стратегия предусматривала массированное применение не только танков и артиллерии, но и авиации, и воздушных десантов, что без парашютизма было невозможно (21402).</w:t>
      </w:r>
    </w:p>
    <w:p w14:paraId="1D10ED10" w14:textId="77777777" w:rsidR="002B40D9" w:rsidRPr="00E93F40" w:rsidRDefault="002B40D9" w:rsidP="00E93F40">
      <w:pPr>
        <w:spacing w:after="0" w:line="240" w:lineRule="auto"/>
        <w:jc w:val="both"/>
        <w:rPr>
          <w:rFonts w:ascii="Times New Roman" w:hAnsi="Times New Roman"/>
          <w:color w:val="000000" w:themeColor="text1"/>
          <w:sz w:val="16"/>
          <w:szCs w:val="16"/>
        </w:rPr>
      </w:pPr>
    </w:p>
    <w:p w14:paraId="4F8F8A91" w14:textId="77777777" w:rsidR="007359D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0C3C38D" w14:textId="77777777" w:rsidR="007359D1" w:rsidRPr="00E93F40" w:rsidRDefault="007359D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131E120" w14:textId="77777777" w:rsidR="007359D1" w:rsidRPr="00E93F40" w:rsidRDefault="007359D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23 февраля</w:t>
      </w:r>
      <w:r w:rsidRPr="00E93F40">
        <w:rPr>
          <w:rFonts w:ascii="Times New Roman" w:hAnsi="Times New Roman"/>
          <w:color w:val="000000" w:themeColor="text1"/>
          <w:sz w:val="16"/>
          <w:szCs w:val="16"/>
        </w:rPr>
        <w:t xml:space="preserve"> в 1932 году первый полёт прототипа транспортного самолёта-бомбардировщика </w:t>
      </w:r>
      <w:hyperlink r:id="rId56" w:tgtFrame="_blank" w:history="1">
        <w:r w:rsidRPr="00E93F40">
          <w:rPr>
            <w:rFonts w:ascii="Times New Roman" w:hAnsi="Times New Roman"/>
            <w:color w:val="000000" w:themeColor="text1"/>
            <w:sz w:val="16"/>
            <w:szCs w:val="16"/>
          </w:rPr>
          <w:t xml:space="preserve">«TC.33» </w:t>
        </w:r>
      </w:hyperlink>
      <w:r w:rsidRPr="00E93F40">
        <w:rPr>
          <w:rFonts w:ascii="Times New Roman" w:hAnsi="Times New Roman"/>
          <w:color w:val="000000" w:themeColor="text1"/>
          <w:sz w:val="16"/>
          <w:szCs w:val="16"/>
        </w:rPr>
        <w:t>(компания «Gloster», Великобритания). Силовая установка «TC.33» представляла собой два двигателя «Kestrel» «IIIS» установленных в передней части крыла и два "толкающих" «Kestrel» «IIS» - в задней. «ТС.33» мог перевозить до десяти десантников с полной экипировкой или нести до 1624 кг бомб (обычно 14 х 113-кг и 4 х 9-кг бомб). После заводских испытаний самолёт был передан в октябре в исследовательский центр «Martlesham Heath». Полёты в центре затянулись почти на год - до сентября 1933-го, но к этому времени командование RAF уже изменило требования, как к бомбардировщикам, так и к транспортным самолётам (15049).</w:t>
      </w:r>
    </w:p>
    <w:p w14:paraId="7196477D" w14:textId="77777777" w:rsidR="007359D1" w:rsidRPr="00E93F40" w:rsidRDefault="007359D1" w:rsidP="00E93F40">
      <w:pPr>
        <w:spacing w:after="0" w:line="240" w:lineRule="auto"/>
        <w:jc w:val="both"/>
        <w:rPr>
          <w:rFonts w:ascii="Times New Roman" w:hAnsi="Times New Roman"/>
          <w:color w:val="000000" w:themeColor="text1"/>
          <w:sz w:val="16"/>
          <w:szCs w:val="16"/>
        </w:rPr>
      </w:pPr>
    </w:p>
    <w:p w14:paraId="7FBEE4C0" w14:textId="4E7008AE" w:rsidR="002B40D9" w:rsidRPr="00E93F40" w:rsidRDefault="002B40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февраля 1932 года — первый полёт транспортного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Gloster TC.33 Goshawk. /Великобритания/</w:t>
      </w:r>
    </w:p>
    <w:p w14:paraId="595A9408" w14:textId="19C418F8" w:rsidR="002B40D9" w:rsidRPr="00E93F40" w:rsidRDefault="002B40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1924 году британское авиационное министерство выпустило спецификацию C.16/28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транспортный самолёт для перевозки 30 солдат на расстояние 1930 км с возможностью использования и в качестве бомбардировщика. Свой проект TC.33 Goshawk подала на конкурс и компания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Gloster Aircraft.</w:t>
      </w:r>
    </w:p>
    <w:p w14:paraId="02EDE189" w14:textId="4CC547D0" w:rsidR="002B40D9" w:rsidRPr="00E93F40" w:rsidRDefault="002B40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был биплан с неубирающимся шасси и фюзеляжем овального сечения.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Необычным было нижнее крыло типа «обратная чайка» и хвостовое оперение — бипланное с двумя килями. Оснащался 2 × двигателями Rolls-Royce Kestrel IIIS (тянущие) и 2 × Rolls-Royce Kestrel IIS (толкающие), мощностью 580 л.с. каждый. Максимальная скорость — 227 км/ч. Вооружение — 2 × 7,7-мм пулемёта Lewis + до 1624 кг бомб.</w:t>
      </w:r>
    </w:p>
    <w:p w14:paraId="7AF1E416" w14:textId="77777777" w:rsidR="002B40D9" w:rsidRPr="00E93F40" w:rsidRDefault="002B40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показали проблемы самолёта при взлёте с полной нагрузкой. Его признали непригодным для эксплуатации на аэродромах Королевских ВВС. Проект закрыли и TC.33 остался единственным четырёхмоторным самолётом Gloster Aircraft (22300).</w:t>
      </w:r>
    </w:p>
    <w:p w14:paraId="2CC81D5A" w14:textId="77777777" w:rsidR="002B40D9" w:rsidRPr="00E93F40" w:rsidRDefault="002B40D9" w:rsidP="00E93F40">
      <w:pPr>
        <w:spacing w:after="0" w:line="240" w:lineRule="auto"/>
        <w:jc w:val="both"/>
        <w:rPr>
          <w:rFonts w:ascii="Times New Roman" w:hAnsi="Times New Roman"/>
          <w:color w:val="000000" w:themeColor="text1"/>
          <w:sz w:val="16"/>
          <w:szCs w:val="16"/>
        </w:rPr>
      </w:pPr>
    </w:p>
    <w:p w14:paraId="2D416F7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25DDA3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890304"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февраля 1932 г. Комиссия осмотрела тракторы. Затем они прошли обкатку, динамометрирование.</w:t>
      </w:r>
    </w:p>
    <w:p w14:paraId="1445692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февраля 1932 г. на государственные испытания был представлен трактор под маркой КПД («Катерпиллер подольский ди</w:t>
      </w:r>
      <w:r w:rsidRPr="00E93F40">
        <w:rPr>
          <w:rFonts w:ascii="Times New Roman" w:hAnsi="Times New Roman"/>
          <w:color w:val="000000" w:themeColor="text1"/>
          <w:sz w:val="16"/>
          <w:szCs w:val="16"/>
        </w:rPr>
        <w:softHyphen/>
        <w:t>зельный»). Наряду с КПД испытаниям подвер</w:t>
      </w:r>
      <w:r w:rsidRPr="00E93F40">
        <w:rPr>
          <w:rFonts w:ascii="Times New Roman" w:hAnsi="Times New Roman"/>
          <w:color w:val="000000" w:themeColor="text1"/>
          <w:sz w:val="16"/>
          <w:szCs w:val="16"/>
        </w:rPr>
        <w:softHyphen/>
        <w:t>глись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(«Катерпиллер-60») и ряд других тракторов.</w:t>
      </w:r>
    </w:p>
    <w:p w14:paraId="45E0AA14"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Относительно скромные успехи государ</w:t>
      </w:r>
      <w:r w:rsidRPr="00E93F40">
        <w:rPr>
          <w:rFonts w:ascii="Times New Roman" w:hAnsi="Times New Roman"/>
          <w:color w:val="000000" w:themeColor="text1"/>
          <w:sz w:val="16"/>
          <w:szCs w:val="16"/>
        </w:rPr>
        <w:softHyphen/>
        <w:t>ственных НИИ (не случайно основные сведения о работающих на тяжелом топливе моторах были получены на основе данных испытаний зарубеж</w:t>
      </w:r>
      <w:r w:rsidRPr="00E93F40">
        <w:rPr>
          <w:rFonts w:ascii="Times New Roman" w:hAnsi="Times New Roman"/>
          <w:color w:val="000000" w:themeColor="text1"/>
          <w:sz w:val="16"/>
          <w:szCs w:val="16"/>
        </w:rPr>
        <w:softHyphen/>
        <w:t>ной техники или из иностранной литературы) вы</w:t>
      </w:r>
      <w:r w:rsidRPr="00E93F40">
        <w:rPr>
          <w:rFonts w:ascii="Times New Roman" w:hAnsi="Times New Roman"/>
          <w:color w:val="000000" w:themeColor="text1"/>
          <w:sz w:val="16"/>
          <w:szCs w:val="16"/>
        </w:rPr>
        <w:softHyphen/>
        <w:t>нудили изыскивать новые формы организации творческой деятельности. Одной из таких форм организации было создание конструкторских бюро под эгидой ОГПУ. Достаточно хорошо из</w:t>
      </w:r>
      <w:r w:rsidRPr="00E93F40">
        <w:rPr>
          <w:rFonts w:ascii="Times New Roman" w:hAnsi="Times New Roman"/>
          <w:color w:val="000000" w:themeColor="text1"/>
          <w:sz w:val="16"/>
          <w:szCs w:val="16"/>
        </w:rPr>
        <w:softHyphen/>
        <w:t>вестно своими самолетами ОКБ-1 при заводе №39. ОКБ-2 при заводе №24 проектировало серию двигателей ФЭД (Феликс Эдмундович Дзержинский), в частности, в нем был создан 24-цилиндро</w:t>
      </w:r>
      <w:r w:rsidRPr="00E93F40">
        <w:rPr>
          <w:rFonts w:ascii="Times New Roman" w:hAnsi="Times New Roman"/>
          <w:color w:val="000000" w:themeColor="text1"/>
          <w:sz w:val="16"/>
          <w:szCs w:val="16"/>
        </w:rPr>
        <w:softHyphen/>
        <w:t>вый Х-образный дизель со сме</w:t>
      </w:r>
      <w:r w:rsidRPr="00E93F40">
        <w:rPr>
          <w:rFonts w:ascii="Times New Roman" w:hAnsi="Times New Roman"/>
          <w:color w:val="000000" w:themeColor="text1"/>
          <w:sz w:val="16"/>
          <w:szCs w:val="16"/>
        </w:rPr>
        <w:softHyphen/>
        <w:t>шанным кпапанно-щелевым га</w:t>
      </w:r>
      <w:r w:rsidRPr="00E93F40">
        <w:rPr>
          <w:rFonts w:ascii="Times New Roman" w:hAnsi="Times New Roman"/>
          <w:color w:val="000000" w:themeColor="text1"/>
          <w:sz w:val="16"/>
          <w:szCs w:val="16"/>
        </w:rPr>
        <w:softHyphen/>
        <w:t>зораспределением ФЭД-8. Дви</w:t>
      </w:r>
      <w:r w:rsidRPr="00E93F40">
        <w:rPr>
          <w:rFonts w:ascii="Times New Roman" w:hAnsi="Times New Roman"/>
          <w:color w:val="000000" w:themeColor="text1"/>
          <w:sz w:val="16"/>
          <w:szCs w:val="16"/>
        </w:rPr>
        <w:softHyphen/>
        <w:t>гатель ФЭД-8 задумывался как авиационный. За разработку ди</w:t>
      </w:r>
      <w:r w:rsidRPr="00E93F40">
        <w:rPr>
          <w:rFonts w:ascii="Times New Roman" w:hAnsi="Times New Roman"/>
          <w:color w:val="000000" w:themeColor="text1"/>
          <w:sz w:val="16"/>
          <w:szCs w:val="16"/>
        </w:rPr>
        <w:softHyphen/>
        <w:t>зельного двигателя для нужд на</w:t>
      </w:r>
      <w:r w:rsidRPr="00E93F40">
        <w:rPr>
          <w:rFonts w:ascii="Times New Roman" w:hAnsi="Times New Roman"/>
          <w:color w:val="000000" w:themeColor="text1"/>
          <w:sz w:val="16"/>
          <w:szCs w:val="16"/>
        </w:rPr>
        <w:softHyphen/>
        <w:t>земного транспорта взялись в АТТБ ОГПУ. Производственной базой новосозданного КБ стал Подольский завод. Работу КБ ку</w:t>
      </w:r>
      <w:r w:rsidRPr="00E93F40">
        <w:rPr>
          <w:rFonts w:ascii="Times New Roman" w:hAnsi="Times New Roman"/>
          <w:color w:val="000000" w:themeColor="text1"/>
          <w:sz w:val="16"/>
          <w:szCs w:val="16"/>
        </w:rPr>
        <w:softHyphen/>
        <w:t xml:space="preserve">рировали начальник ЭКУ ОГПУ Миронов и начальник </w:t>
      </w:r>
      <w:r w:rsidRPr="00E93F40">
        <w:rPr>
          <w:rFonts w:ascii="Times New Roman" w:hAnsi="Times New Roman"/>
          <w:color w:val="000000" w:themeColor="text1"/>
          <w:sz w:val="16"/>
          <w:szCs w:val="16"/>
        </w:rPr>
        <w:lastRenderedPageBreak/>
        <w:t>Техотдела ОГПУ Горяков.</w:t>
      </w:r>
    </w:p>
    <w:p w14:paraId="56E9AD16"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Конструкторам АТТБ, без сомнения, были известны новейшие немецкие форкамерные транспортные дизели (шестицилиндровый «Даймлер-Бенц», а также четырех- и шестицилиндровые «Дейц»), но к разработке двигателя они подошли творчес</w:t>
      </w:r>
      <w:r w:rsidRPr="00E93F40">
        <w:rPr>
          <w:rFonts w:ascii="Times New Roman" w:hAnsi="Times New Roman"/>
          <w:color w:val="000000" w:themeColor="text1"/>
          <w:sz w:val="16"/>
          <w:szCs w:val="16"/>
        </w:rPr>
        <w:softHyphen/>
        <w:t>ки. Конструкция дизеля «Дейц» была критичес</w:t>
      </w:r>
      <w:r w:rsidRPr="00E93F40">
        <w:rPr>
          <w:rFonts w:ascii="Times New Roman" w:hAnsi="Times New Roman"/>
          <w:color w:val="000000" w:themeColor="text1"/>
          <w:sz w:val="16"/>
          <w:szCs w:val="16"/>
        </w:rPr>
        <w:softHyphen/>
        <w:t>ки рассмотрена и свой выбор инженеры остано</w:t>
      </w:r>
      <w:r w:rsidRPr="00E93F40">
        <w:rPr>
          <w:rFonts w:ascii="Times New Roman" w:hAnsi="Times New Roman"/>
          <w:color w:val="000000" w:themeColor="text1"/>
          <w:sz w:val="16"/>
          <w:szCs w:val="16"/>
        </w:rPr>
        <w:softHyphen/>
        <w:t>вили на трехцилиндровом рядном моторе, кото</w:t>
      </w:r>
      <w:r w:rsidRPr="00E93F40">
        <w:rPr>
          <w:rFonts w:ascii="Times New Roman" w:hAnsi="Times New Roman"/>
          <w:color w:val="000000" w:themeColor="text1"/>
          <w:sz w:val="16"/>
          <w:szCs w:val="16"/>
        </w:rPr>
        <w:softHyphen/>
        <w:t>рый явился вполне самостоятельной конструк</w:t>
      </w:r>
      <w:r w:rsidRPr="00E93F40">
        <w:rPr>
          <w:rFonts w:ascii="Times New Roman" w:hAnsi="Times New Roman"/>
          <w:color w:val="000000" w:themeColor="text1"/>
          <w:sz w:val="16"/>
          <w:szCs w:val="16"/>
        </w:rPr>
        <w:softHyphen/>
        <w:t>цией, а от «Дейц» полностью скопировали толь</w:t>
      </w:r>
      <w:r w:rsidRPr="00E93F40">
        <w:rPr>
          <w:rFonts w:ascii="Times New Roman" w:hAnsi="Times New Roman"/>
          <w:color w:val="000000" w:themeColor="text1"/>
          <w:sz w:val="16"/>
          <w:szCs w:val="16"/>
        </w:rPr>
        <w:softHyphen/>
        <w:t>ко форсунку.</w:t>
      </w:r>
    </w:p>
    <w:p w14:paraId="5DA20D71"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Трехцилиндровый двигатель был относи</w:t>
      </w:r>
      <w:r w:rsidRPr="00E93F40">
        <w:rPr>
          <w:rFonts w:ascii="Times New Roman" w:hAnsi="Times New Roman"/>
          <w:color w:val="000000" w:themeColor="text1"/>
          <w:sz w:val="16"/>
          <w:szCs w:val="16"/>
        </w:rPr>
        <w:softHyphen/>
        <w:t>тельно прост в производстве. Вместе с тем, и двухтактные и четырехтактные трехцилиндро</w:t>
      </w:r>
      <w:r w:rsidRPr="00E93F40">
        <w:rPr>
          <w:rFonts w:ascii="Times New Roman" w:hAnsi="Times New Roman"/>
          <w:color w:val="000000" w:themeColor="text1"/>
          <w:sz w:val="16"/>
          <w:szCs w:val="16"/>
        </w:rPr>
        <w:softHyphen/>
        <w:t>вые двигатели из-за наличия моментов сил инерции поршней и шатунов являлись несба</w:t>
      </w:r>
      <w:r w:rsidRPr="00E93F40">
        <w:rPr>
          <w:rFonts w:ascii="Times New Roman" w:hAnsi="Times New Roman"/>
          <w:color w:val="000000" w:themeColor="text1"/>
          <w:sz w:val="16"/>
          <w:szCs w:val="16"/>
        </w:rPr>
        <w:softHyphen/>
        <w:t>лансированными, что вынуждало дополнитель</w:t>
      </w:r>
      <w:r w:rsidRPr="00E93F40">
        <w:rPr>
          <w:rFonts w:ascii="Times New Roman" w:hAnsi="Times New Roman"/>
          <w:color w:val="000000" w:themeColor="text1"/>
          <w:sz w:val="16"/>
          <w:szCs w:val="16"/>
        </w:rPr>
        <w:softHyphen/>
        <w:t>но усложнять их конструкцию путем введения успокоительного вала для компенсации момен</w:t>
      </w:r>
      <w:r w:rsidRPr="00E93F40">
        <w:rPr>
          <w:rFonts w:ascii="Times New Roman" w:hAnsi="Times New Roman"/>
          <w:color w:val="000000" w:themeColor="text1"/>
          <w:sz w:val="16"/>
          <w:szCs w:val="16"/>
        </w:rPr>
        <w:softHyphen/>
        <w:t>тов 1-го порядка, Наилучшим по плавности хода трехцилиндровым рядным двигателем считался двухтактный.</w:t>
      </w:r>
    </w:p>
    <w:p w14:paraId="2CEA89D5"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моменту организации работ АТТБ ОГПУ было принято принципиальное решение об орга</w:t>
      </w:r>
      <w:r w:rsidRPr="00E93F40">
        <w:rPr>
          <w:rFonts w:ascii="Times New Roman" w:hAnsi="Times New Roman"/>
          <w:color w:val="000000" w:themeColor="text1"/>
          <w:sz w:val="16"/>
          <w:szCs w:val="16"/>
        </w:rPr>
        <w:softHyphen/>
        <w:t>низации в нашей стране производства тракто</w:t>
      </w:r>
      <w:r w:rsidRPr="00E93F40">
        <w:rPr>
          <w:rFonts w:ascii="Times New Roman" w:hAnsi="Times New Roman"/>
          <w:color w:val="000000" w:themeColor="text1"/>
          <w:sz w:val="16"/>
          <w:szCs w:val="16"/>
        </w:rPr>
        <w:softHyphen/>
        <w:t>ров «Катерпиллер» (</w:t>
      </w:r>
      <w:r w:rsidRPr="00E93F40">
        <w:rPr>
          <w:rFonts w:ascii="Times New Roman" w:hAnsi="Times New Roman"/>
          <w:color w:val="000000" w:themeColor="text1"/>
          <w:sz w:val="16"/>
          <w:szCs w:val="16"/>
          <w:lang w:val="en-US"/>
        </w:rPr>
        <w:t>Caterpillar</w:t>
      </w:r>
      <w:r w:rsidRPr="00E93F40">
        <w:rPr>
          <w:rFonts w:ascii="Times New Roman" w:hAnsi="Times New Roman"/>
          <w:color w:val="000000" w:themeColor="text1"/>
          <w:sz w:val="16"/>
          <w:szCs w:val="16"/>
        </w:rPr>
        <w:t>). Первоначально рассматривался трактор «</w:t>
      </w:r>
      <w:r w:rsidRPr="00E93F40">
        <w:rPr>
          <w:rFonts w:ascii="Times New Roman" w:hAnsi="Times New Roman"/>
          <w:color w:val="000000" w:themeColor="text1"/>
          <w:sz w:val="16"/>
          <w:szCs w:val="16"/>
          <w:lang w:val="en-US"/>
        </w:rPr>
        <w:t>Thirty</w:t>
      </w:r>
      <w:r w:rsidRPr="00E93F40">
        <w:rPr>
          <w:rFonts w:ascii="Times New Roman" w:hAnsi="Times New Roman"/>
          <w:color w:val="000000" w:themeColor="text1"/>
          <w:sz w:val="16"/>
          <w:szCs w:val="16"/>
        </w:rPr>
        <w:t>», однако по</w:t>
      </w:r>
      <w:r w:rsidRPr="00E93F40">
        <w:rPr>
          <w:rFonts w:ascii="Times New Roman" w:hAnsi="Times New Roman"/>
          <w:color w:val="000000" w:themeColor="text1"/>
          <w:sz w:val="16"/>
          <w:szCs w:val="16"/>
        </w:rPr>
        <w:softHyphen/>
        <w:t>зднее выбор остановили на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Фирма «Ка</w:t>
      </w:r>
      <w:r w:rsidRPr="00E93F40">
        <w:rPr>
          <w:rFonts w:ascii="Times New Roman" w:hAnsi="Times New Roman"/>
          <w:color w:val="000000" w:themeColor="text1"/>
          <w:sz w:val="16"/>
          <w:szCs w:val="16"/>
        </w:rPr>
        <w:softHyphen/>
        <w:t>терпиллер» относилась к числу мировых лиде</w:t>
      </w:r>
      <w:r w:rsidRPr="00E93F40">
        <w:rPr>
          <w:rFonts w:ascii="Times New Roman" w:hAnsi="Times New Roman"/>
          <w:color w:val="000000" w:themeColor="text1"/>
          <w:sz w:val="16"/>
          <w:szCs w:val="16"/>
        </w:rPr>
        <w:softHyphen/>
        <w:t xml:space="preserve">ров в производстве тракторов,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считал</w:t>
      </w:r>
      <w:r w:rsidRPr="00E93F40">
        <w:rPr>
          <w:rFonts w:ascii="Times New Roman" w:hAnsi="Times New Roman"/>
          <w:color w:val="000000" w:themeColor="text1"/>
          <w:sz w:val="16"/>
          <w:szCs w:val="16"/>
        </w:rPr>
        <w:softHyphen/>
        <w:t>ся одной из наиболее совершенных моделей гу</w:t>
      </w:r>
      <w:r w:rsidRPr="00E93F40">
        <w:rPr>
          <w:rFonts w:ascii="Times New Roman" w:hAnsi="Times New Roman"/>
          <w:color w:val="000000" w:themeColor="text1"/>
          <w:sz w:val="16"/>
          <w:szCs w:val="16"/>
        </w:rPr>
        <w:softHyphen/>
        <w:t>сеничного трактора конца 1920-х гг. Вместе с тем, этот трактор проектировался как народно</w:t>
      </w:r>
      <w:r w:rsidRPr="00E93F40">
        <w:rPr>
          <w:rFonts w:ascii="Times New Roman" w:hAnsi="Times New Roman"/>
          <w:color w:val="000000" w:themeColor="text1"/>
          <w:sz w:val="16"/>
          <w:szCs w:val="16"/>
        </w:rPr>
        <w:softHyphen/>
        <w:t>хозяйственный, а не специальный военный бы</w:t>
      </w:r>
      <w:r w:rsidRPr="00E93F40">
        <w:rPr>
          <w:rFonts w:ascii="Times New Roman" w:hAnsi="Times New Roman"/>
          <w:color w:val="000000" w:themeColor="text1"/>
          <w:sz w:val="16"/>
          <w:szCs w:val="16"/>
        </w:rPr>
        <w:softHyphen/>
        <w:t>строходный, поэтому он имел сравнительно низ</w:t>
      </w:r>
      <w:r w:rsidRPr="00E93F40">
        <w:rPr>
          <w:rFonts w:ascii="Times New Roman" w:hAnsi="Times New Roman"/>
          <w:color w:val="000000" w:themeColor="text1"/>
          <w:sz w:val="16"/>
          <w:szCs w:val="16"/>
        </w:rPr>
        <w:softHyphen/>
        <w:t>кие скорости движения. Одной из возможностей повышения скоростей движения было измене</w:t>
      </w:r>
      <w:r w:rsidRPr="00E93F40">
        <w:rPr>
          <w:rFonts w:ascii="Times New Roman" w:hAnsi="Times New Roman"/>
          <w:color w:val="000000" w:themeColor="text1"/>
          <w:sz w:val="16"/>
          <w:szCs w:val="16"/>
        </w:rPr>
        <w:softHyphen/>
        <w:t>ние передаточных чисел в трансмиссии. Однако с ростом скорости трактора неизбежно снижа</w:t>
      </w:r>
      <w:r w:rsidRPr="00E93F40">
        <w:rPr>
          <w:rFonts w:ascii="Times New Roman" w:hAnsi="Times New Roman"/>
          <w:color w:val="000000" w:themeColor="text1"/>
          <w:sz w:val="16"/>
          <w:szCs w:val="16"/>
        </w:rPr>
        <w:softHyphen/>
        <w:t>лось тяговое усилие.</w:t>
      </w:r>
    </w:p>
    <w:p w14:paraId="3CB68BCB"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Изменение скорости буксировки за счет пе</w:t>
      </w:r>
      <w:r w:rsidRPr="00E93F40">
        <w:rPr>
          <w:rFonts w:ascii="Times New Roman" w:hAnsi="Times New Roman"/>
          <w:color w:val="000000" w:themeColor="text1"/>
          <w:sz w:val="16"/>
          <w:szCs w:val="16"/>
        </w:rPr>
        <w:softHyphen/>
        <w:t>ремены тягового усилия могло быть реализова</w:t>
      </w:r>
      <w:r w:rsidRPr="00E93F40">
        <w:rPr>
          <w:rFonts w:ascii="Times New Roman" w:hAnsi="Times New Roman"/>
          <w:color w:val="000000" w:themeColor="text1"/>
          <w:sz w:val="16"/>
          <w:szCs w:val="16"/>
        </w:rPr>
        <w:softHyphen/>
        <w:t>но путем модернизации коробки скоростей или введения дополнительного устройства — муль</w:t>
      </w:r>
      <w:r w:rsidRPr="00E93F40">
        <w:rPr>
          <w:rFonts w:ascii="Times New Roman" w:hAnsi="Times New Roman"/>
          <w:color w:val="000000" w:themeColor="text1"/>
          <w:sz w:val="16"/>
          <w:szCs w:val="16"/>
        </w:rPr>
        <w:softHyphen/>
        <w:t>типликатора или демультипликатора. Вероятно, впервые такая возможность повышения скоро</w:t>
      </w:r>
      <w:r w:rsidRPr="00E93F40">
        <w:rPr>
          <w:rFonts w:ascii="Times New Roman" w:hAnsi="Times New Roman"/>
          <w:color w:val="000000" w:themeColor="text1"/>
          <w:sz w:val="16"/>
          <w:szCs w:val="16"/>
        </w:rPr>
        <w:softHyphen/>
        <w:t>сти артиллерийского трактора рассматривалась на заседании «Кометы» в 1922 г. при обсужде</w:t>
      </w:r>
      <w:r w:rsidRPr="00E93F40">
        <w:rPr>
          <w:rFonts w:ascii="Times New Roman" w:hAnsi="Times New Roman"/>
          <w:color w:val="000000" w:themeColor="text1"/>
          <w:sz w:val="16"/>
          <w:szCs w:val="16"/>
        </w:rPr>
        <w:softHyphen/>
        <w:t>нии заказа Обуховскому заводу («Большевик») на тракторы Холт 75НР. Однако в то время про</w:t>
      </w:r>
      <w:r w:rsidRPr="00E93F40">
        <w:rPr>
          <w:rFonts w:ascii="Times New Roman" w:hAnsi="Times New Roman"/>
          <w:color w:val="000000" w:themeColor="text1"/>
          <w:sz w:val="16"/>
          <w:szCs w:val="16"/>
        </w:rPr>
        <w:softHyphen/>
        <w:t>блему быстроходности (повышения максималь</w:t>
      </w:r>
      <w:r w:rsidRPr="00E93F40">
        <w:rPr>
          <w:rFonts w:ascii="Times New Roman" w:hAnsi="Times New Roman"/>
          <w:color w:val="000000" w:themeColor="text1"/>
          <w:sz w:val="16"/>
          <w:szCs w:val="16"/>
        </w:rPr>
        <w:softHyphen/>
        <w:t>ной скорости с примерно 3,5 до почти 5 верст в час) завод успешно решил за счет улучшения ка</w:t>
      </w:r>
      <w:r w:rsidRPr="00E93F40">
        <w:rPr>
          <w:rFonts w:ascii="Times New Roman" w:hAnsi="Times New Roman"/>
          <w:color w:val="000000" w:themeColor="text1"/>
          <w:sz w:val="16"/>
          <w:szCs w:val="16"/>
        </w:rPr>
        <w:softHyphen/>
        <w:t>чества и точности изготовления узлов и повы</w:t>
      </w:r>
      <w:r w:rsidRPr="00E93F40">
        <w:rPr>
          <w:rFonts w:ascii="Times New Roman" w:hAnsi="Times New Roman"/>
          <w:color w:val="000000" w:themeColor="text1"/>
          <w:sz w:val="16"/>
          <w:szCs w:val="16"/>
        </w:rPr>
        <w:softHyphen/>
        <w:t>шения мощности двигателя с фактических 60 до 75 заявленных лошадиных сил.</w:t>
      </w:r>
    </w:p>
    <w:p w14:paraId="421DB54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модернизации тракторов «Коммунар» этот принцип был реализован в разработке «ско</w:t>
      </w:r>
      <w:r w:rsidRPr="00E93F40">
        <w:rPr>
          <w:rFonts w:ascii="Times New Roman" w:hAnsi="Times New Roman"/>
          <w:color w:val="000000" w:themeColor="text1"/>
          <w:sz w:val="16"/>
          <w:szCs w:val="16"/>
        </w:rPr>
        <w:softHyphen/>
        <w:t>ростной» (разумеется, относительно) модифи</w:t>
      </w:r>
      <w:r w:rsidRPr="00E93F40">
        <w:rPr>
          <w:rFonts w:ascii="Times New Roman" w:hAnsi="Times New Roman"/>
          <w:color w:val="000000" w:themeColor="text1"/>
          <w:sz w:val="16"/>
          <w:szCs w:val="16"/>
        </w:rPr>
        <w:softHyphen/>
        <w:t>кации 9ЕУ и более «тяговой» модификации 9А. В дальнейшем новшества были внедрены комп</w:t>
      </w:r>
      <w:r w:rsidRPr="00E93F40">
        <w:rPr>
          <w:rFonts w:ascii="Times New Roman" w:hAnsi="Times New Roman"/>
          <w:color w:val="000000" w:themeColor="text1"/>
          <w:sz w:val="16"/>
          <w:szCs w:val="16"/>
        </w:rPr>
        <w:softHyphen/>
        <w:t>лексно в наиболее совершенной модели 3-90, оснащенной мощным двигателем, что позволи</w:t>
      </w:r>
      <w:r w:rsidRPr="00E93F40">
        <w:rPr>
          <w:rFonts w:ascii="Times New Roman" w:hAnsi="Times New Roman"/>
          <w:color w:val="000000" w:themeColor="text1"/>
          <w:sz w:val="16"/>
          <w:szCs w:val="16"/>
        </w:rPr>
        <w:softHyphen/>
        <w:t>ло получить трактор с удовлетворительными тя</w:t>
      </w:r>
      <w:r w:rsidRPr="00E93F40">
        <w:rPr>
          <w:rFonts w:ascii="Times New Roman" w:hAnsi="Times New Roman"/>
          <w:color w:val="000000" w:themeColor="text1"/>
          <w:sz w:val="16"/>
          <w:szCs w:val="16"/>
        </w:rPr>
        <w:softHyphen/>
        <w:t>говыми и скоростными показателями.</w:t>
      </w:r>
    </w:p>
    <w:p w14:paraId="08C11A8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одним своеобразным недостатком трактора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являлось использование доро</w:t>
      </w:r>
      <w:r w:rsidRPr="00E93F40">
        <w:rPr>
          <w:rFonts w:ascii="Times New Roman" w:hAnsi="Times New Roman"/>
          <w:color w:val="000000" w:themeColor="text1"/>
          <w:sz w:val="16"/>
          <w:szCs w:val="16"/>
        </w:rPr>
        <w:softHyphen/>
        <w:t>гого легкого топлива. Создание мощного ди</w:t>
      </w:r>
      <w:r w:rsidRPr="00E93F40">
        <w:rPr>
          <w:rFonts w:ascii="Times New Roman" w:hAnsi="Times New Roman"/>
          <w:color w:val="000000" w:themeColor="text1"/>
          <w:sz w:val="16"/>
          <w:szCs w:val="16"/>
        </w:rPr>
        <w:softHyphen/>
        <w:t>зеля призвано было разрешить обе проблемы сразу.</w:t>
      </w:r>
    </w:p>
    <w:p w14:paraId="732442F3"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Другим важным аспектом при освоении но</w:t>
      </w:r>
      <w:r w:rsidRPr="00E93F40">
        <w:rPr>
          <w:rFonts w:ascii="Times New Roman" w:hAnsi="Times New Roman"/>
          <w:color w:val="000000" w:themeColor="text1"/>
          <w:sz w:val="16"/>
          <w:szCs w:val="16"/>
        </w:rPr>
        <w:softHyphen/>
        <w:t>вых образцов вооружений (а трактор рассмат</w:t>
      </w:r>
      <w:r w:rsidRPr="00E93F40">
        <w:rPr>
          <w:rFonts w:ascii="Times New Roman" w:hAnsi="Times New Roman"/>
          <w:color w:val="000000" w:themeColor="text1"/>
          <w:sz w:val="16"/>
          <w:szCs w:val="16"/>
        </w:rPr>
        <w:softHyphen/>
        <w:t>ривался в первую очередь как быстроходный военный) является существенная материальная нагрузка на народное хозяйство, поэтому важ</w:t>
      </w:r>
      <w:r w:rsidRPr="00E93F40">
        <w:rPr>
          <w:rFonts w:ascii="Times New Roman" w:hAnsi="Times New Roman"/>
          <w:color w:val="000000" w:themeColor="text1"/>
          <w:sz w:val="16"/>
          <w:szCs w:val="16"/>
        </w:rPr>
        <w:softHyphen/>
        <w:t>ным фактором стала мобилизационная готов</w:t>
      </w:r>
      <w:r w:rsidRPr="00E93F40">
        <w:rPr>
          <w:rFonts w:ascii="Times New Roman" w:hAnsi="Times New Roman"/>
          <w:color w:val="000000" w:themeColor="text1"/>
          <w:sz w:val="16"/>
          <w:szCs w:val="16"/>
        </w:rPr>
        <w:softHyphen/>
        <w:t>ность государства—перевести экономику на во</w:t>
      </w:r>
      <w:r w:rsidRPr="00E93F40">
        <w:rPr>
          <w:rFonts w:ascii="Times New Roman" w:hAnsi="Times New Roman"/>
          <w:color w:val="000000" w:themeColor="text1"/>
          <w:sz w:val="16"/>
          <w:szCs w:val="16"/>
        </w:rPr>
        <w:softHyphen/>
        <w:t>енные рельсы с минимальными издержками. Создание на основе предполагавшегося к осво</w:t>
      </w:r>
      <w:r w:rsidRPr="00E93F40">
        <w:rPr>
          <w:rFonts w:ascii="Times New Roman" w:hAnsi="Times New Roman"/>
          <w:color w:val="000000" w:themeColor="text1"/>
          <w:sz w:val="16"/>
          <w:szCs w:val="16"/>
        </w:rPr>
        <w:softHyphen/>
        <w:t>ению массового трактора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армейского тягача виделось чрезвычайно заманчивым.</w:t>
      </w:r>
    </w:p>
    <w:p w14:paraId="5129592A"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Решить в кратчайшие сроки комплекс этих крайне непростых задач и должен был коллек</w:t>
      </w:r>
      <w:r w:rsidRPr="00E93F40">
        <w:rPr>
          <w:rFonts w:ascii="Times New Roman" w:hAnsi="Times New Roman"/>
          <w:color w:val="000000" w:themeColor="text1"/>
          <w:sz w:val="16"/>
          <w:szCs w:val="16"/>
        </w:rPr>
        <w:softHyphen/>
        <w:t>тив АТТБ.</w:t>
      </w:r>
    </w:p>
    <w:p w14:paraId="3A4E87E2"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менее чем через год после выхода по</w:t>
      </w:r>
      <w:r w:rsidRPr="00E93F40">
        <w:rPr>
          <w:rFonts w:ascii="Times New Roman" w:hAnsi="Times New Roman"/>
          <w:color w:val="000000" w:themeColor="text1"/>
          <w:sz w:val="16"/>
          <w:szCs w:val="16"/>
        </w:rPr>
        <w:softHyphen/>
        <w:t>становления ПБ ЦК Миронов и Горяков доклады</w:t>
      </w:r>
      <w:r w:rsidRPr="00E93F40">
        <w:rPr>
          <w:rFonts w:ascii="Times New Roman" w:hAnsi="Times New Roman"/>
          <w:color w:val="000000" w:themeColor="text1"/>
          <w:sz w:val="16"/>
          <w:szCs w:val="16"/>
        </w:rPr>
        <w:softHyphen/>
        <w:t>вали о проделанной в развитие решения Партии работе и об успехах курируемого ими конструк</w:t>
      </w:r>
      <w:r w:rsidRPr="00E93F40">
        <w:rPr>
          <w:rFonts w:ascii="Times New Roman" w:hAnsi="Times New Roman"/>
          <w:color w:val="000000" w:themeColor="text1"/>
          <w:sz w:val="16"/>
          <w:szCs w:val="16"/>
        </w:rPr>
        <w:softHyphen/>
        <w:t>торского коллектива:</w:t>
      </w:r>
    </w:p>
    <w:p w14:paraId="71BFCAF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«Забронирован и вооружен пулеметом ДТ трактор«Катерпиллер».</w:t>
      </w:r>
    </w:p>
    <w:p w14:paraId="65D9FB6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Толщина брони: лоб, передок 6 мм,</w:t>
      </w:r>
    </w:p>
    <w:p w14:paraId="768DCB7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Верх 4 мм</w:t>
      </w:r>
    </w:p>
    <w:p w14:paraId="38C3B7E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Защита мотора 3 мм</w:t>
      </w:r>
    </w:p>
    <w:p w14:paraId="4771DAD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Количество патронов 1260 шт.</w:t>
      </w:r>
    </w:p>
    <w:p w14:paraId="75E4B14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На трактор поставлен работающий на нефти двухтактный бескомпрессорный дизель соб</w:t>
      </w:r>
      <w:r w:rsidRPr="00E93F40">
        <w:rPr>
          <w:rFonts w:ascii="Times New Roman" w:hAnsi="Times New Roman"/>
          <w:iCs/>
          <w:color w:val="000000" w:themeColor="text1"/>
          <w:sz w:val="16"/>
          <w:szCs w:val="16"/>
        </w:rPr>
        <w:softHyphen/>
        <w:t>ственной конструкции, вместо американского газолинового двигателя, чем достигается боль</w:t>
      </w:r>
      <w:r w:rsidRPr="00E93F40">
        <w:rPr>
          <w:rFonts w:ascii="Times New Roman" w:hAnsi="Times New Roman"/>
          <w:iCs/>
          <w:color w:val="000000" w:themeColor="text1"/>
          <w:sz w:val="16"/>
          <w:szCs w:val="16"/>
        </w:rPr>
        <w:softHyphen/>
        <w:t>шая экономия и по ценности и по его расходу/ 212-222 гр на силу час вместо</w:t>
      </w:r>
      <w:r w:rsidRPr="00E93F40">
        <w:rPr>
          <w:rFonts w:ascii="Times New Roman" w:hAnsi="Times New Roman"/>
          <w:color w:val="000000" w:themeColor="text1"/>
          <w:sz w:val="16"/>
          <w:szCs w:val="16"/>
        </w:rPr>
        <w:t xml:space="preserve"> 330-360</w:t>
      </w:r>
      <w:r w:rsidRPr="00E93F40">
        <w:rPr>
          <w:rFonts w:ascii="Times New Roman" w:hAnsi="Times New Roman"/>
          <w:iCs/>
          <w:color w:val="000000" w:themeColor="text1"/>
          <w:sz w:val="16"/>
          <w:szCs w:val="16"/>
        </w:rPr>
        <w:t xml:space="preserve"> гр га</w:t>
      </w:r>
      <w:r w:rsidRPr="00E93F40">
        <w:rPr>
          <w:rFonts w:ascii="Times New Roman" w:hAnsi="Times New Roman"/>
          <w:iCs/>
          <w:color w:val="000000" w:themeColor="text1"/>
          <w:sz w:val="16"/>
          <w:szCs w:val="16"/>
        </w:rPr>
        <w:softHyphen/>
        <w:t>золина/.</w:t>
      </w:r>
    </w:p>
    <w:p w14:paraId="617309A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Трактор снабжен дополнительной коробкой скоростей/мультпликагор/, дающей возможность увеличить скорость</w:t>
      </w:r>
      <w:r w:rsidRPr="00E93F40">
        <w:rPr>
          <w:rFonts w:ascii="Times New Roman" w:hAnsi="Times New Roman"/>
          <w:color w:val="000000" w:themeColor="text1"/>
          <w:sz w:val="16"/>
          <w:szCs w:val="16"/>
        </w:rPr>
        <w:t xml:space="preserve"> егодаижениядо</w:t>
      </w:r>
      <w:r w:rsidRPr="00E93F40">
        <w:rPr>
          <w:rFonts w:ascii="Times New Roman" w:hAnsi="Times New Roman"/>
          <w:iCs/>
          <w:color w:val="000000" w:themeColor="text1"/>
          <w:sz w:val="16"/>
          <w:szCs w:val="16"/>
        </w:rPr>
        <w:t xml:space="preserve"> 13,3 км/ч вме</w:t>
      </w:r>
      <w:r w:rsidRPr="00E93F40">
        <w:rPr>
          <w:rFonts w:ascii="Times New Roman" w:hAnsi="Times New Roman"/>
          <w:iCs/>
          <w:color w:val="000000" w:themeColor="text1"/>
          <w:sz w:val="16"/>
          <w:szCs w:val="16"/>
        </w:rPr>
        <w:softHyphen/>
        <w:t>сто 5,9 клм</w:t>
      </w:r>
      <w:r w:rsidRPr="00E93F40">
        <w:rPr>
          <w:rFonts w:ascii="Times New Roman" w:hAnsi="Times New Roman"/>
          <w:color w:val="000000" w:themeColor="text1"/>
          <w:sz w:val="16"/>
          <w:szCs w:val="16"/>
        </w:rPr>
        <w:t xml:space="preserve"> у</w:t>
      </w:r>
      <w:r w:rsidRPr="00E93F40">
        <w:rPr>
          <w:rFonts w:ascii="Times New Roman" w:hAnsi="Times New Roman"/>
          <w:iCs/>
          <w:color w:val="000000" w:themeColor="text1"/>
          <w:sz w:val="16"/>
          <w:szCs w:val="16"/>
        </w:rPr>
        <w:t xml:space="preserve"> Американского образца. Гусеница трактора облегчена весом, изготовлена из стали повышенного качества. Запроектирован вариант </w:t>
      </w:r>
      <w:r w:rsidRPr="00E93F40">
        <w:rPr>
          <w:rFonts w:ascii="Times New Roman" w:hAnsi="Times New Roman"/>
          <w:color w:val="000000" w:themeColor="text1"/>
          <w:sz w:val="16"/>
          <w:szCs w:val="16"/>
        </w:rPr>
        <w:t>гусеницы на</w:t>
      </w:r>
      <w:r w:rsidRPr="00E93F40">
        <w:rPr>
          <w:rFonts w:ascii="Times New Roman" w:hAnsi="Times New Roman"/>
          <w:iCs/>
          <w:color w:val="000000" w:themeColor="text1"/>
          <w:sz w:val="16"/>
          <w:szCs w:val="16"/>
        </w:rPr>
        <w:t xml:space="preserve"> подрезиненных плицах.</w:t>
      </w:r>
    </w:p>
    <w:p w14:paraId="154713E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Таким образом, трактор мобилизационно может быть превращен в забронированный и вооруженный тягач с повышенными скоростями движения».</w:t>
      </w:r>
    </w:p>
    <w:p w14:paraId="62D46262"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ходе заводских испытаний, завершенных к зиме 1931—1932 гг., от облегченной гусеницы отказались, отдав предпочтение оригинальной гусенице, заимствованной от трактора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w:t>
      </w:r>
    </w:p>
    <w:p w14:paraId="08CF2A0A"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были призваны выявитьтип трак</w:t>
      </w:r>
      <w:r w:rsidRPr="00E93F40">
        <w:rPr>
          <w:rFonts w:ascii="Times New Roman" w:hAnsi="Times New Roman"/>
          <w:color w:val="000000" w:themeColor="text1"/>
          <w:sz w:val="16"/>
          <w:szCs w:val="16"/>
        </w:rPr>
        <w:softHyphen/>
        <w:t>тора, пригодный для возки артиллерийских си</w:t>
      </w:r>
      <w:r w:rsidRPr="00E93F40">
        <w:rPr>
          <w:rFonts w:ascii="Times New Roman" w:hAnsi="Times New Roman"/>
          <w:color w:val="000000" w:themeColor="text1"/>
          <w:sz w:val="16"/>
          <w:szCs w:val="16"/>
        </w:rPr>
        <w:softHyphen/>
        <w:t>стем и других военных грузов. Тракторы оцени</w:t>
      </w:r>
      <w:r w:rsidRPr="00E93F40">
        <w:rPr>
          <w:rFonts w:ascii="Times New Roman" w:hAnsi="Times New Roman"/>
          <w:color w:val="000000" w:themeColor="text1"/>
          <w:sz w:val="16"/>
          <w:szCs w:val="16"/>
        </w:rPr>
        <w:softHyphen/>
        <w:t>вались по простоте обслуживания, экономично</w:t>
      </w:r>
      <w:r w:rsidRPr="00E93F40">
        <w:rPr>
          <w:rFonts w:ascii="Times New Roman" w:hAnsi="Times New Roman"/>
          <w:color w:val="000000" w:themeColor="text1"/>
          <w:sz w:val="16"/>
          <w:szCs w:val="16"/>
        </w:rPr>
        <w:softHyphen/>
        <w:t>сти, прочности конструкции и ряду иных пара</w:t>
      </w:r>
      <w:r w:rsidRPr="00E93F40">
        <w:rPr>
          <w:rFonts w:ascii="Times New Roman" w:hAnsi="Times New Roman"/>
          <w:color w:val="000000" w:themeColor="text1"/>
          <w:sz w:val="16"/>
          <w:szCs w:val="16"/>
        </w:rPr>
        <w:softHyphen/>
        <w:t>метров, в частности, определялись«</w:t>
      </w:r>
      <w:r w:rsidRPr="00E93F40">
        <w:rPr>
          <w:rFonts w:ascii="Times New Roman" w:hAnsi="Times New Roman"/>
          <w:iCs/>
          <w:color w:val="000000" w:themeColor="text1"/>
          <w:sz w:val="16"/>
          <w:szCs w:val="16"/>
        </w:rPr>
        <w:t xml:space="preserve">удобства обращения и легкости, как мастерского, так и </w:t>
      </w:r>
      <w:r w:rsidRPr="00E93F40">
        <w:rPr>
          <w:rFonts w:ascii="Times New Roman" w:hAnsi="Times New Roman"/>
          <w:color w:val="000000" w:themeColor="text1"/>
          <w:sz w:val="16"/>
          <w:szCs w:val="16"/>
        </w:rPr>
        <w:t>особенно полевого</w:t>
      </w:r>
      <w:r w:rsidRPr="00E93F40">
        <w:rPr>
          <w:rFonts w:ascii="Times New Roman" w:hAnsi="Times New Roman"/>
          <w:iCs/>
          <w:color w:val="000000" w:themeColor="text1"/>
          <w:sz w:val="16"/>
          <w:szCs w:val="16"/>
        </w:rPr>
        <w:t xml:space="preserve"> ремонта - смена наиболее жизненных и страдающих частей».</w:t>
      </w:r>
    </w:p>
    <w:p w14:paraId="0E8C6C58"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с 1 по 16 марта состоя</w:t>
      </w:r>
      <w:r w:rsidRPr="00E93F40">
        <w:rPr>
          <w:rFonts w:ascii="Times New Roman" w:hAnsi="Times New Roman"/>
          <w:color w:val="000000" w:themeColor="text1"/>
          <w:sz w:val="16"/>
          <w:szCs w:val="16"/>
        </w:rPr>
        <w:softHyphen/>
        <w:t>лись пробеги протяженностью до 300 км по шос</w:t>
      </w:r>
      <w:r w:rsidRPr="00E93F40">
        <w:rPr>
          <w:rFonts w:ascii="Times New Roman" w:hAnsi="Times New Roman"/>
          <w:color w:val="000000" w:themeColor="text1"/>
          <w:sz w:val="16"/>
          <w:szCs w:val="16"/>
        </w:rPr>
        <w:softHyphen/>
        <w:t>се и 50 км по грунтовым дорогам, снежной це</w:t>
      </w:r>
      <w:r w:rsidRPr="00E93F40">
        <w:rPr>
          <w:rFonts w:ascii="Times New Roman" w:hAnsi="Times New Roman"/>
          <w:color w:val="000000" w:themeColor="text1"/>
          <w:sz w:val="16"/>
          <w:szCs w:val="16"/>
        </w:rPr>
        <w:softHyphen/>
        <w:t>лине ближнего Подмосковья в районе деревни Черной и по Хорошевскому шоссе (сейчас это уже в черте города).</w:t>
      </w:r>
    </w:p>
    <w:p w14:paraId="3C2533FA"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Тракторы выводились на испытания с поез</w:t>
      </w:r>
      <w:r w:rsidRPr="00E93F40">
        <w:rPr>
          <w:rFonts w:ascii="Times New Roman" w:hAnsi="Times New Roman"/>
          <w:color w:val="000000" w:themeColor="text1"/>
          <w:sz w:val="16"/>
          <w:szCs w:val="16"/>
        </w:rPr>
        <w:softHyphen/>
        <w:t>дами в составе 203-мм гаубицы М-6, 152-мм мортиры с передком, 76-мм зенитной пушки, а также пары повозок П-26.</w:t>
      </w:r>
    </w:p>
    <w:p w14:paraId="7A47C6A6"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2E9CBD6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движении на малых скоростях все по</w:t>
      </w:r>
      <w:r w:rsidRPr="00E93F40">
        <w:rPr>
          <w:rFonts w:ascii="Times New Roman" w:hAnsi="Times New Roman"/>
          <w:color w:val="000000" w:themeColor="text1"/>
          <w:sz w:val="16"/>
          <w:szCs w:val="16"/>
        </w:rPr>
        <w:softHyphen/>
        <w:t>езда двигались без затруднений. С ростом ско</w:t>
      </w:r>
      <w:r w:rsidRPr="00E93F40">
        <w:rPr>
          <w:rFonts w:ascii="Times New Roman" w:hAnsi="Times New Roman"/>
          <w:color w:val="000000" w:themeColor="text1"/>
          <w:sz w:val="16"/>
          <w:szCs w:val="16"/>
        </w:rPr>
        <w:softHyphen/>
        <w:t>рости буксировки до 8—10 км/ч наблюдалось виляние (занос) поезда. С повышением скоро</w:t>
      </w:r>
      <w:r w:rsidRPr="00E93F40">
        <w:rPr>
          <w:rFonts w:ascii="Times New Roman" w:hAnsi="Times New Roman"/>
          <w:color w:val="000000" w:themeColor="text1"/>
          <w:sz w:val="16"/>
          <w:szCs w:val="16"/>
        </w:rPr>
        <w:softHyphen/>
        <w:t>сти до 16 км/ч виляние прицепов становилось очень сильным,«</w:t>
      </w:r>
      <w:r w:rsidRPr="00E93F40">
        <w:rPr>
          <w:rFonts w:ascii="Times New Roman" w:hAnsi="Times New Roman"/>
          <w:iCs/>
          <w:color w:val="000000" w:themeColor="text1"/>
          <w:sz w:val="16"/>
          <w:szCs w:val="16"/>
        </w:rPr>
        <w:t>угрожая возможностью зака</w:t>
      </w:r>
      <w:r w:rsidRPr="00E93F40">
        <w:rPr>
          <w:rFonts w:ascii="Times New Roman" w:hAnsi="Times New Roman"/>
          <w:iCs/>
          <w:color w:val="000000" w:themeColor="text1"/>
          <w:sz w:val="16"/>
          <w:szCs w:val="16"/>
        </w:rPr>
        <w:softHyphen/>
        <w:t>титься в канаву или задеть за встречный эки</w:t>
      </w:r>
      <w:r w:rsidRPr="00E93F40">
        <w:rPr>
          <w:rFonts w:ascii="Times New Roman" w:hAnsi="Times New Roman"/>
          <w:iCs/>
          <w:color w:val="000000" w:themeColor="text1"/>
          <w:sz w:val="16"/>
          <w:szCs w:val="16"/>
        </w:rPr>
        <w:softHyphen/>
        <w:t>паж задней прицепкой".</w:t>
      </w:r>
      <w:r w:rsidRPr="00E93F40">
        <w:rPr>
          <w:rFonts w:ascii="Times New Roman" w:hAnsi="Times New Roman"/>
          <w:color w:val="000000" w:themeColor="text1"/>
          <w:sz w:val="16"/>
          <w:szCs w:val="16"/>
        </w:rPr>
        <w:t xml:space="preserve"> Во время очередного скоростного заезда трактор КПД сьехал с до</w:t>
      </w:r>
      <w:r w:rsidRPr="00E93F40">
        <w:rPr>
          <w:rFonts w:ascii="Times New Roman" w:hAnsi="Times New Roman"/>
          <w:color w:val="000000" w:themeColor="text1"/>
          <w:sz w:val="16"/>
          <w:szCs w:val="16"/>
        </w:rPr>
        <w:softHyphen/>
        <w:t>роги под откос, и его пришлось извлекать при помощи «Коммунара».</w:t>
      </w:r>
    </w:p>
    <w:p w14:paraId="4E1BC07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По итогам испытаний военные констатирова</w:t>
      </w:r>
      <w:r w:rsidRPr="00E93F40">
        <w:rPr>
          <w:rFonts w:ascii="Times New Roman" w:hAnsi="Times New Roman"/>
          <w:color w:val="000000" w:themeColor="text1"/>
          <w:sz w:val="16"/>
          <w:szCs w:val="16"/>
        </w:rPr>
        <w:softHyphen/>
        <w:t>ли:</w:t>
      </w:r>
      <w:r w:rsidRPr="00E93F40">
        <w:rPr>
          <w:rFonts w:ascii="Times New Roman" w:hAnsi="Times New Roman"/>
          <w:iCs/>
          <w:color w:val="000000" w:themeColor="text1"/>
          <w:sz w:val="16"/>
          <w:szCs w:val="16"/>
        </w:rPr>
        <w:t xml:space="preserve"> «Трактор Катерпиллер-60 прочен и прост, удо</w:t>
      </w:r>
      <w:r w:rsidRPr="00E93F40">
        <w:rPr>
          <w:rFonts w:ascii="Times New Roman" w:hAnsi="Times New Roman"/>
          <w:iCs/>
          <w:color w:val="000000" w:themeColor="text1"/>
          <w:sz w:val="16"/>
          <w:szCs w:val="16"/>
        </w:rPr>
        <w:softHyphen/>
        <w:t>бен в обращении. Исключительно надежно рабо</w:t>
      </w:r>
      <w:r w:rsidRPr="00E93F40">
        <w:rPr>
          <w:rFonts w:ascii="Times New Roman" w:hAnsi="Times New Roman"/>
          <w:iCs/>
          <w:color w:val="000000" w:themeColor="text1"/>
          <w:sz w:val="16"/>
          <w:szCs w:val="16"/>
        </w:rPr>
        <w:softHyphen/>
        <w:t>тает мотор в различных условиях, независимо от продолжительности беспрерывной работы».</w:t>
      </w:r>
    </w:p>
    <w:p w14:paraId="19B33BBF"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числе недостатков трактора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были отмечены: скорость не выше 5,9 км/ч, громозд</w:t>
      </w:r>
      <w:r w:rsidRPr="00E93F40">
        <w:rPr>
          <w:rFonts w:ascii="Times New Roman" w:hAnsi="Times New Roman"/>
          <w:color w:val="000000" w:themeColor="text1"/>
          <w:sz w:val="16"/>
          <w:szCs w:val="16"/>
        </w:rPr>
        <w:softHyphen/>
        <w:t>кая крыша, наличие несменных и вызывавших сильную тряску при движении на максимальной скорости по твердому грунту шпор, а также де</w:t>
      </w:r>
      <w:r w:rsidRPr="00E93F40">
        <w:rPr>
          <w:rFonts w:ascii="Times New Roman" w:hAnsi="Times New Roman"/>
          <w:color w:val="000000" w:themeColor="text1"/>
          <w:sz w:val="16"/>
          <w:szCs w:val="16"/>
        </w:rPr>
        <w:softHyphen/>
        <w:t>фект помпы.</w:t>
      </w:r>
    </w:p>
    <w:p w14:paraId="0C07CFC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 КПД имел те же недостатки гусенич</w:t>
      </w:r>
      <w:r w:rsidRPr="00E93F40">
        <w:rPr>
          <w:rFonts w:ascii="Times New Roman" w:hAnsi="Times New Roman"/>
          <w:color w:val="000000" w:themeColor="text1"/>
          <w:sz w:val="16"/>
          <w:szCs w:val="16"/>
        </w:rPr>
        <w:softHyphen/>
        <w:t>ного хода, что и у базовой модели, в связи с чем, военные отметили, что он может надежно рабо</w:t>
      </w:r>
      <w:r w:rsidRPr="00E93F40">
        <w:rPr>
          <w:rFonts w:ascii="Times New Roman" w:hAnsi="Times New Roman"/>
          <w:color w:val="000000" w:themeColor="text1"/>
          <w:sz w:val="16"/>
          <w:szCs w:val="16"/>
        </w:rPr>
        <w:softHyphen/>
        <w:t>тать в тех же условиях, что и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Выхлоп от</w:t>
      </w:r>
      <w:r w:rsidRPr="00E93F40">
        <w:rPr>
          <w:rFonts w:ascii="Times New Roman" w:hAnsi="Times New Roman"/>
          <w:color w:val="000000" w:themeColor="text1"/>
          <w:sz w:val="16"/>
          <w:szCs w:val="16"/>
        </w:rPr>
        <w:softHyphen/>
        <w:t>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22BBB4E8"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Выявленные дефекты воспрепятствовали принятию КПД на вооруже</w:t>
      </w:r>
      <w:r w:rsidRPr="00E93F40">
        <w:rPr>
          <w:rFonts w:ascii="Times New Roman" w:hAnsi="Times New Roman"/>
          <w:color w:val="000000" w:themeColor="text1"/>
          <w:sz w:val="16"/>
          <w:szCs w:val="16"/>
        </w:rPr>
        <w:softHyphen/>
        <w:t>ние. Опыт разработки и испытаний трактора КПД был учтен при создании новых конструк</w:t>
      </w:r>
      <w:r w:rsidRPr="00E93F40">
        <w:rPr>
          <w:rFonts w:ascii="Times New Roman" w:hAnsi="Times New Roman"/>
          <w:color w:val="000000" w:themeColor="text1"/>
          <w:sz w:val="16"/>
          <w:szCs w:val="16"/>
        </w:rPr>
        <w:softHyphen/>
        <w:t>ций машин.</w:t>
      </w:r>
    </w:p>
    <w:tbl>
      <w:tblPr>
        <w:tblW w:w="0" w:type="auto"/>
        <w:tblInd w:w="8" w:type="dxa"/>
        <w:tblLayout w:type="fixed"/>
        <w:tblCellMar>
          <w:left w:w="0" w:type="dxa"/>
          <w:right w:w="0" w:type="dxa"/>
        </w:tblCellMar>
        <w:tblLook w:val="0000" w:firstRow="0" w:lastRow="0" w:firstColumn="0" w:lastColumn="0" w:noHBand="0" w:noVBand="0"/>
      </w:tblPr>
      <w:tblGrid>
        <w:gridCol w:w="3119"/>
        <w:gridCol w:w="4565"/>
        <w:gridCol w:w="3231"/>
      </w:tblGrid>
      <w:tr w:rsidR="00DA227A" w:rsidRPr="00E93F40" w14:paraId="2E6B5734"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617DC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Марка трактора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C61F2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«Катерпиллер-60»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4A5F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КПД</w:t>
            </w:r>
          </w:p>
        </w:tc>
      </w:tr>
      <w:tr w:rsidR="00DA227A" w:rsidRPr="00E93F40" w14:paraId="25F4C604"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6FD2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849EB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6D21E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04DB21AA"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A5D4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двигателя, л.с.</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68504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802F7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60778"</w:t>
            </w:r>
          </w:p>
        </w:tc>
      </w:tr>
      <w:tr w:rsidR="00DA227A" w:rsidRPr="00E93F40" w14:paraId="6E9E3539"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5A71D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Габаритные размеры, мм:</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571228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5ECCED"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66CC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6B7DC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69C1F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4640</w:t>
            </w:r>
          </w:p>
        </w:tc>
      </w:tr>
      <w:tr w:rsidR="00DA227A" w:rsidRPr="00E93F40" w14:paraId="3F9D605E"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5E84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ACCF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44900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2335</w:t>
            </w:r>
          </w:p>
        </w:tc>
      </w:tr>
      <w:tr w:rsidR="00DA227A" w:rsidRPr="00E93F40" w14:paraId="1414C88A"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386BA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2A17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2694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6F445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2530</w:t>
            </w:r>
          </w:p>
        </w:tc>
      </w:tr>
      <w:tr w:rsidR="00DA227A" w:rsidRPr="00E93F40" w14:paraId="42290FBD"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C5E1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0A32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D1BE4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w:t>
            </w:r>
          </w:p>
        </w:tc>
      </w:tr>
      <w:tr w:rsidR="00DA227A" w:rsidRPr="00E93F40" w14:paraId="0D845785"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C4DA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тягового крюка над землей</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A9BE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B4A53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620</w:t>
            </w:r>
          </w:p>
        </w:tc>
      </w:tr>
      <w:tr w:rsidR="00DA227A" w:rsidRPr="00E93F40" w14:paraId="7BB6155E"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91E37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(без водителя), кг</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745D2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CA83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r>
      <w:tr w:rsidR="00DA227A" w:rsidRPr="00E93F40" w14:paraId="72F93D20"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35EB9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Скорости движения, км/ч:</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340305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E94178"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EAAF0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ED2C2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67D5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3.1*/3.9**</w:t>
            </w:r>
          </w:p>
        </w:tc>
      </w:tr>
      <w:tr w:rsidR="00DA227A" w:rsidRPr="00E93F40" w14:paraId="20EBE791"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C8151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82D7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31E6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4,275,4"</w:t>
            </w:r>
          </w:p>
        </w:tc>
      </w:tr>
      <w:tr w:rsidR="00DA227A" w:rsidRPr="00E93F40" w14:paraId="45BBFC1C"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51F6E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1EAB9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4D9E1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5,8577.7"*</w:t>
            </w:r>
          </w:p>
        </w:tc>
      </w:tr>
      <w:tr w:rsidR="00DA227A" w:rsidRPr="00E93F40" w14:paraId="5E796C1E"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7C3A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85A7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29AF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09E337"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35AF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D945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F5DB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11253FB"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B5EB9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C0BD5CD" w14:textId="77777777" w:rsidR="007B1D3C" w:rsidRPr="00E93F40" w:rsidRDefault="007B1D3C" w:rsidP="00E93F40">
            <w:pPr>
              <w:autoSpaceDE w:val="0"/>
              <w:autoSpaceDN w:val="0"/>
              <w:adjustRightInd w:val="0"/>
              <w:spacing w:after="0" w:line="240" w:lineRule="auto"/>
              <w:jc w:val="both"/>
              <w:rPr>
                <w:rFonts w:ascii="Times New Roman" w:eastAsia="MS Mincho" w:hAnsi="Times New Roman"/>
                <w:noProof/>
                <w:color w:val="000000" w:themeColor="text1"/>
                <w:sz w:val="16"/>
                <w:szCs w:val="16"/>
                <w:lang w:val="en-US"/>
              </w:rPr>
            </w:pPr>
            <w:r w:rsidRPr="00E93F40">
              <w:rPr>
                <w:rFonts w:ascii="Times New Roman" w:eastAsia="MS Mincho"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D160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13,3717,9"</w:t>
            </w:r>
          </w:p>
        </w:tc>
      </w:tr>
      <w:tr w:rsidR="00DA227A" w:rsidRPr="00E93F40" w14:paraId="4D4B7CDA"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72C9C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5722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6672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E4C7BE"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4018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передача заднего хода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A3462CE" w14:textId="77777777" w:rsidR="007B1D3C" w:rsidRPr="00E93F40" w:rsidRDefault="007B1D3C" w:rsidP="00E93F40">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E93F40">
              <w:rPr>
                <w:rFonts w:ascii="Times New Roman"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6BF5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r>
      <w:tr w:rsidR="00DA227A" w:rsidRPr="00E93F40" w14:paraId="5E2E1C9A"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7CFA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Расположение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4E1E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8AF7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Переднее</w:t>
            </w:r>
          </w:p>
        </w:tc>
      </w:tr>
      <w:tr w:rsidR="00DA227A" w:rsidRPr="00E93F40" w14:paraId="6DF63600"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A0C2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Расположение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036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D721E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Вертикальное</w:t>
            </w:r>
          </w:p>
        </w:tc>
      </w:tr>
      <w:tr w:rsidR="00DA227A" w:rsidRPr="00E93F40" w14:paraId="179A8D06"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98280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Число цилиндров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E9535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D2BE2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D97A2C"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F20EA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CDBDF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Раздельные цилиндры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A092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Моноблок</w:t>
            </w:r>
          </w:p>
        </w:tc>
      </w:tr>
      <w:tr w:rsidR="00DA227A" w:rsidRPr="00E93F40" w14:paraId="2E5ACE6E"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E30C6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Размерность цилиндров двигателя,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4282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165,1x215,9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291C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150x200</w:t>
            </w:r>
          </w:p>
        </w:tc>
      </w:tr>
      <w:tr w:rsidR="00DA227A" w:rsidRPr="00E93F40" w14:paraId="57A5E22C" w14:textId="77777777">
        <w:trPr>
          <w:trHeight w:val="17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CAE0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Частота вращения коленчатого вала при максимальной мощности, мин'</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BE83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6D79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w:t>
            </w:r>
          </w:p>
        </w:tc>
      </w:tr>
      <w:tr w:rsidR="00DA227A" w:rsidRPr="00E93F40" w14:paraId="3B55B599"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1E28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сжатия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A999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0FB7F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6A5D2D"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2247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Литраж,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D369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2875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w:t>
            </w:r>
          </w:p>
        </w:tc>
      </w:tr>
      <w:tr w:rsidR="00DA227A" w:rsidRPr="00E93F40" w14:paraId="349FF692"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4855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Порядок работы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A6FF1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38948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BCFF72"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7C312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Пуск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1B56B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Ломиком за маховик</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7F8B1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Сжатым воздухом</w:t>
            </w:r>
          </w:p>
        </w:tc>
      </w:tr>
      <w:tr w:rsidR="00DA227A" w:rsidRPr="00E93F40" w14:paraId="638F32FF"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FA06A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81E5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Бензин и лигроин</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00C51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Моторная нефть</w:t>
            </w:r>
          </w:p>
        </w:tc>
      </w:tr>
      <w:tr w:rsidR="00DA227A" w:rsidRPr="00E93F40" w14:paraId="4C2AE0A5"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7A44C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Способ подачи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5160C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Вакуум-аппарат</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9FBCE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Зоздушный механический насос</w:t>
            </w:r>
          </w:p>
        </w:tc>
      </w:tr>
      <w:tr w:rsidR="00DA227A" w:rsidRPr="00E93F40" w14:paraId="4E26BCF5"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3F90A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Запастоппива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4226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300л</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7360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 кг</w:t>
            </w:r>
          </w:p>
        </w:tc>
      </w:tr>
      <w:tr w:rsidR="00DA227A" w:rsidRPr="00E93F40" w14:paraId="5B72F120"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F2BE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2D50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1148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F43CFB"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3994E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картера,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B761F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DAD3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D8B8F3"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CD413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радиатора системы охлаждения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EEC61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Трубчатый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D69E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Трубчатый</w:t>
            </w:r>
          </w:p>
        </w:tc>
      </w:tr>
      <w:tr w:rsidR="00DA227A" w:rsidRPr="00E93F40" w14:paraId="0D4D9048"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23C0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системы охлаждения,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3832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9402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408918"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A4E2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Зажигание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7A1E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Магнето</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A061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Самовоспламенение</w:t>
            </w:r>
          </w:p>
        </w:tc>
      </w:tr>
      <w:tr w:rsidR="00DA227A" w:rsidRPr="00E93F40" w14:paraId="4B1A65AB"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4D81E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Сцепление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2182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Сухое однсщисковое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36F97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Сухое однодисковое</w:t>
            </w:r>
          </w:p>
        </w:tc>
      </w:tr>
      <w:tr w:rsidR="00DA227A" w:rsidRPr="00E93F40" w14:paraId="78DE40E4"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EBB3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передач (вперед/назад)</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F1B1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E4CF19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noProof/>
                <w:color w:val="000000" w:themeColor="text1"/>
                <w:sz w:val="16"/>
                <w:szCs w:val="16"/>
              </w:rPr>
              <w:t>6</w:t>
            </w:r>
            <w:r w:rsidRPr="00E93F40">
              <w:rPr>
                <w:rFonts w:ascii="Times New Roman" w:hAnsi="Times New Roman"/>
                <w:iCs/>
                <w:color w:val="000000" w:themeColor="text1"/>
                <w:sz w:val="16"/>
                <w:szCs w:val="16"/>
              </w:rPr>
              <w:t>12</w:t>
            </w:r>
          </w:p>
        </w:tc>
      </w:tr>
      <w:tr w:rsidR="00DA227A" w:rsidRPr="00E93F40" w14:paraId="50E9A6AA"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16C6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коробки передач</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79500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Шестеренчатая</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A4AC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Шестеренчатая</w:t>
            </w:r>
          </w:p>
        </w:tc>
      </w:tr>
      <w:tr w:rsidR="00DA227A" w:rsidRPr="00E93F40" w14:paraId="638F2E0F" w14:textId="77777777">
        <w:trPr>
          <w:trHeight w:val="240"/>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EABAE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Передача на ведущие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B4BE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Коническими и тарельчатыми шестернями и многодисковыми фрикционами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9CDB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Коническими и тарельчатыми шестернями и многодисковыми фрикционами</w:t>
            </w:r>
          </w:p>
        </w:tc>
      </w:tr>
      <w:tr w:rsidR="00DA227A" w:rsidRPr="00E93F40" w14:paraId="51641B4A"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6E6D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Гусеничный движитель</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FD91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кормовым расположением ведущих колес</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6B38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кормовым расположением ведущих колес</w:t>
            </w:r>
          </w:p>
        </w:tc>
      </w:tr>
      <w:tr w:rsidR="00DA227A" w:rsidRPr="00E93F40" w14:paraId="54D1D352"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877C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5F46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Стальной с несъемными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B876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Стальной с несъемными шпорами</w:t>
            </w:r>
          </w:p>
        </w:tc>
      </w:tr>
      <w:tr w:rsidR="00DA227A" w:rsidRPr="00E93F40" w14:paraId="2532937E"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0A4C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траков,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D96AD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33x2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8836E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33x2</w:t>
            </w:r>
          </w:p>
        </w:tc>
      </w:tr>
      <w:tr w:rsidR="00DA227A" w:rsidRPr="00E93F40" w14:paraId="35BB488A"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05119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Шаг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253A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D7E6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r>
      <w:tr w:rsidR="00DA227A" w:rsidRPr="00E93F40" w14:paraId="197FF54F"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CDA9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опорной поверхности гусеницы,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A1132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0CAA7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r>
      <w:tr w:rsidR="00DA227A" w:rsidRPr="00E93F40" w14:paraId="5B2E6131"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CF299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Среднее давление на грунт, кг/см'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1E8B6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0,44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7BFFB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0,43</w:t>
            </w:r>
          </w:p>
        </w:tc>
      </w:tr>
      <w:tr w:rsidR="00DA227A" w:rsidRPr="00E93F40" w14:paraId="27AC1ECC"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D538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зубьев ведущего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7FE76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0BC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r>
      <w:tr w:rsidR="00DA227A" w:rsidRPr="00E93F40" w14:paraId="72700CDE"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1263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Натяжное приспособление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2909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Гайкой и двумя болтами,со спиральной пружиной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F40C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Гайкой и двумя болтами, со спиральной пружиной</w:t>
            </w:r>
          </w:p>
        </w:tc>
      </w:tr>
      <w:tr w:rsidR="00DA227A" w:rsidRPr="00E93F40" w14:paraId="227CFE23"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FAA8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подрессоривания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C9C82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Пружины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B590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Пружины</w:t>
            </w:r>
          </w:p>
        </w:tc>
      </w:tr>
      <w:tr w:rsidR="00DA227A" w:rsidRPr="00E93F40" w14:paraId="2BF31E54"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02E50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хода,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BD1D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C47D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2250</w:t>
            </w:r>
          </w:p>
        </w:tc>
      </w:tr>
      <w:tr w:rsidR="00DA227A" w:rsidRPr="00E93F40" w14:paraId="09099AE2"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8DF5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колей,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B6B0D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502D7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1845</w:t>
            </w:r>
          </w:p>
        </w:tc>
      </w:tr>
      <w:tr w:rsidR="00DA227A" w:rsidRPr="00E93F40" w14:paraId="7B2E46A8" w14:textId="77777777">
        <w:trPr>
          <w:trHeight w:val="182"/>
        </w:trPr>
        <w:tc>
          <w:tcPr>
            <w:tcW w:w="10915" w:type="dxa"/>
            <w:gridSpan w:val="3"/>
            <w:tcBorders>
              <w:top w:val="single" w:sz="6" w:space="0" w:color="auto"/>
              <w:left w:val="nil"/>
              <w:bottom w:val="nil"/>
              <w:right w:val="nil"/>
            </w:tcBorders>
            <w:shd w:val="clear" w:color="auto" w:fill="FFFFFF"/>
          </w:tcPr>
          <w:p w14:paraId="50878CB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'При 650Об/чин. " При 850обМж.</w:t>
            </w:r>
          </w:p>
        </w:tc>
      </w:tr>
    </w:tbl>
    <w:p w14:paraId="395996B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(12062).</w:t>
      </w:r>
    </w:p>
    <w:p w14:paraId="3CF8A64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10C96A" w14:textId="77777777" w:rsidR="00D553C5"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10BC17F" w14:textId="77777777" w:rsidR="00D553C5" w:rsidRPr="00E93F40" w:rsidRDefault="00D553C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B0B04BF" w14:textId="77777777" w:rsidR="00D553C5" w:rsidRPr="00E93F40" w:rsidRDefault="00D553C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24 февраля</w:t>
      </w:r>
      <w:r w:rsidRPr="00E93F40">
        <w:rPr>
          <w:rFonts w:ascii="Times New Roman" w:hAnsi="Times New Roman"/>
          <w:color w:val="000000" w:themeColor="text1"/>
          <w:sz w:val="16"/>
          <w:szCs w:val="16"/>
        </w:rPr>
        <w:t xml:space="preserve"> в 1932 году совершил свой первый полет последний из серии (7 экземпляров) самолет </w:t>
      </w:r>
      <w:hyperlink r:id="rId57" w:tgtFrame="_blank" w:history="1">
        <w:r w:rsidRPr="00E93F40">
          <w:rPr>
            <w:rFonts w:ascii="Times New Roman" w:hAnsi="Times New Roman"/>
            <w:color w:val="000000" w:themeColor="text1"/>
            <w:sz w:val="16"/>
            <w:szCs w:val="16"/>
          </w:rPr>
          <w:t xml:space="preserve">«Late 50.1.» </w:t>
        </w:r>
      </w:hyperlink>
    </w:p>
    <w:p w14:paraId="10C1E48A" w14:textId="77777777" w:rsidR="00D553C5" w:rsidRPr="00E93F40" w:rsidRDefault="00D553C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имел три двигателя, расположенные так же, как на модели «Лате 34.0.» Несмотря на улучшенные летные качества и характеристики самолета, французские власти его так и не заказали (15050).</w:t>
      </w:r>
    </w:p>
    <w:p w14:paraId="79692ABE" w14:textId="77777777" w:rsidR="00D553C5" w:rsidRPr="00E93F40" w:rsidRDefault="00D553C5" w:rsidP="00E93F40">
      <w:pPr>
        <w:spacing w:after="0" w:line="240" w:lineRule="auto"/>
        <w:jc w:val="both"/>
        <w:rPr>
          <w:rFonts w:ascii="Times New Roman" w:hAnsi="Times New Roman"/>
          <w:color w:val="000000" w:themeColor="text1"/>
          <w:sz w:val="16"/>
          <w:szCs w:val="16"/>
        </w:rPr>
      </w:pPr>
    </w:p>
    <w:p w14:paraId="06BA0C33" w14:textId="77777777" w:rsidR="002B40D9" w:rsidRPr="00E93F40" w:rsidRDefault="002B40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февраля 1932 состоялся первый полет Latécoère 500 (20803).</w:t>
      </w:r>
    </w:p>
    <w:p w14:paraId="2A72C563" w14:textId="77777777" w:rsidR="002B40D9" w:rsidRPr="00E93F40" w:rsidRDefault="002B40D9" w:rsidP="00E93F40">
      <w:pPr>
        <w:spacing w:after="0" w:line="240" w:lineRule="auto"/>
        <w:jc w:val="both"/>
        <w:rPr>
          <w:rFonts w:ascii="Times New Roman" w:hAnsi="Times New Roman"/>
          <w:color w:val="000000" w:themeColor="text1"/>
          <w:sz w:val="16"/>
          <w:szCs w:val="16"/>
        </w:rPr>
      </w:pPr>
    </w:p>
    <w:p w14:paraId="5299A61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B85D64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7A9A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закончились специальные испытания самолета типа ТБ-1, серии N 8, построенного на заводе N 22 с мотором 2хМ-17, 500НР NN 26427, 26430, степень сжатия 1:6 постройки завода N 26 серии 4 с воздушными винтами диам. 3,3, шаг 2,42 м, которые проходили с 3 декабря 1931.</w:t>
      </w:r>
    </w:p>
    <w:p w14:paraId="62774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проводили летчики-сдатчики Лозовский и Моисеев.</w:t>
      </w:r>
    </w:p>
    <w:p w14:paraId="14899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Серия N 8 состоит из 35 самолетов с N 725 по N 760 включительно.</w:t>
      </w:r>
    </w:p>
    <w:p w14:paraId="7C940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готовности самолетов данной серии находилась в момент предъявления серии - вся серия сдана (сам. N 760 задержан ввиду испытания).</w:t>
      </w:r>
    </w:p>
    <w:p w14:paraId="55A208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Предъявленных заводом Военной приемке для технического осмотра и испытания в воздухе - 35 самолетов.</w:t>
      </w:r>
    </w:p>
    <w:p w14:paraId="4423B3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 воздухе испытано 35 самолетов.</w:t>
      </w:r>
    </w:p>
    <w:p w14:paraId="2896F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Из них на высоту - 13 самолетов.</w:t>
      </w:r>
    </w:p>
    <w:p w14:paraId="4394D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На продолжительность - 22 самолета</w:t>
      </w:r>
    </w:p>
    <w:p w14:paraId="4024E4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испытание 22-х самолетов на высоту 3000 м было заменено испытанием на продолжительность, с согласия УВВС, вследствие неблагоприятного состояния погоды (2995).</w:t>
      </w:r>
    </w:p>
    <w:p w14:paraId="6259D6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2B7DF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Комиссия считает необходимым отметить в отношении выявившегося при специальном испытании сам. N 760, а также и в отношении всей серии следующее: самолет N 760 потолка, указанного в технических условиях не взял. По скороподъемности также имеет пониженные показатели. Данный результат с ухудшенными летными качествами получился за счет снижения мощностей, благодаря низкой температуре. (2995,1-6).</w:t>
      </w:r>
    </w:p>
    <w:p w14:paraId="19E12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4F2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и 4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по компасу, на определение крейсерской скорости и продолжительности полета (по треугольнику) на высоте 3000 м; аэрофотосъемка (3002).</w:t>
      </w:r>
    </w:p>
    <w:p w14:paraId="10E561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D1F77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25 февраля 1932 г. Нач. Главного управления Авиапрома, зам. наркома тяжелой промышленности П.И.Баранов подписал приказ о проектировании и строительстве трех авиационных заводов: №124 — в Казани, №125 — в Иркутске, №126 — в районе Хабаровска. </w:t>
      </w:r>
    </w:p>
    <w:p w14:paraId="740FC18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 П.И.Баранов своим приказом назначил Золотарева К.Р. начальником строительно-монтажного управления по строительству завода №126 (стройка №3) (12211).</w:t>
      </w:r>
    </w:p>
    <w:p w14:paraId="1B7F8F4A" w14:textId="77777777" w:rsidR="00481984" w:rsidRPr="00E93F40" w:rsidRDefault="00481984" w:rsidP="00E93F40">
      <w:pPr>
        <w:spacing w:after="0" w:line="240" w:lineRule="auto"/>
        <w:jc w:val="both"/>
        <w:rPr>
          <w:rFonts w:ascii="Times New Roman" w:hAnsi="Times New Roman"/>
          <w:color w:val="000000" w:themeColor="text1"/>
          <w:sz w:val="16"/>
          <w:szCs w:val="16"/>
        </w:rPr>
      </w:pPr>
    </w:p>
    <w:p w14:paraId="07A8D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постановлением СНК N 209 (438,631) ВОГВФ при ВСНХ было преобразовано в ГУГВФ при СНК - Аэрофлот (438,631), но положение о ГУ ГВФ СНК утвердил только 28 мая 1932. Получил в подчинение хозрасчетные тресты Трансавиация и Сельхозавиация (62,187). Первым нач. ГУГВФ стал А.З.Гольцман (7375).</w:t>
      </w:r>
    </w:p>
    <w:p w14:paraId="7312DA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5356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года ВОГВФ было преобразо</w:t>
      </w:r>
      <w:r w:rsidRPr="00E93F40">
        <w:rPr>
          <w:rFonts w:ascii="Times New Roman" w:hAnsi="Times New Roman"/>
          <w:color w:val="000000" w:themeColor="text1"/>
          <w:sz w:val="16"/>
          <w:szCs w:val="16"/>
        </w:rPr>
        <w:softHyphen/>
        <w:t>вано в Главное управление ГВФ (ГУГВФ) при СНК СССР, на которое возлагалось регулирование всей деятельности гражданской авиации. Постановлением СНК СССР «О реорганизации органов управления гражданского воздушного флота» от 19 мая 1934 года были образованы 12 территориальных управлений Граж</w:t>
      </w:r>
      <w:r w:rsidRPr="00E93F40">
        <w:rPr>
          <w:rFonts w:ascii="Times New Roman" w:hAnsi="Times New Roman"/>
          <w:color w:val="000000" w:themeColor="text1"/>
          <w:sz w:val="16"/>
          <w:szCs w:val="16"/>
        </w:rPr>
        <w:softHyphen/>
        <w:t>данской авиации СССР: Московское, Украинское, Среднеазиатское, Закавказс</w:t>
      </w:r>
      <w:r w:rsidRPr="00E93F40">
        <w:rPr>
          <w:rFonts w:ascii="Times New Roman" w:hAnsi="Times New Roman"/>
          <w:color w:val="000000" w:themeColor="text1"/>
          <w:sz w:val="16"/>
          <w:szCs w:val="16"/>
        </w:rPr>
        <w:softHyphen/>
        <w:t>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(в ноябре 1932-го) и из Нар-комздрава СССР санитарная авиация (в ноябре 1937-го) ('История гражданской авиации. Научно-популярный очерк. Под общ. ред. Бугаева Б.П. С. 58,60, 75,85.) (11710,355).</w:t>
      </w:r>
    </w:p>
    <w:p w14:paraId="5939AF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18AF7F"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г. ВО ГВФ было преобразовано в Главное управление ГВФ (ГУГВФ) при СНК СССР, получившее название "Аэрофлот". В подчинении ГУ ГВФ находились хозрасчётные тресты "Трансавиация", "Сельхозавиация" и др., которые 19 мая 1934 г. постановлением СНК СССР были ликвидированы, а вместо них образованы 12 территориальных управлений Гражданской авиации СССР: Московское, Украинское, Среднеазиатское, Закавказское,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(ноябрь 1932 г.) и из Наркомздрава СССР санитарная авиация (ноябрь 1937 г.). Для работников Гражданской авиации СССР в 1932 г. были введены форменная одежда и знаки различия (12704).</w:t>
      </w:r>
    </w:p>
    <w:p w14:paraId="6F1164F0"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p>
    <w:p w14:paraId="095A482C" w14:textId="77777777" w:rsidR="00D553C5" w:rsidRPr="00E93F40" w:rsidRDefault="00D553C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25 февраля</w:t>
      </w:r>
      <w:r w:rsidRPr="00E93F40">
        <w:rPr>
          <w:rFonts w:ascii="Times New Roman" w:hAnsi="Times New Roman"/>
          <w:color w:val="000000" w:themeColor="text1"/>
          <w:sz w:val="16"/>
          <w:szCs w:val="16"/>
        </w:rPr>
        <w:t xml:space="preserve"> в 1932 году постановлением СНК СССР вместо ВО ГВФ (Всесоюзное Объединение Гражданского Воздушного Флота) образовано Главное Управление ГВФ при СНК СССР, на которое возлагалось регулирование всей деятельности гражданской авиации (15051).</w:t>
      </w:r>
    </w:p>
    <w:p w14:paraId="678F728F" w14:textId="77777777" w:rsidR="00D553C5" w:rsidRPr="00E93F40" w:rsidRDefault="00D553C5" w:rsidP="00E93F40">
      <w:pPr>
        <w:spacing w:after="0" w:line="240" w:lineRule="auto"/>
        <w:jc w:val="both"/>
        <w:rPr>
          <w:rFonts w:ascii="Times New Roman" w:hAnsi="Times New Roman"/>
          <w:color w:val="000000" w:themeColor="text1"/>
          <w:sz w:val="16"/>
          <w:szCs w:val="16"/>
        </w:rPr>
      </w:pPr>
    </w:p>
    <w:p w14:paraId="052AC918" w14:textId="77777777" w:rsidR="00D553C5" w:rsidRPr="00E93F40" w:rsidRDefault="00D553C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года СНК СССР постановлением вместо ВО ГВФ (Всесоюзное Объединение Гражданского Воздушного Флота) образовал Главное Управление ГВФ при СНК СССР, на которое возлагалось регулирование всей деятельности гражданской авиации.</w:t>
      </w:r>
    </w:p>
    <w:p w14:paraId="55715BD5" w14:textId="77777777" w:rsidR="00D553C5" w:rsidRPr="00E93F40" w:rsidRDefault="00D553C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Этим же постановлением ГУ ГВФ предписывалось создание хозрасчетных единиц - трестов: транспортной авиации, строительный, авиаремонтный и авиаснабжения. Первым Начальником Главного Управления ГВФ был назначен А. З. Гольцман, а его заместителями - Я. Я. Анвельт и С. Н. Березин. Спустя два месяца, 27 апреля 1932 года Президиум ЦИК СССР утвердил важный документ - первый Воздушный Кодекс СССР (15535).</w:t>
      </w:r>
    </w:p>
    <w:p w14:paraId="78DCEA78" w14:textId="77777777" w:rsidR="00D553C5" w:rsidRPr="00E93F40" w:rsidRDefault="00D553C5" w:rsidP="00E93F40">
      <w:pPr>
        <w:spacing w:after="0" w:line="240" w:lineRule="auto"/>
        <w:jc w:val="both"/>
        <w:rPr>
          <w:rFonts w:ascii="Times New Roman" w:hAnsi="Times New Roman"/>
          <w:color w:val="000000" w:themeColor="text1"/>
          <w:sz w:val="16"/>
          <w:szCs w:val="16"/>
        </w:rPr>
      </w:pPr>
    </w:p>
    <w:p w14:paraId="2268E47A" w14:textId="137A602A" w:rsidR="004C6276" w:rsidRPr="00E93F40" w:rsidRDefault="004C627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 ВОГВФ было преобразовано в Главное управление ГВФ (ГУГВФ) при Совете Народных Комиссаров СССР, получившее название "Аэрофлот".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подчинении ГУГВФ находились хозрасчётные тресты "Трансавиация", "Сельхозавиацня"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 которые 19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1934 постановлением Совета Народных Комиссаров СССР были ликвидированы, вместо них образованы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территориальных Управлений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00490ECE" w:rsidRPr="00E93F40">
        <w:rPr>
          <w:rFonts w:ascii="Times New Roman" w:hAnsi="Times New Roman"/>
          <w:color w:val="000000" w:themeColor="text1"/>
          <w:sz w:val="16"/>
          <w:szCs w:val="16"/>
        </w:rPr>
        <w:t>А</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Московское, Украинское, Среднеазиатское, Закавказское,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w:t>
      </w:r>
      <w:r w:rsidR="007C1411" w:rsidRPr="00E93F40">
        <w:rPr>
          <w:rFonts w:ascii="Times New Roman" w:hAnsi="Times New Roman"/>
          <w:color w:val="000000" w:themeColor="text1"/>
          <w:sz w:val="16"/>
          <w:szCs w:val="16"/>
        </w:rPr>
        <w:t xml:space="preserve"> </w:t>
      </w:r>
      <w:hyperlink r:id="rId58" w:history="1">
        <w:r w:rsidRPr="00E93F40">
          <w:rPr>
            <w:rStyle w:val="a5"/>
            <w:rFonts w:ascii="Times New Roman" w:hAnsi="Times New Roman"/>
            <w:color w:val="000000" w:themeColor="text1"/>
            <w:sz w:val="16"/>
            <w:szCs w:val="16"/>
          </w:rPr>
          <w:t>сельскохозяйственная авиация</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(ноябрь 1932) и из Наркомздрава СССР</w:t>
      </w:r>
      <w:r w:rsidR="007C1411" w:rsidRPr="00E93F40">
        <w:rPr>
          <w:rFonts w:ascii="Times New Roman" w:hAnsi="Times New Roman"/>
          <w:color w:val="000000" w:themeColor="text1"/>
          <w:sz w:val="16"/>
          <w:szCs w:val="16"/>
        </w:rPr>
        <w:t xml:space="preserve"> </w:t>
      </w:r>
      <w:hyperlink r:id="rId59" w:history="1">
        <w:r w:rsidRPr="00E93F40">
          <w:rPr>
            <w:rStyle w:val="a5"/>
            <w:rFonts w:ascii="Times New Roman" w:hAnsi="Times New Roman"/>
            <w:color w:val="000000" w:themeColor="text1"/>
            <w:sz w:val="16"/>
            <w:szCs w:val="16"/>
          </w:rPr>
          <w:t>санитарная авиация</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(ноябрь 1937) (20226).</w:t>
      </w:r>
    </w:p>
    <w:p w14:paraId="2D11D259" w14:textId="77777777" w:rsidR="004C6276" w:rsidRPr="00E93F40" w:rsidRDefault="004C6276" w:rsidP="00E93F40">
      <w:pPr>
        <w:autoSpaceDE w:val="0"/>
        <w:autoSpaceDN w:val="0"/>
        <w:adjustRightInd w:val="0"/>
        <w:spacing w:after="0" w:line="240" w:lineRule="auto"/>
        <w:jc w:val="both"/>
        <w:rPr>
          <w:rFonts w:ascii="Times New Roman" w:hAnsi="Times New Roman"/>
          <w:color w:val="000000" w:themeColor="text1"/>
          <w:sz w:val="16"/>
          <w:szCs w:val="16"/>
        </w:rPr>
      </w:pPr>
    </w:p>
    <w:p w14:paraId="1FBF6964" w14:textId="77777777" w:rsidR="004C6276" w:rsidRPr="00E93F40" w:rsidRDefault="004C6276" w:rsidP="00E93F40">
      <w:pPr>
        <w:spacing w:after="0" w:line="240" w:lineRule="auto"/>
        <w:jc w:val="both"/>
        <w:rPr>
          <w:rFonts w:ascii="Times New Roman" w:hAnsi="Times New Roman"/>
          <w:color w:val="000000" w:themeColor="text1"/>
          <w:sz w:val="16"/>
          <w:szCs w:val="16"/>
          <w:shd w:val="clear" w:color="auto" w:fill="FFFFFF"/>
        </w:rPr>
      </w:pPr>
      <w:bookmarkStart w:id="13" w:name="_Hlk79306273"/>
      <w:r w:rsidRPr="00E93F40">
        <w:rPr>
          <w:rFonts w:ascii="Times New Roman" w:hAnsi="Times New Roman"/>
          <w:color w:val="000000" w:themeColor="text1"/>
          <w:sz w:val="16"/>
          <w:szCs w:val="16"/>
          <w:shd w:val="clear" w:color="auto" w:fill="FFFFFF"/>
        </w:rPr>
        <w:t>25 февраля 1932 года ВО ГВФ при Совете Труда и Обороны преобразовано в Главное управление гражданского воздушного флота (ГУГВФ) при Совете Народных Комиссаров СССР. Первым начальником ГУГВФ назначен А. З. Гольцман. Ровно через месяц оно получило имя «Аэрофлот» (21413).</w:t>
      </w:r>
      <w:bookmarkEnd w:id="13"/>
    </w:p>
    <w:p w14:paraId="0D3AD8A1" w14:textId="77777777" w:rsidR="004C6276" w:rsidRPr="00E93F40" w:rsidRDefault="004C6276" w:rsidP="00E93F40">
      <w:pPr>
        <w:spacing w:after="0" w:line="240" w:lineRule="auto"/>
        <w:jc w:val="both"/>
        <w:rPr>
          <w:rFonts w:ascii="Times New Roman" w:hAnsi="Times New Roman"/>
          <w:color w:val="000000" w:themeColor="text1"/>
          <w:sz w:val="16"/>
          <w:szCs w:val="16"/>
        </w:rPr>
      </w:pPr>
    </w:p>
    <w:p w14:paraId="227AC8ED" w14:textId="77777777" w:rsidR="00E7326F" w:rsidRPr="00E93F40" w:rsidRDefault="00E7326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г. Всесоюзное объединение гражданского воздушного флота ВОГВФ при Совете Труда и Обороны преобразовано в Главное управление гражданского воздушного флота при СНК СССР - АЭРОФЛОТ. Главнoe управление ГВФ организовало на местах свои местные /террито- ильные/ управления ГВФ. Задачи ГУ ГВФ оставались те же, что и BOГВФ. Положение о ГУ ГВФ было утверждено постановлением СНК № 828 от 28 мая 1932 года.</w:t>
      </w:r>
    </w:p>
    <w:p w14:paraId="5B7AF334" w14:textId="77777777" w:rsidR="00E7326F" w:rsidRPr="00E93F40" w:rsidRDefault="00E7326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/«Гражданская авиация», 1932 № 5/ (23370).</w:t>
      </w:r>
    </w:p>
    <w:p w14:paraId="16D0FA32" w14:textId="77777777" w:rsidR="00E7326F" w:rsidRPr="00E93F40" w:rsidRDefault="00E7326F" w:rsidP="00E93F40">
      <w:pPr>
        <w:spacing w:after="0" w:line="240" w:lineRule="auto"/>
        <w:jc w:val="both"/>
        <w:rPr>
          <w:rFonts w:ascii="Times New Roman" w:hAnsi="Times New Roman"/>
          <w:color w:val="000000" w:themeColor="text1"/>
          <w:sz w:val="16"/>
          <w:szCs w:val="16"/>
        </w:rPr>
      </w:pPr>
    </w:p>
    <w:p w14:paraId="4E1BF39B" w14:textId="77777777" w:rsidR="00D553C5" w:rsidRPr="00E93F40" w:rsidRDefault="00D553C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г. Постановлением № 209 Совета Народных Комиссаров, в связи с тем, что ВОГВФ СССР было преобразовано в Главное управление Гражданского воздушного флота при СНК СССР (ГУГВФ), «Дирижаблестрой» был включен в состав ГУГВФ (15797).</w:t>
      </w:r>
    </w:p>
    <w:p w14:paraId="215D5E72" w14:textId="77777777" w:rsidR="00D553C5" w:rsidRPr="00E93F40" w:rsidRDefault="00D553C5" w:rsidP="00E93F40">
      <w:pPr>
        <w:spacing w:after="0" w:line="240" w:lineRule="auto"/>
        <w:jc w:val="both"/>
        <w:rPr>
          <w:rFonts w:ascii="Times New Roman" w:hAnsi="Times New Roman"/>
          <w:color w:val="000000" w:themeColor="text1"/>
          <w:sz w:val="16"/>
          <w:szCs w:val="16"/>
        </w:rPr>
      </w:pPr>
    </w:p>
    <w:p w14:paraId="77172BF3"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февраля 1932 года Всесоюзное объединение ГВФ при СТО преобразовали в Главное управление Гражданского воздушного флота (ГУ ГВФ) при Совнаркоме СССР, месяцем позже получившее название «Аэрофлот» (25165).</w:t>
      </w:r>
    </w:p>
    <w:p w14:paraId="4EFE0129" w14:textId="77777777" w:rsidR="00D1046D" w:rsidRPr="00142305" w:rsidRDefault="00D1046D" w:rsidP="00D1046D">
      <w:pPr>
        <w:spacing w:after="0" w:line="240" w:lineRule="auto"/>
        <w:jc w:val="both"/>
        <w:rPr>
          <w:rFonts w:ascii="Times New Roman" w:hAnsi="Times New Roman"/>
          <w:color w:val="0070C0"/>
          <w:sz w:val="16"/>
          <w:szCs w:val="16"/>
        </w:rPr>
      </w:pPr>
    </w:p>
    <w:p w14:paraId="15FD0CC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7E05EE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A57C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25 февраля по 7 марта 1932 года пушка завода "Красный Путиловец" прошла на НИАПе сравнительные испытания с 45-мм пушкой 19-К, в ходе которых из пушки завода "Красный Путиловец" было сделано еще 895 выстрелов. По результатам испытаний комиссия посчитала, что обе системы полигонные испытания выдержали. Противотанковая пушка завода № 8 имела лучшие баллистические качества, а в конструктивном отношении обе 45-мм противотанковые пушки в основном одинаковы. Но так как 37-мм противотанковая уже находилась в производстве, а в 45-мм противотанковой пушке завода № 8 всего 15 новых деталей по сравнению с 37-мм противотанковой пушкой, то АНИИ рекомендовало принять на вооружение 45-мм пушку завода № 8. 45-мм противотанковая пушка завода "Красный Путиловец" на вооружение не поступила, но она весьма интересна тем, что показывает, как пошло бы развитие отечественных противотанковых систем при отсутствии помощи со стороны фирмы "Рейнметалл" (3861).</w:t>
      </w:r>
    </w:p>
    <w:p w14:paraId="189D0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20B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г. Московский государственный институт цветных металлов "Мосгинцветмет"переименовывается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124ED5C1" w14:textId="77777777" w:rsidR="007359D1" w:rsidRPr="00E93F40" w:rsidRDefault="007359D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6B1A2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8D6A66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DBB8B3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Гитлер получил немецкое гражданство (до этого он был гражданином Австрии) (4962).</w:t>
      </w:r>
    </w:p>
    <w:p w14:paraId="2ED8EB9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1D5B1" w14:textId="77777777" w:rsidR="004118FA" w:rsidRPr="00E93F40" w:rsidRDefault="004118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25 февраля</w:t>
      </w:r>
      <w:r w:rsidRPr="00E93F40">
        <w:rPr>
          <w:rFonts w:ascii="Times New Roman" w:hAnsi="Times New Roman"/>
          <w:color w:val="000000" w:themeColor="text1"/>
          <w:sz w:val="16"/>
          <w:szCs w:val="16"/>
        </w:rPr>
        <w:t xml:space="preserve"> в 1932 году Адольфу Гитлеру, выдвинувшему свою кандидатуру в президенты, предоставлено германское гражданство (до этого он был гражданином Австрии) (15051).</w:t>
      </w:r>
    </w:p>
    <w:p w14:paraId="56FFD418" w14:textId="77777777" w:rsidR="004118FA" w:rsidRPr="00E93F40" w:rsidRDefault="004118FA" w:rsidP="00E93F40">
      <w:pPr>
        <w:spacing w:after="0" w:line="240" w:lineRule="auto"/>
        <w:jc w:val="both"/>
        <w:rPr>
          <w:rFonts w:ascii="Times New Roman" w:hAnsi="Times New Roman"/>
          <w:color w:val="000000" w:themeColor="text1"/>
          <w:sz w:val="16"/>
          <w:szCs w:val="16"/>
        </w:rPr>
      </w:pPr>
    </w:p>
    <w:p w14:paraId="2F78930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FAD6C7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276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февраля 1932 года начальник 1 отдела Горощенко писал письмо N ОС/64с в 8-й сектор 3-го управления УВВС.</w:t>
      </w:r>
    </w:p>
    <w:p w14:paraId="314B5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направляю сводку испытаний самолета Р-5 N 4629 (эталон на 1932 год) с мотором М-17 Е=6 N 26494.</w:t>
      </w:r>
    </w:p>
    <w:p w14:paraId="31805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22F00B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Жемчужин</w:t>
      </w:r>
    </w:p>
    <w:p w14:paraId="6E0306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Байдуков</w:t>
      </w:r>
    </w:p>
    <w:p w14:paraId="052CB6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1F7217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Выявление полной боеспособности самолета и возможности использования его в виде образца (эталона) для серийной постройки самолетов в 1932 году.</w:t>
      </w:r>
    </w:p>
    <w:p w14:paraId="76FDA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Определение летных данных самолета Р5-М17 с новыми вариантами нагрузки установленными 1-м управлением УВВС совместно с НИИ.</w:t>
      </w:r>
    </w:p>
    <w:p w14:paraId="7BB5C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w:t>
      </w:r>
    </w:p>
    <w:p w14:paraId="07995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прохождения испытания самолета Р5 N 4629 с испытанием</w:t>
      </w:r>
    </w:p>
    <w:p w14:paraId="20C49B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штопор при разных центровках</w:t>
      </w:r>
    </w:p>
    <w:p w14:paraId="31800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15.11.31 - самолет получен с завода N 1 с недоведенным оборудованием для определения центровки.</w:t>
      </w:r>
    </w:p>
    <w:p w14:paraId="17590D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22.09.31 - составлен совместно с заводом протокол необходимых доделок и самолет сдан на завод N 1.</w:t>
      </w:r>
    </w:p>
    <w:p w14:paraId="4E736A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7.12.31 г. - самолет получен с завода для испытания.</w:t>
      </w:r>
    </w:p>
    <w:p w14:paraId="3CD177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7.12-18.12 - работы не производились.</w:t>
      </w:r>
    </w:p>
    <w:p w14:paraId="4AE40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20.12-23.12 - во 2-й эскадрильи не было летчика для проведения испытания.</w:t>
      </w:r>
    </w:p>
    <w:p w14:paraId="2A1B79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25.12 - фактическое начало испытаний.</w:t>
      </w:r>
    </w:p>
    <w:p w14:paraId="7B027A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17.02.32 г. - фактическое окончание испытаний.</w:t>
      </w:r>
    </w:p>
    <w:p w14:paraId="2926EF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54 календарных дня, затрачено 20 летных дней.</w:t>
      </w:r>
    </w:p>
    <w:p w14:paraId="55CCE3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время нахождения самолета в НИИ налетано 59 час. 24 мин.</w:t>
      </w:r>
    </w:p>
    <w:p w14:paraId="304DF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Сделано посадок - 93.</w:t>
      </w:r>
    </w:p>
    <w:p w14:paraId="393B28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2D9D96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Р5-М17 N 4629 принят как эталон для серийной постройки в 1932 году. (3064,2-53).</w:t>
      </w:r>
    </w:p>
    <w:p w14:paraId="1195A3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8073D1" w14:textId="77777777" w:rsidR="004C6276" w:rsidRPr="00E93F40" w:rsidRDefault="004C6276"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26 февраля 1932 года был заключен договор между УВВС и заводом №21 на изготовление 271 самолета И-5 и 45 групповых комплектов на сумму 7929978 рублей. Управление Военно-воздушных Сил взяло на себя обязательства по поставке завод} для сборки самолетов, пулеметов, моторов, вооружения. Договор подписали начальник 3-го Управления ВВС Ф. И.Жаров, и заместитель директора завода №21 по технической части С.М.Мицкевич. Годовая программа состояла из 4 серий: в первой 50 самолетов, во второй - 70. в третьей 70. в четвертой 81 самолет И-5. Отпускная стоимость самолета по договору составляла 56400 рублей, при стоимости мотора - 21400 рублей (21100).</w:t>
      </w:r>
    </w:p>
    <w:p w14:paraId="6DE7E221" w14:textId="77777777" w:rsidR="004C6276" w:rsidRPr="00E93F40" w:rsidRDefault="004C6276" w:rsidP="00E93F40">
      <w:pPr>
        <w:spacing w:after="0" w:line="240" w:lineRule="auto"/>
        <w:jc w:val="both"/>
        <w:rPr>
          <w:rFonts w:ascii="Times New Roman" w:hAnsi="Times New Roman"/>
          <w:color w:val="000000" w:themeColor="text1"/>
          <w:sz w:val="16"/>
          <w:szCs w:val="16"/>
          <w:lang w:eastAsia="ru-RU" w:bidi="ru-RU"/>
        </w:rPr>
      </w:pPr>
    </w:p>
    <w:p w14:paraId="34B1C0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февраля 1932 было подготовлено Письмо зам. НКРПрома Пятакова от имени зам. пред. РВС Гамарника - о невыполнении постановления правительства об изготовлении автопилотов (3082).</w:t>
      </w:r>
    </w:p>
    <w:p w14:paraId="223C9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9BBAC6" w14:textId="77777777" w:rsidR="00490ECE" w:rsidRPr="00E93F40" w:rsidRDefault="00490E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февраля 1932 г. в зерносовхозе “Ударник“ Узбекской ССР впервые в СССР проводился опытный посев пшеницы о самолета .Опыт по производительности труда оказался заманчивым и вскоре получил широкое распространение, в особенности при, так называемом, сверхраннем посеве, но ввиду</w:t>
      </w:r>
    </w:p>
    <w:p w14:paraId="00593153" w14:textId="77777777" w:rsidR="00490ECE" w:rsidRPr="00E93F40" w:rsidRDefault="00490E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нерентабельности и неизбежного нарушения агротехники аэросев зерновых культур после 1934 года</w:t>
      </w:r>
    </w:p>
    <w:p w14:paraId="78C5E623" w14:textId="77777777" w:rsidR="00490ECE" w:rsidRPr="00E93F40" w:rsidRDefault="00490E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не применялся.</w:t>
      </w:r>
    </w:p>
    <w:p w14:paraId="5B1AB444" w14:textId="77777777" w:rsidR="00490ECE" w:rsidRPr="00E93F40" w:rsidRDefault="00490E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/"Гражданская, авиация", 1933 № 2/ (23370).</w:t>
      </w:r>
    </w:p>
    <w:p w14:paraId="2A827DFB" w14:textId="77777777" w:rsidR="00490ECE" w:rsidRPr="00E93F40" w:rsidRDefault="00490ECE" w:rsidP="00E93F40">
      <w:pPr>
        <w:spacing w:after="0" w:line="240" w:lineRule="auto"/>
        <w:jc w:val="both"/>
        <w:rPr>
          <w:rFonts w:ascii="Times New Roman" w:hAnsi="Times New Roman"/>
          <w:color w:val="000000" w:themeColor="text1"/>
          <w:sz w:val="16"/>
          <w:szCs w:val="16"/>
        </w:rPr>
      </w:pPr>
    </w:p>
    <w:p w14:paraId="08A09FA9" w14:textId="77777777" w:rsidR="00481984"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519BCD6" w14:textId="77777777" w:rsidR="00481984" w:rsidRPr="00E93F40" w:rsidRDefault="0048198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6E1830" w14:textId="68173F4B" w:rsidR="00481984" w:rsidRPr="00E93F40" w:rsidRDefault="00481984" w:rsidP="00E93F40">
      <w:pPr>
        <w:pStyle w:val="rtejustify"/>
        <w:spacing w:before="0" w:after="0"/>
        <w:rPr>
          <w:color w:val="000000" w:themeColor="text1"/>
          <w:sz w:val="16"/>
          <w:szCs w:val="16"/>
        </w:rPr>
      </w:pPr>
      <w:r w:rsidRPr="00E93F40">
        <w:rPr>
          <w:rStyle w:val="af0"/>
          <w:i w:val="0"/>
          <w:color w:val="000000" w:themeColor="text1"/>
          <w:sz w:val="16"/>
          <w:szCs w:val="16"/>
        </w:rPr>
        <w:t>26</w:t>
      </w:r>
      <w:r w:rsidR="007C1411" w:rsidRPr="00E93F40">
        <w:rPr>
          <w:rStyle w:val="af0"/>
          <w:i w:val="0"/>
          <w:color w:val="000000" w:themeColor="text1"/>
          <w:sz w:val="16"/>
          <w:szCs w:val="16"/>
        </w:rPr>
        <w:t xml:space="preserve"> </w:t>
      </w:r>
      <w:r w:rsidRPr="00E93F40">
        <w:rPr>
          <w:rStyle w:val="af0"/>
          <w:i w:val="0"/>
          <w:color w:val="000000" w:themeColor="text1"/>
          <w:sz w:val="16"/>
          <w:szCs w:val="16"/>
        </w:rPr>
        <w:t>февраля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8.</w:t>
      </w:r>
      <w:r w:rsidRPr="00E93F40">
        <w:rPr>
          <w:color w:val="000000" w:themeColor="text1"/>
          <w:sz w:val="16"/>
          <w:szCs w:val="16"/>
        </w:rPr>
        <w:t xml:space="preserve"> 1. Система химического вооружения (Фишман). 2.</w:t>
      </w:r>
      <w:r w:rsidR="007C1411" w:rsidRPr="00E93F40">
        <w:rPr>
          <w:color w:val="000000" w:themeColor="text1"/>
          <w:sz w:val="16"/>
          <w:szCs w:val="16"/>
        </w:rPr>
        <w:t xml:space="preserve"> </w:t>
      </w:r>
      <w:r w:rsidRPr="00E93F40">
        <w:rPr>
          <w:color w:val="000000" w:themeColor="text1"/>
          <w:sz w:val="16"/>
          <w:szCs w:val="16"/>
        </w:rPr>
        <w:t>Состояние артвооружения и боезапасов морсил и БО (Орлов</w:t>
      </w:r>
      <w:r w:rsidR="007C1411" w:rsidRPr="00E93F40">
        <w:rPr>
          <w:color w:val="000000" w:themeColor="text1"/>
          <w:sz w:val="16"/>
          <w:szCs w:val="16"/>
        </w:rPr>
        <w:t xml:space="preserve"> </w:t>
      </w:r>
      <w:r w:rsidRPr="00E93F40">
        <w:rPr>
          <w:color w:val="000000" w:themeColor="text1"/>
          <w:sz w:val="16"/>
          <w:szCs w:val="16"/>
        </w:rPr>
        <w:t>В.</w:t>
      </w:r>
      <w:r w:rsidR="007C1411" w:rsidRPr="00E93F40">
        <w:rPr>
          <w:color w:val="000000" w:themeColor="text1"/>
          <w:sz w:val="16"/>
          <w:szCs w:val="16"/>
        </w:rPr>
        <w:t xml:space="preserve"> </w:t>
      </w:r>
      <w:r w:rsidRPr="00E93F40">
        <w:rPr>
          <w:color w:val="000000" w:themeColor="text1"/>
          <w:sz w:val="16"/>
          <w:szCs w:val="16"/>
        </w:rPr>
        <w:t>М.). 4.</w:t>
      </w:r>
      <w:r w:rsidR="007C1411" w:rsidRPr="00E93F40">
        <w:rPr>
          <w:color w:val="000000" w:themeColor="text1"/>
          <w:sz w:val="16"/>
          <w:szCs w:val="16"/>
        </w:rPr>
        <w:t xml:space="preserve"> </w:t>
      </w:r>
      <w:r w:rsidRPr="00E93F40">
        <w:rPr>
          <w:color w:val="000000" w:themeColor="text1"/>
          <w:sz w:val="16"/>
          <w:szCs w:val="16"/>
        </w:rPr>
        <w:t>Результаты конструирования зенитной установки более совершенной, чем установка системы Иванова (в порядке контроля). (Симонов). 7.</w:t>
      </w:r>
      <w:r w:rsidR="007C1411" w:rsidRPr="00E93F40">
        <w:rPr>
          <w:color w:val="000000" w:themeColor="text1"/>
          <w:sz w:val="16"/>
          <w:szCs w:val="16"/>
        </w:rPr>
        <w:t xml:space="preserve"> </w:t>
      </w:r>
      <w:r w:rsidRPr="00E93F40">
        <w:rPr>
          <w:color w:val="000000" w:themeColor="text1"/>
          <w:sz w:val="16"/>
          <w:szCs w:val="16"/>
        </w:rPr>
        <w:t>Система вооружения связи военно-морских сил. (Берг). 8.</w:t>
      </w:r>
      <w:r w:rsidR="007C1411" w:rsidRPr="00E93F40">
        <w:rPr>
          <w:color w:val="000000" w:themeColor="text1"/>
          <w:sz w:val="16"/>
          <w:szCs w:val="16"/>
        </w:rPr>
        <w:t xml:space="preserve"> </w:t>
      </w:r>
      <w:r w:rsidRPr="00E93F40">
        <w:rPr>
          <w:color w:val="000000" w:themeColor="text1"/>
          <w:sz w:val="16"/>
          <w:szCs w:val="16"/>
        </w:rPr>
        <w:t>Организация авиастроительства в центре и на местах в связи с передачей его УВВС (Алкснис).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82</w:t>
      </w:r>
      <w:r w:rsidRPr="00E93F40">
        <w:rPr>
          <w:color w:val="000000" w:themeColor="text1"/>
          <w:sz w:val="16"/>
          <w:szCs w:val="16"/>
        </w:rPr>
        <w:noBreakHyphen/>
        <w:t>83, 84, 85) (12342).</w:t>
      </w:r>
    </w:p>
    <w:p w14:paraId="75A2B6FC" w14:textId="77777777" w:rsidR="00481984" w:rsidRPr="00E93F40" w:rsidRDefault="00481984" w:rsidP="00E93F40">
      <w:pPr>
        <w:pStyle w:val="rtejustify"/>
        <w:spacing w:before="0" w:after="0"/>
        <w:rPr>
          <w:color w:val="000000" w:themeColor="text1"/>
          <w:sz w:val="16"/>
          <w:szCs w:val="16"/>
        </w:rPr>
      </w:pPr>
    </w:p>
    <w:p w14:paraId="7E52E1A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CA874B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91E2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26 февраля и 3 марта 1932. Из протокола заседания Политбюро № 89, 1932 г.</w:t>
      </w:r>
    </w:p>
    <w:p w14:paraId="78AD0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Записка тов. Ягоды </w:t>
      </w:r>
    </w:p>
    <w:p w14:paraId="21110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Увеличить численность милиции по Дальневосточному краю на 800 человек, в том числе 300 конных, по Восточно-Сибирскому краю — на 470 человек, в том числе 300 конных. Отпустить на создание дополнительного контингента 3 миллиона руб. из бюджета СССР (11652).</w:t>
      </w:r>
    </w:p>
    <w:p w14:paraId="268D6F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FF64A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2C612B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C9F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в ходе испытаний на 22 заводе самолета Р6 N 2201 (эталон на 1932 год), которые проходили с 23 января по 7 апреля 1932, самолет принят для продолжения испытаний (3003).</w:t>
      </w:r>
    </w:p>
    <w:p w14:paraId="453B98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5C0B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года заводской летчик-испытатель Лозовский поднял в воздух первый серийный ТБ-3 4М-17 (5740,60).</w:t>
      </w:r>
    </w:p>
    <w:p w14:paraId="5833B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A43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состоялся вылет первого серийного ТБ-3 (АНТ-6) с завода 22 с номером N 2201. Приехал Г.К.Орджоникидзе, были А.Н.Т., И.Ф.Незваль, Н.И.Базенков, В.М.П. Летал П.И.Лозовский - заводской л (71,167). Решили делать машину на заводе 22 (Фили, директор - С.П.Горбунов) и 39 заводе им. Менжинского. А.Н.Т. послал Незваля, тот не смог, наказали и сменили директора 39 и сделали всего 50 (77,109).</w:t>
      </w:r>
    </w:p>
    <w:p w14:paraId="5DB313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Действительно, на заводе 39 им. Менжинского, который стал вторым по производству ТБ-3 (АНТ-6), не все шло гладко. Все 50 испытывал В.П.Чкалов. Первую поднял Ю.И.Пионтковский. Заводы 22 и 39 получали для сборки готовые хвостовые оперения откуда-то. Пример кооперации (71,168).</w:t>
      </w:r>
    </w:p>
    <w:p w14:paraId="39EF1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есть А.Н.Т. овечкой вовсе не был.</w:t>
      </w:r>
    </w:p>
    <w:p w14:paraId="23DEE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Пригласили также А.Н.Т., И.Ф.Незваля, Н.И.Базовского - ведущего инженера 22 завода. Летал П.И.Лозовский и В.М.Петляков был на борту (346,27).</w:t>
      </w:r>
    </w:p>
    <w:p w14:paraId="393F3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767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г. головной самолет завода №22 (сер. №2201), управляемый экипажем П.И.Лозовского, совершил первый полет в присутствии наркома тяжелой промышленности Г.К.Орджоникидзе (7668).</w:t>
      </w:r>
    </w:p>
    <w:p w14:paraId="030E9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C1B5FC"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г. поднялся в воздух первый ТБ-3 филевской постройки, а уже 1 мая девять воздушных гигантов пролетели над демонстрантами на Красной площади. До конца года завод сдал на вооружение 160 ТБ-3. В августе 1933 г. он был награжден орденом Ленина «за освоение строительства специальных типов тяжелых самолетов и хорошую организацию работы на заводе» (23472).</w:t>
      </w:r>
    </w:p>
    <w:p w14:paraId="0F6F710C" w14:textId="77777777" w:rsidR="00731874" w:rsidRPr="00E93F40" w:rsidRDefault="00731874" w:rsidP="00E93F40">
      <w:pPr>
        <w:spacing w:after="0" w:line="240" w:lineRule="auto"/>
        <w:jc w:val="both"/>
        <w:rPr>
          <w:rFonts w:ascii="Times New Roman" w:hAnsi="Times New Roman"/>
          <w:color w:val="000000" w:themeColor="text1"/>
          <w:sz w:val="16"/>
          <w:szCs w:val="16"/>
        </w:rPr>
      </w:pPr>
    </w:p>
    <w:p w14:paraId="41508D6F"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27 февраля 1932 г. назначили первый вылет первой серийной машины АНТ-6. По такому случаю на заводском аэродроме собрались нарком тяжелой промышленности ГК. Орджо</w:t>
      </w:r>
      <w:r w:rsidRPr="00E93F40">
        <w:rPr>
          <w:rFonts w:ascii="Times New Roman" w:hAnsi="Times New Roman"/>
          <w:color w:val="000000" w:themeColor="text1"/>
          <w:sz w:val="16"/>
          <w:szCs w:val="16"/>
        </w:rPr>
        <w:softHyphen/>
        <w:t>никидзе, А.Н. Туполев, И.Ф. Незваль, И.И. Базенков (ведущий инженер заво</w:t>
      </w:r>
      <w:r w:rsidRPr="00E93F40">
        <w:rPr>
          <w:rFonts w:ascii="Times New Roman" w:hAnsi="Times New Roman"/>
          <w:color w:val="000000" w:themeColor="text1"/>
          <w:sz w:val="16"/>
          <w:szCs w:val="16"/>
        </w:rPr>
        <w:softHyphen/>
        <w:t>да №22). Заводской летчик П.И. Лозов</w:t>
      </w:r>
      <w:r w:rsidRPr="00E93F40">
        <w:rPr>
          <w:rFonts w:ascii="Times New Roman" w:hAnsi="Times New Roman"/>
          <w:color w:val="000000" w:themeColor="text1"/>
          <w:sz w:val="16"/>
          <w:szCs w:val="16"/>
        </w:rPr>
        <w:softHyphen/>
        <w:t>ский поднял самолет в воздух. На его борту находился и ведущий конструктор В.М. Петляков.</w:t>
      </w:r>
    </w:p>
    <w:p w14:paraId="4A4EBE61" w14:textId="77777777" w:rsidR="00731874" w:rsidRPr="00E93F40" w:rsidRDefault="00731874" w:rsidP="00E93F40">
      <w:pPr>
        <w:spacing w:after="0" w:line="240" w:lineRule="auto"/>
        <w:jc w:val="both"/>
        <w:rPr>
          <w:rFonts w:ascii="Times New Roman" w:hAnsi="Times New Roman"/>
          <w:color w:val="000000" w:themeColor="text1"/>
          <w:sz w:val="16"/>
          <w:szCs w:val="16"/>
        </w:rPr>
      </w:pPr>
    </w:p>
    <w:p w14:paraId="755CB06B"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февраля 1932 г. в присутствии наркома тяжелой промыш</w:t>
      </w:r>
      <w:r w:rsidRPr="00142305">
        <w:rPr>
          <w:rFonts w:ascii="Times New Roman" w:hAnsi="Times New Roman"/>
          <w:color w:val="0070C0"/>
          <w:sz w:val="16"/>
          <w:szCs w:val="16"/>
        </w:rPr>
        <w:softHyphen/>
        <w:t>ленности ГК. Орджоникидзе, которому тогда подчинялось и самолетостроение, головной самолет ТБ-3 завода № 22 (№ 2201), управляемый экипажем П.И. Лозовского, совершил первый полет.</w:t>
      </w:r>
    </w:p>
    <w:p w14:paraId="7FE8E00B"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 семь лет (1932-1938 гг.) было выпущено 819 ТБ-3 – 763 на заводе № 22, 50 на заводе № 39 и 6 на заводе № 18. Самолёт постоянно совершен</w:t>
      </w:r>
      <w:r w:rsidRPr="00142305">
        <w:rPr>
          <w:rStyle w:val="aff"/>
          <w:rFonts w:ascii="Times New Roman" w:hAnsi="Times New Roman" w:cs="Times New Roman"/>
          <w:color w:val="0070C0"/>
          <w:spacing w:val="0"/>
          <w:sz w:val="16"/>
          <w:szCs w:val="16"/>
        </w:rPr>
        <w:softHyphen/>
        <w:t>ствовался. Вариант с М-17 стал самым массовым (405 шт.), но уже в сентябре 1933 г. начался выпуск ТБ-3 с 800-сильными двигателями М-34 А.А. Микулина; таких машин построили 117 шт. С 1934 г. пошёл в серию ТБ-3 с редукторными двигателями М-34Р той же мощности, новыми воздушными винтами и хвостовой турелью (построено 150 шт.). С 1935 г. ТБ-3 строился с двига</w:t>
      </w:r>
      <w:r w:rsidRPr="00142305">
        <w:rPr>
          <w:rStyle w:val="aff"/>
          <w:rFonts w:ascii="Times New Roman" w:hAnsi="Times New Roman" w:cs="Times New Roman"/>
          <w:color w:val="0070C0"/>
          <w:spacing w:val="0"/>
          <w:sz w:val="16"/>
          <w:szCs w:val="16"/>
        </w:rPr>
        <w:softHyphen/>
        <w:t>телями М-34РН (с центробежным нагнетателем, 820 л.с.) и М-34ФРН (форсированный, 1200 л.с.) – соответственно 101 и 46 шт. За годы выпуска максимальную скорость увеличили со 190 до 320 км/ч за счёт аэродинамических улучшений; экипаж сократили до 8 человек, бомбовую нагрузку увеличили до 2000 кг; вернулись к одинарным колёсам шасси, менялось и оборонительное вооружение. Однако к концу 1930-х ТБ-3 уже устарел – на первый план вышел ильюшинский дальний бомбардировщик ДБ-3, а в ОКБ Туполева уже работали над новым тяжёлым бомбар</w:t>
      </w:r>
      <w:r w:rsidRPr="00142305">
        <w:rPr>
          <w:rStyle w:val="aff"/>
          <w:rFonts w:ascii="Times New Roman" w:hAnsi="Times New Roman" w:cs="Times New Roman"/>
          <w:color w:val="0070C0"/>
          <w:spacing w:val="0"/>
          <w:sz w:val="16"/>
          <w:szCs w:val="16"/>
        </w:rPr>
        <w:softHyphen/>
        <w:t>дировщиком ТБ-7</w:t>
      </w:r>
      <w:r w:rsidRPr="00142305">
        <w:rPr>
          <w:rFonts w:ascii="Times New Roman" w:hAnsi="Times New Roman"/>
          <w:color w:val="0070C0"/>
          <w:sz w:val="16"/>
          <w:szCs w:val="16"/>
        </w:rPr>
        <w:t xml:space="preserve"> (24937).</w:t>
      </w:r>
    </w:p>
    <w:p w14:paraId="23E80AD9" w14:textId="77777777" w:rsidR="00D1046D" w:rsidRPr="00142305" w:rsidRDefault="00D1046D" w:rsidP="00D1046D">
      <w:pPr>
        <w:spacing w:after="0" w:line="240" w:lineRule="auto"/>
        <w:jc w:val="both"/>
        <w:rPr>
          <w:rFonts w:ascii="Times New Roman" w:hAnsi="Times New Roman"/>
          <w:color w:val="0070C0"/>
          <w:sz w:val="16"/>
          <w:szCs w:val="16"/>
        </w:rPr>
      </w:pPr>
    </w:p>
    <w:p w14:paraId="17F4DC42"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февраля 1932 г. головной само</w:t>
      </w:r>
      <w:r w:rsidRPr="00142305">
        <w:rPr>
          <w:rFonts w:ascii="Times New Roman" w:hAnsi="Times New Roman"/>
          <w:color w:val="0070C0"/>
          <w:sz w:val="16"/>
          <w:szCs w:val="16"/>
        </w:rPr>
        <w:softHyphen/>
        <w:t>лет ТБ-3 завода № 22 совершил первый полет в присутствии наркома тяжелой промышленности Г.К. Ор</w:t>
      </w:r>
      <w:r w:rsidRPr="00142305">
        <w:rPr>
          <w:rFonts w:ascii="Times New Roman" w:hAnsi="Times New Roman"/>
          <w:color w:val="0070C0"/>
          <w:sz w:val="16"/>
          <w:szCs w:val="16"/>
        </w:rPr>
        <w:softHyphen/>
        <w:t>джоникидзе, которому тогда подчинялось и самолетострое</w:t>
      </w:r>
      <w:r w:rsidRPr="00142305">
        <w:rPr>
          <w:rFonts w:ascii="Times New Roman" w:hAnsi="Times New Roman"/>
          <w:color w:val="0070C0"/>
          <w:sz w:val="16"/>
          <w:szCs w:val="16"/>
        </w:rPr>
        <w:softHyphen/>
        <w:t>ние. К 28 апреля в Филях собрали первую партию из десяти машин с таким расчетом, чтобы они приняли участие в пер</w:t>
      </w:r>
      <w:r w:rsidRPr="00142305">
        <w:rPr>
          <w:rFonts w:ascii="Times New Roman" w:hAnsi="Times New Roman"/>
          <w:color w:val="0070C0"/>
          <w:sz w:val="16"/>
          <w:szCs w:val="16"/>
        </w:rPr>
        <w:softHyphen/>
        <w:t>вомайском параде в Москве (24977).</w:t>
      </w:r>
    </w:p>
    <w:p w14:paraId="27B29703" w14:textId="77777777" w:rsidR="00D1046D" w:rsidRPr="00142305" w:rsidRDefault="00D1046D" w:rsidP="00D1046D">
      <w:pPr>
        <w:spacing w:after="0" w:line="240" w:lineRule="auto"/>
        <w:jc w:val="both"/>
        <w:rPr>
          <w:rFonts w:ascii="Times New Roman" w:hAnsi="Times New Roman"/>
          <w:color w:val="0070C0"/>
          <w:sz w:val="16"/>
          <w:szCs w:val="16"/>
        </w:rPr>
      </w:pPr>
    </w:p>
    <w:p w14:paraId="09580910"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27 февраля 1932 г. первый серийный экземпляр ТБ-3 4М-17 (двигатель М-17 был советской лицензионной копией </w:t>
      </w:r>
      <w:r w:rsidRPr="00142305">
        <w:rPr>
          <w:rStyle w:val="aff"/>
          <w:rFonts w:ascii="Times New Roman" w:hAnsi="Times New Roman" w:cs="Times New Roman"/>
          <w:color w:val="0070C0"/>
          <w:spacing w:val="0"/>
          <w:sz w:val="16"/>
          <w:szCs w:val="16"/>
          <w:lang w:val="en-US"/>
        </w:rPr>
        <w:t>BMW</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VI</w:t>
      </w:r>
      <w:r w:rsidRPr="00142305">
        <w:rPr>
          <w:rStyle w:val="aff"/>
          <w:rFonts w:ascii="Times New Roman" w:hAnsi="Times New Roman" w:cs="Times New Roman"/>
          <w:color w:val="0070C0"/>
          <w:spacing w:val="0"/>
          <w:sz w:val="16"/>
          <w:szCs w:val="16"/>
        </w:rPr>
        <w:t>), построенный на московском авиазаводе № 22, поднялся в воздух В декабре того же года к выпуску ТБ-3 подключился другой московский завод (№ 39), а в сентябре 1934 г. – и воронежский завод № 18 (25146).</w:t>
      </w:r>
    </w:p>
    <w:p w14:paraId="11605C6B" w14:textId="77777777" w:rsidR="00D1046D" w:rsidRPr="00142305" w:rsidRDefault="00D1046D" w:rsidP="00D1046D">
      <w:pPr>
        <w:spacing w:after="0" w:line="240" w:lineRule="auto"/>
        <w:jc w:val="both"/>
        <w:rPr>
          <w:rFonts w:ascii="Times New Roman" w:hAnsi="Times New Roman"/>
          <w:color w:val="0070C0"/>
          <w:sz w:val="16"/>
          <w:szCs w:val="16"/>
        </w:rPr>
      </w:pPr>
    </w:p>
    <w:p w14:paraId="61304DE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года завод 24 получил все чертежи мотора М-34 от ЦИАМ (3530,52).</w:t>
      </w:r>
    </w:p>
    <w:p w14:paraId="1529981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7BCC741" w14:textId="7E6D6C65" w:rsidR="004118FA" w:rsidRPr="00E93F40" w:rsidRDefault="004118F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bCs/>
          <w:iCs/>
          <w:color w:val="000000" w:themeColor="text1"/>
          <w:sz w:val="16"/>
          <w:szCs w:val="16"/>
        </w:rPr>
        <w:t>27</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февраля 1932</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г.</w:t>
      </w:r>
      <w:r w:rsidRPr="00E93F40">
        <w:rPr>
          <w:rFonts w:ascii="Times New Roman" w:hAnsi="Times New Roman"/>
          <w:color w:val="000000" w:themeColor="text1"/>
          <w:sz w:val="16"/>
          <w:szCs w:val="16"/>
        </w:rPr>
        <w:t xml:space="preserve"> Начальник вооружений РККА М.Н.Тухачевский после прошедшего накануне заседания РВС СССР утвердил вторую систему химического вооружения Красной Армии.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вооружение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снабжение были приняты многие средства химического нападения: синильная кислота (ОВ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общетоксического действия; предназначение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w:t>
      </w:r>
      <w:r w:rsidRPr="00E93F40">
        <w:rPr>
          <w:rFonts w:ascii="Times New Roman" w:hAnsi="Times New Roman"/>
          <w:iCs/>
          <w:color w:val="000000" w:themeColor="text1"/>
          <w:sz w:val="16"/>
          <w:szCs w:val="16"/>
        </w:rPr>
        <w:t>для поражения живой силы при передвижениях, расположенных на</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месте и</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вообще по</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скоплениям войск противника</w:t>
      </w:r>
      <w:r w:rsidRPr="00E93F40">
        <w:rPr>
          <w:rFonts w:ascii="Times New Roman" w:hAnsi="Times New Roman"/>
          <w:color w:val="000000" w:themeColor="text1"/>
          <w:sz w:val="16"/>
          <w:szCs w:val="16"/>
        </w:rPr>
        <w:t>»)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«Р-16» (смесь иприта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дифосгеном), химический фугас ХФ-1, шашка ядовитого дыма ЯМ-31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основе дифенилхлорарсина, серия осколочно-химических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химических снарядов, новая авиахимбомба.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снабжение армии поступили боевые химмашины БХМ-1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БХМ-2, химминометы калибра 107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(17133).</w:t>
      </w:r>
    </w:p>
    <w:p w14:paraId="2034F017" w14:textId="77777777" w:rsidR="004118FA" w:rsidRPr="00E93F40" w:rsidRDefault="004118FA" w:rsidP="00E93F40">
      <w:pPr>
        <w:shd w:val="clear" w:color="auto" w:fill="FFFFFF"/>
        <w:spacing w:after="0" w:line="240" w:lineRule="auto"/>
        <w:jc w:val="both"/>
        <w:rPr>
          <w:rFonts w:ascii="Times New Roman" w:hAnsi="Times New Roman"/>
          <w:color w:val="000000" w:themeColor="text1"/>
          <w:sz w:val="16"/>
          <w:szCs w:val="16"/>
        </w:rPr>
      </w:pPr>
    </w:p>
    <w:p w14:paraId="29EB765A" w14:textId="77777777" w:rsidR="004118FA" w:rsidRPr="00E93F40" w:rsidRDefault="004118FA"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27 февраля</w:t>
      </w:r>
      <w:r w:rsidRPr="00E93F40">
        <w:rPr>
          <w:rFonts w:ascii="Times New Roman" w:hAnsi="Times New Roman"/>
          <w:color w:val="000000" w:themeColor="text1"/>
          <w:sz w:val="16"/>
          <w:szCs w:val="16"/>
        </w:rPr>
        <w:t xml:space="preserve"> в 1932 году в город Петрозаводск впервые прибыл самолёт гражданской авиации из города Ленинграда, был совершён пробный авиарейс Ленинград-Петрозаводск. Весной 1932 года было намечено открытие авиалинии Ленинград-Петрозаводск-Мурманск. Оборудовалось 8 промежуточных посадочных площадок: в Званке, Лодейном Поле, Шлиссельбурге и других населенных пунктах.</w:t>
      </w:r>
    </w:p>
    <w:p w14:paraId="492825EC" w14:textId="77777777" w:rsidR="004118FA" w:rsidRPr="00E93F40" w:rsidRDefault="004118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в 1932 году в присутствии наркома тяжелой промышленности Г.К.Орджоникидзе, которому тогда подчинялось и самолетостроение, совершил первый полет головной самолет </w:t>
      </w:r>
      <w:hyperlink r:id="rId60" w:tgtFrame="_blank" w:history="1">
        <w:r w:rsidRPr="00E93F40">
          <w:rPr>
            <w:rFonts w:ascii="Times New Roman" w:hAnsi="Times New Roman"/>
            <w:color w:val="000000" w:themeColor="text1"/>
            <w:sz w:val="16"/>
            <w:szCs w:val="16"/>
          </w:rPr>
          <w:t xml:space="preserve">«ТБ-3» </w:t>
        </w:r>
      </w:hyperlink>
      <w:r w:rsidRPr="00E93F40">
        <w:rPr>
          <w:rFonts w:ascii="Times New Roman" w:hAnsi="Times New Roman"/>
          <w:color w:val="000000" w:themeColor="text1"/>
          <w:sz w:val="16"/>
          <w:szCs w:val="16"/>
        </w:rPr>
        <w:t>завода No.22 (сер. No.2201), управляемый экипажем П.И.Лозовского. К 28 апреля в Филях собрали первую партию из десяти машин с таким расчетом, чтобы они приняли участие в первомайском параде в Москве (15053).</w:t>
      </w:r>
    </w:p>
    <w:p w14:paraId="2443B6A9" w14:textId="77777777" w:rsidR="004118FA" w:rsidRPr="00E93F40" w:rsidRDefault="004118FA" w:rsidP="00E93F40">
      <w:pPr>
        <w:spacing w:after="0" w:line="240" w:lineRule="auto"/>
        <w:jc w:val="both"/>
        <w:rPr>
          <w:rFonts w:ascii="Times New Roman" w:hAnsi="Times New Roman"/>
          <w:color w:val="000000" w:themeColor="text1"/>
          <w:sz w:val="16"/>
          <w:szCs w:val="16"/>
        </w:rPr>
      </w:pPr>
    </w:p>
    <w:p w14:paraId="54C348C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2CB32B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664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года Тухачевский утвердил систему артиллерийского вооружения Морских сил РККА (3861).</w:t>
      </w:r>
    </w:p>
    <w:p w14:paraId="76623D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CE1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утвержденной Тухачевским 27 февраля 1932 года системе артиллерийского вооружения Морских сил РККА предусматривалось создание 130/45-мм установок для подводных лодок с углом возвышения до +30 и для надводных кораблей с углом возвышения +45 (3861).</w:t>
      </w:r>
    </w:p>
    <w:p w14:paraId="4B020B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8B1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года немцы из КБ-2 сдали рабочие чертежи 305-мм гаубицы. В целом это был довольно удачный проект, но по непонятным причинам он не был воплощен в металле. Надо полагать, он оказался нежелательным конкурентом для "Большого триплекса" и, кроме того, АУ взбрело в голову иметь гигантские неразборные системы на "самоходах" (3861).</w:t>
      </w:r>
    </w:p>
    <w:p w14:paraId="7BB46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D2B63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8A6040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F5270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созданы Киевская, Винницкая, Днепропетровская, Одесская и Харьковская области (4962).</w:t>
      </w:r>
    </w:p>
    <w:p w14:paraId="3EE82C0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ED467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08B4C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78DF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постановлением Совета Труда и Обороны строительство канала Москва - Волга было включено в число «ударных объектов». 31 марта об этом было объявлено в приказе по МКС № 64 (7560).</w:t>
      </w:r>
    </w:p>
    <w:p w14:paraId="2A202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AF41B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778F1A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5DA99C3" w14:textId="77777777" w:rsidR="004118FA" w:rsidRPr="00E93F40" w:rsidRDefault="004118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27 февраля</w:t>
      </w:r>
      <w:r w:rsidRPr="00E93F40">
        <w:rPr>
          <w:rFonts w:ascii="Times New Roman" w:hAnsi="Times New Roman"/>
          <w:color w:val="000000" w:themeColor="text1"/>
          <w:sz w:val="16"/>
          <w:szCs w:val="16"/>
        </w:rPr>
        <w:t xml:space="preserve"> в 1932 году английский физик Джеймс Чэдвик (Нобелевская премия 1935) открыл нейтрон — нейтральную элементарную частицу. Из нейтронов и протонов (положительно заряженных частиц) состоят атомные ядра всех веществ (15053).</w:t>
      </w:r>
    </w:p>
    <w:p w14:paraId="1E499360" w14:textId="77777777" w:rsidR="004118FA" w:rsidRPr="00E93F40" w:rsidRDefault="004118FA" w:rsidP="00E93F40">
      <w:pPr>
        <w:spacing w:after="0" w:line="240" w:lineRule="auto"/>
        <w:jc w:val="both"/>
        <w:rPr>
          <w:rFonts w:ascii="Times New Roman" w:hAnsi="Times New Roman"/>
          <w:color w:val="000000" w:themeColor="text1"/>
          <w:sz w:val="16"/>
          <w:szCs w:val="16"/>
        </w:rPr>
      </w:pPr>
    </w:p>
    <w:p w14:paraId="07A792EF" w14:textId="77777777" w:rsidR="004118FA" w:rsidRPr="00E93F40" w:rsidRDefault="004118FA"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английский физик Дж. Чедвик открыл нейтрон (4962).</w:t>
      </w:r>
    </w:p>
    <w:p w14:paraId="42BC921F" w14:textId="77777777" w:rsidR="004118FA" w:rsidRPr="00E93F40" w:rsidRDefault="004118FA"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3E8B0C" w14:textId="77777777" w:rsidR="004118FA" w:rsidRPr="00E93F40" w:rsidRDefault="004118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27 февраля</w:t>
      </w:r>
      <w:r w:rsidRPr="00E93F40">
        <w:rPr>
          <w:rFonts w:ascii="Times New Roman" w:hAnsi="Times New Roman"/>
          <w:color w:val="000000" w:themeColor="text1"/>
          <w:sz w:val="16"/>
          <w:szCs w:val="16"/>
        </w:rPr>
        <w:t xml:space="preserve"> в 1932 году в США проводится реорганизация федеральной резервной системы (15053).</w:t>
      </w:r>
    </w:p>
    <w:p w14:paraId="156938C2" w14:textId="77777777" w:rsidR="004118FA" w:rsidRPr="00E93F40" w:rsidRDefault="004118FA" w:rsidP="00E93F40">
      <w:pPr>
        <w:spacing w:after="0" w:line="240" w:lineRule="auto"/>
        <w:jc w:val="both"/>
        <w:rPr>
          <w:rFonts w:ascii="Times New Roman" w:hAnsi="Times New Roman"/>
          <w:color w:val="000000" w:themeColor="text1"/>
          <w:sz w:val="16"/>
          <w:szCs w:val="16"/>
        </w:rPr>
      </w:pPr>
    </w:p>
    <w:p w14:paraId="00B32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27 февраля по 7 марта 1932 была попытка фашистского мятежа в Финляндии (3186).</w:t>
      </w:r>
    </w:p>
    <w:p w14:paraId="73B05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21928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2FED14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AE9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февраля 1932 с учетом представленного проекта утвердили новые летно-технические требования к К-7. Первоначальные требования пришлось серьезно урезать. Теперь максимальная скорость была описана как "не менее 190 км/ч", потолок ограничивался 5000 м (на набор этой высоты давался час), а дальность - 2000 км. Бомбовая нагрузка опять упала - до 12 300 кг.</w:t>
      </w:r>
    </w:p>
    <w:p w14:paraId="699A1F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Некоторые аспекты проекта комиссия подвергла критике. Например, сочли, что у пилотов плохой обзор вниз-вперед, а сидят они в плоскости вращения винтов, что должно было привести к сильному шуму в кабине. Члены комиссии, посидевшие в макете машины на месте штурмана-бомбардира, заявили, что оно тесное и неудобное. Предложили заменить кормовые пушки парами пулеметов, предусмотреть плановый фотоаппарат, броню для летчиков. Командира же хотели разместить в выдвигающейся вверх вращающейся бронированной башне ("рубке") с пулеметом ДА.</w:t>
      </w:r>
    </w:p>
    <w:p w14:paraId="58BAD4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Большую часть этих предложений харьковчане проигнорировали, но вот пушки и пулеметы на хвостовых балках поменяли местами. Пушечные турели предусмотрели в корневых частях балок, а спарки пулеметов - за оперением (12036).</w:t>
      </w:r>
    </w:p>
    <w:p w14:paraId="1264C0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BC6803"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февраля 1932 г. с учетом представленного проекта К-7 утверди</w:t>
      </w:r>
      <w:r w:rsidRPr="00142305">
        <w:rPr>
          <w:rFonts w:ascii="Times New Roman" w:hAnsi="Times New Roman"/>
          <w:color w:val="0070C0"/>
          <w:sz w:val="16"/>
          <w:szCs w:val="16"/>
        </w:rPr>
        <w:softHyphen/>
        <w:t>ли новые летно-технические требования. Первоначальные требования пришлось серьезно урезать. Теперь максималь</w:t>
      </w:r>
      <w:r w:rsidRPr="00142305">
        <w:rPr>
          <w:rFonts w:ascii="Times New Roman" w:hAnsi="Times New Roman"/>
          <w:color w:val="0070C0"/>
          <w:sz w:val="16"/>
          <w:szCs w:val="16"/>
        </w:rPr>
        <w:softHyphen/>
        <w:t>ная скорость была описана как «не менее 190 км/ч», пото</w:t>
      </w:r>
      <w:r w:rsidRPr="00142305">
        <w:rPr>
          <w:rFonts w:ascii="Times New Roman" w:hAnsi="Times New Roman"/>
          <w:color w:val="0070C0"/>
          <w:sz w:val="16"/>
          <w:szCs w:val="16"/>
        </w:rPr>
        <w:softHyphen/>
        <w:t>лок ограничивался 5000 м (на набор этой высоты давался час), а дальность — 2000 км. Бомбовая нагрузка опять упа</w:t>
      </w:r>
      <w:r w:rsidRPr="00142305">
        <w:rPr>
          <w:rFonts w:ascii="Times New Roman" w:hAnsi="Times New Roman"/>
          <w:color w:val="0070C0"/>
          <w:sz w:val="16"/>
          <w:szCs w:val="16"/>
        </w:rPr>
        <w:softHyphen/>
        <w:t>ла — до 12 300 кг.</w:t>
      </w:r>
    </w:p>
    <w:p w14:paraId="5FEF0977"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Некоторые аспекты проекта комиссия подвергла крити</w:t>
      </w:r>
      <w:r w:rsidRPr="00142305">
        <w:rPr>
          <w:rFonts w:ascii="Times New Roman" w:hAnsi="Times New Roman"/>
          <w:color w:val="0070C0"/>
          <w:sz w:val="16"/>
          <w:szCs w:val="16"/>
        </w:rPr>
        <w:softHyphen/>
        <w:t>ке. Например, сочли, что у пилотов плохой обзор вниз-впе</w:t>
      </w:r>
      <w:r w:rsidRPr="00142305">
        <w:rPr>
          <w:rFonts w:ascii="Times New Roman" w:hAnsi="Times New Roman"/>
          <w:color w:val="0070C0"/>
          <w:sz w:val="16"/>
          <w:szCs w:val="16"/>
        </w:rPr>
        <w:softHyphen/>
        <w:t>ред, а сидят они в плоскости вращения винтов, что должно было привести к сильному шуму в кабине. Члены комис</w:t>
      </w:r>
      <w:r w:rsidRPr="00142305">
        <w:rPr>
          <w:rFonts w:ascii="Times New Roman" w:hAnsi="Times New Roman"/>
          <w:color w:val="0070C0"/>
          <w:sz w:val="16"/>
          <w:szCs w:val="16"/>
        </w:rPr>
        <w:softHyphen/>
        <w:t>сии, посидевшие в макете машины на месте штурмана-бом</w:t>
      </w:r>
      <w:r w:rsidRPr="00142305">
        <w:rPr>
          <w:rFonts w:ascii="Times New Roman" w:hAnsi="Times New Roman"/>
          <w:color w:val="0070C0"/>
          <w:sz w:val="16"/>
          <w:szCs w:val="16"/>
        </w:rPr>
        <w:softHyphen/>
        <w:t>бардира, заявили, что оно тесное и неудобное. Предложили заменить кормовые пушки парами пулеметов, предусмот</w:t>
      </w:r>
      <w:r w:rsidRPr="00142305">
        <w:rPr>
          <w:rFonts w:ascii="Times New Roman" w:hAnsi="Times New Roman"/>
          <w:color w:val="0070C0"/>
          <w:sz w:val="16"/>
          <w:szCs w:val="16"/>
        </w:rPr>
        <w:softHyphen/>
        <w:t>реть плановый фотоаппарат, броню для летчиков. Коман</w:t>
      </w:r>
      <w:r w:rsidRPr="00142305">
        <w:rPr>
          <w:rFonts w:ascii="Times New Roman" w:hAnsi="Times New Roman"/>
          <w:color w:val="0070C0"/>
          <w:sz w:val="16"/>
          <w:szCs w:val="16"/>
        </w:rPr>
        <w:softHyphen/>
        <w:t>дира же хотели разместить в выдвигающейся вверх вращаю</w:t>
      </w:r>
      <w:r w:rsidRPr="00142305">
        <w:rPr>
          <w:rFonts w:ascii="Times New Roman" w:hAnsi="Times New Roman"/>
          <w:color w:val="0070C0"/>
          <w:sz w:val="16"/>
          <w:szCs w:val="16"/>
        </w:rPr>
        <w:softHyphen/>
        <w:t>щейся бронированной башне («рубке») с пулеметом ДА.</w:t>
      </w:r>
    </w:p>
    <w:p w14:paraId="704AF3EB" w14:textId="77777777" w:rsidR="00D1046D" w:rsidRPr="00142305" w:rsidRDefault="00D1046D" w:rsidP="00D1046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Большую часть этих предложений харьковчане проиг</w:t>
      </w:r>
      <w:r w:rsidRPr="00142305">
        <w:rPr>
          <w:rFonts w:ascii="Times New Roman" w:hAnsi="Times New Roman"/>
          <w:color w:val="0070C0"/>
          <w:sz w:val="16"/>
          <w:szCs w:val="16"/>
        </w:rPr>
        <w:softHyphen/>
        <w:t>норировали, но вот пушки и пулеметы на хвостовых балках поменяли местами. Пушечные турели предусмотрели в кор</w:t>
      </w:r>
      <w:r w:rsidRPr="00142305">
        <w:rPr>
          <w:rFonts w:ascii="Times New Roman" w:hAnsi="Times New Roman"/>
          <w:color w:val="0070C0"/>
          <w:sz w:val="16"/>
          <w:szCs w:val="16"/>
        </w:rPr>
        <w:softHyphen/>
        <w:t>невых частях балок, а спарки пулеметов — за оперением (24977).</w:t>
      </w:r>
    </w:p>
    <w:p w14:paraId="067C6879" w14:textId="77777777" w:rsidR="00D1046D" w:rsidRPr="00142305" w:rsidRDefault="00D1046D" w:rsidP="00D1046D">
      <w:pPr>
        <w:spacing w:after="0" w:line="240" w:lineRule="auto"/>
        <w:jc w:val="both"/>
        <w:rPr>
          <w:rFonts w:ascii="Times New Roman" w:hAnsi="Times New Roman"/>
          <w:color w:val="0070C0"/>
          <w:sz w:val="16"/>
          <w:szCs w:val="16"/>
        </w:rPr>
      </w:pPr>
    </w:p>
    <w:p w14:paraId="3E452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28 февраля и 12, 13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15 полетов на облет со стрельбой поземным целям; проверка температуры головок цилиндров по термопаре, в связи с установкой на самолете кольца; определение времени длины разбега и пробега (3002).</w:t>
      </w:r>
    </w:p>
    <w:p w14:paraId="7E915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967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февраля 1932 года начальник секретариата Всесоюзного объединения Авиапромышленности писал письмо N 187/13058 в секретариат Алксниса.</w:t>
      </w:r>
    </w:p>
    <w:p w14:paraId="0D922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распоряжения Баранова направляю Вам планировку производственной программы на 1932 год.</w:t>
      </w:r>
    </w:p>
    <w:p w14:paraId="3BD4B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Производственная программа на 1932 год по самолетным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349181C8" w14:textId="77777777">
        <w:tc>
          <w:tcPr>
            <w:tcW w:w="5636" w:type="dxa"/>
          </w:tcPr>
          <w:p w14:paraId="6B515F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BDC11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r>
      <w:tr w:rsidR="00DA227A" w:rsidRPr="00E93F40" w14:paraId="58421BC2" w14:textId="77777777">
        <w:tc>
          <w:tcPr>
            <w:tcW w:w="5636" w:type="dxa"/>
          </w:tcPr>
          <w:p w14:paraId="4D2CA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5636" w:type="dxa"/>
          </w:tcPr>
          <w:p w14:paraId="46021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r>
      <w:tr w:rsidR="00DA227A" w:rsidRPr="00E93F40" w14:paraId="74581D70" w14:textId="77777777">
        <w:tc>
          <w:tcPr>
            <w:tcW w:w="5636" w:type="dxa"/>
          </w:tcPr>
          <w:p w14:paraId="7B2FC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И5-М22</w:t>
            </w:r>
          </w:p>
        </w:tc>
        <w:tc>
          <w:tcPr>
            <w:tcW w:w="5636" w:type="dxa"/>
          </w:tcPr>
          <w:p w14:paraId="739348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w:t>
            </w:r>
          </w:p>
        </w:tc>
      </w:tr>
      <w:tr w:rsidR="00DA227A" w:rsidRPr="00E93F40" w14:paraId="41BB2D66" w14:textId="77777777">
        <w:tc>
          <w:tcPr>
            <w:tcW w:w="5636" w:type="dxa"/>
          </w:tcPr>
          <w:p w14:paraId="736E56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И7-М17</w:t>
            </w:r>
          </w:p>
        </w:tc>
        <w:tc>
          <w:tcPr>
            <w:tcW w:w="5636" w:type="dxa"/>
          </w:tcPr>
          <w:p w14:paraId="6B0BE0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r>
      <w:tr w:rsidR="00DA227A" w:rsidRPr="00E93F40" w14:paraId="7EF68C2E" w14:textId="77777777">
        <w:tc>
          <w:tcPr>
            <w:tcW w:w="5636" w:type="dxa"/>
          </w:tcPr>
          <w:p w14:paraId="44C98C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И5-М22</w:t>
            </w:r>
          </w:p>
        </w:tc>
        <w:tc>
          <w:tcPr>
            <w:tcW w:w="5636" w:type="dxa"/>
          </w:tcPr>
          <w:p w14:paraId="0326B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276</w:t>
            </w:r>
          </w:p>
        </w:tc>
      </w:tr>
      <w:tr w:rsidR="00DA227A" w:rsidRPr="00E93F40" w14:paraId="3A75B738" w14:textId="77777777">
        <w:tc>
          <w:tcPr>
            <w:tcW w:w="5636" w:type="dxa"/>
          </w:tcPr>
          <w:p w14:paraId="536CB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5636" w:type="dxa"/>
          </w:tcPr>
          <w:p w14:paraId="0D882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49B417CF" w14:textId="77777777">
        <w:tc>
          <w:tcPr>
            <w:tcW w:w="5636" w:type="dxa"/>
          </w:tcPr>
          <w:p w14:paraId="5102B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5636" w:type="dxa"/>
          </w:tcPr>
          <w:p w14:paraId="70BACF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2F4907B9" w14:textId="77777777">
        <w:tc>
          <w:tcPr>
            <w:tcW w:w="5636" w:type="dxa"/>
          </w:tcPr>
          <w:p w14:paraId="1D023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5636" w:type="dxa"/>
          </w:tcPr>
          <w:p w14:paraId="78C16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2C8CB824" w14:textId="77777777">
        <w:tc>
          <w:tcPr>
            <w:tcW w:w="5636" w:type="dxa"/>
          </w:tcPr>
          <w:p w14:paraId="1FBA2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5636" w:type="dxa"/>
          </w:tcPr>
          <w:p w14:paraId="428CB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835</w:t>
            </w:r>
          </w:p>
        </w:tc>
      </w:tr>
      <w:tr w:rsidR="00DA227A" w:rsidRPr="00E93F40" w14:paraId="22108490" w14:textId="77777777">
        <w:tc>
          <w:tcPr>
            <w:tcW w:w="5636" w:type="dxa"/>
          </w:tcPr>
          <w:p w14:paraId="2D8119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w:t>
            </w:r>
          </w:p>
        </w:tc>
        <w:tc>
          <w:tcPr>
            <w:tcW w:w="5636" w:type="dxa"/>
          </w:tcPr>
          <w:p w14:paraId="4CBDA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r>
      <w:tr w:rsidR="00DA227A" w:rsidRPr="00E93F40" w14:paraId="6F67E670" w14:textId="77777777">
        <w:tc>
          <w:tcPr>
            <w:tcW w:w="5636" w:type="dxa"/>
          </w:tcPr>
          <w:p w14:paraId="6EBA3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К-5</w:t>
            </w:r>
          </w:p>
        </w:tc>
        <w:tc>
          <w:tcPr>
            <w:tcW w:w="5636" w:type="dxa"/>
          </w:tcPr>
          <w:p w14:paraId="79CE0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r>
      <w:tr w:rsidR="00DA227A" w:rsidRPr="00E93F40" w14:paraId="2DD8CB50" w14:textId="77777777">
        <w:tc>
          <w:tcPr>
            <w:tcW w:w="5636" w:type="dxa"/>
          </w:tcPr>
          <w:p w14:paraId="00003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w:t>
            </w:r>
          </w:p>
        </w:tc>
        <w:tc>
          <w:tcPr>
            <w:tcW w:w="5636" w:type="dxa"/>
          </w:tcPr>
          <w:p w14:paraId="23CDE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r>
      <w:tr w:rsidR="00DA227A" w:rsidRPr="00E93F40" w14:paraId="61E578E2" w14:textId="77777777">
        <w:tc>
          <w:tcPr>
            <w:tcW w:w="5636" w:type="dxa"/>
          </w:tcPr>
          <w:p w14:paraId="70FC78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5636" w:type="dxa"/>
          </w:tcPr>
          <w:p w14:paraId="20AE8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r>
      <w:tr w:rsidR="00DA227A" w:rsidRPr="00E93F40" w14:paraId="33807259" w14:textId="77777777">
        <w:tc>
          <w:tcPr>
            <w:tcW w:w="5636" w:type="dxa"/>
          </w:tcPr>
          <w:p w14:paraId="3B5B72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5636" w:type="dxa"/>
          </w:tcPr>
          <w:p w14:paraId="3E3287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r>
      <w:tr w:rsidR="00DA227A" w:rsidRPr="00E93F40" w14:paraId="1428DD8D" w14:textId="77777777">
        <w:tc>
          <w:tcPr>
            <w:tcW w:w="5636" w:type="dxa"/>
          </w:tcPr>
          <w:p w14:paraId="61AF9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5636" w:type="dxa"/>
          </w:tcPr>
          <w:p w14:paraId="29895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r w:rsidR="00DA227A" w:rsidRPr="00E93F40" w14:paraId="14D0D115" w14:textId="77777777">
        <w:tc>
          <w:tcPr>
            <w:tcW w:w="5636" w:type="dxa"/>
          </w:tcPr>
          <w:p w14:paraId="7EC82D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5636" w:type="dxa"/>
          </w:tcPr>
          <w:p w14:paraId="60757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r>
      <w:tr w:rsidR="00DA227A" w:rsidRPr="00E93F40" w14:paraId="5248CBBE" w14:textId="77777777">
        <w:tc>
          <w:tcPr>
            <w:tcW w:w="5636" w:type="dxa"/>
          </w:tcPr>
          <w:p w14:paraId="29F1C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w:t>
            </w:r>
          </w:p>
        </w:tc>
        <w:tc>
          <w:tcPr>
            <w:tcW w:w="5636" w:type="dxa"/>
          </w:tcPr>
          <w:p w14:paraId="3A9A73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w:t>
            </w:r>
          </w:p>
        </w:tc>
      </w:tr>
      <w:tr w:rsidR="00DA227A" w:rsidRPr="00E93F40" w14:paraId="00A83EB6" w14:textId="77777777">
        <w:tc>
          <w:tcPr>
            <w:tcW w:w="5636" w:type="dxa"/>
          </w:tcPr>
          <w:p w14:paraId="4DBD1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w:t>
            </w:r>
          </w:p>
        </w:tc>
        <w:tc>
          <w:tcPr>
            <w:tcW w:w="5636" w:type="dxa"/>
          </w:tcPr>
          <w:p w14:paraId="69F896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r w:rsidR="00DA227A" w:rsidRPr="00E93F40" w14:paraId="247F6D34" w14:textId="77777777">
        <w:tc>
          <w:tcPr>
            <w:tcW w:w="5636" w:type="dxa"/>
          </w:tcPr>
          <w:p w14:paraId="517A87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А-Ш</w:t>
            </w:r>
          </w:p>
        </w:tc>
        <w:tc>
          <w:tcPr>
            <w:tcW w:w="5636" w:type="dxa"/>
          </w:tcPr>
          <w:p w14:paraId="64AB8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3D5514EC" w14:textId="77777777">
        <w:tc>
          <w:tcPr>
            <w:tcW w:w="5636" w:type="dxa"/>
          </w:tcPr>
          <w:p w14:paraId="478D2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Всего с-тов:</w:t>
            </w:r>
          </w:p>
        </w:tc>
        <w:tc>
          <w:tcPr>
            <w:tcW w:w="5636" w:type="dxa"/>
          </w:tcPr>
          <w:p w14:paraId="0DBA4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3421</w:t>
            </w:r>
          </w:p>
        </w:tc>
      </w:tr>
      <w:tr w:rsidR="00DA227A" w:rsidRPr="00E93F40" w14:paraId="59165B6C" w14:textId="77777777">
        <w:tc>
          <w:tcPr>
            <w:tcW w:w="5636" w:type="dxa"/>
          </w:tcPr>
          <w:p w14:paraId="041085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моторным заводам</w:t>
            </w:r>
          </w:p>
        </w:tc>
        <w:tc>
          <w:tcPr>
            <w:tcW w:w="5636" w:type="dxa"/>
          </w:tcPr>
          <w:p w14:paraId="08E87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9BDB60" w14:textId="77777777">
        <w:tc>
          <w:tcPr>
            <w:tcW w:w="5636" w:type="dxa"/>
          </w:tcPr>
          <w:p w14:paraId="49BE19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5636" w:type="dxa"/>
          </w:tcPr>
          <w:p w14:paraId="1CD3C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1921AF62" w14:textId="77777777">
        <w:tc>
          <w:tcPr>
            <w:tcW w:w="5636" w:type="dxa"/>
          </w:tcPr>
          <w:p w14:paraId="303B9E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М-15</w:t>
            </w:r>
          </w:p>
        </w:tc>
        <w:tc>
          <w:tcPr>
            <w:tcW w:w="5636" w:type="dxa"/>
          </w:tcPr>
          <w:p w14:paraId="7A408B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211</w:t>
            </w:r>
          </w:p>
        </w:tc>
      </w:tr>
      <w:tr w:rsidR="00DA227A" w:rsidRPr="00E93F40" w14:paraId="6C4B9DC6" w14:textId="77777777">
        <w:tc>
          <w:tcPr>
            <w:tcW w:w="5636" w:type="dxa"/>
          </w:tcPr>
          <w:p w14:paraId="3C520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М-26</w:t>
            </w:r>
          </w:p>
        </w:tc>
        <w:tc>
          <w:tcPr>
            <w:tcW w:w="5636" w:type="dxa"/>
          </w:tcPr>
          <w:p w14:paraId="32B88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324</w:t>
            </w:r>
          </w:p>
        </w:tc>
      </w:tr>
      <w:tr w:rsidR="00DA227A" w:rsidRPr="00E93F40" w14:paraId="1361DD75" w14:textId="77777777">
        <w:tc>
          <w:tcPr>
            <w:tcW w:w="5636" w:type="dxa"/>
          </w:tcPr>
          <w:p w14:paraId="2BF0A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w:t>
            </w:r>
          </w:p>
        </w:tc>
        <w:tc>
          <w:tcPr>
            <w:tcW w:w="5636" w:type="dxa"/>
          </w:tcPr>
          <w:p w14:paraId="4A3CA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2250</w:t>
            </w:r>
          </w:p>
        </w:tc>
      </w:tr>
      <w:tr w:rsidR="00DA227A" w:rsidRPr="00E93F40" w14:paraId="0B08B25B" w14:textId="77777777">
        <w:tc>
          <w:tcPr>
            <w:tcW w:w="5636" w:type="dxa"/>
          </w:tcPr>
          <w:p w14:paraId="2C797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М-11</w:t>
            </w:r>
          </w:p>
        </w:tc>
        <w:tc>
          <w:tcPr>
            <w:tcW w:w="5636" w:type="dxa"/>
          </w:tcPr>
          <w:p w14:paraId="4BF82D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1755</w:t>
            </w:r>
          </w:p>
        </w:tc>
      </w:tr>
      <w:tr w:rsidR="00DA227A" w:rsidRPr="00E93F40" w14:paraId="12C3EB6D" w14:textId="77777777">
        <w:tc>
          <w:tcPr>
            <w:tcW w:w="5636" w:type="dxa"/>
          </w:tcPr>
          <w:p w14:paraId="67AEF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w:t>
            </w:r>
          </w:p>
        </w:tc>
        <w:tc>
          <w:tcPr>
            <w:tcW w:w="5636" w:type="dxa"/>
          </w:tcPr>
          <w:p w14:paraId="3EE28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w:t>
            </w:r>
          </w:p>
        </w:tc>
      </w:tr>
      <w:tr w:rsidR="009D12BD" w:rsidRPr="00E93F40" w14:paraId="5FB8FBAB" w14:textId="77777777">
        <w:tc>
          <w:tcPr>
            <w:tcW w:w="5636" w:type="dxa"/>
          </w:tcPr>
          <w:p w14:paraId="012B67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моторов</w:t>
            </w:r>
          </w:p>
        </w:tc>
        <w:tc>
          <w:tcPr>
            <w:tcW w:w="5636" w:type="dxa"/>
          </w:tcPr>
          <w:p w14:paraId="792D73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5310 (3042,71-72).</w:t>
            </w:r>
          </w:p>
        </w:tc>
      </w:tr>
    </w:tbl>
    <w:p w14:paraId="569BA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3AB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февраля 1932 приказом по У ГВФ И.В.С. согласно решению второй Всесоюзной конференции работников ГВФ был зачислен почетным пилотом, а В.В.Куйбышев - почетным бортмехаником (271,129).</w:t>
      </w:r>
    </w:p>
    <w:p w14:paraId="645348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0D304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70292C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C59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февраля 1932 года заместитель начальника УММ РККА Г.Г.Бокис докладывал М.Н.Тухачевскому: "Работы по Т-35 идут ударными темпами, и срыва сроков окончания работ не намечается" (3862).</w:t>
      </w:r>
    </w:p>
    <w:p w14:paraId="2EDE6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проектировании Т-35 учитывался полуторалетний опыт работы над ТГ-1, а также результаты испытаний немецких танков "Гросстрактор" на полигоне под Казанью и материалы (развединформация) комиссии по закупке бронетанковой техники в Великобритании (3862).</w:t>
      </w:r>
    </w:p>
    <w:p w14:paraId="2465E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81AF38"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февраля 1932 г. заместитель начальника УММ РККА Г.Г. Бокис докладывал М.Н. Тухачевскому: «Работы по Т-35 идут ударными темпами, и срыва сроков окончания работ не намечается». При проектировании Т-35 учитывался полуторалетний опыт работы над ТГ-1, а также результаты испытаний немецких танков «Гросстрактор» на полигоне под Казанью и материалы (развединформация) комиссии по закупке бронетанковой техники в Великобритании. Сборку первого прототипа, получившего обозначение Т-35—1, закончили 20 августа 1932 г., а 1 сентября он был показан представителям УММ РККА во главе с Бокисом. На присутствующих машина произвела сильное впечатление. Внешне Т-35 оказался, похожим на английский опытный пятибашенный танк А1Е1 «Индепендент» фирмы «Виккерс». Принято считать, что Т-35 создан по типу «Индепендента» (15117).</w:t>
      </w:r>
    </w:p>
    <w:p w14:paraId="0B2BF1C8" w14:textId="77777777" w:rsidR="001B58DB" w:rsidRPr="00E93F40" w:rsidRDefault="001B58DB" w:rsidP="00E93F40">
      <w:pPr>
        <w:spacing w:after="0" w:line="240" w:lineRule="auto"/>
        <w:jc w:val="both"/>
        <w:rPr>
          <w:rFonts w:ascii="Times New Roman" w:hAnsi="Times New Roman"/>
          <w:color w:val="000000" w:themeColor="text1"/>
          <w:sz w:val="16"/>
          <w:szCs w:val="16"/>
        </w:rPr>
      </w:pPr>
    </w:p>
    <w:p w14:paraId="2FE731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февраля 1932 г. за</w:t>
      </w:r>
      <w:r w:rsidRPr="00E93F40">
        <w:rPr>
          <w:rFonts w:ascii="Times New Roman" w:hAnsi="Times New Roman"/>
          <w:color w:val="000000" w:themeColor="text1"/>
          <w:sz w:val="16"/>
          <w:szCs w:val="16"/>
        </w:rPr>
        <w:softHyphen/>
        <w:t>меститель начальника УММ РККА Г. Бокис докладывал М. Тухачевскому, что работы по Т-35 идут ударными темпами и срыва сроков их окончания не намечается. Однако по срокам все-таки опоздали. Первый прототип Т-35 был по</w:t>
      </w:r>
      <w:r w:rsidRPr="00E93F40">
        <w:rPr>
          <w:rFonts w:ascii="Times New Roman" w:hAnsi="Times New Roman"/>
          <w:color w:val="000000" w:themeColor="text1"/>
          <w:sz w:val="16"/>
          <w:szCs w:val="16"/>
        </w:rPr>
        <w:softHyphen/>
        <w:t>казан представителям Заказчика - УММ РККА во главе с Бокисом только 1 сентября, тогда как первоначально в сен</w:t>
      </w:r>
      <w:r w:rsidRPr="00E93F40">
        <w:rPr>
          <w:rFonts w:ascii="Times New Roman" w:hAnsi="Times New Roman"/>
          <w:color w:val="000000" w:themeColor="text1"/>
          <w:sz w:val="16"/>
          <w:szCs w:val="16"/>
        </w:rPr>
        <w:softHyphen/>
        <w:t>тябре планировалось уже принять танк на вооружение. Присутствующих на показе, уже видевших в статике и на ходу «Риккардо», «Рено», МС-1, Т-12, «Гросстрактор» и ТГ, новый танк, несомненно, поразил:</w:t>
      </w:r>
    </w:p>
    <w:p w14:paraId="53682B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 оставляет самое благоприятное впечатление... Он имеет пять башенъ, равномерно распределенных по сторонам и содержащих очень мощное вооружение: длинноствольную 76-мм полуавтоматическую пушку, две 37-мм полуавтома</w:t>
      </w:r>
      <w:r w:rsidRPr="00E93F40">
        <w:rPr>
          <w:rFonts w:ascii="Times New Roman" w:hAnsi="Times New Roman"/>
          <w:color w:val="000000" w:themeColor="text1"/>
          <w:sz w:val="16"/>
          <w:szCs w:val="16"/>
        </w:rPr>
        <w:softHyphen/>
        <w:t>тические пушки, четыре пулемета ДТ-29, два пулемета ДП-27. Команда танка — 8 человек... Размеры танка позволят ему легко преодолевать любые вражеские укрепления без сни</w:t>
      </w:r>
      <w:r w:rsidRPr="00E93F40">
        <w:rPr>
          <w:rFonts w:ascii="Times New Roman" w:hAnsi="Times New Roman"/>
          <w:color w:val="000000" w:themeColor="text1"/>
          <w:sz w:val="16"/>
          <w:szCs w:val="16"/>
        </w:rPr>
        <w:softHyphen/>
        <w:t>жения скорости хода... В лице этого танка мы имеем сегодня весьма сильную боевую машину, предназначенную для качест</w:t>
      </w:r>
      <w:r w:rsidRPr="00E93F40">
        <w:rPr>
          <w:rFonts w:ascii="Times New Roman" w:hAnsi="Times New Roman"/>
          <w:color w:val="000000" w:themeColor="text1"/>
          <w:sz w:val="16"/>
          <w:szCs w:val="16"/>
        </w:rPr>
        <w:softHyphen/>
        <w:t>венного усиления стрелковых (в обороне) и броневых (в на</w:t>
      </w:r>
      <w:r w:rsidRPr="00E93F40">
        <w:rPr>
          <w:rFonts w:ascii="Times New Roman" w:hAnsi="Times New Roman"/>
          <w:color w:val="000000" w:themeColor="text1"/>
          <w:sz w:val="16"/>
          <w:szCs w:val="16"/>
        </w:rPr>
        <w:softHyphen/>
        <w:t>ступлении) сил республики...» - делился своими впечатле</w:t>
      </w:r>
      <w:r w:rsidRPr="00E93F40">
        <w:rPr>
          <w:rFonts w:ascii="Times New Roman" w:hAnsi="Times New Roman"/>
          <w:color w:val="000000" w:themeColor="text1"/>
          <w:sz w:val="16"/>
          <w:szCs w:val="16"/>
        </w:rPr>
        <w:softHyphen/>
        <w:t>ниями после демонстрации Т-35 представитель УММ В. Перельман в письме на имя К. Ворошилова. Однако испытания танка «на ходу» принесли много не</w:t>
      </w:r>
      <w:r w:rsidRPr="00E93F40">
        <w:rPr>
          <w:rFonts w:ascii="Times New Roman" w:hAnsi="Times New Roman"/>
          <w:color w:val="000000" w:themeColor="text1"/>
          <w:sz w:val="16"/>
          <w:szCs w:val="16"/>
        </w:rPr>
        <w:softHyphen/>
        <w:t>приятных неожиданностей. Хоть в управлении танк ока</w:t>
      </w:r>
      <w:r w:rsidRPr="00E93F40">
        <w:rPr>
          <w:rFonts w:ascii="Times New Roman" w:hAnsi="Times New Roman"/>
          <w:color w:val="000000" w:themeColor="text1"/>
          <w:sz w:val="16"/>
          <w:szCs w:val="16"/>
        </w:rPr>
        <w:softHyphen/>
        <w:t>зался чрезвычайно легким даже на пересеченной местнос</w:t>
      </w:r>
      <w:r w:rsidRPr="00E93F40">
        <w:rPr>
          <w:rFonts w:ascii="Times New Roman" w:hAnsi="Times New Roman"/>
          <w:color w:val="000000" w:themeColor="text1"/>
          <w:sz w:val="16"/>
          <w:szCs w:val="16"/>
        </w:rPr>
        <w:softHyphen/>
        <w:t>ти, но постоянно отказывала система пневмоуправления, перегревался двигатель, подтекала топливная система, не работало 76-мм орудие ПС-3. Танк ремонтировался, дора</w:t>
      </w:r>
      <w:r w:rsidRPr="00E93F40">
        <w:rPr>
          <w:rFonts w:ascii="Times New Roman" w:hAnsi="Times New Roman"/>
          <w:color w:val="000000" w:themeColor="text1"/>
          <w:sz w:val="16"/>
          <w:szCs w:val="16"/>
        </w:rPr>
        <w:softHyphen/>
        <w:t>батывался, потом вновь «учился ходить». Итогом осенних испытаний 1932 г. стало то, что на системе управления по типу ТГ был поставлен крест, а также приняли решение по установке более мощного двигателя водяного охлаждения, «как обеспечивающего более надежную работу в малом забро</w:t>
      </w:r>
      <w:r w:rsidRPr="00E93F40">
        <w:rPr>
          <w:rFonts w:ascii="Times New Roman" w:hAnsi="Times New Roman"/>
          <w:color w:val="000000" w:themeColor="text1"/>
          <w:sz w:val="16"/>
          <w:szCs w:val="16"/>
        </w:rPr>
        <w:softHyphen/>
        <w:t>нированном объеме. Тогда же отказались от установки на танк полусферической штампованной башни и переходе на клепано-сварную цилиндрическую как более приспособ</w:t>
      </w:r>
      <w:r w:rsidRPr="00E93F40">
        <w:rPr>
          <w:rFonts w:ascii="Times New Roman" w:hAnsi="Times New Roman"/>
          <w:color w:val="000000" w:themeColor="text1"/>
          <w:sz w:val="16"/>
          <w:szCs w:val="16"/>
        </w:rPr>
        <w:softHyphen/>
        <w:t>ленную к серийному производству (10733,261).</w:t>
      </w:r>
    </w:p>
    <w:p w14:paraId="5E6B25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F86B9F" w14:textId="77777777" w:rsidR="002401F1" w:rsidRPr="00142305" w:rsidRDefault="002401F1" w:rsidP="002401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февраля 1932 года заместитель на</w:t>
      </w:r>
      <w:r w:rsidRPr="00142305">
        <w:rPr>
          <w:rFonts w:ascii="Times New Roman" w:hAnsi="Times New Roman"/>
          <w:color w:val="0070C0"/>
          <w:sz w:val="16"/>
          <w:szCs w:val="16"/>
        </w:rPr>
        <w:softHyphen/>
        <w:t>чальника УММ РККА Г. Бокис докладывал М. Тухачевскому: «Работы по Т-35 (бывший ТГ) идут ударными темпами и срыва сроков окончания работ не намечается». При про</w:t>
      </w:r>
      <w:r w:rsidRPr="00142305">
        <w:rPr>
          <w:rFonts w:ascii="Times New Roman" w:hAnsi="Times New Roman"/>
          <w:color w:val="0070C0"/>
          <w:sz w:val="16"/>
          <w:szCs w:val="16"/>
        </w:rPr>
        <w:softHyphen/>
        <w:t>ектировании Т-35 учитывался полуторалет</w:t>
      </w:r>
      <w:r w:rsidRPr="00142305">
        <w:rPr>
          <w:rFonts w:ascii="Times New Roman" w:hAnsi="Times New Roman"/>
          <w:color w:val="0070C0"/>
          <w:sz w:val="16"/>
          <w:szCs w:val="16"/>
        </w:rPr>
        <w:softHyphen/>
        <w:t>ний опыт работы над ТГ, а также результаты испытаний немецких танков «Гросстрактор» на полигоне под Казанью и материалы ко</w:t>
      </w:r>
      <w:r w:rsidRPr="00142305">
        <w:rPr>
          <w:rFonts w:ascii="Times New Roman" w:hAnsi="Times New Roman"/>
          <w:color w:val="0070C0"/>
          <w:sz w:val="16"/>
          <w:szCs w:val="16"/>
        </w:rPr>
        <w:softHyphen/>
        <w:t>миссии по закупке бронетанковой техники в Великобритании (25014).</w:t>
      </w:r>
    </w:p>
    <w:p w14:paraId="0745A063" w14:textId="77777777" w:rsidR="002401F1" w:rsidRPr="00142305" w:rsidRDefault="002401F1" w:rsidP="002401F1">
      <w:pPr>
        <w:spacing w:after="0" w:line="240" w:lineRule="auto"/>
        <w:jc w:val="both"/>
        <w:rPr>
          <w:rFonts w:ascii="Times New Roman" w:hAnsi="Times New Roman"/>
          <w:color w:val="0070C0"/>
          <w:sz w:val="16"/>
          <w:szCs w:val="16"/>
        </w:rPr>
      </w:pPr>
    </w:p>
    <w:p w14:paraId="4F8A94F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282808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8AA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февраля 1932 в море близ Шербура выбросило на берег скелет динозавра (3263,102).</w:t>
      </w:r>
    </w:p>
    <w:p w14:paraId="6A622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69CEE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D329F0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A0B8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февраля 1932 было подготовлено письмо Нач. ЦАГИ Харламова и Нач. ПЭО Юлюкова Нач. ПТЭС ГУАП Петрожицкому о выделении средств (т.к. ранее самолеты и моторы отпускались без оплаты и ЦАГИ не затребовал на них средств):</w:t>
      </w:r>
    </w:p>
    <w:p w14:paraId="67D63B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...Номенклатура необходимых самолетов и моторов следующая:</w:t>
      </w:r>
    </w:p>
    <w:p w14:paraId="20A8B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АНТ-8 1-й обр.; ТБ-1 на поплавках; МУ-2 однопоплавковый...</w:t>
      </w:r>
    </w:p>
    <w:p w14:paraId="0395F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Для экспериментальных работ ЭАО:</w:t>
      </w:r>
    </w:p>
    <w:p w14:paraId="2B47EF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 с М-11В; 2 Р-5 с М-17; запасные оперения для Р-5; М-11 с карбюраторами Зенит, М-5 400 нр..</w:t>
      </w:r>
    </w:p>
    <w:p w14:paraId="01C6D8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тем обстоятельством, что согласно существовавшего ранее порядка, самолеты и моторы для экспериментальных работ отпускались без необходимости их оплаты, ЦАГИ при своих за</w:t>
      </w:r>
      <w:r w:rsidRPr="00E93F40">
        <w:rPr>
          <w:rFonts w:ascii="Times New Roman" w:hAnsi="Times New Roman"/>
          <w:color w:val="000000" w:themeColor="text1"/>
          <w:sz w:val="16"/>
          <w:szCs w:val="16"/>
        </w:rPr>
        <w:softHyphen/>
        <w:t>явках на потребные кредиты на оборудование 1932 г. расходы на приобретение самолетов и моторов для экспериментальных работ не предусмотрел.</w:t>
      </w:r>
    </w:p>
    <w:p w14:paraId="445933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 же время, по плану работ 1932 г. ЦАГИ необходимо получить от ГУАП и УВВС 6 с-тов, запасные оперения и 2-мотора, общая стоимость которых составляет - 426.000 р., указанные средства ПАП1 не отпущены.</w:t>
      </w:r>
    </w:p>
    <w:p w14:paraId="2D1F0A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основании изложенного ЦАГИ просит Вашего распоряжения о дополнительном ассигнова</w:t>
      </w:r>
      <w:r w:rsidRPr="00E93F40">
        <w:rPr>
          <w:rFonts w:ascii="Times New Roman" w:hAnsi="Times New Roman"/>
          <w:color w:val="000000" w:themeColor="text1"/>
          <w:sz w:val="16"/>
          <w:szCs w:val="16"/>
        </w:rPr>
        <w:softHyphen/>
        <w:t>нии указанной суммы для оплаты расходов, связан</w:t>
      </w:r>
      <w:r w:rsidRPr="00E93F40">
        <w:rPr>
          <w:rFonts w:ascii="Times New Roman" w:hAnsi="Times New Roman"/>
          <w:color w:val="000000" w:themeColor="text1"/>
          <w:sz w:val="16"/>
          <w:szCs w:val="16"/>
        </w:rPr>
        <w:softHyphen/>
        <w:t>ных с приобретением самолетов и моторов для экспериментальных работ.</w:t>
      </w:r>
    </w:p>
    <w:p w14:paraId="1AF1EE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Номенклатура необходимых самолетов и моторов слеующая:</w:t>
      </w:r>
    </w:p>
    <w:p w14:paraId="4E6103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экспершлентадьыых работ Экспериментально Гидродинамического отдела.</w:t>
      </w:r>
    </w:p>
    <w:p w14:paraId="7ACB92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АНТ-3 1-й образец; ТБ-1 на поплавках;</w:t>
      </w:r>
    </w:p>
    <w:p w14:paraId="6ED178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МУ-2 одно-поплавковнй - общей стоимостью в 300.000 р. - необходимые ЭГО для разреше</w:t>
      </w:r>
      <w:r w:rsidRPr="00E93F40">
        <w:rPr>
          <w:rFonts w:ascii="Times New Roman" w:hAnsi="Times New Roman"/>
          <w:color w:val="000000" w:themeColor="text1"/>
          <w:sz w:val="16"/>
          <w:szCs w:val="16"/>
        </w:rPr>
        <w:softHyphen/>
        <w:t>ния экспериментальных работ и круга вопросов по мореходности гидросамолетов и определению норм прочности для них, предусмотренных темами плана ЭГО за №№ 11, 12, 15, 18, 19, 19а и 20.</w:t>
      </w:r>
    </w:p>
    <w:p w14:paraId="74F57E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Для этсспериментальных работ Эксперицентально-аэродинамического отдела.</w:t>
      </w:r>
    </w:p>
    <w:p w14:paraId="090001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 с мотором М-11-В; 2 самолета Р-5 с мотором Мт17; запасные оперения и некоторые другие части для Р-5 для специальных работ, мотор М-11 100 нр с карбюратором Зенит, мотор М-5 400 нр - общей стоимостью 120000 руб., необходимые для разрешения экспериментальных работ, предусмотренных в темах плана ВАО за №№ 9, 17, 21, 28, 29, 30, 33, 34, 35,38 и № 401, 402, 403, 404, 405, 406, 407, 408 (2314,76).</w:t>
      </w:r>
    </w:p>
    <w:p w14:paraId="60380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7B58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февраля 1932 года секретарь ОСКОНБЮРО ВВС Дудникова писала письмо N 2сс начальнику 1 управления УВВС.</w:t>
      </w:r>
    </w:p>
    <w:p w14:paraId="7703D0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препровождаю согласно распоряжения нач. ОСКОНБЮРО Гроховского копию плана за N 1сс.</w:t>
      </w:r>
    </w:p>
    <w:p w14:paraId="685B4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Работ ОСКОНБЮРО ВВС на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44"/>
        <w:gridCol w:w="5812"/>
      </w:tblGrid>
      <w:tr w:rsidR="00DA227A" w:rsidRPr="00E93F40" w14:paraId="744EFFC0" w14:textId="77777777">
        <w:tc>
          <w:tcPr>
            <w:tcW w:w="4644" w:type="dxa"/>
          </w:tcPr>
          <w:p w14:paraId="11A20A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812" w:type="dxa"/>
          </w:tcPr>
          <w:p w14:paraId="10785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исполнения</w:t>
            </w:r>
          </w:p>
        </w:tc>
      </w:tr>
      <w:tr w:rsidR="00DA227A" w:rsidRPr="00E93F40" w14:paraId="553E4F35" w14:textId="77777777">
        <w:tc>
          <w:tcPr>
            <w:tcW w:w="4644" w:type="dxa"/>
          </w:tcPr>
          <w:p w14:paraId="15B65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Агитсамолет АН-9</w:t>
            </w:r>
          </w:p>
        </w:tc>
        <w:tc>
          <w:tcPr>
            <w:tcW w:w="5812" w:type="dxa"/>
          </w:tcPr>
          <w:p w14:paraId="0EF12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55179280" w14:textId="77777777">
        <w:tc>
          <w:tcPr>
            <w:tcW w:w="4644" w:type="dxa"/>
          </w:tcPr>
          <w:p w14:paraId="52718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дистанционная агитбомба</w:t>
            </w:r>
          </w:p>
        </w:tc>
        <w:tc>
          <w:tcPr>
            <w:tcW w:w="5812" w:type="dxa"/>
          </w:tcPr>
          <w:p w14:paraId="67BCE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1932 года (1 шт.)</w:t>
            </w:r>
          </w:p>
        </w:tc>
      </w:tr>
      <w:tr w:rsidR="00DA227A" w:rsidRPr="00E93F40" w14:paraId="7FB4910B" w14:textId="77777777">
        <w:tc>
          <w:tcPr>
            <w:tcW w:w="4644" w:type="dxa"/>
          </w:tcPr>
          <w:p w14:paraId="045C1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12" w:type="dxa"/>
          </w:tcPr>
          <w:p w14:paraId="5D2F6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года (10 шт.)</w:t>
            </w:r>
          </w:p>
        </w:tc>
      </w:tr>
      <w:tr w:rsidR="00DA227A" w:rsidRPr="00E93F40" w14:paraId="101D700C" w14:textId="77777777">
        <w:tc>
          <w:tcPr>
            <w:tcW w:w="4644" w:type="dxa"/>
          </w:tcPr>
          <w:p w14:paraId="4D2D6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Змей литературосбрасыватель</w:t>
            </w:r>
          </w:p>
        </w:tc>
        <w:tc>
          <w:tcPr>
            <w:tcW w:w="5812" w:type="dxa"/>
          </w:tcPr>
          <w:p w14:paraId="61338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72CCA320" w14:textId="77777777">
        <w:tc>
          <w:tcPr>
            <w:tcW w:w="4644" w:type="dxa"/>
          </w:tcPr>
          <w:p w14:paraId="54604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Змей громкоговоритель</w:t>
            </w:r>
          </w:p>
        </w:tc>
        <w:tc>
          <w:tcPr>
            <w:tcW w:w="5812" w:type="dxa"/>
          </w:tcPr>
          <w:p w14:paraId="0CAA0D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660A421C" w14:textId="77777777">
        <w:tc>
          <w:tcPr>
            <w:tcW w:w="4644" w:type="dxa"/>
          </w:tcPr>
          <w:p w14:paraId="2F9AF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для громкоговорителя и</w:t>
            </w:r>
          </w:p>
        </w:tc>
        <w:tc>
          <w:tcPr>
            <w:tcW w:w="5812" w:type="dxa"/>
          </w:tcPr>
          <w:p w14:paraId="67A5F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F28C76" w14:textId="77777777">
        <w:tc>
          <w:tcPr>
            <w:tcW w:w="4644" w:type="dxa"/>
          </w:tcPr>
          <w:p w14:paraId="329719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радиовещания с самолета</w:t>
            </w:r>
          </w:p>
        </w:tc>
        <w:tc>
          <w:tcPr>
            <w:tcW w:w="5812" w:type="dxa"/>
          </w:tcPr>
          <w:p w14:paraId="69A89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года</w:t>
            </w:r>
          </w:p>
        </w:tc>
      </w:tr>
      <w:tr w:rsidR="00DA227A" w:rsidRPr="00E93F40" w14:paraId="4A173305" w14:textId="77777777">
        <w:tc>
          <w:tcPr>
            <w:tcW w:w="4644" w:type="dxa"/>
          </w:tcPr>
          <w:p w14:paraId="2E034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Фугасная авиационная агитбомба</w:t>
            </w:r>
          </w:p>
        </w:tc>
        <w:tc>
          <w:tcPr>
            <w:tcW w:w="5812" w:type="dxa"/>
          </w:tcPr>
          <w:p w14:paraId="4E811B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D34349" w14:textId="77777777">
        <w:tc>
          <w:tcPr>
            <w:tcW w:w="4644" w:type="dxa"/>
          </w:tcPr>
          <w:p w14:paraId="770D2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зам. 6 сек.</w:t>
            </w:r>
          </w:p>
        </w:tc>
        <w:tc>
          <w:tcPr>
            <w:tcW w:w="5812" w:type="dxa"/>
          </w:tcPr>
          <w:p w14:paraId="4FAD2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357BA8FE" w14:textId="77777777">
        <w:tc>
          <w:tcPr>
            <w:tcW w:w="4644" w:type="dxa"/>
          </w:tcPr>
          <w:p w14:paraId="03C913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Фугасная авиационная агитбомба</w:t>
            </w:r>
          </w:p>
        </w:tc>
        <w:tc>
          <w:tcPr>
            <w:tcW w:w="5812" w:type="dxa"/>
          </w:tcPr>
          <w:p w14:paraId="53EC90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4B7C0D" w14:textId="77777777">
        <w:tc>
          <w:tcPr>
            <w:tcW w:w="4644" w:type="dxa"/>
          </w:tcPr>
          <w:p w14:paraId="640EE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зам. 1 час</w:t>
            </w:r>
          </w:p>
        </w:tc>
        <w:tc>
          <w:tcPr>
            <w:tcW w:w="5812" w:type="dxa"/>
          </w:tcPr>
          <w:p w14:paraId="2B73D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 года</w:t>
            </w:r>
          </w:p>
        </w:tc>
      </w:tr>
      <w:tr w:rsidR="00DA227A" w:rsidRPr="00E93F40" w14:paraId="135AEBE7" w14:textId="77777777">
        <w:tc>
          <w:tcPr>
            <w:tcW w:w="4644" w:type="dxa"/>
          </w:tcPr>
          <w:p w14:paraId="45E2A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Подсамолетная кассета Малынича</w:t>
            </w:r>
          </w:p>
        </w:tc>
        <w:tc>
          <w:tcPr>
            <w:tcW w:w="5812" w:type="dxa"/>
          </w:tcPr>
          <w:p w14:paraId="240949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77994E0C" w14:textId="77777777">
        <w:tc>
          <w:tcPr>
            <w:tcW w:w="4644" w:type="dxa"/>
          </w:tcPr>
          <w:p w14:paraId="2218A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агитационный планер</w:t>
            </w:r>
          </w:p>
        </w:tc>
        <w:tc>
          <w:tcPr>
            <w:tcW w:w="5812" w:type="dxa"/>
          </w:tcPr>
          <w:p w14:paraId="281CE5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56355742" w14:textId="77777777">
        <w:tc>
          <w:tcPr>
            <w:tcW w:w="4644" w:type="dxa"/>
          </w:tcPr>
          <w:p w14:paraId="4F541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Говорящий парашют сбрасываемый</w:t>
            </w:r>
          </w:p>
        </w:tc>
        <w:tc>
          <w:tcPr>
            <w:tcW w:w="5812" w:type="dxa"/>
          </w:tcPr>
          <w:p w14:paraId="678E39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9CBD8F" w14:textId="77777777">
        <w:tc>
          <w:tcPr>
            <w:tcW w:w="4644" w:type="dxa"/>
          </w:tcPr>
          <w:p w14:paraId="576150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самолета</w:t>
            </w:r>
          </w:p>
        </w:tc>
        <w:tc>
          <w:tcPr>
            <w:tcW w:w="5812" w:type="dxa"/>
          </w:tcPr>
          <w:p w14:paraId="4B6869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года</w:t>
            </w:r>
          </w:p>
        </w:tc>
      </w:tr>
      <w:tr w:rsidR="00DA227A" w:rsidRPr="00E93F40" w14:paraId="3470B627" w14:textId="77777777">
        <w:tc>
          <w:tcPr>
            <w:tcW w:w="4644" w:type="dxa"/>
          </w:tcPr>
          <w:p w14:paraId="3B210A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Автоматическая агитационная кабина</w:t>
            </w:r>
          </w:p>
        </w:tc>
        <w:tc>
          <w:tcPr>
            <w:tcW w:w="5812" w:type="dxa"/>
          </w:tcPr>
          <w:p w14:paraId="7D90BB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3453D2" w14:textId="77777777">
        <w:tc>
          <w:tcPr>
            <w:tcW w:w="4644" w:type="dxa"/>
          </w:tcPr>
          <w:p w14:paraId="6308C8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залистование 1 тонной с 1 самолета</w:t>
            </w:r>
          </w:p>
        </w:tc>
        <w:tc>
          <w:tcPr>
            <w:tcW w:w="5812" w:type="dxa"/>
          </w:tcPr>
          <w:p w14:paraId="62F5BB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июля 1932 года (3788,22)</w:t>
            </w:r>
          </w:p>
        </w:tc>
      </w:tr>
    </w:tbl>
    <w:p w14:paraId="5A8046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1F6F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февраля 1932 года управделами ОСКОНБЮРО Васильев писал письмо N БГ/30с начальнику 1 управления УВВС.</w:t>
      </w:r>
    </w:p>
    <w:p w14:paraId="7F16D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препровождаю согласно распоряжения нач. ОСКОНБЮРО Гроховского выборку из плана ОСКОНБЮРО и выборку из плана ОСКОНБЮРО и завода на 1932 год.</w:t>
      </w:r>
    </w:p>
    <w:p w14:paraId="294CE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ОСКОНБЮРО ВВС на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786"/>
        <w:gridCol w:w="5528"/>
      </w:tblGrid>
      <w:tr w:rsidR="00DA227A" w:rsidRPr="00E93F40" w14:paraId="057E6E1B" w14:textId="77777777">
        <w:tc>
          <w:tcPr>
            <w:tcW w:w="4786" w:type="dxa"/>
          </w:tcPr>
          <w:p w14:paraId="067B9B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4F0ECA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передачи образца</w:t>
            </w:r>
          </w:p>
        </w:tc>
      </w:tr>
      <w:tr w:rsidR="00DA227A" w:rsidRPr="00E93F40" w14:paraId="48CA2FCB" w14:textId="77777777">
        <w:tc>
          <w:tcPr>
            <w:tcW w:w="4786" w:type="dxa"/>
          </w:tcPr>
          <w:p w14:paraId="5E52A9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432B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5D51A7" w14:textId="77777777">
        <w:tc>
          <w:tcPr>
            <w:tcW w:w="4786" w:type="dxa"/>
          </w:tcPr>
          <w:p w14:paraId="0F985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Г-63 (буксируется разведывательным</w:t>
            </w:r>
          </w:p>
        </w:tc>
        <w:tc>
          <w:tcPr>
            <w:tcW w:w="5528" w:type="dxa"/>
          </w:tcPr>
          <w:p w14:paraId="63433B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r>
      <w:tr w:rsidR="00DA227A" w:rsidRPr="00E93F40" w14:paraId="13F8D9E3" w14:textId="77777777">
        <w:tc>
          <w:tcPr>
            <w:tcW w:w="4786" w:type="dxa"/>
          </w:tcPr>
          <w:p w14:paraId="081233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самолетом с грузоподъемн. 17 чел. И 500 кг</w:t>
            </w:r>
          </w:p>
        </w:tc>
        <w:tc>
          <w:tcPr>
            <w:tcW w:w="5528" w:type="dxa"/>
          </w:tcPr>
          <w:p w14:paraId="3D4ED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F87DD2" w14:textId="77777777">
        <w:tc>
          <w:tcPr>
            <w:tcW w:w="4786" w:type="dxa"/>
          </w:tcPr>
          <w:p w14:paraId="4CCB98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груза)</w:t>
            </w:r>
          </w:p>
        </w:tc>
        <w:tc>
          <w:tcPr>
            <w:tcW w:w="5528" w:type="dxa"/>
          </w:tcPr>
          <w:p w14:paraId="39B0F6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39B757" w14:textId="77777777">
        <w:tc>
          <w:tcPr>
            <w:tcW w:w="4786" w:type="dxa"/>
          </w:tcPr>
          <w:p w14:paraId="5BFFC4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Г-64 (буксируется самолетом с</w:t>
            </w:r>
          </w:p>
        </w:tc>
        <w:tc>
          <w:tcPr>
            <w:tcW w:w="5528" w:type="dxa"/>
          </w:tcPr>
          <w:p w14:paraId="7E1C4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3118940D" w14:textId="77777777">
        <w:tc>
          <w:tcPr>
            <w:tcW w:w="4786" w:type="dxa"/>
          </w:tcPr>
          <w:p w14:paraId="4A3B34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грузоподъемн. 50 чел.)</w:t>
            </w:r>
          </w:p>
        </w:tc>
        <w:tc>
          <w:tcPr>
            <w:tcW w:w="5528" w:type="dxa"/>
          </w:tcPr>
          <w:p w14:paraId="5C4DD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51DEB54F" w14:textId="77777777">
        <w:tc>
          <w:tcPr>
            <w:tcW w:w="4786" w:type="dxa"/>
          </w:tcPr>
          <w:p w14:paraId="16F471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Г-45а для сбрасывания 12-ти</w:t>
            </w:r>
          </w:p>
        </w:tc>
        <w:tc>
          <w:tcPr>
            <w:tcW w:w="5528" w:type="dxa"/>
          </w:tcPr>
          <w:p w14:paraId="3AB1CB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091425" w14:textId="77777777">
        <w:tc>
          <w:tcPr>
            <w:tcW w:w="4786" w:type="dxa"/>
          </w:tcPr>
          <w:p w14:paraId="67DE8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красноар. без парашютов с бреющего полета</w:t>
            </w:r>
          </w:p>
        </w:tc>
        <w:tc>
          <w:tcPr>
            <w:tcW w:w="5528" w:type="dxa"/>
          </w:tcPr>
          <w:p w14:paraId="5F6B22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4AA8F6" w14:textId="77777777">
        <w:tc>
          <w:tcPr>
            <w:tcW w:w="4786" w:type="dxa"/>
          </w:tcPr>
          <w:p w14:paraId="7356A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w:t>
            </w:r>
          </w:p>
        </w:tc>
        <w:tc>
          <w:tcPr>
            <w:tcW w:w="5528" w:type="dxa"/>
          </w:tcPr>
          <w:p w14:paraId="5E3326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0AC325B4" w14:textId="77777777">
        <w:tc>
          <w:tcPr>
            <w:tcW w:w="4786" w:type="dxa"/>
          </w:tcPr>
          <w:p w14:paraId="2A40D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Авиабусная площадка Г-51 для сбрасывания</w:t>
            </w:r>
          </w:p>
        </w:tc>
        <w:tc>
          <w:tcPr>
            <w:tcW w:w="5528" w:type="dxa"/>
          </w:tcPr>
          <w:p w14:paraId="13B46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9BED26" w14:textId="77777777">
        <w:tc>
          <w:tcPr>
            <w:tcW w:w="4786" w:type="dxa"/>
          </w:tcPr>
          <w:p w14:paraId="7B8A2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разнообразных грузов с бреющего полета</w:t>
            </w:r>
          </w:p>
        </w:tc>
        <w:tc>
          <w:tcPr>
            <w:tcW w:w="5528" w:type="dxa"/>
          </w:tcPr>
          <w:p w14:paraId="7D2CD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B3131D" w14:textId="77777777">
        <w:tc>
          <w:tcPr>
            <w:tcW w:w="4786" w:type="dxa"/>
          </w:tcPr>
          <w:p w14:paraId="44E5A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весом в 1 т с сам. ТБ-1</w:t>
            </w:r>
          </w:p>
        </w:tc>
        <w:tc>
          <w:tcPr>
            <w:tcW w:w="5528" w:type="dxa"/>
          </w:tcPr>
          <w:p w14:paraId="39C49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w:t>
            </w:r>
          </w:p>
        </w:tc>
      </w:tr>
      <w:tr w:rsidR="00DA227A" w:rsidRPr="00E93F40" w14:paraId="16606AA7" w14:textId="77777777">
        <w:tc>
          <w:tcPr>
            <w:tcW w:w="4786" w:type="dxa"/>
          </w:tcPr>
          <w:p w14:paraId="01F12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малый Г-68 (для сбрасывания</w:t>
            </w:r>
          </w:p>
        </w:tc>
        <w:tc>
          <w:tcPr>
            <w:tcW w:w="5528" w:type="dxa"/>
          </w:tcPr>
          <w:p w14:paraId="1BEE0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C4BD43" w14:textId="77777777">
        <w:tc>
          <w:tcPr>
            <w:tcW w:w="4786" w:type="dxa"/>
          </w:tcPr>
          <w:p w14:paraId="0BE84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 с сам. Р-5)</w:t>
            </w:r>
          </w:p>
        </w:tc>
        <w:tc>
          <w:tcPr>
            <w:tcW w:w="5528" w:type="dxa"/>
          </w:tcPr>
          <w:p w14:paraId="6A2F68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 года</w:t>
            </w:r>
          </w:p>
        </w:tc>
      </w:tr>
      <w:tr w:rsidR="00DA227A" w:rsidRPr="00E93F40" w14:paraId="42BCEE97" w14:textId="77777777">
        <w:tc>
          <w:tcPr>
            <w:tcW w:w="4786" w:type="dxa"/>
          </w:tcPr>
          <w:p w14:paraId="119D9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Г-37а (для сбрасыв.</w:t>
            </w:r>
          </w:p>
        </w:tc>
        <w:tc>
          <w:tcPr>
            <w:tcW w:w="5528" w:type="dxa"/>
          </w:tcPr>
          <w:p w14:paraId="65352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83EA8B" w14:textId="77777777">
        <w:tc>
          <w:tcPr>
            <w:tcW w:w="4786" w:type="dxa"/>
          </w:tcPr>
          <w:p w14:paraId="6519DE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полевого 76 мм орудия обр. 27 года)</w:t>
            </w:r>
          </w:p>
        </w:tc>
        <w:tc>
          <w:tcPr>
            <w:tcW w:w="5528" w:type="dxa"/>
          </w:tcPr>
          <w:p w14:paraId="2C8A6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477290F8" w14:textId="77777777">
        <w:tc>
          <w:tcPr>
            <w:tcW w:w="4786" w:type="dxa"/>
          </w:tcPr>
          <w:p w14:paraId="40C9BF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Г-38а для сбрасыв.</w:t>
            </w:r>
          </w:p>
        </w:tc>
        <w:tc>
          <w:tcPr>
            <w:tcW w:w="5528" w:type="dxa"/>
          </w:tcPr>
          <w:p w14:paraId="16B20B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52964A" w14:textId="77777777">
        <w:tc>
          <w:tcPr>
            <w:tcW w:w="4786" w:type="dxa"/>
          </w:tcPr>
          <w:p w14:paraId="113045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 ФОРД переделан. в полугрузовик на</w:t>
            </w:r>
          </w:p>
        </w:tc>
        <w:tc>
          <w:tcPr>
            <w:tcW w:w="5528" w:type="dxa"/>
          </w:tcPr>
          <w:p w14:paraId="03D4C3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B12AE3" w14:textId="77777777">
        <w:tc>
          <w:tcPr>
            <w:tcW w:w="4786" w:type="dxa"/>
          </w:tcPr>
          <w:p w14:paraId="3F5C3E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тонну</w:t>
            </w:r>
          </w:p>
        </w:tc>
        <w:tc>
          <w:tcPr>
            <w:tcW w:w="5528" w:type="dxa"/>
          </w:tcPr>
          <w:p w14:paraId="50E69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3321940A" w14:textId="77777777">
        <w:tc>
          <w:tcPr>
            <w:tcW w:w="4786" w:type="dxa"/>
          </w:tcPr>
          <w:p w14:paraId="7FC70B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Г-43 (для сбрасыв.</w:t>
            </w:r>
          </w:p>
        </w:tc>
        <w:tc>
          <w:tcPr>
            <w:tcW w:w="5528" w:type="dxa"/>
          </w:tcPr>
          <w:p w14:paraId="121E65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B11BF5" w14:textId="77777777">
        <w:tc>
          <w:tcPr>
            <w:tcW w:w="4786" w:type="dxa"/>
          </w:tcPr>
          <w:p w14:paraId="2A392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танкетки с самолета ТБ-1)</w:t>
            </w:r>
          </w:p>
        </w:tc>
        <w:tc>
          <w:tcPr>
            <w:tcW w:w="5528" w:type="dxa"/>
          </w:tcPr>
          <w:p w14:paraId="6D65CE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57394A7A" w14:textId="77777777">
        <w:tc>
          <w:tcPr>
            <w:tcW w:w="4786" w:type="dxa"/>
          </w:tcPr>
          <w:p w14:paraId="268A7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Г-36а для сбрасыв.</w:t>
            </w:r>
          </w:p>
        </w:tc>
        <w:tc>
          <w:tcPr>
            <w:tcW w:w="5528" w:type="dxa"/>
          </w:tcPr>
          <w:p w14:paraId="29F28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E09AAC" w14:textId="77777777">
        <w:tc>
          <w:tcPr>
            <w:tcW w:w="4786" w:type="dxa"/>
          </w:tcPr>
          <w:p w14:paraId="4BEB14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мотоцикла Харлей 3 НР с сам. Р-5</w:t>
            </w:r>
          </w:p>
        </w:tc>
        <w:tc>
          <w:tcPr>
            <w:tcW w:w="5528" w:type="dxa"/>
          </w:tcPr>
          <w:p w14:paraId="14728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7F56D8F0" w14:textId="77777777">
        <w:tc>
          <w:tcPr>
            <w:tcW w:w="4786" w:type="dxa"/>
          </w:tcPr>
          <w:p w14:paraId="089A6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Г-62 (для сбрас.</w:t>
            </w:r>
          </w:p>
        </w:tc>
        <w:tc>
          <w:tcPr>
            <w:tcW w:w="5528" w:type="dxa"/>
          </w:tcPr>
          <w:p w14:paraId="25F33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46F2D1" w14:textId="77777777">
        <w:tc>
          <w:tcPr>
            <w:tcW w:w="4786" w:type="dxa"/>
          </w:tcPr>
          <w:p w14:paraId="41CD61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мотоциклов с прицепкой с самолетов</w:t>
            </w:r>
          </w:p>
        </w:tc>
        <w:tc>
          <w:tcPr>
            <w:tcW w:w="5528" w:type="dxa"/>
          </w:tcPr>
          <w:p w14:paraId="7F1AB9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8660D52" w14:textId="77777777">
        <w:tc>
          <w:tcPr>
            <w:tcW w:w="4786" w:type="dxa"/>
          </w:tcPr>
          <w:p w14:paraId="1FDE0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w:t>
            </w:r>
          </w:p>
        </w:tc>
        <w:tc>
          <w:tcPr>
            <w:tcW w:w="5528" w:type="dxa"/>
          </w:tcPr>
          <w:p w14:paraId="24916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73A1A322" w14:textId="77777777">
        <w:tc>
          <w:tcPr>
            <w:tcW w:w="4786" w:type="dxa"/>
          </w:tcPr>
          <w:p w14:paraId="7E19E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Г-56а на 160 кг</w:t>
            </w:r>
          </w:p>
        </w:tc>
        <w:tc>
          <w:tcPr>
            <w:tcW w:w="5528" w:type="dxa"/>
          </w:tcPr>
          <w:p w14:paraId="43FD9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5E8A95B4" w14:textId="77777777">
        <w:tc>
          <w:tcPr>
            <w:tcW w:w="4786" w:type="dxa"/>
          </w:tcPr>
          <w:p w14:paraId="1AFC35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Г-57 на 500 кг</w:t>
            </w:r>
          </w:p>
        </w:tc>
        <w:tc>
          <w:tcPr>
            <w:tcW w:w="5528" w:type="dxa"/>
          </w:tcPr>
          <w:p w14:paraId="588E1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7C21503A" w14:textId="77777777">
        <w:tc>
          <w:tcPr>
            <w:tcW w:w="4786" w:type="dxa"/>
          </w:tcPr>
          <w:p w14:paraId="059DF5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Г-58а на 1000 кг</w:t>
            </w:r>
          </w:p>
        </w:tc>
        <w:tc>
          <w:tcPr>
            <w:tcW w:w="5528" w:type="dxa"/>
          </w:tcPr>
          <w:p w14:paraId="17E30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2242D7AF" w14:textId="77777777">
        <w:tc>
          <w:tcPr>
            <w:tcW w:w="4786" w:type="dxa"/>
          </w:tcPr>
          <w:p w14:paraId="250FBC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Г-59а на 1300 кг</w:t>
            </w:r>
          </w:p>
        </w:tc>
        <w:tc>
          <w:tcPr>
            <w:tcW w:w="5528" w:type="dxa"/>
          </w:tcPr>
          <w:p w14:paraId="67BB9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0DBFFCA2" w14:textId="77777777">
        <w:tc>
          <w:tcPr>
            <w:tcW w:w="4786" w:type="dxa"/>
          </w:tcPr>
          <w:p w14:paraId="795928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Г-72 на 2000 кг</w:t>
            </w:r>
          </w:p>
        </w:tc>
        <w:tc>
          <w:tcPr>
            <w:tcW w:w="5528" w:type="dxa"/>
          </w:tcPr>
          <w:p w14:paraId="6C7634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082BCC54" w14:textId="77777777">
        <w:tc>
          <w:tcPr>
            <w:tcW w:w="4786" w:type="dxa"/>
          </w:tcPr>
          <w:p w14:paraId="194B83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летчика Г-70</w:t>
            </w:r>
          </w:p>
        </w:tc>
        <w:tc>
          <w:tcPr>
            <w:tcW w:w="5528" w:type="dxa"/>
          </w:tcPr>
          <w:p w14:paraId="01111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54F5DFE9" w14:textId="77777777">
        <w:tc>
          <w:tcPr>
            <w:tcW w:w="4786" w:type="dxa"/>
          </w:tcPr>
          <w:p w14:paraId="134A7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Автоматический выбрасыватель Г-60</w:t>
            </w:r>
          </w:p>
        </w:tc>
        <w:tc>
          <w:tcPr>
            <w:tcW w:w="5528" w:type="dxa"/>
          </w:tcPr>
          <w:p w14:paraId="2A6DE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EAF8CC" w14:textId="77777777">
        <w:tc>
          <w:tcPr>
            <w:tcW w:w="4786" w:type="dxa"/>
          </w:tcPr>
          <w:p w14:paraId="779BDF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кр-цев с самолета АНТ-9)</w:t>
            </w:r>
          </w:p>
        </w:tc>
        <w:tc>
          <w:tcPr>
            <w:tcW w:w="5528" w:type="dxa"/>
          </w:tcPr>
          <w:p w14:paraId="31E29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11E4AAB9" w14:textId="77777777">
        <w:tc>
          <w:tcPr>
            <w:tcW w:w="4786" w:type="dxa"/>
          </w:tcPr>
          <w:p w14:paraId="3D578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Прибор для взятия грузов и людей Г-53 </w:t>
            </w:r>
          </w:p>
        </w:tc>
        <w:tc>
          <w:tcPr>
            <w:tcW w:w="5528" w:type="dxa"/>
          </w:tcPr>
          <w:p w14:paraId="632B5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45C1378" w14:textId="77777777">
        <w:tc>
          <w:tcPr>
            <w:tcW w:w="4786" w:type="dxa"/>
          </w:tcPr>
          <w:p w14:paraId="0C7636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(грузы и люди поднимаются на самолет с</w:t>
            </w:r>
          </w:p>
        </w:tc>
        <w:tc>
          <w:tcPr>
            <w:tcW w:w="5528" w:type="dxa"/>
          </w:tcPr>
          <w:p w14:paraId="2E203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23EAFC" w14:textId="77777777">
        <w:tc>
          <w:tcPr>
            <w:tcW w:w="4786" w:type="dxa"/>
          </w:tcPr>
          <w:p w14:paraId="7B63B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земли без посадки)</w:t>
            </w:r>
          </w:p>
        </w:tc>
        <w:tc>
          <w:tcPr>
            <w:tcW w:w="5528" w:type="dxa"/>
          </w:tcPr>
          <w:p w14:paraId="3AD3B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32160ADA" w14:textId="77777777">
        <w:tc>
          <w:tcPr>
            <w:tcW w:w="4786" w:type="dxa"/>
          </w:tcPr>
          <w:p w14:paraId="0AFAB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Распылитель кабеля Г-54а (прокладка</w:t>
            </w:r>
          </w:p>
        </w:tc>
        <w:tc>
          <w:tcPr>
            <w:tcW w:w="5528" w:type="dxa"/>
          </w:tcPr>
          <w:p w14:paraId="4F6D60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57AE11" w14:textId="77777777">
        <w:tc>
          <w:tcPr>
            <w:tcW w:w="4786" w:type="dxa"/>
          </w:tcPr>
          <w:p w14:paraId="12AB2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телефон. связи с сам. на 20 км)</w:t>
            </w:r>
          </w:p>
        </w:tc>
        <w:tc>
          <w:tcPr>
            <w:tcW w:w="5528" w:type="dxa"/>
          </w:tcPr>
          <w:p w14:paraId="4A645D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w:t>
            </w:r>
          </w:p>
        </w:tc>
      </w:tr>
      <w:tr w:rsidR="00DA227A" w:rsidRPr="00E93F40" w14:paraId="51391193" w14:textId="77777777">
        <w:tc>
          <w:tcPr>
            <w:tcW w:w="4786" w:type="dxa"/>
          </w:tcPr>
          <w:p w14:paraId="49BD7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Аппаратура для переливки бензина в</w:t>
            </w:r>
          </w:p>
        </w:tc>
        <w:tc>
          <w:tcPr>
            <w:tcW w:w="5528" w:type="dxa"/>
          </w:tcPr>
          <w:p w14:paraId="0534A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6CA467" w14:textId="77777777">
        <w:tc>
          <w:tcPr>
            <w:tcW w:w="4786" w:type="dxa"/>
          </w:tcPr>
          <w:p w14:paraId="15641F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воздухе с самолета Р-5 на сам. ТБ-1</w:t>
            </w:r>
          </w:p>
        </w:tc>
        <w:tc>
          <w:tcPr>
            <w:tcW w:w="5528" w:type="dxa"/>
          </w:tcPr>
          <w:p w14:paraId="3D1854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года</w:t>
            </w:r>
          </w:p>
        </w:tc>
      </w:tr>
      <w:tr w:rsidR="00DA227A" w:rsidRPr="00E93F40" w14:paraId="1D76C8E3" w14:textId="77777777">
        <w:tc>
          <w:tcPr>
            <w:tcW w:w="4786" w:type="dxa"/>
          </w:tcPr>
          <w:p w14:paraId="07EC0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100-кг реактивная авиамина Тверского</w:t>
            </w:r>
          </w:p>
        </w:tc>
        <w:tc>
          <w:tcPr>
            <w:tcW w:w="5528" w:type="dxa"/>
          </w:tcPr>
          <w:p w14:paraId="040060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года</w:t>
            </w:r>
          </w:p>
        </w:tc>
      </w:tr>
      <w:tr w:rsidR="00DA227A" w:rsidRPr="00E93F40" w14:paraId="27007F12" w14:textId="77777777">
        <w:tc>
          <w:tcPr>
            <w:tcW w:w="4786" w:type="dxa"/>
          </w:tcPr>
          <w:p w14:paraId="71056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1000-кг реактивная авиамина Тверского</w:t>
            </w:r>
          </w:p>
        </w:tc>
        <w:tc>
          <w:tcPr>
            <w:tcW w:w="5528" w:type="dxa"/>
          </w:tcPr>
          <w:p w14:paraId="789FD6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42273594" w14:textId="77777777">
        <w:tc>
          <w:tcPr>
            <w:tcW w:w="4786" w:type="dxa"/>
          </w:tcPr>
          <w:p w14:paraId="59178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Экспериментально-исследовательские работы</w:t>
            </w:r>
          </w:p>
        </w:tc>
        <w:tc>
          <w:tcPr>
            <w:tcW w:w="5528" w:type="dxa"/>
          </w:tcPr>
          <w:p w14:paraId="77B3A7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ECED3C" w14:textId="77777777">
        <w:tc>
          <w:tcPr>
            <w:tcW w:w="4786" w:type="dxa"/>
          </w:tcPr>
          <w:p w14:paraId="753F56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моторовинт Г-65</w:t>
            </w:r>
          </w:p>
        </w:tc>
        <w:tc>
          <w:tcPr>
            <w:tcW w:w="5528" w:type="dxa"/>
          </w:tcPr>
          <w:p w14:paraId="19E7DB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F05CD7" w14:textId="77777777">
        <w:tc>
          <w:tcPr>
            <w:tcW w:w="4786" w:type="dxa"/>
          </w:tcPr>
          <w:p w14:paraId="125604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Реактивная батарея Г-66 установленная на сам. ТБ1 в количестве 4-х орудий 76 мм</w:t>
            </w:r>
          </w:p>
        </w:tc>
        <w:tc>
          <w:tcPr>
            <w:tcW w:w="5528" w:type="dxa"/>
          </w:tcPr>
          <w:p w14:paraId="08F16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BDDB0A" w14:textId="77777777">
        <w:tc>
          <w:tcPr>
            <w:tcW w:w="4786" w:type="dxa"/>
          </w:tcPr>
          <w:p w14:paraId="10267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Планер-танк Г-67 (буксируется сам. и сбрасыв. на территории расположения противника)</w:t>
            </w:r>
          </w:p>
        </w:tc>
        <w:tc>
          <w:tcPr>
            <w:tcW w:w="5528" w:type="dxa"/>
          </w:tcPr>
          <w:p w14:paraId="30053B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5B119C" w14:textId="77777777">
        <w:tc>
          <w:tcPr>
            <w:tcW w:w="4786" w:type="dxa"/>
          </w:tcPr>
          <w:p w14:paraId="3588E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Истребитель-бомбовоз Г-73 (превращение самолета истребителя в бомбовоз с грузоподъемн.</w:t>
            </w:r>
          </w:p>
        </w:tc>
        <w:tc>
          <w:tcPr>
            <w:tcW w:w="5528" w:type="dxa"/>
          </w:tcPr>
          <w:p w14:paraId="60035E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18603C" w14:textId="77777777">
        <w:tc>
          <w:tcPr>
            <w:tcW w:w="4786" w:type="dxa"/>
          </w:tcPr>
          <w:p w14:paraId="4CBF7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кг) (3788,30-33)</w:t>
            </w:r>
          </w:p>
        </w:tc>
        <w:tc>
          <w:tcPr>
            <w:tcW w:w="5528" w:type="dxa"/>
          </w:tcPr>
          <w:p w14:paraId="688DC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3F30B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2D03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февраля 1932 года Гроховский подготовил План Осконпробюро ВВС По обслуживанию отдельного мотодесантного отряда</w:t>
      </w:r>
    </w:p>
    <w:p w14:paraId="3BEA7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табеля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DA227A" w:rsidRPr="00E93F40" w14:paraId="2478DBBC" w14:textId="77777777">
        <w:tc>
          <w:tcPr>
            <w:tcW w:w="2818" w:type="dxa"/>
          </w:tcPr>
          <w:p w14:paraId="2CE1F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2818" w:type="dxa"/>
          </w:tcPr>
          <w:p w14:paraId="745E8E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Кол-во опытных </w:t>
            </w:r>
          </w:p>
        </w:tc>
        <w:tc>
          <w:tcPr>
            <w:tcW w:w="2818" w:type="dxa"/>
          </w:tcPr>
          <w:p w14:paraId="6A8C5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передачи матчасти</w:t>
            </w:r>
          </w:p>
        </w:tc>
      </w:tr>
      <w:tr w:rsidR="00DA227A" w:rsidRPr="00E93F40" w14:paraId="3EDE9B3D" w14:textId="77777777">
        <w:tc>
          <w:tcPr>
            <w:tcW w:w="2818" w:type="dxa"/>
          </w:tcPr>
          <w:p w14:paraId="4B928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0705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экземпляров</w:t>
            </w:r>
          </w:p>
        </w:tc>
        <w:tc>
          <w:tcPr>
            <w:tcW w:w="2818" w:type="dxa"/>
          </w:tcPr>
          <w:p w14:paraId="01A8AC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отряду</w:t>
            </w:r>
          </w:p>
        </w:tc>
      </w:tr>
      <w:tr w:rsidR="00DA227A" w:rsidRPr="00E93F40" w14:paraId="45242122" w14:textId="77777777">
        <w:tc>
          <w:tcPr>
            <w:tcW w:w="2818" w:type="dxa"/>
          </w:tcPr>
          <w:p w14:paraId="7CF645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Автомобиль легковой (ФОРД А),</w:t>
            </w:r>
          </w:p>
        </w:tc>
        <w:tc>
          <w:tcPr>
            <w:tcW w:w="2818" w:type="dxa"/>
          </w:tcPr>
          <w:p w14:paraId="0ED283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D000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EBA29F" w14:textId="77777777">
        <w:tc>
          <w:tcPr>
            <w:tcW w:w="2818" w:type="dxa"/>
          </w:tcPr>
          <w:p w14:paraId="1617F6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переделанный на 1 т</w:t>
            </w:r>
          </w:p>
        </w:tc>
        <w:tc>
          <w:tcPr>
            <w:tcW w:w="2818" w:type="dxa"/>
          </w:tcPr>
          <w:p w14:paraId="304E3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2818" w:type="dxa"/>
          </w:tcPr>
          <w:p w14:paraId="42A069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0DF86A46" w14:textId="77777777">
        <w:tc>
          <w:tcPr>
            <w:tcW w:w="2818" w:type="dxa"/>
          </w:tcPr>
          <w:p w14:paraId="50CA6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Автомобиль под рацию, полотнища</w:t>
            </w:r>
          </w:p>
        </w:tc>
        <w:tc>
          <w:tcPr>
            <w:tcW w:w="2818" w:type="dxa"/>
          </w:tcPr>
          <w:p w14:paraId="7F06F2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894C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CC2B9F" w14:textId="77777777">
        <w:tc>
          <w:tcPr>
            <w:tcW w:w="2818" w:type="dxa"/>
          </w:tcPr>
          <w:p w14:paraId="0E11C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попхем и голубятню</w:t>
            </w:r>
          </w:p>
        </w:tc>
        <w:tc>
          <w:tcPr>
            <w:tcW w:w="2818" w:type="dxa"/>
          </w:tcPr>
          <w:p w14:paraId="5BA9B6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2818" w:type="dxa"/>
          </w:tcPr>
          <w:p w14:paraId="18BEE7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24ED7462" w14:textId="77777777">
        <w:tc>
          <w:tcPr>
            <w:tcW w:w="2818" w:type="dxa"/>
          </w:tcPr>
          <w:p w14:paraId="29B27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мотоцикла Харлей</w:t>
            </w:r>
          </w:p>
        </w:tc>
        <w:tc>
          <w:tcPr>
            <w:tcW w:w="2818" w:type="dxa"/>
          </w:tcPr>
          <w:p w14:paraId="3DD76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AA63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2A40AB" w14:textId="77777777">
        <w:tc>
          <w:tcPr>
            <w:tcW w:w="2818" w:type="dxa"/>
          </w:tcPr>
          <w:p w14:paraId="449699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Давидсон с коляской</w:t>
            </w:r>
          </w:p>
        </w:tc>
        <w:tc>
          <w:tcPr>
            <w:tcW w:w="2818" w:type="dxa"/>
          </w:tcPr>
          <w:p w14:paraId="60891C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2818" w:type="dxa"/>
          </w:tcPr>
          <w:p w14:paraId="070DB6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01F8EC36" w14:textId="77777777">
        <w:tc>
          <w:tcPr>
            <w:tcW w:w="2818" w:type="dxa"/>
          </w:tcPr>
          <w:p w14:paraId="53FFBF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самокатов с комплектом</w:t>
            </w:r>
          </w:p>
        </w:tc>
        <w:tc>
          <w:tcPr>
            <w:tcW w:w="2818" w:type="dxa"/>
          </w:tcPr>
          <w:p w14:paraId="155FBA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4865F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382057" w14:textId="77777777">
        <w:tc>
          <w:tcPr>
            <w:tcW w:w="2818" w:type="dxa"/>
          </w:tcPr>
          <w:p w14:paraId="458A8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патронов 500 шт.</w:t>
            </w:r>
          </w:p>
        </w:tc>
        <w:tc>
          <w:tcPr>
            <w:tcW w:w="2818" w:type="dxa"/>
          </w:tcPr>
          <w:p w14:paraId="6E08D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w:t>
            </w:r>
          </w:p>
        </w:tc>
        <w:tc>
          <w:tcPr>
            <w:tcW w:w="2818" w:type="dxa"/>
          </w:tcPr>
          <w:p w14:paraId="649CF3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481C19B6" w14:textId="77777777">
        <w:tc>
          <w:tcPr>
            <w:tcW w:w="2818" w:type="dxa"/>
          </w:tcPr>
          <w:p w14:paraId="283DAB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орудий ДР-П</w:t>
            </w:r>
          </w:p>
        </w:tc>
        <w:tc>
          <w:tcPr>
            <w:tcW w:w="2818" w:type="dxa"/>
          </w:tcPr>
          <w:p w14:paraId="60F018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2818" w:type="dxa"/>
          </w:tcPr>
          <w:p w14:paraId="75EE0A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14BA2FBF" w14:textId="77777777">
        <w:tc>
          <w:tcPr>
            <w:tcW w:w="2818" w:type="dxa"/>
          </w:tcPr>
          <w:p w14:paraId="79134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снарядов (к ДРП)</w:t>
            </w:r>
          </w:p>
        </w:tc>
        <w:tc>
          <w:tcPr>
            <w:tcW w:w="2818" w:type="dxa"/>
          </w:tcPr>
          <w:p w14:paraId="72D796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2818" w:type="dxa"/>
          </w:tcPr>
          <w:p w14:paraId="53A8F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78A3807D" w14:textId="77777777">
        <w:tc>
          <w:tcPr>
            <w:tcW w:w="2818" w:type="dxa"/>
          </w:tcPr>
          <w:p w14:paraId="45C65F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ручных пулеметов</w:t>
            </w:r>
          </w:p>
        </w:tc>
        <w:tc>
          <w:tcPr>
            <w:tcW w:w="2818" w:type="dxa"/>
          </w:tcPr>
          <w:p w14:paraId="6655CB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2818" w:type="dxa"/>
          </w:tcPr>
          <w:p w14:paraId="046A2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срок - 1 мая 1932 года</w:t>
            </w:r>
          </w:p>
        </w:tc>
      </w:tr>
      <w:tr w:rsidR="00DA227A" w:rsidRPr="00E93F40" w14:paraId="3CBCD88C" w14:textId="77777777">
        <w:tc>
          <w:tcPr>
            <w:tcW w:w="2818" w:type="dxa"/>
          </w:tcPr>
          <w:p w14:paraId="33853E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9B163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53C7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второй срок - 1 сентября 32 года</w:t>
            </w:r>
          </w:p>
        </w:tc>
      </w:tr>
      <w:tr w:rsidR="00DA227A" w:rsidRPr="00E93F40" w14:paraId="5E11A8E7" w14:textId="77777777">
        <w:tc>
          <w:tcPr>
            <w:tcW w:w="2818" w:type="dxa"/>
          </w:tcPr>
          <w:p w14:paraId="33CC37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ручных гранат обр.</w:t>
            </w:r>
          </w:p>
        </w:tc>
        <w:tc>
          <w:tcPr>
            <w:tcW w:w="2818" w:type="dxa"/>
          </w:tcPr>
          <w:p w14:paraId="3C6E4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D793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697285E" w14:textId="77777777">
        <w:tc>
          <w:tcPr>
            <w:tcW w:w="2818" w:type="dxa"/>
          </w:tcPr>
          <w:p w14:paraId="66897F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1914 года</w:t>
            </w:r>
          </w:p>
        </w:tc>
        <w:tc>
          <w:tcPr>
            <w:tcW w:w="2818" w:type="dxa"/>
          </w:tcPr>
          <w:p w14:paraId="43DA4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2818" w:type="dxa"/>
          </w:tcPr>
          <w:p w14:paraId="2819F3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3607C517" w14:textId="77777777">
        <w:tc>
          <w:tcPr>
            <w:tcW w:w="2818" w:type="dxa"/>
          </w:tcPr>
          <w:p w14:paraId="6FF440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Подрывное имущество.</w:t>
            </w:r>
          </w:p>
        </w:tc>
        <w:tc>
          <w:tcPr>
            <w:tcW w:w="2818" w:type="dxa"/>
          </w:tcPr>
          <w:p w14:paraId="08571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008A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15E34A" w14:textId="77777777">
        <w:tc>
          <w:tcPr>
            <w:tcW w:w="2818" w:type="dxa"/>
          </w:tcPr>
          <w:p w14:paraId="6320D3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4-х фугасов для подрыва</w:t>
            </w:r>
          </w:p>
        </w:tc>
        <w:tc>
          <w:tcPr>
            <w:tcW w:w="2818" w:type="dxa"/>
          </w:tcPr>
          <w:p w14:paraId="7D5CE9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07C5D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22821F" w14:textId="77777777">
        <w:tc>
          <w:tcPr>
            <w:tcW w:w="2818" w:type="dxa"/>
          </w:tcPr>
          <w:p w14:paraId="58BD8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мостов</w:t>
            </w:r>
          </w:p>
        </w:tc>
        <w:tc>
          <w:tcPr>
            <w:tcW w:w="2818" w:type="dxa"/>
          </w:tcPr>
          <w:p w14:paraId="7990C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2818" w:type="dxa"/>
          </w:tcPr>
          <w:p w14:paraId="41C74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w:t>
            </w:r>
          </w:p>
        </w:tc>
      </w:tr>
      <w:tr w:rsidR="00DA227A" w:rsidRPr="00E93F40" w14:paraId="31D597F2" w14:textId="77777777">
        <w:tc>
          <w:tcPr>
            <w:tcW w:w="2818" w:type="dxa"/>
          </w:tcPr>
          <w:p w14:paraId="67E68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разного подрывного</w:t>
            </w:r>
          </w:p>
        </w:tc>
        <w:tc>
          <w:tcPr>
            <w:tcW w:w="2818" w:type="dxa"/>
          </w:tcPr>
          <w:p w14:paraId="1230DE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7D49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476ABA" w14:textId="77777777">
        <w:tc>
          <w:tcPr>
            <w:tcW w:w="2818" w:type="dxa"/>
          </w:tcPr>
          <w:p w14:paraId="6A32F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имущества</w:t>
            </w:r>
          </w:p>
        </w:tc>
        <w:tc>
          <w:tcPr>
            <w:tcW w:w="2818" w:type="dxa"/>
          </w:tcPr>
          <w:p w14:paraId="411ECE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2818" w:type="dxa"/>
          </w:tcPr>
          <w:p w14:paraId="55E68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w:t>
            </w:r>
          </w:p>
        </w:tc>
      </w:tr>
      <w:tr w:rsidR="00DA227A" w:rsidRPr="00E93F40" w14:paraId="7FCFF7EE" w14:textId="77777777">
        <w:tc>
          <w:tcPr>
            <w:tcW w:w="2818" w:type="dxa"/>
          </w:tcPr>
          <w:p w14:paraId="59D62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Шанцевый инструмент.</w:t>
            </w:r>
          </w:p>
        </w:tc>
        <w:tc>
          <w:tcPr>
            <w:tcW w:w="2818" w:type="dxa"/>
          </w:tcPr>
          <w:p w14:paraId="07C69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9B92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B33DE8" w14:textId="77777777">
        <w:tc>
          <w:tcPr>
            <w:tcW w:w="2818" w:type="dxa"/>
          </w:tcPr>
          <w:p w14:paraId="68675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Лопат - малых, больших, кирок</w:t>
            </w:r>
          </w:p>
        </w:tc>
        <w:tc>
          <w:tcPr>
            <w:tcW w:w="2818" w:type="dxa"/>
          </w:tcPr>
          <w:p w14:paraId="5ED41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w:t>
            </w:r>
          </w:p>
        </w:tc>
        <w:tc>
          <w:tcPr>
            <w:tcW w:w="2818" w:type="dxa"/>
          </w:tcPr>
          <w:p w14:paraId="0A80D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4D32CE31" w14:textId="77777777">
        <w:tc>
          <w:tcPr>
            <w:tcW w:w="2818" w:type="dxa"/>
          </w:tcPr>
          <w:p w14:paraId="535AA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Военно-санитарное имущество.</w:t>
            </w:r>
          </w:p>
        </w:tc>
        <w:tc>
          <w:tcPr>
            <w:tcW w:w="2818" w:type="dxa"/>
          </w:tcPr>
          <w:p w14:paraId="57A7DA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D7E3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738AB6" w14:textId="77777777">
        <w:tc>
          <w:tcPr>
            <w:tcW w:w="2818" w:type="dxa"/>
          </w:tcPr>
          <w:p w14:paraId="311D0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Санитарные сумки</w:t>
            </w:r>
          </w:p>
        </w:tc>
        <w:tc>
          <w:tcPr>
            <w:tcW w:w="2818" w:type="dxa"/>
          </w:tcPr>
          <w:p w14:paraId="415654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2818" w:type="dxa"/>
          </w:tcPr>
          <w:p w14:paraId="27FF26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2CFB3DD9" w14:textId="77777777">
        <w:tc>
          <w:tcPr>
            <w:tcW w:w="2818" w:type="dxa"/>
          </w:tcPr>
          <w:p w14:paraId="259D1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Запас продовольствия</w:t>
            </w:r>
          </w:p>
        </w:tc>
        <w:tc>
          <w:tcPr>
            <w:tcW w:w="2818" w:type="dxa"/>
          </w:tcPr>
          <w:p w14:paraId="16555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 банок</w:t>
            </w:r>
          </w:p>
        </w:tc>
        <w:tc>
          <w:tcPr>
            <w:tcW w:w="2818" w:type="dxa"/>
          </w:tcPr>
          <w:p w14:paraId="623BD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года</w:t>
            </w:r>
          </w:p>
        </w:tc>
      </w:tr>
      <w:tr w:rsidR="00DA227A" w:rsidRPr="00E93F40" w14:paraId="3823383A" w14:textId="77777777">
        <w:tc>
          <w:tcPr>
            <w:tcW w:w="2818" w:type="dxa"/>
          </w:tcPr>
          <w:p w14:paraId="3D808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Галеты, шоколад, молоко консерв.</w:t>
            </w:r>
          </w:p>
        </w:tc>
        <w:tc>
          <w:tcPr>
            <w:tcW w:w="2818" w:type="dxa"/>
          </w:tcPr>
          <w:p w14:paraId="0657A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 кг</w:t>
            </w:r>
          </w:p>
        </w:tc>
        <w:tc>
          <w:tcPr>
            <w:tcW w:w="2818" w:type="dxa"/>
          </w:tcPr>
          <w:p w14:paraId="6C093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года</w:t>
            </w:r>
          </w:p>
        </w:tc>
      </w:tr>
      <w:tr w:rsidR="00DA227A" w:rsidRPr="00E93F40" w14:paraId="5E68F635" w14:textId="77777777">
        <w:tc>
          <w:tcPr>
            <w:tcW w:w="2818" w:type="dxa"/>
          </w:tcPr>
          <w:p w14:paraId="3A30E4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Оборудование самолета АНТ-9</w:t>
            </w:r>
          </w:p>
        </w:tc>
        <w:tc>
          <w:tcPr>
            <w:tcW w:w="2818" w:type="dxa"/>
          </w:tcPr>
          <w:p w14:paraId="00B753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41400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1D3FCB" w14:textId="77777777">
        <w:tc>
          <w:tcPr>
            <w:tcW w:w="2818" w:type="dxa"/>
          </w:tcPr>
          <w:p w14:paraId="7BBA2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прибором для автоматического</w:t>
            </w:r>
          </w:p>
        </w:tc>
        <w:tc>
          <w:tcPr>
            <w:tcW w:w="2818" w:type="dxa"/>
          </w:tcPr>
          <w:p w14:paraId="30559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EDC72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E93F40" w14:paraId="68C2C9F5" w14:textId="77777777">
        <w:tc>
          <w:tcPr>
            <w:tcW w:w="2818" w:type="dxa"/>
          </w:tcPr>
          <w:p w14:paraId="5F2523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выбрасывания бойцов</w:t>
            </w:r>
          </w:p>
        </w:tc>
        <w:tc>
          <w:tcPr>
            <w:tcW w:w="2818" w:type="dxa"/>
          </w:tcPr>
          <w:p w14:paraId="2EE09C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2818" w:type="dxa"/>
          </w:tcPr>
          <w:p w14:paraId="79D48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 (3788,34-35)</w:t>
            </w:r>
          </w:p>
        </w:tc>
      </w:tr>
    </w:tbl>
    <w:p w14:paraId="13CAA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C63B6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2E2291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4F8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февраля и 1 марта 1932 г. был испытан на заводском полигоне первый образец универсальной 76-мм пушки завода "Красный Путиловец", собранный 23 февраля 1932 года. Вес качающейся части пушки 950 кг, вес системы в боевом положении 3470 кг. Лафетные колеса от автомобиля Я-5. 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 (3861).</w:t>
      </w:r>
    </w:p>
    <w:p w14:paraId="0B8FE2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DF3642"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февраля и 1 марта 1932 г. первый образец 76-мм пушки, собранный 23 февраля 1932 г., был испытан на заводском полигоне Красного Путиловца.</w:t>
      </w:r>
    </w:p>
    <w:p w14:paraId="73314449"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качающейся части пушки 950 кг, вес системы в боевом положении 3470 кг. Лафетные колеса от автомобиля Я-5.</w:t>
      </w:r>
    </w:p>
    <w:p w14:paraId="44159B35"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w:t>
      </w:r>
    </w:p>
    <w:p w14:paraId="0BF00F4F"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НИАП измененный опытный образец прибыл 30 мая 1932 г. Колеса для испытаний первого образца были взяты от Я-5, Результаты испытаний системы:</w:t>
      </w:r>
    </w:p>
    <w:p w14:paraId="1387EF04"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 …… Вес снаряда, кг — Начальная скорость, м/с — Длина отката при: 25° / 30° / 75°</w:t>
      </w:r>
    </w:p>
    <w:p w14:paraId="60E93176"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 3809 …… 7,1 — 875 — 1193 / 1242 /830</w:t>
      </w:r>
    </w:p>
    <w:p w14:paraId="6D1B60DE"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(15117).</w:t>
      </w:r>
    </w:p>
    <w:p w14:paraId="4E601F28" w14:textId="77777777" w:rsidR="001B58DB" w:rsidRPr="00E93F40" w:rsidRDefault="001B58DB" w:rsidP="00E93F40">
      <w:pPr>
        <w:spacing w:after="0" w:line="240" w:lineRule="auto"/>
        <w:jc w:val="both"/>
        <w:rPr>
          <w:rFonts w:ascii="Times New Roman" w:hAnsi="Times New Roman"/>
          <w:color w:val="000000" w:themeColor="text1"/>
          <w:sz w:val="16"/>
          <w:szCs w:val="16"/>
        </w:rPr>
      </w:pPr>
    </w:p>
    <w:p w14:paraId="58981AC5" w14:textId="77777777" w:rsidR="00481984" w:rsidRPr="00E93F40" w:rsidRDefault="0048198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29 февраля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235/46сс об утверждении перечня предприятий и сооружений, подлежащих передаче под охрану войск ОГПУ (ГА РФ. Ф. Р?8418. Оп. 28. Д. 146. Л. 7?25) (12415).</w:t>
      </w:r>
    </w:p>
    <w:p w14:paraId="5E47DE37" w14:textId="77777777" w:rsidR="00481984" w:rsidRPr="00E93F40" w:rsidRDefault="0048198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153/162сс об обеспечении строительства НКВМ в Дальневосточном крае оборудованием и спецодеждой (ГА РФ. Ф. Р?8418. Оп. 28. Д. 1а. Л. 161) (12415).</w:t>
      </w:r>
    </w:p>
    <w:p w14:paraId="0624DE58" w14:textId="77777777" w:rsidR="00481984" w:rsidRPr="00E93F40" w:rsidRDefault="00481984" w:rsidP="00E93F40">
      <w:pPr>
        <w:spacing w:after="0" w:line="240" w:lineRule="auto"/>
        <w:jc w:val="both"/>
        <w:rPr>
          <w:rFonts w:ascii="Times New Roman" w:hAnsi="Times New Roman"/>
          <w:color w:val="000000" w:themeColor="text1"/>
          <w:sz w:val="16"/>
          <w:szCs w:val="16"/>
          <w:u w:color="002060"/>
        </w:rPr>
      </w:pPr>
    </w:p>
    <w:p w14:paraId="4F727AD5" w14:textId="77777777" w:rsidR="001B58DB" w:rsidRPr="00E93F40" w:rsidRDefault="001B58DB"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bCs/>
          <w:color w:val="000000" w:themeColor="text1"/>
          <w:sz w:val="16"/>
          <w:szCs w:val="16"/>
        </w:rPr>
        <w:t>29 февраля 1932 г. — Из объяснительной записки Орудийно-арсенального объединения к годовому отчету за 1931 г.</w:t>
      </w:r>
    </w:p>
    <w:p w14:paraId="75DF254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p w14:paraId="0CA6F8B5" w14:textId="7EE4CC2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Орудийно-арсенальное объединение как новая организация существует с июля месяца 1931</w:t>
      </w:r>
      <w:r w:rsidR="007C1411" w:rsidRPr="00E93F40">
        <w:rPr>
          <w:color w:val="000000" w:themeColor="text1"/>
          <w:sz w:val="16"/>
          <w:szCs w:val="16"/>
        </w:rPr>
        <w:t xml:space="preserve"> </w:t>
      </w:r>
      <w:r w:rsidRPr="00E93F40">
        <w:rPr>
          <w:color w:val="000000" w:themeColor="text1"/>
          <w:sz w:val="16"/>
          <w:szCs w:val="16"/>
        </w:rPr>
        <w:t>г., когда из состава быв. Оружобъединения был выделен Ружтрест в составе трех оружейно-пулеметных заводов. Кроме того, из состава быв. Оружобъединения передан завод «Мастяжарт» в Снарядный трест в мае месяце 1931</w:t>
      </w:r>
      <w:r w:rsidR="007C1411" w:rsidRPr="00E93F40">
        <w:rPr>
          <w:color w:val="000000" w:themeColor="text1"/>
          <w:sz w:val="16"/>
          <w:szCs w:val="16"/>
        </w:rPr>
        <w:t xml:space="preserve"> </w:t>
      </w:r>
      <w:r w:rsidRPr="00E93F40">
        <w:rPr>
          <w:color w:val="000000" w:themeColor="text1"/>
          <w:sz w:val="16"/>
          <w:szCs w:val="16"/>
        </w:rPr>
        <w:t>г. С 1</w:t>
      </w:r>
      <w:r w:rsidR="007C1411" w:rsidRPr="00E93F40">
        <w:rPr>
          <w:color w:val="000000" w:themeColor="text1"/>
          <w:sz w:val="16"/>
          <w:szCs w:val="16"/>
        </w:rPr>
        <w:t xml:space="preserve"> </w:t>
      </w:r>
      <w:r w:rsidRPr="00E93F40">
        <w:rPr>
          <w:color w:val="000000" w:themeColor="text1"/>
          <w:sz w:val="16"/>
          <w:szCs w:val="16"/>
        </w:rPr>
        <w:t>января 1931</w:t>
      </w:r>
      <w:r w:rsidR="007C1411" w:rsidRPr="00E93F40">
        <w:rPr>
          <w:color w:val="000000" w:themeColor="text1"/>
          <w:sz w:val="16"/>
          <w:szCs w:val="16"/>
        </w:rPr>
        <w:t xml:space="preserve"> </w:t>
      </w:r>
      <w:r w:rsidRPr="00E93F40">
        <w:rPr>
          <w:color w:val="000000" w:themeColor="text1"/>
          <w:sz w:val="16"/>
          <w:szCs w:val="16"/>
        </w:rPr>
        <w:t>г. в состав Оружобъединения был принят торпедный завод «Двигатель» от Остехбюро НКВМора. В течение IV</w:t>
      </w:r>
      <w:r w:rsidR="007C1411" w:rsidRPr="00E93F40">
        <w:rPr>
          <w:color w:val="000000" w:themeColor="text1"/>
          <w:sz w:val="16"/>
          <w:szCs w:val="16"/>
        </w:rPr>
        <w:t xml:space="preserve"> </w:t>
      </w:r>
      <w:r w:rsidRPr="00E93F40">
        <w:rPr>
          <w:color w:val="000000" w:themeColor="text1"/>
          <w:sz w:val="16"/>
          <w:szCs w:val="16"/>
        </w:rPr>
        <w:t>квартала 1931</w:t>
      </w:r>
      <w:r w:rsidR="007C1411" w:rsidRPr="00E93F40">
        <w:rPr>
          <w:color w:val="000000" w:themeColor="text1"/>
          <w:sz w:val="16"/>
          <w:szCs w:val="16"/>
        </w:rPr>
        <w:t xml:space="preserve"> </w:t>
      </w:r>
      <w:r w:rsidRPr="00E93F40">
        <w:rPr>
          <w:color w:val="000000" w:themeColor="text1"/>
          <w:sz w:val="16"/>
          <w:szCs w:val="16"/>
        </w:rPr>
        <w:t>г. происходила приемка цехов орудийного производства от комбината «Красное Сормово», а также весь новостроящийся завод «Новое Сормово», входивший в комбинат «Красное Сормово».</w:t>
      </w:r>
    </w:p>
    <w:p w14:paraId="7C9FE36F" w14:textId="776F401F"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В результате этих изменений в состав Орудобъединения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входят следующие заводы, по которым и составлен годовой отчет за 1931</w:t>
      </w:r>
      <w:r w:rsidR="007C1411" w:rsidRPr="00E93F40">
        <w:rPr>
          <w:color w:val="000000" w:themeColor="text1"/>
          <w:sz w:val="16"/>
          <w:szCs w:val="16"/>
        </w:rPr>
        <w:t xml:space="preserve"> </w:t>
      </w:r>
      <w:r w:rsidRPr="00E93F40">
        <w:rPr>
          <w:color w:val="000000" w:themeColor="text1"/>
          <w:sz w:val="16"/>
          <w:szCs w:val="16"/>
        </w:rPr>
        <w:t>г. а)</w:t>
      </w:r>
      <w:r w:rsidR="007C1411" w:rsidRPr="00E93F40">
        <w:rPr>
          <w:color w:val="000000" w:themeColor="text1"/>
          <w:sz w:val="16"/>
          <w:szCs w:val="16"/>
        </w:rPr>
        <w:t xml:space="preserve"> </w:t>
      </w:r>
      <w:r w:rsidRPr="00E93F40">
        <w:rPr>
          <w:color w:val="000000" w:themeColor="text1"/>
          <w:sz w:val="16"/>
          <w:szCs w:val="16"/>
        </w:rPr>
        <w:t>орудийная группа</w:t>
      </w:r>
      <w:r w:rsidR="007C1411" w:rsidRPr="00E93F40">
        <w:rPr>
          <w:color w:val="000000" w:themeColor="text1"/>
          <w:sz w:val="16"/>
          <w:szCs w:val="16"/>
        </w:rPr>
        <w:t xml:space="preserve"> </w:t>
      </w:r>
      <w:r w:rsidRPr="00E93F40">
        <w:rPr>
          <w:color w:val="000000" w:themeColor="text1"/>
          <w:sz w:val="16"/>
          <w:szCs w:val="16"/>
        </w:rPr>
        <w:t>— 1)</w:t>
      </w:r>
      <w:r w:rsidR="007C1411" w:rsidRPr="00E93F40">
        <w:rPr>
          <w:color w:val="000000" w:themeColor="text1"/>
          <w:sz w:val="16"/>
          <w:szCs w:val="16"/>
        </w:rPr>
        <w:t xml:space="preserve"> </w:t>
      </w:r>
      <w:r w:rsidRPr="00E93F40">
        <w:rPr>
          <w:color w:val="000000" w:themeColor="text1"/>
          <w:sz w:val="16"/>
          <w:szCs w:val="16"/>
        </w:rPr>
        <w:t>машиностроительный завод им.</w:t>
      </w:r>
      <w:r w:rsidR="007C1411" w:rsidRPr="00E93F40">
        <w:rPr>
          <w:color w:val="000000" w:themeColor="text1"/>
          <w:sz w:val="16"/>
          <w:szCs w:val="16"/>
        </w:rPr>
        <w:t xml:space="preserve"> </w:t>
      </w:r>
      <w:r w:rsidRPr="00E93F40">
        <w:rPr>
          <w:color w:val="000000" w:themeColor="text1"/>
          <w:sz w:val="16"/>
          <w:szCs w:val="16"/>
        </w:rPr>
        <w:t>Молотова, быв.</w:t>
      </w:r>
      <w:r w:rsidR="007C1411" w:rsidRPr="00E93F40">
        <w:rPr>
          <w:color w:val="000000" w:themeColor="text1"/>
          <w:sz w:val="16"/>
          <w:szCs w:val="16"/>
        </w:rPr>
        <w:t xml:space="preserve"> </w:t>
      </w:r>
      <w:r w:rsidRPr="00E93F40">
        <w:rPr>
          <w:color w:val="000000" w:themeColor="text1"/>
          <w:sz w:val="16"/>
          <w:szCs w:val="16"/>
        </w:rPr>
        <w:t>Мотовилихинский; 2)</w:t>
      </w:r>
      <w:r w:rsidR="007C1411" w:rsidRPr="00E93F40">
        <w:rPr>
          <w:color w:val="000000" w:themeColor="text1"/>
          <w:sz w:val="16"/>
          <w:szCs w:val="16"/>
        </w:rPr>
        <w:t xml:space="preserve"> </w:t>
      </w:r>
      <w:r w:rsidRPr="00E93F40">
        <w:rPr>
          <w:color w:val="000000" w:themeColor="text1"/>
          <w:sz w:val="16"/>
          <w:szCs w:val="16"/>
        </w:rPr>
        <w:t>завод «Большевик»; 3)</w:t>
      </w:r>
      <w:r w:rsidR="007C1411" w:rsidRPr="00E93F40">
        <w:rPr>
          <w:color w:val="000000" w:themeColor="text1"/>
          <w:sz w:val="16"/>
          <w:szCs w:val="16"/>
        </w:rPr>
        <w:t xml:space="preserve"> </w:t>
      </w:r>
      <w:r w:rsidRPr="00E93F40">
        <w:rPr>
          <w:color w:val="000000" w:themeColor="text1"/>
          <w:sz w:val="16"/>
          <w:szCs w:val="16"/>
        </w:rPr>
        <w:t>завод №</w:t>
      </w:r>
      <w:r w:rsidR="007C1411" w:rsidRPr="00E93F40">
        <w:rPr>
          <w:color w:val="000000" w:themeColor="text1"/>
          <w:sz w:val="16"/>
          <w:szCs w:val="16"/>
        </w:rPr>
        <w:t xml:space="preserve"> </w:t>
      </w:r>
      <w:r w:rsidRPr="00E93F40">
        <w:rPr>
          <w:color w:val="000000" w:themeColor="text1"/>
          <w:sz w:val="16"/>
          <w:szCs w:val="16"/>
        </w:rPr>
        <w:t>8 им.</w:t>
      </w:r>
      <w:r w:rsidR="007C1411" w:rsidRPr="00E93F40">
        <w:rPr>
          <w:color w:val="000000" w:themeColor="text1"/>
          <w:sz w:val="16"/>
          <w:szCs w:val="16"/>
        </w:rPr>
        <w:t xml:space="preserve"> </w:t>
      </w:r>
      <w:r w:rsidRPr="00E93F40">
        <w:rPr>
          <w:color w:val="000000" w:themeColor="text1"/>
          <w:sz w:val="16"/>
          <w:szCs w:val="16"/>
        </w:rPr>
        <w:t>Калинина; 4)</w:t>
      </w:r>
      <w:r w:rsidR="007C1411" w:rsidRPr="00E93F40">
        <w:rPr>
          <w:color w:val="000000" w:themeColor="text1"/>
          <w:sz w:val="16"/>
          <w:szCs w:val="16"/>
        </w:rPr>
        <w:t xml:space="preserve"> </w:t>
      </w:r>
      <w:r w:rsidRPr="00E93F40">
        <w:rPr>
          <w:color w:val="000000" w:themeColor="text1"/>
          <w:sz w:val="16"/>
          <w:szCs w:val="16"/>
        </w:rPr>
        <w:t>завод «Баррикады»; 5)</w:t>
      </w:r>
      <w:r w:rsidR="007C1411" w:rsidRPr="00E93F40">
        <w:rPr>
          <w:color w:val="000000" w:themeColor="text1"/>
          <w:sz w:val="16"/>
          <w:szCs w:val="16"/>
        </w:rPr>
        <w:t xml:space="preserve"> </w:t>
      </w:r>
      <w:r w:rsidRPr="00E93F40">
        <w:rPr>
          <w:color w:val="000000" w:themeColor="text1"/>
          <w:sz w:val="16"/>
          <w:szCs w:val="16"/>
        </w:rPr>
        <w:t>завод «Новое Сормово»; б)</w:t>
      </w:r>
      <w:r w:rsidR="007C1411" w:rsidRPr="00E93F40">
        <w:rPr>
          <w:color w:val="000000" w:themeColor="text1"/>
          <w:sz w:val="16"/>
          <w:szCs w:val="16"/>
        </w:rPr>
        <w:t xml:space="preserve"> </w:t>
      </w:r>
      <w:r w:rsidRPr="00E93F40">
        <w:rPr>
          <w:color w:val="000000" w:themeColor="text1"/>
          <w:sz w:val="16"/>
          <w:szCs w:val="16"/>
        </w:rPr>
        <w:t>арсенальная группа</w:t>
      </w:r>
      <w:r w:rsidR="007C1411" w:rsidRPr="00E93F40">
        <w:rPr>
          <w:color w:val="000000" w:themeColor="text1"/>
          <w:sz w:val="16"/>
          <w:szCs w:val="16"/>
        </w:rPr>
        <w:t xml:space="preserve"> </w:t>
      </w:r>
      <w:r w:rsidRPr="00E93F40">
        <w:rPr>
          <w:color w:val="000000" w:themeColor="text1"/>
          <w:sz w:val="16"/>
          <w:szCs w:val="16"/>
        </w:rPr>
        <w:t>— 6)</w:t>
      </w:r>
      <w:r w:rsidR="007C1411" w:rsidRPr="00E93F40">
        <w:rPr>
          <w:color w:val="000000" w:themeColor="text1"/>
          <w:sz w:val="16"/>
          <w:szCs w:val="16"/>
        </w:rPr>
        <w:t xml:space="preserve"> </w:t>
      </w:r>
      <w:r w:rsidRPr="00E93F40">
        <w:rPr>
          <w:color w:val="000000" w:themeColor="text1"/>
          <w:sz w:val="16"/>
          <w:szCs w:val="16"/>
        </w:rPr>
        <w:t>механический завод №</w:t>
      </w:r>
      <w:r w:rsidR="007C1411" w:rsidRPr="00E93F40">
        <w:rPr>
          <w:color w:val="000000" w:themeColor="text1"/>
          <w:sz w:val="16"/>
          <w:szCs w:val="16"/>
        </w:rPr>
        <w:t xml:space="preserve"> </w:t>
      </w:r>
      <w:r w:rsidRPr="00E93F40">
        <w:rPr>
          <w:color w:val="000000" w:themeColor="text1"/>
          <w:sz w:val="16"/>
          <w:szCs w:val="16"/>
        </w:rPr>
        <w:t>7; 7)</w:t>
      </w:r>
      <w:r w:rsidR="007C1411" w:rsidRPr="00E93F40">
        <w:rPr>
          <w:color w:val="000000" w:themeColor="text1"/>
          <w:sz w:val="16"/>
          <w:szCs w:val="16"/>
        </w:rPr>
        <w:t xml:space="preserve"> </w:t>
      </w:r>
      <w:r w:rsidRPr="00E93F40">
        <w:rPr>
          <w:color w:val="000000" w:themeColor="text1"/>
          <w:sz w:val="16"/>
          <w:szCs w:val="16"/>
        </w:rPr>
        <w:t>механический завод №</w:t>
      </w:r>
      <w:r w:rsidR="007C1411" w:rsidRPr="00E93F40">
        <w:rPr>
          <w:color w:val="000000" w:themeColor="text1"/>
          <w:sz w:val="16"/>
          <w:szCs w:val="16"/>
        </w:rPr>
        <w:t xml:space="preserve"> </w:t>
      </w:r>
      <w:r w:rsidRPr="00E93F40">
        <w:rPr>
          <w:color w:val="000000" w:themeColor="text1"/>
          <w:sz w:val="16"/>
          <w:szCs w:val="16"/>
        </w:rPr>
        <w:t>13; 8)</w:t>
      </w:r>
      <w:r w:rsidR="007C1411" w:rsidRPr="00E93F40">
        <w:rPr>
          <w:color w:val="000000" w:themeColor="text1"/>
          <w:sz w:val="16"/>
          <w:szCs w:val="16"/>
        </w:rPr>
        <w:t xml:space="preserve"> </w:t>
      </w:r>
      <w:r w:rsidRPr="00E93F40">
        <w:rPr>
          <w:color w:val="000000" w:themeColor="text1"/>
          <w:sz w:val="16"/>
          <w:szCs w:val="16"/>
        </w:rPr>
        <w:t>Киевский Краснознаменный завод; в)</w:t>
      </w:r>
      <w:r w:rsidR="007C1411" w:rsidRPr="00E93F40">
        <w:rPr>
          <w:color w:val="000000" w:themeColor="text1"/>
          <w:sz w:val="16"/>
          <w:szCs w:val="16"/>
        </w:rPr>
        <w:t xml:space="preserve"> </w:t>
      </w:r>
      <w:r w:rsidRPr="00E93F40">
        <w:rPr>
          <w:color w:val="000000" w:themeColor="text1"/>
          <w:sz w:val="16"/>
          <w:szCs w:val="16"/>
        </w:rPr>
        <w:t>торпедная группа</w:t>
      </w:r>
      <w:r w:rsidR="007C1411" w:rsidRPr="00E93F40">
        <w:rPr>
          <w:color w:val="000000" w:themeColor="text1"/>
          <w:sz w:val="16"/>
          <w:szCs w:val="16"/>
        </w:rPr>
        <w:t xml:space="preserve"> </w:t>
      </w:r>
      <w:r w:rsidRPr="00E93F40">
        <w:rPr>
          <w:color w:val="000000" w:themeColor="text1"/>
          <w:sz w:val="16"/>
          <w:szCs w:val="16"/>
        </w:rPr>
        <w:t>— 9)</w:t>
      </w:r>
      <w:r w:rsidR="007C1411" w:rsidRPr="00E93F40">
        <w:rPr>
          <w:color w:val="000000" w:themeColor="text1"/>
          <w:sz w:val="16"/>
          <w:szCs w:val="16"/>
        </w:rPr>
        <w:t xml:space="preserve"> </w:t>
      </w:r>
      <w:r w:rsidRPr="00E93F40">
        <w:rPr>
          <w:color w:val="000000" w:themeColor="text1"/>
          <w:sz w:val="16"/>
          <w:szCs w:val="16"/>
        </w:rPr>
        <w:t>завод «Двигатель».</w:t>
      </w:r>
    </w:p>
    <w:p w14:paraId="1CE5158F" w14:textId="183C861A"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Ввиду того что завод «Новое Сормово» в состав Орудобъединения включен только в IV</w:t>
      </w:r>
      <w:r w:rsidR="007C1411" w:rsidRPr="00E93F40">
        <w:rPr>
          <w:color w:val="000000" w:themeColor="text1"/>
          <w:sz w:val="16"/>
          <w:szCs w:val="16"/>
        </w:rPr>
        <w:t xml:space="preserve"> </w:t>
      </w:r>
      <w:r w:rsidRPr="00E93F40">
        <w:rPr>
          <w:color w:val="000000" w:themeColor="text1"/>
          <w:sz w:val="16"/>
          <w:szCs w:val="16"/>
        </w:rPr>
        <w:t>квартале 1931</w:t>
      </w:r>
      <w:r w:rsidR="007C1411" w:rsidRPr="00E93F40">
        <w:rPr>
          <w:color w:val="000000" w:themeColor="text1"/>
          <w:sz w:val="16"/>
          <w:szCs w:val="16"/>
        </w:rPr>
        <w:t xml:space="preserve"> </w:t>
      </w:r>
      <w:r w:rsidRPr="00E93F40">
        <w:rPr>
          <w:color w:val="000000" w:themeColor="text1"/>
          <w:sz w:val="16"/>
          <w:szCs w:val="16"/>
        </w:rPr>
        <w:t>г. и в комбинате «Красное Сормово» самостоятельного промфинплана не имел (принятые производственные цеха изготовляли наряду с военной продукцией еще и мирную продукцию), увеличение промфинплана объединения в связи с его принятием произведено в сумме отчета за 1931</w:t>
      </w:r>
      <w:r w:rsidR="007C1411" w:rsidRPr="00E93F40">
        <w:rPr>
          <w:color w:val="000000" w:themeColor="text1"/>
          <w:sz w:val="16"/>
          <w:szCs w:val="16"/>
        </w:rPr>
        <w:t xml:space="preserve"> </w:t>
      </w:r>
      <w:r w:rsidRPr="00E93F40">
        <w:rPr>
          <w:color w:val="000000" w:themeColor="text1"/>
          <w:sz w:val="16"/>
          <w:szCs w:val="16"/>
        </w:rPr>
        <w:t>г. по всем показателям промфинплана. 1931</w:t>
      </w:r>
      <w:r w:rsidR="007C1411" w:rsidRPr="00E93F40">
        <w:rPr>
          <w:color w:val="000000" w:themeColor="text1"/>
          <w:sz w:val="16"/>
          <w:szCs w:val="16"/>
        </w:rPr>
        <w:t xml:space="preserve"> </w:t>
      </w:r>
      <w:r w:rsidRPr="00E93F40">
        <w:rPr>
          <w:color w:val="000000" w:themeColor="text1"/>
          <w:sz w:val="16"/>
          <w:szCs w:val="16"/>
        </w:rPr>
        <w:t>г. для Орудобъединения был решающим годом в части освоения в производстве новых образцов вооружения, и от степени этого освоения зависело как валовое производство 1931</w:t>
      </w:r>
      <w:r w:rsidR="007C1411" w:rsidRPr="00E93F40">
        <w:rPr>
          <w:color w:val="000000" w:themeColor="text1"/>
          <w:sz w:val="16"/>
          <w:szCs w:val="16"/>
        </w:rPr>
        <w:t xml:space="preserve"> </w:t>
      </w:r>
      <w:r w:rsidRPr="00E93F40">
        <w:rPr>
          <w:color w:val="000000" w:themeColor="text1"/>
          <w:sz w:val="16"/>
          <w:szCs w:val="16"/>
        </w:rPr>
        <w:t>г., так и, особенно, валовое производство 1932</w:t>
      </w:r>
      <w:r w:rsidR="007C1411" w:rsidRPr="00E93F40">
        <w:rPr>
          <w:color w:val="000000" w:themeColor="text1"/>
          <w:sz w:val="16"/>
          <w:szCs w:val="16"/>
        </w:rPr>
        <w:t xml:space="preserve"> </w:t>
      </w:r>
      <w:r w:rsidRPr="00E93F40">
        <w:rPr>
          <w:color w:val="000000" w:themeColor="text1"/>
          <w:sz w:val="16"/>
          <w:szCs w:val="16"/>
        </w:rPr>
        <w:t>г., основной задачей которого является уже не столько наладка нового производства, сколько абсолютное увеличение выпуска и улучшение качества продукции, освоенной в 1931</w:t>
      </w:r>
      <w:r w:rsidR="007C1411" w:rsidRPr="00E93F40">
        <w:rPr>
          <w:color w:val="000000" w:themeColor="text1"/>
          <w:sz w:val="16"/>
          <w:szCs w:val="16"/>
        </w:rPr>
        <w:t xml:space="preserve"> </w:t>
      </w:r>
      <w:r w:rsidRPr="00E93F40">
        <w:rPr>
          <w:color w:val="000000" w:themeColor="text1"/>
          <w:sz w:val="16"/>
          <w:szCs w:val="16"/>
        </w:rPr>
        <w:t>г.</w:t>
      </w:r>
    </w:p>
    <w:p w14:paraId="1B78C8B9" w14:textId="0A8B09D8"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Таким образом, работа заводов и объединения в 1931</w:t>
      </w:r>
      <w:r w:rsidR="007C1411" w:rsidRPr="00E93F40">
        <w:rPr>
          <w:color w:val="000000" w:themeColor="text1"/>
          <w:sz w:val="16"/>
          <w:szCs w:val="16"/>
        </w:rPr>
        <w:t xml:space="preserve"> </w:t>
      </w:r>
      <w:r w:rsidRPr="00E93F40">
        <w:rPr>
          <w:color w:val="000000" w:themeColor="text1"/>
          <w:sz w:val="16"/>
          <w:szCs w:val="16"/>
        </w:rPr>
        <w:t>г. протекала в условиях напряженной борьбы как за выполнение промфинплана, так и за овладение техникой производства новых образцов вооружения, что, конечно, не могло не сказаться па выполнении промфинплана, особенно еще и потому, что овладение новой техникой происходило на полном ходу производства. Наибольший процент новых производств падает на завод №</w:t>
      </w:r>
      <w:r w:rsidR="007C1411" w:rsidRPr="00E93F40">
        <w:rPr>
          <w:color w:val="000000" w:themeColor="text1"/>
          <w:sz w:val="16"/>
          <w:szCs w:val="16"/>
        </w:rPr>
        <w:t xml:space="preserve"> </w:t>
      </w:r>
      <w:r w:rsidRPr="00E93F40">
        <w:rPr>
          <w:color w:val="000000" w:themeColor="text1"/>
          <w:sz w:val="16"/>
          <w:szCs w:val="16"/>
        </w:rPr>
        <w:t>8 им.</w:t>
      </w:r>
      <w:r w:rsidR="007C1411" w:rsidRPr="00E93F40">
        <w:rPr>
          <w:color w:val="000000" w:themeColor="text1"/>
          <w:sz w:val="16"/>
          <w:szCs w:val="16"/>
        </w:rPr>
        <w:t xml:space="preserve"> </w:t>
      </w:r>
      <w:r w:rsidRPr="00E93F40">
        <w:rPr>
          <w:color w:val="000000" w:themeColor="text1"/>
          <w:sz w:val="16"/>
          <w:szCs w:val="16"/>
        </w:rPr>
        <w:t>Калинина, который имел ответственное задание по освоению и валовому выпуску новых образцов мелкокалиберной артиллерии, а также на завод «Большевик», имевший задание наладить и выпустить новый тип танка (Т</w:t>
      </w:r>
      <w:r w:rsidRPr="00E93F40">
        <w:rPr>
          <w:color w:val="000000" w:themeColor="text1"/>
          <w:sz w:val="16"/>
          <w:szCs w:val="16"/>
        </w:rPr>
        <w:noBreakHyphen/>
        <w:t>26), не прекращая существующего производства Т</w:t>
      </w:r>
      <w:r w:rsidRPr="00E93F40">
        <w:rPr>
          <w:color w:val="000000" w:themeColor="text1"/>
          <w:sz w:val="16"/>
          <w:szCs w:val="16"/>
        </w:rPr>
        <w:noBreakHyphen/>
        <w:t>18 до выполнения всего заданного количества. В части мелкокалиберной артиллерии завода №</w:t>
      </w:r>
      <w:r w:rsidR="007C1411" w:rsidRPr="00E93F40">
        <w:rPr>
          <w:color w:val="000000" w:themeColor="text1"/>
          <w:sz w:val="16"/>
          <w:szCs w:val="16"/>
        </w:rPr>
        <w:t xml:space="preserve"> </w:t>
      </w:r>
      <w:r w:rsidRPr="00E93F40">
        <w:rPr>
          <w:color w:val="000000" w:themeColor="text1"/>
          <w:sz w:val="16"/>
          <w:szCs w:val="16"/>
        </w:rPr>
        <w:t>8 задание было распределено на завод им.</w:t>
      </w:r>
      <w:r w:rsidR="007C1411" w:rsidRPr="00E93F40">
        <w:rPr>
          <w:color w:val="000000" w:themeColor="text1"/>
          <w:sz w:val="16"/>
          <w:szCs w:val="16"/>
        </w:rPr>
        <w:t xml:space="preserve"> </w:t>
      </w:r>
      <w:r w:rsidRPr="00E93F40">
        <w:rPr>
          <w:color w:val="000000" w:themeColor="text1"/>
          <w:sz w:val="16"/>
          <w:szCs w:val="16"/>
        </w:rPr>
        <w:t>Молотова как металлургическую базу по поковкам и отливкам и завод №</w:t>
      </w:r>
      <w:r w:rsidR="007C1411" w:rsidRPr="00E93F40">
        <w:rPr>
          <w:color w:val="000000" w:themeColor="text1"/>
          <w:sz w:val="16"/>
          <w:szCs w:val="16"/>
        </w:rPr>
        <w:t xml:space="preserve"> </w:t>
      </w:r>
      <w:r w:rsidRPr="00E93F40">
        <w:rPr>
          <w:color w:val="000000" w:themeColor="text1"/>
          <w:sz w:val="16"/>
          <w:szCs w:val="16"/>
        </w:rPr>
        <w:t>13</w:t>
      </w:r>
      <w:r w:rsidR="007C1411" w:rsidRPr="00E93F40">
        <w:rPr>
          <w:color w:val="000000" w:themeColor="text1"/>
          <w:sz w:val="16"/>
          <w:szCs w:val="16"/>
        </w:rPr>
        <w:t xml:space="preserve"> </w:t>
      </w:r>
      <w:r w:rsidRPr="00E93F40">
        <w:rPr>
          <w:color w:val="000000" w:themeColor="text1"/>
          <w:sz w:val="16"/>
          <w:szCs w:val="16"/>
        </w:rPr>
        <w:t>— по колесам, которые также должны были освоить новое производство и перейти на серийный их выпуск в течение 1931</w:t>
      </w:r>
      <w:r w:rsidR="007C1411" w:rsidRPr="00E93F40">
        <w:rPr>
          <w:color w:val="000000" w:themeColor="text1"/>
          <w:sz w:val="16"/>
          <w:szCs w:val="16"/>
        </w:rPr>
        <w:t xml:space="preserve"> </w:t>
      </w:r>
      <w:r w:rsidRPr="00E93F40">
        <w:rPr>
          <w:color w:val="000000" w:themeColor="text1"/>
          <w:sz w:val="16"/>
          <w:szCs w:val="16"/>
        </w:rPr>
        <w:t>г. На заводе «Большевик» было наибольшее напряжение по выпуску новых типов танков, так как заводы, предполагавшиеся к кооперированию с заводом «Большевик», не выполнили взятых на себя обязательств, и самому заводу пришлось выполнять ту часть задания, которая при составлении плана не предполагалась к выполнению. Наряду с большой работой по танкам на завод было возложено освоение и серийный выпуск по крупнокалиберной артиллерии (Б</w:t>
      </w:r>
      <w:r w:rsidRPr="00E93F40">
        <w:rPr>
          <w:color w:val="000000" w:themeColor="text1"/>
          <w:sz w:val="16"/>
          <w:szCs w:val="16"/>
        </w:rPr>
        <w:noBreakHyphen/>
        <w:t>4), с которым завод также в основном справился. Помимо большого количества новых производств, на заводах велась интенсивная работа по модернизации существующего производства, как-то: изготовление модернизированных 76</w:t>
      </w:r>
      <w:r w:rsidRPr="00E93F40">
        <w:rPr>
          <w:color w:val="000000" w:themeColor="text1"/>
          <w:sz w:val="16"/>
          <w:szCs w:val="16"/>
        </w:rPr>
        <w:noBreakHyphen/>
        <w:t>мм полевых пушек обр[азца] 1902/30</w:t>
      </w:r>
      <w:r w:rsidR="007C1411" w:rsidRPr="00E93F40">
        <w:rPr>
          <w:color w:val="000000" w:themeColor="text1"/>
          <w:sz w:val="16"/>
          <w:szCs w:val="16"/>
        </w:rPr>
        <w:t xml:space="preserve"> </w:t>
      </w:r>
      <w:r w:rsidRPr="00E93F40">
        <w:rPr>
          <w:color w:val="000000" w:themeColor="text1"/>
          <w:sz w:val="16"/>
          <w:szCs w:val="16"/>
        </w:rPr>
        <w:t>г., 107</w:t>
      </w:r>
      <w:r w:rsidRPr="00E93F40">
        <w:rPr>
          <w:color w:val="000000" w:themeColor="text1"/>
          <w:sz w:val="16"/>
          <w:szCs w:val="16"/>
        </w:rPr>
        <w:noBreakHyphen/>
        <w:t>мм пушек обр[азца] 1910/30</w:t>
      </w:r>
      <w:r w:rsidR="007C1411" w:rsidRPr="00E93F40">
        <w:rPr>
          <w:color w:val="000000" w:themeColor="text1"/>
          <w:sz w:val="16"/>
          <w:szCs w:val="16"/>
        </w:rPr>
        <w:t xml:space="preserve"> </w:t>
      </w:r>
      <w:r w:rsidRPr="00E93F40">
        <w:rPr>
          <w:color w:val="000000" w:themeColor="text1"/>
          <w:sz w:val="16"/>
          <w:szCs w:val="16"/>
        </w:rPr>
        <w:t>г., 122</w:t>
      </w:r>
      <w:r w:rsidRPr="00E93F40">
        <w:rPr>
          <w:color w:val="000000" w:themeColor="text1"/>
          <w:sz w:val="16"/>
          <w:szCs w:val="16"/>
        </w:rPr>
        <w:noBreakHyphen/>
        <w:t>мм гаубиц обр[азца! 1910/30</w:t>
      </w:r>
      <w:r w:rsidR="007C1411" w:rsidRPr="00E93F40">
        <w:rPr>
          <w:color w:val="000000" w:themeColor="text1"/>
          <w:sz w:val="16"/>
          <w:szCs w:val="16"/>
        </w:rPr>
        <w:t xml:space="preserve"> </w:t>
      </w:r>
      <w:r w:rsidRPr="00E93F40">
        <w:rPr>
          <w:color w:val="000000" w:themeColor="text1"/>
          <w:sz w:val="16"/>
          <w:szCs w:val="16"/>
        </w:rPr>
        <w:t>г., 152</w:t>
      </w:r>
      <w:r w:rsidRPr="00E93F40">
        <w:rPr>
          <w:color w:val="000000" w:themeColor="text1"/>
          <w:sz w:val="16"/>
          <w:szCs w:val="16"/>
        </w:rPr>
        <w:noBreakHyphen/>
        <w:t>мм гаубиц обр[азца] 1909/30</w:t>
      </w:r>
      <w:r w:rsidR="007C1411" w:rsidRPr="00E93F40">
        <w:rPr>
          <w:color w:val="000000" w:themeColor="text1"/>
          <w:sz w:val="16"/>
          <w:szCs w:val="16"/>
        </w:rPr>
        <w:t xml:space="preserve"> </w:t>
      </w:r>
      <w:r w:rsidRPr="00E93F40">
        <w:rPr>
          <w:color w:val="000000" w:themeColor="text1"/>
          <w:sz w:val="16"/>
          <w:szCs w:val="16"/>
        </w:rPr>
        <w:t>г. Ввиду большого объема работ по модернизации к этой работе наряду с заводами им.</w:t>
      </w:r>
      <w:r w:rsidR="007C1411" w:rsidRPr="00E93F40">
        <w:rPr>
          <w:color w:val="000000" w:themeColor="text1"/>
          <w:sz w:val="16"/>
          <w:szCs w:val="16"/>
        </w:rPr>
        <w:t xml:space="preserve"> </w:t>
      </w:r>
      <w:r w:rsidRPr="00E93F40">
        <w:rPr>
          <w:color w:val="000000" w:themeColor="text1"/>
          <w:sz w:val="16"/>
          <w:szCs w:val="16"/>
        </w:rPr>
        <w:t>Молотова и «Большевик», разрабатываемыми конструктивно эту модернизацию, были привлечены и все арсенальные заводы объединения, получая от первых необходимые поковки и отливки, а также консультацию.</w:t>
      </w:r>
    </w:p>
    <w:p w14:paraId="03B91669" w14:textId="1E08A1FB"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Все это вместе взятое указывает на большую работу, проведенную заводами и объединением в 1931</w:t>
      </w:r>
      <w:r w:rsidR="007C1411" w:rsidRPr="00E93F40">
        <w:rPr>
          <w:color w:val="000000" w:themeColor="text1"/>
          <w:sz w:val="16"/>
          <w:szCs w:val="16"/>
        </w:rPr>
        <w:t xml:space="preserve"> </w:t>
      </w:r>
      <w:r w:rsidRPr="00E93F40">
        <w:rPr>
          <w:color w:val="000000" w:themeColor="text1"/>
          <w:sz w:val="16"/>
          <w:szCs w:val="16"/>
        </w:rPr>
        <w:t>г. по усовершенствованию вооружения и техники производства, не считая отдельных исканий опытного и научно-исследовательского характера, которые также имели место в 1931</w:t>
      </w:r>
      <w:r w:rsidR="007C1411" w:rsidRPr="00E93F40">
        <w:rPr>
          <w:color w:val="000000" w:themeColor="text1"/>
          <w:sz w:val="16"/>
          <w:szCs w:val="16"/>
        </w:rPr>
        <w:t xml:space="preserve"> </w:t>
      </w:r>
      <w:r w:rsidRPr="00E93F40">
        <w:rPr>
          <w:color w:val="000000" w:themeColor="text1"/>
          <w:sz w:val="16"/>
          <w:szCs w:val="16"/>
        </w:rPr>
        <w:t>г.</w:t>
      </w:r>
    </w:p>
    <w:p w14:paraId="6E9D6C45" w14:textId="6FE191D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lastRenderedPageBreak/>
        <w:t>[1.]</w:t>
      </w:r>
      <w:r w:rsidR="007C1411" w:rsidRPr="00E93F40">
        <w:rPr>
          <w:color w:val="000000" w:themeColor="text1"/>
          <w:sz w:val="16"/>
          <w:szCs w:val="16"/>
        </w:rPr>
        <w:t xml:space="preserve"> </w:t>
      </w:r>
      <w:r w:rsidRPr="00E93F40">
        <w:rPr>
          <w:color w:val="000000" w:themeColor="text1"/>
          <w:sz w:val="16"/>
          <w:szCs w:val="16"/>
        </w:rPr>
        <w:t>Как следствие из всего вышеуказанного вытекает, что оценка деятельности заводов и объединения в целом за 1931</w:t>
      </w:r>
      <w:r w:rsidR="007C1411" w:rsidRPr="00E93F40">
        <w:rPr>
          <w:color w:val="000000" w:themeColor="text1"/>
          <w:sz w:val="16"/>
          <w:szCs w:val="16"/>
        </w:rPr>
        <w:t xml:space="preserve"> </w:t>
      </w:r>
      <w:r w:rsidRPr="00E93F40">
        <w:rPr>
          <w:color w:val="000000" w:themeColor="text1"/>
          <w:sz w:val="16"/>
          <w:szCs w:val="16"/>
        </w:rPr>
        <w:t>г. путем сопоставления цифр промфинплана с цифрами отчета без учета разницы в их содержании будет не совсем правильна. Разница в содержании вытекает из того, что при составлении промфинплана сложность налажива[ни]я и емкость изделий по оборудованию и рабсиле не могли быть полностью учтены, поскольку еще и чертежей на часть новых изделий не было, не считая того, что сам объем работы изменился против установленного по промфинплану (танки по «Большевику») из-за отказа кооперируемых заводов от участия в совместной работе, как, например: Ижорский завод</w:t>
      </w:r>
      <w:r w:rsidR="007C1411" w:rsidRPr="00E93F40">
        <w:rPr>
          <w:color w:val="000000" w:themeColor="text1"/>
          <w:sz w:val="16"/>
          <w:szCs w:val="16"/>
        </w:rPr>
        <w:t xml:space="preserve"> </w:t>
      </w:r>
      <w:r w:rsidRPr="00E93F40">
        <w:rPr>
          <w:color w:val="000000" w:themeColor="text1"/>
          <w:sz w:val="16"/>
          <w:szCs w:val="16"/>
        </w:rPr>
        <w:t>— по брони. Люберецкий завод</w:t>
      </w:r>
      <w:r w:rsidR="007C1411" w:rsidRPr="00E93F40">
        <w:rPr>
          <w:color w:val="000000" w:themeColor="text1"/>
          <w:sz w:val="16"/>
          <w:szCs w:val="16"/>
        </w:rPr>
        <w:t xml:space="preserve"> </w:t>
      </w:r>
      <w:r w:rsidRPr="00E93F40">
        <w:rPr>
          <w:color w:val="000000" w:themeColor="text1"/>
          <w:sz w:val="16"/>
          <w:szCs w:val="16"/>
        </w:rPr>
        <w:t>— по ковкому чугуну для танков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д.</w:t>
      </w:r>
    </w:p>
    <w:p w14:paraId="284F80C3" w14:textId="72024FEC"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Второй причиной (общего характера для всех заводов объединения) невыполнения промфинплана было изменение промфинплана в первом и втором полугодиях, несмотря на то что промфинпланы заводов были утверждены в июне-июле месяцах 1931</w:t>
      </w:r>
      <w:r w:rsidR="007C1411" w:rsidRPr="00E93F40">
        <w:rPr>
          <w:color w:val="000000" w:themeColor="text1"/>
          <w:sz w:val="16"/>
          <w:szCs w:val="16"/>
        </w:rPr>
        <w:t xml:space="preserve"> </w:t>
      </w:r>
      <w:r w:rsidRPr="00E93F40">
        <w:rPr>
          <w:color w:val="000000" w:themeColor="text1"/>
          <w:sz w:val="16"/>
          <w:szCs w:val="16"/>
        </w:rPr>
        <w:t>г., что отразилось на комплектности незавершенного производства и перегрузки заготовительных цехов изготовлением продукции не для текущего производства, а в запас.</w:t>
      </w:r>
    </w:p>
    <w:p w14:paraId="0D0B8FAF" w14:textId="305C191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Третьей причиной является резкое увеличение заданий по промфинплану, не полностью обеспечение запасами незавершенного производства и полуфабрикатов в 1930</w:t>
      </w:r>
      <w:r w:rsidR="007C1411" w:rsidRPr="00E93F40">
        <w:rPr>
          <w:color w:val="000000" w:themeColor="text1"/>
          <w:sz w:val="16"/>
          <w:szCs w:val="16"/>
        </w:rPr>
        <w:t xml:space="preserve"> </w:t>
      </w:r>
      <w:r w:rsidRPr="00E93F40">
        <w:rPr>
          <w:color w:val="000000" w:themeColor="text1"/>
          <w:sz w:val="16"/>
          <w:szCs w:val="16"/>
        </w:rPr>
        <w:t>г., что задержало выпуск продукции, особенно в первом полугодии, так как остатки незавершенного производства по существующему производству были недостаточны, а по новым производствам не было еще технических условий и чертежей, по которым можно было бы производить работу в заготовительных цехах и части обрабатывающих.</w:t>
      </w:r>
    </w:p>
    <w:p w14:paraId="0F93F40F" w14:textId="1C828916"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Наряду с освоением новых производств и введением высококачественных заготовок для них заводы в течение 1931</w:t>
      </w:r>
      <w:r w:rsidR="007C1411" w:rsidRPr="00E93F40">
        <w:rPr>
          <w:color w:val="000000" w:themeColor="text1"/>
          <w:sz w:val="16"/>
          <w:szCs w:val="16"/>
        </w:rPr>
        <w:t xml:space="preserve"> </w:t>
      </w:r>
      <w:r w:rsidRPr="00E93F40">
        <w:rPr>
          <w:color w:val="000000" w:themeColor="text1"/>
          <w:sz w:val="16"/>
          <w:szCs w:val="16"/>
        </w:rPr>
        <w:t>г. испытывали большое затруднение с обеспечением их качественным сырьем в потребном количестве, особенно по чугунам, болванкам и ферросплавам, приводившие к перебоям мартенов и производству слитков с пониженным качеством. Неудовлетворительное снабжение сухими дровами (МЗМ) приводило к уменьшению пропускной способности мартеновских печей из-за удлинения процесса плавки и ухудшению качества слитков, а так как МЗМ является основной металлургической базой для всех заводов объединения, результаты работы МЗМ соответственно сказались и на других заводах-получателях.</w:t>
      </w:r>
    </w:p>
    <w:p w14:paraId="3A06A1DD" w14:textId="65F727E1"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На невыполнение промфинплана заводов объединения повлияло также опоздание реконструкции заводов (МЗМ, «Баррикады», и №</w:t>
      </w:r>
      <w:r w:rsidR="007C1411" w:rsidRPr="00E93F40">
        <w:rPr>
          <w:color w:val="000000" w:themeColor="text1"/>
          <w:sz w:val="16"/>
          <w:szCs w:val="16"/>
        </w:rPr>
        <w:t xml:space="preserve"> </w:t>
      </w:r>
      <w:r w:rsidRPr="00E93F40">
        <w:rPr>
          <w:color w:val="000000" w:themeColor="text1"/>
          <w:sz w:val="16"/>
          <w:szCs w:val="16"/>
        </w:rPr>
        <w:t>8), не давшая тех эффектов в работе, которые от нее ожидались, особенно по механическим цехам (перепланировка и установка нового оборудования), что при введении новых технологических процессов новых изделий вызывало излишние возвратные движения деталей и некомплектность изготовления, а иногда и несоответствие станка, назначенному по технологической карте.</w:t>
      </w:r>
    </w:p>
    <w:p w14:paraId="2B7C80E4" w14:textId="05A87D3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Столь резкое увеличение программы при наличии значительного процента новых изделий требовало увеличение квалифицированного кадра рабочих, источником пополнения которого могли быть только сами заводы, создавало или задержку в работе, или повышенный брак (всегда на ответственных переходах), что также сказалось на выполнении работы.</w:t>
      </w:r>
    </w:p>
    <w:p w14:paraId="626969FE" w14:textId="64BCF9BA"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Несмотря на вышеотмеченные трудности, в незначительной части зависящие от заводов, все же сами заводы не использовали полностью свои «внутренние ресурсы» по организационному переустройству работы и руководства производством, допустив самотек в работе. Неудовлетворительное выполнение плана отдельными цехами, а самое главное</w:t>
      </w:r>
      <w:r w:rsidR="007C1411" w:rsidRPr="00E93F40">
        <w:rPr>
          <w:color w:val="000000" w:themeColor="text1"/>
          <w:sz w:val="16"/>
          <w:szCs w:val="16"/>
        </w:rPr>
        <w:t xml:space="preserve"> </w:t>
      </w:r>
      <w:r w:rsidRPr="00E93F40">
        <w:rPr>
          <w:color w:val="000000" w:themeColor="text1"/>
          <w:sz w:val="16"/>
          <w:szCs w:val="16"/>
        </w:rPr>
        <w:t>— отсутствие достоверного оперативного учета обработки деталей по цехам и переходам в связи с увеличением брака привело заводы к отсутствию достоверных сведений о комплектности изготовления деталей по цехам и разрыву в работе заготовительных и обрабатывающих цехов. Эти недостатки усугублялись отсутствием на ряде заводов точно зафиксированного технологического процесса производства изготовляемых изделий, чему способствовало введение модернизации и новых, ранее не изготовлявшихся изделий, по которым в момент пуска в работу не было разработано полного технологического процесса производства.</w:t>
      </w:r>
    </w:p>
    <w:p w14:paraId="011413D6" w14:textId="5EAF0454"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При наличии влияния этих факторов свои промфинпланы заводы в целом на 1931</w:t>
      </w:r>
      <w:r w:rsidR="007C1411" w:rsidRPr="00E93F40">
        <w:rPr>
          <w:color w:val="000000" w:themeColor="text1"/>
          <w:sz w:val="16"/>
          <w:szCs w:val="16"/>
        </w:rPr>
        <w:t xml:space="preserve"> </w:t>
      </w:r>
      <w:r w:rsidRPr="00E93F40">
        <w:rPr>
          <w:color w:val="000000" w:themeColor="text1"/>
          <w:sz w:val="16"/>
          <w:szCs w:val="16"/>
        </w:rPr>
        <w:t>г. выполнили на 80,2%, что по сравнению с валовой продукцией 1930</w:t>
      </w:r>
      <w:r w:rsidR="007C1411" w:rsidRPr="00E93F40">
        <w:rPr>
          <w:color w:val="000000" w:themeColor="text1"/>
          <w:sz w:val="16"/>
          <w:szCs w:val="16"/>
        </w:rPr>
        <w:t xml:space="preserve"> </w:t>
      </w:r>
      <w:r w:rsidRPr="00E93F40">
        <w:rPr>
          <w:color w:val="000000" w:themeColor="text1"/>
          <w:sz w:val="16"/>
          <w:szCs w:val="16"/>
        </w:rPr>
        <w:t>г. дает рост в 154% при росте валовой продукции по всей промышленности ВСНХ</w:t>
      </w:r>
      <w:r w:rsidR="007C1411" w:rsidRPr="00E93F40">
        <w:rPr>
          <w:color w:val="000000" w:themeColor="text1"/>
          <w:sz w:val="16"/>
          <w:szCs w:val="16"/>
        </w:rPr>
        <w:t xml:space="preserve"> </w:t>
      </w:r>
      <w:r w:rsidRPr="00E93F40">
        <w:rPr>
          <w:color w:val="000000" w:themeColor="text1"/>
          <w:sz w:val="16"/>
          <w:szCs w:val="16"/>
        </w:rPr>
        <w:t>СССР на 20,7%. Таким образом, по сравнению со среднепромышленным ростом объединение идет намного вперед. Столь значительный прирост продукции за 1931</w:t>
      </w:r>
      <w:r w:rsidR="007C1411" w:rsidRPr="00E93F40">
        <w:rPr>
          <w:color w:val="000000" w:themeColor="text1"/>
          <w:sz w:val="16"/>
          <w:szCs w:val="16"/>
        </w:rPr>
        <w:t xml:space="preserve"> </w:t>
      </w:r>
      <w:r w:rsidRPr="00E93F40">
        <w:rPr>
          <w:color w:val="000000" w:themeColor="text1"/>
          <w:sz w:val="16"/>
          <w:szCs w:val="16"/>
        </w:rPr>
        <w:t>г. при 59% несопоставимой продукции с 1930</w:t>
      </w:r>
      <w:r w:rsidR="007C1411" w:rsidRPr="00E93F40">
        <w:rPr>
          <w:color w:val="000000" w:themeColor="text1"/>
          <w:sz w:val="16"/>
          <w:szCs w:val="16"/>
        </w:rPr>
        <w:t xml:space="preserve"> </w:t>
      </w:r>
      <w:r w:rsidRPr="00E93F40">
        <w:rPr>
          <w:color w:val="000000" w:themeColor="text1"/>
          <w:sz w:val="16"/>
          <w:szCs w:val="16"/>
        </w:rPr>
        <w:t>г. указывает на принятие объединением и заводами действительных мер по упорядочению производственно-хозяйственной деятельности, хотя в результате этого и не получено 100% выполнения программы.</w:t>
      </w:r>
    </w:p>
    <w:p w14:paraId="7A49B50E" w14:textId="05F51570"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Наиболее интенсивно и напряженно шла работа во втором полугодии 1931</w:t>
      </w:r>
      <w:r w:rsidR="007C1411" w:rsidRPr="00E93F40">
        <w:rPr>
          <w:color w:val="000000" w:themeColor="text1"/>
          <w:sz w:val="16"/>
          <w:szCs w:val="16"/>
        </w:rPr>
        <w:t xml:space="preserve"> </w:t>
      </w:r>
      <w:r w:rsidRPr="00E93F40">
        <w:rPr>
          <w:color w:val="000000" w:themeColor="text1"/>
          <w:sz w:val="16"/>
          <w:szCs w:val="16"/>
        </w:rPr>
        <w:t>г. по выпуску товарной продукции, обусловленная по некоторым заводам (особенно завод №</w:t>
      </w:r>
      <w:r w:rsidR="007C1411" w:rsidRPr="00E93F40">
        <w:rPr>
          <w:color w:val="000000" w:themeColor="text1"/>
          <w:sz w:val="16"/>
          <w:szCs w:val="16"/>
        </w:rPr>
        <w:t xml:space="preserve"> </w:t>
      </w:r>
      <w:r w:rsidRPr="00E93F40">
        <w:rPr>
          <w:color w:val="000000" w:themeColor="text1"/>
          <w:sz w:val="16"/>
          <w:szCs w:val="16"/>
        </w:rPr>
        <w:t>8) искусственным увеличением выпуска 1930</w:t>
      </w:r>
      <w:r w:rsidR="007C1411" w:rsidRPr="00E93F40">
        <w:rPr>
          <w:color w:val="000000" w:themeColor="text1"/>
          <w:sz w:val="16"/>
          <w:szCs w:val="16"/>
        </w:rPr>
        <w:t xml:space="preserve"> </w:t>
      </w:r>
      <w:r w:rsidRPr="00E93F40">
        <w:rPr>
          <w:color w:val="000000" w:themeColor="text1"/>
          <w:sz w:val="16"/>
          <w:szCs w:val="16"/>
        </w:rPr>
        <w:t>г. за счет 1931</w:t>
      </w:r>
      <w:r w:rsidR="007C1411" w:rsidRPr="00E93F40">
        <w:rPr>
          <w:color w:val="000000" w:themeColor="text1"/>
          <w:sz w:val="16"/>
          <w:szCs w:val="16"/>
        </w:rPr>
        <w:t xml:space="preserve"> </w:t>
      </w:r>
      <w:r w:rsidRPr="00E93F40">
        <w:rPr>
          <w:color w:val="000000" w:themeColor="text1"/>
          <w:sz w:val="16"/>
          <w:szCs w:val="16"/>
        </w:rPr>
        <w:t>г., отчего на этих заводах к выпуску продукции 1931</w:t>
      </w:r>
      <w:r w:rsidR="007C1411" w:rsidRPr="00E93F40">
        <w:rPr>
          <w:color w:val="000000" w:themeColor="text1"/>
          <w:sz w:val="16"/>
          <w:szCs w:val="16"/>
        </w:rPr>
        <w:t xml:space="preserve"> </w:t>
      </w:r>
      <w:r w:rsidRPr="00E93F40">
        <w:rPr>
          <w:color w:val="000000" w:themeColor="text1"/>
          <w:sz w:val="16"/>
          <w:szCs w:val="16"/>
        </w:rPr>
        <w:t>г. было приступлено только во II</w:t>
      </w:r>
      <w:r w:rsidR="007C1411" w:rsidRPr="00E93F40">
        <w:rPr>
          <w:color w:val="000000" w:themeColor="text1"/>
          <w:sz w:val="16"/>
          <w:szCs w:val="16"/>
        </w:rPr>
        <w:t xml:space="preserve"> </w:t>
      </w:r>
      <w:r w:rsidRPr="00E93F40">
        <w:rPr>
          <w:color w:val="000000" w:themeColor="text1"/>
          <w:sz w:val="16"/>
          <w:szCs w:val="16"/>
        </w:rPr>
        <w:t>квартале, а в I</w:t>
      </w:r>
      <w:r w:rsidR="007C1411" w:rsidRPr="00E93F40">
        <w:rPr>
          <w:color w:val="000000" w:themeColor="text1"/>
          <w:sz w:val="16"/>
          <w:szCs w:val="16"/>
        </w:rPr>
        <w:t xml:space="preserve"> </w:t>
      </w:r>
      <w:r w:rsidRPr="00E93F40">
        <w:rPr>
          <w:color w:val="000000" w:themeColor="text1"/>
          <w:sz w:val="16"/>
          <w:szCs w:val="16"/>
        </w:rPr>
        <w:t>кв[артале] производилась доработка выпуска 1930</w:t>
      </w:r>
      <w:r w:rsidR="007C1411" w:rsidRPr="00E93F40">
        <w:rPr>
          <w:color w:val="000000" w:themeColor="text1"/>
          <w:sz w:val="16"/>
          <w:szCs w:val="16"/>
        </w:rPr>
        <w:t xml:space="preserve"> </w:t>
      </w:r>
      <w:r w:rsidRPr="00E93F40">
        <w:rPr>
          <w:color w:val="000000" w:themeColor="text1"/>
          <w:sz w:val="16"/>
          <w:szCs w:val="16"/>
        </w:rPr>
        <w:t>г.</w:t>
      </w:r>
    </w:p>
    <w:p w14:paraId="78B3E2C1" w14:textId="13CB699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Итоговое сопоставление выполнения отдельных видов валовой продукции с намеченным планом в ценах 1926/27</w:t>
      </w:r>
      <w:r w:rsidR="007C1411" w:rsidRPr="00E93F40">
        <w:rPr>
          <w:color w:val="000000" w:themeColor="text1"/>
          <w:sz w:val="16"/>
          <w:szCs w:val="16"/>
        </w:rPr>
        <w:t xml:space="preserve"> </w:t>
      </w:r>
      <w:r w:rsidRPr="00E93F40">
        <w:rPr>
          <w:color w:val="000000" w:themeColor="text1"/>
          <w:sz w:val="16"/>
          <w:szCs w:val="16"/>
        </w:rPr>
        <w:t>г. в целом по объединению за 1931</w:t>
      </w:r>
      <w:r w:rsidR="007C1411" w:rsidRPr="00E93F40">
        <w:rPr>
          <w:color w:val="000000" w:themeColor="text1"/>
          <w:sz w:val="16"/>
          <w:szCs w:val="16"/>
        </w:rPr>
        <w:t xml:space="preserve"> </w:t>
      </w:r>
      <w:r w:rsidRPr="00E93F40">
        <w:rPr>
          <w:color w:val="000000" w:themeColor="text1"/>
          <w:sz w:val="16"/>
          <w:szCs w:val="16"/>
        </w:rPr>
        <w:t>г. следующее.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24"/>
        <w:gridCol w:w="1029"/>
        <w:gridCol w:w="1231"/>
        <w:gridCol w:w="1029"/>
        <w:gridCol w:w="1176"/>
        <w:gridCol w:w="2233"/>
      </w:tblGrid>
      <w:tr w:rsidR="00DA227A" w:rsidRPr="00E93F40" w14:paraId="4DA8CAF8"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0EF77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продукции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38FCC7" w14:textId="44597B46"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4648FD" w14:textId="6938CEFA"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6B04ED" w14:textId="371C0F1D"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выполнения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w:t>
            </w:r>
          </w:p>
        </w:tc>
      </w:tr>
      <w:tr w:rsidR="00DA227A" w:rsidRPr="00E93F40" w14:paraId="74E0A43E"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5F7F61E3" w14:textId="77777777" w:rsidR="00481984" w:rsidRPr="00E93F40" w:rsidRDefault="00481984" w:rsidP="00E93F40">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4DB1A7B" w14:textId="77777777" w:rsidR="00481984" w:rsidRPr="00E93F40" w:rsidRDefault="00481984"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93B26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1065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C41E5" w14:textId="2B991D46"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8BA53" w14:textId="4D038374"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5ACCDC0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909D129" w14:textId="093F32FB"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продукция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спецзаказами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A0ECD" w14:textId="2D932E88"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6A071" w14:textId="27DA5649"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60450" w14:textId="1E33F64B"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0553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2FFD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72,4</w:t>
            </w:r>
          </w:p>
        </w:tc>
      </w:tr>
      <w:tr w:rsidR="00DA227A" w:rsidRPr="00E93F40" w14:paraId="2756220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021CFF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4CF6A"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38 063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5D953"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56 841,5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EEF6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46 280,5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37A1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ECB3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81,5</w:t>
            </w:r>
          </w:p>
        </w:tc>
      </w:tr>
      <w:tr w:rsidR="00DA227A" w:rsidRPr="00E93F40" w14:paraId="6899AB2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E63E00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внешней товарной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62796" w14:textId="1EE1D580"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9846D" w14:textId="18D1DF0F"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28C2" w14:textId="7A25B20A"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A682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B6E0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74,8</w:t>
            </w:r>
          </w:p>
        </w:tc>
      </w:tr>
      <w:tr w:rsidR="00DA227A" w:rsidRPr="00E93F40" w14:paraId="3E7CD33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A49085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Междузаводская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1920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CC92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18 863,8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D9B2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14 645,9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5498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1D81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77,7</w:t>
            </w:r>
          </w:p>
        </w:tc>
      </w:tr>
      <w:tr w:rsidR="00DA227A" w:rsidRPr="00E93F40" w14:paraId="4F1CEA5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5BF901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Прочая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6A0A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19 881,2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E4DF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35 691,3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2872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36 266,3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89FE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ABFC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101,6</w:t>
            </w:r>
          </w:p>
        </w:tc>
      </w:tr>
      <w:tr w:rsidR="00DA227A" w:rsidRPr="00E93F40" w14:paraId="70135E3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358229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запасов полуфабрикатов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4D4A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EC89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0F123"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19 513,2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FA7B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2668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782E680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2117D6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незавершенного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4BF2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16 778,5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5C96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38 124,1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C61E4"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15 215,7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429C4"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3180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r>
      <w:tr w:rsidR="00DA227A" w:rsidRPr="00E93F40" w14:paraId="7ABB646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7592B4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D59A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152 444,8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5D508" w14:textId="1D512AE4"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477,5¹*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A5A90" w14:textId="3B1650BC"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12B2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1D6D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80,2</w:t>
            </w:r>
          </w:p>
        </w:tc>
      </w:tr>
      <w:tr w:rsidR="00DA227A" w:rsidRPr="00E93F40" w14:paraId="17900AC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208622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числа внешней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AEADC" w14:textId="1DCB2A61" w:rsidR="0048198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0A83B" w14:textId="3B43B892" w:rsidR="0048198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2B3A7" w14:textId="6C324181" w:rsidR="0048198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EDCD" w14:textId="4D20BBE5" w:rsidR="0048198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9AD08" w14:textId="3740AE81" w:rsidR="0048198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38E963A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BF9A24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несопоставимая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228B3"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46 902,2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01E63" w14:textId="3021E81E"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AA120" w14:textId="6B98E4EB"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3F4F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A2F6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56,6</w:t>
            </w:r>
          </w:p>
        </w:tc>
      </w:tr>
      <w:tr w:rsidR="00DA227A" w:rsidRPr="00E93F40" w14:paraId="429CFC3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CA1B4D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процент несопоставимой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3A9D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89CF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A781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EB5D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2F9F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06F40B7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B8457F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083D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E9D6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9718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429B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1591A"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bl>
    <w:p w14:paraId="5B67D573" w14:textId="1B861446"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Работа отдельных .заводов по выполнению промфинплана, а также сравнение их работ с 1930</w:t>
      </w:r>
      <w:r w:rsidR="007C1411" w:rsidRPr="00E93F40">
        <w:rPr>
          <w:color w:val="000000" w:themeColor="text1"/>
          <w:sz w:val="16"/>
          <w:szCs w:val="16"/>
        </w:rPr>
        <w:t xml:space="preserve"> </w:t>
      </w:r>
      <w:r w:rsidRPr="00E93F40">
        <w:rPr>
          <w:color w:val="000000" w:themeColor="text1"/>
          <w:sz w:val="16"/>
          <w:szCs w:val="16"/>
        </w:rPr>
        <w:t>г. видно из нижеследующей таблицы.</w:t>
      </w:r>
    </w:p>
    <w:p w14:paraId="39749018" w14:textId="435C65CC" w:rsidR="001B58DB" w:rsidRPr="00E93F40" w:rsidRDefault="001B58DB" w:rsidP="00E93F40">
      <w:pPr>
        <w:pStyle w:val="rtejustify"/>
        <w:spacing w:before="0" w:after="0"/>
        <w:rPr>
          <w:color w:val="000000" w:themeColor="text1"/>
          <w:sz w:val="16"/>
          <w:szCs w:val="16"/>
        </w:rPr>
      </w:pPr>
      <w:r w:rsidRPr="00E93F40">
        <w:rPr>
          <w:rStyle w:val="a7"/>
          <w:b w:val="0"/>
          <w:bCs w:val="0"/>
          <w:color w:val="000000" w:themeColor="text1"/>
          <w:sz w:val="16"/>
          <w:szCs w:val="16"/>
        </w:rPr>
        <w:t>Процентное отношение 1931</w:t>
      </w:r>
      <w:r w:rsidR="007C1411" w:rsidRPr="00E93F40">
        <w:rPr>
          <w:rStyle w:val="a7"/>
          <w:b w:val="0"/>
          <w:bCs w:val="0"/>
          <w:color w:val="000000" w:themeColor="text1"/>
          <w:sz w:val="16"/>
          <w:szCs w:val="16"/>
        </w:rPr>
        <w:t xml:space="preserve"> </w:t>
      </w:r>
      <w:r w:rsidRPr="00E93F40">
        <w:rPr>
          <w:rStyle w:val="a7"/>
          <w:b w:val="0"/>
          <w:bCs w:val="0"/>
          <w:color w:val="000000" w:themeColor="text1"/>
          <w:sz w:val="16"/>
          <w:szCs w:val="16"/>
        </w:rPr>
        <w:t>г. к отчету за 1930</w:t>
      </w:r>
      <w:r w:rsidR="007C1411" w:rsidRPr="00E93F40">
        <w:rPr>
          <w:rStyle w:val="a7"/>
          <w:b w:val="0"/>
          <w:bCs w:val="0"/>
          <w:color w:val="000000" w:themeColor="text1"/>
          <w:sz w:val="16"/>
          <w:szCs w:val="16"/>
        </w:rPr>
        <w:t xml:space="preserve"> </w:t>
      </w:r>
      <w:r w:rsidRPr="00E93F40">
        <w:rPr>
          <w:rStyle w:val="a7"/>
          <w:b w:val="0"/>
          <w:bCs w:val="0"/>
          <w:color w:val="000000" w:themeColor="text1"/>
          <w:sz w:val="16"/>
          <w:szCs w:val="16"/>
        </w:rPr>
        <w:t>г. и плану 1931</w:t>
      </w:r>
      <w:r w:rsidR="007C1411" w:rsidRPr="00E93F40">
        <w:rPr>
          <w:rStyle w:val="a7"/>
          <w:b w:val="0"/>
          <w:bCs w:val="0"/>
          <w:color w:val="000000" w:themeColor="text1"/>
          <w:sz w:val="16"/>
          <w:szCs w:val="16"/>
        </w:rPr>
        <w:t xml:space="preserve"> </w:t>
      </w:r>
      <w:r w:rsidRPr="00E93F40">
        <w:rPr>
          <w:rStyle w:val="a7"/>
          <w:b w:val="0"/>
          <w:bCs w:val="0"/>
          <w:color w:val="000000" w:themeColor="text1"/>
          <w:sz w:val="16"/>
          <w:szCs w:val="16"/>
        </w:rPr>
        <w:t>г. в ценах 1926/27</w:t>
      </w:r>
      <w:r w:rsidR="007C1411" w:rsidRPr="00E93F40">
        <w:rPr>
          <w:rStyle w:val="a7"/>
          <w:b w:val="0"/>
          <w:bCs w:val="0"/>
          <w:color w:val="000000" w:themeColor="text1"/>
          <w:sz w:val="16"/>
          <w:szCs w:val="16"/>
        </w:rPr>
        <w:t xml:space="preserve"> </w:t>
      </w:r>
      <w:r w:rsidRPr="00E93F40">
        <w:rPr>
          <w:rStyle w:val="a7"/>
          <w:b w:val="0"/>
          <w:bCs w:val="0"/>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5"/>
        <w:gridCol w:w="1024"/>
        <w:gridCol w:w="898"/>
        <w:gridCol w:w="1024"/>
        <w:gridCol w:w="1321"/>
        <w:gridCol w:w="1024"/>
        <w:gridCol w:w="1321"/>
        <w:gridCol w:w="1024"/>
        <w:gridCol w:w="1321"/>
      </w:tblGrid>
      <w:tr w:rsidR="00DA227A" w:rsidRPr="00E93F40" w14:paraId="683B120F"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C8B11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заводов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3EF7C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Военная продукция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381A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Мирная продукция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480C12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Товарная продукция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7EA98A"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Валовая продукция</w:t>
            </w:r>
          </w:p>
        </w:tc>
      </w:tr>
      <w:tr w:rsidR="00DA227A" w:rsidRPr="00E93F40" w14:paraId="27FF3B02"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3D30BE43" w14:textId="77777777" w:rsidR="00481984" w:rsidRPr="00E93F40" w:rsidRDefault="00481984"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FFF100" w14:textId="5E21088A"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к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D4C9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p>
          <w:p w14:paraId="3901050B" w14:textId="3397B140"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плану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40F3" w14:textId="546B598C"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к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78ED5" w14:textId="6B3551B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к плану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F523B" w14:textId="6F827799"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к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25488" w14:textId="71DC195B"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к плану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1E0F6" w14:textId="6EDF6643"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к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02B70" w14:textId="72D40846"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к плану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263D10A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58794F8" w14:textId="4AA62469"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AAE6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0B99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EDC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062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3D0F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5722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9C9EA"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3FE3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73,5</w:t>
            </w:r>
          </w:p>
        </w:tc>
      </w:tr>
      <w:tr w:rsidR="00DA227A" w:rsidRPr="00E93F40" w14:paraId="2EEB05A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FB57E43" w14:textId="55D841C6"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999C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CF4B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48AF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2E21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8827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10D1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FA4EA"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6670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w:t>
            </w:r>
          </w:p>
        </w:tc>
      </w:tr>
      <w:tr w:rsidR="00DA227A" w:rsidRPr="00E93F40" w14:paraId="1070083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943D107" w14:textId="1A8BEA94"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Калинина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69D5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FA58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DA3A6"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C0A5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4BEB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60F0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C875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10D1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59,²*</w:t>
            </w:r>
          </w:p>
        </w:tc>
      </w:tr>
      <w:tr w:rsidR="00DA227A" w:rsidRPr="00E93F40" w14:paraId="6339CAB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4F71BAA"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D16C3"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EEDB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1514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7F08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4304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E0D6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20C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4811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57,6</w:t>
            </w:r>
          </w:p>
        </w:tc>
      </w:tr>
      <w:tr w:rsidR="00DA227A" w:rsidRPr="00E93F40" w14:paraId="1F71F70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B239E03"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19B66"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38EB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7DE1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F4A9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D069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31EE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67A43"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D221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70,5</w:t>
            </w:r>
          </w:p>
        </w:tc>
      </w:tr>
      <w:tr w:rsidR="00DA227A" w:rsidRPr="00E93F40" w14:paraId="58EA96C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21F324A" w14:textId="5F48A1BC"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442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8955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6DAA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F897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A898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AE95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5AA2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CAEC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82,5</w:t>
            </w:r>
          </w:p>
        </w:tc>
      </w:tr>
      <w:tr w:rsidR="00DA227A" w:rsidRPr="00E93F40" w14:paraId="18FE929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AA76C38" w14:textId="208C6730"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F79F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68F2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DF11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765E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D71F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9CDC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8E65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AAD7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59,1</w:t>
            </w:r>
          </w:p>
        </w:tc>
      </w:tr>
      <w:tr w:rsidR="00DA227A" w:rsidRPr="00E93F40" w14:paraId="300C3CE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94A803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4FA1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B555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5D6A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89BAA"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877D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9431A"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FFC7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40CD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93,1</w:t>
            </w:r>
          </w:p>
        </w:tc>
      </w:tr>
      <w:tr w:rsidR="00DA227A" w:rsidRPr="00E93F40" w14:paraId="23EC1AF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0899D12" w14:textId="323B1244"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BA0F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C07D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69016"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27DE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5B01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0FE4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8C6B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CF05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r>
      <w:tr w:rsidR="00DA227A" w:rsidRPr="00E93F40" w14:paraId="0AC45EB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3D3FB0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по объединению с «Новым Сормово»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13DD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D365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AA96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0DF2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DD11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BCEE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D427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AD0A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80,2</w:t>
            </w:r>
          </w:p>
        </w:tc>
      </w:tr>
    </w:tbl>
    <w:p w14:paraId="2A7201C6" w14:textId="6517604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...³* Как указывалось выше, заводам объединения в 1931</w:t>
      </w:r>
      <w:r w:rsidR="007C1411" w:rsidRPr="00E93F40">
        <w:rPr>
          <w:color w:val="000000" w:themeColor="text1"/>
          <w:sz w:val="16"/>
          <w:szCs w:val="16"/>
        </w:rPr>
        <w:t xml:space="preserve"> </w:t>
      </w:r>
      <w:r w:rsidRPr="00E93F40">
        <w:rPr>
          <w:color w:val="000000" w:themeColor="text1"/>
          <w:sz w:val="16"/>
          <w:szCs w:val="16"/>
        </w:rPr>
        <w:t>г. предстояло выполнить две задачи</w:t>
      </w:r>
      <w:r w:rsidR="007C1411" w:rsidRPr="00E93F40">
        <w:rPr>
          <w:color w:val="000000" w:themeColor="text1"/>
          <w:sz w:val="16"/>
          <w:szCs w:val="16"/>
        </w:rPr>
        <w:t xml:space="preserve"> </w:t>
      </w:r>
      <w:r w:rsidRPr="00E93F40">
        <w:rPr>
          <w:color w:val="000000" w:themeColor="text1"/>
          <w:sz w:val="16"/>
          <w:szCs w:val="16"/>
        </w:rPr>
        <w:t>— освоить новые образцы изделий и наладить валовое производство их после получения удовлетворительных баллистических свойств.</w:t>
      </w:r>
    </w:p>
    <w:p w14:paraId="72BACF5C" w14:textId="37E9F3F4"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На завод им.</w:t>
      </w:r>
      <w:r w:rsidR="007C1411" w:rsidRPr="00E93F40">
        <w:rPr>
          <w:color w:val="000000" w:themeColor="text1"/>
          <w:sz w:val="16"/>
          <w:szCs w:val="16"/>
        </w:rPr>
        <w:t xml:space="preserve"> </w:t>
      </w:r>
      <w:r w:rsidRPr="00E93F40">
        <w:rPr>
          <w:color w:val="000000" w:themeColor="text1"/>
          <w:sz w:val="16"/>
          <w:szCs w:val="16"/>
        </w:rPr>
        <w:t>Молотова было возложено полное осуществление малой модернизации 122</w:t>
      </w:r>
      <w:r w:rsidRPr="00E93F40">
        <w:rPr>
          <w:color w:val="000000" w:themeColor="text1"/>
          <w:sz w:val="16"/>
          <w:szCs w:val="16"/>
        </w:rPr>
        <w:noBreakHyphen/>
        <w:t>мм и 152</w:t>
      </w:r>
      <w:r w:rsidRPr="00E93F40">
        <w:rPr>
          <w:color w:val="000000" w:themeColor="text1"/>
          <w:sz w:val="16"/>
          <w:szCs w:val="16"/>
        </w:rPr>
        <w:noBreakHyphen/>
        <w:t>мм гаубиц в своем производстве и, кроме того, снабжение арсеналов крупными модернизированными деталями по этим системам по 76</w:t>
      </w:r>
      <w:r w:rsidRPr="00E93F40">
        <w:rPr>
          <w:color w:val="000000" w:themeColor="text1"/>
          <w:sz w:val="16"/>
          <w:szCs w:val="16"/>
        </w:rPr>
        <w:noBreakHyphen/>
        <w:t>мм полевой пушке 1902/30</w:t>
      </w:r>
      <w:r w:rsidR="007C1411" w:rsidRPr="00E93F40">
        <w:rPr>
          <w:color w:val="000000" w:themeColor="text1"/>
          <w:sz w:val="16"/>
          <w:szCs w:val="16"/>
        </w:rPr>
        <w:t xml:space="preserve"> </w:t>
      </w:r>
      <w:r w:rsidRPr="00E93F40">
        <w:rPr>
          <w:color w:val="000000" w:themeColor="text1"/>
          <w:sz w:val="16"/>
          <w:szCs w:val="16"/>
        </w:rPr>
        <w:t>г. с одновременной технической консультацией. Проведение модернизации с переходом на категорные стали для труб, естественно, вызывали затруднения в производстве, особенно в связи с недоснабжением завода качественными саткинскими чугунами и ферросплавами. Недоснабжение завода сухими дровами, помимо удлинения самого процесса плавки, вызывало повышенный брак слитков из-за трудности регулирования химического состава жидкого металла при удлинении процесса, что при ухудшении качества исходного сырья (чугунов) вызывало в последующих цехах повышенный брак, а отсюда как следствие</w:t>
      </w:r>
      <w:r w:rsidR="007C1411" w:rsidRPr="00E93F40">
        <w:rPr>
          <w:color w:val="000000" w:themeColor="text1"/>
          <w:sz w:val="16"/>
          <w:szCs w:val="16"/>
        </w:rPr>
        <w:t xml:space="preserve"> </w:t>
      </w:r>
      <w:r w:rsidRPr="00E93F40">
        <w:rPr>
          <w:color w:val="000000" w:themeColor="text1"/>
          <w:sz w:val="16"/>
          <w:szCs w:val="16"/>
        </w:rPr>
        <w:t>— некомплектность обработки деталей по отдельным цехам и переходам. Форсированное выполнение заказов для завода №</w:t>
      </w:r>
      <w:r w:rsidR="007C1411" w:rsidRPr="00E93F40">
        <w:rPr>
          <w:color w:val="000000" w:themeColor="text1"/>
          <w:sz w:val="16"/>
          <w:szCs w:val="16"/>
        </w:rPr>
        <w:t xml:space="preserve"> </w:t>
      </w:r>
      <w:r w:rsidRPr="00E93F40">
        <w:rPr>
          <w:color w:val="000000" w:themeColor="text1"/>
          <w:sz w:val="16"/>
          <w:szCs w:val="16"/>
        </w:rPr>
        <w:t>8 по новым изделиям с большим процентом брака также срывало плановость в работе термических и механических цехов, оборудование которых и без того было загружено для выполнения установленной программы, особенно по обдирочному цеху. Не проведение плана реконструкции завода, а главным образом по механическим цехам, также не давало возможности вести работы намеченным темпом. Помимо этих причин, некоторое влияние на выполнение плана оказала и недостаточность активности плановых органов завода по регулированию деятельности цехов в условиях повышенного брака изделий. Но все-таки, несмотря на такие трудности, заводом в 1931</w:t>
      </w:r>
      <w:r w:rsidR="007C1411" w:rsidRPr="00E93F40">
        <w:rPr>
          <w:color w:val="000000" w:themeColor="text1"/>
          <w:sz w:val="16"/>
          <w:szCs w:val="16"/>
        </w:rPr>
        <w:t xml:space="preserve"> </w:t>
      </w:r>
      <w:r w:rsidRPr="00E93F40">
        <w:rPr>
          <w:color w:val="000000" w:themeColor="text1"/>
          <w:sz w:val="16"/>
          <w:szCs w:val="16"/>
        </w:rPr>
        <w:t xml:space="preserve">г. проделана большая работа по увеличению выпуска продукции, достигшего по товарной продукции </w:t>
      </w:r>
      <w:r w:rsidRPr="00E93F40">
        <w:rPr>
          <w:color w:val="000000" w:themeColor="text1"/>
          <w:sz w:val="16"/>
          <w:szCs w:val="16"/>
        </w:rPr>
        <w:lastRenderedPageBreak/>
        <w:t>прироста на 21%, а по валовой на 42% против 1930</w:t>
      </w:r>
      <w:r w:rsidR="007C1411" w:rsidRPr="00E93F40">
        <w:rPr>
          <w:color w:val="000000" w:themeColor="text1"/>
          <w:sz w:val="16"/>
          <w:szCs w:val="16"/>
        </w:rPr>
        <w:t xml:space="preserve"> </w:t>
      </w:r>
      <w:r w:rsidRPr="00E93F40">
        <w:rPr>
          <w:color w:val="000000" w:themeColor="text1"/>
          <w:sz w:val="16"/>
          <w:szCs w:val="16"/>
        </w:rPr>
        <w:t>г. при улучшении технических свойств самих изделий. Результатами работы МЗМ в части модернизации пользовались и арсенальные заводы, которые в основном справились со своей работой. В результате модернизации дальнобойность систем увеличилась около 2</w:t>
      </w:r>
      <w:r w:rsidR="007C1411" w:rsidRPr="00E93F40">
        <w:rPr>
          <w:color w:val="000000" w:themeColor="text1"/>
          <w:sz w:val="16"/>
          <w:szCs w:val="16"/>
        </w:rPr>
        <w:t xml:space="preserve"> </w:t>
      </w:r>
      <w:r w:rsidRPr="00E93F40">
        <w:rPr>
          <w:color w:val="000000" w:themeColor="text1"/>
          <w:sz w:val="16"/>
          <w:szCs w:val="16"/>
        </w:rPr>
        <w:t>км с одновременным увеличением срока службы.</w:t>
      </w:r>
    </w:p>
    <w:p w14:paraId="03B1F2BD" w14:textId="2926A9DD"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Завод «Большевик». В течение всего 1931</w:t>
      </w:r>
      <w:r w:rsidR="007C1411" w:rsidRPr="00E93F40">
        <w:rPr>
          <w:color w:val="000000" w:themeColor="text1"/>
          <w:sz w:val="16"/>
          <w:szCs w:val="16"/>
        </w:rPr>
        <w:t xml:space="preserve"> </w:t>
      </w:r>
      <w:r w:rsidRPr="00E93F40">
        <w:rPr>
          <w:color w:val="000000" w:themeColor="text1"/>
          <w:sz w:val="16"/>
          <w:szCs w:val="16"/>
        </w:rPr>
        <w:t>г. завод работал с большим напряжением, с одной стороны, из-за необеспеченности незавершенным производством программы 1931</w:t>
      </w:r>
      <w:r w:rsidR="007C1411" w:rsidRPr="00E93F40">
        <w:rPr>
          <w:color w:val="000000" w:themeColor="text1"/>
          <w:sz w:val="16"/>
          <w:szCs w:val="16"/>
        </w:rPr>
        <w:t xml:space="preserve"> </w:t>
      </w:r>
      <w:r w:rsidRPr="00E93F40">
        <w:rPr>
          <w:color w:val="000000" w:themeColor="text1"/>
          <w:sz w:val="16"/>
          <w:szCs w:val="16"/>
        </w:rPr>
        <w:t>г. в 1930</w:t>
      </w:r>
      <w:r w:rsidR="007C1411" w:rsidRPr="00E93F40">
        <w:rPr>
          <w:color w:val="000000" w:themeColor="text1"/>
          <w:sz w:val="16"/>
          <w:szCs w:val="16"/>
        </w:rPr>
        <w:t xml:space="preserve"> </w:t>
      </w:r>
      <w:r w:rsidRPr="00E93F40">
        <w:rPr>
          <w:color w:val="000000" w:themeColor="text1"/>
          <w:sz w:val="16"/>
          <w:szCs w:val="16"/>
        </w:rPr>
        <w:t>г. и, с другой стороны, из-за освоения нового сложного производства по орудиям (Б</w:t>
      </w:r>
      <w:r w:rsidRPr="00E93F40">
        <w:rPr>
          <w:color w:val="000000" w:themeColor="text1"/>
          <w:sz w:val="16"/>
          <w:szCs w:val="16"/>
        </w:rPr>
        <w:noBreakHyphen/>
        <w:t>1, Б</w:t>
      </w:r>
      <w:r w:rsidRPr="00E93F40">
        <w:rPr>
          <w:color w:val="000000" w:themeColor="text1"/>
          <w:sz w:val="16"/>
          <w:szCs w:val="16"/>
        </w:rPr>
        <w:noBreakHyphen/>
        <w:t>4) и танкам (Т</w:t>
      </w:r>
      <w:r w:rsidRPr="00E93F40">
        <w:rPr>
          <w:color w:val="000000" w:themeColor="text1"/>
          <w:sz w:val="16"/>
          <w:szCs w:val="16"/>
        </w:rPr>
        <w:noBreakHyphen/>
        <w:t>26). Это напряжение особенно сильно сказалось во втором полугодии в момент валового пуска новых производств из-за отказа кооперированных заводов (Ижорский, Люберецкий) от помощи заводу «Большевик» по корпусам и тракам к Т</w:t>
      </w:r>
      <w:r w:rsidRPr="00E93F40">
        <w:rPr>
          <w:color w:val="000000" w:themeColor="text1"/>
          <w:sz w:val="16"/>
          <w:szCs w:val="16"/>
        </w:rPr>
        <w:noBreakHyphen/>
        <w:t>26 и ковкому чугуну, отчего завод из-за отсутствия мощности в ЦЖК не изготовил лафетов Б</w:t>
      </w:r>
      <w:r w:rsidRPr="00E93F40">
        <w:rPr>
          <w:color w:val="000000" w:themeColor="text1"/>
          <w:sz w:val="16"/>
          <w:szCs w:val="16"/>
        </w:rPr>
        <w:noBreakHyphen/>
        <w:t>4 полностью на все количество выпущенных тел (16</w:t>
      </w:r>
      <w:r w:rsidR="007C1411" w:rsidRPr="00E93F40">
        <w:rPr>
          <w:color w:val="000000" w:themeColor="text1"/>
          <w:sz w:val="16"/>
          <w:szCs w:val="16"/>
        </w:rPr>
        <w:t xml:space="preserve"> </w:t>
      </w:r>
      <w:r w:rsidRPr="00E93F40">
        <w:rPr>
          <w:color w:val="000000" w:themeColor="text1"/>
          <w:sz w:val="16"/>
          <w:szCs w:val="16"/>
        </w:rPr>
        <w:t>шт.) и качающихся частей (16</w:t>
      </w:r>
      <w:r w:rsidR="007C1411" w:rsidRPr="00E93F40">
        <w:rPr>
          <w:color w:val="000000" w:themeColor="text1"/>
          <w:sz w:val="16"/>
          <w:szCs w:val="16"/>
        </w:rPr>
        <w:t xml:space="preserve"> </w:t>
      </w:r>
      <w:r w:rsidRPr="00E93F40">
        <w:rPr>
          <w:color w:val="000000" w:themeColor="text1"/>
          <w:sz w:val="16"/>
          <w:szCs w:val="16"/>
        </w:rPr>
        <w:t>шт.), так как мощность ЦЖК была использована в первую очередь для корпусов Т</w:t>
      </w:r>
      <w:r w:rsidRPr="00E93F40">
        <w:rPr>
          <w:color w:val="000000" w:themeColor="text1"/>
          <w:sz w:val="16"/>
          <w:szCs w:val="16"/>
        </w:rPr>
        <w:noBreakHyphen/>
        <w:t>26.</w:t>
      </w:r>
    </w:p>
    <w:p w14:paraId="5CB9E8F1" w14:textId="396A8336"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Невыполнение программы по артсистемам (Б</w:t>
      </w:r>
      <w:r w:rsidRPr="00E93F40">
        <w:rPr>
          <w:color w:val="000000" w:themeColor="text1"/>
          <w:sz w:val="16"/>
          <w:szCs w:val="16"/>
        </w:rPr>
        <w:noBreakHyphen/>
        <w:t>1, Б</w:t>
      </w:r>
      <w:r w:rsidRPr="00E93F40">
        <w:rPr>
          <w:color w:val="000000" w:themeColor="text1"/>
          <w:sz w:val="16"/>
          <w:szCs w:val="16"/>
        </w:rPr>
        <w:noBreakHyphen/>
        <w:t>2, Б</w:t>
      </w:r>
      <w:r w:rsidRPr="00E93F40">
        <w:rPr>
          <w:color w:val="000000" w:themeColor="text1"/>
          <w:sz w:val="16"/>
          <w:szCs w:val="16"/>
        </w:rPr>
        <w:noBreakHyphen/>
        <w:t>4) также имело своей причиной перегрузку работой заготовительных цехов для Т</w:t>
      </w:r>
      <w:r w:rsidRPr="00E93F40">
        <w:rPr>
          <w:color w:val="000000" w:themeColor="text1"/>
          <w:sz w:val="16"/>
          <w:szCs w:val="16"/>
        </w:rPr>
        <w:noBreakHyphen/>
        <w:t>26 и частичное отсутствие инструмента и приспособлений, с изготовлением которых для такого большого количества новых производств инструментальный отдел завода справиться не мог, причем изготовленный заводом инструмент не достигал качества импортного инструмента, что повлияло на сроки выпуска. Несмотря на введение большого количества новых производств, завод по-боевому провел переключение с одного вида на другой и по-героически выполнил возложенные на него обязательства, тем более, что по существу в течение полугодия нужно было освоить новое производство и начать валовой выпуск при отсутствии помощи кооперированных заводов. Это было возможно только при надлежащей сработанности отдельных частей завода и своевременно проведенными подготовительными работами. Простое сопоставление цифр промфинплана с цифрами отчета по заводу «Большевик» будет не показательно, поскольку при составлении промфинплана нельзя было учесть трудооборудование</w:t>
      </w:r>
      <w:r w:rsidR="007C1411" w:rsidRPr="00E93F40">
        <w:rPr>
          <w:color w:val="000000" w:themeColor="text1"/>
          <w:sz w:val="16"/>
          <w:szCs w:val="16"/>
        </w:rPr>
        <w:t xml:space="preserve"> </w:t>
      </w:r>
      <w:r w:rsidRPr="00E93F40">
        <w:rPr>
          <w:color w:val="000000" w:themeColor="text1"/>
          <w:sz w:val="16"/>
          <w:szCs w:val="16"/>
        </w:rPr>
        <w:t>— емкость, которая в сильной степени повлияла на величину выпуска⁴*.</w:t>
      </w:r>
    </w:p>
    <w:p w14:paraId="632A4CCD" w14:textId="48D673A4"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Завод №</w:t>
      </w:r>
      <w:r w:rsidR="007C1411" w:rsidRPr="00E93F40">
        <w:rPr>
          <w:color w:val="000000" w:themeColor="text1"/>
          <w:sz w:val="16"/>
          <w:szCs w:val="16"/>
        </w:rPr>
        <w:t xml:space="preserve"> </w:t>
      </w:r>
      <w:r w:rsidRPr="00E93F40">
        <w:rPr>
          <w:color w:val="000000" w:themeColor="text1"/>
          <w:sz w:val="16"/>
          <w:szCs w:val="16"/>
        </w:rPr>
        <w:t>8 им.</w:t>
      </w:r>
      <w:r w:rsidR="007C1411" w:rsidRPr="00E93F40">
        <w:rPr>
          <w:color w:val="000000" w:themeColor="text1"/>
          <w:sz w:val="16"/>
          <w:szCs w:val="16"/>
        </w:rPr>
        <w:t xml:space="preserve"> </w:t>
      </w:r>
      <w:r w:rsidRPr="00E93F40">
        <w:rPr>
          <w:color w:val="000000" w:themeColor="text1"/>
          <w:sz w:val="16"/>
          <w:szCs w:val="16"/>
        </w:rPr>
        <w:t>Калинина. На завод №</w:t>
      </w:r>
      <w:r w:rsidR="007C1411" w:rsidRPr="00E93F40">
        <w:rPr>
          <w:color w:val="000000" w:themeColor="text1"/>
          <w:sz w:val="16"/>
          <w:szCs w:val="16"/>
        </w:rPr>
        <w:t xml:space="preserve"> </w:t>
      </w:r>
      <w:r w:rsidRPr="00E93F40">
        <w:rPr>
          <w:color w:val="000000" w:themeColor="text1"/>
          <w:sz w:val="16"/>
          <w:szCs w:val="16"/>
        </w:rPr>
        <w:t>8 в 1931</w:t>
      </w:r>
      <w:r w:rsidR="007C1411" w:rsidRPr="00E93F40">
        <w:rPr>
          <w:color w:val="000000" w:themeColor="text1"/>
          <w:sz w:val="16"/>
          <w:szCs w:val="16"/>
        </w:rPr>
        <w:t xml:space="preserve"> </w:t>
      </w:r>
      <w:r w:rsidRPr="00E93F40">
        <w:rPr>
          <w:color w:val="000000" w:themeColor="text1"/>
          <w:sz w:val="16"/>
          <w:szCs w:val="16"/>
        </w:rPr>
        <w:t>г. была возложена ответственная задача по освоению новой мелкокалиберной артиллерии в кооперировании, главным образом с заводом МЗМ и №</w:t>
      </w:r>
      <w:r w:rsidR="007C1411" w:rsidRPr="00E93F40">
        <w:rPr>
          <w:color w:val="000000" w:themeColor="text1"/>
          <w:sz w:val="16"/>
          <w:szCs w:val="16"/>
        </w:rPr>
        <w:t xml:space="preserve"> </w:t>
      </w:r>
      <w:r w:rsidRPr="00E93F40">
        <w:rPr>
          <w:color w:val="000000" w:themeColor="text1"/>
          <w:sz w:val="16"/>
          <w:szCs w:val="16"/>
        </w:rPr>
        <w:t>13. Такое большое количество новых систем (7), одновременно выполняемых в 1931</w:t>
      </w:r>
      <w:r w:rsidR="007C1411" w:rsidRPr="00E93F40">
        <w:rPr>
          <w:color w:val="000000" w:themeColor="text1"/>
          <w:sz w:val="16"/>
          <w:szCs w:val="16"/>
        </w:rPr>
        <w:t xml:space="preserve"> </w:t>
      </w:r>
      <w:r w:rsidRPr="00E93F40">
        <w:rPr>
          <w:color w:val="000000" w:themeColor="text1"/>
          <w:sz w:val="16"/>
          <w:szCs w:val="16"/>
        </w:rPr>
        <w:t>г. при только что начавшейся реконструкции завода, при отсутствии квалифицированного персонала в соответствии с ростом программы, сильно затрудняло работу завода.</w:t>
      </w:r>
    </w:p>
    <w:p w14:paraId="68D139D9" w14:textId="4C6B3332"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При пуске новых изделий в производство основным затруднением была необеспеченность производственных цехов приспособлениями, режущим и мерительным инструментом, имевшемся в недостаточном количестве из-за слабого поступления со стороны при невозможности увеличения выпуска собственного инструментального цеха. На выполнение также повлиял целый ряд конструктивных изменений во время самого производства, так как недостаточно испытаны и установлены были образцы изделий. Значительное влияние на выполнение программы оказала также несвоевременная и некомплектная подача полуфабрикатов по системам, что не давало возможности заводу №</w:t>
      </w:r>
      <w:r w:rsidR="007C1411" w:rsidRPr="00E93F40">
        <w:rPr>
          <w:color w:val="000000" w:themeColor="text1"/>
          <w:sz w:val="16"/>
          <w:szCs w:val="16"/>
        </w:rPr>
        <w:t xml:space="preserve"> </w:t>
      </w:r>
      <w:r w:rsidRPr="00E93F40">
        <w:rPr>
          <w:color w:val="000000" w:themeColor="text1"/>
          <w:sz w:val="16"/>
          <w:szCs w:val="16"/>
        </w:rPr>
        <w:t>8 правильно организовать комплектность обработки деталей при слабой налаженности организации работ. Завод только во втором полугодии 1931</w:t>
      </w:r>
      <w:r w:rsidR="007C1411" w:rsidRPr="00E93F40">
        <w:rPr>
          <w:color w:val="000000" w:themeColor="text1"/>
          <w:sz w:val="16"/>
          <w:szCs w:val="16"/>
        </w:rPr>
        <w:t xml:space="preserve"> </w:t>
      </w:r>
      <w:r w:rsidRPr="00E93F40">
        <w:rPr>
          <w:color w:val="000000" w:themeColor="text1"/>
          <w:sz w:val="16"/>
          <w:szCs w:val="16"/>
        </w:rPr>
        <w:t>г. начал организационно и технически перестраивать свою работу в связи со сменой руководства, а в нервом полугодии зависящих от завода мер принято не было и, кроме того, завод почти до мая месяца дорабатывал «выпуск 1930</w:t>
      </w:r>
      <w:r w:rsidR="007C1411" w:rsidRPr="00E93F40">
        <w:rPr>
          <w:color w:val="000000" w:themeColor="text1"/>
          <w:sz w:val="16"/>
          <w:szCs w:val="16"/>
        </w:rPr>
        <w:t xml:space="preserve"> </w:t>
      </w:r>
      <w:r w:rsidRPr="00E93F40">
        <w:rPr>
          <w:color w:val="000000" w:themeColor="text1"/>
          <w:sz w:val="16"/>
          <w:szCs w:val="16"/>
        </w:rPr>
        <w:t>г.». Благодаря принятым энергичным мерам со стороны нового руководства завод за 1931</w:t>
      </w:r>
      <w:r w:rsidR="007C1411" w:rsidRPr="00E93F40">
        <w:rPr>
          <w:color w:val="000000" w:themeColor="text1"/>
          <w:sz w:val="16"/>
          <w:szCs w:val="16"/>
        </w:rPr>
        <w:t xml:space="preserve"> </w:t>
      </w:r>
      <w:r w:rsidRPr="00E93F40">
        <w:rPr>
          <w:color w:val="000000" w:themeColor="text1"/>
          <w:sz w:val="16"/>
          <w:szCs w:val="16"/>
        </w:rPr>
        <w:t>г. по сравнению с 1930</w:t>
      </w:r>
      <w:r w:rsidR="007C1411" w:rsidRPr="00E93F40">
        <w:rPr>
          <w:color w:val="000000" w:themeColor="text1"/>
          <w:sz w:val="16"/>
          <w:szCs w:val="16"/>
        </w:rPr>
        <w:t xml:space="preserve"> </w:t>
      </w:r>
      <w:r w:rsidRPr="00E93F40">
        <w:rPr>
          <w:color w:val="000000" w:themeColor="text1"/>
          <w:sz w:val="16"/>
          <w:szCs w:val="16"/>
        </w:rPr>
        <w:t>г. увеличил вдвое выпуск товарной продукции при доминирующем количестве новых производств, которые нужно было освоить и начать валовой выпуск.</w:t>
      </w:r>
    </w:p>
    <w:p w14:paraId="3DA530D2" w14:textId="794813EA"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Завод «Баррикады». Завод в течение всего времени нахождения в военной промышленности военной продукции по существу не изготовлял, за исключением ремонта незначительного количества артиллерийских систем (76</w:t>
      </w:r>
      <w:r w:rsidR="007C1411" w:rsidRPr="00E93F40">
        <w:rPr>
          <w:color w:val="000000" w:themeColor="text1"/>
          <w:sz w:val="16"/>
          <w:szCs w:val="16"/>
        </w:rPr>
        <w:t xml:space="preserve"> </w:t>
      </w:r>
      <w:r w:rsidRPr="00E93F40">
        <w:rPr>
          <w:color w:val="000000" w:themeColor="text1"/>
          <w:sz w:val="16"/>
          <w:szCs w:val="16"/>
        </w:rPr>
        <w:t>мм и 107</w:t>
      </w:r>
      <w:r w:rsidR="007C1411" w:rsidRPr="00E93F40">
        <w:rPr>
          <w:color w:val="000000" w:themeColor="text1"/>
          <w:sz w:val="16"/>
          <w:szCs w:val="16"/>
        </w:rPr>
        <w:t xml:space="preserve"> </w:t>
      </w:r>
      <w:r w:rsidRPr="00E93F40">
        <w:rPr>
          <w:color w:val="000000" w:themeColor="text1"/>
          <w:sz w:val="16"/>
          <w:szCs w:val="16"/>
        </w:rPr>
        <w:t>мм). Основной причиной невыполнения программы следует считать затянувшуюся реконструкцию завода, нарушающую все разработки по технологическому процессу, и надлежащую организацию работ на имеющейся мощности цехов, что подтверждается стабильностью валовой продукции по кварталам. Опоздание в реконструкции завода создавало диспропорцию между отдельными цехами завода, усугубляя эту диспропорцию несвоевременной и неполной сдачей в эксплуатацию оборудования (прессовый цех), а также сохранением существующей распланировки и последовательности отдельных агрегатов при новом технологическом процессе.</w:t>
      </w:r>
    </w:p>
    <w:p w14:paraId="054EACDA" w14:textId="3889F9F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Освоение новых объектов производства без опыта по орудийному производству и достаточного количества квалифицированного персонала также сказалось в сильной степени на выполнении программы, понижая этим качество руководства и организацию производства при пониженной производительности труда, что вызвало увеличенный брак, особенно по термическим и механическим цехам, но это, однако, не значит, что завод совершенно не имел квалифицированной рабсилы</w:t>
      </w:r>
      <w:r w:rsidR="007C1411" w:rsidRPr="00E93F40">
        <w:rPr>
          <w:color w:val="000000" w:themeColor="text1"/>
          <w:sz w:val="16"/>
          <w:szCs w:val="16"/>
        </w:rPr>
        <w:t xml:space="preserve"> </w:t>
      </w:r>
      <w:r w:rsidRPr="00E93F40">
        <w:rPr>
          <w:color w:val="000000" w:themeColor="text1"/>
          <w:sz w:val="16"/>
          <w:szCs w:val="16"/>
        </w:rPr>
        <w:t>— завод имел таковую, правда, в ограниченном количестве, и невыполнение программы по этой причине получилось в результате недостаточно интенсивного использования персонала по строго установленному плану. На выполнении плана также сказалась необеспеченность завода по линии приспособлений и инструмента, получаемых со стороны и изготовляемых самим заводом, что задержало намеченный ход производства (по 152</w:t>
      </w:r>
      <w:r w:rsidRPr="00E93F40">
        <w:rPr>
          <w:color w:val="000000" w:themeColor="text1"/>
          <w:sz w:val="16"/>
          <w:szCs w:val="16"/>
        </w:rPr>
        <w:noBreakHyphen/>
        <w:t>мм системам).</w:t>
      </w:r>
    </w:p>
    <w:p w14:paraId="3649E264" w14:textId="53F0277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Завод №</w:t>
      </w:r>
      <w:r w:rsidR="007C1411" w:rsidRPr="00E93F40">
        <w:rPr>
          <w:color w:val="000000" w:themeColor="text1"/>
          <w:sz w:val="16"/>
          <w:szCs w:val="16"/>
        </w:rPr>
        <w:t xml:space="preserve"> </w:t>
      </w:r>
      <w:r w:rsidRPr="00E93F40">
        <w:rPr>
          <w:color w:val="000000" w:themeColor="text1"/>
          <w:sz w:val="16"/>
          <w:szCs w:val="16"/>
        </w:rPr>
        <w:t>7. По установившемуся производству завод программу выполнил полностью, не выполненной оказалась, главным образом, программа по новым производствам. Одной из причин невыполнения программы является неоднократное изменение конструкции изделий в течение года, требовавшее изготовления нескольких вариантов, что не давало возможности приступать к серийному пуску. Ввиду отсутствия своей металлургической базы завод поставлен в зависимость от других заводов объединения, особенно от завода «Большевик», который не выполнил плана по междузаводским заказам и этим затруднил работу завода №</w:t>
      </w:r>
      <w:r w:rsidR="007C1411" w:rsidRPr="00E93F40">
        <w:rPr>
          <w:color w:val="000000" w:themeColor="text1"/>
          <w:sz w:val="16"/>
          <w:szCs w:val="16"/>
        </w:rPr>
        <w:t xml:space="preserve"> </w:t>
      </w:r>
      <w:r w:rsidRPr="00E93F40">
        <w:rPr>
          <w:color w:val="000000" w:themeColor="text1"/>
          <w:sz w:val="16"/>
          <w:szCs w:val="16"/>
        </w:rPr>
        <w:t>7 в части подачи проката и поковок на новые изделия, особенно в первом полугодии, когда необходимо было сделать развертывание производства для выпуска во втором полугодии 1931</w:t>
      </w:r>
      <w:r w:rsidR="007C1411" w:rsidRPr="00E93F40">
        <w:rPr>
          <w:color w:val="000000" w:themeColor="text1"/>
          <w:sz w:val="16"/>
          <w:szCs w:val="16"/>
        </w:rPr>
        <w:t xml:space="preserve"> </w:t>
      </w:r>
      <w:r w:rsidRPr="00E93F40">
        <w:rPr>
          <w:color w:val="000000" w:themeColor="text1"/>
          <w:sz w:val="16"/>
          <w:szCs w:val="16"/>
        </w:rPr>
        <w:t>г. В части наладки и выполнения программы по станкостроению завод также частично зависел от внешних органов, и невыполнение последними своих обязательств поставило завод в затруднительное положение (неполучение технологии процесса от Оргметалла, неполучение импортного оборудования на полгода), не считая того, что завод должен был перейти от текстильного машиностроения на станкостроение, т.</w:t>
      </w:r>
      <w:r w:rsidR="007C1411" w:rsidRPr="00E93F40">
        <w:rPr>
          <w:color w:val="000000" w:themeColor="text1"/>
          <w:sz w:val="16"/>
          <w:szCs w:val="16"/>
        </w:rPr>
        <w:t xml:space="preserve"> </w:t>
      </w:r>
      <w:r w:rsidRPr="00E93F40">
        <w:rPr>
          <w:color w:val="000000" w:themeColor="text1"/>
          <w:sz w:val="16"/>
          <w:szCs w:val="16"/>
        </w:rPr>
        <w:t>е. продукцию более точную, что в первое время вызывало повышенный брак.</w:t>
      </w:r>
    </w:p>
    <w:p w14:paraId="4B7EDCD6" w14:textId="697E231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По системе ДРП большой мощности заводу №</w:t>
      </w:r>
      <w:r w:rsidR="007C1411" w:rsidRPr="00E93F40">
        <w:rPr>
          <w:color w:val="000000" w:themeColor="text1"/>
          <w:sz w:val="16"/>
          <w:szCs w:val="16"/>
        </w:rPr>
        <w:t xml:space="preserve"> </w:t>
      </w:r>
      <w:r w:rsidRPr="00E93F40">
        <w:rPr>
          <w:color w:val="000000" w:themeColor="text1"/>
          <w:sz w:val="16"/>
          <w:szCs w:val="16"/>
        </w:rPr>
        <w:t>7 (заводу арсенального типа) пришлось заняться выработкой продукции орудийного производства, так как, за исключением самих стволов, все остальные их детали, а также полностью станки этих систем, делает завод. Поскольку у завода не было опыта по термической обработке деталей затвора и их изготовлению, возник целый ряд трудностей, преодоленных заводом. В результате напряженной работы завод за 1931</w:t>
      </w:r>
      <w:r w:rsidR="007C1411" w:rsidRPr="00E93F40">
        <w:rPr>
          <w:color w:val="000000" w:themeColor="text1"/>
          <w:sz w:val="16"/>
          <w:szCs w:val="16"/>
        </w:rPr>
        <w:t xml:space="preserve"> </w:t>
      </w:r>
      <w:r w:rsidRPr="00E93F40">
        <w:rPr>
          <w:color w:val="000000" w:themeColor="text1"/>
          <w:sz w:val="16"/>
          <w:szCs w:val="16"/>
        </w:rPr>
        <w:t>г. увеличил выпуск товарной продукции на 131,1%, а валовой</w:t>
      </w:r>
      <w:r w:rsidR="007C1411" w:rsidRPr="00E93F40">
        <w:rPr>
          <w:color w:val="000000" w:themeColor="text1"/>
          <w:sz w:val="16"/>
          <w:szCs w:val="16"/>
        </w:rPr>
        <w:t xml:space="preserve"> </w:t>
      </w:r>
      <w:r w:rsidRPr="00E93F40">
        <w:rPr>
          <w:color w:val="000000" w:themeColor="text1"/>
          <w:sz w:val="16"/>
          <w:szCs w:val="16"/>
        </w:rPr>
        <w:t>— на 41% против 1930</w:t>
      </w:r>
      <w:r w:rsidR="007C1411" w:rsidRPr="00E93F40">
        <w:rPr>
          <w:color w:val="000000" w:themeColor="text1"/>
          <w:sz w:val="16"/>
          <w:szCs w:val="16"/>
        </w:rPr>
        <w:t xml:space="preserve"> </w:t>
      </w:r>
      <w:r w:rsidRPr="00E93F40">
        <w:rPr>
          <w:color w:val="000000" w:themeColor="text1"/>
          <w:sz w:val="16"/>
          <w:szCs w:val="16"/>
        </w:rPr>
        <w:t>г., освоив одновременно новое производство.</w:t>
      </w:r>
    </w:p>
    <w:p w14:paraId="5CEAD4A8" w14:textId="4C675EFA"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Завод №</w:t>
      </w:r>
      <w:r w:rsidR="007C1411" w:rsidRPr="00E93F40">
        <w:rPr>
          <w:color w:val="000000" w:themeColor="text1"/>
          <w:sz w:val="16"/>
          <w:szCs w:val="16"/>
        </w:rPr>
        <w:t xml:space="preserve"> </w:t>
      </w:r>
      <w:r w:rsidRPr="00E93F40">
        <w:rPr>
          <w:color w:val="000000" w:themeColor="text1"/>
          <w:sz w:val="16"/>
          <w:szCs w:val="16"/>
        </w:rPr>
        <w:t>13. За 1931</w:t>
      </w:r>
      <w:r w:rsidR="007C1411" w:rsidRPr="00E93F40">
        <w:rPr>
          <w:color w:val="000000" w:themeColor="text1"/>
          <w:sz w:val="16"/>
          <w:szCs w:val="16"/>
        </w:rPr>
        <w:t xml:space="preserve"> </w:t>
      </w:r>
      <w:r w:rsidRPr="00E93F40">
        <w:rPr>
          <w:color w:val="000000" w:themeColor="text1"/>
          <w:sz w:val="16"/>
          <w:szCs w:val="16"/>
        </w:rPr>
        <w:t>г. завод выполнил товарной продукции 91,5% и по валовой 125,3%, т.</w:t>
      </w:r>
      <w:r w:rsidR="007C1411" w:rsidRPr="00E93F40">
        <w:rPr>
          <w:color w:val="000000" w:themeColor="text1"/>
          <w:sz w:val="16"/>
          <w:szCs w:val="16"/>
        </w:rPr>
        <w:t xml:space="preserve"> </w:t>
      </w:r>
      <w:r w:rsidRPr="00E93F40">
        <w:rPr>
          <w:color w:val="000000" w:themeColor="text1"/>
          <w:sz w:val="16"/>
          <w:szCs w:val="16"/>
        </w:rPr>
        <w:t>е. дал прирост на 25,3%. Такой разрыв в росте продукции объясняется отсутствием полной ясности (вследствие позднего установления программы) в прохождении программы по оборудованию, вследствие чего задержалась проработка технологического процесса и определение степени загрузки мощности. Это положение усугублялось еще и тем, что в процессе работы заказчиками вносились конструктивные изменения в сами изделия (передки 20</w:t>
      </w:r>
      <w:r w:rsidR="007C1411" w:rsidRPr="00E93F40">
        <w:rPr>
          <w:color w:val="000000" w:themeColor="text1"/>
          <w:sz w:val="16"/>
          <w:szCs w:val="16"/>
        </w:rPr>
        <w:t xml:space="preserve"> </w:t>
      </w:r>
      <w:r w:rsidRPr="00E93F40">
        <w:rPr>
          <w:color w:val="000000" w:themeColor="text1"/>
          <w:sz w:val="16"/>
          <w:szCs w:val="16"/>
        </w:rPr>
        <w:t>мм и 37</w:t>
      </w:r>
      <w:r w:rsidR="007C1411" w:rsidRPr="00E93F40">
        <w:rPr>
          <w:color w:val="000000" w:themeColor="text1"/>
          <w:sz w:val="16"/>
          <w:szCs w:val="16"/>
        </w:rPr>
        <w:t xml:space="preserve"> </w:t>
      </w:r>
      <w:r w:rsidRPr="00E93F40">
        <w:rPr>
          <w:color w:val="000000" w:themeColor="text1"/>
          <w:sz w:val="16"/>
          <w:szCs w:val="16"/>
        </w:rPr>
        <w:t>мм, П</w:t>
      </w:r>
      <w:r w:rsidRPr="00E93F40">
        <w:rPr>
          <w:color w:val="000000" w:themeColor="text1"/>
          <w:sz w:val="16"/>
          <w:szCs w:val="16"/>
        </w:rPr>
        <w:noBreakHyphen/>
        <w:t>18), не позволявшие заводу наладить нормальный ход производства и комплектность изготовления деталей. Напряжение в выполнении программы, особенно во втором полугодии, вызывалось еще и тем, что инструментальный отдел завода не в состоянии был справиться с покрытием потребности в инструменте как для существующего производства, гак и для нового. Отставание темпа выпуска товарной продукции от 1930</w:t>
      </w:r>
      <w:r w:rsidR="007C1411" w:rsidRPr="00E93F40">
        <w:rPr>
          <w:color w:val="000000" w:themeColor="text1"/>
          <w:sz w:val="16"/>
          <w:szCs w:val="16"/>
        </w:rPr>
        <w:t xml:space="preserve"> </w:t>
      </w:r>
      <w:r w:rsidRPr="00E93F40">
        <w:rPr>
          <w:color w:val="000000" w:themeColor="text1"/>
          <w:sz w:val="16"/>
          <w:szCs w:val="16"/>
        </w:rPr>
        <w:t>г. хотя и вызывалось вышеуказанными трудностями в производстве, но и сам завод недостаточно перестроился для работы по-новому отчасти из-за двойной смены руководства заводом, а главным образом из-за слабой слаженности в работе отдельных цехов завода, в результате чего получился разрыв между выпуском и затратами. Отсутствие постоянства в программе вызывало перебои в снабжении материалами со стороны и заводов объединения, что также влекло расстройство намеченных планов работы.</w:t>
      </w:r>
    </w:p>
    <w:p w14:paraId="37ED25D8" w14:textId="7FAEC580"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Киевский Краснознаменный завод. Заводом за 1931</w:t>
      </w:r>
      <w:r w:rsidR="007C1411" w:rsidRPr="00E93F40">
        <w:rPr>
          <w:color w:val="000000" w:themeColor="text1"/>
          <w:sz w:val="16"/>
          <w:szCs w:val="16"/>
        </w:rPr>
        <w:t xml:space="preserve"> </w:t>
      </w:r>
      <w:r w:rsidRPr="00E93F40">
        <w:rPr>
          <w:color w:val="000000" w:themeColor="text1"/>
          <w:sz w:val="16"/>
          <w:szCs w:val="16"/>
        </w:rPr>
        <w:t>г. по сравнению с 1930</w:t>
      </w:r>
      <w:r w:rsidR="007C1411" w:rsidRPr="00E93F40">
        <w:rPr>
          <w:color w:val="000000" w:themeColor="text1"/>
          <w:sz w:val="16"/>
          <w:szCs w:val="16"/>
        </w:rPr>
        <w:t xml:space="preserve"> </w:t>
      </w:r>
      <w:r w:rsidRPr="00E93F40">
        <w:rPr>
          <w:color w:val="000000" w:themeColor="text1"/>
          <w:sz w:val="16"/>
          <w:szCs w:val="16"/>
        </w:rPr>
        <w:t>г. достигнут прирост товарной продукции 51%, а валовой 64% при большом проценте несопоставимых производств. Этот результат мог быть достигнут заводом только при улучшении организации производства и четкого взаимоотношения между отдельными частями завода с одновременным улучшением планирования деятельности отдельных цехов на основе промфинплана и фактической мощности. Невыполнение программы по выпуску относится главным образом к новым изделиям, которые завод должен был освоить и выпустить кооперировано с другими заводами объединения. На выполнение программы этого завода также частично повлияло отсутствие устойчивости в технических условиях новых изделий, что не позволяло вести работы по установленному плану. Неподготовленность завода к выполнению программы особенно сказалась на состоянии инструмента и приспособлений, отсутствие которых тормозило работу механических цехов, при одновременном недостатке квалифицированной рабсилы. Неподача АУ объектов для ремонта и модернизации автоматически снижает программу поданным изделиям, но ввиду напряженного состояния с междузаводскими полуфабрикатами и отсутствием свободной мощности механических цехов увеличенное выполнение другой номенклатуры для завода не представлялось возможным, тем более еще и потому, что завод имел большое количество новых изделий, емкость которых по оборудованию и рабсиле была ему точно не известна при составлении промфинплана.</w:t>
      </w:r>
    </w:p>
    <w:p w14:paraId="1FD1B021" w14:textId="48047393"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8.</w:t>
      </w:r>
      <w:r w:rsidR="007C1411" w:rsidRPr="00E93F40">
        <w:rPr>
          <w:color w:val="000000" w:themeColor="text1"/>
          <w:sz w:val="16"/>
          <w:szCs w:val="16"/>
        </w:rPr>
        <w:t xml:space="preserve"> </w:t>
      </w:r>
      <w:r w:rsidRPr="00E93F40">
        <w:rPr>
          <w:color w:val="000000" w:themeColor="text1"/>
          <w:sz w:val="16"/>
          <w:szCs w:val="16"/>
        </w:rPr>
        <w:t>Завод «Двигатель». Находясь до 1931</w:t>
      </w:r>
      <w:r w:rsidR="007C1411" w:rsidRPr="00E93F40">
        <w:rPr>
          <w:color w:val="000000" w:themeColor="text1"/>
          <w:sz w:val="16"/>
          <w:szCs w:val="16"/>
        </w:rPr>
        <w:t xml:space="preserve"> </w:t>
      </w:r>
      <w:r w:rsidRPr="00E93F40">
        <w:rPr>
          <w:color w:val="000000" w:themeColor="text1"/>
          <w:sz w:val="16"/>
          <w:szCs w:val="16"/>
        </w:rPr>
        <w:t>г. в ведении Остехбюро НКВМ, завод вел производство экспериментального характера, внося и в серийные заказы ряд конструктивных изменений. 1931</w:t>
      </w:r>
      <w:r w:rsidR="007C1411" w:rsidRPr="00E93F40">
        <w:rPr>
          <w:color w:val="000000" w:themeColor="text1"/>
          <w:sz w:val="16"/>
          <w:szCs w:val="16"/>
        </w:rPr>
        <w:t xml:space="preserve"> </w:t>
      </w:r>
      <w:r w:rsidRPr="00E93F40">
        <w:rPr>
          <w:color w:val="000000" w:themeColor="text1"/>
          <w:sz w:val="16"/>
          <w:szCs w:val="16"/>
        </w:rPr>
        <w:t>г. является для завода первым годом работы по типу нормального промышленного предприятия с наличием промфинплана со всеми вытекающими отсюда последствиями. В связи с переходом на нормальные условия работы (с экспериментального на промышленный) завод в течение года еще не добился достаточной четкости и взаимной увязки отдельных звеньев производства и отделов, что, конечно, сказалось на выполнении плана. Невыполнение плана объясняется еще и тем, что завод не был обеспечен приспособлениями и инструментом, особенно в связи с введением новых производств.</w:t>
      </w:r>
    </w:p>
    <w:p w14:paraId="4A5EA19A" w14:textId="43B2D989"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Отсутствие установившегося и зафиксированного технологического процесса заставляло завод заниматься изысканиями и при несвоевременной подачи полуфабрикатов заводами «Большевик» и «Баррикады» приводила к некомплектности изготовления деталей, что при отсутствии достоверного учета производства срывало нормальный выпуск изделий. Все-таки, несмотря на эти трудности, заводом проделана большая работа по упорядочению процессов производства и увеличению выпуска продукции, особенно товарной, на 138,9%. Это указывает, что завод в течение года упорядочивал процессы производства не вообще, а исключительно с целью поднятия товарного выпуска, т.</w:t>
      </w:r>
      <w:r w:rsidR="007C1411" w:rsidRPr="00E93F40">
        <w:rPr>
          <w:color w:val="000000" w:themeColor="text1"/>
          <w:sz w:val="16"/>
          <w:szCs w:val="16"/>
        </w:rPr>
        <w:t xml:space="preserve"> </w:t>
      </w:r>
      <w:r w:rsidRPr="00E93F40">
        <w:rPr>
          <w:color w:val="000000" w:themeColor="text1"/>
          <w:sz w:val="16"/>
          <w:szCs w:val="16"/>
        </w:rPr>
        <w:t>е. готовых объектов производства.</w:t>
      </w:r>
    </w:p>
    <w:p w14:paraId="2B6A72F4" w14:textId="01B04499"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9.</w:t>
      </w:r>
      <w:r w:rsidR="007C1411" w:rsidRPr="00E93F40">
        <w:rPr>
          <w:color w:val="000000" w:themeColor="text1"/>
          <w:sz w:val="16"/>
          <w:szCs w:val="16"/>
        </w:rPr>
        <w:t xml:space="preserve"> </w:t>
      </w:r>
      <w:r w:rsidRPr="00E93F40">
        <w:rPr>
          <w:color w:val="000000" w:themeColor="text1"/>
          <w:sz w:val="16"/>
          <w:szCs w:val="16"/>
        </w:rPr>
        <w:t>Завод «Новое Сормово». Этот завод передан в объединение только в конце IV</w:t>
      </w:r>
      <w:r w:rsidR="007C1411" w:rsidRPr="00E93F40">
        <w:rPr>
          <w:color w:val="000000" w:themeColor="text1"/>
          <w:sz w:val="16"/>
          <w:szCs w:val="16"/>
        </w:rPr>
        <w:t xml:space="preserve"> </w:t>
      </w:r>
      <w:r w:rsidRPr="00E93F40">
        <w:rPr>
          <w:color w:val="000000" w:themeColor="text1"/>
          <w:sz w:val="16"/>
          <w:szCs w:val="16"/>
        </w:rPr>
        <w:t>квартала 1931</w:t>
      </w:r>
      <w:r w:rsidR="007C1411" w:rsidRPr="00E93F40">
        <w:rPr>
          <w:color w:val="000000" w:themeColor="text1"/>
          <w:sz w:val="16"/>
          <w:szCs w:val="16"/>
        </w:rPr>
        <w:t xml:space="preserve"> </w:t>
      </w:r>
      <w:r w:rsidRPr="00E93F40">
        <w:rPr>
          <w:color w:val="000000" w:themeColor="text1"/>
          <w:sz w:val="16"/>
          <w:szCs w:val="16"/>
        </w:rPr>
        <w:t>г., причем передана не только площадка вновь строящегося завода, но и специальное оборудование механических цехов №</w:t>
      </w:r>
      <w:r w:rsidR="007C1411" w:rsidRPr="00E93F40">
        <w:rPr>
          <w:color w:val="000000" w:themeColor="text1"/>
          <w:sz w:val="16"/>
          <w:szCs w:val="16"/>
        </w:rPr>
        <w:t xml:space="preserve"> </w:t>
      </w:r>
      <w:r w:rsidRPr="00E93F40">
        <w:rPr>
          <w:color w:val="000000" w:themeColor="text1"/>
          <w:sz w:val="16"/>
          <w:szCs w:val="16"/>
        </w:rPr>
        <w:t xml:space="preserve">1 и 4 по изготовлению военной продукции. Поскольку завод самостоятельного промфинплана не имел, дать </w:t>
      </w:r>
      <w:r w:rsidRPr="00E93F40">
        <w:rPr>
          <w:color w:val="000000" w:themeColor="text1"/>
          <w:sz w:val="16"/>
          <w:szCs w:val="16"/>
        </w:rPr>
        <w:lastRenderedPageBreak/>
        <w:t>анализ выполнения задания не представляется возможным. Намеченный выпуск продукции 76</w:t>
      </w:r>
      <w:r w:rsidRPr="00E93F40">
        <w:rPr>
          <w:color w:val="000000" w:themeColor="text1"/>
          <w:sz w:val="16"/>
          <w:szCs w:val="16"/>
        </w:rPr>
        <w:noBreakHyphen/>
        <w:t>мм горной пушки и 76</w:t>
      </w:r>
      <w:r w:rsidRPr="00E93F40">
        <w:rPr>
          <w:color w:val="000000" w:themeColor="text1"/>
          <w:sz w:val="16"/>
          <w:szCs w:val="16"/>
        </w:rPr>
        <w:noBreakHyphen/>
        <w:t>мм полевой пушки заводом не произведен из-за перебоев в снабжении полуфабрикатами и, особенно, инструментом со стороны комбината «Красное Сормово». Задание по телам 76</w:t>
      </w:r>
      <w:r w:rsidRPr="00E93F40">
        <w:rPr>
          <w:color w:val="000000" w:themeColor="text1"/>
          <w:sz w:val="16"/>
          <w:szCs w:val="16"/>
        </w:rPr>
        <w:noBreakHyphen/>
        <w:t>мм полковой пушки (составляет около 50% всего задания по военной продукции) выполнено заводом на 93,7%. В настоящее время завод «Новое Сормово» не может рассматриваться как нормально действующее предприятие, ибо он находится еще в периоде строительства.</w:t>
      </w:r>
    </w:p>
    <w:p w14:paraId="2DC8C499" w14:textId="7777777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По большинству заводов объединения задание по промфинплану не было впоследствии подтверждено портфелем заказов, а в некоторых случаях и сам портфель заказов уменьшался⁵*. У заводов реальные обязательства были ниже, чем обязательство по плану, и при оценке деятельности заводов, а также объединения в целом, в части выполнения товарной продукции правильнее исходить из сопоставления фактического отчета с портфелем заказов, выполнение которого характеризуется следующими цифрами.</w:t>
      </w:r>
    </w:p>
    <w:p w14:paraId="0A2ADFC7" w14:textId="6F835486"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выполнения портфеля заказов на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92"/>
        <w:gridCol w:w="2107"/>
        <w:gridCol w:w="2047"/>
        <w:gridCol w:w="2476"/>
      </w:tblGrid>
      <w:tr w:rsidR="00DA227A" w:rsidRPr="00E93F40" w14:paraId="4BCB978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9D77FA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80F04"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4E9E4"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D96B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товарной продукции</w:t>
            </w:r>
          </w:p>
        </w:tc>
      </w:tr>
      <w:tr w:rsidR="00DA227A" w:rsidRPr="00E93F40" w14:paraId="56A97A3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C805CDF" w14:textId="3B1734CF"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7C083"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131D6"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1CD2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w:t>
            </w:r>
          </w:p>
        </w:tc>
      </w:tr>
      <w:tr w:rsidR="00DA227A" w:rsidRPr="00E93F40" w14:paraId="1F2A894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EC33AC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36645"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74DD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1223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122,5</w:t>
            </w:r>
          </w:p>
        </w:tc>
      </w:tr>
      <w:tr w:rsidR="00DA227A" w:rsidRPr="00E93F40" w14:paraId="17043A0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DE10E7B" w14:textId="0ADFBEEC"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Калинина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56C8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1942B"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E0BB7"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w:t>
            </w:r>
          </w:p>
        </w:tc>
      </w:tr>
      <w:tr w:rsidR="00DA227A" w:rsidRPr="00E93F40" w14:paraId="0AA2E30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8321FF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20EC4"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D5796"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5DBE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w:t>
            </w:r>
          </w:p>
        </w:tc>
      </w:tr>
      <w:tr w:rsidR="00DA227A" w:rsidRPr="00E93F40" w14:paraId="02970F8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5ED15E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«Двигатель»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F2BB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E0186"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D41E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79,8</w:t>
            </w:r>
          </w:p>
        </w:tc>
      </w:tr>
      <w:tr w:rsidR="00DA227A" w:rsidRPr="00E93F40" w14:paraId="151BCAF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83C174B" w14:textId="1A61F484"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6833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5E12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A6F46"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89,7</w:t>
            </w:r>
          </w:p>
        </w:tc>
      </w:tr>
      <w:tr w:rsidR="00DA227A" w:rsidRPr="00E93F40" w14:paraId="4DB40D7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645326D" w14:textId="5B8C1864"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C664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B793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7311E"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48,4</w:t>
            </w:r>
          </w:p>
        </w:tc>
      </w:tr>
      <w:tr w:rsidR="00DA227A" w:rsidRPr="00E93F40" w14:paraId="1AE3034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F753F3D" w14:textId="1DB02775"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Киевский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Краснознаменный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7B2B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F1E98"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59571"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83,8</w:t>
            </w:r>
          </w:p>
        </w:tc>
      </w:tr>
      <w:tr w:rsidR="00DA227A" w:rsidRPr="00E93F40" w14:paraId="2ED914F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20215D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по объединению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B7D90"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CF592"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5D069"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91,6</w:t>
            </w:r>
          </w:p>
        </w:tc>
      </w:tr>
      <w:tr w:rsidR="00DA227A" w:rsidRPr="00E93F40" w14:paraId="4EE3DB8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9068393"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по объединению с заводом «Новое Сормово»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2868D"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BB7F"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5BCA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91,7</w:t>
            </w:r>
          </w:p>
        </w:tc>
      </w:tr>
    </w:tbl>
    <w:p w14:paraId="166A1ACC" w14:textId="77777777"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...⁶* Новые производства и специализация заводов</w:t>
      </w:r>
    </w:p>
    <w:p w14:paraId="7F92B988" w14:textId="6884EBC8"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В 1931</w:t>
      </w:r>
      <w:r w:rsidR="007C1411" w:rsidRPr="00E93F40">
        <w:rPr>
          <w:color w:val="000000" w:themeColor="text1"/>
          <w:sz w:val="16"/>
          <w:szCs w:val="16"/>
        </w:rPr>
        <w:t xml:space="preserve"> </w:t>
      </w:r>
      <w:r w:rsidRPr="00E93F40">
        <w:rPr>
          <w:color w:val="000000" w:themeColor="text1"/>
          <w:sz w:val="16"/>
          <w:szCs w:val="16"/>
        </w:rPr>
        <w:t>г. при установлении программ заводов объединением проводилась политика концентрации объектов производства в соответствии с заданиями по МВ</w:t>
      </w:r>
      <w:r w:rsidRPr="00E93F40">
        <w:rPr>
          <w:color w:val="000000" w:themeColor="text1"/>
          <w:sz w:val="16"/>
          <w:szCs w:val="16"/>
        </w:rPr>
        <w:noBreakHyphen/>
        <w:t>10 и теми производственными возможностями, которыми заводы располагали как в виде мощности, так и в виде опыта предыдущей работы. В соответствии с этим производилось распределение установки новых производств по заводам и кооперирование заводов по изготовлению изделий. Провести полную специализацию заводов и их производств в военной промышленности по известным соображениям нельзя, поскольку заводы объединения должны иметь опыт работы во всех соприкасающихся областях.</w:t>
      </w:r>
    </w:p>
    <w:p w14:paraId="3AE483CD" w14:textId="0723790F"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 завод им.</w:t>
      </w:r>
      <w:r w:rsidR="007C1411" w:rsidRPr="00E93F40">
        <w:rPr>
          <w:color w:val="000000" w:themeColor="text1"/>
          <w:sz w:val="16"/>
          <w:szCs w:val="16"/>
        </w:rPr>
        <w:t xml:space="preserve"> </w:t>
      </w:r>
      <w:r w:rsidRPr="00E93F40">
        <w:rPr>
          <w:color w:val="000000" w:themeColor="text1"/>
          <w:sz w:val="16"/>
          <w:szCs w:val="16"/>
        </w:rPr>
        <w:t>Молотова была возложена разработка и освоение новой системы</w:t>
      </w:r>
      <w:r w:rsidR="007C1411" w:rsidRPr="00E93F40">
        <w:rPr>
          <w:color w:val="000000" w:themeColor="text1"/>
          <w:sz w:val="16"/>
          <w:szCs w:val="16"/>
        </w:rPr>
        <w:t xml:space="preserve"> </w:t>
      </w:r>
      <w:r w:rsidRPr="00E93F40">
        <w:rPr>
          <w:color w:val="000000" w:themeColor="text1"/>
          <w:sz w:val="16"/>
          <w:szCs w:val="16"/>
        </w:rPr>
        <w:t>— 152</w:t>
      </w:r>
      <w:r w:rsidRPr="00E93F40">
        <w:rPr>
          <w:color w:val="000000" w:themeColor="text1"/>
          <w:sz w:val="16"/>
          <w:szCs w:val="16"/>
        </w:rPr>
        <w:noBreakHyphen/>
        <w:t>мм миномета «Н». За 1931</w:t>
      </w:r>
      <w:r w:rsidR="007C1411" w:rsidRPr="00E93F40">
        <w:rPr>
          <w:color w:val="000000" w:themeColor="text1"/>
          <w:sz w:val="16"/>
          <w:szCs w:val="16"/>
        </w:rPr>
        <w:t xml:space="preserve"> </w:t>
      </w:r>
      <w:r w:rsidRPr="00E93F40">
        <w:rPr>
          <w:color w:val="000000" w:themeColor="text1"/>
          <w:sz w:val="16"/>
          <w:szCs w:val="16"/>
        </w:rPr>
        <w:t>г. заводом разработан технологический процесс производства по всем цехам и произведено опытное изготовление командных деталей по заготовительному производству, окончательных же результатов в виде готовой системы завод еще не имеет. Помимо этого, завод в течение 1931</w:t>
      </w:r>
      <w:r w:rsidR="007C1411" w:rsidRPr="00E93F40">
        <w:rPr>
          <w:color w:val="000000" w:themeColor="text1"/>
          <w:sz w:val="16"/>
          <w:szCs w:val="16"/>
        </w:rPr>
        <w:t xml:space="preserve"> </w:t>
      </w:r>
      <w:r w:rsidRPr="00E93F40">
        <w:rPr>
          <w:color w:val="000000" w:themeColor="text1"/>
          <w:sz w:val="16"/>
          <w:szCs w:val="16"/>
        </w:rPr>
        <w:t>г. обязан был освоить изготовление поковок с грубой обдиркой и фасонного литья для новой мелкокалиберной артиллерии завода №</w:t>
      </w:r>
      <w:r w:rsidR="007C1411" w:rsidRPr="00E93F40">
        <w:rPr>
          <w:color w:val="000000" w:themeColor="text1"/>
          <w:sz w:val="16"/>
          <w:szCs w:val="16"/>
        </w:rPr>
        <w:t xml:space="preserve"> </w:t>
      </w:r>
      <w:r w:rsidRPr="00E93F40">
        <w:rPr>
          <w:color w:val="000000" w:themeColor="text1"/>
          <w:sz w:val="16"/>
          <w:szCs w:val="16"/>
        </w:rPr>
        <w:t>8, что и выполнено заводом, правда, в количествах, еще не обеспечивающих полностью потребности завода №</w:t>
      </w:r>
      <w:r w:rsidR="007C1411" w:rsidRPr="00E93F40">
        <w:rPr>
          <w:color w:val="000000" w:themeColor="text1"/>
          <w:sz w:val="16"/>
          <w:szCs w:val="16"/>
        </w:rPr>
        <w:t xml:space="preserve"> </w:t>
      </w:r>
      <w:r w:rsidRPr="00E93F40">
        <w:rPr>
          <w:color w:val="000000" w:themeColor="text1"/>
          <w:sz w:val="16"/>
          <w:szCs w:val="16"/>
        </w:rPr>
        <w:t>8.</w:t>
      </w:r>
    </w:p>
    <w:p w14:paraId="6BA130CD" w14:textId="7E0ACE3B"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В 1931</w:t>
      </w:r>
      <w:r w:rsidR="007C1411" w:rsidRPr="00E93F40">
        <w:rPr>
          <w:color w:val="000000" w:themeColor="text1"/>
          <w:sz w:val="16"/>
          <w:szCs w:val="16"/>
        </w:rPr>
        <w:t xml:space="preserve"> </w:t>
      </w:r>
      <w:r w:rsidRPr="00E93F40">
        <w:rPr>
          <w:color w:val="000000" w:themeColor="text1"/>
          <w:sz w:val="16"/>
          <w:szCs w:val="16"/>
        </w:rPr>
        <w:t>г. завод им.</w:t>
      </w:r>
      <w:r w:rsidR="007C1411" w:rsidRPr="00E93F40">
        <w:rPr>
          <w:color w:val="000000" w:themeColor="text1"/>
          <w:sz w:val="16"/>
          <w:szCs w:val="16"/>
        </w:rPr>
        <w:t xml:space="preserve"> </w:t>
      </w:r>
      <w:r w:rsidRPr="00E93F40">
        <w:rPr>
          <w:color w:val="000000" w:themeColor="text1"/>
          <w:sz w:val="16"/>
          <w:szCs w:val="16"/>
        </w:rPr>
        <w:t>Молотова выпускал основные системы своего производства модернизированными и с трубами из стали категории «А», что увеличило дальнобойность орудий до 2</w:t>
      </w:r>
      <w:r w:rsidR="007C1411" w:rsidRPr="00E93F40">
        <w:rPr>
          <w:color w:val="000000" w:themeColor="text1"/>
          <w:sz w:val="16"/>
          <w:szCs w:val="16"/>
        </w:rPr>
        <w:t xml:space="preserve"> </w:t>
      </w:r>
      <w:r w:rsidRPr="00E93F40">
        <w:rPr>
          <w:color w:val="000000" w:themeColor="text1"/>
          <w:sz w:val="16"/>
          <w:szCs w:val="16"/>
        </w:rPr>
        <w:t>км и значительно увеличило срок службы труб. Наряду с модернизацией своей продукции (122 и 152</w:t>
      </w:r>
      <w:r w:rsidRPr="00E93F40">
        <w:rPr>
          <w:color w:val="000000" w:themeColor="text1"/>
          <w:sz w:val="16"/>
          <w:szCs w:val="16"/>
        </w:rPr>
        <w:noBreakHyphen/>
        <w:t>мм системы) заводом оказывалась техническая помощь арсенальным заводам по модернизации 76</w:t>
      </w:r>
      <w:r w:rsidRPr="00E93F40">
        <w:rPr>
          <w:color w:val="000000" w:themeColor="text1"/>
          <w:sz w:val="16"/>
          <w:szCs w:val="16"/>
        </w:rPr>
        <w:noBreakHyphen/>
        <w:t>мм полевой пушки с изготовлением для них тел нового образца.</w:t>
      </w:r>
    </w:p>
    <w:p w14:paraId="21DA26CE" w14:textId="5028F3A3"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Несмотря на затруднения в производстве в 1931</w:t>
      </w:r>
      <w:r w:rsidR="007C1411" w:rsidRPr="00E93F40">
        <w:rPr>
          <w:color w:val="000000" w:themeColor="text1"/>
          <w:sz w:val="16"/>
          <w:szCs w:val="16"/>
        </w:rPr>
        <w:t xml:space="preserve"> </w:t>
      </w:r>
      <w:r w:rsidRPr="00E93F40">
        <w:rPr>
          <w:color w:val="000000" w:themeColor="text1"/>
          <w:sz w:val="16"/>
          <w:szCs w:val="16"/>
        </w:rPr>
        <w:t>г., завод «Большевик» вполне освоил следующие главнейшие новые объекты производства:</w:t>
      </w:r>
    </w:p>
    <w:p w14:paraId="490F69E7" w14:textId="0FAA39DF"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Новый тип танка (Т</w:t>
      </w:r>
      <w:r w:rsidRPr="00E93F40">
        <w:rPr>
          <w:color w:val="000000" w:themeColor="text1"/>
          <w:sz w:val="16"/>
          <w:szCs w:val="16"/>
        </w:rPr>
        <w:noBreakHyphen/>
        <w:t>26) с повышенными требованиями производства по сравнению с Т</w:t>
      </w:r>
      <w:r w:rsidRPr="00E93F40">
        <w:rPr>
          <w:color w:val="000000" w:themeColor="text1"/>
          <w:sz w:val="16"/>
          <w:szCs w:val="16"/>
        </w:rPr>
        <w:noBreakHyphen/>
        <w:t>18. Освоение производства по Т</w:t>
      </w:r>
      <w:r w:rsidRPr="00E93F40">
        <w:rPr>
          <w:color w:val="000000" w:themeColor="text1"/>
          <w:sz w:val="16"/>
          <w:szCs w:val="16"/>
        </w:rPr>
        <w:noBreakHyphen/>
        <w:t>26 выполнено заводом в чрезвычайно короткий срок: образец танка был получен заводом в конце февраля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разборка, снятие чертежей и разработка технологического процесса была выполнена в ударном порядке. Вся работа проводилась таким темпом, чтобы выполнить правительственное задание</w:t>
      </w:r>
      <w:r w:rsidR="007C1411" w:rsidRPr="00E93F40">
        <w:rPr>
          <w:color w:val="000000" w:themeColor="text1"/>
          <w:sz w:val="16"/>
          <w:szCs w:val="16"/>
        </w:rPr>
        <w:t xml:space="preserve"> </w:t>
      </w:r>
      <w:r w:rsidRPr="00E93F40">
        <w:rPr>
          <w:color w:val="000000" w:themeColor="text1"/>
          <w:sz w:val="16"/>
          <w:szCs w:val="16"/>
        </w:rPr>
        <w:t>— дать первый выпуск Т</w:t>
      </w:r>
      <w:r w:rsidRPr="00E93F40">
        <w:rPr>
          <w:color w:val="000000" w:themeColor="text1"/>
          <w:sz w:val="16"/>
          <w:szCs w:val="16"/>
        </w:rPr>
        <w:noBreakHyphen/>
        <w:t>26 к Октябрьским торжествам. Задание это было выполнено, и первые танки участвовали в параде 7</w:t>
      </w:r>
      <w:r w:rsidR="007C1411" w:rsidRPr="00E93F40">
        <w:rPr>
          <w:color w:val="000000" w:themeColor="text1"/>
          <w:sz w:val="16"/>
          <w:szCs w:val="16"/>
        </w:rPr>
        <w:t xml:space="preserve"> </w:t>
      </w:r>
      <w:r w:rsidRPr="00E93F40">
        <w:rPr>
          <w:color w:val="000000" w:themeColor="text1"/>
          <w:sz w:val="16"/>
          <w:szCs w:val="16"/>
        </w:rPr>
        <w:t>ноября 1931</w:t>
      </w:r>
      <w:r w:rsidR="007C1411" w:rsidRPr="00E93F40">
        <w:rPr>
          <w:color w:val="000000" w:themeColor="text1"/>
          <w:sz w:val="16"/>
          <w:szCs w:val="16"/>
        </w:rPr>
        <w:t xml:space="preserve"> </w:t>
      </w:r>
      <w:r w:rsidRPr="00E93F40">
        <w:rPr>
          <w:color w:val="000000" w:themeColor="text1"/>
          <w:sz w:val="16"/>
          <w:szCs w:val="16"/>
        </w:rPr>
        <w:t>г. Переход с танка Т</w:t>
      </w:r>
      <w:r w:rsidRPr="00E93F40">
        <w:rPr>
          <w:color w:val="000000" w:themeColor="text1"/>
          <w:sz w:val="16"/>
          <w:szCs w:val="16"/>
        </w:rPr>
        <w:noBreakHyphen/>
        <w:t>18 на Т</w:t>
      </w:r>
      <w:r w:rsidRPr="00E93F40">
        <w:rPr>
          <w:color w:val="000000" w:themeColor="text1"/>
          <w:sz w:val="16"/>
          <w:szCs w:val="16"/>
        </w:rPr>
        <w:noBreakHyphen/>
        <w:t>26 дало, помимо увеличения вооружения танка, увеличение скорости на 9</w:t>
      </w:r>
      <w:r w:rsidR="007C1411" w:rsidRPr="00E93F40">
        <w:rPr>
          <w:color w:val="000000" w:themeColor="text1"/>
          <w:sz w:val="16"/>
          <w:szCs w:val="16"/>
        </w:rPr>
        <w:t xml:space="preserve"> </w:t>
      </w:r>
      <w:r w:rsidRPr="00E93F40">
        <w:rPr>
          <w:color w:val="000000" w:themeColor="text1"/>
          <w:sz w:val="16"/>
          <w:szCs w:val="16"/>
        </w:rPr>
        <w:t>км (Т</w:t>
      </w:r>
      <w:r w:rsidRPr="00E93F40">
        <w:rPr>
          <w:color w:val="000000" w:themeColor="text1"/>
          <w:sz w:val="16"/>
          <w:szCs w:val="16"/>
        </w:rPr>
        <w:noBreakHyphen/>
        <w:t>18</w:t>
      </w:r>
      <w:r w:rsidR="007C1411" w:rsidRPr="00E93F40">
        <w:rPr>
          <w:color w:val="000000" w:themeColor="text1"/>
          <w:sz w:val="16"/>
          <w:szCs w:val="16"/>
        </w:rPr>
        <w:t xml:space="preserve"> </w:t>
      </w:r>
      <w:r w:rsidRPr="00E93F40">
        <w:rPr>
          <w:color w:val="000000" w:themeColor="text1"/>
          <w:sz w:val="16"/>
          <w:szCs w:val="16"/>
        </w:rPr>
        <w:t>— 27</w:t>
      </w:r>
      <w:r w:rsidR="007C1411" w:rsidRPr="00E93F40">
        <w:rPr>
          <w:color w:val="000000" w:themeColor="text1"/>
          <w:sz w:val="16"/>
          <w:szCs w:val="16"/>
        </w:rPr>
        <w:t xml:space="preserve"> </w:t>
      </w:r>
      <w:r w:rsidRPr="00E93F40">
        <w:rPr>
          <w:color w:val="000000" w:themeColor="text1"/>
          <w:sz w:val="16"/>
          <w:szCs w:val="16"/>
        </w:rPr>
        <w:t>км и Т</w:t>
      </w:r>
      <w:r w:rsidRPr="00E93F40">
        <w:rPr>
          <w:color w:val="000000" w:themeColor="text1"/>
          <w:sz w:val="16"/>
          <w:szCs w:val="16"/>
        </w:rPr>
        <w:noBreakHyphen/>
        <w:t>26</w:t>
      </w:r>
      <w:r w:rsidR="007C1411" w:rsidRPr="00E93F40">
        <w:rPr>
          <w:color w:val="000000" w:themeColor="text1"/>
          <w:sz w:val="16"/>
          <w:szCs w:val="16"/>
        </w:rPr>
        <w:t xml:space="preserve"> </w:t>
      </w:r>
      <w:r w:rsidRPr="00E93F40">
        <w:rPr>
          <w:color w:val="000000" w:themeColor="text1"/>
          <w:sz w:val="16"/>
          <w:szCs w:val="16"/>
        </w:rPr>
        <w:t>— 36</w:t>
      </w:r>
      <w:r w:rsidR="007C1411" w:rsidRPr="00E93F40">
        <w:rPr>
          <w:color w:val="000000" w:themeColor="text1"/>
          <w:sz w:val="16"/>
          <w:szCs w:val="16"/>
        </w:rPr>
        <w:t xml:space="preserve"> </w:t>
      </w:r>
      <w:r w:rsidRPr="00E93F40">
        <w:rPr>
          <w:color w:val="000000" w:themeColor="text1"/>
          <w:sz w:val="16"/>
          <w:szCs w:val="16"/>
        </w:rPr>
        <w:t>км).</w:t>
      </w:r>
    </w:p>
    <w:p w14:paraId="6F5E9E2E" w14:textId="40B76DB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Выпуск танка Т</w:t>
      </w:r>
      <w:r w:rsidRPr="00E93F40">
        <w:rPr>
          <w:color w:val="000000" w:themeColor="text1"/>
          <w:sz w:val="16"/>
          <w:szCs w:val="16"/>
        </w:rPr>
        <w:noBreakHyphen/>
        <w:t>27, который в части изготовления корпусов и ходовой части был выполнен в чрезвычайно короткий срок</w:t>
      </w:r>
      <w:r w:rsidR="007C1411" w:rsidRPr="00E93F40">
        <w:rPr>
          <w:color w:val="000000" w:themeColor="text1"/>
          <w:sz w:val="16"/>
          <w:szCs w:val="16"/>
        </w:rPr>
        <w:t xml:space="preserve"> </w:t>
      </w:r>
      <w:r w:rsidRPr="00E93F40">
        <w:rPr>
          <w:color w:val="000000" w:themeColor="text1"/>
          <w:sz w:val="16"/>
          <w:szCs w:val="16"/>
        </w:rPr>
        <w:t>— около 1,5</w:t>
      </w:r>
      <w:r w:rsidR="007C1411" w:rsidRPr="00E93F40">
        <w:rPr>
          <w:color w:val="000000" w:themeColor="text1"/>
          <w:sz w:val="16"/>
          <w:szCs w:val="16"/>
        </w:rPr>
        <w:t xml:space="preserve"> </w:t>
      </w:r>
      <w:r w:rsidRPr="00E93F40">
        <w:rPr>
          <w:color w:val="000000" w:themeColor="text1"/>
          <w:sz w:val="16"/>
          <w:szCs w:val="16"/>
        </w:rPr>
        <w:t>месяцев (последние чертежи получены в марте, заказ выполнен в апреле). Задание по выпуску этих машин было</w:t>
      </w:r>
      <w:r w:rsidR="007C1411" w:rsidRPr="00E93F40">
        <w:rPr>
          <w:color w:val="000000" w:themeColor="text1"/>
          <w:sz w:val="16"/>
          <w:szCs w:val="16"/>
        </w:rPr>
        <w:t xml:space="preserve"> </w:t>
      </w:r>
      <w:r w:rsidRPr="00E93F40">
        <w:rPr>
          <w:color w:val="000000" w:themeColor="text1"/>
          <w:sz w:val="16"/>
          <w:szCs w:val="16"/>
        </w:rPr>
        <w:t>— дать к 1</w:t>
      </w:r>
      <w:r w:rsidR="007C1411" w:rsidRPr="00E93F40">
        <w:rPr>
          <w:color w:val="000000" w:themeColor="text1"/>
          <w:sz w:val="16"/>
          <w:szCs w:val="16"/>
        </w:rPr>
        <w:t xml:space="preserve"> </w:t>
      </w:r>
      <w:r w:rsidRPr="00E93F40">
        <w:rPr>
          <w:color w:val="000000" w:themeColor="text1"/>
          <w:sz w:val="16"/>
          <w:szCs w:val="16"/>
        </w:rPr>
        <w:t>мая; это задание также выполнено в обусловленный срок.</w:t>
      </w:r>
    </w:p>
    <w:p w14:paraId="1BE72DB2" w14:textId="040062EB"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В части артиллерийского производства заводом освоены следующие объекты:</w:t>
      </w:r>
    </w:p>
    <w:p w14:paraId="0ED0B732" w14:textId="0BDEDEB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а)</w:t>
      </w:r>
      <w:r w:rsidR="007C1411" w:rsidRPr="00E93F40">
        <w:rPr>
          <w:color w:val="000000" w:themeColor="text1"/>
          <w:sz w:val="16"/>
          <w:szCs w:val="16"/>
        </w:rPr>
        <w:t xml:space="preserve"> </w:t>
      </w:r>
      <w:r w:rsidRPr="00E93F40">
        <w:rPr>
          <w:color w:val="000000" w:themeColor="text1"/>
          <w:sz w:val="16"/>
          <w:szCs w:val="16"/>
        </w:rPr>
        <w:t>180</w:t>
      </w:r>
      <w:r w:rsidRPr="00E93F40">
        <w:rPr>
          <w:color w:val="000000" w:themeColor="text1"/>
          <w:sz w:val="16"/>
          <w:szCs w:val="16"/>
        </w:rPr>
        <w:noBreakHyphen/>
        <w:t>мм (Б</w:t>
      </w:r>
      <w:r w:rsidRPr="00E93F40">
        <w:rPr>
          <w:color w:val="000000" w:themeColor="text1"/>
          <w:sz w:val="16"/>
          <w:szCs w:val="16"/>
        </w:rPr>
        <w:noBreakHyphen/>
        <w:t>1) башенная установка для крейсера «Красный Кавказ». Это</w:t>
      </w:r>
      <w:r w:rsidR="007C1411" w:rsidRPr="00E93F40">
        <w:rPr>
          <w:color w:val="000000" w:themeColor="text1"/>
          <w:sz w:val="16"/>
          <w:szCs w:val="16"/>
        </w:rPr>
        <w:t xml:space="preserve"> </w:t>
      </w:r>
      <w:r w:rsidRPr="00E93F40">
        <w:rPr>
          <w:color w:val="000000" w:themeColor="text1"/>
          <w:sz w:val="16"/>
          <w:szCs w:val="16"/>
        </w:rPr>
        <w:t>— мощная скорострельная система, дальность полета снаряда которой составляет 39</w:t>
      </w:r>
      <w:r w:rsidR="007C1411" w:rsidRPr="00E93F40">
        <w:rPr>
          <w:color w:val="000000" w:themeColor="text1"/>
          <w:sz w:val="16"/>
          <w:szCs w:val="16"/>
        </w:rPr>
        <w:t xml:space="preserve"> </w:t>
      </w:r>
      <w:r w:rsidRPr="00E93F40">
        <w:rPr>
          <w:color w:val="000000" w:themeColor="text1"/>
          <w:sz w:val="16"/>
          <w:szCs w:val="16"/>
        </w:rPr>
        <w:t>км, каковая превышает дальности всех известных иностранных систем данной категории. Выпущено этих систем за 1931</w:t>
      </w:r>
      <w:r w:rsidR="007C1411" w:rsidRPr="00E93F40">
        <w:rPr>
          <w:color w:val="000000" w:themeColor="text1"/>
          <w:sz w:val="16"/>
          <w:szCs w:val="16"/>
        </w:rPr>
        <w:t xml:space="preserve"> </w:t>
      </w:r>
      <w:r w:rsidRPr="00E93F40">
        <w:rPr>
          <w:color w:val="000000" w:themeColor="text1"/>
          <w:sz w:val="16"/>
          <w:szCs w:val="16"/>
        </w:rPr>
        <w:t>г. 3</w:t>
      </w:r>
      <w:r w:rsidR="007C1411" w:rsidRPr="00E93F40">
        <w:rPr>
          <w:color w:val="000000" w:themeColor="text1"/>
          <w:sz w:val="16"/>
          <w:szCs w:val="16"/>
        </w:rPr>
        <w:t xml:space="preserve"> </w:t>
      </w:r>
      <w:r w:rsidRPr="00E93F40">
        <w:rPr>
          <w:color w:val="000000" w:themeColor="text1"/>
          <w:sz w:val="16"/>
          <w:szCs w:val="16"/>
        </w:rPr>
        <w:t>шт.; б)</w:t>
      </w:r>
      <w:r w:rsidR="007C1411" w:rsidRPr="00E93F40">
        <w:rPr>
          <w:color w:val="000000" w:themeColor="text1"/>
          <w:sz w:val="16"/>
          <w:szCs w:val="16"/>
        </w:rPr>
        <w:t xml:space="preserve"> </w:t>
      </w:r>
      <w:r w:rsidRPr="00E93F40">
        <w:rPr>
          <w:color w:val="000000" w:themeColor="text1"/>
          <w:sz w:val="16"/>
          <w:szCs w:val="16"/>
        </w:rPr>
        <w:t>102</w:t>
      </w:r>
      <w:r w:rsidRPr="00E93F40">
        <w:rPr>
          <w:color w:val="000000" w:themeColor="text1"/>
          <w:sz w:val="16"/>
          <w:szCs w:val="16"/>
        </w:rPr>
        <w:noBreakHyphen/>
        <w:t>мм/45</w:t>
      </w:r>
      <w:r w:rsidRPr="00E93F40">
        <w:rPr>
          <w:color w:val="000000" w:themeColor="text1"/>
          <w:sz w:val="16"/>
          <w:szCs w:val="16"/>
        </w:rPr>
        <w:noBreakHyphen/>
        <w:t>кал[иберная] система (Б</w:t>
      </w:r>
      <w:r w:rsidRPr="00E93F40">
        <w:rPr>
          <w:color w:val="000000" w:themeColor="text1"/>
          <w:sz w:val="16"/>
          <w:szCs w:val="16"/>
        </w:rPr>
        <w:noBreakHyphen/>
        <w:t>2) для подводных лодок. При проектировании этой системы завод преодолел значительные трудности, связанные со специальными требованиями, предъявляемыми к открытой установке, погружающейся на глубину 100</w:t>
      </w:r>
      <w:r w:rsidR="007C1411" w:rsidRPr="00E93F40">
        <w:rPr>
          <w:color w:val="000000" w:themeColor="text1"/>
          <w:sz w:val="16"/>
          <w:szCs w:val="16"/>
        </w:rPr>
        <w:t xml:space="preserve"> </w:t>
      </w:r>
      <w:r w:rsidRPr="00E93F40">
        <w:rPr>
          <w:color w:val="000000" w:themeColor="text1"/>
          <w:sz w:val="16"/>
          <w:szCs w:val="16"/>
        </w:rPr>
        <w:t>м. Некоторые недостатки, обнаруженные на вооружении в условиях корабельной службы, пока еще не устранены. За 1931</w:t>
      </w:r>
      <w:r w:rsidR="007C1411" w:rsidRPr="00E93F40">
        <w:rPr>
          <w:color w:val="000000" w:themeColor="text1"/>
          <w:sz w:val="16"/>
          <w:szCs w:val="16"/>
        </w:rPr>
        <w:t xml:space="preserve"> </w:t>
      </w:r>
      <w:r w:rsidRPr="00E93F40">
        <w:rPr>
          <w:color w:val="000000" w:themeColor="text1"/>
          <w:sz w:val="16"/>
          <w:szCs w:val="16"/>
        </w:rPr>
        <w:t>г. выпущено таких систем 7</w:t>
      </w:r>
      <w:r w:rsidR="007C1411" w:rsidRPr="00E93F40">
        <w:rPr>
          <w:color w:val="000000" w:themeColor="text1"/>
          <w:sz w:val="16"/>
          <w:szCs w:val="16"/>
        </w:rPr>
        <w:t xml:space="preserve"> </w:t>
      </w:r>
      <w:r w:rsidRPr="00E93F40">
        <w:rPr>
          <w:color w:val="000000" w:themeColor="text1"/>
          <w:sz w:val="16"/>
          <w:szCs w:val="16"/>
        </w:rPr>
        <w:t>шт.; в)</w:t>
      </w:r>
      <w:r w:rsidR="007C1411" w:rsidRPr="00E93F40">
        <w:rPr>
          <w:color w:val="000000" w:themeColor="text1"/>
          <w:sz w:val="16"/>
          <w:szCs w:val="16"/>
        </w:rPr>
        <w:t xml:space="preserve"> </w:t>
      </w:r>
      <w:r w:rsidRPr="00E93F40">
        <w:rPr>
          <w:color w:val="000000" w:themeColor="text1"/>
          <w:sz w:val="16"/>
          <w:szCs w:val="16"/>
        </w:rPr>
        <w:t>203</w:t>
      </w:r>
      <w:r w:rsidRPr="00E93F40">
        <w:rPr>
          <w:color w:val="000000" w:themeColor="text1"/>
          <w:sz w:val="16"/>
          <w:szCs w:val="16"/>
        </w:rPr>
        <w:noBreakHyphen/>
        <w:t>мм гаубица (Б</w:t>
      </w:r>
      <w:r w:rsidRPr="00E93F40">
        <w:rPr>
          <w:color w:val="000000" w:themeColor="text1"/>
          <w:sz w:val="16"/>
          <w:szCs w:val="16"/>
        </w:rPr>
        <w:noBreakHyphen/>
        <w:t>4) на гусеничном ходу. Система по своей мощности и применению гусеничного хода является новинкой не только в СССР, но и за границей. Эта система имеет дальнобойность до 16</w:t>
      </w:r>
      <w:r w:rsidR="007C1411" w:rsidRPr="00E93F40">
        <w:rPr>
          <w:color w:val="000000" w:themeColor="text1"/>
          <w:sz w:val="16"/>
          <w:szCs w:val="16"/>
        </w:rPr>
        <w:t xml:space="preserve"> </w:t>
      </w:r>
      <w:r w:rsidRPr="00E93F40">
        <w:rPr>
          <w:color w:val="000000" w:themeColor="text1"/>
          <w:sz w:val="16"/>
          <w:szCs w:val="16"/>
        </w:rPr>
        <w:t>км, превышая существовавшие ранее системы на 3</w:t>
      </w:r>
      <w:r w:rsidRPr="00E93F40">
        <w:rPr>
          <w:color w:val="000000" w:themeColor="text1"/>
          <w:sz w:val="16"/>
          <w:szCs w:val="16"/>
        </w:rPr>
        <w:noBreakHyphen/>
        <w:t>4</w:t>
      </w:r>
      <w:r w:rsidR="007C1411" w:rsidRPr="00E93F40">
        <w:rPr>
          <w:color w:val="000000" w:themeColor="text1"/>
          <w:sz w:val="16"/>
          <w:szCs w:val="16"/>
        </w:rPr>
        <w:t xml:space="preserve"> </w:t>
      </w:r>
      <w:r w:rsidRPr="00E93F40">
        <w:rPr>
          <w:color w:val="000000" w:themeColor="text1"/>
          <w:sz w:val="16"/>
          <w:szCs w:val="16"/>
        </w:rPr>
        <w:t>км. Разработанный же проект удлиненного ствола дает дальнобойность до 18</w:t>
      </w:r>
      <w:r w:rsidRPr="00E93F40">
        <w:rPr>
          <w:color w:val="000000" w:themeColor="text1"/>
          <w:sz w:val="16"/>
          <w:szCs w:val="16"/>
        </w:rPr>
        <w:noBreakHyphen/>
        <w:t>19</w:t>
      </w:r>
      <w:r w:rsidR="007C1411" w:rsidRPr="00E93F40">
        <w:rPr>
          <w:color w:val="000000" w:themeColor="text1"/>
          <w:sz w:val="16"/>
          <w:szCs w:val="16"/>
        </w:rPr>
        <w:t xml:space="preserve"> </w:t>
      </w:r>
      <w:r w:rsidRPr="00E93F40">
        <w:rPr>
          <w:color w:val="000000" w:themeColor="text1"/>
          <w:sz w:val="16"/>
          <w:szCs w:val="16"/>
        </w:rPr>
        <w:t>км. За 1931</w:t>
      </w:r>
      <w:r w:rsidR="007C1411" w:rsidRPr="00E93F40">
        <w:rPr>
          <w:color w:val="000000" w:themeColor="text1"/>
          <w:sz w:val="16"/>
          <w:szCs w:val="16"/>
        </w:rPr>
        <w:t xml:space="preserve"> </w:t>
      </w:r>
      <w:r w:rsidRPr="00E93F40">
        <w:rPr>
          <w:color w:val="000000" w:themeColor="text1"/>
          <w:sz w:val="16"/>
          <w:szCs w:val="16"/>
        </w:rPr>
        <w:t>г. заводом выпущено 16</w:t>
      </w:r>
      <w:r w:rsidR="007C1411" w:rsidRPr="00E93F40">
        <w:rPr>
          <w:color w:val="000000" w:themeColor="text1"/>
          <w:sz w:val="16"/>
          <w:szCs w:val="16"/>
        </w:rPr>
        <w:t xml:space="preserve"> </w:t>
      </w:r>
      <w:r w:rsidRPr="00E93F40">
        <w:rPr>
          <w:color w:val="000000" w:themeColor="text1"/>
          <w:sz w:val="16"/>
          <w:szCs w:val="16"/>
        </w:rPr>
        <w:t>тел с затворами, 16 качающихся частей и только 4</w:t>
      </w:r>
      <w:r w:rsidR="007C1411" w:rsidRPr="00E93F40">
        <w:rPr>
          <w:color w:val="000000" w:themeColor="text1"/>
          <w:sz w:val="16"/>
          <w:szCs w:val="16"/>
        </w:rPr>
        <w:t xml:space="preserve"> </w:t>
      </w:r>
      <w:r w:rsidRPr="00E93F40">
        <w:rPr>
          <w:color w:val="000000" w:themeColor="text1"/>
          <w:sz w:val="16"/>
          <w:szCs w:val="16"/>
        </w:rPr>
        <w:t>лафета по причине перегрузки ЦЖК по срочному выпуску корпусов Т</w:t>
      </w:r>
      <w:r w:rsidRPr="00E93F40">
        <w:rPr>
          <w:color w:val="000000" w:themeColor="text1"/>
          <w:sz w:val="16"/>
          <w:szCs w:val="16"/>
        </w:rPr>
        <w:noBreakHyphen/>
        <w:t>26; г)</w:t>
      </w:r>
      <w:r w:rsidR="007C1411" w:rsidRPr="00E93F40">
        <w:rPr>
          <w:color w:val="000000" w:themeColor="text1"/>
          <w:sz w:val="16"/>
          <w:szCs w:val="16"/>
        </w:rPr>
        <w:t xml:space="preserve"> </w:t>
      </w:r>
      <w:r w:rsidRPr="00E93F40">
        <w:rPr>
          <w:color w:val="000000" w:themeColor="text1"/>
          <w:sz w:val="16"/>
          <w:szCs w:val="16"/>
        </w:rPr>
        <w:t>командно-дальномерный пост для линкора «Марат» (Б</w:t>
      </w:r>
      <w:r w:rsidRPr="00E93F40">
        <w:rPr>
          <w:color w:val="000000" w:themeColor="text1"/>
          <w:sz w:val="16"/>
          <w:szCs w:val="16"/>
        </w:rPr>
        <w:noBreakHyphen/>
        <w:t>8). Эта система как в конструктивном, так и производственном отношениях представляла значительные трудности. Работа по ремонту и модернизации линкора по своему объему также велика, хотя бы уже потому, что на нее затрачено около 200</w:t>
      </w:r>
      <w:r w:rsidR="007C1411" w:rsidRPr="00E93F40">
        <w:rPr>
          <w:color w:val="000000" w:themeColor="text1"/>
          <w:sz w:val="16"/>
          <w:szCs w:val="16"/>
        </w:rPr>
        <w:t xml:space="preserve"> </w:t>
      </w:r>
      <w:r w:rsidRPr="00E93F40">
        <w:rPr>
          <w:color w:val="000000" w:themeColor="text1"/>
          <w:sz w:val="16"/>
          <w:szCs w:val="16"/>
        </w:rPr>
        <w:t>тыс. станко-часов (стоимость около 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В результате этого увеличена скорострельность башни (заряжание) на 3</w:t>
      </w:r>
      <w:r w:rsidRPr="00E93F40">
        <w:rPr>
          <w:color w:val="000000" w:themeColor="text1"/>
          <w:sz w:val="16"/>
          <w:szCs w:val="16"/>
        </w:rPr>
        <w:noBreakHyphen/>
        <w:t>4</w:t>
      </w:r>
      <w:r w:rsidR="007C1411" w:rsidRPr="00E93F40">
        <w:rPr>
          <w:color w:val="000000" w:themeColor="text1"/>
          <w:sz w:val="16"/>
          <w:szCs w:val="16"/>
        </w:rPr>
        <w:t xml:space="preserve"> </w:t>
      </w:r>
      <w:r w:rsidRPr="00E93F40">
        <w:rPr>
          <w:color w:val="000000" w:themeColor="text1"/>
          <w:sz w:val="16"/>
          <w:szCs w:val="16"/>
        </w:rPr>
        <w:t>секунды.</w:t>
      </w:r>
    </w:p>
    <w:p w14:paraId="7810AF1C" w14:textId="2A1CB46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За 1931</w:t>
      </w:r>
      <w:r w:rsidR="007C1411" w:rsidRPr="00E93F40">
        <w:rPr>
          <w:color w:val="000000" w:themeColor="text1"/>
          <w:sz w:val="16"/>
          <w:szCs w:val="16"/>
        </w:rPr>
        <w:t xml:space="preserve"> </w:t>
      </w:r>
      <w:r w:rsidRPr="00E93F40">
        <w:rPr>
          <w:color w:val="000000" w:themeColor="text1"/>
          <w:sz w:val="16"/>
          <w:szCs w:val="16"/>
        </w:rPr>
        <w:t>г. после долгих изысканий завод освоил производство 305</w:t>
      </w:r>
      <w:r w:rsidRPr="00E93F40">
        <w:rPr>
          <w:color w:val="000000" w:themeColor="text1"/>
          <w:sz w:val="16"/>
          <w:szCs w:val="16"/>
        </w:rPr>
        <w:noBreakHyphen/>
        <w:t>мм/52</w:t>
      </w:r>
      <w:r w:rsidRPr="00E93F40">
        <w:rPr>
          <w:color w:val="000000" w:themeColor="text1"/>
          <w:sz w:val="16"/>
          <w:szCs w:val="16"/>
        </w:rPr>
        <w:noBreakHyphen/>
        <w:t>кал[иберных] и 180</w:t>
      </w:r>
      <w:r w:rsidRPr="00E93F40">
        <w:rPr>
          <w:color w:val="000000" w:themeColor="text1"/>
          <w:sz w:val="16"/>
          <w:szCs w:val="16"/>
        </w:rPr>
        <w:noBreakHyphen/>
        <w:t>мм/60</w:t>
      </w:r>
      <w:r w:rsidRPr="00E93F40">
        <w:rPr>
          <w:color w:val="000000" w:themeColor="text1"/>
          <w:sz w:val="16"/>
          <w:szCs w:val="16"/>
        </w:rPr>
        <w:noBreakHyphen/>
        <w:t>кал[иберных] бронебойных снарядов, выпустив первых 5</w:t>
      </w:r>
      <w:r w:rsidR="007C1411" w:rsidRPr="00E93F40">
        <w:rPr>
          <w:color w:val="000000" w:themeColor="text1"/>
          <w:sz w:val="16"/>
          <w:szCs w:val="16"/>
        </w:rPr>
        <w:t xml:space="preserve"> </w:t>
      </w:r>
      <w:r w:rsidRPr="00E93F40">
        <w:rPr>
          <w:color w:val="000000" w:themeColor="text1"/>
          <w:sz w:val="16"/>
          <w:szCs w:val="16"/>
        </w:rPr>
        <w:t>шт. и вторых 14</w:t>
      </w:r>
      <w:r w:rsidR="007C1411" w:rsidRPr="00E93F40">
        <w:rPr>
          <w:color w:val="000000" w:themeColor="text1"/>
          <w:sz w:val="16"/>
          <w:szCs w:val="16"/>
        </w:rPr>
        <w:t xml:space="preserve"> </w:t>
      </w:r>
      <w:r w:rsidRPr="00E93F40">
        <w:rPr>
          <w:color w:val="000000" w:themeColor="text1"/>
          <w:sz w:val="16"/>
          <w:szCs w:val="16"/>
        </w:rPr>
        <w:t>шт.</w:t>
      </w:r>
    </w:p>
    <w:p w14:paraId="331ABCFC" w14:textId="3B28B928"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 заводе №</w:t>
      </w:r>
      <w:r w:rsidR="007C1411" w:rsidRPr="00E93F40">
        <w:rPr>
          <w:color w:val="000000" w:themeColor="text1"/>
          <w:sz w:val="16"/>
          <w:szCs w:val="16"/>
        </w:rPr>
        <w:t xml:space="preserve"> </w:t>
      </w:r>
      <w:r w:rsidRPr="00E93F40">
        <w:rPr>
          <w:color w:val="000000" w:themeColor="text1"/>
          <w:sz w:val="16"/>
          <w:szCs w:val="16"/>
        </w:rPr>
        <w:t>8 им.</w:t>
      </w:r>
      <w:r w:rsidR="007C1411" w:rsidRPr="00E93F40">
        <w:rPr>
          <w:color w:val="000000" w:themeColor="text1"/>
          <w:sz w:val="16"/>
          <w:szCs w:val="16"/>
        </w:rPr>
        <w:t xml:space="preserve"> </w:t>
      </w:r>
      <w:r w:rsidRPr="00E93F40">
        <w:rPr>
          <w:color w:val="000000" w:themeColor="text1"/>
          <w:sz w:val="16"/>
          <w:szCs w:val="16"/>
        </w:rPr>
        <w:t>Калинина вся программа по существу является новой, потребовавшей одновременной настройки нескольких объектов.</w:t>
      </w:r>
    </w:p>
    <w:p w14:paraId="23D0D41C" w14:textId="278012E5"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Новая система 1К (37</w:t>
      </w:r>
      <w:r w:rsidR="007C1411" w:rsidRPr="00E93F40">
        <w:rPr>
          <w:color w:val="000000" w:themeColor="text1"/>
          <w:sz w:val="16"/>
          <w:szCs w:val="16"/>
        </w:rPr>
        <w:t xml:space="preserve"> </w:t>
      </w:r>
      <w:r w:rsidRPr="00E93F40">
        <w:rPr>
          <w:color w:val="000000" w:themeColor="text1"/>
          <w:sz w:val="16"/>
          <w:szCs w:val="16"/>
        </w:rPr>
        <w:t>мм) противотанковая вполне освоена заводом, что подтверждается выпуском за 1931</w:t>
      </w:r>
      <w:r w:rsidR="007C1411" w:rsidRPr="00E93F40">
        <w:rPr>
          <w:color w:val="000000" w:themeColor="text1"/>
          <w:sz w:val="16"/>
          <w:szCs w:val="16"/>
        </w:rPr>
        <w:t xml:space="preserve"> </w:t>
      </w:r>
      <w:r w:rsidRPr="00E93F40">
        <w:rPr>
          <w:color w:val="000000" w:themeColor="text1"/>
          <w:sz w:val="16"/>
          <w:szCs w:val="16"/>
        </w:rPr>
        <w:t>г. 296</w:t>
      </w:r>
      <w:r w:rsidR="007C1411" w:rsidRPr="00E93F40">
        <w:rPr>
          <w:color w:val="000000" w:themeColor="text1"/>
          <w:sz w:val="16"/>
          <w:szCs w:val="16"/>
        </w:rPr>
        <w:t xml:space="preserve"> </w:t>
      </w:r>
      <w:r w:rsidRPr="00E93F40">
        <w:rPr>
          <w:color w:val="000000" w:themeColor="text1"/>
          <w:sz w:val="16"/>
          <w:szCs w:val="16"/>
        </w:rPr>
        <w:t>шт. с перевыполнением промфинплана на 27,5%.</w:t>
      </w:r>
    </w:p>
    <w:p w14:paraId="1D65F15E" w14:textId="4533CC9B"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4К (37</w:t>
      </w:r>
      <w:r w:rsidR="007C1411" w:rsidRPr="00E93F40">
        <w:rPr>
          <w:color w:val="000000" w:themeColor="text1"/>
          <w:sz w:val="16"/>
          <w:szCs w:val="16"/>
        </w:rPr>
        <w:t xml:space="preserve"> </w:t>
      </w:r>
      <w:r w:rsidRPr="00E93F40">
        <w:rPr>
          <w:color w:val="000000" w:themeColor="text1"/>
          <w:sz w:val="16"/>
          <w:szCs w:val="16"/>
        </w:rPr>
        <w:t>мм) зенитная пушка при наличии одних только чертежей, без разработки технологического процесса, при отсутствии инструментов и приспособлений выполнена на 100%</w:t>
      </w:r>
      <w:r w:rsidR="007C1411" w:rsidRPr="00E93F40">
        <w:rPr>
          <w:color w:val="000000" w:themeColor="text1"/>
          <w:sz w:val="16"/>
          <w:szCs w:val="16"/>
        </w:rPr>
        <w:t xml:space="preserve"> </w:t>
      </w:r>
      <w:r w:rsidRPr="00E93F40">
        <w:rPr>
          <w:color w:val="000000" w:themeColor="text1"/>
          <w:sz w:val="16"/>
          <w:szCs w:val="16"/>
        </w:rPr>
        <w:t>— выпущено 3</w:t>
      </w:r>
      <w:r w:rsidR="007C1411" w:rsidRPr="00E93F40">
        <w:rPr>
          <w:color w:val="000000" w:themeColor="text1"/>
          <w:sz w:val="16"/>
          <w:szCs w:val="16"/>
        </w:rPr>
        <w:t xml:space="preserve"> </w:t>
      </w:r>
      <w:r w:rsidRPr="00E93F40">
        <w:rPr>
          <w:color w:val="000000" w:themeColor="text1"/>
          <w:sz w:val="16"/>
          <w:szCs w:val="16"/>
        </w:rPr>
        <w:t>опытных пушки, что указывает на освоение этой системы как опытной.</w:t>
      </w:r>
    </w:p>
    <w:p w14:paraId="6AE969A7" w14:textId="262E4165"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2К (20</w:t>
      </w:r>
      <w:r w:rsidR="007C1411" w:rsidRPr="00E93F40">
        <w:rPr>
          <w:color w:val="000000" w:themeColor="text1"/>
          <w:sz w:val="16"/>
          <w:szCs w:val="16"/>
        </w:rPr>
        <w:t xml:space="preserve"> </w:t>
      </w:r>
      <w:r w:rsidRPr="00E93F40">
        <w:rPr>
          <w:color w:val="000000" w:themeColor="text1"/>
          <w:sz w:val="16"/>
          <w:szCs w:val="16"/>
        </w:rPr>
        <w:t>мм) противотанковая пушка-автомат не освоена в достаточной степени и не запущена в производство; помимо всего прочего, эта система сложна как автомат, что представляет некоторые дополнительные трудности в наладке.</w:t>
      </w:r>
    </w:p>
    <w:p w14:paraId="178728F3" w14:textId="53D1B88D"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ЗК (76</w:t>
      </w:r>
      <w:r w:rsidR="007C1411" w:rsidRPr="00E93F40">
        <w:rPr>
          <w:color w:val="000000" w:themeColor="text1"/>
          <w:sz w:val="16"/>
          <w:szCs w:val="16"/>
        </w:rPr>
        <w:t xml:space="preserve"> </w:t>
      </w:r>
      <w:r w:rsidRPr="00E93F40">
        <w:rPr>
          <w:color w:val="000000" w:themeColor="text1"/>
          <w:sz w:val="16"/>
          <w:szCs w:val="16"/>
        </w:rPr>
        <w:t>мм) зенитная пушка; запуск деталей в обработку был произведен, и почти все командные детали на 25</w:t>
      </w:r>
      <w:r w:rsidR="007C1411" w:rsidRPr="00E93F40">
        <w:rPr>
          <w:color w:val="000000" w:themeColor="text1"/>
          <w:sz w:val="16"/>
          <w:szCs w:val="16"/>
        </w:rPr>
        <w:t xml:space="preserve"> </w:t>
      </w:r>
      <w:r w:rsidRPr="00E93F40">
        <w:rPr>
          <w:color w:val="000000" w:themeColor="text1"/>
          <w:sz w:val="16"/>
          <w:szCs w:val="16"/>
        </w:rPr>
        <w:t>ед. (труба, кожух, казенник, клинья и пр.) находятся в различных стадиях обработки. Задержка имеет место в изготовлении мелких деталей, так как автоматно-револьверный цех не мог справиться с этой работой из-за перегрузки обработкой деталей для других систем. Кроме того, до настоящего времени не все еще получены из-за границы приспособления и специальный инструмент.</w:t>
      </w:r>
    </w:p>
    <w:p w14:paraId="373AC0BA" w14:textId="73C892E8"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5К (37</w:t>
      </w:r>
      <w:r w:rsidR="007C1411" w:rsidRPr="00E93F40">
        <w:rPr>
          <w:color w:val="000000" w:themeColor="text1"/>
          <w:sz w:val="16"/>
          <w:szCs w:val="16"/>
        </w:rPr>
        <w:t xml:space="preserve"> </w:t>
      </w:r>
      <w:r w:rsidRPr="00E93F40">
        <w:rPr>
          <w:color w:val="000000" w:themeColor="text1"/>
          <w:sz w:val="16"/>
          <w:szCs w:val="16"/>
        </w:rPr>
        <w:t>мм) танковая пушка усиленной мощности полностью заводом освоена и выпущено 75</w:t>
      </w:r>
      <w:r w:rsidR="007C1411" w:rsidRPr="00E93F40">
        <w:rPr>
          <w:color w:val="000000" w:themeColor="text1"/>
          <w:sz w:val="16"/>
          <w:szCs w:val="16"/>
        </w:rPr>
        <w:t xml:space="preserve"> </w:t>
      </w:r>
      <w:r w:rsidRPr="00E93F40">
        <w:rPr>
          <w:color w:val="000000" w:themeColor="text1"/>
          <w:sz w:val="16"/>
          <w:szCs w:val="16"/>
        </w:rPr>
        <w:t>шт. Полное выполнение программы по этой пушке тормозилось недостаточностью приспособлений и инструмента, а самое главное</w:t>
      </w:r>
      <w:r w:rsidR="007C1411" w:rsidRPr="00E93F40">
        <w:rPr>
          <w:color w:val="000000" w:themeColor="text1"/>
          <w:sz w:val="16"/>
          <w:szCs w:val="16"/>
        </w:rPr>
        <w:t xml:space="preserve"> </w:t>
      </w:r>
      <w:r w:rsidRPr="00E93F40">
        <w:rPr>
          <w:color w:val="000000" w:themeColor="text1"/>
          <w:sz w:val="16"/>
          <w:szCs w:val="16"/>
        </w:rPr>
        <w:t>— плохая подача полуфабрикатов заводами-поставщиками.</w:t>
      </w:r>
    </w:p>
    <w:p w14:paraId="6400803A" w14:textId="2151C8B0"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6К (45</w:t>
      </w:r>
      <w:r w:rsidR="007C1411" w:rsidRPr="00E93F40">
        <w:rPr>
          <w:color w:val="000000" w:themeColor="text1"/>
          <w:sz w:val="16"/>
          <w:szCs w:val="16"/>
        </w:rPr>
        <w:t xml:space="preserve"> </w:t>
      </w:r>
      <w:r w:rsidRPr="00E93F40">
        <w:rPr>
          <w:color w:val="000000" w:themeColor="text1"/>
          <w:sz w:val="16"/>
          <w:szCs w:val="16"/>
        </w:rPr>
        <w:t>мм) танковая пушка; производство хотя и освоено, но в течение 1931</w:t>
      </w:r>
      <w:r w:rsidR="007C1411" w:rsidRPr="00E93F40">
        <w:rPr>
          <w:color w:val="000000" w:themeColor="text1"/>
          <w:sz w:val="16"/>
          <w:szCs w:val="16"/>
        </w:rPr>
        <w:t xml:space="preserve"> </w:t>
      </w:r>
      <w:r w:rsidRPr="00E93F40">
        <w:rPr>
          <w:color w:val="000000" w:themeColor="text1"/>
          <w:sz w:val="16"/>
          <w:szCs w:val="16"/>
        </w:rPr>
        <w:t>г. ни одной системы не выпущено. Задержка выпуска произошла главным образом из-за недостаточности приспособлений и инструмента, а также из-за несвоевременной подачи полуфабрикатов заводами-поставщиками.</w:t>
      </w:r>
    </w:p>
    <w:p w14:paraId="0244170D" w14:textId="7AE6C2B0"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11К (37</w:t>
      </w:r>
      <w:r w:rsidR="007C1411" w:rsidRPr="00E93F40">
        <w:rPr>
          <w:color w:val="000000" w:themeColor="text1"/>
          <w:sz w:val="16"/>
          <w:szCs w:val="16"/>
        </w:rPr>
        <w:t xml:space="preserve"> </w:t>
      </w:r>
      <w:r w:rsidRPr="00E93F40">
        <w:rPr>
          <w:color w:val="000000" w:themeColor="text1"/>
          <w:sz w:val="16"/>
          <w:szCs w:val="16"/>
        </w:rPr>
        <w:t>мм) автомат 1928</w:t>
      </w:r>
      <w:r w:rsidR="007C1411" w:rsidRPr="00E93F40">
        <w:rPr>
          <w:color w:val="000000" w:themeColor="text1"/>
          <w:sz w:val="16"/>
          <w:szCs w:val="16"/>
        </w:rPr>
        <w:t xml:space="preserve"> </w:t>
      </w:r>
      <w:r w:rsidRPr="00E93F40">
        <w:rPr>
          <w:color w:val="000000" w:themeColor="text1"/>
          <w:sz w:val="16"/>
          <w:szCs w:val="16"/>
        </w:rPr>
        <w:t>г.; изготовлено 5</w:t>
      </w:r>
      <w:r w:rsidR="007C1411" w:rsidRPr="00E93F40">
        <w:rPr>
          <w:color w:val="000000" w:themeColor="text1"/>
          <w:sz w:val="16"/>
          <w:szCs w:val="16"/>
        </w:rPr>
        <w:t xml:space="preserve"> </w:t>
      </w:r>
      <w:r w:rsidRPr="00E93F40">
        <w:rPr>
          <w:color w:val="000000" w:themeColor="text1"/>
          <w:sz w:val="16"/>
          <w:szCs w:val="16"/>
        </w:rPr>
        <w:t>шт. и в конце года заканчивались сборкой.</w:t>
      </w:r>
    </w:p>
    <w:p w14:paraId="0935095F" w14:textId="7777777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По заводу «Баррикады» степень внедрения новой продукции следующая: холодная обработка по 107</w:t>
      </w:r>
      <w:r w:rsidRPr="00E93F40">
        <w:rPr>
          <w:color w:val="000000" w:themeColor="text1"/>
          <w:sz w:val="16"/>
          <w:szCs w:val="16"/>
        </w:rPr>
        <w:noBreakHyphen/>
        <w:t>мм системе в общем освоена, однако вследствие недостатка приспособлений большая часть деталей изготовляется еще кустарным способом. По 152</w:t>
      </w:r>
      <w:r w:rsidRPr="00E93F40">
        <w:rPr>
          <w:color w:val="000000" w:themeColor="text1"/>
          <w:sz w:val="16"/>
          <w:szCs w:val="16"/>
        </w:rPr>
        <w:noBreakHyphen/>
        <w:t>мм системе (холодная обработка) освоено лишь тело орудия до скрепления включительно. В части работы заготовительных цехов получение орудийных поковок заводом полностью не освоено. Отставание от плана освоения новых производств объясняется главным образом опозданием реконструкции завода и отсутствием опыта у завода вообще по изготовлению целых орудийных систем.</w:t>
      </w:r>
    </w:p>
    <w:p w14:paraId="52B5251B" w14:textId="6798D066"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По заводу №</w:t>
      </w:r>
      <w:r w:rsidR="007C1411" w:rsidRPr="00E93F40">
        <w:rPr>
          <w:color w:val="000000" w:themeColor="text1"/>
          <w:sz w:val="16"/>
          <w:szCs w:val="16"/>
        </w:rPr>
        <w:t xml:space="preserve"> </w:t>
      </w:r>
      <w:r w:rsidRPr="00E93F40">
        <w:rPr>
          <w:color w:val="000000" w:themeColor="text1"/>
          <w:sz w:val="16"/>
          <w:szCs w:val="16"/>
        </w:rPr>
        <w:t>7 освоение нового производства проходило как по военной продукции, так и по мирной. По военной продукции главнейшими объектами являются следующие:</w:t>
      </w:r>
    </w:p>
    <w:p w14:paraId="0A5D51FF" w14:textId="1A2FA919"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ДРП большой мощности</w:t>
      </w:r>
      <w:r w:rsidR="007C1411" w:rsidRPr="00E93F40">
        <w:rPr>
          <w:color w:val="000000" w:themeColor="text1"/>
          <w:sz w:val="16"/>
          <w:szCs w:val="16"/>
        </w:rPr>
        <w:t xml:space="preserve"> </w:t>
      </w:r>
      <w:r w:rsidRPr="00E93F40">
        <w:rPr>
          <w:color w:val="000000" w:themeColor="text1"/>
          <w:sz w:val="16"/>
          <w:szCs w:val="16"/>
        </w:rPr>
        <w:t>— изготовлено 20 целых систем и 88</w:t>
      </w:r>
      <w:r w:rsidR="007C1411" w:rsidRPr="00E93F40">
        <w:rPr>
          <w:color w:val="000000" w:themeColor="text1"/>
          <w:sz w:val="16"/>
          <w:szCs w:val="16"/>
        </w:rPr>
        <w:t xml:space="preserve"> </w:t>
      </w:r>
      <w:r w:rsidRPr="00E93F40">
        <w:rPr>
          <w:color w:val="000000" w:themeColor="text1"/>
          <w:sz w:val="16"/>
          <w:szCs w:val="16"/>
        </w:rPr>
        <w:t>лафетов вместо 1</w:t>
      </w:r>
      <w:r w:rsidR="007C1411" w:rsidRPr="00E93F40">
        <w:rPr>
          <w:color w:val="000000" w:themeColor="text1"/>
          <w:sz w:val="16"/>
          <w:szCs w:val="16"/>
        </w:rPr>
        <w:t xml:space="preserve"> </w:t>
      </w:r>
      <w:r w:rsidRPr="00E93F40">
        <w:rPr>
          <w:color w:val="000000" w:themeColor="text1"/>
          <w:sz w:val="16"/>
          <w:szCs w:val="16"/>
        </w:rPr>
        <w:t>шт. за 1930</w:t>
      </w:r>
      <w:r w:rsidR="007C1411" w:rsidRPr="00E93F40">
        <w:rPr>
          <w:color w:val="000000" w:themeColor="text1"/>
          <w:sz w:val="16"/>
          <w:szCs w:val="16"/>
        </w:rPr>
        <w:t xml:space="preserve"> </w:t>
      </w:r>
      <w:r w:rsidRPr="00E93F40">
        <w:rPr>
          <w:color w:val="000000" w:themeColor="text1"/>
          <w:sz w:val="16"/>
          <w:szCs w:val="16"/>
        </w:rPr>
        <w:t>г. Задержка в изготовлении количества, намеченного по плану, произошла из-за позднего получения полуфабриката (главным образом стволов) с заводов «Большевик» и МЗМ.</w:t>
      </w:r>
    </w:p>
    <w:p w14:paraId="391F5BFC" w14:textId="7E6176D5"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76</w:t>
      </w:r>
      <w:r w:rsidRPr="00E93F40">
        <w:rPr>
          <w:color w:val="000000" w:themeColor="text1"/>
          <w:sz w:val="16"/>
          <w:szCs w:val="16"/>
        </w:rPr>
        <w:noBreakHyphen/>
        <w:t>мм мортира (ЛМК) на треноге</w:t>
      </w:r>
      <w:r w:rsidR="007C1411" w:rsidRPr="00E93F40">
        <w:rPr>
          <w:color w:val="000000" w:themeColor="text1"/>
          <w:sz w:val="16"/>
          <w:szCs w:val="16"/>
        </w:rPr>
        <w:t xml:space="preserve"> </w:t>
      </w:r>
      <w:r w:rsidRPr="00E93F40">
        <w:rPr>
          <w:color w:val="000000" w:themeColor="text1"/>
          <w:sz w:val="16"/>
          <w:szCs w:val="16"/>
        </w:rPr>
        <w:t>— изготовлено только 2</w:t>
      </w:r>
      <w:r w:rsidR="007C1411" w:rsidRPr="00E93F40">
        <w:rPr>
          <w:color w:val="000000" w:themeColor="text1"/>
          <w:sz w:val="16"/>
          <w:szCs w:val="16"/>
        </w:rPr>
        <w:t xml:space="preserve"> </w:t>
      </w:r>
      <w:r w:rsidRPr="00E93F40">
        <w:rPr>
          <w:color w:val="000000" w:themeColor="text1"/>
          <w:sz w:val="16"/>
          <w:szCs w:val="16"/>
        </w:rPr>
        <w:t>шт. из-за позднего получения чертежей и их неоднократных изменений (последнее требование</w:t>
      </w:r>
      <w:r w:rsidR="007C1411" w:rsidRPr="00E93F40">
        <w:rPr>
          <w:color w:val="000000" w:themeColor="text1"/>
          <w:sz w:val="16"/>
          <w:szCs w:val="16"/>
        </w:rPr>
        <w:t xml:space="preserve"> </w:t>
      </w:r>
      <w:r w:rsidRPr="00E93F40">
        <w:rPr>
          <w:color w:val="000000" w:themeColor="text1"/>
          <w:sz w:val="16"/>
          <w:szCs w:val="16"/>
        </w:rPr>
        <w:t>— готовить на колесном лафете), что не давало возможности пускать детали на обработку, и только в конце</w:t>
      </w:r>
      <w:r w:rsidR="007C1411" w:rsidRPr="00E93F40">
        <w:rPr>
          <w:color w:val="000000" w:themeColor="text1"/>
          <w:sz w:val="16"/>
          <w:szCs w:val="16"/>
        </w:rPr>
        <w:t xml:space="preserve"> </w:t>
      </w:r>
      <w:r w:rsidRPr="00E93F40">
        <w:rPr>
          <w:color w:val="000000" w:themeColor="text1"/>
          <w:sz w:val="16"/>
          <w:szCs w:val="16"/>
        </w:rPr>
        <w:t>декабря запущены детали на остальное количество (13</w:t>
      </w:r>
      <w:r w:rsidR="007C1411" w:rsidRPr="00E93F40">
        <w:rPr>
          <w:color w:val="000000" w:themeColor="text1"/>
          <w:sz w:val="16"/>
          <w:szCs w:val="16"/>
        </w:rPr>
        <w:t xml:space="preserve"> </w:t>
      </w:r>
      <w:r w:rsidRPr="00E93F40">
        <w:rPr>
          <w:color w:val="000000" w:themeColor="text1"/>
          <w:sz w:val="16"/>
          <w:szCs w:val="16"/>
        </w:rPr>
        <w:t>шт. на колесном лафете).</w:t>
      </w:r>
    </w:p>
    <w:p w14:paraId="03189CCE" w14:textId="41C4D6B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МПК (76</w:t>
      </w:r>
      <w:r w:rsidR="007C1411" w:rsidRPr="00E93F40">
        <w:rPr>
          <w:color w:val="000000" w:themeColor="text1"/>
          <w:sz w:val="16"/>
          <w:szCs w:val="16"/>
        </w:rPr>
        <w:t xml:space="preserve"> </w:t>
      </w:r>
      <w:r w:rsidRPr="00E93F40">
        <w:rPr>
          <w:color w:val="000000" w:themeColor="text1"/>
          <w:sz w:val="16"/>
          <w:szCs w:val="16"/>
        </w:rPr>
        <w:t>мм для мотоциклов)</w:t>
      </w:r>
      <w:r w:rsidR="007C1411" w:rsidRPr="00E93F40">
        <w:rPr>
          <w:color w:val="000000" w:themeColor="text1"/>
          <w:sz w:val="16"/>
          <w:szCs w:val="16"/>
        </w:rPr>
        <w:t xml:space="preserve"> </w:t>
      </w:r>
      <w:r w:rsidRPr="00E93F40">
        <w:rPr>
          <w:color w:val="000000" w:themeColor="text1"/>
          <w:sz w:val="16"/>
          <w:szCs w:val="16"/>
        </w:rPr>
        <w:t>— детали запущены в производство и приступлено к сборке первых систем. Причины невыполнения</w:t>
      </w:r>
      <w:r w:rsidR="007C1411" w:rsidRPr="00E93F40">
        <w:rPr>
          <w:color w:val="000000" w:themeColor="text1"/>
          <w:sz w:val="16"/>
          <w:szCs w:val="16"/>
        </w:rPr>
        <w:t xml:space="preserve"> </w:t>
      </w:r>
      <w:r w:rsidRPr="00E93F40">
        <w:rPr>
          <w:color w:val="000000" w:themeColor="text1"/>
          <w:sz w:val="16"/>
          <w:szCs w:val="16"/>
        </w:rPr>
        <w:t>— те же, что и по ЛМК.</w:t>
      </w:r>
    </w:p>
    <w:p w14:paraId="62443E89" w14:textId="34D3EBAD"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Модернизация 76</w:t>
      </w:r>
      <w:r w:rsidRPr="00E93F40">
        <w:rPr>
          <w:color w:val="000000" w:themeColor="text1"/>
          <w:sz w:val="16"/>
          <w:szCs w:val="16"/>
        </w:rPr>
        <w:noBreakHyphen/>
        <w:t>мм полевых пушек 1902/30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выпущено 160</w:t>
      </w:r>
      <w:r w:rsidR="007C1411" w:rsidRPr="00E93F40">
        <w:rPr>
          <w:color w:val="000000" w:themeColor="text1"/>
          <w:sz w:val="16"/>
          <w:szCs w:val="16"/>
        </w:rPr>
        <w:t xml:space="preserve"> </w:t>
      </w:r>
      <w:r w:rsidRPr="00E93F40">
        <w:rPr>
          <w:color w:val="000000" w:themeColor="text1"/>
          <w:sz w:val="16"/>
          <w:szCs w:val="16"/>
        </w:rPr>
        <w:t>шт., причем в процессе испытания обнаружилась недоработанность конструкции, в результате чего предложено изготовить заводу опытные образцы, по которым и будет вестись в дальнейшем модернизация.</w:t>
      </w:r>
    </w:p>
    <w:p w14:paraId="6F1FF459" w14:textId="2425569F"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lastRenderedPageBreak/>
        <w:t>5.</w:t>
      </w:r>
      <w:r w:rsidR="007C1411" w:rsidRPr="00E93F40">
        <w:rPr>
          <w:color w:val="000000" w:themeColor="text1"/>
          <w:sz w:val="16"/>
          <w:szCs w:val="16"/>
        </w:rPr>
        <w:t xml:space="preserve"> </w:t>
      </w:r>
      <w:r w:rsidRPr="00E93F40">
        <w:rPr>
          <w:color w:val="000000" w:themeColor="text1"/>
          <w:sz w:val="16"/>
          <w:szCs w:val="16"/>
        </w:rPr>
        <w:t>Модернизация 107</w:t>
      </w:r>
      <w:r w:rsidRPr="00E93F40">
        <w:rPr>
          <w:color w:val="000000" w:themeColor="text1"/>
          <w:sz w:val="16"/>
          <w:szCs w:val="16"/>
        </w:rPr>
        <w:noBreakHyphen/>
        <w:t>мм систем</w:t>
      </w:r>
      <w:r w:rsidR="007C1411" w:rsidRPr="00E93F40">
        <w:rPr>
          <w:color w:val="000000" w:themeColor="text1"/>
          <w:sz w:val="16"/>
          <w:szCs w:val="16"/>
        </w:rPr>
        <w:t xml:space="preserve"> </w:t>
      </w:r>
      <w:r w:rsidRPr="00E93F40">
        <w:rPr>
          <w:color w:val="000000" w:themeColor="text1"/>
          <w:sz w:val="16"/>
          <w:szCs w:val="16"/>
        </w:rPr>
        <w:t>— выпущено только 6</w:t>
      </w:r>
      <w:r w:rsidR="007C1411" w:rsidRPr="00E93F40">
        <w:rPr>
          <w:color w:val="000000" w:themeColor="text1"/>
          <w:sz w:val="16"/>
          <w:szCs w:val="16"/>
        </w:rPr>
        <w:t xml:space="preserve"> </w:t>
      </w:r>
      <w:r w:rsidRPr="00E93F40">
        <w:rPr>
          <w:color w:val="000000" w:themeColor="text1"/>
          <w:sz w:val="16"/>
          <w:szCs w:val="16"/>
        </w:rPr>
        <w:t>шт., невыполнение произошло из-за изменения конструкции и несвоевременной подачи заводом «Большевик» полуфабрикатов.</w:t>
      </w:r>
    </w:p>
    <w:p w14:paraId="37EDDE5D" w14:textId="1F7D1ED3"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Модернизация 122</w:t>
      </w:r>
      <w:r w:rsidRPr="00E93F40">
        <w:rPr>
          <w:color w:val="000000" w:themeColor="text1"/>
          <w:sz w:val="16"/>
          <w:szCs w:val="16"/>
        </w:rPr>
        <w:noBreakHyphen/>
        <w:t>мм систем</w:t>
      </w:r>
      <w:r w:rsidR="007C1411" w:rsidRPr="00E93F40">
        <w:rPr>
          <w:color w:val="000000" w:themeColor="text1"/>
          <w:sz w:val="16"/>
          <w:szCs w:val="16"/>
        </w:rPr>
        <w:t xml:space="preserve"> </w:t>
      </w:r>
      <w:r w:rsidRPr="00E93F40">
        <w:rPr>
          <w:color w:val="000000" w:themeColor="text1"/>
          <w:sz w:val="16"/>
          <w:szCs w:val="16"/>
        </w:rPr>
        <w:t>— заводом изготовлено в количестве 10</w:t>
      </w:r>
      <w:r w:rsidR="007C1411" w:rsidRPr="00E93F40">
        <w:rPr>
          <w:color w:val="000000" w:themeColor="text1"/>
          <w:sz w:val="16"/>
          <w:szCs w:val="16"/>
        </w:rPr>
        <w:t xml:space="preserve"> </w:t>
      </w:r>
      <w:r w:rsidRPr="00E93F40">
        <w:rPr>
          <w:color w:val="000000" w:themeColor="text1"/>
          <w:sz w:val="16"/>
          <w:szCs w:val="16"/>
        </w:rPr>
        <w:t>шт., но не предъявлено для приемки из-за неполного окончания сборочных работ.</w:t>
      </w:r>
    </w:p>
    <w:p w14:paraId="3B785C25" w14:textId="75736D7B"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Сверлильные станки СВ</w:t>
      </w:r>
      <w:r w:rsidRPr="00E93F40">
        <w:rPr>
          <w:color w:val="000000" w:themeColor="text1"/>
          <w:sz w:val="16"/>
          <w:szCs w:val="16"/>
        </w:rPr>
        <w:noBreakHyphen/>
        <w:t>40 заводом полностью освоены и выпущено за 1931</w:t>
      </w:r>
      <w:r w:rsidR="007C1411" w:rsidRPr="00E93F40">
        <w:rPr>
          <w:color w:val="000000" w:themeColor="text1"/>
          <w:sz w:val="16"/>
          <w:szCs w:val="16"/>
        </w:rPr>
        <w:t xml:space="preserve"> </w:t>
      </w:r>
      <w:r w:rsidRPr="00E93F40">
        <w:rPr>
          <w:color w:val="000000" w:themeColor="text1"/>
          <w:sz w:val="16"/>
          <w:szCs w:val="16"/>
        </w:rPr>
        <w:t>г. 357</w:t>
      </w:r>
      <w:r w:rsidR="007C1411" w:rsidRPr="00E93F40">
        <w:rPr>
          <w:color w:val="000000" w:themeColor="text1"/>
          <w:sz w:val="16"/>
          <w:szCs w:val="16"/>
        </w:rPr>
        <w:t xml:space="preserve"> </w:t>
      </w:r>
      <w:r w:rsidRPr="00E93F40">
        <w:rPr>
          <w:color w:val="000000" w:themeColor="text1"/>
          <w:sz w:val="16"/>
          <w:szCs w:val="16"/>
        </w:rPr>
        <w:t>шт. По револьверным станкам задание было дано</w:t>
      </w:r>
      <w:r w:rsidR="007C1411" w:rsidRPr="00E93F40">
        <w:rPr>
          <w:color w:val="000000" w:themeColor="text1"/>
          <w:sz w:val="16"/>
          <w:szCs w:val="16"/>
        </w:rPr>
        <w:t xml:space="preserve"> </w:t>
      </w:r>
      <w:r w:rsidRPr="00E93F40">
        <w:rPr>
          <w:color w:val="000000" w:themeColor="text1"/>
          <w:sz w:val="16"/>
          <w:szCs w:val="16"/>
        </w:rPr>
        <w:t>— освоить два типа: Р</w:t>
      </w:r>
      <w:r w:rsidRPr="00E93F40">
        <w:rPr>
          <w:color w:val="000000" w:themeColor="text1"/>
          <w:sz w:val="16"/>
          <w:szCs w:val="16"/>
        </w:rPr>
        <w:noBreakHyphen/>
        <w:t>1, которых выпущено 26</w:t>
      </w:r>
      <w:r w:rsidR="007C1411" w:rsidRPr="00E93F40">
        <w:rPr>
          <w:color w:val="000000" w:themeColor="text1"/>
          <w:sz w:val="16"/>
          <w:szCs w:val="16"/>
        </w:rPr>
        <w:t xml:space="preserve"> </w:t>
      </w:r>
      <w:r w:rsidRPr="00E93F40">
        <w:rPr>
          <w:color w:val="000000" w:themeColor="text1"/>
          <w:sz w:val="16"/>
          <w:szCs w:val="16"/>
        </w:rPr>
        <w:t>шт., и Р</w:t>
      </w:r>
      <w:r w:rsidRPr="00E93F40">
        <w:rPr>
          <w:color w:val="000000" w:themeColor="text1"/>
          <w:sz w:val="16"/>
          <w:szCs w:val="16"/>
        </w:rPr>
        <w:noBreakHyphen/>
        <w:t>2</w:t>
      </w:r>
      <w:r w:rsidR="007C1411" w:rsidRPr="00E93F40">
        <w:rPr>
          <w:color w:val="000000" w:themeColor="text1"/>
          <w:sz w:val="16"/>
          <w:szCs w:val="16"/>
        </w:rPr>
        <w:t xml:space="preserve"> </w:t>
      </w:r>
      <w:r w:rsidRPr="00E93F40">
        <w:rPr>
          <w:color w:val="000000" w:themeColor="text1"/>
          <w:sz w:val="16"/>
          <w:szCs w:val="16"/>
        </w:rPr>
        <w:t>— выпущено 3</w:t>
      </w:r>
      <w:r w:rsidR="007C1411" w:rsidRPr="00E93F40">
        <w:rPr>
          <w:color w:val="000000" w:themeColor="text1"/>
          <w:sz w:val="16"/>
          <w:szCs w:val="16"/>
        </w:rPr>
        <w:t xml:space="preserve"> </w:t>
      </w:r>
      <w:r w:rsidRPr="00E93F40">
        <w:rPr>
          <w:color w:val="000000" w:themeColor="text1"/>
          <w:sz w:val="16"/>
          <w:szCs w:val="16"/>
        </w:rPr>
        <w:t>шт.</w:t>
      </w:r>
    </w:p>
    <w:p w14:paraId="1373C06D" w14:textId="23020D5A"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8.</w:t>
      </w:r>
      <w:r w:rsidR="007C1411" w:rsidRPr="00E93F40">
        <w:rPr>
          <w:color w:val="000000" w:themeColor="text1"/>
          <w:sz w:val="16"/>
          <w:szCs w:val="16"/>
        </w:rPr>
        <w:t xml:space="preserve"> </w:t>
      </w:r>
      <w:r w:rsidRPr="00E93F40">
        <w:rPr>
          <w:color w:val="000000" w:themeColor="text1"/>
          <w:sz w:val="16"/>
          <w:szCs w:val="16"/>
        </w:rPr>
        <w:t>Ленточные машины выпущены в количестве 3</w:t>
      </w:r>
      <w:r w:rsidR="007C1411" w:rsidRPr="00E93F40">
        <w:rPr>
          <w:color w:val="000000" w:themeColor="text1"/>
          <w:sz w:val="16"/>
          <w:szCs w:val="16"/>
        </w:rPr>
        <w:t xml:space="preserve"> </w:t>
      </w:r>
      <w:r w:rsidRPr="00E93F40">
        <w:rPr>
          <w:color w:val="000000" w:themeColor="text1"/>
          <w:sz w:val="16"/>
          <w:szCs w:val="16"/>
        </w:rPr>
        <w:t>шт. Невыполнение плана, кроме общих причин в связи с переходом с текстильного машиностроения на станкостроение, объясняется еще и тем, что заказчик утвердил опытные образцы только в октябре месяце 1931</w:t>
      </w:r>
      <w:r w:rsidR="007C1411" w:rsidRPr="00E93F40">
        <w:rPr>
          <w:color w:val="000000" w:themeColor="text1"/>
          <w:sz w:val="16"/>
          <w:szCs w:val="16"/>
        </w:rPr>
        <w:t xml:space="preserve"> </w:t>
      </w:r>
      <w:r w:rsidRPr="00E93F40">
        <w:rPr>
          <w:color w:val="000000" w:themeColor="text1"/>
          <w:sz w:val="16"/>
          <w:szCs w:val="16"/>
        </w:rPr>
        <w:t>г.</w:t>
      </w:r>
    </w:p>
    <w:p w14:paraId="5AA9C5ED" w14:textId="5B2593B0"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 заводе №</w:t>
      </w:r>
      <w:r w:rsidR="007C1411" w:rsidRPr="00E93F40">
        <w:rPr>
          <w:color w:val="000000" w:themeColor="text1"/>
          <w:sz w:val="16"/>
          <w:szCs w:val="16"/>
        </w:rPr>
        <w:t xml:space="preserve"> </w:t>
      </w:r>
      <w:r w:rsidRPr="00E93F40">
        <w:rPr>
          <w:color w:val="000000" w:themeColor="text1"/>
          <w:sz w:val="16"/>
          <w:szCs w:val="16"/>
        </w:rPr>
        <w:t>13 в связи с общим значительным невыполнением программ программа по выпуску новых производств также значительно не выполнена как по передкам, так и по колесам, особенно для мелкокалиберной артиллерии завода №</w:t>
      </w:r>
      <w:r w:rsidR="007C1411" w:rsidRPr="00E93F40">
        <w:rPr>
          <w:color w:val="000000" w:themeColor="text1"/>
          <w:sz w:val="16"/>
          <w:szCs w:val="16"/>
        </w:rPr>
        <w:t xml:space="preserve"> </w:t>
      </w:r>
      <w:r w:rsidRPr="00E93F40">
        <w:rPr>
          <w:color w:val="000000" w:themeColor="text1"/>
          <w:sz w:val="16"/>
          <w:szCs w:val="16"/>
        </w:rPr>
        <w:t>8.</w:t>
      </w:r>
    </w:p>
    <w:p w14:paraId="3E1AF502" w14:textId="2304E07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По Киевскому Краснознаменному заводу за 1931</w:t>
      </w:r>
      <w:r w:rsidR="007C1411" w:rsidRPr="00E93F40">
        <w:rPr>
          <w:color w:val="000000" w:themeColor="text1"/>
          <w:sz w:val="16"/>
          <w:szCs w:val="16"/>
        </w:rPr>
        <w:t xml:space="preserve"> </w:t>
      </w:r>
      <w:r w:rsidRPr="00E93F40">
        <w:rPr>
          <w:color w:val="000000" w:themeColor="text1"/>
          <w:sz w:val="16"/>
          <w:szCs w:val="16"/>
        </w:rPr>
        <w:t>г. предстояло освоить 9</w:t>
      </w:r>
      <w:r w:rsidR="007C1411" w:rsidRPr="00E93F40">
        <w:rPr>
          <w:color w:val="000000" w:themeColor="text1"/>
          <w:sz w:val="16"/>
          <w:szCs w:val="16"/>
        </w:rPr>
        <w:t xml:space="preserve"> </w:t>
      </w:r>
      <w:r w:rsidRPr="00E93F40">
        <w:rPr>
          <w:color w:val="000000" w:themeColor="text1"/>
          <w:sz w:val="16"/>
          <w:szCs w:val="16"/>
        </w:rPr>
        <w:t>новых производств, главнейшие из которых находятся в следующем состоянии: а)</w:t>
      </w:r>
      <w:r w:rsidR="007C1411" w:rsidRPr="00E93F40">
        <w:rPr>
          <w:color w:val="000000" w:themeColor="text1"/>
          <w:sz w:val="16"/>
          <w:szCs w:val="16"/>
        </w:rPr>
        <w:t xml:space="preserve"> </w:t>
      </w:r>
      <w:r w:rsidRPr="00E93F40">
        <w:rPr>
          <w:color w:val="000000" w:themeColor="text1"/>
          <w:sz w:val="16"/>
          <w:szCs w:val="16"/>
        </w:rPr>
        <w:t>модернизация 122</w:t>
      </w:r>
      <w:r w:rsidRPr="00E93F40">
        <w:rPr>
          <w:color w:val="000000" w:themeColor="text1"/>
          <w:sz w:val="16"/>
          <w:szCs w:val="16"/>
        </w:rPr>
        <w:noBreakHyphen/>
        <w:t>мм систем полностью выполнена и освоена заводом; б)</w:t>
      </w:r>
      <w:r w:rsidR="007C1411" w:rsidRPr="00E93F40">
        <w:rPr>
          <w:color w:val="000000" w:themeColor="text1"/>
          <w:sz w:val="16"/>
          <w:szCs w:val="16"/>
        </w:rPr>
        <w:t xml:space="preserve"> </w:t>
      </w:r>
      <w:r w:rsidRPr="00E93F40">
        <w:rPr>
          <w:color w:val="000000" w:themeColor="text1"/>
          <w:sz w:val="16"/>
          <w:szCs w:val="16"/>
        </w:rPr>
        <w:t>модернизация 152</w:t>
      </w:r>
      <w:r w:rsidRPr="00E93F40">
        <w:rPr>
          <w:color w:val="000000" w:themeColor="text1"/>
          <w:sz w:val="16"/>
          <w:szCs w:val="16"/>
        </w:rPr>
        <w:noBreakHyphen/>
        <w:t>мм систем заводом освоена, и программа почти полностью выполнена; в)</w:t>
      </w:r>
      <w:r w:rsidR="007C1411" w:rsidRPr="00E93F40">
        <w:rPr>
          <w:color w:val="000000" w:themeColor="text1"/>
          <w:sz w:val="16"/>
          <w:szCs w:val="16"/>
        </w:rPr>
        <w:t xml:space="preserve"> </w:t>
      </w:r>
      <w:r w:rsidRPr="00E93F40">
        <w:rPr>
          <w:color w:val="000000" w:themeColor="text1"/>
          <w:sz w:val="16"/>
          <w:szCs w:val="16"/>
        </w:rPr>
        <w:t>модернизация 107</w:t>
      </w:r>
      <w:r w:rsidRPr="00E93F40">
        <w:rPr>
          <w:color w:val="000000" w:themeColor="text1"/>
          <w:sz w:val="16"/>
          <w:szCs w:val="16"/>
        </w:rPr>
        <w:noBreakHyphen/>
        <w:t>мм систем заводом полностью освоена, и программа в зависимой от завода части полностью выполнена; г)</w:t>
      </w:r>
      <w:r w:rsidR="007C1411" w:rsidRPr="00E93F40">
        <w:rPr>
          <w:color w:val="000000" w:themeColor="text1"/>
          <w:sz w:val="16"/>
          <w:szCs w:val="16"/>
        </w:rPr>
        <w:t xml:space="preserve"> </w:t>
      </w:r>
      <w:r w:rsidRPr="00E93F40">
        <w:rPr>
          <w:color w:val="000000" w:themeColor="text1"/>
          <w:sz w:val="16"/>
          <w:szCs w:val="16"/>
        </w:rPr>
        <w:t>модернизация 76</w:t>
      </w:r>
      <w:r w:rsidRPr="00E93F40">
        <w:rPr>
          <w:color w:val="000000" w:themeColor="text1"/>
          <w:sz w:val="16"/>
          <w:szCs w:val="16"/>
        </w:rPr>
        <w:noBreakHyphen/>
        <w:t>мм полевых пушек из-за конструктивных изменений не дало возможности заводу полностью выполнить программу, но само производство заводом освоено.</w:t>
      </w:r>
    </w:p>
    <w:p w14:paraId="2B361463" w14:textId="708A7B7B"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По заводу «Двигатель» новыми производствами в 1931</w:t>
      </w:r>
      <w:r w:rsidR="007C1411" w:rsidRPr="00E93F40">
        <w:rPr>
          <w:color w:val="000000" w:themeColor="text1"/>
          <w:sz w:val="16"/>
          <w:szCs w:val="16"/>
        </w:rPr>
        <w:t xml:space="preserve"> </w:t>
      </w:r>
      <w:r w:rsidRPr="00E93F40">
        <w:rPr>
          <w:color w:val="000000" w:themeColor="text1"/>
          <w:sz w:val="16"/>
          <w:szCs w:val="16"/>
        </w:rPr>
        <w:t>г. являлись. 1)</w:t>
      </w:r>
      <w:r w:rsidR="007C1411" w:rsidRPr="00E93F40">
        <w:rPr>
          <w:color w:val="000000" w:themeColor="text1"/>
          <w:sz w:val="16"/>
          <w:szCs w:val="16"/>
        </w:rPr>
        <w:t xml:space="preserve"> </w:t>
      </w:r>
      <w:r w:rsidRPr="00E93F40">
        <w:rPr>
          <w:color w:val="000000" w:themeColor="text1"/>
          <w:sz w:val="16"/>
          <w:szCs w:val="16"/>
        </w:rPr>
        <w:t>делительные головки и 2)</w:t>
      </w:r>
      <w:r w:rsidR="007C1411" w:rsidRPr="00E93F40">
        <w:rPr>
          <w:color w:val="000000" w:themeColor="text1"/>
          <w:sz w:val="16"/>
          <w:szCs w:val="16"/>
        </w:rPr>
        <w:t xml:space="preserve"> </w:t>
      </w:r>
      <w:r w:rsidRPr="00E93F40">
        <w:rPr>
          <w:color w:val="000000" w:themeColor="text1"/>
          <w:sz w:val="16"/>
          <w:szCs w:val="16"/>
        </w:rPr>
        <w:t>формы для шлемов. К концу года по делительным головкам разработан технологический процесс, изготовлены приспособления, и выпуск их ожидается в 1</w:t>
      </w:r>
      <w:r w:rsidR="007C1411" w:rsidRPr="00E93F40">
        <w:rPr>
          <w:color w:val="000000" w:themeColor="text1"/>
          <w:sz w:val="16"/>
          <w:szCs w:val="16"/>
        </w:rPr>
        <w:t xml:space="preserve"> </w:t>
      </w:r>
      <w:r w:rsidRPr="00E93F40">
        <w:rPr>
          <w:color w:val="000000" w:themeColor="text1"/>
          <w:sz w:val="16"/>
          <w:szCs w:val="16"/>
        </w:rPr>
        <w:t>квартале 1932</w:t>
      </w:r>
      <w:r w:rsidR="007C1411" w:rsidRPr="00E93F40">
        <w:rPr>
          <w:color w:val="000000" w:themeColor="text1"/>
          <w:sz w:val="16"/>
          <w:szCs w:val="16"/>
        </w:rPr>
        <w:t xml:space="preserve"> </w:t>
      </w:r>
      <w:r w:rsidRPr="00E93F40">
        <w:rPr>
          <w:color w:val="000000" w:themeColor="text1"/>
          <w:sz w:val="16"/>
          <w:szCs w:val="16"/>
        </w:rPr>
        <w:t>г.⁷* С изготовлением производства форм для шлемов завод также справился, выпустив 211</w:t>
      </w:r>
      <w:r w:rsidR="007C1411" w:rsidRPr="00E93F40">
        <w:rPr>
          <w:color w:val="000000" w:themeColor="text1"/>
          <w:sz w:val="16"/>
          <w:szCs w:val="16"/>
        </w:rPr>
        <w:t xml:space="preserve"> </w:t>
      </w:r>
      <w:r w:rsidRPr="00E93F40">
        <w:rPr>
          <w:color w:val="000000" w:themeColor="text1"/>
          <w:sz w:val="16"/>
          <w:szCs w:val="16"/>
        </w:rPr>
        <w:t>шт. Помимо освоения этих новых производств, заводом проделана большая работа по конструктивному изменению основной продукции (21</w:t>
      </w:r>
      <w:r w:rsidRPr="00E93F40">
        <w:rPr>
          <w:color w:val="000000" w:themeColor="text1"/>
          <w:sz w:val="16"/>
          <w:szCs w:val="16"/>
        </w:rPr>
        <w:noBreakHyphen/>
        <w:t>дюймовые торпеды) на основе полученных материалов из Италии, чем изжиты неполадки в ходе по глубине, и только в 1931</w:t>
      </w:r>
      <w:r w:rsidR="007C1411" w:rsidRPr="00E93F40">
        <w:rPr>
          <w:color w:val="000000" w:themeColor="text1"/>
          <w:sz w:val="16"/>
          <w:szCs w:val="16"/>
        </w:rPr>
        <w:t xml:space="preserve"> </w:t>
      </w:r>
      <w:r w:rsidRPr="00E93F40">
        <w:rPr>
          <w:color w:val="000000" w:themeColor="text1"/>
          <w:sz w:val="16"/>
          <w:szCs w:val="16"/>
        </w:rPr>
        <w:t>г. завод впервые сдал флоту первую партию торпед надлежащего качества, достигнув скорости 41,5</w:t>
      </w:r>
      <w:r w:rsidR="007C1411" w:rsidRPr="00E93F40">
        <w:rPr>
          <w:color w:val="000000" w:themeColor="text1"/>
          <w:sz w:val="16"/>
          <w:szCs w:val="16"/>
        </w:rPr>
        <w:t xml:space="preserve"> </w:t>
      </w:r>
      <w:r w:rsidRPr="00E93F40">
        <w:rPr>
          <w:color w:val="000000" w:themeColor="text1"/>
          <w:sz w:val="16"/>
          <w:szCs w:val="16"/>
        </w:rPr>
        <w:t>узла в час⁸*.</w:t>
      </w:r>
    </w:p>
    <w:p w14:paraId="54B8D874" w14:textId="77777777" w:rsidR="001B58DB" w:rsidRPr="00E93F40" w:rsidRDefault="001B58DB" w:rsidP="00E93F40">
      <w:pPr>
        <w:pStyle w:val="rtejustify"/>
        <w:spacing w:before="0" w:after="0"/>
        <w:rPr>
          <w:color w:val="000000" w:themeColor="text1"/>
          <w:sz w:val="16"/>
          <w:szCs w:val="16"/>
        </w:rPr>
      </w:pPr>
      <w:r w:rsidRPr="00E93F40">
        <w:rPr>
          <w:color w:val="000000" w:themeColor="text1"/>
          <w:sz w:val="16"/>
          <w:szCs w:val="16"/>
        </w:rPr>
        <w:t>Научно-исследовательские работы</w:t>
      </w:r>
    </w:p>
    <w:p w14:paraId="5254C6B6" w14:textId="7D9A093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Наряду с большой работой по изготовлению и проектированию опытных образцов изделий в 1931</w:t>
      </w:r>
      <w:r w:rsidR="007C1411" w:rsidRPr="00E93F40">
        <w:rPr>
          <w:color w:val="000000" w:themeColor="text1"/>
          <w:sz w:val="16"/>
          <w:szCs w:val="16"/>
        </w:rPr>
        <w:t xml:space="preserve"> </w:t>
      </w:r>
      <w:r w:rsidRPr="00E93F40">
        <w:rPr>
          <w:color w:val="000000" w:themeColor="text1"/>
          <w:sz w:val="16"/>
          <w:szCs w:val="16"/>
        </w:rPr>
        <w:t>г. на заводах объединения велась интенсивная научно-исследовательская работа, результатами которой заводы пользовались как для улучшения методов работы текущего производства, так и для разрешения отдельных проблем, результаты применения которых выявятся в последующие годы.</w:t>
      </w:r>
    </w:p>
    <w:p w14:paraId="19581587" w14:textId="0A9A965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По заводу им.</w:t>
      </w:r>
      <w:r w:rsidR="007C1411" w:rsidRPr="00E93F40">
        <w:rPr>
          <w:color w:val="000000" w:themeColor="text1"/>
          <w:sz w:val="16"/>
          <w:szCs w:val="16"/>
        </w:rPr>
        <w:t xml:space="preserve"> </w:t>
      </w:r>
      <w:r w:rsidRPr="00E93F40">
        <w:rPr>
          <w:color w:val="000000" w:themeColor="text1"/>
          <w:sz w:val="16"/>
          <w:szCs w:val="16"/>
        </w:rPr>
        <w:t>Молотова к первой группе следует отнести работы по хромированию, которые доведены уже для мерительного инструмента до производства, выплавка нихрома, установление рационального технологического процесса для прокатки различных сталей, методика контроля сварных швов листовых изделий, наружная шлифовка леймеров и ряд других работ, которые по мере проработки внедрялись в производство. Вторая группа работ включает большие работы по центробежной отливке, полужидкой прокатке, отливке полных кожухов, работы по изложницам с откидным дном, большие работы по замене импортных материалов в шихте отечественными, определение пороков в стали методом падения напряжения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д. Эти работы частью закончены в 1931</w:t>
      </w:r>
      <w:r w:rsidR="007C1411" w:rsidRPr="00E93F40">
        <w:rPr>
          <w:color w:val="000000" w:themeColor="text1"/>
          <w:sz w:val="16"/>
          <w:szCs w:val="16"/>
        </w:rPr>
        <w:t xml:space="preserve"> </w:t>
      </w:r>
      <w:r w:rsidRPr="00E93F40">
        <w:rPr>
          <w:color w:val="000000" w:themeColor="text1"/>
          <w:sz w:val="16"/>
          <w:szCs w:val="16"/>
        </w:rPr>
        <w:t>г., а частью переходят на 1932</w:t>
      </w:r>
      <w:r w:rsidR="007C1411" w:rsidRPr="00E93F40">
        <w:rPr>
          <w:color w:val="000000" w:themeColor="text1"/>
          <w:sz w:val="16"/>
          <w:szCs w:val="16"/>
        </w:rPr>
        <w:t xml:space="preserve"> </w:t>
      </w:r>
      <w:r w:rsidRPr="00E93F40">
        <w:rPr>
          <w:color w:val="000000" w:themeColor="text1"/>
          <w:sz w:val="16"/>
          <w:szCs w:val="16"/>
        </w:rPr>
        <w:t>г.</w:t>
      </w:r>
    </w:p>
    <w:p w14:paraId="633E949D" w14:textId="2669FAB8"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Научно-исследовательский отдел завода «Большевик» является одним из крупнейших научно-исследовательских ячеек военной металлургии как в отношении характера выполняемых работ, так и в отношении объема. Наиболее крупными и актуальными работами были следующие: 1)</w:t>
      </w:r>
      <w:r w:rsidR="007C1411" w:rsidRPr="00E93F40">
        <w:rPr>
          <w:color w:val="000000" w:themeColor="text1"/>
          <w:sz w:val="16"/>
          <w:szCs w:val="16"/>
        </w:rPr>
        <w:t xml:space="preserve"> </w:t>
      </w:r>
      <w:r w:rsidRPr="00E93F40">
        <w:rPr>
          <w:color w:val="000000" w:themeColor="text1"/>
          <w:sz w:val="16"/>
          <w:szCs w:val="16"/>
        </w:rPr>
        <w:t>исследование бронетанка «Виккерса» (Т</w:t>
      </w:r>
      <w:r w:rsidRPr="00E93F40">
        <w:rPr>
          <w:color w:val="000000" w:themeColor="text1"/>
          <w:sz w:val="16"/>
          <w:szCs w:val="16"/>
        </w:rPr>
        <w:noBreakHyphen/>
        <w:t>26)</w:t>
      </w:r>
      <w:r w:rsidR="007C1411" w:rsidRPr="00E93F40">
        <w:rPr>
          <w:color w:val="000000" w:themeColor="text1"/>
          <w:sz w:val="16"/>
          <w:szCs w:val="16"/>
        </w:rPr>
        <w:t xml:space="preserve"> </w:t>
      </w:r>
      <w:r w:rsidRPr="00E93F40">
        <w:rPr>
          <w:color w:val="000000" w:themeColor="text1"/>
          <w:sz w:val="16"/>
          <w:szCs w:val="16"/>
        </w:rPr>
        <w:t>— произведено всестороннее исследование бронелистов танка (внешний осмотр, обмер толщины, определение твердости, химический анализ, микроструктура и пр.) и испытано стрельбой; 2)</w:t>
      </w:r>
      <w:r w:rsidR="007C1411" w:rsidRPr="00E93F40">
        <w:rPr>
          <w:color w:val="000000" w:themeColor="text1"/>
          <w:sz w:val="16"/>
          <w:szCs w:val="16"/>
        </w:rPr>
        <w:t xml:space="preserve"> </w:t>
      </w:r>
      <w:r w:rsidRPr="00E93F40">
        <w:rPr>
          <w:color w:val="000000" w:themeColor="text1"/>
          <w:sz w:val="16"/>
          <w:szCs w:val="16"/>
        </w:rPr>
        <w:t>исследован материал заграничных образцов вооружения (Т</w:t>
      </w:r>
      <w:r w:rsidRPr="00E93F40">
        <w:rPr>
          <w:color w:val="000000" w:themeColor="text1"/>
          <w:sz w:val="16"/>
          <w:szCs w:val="16"/>
        </w:rPr>
        <w:noBreakHyphen/>
        <w:t>26). Исследованию подвергались детали танка с целью выявления качества материала. Подробно исследовано 200 наиболее ответственных деталей двигателя и ходовой части. Исследование проходило по определенному плану, предусматривающему возможность сделать заключение о сорте стали, механических свойствах, термической обработке и способе изготовления; 3)</w:t>
      </w:r>
      <w:r w:rsidR="007C1411" w:rsidRPr="00E93F40">
        <w:rPr>
          <w:color w:val="000000" w:themeColor="text1"/>
          <w:sz w:val="16"/>
          <w:szCs w:val="16"/>
        </w:rPr>
        <w:t xml:space="preserve"> </w:t>
      </w:r>
      <w:r w:rsidRPr="00E93F40">
        <w:rPr>
          <w:color w:val="000000" w:themeColor="text1"/>
          <w:sz w:val="16"/>
          <w:szCs w:val="16"/>
        </w:rPr>
        <w:t>проведена работа по изысканию новых сортов стали, удовлетворяющих повышенным требованиям воздушных резервуаров торпед. Найденные образцы с удовлетворяющими повышенными механическими качествами термически обработаны и направлены на завод «Двигатель»; 4)</w:t>
      </w:r>
      <w:r w:rsidR="007C1411" w:rsidRPr="00E93F40">
        <w:rPr>
          <w:color w:val="000000" w:themeColor="text1"/>
          <w:sz w:val="16"/>
          <w:szCs w:val="16"/>
        </w:rPr>
        <w:t xml:space="preserve"> </w:t>
      </w:r>
      <w:r w:rsidRPr="00E93F40">
        <w:rPr>
          <w:color w:val="000000" w:themeColor="text1"/>
          <w:sz w:val="16"/>
          <w:szCs w:val="16"/>
        </w:rPr>
        <w:t>разработан метод поверхностной закалки в применении к ряду разнообразных изделий и танковых деталей.</w:t>
      </w:r>
    </w:p>
    <w:p w14:paraId="72D82A31" w14:textId="7777777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Помимо вышеперечисленных главнейших научно-исследовательских работ, уже внедренных в производство, заводом ведутся и приближаются к окончанию не менее важные работы, как-то: изучение свойств броневой стали с вольфрамом, влияние условий разливки и формы изложницы на качества стали, изучение методов ковки, металлургия для дальнобойной артиллерии. Все эти работы преследуют конкретные цели: улучшение технологических процессов, повышение качества орудийных сталей и освобождение от импорта.</w:t>
      </w:r>
    </w:p>
    <w:p w14:paraId="69D78DDD" w14:textId="0DECD716"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 заводе №</w:t>
      </w:r>
      <w:r w:rsidR="007C1411" w:rsidRPr="00E93F40">
        <w:rPr>
          <w:color w:val="000000" w:themeColor="text1"/>
          <w:sz w:val="16"/>
          <w:szCs w:val="16"/>
        </w:rPr>
        <w:t xml:space="preserve"> </w:t>
      </w:r>
      <w:r w:rsidRPr="00E93F40">
        <w:rPr>
          <w:color w:val="000000" w:themeColor="text1"/>
          <w:sz w:val="16"/>
          <w:szCs w:val="16"/>
        </w:rPr>
        <w:t>8 ведутся работы научно-исследовательского характера в незначительном объеме, поскольку заводская лаборатория и персонал недостаточны, В 1931</w:t>
      </w:r>
      <w:r w:rsidR="007C1411" w:rsidRPr="00E93F40">
        <w:rPr>
          <w:color w:val="000000" w:themeColor="text1"/>
          <w:sz w:val="16"/>
          <w:szCs w:val="16"/>
        </w:rPr>
        <w:t xml:space="preserve"> </w:t>
      </w:r>
      <w:r w:rsidRPr="00E93F40">
        <w:rPr>
          <w:color w:val="000000" w:themeColor="text1"/>
          <w:sz w:val="16"/>
          <w:szCs w:val="16"/>
        </w:rPr>
        <w:t>г. работы велись по трем темам, из которых главнейшие следующие: суррогатирование, развертывание точных отверстий в каналах орудий в связи с леймерованием, снятие кожухов и надульников и выяснение влияния раскрепленных орудий путем нагрева на механические качества металла орудий, рентгенографические исследования. Из всех работ закончена только последняя.</w:t>
      </w:r>
    </w:p>
    <w:p w14:paraId="0D6A3F10" w14:textId="4356018C"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 заводе «Баррикады» проведены следующие главнейшие работы: 1)</w:t>
      </w:r>
      <w:r w:rsidR="007C1411" w:rsidRPr="00E93F40">
        <w:rPr>
          <w:color w:val="000000" w:themeColor="text1"/>
          <w:sz w:val="16"/>
          <w:szCs w:val="16"/>
        </w:rPr>
        <w:t xml:space="preserve"> </w:t>
      </w:r>
      <w:r w:rsidRPr="00E93F40">
        <w:rPr>
          <w:color w:val="000000" w:themeColor="text1"/>
          <w:sz w:val="16"/>
          <w:szCs w:val="16"/>
        </w:rPr>
        <w:t>влияние способов термической обработки на механические свойства стали; 2)</w:t>
      </w:r>
      <w:r w:rsidR="007C1411" w:rsidRPr="00E93F40">
        <w:rPr>
          <w:color w:val="000000" w:themeColor="text1"/>
          <w:sz w:val="16"/>
          <w:szCs w:val="16"/>
        </w:rPr>
        <w:t xml:space="preserve"> </w:t>
      </w:r>
      <w:r w:rsidRPr="00E93F40">
        <w:rPr>
          <w:color w:val="000000" w:themeColor="text1"/>
          <w:sz w:val="16"/>
          <w:szCs w:val="16"/>
        </w:rPr>
        <w:t>разрешение первичной кристаллизации литой стали путем тепловой обработки; 3)</w:t>
      </w:r>
      <w:r w:rsidR="007C1411" w:rsidRPr="00E93F40">
        <w:rPr>
          <w:color w:val="000000" w:themeColor="text1"/>
          <w:sz w:val="16"/>
          <w:szCs w:val="16"/>
        </w:rPr>
        <w:t xml:space="preserve"> </w:t>
      </w:r>
      <w:r w:rsidRPr="00E93F40">
        <w:rPr>
          <w:color w:val="000000" w:themeColor="text1"/>
          <w:sz w:val="16"/>
          <w:szCs w:val="16"/>
        </w:rPr>
        <w:t>изыскание охлаждающей среды взамен растительного масла; 4)</w:t>
      </w:r>
      <w:r w:rsidR="007C1411" w:rsidRPr="00E93F40">
        <w:rPr>
          <w:color w:val="000000" w:themeColor="text1"/>
          <w:sz w:val="16"/>
          <w:szCs w:val="16"/>
        </w:rPr>
        <w:t xml:space="preserve"> </w:t>
      </w:r>
      <w:r w:rsidRPr="00E93F40">
        <w:rPr>
          <w:color w:val="000000" w:themeColor="text1"/>
          <w:sz w:val="16"/>
          <w:szCs w:val="16"/>
        </w:rPr>
        <w:t>влияние содержания хрома в хромо-никелево-молибденовой стали на механические свойства. Все эти работы носят практический характер и связаны с установкой орудийного производства на заводе.</w:t>
      </w:r>
    </w:p>
    <w:p w14:paraId="4002123E" w14:textId="1EBEF2F9"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 заводе №</w:t>
      </w:r>
      <w:r w:rsidR="007C1411" w:rsidRPr="00E93F40">
        <w:rPr>
          <w:color w:val="000000" w:themeColor="text1"/>
          <w:sz w:val="16"/>
          <w:szCs w:val="16"/>
        </w:rPr>
        <w:t xml:space="preserve"> </w:t>
      </w:r>
      <w:r w:rsidRPr="00E93F40">
        <w:rPr>
          <w:color w:val="000000" w:themeColor="text1"/>
          <w:sz w:val="16"/>
          <w:szCs w:val="16"/>
        </w:rPr>
        <w:t>7 главнейшими работами являются следующие: металлургические и механические исследования по сталям (сравнительное испытание артиллерийских сталей на статистический и динамический разрыв, исследование прокатных листовых материалов для выявления оптимальных условий термической обработки, способствующей лучшей вытяжке материала), суррогатирование (замена листовой латуни железом, замена бронзы сталью в матке поворотного механизма, замена никелевой стали листовым железом в дышловой муфте, применение биметалла вместо листовой латуни в насосе двойного действия шнейдеровских систем) и ряд работ по сушке дерева. Выполненные работы заводом уже внедрены в производство, а часть работ перейдет окончанием на 1932</w:t>
      </w:r>
      <w:r w:rsidR="007C1411" w:rsidRPr="00E93F40">
        <w:rPr>
          <w:color w:val="000000" w:themeColor="text1"/>
          <w:sz w:val="16"/>
          <w:szCs w:val="16"/>
        </w:rPr>
        <w:t xml:space="preserve"> </w:t>
      </w:r>
      <w:r w:rsidRPr="00E93F40">
        <w:rPr>
          <w:color w:val="000000" w:themeColor="text1"/>
          <w:sz w:val="16"/>
          <w:szCs w:val="16"/>
        </w:rPr>
        <w:t>г. Оборудование и персонал на заводе недостаточен по сравнению с имеющимися заданиями.</w:t>
      </w:r>
    </w:p>
    <w:p w14:paraId="2A82AEAA" w14:textId="17C7A8EF"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 заводе №</w:t>
      </w:r>
      <w:r w:rsidR="007C1411" w:rsidRPr="00E93F40">
        <w:rPr>
          <w:color w:val="000000" w:themeColor="text1"/>
          <w:sz w:val="16"/>
          <w:szCs w:val="16"/>
        </w:rPr>
        <w:t xml:space="preserve"> </w:t>
      </w:r>
      <w:r w:rsidRPr="00E93F40">
        <w:rPr>
          <w:color w:val="000000" w:themeColor="text1"/>
          <w:sz w:val="16"/>
          <w:szCs w:val="16"/>
        </w:rPr>
        <w:t>13 научно-исследовательские работы выполнены главным образом по дереву, как, например, изготовление колесных спиц, применение гнутых косяков из досок для артиллерийских колес, замена дуба прессованной осиной при изготовлении колес и ряд других работ, имеющих большое практическое значение в части удешевления себестоимости и улучшения качества с одновременной заменой дорогостоящих материалов менее дорогими.</w:t>
      </w:r>
    </w:p>
    <w:p w14:paraId="727376F0" w14:textId="7777777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 Киевском Краснознаменном заводе проводились научно-исследовательские работы как по металлу (улучшение методов ковки, срок службы артизделий, заварка раковин в чугунных отливках, проверка необходимости отжига деталей), так и по дереву (клепка леса, расчет нового артиллерийского колеса из клееного леса). Эти работы закончены и внедрены в производство.</w:t>
      </w:r>
    </w:p>
    <w:p w14:paraId="52A6C475" w14:textId="7777777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rPr>
        <w:t>На заводе «Двигатель» все научно-исследовательские работы были направлены на устранение основных недостатков 21</w:t>
      </w:r>
      <w:r w:rsidRPr="00E93F40">
        <w:rPr>
          <w:color w:val="000000" w:themeColor="text1"/>
          <w:sz w:val="16"/>
          <w:szCs w:val="16"/>
        </w:rPr>
        <w:noBreakHyphen/>
        <w:t>дюймовой торпеды (изменение конструкции существующей торпеды на основе изучения элементов итальянской торпеды). По ходу этих работ сконструирован целый ряд приборов для испытания гидростата, рулевого приспособления, подогрев аппаратов и др. Проведение этих работ имело результатом выполнение заводом доброкачественных торпед, которые ранее морведом браковались⁹*.</w:t>
      </w:r>
    </w:p>
    <w:p w14:paraId="62CB8C4D" w14:textId="77777777" w:rsidR="00481984" w:rsidRPr="00E93F40" w:rsidRDefault="00481984"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Зам. начальника Орудобъединения </w:t>
      </w:r>
      <w:hyperlink r:id="rId61" w:history="1">
        <w:r w:rsidRPr="00E93F40">
          <w:rPr>
            <w:rStyle w:val="af0"/>
            <w:i w:val="0"/>
            <w:color w:val="000000" w:themeColor="text1"/>
            <w:sz w:val="16"/>
            <w:szCs w:val="16"/>
          </w:rPr>
          <w:t>Нейман</w:t>
        </w:r>
      </w:hyperlink>
    </w:p>
    <w:p w14:paraId="35D250F9" w14:textId="77777777" w:rsidR="00481984" w:rsidRPr="00E93F40" w:rsidRDefault="00481984" w:rsidP="00E93F40">
      <w:pPr>
        <w:pStyle w:val="ae"/>
        <w:spacing w:before="0" w:after="0"/>
        <w:jc w:val="both"/>
        <w:rPr>
          <w:color w:val="000000" w:themeColor="text1"/>
          <w:sz w:val="16"/>
          <w:szCs w:val="16"/>
        </w:rPr>
      </w:pPr>
      <w:r w:rsidRPr="00E93F40">
        <w:rPr>
          <w:rStyle w:val="af0"/>
          <w:i w:val="0"/>
          <w:color w:val="000000" w:themeColor="text1"/>
          <w:sz w:val="16"/>
          <w:szCs w:val="16"/>
        </w:rPr>
        <w:t>Начальник отчетно-эконом[ического]сект[ора] Фарманянц</w:t>
      </w:r>
    </w:p>
    <w:p w14:paraId="6079229E" w14:textId="77777777" w:rsidR="00481984" w:rsidRPr="00E93F40" w:rsidRDefault="00481984"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2231F026" w14:textId="1474EFB0"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—293</w:t>
      </w:r>
      <w:r w:rsidR="007C1411" w:rsidRPr="00E93F40">
        <w:rPr>
          <w:color w:val="000000" w:themeColor="text1"/>
          <w:sz w:val="16"/>
          <w:szCs w:val="16"/>
        </w:rPr>
        <w:t xml:space="preserve"> </w:t>
      </w:r>
      <w:r w:rsidRPr="00E93F40">
        <w:rPr>
          <w:color w:val="000000" w:themeColor="text1"/>
          <w:sz w:val="16"/>
          <w:szCs w:val="16"/>
        </w:rPr>
        <w:t>077,5.</w:t>
      </w:r>
    </w:p>
    <w:p w14:paraId="70D6B918" w14:textId="7BF88FF1"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Текст поврежден.</w:t>
      </w:r>
    </w:p>
    <w:p w14:paraId="7887BF02" w14:textId="4E21B869"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сравнительные данные о работе промышленности в целом по ВСНХ, анализ поквартальной динамики выпуска продукции, подробное рассмотрение вышеперечисленных причин невыполнения плана.</w:t>
      </w:r>
    </w:p>
    <w:p w14:paraId="0AB7A225" w14:textId="3851CABA"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w:t>
      </w:r>
    </w:p>
    <w:p w14:paraId="41D42701" w14:textId="553B96DE"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vertAlign w:val="superscript"/>
        </w:rPr>
        <w:t>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Текст поврежден.</w:t>
      </w:r>
    </w:p>
    <w:p w14:paraId="02E928BC" w14:textId="272035FB"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vertAlign w:val="superscript"/>
        </w:rPr>
        <w:t>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данные о расхождении плана и портфеля заказов по отдельным заводам.</w:t>
      </w:r>
    </w:p>
    <w:p w14:paraId="45CC5FD5" w14:textId="4FAFE67B"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vertAlign w:val="superscript"/>
        </w:rPr>
        <w:t>7</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В тексте ошибочно указан 1931</w:t>
      </w:r>
      <w:r w:rsidR="007C1411" w:rsidRPr="00E93F40">
        <w:rPr>
          <w:color w:val="000000" w:themeColor="text1"/>
          <w:sz w:val="16"/>
          <w:szCs w:val="16"/>
        </w:rPr>
        <w:t xml:space="preserve"> </w:t>
      </w:r>
      <w:r w:rsidRPr="00E93F40">
        <w:rPr>
          <w:color w:val="000000" w:themeColor="text1"/>
          <w:sz w:val="16"/>
          <w:szCs w:val="16"/>
        </w:rPr>
        <w:t>г.</w:t>
      </w:r>
    </w:p>
    <w:p w14:paraId="4C853650" w14:textId="25DA9907"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vertAlign w:val="superscript"/>
        </w:rPr>
        <w:t>8</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 подраздел «Состояние опытных и конструкторских работ», содержащий перечни объектов по опытным и конструкторским работам.</w:t>
      </w:r>
    </w:p>
    <w:p w14:paraId="2D8173EE" w14:textId="7ACE375D" w:rsidR="00481984" w:rsidRPr="00E93F40" w:rsidRDefault="00481984" w:rsidP="00E93F40">
      <w:pPr>
        <w:pStyle w:val="rtejustify"/>
        <w:spacing w:before="0" w:after="0"/>
        <w:rPr>
          <w:color w:val="000000" w:themeColor="text1"/>
          <w:sz w:val="16"/>
          <w:szCs w:val="16"/>
        </w:rPr>
      </w:pPr>
      <w:r w:rsidRPr="00E93F40">
        <w:rPr>
          <w:color w:val="000000" w:themeColor="text1"/>
          <w:sz w:val="16"/>
          <w:szCs w:val="16"/>
          <w:vertAlign w:val="superscript"/>
        </w:rPr>
        <w:t>9</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подразделы «Сварка» и «Стандартизация»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д., а также разделы «Труд», «Себестоимость», «Выполнение плана капитальных работ в 1931</w:t>
      </w:r>
      <w:r w:rsidR="007C1411" w:rsidRPr="00E93F40">
        <w:rPr>
          <w:color w:val="000000" w:themeColor="text1"/>
          <w:sz w:val="16"/>
          <w:szCs w:val="16"/>
        </w:rPr>
        <w:t xml:space="preserve"> </w:t>
      </w:r>
      <w:r w:rsidRPr="00E93F40">
        <w:rPr>
          <w:color w:val="000000" w:themeColor="text1"/>
          <w:sz w:val="16"/>
          <w:szCs w:val="16"/>
        </w:rPr>
        <w:t>г. заводами ВОАО», «Выполнение плана по оборудованию», «Достижение мощностей», «Финансовое состояние».</w:t>
      </w:r>
    </w:p>
    <w:p w14:paraId="5A493545" w14:textId="1092F4AE" w:rsidR="00481984" w:rsidRPr="00E93F40" w:rsidRDefault="00481984" w:rsidP="00E93F40">
      <w:pPr>
        <w:pStyle w:val="ae"/>
        <w:spacing w:before="0" w:after="0"/>
        <w:jc w:val="both"/>
        <w:rPr>
          <w:color w:val="000000" w:themeColor="text1"/>
          <w:sz w:val="16"/>
          <w:szCs w:val="16"/>
        </w:rPr>
      </w:pPr>
      <w:r w:rsidRPr="00E93F40">
        <w:rPr>
          <w:color w:val="000000" w:themeColor="text1"/>
          <w:sz w:val="16"/>
          <w:szCs w:val="16"/>
        </w:rPr>
        <w:t>РГАЭ. Ф. 4372. Оп. 91. Д. 875. Л.</w:t>
      </w:r>
      <w:r w:rsidR="007C1411" w:rsidRPr="00E93F40">
        <w:rPr>
          <w:color w:val="000000" w:themeColor="text1"/>
          <w:sz w:val="16"/>
          <w:szCs w:val="16"/>
        </w:rPr>
        <w:t xml:space="preserve"> </w:t>
      </w:r>
      <w:r w:rsidRPr="00E93F40">
        <w:rPr>
          <w:color w:val="000000" w:themeColor="text1"/>
          <w:sz w:val="16"/>
          <w:szCs w:val="16"/>
        </w:rPr>
        <w:t>1-4</w:t>
      </w:r>
      <w:r w:rsidR="007C1411" w:rsidRPr="00E93F40">
        <w:rPr>
          <w:color w:val="000000" w:themeColor="text1"/>
          <w:sz w:val="16"/>
          <w:szCs w:val="16"/>
        </w:rPr>
        <w:t xml:space="preserve"> </w:t>
      </w:r>
      <w:r w:rsidRPr="00E93F40">
        <w:rPr>
          <w:color w:val="000000" w:themeColor="text1"/>
          <w:sz w:val="16"/>
          <w:szCs w:val="16"/>
        </w:rPr>
        <w:t>об., 7-11</w:t>
      </w:r>
      <w:r w:rsidR="007C1411" w:rsidRPr="00E93F40">
        <w:rPr>
          <w:color w:val="000000" w:themeColor="text1"/>
          <w:sz w:val="16"/>
          <w:szCs w:val="16"/>
        </w:rPr>
        <w:t xml:space="preserve"> </w:t>
      </w:r>
      <w:r w:rsidRPr="00E93F40">
        <w:rPr>
          <w:color w:val="000000" w:themeColor="text1"/>
          <w:sz w:val="16"/>
          <w:szCs w:val="16"/>
        </w:rPr>
        <w:t>об., 14</w:t>
      </w:r>
      <w:r w:rsidR="007C1411" w:rsidRPr="00E93F40">
        <w:rPr>
          <w:color w:val="000000" w:themeColor="text1"/>
          <w:sz w:val="16"/>
          <w:szCs w:val="16"/>
        </w:rPr>
        <w:t xml:space="preserve"> </w:t>
      </w:r>
      <w:r w:rsidRPr="00E93F40">
        <w:rPr>
          <w:color w:val="000000" w:themeColor="text1"/>
          <w:sz w:val="16"/>
          <w:szCs w:val="16"/>
        </w:rPr>
        <w:t>об.-18, 20</w:t>
      </w:r>
      <w:r w:rsidR="007C1411" w:rsidRPr="00E93F40">
        <w:rPr>
          <w:color w:val="000000" w:themeColor="text1"/>
          <w:sz w:val="16"/>
          <w:szCs w:val="16"/>
        </w:rPr>
        <w:t xml:space="preserve"> </w:t>
      </w:r>
      <w:r w:rsidRPr="00E93F40">
        <w:rPr>
          <w:color w:val="000000" w:themeColor="text1"/>
          <w:sz w:val="16"/>
          <w:szCs w:val="16"/>
        </w:rPr>
        <w:t>об.-23. Заверенная копия.</w:t>
      </w:r>
    </w:p>
    <w:p w14:paraId="458D80AB" w14:textId="4A03B2A2"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РГАЭ. Ф. 4372. Оп. 91. Д. 875. Л. 1-4 об., 7-11 об., 14 об.-18, 20 об.-23. Заверенная копия. </w:t>
      </w:r>
    </w:p>
    <w:p w14:paraId="608DE979" w14:textId="1D64949E" w:rsidR="00481984" w:rsidRPr="00E93F40" w:rsidRDefault="004819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640-654 (12555).</w:t>
      </w:r>
    </w:p>
    <w:p w14:paraId="3F42C07E" w14:textId="77777777" w:rsidR="00481984" w:rsidRPr="00E93F40" w:rsidRDefault="00481984" w:rsidP="00E93F40">
      <w:pPr>
        <w:spacing w:after="0" w:line="240" w:lineRule="auto"/>
        <w:jc w:val="both"/>
        <w:rPr>
          <w:rFonts w:ascii="Times New Roman" w:hAnsi="Times New Roman"/>
          <w:color w:val="000000" w:themeColor="text1"/>
          <w:sz w:val="16"/>
          <w:szCs w:val="16"/>
        </w:rPr>
      </w:pPr>
    </w:p>
    <w:p w14:paraId="7EDF6D1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C6860C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564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29 февраля 1932 в Финляндии правительство подавило восстание в Монтсале - вооруженный мятеж фашистов из движения лапуа и волнения продолжались до 3 марта (3907,172).</w:t>
      </w:r>
    </w:p>
    <w:p w14:paraId="27AF86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C12F4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53FFD8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ED0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февраля 1932 года Осконбюро ВВС был составлен план реализации объектов ТСП (технические средства пропаганды), причем бюро оговаривало обязательность своевременного получения предусмотренных сметой сумм и неизбежность невыполнения сроков плана в случае задержки в поступлении денег(7470, 331-334).</w:t>
      </w:r>
    </w:p>
    <w:p w14:paraId="4B09B9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15B5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февраля 1932 года поступило распоряжение от только что организовавшегося моторного треста о новом изменении задания для з-да № 19, а именно – снова М-22, причем мощность завода должна быть 6000 штук в год. В связи с этим возникла необходимость коренной перепроектировки завода. Дальнейшие работы по строительству приняли такое направление:</w:t>
      </w:r>
    </w:p>
    <w:p w14:paraId="0ED75E0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должно без задержек продолжаться в основном согласно проектных материалов С-47.</w:t>
      </w:r>
    </w:p>
    <w:p w14:paraId="773DE23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своим аппаратом должен развернуть подготовительные работы как в части разработки технологического процесса, используя материалы завода № 29, так и в части оборудования производственного и общезаводского, имея целью создать мощность первой очереди на 1 января 1933 года – 1000 моторов М-22.</w:t>
      </w:r>
    </w:p>
    <w:p w14:paraId="1C1D3FD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Перепроектировку завода на полную мощность – 6000 моторов поручено в марте вновь организованной при ГУАПе проектной организации Гипроавио ………..</w:t>
      </w:r>
    </w:p>
    <w:p w14:paraId="2927C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произведенным Гипроавио расчетам, производственные площади потребуют увеличения против С-47 в среднем 80-90%. Осуществление строительных работ по этому расширению завода переносится на 1933 год.</w:t>
      </w:r>
    </w:p>
    <w:p w14:paraId="75BB52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завода – Чубуков П.И. (9290).</w:t>
      </w:r>
    </w:p>
    <w:p w14:paraId="2E5BC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0C3EA2" w14:textId="164204EF" w:rsidR="00D1046D" w:rsidRPr="00E93F40" w:rsidRDefault="00D1046D" w:rsidP="00D1046D">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E93F40">
        <w:rPr>
          <w:rFonts w:ascii="Times New Roman" w:hAnsi="Times New Roman"/>
          <w:i/>
          <w:iCs/>
          <w:color w:val="000000" w:themeColor="text1"/>
          <w:sz w:val="16"/>
          <w:szCs w:val="16"/>
        </w:rPr>
        <w:t>:</w:t>
      </w:r>
    </w:p>
    <w:p w14:paraId="22CBB48E" w14:textId="77777777" w:rsidR="00D1046D" w:rsidRPr="00E93F40" w:rsidRDefault="00D1046D" w:rsidP="00D1046D">
      <w:pPr>
        <w:autoSpaceDE w:val="0"/>
        <w:autoSpaceDN w:val="0"/>
        <w:adjustRightInd w:val="0"/>
        <w:spacing w:after="0" w:line="240" w:lineRule="auto"/>
        <w:jc w:val="both"/>
        <w:rPr>
          <w:rFonts w:ascii="Times New Roman" w:hAnsi="Times New Roman"/>
          <w:iCs/>
          <w:color w:val="000000" w:themeColor="text1"/>
          <w:sz w:val="16"/>
          <w:szCs w:val="16"/>
        </w:rPr>
      </w:pPr>
    </w:p>
    <w:p w14:paraId="154D0BE3"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февраля 1932 г. завод «Большевик» посещает правительственная комиссия в составе тт. Калинина, Ворошилова, Халепского, Неймана и Кирова. Она детально знакомится с производством Т-26 и приходит к заключению о необходимости привлечения других ленинградских заводов к выпуску отечественных танков (25670)/</w:t>
      </w:r>
    </w:p>
    <w:p w14:paraId="47CDB8BD" w14:textId="77777777" w:rsidR="001510CB" w:rsidRPr="00142305" w:rsidRDefault="001510CB" w:rsidP="001510CB">
      <w:pPr>
        <w:spacing w:after="0" w:line="240" w:lineRule="auto"/>
        <w:jc w:val="both"/>
        <w:rPr>
          <w:rFonts w:ascii="Times New Roman" w:hAnsi="Times New Roman"/>
          <w:color w:val="0070C0"/>
          <w:sz w:val="16"/>
          <w:szCs w:val="16"/>
        </w:rPr>
      </w:pPr>
    </w:p>
    <w:p w14:paraId="3A350A1F"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февраля 1932 г. на государственные испытания был представлен трактор Миронова и Горякова АТТБ ОГПУ – забронированный Катерпиллер с отечественным двухтактным бескомпрессорным дизелем под маркой КПД («Катерпиллер подольский дизельный»), Наряду с КПД испытаниям подверглись «Sixty» («Катерпиллер-60») и ряд других тракторов.</w:t>
      </w:r>
    </w:p>
    <w:p w14:paraId="1FD20A7A"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были призваны выявить тип трактора, пригодный для возки артиллерийских систем и других военных грузов. Тракторы оценивались по простоте обслуживания, экономичности, прочности конструкции и ряду иных параметров, в частности, определялись «удобства обращения и легкости, как мастерского, так и особенно полевого ремонта – смена наиболее жизненных и страдающих частей».</w:t>
      </w:r>
    </w:p>
    <w:p w14:paraId="57E89B2C"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Комиссия осмотрела тракторы 24 февраля 1932 г. Затем они прошли обкатку, динамометрирование, а в период с 1 по 16 марта состоялись пробеги протяженностью до 300 км по шоссе и 50 км по грунтовым дорогам, снежной целине ближнего Подмосковья в районе деревни Черной и по Хорошевскому шоссе (сейчас это уже в черте города) (25589).</w:t>
      </w:r>
    </w:p>
    <w:p w14:paraId="1195D150" w14:textId="77777777" w:rsidR="001510CB" w:rsidRPr="00142305" w:rsidRDefault="001510CB" w:rsidP="001510CB">
      <w:pPr>
        <w:spacing w:after="0" w:line="240" w:lineRule="auto"/>
        <w:jc w:val="both"/>
        <w:rPr>
          <w:rFonts w:ascii="Times New Roman" w:hAnsi="Times New Roman"/>
          <w:color w:val="0070C0"/>
          <w:sz w:val="16"/>
          <w:szCs w:val="16"/>
        </w:rPr>
      </w:pPr>
    </w:p>
    <w:p w14:paraId="1CA600C0"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февраля 1932 г. трактор был представлен на государственные испытания под маркой КПД («Катерпиллер подольский дизельный»). Наряду с КПД испытаниям подверглись «Sixty» («Катерпиллер-60») и ряд других тракторов. Испытания были призваны выявить тип трактора, пригодный для возки артиллерийских систем и других военных грузов. Тракторы оценивались по простоте обслуживания, экономичности, прочности конструкции и ряду иных параметров, в частности, определялись «удобства обращения и легкости (23316).</w:t>
      </w:r>
    </w:p>
    <w:p w14:paraId="277793AD"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февраля 1932 г. Комиссия осмотрела тракторы. Затем они прошли обкатку, динамометрирование, а в период с 1 по 16 марта состоялись пробеги протяженностью до 300 км по шоссе и 50 км по грунтовым дорогам, снежной целине ближнего Подмосковья в районе деревни Черной и по Хорошевскому шоссе (сейчас это уже в черте города).</w:t>
      </w:r>
    </w:p>
    <w:p w14:paraId="31692A17"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Тракторы выводились на испытания с поездами в составе 203-мм гаубицы М-6, 152-мм мортиры с передком, 76-мм зенитной пушки, а также пары повозок П-26.</w:t>
      </w:r>
    </w:p>
    <w:p w14:paraId="2A8090D2"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21408150"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Двигаясь на большой скорости, трактор КПД скатился с дороги под откос</w:t>
      </w:r>
    </w:p>
    <w:p w14:paraId="42AD964E"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движении на малых скоростях все поезда двигались без затруднений. С ростом скорости буксировки до 8—10 км/ч наблюдалось виляние (занос) поезда. С повышением скорости до 16 км/ч виляние прицепов становилось очень сильным, «угрожая возможностью закатиться в канаву или задеть за встречный экипаж задней прицепкой». Во время очередного скоростного заезда трактор КПД съехал с дороги под откос, и его пришлось извлекать при помощи «Коммунара».</w:t>
      </w:r>
    </w:p>
    <w:p w14:paraId="186C09AD"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итогам испытаний военные констатировали: «Трактор Катерпиллер-60 прочен и прост, удобен в обращении. Исключительно надежно работает мотор в различных условиях, независимо от продолжительности беспрерывной работы».</w:t>
      </w:r>
    </w:p>
    <w:p w14:paraId="03BBF570"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числе недостатков трактора «Sixty» были отмечены: скорость не выше 5,9 км/ч, громоздкая крыша, наличие несменных и вызывавших сильную тряску при движении на максимальной скорости по твердому грунту шпор, а также дефект помпы.</w:t>
      </w:r>
    </w:p>
    <w:p w14:paraId="5CC37705"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 КПД имел те же недостатки гусеничного хода, что и у базовой модели, в связи с чем, военные отметили, что он может надежно работать в тех же условиях, что и «Sixty». Выхлоп отработанных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51B9D089" w14:textId="77777777" w:rsidR="00D1046D" w:rsidRPr="00E93F40" w:rsidRDefault="00D1046D" w:rsidP="00D1046D">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целом предъявленная конструкция подтвердила очевидные преимущества дизельных двигателей и принципиальную возможность создания относительно быстроходного трактора на основе «Sixty», но выявленные дефекты воспрепятствовали принятию КПД на вооружение. Опыт разработки и испытаний трактора КПД был учтен при создании новых конструкций машин (23316).</w:t>
      </w:r>
    </w:p>
    <w:p w14:paraId="6081E9D0" w14:textId="77777777" w:rsidR="00D1046D" w:rsidRPr="00E93F40" w:rsidRDefault="00D1046D" w:rsidP="00D1046D">
      <w:pPr>
        <w:spacing w:after="0" w:line="240" w:lineRule="auto"/>
        <w:jc w:val="both"/>
        <w:rPr>
          <w:rFonts w:ascii="Times New Roman" w:hAnsi="Times New Roman"/>
          <w:color w:val="000000" w:themeColor="text1"/>
          <w:sz w:val="16"/>
          <w:szCs w:val="16"/>
        </w:rPr>
      </w:pPr>
    </w:p>
    <w:p w14:paraId="46EDB998" w14:textId="7AB4F5D2" w:rsidR="001510CB" w:rsidRPr="00E93F40" w:rsidRDefault="001510CB" w:rsidP="001510CB">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E93F40">
        <w:rPr>
          <w:rFonts w:ascii="Times New Roman" w:hAnsi="Times New Roman"/>
          <w:i/>
          <w:iCs/>
          <w:color w:val="000000" w:themeColor="text1"/>
          <w:sz w:val="16"/>
          <w:szCs w:val="16"/>
        </w:rPr>
        <w:t>:</w:t>
      </w:r>
    </w:p>
    <w:p w14:paraId="28F5D456" w14:textId="77777777" w:rsidR="001510CB" w:rsidRPr="00E93F40" w:rsidRDefault="001510CB" w:rsidP="001510CB">
      <w:pPr>
        <w:autoSpaceDE w:val="0"/>
        <w:autoSpaceDN w:val="0"/>
        <w:adjustRightInd w:val="0"/>
        <w:spacing w:after="0" w:line="240" w:lineRule="auto"/>
        <w:jc w:val="both"/>
        <w:rPr>
          <w:rFonts w:ascii="Times New Roman" w:hAnsi="Times New Roman"/>
          <w:iCs/>
          <w:color w:val="000000" w:themeColor="text1"/>
          <w:sz w:val="16"/>
          <w:szCs w:val="16"/>
        </w:rPr>
      </w:pPr>
    </w:p>
    <w:p w14:paraId="6D43B339"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февраля 1932 г. заместитель председателя ОГПУ при СНК СССР В.А. Балицкий предоставил И.В. Сталину «Соображения, отно</w:t>
      </w:r>
      <w:r w:rsidRPr="00142305">
        <w:rPr>
          <w:rStyle w:val="aff"/>
          <w:rFonts w:ascii="Times New Roman" w:hAnsi="Times New Roman" w:cs="Times New Roman"/>
          <w:color w:val="0070C0"/>
          <w:spacing w:val="0"/>
          <w:sz w:val="16"/>
          <w:szCs w:val="16"/>
        </w:rPr>
        <w:softHyphen/>
        <w:t>сительно военных мероприятий империи, направленных против Советского Союза», составленным военным атташе при посольстве Японии в Москве под</w:t>
      </w:r>
      <w:r w:rsidRPr="00142305">
        <w:rPr>
          <w:rStyle w:val="aff"/>
          <w:rFonts w:ascii="Times New Roman" w:hAnsi="Times New Roman" w:cs="Times New Roman"/>
          <w:color w:val="0070C0"/>
          <w:spacing w:val="0"/>
          <w:sz w:val="16"/>
          <w:szCs w:val="16"/>
        </w:rPr>
        <w:softHyphen/>
        <w:t>полковником Касахара. Впоследствии с ними ознакомились К.Е. Ворошилов, В.М. Молотов, В.В. Куй</w:t>
      </w:r>
      <w:r w:rsidRPr="00142305">
        <w:rPr>
          <w:rStyle w:val="aff"/>
          <w:rFonts w:ascii="Times New Roman" w:hAnsi="Times New Roman" w:cs="Times New Roman"/>
          <w:color w:val="0070C0"/>
          <w:spacing w:val="0"/>
          <w:sz w:val="16"/>
          <w:szCs w:val="16"/>
        </w:rPr>
        <w:softHyphen/>
        <w:t>бышев. В них констатировалось, что экономическая мощь и военная промыш</w:t>
      </w:r>
      <w:r w:rsidRPr="00142305">
        <w:rPr>
          <w:rStyle w:val="aff"/>
          <w:rFonts w:ascii="Times New Roman" w:hAnsi="Times New Roman" w:cs="Times New Roman"/>
          <w:color w:val="0070C0"/>
          <w:spacing w:val="0"/>
          <w:sz w:val="16"/>
          <w:szCs w:val="16"/>
        </w:rPr>
        <w:softHyphen/>
        <w:t>ленность СССР «еще не достигли требуемой степени». Тем не менее, подчер</w:t>
      </w:r>
      <w:r w:rsidRPr="00142305">
        <w:rPr>
          <w:rStyle w:val="aff"/>
          <w:rFonts w:ascii="Times New Roman" w:hAnsi="Times New Roman" w:cs="Times New Roman"/>
          <w:color w:val="0070C0"/>
          <w:spacing w:val="0"/>
          <w:sz w:val="16"/>
          <w:szCs w:val="16"/>
        </w:rPr>
        <w:softHyphen/>
        <w:t>кивалось, что «усиление авиации в системе советских вооружений стоит на первом месте». Делался вывод, что «в настоящий момент нет необходимости ставить в порядке сугубой срочности задачу воздушной обороны против совет</w:t>
      </w:r>
      <w:r w:rsidRPr="00142305">
        <w:rPr>
          <w:rStyle w:val="aff"/>
          <w:rFonts w:ascii="Times New Roman" w:hAnsi="Times New Roman" w:cs="Times New Roman"/>
          <w:color w:val="0070C0"/>
          <w:spacing w:val="0"/>
          <w:sz w:val="16"/>
          <w:szCs w:val="16"/>
        </w:rPr>
        <w:softHyphen/>
        <w:t>ских самолетов, но в будущем нам нельзя будет игнорировать этот вопрос» (</w:t>
      </w:r>
      <w:r w:rsidRPr="001510CB">
        <w:rPr>
          <w:rStyle w:val="aff3"/>
          <w:rFonts w:ascii="Times New Roman" w:hAnsi="Times New Roman" w:cs="Times New Roman"/>
          <w:i w:val="0"/>
          <w:iCs w:val="0"/>
          <w:color w:val="0070C0"/>
          <w:sz w:val="16"/>
          <w:szCs w:val="16"/>
          <w:lang w:val="ru-RU"/>
        </w:rPr>
        <w:t>Лубянка. Сталин и ВЧК-ГПУ-ОГПУ-НКВД. Архив Сталина. Документы высших органов партийной и государственной власти. Январь 1922 - декабрь1936. М., 2003. С. 298-299, 305, 308.</w:t>
      </w:r>
      <w:r w:rsidRPr="00142305">
        <w:rPr>
          <w:rStyle w:val="aff"/>
          <w:rFonts w:ascii="Times New Roman" w:hAnsi="Times New Roman" w:cs="Times New Roman"/>
          <w:color w:val="0070C0"/>
          <w:spacing w:val="0"/>
          <w:sz w:val="16"/>
          <w:szCs w:val="16"/>
        </w:rPr>
        <w:t>) (25647).</w:t>
      </w:r>
    </w:p>
    <w:p w14:paraId="593F8279" w14:textId="77777777" w:rsidR="001510CB" w:rsidRPr="00142305" w:rsidRDefault="001510CB" w:rsidP="001510CB">
      <w:pPr>
        <w:spacing w:after="0" w:line="240" w:lineRule="auto"/>
        <w:jc w:val="both"/>
        <w:rPr>
          <w:rFonts w:ascii="Times New Roman" w:hAnsi="Times New Roman"/>
          <w:color w:val="0070C0"/>
          <w:sz w:val="16"/>
          <w:szCs w:val="16"/>
        </w:rPr>
      </w:pPr>
    </w:p>
    <w:p w14:paraId="1248C74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D11EE7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E275C59"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февраля 1932 г. для увеличения бомбовой на</w:t>
      </w:r>
      <w:r w:rsidRPr="00142305">
        <w:rPr>
          <w:rFonts w:ascii="Times New Roman" w:hAnsi="Times New Roman"/>
          <w:color w:val="0070C0"/>
          <w:sz w:val="16"/>
          <w:szCs w:val="16"/>
        </w:rPr>
        <w:softHyphen/>
        <w:t xml:space="preserve">грузки на части самолетов ТБ-1 смонтировали дополнительные наружные бомбодержатели Дер-9, а затем </w:t>
      </w:r>
      <w:bookmarkStart w:id="14" w:name="bookmark36"/>
      <w:r w:rsidRPr="00142305">
        <w:rPr>
          <w:rFonts w:ascii="Times New Roman" w:hAnsi="Times New Roman"/>
          <w:color w:val="0070C0"/>
          <w:sz w:val="16"/>
          <w:szCs w:val="16"/>
        </w:rPr>
        <w:t>мосты Дер-1З-6. Последние получили более трети машин. Пулеметы «Льюис» обр. 1924 г., которые монтировались на всех ранних сериях, постепенно заменили отечественными ДА-2. Радиус действия ТБ-l был сравнительно невелик, и для него разработали съемный бензобак, размешавшийся в бомбоотсеке. Затем запас горючего пополнили установкой дополнительных баков в крыле. Работали над химическим и реактивным (безоткатными пушками) вооружением бомбардировщика, но это так и осталось в рамках эксперимен</w:t>
      </w:r>
      <w:r w:rsidRPr="00142305">
        <w:rPr>
          <w:rFonts w:ascii="Times New Roman" w:hAnsi="Times New Roman"/>
          <w:color w:val="0070C0"/>
          <w:sz w:val="16"/>
          <w:szCs w:val="16"/>
        </w:rPr>
        <w:softHyphen/>
        <w:t>тов. Не был завершен и комплекс ТМС-36 - два беспилот</w:t>
      </w:r>
      <w:r w:rsidRPr="00142305">
        <w:rPr>
          <w:rFonts w:ascii="Times New Roman" w:hAnsi="Times New Roman"/>
          <w:color w:val="0070C0"/>
          <w:sz w:val="16"/>
          <w:szCs w:val="16"/>
        </w:rPr>
        <w:softHyphen/>
        <w:t>ных ТБ-l, управлявшихся по радио, операторами с самолета наведения. Такие летающие бомбы должны были поражать крупные и важные объекты, хорошо прикрытые средства</w:t>
      </w:r>
      <w:r w:rsidRPr="00142305">
        <w:rPr>
          <w:rFonts w:ascii="Times New Roman" w:hAnsi="Times New Roman"/>
          <w:color w:val="0070C0"/>
          <w:sz w:val="16"/>
          <w:szCs w:val="16"/>
        </w:rPr>
        <w:softHyphen/>
        <w:t>ми ПВО.</w:t>
      </w:r>
    </w:p>
    <w:p w14:paraId="770EC1A2"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ТБ-l стал первым самолетом, использованным в про</w:t>
      </w:r>
      <w:r w:rsidRPr="00142305">
        <w:rPr>
          <w:rFonts w:ascii="Times New Roman" w:hAnsi="Times New Roman"/>
          <w:color w:val="0070C0"/>
          <w:sz w:val="16"/>
          <w:szCs w:val="16"/>
        </w:rPr>
        <w:softHyphen/>
        <w:t>грамме «Звено»; по проекту В.С. Вахмистрова он стал «ле</w:t>
      </w:r>
      <w:r w:rsidRPr="00142305">
        <w:rPr>
          <w:rFonts w:ascii="Times New Roman" w:hAnsi="Times New Roman"/>
          <w:color w:val="0070C0"/>
          <w:sz w:val="16"/>
          <w:szCs w:val="16"/>
        </w:rPr>
        <w:softHyphen/>
        <w:t>тающим авианосцем». На его крыльях размещались два ис</w:t>
      </w:r>
      <w:r w:rsidRPr="00142305">
        <w:rPr>
          <w:rFonts w:ascii="Times New Roman" w:hAnsi="Times New Roman"/>
          <w:color w:val="0070C0"/>
          <w:sz w:val="16"/>
          <w:szCs w:val="16"/>
        </w:rPr>
        <w:softHyphen/>
        <w:t>требителя И-4, которые могли отделиться от носителя в воздухе (24977).</w:t>
      </w:r>
      <w:bookmarkEnd w:id="14"/>
    </w:p>
    <w:p w14:paraId="0C275512" w14:textId="77777777" w:rsidR="001510CB" w:rsidRPr="00142305" w:rsidRDefault="001510CB" w:rsidP="001510CB">
      <w:pPr>
        <w:spacing w:after="0" w:line="240" w:lineRule="auto"/>
        <w:jc w:val="both"/>
        <w:rPr>
          <w:rFonts w:ascii="Times New Roman" w:hAnsi="Times New Roman"/>
          <w:color w:val="0070C0"/>
          <w:sz w:val="16"/>
          <w:szCs w:val="16"/>
        </w:rPr>
      </w:pPr>
    </w:p>
    <w:p w14:paraId="5BF758B2"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1932 г. на ТБ-1 проверили конструкцию с четырьмя обычными Дер-13. Выбрали «золотую середину», ограничившись шестью балками, стоящими по три друг за другом и увязанны</w:t>
      </w:r>
      <w:r w:rsidRPr="00142305">
        <w:rPr>
          <w:rFonts w:ascii="Times New Roman" w:hAnsi="Times New Roman"/>
          <w:color w:val="0070C0"/>
          <w:sz w:val="16"/>
          <w:szCs w:val="16"/>
        </w:rPr>
        <w:softHyphen/>
        <w:t>ми в единый съемный мост.</w:t>
      </w:r>
    </w:p>
    <w:p w14:paraId="3B12979B"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Этот вариант УВВС одобрило. Промышленности за</w:t>
      </w:r>
      <w:r w:rsidRPr="00142305">
        <w:rPr>
          <w:rFonts w:ascii="Times New Roman" w:hAnsi="Times New Roman"/>
          <w:color w:val="0070C0"/>
          <w:sz w:val="16"/>
          <w:szCs w:val="16"/>
        </w:rPr>
        <w:softHyphen/>
        <w:t>казали партию мостов под обозначением Дер-13-6, они ставились на бомбардировщики на заводах при ремонте или непосредственно в воинских частях. К середине ав</w:t>
      </w:r>
      <w:r w:rsidRPr="00142305">
        <w:rPr>
          <w:rFonts w:ascii="Times New Roman" w:hAnsi="Times New Roman"/>
          <w:color w:val="0070C0"/>
          <w:sz w:val="16"/>
          <w:szCs w:val="16"/>
        </w:rPr>
        <w:softHyphen/>
        <w:t>густа 1932 г. успели модернизировать бомбовое воору</w:t>
      </w:r>
      <w:r w:rsidRPr="00142305">
        <w:rPr>
          <w:rFonts w:ascii="Times New Roman" w:hAnsi="Times New Roman"/>
          <w:color w:val="0070C0"/>
          <w:sz w:val="16"/>
          <w:szCs w:val="16"/>
        </w:rPr>
        <w:softHyphen/>
        <w:t>жение на 75 машинах (25004).</w:t>
      </w:r>
    </w:p>
    <w:p w14:paraId="534EE136" w14:textId="77777777" w:rsidR="001510CB" w:rsidRPr="00142305" w:rsidRDefault="001510CB" w:rsidP="001510CB">
      <w:pPr>
        <w:spacing w:after="0" w:line="240" w:lineRule="auto"/>
        <w:jc w:val="both"/>
        <w:rPr>
          <w:rFonts w:ascii="Times New Roman" w:hAnsi="Times New Roman"/>
          <w:color w:val="0070C0"/>
          <w:sz w:val="16"/>
          <w:szCs w:val="16"/>
        </w:rPr>
      </w:pPr>
    </w:p>
    <w:p w14:paraId="03F65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на АНТ-6 (ТБ-3) поставили М-17 (437,102).</w:t>
      </w:r>
    </w:p>
    <w:p w14:paraId="1DAF9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54ED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военные даже потребовали отдать в счет договора личный Р-5 начальника ГУАП. ВВС срочно требовались разведчики на замену старым Р-1 и для формирования новых авиачастей. Простой и дешевый Р-5 (закупочная цена вместе с мотором - 36400 руб.) позволял выполнить эти задачи даже в условиях ограниченности выделенных средств.</w:t>
      </w:r>
    </w:p>
    <w:p w14:paraId="1C1B2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Р-5 строили в вариантах легкого бомбардировщика, разведчика и учебного самолета. Разведчик имел полный комплект бомбового вооружения Бомбр-2, аналогичный Р-1 (шесть балок Дер-7 и две Дер-6), радиостанцию и фотоустановку. На бомбардировщике фото- и радиооборудование отсутствовало, а подфюзеляжные Дер-6 могли заменяться двумя Дер-13. Учебные машины часто отправлялись без вооружения, радиостанцию и фотоаппарат ставили крайне редко, взлетный вес у них был меньше, чем у разведчиков, почти на 200 кг</w:t>
      </w:r>
    </w:p>
    <w:p w14:paraId="57FFA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Р-5 появилось химическое вооружение. Выливные приборы ВАП-4 предназначались для "поражения живой силы противника и заражения местности с налаженным валовым производством". Самолет нес четыре ВАП-4 под нижним крылом, на ближних к фюзеляжу балках Дер-7. Альтернативно можно было подвесить два прибора ДАП-100 для постановки дымовых завес (11936).</w:t>
      </w:r>
    </w:p>
    <w:p w14:paraId="05AC4E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3BB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зашла речь о кругосветном перелете на Р-5. Совершить его собирались в июле того же года. При подборе экипажа неожиданно всплыла кандидатура некоего В. Александрова из Военно-воздушной академии. Наверно, он был чьим-то родственником, поскольку его послужной список отнюдь не свидетельствовал о мастерстве летчика. Во всяком случае, отзыв из академии говорит о том, что в последние восемь лет он практически не летат. Затея с перелетом как-то постепенно затухла сама собой. Через полгода о ней уже не вспоминали (12034).</w:t>
      </w:r>
    </w:p>
    <w:p w14:paraId="1515F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373B93"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1932 г. военные потребовали отдать в счет договора личный Р-5 начальника ГУАП. Объем производства быстро рос, но самолетостроители никак не могли угнаться за планом. За 1931 г. изготовили 336 самолетов (сдали 301) при плане 675.</w:t>
      </w:r>
    </w:p>
    <w:p w14:paraId="13F56D3E"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то время ВВС срочно требовались самолеты-разведчи</w:t>
      </w:r>
      <w:r w:rsidRPr="00142305">
        <w:rPr>
          <w:rFonts w:ascii="Times New Roman" w:hAnsi="Times New Roman"/>
          <w:color w:val="0070C0"/>
          <w:sz w:val="16"/>
          <w:szCs w:val="16"/>
        </w:rPr>
        <w:softHyphen/>
        <w:t>ки, причем в больших количествах - на замену старым Р-1 и для формирования новых авиачастей. Простой и срав</w:t>
      </w:r>
      <w:r w:rsidRPr="00142305">
        <w:rPr>
          <w:rFonts w:ascii="Times New Roman" w:hAnsi="Times New Roman"/>
          <w:color w:val="0070C0"/>
          <w:sz w:val="16"/>
          <w:szCs w:val="16"/>
        </w:rPr>
        <w:softHyphen/>
        <w:t>нительно дешевый Р-5 позволял выполнить эти задачи да</w:t>
      </w:r>
      <w:r w:rsidRPr="00142305">
        <w:rPr>
          <w:rFonts w:ascii="Times New Roman" w:hAnsi="Times New Roman"/>
          <w:color w:val="0070C0"/>
          <w:sz w:val="16"/>
          <w:szCs w:val="16"/>
        </w:rPr>
        <w:softHyphen/>
        <w:t>же в условиях ограниченности выделенных средств. Заку</w:t>
      </w:r>
      <w:r w:rsidRPr="00142305">
        <w:rPr>
          <w:rFonts w:ascii="Times New Roman" w:hAnsi="Times New Roman"/>
          <w:color w:val="0070C0"/>
          <w:sz w:val="16"/>
          <w:szCs w:val="16"/>
        </w:rPr>
        <w:softHyphen/>
        <w:t>почная цена деревянного разведчика Поликарпова тогда составляла 36 400 рублей (вместе с мотором) — примерно в шесть раз дешевле, чем у двухмоторного цельнометалли</w:t>
      </w:r>
      <w:r w:rsidRPr="00142305">
        <w:rPr>
          <w:rFonts w:ascii="Times New Roman" w:hAnsi="Times New Roman"/>
          <w:color w:val="0070C0"/>
          <w:sz w:val="16"/>
          <w:szCs w:val="16"/>
        </w:rPr>
        <w:softHyphen/>
        <w:t>ческого Р-6.</w:t>
      </w:r>
    </w:p>
    <w:p w14:paraId="496C9A25"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Основное внимание работников завода было обраще</w:t>
      </w:r>
      <w:r w:rsidRPr="00142305">
        <w:rPr>
          <w:rFonts w:ascii="Times New Roman" w:hAnsi="Times New Roman"/>
          <w:color w:val="0070C0"/>
          <w:sz w:val="16"/>
          <w:szCs w:val="16"/>
        </w:rPr>
        <w:softHyphen/>
        <w:t>но на ликвидацию дефектов, выявленных на ранних сери</w:t>
      </w:r>
      <w:r w:rsidRPr="00142305">
        <w:rPr>
          <w:rFonts w:ascii="Times New Roman" w:hAnsi="Times New Roman"/>
          <w:color w:val="0070C0"/>
          <w:sz w:val="16"/>
          <w:szCs w:val="16"/>
        </w:rPr>
        <w:softHyphen/>
        <w:t>ях Р-5. С неэффективностью радиаторов уже справились, но самолеты продолжали страдать самопроизвольной пе</w:t>
      </w:r>
      <w:r w:rsidRPr="00142305">
        <w:rPr>
          <w:rFonts w:ascii="Times New Roman" w:hAnsi="Times New Roman"/>
          <w:color w:val="0070C0"/>
          <w:sz w:val="16"/>
          <w:szCs w:val="16"/>
        </w:rPr>
        <w:softHyphen/>
        <w:t>рекачкой бензина из нижних баков в верхние, невзаимозаменяемостью основных узлов. Ненадежно работали за</w:t>
      </w:r>
      <w:r w:rsidRPr="00142305">
        <w:rPr>
          <w:rFonts w:ascii="Times New Roman" w:hAnsi="Times New Roman"/>
          <w:color w:val="0070C0"/>
          <w:sz w:val="16"/>
          <w:szCs w:val="16"/>
        </w:rPr>
        <w:softHyphen/>
        <w:t>мки бомбодержателей Дер-13. рвались тросы ограничите</w:t>
      </w:r>
      <w:r w:rsidRPr="00142305">
        <w:rPr>
          <w:rFonts w:ascii="Times New Roman" w:hAnsi="Times New Roman"/>
          <w:color w:val="0070C0"/>
          <w:sz w:val="16"/>
          <w:szCs w:val="16"/>
        </w:rPr>
        <w:softHyphen/>
        <w:t>лей хода радиаторов, лопались крепления капота, при за</w:t>
      </w:r>
      <w:r w:rsidRPr="00142305">
        <w:rPr>
          <w:rFonts w:ascii="Times New Roman" w:hAnsi="Times New Roman"/>
          <w:color w:val="0070C0"/>
          <w:sz w:val="16"/>
          <w:szCs w:val="16"/>
        </w:rPr>
        <w:softHyphen/>
        <w:t>пуске моторов ломались храповики на коках винтов. Име</w:t>
      </w:r>
      <w:r w:rsidRPr="00142305">
        <w:rPr>
          <w:rFonts w:ascii="Times New Roman" w:hAnsi="Times New Roman"/>
          <w:color w:val="0070C0"/>
          <w:sz w:val="16"/>
          <w:szCs w:val="16"/>
        </w:rPr>
        <w:softHyphen/>
        <w:t>ли также место неприятности с лыжным шасси.</w:t>
      </w:r>
    </w:p>
    <w:p w14:paraId="6662673D"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Устранение всего этого планировали на 1932 г. Этало</w:t>
      </w:r>
      <w:r w:rsidRPr="00142305">
        <w:rPr>
          <w:rFonts w:ascii="Times New Roman" w:hAnsi="Times New Roman"/>
          <w:color w:val="0070C0"/>
          <w:sz w:val="16"/>
          <w:szCs w:val="16"/>
        </w:rPr>
        <w:softHyphen/>
        <w:t>ном на тот год стал самолет № 4629. На нем предусмотрели замену четырех (из шести) подкрыльных бомбодержа</w:t>
      </w:r>
      <w:r w:rsidRPr="00142305">
        <w:rPr>
          <w:rFonts w:ascii="Times New Roman" w:hAnsi="Times New Roman"/>
          <w:color w:val="0070C0"/>
          <w:sz w:val="16"/>
          <w:szCs w:val="16"/>
        </w:rPr>
        <w:softHyphen/>
        <w:t>телей Дер-7 на пару Дер-13. Дело в том, что при установ</w:t>
      </w:r>
      <w:r w:rsidRPr="00142305">
        <w:rPr>
          <w:rFonts w:ascii="Times New Roman" w:hAnsi="Times New Roman"/>
          <w:color w:val="0070C0"/>
          <w:sz w:val="16"/>
          <w:szCs w:val="16"/>
        </w:rPr>
        <w:softHyphen/>
        <w:t>ленных под фюзеляжем балках Дер-13 внутренней кассе</w:t>
      </w:r>
      <w:r w:rsidRPr="00142305">
        <w:rPr>
          <w:rFonts w:ascii="Times New Roman" w:hAnsi="Times New Roman"/>
          <w:color w:val="0070C0"/>
          <w:sz w:val="16"/>
          <w:szCs w:val="16"/>
        </w:rPr>
        <w:softHyphen/>
        <w:t>той пользоваться было нельзя. Если необходимо было за</w:t>
      </w:r>
      <w:r w:rsidRPr="00142305">
        <w:rPr>
          <w:rFonts w:ascii="Times New Roman" w:hAnsi="Times New Roman"/>
          <w:color w:val="0070C0"/>
          <w:sz w:val="16"/>
          <w:szCs w:val="16"/>
        </w:rPr>
        <w:softHyphen/>
        <w:t>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w:t>
      </w:r>
      <w:r w:rsidRPr="00142305">
        <w:rPr>
          <w:rFonts w:ascii="Times New Roman" w:hAnsi="Times New Roman"/>
          <w:color w:val="0070C0"/>
          <w:sz w:val="16"/>
          <w:szCs w:val="16"/>
        </w:rPr>
        <w:softHyphen/>
        <w:t>жен был повысить гибкость боевого использования бом</w:t>
      </w:r>
      <w:r w:rsidRPr="00142305">
        <w:rPr>
          <w:rFonts w:ascii="Times New Roman" w:hAnsi="Times New Roman"/>
          <w:color w:val="0070C0"/>
          <w:sz w:val="16"/>
          <w:szCs w:val="16"/>
        </w:rPr>
        <w:softHyphen/>
        <w:t>бардировщика. Варианты загрузки теперь можно было ме</w:t>
      </w:r>
      <w:r w:rsidRPr="00142305">
        <w:rPr>
          <w:rFonts w:ascii="Times New Roman" w:hAnsi="Times New Roman"/>
          <w:color w:val="0070C0"/>
          <w:sz w:val="16"/>
          <w:szCs w:val="16"/>
        </w:rPr>
        <w:softHyphen/>
        <w:t>нять без монтажа или демонтажа держателей.</w:t>
      </w:r>
    </w:p>
    <w:p w14:paraId="681F7B48"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 (24990).</w:t>
      </w:r>
    </w:p>
    <w:p w14:paraId="1AC9571E" w14:textId="77777777" w:rsidR="001510CB" w:rsidRPr="00142305" w:rsidRDefault="001510CB" w:rsidP="001510CB">
      <w:pPr>
        <w:spacing w:after="0" w:line="240" w:lineRule="auto"/>
        <w:jc w:val="both"/>
        <w:rPr>
          <w:rFonts w:ascii="Times New Roman" w:hAnsi="Times New Roman"/>
          <w:color w:val="0070C0"/>
          <w:sz w:val="16"/>
          <w:szCs w:val="16"/>
        </w:rPr>
      </w:pPr>
    </w:p>
    <w:p w14:paraId="391FEB32"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1932 г. инженеры завода № 23 под руководством главного конструктора Н. Г. Михельсона разработали эскизный проект самолета легкого - разведчика и для сопровождения конницы и пехоты на марше. Большую роль в разработке конструкции сыграл А. С. Москалев. В задней кабине этого варианта У-2, получившего обозначение ВС («вооруженный самолет»), предполагалось установить турель с пулеметом ДА и фотоаппарат. Двойное управление сохранялось. Цилиндры двигателя закрывало кольцо Тауненда. Для повышения дальности полета устанавливался бак в центроплане на 40 кг бензина от АП. Расчетная максимальная скорость полета составляла 140 км/ч.</w:t>
      </w:r>
    </w:p>
    <w:p w14:paraId="188EBA14"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летом 1932 г. планы руководства ВВС в отношении использования У-2 изменились. Теперь «вооруженный» вариант У-2 было решено применять в качестве переходного самолета для первоначального ознакомления курсантов с основами бомбометания и стрельбы в воздухе. Используемые ранее для этой цели в училищах разведчики Р-1 были изношены и в начале 30-х гг. уже списывались. О действительном боевом применении машины всерьез тогда никто не думал (25035).</w:t>
      </w:r>
    </w:p>
    <w:p w14:paraId="36854DBC" w14:textId="77777777" w:rsidR="001510CB" w:rsidRPr="00142305" w:rsidRDefault="001510CB" w:rsidP="001510CB">
      <w:pPr>
        <w:spacing w:after="0" w:line="240" w:lineRule="auto"/>
        <w:jc w:val="both"/>
        <w:rPr>
          <w:rFonts w:ascii="Times New Roman" w:hAnsi="Times New Roman"/>
          <w:color w:val="0070C0"/>
          <w:sz w:val="16"/>
          <w:szCs w:val="16"/>
        </w:rPr>
      </w:pPr>
    </w:p>
    <w:p w14:paraId="3564E002" w14:textId="77777777" w:rsidR="00066767" w:rsidRPr="00142305" w:rsidRDefault="00066767" w:rsidP="000667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1932 г. зашла речь о кругосветном перелете на Р-5. Совершить его собирались в июле того же года. При подборе экипажа неожиданно всплыла кандидатура неко</w:t>
      </w:r>
      <w:r w:rsidRPr="00142305">
        <w:rPr>
          <w:rFonts w:ascii="Times New Roman" w:hAnsi="Times New Roman"/>
          <w:color w:val="0070C0"/>
          <w:sz w:val="16"/>
          <w:szCs w:val="16"/>
        </w:rPr>
        <w:softHyphen/>
        <w:t>его В. Александрова из Военно-воздушной академии. На</w:t>
      </w:r>
      <w:r w:rsidRPr="00142305">
        <w:rPr>
          <w:rFonts w:ascii="Times New Roman" w:hAnsi="Times New Roman"/>
          <w:color w:val="0070C0"/>
          <w:sz w:val="16"/>
          <w:szCs w:val="16"/>
        </w:rPr>
        <w:softHyphen/>
        <w:t>верно. он был чьим-то родственником, поскольку его пос</w:t>
      </w:r>
      <w:r w:rsidRPr="00142305">
        <w:rPr>
          <w:rFonts w:ascii="Times New Roman" w:hAnsi="Times New Roman"/>
          <w:color w:val="0070C0"/>
          <w:sz w:val="16"/>
          <w:szCs w:val="16"/>
        </w:rPr>
        <w:softHyphen/>
        <w:t>лужной список отнюдь не свидетельствовал о мастерстве летчика. Во всяком случае, отзыв из академии говорит о том, что в последние восемь лет он практически не летал. Затея с перелетом как-то постепенно затухла сама собой. Через полгода о ней уже не вспоминали (24990).</w:t>
      </w:r>
    </w:p>
    <w:p w14:paraId="79F28A4F" w14:textId="77777777" w:rsidR="00066767" w:rsidRPr="00142305" w:rsidRDefault="00066767" w:rsidP="00066767">
      <w:pPr>
        <w:spacing w:after="0" w:line="240" w:lineRule="auto"/>
        <w:jc w:val="both"/>
        <w:rPr>
          <w:rFonts w:ascii="Times New Roman" w:hAnsi="Times New Roman"/>
          <w:color w:val="0070C0"/>
          <w:sz w:val="16"/>
          <w:szCs w:val="16"/>
        </w:rPr>
      </w:pPr>
    </w:p>
    <w:p w14:paraId="7F146165" w14:textId="77777777" w:rsidR="001510CB" w:rsidRPr="00142305" w:rsidRDefault="001510CB" w:rsidP="001510C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феврале 1932 г. И-12 после ремонта вновь оказался на аэродроме. После опробования машины в воздухе 8 февраля летчик испытатель Иван Фролович Козлов перегнал И-12 на аэродром в Монино, где были продолжены наземные огневые испытания (25213).</w:t>
      </w:r>
    </w:p>
    <w:p w14:paraId="4BE96464" w14:textId="77777777" w:rsidR="001510CB" w:rsidRPr="00142305" w:rsidRDefault="001510CB" w:rsidP="001510CB">
      <w:pPr>
        <w:spacing w:after="0" w:line="240" w:lineRule="auto"/>
        <w:jc w:val="both"/>
        <w:rPr>
          <w:rFonts w:ascii="Times New Roman" w:hAnsi="Times New Roman"/>
          <w:color w:val="0070C0"/>
          <w:sz w:val="16"/>
          <w:szCs w:val="16"/>
        </w:rPr>
      </w:pPr>
    </w:p>
    <w:p w14:paraId="05F9D7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началась разработка проекта АИР-7 (212,14). Ви был К.Синельщиков (1771,5).</w:t>
      </w:r>
    </w:p>
    <w:p w14:paraId="5CDAE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1E61FC"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1932-го с помощью нескольких молодых инженеров и техников А.С.Я. начал разработку АИР-7. В проектировании участвовали: фюзеляж — В. Шелепчиков, крыло — В. Алексеев, шасси — А. Брунов, управление — К. Синельщиков, он же был и ведущим инженером. Расчеты на прочность выполняли С. Макаров и Я. Суздальцев.</w:t>
      </w:r>
    </w:p>
    <w:p w14:paraId="66A1E327"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резко отличался от наиболее быстроходных в то время советских самолетов-бипланов. С целью уменьшить сопротивление предлагался моноплан с обтекаемым фюзеляжем, крылом тонкого (8%) профиля. Удельная нагрузка на крыло больше, чем у И-5 — 72 кг/м² против 63. Кабины пилота и пассажира закрыты общим фонарем, на цилиндрах двигателя — кольцо Тауненда, стойки шасси — в обтекателях. Более совершенный способ снижения сопротивления звездообразного двигателя — «капот НАСА» — хотя и был известен, но в то время у нас еще не применялся. А кольцевой обтекатель, разработанный в Англии инженером Таунендом, уже ставили на самолеты, например, на АИР-6.</w:t>
      </w:r>
    </w:p>
    <w:p w14:paraId="6B942A81"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проектирование и постройку АИР-7 Осоавиахим ассигновал необходимые, хотя и сравнительно небольшие средства. Самолет обошелся, в три-четыре раза дешевле, чем это стоило бы в «нормальном» КБ.</w:t>
      </w:r>
    </w:p>
    <w:p w14:paraId="2E2F80D0"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Разработка проекта началась </w:t>
      </w:r>
    </w:p>
    <w:p w14:paraId="6F6D7F68"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предполагаемую большую скорость, приняли меры предосторожности. Расчет прочности производился для группы пилотажных учебных самолетов. Фактически запас прочности оказался даже выше расчетного. При статических испытаниях крыло сломалось при перегрузке 9,5. Как мы увидим дальше, такая предосторожность была оправдана.</w:t>
      </w:r>
    </w:p>
    <w:p w14:paraId="56BD9C6F"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Заранее имелись результаты испытаний моторамы и хвостового оперения, взятых с И-5, так же, как колеса и ножное управление. Неиспытанными остались лишь фюзеляж, представляющий простую систему, поддающуюся точному расчету, и шасси.</w:t>
      </w:r>
    </w:p>
    <w:p w14:paraId="43273EA4"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и постройка АИР-7 продолжались около семи месяцев. Строили машину в одном из уголков сборочного цеха, и отсюда в августе 1932-го самолет выкатили на летное поле Центрального аэродрома. Потом занимались доделками, опробовали мотор (15547).</w:t>
      </w:r>
    </w:p>
    <w:p w14:paraId="539AFE22" w14:textId="77777777" w:rsidR="001B58DB" w:rsidRPr="00E93F40" w:rsidRDefault="001B58DB" w:rsidP="00E93F40">
      <w:pPr>
        <w:spacing w:after="0" w:line="240" w:lineRule="auto"/>
        <w:jc w:val="both"/>
        <w:rPr>
          <w:rFonts w:ascii="Times New Roman" w:hAnsi="Times New Roman"/>
          <w:color w:val="000000" w:themeColor="text1"/>
          <w:sz w:val="16"/>
          <w:szCs w:val="16"/>
        </w:rPr>
      </w:pPr>
    </w:p>
    <w:p w14:paraId="7C142F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после того, как КБ А.Н.Т. получило документацию на МДР-3 И.В.Четверикова с 39 завода началась работа над АНТ-27 - МДР-4 (2072,75).</w:t>
      </w:r>
    </w:p>
    <w:p w14:paraId="2D5DD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3161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ЦАГИ получил задание на МИ-3 2М-34Н (2287,128).</w:t>
      </w:r>
    </w:p>
    <w:p w14:paraId="187D6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6B42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февраля 1932 по август 1934 шла постройка АНТ-22 МК (1076,890). По другим данным началась 1 декабря 1932</w:t>
      </w:r>
    </w:p>
    <w:p w14:paraId="36EA2A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783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завод № 21 официально вступил в строй. Почти половину доставленного из Москвы задела узлов для И-5 объявили бракованной и списали. Первый истребитель в Нижнем собрали в конце июля, и почти месяц его потом доделывали и переделывали, устраняя дефекты. В воздух машину подняли 23 августа. Через неделю при отстреле пулемётов произошла деформация моторамы и истребитель угодил в ремонт. Этот первый И-5 сначала носил № 1501, заменённый затем на № 2101. Позже самолёты из Нижнего получали пятизначные заводские номера, обязательно начинавшиеся с цифр "21". За весь 1932 г. завод № 21 выпустил всего 10 самолётов, из которых военную приёмку прошли три (11997).</w:t>
      </w:r>
    </w:p>
    <w:p w14:paraId="2F687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731E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инженеры завода № 23 под руководством главного конструктора Н.Г.Михельсона создали эскизный проект войсковой версии У-2. Большую роль в разработке конструкции сыграл А.С.Москалев. В задней кабине этого варианта У-2, получившего обозначение ВС («вооруженный самолет»), предполагалось устано</w:t>
      </w:r>
      <w:r w:rsidRPr="00E93F40">
        <w:rPr>
          <w:rFonts w:ascii="Times New Roman" w:hAnsi="Times New Roman"/>
          <w:color w:val="000000" w:themeColor="text1"/>
          <w:sz w:val="16"/>
          <w:szCs w:val="16"/>
        </w:rPr>
        <w:softHyphen/>
        <w:t>вить турель с пулеметом ДА и фотоаппарат. Двойное управление сохранялось. Цилиндры двигателя закрыва</w:t>
      </w:r>
      <w:r w:rsidRPr="00E93F40">
        <w:rPr>
          <w:rFonts w:ascii="Times New Roman" w:hAnsi="Times New Roman"/>
          <w:color w:val="000000" w:themeColor="text1"/>
          <w:sz w:val="16"/>
          <w:szCs w:val="16"/>
        </w:rPr>
        <w:softHyphen/>
        <w:t>ло кольцо Тауненда. Для повышения дальности полета устанавливался бак в центроплане на 40 кг бензина от АП. Расчетная максимальная скорость полета равнялась 140 км/ч (10667).</w:t>
      </w:r>
    </w:p>
    <w:p w14:paraId="1958B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86A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были первый раз предъявлены тактико-технические требования к самолету К-7 К.А.К. Ввиду ряда изменений в конструкции вторичные тактико-технические требования с некоторыми изменениями были даны в декабре 1932 года (3903).</w:t>
      </w:r>
    </w:p>
    <w:p w14:paraId="1B6CB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47C7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в ХАИ под руководством И.Г.Н. бригадами студентов были разработаны проекты пассажирского моноплана с подкосным крылом (бригада В.Еременко) и свободнонесущего моноплана. Приняли второй (бригада Л.Арсона) (1040,56).</w:t>
      </w:r>
    </w:p>
    <w:p w14:paraId="40AB6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A92242" w14:textId="77777777" w:rsidR="00731874" w:rsidRPr="00E93F40" w:rsidRDefault="007318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был готов проект ХАИ-1. После одобрения его комиссией под руководством академика Георгия Фёдоровича Проскуры на заводе №135 началось строительство самолёта. Следует отметить, в начале разработки многие не верили, что студентам под силу создать столь передовую конструкцию. Поэтому одновременно разрабатывался ХАИ-2 с неубираемым шасси (24249).</w:t>
      </w:r>
    </w:p>
    <w:p w14:paraId="0793FCB2" w14:textId="77777777" w:rsidR="00731874" w:rsidRPr="00E93F40" w:rsidRDefault="00731874" w:rsidP="00E93F40">
      <w:pPr>
        <w:spacing w:after="0" w:line="240" w:lineRule="auto"/>
        <w:jc w:val="both"/>
        <w:rPr>
          <w:rFonts w:ascii="Times New Roman" w:hAnsi="Times New Roman"/>
          <w:color w:val="000000" w:themeColor="text1"/>
          <w:sz w:val="16"/>
          <w:szCs w:val="16"/>
        </w:rPr>
      </w:pPr>
    </w:p>
    <w:p w14:paraId="0A4355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К-5М-22 выполнил первый полет. К концу 1932 года производство К-5 с двигателем М-15 было окончательно свернуто, и полным ходом шел серийный выпуск К-5М-22. Всего с 1930 по 1934 год ХАЗ выпустил 288 самолетов К-5 различных модификаций. До 1941 года они являлись основой пассажирской авиации СССР (10674).</w:t>
      </w:r>
    </w:p>
    <w:p w14:paraId="543B0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125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ХАЗ заложил два К-5 особого назначения - N285, 276.</w:t>
      </w:r>
    </w:p>
    <w:p w14:paraId="16965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59AB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заложили еще два самолета К-5 спец. назначения под номерами 285 и 276 (70,175).</w:t>
      </w:r>
    </w:p>
    <w:p w14:paraId="2B1AA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31C840"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туполевцы получили документацию по МДР—3 и приступили к работе. Ведущим инженером назначили И.И. Погосского. Практически проекти</w:t>
      </w:r>
      <w:r w:rsidRPr="00E93F40">
        <w:rPr>
          <w:rFonts w:ascii="Times New Roman" w:hAnsi="Times New Roman"/>
          <w:color w:val="000000" w:themeColor="text1"/>
          <w:sz w:val="16"/>
          <w:szCs w:val="16"/>
        </w:rPr>
        <w:softHyphen/>
        <w:t>рование машины пришлось вести заново, поскольку за основу приняли проект 1929 г., учтя при этом достижения авиастроения последних лет. Так появилась схема трех</w:t>
      </w:r>
      <w:r w:rsidRPr="00E93F40">
        <w:rPr>
          <w:rFonts w:ascii="Times New Roman" w:hAnsi="Times New Roman"/>
          <w:color w:val="000000" w:themeColor="text1"/>
          <w:sz w:val="16"/>
          <w:szCs w:val="16"/>
        </w:rPr>
        <w:softHyphen/>
        <w:t>двигательного высокоплана со свободно- несущим крылом. От МДР—3 удалось использовать лишь носовую и среднюю части лодки. Новый самолет получил «фирменное» обозначение АНТ—27.</w:t>
      </w:r>
    </w:p>
    <w:p w14:paraId="38DC22C1"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7 марта 1934 г. его построили, а 10 марта отправили в Севастополь на за</w:t>
      </w:r>
      <w:r w:rsidRPr="00E93F40">
        <w:rPr>
          <w:rFonts w:ascii="Times New Roman" w:hAnsi="Times New Roman"/>
          <w:color w:val="000000" w:themeColor="text1"/>
          <w:sz w:val="16"/>
          <w:szCs w:val="16"/>
        </w:rPr>
        <w:softHyphen/>
        <w:t>водские испытания (23474).</w:t>
      </w:r>
    </w:p>
    <w:p w14:paraId="702E2857"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12FEF5D3"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провели повторные испытания АПК—4 калибра 76 мм на АНТ-23 на земле, выпустив 26 снарядов. Они выявили необходи</w:t>
      </w:r>
      <w:r w:rsidRPr="00E93F40">
        <w:rPr>
          <w:rFonts w:ascii="Times New Roman" w:hAnsi="Times New Roman"/>
          <w:color w:val="000000" w:themeColor="text1"/>
          <w:sz w:val="16"/>
          <w:szCs w:val="16"/>
        </w:rPr>
        <w:softHyphen/>
        <w:t>мость переделки хвостового оперения, требовалась и регулировка механизма ле</w:t>
      </w:r>
      <w:r w:rsidRPr="00E93F40">
        <w:rPr>
          <w:rFonts w:ascii="Times New Roman" w:hAnsi="Times New Roman"/>
          <w:color w:val="000000" w:themeColor="text1"/>
          <w:sz w:val="16"/>
          <w:szCs w:val="16"/>
        </w:rPr>
        <w:softHyphen/>
        <w:t>вой пушки.</w:t>
      </w:r>
    </w:p>
    <w:p w14:paraId="5A2967A8"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доработок, 21 марта 1932 г., И—12 поднялся в воздух для проведения боевых стрельб. Каждую пушку зарядили двумя снарядами массой по 0,56 кг. На заводские испытания, высоте 1000 м И.Ф. Козлов выстрелил из левой пушки. В последующие минуты ему пришлось применить все свое мастерство, чтобы посадить поврежденную машину. При осмотре обнаружили, что разорвало диффузор, сорваны обтекатели, оборва</w:t>
      </w:r>
      <w:r w:rsidRPr="00E93F40">
        <w:rPr>
          <w:rFonts w:ascii="Times New Roman" w:hAnsi="Times New Roman"/>
          <w:color w:val="000000" w:themeColor="text1"/>
          <w:sz w:val="16"/>
          <w:szCs w:val="16"/>
        </w:rPr>
        <w:softHyphen/>
        <w:t>лись тросы управления стабилизатором. За спасение опытного самолета летчика наградили орденом Красной Звезды.</w:t>
      </w:r>
    </w:p>
    <w:p w14:paraId="017A873B"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отремонтировали, и испы</w:t>
      </w:r>
      <w:r w:rsidRPr="00E93F40">
        <w:rPr>
          <w:rFonts w:ascii="Times New Roman" w:hAnsi="Times New Roman"/>
          <w:color w:val="000000" w:themeColor="text1"/>
          <w:sz w:val="16"/>
          <w:szCs w:val="16"/>
        </w:rPr>
        <w:softHyphen/>
        <w:t>тания продолжились до 28 сентября 1932 г. Затем И—12 разобрали и перевез</w:t>
      </w:r>
      <w:r w:rsidRPr="00E93F40">
        <w:rPr>
          <w:rFonts w:ascii="Times New Roman" w:hAnsi="Times New Roman"/>
          <w:color w:val="000000" w:themeColor="text1"/>
          <w:sz w:val="16"/>
          <w:szCs w:val="16"/>
        </w:rPr>
        <w:softHyphen/>
        <w:t>ли на завод для укрепления стыков в тру</w:t>
      </w:r>
      <w:r w:rsidRPr="00E93F40">
        <w:rPr>
          <w:rFonts w:ascii="Times New Roman" w:hAnsi="Times New Roman"/>
          <w:color w:val="000000" w:themeColor="text1"/>
          <w:sz w:val="16"/>
          <w:szCs w:val="16"/>
        </w:rPr>
        <w:softHyphen/>
        <w:t>бах-балках и доводки АПК. Больше на испытания самолет не передавался.</w:t>
      </w:r>
    </w:p>
    <w:p w14:paraId="54A284D3"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свою «жизнь» АНТ—23 совершил 21 полет, пробыв в воздухе почти 9 часов. Испытания самолета затянулись, а в июне 1934 года работы по этой необычной машине прекратили (23474).</w:t>
      </w:r>
    </w:p>
    <w:p w14:paraId="79CE7ACD"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382A2C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закончились испытания нового комплекта лыж для КР-1 28 завода, которые начались в январе 1932. В Ораниенбауме Пацынко выполнил 3, а затем еще 14 полетов (1083,7).</w:t>
      </w:r>
    </w:p>
    <w:p w14:paraId="45046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DFC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или марте 1932 года имело место постановление РВС о заказе объектов Гроховского для войсковых испытаний, не дожидаясь результатов предварительных испытаний (3854).</w:t>
      </w:r>
    </w:p>
    <w:p w14:paraId="274FBB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944DAA"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на заводе № 21 была пущена первая очередь предприятия: заработали деревообрабатывающий, инструментальный, медно-дюралевый, слесарный цеха и сушилка авиационной древесины. Завершалось строительство сборочного цеха. На работу наняли более 3 тыс. человек. Первым производственным заданием заводу стал истребитель И-5. По плану в 1932 г. в Нижнем Новгороде должны были построить 276 этих самолетов по образцу, доставленному с завода № 1. Сдали же всего 10. Причина невыполнения задания заключалась, главным образом, в кадрах — значительную часть новоиспеченных самолетостроителей составляли чернорабочие, трудившиеся прежде на строительстве завода. Люди не умели обращаться со станками, часто допускали брак. Но затем у рабочих появился опыт, из Москвы приехали инженеры, был образован чертежно-конструкторский отдел, отладили технологический процесс. В 1933 г. завод сдал ВВС 321 И-5, а в 1934 г. — 330 (23472).</w:t>
      </w:r>
    </w:p>
    <w:p w14:paraId="1174609B"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38CEF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была закончена переделка чертежей М-34 750 нр для передачи в серийное производство (2281,67).</w:t>
      </w:r>
    </w:p>
    <w:p w14:paraId="76472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B9E5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был построен первый нагнетатель для М-34Н (2281,66).</w:t>
      </w:r>
    </w:p>
    <w:p w14:paraId="73A04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A34A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на ГАЗ-9 изготовили опытный образец М-51 и с марта начали его обкатку, а затем ис</w:t>
      </w:r>
      <w:r w:rsidRPr="00E93F40">
        <w:rPr>
          <w:rFonts w:ascii="Times New Roman" w:hAnsi="Times New Roman"/>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7E682A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CC9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инженер ВВС Попов по заданию зам. наркомвоенмора Тухачевского приступил к постройке модели воздушного гребного колеса, предложенного инженером Максимовым А.П. В течение 3-х месяцев была спроектирована модель и затем почти 7 месяцев ее строили. Испытания модели показали, что от гребных воздушных колес можно получить значительную подъемную силу при затрате мощности примерно такой же как у современного самолета (4015,3-10).</w:t>
      </w:r>
    </w:p>
    <w:p w14:paraId="2000F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7878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была пущена первая очередь завода № 21: деревообрабатывающий, инструментальный, медно-дюралевый, механический, слесарный и ремонтный цеха, сушилка авиационной древесины. Завод № 21 получил имя секретаря ЦИК СССР А. С. Енукидзе (11651).</w:t>
      </w:r>
    </w:p>
    <w:p w14:paraId="08BE7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D9DB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врид начальника ВВС Наумов писал письмо председателю РВС</w:t>
      </w:r>
    </w:p>
    <w:p w14:paraId="56C0C0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создании конструкторского бюро по проектированию ракетных движетелей</w:t>
      </w:r>
    </w:p>
    <w:p w14:paraId="3B982A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Проблема применения ракетного движетеля на самолете имеет чрезвычайное широкие перспективы.</w:t>
      </w:r>
    </w:p>
    <w:p w14:paraId="57B58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Можно с категоричностью утверждать, что вопрос о скоростях полета свыше 20-30 км может быть решен лишь при помощи самолета с ракетным движетелем, так как при таких скоростях и высотах, воздушный винт не сможет быть применим. Современное состояние техники позволяет отнестись к упомянутым выше цифрам, высоты и скорости полета, как реально достижимым в ближайшие 2-3 года, причем наибольшие трудности встретятся на пути обеспечения достаточной продолжительности полета.</w:t>
      </w:r>
    </w:p>
    <w:p w14:paraId="696F6A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за границей ведутся широкие работы в области применения ракет, однако сведений по ним поступает весьма мало, так как работы засекречены.</w:t>
      </w:r>
    </w:p>
    <w:p w14:paraId="724605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СССР применением ракет в качестве движетеля для самолета занимаются небольшие группы в Институте авиационного моторостроения, ЦАГИ, при Осоавиахиме и Газодинамической лаборатории. Последняя группа занята применением пороховых ракет с целью ускорения взлета самолета, первые три – разработкой вопроса замены авиамотора ракетой.</w:t>
      </w:r>
    </w:p>
    <w:p w14:paraId="034AA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Благодаря тому, что ракетный движетель питается нефтью и жидким кислородом и является весьма опасным, ввиду возможности взрыва, широкое развитие работ в этой области требует оборудования специальной лаборатории.</w:t>
      </w:r>
    </w:p>
    <w:p w14:paraId="61E335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целью концентрации работ в области ракетных движетелей, считаю целесообразным поставить перед Комиссариатом тяжелой промышленности вопрос о необходимости обязать Глававиапром:</w:t>
      </w:r>
    </w:p>
    <w:p w14:paraId="648D17E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Создать в ЦАГИ конструкторское бюро по применению ракет в качестве движетеля для самолета, объединив в нем работников, занятых этим вопросом в ИАМе и Осоавиахиме (большинство последних уже являются работниками ЦАГИ).</w:t>
      </w:r>
    </w:p>
    <w:p w14:paraId="13DA4B5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Построить в 1933 году специальную Лабораторию по ракетным двигателям с расчетом развития последней с течением времени в специальный институт.</w:t>
      </w:r>
    </w:p>
    <w:p w14:paraId="3889F7D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вышеуказанное конструкторское бюро в течении 1932 года разработать ракетный движетель, рассчитанный на установку его на самолете, параллельно ведя работу по созданию соответствующего опытного самолета (7470, 52).</w:t>
      </w:r>
    </w:p>
    <w:p w14:paraId="1FF5D0C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456CA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специальная комиссия остановила свой выбор для строительства з-да № 199 на селе Пермском, стоящем на левом берегу Амура, ближе к устью. Проект был утвержден за полгода к августу 1932года. Вести строительство было поручено тресту Дальстрой (3898).</w:t>
      </w:r>
    </w:p>
    <w:p w14:paraId="00B63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C146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был основан завод № 120</w:t>
      </w:r>
    </w:p>
    <w:p w14:paraId="36C0E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 ввода в эксплуатацию:</w:t>
      </w:r>
    </w:p>
    <w:p w14:paraId="2147C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частичного:</w:t>
      </w:r>
    </w:p>
    <w:p w14:paraId="59ECBF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корпус 1-я очередь – 1934 год, 2-я очередь – 1937 год, 3-я очередь – 1938 год</w:t>
      </w:r>
    </w:p>
    <w:p w14:paraId="6A8D67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w:t>
      </w:r>
    </w:p>
    <w:p w14:paraId="4DCC8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производства – крупносерийное</w:t>
      </w:r>
    </w:p>
    <w:p w14:paraId="3BA38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производства – агрегатно-самолетное</w:t>
      </w:r>
    </w:p>
    <w:p w14:paraId="0C06C8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Балашиха Реутовского района Московской области (Москва, Главпочтамт, п/я 988) (9252)</w:t>
      </w:r>
    </w:p>
    <w:p w14:paraId="7B3713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с участием представителей Аэрофлота в НИИ ГВФ проводились заводские испытания улучшенного К-5. Был выявлен ряд производственных и конструктивных дефектов. Этот экземпляр с 23 мая по 26 июня проходил госиспытания в НИИ. Эталон принят не был, заводу было предложено ввести ряд переделок и после этого предъявить самолет для дополнительных испытаний (7738, 12-10).</w:t>
      </w:r>
    </w:p>
    <w:p w14:paraId="0AE61E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2A0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программа завода № 23 оказалась невыполненной из-за отсутствия некоторых очень важных комплектующих, завод, кроме того, не был обеспечен высококачественной сталью, не хватало труб, стальной проволоки и луженого железа. В связи с перебоями с поставками, вызвавшими необходимость дополнительных работ, несколько возросли расходы на производство самолета У-2. Они составили 11 183 рубля при плановой стоимости (на 3 квартал 1932 г.) 9988 рублей. Хотя в сентябре этот показатель удалось снизить до 10 017 рублей, он вскоре снова увеличился, превысив сумму в 11 тыс. рублей (Там же. Л. 59.). С расширением производства возрастало количество рабочих и инженерно-технических работников (ИТР). В 1935 году здесь насчитывалось 1294 квалифицированных и 1111 вспомогательных рабочих, 381 ИТР, 266 служащих. Кроме того, к производственному процессу активно привлекались 418 учеников школы ФЗО, функционировавшей при предприятии (Центральный государственный архив историко-партийных документов Санкт-Петербурга (ЦГА ИПД СПб.). Ф. 24. Оп. 13. Д. 188. Л. 25.). Таким образом, за десять лет общее число работающих на заводе № 23 возросло более чем в 10 раз.</w:t>
      </w:r>
    </w:p>
    <w:p w14:paraId="1C5D5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1933 года из государственного бюджета начали выделяться значительные средства на реконструкцию и расширение завода «Красный летчик». В течение трех лет предприятие обзавелось жестяночным цехом, пятью сушильными камерами, газогенераторной станцией, пристройками к сборочному и эмалитному цехам, дополнительным оборудованием. В 1936-м произошло очередное расширение производственной базы: построены опытный цех, крайне необходимый для дальнейших работ по созданию и совершенствованию летательных аппаратов, два склада для продукции, насосная станция, котельная (11176).</w:t>
      </w:r>
    </w:p>
    <w:p w14:paraId="4373A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D2FF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на ТБ-1 проверили конструкцию с четырьмя обычными Дер-13. Выбрали "золотую середину", ограничившись шестью балками, стоящими по три друг за другом и увязанными в единый съемный мост. Этот вариант был одобрен УВВС. Промышленности заказали партию мостов под обозначением Дер-13-6, которые ставились на бомбардировщики на заводах при ремонте или непосредственно в воинских частях. К середине августа 1932 г. успели модернизировать бомбовое вооружение на 75 машинах (12001).</w:t>
      </w:r>
    </w:p>
    <w:p w14:paraId="27AE5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7DD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февраля 1932 г. для увеличения бомбовой нагрузки на части самолетов ТБ-1 смонтировали дополнительные наружные бомбодержатели Дер-9, а затем мосты Дер-13-6. Последние получили более трети машин. Пулеметы "Льюис" образца 1924 г., которые монтировались на всех ранних сериях, постепенно заменили отечественными спаренными ДА-2. Радиус действия ТБ-1 был сравнительно невелик, и для него разработали съемный бензобак, размещавшийся в бомбоотсеке. Затем запас горючего пополнили установкой дополнительных баков в крыле. Работали над химическим и реактивным (безоткатными пушками) вооружением бомбардировщика, но это так и осталось в рамках экспериментов. Не был завершен и комплекс ТМС-36 - два беспилотных ТБ-1, управлявшихся по радио операторами с самолета наведения. Такие летающие бомбы должны были поражать крупные и важные объекты, хорошо прикрытые средствами ПВО (12024).</w:t>
      </w:r>
    </w:p>
    <w:p w14:paraId="05FA02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3FC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состоялось торжественное заседание, посвященное 10 летию ГА и выступил В.В.Куйбышев. В честь 15 летия авиации и ввели праздник (333,40).</w:t>
      </w:r>
    </w:p>
    <w:p w14:paraId="21DC6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5BF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на 2-й Всесоюзной конференции ГВФ говорилось, что предстоит перейти от использования 27 типов самолетов и 19 типов моторов к четырем-пяти (442,60).</w:t>
      </w:r>
    </w:p>
    <w:p w14:paraId="253CA4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833F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закончились испытания 10 кг осколочных авиабомбы, которые шли с июня 1930 года (3326).</w:t>
      </w:r>
    </w:p>
    <w:p w14:paraId="202C9F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DA0867" w14:textId="77777777" w:rsidR="00B3217A" w:rsidRPr="00142305" w:rsidRDefault="00B3217A" w:rsidP="00B321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1932 г. в рамках мер по уси</w:t>
      </w:r>
      <w:r w:rsidRPr="00142305">
        <w:rPr>
          <w:rFonts w:ascii="Times New Roman" w:hAnsi="Times New Roman"/>
          <w:color w:val="0070C0"/>
          <w:sz w:val="16"/>
          <w:szCs w:val="16"/>
        </w:rPr>
        <w:softHyphen/>
        <w:t>лению группировки на Дальнем Востоке предложили изъять из подразделений ВО ГВФ восемь АНТ-9 для организации десантного отряда. Его собирались уже в марте сформировать в Омске, а в апреле перебросить в Читу. Но этот проект не реализовали (24949).</w:t>
      </w:r>
    </w:p>
    <w:p w14:paraId="3C8160D6" w14:textId="77777777" w:rsidR="00B3217A" w:rsidRPr="00142305" w:rsidRDefault="00B3217A" w:rsidP="00B3217A">
      <w:pPr>
        <w:spacing w:after="0" w:line="240" w:lineRule="auto"/>
        <w:jc w:val="both"/>
        <w:rPr>
          <w:rFonts w:ascii="Times New Roman" w:hAnsi="Times New Roman"/>
          <w:color w:val="0070C0"/>
          <w:sz w:val="16"/>
          <w:szCs w:val="16"/>
        </w:rPr>
      </w:pPr>
    </w:p>
    <w:p w14:paraId="6AFE9B3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49629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FC248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на котовском заводе Красный боевик был начат выпуск порохов по полному циклу.</w:t>
      </w:r>
    </w:p>
    <w:p w14:paraId="6B52D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1914 году от Московской строительно-монтажной фирмы «Инженерное дело» прибыли свыше 600 квалифицированных рабочих во главе с инженером К.П. Хайдуковым. Объявления о наборе на постройку завода инженеров, техников и рабочих печатались в газете «Русское слово». Специалисты приехали из Перми, Москвы, Нижнего Новгорода, Казани. Всего на стройке были заняты 2000 человек. Кредиты на строительство переводились из Главного казначейства в Тамбовскую казенную палату. Первоначально было отпущено 600000 рублей. Всего за три года планировалось освоить 14 миллионов рублей.</w:t>
      </w:r>
    </w:p>
    <w:p w14:paraId="633EA6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подготовки площадки в марте 1915 года были начаты первые строительные работы. Бутовый камень доставлялся из каменоломен Липецка и со станции Грязи. Подъездных железнодорожных путей к стройплощадке вначале не было. Для доставки оборудования и материалов была сооружена линия узкой колеи, которая проходила от завода по нынешним улицам Советской, Народной через лес по направлению к макаронной фабрике и до станции Кондауровка по деревянному мосту через Цну. Первыми машинистами узкоколейного локомотива были А.Ф. Покровский, В.Ф. Лудин, А.И. Бурмистров. Железнодорожный мост, давший возможность связать завод с Московско-Рязанской железной дорогой, был построен лишь в 1928 году.</w:t>
      </w:r>
    </w:p>
    <w:p w14:paraId="7581B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строительстве завода работали люди различных национальностей — русские, татары, латыши, даже военнопленные турки, австрийцы и чехи. На работы принимались и подростки 12 — 14 лет. Они подносили раствор, щебень, копали траншеи. Рабочий день продолжался 12—14 часов.</w:t>
      </w:r>
    </w:p>
    <w:p w14:paraId="0C5913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Строители завода размещались в общих для мужчин и женщин бараках с земляным полом, двухъярусными нарами, где впоследствии также жили и рабочие завода. В амбулатории при хозяйственно-строительной комиссии больных принимал один врач. В окрестных селах свирепствовали инфекционные заболевания. В сентябре 1915 года исполняющий обязанности председателя хозяйственно-строительной комиссии и начальника завода полковник Скосырский приступил к формированию штата инженерно-технических работников и рабочих завода. Временный штат Тамбовского завода был Высочайше утвержден 3 ноября 1915 года.</w:t>
      </w:r>
    </w:p>
    <w:p w14:paraId="505170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5F6820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ноября 1915 года первым приказом по заводу было объявле­но о начале его действия.</w:t>
      </w:r>
    </w:p>
    <w:p w14:paraId="38C50D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7A9D1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 году введен в эксплуатацию 1-й цех, в 31-м — сернокислотный, в 32-м — третье производство.</w:t>
      </w:r>
    </w:p>
    <w:p w14:paraId="787F4E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w:t>
      </w:r>
    </w:p>
    <w:p w14:paraId="46EB6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1933 года начато производство целлулоида —триплексного, технического, галантерейного.</w:t>
      </w:r>
    </w:p>
    <w:p w14:paraId="512C32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w:t>
      </w:r>
      <w:r w:rsidRPr="00E93F40">
        <w:rPr>
          <w:rFonts w:ascii="Times New Roman" w:hAnsi="Times New Roman"/>
          <w:color w:val="000000" w:themeColor="text1"/>
          <w:sz w:val="16"/>
          <w:szCs w:val="16"/>
        </w:rPr>
        <w:lastRenderedPageBreak/>
        <w:t>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278A3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1927 по 1935 год начальниками завода были М. Моисеев, Ш. Зайденберг, П. Козловский.</w:t>
      </w:r>
    </w:p>
    <w:p w14:paraId="7C233E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6F16D1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59625A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1936 году начато производство изделий из целлулоида.</w:t>
      </w:r>
    </w:p>
    <w:p w14:paraId="2D31D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6C35DB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Больших успехов добивается коллектив завода. Задание правительства выполнено по всем показателям. </w:t>
      </w:r>
    </w:p>
    <w:p w14:paraId="693156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Указом Президиума Верховного Совета СССР награждены: </w:t>
      </w:r>
    </w:p>
    <w:p w14:paraId="24DB9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орденом Ленина — Фекла Сергеевна Сергеева, </w:t>
      </w:r>
    </w:p>
    <w:p w14:paraId="1886F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орденами Трудового Красно­го Знамени — А. Абакумов, Г. Балашов, </w:t>
      </w:r>
    </w:p>
    <w:p w14:paraId="0C1D4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орденом Красной Звезды — Е. Лукьянов. </w:t>
      </w:r>
    </w:p>
    <w:p w14:paraId="5B632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Многие заводчане награждены медалями.</w:t>
      </w:r>
    </w:p>
    <w:p w14:paraId="0636BA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7C90A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556B7B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1773E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завода в то время — Н. Семенов и М. Дынкин (11831).</w:t>
      </w:r>
    </w:p>
    <w:p w14:paraId="53FFAE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C3C89E" w14:textId="67AF68BD"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максимальная температура в цехах завода № 92 устанавливалась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°C, а в служебных помещениях она была не выше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°C. Причем отопление подавалось только с 06.00 до 08.00 и с 12.00 до 13.00. Использование же электронагревательных приборов строго запрещалось. Как и на других предприятиях ВПК, на машзаводе процветало устройство всевозможных «временных» энергоустановок и проводки, что часто приводило к несчастным случаям и авариям. Акты о приемке новых сооружений свидетельствуют о том, что почти все новое оборудование: краны, котлы, печи, находились в неисправном состоянии и имели массовые дефекты, но все же допускались к эксплуатации. На вновь установленных станках обнаруживались трещины на валах, неправильно сделанная проводка и так далее. [93 — ГУ ЦАНО. Ф. 15, Д. 5, Л. 3-10.] Естественно, это приводило к авариям и гибели рабочих. Так, 11 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кузнечно-прессовом цехе возник пожар у печи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 пострадали несколько человек. 14 апреля в том же цеху из-за отказа тормозов сошел с рельсов и опрокинулся 25-тонный мостовой кран. Акт об осмотре столярной мастерской в апреле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свидетельствует о том, что «здание к работе не пригодно, фермы крыши прогнулись и укреплены подпорками, более 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крыши протекает, пол сгнил». [94 — Там же, Ф. 2941, Д. 68, Л. 25.] В литейном цехе дымоходы имели трещины, в цехах протекала крыша, водой даже заливало электромоторы. Вращающиеся части станков и маховики не были ограждены, наждачные круги не имели защитных стекол, вентили пропускали пар. У кузнечных горнов не было зонтов для отсасывания вредных газов, не хватало рукавиц для горячих и холодных работ. А иногда рабочим и вовсе выдавалась одна рукавица на троих! [95 — ГУ ЦАНО, Ф. 2941, Д. 68, Л. 28, 30, 31, 33, 37.] В световых фонарях и окнах многие стекла были побиты и годами не вставлялись, рабочие места плохо освещались. Как выяснилось, причиной «битых стекол» была плохая вентиляция. В летние месяцы воздух внутри цеха так нагревался, что рабочие вынуждены были просто разбивать стекла. К началу же зимнего сезона их никто не вставлял (11741).</w:t>
      </w:r>
    </w:p>
    <w:p w14:paraId="7BF3FD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5EBE0E"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феврале-апреле 1932 года на Научно-исследовательском зенитном полигоне испытывались образцы 76-мм зенитной пушки изготовления "Рейнметалл" и завода № 8. В ходе испытаний на полигоне трех 76-мм систем обр. 1931 г. (№ 1,2 и 3) с 8 июня по 17 июля 1932 года получены результаты: </w:t>
      </w:r>
    </w:p>
    <w:p w14:paraId="7FAE16E5"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дальность стрельбы снарядом черт. 3222-14732м при угле 45°; </w:t>
      </w:r>
    </w:p>
    <w:p w14:paraId="54B13A0A"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во всех системах отмечено вдавливание зеркала клина внутрь, что влечет отказ полуавтоматики вследствие выпучивания дна гильзы; </w:t>
      </w:r>
    </w:p>
    <w:p w14:paraId="2E0C6C5F"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полуавтоматика работала неудовлетворительно, так: </w:t>
      </w:r>
    </w:p>
    <w:p w14:paraId="2DA65114"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у пушки № 1 полуавтоматика сработала в 19% из 830 выстрелов; </w:t>
      </w:r>
    </w:p>
    <w:p w14:paraId="60813A90"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у пушки № 2 полуавтоматика сработала в 30% из 180 выстрелов; </w:t>
      </w:r>
    </w:p>
    <w:p w14:paraId="58B09F65"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у пушки № 3 полуавтоматика сработала в 58% из 694 выстрелов; </w:t>
      </w:r>
    </w:p>
    <w:p w14:paraId="0ADFD3EA"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при стрельбе под углом свыше 83° происходил удар коробкой полуавтоматики о цилиндр уравновешивающего механизма, а по тактико-техническим данным требуется +85°. </w:t>
      </w:r>
    </w:p>
    <w:p w14:paraId="47D172E7"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Двухколесная повозка для этой пушки ЗУ-29 была разработана Брянским заводом им. Кирова. Было отмечено, что при движении по пересеченной местности ЗУ-29 неустойчива. </w:t>
      </w:r>
    </w:p>
    <w:p w14:paraId="4931D8EA"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году пушка 3-К была принята на вооружение под названием "76-мм зенитная пушка обр. 1931 г." (заводской индекс 3-К). </w:t>
      </w:r>
    </w:p>
    <w:p w14:paraId="185B7069"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Кроме повозок ЗУ-29, 76-мм зенитная пушка обр. 1931 г. устанавливалась на тумбовых установках бронепоездов. В начале августа 1936 года с завода № 8 на НИАП были доставлены 3 опытных лейнера с нарезкой Юлина к 76-мм зенитным пушкам обр. 1931 г. В середине августа начались их испытания. </w:t>
      </w:r>
    </w:p>
    <w:p w14:paraId="06F4391A"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623F3C76"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лейнерами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2EFF668A"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Система 3-К снята с производства 1 января 1940 года. </w:t>
      </w:r>
    </w:p>
    <w:p w14:paraId="170D96A6"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7F5921F6"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вооружении были следующие стволы 76-мм зенитных пушек обр. 1931 г.: </w:t>
      </w:r>
    </w:p>
    <w:p w14:paraId="1978DB65"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ствол с трубой, скрепленной кожухом, без лейнера; </w:t>
      </w:r>
    </w:p>
    <w:p w14:paraId="4C858370"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ствол с трубой, скрепленной кожухом, с лейнером; </w:t>
      </w:r>
    </w:p>
    <w:p w14:paraId="3910400C"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ствол-моноблок (однослойный ствол без кожуха) с лейнером. </w:t>
      </w:r>
    </w:p>
    <w:p w14:paraId="3F75D677"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 всех типов стволов навинтной казенник и вертикальный клиновой затвор. Полуавтоматика затвора полуинерционного типа. </w:t>
      </w:r>
    </w:p>
    <w:p w14:paraId="26B15F5C" w14:textId="77777777" w:rsidR="00283176" w:rsidRPr="00E93F40" w:rsidRDefault="00283176" w:rsidP="00E93F40">
      <w:pPr>
        <w:autoSpaceDE w:val="0"/>
        <w:autoSpaceDN w:val="0"/>
        <w:adjustRightInd w:val="0"/>
        <w:spacing w:after="0" w:line="240" w:lineRule="auto"/>
        <w:jc w:val="both"/>
        <w:rPr>
          <w:rFonts w:ascii="Times New Roman" w:hAnsi="Times New Roman"/>
          <w:color w:val="000000" w:themeColor="text1"/>
          <w:sz w:val="16"/>
          <w:szCs w:val="16"/>
        </w:rPr>
      </w:pPr>
    </w:p>
    <w:p w14:paraId="7DA41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М.Тухачевский подписал распоряжение о создании «76-мм полуавтоматической танковой пушки» П.Сячентова. Опытный образец орудия должен был сделать первый выстрел к 1 ноября 1932 г., а 7 ноября 1932 г. он уже должен был выехать на парад в башне нового тяжелого танка Т-35. Испытанная на полевом лафете, пушка № 1 вдруг отказалась нормально работать (случаи неполного закрывания клина затвора при интенсивной стрельбе и недостаточно энергичный выброс гильзы, что резко замедляло процесс заряжания пушки), а, будучи установленной в башне Т-35, вышла из строя. Поэтому танк, отправившийся на парад, получил «технологический» макет ПС-3, отличавшийся отсутствием нарезной трубы ствола (6208, 42).</w:t>
      </w:r>
    </w:p>
    <w:p w14:paraId="1AC1C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628EDB" w14:textId="77777777" w:rsidR="00EA15DA" w:rsidRPr="00E93F40" w:rsidRDefault="00EA15D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феврале 1932 г. на заводе №7 также были проведены структурные изменения - была полностью пересмотрена структурная схема Технической части завода, ранее утвержденная в марте 1930 г. Эти изменения коснулись и конструкторских подразделений. </w:t>
      </w:r>
    </w:p>
    <w:p w14:paraId="710F3A20" w14:textId="77777777" w:rsidR="00EA15DA" w:rsidRPr="00E93F40" w:rsidRDefault="00EA15D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ведении помощника директора по Технической части находились технический, планово-распределительный и планово-экономический отделы, отдел реконструкции, отдел механика, артиллерийский и машиностроительный отделы, а также производственные цеха. </w:t>
      </w:r>
    </w:p>
    <w:p w14:paraId="7035E445" w14:textId="77777777" w:rsidR="00EA15DA" w:rsidRPr="00E93F40" w:rsidRDefault="00EA15D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 технического отдела входили два КБ – военное и мирное, а также бюро нормализации, предварительной технической разработки и исследовательское бюро. В состав артиллерийского отдела (заведующий - М. М. Шикунин) входили техническое бюро (включало в себя технико-нормировочное, технологическое бюро и бюро приспособлений и инструмента), плановое бюро (включало в себя планово-распределительную и планово-экономическую секции) и цеха: артиллерийский, крупно-сборочный, станочный, слесарно-прессовой, ремонтно-сборочный. Позже состав артиллерийского отдела пополнился деревообрабатывающим цехом.</w:t>
      </w:r>
    </w:p>
    <w:p w14:paraId="5E8314A4" w14:textId="77777777" w:rsidR="00EA15DA" w:rsidRPr="00E93F40" w:rsidRDefault="00EA15D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октябре 1932 г. в схему управления заводом №7 были внесены изменения. В составе конструкторского отдела были образованы мирная и артиллерийская конструкторская секции. НИО находился в подчинении директора завода (см. Приложение И) </w:t>
      </w:r>
    </w:p>
    <w:p w14:paraId="65BBAEDE" w14:textId="77777777" w:rsidR="00EA15DA" w:rsidRPr="00E93F40" w:rsidRDefault="00EA15DA" w:rsidP="00E93F40">
      <w:pPr>
        <w:spacing w:after="0" w:line="240" w:lineRule="auto"/>
        <w:jc w:val="both"/>
        <w:rPr>
          <w:rFonts w:ascii="Times New Roman" w:eastAsia="TimesNewRomanPSMT" w:hAnsi="Times New Roman"/>
          <w:color w:val="000000" w:themeColor="text1"/>
          <w:sz w:val="16"/>
          <w:szCs w:val="16"/>
        </w:rPr>
      </w:pPr>
      <w:r w:rsidRPr="00E93F40">
        <w:rPr>
          <w:rFonts w:ascii="Times New Roman" w:hAnsi="Times New Roman"/>
          <w:color w:val="000000" w:themeColor="text1"/>
          <w:sz w:val="16"/>
          <w:szCs w:val="16"/>
        </w:rPr>
        <w:t>В конце декабря 1932 г., в соответствии с типовым положением о заводских лабораториях на предприятиях НКТП НИО был переведен в ведение помощника директора по Технической части (20074).</w:t>
      </w:r>
    </w:p>
    <w:p w14:paraId="6C306BF0" w14:textId="77777777" w:rsidR="00EA15DA" w:rsidRPr="00E93F40" w:rsidRDefault="00EA15DA" w:rsidP="00E93F40">
      <w:pPr>
        <w:spacing w:after="0" w:line="240" w:lineRule="auto"/>
        <w:jc w:val="both"/>
        <w:rPr>
          <w:rFonts w:ascii="Times New Roman" w:eastAsia="TimesNewRomanPSMT" w:hAnsi="Times New Roman"/>
          <w:color w:val="000000" w:themeColor="text1"/>
          <w:sz w:val="16"/>
          <w:szCs w:val="16"/>
        </w:rPr>
      </w:pPr>
    </w:p>
    <w:p w14:paraId="7E239C60" w14:textId="77777777" w:rsidR="00B3217A" w:rsidRPr="00142305" w:rsidRDefault="00B3217A" w:rsidP="00B321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феврале 1932 года «для луч</w:t>
      </w:r>
      <w:r w:rsidRPr="00142305">
        <w:rPr>
          <w:rFonts w:ascii="Times New Roman" w:hAnsi="Times New Roman"/>
          <w:color w:val="0070C0"/>
          <w:sz w:val="16"/>
          <w:szCs w:val="16"/>
        </w:rPr>
        <w:softHyphen/>
        <w:t>шей организации работ по производству танка Т-26» танковое производство завода «Большевик» было выделено в самостоя</w:t>
      </w:r>
      <w:r w:rsidRPr="00142305">
        <w:rPr>
          <w:rFonts w:ascii="Times New Roman" w:hAnsi="Times New Roman"/>
          <w:color w:val="0070C0"/>
          <w:sz w:val="16"/>
          <w:szCs w:val="16"/>
        </w:rPr>
        <w:softHyphen/>
        <w:t>тельное производство - завод № 174 имени К.Е. Ворошилова. Директором завода на</w:t>
      </w:r>
      <w:r w:rsidRPr="00142305">
        <w:rPr>
          <w:rFonts w:ascii="Times New Roman" w:hAnsi="Times New Roman"/>
          <w:color w:val="0070C0"/>
          <w:sz w:val="16"/>
          <w:szCs w:val="16"/>
        </w:rPr>
        <w:softHyphen/>
        <w:t>значили К. Сиркена, главным конструкто</w:t>
      </w:r>
      <w:r w:rsidRPr="00142305">
        <w:rPr>
          <w:rFonts w:ascii="Times New Roman" w:hAnsi="Times New Roman"/>
          <w:color w:val="0070C0"/>
          <w:sz w:val="16"/>
          <w:szCs w:val="16"/>
        </w:rPr>
        <w:softHyphen/>
        <w:t>ром С. Гинзбурга. Это было первое в Совет</w:t>
      </w:r>
      <w:r w:rsidRPr="00142305">
        <w:rPr>
          <w:rFonts w:ascii="Times New Roman" w:hAnsi="Times New Roman"/>
          <w:color w:val="0070C0"/>
          <w:sz w:val="16"/>
          <w:szCs w:val="16"/>
        </w:rPr>
        <w:softHyphen/>
        <w:t>ском Союзе предприятие, которое занима</w:t>
      </w:r>
      <w:r w:rsidRPr="00142305">
        <w:rPr>
          <w:rFonts w:ascii="Times New Roman" w:hAnsi="Times New Roman"/>
          <w:color w:val="0070C0"/>
          <w:sz w:val="16"/>
          <w:szCs w:val="16"/>
        </w:rPr>
        <w:softHyphen/>
        <w:t>лось только выпуском танков - удельный вес танкового производства составлял в раз</w:t>
      </w:r>
      <w:r w:rsidRPr="00142305">
        <w:rPr>
          <w:rFonts w:ascii="Times New Roman" w:hAnsi="Times New Roman"/>
          <w:color w:val="0070C0"/>
          <w:sz w:val="16"/>
          <w:szCs w:val="16"/>
        </w:rPr>
        <w:softHyphen/>
        <w:t>ные годы от 92,8 до 95,7% всей товарной продукции завода.</w:t>
      </w:r>
    </w:p>
    <w:p w14:paraId="3733196B" w14:textId="77777777" w:rsidR="00B3217A" w:rsidRPr="00142305" w:rsidRDefault="00B3217A" w:rsidP="00B321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обеспечения выпуска 3000 танков в год завод имени Ворошилова планировалось обеспечить дополнительным количеством отечественного и импортного оборудования, сырьем и полуфабрикатами. Кроме того, на</w:t>
      </w:r>
      <w:r w:rsidRPr="00142305">
        <w:rPr>
          <w:rFonts w:ascii="Times New Roman" w:hAnsi="Times New Roman"/>
          <w:color w:val="0070C0"/>
          <w:sz w:val="16"/>
          <w:szCs w:val="16"/>
        </w:rPr>
        <w:softHyphen/>
        <w:t>мечалось широкое кооперирование с други</w:t>
      </w:r>
      <w:r w:rsidRPr="00142305">
        <w:rPr>
          <w:rFonts w:ascii="Times New Roman" w:hAnsi="Times New Roman"/>
          <w:color w:val="0070C0"/>
          <w:sz w:val="16"/>
          <w:szCs w:val="16"/>
        </w:rPr>
        <w:softHyphen/>
        <w:t>ми предприятиями, которые дополнительно привлекались для изготовления агрегатов танка Т-26 (24999).</w:t>
      </w:r>
    </w:p>
    <w:p w14:paraId="3E62F22A" w14:textId="77777777" w:rsidR="00B3217A" w:rsidRPr="00142305" w:rsidRDefault="00B3217A" w:rsidP="00B3217A">
      <w:pPr>
        <w:spacing w:after="0" w:line="240" w:lineRule="auto"/>
        <w:jc w:val="both"/>
        <w:rPr>
          <w:rFonts w:ascii="Times New Roman" w:hAnsi="Times New Roman"/>
          <w:color w:val="0070C0"/>
          <w:sz w:val="16"/>
          <w:szCs w:val="16"/>
        </w:rPr>
      </w:pPr>
    </w:p>
    <w:p w14:paraId="172318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по получению основных технических данных и чертежей ходовой части Т-26 директор Красного путиловца К.М.Отс создал специальный отдел Бюро Т-26, которое вскоре стало СКБ-2 и во главе поставили И.М.Комарчева (5008, 11).</w:t>
      </w:r>
    </w:p>
    <w:p w14:paraId="385C6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662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артиллерийское КБ завода Большевик на базе Т-26 разработало проект артиллерийского трактора с брезентовым тентом. Пошел в серию и попал на вооружение в 1933 (9527,211).</w:t>
      </w:r>
    </w:p>
    <w:p w14:paraId="28E293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33BF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КО программу танкостроения (10000 танков) не изменил, но разрешил (!) КБ «Большевика» вносить «лю</w:t>
      </w:r>
      <w:r w:rsidRPr="00E93F40">
        <w:rPr>
          <w:rFonts w:ascii="Times New Roman" w:hAnsi="Times New Roman"/>
          <w:color w:val="000000" w:themeColor="text1"/>
          <w:sz w:val="16"/>
          <w:szCs w:val="16"/>
        </w:rPr>
        <w:softHyphen/>
        <w:t>бые изменения в конструкцию, и методику изготовления тан</w:t>
      </w:r>
      <w:r w:rsidRPr="00E93F40">
        <w:rPr>
          <w:rFonts w:ascii="Times New Roman" w:hAnsi="Times New Roman"/>
          <w:color w:val="000000" w:themeColor="text1"/>
          <w:sz w:val="16"/>
          <w:szCs w:val="16"/>
        </w:rPr>
        <w:softHyphen/>
        <w:t>ков, не снижающие их боевых качеств и способствующие увели</w:t>
      </w:r>
      <w:r w:rsidRPr="00E93F40">
        <w:rPr>
          <w:rFonts w:ascii="Times New Roman" w:hAnsi="Times New Roman"/>
          <w:color w:val="000000" w:themeColor="text1"/>
          <w:sz w:val="16"/>
          <w:szCs w:val="16"/>
        </w:rPr>
        <w:softHyphen/>
        <w:t>чению выпуска». Кроме того, для облегчения участи «Больше</w:t>
      </w:r>
      <w:r w:rsidRPr="00E93F40">
        <w:rPr>
          <w:rFonts w:ascii="Times New Roman" w:hAnsi="Times New Roman"/>
          <w:color w:val="000000" w:themeColor="text1"/>
          <w:sz w:val="16"/>
          <w:szCs w:val="16"/>
        </w:rPr>
        <w:softHyphen/>
        <w:t>вика» и Ижорского завода КО определил им соисполнителей по бронекорпусам дополнительно Кулебакский и Мариу</w:t>
      </w:r>
      <w:r w:rsidRPr="00E93F40">
        <w:rPr>
          <w:rFonts w:ascii="Times New Roman" w:hAnsi="Times New Roman"/>
          <w:color w:val="000000" w:themeColor="text1"/>
          <w:sz w:val="16"/>
          <w:szCs w:val="16"/>
        </w:rPr>
        <w:softHyphen/>
        <w:t>польский заводы, по моторам предполагалось задействовать НАЗ (будущий ГАЗ) и АМО (10733,180).</w:t>
      </w:r>
    </w:p>
    <w:p w14:paraId="374DCD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D39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Комиссия обороны поставила танковому отделу ХПЗ, московскому КБ Оружобъединения и НАТИ задачу по повышению огневой мощи танка Кристи. Предлагалось ставить 76 мм пушку П.Н.Сячентова или 76 мм противоштурмовой пушки Гарфорда, а также 4хДТ (9527,62).</w:t>
      </w:r>
    </w:p>
    <w:p w14:paraId="570BD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41B7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февралю 1932 были устранены все выявленные недостатки танка ТММ-1 - версии Виккерс, изготовленной на Большевике в Ленинграде по проекту факультета ММ под руководством М.В.данченко (9527,89).</w:t>
      </w:r>
    </w:p>
    <w:p w14:paraId="00290B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A6617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в ходе пробега Моск</w:t>
      </w:r>
      <w:r w:rsidRPr="00E93F40">
        <w:rPr>
          <w:rFonts w:ascii="Times New Roman" w:hAnsi="Times New Roman"/>
          <w:color w:val="000000" w:themeColor="text1"/>
          <w:sz w:val="16"/>
          <w:szCs w:val="16"/>
        </w:rPr>
        <w:softHyphen/>
        <w:t>ва - Ногинск - Орехово-Зуево - Егорьевск - Коломна - Москва прошли испытания аэро</w:t>
      </w:r>
      <w:r w:rsidRPr="00E93F40">
        <w:rPr>
          <w:rFonts w:ascii="Times New Roman" w:hAnsi="Times New Roman"/>
          <w:color w:val="000000" w:themeColor="text1"/>
          <w:sz w:val="16"/>
          <w:szCs w:val="16"/>
        </w:rPr>
        <w:softHyphen/>
        <w:t>сани А-1, спроектированные С.В. Коросты-левым в ЗиМВТ. Они имели колею 1300 мм, длину 3755 мм, базу 2055 мм и оснащались мотором «Блэкберн» мощностью 18 л.с. с воздушным винтом диаметром 1300 мм. Испытания прошли успешно, и доработан</w:t>
      </w:r>
      <w:r w:rsidRPr="00E93F40">
        <w:rPr>
          <w:rFonts w:ascii="Times New Roman" w:hAnsi="Times New Roman"/>
          <w:color w:val="000000" w:themeColor="text1"/>
          <w:sz w:val="16"/>
          <w:szCs w:val="16"/>
        </w:rPr>
        <w:softHyphen/>
        <w:t>ные А-1 с мотором НАМИ-1 под маркой А-4 (ОСГА-4) были приняты к серийной построй</w:t>
      </w:r>
      <w:r w:rsidRPr="00E93F40">
        <w:rPr>
          <w:rFonts w:ascii="Times New Roman" w:hAnsi="Times New Roman"/>
          <w:color w:val="000000" w:themeColor="text1"/>
          <w:sz w:val="16"/>
          <w:szCs w:val="16"/>
        </w:rPr>
        <w:softHyphen/>
        <w:t>ке в ОСГА «с целью использования для НКСвязи по обслуживанию письмоносцев в деревне и для обслуживания сверхударного строительства Балхашстроя»</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Аэросани А-4 имели предельно простую, даже примитивную конструкцию, пригодную к постройке силами колхозных мастерских или даже отдельных энтузиастов. Для их из</w:t>
      </w:r>
      <w:r w:rsidRPr="00E93F40">
        <w:rPr>
          <w:rFonts w:ascii="Times New Roman" w:hAnsi="Times New Roman"/>
          <w:color w:val="000000" w:themeColor="text1"/>
          <w:sz w:val="16"/>
          <w:szCs w:val="16"/>
        </w:rPr>
        <w:softHyphen/>
        <w:t>готовления использовался своеобразный вариант плазово-шаблонного метода. На листе фанеры выполнялся чертеж бортовой секции, затем на любой горизонтальной плоской поверхности (хоть на полу помеще</w:t>
      </w:r>
      <w:r w:rsidRPr="00E93F40">
        <w:rPr>
          <w:rFonts w:ascii="Times New Roman" w:hAnsi="Times New Roman"/>
          <w:color w:val="000000" w:themeColor="text1"/>
          <w:sz w:val="16"/>
          <w:szCs w:val="16"/>
        </w:rPr>
        <w:softHyphen/>
        <w:t>ния) производилась сборка каркаса, к ко</w:t>
      </w:r>
      <w:r w:rsidRPr="00E93F40">
        <w:rPr>
          <w:rFonts w:ascii="Times New Roman" w:hAnsi="Times New Roman"/>
          <w:color w:val="000000" w:themeColor="text1"/>
          <w:sz w:val="16"/>
          <w:szCs w:val="16"/>
        </w:rPr>
        <w:softHyphen/>
        <w:t>торому крепилась обшивка. Затем с помо</w:t>
      </w:r>
      <w:r w:rsidRPr="00E93F40">
        <w:rPr>
          <w:rFonts w:ascii="Times New Roman" w:hAnsi="Times New Roman"/>
          <w:color w:val="000000" w:themeColor="text1"/>
          <w:sz w:val="16"/>
          <w:szCs w:val="16"/>
        </w:rPr>
        <w:softHyphen/>
        <w:t>щью шпангоутов и распорок бортовые сек</w:t>
      </w:r>
      <w:r w:rsidRPr="00E93F40">
        <w:rPr>
          <w:rFonts w:ascii="Times New Roman" w:hAnsi="Times New Roman"/>
          <w:color w:val="000000" w:themeColor="text1"/>
          <w:sz w:val="16"/>
          <w:szCs w:val="16"/>
        </w:rPr>
        <w:softHyphen/>
        <w:t>ции скреплялись в корпус аэросаней. Изящная форма аэросаней со слегка вы</w:t>
      </w:r>
      <w:r w:rsidRPr="00E93F40">
        <w:rPr>
          <w:rFonts w:ascii="Times New Roman" w:hAnsi="Times New Roman"/>
          <w:color w:val="000000" w:themeColor="text1"/>
          <w:sz w:val="16"/>
          <w:szCs w:val="16"/>
        </w:rPr>
        <w:softHyphen/>
        <w:t>пуклыми бортами достигалась незначи</w:t>
      </w:r>
      <w:r w:rsidRPr="00E93F40">
        <w:rPr>
          <w:rFonts w:ascii="Times New Roman" w:hAnsi="Times New Roman"/>
          <w:color w:val="000000" w:themeColor="text1"/>
          <w:sz w:val="16"/>
          <w:szCs w:val="16"/>
        </w:rPr>
        <w:softHyphen/>
        <w:t>тельным изгибом боковых секций при сбор</w:t>
      </w:r>
      <w:r w:rsidRPr="00E93F40">
        <w:rPr>
          <w:rFonts w:ascii="Times New Roman" w:hAnsi="Times New Roman"/>
          <w:color w:val="000000" w:themeColor="text1"/>
          <w:sz w:val="16"/>
          <w:szCs w:val="16"/>
        </w:rPr>
        <w:softHyphen/>
        <w:t>ке за счет большей ширины шпангоутов в средней части корпуса машины. Аэросани имели простейшую подвеску на резиновых шнуровых амортизаторах. Управ</w:t>
      </w:r>
      <w:r w:rsidRPr="00E93F40">
        <w:rPr>
          <w:rFonts w:ascii="Times New Roman" w:hAnsi="Times New Roman"/>
          <w:color w:val="000000" w:themeColor="text1"/>
          <w:sz w:val="16"/>
          <w:szCs w:val="16"/>
        </w:rPr>
        <w:softHyphen/>
        <w:t>ление аэросаней было тросовое, что позво</w:t>
      </w:r>
      <w:r w:rsidRPr="00E93F40">
        <w:rPr>
          <w:rFonts w:ascii="Times New Roman" w:hAnsi="Times New Roman"/>
          <w:color w:val="000000" w:themeColor="text1"/>
          <w:sz w:val="16"/>
          <w:szCs w:val="16"/>
        </w:rPr>
        <w:softHyphen/>
        <w:t>ляло, несмотря на сравнительно грубое ис</w:t>
      </w:r>
      <w:r w:rsidRPr="00E93F40">
        <w:rPr>
          <w:rFonts w:ascii="Times New Roman" w:hAnsi="Times New Roman"/>
          <w:color w:val="000000" w:themeColor="text1"/>
          <w:sz w:val="16"/>
          <w:szCs w:val="16"/>
        </w:rPr>
        <w:softHyphen/>
        <w:t>полнение, избежать люфтов и обеспечить необходимую регулировку. Для изготовления передней подвески требовалось незначи</w:t>
      </w:r>
      <w:r w:rsidRPr="00E93F40">
        <w:rPr>
          <w:rFonts w:ascii="Times New Roman" w:hAnsi="Times New Roman"/>
          <w:color w:val="000000" w:themeColor="text1"/>
          <w:sz w:val="16"/>
          <w:szCs w:val="16"/>
        </w:rPr>
        <w:softHyphen/>
        <w:t>тельное число труб из низкокачественной стали'и минимум сварки. Потребность во фрезерных и токарных работах почти вовсе отсутствовала, так как при необходимости все детали аэросаней могли быть изготов</w:t>
      </w:r>
      <w:r w:rsidRPr="00E93F40">
        <w:rPr>
          <w:rFonts w:ascii="Times New Roman" w:hAnsi="Times New Roman"/>
          <w:color w:val="000000" w:themeColor="text1"/>
          <w:sz w:val="16"/>
          <w:szCs w:val="16"/>
        </w:rPr>
        <w:softHyphen/>
        <w:t>лены вручную. Фактически единственным конструктивно сложным элементом аэроса</w:t>
      </w:r>
      <w:r w:rsidRPr="00E93F40">
        <w:rPr>
          <w:rFonts w:ascii="Times New Roman" w:hAnsi="Times New Roman"/>
          <w:color w:val="000000" w:themeColor="text1"/>
          <w:sz w:val="16"/>
          <w:szCs w:val="16"/>
        </w:rPr>
        <w:softHyphen/>
        <w:t>ней являлся воздушный винт. Срок службы аэросаней определялся качеством сборки и примененных конструкционных материалов. В предвоенный период И.Н. Ювенальев в Центральном автомотоклубе Советского Союза (ЦАМКСС) издал техническое описа</w:t>
      </w:r>
      <w:r w:rsidRPr="00E93F40">
        <w:rPr>
          <w:rFonts w:ascii="Times New Roman" w:hAnsi="Times New Roman"/>
          <w:color w:val="000000" w:themeColor="text1"/>
          <w:sz w:val="16"/>
          <w:szCs w:val="16"/>
        </w:rPr>
        <w:softHyphen/>
        <w:t>ние ОСГА-4, что позволило вести их пост</w:t>
      </w:r>
      <w:r w:rsidRPr="00E93F40">
        <w:rPr>
          <w:rFonts w:ascii="Times New Roman" w:hAnsi="Times New Roman"/>
          <w:color w:val="000000" w:themeColor="text1"/>
          <w:sz w:val="16"/>
          <w:szCs w:val="16"/>
        </w:rPr>
        <w:softHyphen/>
        <w:t>ройку на местах. Число аэросаней, изготов</w:t>
      </w:r>
      <w:r w:rsidRPr="00E93F40">
        <w:rPr>
          <w:rFonts w:ascii="Times New Roman" w:hAnsi="Times New Roman"/>
          <w:color w:val="000000" w:themeColor="text1"/>
          <w:sz w:val="16"/>
          <w:szCs w:val="16"/>
        </w:rPr>
        <w:softHyphen/>
        <w:t>ленных таким образом, не поддается даже приблизительному учету. После начала войны с Германией рас</w:t>
      </w:r>
      <w:r w:rsidRPr="00E93F40">
        <w:rPr>
          <w:rFonts w:ascii="Times New Roman" w:hAnsi="Times New Roman"/>
          <w:color w:val="000000" w:themeColor="text1"/>
          <w:sz w:val="16"/>
          <w:szCs w:val="16"/>
        </w:rPr>
        <w:softHyphen/>
        <w:t>сматривался вопрос о постройке, помимо боевых и транспортных аэросаней, также и легких снегоходов с мотоциклетными мо</w:t>
      </w:r>
      <w:r w:rsidRPr="00E93F40">
        <w:rPr>
          <w:rFonts w:ascii="Times New Roman" w:hAnsi="Times New Roman"/>
          <w:color w:val="000000" w:themeColor="text1"/>
          <w:sz w:val="16"/>
          <w:szCs w:val="16"/>
        </w:rPr>
        <w:softHyphen/>
        <w:t>торами (11855).</w:t>
      </w:r>
    </w:p>
    <w:p w14:paraId="26F66B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991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февраля 1932 г. с отказом от импорта американских 93-сильных "Геркулесов" (машин Я-5 с такими двигателями сделано 2273 штуки) ЯАЗ пришлось оснащать свои грузовики 60-сильными моторами АМО-3. Эта модель ЯГ-3 обладала несколько меньшей по сравнению с Я-5 снаряженной массой (4670 кг вместо 4750 кг). Ярославский автомобильный завод, прежде всего в силу его очень ограниченных производственных возможностей не изготовлял сам двигателей и коробок передач, не штамповал колес и лонжеронов рамы, не мог позволить себе делать цельнометаллические кабины и немало поковок и отливок заказывал на стороне. Это ставило конструкторов в очень тяжелые условия при модернизации базовой модели. Однако динамические и тяговые свойства оставляли желать лучшего. Ради выигрыша в тяговых усилиях при существенно меньшей мощности двигателя передаточное число главной передачи пришлось увеличить с 8,0 до 10,9. При этом максимальная скорость уменьшалась с 53 до 40 км/ч. С января 1934 г. базовая модель ЯАЗ получила новый силовой агрегат - 73-сильный двигатель и коробку передач ЗИС-5. Машина стала обозначаться ЯГ-4. Масса ее и максимальная скорость не изменились, но тяговые качества стали лучше. Этот автомобиль дважды модернизировался: в мае 1936 г. (ЯГ-6) и весной 1940 г. (ЯГ-6А), но его конструкция в целом оставалась неизменной. Кроме того, в 1934 г. была изготовлена партия грузовиков ЯГ-5, предназначенная для экспорта. По сравнению с ЯГ-4 у нее была изменена грузовая платформа, увеличен топливный бак, улучшена отделка. Модели ЯГ-3, ЯГ-4, ЯГ-6 оснащались рамами, прямые лонжероны которых представляли собой отрезки прокатного швеллера № 16 высотой 160 мм с полками шириной 65 мм. Анахронизмом стала в середине 30-х гг. главная передача с прямозубыми шестернями, которые на заводе после термообработки не шлифовались. Это обстоятельство и отсутствие оборудования для контроля профиля нарезанного зуба привели к тому, что на ярославских грузовиках редуктор заднего моста издавал сильный гул. Управление машиной, полная масса которой составляла 10 т, представляло немалые сложности. Хотя диаметр рулевого колеса был очень большим (522 мм), а передаточное число рулевого управления требовало 4,25 оборота руля для поворота колес от упора до упора, работать водителем на ЯГ-4 мог только очень сильный человек. Тормоза действовали лишь на задние колеса и имели механический привод - приведение их в действие требовало от водителя, несмотря на вакуумный усилитель, тоже значительной физической силы. В верхней части капота двигателя у моделей ЯГ-3. ЯГ-4, ЯГ-6 были сделаны лючки. Их открывали в жаркую погоду, чтобы хоть немного улучшить охлаждение двигателя. Дело в том, что двигатель размещался очень низко и ось его вентилятора лежала на трети высоты радиатора. В этих условиях вентилятор тянул воздух только через половину поверхности радиатора. Сам же радиатор сотового типа был тяжелым, и на его изготовление уходило по 50 кг дефицитной тогда латуни. Деревянная кабина быстро расшатывалась, кустарно выполненные стеклоподъемники работали плохо. Кабина, оперение, грузовая платформа окрашивались масляной краской с помощью кисти. Сравнительно низкая установка двигателя на раме диктовалась взаимным расположением рамы, заднего моста и других узлов. Наверное, в этом случае существовала реальная возможность скомпоновать этот грузовик с кабиной над двигателем, но на такой шаг конструкторы ЯАЗа не отважились (12098).</w:t>
      </w:r>
    </w:p>
    <w:p w14:paraId="494E2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E91D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в феврале 1932 г. толпа бастующих американских рабочих забросала камнями ворота фордовского завода, за которыми трудились и советские стажеры, последние спокойно взирали на действия “братьев по классу” из окон “цитадели капитализма” (11506).</w:t>
      </w:r>
    </w:p>
    <w:p w14:paraId="480D8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2261CF"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ЯАЗ начал выпуск первого в отечественной истории серийного грузовика ЯГ-10. Вместе с ним был запущен в производство автомобиль ЯГ-3 с отечественным мотором, что позволило отказаться от массовых закупок импортных двигателей (19729).</w:t>
      </w:r>
    </w:p>
    <w:p w14:paraId="470F2BB3" w14:textId="77777777" w:rsidR="00716F88" w:rsidRPr="00E93F40" w:rsidRDefault="00716F88" w:rsidP="00E93F40">
      <w:pPr>
        <w:spacing w:after="0" w:line="240" w:lineRule="auto"/>
        <w:jc w:val="both"/>
        <w:rPr>
          <w:rFonts w:ascii="Times New Roman" w:hAnsi="Times New Roman"/>
          <w:color w:val="000000" w:themeColor="text1"/>
          <w:sz w:val="16"/>
          <w:szCs w:val="16"/>
        </w:rPr>
      </w:pPr>
    </w:p>
    <w:p w14:paraId="2C0C4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заключенные радиоспециалисты Оперода – Васильев, Филиппов, Куксенко Крюков, Пугачев, Максимович пишут заместителю начальника Оперативного отдела ОГПУ Воловичу заявление, в котором просят его возбудить ходатайство перед Коллегией ОГПУ о снятии в отношении их изоляции. В заявлении они указывают, что готовы сотрудничать с ОГПУ после освобождения до конца пятилетки, а если потребуется, то и более длительные сроки (11711).</w:t>
      </w:r>
    </w:p>
    <w:p w14:paraId="6D576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EC122C"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в ходе пробега «Москва — Ногинск — Орехово-Зуево — Егорьевск — Коломна — Москва» прошли испытания аэросани А-1, спроектированные С. В. Коростылевым в ЗиМВТ. Они имели колею 1300 мм, длину 3755 мм, базу 2055 мм и оснащались мотором «Блэкберн» мощностью 18 л.с. с воздушным винтом диаметром 1300 мм. Испытания прошли успешно, и доработанные А-1 с мотором НАМИ-1 под маркой А-4 (ОСГА-4) были приняты к серийной постройке в ОСГА «с целью использования для НКСвязи по обслуживанию письмоносцев в деревне и для обслуживания сверхударного строительства Балхашстроя». Вместо «письмоносцев» аэросани поступили в MBO: одни ОСГА-4 передали управлению автобронетанковых частей округа, а другие получила военная школа автотехников. Всего же в ОСГА собрали семь аэросаней этого типа (19776).</w:t>
      </w:r>
    </w:p>
    <w:p w14:paraId="17820D0F" w14:textId="77777777" w:rsidR="00716F88" w:rsidRPr="00E93F40" w:rsidRDefault="00716F88" w:rsidP="00E93F40">
      <w:pPr>
        <w:spacing w:after="0" w:line="240" w:lineRule="auto"/>
        <w:jc w:val="both"/>
        <w:rPr>
          <w:rFonts w:ascii="Times New Roman" w:hAnsi="Times New Roman"/>
          <w:color w:val="000000" w:themeColor="text1"/>
          <w:sz w:val="16"/>
          <w:szCs w:val="16"/>
        </w:rPr>
      </w:pPr>
    </w:p>
    <w:p w14:paraId="733BC194"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феврале 1932 г., несмотря на протесты руководства ВЭСО, под предлогом невыполнения фирмой «Телефункен» условий договора сотрудничество с нею было свернуто. Для электрослаботочной отрасли политика самоизоляции была весьма нежелательна. По этому поводу в своей служебной записке в Иностранный сектор </w:t>
      </w:r>
      <w:r w:rsidRPr="00E93F40">
        <w:rPr>
          <w:rFonts w:ascii="Times New Roman" w:hAnsi="Times New Roman"/>
          <w:color w:val="000000" w:themeColor="text1"/>
          <w:sz w:val="16"/>
          <w:szCs w:val="16"/>
        </w:rPr>
        <w:lastRenderedPageBreak/>
        <w:t>НКТП В.И. Романовский отмечал: «Как производство, так и развернутая сеть научно-исследовательских работ требуют корректировки по данным наилучших конструкций заграницы и результатам заграничных научно-технических разработок, что сильно ускоряет наш путь самостоятельной работы»5. Тем не менее, несмотря на всю очевидность такого подхода, руководству электрослаботочной отрасли удалось добиться заключения полноценного договора о технической помощи только спустя более трех лет (18297).</w:t>
      </w:r>
    </w:p>
    <w:p w14:paraId="567E2F65" w14:textId="77777777" w:rsidR="00716F88" w:rsidRPr="00E93F40" w:rsidRDefault="00716F88" w:rsidP="00E93F40">
      <w:pPr>
        <w:spacing w:after="0" w:line="240" w:lineRule="auto"/>
        <w:jc w:val="both"/>
        <w:rPr>
          <w:rFonts w:ascii="Times New Roman" w:hAnsi="Times New Roman"/>
          <w:color w:val="000000" w:themeColor="text1"/>
          <w:sz w:val="16"/>
          <w:szCs w:val="16"/>
        </w:rPr>
      </w:pPr>
    </w:p>
    <w:p w14:paraId="41ED0D6F" w14:textId="77777777" w:rsidR="00AA2AB7" w:rsidRPr="00E93F40" w:rsidRDefault="00AA2AB7"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и декабре 1932 г. была проверка организации и эффективности заграничных командировок показала полезность использования иностранного опыта в постановке производства качественных сталей, алюминия, подшипников, в усовершенствовании методов добычи полезных ископаемых. Выявились и недостатки и трудности в этом деле. Из-за усилившейся тенденции к засекречиванию техники и технологии производства со стороны капиталистических фирм, отсутствия необходимых валютных средств и недостаточной отдачи заграничных командировок уже в конце пятилетки приходилось отказываться от посылки советских инженеров и квалифицированных рабочих за границу для изучения производственно-технического опыта фирм (17275).</w:t>
      </w:r>
    </w:p>
    <w:p w14:paraId="3E2929B3" w14:textId="77777777" w:rsidR="00AA2AB7" w:rsidRPr="00E93F40" w:rsidRDefault="00AA2AB7" w:rsidP="00E93F40">
      <w:pPr>
        <w:autoSpaceDE w:val="0"/>
        <w:autoSpaceDN w:val="0"/>
        <w:adjustRightInd w:val="0"/>
        <w:spacing w:after="0" w:line="240" w:lineRule="auto"/>
        <w:jc w:val="both"/>
        <w:rPr>
          <w:rFonts w:ascii="Times New Roman" w:hAnsi="Times New Roman"/>
          <w:color w:val="000000" w:themeColor="text1"/>
          <w:sz w:val="16"/>
          <w:szCs w:val="16"/>
        </w:rPr>
      </w:pPr>
    </w:p>
    <w:p w14:paraId="4C3191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на совещании у начальника ВМС РККА В.М.Орлова (сменив­шего Р.А.Муклевича на этом посту в июле 1931 года) вновь обсуждался вопрос об обеспечении установленной постановлением РВСР скорости хода эсминцев-лидеров. В приня­том решении отмечалось, что, несмотря на длительную дополнительную проработку материалов общего проекта в целях дости­жения скорости полного хода корабля 40,5 уз при нормальном водоизмещении 2250 т, проектантам не удалось добиться такой ско­рости. Достижение требуемой скорости путем реализации предложения НТКМ об из­менении общего проекта представлялось со­мнительным и задерживало начало строи­тельства этих кораблей еще на четыре-шесть месяцев. Специалисты НТКМ предлагали отка­заться от принятых в общем проекте слож­ных обводов кормовой оконечности (с при­менением длинных выкружек гребных валов, так называемых «штанов») и перейти на общепринятые кронштейны, поддерживаю­щие гребные валы, с соответствующим приполнением кормы, ссылаясь при этом и на зарубежный опыт. Было признано необходимым доложить об этом РВС и просить разрешения строить закладываемые в 1932 году три эсминца-лидера 1-и серии со скоростью хода 40 уз при водоизмещении 2265 т с внесением ми­нимальных изменений в проект, при со­блюдении жесткой весовой дисциплины по всем статьям нагрузки корабля. Начальни­ку Техупра УВМС А.К.Сивкову поручалось произвести перед докладом тщательную проверку всех данных промышленности и НТК для представления РВС необходимых материалов. В своем докладе он должен был подтвердить, исходя из опыта проектирова­ния эсминца-лидера, необходимость при­влечения иностранной технической помощи к разработке проектов эсминцев, подлежа­щих закладке в последующие годы. Было при­нято решение построить три корабля по про­екту 1, а затем перейти на новые обводы при разработке следующего проекта для по­стройки лидеров 2-й серии. Молодая советская научная школа, ис­кусственно лишенная в те годы связи с ми­ровой, создавала собственные теории, ме­тодики, многие приоритетные методы иссле­дования. Ее потенциал позволил внедрить в совершенную в то время теорию корабля методы теоретической гидродинамики и аэродинамики, которые нашли широкое применение при экспериментальном иссле­довании обводов корпуса быстроходных лидеров, а также при проектировании кавитационных гребных винтов. В 1932 году в Ленинграде инициативой и усилиями началь­ника НИВК Н.В.Алякринского была созда­на исследовательская лаборатория, обору­дованная специальной кавитационной тру­бой. В этой лаборатории Э.Э.Папмелем, А.Н.Калмыковым и В.Л.Поздюниным прово­дились исследования эрозии гребных винтов лидеров и поиск оптимальных условий их работы. Во время разработки и создания лидеров дальнейшее развитие в трудах П.Ф.Попко­вича, Ю.А.Шиманского и других получили теоретические основы строительной меха­ники корабля, разработанные в трудах ос­новоположников отечественной теории ко­раблестроения А.Н.Крылова и И.Г.Бубнова. Именно в эти годы в ответ на запросы прак­тики были опубликованы «Техника измере­ния деформаций судовых корпусов» (1 932), глава «Вибрация корабля» в книге «Спра­вочник по судостроению» (1932) П.Ф.Поп­ковича, «Динамический расчет судовых кон­струкций» и многотомный справочник по строительной механике Ю.А. Шиманского. В свою очередь, эти и другие работы позво­лили усовершенствовать методы расчета общей и местной прочности корпусных кон­струкций надводных кораблей, особенно ли­деров. Впервые для лидеров была разрабо­тана в теоретическом плане специальная продольно-поперечная система набора не­бронированного корпуса. Удачным решени­ем при проектировании лидеров явилось принятие больших запасов по весовой на­грузке, гарантировавших, что проектное во­доизмещение не будет превышено. Требуемая ТТЗ высокая скорость хода корабля вызывала кавитацию его гребных винтов, что приводило к изменению их гид­родинамических характеристик и эрозион­ному разрушению лопастей. Кавитации за­висит от числа оборотов гребных винтов, их размеров и формы, скорости и направ­ления потока воды, глубины расположения винтов от поверхности воды и других фак­торов. Поиск оптимальных условий работы винтов и их пара­метров проводился на моделях в кави­тационной трубе НИВК. Высокий про­фессионализм ин­женера-механика Э.Э.Папмеля, воз­главившего соз­данное в это время Бюро судовых дви­жителей, позволил добиться общего улучшения пропульсивного качества гребных винтов ско­ростных кораблей типа «Ленинград» за счет перепроекти­рования всей конст­рукции во всех дета­лях вместо упро­щенного решения значительного уве­личения диаметра с целью уменьшения кавитационной эрозии. Жесткие требования, предъявляемые к строящимся лидерам, обусловили потреб­ность предвоенного кораблестроения в рас­ширении номенклатуры судостроительных материалов. Развернутые в СССР исследо­вания привели к созданию ряда марок ма­териалов, которые нашли широкое приме­нение в строительстве лидеров. Например, для надстроек на этих кораблях планирова­лось применить марганцовистую сталь с пределом текучести 40 кгс/мм2. Широкое внедрение этой марки стали явилось воз­можным после тщательных исследований по изысканию путей устранения ряда серьез­ных недостатков, в частности, хрупкости и склонности к растрескиванию. Впоследствии во время строительства из-за ее оттенка до покраски корабли называли «серебряны­ми». В отдельных конструкциях (внутренних выгородках, зашивке изоляции, вентиляцион­ных каналах) использовались сплавы алюми­ния—дюралюминий и кольчугалюминий (11866).</w:t>
      </w:r>
    </w:p>
    <w:p w14:paraId="24B00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8626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в Учебно-строевом управлении УВМС было составлено так</w:t>
      </w:r>
      <w:r w:rsidRPr="00E93F40">
        <w:rPr>
          <w:rFonts w:ascii="Times New Roman" w:hAnsi="Times New Roman"/>
          <w:color w:val="000000" w:themeColor="text1"/>
          <w:sz w:val="16"/>
          <w:szCs w:val="16"/>
        </w:rPr>
        <w:softHyphen/>
        <w:t>тическое задание на проектирование очередного днепровского ма</w:t>
      </w:r>
      <w:r w:rsidRPr="00E93F40">
        <w:rPr>
          <w:rFonts w:ascii="Times New Roman" w:hAnsi="Times New Roman"/>
          <w:color w:val="000000" w:themeColor="text1"/>
          <w:sz w:val="16"/>
          <w:szCs w:val="16"/>
        </w:rPr>
        <w:softHyphen/>
        <w:t>лого монитора (первоначально — канонерской лодки), в котором сохранилось требования осадки в пределах 0,6 м. В ос</w:t>
      </w:r>
      <w:r w:rsidRPr="00E93F40">
        <w:rPr>
          <w:rFonts w:ascii="Times New Roman" w:hAnsi="Times New Roman"/>
          <w:color w:val="000000" w:themeColor="text1"/>
          <w:sz w:val="16"/>
          <w:szCs w:val="16"/>
        </w:rPr>
        <w:softHyphen/>
        <w:t>нове задания был эскизный проект речной канонерской лодки, раз</w:t>
      </w:r>
      <w:r w:rsidRPr="00E93F40">
        <w:rPr>
          <w:rFonts w:ascii="Times New Roman" w:hAnsi="Times New Roman"/>
          <w:color w:val="000000" w:themeColor="text1"/>
          <w:sz w:val="16"/>
          <w:szCs w:val="16"/>
        </w:rPr>
        <w:softHyphen/>
        <w:t>работанный в 1930 г. в НТК и даже принятый Реввоенсоветом (25 марта того же года), но своевременно не реализованный. Инте</w:t>
      </w:r>
      <w:r w:rsidRPr="00E93F40">
        <w:rPr>
          <w:rFonts w:ascii="Times New Roman" w:hAnsi="Times New Roman"/>
          <w:color w:val="000000" w:themeColor="text1"/>
          <w:sz w:val="16"/>
          <w:szCs w:val="16"/>
        </w:rPr>
        <w:softHyphen/>
        <w:t>ресно, что корректировки этого проекта потребовал Штаб РККА, указав морякам на слишком большую длину канонерской лодки (59 м), "затруднявшую ее использование на театре противника" (р. Припять). Армейцы настояли на уменьшении длины корпуса, допустив увеличение осадки на 10 см. Материалы эскизного проек</w:t>
      </w:r>
      <w:r w:rsidRPr="00E93F40">
        <w:rPr>
          <w:rFonts w:ascii="Times New Roman" w:hAnsi="Times New Roman"/>
          <w:color w:val="000000" w:themeColor="text1"/>
          <w:sz w:val="16"/>
          <w:szCs w:val="16"/>
        </w:rPr>
        <w:softHyphen/>
        <w:t>та включали и проект двухорудийной 102-мм башни с 9-футовым (2,75 м) дальномером Барра и Студа. Общее проектирование этого корабля в 1933—1934 гг. велось в том же бюро, которое стало фи</w:t>
      </w:r>
      <w:r w:rsidRPr="00E93F40">
        <w:rPr>
          <w:rFonts w:ascii="Times New Roman" w:hAnsi="Times New Roman"/>
          <w:color w:val="000000" w:themeColor="text1"/>
          <w:sz w:val="16"/>
          <w:szCs w:val="16"/>
        </w:rPr>
        <w:softHyphen/>
        <w:t>лиалом ленинградского Речсудопроекта, под руководством инжене</w:t>
      </w:r>
      <w:r w:rsidRPr="00E93F40">
        <w:rPr>
          <w:rFonts w:ascii="Times New Roman" w:hAnsi="Times New Roman"/>
          <w:color w:val="000000" w:themeColor="text1"/>
          <w:sz w:val="16"/>
          <w:szCs w:val="16"/>
        </w:rPr>
        <w:softHyphen/>
        <w:t>ра А. Л. Николаенко. Назначением монитора было "участие в бою против речных сил противника, обстрел флангов и тыла армии противника, поддержание флангов частей Красной Армии" (3898).</w:t>
      </w:r>
    </w:p>
    <w:p w14:paraId="287BE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FB0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задание на эсминец для Балтийского и черного морей подверглось корректировке в сторону уменьшения водоизмещения (с 1500—1800 т до 1200— 1300 т). В то же время дальность плавания экономическим ходом повышалась с 1000 до 2000 миль. Главное вооружение — два трех</w:t>
      </w:r>
      <w:r w:rsidRPr="00E93F40">
        <w:rPr>
          <w:rFonts w:ascii="Times New Roman" w:hAnsi="Times New Roman"/>
          <w:color w:val="000000" w:themeColor="text1"/>
          <w:sz w:val="16"/>
          <w:szCs w:val="16"/>
        </w:rPr>
        <w:softHyphen/>
        <w:t>трубных 533-мм торпедньгх аппарата и четыре одинарных 130-мм орудия — оставалось неизменным, зенитное усиливалось третьей 76-мм пушкой. Допускалась проработка вариантов с тремя 130-мм и двумя 76-мм орудиями. Характерно, что оба задания в выборе [.образований носовой части ориентировалось на японский эсминец "убуки", имевший "хищную" изогнутую форму форштевня с разводом бортов (3898).</w:t>
      </w:r>
    </w:p>
    <w:p w14:paraId="407681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5B269E"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4CE54CC5"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B06235" w14:textId="77777777" w:rsidR="00B3217A" w:rsidRPr="00142305" w:rsidRDefault="00B3217A" w:rsidP="00B321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февраля 1932 г. ввели штат авиаэскадрильи из 28 машин (три отря</w:t>
      </w:r>
      <w:r w:rsidRPr="00142305">
        <w:rPr>
          <w:rFonts w:ascii="Times New Roman" w:hAnsi="Times New Roman"/>
          <w:color w:val="0070C0"/>
          <w:sz w:val="16"/>
          <w:szCs w:val="16"/>
        </w:rPr>
        <w:softHyphen/>
        <w:t>да), а годом позже увеличили количество самолетов в от</w:t>
      </w:r>
      <w:r w:rsidRPr="00142305">
        <w:rPr>
          <w:rFonts w:ascii="Times New Roman" w:hAnsi="Times New Roman"/>
          <w:color w:val="0070C0"/>
          <w:sz w:val="16"/>
          <w:szCs w:val="16"/>
        </w:rPr>
        <w:softHyphen/>
        <w:t>ряде до десяти и эскадрилья, соответственно, стала комп</w:t>
      </w:r>
      <w:r w:rsidRPr="00142305">
        <w:rPr>
          <w:rFonts w:ascii="Times New Roman" w:hAnsi="Times New Roman"/>
          <w:color w:val="0070C0"/>
          <w:sz w:val="16"/>
          <w:szCs w:val="16"/>
        </w:rPr>
        <w:softHyphen/>
        <w:t>лектоваться 31 Р-5 (24990).</w:t>
      </w:r>
    </w:p>
    <w:p w14:paraId="6EB44B04" w14:textId="77777777" w:rsidR="00B3217A" w:rsidRPr="00142305" w:rsidRDefault="00B3217A" w:rsidP="00B3217A">
      <w:pPr>
        <w:spacing w:after="0" w:line="240" w:lineRule="auto"/>
        <w:jc w:val="both"/>
        <w:rPr>
          <w:rFonts w:ascii="Times New Roman" w:hAnsi="Times New Roman"/>
          <w:color w:val="0070C0"/>
          <w:sz w:val="16"/>
          <w:szCs w:val="16"/>
        </w:rPr>
      </w:pPr>
    </w:p>
    <w:p w14:paraId="13BF0573"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Февраль 1932</w:t>
      </w:r>
    </w:p>
    <w:p w14:paraId="2240C520"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«Рапорт Начальника Военных Воздушных сил РККА т. Баранова IX съезду Комсомола Партийно-комсомольская прослойка среди летного и технического состава возросла с 37 % в 1925 году до 70 % в 1930 году; рабочая прослойка с 18 % поднялась до 40 %, в некоторых звеньях летно-технического состава эта прослойка достигает 65 %. Работа школ дает все основания рассчитывать на быстрый прогрессивный подъем партийно-комсомольской и рабочей прослойки, так как ныне в составе школ имеется до 90 % рабочих и до 90 % партийно-комсомольской прослойки. (…) Наряду с ростом и укреплением кадров Воздушного флота растет и крепнет боевая мощь Военных Воздушных сил. Авиационная промышленность дает все новые и новые образцы самолетов и моторов, превосходящих по своим качествам лучшие достижения заграничной техники. Участие наших летчиков в конкурсе, организованном персидским правительством, лишний раз подчеркнуло успехи нашего самолето- и моторостроения. Перелеты в Америку, Турцию, Персию, Афганистан, героическая работа Воздушного флота в составе Особой Дальневосточной армии, являются подтверждением успехов отечественного самолето- и моторостроения. Рост авиапромышленности, ее технический прогресс и перспективы дальнейшего развития создали возможность на этой базе развертывать мощный Гражданский Воздушный флот. Растет также боевая выучка и подготовленность личного состава. Участие в перелетах, в боевых действиях в Особой Дальневосточной армии свидетельствуют не только о росте и укреплении материальной базы Военного Воздушного флота, а также о значительно повысившейся подготовке личного состава. В процессе учебы удалось достигнуть теснейшей связи с сухопутными силами и морским флотом. Боевая подготовленность Военных Воздушных сил, тесная связь с земными войсками обеспечивают победы нашей РабочеКрестьянской Красной Армии на будущих фронтах. (…) Необходимо организовать широкую тягу лучших идейно и политически выдержанных рабочих – комсомольцев и комсомольцев – колхозников в школы Военных Воздушных сил. Необходимо использовать комсомольские организации в составе Военных Воздушных сил в качестве рычага для поднятия боевой подготовки, дисциплины, отваги и мужества в частях Военных Воздушных сил (…)»</w:t>
      </w:r>
    </w:p>
    <w:p w14:paraId="29D726E1"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(Рапорт Начальника Военных Воздушных сил РККА т. Баранова IX съезду Комсомола // Вестник воздушного флота. – 1931. - № 2. – С. 42.) (19566).</w:t>
      </w:r>
    </w:p>
    <w:p w14:paraId="3DFB5FCD" w14:textId="77777777" w:rsidR="00716F88" w:rsidRPr="00E93F40" w:rsidRDefault="00716F88" w:rsidP="00E93F40">
      <w:pPr>
        <w:spacing w:after="0" w:line="240" w:lineRule="auto"/>
        <w:jc w:val="both"/>
        <w:rPr>
          <w:rFonts w:ascii="Times New Roman" w:hAnsi="Times New Roman"/>
          <w:color w:val="000000" w:themeColor="text1"/>
          <w:sz w:val="16"/>
          <w:szCs w:val="16"/>
        </w:rPr>
      </w:pPr>
    </w:p>
    <w:p w14:paraId="6F97220C"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40219C0"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FA2AA1A"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резко выросли цены в кооперативных магазинах (мясо на 45%, картофель на 43%, сахар на 50%, макароны на 75%, обувь на 50%, ткани на 100% и т. д.){969}.Население Москвы, опасаясь голода, запасалось продовольствием. Хлеб, сахар и мука на время исчезли из продажи{970}.Проблемы распределения вынудили власти отменить летом 1932 г. карточную систему на некоторые продовольственные товары. Основные продукты питания (хлеб, овсяные хлопья, мясо, сахар и растительное масло) вплоть до 1935 г. продолжали, впрочем, выдавать по карточкам. В 1928-1932 гг. потребление мяса семьями московских рабочих сократилось на 60%, молочных продуктов — на 50%. Компенсировать этот недостаток приходилось возросшим потреблением картофеля, хлеба и рыбы{971} (18299).</w:t>
      </w:r>
    </w:p>
    <w:p w14:paraId="0E6468A3" w14:textId="77777777" w:rsidR="00716F88" w:rsidRPr="00E93F40" w:rsidRDefault="00716F88"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3D0EE9B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029DE2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3CB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года при выводе из эллинга в условиях сильного ветра ZRS-4 ударился кормовой частью о землю. При этом было повреждено оперение, один из главных шпангоутов и внешняя обшивка. Во время осмотра обнаружили ослабление большого числа заклепочных соединений металлических элементов конструкции. Дирижабль отремонтировали, но, как отмечали многие специалисты, недостаточно тщательно, что и подтвердила поломка руля направления, предшествовавшая катастрофе. Кроме того, как утверждал один из спасшихся членов команды, перед ударом о воду наблюдалась деформация продольных силовых элементов каркаса. Заложенная в конструкцию прочность кормовой части, по-видимому, также была недостаточной. Одной из причин могло стать перетяжеление дирижабля по сравнению с проектом почти на 8 т (11324).</w:t>
      </w:r>
    </w:p>
    <w:p w14:paraId="715171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C93BD5" w14:textId="0FE058C8"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1932 г. к Оберту, который работал в Румынии преподавателем в учебных заведениях в Медиаш приехал некий Владимир Исаакович Кубин (настоящее это имя или псевдоним</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неизвестно). От имени правительства СССР он предложил Оберту вместе с семьей переехать в Страну Советов, чтобы работать в области ракетостроения. В случае согласия он получит высокую зарплату, хорошую квартиру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снабжение всем нужным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том числе питанием) не хуже чем в Европе. При этом тематику и объем работ Оберт должен предложить сам. Условия идеальные: делай, что хочешь, и не думай о деньгах. Из разговора с Кубиным Оберт понял, что беседует со специалистом. Гость хорошо ориентировался в вопросах ракетной техники. Судя по всему, предложение было серьезным. Тогда Оберт попытался выяснить, не предлагают ли ему принять участие в создании нового оружия. Хотя гость не дал прямого ответа на этот вопрос, Оберт понял, что от него ждут именно этого. Он отказался.</w:t>
      </w:r>
    </w:p>
    <w:p w14:paraId="7F094D64"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Кубин попросил его хорошо подумать, и пообещал через некоторое время снова наведаться. Через 10 месяцев он действительно приехал, но Оберт еще раз подтвердил свой отказ (23372).</w:t>
      </w:r>
    </w:p>
    <w:p w14:paraId="22EAEEA4"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22A4BD8B" w14:textId="77777777" w:rsidR="00B3217A" w:rsidRPr="00E93F40" w:rsidRDefault="00B3217A" w:rsidP="00B3217A">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5083B2A" w14:textId="77777777" w:rsidR="00B3217A" w:rsidRPr="00E93F40" w:rsidRDefault="00B3217A" w:rsidP="00B3217A">
      <w:pPr>
        <w:autoSpaceDE w:val="0"/>
        <w:autoSpaceDN w:val="0"/>
        <w:adjustRightInd w:val="0"/>
        <w:spacing w:after="0" w:line="240" w:lineRule="auto"/>
        <w:jc w:val="both"/>
        <w:rPr>
          <w:rFonts w:ascii="Times New Roman" w:hAnsi="Times New Roman"/>
          <w:iCs/>
          <w:color w:val="000000" w:themeColor="text1"/>
          <w:sz w:val="16"/>
          <w:szCs w:val="16"/>
        </w:rPr>
      </w:pPr>
    </w:p>
    <w:p w14:paraId="468666E9" w14:textId="77777777" w:rsidR="00B3217A" w:rsidRPr="00142305" w:rsidRDefault="00B3217A" w:rsidP="00B321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течение февраля-марта 1932 г. на ТБ-1 совершили 9 полетов с автопилотом АВП-1, но автопилот требовал до</w:t>
      </w:r>
      <w:r w:rsidRPr="00142305">
        <w:rPr>
          <w:rFonts w:ascii="Times New Roman" w:hAnsi="Times New Roman"/>
          <w:color w:val="0070C0"/>
          <w:sz w:val="16"/>
          <w:szCs w:val="16"/>
        </w:rPr>
        <w:softHyphen/>
        <w:t>водки. Разработчик АВП-1 Р.Г. Ниренберг. Отработку и летные испытания этого автопилота вели совместно сотрудники ОСКОНБЮРО, инженеры и летчики НИИ ВВС: Р.Г. Ни</w:t>
      </w:r>
      <w:r w:rsidRPr="00142305">
        <w:rPr>
          <w:rFonts w:ascii="Times New Roman" w:hAnsi="Times New Roman"/>
          <w:color w:val="0070C0"/>
          <w:sz w:val="16"/>
          <w:szCs w:val="16"/>
        </w:rPr>
        <w:softHyphen/>
        <w:t>ренберг, Г.В. Коренев, Д.Ф. Тихомиров, А.А. Колосов. После устранения дефектов 21 июня 1932 г. эки</w:t>
      </w:r>
      <w:r w:rsidRPr="00142305">
        <w:rPr>
          <w:rFonts w:ascii="Times New Roman" w:hAnsi="Times New Roman"/>
          <w:color w:val="0070C0"/>
          <w:sz w:val="16"/>
          <w:szCs w:val="16"/>
        </w:rPr>
        <w:softHyphen/>
        <w:t>паж в составе А.А. Колосова, Я.И. Алксниса, Лугиса, Лопицкого совершил полет с работающим автопилотом продолжительностью 6 час 15 мин по маршруту Моск</w:t>
      </w:r>
      <w:r w:rsidRPr="00142305">
        <w:rPr>
          <w:rFonts w:ascii="Times New Roman" w:hAnsi="Times New Roman"/>
          <w:color w:val="0070C0"/>
          <w:sz w:val="16"/>
          <w:szCs w:val="16"/>
        </w:rPr>
        <w:softHyphen/>
        <w:t>ва - Нижний Новгород – Москв а (25004).</w:t>
      </w:r>
    </w:p>
    <w:p w14:paraId="2D26C034" w14:textId="77777777" w:rsidR="00B3217A" w:rsidRPr="00142305" w:rsidRDefault="00B3217A" w:rsidP="00B3217A">
      <w:pPr>
        <w:spacing w:after="0" w:line="240" w:lineRule="auto"/>
        <w:jc w:val="both"/>
        <w:rPr>
          <w:rFonts w:ascii="Times New Roman" w:hAnsi="Times New Roman"/>
          <w:color w:val="0070C0"/>
          <w:sz w:val="16"/>
          <w:szCs w:val="16"/>
        </w:rPr>
      </w:pPr>
    </w:p>
    <w:p w14:paraId="47DBFE8F" w14:textId="77777777" w:rsidR="00B3217A" w:rsidRPr="00E93F40" w:rsidRDefault="00B3217A" w:rsidP="00B3217A">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DC19B46" w14:textId="77777777" w:rsidR="00B3217A" w:rsidRPr="00E93F40" w:rsidRDefault="00B3217A" w:rsidP="00B3217A">
      <w:pPr>
        <w:autoSpaceDE w:val="0"/>
        <w:autoSpaceDN w:val="0"/>
        <w:adjustRightInd w:val="0"/>
        <w:spacing w:after="0" w:line="240" w:lineRule="auto"/>
        <w:jc w:val="both"/>
        <w:rPr>
          <w:rFonts w:ascii="Times New Roman" w:hAnsi="Times New Roman"/>
          <w:iCs/>
          <w:color w:val="000000" w:themeColor="text1"/>
          <w:sz w:val="16"/>
          <w:szCs w:val="16"/>
        </w:rPr>
      </w:pPr>
    </w:p>
    <w:p w14:paraId="676EB8C6" w14:textId="77777777" w:rsidR="00B3217A" w:rsidRPr="00E93F40" w:rsidRDefault="00B3217A" w:rsidP="00B3217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феврале-апреле 1931 на НИБТ полигоне прошли испытания танка ТММ-1 - версии Виккерс, разработанной по проекту факультета ММ под руководством М.В.Данченко и построенной на Большевике в Ленинграде (9527,89).</w:t>
      </w:r>
    </w:p>
    <w:p w14:paraId="1DB376CC" w14:textId="77777777" w:rsidR="00B3217A" w:rsidRPr="00E93F40" w:rsidRDefault="00B3217A" w:rsidP="00B3217A">
      <w:pPr>
        <w:autoSpaceDE w:val="0"/>
        <w:autoSpaceDN w:val="0"/>
        <w:adjustRightInd w:val="0"/>
        <w:spacing w:after="0" w:line="240" w:lineRule="auto"/>
        <w:jc w:val="both"/>
        <w:rPr>
          <w:rFonts w:ascii="Times New Roman" w:hAnsi="Times New Roman"/>
          <w:color w:val="000000" w:themeColor="text1"/>
          <w:sz w:val="16"/>
          <w:szCs w:val="16"/>
        </w:rPr>
      </w:pPr>
    </w:p>
    <w:p w14:paraId="3F5E540A" w14:textId="77777777" w:rsidR="00B3217A" w:rsidRPr="00142305" w:rsidRDefault="00B3217A" w:rsidP="00B321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феврале-марте 1932 года, когда еще полным ходом шли работы по Т-33, нача</w:t>
      </w:r>
      <w:r w:rsidRPr="00142305">
        <w:rPr>
          <w:rFonts w:ascii="Times New Roman" w:hAnsi="Times New Roman"/>
          <w:color w:val="0070C0"/>
          <w:sz w:val="16"/>
          <w:szCs w:val="16"/>
        </w:rPr>
        <w:softHyphen/>
        <w:t>лись работы по проектированию новых образ</w:t>
      </w:r>
      <w:r w:rsidRPr="00142305">
        <w:rPr>
          <w:rFonts w:ascii="Times New Roman" w:hAnsi="Times New Roman"/>
          <w:color w:val="0070C0"/>
          <w:sz w:val="16"/>
          <w:szCs w:val="16"/>
        </w:rPr>
        <w:softHyphen/>
        <w:t>цов отечественных плавающих танков (25019).</w:t>
      </w:r>
    </w:p>
    <w:p w14:paraId="20CAE32B" w14:textId="77777777" w:rsidR="00B3217A" w:rsidRPr="00142305" w:rsidRDefault="00B3217A" w:rsidP="00B3217A">
      <w:pPr>
        <w:spacing w:after="0" w:line="240" w:lineRule="auto"/>
        <w:jc w:val="both"/>
        <w:rPr>
          <w:rFonts w:ascii="Times New Roman" w:hAnsi="Times New Roman"/>
          <w:color w:val="0070C0"/>
          <w:sz w:val="16"/>
          <w:szCs w:val="16"/>
        </w:rPr>
      </w:pPr>
    </w:p>
    <w:p w14:paraId="5C8B53C1" w14:textId="6BF05CBD" w:rsidR="007B1D3C" w:rsidRPr="00E93F40" w:rsidRDefault="004D7DCB"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r w:rsidR="00F773A6" w:rsidRPr="00E93F40">
        <w:rPr>
          <w:rFonts w:ascii="Times New Roman" w:hAnsi="Times New Roman"/>
          <w:i/>
          <w:iCs/>
          <w:color w:val="000000" w:themeColor="text1"/>
          <w:sz w:val="16"/>
          <w:szCs w:val="16"/>
        </w:rPr>
        <w:t>:</w:t>
      </w:r>
    </w:p>
    <w:p w14:paraId="6818ECC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415E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Зимой 1931/1932 самолет ТБ-5 поставили на лыжи и совершили на нем еще ряд полетов. Продолжались и проектные работы по оснащению ТБ-5 двигателями ФЭД. Были испытаны в аэродинамической трубе ЦАГИ варианты самолета с установкой двигателей в передней кромке крыла. Работа велась под руководством С.А.Кочеригина. На самолете отметились и другие, впоследствии известные конструкторы, например, Б.И.Черановский, В.П.Яценко и А.Н.Рафаэлянц. Что касается серийного производства бомбовоза, то вопрос этот откладывался на неопределенное время. Основным препятствием стала недостаточная мощность авиазавода №39, занятого производством и доделкой опытных машин. Полеты на опытном ТБ-5 продолжались, и в них принял участие известный летчик-испытатель М.М.Громов (5854,34).</w:t>
      </w:r>
    </w:p>
    <w:p w14:paraId="29D5E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0BCBFC"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Зимой 1932 года студенты, трое друзей: Петр Грушин, Дмитрий Бабад и Афанасий Мараказов сдали в оргкомитет конкурса проект легкомоторного самолета, который, назвали «Бригадный». Руководитель кафедры Д. П. Григорович, с которым решил посоветоваться Грушин, прямо сказал ему: «Будет стоящий проект – зачтем всем вам его как дипломный». Но рассмотрение материалов, поступивших в оргкомитет, затянулось до середины июня, а результаты были опубликованы в газете «Известия» 13 октября 1932 года (24213).</w:t>
      </w:r>
    </w:p>
    <w:p w14:paraId="479D296F"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0CFB8FA7" w14:textId="77777777" w:rsidR="001B58D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9C2BE27" w14:textId="77777777" w:rsidR="001B58DB" w:rsidRPr="00E93F40" w:rsidRDefault="001B58D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F05B8C2" w14:textId="77777777" w:rsidR="001B58DB" w:rsidRPr="00E93F40" w:rsidRDefault="001B58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Зимой 1932 года переделали по проекту НАТИ несколько АМО-3 в опытные седельные тягачи АМО-7 с увеличенным до 8,00:1 передаточным числом заднего моста и укороченной базой до 2920 мм. А-7 предназначался для буксировки 5-тонного прицепа (15992).</w:t>
      </w:r>
    </w:p>
    <w:p w14:paraId="098DB51C" w14:textId="77777777" w:rsidR="001B58DB" w:rsidRPr="00E93F40" w:rsidRDefault="001B58DB" w:rsidP="00E93F40">
      <w:pPr>
        <w:spacing w:after="0" w:line="240" w:lineRule="auto"/>
        <w:jc w:val="both"/>
        <w:rPr>
          <w:rFonts w:ascii="Times New Roman" w:hAnsi="Times New Roman"/>
          <w:color w:val="000000" w:themeColor="text1"/>
          <w:sz w:val="16"/>
          <w:szCs w:val="16"/>
        </w:rPr>
      </w:pPr>
    </w:p>
    <w:p w14:paraId="1C69A35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BAC85A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490C0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марту 1932 г. Техбюро № 4 под руководством Асафова раз</w:t>
      </w:r>
      <w:r w:rsidRPr="00E93F40">
        <w:rPr>
          <w:rFonts w:ascii="Times New Roman" w:hAnsi="Times New Roman"/>
          <w:color w:val="000000" w:themeColor="text1"/>
          <w:sz w:val="16"/>
          <w:szCs w:val="16"/>
        </w:rPr>
        <w:softHyphen/>
        <w:t>работало эскизный проект пл малютка (3898).</w:t>
      </w:r>
    </w:p>
    <w:p w14:paraId="002363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BD21F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ACDA4C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383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весне 1932 г. гидросамолёт Г.М.Б."машина № 25" (ЦКБ-25) разобрали и по железной дороге доставили в Севастополь на гидробазу завода № 45 в бухте Голландия. Здесь ему предстояло пройти мореходные и лётные испытания. Их поручили провести известному морскому лётчику Б.Л. Бухгольцу и бортмеханику В.А. Днепрову.</w:t>
      </w:r>
    </w:p>
    <w:p w14:paraId="4D7E4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полёт нового морского разведчика планировался на 30 апреля 1932 г. и должен был стать, как было тогда принято, "очередным подарком к празднику Международной солидарности трудящихся". По этому случаю на гидробазе собралось много гостей. Экипаж торжественно поднялся в самолёт, стоявший на перекатной тележке у гидроспуска. Подошёл катер и подал на летающую лодку буксирные концы. Бериев лично дал команду: "Машину на воду!". МБР-2 - на воде, и тут происходит непредвиденное: гидросамолёт "не захотел" расставаться с перекатной тележкой.</w:t>
      </w:r>
    </w:p>
    <w:p w14:paraId="7FA68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Машину вытащили из воды, чтобы разобраться в причинах случившегося. Оказалось, что обитое войлоком ложе перекатной тележки не было предварительно промазано тавотом, и под тяжестью машины оно намертво приклеилось к днищу лодки, покрытому "кузбасслаком" (12003).</w:t>
      </w:r>
    </w:p>
    <w:p w14:paraId="33BE4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C127FC" w14:textId="1A9DF58A" w:rsidR="00066767" w:rsidRPr="00142305" w:rsidRDefault="00066767" w:rsidP="00066767">
      <w:pPr>
        <w:spacing w:after="0" w:line="240" w:lineRule="auto"/>
        <w:jc w:val="both"/>
        <w:rPr>
          <w:rFonts w:ascii="Times New Roman" w:hAnsi="Times New Roman"/>
          <w:color w:val="0070C0"/>
          <w:sz w:val="16"/>
          <w:szCs w:val="16"/>
        </w:rPr>
      </w:pPr>
      <w:r>
        <w:rPr>
          <w:rStyle w:val="aff"/>
          <w:rFonts w:ascii="Times New Roman" w:eastAsiaTheme="minorHAnsi" w:hAnsi="Times New Roman" w:cs="Times New Roman"/>
          <w:color w:val="0070C0"/>
          <w:spacing w:val="0"/>
          <w:sz w:val="16"/>
          <w:szCs w:val="16"/>
        </w:rPr>
        <w:t xml:space="preserve">К </w:t>
      </w:r>
      <w:r w:rsidRPr="00142305">
        <w:rPr>
          <w:rStyle w:val="aff"/>
          <w:rFonts w:ascii="Times New Roman" w:eastAsiaTheme="minorHAnsi" w:hAnsi="Times New Roman" w:cs="Times New Roman"/>
          <w:color w:val="0070C0"/>
          <w:spacing w:val="0"/>
          <w:sz w:val="16"/>
          <w:szCs w:val="16"/>
        </w:rPr>
        <w:t>весне 1932 г. гидросамолет ЦКБ-25 был разобран и по желез</w:t>
      </w:r>
      <w:r w:rsidRPr="00142305">
        <w:rPr>
          <w:rStyle w:val="aff"/>
          <w:rFonts w:ascii="Times New Roman" w:eastAsiaTheme="minorHAnsi" w:hAnsi="Times New Roman" w:cs="Times New Roman"/>
          <w:color w:val="0070C0"/>
          <w:spacing w:val="0"/>
          <w:sz w:val="16"/>
          <w:szCs w:val="16"/>
        </w:rPr>
        <w:softHyphen/>
        <w:t>ной дороге доставлен в Се</w:t>
      </w:r>
      <w:r w:rsidRPr="00142305">
        <w:rPr>
          <w:rStyle w:val="aff"/>
          <w:rFonts w:ascii="Times New Roman" w:eastAsiaTheme="minorHAnsi" w:hAnsi="Times New Roman" w:cs="Times New Roman"/>
          <w:color w:val="0070C0"/>
          <w:spacing w:val="0"/>
          <w:sz w:val="16"/>
          <w:szCs w:val="16"/>
        </w:rPr>
        <w:softHyphen/>
        <w:t>вастополь на гидробазу завода №45 в бухте Голландия, где ему предсто</w:t>
      </w:r>
      <w:r w:rsidRPr="00142305">
        <w:rPr>
          <w:rStyle w:val="aff"/>
          <w:rFonts w:ascii="Times New Roman" w:eastAsiaTheme="minorHAnsi" w:hAnsi="Times New Roman" w:cs="Times New Roman"/>
          <w:color w:val="0070C0"/>
          <w:spacing w:val="0"/>
          <w:sz w:val="16"/>
          <w:szCs w:val="16"/>
        </w:rPr>
        <w:softHyphen/>
        <w:t>яло пройти мореходные и летные испытания. В апреле 1932 г. МБР-2 был готов к испытаниям (25061).</w:t>
      </w:r>
    </w:p>
    <w:p w14:paraId="1327C7CA" w14:textId="77777777" w:rsidR="00066767" w:rsidRPr="00142305" w:rsidRDefault="00066767" w:rsidP="00066767">
      <w:pPr>
        <w:spacing w:after="0" w:line="240" w:lineRule="auto"/>
        <w:jc w:val="both"/>
        <w:rPr>
          <w:rFonts w:ascii="Times New Roman" w:hAnsi="Times New Roman"/>
          <w:color w:val="0070C0"/>
          <w:sz w:val="16"/>
          <w:szCs w:val="16"/>
        </w:rPr>
      </w:pPr>
    </w:p>
    <w:p w14:paraId="5D3E4D23" w14:textId="77777777" w:rsidR="005B0D3C" w:rsidRPr="00E93F40" w:rsidRDefault="005B0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A221D51" w14:textId="77777777" w:rsidR="005B0D3C" w:rsidRPr="00E93F40" w:rsidRDefault="005B0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AB8CCA" w14:textId="77777777" w:rsidR="001B6DA6" w:rsidRPr="00E93F40" w:rsidRDefault="001B6DA6"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весне 1932 года в «железе» существова</w:t>
      </w:r>
      <w:r w:rsidRPr="00E93F40">
        <w:rPr>
          <w:rFonts w:ascii="Times New Roman" w:hAnsi="Times New Roman"/>
          <w:color w:val="000000" w:themeColor="text1"/>
          <w:sz w:val="16"/>
          <w:szCs w:val="16"/>
        </w:rPr>
        <w:softHyphen/>
        <w:t>ли четыре типа авиационных безоткат</w:t>
      </w:r>
      <w:r w:rsidRPr="00E93F40">
        <w:rPr>
          <w:rFonts w:ascii="Times New Roman" w:hAnsi="Times New Roman"/>
          <w:color w:val="000000" w:themeColor="text1"/>
          <w:sz w:val="16"/>
          <w:szCs w:val="16"/>
        </w:rPr>
        <w:softHyphen/>
        <w:t xml:space="preserve">ных пушек: АПК-1, АПК-3, АПК-4 и АПК- 5. Велась разработка еще нескольких орудий, в том числе АПК-8, АПК-10, АПК-11 и АПК-13 (аббревиатура АПК расшифровывалась «Авиационная Пушка Курчевского»), В той или иной мере были </w:t>
      </w:r>
      <w:r w:rsidRPr="00E93F40">
        <w:rPr>
          <w:rFonts w:ascii="Times New Roman" w:hAnsi="Times New Roman"/>
          <w:color w:val="000000" w:themeColor="text1"/>
          <w:sz w:val="16"/>
          <w:szCs w:val="16"/>
        </w:rPr>
        <w:lastRenderedPageBreak/>
        <w:t>облетаны и отстреляны в воздухе вооруженные ДРП самолеты Р-3, И-4 и И-12. К серийному производству готовился разрабо</w:t>
      </w:r>
      <w:r w:rsidRPr="00E93F40">
        <w:rPr>
          <w:rFonts w:ascii="Times New Roman" w:hAnsi="Times New Roman"/>
          <w:color w:val="000000" w:themeColor="text1"/>
          <w:sz w:val="16"/>
          <w:szCs w:val="16"/>
        </w:rPr>
        <w:softHyphen/>
        <w:t>танный группой Григоровича истребитель И-</w:t>
      </w:r>
      <w:r w:rsidRPr="00E93F40">
        <w:rPr>
          <w:rFonts w:ascii="Times New Roman" w:hAnsi="Times New Roman"/>
          <w:color w:val="000000" w:themeColor="text1"/>
          <w:sz w:val="16"/>
          <w:szCs w:val="16"/>
          <w:lang w:val="en-US"/>
        </w:rPr>
        <w:t>Z</w:t>
      </w:r>
      <w:r w:rsidRPr="00E93F40">
        <w:rPr>
          <w:rFonts w:ascii="Times New Roman" w:hAnsi="Times New Roman"/>
          <w:color w:val="000000" w:themeColor="text1"/>
          <w:sz w:val="16"/>
          <w:szCs w:val="16"/>
        </w:rPr>
        <w:t xml:space="preserve"> с двумя АПК-4 калибром 76 мм, однако, несмот</w:t>
      </w:r>
      <w:r w:rsidRPr="00E93F40">
        <w:rPr>
          <w:rFonts w:ascii="Times New Roman" w:hAnsi="Times New Roman"/>
          <w:color w:val="000000" w:themeColor="text1"/>
          <w:sz w:val="16"/>
          <w:szCs w:val="16"/>
        </w:rPr>
        <w:softHyphen/>
        <w:t>ря на прогрессивную монопланную схему, от него сложно было ожидать выдающихся харак</w:t>
      </w:r>
      <w:r w:rsidRPr="00E93F40">
        <w:rPr>
          <w:rFonts w:ascii="Times New Roman" w:hAnsi="Times New Roman"/>
          <w:color w:val="000000" w:themeColor="text1"/>
          <w:sz w:val="16"/>
          <w:szCs w:val="16"/>
        </w:rPr>
        <w:softHyphen/>
        <w:t>теристик. Спроектированный и построенный всего за пять месяцев, он, скорее, представлял собой платформу для войсковой отработки ДРП, чем полноценный истребитель. Неуби- рающееся шасси с нагромождением стоек и подкосов делало самолет похожим на айндекеры Энтони Фоккера, да и пушку, способную выпустить за 17 секунд всего семь снарядов, мало отличавшихся по могуществу от выстре</w:t>
      </w:r>
      <w:r w:rsidRPr="00E93F40">
        <w:rPr>
          <w:rFonts w:ascii="Times New Roman" w:hAnsi="Times New Roman"/>
          <w:color w:val="000000" w:themeColor="text1"/>
          <w:sz w:val="16"/>
          <w:szCs w:val="16"/>
        </w:rPr>
        <w:softHyphen/>
        <w:t>лов полковушки 1927-го года и летящих со ско</w:t>
      </w:r>
      <w:r w:rsidRPr="00E93F40">
        <w:rPr>
          <w:rFonts w:ascii="Times New Roman" w:hAnsi="Times New Roman"/>
          <w:color w:val="000000" w:themeColor="text1"/>
          <w:sz w:val="16"/>
          <w:szCs w:val="16"/>
        </w:rPr>
        <w:softHyphen/>
        <w:t>ростью всего 340 м/с, трудно было назвать венцом инженерной мысли. Требовалось нечто более прогрессивное (19933).</w:t>
      </w:r>
    </w:p>
    <w:p w14:paraId="1C44FBD3" w14:textId="77777777" w:rsidR="001B6DA6" w:rsidRPr="00E93F40" w:rsidRDefault="001B6DA6" w:rsidP="00E93F40">
      <w:pPr>
        <w:shd w:val="clear" w:color="auto" w:fill="FFFFFF"/>
        <w:spacing w:after="0" w:line="240" w:lineRule="auto"/>
        <w:jc w:val="both"/>
        <w:rPr>
          <w:rFonts w:ascii="Times New Roman" w:hAnsi="Times New Roman"/>
          <w:color w:val="000000" w:themeColor="text1"/>
          <w:sz w:val="16"/>
          <w:szCs w:val="16"/>
        </w:rPr>
      </w:pPr>
    </w:p>
    <w:p w14:paraId="496AEF03"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весне 1932 г. коллектив конструкторов Дизельного отдела ХПЗ состоял из 33 человек, половина из которых начали трудовую деятельность в 1930 и 1931 гг., т.е. имели незначительный стаж конструкторской работы. Разработкой дизеля БД-2 для танка БТ занималась созданная в начале 1932 г. секция по проектированию быстроходных дизелей под руководством начальника конструкторского бюро Дизельного отдела Я.Е. Вихмана. Первые результаты работы этой секции были отмечены руководством ХПЗ уже в начале июля 1932 г. в докладе заводоуправления «О работе завода в первом полугодии 1932 г.»:</w:t>
      </w:r>
    </w:p>
    <w:p w14:paraId="2660107F"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поставил перед собой задачу (и в настоящее время может считать ее почти разрешенной) – сконструировать и построить мощный быстроходный дизель-мотор, имеющий колоссальное значение.</w:t>
      </w:r>
    </w:p>
    <w:p w14:paraId="4E6599C6"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&lt;...&gt;</w:t>
      </w:r>
    </w:p>
    <w:p w14:paraId="2AC91F44"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стадии разрешения находится также и другая весьма сложная и ответственная задача – сконструировать и построить дизель-мотор для замены карбюраторных тракторных моторов».</w:t>
      </w:r>
    </w:p>
    <w:p w14:paraId="00C1417C"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[История ХПЗ. 1917 – 1932. Сборник документов и материалов. Изд. «Прапор», Харьков, 1965. С. 412] (24856).</w:t>
      </w:r>
    </w:p>
    <w:p w14:paraId="10F9D3FE"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258671A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1C2CF2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75CDA3" w14:textId="77777777" w:rsidR="00066767" w:rsidRPr="00142305" w:rsidRDefault="00066767" w:rsidP="00066767">
      <w:pPr>
        <w:widowControl w:val="0"/>
        <w:tabs>
          <w:tab w:val="left" w:pos="974"/>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марта 1932 г. Козлов вылетел на И-12 (АНТ-23) из Монино на Кунцевский полигон для опробования пушек в воздухе. Каждая АПК была снаряжена двумя снарядами — один находился в стволе, второй в магазине. На высоте 1000 м, после первого выстрела из левой пушки произошел разрыв сопла, сорвало обтекатели орудия, повредило проводку управления стабилизатором (стабилизатор на И-12 был управляемым, пилот мог в воздухе менять угол его установки). Во время происшествия пилот наблюдал разрыв снаряда на ожидаемой дистанции, одновременно автоматика подачи направила в ствол очередной снаряд. Разрыв сопла оказался совершенно неожиданным, до этого было проведено более 100 удачных выстрелов на земле.</w:t>
      </w:r>
    </w:p>
    <w:p w14:paraId="2A5E8C0E" w14:textId="77777777" w:rsidR="00066767" w:rsidRPr="00142305" w:rsidRDefault="00066767" w:rsidP="0006676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Ситуация в воздухе складывалась угрожающая. Козлов, который видел развороченную обшивку и поврежденную хвостовую балку, понимал, что в любой момент машина может начать разрушаться. Прыгать с парашютом было опасно, не ровен час — угодишь в задний винт. Да и не принято было у испытателей покидать машину, которая держалась в воздухе. С величайшей осторожностью пилот развернулся и направил самолет в сторону Центрального аэродрома. При посадке хвостовая балка, выточенная из стальной трубы диаметром 170 мм, переломилась… За спасение И-12 Иван Фролович Козлов был награжден орденом Красной Звезды.</w:t>
      </w:r>
    </w:p>
    <w:p w14:paraId="082FC483" w14:textId="77777777" w:rsidR="00066767" w:rsidRPr="00142305" w:rsidRDefault="00066767" w:rsidP="0006676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связи с аварией состоялось специальное совещание у Тухачевского. Пушки было решено доработать, увеличить толщину стенок сопла, усилить эти стенки дополнительными ребрами жесткости (25213).</w:t>
      </w:r>
    </w:p>
    <w:p w14:paraId="2B929DBF" w14:textId="77777777" w:rsidR="00066767" w:rsidRPr="00142305" w:rsidRDefault="00066767" w:rsidP="00066767">
      <w:pPr>
        <w:spacing w:after="0" w:line="240" w:lineRule="auto"/>
        <w:jc w:val="both"/>
        <w:rPr>
          <w:rFonts w:ascii="Times New Roman" w:hAnsi="Times New Roman"/>
          <w:color w:val="0070C0"/>
          <w:sz w:val="16"/>
          <w:szCs w:val="16"/>
        </w:rPr>
      </w:pPr>
    </w:p>
    <w:p w14:paraId="19923A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началась постройка АНТ-21бис (МИ-3бис) (514).</w:t>
      </w:r>
    </w:p>
    <w:p w14:paraId="19D27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C41663"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марта 1932 г. КБ А.Н.Т. начало реализа</w:t>
      </w:r>
      <w:r w:rsidRPr="00E93F40">
        <w:rPr>
          <w:rFonts w:ascii="Times New Roman" w:hAnsi="Times New Roman"/>
          <w:color w:val="000000" w:themeColor="text1"/>
          <w:sz w:val="16"/>
          <w:szCs w:val="16"/>
        </w:rPr>
        <w:softHyphen/>
        <w:t>цию проекта ТБ-6 – АНТ-26. Работу поручили бригаде № 1 КОСОС под руководством В.М. Петлякова. Общей увязкой занимался Б.М.Ковдорский, расчетами на проч</w:t>
      </w:r>
      <w:r w:rsidRPr="00E93F40">
        <w:rPr>
          <w:rFonts w:ascii="Times New Roman" w:hAnsi="Times New Roman"/>
          <w:color w:val="000000" w:themeColor="text1"/>
          <w:sz w:val="16"/>
          <w:szCs w:val="16"/>
        </w:rPr>
        <w:softHyphen/>
        <w:t>ность — В.Н. Беляев, вооружением — А.В. Надашкевич и С.М. Меерсон, обору</w:t>
      </w:r>
      <w:r w:rsidRPr="00E93F40">
        <w:rPr>
          <w:rFonts w:ascii="Times New Roman" w:hAnsi="Times New Roman"/>
          <w:color w:val="000000" w:themeColor="text1"/>
          <w:sz w:val="16"/>
          <w:szCs w:val="16"/>
        </w:rPr>
        <w:softHyphen/>
        <w:t>дованием — А.А. Енгибарян и Б.Л. Кербер.</w:t>
      </w:r>
    </w:p>
    <w:p w14:paraId="3A9BBD2A"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Туполев сразу же поднял вопрос о строительстве завода для серийной по</w:t>
      </w:r>
      <w:r w:rsidRPr="00E93F40">
        <w:rPr>
          <w:rFonts w:ascii="Times New Roman" w:hAnsi="Times New Roman"/>
          <w:color w:val="000000" w:themeColor="text1"/>
          <w:sz w:val="16"/>
          <w:szCs w:val="16"/>
        </w:rPr>
        <w:softHyphen/>
        <w:t>стройки АНТ—26 и завода для их ремон</w:t>
      </w:r>
      <w:r w:rsidRPr="00E93F40">
        <w:rPr>
          <w:rFonts w:ascii="Times New Roman" w:hAnsi="Times New Roman"/>
          <w:color w:val="000000" w:themeColor="text1"/>
          <w:sz w:val="16"/>
          <w:szCs w:val="16"/>
        </w:rPr>
        <w:softHyphen/>
        <w:t>та. Такие работы провел «Авиапроект», и в Казани начали возводить завод №124. Для ремонта машин предназна</w:t>
      </w:r>
      <w:r w:rsidRPr="00E93F40">
        <w:rPr>
          <w:rFonts w:ascii="Times New Roman" w:hAnsi="Times New Roman"/>
          <w:color w:val="000000" w:themeColor="text1"/>
          <w:sz w:val="16"/>
          <w:szCs w:val="16"/>
        </w:rPr>
        <w:softHyphen/>
        <w:t>чался завод № 84, имевший достаточные площади и ворота цеха с пролетом более 100 м.</w:t>
      </w:r>
    </w:p>
    <w:p w14:paraId="03B4CF00"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 предлагал рассматривать ТБ—6 как развитие ТБ—3 или ТБ—5. Но в КБ сумели доказать, что рациональнее принять за прототип ТБ—4.</w:t>
      </w:r>
    </w:p>
    <w:p w14:paraId="4A75E534"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выяснения ряда вопросов аэроди</w:t>
      </w:r>
      <w:r w:rsidRPr="00E93F40">
        <w:rPr>
          <w:rFonts w:ascii="Times New Roman" w:hAnsi="Times New Roman"/>
          <w:color w:val="000000" w:themeColor="text1"/>
          <w:sz w:val="16"/>
          <w:szCs w:val="16"/>
        </w:rPr>
        <w:softHyphen/>
        <w:t>намики, вибрации, управления построили двухместную буксировочную модель-пла</w:t>
      </w:r>
      <w:r w:rsidRPr="00E93F40">
        <w:rPr>
          <w:rFonts w:ascii="Times New Roman" w:hAnsi="Times New Roman"/>
          <w:color w:val="000000" w:themeColor="text1"/>
          <w:sz w:val="16"/>
          <w:szCs w:val="16"/>
        </w:rPr>
        <w:softHyphen/>
        <w:t>нер в 1/4 натуры, получившую наиме</w:t>
      </w:r>
      <w:r w:rsidRPr="00E93F40">
        <w:rPr>
          <w:rFonts w:ascii="Times New Roman" w:hAnsi="Times New Roman"/>
          <w:color w:val="000000" w:themeColor="text1"/>
          <w:sz w:val="16"/>
          <w:szCs w:val="16"/>
        </w:rPr>
        <w:softHyphen/>
        <w:t>нование планер ТБ—6. Его постройка была завершена уже после прекращения работ по АНТ—26. Тем не менее программу испытаний решили выполнить.</w:t>
      </w:r>
    </w:p>
    <w:p w14:paraId="27E6CA31"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Специально для серийного выпуска этой машины в Казани был построен громадный завод, однако в июле 1934 года по решению правительства работы по АНТ—26 были прекращены (23474).</w:t>
      </w:r>
    </w:p>
    <w:p w14:paraId="5BE78C85"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3AF48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 зам. пред. РВС и наркома по военно-морским делам Тухачевский писал письмо N 16112сс Молотову.</w:t>
      </w:r>
    </w:p>
    <w:p w14:paraId="52D2CB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в настоящее время не имеют на вооружении никаких зажигательных авиабомб.</w:t>
      </w:r>
    </w:p>
    <w:p w14:paraId="7BD17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наличие разработанных конструкций зажигательных авиабомб промышленность не принимает валовых заказов на них из-за необеспеченности их электроном вследствие отсутствия металлического магния.</w:t>
      </w:r>
    </w:p>
    <w:p w14:paraId="2D8BDB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тем Наркомвоенмор имеет в настоящее время полностью разработанную конструкцию 1 кг зажигательной электронной бомбы и как суррогатную - 1 кг термитную бомбу.</w:t>
      </w:r>
    </w:p>
    <w:p w14:paraId="696C3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вследствие недостаточной эффективности этих бомб при действии по сооружениям промышленного значения Наркомвоенмором разработана конструкция мощной 50 кг электронной и термитной бомб испытание коих будет проведено в марте, при чем произведенные уже опыты с 12 кг и 25 кг зажигательными бомбами дают уверенность в том, что 50 кг бомба даст вполне удовлетворительный результат (3534,3).</w:t>
      </w:r>
    </w:p>
    <w:p w14:paraId="774247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AD009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BFD4BB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A2BDC8" w14:textId="77777777" w:rsidR="00497EE9" w:rsidRPr="00E93F40" w:rsidRDefault="00497EE9" w:rsidP="00E93F40">
      <w:pPr>
        <w:spacing w:after="0" w:line="240" w:lineRule="auto"/>
        <w:jc w:val="both"/>
        <w:rPr>
          <w:rFonts w:ascii="Times New Roman" w:eastAsia="TimesNewRomanPSMT" w:hAnsi="Times New Roman"/>
          <w:color w:val="000000" w:themeColor="text1"/>
          <w:sz w:val="16"/>
          <w:szCs w:val="16"/>
        </w:rPr>
      </w:pPr>
      <w:r w:rsidRPr="00E93F40">
        <w:rPr>
          <w:rFonts w:ascii="Times New Roman" w:hAnsi="Times New Roman"/>
          <w:color w:val="000000" w:themeColor="text1"/>
          <w:sz w:val="16"/>
          <w:szCs w:val="16"/>
        </w:rPr>
        <w:t>К 1 марта 1932 г. по заказу ВОХИМУ Н. А. Доровлевым был представлен проект 107-мм химической мины большой емкости (5 кг ОВ), обеспечивающей стрельбу на максимальную дальность 1500 м.388 (20074).</w:t>
      </w:r>
    </w:p>
    <w:p w14:paraId="3E578AC8" w14:textId="77777777" w:rsidR="00497EE9" w:rsidRPr="00E93F40" w:rsidRDefault="00497EE9" w:rsidP="00E93F40">
      <w:pPr>
        <w:spacing w:after="0" w:line="240" w:lineRule="auto"/>
        <w:jc w:val="both"/>
        <w:rPr>
          <w:rFonts w:ascii="Times New Roman" w:eastAsia="TimesNewRomanPSMT" w:hAnsi="Times New Roman"/>
          <w:color w:val="000000" w:themeColor="text1"/>
          <w:sz w:val="16"/>
          <w:szCs w:val="16"/>
        </w:rPr>
      </w:pPr>
    </w:p>
    <w:p w14:paraId="7F4FA7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марта 1932 г. повсеместно на Т-26 над решеткой воздуховывода начали укреплять короб-козырек, предо</w:t>
      </w:r>
      <w:r w:rsidRPr="00E93F40">
        <w:rPr>
          <w:rFonts w:ascii="Times New Roman" w:hAnsi="Times New Roman"/>
          <w:color w:val="000000" w:themeColor="text1"/>
          <w:sz w:val="16"/>
          <w:szCs w:val="16"/>
        </w:rPr>
        <w:softHyphen/>
        <w:t>храняющий от осадков (особенно — снега) (10733,179).</w:t>
      </w:r>
    </w:p>
    <w:p w14:paraId="2DDA57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B0CB9" w14:textId="3CFCFCC7" w:rsidR="00716F88" w:rsidRPr="00E93F40" w:rsidRDefault="00075947"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П</w:t>
      </w:r>
      <w:r w:rsidR="00716F88" w:rsidRPr="00E93F40">
        <w:rPr>
          <w:rFonts w:ascii="Times New Roman" w:hAnsi="Times New Roman"/>
          <w:color w:val="000000" w:themeColor="text1"/>
          <w:sz w:val="16"/>
          <w:szCs w:val="16"/>
        </w:rPr>
        <w:t>о состоянию на 1 марта 1932 согласно «Справкам по Д-2», направляемым начальником УММ РККА Халепским наркому обороны СССР, было сделано следующее:</w:t>
      </w:r>
      <w:r w:rsidR="007C1411" w:rsidRPr="00E93F40">
        <w:rPr>
          <w:rFonts w:ascii="Times New Roman" w:hAnsi="Times New Roman"/>
          <w:color w:val="000000" w:themeColor="text1"/>
          <w:sz w:val="16"/>
          <w:szCs w:val="16"/>
        </w:rPr>
        <w:t xml:space="preserve"> </w:t>
      </w:r>
    </w:p>
    <w:p w14:paraId="50C3E3CE" w14:textId="5B55E838"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Договора заключены со всеми заводами.</w:t>
      </w:r>
      <w:r w:rsidR="007C1411" w:rsidRPr="00E93F40">
        <w:rPr>
          <w:rFonts w:ascii="Times New Roman" w:hAnsi="Times New Roman"/>
          <w:color w:val="000000" w:themeColor="text1"/>
          <w:sz w:val="16"/>
          <w:szCs w:val="16"/>
        </w:rPr>
        <w:t xml:space="preserve"> </w:t>
      </w:r>
    </w:p>
    <w:p w14:paraId="0607446F" w14:textId="55E271EA"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Броня - на завод № 1 подана для 10 вагонов, на остальные - по одному комплекту.</w:t>
      </w:r>
      <w:r w:rsidR="007C1411" w:rsidRPr="00E93F40">
        <w:rPr>
          <w:rFonts w:ascii="Times New Roman" w:hAnsi="Times New Roman"/>
          <w:color w:val="000000" w:themeColor="text1"/>
          <w:sz w:val="16"/>
          <w:szCs w:val="16"/>
        </w:rPr>
        <w:t xml:space="preserve"> </w:t>
      </w:r>
    </w:p>
    <w:p w14:paraId="5FD90DB2" w14:textId="059FB974"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Моторы - получены все.</w:t>
      </w:r>
      <w:r w:rsidR="007C1411" w:rsidRPr="00E93F40">
        <w:rPr>
          <w:rFonts w:ascii="Times New Roman" w:hAnsi="Times New Roman"/>
          <w:color w:val="000000" w:themeColor="text1"/>
          <w:sz w:val="16"/>
          <w:szCs w:val="16"/>
        </w:rPr>
        <w:t xml:space="preserve"> </w:t>
      </w:r>
    </w:p>
    <w:p w14:paraId="24EF486C" w14:textId="4938E08E"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Завод № 1 - к 1.03-32 г. заложено 6 единиц, из коих 1 корпус сварен полностью, башни заканчиваются. Обеспечены материалами 8 единиц. Завод планирует к 15.03.32 г. полностью закончить 5 вагонов, если получат импортные подшипники.</w:t>
      </w:r>
      <w:r w:rsidR="007C1411" w:rsidRPr="00E93F40">
        <w:rPr>
          <w:rFonts w:ascii="Times New Roman" w:hAnsi="Times New Roman"/>
          <w:color w:val="000000" w:themeColor="text1"/>
          <w:sz w:val="16"/>
          <w:szCs w:val="16"/>
        </w:rPr>
        <w:t xml:space="preserve"> </w:t>
      </w:r>
    </w:p>
    <w:p w14:paraId="0ABA1A26" w14:textId="1FE76180"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Остальные заводы ведут работу в объеме полученной брони.</w:t>
      </w:r>
      <w:r w:rsidR="007C1411" w:rsidRPr="00E93F40">
        <w:rPr>
          <w:rFonts w:ascii="Times New Roman" w:hAnsi="Times New Roman"/>
          <w:color w:val="000000" w:themeColor="text1"/>
          <w:sz w:val="16"/>
          <w:szCs w:val="16"/>
        </w:rPr>
        <w:t xml:space="preserve"> </w:t>
      </w:r>
    </w:p>
    <w:p w14:paraId="2089DF26" w14:textId="70FC1CE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Задержка в подшипниках - не выделена валюта и не заказаны за границей» (18626).</w:t>
      </w:r>
      <w:r w:rsidR="007C1411" w:rsidRPr="00E93F40">
        <w:rPr>
          <w:rFonts w:ascii="Times New Roman" w:hAnsi="Times New Roman"/>
          <w:color w:val="000000" w:themeColor="text1"/>
          <w:sz w:val="16"/>
          <w:szCs w:val="16"/>
        </w:rPr>
        <w:t xml:space="preserve"> </w:t>
      </w:r>
    </w:p>
    <w:p w14:paraId="6442893F" w14:textId="77777777" w:rsidR="00716F88" w:rsidRPr="00E93F40" w:rsidRDefault="00716F88" w:rsidP="00E93F40">
      <w:pPr>
        <w:spacing w:after="0" w:line="240" w:lineRule="auto"/>
        <w:jc w:val="both"/>
        <w:rPr>
          <w:rFonts w:ascii="Times New Roman" w:hAnsi="Times New Roman"/>
          <w:color w:val="000000" w:themeColor="text1"/>
          <w:sz w:val="16"/>
          <w:szCs w:val="16"/>
        </w:rPr>
      </w:pPr>
    </w:p>
    <w:p w14:paraId="1AE58AA5"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 марта 1932 г., согласно «Справкам по Д-2», направляемым начальником УММ РККА Халепским наркому обороны СССР было сделано следующее</w:t>
      </w:r>
    </w:p>
    <w:p w14:paraId="73048E84"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Договора заключены со всеми заводами.</w:t>
      </w:r>
    </w:p>
    <w:p w14:paraId="10DC4F19"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Броня — на завод № 1 подана для 10 вагонов, на остальные — по одному комплекту.</w:t>
      </w:r>
    </w:p>
    <w:p w14:paraId="6ED33058"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Моторы — получены все.</w:t>
      </w:r>
    </w:p>
    <w:p w14:paraId="36F29E00"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Завод № 1 — к 1.03-32 г. заложено 6 единиц, из коих 1 корпус сварен полностью, башни заканчиваются. Обеспечены материалами 8 единиц. Завод планирует к 15.03-32 г. полностью закончить 5 вагонов, если получат импортные подшипники.</w:t>
      </w:r>
    </w:p>
    <w:p w14:paraId="14A42D8F"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Остальные заводы ведут работу в объеме полученной брони.</w:t>
      </w:r>
    </w:p>
    <w:p w14:paraId="79748C54"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Задержка в подшипниках — не выделена валюта и не заказаны за границей» (25568).</w:t>
      </w:r>
    </w:p>
    <w:p w14:paraId="07387A5D" w14:textId="77777777" w:rsidR="00075947" w:rsidRPr="00142305" w:rsidRDefault="00075947" w:rsidP="00075947">
      <w:pPr>
        <w:spacing w:after="0" w:line="240" w:lineRule="auto"/>
        <w:jc w:val="both"/>
        <w:rPr>
          <w:rFonts w:ascii="Times New Roman" w:hAnsi="Times New Roman"/>
          <w:color w:val="0070C0"/>
          <w:sz w:val="16"/>
          <w:szCs w:val="16"/>
        </w:rPr>
      </w:pPr>
    </w:p>
    <w:p w14:paraId="1CBB0167"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 с 1 по 16 марта 1932 г. состоялись пробеги тракторов КПД («Катерпиллер подольский дизельный»), «Sixty» («Катерпиллер-60») и ряда других тракторов, которые предполагалось использовать для возки артиллерийских систем и других военных грузов, протяженностью до 300 км по шоссе и 50 км по грунтовым дорогам, снежной целине ближнего Подмосковья в районе деревни Черной и по Хорошевскому шоссе (сейчас это уже в черте города).</w:t>
      </w:r>
    </w:p>
    <w:p w14:paraId="4D31880F"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Тракторы выводились на испытания с поездами в составе 203-мм гаубицы М-6, 152-мм мортиры с передком, 76-мм зенитной пушки, а также пары повозок П-26.</w:t>
      </w:r>
    </w:p>
    <w:p w14:paraId="003D97C5"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55F41EC2"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движении на малых скоростях все поезда двигались без затруднений. С ростом скорости буксировки до 8-10 км/ч наблюдалось виляние (занос) поезда. С повышением скорости до 16 км/ч виляние прицепов становилось очень сильным, «угрожая возможностью закатиться в канаву или задеть за встречный экипаж задней прицепкой».</w:t>
      </w:r>
    </w:p>
    <w:p w14:paraId="114CC92E"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время очередного скоростного заезда трактор КПД съехал с дороги под откос, и его пришлось извлекать при помощи «Коммунара».</w:t>
      </w:r>
    </w:p>
    <w:p w14:paraId="49CE9D43"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итогам испытаний военные констатировали:</w:t>
      </w:r>
    </w:p>
    <w:p w14:paraId="1673EBFC"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«Трактор Катерпиллер-60 прочен и прост, удобен в обращении. Исключительно надежно работает мотор в различных условиях, независимо от продолжительности беспрерывной работы».</w:t>
      </w:r>
    </w:p>
    <w:p w14:paraId="7830D173"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числе недостатков трактора «Sixty» были отмечены: скорость не выше 5,9 км/ч, громоздкая крыша, наличие несменных и вызывавших сильную тряску при движении на максимальной скорости по твердому грунту шпор, а также дефект помпы.</w:t>
      </w:r>
    </w:p>
    <w:p w14:paraId="03E01DBF"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Трактор КПД имел те же недостатки гусеничного хода, что и у базовой модели, в связи с чем военные отметили, что он может надежно работать в тех же условиях, что и «Sixty». Выхлоп отработанных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47E1CA54"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целом предъявленная конструкция подтвердила очевидные преимущества дизельных двигателей и принципиальную возможность создания относительно быстроходного трактора на основе «Sixty», но выявленные дефекты воспрепятствовали принятию КПД на вооружение. Опыт разработки и испытаний трактора КПД был учтен при создании новых конструкций машин (25589).</w:t>
      </w:r>
    </w:p>
    <w:p w14:paraId="3C1BDD38" w14:textId="77777777" w:rsidR="00075947" w:rsidRPr="00142305" w:rsidRDefault="00075947" w:rsidP="00075947">
      <w:pPr>
        <w:spacing w:after="0" w:line="240" w:lineRule="auto"/>
        <w:jc w:val="both"/>
        <w:rPr>
          <w:rFonts w:ascii="Times New Roman" w:hAnsi="Times New Roman"/>
          <w:color w:val="0070C0"/>
          <w:sz w:val="16"/>
          <w:szCs w:val="16"/>
        </w:rPr>
      </w:pPr>
    </w:p>
    <w:p w14:paraId="60CF5BC9" w14:textId="77777777" w:rsidR="00075947" w:rsidRPr="00E93F40" w:rsidRDefault="00075947" w:rsidP="00075947">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с 1 по 16 марта 1932 состоя</w:t>
      </w:r>
      <w:r w:rsidRPr="00E93F40">
        <w:rPr>
          <w:rFonts w:ascii="Times New Roman" w:hAnsi="Times New Roman"/>
          <w:color w:val="000000" w:themeColor="text1"/>
          <w:sz w:val="16"/>
          <w:szCs w:val="16"/>
        </w:rPr>
        <w:softHyphen/>
        <w:t>лись пробеги тракторов протяженностью до 300 км по шос</w:t>
      </w:r>
      <w:r w:rsidRPr="00E93F40">
        <w:rPr>
          <w:rFonts w:ascii="Times New Roman" w:hAnsi="Times New Roman"/>
          <w:color w:val="000000" w:themeColor="text1"/>
          <w:sz w:val="16"/>
          <w:szCs w:val="16"/>
        </w:rPr>
        <w:softHyphen/>
        <w:t>се и 50 км по грунтовым дорогам, снежной це</w:t>
      </w:r>
      <w:r w:rsidRPr="00E93F40">
        <w:rPr>
          <w:rFonts w:ascii="Times New Roman" w:hAnsi="Times New Roman"/>
          <w:color w:val="000000" w:themeColor="text1"/>
          <w:sz w:val="16"/>
          <w:szCs w:val="16"/>
        </w:rPr>
        <w:softHyphen/>
        <w:t>лине ближнего Подмосковья в районе деревни Черной и по Хорошевскому шоссе (сейчас это уже в черте города).</w:t>
      </w:r>
    </w:p>
    <w:p w14:paraId="0E012A7B" w14:textId="77777777" w:rsidR="00075947" w:rsidRPr="00E93F40" w:rsidRDefault="00075947" w:rsidP="00075947">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Тракторы выводились на испытания с поез</w:t>
      </w:r>
      <w:r w:rsidRPr="00E93F40">
        <w:rPr>
          <w:rFonts w:ascii="Times New Roman" w:hAnsi="Times New Roman"/>
          <w:color w:val="000000" w:themeColor="text1"/>
          <w:sz w:val="16"/>
          <w:szCs w:val="16"/>
        </w:rPr>
        <w:softHyphen/>
        <w:t>дами в составе 203-мм гаубицы М-6, 152-мм мортиры с передком, 76-мм зенитной пушки, а также пары повозок П-26.</w:t>
      </w:r>
    </w:p>
    <w:p w14:paraId="5DC758D8" w14:textId="77777777" w:rsidR="00075947" w:rsidRPr="00E93F40" w:rsidRDefault="00075947" w:rsidP="00075947">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43A83E18" w14:textId="77777777" w:rsidR="00075947" w:rsidRPr="00E93F40" w:rsidRDefault="00075947" w:rsidP="00075947">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движении на малых скоростях все по</w:t>
      </w:r>
      <w:r w:rsidRPr="00E93F40">
        <w:rPr>
          <w:rFonts w:ascii="Times New Roman" w:hAnsi="Times New Roman"/>
          <w:color w:val="000000" w:themeColor="text1"/>
          <w:sz w:val="16"/>
          <w:szCs w:val="16"/>
        </w:rPr>
        <w:softHyphen/>
        <w:t>езда двигались без затруднений. С ростом ско</w:t>
      </w:r>
      <w:r w:rsidRPr="00E93F40">
        <w:rPr>
          <w:rFonts w:ascii="Times New Roman" w:hAnsi="Times New Roman"/>
          <w:color w:val="000000" w:themeColor="text1"/>
          <w:sz w:val="16"/>
          <w:szCs w:val="16"/>
        </w:rPr>
        <w:softHyphen/>
        <w:t>рости буксировки до 8—10 км/ч наблюдалось виляние (занос) поезда. С повышением скоро</w:t>
      </w:r>
      <w:r w:rsidRPr="00E93F40">
        <w:rPr>
          <w:rFonts w:ascii="Times New Roman" w:hAnsi="Times New Roman"/>
          <w:color w:val="000000" w:themeColor="text1"/>
          <w:sz w:val="16"/>
          <w:szCs w:val="16"/>
        </w:rPr>
        <w:softHyphen/>
        <w:t>сти до 16 км/ч виляние прицепов становилось очень сильным,«</w:t>
      </w:r>
      <w:r w:rsidRPr="00E93F40">
        <w:rPr>
          <w:rFonts w:ascii="Times New Roman" w:hAnsi="Times New Roman"/>
          <w:iCs/>
          <w:color w:val="000000" w:themeColor="text1"/>
          <w:sz w:val="16"/>
          <w:szCs w:val="16"/>
        </w:rPr>
        <w:t>угрожая возможностью зака</w:t>
      </w:r>
      <w:r w:rsidRPr="00E93F40">
        <w:rPr>
          <w:rFonts w:ascii="Times New Roman" w:hAnsi="Times New Roman"/>
          <w:iCs/>
          <w:color w:val="000000" w:themeColor="text1"/>
          <w:sz w:val="16"/>
          <w:szCs w:val="16"/>
        </w:rPr>
        <w:softHyphen/>
        <w:t>титься в канаву или задеть за встречный эки</w:t>
      </w:r>
      <w:r w:rsidRPr="00E93F40">
        <w:rPr>
          <w:rFonts w:ascii="Times New Roman" w:hAnsi="Times New Roman"/>
          <w:iCs/>
          <w:color w:val="000000" w:themeColor="text1"/>
          <w:sz w:val="16"/>
          <w:szCs w:val="16"/>
        </w:rPr>
        <w:softHyphen/>
        <w:t>паж задней прицепкой".</w:t>
      </w:r>
      <w:r w:rsidRPr="00E93F40">
        <w:rPr>
          <w:rFonts w:ascii="Times New Roman" w:hAnsi="Times New Roman"/>
          <w:color w:val="000000" w:themeColor="text1"/>
          <w:sz w:val="16"/>
          <w:szCs w:val="16"/>
        </w:rPr>
        <w:t xml:space="preserve"> Во время очередного скоростного заезда трактор КПД сьехал с до</w:t>
      </w:r>
      <w:r w:rsidRPr="00E93F40">
        <w:rPr>
          <w:rFonts w:ascii="Times New Roman" w:hAnsi="Times New Roman"/>
          <w:color w:val="000000" w:themeColor="text1"/>
          <w:sz w:val="16"/>
          <w:szCs w:val="16"/>
        </w:rPr>
        <w:softHyphen/>
        <w:t>роги под откос, и его пришлось извлекать при помощи «Коммунара».</w:t>
      </w:r>
    </w:p>
    <w:p w14:paraId="28630094" w14:textId="77777777" w:rsidR="00075947" w:rsidRPr="00E93F40" w:rsidRDefault="00075947" w:rsidP="00075947">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По итогам испытаний военные констатирова</w:t>
      </w:r>
      <w:r w:rsidRPr="00E93F40">
        <w:rPr>
          <w:rFonts w:ascii="Times New Roman" w:hAnsi="Times New Roman"/>
          <w:color w:val="000000" w:themeColor="text1"/>
          <w:sz w:val="16"/>
          <w:szCs w:val="16"/>
        </w:rPr>
        <w:softHyphen/>
        <w:t>ли:</w:t>
      </w:r>
      <w:r w:rsidRPr="00E93F40">
        <w:rPr>
          <w:rFonts w:ascii="Times New Roman" w:hAnsi="Times New Roman"/>
          <w:iCs/>
          <w:color w:val="000000" w:themeColor="text1"/>
          <w:sz w:val="16"/>
          <w:szCs w:val="16"/>
        </w:rPr>
        <w:t xml:space="preserve"> «Трактор Катерпиллер-60 прочен и прост, удо</w:t>
      </w:r>
      <w:r w:rsidRPr="00E93F40">
        <w:rPr>
          <w:rFonts w:ascii="Times New Roman" w:hAnsi="Times New Roman"/>
          <w:iCs/>
          <w:color w:val="000000" w:themeColor="text1"/>
          <w:sz w:val="16"/>
          <w:szCs w:val="16"/>
        </w:rPr>
        <w:softHyphen/>
        <w:t>бен в обращении. Исключительно надежно рабо</w:t>
      </w:r>
      <w:r w:rsidRPr="00E93F40">
        <w:rPr>
          <w:rFonts w:ascii="Times New Roman" w:hAnsi="Times New Roman"/>
          <w:iCs/>
          <w:color w:val="000000" w:themeColor="text1"/>
          <w:sz w:val="16"/>
          <w:szCs w:val="16"/>
        </w:rPr>
        <w:softHyphen/>
        <w:t>тает мотор в различных условиях, независимо от продолжительности беспрерывной работы».</w:t>
      </w:r>
    </w:p>
    <w:p w14:paraId="7919E9C8" w14:textId="77777777" w:rsidR="00075947" w:rsidRPr="00E93F40" w:rsidRDefault="00075947" w:rsidP="00075947">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числе недостатков трактора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были отмечены: скорость не выше 5,9 км/ч, громозд</w:t>
      </w:r>
      <w:r w:rsidRPr="00E93F40">
        <w:rPr>
          <w:rFonts w:ascii="Times New Roman" w:hAnsi="Times New Roman"/>
          <w:color w:val="000000" w:themeColor="text1"/>
          <w:sz w:val="16"/>
          <w:szCs w:val="16"/>
        </w:rPr>
        <w:softHyphen/>
        <w:t>кая крыша, наличие несменных и вызывавших сильную тряску при движении на максимальной скорости по твердому грунту шпор, а также де</w:t>
      </w:r>
      <w:r w:rsidRPr="00E93F40">
        <w:rPr>
          <w:rFonts w:ascii="Times New Roman" w:hAnsi="Times New Roman"/>
          <w:color w:val="000000" w:themeColor="text1"/>
          <w:sz w:val="16"/>
          <w:szCs w:val="16"/>
        </w:rPr>
        <w:softHyphen/>
        <w:t>фект помпы.</w:t>
      </w:r>
    </w:p>
    <w:p w14:paraId="722A8A73" w14:textId="77777777" w:rsidR="00075947" w:rsidRPr="00E93F40" w:rsidRDefault="00075947" w:rsidP="00075947">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 КПД имел те же недостатки гусенич</w:t>
      </w:r>
      <w:r w:rsidRPr="00E93F40">
        <w:rPr>
          <w:rFonts w:ascii="Times New Roman" w:hAnsi="Times New Roman"/>
          <w:color w:val="000000" w:themeColor="text1"/>
          <w:sz w:val="16"/>
          <w:szCs w:val="16"/>
        </w:rPr>
        <w:softHyphen/>
        <w:t>ного хода, что и у базовой модели, в связи с чем, военные отметили, что он может надежно рабо</w:t>
      </w:r>
      <w:r w:rsidRPr="00E93F40">
        <w:rPr>
          <w:rFonts w:ascii="Times New Roman" w:hAnsi="Times New Roman"/>
          <w:color w:val="000000" w:themeColor="text1"/>
          <w:sz w:val="16"/>
          <w:szCs w:val="16"/>
        </w:rPr>
        <w:softHyphen/>
        <w:t>тать в тех же условиях, что и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Выхлоп от</w:t>
      </w:r>
      <w:r w:rsidRPr="00E93F40">
        <w:rPr>
          <w:rFonts w:ascii="Times New Roman" w:hAnsi="Times New Roman"/>
          <w:color w:val="000000" w:themeColor="text1"/>
          <w:sz w:val="16"/>
          <w:szCs w:val="16"/>
        </w:rPr>
        <w:softHyphen/>
        <w:t>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650E5416" w14:textId="77777777" w:rsidR="00075947" w:rsidRPr="00E93F40" w:rsidRDefault="00075947" w:rsidP="00075947">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Выявленные дефекты воспрепятствовали принятию КПД на вооруже</w:t>
      </w:r>
      <w:r w:rsidRPr="00E93F40">
        <w:rPr>
          <w:rFonts w:ascii="Times New Roman" w:hAnsi="Times New Roman"/>
          <w:color w:val="000000" w:themeColor="text1"/>
          <w:sz w:val="16"/>
          <w:szCs w:val="16"/>
        </w:rPr>
        <w:softHyphen/>
        <w:t>ние. Опыт разработки и испытаний трактора КПД был учтен при создании новых конструк</w:t>
      </w:r>
      <w:r w:rsidRPr="00E93F40">
        <w:rPr>
          <w:rFonts w:ascii="Times New Roman" w:hAnsi="Times New Roman"/>
          <w:color w:val="000000" w:themeColor="text1"/>
          <w:sz w:val="16"/>
          <w:szCs w:val="16"/>
        </w:rPr>
        <w:softHyphen/>
        <w:t>ций машин.</w:t>
      </w:r>
    </w:p>
    <w:tbl>
      <w:tblPr>
        <w:tblW w:w="0" w:type="auto"/>
        <w:tblInd w:w="8" w:type="dxa"/>
        <w:tblLayout w:type="fixed"/>
        <w:tblCellMar>
          <w:left w:w="0" w:type="dxa"/>
          <w:right w:w="0" w:type="dxa"/>
        </w:tblCellMar>
        <w:tblLook w:val="0000" w:firstRow="0" w:lastRow="0" w:firstColumn="0" w:lastColumn="0" w:noHBand="0" w:noVBand="0"/>
      </w:tblPr>
      <w:tblGrid>
        <w:gridCol w:w="3119"/>
        <w:gridCol w:w="4565"/>
        <w:gridCol w:w="3231"/>
      </w:tblGrid>
      <w:tr w:rsidR="00075947" w:rsidRPr="00E93F40" w14:paraId="462208ED"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1BCC900"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Марка трактора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277EC40"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«Катерпиллер-60»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DAF38C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КПД</w:t>
            </w:r>
          </w:p>
        </w:tc>
      </w:tr>
      <w:tr w:rsidR="00075947" w:rsidRPr="00E93F40" w14:paraId="02858447"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2BD55D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4923E71"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972572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075947" w:rsidRPr="00E93F40" w14:paraId="3079A617" w14:textId="77777777" w:rsidTr="00DC550A">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73051D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двигателя, л.с.</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3C15C5B"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C01146E"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60778"</w:t>
            </w:r>
          </w:p>
        </w:tc>
      </w:tr>
      <w:tr w:rsidR="00075947" w:rsidRPr="00E93F40" w14:paraId="458FC5DC" w14:textId="77777777" w:rsidTr="00DC550A">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5E589EF"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Габаритные размеры, мм:</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11E97DE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2BEAD59D"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7A6529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2BAC07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175B69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4640</w:t>
            </w:r>
          </w:p>
        </w:tc>
      </w:tr>
      <w:tr w:rsidR="00075947" w:rsidRPr="00E93F40" w14:paraId="7EDD9B21"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B11C432"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3A09C0A"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38EF86F"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2335</w:t>
            </w:r>
          </w:p>
        </w:tc>
      </w:tr>
      <w:tr w:rsidR="00075947" w:rsidRPr="00E93F40" w14:paraId="3ACBD258" w14:textId="77777777" w:rsidTr="00DC550A">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69534E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51B5BC1"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2694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59BF32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2530</w:t>
            </w:r>
          </w:p>
        </w:tc>
      </w:tr>
      <w:tr w:rsidR="00075947" w:rsidRPr="00E93F40" w14:paraId="27184CEE" w14:textId="77777777" w:rsidTr="00DC550A">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8515622"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36219D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587000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w:t>
            </w:r>
          </w:p>
        </w:tc>
      </w:tr>
      <w:tr w:rsidR="00075947" w:rsidRPr="00E93F40" w14:paraId="36DEDF01"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A4C1821"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тягового крюка над землей</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446A9BF"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5EAAC40"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620</w:t>
            </w:r>
          </w:p>
        </w:tc>
      </w:tr>
      <w:tr w:rsidR="00075947" w:rsidRPr="00E93F40" w14:paraId="15F9F61B"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F1DF55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(без водителя), кг</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B59EB7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3ABEEEE"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r>
      <w:tr w:rsidR="00075947" w:rsidRPr="00E93F40" w14:paraId="4060BBC0"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16334E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Скорости движения, км/ч:</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45F0C27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5BC1A507"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A0F85E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090978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612011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3.1*/3.9**</w:t>
            </w:r>
          </w:p>
        </w:tc>
      </w:tr>
      <w:tr w:rsidR="00075947" w:rsidRPr="00E93F40" w14:paraId="019D1DB7"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EE4E22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DC589A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E3E931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4,275,4"</w:t>
            </w:r>
          </w:p>
        </w:tc>
      </w:tr>
      <w:tr w:rsidR="00075947" w:rsidRPr="00E93F40" w14:paraId="6EB7698D" w14:textId="77777777" w:rsidTr="00DC550A">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389B8D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584F542"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C1D28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5,8577.7"*</w:t>
            </w:r>
          </w:p>
        </w:tc>
      </w:tr>
      <w:tr w:rsidR="00075947" w:rsidRPr="00E93F40" w14:paraId="74FD3F59" w14:textId="77777777" w:rsidTr="00DC550A">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D592982"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9A074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015878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547D6EF7"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2743C7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40298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886BFEB"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7649E4D2" w14:textId="77777777" w:rsidTr="00DC550A">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B16D65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629B4ED" w14:textId="77777777" w:rsidR="00075947" w:rsidRPr="00E93F40" w:rsidRDefault="00075947" w:rsidP="00DC550A">
            <w:pPr>
              <w:autoSpaceDE w:val="0"/>
              <w:autoSpaceDN w:val="0"/>
              <w:adjustRightInd w:val="0"/>
              <w:spacing w:after="0" w:line="240" w:lineRule="auto"/>
              <w:jc w:val="both"/>
              <w:rPr>
                <w:rFonts w:ascii="Times New Roman" w:eastAsia="MS Mincho" w:hAnsi="Times New Roman"/>
                <w:noProof/>
                <w:color w:val="000000" w:themeColor="text1"/>
                <w:sz w:val="16"/>
                <w:szCs w:val="16"/>
                <w:lang w:val="en-US"/>
              </w:rPr>
            </w:pPr>
            <w:r w:rsidRPr="00E93F40">
              <w:rPr>
                <w:rFonts w:ascii="Times New Roman" w:eastAsia="MS Mincho"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90EC289"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13,3717,9"</w:t>
            </w:r>
          </w:p>
        </w:tc>
      </w:tr>
      <w:tr w:rsidR="00075947" w:rsidRPr="00E93F40" w14:paraId="690A4155" w14:textId="77777777" w:rsidTr="00DC550A">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BDC5171"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E2D06F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071CE7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10BCAAD3" w14:textId="77777777" w:rsidTr="00DC550A">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9794A1F"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передача заднего хода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D1D64D9" w14:textId="77777777" w:rsidR="00075947" w:rsidRPr="00E93F40" w:rsidRDefault="00075947" w:rsidP="00DC550A">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E93F40">
              <w:rPr>
                <w:rFonts w:ascii="Times New Roman"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BB2ADA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r>
      <w:tr w:rsidR="00075947" w:rsidRPr="00E93F40" w14:paraId="4A727BB6" w14:textId="77777777" w:rsidTr="00DC550A">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0F21B5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Расположение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30EFB3E"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0C96D4B"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Переднее</w:t>
            </w:r>
          </w:p>
        </w:tc>
      </w:tr>
      <w:tr w:rsidR="00075947" w:rsidRPr="00E93F40" w14:paraId="79782500" w14:textId="77777777" w:rsidTr="00DC550A">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500C811"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Расположение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A07F60A"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E76AA8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Вертикальное</w:t>
            </w:r>
          </w:p>
        </w:tc>
      </w:tr>
      <w:tr w:rsidR="00075947" w:rsidRPr="00E93F40" w14:paraId="70237535" w14:textId="77777777" w:rsidTr="00DC550A">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13060C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цилиндров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7FE25E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C003CA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6D6F9482"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B54685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033B5A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Раздельные цилиндры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ACBF480"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Моноблок</w:t>
            </w:r>
          </w:p>
        </w:tc>
      </w:tr>
      <w:tr w:rsidR="00075947" w:rsidRPr="00E93F40" w14:paraId="096E5B43"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CA1406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Размерность цилиндров двигателя,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1308EF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165,1x215,9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EE8F0E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150x200</w:t>
            </w:r>
          </w:p>
        </w:tc>
      </w:tr>
      <w:tr w:rsidR="00075947" w:rsidRPr="00E93F40" w14:paraId="6B8B4D5B" w14:textId="77777777" w:rsidTr="00DC550A">
        <w:trPr>
          <w:trHeight w:val="17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9AFBEA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Частота вращения коленчатого вала при максимальной мощности, мин'</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631F80B"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6057CA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w:t>
            </w:r>
          </w:p>
        </w:tc>
      </w:tr>
      <w:tr w:rsidR="00075947" w:rsidRPr="00E93F40" w14:paraId="190AA2DE" w14:textId="77777777" w:rsidTr="00DC550A">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A239B9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сжатия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314A95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AB0BB3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6B3117E7" w14:textId="77777777" w:rsidTr="00DC550A">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816E47B"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Литраж,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148279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8247F3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w:t>
            </w:r>
          </w:p>
        </w:tc>
      </w:tr>
      <w:tr w:rsidR="00075947" w:rsidRPr="00E93F40" w14:paraId="54A7C831" w14:textId="77777777" w:rsidTr="00DC550A">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56ED83A"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Порядок работы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86A04B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643733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6989A4DB"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3B7D70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Пуск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EC09EC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Ломиком за маховик</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E98087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Сжатым воздухом</w:t>
            </w:r>
          </w:p>
        </w:tc>
      </w:tr>
      <w:tr w:rsidR="00075947" w:rsidRPr="00E93F40" w14:paraId="044BAE4B"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086476A"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A6E8FE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Бензин и лигроин</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E92E44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Моторная нефть</w:t>
            </w:r>
          </w:p>
        </w:tc>
      </w:tr>
      <w:tr w:rsidR="00075947" w:rsidRPr="00E93F40" w14:paraId="1B11218C"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66A1F7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Способ подачи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045856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Вакуум-аппарат</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61C69BB"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Зоздушный механический насос</w:t>
            </w:r>
          </w:p>
        </w:tc>
      </w:tr>
      <w:tr w:rsidR="00075947" w:rsidRPr="00E93F40" w14:paraId="0F2ACBFD" w14:textId="77777777" w:rsidTr="00DC550A">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B40BFF0"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Запастоппива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E105059"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300л</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2E7516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 кг</w:t>
            </w:r>
          </w:p>
        </w:tc>
      </w:tr>
      <w:tr w:rsidR="00075947" w:rsidRPr="00E93F40" w14:paraId="4CFE8189" w14:textId="77777777" w:rsidTr="00DC550A">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7E06E2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7EE54F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D3F35C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44E47F95"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ABC3CB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картера,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272DB9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B5E8A1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52EBCDA4"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CFF3ED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радиатора системы охлаждения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71A0F0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Трубчатый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DC03CD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Трубчатый</w:t>
            </w:r>
          </w:p>
        </w:tc>
      </w:tr>
      <w:tr w:rsidR="00075947" w:rsidRPr="00E93F40" w14:paraId="131BC518"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B3CE10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системы охлаждения,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99171DB"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BC9ADC2"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r>
      <w:tr w:rsidR="00075947" w:rsidRPr="00E93F40" w14:paraId="3D2176B8"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B64E67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Зажигание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8EB08C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Магнето</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BBD6D9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Самовоспламенение</w:t>
            </w:r>
          </w:p>
        </w:tc>
      </w:tr>
      <w:tr w:rsidR="00075947" w:rsidRPr="00E93F40" w14:paraId="001082FA"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7D4544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Сцепление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7B1DCB1"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Сухое однсщисковое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D6C554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Сухое однодисковое</w:t>
            </w:r>
          </w:p>
        </w:tc>
      </w:tr>
      <w:tr w:rsidR="00075947" w:rsidRPr="00E93F40" w14:paraId="29C8A555"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47D5FCE"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передач (вперед/назад)</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8D1110B"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787A4C2" w14:textId="77777777" w:rsidR="00075947" w:rsidRPr="00E93F40" w:rsidRDefault="00075947" w:rsidP="00DC550A">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noProof/>
                <w:color w:val="000000" w:themeColor="text1"/>
                <w:sz w:val="16"/>
                <w:szCs w:val="16"/>
              </w:rPr>
              <w:t>6</w:t>
            </w:r>
            <w:r w:rsidRPr="00E93F40">
              <w:rPr>
                <w:rFonts w:ascii="Times New Roman" w:hAnsi="Times New Roman"/>
                <w:iCs/>
                <w:color w:val="000000" w:themeColor="text1"/>
                <w:sz w:val="16"/>
                <w:szCs w:val="16"/>
              </w:rPr>
              <w:t>12</w:t>
            </w:r>
          </w:p>
        </w:tc>
      </w:tr>
      <w:tr w:rsidR="00075947" w:rsidRPr="00E93F40" w14:paraId="00F19051"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17B754A"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коробки передач</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84F4F5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Шестеренчатая</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5A3333E"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Шестеренчатая</w:t>
            </w:r>
          </w:p>
        </w:tc>
      </w:tr>
      <w:tr w:rsidR="00075947" w:rsidRPr="00E93F40" w14:paraId="1C9BB8A2" w14:textId="77777777" w:rsidTr="00DC550A">
        <w:trPr>
          <w:trHeight w:val="240"/>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E3A2F2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Передача на ведущие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92F6F5E"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Коническими и тарельчатыми шестернями и многодисковыми фрикционами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BD02EAF"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Коническими и тарельчатыми шестернями и многодисковыми фрикционами</w:t>
            </w:r>
          </w:p>
        </w:tc>
      </w:tr>
      <w:tr w:rsidR="00075947" w:rsidRPr="00E93F40" w14:paraId="2F10F195" w14:textId="77777777" w:rsidTr="00DC550A">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D06D62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Гусеничный движитель</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A524B9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кормовым расположением ведущих колес</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22ACD40"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кормовым расположением ведущих колес</w:t>
            </w:r>
          </w:p>
        </w:tc>
      </w:tr>
      <w:tr w:rsidR="00075947" w:rsidRPr="00E93F40" w14:paraId="6886CD5F" w14:textId="77777777" w:rsidTr="00DC550A">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810B91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499B0FF"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Стальной с несъемными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7281A5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Стальной с несъемными шпорами</w:t>
            </w:r>
          </w:p>
        </w:tc>
      </w:tr>
      <w:tr w:rsidR="00075947" w:rsidRPr="00E93F40" w14:paraId="7C7A28AB"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681B2F2"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траков,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8BAA3F1"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33x2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B300699"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33x2</w:t>
            </w:r>
          </w:p>
        </w:tc>
      </w:tr>
      <w:tr w:rsidR="00075947" w:rsidRPr="00E93F40" w14:paraId="7C792A4C"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577298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Шаг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780C7D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27EFB3D"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r>
      <w:tr w:rsidR="00075947" w:rsidRPr="00E93F40" w14:paraId="0E4B9633"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F58AF5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опорной поверхности гусеницы,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84AFDF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FFD950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r>
      <w:tr w:rsidR="00075947" w:rsidRPr="00E93F40" w14:paraId="22514103" w14:textId="77777777" w:rsidTr="00DC550A">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4CDD5C8"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Среднее давление на грунт, кг/см'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78F166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0,44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75C12F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0,43</w:t>
            </w:r>
          </w:p>
        </w:tc>
      </w:tr>
      <w:tr w:rsidR="00075947" w:rsidRPr="00E93F40" w14:paraId="0F7A53ED"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237E67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зубьев ведущего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591E71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95AE7C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r>
      <w:tr w:rsidR="00075947" w:rsidRPr="00E93F40" w14:paraId="01E5BD78" w14:textId="77777777" w:rsidTr="00DC550A">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2F2590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Натяжное приспособление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64E48A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Гайкой и двумя болтами,со спиральной пружиной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445B963"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Гайкой и двумя болтами, со спиральной пружиной</w:t>
            </w:r>
          </w:p>
        </w:tc>
      </w:tr>
      <w:tr w:rsidR="00075947" w:rsidRPr="00E93F40" w14:paraId="686BC873" w14:textId="77777777" w:rsidTr="00DC550A">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5A2686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подрессоривания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28C2006"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Пружины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4B5402C"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Пружины</w:t>
            </w:r>
          </w:p>
        </w:tc>
      </w:tr>
      <w:tr w:rsidR="00075947" w:rsidRPr="00E93F40" w14:paraId="75B6C299" w14:textId="77777777" w:rsidTr="00DC550A">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9F5D659"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хода,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72CBD65"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A6A93D9"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2250</w:t>
            </w:r>
          </w:p>
        </w:tc>
      </w:tr>
      <w:tr w:rsidR="00075947" w:rsidRPr="00E93F40" w14:paraId="4E1AAFC0" w14:textId="77777777" w:rsidTr="00DC550A">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F544E74"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колей,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052C77A"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2BB7F97" w14:textId="77777777" w:rsidR="00075947" w:rsidRPr="00E93F40" w:rsidRDefault="00075947" w:rsidP="00DC550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1845</w:t>
            </w:r>
          </w:p>
        </w:tc>
      </w:tr>
      <w:tr w:rsidR="00075947" w:rsidRPr="00E93F40" w14:paraId="413E7748" w14:textId="77777777" w:rsidTr="00DC550A">
        <w:trPr>
          <w:trHeight w:val="182"/>
        </w:trPr>
        <w:tc>
          <w:tcPr>
            <w:tcW w:w="10915" w:type="dxa"/>
            <w:gridSpan w:val="3"/>
            <w:tcBorders>
              <w:top w:val="single" w:sz="6" w:space="0" w:color="auto"/>
              <w:left w:val="nil"/>
              <w:bottom w:val="nil"/>
              <w:right w:val="nil"/>
            </w:tcBorders>
            <w:shd w:val="clear" w:color="auto" w:fill="FFFFFF"/>
          </w:tcPr>
          <w:p w14:paraId="70D5482A" w14:textId="77777777" w:rsidR="00075947" w:rsidRPr="00E93F40" w:rsidRDefault="00075947" w:rsidP="00DC550A">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'При 650Об/чин. " При 850обМж.</w:t>
            </w:r>
          </w:p>
        </w:tc>
      </w:tr>
    </w:tbl>
    <w:p w14:paraId="1472E119" w14:textId="77777777" w:rsidR="00075947" w:rsidRPr="00E93F40" w:rsidRDefault="00075947" w:rsidP="00075947">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(12062).</w:t>
      </w:r>
    </w:p>
    <w:p w14:paraId="16322AB1" w14:textId="77777777" w:rsidR="00075947" w:rsidRPr="00E93F40" w:rsidRDefault="00075947" w:rsidP="00075947">
      <w:pPr>
        <w:autoSpaceDE w:val="0"/>
        <w:autoSpaceDN w:val="0"/>
        <w:adjustRightInd w:val="0"/>
        <w:spacing w:after="0" w:line="240" w:lineRule="auto"/>
        <w:jc w:val="both"/>
        <w:rPr>
          <w:rFonts w:ascii="Times New Roman" w:hAnsi="Times New Roman"/>
          <w:iCs/>
          <w:color w:val="000000" w:themeColor="text1"/>
          <w:sz w:val="16"/>
          <w:szCs w:val="16"/>
        </w:rPr>
      </w:pPr>
    </w:p>
    <w:p w14:paraId="48AF83F8" w14:textId="77777777" w:rsidR="00075947" w:rsidRPr="00E93F40" w:rsidRDefault="00075947" w:rsidP="00075947">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с 1 по 16 марта 1932 состоялись пробеги тракторов протяженностью до 300 км по шоссе и 50 км по грунтовым дорогам, снежной целине ближнего Подмосковья в районе деревни Черной и по Хорошевскому шоссе (сейчас это уже в черте города).</w:t>
      </w:r>
    </w:p>
    <w:p w14:paraId="1066A68D" w14:textId="77777777" w:rsidR="00075947" w:rsidRPr="00E93F40" w:rsidRDefault="00075947" w:rsidP="00075947">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Тракторы выводились на испытания с поездами в составе 203-мм гаубицы М-6, 152-мм мортиры с передком, 76-мм зенитной пушки, а также пары повозок П-26.</w:t>
      </w:r>
    </w:p>
    <w:p w14:paraId="4D102073" w14:textId="77777777" w:rsidR="00075947" w:rsidRPr="00E93F40" w:rsidRDefault="00075947" w:rsidP="00075947">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7EB9C293" w14:textId="77777777" w:rsidR="00075947" w:rsidRPr="00E93F40" w:rsidRDefault="00075947" w:rsidP="00075947">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Двигаясь на большой скорости, трактор КПД скатился с дороги под откос</w:t>
      </w:r>
    </w:p>
    <w:p w14:paraId="376A89B3" w14:textId="77777777" w:rsidR="00075947" w:rsidRPr="00E93F40" w:rsidRDefault="00075947" w:rsidP="00075947">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движении на малых скоростях все поезда двигались без затруднений. С ростом скорости буксировки до 8—10 км/ч наблюдалось виляние (занос) поезда. С повышением скорости до 16 км/ч виляние прицепов становилось очень сильным, «угрожая возможностью закатиться в канаву или задеть за встречный экипаж задней прицепкой». Во время очередного скоростного заезда трактор КПД съехал с дороги под откос, и его пришлось извлекать при помощи «Коммунара».</w:t>
      </w:r>
    </w:p>
    <w:p w14:paraId="0D315B17" w14:textId="77777777" w:rsidR="00075947" w:rsidRPr="00E93F40" w:rsidRDefault="00075947" w:rsidP="00075947">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итогам испытаний военные констатировали: «Трактор Катерпиллер-60 прочен и прост, удобен в обращении. Исключительно надежно работает мотор в различных условиях, независимо от продолжительности беспрерывной работы».</w:t>
      </w:r>
    </w:p>
    <w:p w14:paraId="39804AA3" w14:textId="77777777" w:rsidR="00075947" w:rsidRPr="00E93F40" w:rsidRDefault="00075947" w:rsidP="00075947">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числе недостатков трактора «Sixty» были отмечены: скорость не выше 5,9 км/ч, громоздкая крыша, наличие несменных и вызывавших сильную тряску при движении на максимальной скорости по твердому грунту шпор, а также дефект помпы.</w:t>
      </w:r>
    </w:p>
    <w:p w14:paraId="09BC1B6C" w14:textId="77777777" w:rsidR="00075947" w:rsidRPr="00E93F40" w:rsidRDefault="00075947" w:rsidP="00075947">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 КПД имел те же недостатки гусеничного хода, что и у базовой модели, в связи с чем, военные отметили, что он может надежно работать в тех же условиях, что и «Sixty». Выхлоп отработанных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1074A74C" w14:textId="77777777" w:rsidR="00075947" w:rsidRPr="00E93F40" w:rsidRDefault="00075947" w:rsidP="00075947">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целом предъявленная конструкция подтвердила очевидные преимущества дизельных двигателей и принципиальную возможность создания относительно быстроходного трактора на основе «Sixty», но выявленные дефекты воспрепятствовали принятию КПД на вооружение. Опыт разработки и испытаний трактора КПД был учтен при создании новых конструкций машин (23316).</w:t>
      </w:r>
    </w:p>
    <w:p w14:paraId="6642D6C3" w14:textId="77777777" w:rsidR="00075947" w:rsidRPr="00E93F40" w:rsidRDefault="00075947" w:rsidP="00075947">
      <w:pPr>
        <w:spacing w:after="0" w:line="240" w:lineRule="auto"/>
        <w:jc w:val="both"/>
        <w:rPr>
          <w:rFonts w:ascii="Times New Roman" w:hAnsi="Times New Roman"/>
          <w:color w:val="000000" w:themeColor="text1"/>
          <w:sz w:val="16"/>
          <w:szCs w:val="16"/>
        </w:rPr>
      </w:pPr>
    </w:p>
    <w:p w14:paraId="14028BFB"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по 16 марта 1932 года трактор</w:t>
      </w:r>
      <w:r w:rsidRPr="00142305">
        <w:rPr>
          <w:rFonts w:ascii="Times New Roman" w:hAnsi="Times New Roman"/>
          <w:color w:val="0070C0"/>
          <w:sz w:val="16"/>
          <w:szCs w:val="16"/>
        </w:rPr>
        <w:softHyphen/>
        <w:t>ной станцией испытательного отдела НИАБТП УММ РККА по программе, ут</w:t>
      </w:r>
      <w:r w:rsidRPr="00142305">
        <w:rPr>
          <w:rFonts w:ascii="Times New Roman" w:hAnsi="Times New Roman"/>
          <w:color w:val="0070C0"/>
          <w:sz w:val="16"/>
          <w:szCs w:val="16"/>
        </w:rPr>
        <w:softHyphen/>
        <w:t>вержденной представителем Прави</w:t>
      </w:r>
      <w:r w:rsidRPr="00142305">
        <w:rPr>
          <w:rFonts w:ascii="Times New Roman" w:hAnsi="Times New Roman"/>
          <w:color w:val="0070C0"/>
          <w:sz w:val="16"/>
          <w:szCs w:val="16"/>
        </w:rPr>
        <w:softHyphen/>
        <w:t>тельственной комиссии, были проведе</w:t>
      </w:r>
      <w:r w:rsidRPr="00142305">
        <w:rPr>
          <w:rFonts w:ascii="Times New Roman" w:hAnsi="Times New Roman"/>
          <w:color w:val="0070C0"/>
          <w:sz w:val="16"/>
          <w:szCs w:val="16"/>
        </w:rPr>
        <w:softHyphen/>
        <w:t>ны основные испытания тракторов.</w:t>
      </w:r>
    </w:p>
    <w:p w14:paraId="40C0DF78"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Первоочеред</w:t>
      </w:r>
      <w:r w:rsidRPr="00142305">
        <w:rPr>
          <w:rFonts w:ascii="Times New Roman" w:hAnsi="Times New Roman"/>
          <w:color w:val="0070C0"/>
          <w:sz w:val="16"/>
          <w:szCs w:val="16"/>
        </w:rPr>
        <w:softHyphen/>
        <w:t>ной целью испытаний было утвержде</w:t>
      </w:r>
      <w:r w:rsidRPr="00142305">
        <w:rPr>
          <w:rFonts w:ascii="Times New Roman" w:hAnsi="Times New Roman"/>
          <w:color w:val="0070C0"/>
          <w:sz w:val="16"/>
          <w:szCs w:val="16"/>
        </w:rPr>
        <w:softHyphen/>
        <w:t>ние типа трактора для производства на Челябинском тракторном заводе. В этой связи основное внимание ко</w:t>
      </w:r>
      <w:r w:rsidRPr="00142305">
        <w:rPr>
          <w:rFonts w:ascii="Times New Roman" w:hAnsi="Times New Roman"/>
          <w:color w:val="0070C0"/>
          <w:sz w:val="16"/>
          <w:szCs w:val="16"/>
        </w:rPr>
        <w:softHyphen/>
        <w:t>миссии сосредоточилось на тракторах «Сталинец» № 4, Sixty и КПД.</w:t>
      </w:r>
    </w:p>
    <w:p w14:paraId="4249DCC7"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поступившие на испытания тракто</w:t>
      </w:r>
      <w:r w:rsidRPr="00142305">
        <w:rPr>
          <w:rFonts w:ascii="Times New Roman" w:hAnsi="Times New Roman"/>
          <w:color w:val="0070C0"/>
          <w:sz w:val="16"/>
          <w:szCs w:val="16"/>
        </w:rPr>
        <w:softHyphen/>
        <w:t>ра, кроме «Коминтерна» и КПД, уже испы</w:t>
      </w:r>
      <w:r w:rsidRPr="00142305">
        <w:rPr>
          <w:rFonts w:ascii="Times New Roman" w:hAnsi="Times New Roman"/>
          <w:color w:val="0070C0"/>
          <w:sz w:val="16"/>
          <w:szCs w:val="16"/>
        </w:rPr>
        <w:softHyphen/>
        <w:t>тывались ранее в летний сезон 1931 года. Программа испытаний предусматривала буксировку поездов в составе: 203-мм га</w:t>
      </w:r>
      <w:r w:rsidRPr="00142305">
        <w:rPr>
          <w:rFonts w:ascii="Times New Roman" w:hAnsi="Times New Roman"/>
          <w:color w:val="0070C0"/>
          <w:sz w:val="16"/>
          <w:szCs w:val="16"/>
        </w:rPr>
        <w:softHyphen/>
        <w:t>убицы М-6, 152-мм мортиры с передком, 76-мм зенитной пушки и повозки П-26, пары повозок П-26.</w:t>
      </w:r>
    </w:p>
    <w:p w14:paraId="26A7A47F"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трактора с поездами уверенно двигались на малых скоростях. С ро</w:t>
      </w:r>
      <w:r w:rsidRPr="00142305">
        <w:rPr>
          <w:rFonts w:ascii="Times New Roman" w:hAnsi="Times New Roman"/>
          <w:color w:val="0070C0"/>
          <w:sz w:val="16"/>
          <w:szCs w:val="16"/>
        </w:rPr>
        <w:softHyphen/>
        <w:t>стом скоростей до 8-10 км/ч повозки из состава поездов начинали вилять. При скорости около 16 км/ч «виляние прицепок становится очень сильным, угрожая возможностью закатиться в канаву или задеть за встречный эки</w:t>
      </w:r>
      <w:r w:rsidRPr="00142305">
        <w:rPr>
          <w:rFonts w:ascii="Times New Roman" w:hAnsi="Times New Roman"/>
          <w:color w:val="0070C0"/>
          <w:sz w:val="16"/>
          <w:szCs w:val="16"/>
        </w:rPr>
        <w:softHyphen/>
        <w:t>паж задней прицепкой». С дальнейшим ростом скоростей тракторные поезда становились неуправляемыми, в ре</w:t>
      </w:r>
      <w:r w:rsidRPr="00142305">
        <w:rPr>
          <w:rFonts w:ascii="Times New Roman" w:hAnsi="Times New Roman"/>
          <w:color w:val="0070C0"/>
          <w:sz w:val="16"/>
          <w:szCs w:val="16"/>
        </w:rPr>
        <w:softHyphen/>
        <w:t>зультате тракторный поезд с тракто-</w:t>
      </w:r>
    </w:p>
    <w:p w14:paraId="085E6CB0"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ром КПД улетел в кювет и его пришлось вытаскивать при помощи «Коммунара».</w:t>
      </w:r>
    </w:p>
    <w:p w14:paraId="297C5988" w14:textId="77777777" w:rsidR="00075947" w:rsidRPr="00142305" w:rsidRDefault="00075947" w:rsidP="000759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интенсивных испытаний у «Ко</w:t>
      </w:r>
      <w:r w:rsidRPr="00142305">
        <w:rPr>
          <w:rFonts w:ascii="Times New Roman" w:hAnsi="Times New Roman"/>
          <w:color w:val="0070C0"/>
          <w:sz w:val="16"/>
          <w:szCs w:val="16"/>
        </w:rPr>
        <w:softHyphen/>
        <w:t>минтернов» были выявлены многочи</w:t>
      </w:r>
      <w:r w:rsidRPr="00142305">
        <w:rPr>
          <w:rFonts w:ascii="Times New Roman" w:hAnsi="Times New Roman"/>
          <w:color w:val="0070C0"/>
          <w:sz w:val="16"/>
          <w:szCs w:val="16"/>
        </w:rPr>
        <w:softHyphen/>
        <w:t>сленные дефекты ходовой части. Хотя конструкция трактора была оценена как перспективная (25003).</w:t>
      </w:r>
    </w:p>
    <w:p w14:paraId="228375B9" w14:textId="77777777" w:rsidR="00075947" w:rsidRPr="00142305" w:rsidRDefault="00075947" w:rsidP="00075947">
      <w:pPr>
        <w:spacing w:after="0" w:line="240" w:lineRule="auto"/>
        <w:jc w:val="both"/>
        <w:rPr>
          <w:rFonts w:ascii="Times New Roman" w:hAnsi="Times New Roman"/>
          <w:color w:val="0070C0"/>
          <w:sz w:val="16"/>
          <w:szCs w:val="16"/>
        </w:rPr>
      </w:pPr>
    </w:p>
    <w:p w14:paraId="67982AEC" w14:textId="77777777" w:rsidR="008443A2"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53B3954C" w14:textId="77777777" w:rsidR="008443A2" w:rsidRPr="00E93F40" w:rsidRDefault="008443A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735E3A" w14:textId="77777777" w:rsidR="008443A2" w:rsidRPr="00E93F40" w:rsidRDefault="008443A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 официально открыли Синьцзянскую лётную школу. Её начальником «де- юре» стал сам Цзинь Шужэнь, а фактически учебным процессом руководил А.С. Волын</w:t>
      </w:r>
      <w:r w:rsidRPr="00E93F40">
        <w:rPr>
          <w:rFonts w:ascii="Times New Roman" w:hAnsi="Times New Roman"/>
          <w:color w:val="000000" w:themeColor="text1"/>
          <w:sz w:val="16"/>
          <w:szCs w:val="16"/>
        </w:rPr>
        <w:softHyphen/>
        <w:t>ченко, впоследствии начальником учебного отдела стал Ли Сяотянь. Летнаб Ярцев так описал «структуру» их взаимоотношений: «Старшим является лётчик Волынченко, но ха</w:t>
      </w:r>
      <w:r w:rsidRPr="00E93F40">
        <w:rPr>
          <w:rFonts w:ascii="Times New Roman" w:hAnsi="Times New Roman"/>
          <w:color w:val="000000" w:themeColor="text1"/>
          <w:sz w:val="16"/>
          <w:szCs w:val="16"/>
        </w:rPr>
        <w:softHyphen/>
        <w:t>рактерно то, что местные лётчики... не всегда с ним считаются, открывают полёты без его разрешения, что по его словам бывало и раньше, и ряд других моментов говорят за то, что иногда стараются делать через его голову и без его ведома, что усложняет ра</w:t>
      </w:r>
      <w:r w:rsidRPr="00E93F40">
        <w:rPr>
          <w:rFonts w:ascii="Times New Roman" w:hAnsi="Times New Roman"/>
          <w:color w:val="000000" w:themeColor="text1"/>
          <w:sz w:val="16"/>
          <w:szCs w:val="16"/>
        </w:rPr>
        <w:softHyphen/>
        <w:t>боту с ними, так как у них нет своего какого-либо авиационного начальника, который был бы сведущ в авиации, а Волынченко они как видно не хотят отдавать всю инициативу, вследствие чего работа и не может идти так успешно, как это требовалось бы...» (15802).</w:t>
      </w:r>
    </w:p>
    <w:p w14:paraId="03F293D7" w14:textId="77777777" w:rsidR="008443A2" w:rsidRPr="00E93F40" w:rsidRDefault="008443A2" w:rsidP="00E93F40">
      <w:pPr>
        <w:spacing w:after="0" w:line="240" w:lineRule="auto"/>
        <w:jc w:val="both"/>
        <w:rPr>
          <w:rFonts w:ascii="Times New Roman" w:hAnsi="Times New Roman"/>
          <w:color w:val="000000" w:themeColor="text1"/>
          <w:sz w:val="16"/>
          <w:szCs w:val="16"/>
        </w:rPr>
      </w:pPr>
    </w:p>
    <w:p w14:paraId="0C1E5E8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41BFB3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8229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в обращении НСДАП от говорилось: «Гитлер – это девиз для всех, кто верит в возрождение Германии… Гитлер победит, ибо народ желает его победы…». И это действительно было так. Рядовые немцы устали от бесконечных унижений. Гитлер обещал чудо, он обещал исцелить нацию и вернуть земли, исконно принадлежавшие Германии. Затаенная мечта продолжить войну и одержать в ней победу нашла выражение в массовой поддержке НСДАП. 31 июля 1932 на очередных выборах в рейхстаг национал-социалисты получили 230 мандатов (социал-демократы – 133, коммунисты – 89 мандатов), став самой крупной фракцией в парламенте. НачиналасьисторияТретьегорейха…(11688).</w:t>
      </w:r>
    </w:p>
    <w:p w14:paraId="5C7E1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557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val="en-US"/>
        </w:rPr>
        <w:t>March</w:t>
      </w:r>
      <w:r w:rsidRPr="00E93F40">
        <w:rPr>
          <w:rFonts w:ascii="Times New Roman" w:hAnsi="Times New Roman"/>
          <w:color w:val="000000" w:themeColor="text1"/>
          <w:sz w:val="16"/>
          <w:szCs w:val="16"/>
        </w:rPr>
        <w:t xml:space="preserve"> 1 1932 </w:t>
      </w:r>
      <w:r w:rsidRPr="00E93F40">
        <w:rPr>
          <w:rFonts w:ascii="Times New Roman" w:hAnsi="Times New Roman"/>
          <w:color w:val="000000" w:themeColor="text1"/>
          <w:sz w:val="16"/>
          <w:szCs w:val="16"/>
          <w:lang w:val="en-US"/>
        </w:rPr>
        <w:t>Manchuria</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becomes</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Japanese</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puppet</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state</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of</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Manchukuo</w:t>
      </w:r>
      <w:r w:rsidRPr="00E93F40">
        <w:rPr>
          <w:rFonts w:ascii="Times New Roman" w:hAnsi="Times New Roman"/>
          <w:color w:val="000000" w:themeColor="text1"/>
          <w:sz w:val="16"/>
          <w:szCs w:val="16"/>
        </w:rPr>
        <w:t xml:space="preserve"> (1037).</w:t>
      </w:r>
    </w:p>
    <w:p w14:paraId="47DD63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2E81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Манжурия стала марионеточным государством Японии (1037).</w:t>
      </w:r>
    </w:p>
    <w:p w14:paraId="7A2835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908FE0" w14:textId="77777777" w:rsidR="008443A2" w:rsidRPr="00E93F40" w:rsidRDefault="008443A2"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марта</w:t>
      </w:r>
      <w:r w:rsidRPr="00E93F40">
        <w:rPr>
          <w:rFonts w:ascii="Times New Roman" w:hAnsi="Times New Roman"/>
          <w:color w:val="000000" w:themeColor="text1"/>
          <w:sz w:val="16"/>
          <w:szCs w:val="16"/>
        </w:rPr>
        <w:t xml:space="preserve"> в 1932 году провозглашено Маньчжоу-го — марионеточное государство под японским протекторатом с населением более 40 миллионов человек, образованное Квантунской армией после завоевания ею Маньчжурии в 1931 году. Географически в Маньчжоу-го, находящегося на территории северо-восточного Китая, входили Маньчжурия и часть Внутренней Монголии. Население состояло из маньчжуров, китайцев, монголов, корейцев, русских белоэмигрантов, японцев, тибетцев и выходцев из Центральной Азии. Пу И (1906–1967), последний император китайской династии Цин, был немедленно приведен к власти в качестве регента, а двумя годами позже провозглашен императором Маньчжоу-го, не обладая, разумеется, никакой властью. Ни одна из великих держав, за исключением самой Японии, не признала Маньчжоу-го. После разгрома Германии 9 августа 1945 года Советский Союз ввел свои войска в Маньчжоу-го. 18 августа Пу И отрекся от престола и Маньчжоу-го прекратило свое существование (15055).</w:t>
      </w:r>
    </w:p>
    <w:p w14:paraId="0BEC6F4D" w14:textId="77777777" w:rsidR="008443A2" w:rsidRPr="00E93F40" w:rsidRDefault="008443A2" w:rsidP="00E93F40">
      <w:pPr>
        <w:spacing w:after="0" w:line="240" w:lineRule="auto"/>
        <w:jc w:val="both"/>
        <w:rPr>
          <w:rFonts w:ascii="Times New Roman" w:hAnsi="Times New Roman"/>
          <w:color w:val="000000" w:themeColor="text1"/>
          <w:sz w:val="16"/>
          <w:szCs w:val="16"/>
        </w:rPr>
      </w:pPr>
    </w:p>
    <w:p w14:paraId="08769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был похищен ребенок Ч.Линдберга (2100).</w:t>
      </w:r>
    </w:p>
    <w:p w14:paraId="48BB5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F8E2CB" w14:textId="77777777" w:rsidR="008443A2" w:rsidRPr="00E93F40" w:rsidRDefault="008443A2"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марта</w:t>
      </w:r>
      <w:r w:rsidRPr="00E93F40">
        <w:rPr>
          <w:rFonts w:ascii="Times New Roman" w:hAnsi="Times New Roman"/>
          <w:color w:val="000000" w:themeColor="text1"/>
          <w:sz w:val="16"/>
          <w:szCs w:val="16"/>
        </w:rPr>
        <w:t xml:space="preserve"> в 1932 году в штате Нью-Джерси похищается сын (ребенку было всего 1 год и 9 месяцев) знаменитого американского летчика Чарльза Линдберга и Анны Линдберг. Похитители оставляют записку с требованием выкупа в 50 000 долларов. В апреле выкуп будет передан, но 12 мая тело младенца будет обнаружено неподалеку от дома. Экспертиза покажет, что его убили вскоре после похищения. Через два с половиной года, предполагаемый похититель и убийца Бруно Гауптманн будет схвачен, предан суду и казнен на электрическом стуле 3 апреля 1936.</w:t>
      </w:r>
    </w:p>
    <w:p w14:paraId="6B217AEE" w14:textId="77777777" w:rsidR="008443A2" w:rsidRPr="00E93F40" w:rsidRDefault="008443A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сих пор самым знаменитым случаем киднеппинга является похищение в Нью-Джерси сына знаменитого лётчика Чарльза Линдберга.</w:t>
      </w:r>
    </w:p>
    <w:p w14:paraId="7E75FFF5" w14:textId="77777777" w:rsidR="008443A2" w:rsidRPr="00E93F40" w:rsidRDefault="008443A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мае 1927 простой пилот почтового одномоторного самолета первым в мире перелетел через Атлантику. Это принесло ему мировую славу и сделало в Америке символом нации. Он олицетворял собой образ простого парня, который своими силами проделал путь наверх. 33-часовой беспосадочный перелет фактически ввел Линдберга в высшее общество. Он стал богат, знаменит, получил звание полковника и женился на Анне Морроу – дочери американского посла в Мексике. А </w:t>
      </w:r>
      <w:r w:rsidRPr="00E93F40">
        <w:rPr>
          <w:rFonts w:ascii="Times New Roman" w:hAnsi="Times New Roman"/>
          <w:color w:val="000000" w:themeColor="text1"/>
          <w:sz w:val="16"/>
          <w:szCs w:val="16"/>
        </w:rPr>
        <w:lastRenderedPageBreak/>
        <w:t>родившийся у них сын - Чарльз Август Линдберг без преувеличений стал самым популярным ребенком Америки. Всеобщее внимание постепенно стало тяготить Линдберга, и он с семьей поселился в уединенном месте в горах Нью-Джерси. Там и произошло похищение. Поздно вечером няня, Бетти Гоу, заглянула в детскую и с ужасом обнаружила, что кроватка ребенка, которому был год и 9 месяцев, пуста. Линберг обнаружил обломок деревянной лестницы у окна, а на подоконнике записку, в которой предлагалось держать наготове 50 тысяч долларов мелкими купюрами для выкупа за мальчика и не сообщать в полицию. Летчик не послушался и известил полицию о похищении его сына. Экспертиза установила, что письмо написано непривычной к написанию рукой и содержит много орфографических ошибок. Кроме того, отдельные признаки позволили предположить, что автор – эмигрант из Европы.</w:t>
      </w:r>
    </w:p>
    <w:p w14:paraId="0FE951D1" w14:textId="77777777" w:rsidR="008443A2" w:rsidRPr="00E93F40" w:rsidRDefault="008443A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Толпы людей и журналистов включились в поиски ребенка, но тем самым только осложнили работу полиции. Первым на похитителя вышел доброволец - 74-летний доцент педагогики Джон Кондон. Он разместил в газетах объявления, что готов вступить в переписку с похитителями и добавить к выкупу собственную тысячу долларов. Похититель откликнулся и назначил встречу на кладбище святого Раймонда. При встрече похититель заявил, что он представляет некую группу и в качестве выкупа они требуют уже 70 тысяч долларов. Однако спустя некоторое время стороны сошлись на прежней сумме – в 50 тысяч. При следующей встрече Кондом передал эти деньги похитителю, а тот – записку с указанием где находится ребенок. Было написано, что мальчик находится в лодке «Нелли» возле острова Элизабет. Линдберг облетел всю местность вблизи острова, но указанной лодки не нашел. Опасаясь за жизнь мальчика, полиция дала возможность похитителю уйти с деньгами. А через несколько недель в лесу близ Сауэрленда случайным прохожим был обнаружен разложившийся трупик мальчика. В морге несчастный Линдберг опознал своего сына. Как показала экспертиза, маленький Чарльз был убит ударом по голове и захоронен в ночь похищения.</w:t>
      </w:r>
    </w:p>
    <w:p w14:paraId="04F4837D" w14:textId="77777777" w:rsidR="008443A2" w:rsidRPr="00E93F40" w:rsidRDefault="008443A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Америка была потрясена случившимся. ФБР, полиция, три независимых детективных агентства и целая армия журналистов участвовали в расследовании этого преступления. Конгрессом был даже принят специальный закон «Линдберг киннэп экт», отныне передававший расследование похищения людей в компетенцию ФБР. Основной «зацепкой» в поисках убийцы стали номера купюр. Перед передачей выкупа Линдберг их переписал. И это помогло вычислить преступника. Спустя почти два года после похищения маленького Линдберга - 15 сентября 1934 года 35-летний эмигрант из Германии, Бруно Хауптман, заправлял свой «додж» в Нью-Йорке. А в качестве оплаты протянул десятидолларовую купюру. Именно такими деньгами был заплачен выкуп Линбергом. Служащий бензоколонки записал номер автомашины подозрительного клиента и уведомил полицию. При обыске у Хауптмана были обнаружены несколько банкнот из выкупа, а в гараже – 14 тысяч долларов. По заключению восьми экспертов, почерк немца и его плохой английский соответствовали особенностям письма автора послания с требованием выкупа. Джон Кондон показал, что узнал голос подозреваемого. Специальная экспертиза даже установила, что лестница, которую нашли возле дома Линдбергов в ночь похищения, была изготовлена инструментами и из материалов Хауптмана. 2 января 1935 года начался громкий судебный процесс. Хауптман сопротивлялся любым попыткам склонить его к признанию и упорно стоял на своем, что не причастен к преступлению, а деньги не его, а его друга – умершего парикмахера Фиша. Но биография Хауптмана говорила против него. В Германии им было совершено несколько краж и одно уличное ограбление с применением оружия. Присяжные были единодушны в своём приговоре: «виновен». 3 апреля 1936 года Бруно Хауптман, так и не признавший своей вины, был казнён в тюрьме штата Нью-Джерси на электрическом стуле (15055).</w:t>
      </w:r>
    </w:p>
    <w:p w14:paraId="33650D9B" w14:textId="77777777" w:rsidR="008443A2" w:rsidRPr="00E93F40" w:rsidRDefault="008443A2" w:rsidP="00E93F40">
      <w:pPr>
        <w:spacing w:after="0" w:line="240" w:lineRule="auto"/>
        <w:jc w:val="both"/>
        <w:rPr>
          <w:rFonts w:ascii="Times New Roman" w:hAnsi="Times New Roman"/>
          <w:color w:val="000000" w:themeColor="text1"/>
          <w:sz w:val="16"/>
          <w:szCs w:val="16"/>
        </w:rPr>
      </w:pPr>
    </w:p>
    <w:p w14:paraId="096CF432"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марта 1932 г. неиз</w:t>
      </w:r>
      <w:r w:rsidRPr="00142305">
        <w:rPr>
          <w:rStyle w:val="aff"/>
          <w:rFonts w:ascii="Times New Roman" w:hAnsi="Times New Roman" w:cs="Times New Roman"/>
          <w:color w:val="0070C0"/>
          <w:spacing w:val="0"/>
          <w:sz w:val="16"/>
          <w:szCs w:val="16"/>
        </w:rPr>
        <w:softHyphen/>
        <w:t>вестным лицом ночью из в одинокого домик Ч. Линдберга в горах вблизи Нью-Джерси был похищен его маленький сын. Похититель требовал от Ч. Линдберга огромную сумму де</w:t>
      </w:r>
      <w:r w:rsidRPr="00142305">
        <w:rPr>
          <w:rStyle w:val="aff"/>
          <w:rFonts w:ascii="Times New Roman" w:hAnsi="Times New Roman" w:cs="Times New Roman"/>
          <w:color w:val="0070C0"/>
          <w:spacing w:val="0"/>
          <w:sz w:val="16"/>
          <w:szCs w:val="16"/>
        </w:rPr>
        <w:softHyphen/>
        <w:t>нег, и хотя деньги были выплачены, его сына не только не вер</w:t>
      </w:r>
      <w:r w:rsidRPr="00142305">
        <w:rPr>
          <w:rStyle w:val="aff"/>
          <w:rFonts w:ascii="Times New Roman" w:hAnsi="Times New Roman" w:cs="Times New Roman"/>
          <w:color w:val="0070C0"/>
          <w:spacing w:val="0"/>
          <w:sz w:val="16"/>
          <w:szCs w:val="16"/>
        </w:rPr>
        <w:softHyphen/>
        <w:t>нули родителям, а убили и закопали в лесу, в нескольких кило</w:t>
      </w:r>
      <w:r w:rsidRPr="00142305">
        <w:rPr>
          <w:rStyle w:val="aff"/>
          <w:rFonts w:ascii="Times New Roman" w:hAnsi="Times New Roman" w:cs="Times New Roman"/>
          <w:color w:val="0070C0"/>
          <w:spacing w:val="0"/>
          <w:sz w:val="16"/>
          <w:szCs w:val="16"/>
        </w:rPr>
        <w:softHyphen/>
        <w:t>метров от дома. Прошли годы, прежде чем поймали убийцу. Он отрицал свою вину, даже сидя на электрическом стуле, но до</w:t>
      </w:r>
      <w:r w:rsidRPr="00142305">
        <w:rPr>
          <w:rStyle w:val="aff"/>
          <w:rFonts w:ascii="Times New Roman" w:hAnsi="Times New Roman" w:cs="Times New Roman"/>
          <w:color w:val="0070C0"/>
          <w:spacing w:val="0"/>
          <w:sz w:val="16"/>
          <w:szCs w:val="16"/>
        </w:rPr>
        <w:softHyphen/>
        <w:t>казательства его вины были неоспоримы. Американская пресса вела ожесточенные споры о том, поймали настоящего убийцу или нет. Семья Линдберга стала получать новые письма от вы</w:t>
      </w:r>
      <w:r w:rsidRPr="00142305">
        <w:rPr>
          <w:rStyle w:val="aff"/>
          <w:rFonts w:ascii="Times New Roman" w:hAnsi="Times New Roman" w:cs="Times New Roman"/>
          <w:color w:val="0070C0"/>
          <w:spacing w:val="0"/>
          <w:sz w:val="16"/>
          <w:szCs w:val="16"/>
        </w:rPr>
        <w:softHyphen/>
        <w:t>могателей, и она со вторым ребенком в 1935 г. тайно покинула Америку. С тех пор они жили то в Англии или во Франции.</w:t>
      </w:r>
    </w:p>
    <w:p w14:paraId="33E0D99D"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Перед войной Ч. Линдберг посетил в Германии несколько авиационных заводов. Побывав в доме немецкого конструктора Энста Хейнкеля, он за чашечкой кофе произнес такую фразу: «Ни в коем случае не должно дойти до того, чтобы возник</w:t>
      </w:r>
      <w:r w:rsidRPr="00142305">
        <w:rPr>
          <w:rStyle w:val="aff"/>
          <w:rFonts w:ascii="Times New Roman" w:hAnsi="Times New Roman" w:cs="Times New Roman"/>
          <w:color w:val="0070C0"/>
          <w:spacing w:val="0"/>
          <w:sz w:val="16"/>
          <w:szCs w:val="16"/>
        </w:rPr>
        <w:softHyphen/>
        <w:t>ла воздушная война между Германией, Англией и Америкой. Только русские способны извлечь из этого выгоду...» В честь Ч. Линдберга в американском посольстве в Берлине состоялся прием. Опоздавший на прием Г. Геринг можно сказать на ходу передал Ч. Линдбергу коробочку с немецким орденом, сказав при этом с присущей ему надменностью: «От вождя». Позже Ч. Линдберг столкнулся с многочисленными недоброжелате</w:t>
      </w:r>
      <w:r w:rsidRPr="00142305">
        <w:rPr>
          <w:rStyle w:val="aff"/>
          <w:rFonts w:ascii="Times New Roman" w:hAnsi="Times New Roman" w:cs="Times New Roman"/>
          <w:color w:val="0070C0"/>
          <w:spacing w:val="0"/>
          <w:sz w:val="16"/>
          <w:szCs w:val="16"/>
        </w:rPr>
        <w:softHyphen/>
        <w:t>лями у себя на родине из-за этого ордена (25675).</w:t>
      </w:r>
    </w:p>
    <w:p w14:paraId="54091F65" w14:textId="77777777" w:rsidR="002B2DA4" w:rsidRPr="00142305" w:rsidRDefault="002B2DA4" w:rsidP="002B2DA4">
      <w:pPr>
        <w:spacing w:after="0" w:line="240" w:lineRule="auto"/>
        <w:jc w:val="both"/>
        <w:rPr>
          <w:rFonts w:ascii="Times New Roman" w:hAnsi="Times New Roman"/>
          <w:color w:val="0070C0"/>
          <w:sz w:val="16"/>
          <w:szCs w:val="16"/>
        </w:rPr>
      </w:pPr>
    </w:p>
    <w:p w14:paraId="46C7B9D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7305DD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8CF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марта 1932 года начальник Осконпробюро ВВС ст. летчик Гроховский</w:t>
      </w:r>
    </w:p>
    <w:p w14:paraId="5BC31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Агит-самолет АН-9</w:t>
      </w:r>
    </w:p>
    <w:p w14:paraId="66A6E7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АН-9 может быть переоборудован в агитсамолет, в котором можно сосредоточить все необходимые средства ТСП по авиации. Такой один самолет, работая на фронте, сможет во много раз облегчить и повысить агитработу на много процентов. Преимущество такого самолета колоссально:</w:t>
      </w:r>
    </w:p>
    <w:p w14:paraId="2C07C53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Может выполнить задание в любую минуту, так как самолет будет всегда оборудован под агитсредства. Разбросанные же по частям агитсредства должны будут при получении задания приготавливаться и приспосабливаться к наличию свободных боевых самолетов, что конечно вызовет длительное время приготовления.</w:t>
      </w:r>
    </w:p>
    <w:p w14:paraId="4125994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Агитсамолет дает возможность не загружать боевые самолеты, которые более будут необходимы для боевых операций, а для работы с агитсредствами нужно будет искать свободного времени самолетов.</w:t>
      </w:r>
    </w:p>
    <w:p w14:paraId="5A774CB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по обслуживанию агитсредствами в боевой обстановке колоссальная. Необходим самолет, который должен ежегодно облетать фронт, сбрасывать частями газеты, давать радиосводки, передавать задания политотделам. Агитсамолет АН-9 и здесь сыграет колоссальную роль. Отсутствие агитсамолетов влечет за собой полную зависимость от частей, которые не всегда смогут удовлетворять требование агитработы.</w:t>
      </w:r>
    </w:p>
    <w:p w14:paraId="2DC7846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Агитсамолет несет на себе до 10-ти разнообразных объектов и может их применять, учитывая атмосферные условия, местность и обстановку.</w:t>
      </w:r>
    </w:p>
    <w:p w14:paraId="5A2EBD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……………………………………….(7470, 347-348).</w:t>
      </w:r>
    </w:p>
    <w:p w14:paraId="4E317A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3F5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марта 1932 на заводе 39 состоялось совещание, в ходе которого П.И.Б. поинтересовался: "Самолет Z (И-7) построен уже около года, 39 завод предъявил его правительству в июне-июле 1931, обещал доработать, где результат?" Пауфлер ответил, что самолет давно готов, произведено 74 выстрела из пушек на земле и 10-12 в воздухе, во время одного из них оторвало выходное сопло одной из АПК. И-зет был окончательно определен как перехватчик для уничтожения крупных групп вражеских бомбардировщиков на встречных курсах "вооруженный пушками АПК с зарядом 560 г пороха марки МСК с нач. скоростью 347 м/с при весе снаряда 3 кг". Решили подготовить и предъявить И-зет Z(И-7) 12 марта 1932 (2692,5).</w:t>
      </w:r>
    </w:p>
    <w:p w14:paraId="28FDC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7301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марта 1932 г. состоялось совещание руководства на заводе № 39. В ходе его проведения начальник ГУАП П.И. Баранов поинтересовался: "Самолет Z (И-7) построен уже около года, 39-й завод предъявил его правительству в июне-июле 1931 года, обещал доработать, где же результат?" Пауфлер на это ответил, что машина давно готова, произведено 74 выстрела из пушек на земле и 10 - 12 выстрелов в воздухе, во время воздушных стрельб оторвало выхлопное сопло одной из АПК-4. Однако в целом всё хорошо, и завод № 39 готов к выпуску серии истребителей Григоровича.</w:t>
      </w:r>
    </w:p>
    <w:p w14:paraId="190F50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Подробностей упомянутых испытаний пока не обнаружено, однако в рапорте о произведённых стрельбах, направленном помощником начальника ЦКБ На- дашкевичем на имя начальника (!) ЦАГИ Пауфлера, говорится: "Вчера на заводе им. Менжинского совместно с инженером Курчевским был произведён осмотр ДРП с разлетевшейся при стрельбе 18 декабря 1931 года сопловой частью и второй ДРП, имеющей вздутие. Повреждённые пушки следует отправить на переделку, в строящейся серии (44 шт.) следует внести соответствующие изменения".</w:t>
      </w:r>
    </w:p>
    <w:p w14:paraId="7B8A1C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указанном совещании окончательно определили назначение И-ЗЕТ как истребителя-перехватчика, "вооружённого пушками АПК, с зарядом в 560 г пороха марки "МСК", с начальной скоростью снаряда 347 м/сек, при весе снаряда 3 кг", предназначенного для уничтожения крупных групп вражеских бомбовозов на встречных курсах. Поражение самолётов противника достигалось картечью с подрывом заряда традиционной дистанционной трубкой. Итогом совещания явилось решение подготовить и предъявить И-ЗЕТ на сдаточные испытания 12 марта 1932 г. (12005)</w:t>
      </w:r>
    </w:p>
    <w:p w14:paraId="7C7FE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C22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марта 1932 г. на совещании на авиазаводе № 39 начальник ВВС Яков Алкснис задал вопрос о сроках готовности самолета: «Самолет Z (И-7) построен уже около года, 39-й завод предъявил его правительству и в июне — июле 1931 г. обещал доработать, где результат?» Пауфлер ему, в свою очередь, ответил, что самолет давно готов, произведено 74 выстрела из пушек на земле. 10–12 выстрелов в воздухе, во время которых оторвало выхлопное сопло одной из пушек, однако все хорошо, чертежи на самолет готовы, завод готов к выпуску серии.</w:t>
      </w:r>
    </w:p>
    <w:p w14:paraId="2198B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Присутствующий на совещании Курчевский, в свою очередь, сказал, что его совершенно не допускают к самолету (налицо явный конфликт с Григоровичем, да и при чем здесь самолет — пушки давай!), работать не дают.</w:t>
      </w:r>
    </w:p>
    <w:p w14:paraId="7B870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Окончательно на совещании 2 марта было решено самолет Z (И-7) подготовить и предъявить к испытаниям 12 марта. Проводились ли такие испытания, неизвестно, но уже 27 апреля 1932 г. руководство авиазавода № 39, теперь уже в лице директора С. Марголина, подписывает договор с Управлением ВВС на поставку 20 истребителей Z с установкой спецвооружения.</w:t>
      </w:r>
    </w:p>
    <w:p w14:paraId="05B55C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Один из первых серийных самолетов И-7 № 39 009 испытывался в феврале — марте 1933 г. на полигоне 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(12091).</w:t>
      </w:r>
    </w:p>
    <w:p w14:paraId="199EC2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9E6E5C" w14:textId="0CED458F"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совещании на авиазаводе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 начальник ВВС Яков Алкснис задал вопрос о сроках готовности самолета: «Самолет Z (И-7) построен уже около года, 39-й завод предъявил его правительству и в июне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июле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обещал доработать, где результат?» Пауфлер ему, в свою очередь, ответил, что самолет давно готов, произведено 74 выстрела из пушек на земле. 10–12 выстрелов в воздухе, во время которых оторвало выхлопное сопло одной из пушек, однако все хорошо, чертежи на самолет готовы, завод готов к выпуску серии.</w:t>
      </w:r>
    </w:p>
    <w:p w14:paraId="2AFCBCA1" w14:textId="5726546E"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Присутствующий на совещании Курчевский, в свою очередь, сказал, что его совершенно не допускают к самолету (налицо явный конфликт с Григоровичем, да и при чем здесь самолет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пушки давай!), работать не дают.</w:t>
      </w:r>
    </w:p>
    <w:p w14:paraId="3CDD340C" w14:textId="7DF1F0DD"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Окончательно на совещании 2 марта было решено самолет Z (И-7) подготовить и предъявить к испытаниям 12 марта. Проводились ли такие испытания, неизвестно, но уже 27 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руководство авиазавода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 теперь уже в лице директора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Марголина, подписывает договор с Управлением ВВС на поставку 20 истребителей Z с установкой спецвооружения.</w:t>
      </w:r>
    </w:p>
    <w:p w14:paraId="0D2275BF" w14:textId="4148E4F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Один из первых серийных самолетов И-7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009 испытывался в феврале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марте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полигоне 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w:t>
      </w:r>
    </w:p>
    <w:p w14:paraId="7E0BDB80" w14:textId="53264A88"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были проведены государственные испытания самолета И-7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010, вооруженного серийными пушками АПК-4бис. Испытания проходили на аэродроме НИИ ВВС в Щелкове в период с 14 сентября по 1 октября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Летал летчик Сцельников, общий налет составил 16 часов 20 минут.</w:t>
      </w:r>
    </w:p>
    <w:p w14:paraId="27F0C9C4" w14:textId="5C15809A"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отчете по испытаниям указывалось, что самолет И-7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010 постройки авиазавода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5B793F3D" w14:textId="66CC33AC"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за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 и потолка (7000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являются достаточно удовлетворительными. Полученное значение максимальной скорости 259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км/час совершенно недостаточное. Причина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неудачная конструкция колес и шасси, большое сопротивление пушек. Тактическая дальность действия самолета 310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также признана недостаточной.</w:t>
      </w:r>
    </w:p>
    <w:p w14:paraId="557BFB99"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107000C4" w14:textId="775E9DF8"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Малая емкость магазинов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две пушки всего 14 снарядов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33DA0D0F" w14:textId="251038BD"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4F33D895" w14:textId="78254B0E"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увеличение максимальной скорости до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км/час;</w:t>
      </w:r>
    </w:p>
    <w:p w14:paraId="1308A7B2" w14:textId="00723ABD"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увеличение емкости бензобаков, доведения количества снарядов до 20 штук, установки электрооборудования и радио.</w:t>
      </w:r>
    </w:p>
    <w:p w14:paraId="4E1609CA"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3E827814" w14:textId="45D1D2D0"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районе Переславля-Залесского на берегу Плещеева озера. Кстати, испытания безоткатных орудий на этом озере проводились еще в сентябре 1924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Испытывались два самолета И-7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005 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010) с четырьмя серийными пушками АПК-4бис. Летали летчики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Коротков и 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Сцельников. Из 147 патронов выстреляно 74, задержек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w:t>
      </w:r>
    </w:p>
    <w:p w14:paraId="2E456E1C" w14:textId="46438FA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Люберецком аэродроме и химическом полигоне в Кузьминках испытывалось семь самолетов И-7 с 14 пушками АПК-4бис. Их испытывала эскадрилья Новака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летчики Климов, Губанов, Бурылин, Катичев и Родин. Отмечалось, что при данной установке АПК стрелять возможно только в горизонтальной плоскости, при пикировании до угла 30°, при кабрировании в крене 25–30°. Первоначально стрельбы велись стержневой шрапнелью чертежа 2–633, а затем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осколочной гранатой. Темп стрельбы без задержек составил 21 выстр/мин. Комиссия сочла, что система АПК-4бис на самолете И-7 испытания выдержала и что при устранении прилагаемого перечня недостатков может быть допущена на войсковые испытания.</w:t>
      </w:r>
    </w:p>
    <w:p w14:paraId="389DEFA7" w14:textId="6A911FDF"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к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авиазавод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 выпустил вместе с опытным самолетом 22 И-7. С начала года проведение стрельб и испытаний было продолжено в Переславле-Залесском. Возглавил испытания Томас Павлович Сузи. Командиром отряда И-7 был летчик Кузьма Александрович Катичев. Летать начали зимой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Стреляли по конусам, которые таскали разведчики Р-5. Все затянулось более чем на год. По сути, это были уже не войсковые испытания, а строевая служба, в ходе которой отрабатывались способы применения, ведения огня по воздушным и наземным целям.</w:t>
      </w:r>
    </w:p>
    <w:p w14:paraId="1DFFBE73" w14:textId="17395C2C"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харьковский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135 и московский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 выпустили 72 истребителя И-7.</w:t>
      </w:r>
    </w:p>
    <w:p w14:paraId="773A0104" w14:textId="379706B0"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весне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Курчевский предложил новую модернизацию пушки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АПК-4М.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Изменения в ней коснулись лишь механизмов подачи.</w:t>
      </w:r>
    </w:p>
    <w:p w14:paraId="0745DBFC" w14:textId="67EBC425"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были проведены полигонные испытания АПК-4М.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Вместе с пушкой испытывались различные типы стержневой шрапнели. В отчете по испытаниям сказано, что пушка «представляет бесспорную боевую ценность», но стрельба из нее производит «тяжелый физиологический эффект» на пилота. Так, техник Моргунов после 182 выстрелов контужен и направлен в больницу с сотрясением мозга. То же самое, только в более слабой форме, у начальника группы Мельникова после 104 выстрелов.</w:t>
      </w:r>
    </w:p>
    <w:p w14:paraId="1E150AD2" w14:textId="07B3071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июня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Алкснис направил Курчевскому письмо: «Во исполнение постановления СТО СССР от 7.04.1935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для определения тактики и боевого применения пушечной авиации и для отработки правил стрельбы приказом НКО СССР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065 создана особая группа: звено „ЗЕТ“, звено Р-5 и один ТБ-1, которая была направлена в Евпаторию. С 15.03.1935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группа бездействует в Евпатории в ожидании пушек. Требуется 6 АПК-4М и одно 37-мм ружье Курчевского».</w:t>
      </w:r>
    </w:p>
    <w:p w14:paraId="284CDD94" w14:textId="6B854F7B"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в Евпаторию прибыли три И-Z, а в июне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РК большой мощности. Вес ружья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вес снаряда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0,6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заряда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0,19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пороха МСК, начальная скорость снаряда 524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10–12 выстр/мин, фактический 5–6 выстр/мин.</w:t>
      </w:r>
    </w:p>
    <w:p w14:paraId="27DD2E97" w14:textId="62478B8C"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534, которые выдерживали до 340–360 выстрелов из АПК-4М (12705).</w:t>
      </w:r>
    </w:p>
    <w:p w14:paraId="6B5116B1" w14:textId="77777777" w:rsidR="00684A8A" w:rsidRPr="00E93F40" w:rsidRDefault="00684A8A" w:rsidP="00E93F40">
      <w:pPr>
        <w:spacing w:after="0" w:line="240" w:lineRule="auto"/>
        <w:jc w:val="both"/>
        <w:rPr>
          <w:rFonts w:ascii="Times New Roman" w:hAnsi="Times New Roman"/>
          <w:color w:val="000000" w:themeColor="text1"/>
          <w:sz w:val="16"/>
          <w:szCs w:val="16"/>
        </w:rPr>
      </w:pPr>
    </w:p>
    <w:p w14:paraId="20E07B37" w14:textId="77777777" w:rsidR="009D2177" w:rsidRPr="00E93F40" w:rsidRDefault="009D2177" w:rsidP="00E93F40">
      <w:pPr>
        <w:pStyle w:val="a3"/>
        <w:autoSpaceDE/>
        <w:autoSpaceDN/>
        <w:adjustRightInd/>
        <w:rPr>
          <w:color w:val="000000" w:themeColor="text1"/>
          <w:lang w:val="ru-RU"/>
        </w:rPr>
      </w:pPr>
      <w:r w:rsidRPr="00E93F40">
        <w:rPr>
          <w:color w:val="000000" w:themeColor="text1"/>
          <w:lang w:val="ru-RU"/>
        </w:rPr>
        <w:t>2 марта 1932 г. на авиазаводе №39 состоялось совещание. В ходе его проведения начальник ГУАП П.И. Баранов поинтересовался:</w:t>
      </w:r>
    </w:p>
    <w:p w14:paraId="5EE3AAA5" w14:textId="77777777" w:rsidR="009D2177" w:rsidRPr="00E93F40" w:rsidRDefault="009D2177" w:rsidP="00E93F40">
      <w:pPr>
        <w:pStyle w:val="a3"/>
        <w:autoSpaceDE/>
        <w:autoSpaceDN/>
        <w:adjustRightInd/>
        <w:rPr>
          <w:color w:val="000000" w:themeColor="text1"/>
          <w:lang w:val="ru-RU"/>
        </w:rPr>
      </w:pPr>
      <w:r w:rsidRPr="00E93F40">
        <w:rPr>
          <w:rStyle w:val="aff5"/>
          <w:rFonts w:ascii="Times New Roman" w:hAnsi="Times New Roman" w:cs="Times New Roman"/>
          <w:i w:val="0"/>
          <w:color w:val="000000" w:themeColor="text1"/>
          <w:lang w:val="ru-RU"/>
        </w:rPr>
        <w:t>«Самолет (И-зет) построен уже около года. 39-й завод предъявил его правительству в июне-июле 1931 г., обещал доработать, где же результат?»</w:t>
      </w:r>
      <w:r w:rsidRPr="00E93F40">
        <w:rPr>
          <w:color w:val="000000" w:themeColor="text1"/>
          <w:lang w:val="ru-RU"/>
        </w:rPr>
        <w:t xml:space="preserve"> Пауфлер на это ответил, что самолет давно готов, произ</w:t>
      </w:r>
      <w:r w:rsidRPr="00E93F40">
        <w:rPr>
          <w:color w:val="000000" w:themeColor="text1"/>
          <w:lang w:val="ru-RU"/>
        </w:rPr>
        <w:softHyphen/>
        <w:t>ведено 74 выстрела из пушек на земле и 10-12 выстрелов в воздухе, во время воздушных стрельб оторвало выхлопн сопло одной из АПК. Однако в целом все хорошо, и завод №39 готов к выпуску сер истребителей Григоровича.</w:t>
      </w:r>
    </w:p>
    <w:p w14:paraId="5F166896" w14:textId="77777777" w:rsidR="009D2177" w:rsidRPr="00E93F40" w:rsidRDefault="009D2177" w:rsidP="00E93F40">
      <w:pPr>
        <w:pStyle w:val="65"/>
        <w:shd w:val="clear" w:color="auto" w:fill="auto"/>
        <w:overflowPunct/>
        <w:autoSpaceDE/>
        <w:autoSpaceDN/>
        <w:adjustRightInd/>
        <w:spacing w:before="0" w:line="240" w:lineRule="auto"/>
        <w:textAlignment w:val="auto"/>
        <w:rPr>
          <w:rFonts w:ascii="Times New Roman" w:hAnsi="Times New Roman"/>
          <w:color w:val="000000" w:themeColor="text1"/>
          <w:sz w:val="16"/>
          <w:szCs w:val="16"/>
        </w:rPr>
      </w:pPr>
      <w:r w:rsidRPr="00E93F40">
        <w:rPr>
          <w:rStyle w:val="67"/>
          <w:rFonts w:ascii="Times New Roman" w:hAnsi="Times New Roman" w:cs="Times New Roman"/>
          <w:iCs/>
          <w:color w:val="000000" w:themeColor="text1"/>
          <w:sz w:val="16"/>
          <w:szCs w:val="16"/>
        </w:rPr>
        <w:t>Подробностей упомянутых испытаний не обнаружено, однако о произведенных стрельбах свидетельствует рапорт направленный помощником начальна ЦКБ Надашкевичем на имя начальника ЦАГИ Пауфлера:</w:t>
      </w:r>
      <w:r w:rsidRPr="00E93F40">
        <w:rPr>
          <w:rFonts w:ascii="Times New Roman" w:hAnsi="Times New Roman"/>
          <w:color w:val="000000" w:themeColor="text1"/>
          <w:sz w:val="16"/>
          <w:szCs w:val="16"/>
        </w:rPr>
        <w:t xml:space="preserve"> «Вчера на заводе Менжинского совместно с инженер Курчевским был произведен осмотр ДРП с разлетевшейся при стрельбе 18 декабря 1931 года сопловой частью и второй ДРП, имеющей вздутие. Поврежденные пушки следует отправить на переделку и в строящейся серии (44 шт.) следует</w:t>
      </w:r>
      <w:r w:rsidRPr="00E93F40">
        <w:rPr>
          <w:rStyle w:val="720"/>
          <w:rFonts w:ascii="Times New Roman" w:eastAsia="Arial Unicode MS" w:hAnsi="Times New Roman" w:cs="Times New Roman"/>
          <w:b w:val="0"/>
          <w:iCs/>
          <w:color w:val="000000" w:themeColor="text1"/>
          <w:sz w:val="16"/>
          <w:szCs w:val="16"/>
        </w:rPr>
        <w:t>внести</w:t>
      </w:r>
      <w:r w:rsidRPr="00E93F40">
        <w:rPr>
          <w:rFonts w:ascii="Times New Roman" w:hAnsi="Times New Roman"/>
          <w:color w:val="000000" w:themeColor="text1"/>
          <w:sz w:val="16"/>
          <w:szCs w:val="16"/>
        </w:rPr>
        <w:t>соответствующие изменения».</w:t>
      </w:r>
    </w:p>
    <w:p w14:paraId="79B72ADD" w14:textId="77777777" w:rsidR="009D2177" w:rsidRPr="00E93F40" w:rsidRDefault="009D2177" w:rsidP="00E93F40">
      <w:pPr>
        <w:pStyle w:val="a3"/>
        <w:autoSpaceDE/>
        <w:autoSpaceDN/>
        <w:adjustRightInd/>
        <w:rPr>
          <w:color w:val="000000" w:themeColor="text1"/>
          <w:lang w:val="ru-RU"/>
        </w:rPr>
      </w:pPr>
      <w:r w:rsidRPr="00E93F40">
        <w:rPr>
          <w:color w:val="000000" w:themeColor="text1"/>
          <w:lang w:val="ru-RU"/>
        </w:rPr>
        <w:t>На указанном совещании окончательно определили назначение И-зет как истребителя-перехватчика,</w:t>
      </w:r>
      <w:r w:rsidRPr="00E93F40">
        <w:rPr>
          <w:rStyle w:val="aff5"/>
          <w:rFonts w:ascii="Times New Roman" w:hAnsi="Times New Roman" w:cs="Times New Roman"/>
          <w:i w:val="0"/>
          <w:color w:val="000000" w:themeColor="text1"/>
          <w:lang w:val="ru-RU"/>
        </w:rPr>
        <w:t xml:space="preserve"> «вооружение пушками АПК, снарядом в 560 г пороха марки «МСК», с начальной скоростью снаряда 347 м/с, при весе снаря 3 кг»,</w:t>
      </w:r>
      <w:r w:rsidRPr="00E93F40">
        <w:rPr>
          <w:color w:val="000000" w:themeColor="text1"/>
          <w:lang w:val="ru-RU"/>
        </w:rPr>
        <w:t xml:space="preserve"> предназначенного для уничтоже крупных групп вражеских бомбовозов на встречных курсах. Поражение самолетов противника достигалось картечью, подрыв заряда которой осуществлялся традиционной дистанционной трубкой. Итогом совещания явилось решение подгото и предъявить И-зат на сдаточные испыт 12 марта 1932 г. (12731).</w:t>
      </w:r>
    </w:p>
    <w:p w14:paraId="02F46177" w14:textId="77777777" w:rsidR="009D2177" w:rsidRPr="00E93F40" w:rsidRDefault="009D2177" w:rsidP="00E93F40">
      <w:pPr>
        <w:pStyle w:val="a3"/>
        <w:autoSpaceDE/>
        <w:autoSpaceDN/>
        <w:adjustRightInd/>
        <w:rPr>
          <w:color w:val="000000" w:themeColor="text1"/>
          <w:lang w:val="ru-RU"/>
        </w:rPr>
      </w:pPr>
    </w:p>
    <w:p w14:paraId="441EB96D"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2 марта 1932 г. на совещании на авиазаводе № 39 начальник ВВС Яков Алкснис задал вопрос о сроках готовности самолета: «Самолет </w:t>
      </w:r>
      <w:r w:rsidRPr="00142305">
        <w:rPr>
          <w:rStyle w:val="aff"/>
          <w:rFonts w:ascii="Times New Roman" w:hAnsi="Times New Roman" w:cs="Times New Roman"/>
          <w:color w:val="0070C0"/>
          <w:spacing w:val="0"/>
          <w:sz w:val="16"/>
          <w:szCs w:val="16"/>
          <w:lang w:val="en-US"/>
        </w:rPr>
        <w:t>Z</w:t>
      </w:r>
      <w:r w:rsidRPr="00142305">
        <w:rPr>
          <w:rStyle w:val="aff"/>
          <w:rFonts w:ascii="Times New Roman" w:hAnsi="Times New Roman" w:cs="Times New Roman"/>
          <w:color w:val="0070C0"/>
          <w:spacing w:val="0"/>
          <w:sz w:val="16"/>
          <w:szCs w:val="16"/>
        </w:rPr>
        <w:t xml:space="preserve"> (И-7) построен уже около года, 39-й завод предъявил его правительству и в июне — июле 1931 г. обещал доработать, где результат?» Пауфлер ему в свою очередь ответил, что самолет давно готов, произведено 74 выстрела из пушек на земле, 10–12 выстрелов в воздухе, во время которых оторвало выхлопное сопло одной из пушек, однако все хорошо, чертежи на самолет готовы, завод готов к выпуску серии.</w:t>
      </w:r>
    </w:p>
    <w:p w14:paraId="69BC5274"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Присутствующий на совещании Курчевский в свою очередь сказал, что его совершенно не допускают к самолету (налицо явный конфликт с Григоровичем, да и при чем здесь самолет — пушки давай!), работать не дают.</w:t>
      </w:r>
    </w:p>
    <w:p w14:paraId="78B40D65"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 xml:space="preserve">Окончательно на совещании 2 марта было решено самолет </w:t>
      </w:r>
      <w:r w:rsidRPr="00142305">
        <w:rPr>
          <w:rStyle w:val="aff"/>
          <w:rFonts w:ascii="Times New Roman" w:hAnsi="Times New Roman" w:cs="Times New Roman"/>
          <w:color w:val="0070C0"/>
          <w:spacing w:val="0"/>
          <w:sz w:val="16"/>
          <w:szCs w:val="16"/>
          <w:lang w:val="en-US"/>
        </w:rPr>
        <w:t>Z</w:t>
      </w:r>
      <w:r w:rsidRPr="00142305">
        <w:rPr>
          <w:rStyle w:val="aff"/>
          <w:rFonts w:ascii="Times New Roman" w:hAnsi="Times New Roman" w:cs="Times New Roman"/>
          <w:color w:val="0070C0"/>
          <w:spacing w:val="0"/>
          <w:sz w:val="16"/>
          <w:szCs w:val="16"/>
        </w:rPr>
        <w:t xml:space="preserve"> (И-7) подготовить и предъявить к испытаниям 12 марта. Проводились ли такие испытания, неизвестно, но уже 27 апреля 1932 г. руководство авиазавода № 39, теперь уже в лице директора С. Марголина, подписывает договор с Управлением ВВС на поставку 20 истребителей </w:t>
      </w:r>
      <w:r w:rsidRPr="00142305">
        <w:rPr>
          <w:rStyle w:val="aff"/>
          <w:rFonts w:ascii="Times New Roman" w:hAnsi="Times New Roman" w:cs="Times New Roman"/>
          <w:color w:val="0070C0"/>
          <w:spacing w:val="0"/>
          <w:sz w:val="16"/>
          <w:szCs w:val="16"/>
          <w:lang w:val="en-US"/>
        </w:rPr>
        <w:t>Z</w:t>
      </w:r>
      <w:r w:rsidRPr="00142305">
        <w:rPr>
          <w:rStyle w:val="aff"/>
          <w:rFonts w:ascii="Times New Roman" w:hAnsi="Times New Roman" w:cs="Times New Roman"/>
          <w:color w:val="0070C0"/>
          <w:spacing w:val="0"/>
          <w:sz w:val="16"/>
          <w:szCs w:val="16"/>
        </w:rPr>
        <w:t xml:space="preserve"> с установкой спецвооружения (25213).</w:t>
      </w:r>
    </w:p>
    <w:p w14:paraId="2E72D30E" w14:textId="77777777" w:rsidR="002B2DA4" w:rsidRPr="00142305" w:rsidRDefault="002B2DA4" w:rsidP="002B2DA4">
      <w:pPr>
        <w:spacing w:after="0" w:line="240" w:lineRule="auto"/>
        <w:jc w:val="both"/>
        <w:rPr>
          <w:rFonts w:ascii="Times New Roman" w:hAnsi="Times New Roman"/>
          <w:color w:val="0070C0"/>
          <w:sz w:val="16"/>
          <w:szCs w:val="16"/>
        </w:rPr>
      </w:pPr>
    </w:p>
    <w:p w14:paraId="744BCB66"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157/64сс о производственной программе на 1932 г. по самолетным и моторным заводам (ГА РФ. Ф. Р?8418. Оп. 28. Д. 1а. Л. 162?163) (12415).</w:t>
      </w:r>
    </w:p>
    <w:p w14:paraId="1AC6F89A"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159/65сс о льготах призванным на учебные сборы РККА в 1932 г. (ГА РФ. Ф. Р?8418. Оп. 28. Д. 1а. Л. 164?165) (12415).</w:t>
      </w:r>
    </w:p>
    <w:p w14:paraId="5E3BEFC1"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p>
    <w:p w14:paraId="33D9DE7E" w14:textId="77777777" w:rsidR="00497EE9" w:rsidRPr="00E93F40" w:rsidRDefault="00497EE9" w:rsidP="00E93F40">
      <w:pPr>
        <w:spacing w:after="0" w:line="240" w:lineRule="auto"/>
        <w:jc w:val="both"/>
        <w:rPr>
          <w:rFonts w:ascii="Times New Roman" w:eastAsia="TimesNewRomanPSMT" w:hAnsi="Times New Roman"/>
          <w:color w:val="000000" w:themeColor="text1"/>
          <w:sz w:val="16"/>
          <w:szCs w:val="16"/>
        </w:rPr>
      </w:pPr>
      <w:r w:rsidRPr="00E93F40">
        <w:rPr>
          <w:rFonts w:ascii="Times New Roman" w:hAnsi="Times New Roman"/>
          <w:color w:val="000000" w:themeColor="text1"/>
          <w:sz w:val="16"/>
          <w:szCs w:val="16"/>
          <w:shd w:val="clear" w:color="auto" w:fill="FFFFFF"/>
        </w:rPr>
        <w:t>2 марта 1932 вышло постановление № 157/64сс РЗ СТО или КО (№ 314/ко от 2.3.1932 г.) О производственной программе на 1932 г. по самолетным и моторным заводам (21564).</w:t>
      </w:r>
    </w:p>
    <w:p w14:paraId="48396728" w14:textId="77777777" w:rsidR="00497EE9" w:rsidRPr="00E93F40" w:rsidRDefault="00497EE9" w:rsidP="00E93F40">
      <w:pPr>
        <w:spacing w:after="0" w:line="240" w:lineRule="auto"/>
        <w:jc w:val="both"/>
        <w:rPr>
          <w:rFonts w:ascii="Times New Roman" w:eastAsia="TimesNewRomanPSMT" w:hAnsi="Times New Roman"/>
          <w:color w:val="000000" w:themeColor="text1"/>
          <w:sz w:val="16"/>
          <w:szCs w:val="16"/>
        </w:rPr>
      </w:pPr>
    </w:p>
    <w:p w14:paraId="3C69A7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марта 1932 вышло Постановление СТО за N 157/64сс и 16 марта 1932 Постановление СТО за N 101/46сс о производственной программе на 1932 г. по самолетным и моторным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DA227A" w:rsidRPr="00E93F40" w14:paraId="77FE1B55" w14:textId="77777777">
        <w:tc>
          <w:tcPr>
            <w:tcW w:w="2254" w:type="dxa"/>
          </w:tcPr>
          <w:p w14:paraId="3C53E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Типы самолетов</w:t>
            </w:r>
          </w:p>
        </w:tc>
        <w:tc>
          <w:tcPr>
            <w:tcW w:w="2254" w:type="dxa"/>
          </w:tcPr>
          <w:p w14:paraId="78E54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Годовое</w:t>
            </w:r>
          </w:p>
        </w:tc>
        <w:tc>
          <w:tcPr>
            <w:tcW w:w="2254" w:type="dxa"/>
          </w:tcPr>
          <w:p w14:paraId="0E9190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Сдано</w:t>
            </w:r>
          </w:p>
        </w:tc>
        <w:tc>
          <w:tcPr>
            <w:tcW w:w="2254" w:type="dxa"/>
          </w:tcPr>
          <w:p w14:paraId="015A1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выполнен.</w:t>
            </w:r>
          </w:p>
        </w:tc>
      </w:tr>
      <w:tr w:rsidR="00DA227A" w:rsidRPr="00E93F40" w14:paraId="41CF70B5" w14:textId="77777777">
        <w:tc>
          <w:tcPr>
            <w:tcW w:w="2254" w:type="dxa"/>
          </w:tcPr>
          <w:p w14:paraId="6A6B8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9297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кол-во</w:t>
            </w:r>
          </w:p>
        </w:tc>
        <w:tc>
          <w:tcPr>
            <w:tcW w:w="2254" w:type="dxa"/>
          </w:tcPr>
          <w:p w14:paraId="06310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год</w:t>
            </w:r>
          </w:p>
        </w:tc>
        <w:tc>
          <w:tcPr>
            <w:tcW w:w="2254" w:type="dxa"/>
          </w:tcPr>
          <w:p w14:paraId="23279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C3BB95" w14:textId="77777777">
        <w:tc>
          <w:tcPr>
            <w:tcW w:w="2254" w:type="dxa"/>
          </w:tcPr>
          <w:p w14:paraId="4E23B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Истребители</w:t>
            </w:r>
          </w:p>
        </w:tc>
        <w:tc>
          <w:tcPr>
            <w:tcW w:w="2254" w:type="dxa"/>
          </w:tcPr>
          <w:p w14:paraId="4A533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525</w:t>
            </w:r>
          </w:p>
        </w:tc>
        <w:tc>
          <w:tcPr>
            <w:tcW w:w="2254" w:type="dxa"/>
          </w:tcPr>
          <w:p w14:paraId="74801E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w:t>
            </w:r>
          </w:p>
        </w:tc>
        <w:tc>
          <w:tcPr>
            <w:tcW w:w="2254" w:type="dxa"/>
          </w:tcPr>
          <w:p w14:paraId="720E4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r>
      <w:tr w:rsidR="00DA227A" w:rsidRPr="00E93F40" w14:paraId="36C33992" w14:textId="77777777">
        <w:tc>
          <w:tcPr>
            <w:tcW w:w="2254" w:type="dxa"/>
          </w:tcPr>
          <w:p w14:paraId="1AFFF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Разведчики</w:t>
            </w:r>
          </w:p>
        </w:tc>
        <w:tc>
          <w:tcPr>
            <w:tcW w:w="2254" w:type="dxa"/>
          </w:tcPr>
          <w:p w14:paraId="69E65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1175</w:t>
            </w:r>
          </w:p>
        </w:tc>
        <w:tc>
          <w:tcPr>
            <w:tcW w:w="2254" w:type="dxa"/>
          </w:tcPr>
          <w:p w14:paraId="4550E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784</w:t>
            </w:r>
          </w:p>
        </w:tc>
        <w:tc>
          <w:tcPr>
            <w:tcW w:w="2254" w:type="dxa"/>
          </w:tcPr>
          <w:p w14:paraId="4CFA3B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r>
      <w:tr w:rsidR="00DA227A" w:rsidRPr="00E93F40" w14:paraId="05DEA580" w14:textId="77777777">
        <w:tc>
          <w:tcPr>
            <w:tcW w:w="2254" w:type="dxa"/>
          </w:tcPr>
          <w:p w14:paraId="7A845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Бомбардировщики</w:t>
            </w:r>
          </w:p>
        </w:tc>
        <w:tc>
          <w:tcPr>
            <w:tcW w:w="2254" w:type="dxa"/>
          </w:tcPr>
          <w:p w14:paraId="42CB1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2254" w:type="dxa"/>
          </w:tcPr>
          <w:p w14:paraId="0564E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w:t>
            </w:r>
          </w:p>
        </w:tc>
        <w:tc>
          <w:tcPr>
            <w:tcW w:w="2254" w:type="dxa"/>
          </w:tcPr>
          <w:p w14:paraId="0AA20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r>
      <w:tr w:rsidR="00DA227A" w:rsidRPr="00E93F40" w14:paraId="202A907B" w14:textId="77777777">
        <w:tc>
          <w:tcPr>
            <w:tcW w:w="2254" w:type="dxa"/>
          </w:tcPr>
          <w:p w14:paraId="497FD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Штурмовики</w:t>
            </w:r>
          </w:p>
        </w:tc>
        <w:tc>
          <w:tcPr>
            <w:tcW w:w="2254" w:type="dxa"/>
          </w:tcPr>
          <w:p w14:paraId="47B3B3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2254" w:type="dxa"/>
          </w:tcPr>
          <w:p w14:paraId="54000C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2254" w:type="dxa"/>
          </w:tcPr>
          <w:p w14:paraId="20DED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2A509878" w14:textId="77777777">
        <w:tc>
          <w:tcPr>
            <w:tcW w:w="2254" w:type="dxa"/>
          </w:tcPr>
          <w:p w14:paraId="1BF58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Учебные</w:t>
            </w:r>
          </w:p>
        </w:tc>
        <w:tc>
          <w:tcPr>
            <w:tcW w:w="2254" w:type="dxa"/>
          </w:tcPr>
          <w:p w14:paraId="34E101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585</w:t>
            </w:r>
          </w:p>
        </w:tc>
        <w:tc>
          <w:tcPr>
            <w:tcW w:w="2254" w:type="dxa"/>
          </w:tcPr>
          <w:p w14:paraId="36FA8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606</w:t>
            </w:r>
          </w:p>
        </w:tc>
        <w:tc>
          <w:tcPr>
            <w:tcW w:w="2254" w:type="dxa"/>
          </w:tcPr>
          <w:p w14:paraId="45174F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w:t>
            </w:r>
          </w:p>
        </w:tc>
      </w:tr>
      <w:tr w:rsidR="00DA227A" w:rsidRPr="00E93F40" w14:paraId="0C501FCA" w14:textId="77777777">
        <w:tc>
          <w:tcPr>
            <w:tcW w:w="2254" w:type="dxa"/>
          </w:tcPr>
          <w:p w14:paraId="70F60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2254" w:type="dxa"/>
          </w:tcPr>
          <w:p w14:paraId="28772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2655</w:t>
            </w:r>
          </w:p>
        </w:tc>
        <w:tc>
          <w:tcPr>
            <w:tcW w:w="2254" w:type="dxa"/>
          </w:tcPr>
          <w:p w14:paraId="7D9EA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1705</w:t>
            </w:r>
          </w:p>
        </w:tc>
        <w:tc>
          <w:tcPr>
            <w:tcW w:w="2254" w:type="dxa"/>
          </w:tcPr>
          <w:p w14:paraId="4ACF4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w:t>
            </w:r>
          </w:p>
        </w:tc>
      </w:tr>
      <w:tr w:rsidR="00DA227A" w:rsidRPr="00E93F40" w14:paraId="1323A14F" w14:textId="77777777">
        <w:tc>
          <w:tcPr>
            <w:tcW w:w="2254" w:type="dxa"/>
          </w:tcPr>
          <w:p w14:paraId="78E03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М-17</w:t>
            </w:r>
          </w:p>
        </w:tc>
        <w:tc>
          <w:tcPr>
            <w:tcW w:w="2254" w:type="dxa"/>
          </w:tcPr>
          <w:p w14:paraId="4D6DD8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2080</w:t>
            </w:r>
          </w:p>
        </w:tc>
        <w:tc>
          <w:tcPr>
            <w:tcW w:w="2254" w:type="dxa"/>
          </w:tcPr>
          <w:p w14:paraId="0A0C36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1641</w:t>
            </w:r>
          </w:p>
        </w:tc>
        <w:tc>
          <w:tcPr>
            <w:tcW w:w="2254" w:type="dxa"/>
          </w:tcPr>
          <w:p w14:paraId="118E17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78,8</w:t>
            </w:r>
          </w:p>
        </w:tc>
      </w:tr>
      <w:tr w:rsidR="00DA227A" w:rsidRPr="00E93F40" w14:paraId="013D4174" w14:textId="77777777">
        <w:tc>
          <w:tcPr>
            <w:tcW w:w="2254" w:type="dxa"/>
          </w:tcPr>
          <w:p w14:paraId="58F008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М11</w:t>
            </w:r>
          </w:p>
        </w:tc>
        <w:tc>
          <w:tcPr>
            <w:tcW w:w="2254" w:type="dxa"/>
          </w:tcPr>
          <w:p w14:paraId="0B86B8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955</w:t>
            </w:r>
          </w:p>
        </w:tc>
        <w:tc>
          <w:tcPr>
            <w:tcW w:w="2254" w:type="dxa"/>
          </w:tcPr>
          <w:p w14:paraId="4A6344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883</w:t>
            </w:r>
          </w:p>
        </w:tc>
        <w:tc>
          <w:tcPr>
            <w:tcW w:w="2254" w:type="dxa"/>
          </w:tcPr>
          <w:p w14:paraId="5D397B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w:t>
            </w:r>
          </w:p>
        </w:tc>
      </w:tr>
      <w:tr w:rsidR="00DA227A" w:rsidRPr="00E93F40" w14:paraId="1DCC38E7" w14:textId="77777777">
        <w:tc>
          <w:tcPr>
            <w:tcW w:w="2254" w:type="dxa"/>
          </w:tcPr>
          <w:p w14:paraId="26049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М22</w:t>
            </w:r>
          </w:p>
        </w:tc>
        <w:tc>
          <w:tcPr>
            <w:tcW w:w="2254" w:type="dxa"/>
          </w:tcPr>
          <w:p w14:paraId="1A038E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398</w:t>
            </w:r>
          </w:p>
        </w:tc>
        <w:tc>
          <w:tcPr>
            <w:tcW w:w="2254" w:type="dxa"/>
          </w:tcPr>
          <w:p w14:paraId="15818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357</w:t>
            </w:r>
          </w:p>
        </w:tc>
        <w:tc>
          <w:tcPr>
            <w:tcW w:w="2254" w:type="dxa"/>
          </w:tcPr>
          <w:p w14:paraId="25508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r>
      <w:tr w:rsidR="00DA227A" w:rsidRPr="00E93F40" w14:paraId="33D2DE57" w14:textId="77777777">
        <w:tc>
          <w:tcPr>
            <w:tcW w:w="2254" w:type="dxa"/>
          </w:tcPr>
          <w:p w14:paraId="3EAFA5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М34</w:t>
            </w:r>
          </w:p>
        </w:tc>
        <w:tc>
          <w:tcPr>
            <w:tcW w:w="2254" w:type="dxa"/>
          </w:tcPr>
          <w:p w14:paraId="736E50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2254" w:type="dxa"/>
          </w:tcPr>
          <w:p w14:paraId="6A00D0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w:t>
            </w:r>
          </w:p>
        </w:tc>
        <w:tc>
          <w:tcPr>
            <w:tcW w:w="2254" w:type="dxa"/>
          </w:tcPr>
          <w:p w14:paraId="3C58C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r>
      <w:tr w:rsidR="009D12BD" w:rsidRPr="00E93F40" w14:paraId="4B88B76E" w14:textId="77777777">
        <w:tc>
          <w:tcPr>
            <w:tcW w:w="2254" w:type="dxa"/>
          </w:tcPr>
          <w:p w14:paraId="3BA87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2254" w:type="dxa"/>
          </w:tcPr>
          <w:p w14:paraId="49520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3833</w:t>
            </w:r>
          </w:p>
        </w:tc>
        <w:tc>
          <w:tcPr>
            <w:tcW w:w="2254" w:type="dxa"/>
          </w:tcPr>
          <w:p w14:paraId="6AECC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2945</w:t>
            </w:r>
          </w:p>
        </w:tc>
        <w:tc>
          <w:tcPr>
            <w:tcW w:w="2254" w:type="dxa"/>
          </w:tcPr>
          <w:p w14:paraId="18353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 (3082,6-35).</w:t>
            </w:r>
          </w:p>
        </w:tc>
      </w:tr>
    </w:tbl>
    <w:p w14:paraId="56F1C8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4DAC02" w14:textId="77777777" w:rsidR="00497EE9" w:rsidRPr="00E93F40" w:rsidRDefault="00497EE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марта 1932 года было проведено совещание работников по парашютному делу. На нем были установлены предельные нагрузки для различных грузовых парашютов из Осконбюро Гроховского. Исходя из предельных нагрузок, было установлено количество предметов, которые могут быть сброшены на одном парашюте. Это решение давало возможность Осконбюро разработать и построить коробы и подвесные приспособления для различных предметов, легко присоединяющиеся к соответствующему типу парашюта.</w:t>
      </w:r>
    </w:p>
    <w:p w14:paraId="21CC9E99" w14:textId="77777777" w:rsidR="00497EE9" w:rsidRPr="00E93F40" w:rsidRDefault="00497EE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свидетельствует докладная записка инспектора по парашютному делу УВВС РККА Л. Минова начальнику 1 Управления ВВС от 11 марта 1932 года, грузовые парашюты разрабатывались под нагрузку 20, 80, 160, 500, 1.000 и 1.300 кг. Совещание определило, что сбрасывание взрывных припасов должно производиться в грузовых мешках Г-3 с нагрузкой до 20 кг, при увеличении их числа имеется опасность взрыва при отказе парашюта. По этой же причине боеприпасы (снаряды, ручные гранаты, патроны) должны сбрасываться на одном парашюте партиями не более 80 кг. (Архив ЦДА и К. Ф. 50. Оп. 1. Д. 4. Л. 15) (21402).</w:t>
      </w:r>
    </w:p>
    <w:p w14:paraId="41ED18AB" w14:textId="77777777" w:rsidR="00497EE9" w:rsidRPr="00E93F40" w:rsidRDefault="00497EE9" w:rsidP="00E93F40">
      <w:pPr>
        <w:spacing w:after="0" w:line="240" w:lineRule="auto"/>
        <w:jc w:val="both"/>
        <w:rPr>
          <w:rFonts w:ascii="Times New Roman" w:hAnsi="Times New Roman"/>
          <w:color w:val="000000" w:themeColor="text1"/>
          <w:sz w:val="16"/>
          <w:szCs w:val="16"/>
        </w:rPr>
      </w:pPr>
    </w:p>
    <w:p w14:paraId="233ADA2E" w14:textId="77777777" w:rsidR="00F718C8" w:rsidRPr="00E93F40" w:rsidRDefault="00F718C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марта 1932 г. умер видный деятель в области аэрофотограмметрии Петр Петрович Соколов /род. 1882/. Соколов – ученик Н.Е.Жуковского по университету, от него и унаследовал интерес к авиации. В 1911 г. он совместно с артиллеристом П.Я.Нестеровым занимался планеризмом в Нижнем Новгороде, а потом был преподавателем на курсах авиации при МВТУ. В 1920 году он возглавил Аэрофотограмметрический отдел НОА и был одним из руководителей Аэрофотограмметрической службы ВВС, затем был профессором Азрогеодезического института. Его перу принадлежит ряд трудов по авиации, аэрологии и аэрофотограмметрии.</w:t>
      </w:r>
    </w:p>
    <w:p w14:paraId="23D0C9F7" w14:textId="77777777" w:rsidR="00F718C8" w:rsidRPr="00E93F40" w:rsidRDefault="00F718C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ЦИК СССР» за 4 марта 1932 г./ (23370).</w:t>
      </w:r>
    </w:p>
    <w:p w14:paraId="1BE0C580" w14:textId="77777777" w:rsidR="00F718C8" w:rsidRPr="00E93F40" w:rsidRDefault="00F718C8" w:rsidP="00E93F40">
      <w:pPr>
        <w:spacing w:after="0" w:line="240" w:lineRule="auto"/>
        <w:jc w:val="both"/>
        <w:rPr>
          <w:rFonts w:ascii="Times New Roman" w:hAnsi="Times New Roman"/>
          <w:color w:val="000000" w:themeColor="text1"/>
          <w:sz w:val="16"/>
          <w:szCs w:val="16"/>
        </w:rPr>
      </w:pPr>
    </w:p>
    <w:p w14:paraId="080BECE9" w14:textId="77777777" w:rsidR="00497EE9" w:rsidRPr="00E93F40" w:rsidRDefault="00497EE9"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C8C4D02" w14:textId="77777777" w:rsidR="00497EE9" w:rsidRPr="00E93F40" w:rsidRDefault="00497EE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96165F7"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марта 1932 года Калинин и Киров посещают завод «Красный Октябрь», знакомятся с его цехами, разговаривают с рабочими и техперсоналом, обсуждают с руководством новые задачи, возникшие перед заводом/</w:t>
      </w:r>
    </w:p>
    <w:p w14:paraId="5891B262"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Нарком тяжелой промышленности Орджоникидзе утверждает следующую кооперацию по выпуску машин Т-26:</w:t>
      </w:r>
    </w:p>
    <w:p w14:paraId="68754AE4"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Машиностроительный отдел завода «Большевик» (вскоре выделившийся в самостоятельный завод имени Ворошилова, впоследствии – завод «Звезда») назначается головным предприятием по выпуску машин, изготавливает двигатели и выполняет общую сборку танков.</w:t>
      </w:r>
    </w:p>
    <w:p w14:paraId="76C6FF3E"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Завод «Красный Октябрь» изготавливает узлы трансмиссии танка (коробку скоростей, карданное сцепление) и ряд небольших узлов для башни (поворотный механизм, смотровое окно и другие).</w:t>
      </w:r>
    </w:p>
    <w:p w14:paraId="4B3AD560"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Завод «Красный путиловец» (в будущем – Кировский завод) изготавливает узлы ходовой части (бортовые фрикционы, гусеничные цепи, катки и др.).</w:t>
      </w:r>
    </w:p>
    <w:p w14:paraId="2B18946D"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4.Ижорский завод – броневой корпус, башню и броневые детали россыпью.</w:t>
      </w:r>
    </w:p>
    <w:p w14:paraId="6902D730"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узлов Т-26 «Красному Октябрю» поручалось производить переборку и капремонт авиационных двигателей М-5 мощностью 400 л.с. После восстановительного ремонта их, между прочим, использовали в качестве силовой установки на быстроходных танках БТ-5, выпуск которых также освоила отечественная промышленность. Переход от производства тракторных запчастей к производству сложных и ответственных агрегатов боевых машин был качественным скачком в заводской технологии. Менялся не только объект производства, но и его структура, класс точности. Основную трудность составляло повышение технических требований к изготавливаемым деталям, к их заготовкам, к металлу, к точности механической и термической обработки, к технической оснащенности средств контроля и т.д. Расширялся технологический диапазон производства: кроме механообработки требовалась сборка сложных механизмов, испытание их и сдача продукции военной приемке по утвержденным техническим условиям (ТУ)/</w:t>
      </w:r>
    </w:p>
    <w:p w14:paraId="2D06321E"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 «Большевик» с передачей производства узлов Т-26 и М-5 откомандировал для постоянной работы на «Красный Октябрь» большую группу инженеров – Богина, Брылина, Видровича, Зимина, Райцына, Севрюгина, Крома, а также квалифицированных слесарей-сборщиков, мотористов-испытателей и других работников (25670).</w:t>
      </w:r>
    </w:p>
    <w:p w14:paraId="61BD6F08" w14:textId="77777777" w:rsidR="002B2DA4" w:rsidRPr="00142305" w:rsidRDefault="002B2DA4" w:rsidP="002B2DA4">
      <w:pPr>
        <w:spacing w:after="0" w:line="240" w:lineRule="auto"/>
        <w:jc w:val="both"/>
        <w:rPr>
          <w:rFonts w:ascii="Times New Roman" w:hAnsi="Times New Roman"/>
          <w:color w:val="0070C0"/>
          <w:sz w:val="16"/>
          <w:szCs w:val="16"/>
        </w:rPr>
      </w:pPr>
    </w:p>
    <w:p w14:paraId="0F171885" w14:textId="77777777" w:rsidR="00A02851" w:rsidRPr="00E93F40" w:rsidRDefault="00A028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марта 1932 директор НАТИ Зелинский доклады</w:t>
      </w:r>
      <w:r w:rsidRPr="00E93F40">
        <w:rPr>
          <w:rFonts w:ascii="Times New Roman" w:hAnsi="Times New Roman"/>
          <w:color w:val="000000" w:themeColor="text1"/>
          <w:sz w:val="16"/>
          <w:szCs w:val="16"/>
        </w:rPr>
        <w:softHyphen/>
        <w:t>вал Наркому тяжелой промышленности Г.К. Орджо</w:t>
      </w:r>
      <w:r w:rsidRPr="00E93F40">
        <w:rPr>
          <w:rFonts w:ascii="Times New Roman" w:hAnsi="Times New Roman"/>
          <w:color w:val="000000" w:themeColor="text1"/>
          <w:sz w:val="16"/>
          <w:szCs w:val="16"/>
        </w:rPr>
        <w:softHyphen/>
        <w:t>никидзе о реализации постановления Президиума ВСНХ от 13.10.1931 г., отмечая задержку организа</w:t>
      </w:r>
      <w:r w:rsidRPr="00E93F40">
        <w:rPr>
          <w:rFonts w:ascii="Times New Roman" w:hAnsi="Times New Roman"/>
          <w:color w:val="000000" w:themeColor="text1"/>
          <w:sz w:val="16"/>
          <w:szCs w:val="16"/>
        </w:rPr>
        <w:softHyphen/>
        <w:t>ции конкурса из-за того, что уполномоченный ВСНХ за границей счел нецелесообразным его проведе</w:t>
      </w:r>
      <w:r w:rsidRPr="00E93F40">
        <w:rPr>
          <w:rFonts w:ascii="Times New Roman" w:hAnsi="Times New Roman"/>
          <w:color w:val="000000" w:themeColor="text1"/>
          <w:sz w:val="16"/>
          <w:szCs w:val="16"/>
        </w:rPr>
        <w:softHyphen/>
        <w:t>ние. В докладе отмечалось, что возложенное на ВАТО обязательство пустить опыт</w:t>
      </w:r>
      <w:r w:rsidRPr="00E93F40">
        <w:rPr>
          <w:rFonts w:ascii="Times New Roman" w:hAnsi="Times New Roman"/>
          <w:color w:val="000000" w:themeColor="text1"/>
          <w:sz w:val="16"/>
          <w:szCs w:val="16"/>
        </w:rPr>
        <w:softHyphen/>
        <w:t>ный завод в 1-м квартале не вы</w:t>
      </w:r>
      <w:r w:rsidRPr="00E93F40">
        <w:rPr>
          <w:rFonts w:ascii="Times New Roman" w:hAnsi="Times New Roman"/>
          <w:color w:val="000000" w:themeColor="text1"/>
          <w:sz w:val="16"/>
          <w:szCs w:val="16"/>
        </w:rPr>
        <w:softHyphen/>
        <w:t>полнено, а возложенная на Глав- машпром и Стройсектор ВСНХ обя</w:t>
      </w:r>
      <w:r w:rsidRPr="00E93F40">
        <w:rPr>
          <w:rFonts w:ascii="Times New Roman" w:hAnsi="Times New Roman"/>
          <w:color w:val="000000" w:themeColor="text1"/>
          <w:sz w:val="16"/>
          <w:szCs w:val="16"/>
        </w:rPr>
        <w:softHyphen/>
        <w:t>занность форсировать строи</w:t>
      </w:r>
      <w:r w:rsidRPr="00E93F40">
        <w:rPr>
          <w:rFonts w:ascii="Times New Roman" w:hAnsi="Times New Roman"/>
          <w:color w:val="000000" w:themeColor="text1"/>
          <w:sz w:val="16"/>
          <w:szCs w:val="16"/>
        </w:rPr>
        <w:softHyphen/>
        <w:t>тельство института выполняется так, что «стройка в НАТИ находит</w:t>
      </w:r>
      <w:r w:rsidRPr="00E93F40">
        <w:rPr>
          <w:rFonts w:ascii="Times New Roman" w:hAnsi="Times New Roman"/>
          <w:color w:val="000000" w:themeColor="text1"/>
          <w:sz w:val="16"/>
          <w:szCs w:val="16"/>
        </w:rPr>
        <w:softHyphen/>
        <w:t>ся в состоянии близком к консерва</w:t>
      </w:r>
      <w:r w:rsidRPr="00E93F40">
        <w:rPr>
          <w:rFonts w:ascii="Times New Roman" w:hAnsi="Times New Roman"/>
          <w:color w:val="000000" w:themeColor="text1"/>
          <w:sz w:val="16"/>
          <w:szCs w:val="16"/>
        </w:rPr>
        <w:softHyphen/>
        <w:t>ции». В то же время распоряжени</w:t>
      </w:r>
      <w:r w:rsidRPr="00E93F40">
        <w:rPr>
          <w:rFonts w:ascii="Times New Roman" w:hAnsi="Times New Roman"/>
          <w:color w:val="000000" w:themeColor="text1"/>
          <w:sz w:val="16"/>
          <w:szCs w:val="16"/>
        </w:rPr>
        <w:softHyphen/>
        <w:t>ем Павлуновского временно зани</w:t>
      </w:r>
      <w:r w:rsidRPr="00E93F40">
        <w:rPr>
          <w:rFonts w:ascii="Times New Roman" w:hAnsi="Times New Roman"/>
          <w:color w:val="000000" w:themeColor="text1"/>
          <w:sz w:val="16"/>
          <w:szCs w:val="16"/>
        </w:rPr>
        <w:softHyphen/>
        <w:t>маемый корпус в Лефортове был изъят, и четыре отдела института выселены.</w:t>
      </w:r>
    </w:p>
    <w:p w14:paraId="04145C0B" w14:textId="77777777" w:rsidR="00A02851" w:rsidRPr="00E93F40" w:rsidRDefault="00A028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ГК. Орджоникидзе, выслу</w:t>
      </w:r>
      <w:r w:rsidRPr="00E93F40">
        <w:rPr>
          <w:rFonts w:ascii="Times New Roman" w:hAnsi="Times New Roman"/>
          <w:color w:val="000000" w:themeColor="text1"/>
          <w:sz w:val="16"/>
          <w:szCs w:val="16"/>
        </w:rPr>
        <w:softHyphen/>
        <w:t>шав доклад о ходе работы по конструированию дизеля в институте, сказал: «Упущено преступно много времени. Можно еще долго заниматься производством испытаний, так как за границей очень много двигателей различ</w:t>
      </w:r>
      <w:r w:rsidRPr="00E93F40">
        <w:rPr>
          <w:rFonts w:ascii="Times New Roman" w:hAnsi="Times New Roman"/>
          <w:color w:val="000000" w:themeColor="text1"/>
          <w:sz w:val="16"/>
          <w:szCs w:val="16"/>
        </w:rPr>
        <w:softHyphen/>
        <w:t>ных систем. В поисках лучшего мы еще потратим полгода-год. Между тем, время не ждет... Ни в коем случае нельзя медлить с организацией автотрактор</w:t>
      </w:r>
      <w:r w:rsidRPr="00E93F40">
        <w:rPr>
          <w:rFonts w:ascii="Times New Roman" w:hAnsi="Times New Roman"/>
          <w:color w:val="000000" w:themeColor="text1"/>
          <w:sz w:val="16"/>
          <w:szCs w:val="16"/>
        </w:rPr>
        <w:softHyphen/>
        <w:t>ных дизелей» (22518)</w:t>
      </w:r>
    </w:p>
    <w:p w14:paraId="1C1BCE8A" w14:textId="77777777" w:rsidR="00A02851" w:rsidRPr="00E93F40" w:rsidRDefault="00A02851" w:rsidP="00E93F40">
      <w:pPr>
        <w:spacing w:after="0" w:line="240" w:lineRule="auto"/>
        <w:jc w:val="both"/>
        <w:rPr>
          <w:rFonts w:ascii="Times New Roman" w:hAnsi="Times New Roman"/>
          <w:color w:val="000000" w:themeColor="text1"/>
          <w:sz w:val="16"/>
          <w:szCs w:val="16"/>
        </w:rPr>
      </w:pPr>
    </w:p>
    <w:p w14:paraId="5D3A352A" w14:textId="77777777" w:rsidR="000C7DD6" w:rsidRPr="00951B40" w:rsidRDefault="000C7DD6" w:rsidP="000C7DD6">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2 марта 1932 г. постановление Комиссии обороны СССР:</w:t>
      </w:r>
    </w:p>
    <w:p w14:paraId="1D1665E0" w14:textId="77777777" w:rsidR="000C7DD6" w:rsidRPr="00951B40" w:rsidRDefault="000C7DD6" w:rsidP="000C7DD6">
      <w:pPr>
        <w:widowControl w:val="0"/>
        <w:tabs>
          <w:tab w:val="left" w:pos="464"/>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1. Признать Т/К с приборами ВУ ЦЛПС ВЭСО (Всесоюзное электрослаботочное объединение) и ОТБ необхо</w:t>
      </w:r>
      <w:r w:rsidRPr="00951B40">
        <w:rPr>
          <w:rStyle w:val="aff"/>
          <w:rFonts w:ascii="Times New Roman" w:hAnsi="Times New Roman" w:cs="Times New Roman"/>
          <w:color w:val="0070C0"/>
          <w:spacing w:val="0"/>
          <w:sz w:val="16"/>
          <w:szCs w:val="16"/>
        </w:rPr>
        <w:softHyphen/>
        <w:t>димыми в системе морских вооружений.</w:t>
      </w:r>
    </w:p>
    <w:p w14:paraId="7F4EFF23" w14:textId="77777777" w:rsidR="000C7DD6" w:rsidRPr="00951B40" w:rsidRDefault="000C7DD6" w:rsidP="000C7DD6">
      <w:pPr>
        <w:widowControl w:val="0"/>
        <w:tabs>
          <w:tab w:val="left" w:pos="428"/>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2. Предложить НКТП построить и установить в 1932 г. приборы ВУ систе</w:t>
      </w:r>
      <w:r w:rsidRPr="00951B40">
        <w:rPr>
          <w:rStyle w:val="aff"/>
          <w:rFonts w:ascii="Times New Roman" w:hAnsi="Times New Roman" w:cs="Times New Roman"/>
          <w:color w:val="0070C0"/>
          <w:spacing w:val="0"/>
          <w:sz w:val="16"/>
          <w:szCs w:val="16"/>
        </w:rPr>
        <w:softHyphen/>
        <w:t>мы ЦЛПС ВЭСО для 24 Т/К типа ЦАГИ и 12 самолетов.</w:t>
      </w:r>
    </w:p>
    <w:p w14:paraId="149EEDD5" w14:textId="77777777" w:rsidR="000C7DD6" w:rsidRPr="00951B40" w:rsidRDefault="000C7DD6" w:rsidP="000C7DD6">
      <w:pPr>
        <w:widowControl w:val="0"/>
        <w:tabs>
          <w:tab w:val="left" w:pos="417"/>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3. Признать необходимым дать в те</w:t>
      </w:r>
      <w:r w:rsidRPr="00951B40">
        <w:rPr>
          <w:rStyle w:val="aff"/>
          <w:rFonts w:ascii="Times New Roman" w:hAnsi="Times New Roman" w:cs="Times New Roman"/>
          <w:color w:val="0070C0"/>
          <w:spacing w:val="0"/>
          <w:sz w:val="16"/>
          <w:szCs w:val="16"/>
        </w:rPr>
        <w:softHyphen/>
        <w:t>кущем году заказ на Т/К с приборами ВУ системы ОТБ, обязав НКТП совместно с представителями НКВМ и ОТБ в 3-х дневный срок всесторонне обсудить во</w:t>
      </w:r>
      <w:r w:rsidRPr="00951B40">
        <w:rPr>
          <w:rStyle w:val="aff"/>
          <w:rFonts w:ascii="Times New Roman" w:hAnsi="Times New Roman" w:cs="Times New Roman"/>
          <w:color w:val="0070C0"/>
          <w:spacing w:val="0"/>
          <w:sz w:val="16"/>
          <w:szCs w:val="16"/>
        </w:rPr>
        <w:softHyphen/>
        <w:t>прос и установить размеры заказа» (25781).</w:t>
      </w:r>
    </w:p>
    <w:p w14:paraId="3016D1A2" w14:textId="77777777" w:rsidR="000C7DD6" w:rsidRPr="00951B40" w:rsidRDefault="000C7DD6" w:rsidP="000C7DD6">
      <w:pPr>
        <w:spacing w:after="0" w:line="240" w:lineRule="auto"/>
        <w:jc w:val="both"/>
        <w:rPr>
          <w:rStyle w:val="aff"/>
          <w:rFonts w:ascii="Times New Roman" w:hAnsi="Times New Roman" w:cs="Times New Roman"/>
          <w:color w:val="0070C0"/>
          <w:spacing w:val="0"/>
          <w:sz w:val="16"/>
          <w:szCs w:val="16"/>
        </w:rPr>
      </w:pPr>
    </w:p>
    <w:p w14:paraId="14B647B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FEA685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EB09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марта 1932 года начальник 1 отдела Горощенко подготовил:</w:t>
      </w:r>
    </w:p>
    <w:p w14:paraId="66E9EB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расхождения между планом УВВС и Глававиапрома в части сухопутных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DA227A" w:rsidRPr="00E93F40" w14:paraId="389602BA" w14:textId="77777777">
        <w:tc>
          <w:tcPr>
            <w:tcW w:w="2901" w:type="dxa"/>
          </w:tcPr>
          <w:p w14:paraId="36F55D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Марка самолета</w:t>
            </w:r>
          </w:p>
        </w:tc>
        <w:tc>
          <w:tcPr>
            <w:tcW w:w="2901" w:type="dxa"/>
          </w:tcPr>
          <w:p w14:paraId="7E152C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по плану УВВС</w:t>
            </w:r>
          </w:p>
        </w:tc>
        <w:tc>
          <w:tcPr>
            <w:tcW w:w="2901" w:type="dxa"/>
          </w:tcPr>
          <w:p w14:paraId="0D47A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по плану Глававиапрома</w:t>
            </w:r>
          </w:p>
        </w:tc>
        <w:tc>
          <w:tcPr>
            <w:tcW w:w="2901" w:type="dxa"/>
          </w:tcPr>
          <w:p w14:paraId="1076C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0129E298" w14:textId="77777777">
        <w:tc>
          <w:tcPr>
            <w:tcW w:w="2901" w:type="dxa"/>
          </w:tcPr>
          <w:p w14:paraId="6DF36E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ТБ-7 (30 тонн бомб)</w:t>
            </w:r>
          </w:p>
        </w:tc>
        <w:tc>
          <w:tcPr>
            <w:tcW w:w="2901" w:type="dxa"/>
          </w:tcPr>
          <w:p w14:paraId="2ED61D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1934</w:t>
            </w:r>
          </w:p>
        </w:tc>
        <w:tc>
          <w:tcPr>
            <w:tcW w:w="2901" w:type="dxa"/>
          </w:tcPr>
          <w:p w14:paraId="6744B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52C59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C26716" w14:textId="77777777">
        <w:tc>
          <w:tcPr>
            <w:tcW w:w="2901" w:type="dxa"/>
          </w:tcPr>
          <w:p w14:paraId="3EE69D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 (15 тонн бомб)</w:t>
            </w:r>
          </w:p>
        </w:tc>
        <w:tc>
          <w:tcPr>
            <w:tcW w:w="2901" w:type="dxa"/>
          </w:tcPr>
          <w:p w14:paraId="303F1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w:t>
            </w:r>
          </w:p>
        </w:tc>
        <w:tc>
          <w:tcPr>
            <w:tcW w:w="2901" w:type="dxa"/>
          </w:tcPr>
          <w:p w14:paraId="7EBCC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кв. 1935</w:t>
            </w:r>
          </w:p>
        </w:tc>
        <w:tc>
          <w:tcPr>
            <w:tcW w:w="2901" w:type="dxa"/>
          </w:tcPr>
          <w:p w14:paraId="2C58E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33242A" w14:textId="77777777">
        <w:tc>
          <w:tcPr>
            <w:tcW w:w="2901" w:type="dxa"/>
          </w:tcPr>
          <w:p w14:paraId="61F9A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w:t>
            </w:r>
          </w:p>
        </w:tc>
        <w:tc>
          <w:tcPr>
            <w:tcW w:w="2901" w:type="dxa"/>
          </w:tcPr>
          <w:p w14:paraId="411E8B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w:t>
            </w:r>
          </w:p>
        </w:tc>
        <w:tc>
          <w:tcPr>
            <w:tcW w:w="2901" w:type="dxa"/>
          </w:tcPr>
          <w:p w14:paraId="4BDCA6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w:t>
            </w:r>
          </w:p>
        </w:tc>
        <w:tc>
          <w:tcPr>
            <w:tcW w:w="2901" w:type="dxa"/>
          </w:tcPr>
          <w:p w14:paraId="6AF79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Срок установлен РВСР, самолет из плана № 1</w:t>
            </w:r>
          </w:p>
        </w:tc>
      </w:tr>
      <w:tr w:rsidR="00DA227A" w:rsidRPr="00E93F40" w14:paraId="4D81128C" w14:textId="77777777">
        <w:tc>
          <w:tcPr>
            <w:tcW w:w="2901" w:type="dxa"/>
          </w:tcPr>
          <w:p w14:paraId="1CFF27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бис 5М34 (стальной)</w:t>
            </w:r>
          </w:p>
        </w:tc>
        <w:tc>
          <w:tcPr>
            <w:tcW w:w="2901" w:type="dxa"/>
          </w:tcPr>
          <w:p w14:paraId="038C6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w:t>
            </w:r>
          </w:p>
        </w:tc>
        <w:tc>
          <w:tcPr>
            <w:tcW w:w="2901" w:type="dxa"/>
          </w:tcPr>
          <w:p w14:paraId="3C039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1934</w:t>
            </w:r>
          </w:p>
        </w:tc>
        <w:tc>
          <w:tcPr>
            <w:tcW w:w="2901" w:type="dxa"/>
          </w:tcPr>
          <w:p w14:paraId="6FD4B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9506EE" w14:textId="77777777">
        <w:tc>
          <w:tcPr>
            <w:tcW w:w="2901" w:type="dxa"/>
          </w:tcPr>
          <w:p w14:paraId="6BB173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Н1-2М34</w:t>
            </w:r>
          </w:p>
        </w:tc>
        <w:tc>
          <w:tcPr>
            <w:tcW w:w="2901" w:type="dxa"/>
          </w:tcPr>
          <w:p w14:paraId="11AFA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w:t>
            </w:r>
          </w:p>
        </w:tc>
        <w:tc>
          <w:tcPr>
            <w:tcW w:w="2901" w:type="dxa"/>
          </w:tcPr>
          <w:p w14:paraId="1A92DF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1934</w:t>
            </w:r>
          </w:p>
        </w:tc>
        <w:tc>
          <w:tcPr>
            <w:tcW w:w="2901" w:type="dxa"/>
          </w:tcPr>
          <w:p w14:paraId="0FA66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6BD90A" w14:textId="77777777">
        <w:tc>
          <w:tcPr>
            <w:tcW w:w="2901" w:type="dxa"/>
          </w:tcPr>
          <w:p w14:paraId="5937E2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w:t>
            </w:r>
          </w:p>
        </w:tc>
        <w:tc>
          <w:tcPr>
            <w:tcW w:w="2901" w:type="dxa"/>
          </w:tcPr>
          <w:p w14:paraId="500991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w:t>
            </w:r>
          </w:p>
        </w:tc>
        <w:tc>
          <w:tcPr>
            <w:tcW w:w="2901" w:type="dxa"/>
          </w:tcPr>
          <w:p w14:paraId="1A27D7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w:t>
            </w:r>
          </w:p>
        </w:tc>
        <w:tc>
          <w:tcPr>
            <w:tcW w:w="2901" w:type="dxa"/>
          </w:tcPr>
          <w:p w14:paraId="057E3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Самолет из плана № 1.</w:t>
            </w:r>
          </w:p>
        </w:tc>
      </w:tr>
      <w:tr w:rsidR="00DA227A" w:rsidRPr="00E93F40" w14:paraId="40767CD1" w14:textId="77777777">
        <w:tc>
          <w:tcPr>
            <w:tcW w:w="2901" w:type="dxa"/>
          </w:tcPr>
          <w:p w14:paraId="257230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ДИП-1 М34</w:t>
            </w:r>
          </w:p>
        </w:tc>
        <w:tc>
          <w:tcPr>
            <w:tcW w:w="2901" w:type="dxa"/>
          </w:tcPr>
          <w:p w14:paraId="28BE26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w:t>
            </w:r>
          </w:p>
        </w:tc>
        <w:tc>
          <w:tcPr>
            <w:tcW w:w="2901" w:type="dxa"/>
          </w:tcPr>
          <w:p w14:paraId="21C4F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1BCA7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743B24" w14:textId="77777777">
        <w:tc>
          <w:tcPr>
            <w:tcW w:w="2901" w:type="dxa"/>
          </w:tcPr>
          <w:p w14:paraId="1C9F28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ДИ6-М34</w:t>
            </w:r>
          </w:p>
        </w:tc>
        <w:tc>
          <w:tcPr>
            <w:tcW w:w="2901" w:type="dxa"/>
          </w:tcPr>
          <w:p w14:paraId="20DDE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w:t>
            </w:r>
          </w:p>
        </w:tc>
        <w:tc>
          <w:tcPr>
            <w:tcW w:w="2901" w:type="dxa"/>
          </w:tcPr>
          <w:p w14:paraId="7BDC3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1апреля 1933*</w:t>
            </w:r>
          </w:p>
        </w:tc>
        <w:tc>
          <w:tcPr>
            <w:tcW w:w="2901" w:type="dxa"/>
          </w:tcPr>
          <w:p w14:paraId="4B4A3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Самолет является развитием ДИ4 К.К.</w:t>
            </w:r>
          </w:p>
        </w:tc>
      </w:tr>
      <w:tr w:rsidR="00DA227A" w:rsidRPr="00E93F40" w14:paraId="13A77F21" w14:textId="77777777">
        <w:tc>
          <w:tcPr>
            <w:tcW w:w="2901" w:type="dxa"/>
          </w:tcPr>
          <w:p w14:paraId="7B0DD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И13-М32</w:t>
            </w:r>
          </w:p>
        </w:tc>
        <w:tc>
          <w:tcPr>
            <w:tcW w:w="2901" w:type="dxa"/>
          </w:tcPr>
          <w:p w14:paraId="5C2B44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w:t>
            </w:r>
          </w:p>
        </w:tc>
        <w:tc>
          <w:tcPr>
            <w:tcW w:w="2901" w:type="dxa"/>
          </w:tcPr>
          <w:p w14:paraId="02F9D3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w:t>
            </w:r>
          </w:p>
        </w:tc>
        <w:tc>
          <w:tcPr>
            <w:tcW w:w="2901" w:type="dxa"/>
          </w:tcPr>
          <w:p w14:paraId="452AB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E8ED0C" w14:textId="77777777">
        <w:tc>
          <w:tcPr>
            <w:tcW w:w="2901" w:type="dxa"/>
          </w:tcPr>
          <w:p w14:paraId="1BC4C6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И14-М38</w:t>
            </w:r>
          </w:p>
        </w:tc>
        <w:tc>
          <w:tcPr>
            <w:tcW w:w="2901" w:type="dxa"/>
          </w:tcPr>
          <w:p w14:paraId="66EF5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w:t>
            </w:r>
          </w:p>
        </w:tc>
        <w:tc>
          <w:tcPr>
            <w:tcW w:w="2901" w:type="dxa"/>
          </w:tcPr>
          <w:p w14:paraId="06519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w:t>
            </w:r>
          </w:p>
        </w:tc>
        <w:tc>
          <w:tcPr>
            <w:tcW w:w="2901" w:type="dxa"/>
          </w:tcPr>
          <w:p w14:paraId="022D17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5A4A09" w14:textId="77777777">
        <w:tc>
          <w:tcPr>
            <w:tcW w:w="2901" w:type="dxa"/>
          </w:tcPr>
          <w:p w14:paraId="00DA9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ВС2-2М52</w:t>
            </w:r>
          </w:p>
        </w:tc>
        <w:tc>
          <w:tcPr>
            <w:tcW w:w="2901" w:type="dxa"/>
          </w:tcPr>
          <w:p w14:paraId="5C265D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w:t>
            </w:r>
          </w:p>
        </w:tc>
        <w:tc>
          <w:tcPr>
            <w:tcW w:w="2901" w:type="dxa"/>
          </w:tcPr>
          <w:p w14:paraId="46EE32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1933</w:t>
            </w:r>
          </w:p>
        </w:tc>
        <w:tc>
          <w:tcPr>
            <w:tcW w:w="2901" w:type="dxa"/>
          </w:tcPr>
          <w:p w14:paraId="3B248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B05A6D" w14:textId="77777777">
        <w:tc>
          <w:tcPr>
            <w:tcW w:w="2901" w:type="dxa"/>
          </w:tcPr>
          <w:p w14:paraId="16D6E8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И3-М52</w:t>
            </w:r>
          </w:p>
        </w:tc>
        <w:tc>
          <w:tcPr>
            <w:tcW w:w="2901" w:type="dxa"/>
          </w:tcPr>
          <w:p w14:paraId="4D8F32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w:t>
            </w:r>
          </w:p>
        </w:tc>
        <w:tc>
          <w:tcPr>
            <w:tcW w:w="2901" w:type="dxa"/>
          </w:tcPr>
          <w:p w14:paraId="0998C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457DE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0178A7" w14:textId="77777777">
        <w:tc>
          <w:tcPr>
            <w:tcW w:w="2901" w:type="dxa"/>
          </w:tcPr>
          <w:p w14:paraId="2A89B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w:t>
            </w:r>
          </w:p>
        </w:tc>
        <w:tc>
          <w:tcPr>
            <w:tcW w:w="2901" w:type="dxa"/>
          </w:tcPr>
          <w:p w14:paraId="00BAFB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w:t>
            </w:r>
          </w:p>
        </w:tc>
        <w:tc>
          <w:tcPr>
            <w:tcW w:w="2901" w:type="dxa"/>
          </w:tcPr>
          <w:p w14:paraId="203BE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кв. 1933</w:t>
            </w:r>
          </w:p>
        </w:tc>
        <w:tc>
          <w:tcPr>
            <w:tcW w:w="2901" w:type="dxa"/>
          </w:tcPr>
          <w:p w14:paraId="356648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11DE2E" w14:textId="77777777">
        <w:tc>
          <w:tcPr>
            <w:tcW w:w="2901" w:type="dxa"/>
          </w:tcPr>
          <w:p w14:paraId="437E7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АНТ-20</w:t>
            </w:r>
          </w:p>
        </w:tc>
        <w:tc>
          <w:tcPr>
            <w:tcW w:w="2901" w:type="dxa"/>
          </w:tcPr>
          <w:p w14:paraId="65778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35E9D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кв. 1934</w:t>
            </w:r>
          </w:p>
        </w:tc>
        <w:tc>
          <w:tcPr>
            <w:tcW w:w="2901" w:type="dxa"/>
          </w:tcPr>
          <w:p w14:paraId="66E98E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C0AE70" w14:textId="77777777">
        <w:tc>
          <w:tcPr>
            <w:tcW w:w="2901" w:type="dxa"/>
          </w:tcPr>
          <w:p w14:paraId="2D8551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ЛР-М34</w:t>
            </w:r>
          </w:p>
        </w:tc>
        <w:tc>
          <w:tcPr>
            <w:tcW w:w="2901" w:type="dxa"/>
          </w:tcPr>
          <w:p w14:paraId="6EA0A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243C2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1933</w:t>
            </w:r>
          </w:p>
        </w:tc>
        <w:tc>
          <w:tcPr>
            <w:tcW w:w="2901" w:type="dxa"/>
          </w:tcPr>
          <w:p w14:paraId="340707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33236D4" w14:textId="77777777">
        <w:tc>
          <w:tcPr>
            <w:tcW w:w="2901" w:type="dxa"/>
          </w:tcPr>
          <w:p w14:paraId="56F0A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К8-М27</w:t>
            </w:r>
          </w:p>
        </w:tc>
        <w:tc>
          <w:tcPr>
            <w:tcW w:w="2901" w:type="dxa"/>
          </w:tcPr>
          <w:p w14:paraId="69D61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54BAE8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w:t>
            </w:r>
          </w:p>
        </w:tc>
        <w:tc>
          <w:tcPr>
            <w:tcW w:w="2901" w:type="dxa"/>
          </w:tcPr>
          <w:p w14:paraId="2178D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97FC97" w14:textId="77777777">
        <w:tc>
          <w:tcPr>
            <w:tcW w:w="2901" w:type="dxa"/>
          </w:tcPr>
          <w:p w14:paraId="286E21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ПС-4 М-26</w:t>
            </w:r>
          </w:p>
        </w:tc>
        <w:tc>
          <w:tcPr>
            <w:tcW w:w="2901" w:type="dxa"/>
          </w:tcPr>
          <w:p w14:paraId="23F6F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55A98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w:t>
            </w:r>
          </w:p>
        </w:tc>
        <w:tc>
          <w:tcPr>
            <w:tcW w:w="2901" w:type="dxa"/>
          </w:tcPr>
          <w:p w14:paraId="64C84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85CF2C" w14:textId="77777777">
        <w:tc>
          <w:tcPr>
            <w:tcW w:w="2901" w:type="dxa"/>
          </w:tcPr>
          <w:p w14:paraId="4BC229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ПС-М38</w:t>
            </w:r>
          </w:p>
        </w:tc>
        <w:tc>
          <w:tcPr>
            <w:tcW w:w="2901" w:type="dxa"/>
          </w:tcPr>
          <w:p w14:paraId="72BD7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688E05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1933</w:t>
            </w:r>
          </w:p>
        </w:tc>
        <w:tc>
          <w:tcPr>
            <w:tcW w:w="2901" w:type="dxa"/>
          </w:tcPr>
          <w:p w14:paraId="2B803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309C7D" w14:textId="77777777">
        <w:tc>
          <w:tcPr>
            <w:tcW w:w="2901" w:type="dxa"/>
          </w:tcPr>
          <w:p w14:paraId="5869CF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К7-7М34</w:t>
            </w:r>
          </w:p>
        </w:tc>
        <w:tc>
          <w:tcPr>
            <w:tcW w:w="2901" w:type="dxa"/>
          </w:tcPr>
          <w:p w14:paraId="6E4B7A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60AE6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w:t>
            </w:r>
          </w:p>
        </w:tc>
        <w:tc>
          <w:tcPr>
            <w:tcW w:w="2901" w:type="dxa"/>
          </w:tcPr>
          <w:p w14:paraId="1D1C4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A4447C" w14:textId="77777777">
        <w:tc>
          <w:tcPr>
            <w:tcW w:w="2901" w:type="dxa"/>
          </w:tcPr>
          <w:p w14:paraId="20F050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ТШ2-М17</w:t>
            </w:r>
          </w:p>
        </w:tc>
        <w:tc>
          <w:tcPr>
            <w:tcW w:w="2901" w:type="dxa"/>
          </w:tcPr>
          <w:p w14:paraId="3E48AB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04F39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w:t>
            </w:r>
          </w:p>
        </w:tc>
        <w:tc>
          <w:tcPr>
            <w:tcW w:w="2901" w:type="dxa"/>
          </w:tcPr>
          <w:p w14:paraId="0FCFC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05E42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 самолеты и самолеты особой группы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DA227A" w:rsidRPr="00E93F40" w14:paraId="59A20953" w14:textId="77777777">
        <w:tc>
          <w:tcPr>
            <w:tcW w:w="2901" w:type="dxa"/>
          </w:tcPr>
          <w:p w14:paraId="1CED06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Р10</w:t>
            </w:r>
          </w:p>
        </w:tc>
        <w:tc>
          <w:tcPr>
            <w:tcW w:w="2901" w:type="dxa"/>
          </w:tcPr>
          <w:p w14:paraId="4C26BA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w:t>
            </w:r>
          </w:p>
        </w:tc>
        <w:tc>
          <w:tcPr>
            <w:tcW w:w="2901" w:type="dxa"/>
          </w:tcPr>
          <w:p w14:paraId="04BF20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1934</w:t>
            </w:r>
          </w:p>
        </w:tc>
        <w:tc>
          <w:tcPr>
            <w:tcW w:w="2901" w:type="dxa"/>
          </w:tcPr>
          <w:p w14:paraId="335B88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BF7463" w14:textId="77777777">
        <w:tc>
          <w:tcPr>
            <w:tcW w:w="2901" w:type="dxa"/>
          </w:tcPr>
          <w:p w14:paraId="384CA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ДИП2</w:t>
            </w:r>
          </w:p>
        </w:tc>
        <w:tc>
          <w:tcPr>
            <w:tcW w:w="2901" w:type="dxa"/>
          </w:tcPr>
          <w:p w14:paraId="70636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w:t>
            </w:r>
          </w:p>
        </w:tc>
        <w:tc>
          <w:tcPr>
            <w:tcW w:w="2901" w:type="dxa"/>
          </w:tcPr>
          <w:p w14:paraId="305CC4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1933</w:t>
            </w:r>
          </w:p>
        </w:tc>
        <w:tc>
          <w:tcPr>
            <w:tcW w:w="2901" w:type="dxa"/>
          </w:tcPr>
          <w:p w14:paraId="71E87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35DFCC" w14:textId="77777777">
        <w:tc>
          <w:tcPr>
            <w:tcW w:w="2901" w:type="dxa"/>
          </w:tcPr>
          <w:p w14:paraId="34E0F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Бесхвостый самолет</w:t>
            </w:r>
          </w:p>
        </w:tc>
        <w:tc>
          <w:tcPr>
            <w:tcW w:w="2901" w:type="dxa"/>
          </w:tcPr>
          <w:p w14:paraId="35829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6E5BB3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кв. 1933</w:t>
            </w:r>
          </w:p>
        </w:tc>
        <w:tc>
          <w:tcPr>
            <w:tcW w:w="2901" w:type="dxa"/>
          </w:tcPr>
          <w:p w14:paraId="4EFFD9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756B43" w14:textId="77777777">
        <w:tc>
          <w:tcPr>
            <w:tcW w:w="2901" w:type="dxa"/>
          </w:tcPr>
          <w:p w14:paraId="55D77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Сверхвысотный</w:t>
            </w:r>
          </w:p>
        </w:tc>
        <w:tc>
          <w:tcPr>
            <w:tcW w:w="2901" w:type="dxa"/>
          </w:tcPr>
          <w:p w14:paraId="45270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w:t>
            </w:r>
          </w:p>
        </w:tc>
        <w:tc>
          <w:tcPr>
            <w:tcW w:w="2901" w:type="dxa"/>
          </w:tcPr>
          <w:p w14:paraId="0644B7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1933</w:t>
            </w:r>
          </w:p>
        </w:tc>
        <w:tc>
          <w:tcPr>
            <w:tcW w:w="2901" w:type="dxa"/>
          </w:tcPr>
          <w:p w14:paraId="152F9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установлен РВСР</w:t>
            </w:r>
          </w:p>
        </w:tc>
      </w:tr>
      <w:tr w:rsidR="00DA227A" w:rsidRPr="00E93F40" w14:paraId="13C2F8F3" w14:textId="77777777">
        <w:tc>
          <w:tcPr>
            <w:tcW w:w="2901" w:type="dxa"/>
          </w:tcPr>
          <w:p w14:paraId="7CA0B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на дальность</w:t>
            </w:r>
          </w:p>
        </w:tc>
        <w:tc>
          <w:tcPr>
            <w:tcW w:w="2901" w:type="dxa"/>
          </w:tcPr>
          <w:p w14:paraId="3DEE1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2901" w:type="dxa"/>
          </w:tcPr>
          <w:p w14:paraId="715E8E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1933</w:t>
            </w:r>
          </w:p>
        </w:tc>
        <w:tc>
          <w:tcPr>
            <w:tcW w:w="2901" w:type="dxa"/>
          </w:tcPr>
          <w:p w14:paraId="539EF2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установлен РВСР</w:t>
            </w:r>
          </w:p>
        </w:tc>
      </w:tr>
      <w:tr w:rsidR="00DA227A" w:rsidRPr="00E93F40" w14:paraId="7D1FACE0" w14:textId="77777777">
        <w:tc>
          <w:tcPr>
            <w:tcW w:w="2901" w:type="dxa"/>
          </w:tcPr>
          <w:p w14:paraId="39D54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У3-М48 с раздвижным и разрезным крыльями</w:t>
            </w:r>
          </w:p>
        </w:tc>
        <w:tc>
          <w:tcPr>
            <w:tcW w:w="2901" w:type="dxa"/>
          </w:tcPr>
          <w:p w14:paraId="473EF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550EC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34460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1C0F62" w14:textId="77777777">
        <w:tc>
          <w:tcPr>
            <w:tcW w:w="2901" w:type="dxa"/>
          </w:tcPr>
          <w:p w14:paraId="433802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Кричевского</w:t>
            </w:r>
          </w:p>
        </w:tc>
        <w:tc>
          <w:tcPr>
            <w:tcW w:w="2901" w:type="dxa"/>
          </w:tcPr>
          <w:p w14:paraId="56BE8B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670A4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кв. 1932</w:t>
            </w:r>
          </w:p>
        </w:tc>
        <w:tc>
          <w:tcPr>
            <w:tcW w:w="2901" w:type="dxa"/>
          </w:tcPr>
          <w:p w14:paraId="116C8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7ECC4D" w14:textId="77777777">
        <w:tc>
          <w:tcPr>
            <w:tcW w:w="2901" w:type="dxa"/>
          </w:tcPr>
          <w:p w14:paraId="2B86D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пушка</w:t>
            </w:r>
          </w:p>
        </w:tc>
        <w:tc>
          <w:tcPr>
            <w:tcW w:w="2901" w:type="dxa"/>
          </w:tcPr>
          <w:p w14:paraId="6F764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279F64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28D53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CDD02B" w14:textId="77777777">
        <w:tc>
          <w:tcPr>
            <w:tcW w:w="2901" w:type="dxa"/>
          </w:tcPr>
          <w:p w14:paraId="197067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Таран</w:t>
            </w:r>
          </w:p>
        </w:tc>
        <w:tc>
          <w:tcPr>
            <w:tcW w:w="2901" w:type="dxa"/>
          </w:tcPr>
          <w:p w14:paraId="08520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4E3DED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кв. 1932</w:t>
            </w:r>
          </w:p>
        </w:tc>
        <w:tc>
          <w:tcPr>
            <w:tcW w:w="2901" w:type="dxa"/>
          </w:tcPr>
          <w:p w14:paraId="38DE9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D83E10" w14:textId="77777777">
        <w:tc>
          <w:tcPr>
            <w:tcW w:w="2901" w:type="dxa"/>
          </w:tcPr>
          <w:p w14:paraId="48B7E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самолет</w:t>
            </w:r>
          </w:p>
        </w:tc>
        <w:tc>
          <w:tcPr>
            <w:tcW w:w="2901" w:type="dxa"/>
          </w:tcPr>
          <w:p w14:paraId="52F1D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22230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358D3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80180C" w14:textId="77777777">
        <w:tc>
          <w:tcPr>
            <w:tcW w:w="2901" w:type="dxa"/>
          </w:tcPr>
          <w:p w14:paraId="76D197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Бронированный миноносец</w:t>
            </w:r>
          </w:p>
        </w:tc>
        <w:tc>
          <w:tcPr>
            <w:tcW w:w="2901" w:type="dxa"/>
          </w:tcPr>
          <w:p w14:paraId="61A239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278593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4A8911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25E20D" w14:textId="77777777">
        <w:tc>
          <w:tcPr>
            <w:tcW w:w="2901" w:type="dxa"/>
          </w:tcPr>
          <w:p w14:paraId="58272B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Звено</w:t>
            </w:r>
          </w:p>
        </w:tc>
        <w:tc>
          <w:tcPr>
            <w:tcW w:w="2901" w:type="dxa"/>
          </w:tcPr>
          <w:p w14:paraId="71AA54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2E79A6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w:t>
            </w:r>
          </w:p>
        </w:tc>
        <w:tc>
          <w:tcPr>
            <w:tcW w:w="2901" w:type="dxa"/>
          </w:tcPr>
          <w:p w14:paraId="0BF8F0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105DF0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 Глававиапрома не отражены работы по геликоптерам и автожирам, хотя о них есть упоминания в объяснительной записке.</w:t>
      </w:r>
    </w:p>
    <w:p w14:paraId="7EEFA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Модификация</w:t>
      </w:r>
    </w:p>
    <w:p w14:paraId="4A2BF8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 Глававиапрома нет работ:</w:t>
      </w:r>
    </w:p>
    <w:p w14:paraId="13F6787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 на И7</w:t>
      </w:r>
    </w:p>
    <w:p w14:paraId="7178730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ТШ2</w:t>
      </w:r>
    </w:p>
    <w:p w14:paraId="34E2A34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Р6</w:t>
      </w:r>
    </w:p>
    <w:p w14:paraId="759F71E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Снабжение разрезными крыльями И5</w:t>
      </w:r>
    </w:p>
    <w:p w14:paraId="00E175D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Снабжение разрезными крыльями И7</w:t>
      </w:r>
    </w:p>
    <w:p w14:paraId="6472D1E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Снабжение разрезными крыльями ТШ2</w:t>
      </w:r>
    </w:p>
    <w:p w14:paraId="23EAB2F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Снабжение разрезными крыльями Р6</w:t>
      </w:r>
    </w:p>
    <w:p w14:paraId="7DE0168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Снабжение тормозными колесами Р6</w:t>
      </w:r>
    </w:p>
    <w:p w14:paraId="18CC20D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Снабжение тормозными колесами ТБ3</w:t>
      </w:r>
    </w:p>
    <w:p w14:paraId="6A159B9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Снабжение тормозными колесами Р5</w:t>
      </w:r>
    </w:p>
    <w:p w14:paraId="59FE0F5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Снабжение тормозными колесами ТШ2</w:t>
      </w:r>
    </w:p>
    <w:p w14:paraId="029FA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Стоят работы не отраженные в плане УВВС</w:t>
      </w:r>
    </w:p>
    <w:p w14:paraId="41889D8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Доводки ДИ3</w:t>
      </w:r>
    </w:p>
    <w:p w14:paraId="311113C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Доводки ШОН (7416, 90-92).</w:t>
      </w:r>
    </w:p>
    <w:p w14:paraId="7731675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933F3F8"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марта 1932 г. начальник 1-го отдела НИИ ВВС Горощенко подготовил «Основные расхождения между планом УВВС и Глававиапрома в части сухопутных самолетов», где 1-м пунктом указал, что в плане Глававиапрома нет работ по установке двигателя М-34 и предкрылков на истребитель И-7 (24331).</w:t>
      </w:r>
    </w:p>
    <w:p w14:paraId="59237078"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3D55E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марта 1932 на совещании начальников Технических управлений (артиллерийского, воздушных сил, химического и др. и руководителей Осоавиахима под председательством М.Н.Тухачевского вынесло решение о необходимости создания Всесоюзного реактивного НИИ (273,297).</w:t>
      </w:r>
    </w:p>
    <w:p w14:paraId="22E997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55A9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марта 1932 г. в Москве начальник вооружений РККА провел совещание, на ко</w:t>
      </w:r>
      <w:r w:rsidRPr="00E93F40">
        <w:rPr>
          <w:rFonts w:ascii="Times New Roman" w:hAnsi="Times New Roman"/>
          <w:color w:val="000000" w:themeColor="text1"/>
          <w:sz w:val="16"/>
          <w:szCs w:val="16"/>
        </w:rPr>
        <w:softHyphen/>
        <w:t>тором впервые за один стол усадили военных специалистов, конструкто</w:t>
      </w:r>
      <w:r w:rsidRPr="00E93F40">
        <w:rPr>
          <w:rFonts w:ascii="Times New Roman" w:hAnsi="Times New Roman"/>
          <w:color w:val="000000" w:themeColor="text1"/>
          <w:sz w:val="16"/>
          <w:szCs w:val="16"/>
        </w:rPr>
        <w:softHyphen/>
        <w:t>ров и ученых по проблемам исследований реактивного движения и ра</w:t>
      </w:r>
      <w:r w:rsidRPr="00E93F40">
        <w:rPr>
          <w:rFonts w:ascii="Times New Roman" w:hAnsi="Times New Roman"/>
          <w:color w:val="000000" w:themeColor="text1"/>
          <w:sz w:val="16"/>
          <w:szCs w:val="16"/>
        </w:rPr>
        <w:softHyphen/>
        <w:t>кетной техники. 16 мая 1932 г. на основе материалов совещания был го</w:t>
      </w:r>
      <w:r w:rsidRPr="00E93F40">
        <w:rPr>
          <w:rFonts w:ascii="Times New Roman" w:hAnsi="Times New Roman"/>
          <w:color w:val="000000" w:themeColor="text1"/>
          <w:sz w:val="16"/>
          <w:szCs w:val="16"/>
        </w:rPr>
        <w:softHyphen/>
        <w:t>тов доклад «Об организации Реактивного института» наркому обороны. В нем, в частности, говорилось: «...имеющиеся у нас и за границей дос</w:t>
      </w:r>
      <w:r w:rsidRPr="00E93F40">
        <w:rPr>
          <w:rFonts w:ascii="Times New Roman" w:hAnsi="Times New Roman"/>
          <w:color w:val="000000" w:themeColor="text1"/>
          <w:sz w:val="16"/>
          <w:szCs w:val="16"/>
        </w:rPr>
        <w:softHyphen/>
        <w:t>тижения в деле разработки и конструирования реактивных двигателей, и особенно жидкостных реактивных роторов, указывают на широкие возможности использования их, как нового мощного боевого средства в различных областях военной техники, в первую очередь артиллерий</w:t>
      </w:r>
      <w:r w:rsidRPr="00E93F40">
        <w:rPr>
          <w:rFonts w:ascii="Times New Roman" w:hAnsi="Times New Roman"/>
          <w:color w:val="000000" w:themeColor="text1"/>
          <w:sz w:val="16"/>
          <w:szCs w:val="16"/>
        </w:rPr>
        <w:softHyphen/>
        <w:t>ском и авиационном деле...». Предложение М.Н.Тухачевского о создании РНИИ горячо поддер</w:t>
      </w:r>
      <w:r w:rsidRPr="00E93F40">
        <w:rPr>
          <w:rFonts w:ascii="Times New Roman" w:hAnsi="Times New Roman"/>
          <w:color w:val="000000" w:themeColor="text1"/>
          <w:sz w:val="16"/>
          <w:szCs w:val="16"/>
        </w:rPr>
        <w:softHyphen/>
        <w:t>жал нарком тяжелой промышленности Г.К.Орджоникидзе, но почти год ушел на то, чтобы бумаги одобрили в ЦК ВКП(б), а также в Советском Правительстве. И когда решения уже состоялись, не дожидаясь Поста</w:t>
      </w:r>
      <w:r w:rsidRPr="00E93F40">
        <w:rPr>
          <w:rFonts w:ascii="Times New Roman" w:hAnsi="Times New Roman"/>
          <w:color w:val="000000" w:themeColor="text1"/>
          <w:sz w:val="16"/>
          <w:szCs w:val="16"/>
        </w:rPr>
        <w:softHyphen/>
        <w:t>новления, 21 сентября 1933 г. приказом РВС СССР за подписью Тухачев</w:t>
      </w:r>
      <w:r w:rsidRPr="00E93F40">
        <w:rPr>
          <w:rFonts w:ascii="Times New Roman" w:hAnsi="Times New Roman"/>
          <w:color w:val="000000" w:themeColor="text1"/>
          <w:sz w:val="16"/>
          <w:szCs w:val="16"/>
        </w:rPr>
        <w:softHyphen/>
        <w:t>ского предписывалось немедленно приступить к формированию в Мо</w:t>
      </w:r>
      <w:r w:rsidRPr="00E93F40">
        <w:rPr>
          <w:rFonts w:ascii="Times New Roman" w:hAnsi="Times New Roman"/>
          <w:color w:val="000000" w:themeColor="text1"/>
          <w:sz w:val="16"/>
          <w:szCs w:val="16"/>
        </w:rPr>
        <w:softHyphen/>
        <w:t>скве РНИИ (11402).</w:t>
      </w:r>
    </w:p>
    <w:p w14:paraId="4F4A74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FACFFA"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марта 1932 года Тухачевский провел совещание с сотруд</w:t>
      </w:r>
      <w:r w:rsidRPr="00E93F40">
        <w:rPr>
          <w:rFonts w:ascii="Times New Roman" w:hAnsi="Times New Roman"/>
          <w:color w:val="000000" w:themeColor="text1"/>
          <w:sz w:val="16"/>
          <w:szCs w:val="16"/>
        </w:rPr>
        <w:softHyphen/>
        <w:t>никами ГДЛ и ГИРД по вопросу об организации специального НИИ по ракетной технике. По его мнению, силы двух коллекти</w:t>
      </w:r>
      <w:r w:rsidRPr="00E93F40">
        <w:rPr>
          <w:rFonts w:ascii="Times New Roman" w:hAnsi="Times New Roman"/>
          <w:color w:val="000000" w:themeColor="text1"/>
          <w:sz w:val="16"/>
          <w:szCs w:val="16"/>
        </w:rPr>
        <w:softHyphen/>
        <w:t>вов следовало объединить для создания эффективного реактив</w:t>
      </w:r>
      <w:r w:rsidRPr="00E93F40">
        <w:rPr>
          <w:rFonts w:ascii="Times New Roman" w:hAnsi="Times New Roman"/>
          <w:color w:val="000000" w:themeColor="text1"/>
          <w:sz w:val="16"/>
          <w:szCs w:val="16"/>
        </w:rPr>
        <w:softHyphen/>
        <w:t>ного вооружения, расширив конструкторскую и производствен</w:t>
      </w:r>
      <w:r w:rsidRPr="00E93F40">
        <w:rPr>
          <w:rFonts w:ascii="Times New Roman" w:hAnsi="Times New Roman"/>
          <w:color w:val="000000" w:themeColor="text1"/>
          <w:sz w:val="16"/>
          <w:szCs w:val="16"/>
        </w:rPr>
        <w:softHyphen/>
        <w:t>ную базу. Большинство присутствующих с ним согласились.</w:t>
      </w:r>
    </w:p>
    <w:p w14:paraId="240951C3"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Тухачевский доложил о необходимости созда</w:t>
      </w:r>
      <w:r w:rsidRPr="00E93F40">
        <w:rPr>
          <w:rFonts w:ascii="Times New Roman" w:hAnsi="Times New Roman"/>
          <w:color w:val="000000" w:themeColor="text1"/>
          <w:sz w:val="16"/>
          <w:szCs w:val="16"/>
        </w:rPr>
        <w:softHyphen/>
        <w:t>нии Реактивного института Наркомвоенмору и Председателю Реввоенсовета К.Е.Ворошилову. Ворошилов отверг предложе</w:t>
      </w:r>
      <w:r w:rsidRPr="00E93F40">
        <w:rPr>
          <w:rFonts w:ascii="Times New Roman" w:hAnsi="Times New Roman"/>
          <w:color w:val="000000" w:themeColor="text1"/>
          <w:sz w:val="16"/>
          <w:szCs w:val="16"/>
        </w:rPr>
        <w:softHyphen/>
        <w:t>ние, мотивировав отказ тем, что научно-исследовательские ин</w:t>
      </w:r>
      <w:r w:rsidRPr="00E93F40">
        <w:rPr>
          <w:rFonts w:ascii="Times New Roman" w:hAnsi="Times New Roman"/>
          <w:color w:val="000000" w:themeColor="text1"/>
          <w:sz w:val="16"/>
          <w:szCs w:val="16"/>
        </w:rPr>
        <w:softHyphen/>
        <w:t>ституты должны быть не в армии, а в промышленности, кото</w:t>
      </w:r>
      <w:r w:rsidRPr="00E93F40">
        <w:rPr>
          <w:rFonts w:ascii="Times New Roman" w:hAnsi="Times New Roman"/>
          <w:color w:val="000000" w:themeColor="text1"/>
          <w:sz w:val="16"/>
          <w:szCs w:val="16"/>
        </w:rPr>
        <w:softHyphen/>
        <w:t>рая должна создавать оружие. Армия же должна этим оружием умело воевать.</w:t>
      </w:r>
    </w:p>
    <w:p w14:paraId="14925DB4"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согласившись с Ворошиловым, Тухачевский нарушил Устав РККА и 16 мая через голову своего непосредственного на</w:t>
      </w:r>
      <w:r w:rsidRPr="00E93F40">
        <w:rPr>
          <w:rFonts w:ascii="Times New Roman" w:hAnsi="Times New Roman"/>
          <w:color w:val="000000" w:themeColor="text1"/>
          <w:sz w:val="16"/>
          <w:szCs w:val="16"/>
        </w:rPr>
        <w:softHyphen/>
        <w:t>чальника представил «Доклад об организации Реактивного ин</w:t>
      </w:r>
      <w:r w:rsidRPr="00E93F40">
        <w:rPr>
          <w:rFonts w:ascii="Times New Roman" w:hAnsi="Times New Roman"/>
          <w:color w:val="000000" w:themeColor="text1"/>
          <w:sz w:val="16"/>
          <w:szCs w:val="16"/>
        </w:rPr>
        <w:softHyphen/>
        <w:t>ститута» председателю Комиссии Обороны СССР В.М.Молотову. В докладе он писал, что «имеющиеся у нас и за границей дости</w:t>
      </w:r>
      <w:r w:rsidRPr="00E93F40">
        <w:rPr>
          <w:rFonts w:ascii="Times New Roman" w:hAnsi="Times New Roman"/>
          <w:color w:val="000000" w:themeColor="text1"/>
          <w:sz w:val="16"/>
          <w:szCs w:val="16"/>
        </w:rPr>
        <w:softHyphen/>
        <w:t>жения в деле разработки и конструирования реактивных двига</w:t>
      </w:r>
      <w:r w:rsidRPr="00E93F40">
        <w:rPr>
          <w:rFonts w:ascii="Times New Roman" w:hAnsi="Times New Roman"/>
          <w:color w:val="000000" w:themeColor="text1"/>
          <w:sz w:val="16"/>
          <w:szCs w:val="16"/>
        </w:rPr>
        <w:softHyphen/>
        <w:t>телей и особенно жидкостных реактивных моторов указывают на широкие возможности использования их как нового мощного боевого средства в различных областях военной техники, в пер</w:t>
      </w:r>
      <w:r w:rsidRPr="00E93F40">
        <w:rPr>
          <w:rFonts w:ascii="Times New Roman" w:hAnsi="Times New Roman"/>
          <w:color w:val="000000" w:themeColor="text1"/>
          <w:sz w:val="16"/>
          <w:szCs w:val="16"/>
        </w:rPr>
        <w:softHyphen/>
        <w:t>вую очередь в артиллерийском и авиационном деле».</w:t>
      </w:r>
    </w:p>
    <w:p w14:paraId="4E217288"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Письмо Тухачевского практически одновременно было об</w:t>
      </w:r>
      <w:r w:rsidRPr="00E93F40">
        <w:rPr>
          <w:rFonts w:ascii="Times New Roman" w:hAnsi="Times New Roman"/>
          <w:color w:val="000000" w:themeColor="text1"/>
          <w:sz w:val="16"/>
          <w:szCs w:val="16"/>
        </w:rPr>
        <w:softHyphen/>
        <w:t>суждено на совещании в ЦК ВКП(б) и на заседании Реввоенсове</w:t>
      </w:r>
      <w:r w:rsidRPr="00E93F40">
        <w:rPr>
          <w:rFonts w:ascii="Times New Roman" w:hAnsi="Times New Roman"/>
          <w:color w:val="000000" w:themeColor="text1"/>
          <w:sz w:val="16"/>
          <w:szCs w:val="16"/>
        </w:rPr>
        <w:softHyphen/>
        <w:t>та. В ЦК предложение одобрили, в Реввоенсовете - отклонили. Возражать Центральному Комитету партии опытный и осто</w:t>
      </w:r>
      <w:r w:rsidRPr="00E93F40">
        <w:rPr>
          <w:rFonts w:ascii="Times New Roman" w:hAnsi="Times New Roman"/>
          <w:color w:val="000000" w:themeColor="text1"/>
          <w:sz w:val="16"/>
          <w:szCs w:val="16"/>
        </w:rPr>
        <w:softHyphen/>
        <w:t>рожный Ворошилов не стал. Бумагу с решением Реввоенсовета спрятал в сейф, а на строптивого Тухачевского затаил обиду.</w:t>
      </w:r>
    </w:p>
    <w:p w14:paraId="7433AD13"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21 октября заместитель М.Н.Тухачевского начальник ГАУ Н.А.Ефимов подготовил и направил в секретариат ЦК ВКП(б) письмо «Об организации Реактивного института РККА», где была изложена конкретная программа действий. 20 ноября Ту</w:t>
      </w:r>
      <w:r w:rsidRPr="00E93F40">
        <w:rPr>
          <w:rFonts w:ascii="Times New Roman" w:hAnsi="Times New Roman"/>
          <w:color w:val="000000" w:themeColor="text1"/>
          <w:sz w:val="16"/>
          <w:szCs w:val="16"/>
        </w:rPr>
        <w:softHyphen/>
        <w:t>хачевский был утвержден председателем комиссии по органи</w:t>
      </w:r>
      <w:r w:rsidRPr="00E93F40">
        <w:rPr>
          <w:rFonts w:ascii="Times New Roman" w:hAnsi="Times New Roman"/>
          <w:color w:val="000000" w:themeColor="text1"/>
          <w:sz w:val="16"/>
          <w:szCs w:val="16"/>
        </w:rPr>
        <w:softHyphen/>
        <w:t>зации РНИИ (23510).</w:t>
      </w:r>
    </w:p>
    <w:p w14:paraId="7D839601"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7659EB00" w14:textId="77777777" w:rsidR="003A54E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2994A98" w14:textId="77777777" w:rsidR="003A54ED" w:rsidRPr="00E93F40" w:rsidRDefault="003A54E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DCFA320"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3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166/68сс о дополнительном отпуске в I квартале цемента НКВМ и НКПС (ГА РФ. Ф. Р?8418. Оп. 28. Д. 1а. Л. 166) (12415).</w:t>
      </w:r>
    </w:p>
    <w:p w14:paraId="21B1F0D9"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167/69 об изменении годовых фондов стройматериалов в связи с увеличением строительства в ДВК по НКВМ, Цудортрансу и военной промышленности (ГА РФ. Ф. Р?8418. Оп. 28. Д. 1а. Л. 167?169) (12415).</w:t>
      </w:r>
    </w:p>
    <w:p w14:paraId="42716FCD"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p>
    <w:p w14:paraId="14DAE371"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3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90. 20. О Луганском паровозостроительном заводе (ПБ от 16 февраля 1932 г., пр. № 88, п. 16) (Орджоникидзе). 31. О гаражах и авторемонтных базах по линии гражданских и военных ведомств (ПБ от 8 февраля 1932 г., пр. № 87, п. 16) (Каганович, Ворошилов). Решение ПБ от 28 февраля 1932 г. 37/13. Об ОКДВА. Опросом членов ПБ от 3 марта 1932 г. 71/35. Вопрос Комиссии обороны. — ОП. 72/36. О цветных металлах и ферросплавах. — ОП. (Политбюро... Т. 2. С. 277, 278, 279) (12416).</w:t>
      </w:r>
    </w:p>
    <w:p w14:paraId="2C5422F8"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p>
    <w:p w14:paraId="32CE516C" w14:textId="77777777" w:rsidR="003A54ED" w:rsidRPr="00E93F40" w:rsidRDefault="003A54ED"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3 марта 1932 </w:t>
      </w:r>
      <w:r w:rsidRPr="00E93F40">
        <w:rPr>
          <w:rFonts w:ascii="Times New Roman" w:hAnsi="Times New Roman"/>
          <w:color w:val="000000" w:themeColor="text1"/>
          <w:sz w:val="16"/>
          <w:szCs w:val="16"/>
        </w:rPr>
        <w:t>Политбюро ЦК ВКП (б) приняло постановления: о сроках окончания строительства Нижие-Тагильского вагоностроительного завода, о приступе к строительству в 1933 г. вагоностроительного завода в Воронеже, завода узкоколейных паровозов в Новочеркасске и металлургического завода в районе Старого Оскола; одобрило предложение Наркомтяжпрома об использовании аппарата Днепростроя для строительства гидроэлектростанций на Волге; утвердило проект постановления ЦК ВКП (б) «О Магнитострое» (12265).</w:t>
      </w:r>
    </w:p>
    <w:p w14:paraId="30166118" w14:textId="318E93D5" w:rsidR="003A54E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6597ACC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6CC776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0DA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марта 1932 китайские войска заставили японскую армию отступить от Шанхая (3907,172).</w:t>
      </w:r>
    </w:p>
    <w:p w14:paraId="4020C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EE0AD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B23B4B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3D90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февраля и 4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по компасу, на определение крейсерской скорости и продолжительности полета (по треугольнику) на высоте 3000 м; аэрофотосъемка (3002).</w:t>
      </w:r>
    </w:p>
    <w:p w14:paraId="57170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7E5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и 4 и 7 марта 1932 в ходе испытаний на 22 заводе самолета Р6 N 2201 (эталон на 1932 год), которые проходили с 23 января по 7 апреля 1932, было выполнено 3 полета на определение горизонтальных скоростей на разных высотах</w:t>
      </w:r>
    </w:p>
    <w:p w14:paraId="6EB91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 нагрузкой 2560 кг</w:t>
      </w:r>
    </w:p>
    <w:p w14:paraId="4D5C3C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 нагрузкой 1810 кг;</w:t>
      </w:r>
    </w:p>
    <w:p w14:paraId="668E63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определение скороподъемности и потолка</w:t>
      </w:r>
    </w:p>
    <w:p w14:paraId="7F9480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 нагрузкой 2560 кг</w:t>
      </w:r>
    </w:p>
    <w:p w14:paraId="7F0DF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 нагрузкой 1810 кг;</w:t>
      </w:r>
    </w:p>
    <w:p w14:paraId="54D87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определение маневренности с нагрузкой 2560 кг (3003).</w:t>
      </w:r>
    </w:p>
    <w:p w14:paraId="0E5FC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E09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марта 1932 года вышел Приказ по управлению ВВС N 001:</w:t>
      </w:r>
    </w:p>
    <w:p w14:paraId="65739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Организовать Морскую испытательную станцию НИИ, как его составную часть постоянно работающую в Севастополе. В составе: Отдельного морского отряда им. инж.-летчика Коровкина, авиапарка, штаба МИС. Работу МИС начать 15.03.32 года.</w:t>
      </w:r>
    </w:p>
    <w:p w14:paraId="1E3297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ВВС Меженинов. (3047,14).</w:t>
      </w:r>
    </w:p>
    <w:p w14:paraId="15DA2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C6ED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марта 1932 года в г. Севастополе основана Морская Испытательная станция (МИС) НИИ ВВС РККА (10515).</w:t>
      </w:r>
    </w:p>
    <w:p w14:paraId="03834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4606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марта 1932 года приказом по УВВС № 001 в Институте была сформирована морская испытательная станция (МИС) с базированием в Севастополе (11017).</w:t>
      </w:r>
    </w:p>
    <w:p w14:paraId="627E4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E8C05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C2845A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0056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марта 1932 был основан КАИ (2668).</w:t>
      </w:r>
    </w:p>
    <w:p w14:paraId="7A2A9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FCC3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января и 5 марта 1932 в ходе испытаний на 22 заводе самолета Р6 N 2201 (эталон на 1932 год), которые проходили с 23 января по 7 апреля 1932, было выполнено 2 полета на испытание вооружения (3003).</w:t>
      </w:r>
    </w:p>
    <w:p w14:paraId="74F0F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68B1D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77C16A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7E7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5 и 11 марта 1932. Из протокола заседания Политбюро № 92, 1932 г.</w:t>
      </w:r>
    </w:p>
    <w:p w14:paraId="45C6F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мерах против хищения инструментов и материалов </w:t>
      </w:r>
    </w:p>
    <w:p w14:paraId="7E295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комиссии в составе тт. Антипова, Шверника и Фигатнера выработать меры борьбы против хищения инструментов и материалов на заводах и представить на утверждение в Политбюро (11652).</w:t>
      </w:r>
    </w:p>
    <w:p w14:paraId="130F0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C10B15" w14:textId="77777777" w:rsidR="003A54ED"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58D2E285" w14:textId="77777777" w:rsidR="003A54ED" w:rsidRPr="00E93F40" w:rsidRDefault="003A54E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F7C021"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марта 1932 г. Наркомвоенмор издал приказ № 016 «О борьбе с аварийно</w:t>
      </w:r>
      <w:r w:rsidRPr="00142305">
        <w:rPr>
          <w:rFonts w:ascii="Times New Roman" w:hAnsi="Times New Roman"/>
          <w:color w:val="0070C0"/>
          <w:sz w:val="16"/>
          <w:szCs w:val="16"/>
        </w:rPr>
        <w:softHyphen/>
        <w:t>стью в частях Военно-воздушных сил РККА» В нем говорилось, что за истекшие три месяца нового учебного года ВВС РККА имели место 60 аварий и 10 ката</w:t>
      </w:r>
      <w:r w:rsidRPr="00142305">
        <w:rPr>
          <w:rFonts w:ascii="Times New Roman" w:hAnsi="Times New Roman"/>
          <w:color w:val="0070C0"/>
          <w:sz w:val="16"/>
          <w:szCs w:val="16"/>
        </w:rPr>
        <w:softHyphen/>
        <w:t>строф, из которых 39 аварий с 6 катастрофами приходятся на авиачасти и 21 ава</w:t>
      </w:r>
      <w:r w:rsidRPr="00142305">
        <w:rPr>
          <w:rFonts w:ascii="Times New Roman" w:hAnsi="Times New Roman"/>
          <w:color w:val="0070C0"/>
          <w:sz w:val="16"/>
          <w:szCs w:val="16"/>
        </w:rPr>
        <w:softHyphen/>
        <w:t>рия с 4 катастрофами - на летные школы.</w:t>
      </w:r>
    </w:p>
    <w:p w14:paraId="0C9273A1"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приказе приводились два примера:</w:t>
      </w:r>
    </w:p>
    <w:p w14:paraId="696A9F75" w14:textId="77777777" w:rsidR="002B2DA4" w:rsidRPr="00142305" w:rsidRDefault="002B2DA4" w:rsidP="002B2DA4">
      <w:pPr>
        <w:widowControl w:val="0"/>
        <w:tabs>
          <w:tab w:val="left" w:pos="75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По летному происшествию в N-й авиаэскадрилье 2-й авиабригады СКВО. В этой эскадрилье на ночных полетах разбились сразу два самолета: лет</w:t>
      </w:r>
      <w:r w:rsidRPr="00142305">
        <w:rPr>
          <w:rFonts w:ascii="Times New Roman" w:hAnsi="Times New Roman"/>
          <w:color w:val="0070C0"/>
          <w:sz w:val="16"/>
          <w:szCs w:val="16"/>
        </w:rPr>
        <w:softHyphen/>
        <w:t>чик Артюхов, несмотря на сигнал о запрещении посадки, сел на самолет коман</w:t>
      </w:r>
      <w:r w:rsidRPr="00142305">
        <w:rPr>
          <w:rFonts w:ascii="Times New Roman" w:hAnsi="Times New Roman"/>
          <w:color w:val="0070C0"/>
          <w:sz w:val="16"/>
          <w:szCs w:val="16"/>
        </w:rPr>
        <w:softHyphen/>
        <w:t>дира звена Лежейко.</w:t>
      </w:r>
    </w:p>
    <w:p w14:paraId="3A743FA5" w14:textId="77777777" w:rsidR="002B2DA4" w:rsidRPr="00142305" w:rsidRDefault="002B2DA4" w:rsidP="002B2DA4">
      <w:pPr>
        <w:widowControl w:val="0"/>
        <w:tabs>
          <w:tab w:val="left" w:pos="756"/>
        </w:tabs>
        <w:spacing w:after="0" w:line="240" w:lineRule="auto"/>
        <w:jc w:val="both"/>
        <w:rPr>
          <w:rFonts w:ascii="Times New Roman" w:hAnsi="Times New Roman"/>
          <w:color w:val="0070C0"/>
          <w:sz w:val="16"/>
          <w:szCs w:val="16"/>
        </w:rPr>
      </w:pPr>
      <w:bookmarkStart w:id="15" w:name="bookmark31"/>
      <w:bookmarkEnd w:id="15"/>
      <w:r w:rsidRPr="00142305">
        <w:rPr>
          <w:rFonts w:ascii="Times New Roman" w:hAnsi="Times New Roman"/>
          <w:color w:val="0070C0"/>
          <w:sz w:val="16"/>
          <w:szCs w:val="16"/>
        </w:rPr>
        <w:t>2) В авиаэскадрилье 11-й авиабригады МВО 25 февраля 1932 г. потерпел катастрофу корабль ТБ-1 по причине остановки одного мотора на высоте 60-70 м после взлета (летчик Фрейман и командир отряда Сорокин).</w:t>
      </w:r>
    </w:p>
    <w:p w14:paraId="18BA6540"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Командиру-комиссару 3-й авиабригады Сергееву и начальнику политот</w:t>
      </w:r>
      <w:r w:rsidRPr="00142305">
        <w:rPr>
          <w:rFonts w:ascii="Times New Roman" w:hAnsi="Times New Roman"/>
          <w:color w:val="0070C0"/>
          <w:sz w:val="16"/>
          <w:szCs w:val="16"/>
        </w:rPr>
        <w:softHyphen/>
        <w:t>дела этой бригады ставилось на вид недостаточно настойчивое проведение ме</w:t>
      </w:r>
      <w:r w:rsidRPr="00142305">
        <w:rPr>
          <w:rFonts w:ascii="Times New Roman" w:hAnsi="Times New Roman"/>
          <w:color w:val="0070C0"/>
          <w:sz w:val="16"/>
          <w:szCs w:val="16"/>
        </w:rPr>
        <w:softHyphen/>
        <w:t>роприятий по предупреждению аварийности.</w:t>
      </w:r>
    </w:p>
    <w:p w14:paraId="41CB0697"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Старший инженер-механик 11-й авиабригады Иванов за прямое попусти</w:t>
      </w:r>
      <w:r w:rsidRPr="00142305">
        <w:rPr>
          <w:rFonts w:ascii="Times New Roman" w:hAnsi="Times New Roman"/>
          <w:color w:val="0070C0"/>
          <w:sz w:val="16"/>
          <w:szCs w:val="16"/>
        </w:rPr>
        <w:softHyphen/>
        <w:t>тельство в отношении технической службы, за слабую организацию исправности и готовности материальной части к полетам арестовывался на 15 суток.</w:t>
      </w:r>
    </w:p>
    <w:p w14:paraId="24C8AD7E"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Командир-комиссар 53-й авиаэскадрильи Смирнов и помощник по поли</w:t>
      </w:r>
      <w:r w:rsidRPr="00142305">
        <w:rPr>
          <w:rFonts w:ascii="Times New Roman" w:hAnsi="Times New Roman"/>
          <w:color w:val="0070C0"/>
          <w:sz w:val="16"/>
          <w:szCs w:val="16"/>
        </w:rPr>
        <w:softHyphen/>
        <w:t>тической части за расхлябанность в летной и технической службе эскадрильи арестовывались на 5 суток.</w:t>
      </w:r>
    </w:p>
    <w:p w14:paraId="41B47E0F"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вот взыскание за нечто другое: Командиру 5-й авиабригады Астахову</w:t>
      </w:r>
      <w:r w:rsidRPr="00142305">
        <w:rPr>
          <w:rFonts w:ascii="Times New Roman" w:hAnsi="Times New Roman"/>
          <w:color w:val="0070C0"/>
          <w:sz w:val="16"/>
          <w:szCs w:val="16"/>
          <w:vertAlign w:val="superscript"/>
        </w:rPr>
        <w:t xml:space="preserve"> </w:t>
      </w:r>
      <w:r w:rsidRPr="00142305">
        <w:rPr>
          <w:rFonts w:ascii="Times New Roman" w:hAnsi="Times New Roman"/>
          <w:color w:val="0070C0"/>
          <w:sz w:val="16"/>
          <w:szCs w:val="16"/>
        </w:rPr>
        <w:t>и военкому Козловскому за снижение темпов боевой подготовки из-за боязни происшествий и за плохую организацию обслуживания авиатехники объявлялся строгий выговор (РГВА. Ф. 4. Оп. 15а. Д. 330. Л. 30).</w:t>
      </w:r>
    </w:p>
    <w:p w14:paraId="4454E3A2"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тем, в том же приказе Наркома отмечалось, что необходимо воз</w:t>
      </w:r>
      <w:r w:rsidRPr="00142305">
        <w:rPr>
          <w:rFonts w:ascii="Times New Roman" w:hAnsi="Times New Roman"/>
          <w:color w:val="0070C0"/>
          <w:sz w:val="16"/>
          <w:szCs w:val="16"/>
        </w:rPr>
        <w:softHyphen/>
        <w:t>будить ходатайство перед ЦИК о награждении орденом Красной Звезды 51-ю авиаэскадрилью, успешно окончившую боевую подготовку за 1931 г. при налете 2 085 часов (из них 25% ночных) без единой аварии и столь же успешно продол</w:t>
      </w:r>
      <w:r w:rsidRPr="00142305">
        <w:rPr>
          <w:rFonts w:ascii="Times New Roman" w:hAnsi="Times New Roman"/>
          <w:color w:val="0070C0"/>
          <w:sz w:val="16"/>
          <w:szCs w:val="16"/>
        </w:rPr>
        <w:softHyphen/>
        <w:t>жающую боевую подготовку в 1932 г. без аварий. К. Е. Ворошилов приказывал отпустить в распоряжение командира 51-й эскадрильи денежные средства для поощрения личного состава</w:t>
      </w:r>
    </w:p>
    <w:p w14:paraId="07ADA40F"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Несмотря на приказ Наркома № 016 от 5 марта, летные происшествия в 1932 г. не только не прекратились, но продолжались с нарастающей силой по мере возрастания интенсивности полетов с установлением летной погоды. Об этом свидетельствуют новые приказы по аварийности (24068).</w:t>
      </w:r>
    </w:p>
    <w:p w14:paraId="2B7B7DA3" w14:textId="77777777" w:rsidR="002B2DA4" w:rsidRPr="002B2DA4" w:rsidRDefault="002B2DA4" w:rsidP="002B2DA4">
      <w:pPr>
        <w:pStyle w:val="aff2"/>
        <w:tabs>
          <w:tab w:val="left" w:pos="594"/>
        </w:tabs>
        <w:spacing w:line="240" w:lineRule="auto"/>
        <w:rPr>
          <w:rFonts w:ascii="Times New Roman" w:hAnsi="Times New Roman" w:cs="Times New Roman"/>
          <w:i w:val="0"/>
          <w:iCs w:val="0"/>
          <w:color w:val="0070C0"/>
          <w:sz w:val="16"/>
          <w:szCs w:val="16"/>
          <w:lang w:val="ru-RU"/>
        </w:rPr>
      </w:pPr>
    </w:p>
    <w:p w14:paraId="2D48E381"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5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267/58с о вырубке леса в полосе укрепрайонов (ГА РФ. Ф. Р?8418. Оп. 28. Д. 146. Л. 26?27) (12415).</w:t>
      </w:r>
    </w:p>
    <w:p w14:paraId="604CA7E0"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p>
    <w:p w14:paraId="313048F3" w14:textId="77777777" w:rsidR="002B2DA4" w:rsidRPr="00E93F40" w:rsidRDefault="002B2DA4" w:rsidP="002B2DA4">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46B6BBE" w14:textId="77777777" w:rsidR="002B2DA4" w:rsidRPr="00E93F40" w:rsidRDefault="002B2DA4" w:rsidP="002B2DA4">
      <w:pPr>
        <w:autoSpaceDE w:val="0"/>
        <w:autoSpaceDN w:val="0"/>
        <w:adjustRightInd w:val="0"/>
        <w:spacing w:after="0" w:line="240" w:lineRule="auto"/>
        <w:jc w:val="both"/>
        <w:rPr>
          <w:rFonts w:ascii="Times New Roman" w:hAnsi="Times New Roman"/>
          <w:iCs/>
          <w:color w:val="000000" w:themeColor="text1"/>
          <w:sz w:val="16"/>
          <w:szCs w:val="16"/>
        </w:rPr>
      </w:pPr>
    </w:p>
    <w:p w14:paraId="48112D37" w14:textId="77777777" w:rsidR="002B2DA4" w:rsidRPr="00E93F40" w:rsidRDefault="002B2DA4" w:rsidP="002B2DA4">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5 и 11 марта 1932. Из протокола заседания Политбюро № 90, 1932 г.</w:t>
      </w:r>
    </w:p>
    <w:p w14:paraId="560084F9" w14:textId="77777777" w:rsidR="002B2DA4" w:rsidRPr="00E93F40" w:rsidRDefault="002B2DA4" w:rsidP="002B2DA4">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нормах снабжения мясом </w:t>
      </w:r>
    </w:p>
    <w:p w14:paraId="6CFA372B" w14:textId="77777777" w:rsidR="002B2DA4" w:rsidRPr="00E93F40" w:rsidRDefault="002B2DA4" w:rsidP="002B2DA4">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Принять предложение тов. Микояна о сокращении выдачи мяса: </w:t>
      </w:r>
    </w:p>
    <w:p w14:paraId="56237058" w14:textId="77777777" w:rsidR="002B2DA4" w:rsidRPr="00E93F40" w:rsidRDefault="002B2DA4" w:rsidP="002B2DA4">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по особому списку с 22 дней до 15 дней, а для категории рабочих и служащих, которые регулярно снабжаются мясом через общественное питание,— до 10 дней; </w:t>
      </w:r>
    </w:p>
    <w:p w14:paraId="2899C666" w14:textId="77777777" w:rsidR="002B2DA4" w:rsidRPr="00E93F40" w:rsidRDefault="002B2DA4" w:rsidP="002B2DA4">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для предприятий первого списка нормы выдачи сократить с 2 кг в месяц до 1 кг тем рабочим, которые регулярно снабжаются мясом через общественное питание. </w:t>
      </w:r>
    </w:p>
    <w:p w14:paraId="2E5CF625" w14:textId="77777777" w:rsidR="002B2DA4" w:rsidRPr="00E93F40" w:rsidRDefault="002B2DA4" w:rsidP="002B2DA4">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Предложить НКСнабу компенсировать Москве, Ленинграду и Донбассу недодачу мяса сельдями из резерва (11652).</w:t>
      </w:r>
    </w:p>
    <w:p w14:paraId="3F5BC108" w14:textId="77777777" w:rsidR="002B2DA4" w:rsidRPr="00E93F40" w:rsidRDefault="002B2DA4" w:rsidP="002B2DA4">
      <w:pPr>
        <w:autoSpaceDE w:val="0"/>
        <w:autoSpaceDN w:val="0"/>
        <w:adjustRightInd w:val="0"/>
        <w:spacing w:after="0" w:line="240" w:lineRule="auto"/>
        <w:jc w:val="both"/>
        <w:rPr>
          <w:rFonts w:ascii="Times New Roman" w:hAnsi="Times New Roman"/>
          <w:color w:val="000000" w:themeColor="text1"/>
          <w:sz w:val="16"/>
          <w:szCs w:val="16"/>
        </w:rPr>
      </w:pPr>
    </w:p>
    <w:p w14:paraId="77D1184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B9E8A0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222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марта 1932 года Чарльз Кертис (Кабинет вице-президента, Вашингтон) писал письмо Лестеру П. Барлоу</w:t>
      </w:r>
    </w:p>
    <w:p w14:paraId="46512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Дорогой Барлоу</w:t>
      </w:r>
    </w:p>
    <w:p w14:paraId="327BF4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Настоящим подтверждаю получение от Вас экземпляра совместной резолюции для одновременного представления в Сенат и в Палату представителей.</w:t>
      </w:r>
    </w:p>
    <w:p w14:paraId="586D9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Один экземпляр я передам соответствующей сенатской комиссии для рассмотрения и другой передам представителю Палаты представителей Гарнету согласно Вашему пожеланию (3553,13).</w:t>
      </w:r>
    </w:p>
    <w:p w14:paraId="7FF16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8E08FB" w14:textId="77777777" w:rsidR="0065615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2FB7667" w14:textId="77777777" w:rsidR="0065615B" w:rsidRPr="00E93F40" w:rsidRDefault="0065615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FA1294" w14:textId="77777777" w:rsidR="0065615B" w:rsidRPr="00E93F40" w:rsidRDefault="0065615B"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6 марта</w:t>
      </w:r>
      <w:r w:rsidRPr="00E93F40">
        <w:rPr>
          <w:rFonts w:ascii="Times New Roman" w:hAnsi="Times New Roman"/>
          <w:color w:val="000000" w:themeColor="text1"/>
          <w:sz w:val="16"/>
          <w:szCs w:val="16"/>
        </w:rPr>
        <w:t xml:space="preserve"> в 1932 году опубликовано постановление коллегии Наркомата связи СССР (с 17 января 1932 г. НКПиТ был преобразован в Наркомат связи) «О развитии телевидения в СССР». Было решено выйти с ходатайством в СНК СССР об организации комитета по телевидению («Кино», 1932, 6 мая, страница 4) (15060).</w:t>
      </w:r>
    </w:p>
    <w:p w14:paraId="6BA78457" w14:textId="77777777" w:rsidR="0065615B" w:rsidRPr="00E93F40" w:rsidRDefault="0065615B" w:rsidP="00E93F40">
      <w:pPr>
        <w:spacing w:after="0" w:line="240" w:lineRule="auto"/>
        <w:jc w:val="both"/>
        <w:rPr>
          <w:rFonts w:ascii="Times New Roman" w:hAnsi="Times New Roman"/>
          <w:color w:val="000000" w:themeColor="text1"/>
          <w:sz w:val="16"/>
          <w:szCs w:val="16"/>
        </w:rPr>
      </w:pPr>
    </w:p>
    <w:p w14:paraId="148CEFE0" w14:textId="77777777" w:rsidR="0065615B"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DDB17FF" w14:textId="77777777" w:rsidR="0065615B" w:rsidRPr="00E93F40" w:rsidRDefault="0065615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34979B" w14:textId="77777777" w:rsidR="0065615B" w:rsidRPr="00E93F40" w:rsidRDefault="0065615B"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6 марта</w:t>
      </w:r>
      <w:r w:rsidRPr="00E93F40">
        <w:rPr>
          <w:rFonts w:ascii="Times New Roman" w:hAnsi="Times New Roman"/>
          <w:color w:val="000000" w:themeColor="text1"/>
          <w:sz w:val="16"/>
          <w:szCs w:val="16"/>
        </w:rPr>
        <w:t xml:space="preserve"> в 1932 году пилоты Эмиль Мюнш, Макс Деве и Карл Вернеиль совершили (по 5 апреля) на «Couzinet 33» (регистрационный номер «-ALMV) перелёт из Франция в Новую Каледонию преодолев 24 000 километров за 18 дней. При посадке в Нумеа самолёт разбился. Лёгкий транспортный </w:t>
      </w:r>
      <w:hyperlink r:id="rId62" w:tgtFrame="_blank" w:history="1">
        <w:r w:rsidRPr="00E93F40">
          <w:rPr>
            <w:rFonts w:ascii="Times New Roman" w:hAnsi="Times New Roman"/>
            <w:color w:val="000000" w:themeColor="text1"/>
            <w:sz w:val="16"/>
            <w:szCs w:val="16"/>
          </w:rPr>
          <w:t xml:space="preserve">«Couzinet 33» «Biarritz» </w:t>
        </w:r>
      </w:hyperlink>
      <w:r w:rsidRPr="00E93F40">
        <w:rPr>
          <w:rFonts w:ascii="Times New Roman" w:hAnsi="Times New Roman"/>
          <w:color w:val="000000" w:themeColor="text1"/>
          <w:sz w:val="16"/>
          <w:szCs w:val="16"/>
        </w:rPr>
        <w:t>одним из самых известных самолётов Рене Кузина. Это был небольшой четырехместный деревянный низкоплан с неубирающимися шасси и оснащенный тремя двигателями «de Havilland» «Gipsy III» мощностью 120 л.с (15060).</w:t>
      </w:r>
    </w:p>
    <w:p w14:paraId="51A90CD2" w14:textId="77777777" w:rsidR="0065615B" w:rsidRPr="00E93F40" w:rsidRDefault="0065615B" w:rsidP="00E93F40">
      <w:pPr>
        <w:spacing w:after="0" w:line="240" w:lineRule="auto"/>
        <w:jc w:val="both"/>
        <w:rPr>
          <w:rFonts w:ascii="Times New Roman" w:hAnsi="Times New Roman"/>
          <w:color w:val="000000" w:themeColor="text1"/>
          <w:sz w:val="16"/>
          <w:szCs w:val="16"/>
        </w:rPr>
      </w:pPr>
    </w:p>
    <w:p w14:paraId="2C42740C" w14:textId="75ADCD6E"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C экипажем из трех человек (пилот де Вернёй-Пьюразу [baron Charles de Verneuilh-Puyrazeau], штурман Макс Деве [Max Dévé] и механик Эмиль Мунш [Emile Munch]) самолет Couzinet 33 (F-ALMV) с 6 марта по 5 апреля совершил первый перелет по маршруту Франция - Новая Каледония. Они преодолели 24 000 километров за 18 дней. При посадке в Нумеа самолёт разбился. Лёгкий транспортный Couzinet 33 Biarritz одним из самых известных самолётов Рене Кузина. Это был небольшой четырехместный деревянный низкоплан с неубирающимися шасси и оснащенный тремя двигателями de Havilland Gipsy III мощностью 120 л.с. (22578).</w:t>
      </w:r>
    </w:p>
    <w:p w14:paraId="0C6ACB1A" w14:textId="77777777" w:rsidR="00957FC7" w:rsidRPr="00E93F40" w:rsidRDefault="00957FC7" w:rsidP="00E93F40">
      <w:pPr>
        <w:spacing w:after="0" w:line="240" w:lineRule="auto"/>
        <w:jc w:val="both"/>
        <w:rPr>
          <w:rFonts w:ascii="Times New Roman" w:hAnsi="Times New Roman"/>
          <w:color w:val="000000" w:themeColor="text1"/>
          <w:sz w:val="16"/>
          <w:szCs w:val="16"/>
        </w:rPr>
      </w:pPr>
    </w:p>
    <w:p w14:paraId="7D7506DB"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марта 1932 пассажирский самолет Couzinet 33 Biarritz отправляется из Франции, чтобы установить первое воздушное сообщение между Францией и Новой Каледонией (20803).</w:t>
      </w:r>
    </w:p>
    <w:p w14:paraId="0D94F32D" w14:textId="77777777" w:rsidR="00957FC7" w:rsidRPr="00E93F40" w:rsidRDefault="00957FC7" w:rsidP="00E93F40">
      <w:pPr>
        <w:spacing w:after="0" w:line="240" w:lineRule="auto"/>
        <w:jc w:val="both"/>
        <w:rPr>
          <w:rFonts w:ascii="Times New Roman" w:hAnsi="Times New Roman"/>
          <w:color w:val="000000" w:themeColor="text1"/>
          <w:sz w:val="16"/>
          <w:szCs w:val="16"/>
        </w:rPr>
      </w:pPr>
    </w:p>
    <w:p w14:paraId="5D5DA34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C4D2C6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ADA7A3" w14:textId="77777777" w:rsidR="0065615B" w:rsidRPr="00E93F40" w:rsidRDefault="0065615B" w:rsidP="00E93F40">
      <w:pPr>
        <w:pStyle w:val="a3"/>
        <w:rPr>
          <w:color w:val="000000" w:themeColor="text1"/>
          <w:lang w:val="ru-RU"/>
        </w:rPr>
      </w:pPr>
      <w:r w:rsidRPr="00E93F40">
        <w:rPr>
          <w:color w:val="000000" w:themeColor="text1"/>
          <w:lang w:val="ru-RU"/>
        </w:rPr>
        <w:t>В начале марта 1931 г., было решено переделать боеукладки в 12 танках Виккерс 12-тонный уже в Советском Союзе, отказавшись от услуг фирмы, учитывая неоднократные срывы сроков выполнения намечен</w:t>
      </w:r>
      <w:r w:rsidRPr="00E93F40">
        <w:rPr>
          <w:color w:val="000000" w:themeColor="text1"/>
          <w:lang w:val="ru-RU"/>
        </w:rPr>
        <w:softHyphen/>
        <w:t>ных работ и необходимость экономии валютных</w:t>
      </w:r>
      <w:r w:rsidRPr="00E93F40">
        <w:rPr>
          <w:rStyle w:val="7pt"/>
          <w:rFonts w:ascii="Times New Roman" w:cs="Times New Roman"/>
          <w:color w:val="000000" w:themeColor="text1"/>
          <w:sz w:val="16"/>
          <w:szCs w:val="16"/>
          <w:lang w:val="ru-RU"/>
        </w:rPr>
        <w:t xml:space="preserve"> средств.</w:t>
      </w:r>
      <w:r w:rsidRPr="00E93F40">
        <w:rPr>
          <w:color w:val="000000" w:themeColor="text1"/>
          <w:lang w:val="ru-RU"/>
        </w:rPr>
        <w:t xml:space="preserve"> Справедливо</w:t>
      </w:r>
      <w:r w:rsidRPr="00E93F40">
        <w:rPr>
          <w:color w:val="000000" w:themeColor="text1"/>
          <w:lang w:val="ru-RU"/>
        </w:rPr>
        <w:softHyphen/>
        <w:t>сти ради необходимо отметить, что часть вины за задержку выполнения договора лежала и на советской стороне. Так, англичане долгое время не могли добиться получения необходимых размеров для переделки ба</w:t>
      </w:r>
      <w:r w:rsidRPr="00E93F40">
        <w:rPr>
          <w:color w:val="000000" w:themeColor="text1"/>
          <w:lang w:val="ru-RU"/>
        </w:rPr>
        <w:softHyphen/>
        <w:t>шен и перекомпоновки боеукладок, что, впрочем, подтверждали и наши представители (15745).</w:t>
      </w:r>
    </w:p>
    <w:p w14:paraId="0C04FCD9" w14:textId="77777777" w:rsidR="0065615B" w:rsidRPr="00E93F40" w:rsidRDefault="0065615B" w:rsidP="00E93F40">
      <w:pPr>
        <w:pStyle w:val="a3"/>
        <w:rPr>
          <w:color w:val="000000" w:themeColor="text1"/>
          <w:lang w:val="ru-RU"/>
        </w:rPr>
      </w:pPr>
    </w:p>
    <w:p w14:paraId="3664C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марта 1932 года, докладывая о ходе выполнения программы, начальник ВМС В.М.Орлов сообщил наркому по военным и морским делам К.Е.Ворошилову, что в про­цессе разработки плазовой документации и рабочих чертежей эсминца-лидера в Опытовом судостроительном бассейне НТКМ было испытано 45 моделей корпуса кораб­ля. При этом выяснилось, что без значитель­ного увеличения мощности главной энерге­тической установки и, соответственно, во­доизмещения эсминца, добиться скорости 40,5 уз невозможно. Разработанные про­ект и рабочие чертежи дают возможность обеспечить кораблю лишь 40 уз. К тому вре­мени уже были выпущены рабочие чертежи по механической части — до 90% общего их количества, по корабельной части — до 60% и по системам — до 50%. В заключение своего доклада начальник ВМС просил наркомвоенмора разрешить строить эсмин­цы-лидеры типа «Москва» (как они тогда именовались в документах) со скоростью 40 уз. Рассмотрев представленный доклад, К.Е.Ворошилов наложил свою резолюцию: «Разрешается строить эсминцы со скорос­тью 40 уз, но сообщите об этом РВСС». Жесткое условие по обеспечению высо­кой скорости будущих лидеров вызывало необходимость в глубоком и тщательном исследовании новых обводов. К заверше­нию работ в Опытовом бассейне над но­вым кораблем всего было исследовано бо­лее 100 моделей, среди них такие, как мо­дель активных успокоителей качки и модель винто-рулевого комплекса. В результате этих работ корпус корабля стал существенно отличаться от лучших в свое время «нови­ков» остротой и плавностью обводов, его прямой форштевень имел наклон 15 граду­сов к вертикали. Отношение длины к ширине (10,9) превышало значение, принятое для «новиков». При осадке по конструктивную ватерлинию (КВЛ) 3,5 м, высота надводно­го борта в носу составляла 4,9 м, у миделя и в корме — 2,9 м, что, по взглядам того времени, обеспечивало достаточную море­ходность для акваторий Балтийского и Чер­ного морей. Отличительной особенностью проекта являлись острые образования кор­мы для обеспечения высокой скорости. Как подтвердили испытания, это решение, как и выбор обводов корпуса в целом, оказалось удачным. В ходе проектирования выяснилось, что при установленных требованиях по скорос­ти и дальности хода не удается уложиться в заданное водоизмещение. В результате не­скольких корректировок проекта полное во­доизмещение корабля было принято 2650т (стандартное — 2021 т). Остойчивость (начальная метацентрическая высота 1,22 м) считалась достаточ­ной. Непотопляемость корабля должна была обеспечиваться при затоплении любых двух смежных отсеков. Проектом предусматривались опти­мальные главные размерения (длина, шири­на, осадка) и теоретические обводы корпу­са, передовая по тому времени технология постройки, надежные и эффективные новые ГТЗА, главные котлы и вспомогательные ме­ханизмы, совершенное артиллерийское и торпедное вооружение (11866).</w:t>
      </w:r>
    </w:p>
    <w:p w14:paraId="52788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D8031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0FAB34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FB12D6D"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марта 1932 г.</w:t>
      </w:r>
    </w:p>
    <w:p w14:paraId="2B28A19D"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записи беседы делегации советских военных специалистов с министром аэронавтики Италии о достижениях итальянской авиации и закупке самолетов и моторов</w:t>
      </w:r>
    </w:p>
    <w:p w14:paraId="50CCD6E8"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марта 1932 г.</w:t>
      </w:r>
    </w:p>
    <w:p w14:paraId="5D5D5813"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 секретно</w:t>
      </w:r>
    </w:p>
    <w:p w14:paraId="6108A9EA"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время беседы присутствовали со стороны итальянцев - Бальбо и начальник “Ufficcio Stranieri” майор Бодуэн, с нашей -тт. Пятаков, Ефимов, Мартинович, Янсон и Трудолюбов.</w:t>
      </w:r>
    </w:p>
    <w:p w14:paraId="246B6E1F"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 Пятаков в кратких словах установил связь посещения с общими переговорами с итальянским] правительством] и изложил цель визита, прося выслушать тов. Ефимова, который более подробно изложит предполагаемую нами программу ознакомления и работ в области изучения итальянской авиации.</w:t>
      </w:r>
    </w:p>
    <w:p w14:paraId="486C5542"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 Ефимов, благодаря министра за внимание, которое он всегда оказывал представителям нашего воздушного флота, отмечает достижения итальянской авиации, в которых персональная роль Бальбо имела большое значение, что ряд наших специалистов и летчиков имели возможность в свое время достаточно ознакомиться с этими достижениями, результатом чего явились крупные заказы на самолеты S.62bis и моторы Изотта Фраскини. Далее т. Ефимов изложил основные моменты предполагаемой работы нашей авиационной группы...</w:t>
      </w:r>
    </w:p>
    <w:p w14:paraId="7F0F8F14"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Что мы хотим заказать серию самолетов S.55 с моторами.</w:t>
      </w:r>
    </w:p>
    <w:p w14:paraId="12F0E4C2"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Объем заказа будет зависеть от стоимости и сроков поставки. Мы просим, чтобы нашим инженерам дали возможность детально ознакомиться с производством самолетостроительных и авиамоторных заводов.</w:t>
      </w:r>
    </w:p>
    <w:p w14:paraId="3E84AEEF"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Мы плохо знакомы с состоянием вооружения итальянского воздушного флота. Поэтому просим дать возможность этот вопрос детально изучить...</w:t>
      </w:r>
    </w:p>
    <w:p w14:paraId="0337D31B"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Далее, мы хотели бы изучить и купить, если у Вас имеется, мощный авиамотор порядка 2000 лошадиных сил.</w:t>
      </w:r>
    </w:p>
    <w:p w14:paraId="0FAA62D7"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Кроме того, мы хотим подробно ознакомиться с организацией и работами Вашего научно-исследовательского центра (Монтечеллио и Рим), а также с некоторыми строевыми частями, организацией аэропортов и школами.</w:t>
      </w:r>
    </w:p>
    <w:p w14:paraId="169E9625"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Ответы Бальбо</w:t>
      </w:r>
    </w:p>
    <w:p w14:paraId="5CF2D139"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Бальбо прежде всего заявил, что он охотно даст нам возможность ознакомиться с итальянским воздушным флотом и его достижениями в большей мере, чем это было до сих пор. В отношении отдельных вопросов, поставленных т. Ефимовым, Бальбо ответил:</w:t>
      </w:r>
    </w:p>
    <w:p w14:paraId="6A5151FE"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поводу заказа на S.55 и ознакомления с заводами.</w:t>
      </w:r>
    </w:p>
    <w:p w14:paraId="4CC378C1"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Возражений нет.</w:t>
      </w:r>
    </w:p>
    <w:p w14:paraId="01FC6B25"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поводу ознакомления с авиационным вооружением.</w:t>
      </w:r>
    </w:p>
    <w:p w14:paraId="4BA7148D"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Возражений нет.</w:t>
      </w:r>
    </w:p>
    <w:p w14:paraId="63CC4236"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 поводу мотора в 2000 лошадиных сил.</w:t>
      </w:r>
    </w:p>
    <w:p w14:paraId="2E14EC0F"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Бальбо этот вопрос сначала записал, заявив, что со стороны его никаких препятствий нет, но это зависит в большей мере от согласия соответствующих фирм.</w:t>
      </w:r>
    </w:p>
    <w:p w14:paraId="73B0B823"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 поводу посещения и ознакомления с Научно-исследовательским центром, частями, аэропортами, оборудованием, средствами связи и т.д.</w:t>
      </w:r>
    </w:p>
    <w:p w14:paraId="5D951BDC"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Возражений нет.</w:t>
      </w:r>
    </w:p>
    <w:p w14:paraId="3C5ABE95"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этом беседа была закончена. В заключение Бальбо заявил, что он охотно показывал раньше и покажет теперь все своим друзьям из Советского Союза.</w:t>
      </w:r>
    </w:p>
    <w:p w14:paraId="004E370B"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отметить, что Бальбо очень приветливо встретил т. Янсона и интересовался и расспрашивал о тт. Баранове, Алкснисе, Самойловиче, Зарзаре и др., заявив, что у него очень много друзей в советской авиации.</w:t>
      </w:r>
    </w:p>
    <w:p w14:paraId="53A25D76"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Дальнейший порядок работ установлен в следующем виде: военный атташе Трудолюбов и майор Бодуэн разрабатывают подробную программу работ и осмотров.</w:t>
      </w:r>
    </w:p>
    <w:p w14:paraId="16E8681D"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Беседа продолжалась 50 минут.</w:t>
      </w:r>
    </w:p>
    <w:p w14:paraId="6CEEE624"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Записал</w:t>
      </w:r>
    </w:p>
    <w:p w14:paraId="23FFE978"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Трудолюбов</w:t>
      </w:r>
    </w:p>
    <w:p w14:paraId="2BAC53C5"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 3. On. 65. Д. 243. Л. 52-54. Копия (20615).</w:t>
      </w:r>
    </w:p>
    <w:p w14:paraId="0D1688BB" w14:textId="77777777" w:rsidR="00957FC7" w:rsidRPr="00E93F40" w:rsidRDefault="00957FC7" w:rsidP="00E93F40">
      <w:pPr>
        <w:spacing w:after="0" w:line="240" w:lineRule="auto"/>
        <w:jc w:val="both"/>
        <w:rPr>
          <w:rFonts w:ascii="Times New Roman" w:hAnsi="Times New Roman"/>
          <w:color w:val="000000" w:themeColor="text1"/>
          <w:sz w:val="16"/>
          <w:szCs w:val="16"/>
        </w:rPr>
      </w:pPr>
    </w:p>
    <w:p w14:paraId="49220985" w14:textId="77777777" w:rsidR="003A54E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9D42210" w14:textId="77777777" w:rsidR="003A54ED" w:rsidRPr="00E93F40" w:rsidRDefault="003A54E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2B9C20"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7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273/60сс о мобподготовке железнодорожного транспорта на 1932 г. (ГА РФ. Ф. Р?8418. Оп. 28. Д. 146. Л. 29?49) (12415).</w:t>
      </w:r>
    </w:p>
    <w:p w14:paraId="16114913" w14:textId="77777777" w:rsidR="003A54ED" w:rsidRPr="00E93F40" w:rsidRDefault="003A54ED" w:rsidP="00E93F40">
      <w:pPr>
        <w:spacing w:after="0" w:line="240" w:lineRule="auto"/>
        <w:jc w:val="both"/>
        <w:rPr>
          <w:rFonts w:ascii="Times New Roman" w:hAnsi="Times New Roman"/>
          <w:color w:val="000000" w:themeColor="text1"/>
          <w:sz w:val="16"/>
          <w:szCs w:val="16"/>
          <w:u w:color="002060"/>
        </w:rPr>
      </w:pPr>
    </w:p>
    <w:p w14:paraId="302D226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E8D0A8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DAB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марта 1932 по сообщению городской печати, в Ленинграде утверждён проект устройства спаренных телефонов, составленный инженером Вайнштейном (10739).</w:t>
      </w:r>
    </w:p>
    <w:p w14:paraId="484078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C359E1" w14:textId="77777777" w:rsidR="00957FC7" w:rsidRPr="00E93F40" w:rsidRDefault="00957FC7"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15BD6B2" w14:textId="77777777" w:rsidR="00957FC7" w:rsidRPr="00E93F40" w:rsidRDefault="00957FC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2EDF9F" w14:textId="7777777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марта 1932 состоялся первый полет Junkers Ju 52 / 3m (20803).</w:t>
      </w:r>
    </w:p>
    <w:p w14:paraId="56459B52" w14:textId="77777777" w:rsidR="00957FC7" w:rsidRPr="00E93F40" w:rsidRDefault="00957FC7" w:rsidP="00E93F40">
      <w:pPr>
        <w:spacing w:after="0" w:line="240" w:lineRule="auto"/>
        <w:jc w:val="both"/>
        <w:rPr>
          <w:rFonts w:ascii="Times New Roman" w:hAnsi="Times New Roman"/>
          <w:color w:val="000000" w:themeColor="text1"/>
          <w:sz w:val="16"/>
          <w:szCs w:val="16"/>
        </w:rPr>
      </w:pPr>
    </w:p>
    <w:p w14:paraId="47647A58" w14:textId="7CA16DC7" w:rsidR="00957FC7" w:rsidRPr="00E93F40" w:rsidRDefault="00957F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полет Junkers Ju.52/3m. Первый самолет был с двигателями Пратт-Уитни «Хорнет» мощностью 600 л.с. с двухлопастными деревянными винтами. Серийные машины оснащались двигателями BMW-132 (22577).</w:t>
      </w:r>
    </w:p>
    <w:p w14:paraId="74B66ED6" w14:textId="77777777" w:rsidR="00957FC7" w:rsidRPr="00E93F40" w:rsidRDefault="00957FC7" w:rsidP="00E93F40">
      <w:pPr>
        <w:spacing w:after="0" w:line="240" w:lineRule="auto"/>
        <w:jc w:val="both"/>
        <w:rPr>
          <w:rFonts w:ascii="Times New Roman" w:hAnsi="Times New Roman"/>
          <w:color w:val="000000" w:themeColor="text1"/>
          <w:sz w:val="16"/>
          <w:szCs w:val="16"/>
        </w:rPr>
      </w:pPr>
    </w:p>
    <w:p w14:paraId="0F675715"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марта 1932 г. первый из трехмоторных Ju-52/3m de (Werk. Nr. 4008) впервые поднялся в воздух. Оба самолета в короткий срок прошли испытания. Уже летом 1932 г. аэропланы отправили заказчику — боливийской авиакомпании Lloyd Aero Boliviano (LAB). Коммерческая эксплуатация самолетов Ju-52/3m de началась в октябре 1932 г. (24200).</w:t>
      </w:r>
    </w:p>
    <w:p w14:paraId="0A84892A"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6C5C7EA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3739B9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9E5FCF7" w14:textId="77777777" w:rsidR="00957FC7" w:rsidRPr="00E93F40" w:rsidRDefault="00957FC7"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11 и 15 февраля и 7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 (3002).</w:t>
      </w:r>
    </w:p>
    <w:p w14:paraId="37268B83" w14:textId="77777777" w:rsidR="00957FC7" w:rsidRPr="00E93F40" w:rsidRDefault="00957FC7" w:rsidP="00E93F40">
      <w:pPr>
        <w:autoSpaceDE w:val="0"/>
        <w:autoSpaceDN w:val="0"/>
        <w:adjustRightInd w:val="0"/>
        <w:spacing w:after="0" w:line="240" w:lineRule="auto"/>
        <w:jc w:val="both"/>
        <w:rPr>
          <w:rFonts w:ascii="Times New Roman" w:hAnsi="Times New Roman"/>
          <w:color w:val="000000" w:themeColor="text1"/>
          <w:sz w:val="16"/>
          <w:szCs w:val="16"/>
        </w:rPr>
      </w:pPr>
    </w:p>
    <w:p w14:paraId="7523ED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марта 1932 года зам. начальника ВВС Меженинов писал письмо № 021 начальнику Артиллерийского управления Симонову</w:t>
      </w:r>
    </w:p>
    <w:p w14:paraId="7E68BE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марта 1932 года в кабинете Алксниса созывается совещание по реактивным снарядам.</w:t>
      </w:r>
    </w:p>
    <w:p w14:paraId="136BB8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Вас прибыть на означенное совещание и выделить представителей по Вашему усмотрению (7428, 19).</w:t>
      </w:r>
    </w:p>
    <w:p w14:paraId="268F09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6222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марта 1932 года пом. Начальника 1 сектора 1 управления УВВС Бессонов писал письмо N 11/0050сс начальнику учебно-строевого управления ВМС, начальнику НИИ УВВС.</w:t>
      </w:r>
    </w:p>
    <w:p w14:paraId="47C90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N 175436/14сс.</w:t>
      </w:r>
    </w:p>
    <w:p w14:paraId="053F6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УВВС считает возможным представление на вооружение:</w:t>
      </w:r>
    </w:p>
    <w:p w14:paraId="6C2BA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Торпеды обр. 1915 года для высокого торпедометания и</w:t>
      </w:r>
    </w:p>
    <w:p w14:paraId="60F25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Мины для самолетов ВОМИЗА-100</w:t>
      </w:r>
    </w:p>
    <w:p w14:paraId="4CF7C6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условии продолжения работ по устранению всех дефектов отмеченных в актах комиссий, производивших испытания и в протоколе совещания минсекции НТК УВМС от 9 января 1932 года (3786,16).</w:t>
      </w:r>
    </w:p>
    <w:p w14:paraId="58754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7750CB" w14:textId="77777777" w:rsidR="00B37DB4"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763422E" w14:textId="77777777" w:rsidR="00B37DB4" w:rsidRPr="00E93F40" w:rsidRDefault="00B37DB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EEAEA9" w14:textId="77777777" w:rsidR="00B37DB4" w:rsidRPr="00E93F40" w:rsidRDefault="00B37DB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8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91. 14. О металлургической базе в Восточной Сибири (ПБ от 23 февраля 1932 г., пр. № 89, п. 9) (Сталин, Орджоникидзе). 19. Об отпуске автомашин Наркомвоенмору (Рудзутак). 32. О развертывании морского судостроения в 1932?1934 гг. (ПБ от 1 ноября 1931 г., пр. № 72, п. 10). (Политбюро... Т. 2. С. 280) (12416).</w:t>
      </w:r>
    </w:p>
    <w:p w14:paraId="50AF5BF7" w14:textId="77777777" w:rsidR="00B37DB4" w:rsidRPr="00E93F40" w:rsidRDefault="00B37DB4" w:rsidP="00E93F40">
      <w:pPr>
        <w:spacing w:after="0" w:line="240" w:lineRule="auto"/>
        <w:jc w:val="both"/>
        <w:rPr>
          <w:rFonts w:ascii="Times New Roman" w:hAnsi="Times New Roman"/>
          <w:color w:val="000000" w:themeColor="text1"/>
          <w:sz w:val="16"/>
          <w:szCs w:val="16"/>
          <w:u w:color="002060"/>
        </w:rPr>
      </w:pPr>
    </w:p>
    <w:p w14:paraId="7267F303" w14:textId="77777777" w:rsidR="0065615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8E2A397" w14:textId="77777777" w:rsidR="0065615B" w:rsidRPr="00E93F40" w:rsidRDefault="0065615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AAA81A" w14:textId="77777777" w:rsidR="0065615B" w:rsidRPr="00E93F40" w:rsidRDefault="0065615B"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8 марта</w:t>
      </w:r>
      <w:r w:rsidRPr="00E93F40">
        <w:rPr>
          <w:rFonts w:ascii="Times New Roman" w:hAnsi="Times New Roman"/>
          <w:color w:val="000000" w:themeColor="text1"/>
          <w:sz w:val="16"/>
          <w:szCs w:val="16"/>
        </w:rPr>
        <w:t xml:space="preserve"> в 1932 году в Ленинграде взорван храм Христа Спасителя, располагавшийся на набережной Невы у Новоадмиралтейского канала, более известный широкой публике как "Спас на Водах". Храм был воздвигнут в память моряков, погибших в русско-японской войне 1904-1905 гг., и построил его в 1910-1911 годах замечательный архитектор Мариан Марианович Перетяткович. Стоял этот белоснежный храм (построенный в стиле старинных церквей Владимиро-Суздальского княжества) в конце Английской набережной, там где Ново-Адмиралтейский канал впадает в Неву (15062).</w:t>
      </w:r>
    </w:p>
    <w:p w14:paraId="32FFDBE4" w14:textId="77777777" w:rsidR="0065615B" w:rsidRPr="00E93F40" w:rsidRDefault="0065615B" w:rsidP="00E93F40">
      <w:pPr>
        <w:spacing w:after="0" w:line="240" w:lineRule="auto"/>
        <w:jc w:val="both"/>
        <w:rPr>
          <w:rFonts w:ascii="Times New Roman" w:hAnsi="Times New Roman"/>
          <w:color w:val="000000" w:themeColor="text1"/>
          <w:sz w:val="16"/>
          <w:szCs w:val="16"/>
        </w:rPr>
      </w:pPr>
    </w:p>
    <w:p w14:paraId="1CA389A1" w14:textId="77777777" w:rsidR="0065615B" w:rsidRPr="00E93F40" w:rsidRDefault="0065615B"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8 марта</w:t>
      </w:r>
      <w:r w:rsidRPr="00E93F40">
        <w:rPr>
          <w:rFonts w:ascii="Times New Roman" w:hAnsi="Times New Roman"/>
          <w:color w:val="000000" w:themeColor="text1"/>
          <w:sz w:val="16"/>
          <w:szCs w:val="16"/>
        </w:rPr>
        <w:t xml:space="preserve"> в 1932 году в Ленинграде закрыт Введенский собор на Загородном проспекте у Витебского (Царскосельского) вокзала. На следующий день при осмотре храма был обнаружен тайник с серебром и 46 знамёнами, принадлежавшими до революции лейб-гвардии Семёновскому полку. В 1933 году храм снесён (15062).</w:t>
      </w:r>
    </w:p>
    <w:p w14:paraId="48E3AA1F" w14:textId="77777777" w:rsidR="0065615B" w:rsidRPr="00E93F40" w:rsidRDefault="0065615B" w:rsidP="00E93F40">
      <w:pPr>
        <w:spacing w:after="0" w:line="240" w:lineRule="auto"/>
        <w:jc w:val="both"/>
        <w:rPr>
          <w:rFonts w:ascii="Times New Roman" w:hAnsi="Times New Roman"/>
          <w:color w:val="000000" w:themeColor="text1"/>
          <w:sz w:val="16"/>
          <w:szCs w:val="16"/>
        </w:rPr>
      </w:pPr>
    </w:p>
    <w:p w14:paraId="61024FC9" w14:textId="77777777" w:rsidR="0065615B"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0BBBAC5" w14:textId="77777777" w:rsidR="0065615B" w:rsidRPr="00E93F40" w:rsidRDefault="0065615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F8EEDC" w14:textId="77777777" w:rsidR="0065615B" w:rsidRPr="00E93F40" w:rsidRDefault="0065615B"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8 марта</w:t>
      </w:r>
      <w:r w:rsidRPr="00E93F40">
        <w:rPr>
          <w:rFonts w:ascii="Times New Roman" w:hAnsi="Times New Roman"/>
          <w:color w:val="000000" w:themeColor="text1"/>
          <w:sz w:val="16"/>
          <w:szCs w:val="16"/>
        </w:rPr>
        <w:t xml:space="preserve"> в 1932 году первый полёт бомбардировщика-торпедоносца </w:t>
      </w:r>
      <w:hyperlink r:id="rId63" w:tgtFrame="_blank" w:history="1">
        <w:r w:rsidRPr="00E93F40">
          <w:rPr>
            <w:rFonts w:ascii="Times New Roman" w:hAnsi="Times New Roman"/>
            <w:color w:val="000000" w:themeColor="text1"/>
            <w:sz w:val="16"/>
            <w:szCs w:val="16"/>
          </w:rPr>
          <w:t xml:space="preserve">«В-3» </w:t>
        </w:r>
      </w:hyperlink>
      <w:r w:rsidRPr="00E93F40">
        <w:rPr>
          <w:rFonts w:ascii="Times New Roman" w:hAnsi="Times New Roman"/>
          <w:color w:val="000000" w:themeColor="text1"/>
          <w:sz w:val="16"/>
          <w:szCs w:val="16"/>
        </w:rPr>
        <w:t xml:space="preserve">(разработчик: «Blackburn», Великобритания). Это был двухместный одностоечный биплан со складывающимися крыльями, оборудованный двенадцатицилиндровым двигателем «Rolls-Royc»e «Buzzard IIIMS» мощностью 825 л.с. Вооружение самолёта состояло из переднего синхронизированного 7.7-мм пулемёта «Vickers» и 7.7-мм пулемёта Lewis установленного в задней кабине. Уже после первых полётов стало </w:t>
      </w:r>
      <w:r w:rsidRPr="00E93F40">
        <w:rPr>
          <w:rFonts w:ascii="Times New Roman" w:hAnsi="Times New Roman"/>
          <w:color w:val="000000" w:themeColor="text1"/>
          <w:sz w:val="16"/>
          <w:szCs w:val="16"/>
        </w:rPr>
        <w:lastRenderedPageBreak/>
        <w:t>ясно, что конструкция требует доработки. Было запланировано на январь 1933 года передачу доработанного самолёта для испытаний в центре «Martlesham Heath», однако планам не суждено выло воплотиться в жизнь - 30 июня самолёт разбился (15062).</w:t>
      </w:r>
    </w:p>
    <w:p w14:paraId="64F038D9" w14:textId="77777777" w:rsidR="0065615B" w:rsidRPr="00E93F40" w:rsidRDefault="0065615B" w:rsidP="00E93F40">
      <w:pPr>
        <w:spacing w:after="0" w:line="240" w:lineRule="auto"/>
        <w:jc w:val="both"/>
        <w:rPr>
          <w:rFonts w:ascii="Times New Roman" w:hAnsi="Times New Roman"/>
          <w:color w:val="000000" w:themeColor="text1"/>
          <w:sz w:val="16"/>
          <w:szCs w:val="16"/>
        </w:rPr>
      </w:pPr>
    </w:p>
    <w:p w14:paraId="535F93FB" w14:textId="31A70693"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марта 1932 года — первый полёт бомбардировщика-торпедоносца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Blackburn B-3. /Великобритания/</w:t>
      </w:r>
    </w:p>
    <w:p w14:paraId="14BCD6D5" w14:textId="1D917743"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1930 года британское авиационное министерство выпустило спецификацию M.1/30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палубный бомбардировщик-торпедоносец для замены Blackburn Ripon. Кроме компаний Handley Page и Vickers, свой проект B-3 на конкурс представила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Blackburn Aircraft.</w:t>
      </w:r>
    </w:p>
    <w:p w14:paraId="2B8A6A45" w14:textId="29DFDB5F"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B-3 был двухместным бипланом с неубирающимся шасси. Оснащался двигателем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Rolls-Royce Buzzard IIIMS</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мощностью 825 л.с. Максимальная скорость — 229 км/ч, дальность полёта — 1207 км. Вооружение — 2 × 7,7-мм пулемёта. Мог нести либо 1 × 860-кг торпеду, либо 4 × 250-кг бомбы.</w:t>
      </w:r>
    </w:p>
    <w:p w14:paraId="781B9814" w14:textId="7F5D30C4"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показали неудовлетворительные характеристики самолёта. Но доработать его не успели — первый прототип разбился 30 июня 1932 года. Был построен второй B-3 (в отличие от первого — с металлической обшивкой, а не полотняной). Но и он не прошёл испытаний. В итоге самолёт разобрали на запчасти, часть из которых позже использовали при постройке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Blackburn B-6 Shark (22300).</w:t>
      </w:r>
    </w:p>
    <w:p w14:paraId="55A62E40" w14:textId="77777777" w:rsidR="006D4AF4" w:rsidRPr="00E93F40" w:rsidRDefault="006D4AF4" w:rsidP="00E93F40">
      <w:pPr>
        <w:spacing w:after="0" w:line="240" w:lineRule="auto"/>
        <w:jc w:val="both"/>
        <w:rPr>
          <w:rFonts w:ascii="Times New Roman" w:hAnsi="Times New Roman"/>
          <w:color w:val="000000" w:themeColor="text1"/>
          <w:sz w:val="16"/>
          <w:szCs w:val="16"/>
        </w:rPr>
      </w:pPr>
    </w:p>
    <w:p w14:paraId="6EC1CF3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C388BB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55A2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марта 1932 было провозглашено государство Манчжоу-Го (2443,406).</w:t>
      </w:r>
    </w:p>
    <w:p w14:paraId="303CA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1A6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марта 1932 года Дж. Дж. Максвейн (Палата представителей, Комиссия по военным делам, Вашингтон) писал письмо Лестеру П. Барлоу (4 Сауд стрит, Стамфорд, Кон.)</w:t>
      </w:r>
    </w:p>
    <w:p w14:paraId="475EB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Уважаемый Барлоу,</w:t>
      </w:r>
    </w:p>
    <w:p w14:paraId="185D8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Гарнер передал мне Ваше письмо от 2 марта адресованное ему. Я считаю неудобным для себя в настоящее время внести эту совместную резолюцию, но если м-р Тилсон или кто-нибудь другой из ваших коннектикутских членов Палаты ее внесут, я буду очень рад всячески содействовать ее быстрому рассмотрению комиссией (3553,15).</w:t>
      </w:r>
    </w:p>
    <w:p w14:paraId="56155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FBB49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54BFC7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226DAC" w14:textId="77777777"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10 марта 1932 г. были завершены доработки И-12 (АНТ-23).</w:t>
      </w:r>
    </w:p>
    <w:p w14:paraId="41D62B03" w14:textId="77777777"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12.03.32 г. произведен отстрел доработанных пушек на земле.</w:t>
      </w:r>
    </w:p>
    <w:p w14:paraId="503CEF86" w14:textId="77777777"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13.02.32 г. произведен облет самолета с доработанными оперением и пушками (без стрельбы).</w:t>
      </w:r>
    </w:p>
    <w:p w14:paraId="4CBDD4ED" w14:textId="77777777"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21.03.32 г. И.Ф. Козлов впервые выполнил стрельбу в воздухе. В каждой пушке было по 2 снаряда: один в стволе, второй – в магазине. После первого выстрела из левой пушки на высоте 1000 м произошел взрыв. Самолет и пушка были повреждены.</w:t>
      </w:r>
    </w:p>
    <w:p w14:paraId="299E5B7F" w14:textId="77777777"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 же время автоматика пушки сработала и второй снаряд в ствол подала. Второй выстрел произведен не был.</w:t>
      </w:r>
    </w:p>
    <w:p w14:paraId="3B28D0FB" w14:textId="77777777"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Козлов смог посадить самолет на ЦА Москвы, при посадке левая хвостовая балка переломилась, но больше значительных повреждений не было. И.Ф. Козлов не пострадал и был награжден ордером Красной Звезды (получил его одним из первых – за № 27).</w:t>
      </w:r>
    </w:p>
    <w:p w14:paraId="27E60FB7" w14:textId="1028F32A"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В ходе ремонта были усилены подкосы ГО.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Ремонт завершился не позже первой декады мая 1932 г., но на 11.05.32 г. самолет облетан еще не был (23136).</w:t>
      </w:r>
    </w:p>
    <w:p w14:paraId="3FF5B3DA" w14:textId="77777777" w:rsidR="006D4AF4" w:rsidRPr="00E93F40" w:rsidRDefault="006D4AF4" w:rsidP="00E93F40">
      <w:pPr>
        <w:spacing w:after="0" w:line="240" w:lineRule="auto"/>
        <w:jc w:val="both"/>
        <w:rPr>
          <w:rFonts w:ascii="Times New Roman" w:hAnsi="Times New Roman"/>
          <w:color w:val="000000" w:themeColor="text1"/>
          <w:sz w:val="16"/>
          <w:szCs w:val="16"/>
        </w:rPr>
      </w:pPr>
    </w:p>
    <w:p w14:paraId="7F2050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марта 1932 г. вышло Постановление СТО за N 204/79сс О строительстве оперативных аэродромов (3082). Выполнено не было (3082).</w:t>
      </w:r>
    </w:p>
    <w:p w14:paraId="15D007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B4E585" w14:textId="77777777" w:rsidR="00B37DB4" w:rsidRPr="00E93F40" w:rsidRDefault="00B37DB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10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204/79сс о строительстве оперативных аэродромов ВВС РККА в 1932 г. (ГА РФ. Ф. Р?8418. Оп. 28. Д. 1а. Л. 171) (12415).</w:t>
      </w:r>
    </w:p>
    <w:p w14:paraId="7ED60344" w14:textId="77777777" w:rsidR="00B37DB4" w:rsidRPr="00E93F40" w:rsidRDefault="00B37DB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 205/80сс о строительстве постоянных аэродромов ВВС РККА в 1932 г. (ГА РФ. Ф. Р?8418. Оп. 28. Д. 1а. Л. 172?173) (12415).</w:t>
      </w:r>
    </w:p>
    <w:p w14:paraId="734853BE" w14:textId="77777777" w:rsidR="00B37DB4" w:rsidRPr="00E93F40" w:rsidRDefault="00B37DB4" w:rsidP="00E93F40">
      <w:pPr>
        <w:spacing w:after="0" w:line="240" w:lineRule="auto"/>
        <w:jc w:val="both"/>
        <w:rPr>
          <w:rFonts w:ascii="Times New Roman" w:hAnsi="Times New Roman"/>
          <w:color w:val="000000" w:themeColor="text1"/>
          <w:sz w:val="16"/>
          <w:szCs w:val="16"/>
          <w:u w:color="002060"/>
        </w:rPr>
      </w:pPr>
    </w:p>
    <w:p w14:paraId="2A83A9C0" w14:textId="77777777" w:rsidR="006D4AF4" w:rsidRPr="00E93F40" w:rsidRDefault="006D4AF4"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10 марта 1932 вышли постановления РЗ СТО или КО № 204/79сс и № 205/80сс (№ 387/ко от 11.3.1932 г.) О строительстве оперативных аэродромов ВВС РККА в 1932 г.и О строительстве постоянных аэродромов ВВС РККА в 1932 г. (21564).</w:t>
      </w:r>
    </w:p>
    <w:p w14:paraId="1813F5FB" w14:textId="77777777" w:rsidR="006D4AF4" w:rsidRPr="00E93F40" w:rsidRDefault="006D4AF4" w:rsidP="00E93F40">
      <w:pPr>
        <w:spacing w:after="0" w:line="240" w:lineRule="auto"/>
        <w:jc w:val="both"/>
        <w:rPr>
          <w:rFonts w:ascii="Times New Roman" w:hAnsi="Times New Roman"/>
          <w:color w:val="000000" w:themeColor="text1"/>
          <w:sz w:val="16"/>
          <w:szCs w:val="16"/>
        </w:rPr>
      </w:pPr>
    </w:p>
    <w:p w14:paraId="38C18C9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43B84B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5EA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марта 1932 года первая опытная передача "изображения на расстояние" была проведена из радиостудии на Пермской улице. Регулярные, но непродолжительные, передачи начались с 1938 года из телецентра, разместившегося в бывшей даче В.Ф. Громова. Единственная камера телестудии стояла на неподвижном штативе и имела один объектив. Чтобы на экране получился крупный план, выступавший должен был подойти поближе к камере. Устройство его было весьма несовершенным; из-за отсутствия вентиляции температура в съёмочном павильоне поднималась подчас до 40 градусов, и актёры прятали под свои шляпы и парики пузыри со льдом. Музыкальное сопровождение осуществлялось при помощи патефона. Вот в таких условиях работали первые телевизионщики... Впрочем, телевизоры были еще очень дорогими и первые 38 телевизионных приемников располагались в домах культуры. Вещание велось по часу в день, так что художественные фильмы показывали по частям: начало сегодня, конец - на следующий день. Увеличение продолжительности передач произошло уже после войны, в 1949 году, когда появилось чудо техники - первый массовый индивидуальный телевизор "КВН-49" (10739).</w:t>
      </w:r>
    </w:p>
    <w:p w14:paraId="0D1D018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CF5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марта 1932 г. было Письмо начальника Главцветметзолото А.П. Серебровского Наркому тяжелой промышленности СССР Г.К. Орджоникидзе об обследовании работы Калатинского и Красноуральского медных комбинатов</w:t>
      </w:r>
    </w:p>
    <w:p w14:paraId="29AC4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Калате я был два раза в четвертом квартале 1931 г., она неплохо работала в октябре и ноябре, в декабре дала даже хорошую добычу — 1050 т. А в феврале всего 500 т. меди. Что же произошло? Кто виноват? Конечно, были перебои с топливом, но более подробное обследование показывает, что дело не только в топливе. Дело еще в том, что на Калате, как и других наших комбинатах, блестяще усвоили систему сваливания своих ошибок и промахов на объективные причины... В четвертом квартале, когда вытягивали годовую программу, о ремонтах забывали, их откладывали, а в начале превого квартала, когда почувствовали себя посвободнее — весь год еще впереди, успеем еще — то и вовсе распустились. А тут как раз и сказались те ремонты, которые вовремя не делали, а оттягивали до конца года.</w:t>
      </w:r>
    </w:p>
    <w:p w14:paraId="50366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Теперь, кроме того, стало очевидным, что провал февраля подготовлен всем ходом работы в декабре и январе. По крайней мере, это ясно в отношении финансирования. Задолженность как будто бы нарочно накапливалась, чтобы в феврале обрушиться на предприятие и задушить его возможности маневрировать средствами. То же самое делалось в отношении снабжения рабочих продовольствием, и многие ушли из-за этого и из-за неплатежа денег. А тем, кто берет расчет и уходит, тому деньги платили, вот народ и уходил с рудников и заводов. Только за январь и февраль ушло с одного металлургического цеха Калатинского комбината 237 человек, примерно также из других цехов, причем ушли, конечно, самые лучшие рабочие. </w:t>
      </w:r>
    </w:p>
    <w:p w14:paraId="524DFE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Вместе с тем здорово пала дисциплина. Как будто нарочно ее развалили, культивировали бездельничество. Административный персонал свое нежелание «нажимать» объясняет тем, что нечего, мол, «требовать с людей, которым жалованья не платим, которых не кормим, которые сами от нас уходят». Такие гнилые установки и у коммунистов. Надо на Калате расчистить всю головку, чем мы и занимаемся теперь. Эту атмосферу лжи, обмана, очковтирательства надо уничтожить. Сил нет от их вранья — даже в журналах официальные записи работы неверны. Спекательная фабрика не работает, а по журналам она проводится и т.д. </w:t>
      </w:r>
    </w:p>
    <w:p w14:paraId="1527F6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Но положение на Калате еще лучше, чем на Красноуральске на Уралмедьстрое. Там уже вовсе всякую совесть потеряли — врут без стеснения в глаза. Когда пустили 1 января этот завод, его новенькое, с иголочки, оборудование было в порядке. За два месяца его покалечили, поломали и свое неумение работать валили на Кушвинскую станцию. Правда, Кушва давала в январе ток с перебоями, но не от этого сломались шнеки, классификаторы, гентера, фильтры, краны и т.д., пр. и пр. Ту или нарочно ломали, или распустились, работать разучились, в руках производство держать не могли. Кончили тем, что новенький котел своей собственной электростанции заморозили и окончательно сели на шею. Кушвинская станция осталась на одном только котле. </w:t>
      </w:r>
    </w:p>
    <w:p w14:paraId="3933A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Компанитском руднике положение лучше, чем на заводе, но там заведующего рудника инж. Цехона — крепкого хозяина — профсоюзники лишили билета и потребовали снятия за то, что он вводил жесткую дисциплину. Конечно, я поднял отчаянный скандал вокруг этого. </w:t>
      </w:r>
    </w:p>
    <w:p w14:paraId="0CE3C5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p>
    <w:p w14:paraId="191C4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РГАЭ. Ф. 478. Оп. 3. Д. 3237. Л. 48-48об, 49 (11567).</w:t>
      </w:r>
    </w:p>
    <w:p w14:paraId="6D40F9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BF1184" w14:textId="77777777" w:rsidR="0065615B"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D0FDAA1" w14:textId="77777777" w:rsidR="0065615B" w:rsidRPr="00E93F40" w:rsidRDefault="0065615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433F10" w14:textId="77777777" w:rsidR="0065615B" w:rsidRPr="00E93F40" w:rsidRDefault="0065615B"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10 марта</w:t>
      </w:r>
      <w:r w:rsidRPr="00E93F40">
        <w:rPr>
          <w:rFonts w:ascii="Times New Roman" w:hAnsi="Times New Roman"/>
          <w:color w:val="000000" w:themeColor="text1"/>
          <w:sz w:val="16"/>
          <w:szCs w:val="16"/>
        </w:rPr>
        <w:t xml:space="preserve"> в 1932 году в Боинг Филд пилот Лес Тауэр впервые поднял прототип «ХР-936», будущий </w:t>
      </w:r>
      <w:hyperlink r:id="rId64" w:tgtFrame="_blank" w:history="1">
        <w:r w:rsidRPr="00E93F40">
          <w:rPr>
            <w:rFonts w:ascii="Times New Roman" w:hAnsi="Times New Roman"/>
            <w:color w:val="000000" w:themeColor="text1"/>
            <w:sz w:val="16"/>
            <w:szCs w:val="16"/>
          </w:rPr>
          <w:t xml:space="preserve">«Boeing» «P-26» «Peashooter» </w:t>
        </w:r>
      </w:hyperlink>
      <w:r w:rsidRPr="00E93F40">
        <w:rPr>
          <w:rFonts w:ascii="Times New Roman" w:hAnsi="Times New Roman"/>
          <w:color w:val="000000" w:themeColor="text1"/>
          <w:sz w:val="16"/>
          <w:szCs w:val="16"/>
        </w:rPr>
        <w:t>в воздух (15064).</w:t>
      </w:r>
    </w:p>
    <w:p w14:paraId="72D703EE" w14:textId="77777777" w:rsidR="0065615B" w:rsidRPr="00E93F40" w:rsidRDefault="0065615B" w:rsidP="00E93F40">
      <w:pPr>
        <w:spacing w:after="0" w:line="240" w:lineRule="auto"/>
        <w:jc w:val="both"/>
        <w:rPr>
          <w:rFonts w:ascii="Times New Roman" w:hAnsi="Times New Roman"/>
          <w:color w:val="000000" w:themeColor="text1"/>
          <w:sz w:val="16"/>
          <w:szCs w:val="16"/>
        </w:rPr>
      </w:pPr>
    </w:p>
    <w:p w14:paraId="2B00220B" w14:textId="0A80B4F5" w:rsidR="006D4AF4" w:rsidRPr="00E93F40" w:rsidRDefault="006D4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10 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Боинг Филд пилот Лес Тауэр впервые поднял прототип ХР-936, будущий истребитель Boeing P-26 Peashooter в воздух. В общей сложности фирма выпустила 139 "Пишутеров", включая прототипы. Но век "Пишутера" оказался недолгим - принятие на вооружение новых истребителей Северский Р-35 и Кертисе Р-36 быстро сделало Р-26 второсортным самолетом (22572).</w:t>
      </w:r>
    </w:p>
    <w:p w14:paraId="3F26CCDF" w14:textId="77777777" w:rsidR="006D4AF4" w:rsidRPr="00E93F40" w:rsidRDefault="006D4AF4" w:rsidP="00E93F40">
      <w:pPr>
        <w:spacing w:after="0" w:line="240" w:lineRule="auto"/>
        <w:jc w:val="both"/>
        <w:rPr>
          <w:rFonts w:ascii="Times New Roman" w:hAnsi="Times New Roman"/>
          <w:color w:val="000000" w:themeColor="text1"/>
          <w:sz w:val="16"/>
          <w:szCs w:val="16"/>
        </w:rPr>
      </w:pPr>
    </w:p>
    <w:p w14:paraId="3DBEA75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62775D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DFED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марта 1932 состоялось совещание у начальника ЦАГИ Н.М.Харламова о сроках готовности головного ТБ-4 (1077,174).</w:t>
      </w:r>
    </w:p>
    <w:p w14:paraId="23AFD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B485F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марта 1932 года состоялось заседание комиссии по вопросам сверхвысотной авиации при Госплане:</w:t>
      </w:r>
    </w:p>
    <w:p w14:paraId="24845B3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заседания комиссии по вопросам сверхвысотной авиации при Госплане от 11 марта 1932 года</w:t>
      </w:r>
    </w:p>
    <w:p w14:paraId="04AC9BA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w:t>
      </w:r>
    </w:p>
    <w:p w14:paraId="6CDB6E5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работ (6779, 26-29).</w:t>
      </w:r>
    </w:p>
    <w:p w14:paraId="3924ED4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B079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с 11 по 24 марта на завод “Красный октябрь” поступил 41 мотор (Там же. Д. 74. Л. 45.). Поскольку ремонт авиационных двигателей отличается высокой технической сложностью, а для предприятия это было новым делом, понадобилось время на подготовку соответствующих кадров и установку дополнительно 150 специальных станков. Потребовалась и срочная техническая помощь со стороны завода № 47, откуда по решению руководства Ленинграда на «Красный Октябрь» была направлена бригада специалистов для обучения сменщиков на месте. Фактически несколько месяцев два завода трудились, тесно кооперируясь и зачастую отвлекая друг друга не только от последовательного выполнения совместного задания, но и от основных задач. Конечно же, целесообразнее было бы завершить ремонт оставшихся моторов на заводе № 47, где прошли бы соответствующую стажировку представители «Красного Октября», ну а последнему дать время на подготовку нового производства. Цену не до конца продуманного решения можно в какой-то степени просчитать, учитывая то, что не введенные в строй за потерянное время авиационные двигатели могли бы отработать полный моторесурс — 80 часов (Там же. Л. 47.) (11176).</w:t>
      </w:r>
    </w:p>
    <w:p w14:paraId="053E0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BB9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марта 1932 года в кабинете Алксниса было созвано совещание по реактивным снарядам (7428, 19).</w:t>
      </w:r>
    </w:p>
    <w:p w14:paraId="0EA5A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0228F0" w14:textId="77777777" w:rsidR="00FD57ED" w:rsidRPr="00E93F40" w:rsidRDefault="00FD57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марта 1932 года докладная записка инспектора по парашютному делу УВВС РККА Л. Минова начальнику 1 Управления ВВС свидетельствует что, грузовые парашюты разрабатывались под нагрузку 20, 80, 160, 500, 1.000 и 1.300 кг. Совещание определило, что сбрасывание взрывных припасов должно производиться в грузовых мешках Г-3 с нагрузкой до 20 кг, при увеличении их числа имеется опасность взрыва при отказе парашюта. По этой же причине боеприпасы (снаряды, ручные гранаты, патроны) должны сбрасываться на одном парашюте партиями не более 80 кг. (Архив ЦДА и К. Ф. 50. Оп. 1. Д. 4. Л. 15).</w:t>
      </w:r>
    </w:p>
    <w:p w14:paraId="41E97234" w14:textId="77777777" w:rsidR="00FD57ED" w:rsidRPr="00E93F40" w:rsidRDefault="00FD57ED" w:rsidP="00E93F40">
      <w:pPr>
        <w:spacing w:after="0" w:line="240" w:lineRule="auto"/>
        <w:jc w:val="both"/>
        <w:rPr>
          <w:rFonts w:ascii="Times New Roman" w:hAnsi="Times New Roman"/>
          <w:color w:val="000000" w:themeColor="text1"/>
          <w:sz w:val="16"/>
          <w:szCs w:val="16"/>
        </w:rPr>
      </w:pPr>
    </w:p>
    <w:p w14:paraId="03803DC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9CDCD4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4A32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марта 1932 (1933?) в докладе Госплана говорилось "Отсутствие первой оборонной пятилетки привело к тому, что мы строили оборону без всякой перспективы, на основе ежегодно меняющихся заявок военного ведомства и поэтому строили кустарно, без учета дальнейших потребностей, без надлежащего использования общей промышленности и влияния на ее развитие, идя в основном по старым путям и не решая основных вопросов реконструкции военно-промышленной базы" (1566,89).</w:t>
      </w:r>
    </w:p>
    <w:p w14:paraId="147B9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24DB52" w14:textId="6262B5E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марта 1932 г. в докладе Госплана говорилосб, что отсутствие первой оборонной пятилетки промышленности, привело к тому, что мы строили без всякой перспективы, на основе ежегодно меняющихся заявок военведа и потому строили кустарно, без учета дальнейших потреб</w:t>
      </w:r>
      <w:r w:rsidRPr="00E93F40">
        <w:rPr>
          <w:rFonts w:ascii="Times New Roman" w:hAnsi="Times New Roman"/>
          <w:color w:val="000000" w:themeColor="text1"/>
          <w:sz w:val="16"/>
          <w:szCs w:val="16"/>
        </w:rPr>
        <w:softHyphen/>
        <w:t>ностей, без надлежащего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использования всей промышленности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влияния на ее развитие, идя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основном по старым путям и не ре</w:t>
      </w:r>
      <w:r w:rsidRPr="00E93F40">
        <w:rPr>
          <w:rFonts w:ascii="Times New Roman" w:hAnsi="Times New Roman"/>
          <w:color w:val="000000" w:themeColor="text1"/>
          <w:sz w:val="16"/>
          <w:szCs w:val="16"/>
        </w:rPr>
        <w:softHyphen/>
        <w:t>шая вопросов реконструкции военно-промышленной базы</w:t>
      </w:r>
      <w:bookmarkStart w:id="16" w:name="_ednref81"/>
      <w:r w:rsidRPr="00E93F40">
        <w:rPr>
          <w:rFonts w:ascii="Times New Roman" w:hAnsi="Times New Roman"/>
          <w:color w:val="000000" w:themeColor="text1"/>
          <w:sz w:val="16"/>
          <w:szCs w:val="16"/>
        </w:rPr>
        <w:t xml:space="preserve"> (18393).</w:t>
      </w:r>
    </w:p>
    <w:p w14:paraId="74FED338" w14:textId="77777777" w:rsidR="00716F88" w:rsidRPr="00E93F40" w:rsidRDefault="00716F88" w:rsidP="00E93F40">
      <w:pPr>
        <w:spacing w:after="0" w:line="240" w:lineRule="auto"/>
        <w:jc w:val="both"/>
        <w:rPr>
          <w:rFonts w:ascii="Times New Roman" w:hAnsi="Times New Roman"/>
          <w:color w:val="000000" w:themeColor="text1"/>
          <w:sz w:val="16"/>
          <w:szCs w:val="16"/>
        </w:rPr>
      </w:pPr>
    </w:p>
    <w:bookmarkEnd w:id="16"/>
    <w:p w14:paraId="6EFA03E7" w14:textId="77777777" w:rsidR="0065615B" w:rsidRPr="00E93F40" w:rsidRDefault="0065615B"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марта 1932 года техническое управление Управления по механизации и моторизации РККА заключает договор с нижегородцами о поставке 2000 Т-27, соответственно изменились и сроки выпуска (выпуск Т-27 на автосборочном заводе №1, входившем в систему Нижегородского автозавода, предполагалось начать с февраля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xml:space="preserve">. и до конца марта собрать 120 машин.). Общая стоимость заказа составляла 21,5 млн. руб., а одной танкетки – 10 тысяч рублей. На практике цена ее выросла до 13 тыс., а себестоимость оказалась еще выше. К работе было решено подключить Опытные мастерские завода. Большие проблемы вызвала кооперация с другими заводами страны: бронекорпуса поступали из Подольска; среди заводов-смежников были «Красный треугольник» из Москвы, местные «Красная Этна» и «Красный якорь». В конструкции машины широко использовались автомобильные узлы и детали: двигатель, коробка передач и др. Первые пять Т-27 были собраны в Опытных мастерских в апреле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xml:space="preserve">., но вся партия была возвращена заказчиком ввиду многочисленных дефектов. Планы и сроки выпуска постоянно срывались по многим причинам. Начальник Опытных мастерских Коско утверждал, что руководство завода, занятое освоением производства автомашин, не уделяет должного внимания выпуску Т-27. Мастерские не имели необходимого оборудования и инструментов, снабжение деталями шло с перебоями, ощущался острый дефицит рабочей силы – все основные усилия завод направляет на главный сборочный конвейер. Не способствовало выполнению задания и низкое качество поставляемой смежниками продукции. Поэтому было решено с 1 июля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xml:space="preserve">. прекратить сборку Т-27 в Опытных мастерских и передать ее на автосборочный завод. Однако выполнение решения затянулось, и до сентября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сборка продолжалась на старом месте. Всего собрали 41 танкетку. Автосборочный завод, находившийся в Канавино, некоторые авторы исторических исследований отождествляют с заводом «Гудок Октября», который автосборкой не занимался. Тем не менее эта путаница идет с начала 1930-х годов: директор автосборочного завода №1, обеспокоенный тем, что адресованные заводу грузы попадают к соседям, писал смежникам: «… С заводом «Гудок Октября» мы ничего общего не имеем» (15218).</w:t>
      </w:r>
    </w:p>
    <w:p w14:paraId="087498CD" w14:textId="77777777" w:rsidR="0065615B" w:rsidRPr="00E93F40" w:rsidRDefault="0065615B" w:rsidP="00E93F40">
      <w:pPr>
        <w:widowControl w:val="0"/>
        <w:spacing w:after="0" w:line="240" w:lineRule="auto"/>
        <w:jc w:val="both"/>
        <w:rPr>
          <w:rFonts w:ascii="Times New Roman" w:hAnsi="Times New Roman"/>
          <w:color w:val="000000" w:themeColor="text1"/>
          <w:sz w:val="16"/>
          <w:szCs w:val="16"/>
        </w:rPr>
      </w:pPr>
    </w:p>
    <w:p w14:paraId="4BF77769"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марта 1932 года Реввоенсовет СССР принял постановление «О придании мехбригаде химических и других средств для борьбы с закрепившейся пе</w:t>
      </w:r>
      <w:r w:rsidRPr="00142305">
        <w:rPr>
          <w:rFonts w:ascii="Times New Roman" w:hAnsi="Times New Roman"/>
          <w:color w:val="0070C0"/>
          <w:sz w:val="16"/>
          <w:szCs w:val="16"/>
        </w:rPr>
        <w:softHyphen/>
        <w:t>хотой противника». В соответствии с этим ВОХИМУ РККА предписывалось «разработать опытный об</w:t>
      </w:r>
      <w:r w:rsidRPr="00142305">
        <w:rPr>
          <w:rFonts w:ascii="Times New Roman" w:hAnsi="Times New Roman"/>
          <w:color w:val="0070C0"/>
          <w:sz w:val="16"/>
          <w:szCs w:val="16"/>
        </w:rPr>
        <w:softHyphen/>
        <w:t>разец химического танка Т-26, оборудовав его при</w:t>
      </w:r>
      <w:r w:rsidRPr="00142305">
        <w:rPr>
          <w:rFonts w:ascii="Times New Roman" w:hAnsi="Times New Roman"/>
          <w:color w:val="0070C0"/>
          <w:sz w:val="16"/>
          <w:szCs w:val="16"/>
        </w:rPr>
        <w:softHyphen/>
        <w:t>бором дымопуска, огнеметом и приспособив для заражения местности отравляющими веществами». Разработать проект собственно танка (точнее, агре</w:t>
      </w:r>
      <w:r w:rsidRPr="00142305">
        <w:rPr>
          <w:rFonts w:ascii="Times New Roman" w:hAnsi="Times New Roman"/>
          <w:color w:val="0070C0"/>
          <w:sz w:val="16"/>
          <w:szCs w:val="16"/>
        </w:rPr>
        <w:softHyphen/>
        <w:t>гатов для «химического» варианта танка) поручили КБ-2 ленинградского завода №174, разработку хи</w:t>
      </w:r>
      <w:r w:rsidRPr="00142305">
        <w:rPr>
          <w:rFonts w:ascii="Times New Roman" w:hAnsi="Times New Roman"/>
          <w:color w:val="0070C0"/>
          <w:sz w:val="16"/>
          <w:szCs w:val="16"/>
        </w:rPr>
        <w:softHyphen/>
        <w:t>мического вооружения — конструкторскому бюро московского завода «Компрессор». В разработке принимали участие инженеры Института химобороны Пригородский, Антонов, Калинин и Яковлев (При</w:t>
      </w:r>
      <w:r w:rsidRPr="00142305">
        <w:rPr>
          <w:rFonts w:ascii="Times New Roman" w:hAnsi="Times New Roman"/>
          <w:color w:val="0070C0"/>
          <w:sz w:val="16"/>
          <w:szCs w:val="16"/>
        </w:rPr>
        <w:softHyphen/>
        <w:t>городский и Калинин, заметим, разработали и проект упомянутого выше ХТ-18). Проект двухместного химического танка разработал в КБ-2 завода №174 Г. Е. Шмидт на базе двухбашенного варианта Т-26 образца 1931 года. Танк проходил под обозначением БХМ-3 («боевая химическая машина третья») — впол</w:t>
      </w:r>
      <w:r w:rsidRPr="00142305">
        <w:rPr>
          <w:rFonts w:ascii="Times New Roman" w:hAnsi="Times New Roman"/>
          <w:color w:val="0070C0"/>
          <w:sz w:val="16"/>
          <w:szCs w:val="16"/>
        </w:rPr>
        <w:softHyphen/>
        <w:t>не естественно, раз она сочетала основные «химиче</w:t>
      </w:r>
      <w:r w:rsidRPr="00142305">
        <w:rPr>
          <w:rFonts w:ascii="Times New Roman" w:hAnsi="Times New Roman"/>
          <w:color w:val="0070C0"/>
          <w:sz w:val="16"/>
          <w:szCs w:val="16"/>
        </w:rPr>
        <w:softHyphen/>
        <w:t>ские» системы (огнеметную, «газовую» и дымовую) на одном шасси. Сразу укажем, что под обозначени</w:t>
      </w:r>
      <w:r w:rsidRPr="00142305">
        <w:rPr>
          <w:rFonts w:ascii="Times New Roman" w:hAnsi="Times New Roman"/>
          <w:color w:val="0070C0"/>
          <w:sz w:val="16"/>
          <w:szCs w:val="16"/>
        </w:rPr>
        <w:softHyphen/>
        <w:t>ем БХМ-1 проходили «химические» машины на шасси автомобилей, БХМ-2 — на базе колесно-гусеничного танка БТ-5 (ниже мы еще упомянем его), БХМ-3 — на шасси танка Т-26 (все модификации), БХМ-4 — на шасси малых плавающих танков Т-37 и Т-38. Разрабо</w:t>
      </w:r>
      <w:r w:rsidRPr="00142305">
        <w:rPr>
          <w:rFonts w:ascii="Times New Roman" w:hAnsi="Times New Roman"/>
          <w:color w:val="0070C0"/>
          <w:sz w:val="16"/>
          <w:szCs w:val="16"/>
        </w:rPr>
        <w:softHyphen/>
        <w:t>танная на заводе «Компрессор» аппаратура КС-2 до</w:t>
      </w:r>
      <w:r w:rsidRPr="00142305">
        <w:rPr>
          <w:rFonts w:ascii="Times New Roman" w:hAnsi="Times New Roman"/>
          <w:color w:val="0070C0"/>
          <w:sz w:val="16"/>
          <w:szCs w:val="16"/>
        </w:rPr>
        <w:softHyphen/>
        <w:t>пускала использование машины для огнеметания, по</w:t>
      </w:r>
      <w:r w:rsidRPr="00142305">
        <w:rPr>
          <w:rFonts w:ascii="Times New Roman" w:hAnsi="Times New Roman"/>
          <w:color w:val="0070C0"/>
          <w:sz w:val="16"/>
          <w:szCs w:val="16"/>
        </w:rPr>
        <w:softHyphen/>
        <w:t>становки дымовых завес и заражения местности бое</w:t>
      </w:r>
      <w:r w:rsidRPr="00142305">
        <w:rPr>
          <w:rFonts w:ascii="Times New Roman" w:hAnsi="Times New Roman"/>
          <w:color w:val="0070C0"/>
          <w:sz w:val="16"/>
          <w:szCs w:val="16"/>
        </w:rPr>
        <w:softHyphen/>
        <w:t>выми отравляющими веществами или же, наоборот, ее дегазации. Один из двух опытных образцов про</w:t>
      </w:r>
      <w:r w:rsidRPr="00142305">
        <w:rPr>
          <w:rFonts w:ascii="Times New Roman" w:hAnsi="Times New Roman"/>
          <w:color w:val="0070C0"/>
          <w:sz w:val="16"/>
          <w:szCs w:val="16"/>
        </w:rPr>
        <w:softHyphen/>
        <w:t>ходил испытания на Военно-химическом полигоне с 1 июня по 15 июля 1932 года. Испытания показали, что дальность огнеметания составила всего 35 м при рас</w:t>
      </w:r>
      <w:r w:rsidRPr="00142305">
        <w:rPr>
          <w:rFonts w:ascii="Times New Roman" w:hAnsi="Times New Roman"/>
          <w:color w:val="0070C0"/>
          <w:sz w:val="16"/>
          <w:szCs w:val="16"/>
        </w:rPr>
        <w:softHyphen/>
        <w:t>ходе огнесмеси 5 л/с. Ходовые качества машины не ухудшились по сравнению с базовым танком.</w:t>
      </w:r>
    </w:p>
    <w:p w14:paraId="6FACDE78"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Такие характеристики признали вполне удовлет</w:t>
      </w:r>
      <w:r w:rsidRPr="00142305">
        <w:rPr>
          <w:rFonts w:ascii="Times New Roman" w:hAnsi="Times New Roman"/>
          <w:color w:val="0070C0"/>
          <w:sz w:val="16"/>
          <w:szCs w:val="16"/>
        </w:rPr>
        <w:softHyphen/>
        <w:t>ворительными, и машина поступила на вооружение под обозначением «химический танк» ХТ-26 (только позже его станут упоминать как ОТ-26, называя либо просто «огнеметным», либо «огнеметно-дымовым») (25021).</w:t>
      </w:r>
    </w:p>
    <w:p w14:paraId="55DF8DF0" w14:textId="77777777" w:rsidR="002B2DA4" w:rsidRPr="002B2DA4" w:rsidRDefault="002B2DA4" w:rsidP="002B2DA4">
      <w:pPr>
        <w:pStyle w:val="aff2"/>
        <w:tabs>
          <w:tab w:val="left" w:pos="594"/>
        </w:tabs>
        <w:spacing w:line="240" w:lineRule="auto"/>
        <w:rPr>
          <w:rFonts w:ascii="Times New Roman" w:hAnsi="Times New Roman" w:cs="Times New Roman"/>
          <w:i w:val="0"/>
          <w:iCs w:val="0"/>
          <w:color w:val="0070C0"/>
          <w:sz w:val="16"/>
          <w:szCs w:val="16"/>
          <w:lang w:val="ru-RU"/>
        </w:rPr>
      </w:pPr>
    </w:p>
    <w:p w14:paraId="7C16A8E4" w14:textId="1D7C1448" w:rsidR="00B37DB4" w:rsidRPr="00E93F40" w:rsidRDefault="00B37DB4" w:rsidP="00E93F40">
      <w:pPr>
        <w:pStyle w:val="rtejustify"/>
        <w:spacing w:before="0" w:after="0"/>
        <w:rPr>
          <w:color w:val="000000" w:themeColor="text1"/>
          <w:sz w:val="16"/>
          <w:szCs w:val="16"/>
        </w:rPr>
      </w:pPr>
      <w:r w:rsidRPr="00E93F40">
        <w:rPr>
          <w:rStyle w:val="af0"/>
          <w:i w:val="0"/>
          <w:color w:val="000000" w:themeColor="text1"/>
          <w:sz w:val="16"/>
          <w:szCs w:val="16"/>
        </w:rPr>
        <w:t>11</w:t>
      </w:r>
      <w:r w:rsidR="007C1411" w:rsidRPr="00E93F40">
        <w:rPr>
          <w:rStyle w:val="af0"/>
          <w:i w:val="0"/>
          <w:color w:val="000000" w:themeColor="text1"/>
          <w:sz w:val="16"/>
          <w:szCs w:val="16"/>
        </w:rPr>
        <w:t xml:space="preserve"> </w:t>
      </w:r>
      <w:r w:rsidRPr="00E93F40">
        <w:rPr>
          <w:rStyle w:val="af0"/>
          <w:i w:val="0"/>
          <w:color w:val="000000" w:themeColor="text1"/>
          <w:sz w:val="16"/>
          <w:szCs w:val="16"/>
        </w:rPr>
        <w:t>марта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10.</w:t>
      </w:r>
      <w:r w:rsidRPr="00E93F40">
        <w:rPr>
          <w:color w:val="000000" w:themeColor="text1"/>
          <w:sz w:val="16"/>
          <w:szCs w:val="16"/>
        </w:rPr>
        <w:t xml:space="preserve"> 7.</w:t>
      </w:r>
      <w:r w:rsidR="007C1411" w:rsidRPr="00E93F40">
        <w:rPr>
          <w:color w:val="000000" w:themeColor="text1"/>
          <w:sz w:val="16"/>
          <w:szCs w:val="16"/>
        </w:rPr>
        <w:t xml:space="preserve"> </w:t>
      </w:r>
      <w:r w:rsidRPr="00E93F40">
        <w:rPr>
          <w:color w:val="000000" w:themeColor="text1"/>
          <w:sz w:val="16"/>
          <w:szCs w:val="16"/>
        </w:rPr>
        <w:t>Состояние постройки эскадренных миноносцев, подводных лодок и мероприятия по предотвращению аварий подлодок и по оказании помощи (Орлов). 10.</w:t>
      </w:r>
      <w:r w:rsidR="007C1411" w:rsidRPr="00E93F40">
        <w:rPr>
          <w:color w:val="000000" w:themeColor="text1"/>
          <w:sz w:val="16"/>
          <w:szCs w:val="16"/>
        </w:rPr>
        <w:t xml:space="preserve"> </w:t>
      </w:r>
      <w:r w:rsidRPr="00E93F40">
        <w:rPr>
          <w:color w:val="000000" w:themeColor="text1"/>
          <w:sz w:val="16"/>
          <w:szCs w:val="16"/>
        </w:rPr>
        <w:t>Положение о госиспытапии самолетов и моторов. (Алкснис). 30.</w:t>
      </w:r>
      <w:r w:rsidR="007C1411" w:rsidRPr="00E93F40">
        <w:rPr>
          <w:color w:val="000000" w:themeColor="text1"/>
          <w:sz w:val="16"/>
          <w:szCs w:val="16"/>
        </w:rPr>
        <w:t xml:space="preserve"> </w:t>
      </w:r>
      <w:r w:rsidRPr="00E93F40">
        <w:rPr>
          <w:color w:val="000000" w:themeColor="text1"/>
          <w:sz w:val="16"/>
          <w:szCs w:val="16"/>
        </w:rPr>
        <w:t>О выводе из строя подводных лодок типа «Барс» Протокол Реввоенсовета №</w:t>
      </w:r>
      <w:r w:rsidR="007C1411" w:rsidRPr="00E93F40">
        <w:rPr>
          <w:color w:val="000000" w:themeColor="text1"/>
          <w:sz w:val="16"/>
          <w:szCs w:val="16"/>
        </w:rPr>
        <w:t xml:space="preserve"> </w:t>
      </w:r>
      <w:r w:rsidRPr="00E93F40">
        <w:rPr>
          <w:color w:val="000000" w:themeColor="text1"/>
          <w:sz w:val="16"/>
          <w:szCs w:val="16"/>
        </w:rPr>
        <w:t>2, 5, 6.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145, 146, 149) (12342).</w:t>
      </w:r>
    </w:p>
    <w:p w14:paraId="0C5A2A6B" w14:textId="77777777" w:rsidR="00B37DB4" w:rsidRPr="00E93F40" w:rsidRDefault="00B37DB4" w:rsidP="00E93F40">
      <w:pPr>
        <w:pStyle w:val="rtejustify"/>
        <w:spacing w:before="0" w:after="0"/>
        <w:rPr>
          <w:color w:val="000000" w:themeColor="text1"/>
          <w:sz w:val="16"/>
          <w:szCs w:val="16"/>
        </w:rPr>
      </w:pPr>
    </w:p>
    <w:p w14:paraId="7A19FA7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51A9F4B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1E73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марта 1932 РВС СССР решил сформировать два первых мехкорпуса, выделив для их создания по одной сд из Ленинградского и УВО (3879,42).</w:t>
      </w:r>
    </w:p>
    <w:p w14:paraId="2B453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63D8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марта 1932 г. РВС СССР принял решение о формированнии двух первых механизированных корпусов в составе. нинградского (Л ВО) и Украинского военных окру (УВО) (10733,282).</w:t>
      </w:r>
    </w:p>
    <w:p w14:paraId="4986E1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74BCD0" w14:textId="77777777" w:rsidR="00CC080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77C5286" w14:textId="77777777" w:rsidR="00CC0809" w:rsidRPr="00E93F40" w:rsidRDefault="00CC080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776CC26"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lastRenderedPageBreak/>
        <w:t>11 марта</w:t>
      </w:r>
      <w:r w:rsidRPr="00E93F40">
        <w:rPr>
          <w:rFonts w:ascii="Times New Roman" w:hAnsi="Times New Roman"/>
          <w:color w:val="000000" w:themeColor="text1"/>
          <w:sz w:val="16"/>
          <w:szCs w:val="16"/>
        </w:rPr>
        <w:t xml:space="preserve"> в 1932 году совершила свой полет летающая лодка </w:t>
      </w:r>
      <w:hyperlink r:id="rId65" w:tgtFrame="_blank" w:history="1">
        <w:r w:rsidRPr="00E93F40">
          <w:rPr>
            <w:rFonts w:ascii="Times New Roman" w:hAnsi="Times New Roman"/>
            <w:color w:val="000000" w:themeColor="text1"/>
            <w:sz w:val="16"/>
            <w:szCs w:val="16"/>
          </w:rPr>
          <w:t xml:space="preserve">«Late 500». </w:t>
        </w:r>
      </w:hyperlink>
      <w:r w:rsidRPr="00E93F40">
        <w:rPr>
          <w:rFonts w:ascii="Times New Roman" w:hAnsi="Times New Roman"/>
          <w:color w:val="000000" w:themeColor="text1"/>
          <w:sz w:val="16"/>
          <w:szCs w:val="16"/>
        </w:rPr>
        <w:t>После проведенных испытаний стало ясно, что лодка не удовлетворят требованиям министерства и работы над ними были прекращены (15065).</w:t>
      </w:r>
    </w:p>
    <w:p w14:paraId="0382B61C" w14:textId="77777777" w:rsidR="00CC0809" w:rsidRPr="00E93F40" w:rsidRDefault="00CC0809" w:rsidP="00E93F40">
      <w:pPr>
        <w:spacing w:after="0" w:line="240" w:lineRule="auto"/>
        <w:jc w:val="both"/>
        <w:rPr>
          <w:rFonts w:ascii="Times New Roman" w:hAnsi="Times New Roman"/>
          <w:color w:val="000000" w:themeColor="text1"/>
          <w:sz w:val="16"/>
          <w:szCs w:val="16"/>
        </w:rPr>
      </w:pPr>
    </w:p>
    <w:p w14:paraId="4890FDA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D5FD35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3AE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28 февраля и 12, 13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15 полетов на облет со стрельбой поземным целям; проверка температуры головок цилиндров по термопаре, в связи с установкой на самолете кольца; определение времени длины разбега и пробега (3002).</w:t>
      </w:r>
    </w:p>
    <w:p w14:paraId="4DD4ED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AFA5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марта 1932 состоялась первая стрельба из ДРП на И-12 (АНТ-23). До конца сентября 1932 машину дорабатывали, но больше не испытывали (80,151).</w:t>
      </w:r>
    </w:p>
    <w:p w14:paraId="796FBF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399633"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марта 1932 года при первом же выстреле из АПК-4, установленного на И-12 АНТ-22, снаряд разорвался в стволе, оборвав тросы управления элеронами. Летчик Козлов сумел посадить раненую машину. На ее доводку ушло еще полгода, но ожидаемых летных характеристик так и не достигли (24991).</w:t>
      </w:r>
    </w:p>
    <w:p w14:paraId="5943F1CD" w14:textId="77777777" w:rsidR="002B2DA4" w:rsidRPr="00142305" w:rsidRDefault="002B2DA4" w:rsidP="002B2DA4">
      <w:pPr>
        <w:spacing w:after="0" w:line="240" w:lineRule="auto"/>
        <w:jc w:val="both"/>
        <w:rPr>
          <w:rFonts w:ascii="Times New Roman" w:hAnsi="Times New Roman"/>
          <w:color w:val="0070C0"/>
          <w:sz w:val="16"/>
          <w:szCs w:val="16"/>
        </w:rPr>
      </w:pPr>
    </w:p>
    <w:p w14:paraId="4F01876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8B3617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AFDCAA" w14:textId="5C8C726B"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заводе Новое Сормово был создан отдел технического контроля (ОТК). Его функции состояли в контроле качества металла, поставляемого на завод, межцеховой приемке, контроле качества выпускаемых изделий и учете брака. Отдел подчинялся лично директору завода. Входившая в него общезаводская комиссия по браку должна была «осуществлять сплошной контроль в цехах». Довольно сложно оценить, каков же в действительности был средний уровень брака на «Новом Сормове». Согласно официальному отчету, за десять месяцев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он составил 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от вала. Однако эти данные, мягко говоря, сомнительны (11741).</w:t>
      </w:r>
    </w:p>
    <w:p w14:paraId="49B140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155FE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F0DE30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CBA5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12 и 18 марта 1932. Из протокола заседания Политбюро № 92, 1932 г.</w:t>
      </w:r>
    </w:p>
    <w:p w14:paraId="298EE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расширении рыночных фондов предметов широкого потребления </w:t>
      </w:r>
    </w:p>
    <w:p w14:paraId="6B56E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 По фондам спецодежды и спецобуви 1932 г. В целях устранения массового разбазаривания и хищения спецодежды и спецобуви разработать новые стандарты спецодежды и спецобуви с тем, чтобы они отвечали условиям производства и по форме отличались от обычной одежды и обуви, употребляемой в быту... Категорически запретить вынос спецодежды и спецобуви за пределы предприятия... Без сдачи изношенного комплекта нового не выдавать... IV. По заказам на предметы ширпотреба НКВМора, ОГПУ, Конвойных войск. </w:t>
      </w:r>
    </w:p>
    <w:p w14:paraId="7FC110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Исходя из установленной численности РККА, ОГПУ, милиции и конвойных войск установить спецзаказ на 1932 год в нижеследующих размерах: </w:t>
      </w:r>
    </w:p>
    <w:p w14:paraId="2CB4C4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Сапоги яловые в тыс. пар. Для Наркомвоенмора: на текущую потребность 1932 г.— 1180, переходящий запас на 1933 г.— 250, неприкосновенный запас — 300. Для войск и органов ОГПУ на текущую потребность 1932 г.— 245. ВОХР — 162. ГУЛАГ — 123. Конвойным войскам — 30. В связи с этим сократить заявку Военведа и ОГПУ на заказ яловых сапог на 32 г. на 1 250 000 пар. Кроме того, направить на ширпотребный рынок 500 000 пар отремонтированных сапог из возврата НКВМором изношенных. </w:t>
      </w:r>
    </w:p>
    <w:p w14:paraId="2DE8E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Сапоги хромовые в тыс. пар. Наркомвоенмору — 256,7. ОГПУ — 170. Конвойные войска — 2. Ботинки яловые и хромовые. Наркомвоенмору — 76 500 пар. ОГПУ (для ГУЛАГа — 100 т. п.) — 128 300. Сапоги валяные в тыс. пар. Наркомвоенмору — 130. Войскам, органам ОГПУ — 55. Милиции — 120. ВОХР — 25. ГУЛАГ — 250. </w:t>
      </w:r>
    </w:p>
    <w:p w14:paraId="5A7DE4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 целях экономии армейской обуви и усиления рабочего снабжения обязать НКВМ и ОГПУ сдать в 32 г. Кожевенному объединению 800 тыс. пар сапог, выслуживших сроки носки (НКВМ — 600 тыс. и ОГПУ — 200 тыс.). Обязать Наркомат легкой промышленности из полученных 800 тыс. сапог посредством соответствующего ремонта изготовить не менее 500 тыс. пар сапог для рабочего снабжения. Из них 18 200 — женских (для милиционеров и сотрудниц ОГПУ)... (11652).</w:t>
      </w:r>
    </w:p>
    <w:p w14:paraId="2ABB9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BB2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12 и 18 марта 1932. Из протокола заседания Политбюро № 91, 1932 г.</w:t>
      </w:r>
    </w:p>
    <w:p w14:paraId="1CFD3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Госбюджете 1932 года </w:t>
      </w:r>
    </w:p>
    <w:p w14:paraId="38B60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Повысить цену на водку на 50 коп. на литр. (11652).</w:t>
      </w:r>
    </w:p>
    <w:p w14:paraId="3B462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FBADC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E46FD6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73C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12 и 18 марта 1932. Из протокола заседания Политбюро № 92, 1932 г.</w:t>
      </w:r>
    </w:p>
    <w:p w14:paraId="19511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договоре тов. Горького с американским издателем Лонгом </w:t>
      </w:r>
    </w:p>
    <w:p w14:paraId="56093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Ввиду попыток со стороны Р. Лонга исказить характер договора с тов. Горьким об издании сборника в целях политической спекуляции и ввиду того, что нет гарантии, что не будет выкинут Лонгом новый трюк, преследующий те же цели политической спекуляции (см. сообщение "Ивнинг Стандарт"), отклонить предложение Лонга, предложив тов. Горькому мотивировать отказ со ссылкой на невозможность выполнить предполагаемый договор в срок ввиду занятости товарищей. </w:t>
      </w:r>
    </w:p>
    <w:p w14:paraId="3B23B0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Лондон, 4.III.— Газета "Ивнинг Стандарт" сообщает, что американский издатель Рей Лонг, вернувшийся недавно из Сорренто (Италия), заявил, что он достиг соглашения с Максимом Горьким, "являющимся литературным агентом и издателем сочинений Сталина", на издание в Америке книги тов. Сталина размером примерно в 75 тысяч слов под заглавием: "Россия — сегодня". В этой книге тов. Сталин "описывает свою биографию, разъясняет свои отношения с Лениным и Троцким, объясняет причины падения и изгнания Троцкого, а также откровенно рассказывает, как СССР относится к Великобритании, Соединенным Штатам и Японии". Газета считает, что издание книги накануне президентских выборов в САСШ предпринято с целью повлиять на разрешение вопроса о признании СССР (11652).</w:t>
      </w:r>
    </w:p>
    <w:p w14:paraId="63347A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3D00D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2576B8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C46E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марта 1932 года вследствие заносов на аэродроме был выполнен первый полет И-12 с двумя пушками ДРП с новым хвостовым оперением (7416, 58-59).</w:t>
      </w:r>
    </w:p>
    <w:p w14:paraId="10C4DD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71F660"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марта 1932 самолёт И-12 выполнил контрольный полёт (15823).</w:t>
      </w:r>
    </w:p>
    <w:p w14:paraId="0E05A548" w14:textId="77777777" w:rsidR="00CC0809" w:rsidRPr="00E93F40" w:rsidRDefault="00CC0809" w:rsidP="00E93F40">
      <w:pPr>
        <w:spacing w:after="0" w:line="240" w:lineRule="auto"/>
        <w:jc w:val="both"/>
        <w:rPr>
          <w:rFonts w:ascii="Times New Roman" w:hAnsi="Times New Roman"/>
          <w:color w:val="000000" w:themeColor="text1"/>
          <w:sz w:val="16"/>
          <w:szCs w:val="16"/>
        </w:rPr>
      </w:pPr>
    </w:p>
    <w:p w14:paraId="09A27DEC" w14:textId="77777777" w:rsidR="00716F88" w:rsidRPr="00E93F40" w:rsidRDefault="00716F88" w:rsidP="00E93F40">
      <w:pPr>
        <w:pStyle w:val="rtejustify"/>
        <w:shd w:val="clear" w:color="auto" w:fill="FFFFFF"/>
        <w:spacing w:before="0" w:after="0"/>
        <w:rPr>
          <w:color w:val="000000" w:themeColor="text1"/>
          <w:sz w:val="16"/>
          <w:szCs w:val="16"/>
        </w:rPr>
      </w:pPr>
      <w:r w:rsidRPr="00E93F40">
        <w:rPr>
          <w:color w:val="000000" w:themeColor="text1"/>
          <w:sz w:val="16"/>
          <w:szCs w:val="16"/>
        </w:rPr>
        <w:t>13 марта 1932 самолет И-12 выполнил контрольный полет (19172).</w:t>
      </w:r>
    </w:p>
    <w:p w14:paraId="39C57424" w14:textId="77777777" w:rsidR="00716F88" w:rsidRPr="00E93F40" w:rsidRDefault="00716F88" w:rsidP="00E93F40">
      <w:pPr>
        <w:pStyle w:val="ae"/>
        <w:shd w:val="clear" w:color="auto" w:fill="FFFFFF"/>
        <w:spacing w:before="0" w:after="0"/>
        <w:jc w:val="both"/>
        <w:textAlignment w:val="baseline"/>
        <w:rPr>
          <w:color w:val="000000" w:themeColor="text1"/>
          <w:sz w:val="16"/>
          <w:szCs w:val="16"/>
        </w:rPr>
      </w:pPr>
    </w:p>
    <w:p w14:paraId="670565C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марта 1932 в НИИ ВВС закончились гос. испытания И-5, эталон 1932, которые проходили с 27 января 1932 (6778).</w:t>
      </w:r>
    </w:p>
    <w:p w14:paraId="551DDE2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F6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марта 1932 закончились испытания самолета И5 N 4298 (эталон на 1932 год) с мотором М-22 Е=6,5 N 9019 Винт Д=2,80 м Н=2,10 м N 29059, которые проходили с 27 января 1932 (3002).</w:t>
      </w:r>
    </w:p>
    <w:p w14:paraId="1794A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3D469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Осипенко</w:t>
      </w:r>
    </w:p>
    <w:p w14:paraId="57EACA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Чкалов</w:t>
      </w:r>
    </w:p>
    <w:p w14:paraId="6570FA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Воздушный бой на высоте 7000 м не проведен. Ночные полеты не проводились.</w:t>
      </w:r>
    </w:p>
    <w:p w14:paraId="3A541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w:t>
      </w:r>
    </w:p>
    <w:p w14:paraId="47A30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прохождения испытания самолета И5 N 4298.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3BD3CC38" w14:textId="77777777">
        <w:tc>
          <w:tcPr>
            <w:tcW w:w="5636" w:type="dxa"/>
          </w:tcPr>
          <w:p w14:paraId="55410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получен с завода N 39</w:t>
            </w:r>
          </w:p>
        </w:tc>
        <w:tc>
          <w:tcPr>
            <w:tcW w:w="5636" w:type="dxa"/>
          </w:tcPr>
          <w:p w14:paraId="3B0EA4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года</w:t>
            </w:r>
          </w:p>
        </w:tc>
      </w:tr>
      <w:tr w:rsidR="00DA227A" w:rsidRPr="00E93F40" w14:paraId="594A6295" w14:textId="77777777">
        <w:tc>
          <w:tcPr>
            <w:tcW w:w="5636" w:type="dxa"/>
          </w:tcPr>
          <w:p w14:paraId="474E5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w:t>
            </w:r>
          </w:p>
        </w:tc>
        <w:tc>
          <w:tcPr>
            <w:tcW w:w="5636" w:type="dxa"/>
          </w:tcPr>
          <w:p w14:paraId="22B01C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года</w:t>
            </w:r>
          </w:p>
        </w:tc>
      </w:tr>
      <w:tr w:rsidR="00DA227A" w:rsidRPr="00E93F40" w14:paraId="1AEDBCA0" w14:textId="77777777">
        <w:tc>
          <w:tcPr>
            <w:tcW w:w="5636" w:type="dxa"/>
          </w:tcPr>
          <w:p w14:paraId="15B4E0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окончено</w:t>
            </w:r>
          </w:p>
        </w:tc>
        <w:tc>
          <w:tcPr>
            <w:tcW w:w="5636" w:type="dxa"/>
          </w:tcPr>
          <w:p w14:paraId="5719F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марта 1932 года</w:t>
            </w:r>
          </w:p>
        </w:tc>
      </w:tr>
      <w:tr w:rsidR="00DA227A" w:rsidRPr="00E93F40" w14:paraId="268F31D2" w14:textId="77777777">
        <w:tc>
          <w:tcPr>
            <w:tcW w:w="5636" w:type="dxa"/>
          </w:tcPr>
          <w:p w14:paraId="2D69F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Фактически затрачено на испытание </w:t>
            </w:r>
          </w:p>
        </w:tc>
        <w:tc>
          <w:tcPr>
            <w:tcW w:w="5636" w:type="dxa"/>
          </w:tcPr>
          <w:p w14:paraId="55152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 календарных дней, из которых:</w:t>
            </w:r>
          </w:p>
        </w:tc>
      </w:tr>
      <w:tr w:rsidR="00DA227A" w:rsidRPr="00E93F40" w14:paraId="7A111AE0" w14:textId="77777777">
        <w:tc>
          <w:tcPr>
            <w:tcW w:w="5636" w:type="dxa"/>
          </w:tcPr>
          <w:p w14:paraId="5E770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смолет был неисправен</w:t>
            </w:r>
          </w:p>
        </w:tc>
        <w:tc>
          <w:tcPr>
            <w:tcW w:w="5636" w:type="dxa"/>
          </w:tcPr>
          <w:p w14:paraId="169F5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дней</w:t>
            </w:r>
          </w:p>
        </w:tc>
      </w:tr>
      <w:tr w:rsidR="00DA227A" w:rsidRPr="00E93F40" w14:paraId="74264385" w14:textId="77777777">
        <w:tc>
          <w:tcPr>
            <w:tcW w:w="5636" w:type="dxa"/>
          </w:tcPr>
          <w:p w14:paraId="7D410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летчик был оторван для</w:t>
            </w:r>
          </w:p>
        </w:tc>
        <w:tc>
          <w:tcPr>
            <w:tcW w:w="5636" w:type="dxa"/>
          </w:tcPr>
          <w:p w14:paraId="41D71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0EF7F68" w14:textId="77777777">
        <w:tc>
          <w:tcPr>
            <w:tcW w:w="5636" w:type="dxa"/>
          </w:tcPr>
          <w:p w14:paraId="7AF930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других полетов</w:t>
            </w:r>
          </w:p>
        </w:tc>
        <w:tc>
          <w:tcPr>
            <w:tcW w:w="5636" w:type="dxa"/>
          </w:tcPr>
          <w:p w14:paraId="44D09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день</w:t>
            </w:r>
          </w:p>
        </w:tc>
      </w:tr>
      <w:tr w:rsidR="00DA227A" w:rsidRPr="00E93F40" w14:paraId="047C96FF" w14:textId="77777777">
        <w:tc>
          <w:tcPr>
            <w:tcW w:w="5636" w:type="dxa"/>
          </w:tcPr>
          <w:p w14:paraId="4EF76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нелетных для испытания дней</w:t>
            </w:r>
          </w:p>
        </w:tc>
        <w:tc>
          <w:tcPr>
            <w:tcW w:w="5636" w:type="dxa"/>
          </w:tcPr>
          <w:p w14:paraId="04C49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12642913" w14:textId="77777777">
        <w:tc>
          <w:tcPr>
            <w:tcW w:w="5636" w:type="dxa"/>
          </w:tcPr>
          <w:p w14:paraId="3AB95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выходных дней</w:t>
            </w:r>
          </w:p>
        </w:tc>
        <w:tc>
          <w:tcPr>
            <w:tcW w:w="5636" w:type="dxa"/>
          </w:tcPr>
          <w:p w14:paraId="72F09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r>
      <w:tr w:rsidR="00DA227A" w:rsidRPr="00E93F40" w14:paraId="6A971A11" w14:textId="77777777">
        <w:tc>
          <w:tcPr>
            <w:tcW w:w="5636" w:type="dxa"/>
          </w:tcPr>
          <w:p w14:paraId="27887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годовщина РККА</w:t>
            </w:r>
          </w:p>
        </w:tc>
        <w:tc>
          <w:tcPr>
            <w:tcW w:w="5636" w:type="dxa"/>
          </w:tcPr>
          <w:p w14:paraId="395E1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r w:rsidR="00DA227A" w:rsidRPr="00E93F40" w14:paraId="0B9F9623" w14:textId="77777777">
        <w:tc>
          <w:tcPr>
            <w:tcW w:w="5636" w:type="dxa"/>
          </w:tcPr>
          <w:p w14:paraId="41CFE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5636" w:type="dxa"/>
          </w:tcPr>
          <w:p w14:paraId="607BE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день</w:t>
            </w:r>
          </w:p>
        </w:tc>
      </w:tr>
    </w:tbl>
    <w:p w14:paraId="044F77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испытание произведено в 16 летных дней.</w:t>
      </w:r>
    </w:p>
    <w:p w14:paraId="77A3CD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время нахождения самолета в НИИ налетано 28 часов 45 мин.</w:t>
      </w:r>
    </w:p>
    <w:p w14:paraId="61FE8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Сделано посадок - 30.</w:t>
      </w:r>
    </w:p>
    <w:p w14:paraId="7C61C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вывод:</w:t>
      </w:r>
    </w:p>
    <w:p w14:paraId="4E464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И5 М22 N 4298 принять как образец (эталон) для постройки И5-М22 в 1932 году.</w:t>
      </w:r>
    </w:p>
    <w:p w14:paraId="78384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Констатировать улучшение горизонтальных скоростей полета по сравнению с самолетами выпуска 1931 года благодаря установке на самолете более обтекаемого капота.</w:t>
      </w:r>
    </w:p>
    <w:p w14:paraId="23462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Ухудшение скороподъемности и понижение потолка целиком отнести за счет влияния на винтомоторную группу низких температур (3002).</w:t>
      </w:r>
    </w:p>
    <w:p w14:paraId="56153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F4D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марта 1932 закончились испытания И-5 № 4298, которые шли с 27 января 1932 г.. Летали на лыжах. Серий</w:t>
      </w:r>
      <w:r w:rsidRPr="00E93F40">
        <w:rPr>
          <w:rFonts w:ascii="Times New Roman" w:hAnsi="Times New Roman"/>
          <w:color w:val="000000" w:themeColor="text1"/>
          <w:sz w:val="16"/>
          <w:szCs w:val="16"/>
        </w:rPr>
        <w:softHyphen/>
        <w:t>ный И-5 № 4298 с М-22 № 9019 с деревянным воздушным винтом диаметром 2,8 метра, по</w:t>
      </w:r>
      <w:r w:rsidRPr="00E93F40">
        <w:rPr>
          <w:rFonts w:ascii="Times New Roman" w:hAnsi="Times New Roman"/>
          <w:color w:val="000000" w:themeColor="text1"/>
          <w:sz w:val="16"/>
          <w:szCs w:val="16"/>
        </w:rPr>
        <w:softHyphen/>
        <w:t>строенный на авиазаводе №1 стал эталоном на 1932 г. Он отличался, прежде всего, моторной установкой с кольцом Тауненда, разработку которой произвели в ЦАГИ (позднее говорилось, что теперь в кон</w:t>
      </w:r>
      <w:r w:rsidRPr="00E93F40">
        <w:rPr>
          <w:rFonts w:ascii="Times New Roman" w:hAnsi="Times New Roman"/>
          <w:color w:val="000000" w:themeColor="text1"/>
          <w:sz w:val="16"/>
          <w:szCs w:val="16"/>
        </w:rPr>
        <w:softHyphen/>
        <w:t>структорском отделе института действует сквозная бригада по капотам для авиацион</w:t>
      </w:r>
      <w:r w:rsidRPr="00E93F40">
        <w:rPr>
          <w:rFonts w:ascii="Times New Roman" w:hAnsi="Times New Roman"/>
          <w:color w:val="000000" w:themeColor="text1"/>
          <w:sz w:val="16"/>
          <w:szCs w:val="16"/>
        </w:rPr>
        <w:softHyphen/>
        <w:t>ных двигателей). Кроме того, И-5 №4298 отличался выносом шасси, креплением пулеметов, педалями ножного управления, на нем смон- тмровали управляемый костыль и открывае</w:t>
      </w:r>
      <w:r w:rsidRPr="00E93F40">
        <w:rPr>
          <w:rFonts w:ascii="Times New Roman" w:hAnsi="Times New Roman"/>
          <w:color w:val="000000" w:themeColor="text1"/>
          <w:sz w:val="16"/>
          <w:szCs w:val="16"/>
        </w:rPr>
        <w:softHyphen/>
        <w:t>те створки в кабине летчика. В фюзеляже оборудовали бомбовый отсек для подвески двух 8-10 кг авиабомб на держателях ДЕР-6, а за сидением пилота установили фотоаппарат «Лотте». После произведенных доработок самолет в очередной раз потяжелел: вес пустого соста</w:t>
      </w:r>
      <w:r w:rsidRPr="00E93F40">
        <w:rPr>
          <w:rFonts w:ascii="Times New Roman" w:hAnsi="Times New Roman"/>
          <w:color w:val="000000" w:themeColor="text1"/>
          <w:sz w:val="16"/>
          <w:szCs w:val="16"/>
        </w:rPr>
        <w:softHyphen/>
        <w:t>вит 943,5 кг, полетный вес -1355 кг. Летные качества повысились - полет</w:t>
      </w:r>
      <w:r w:rsidRPr="00E93F40">
        <w:rPr>
          <w:rFonts w:ascii="Times New Roman" w:hAnsi="Times New Roman"/>
          <w:color w:val="000000" w:themeColor="text1"/>
          <w:sz w:val="16"/>
          <w:szCs w:val="16"/>
        </w:rPr>
        <w:softHyphen/>
        <w:t>ная скорость у земли составляла 278 км/ч, на высоте 5000 м - 252 км/ч. Отмечалось, что у земли скорость повысилась на 13-15 км/ч (11974).</w:t>
      </w:r>
    </w:p>
    <w:p w14:paraId="1D6E76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B87FDB" w14:textId="77777777" w:rsidR="00CC0809" w:rsidRPr="00E93F40" w:rsidRDefault="00CC0809"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bCs/>
          <w:color w:val="000000" w:themeColor="text1"/>
          <w:sz w:val="16"/>
          <w:szCs w:val="16"/>
        </w:rPr>
        <w:t>13 марта 1932 г. — Справка Сектора обороны Госплана СССР об итогах работы авиапромышленности с 1 октября 1927 г. по 1 января 1932 г.</w:t>
      </w:r>
    </w:p>
    <w:p w14:paraId="0E0DB06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32"/>
        <w:gridCol w:w="1239"/>
        <w:gridCol w:w="1251"/>
        <w:gridCol w:w="1264"/>
        <w:gridCol w:w="1190"/>
        <w:gridCol w:w="1566"/>
        <w:gridCol w:w="1080"/>
      </w:tblGrid>
      <w:tr w:rsidR="00DA227A" w:rsidRPr="00E93F40" w14:paraId="752E9370"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3E362475" w14:textId="2B647CF5"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174B2" w14:textId="450171D4"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1927/28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A27D" w14:textId="3E9B2386"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4565F" w14:textId="54F107AD"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266DC" w14:textId="39BD713D"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0D26C" w14:textId="04BD75C6"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56489" w14:textId="27B9BC13"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за 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tc>
      </w:tr>
      <w:tr w:rsidR="00DA227A" w:rsidRPr="00E93F40" w14:paraId="27DD48B9"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16DB2E52" w14:textId="7AA6B574"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Стоимость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осн[овного]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капитала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CB25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51 514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38AE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65 655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58AB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79 728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7D93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88 652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5C09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148 446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9587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Ориенти-</w:t>
            </w:r>
          </w:p>
          <w:p w14:paraId="2ED476C6"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ров[очно]</w:t>
            </w:r>
          </w:p>
        </w:tc>
      </w:tr>
      <w:tr w:rsidR="00DA227A" w:rsidRPr="00E93F40" w14:paraId="7BF1AE4D"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6F3B9CE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00105"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3FD3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75153"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23 087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7A529"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7DEB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112 877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84E54"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166 632</w:t>
            </w:r>
          </w:p>
        </w:tc>
      </w:tr>
      <w:tr w:rsidR="00DA227A" w:rsidRPr="00E93F40" w14:paraId="3C932CFD"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01B8AC40" w14:textId="64E9A50E"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Промстроит[ельство]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4B27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0822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E4F70"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A4EC8"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D395B"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55 332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E24B5"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86 509</w:t>
            </w:r>
          </w:p>
        </w:tc>
      </w:tr>
      <w:tr w:rsidR="00DA227A" w:rsidRPr="00E93F40" w14:paraId="49672E5F"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7531BBDA" w14:textId="01A4B509"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08126"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75875"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96F8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92F3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442C4"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23C7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34 596</w:t>
            </w:r>
          </w:p>
        </w:tc>
      </w:tr>
      <w:tr w:rsidR="00DA227A" w:rsidRPr="00E93F40" w14:paraId="42F76CF3"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166ADDB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94C5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3682B"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03866"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087C9"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5DE9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A40D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16 722</w:t>
            </w:r>
          </w:p>
        </w:tc>
      </w:tr>
      <w:tr w:rsidR="00DA227A" w:rsidRPr="00E93F40" w14:paraId="1DD4E805"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291B7A20" w14:textId="7238BE7E"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Жилстроит[ельство]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8DAEB"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3332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F1BF8"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0ABA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6B044"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4DED3"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26 307</w:t>
            </w:r>
          </w:p>
        </w:tc>
      </w:tr>
      <w:tr w:rsidR="00DA227A" w:rsidRPr="00E93F40" w14:paraId="2ECAAAB9"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0BD5D778" w14:textId="01C0348F"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Культбыт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CD4B"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B80A7"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3484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9B6A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1B242"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7CA5"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1757</w:t>
            </w:r>
          </w:p>
        </w:tc>
      </w:tr>
      <w:tr w:rsidR="00DA227A" w:rsidRPr="00E93F40" w14:paraId="7E219D7C"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30043A73"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30CF2" w14:textId="19401D94"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4581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50CD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AE98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CC7B6" w14:textId="27BF7E14"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p>
          <w:p w14:paraId="74F686C0" w14:textId="5CB436AB"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среднегодовая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C7AD9"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C2B1FAB"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6AA3A943" w14:textId="4D7E0A0A"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Раб[очие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15C10" w14:textId="6BD1E367"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59AC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03470"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88C99"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69EA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0402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37 148</w:t>
            </w:r>
          </w:p>
        </w:tc>
      </w:tr>
      <w:tr w:rsidR="00DA227A" w:rsidRPr="00E93F40" w14:paraId="795542A9"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5D6ABFCE" w14:textId="2438CBD3"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D361F" w14:textId="63EA5858"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23FD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9041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F858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37B3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9E223"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BDE7843"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56EB479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6C2AD" w14:textId="737D3F5D"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7379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DA14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03A4B"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9168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122B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406CD57"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50B886B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61026" w14:textId="15B72F0B"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65593"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DC516"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ED148"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F8D67"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05E84"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744F2021"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04003ED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Учеников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7E62C" w14:textId="6F342B8B"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E992"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E59B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55704"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8067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E325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4B6E2FF6"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1A9085FB" w14:textId="64B84A89"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Зарплата ср[едне]год[овая]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0A88E" w14:textId="441E27EC"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F162B"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24D8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1573,94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43E8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0AE9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7C5D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7BCF7CDE"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5D32BC31" w14:textId="7A2BDFE0"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A9D1B" w14:textId="137DFC8D"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A17E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500D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F24B5"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00859"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D1AF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0AA3CD5"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61F65173" w14:textId="515C2D81"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8BE8" w14:textId="40D9F851"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2909"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E0B60"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2141,64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711D4"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3D573"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051A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18D8C5B"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6DEC68D4" w14:textId="099290C1"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E88B9" w14:textId="523BE320"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FF6D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DD446"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55B6C"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0F77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2FAD6"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D87F5F6"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1E4E43C5" w14:textId="3603377C"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Выработка годов[ых] на одного рабоч[его] в ценах 1926/27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AA5B2" w14:textId="724B2CE8"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3824B"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A4EE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9177,53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22E6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B7652"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6EB27"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09EF838F"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03F39A17"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B0EE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8077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24B1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8D2A2"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559C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13733"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4771C9C"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4496CB3B"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Произв[одственная] прогр[амма]²*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F7ECE" w14:textId="24101B6A" w:rsidR="00B37DB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0A603" w14:textId="1065D9C2"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663</w:t>
            </w:r>
          </w:p>
          <w:p w14:paraId="46DDA0A0" w14:textId="28070EF0"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7E44E" w14:textId="02F320DC"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095/63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392</w:t>
            </w:r>
          </w:p>
          <w:p w14:paraId="0FAE576F"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D01A9" w14:textId="734B6633"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600</w:t>
            </w:r>
          </w:p>
          <w:p w14:paraId="41157D0C" w14:textId="48DE2B95"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B083A" w14:textId="00B0B973"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488</w:t>
            </w:r>
          </w:p>
          <w:p w14:paraId="5527953A" w14:textId="72FCE9CE"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4AB28"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0DC7CFC4"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489168E9"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27D20"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6FD3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916/861</w:t>
            </w:r>
          </w:p>
          <w:p w14:paraId="649D9AA5"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2A075"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1504/1414</w:t>
            </w:r>
          </w:p>
          <w:p w14:paraId="50126D4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77FFB"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5A0B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3170/1679</w:t>
            </w:r>
          </w:p>
          <w:p w14:paraId="4C227E57"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5B9D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208865CA"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457A5770"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9373D"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8C095"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1063/914</w:t>
            </w:r>
          </w:p>
          <w:p w14:paraId="5C10C80E"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7A1B6"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1234/1084</w:t>
            </w:r>
          </w:p>
          <w:p w14:paraId="0D636C08"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42920"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A8FA1"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2900/1471</w:t>
            </w:r>
          </w:p>
          <w:p w14:paraId="5C051FFA"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8A9D6" w14:textId="7777777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bl>
    <w:p w14:paraId="2BB5B134" w14:textId="77777777" w:rsidR="00B37DB4" w:rsidRPr="00E93F40" w:rsidRDefault="00B37DB4" w:rsidP="00E93F40">
      <w:pPr>
        <w:pStyle w:val="ae"/>
        <w:spacing w:before="0" w:after="0"/>
        <w:jc w:val="both"/>
        <w:rPr>
          <w:color w:val="000000" w:themeColor="text1"/>
          <w:sz w:val="16"/>
          <w:szCs w:val="16"/>
        </w:rPr>
      </w:pPr>
      <w:r w:rsidRPr="00E93F40">
        <w:rPr>
          <w:rStyle w:val="af0"/>
          <w:i w:val="0"/>
          <w:color w:val="000000" w:themeColor="text1"/>
          <w:sz w:val="16"/>
          <w:szCs w:val="16"/>
        </w:rPr>
        <w:t>И. Соловьев</w:t>
      </w:r>
    </w:p>
    <w:p w14:paraId="745BE1EB" w14:textId="77777777" w:rsidR="00B37DB4" w:rsidRPr="00E93F40" w:rsidRDefault="00B37DB4"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03F6DFE6" w14:textId="4F8F9949" w:rsidR="00B37DB4" w:rsidRPr="00E93F40" w:rsidRDefault="00B37DB4"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По повтор. продсостав</w:t>
      </w:r>
      <w:r w:rsidR="007C1411" w:rsidRPr="00E93F40">
        <w:rPr>
          <w:color w:val="000000" w:themeColor="text1"/>
          <w:sz w:val="16"/>
          <w:szCs w:val="16"/>
        </w:rPr>
        <w:t xml:space="preserve"> </w:t>
      </w:r>
      <w:r w:rsidRPr="00E93F40">
        <w:rPr>
          <w:color w:val="000000" w:themeColor="text1"/>
          <w:sz w:val="16"/>
          <w:szCs w:val="16"/>
        </w:rPr>
        <w:t>—44%, матер[иал]</w:t>
      </w:r>
      <w:r w:rsidR="007C1411" w:rsidRPr="00E93F40">
        <w:rPr>
          <w:color w:val="000000" w:themeColor="text1"/>
          <w:sz w:val="16"/>
          <w:szCs w:val="16"/>
        </w:rPr>
        <w:t xml:space="preserve"> </w:t>
      </w:r>
      <w:r w:rsidRPr="00E93F40">
        <w:rPr>
          <w:color w:val="000000" w:themeColor="text1"/>
          <w:sz w:val="16"/>
          <w:szCs w:val="16"/>
        </w:rPr>
        <w:t>— 2,5%, произв[одительность] труда</w:t>
      </w:r>
      <w:r w:rsidR="007C1411" w:rsidRPr="00E93F40">
        <w:rPr>
          <w:color w:val="000000" w:themeColor="text1"/>
          <w:sz w:val="16"/>
          <w:szCs w:val="16"/>
        </w:rPr>
        <w:t xml:space="preserve"> </w:t>
      </w:r>
      <w:r w:rsidRPr="00E93F40">
        <w:rPr>
          <w:color w:val="000000" w:themeColor="text1"/>
          <w:sz w:val="16"/>
          <w:szCs w:val="16"/>
        </w:rPr>
        <w:t>— 4[%] и другие расх[оды]</w:t>
      </w:r>
      <w:r w:rsidR="007C1411" w:rsidRPr="00E93F40">
        <w:rPr>
          <w:color w:val="000000" w:themeColor="text1"/>
          <w:sz w:val="16"/>
          <w:szCs w:val="16"/>
        </w:rPr>
        <w:t xml:space="preserve"> </w:t>
      </w:r>
      <w:r w:rsidRPr="00E93F40">
        <w:rPr>
          <w:color w:val="000000" w:themeColor="text1"/>
          <w:sz w:val="16"/>
          <w:szCs w:val="16"/>
        </w:rPr>
        <w:t>— 14,7[%] (</w:t>
      </w:r>
      <w:r w:rsidRPr="00E93F40">
        <w:rPr>
          <w:rStyle w:val="af0"/>
          <w:i w:val="0"/>
          <w:color w:val="000000" w:themeColor="text1"/>
          <w:sz w:val="16"/>
          <w:szCs w:val="16"/>
        </w:rPr>
        <w:t>Прим. док</w:t>
      </w:r>
      <w:r w:rsidRPr="00E93F40">
        <w:rPr>
          <w:color w:val="000000" w:themeColor="text1"/>
          <w:sz w:val="16"/>
          <w:szCs w:val="16"/>
        </w:rPr>
        <w:t>.).</w:t>
      </w:r>
    </w:p>
    <w:p w14:paraId="30F820D8" w14:textId="69C6A0E0" w:rsidR="00B37DB4" w:rsidRPr="00E93F40" w:rsidRDefault="00B37DB4"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Знаменателями показана программа, числител[ями]</w:t>
      </w:r>
      <w:r w:rsidR="007C1411" w:rsidRPr="00E93F40">
        <w:rPr>
          <w:color w:val="000000" w:themeColor="text1"/>
          <w:sz w:val="16"/>
          <w:szCs w:val="16"/>
        </w:rPr>
        <w:t xml:space="preserve"> </w:t>
      </w:r>
      <w:r w:rsidRPr="00E93F40">
        <w:rPr>
          <w:color w:val="000000" w:themeColor="text1"/>
          <w:sz w:val="16"/>
          <w:szCs w:val="16"/>
        </w:rPr>
        <w:t>— выполнение. В суммарном выражении показано по товарной продукции (</w:t>
      </w:r>
      <w:r w:rsidRPr="00E93F40">
        <w:rPr>
          <w:rStyle w:val="af0"/>
          <w:i w:val="0"/>
          <w:color w:val="000000" w:themeColor="text1"/>
          <w:sz w:val="16"/>
          <w:szCs w:val="16"/>
        </w:rPr>
        <w:t>Прим. док</w:t>
      </w:r>
      <w:r w:rsidRPr="00E93F40">
        <w:rPr>
          <w:color w:val="000000" w:themeColor="text1"/>
          <w:sz w:val="16"/>
          <w:szCs w:val="16"/>
        </w:rPr>
        <w:t>.).</w:t>
      </w:r>
    </w:p>
    <w:p w14:paraId="3A10D157" w14:textId="77777777" w:rsidR="00B37DB4" w:rsidRPr="00E93F40" w:rsidRDefault="00B37DB4" w:rsidP="00E93F40">
      <w:pPr>
        <w:pStyle w:val="ae"/>
        <w:spacing w:before="0" w:after="0"/>
        <w:jc w:val="both"/>
        <w:rPr>
          <w:color w:val="000000" w:themeColor="text1"/>
          <w:sz w:val="16"/>
          <w:szCs w:val="16"/>
        </w:rPr>
      </w:pPr>
      <w:r w:rsidRPr="00E93F40">
        <w:rPr>
          <w:color w:val="000000" w:themeColor="text1"/>
          <w:sz w:val="16"/>
          <w:szCs w:val="16"/>
        </w:rPr>
        <w:t>РГАЭ. Ф. 4372. Оп. 91. Д. 1099. Л. 22. Копия.</w:t>
      </w:r>
    </w:p>
    <w:p w14:paraId="323BCC66" w14:textId="71857C07"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РГАЭ. Ф. 4372. Оп. 91. Д. 1099. Л. 22. Копия. </w:t>
      </w:r>
    </w:p>
    <w:p w14:paraId="3B1D3E12" w14:textId="34A308F3" w:rsidR="00B37DB4" w:rsidRPr="00E93F40" w:rsidRDefault="00B37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654-655 (12556).</w:t>
      </w:r>
    </w:p>
    <w:p w14:paraId="6BE30A49" w14:textId="77777777" w:rsidR="00B37DB4" w:rsidRPr="00E93F40" w:rsidRDefault="00B37DB4" w:rsidP="00E93F40">
      <w:pPr>
        <w:spacing w:after="0" w:line="240" w:lineRule="auto"/>
        <w:jc w:val="both"/>
        <w:rPr>
          <w:rFonts w:ascii="Times New Roman" w:hAnsi="Times New Roman"/>
          <w:color w:val="000000" w:themeColor="text1"/>
          <w:sz w:val="16"/>
          <w:szCs w:val="16"/>
        </w:rPr>
      </w:pPr>
    </w:p>
    <w:p w14:paraId="000E72E2" w14:textId="77777777" w:rsidR="007F0EE1"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559EBFE" w14:textId="77777777" w:rsidR="007F0EE1" w:rsidRPr="00E93F40" w:rsidRDefault="007F0EE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BF4957" w14:textId="77777777" w:rsidR="007F0EE1" w:rsidRPr="00E93F40" w:rsidRDefault="007F0EE1" w:rsidP="00E93F40">
      <w:pPr>
        <w:spacing w:after="0" w:line="240" w:lineRule="auto"/>
        <w:jc w:val="both"/>
        <w:rPr>
          <w:rStyle w:val="t3100"/>
          <w:color w:val="000000" w:themeColor="text1"/>
          <w:sz w:val="16"/>
          <w:szCs w:val="16"/>
        </w:rPr>
      </w:pPr>
      <w:r w:rsidRPr="00E93F40">
        <w:rPr>
          <w:rStyle w:val="t3100"/>
          <w:bCs/>
          <w:color w:val="000000" w:themeColor="text1"/>
          <w:sz w:val="16"/>
          <w:szCs w:val="16"/>
        </w:rPr>
        <w:t xml:space="preserve">13 марта 1932 </w:t>
      </w:r>
      <w:r w:rsidRPr="00E93F40">
        <w:rPr>
          <w:rStyle w:val="t3100"/>
          <w:color w:val="000000" w:themeColor="text1"/>
          <w:sz w:val="16"/>
          <w:szCs w:val="16"/>
        </w:rPr>
        <w:t>Докладная записка хозяйственного</w:t>
      </w:r>
      <w:r w:rsidRPr="00E93F40">
        <w:rPr>
          <w:rStyle w:val="t3100"/>
          <w:bCs/>
          <w:color w:val="000000" w:themeColor="text1"/>
          <w:sz w:val="16"/>
          <w:szCs w:val="16"/>
        </w:rPr>
        <w:t>отдела ОГПУ</w:t>
      </w:r>
      <w:r w:rsidRPr="00E93F40">
        <w:rPr>
          <w:rStyle w:val="t3100"/>
          <w:color w:val="000000" w:themeColor="text1"/>
          <w:sz w:val="16"/>
          <w:szCs w:val="16"/>
        </w:rPr>
        <w:t xml:space="preserve"> в Секретариат Председателя ЦИК СССР и ВЦИК РСФСР:</w:t>
      </w:r>
    </w:p>
    <w:p w14:paraId="366D5C75" w14:textId="7B1D514B" w:rsidR="007F0EE1" w:rsidRPr="00E93F40" w:rsidRDefault="007F0EE1" w:rsidP="00E93F40">
      <w:pPr>
        <w:spacing w:after="0" w:line="240" w:lineRule="auto"/>
        <w:jc w:val="both"/>
        <w:rPr>
          <w:rStyle w:val="t3100"/>
          <w:color w:val="000000" w:themeColor="text1"/>
          <w:sz w:val="16"/>
          <w:szCs w:val="16"/>
        </w:rPr>
      </w:pPr>
      <w:r w:rsidRPr="00E93F40">
        <w:rPr>
          <w:rStyle w:val="t3100"/>
          <w:color w:val="000000" w:themeColor="text1"/>
          <w:sz w:val="16"/>
          <w:szCs w:val="16"/>
        </w:rPr>
        <w:t>«В ПОСТОЯННУЮ ЦЕНТРАЛЬНУЮ КОМИССИЮ ПРИ ПРЕЗИДИУМЕ ВЦИК ПО</w:t>
      </w:r>
      <w:r w:rsidR="00DD74E1">
        <w:rPr>
          <w:rStyle w:val="t3100"/>
          <w:color w:val="000000" w:themeColor="text1"/>
          <w:sz w:val="16"/>
          <w:szCs w:val="16"/>
        </w:rPr>
        <w:t xml:space="preserve"> </w:t>
      </w:r>
      <w:r w:rsidRPr="00E93F40">
        <w:rPr>
          <w:rStyle w:val="t3100"/>
          <w:color w:val="000000" w:themeColor="text1"/>
          <w:sz w:val="16"/>
          <w:szCs w:val="16"/>
        </w:rPr>
        <w:t>ВОПРОСАМ КУЛЬТОВ.</w:t>
      </w:r>
    </w:p>
    <w:p w14:paraId="1C80C3C8" w14:textId="77777777" w:rsidR="007F0EE1" w:rsidRPr="00E93F40" w:rsidRDefault="007F0EE1" w:rsidP="00E93F40">
      <w:pPr>
        <w:spacing w:after="0" w:line="240" w:lineRule="auto"/>
        <w:jc w:val="both"/>
        <w:rPr>
          <w:rStyle w:val="t3100"/>
          <w:color w:val="000000" w:themeColor="text1"/>
          <w:sz w:val="16"/>
          <w:szCs w:val="16"/>
        </w:rPr>
      </w:pPr>
      <w:r w:rsidRPr="00E93F40">
        <w:rPr>
          <w:rStyle w:val="t3100"/>
          <w:color w:val="000000" w:themeColor="text1"/>
          <w:sz w:val="16"/>
          <w:szCs w:val="16"/>
        </w:rPr>
        <w:t>Секретно.</w:t>
      </w:r>
    </w:p>
    <w:p w14:paraId="12E389E1" w14:textId="5A6D7873" w:rsidR="007F0EE1" w:rsidRPr="00E93F40" w:rsidRDefault="007F0EE1" w:rsidP="00E93F40">
      <w:pPr>
        <w:spacing w:after="0" w:line="240" w:lineRule="auto"/>
        <w:jc w:val="both"/>
        <w:rPr>
          <w:rStyle w:val="t3100"/>
          <w:color w:val="000000" w:themeColor="text1"/>
          <w:sz w:val="16"/>
          <w:szCs w:val="16"/>
        </w:rPr>
      </w:pPr>
      <w:r w:rsidRPr="00E93F40">
        <w:rPr>
          <w:rStyle w:val="t3100"/>
          <w:color w:val="000000" w:themeColor="text1"/>
          <w:sz w:val="16"/>
          <w:szCs w:val="16"/>
        </w:rPr>
        <w:t>Практика работы ХОЗО ОГПУ по извлечению золота из старого церковного имущества (иконостасы, киоты, паникадилы, купола и т.д.) показала, что несмотря на ту большую ценность,</w:t>
      </w:r>
      <w:r w:rsidR="00DD74E1">
        <w:rPr>
          <w:rStyle w:val="t3100"/>
          <w:color w:val="000000" w:themeColor="text1"/>
          <w:sz w:val="16"/>
          <w:szCs w:val="16"/>
        </w:rPr>
        <w:t xml:space="preserve"> </w:t>
      </w:r>
      <w:r w:rsidRPr="00E93F40">
        <w:rPr>
          <w:rStyle w:val="t3100"/>
          <w:color w:val="000000" w:themeColor="text1"/>
          <w:sz w:val="16"/>
          <w:szCs w:val="16"/>
        </w:rPr>
        <w:t>которую представляет из себя указанное имущество, на местах, и особенно в районах, делу</w:t>
      </w:r>
      <w:r w:rsidR="00DD74E1">
        <w:rPr>
          <w:rStyle w:val="t3100"/>
          <w:color w:val="000000" w:themeColor="text1"/>
          <w:sz w:val="16"/>
          <w:szCs w:val="16"/>
        </w:rPr>
        <w:t xml:space="preserve"> </w:t>
      </w:r>
      <w:r w:rsidRPr="00E93F40">
        <w:rPr>
          <w:rStyle w:val="t3100"/>
          <w:color w:val="000000" w:themeColor="text1"/>
          <w:sz w:val="16"/>
          <w:szCs w:val="16"/>
        </w:rPr>
        <w:t>сохранности и сдачи его нам на переработку (смывку) не придают должного значения, уделяют ему чрезвычайно малое внимание, и благодаря небрежному, а подчас и преступному обращению</w:t>
      </w:r>
      <w:r w:rsidR="00DD74E1">
        <w:rPr>
          <w:rStyle w:val="t3100"/>
          <w:color w:val="000000" w:themeColor="text1"/>
          <w:sz w:val="16"/>
          <w:szCs w:val="16"/>
        </w:rPr>
        <w:t xml:space="preserve"> </w:t>
      </w:r>
      <w:r w:rsidRPr="00E93F40">
        <w:rPr>
          <w:rStyle w:val="t3100"/>
          <w:color w:val="000000" w:themeColor="text1"/>
          <w:sz w:val="16"/>
          <w:szCs w:val="16"/>
        </w:rPr>
        <w:t>с этим имуществом, гибнет не один десяток килограммов золота.</w:t>
      </w:r>
    </w:p>
    <w:p w14:paraId="3E2D3562" w14:textId="229C1F9E" w:rsidR="007F0EE1" w:rsidRPr="00E93F40" w:rsidRDefault="007F0EE1" w:rsidP="00E93F40">
      <w:pPr>
        <w:spacing w:after="0" w:line="240" w:lineRule="auto"/>
        <w:jc w:val="both"/>
        <w:rPr>
          <w:rStyle w:val="t3100"/>
          <w:color w:val="000000" w:themeColor="text1"/>
          <w:sz w:val="16"/>
          <w:szCs w:val="16"/>
        </w:rPr>
      </w:pPr>
      <w:r w:rsidRPr="00E93F40">
        <w:rPr>
          <w:rStyle w:val="t3100"/>
          <w:color w:val="000000" w:themeColor="text1"/>
          <w:sz w:val="16"/>
          <w:szCs w:val="16"/>
        </w:rPr>
        <w:t>Нами оповещены все районы путем непосредственной рассылки на места всего законодательного материала и инструкции НКФ РСФСР, однако, наши представители, обследуя</w:t>
      </w:r>
      <w:r w:rsidR="00DD74E1">
        <w:rPr>
          <w:rStyle w:val="t3100"/>
          <w:color w:val="000000" w:themeColor="text1"/>
          <w:sz w:val="16"/>
          <w:szCs w:val="16"/>
        </w:rPr>
        <w:t xml:space="preserve"> </w:t>
      </w:r>
      <w:r w:rsidRPr="00E93F40">
        <w:rPr>
          <w:rStyle w:val="t3100"/>
          <w:color w:val="000000" w:themeColor="text1"/>
          <w:sz w:val="16"/>
          <w:szCs w:val="16"/>
        </w:rPr>
        <w:t>районы для выявления золоченого имущества, лишь в редких случаях не находят завалявшегося,</w:t>
      </w:r>
      <w:r w:rsidR="00DD74E1">
        <w:rPr>
          <w:rStyle w:val="t3100"/>
          <w:color w:val="000000" w:themeColor="text1"/>
          <w:sz w:val="16"/>
          <w:szCs w:val="16"/>
        </w:rPr>
        <w:t xml:space="preserve"> </w:t>
      </w:r>
      <w:r w:rsidRPr="00E93F40">
        <w:rPr>
          <w:rStyle w:val="t3100"/>
          <w:color w:val="000000" w:themeColor="text1"/>
          <w:sz w:val="16"/>
          <w:szCs w:val="16"/>
        </w:rPr>
        <w:t>беспризорного золоченого имущества, причем не всегда районы уясняют себе ту ценность,</w:t>
      </w:r>
      <w:r w:rsidR="00DD74E1">
        <w:rPr>
          <w:rStyle w:val="t3100"/>
          <w:color w:val="000000" w:themeColor="text1"/>
          <w:sz w:val="16"/>
          <w:szCs w:val="16"/>
        </w:rPr>
        <w:t xml:space="preserve"> </w:t>
      </w:r>
      <w:r w:rsidRPr="00E93F40">
        <w:rPr>
          <w:rStyle w:val="t3100"/>
          <w:color w:val="000000" w:themeColor="text1"/>
          <w:sz w:val="16"/>
          <w:szCs w:val="16"/>
        </w:rPr>
        <w:t>которую действительно представляет из себя это имущество. Наряду с этим нами зафиксированы</w:t>
      </w:r>
      <w:r w:rsidR="00DD74E1">
        <w:rPr>
          <w:rStyle w:val="t3100"/>
          <w:color w:val="000000" w:themeColor="text1"/>
          <w:sz w:val="16"/>
          <w:szCs w:val="16"/>
        </w:rPr>
        <w:t xml:space="preserve"> </w:t>
      </w:r>
      <w:r w:rsidRPr="00E93F40">
        <w:rPr>
          <w:rStyle w:val="t3100"/>
          <w:color w:val="000000" w:themeColor="text1"/>
          <w:sz w:val="16"/>
          <w:szCs w:val="16"/>
        </w:rPr>
        <w:t>случаи передачи золоченых иконостасов разным организациям в качестве строительного или поделочного материала,</w:t>
      </w:r>
      <w:r w:rsidR="00DD74E1">
        <w:rPr>
          <w:rStyle w:val="t3100"/>
          <w:color w:val="000000" w:themeColor="text1"/>
          <w:sz w:val="16"/>
          <w:szCs w:val="16"/>
        </w:rPr>
        <w:t xml:space="preserve"> </w:t>
      </w:r>
      <w:r w:rsidRPr="00E93F40">
        <w:rPr>
          <w:rStyle w:val="t3100"/>
          <w:color w:val="000000" w:themeColor="text1"/>
          <w:sz w:val="16"/>
          <w:szCs w:val="16"/>
        </w:rPr>
        <w:t>а то и просто их сжигают как топливо. Помимо этого нами выявлено</w:t>
      </w:r>
      <w:r w:rsidR="00DD74E1">
        <w:rPr>
          <w:rStyle w:val="t3100"/>
          <w:color w:val="000000" w:themeColor="text1"/>
          <w:sz w:val="16"/>
          <w:szCs w:val="16"/>
        </w:rPr>
        <w:t xml:space="preserve"> </w:t>
      </w:r>
      <w:r w:rsidRPr="00E93F40">
        <w:rPr>
          <w:rStyle w:val="t3100"/>
          <w:color w:val="000000" w:themeColor="text1"/>
          <w:sz w:val="16"/>
          <w:szCs w:val="16"/>
        </w:rPr>
        <w:t>большое количество церквей, фактически не функционирующих, но закрытие коих юридически не оформлено; в большинстве случаев иконостасы указанных церквей разобраны и перевезены в</w:t>
      </w:r>
      <w:r w:rsidR="00DD74E1">
        <w:rPr>
          <w:rStyle w:val="t3100"/>
          <w:color w:val="000000" w:themeColor="text1"/>
          <w:sz w:val="16"/>
          <w:szCs w:val="16"/>
        </w:rPr>
        <w:t xml:space="preserve"> </w:t>
      </w:r>
      <w:r w:rsidRPr="00E93F40">
        <w:rPr>
          <w:rStyle w:val="t3100"/>
          <w:color w:val="000000" w:themeColor="text1"/>
          <w:sz w:val="16"/>
          <w:szCs w:val="16"/>
        </w:rPr>
        <w:t>другое место, а к смывке с них золота нас все-таки не допускают на том основании, что церковь формально считается не закрытой.</w:t>
      </w:r>
    </w:p>
    <w:p w14:paraId="6765D6BA" w14:textId="2B80670D" w:rsidR="007F0EE1" w:rsidRPr="00E93F40" w:rsidRDefault="007F0EE1" w:rsidP="00E93F40">
      <w:pPr>
        <w:spacing w:after="0" w:line="240" w:lineRule="auto"/>
        <w:jc w:val="both"/>
        <w:rPr>
          <w:rStyle w:val="t3100"/>
          <w:color w:val="000000" w:themeColor="text1"/>
          <w:sz w:val="16"/>
          <w:szCs w:val="16"/>
        </w:rPr>
      </w:pPr>
      <w:r w:rsidRPr="00E93F40">
        <w:rPr>
          <w:rStyle w:val="t3100"/>
          <w:color w:val="000000" w:themeColor="text1"/>
          <w:sz w:val="16"/>
          <w:szCs w:val="16"/>
        </w:rPr>
        <w:t>Прилагаемые акты обследования только по Ср. Волжскому краю достаточно убедительно</w:t>
      </w:r>
      <w:r w:rsidR="00DD74E1">
        <w:rPr>
          <w:rStyle w:val="t3100"/>
          <w:color w:val="000000" w:themeColor="text1"/>
          <w:sz w:val="16"/>
          <w:szCs w:val="16"/>
        </w:rPr>
        <w:t xml:space="preserve"> </w:t>
      </w:r>
      <w:r w:rsidRPr="00E93F40">
        <w:rPr>
          <w:rStyle w:val="t3100"/>
          <w:color w:val="000000" w:themeColor="text1"/>
          <w:sz w:val="16"/>
          <w:szCs w:val="16"/>
        </w:rPr>
        <w:t>говорят за то, что как областные, так и районные учреждения безобразно относятся к</w:t>
      </w:r>
      <w:r w:rsidR="00DD74E1">
        <w:rPr>
          <w:rStyle w:val="t3100"/>
          <w:color w:val="000000" w:themeColor="text1"/>
          <w:sz w:val="16"/>
          <w:szCs w:val="16"/>
        </w:rPr>
        <w:t xml:space="preserve"> </w:t>
      </w:r>
      <w:r w:rsidRPr="00E93F40">
        <w:rPr>
          <w:rStyle w:val="t3100"/>
          <w:color w:val="000000" w:themeColor="text1"/>
          <w:sz w:val="16"/>
          <w:szCs w:val="16"/>
        </w:rPr>
        <w:t>церковному золоченому имуществу, допуская гибель его...</w:t>
      </w:r>
    </w:p>
    <w:p w14:paraId="48EB8D83" w14:textId="3CC479A1" w:rsidR="007F0EE1" w:rsidRPr="00E93F40" w:rsidRDefault="007F0EE1" w:rsidP="00E93F40">
      <w:pPr>
        <w:spacing w:after="0" w:line="240" w:lineRule="auto"/>
        <w:jc w:val="both"/>
        <w:rPr>
          <w:rStyle w:val="t3100"/>
          <w:color w:val="000000" w:themeColor="text1"/>
          <w:sz w:val="16"/>
          <w:szCs w:val="16"/>
        </w:rPr>
      </w:pPr>
      <w:r w:rsidRPr="00E93F40">
        <w:rPr>
          <w:rStyle w:val="t3100"/>
          <w:color w:val="000000" w:themeColor="text1"/>
          <w:sz w:val="16"/>
          <w:szCs w:val="16"/>
        </w:rPr>
        <w:lastRenderedPageBreak/>
        <w:t>Вместе с тем ХОЗО ОГПУ считает необходимым поставить в известность, что, ввиду</w:t>
      </w:r>
      <w:r w:rsidR="00DD74E1">
        <w:rPr>
          <w:rStyle w:val="t3100"/>
          <w:color w:val="000000" w:themeColor="text1"/>
          <w:sz w:val="16"/>
          <w:szCs w:val="16"/>
        </w:rPr>
        <w:t xml:space="preserve"> </w:t>
      </w:r>
      <w:r w:rsidRPr="00E93F40">
        <w:rPr>
          <w:rStyle w:val="t3100"/>
          <w:color w:val="000000" w:themeColor="text1"/>
          <w:sz w:val="16"/>
          <w:szCs w:val="16"/>
        </w:rPr>
        <w:t>отсутствия в отдельных республиках (Украина, Белоруссия) централизованного аппарата по учету</w:t>
      </w:r>
      <w:r w:rsidR="00DD74E1">
        <w:rPr>
          <w:rStyle w:val="t3100"/>
          <w:color w:val="000000" w:themeColor="text1"/>
          <w:sz w:val="16"/>
          <w:szCs w:val="16"/>
        </w:rPr>
        <w:t xml:space="preserve"> </w:t>
      </w:r>
      <w:r w:rsidRPr="00E93F40">
        <w:rPr>
          <w:rStyle w:val="t3100"/>
          <w:color w:val="000000" w:themeColor="text1"/>
          <w:sz w:val="16"/>
          <w:szCs w:val="16"/>
        </w:rPr>
        <w:t>и передаче нам церковного имущества, таковое, несмотря на ряд закрытых церквей, к нам для извлечения золота не</w:t>
      </w:r>
      <w:r w:rsidR="00DD74E1">
        <w:rPr>
          <w:rStyle w:val="t3100"/>
          <w:color w:val="000000" w:themeColor="text1"/>
          <w:sz w:val="16"/>
          <w:szCs w:val="16"/>
        </w:rPr>
        <w:t xml:space="preserve"> </w:t>
      </w:r>
      <w:r w:rsidRPr="00E93F40">
        <w:rPr>
          <w:rStyle w:val="t3100"/>
          <w:color w:val="000000" w:themeColor="text1"/>
          <w:sz w:val="16"/>
          <w:szCs w:val="16"/>
        </w:rPr>
        <w:t>поступает».</w:t>
      </w:r>
      <w:r w:rsidRPr="00E93F40">
        <w:rPr>
          <w:rFonts w:ascii="Times New Roman" w:hAnsi="Times New Roman"/>
          <w:color w:val="000000" w:themeColor="text1"/>
          <w:sz w:val="16"/>
          <w:szCs w:val="16"/>
        </w:rPr>
        <w:br/>
      </w:r>
      <w:r w:rsidRPr="00E93F40">
        <w:rPr>
          <w:rStyle w:val="t3100"/>
          <w:color w:val="000000" w:themeColor="text1"/>
          <w:sz w:val="16"/>
          <w:szCs w:val="16"/>
        </w:rPr>
        <w:t>Подписи.</w:t>
      </w:r>
      <w:r w:rsidR="007C1411" w:rsidRPr="00E93F40">
        <w:rPr>
          <w:rStyle w:val="t3100"/>
          <w:color w:val="000000" w:themeColor="text1"/>
          <w:sz w:val="16"/>
          <w:szCs w:val="16"/>
        </w:rPr>
        <w:t xml:space="preserve"> </w:t>
      </w:r>
    </w:p>
    <w:p w14:paraId="0FA0C2AB" w14:textId="7C2B7E7D" w:rsidR="007F0EE1" w:rsidRPr="00E93F40" w:rsidRDefault="007F0EE1" w:rsidP="00E93F40">
      <w:pPr>
        <w:spacing w:after="0" w:line="240" w:lineRule="auto"/>
        <w:jc w:val="both"/>
        <w:rPr>
          <w:rStyle w:val="t3100"/>
          <w:iCs/>
          <w:color w:val="000000" w:themeColor="text1"/>
          <w:sz w:val="16"/>
          <w:szCs w:val="16"/>
        </w:rPr>
      </w:pPr>
      <w:r w:rsidRPr="00E93F40">
        <w:rPr>
          <w:rStyle w:val="t3100"/>
          <w:iCs/>
          <w:color w:val="000000" w:themeColor="text1"/>
          <w:sz w:val="16"/>
          <w:szCs w:val="16"/>
        </w:rPr>
        <w:t>ГАРФ. Машинописная</w:t>
      </w:r>
      <w:r w:rsidR="00DD74E1">
        <w:rPr>
          <w:rStyle w:val="t3100"/>
          <w:iCs/>
          <w:color w:val="000000" w:themeColor="text1"/>
          <w:sz w:val="16"/>
          <w:szCs w:val="16"/>
        </w:rPr>
        <w:t xml:space="preserve"> </w:t>
      </w:r>
      <w:r w:rsidRPr="00E93F40">
        <w:rPr>
          <w:rStyle w:val="t3100"/>
          <w:iCs/>
          <w:color w:val="000000" w:themeColor="text1"/>
          <w:sz w:val="16"/>
          <w:szCs w:val="16"/>
        </w:rPr>
        <w:t>копия.</w:t>
      </w:r>
    </w:p>
    <w:p w14:paraId="2558D910" w14:textId="496800E3" w:rsidR="007F0EE1" w:rsidRPr="00E93F40" w:rsidRDefault="007F0EE1" w:rsidP="00E93F40">
      <w:pPr>
        <w:spacing w:after="0" w:line="240" w:lineRule="auto"/>
        <w:jc w:val="both"/>
        <w:rPr>
          <w:rFonts w:ascii="Times New Roman" w:hAnsi="Times New Roman"/>
          <w:color w:val="000000" w:themeColor="text1"/>
          <w:sz w:val="16"/>
          <w:szCs w:val="16"/>
        </w:rPr>
      </w:pPr>
      <w:r w:rsidRPr="00E93F40">
        <w:rPr>
          <w:rStyle w:val="t3100"/>
          <w:iCs/>
          <w:color w:val="000000" w:themeColor="text1"/>
          <w:sz w:val="16"/>
          <w:szCs w:val="16"/>
        </w:rPr>
        <w:t>РПЦ и ком.</w:t>
      </w:r>
      <w:r w:rsidR="00DD74E1">
        <w:rPr>
          <w:rStyle w:val="t3100"/>
          <w:iCs/>
          <w:color w:val="000000" w:themeColor="text1"/>
          <w:sz w:val="16"/>
          <w:szCs w:val="16"/>
        </w:rPr>
        <w:t xml:space="preserve"> </w:t>
      </w:r>
      <w:r w:rsidRPr="00E93F40">
        <w:rPr>
          <w:rStyle w:val="t3100"/>
          <w:iCs/>
          <w:color w:val="000000" w:themeColor="text1"/>
          <w:sz w:val="16"/>
          <w:szCs w:val="16"/>
        </w:rPr>
        <w:t>гос. Стр.292-293 (17251).</w:t>
      </w:r>
    </w:p>
    <w:p w14:paraId="5C8C0477" w14:textId="77777777" w:rsidR="007F0EE1" w:rsidRPr="00E93F40" w:rsidRDefault="007F0EE1" w:rsidP="00E93F40">
      <w:pPr>
        <w:spacing w:after="0" w:line="240" w:lineRule="auto"/>
        <w:jc w:val="both"/>
        <w:rPr>
          <w:rFonts w:ascii="Times New Roman" w:hAnsi="Times New Roman"/>
          <w:color w:val="000000" w:themeColor="text1"/>
          <w:sz w:val="16"/>
          <w:szCs w:val="16"/>
        </w:rPr>
      </w:pPr>
    </w:p>
    <w:p w14:paraId="0294384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B3FB69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4D6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марта 1932 в германии на президентских выборах победил Пауль фон Гинденбург, получивший 18.6 млн. голосов, против 11.3 млн., полученных А.Г. и 4.9 Э.Тельмана. Однако, абсолютного большинства не было и новые выборы назначили на 10 апреля (3907,172).</w:t>
      </w:r>
    </w:p>
    <w:p w14:paraId="03AABB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E1602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C32266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F6F237" w14:textId="77777777" w:rsidR="00AC6AC7" w:rsidRPr="00E93F40" w:rsidRDefault="00AC6AC7" w:rsidP="00E93F40">
      <w:pPr>
        <w:pStyle w:val="ae"/>
        <w:shd w:val="clear" w:color="auto" w:fill="FFFFFF"/>
        <w:spacing w:before="0" w:after="0"/>
        <w:jc w:val="both"/>
        <w:rPr>
          <w:color w:val="000000" w:themeColor="text1"/>
          <w:sz w:val="16"/>
          <w:szCs w:val="16"/>
        </w:rPr>
      </w:pPr>
      <w:r w:rsidRPr="00E93F40">
        <w:rPr>
          <w:color w:val="000000" w:themeColor="text1"/>
          <w:sz w:val="16"/>
          <w:szCs w:val="16"/>
        </w:rPr>
        <w:t>14 марта 1932 года началось строительство нового транзитного узла на разъезде Безымянка. А в августе 1932 года возобновилось строительство железнодорожно-ремонтного завода и жилья для рабочих. 26 декабря 1935 года завод был сдан в эксплуатацию, в 1936 году он получил название КЗЗЧ (Куйбышевский завод запасных частей) имени В.В.Куйбышева. На нем работало около двух тысяч человек. Для них было построено около 50 бараков и несколько двухэтажных деревянных домов. А в 1937 году на Безымянке впервые появились 5 четырехэтажных многоквартирных домов и клуб завода «Сажерез». Завод выпускал паровозные и вагонные рессоры, буксы, оси, пружины. Это было первое промышленное предприятие Безымянки, которая к этому времени стала официально именоваться станцией.</w:t>
      </w:r>
    </w:p>
    <w:p w14:paraId="0EB6EA72" w14:textId="77777777" w:rsidR="00AC6AC7" w:rsidRPr="00E93F40" w:rsidRDefault="00AC6AC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Практически одновременно с КЗЗЧ в Куйбышеве строился карбюраторный завод - первое в стране специализированное предприятие автопрома. 16 августа 1934 года он выпустил свою первую продукцию - карбюраторы для автомобилей Горьковского автозавода. Еще один крупный самарский завод «Автотрактородеталь» также наращивал выпуск продукции для своей отрасли. В недрах Госплана СССР вызревал проект строительства в Куйбышеве крупного автозавода. Вот как об этом писала газета «Волжская коммуна» 18 июня 1934 года.</w:t>
      </w:r>
    </w:p>
    <w:p w14:paraId="1A4CCF50" w14:textId="77777777" w:rsidR="00AC6AC7" w:rsidRPr="00E93F40" w:rsidRDefault="00AC6AC7" w:rsidP="00E93F40">
      <w:pPr>
        <w:pStyle w:val="ae"/>
        <w:shd w:val="clear" w:color="auto" w:fill="FFFFFF"/>
        <w:spacing w:before="0" w:after="0"/>
        <w:jc w:val="both"/>
        <w:rPr>
          <w:color w:val="000000" w:themeColor="text1"/>
          <w:sz w:val="16"/>
          <w:szCs w:val="16"/>
        </w:rPr>
      </w:pPr>
      <w:r w:rsidRPr="00E93F40">
        <w:rPr>
          <w:rStyle w:val="af0"/>
          <w:rFonts w:eastAsiaTheme="majorEastAsia"/>
          <w:color w:val="000000" w:themeColor="text1"/>
          <w:sz w:val="16"/>
          <w:szCs w:val="16"/>
        </w:rPr>
        <w:t>«План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w:t>
      </w:r>
    </w:p>
    <w:p w14:paraId="0FB9F6DF" w14:textId="77777777" w:rsidR="00AC6AC7" w:rsidRPr="00E93F40" w:rsidRDefault="00AC6AC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По проекту в цехах автомобильного гиганта будет занято 25 тысяч человек. Общая площадь промышленных зданий достигнет 400 тысяч квадратных метров.</w:t>
      </w:r>
    </w:p>
    <w:p w14:paraId="6C409570" w14:textId="77777777" w:rsidR="00AC6AC7" w:rsidRPr="00E93F40" w:rsidRDefault="00AC6AC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Самаро-Златоустовской железной дороги с одной стороны и рекой Самарой – с другой.</w:t>
      </w:r>
    </w:p>
    <w:p w14:paraId="04B1CE05" w14:textId="77777777" w:rsidR="00AC6AC7" w:rsidRPr="00E93F40" w:rsidRDefault="00AC6AC7" w:rsidP="00E93F40">
      <w:pPr>
        <w:pStyle w:val="ae"/>
        <w:shd w:val="clear" w:color="auto" w:fill="FFFFFF"/>
        <w:spacing w:before="0" w:after="0"/>
        <w:jc w:val="both"/>
        <w:rPr>
          <w:color w:val="000000" w:themeColor="text1"/>
          <w:sz w:val="16"/>
          <w:szCs w:val="16"/>
        </w:rPr>
      </w:pPr>
      <w:r w:rsidRPr="00E93F40">
        <w:rPr>
          <w:rStyle w:val="af0"/>
          <w:rFonts w:eastAsiaTheme="majorEastAsia"/>
          <w:color w:val="000000" w:themeColor="text1"/>
          <w:sz w:val="16"/>
          <w:szCs w:val="16"/>
        </w:rPr>
        <w:t>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Смышляевка могут предоставить часть уже готовой жилой площади для размещения рабчих-строителей и явиться в некоторой мере источником пополнения рабсилы».</w:t>
      </w:r>
    </w:p>
    <w:p w14:paraId="343951AF" w14:textId="77777777" w:rsidR="00AC6AC7" w:rsidRPr="00E93F40" w:rsidRDefault="00AC6AC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Коммунистическая партия играла в то время ведущую роль. Именно она решала, как развиваться стране. В марте 1939 года 18-й съезд ВКП(б) принял ряд важных для Куйбышевской области решений. Промышленность области должна была увеличить за пятилетие выпуск продукции машиностроения в 8 раз. Для энергетического обеспечения новостроек решено было построить Куйбышевскую ГЭС на реке Волге близ Жигулевских ворот и ТЭЦ на Безымянке.</w:t>
      </w:r>
    </w:p>
    <w:p w14:paraId="15FF8570" w14:textId="77777777" w:rsidR="00AC6AC7" w:rsidRPr="00E93F40" w:rsidRDefault="00AC6AC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Близ областного центра был заложен поселок Управленческий для гидростроителей. К нему подведена железнодорожная ветка, построена станция Средне-Волжская. Однако скоро стройка заглохла, так как на нее у страны не хватало средств. Тем не менее, задание партсъезда об увеличении выпуска промышленной продукции выполнялось. В 1939 году близ станции Безымянка началось строительство Безымянской ТЭЦ мощностью 100 тысяч киловатт, работающей на угле. К 1940 году сюда была проложена железнодорожная ветка и шоссейная дорога. Закладывались фундаменты будущих заводов тяжелых грузовиков и моторов к ним. Но скоро эти планы пришлось пересмотреть в корне. И причины для этого были более чем весомыми (19827).</w:t>
      </w:r>
    </w:p>
    <w:p w14:paraId="06AECB85" w14:textId="77777777" w:rsidR="00AC6AC7" w:rsidRPr="00E93F40" w:rsidRDefault="00AC6AC7" w:rsidP="00E93F40">
      <w:pPr>
        <w:pStyle w:val="ae"/>
        <w:shd w:val="clear" w:color="auto" w:fill="FFFFFF"/>
        <w:spacing w:before="0" w:after="0"/>
        <w:jc w:val="both"/>
        <w:rPr>
          <w:color w:val="000000" w:themeColor="text1"/>
          <w:sz w:val="16"/>
          <w:szCs w:val="16"/>
        </w:rPr>
      </w:pPr>
    </w:p>
    <w:p w14:paraId="7AC258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марта 1932 года был подписан Протокол Совещания по итогам проведенных войсковых испытаний ВОМИЗЫ 100 и торпеды ВВС 10/15 года высокого торпедометания и предстоящим испытаниям в 1932 году</w:t>
      </w:r>
    </w:p>
    <w:p w14:paraId="0CD48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Докладчик Бессонов</w:t>
      </w:r>
    </w:p>
    <w:p w14:paraId="50EF2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проведенных испытаний показали, что принцип сбрасывания _ВОМИЗЫ 100_ и торпеды обр. 10/15 года вполне себя оправдали и что оружие, как система высокого метания ВОМИЗ и торпед может быть принята на вооружение с последующей доработкой в процессе дополнительных испытаний (3786,28-30).</w:t>
      </w:r>
    </w:p>
    <w:p w14:paraId="020611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E36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марта 1932 на совещании у зам. начальника УВВС Межанинова предложили временно принять на вооружение высотную торпеду ВВС 10/15, но провести дополнительные войсковые испытания после внедрения подогревателя масла (оно мерзло) (561,6).</w:t>
      </w:r>
    </w:p>
    <w:p w14:paraId="57ECFE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DF0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марта 1932 г. на совещании, состоявшемся у заместителя началь</w:t>
      </w:r>
      <w:r w:rsidRPr="00E93F40">
        <w:rPr>
          <w:rFonts w:ascii="Times New Roman" w:hAnsi="Times New Roman"/>
          <w:color w:val="000000" w:themeColor="text1"/>
          <w:sz w:val="16"/>
          <w:szCs w:val="16"/>
        </w:rPr>
        <w:softHyphen/>
        <w:t>ника УВВС Меженинова, приняли ре</w:t>
      </w:r>
      <w:r w:rsidRPr="00E93F40">
        <w:rPr>
          <w:rFonts w:ascii="Times New Roman" w:hAnsi="Times New Roman"/>
          <w:color w:val="000000" w:themeColor="text1"/>
          <w:sz w:val="16"/>
          <w:szCs w:val="16"/>
        </w:rPr>
        <w:softHyphen/>
        <w:t>шение провести дополнительные ис</w:t>
      </w:r>
      <w:r w:rsidRPr="00E93F40">
        <w:rPr>
          <w:rFonts w:ascii="Times New Roman" w:hAnsi="Times New Roman"/>
          <w:color w:val="000000" w:themeColor="text1"/>
          <w:sz w:val="16"/>
          <w:szCs w:val="16"/>
        </w:rPr>
        <w:softHyphen/>
        <w:t>пытания, и только после этого торпе</w:t>
      </w:r>
      <w:r w:rsidRPr="00E93F40">
        <w:rPr>
          <w:rFonts w:ascii="Times New Roman" w:hAnsi="Times New Roman"/>
          <w:color w:val="000000" w:themeColor="text1"/>
          <w:sz w:val="16"/>
          <w:szCs w:val="16"/>
        </w:rPr>
        <w:softHyphen/>
        <w:t>да ВВС-10/15 в 1932 году поступила на вооружение под названием TAB-15 (4144).</w:t>
      </w:r>
    </w:p>
    <w:p w14:paraId="3C8C3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399C4F"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марта 1932 г.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 Таким образом, к исходу 1932 г. морская авиация располагала ограниченным количеством торпед двух типов,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(15117).</w:t>
      </w:r>
    </w:p>
    <w:p w14:paraId="3F2E841A" w14:textId="77777777" w:rsidR="00CC0809" w:rsidRPr="00E93F40" w:rsidRDefault="00CC0809" w:rsidP="00E93F40">
      <w:pPr>
        <w:spacing w:after="0" w:line="240" w:lineRule="auto"/>
        <w:jc w:val="both"/>
        <w:rPr>
          <w:rFonts w:ascii="Times New Roman" w:hAnsi="Times New Roman"/>
          <w:color w:val="000000" w:themeColor="text1"/>
          <w:sz w:val="16"/>
          <w:szCs w:val="16"/>
        </w:rPr>
      </w:pPr>
    </w:p>
    <w:p w14:paraId="768EA785"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марта 1932 г. на совещании, состоявшемся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 (15117).</w:t>
      </w:r>
    </w:p>
    <w:p w14:paraId="59BD7D7F" w14:textId="5101411E" w:rsidR="00CC0809" w:rsidRPr="00E93F40" w:rsidRDefault="00CC0809" w:rsidP="00E93F40">
      <w:pPr>
        <w:spacing w:after="0" w:line="240" w:lineRule="auto"/>
        <w:jc w:val="both"/>
        <w:rPr>
          <w:rFonts w:ascii="Times New Roman" w:hAnsi="Times New Roman"/>
          <w:color w:val="000000" w:themeColor="text1"/>
          <w:sz w:val="16"/>
          <w:szCs w:val="16"/>
        </w:rPr>
      </w:pPr>
    </w:p>
    <w:p w14:paraId="4FB48595"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14 марта 1932 г. на совещании, состоявшемся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 (25213).</w:t>
      </w:r>
    </w:p>
    <w:p w14:paraId="5B75966B" w14:textId="77777777" w:rsidR="002B2DA4" w:rsidRPr="00142305" w:rsidRDefault="002B2DA4" w:rsidP="002B2DA4">
      <w:pPr>
        <w:spacing w:after="0" w:line="240" w:lineRule="auto"/>
        <w:jc w:val="both"/>
        <w:rPr>
          <w:rFonts w:ascii="Times New Roman" w:hAnsi="Times New Roman"/>
          <w:color w:val="0070C0"/>
          <w:sz w:val="16"/>
          <w:szCs w:val="16"/>
        </w:rPr>
      </w:pPr>
    </w:p>
    <w:p w14:paraId="382C07DF" w14:textId="211C2CD8" w:rsidR="00FD57ED" w:rsidRPr="00E93F40" w:rsidRDefault="00FD57ED"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Внешняя политика:</w:t>
      </w:r>
    </w:p>
    <w:p w14:paraId="2C5820CF" w14:textId="77777777" w:rsidR="00FD57ED" w:rsidRPr="00E93F40" w:rsidRDefault="00FD57ED" w:rsidP="00E93F40">
      <w:pPr>
        <w:spacing w:after="0" w:line="240" w:lineRule="auto"/>
        <w:jc w:val="both"/>
        <w:rPr>
          <w:rFonts w:ascii="Times New Roman" w:hAnsi="Times New Roman"/>
          <w:i/>
          <w:iCs/>
          <w:color w:val="000000" w:themeColor="text1"/>
          <w:sz w:val="16"/>
          <w:szCs w:val="16"/>
        </w:rPr>
      </w:pPr>
    </w:p>
    <w:p w14:paraId="13D47DB3" w14:textId="77777777" w:rsidR="00FD57ED" w:rsidRPr="00E93F40" w:rsidRDefault="00FD57ED"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С 14 по 16 марта 1932 года сторожевик Морской пограничной охраны ОГПУ задержал в восточной части Баренцева моря десять норвежских зверобойных судов. И хотя почти сразу, 23 марта, нарушители после составления протокола были освобождены, посланник Норвегии в Москве Андреас Урби настоял на немедленной встрече с членом коллегии Наркоминдела Б.С. Стомоняковым. Зачитал ему ноту, которой информировали о решении Осло направить на место происшествия новейший корабль — вступивший в строй всего за год перед тем, «Фритьоф Нансен», вооруженный двумя 102-миллиметровыми орудиями и двумя 47-миллиметровыми пушками, имевший на палубе гидросамолет. Как объяснил Урби, «для помощи зверобойным судам, чтобы они не переходили линии убоя тюленей». Заодно он выразил пожелание своего правительства разрешить кораблю в случае необходимости заходить в порты СССР.</w:t>
      </w:r>
    </w:p>
    <w:p w14:paraId="59E70408" w14:textId="77777777" w:rsidR="00FD57ED" w:rsidRPr="00E93F40" w:rsidRDefault="00FD57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Б.С. Стомоняков расценил такого рода действия как совершенно неуместные. Правительство Норвегии, обеспокоенное немедленной отрицательной реакцией, не захотело усугублять конфликт и уведомило Москву, что «Фритьоф Нансен» уже получил приказ покинуть Баренцево море. Выразило надежду, что на том инцидент можно будет считать исчерпанным (20467).</w:t>
      </w:r>
    </w:p>
    <w:p w14:paraId="0E92961A" w14:textId="77777777" w:rsidR="00FD57ED" w:rsidRPr="00E93F40" w:rsidRDefault="00FD57ED" w:rsidP="00E93F40">
      <w:pPr>
        <w:spacing w:after="0" w:line="240" w:lineRule="auto"/>
        <w:jc w:val="both"/>
        <w:rPr>
          <w:rFonts w:ascii="Times New Roman" w:hAnsi="Times New Roman"/>
          <w:color w:val="000000" w:themeColor="text1"/>
          <w:sz w:val="16"/>
          <w:szCs w:val="16"/>
        </w:rPr>
      </w:pPr>
    </w:p>
    <w:p w14:paraId="5584456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E68741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1D98FD"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15 марта по 15 апреля 1932 г. должны были пройти войсковые испытания самолета И-7, но ни один самолет для них от завода №1 так и не поступил (24331).</w:t>
      </w:r>
    </w:p>
    <w:p w14:paraId="6482DBFA"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18396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года начальник ВВС Я. Алкснис писал письмо № 024 Тухачевскому</w:t>
      </w:r>
    </w:p>
    <w:p w14:paraId="6C54D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самолетах"Z" и И-12</w:t>
      </w:r>
    </w:p>
    <w:p w14:paraId="0D41D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обследовании положения с готовностью пушечных истребителей мною установлено:</w:t>
      </w:r>
    </w:p>
    <w:p w14:paraId="32419F7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Самолет И-12 с двумя пушками ДРП выпущен на заводские испытания в августе 1931 года. После первых полетов в самом самолете пришлось изменить костыли и хвостовое оперение.</w:t>
      </w:r>
    </w:p>
    <w:p w14:paraId="1A8ECF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ноября 1931 года на аэродроме Монино была проведена стрельба на земле. Всего было сделано 8 выстрелов. Повреждений как артсистемы, так и самого самолета после стрельбы не было. При перелете на Октябрьский аэродром самолет вновь подломал костыли.</w:t>
      </w:r>
    </w:p>
    <w:p w14:paraId="73ABE7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декабря 1931 года и первой половины января 1932 года ЦАГИ не работал на самолете по устранению дефектов и только 8 февраля 1932 года самолет был готов к испытанию. 8 февраля было сделано 26 выстрелов на земле: у стабилизатора подогнуты нервюры и погнута обшивка, пневматика заряжающего механизма пушки отказывала в действии. Хвостовое оперение ЦАГИ переделало вновь; на пушке изменена длина отводящей трубы и к 10 марта 1932 года самолет был готов к полету.</w:t>
      </w:r>
    </w:p>
    <w:p w14:paraId="24DCBE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Вследствие заносов на аэродроме первый полет с новым хвостовым оперением выполнен 13 марта 1932 года. Сейчас самолет и пушки подготовлены к стрельбе в воздухе, что будет произведено в первый полетный день на Монинском аэродроме.</w:t>
      </w:r>
    </w:p>
    <w:p w14:paraId="43911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заявлению Курчевского, он участвовал в разработке установок пушек и за самолетом специально наблюдает его представитель Каплюра, но ЦАГИ часто не слушало его указаний.</w:t>
      </w:r>
    </w:p>
    <w:p w14:paraId="3115A19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пушек самолета "Z" сделано 74 выстрела на земле и 10-12 выстрелов в воздухе. Задержка в доработке самолета главным образом происходит из-за неполадок с артсистемой, так как при испытаниях оторвало сопло, раздуло ствол, заедает стреляющий механизм, плохо работал подающий механизм, одновременно были неполадки с самим самолетом. Живучесть самолета и живучесть артсистемы в зависимости от количества выстрелов не выяснена, несмотря на это рабочие чертежи самолета готовы и производство подготовлено к выпуску серии.</w:t>
      </w:r>
    </w:p>
    <w:p w14:paraId="25E42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заявлению Курчевского, до самого последнего времени он не был допущен к самолету "Z" и ряд недочетов в артсистеме он относит за счет незнания и неумения обращаться с его пушками работников завода № 39. Он рекомендовал Надашкевичу взять заряд для пушки в 600 гр. пороха марки МСК, что дает начальную скорость 397 м/сек и несмотря на это Надашкевич все же требовал заряда 560 гр., утверждая что при этом заряде начальная скорость будет 420 м/сек.</w:t>
      </w:r>
    </w:p>
    <w:p w14:paraId="3D29DC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данное время Курчевский наблюдает за работой пушек на "Z", но он считает неправильными действия АУ, которое заказывает снаряды весом 3,7 кг, что ведет к уменьшению начальной скорости до 280 м/сек..Неполадки в заряжающем механизме надо отнести за счет слабого наблюдения со стороны АУ за выполнением капсюлей, которые изготовлены на 1 мм длиннее, чем на чертежах, что делает их непригодными для употребления. Химический состав капсюлей поставлен такой, что после воспламенения получается сильное окисление стреляющего механизма.</w:t>
      </w:r>
    </w:p>
    <w:p w14:paraId="09FB9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Данная система пушек при заряде 560 гр не будет надежно работать при температуре ниже 0 градусов, а для надежности работы надо иметь заряд не менее 590 гр.</w:t>
      </w:r>
    </w:p>
    <w:p w14:paraId="144AD5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"Z" с отлаженными механизмами и проверенными Курчевским пушками для заряда 560 гр. пороха марки МСК с 13 марта 1932 года готов к стрельбе в воздухе.</w:t>
      </w:r>
    </w:p>
    <w:p w14:paraId="15E4F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Мною поручено Новикову проследить подачу боевых снарядов в количестве 100 штук до 12 марта и 100 штук до 1 апреля 1932 года. Снаряды подавать в полном соответствии с испытаниями на НИОП в феврале 1931 года, т.е. вес снаряда 3 кг, вес заряда 600 гр. пороха марки МСК, что соответствует начальной скорости 397 м/сек. При этом заряде и снаряде пушка выдержала 80 выстрелов на полигоне.</w:t>
      </w:r>
    </w:p>
    <w:p w14:paraId="0C4E4F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Боевые снаряды на заводы до 13 марта 1932 года не поданы. Как только подача будет произведена, на обоих самолетах будет произведена боевая стрельба в воздухе по 50 снарядов на орудие.</w:t>
      </w:r>
    </w:p>
    <w:p w14:paraId="3354B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Задержки в стрельбе отношу: 1. К медленному ремонту и устранению неполадок на самолете И-12 в ЦАГИ и 2. К путанице в заказах на снаряды и неточность в изготовлении их по вине АУ и 3. Непривлечению 39 заводом Курчевского к проработке установки на " ", что повело к повторению ошибок в заряжающем механизме (7416, 58-59).</w:t>
      </w:r>
    </w:p>
    <w:p w14:paraId="53038E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71C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г. не ожидая решения Алксниса по своему рапорту от 22 февраля 1932 Бузанов, занимавший в то время должность начальника НИИ ВВС, дал распоряжение заключить договор с бюро новых конструкций на постройку самолета БНК-3 (3029,181).</w:t>
      </w:r>
    </w:p>
    <w:p w14:paraId="0A73A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1921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вышел приказ по НКТП (ГУАП) N 7 (154):</w:t>
      </w:r>
    </w:p>
    <w:p w14:paraId="2D94F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"...список учреждений и предприятий, остающихся в непосредственном ведении ГУАП и переходящих во вновь образуемые тресты:</w:t>
      </w:r>
    </w:p>
    <w:p w14:paraId="46826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Непосредственное видение ГУАП:</w:t>
      </w:r>
    </w:p>
    <w:p w14:paraId="14545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ИАМ, ГРОСС, ВТУЗы, техникумы</w:t>
      </w:r>
    </w:p>
    <w:p w14:paraId="03A23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Самолетостроительный трест:</w:t>
      </w:r>
    </w:p>
    <w:p w14:paraId="021E6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 1, 16, 18, 21, 23, 31, 39, ХАЗ, 22, школы ФЗУ</w:t>
      </w:r>
    </w:p>
    <w:p w14:paraId="62E07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Авиамоторный трест</w:t>
      </w:r>
    </w:p>
    <w:p w14:paraId="576F11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 19, 24, 29, 26 и им. Войкова, школы, ФЗУ</w:t>
      </w:r>
    </w:p>
    <w:p w14:paraId="5B0B7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Переходят в авиаремонтный трест</w:t>
      </w:r>
    </w:p>
    <w:p w14:paraId="623B90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Завода 20, 28, 32, 33, 34</w:t>
      </w:r>
    </w:p>
    <w:p w14:paraId="2227E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Контора подсобного производства авиапромышленности</w:t>
      </w:r>
    </w:p>
    <w:p w14:paraId="6EF75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 36 и 49</w:t>
      </w:r>
    </w:p>
    <w:p w14:paraId="231C98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Авиаснаббаза</w:t>
      </w:r>
    </w:p>
    <w:p w14:paraId="1B08C2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41, склады (2318,3).</w:t>
      </w:r>
    </w:p>
    <w:p w14:paraId="3A2A3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729AD2" w14:textId="31DB2358" w:rsidR="00AC6AC7" w:rsidRPr="00E93F40" w:rsidRDefault="00AC6AC7" w:rsidP="00E93F40">
      <w:pPr>
        <w:pStyle w:val="afff1"/>
        <w:shd w:val="clear" w:color="auto" w:fill="FFFFFF"/>
        <w:spacing w:before="0" w:beforeAutospacing="0" w:after="0" w:afterAutospacing="0"/>
        <w:jc w:val="both"/>
        <w:rPr>
          <w:color w:val="000000" w:themeColor="text1"/>
          <w:sz w:val="16"/>
          <w:szCs w:val="16"/>
        </w:rPr>
      </w:pPr>
      <w:r w:rsidRPr="00E93F40">
        <w:rPr>
          <w:color w:val="000000" w:themeColor="text1"/>
          <w:sz w:val="16"/>
          <w:szCs w:val="16"/>
        </w:rPr>
        <w:t>15 марта 1932 года</w:t>
      </w:r>
      <w:r w:rsidR="007C1411" w:rsidRPr="00E93F40">
        <w:rPr>
          <w:color w:val="000000" w:themeColor="text1"/>
          <w:sz w:val="16"/>
          <w:szCs w:val="16"/>
        </w:rPr>
        <w:t xml:space="preserve"> </w:t>
      </w:r>
      <w:r w:rsidRPr="00E93F40">
        <w:rPr>
          <w:color w:val="000000" w:themeColor="text1"/>
          <w:sz w:val="16"/>
          <w:szCs w:val="16"/>
        </w:rPr>
        <w:t>приказом по Народному комиссариату тяжелой промышленности СССР ряд заводов страны, в том числе, строящиеся в Воронеже заводы №16 и №18 были переведены в Самолетостроительный трест (19822).</w:t>
      </w:r>
    </w:p>
    <w:p w14:paraId="47AA1227" w14:textId="77777777" w:rsidR="00AC6AC7" w:rsidRPr="00E93F40" w:rsidRDefault="00AC6AC7" w:rsidP="00E93F40">
      <w:pPr>
        <w:pStyle w:val="afff1"/>
        <w:shd w:val="clear" w:color="auto" w:fill="FFFFFF"/>
        <w:spacing w:before="0" w:beforeAutospacing="0" w:after="0" w:afterAutospacing="0"/>
        <w:jc w:val="both"/>
        <w:rPr>
          <w:color w:val="000000" w:themeColor="text1"/>
          <w:sz w:val="16"/>
          <w:szCs w:val="16"/>
        </w:rPr>
      </w:pPr>
    </w:p>
    <w:p w14:paraId="62872DE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15 марта 1932 года Украинский научно-исследовательский институт двигателей внутреннего сгорания в системе ВСНХ УССР, затем Наркомтяжпрома, бывший Харьковский филиал Украинского научно-исследовательского института промэнергетики - бывшая харьковская Лаборатория двигателей внутреннего сгорания Украинского научно-исследовательского института промэнергетики, организованная 29 ноября 1929 года стал Научно-исследовательским институтом двигателей внутреннего сгорания (Харьковский филиал НИИ ГВФ). С 3 августа 1932 года Украинский научно-исследовательский авиадизельный институт Харьковский филиал НИИ авиационных двигателей ГВФ "Аэрофлота" (7726, 31-47).</w:t>
      </w:r>
    </w:p>
    <w:p w14:paraId="76F98E2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ED02D3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3635AF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5A49F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w:t>
      </w:r>
    </w:p>
    <w:p w14:paraId="57906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5952C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573F14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29F5EF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5AE42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7ED484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FB4BD7"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78993A50"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95F0CA5"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3E74D9E7"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23D84318"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3A92B0D5"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2896AF4D"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37CFE13C"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3D00807B"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574DC5AD"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5DA55344"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2A78343E" w14:textId="77777777" w:rsidR="00CC0809" w:rsidRPr="00E93F40" w:rsidRDefault="00CC0809" w:rsidP="00E93F40">
      <w:pPr>
        <w:spacing w:after="0" w:line="240" w:lineRule="auto"/>
        <w:jc w:val="both"/>
        <w:rPr>
          <w:rFonts w:ascii="Times New Roman" w:hAnsi="Times New Roman"/>
          <w:color w:val="000000" w:themeColor="text1"/>
          <w:sz w:val="16"/>
          <w:szCs w:val="16"/>
        </w:rPr>
      </w:pPr>
    </w:p>
    <w:p w14:paraId="527A549E"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15 марта 1932 г. на НИАПе было произведено испытание 305-мм мортиры ДРП Курчевского.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 см</w:t>
      </w:r>
      <w:r w:rsidRPr="00142305">
        <w:rPr>
          <w:rStyle w:val="aff"/>
          <w:rFonts w:ascii="Times New Roman" w:hAnsi="Times New Roman" w:cs="Times New Roman"/>
          <w:color w:val="0070C0"/>
          <w:spacing w:val="0"/>
          <w:sz w:val="16"/>
          <w:szCs w:val="16"/>
          <w:vertAlign w:val="superscript"/>
        </w:rPr>
        <w:t>2</w:t>
      </w:r>
      <w:r w:rsidRPr="00142305">
        <w:rPr>
          <w:rStyle w:val="aff"/>
          <w:rFonts w:ascii="Times New Roman" w:hAnsi="Times New Roman" w:cs="Times New Roman"/>
          <w:color w:val="0070C0"/>
          <w:spacing w:val="0"/>
          <w:sz w:val="16"/>
          <w:szCs w:val="16"/>
        </w:rPr>
        <w:t>.</w:t>
      </w:r>
    </w:p>
    <w:p w14:paraId="3A0D1607"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Понятно, что эта ДРП была лишь макетом орудия. Поэтому в 1933– 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312E236"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267CF907" w14:textId="77777777" w:rsidR="002B2DA4" w:rsidRPr="00142305" w:rsidRDefault="002B2DA4" w:rsidP="002B2DA4">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Испытания ее прошли неудачно, и в 1935 г. в план работ Курчевский включил разработать рабочий чертеж и изготовить опытный образец 305</w:t>
      </w:r>
      <w:r w:rsidRPr="00142305">
        <w:rPr>
          <w:rStyle w:val="aff"/>
          <w:rFonts w:ascii="Times New Roman" w:hAnsi="Times New Roman" w:cs="Times New Roman"/>
          <w:color w:val="0070C0"/>
          <w:spacing w:val="0"/>
          <w:sz w:val="16"/>
          <w:szCs w:val="16"/>
        </w:rPr>
        <w:softHyphen/>
        <w:t>мм гаубицы СПГК-305.</w:t>
      </w:r>
    </w:p>
    <w:p w14:paraId="236A38FE"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(25213).</w:t>
      </w:r>
    </w:p>
    <w:p w14:paraId="3D192BA2" w14:textId="77777777" w:rsidR="002B2DA4" w:rsidRPr="00142305" w:rsidRDefault="002B2DA4" w:rsidP="002B2DA4">
      <w:pPr>
        <w:spacing w:after="0" w:line="240" w:lineRule="auto"/>
        <w:jc w:val="both"/>
        <w:rPr>
          <w:rFonts w:ascii="Times New Roman" w:hAnsi="Times New Roman"/>
          <w:color w:val="0070C0"/>
          <w:sz w:val="16"/>
          <w:szCs w:val="16"/>
        </w:rPr>
      </w:pPr>
    </w:p>
    <w:p w14:paraId="09ABCB02"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15 марта 1932 г. на НИАПе в присутствии комиссии было проведено испытание стрельбой 305-мм ДРП. Для стрельб ДРП уложили на клетке из деревянных брусьев, соединенных скобами. Клетка имела размерения: 6,53 × 6,53 × 2,14 м. Ось орудия размещалась на высоте 2,13 м от поверхности грунта. Орудие имело угол возвышения 6°.</w:t>
      </w:r>
    </w:p>
    <w:p w14:paraId="1E97C772"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Заряжание 305-мм ДРП производилось следующим образом: сначала в орудие вставлялся 75-мм толщины круглый деревянный диск — заглушка диаметром около 305 мм. При помощи длинного прибойника этот диск прижимался к переднему срезу горловины сопла. Затем через запальное отверстие вставлялась перовая трубка, которая приходилась как раз около центра диска с передней стороны. Вставлялся пороховой заряд. Наконец, к дулу подавался 12-дм снаряд и вкладывался в канал. При помощи прибойника снаряд досылался на 5770 мм внутрь так, чтобы донный срез цилиндра снаряда совпадал с местом расположения дна нормального снаряда в этой пушке. Воспламенение заряда производилось гальванически.</w:t>
      </w:r>
    </w:p>
    <w:p w14:paraId="3FCB3156"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стрельбы использовались чугунные снаряды (морские ядра) длиной 485 мм со сточенным медным пояском. При весе снаряда 250 кг его начальная скорость составляла 380 м/с, а давление в канале ствола достигало 2200 атм.</w:t>
      </w:r>
    </w:p>
    <w:p w14:paraId="713090AC"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 время проведения стрельб отмечалось сбрасывание рамы с картеном, поставленной на расстоянии 50 м, и выбрасывание большого количества пороховых остатков на расстояние до 80 м. Почти полное сгорание пороха получилось при весе заряда в 60 кг.</w:t>
      </w:r>
    </w:p>
    <w:p w14:paraId="6F2B0DEB"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проведения испытаний Курчевский дал следующие данные по системе. Тело орудия имело длину нарезной части в 10 клб и весило около 3,5 т. Вес всей артсистемы составлял около 5 т, что позволяло установить ее на пятитонный грузовик.</w:t>
      </w:r>
    </w:p>
    <w:p w14:paraId="61C1DEE3"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проведении испытаний на НИАПе было произведено 7 выстрелов из 305-мм ДРП.</w:t>
      </w:r>
    </w:p>
    <w:p w14:paraId="6590A7AB" w14:textId="77777777" w:rsidR="002B2DA4" w:rsidRPr="002B2DA4" w:rsidRDefault="002B2DA4" w:rsidP="002B2DA4">
      <w:pPr>
        <w:pStyle w:val="aff0"/>
        <w:spacing w:line="240" w:lineRule="auto"/>
        <w:ind w:left="542"/>
        <w:rPr>
          <w:rFonts w:ascii="Times New Roman" w:hAnsi="Times New Roman" w:cs="Times New Roman"/>
          <w:i w:val="0"/>
          <w:iCs w:val="0"/>
          <w:color w:val="0070C0"/>
          <w:sz w:val="16"/>
          <w:szCs w:val="16"/>
          <w:lang w:val="ru-RU"/>
        </w:rPr>
      </w:pPr>
      <w:r w:rsidRPr="002B2DA4">
        <w:rPr>
          <w:rStyle w:val="aff1"/>
          <w:rFonts w:ascii="Times New Roman" w:hAnsi="Times New Roman" w:cs="Times New Roman"/>
          <w:color w:val="0070C0"/>
          <w:sz w:val="16"/>
          <w:szCs w:val="16"/>
          <w:lang w:val="ru-RU"/>
        </w:rPr>
        <w:t>Результаты испытаний из 305-мм пушки № 74 по подбору зарядов</w:t>
      </w:r>
    </w:p>
    <w:tbl>
      <w:tblPr>
        <w:tblOverlap w:val="never"/>
        <w:tblW w:w="0" w:type="auto"/>
        <w:jc w:val="center"/>
        <w:tblLayout w:type="fixed"/>
        <w:tblCellMar>
          <w:left w:w="10" w:type="dxa"/>
          <w:right w:w="10" w:type="dxa"/>
        </w:tblCellMar>
        <w:tblLook w:val="04A0" w:firstRow="1" w:lastRow="0" w:firstColumn="1" w:lastColumn="0" w:noHBand="0" w:noVBand="1"/>
      </w:tblPr>
      <w:tblGrid>
        <w:gridCol w:w="3960"/>
        <w:gridCol w:w="965"/>
        <w:gridCol w:w="1037"/>
        <w:gridCol w:w="1445"/>
        <w:gridCol w:w="1200"/>
        <w:gridCol w:w="696"/>
      </w:tblGrid>
      <w:tr w:rsidR="002B2DA4" w:rsidRPr="00142305" w14:paraId="5B993D2C" w14:textId="77777777" w:rsidTr="00DC550A">
        <w:trPr>
          <w:trHeight w:hRule="exact" w:val="845"/>
          <w:jc w:val="center"/>
        </w:trPr>
        <w:tc>
          <w:tcPr>
            <w:tcW w:w="3960" w:type="dxa"/>
            <w:tcBorders>
              <w:top w:val="single" w:sz="4" w:space="0" w:color="auto"/>
              <w:left w:val="single" w:sz="4" w:space="0" w:color="auto"/>
            </w:tcBorders>
            <w:vAlign w:val="center"/>
          </w:tcPr>
          <w:p w14:paraId="797D38F6"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b/>
                <w:bCs/>
                <w:color w:val="0070C0"/>
                <w:sz w:val="16"/>
                <w:szCs w:val="16"/>
              </w:rPr>
              <w:t>Снаряд</w:t>
            </w:r>
          </w:p>
        </w:tc>
        <w:tc>
          <w:tcPr>
            <w:tcW w:w="965" w:type="dxa"/>
            <w:tcBorders>
              <w:top w:val="single" w:sz="4" w:space="0" w:color="auto"/>
              <w:left w:val="single" w:sz="4" w:space="0" w:color="auto"/>
            </w:tcBorders>
          </w:tcPr>
          <w:p w14:paraId="53FF4082"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b/>
                <w:bCs/>
                <w:color w:val="0070C0"/>
                <w:sz w:val="16"/>
                <w:szCs w:val="16"/>
              </w:rPr>
              <w:t>Вес снаряда, кг</w:t>
            </w:r>
          </w:p>
        </w:tc>
        <w:tc>
          <w:tcPr>
            <w:tcW w:w="1037" w:type="dxa"/>
            <w:tcBorders>
              <w:top w:val="single" w:sz="4" w:space="0" w:color="auto"/>
              <w:left w:val="single" w:sz="4" w:space="0" w:color="auto"/>
            </w:tcBorders>
          </w:tcPr>
          <w:p w14:paraId="025AA0E9"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b/>
                <w:bCs/>
                <w:color w:val="0070C0"/>
                <w:sz w:val="16"/>
                <w:szCs w:val="16"/>
              </w:rPr>
              <w:t>Вес заряда, кг</w:t>
            </w:r>
          </w:p>
        </w:tc>
        <w:tc>
          <w:tcPr>
            <w:tcW w:w="1445" w:type="dxa"/>
            <w:tcBorders>
              <w:top w:val="single" w:sz="4" w:space="0" w:color="auto"/>
              <w:left w:val="single" w:sz="4" w:space="0" w:color="auto"/>
            </w:tcBorders>
            <w:vAlign w:val="center"/>
          </w:tcPr>
          <w:p w14:paraId="69DBAA69"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b/>
                <w:bCs/>
                <w:color w:val="0070C0"/>
                <w:sz w:val="16"/>
                <w:szCs w:val="16"/>
              </w:rPr>
              <w:t>Начальная скорость, м/с</w:t>
            </w:r>
          </w:p>
        </w:tc>
        <w:tc>
          <w:tcPr>
            <w:tcW w:w="1200" w:type="dxa"/>
            <w:tcBorders>
              <w:top w:val="single" w:sz="4" w:space="0" w:color="auto"/>
              <w:left w:val="single" w:sz="4" w:space="0" w:color="auto"/>
            </w:tcBorders>
            <w:vAlign w:val="center"/>
          </w:tcPr>
          <w:p w14:paraId="2B257EF3"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b/>
                <w:bCs/>
                <w:color w:val="0070C0"/>
                <w:sz w:val="16"/>
                <w:szCs w:val="16"/>
              </w:rPr>
              <w:t>Дальность, м</w:t>
            </w:r>
          </w:p>
        </w:tc>
        <w:tc>
          <w:tcPr>
            <w:tcW w:w="696" w:type="dxa"/>
            <w:tcBorders>
              <w:top w:val="single" w:sz="4" w:space="0" w:color="auto"/>
              <w:left w:val="single" w:sz="4" w:space="0" w:color="auto"/>
              <w:right w:val="single" w:sz="4" w:space="0" w:color="auto"/>
            </w:tcBorders>
            <w:vAlign w:val="center"/>
          </w:tcPr>
          <w:p w14:paraId="588403F9"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b/>
                <w:bCs/>
                <w:color w:val="0070C0"/>
                <w:sz w:val="16"/>
                <w:szCs w:val="16"/>
              </w:rPr>
              <w:t>Угол, град.</w:t>
            </w:r>
          </w:p>
        </w:tc>
      </w:tr>
      <w:tr w:rsidR="002B2DA4" w:rsidRPr="00142305" w14:paraId="65C368A3" w14:textId="77777777" w:rsidTr="00DC550A">
        <w:trPr>
          <w:trHeight w:hRule="exact" w:val="619"/>
          <w:jc w:val="center"/>
        </w:trPr>
        <w:tc>
          <w:tcPr>
            <w:tcW w:w="3960" w:type="dxa"/>
            <w:tcBorders>
              <w:top w:val="single" w:sz="4" w:space="0" w:color="auto"/>
              <w:left w:val="single" w:sz="4" w:space="0" w:color="auto"/>
            </w:tcBorders>
            <w:vAlign w:val="center"/>
          </w:tcPr>
          <w:p w14:paraId="20CCB965"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250-кг длиной 476—479 мм</w:t>
            </w:r>
          </w:p>
        </w:tc>
        <w:tc>
          <w:tcPr>
            <w:tcW w:w="965" w:type="dxa"/>
            <w:tcBorders>
              <w:top w:val="single" w:sz="4" w:space="0" w:color="auto"/>
              <w:left w:val="single" w:sz="4" w:space="0" w:color="auto"/>
            </w:tcBorders>
            <w:vAlign w:val="center"/>
          </w:tcPr>
          <w:p w14:paraId="68F12D8F"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250</w:t>
            </w:r>
          </w:p>
        </w:tc>
        <w:tc>
          <w:tcPr>
            <w:tcW w:w="1037" w:type="dxa"/>
            <w:tcBorders>
              <w:top w:val="single" w:sz="4" w:space="0" w:color="auto"/>
              <w:left w:val="single" w:sz="4" w:space="0" w:color="auto"/>
            </w:tcBorders>
            <w:vAlign w:val="center"/>
          </w:tcPr>
          <w:p w14:paraId="076DA6F0"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95</w:t>
            </w:r>
          </w:p>
        </w:tc>
        <w:tc>
          <w:tcPr>
            <w:tcW w:w="1445" w:type="dxa"/>
            <w:tcBorders>
              <w:top w:val="single" w:sz="4" w:space="0" w:color="auto"/>
              <w:left w:val="single" w:sz="4" w:space="0" w:color="auto"/>
            </w:tcBorders>
            <w:vAlign w:val="center"/>
          </w:tcPr>
          <w:p w14:paraId="14A9EC74"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586</w:t>
            </w:r>
          </w:p>
          <w:p w14:paraId="55E0D882"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584</w:t>
            </w:r>
          </w:p>
        </w:tc>
        <w:tc>
          <w:tcPr>
            <w:tcW w:w="1200" w:type="dxa"/>
            <w:tcBorders>
              <w:top w:val="single" w:sz="4" w:space="0" w:color="auto"/>
              <w:left w:val="single" w:sz="4" w:space="0" w:color="auto"/>
            </w:tcBorders>
            <w:vAlign w:val="center"/>
          </w:tcPr>
          <w:p w14:paraId="2DDEE02C"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w:t>
            </w:r>
          </w:p>
        </w:tc>
        <w:tc>
          <w:tcPr>
            <w:tcW w:w="696" w:type="dxa"/>
            <w:tcBorders>
              <w:top w:val="single" w:sz="4" w:space="0" w:color="auto"/>
              <w:left w:val="single" w:sz="4" w:space="0" w:color="auto"/>
              <w:right w:val="single" w:sz="4" w:space="0" w:color="auto"/>
            </w:tcBorders>
            <w:vAlign w:val="center"/>
          </w:tcPr>
          <w:p w14:paraId="5A4AD5DE"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0°</w:t>
            </w:r>
          </w:p>
          <w:p w14:paraId="03FB9658"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15°</w:t>
            </w:r>
          </w:p>
        </w:tc>
      </w:tr>
      <w:tr w:rsidR="002B2DA4" w:rsidRPr="00142305" w14:paraId="1C36D930" w14:textId="77777777" w:rsidTr="00DC550A">
        <w:trPr>
          <w:trHeight w:hRule="exact" w:val="888"/>
          <w:jc w:val="center"/>
        </w:trPr>
        <w:tc>
          <w:tcPr>
            <w:tcW w:w="3960" w:type="dxa"/>
            <w:tcBorders>
              <w:top w:val="single" w:sz="4" w:space="0" w:color="auto"/>
              <w:left w:val="single" w:sz="4" w:space="0" w:color="auto"/>
              <w:bottom w:val="single" w:sz="4" w:space="0" w:color="auto"/>
            </w:tcBorders>
            <w:vAlign w:val="center"/>
          </w:tcPr>
          <w:p w14:paraId="149217AC"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Снаряд, переделанный из фугасного обр. 1907 г., в 2,6 клб с поддоном типа Менье.</w:t>
            </w:r>
          </w:p>
        </w:tc>
        <w:tc>
          <w:tcPr>
            <w:tcW w:w="965" w:type="dxa"/>
            <w:tcBorders>
              <w:top w:val="single" w:sz="4" w:space="0" w:color="auto"/>
              <w:left w:val="single" w:sz="4" w:space="0" w:color="auto"/>
              <w:bottom w:val="single" w:sz="4" w:space="0" w:color="auto"/>
            </w:tcBorders>
            <w:vAlign w:val="center"/>
          </w:tcPr>
          <w:p w14:paraId="43A2EEE3"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239</w:t>
            </w:r>
          </w:p>
        </w:tc>
        <w:tc>
          <w:tcPr>
            <w:tcW w:w="1037" w:type="dxa"/>
            <w:tcBorders>
              <w:top w:val="single" w:sz="4" w:space="0" w:color="auto"/>
              <w:left w:val="single" w:sz="4" w:space="0" w:color="auto"/>
              <w:bottom w:val="single" w:sz="4" w:space="0" w:color="auto"/>
            </w:tcBorders>
          </w:tcPr>
          <w:p w14:paraId="5CB3464A"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95 кг</w:t>
            </w:r>
          </w:p>
          <w:p w14:paraId="649C7E31"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марки 120/50</w:t>
            </w:r>
          </w:p>
        </w:tc>
        <w:tc>
          <w:tcPr>
            <w:tcW w:w="1445" w:type="dxa"/>
            <w:tcBorders>
              <w:top w:val="single" w:sz="4" w:space="0" w:color="auto"/>
              <w:left w:val="single" w:sz="4" w:space="0" w:color="auto"/>
              <w:bottom w:val="single" w:sz="4" w:space="0" w:color="auto"/>
            </w:tcBorders>
            <w:vAlign w:val="center"/>
          </w:tcPr>
          <w:p w14:paraId="62A1FA8F"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w:t>
            </w:r>
          </w:p>
        </w:tc>
        <w:tc>
          <w:tcPr>
            <w:tcW w:w="1200" w:type="dxa"/>
            <w:tcBorders>
              <w:top w:val="single" w:sz="4" w:space="0" w:color="auto"/>
              <w:left w:val="single" w:sz="4" w:space="0" w:color="auto"/>
              <w:bottom w:val="single" w:sz="4" w:space="0" w:color="auto"/>
            </w:tcBorders>
            <w:vAlign w:val="center"/>
          </w:tcPr>
          <w:p w14:paraId="7B163B34"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3694</w:t>
            </w:r>
          </w:p>
          <w:p w14:paraId="1EEA3261"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4731</w:t>
            </w:r>
          </w:p>
        </w:tc>
        <w:tc>
          <w:tcPr>
            <w:tcW w:w="696" w:type="dxa"/>
            <w:tcBorders>
              <w:top w:val="single" w:sz="4" w:space="0" w:color="auto"/>
              <w:left w:val="single" w:sz="4" w:space="0" w:color="auto"/>
              <w:bottom w:val="single" w:sz="4" w:space="0" w:color="auto"/>
              <w:right w:val="single" w:sz="4" w:space="0" w:color="auto"/>
            </w:tcBorders>
            <w:vAlign w:val="center"/>
          </w:tcPr>
          <w:p w14:paraId="199B69B7"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11°15'</w:t>
            </w:r>
          </w:p>
          <w:p w14:paraId="7A3346FA" w14:textId="77777777" w:rsidR="002B2DA4" w:rsidRPr="00142305" w:rsidRDefault="002B2DA4" w:rsidP="00DC550A">
            <w:pPr>
              <w:pStyle w:val="afff3"/>
              <w:ind w:firstLine="0"/>
              <w:jc w:val="both"/>
              <w:rPr>
                <w:rFonts w:ascii="Times New Roman" w:hAnsi="Times New Roman" w:cs="Times New Roman"/>
                <w:color w:val="0070C0"/>
                <w:sz w:val="16"/>
                <w:szCs w:val="16"/>
              </w:rPr>
            </w:pPr>
            <w:r w:rsidRPr="00142305">
              <w:rPr>
                <w:rStyle w:val="afff2"/>
                <w:rFonts w:ascii="Times New Roman" w:hAnsi="Times New Roman" w:cs="Times New Roman"/>
                <w:color w:val="0070C0"/>
                <w:sz w:val="16"/>
                <w:szCs w:val="16"/>
              </w:rPr>
              <w:t>11°15'</w:t>
            </w:r>
          </w:p>
        </w:tc>
      </w:tr>
    </w:tbl>
    <w:p w14:paraId="7F36BD5B"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обоих выстрелах снарядом весом 239 кг полет снарядов был направлен (по звуку). На снарядах были заметны следы нарезов на поясках (25213).</w:t>
      </w:r>
    </w:p>
    <w:p w14:paraId="720B51BA" w14:textId="77777777" w:rsidR="002B2DA4" w:rsidRPr="00142305" w:rsidRDefault="002B2DA4" w:rsidP="002B2DA4">
      <w:pPr>
        <w:spacing w:after="0" w:line="240" w:lineRule="auto"/>
        <w:jc w:val="both"/>
        <w:rPr>
          <w:rFonts w:ascii="Times New Roman" w:hAnsi="Times New Roman"/>
          <w:color w:val="0070C0"/>
          <w:sz w:val="16"/>
          <w:szCs w:val="16"/>
        </w:rPr>
      </w:pPr>
    </w:p>
    <w:p w14:paraId="4295678E"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марта 1932 года начальник УММ РККА И. Халепский докладывал замес</w:t>
      </w:r>
      <w:r w:rsidRPr="00142305">
        <w:rPr>
          <w:rFonts w:ascii="Times New Roman" w:hAnsi="Times New Roman"/>
          <w:color w:val="0070C0"/>
          <w:sz w:val="16"/>
          <w:szCs w:val="16"/>
        </w:rPr>
        <w:softHyphen/>
        <w:t>тителю наркома обороны СССР М. Ту</w:t>
      </w:r>
      <w:r w:rsidRPr="00142305">
        <w:rPr>
          <w:rFonts w:ascii="Times New Roman" w:hAnsi="Times New Roman"/>
          <w:color w:val="0070C0"/>
          <w:sz w:val="16"/>
          <w:szCs w:val="16"/>
        </w:rPr>
        <w:softHyphen/>
        <w:t>хачевскому «О ходе конструирования новых танков»:</w:t>
      </w:r>
    </w:p>
    <w:p w14:paraId="78B27CD7"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По КБ т. Маханова.</w:t>
      </w:r>
    </w:p>
    <w:p w14:paraId="726C29A1"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Чертежи установки 45-мм пушки в Т-26 и БТ еще не окончены. Первый образец Т-26 с железным корпусом и большой башней изготовления завода «Большевик» подан т. Маханову.</w:t>
      </w:r>
    </w:p>
    <w:p w14:paraId="3A860A7D"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БТ отгружается с ХПЗ дл т. Маханова и еще не получен. Задержка произошла из-за негодности первых танков».</w:t>
      </w:r>
    </w:p>
    <w:p w14:paraId="434D20C5"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этом предполагалось использо</w:t>
      </w:r>
      <w:r w:rsidRPr="00142305">
        <w:rPr>
          <w:rFonts w:ascii="Times New Roman" w:hAnsi="Times New Roman"/>
          <w:color w:val="0070C0"/>
          <w:sz w:val="16"/>
          <w:szCs w:val="16"/>
        </w:rPr>
        <w:softHyphen/>
        <w:t>вать для Т-26 и БТ одинаковые башни с 45-мм пушкой, что должно было упро</w:t>
      </w:r>
      <w:r w:rsidRPr="00142305">
        <w:rPr>
          <w:rFonts w:ascii="Times New Roman" w:hAnsi="Times New Roman"/>
          <w:color w:val="0070C0"/>
          <w:sz w:val="16"/>
          <w:szCs w:val="16"/>
        </w:rPr>
        <w:softHyphen/>
        <w:t>стить их серийное производство. Летом 1932 года в конструкторском бюро ХПЗ началось проектирование нового танка БТ. При этом для установки новой баш</w:t>
      </w:r>
      <w:r w:rsidRPr="00142305">
        <w:rPr>
          <w:rFonts w:ascii="Times New Roman" w:hAnsi="Times New Roman"/>
          <w:color w:val="0070C0"/>
          <w:sz w:val="16"/>
          <w:szCs w:val="16"/>
        </w:rPr>
        <w:softHyphen/>
        <w:t>ни предполагалось удлинить корпус танка (по сравнению с БТ-2) на 225 мм в сечении боевого отделения с таким расчетом, чтобы расстояния между тре</w:t>
      </w:r>
      <w:r w:rsidRPr="00142305">
        <w:rPr>
          <w:rFonts w:ascii="Times New Roman" w:hAnsi="Times New Roman"/>
          <w:color w:val="0070C0"/>
          <w:sz w:val="16"/>
          <w:szCs w:val="16"/>
        </w:rPr>
        <w:softHyphen/>
        <w:t>мя парами задних катков остались неиз</w:t>
      </w:r>
      <w:r w:rsidRPr="00142305">
        <w:rPr>
          <w:rFonts w:ascii="Times New Roman" w:hAnsi="Times New Roman"/>
          <w:color w:val="0070C0"/>
          <w:sz w:val="16"/>
          <w:szCs w:val="16"/>
        </w:rPr>
        <w:softHyphen/>
        <w:t>менными. Увеличение же расстояния между первым и вторым катками долж</w:t>
      </w:r>
      <w:r w:rsidRPr="00142305">
        <w:rPr>
          <w:rFonts w:ascii="Times New Roman" w:hAnsi="Times New Roman"/>
          <w:color w:val="0070C0"/>
          <w:sz w:val="16"/>
          <w:szCs w:val="16"/>
        </w:rPr>
        <w:softHyphen/>
        <w:t>но было улучшить управляемость на ко</w:t>
      </w:r>
      <w:r w:rsidRPr="00142305">
        <w:rPr>
          <w:rFonts w:ascii="Times New Roman" w:hAnsi="Times New Roman"/>
          <w:color w:val="0070C0"/>
          <w:sz w:val="16"/>
          <w:szCs w:val="16"/>
        </w:rPr>
        <w:softHyphen/>
        <w:t>лесном ходу, при этом масса корпуса увеличивалась на 125 кг. В остальном новая машина оставалась аналогичной БТ-2, за исключением новой башни с 45-мм пушкой.</w:t>
      </w:r>
    </w:p>
    <w:p w14:paraId="00EF0AB9" w14:textId="77777777" w:rsidR="002B2DA4" w:rsidRPr="00142305" w:rsidRDefault="002B2DA4" w:rsidP="002B2D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Рассмотрев проект, УММ РККА от</w:t>
      </w:r>
      <w:r w:rsidRPr="00142305">
        <w:rPr>
          <w:rFonts w:ascii="Times New Roman" w:hAnsi="Times New Roman"/>
          <w:color w:val="0070C0"/>
          <w:sz w:val="16"/>
          <w:szCs w:val="16"/>
        </w:rPr>
        <w:softHyphen/>
        <w:t>вергло его, справедливо полагая, что для перестройки производства под вы</w:t>
      </w:r>
      <w:r w:rsidRPr="00142305">
        <w:rPr>
          <w:rFonts w:ascii="Times New Roman" w:hAnsi="Times New Roman"/>
          <w:color w:val="0070C0"/>
          <w:sz w:val="16"/>
          <w:szCs w:val="16"/>
        </w:rPr>
        <w:softHyphen/>
        <w:t>пуск танка с новым корпусом заводу по</w:t>
      </w:r>
      <w:r w:rsidRPr="00142305">
        <w:rPr>
          <w:rFonts w:ascii="Times New Roman" w:hAnsi="Times New Roman"/>
          <w:color w:val="0070C0"/>
          <w:sz w:val="16"/>
          <w:szCs w:val="16"/>
        </w:rPr>
        <w:softHyphen/>
        <w:t>надобится несколько месяцев, что со</w:t>
      </w:r>
      <w:r w:rsidRPr="00142305">
        <w:rPr>
          <w:rFonts w:ascii="Times New Roman" w:hAnsi="Times New Roman"/>
          <w:color w:val="0070C0"/>
          <w:sz w:val="16"/>
          <w:szCs w:val="16"/>
        </w:rPr>
        <w:softHyphen/>
        <w:t>рвет выполнение танковой программы. Поэтому для серийного производства утвердили машину, отличавшуюся от БТ-2 лишь башней с увеличенным диа</w:t>
      </w:r>
      <w:r w:rsidRPr="00142305">
        <w:rPr>
          <w:rFonts w:ascii="Times New Roman" w:hAnsi="Times New Roman"/>
          <w:color w:val="0070C0"/>
          <w:sz w:val="16"/>
          <w:szCs w:val="16"/>
        </w:rPr>
        <w:softHyphen/>
        <w:t>метром погона и вооружением. Новая машина получила индекс БТ-5, кото</w:t>
      </w:r>
      <w:r w:rsidRPr="00142305">
        <w:rPr>
          <w:rFonts w:ascii="Times New Roman" w:hAnsi="Times New Roman"/>
          <w:color w:val="0070C0"/>
          <w:sz w:val="16"/>
          <w:szCs w:val="16"/>
        </w:rPr>
        <w:softHyphen/>
        <w:t>рый встречается в документах ХПЗ уже в июле 1932 года (25009).</w:t>
      </w:r>
    </w:p>
    <w:p w14:paraId="6D7B16EC" w14:textId="77777777" w:rsidR="002B2DA4" w:rsidRPr="00142305" w:rsidRDefault="002B2DA4" w:rsidP="002B2DA4">
      <w:pPr>
        <w:spacing w:after="0" w:line="240" w:lineRule="auto"/>
        <w:jc w:val="both"/>
        <w:rPr>
          <w:rFonts w:ascii="Times New Roman" w:hAnsi="Times New Roman"/>
          <w:color w:val="0070C0"/>
          <w:sz w:val="16"/>
          <w:szCs w:val="16"/>
        </w:rPr>
      </w:pPr>
    </w:p>
    <w:p w14:paraId="6078EE83" w14:textId="77777777" w:rsidR="00F167B2" w:rsidRPr="00E93F40" w:rsidRDefault="00F167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A62F614" w14:textId="77777777" w:rsidR="00F167B2" w:rsidRPr="00E93F40" w:rsidRDefault="00F167B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87129D" w14:textId="77777777" w:rsidR="00F167B2" w:rsidRPr="00E93F40" w:rsidRDefault="00F167B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К 15 марта 1932 года в Красной армии числилось всего 959 Т-18 (17724).</w:t>
      </w:r>
    </w:p>
    <w:p w14:paraId="15E1F777" w14:textId="77777777"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p>
    <w:p w14:paraId="18DF4F5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9F2D46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CA740B" w14:textId="1E29534B" w:rsidR="00FC0C68" w:rsidRPr="00E93F40" w:rsidRDefault="00FC0C6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15 марта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в шифровке Косиора Сталину он предлагал: «Объявить от имени союзных организаций о порядке хлебозаготовок из будущего урожая, исходя из того, что чем большего урожая добьется колхоз и колхозник, тем больший фонд должен быть выделен и распределен на личное потребление». Однако Политбюро ЦК 16 марта отклонило это предложение (17254).</w:t>
      </w:r>
    </w:p>
    <w:p w14:paraId="08D28591" w14:textId="77777777" w:rsidR="00FC0C68" w:rsidRPr="00E93F40" w:rsidRDefault="00FC0C68" w:rsidP="00E93F40">
      <w:pPr>
        <w:spacing w:after="0" w:line="240" w:lineRule="auto"/>
        <w:jc w:val="both"/>
        <w:rPr>
          <w:rFonts w:ascii="Times New Roman" w:eastAsia="Times New Roman" w:hAnsi="Times New Roman"/>
          <w:color w:val="000000" w:themeColor="text1"/>
          <w:sz w:val="16"/>
          <w:szCs w:val="16"/>
          <w:lang w:eastAsia="ru-RU"/>
        </w:rPr>
      </w:pPr>
    </w:p>
    <w:p w14:paraId="0F5AC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1932 началась войсковая операция СКВО против дагестанских повстанцев на границе Дагестана и Чечни (15-20.03.1932 г) (10687).</w:t>
      </w:r>
    </w:p>
    <w:p w14:paraId="29B712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F7FD39" w14:textId="7327164D" w:rsidR="004D7DCB" w:rsidRPr="00E93F40" w:rsidRDefault="004D7DCB"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CF8F424" w14:textId="77777777" w:rsidR="004D7DCB" w:rsidRPr="00E93F40" w:rsidRDefault="004D7DCB"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75BB0E26"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середине марта 1932 г. для предварительной отработки рабочего процесса и основных элементов конструкции быстроходного дизеля БД-2, предназначенного для установки в танк БТ в Дизельном отделе ХПЗ была закончена разработка опытной двухцилиндровой секции (отсека) дизеля, получившего индекс БД-14. Дизель БД-14 работал по четырехтактному циклу и имел следующие основные характеристики: диаметр поршня – 140 мм, ход поршня – 165 мм, мощность в цилиндре с применением наддува – 35 л.с. при частоте вращения коленчатого вала в 1800 об/мин. Габариты секции были выбраны с учетом размещения дизеля в моторном отделении танка БТ. Сразу же после завершения проектирования все чертежи дизеля БД-14 были переданы в цеха ХПЗ для изготовления опытного образца.</w:t>
      </w:r>
    </w:p>
    <w:p w14:paraId="241AB86D"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отметить, что в начале 1930-х гг. начальником Дизельного отдела ХПЗ был К.Ф. Челпан и под его непосредственным руководством осуществлялась вся деятельность этого отдела как по производству серийной продукции, так и по созданию новых образцов различных дизелей (24856).</w:t>
      </w:r>
    </w:p>
    <w:p w14:paraId="3021E160"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6F3D0CDC" w14:textId="58BA4514"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423495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C13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 в ходе испытаний на 22 заводе самолета Р6 N 2201 (эталон на 1932 год), которые проходили с 23 января по 7 апреля 1932, был выполнен контрольный полет (3003).</w:t>
      </w:r>
    </w:p>
    <w:p w14:paraId="16F48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502CEB" w14:textId="77777777" w:rsidR="00B37DB4" w:rsidRPr="00E93F40" w:rsidRDefault="00B37DB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92. 23. Вопросы ОГПУ. Опросом членов ПБ от 16 марта. 79/48. О покупке моторов «Либерти». Постановили: утвердить следующее постановление СТО: предложить НКВнешторгу закупить в САСШ за счет контингента НКТП II квартала 1365 шт. моторов «Либерти» на сумму 350 тыс. руб. (РГАСПИ. Ф. 17. Оп. 162. Д. 12, Л. 8, 12) (12416).</w:t>
      </w:r>
    </w:p>
    <w:p w14:paraId="24D807E4" w14:textId="77777777" w:rsidR="00B37DB4" w:rsidRPr="00E93F40" w:rsidRDefault="00B37DB4" w:rsidP="00E93F40">
      <w:pPr>
        <w:spacing w:after="0" w:line="240" w:lineRule="auto"/>
        <w:jc w:val="both"/>
        <w:rPr>
          <w:rFonts w:ascii="Times New Roman" w:hAnsi="Times New Roman"/>
          <w:color w:val="000000" w:themeColor="text1"/>
          <w:sz w:val="16"/>
          <w:szCs w:val="16"/>
          <w:u w:color="002060"/>
        </w:rPr>
      </w:pPr>
    </w:p>
    <w:p w14:paraId="0EB38B79"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w:t>
      </w:r>
    </w:p>
    <w:p w14:paraId="18FA6C0A" w14:textId="66851DC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92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5A0F6F42" w14:textId="49823F7F"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16</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1D2C1696" w14:textId="10B46ADA"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79/48: О покупке моторов “Либерти”</w:t>
      </w:r>
    </w:p>
    <w:p w14:paraId="3F6B49A4" w14:textId="1BFD9DFA"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11F4E78E"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следующее постановление СТО:</w:t>
      </w:r>
    </w:p>
    <w:p w14:paraId="7B63F74B" w14:textId="226B8CF6"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НКВнешторгу закупить в САСШ за счет контингента НКТП II</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1.365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моторов “Либерти” на сумму 350.000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w:t>
      </w:r>
    </w:p>
    <w:p w14:paraId="4512E7BD"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w:t>
      </w:r>
    </w:p>
    <w:p w14:paraId="0151224B"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Керженцеву.</w:t>
      </w:r>
    </w:p>
    <w:p w14:paraId="209D488D"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(18127).</w:t>
      </w:r>
    </w:p>
    <w:p w14:paraId="4CF510A1" w14:textId="77777777" w:rsidR="00716F88" w:rsidRPr="00E93F40" w:rsidRDefault="00716F88" w:rsidP="00E93F40">
      <w:pPr>
        <w:spacing w:after="0" w:line="240" w:lineRule="auto"/>
        <w:jc w:val="both"/>
        <w:rPr>
          <w:rFonts w:ascii="Times New Roman" w:hAnsi="Times New Roman"/>
          <w:color w:val="000000" w:themeColor="text1"/>
          <w:sz w:val="16"/>
          <w:szCs w:val="16"/>
        </w:rPr>
      </w:pPr>
    </w:p>
    <w:p w14:paraId="24FCBA29" w14:textId="77777777" w:rsidR="00FD57ED" w:rsidRPr="00E93F40" w:rsidRDefault="00FD57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 состоялось заседание ПБ (Протокол № 92)</w:t>
      </w:r>
    </w:p>
    <w:p w14:paraId="0E7E717E" w14:textId="77777777" w:rsidR="00FD57ED" w:rsidRPr="00E93F40" w:rsidRDefault="00FD57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 опросом членов ПБ</w:t>
      </w:r>
    </w:p>
    <w:p w14:paraId="23D4A3E6" w14:textId="77777777" w:rsidR="00FD57ED" w:rsidRPr="00E93F40" w:rsidRDefault="00FD57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79/48.- О покупке моторов "Либерти".</w:t>
      </w:r>
    </w:p>
    <w:p w14:paraId="2FA08014" w14:textId="77777777" w:rsidR="00FD57ED" w:rsidRPr="00E93F40" w:rsidRDefault="00FD57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следующее постановление СТО:</w:t>
      </w:r>
    </w:p>
    <w:p w14:paraId="3B5E4AB8" w14:textId="77777777" w:rsidR="00FD57ED" w:rsidRPr="00E93F40" w:rsidRDefault="00FD57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НКВнешторгу закупить в САСШ за счет кон</w:t>
      </w:r>
      <w:r w:rsidRPr="00E93F40">
        <w:rPr>
          <w:rFonts w:ascii="Times New Roman" w:hAnsi="Times New Roman"/>
          <w:color w:val="000000" w:themeColor="text1"/>
          <w:sz w:val="16"/>
          <w:szCs w:val="16"/>
        </w:rPr>
        <w:softHyphen/>
        <w:t>тингента НКТП П-го квартала 1.365 шт. моторов "Либерти" на сумму 350.000 рублей.</w:t>
      </w:r>
    </w:p>
    <w:p w14:paraId="2B654B50" w14:textId="1E7602E8" w:rsidR="00FD57ED" w:rsidRPr="00E93F40" w:rsidRDefault="00FD57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Керженцеву (23039)</w:t>
      </w:r>
    </w:p>
    <w:p w14:paraId="68070710" w14:textId="77777777" w:rsidR="00FD57ED" w:rsidRPr="00E93F40" w:rsidRDefault="00FD57ED" w:rsidP="00E93F40">
      <w:pPr>
        <w:spacing w:after="0" w:line="240" w:lineRule="auto"/>
        <w:jc w:val="both"/>
        <w:rPr>
          <w:rFonts w:ascii="Times New Roman" w:hAnsi="Times New Roman"/>
          <w:color w:val="000000" w:themeColor="text1"/>
          <w:sz w:val="16"/>
          <w:szCs w:val="16"/>
        </w:rPr>
      </w:pPr>
    </w:p>
    <w:p w14:paraId="708BD9C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02F5F7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6D67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 года Политбюро вновь рассмотрело вопрос о технических бюро, решив их временно сохранить, чтобы дать специалистам время для окончания работы. Новых работ было решено не начинать. Срок работы определялся по согласованию Наркомтяжпромом и ОГПУ. По окончании работ специалистов предлагалось передать НКТяжпрому (11248).</w:t>
      </w:r>
    </w:p>
    <w:p w14:paraId="24270B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00AE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 г. т.Акулову была направлена Выписка из протокола №92 заседания Политбюро ЦК от 16 марта 1932 г.:</w:t>
      </w:r>
    </w:p>
    <w:p w14:paraId="7A3EE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23. Вопросы ОГПУ (ПБ от 16 февраля 32 г. пр. № 88, п. 8.). </w:t>
      </w:r>
    </w:p>
    <w:p w14:paraId="595A6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Техническое бюро временно сохранить. Дать специалистам, находящимся в техбюро, закончить работу. Новых работ не начинать. Срок работы определить по соглашению Наркомтяжпрома и ОГПУ. По окончании работ передать занятых в них специалистов НКТяжпрому. </w:t>
      </w:r>
    </w:p>
    <w:p w14:paraId="7CD775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СЕКРЕТАРЬ ЦК</w:t>
      </w:r>
    </w:p>
    <w:p w14:paraId="70B578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Ф.3., Оп.58., Д.142., л. 47 (11462).</w:t>
      </w:r>
    </w:p>
    <w:p w14:paraId="7CEE46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140500"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 закончилис пробеги протяженностью до 300 км по шос</w:t>
      </w:r>
      <w:r w:rsidRPr="00E93F40">
        <w:rPr>
          <w:rFonts w:ascii="Times New Roman" w:hAnsi="Times New Roman"/>
          <w:color w:val="000000" w:themeColor="text1"/>
          <w:sz w:val="16"/>
          <w:szCs w:val="16"/>
        </w:rPr>
        <w:softHyphen/>
        <w:t>се и 50 км по грунтовым дорогам, снежной це</w:t>
      </w:r>
      <w:r w:rsidRPr="00E93F40">
        <w:rPr>
          <w:rFonts w:ascii="Times New Roman" w:hAnsi="Times New Roman"/>
          <w:color w:val="000000" w:themeColor="text1"/>
          <w:sz w:val="16"/>
          <w:szCs w:val="16"/>
        </w:rPr>
        <w:softHyphen/>
        <w:t>лине ближнего Подмосковья в районе деревни Черной и по Хорошевскому шоссе (сейчас это уже в черте города), которые шли с 1 марта.</w:t>
      </w:r>
    </w:p>
    <w:p w14:paraId="0710C31F"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Тракторы выводились на испытания с поез</w:t>
      </w:r>
      <w:r w:rsidRPr="00E93F40">
        <w:rPr>
          <w:rFonts w:ascii="Times New Roman" w:hAnsi="Times New Roman"/>
          <w:color w:val="000000" w:themeColor="text1"/>
          <w:sz w:val="16"/>
          <w:szCs w:val="16"/>
        </w:rPr>
        <w:softHyphen/>
        <w:t>дами в составе 203-мм гаубицы М-6, 152-мм мортиры с передком, 76-мм зенитной пушки, а также пары повозок П-26.</w:t>
      </w:r>
    </w:p>
    <w:p w14:paraId="291A21E1"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6A926F41"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движении на малых скоростях все по</w:t>
      </w:r>
      <w:r w:rsidRPr="00E93F40">
        <w:rPr>
          <w:rFonts w:ascii="Times New Roman" w:hAnsi="Times New Roman"/>
          <w:color w:val="000000" w:themeColor="text1"/>
          <w:sz w:val="16"/>
          <w:szCs w:val="16"/>
        </w:rPr>
        <w:softHyphen/>
        <w:t>езда двигались без затруднений. С ростом ско</w:t>
      </w:r>
      <w:r w:rsidRPr="00E93F40">
        <w:rPr>
          <w:rFonts w:ascii="Times New Roman" w:hAnsi="Times New Roman"/>
          <w:color w:val="000000" w:themeColor="text1"/>
          <w:sz w:val="16"/>
          <w:szCs w:val="16"/>
        </w:rPr>
        <w:softHyphen/>
        <w:t>рости буксировки до 8—10 км/ч наблюдалось виляние (занос) поезда. С повышением скоро</w:t>
      </w:r>
      <w:r w:rsidRPr="00E93F40">
        <w:rPr>
          <w:rFonts w:ascii="Times New Roman" w:hAnsi="Times New Roman"/>
          <w:color w:val="000000" w:themeColor="text1"/>
          <w:sz w:val="16"/>
          <w:szCs w:val="16"/>
        </w:rPr>
        <w:softHyphen/>
        <w:t>сти до 16 км/ч виляние прицепов становилось очень сильным,«</w:t>
      </w:r>
      <w:r w:rsidRPr="00E93F40">
        <w:rPr>
          <w:rFonts w:ascii="Times New Roman" w:hAnsi="Times New Roman"/>
          <w:iCs/>
          <w:color w:val="000000" w:themeColor="text1"/>
          <w:sz w:val="16"/>
          <w:szCs w:val="16"/>
        </w:rPr>
        <w:t>угрожая возможностью зака</w:t>
      </w:r>
      <w:r w:rsidRPr="00E93F40">
        <w:rPr>
          <w:rFonts w:ascii="Times New Roman" w:hAnsi="Times New Roman"/>
          <w:iCs/>
          <w:color w:val="000000" w:themeColor="text1"/>
          <w:sz w:val="16"/>
          <w:szCs w:val="16"/>
        </w:rPr>
        <w:softHyphen/>
        <w:t>титься в канаву или задеть за встречный эки</w:t>
      </w:r>
      <w:r w:rsidRPr="00E93F40">
        <w:rPr>
          <w:rFonts w:ascii="Times New Roman" w:hAnsi="Times New Roman"/>
          <w:iCs/>
          <w:color w:val="000000" w:themeColor="text1"/>
          <w:sz w:val="16"/>
          <w:szCs w:val="16"/>
        </w:rPr>
        <w:softHyphen/>
        <w:t>паж задней прицепкой".</w:t>
      </w:r>
      <w:r w:rsidRPr="00E93F40">
        <w:rPr>
          <w:rFonts w:ascii="Times New Roman" w:hAnsi="Times New Roman"/>
          <w:color w:val="000000" w:themeColor="text1"/>
          <w:sz w:val="16"/>
          <w:szCs w:val="16"/>
        </w:rPr>
        <w:t xml:space="preserve"> Во время очередного скоростного заезда трактор КПД сьехал с до</w:t>
      </w:r>
      <w:r w:rsidRPr="00E93F40">
        <w:rPr>
          <w:rFonts w:ascii="Times New Roman" w:hAnsi="Times New Roman"/>
          <w:color w:val="000000" w:themeColor="text1"/>
          <w:sz w:val="16"/>
          <w:szCs w:val="16"/>
        </w:rPr>
        <w:softHyphen/>
        <w:t>роги под откос, и его пришлось извлекать при помощи «Коммунара».</w:t>
      </w:r>
    </w:p>
    <w:p w14:paraId="0EC30B8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По итогам испытаний военные констатирова</w:t>
      </w:r>
      <w:r w:rsidRPr="00E93F40">
        <w:rPr>
          <w:rFonts w:ascii="Times New Roman" w:hAnsi="Times New Roman"/>
          <w:color w:val="000000" w:themeColor="text1"/>
          <w:sz w:val="16"/>
          <w:szCs w:val="16"/>
        </w:rPr>
        <w:softHyphen/>
        <w:t>ли:</w:t>
      </w:r>
      <w:r w:rsidRPr="00E93F40">
        <w:rPr>
          <w:rFonts w:ascii="Times New Roman" w:hAnsi="Times New Roman"/>
          <w:iCs/>
          <w:color w:val="000000" w:themeColor="text1"/>
          <w:sz w:val="16"/>
          <w:szCs w:val="16"/>
        </w:rPr>
        <w:t xml:space="preserve"> «Трактор Катерпиллер-60 прочен и прост, удо</w:t>
      </w:r>
      <w:r w:rsidRPr="00E93F40">
        <w:rPr>
          <w:rFonts w:ascii="Times New Roman" w:hAnsi="Times New Roman"/>
          <w:iCs/>
          <w:color w:val="000000" w:themeColor="text1"/>
          <w:sz w:val="16"/>
          <w:szCs w:val="16"/>
        </w:rPr>
        <w:softHyphen/>
        <w:t>бен в обращении. Исключительно надежно рабо</w:t>
      </w:r>
      <w:r w:rsidRPr="00E93F40">
        <w:rPr>
          <w:rFonts w:ascii="Times New Roman" w:hAnsi="Times New Roman"/>
          <w:iCs/>
          <w:color w:val="000000" w:themeColor="text1"/>
          <w:sz w:val="16"/>
          <w:szCs w:val="16"/>
        </w:rPr>
        <w:softHyphen/>
        <w:t>тает мотор в различных условиях, независимо от продолжительности беспрерывной работы».</w:t>
      </w:r>
    </w:p>
    <w:p w14:paraId="6B9CDCC7"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числе недостатков трактора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были отмечены: скорость не выше 5,9 км/ч, громозд</w:t>
      </w:r>
      <w:r w:rsidRPr="00E93F40">
        <w:rPr>
          <w:rFonts w:ascii="Times New Roman" w:hAnsi="Times New Roman"/>
          <w:color w:val="000000" w:themeColor="text1"/>
          <w:sz w:val="16"/>
          <w:szCs w:val="16"/>
        </w:rPr>
        <w:softHyphen/>
        <w:t>кая крыша, наличие несменных и вызывавших сильную тряску при движении на максимальной скорости по твердому грунту шпор, а также де</w:t>
      </w:r>
      <w:r w:rsidRPr="00E93F40">
        <w:rPr>
          <w:rFonts w:ascii="Times New Roman" w:hAnsi="Times New Roman"/>
          <w:color w:val="000000" w:themeColor="text1"/>
          <w:sz w:val="16"/>
          <w:szCs w:val="16"/>
        </w:rPr>
        <w:softHyphen/>
        <w:t>фект помпы.</w:t>
      </w:r>
    </w:p>
    <w:p w14:paraId="7BCEAFBB"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 КПД имел те же недостатки гусенич</w:t>
      </w:r>
      <w:r w:rsidRPr="00E93F40">
        <w:rPr>
          <w:rFonts w:ascii="Times New Roman" w:hAnsi="Times New Roman"/>
          <w:color w:val="000000" w:themeColor="text1"/>
          <w:sz w:val="16"/>
          <w:szCs w:val="16"/>
        </w:rPr>
        <w:softHyphen/>
        <w:t>ного хода, что и у базовой модели, в связи с чем, военные отметили, что он может надежно рабо</w:t>
      </w:r>
      <w:r w:rsidRPr="00E93F40">
        <w:rPr>
          <w:rFonts w:ascii="Times New Roman" w:hAnsi="Times New Roman"/>
          <w:color w:val="000000" w:themeColor="text1"/>
          <w:sz w:val="16"/>
          <w:szCs w:val="16"/>
        </w:rPr>
        <w:softHyphen/>
        <w:t>тать в тех же условиях, что и «</w:t>
      </w:r>
      <w:r w:rsidRPr="00E93F40">
        <w:rPr>
          <w:rFonts w:ascii="Times New Roman" w:hAnsi="Times New Roman"/>
          <w:color w:val="000000" w:themeColor="text1"/>
          <w:sz w:val="16"/>
          <w:szCs w:val="16"/>
          <w:lang w:val="en-US"/>
        </w:rPr>
        <w:t>Sixty</w:t>
      </w:r>
      <w:r w:rsidRPr="00E93F40">
        <w:rPr>
          <w:rFonts w:ascii="Times New Roman" w:hAnsi="Times New Roman"/>
          <w:color w:val="000000" w:themeColor="text1"/>
          <w:sz w:val="16"/>
          <w:szCs w:val="16"/>
        </w:rPr>
        <w:t>». Выхлоп от</w:t>
      </w:r>
      <w:r w:rsidRPr="00E93F40">
        <w:rPr>
          <w:rFonts w:ascii="Times New Roman" w:hAnsi="Times New Roman"/>
          <w:color w:val="000000" w:themeColor="text1"/>
          <w:sz w:val="16"/>
          <w:szCs w:val="16"/>
        </w:rPr>
        <w:softHyphen/>
        <w:t>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43389970"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Выявленные дефекты воспрепятствовали принятию КПД на вооруже</w:t>
      </w:r>
      <w:r w:rsidRPr="00E93F40">
        <w:rPr>
          <w:rFonts w:ascii="Times New Roman" w:hAnsi="Times New Roman"/>
          <w:color w:val="000000" w:themeColor="text1"/>
          <w:sz w:val="16"/>
          <w:szCs w:val="16"/>
        </w:rPr>
        <w:softHyphen/>
        <w:t>ние. Опыт разработки и испытаний трактора КПД был учтен при создании новых конструк</w:t>
      </w:r>
      <w:r w:rsidRPr="00E93F40">
        <w:rPr>
          <w:rFonts w:ascii="Times New Roman" w:hAnsi="Times New Roman"/>
          <w:color w:val="000000" w:themeColor="text1"/>
          <w:sz w:val="16"/>
          <w:szCs w:val="16"/>
        </w:rPr>
        <w:softHyphen/>
        <w:t>ций машин.</w:t>
      </w:r>
    </w:p>
    <w:tbl>
      <w:tblPr>
        <w:tblW w:w="0" w:type="auto"/>
        <w:tblInd w:w="8" w:type="dxa"/>
        <w:tblLayout w:type="fixed"/>
        <w:tblCellMar>
          <w:left w:w="0" w:type="dxa"/>
          <w:right w:w="0" w:type="dxa"/>
        </w:tblCellMar>
        <w:tblLook w:val="0000" w:firstRow="0" w:lastRow="0" w:firstColumn="0" w:lastColumn="0" w:noHBand="0" w:noVBand="0"/>
      </w:tblPr>
      <w:tblGrid>
        <w:gridCol w:w="3119"/>
        <w:gridCol w:w="4565"/>
        <w:gridCol w:w="3231"/>
      </w:tblGrid>
      <w:tr w:rsidR="00DA227A" w:rsidRPr="00E93F40" w14:paraId="62DBD6B1"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D632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Марка трактора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F8D27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«Катерпиллер-60»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53C3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КПД</w:t>
            </w:r>
          </w:p>
        </w:tc>
      </w:tr>
      <w:tr w:rsidR="00DA227A" w:rsidRPr="00E93F40" w14:paraId="2D53655D"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6C82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7475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5EBA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2F694135"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647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двигателя, л.с.</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0C6D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82DC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60778"</w:t>
            </w:r>
          </w:p>
        </w:tc>
      </w:tr>
      <w:tr w:rsidR="00DA227A" w:rsidRPr="00E93F40" w14:paraId="42DAD275"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F759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Габаритные размеры, мм:</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7341EA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A2FCF8"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FC8AD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BC3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03C48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4640</w:t>
            </w:r>
          </w:p>
        </w:tc>
      </w:tr>
      <w:tr w:rsidR="00DA227A" w:rsidRPr="00E93F40" w14:paraId="2DAFA151"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ECF8F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BB4D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3A0DF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2335</w:t>
            </w:r>
          </w:p>
        </w:tc>
      </w:tr>
      <w:tr w:rsidR="00DA227A" w:rsidRPr="00E93F40" w14:paraId="24E5D327"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5CC7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EF18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2694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2B21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2530</w:t>
            </w:r>
          </w:p>
        </w:tc>
      </w:tr>
      <w:tr w:rsidR="00DA227A" w:rsidRPr="00E93F40" w14:paraId="080DA686"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FE23A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4F147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75B6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w:t>
            </w:r>
          </w:p>
        </w:tc>
      </w:tr>
      <w:tr w:rsidR="00DA227A" w:rsidRPr="00E93F40" w14:paraId="6778D6EA"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EBA0E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тягового крюка над землей</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2DCD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DBBC4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620</w:t>
            </w:r>
          </w:p>
        </w:tc>
      </w:tr>
      <w:tr w:rsidR="00DA227A" w:rsidRPr="00E93F40" w14:paraId="52297E12"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1D9B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(без водителя), кг</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8BEC1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8FFA3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r>
      <w:tr w:rsidR="00DA227A" w:rsidRPr="00E93F40" w14:paraId="167CF8A8"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CD64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Скорости движения, км/ч:</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636E38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3C2CC3E"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35C0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B92B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67BBB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3.1*/3.9**</w:t>
            </w:r>
          </w:p>
        </w:tc>
      </w:tr>
      <w:tr w:rsidR="00DA227A" w:rsidRPr="00E93F40" w14:paraId="1AD865B2"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3223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1E6F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517B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4,275,4"</w:t>
            </w:r>
          </w:p>
        </w:tc>
      </w:tr>
      <w:tr w:rsidR="00DA227A" w:rsidRPr="00E93F40" w14:paraId="335229C0"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AC20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1B0E8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AD0B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5,8577.7"*</w:t>
            </w:r>
          </w:p>
        </w:tc>
      </w:tr>
      <w:tr w:rsidR="00DA227A" w:rsidRPr="00E93F40" w14:paraId="1F8E6465"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2186A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4-я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DC0D3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9760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2DEF66"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4AE39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AD92B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859F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1B5A67"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345F9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E7B5DEA" w14:textId="77777777" w:rsidR="007B1D3C" w:rsidRPr="00E93F40" w:rsidRDefault="007B1D3C" w:rsidP="00E93F40">
            <w:pPr>
              <w:autoSpaceDE w:val="0"/>
              <w:autoSpaceDN w:val="0"/>
              <w:adjustRightInd w:val="0"/>
              <w:spacing w:after="0" w:line="240" w:lineRule="auto"/>
              <w:jc w:val="both"/>
              <w:rPr>
                <w:rFonts w:ascii="Times New Roman" w:eastAsia="MS Mincho" w:hAnsi="Times New Roman"/>
                <w:noProof/>
                <w:color w:val="000000" w:themeColor="text1"/>
                <w:sz w:val="16"/>
                <w:szCs w:val="16"/>
                <w:lang w:val="en-US"/>
              </w:rPr>
            </w:pPr>
            <w:r w:rsidRPr="00E93F40">
              <w:rPr>
                <w:rFonts w:ascii="Times New Roman" w:eastAsia="MS Mincho"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DCEB5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13,3717,9"</w:t>
            </w:r>
          </w:p>
        </w:tc>
      </w:tr>
      <w:tr w:rsidR="00DA227A" w:rsidRPr="00E93F40" w14:paraId="61E016A7"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A67E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EBAC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F25A2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218930"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CD1E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передача заднего хода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C62DB1A" w14:textId="77777777" w:rsidR="007B1D3C" w:rsidRPr="00E93F40" w:rsidRDefault="007B1D3C" w:rsidP="00E93F40">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E93F40">
              <w:rPr>
                <w:rFonts w:ascii="Times New Roman"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77C56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r>
      <w:tr w:rsidR="00DA227A" w:rsidRPr="00E93F40" w14:paraId="21E25BBC"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998E4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Расположение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9832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6D12E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Переднее</w:t>
            </w:r>
          </w:p>
        </w:tc>
      </w:tr>
      <w:tr w:rsidR="00DA227A" w:rsidRPr="00E93F40" w14:paraId="38C78D78"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3E60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Расположение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BE57B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DBEB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Вертикальное</w:t>
            </w:r>
          </w:p>
        </w:tc>
      </w:tr>
      <w:tr w:rsidR="00DA227A" w:rsidRPr="00E93F40" w14:paraId="7A0F0646"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A8B0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цилиндров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284D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D53F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156D8F"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D7093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2CC2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Раздельные цилиндры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C37F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Моноблок</w:t>
            </w:r>
          </w:p>
        </w:tc>
      </w:tr>
      <w:tr w:rsidR="00DA227A" w:rsidRPr="00E93F40" w14:paraId="04901B20"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618A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Размерность цилиндров двигателя,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B3C5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165,1x215,9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4B16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150x200</w:t>
            </w:r>
          </w:p>
        </w:tc>
      </w:tr>
      <w:tr w:rsidR="00DA227A" w:rsidRPr="00E93F40" w14:paraId="75868043" w14:textId="77777777">
        <w:trPr>
          <w:trHeight w:val="17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76D4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Частота вращения коленчатого вала при максимальной мощности, мин'</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65D18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C81AA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w:t>
            </w:r>
          </w:p>
        </w:tc>
      </w:tr>
      <w:tr w:rsidR="00DA227A" w:rsidRPr="00E93F40" w14:paraId="28E49459"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3F37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сжатия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F6D5B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1579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71E615"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41BE4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Литраж,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D1A4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4634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w:t>
            </w:r>
          </w:p>
        </w:tc>
      </w:tr>
      <w:tr w:rsidR="00DA227A" w:rsidRPr="00E93F40" w14:paraId="0ACB7BF6"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C9486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Порядок работы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8F8B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7DCC0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7C4150"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B5F4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Пуск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07D0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Ломиком за маховик</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B56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Сжатым воздухом</w:t>
            </w:r>
          </w:p>
        </w:tc>
      </w:tr>
      <w:tr w:rsidR="00DA227A" w:rsidRPr="00E93F40" w14:paraId="0369AFAB"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6E24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1050C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Бензин и лигроин</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9CFC9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Моторная нефть</w:t>
            </w:r>
          </w:p>
        </w:tc>
      </w:tr>
      <w:tr w:rsidR="00DA227A" w:rsidRPr="00E93F40" w14:paraId="41E0BFCC"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884E4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Способ подачи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D4A5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Вакуум-аппарат</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6F9A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Зоздушный механический насос</w:t>
            </w:r>
          </w:p>
        </w:tc>
      </w:tr>
      <w:tr w:rsidR="00DA227A" w:rsidRPr="00E93F40" w14:paraId="5AA8F02B"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62AC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Запастоппива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36BF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300л</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F012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 кг</w:t>
            </w:r>
          </w:p>
        </w:tc>
      </w:tr>
      <w:tr w:rsidR="00DA227A" w:rsidRPr="00E93F40" w14:paraId="795D38A5"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E129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ABA5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A206F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D7B17A"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8530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картера,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450D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CB8F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5D0C0C"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C07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радиатора системы охлаждения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92A6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Трубчатый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9E828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Трубчатый</w:t>
            </w:r>
          </w:p>
        </w:tc>
      </w:tr>
      <w:tr w:rsidR="00DA227A" w:rsidRPr="00E93F40" w14:paraId="21CE8393"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EA3F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системы охлаждения,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379C1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0F85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49748E"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A9A6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Зажигание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0579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Магнето</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AAE4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Самовоспламенение</w:t>
            </w:r>
          </w:p>
        </w:tc>
      </w:tr>
      <w:tr w:rsidR="00DA227A" w:rsidRPr="00E93F40" w14:paraId="282468CC"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C093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Сцепление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7BC9A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Сухое однсщисковое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9868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Сухое однодисковое</w:t>
            </w:r>
          </w:p>
        </w:tc>
      </w:tr>
      <w:tr w:rsidR="00DA227A" w:rsidRPr="00E93F40" w14:paraId="5055D4CD"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7D50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передач (вперед/назад)</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3C1C1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B34B6C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noProof/>
                <w:color w:val="000000" w:themeColor="text1"/>
                <w:sz w:val="16"/>
                <w:szCs w:val="16"/>
              </w:rPr>
              <w:t>6</w:t>
            </w:r>
            <w:r w:rsidRPr="00E93F40">
              <w:rPr>
                <w:rFonts w:ascii="Times New Roman" w:hAnsi="Times New Roman"/>
                <w:iCs/>
                <w:color w:val="000000" w:themeColor="text1"/>
                <w:sz w:val="16"/>
                <w:szCs w:val="16"/>
              </w:rPr>
              <w:t>12</w:t>
            </w:r>
          </w:p>
        </w:tc>
      </w:tr>
      <w:tr w:rsidR="00DA227A" w:rsidRPr="00E93F40" w14:paraId="7E3324B5"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7D19F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коробки передач</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FEA7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Шестеренчатая</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1B4BF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Шестеренчатая</w:t>
            </w:r>
          </w:p>
        </w:tc>
      </w:tr>
      <w:tr w:rsidR="00DA227A" w:rsidRPr="00E93F40" w14:paraId="0381B82D" w14:textId="77777777">
        <w:trPr>
          <w:trHeight w:val="240"/>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B1436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Передача на ведущие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17BC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Коническими и тарельчатыми шестернями и многодисковыми фрикционами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53529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Коническими и тарельчатыми шестернями и многодисковыми фрикционами</w:t>
            </w:r>
          </w:p>
        </w:tc>
      </w:tr>
      <w:tr w:rsidR="00DA227A" w:rsidRPr="00E93F40" w14:paraId="294AC30C"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28337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Гусеничный движитель</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EF3B5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кормовым расположением ведущих колес</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673F3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кормовым расположением ведущих колес</w:t>
            </w:r>
          </w:p>
        </w:tc>
      </w:tr>
      <w:tr w:rsidR="00DA227A" w:rsidRPr="00E93F40" w14:paraId="10FCDA8F"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4295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1AA39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Стальной с несъемными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A63C8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Стальной с несъемными шпорами</w:t>
            </w:r>
          </w:p>
        </w:tc>
      </w:tr>
      <w:tr w:rsidR="00DA227A" w:rsidRPr="00E93F40" w14:paraId="0CFBE51F"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F594D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траков,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04F8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33x2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9B3AC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33x2</w:t>
            </w:r>
          </w:p>
        </w:tc>
      </w:tr>
      <w:tr w:rsidR="00DA227A" w:rsidRPr="00E93F40" w14:paraId="04CBA546"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6917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Шаг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6A61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DB7F2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r>
      <w:tr w:rsidR="00DA227A" w:rsidRPr="00E93F40" w14:paraId="048373AE"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3901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опорной поверхности гусеницы,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99748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BBD3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r>
      <w:tr w:rsidR="00DA227A" w:rsidRPr="00E93F40" w14:paraId="2A1F1920"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1F98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Среднее давление на грунт, кг/см'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C789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0,44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99AF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0,43</w:t>
            </w:r>
          </w:p>
        </w:tc>
      </w:tr>
      <w:tr w:rsidR="00DA227A" w:rsidRPr="00E93F40" w14:paraId="2C36C889"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613B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зубьев ведущего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DEDD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980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r>
      <w:tr w:rsidR="00DA227A" w:rsidRPr="00E93F40" w14:paraId="1BC838F0"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CB7F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Натяжное приспособление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7A3C1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Гайкой и двумя болтами,со спиральной пружиной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0522E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Гайкой и двумя болтами, со спиральной пружиной</w:t>
            </w:r>
          </w:p>
        </w:tc>
      </w:tr>
      <w:tr w:rsidR="00DA227A" w:rsidRPr="00E93F40" w14:paraId="462CEF72"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B3D22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подрессоривания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36A4E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Пружины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0422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Пружины</w:t>
            </w:r>
          </w:p>
        </w:tc>
      </w:tr>
      <w:tr w:rsidR="00DA227A" w:rsidRPr="00E93F40" w14:paraId="17C57C54"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4EAC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хода,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DE8C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5375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2250</w:t>
            </w:r>
          </w:p>
        </w:tc>
      </w:tr>
      <w:tr w:rsidR="00DA227A" w:rsidRPr="00E93F40" w14:paraId="5D4F9808"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E3F72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колей,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32B30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AFFAA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1845</w:t>
            </w:r>
          </w:p>
        </w:tc>
      </w:tr>
      <w:tr w:rsidR="00DA227A" w:rsidRPr="00E93F40" w14:paraId="74603DF1" w14:textId="77777777">
        <w:trPr>
          <w:trHeight w:val="182"/>
        </w:trPr>
        <w:tc>
          <w:tcPr>
            <w:tcW w:w="10915" w:type="dxa"/>
            <w:gridSpan w:val="3"/>
            <w:tcBorders>
              <w:top w:val="single" w:sz="6" w:space="0" w:color="auto"/>
              <w:left w:val="nil"/>
              <w:bottom w:val="nil"/>
              <w:right w:val="nil"/>
            </w:tcBorders>
            <w:shd w:val="clear" w:color="auto" w:fill="FFFFFF"/>
          </w:tcPr>
          <w:p w14:paraId="518848D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Cs/>
                <w:color w:val="000000" w:themeColor="text1"/>
                <w:sz w:val="16"/>
                <w:szCs w:val="16"/>
              </w:rPr>
              <w:t>'При 650Об/чин. " При 850обМж.</w:t>
            </w:r>
          </w:p>
        </w:tc>
      </w:tr>
    </w:tbl>
    <w:p w14:paraId="2B3549D4"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(12062).</w:t>
      </w:r>
    </w:p>
    <w:p w14:paraId="365E06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02B8CED"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16 марта 1932 по Д-2 Дыренкова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(15624).</w:t>
      </w:r>
    </w:p>
    <w:p w14:paraId="31CA3DAF" w14:textId="77777777" w:rsidR="00CC0809" w:rsidRPr="00E93F40" w:rsidRDefault="00CC0809" w:rsidP="00E93F40">
      <w:pPr>
        <w:spacing w:after="0" w:line="240" w:lineRule="auto"/>
        <w:jc w:val="both"/>
        <w:rPr>
          <w:rFonts w:ascii="Times New Roman" w:hAnsi="Times New Roman"/>
          <w:color w:val="000000" w:themeColor="text1"/>
          <w:sz w:val="16"/>
          <w:szCs w:val="16"/>
        </w:rPr>
      </w:pPr>
    </w:p>
    <w:p w14:paraId="36AD3765"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 г. Протокол ПБ № 92 п.2: О закупке автомобилей системы «Линкольн» для гаражей ЦИК СССР и ВЦИК (Енукидзе). Решено: а) Принять предложение Енукидзе о закупке сверх плана для гаражей ЦИК СССР и ВЦИК 30 легковых автомобилей системы «Линкольн» вместо агрегатов «Форда» без дополнительной затраты валюты. б) Предложить Енукидзе заменить 6 открытых автомобилей Форда из одиннадцати, находящихся в распоряжении инженера Туполева, шестью крытыми Фордами (15955).</w:t>
      </w:r>
    </w:p>
    <w:p w14:paraId="2E32E8D9" w14:textId="77777777" w:rsidR="00CC0809" w:rsidRPr="00E93F40" w:rsidRDefault="00CC0809" w:rsidP="00E93F40">
      <w:pPr>
        <w:spacing w:after="0" w:line="240" w:lineRule="auto"/>
        <w:jc w:val="both"/>
        <w:rPr>
          <w:rFonts w:ascii="Times New Roman" w:hAnsi="Times New Roman"/>
          <w:color w:val="000000" w:themeColor="text1"/>
          <w:sz w:val="16"/>
          <w:szCs w:val="16"/>
        </w:rPr>
      </w:pPr>
    </w:p>
    <w:p w14:paraId="721B876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5273C1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38E9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 вышло Постановление ЦК ВКП(б) о создании Особого колхозного корпуса РККА на Дальнем Востоке (10687).</w:t>
      </w:r>
    </w:p>
    <w:p w14:paraId="3B661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D6E825" w14:textId="77777777" w:rsidR="00A528C5" w:rsidRPr="00142305" w:rsidRDefault="00A528C5" w:rsidP="00A528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марта 1932 года решили урезать лимиты на топливо для авиации. Однако две недели спустя Политбюро отменило это решение: «Во изменение решения Политбюро от 16.III.1932 г. обеспечить воздушный флот экспортным авиационным бакинским бензином в размере годовой потребности — 68.000 тонн» (25172).</w:t>
      </w:r>
    </w:p>
    <w:p w14:paraId="4C94A962" w14:textId="77777777" w:rsidR="00A528C5" w:rsidRPr="00142305" w:rsidRDefault="00A528C5" w:rsidP="00A528C5">
      <w:pPr>
        <w:spacing w:after="0" w:line="240" w:lineRule="auto"/>
        <w:jc w:val="both"/>
        <w:rPr>
          <w:rFonts w:ascii="Times New Roman" w:hAnsi="Times New Roman"/>
          <w:color w:val="0070C0"/>
          <w:sz w:val="16"/>
          <w:szCs w:val="16"/>
        </w:rPr>
      </w:pPr>
    </w:p>
    <w:p w14:paraId="510DA5A2" w14:textId="79337DBF" w:rsidR="00A528C5" w:rsidRPr="00E93F40" w:rsidRDefault="00A528C5" w:rsidP="00A528C5">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Жизнь и внутренняя политика</w:t>
      </w:r>
      <w:r w:rsidRPr="00E93F40">
        <w:rPr>
          <w:rFonts w:ascii="Times New Roman" w:hAnsi="Times New Roman"/>
          <w:i/>
          <w:iCs/>
          <w:color w:val="000000" w:themeColor="text1"/>
          <w:sz w:val="16"/>
          <w:szCs w:val="16"/>
        </w:rPr>
        <w:t>:</w:t>
      </w:r>
    </w:p>
    <w:p w14:paraId="13981E82" w14:textId="77777777" w:rsidR="00A528C5" w:rsidRPr="00E93F40" w:rsidRDefault="00A528C5" w:rsidP="00A528C5">
      <w:pPr>
        <w:autoSpaceDE w:val="0"/>
        <w:autoSpaceDN w:val="0"/>
        <w:adjustRightInd w:val="0"/>
        <w:spacing w:after="0" w:line="240" w:lineRule="auto"/>
        <w:jc w:val="both"/>
        <w:rPr>
          <w:rFonts w:ascii="Times New Roman" w:hAnsi="Times New Roman"/>
          <w:iCs/>
          <w:color w:val="000000" w:themeColor="text1"/>
          <w:sz w:val="16"/>
          <w:szCs w:val="16"/>
        </w:rPr>
      </w:pPr>
    </w:p>
    <w:p w14:paraId="56BE2E23" w14:textId="657C7D08" w:rsidR="00E64A3A" w:rsidRPr="00E93F40" w:rsidRDefault="00E64A3A"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16</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марта</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Политбюро ЦК ВКП(б)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ответ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телеграмму Косиора Сталину 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положении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УССР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семенами, указало, что «положение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семенами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Украине во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много раз хуже того, чем это следует из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телеграммы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Косиора, поэтому Политбюро предлагает ЦК КП(б)У принять все зависящие от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него меры 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тому, чтобы была предотвращена угроза срыва сева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Украине</w:t>
      </w:r>
      <w:hyperlink r:id="rId66" w:history="1">
        <w:r w:rsidRPr="00E93F40">
          <w:rPr>
            <w:rFonts w:ascii="Times New Roman" w:hAnsi="Times New Roman"/>
            <w:color w:val="000000" w:themeColor="text1"/>
            <w:sz w:val="16"/>
            <w:szCs w:val="16"/>
            <w:vertAlign w:val="superscript"/>
          </w:rPr>
          <w:t>3</w:t>
        </w:r>
      </w:hyperlink>
      <w:r w:rsidRPr="00E93F40">
        <w:rPr>
          <w:rFonts w:ascii="Times New Roman" w:hAnsi="Times New Roman"/>
          <w:color w:val="000000" w:themeColor="text1"/>
          <w:sz w:val="16"/>
          <w:szCs w:val="16"/>
        </w:rPr>
        <w:t>. 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Косиор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письме Сталину заявил: «У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нас есть отдельные случаи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даже отдельные села голодающие, однако это только результат местного головотяпства, перегибов, особенно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отношении колхозов. Всякие разговоры 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“голоде”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Украине нужно категорически отбросить. 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серьезная помощь, которая Украине была оказана, дает нам возможность все такие очаги ликвидировать». Характерна реакция Сталина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эту позицию Косиора: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Косиор!.. Если судить 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материалам, похоже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 что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некоторых пунктах УССР советская власть перестала существовать. Неужели это верно? Неужели так плохо дело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деревней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Украине? Где органы ГПУ, что они делают? Может быть, проверили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бы это дело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сообщили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бы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ЦК ВКП 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принятых мерах» (17258).</w:t>
      </w:r>
    </w:p>
    <w:p w14:paraId="58FCE674" w14:textId="77777777" w:rsidR="00E64A3A" w:rsidRPr="00E93F40" w:rsidRDefault="00E64A3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921E600" w14:textId="77777777" w:rsidR="00CC080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481837D" w14:textId="77777777" w:rsidR="00CC0809" w:rsidRPr="00E93F40" w:rsidRDefault="00CC080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9E250F"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1932 г. в УВВС ушел рапорт Волынченко с описанием перелёта, посадки и состояния дел. Однако уже гораздо раньше, из пространного документа можно было легко понять и объективно оценить все обстоятельства произо</w:t>
      </w:r>
      <w:r w:rsidRPr="00E93F40">
        <w:rPr>
          <w:rFonts w:ascii="Times New Roman" w:hAnsi="Times New Roman"/>
          <w:color w:val="000000" w:themeColor="text1"/>
          <w:sz w:val="16"/>
          <w:szCs w:val="16"/>
        </w:rPr>
        <w:softHyphen/>
        <w:t>шедшего. Ответственный секретарь Восточной Комиссии СТО Б.Н. Иванов писал, что уже «4 января выяснилось, что достоверно известно только о порче несущей ленты... од</w:t>
      </w:r>
      <w:r w:rsidRPr="00E93F40">
        <w:rPr>
          <w:rFonts w:ascii="Times New Roman" w:hAnsi="Times New Roman"/>
          <w:color w:val="000000" w:themeColor="text1"/>
          <w:sz w:val="16"/>
          <w:szCs w:val="16"/>
        </w:rPr>
        <w:softHyphen/>
        <w:t xml:space="preserve">ного из самолётов, в остальном, можно надеяться, всё обстоит благополучно». Далее со ссылкой на вернувшегося в тот день в Москву Берестецкого он кратко изложил процесс сдачи самолётов китайцам и </w:t>
      </w:r>
      <w:r w:rsidRPr="00E93F40">
        <w:rPr>
          <w:rStyle w:val="103"/>
          <w:rFonts w:ascii="Times New Roman" w:hAnsi="Times New Roman" w:cs="Times New Roman"/>
          <w:color w:val="000000" w:themeColor="text1"/>
          <w:sz w:val="16"/>
          <w:szCs w:val="16"/>
        </w:rPr>
        <w:t>подчеркнул</w:t>
      </w:r>
      <w:r w:rsidRPr="00E93F40">
        <w:rPr>
          <w:rFonts w:ascii="Times New Roman" w:hAnsi="Times New Roman"/>
          <w:color w:val="000000" w:themeColor="text1"/>
          <w:sz w:val="16"/>
          <w:szCs w:val="16"/>
        </w:rPr>
        <w:t>: «Запасные части к этим самолётам, в т.ч. и 4 комплекта несущих лент, находятся сейчас в Вахтах или в Чугучаке.</w:t>
      </w:r>
    </w:p>
    <w:p w14:paraId="29007157" w14:textId="77777777" w:rsidR="00CC0809" w:rsidRPr="00E93F40" w:rsidRDefault="00CC0809" w:rsidP="00E93F40">
      <w:pPr>
        <w:tabs>
          <w:tab w:val="left" w:pos="466"/>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предложил... немедленно дать телеграмму 1) Тов. Айсину, консулу СССР в Чугу</w:t>
      </w:r>
      <w:r w:rsidRPr="00E93F40">
        <w:rPr>
          <w:rFonts w:ascii="Times New Roman" w:hAnsi="Times New Roman"/>
          <w:color w:val="000000" w:themeColor="text1"/>
          <w:sz w:val="16"/>
          <w:szCs w:val="16"/>
        </w:rPr>
        <w:softHyphen/>
        <w:t>чаке, о немедленной отправке всех запасных частей в Урумчи, 2) тов. Златкину с изве</w:t>
      </w:r>
      <w:r w:rsidRPr="00E93F40">
        <w:rPr>
          <w:rFonts w:ascii="Times New Roman" w:hAnsi="Times New Roman"/>
          <w:color w:val="000000" w:themeColor="text1"/>
          <w:sz w:val="16"/>
          <w:szCs w:val="16"/>
        </w:rPr>
        <w:softHyphen/>
        <w:t>щением об этом распоряжении касательно запасных частей.</w:t>
      </w:r>
    </w:p>
    <w:p w14:paraId="1108D5A0"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мнению УВВС и ВАО ВСНХ СССР, </w:t>
      </w:r>
      <w:r w:rsidRPr="00E93F40">
        <w:rPr>
          <w:rStyle w:val="103"/>
          <w:rFonts w:ascii="Times New Roman" w:hAnsi="Times New Roman" w:cs="Times New Roman"/>
          <w:color w:val="000000" w:themeColor="text1"/>
          <w:sz w:val="16"/>
          <w:szCs w:val="16"/>
        </w:rPr>
        <w:t>замена несущей ленты заднего пролёта</w:t>
      </w:r>
      <w:r w:rsidRPr="00E93F40">
        <w:rPr>
          <w:rFonts w:ascii="Times New Roman" w:hAnsi="Times New Roman"/>
          <w:color w:val="000000" w:themeColor="text1"/>
          <w:sz w:val="16"/>
          <w:szCs w:val="16"/>
        </w:rPr>
        <w:t>, если дело только в этом, никаких трудностей не представляет.</w:t>
      </w:r>
    </w:p>
    <w:p w14:paraId="1AF80563" w14:textId="77777777" w:rsidR="00CC0809" w:rsidRPr="00E93F40" w:rsidRDefault="00CC0809" w:rsidP="00E93F40">
      <w:pPr>
        <w:tabs>
          <w:tab w:val="left" w:pos="495"/>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основании имеющихся в нашем распоряжении материалов можно сделать сле</w:t>
      </w:r>
      <w:r w:rsidRPr="00E93F40">
        <w:rPr>
          <w:rFonts w:ascii="Times New Roman" w:hAnsi="Times New Roman"/>
          <w:color w:val="000000" w:themeColor="text1"/>
          <w:sz w:val="16"/>
          <w:szCs w:val="16"/>
        </w:rPr>
        <w:softHyphen/>
        <w:t>дующие заключения...» — И далее как чиновные отписки следуют варианты формулиро</w:t>
      </w:r>
      <w:r w:rsidRPr="00E93F40">
        <w:rPr>
          <w:rFonts w:ascii="Times New Roman" w:hAnsi="Times New Roman"/>
          <w:color w:val="000000" w:themeColor="text1"/>
          <w:sz w:val="16"/>
          <w:szCs w:val="16"/>
        </w:rPr>
        <w:softHyphen/>
        <w:t>вок ответа китайцам — «...1) два Р-1 сданы китайцам 23 декабря в полной исправности. Замедление в их доставке до границы объясняется трудностями полётов в начале зимы.</w:t>
      </w:r>
    </w:p>
    <w:p w14:paraId="37F36B86" w14:textId="77777777" w:rsidR="00CC0809" w:rsidRPr="00E93F40" w:rsidRDefault="00CC0809" w:rsidP="00E93F40">
      <w:pPr>
        <w:tabs>
          <w:tab w:val="left" w:pos="43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Урумчи прибыли самолёты уже принадлежащие Синьцзяну, с лётчиками, состоя</w:t>
      </w:r>
      <w:r w:rsidRPr="00E93F40">
        <w:rPr>
          <w:rFonts w:ascii="Times New Roman" w:hAnsi="Times New Roman"/>
          <w:color w:val="000000" w:themeColor="text1"/>
          <w:sz w:val="16"/>
          <w:szCs w:val="16"/>
        </w:rPr>
        <w:softHyphen/>
        <w:t>щими на китайской службе. Авария сама по себе незначительна. Всё необходимое для ремонта в данном случае самолётов находится на Синьцзянской границе». Тем не менее подчеркивалось, что «</w:t>
      </w:r>
      <w:r w:rsidRPr="00E93F40">
        <w:rPr>
          <w:rStyle w:val="103"/>
          <w:rFonts w:ascii="Times New Roman" w:hAnsi="Times New Roman" w:cs="Times New Roman"/>
          <w:color w:val="000000" w:themeColor="text1"/>
          <w:sz w:val="16"/>
          <w:szCs w:val="16"/>
        </w:rPr>
        <w:t>это для ответа китайцам, для нас же надо заметить следующее</w:t>
      </w:r>
      <w:r w:rsidRPr="00E93F40">
        <w:rPr>
          <w:rFonts w:ascii="Times New Roman" w:hAnsi="Times New Roman"/>
          <w:color w:val="000000" w:themeColor="text1"/>
          <w:sz w:val="16"/>
          <w:szCs w:val="16"/>
        </w:rPr>
        <w:t>:</w:t>
      </w:r>
    </w:p>
    <w:p w14:paraId="1070D53D" w14:textId="77777777" w:rsidR="00CC0809" w:rsidRPr="00E93F40" w:rsidRDefault="00CC0809" w:rsidP="00E93F40">
      <w:pPr>
        <w:tabs>
          <w:tab w:val="left" w:pos="41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Наш транспорт, НКПС и Союзтранс, несмотря на ряд наших обращений, </w:t>
      </w:r>
      <w:r w:rsidRPr="00E93F40">
        <w:rPr>
          <w:rStyle w:val="103"/>
          <w:rFonts w:ascii="Times New Roman" w:hAnsi="Times New Roman" w:cs="Times New Roman"/>
          <w:color w:val="000000" w:themeColor="text1"/>
          <w:sz w:val="16"/>
          <w:szCs w:val="16"/>
        </w:rPr>
        <w:t>недопусти</w:t>
      </w:r>
      <w:r w:rsidRPr="00E93F40">
        <w:rPr>
          <w:rStyle w:val="103"/>
          <w:rFonts w:ascii="Times New Roman" w:hAnsi="Times New Roman" w:cs="Times New Roman"/>
          <w:color w:val="000000" w:themeColor="text1"/>
          <w:sz w:val="16"/>
          <w:szCs w:val="16"/>
        </w:rPr>
        <w:softHyphen/>
        <w:t>мо</w:t>
      </w:r>
      <w:r w:rsidRPr="00E93F40">
        <w:rPr>
          <w:rFonts w:ascii="Times New Roman" w:hAnsi="Times New Roman"/>
          <w:color w:val="000000" w:themeColor="text1"/>
          <w:sz w:val="16"/>
          <w:szCs w:val="16"/>
        </w:rPr>
        <w:t xml:space="preserve"> медленно продвигал военный груз, отправленный большой скоростью из Таганрога...</w:t>
      </w:r>
    </w:p>
    <w:p w14:paraId="53B14BAB" w14:textId="77777777" w:rsidR="00CC0809" w:rsidRPr="00E93F40" w:rsidRDefault="00CC0809" w:rsidP="00E93F40">
      <w:pPr>
        <w:tabs>
          <w:tab w:val="left" w:pos="42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проведении этой ответственной операции по внедрении в Синьцзян наших само</w:t>
      </w:r>
      <w:r w:rsidRPr="00E93F40">
        <w:rPr>
          <w:rFonts w:ascii="Times New Roman" w:hAnsi="Times New Roman"/>
          <w:color w:val="000000" w:themeColor="text1"/>
          <w:sz w:val="16"/>
          <w:szCs w:val="16"/>
        </w:rPr>
        <w:softHyphen/>
        <w:t>летов работало три разных организации: НКИД, который вел переговоры, в том числе в начале и чисто технически, и возглавлял вообще всю эту работу в целом, УВВС, кото</w:t>
      </w:r>
      <w:r w:rsidRPr="00E93F40">
        <w:rPr>
          <w:rFonts w:ascii="Times New Roman" w:hAnsi="Times New Roman"/>
          <w:color w:val="000000" w:themeColor="text1"/>
          <w:sz w:val="16"/>
          <w:szCs w:val="16"/>
        </w:rPr>
        <w:softHyphen/>
        <w:t>рый по требованию НКИД выбрал и командировал лётчиков и Особое Бюро, которое поставляло материальную часть и произвело сдачу заказа.</w:t>
      </w:r>
    </w:p>
    <w:p w14:paraId="53B0B609"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ПОЛУЧИЛАСЬ ОБЕЗЛИЧКА. В частности:</w:t>
      </w:r>
    </w:p>
    <w:p w14:paraId="3D446C15"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выбор лётчиков оказался не совсем уда</w:t>
      </w:r>
      <w:r w:rsidRPr="00E93F40">
        <w:rPr>
          <w:rFonts w:ascii="Times New Roman" w:hAnsi="Times New Roman"/>
          <w:color w:val="000000" w:themeColor="text1"/>
          <w:sz w:val="16"/>
          <w:szCs w:val="16"/>
        </w:rPr>
        <w:softHyphen/>
        <w:t>чным, лётчики не знают Синьцзянской обстанов</w:t>
      </w:r>
      <w:r w:rsidRPr="00E93F40">
        <w:rPr>
          <w:rFonts w:ascii="Times New Roman" w:hAnsi="Times New Roman"/>
          <w:color w:val="000000" w:themeColor="text1"/>
          <w:sz w:val="16"/>
          <w:szCs w:val="16"/>
        </w:rPr>
        <w:softHyphen/>
        <w:t>ки (т.е. политической); б) наблюдается боль</w:t>
      </w:r>
      <w:r w:rsidRPr="00E93F40">
        <w:rPr>
          <w:rFonts w:ascii="Times New Roman" w:hAnsi="Times New Roman"/>
          <w:color w:val="000000" w:themeColor="text1"/>
          <w:sz w:val="16"/>
          <w:szCs w:val="16"/>
        </w:rPr>
        <w:softHyphen/>
        <w:t>шая неясность в облас</w:t>
      </w:r>
      <w:r w:rsidRPr="00E93F40">
        <w:rPr>
          <w:rFonts w:ascii="Times New Roman" w:hAnsi="Times New Roman"/>
          <w:color w:val="000000" w:themeColor="text1"/>
          <w:sz w:val="16"/>
          <w:szCs w:val="16"/>
        </w:rPr>
        <w:softHyphen/>
        <w:t>ти расчётов по данному заказу; в) перелёт во многих отношениях ор</w:t>
      </w:r>
      <w:r w:rsidRPr="00E93F40">
        <w:rPr>
          <w:rFonts w:ascii="Times New Roman" w:hAnsi="Times New Roman"/>
          <w:color w:val="000000" w:themeColor="text1"/>
          <w:sz w:val="16"/>
          <w:szCs w:val="16"/>
        </w:rPr>
        <w:softHyphen/>
        <w:t>ганизован ниже всякой критики, лётчики свыше месяца оставались на границе, будучи постав</w:t>
      </w:r>
      <w:r w:rsidRPr="00E93F40">
        <w:rPr>
          <w:rFonts w:ascii="Times New Roman" w:hAnsi="Times New Roman"/>
          <w:color w:val="000000" w:themeColor="text1"/>
          <w:sz w:val="16"/>
          <w:szCs w:val="16"/>
        </w:rPr>
        <w:softHyphen/>
        <w:t>лены в невероятно тяжёлые бытовые и рабочие условия. В следующий раз надо проведение подобных опера</w:t>
      </w:r>
      <w:r w:rsidRPr="00E93F40">
        <w:rPr>
          <w:rFonts w:ascii="Times New Roman" w:hAnsi="Times New Roman"/>
          <w:color w:val="000000" w:themeColor="text1"/>
          <w:sz w:val="16"/>
          <w:szCs w:val="16"/>
        </w:rPr>
        <w:softHyphen/>
        <w:t>ций сосредотачивать в одних руках...»</w:t>
      </w:r>
    </w:p>
    <w:p w14:paraId="04F3424A"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Далее чиновник пообещал дополнительно представить подробный доклад «о ненормальностях проведения Синьцзянского заказа» и перешел... к поискам «стрелочника», указывая, что «</w:t>
      </w:r>
      <w:r w:rsidRPr="00E93F40">
        <w:rPr>
          <w:rStyle w:val="115"/>
          <w:rFonts w:ascii="Times New Roman" w:hAnsi="Times New Roman" w:cs="Times New Roman"/>
          <w:color w:val="000000" w:themeColor="text1"/>
          <w:sz w:val="16"/>
          <w:szCs w:val="16"/>
        </w:rPr>
        <w:t>все лётчики ехали в командировку с большой неохотой</w:t>
      </w:r>
      <w:r w:rsidRPr="00E93F40">
        <w:rPr>
          <w:rFonts w:ascii="Times New Roman" w:hAnsi="Times New Roman"/>
          <w:color w:val="000000" w:themeColor="text1"/>
          <w:sz w:val="16"/>
          <w:szCs w:val="16"/>
        </w:rPr>
        <w:t>, особенно т. Во</w:t>
      </w:r>
      <w:r w:rsidRPr="00E93F40">
        <w:rPr>
          <w:rFonts w:ascii="Times New Roman" w:hAnsi="Times New Roman"/>
          <w:color w:val="000000" w:themeColor="text1"/>
          <w:sz w:val="16"/>
          <w:szCs w:val="16"/>
        </w:rPr>
        <w:softHyphen/>
        <w:t>лынченко...». И хотя дальше он объективно описал все тяготы «дипломатического» «вы</w:t>
      </w:r>
      <w:r w:rsidRPr="00E93F40">
        <w:rPr>
          <w:rFonts w:ascii="Times New Roman" w:hAnsi="Times New Roman"/>
          <w:color w:val="000000" w:themeColor="text1"/>
          <w:sz w:val="16"/>
          <w:szCs w:val="16"/>
        </w:rPr>
        <w:softHyphen/>
        <w:t>живания» в Алма-Ате и трудности перелёта, тут же последовали и оргвыводы: «До некоторой степени в вину т. Волынченко можно поставить решение идти немедленно в Урумчи, хотя он и чувствовал, что один из самолётов недостаточно отрегулирован после тяжёлого перелёта. Но над душой человека, что называется, сидели и китайцы, и наши...».</w:t>
      </w:r>
    </w:p>
    <w:p w14:paraId="0342D080"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Определив таким образом основного виновника задержки в сдаче «особо важного» за</w:t>
      </w:r>
      <w:r w:rsidRPr="00E93F40">
        <w:rPr>
          <w:rFonts w:ascii="Times New Roman" w:hAnsi="Times New Roman"/>
          <w:color w:val="000000" w:themeColor="text1"/>
          <w:sz w:val="16"/>
          <w:szCs w:val="16"/>
        </w:rPr>
        <w:softHyphen/>
        <w:t>каза и поняв, что ничего страшного «для репутации советской державы» в Урумчи не слу</w:t>
      </w:r>
      <w:r w:rsidRPr="00E93F40">
        <w:rPr>
          <w:rFonts w:ascii="Times New Roman" w:hAnsi="Times New Roman"/>
          <w:color w:val="000000" w:themeColor="text1"/>
          <w:sz w:val="16"/>
          <w:szCs w:val="16"/>
        </w:rPr>
        <w:softHyphen/>
        <w:t>чилось, Иванов незамедлительно перешел к дальнейшим сделкам: «...V) По вопросу о двух самолётах К-5 с моторами М-15... Мнение нач. ВАО ВСНХ СССР тов. Баранова сво</w:t>
      </w:r>
      <w:r w:rsidRPr="00E93F40">
        <w:rPr>
          <w:rFonts w:ascii="Times New Roman" w:hAnsi="Times New Roman"/>
          <w:color w:val="000000" w:themeColor="text1"/>
          <w:sz w:val="16"/>
          <w:szCs w:val="16"/>
        </w:rPr>
        <w:softHyphen/>
        <w:t xml:space="preserve">дится к следующему: 2 с-та К-5 могут быть поставлены </w:t>
      </w:r>
      <w:r w:rsidRPr="00E93F40">
        <w:rPr>
          <w:rStyle w:val="115"/>
          <w:rFonts w:ascii="Times New Roman" w:hAnsi="Times New Roman" w:cs="Times New Roman"/>
          <w:color w:val="000000" w:themeColor="text1"/>
          <w:sz w:val="16"/>
          <w:szCs w:val="16"/>
        </w:rPr>
        <w:t>Образцово-Безукоризненно</w:t>
      </w:r>
      <w:r w:rsidRPr="00E93F40">
        <w:rPr>
          <w:rFonts w:ascii="Times New Roman" w:hAnsi="Times New Roman"/>
          <w:color w:val="000000" w:themeColor="text1"/>
          <w:sz w:val="16"/>
          <w:szCs w:val="16"/>
        </w:rPr>
        <w:t>, (здесь и ниже выделено в оригинале — А.Д.) Беда [с] мотором М-15, который является новым для нашего производства.</w:t>
      </w:r>
    </w:p>
    <w:p w14:paraId="35457A25"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Через 2-3 дня тов. Баранов выяснит, можно ли получить </w:t>
      </w:r>
      <w:r w:rsidRPr="00E93F40">
        <w:rPr>
          <w:rStyle w:val="115"/>
          <w:rFonts w:ascii="Times New Roman" w:hAnsi="Times New Roman" w:cs="Times New Roman"/>
          <w:color w:val="000000" w:themeColor="text1"/>
          <w:sz w:val="16"/>
          <w:szCs w:val="16"/>
        </w:rPr>
        <w:t>2 безукоризненных</w:t>
      </w:r>
      <w:r w:rsidRPr="00E93F40">
        <w:rPr>
          <w:rFonts w:ascii="Times New Roman" w:hAnsi="Times New Roman"/>
          <w:color w:val="000000" w:themeColor="text1"/>
          <w:sz w:val="16"/>
          <w:szCs w:val="16"/>
        </w:rPr>
        <w:t xml:space="preserve"> М-15, если окажется, что нет, то вполне возможно на с-х К-5 установить заграничные мото</w:t>
      </w:r>
      <w:r w:rsidRPr="00E93F40">
        <w:rPr>
          <w:rFonts w:ascii="Times New Roman" w:hAnsi="Times New Roman"/>
          <w:color w:val="000000" w:themeColor="text1"/>
          <w:sz w:val="16"/>
          <w:szCs w:val="16"/>
        </w:rPr>
        <w:softHyphen/>
        <w:t xml:space="preserve">ры и тогда самолёты в целом </w:t>
      </w:r>
      <w:r w:rsidRPr="00E93F40">
        <w:rPr>
          <w:rStyle w:val="115"/>
          <w:rFonts w:ascii="Times New Roman" w:hAnsi="Times New Roman" w:cs="Times New Roman"/>
          <w:color w:val="000000" w:themeColor="text1"/>
          <w:sz w:val="16"/>
          <w:szCs w:val="16"/>
        </w:rPr>
        <w:t>выдержат все</w:t>
      </w:r>
      <w:r w:rsidRPr="00E93F40">
        <w:rPr>
          <w:rStyle w:val="85pt"/>
          <w:rFonts w:ascii="Times New Roman" w:hAnsi="Times New Roman" w:cs="Times New Roman"/>
          <w:b w:val="0"/>
          <w:color w:val="000000" w:themeColor="text1"/>
          <w:sz w:val="16"/>
          <w:szCs w:val="16"/>
        </w:rPr>
        <w:t xml:space="preserve"> условия</w:t>
      </w:r>
      <w:r w:rsidRPr="00E93F40">
        <w:rPr>
          <w:rStyle w:val="115"/>
          <w:rFonts w:ascii="Times New Roman" w:hAnsi="Times New Roman" w:cs="Times New Roman"/>
          <w:color w:val="000000" w:themeColor="text1"/>
          <w:sz w:val="16"/>
          <w:szCs w:val="16"/>
        </w:rPr>
        <w:t xml:space="preserve"> эксплуатации в Синьцзяне</w:t>
      </w:r>
      <w:r w:rsidRPr="00E93F40">
        <w:rPr>
          <w:rFonts w:ascii="Times New Roman" w:hAnsi="Times New Roman"/>
          <w:color w:val="000000" w:themeColor="text1"/>
          <w:sz w:val="16"/>
          <w:szCs w:val="16"/>
        </w:rPr>
        <w:t>.</w:t>
      </w:r>
    </w:p>
    <w:p w14:paraId="456BA766"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полагаю что, не дожидаясь взноса задатка китайцами, надо через мое Бюро пред</w:t>
      </w:r>
      <w:r w:rsidRPr="00E93F40">
        <w:rPr>
          <w:rFonts w:ascii="Times New Roman" w:hAnsi="Times New Roman"/>
          <w:color w:val="000000" w:themeColor="text1"/>
          <w:sz w:val="16"/>
          <w:szCs w:val="16"/>
        </w:rPr>
        <w:softHyphen/>
        <w:t xml:space="preserve">ложить ВАО ВСНХ СССР, которое в лице своего коммерческого директора подписало 21 ноября 1931 г. договор с Моу Вейтуном, </w:t>
      </w:r>
      <w:r w:rsidRPr="00E93F40">
        <w:rPr>
          <w:rStyle w:val="115"/>
          <w:rFonts w:ascii="Times New Roman" w:hAnsi="Times New Roman" w:cs="Times New Roman"/>
          <w:color w:val="000000" w:themeColor="text1"/>
          <w:sz w:val="16"/>
          <w:szCs w:val="16"/>
        </w:rPr>
        <w:t>немедленно</w:t>
      </w:r>
      <w:r w:rsidRPr="00E93F40">
        <w:rPr>
          <w:rFonts w:ascii="Times New Roman" w:hAnsi="Times New Roman"/>
          <w:color w:val="000000" w:themeColor="text1"/>
          <w:sz w:val="16"/>
          <w:szCs w:val="16"/>
        </w:rPr>
        <w:t xml:space="preserve"> приступить к сборке 2-х </w:t>
      </w:r>
      <w:r w:rsidRPr="00E93F40">
        <w:rPr>
          <w:rStyle w:val="115"/>
          <w:rFonts w:ascii="Times New Roman" w:hAnsi="Times New Roman" w:cs="Times New Roman"/>
          <w:color w:val="000000" w:themeColor="text1"/>
          <w:sz w:val="16"/>
          <w:szCs w:val="16"/>
        </w:rPr>
        <w:t>об</w:t>
      </w:r>
      <w:r w:rsidRPr="00E93F40">
        <w:rPr>
          <w:rStyle w:val="115"/>
          <w:rFonts w:ascii="Times New Roman" w:hAnsi="Times New Roman" w:cs="Times New Roman"/>
          <w:color w:val="000000" w:themeColor="text1"/>
          <w:sz w:val="16"/>
          <w:szCs w:val="16"/>
        </w:rPr>
        <w:softHyphen/>
        <w:t>разцовых самолётов</w:t>
      </w:r>
      <w:r w:rsidRPr="00E93F40">
        <w:rPr>
          <w:rFonts w:ascii="Times New Roman" w:hAnsi="Times New Roman"/>
          <w:color w:val="000000" w:themeColor="text1"/>
          <w:sz w:val="16"/>
          <w:szCs w:val="16"/>
        </w:rPr>
        <w:t xml:space="preserve"> К-5 с тем, чтобы на них были поставлены или наши, или загра</w:t>
      </w:r>
      <w:r w:rsidRPr="00E93F40">
        <w:rPr>
          <w:rFonts w:ascii="Times New Roman" w:hAnsi="Times New Roman"/>
          <w:color w:val="000000" w:themeColor="text1"/>
          <w:sz w:val="16"/>
          <w:szCs w:val="16"/>
        </w:rPr>
        <w:softHyphen/>
        <w:t>ничные моторы. Валютная стоимость моторов будет покрыта задатком Синьцзяна.</w:t>
      </w:r>
    </w:p>
    <w:p w14:paraId="4E01C93F"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счастью для нас срок сдачи самолётов исчисляется с момента взноса покупателем задатка, кроме того, мотивируя трудностями перелётов в зимнее время, легко оттянуть сдачу самолётов на границе на достаточно долгий срок, если это потребуется...».</w:t>
      </w:r>
    </w:p>
    <w:p w14:paraId="359263E2"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Оставим по-своему примечательные формулировки без комментариев и закончим лишь историю с пресловутой лентой. Волынченко сообщил, что 7 февраля в Урумчи прибыли запчасти к самолётам и моторам. Вопреки утверждениям Берестецкого, лент там не ока</w:t>
      </w:r>
      <w:r w:rsidRPr="00E93F40">
        <w:rPr>
          <w:rFonts w:ascii="Times New Roman" w:hAnsi="Times New Roman"/>
          <w:color w:val="000000" w:themeColor="text1"/>
          <w:sz w:val="16"/>
          <w:szCs w:val="16"/>
        </w:rPr>
        <w:softHyphen/>
        <w:t>залось, Генконсульство отправило телеграмму о срочной замене повреждённой ленты.</w:t>
      </w:r>
    </w:p>
    <w:p w14:paraId="4C0EA174"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«Впредь до прибытия новой ленты, в местных автомобильных мастерских, по моему заказу была сделана стальная муфта-гайка, посредством которой лента была «срощена» и поставлена на место. В районе Урумчи произведено два фигурных показательных по</w:t>
      </w:r>
      <w:r w:rsidRPr="00E93F40">
        <w:rPr>
          <w:rFonts w:ascii="Times New Roman" w:hAnsi="Times New Roman"/>
          <w:color w:val="000000" w:themeColor="text1"/>
          <w:sz w:val="16"/>
          <w:szCs w:val="16"/>
        </w:rPr>
        <w:softHyphen/>
        <w:t>лёта на одном из самолётов. Во время одного из этих полётов на моторе лопнула пру</w:t>
      </w:r>
      <w:r w:rsidRPr="00E93F40">
        <w:rPr>
          <w:rFonts w:ascii="Times New Roman" w:hAnsi="Times New Roman"/>
          <w:color w:val="000000" w:themeColor="text1"/>
          <w:sz w:val="16"/>
          <w:szCs w:val="16"/>
        </w:rPr>
        <w:softHyphen/>
        <w:t>жина впускного клапана, которая сейчас заменена из прибывших запасных частей.</w:t>
      </w:r>
    </w:p>
    <w:p w14:paraId="6854BC80"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Самолёты находятся в двух временно выстроенных ангарах (на каждый... отдельный ангар). Состояние самолётов и мото</w:t>
      </w:r>
      <w:r w:rsidRPr="00E93F40">
        <w:rPr>
          <w:rFonts w:ascii="Times New Roman" w:hAnsi="Times New Roman"/>
          <w:color w:val="000000" w:themeColor="text1"/>
          <w:sz w:val="16"/>
          <w:szCs w:val="16"/>
        </w:rPr>
        <w:softHyphen/>
        <w:t>ров за исключением указанных дефектов удовлетворительное».</w:t>
      </w:r>
    </w:p>
    <w:p w14:paraId="15D060C8" w14:textId="77777777" w:rsidR="00CC0809" w:rsidRPr="00E93F40" w:rsidRDefault="00CC08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Летать с кустарно «срощенной» лентой, обеспечивающей прочность всей конструкции, было очень опасно, но совет</w:t>
      </w:r>
      <w:r w:rsidRPr="00E93F40">
        <w:rPr>
          <w:rFonts w:ascii="Times New Roman" w:hAnsi="Times New Roman"/>
          <w:color w:val="000000" w:themeColor="text1"/>
          <w:sz w:val="16"/>
          <w:szCs w:val="16"/>
        </w:rPr>
        <w:softHyphen/>
        <w:t>ских чиновников это уже не бес</w:t>
      </w:r>
      <w:r w:rsidRPr="00E93F40">
        <w:rPr>
          <w:rFonts w:ascii="Times New Roman" w:hAnsi="Times New Roman"/>
          <w:color w:val="000000" w:themeColor="text1"/>
          <w:sz w:val="16"/>
          <w:szCs w:val="16"/>
        </w:rPr>
        <w:softHyphen/>
        <w:t>покоило. В ответ на неодно</w:t>
      </w:r>
      <w:r w:rsidRPr="00E93F40">
        <w:rPr>
          <w:rFonts w:ascii="Times New Roman" w:hAnsi="Times New Roman"/>
          <w:color w:val="000000" w:themeColor="text1"/>
          <w:sz w:val="16"/>
          <w:szCs w:val="16"/>
        </w:rPr>
        <w:softHyphen/>
        <w:t>кратные просьбы лётчика из Москвы шли просто хамские от</w:t>
      </w:r>
      <w:r w:rsidRPr="00E93F40">
        <w:rPr>
          <w:rFonts w:ascii="Times New Roman" w:hAnsi="Times New Roman"/>
          <w:color w:val="000000" w:themeColor="text1"/>
          <w:sz w:val="16"/>
          <w:szCs w:val="16"/>
        </w:rPr>
        <w:softHyphen/>
        <w:t>писки (15802).</w:t>
      </w:r>
    </w:p>
    <w:p w14:paraId="761D89CE" w14:textId="77777777" w:rsidR="00CC0809" w:rsidRPr="00E93F40" w:rsidRDefault="00CC0809" w:rsidP="00E93F40">
      <w:pPr>
        <w:spacing w:after="0" w:line="240" w:lineRule="auto"/>
        <w:jc w:val="both"/>
        <w:rPr>
          <w:rFonts w:ascii="Times New Roman" w:hAnsi="Times New Roman"/>
          <w:color w:val="000000" w:themeColor="text1"/>
          <w:sz w:val="16"/>
          <w:szCs w:val="16"/>
        </w:rPr>
      </w:pPr>
    </w:p>
    <w:p w14:paraId="663CAA0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053DB0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C06B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марта 1932 года зам. Начальника ВВС Меженинов писал письмо N С-34/0010сс начальнику штаба РККА.</w:t>
      </w:r>
    </w:p>
    <w:p w14:paraId="57E1B9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 10 Постановления РВС от 20 февраля 1932 года (по обследованию Осконбюро Гроховского) представляю на утверждение одобренный начальником ВВС РККА план работ Осконбюро Гроховского.</w:t>
      </w:r>
    </w:p>
    <w:p w14:paraId="09A5D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работ по обеспечению десантных отрядов решен только в отношении потребной суммы средств. Окончательная номенклатура и число предметов уточняются совместно с 1 управлением штаба РККА.</w:t>
      </w:r>
    </w:p>
    <w:p w14:paraId="3B5BC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Осконбюро ВВС на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DA227A" w:rsidRPr="00E93F40" w14:paraId="10C8B2D6" w14:textId="77777777">
        <w:tc>
          <w:tcPr>
            <w:tcW w:w="4928" w:type="dxa"/>
          </w:tcPr>
          <w:p w14:paraId="4B61E6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05CFD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Г-63 (буксируется разведывательн.</w:t>
            </w:r>
          </w:p>
        </w:tc>
      </w:tr>
      <w:tr w:rsidR="00DA227A" w:rsidRPr="00E93F40" w14:paraId="7E9F162E" w14:textId="77777777">
        <w:tc>
          <w:tcPr>
            <w:tcW w:w="4928" w:type="dxa"/>
          </w:tcPr>
          <w:p w14:paraId="7E816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6246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самолетом, грузоподъемность 17 человек</w:t>
            </w:r>
          </w:p>
        </w:tc>
      </w:tr>
      <w:tr w:rsidR="00DA227A" w:rsidRPr="00E93F40" w14:paraId="54AAEA71" w14:textId="77777777">
        <w:tc>
          <w:tcPr>
            <w:tcW w:w="4928" w:type="dxa"/>
          </w:tcPr>
          <w:p w14:paraId="3822C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A853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кг груза).</w:t>
            </w:r>
          </w:p>
        </w:tc>
      </w:tr>
      <w:tr w:rsidR="00DA227A" w:rsidRPr="00E93F40" w14:paraId="77F0636B" w14:textId="77777777">
        <w:tc>
          <w:tcPr>
            <w:tcW w:w="4928" w:type="dxa"/>
          </w:tcPr>
          <w:p w14:paraId="3BF0C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F7C20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Изготовляется 1-й экземпляр.</w:t>
            </w:r>
          </w:p>
        </w:tc>
      </w:tr>
      <w:tr w:rsidR="00DA227A" w:rsidRPr="00E93F40" w14:paraId="05AD5123" w14:textId="77777777">
        <w:tc>
          <w:tcPr>
            <w:tcW w:w="4928" w:type="dxa"/>
          </w:tcPr>
          <w:p w14:paraId="5C22E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433FE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1BDB63" w14:textId="77777777">
        <w:tc>
          <w:tcPr>
            <w:tcW w:w="4928" w:type="dxa"/>
          </w:tcPr>
          <w:p w14:paraId="650E6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750A59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Посадка без парашютного десанта в составе</w:t>
            </w:r>
          </w:p>
        </w:tc>
      </w:tr>
      <w:tr w:rsidR="00DA227A" w:rsidRPr="00E93F40" w14:paraId="5678A399" w14:textId="77777777">
        <w:tc>
          <w:tcPr>
            <w:tcW w:w="4928" w:type="dxa"/>
          </w:tcPr>
          <w:p w14:paraId="2CBC1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7BA7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усиленного унитарного отделения (17 человек</w:t>
            </w:r>
          </w:p>
        </w:tc>
      </w:tr>
      <w:tr w:rsidR="00DA227A" w:rsidRPr="00E93F40" w14:paraId="50D04BB4" w14:textId="77777777">
        <w:tc>
          <w:tcPr>
            <w:tcW w:w="4928" w:type="dxa"/>
          </w:tcPr>
          <w:p w14:paraId="6D290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A8F9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полным вооружением и 500 кг груза).</w:t>
            </w:r>
          </w:p>
        </w:tc>
      </w:tr>
      <w:tr w:rsidR="00DA227A" w:rsidRPr="00E93F40" w14:paraId="0DC43EC2" w14:textId="77777777">
        <w:tc>
          <w:tcPr>
            <w:tcW w:w="4928" w:type="dxa"/>
          </w:tcPr>
          <w:p w14:paraId="61F525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49AB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Должен буксироваться самолетом Р-5 М-17;</w:t>
            </w:r>
          </w:p>
        </w:tc>
      </w:tr>
      <w:tr w:rsidR="00DA227A" w:rsidRPr="00E93F40" w14:paraId="61FEC324" w14:textId="77777777">
        <w:tc>
          <w:tcPr>
            <w:tcW w:w="4928" w:type="dxa"/>
          </w:tcPr>
          <w:p w14:paraId="3CA851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05117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Должен иметь пробег после отцепления и</w:t>
            </w:r>
          </w:p>
        </w:tc>
      </w:tr>
      <w:tr w:rsidR="00DA227A" w:rsidRPr="00E93F40" w14:paraId="2F2552C9" w14:textId="77777777">
        <w:tc>
          <w:tcPr>
            <w:tcW w:w="4928" w:type="dxa"/>
          </w:tcPr>
          <w:p w14:paraId="059126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C896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посадки не более 15 м;</w:t>
            </w:r>
          </w:p>
        </w:tc>
      </w:tr>
      <w:tr w:rsidR="00DA227A" w:rsidRPr="00E93F40" w14:paraId="4360A183" w14:textId="77777777">
        <w:tc>
          <w:tcPr>
            <w:tcW w:w="4928" w:type="dxa"/>
          </w:tcPr>
          <w:p w14:paraId="45E5B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9D60A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Должен допускать посадку на неподготовленную</w:t>
            </w:r>
          </w:p>
        </w:tc>
      </w:tr>
      <w:tr w:rsidR="00DA227A" w:rsidRPr="00E93F40" w14:paraId="5620CDCD" w14:textId="77777777">
        <w:tc>
          <w:tcPr>
            <w:tcW w:w="4928" w:type="dxa"/>
          </w:tcPr>
          <w:p w14:paraId="6D20FE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5E17A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площадку (пахота, поляна).</w:t>
            </w:r>
          </w:p>
        </w:tc>
      </w:tr>
      <w:tr w:rsidR="00DA227A" w:rsidRPr="00E93F40" w14:paraId="0223C7E8" w14:textId="77777777">
        <w:tc>
          <w:tcPr>
            <w:tcW w:w="4928" w:type="dxa"/>
          </w:tcPr>
          <w:p w14:paraId="438427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3FE2FD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5448C12C" w14:textId="77777777">
        <w:tc>
          <w:tcPr>
            <w:tcW w:w="4928" w:type="dxa"/>
          </w:tcPr>
          <w:p w14:paraId="31B8C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A0887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506293" w14:textId="77777777">
        <w:tc>
          <w:tcPr>
            <w:tcW w:w="4928" w:type="dxa"/>
          </w:tcPr>
          <w:p w14:paraId="06279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378AB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Г-63 (буксируется разведывательн.</w:t>
            </w:r>
          </w:p>
        </w:tc>
      </w:tr>
      <w:tr w:rsidR="00DA227A" w:rsidRPr="00E93F40" w14:paraId="740990AB" w14:textId="77777777">
        <w:tc>
          <w:tcPr>
            <w:tcW w:w="4928" w:type="dxa"/>
          </w:tcPr>
          <w:p w14:paraId="06E28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C7BC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самолетом, грузоподъемность 50 человек).</w:t>
            </w:r>
          </w:p>
        </w:tc>
      </w:tr>
      <w:tr w:rsidR="00DA227A" w:rsidRPr="00E93F40" w14:paraId="2F8D1A6B" w14:textId="77777777">
        <w:tc>
          <w:tcPr>
            <w:tcW w:w="4928" w:type="dxa"/>
          </w:tcPr>
          <w:p w14:paraId="2DFFF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FC765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Изготовляется 1-й экземпляр.</w:t>
            </w:r>
          </w:p>
        </w:tc>
      </w:tr>
      <w:tr w:rsidR="00DA227A" w:rsidRPr="00E93F40" w14:paraId="002E543C" w14:textId="77777777">
        <w:tc>
          <w:tcPr>
            <w:tcW w:w="4928" w:type="dxa"/>
          </w:tcPr>
          <w:p w14:paraId="533B4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2375F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87D884" w14:textId="77777777">
        <w:tc>
          <w:tcPr>
            <w:tcW w:w="4928" w:type="dxa"/>
          </w:tcPr>
          <w:p w14:paraId="0C624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308E1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Посадка без парашютного десанта (взвода) в</w:t>
            </w:r>
          </w:p>
        </w:tc>
      </w:tr>
      <w:tr w:rsidR="00DA227A" w:rsidRPr="00E93F40" w14:paraId="01E35A06" w14:textId="77777777">
        <w:tc>
          <w:tcPr>
            <w:tcW w:w="4928" w:type="dxa"/>
          </w:tcPr>
          <w:p w14:paraId="348A1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027C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составе 3-х усиленных унитарных отделений</w:t>
            </w:r>
          </w:p>
        </w:tc>
      </w:tr>
      <w:tr w:rsidR="00DA227A" w:rsidRPr="00E93F40" w14:paraId="000ECE31" w14:textId="77777777">
        <w:tc>
          <w:tcPr>
            <w:tcW w:w="4928" w:type="dxa"/>
          </w:tcPr>
          <w:p w14:paraId="0A013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BBB0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отделения гранатометчиков с полным</w:t>
            </w:r>
          </w:p>
        </w:tc>
      </w:tr>
      <w:tr w:rsidR="00DA227A" w:rsidRPr="00E93F40" w14:paraId="7DE0C5BE" w14:textId="77777777">
        <w:tc>
          <w:tcPr>
            <w:tcW w:w="4928" w:type="dxa"/>
          </w:tcPr>
          <w:p w14:paraId="5308C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37B57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вооружением. Необходимо создать оборону</w:t>
            </w:r>
          </w:p>
        </w:tc>
      </w:tr>
      <w:tr w:rsidR="00DA227A" w:rsidRPr="00E93F40" w14:paraId="4C822753" w14:textId="77777777">
        <w:tc>
          <w:tcPr>
            <w:tcW w:w="4928" w:type="dxa"/>
          </w:tcPr>
          <w:p w14:paraId="330F0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2B4C8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задней полусферы, Условия посадки те же,</w:t>
            </w:r>
          </w:p>
        </w:tc>
      </w:tr>
      <w:tr w:rsidR="00DA227A" w:rsidRPr="00E93F40" w14:paraId="34E31F27" w14:textId="77777777">
        <w:tc>
          <w:tcPr>
            <w:tcW w:w="4928" w:type="dxa"/>
          </w:tcPr>
          <w:p w14:paraId="382B7C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7593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и для Г-63.</w:t>
            </w:r>
          </w:p>
        </w:tc>
      </w:tr>
      <w:tr w:rsidR="00DA227A" w:rsidRPr="00E93F40" w14:paraId="112ADE81" w14:textId="77777777">
        <w:tc>
          <w:tcPr>
            <w:tcW w:w="4928" w:type="dxa"/>
          </w:tcPr>
          <w:p w14:paraId="082EE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0AB9B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w:t>
            </w:r>
          </w:p>
        </w:tc>
      </w:tr>
      <w:tr w:rsidR="00DA227A" w:rsidRPr="00E93F40" w14:paraId="57CD7A73" w14:textId="77777777">
        <w:tc>
          <w:tcPr>
            <w:tcW w:w="4928" w:type="dxa"/>
          </w:tcPr>
          <w:p w14:paraId="34A6B5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A7AE5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EF5601" w14:textId="77777777">
        <w:tc>
          <w:tcPr>
            <w:tcW w:w="4928" w:type="dxa"/>
          </w:tcPr>
          <w:p w14:paraId="00DF7D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18DE4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Г-45а.</w:t>
            </w:r>
          </w:p>
        </w:tc>
      </w:tr>
      <w:tr w:rsidR="00DA227A" w:rsidRPr="00E93F40" w14:paraId="7B87B949" w14:textId="77777777">
        <w:tc>
          <w:tcPr>
            <w:tcW w:w="4928" w:type="dxa"/>
          </w:tcPr>
          <w:p w14:paraId="75C338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D575C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Готовить два экземпляра.</w:t>
            </w:r>
          </w:p>
        </w:tc>
      </w:tr>
      <w:tr w:rsidR="00DA227A" w:rsidRPr="00E93F40" w14:paraId="1A1FF234" w14:textId="77777777">
        <w:tc>
          <w:tcPr>
            <w:tcW w:w="4928" w:type="dxa"/>
          </w:tcPr>
          <w:p w14:paraId="20DC1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36F96E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E45206" w14:textId="77777777">
        <w:tc>
          <w:tcPr>
            <w:tcW w:w="4928" w:type="dxa"/>
          </w:tcPr>
          <w:p w14:paraId="569B7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2480D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с самолета ТБ-1 беспарашютного</w:t>
            </w:r>
          </w:p>
        </w:tc>
      </w:tr>
      <w:tr w:rsidR="00DA227A" w:rsidRPr="00E93F40" w14:paraId="5F51613B" w14:textId="77777777">
        <w:tc>
          <w:tcPr>
            <w:tcW w:w="4928" w:type="dxa"/>
          </w:tcPr>
          <w:p w14:paraId="182BB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F2311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десанта унитарного отделения с оружием. Авиабус</w:t>
            </w:r>
          </w:p>
        </w:tc>
      </w:tr>
      <w:tr w:rsidR="00DA227A" w:rsidRPr="00E93F40" w14:paraId="7E66AF2F" w14:textId="77777777">
        <w:tc>
          <w:tcPr>
            <w:tcW w:w="4928" w:type="dxa"/>
          </w:tcPr>
          <w:p w14:paraId="500C0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7B1E3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должен обеспечить мягкость посадки для</w:t>
            </w:r>
          </w:p>
        </w:tc>
      </w:tr>
      <w:tr w:rsidR="00DA227A" w:rsidRPr="00E93F40" w14:paraId="7BE8B70E" w14:textId="77777777">
        <w:tc>
          <w:tcPr>
            <w:tcW w:w="4928" w:type="dxa"/>
          </w:tcPr>
          <w:p w14:paraId="445BA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B4F4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сохранения боеспособности бойцов. Работа</w:t>
            </w:r>
          </w:p>
        </w:tc>
      </w:tr>
      <w:tr w:rsidR="00DA227A" w:rsidRPr="00E93F40" w14:paraId="6509D79F" w14:textId="77777777">
        <w:tc>
          <w:tcPr>
            <w:tcW w:w="4928" w:type="dxa"/>
          </w:tcPr>
          <w:p w14:paraId="29C38F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E6A74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второочередная.</w:t>
            </w:r>
          </w:p>
        </w:tc>
      </w:tr>
      <w:tr w:rsidR="00DA227A" w:rsidRPr="00E93F40" w14:paraId="3A7B38AF" w14:textId="77777777">
        <w:tc>
          <w:tcPr>
            <w:tcW w:w="4928" w:type="dxa"/>
          </w:tcPr>
          <w:p w14:paraId="45A1EE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70424C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0DB9E651" w14:textId="77777777">
        <w:tc>
          <w:tcPr>
            <w:tcW w:w="4928" w:type="dxa"/>
          </w:tcPr>
          <w:p w14:paraId="243A5C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E09E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26F42E" w14:textId="77777777">
        <w:tc>
          <w:tcPr>
            <w:tcW w:w="4928" w:type="dxa"/>
          </w:tcPr>
          <w:p w14:paraId="2FC55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419D50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Авиабусная площадка Г-51.</w:t>
            </w:r>
          </w:p>
        </w:tc>
      </w:tr>
      <w:tr w:rsidR="00DA227A" w:rsidRPr="00E93F40" w14:paraId="0143E038" w14:textId="77777777">
        <w:tc>
          <w:tcPr>
            <w:tcW w:w="4928" w:type="dxa"/>
          </w:tcPr>
          <w:p w14:paraId="30725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DA07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Изготавливается 1 экземпляр.</w:t>
            </w:r>
          </w:p>
        </w:tc>
      </w:tr>
      <w:tr w:rsidR="00DA227A" w:rsidRPr="00E93F40" w14:paraId="0F57696C" w14:textId="77777777">
        <w:tc>
          <w:tcPr>
            <w:tcW w:w="4928" w:type="dxa"/>
          </w:tcPr>
          <w:p w14:paraId="23FD8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4FA53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A7A615" w14:textId="77777777">
        <w:tc>
          <w:tcPr>
            <w:tcW w:w="4928" w:type="dxa"/>
          </w:tcPr>
          <w:p w14:paraId="27741E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2CB41C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сбрасывания разнообразных грузов с </w:t>
            </w:r>
          </w:p>
        </w:tc>
      </w:tr>
      <w:tr w:rsidR="00DA227A" w:rsidRPr="00E93F40" w14:paraId="1C94E5AD" w14:textId="77777777">
        <w:tc>
          <w:tcPr>
            <w:tcW w:w="4928" w:type="dxa"/>
          </w:tcPr>
          <w:p w14:paraId="7E9B3E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4C45F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бреющего полета весом 1 т с самолета ТБ1.</w:t>
            </w:r>
          </w:p>
        </w:tc>
      </w:tr>
      <w:tr w:rsidR="00DA227A" w:rsidRPr="00E93F40" w14:paraId="57E433D7" w14:textId="77777777">
        <w:tc>
          <w:tcPr>
            <w:tcW w:w="4928" w:type="dxa"/>
          </w:tcPr>
          <w:p w14:paraId="173BD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DB1C5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Площадку приспособить для беспарашютной</w:t>
            </w:r>
          </w:p>
        </w:tc>
      </w:tr>
      <w:tr w:rsidR="00DA227A" w:rsidRPr="00E93F40" w14:paraId="5CD54CD3" w14:textId="77777777">
        <w:tc>
          <w:tcPr>
            <w:tcW w:w="4928" w:type="dxa"/>
          </w:tcPr>
          <w:p w14:paraId="68A5A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661B1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посадки грузов десантных отрядов. Все конструкции</w:t>
            </w:r>
          </w:p>
        </w:tc>
      </w:tr>
      <w:tr w:rsidR="00DA227A" w:rsidRPr="00E93F40" w14:paraId="7959C488" w14:textId="77777777">
        <w:tc>
          <w:tcPr>
            <w:tcW w:w="4928" w:type="dxa"/>
          </w:tcPr>
          <w:p w14:paraId="7DF134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9889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должны быть не свыше 300 кг.</w:t>
            </w:r>
          </w:p>
        </w:tc>
      </w:tr>
      <w:tr w:rsidR="00DA227A" w:rsidRPr="00E93F40" w14:paraId="6485B016" w14:textId="77777777">
        <w:tc>
          <w:tcPr>
            <w:tcW w:w="4928" w:type="dxa"/>
          </w:tcPr>
          <w:p w14:paraId="03D59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34776C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w:t>
            </w:r>
          </w:p>
        </w:tc>
      </w:tr>
      <w:tr w:rsidR="00DA227A" w:rsidRPr="00E93F40" w14:paraId="2B381505" w14:textId="77777777">
        <w:tc>
          <w:tcPr>
            <w:tcW w:w="4928" w:type="dxa"/>
          </w:tcPr>
          <w:p w14:paraId="77C11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58C1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EA3443" w14:textId="77777777">
        <w:tc>
          <w:tcPr>
            <w:tcW w:w="4928" w:type="dxa"/>
          </w:tcPr>
          <w:p w14:paraId="218B3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74283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малый Г-68.</w:t>
            </w:r>
          </w:p>
        </w:tc>
      </w:tr>
      <w:tr w:rsidR="00DA227A" w:rsidRPr="00E93F40" w14:paraId="7E93315B" w14:textId="77777777">
        <w:tc>
          <w:tcPr>
            <w:tcW w:w="4928" w:type="dxa"/>
          </w:tcPr>
          <w:p w14:paraId="21E3BB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8A074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Изготавливается 10 экземпляров.</w:t>
            </w:r>
          </w:p>
        </w:tc>
      </w:tr>
      <w:tr w:rsidR="00DA227A" w:rsidRPr="00E93F40" w14:paraId="3E662762" w14:textId="77777777">
        <w:tc>
          <w:tcPr>
            <w:tcW w:w="4928" w:type="dxa"/>
          </w:tcPr>
          <w:p w14:paraId="6FD972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0407E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85FB99" w14:textId="77777777">
        <w:tc>
          <w:tcPr>
            <w:tcW w:w="4928" w:type="dxa"/>
          </w:tcPr>
          <w:p w14:paraId="7001BA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0D62B9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грузов с самолета Р-5 при</w:t>
            </w:r>
          </w:p>
        </w:tc>
      </w:tr>
      <w:tr w:rsidR="00DA227A" w:rsidRPr="00E93F40" w14:paraId="21B4FF22" w14:textId="77777777">
        <w:tc>
          <w:tcPr>
            <w:tcW w:w="4928" w:type="dxa"/>
          </w:tcPr>
          <w:p w14:paraId="7211E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45E5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высадке десанта и последующего его боевого</w:t>
            </w:r>
          </w:p>
        </w:tc>
      </w:tr>
      <w:tr w:rsidR="00DA227A" w:rsidRPr="00E93F40" w14:paraId="1E252912" w14:textId="77777777">
        <w:tc>
          <w:tcPr>
            <w:tcW w:w="4928" w:type="dxa"/>
          </w:tcPr>
          <w:p w14:paraId="37AC7B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F049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снабжения. Вес конструкции не должен</w:t>
            </w:r>
          </w:p>
        </w:tc>
      </w:tr>
      <w:tr w:rsidR="00DA227A" w:rsidRPr="00E93F40" w14:paraId="6C2FE4A5" w14:textId="77777777">
        <w:tc>
          <w:tcPr>
            <w:tcW w:w="4928" w:type="dxa"/>
          </w:tcPr>
          <w:p w14:paraId="12A557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C1E9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превышать 80 кг.</w:t>
            </w:r>
          </w:p>
        </w:tc>
      </w:tr>
      <w:tr w:rsidR="00DA227A" w:rsidRPr="00E93F40" w14:paraId="759689C0" w14:textId="77777777">
        <w:tc>
          <w:tcPr>
            <w:tcW w:w="4928" w:type="dxa"/>
          </w:tcPr>
          <w:p w14:paraId="04637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76855E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w:t>
            </w:r>
          </w:p>
        </w:tc>
      </w:tr>
      <w:tr w:rsidR="00DA227A" w:rsidRPr="00E93F40" w14:paraId="7BAF1A1E" w14:textId="77777777">
        <w:tc>
          <w:tcPr>
            <w:tcW w:w="4928" w:type="dxa"/>
          </w:tcPr>
          <w:p w14:paraId="2B2F6F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5DC3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7F5E31" w14:textId="77777777">
        <w:tc>
          <w:tcPr>
            <w:tcW w:w="4928" w:type="dxa"/>
          </w:tcPr>
          <w:p w14:paraId="0789F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52270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Г-37а - 1 экземпляр.</w:t>
            </w:r>
          </w:p>
        </w:tc>
      </w:tr>
      <w:tr w:rsidR="00DA227A" w:rsidRPr="00E93F40" w14:paraId="3C9CCDC3" w14:textId="77777777">
        <w:tc>
          <w:tcPr>
            <w:tcW w:w="4928" w:type="dxa"/>
          </w:tcPr>
          <w:p w14:paraId="5A4D4E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62CF0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DB2B10" w14:textId="77777777">
        <w:tc>
          <w:tcPr>
            <w:tcW w:w="4928" w:type="dxa"/>
          </w:tcPr>
          <w:p w14:paraId="668E7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02D6E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полевого 76 мм орудия с</w:t>
            </w:r>
          </w:p>
        </w:tc>
      </w:tr>
      <w:tr w:rsidR="00DA227A" w:rsidRPr="00E93F40" w14:paraId="668BA71C" w14:textId="77777777">
        <w:tc>
          <w:tcPr>
            <w:tcW w:w="4928" w:type="dxa"/>
          </w:tcPr>
          <w:p w14:paraId="5B0FC4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6FB02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ТБ-1.</w:t>
            </w:r>
          </w:p>
        </w:tc>
      </w:tr>
      <w:tr w:rsidR="00DA227A" w:rsidRPr="00E93F40" w14:paraId="55ACD944" w14:textId="77777777">
        <w:tc>
          <w:tcPr>
            <w:tcW w:w="4928" w:type="dxa"/>
          </w:tcPr>
          <w:p w14:paraId="1696C1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309B6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66A5BF1F" w14:textId="77777777">
        <w:tc>
          <w:tcPr>
            <w:tcW w:w="4928" w:type="dxa"/>
          </w:tcPr>
          <w:p w14:paraId="6317E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69CC1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4473F2" w14:textId="77777777">
        <w:tc>
          <w:tcPr>
            <w:tcW w:w="4928" w:type="dxa"/>
          </w:tcPr>
          <w:p w14:paraId="7FA1E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0237B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Г-38а - 1 экземпляр.</w:t>
            </w:r>
          </w:p>
        </w:tc>
      </w:tr>
      <w:tr w:rsidR="00DA227A" w:rsidRPr="00E93F40" w14:paraId="79E648CE" w14:textId="77777777">
        <w:tc>
          <w:tcPr>
            <w:tcW w:w="4928" w:type="dxa"/>
          </w:tcPr>
          <w:p w14:paraId="7020D6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36C9E1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CB0CC3" w14:textId="77777777">
        <w:tc>
          <w:tcPr>
            <w:tcW w:w="4928" w:type="dxa"/>
          </w:tcPr>
          <w:p w14:paraId="12840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6D1A8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авто-Форд, переделанного</w:t>
            </w:r>
          </w:p>
        </w:tc>
      </w:tr>
      <w:tr w:rsidR="00DA227A" w:rsidRPr="00E93F40" w14:paraId="29681CBC" w14:textId="77777777">
        <w:tc>
          <w:tcPr>
            <w:tcW w:w="4928" w:type="dxa"/>
          </w:tcPr>
          <w:p w14:paraId="61B561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669F1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полугрузовик на 1 т, готовность машины к</w:t>
            </w:r>
          </w:p>
        </w:tc>
      </w:tr>
      <w:tr w:rsidR="00DA227A" w:rsidRPr="00E93F40" w14:paraId="3191348F" w14:textId="77777777">
        <w:tc>
          <w:tcPr>
            <w:tcW w:w="4928" w:type="dxa"/>
          </w:tcPr>
          <w:p w14:paraId="1A2331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3279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движению от момента приземления - 5 минут.</w:t>
            </w:r>
          </w:p>
        </w:tc>
      </w:tr>
      <w:tr w:rsidR="00DA227A" w:rsidRPr="00E93F40" w14:paraId="43283370" w14:textId="77777777">
        <w:tc>
          <w:tcPr>
            <w:tcW w:w="4928" w:type="dxa"/>
          </w:tcPr>
          <w:p w14:paraId="2A9A1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75331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1DEE5EB4" w14:textId="77777777">
        <w:tc>
          <w:tcPr>
            <w:tcW w:w="4928" w:type="dxa"/>
          </w:tcPr>
          <w:p w14:paraId="784A1C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E2288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F7203B" w14:textId="77777777">
        <w:tc>
          <w:tcPr>
            <w:tcW w:w="4928" w:type="dxa"/>
          </w:tcPr>
          <w:p w14:paraId="5CB3D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7B6AEC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Г-43 - 1 экземпляр.</w:t>
            </w:r>
          </w:p>
        </w:tc>
      </w:tr>
      <w:tr w:rsidR="00DA227A" w:rsidRPr="00E93F40" w14:paraId="457FB707" w14:textId="77777777">
        <w:tc>
          <w:tcPr>
            <w:tcW w:w="4928" w:type="dxa"/>
          </w:tcPr>
          <w:p w14:paraId="569C5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471D2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7AD4B4" w14:textId="77777777">
        <w:tc>
          <w:tcPr>
            <w:tcW w:w="4928" w:type="dxa"/>
          </w:tcPr>
          <w:p w14:paraId="4F9D57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6240A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танкетки с самолета ТБ3.</w:t>
            </w:r>
          </w:p>
        </w:tc>
      </w:tr>
      <w:tr w:rsidR="00DA227A" w:rsidRPr="00E93F40" w14:paraId="4D73E39D" w14:textId="77777777">
        <w:tc>
          <w:tcPr>
            <w:tcW w:w="4928" w:type="dxa"/>
          </w:tcPr>
          <w:p w14:paraId="113EE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35746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6D2BB2CE" w14:textId="77777777">
        <w:tc>
          <w:tcPr>
            <w:tcW w:w="4928" w:type="dxa"/>
          </w:tcPr>
          <w:p w14:paraId="71EFD7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91F9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E3456E" w14:textId="77777777">
        <w:tc>
          <w:tcPr>
            <w:tcW w:w="4928" w:type="dxa"/>
          </w:tcPr>
          <w:p w14:paraId="407781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439D8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Г-62 - 2 экземпляра.</w:t>
            </w:r>
          </w:p>
        </w:tc>
      </w:tr>
      <w:tr w:rsidR="00DA227A" w:rsidRPr="00E93F40" w14:paraId="40B73446" w14:textId="77777777">
        <w:tc>
          <w:tcPr>
            <w:tcW w:w="4928" w:type="dxa"/>
          </w:tcPr>
          <w:p w14:paraId="05EB3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2B143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7E575A" w14:textId="77777777">
        <w:tc>
          <w:tcPr>
            <w:tcW w:w="4928" w:type="dxa"/>
          </w:tcPr>
          <w:p w14:paraId="4F5D39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467B3A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мотоциклов с прицепкой</w:t>
            </w:r>
          </w:p>
        </w:tc>
      </w:tr>
      <w:tr w:rsidR="00DA227A" w:rsidRPr="00E93F40" w14:paraId="2BB50E5A" w14:textId="77777777">
        <w:tc>
          <w:tcPr>
            <w:tcW w:w="4928" w:type="dxa"/>
          </w:tcPr>
          <w:p w14:paraId="09E9B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638C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самолета ТБ-1. Самолет должен брать 4</w:t>
            </w:r>
          </w:p>
        </w:tc>
      </w:tr>
      <w:tr w:rsidR="00DA227A" w:rsidRPr="00E93F40" w14:paraId="6972B522" w14:textId="77777777">
        <w:tc>
          <w:tcPr>
            <w:tcW w:w="4928" w:type="dxa"/>
          </w:tcPr>
          <w:p w14:paraId="5BF45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8511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мотоцикла.</w:t>
            </w:r>
          </w:p>
        </w:tc>
      </w:tr>
      <w:tr w:rsidR="00DA227A" w:rsidRPr="00E93F40" w14:paraId="1697A0D3" w14:textId="77777777">
        <w:tc>
          <w:tcPr>
            <w:tcW w:w="4928" w:type="dxa"/>
          </w:tcPr>
          <w:p w14:paraId="709BC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22865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73B0AC18" w14:textId="77777777">
        <w:tc>
          <w:tcPr>
            <w:tcW w:w="4928" w:type="dxa"/>
          </w:tcPr>
          <w:p w14:paraId="52018D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0979E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F49876" w14:textId="77777777">
        <w:tc>
          <w:tcPr>
            <w:tcW w:w="4928" w:type="dxa"/>
          </w:tcPr>
          <w:p w14:paraId="5BC6F7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7B1F2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Г-56 на 160 кг - 1 экземпляр.</w:t>
            </w:r>
          </w:p>
        </w:tc>
      </w:tr>
      <w:tr w:rsidR="00DA227A" w:rsidRPr="00E93F40" w14:paraId="54A2C6CF" w14:textId="77777777">
        <w:tc>
          <w:tcPr>
            <w:tcW w:w="4928" w:type="dxa"/>
          </w:tcPr>
          <w:p w14:paraId="6689DF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5252FC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A2CD64" w14:textId="77777777">
        <w:tc>
          <w:tcPr>
            <w:tcW w:w="4928" w:type="dxa"/>
          </w:tcPr>
          <w:p w14:paraId="03B1E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5A9A61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любых грузов до 160 кг.</w:t>
            </w:r>
          </w:p>
        </w:tc>
      </w:tr>
      <w:tr w:rsidR="00DA227A" w:rsidRPr="00E93F40" w14:paraId="0FC9EFA1" w14:textId="77777777">
        <w:tc>
          <w:tcPr>
            <w:tcW w:w="4928" w:type="dxa"/>
          </w:tcPr>
          <w:p w14:paraId="53AE6C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6583E3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338AB2F8" w14:textId="77777777">
        <w:tc>
          <w:tcPr>
            <w:tcW w:w="4928" w:type="dxa"/>
          </w:tcPr>
          <w:p w14:paraId="50FAB2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C9EC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6C2B57" w14:textId="77777777">
        <w:tc>
          <w:tcPr>
            <w:tcW w:w="4928" w:type="dxa"/>
          </w:tcPr>
          <w:p w14:paraId="6B00B5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15458E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Г-57 на 500 кг - 1 экземпляр.</w:t>
            </w:r>
          </w:p>
        </w:tc>
      </w:tr>
      <w:tr w:rsidR="00DA227A" w:rsidRPr="00E93F40" w14:paraId="789BBAD4" w14:textId="77777777">
        <w:tc>
          <w:tcPr>
            <w:tcW w:w="4928" w:type="dxa"/>
          </w:tcPr>
          <w:p w14:paraId="58C77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783A88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A55B8B7" w14:textId="77777777">
        <w:tc>
          <w:tcPr>
            <w:tcW w:w="4928" w:type="dxa"/>
          </w:tcPr>
          <w:p w14:paraId="095B5C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10E5C8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разных грузов или двух</w:t>
            </w:r>
          </w:p>
        </w:tc>
      </w:tr>
      <w:tr w:rsidR="00DA227A" w:rsidRPr="00E93F40" w14:paraId="3B3A653B" w14:textId="77777777">
        <w:tc>
          <w:tcPr>
            <w:tcW w:w="4928" w:type="dxa"/>
          </w:tcPr>
          <w:p w14:paraId="259C2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2803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мотоциклов.</w:t>
            </w:r>
          </w:p>
        </w:tc>
      </w:tr>
      <w:tr w:rsidR="00DA227A" w:rsidRPr="00E93F40" w14:paraId="4D1B6884" w14:textId="77777777">
        <w:tc>
          <w:tcPr>
            <w:tcW w:w="4928" w:type="dxa"/>
          </w:tcPr>
          <w:p w14:paraId="4A4A5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215B78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07A206AA" w14:textId="77777777">
        <w:tc>
          <w:tcPr>
            <w:tcW w:w="4928" w:type="dxa"/>
          </w:tcPr>
          <w:p w14:paraId="2F857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F771D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FB81E7" w14:textId="77777777">
        <w:tc>
          <w:tcPr>
            <w:tcW w:w="4928" w:type="dxa"/>
          </w:tcPr>
          <w:p w14:paraId="6DE66F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3C437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Г-58 на 1000 кг - 1 экземпляр.</w:t>
            </w:r>
          </w:p>
        </w:tc>
      </w:tr>
      <w:tr w:rsidR="00DA227A" w:rsidRPr="00E93F40" w14:paraId="3FA800AA" w14:textId="77777777">
        <w:tc>
          <w:tcPr>
            <w:tcW w:w="4928" w:type="dxa"/>
          </w:tcPr>
          <w:p w14:paraId="62B33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10B9B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478B62" w14:textId="77777777">
        <w:tc>
          <w:tcPr>
            <w:tcW w:w="4928" w:type="dxa"/>
          </w:tcPr>
          <w:p w14:paraId="2B2E5A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2C46DA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легких орудий.</w:t>
            </w:r>
          </w:p>
        </w:tc>
      </w:tr>
      <w:tr w:rsidR="00DA227A" w:rsidRPr="00E93F40" w14:paraId="6AC8B56A" w14:textId="77777777">
        <w:tc>
          <w:tcPr>
            <w:tcW w:w="4928" w:type="dxa"/>
          </w:tcPr>
          <w:p w14:paraId="14BAF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63B32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23D94DBB" w14:textId="77777777">
        <w:tc>
          <w:tcPr>
            <w:tcW w:w="4928" w:type="dxa"/>
          </w:tcPr>
          <w:p w14:paraId="30E48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B6CB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1547EC0" w14:textId="77777777">
        <w:tc>
          <w:tcPr>
            <w:tcW w:w="4928" w:type="dxa"/>
          </w:tcPr>
          <w:p w14:paraId="6287B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0AC8B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Г-59 на 1300 кг - 1 экземпляр.</w:t>
            </w:r>
          </w:p>
        </w:tc>
      </w:tr>
      <w:tr w:rsidR="00DA227A" w:rsidRPr="00E93F40" w14:paraId="06C63097" w14:textId="77777777">
        <w:tc>
          <w:tcPr>
            <w:tcW w:w="4928" w:type="dxa"/>
          </w:tcPr>
          <w:p w14:paraId="318F7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6901D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F7F945" w14:textId="77777777">
        <w:tc>
          <w:tcPr>
            <w:tcW w:w="4928" w:type="dxa"/>
          </w:tcPr>
          <w:p w14:paraId="7C42C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286183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автомашины ФОРД.</w:t>
            </w:r>
          </w:p>
        </w:tc>
      </w:tr>
      <w:tr w:rsidR="00DA227A" w:rsidRPr="00E93F40" w14:paraId="43BA9242" w14:textId="77777777">
        <w:tc>
          <w:tcPr>
            <w:tcW w:w="4928" w:type="dxa"/>
          </w:tcPr>
          <w:p w14:paraId="272298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752FB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1932 года</w:t>
            </w:r>
          </w:p>
        </w:tc>
      </w:tr>
      <w:tr w:rsidR="00DA227A" w:rsidRPr="00E93F40" w14:paraId="640F9318" w14:textId="77777777">
        <w:tc>
          <w:tcPr>
            <w:tcW w:w="4928" w:type="dxa"/>
          </w:tcPr>
          <w:p w14:paraId="6789C3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B2275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56CABB" w14:textId="77777777">
        <w:tc>
          <w:tcPr>
            <w:tcW w:w="4928" w:type="dxa"/>
          </w:tcPr>
          <w:p w14:paraId="448AD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1EA66A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грузовой Г-72 на 3000 кг - 1 экземпляр.</w:t>
            </w:r>
          </w:p>
        </w:tc>
      </w:tr>
      <w:tr w:rsidR="00DA227A" w:rsidRPr="00E93F40" w14:paraId="3EA3620F" w14:textId="77777777">
        <w:tc>
          <w:tcPr>
            <w:tcW w:w="4928" w:type="dxa"/>
          </w:tcPr>
          <w:p w14:paraId="29AC5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52F93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373528" w14:textId="77777777">
        <w:tc>
          <w:tcPr>
            <w:tcW w:w="4928" w:type="dxa"/>
          </w:tcPr>
          <w:p w14:paraId="1CF5A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17FA7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танкетки.</w:t>
            </w:r>
          </w:p>
        </w:tc>
      </w:tr>
      <w:tr w:rsidR="00DA227A" w:rsidRPr="00E93F40" w14:paraId="013B5460" w14:textId="77777777">
        <w:tc>
          <w:tcPr>
            <w:tcW w:w="4928" w:type="dxa"/>
          </w:tcPr>
          <w:p w14:paraId="03FF3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7187C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1CA26E32" w14:textId="77777777">
        <w:tc>
          <w:tcPr>
            <w:tcW w:w="4928" w:type="dxa"/>
          </w:tcPr>
          <w:p w14:paraId="5C209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A4CB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40613B" w14:textId="77777777">
        <w:tc>
          <w:tcPr>
            <w:tcW w:w="4928" w:type="dxa"/>
          </w:tcPr>
          <w:p w14:paraId="1E6A2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6906D5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летчика Г-70 - 3 экземпляра.</w:t>
            </w:r>
          </w:p>
        </w:tc>
      </w:tr>
      <w:tr w:rsidR="00DA227A" w:rsidRPr="00E93F40" w14:paraId="2F701DC3" w14:textId="77777777">
        <w:tc>
          <w:tcPr>
            <w:tcW w:w="4928" w:type="dxa"/>
          </w:tcPr>
          <w:p w14:paraId="2EDEF9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3B0E5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065F35" w14:textId="77777777">
        <w:tc>
          <w:tcPr>
            <w:tcW w:w="4928" w:type="dxa"/>
          </w:tcPr>
          <w:p w14:paraId="7B32A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604EA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Должен быть стандартный для разных лиц</w:t>
            </w:r>
          </w:p>
        </w:tc>
      </w:tr>
      <w:tr w:rsidR="00DA227A" w:rsidRPr="00E93F40" w14:paraId="55904322" w14:textId="77777777">
        <w:tc>
          <w:tcPr>
            <w:tcW w:w="4928" w:type="dxa"/>
          </w:tcPr>
          <w:p w14:paraId="207F4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D4E7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состава экипажа, вес не свыше 8 кг, скорость</w:t>
            </w:r>
          </w:p>
        </w:tc>
      </w:tr>
      <w:tr w:rsidR="00DA227A" w:rsidRPr="00E93F40" w14:paraId="3C8E076A" w14:textId="77777777">
        <w:tc>
          <w:tcPr>
            <w:tcW w:w="4928" w:type="dxa"/>
          </w:tcPr>
          <w:p w14:paraId="1A6C55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9181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снижения 5 м/сек. (Если не удается сконструировать</w:t>
            </w:r>
          </w:p>
        </w:tc>
      </w:tr>
      <w:tr w:rsidR="00DA227A" w:rsidRPr="00E93F40" w14:paraId="6B2C9006" w14:textId="77777777">
        <w:tc>
          <w:tcPr>
            <w:tcW w:w="4928" w:type="dxa"/>
          </w:tcPr>
          <w:p w14:paraId="2FBF52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9D8B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стандартный для всех лиц экипажа,</w:t>
            </w:r>
          </w:p>
        </w:tc>
      </w:tr>
      <w:tr w:rsidR="00DA227A" w:rsidRPr="00E93F40" w14:paraId="66753AF4" w14:textId="77777777">
        <w:tc>
          <w:tcPr>
            <w:tcW w:w="4928" w:type="dxa"/>
          </w:tcPr>
          <w:p w14:paraId="279E17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6F314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в первую очередь вопрос разрешить</w:t>
            </w:r>
          </w:p>
        </w:tc>
      </w:tr>
      <w:tr w:rsidR="00DA227A" w:rsidRPr="00E93F40" w14:paraId="04A0E9D6" w14:textId="77777777">
        <w:tc>
          <w:tcPr>
            <w:tcW w:w="4928" w:type="dxa"/>
          </w:tcPr>
          <w:p w14:paraId="3A6391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8D02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парашютом для летнаба).</w:t>
            </w:r>
          </w:p>
        </w:tc>
      </w:tr>
      <w:tr w:rsidR="00DA227A" w:rsidRPr="00E93F40" w14:paraId="0153B4AF" w14:textId="77777777">
        <w:tc>
          <w:tcPr>
            <w:tcW w:w="4928" w:type="dxa"/>
          </w:tcPr>
          <w:p w14:paraId="2C377A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676DFB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w:t>
            </w:r>
          </w:p>
        </w:tc>
      </w:tr>
      <w:tr w:rsidR="00DA227A" w:rsidRPr="00E93F40" w14:paraId="690238AB" w14:textId="77777777">
        <w:tc>
          <w:tcPr>
            <w:tcW w:w="4928" w:type="dxa"/>
          </w:tcPr>
          <w:p w14:paraId="03474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1287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228299" w14:textId="77777777">
        <w:tc>
          <w:tcPr>
            <w:tcW w:w="4928" w:type="dxa"/>
          </w:tcPr>
          <w:p w14:paraId="1544EF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1092E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Автоматический выбрасыватель Г-60 - 1 экземпляр.</w:t>
            </w:r>
          </w:p>
        </w:tc>
      </w:tr>
      <w:tr w:rsidR="00DA227A" w:rsidRPr="00E93F40" w14:paraId="7E746571" w14:textId="77777777">
        <w:tc>
          <w:tcPr>
            <w:tcW w:w="4928" w:type="dxa"/>
          </w:tcPr>
          <w:p w14:paraId="19F914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03841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CF8991" w14:textId="77777777">
        <w:tc>
          <w:tcPr>
            <w:tcW w:w="4928" w:type="dxa"/>
          </w:tcPr>
          <w:p w14:paraId="5264A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7A226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к-цев с самолета АНТ-9.</w:t>
            </w:r>
          </w:p>
        </w:tc>
      </w:tr>
      <w:tr w:rsidR="00DA227A" w:rsidRPr="00E93F40" w14:paraId="28602487" w14:textId="77777777">
        <w:tc>
          <w:tcPr>
            <w:tcW w:w="4928" w:type="dxa"/>
          </w:tcPr>
          <w:p w14:paraId="78DD3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5A592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w:t>
            </w:r>
          </w:p>
        </w:tc>
      </w:tr>
      <w:tr w:rsidR="00DA227A" w:rsidRPr="00E93F40" w14:paraId="55BEF14A" w14:textId="77777777">
        <w:tc>
          <w:tcPr>
            <w:tcW w:w="4928" w:type="dxa"/>
          </w:tcPr>
          <w:p w14:paraId="0B660B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4D18A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7950FFF" w14:textId="77777777">
        <w:tc>
          <w:tcPr>
            <w:tcW w:w="4928" w:type="dxa"/>
          </w:tcPr>
          <w:p w14:paraId="193B78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1983F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Прокладчик кабеля Г-54а в 3-х экземплярах</w:t>
            </w:r>
          </w:p>
        </w:tc>
      </w:tr>
      <w:tr w:rsidR="00DA227A" w:rsidRPr="00E93F40" w14:paraId="79BE6402" w14:textId="77777777">
        <w:tc>
          <w:tcPr>
            <w:tcW w:w="4928" w:type="dxa"/>
          </w:tcPr>
          <w:p w14:paraId="2C93A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7DECF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(комплекты по типам самолетов).</w:t>
            </w:r>
          </w:p>
        </w:tc>
      </w:tr>
      <w:tr w:rsidR="00DA227A" w:rsidRPr="00E93F40" w14:paraId="40BC2C33" w14:textId="77777777">
        <w:tc>
          <w:tcPr>
            <w:tcW w:w="4928" w:type="dxa"/>
          </w:tcPr>
          <w:p w14:paraId="180F94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28B4F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7F229D" w14:textId="77777777">
        <w:tc>
          <w:tcPr>
            <w:tcW w:w="4928" w:type="dxa"/>
          </w:tcPr>
          <w:p w14:paraId="0DF87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1013B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прокладки телефонной линии с самолета.</w:t>
            </w:r>
          </w:p>
        </w:tc>
      </w:tr>
      <w:tr w:rsidR="00DA227A" w:rsidRPr="00E93F40" w14:paraId="21C4DD66" w14:textId="77777777">
        <w:tc>
          <w:tcPr>
            <w:tcW w:w="4928" w:type="dxa"/>
          </w:tcPr>
          <w:p w14:paraId="085FC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D8DB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 конструкции и весов должен быть сделан</w:t>
            </w:r>
          </w:p>
        </w:tc>
      </w:tr>
      <w:tr w:rsidR="00DA227A" w:rsidRPr="00E93F40" w14:paraId="5E2CB8D1" w14:textId="77777777">
        <w:tc>
          <w:tcPr>
            <w:tcW w:w="4928" w:type="dxa"/>
          </w:tcPr>
          <w:p w14:paraId="186E5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BE0E7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существующий и принятый на вооружение</w:t>
            </w:r>
          </w:p>
        </w:tc>
      </w:tr>
      <w:tr w:rsidR="00DA227A" w:rsidRPr="00E93F40" w14:paraId="68072D96" w14:textId="77777777">
        <w:tc>
          <w:tcPr>
            <w:tcW w:w="4928" w:type="dxa"/>
          </w:tcPr>
          <w:p w14:paraId="74BB23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A4C3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телефонный провод и аппарат. Необходимо</w:t>
            </w:r>
          </w:p>
        </w:tc>
      </w:tr>
      <w:tr w:rsidR="00DA227A" w:rsidRPr="00E93F40" w14:paraId="3CBF3F29" w14:textId="77777777">
        <w:tc>
          <w:tcPr>
            <w:tcW w:w="4928" w:type="dxa"/>
          </w:tcPr>
          <w:p w14:paraId="766CD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81084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обеспечить легкое обнаружение конца провода</w:t>
            </w:r>
          </w:p>
        </w:tc>
      </w:tr>
      <w:tr w:rsidR="00DA227A" w:rsidRPr="00E93F40" w14:paraId="6DDA4787" w14:textId="77777777">
        <w:tc>
          <w:tcPr>
            <w:tcW w:w="4928" w:type="dxa"/>
          </w:tcPr>
          <w:p w14:paraId="0FE6DE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7045F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земле и возможность обрезания провода в</w:t>
            </w:r>
          </w:p>
        </w:tc>
      </w:tr>
      <w:tr w:rsidR="00DA227A" w:rsidRPr="00E93F40" w14:paraId="56E43462" w14:textId="77777777">
        <w:tc>
          <w:tcPr>
            <w:tcW w:w="4928" w:type="dxa"/>
          </w:tcPr>
          <w:p w14:paraId="69F6E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0E61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полете.</w:t>
            </w:r>
          </w:p>
        </w:tc>
      </w:tr>
      <w:tr w:rsidR="00DA227A" w:rsidRPr="00E93F40" w14:paraId="7C44FC81" w14:textId="77777777">
        <w:tc>
          <w:tcPr>
            <w:tcW w:w="4928" w:type="dxa"/>
          </w:tcPr>
          <w:p w14:paraId="0BBA7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B920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Конструировать под самолеты:</w:t>
            </w:r>
          </w:p>
        </w:tc>
      </w:tr>
      <w:tr w:rsidR="00DA227A" w:rsidRPr="00E93F40" w14:paraId="3C461386" w14:textId="77777777">
        <w:tc>
          <w:tcPr>
            <w:tcW w:w="4928" w:type="dxa"/>
          </w:tcPr>
          <w:p w14:paraId="7D97E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6E438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Р5 - 20-30 км</w:t>
            </w:r>
          </w:p>
        </w:tc>
      </w:tr>
      <w:tr w:rsidR="00DA227A" w:rsidRPr="00E93F40" w14:paraId="088BCF89" w14:textId="77777777">
        <w:tc>
          <w:tcPr>
            <w:tcW w:w="4928" w:type="dxa"/>
          </w:tcPr>
          <w:p w14:paraId="6767D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4D348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Р1 - 10 км</w:t>
            </w:r>
          </w:p>
        </w:tc>
      </w:tr>
      <w:tr w:rsidR="00DA227A" w:rsidRPr="00E93F40" w14:paraId="1FEB679E" w14:textId="77777777">
        <w:tc>
          <w:tcPr>
            <w:tcW w:w="4928" w:type="dxa"/>
          </w:tcPr>
          <w:p w14:paraId="76A57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4522F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У-2 - 5 км</w:t>
            </w:r>
          </w:p>
        </w:tc>
      </w:tr>
      <w:tr w:rsidR="00DA227A" w:rsidRPr="00E93F40" w14:paraId="02A6BB01" w14:textId="77777777">
        <w:tc>
          <w:tcPr>
            <w:tcW w:w="4928" w:type="dxa"/>
          </w:tcPr>
          <w:p w14:paraId="24F2E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15E80F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w:t>
            </w:r>
          </w:p>
        </w:tc>
      </w:tr>
      <w:tr w:rsidR="00DA227A" w:rsidRPr="00E93F40" w14:paraId="664B7ACD" w14:textId="77777777">
        <w:tc>
          <w:tcPr>
            <w:tcW w:w="4928" w:type="dxa"/>
          </w:tcPr>
          <w:p w14:paraId="5160B6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63CD1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0925A7" w14:textId="77777777">
        <w:tc>
          <w:tcPr>
            <w:tcW w:w="4928" w:type="dxa"/>
          </w:tcPr>
          <w:p w14:paraId="78B2E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022720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Аппарат для переливки бензина в воздухе с</w:t>
            </w:r>
          </w:p>
        </w:tc>
      </w:tr>
      <w:tr w:rsidR="00DA227A" w:rsidRPr="00E93F40" w14:paraId="2B0C65E6" w14:textId="77777777">
        <w:tc>
          <w:tcPr>
            <w:tcW w:w="4928" w:type="dxa"/>
          </w:tcPr>
          <w:p w14:paraId="23F63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75AA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Р-5 на самолет ТБ-1 - 1 комп.</w:t>
            </w:r>
          </w:p>
        </w:tc>
      </w:tr>
      <w:tr w:rsidR="00DA227A" w:rsidRPr="00E93F40" w14:paraId="274D9549" w14:textId="77777777">
        <w:tc>
          <w:tcPr>
            <w:tcW w:w="4928" w:type="dxa"/>
          </w:tcPr>
          <w:p w14:paraId="15AE02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4F9BC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76159A" w14:textId="77777777">
        <w:tc>
          <w:tcPr>
            <w:tcW w:w="4928" w:type="dxa"/>
          </w:tcPr>
          <w:p w14:paraId="6664D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46DA0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опытного порядка. Тактически целесообразнее</w:t>
            </w:r>
          </w:p>
        </w:tc>
      </w:tr>
      <w:tr w:rsidR="00DA227A" w:rsidRPr="00E93F40" w14:paraId="5A3F9838" w14:textId="77777777">
        <w:tc>
          <w:tcPr>
            <w:tcW w:w="4928" w:type="dxa"/>
          </w:tcPr>
          <w:p w14:paraId="6B279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863D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приспособить под самолет-заправщик машину</w:t>
            </w:r>
          </w:p>
        </w:tc>
      </w:tr>
      <w:tr w:rsidR="00DA227A" w:rsidRPr="00E93F40" w14:paraId="3A5119D6" w14:textId="77777777">
        <w:tc>
          <w:tcPr>
            <w:tcW w:w="4928" w:type="dxa"/>
          </w:tcPr>
          <w:p w14:paraId="54BF8B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35336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большой грузоподъемности (АНТ-9).</w:t>
            </w:r>
          </w:p>
        </w:tc>
      </w:tr>
      <w:tr w:rsidR="00DA227A" w:rsidRPr="00E93F40" w14:paraId="3964D90A" w14:textId="77777777">
        <w:tc>
          <w:tcPr>
            <w:tcW w:w="4928" w:type="dxa"/>
          </w:tcPr>
          <w:p w14:paraId="5458EB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725EC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7B32A8" w14:textId="77777777">
        <w:tc>
          <w:tcPr>
            <w:tcW w:w="4928" w:type="dxa"/>
          </w:tcPr>
          <w:p w14:paraId="6CE72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BF46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D3C6BA" w14:textId="77777777">
        <w:tc>
          <w:tcPr>
            <w:tcW w:w="4928" w:type="dxa"/>
          </w:tcPr>
          <w:p w14:paraId="13534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7DA87D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 и 1000 кг реактивные авиамины Тверского</w:t>
            </w:r>
          </w:p>
        </w:tc>
      </w:tr>
      <w:tr w:rsidR="00DA227A" w:rsidRPr="00E93F40" w14:paraId="311C8EEA" w14:textId="77777777">
        <w:tc>
          <w:tcPr>
            <w:tcW w:w="4928" w:type="dxa"/>
          </w:tcPr>
          <w:p w14:paraId="2E7BB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A816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10 экземпляров.</w:t>
            </w:r>
          </w:p>
        </w:tc>
      </w:tr>
      <w:tr w:rsidR="00DA227A" w:rsidRPr="00E93F40" w14:paraId="1310412E" w14:textId="77777777">
        <w:tc>
          <w:tcPr>
            <w:tcW w:w="4928" w:type="dxa"/>
          </w:tcPr>
          <w:p w14:paraId="2FA387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2F816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FF4B49" w14:textId="77777777">
        <w:tc>
          <w:tcPr>
            <w:tcW w:w="4928" w:type="dxa"/>
          </w:tcPr>
          <w:p w14:paraId="71A148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536DA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Создание мин, могущих с 3000 м дать 20-ти км</w:t>
            </w:r>
          </w:p>
        </w:tc>
      </w:tr>
      <w:tr w:rsidR="00DA227A" w:rsidRPr="00E93F40" w14:paraId="57BE0699" w14:textId="77777777">
        <w:tc>
          <w:tcPr>
            <w:tcW w:w="4928" w:type="dxa"/>
          </w:tcPr>
          <w:p w14:paraId="6FF7F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73E9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снижение с сторону.</w:t>
            </w:r>
          </w:p>
        </w:tc>
      </w:tr>
      <w:tr w:rsidR="00DA227A" w:rsidRPr="00E93F40" w14:paraId="6ECCEB8E" w14:textId="77777777">
        <w:tc>
          <w:tcPr>
            <w:tcW w:w="4928" w:type="dxa"/>
          </w:tcPr>
          <w:p w14:paraId="300FF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6E91EA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5B2AB689" w14:textId="77777777">
        <w:tc>
          <w:tcPr>
            <w:tcW w:w="4928" w:type="dxa"/>
          </w:tcPr>
          <w:p w14:paraId="4675AA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B0AD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440D44" w14:textId="77777777">
        <w:tc>
          <w:tcPr>
            <w:tcW w:w="4928" w:type="dxa"/>
          </w:tcPr>
          <w:p w14:paraId="10A980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51AE1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Мишень-планер - 5 экземпляров.</w:t>
            </w:r>
          </w:p>
        </w:tc>
      </w:tr>
      <w:tr w:rsidR="00DA227A" w:rsidRPr="00E93F40" w14:paraId="7004457D" w14:textId="77777777">
        <w:tc>
          <w:tcPr>
            <w:tcW w:w="4928" w:type="dxa"/>
          </w:tcPr>
          <w:p w14:paraId="33BDB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10D5AA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2F7F76" w14:textId="77777777">
        <w:tc>
          <w:tcPr>
            <w:tcW w:w="4928" w:type="dxa"/>
          </w:tcPr>
          <w:p w14:paraId="6EEAC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3ED58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стрельбы по воздушной цели, как с нормальных,</w:t>
            </w:r>
          </w:p>
        </w:tc>
      </w:tr>
      <w:tr w:rsidR="00DA227A" w:rsidRPr="00E93F40" w14:paraId="7185EDA4" w14:textId="77777777">
        <w:tc>
          <w:tcPr>
            <w:tcW w:w="4928" w:type="dxa"/>
          </w:tcPr>
          <w:p w14:paraId="36398A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87DE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 и с дальних дистанций - размер 1:2 к </w:t>
            </w:r>
          </w:p>
        </w:tc>
      </w:tr>
      <w:tr w:rsidR="00DA227A" w:rsidRPr="00E93F40" w14:paraId="3B1F6A14" w14:textId="77777777">
        <w:tc>
          <w:tcPr>
            <w:tcW w:w="4928" w:type="dxa"/>
          </w:tcPr>
          <w:p w14:paraId="39FA9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D08F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разведчику;</w:t>
            </w:r>
          </w:p>
        </w:tc>
      </w:tr>
      <w:tr w:rsidR="00DA227A" w:rsidRPr="00E93F40" w14:paraId="7B42DC97" w14:textId="77777777">
        <w:tc>
          <w:tcPr>
            <w:tcW w:w="4928" w:type="dxa"/>
          </w:tcPr>
          <w:p w14:paraId="3F354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934D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обеспечить возможность без крупных переделок</w:t>
            </w:r>
          </w:p>
        </w:tc>
      </w:tr>
      <w:tr w:rsidR="00DA227A" w:rsidRPr="00E93F40" w14:paraId="50E12003" w14:textId="77777777">
        <w:tc>
          <w:tcPr>
            <w:tcW w:w="4928" w:type="dxa"/>
          </w:tcPr>
          <w:p w14:paraId="4F1577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5956F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использовать как свободно летающую мишень и</w:t>
            </w:r>
          </w:p>
        </w:tc>
      </w:tr>
      <w:tr w:rsidR="00DA227A" w:rsidRPr="00E93F40" w14:paraId="2AAE2235" w14:textId="77777777">
        <w:tc>
          <w:tcPr>
            <w:tcW w:w="4928" w:type="dxa"/>
          </w:tcPr>
          <w:p w14:paraId="6795E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C678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обеспечить подсчет попаданий после посадки мишени</w:t>
            </w:r>
          </w:p>
        </w:tc>
      </w:tr>
      <w:tr w:rsidR="00DA227A" w:rsidRPr="00E93F40" w14:paraId="05A7B40D" w14:textId="77777777">
        <w:tc>
          <w:tcPr>
            <w:tcW w:w="4928" w:type="dxa"/>
          </w:tcPr>
          <w:p w14:paraId="75631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5317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(посадка без нарушения конструкции).</w:t>
            </w:r>
          </w:p>
        </w:tc>
      </w:tr>
      <w:tr w:rsidR="00DA227A" w:rsidRPr="00E93F40" w14:paraId="27E28E5B" w14:textId="77777777">
        <w:tc>
          <w:tcPr>
            <w:tcW w:w="4928" w:type="dxa"/>
          </w:tcPr>
          <w:p w14:paraId="0DB30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288F98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47AACE98" w14:textId="77777777">
        <w:tc>
          <w:tcPr>
            <w:tcW w:w="4928" w:type="dxa"/>
          </w:tcPr>
          <w:p w14:paraId="397C0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5F6C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869F4E" w14:textId="77777777">
        <w:tc>
          <w:tcPr>
            <w:tcW w:w="4928" w:type="dxa"/>
          </w:tcPr>
          <w:p w14:paraId="7EC476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Экспериментально-исследовательские работы</w:t>
            </w:r>
          </w:p>
        </w:tc>
        <w:tc>
          <w:tcPr>
            <w:tcW w:w="5528" w:type="dxa"/>
          </w:tcPr>
          <w:p w14:paraId="52070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7F6033" w14:textId="77777777">
        <w:tc>
          <w:tcPr>
            <w:tcW w:w="4928" w:type="dxa"/>
          </w:tcPr>
          <w:p w14:paraId="0E9A65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43B7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5998D0" w14:textId="77777777">
        <w:tc>
          <w:tcPr>
            <w:tcW w:w="4928" w:type="dxa"/>
          </w:tcPr>
          <w:p w14:paraId="769A2B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13862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Г-53 для подхватывания грузов и</w:t>
            </w:r>
          </w:p>
        </w:tc>
      </w:tr>
      <w:tr w:rsidR="00DA227A" w:rsidRPr="00E93F40" w14:paraId="4AA12776" w14:textId="77777777">
        <w:tc>
          <w:tcPr>
            <w:tcW w:w="4928" w:type="dxa"/>
          </w:tcPr>
          <w:p w14:paraId="344819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D18C7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людей с земли на самолет.</w:t>
            </w:r>
          </w:p>
        </w:tc>
      </w:tr>
      <w:tr w:rsidR="00DA227A" w:rsidRPr="00E93F40" w14:paraId="6F64D29C" w14:textId="77777777">
        <w:tc>
          <w:tcPr>
            <w:tcW w:w="4928" w:type="dxa"/>
          </w:tcPr>
          <w:p w14:paraId="2373B6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2934F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72B3D5" w14:textId="77777777">
        <w:tc>
          <w:tcPr>
            <w:tcW w:w="4928" w:type="dxa"/>
          </w:tcPr>
          <w:p w14:paraId="09F0A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71597F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Работа технически особо сложная </w:t>
            </w:r>
          </w:p>
        </w:tc>
      </w:tr>
      <w:tr w:rsidR="00DA227A" w:rsidRPr="00E93F40" w14:paraId="696D3D19" w14:textId="77777777">
        <w:tc>
          <w:tcPr>
            <w:tcW w:w="4928" w:type="dxa"/>
          </w:tcPr>
          <w:p w14:paraId="7869A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8DB8A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(необходимость крутой глиссады самолета</w:t>
            </w:r>
          </w:p>
        </w:tc>
      </w:tr>
      <w:tr w:rsidR="00DA227A" w:rsidRPr="00E93F40" w14:paraId="262CC66C" w14:textId="77777777">
        <w:tc>
          <w:tcPr>
            <w:tcW w:w="4928" w:type="dxa"/>
          </w:tcPr>
          <w:p w14:paraId="1ECDD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AF93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забирании цилиндра с людьми с земли).</w:t>
            </w:r>
          </w:p>
        </w:tc>
      </w:tr>
      <w:tr w:rsidR="00DA227A" w:rsidRPr="00E93F40" w14:paraId="4AD9FCE8" w14:textId="77777777">
        <w:tc>
          <w:tcPr>
            <w:tcW w:w="4928" w:type="dxa"/>
          </w:tcPr>
          <w:p w14:paraId="1EC4E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027E8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724D19" w14:textId="77777777">
        <w:tc>
          <w:tcPr>
            <w:tcW w:w="4928" w:type="dxa"/>
          </w:tcPr>
          <w:p w14:paraId="27C834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69A1D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E0D7CC" w14:textId="77777777">
        <w:tc>
          <w:tcPr>
            <w:tcW w:w="4928" w:type="dxa"/>
          </w:tcPr>
          <w:p w14:paraId="39046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7A2BF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Истребитель-бомбовоз Г-73</w:t>
            </w:r>
          </w:p>
        </w:tc>
      </w:tr>
      <w:tr w:rsidR="00DA227A" w:rsidRPr="00E93F40" w14:paraId="07C22E98" w14:textId="77777777">
        <w:tc>
          <w:tcPr>
            <w:tcW w:w="4928" w:type="dxa"/>
          </w:tcPr>
          <w:p w14:paraId="63C367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5A65A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DE9343" w14:textId="77777777">
        <w:tc>
          <w:tcPr>
            <w:tcW w:w="4928" w:type="dxa"/>
          </w:tcPr>
          <w:p w14:paraId="3F822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7E3FE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Превращение истребителя в бомбовоз с</w:t>
            </w:r>
          </w:p>
        </w:tc>
      </w:tr>
      <w:tr w:rsidR="00DA227A" w:rsidRPr="00E93F40" w14:paraId="61815BD0" w14:textId="77777777">
        <w:tc>
          <w:tcPr>
            <w:tcW w:w="4928" w:type="dxa"/>
          </w:tcPr>
          <w:p w14:paraId="19C465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E6D4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грузоподъемностью 2000 кг</w:t>
            </w:r>
          </w:p>
        </w:tc>
      </w:tr>
      <w:tr w:rsidR="00DA227A" w:rsidRPr="00E93F40" w14:paraId="18332167" w14:textId="77777777">
        <w:tc>
          <w:tcPr>
            <w:tcW w:w="4928" w:type="dxa"/>
          </w:tcPr>
          <w:p w14:paraId="3AAC1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5528" w:type="dxa"/>
          </w:tcPr>
          <w:p w14:paraId="76864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8954F6" w14:textId="77777777">
        <w:tc>
          <w:tcPr>
            <w:tcW w:w="4928" w:type="dxa"/>
          </w:tcPr>
          <w:p w14:paraId="7C953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3A43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1B01BA" w14:textId="77777777">
        <w:tc>
          <w:tcPr>
            <w:tcW w:w="4928" w:type="dxa"/>
          </w:tcPr>
          <w:p w14:paraId="058D4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5528" w:type="dxa"/>
          </w:tcPr>
          <w:p w14:paraId="17A940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мотор-винт Г-65.</w:t>
            </w:r>
          </w:p>
        </w:tc>
      </w:tr>
      <w:tr w:rsidR="00DA227A" w:rsidRPr="00E93F40" w14:paraId="1989F971" w14:textId="77777777">
        <w:tc>
          <w:tcPr>
            <w:tcW w:w="4928" w:type="dxa"/>
          </w:tcPr>
          <w:p w14:paraId="4E1E1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w:t>
            </w:r>
          </w:p>
        </w:tc>
        <w:tc>
          <w:tcPr>
            <w:tcW w:w="5528" w:type="dxa"/>
          </w:tcPr>
          <w:p w14:paraId="73658A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82515A" w14:textId="77777777">
        <w:tc>
          <w:tcPr>
            <w:tcW w:w="4928" w:type="dxa"/>
          </w:tcPr>
          <w:p w14:paraId="5D3335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условия</w:t>
            </w:r>
          </w:p>
        </w:tc>
        <w:tc>
          <w:tcPr>
            <w:tcW w:w="5528" w:type="dxa"/>
          </w:tcPr>
          <w:p w14:paraId="109274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E93F40" w14:paraId="7EADE5D2" w14:textId="77777777">
        <w:tc>
          <w:tcPr>
            <w:tcW w:w="4928" w:type="dxa"/>
          </w:tcPr>
          <w:p w14:paraId="6B77D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 (3788,58-61)</w:t>
            </w:r>
          </w:p>
        </w:tc>
        <w:tc>
          <w:tcPr>
            <w:tcW w:w="5528" w:type="dxa"/>
          </w:tcPr>
          <w:p w14:paraId="6FF0A9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7056A1D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8BE5B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FF855E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0450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марта 1932 г. приказом М. Тухачевского один Т-26 передавался в распоряжение Научно-испытательного ин</w:t>
      </w:r>
      <w:r w:rsidRPr="00E93F40">
        <w:rPr>
          <w:rFonts w:ascii="Times New Roman" w:hAnsi="Times New Roman"/>
          <w:color w:val="000000" w:themeColor="text1"/>
          <w:sz w:val="16"/>
          <w:szCs w:val="16"/>
        </w:rPr>
        <w:softHyphen/>
        <w:t>ститута связи. Здесь шла работа по созданию специальных танковых средств связи. Институтом была разработана специальная методика поддержания связи в танковых войсках и предложены при</w:t>
      </w:r>
      <w:r w:rsidRPr="00E93F40">
        <w:rPr>
          <w:rFonts w:ascii="Times New Roman" w:hAnsi="Times New Roman"/>
          <w:color w:val="000000" w:themeColor="text1"/>
          <w:sz w:val="16"/>
          <w:szCs w:val="16"/>
        </w:rPr>
        <w:softHyphen/>
        <w:t xml:space="preserve">боры по ее </w:t>
      </w:r>
      <w:r w:rsidRPr="00E93F40">
        <w:rPr>
          <w:rFonts w:ascii="Times New Roman" w:hAnsi="Times New Roman"/>
          <w:color w:val="000000" w:themeColor="text1"/>
          <w:sz w:val="16"/>
          <w:szCs w:val="16"/>
        </w:rPr>
        <w:lastRenderedPageBreak/>
        <w:t>реализации, вскоре принятые на вооружение. Согласно методике для связи танков на стоянках, в обороне и в городке каждый танк оборудовался специальным теле</w:t>
      </w:r>
      <w:r w:rsidRPr="00E93F40">
        <w:rPr>
          <w:rFonts w:ascii="Times New Roman" w:hAnsi="Times New Roman"/>
          <w:color w:val="000000" w:themeColor="text1"/>
          <w:sz w:val="16"/>
          <w:szCs w:val="16"/>
        </w:rPr>
        <w:softHyphen/>
        <w:t>фоном с кнопочным вызовом. Машина командира взвода вместо телефона имела мини-коммутатор на 6 абонентов. Для удобства прокладки кабеля в кормовой части танков устанавливалась специальная клеммная коробка, к которой делегаты связи должны были подсоединить двухпроводную линию от линейной машины к командирской или для под</w:t>
      </w:r>
      <w:r w:rsidRPr="00E93F40">
        <w:rPr>
          <w:rFonts w:ascii="Times New Roman" w:hAnsi="Times New Roman"/>
          <w:color w:val="000000" w:themeColor="text1"/>
          <w:sz w:val="16"/>
          <w:szCs w:val="16"/>
        </w:rPr>
        <w:softHyphen/>
        <w:t>ключения к телефонной сети стрелковых частей. Для связи в движении ничего более простого, чем флаж</w:t>
      </w:r>
      <w:r w:rsidRPr="00E93F40">
        <w:rPr>
          <w:rFonts w:ascii="Times New Roman" w:hAnsi="Times New Roman"/>
          <w:color w:val="000000" w:themeColor="text1"/>
          <w:sz w:val="16"/>
          <w:szCs w:val="16"/>
        </w:rPr>
        <w:softHyphen/>
        <w:t>ная сигнализация и сигнальные ракеты, придумано не было. Танки командира взвода и выше предполагалось обору-р-довать симплексной радиостанцией с дальностью связи до 10 км (10733,184).</w:t>
      </w:r>
    </w:p>
    <w:p w14:paraId="41834B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2F7A44" w14:textId="77777777" w:rsidR="00737884" w:rsidRPr="00142305" w:rsidRDefault="00737884" w:rsidP="007378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марта 1932 года приказом М. Тухачев</w:t>
      </w:r>
      <w:r w:rsidRPr="00142305">
        <w:rPr>
          <w:rFonts w:ascii="Times New Roman" w:hAnsi="Times New Roman"/>
          <w:color w:val="0070C0"/>
          <w:sz w:val="16"/>
          <w:szCs w:val="16"/>
        </w:rPr>
        <w:softHyphen/>
        <w:t>ского один Т-26 был передан в распоряжение Научно-испытательного института связи, в котором шла работа по созданию специаль</w:t>
      </w:r>
      <w:r w:rsidRPr="00142305">
        <w:rPr>
          <w:rFonts w:ascii="Times New Roman" w:hAnsi="Times New Roman"/>
          <w:color w:val="0070C0"/>
          <w:sz w:val="16"/>
          <w:szCs w:val="16"/>
        </w:rPr>
        <w:softHyphen/>
        <w:t>ных танковых средств связи. Институтом была разработана специальная методика поддержания связи в танковых станцией с дальностью связи до 10 км (24999).</w:t>
      </w:r>
    </w:p>
    <w:p w14:paraId="23727113" w14:textId="77777777" w:rsidR="00737884" w:rsidRPr="00142305" w:rsidRDefault="00737884" w:rsidP="00737884">
      <w:pPr>
        <w:spacing w:after="0" w:line="240" w:lineRule="auto"/>
        <w:jc w:val="both"/>
        <w:rPr>
          <w:rFonts w:ascii="Times New Roman" w:hAnsi="Times New Roman"/>
          <w:color w:val="0070C0"/>
          <w:sz w:val="16"/>
          <w:szCs w:val="16"/>
        </w:rPr>
      </w:pPr>
    </w:p>
    <w:p w14:paraId="64E1E5D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93B5FF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DC7D8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марта 1932 Финляндия заказала 875 тысяч бутылок спиртного в знак смягчения сухого закона (4962).</w:t>
      </w:r>
    </w:p>
    <w:p w14:paraId="76C8DA9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5D8C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E0AE82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78ABB6" w14:textId="77777777" w:rsidR="0067096F" w:rsidRPr="00E93F40" w:rsidRDefault="0067096F"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18 марта 1932 г. Резерфорд докладывает </w:t>
      </w:r>
      <w:r w:rsidRPr="00E93F40">
        <w:rPr>
          <w:rFonts w:ascii="Times New Roman" w:eastAsia="Times New Roman" w:hAnsi="Times New Roman"/>
          <w:iCs/>
          <w:color w:val="000000" w:themeColor="text1"/>
          <w:sz w:val="16"/>
          <w:szCs w:val="16"/>
          <w:lang w:eastAsia="ru-RU"/>
        </w:rPr>
        <w:t>об открытии Чадвиком нейтрона</w:t>
      </w:r>
      <w:r w:rsidRPr="00E93F40">
        <w:rPr>
          <w:rFonts w:ascii="Times New Roman" w:eastAsia="Times New Roman" w:hAnsi="Times New Roman"/>
          <w:bCs/>
          <w:color w:val="000000" w:themeColor="text1"/>
          <w:sz w:val="16"/>
          <w:szCs w:val="16"/>
          <w:lang w:eastAsia="ru-RU"/>
        </w:rPr>
        <w:t xml:space="preserve"> (17325).</w:t>
      </w:r>
    </w:p>
    <w:p w14:paraId="1760178C" w14:textId="77777777" w:rsidR="0067096F" w:rsidRPr="00E93F40" w:rsidRDefault="0067096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7412B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марта 1932 в Сиднейском заливе открыт самый широкий мост в мире (ширина 48,8 м) (4962).</w:t>
      </w:r>
    </w:p>
    <w:p w14:paraId="6BFE49B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6013B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1E1C3C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207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марта 1932 года зам. Начальника НИИ ВВС Аузан и начальник 1 отдела Горощенко</w:t>
      </w:r>
    </w:p>
    <w:p w14:paraId="10934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Справка о состоянии выполнения постановления РВС</w:t>
      </w:r>
    </w:p>
    <w:p w14:paraId="7C26456E"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самолетам</w:t>
      </w:r>
    </w:p>
    <w:p w14:paraId="634279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рекордный на дальность</w:t>
      </w:r>
    </w:p>
    <w:p w14:paraId="083A57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представило схему рекордного самолета, обеспечивая для него дальность в 9000-10000 км вместо 13000, заданных постановлением РВС. По плану Глававиапрома самолет перенесен на 1933 год, вместо августа 1932 года.</w:t>
      </w:r>
    </w:p>
    <w:p w14:paraId="414C9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Сверхвысотный самолет</w:t>
      </w:r>
    </w:p>
    <w:p w14:paraId="32FA6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ВВА провела ряд предварительных подсчетов и подняла вопрос об отказе от постройки самолета под мотор М52 с кислородным питанием вопреки постановлению РВС. Срок постройки самолета, постановленный РВС к 1 сентября 1932 года задержан быть не может, так как мотор М52, согласно решения совещания у Тухачевского, рассматривавшего план опытного моторостроения, предъявляется на испытания осенью 1932 года.</w:t>
      </w:r>
    </w:p>
    <w:p w14:paraId="4B7831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ведет работы по высотной кабине (предварительная компановка) срок выпуска самолета не определен, так как отсутствует жесткий срок выпуска многоступенчатого импеллера.</w:t>
      </w:r>
    </w:p>
    <w:p w14:paraId="5D20C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Снабжение разрезными крыльями самолетов Р5, Р6 и И5</w:t>
      </w:r>
    </w:p>
    <w:p w14:paraId="4C8588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установке разрезных крыльев на самолет Р5 ведутся, но до сих пор не дали положительных результатов. Работы по самолетам Р6 и И5 промышленностью не ведутся, вопрос о невыполнении промышленностью постановлений РВС, касающихся снабжения самолетов разрезными крыльями и тормозными колесами внесен на рассмотрение КО.</w:t>
      </w:r>
    </w:p>
    <w:p w14:paraId="39DB1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вопрос понижения посадочных скоростей</w:t>
      </w:r>
    </w:p>
    <w:p w14:paraId="242AE7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 опытного строительства на 1932/34 год, представленном УВВС, отражено требование малых посадочных скоростей. В частности, минимальные посадочные скорости требуются от самолета ВС-2 2М-52, У3 М-48, П3 М-52.</w:t>
      </w:r>
    </w:p>
    <w:p w14:paraId="1CED21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автожирам</w:t>
      </w:r>
    </w:p>
    <w:p w14:paraId="501D9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ЭАО ЦАГИ ведет постройку двух автожиров под моторы М-11 и М-22. Эскизные проекты автожиров готовы. Срок выпуска автожиров – 1 августа 1932 года (7416, 77-78).</w:t>
      </w:r>
    </w:p>
    <w:p w14:paraId="1B546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10C0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марта 1932 на совещании под председательством М.Н.Тухачевского был рассмотрен план опытного строительства самолетов на 1932-1934 гг. в присутствии Н.М.Харламова, А.Н.Т. и Е.К.Стомана (273,297).</w:t>
      </w:r>
    </w:p>
    <w:p w14:paraId="153FF9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w:t>
      </w:r>
    </w:p>
    <w:p w14:paraId="52601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совещания Комиссии Зам. Пред. РВС СССР тов. Тухачевского</w:t>
      </w:r>
    </w:p>
    <w:p w14:paraId="4A70AF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Присутствуют:</w:t>
      </w:r>
    </w:p>
    <w:p w14:paraId="600AD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РВСР - т. Тухачевский</w:t>
      </w:r>
    </w:p>
    <w:p w14:paraId="1BD8D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УВВС - т.т. Алкснис, Меженинов</w:t>
      </w:r>
    </w:p>
    <w:p w14:paraId="69DF2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НИИ ВВС - т.т. Бузанов, Аузан, Горощенко, Кудрявцев</w:t>
      </w:r>
    </w:p>
    <w:p w14:paraId="305C73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ЦАГИ - т.т. Харламов, Туполев, Стоман</w:t>
      </w:r>
    </w:p>
    <w:p w14:paraId="65CB2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 ГВФ - т. Анвельт</w:t>
      </w:r>
    </w:p>
    <w:p w14:paraId="3CEFB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ГВФ - т.т. Филипович, Путилов, Бартини</w:t>
      </w:r>
    </w:p>
    <w:p w14:paraId="527A3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Повестка дня</w:t>
      </w:r>
    </w:p>
    <w:p w14:paraId="36474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Рассмотрение плана опытного строительства по самолетам на 1932 - 34 г.г.</w:t>
      </w:r>
    </w:p>
    <w:p w14:paraId="68B30F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обмена мнениями постановили:</w:t>
      </w:r>
    </w:p>
    <w:p w14:paraId="3862F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Проектирование и постройку самолета Х1-2 М34 передать НИИ ГУГВФ</w:t>
      </w:r>
    </w:p>
    <w:p w14:paraId="48909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самолету МИ3-2М34</w:t>
      </w:r>
    </w:p>
    <w:p w14:paraId="6D3A78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УВВС предоставляет ЦКБ ЦАГИ 2 тяжелых пулемета к 1/У-32</w:t>
      </w:r>
    </w:p>
    <w:p w14:paraId="772328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1/1Х-32 г. ЦКБ ЦАГИ начинает заводские испытания самолета</w:t>
      </w:r>
    </w:p>
    <w:p w14:paraId="1AC56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 1/1У-32 г. ЦКБ ЦАГИ начинает подготовку рабочих чертежей и приспособлений с расчетом начала серийного производства самолетов с 15 сентября с.г.</w:t>
      </w:r>
    </w:p>
    <w:p w14:paraId="230285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Глававиапром обеспечивает выпуск головного серийного самолета МИ3-2М34 в июне 1932 г.</w:t>
      </w:r>
    </w:p>
    <w:p w14:paraId="32C27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Ввиду того, что представители ЦАГИ перечисленные выше сроки работ по самолету МИ3-2М34 считают для себя неприемлемыми, как слишком малые, войти войти с расхождениями в РВС СССР.</w:t>
      </w:r>
    </w:p>
    <w:p w14:paraId="685004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Ввиду актуальности для ВВС самолета ДИ-2М34 ... за основу назначение с ... ЦАГИ самолетом ДР, считает необходимым провести параллельную постройку самолета как в ЦКБ ЦАГИ, так и в НИИ ГВФ.</w:t>
      </w:r>
    </w:p>
    <w:p w14:paraId="60C0B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ЦКБ ЦАГИ выпустить самолет К1-2М34 на государственные испытания к 1/УП-32 г.. Просить Глававиапром обеспечить ЦАГИ необходимыми для этого кадрами.</w:t>
      </w:r>
    </w:p>
    <w:p w14:paraId="5CE463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По самолету И13-М32 принять срок выпуска самолета на госиспытания, выдвинутый ЦАГИ 1/УШ-с.г.</w:t>
      </w:r>
    </w:p>
    <w:p w14:paraId="40B7D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Самолет И14-М38 и ВС2-2М52 к постройке принять</w:t>
      </w:r>
    </w:p>
    <w:p w14:paraId="66B801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Проектирование и постройку самолетов П3-М52 и У3-М48 провести силами ВТУЗов ГУ ГВФ - Глававиапромы</w:t>
      </w:r>
    </w:p>
    <w:p w14:paraId="3C118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Самолет ТБ7 как не имеющий реального моторного обеспечения с плана опытного строительства снять</w:t>
      </w:r>
    </w:p>
    <w:p w14:paraId="06BBA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Самолет ТБ5-6М34 стс /стальной/ в плане опытного строительства оставить со сроком выпуска, заявленным ЦАГИ /1/УШ-34 г./.</w:t>
      </w:r>
    </w:p>
    <w:p w14:paraId="688D9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Начатый постройкой самолет МК1-6М34 в плане опытного строительства оставить</w:t>
      </w:r>
    </w:p>
    <w:p w14:paraId="1A0F9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Установить срок выпуска самолета МДР3 на заводские испытания 1/,-34 г.</w:t>
      </w:r>
    </w:p>
    <w:p w14:paraId="64386B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Проектирование и постройку самолета МБР5 передать НИИ ГВФ</w:t>
      </w:r>
    </w:p>
    <w:p w14:paraId="638005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основными работами по модификации самолетов считать установку моторов М34 на самолет ТБ2 /срок 1/1У-33 г./ и ТШ2</w:t>
      </w:r>
    </w:p>
    <w:p w14:paraId="414ECC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Самолеты: Р10 “из новых материалов”, Р5-М34 “для перевозки пушки”, “бронированный миноносец”, “летающий катер” с плана опытного строительства снять</w:t>
      </w:r>
    </w:p>
    <w:p w14:paraId="07153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Ввиду необходимости концентрации внимания на экспериментальном самолетостроении, войти в РВСР с предложением о выделении Бюро особых конструкций при ЦАГИ в отдельную конструкторскую единицу при Глававиапроме, с созданием при ней отдельной производственной базы (351,95).</w:t>
      </w:r>
    </w:p>
    <w:p w14:paraId="54E09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 по самолетам на 1932-1934 гг., утвержденый комиссией Зам. пред. РВС М.Н.Тухачевского. Без даты (351)</w:t>
      </w:r>
    </w:p>
    <w:p w14:paraId="46987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709"/>
        <w:gridCol w:w="867"/>
        <w:gridCol w:w="868"/>
        <w:gridCol w:w="871"/>
        <w:gridCol w:w="865"/>
        <w:gridCol w:w="684"/>
        <w:gridCol w:w="925"/>
        <w:gridCol w:w="694"/>
        <w:gridCol w:w="589"/>
        <w:gridCol w:w="798"/>
      </w:tblGrid>
      <w:tr w:rsidR="00DA227A" w:rsidRPr="00E93F40" w14:paraId="0F3FA169" w14:textId="77777777">
        <w:tc>
          <w:tcPr>
            <w:tcW w:w="1668" w:type="dxa"/>
          </w:tcPr>
          <w:p w14:paraId="635AB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Наименование самолета с указанием использования по линии ГВФ</w:t>
            </w:r>
          </w:p>
        </w:tc>
        <w:tc>
          <w:tcPr>
            <w:tcW w:w="850" w:type="dxa"/>
          </w:tcPr>
          <w:p w14:paraId="2AC87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709" w:type="dxa"/>
          </w:tcPr>
          <w:p w14:paraId="687B0C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 госиспытания</w:t>
            </w:r>
          </w:p>
        </w:tc>
        <w:tc>
          <w:tcPr>
            <w:tcW w:w="867" w:type="dxa"/>
          </w:tcPr>
          <w:p w14:paraId="53A5C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применения/потолок/время подъема</w:t>
            </w:r>
          </w:p>
        </w:tc>
        <w:tc>
          <w:tcPr>
            <w:tcW w:w="868" w:type="dxa"/>
          </w:tcPr>
          <w:p w14:paraId="1977C6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Горизонт. скорость на высоте применения</w:t>
            </w:r>
          </w:p>
        </w:tc>
        <w:tc>
          <w:tcPr>
            <w:tcW w:w="871" w:type="dxa"/>
          </w:tcPr>
          <w:p w14:paraId="2303C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w:t>
            </w:r>
          </w:p>
        </w:tc>
        <w:tc>
          <w:tcPr>
            <w:tcW w:w="865" w:type="dxa"/>
          </w:tcPr>
          <w:p w14:paraId="6281FD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действия/перегрузка</w:t>
            </w:r>
          </w:p>
        </w:tc>
        <w:tc>
          <w:tcPr>
            <w:tcW w:w="684" w:type="dxa"/>
          </w:tcPr>
          <w:p w14:paraId="2FF17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Сбрасываемый груз норм./перегрузка</w:t>
            </w:r>
          </w:p>
        </w:tc>
        <w:tc>
          <w:tcPr>
            <w:tcW w:w="925" w:type="dxa"/>
          </w:tcPr>
          <w:p w14:paraId="5DA33C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стрелковое/бомбовое</w:t>
            </w:r>
          </w:p>
        </w:tc>
        <w:tc>
          <w:tcPr>
            <w:tcW w:w="694" w:type="dxa"/>
          </w:tcPr>
          <w:p w14:paraId="5A5BE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w:t>
            </w:r>
          </w:p>
        </w:tc>
        <w:tc>
          <w:tcPr>
            <w:tcW w:w="589" w:type="dxa"/>
          </w:tcPr>
          <w:p w14:paraId="12F567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798" w:type="dxa"/>
          </w:tcPr>
          <w:p w14:paraId="6B8CAF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Примечания</w:t>
            </w:r>
          </w:p>
        </w:tc>
      </w:tr>
      <w:tr w:rsidR="00DA227A" w:rsidRPr="00E93F40" w14:paraId="25044D4C" w14:textId="77777777">
        <w:tc>
          <w:tcPr>
            <w:tcW w:w="1668" w:type="dxa"/>
          </w:tcPr>
          <w:p w14:paraId="171FF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Опытные:</w:t>
            </w:r>
          </w:p>
        </w:tc>
        <w:tc>
          <w:tcPr>
            <w:tcW w:w="850" w:type="dxa"/>
          </w:tcPr>
          <w:p w14:paraId="41494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D460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87C4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1B4E8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443B5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32F576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DD0B5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AE1A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D33D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7EDD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6A1790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B94E03" w14:textId="77777777">
        <w:tc>
          <w:tcPr>
            <w:tcW w:w="1668" w:type="dxa"/>
          </w:tcPr>
          <w:p w14:paraId="311622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Тяжелый бомбардировщик (он же пас. и груз.)</w:t>
            </w:r>
          </w:p>
        </w:tc>
        <w:tc>
          <w:tcPr>
            <w:tcW w:w="850" w:type="dxa"/>
          </w:tcPr>
          <w:p w14:paraId="393FA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ТБ6-М44 или нефт.</w:t>
            </w:r>
          </w:p>
        </w:tc>
        <w:tc>
          <w:tcPr>
            <w:tcW w:w="709" w:type="dxa"/>
          </w:tcPr>
          <w:p w14:paraId="5AEE6A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1.12.34</w:t>
            </w:r>
          </w:p>
        </w:tc>
        <w:tc>
          <w:tcPr>
            <w:tcW w:w="867" w:type="dxa"/>
          </w:tcPr>
          <w:p w14:paraId="0788BE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5000/7000/-</w:t>
            </w:r>
          </w:p>
        </w:tc>
        <w:tc>
          <w:tcPr>
            <w:tcW w:w="868" w:type="dxa"/>
          </w:tcPr>
          <w:p w14:paraId="2401C5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871" w:type="dxa"/>
          </w:tcPr>
          <w:p w14:paraId="730415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865" w:type="dxa"/>
          </w:tcPr>
          <w:p w14:paraId="7EA96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1500/2000</w:t>
            </w:r>
          </w:p>
        </w:tc>
        <w:tc>
          <w:tcPr>
            <w:tcW w:w="684" w:type="dxa"/>
          </w:tcPr>
          <w:p w14:paraId="42F57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925" w:type="dxa"/>
          </w:tcPr>
          <w:p w14:paraId="5E84B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пул. и пушки/ 250,500, 1000, 2000</w:t>
            </w:r>
          </w:p>
        </w:tc>
        <w:tc>
          <w:tcPr>
            <w:tcW w:w="694" w:type="dxa"/>
          </w:tcPr>
          <w:p w14:paraId="243CD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4CD56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ТБ4-К7</w:t>
            </w:r>
          </w:p>
        </w:tc>
        <w:tc>
          <w:tcPr>
            <w:tcW w:w="798" w:type="dxa"/>
          </w:tcPr>
          <w:p w14:paraId="3137BF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выхода - уточнить)</w:t>
            </w:r>
          </w:p>
        </w:tc>
      </w:tr>
      <w:tr w:rsidR="00DA227A" w:rsidRPr="00E93F40" w14:paraId="4CA768AA" w14:textId="77777777">
        <w:tc>
          <w:tcPr>
            <w:tcW w:w="1668" w:type="dxa"/>
          </w:tcPr>
          <w:p w14:paraId="59F2A6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Тяжелый десантный (он же тяж. груз.)</w:t>
            </w:r>
          </w:p>
        </w:tc>
        <w:tc>
          <w:tcPr>
            <w:tcW w:w="850" w:type="dxa"/>
          </w:tcPr>
          <w:p w14:paraId="4CF3E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Д1-10М34</w:t>
            </w:r>
          </w:p>
        </w:tc>
        <w:tc>
          <w:tcPr>
            <w:tcW w:w="709" w:type="dxa"/>
          </w:tcPr>
          <w:p w14:paraId="453948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1.6.33</w:t>
            </w:r>
          </w:p>
        </w:tc>
        <w:tc>
          <w:tcPr>
            <w:tcW w:w="867" w:type="dxa"/>
          </w:tcPr>
          <w:p w14:paraId="419254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68" w:type="dxa"/>
          </w:tcPr>
          <w:p w14:paraId="25C3F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871" w:type="dxa"/>
          </w:tcPr>
          <w:p w14:paraId="6AC6E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865" w:type="dxa"/>
          </w:tcPr>
          <w:p w14:paraId="6BAE9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684" w:type="dxa"/>
          </w:tcPr>
          <w:p w14:paraId="243E70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925" w:type="dxa"/>
          </w:tcPr>
          <w:p w14:paraId="0A5BD3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94" w:type="dxa"/>
          </w:tcPr>
          <w:p w14:paraId="7FDBC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2EA12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78616D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 Ведет ВВА</w:t>
            </w:r>
          </w:p>
        </w:tc>
      </w:tr>
      <w:tr w:rsidR="00DA227A" w:rsidRPr="00E93F40" w14:paraId="44310599" w14:textId="77777777">
        <w:tc>
          <w:tcPr>
            <w:tcW w:w="1668" w:type="dxa"/>
          </w:tcPr>
          <w:p w14:paraId="4D671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Тяжелый бомбовоз</w:t>
            </w:r>
          </w:p>
        </w:tc>
        <w:tc>
          <w:tcPr>
            <w:tcW w:w="850" w:type="dxa"/>
          </w:tcPr>
          <w:p w14:paraId="06D71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w:t>
            </w:r>
          </w:p>
        </w:tc>
        <w:tc>
          <w:tcPr>
            <w:tcW w:w="709" w:type="dxa"/>
          </w:tcPr>
          <w:p w14:paraId="049C0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1.11.32 на аэродром</w:t>
            </w:r>
          </w:p>
        </w:tc>
        <w:tc>
          <w:tcPr>
            <w:tcW w:w="867" w:type="dxa"/>
          </w:tcPr>
          <w:p w14:paraId="7195F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868" w:type="dxa"/>
          </w:tcPr>
          <w:p w14:paraId="22833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871" w:type="dxa"/>
          </w:tcPr>
          <w:p w14:paraId="1DE918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124DD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684" w:type="dxa"/>
          </w:tcPr>
          <w:p w14:paraId="50862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25" w:type="dxa"/>
          </w:tcPr>
          <w:p w14:paraId="44FC7D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 2 пуш./ 250,500, 1000</w:t>
            </w:r>
          </w:p>
        </w:tc>
        <w:tc>
          <w:tcPr>
            <w:tcW w:w="694" w:type="dxa"/>
          </w:tcPr>
          <w:p w14:paraId="256B2D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589" w:type="dxa"/>
          </w:tcPr>
          <w:p w14:paraId="1BBA76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798" w:type="dxa"/>
          </w:tcPr>
          <w:p w14:paraId="5B50C2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 из плана № 1</w:t>
            </w:r>
          </w:p>
        </w:tc>
      </w:tr>
      <w:tr w:rsidR="00DA227A" w:rsidRPr="00E93F40" w14:paraId="6A14FC0C" w14:textId="77777777">
        <w:tc>
          <w:tcPr>
            <w:tcW w:w="1668" w:type="dxa"/>
          </w:tcPr>
          <w:p w14:paraId="27B0A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Тяжелый бомбовоз</w:t>
            </w:r>
          </w:p>
        </w:tc>
        <w:tc>
          <w:tcPr>
            <w:tcW w:w="850" w:type="dxa"/>
          </w:tcPr>
          <w:p w14:paraId="3E94A4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Головной дюраль 6М34</w:t>
            </w:r>
          </w:p>
        </w:tc>
        <w:tc>
          <w:tcPr>
            <w:tcW w:w="709" w:type="dxa"/>
          </w:tcPr>
          <w:p w14:paraId="67807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1.6.33</w:t>
            </w:r>
          </w:p>
        </w:tc>
        <w:tc>
          <w:tcPr>
            <w:tcW w:w="867" w:type="dxa"/>
          </w:tcPr>
          <w:p w14:paraId="47397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025770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871" w:type="dxa"/>
          </w:tcPr>
          <w:p w14:paraId="6F812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48AAC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684" w:type="dxa"/>
          </w:tcPr>
          <w:p w14:paraId="5A0379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25" w:type="dxa"/>
          </w:tcPr>
          <w:p w14:paraId="52504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 2 пуш./ 250,500, 1000</w:t>
            </w:r>
          </w:p>
        </w:tc>
        <w:tc>
          <w:tcPr>
            <w:tcW w:w="694" w:type="dxa"/>
          </w:tcPr>
          <w:p w14:paraId="6BDE78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589" w:type="dxa"/>
          </w:tcPr>
          <w:p w14:paraId="50AEB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798" w:type="dxa"/>
          </w:tcPr>
          <w:p w14:paraId="5AC8F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68F133" w14:textId="77777777">
        <w:tc>
          <w:tcPr>
            <w:tcW w:w="1668" w:type="dxa"/>
          </w:tcPr>
          <w:p w14:paraId="42164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Тяж. хим. боевик (для горючего и пассажирский)</w:t>
            </w:r>
          </w:p>
        </w:tc>
        <w:tc>
          <w:tcPr>
            <w:tcW w:w="850" w:type="dxa"/>
          </w:tcPr>
          <w:p w14:paraId="6C67B3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Х1-2М34</w:t>
            </w:r>
          </w:p>
        </w:tc>
        <w:tc>
          <w:tcPr>
            <w:tcW w:w="709" w:type="dxa"/>
          </w:tcPr>
          <w:p w14:paraId="617014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1.8.33</w:t>
            </w:r>
          </w:p>
        </w:tc>
        <w:tc>
          <w:tcPr>
            <w:tcW w:w="867" w:type="dxa"/>
          </w:tcPr>
          <w:p w14:paraId="23D03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056867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871" w:type="dxa"/>
          </w:tcPr>
          <w:p w14:paraId="1153AE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865" w:type="dxa"/>
          </w:tcPr>
          <w:p w14:paraId="524B64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450/600</w:t>
            </w:r>
          </w:p>
        </w:tc>
        <w:tc>
          <w:tcPr>
            <w:tcW w:w="684" w:type="dxa"/>
          </w:tcPr>
          <w:p w14:paraId="3151E3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2000/3000</w:t>
            </w:r>
          </w:p>
        </w:tc>
        <w:tc>
          <w:tcPr>
            <w:tcW w:w="925" w:type="dxa"/>
          </w:tcPr>
          <w:p w14:paraId="2D97A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 и тяжелые пулеметы</w:t>
            </w:r>
          </w:p>
        </w:tc>
        <w:tc>
          <w:tcPr>
            <w:tcW w:w="694" w:type="dxa"/>
          </w:tcPr>
          <w:p w14:paraId="2CEC0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7654DF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798" w:type="dxa"/>
          </w:tcPr>
          <w:p w14:paraId="3119B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проектируется и строится НИИ ГВФ</w:t>
            </w:r>
          </w:p>
        </w:tc>
      </w:tr>
      <w:tr w:rsidR="00DA227A" w:rsidRPr="00E93F40" w14:paraId="4E45C0B6" w14:textId="77777777">
        <w:tc>
          <w:tcPr>
            <w:tcW w:w="1668" w:type="dxa"/>
          </w:tcPr>
          <w:p w14:paraId="4EFA16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Крейсер сухоп., средн. бомб. дальн. разведч.</w:t>
            </w:r>
          </w:p>
        </w:tc>
        <w:tc>
          <w:tcPr>
            <w:tcW w:w="850" w:type="dxa"/>
          </w:tcPr>
          <w:p w14:paraId="6B397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К1-2М34</w:t>
            </w:r>
          </w:p>
        </w:tc>
        <w:tc>
          <w:tcPr>
            <w:tcW w:w="709" w:type="dxa"/>
          </w:tcPr>
          <w:p w14:paraId="161CA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1.3.34</w:t>
            </w:r>
          </w:p>
        </w:tc>
        <w:tc>
          <w:tcPr>
            <w:tcW w:w="867" w:type="dxa"/>
          </w:tcPr>
          <w:p w14:paraId="653CF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868" w:type="dxa"/>
          </w:tcPr>
          <w:p w14:paraId="6E2613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871" w:type="dxa"/>
          </w:tcPr>
          <w:p w14:paraId="45CDE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865" w:type="dxa"/>
          </w:tcPr>
          <w:p w14:paraId="083AD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1000/1250</w:t>
            </w:r>
          </w:p>
        </w:tc>
        <w:tc>
          <w:tcPr>
            <w:tcW w:w="684" w:type="dxa"/>
          </w:tcPr>
          <w:p w14:paraId="54F84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25" w:type="dxa"/>
          </w:tcPr>
          <w:p w14:paraId="542F98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и легк. пул./10, 50, 250, Гирлянды</w:t>
            </w:r>
          </w:p>
        </w:tc>
        <w:tc>
          <w:tcPr>
            <w:tcW w:w="694" w:type="dxa"/>
          </w:tcPr>
          <w:p w14:paraId="41026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Сталь/дюраль</w:t>
            </w:r>
          </w:p>
        </w:tc>
        <w:tc>
          <w:tcPr>
            <w:tcW w:w="589" w:type="dxa"/>
          </w:tcPr>
          <w:p w14:paraId="14E92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798" w:type="dxa"/>
          </w:tcPr>
          <w:p w14:paraId="4EBD46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госиспытаний - разногласия с ВВС - 1.8.33</w:t>
            </w:r>
          </w:p>
        </w:tc>
      </w:tr>
      <w:tr w:rsidR="00DA227A" w:rsidRPr="00E93F40" w14:paraId="4381F6FA" w14:textId="77777777">
        <w:tc>
          <w:tcPr>
            <w:tcW w:w="1668" w:type="dxa"/>
          </w:tcPr>
          <w:p w14:paraId="64FEF2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Многоместный истребитель</w:t>
            </w:r>
          </w:p>
        </w:tc>
        <w:tc>
          <w:tcPr>
            <w:tcW w:w="850" w:type="dxa"/>
          </w:tcPr>
          <w:p w14:paraId="23B40B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МИ3-2М34Н</w:t>
            </w:r>
          </w:p>
        </w:tc>
        <w:tc>
          <w:tcPr>
            <w:tcW w:w="709" w:type="dxa"/>
          </w:tcPr>
          <w:p w14:paraId="4D1F1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1.1.33</w:t>
            </w:r>
          </w:p>
        </w:tc>
        <w:tc>
          <w:tcPr>
            <w:tcW w:w="867" w:type="dxa"/>
          </w:tcPr>
          <w:p w14:paraId="3CE0A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5000/7000-8000/15-18</w:t>
            </w:r>
          </w:p>
        </w:tc>
        <w:tc>
          <w:tcPr>
            <w:tcW w:w="868" w:type="dxa"/>
          </w:tcPr>
          <w:p w14:paraId="1157E2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871" w:type="dxa"/>
          </w:tcPr>
          <w:p w14:paraId="7392D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624F5D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684" w:type="dxa"/>
          </w:tcPr>
          <w:p w14:paraId="19D3B3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698EA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 1 пушка</w:t>
            </w:r>
          </w:p>
        </w:tc>
        <w:tc>
          <w:tcPr>
            <w:tcW w:w="694" w:type="dxa"/>
          </w:tcPr>
          <w:p w14:paraId="2053A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589" w:type="dxa"/>
          </w:tcPr>
          <w:p w14:paraId="4392F9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78888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 из плана № 1</w:t>
            </w:r>
          </w:p>
          <w:p w14:paraId="295882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штабом РККА согласовано уменьшение радиуса до 500 км</w:t>
            </w:r>
          </w:p>
        </w:tc>
      </w:tr>
      <w:tr w:rsidR="00DA227A" w:rsidRPr="00E93F40" w14:paraId="4EB2B61C" w14:textId="77777777">
        <w:tc>
          <w:tcPr>
            <w:tcW w:w="1668" w:type="dxa"/>
          </w:tcPr>
          <w:p w14:paraId="6BECA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Двухместный истребитель пуш.</w:t>
            </w:r>
          </w:p>
        </w:tc>
        <w:tc>
          <w:tcPr>
            <w:tcW w:w="850" w:type="dxa"/>
          </w:tcPr>
          <w:p w14:paraId="71FDF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ДИП1-М34Н</w:t>
            </w:r>
          </w:p>
        </w:tc>
        <w:tc>
          <w:tcPr>
            <w:tcW w:w="709" w:type="dxa"/>
          </w:tcPr>
          <w:p w14:paraId="3786B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1.10.33</w:t>
            </w:r>
          </w:p>
        </w:tc>
        <w:tc>
          <w:tcPr>
            <w:tcW w:w="867" w:type="dxa"/>
          </w:tcPr>
          <w:p w14:paraId="45737D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5000/8000/15-18</w:t>
            </w:r>
          </w:p>
        </w:tc>
        <w:tc>
          <w:tcPr>
            <w:tcW w:w="868" w:type="dxa"/>
          </w:tcPr>
          <w:p w14:paraId="7AA0B5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325/5000</w:t>
            </w:r>
          </w:p>
        </w:tc>
        <w:tc>
          <w:tcPr>
            <w:tcW w:w="871" w:type="dxa"/>
          </w:tcPr>
          <w:p w14:paraId="026146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865" w:type="dxa"/>
          </w:tcPr>
          <w:p w14:paraId="68D1C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684" w:type="dxa"/>
          </w:tcPr>
          <w:p w14:paraId="53F9A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BDC6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94" w:type="dxa"/>
          </w:tcPr>
          <w:p w14:paraId="41DD9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589" w:type="dxa"/>
          </w:tcPr>
          <w:p w14:paraId="6BF1C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35F9E4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551E354A" w14:textId="77777777">
        <w:tc>
          <w:tcPr>
            <w:tcW w:w="1668" w:type="dxa"/>
          </w:tcPr>
          <w:p w14:paraId="39013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Легкий разведчик</w:t>
            </w:r>
          </w:p>
        </w:tc>
        <w:tc>
          <w:tcPr>
            <w:tcW w:w="850" w:type="dxa"/>
          </w:tcPr>
          <w:p w14:paraId="7F02CC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ЛР-М34Н</w:t>
            </w:r>
          </w:p>
        </w:tc>
        <w:tc>
          <w:tcPr>
            <w:tcW w:w="709" w:type="dxa"/>
          </w:tcPr>
          <w:p w14:paraId="29628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1.3.33 на аэродром</w:t>
            </w:r>
          </w:p>
        </w:tc>
        <w:tc>
          <w:tcPr>
            <w:tcW w:w="867" w:type="dxa"/>
          </w:tcPr>
          <w:p w14:paraId="449A9F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5000/9000/9</w:t>
            </w:r>
          </w:p>
        </w:tc>
        <w:tc>
          <w:tcPr>
            <w:tcW w:w="868" w:type="dxa"/>
          </w:tcPr>
          <w:p w14:paraId="7AE10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375/5000</w:t>
            </w:r>
          </w:p>
        </w:tc>
        <w:tc>
          <w:tcPr>
            <w:tcW w:w="871" w:type="dxa"/>
          </w:tcPr>
          <w:p w14:paraId="25C475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5" w:type="dxa"/>
          </w:tcPr>
          <w:p w14:paraId="7CD81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400/700</w:t>
            </w:r>
          </w:p>
        </w:tc>
        <w:tc>
          <w:tcPr>
            <w:tcW w:w="684" w:type="dxa"/>
          </w:tcPr>
          <w:p w14:paraId="085194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25" w:type="dxa"/>
          </w:tcPr>
          <w:p w14:paraId="3CBAA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пул./10,, 100, 250</w:t>
            </w:r>
          </w:p>
        </w:tc>
        <w:tc>
          <w:tcPr>
            <w:tcW w:w="694" w:type="dxa"/>
          </w:tcPr>
          <w:p w14:paraId="607B2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70A4D6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ДИ4-Р5</w:t>
            </w:r>
          </w:p>
        </w:tc>
        <w:tc>
          <w:tcPr>
            <w:tcW w:w="798" w:type="dxa"/>
          </w:tcPr>
          <w:p w14:paraId="7EC75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самолет аналогичного назначения дает ГВФ</w:t>
            </w:r>
          </w:p>
          <w:p w14:paraId="41076E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Разногласия с ВВС - скорость 350-375</w:t>
            </w:r>
          </w:p>
        </w:tc>
      </w:tr>
      <w:tr w:rsidR="00DA227A" w:rsidRPr="00E93F40" w14:paraId="292191D9" w14:textId="77777777">
        <w:tc>
          <w:tcPr>
            <w:tcW w:w="1668" w:type="dxa"/>
          </w:tcPr>
          <w:p w14:paraId="02EF4B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Одноместный истреб. /скоростной/</w:t>
            </w:r>
          </w:p>
        </w:tc>
        <w:tc>
          <w:tcPr>
            <w:tcW w:w="850" w:type="dxa"/>
          </w:tcPr>
          <w:p w14:paraId="3121C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И13-М32</w:t>
            </w:r>
          </w:p>
        </w:tc>
        <w:tc>
          <w:tcPr>
            <w:tcW w:w="709" w:type="dxa"/>
          </w:tcPr>
          <w:p w14:paraId="789D6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1.6.33</w:t>
            </w:r>
          </w:p>
        </w:tc>
        <w:tc>
          <w:tcPr>
            <w:tcW w:w="867" w:type="dxa"/>
          </w:tcPr>
          <w:p w14:paraId="493B0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6000/80000-9000/7-8 на 5000</w:t>
            </w:r>
          </w:p>
        </w:tc>
        <w:tc>
          <w:tcPr>
            <w:tcW w:w="868" w:type="dxa"/>
          </w:tcPr>
          <w:p w14:paraId="78AD0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350-420/5000</w:t>
            </w:r>
          </w:p>
        </w:tc>
        <w:tc>
          <w:tcPr>
            <w:tcW w:w="871" w:type="dxa"/>
          </w:tcPr>
          <w:p w14:paraId="1FF02E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5" w:type="dxa"/>
          </w:tcPr>
          <w:p w14:paraId="5C3DA9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684" w:type="dxa"/>
          </w:tcPr>
          <w:p w14:paraId="44A9F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925" w:type="dxa"/>
          </w:tcPr>
          <w:p w14:paraId="48332E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 или пушки ДРП/4х10</w:t>
            </w:r>
          </w:p>
        </w:tc>
        <w:tc>
          <w:tcPr>
            <w:tcW w:w="694" w:type="dxa"/>
          </w:tcPr>
          <w:p w14:paraId="6E79C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51FFB6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w:t>
            </w:r>
          </w:p>
        </w:tc>
        <w:tc>
          <w:tcPr>
            <w:tcW w:w="798" w:type="dxa"/>
          </w:tcPr>
          <w:p w14:paraId="59FF10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4955FEE" w14:textId="77777777">
        <w:tc>
          <w:tcPr>
            <w:tcW w:w="1668" w:type="dxa"/>
          </w:tcPr>
          <w:p w14:paraId="07E501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Одноместный истреб. /скороподъемный - маневренный/</w:t>
            </w:r>
          </w:p>
        </w:tc>
        <w:tc>
          <w:tcPr>
            <w:tcW w:w="850" w:type="dxa"/>
          </w:tcPr>
          <w:p w14:paraId="7787E7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И14-М38</w:t>
            </w:r>
          </w:p>
        </w:tc>
        <w:tc>
          <w:tcPr>
            <w:tcW w:w="709" w:type="dxa"/>
          </w:tcPr>
          <w:p w14:paraId="33DAE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15.3.33</w:t>
            </w:r>
          </w:p>
        </w:tc>
        <w:tc>
          <w:tcPr>
            <w:tcW w:w="867" w:type="dxa"/>
          </w:tcPr>
          <w:p w14:paraId="70C81B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6000/9000-10000/7-8 на 5000</w:t>
            </w:r>
          </w:p>
        </w:tc>
        <w:tc>
          <w:tcPr>
            <w:tcW w:w="868" w:type="dxa"/>
          </w:tcPr>
          <w:p w14:paraId="47DA8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450-400/5000</w:t>
            </w:r>
          </w:p>
        </w:tc>
        <w:tc>
          <w:tcPr>
            <w:tcW w:w="871" w:type="dxa"/>
          </w:tcPr>
          <w:p w14:paraId="263A8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5" w:type="dxa"/>
          </w:tcPr>
          <w:p w14:paraId="2DD167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684" w:type="dxa"/>
          </w:tcPr>
          <w:p w14:paraId="558C1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925" w:type="dxa"/>
          </w:tcPr>
          <w:p w14:paraId="798E6D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 или пушки ДРП/4х10</w:t>
            </w:r>
          </w:p>
        </w:tc>
        <w:tc>
          <w:tcPr>
            <w:tcW w:w="694" w:type="dxa"/>
          </w:tcPr>
          <w:p w14:paraId="67FFC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599258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798" w:type="dxa"/>
          </w:tcPr>
          <w:p w14:paraId="5E5601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5497D5" w14:textId="77777777">
        <w:tc>
          <w:tcPr>
            <w:tcW w:w="1668" w:type="dxa"/>
          </w:tcPr>
          <w:p w14:paraId="118DF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Войсковой самолет, легк. хим. боевик, (сам. борьбы с вред.) с/х и лесов, фотосъем, санит. пас.</w:t>
            </w:r>
          </w:p>
        </w:tc>
        <w:tc>
          <w:tcPr>
            <w:tcW w:w="850" w:type="dxa"/>
          </w:tcPr>
          <w:p w14:paraId="0F5956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ВC2-2М52</w:t>
            </w:r>
          </w:p>
        </w:tc>
        <w:tc>
          <w:tcPr>
            <w:tcW w:w="709" w:type="dxa"/>
          </w:tcPr>
          <w:p w14:paraId="715A40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1.7.33</w:t>
            </w:r>
          </w:p>
        </w:tc>
        <w:tc>
          <w:tcPr>
            <w:tcW w:w="867" w:type="dxa"/>
          </w:tcPr>
          <w:p w14:paraId="2E73F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3000/-/12</w:t>
            </w:r>
          </w:p>
        </w:tc>
        <w:tc>
          <w:tcPr>
            <w:tcW w:w="868" w:type="dxa"/>
          </w:tcPr>
          <w:p w14:paraId="3310C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871" w:type="dxa"/>
          </w:tcPr>
          <w:p w14:paraId="256BF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865" w:type="dxa"/>
          </w:tcPr>
          <w:p w14:paraId="3AEF6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350/600</w:t>
            </w:r>
          </w:p>
        </w:tc>
        <w:tc>
          <w:tcPr>
            <w:tcW w:w="684" w:type="dxa"/>
          </w:tcPr>
          <w:p w14:paraId="0D1BC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925" w:type="dxa"/>
          </w:tcPr>
          <w:p w14:paraId="7D49C2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пул./10, 50, 100</w:t>
            </w:r>
          </w:p>
        </w:tc>
        <w:tc>
          <w:tcPr>
            <w:tcW w:w="694" w:type="dxa"/>
          </w:tcPr>
          <w:p w14:paraId="11A7A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66F35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К5</w:t>
            </w:r>
          </w:p>
        </w:tc>
        <w:tc>
          <w:tcPr>
            <w:tcW w:w="798" w:type="dxa"/>
          </w:tcPr>
          <w:p w14:paraId="213CA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ГРОСС Вместо Р9 из плпнп № 1 </w:t>
            </w:r>
          </w:p>
        </w:tc>
      </w:tr>
      <w:tr w:rsidR="00DA227A" w:rsidRPr="00E93F40" w14:paraId="5245F01F" w14:textId="77777777">
        <w:tc>
          <w:tcPr>
            <w:tcW w:w="1668" w:type="dxa"/>
          </w:tcPr>
          <w:p w14:paraId="7E518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Переходн. для школ и корп. разв., (самолет местн. авиации)</w:t>
            </w:r>
          </w:p>
        </w:tc>
        <w:tc>
          <w:tcPr>
            <w:tcW w:w="850" w:type="dxa"/>
          </w:tcPr>
          <w:p w14:paraId="18ADE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П3-М52</w:t>
            </w:r>
          </w:p>
        </w:tc>
        <w:tc>
          <w:tcPr>
            <w:tcW w:w="709" w:type="dxa"/>
          </w:tcPr>
          <w:p w14:paraId="61BE77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w:t>
            </w:r>
          </w:p>
        </w:tc>
        <w:tc>
          <w:tcPr>
            <w:tcW w:w="867" w:type="dxa"/>
          </w:tcPr>
          <w:p w14:paraId="630DC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3000/5000/-</w:t>
            </w:r>
          </w:p>
        </w:tc>
        <w:tc>
          <w:tcPr>
            <w:tcW w:w="868" w:type="dxa"/>
          </w:tcPr>
          <w:p w14:paraId="22B7DC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871" w:type="dxa"/>
          </w:tcPr>
          <w:p w14:paraId="02881F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865" w:type="dxa"/>
          </w:tcPr>
          <w:p w14:paraId="3B379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684" w:type="dxa"/>
          </w:tcPr>
          <w:p w14:paraId="5DB7DF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72185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w:t>
            </w:r>
          </w:p>
        </w:tc>
        <w:tc>
          <w:tcPr>
            <w:tcW w:w="694" w:type="dxa"/>
          </w:tcPr>
          <w:p w14:paraId="29F53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3E422F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0C130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 ГВФ</w:t>
            </w:r>
          </w:p>
        </w:tc>
      </w:tr>
      <w:tr w:rsidR="00DA227A" w:rsidRPr="00E93F40" w14:paraId="3B2213A4" w14:textId="77777777">
        <w:tc>
          <w:tcPr>
            <w:tcW w:w="1668" w:type="dxa"/>
          </w:tcPr>
          <w:p w14:paraId="6019B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14. Учебный сам., связи и сопров. (туризм, спорт, легк. санит., местн. авиация)</w:t>
            </w:r>
          </w:p>
        </w:tc>
        <w:tc>
          <w:tcPr>
            <w:tcW w:w="850" w:type="dxa"/>
          </w:tcPr>
          <w:p w14:paraId="56171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У3-М48</w:t>
            </w:r>
          </w:p>
        </w:tc>
        <w:tc>
          <w:tcPr>
            <w:tcW w:w="709" w:type="dxa"/>
          </w:tcPr>
          <w:p w14:paraId="4EC083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1.3.33</w:t>
            </w:r>
          </w:p>
        </w:tc>
        <w:tc>
          <w:tcPr>
            <w:tcW w:w="867" w:type="dxa"/>
          </w:tcPr>
          <w:p w14:paraId="4A83E6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1000/5000/-</w:t>
            </w:r>
          </w:p>
        </w:tc>
        <w:tc>
          <w:tcPr>
            <w:tcW w:w="868" w:type="dxa"/>
          </w:tcPr>
          <w:p w14:paraId="412070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180/1000</w:t>
            </w:r>
          </w:p>
        </w:tc>
        <w:tc>
          <w:tcPr>
            <w:tcW w:w="871" w:type="dxa"/>
          </w:tcPr>
          <w:p w14:paraId="148424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865" w:type="dxa"/>
          </w:tcPr>
          <w:p w14:paraId="2C831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684" w:type="dxa"/>
          </w:tcPr>
          <w:p w14:paraId="3C72E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1F7F2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 фото или радио</w:t>
            </w:r>
          </w:p>
        </w:tc>
        <w:tc>
          <w:tcPr>
            <w:tcW w:w="694" w:type="dxa"/>
          </w:tcPr>
          <w:p w14:paraId="6C9B7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2381F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798" w:type="dxa"/>
          </w:tcPr>
          <w:p w14:paraId="4CBE4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w:t>
            </w:r>
          </w:p>
        </w:tc>
      </w:tr>
      <w:tr w:rsidR="00DA227A" w:rsidRPr="00E93F40" w14:paraId="12BFB74F" w14:textId="77777777">
        <w:tc>
          <w:tcPr>
            <w:tcW w:w="1668" w:type="dxa"/>
          </w:tcPr>
          <w:p w14:paraId="25585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Морской крейсер (см. Примечание) он же бомб. И торпедоносец</w:t>
            </w:r>
          </w:p>
        </w:tc>
        <w:tc>
          <w:tcPr>
            <w:tcW w:w="850" w:type="dxa"/>
          </w:tcPr>
          <w:p w14:paraId="4804A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МК1-6М34РН</w:t>
            </w:r>
          </w:p>
        </w:tc>
        <w:tc>
          <w:tcPr>
            <w:tcW w:w="709" w:type="dxa"/>
          </w:tcPr>
          <w:p w14:paraId="7562D6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1.12.33 на госиспытания</w:t>
            </w:r>
          </w:p>
        </w:tc>
        <w:tc>
          <w:tcPr>
            <w:tcW w:w="867" w:type="dxa"/>
          </w:tcPr>
          <w:p w14:paraId="6BC14D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68" w:type="dxa"/>
          </w:tcPr>
          <w:p w14:paraId="71D77B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215-230/4000</w:t>
            </w:r>
          </w:p>
        </w:tc>
        <w:tc>
          <w:tcPr>
            <w:tcW w:w="871" w:type="dxa"/>
          </w:tcPr>
          <w:p w14:paraId="72B547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865" w:type="dxa"/>
          </w:tcPr>
          <w:p w14:paraId="2F7D61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750/1200</w:t>
            </w:r>
          </w:p>
        </w:tc>
        <w:tc>
          <w:tcPr>
            <w:tcW w:w="684" w:type="dxa"/>
          </w:tcPr>
          <w:p w14:paraId="7810D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Бомб. 2400/0</w:t>
            </w:r>
          </w:p>
          <w:p w14:paraId="39D05C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Бомб. 735/6100 при 6хМ34РН</w:t>
            </w:r>
          </w:p>
        </w:tc>
        <w:tc>
          <w:tcPr>
            <w:tcW w:w="925" w:type="dxa"/>
          </w:tcPr>
          <w:p w14:paraId="096BD8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военное снаряжение на 1850/2230 кг/250, 500, 1000, торпед 1800.</w:t>
            </w:r>
          </w:p>
          <w:p w14:paraId="0967FB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 бомб, торпедоносец</w:t>
            </w:r>
          </w:p>
        </w:tc>
        <w:tc>
          <w:tcPr>
            <w:tcW w:w="694" w:type="dxa"/>
          </w:tcPr>
          <w:p w14:paraId="75376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8EFE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Предусматривается как военный и как пассажирский вариант</w:t>
            </w:r>
          </w:p>
        </w:tc>
        <w:tc>
          <w:tcPr>
            <w:tcW w:w="798" w:type="dxa"/>
          </w:tcPr>
          <w:p w14:paraId="566243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пост. РВС от 5/УШ-31</w:t>
            </w:r>
          </w:p>
        </w:tc>
      </w:tr>
      <w:tr w:rsidR="00DA227A" w:rsidRPr="00E93F40" w14:paraId="099F0894" w14:textId="77777777">
        <w:tc>
          <w:tcPr>
            <w:tcW w:w="1668" w:type="dxa"/>
          </w:tcPr>
          <w:p w14:paraId="5FE807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850" w:type="dxa"/>
          </w:tcPr>
          <w:p w14:paraId="637D1C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МДР3-3М34</w:t>
            </w:r>
          </w:p>
        </w:tc>
        <w:tc>
          <w:tcPr>
            <w:tcW w:w="709" w:type="dxa"/>
          </w:tcPr>
          <w:p w14:paraId="51BFE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9FA24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C523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1A20AE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2D29E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5267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F4F82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8617B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ECDC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768C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57A8A5" w14:textId="77777777">
        <w:tc>
          <w:tcPr>
            <w:tcW w:w="1668" w:type="dxa"/>
          </w:tcPr>
          <w:p w14:paraId="3518DD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Морской бл. Разведчик амфиб. (санит, фотосъемщ., опылит.)</w:t>
            </w:r>
          </w:p>
        </w:tc>
        <w:tc>
          <w:tcPr>
            <w:tcW w:w="850" w:type="dxa"/>
          </w:tcPr>
          <w:p w14:paraId="15F53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МБР5-М35</w:t>
            </w:r>
          </w:p>
        </w:tc>
        <w:tc>
          <w:tcPr>
            <w:tcW w:w="709" w:type="dxa"/>
          </w:tcPr>
          <w:p w14:paraId="7C630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1.8.33</w:t>
            </w:r>
          </w:p>
        </w:tc>
        <w:tc>
          <w:tcPr>
            <w:tcW w:w="867" w:type="dxa"/>
          </w:tcPr>
          <w:p w14:paraId="7D7830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3000/6000</w:t>
            </w:r>
          </w:p>
        </w:tc>
        <w:tc>
          <w:tcPr>
            <w:tcW w:w="868" w:type="dxa"/>
          </w:tcPr>
          <w:p w14:paraId="06EBB2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300/3000</w:t>
            </w:r>
          </w:p>
        </w:tc>
        <w:tc>
          <w:tcPr>
            <w:tcW w:w="871" w:type="dxa"/>
          </w:tcPr>
          <w:p w14:paraId="1B1C1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865" w:type="dxa"/>
          </w:tcPr>
          <w:p w14:paraId="20696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500/800</w:t>
            </w:r>
          </w:p>
        </w:tc>
        <w:tc>
          <w:tcPr>
            <w:tcW w:w="684" w:type="dxa"/>
          </w:tcPr>
          <w:p w14:paraId="077A3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100/600</w:t>
            </w:r>
          </w:p>
        </w:tc>
        <w:tc>
          <w:tcPr>
            <w:tcW w:w="925" w:type="dxa"/>
          </w:tcPr>
          <w:p w14:paraId="77840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пул./10, 50, 100</w:t>
            </w:r>
          </w:p>
        </w:tc>
        <w:tc>
          <w:tcPr>
            <w:tcW w:w="694" w:type="dxa"/>
          </w:tcPr>
          <w:p w14:paraId="1E1E6D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105B5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С62б</w:t>
            </w:r>
          </w:p>
        </w:tc>
        <w:tc>
          <w:tcPr>
            <w:tcW w:w="798" w:type="dxa"/>
          </w:tcPr>
          <w:p w14:paraId="1A6DE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и постройка ведется НИИ РВФ</w:t>
            </w:r>
          </w:p>
        </w:tc>
      </w:tr>
      <w:tr w:rsidR="00DA227A" w:rsidRPr="00E93F40" w14:paraId="245DC00A" w14:textId="77777777">
        <w:tc>
          <w:tcPr>
            <w:tcW w:w="1668" w:type="dxa"/>
          </w:tcPr>
          <w:p w14:paraId="31ED8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Тяжелый бомбовоз</w:t>
            </w:r>
          </w:p>
        </w:tc>
        <w:tc>
          <w:tcPr>
            <w:tcW w:w="850" w:type="dxa"/>
          </w:tcPr>
          <w:p w14:paraId="7FF4A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К7-7М34</w:t>
            </w:r>
          </w:p>
        </w:tc>
        <w:tc>
          <w:tcPr>
            <w:tcW w:w="709" w:type="dxa"/>
          </w:tcPr>
          <w:p w14:paraId="66FA39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 выход на аэродром</w:t>
            </w:r>
          </w:p>
        </w:tc>
        <w:tc>
          <w:tcPr>
            <w:tcW w:w="867" w:type="dxa"/>
          </w:tcPr>
          <w:p w14:paraId="2876D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68" w:type="dxa"/>
          </w:tcPr>
          <w:p w14:paraId="721AB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230/5000</w:t>
            </w:r>
          </w:p>
        </w:tc>
        <w:tc>
          <w:tcPr>
            <w:tcW w:w="871" w:type="dxa"/>
          </w:tcPr>
          <w:p w14:paraId="05648D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7D91E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2000/2800</w:t>
            </w:r>
          </w:p>
        </w:tc>
        <w:tc>
          <w:tcPr>
            <w:tcW w:w="684" w:type="dxa"/>
          </w:tcPr>
          <w:p w14:paraId="627B7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9/12</w:t>
            </w:r>
          </w:p>
        </w:tc>
        <w:tc>
          <w:tcPr>
            <w:tcW w:w="925" w:type="dxa"/>
          </w:tcPr>
          <w:p w14:paraId="3536AA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 и тяжелые пулем., 250, 500, 1000</w:t>
            </w:r>
          </w:p>
        </w:tc>
        <w:tc>
          <w:tcPr>
            <w:tcW w:w="694" w:type="dxa"/>
          </w:tcPr>
          <w:p w14:paraId="0D3B5C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3948B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3533E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ГРОСС</w:t>
            </w:r>
          </w:p>
        </w:tc>
      </w:tr>
      <w:tr w:rsidR="00DA227A" w:rsidRPr="00E93F40" w14:paraId="4EB70454" w14:textId="77777777">
        <w:tc>
          <w:tcPr>
            <w:tcW w:w="1668" w:type="dxa"/>
          </w:tcPr>
          <w:p w14:paraId="3B9CF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Модификации:</w:t>
            </w:r>
          </w:p>
        </w:tc>
        <w:tc>
          <w:tcPr>
            <w:tcW w:w="850" w:type="dxa"/>
          </w:tcPr>
          <w:p w14:paraId="10215F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5D16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D2F1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3703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43FD3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3901D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2ABC41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31A8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C0740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D54D7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AEC1A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0276AB" w14:textId="77777777">
        <w:tc>
          <w:tcPr>
            <w:tcW w:w="1668" w:type="dxa"/>
          </w:tcPr>
          <w:p w14:paraId="5E2DDB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850" w:type="dxa"/>
          </w:tcPr>
          <w:p w14:paraId="2050D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ТШ3-М347</w:t>
            </w:r>
          </w:p>
        </w:tc>
        <w:tc>
          <w:tcPr>
            <w:tcW w:w="709" w:type="dxa"/>
          </w:tcPr>
          <w:p w14:paraId="58710C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3E67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AAAC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 облегчение, уст. тормозных колес и разр. крыло</w:t>
            </w:r>
          </w:p>
        </w:tc>
        <w:tc>
          <w:tcPr>
            <w:tcW w:w="871" w:type="dxa"/>
          </w:tcPr>
          <w:p w14:paraId="440EE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9B83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A91A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01F0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01AD36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CFEE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08F07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C69A27" w14:textId="77777777">
        <w:tc>
          <w:tcPr>
            <w:tcW w:w="1668" w:type="dxa"/>
          </w:tcPr>
          <w:p w14:paraId="558F4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850" w:type="dxa"/>
          </w:tcPr>
          <w:p w14:paraId="73FB0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ТБ3-4М34</w:t>
            </w:r>
          </w:p>
        </w:tc>
        <w:tc>
          <w:tcPr>
            <w:tcW w:w="709" w:type="dxa"/>
          </w:tcPr>
          <w:p w14:paraId="017758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1.12.32 выход на аэродром</w:t>
            </w:r>
          </w:p>
        </w:tc>
        <w:tc>
          <w:tcPr>
            <w:tcW w:w="867" w:type="dxa"/>
          </w:tcPr>
          <w:p w14:paraId="5A7ED9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F6F54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 и торм. колес</w:t>
            </w:r>
          </w:p>
        </w:tc>
        <w:tc>
          <w:tcPr>
            <w:tcW w:w="871" w:type="dxa"/>
          </w:tcPr>
          <w:p w14:paraId="7D049A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34B65F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3791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721A0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01CD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D3D16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6BA35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DCAFAE" w14:textId="77777777">
        <w:tc>
          <w:tcPr>
            <w:tcW w:w="1668" w:type="dxa"/>
          </w:tcPr>
          <w:p w14:paraId="2514C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850" w:type="dxa"/>
          </w:tcPr>
          <w:p w14:paraId="2A736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709" w:type="dxa"/>
          </w:tcPr>
          <w:p w14:paraId="28413C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9B95F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7A2A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Совмещение назначения пассажирского</w:t>
            </w:r>
          </w:p>
        </w:tc>
        <w:tc>
          <w:tcPr>
            <w:tcW w:w="871" w:type="dxa"/>
          </w:tcPr>
          <w:p w14:paraId="052EB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CDF4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4D157A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C1580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6FF3D4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783DB7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2B9B8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468B632" w14:textId="77777777">
        <w:tc>
          <w:tcPr>
            <w:tcW w:w="1668" w:type="dxa"/>
          </w:tcPr>
          <w:p w14:paraId="024C8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850" w:type="dxa"/>
          </w:tcPr>
          <w:p w14:paraId="4D99B0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АНТ9-2М26</w:t>
            </w:r>
          </w:p>
        </w:tc>
        <w:tc>
          <w:tcPr>
            <w:tcW w:w="709" w:type="dxa"/>
          </w:tcPr>
          <w:p w14:paraId="1C0A3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EEDDA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5E3CA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Военный вариан</w:t>
            </w:r>
          </w:p>
        </w:tc>
        <w:tc>
          <w:tcPr>
            <w:tcW w:w="871" w:type="dxa"/>
          </w:tcPr>
          <w:p w14:paraId="5ECFC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5405F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1AA5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EF589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CA29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5648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1C0C71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Снять с плана, но хочет переделать</w:t>
            </w:r>
          </w:p>
        </w:tc>
      </w:tr>
      <w:tr w:rsidR="00DA227A" w:rsidRPr="00E93F40" w14:paraId="4CDFA810" w14:textId="77777777">
        <w:tc>
          <w:tcPr>
            <w:tcW w:w="1668" w:type="dxa"/>
          </w:tcPr>
          <w:p w14:paraId="602274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850" w:type="dxa"/>
          </w:tcPr>
          <w:p w14:paraId="24D0D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Р5-М34</w:t>
            </w:r>
          </w:p>
        </w:tc>
        <w:tc>
          <w:tcPr>
            <w:tcW w:w="709" w:type="dxa"/>
          </w:tcPr>
          <w:p w14:paraId="7B270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1.1.33</w:t>
            </w:r>
          </w:p>
        </w:tc>
        <w:tc>
          <w:tcPr>
            <w:tcW w:w="867" w:type="dxa"/>
          </w:tcPr>
          <w:p w14:paraId="22B5C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37CDB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 разр. крыльев и торм. колес</w:t>
            </w:r>
          </w:p>
        </w:tc>
        <w:tc>
          <w:tcPr>
            <w:tcW w:w="871" w:type="dxa"/>
          </w:tcPr>
          <w:p w14:paraId="5803AA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1FA45A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F35F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3EB4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04325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B932B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80AAE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542184" w14:textId="77777777">
        <w:tc>
          <w:tcPr>
            <w:tcW w:w="1668" w:type="dxa"/>
          </w:tcPr>
          <w:p w14:paraId="3B3F48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850" w:type="dxa"/>
          </w:tcPr>
          <w:p w14:paraId="05C3A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709" w:type="dxa"/>
          </w:tcPr>
          <w:p w14:paraId="3D366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15.10.32</w:t>
            </w:r>
          </w:p>
        </w:tc>
        <w:tc>
          <w:tcPr>
            <w:tcW w:w="867" w:type="dxa"/>
          </w:tcPr>
          <w:p w14:paraId="6B6B9B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A38B9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тормозного шасси</w:t>
            </w:r>
          </w:p>
        </w:tc>
        <w:tc>
          <w:tcPr>
            <w:tcW w:w="871" w:type="dxa"/>
          </w:tcPr>
          <w:p w14:paraId="0D4405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5A498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68168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D8E3B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47BB4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8C43E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0B994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CC11F6" w14:textId="77777777">
        <w:tc>
          <w:tcPr>
            <w:tcW w:w="1668" w:type="dxa"/>
          </w:tcPr>
          <w:p w14:paraId="1D9681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w:t>
            </w:r>
          </w:p>
        </w:tc>
        <w:tc>
          <w:tcPr>
            <w:tcW w:w="850" w:type="dxa"/>
          </w:tcPr>
          <w:p w14:paraId="31FE3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val="en-US"/>
              </w:rPr>
              <w:t>S</w:t>
            </w:r>
            <w:r w:rsidRPr="00E93F40">
              <w:rPr>
                <w:rFonts w:ascii="Times New Roman" w:hAnsi="Times New Roman"/>
                <w:color w:val="000000" w:themeColor="text1"/>
                <w:sz w:val="16"/>
                <w:szCs w:val="16"/>
              </w:rPr>
              <w:t>62бис</w:t>
            </w:r>
            <w:r w:rsidRPr="00E93F40">
              <w:rPr>
                <w:rFonts w:ascii="Times New Roman" w:hAnsi="Times New Roman"/>
                <w:color w:val="000000" w:themeColor="text1"/>
                <w:sz w:val="16"/>
                <w:szCs w:val="16"/>
                <w:lang w:val="en-US"/>
              </w:rPr>
              <w:t>-</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lang w:val="en-US"/>
              </w:rPr>
              <w:t>34</w:t>
            </w:r>
          </w:p>
        </w:tc>
        <w:tc>
          <w:tcPr>
            <w:tcW w:w="709" w:type="dxa"/>
          </w:tcPr>
          <w:p w14:paraId="00560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val="en-US"/>
              </w:rPr>
              <w:t>1</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1</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 xml:space="preserve">33 </w:t>
            </w:r>
            <w:r w:rsidRPr="00E93F40">
              <w:rPr>
                <w:rFonts w:ascii="Times New Roman" w:hAnsi="Times New Roman"/>
                <w:color w:val="000000" w:themeColor="text1"/>
                <w:sz w:val="16"/>
                <w:szCs w:val="16"/>
              </w:rPr>
              <w:t>заводские</w:t>
            </w:r>
          </w:p>
        </w:tc>
        <w:tc>
          <w:tcPr>
            <w:tcW w:w="867" w:type="dxa"/>
          </w:tcPr>
          <w:p w14:paraId="7F20AF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3EA0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64CCF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25CDE5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66E8DA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E1FAD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046D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7BFB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41DF97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6F5CEC" w14:textId="77777777">
        <w:tc>
          <w:tcPr>
            <w:tcW w:w="1668" w:type="dxa"/>
          </w:tcPr>
          <w:p w14:paraId="64D9D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850" w:type="dxa"/>
          </w:tcPr>
          <w:p w14:paraId="137F7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r w:rsidRPr="00E93F40">
              <w:rPr>
                <w:rFonts w:ascii="Times New Roman" w:hAnsi="Times New Roman"/>
                <w:color w:val="000000" w:themeColor="text1"/>
                <w:sz w:val="16"/>
                <w:szCs w:val="16"/>
              </w:rPr>
              <w:t>И12</w:t>
            </w:r>
          </w:p>
        </w:tc>
        <w:tc>
          <w:tcPr>
            <w:tcW w:w="709" w:type="dxa"/>
          </w:tcPr>
          <w:p w14:paraId="1BABB8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67" w:type="dxa"/>
          </w:tcPr>
          <w:p w14:paraId="25D70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5A772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43D109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4569B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4A6E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1968C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78F8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7F63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C6EDF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BE542E" w14:textId="77777777">
        <w:tc>
          <w:tcPr>
            <w:tcW w:w="1668" w:type="dxa"/>
          </w:tcPr>
          <w:p w14:paraId="7F4C9E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850" w:type="dxa"/>
          </w:tcPr>
          <w:p w14:paraId="3979D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709" w:type="dxa"/>
          </w:tcPr>
          <w:p w14:paraId="1263D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C24D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CA1D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бомбового вооружения</w:t>
            </w:r>
          </w:p>
        </w:tc>
        <w:tc>
          <w:tcPr>
            <w:tcW w:w="871" w:type="dxa"/>
          </w:tcPr>
          <w:p w14:paraId="77952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2F8EE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8681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BDFE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07455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0B7BA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22A9B6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снять с плана, постановили закончить</w:t>
            </w:r>
          </w:p>
        </w:tc>
      </w:tr>
    </w:tbl>
    <w:p w14:paraId="17B04A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(351).</w:t>
      </w:r>
    </w:p>
    <w:p w14:paraId="611DF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E28151" w14:textId="77777777" w:rsidR="00F167B2" w:rsidRPr="00E93F40" w:rsidRDefault="00F167B2" w:rsidP="00E93F40">
      <w:pPr>
        <w:pStyle w:val="a3"/>
        <w:rPr>
          <w:color w:val="000000" w:themeColor="text1"/>
          <w:lang w:val="ru-RU"/>
        </w:rPr>
      </w:pPr>
      <w:r w:rsidRPr="00E93F40">
        <w:rPr>
          <w:color w:val="000000" w:themeColor="text1"/>
          <w:lang w:val="ru-RU"/>
        </w:rPr>
        <w:t>19 марта 1932 г. на совещании по поводу Звена представители ЦАГИ указали, что вес комплекта при полной заправке само</w:t>
      </w:r>
      <w:r w:rsidRPr="00E93F40">
        <w:rPr>
          <w:color w:val="000000" w:themeColor="text1"/>
          <w:lang w:val="ru-RU"/>
        </w:rPr>
        <w:softHyphen/>
        <w:t>летов составит около 12730 кг - намного больше, чем у бомбардировщика. Толчки при взлете могли разрушить либо нервю</w:t>
      </w:r>
      <w:r w:rsidRPr="00E93F40">
        <w:rPr>
          <w:color w:val="000000" w:themeColor="text1"/>
          <w:lang w:val="ru-RU"/>
        </w:rPr>
        <w:softHyphen/>
        <w:t>ру крыла у мотогондолы, либо полуось шасси. В.М. Петляков очень фасочно ска</w:t>
      </w:r>
      <w:r w:rsidRPr="00E93F40">
        <w:rPr>
          <w:color w:val="000000" w:themeColor="text1"/>
          <w:lang w:val="ru-RU"/>
        </w:rPr>
        <w:softHyphen/>
        <w:t xml:space="preserve">зал: «Совершить полет с такими нормами прочности можно, но не как нормальный, а насилуя машину». По расчетам КОСОС, допустимый вес получался не более </w:t>
      </w:r>
      <w:r w:rsidRPr="00E93F40">
        <w:rPr>
          <w:rStyle w:val="ArialNarrow13"/>
          <w:rFonts w:ascii="Times New Roman" w:hAnsi="Times New Roman" w:cs="Times New Roman"/>
          <w:b w:val="0"/>
          <w:color w:val="000000" w:themeColor="text1"/>
          <w:sz w:val="16"/>
          <w:szCs w:val="16"/>
          <w:lang w:val="ru-RU"/>
        </w:rPr>
        <w:t>11450</w:t>
      </w:r>
      <w:r w:rsidRPr="00E93F40">
        <w:rPr>
          <w:color w:val="000000" w:themeColor="text1"/>
          <w:lang w:val="ru-RU"/>
        </w:rPr>
        <w:t xml:space="preserve"> кг. Приняли решение усилить стойку и подкос нервюры охватывающими полутрубами на шпильках, а до этого разрешить полеты с весом не более 11000 кг (17741).</w:t>
      </w:r>
    </w:p>
    <w:p w14:paraId="4A87F53D" w14:textId="77777777" w:rsidR="00F167B2" w:rsidRPr="00E93F40" w:rsidRDefault="00F167B2" w:rsidP="00E93F40">
      <w:pPr>
        <w:spacing w:after="0" w:line="240" w:lineRule="auto"/>
        <w:jc w:val="both"/>
        <w:rPr>
          <w:rFonts w:ascii="Times New Roman" w:eastAsia="Times New Roman" w:hAnsi="Times New Roman"/>
          <w:color w:val="000000" w:themeColor="text1"/>
          <w:sz w:val="16"/>
          <w:szCs w:val="16"/>
          <w:lang w:eastAsia="ru-RU"/>
        </w:rPr>
      </w:pPr>
    </w:p>
    <w:p w14:paraId="5CD805D1" w14:textId="77777777" w:rsidR="00716F88" w:rsidRPr="00E93F40" w:rsidRDefault="00716F88"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19 марта 1932 г. на совещании с военными по поводу Звена представители ЦАГИ указали, что вес комплекта при полной заправке самолетов составит около 12 730 кг - намного больше, чем у бомбардировщика. Толчки при взлете могли разрушить либо нервюру крыла у мотогондолы, либо полуось шасси. В.М. Петляков очень красочно сказал: «Совершить полет с такими нормами прочности можно, но не как нормальный, а насилуя машину». По расчетам ЦАГИ, допустимый вес получался не более 11 450 кг. Приняли решение усилить стойку и подкос нервюры охватывающими полутрубами на шпильках, а до этого разрешить полеты с весом не более 11 000 кг.</w:t>
      </w:r>
    </w:p>
    <w:p w14:paraId="666408E7" w14:textId="77777777" w:rsidR="00716F88" w:rsidRPr="00E93F40" w:rsidRDefault="00716F88"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Учитывая опыт первого старта, все управление замками перенесли на истребители. На ТБ-1 поставили дополнительные бензобаки емкостью 900 л. Предусмотрели до момента отцепки питание моторов истребителей из топливной системы бомбардировщика, бензин к ним подавали ручным насосом - аль- вейером. На И-4 смонтировали новые маслобаки (19100).</w:t>
      </w:r>
    </w:p>
    <w:p w14:paraId="26B667ED" w14:textId="77777777" w:rsidR="00716F88" w:rsidRPr="00E93F40" w:rsidRDefault="00716F88" w:rsidP="00E93F40">
      <w:pPr>
        <w:pStyle w:val="a8"/>
        <w:jc w:val="both"/>
        <w:rPr>
          <w:rFonts w:ascii="Times New Roman" w:hAnsi="Times New Roman" w:cs="Times New Roman"/>
          <w:color w:val="000000" w:themeColor="text1"/>
        </w:rPr>
      </w:pPr>
    </w:p>
    <w:p w14:paraId="3EBDB90D"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19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xml:space="preserve"> Постановление СТО СССР и Комиссии обороны № 254/94сс о покупке моторов Либерти (ГА РФ. Ф. Р?8418. Оп. 28. Д. 1а. Л. 174) (12415).</w:t>
      </w:r>
    </w:p>
    <w:p w14:paraId="0F710C48"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p>
    <w:p w14:paraId="7EF0D07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77B3D4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DEB90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марта 1932 рассматривая вопрос о выполнении танковой программы (протокол 9, п. 2) КО вторично постановил: “НКВМору и НКТяжпрому в месячный срок разрешить вопрос о вооружении БТ и Т-26, особо выделив установку 76 мм пушки на эти танки без изменения их конструкции” (3881,3).</w:t>
      </w:r>
    </w:p>
    <w:p w14:paraId="610FD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2266C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DCEEF4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BEA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19 и 25 марта 1932. Из протокола заседания Политбюро № 92, 1932 г.</w:t>
      </w:r>
    </w:p>
    <w:p w14:paraId="1B0374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снятии с экспорта предметов широкого потребления </w:t>
      </w:r>
    </w:p>
    <w:p w14:paraId="6E971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Сократить экспортный план на 1932 г. </w:t>
      </w:r>
    </w:p>
    <w:p w14:paraId="34BC16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Снять из экспортного фонда излишек в плане сдачи на экспорт хлопчатобумажных тканей против экспортного плана в количестве 104 вагона. </w:t>
      </w:r>
    </w:p>
    <w:p w14:paraId="2EC89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Снять с экспортного фонда товары кустпромкооперации, идущие сверх утвержденного экспортного плана (хлопчатобумажные ткани, обувь валяная, фетровая и кожаная, лезвия для бритв, кожаная галантерея)... </w:t>
      </w:r>
    </w:p>
    <w:p w14:paraId="6043B2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Возвратить из-за границы (в месячный срок) за невозможностью реализации следующие товары: икра черная баночная — 50 тонн на сумму 1350 тыс. руб., рыба-горбуша — 2000 тонн на сумму 1900 тыс. руб., нитки — на сумму 425 тыс. руб... </w:t>
      </w:r>
    </w:p>
    <w:p w14:paraId="202C62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Запретить без специального разрешения Политбюро повышать до конца года экспортные фонды... (11652).</w:t>
      </w:r>
    </w:p>
    <w:p w14:paraId="61D78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36D0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19 и 25 марта 1932. Из протокола заседания Политбюро № 92, 1932 г.</w:t>
      </w:r>
    </w:p>
    <w:p w14:paraId="65DDB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дополнительном экспорте товаров </w:t>
      </w:r>
    </w:p>
    <w:p w14:paraId="0529F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мероприятия, обеспечивающие выполнение увеличенной программы экспорта по бэкону (11652).</w:t>
      </w:r>
    </w:p>
    <w:p w14:paraId="36A101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D50C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19 и 25 марта 1932. Из протокола заседания Политбюро № 92, 1932 г.</w:t>
      </w:r>
    </w:p>
    <w:p w14:paraId="5D445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 протокола заседания Политбюро №92, особая папка, 1932 г. </w:t>
      </w:r>
    </w:p>
    <w:p w14:paraId="216FB3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закрытых распределителях и закрытых рабочих кооперативах </w:t>
      </w:r>
    </w:p>
    <w:p w14:paraId="5535D3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Существующую систему ЗР и ЗРК сохранить (11652).</w:t>
      </w:r>
    </w:p>
    <w:p w14:paraId="0CF1F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24E1FD"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56FE810C"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A996E7"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марта 1932 года в сообщении ИНО ОГПУ от на имя Сталина, подписанном заместителем председателя ОГПУ В. А. Балицким и начальником ИНО А. Х. Артузовым приводились сведения, полученные от нашего источника во французском генштабе. Советский агент успел незадолго до этого побывать в Варшаве, где беседовал с начальником штаба польской армии генералом Гонсяровским, сообщившим ему, что осенью 1931 года Варшаву посетила группа высокопоставленных японских офицеров. В ходе этого визита между генштабами двух стран было заключено письменное соглашение: «Гонсяровский отметил, что согласно этому соглашению Польша обязана быть готовой оттянуть на себя силы большевиков, когда японцы начнут продвигаться по территории СССР» (18275).</w:t>
      </w:r>
    </w:p>
    <w:p w14:paraId="110F0B31" w14:textId="77777777" w:rsidR="00716F88" w:rsidRPr="00E93F40" w:rsidRDefault="00716F88" w:rsidP="00E93F40">
      <w:pPr>
        <w:spacing w:after="0" w:line="240" w:lineRule="auto"/>
        <w:jc w:val="both"/>
        <w:rPr>
          <w:rFonts w:ascii="Times New Roman" w:hAnsi="Times New Roman"/>
          <w:color w:val="000000" w:themeColor="text1"/>
          <w:sz w:val="16"/>
          <w:szCs w:val="16"/>
        </w:rPr>
      </w:pPr>
    </w:p>
    <w:p w14:paraId="092D003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E6EE8C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E59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 22 марта 1932 в ходе испытаний на 22 заводе самолета Р6 N 2201 (эталон на 1932 год), которые проходили с 23 января по 7 апреля 1932, было выполнено 3 полета на испытание аэронавигационного оборудования (3003).</w:t>
      </w:r>
    </w:p>
    <w:p w14:paraId="46A8E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6B88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 22 марта 1932 в ходе испытаний на 22 заводе самолета Р6 N 2201 (эталон на 1932 год), которые проходили с 23 января по 7 апреля 1932, было выполнено 2 полета на определение горизонтальных скоростей у земли с выпущенной и убранной башней с нагрузкой 2560 кг (3003).</w:t>
      </w:r>
    </w:p>
    <w:p w14:paraId="0D559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992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марта 1932 в письме из ЦС ОХА в Техштаб РККА, ВВС РККА, ВВА, Глававиапром сообщается, что "все переговоры и деловые взаимоотношения по вопросам деятельности ГИРД осуществляются ныне (...) с председателем Техсовета ГИРД инж. Королевым СП." Указаны еще две фамилии руководителей ОХА (ААН, р. 4, оп. 14, № 230, л. 3, 4) (10676).</w:t>
      </w:r>
    </w:p>
    <w:p w14:paraId="39196A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18DA2C"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марта 1932 г Ильин как начальник ГДЛ писал Председателю НТК УВММС РККА т. Орас</w:t>
      </w:r>
    </w:p>
    <w:p w14:paraId="177679A4"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доклада Зампредвоенпреда т. Тухачевскому в срочном порядке сообщить мне, когда будет передано соответствующим организациям оборудование для производства порохов, находящееся в распоряжении НТЛ и расположенное в помещении ГДЛ в Гребном порту.</w:t>
      </w:r>
    </w:p>
    <w:p w14:paraId="37255023"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Целый ряд государственных заводов нашей страны чрезвы¬чайно нуждается в этом оборудовании ...... в то время как это оборудование никем не используется со дня Октябрьской революции…» (12702).</w:t>
      </w:r>
    </w:p>
    <w:p w14:paraId="2D80141A" w14:textId="77777777" w:rsidR="00684A8A" w:rsidRPr="00E93F40" w:rsidRDefault="00684A8A" w:rsidP="00E93F40">
      <w:pPr>
        <w:spacing w:after="0" w:line="240" w:lineRule="auto"/>
        <w:jc w:val="both"/>
        <w:rPr>
          <w:rFonts w:ascii="Times New Roman" w:hAnsi="Times New Roman"/>
          <w:color w:val="000000" w:themeColor="text1"/>
          <w:sz w:val="16"/>
          <w:szCs w:val="16"/>
        </w:rPr>
      </w:pPr>
    </w:p>
    <w:p w14:paraId="258FE49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C404E3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056F04" w14:textId="79F2CFF0" w:rsidR="00424ECB" w:rsidRPr="00E93F40" w:rsidRDefault="00424ECB" w:rsidP="00E93F40">
      <w:pPr>
        <w:pStyle w:val="rtejustify"/>
        <w:spacing w:before="0" w:after="0"/>
        <w:rPr>
          <w:color w:val="000000" w:themeColor="text1"/>
          <w:sz w:val="16"/>
          <w:szCs w:val="16"/>
        </w:rPr>
      </w:pPr>
      <w:r w:rsidRPr="00E93F40">
        <w:rPr>
          <w:rStyle w:val="af0"/>
          <w:i w:val="0"/>
          <w:color w:val="000000" w:themeColor="text1"/>
          <w:sz w:val="16"/>
          <w:szCs w:val="16"/>
        </w:rPr>
        <w:t>20</w:t>
      </w:r>
      <w:r w:rsidR="007C1411" w:rsidRPr="00E93F40">
        <w:rPr>
          <w:rStyle w:val="af0"/>
          <w:i w:val="0"/>
          <w:color w:val="000000" w:themeColor="text1"/>
          <w:sz w:val="16"/>
          <w:szCs w:val="16"/>
        </w:rPr>
        <w:t xml:space="preserve"> </w:t>
      </w:r>
      <w:r w:rsidRPr="00E93F40">
        <w:rPr>
          <w:rStyle w:val="af0"/>
          <w:i w:val="0"/>
          <w:color w:val="000000" w:themeColor="text1"/>
          <w:sz w:val="16"/>
          <w:szCs w:val="16"/>
        </w:rPr>
        <w:t xml:space="preserve">марта 1932 г. Протокол Реввоенсовета № 11. </w:t>
      </w: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Проект малой подлодки (Орлов). 7.</w:t>
      </w:r>
      <w:r w:rsidR="007C1411" w:rsidRPr="00E93F40">
        <w:rPr>
          <w:color w:val="000000" w:themeColor="text1"/>
          <w:sz w:val="16"/>
          <w:szCs w:val="16"/>
        </w:rPr>
        <w:t xml:space="preserve"> </w:t>
      </w:r>
      <w:r w:rsidRPr="00E93F40">
        <w:rPr>
          <w:color w:val="000000" w:themeColor="text1"/>
          <w:sz w:val="16"/>
          <w:szCs w:val="16"/>
        </w:rPr>
        <w:t>Проект быстроходного тральщика. (Никитин). 9.</w:t>
      </w:r>
      <w:r w:rsidR="007C1411" w:rsidRPr="00E93F40">
        <w:rPr>
          <w:color w:val="000000" w:themeColor="text1"/>
          <w:sz w:val="16"/>
          <w:szCs w:val="16"/>
        </w:rPr>
        <w:t xml:space="preserve"> </w:t>
      </w:r>
      <w:r w:rsidRPr="00E93F40">
        <w:rPr>
          <w:color w:val="000000" w:themeColor="text1"/>
          <w:sz w:val="16"/>
          <w:szCs w:val="16"/>
        </w:rPr>
        <w:t>Ввод на вооружение 45</w:t>
      </w:r>
      <w:r w:rsidRPr="00E93F40">
        <w:rPr>
          <w:color w:val="000000" w:themeColor="text1"/>
          <w:sz w:val="16"/>
          <w:szCs w:val="16"/>
        </w:rPr>
        <w:noBreakHyphen/>
        <w:t>мм противотанковой пушки (Симонов). 14.</w:t>
      </w:r>
      <w:r w:rsidR="007C1411" w:rsidRPr="00E93F40">
        <w:rPr>
          <w:color w:val="000000" w:themeColor="text1"/>
          <w:sz w:val="16"/>
          <w:szCs w:val="16"/>
        </w:rPr>
        <w:t xml:space="preserve"> </w:t>
      </w:r>
      <w:r w:rsidRPr="00E93F40">
        <w:rPr>
          <w:color w:val="000000" w:themeColor="text1"/>
          <w:sz w:val="16"/>
          <w:szCs w:val="16"/>
        </w:rPr>
        <w:t>План военно-изобретательской и конструкторской работы на 1932</w:t>
      </w:r>
      <w:r w:rsidR="007C1411" w:rsidRPr="00E93F40">
        <w:rPr>
          <w:color w:val="000000" w:themeColor="text1"/>
          <w:sz w:val="16"/>
          <w:szCs w:val="16"/>
        </w:rPr>
        <w:t xml:space="preserve"> </w:t>
      </w:r>
      <w:r w:rsidRPr="00E93F40">
        <w:rPr>
          <w:color w:val="000000" w:themeColor="text1"/>
          <w:sz w:val="16"/>
          <w:szCs w:val="16"/>
        </w:rPr>
        <w:t>г. (Тухачевский). 15.</w:t>
      </w:r>
      <w:r w:rsidR="007C1411" w:rsidRPr="00E93F40">
        <w:rPr>
          <w:color w:val="000000" w:themeColor="text1"/>
          <w:sz w:val="16"/>
          <w:szCs w:val="16"/>
        </w:rPr>
        <w:t xml:space="preserve"> </w:t>
      </w:r>
      <w:r w:rsidRPr="00E93F40">
        <w:rPr>
          <w:color w:val="000000" w:themeColor="text1"/>
          <w:sz w:val="16"/>
          <w:szCs w:val="16"/>
        </w:rPr>
        <w:t>Смета по изобретательству (Ворошилов).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156</w:t>
      </w:r>
      <w:r w:rsidRPr="00E93F40">
        <w:rPr>
          <w:color w:val="000000" w:themeColor="text1"/>
          <w:sz w:val="16"/>
          <w:szCs w:val="16"/>
        </w:rPr>
        <w:noBreakHyphen/>
        <w:t>157, 158, 159</w:t>
      </w:r>
      <w:r w:rsidRPr="00E93F40">
        <w:rPr>
          <w:color w:val="000000" w:themeColor="text1"/>
          <w:sz w:val="16"/>
          <w:szCs w:val="16"/>
        </w:rPr>
        <w:noBreakHyphen/>
        <w:t>160) (12342).</w:t>
      </w:r>
    </w:p>
    <w:p w14:paraId="6D80E0E4" w14:textId="77777777" w:rsidR="00424ECB" w:rsidRPr="00E93F40" w:rsidRDefault="00424ECB" w:rsidP="00E93F40">
      <w:pPr>
        <w:pStyle w:val="rtejustify"/>
        <w:spacing w:before="0" w:after="0"/>
        <w:rPr>
          <w:color w:val="000000" w:themeColor="text1"/>
          <w:sz w:val="16"/>
          <w:szCs w:val="16"/>
        </w:rPr>
      </w:pPr>
    </w:p>
    <w:p w14:paraId="04406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марта 1932 эскизный проект пл Малютка, разработанный Техбюро № 4 под руководством Асафова, был утвержден в Реввоенсо</w:t>
      </w:r>
      <w:r w:rsidRPr="00E93F40">
        <w:rPr>
          <w:rFonts w:ascii="Times New Roman" w:hAnsi="Times New Roman"/>
          <w:color w:val="000000" w:themeColor="text1"/>
          <w:sz w:val="16"/>
          <w:szCs w:val="16"/>
        </w:rPr>
        <w:softHyphen/>
        <w:t>вете СССР. Постройка лодок, а также составление общего проек</w:t>
      </w:r>
      <w:r w:rsidRPr="00E93F40">
        <w:rPr>
          <w:rFonts w:ascii="Times New Roman" w:hAnsi="Times New Roman"/>
          <w:color w:val="000000" w:themeColor="text1"/>
          <w:sz w:val="16"/>
          <w:szCs w:val="16"/>
        </w:rPr>
        <w:softHyphen/>
        <w:t>та лодки VI серии были возложены на николаевский завод им. А. Марти (3898).</w:t>
      </w:r>
    </w:p>
    <w:p w14:paraId="36EF74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42CAEC" w14:textId="780F45E1" w:rsidR="00F91DA7" w:rsidRPr="00E93F40" w:rsidRDefault="00F91DA7" w:rsidP="00E93F40">
      <w:pPr>
        <w:pStyle w:val="rtejustify"/>
        <w:spacing w:before="0" w:after="0"/>
        <w:rPr>
          <w:color w:val="000000" w:themeColor="text1"/>
          <w:sz w:val="16"/>
          <w:szCs w:val="16"/>
        </w:rPr>
      </w:pPr>
      <w:r w:rsidRPr="00E93F40">
        <w:rPr>
          <w:color w:val="000000" w:themeColor="text1"/>
          <w:sz w:val="16"/>
          <w:szCs w:val="16"/>
        </w:rPr>
        <w:t>20 марта 1932</w:t>
      </w:r>
      <w:r w:rsidR="007C1411" w:rsidRPr="00E93F40">
        <w:rPr>
          <w:color w:val="000000" w:themeColor="text1"/>
          <w:sz w:val="16"/>
          <w:szCs w:val="16"/>
        </w:rPr>
        <w:t xml:space="preserve"> </w:t>
      </w:r>
      <w:r w:rsidRPr="00E93F40">
        <w:rPr>
          <w:color w:val="000000" w:themeColor="text1"/>
          <w:sz w:val="16"/>
          <w:szCs w:val="16"/>
        </w:rPr>
        <w:t>г. была заложена головная лодка «Карась» (позднее «Лосось», с 1934</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Щ</w:t>
      </w:r>
      <w:r w:rsidRPr="00E93F40">
        <w:rPr>
          <w:color w:val="000000" w:themeColor="text1"/>
          <w:sz w:val="16"/>
          <w:szCs w:val="16"/>
        </w:rPr>
        <w:noBreakHyphen/>
        <w:t>101). Почти одновременно заложили и остальные одиннадцать. Корпуса лодок по железной дороге доставлялись из Ленинграда на Дальний Восток. Сборка осуществлялась на Дальзаводе во Владивостоке и в «Осиповском затоне» (Хабаровск) (15280).</w:t>
      </w:r>
    </w:p>
    <w:p w14:paraId="6C6F70CF" w14:textId="77777777" w:rsidR="00F91DA7" w:rsidRPr="00E93F40" w:rsidRDefault="00F91DA7" w:rsidP="00E93F40">
      <w:pPr>
        <w:pStyle w:val="rtejustify"/>
        <w:spacing w:before="0" w:after="0"/>
        <w:rPr>
          <w:color w:val="000000" w:themeColor="text1"/>
          <w:sz w:val="16"/>
          <w:szCs w:val="16"/>
        </w:rPr>
      </w:pPr>
    </w:p>
    <w:p w14:paraId="0A47B4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марта 1932 г. была за</w:t>
      </w:r>
      <w:r w:rsidRPr="00E93F40">
        <w:rPr>
          <w:rFonts w:ascii="Times New Roman" w:hAnsi="Times New Roman"/>
          <w:color w:val="000000" w:themeColor="text1"/>
          <w:sz w:val="16"/>
          <w:szCs w:val="16"/>
        </w:rPr>
        <w:softHyphen/>
        <w:t>ложена голо</w:t>
      </w:r>
      <w:r w:rsidRPr="00E93F40">
        <w:rPr>
          <w:rFonts w:ascii="Times New Roman" w:hAnsi="Times New Roman"/>
          <w:color w:val="000000" w:themeColor="text1"/>
          <w:sz w:val="16"/>
          <w:szCs w:val="16"/>
        </w:rPr>
        <w:softHyphen/>
        <w:t>вная лодка "Карась" (позднее "Лосось", с 1934 г. Щ-101). Почти одновременно заложили и осталь</w:t>
      </w:r>
      <w:r w:rsidRPr="00E93F40">
        <w:rPr>
          <w:rFonts w:ascii="Times New Roman" w:hAnsi="Times New Roman"/>
          <w:color w:val="000000" w:themeColor="text1"/>
          <w:sz w:val="16"/>
          <w:szCs w:val="16"/>
        </w:rPr>
        <w:softHyphen/>
        <w:t>ные одиннадцать — "Лещ" (Щ-102), "Карп" (Щ-103), "Налим" (Щ-104), "Кета" (Щ-105), "Судак" (Щ-106), "Сиг" (Щ-107), "Фо</w:t>
      </w:r>
      <w:r w:rsidRPr="00E93F40">
        <w:rPr>
          <w:rFonts w:ascii="Times New Roman" w:hAnsi="Times New Roman"/>
          <w:color w:val="000000" w:themeColor="text1"/>
          <w:sz w:val="16"/>
          <w:szCs w:val="16"/>
        </w:rPr>
        <w:softHyphen/>
        <w:t>рель" (Щ-108), "Сом" (Щ-109), "Язь" (Щ-110), "Карась" (Щ-111) и "Пескарь" (Щ-112). Корпуса лодок "Лещ" и "Карп" собирались на стапелях ленинградского завода им. А. Марти, "Судак", Сиг", "Сом" и "Язь" — на стапелях Северной верфи, остальных — на Балтий</w:t>
      </w:r>
      <w:r w:rsidRPr="00E93F40">
        <w:rPr>
          <w:rFonts w:ascii="Times New Roman" w:hAnsi="Times New Roman"/>
          <w:color w:val="000000" w:themeColor="text1"/>
          <w:sz w:val="16"/>
          <w:szCs w:val="16"/>
        </w:rPr>
        <w:softHyphen/>
        <w:t>ском заводе. Последний поставлял другим заводам и все корпус</w:t>
      </w:r>
      <w:r w:rsidRPr="00E93F40">
        <w:rPr>
          <w:rFonts w:ascii="Times New Roman" w:hAnsi="Times New Roman"/>
          <w:color w:val="000000" w:themeColor="text1"/>
          <w:sz w:val="16"/>
          <w:szCs w:val="16"/>
        </w:rPr>
        <w:softHyphen/>
        <w:t>ные конструкции. Секции корпусов, построенные в Ленинграде, грузились на же</w:t>
      </w:r>
      <w:r w:rsidRPr="00E93F40">
        <w:rPr>
          <w:rFonts w:ascii="Times New Roman" w:hAnsi="Times New Roman"/>
          <w:color w:val="000000" w:themeColor="text1"/>
          <w:sz w:val="16"/>
          <w:szCs w:val="16"/>
        </w:rPr>
        <w:softHyphen/>
        <w:t>лезнодорожные транспортеры и доставлялись на Дальний Восток. Сборка лодок осуществлялась на Дальзаводе во Владивостоке и в Осиповском затоне (Хабаровск). При формировании переборок и цистерн лодок V серии применялась электросварка (3898).</w:t>
      </w:r>
    </w:p>
    <w:p w14:paraId="7BE1A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5A6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20 марта 1932 г. после внесения ряда изменений проект малой подводной лодки (VI серии) был утвержден Реввоенсоветом СССР. Создание малой подводной лодки, вопреки мнениям некоторых специалистов о незначительной тактической ценности корабля этого проекта, было вполне целесообразным. Малые подводные лодки могли успешно вести боевые действия в узкостях, шхерах, у баз противника и на его прибрежных коммуникациях. Построенные большими сериями, они могли внести заметный вклад в общий боевой потенциал Военно-Морского Флота (10672).</w:t>
      </w:r>
    </w:p>
    <w:p w14:paraId="18DDFF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AF492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3A95A61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11D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20 марта 1932 только в Европейской части страны уже эксплуатировались около 320 машин типа Р-5 (12034).</w:t>
      </w:r>
    </w:p>
    <w:p w14:paraId="38EC3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35F67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33DF9B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A0E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марта 1932 создали Каракалпакскую АССР (3908,337).</w:t>
      </w:r>
    </w:p>
    <w:p w14:paraId="46765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CFE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марта 1932 года Согласно Постановлению СНК СССР «О Колыме» Дальстрой получал из госбюджета 100 млн. рублей на развертывание местной инфраструктуры, для обеспечения строительных работ СТО выделял 180 автомобилей грузоподъемностью в 2,5 т и 75 «полуторок», Наркомтяжпром - 59 инженеров и 86 техников, Цудортранс - 5 инженеров и 15 техников. ОГПУ готовилось немедленно перевести в заданный район 25 тыс. заключенных, снабженных всем необходимым (9043).</w:t>
      </w:r>
    </w:p>
    <w:p w14:paraId="54CEFF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33A13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BBC56C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59F90B" w14:textId="77777777" w:rsidR="00F91DA7" w:rsidRPr="00E93F40" w:rsidRDefault="00F91D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20 марта</w:t>
      </w:r>
      <w:r w:rsidRPr="00E93F40">
        <w:rPr>
          <w:rFonts w:ascii="Times New Roman" w:hAnsi="Times New Roman"/>
          <w:color w:val="000000" w:themeColor="text1"/>
          <w:sz w:val="16"/>
          <w:szCs w:val="16"/>
        </w:rPr>
        <w:t xml:space="preserve"> в 1932 году американский средний бомбардировщик "Мартин 123" приняли на официальные испытания на базе «Райт-филд» под обозначением </w:t>
      </w:r>
      <w:hyperlink r:id="rId67" w:tgtFrame="_blank" w:history="1">
        <w:r w:rsidRPr="00E93F40">
          <w:rPr>
            <w:rFonts w:ascii="Times New Roman" w:hAnsi="Times New Roman"/>
            <w:color w:val="000000" w:themeColor="text1"/>
            <w:sz w:val="16"/>
            <w:szCs w:val="16"/>
          </w:rPr>
          <w:t xml:space="preserve">«ХВ-907». </w:t>
        </w:r>
      </w:hyperlink>
      <w:r w:rsidRPr="00E93F40">
        <w:rPr>
          <w:rFonts w:ascii="Times New Roman" w:hAnsi="Times New Roman"/>
          <w:color w:val="000000" w:themeColor="text1"/>
          <w:sz w:val="16"/>
          <w:szCs w:val="16"/>
        </w:rPr>
        <w:t>Военные летчики подтвердили высокую оценку самолета. В ходе испытаний новый бомбардировщик продолжали совершенствовать. В начале осени на машине смонтировали носовую экранированную турель, вращать которую стрелку помогала система компенсаторов. Одновременно двигатели заменили на более мощные «R-1820-19» (по 675 л.с.) в удлиненных капотах NACA. За счет установки полного комплекта вооружения и оборудования, новых моторов и некоторого усиления конструкции взлетный вес возрос примерно на 800 кг. В связи с этим конструкторы параллельно увеличили размах крыла. Усовершенствованный «ХВ-907А» в октябре 1932 г. показал скорость 333 км/ч (15074).</w:t>
      </w:r>
    </w:p>
    <w:p w14:paraId="1DB3F271" w14:textId="77777777" w:rsidR="00F91DA7" w:rsidRPr="00E93F40" w:rsidRDefault="00F91DA7" w:rsidP="00E93F40">
      <w:pPr>
        <w:spacing w:after="0" w:line="240" w:lineRule="auto"/>
        <w:jc w:val="both"/>
        <w:rPr>
          <w:rFonts w:ascii="Times New Roman" w:hAnsi="Times New Roman"/>
          <w:color w:val="000000" w:themeColor="text1"/>
          <w:sz w:val="16"/>
          <w:szCs w:val="16"/>
        </w:rPr>
      </w:pPr>
    </w:p>
    <w:p w14:paraId="0BDFBB6E" w14:textId="77777777" w:rsidR="00DE2D9A" w:rsidRPr="00E93F40" w:rsidRDefault="00DE2D9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марта 1932 состоялся первый полет Boeing P-26 Peashooter (20803).</w:t>
      </w:r>
    </w:p>
    <w:p w14:paraId="212618D2" w14:textId="77777777" w:rsidR="00DE2D9A" w:rsidRPr="00E93F40" w:rsidRDefault="00DE2D9A" w:rsidP="00E93F40">
      <w:pPr>
        <w:spacing w:after="0" w:line="240" w:lineRule="auto"/>
        <w:jc w:val="both"/>
        <w:rPr>
          <w:rFonts w:ascii="Times New Roman" w:hAnsi="Times New Roman"/>
          <w:color w:val="000000" w:themeColor="text1"/>
          <w:sz w:val="16"/>
          <w:szCs w:val="16"/>
        </w:rPr>
      </w:pPr>
    </w:p>
    <w:p w14:paraId="4D92EA0F" w14:textId="6F83B465" w:rsidR="00DE2D9A" w:rsidRPr="00E93F40" w:rsidRDefault="00DE2D9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полет Boeing P-26 Peashooter (ХР-936). Новый истребитель представлял собой цельнометаллический расчалочный моноплан с неубирающимся шасси. Несомненно, при его проектировании использовались результаты, полученные при создании скоростного почтового самолета "Мономэйл", который впервые поднялся в воздух в мае 1930 г. ХР-936 имел цельнометаллический фюзеляж полумонококовой конструкции из алюминиевых сплавов. Состоял на вооружении ВВС США. Однако быстрый прогресс в авиации привел к тому, что самолет с проволочными стяжками крыльев, неубирающимися шасси и открытой кабиной быстро стал анахронизмом. Однако некоторые Р-26 оставались на вооружении до тех пор, пока Соединенные Штаты не вступили во Вторую мировую войну в декабре 1941 года (22252).</w:t>
      </w:r>
    </w:p>
    <w:p w14:paraId="182A1D04" w14:textId="77777777" w:rsidR="00DE2D9A" w:rsidRPr="00E93F40" w:rsidRDefault="00DE2D9A" w:rsidP="00E93F40">
      <w:pPr>
        <w:spacing w:after="0" w:line="240" w:lineRule="auto"/>
        <w:jc w:val="both"/>
        <w:rPr>
          <w:rFonts w:ascii="Times New Roman" w:hAnsi="Times New Roman"/>
          <w:color w:val="000000" w:themeColor="text1"/>
          <w:sz w:val="16"/>
          <w:szCs w:val="16"/>
        </w:rPr>
      </w:pPr>
    </w:p>
    <w:p w14:paraId="22A7D495" w14:textId="77777777" w:rsidR="00DE2D9A" w:rsidRPr="00E93F40" w:rsidRDefault="00DE2D9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марта 1932 Luftschiffbau Zeppelin начинает регулярные трансатлантические рейсы между Германией и Ресифи, Бразилия, на дирижабле Graf Zeppelin. Операции продлятся до 1936 года, в среднем один рейс туда и обратно в месяц (20803).</w:t>
      </w:r>
    </w:p>
    <w:p w14:paraId="1B931F77" w14:textId="77777777" w:rsidR="00DE2D9A" w:rsidRPr="00E93F40" w:rsidRDefault="00DE2D9A" w:rsidP="00E93F40">
      <w:pPr>
        <w:spacing w:after="0" w:line="240" w:lineRule="auto"/>
        <w:jc w:val="both"/>
        <w:rPr>
          <w:rFonts w:ascii="Times New Roman" w:hAnsi="Times New Roman"/>
          <w:color w:val="000000" w:themeColor="text1"/>
          <w:sz w:val="16"/>
          <w:szCs w:val="16"/>
        </w:rPr>
      </w:pPr>
    </w:p>
    <w:p w14:paraId="1B688B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20 марта 1932 германский дирижабль Граф Цеппелин стал совершать регулярные рейсы в Южную Америку (2100).</w:t>
      </w:r>
    </w:p>
    <w:p w14:paraId="14BE8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D02D4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9665F9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76E6A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марта 1932 года при испытании АПК-4 на И-12 стрельбой в воздухе при первом же выстреле разорвало сопло пушки (7470, 244).</w:t>
      </w:r>
    </w:p>
    <w:p w14:paraId="21ECA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921951" w14:textId="77777777" w:rsidR="00716F88" w:rsidRPr="00E93F40" w:rsidRDefault="00716F88" w:rsidP="00E93F40">
      <w:pPr>
        <w:pStyle w:val="rtejustify"/>
        <w:shd w:val="clear" w:color="auto" w:fill="FFFFFF"/>
        <w:spacing w:before="0" w:after="0"/>
        <w:rPr>
          <w:color w:val="000000" w:themeColor="text1"/>
          <w:sz w:val="16"/>
          <w:szCs w:val="16"/>
        </w:rPr>
      </w:pPr>
      <w:r w:rsidRPr="00E93F40">
        <w:rPr>
          <w:color w:val="000000" w:themeColor="text1"/>
          <w:sz w:val="16"/>
          <w:szCs w:val="16"/>
        </w:rPr>
        <w:t>21 марта 1932 при выполнении стрельбы в воздухе произошел разрыв диффузора левой пушки, сорвало ее обтекатель, и были повреждены тросы управления стабилизатором И-12. С большим трудом летчику-испытателю И.Ф. Козлову удалось посадить самолет на аэродром (19172).</w:t>
      </w:r>
    </w:p>
    <w:p w14:paraId="72E1E5AE" w14:textId="77777777" w:rsidR="00716F88" w:rsidRPr="00E93F40" w:rsidRDefault="00716F88" w:rsidP="00E93F40">
      <w:pPr>
        <w:pStyle w:val="rtejustify"/>
        <w:shd w:val="clear" w:color="auto" w:fill="FFFFFF"/>
        <w:spacing w:before="0" w:after="0"/>
        <w:rPr>
          <w:color w:val="000000" w:themeColor="text1"/>
          <w:sz w:val="16"/>
          <w:szCs w:val="16"/>
        </w:rPr>
      </w:pPr>
    </w:p>
    <w:p w14:paraId="5F353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марта 1932 И.Ф.Козлов поднялся на АНТ-23 (И-12) в воздух и вылетел на кунцевский полигон для боевых стрельб. В каждой пушке было по 2 снаряда: один в стволе, второй - в магазине. После первого же выстрела из левой пушки на высоте 1000 м произошел взрыв, повредивший самолет: срыв обтекателей, повреждение проводки управления стабилизатором. Одновременно автоматика подала в ствол второй снаряд. Разрыв диффузора был непонятен, т.к. до этого он выдержал 1000 выстрелов. И.Ф.Козлов сумел посадить на ЦА, переломил хвостовую балку, но машину спас. Наградили ОКЗв N 27. Испытания после ремонта продолжились и шли до 28 сентября 1932 (2072,70).</w:t>
      </w:r>
    </w:p>
    <w:p w14:paraId="17E4F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8D2E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марта 1932 Козлов вылетел на И-12 на Кунцевский полигон для опробования пушек в воздухе. Каждая АПК была снаряжена двумя снарядами — один находился в стволе, второй — в магазине. На высоте 1000 м после первого выстрела из левой пушки произошел разрыв сопла, сорвало обтекатели орудия, повредило проводку управления стабилизатором (стабилизатор на И-12 был управляемым, пилот мог в воздухе менять угол его установки). Во время происшествия пилот наблюдал разрыв снаряда на ожидаемой дистанции, одновременно автоматика подачи направила в ствол очередной снаряд. Разрыв сопла оказался совершенно неожиданным, до этого было проведено более 100 удачных выстрелов на земле.</w:t>
      </w:r>
    </w:p>
    <w:p w14:paraId="31306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Ситуация в воздухе складывалась угрожающая. Козлов, который видел развороченную обшивку и поврежденную хвостовую балку, понимал, что в любой момент машина может начать разрушаться. Прыгать с парашютом было опасно, не ровен час — угодишь в задний винт. Да и не принято было у испытателей покидать машину, которая держалась в воздухе. С величайшей осторожностью пилот развернулся и направил самолет в сторону Центрального аэродрома. При посадке хвостовая балка, выточенная из стальной трубы диаметром 170 мм, переломилась… За спасение И-12 Иван Фролович Козлов был награжден орденом Красной Звезды.</w:t>
      </w:r>
    </w:p>
    <w:p w14:paraId="29E79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аварией состоялось специальное совещание у Тухачевского. Пушки было решено доработать, увеличить толщину стенок сопла, усилить эти стенки дополнительными ребрами жесткости.</w:t>
      </w:r>
    </w:p>
    <w:p w14:paraId="35784C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в том же 1932 г. Курчевский создал для И-12 новую 76-мм пушку АПК-10. В июне 1932 г. для самолета И-12 (дублера) началось изготовление двух пушек АПК-10 с улучшенной баллистикой. Вес снаряда — 4,5 кг, заряд — 1,1 кг ПКО, начальная скорость — 400 м/с. Вес пушки — 85 кг. По плану они должны были быть закончены в сентябре 1932 г. Но тут возникли сложности с самолетом-носителем.</w:t>
      </w:r>
    </w:p>
    <w:p w14:paraId="631602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 некоторое время спустя был отремонтирован и совершил еще ряд полетов. Всего, до последнего старта 28 сентября 1932 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5E7047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(12091).</w:t>
      </w:r>
    </w:p>
    <w:p w14:paraId="14790D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F8F699"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марта 1932 г., после доработок, И—12 поднялся в воздух для проведения боевых стрельб. Каждую пушку зарядили двумя снарядами массой по 0,56 кг. На заводские испытания, высоте 1000 м И.Ф. Козлов выстрелил из левой пушки. В последующие минуты ему пришлось применить все свое мастерство, чтобы посадить поврежденную машину. При осмотре обнаружили, что разорвало диффузор, сорваны обтекатели, оборва</w:t>
      </w:r>
      <w:r w:rsidRPr="00E93F40">
        <w:rPr>
          <w:rFonts w:ascii="Times New Roman" w:hAnsi="Times New Roman"/>
          <w:color w:val="000000" w:themeColor="text1"/>
          <w:sz w:val="16"/>
          <w:szCs w:val="16"/>
        </w:rPr>
        <w:softHyphen/>
        <w:t>лись тросы управления стабилизатором. За спасение опытного самолета летчика наградили орденом Красной Звезды.</w:t>
      </w:r>
    </w:p>
    <w:p w14:paraId="47190D25"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отремонтировали, и испы</w:t>
      </w:r>
      <w:r w:rsidRPr="00E93F40">
        <w:rPr>
          <w:rFonts w:ascii="Times New Roman" w:hAnsi="Times New Roman"/>
          <w:color w:val="000000" w:themeColor="text1"/>
          <w:sz w:val="16"/>
          <w:szCs w:val="16"/>
        </w:rPr>
        <w:softHyphen/>
        <w:t>тания продолжились до 28 сентября 1932 г. Затем И—12 разобрали и перевез</w:t>
      </w:r>
      <w:r w:rsidRPr="00E93F40">
        <w:rPr>
          <w:rFonts w:ascii="Times New Roman" w:hAnsi="Times New Roman"/>
          <w:color w:val="000000" w:themeColor="text1"/>
          <w:sz w:val="16"/>
          <w:szCs w:val="16"/>
        </w:rPr>
        <w:softHyphen/>
        <w:t>ли на завод для укрепления стыков в тру</w:t>
      </w:r>
      <w:r w:rsidRPr="00E93F40">
        <w:rPr>
          <w:rFonts w:ascii="Times New Roman" w:hAnsi="Times New Roman"/>
          <w:color w:val="000000" w:themeColor="text1"/>
          <w:sz w:val="16"/>
          <w:szCs w:val="16"/>
        </w:rPr>
        <w:softHyphen/>
        <w:t>бах-балках и доводки АПК. Больше на испытания самолет не передавался.</w:t>
      </w:r>
    </w:p>
    <w:p w14:paraId="271A1BD0"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свою «жизнь» АНТ—23 совершил 21 полет, пробыв в воздухе почти 9 часов. Испытания самолета затянулись, а в июне 1934 года работы по этой необычной машине прекратили (23474).</w:t>
      </w:r>
    </w:p>
    <w:p w14:paraId="2FA9BD1A"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2B1EEF45" w14:textId="77777777" w:rsidR="00737884" w:rsidRPr="00142305" w:rsidRDefault="00737884" w:rsidP="007378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марта 1932 г. после ремонт И-12, который занял всю зиму, состоялась первая стрельба в воздухе. Первый же выстрел разорвал левую пушку, сорвал её обтекатель и повредил систему управления. Козлов чудом смог посадить и без того плохой в управлении самолёт — хорошо, что левая хвостовая балка сломалась уже на пробеге. За это он был награждён орденом Красной Звезды.</w:t>
      </w:r>
    </w:p>
    <w:p w14:paraId="5CCDFD89" w14:textId="77777777" w:rsidR="00737884" w:rsidRPr="00142305" w:rsidRDefault="00737884" w:rsidP="007378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и без этого неспособный догнать ни один современный бомбардировщик самолёт никому не был нужен, и к тому же он был признан ЦАГИ «опасным для полёта» в силу недостатков аэродинамической компоновки. Туполевцы ещё использовали силовую установку «тяни-толкай», но и её раскритиковали за потерю тяги вторым мотором (25056).</w:t>
      </w:r>
    </w:p>
    <w:p w14:paraId="658457F2" w14:textId="77777777" w:rsidR="00737884" w:rsidRPr="00142305" w:rsidRDefault="00737884" w:rsidP="00737884">
      <w:pPr>
        <w:spacing w:after="0" w:line="240" w:lineRule="auto"/>
        <w:jc w:val="both"/>
        <w:rPr>
          <w:rFonts w:ascii="Times New Roman" w:hAnsi="Times New Roman"/>
          <w:color w:val="0070C0"/>
          <w:sz w:val="16"/>
          <w:szCs w:val="16"/>
        </w:rPr>
      </w:pPr>
    </w:p>
    <w:p w14:paraId="212EBD53" w14:textId="77777777" w:rsidR="00737884" w:rsidRPr="00142305" w:rsidRDefault="00737884" w:rsidP="007378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марта 1932 г. л Козлов вылетел на Кунцевский полигон для проведения испытаний АПК в воздухе. Каждая пушка была заряжена двумя снарядами: один находился в стволе, второй — в магазине. На высоте 1000 метров пилот произвел выстрел из левой пушки. При этом произошел разрыв диффузора, срыв обтекателей орудия и повреждение проводки управления стабилизатором, который на И-12 был переставным. Одновременно автоматика подачи дослала в ствол очередной снаряд. Разрыв диффузора оказался совершенно неожиданным, так как до этого было проведено более 100 успешных наземных выстрелов. Ситуация в воздухе стала критической. Козлов видел поврежденную обшивку, разрушенную хвостовую балку и понимал, что в любой момент самолет может развалиться. Прыгать с парашютом было опасно из-за высокой вероятности попасть в задний винт, да и у испытателей не было принято покидать самолет, пока он оставался в воздухе. С предельной осторожностью пилот развернул самолет в сторону Центрального аэродрома. При посадке хвостовая балка сломалась, но опытный истребитель удалось спасти. За этот подвиг Козлов был награжден 20 мая 1932 года орденом Красной Звезды за номером 27, которым он очень гордился.</w:t>
      </w:r>
    </w:p>
    <w:p w14:paraId="1921EDE6" w14:textId="77777777" w:rsidR="00737884" w:rsidRPr="00142305" w:rsidRDefault="00737884" w:rsidP="007378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аварии состоялось специальное совещание у Тухачевского, на котором было принято решение доработать пушки: увеличить толщину стенок диффузора и усилить их дополнительными ребрами жесткости. И-12 был отремонтирован и совершил еще несколько полетов. Всего до последнего вылета, состоявшегося 28 сентября 1932 года, самолет поднимался в воздух 21 раз. В дальнейшем полеты было решено прекратить, так как количество доработок постоянно росло, и завершение испытаний казалось невозможным. Практически на всех режимах полета пилоты отмечали вибрацию труб. Полученные характеристики также не удовлетворяли требованиям: И-12 развивал максимальную скорость всего 259 км/ч. Самолет был разобран. Двигатели передали на склад ОЭЛ ИД (прообраз современных летно-испытательных станций) на Ходынке, консоли крыла вернули в сборочный цех завода ЗОК, а центроплан с кабиной отправили в Подлипки на завод №8, где предполагалось проводить доработку пушек. (25642).</w:t>
      </w:r>
    </w:p>
    <w:p w14:paraId="45B054BD" w14:textId="77777777" w:rsidR="00737884" w:rsidRPr="00142305" w:rsidRDefault="00737884" w:rsidP="00737884">
      <w:pPr>
        <w:spacing w:after="0" w:line="240" w:lineRule="auto"/>
        <w:jc w:val="both"/>
        <w:rPr>
          <w:rFonts w:ascii="Times New Roman" w:hAnsi="Times New Roman"/>
          <w:color w:val="0070C0"/>
          <w:sz w:val="16"/>
          <w:szCs w:val="16"/>
        </w:rPr>
      </w:pPr>
    </w:p>
    <w:p w14:paraId="03185BE0"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марта 1932 УкрНИИ ДВС получил наименование Украинский научно-исследовательский авиадизельный институт (УНИАДИ), подчиненный Главному управлению Гражданского воздушного флота (ГУ ГВФ). Первоначально Лаборатория насчитывала 45 сотрудников и имела всего шесть станков. Ввиду важности поученного задания и численность сотрудников, и материальная база быстро росли. В 1932 г. в УНИАДИ работало уже около 220 человек. Институту необходима была опытная база, и по решению СНК УССР ему были переданы производственные площади завода им. Лозовского, на которых разместились механический, литейный и сборочный цехи, испытательная станция, конструкторское бюро, технологическая группа, лаборатория. На 1 января 1934 г. коллектив УНИАДИ составлял уже 399 человек (19149).</w:t>
      </w:r>
    </w:p>
    <w:p w14:paraId="58894FE1" w14:textId="77777777" w:rsidR="00716F88" w:rsidRPr="00E93F40" w:rsidRDefault="00716F88" w:rsidP="00E93F40">
      <w:pPr>
        <w:spacing w:after="0" w:line="240" w:lineRule="auto"/>
        <w:jc w:val="both"/>
        <w:rPr>
          <w:rFonts w:ascii="Times New Roman" w:hAnsi="Times New Roman"/>
          <w:color w:val="000000" w:themeColor="text1"/>
          <w:sz w:val="16"/>
          <w:szCs w:val="16"/>
        </w:rPr>
      </w:pPr>
    </w:p>
    <w:p w14:paraId="26CA4ABA"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9A17FD6"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B20C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марта 1932 года вышел приказ по ВМС N 002:</w:t>
      </w:r>
    </w:p>
    <w:p w14:paraId="6092D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производства окончательных испытаний сконструированной Остехбюро стандартной антенной мины (мина обр. 1931 года с антенным взрывателем) назначаю комиссию _.</w:t>
      </w:r>
    </w:p>
    <w:p w14:paraId="7D970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провести на морских силах Черного моря в апреле 1932 года.</w:t>
      </w:r>
    </w:p>
    <w:p w14:paraId="2535D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производства войсковых испытаний сконструированной Остехбюро авиационной мины ВОМИЗА-100 назначаю комиссию _.</w:t>
      </w:r>
    </w:p>
    <w:p w14:paraId="1D77C3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провести на морских силах Черного моря в период с 1 по 15 апреля 1932 года.</w:t>
      </w:r>
    </w:p>
    <w:p w14:paraId="169C2C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ВМС Орлов) (3786,43).</w:t>
      </w:r>
    </w:p>
    <w:p w14:paraId="00652A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111410"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E3B775D"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5F12F0" w14:textId="371358B3" w:rsidR="00716F88" w:rsidRPr="00E93F40" w:rsidRDefault="00716F88" w:rsidP="00E93F40">
      <w:pPr>
        <w:pStyle w:val="ae"/>
        <w:spacing w:before="0" w:after="0"/>
        <w:jc w:val="both"/>
        <w:rPr>
          <w:color w:val="000000" w:themeColor="text1"/>
          <w:sz w:val="16"/>
          <w:szCs w:val="16"/>
          <w:lang w:eastAsia="ru-RU"/>
        </w:rPr>
      </w:pPr>
      <w:r w:rsidRPr="00E93F40">
        <w:rPr>
          <w:color w:val="000000" w:themeColor="text1"/>
          <w:sz w:val="16"/>
          <w:szCs w:val="16"/>
        </w:rPr>
        <w:t>21 марта 1932 года, в Сталинграде был взорван главный православный храм Царицына</w:t>
      </w:r>
      <w:r w:rsidR="007C1411" w:rsidRPr="00E93F40">
        <w:rPr>
          <w:color w:val="000000" w:themeColor="text1"/>
          <w:sz w:val="16"/>
          <w:szCs w:val="16"/>
        </w:rPr>
        <w:t xml:space="preserve"> </w:t>
      </w:r>
      <w:r w:rsidRPr="00E93F40">
        <w:rPr>
          <w:color w:val="000000" w:themeColor="text1"/>
          <w:sz w:val="16"/>
          <w:szCs w:val="16"/>
        </w:rPr>
        <w:t>— кафедральный собор Александра Невского.</w:t>
      </w:r>
    </w:p>
    <w:p w14:paraId="1C664719" w14:textId="77777777" w:rsidR="00716F88" w:rsidRPr="00E93F40" w:rsidRDefault="00716F88" w:rsidP="00E93F40">
      <w:pPr>
        <w:pStyle w:val="ae"/>
        <w:spacing w:before="0" w:after="0"/>
        <w:jc w:val="both"/>
        <w:rPr>
          <w:color w:val="000000" w:themeColor="text1"/>
          <w:sz w:val="16"/>
          <w:szCs w:val="16"/>
        </w:rPr>
      </w:pPr>
      <w:r w:rsidRPr="00E93F40">
        <w:rPr>
          <w:color w:val="000000" w:themeColor="text1"/>
          <w:sz w:val="16"/>
          <w:szCs w:val="16"/>
        </w:rPr>
        <w:t>22 апреля 1901 года преосвященный Гермоген, епископ Вольский, произвёл закладку собора в честь Александра Невского».</w:t>
      </w:r>
    </w:p>
    <w:p w14:paraId="1AC24F9E" w14:textId="75770BDC" w:rsidR="00716F88" w:rsidRPr="00E93F40" w:rsidRDefault="00716F88" w:rsidP="00E93F40">
      <w:pPr>
        <w:pStyle w:val="ae"/>
        <w:spacing w:before="0" w:after="0"/>
        <w:jc w:val="both"/>
        <w:rPr>
          <w:color w:val="000000" w:themeColor="text1"/>
          <w:sz w:val="16"/>
          <w:szCs w:val="16"/>
        </w:rPr>
      </w:pPr>
      <w:r w:rsidRPr="00E93F40">
        <w:rPr>
          <w:color w:val="000000" w:themeColor="text1"/>
          <w:sz w:val="16"/>
          <w:szCs w:val="16"/>
        </w:rPr>
        <w:t>По воспоминаниям старожилов, освещение храма состоялось в 1916 году.</w:t>
      </w:r>
      <w:r w:rsidR="007C1411" w:rsidRPr="00E93F40">
        <w:rPr>
          <w:color w:val="000000" w:themeColor="text1"/>
          <w:sz w:val="16"/>
          <w:szCs w:val="16"/>
        </w:rPr>
        <w:t xml:space="preserve"> </w:t>
      </w:r>
      <w:r w:rsidRPr="00E93F40">
        <w:rPr>
          <w:color w:val="000000" w:themeColor="text1"/>
          <w:sz w:val="16"/>
          <w:szCs w:val="16"/>
        </w:rPr>
        <w:t>Это было огромное сооружение</w:t>
      </w:r>
      <w:r w:rsidR="007C1411" w:rsidRPr="00E93F40">
        <w:rPr>
          <w:color w:val="000000" w:themeColor="text1"/>
          <w:sz w:val="16"/>
          <w:szCs w:val="16"/>
        </w:rPr>
        <w:t xml:space="preserve"> </w:t>
      </w:r>
      <w:r w:rsidRPr="00E93F40">
        <w:rPr>
          <w:color w:val="000000" w:themeColor="text1"/>
          <w:sz w:val="16"/>
          <w:szCs w:val="16"/>
        </w:rPr>
        <w:t>— 57,5 метра в высоту (с 18-тиэтажный дом), 51 метр в длину и 47, 5 метра в ширину.</w:t>
      </w:r>
    </w:p>
    <w:p w14:paraId="2B752975" w14:textId="77777777" w:rsidR="00716F88" w:rsidRPr="00E93F40" w:rsidRDefault="00716F88" w:rsidP="00E93F40">
      <w:pPr>
        <w:pStyle w:val="ae"/>
        <w:spacing w:before="0" w:after="0"/>
        <w:jc w:val="both"/>
        <w:rPr>
          <w:color w:val="000000" w:themeColor="text1"/>
          <w:sz w:val="16"/>
          <w:szCs w:val="16"/>
        </w:rPr>
      </w:pPr>
      <w:r w:rsidRPr="00E93F40">
        <w:rPr>
          <w:color w:val="000000" w:themeColor="text1"/>
          <w:sz w:val="16"/>
          <w:szCs w:val="16"/>
        </w:rPr>
        <w:t>В 1932 году центр Нижне-Волжского края был переведён из Саратова в Сталинград. Началась реконструкция нового краевого центра. А потому горсовет принял решение: взорвать главный собор города, чтобы «получить значительный дефицит стройматериалов от разборки».</w:t>
      </w:r>
    </w:p>
    <w:p w14:paraId="48C424CD" w14:textId="717B1FE9" w:rsidR="00716F88" w:rsidRPr="00E93F40" w:rsidRDefault="00716F88" w:rsidP="00E93F40">
      <w:pPr>
        <w:pStyle w:val="ae"/>
        <w:spacing w:before="0" w:after="0"/>
        <w:jc w:val="both"/>
        <w:rPr>
          <w:color w:val="000000" w:themeColor="text1"/>
          <w:sz w:val="16"/>
          <w:szCs w:val="16"/>
        </w:rPr>
      </w:pPr>
      <w:r w:rsidRPr="00E93F40">
        <w:rPr>
          <w:color w:val="000000" w:themeColor="text1"/>
          <w:sz w:val="16"/>
          <w:szCs w:val="16"/>
        </w:rPr>
        <w:t>Собор соседствовал с жилыми домами, выходящими на главную площадь города, взорвать его было очень сложно технически. К ответственному заданию привлекли ведущих специалистов – начальника производственного сектора Московского отделения «Взрывпром»</w:t>
      </w:r>
      <w:r w:rsidR="007C1411" w:rsidRPr="00E93F40">
        <w:rPr>
          <w:color w:val="000000" w:themeColor="text1"/>
          <w:sz w:val="16"/>
          <w:szCs w:val="16"/>
        </w:rPr>
        <w:t xml:space="preserve"> </w:t>
      </w:r>
      <w:r w:rsidRPr="00E93F40">
        <w:rPr>
          <w:color w:val="000000" w:themeColor="text1"/>
          <w:sz w:val="16"/>
          <w:szCs w:val="16"/>
        </w:rPr>
        <w:t>Александра Назаровича Самодурова</w:t>
      </w:r>
      <w:r w:rsidR="007C1411" w:rsidRPr="00E93F40">
        <w:rPr>
          <w:color w:val="000000" w:themeColor="text1"/>
          <w:sz w:val="16"/>
          <w:szCs w:val="16"/>
        </w:rPr>
        <w:t xml:space="preserve"> </w:t>
      </w:r>
      <w:r w:rsidRPr="00E93F40">
        <w:rPr>
          <w:color w:val="000000" w:themeColor="text1"/>
          <w:sz w:val="16"/>
          <w:szCs w:val="16"/>
        </w:rPr>
        <w:t>и начальника взрывных работ Нижне-Волжского края</w:t>
      </w:r>
      <w:r w:rsidR="007C1411" w:rsidRPr="00E93F40">
        <w:rPr>
          <w:color w:val="000000" w:themeColor="text1"/>
          <w:sz w:val="16"/>
          <w:szCs w:val="16"/>
        </w:rPr>
        <w:t xml:space="preserve"> </w:t>
      </w:r>
      <w:r w:rsidRPr="00E93F40">
        <w:rPr>
          <w:color w:val="000000" w:themeColor="text1"/>
          <w:sz w:val="16"/>
          <w:szCs w:val="16"/>
        </w:rPr>
        <w:t>Прокофия Фёдоровича Жаркова (17259).</w:t>
      </w:r>
    </w:p>
    <w:p w14:paraId="27C4A843" w14:textId="77777777" w:rsidR="00716F88" w:rsidRPr="00E93F40" w:rsidRDefault="00716F8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77D95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6DAF2D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A320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 22 марта 1932 в ходе испытаний на 22 заводе самолета Р6 N 2201 (эталон на 1932 год), которые проходили с 23 января по 7 апреля 1932, было выполнено 2 полета на определение горизонтальных скоростей у земли с выпущенной и убранной башней с нагрузкой 2560 кг (3003).</w:t>
      </w:r>
    </w:p>
    <w:p w14:paraId="552025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4F78A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марта 1932 зам. начальника ВВС Алкснис писал письмо № 12/0302с председателю РВС Тухачевскому.</w:t>
      </w:r>
    </w:p>
    <w:p w14:paraId="7CD3CA1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Доношу, что сконструированный ЦАГИ автожир во время испытательных полетов потерпел аварию.</w:t>
      </w:r>
    </w:p>
    <w:p w14:paraId="63FC11F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проводилось опытным летчиком НИИ Корзинщиковым. После взлета на высоте 50 метров автожир стал непроизвольно набирать высоту, затем потерял скорость, свалился на крыло и на нос и только у самой если летчику удалось вырвать его из пикирования (6780, 42).</w:t>
      </w:r>
    </w:p>
    <w:p w14:paraId="584A33A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188223"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марта 1932 С.А. Меженинов направил письмо № 12/0302с председа</w:t>
      </w:r>
      <w:r w:rsidRPr="00E93F40">
        <w:rPr>
          <w:rFonts w:ascii="Times New Roman" w:hAnsi="Times New Roman"/>
          <w:color w:val="000000" w:themeColor="text1"/>
          <w:sz w:val="16"/>
          <w:szCs w:val="16"/>
        </w:rPr>
        <w:softHyphen/>
        <w:t>телю Реввоенсовета К.В. Ворошилову и двум его заместителям - М.Н. Тухачевскому и Я.Б. Гамарнику: «Доношу, что сконструирован</w:t>
      </w:r>
      <w:r w:rsidRPr="00E93F40">
        <w:rPr>
          <w:rFonts w:ascii="Times New Roman" w:hAnsi="Times New Roman"/>
          <w:color w:val="000000" w:themeColor="text1"/>
          <w:sz w:val="16"/>
          <w:szCs w:val="16"/>
        </w:rPr>
        <w:softHyphen/>
        <w:t>ный ЦАГИ автожир во время испытатель</w:t>
      </w:r>
      <w:r w:rsidRPr="00E93F40">
        <w:rPr>
          <w:rFonts w:ascii="Times New Roman" w:hAnsi="Times New Roman"/>
          <w:color w:val="000000" w:themeColor="text1"/>
          <w:sz w:val="16"/>
          <w:szCs w:val="16"/>
        </w:rPr>
        <w:softHyphen/>
        <w:t>ных полетов потерпел аварию. Испытание проводилось опытным летчиком, выделен</w:t>
      </w:r>
      <w:r w:rsidRPr="00E93F40">
        <w:rPr>
          <w:rFonts w:ascii="Times New Roman" w:hAnsi="Times New Roman"/>
          <w:color w:val="000000" w:themeColor="text1"/>
          <w:sz w:val="16"/>
          <w:szCs w:val="16"/>
        </w:rPr>
        <w:softHyphen/>
        <w:t>ным Научно-Испытательным Институтом Корзинщиковым. После взлета, на высоте 50 метров автожир стал непроизвольно наби</w:t>
      </w:r>
      <w:r w:rsidRPr="00E93F40">
        <w:rPr>
          <w:rFonts w:ascii="Times New Roman" w:hAnsi="Times New Roman"/>
          <w:color w:val="000000" w:themeColor="text1"/>
          <w:sz w:val="16"/>
          <w:szCs w:val="16"/>
        </w:rPr>
        <w:softHyphen/>
        <w:t>рать высоту, затем потерял скорость, сва</w:t>
      </w:r>
      <w:r w:rsidRPr="00E93F40">
        <w:rPr>
          <w:rFonts w:ascii="Times New Roman" w:hAnsi="Times New Roman"/>
          <w:color w:val="000000" w:themeColor="text1"/>
          <w:sz w:val="16"/>
          <w:szCs w:val="16"/>
        </w:rPr>
        <w:softHyphen/>
        <w:t>лился на крыло и на нос и только у самой земли летчику удалось вырвать его из пики</w:t>
      </w:r>
      <w:r w:rsidRPr="00E93F40">
        <w:rPr>
          <w:rFonts w:ascii="Times New Roman" w:hAnsi="Times New Roman"/>
          <w:color w:val="000000" w:themeColor="text1"/>
          <w:sz w:val="16"/>
          <w:szCs w:val="16"/>
        </w:rPr>
        <w:softHyphen/>
        <w:t>рования. Поломаны шасси, винт, подмотор</w:t>
      </w:r>
      <w:r w:rsidRPr="00E93F40">
        <w:rPr>
          <w:rFonts w:ascii="Times New Roman" w:hAnsi="Times New Roman"/>
          <w:color w:val="000000" w:themeColor="text1"/>
          <w:sz w:val="16"/>
          <w:szCs w:val="16"/>
        </w:rPr>
        <w:softHyphen/>
        <w:t>ная рама, крылья и поврежден один цилиндр. Летчик Корзинщиков получил ранения». До конца разобраться в причинах этого инци</w:t>
      </w:r>
      <w:r w:rsidRPr="00E93F40">
        <w:rPr>
          <w:rFonts w:ascii="Times New Roman" w:hAnsi="Times New Roman"/>
          <w:color w:val="000000" w:themeColor="text1"/>
          <w:sz w:val="16"/>
          <w:szCs w:val="16"/>
        </w:rPr>
        <w:softHyphen/>
        <w:t>дента, так сказать, имевшего место в полдень 19 марта 1932 года на Центральном аэродро</w:t>
      </w:r>
      <w:r w:rsidRPr="00E93F40">
        <w:rPr>
          <w:rFonts w:ascii="Times New Roman" w:hAnsi="Times New Roman"/>
          <w:color w:val="000000" w:themeColor="text1"/>
          <w:sz w:val="16"/>
          <w:szCs w:val="16"/>
        </w:rPr>
        <w:softHyphen/>
        <w:t>ме, не удалось. Мнения разошлись. Каждый из участников и очевидцев аварии по-своему увидел происходящее.</w:t>
      </w:r>
    </w:p>
    <w:p w14:paraId="58455759"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протокола опроса С.А. Корзинщикова: «Получив задание произвести замер скоро</w:t>
      </w:r>
      <w:r w:rsidRPr="00E93F40">
        <w:rPr>
          <w:rFonts w:ascii="Times New Roman" w:hAnsi="Times New Roman"/>
          <w:color w:val="000000" w:themeColor="text1"/>
          <w:sz w:val="16"/>
          <w:szCs w:val="16"/>
        </w:rPr>
        <w:softHyphen/>
        <w:t>сти на мерном километре я, осмотрев Авто</w:t>
      </w:r>
      <w:r w:rsidRPr="00E93F40">
        <w:rPr>
          <w:rFonts w:ascii="Times New Roman" w:hAnsi="Times New Roman"/>
          <w:color w:val="000000" w:themeColor="text1"/>
          <w:sz w:val="16"/>
          <w:szCs w:val="16"/>
        </w:rPr>
        <w:softHyphen/>
        <w:t>жир и опробовав мотор, в 12 часов 5 мин. поднялся в воздух. Взлет был произведен нормально и я начал подготовку замеру ско</w:t>
      </w:r>
      <w:r w:rsidRPr="00E93F40">
        <w:rPr>
          <w:rFonts w:ascii="Times New Roman" w:hAnsi="Times New Roman"/>
          <w:color w:val="000000" w:themeColor="text1"/>
          <w:sz w:val="16"/>
          <w:szCs w:val="16"/>
        </w:rPr>
        <w:softHyphen/>
        <w:t>ростей на мерном километре. Я дал полный газ и начал разгонять Автожир. При уве</w:t>
      </w:r>
      <w:r w:rsidRPr="00E93F40">
        <w:rPr>
          <w:rFonts w:ascii="Times New Roman" w:hAnsi="Times New Roman"/>
          <w:color w:val="000000" w:themeColor="text1"/>
          <w:sz w:val="16"/>
          <w:szCs w:val="16"/>
        </w:rPr>
        <w:softHyphen/>
        <w:t>личении скорости более 130 км/ч у Автожи</w:t>
      </w:r>
      <w:r w:rsidRPr="00E93F40">
        <w:rPr>
          <w:rFonts w:ascii="Times New Roman" w:hAnsi="Times New Roman"/>
          <w:color w:val="000000" w:themeColor="text1"/>
          <w:sz w:val="16"/>
          <w:szCs w:val="16"/>
        </w:rPr>
        <w:softHyphen/>
        <w:t>ра появились вибрации /встряхивание всего аппарата/ которые нарастали с увеличени</w:t>
      </w:r>
      <w:r w:rsidRPr="00E93F40">
        <w:rPr>
          <w:rFonts w:ascii="Times New Roman" w:hAnsi="Times New Roman"/>
          <w:color w:val="000000" w:themeColor="text1"/>
          <w:sz w:val="16"/>
          <w:szCs w:val="16"/>
        </w:rPr>
        <w:softHyphen/>
        <w:t>ем скорости. Одновременно обороты рото</w:t>
      </w:r>
      <w:r w:rsidRPr="00E93F40">
        <w:rPr>
          <w:rFonts w:ascii="Times New Roman" w:hAnsi="Times New Roman"/>
          <w:color w:val="000000" w:themeColor="text1"/>
          <w:sz w:val="16"/>
          <w:szCs w:val="16"/>
        </w:rPr>
        <w:softHyphen/>
        <w:t>ра начинали падать, и при скорости около 150 км/ч обороты со 145 падали до 118 об/м</w:t>
      </w:r>
    </w:p>
    <w:p w14:paraId="7734DAFA"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Сделав три попытки разогнать до максиму</w:t>
      </w:r>
      <w:r w:rsidRPr="00E93F40">
        <w:rPr>
          <w:rFonts w:ascii="Times New Roman" w:hAnsi="Times New Roman"/>
          <w:color w:val="000000" w:themeColor="text1"/>
          <w:sz w:val="16"/>
          <w:szCs w:val="16"/>
        </w:rPr>
        <w:softHyphen/>
        <w:t>ма Автожир и прекращая их из-за падения оборотов ротора и вибраций решил произве</w:t>
      </w:r>
      <w:r w:rsidRPr="00E93F40">
        <w:rPr>
          <w:rFonts w:ascii="Times New Roman" w:hAnsi="Times New Roman"/>
          <w:color w:val="000000" w:themeColor="text1"/>
          <w:sz w:val="16"/>
          <w:szCs w:val="16"/>
        </w:rPr>
        <w:softHyphen/>
        <w:t>сти посадку. Мною было замечено, что при разгоне лопасти ротора вращаются не в одной плоскости, а имеют диапазон 0,75 метра. Подойдя к посадочной полосе я, сба</w:t>
      </w:r>
      <w:r w:rsidRPr="00E93F40">
        <w:rPr>
          <w:rFonts w:ascii="Times New Roman" w:hAnsi="Times New Roman"/>
          <w:color w:val="000000" w:themeColor="text1"/>
          <w:sz w:val="16"/>
          <w:szCs w:val="16"/>
        </w:rPr>
        <w:softHyphen/>
        <w:t>вив газ, начал выкручивать стабилизатор и сделал 1-1,5 оборота. Аппарат резко стал кабрировать /идти на петлю/ и не реагиро</w:t>
      </w:r>
      <w:r w:rsidRPr="00E93F40">
        <w:rPr>
          <w:rFonts w:ascii="Times New Roman" w:hAnsi="Times New Roman"/>
          <w:color w:val="000000" w:themeColor="text1"/>
          <w:sz w:val="16"/>
          <w:szCs w:val="16"/>
        </w:rPr>
        <w:softHyphen/>
        <w:t>вал на данную до предела от себя ручку. Вы</w:t>
      </w:r>
      <w:r w:rsidRPr="00E93F40">
        <w:rPr>
          <w:rFonts w:ascii="Times New Roman" w:hAnsi="Times New Roman"/>
          <w:color w:val="000000" w:themeColor="text1"/>
          <w:sz w:val="16"/>
          <w:szCs w:val="16"/>
        </w:rPr>
        <w:softHyphen/>
        <w:t>сота у меня была около 150 метров. Задрав</w:t>
      </w:r>
      <w:r w:rsidRPr="00E93F40">
        <w:rPr>
          <w:rFonts w:ascii="Times New Roman" w:hAnsi="Times New Roman"/>
          <w:color w:val="000000" w:themeColor="text1"/>
          <w:sz w:val="16"/>
          <w:szCs w:val="16"/>
        </w:rPr>
        <w:softHyphen/>
        <w:t>шись и потеряв скорость, аппарат свалился направо и на нос. Ручку я держал в крайнем переднем положении все время. Дальнейшие эволюции, которые произвел автожир, я не уловил. Непосредственно перед ударом о землю я отпустил управление и уперся рука</w:t>
      </w:r>
      <w:r w:rsidRPr="00E93F40">
        <w:rPr>
          <w:rFonts w:ascii="Times New Roman" w:hAnsi="Times New Roman"/>
          <w:color w:val="000000" w:themeColor="text1"/>
          <w:sz w:val="16"/>
          <w:szCs w:val="16"/>
        </w:rPr>
        <w:softHyphen/>
        <w:t>ми в борт. Вылезая из кабины, я заметил, что ротор вращается еще довольно интен</w:t>
      </w:r>
      <w:r w:rsidRPr="00E93F40">
        <w:rPr>
          <w:rFonts w:ascii="Times New Roman" w:hAnsi="Times New Roman"/>
          <w:color w:val="000000" w:themeColor="text1"/>
          <w:sz w:val="16"/>
          <w:szCs w:val="16"/>
        </w:rPr>
        <w:softHyphen/>
        <w:t>сивно и один трос соединения лопастей обо</w:t>
      </w:r>
      <w:r w:rsidRPr="00E93F40">
        <w:rPr>
          <w:rFonts w:ascii="Times New Roman" w:hAnsi="Times New Roman"/>
          <w:color w:val="000000" w:themeColor="text1"/>
          <w:sz w:val="16"/>
          <w:szCs w:val="16"/>
        </w:rPr>
        <w:softHyphen/>
        <w:t>рван. Обороты ротора я не зафиксировал. В какой момент произошел обрыв троса, я не заметил...</w:t>
      </w:r>
    </w:p>
    <w:p w14:paraId="41C1AD5E"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Вибрации были обнаружены при пробном полете после балансировки ротора помимо увеличенной скорости и на правых глубоких виражах. Об этом были поставлены в извест</w:t>
      </w:r>
      <w:r w:rsidRPr="00E93F40">
        <w:rPr>
          <w:rFonts w:ascii="Times New Roman" w:hAnsi="Times New Roman"/>
          <w:color w:val="000000" w:themeColor="text1"/>
          <w:sz w:val="16"/>
          <w:szCs w:val="16"/>
        </w:rPr>
        <w:softHyphen/>
        <w:t>ность инженеры Филин НИИ и Кузнецов ЦАГИ, ведущие испытание».</w:t>
      </w:r>
    </w:p>
    <w:p w14:paraId="3E24D56D"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протокола опроса М.Ф. Логачева: «Мною было получено приказание подгото</w:t>
      </w:r>
      <w:r w:rsidRPr="00E93F40">
        <w:rPr>
          <w:rFonts w:ascii="Times New Roman" w:hAnsi="Times New Roman"/>
          <w:color w:val="000000" w:themeColor="text1"/>
          <w:sz w:val="16"/>
          <w:szCs w:val="16"/>
        </w:rPr>
        <w:softHyphen/>
        <w:t>вить Автожир к полету. Проверив матери</w:t>
      </w:r>
      <w:r w:rsidRPr="00E93F40">
        <w:rPr>
          <w:rFonts w:ascii="Times New Roman" w:hAnsi="Times New Roman"/>
          <w:color w:val="000000" w:themeColor="text1"/>
          <w:sz w:val="16"/>
          <w:szCs w:val="16"/>
        </w:rPr>
        <w:softHyphen/>
        <w:t>альную часть, налив масло и проверив бен</w:t>
      </w:r>
      <w:r w:rsidRPr="00E93F40">
        <w:rPr>
          <w:rFonts w:ascii="Times New Roman" w:hAnsi="Times New Roman"/>
          <w:color w:val="000000" w:themeColor="text1"/>
          <w:sz w:val="16"/>
          <w:szCs w:val="16"/>
        </w:rPr>
        <w:softHyphen/>
        <w:t>зин, я запустил мотор совместно с техником ЦАГИ т. Берг и опробовал. Убедившись в ис</w:t>
      </w:r>
      <w:r w:rsidRPr="00E93F40">
        <w:rPr>
          <w:rFonts w:ascii="Times New Roman" w:hAnsi="Times New Roman"/>
          <w:color w:val="000000" w:themeColor="text1"/>
          <w:sz w:val="16"/>
          <w:szCs w:val="16"/>
        </w:rPr>
        <w:softHyphen/>
        <w:t>правности мотора и Автожира я выпустил инструктора-летчика Корзинщикова в воз</w:t>
      </w:r>
      <w:r w:rsidRPr="00E93F40">
        <w:rPr>
          <w:rFonts w:ascii="Times New Roman" w:hAnsi="Times New Roman"/>
          <w:color w:val="000000" w:themeColor="text1"/>
          <w:sz w:val="16"/>
          <w:szCs w:val="16"/>
        </w:rPr>
        <w:softHyphen/>
        <w:t>дух. Поднявшись и сделав три круга над аэро</w:t>
      </w:r>
      <w:r w:rsidRPr="00E93F40">
        <w:rPr>
          <w:rFonts w:ascii="Times New Roman" w:hAnsi="Times New Roman"/>
          <w:color w:val="000000" w:themeColor="text1"/>
          <w:sz w:val="16"/>
          <w:szCs w:val="16"/>
        </w:rPr>
        <w:softHyphen/>
        <w:t>дромом т. Корзинщиков зашел против ветра и стал снижаться. Пропланировав не</w:t>
      </w:r>
      <w:r w:rsidRPr="00E93F40">
        <w:rPr>
          <w:rFonts w:ascii="Times New Roman" w:hAnsi="Times New Roman"/>
          <w:color w:val="000000" w:themeColor="text1"/>
          <w:sz w:val="16"/>
          <w:szCs w:val="16"/>
        </w:rPr>
        <w:softHyphen/>
        <w:t xml:space="preserve">большое время - </w:t>
      </w:r>
      <w:r w:rsidRPr="00E93F40">
        <w:rPr>
          <w:rFonts w:ascii="Times New Roman" w:hAnsi="Times New Roman"/>
          <w:color w:val="000000" w:themeColor="text1"/>
          <w:sz w:val="16"/>
          <w:szCs w:val="16"/>
        </w:rPr>
        <w:lastRenderedPageBreak/>
        <w:t>около 30 секунд Автожир резко задрался, свалился направо сделав по</w:t>
      </w:r>
      <w:r w:rsidRPr="00E93F40">
        <w:rPr>
          <w:rFonts w:ascii="Times New Roman" w:hAnsi="Times New Roman"/>
          <w:color w:val="000000" w:themeColor="text1"/>
          <w:sz w:val="16"/>
          <w:szCs w:val="16"/>
        </w:rPr>
        <w:softHyphen/>
        <w:t>лупереворот, полуштопор, перешел в пике и при выходе из него ударился о землю. При осмотре аппарата мною было замечено, что соединительные троса ротора порваны и стабилизатор имел отрицательный угол атаки. Детального осмотра самолета я не производил и точно указать положение ста</w:t>
      </w:r>
      <w:r w:rsidRPr="00E93F40">
        <w:rPr>
          <w:rFonts w:ascii="Times New Roman" w:hAnsi="Times New Roman"/>
          <w:color w:val="000000" w:themeColor="text1"/>
          <w:sz w:val="16"/>
          <w:szCs w:val="16"/>
        </w:rPr>
        <w:softHyphen/>
        <w:t>билизатора не могу. На вертолете я рабо</w:t>
      </w:r>
      <w:r w:rsidRPr="00E93F40">
        <w:rPr>
          <w:rFonts w:ascii="Times New Roman" w:hAnsi="Times New Roman"/>
          <w:color w:val="000000" w:themeColor="text1"/>
          <w:sz w:val="16"/>
          <w:szCs w:val="16"/>
        </w:rPr>
        <w:softHyphen/>
        <w:t>таю 4 дня и данный полет был вторым».</w:t>
      </w:r>
    </w:p>
    <w:p w14:paraId="261C8E1E"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протокола опроса А.И. Филина: «Перед выпуском в полет Автожир 2-й АЭ мною был осмотрен. Никаких ненормальностей ни в роторе, ни в управления обнаружено же было. После опробования мотора, вырулив на старт, аппарат взлетел. Ненормально</w:t>
      </w:r>
      <w:r w:rsidRPr="00E93F40">
        <w:rPr>
          <w:rFonts w:ascii="Times New Roman" w:hAnsi="Times New Roman"/>
          <w:color w:val="000000" w:themeColor="text1"/>
          <w:sz w:val="16"/>
          <w:szCs w:val="16"/>
        </w:rPr>
        <w:softHyphen/>
        <w:t>стей во время производства взлета я не за</w:t>
      </w:r>
      <w:r w:rsidRPr="00E93F40">
        <w:rPr>
          <w:rFonts w:ascii="Times New Roman" w:hAnsi="Times New Roman"/>
          <w:color w:val="000000" w:themeColor="text1"/>
          <w:sz w:val="16"/>
          <w:szCs w:val="16"/>
        </w:rPr>
        <w:softHyphen/>
        <w:t>метил. Во время же захода на базу у аппара</w:t>
      </w:r>
      <w:r w:rsidRPr="00E93F40">
        <w:rPr>
          <w:rFonts w:ascii="Times New Roman" w:hAnsi="Times New Roman"/>
          <w:color w:val="000000" w:themeColor="text1"/>
          <w:sz w:val="16"/>
          <w:szCs w:val="16"/>
        </w:rPr>
        <w:softHyphen/>
        <w:t>та были тенденции взмыть такого порядка как в полете, когда происходит полет с мо</w:t>
      </w:r>
      <w:r w:rsidRPr="00E93F40">
        <w:rPr>
          <w:rFonts w:ascii="Times New Roman" w:hAnsi="Times New Roman"/>
          <w:color w:val="000000" w:themeColor="text1"/>
          <w:sz w:val="16"/>
          <w:szCs w:val="16"/>
        </w:rPr>
        <w:softHyphen/>
        <w:t>тором и накрученным на кабрирование ста</w:t>
      </w:r>
      <w:r w:rsidRPr="00E93F40">
        <w:rPr>
          <w:rFonts w:ascii="Times New Roman" w:hAnsi="Times New Roman"/>
          <w:color w:val="000000" w:themeColor="text1"/>
          <w:sz w:val="16"/>
          <w:szCs w:val="16"/>
        </w:rPr>
        <w:softHyphen/>
        <w:t>билизатором, на мгновение отпускается ручка и затем в подходящий момент отда</w:t>
      </w:r>
      <w:r w:rsidRPr="00E93F40">
        <w:rPr>
          <w:rFonts w:ascii="Times New Roman" w:hAnsi="Times New Roman"/>
          <w:color w:val="000000" w:themeColor="text1"/>
          <w:sz w:val="16"/>
          <w:szCs w:val="16"/>
        </w:rPr>
        <w:softHyphen/>
        <w:t>ется обратно. Это замечалось при двух захо</w:t>
      </w:r>
      <w:r w:rsidRPr="00E93F40">
        <w:rPr>
          <w:rFonts w:ascii="Times New Roman" w:hAnsi="Times New Roman"/>
          <w:color w:val="000000" w:themeColor="text1"/>
          <w:sz w:val="16"/>
          <w:szCs w:val="16"/>
        </w:rPr>
        <w:softHyphen/>
        <w:t>дах, которые были произведены. После этого было очевидно, что Корзинщиков решил идти на посадку. До этого момента я не предполагал никаких ненормальностей с аппаратом, затрудняющих его пилотирова</w:t>
      </w:r>
      <w:r w:rsidRPr="00E93F40">
        <w:rPr>
          <w:rFonts w:ascii="Times New Roman" w:hAnsi="Times New Roman"/>
          <w:color w:val="000000" w:themeColor="text1"/>
          <w:sz w:val="16"/>
          <w:szCs w:val="16"/>
        </w:rPr>
        <w:softHyphen/>
        <w:t>ние, относя взмывание за счет неспокойной атмосферы, поскольку при полетах, про</w:t>
      </w:r>
      <w:r w:rsidRPr="00E93F40">
        <w:rPr>
          <w:rFonts w:ascii="Times New Roman" w:hAnsi="Times New Roman"/>
          <w:color w:val="000000" w:themeColor="text1"/>
          <w:sz w:val="16"/>
          <w:szCs w:val="16"/>
        </w:rPr>
        <w:softHyphen/>
        <w:t>изводившихся до этого, у аппарата, по мне</w:t>
      </w:r>
      <w:r w:rsidRPr="00E93F40">
        <w:rPr>
          <w:rFonts w:ascii="Times New Roman" w:hAnsi="Times New Roman"/>
          <w:color w:val="000000" w:themeColor="text1"/>
          <w:sz w:val="16"/>
          <w:szCs w:val="16"/>
        </w:rPr>
        <w:softHyphen/>
        <w:t>нию Корзинщикова, не было ничего такого, что могло бы натолкнуть на мысль о ненор</w:t>
      </w:r>
      <w:r w:rsidRPr="00E93F40">
        <w:rPr>
          <w:rFonts w:ascii="Times New Roman" w:hAnsi="Times New Roman"/>
          <w:color w:val="000000" w:themeColor="text1"/>
          <w:sz w:val="16"/>
          <w:szCs w:val="16"/>
        </w:rPr>
        <w:softHyphen/>
        <w:t>мальностях, затрудняющих пилотирование. В тот момент, когда аппарат очутился над стартом, он стал задираться, потерял ско</w:t>
      </w:r>
      <w:r w:rsidRPr="00E93F40">
        <w:rPr>
          <w:rFonts w:ascii="Times New Roman" w:hAnsi="Times New Roman"/>
          <w:color w:val="000000" w:themeColor="text1"/>
          <w:sz w:val="16"/>
          <w:szCs w:val="16"/>
        </w:rPr>
        <w:softHyphen/>
        <w:t>рость, после чего начал падать на крыло и перешел в пике. В каком положении ударился аппарат о землю я не видел так находился в противоположном конце аэродрома. Когда я прибежал к аппарату, то мною было обнару</w:t>
      </w:r>
      <w:r w:rsidRPr="00E93F40">
        <w:rPr>
          <w:rFonts w:ascii="Times New Roman" w:hAnsi="Times New Roman"/>
          <w:color w:val="000000" w:themeColor="text1"/>
          <w:sz w:val="16"/>
          <w:szCs w:val="16"/>
        </w:rPr>
        <w:softHyphen/>
        <w:t>жено необычное положение стабилизатора, который был под большим отрицательным углом атаки. Повреждений в управлении ап</w:t>
      </w:r>
      <w:r w:rsidRPr="00E93F40">
        <w:rPr>
          <w:rFonts w:ascii="Times New Roman" w:hAnsi="Times New Roman"/>
          <w:color w:val="000000" w:themeColor="text1"/>
          <w:sz w:val="16"/>
          <w:szCs w:val="16"/>
        </w:rPr>
        <w:softHyphen/>
        <w:t>паратом обнаружено не было. Один из соеди</w:t>
      </w:r>
      <w:r w:rsidRPr="00E93F40">
        <w:rPr>
          <w:rFonts w:ascii="Times New Roman" w:hAnsi="Times New Roman"/>
          <w:color w:val="000000" w:themeColor="text1"/>
          <w:sz w:val="16"/>
          <w:szCs w:val="16"/>
        </w:rPr>
        <w:softHyphen/>
        <w:t>нительных тросов лопастей ротора порван при ударе о землю, о чем явно свидетель</w:t>
      </w:r>
      <w:r w:rsidRPr="00E93F40">
        <w:rPr>
          <w:rFonts w:ascii="Times New Roman" w:hAnsi="Times New Roman"/>
          <w:color w:val="000000" w:themeColor="text1"/>
          <w:sz w:val="16"/>
          <w:szCs w:val="16"/>
        </w:rPr>
        <w:softHyphen/>
        <w:t>ствует его внешний вид».</w:t>
      </w:r>
    </w:p>
    <w:p w14:paraId="3084CE5F" w14:textId="77777777" w:rsidR="004D7DCB" w:rsidRPr="00E93F40" w:rsidRDefault="004D7D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«верхах» к этому летному происшествию отнеслись достаточно нервозно. В частности, на экземпляре письма С.А. Меженинова, от</w:t>
      </w:r>
      <w:r w:rsidRPr="00E93F40">
        <w:rPr>
          <w:rFonts w:ascii="Times New Roman" w:hAnsi="Times New Roman"/>
          <w:color w:val="000000" w:themeColor="text1"/>
          <w:sz w:val="16"/>
          <w:szCs w:val="16"/>
        </w:rPr>
        <w:softHyphen/>
        <w:t>правленного М.Н. Тухачевскому, появилась такая резолюция: «Тов. Алкснису. Это безоб</w:t>
      </w:r>
      <w:r w:rsidRPr="00E93F40">
        <w:rPr>
          <w:rFonts w:ascii="Times New Roman" w:hAnsi="Times New Roman"/>
          <w:color w:val="000000" w:themeColor="text1"/>
          <w:sz w:val="16"/>
          <w:szCs w:val="16"/>
        </w:rPr>
        <w:softHyphen/>
        <w:t>разие! Камов и Скаржинский делают хорошие автожиры. Посадили их под Изаксона, обез</w:t>
      </w:r>
      <w:r w:rsidRPr="00E93F40">
        <w:rPr>
          <w:rFonts w:ascii="Times New Roman" w:hAnsi="Times New Roman"/>
          <w:color w:val="000000" w:themeColor="text1"/>
          <w:sz w:val="16"/>
          <w:szCs w:val="16"/>
        </w:rPr>
        <w:softHyphen/>
        <w:t>личили и ЦАГИ теперь дает барахло. Прошу составить письмо т. Сталину и т. Орджони</w:t>
      </w:r>
      <w:r w:rsidRPr="00E93F40">
        <w:rPr>
          <w:rFonts w:ascii="Times New Roman" w:hAnsi="Times New Roman"/>
          <w:color w:val="000000" w:themeColor="text1"/>
          <w:sz w:val="16"/>
          <w:szCs w:val="16"/>
        </w:rPr>
        <w:softHyphen/>
        <w:t>кидзе о создании особого автожирного бюро с опытным заводом». Правда, до организации такого бюро и завода дело дошло только через 7 лет, но понервничать пришлось всем сотрудникам СОК ЭОА ЦАГИ. Пришлось бро</w:t>
      </w:r>
      <w:r w:rsidRPr="00E93F40">
        <w:rPr>
          <w:rFonts w:ascii="Times New Roman" w:hAnsi="Times New Roman"/>
          <w:color w:val="000000" w:themeColor="text1"/>
          <w:sz w:val="16"/>
          <w:szCs w:val="16"/>
        </w:rPr>
        <w:softHyphen/>
        <w:t>сить все силы на ремонт разбитой машины (23518).</w:t>
      </w:r>
    </w:p>
    <w:p w14:paraId="71EDD233" w14:textId="77777777" w:rsidR="004D7DCB" w:rsidRPr="00E93F40" w:rsidRDefault="004D7DCB" w:rsidP="00E93F40">
      <w:pPr>
        <w:spacing w:after="0" w:line="240" w:lineRule="auto"/>
        <w:jc w:val="both"/>
        <w:rPr>
          <w:rFonts w:ascii="Times New Roman" w:hAnsi="Times New Roman"/>
          <w:color w:val="000000" w:themeColor="text1"/>
          <w:sz w:val="16"/>
          <w:szCs w:val="16"/>
        </w:rPr>
      </w:pPr>
    </w:p>
    <w:p w14:paraId="31AB8DD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марта 1932 года пом. начальника 1 сектора ОВИ Техштаба НВ Глухов писал письмо № 110/1206авиа в НИИ ВВС (1673):</w:t>
      </w:r>
    </w:p>
    <w:p w14:paraId="1D6D4F9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сектор Отдела военных изобретений Технического штаба НВ препровождает для реализации, одобренное экспертизой предложение Самсонова и Добровольского – «Универсальный самолет-амфибия-танк» (6773, 1).</w:t>
      </w:r>
    </w:p>
    <w:p w14:paraId="05932F9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Описание универсального самолета-амфибии-танка</w:t>
      </w:r>
    </w:p>
    <w:p w14:paraId="7A94B41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Предметом настоящего изобретения является самолет-амфибия, позволяющий взлетать и совершать посадку на море, сушу, в снег, на палубу корабля, а также могущий передвигаться по земле. Помимо этого возможно вылезание самолета с воды на сушу и обратно.</w:t>
      </w:r>
    </w:p>
    <w:p w14:paraId="35CE2E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осуществления этого на днище лодки или поплавка машины устанавливается гусеница, состоящая из рада параллельных цилиндров (катков), подвешенных на амортизаторах со специальными направляющими, допускающими вертикальное перемещение каждого отдельного цилиндра и обтянутая эластичной лентой из резины, кожи, металла или иного материала. Цилиндры (катки) гусеницы во избежание потери водоизмещения – полые.</w:t>
      </w:r>
    </w:p>
    <w:p w14:paraId="41EA054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 гусеница помещается в специально сделанном для этого в днище лодки или поплавка тоннеле. Аналогичное устройство применимо для боковых поплавков и штуммелей (жабр) летающих лодок, а также на поплавках двухпоплавковых самолетов и в лодках двухлодочных конструкций.</w:t>
      </w:r>
    </w:p>
    <w:p w14:paraId="49DA02F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Указанное устройство позволяет уменьшить в полете лобовое сопротивление, уменьшить и свести до минимума сопротивление трения воды при взлете с водной поверхности.</w:t>
      </w:r>
    </w:p>
    <w:p w14:paraId="4BB1573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позволяет уменьшить длину послепосадочного пробега, если дать гусенице обратный ход, взлет и посадку на водную поверхность, взлет и посадку на землю и на снег, что особенно ценно в условиях Арктики, причем возможно уменьшить длину послепосадочного пробега торможением гусеницы. Кроме того позволяет обходиться без всяких дополнительных конструкций и людского персонала при выводе самолета на спуск и обратно, а также при передвижении самолета по аэродрому и ангару, обходиться вообще без спуска, так как самолет в состоянии перемещаться самостоятельно и может влезать на сушу и слезать обратно в воду в любых условиях и наконец использовать машину во всех необходимых случаях в качестве танка.</w:t>
      </w:r>
    </w:p>
    <w:p w14:paraId="6D6C82E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Предмет изобретения</w:t>
      </w:r>
    </w:p>
    <w:p w14:paraId="76E66CD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Самолет-амфибия, характеризующийся применением заменяющей шасси гусеницы с принудительным или свободным движением в обе стороны, допускающей посадку и взлет с водной поверхности, с земли, снега или палубы корабля и свободное перемещение по суше и по спуску без дополнительных приспособлений, транспортных средств и обслуживающего персонала, а также допускающей использование ее в качестве тормоза после посадки.</w:t>
      </w:r>
    </w:p>
    <w:p w14:paraId="00E9A83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Сухопутный самолет-танк</w:t>
      </w:r>
    </w:p>
    <w:p w14:paraId="1EE6ACB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Гусеница, описанная в заявке на универсальный самолет-амфибию танк может быть применена и для сухопутных машин.</w:t>
      </w:r>
    </w:p>
    <w:p w14:paraId="127D539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Предметом данной заявки является сухопутный самолет-танк с применением в качестве посадочного и взлетного приспособления центральной, расположенной в днище фюзеляжа гусеницы, подвешенной на амортизаторах.</w:t>
      </w:r>
    </w:p>
    <w:p w14:paraId="6CFD46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Указанное устройство:</w:t>
      </w:r>
    </w:p>
    <w:p w14:paraId="4B7AEF67"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Позволяет обходиться без обыкновенного шасси, что резко уменьшает лобовое сопротивление.</w:t>
      </w:r>
    </w:p>
    <w:p w14:paraId="463F0E9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Позволяет располагать фюзеляж непосредственно у земли, что сильно понижает центр тяжести и исключает всякую возможность капотажа самолета.</w:t>
      </w:r>
    </w:p>
    <w:p w14:paraId="7C20B92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Допускает взлет и посадку в любых условиях погоды и аэродрома.</w:t>
      </w:r>
    </w:p>
    <w:p w14:paraId="0E6D2E9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Допускает эксплуатацию без всякой смены посадочных устройств в любых климатических условиях …………</w:t>
      </w:r>
    </w:p>
    <w:p w14:paraId="0DA1541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Разрешает вопрос о конструкции посадочного приспособления машин большого тоннажа ……………………..</w:t>
      </w:r>
    </w:p>
    <w:p w14:paraId="0122B14C"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 легкой брони для обшивки корпуса позволяет использовать самолет (со сброшенными крыльями) в качестве танка (танкетки), создавая этим самым новую тактическую возможность применения самолета как боевого средства, причем сброшенные крылья могут быть предварительно снабжены взрывчатым веществом …………….(6773, 1).</w:t>
      </w:r>
    </w:p>
    <w:p w14:paraId="2AF86F07"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C81EC9" w14:textId="66B6C772" w:rsidR="00F91DA7" w:rsidRPr="00E93F40" w:rsidRDefault="00F91DA7"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марта 1932 г. в дер. Горенки на ш. Энтузиастов (у ст. Балашиха Реутовского р-на) в соответствии с. пост. СНК № 199-40./ начато строительство механического завода № 120 моторного треста ГУАП НКТП (Завод № 120 НКТП, НКОП, НКАП, Завод № 120/309 нкоп /Балашиха Московской обл.;</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Нижний Тагил Свердловской обл.,</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Каменск Челябинской обл). Застройка и пуск происходили в период с 1934 по 1938 г. К 1936 г. завод вошел в состав подсобного треста ГУАП НКТП. В 02.1937-12.1938 г. - в ведении 1ГУ НКОП. В 01.1938 г. имел наименование завод № 120/309.</w:t>
      </w:r>
    </w:p>
    <w:p w14:paraId="7351C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1935 г. на завод с завода № 34 передано металлургическое производство по выпуску алюминиевого и магниевого проката. Головной и единственный до ВОВ завод по авиаколесам и тормозам. Выпускал также агрегаты управления. В 1938 г. выпускал также артиллерийские колеса.</w:t>
      </w:r>
    </w:p>
    <w:p w14:paraId="249959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0032 от 8.02.1937 г. заводу предписано к 1.04.1937 г. сдать в эксплуатацию 1-ю очередь литейного цеха, к 1.07.1937 г. закончить вторую треть колесного цеха, а в 1-м полугодии 1938 г. - последнюю треть колесного цеха; приказом № 00116 от 28.05.1937 г. - к 1.10.1937 г. организовать производство колес для самолета Вулти. Приказом № 226 от 4.06.1938 г. заводу поручено начать в текущем году строительство цеха ширпотреба.</w:t>
      </w:r>
    </w:p>
    <w:p w14:paraId="2A163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заводе действовал опытный отдел с опытным цехом по разработке колес и тормозов, в 1936 г. создано ОКБ.</w:t>
      </w:r>
    </w:p>
    <w:p w14:paraId="305A7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распоряжением правительства № С0861с от 23.03.1937 г. и пр. № 071с от 5.04.1937 г. литейное производство завода выделено в самостоятельный завод № 219 в ведении 1ГУ (первоначально планировалось присвоить заводу № 120А или 234). Разделение имущества предписано провести в месячный срок.</w:t>
      </w:r>
    </w:p>
    <w:p w14:paraId="193E9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21B1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войной действовал филиал на Нижнетагильском вагоностроительном заводе.</w:t>
      </w:r>
    </w:p>
    <w:p w14:paraId="3396F823" w14:textId="7678DA4C"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приказу № 668сс от 12.07.1941 г. часть завода (50%) № 120 2ГУ </w:t>
      </w:r>
      <w:r w:rsidRPr="00E93F40">
        <w:rPr>
          <w:rFonts w:ascii="Times New Roman" w:hAnsi="Times New Roman"/>
          <w:color w:val="000000" w:themeColor="text1"/>
          <w:sz w:val="16"/>
          <w:szCs w:val="16"/>
          <w:lang w:val="en-US"/>
        </w:rPr>
        <w:t>HKAIT</w:t>
      </w:r>
      <w:r w:rsidRPr="00E93F40">
        <w:rPr>
          <w:rFonts w:ascii="Times New Roman" w:hAnsi="Times New Roman"/>
          <w:color w:val="000000" w:themeColor="text1"/>
          <w:sz w:val="16"/>
          <w:szCs w:val="16"/>
        </w:rPr>
        <w:t xml:space="preserve"> и КБ эвакуированы в Нижний Тагил на площадку своего филиала. Другая часть завода (в т.ч. испытательная станция с личным составом) по приказу № 1053сс от 9.10.1941 г. эвакуирована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Каменск Челябинской обл. на площадку строящегося завода № 286 2ГУ НКАП. По приказу № 1079с от 26.10.1941 г. часть завода № 120 и завод № 286 слиты в единый завод № 120, а часть завода в Нижнем Тагиле действовала как филиал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41BA31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1F1C2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литых колес для Пе-2, ЛаГГ-3, Ил-2, Як-1, алюминиевое литье.</w:t>
      </w:r>
    </w:p>
    <w:p w14:paraId="16095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25с от 5.01.1942 г. площади эвакуированного завода № 120 НКАП с оставшимся оборудованием и кадрами и завода № 121 НКАП переданы вновь созданному заводу № 219 (заводы располагались на смежных территориях). По приказу № 92с от 12.02.1943 г. с завода № 120 НКАП в ОКБ завода № 219 НКАП переведена большая группа ИТР и рабочих, ранее работавших там, и оборудование. Затем еще неоднократно специалисты завода № 120 переводились в ОКБ завода № 219 НКАП для его укрепления (приказ № 735с от 8.12.1943 г.).</w:t>
      </w:r>
    </w:p>
    <w:p w14:paraId="0073123B" w14:textId="3356262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Действовал филиал завода № 120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Березовске, директор- А.И. Пастер. На площадку филиала эвакуирован из Москвы завод № 261 2ГУ НКАП. По приказу № 279с от 14.04.1942 г. завод № 261 влит в состав завода № 120. Затем по приказу НКАП № 150с от 15.03.1943 г. завод № 261 НКАП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Березовске восстановлен как самостоятельный.</w:t>
      </w:r>
    </w:p>
    <w:p w14:paraId="598F10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 приказу № 435с от 12.11.1945 г.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w:t>
      </w:r>
    </w:p>
    <w:p w14:paraId="607E27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(-05.1937-8.02.1938 г.)- И.С. Михайлов, (15.06.1938-12.1941 г.-&gt; Е.М. Горницкий, (02.1942 г.)- А.И. Пастер (одновременно директор завода № 261), (-06.1944-11.1945 г.)- Миронов.</w:t>
      </w:r>
    </w:p>
    <w:p w14:paraId="62C574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(06.1937 г.)- Н.А. Данилович.</w:t>
      </w:r>
    </w:p>
    <w:p w14:paraId="4C139C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(06.1937 г.)- Н.А. Данилович.</w:t>
      </w:r>
    </w:p>
    <w:p w14:paraId="27737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(11.1940 г.-)- П.В. Флеров.</w:t>
      </w:r>
    </w:p>
    <w:p w14:paraId="136276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инженеры: по колесному производству (06.1937 г.)- Е.М. Горницкий; по литейному производству (06.1937 г.)- С.С. Фельдман (11982).</w:t>
      </w:r>
    </w:p>
    <w:p w14:paraId="435851A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414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марта 1932 г. в соответствии с пост. СНК № 199-40 начато строительство литейного завода № 121 НКТП /Балашиха Московской обл./, вступил в строй в 1934 г. Производство литейных алюминиевых и магниевых заготовок для колес, тормозов, агрегатов управления и других элементов конструкции самолетов и моторов.</w:t>
      </w:r>
    </w:p>
    <w:p w14:paraId="19643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1941 г. эвакуирован в Нижний Тагил. С 1932 г. - в ведении самолетного треста ГУАП НКТП.</w:t>
      </w:r>
    </w:p>
    <w:p w14:paraId="3396B4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1942 г. пост. ГКО на площадках эвакуированных заводов № 120 и 121 НКАП создан литейно-механический завод №219 (11982).</w:t>
      </w:r>
    </w:p>
    <w:p w14:paraId="379A8F1F" w14:textId="77777777" w:rsidR="00F91DA7" w:rsidRPr="00E93F40" w:rsidRDefault="00F91DA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716DAE" w14:textId="77777777" w:rsidR="00716F88" w:rsidRPr="00E93F40" w:rsidRDefault="00716F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марта 1932 г. пом. начальника 1 сектора ОВИ Техштаба НВ (Наземных Войск?) Глухов в письме за номером 110/1206авиа в НИИ ВВС писал: 1-й сектор Отдела военных изобретений Технического штаба НВ препровождает для реализации, одобренное экспертизой предложение Самсонова и Добровольского – «Универсальный самолет-амфибия-танк». Согласно авторскому описанию, предметом изобретения является самолёт-амфибия (как лодочный, так и поплавковый), способный «взлетать и совершать посадку на море, сушу, в снег, на палубу корабля, а также могущий передвигаться по земле», а также вылезать из воды на сушу и обратно. Для этого в специальном тоннеле, сделанном в днище лодки или поплавка, устанавливается гусеница, состоящая из ряда параллельных полых цилиндров (катков), подвешенных на амортизаторах со специальными направляющими, допускающими вертикальное перемещение каждого отдельного цилиндра. Гусеница обтянута эластичной лентой из резины, кожи, металла или иного материала. Это устройство, по мысли авторов, позволяет самолёту-амфибии осуществлять взлёт и посадку на водную поверхность, взлёт и посадку на землю и на снег, «что особенно ценно в условиях Арктики», причём «возможно уменьшить длину послепосадочного пробега торможением гусеницы». Самолёт может «влезть на сушу и слезать обратно в воду в любых условиях». Гусеница может быть применена и для сухопутных машин. Предметом данной заявки, пишут они, является «сухопутный самолёт-танк» с применением в качестве посадочного и взлётного приспособления центральной, расположенной в днище фюзеляжа гусеницы, подвешенной на амортизаторах. «Применение легкой брони для обшивки корпуса, - пишут они, - позволяет использовать самолет (со сброшенными крыльями) в качестве танка (танкетки), создавая этим самым новую тактическую возможность применения самолёта как боевого средства, причём брошенные крылья могут быть предварительно снабжены взрывчатым веществом». Предложение было сформулировано в самом общем виде лишь как принципиальная идея, без какого-либо конструктивного оформления. Можно лишь понять, что авторы имеют в виду не оснащение уже имеющегося обычного танка взлётным устройством (крыльями), а превращение некоего самолёта как такового в танк за счёт брони, предложенной ими гусеницы и, видимо, вооружения – но как предполагалось увязать в одной машине «танковые» элементы с самолётными, остаётся неясным. Реакция НИИ ВВС на вышеприведённое обращение не известна, однако до реализации данного «изобретения» дело явно не дошло. П.Д.Самсонов позже проявил себя как конструктор гидросамолётов, работая в КБ Г.М.Бериева, а затем возглавив отдельное КБ (19165).</w:t>
      </w:r>
    </w:p>
    <w:p w14:paraId="7D8988BE" w14:textId="77777777" w:rsidR="00716F88" w:rsidRPr="00E93F40" w:rsidRDefault="00716F88" w:rsidP="00E93F40">
      <w:pPr>
        <w:pStyle w:val="rtejustify"/>
        <w:shd w:val="clear" w:color="auto" w:fill="FFFFFF"/>
        <w:spacing w:before="0" w:after="0"/>
        <w:rPr>
          <w:color w:val="000000" w:themeColor="text1"/>
          <w:sz w:val="16"/>
          <w:szCs w:val="16"/>
        </w:rPr>
      </w:pPr>
    </w:p>
    <w:p w14:paraId="204FEDBE" w14:textId="77777777" w:rsidR="00424EC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5604A4C" w14:textId="77777777" w:rsidR="00424ECB" w:rsidRPr="00E93F40" w:rsidRDefault="00424EC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0F08E5"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с 22 марта 1932 г. по 11 февраля 1933 г. модернизированная танкетка Т-27 прошла полигонные испытания на НИАБТП с целью подтверждения целесообразности внесения конструктивных изменений, а также определения износа и ресурса доработанных деталей и механизмов.</w:t>
      </w:r>
    </w:p>
    <w:p w14:paraId="3DD51760"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конструкцию танкетки Т-27 были внесены следующие изменения:</w:t>
      </w:r>
    </w:p>
    <w:p w14:paraId="32EEA414"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Гусеница поставлена с разваленными перьями для уменьшения схождения гусеницы.</w:t>
      </w:r>
    </w:p>
    <w:p w14:paraId="081963D1"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Поставлены задние крылья над гусеницами.</w:t>
      </w:r>
    </w:p>
    <w:p w14:paraId="51170684"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Поставлены наколенники для правой ноги механика водителя и для левой пулеметчика, предохраняющие ноги от ушибов об уголки.</w:t>
      </w:r>
    </w:p>
    <w:p w14:paraId="7B61DBA1"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Вместо пружинных амортизаторов подвески радиатора поставлены резиновые пластины.</w:t>
      </w:r>
    </w:p>
    <w:p w14:paraId="74339BFB"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Снят канал приточного воздуха.</w:t>
      </w:r>
    </w:p>
    <w:p w14:paraId="7AF3ECFB"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Сделан макет бронировки козырька над радиатором.</w:t>
      </w:r>
    </w:p>
    <w:p w14:paraId="7AD762AC"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Сделано новое крепление АКБ с поддоном.</w:t>
      </w:r>
    </w:p>
    <w:p w14:paraId="33F16CAD"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 Правый тормозной валик поставлен усиленный, увеличенного диаметра.</w:t>
      </w:r>
    </w:p>
    <w:p w14:paraId="4FE2FCFE"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Сделаны лючки в крышках лазов у командира наверх и назад, механик водитель имеет один лючок назад.</w:t>
      </w:r>
    </w:p>
    <w:p w14:paraId="52107570"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Поставлены пружины и сделаны другие петли крышек лазов.</w:t>
      </w:r>
    </w:p>
    <w:p w14:paraId="5C76295F"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 Поставлен налобник для водителя.</w:t>
      </w:r>
    </w:p>
    <w:p w14:paraId="3C1DF9A1"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 Изменены крышки сальника.</w:t>
      </w:r>
    </w:p>
    <w:p w14:paraId="64FE6057"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 Изменено направление для заводной ручки в кронштейне задней подвески мотора. Для удержания заводной рукоятки в горизонтальном положении поставлена пружина.</w:t>
      </w:r>
    </w:p>
    <w:p w14:paraId="0DC2D50E"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Сиденье механика-водителя обшито сзади асбестом, а спереди войлоком.</w:t>
      </w:r>
    </w:p>
    <w:p w14:paraId="06743FB3"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Пулеметная установка II образца установлена с прожиганием двух отверстий в лобовом листе, что не делается на других машинах и имеет люфт в боковой плоскости. Удобной и надежной конструкцией является серийный тип Виккерса, поставленный на пулеметную танкетку Т-27.</w:t>
      </w:r>
    </w:p>
    <w:p w14:paraId="34BC5FB0"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 Каретка подачи магазинов поставлена сварная без роликов».</w:t>
      </w:r>
    </w:p>
    <w:p w14:paraId="39AFBC7A" w14:textId="121128BD"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время испытаний Т-27 №452 преодолела 4050 км, из них 627 км – по плохо укатанному заснеженному шоссе, 100 км – по обледенелому шоссе, 460 км – по хорошо укатанному зимнему шоссе. В весенних условиях танкетка прошла 280 км по разбитому шоссе и 1983 км по шоссе среднего качества. Летний пробег составил 335 км по шоссе среднего качества и 22 км по полевому и лесному проселкам, осенью – 167 км по разбитому шоссе и 41 км по полевому и лесному проселкам. Итоги испытаний 25 октября 1933 г. подвели начальник полигона Штагин, начальник испытательного отдела Воробьев и начальник первой станции НИАБТП Кульчицкий</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(12138).</w:t>
      </w:r>
    </w:p>
    <w:p w14:paraId="25DE707C" w14:textId="77777777" w:rsidR="00424ECB" w:rsidRPr="00E93F40" w:rsidRDefault="00424ECB" w:rsidP="00E93F40">
      <w:pPr>
        <w:spacing w:after="0" w:line="240" w:lineRule="auto"/>
        <w:jc w:val="both"/>
        <w:rPr>
          <w:rFonts w:ascii="Times New Roman" w:hAnsi="Times New Roman"/>
          <w:color w:val="000000" w:themeColor="text1"/>
          <w:sz w:val="16"/>
          <w:szCs w:val="16"/>
        </w:rPr>
      </w:pPr>
    </w:p>
    <w:p w14:paraId="7C847424"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 с 22 марта 1932 г. по 11 февраля 1933 г. модернизированная танкетка Т-27 с заводским номером 452 прошла полигонные испытания на НИАБТП с целью подтверждения целесообразности внесения конструктивных изменений, а также определения износа и ресурса доработанных деталей и механизмов.</w:t>
      </w:r>
    </w:p>
    <w:p w14:paraId="0068725B"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конструкцию танкетки Т-27 были внесены следующие изменения:</w:t>
      </w:r>
    </w:p>
    <w:p w14:paraId="41F7C87A"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Гусеница поставлена с разваленными перьями для уменьшения схождения гусеницы.</w:t>
      </w:r>
    </w:p>
    <w:p w14:paraId="59D2CBBC"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Поставлены задние крылья над гусеницами.</w:t>
      </w:r>
    </w:p>
    <w:p w14:paraId="06DEC43E"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Поставлены наколенники для правой ноги механика водителя и для левой пулеметчика, предохраняющие ноги от ушибов об уголки.</w:t>
      </w:r>
    </w:p>
    <w:p w14:paraId="2B1B22F1"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Вместо пружинных амортизаторов подвески радиатора поставлены резиновые пластины.</w:t>
      </w:r>
    </w:p>
    <w:p w14:paraId="4B1835AA"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 Снят канал приточного воздуха.</w:t>
      </w:r>
    </w:p>
    <w:p w14:paraId="7ACFAAD9"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 Сделан макет бронировки козырька над радиатором.</w:t>
      </w:r>
    </w:p>
    <w:p w14:paraId="0BDA3CD9"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ж. Сделано новое крепление АКБ с поддоном.</w:t>
      </w:r>
    </w:p>
    <w:p w14:paraId="4E5D079B"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 Правый тормозной валик поставлен усиленный, увеличенного диаметра.</w:t>
      </w:r>
    </w:p>
    <w:p w14:paraId="61F996AE"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Сделаны лючки в крышках лазов у командира наверх и назад, механик водитель имеет один лючок назад.</w:t>
      </w:r>
    </w:p>
    <w:p w14:paraId="3F167517"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Поставлены пружины и сделаны другие петли крышек лазов.</w:t>
      </w:r>
    </w:p>
    <w:p w14:paraId="5B96D210"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 Поставлен налобник для водителя, м. Изменены крышки сальника.</w:t>
      </w:r>
    </w:p>
    <w:p w14:paraId="4405A06E"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 Изменено направление для заводной ручки в кронштейне задней подвески мотора. Для удержания заводной рукоятки в горизонтальном положении поставлена пружина.</w:t>
      </w:r>
    </w:p>
    <w:p w14:paraId="26E87607"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 Сиденье механика-водителя обшито сзади асбестом, а спереди войлоком.</w:t>
      </w:r>
    </w:p>
    <w:p w14:paraId="3F04AAC2"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 Пулеметная установка II образца установлена с прожиганием двух отверстий в лобовом листе, что не делается на других машинах и имеет люфт в боковой плоскости. Удобной и надежной конструкцией является серийный тип Виккерса, поставленный на пулеметную танкетку Т-27.</w:t>
      </w:r>
      <w:r w:rsidRPr="00142305">
        <w:rPr>
          <w:rFonts w:ascii="Times New Roman" w:hAnsi="Times New Roman"/>
          <w:color w:val="0070C0"/>
          <w:sz w:val="16"/>
          <w:szCs w:val="16"/>
        </w:rPr>
        <w:br/>
        <w:t>р. Каретка подачи магазинов поставлена сварная без роликов».</w:t>
      </w:r>
    </w:p>
    <w:p w14:paraId="3117A181"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За время испытаний Т-27 №452 преодолела 4050 км, из них 627 км — по плохо укатанному заснеженному шоссе, 100 км — по обледенелому шоссе, 460 км — по хорошо укатанному зимнему шоссе. В весенних условиях танкетка прошла 280 км по разбитому шоссе и 1983 км по шоссе среднего качества. Летний пробег составил 335 км по шоссе среднего качества и 22 км по полевому и лесному проселкам, осенью — 167 км по разбитому шоссе и 41 км по полевому и лесному проселкам.</w:t>
      </w:r>
    </w:p>
    <w:p w14:paraId="729BA136"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Конструктивные изменения, отмеченные в пункте «п», были встречены негативно еще до проведения испытаний, а по пунктам «м», «н» и «р» требовали дополнительных испытаний. По остальным пунктам после завершения испытаний отмечалось:</w:t>
      </w:r>
    </w:p>
    <w:p w14:paraId="57847C2B"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Постановка гусеницы с разваленными перьями вопроса ее схождения с катков и ленивца не разрешают. Число спаданий гусеницы, особенно при разворотах, увеличивается по сравнению с серийным траком. Причина — частота перьев, благодаря чему снег с беговой поверхности гусениц не выдавливается, а спрессовывается уменьшая тем самым опорную высоту перьев и способствует спаданию.</w:t>
      </w:r>
    </w:p>
    <w:p w14:paraId="109C58AA"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Постановка задних крыльев приводит к защите от грязи танкетки, но конструкция оказалась не жизненна, т.к. при первом же соскакивании гусеницы, крылья пришли в негодность, вследствие чего их пришлось снять после пробега 49 км.</w:t>
      </w:r>
    </w:p>
    <w:p w14:paraId="59021978"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Постановка наколенников предохраняет правую ногу механика водителя и левую ногу пулеметчика от ушибов об угольник.</w:t>
      </w:r>
    </w:p>
    <w:p w14:paraId="4097F4C6"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Постановка резиновых пластин вместо пружинных амортизаторов показала себя более надежной и целесообразной.</w:t>
      </w:r>
    </w:p>
    <w:p w14:paraId="20962427"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 и е. Для сравнительных испытаний вместе с серийной машиной. Установка козырька над радиатором дает ухудшение охлаждения двигателя, вследствие чего при первых же испытаниях машины макет пришлось снять.</w:t>
      </w:r>
    </w:p>
    <w:p w14:paraId="3AF5A5F0"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 Постановка усиленного валика целесообразна и гарантирует лучшую его работу на скручивание.</w:t>
      </w:r>
    </w:p>
    <w:p w14:paraId="7CEBC3BF"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Люки в крышках лазов необходимы для защиты экипажа машины от нападений, применения ручного огнестрельного оружия. Люк назад у механика водителя расположен высоко и с места сидения не видно дороги назад. Крепление барашком верхнего командирского люка не надежно — последний во время движения машины отвертывается и соскакивает.</w:t>
      </w:r>
    </w:p>
    <w:p w14:paraId="7BC1753D"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Постановка пружин у крышек лазов, облегчает открытие последних, но пружины не прочны и лопаются (после 1100 км).</w:t>
      </w:r>
    </w:p>
    <w:p w14:paraId="47BB92EE"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 Постановка налобника целесообразна и предохраняет голову механика водителя</w:t>
      </w:r>
    </w:p>
    <w:p w14:paraId="0200925A"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 Обивка сидений оказалась надежной и вполне удовлетворительна».</w:t>
      </w:r>
    </w:p>
    <w:p w14:paraId="6AFB2AA9"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испытаниях оценивались также и серийные агрегаты танкетки Т-27. Указывалось, что за весь пробег в двигателе «Форд-АА», наработавшем 250 ч,</w:t>
      </w:r>
    </w:p>
    <w:p w14:paraId="40A0766E"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«значительных поломок и дефектов не обнаружено».</w:t>
      </w:r>
    </w:p>
    <w:p w14:paraId="66EC2D0E"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слабым местом являлась подвеска переднего конца двигателя, так как амортизационная пружина «не выдерживает наших дорог».</w:t>
      </w:r>
    </w:p>
    <w:p w14:paraId="0D895CCA"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Осадка пружины оказалась столь значительной, что для установки заводной рукоятки требовалось снимать задний фланец.</w:t>
      </w:r>
    </w:p>
    <w:p w14:paraId="69B957AB"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лопасти вентилятора при сильных сотрясениях в пути задевают за обшивку».</w:t>
      </w:r>
    </w:p>
    <w:p w14:paraId="0665345C"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на Т-27 №452 прошли испытания три типа ведущих колес: серийные, с наварным зубом и литые с необработанным зубом. Для наварки зуба использовался твердый сплав «Сталинит». При работе ведущих колес с наварными зубьями наблюдался сильный износ (стирание) проушин траков в местах зацепления, что значительно сокращало срок службы гусениц. Вместе с тем, испытания показали одинаковый износ при использовании серийных и литых ведущих колес.</w:t>
      </w:r>
    </w:p>
    <w:p w14:paraId="73965CD9"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возможности получения высококачественного безпузырькового литья целесообразно по экономическим соображениям применение ведущих колес, изготовленных из стального литья и не требующих мехобработки зубьев».</w:t>
      </w:r>
    </w:p>
    <w:p w14:paraId="6A74F035"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этой связи испытатели указали на целесообразность постановки резиновых пластин-амортизаторов по аналогии с новыми амортизаторами радиатора. Критике подверглось натяжное устройство ленивца в виде распорного болта, которое гнулось под воздействием сжимающих усилий.</w:t>
      </w:r>
    </w:p>
    <w:p w14:paraId="2330195E"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тем, испытания показали одинаковый износ при использовании серийных и литых ведущих колес.</w:t>
      </w:r>
    </w:p>
    <w:p w14:paraId="0749E526"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возможности получения высококачественного безпузырькового литья целесообразно по экономическим соображениям применение ведущих колес, изготовленных из стального литья и не требующих мехобработки зубьев».</w:t>
      </w:r>
    </w:p>
    <w:p w14:paraId="38E8868C" w14:textId="77777777" w:rsidR="00A160F2" w:rsidRPr="00142305" w:rsidRDefault="00A160F2" w:rsidP="00A16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заключению, сделанному по результатам испытаний, изменения по пунктам «в», «г», «д», «з», «и», «л», «н», «о» сочли целесообразными, а по пунктам «а», «б», «е», «ж», «к» — непригодными для установки на машину без дополнительной доработки (25559).</w:t>
      </w:r>
    </w:p>
    <w:p w14:paraId="4B7E74FC" w14:textId="77777777" w:rsidR="00A160F2" w:rsidRPr="00142305" w:rsidRDefault="00A160F2" w:rsidP="00A160F2">
      <w:pPr>
        <w:spacing w:after="0" w:line="240" w:lineRule="auto"/>
        <w:jc w:val="both"/>
        <w:rPr>
          <w:rFonts w:ascii="Times New Roman" w:hAnsi="Times New Roman"/>
          <w:color w:val="0070C0"/>
          <w:sz w:val="16"/>
          <w:szCs w:val="16"/>
        </w:rPr>
      </w:pPr>
    </w:p>
    <w:p w14:paraId="3FF2B736" w14:textId="77777777" w:rsidR="000C7DD6" w:rsidRPr="00951B40" w:rsidRDefault="000C7DD6" w:rsidP="000C7DD6">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22 марта 1932 г. заместитель начальника ВМС РККА И.М. Лудри утвердил тактическое задание на быстроходный катер ВУ. Новый катер должен был развивать не менее 45 узлов с пол</w:t>
      </w:r>
      <w:r w:rsidRPr="00951B40">
        <w:rPr>
          <w:rStyle w:val="aff"/>
          <w:rFonts w:ascii="Times New Roman" w:hAnsi="Times New Roman" w:cs="Times New Roman"/>
          <w:color w:val="0070C0"/>
          <w:spacing w:val="0"/>
          <w:sz w:val="16"/>
          <w:szCs w:val="16"/>
        </w:rPr>
        <w:softHyphen/>
        <w:t>ным вооружением, иметь мореходность 4-5 баллов, дальность плавания полным ходом 135-180 миль, быть вооруженным двумя 533-мм торпедами, двумя спарен</w:t>
      </w:r>
      <w:r w:rsidRPr="00951B40">
        <w:rPr>
          <w:rStyle w:val="aff"/>
          <w:rFonts w:ascii="Times New Roman" w:hAnsi="Times New Roman" w:cs="Times New Roman"/>
          <w:color w:val="0070C0"/>
          <w:spacing w:val="0"/>
          <w:sz w:val="16"/>
          <w:szCs w:val="16"/>
        </w:rPr>
        <w:softHyphen/>
        <w:t>ными крупнокалиберными пулеметами на турелях и 18 малыми глубинными бом</w:t>
      </w:r>
      <w:r w:rsidRPr="00951B40">
        <w:rPr>
          <w:rStyle w:val="aff"/>
          <w:rFonts w:ascii="Times New Roman" w:hAnsi="Times New Roman" w:cs="Times New Roman"/>
          <w:color w:val="0070C0"/>
          <w:spacing w:val="0"/>
          <w:sz w:val="16"/>
          <w:szCs w:val="16"/>
        </w:rPr>
        <w:softHyphen/>
        <w:t>бами. Помимо спецаппаратуры ВУ, пред</w:t>
      </w:r>
      <w:r w:rsidRPr="00951B40">
        <w:rPr>
          <w:rStyle w:val="aff"/>
          <w:rFonts w:ascii="Times New Roman" w:hAnsi="Times New Roman" w:cs="Times New Roman"/>
          <w:color w:val="0070C0"/>
          <w:spacing w:val="0"/>
          <w:sz w:val="16"/>
          <w:szCs w:val="16"/>
        </w:rPr>
        <w:softHyphen/>
        <w:t>усматривалась установка аппаратуры для постановки дымовых завес.</w:t>
      </w:r>
    </w:p>
    <w:p w14:paraId="5D6B5C32" w14:textId="77777777" w:rsidR="000C7DD6" w:rsidRPr="00951B40" w:rsidRDefault="000C7DD6" w:rsidP="000C7DD6">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Конструктивное исполнение должно было осуществляться по одному из двух вариантов. 1-й вариант: «Катер реданный, стальной. При проектировании ориентироваться на моторы ГМ-34 в 1000 л. с. или на моторы в 1500 сил, тре</w:t>
      </w:r>
      <w:r w:rsidRPr="00951B40">
        <w:rPr>
          <w:rStyle w:val="aff"/>
          <w:rFonts w:ascii="Times New Roman" w:hAnsi="Times New Roman" w:cs="Times New Roman"/>
          <w:color w:val="0070C0"/>
          <w:spacing w:val="0"/>
          <w:sz w:val="16"/>
          <w:szCs w:val="16"/>
        </w:rPr>
        <w:softHyphen/>
        <w:t>бующие проектирования и постановки производства. Жилых помещений не делать. Предусмотреть временное раз</w:t>
      </w:r>
      <w:r w:rsidRPr="00951B40">
        <w:rPr>
          <w:rStyle w:val="aff"/>
          <w:rFonts w:ascii="Times New Roman" w:hAnsi="Times New Roman" w:cs="Times New Roman"/>
          <w:color w:val="0070C0"/>
          <w:spacing w:val="0"/>
          <w:sz w:val="16"/>
          <w:szCs w:val="16"/>
        </w:rPr>
        <w:softHyphen/>
        <w:t>мещение личного состава». 2-й вариант предусматривал создание килевого глис</w:t>
      </w:r>
      <w:r w:rsidRPr="00951B40">
        <w:rPr>
          <w:rStyle w:val="aff"/>
          <w:rFonts w:ascii="Times New Roman" w:hAnsi="Times New Roman" w:cs="Times New Roman"/>
          <w:color w:val="0070C0"/>
          <w:spacing w:val="0"/>
          <w:sz w:val="16"/>
          <w:szCs w:val="16"/>
        </w:rPr>
        <w:softHyphen/>
        <w:t>сера, который с теми же моторами дол</w:t>
      </w:r>
      <w:r w:rsidRPr="00951B40">
        <w:rPr>
          <w:rStyle w:val="aff"/>
          <w:rFonts w:ascii="Times New Roman" w:hAnsi="Times New Roman" w:cs="Times New Roman"/>
          <w:color w:val="0070C0"/>
          <w:spacing w:val="0"/>
          <w:sz w:val="16"/>
          <w:szCs w:val="16"/>
        </w:rPr>
        <w:softHyphen/>
        <w:t>жен был развить скорость 40-42 узла, но иметь мореходность до 5-6 баллов. При этом требовалось создать два теоретиче</w:t>
      </w:r>
      <w:r w:rsidRPr="00951B40">
        <w:rPr>
          <w:rStyle w:val="aff"/>
          <w:rFonts w:ascii="Times New Roman" w:hAnsi="Times New Roman" w:cs="Times New Roman"/>
          <w:color w:val="0070C0"/>
          <w:spacing w:val="0"/>
          <w:sz w:val="16"/>
          <w:szCs w:val="16"/>
        </w:rPr>
        <w:softHyphen/>
        <w:t xml:space="preserve">ских чертежа - круглоскулой и </w:t>
      </w:r>
      <w:r w:rsidRPr="00951B40">
        <w:rPr>
          <w:rStyle w:val="aff"/>
          <w:rFonts w:ascii="Times New Roman" w:hAnsi="Times New Roman" w:cs="Times New Roman"/>
          <w:color w:val="0070C0"/>
          <w:spacing w:val="0"/>
          <w:sz w:val="16"/>
          <w:szCs w:val="16"/>
          <w:lang w:val="en-US"/>
        </w:rPr>
        <w:t>V</w:t>
      </w:r>
      <w:r w:rsidRPr="00951B40">
        <w:rPr>
          <w:rStyle w:val="aff"/>
          <w:rFonts w:ascii="Times New Roman" w:hAnsi="Times New Roman" w:cs="Times New Roman"/>
          <w:color w:val="0070C0"/>
          <w:spacing w:val="0"/>
          <w:sz w:val="16"/>
          <w:szCs w:val="16"/>
        </w:rPr>
        <w:t>-образной формы для испытания моделей. Со</w:t>
      </w:r>
      <w:r w:rsidRPr="00951B40">
        <w:rPr>
          <w:rStyle w:val="aff"/>
          <w:rFonts w:ascii="Times New Roman" w:hAnsi="Times New Roman" w:cs="Times New Roman"/>
          <w:color w:val="0070C0"/>
          <w:spacing w:val="0"/>
          <w:sz w:val="16"/>
          <w:szCs w:val="16"/>
        </w:rPr>
        <w:softHyphen/>
        <w:t>вместные предложения наркоматов и Остехбюро по строительству «спецкатеров», как тогда часто называли катера</w:t>
      </w:r>
      <w:r w:rsidRPr="00951B40">
        <w:rPr>
          <w:rStyle w:val="article-statdate"/>
          <w:rFonts w:ascii="Times New Roman" w:hAnsi="Times New Roman"/>
          <w:color w:val="0070C0"/>
          <w:sz w:val="16"/>
          <w:szCs w:val="16"/>
        </w:rPr>
        <w:t xml:space="preserve"> </w:t>
      </w:r>
      <w:r w:rsidRPr="00951B40">
        <w:rPr>
          <w:rStyle w:val="aff"/>
          <w:rFonts w:ascii="Times New Roman" w:hAnsi="Times New Roman" w:cs="Times New Roman"/>
          <w:color w:val="0070C0"/>
          <w:spacing w:val="0"/>
          <w:sz w:val="16"/>
          <w:szCs w:val="16"/>
        </w:rPr>
        <w:t>ВУ, были направлены в правительство, но соответствующее постановление СТО - №510/170/сс - появилось только 11 мая 1932 г. (25781).</w:t>
      </w:r>
    </w:p>
    <w:p w14:paraId="7ABCD23C" w14:textId="77777777" w:rsidR="000C7DD6" w:rsidRPr="00951B40" w:rsidRDefault="000C7DD6" w:rsidP="000C7DD6">
      <w:pPr>
        <w:spacing w:after="0" w:line="240" w:lineRule="auto"/>
        <w:jc w:val="both"/>
        <w:rPr>
          <w:rStyle w:val="aff"/>
          <w:rFonts w:ascii="Times New Roman" w:hAnsi="Times New Roman" w:cs="Times New Roman"/>
          <w:color w:val="0070C0"/>
          <w:spacing w:val="0"/>
          <w:sz w:val="16"/>
          <w:szCs w:val="16"/>
        </w:rPr>
      </w:pPr>
    </w:p>
    <w:p w14:paraId="618E088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0EB22A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79E20A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марта 1932 газета «Правда» опубликовала статью Горького «С кем вы, мастера культуры?» (4962).</w:t>
      </w:r>
    </w:p>
    <w:p w14:paraId="0858D1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6E2736" w14:textId="77777777" w:rsidR="00F91DA7" w:rsidRPr="00E93F40" w:rsidRDefault="00F91D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22 марта</w:t>
      </w:r>
      <w:r w:rsidRPr="00E93F40">
        <w:rPr>
          <w:rFonts w:ascii="Times New Roman" w:hAnsi="Times New Roman"/>
          <w:color w:val="000000" w:themeColor="text1"/>
          <w:sz w:val="16"/>
          <w:szCs w:val="16"/>
        </w:rPr>
        <w:t xml:space="preserve"> в 1932 году в один день «Правда» и «Известия» напечатали знаменитую статью-памфлет Максима Горького «С кем вы, «мастера культуры»? Ответ американским корреспондентам». Из курортного Сорренто (под Неаполем) «Буревестник революции» поучал: «Вы, интеллигенты, мастера культуры, должны бы понять, что рабочий класс, взяв в свои руки политическую власть, откроет перед вами широчайшие возможности культурного творчества. Посмотрите, какой суровый урок дала история русским интеллигентам: они не пошли со своим рабочим народом и вот разлагаются в бессильной злобе, гниют в эмиграции. Скоро они поголовно вымрут, оставив память о себе как о предателях» (15076).</w:t>
      </w:r>
    </w:p>
    <w:p w14:paraId="66E31EC7" w14:textId="77777777" w:rsidR="00F91DA7" w:rsidRPr="00E93F40" w:rsidRDefault="00F91DA7" w:rsidP="00E93F40">
      <w:pPr>
        <w:spacing w:after="0" w:line="240" w:lineRule="auto"/>
        <w:jc w:val="both"/>
        <w:rPr>
          <w:rFonts w:ascii="Times New Roman" w:hAnsi="Times New Roman"/>
          <w:color w:val="000000" w:themeColor="text1"/>
          <w:sz w:val="16"/>
          <w:szCs w:val="16"/>
        </w:rPr>
      </w:pPr>
    </w:p>
    <w:p w14:paraId="04D715AF"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марта 1932 года газета «Правда» опубликовала статью М.Горького «С кем вы, мастера культуры?». 11 цитат из статьи великого писателя, «буревестника революции»...</w:t>
      </w:r>
    </w:p>
    <w:p w14:paraId="4A678E0D"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«...Тревожные крики интеллигентов стали обычными. Это естественно: работа интеллигенции всегда сводилась - главным образом - к делу... утешения богатых в пошлых горестях их жизни...»</w:t>
      </w:r>
    </w:p>
    <w:p w14:paraId="01C15A66"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«Европейская буржуазия, в ее современном настроении, вполне способна «провести закон»... об истреблении всех, мыслящих несогласно с нею».</w:t>
      </w:r>
    </w:p>
    <w:p w14:paraId="71B5AE14"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«На почве соревнования в грабеже возникают противоречия, угрожающие тревогами новой всемирной бойни».</w:t>
      </w:r>
    </w:p>
    <w:p w14:paraId="61E429DB"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«Наука для класса буржуазии существует настолько, насколько она способна служить целям его обогащения, регулировать деятельность его желудочно-кишечной сферы и поднимать его половую энергию развратника».</w:t>
      </w:r>
    </w:p>
    <w:p w14:paraId="09269965"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 разлагающем влиянии буржуазного кино не стоит говорить, это совершенно ясно. Использовав все темы сентиментализма, оно начинает демонстрировать физические уродства... В Голливудской студии Метро-Гольдвин-Майер собралась оригинальная труппа для работы над фильмом «Причуды». В ее составе - Ку-Ку, девушка-птица, имеющая большое сходство с аистом; П. Робинзон, человеческий скелет; Марта, родившаяся с одной рукой, искусная мастерица вязать кружева ногами. Доставлены в студию Шильце, прозванная «голова-шпилька», - женщина с нормальным телом, но с необыкновенно маленькой головой, похожей на шпильку; Ольга - женщина с мужской окладистой бородой; Жозефина-Жозеф, наполовину женщина, наполовину мужчина; сиамские сестры-близнецы Гильтон, карлики, лилипуты».</w:t>
      </w:r>
    </w:p>
    <w:p w14:paraId="28D75B36"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«Не будет преувеличением, если сказать, что пресса Европы и Америки усердно и почти исключительно занимается делом понижения культурного уровня своих читателей, - уровня и без ее помощи низкого. Обслуживая интересы... своих работодателей, искусно умея раздуть муху до размеров слона, журналисты не ставят своей целью укрощение свиньи, хотя, конечно, видят, что свинья обезумела и бесится».</w:t>
      </w:r>
    </w:p>
    <w:p w14:paraId="68D2DDD6"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«У американцев есть привычка хвастаться тем, что в США мальчики - торговцы газетами - возвышаются до карьеры президентов. Напоминая об этом, я хочу отметить только ловкость мальчиков, но не таланты президентов, - о талантах последних мне ничего не известно».</w:t>
      </w:r>
    </w:p>
    <w:p w14:paraId="7C9555EC"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«Сообразите: несколько десятков тысяч хищников и авантюристов желают вечно и спокойно жить за счет силы миллиарда трудящихся. Это - нормально? Это - было, это - есть, но хватит ли у вас храбрости утверждать, что это и должно быть так, как оно есть?»</w:t>
      </w:r>
    </w:p>
    <w:p w14:paraId="080E3041"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«Проповедь любви бедного к богатому, рабочего к хозяину - не мое ремесло. Я не способен утешать. Я слишком давно и хорошо знаю, что весь мир живет в атмосфере ненависти, я вижу, что она становится все гуще, активней, благотворней».</w:t>
      </w:r>
    </w:p>
    <w:p w14:paraId="235DE849"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10.«Культурный идиотизм мелкого собственника совершенно равен таковому же идиотизму миллионера; вы, интеллигенты, должны бы хорошо видеть и чувствовать это».</w:t>
      </w:r>
    </w:p>
    <w:p w14:paraId="64A4F49C" w14:textId="77777777" w:rsidR="00A160F2" w:rsidRPr="00E93F40" w:rsidRDefault="00A160F2" w:rsidP="00A160F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11.«Пора вам решить вопрос: с кем вы, «мастера культуры»? С чернорабочей силой культуры за создание новых форм жизни или вы против этой силы, за сохранение касты безответственных хищников?» (21176).</w:t>
      </w:r>
    </w:p>
    <w:p w14:paraId="2748F870" w14:textId="77777777" w:rsidR="00A160F2" w:rsidRPr="00E93F40" w:rsidRDefault="00A160F2" w:rsidP="00A160F2">
      <w:pPr>
        <w:spacing w:after="0" w:line="240" w:lineRule="auto"/>
        <w:jc w:val="both"/>
        <w:rPr>
          <w:rFonts w:ascii="Times New Roman" w:hAnsi="Times New Roman"/>
          <w:color w:val="000000" w:themeColor="text1"/>
          <w:sz w:val="16"/>
          <w:szCs w:val="16"/>
        </w:rPr>
      </w:pPr>
    </w:p>
    <w:p w14:paraId="3220A22B" w14:textId="77777777" w:rsidR="00FA6E96"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8FA1859" w14:textId="77777777" w:rsidR="00FA6E96" w:rsidRPr="00E93F40" w:rsidRDefault="00FA6E9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84E82C" w14:textId="77777777" w:rsidR="00FA6E96" w:rsidRPr="00E93F40" w:rsidRDefault="00FA6E9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г. на совещании у заместителя председателя РВС СССР приняли ре</w:t>
      </w:r>
      <w:r w:rsidRPr="00E93F40">
        <w:rPr>
          <w:rFonts w:ascii="Times New Roman" w:hAnsi="Times New Roman"/>
          <w:color w:val="000000" w:themeColor="text1"/>
          <w:sz w:val="16"/>
          <w:szCs w:val="16"/>
        </w:rPr>
        <w:softHyphen/>
        <w:t>шение: ЦАГИ к 3 апреля 1932 г. устранить тряску хвостового оперения и подготовить са</w:t>
      </w:r>
      <w:r w:rsidRPr="00E93F40">
        <w:rPr>
          <w:rFonts w:ascii="Times New Roman" w:hAnsi="Times New Roman"/>
          <w:color w:val="000000" w:themeColor="text1"/>
          <w:sz w:val="16"/>
          <w:szCs w:val="16"/>
        </w:rPr>
        <w:softHyphen/>
        <w:t>молёт И-12 к проведению испытаний; Л.В. Курчевскому произвести усиление сопел пушек (15823).</w:t>
      </w:r>
    </w:p>
    <w:p w14:paraId="0ECBB1A9" w14:textId="77777777" w:rsidR="00FA6E96" w:rsidRPr="00E93F40" w:rsidRDefault="00FA6E96" w:rsidP="00E93F40">
      <w:pPr>
        <w:spacing w:after="0" w:line="240" w:lineRule="auto"/>
        <w:jc w:val="both"/>
        <w:rPr>
          <w:rFonts w:ascii="Times New Roman" w:hAnsi="Times New Roman"/>
          <w:color w:val="000000" w:themeColor="text1"/>
          <w:sz w:val="16"/>
          <w:szCs w:val="16"/>
        </w:rPr>
      </w:pPr>
    </w:p>
    <w:p w14:paraId="376B536C" w14:textId="77777777" w:rsidR="00716F88" w:rsidRPr="00E93F40" w:rsidRDefault="00716F88" w:rsidP="00E93F40">
      <w:pPr>
        <w:pStyle w:val="rtejustify"/>
        <w:shd w:val="clear" w:color="auto" w:fill="FFFFFF"/>
        <w:spacing w:before="0" w:after="0"/>
        <w:rPr>
          <w:color w:val="000000" w:themeColor="text1"/>
          <w:sz w:val="16"/>
          <w:szCs w:val="16"/>
        </w:rPr>
      </w:pPr>
      <w:r w:rsidRPr="00E93F40">
        <w:rPr>
          <w:color w:val="000000" w:themeColor="text1"/>
          <w:sz w:val="16"/>
          <w:szCs w:val="16"/>
        </w:rPr>
        <w:t>23 марта 1932 года на совещании у заместителя председателя РВС СССР было принято решение: ЦАГИ к 3 апреля 1932 года устранить тряску хвостового оперения и подготовить самолет И-12 к проведению испытаний; Л. В. Курчевскому произвести усиление сопел пушек (19172).</w:t>
      </w:r>
    </w:p>
    <w:p w14:paraId="2B6C2476" w14:textId="77777777" w:rsidR="00716F88" w:rsidRPr="00E93F40" w:rsidRDefault="00716F88" w:rsidP="00E93F40">
      <w:pPr>
        <w:pStyle w:val="ae"/>
        <w:shd w:val="clear" w:color="auto" w:fill="FFFFFF"/>
        <w:spacing w:before="0" w:after="0"/>
        <w:jc w:val="both"/>
        <w:textAlignment w:val="baseline"/>
        <w:rPr>
          <w:color w:val="000000" w:themeColor="text1"/>
          <w:sz w:val="16"/>
          <w:szCs w:val="16"/>
        </w:rPr>
      </w:pPr>
    </w:p>
    <w:p w14:paraId="6EBF8E9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5CF35B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4D7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приказом Реввоенсовета на вооружение приняли 45-мм противотанковую пушку образца 1932 (1073,30).</w:t>
      </w:r>
    </w:p>
    <w:p w14:paraId="6B828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5EBBE2"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93. Опросом членов ПБ от 23 марта 1932 г. 54/17. О развертывании морского судостроения в 1932?1934 гг. (ПБ от 1 ноября 1931 г., пр. № 72, п. 10). (Политбюро.. . Т. 2. С. 286) (12416).</w:t>
      </w:r>
    </w:p>
    <w:p w14:paraId="6F5A72A3"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p>
    <w:p w14:paraId="7BECD77D"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271/100сс о дополнительных фондах Цудортрансу на 1932 г. для выполнения дорожных работ по Дальневосточному краю (ГА РФ. Ф. Р?8418. Оп. 28. Д. 1а. Л. 175?180) (12415).</w:t>
      </w:r>
    </w:p>
    <w:p w14:paraId="4813D56A"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275/101сс о дополнительном ассигновании по особым мероприятиям (ГА РФ. Ф. Р?8418. Оп. 28. Д. 1а. Л. 181?182) (12415).</w:t>
      </w:r>
    </w:p>
    <w:p w14:paraId="3BEF18DA"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p>
    <w:p w14:paraId="5E9938C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37237B5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3E8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января, 15 февраля и 23 марта 1932 Комиссия Обороны СССР в своих решениях разработала практические меры по усилению военной авиации на Дальнем востоке. Сюда перебросили две ТБ эскадрильи (66,186).</w:t>
      </w:r>
    </w:p>
    <w:p w14:paraId="65479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CDCE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считается датой решения о формировании тяжелых авиационных корпусов (69,28).</w:t>
      </w:r>
    </w:p>
    <w:p w14:paraId="20652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3A8103" w14:textId="77777777" w:rsidR="00611CD0" w:rsidRPr="00E93F40" w:rsidRDefault="00611CD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23 марта 1932 КО рассматривал Мероприятия НКВМ по усилению ВВС ОКДВА (от 23.3.1932 г.); (№ 481/ко от 25.3.1932 г.) (21263)</w:t>
      </w:r>
    </w:p>
    <w:p w14:paraId="35744235" w14:textId="77777777" w:rsidR="00611CD0" w:rsidRPr="00E93F40" w:rsidRDefault="00611CD0" w:rsidP="00E93F40">
      <w:pPr>
        <w:spacing w:after="0" w:line="240" w:lineRule="auto"/>
        <w:jc w:val="both"/>
        <w:rPr>
          <w:rFonts w:ascii="Times New Roman" w:hAnsi="Times New Roman"/>
          <w:color w:val="000000" w:themeColor="text1"/>
          <w:sz w:val="16"/>
          <w:szCs w:val="16"/>
        </w:rPr>
      </w:pPr>
    </w:p>
    <w:p w14:paraId="481CB73B" w14:textId="77777777" w:rsidR="00611CD0" w:rsidRPr="00E93F40" w:rsidRDefault="00611CD0" w:rsidP="00E93F40">
      <w:pPr>
        <w:spacing w:after="0" w:line="240" w:lineRule="auto"/>
        <w:jc w:val="both"/>
        <w:rPr>
          <w:rFonts w:ascii="Times New Roman" w:hAnsi="Times New Roman"/>
          <w:color w:val="000000" w:themeColor="text1"/>
          <w:sz w:val="16"/>
          <w:szCs w:val="16"/>
        </w:rPr>
      </w:pPr>
      <w:r w:rsidRPr="00E93F40">
        <w:rPr>
          <w:rFonts w:ascii="Times New Roman" w:eastAsia="Times New Roman" w:hAnsi="Times New Roman"/>
          <w:color w:val="000000" w:themeColor="text1"/>
          <w:sz w:val="16"/>
          <w:szCs w:val="16"/>
          <w:lang w:eastAsia="ru-RU"/>
        </w:rPr>
        <w:t>23 марта 1932 РВСС принял постановление "Об основах организации военно-воздушных сил РККА" (22725).</w:t>
      </w:r>
    </w:p>
    <w:p w14:paraId="10AE3352" w14:textId="77777777" w:rsidR="00611CD0" w:rsidRPr="00E93F40" w:rsidRDefault="00611CD0" w:rsidP="00E93F40">
      <w:pPr>
        <w:spacing w:after="0" w:line="240" w:lineRule="auto"/>
        <w:jc w:val="both"/>
        <w:rPr>
          <w:rFonts w:ascii="Times New Roman" w:hAnsi="Times New Roman"/>
          <w:color w:val="000000" w:themeColor="text1"/>
          <w:sz w:val="16"/>
          <w:szCs w:val="16"/>
        </w:rPr>
      </w:pPr>
    </w:p>
    <w:p w14:paraId="646F85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на заседании РВС были обсуждены постановление предложения по теории строительства и боевого применения авиации и в результате появилось постановление РВС (505,115).</w:t>
      </w:r>
    </w:p>
    <w:p w14:paraId="255A7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5B949C" w14:textId="77777777" w:rsidR="007B1D3C" w:rsidRPr="00E93F40" w:rsidRDefault="007B1D3C" w:rsidP="00E93F4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Постановлением Реввоенсовета СССР была приня</w:t>
      </w:r>
      <w:r w:rsidRPr="00E93F40">
        <w:rPr>
          <w:rFonts w:ascii="Times New Roman" w:hAnsi="Times New Roman"/>
          <w:color w:val="000000" w:themeColor="text1"/>
          <w:sz w:val="16"/>
          <w:szCs w:val="16"/>
        </w:rPr>
        <w:softHyphen/>
        <w:t>та доктрина ВВС КА, коренным обра</w:t>
      </w:r>
      <w:r w:rsidRPr="00E93F40">
        <w:rPr>
          <w:rFonts w:ascii="Times New Roman" w:hAnsi="Times New Roman"/>
          <w:color w:val="000000" w:themeColor="text1"/>
          <w:sz w:val="16"/>
          <w:szCs w:val="16"/>
        </w:rPr>
        <w:softHyphen/>
        <w:t>зом пересмотревшая основы организа</w:t>
      </w:r>
      <w:r w:rsidRPr="00E93F40">
        <w:rPr>
          <w:rFonts w:ascii="Times New Roman" w:hAnsi="Times New Roman"/>
          <w:color w:val="000000" w:themeColor="text1"/>
          <w:sz w:val="16"/>
          <w:szCs w:val="16"/>
        </w:rPr>
        <w:softHyphen/>
        <w:t>ции и боевого применения авиации Красной Армии. Отныне строительство ВВС КА подчинялось идее массирован</w:t>
      </w:r>
      <w:r w:rsidRPr="00E93F40">
        <w:rPr>
          <w:rFonts w:ascii="Times New Roman" w:hAnsi="Times New Roman"/>
          <w:color w:val="000000" w:themeColor="text1"/>
          <w:sz w:val="16"/>
          <w:szCs w:val="16"/>
        </w:rPr>
        <w:softHyphen/>
        <w:t>ного применения авиации как основ</w:t>
      </w:r>
      <w:r w:rsidRPr="00E93F40">
        <w:rPr>
          <w:rFonts w:ascii="Times New Roman" w:hAnsi="Times New Roman"/>
          <w:color w:val="000000" w:themeColor="text1"/>
          <w:sz w:val="16"/>
          <w:szCs w:val="16"/>
        </w:rPr>
        <w:softHyphen/>
        <w:t>ной формы стратегического и опера</w:t>
      </w:r>
      <w:r w:rsidRPr="00E93F40">
        <w:rPr>
          <w:rFonts w:ascii="Times New Roman" w:hAnsi="Times New Roman"/>
          <w:color w:val="000000" w:themeColor="text1"/>
          <w:sz w:val="16"/>
          <w:szCs w:val="16"/>
        </w:rPr>
        <w:softHyphen/>
        <w:t>тивно-тактического использования воз</w:t>
      </w:r>
      <w:r w:rsidRPr="00E93F40">
        <w:rPr>
          <w:rFonts w:ascii="Times New Roman" w:hAnsi="Times New Roman"/>
          <w:color w:val="000000" w:themeColor="text1"/>
          <w:sz w:val="16"/>
          <w:szCs w:val="16"/>
        </w:rPr>
        <w:softHyphen/>
        <w:t>душных сил. При этом определившее</w:t>
      </w:r>
      <w:r w:rsidRPr="00E93F40">
        <w:rPr>
          <w:rFonts w:ascii="Times New Roman" w:hAnsi="Times New Roman"/>
          <w:color w:val="000000" w:themeColor="text1"/>
          <w:sz w:val="16"/>
          <w:szCs w:val="16"/>
        </w:rPr>
        <w:softHyphen/>
        <w:t>ся боевое значение и техническое раз</w:t>
      </w:r>
      <w:r w:rsidRPr="00E93F40">
        <w:rPr>
          <w:rFonts w:ascii="Times New Roman" w:hAnsi="Times New Roman"/>
          <w:color w:val="000000" w:themeColor="text1"/>
          <w:sz w:val="16"/>
          <w:szCs w:val="16"/>
        </w:rPr>
        <w:softHyphen/>
        <w:t xml:space="preserve">витие ВВС переводило их </w:t>
      </w:r>
      <w:r w:rsidRPr="00E93F40">
        <w:rPr>
          <w:rFonts w:ascii="Times New Roman" w:hAnsi="Times New Roman"/>
          <w:iCs/>
          <w:color w:val="000000" w:themeColor="text1"/>
          <w:sz w:val="16"/>
          <w:szCs w:val="16"/>
        </w:rPr>
        <w:t>“из оружия вспомогательного назначения, кото</w:t>
      </w:r>
      <w:r w:rsidRPr="00E93F40">
        <w:rPr>
          <w:rFonts w:ascii="Times New Roman" w:hAnsi="Times New Roman"/>
          <w:iCs/>
          <w:color w:val="000000" w:themeColor="text1"/>
          <w:sz w:val="16"/>
          <w:szCs w:val="16"/>
        </w:rPr>
        <w:softHyphen/>
        <w:t>рое они по существу занимали до сих пор, на роль самостоятельного рода войск”.</w:t>
      </w:r>
      <w:r w:rsidRPr="00E93F40">
        <w:rPr>
          <w:rFonts w:ascii="Times New Roman" w:hAnsi="Times New Roman"/>
          <w:color w:val="000000" w:themeColor="text1"/>
          <w:sz w:val="16"/>
          <w:szCs w:val="16"/>
        </w:rPr>
        <w:t xml:space="preserve"> Предполагалось, что с началом войны вся наличная боевая авиация Красной Армии в оперативном взаи</w:t>
      </w:r>
      <w:r w:rsidRPr="00E93F40">
        <w:rPr>
          <w:rFonts w:ascii="Times New Roman" w:hAnsi="Times New Roman"/>
          <w:color w:val="000000" w:themeColor="text1"/>
          <w:sz w:val="16"/>
          <w:szCs w:val="16"/>
        </w:rPr>
        <w:softHyphen/>
        <w:t xml:space="preserve">модействии с другими родами войск, </w:t>
      </w:r>
      <w:r w:rsidRPr="00E93F40">
        <w:rPr>
          <w:rFonts w:ascii="Times New Roman" w:hAnsi="Times New Roman"/>
          <w:iCs/>
          <w:color w:val="000000" w:themeColor="text1"/>
          <w:sz w:val="16"/>
          <w:szCs w:val="16"/>
        </w:rPr>
        <w:t>“особенно с мотомеханизированными соединениями, стратегической конницей и морскими силами”,</w:t>
      </w:r>
      <w:r w:rsidRPr="00E93F40">
        <w:rPr>
          <w:rFonts w:ascii="Times New Roman" w:hAnsi="Times New Roman"/>
          <w:color w:val="000000" w:themeColor="text1"/>
          <w:sz w:val="16"/>
          <w:szCs w:val="16"/>
        </w:rPr>
        <w:t xml:space="preserve"> будет массироваться для самостоятельных действий по завоеванию господства в воздухе, дезорганизации тыла против</w:t>
      </w:r>
      <w:r w:rsidRPr="00E93F40">
        <w:rPr>
          <w:rFonts w:ascii="Times New Roman" w:hAnsi="Times New Roman"/>
          <w:color w:val="000000" w:themeColor="text1"/>
          <w:sz w:val="16"/>
          <w:szCs w:val="16"/>
        </w:rPr>
        <w:softHyphen/>
        <w:t>ника, срыва мобилизации и сосредото</w:t>
      </w:r>
      <w:r w:rsidRPr="00E93F40">
        <w:rPr>
          <w:rFonts w:ascii="Times New Roman" w:hAnsi="Times New Roman"/>
          <w:color w:val="000000" w:themeColor="text1"/>
          <w:sz w:val="16"/>
          <w:szCs w:val="16"/>
        </w:rPr>
        <w:softHyphen/>
        <w:t>чения его войск, а также для уничто</w:t>
      </w:r>
      <w:r w:rsidRPr="00E93F40">
        <w:rPr>
          <w:rFonts w:ascii="Times New Roman" w:hAnsi="Times New Roman"/>
          <w:color w:val="000000" w:themeColor="text1"/>
          <w:sz w:val="16"/>
          <w:szCs w:val="16"/>
        </w:rPr>
        <w:softHyphen/>
        <w:t>жения его морского флота. Принятие доктрины ВВС вполне обеспечивало успешное выполнение авиацией боевых задач в глубокой на</w:t>
      </w:r>
      <w:r w:rsidRPr="00E93F40">
        <w:rPr>
          <w:rFonts w:ascii="Times New Roman" w:hAnsi="Times New Roman"/>
          <w:color w:val="000000" w:themeColor="text1"/>
          <w:sz w:val="16"/>
          <w:szCs w:val="16"/>
        </w:rPr>
        <w:softHyphen/>
        <w:t>ступательной операции, разработка теории которой была практически пол</w:t>
      </w:r>
      <w:r w:rsidRPr="00E93F40">
        <w:rPr>
          <w:rFonts w:ascii="Times New Roman" w:hAnsi="Times New Roman"/>
          <w:color w:val="000000" w:themeColor="text1"/>
          <w:sz w:val="16"/>
          <w:szCs w:val="16"/>
        </w:rPr>
        <w:softHyphen/>
        <w:t>ностью завершена Генеральным шта</w:t>
      </w:r>
      <w:r w:rsidRPr="00E93F40">
        <w:rPr>
          <w:rFonts w:ascii="Times New Roman" w:hAnsi="Times New Roman"/>
          <w:color w:val="000000" w:themeColor="text1"/>
          <w:sz w:val="16"/>
          <w:szCs w:val="16"/>
        </w:rPr>
        <w:softHyphen/>
        <w:t>бом к середине 1935 г. Основные положения глубокой на</w:t>
      </w:r>
      <w:r w:rsidRPr="00E93F40">
        <w:rPr>
          <w:rFonts w:ascii="Times New Roman" w:hAnsi="Times New Roman"/>
          <w:color w:val="000000" w:themeColor="text1"/>
          <w:sz w:val="16"/>
          <w:szCs w:val="16"/>
        </w:rPr>
        <w:softHyphen/>
        <w:t>ступательной операции во всей широ</w:t>
      </w:r>
      <w:r w:rsidRPr="00E93F40">
        <w:rPr>
          <w:rFonts w:ascii="Times New Roman" w:hAnsi="Times New Roman"/>
          <w:color w:val="000000" w:themeColor="text1"/>
          <w:sz w:val="16"/>
          <w:szCs w:val="16"/>
        </w:rPr>
        <w:softHyphen/>
        <w:t>те впервые проверялись осенью 1935 г. (с 12.09 по 15.09) в Киевском осо</w:t>
      </w:r>
      <w:r w:rsidRPr="00E93F40">
        <w:rPr>
          <w:rFonts w:ascii="Times New Roman" w:hAnsi="Times New Roman"/>
          <w:color w:val="000000" w:themeColor="text1"/>
          <w:sz w:val="16"/>
          <w:szCs w:val="16"/>
        </w:rPr>
        <w:softHyphen/>
        <w:t>бом военном округе во время маневров. На маневрах в присутствии воен</w:t>
      </w:r>
      <w:r w:rsidRPr="00E93F40">
        <w:rPr>
          <w:rFonts w:ascii="Times New Roman" w:hAnsi="Times New Roman"/>
          <w:color w:val="000000" w:themeColor="text1"/>
          <w:sz w:val="16"/>
          <w:szCs w:val="16"/>
        </w:rPr>
        <w:softHyphen/>
        <w:t>ных специалистов ведущих мировых держав был осуществлен прорыв обо</w:t>
      </w:r>
      <w:r w:rsidRPr="00E93F40">
        <w:rPr>
          <w:rFonts w:ascii="Times New Roman" w:hAnsi="Times New Roman"/>
          <w:color w:val="000000" w:themeColor="text1"/>
          <w:sz w:val="16"/>
          <w:szCs w:val="16"/>
        </w:rPr>
        <w:softHyphen/>
        <w:t>роны противника пехотой при поддер</w:t>
      </w:r>
      <w:r w:rsidRPr="00E93F40">
        <w:rPr>
          <w:rFonts w:ascii="Times New Roman" w:hAnsi="Times New Roman"/>
          <w:color w:val="000000" w:themeColor="text1"/>
          <w:sz w:val="16"/>
          <w:szCs w:val="16"/>
        </w:rPr>
        <w:softHyphen/>
        <w:t>жке тяжелых танков, ввод в прорыв под прикрытием дымовой завесы крупной танковой группы, поддержанной штур</w:t>
      </w:r>
      <w:r w:rsidRPr="00E93F40">
        <w:rPr>
          <w:rFonts w:ascii="Times New Roman" w:hAnsi="Times New Roman"/>
          <w:color w:val="000000" w:themeColor="text1"/>
          <w:sz w:val="16"/>
          <w:szCs w:val="16"/>
        </w:rPr>
        <w:softHyphen/>
        <w:t>мовиками, а затем окружение и унич</w:t>
      </w:r>
      <w:r w:rsidRPr="00E93F40">
        <w:rPr>
          <w:rFonts w:ascii="Times New Roman" w:hAnsi="Times New Roman"/>
          <w:color w:val="000000" w:themeColor="text1"/>
          <w:sz w:val="16"/>
          <w:szCs w:val="16"/>
        </w:rPr>
        <w:softHyphen/>
        <w:t>тожение кавалерийского корпуса про</w:t>
      </w:r>
      <w:r w:rsidRPr="00E93F40">
        <w:rPr>
          <w:rFonts w:ascii="Times New Roman" w:hAnsi="Times New Roman"/>
          <w:color w:val="000000" w:themeColor="text1"/>
          <w:sz w:val="16"/>
          <w:szCs w:val="16"/>
        </w:rPr>
        <w:softHyphen/>
        <w:t>тивника. Кроме этого, в тыл “синим” с самолетов было десантировано 1200 парашютистов, которые после призем</w:t>
      </w:r>
      <w:r w:rsidRPr="00E93F40">
        <w:rPr>
          <w:rFonts w:ascii="Times New Roman" w:hAnsi="Times New Roman"/>
          <w:color w:val="000000" w:themeColor="text1"/>
          <w:sz w:val="16"/>
          <w:szCs w:val="16"/>
        </w:rPr>
        <w:softHyphen/>
        <w:t>ления организовали круговую оборону и обеспечили высадку с транспортных самолетов посадочным способом еще 2500 бойцов с вооружением и техни</w:t>
      </w:r>
      <w:r w:rsidRPr="00E93F40">
        <w:rPr>
          <w:rFonts w:ascii="Times New Roman" w:hAnsi="Times New Roman"/>
          <w:color w:val="000000" w:themeColor="text1"/>
          <w:sz w:val="16"/>
          <w:szCs w:val="16"/>
        </w:rPr>
        <w:softHyphen/>
        <w:t>кой...(6269).</w:t>
      </w:r>
    </w:p>
    <w:p w14:paraId="4660F2F9" w14:textId="77777777" w:rsidR="007B1D3C" w:rsidRPr="00E93F40" w:rsidRDefault="007B1D3C" w:rsidP="00E93F4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560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вышло постановление РВС "Об основах организации ВВС РККА" Констатировано, что ВВС стали самостоятельным родом войск и это требует реорганизации. ВВС поделили на: войсковую, армейскую, фронтовую. ТБА - средство ГК. В плане - корпуса и армии. Было признано, что нужна штурмовая как особый род, вооруженный спецсамолетом (66,181).</w:t>
      </w:r>
    </w:p>
    <w:p w14:paraId="50446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постановлении отмечалось, что "...для действий по живой силе и другим целям необходимо иметь штурмовую авиацию как особый род авиации, вооруженный специальным самолетом (66,181).</w:t>
      </w:r>
    </w:p>
    <w:p w14:paraId="6AF94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093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г. Постановлением Реввоенсовета СССР была принята доктрина ВВС РККА, коренным образом пересмотревшая основы организации и боевого применения авиации Красной армии. Отныне строительство ВВС подчинялось идее массированного применения авиации как основной формы стратегического и оперативно-тактического использования воздушных сил. При этом, определившееся боевое назначение и техническое развитие ВВС переводило их "из оружия вспомогательного назначения, которое они по существу занимали до сих пор, на роль самостоятельного рода войск". Предполагалось, что с началом войны вся наличная боевая авиация Красной армии в оперативном взаимодействии с другими родами войск, "особенно с мото-механизированными соединениями, стратегической конницей и морскими силами", будет массироваться для самостоятельных действий по завоеванию господства в воздухе, дезорганизации тыла противника, срыва мобилизации и сосредоточения его войск, а также для уничтожения вражеского флота (3145).</w:t>
      </w:r>
    </w:p>
    <w:p w14:paraId="729588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Принятие доктрины ВВС явилось закономерным итогом долгой и кропотливой работы Генерального штаба РККА еще с конца 20-х годов. Теория глубокой наступательной операции Красной армии, в которой авиации придавалась не последняя роль, разрабатывалась известными военачальниками того периода В. К. Триандафиловым и А. И. Егоровым (3145).</w:t>
      </w:r>
    </w:p>
    <w:p w14:paraId="6DAC9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Советские стратеги предполагали синхронно накрыть оборону противника на всю ее глубину всем имеющимся арсеналом боевых средств (авиабомбами, огнем артиллерии, атакой пехоты, поддержанной танками и авиацией, а также высадкой многочисленных десантов в районах сосредоточения крупных резервов), чем обеспечить быстрый прорыв тактической обороны противника, и стремительным вводом в образовавшуюся брешь мотомеханизированных и танковых соединений, поддерживаемых штурмовой авиацией, развить тактический успех в оперативный (3145).</w:t>
      </w:r>
    </w:p>
    <w:p w14:paraId="11CAB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 теорией глубокой наступательной операции (ГНО) военные специалисты детально прорабатывали и теорию глубокоэшелонированной оборонительной операции (ГОО). В этом случае предполагалось активными действиями (опять же с привлечением авиации) вымотать, обескровить и материально истощить основные ударные силы врага, а затем обеспечить благоприятные условия для перехода своих подвижных мотобронетанковых групп в контрнаступление, а в конечном итоге - нанести полное поражение всей группировке противника (3145).</w:t>
      </w:r>
    </w:p>
    <w:p w14:paraId="2A07B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76D2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г. Постановлением Реввоенсовета СССР была принята доктрина ВВС КА, коренным образом пересмотревшая основы организации и боевого применения авиации Красной армии. Отныне строительство ВВС КА подчинялось идее массированного применения авиации как основной формы стратегического и оперативно-тактического использования воздушных сил.</w:t>
      </w:r>
    </w:p>
    <w:p w14:paraId="3A805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этом, определившееся боевое значение и техническое развитие ВВС переводило их «из оружия вспомогательного назначения, которое они по существу занимал и до сих пор, на роль самостоятельного рода войск».</w:t>
      </w:r>
    </w:p>
    <w:p w14:paraId="67AFE5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Предполагалось, что с началом войны вся наличная боевая авиация Красной армии в оперативном взаимодействии с другими родами войск, «особенно с мото-механизированны-ми соединениями, стратегической конницей и морскими силами», будет массироваться для самостоятельных действий по завоеванию господства в воздухе, дезорганизации тыла противника, срыва мобилизации и сосредоточения его войск, а также для уничтожения его морского флота.</w:t>
      </w:r>
    </w:p>
    <w:p w14:paraId="61F34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соответствии с этими задачами тяжелая и другие виды авиации организационно сводились в крупные соединения, обеспечивающие по своему боевому составу и средствам управления самостоятельное решение оперативных задач.</w:t>
      </w:r>
    </w:p>
    <w:p w14:paraId="4C001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Легкобомбардировочная и штурмовая авиация Красной армии сводились в авиабригады в составе 3-4 эскадрилий (включая истребители), предназначенные главным образом для решения таких самостоятельных задач «как разрушение аэродромов и разгром воздушных сил противника, разрушение железнодорожных узлов, мостов, складов и уничтожение живой силы на поле боя».</w:t>
      </w:r>
    </w:p>
    <w:p w14:paraId="3B26B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Истребительная авиация, «помимо органичного включения ее в воздушные соединения как средство непосредственной обороны боевой авиации, в составе бригады отдельных эскадрилий, обеспечивает господство в воздухе на важнейших оперативных направлениях и во взаимодействии с другими средствами ПВО обороняет тыловые районы и пункты».</w:t>
      </w:r>
    </w:p>
    <w:p w14:paraId="5834C4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Тяжелобомбардировочная авиация сводилась в воздушные корпуса.</w:t>
      </w:r>
    </w:p>
    <w:p w14:paraId="7B6A5D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Войсковую и корабельную авиацию предполагалось «содержать в виде отдельных отрядов и звеньев для производства тактической разведки, корректировки артогня, связи и ПВО».</w:t>
      </w:r>
    </w:p>
    <w:p w14:paraId="3A841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этого, «для решения стратегических задач» авиация могла сводиться «в воздушные армии из всех видов и родов авиации, имея в составе такой армии 3-4 корпуса тяжелобомбардировочной авиации, 2-3 бригады легко-бомбардировочной и штурмовой авиации, 2-3 бригады истребителей»,</w:t>
      </w:r>
    </w:p>
    <w:p w14:paraId="78D9D5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доктрины главной задачей воздушной армии Красной армии являлось «одновременное действие на всей глубине определенной полосы, указан ной для данной воздушной армии»,</w:t>
      </w:r>
    </w:p>
    <w:p w14:paraId="57DC4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Принятие доктрины ВВС вполне обеспечивало успешное выполнение авиацией боевых задач в глубокой наступательной операции, разработка теории которой была практически полностью завершена Генеральным штабом Красной армии к середине 1935 г. (9649).</w:t>
      </w:r>
    </w:p>
    <w:p w14:paraId="39483B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1B74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г. Постановлением Реввоенсовета СССР вводи</w:t>
      </w:r>
      <w:r w:rsidRPr="00E93F40">
        <w:rPr>
          <w:rFonts w:ascii="Times New Roman" w:hAnsi="Times New Roman"/>
          <w:color w:val="000000" w:themeColor="text1"/>
          <w:sz w:val="16"/>
          <w:szCs w:val="16"/>
        </w:rPr>
        <w:softHyphen/>
        <w:t>лась доктрина ВВС КА, существен</w:t>
      </w:r>
      <w:r w:rsidRPr="00E93F40">
        <w:rPr>
          <w:rFonts w:ascii="Times New Roman" w:hAnsi="Times New Roman"/>
          <w:color w:val="000000" w:themeColor="text1"/>
          <w:sz w:val="16"/>
          <w:szCs w:val="16"/>
        </w:rPr>
        <w:softHyphen/>
        <w:t>но пересмотревшая основы орга</w:t>
      </w:r>
      <w:r w:rsidRPr="00E93F40">
        <w:rPr>
          <w:rFonts w:ascii="Times New Roman" w:hAnsi="Times New Roman"/>
          <w:color w:val="000000" w:themeColor="text1"/>
          <w:sz w:val="16"/>
          <w:szCs w:val="16"/>
        </w:rPr>
        <w:softHyphen/>
        <w:t>низации и применения авиации Красной Армии. По новой доктри</w:t>
      </w:r>
      <w:r w:rsidRPr="00E93F40">
        <w:rPr>
          <w:rFonts w:ascii="Times New Roman" w:hAnsi="Times New Roman"/>
          <w:color w:val="000000" w:themeColor="text1"/>
          <w:sz w:val="16"/>
          <w:szCs w:val="16"/>
        </w:rPr>
        <w:softHyphen/>
        <w:t>не строительство ВВС КА подчиня</w:t>
      </w:r>
      <w:r w:rsidRPr="00E93F40">
        <w:rPr>
          <w:rFonts w:ascii="Times New Roman" w:hAnsi="Times New Roman"/>
          <w:color w:val="000000" w:themeColor="text1"/>
          <w:sz w:val="16"/>
          <w:szCs w:val="16"/>
        </w:rPr>
        <w:softHyphen/>
        <w:t>лась идее широкого применения авиации при решении как опера</w:t>
      </w:r>
      <w:r w:rsidRPr="00E93F40">
        <w:rPr>
          <w:rFonts w:ascii="Times New Roman" w:hAnsi="Times New Roman"/>
          <w:color w:val="000000" w:themeColor="text1"/>
          <w:sz w:val="16"/>
          <w:szCs w:val="16"/>
        </w:rPr>
        <w:softHyphen/>
        <w:t>тивных, так и тактических задач. Тем самым ВВС из оружия вспомогатель</w:t>
      </w:r>
      <w:r w:rsidRPr="00E93F40">
        <w:rPr>
          <w:rFonts w:ascii="Times New Roman" w:hAnsi="Times New Roman"/>
          <w:color w:val="000000" w:themeColor="text1"/>
          <w:sz w:val="16"/>
          <w:szCs w:val="16"/>
        </w:rPr>
        <w:softHyphen/>
        <w:t>ного назначения переводились в самостоятельный вид вооружённых сил. Предполагалось, что с нача</w:t>
      </w:r>
      <w:r w:rsidRPr="00E93F40">
        <w:rPr>
          <w:rFonts w:ascii="Times New Roman" w:hAnsi="Times New Roman"/>
          <w:color w:val="000000" w:themeColor="text1"/>
          <w:sz w:val="16"/>
          <w:szCs w:val="16"/>
        </w:rPr>
        <w:softHyphen/>
        <w:t>лом войны авиация Красной Армии в оперативном взаимодействии с другими родами сил будет решать основные задачи, включая и унич</w:t>
      </w:r>
      <w:r w:rsidRPr="00E93F40">
        <w:rPr>
          <w:rFonts w:ascii="Times New Roman" w:hAnsi="Times New Roman"/>
          <w:color w:val="000000" w:themeColor="text1"/>
          <w:sz w:val="16"/>
          <w:szCs w:val="16"/>
        </w:rPr>
        <w:softHyphen/>
        <w:t>тожение морского флота против</w:t>
      </w:r>
      <w:r w:rsidRPr="00E93F40">
        <w:rPr>
          <w:rFonts w:ascii="Times New Roman" w:hAnsi="Times New Roman"/>
          <w:color w:val="000000" w:themeColor="text1"/>
          <w:sz w:val="16"/>
          <w:szCs w:val="16"/>
        </w:rPr>
        <w:softHyphen/>
        <w:t>ника. Доктрина ориентировалась на решение авиацией задач в глу</w:t>
      </w:r>
      <w:r w:rsidRPr="00E93F40">
        <w:rPr>
          <w:rFonts w:ascii="Times New Roman" w:hAnsi="Times New Roman"/>
          <w:color w:val="000000" w:themeColor="text1"/>
          <w:sz w:val="16"/>
          <w:szCs w:val="16"/>
        </w:rPr>
        <w:softHyphen/>
        <w:t>бокой наступательной операции, которую разработали к 1935 г.</w:t>
      </w:r>
    </w:p>
    <w:p w14:paraId="6F5AA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Определённый интерес пред</w:t>
      </w:r>
      <w:r w:rsidRPr="00E93F40">
        <w:rPr>
          <w:rFonts w:ascii="Times New Roman" w:hAnsi="Times New Roman"/>
          <w:color w:val="000000" w:themeColor="text1"/>
          <w:sz w:val="16"/>
          <w:szCs w:val="16"/>
        </w:rPr>
        <w:softHyphen/>
        <w:t>ставляют материалы тех лет, осо</w:t>
      </w:r>
      <w:r w:rsidRPr="00E93F40">
        <w:rPr>
          <w:rFonts w:ascii="Times New Roman" w:hAnsi="Times New Roman"/>
          <w:color w:val="000000" w:themeColor="text1"/>
          <w:sz w:val="16"/>
          <w:szCs w:val="16"/>
        </w:rPr>
        <w:softHyphen/>
        <w:t>бенно в части подхода к методике расчёта потребных сил и средств в случае военных действий, расходов на боевую подготовку и содержа</w:t>
      </w:r>
      <w:r w:rsidRPr="00E93F40">
        <w:rPr>
          <w:rFonts w:ascii="Times New Roman" w:hAnsi="Times New Roman"/>
          <w:color w:val="000000" w:themeColor="text1"/>
          <w:sz w:val="16"/>
          <w:szCs w:val="16"/>
        </w:rPr>
        <w:softHyphen/>
        <w:t>ние лётного состава. Согласно расчётам, в зависимости от типа самолёта в 1931 г. стоимость часа полёта составляла: для И-5 - 386 руб. 29 коп; Р-5 - 441 руб. 36 коп.; Р-6 - 726 руб. 72 коп; ТБ-1 - 791 руб. 75 коп; ТБ-3 - 1288 руб. 97 коп. Это суммарный показатель учитывающий: расходы на горючее (бензин 1 литр - 6 руб. 61 коп, масло - 7 руб. 17 коп.), запасные части, ремонт, содержание лётно</w:t>
      </w:r>
      <w:r w:rsidRPr="00E93F40">
        <w:rPr>
          <w:rFonts w:ascii="Times New Roman" w:hAnsi="Times New Roman"/>
          <w:color w:val="000000" w:themeColor="text1"/>
          <w:sz w:val="16"/>
          <w:szCs w:val="16"/>
        </w:rPr>
        <w:softHyphen/>
        <w:t>го и технического состава, средств обеспечения полётов, амортизацию самолёта и двигателя и т.п.</w:t>
      </w:r>
    </w:p>
    <w:p w14:paraId="030C43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Весьма своеобразно оценива</w:t>
      </w:r>
      <w:r w:rsidRPr="00E93F40">
        <w:rPr>
          <w:rFonts w:ascii="Times New Roman" w:hAnsi="Times New Roman"/>
          <w:color w:val="000000" w:themeColor="text1"/>
          <w:sz w:val="16"/>
          <w:szCs w:val="16"/>
        </w:rPr>
        <w:softHyphen/>
        <w:t>лась «стоимость» лётчика и летнаба. В этот показатель включены затраты на обучение, подготовку и «амортизацию». Исходили из того, что поскольку убыль лётного соста</w:t>
      </w:r>
      <w:r w:rsidRPr="00E93F40">
        <w:rPr>
          <w:rFonts w:ascii="Times New Roman" w:hAnsi="Times New Roman"/>
          <w:color w:val="000000" w:themeColor="text1"/>
          <w:sz w:val="16"/>
          <w:szCs w:val="16"/>
        </w:rPr>
        <w:softHyphen/>
        <w:t>ва составляет в среднем 10% в год, то следовательно, 10 лет можно принять за средний срок службы. Приведенные расчёты показывали, что стоимость «амортизации» часа службы лётчика составляет 19 руб. 20 коп. В этом случае при среднем налёте лётчика 125 ч. в год, затра</w:t>
      </w:r>
      <w:r w:rsidRPr="00E93F40">
        <w:rPr>
          <w:rFonts w:ascii="Times New Roman" w:hAnsi="Times New Roman"/>
          <w:color w:val="000000" w:themeColor="text1"/>
          <w:sz w:val="16"/>
          <w:szCs w:val="16"/>
        </w:rPr>
        <w:softHyphen/>
        <w:t>ты на амортизацию составят 2400 руб, а за 10 лет соответственно 24 000 руб. Согласно расчётам лет</w:t>
      </w:r>
      <w:r w:rsidRPr="00E93F40">
        <w:rPr>
          <w:rFonts w:ascii="Times New Roman" w:hAnsi="Times New Roman"/>
          <w:color w:val="000000" w:themeColor="text1"/>
          <w:sz w:val="16"/>
          <w:szCs w:val="16"/>
        </w:rPr>
        <w:softHyphen/>
        <w:t>чик-наблюдатель обходился в два раза «дешевле».</w:t>
      </w:r>
    </w:p>
    <w:p w14:paraId="087B1E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Расходы на боевую подготовку на год зависели от типа самолёта: на самолётах типа И-5 - 555 руб., на Р-5 - 1520 руб.; на Р-6 - 2130 руб.; на ТБ-3 в два раза дороже.</w:t>
      </w:r>
    </w:p>
    <w:p w14:paraId="76424B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Рабочая неделя состояла из четырёх дней, пятый день — выход</w:t>
      </w:r>
      <w:r w:rsidRPr="00E93F40">
        <w:rPr>
          <w:rFonts w:ascii="Times New Roman" w:hAnsi="Times New Roman"/>
          <w:color w:val="000000" w:themeColor="text1"/>
          <w:sz w:val="16"/>
          <w:szCs w:val="16"/>
        </w:rPr>
        <w:softHyphen/>
        <w:t>ной. Общевойсковая подготовка включала строевые занятия 2 часа на 10-й день, общеобразователь</w:t>
      </w:r>
      <w:r w:rsidRPr="00E93F40">
        <w:rPr>
          <w:rFonts w:ascii="Times New Roman" w:hAnsi="Times New Roman"/>
          <w:color w:val="000000" w:themeColor="text1"/>
          <w:sz w:val="16"/>
          <w:szCs w:val="16"/>
        </w:rPr>
        <w:softHyphen/>
        <w:t>ная подготовка - 100 ч. (геометрия, химия, физика).</w:t>
      </w:r>
    </w:p>
    <w:p w14:paraId="68489E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Планировался годовой налёт для экипажей тяжелых бомбардиров</w:t>
      </w:r>
      <w:r w:rsidRPr="00E93F40">
        <w:rPr>
          <w:rFonts w:ascii="Times New Roman" w:hAnsi="Times New Roman"/>
          <w:color w:val="000000" w:themeColor="text1"/>
          <w:sz w:val="16"/>
          <w:szCs w:val="16"/>
        </w:rPr>
        <w:softHyphen/>
        <w:t>щиков 120 ч.; истребительной авиа</w:t>
      </w:r>
      <w:r w:rsidRPr="00E93F40">
        <w:rPr>
          <w:rFonts w:ascii="Times New Roman" w:hAnsi="Times New Roman"/>
          <w:color w:val="000000" w:themeColor="text1"/>
          <w:sz w:val="16"/>
          <w:szCs w:val="16"/>
        </w:rPr>
        <w:softHyphen/>
        <w:t>ции - 130 ч. Для летчиков-команди</w:t>
      </w:r>
      <w:r w:rsidRPr="00E93F40">
        <w:rPr>
          <w:rFonts w:ascii="Times New Roman" w:hAnsi="Times New Roman"/>
          <w:color w:val="000000" w:themeColor="text1"/>
          <w:sz w:val="16"/>
          <w:szCs w:val="16"/>
        </w:rPr>
        <w:softHyphen/>
        <w:t>ров авиационных частей налёт был выше нормы на 25%. Обязательная норма налёта для старших штаб</w:t>
      </w:r>
      <w:r w:rsidRPr="00E93F40">
        <w:rPr>
          <w:rFonts w:ascii="Times New Roman" w:hAnsi="Times New Roman"/>
          <w:color w:val="000000" w:themeColor="text1"/>
          <w:sz w:val="16"/>
          <w:szCs w:val="16"/>
        </w:rPr>
        <w:softHyphen/>
        <w:t>ных работников округов - 20 ч, бригад - 30 ч; авиаврачей -10 ч.</w:t>
      </w:r>
    </w:p>
    <w:p w14:paraId="44F177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 г. вышло постановление об улучшении материального по</w:t>
      </w:r>
      <w:r w:rsidRPr="00E93F40">
        <w:rPr>
          <w:rFonts w:ascii="Times New Roman" w:hAnsi="Times New Roman"/>
          <w:color w:val="000000" w:themeColor="text1"/>
          <w:sz w:val="16"/>
          <w:szCs w:val="16"/>
        </w:rPr>
        <w:softHyphen/>
        <w:t>ложения начальствующего состава. В соответствии с этим документом оклад младшего лётчика составлял 2000 руб, оклад командира авиа</w:t>
      </w:r>
      <w:r w:rsidRPr="00E93F40">
        <w:rPr>
          <w:rFonts w:ascii="Times New Roman" w:hAnsi="Times New Roman"/>
          <w:color w:val="000000" w:themeColor="text1"/>
          <w:sz w:val="16"/>
          <w:szCs w:val="16"/>
        </w:rPr>
        <w:softHyphen/>
        <w:t>ционной эскадрильи 3240 руб. Для сравнения: оклад командира эскад</w:t>
      </w:r>
      <w:r w:rsidRPr="00E93F40">
        <w:rPr>
          <w:rFonts w:ascii="Times New Roman" w:hAnsi="Times New Roman"/>
          <w:color w:val="000000" w:themeColor="text1"/>
          <w:sz w:val="16"/>
          <w:szCs w:val="16"/>
        </w:rPr>
        <w:softHyphen/>
        <w:t>ренного миноносца в 1932 г. со</w:t>
      </w:r>
      <w:r w:rsidRPr="00E93F40">
        <w:rPr>
          <w:rFonts w:ascii="Times New Roman" w:hAnsi="Times New Roman"/>
          <w:color w:val="000000" w:themeColor="text1"/>
          <w:sz w:val="16"/>
          <w:szCs w:val="16"/>
        </w:rPr>
        <w:softHyphen/>
        <w:t>ставлял 3240 руб. Уже и в этот пе</w:t>
      </w:r>
      <w:r w:rsidRPr="00E93F40">
        <w:rPr>
          <w:rFonts w:ascii="Times New Roman" w:hAnsi="Times New Roman"/>
          <w:color w:val="000000" w:themeColor="text1"/>
          <w:sz w:val="16"/>
          <w:szCs w:val="16"/>
        </w:rPr>
        <w:softHyphen/>
        <w:t>риод возникали сложности с комп</w:t>
      </w:r>
      <w:r w:rsidRPr="00E93F40">
        <w:rPr>
          <w:rFonts w:ascii="Times New Roman" w:hAnsi="Times New Roman"/>
          <w:color w:val="000000" w:themeColor="text1"/>
          <w:sz w:val="16"/>
          <w:szCs w:val="16"/>
        </w:rPr>
        <w:softHyphen/>
        <w:t>лектованием вооружённых сил. В апреле 1931 г. из Реввоенсовета за подписью зам. Наркома по во</w:t>
      </w:r>
      <w:r w:rsidRPr="00E93F40">
        <w:rPr>
          <w:rFonts w:ascii="Times New Roman" w:hAnsi="Times New Roman"/>
          <w:color w:val="000000" w:themeColor="text1"/>
          <w:sz w:val="16"/>
          <w:szCs w:val="16"/>
        </w:rPr>
        <w:softHyphen/>
        <w:t>енным и морским делам Гамарника поступила информация о неудовлет</w:t>
      </w:r>
      <w:r w:rsidRPr="00E93F40">
        <w:rPr>
          <w:rFonts w:ascii="Times New Roman" w:hAnsi="Times New Roman"/>
          <w:color w:val="000000" w:themeColor="text1"/>
          <w:sz w:val="16"/>
          <w:szCs w:val="16"/>
        </w:rPr>
        <w:softHyphen/>
        <w:t>ворительных результатах вербовки на военную службу сверхсрочнос</w:t>
      </w:r>
      <w:r w:rsidRPr="00E93F40">
        <w:rPr>
          <w:rFonts w:ascii="Times New Roman" w:hAnsi="Times New Roman"/>
          <w:color w:val="000000" w:themeColor="text1"/>
          <w:sz w:val="16"/>
          <w:szCs w:val="16"/>
        </w:rPr>
        <w:softHyphen/>
        <w:t>лужащих: 15 000 должностей оста</w:t>
      </w:r>
      <w:r w:rsidRPr="00E93F40">
        <w:rPr>
          <w:rFonts w:ascii="Times New Roman" w:hAnsi="Times New Roman"/>
          <w:color w:val="000000" w:themeColor="text1"/>
          <w:sz w:val="16"/>
          <w:szCs w:val="16"/>
        </w:rPr>
        <w:softHyphen/>
        <w:t>лись вакантными.</w:t>
      </w:r>
    </w:p>
    <w:p w14:paraId="7E93E8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Интересно, что в 1932 г. были произведены расчёты, связанные с восполнением потерь самолётного парка в случае войны. По одному из вариантов подобных расчётов на год ведения боевых действий потребность в самолётах И-5 со</w:t>
      </w:r>
      <w:r w:rsidRPr="00E93F40">
        <w:rPr>
          <w:rFonts w:ascii="Times New Roman" w:hAnsi="Times New Roman"/>
          <w:color w:val="000000" w:themeColor="text1"/>
          <w:sz w:val="16"/>
          <w:szCs w:val="16"/>
        </w:rPr>
        <w:softHyphen/>
        <w:t>ставила бы 2000 шт, Р-5 - 700 шт.</w:t>
      </w:r>
    </w:p>
    <w:p w14:paraId="0B3B9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ответ на этот документ Выс</w:t>
      </w:r>
      <w:r w:rsidRPr="00E93F40">
        <w:rPr>
          <w:rFonts w:ascii="Times New Roman" w:hAnsi="Times New Roman"/>
          <w:color w:val="000000" w:themeColor="text1"/>
          <w:sz w:val="16"/>
          <w:szCs w:val="16"/>
        </w:rPr>
        <w:softHyphen/>
        <w:t>ший совет народного хозяйства ответил, что такими возможностя</w:t>
      </w:r>
      <w:r w:rsidRPr="00E93F40">
        <w:rPr>
          <w:rFonts w:ascii="Times New Roman" w:hAnsi="Times New Roman"/>
          <w:color w:val="000000" w:themeColor="text1"/>
          <w:sz w:val="16"/>
          <w:szCs w:val="16"/>
        </w:rPr>
        <w:softHyphen/>
        <w:t>ми по производству авиационной техники он не располагает (12084).</w:t>
      </w:r>
    </w:p>
    <w:p w14:paraId="093802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B9A6DE"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23 марта 1932 г. вышло постановление РВС СССР "Об основах организа</w:t>
      </w:r>
      <w:r w:rsidRPr="00142305">
        <w:rPr>
          <w:rStyle w:val="aff"/>
          <w:rFonts w:ascii="Times New Roman" w:hAnsi="Times New Roman" w:cs="Times New Roman"/>
          <w:color w:val="0070C0"/>
          <w:spacing w:val="0"/>
          <w:sz w:val="16"/>
          <w:szCs w:val="16"/>
        </w:rPr>
        <w:softHyphen/>
        <w:t>ции Военно-Воздушных Сил РККА". В нем, в частности, говорилось, что большие изменения, произошедшие в ВВС, «переводят их из оружия вспомога</w:t>
      </w:r>
      <w:r w:rsidRPr="00142305">
        <w:rPr>
          <w:rStyle w:val="aff"/>
          <w:rFonts w:ascii="Times New Roman" w:hAnsi="Times New Roman" w:cs="Times New Roman"/>
          <w:color w:val="0070C0"/>
          <w:spacing w:val="0"/>
          <w:sz w:val="16"/>
          <w:szCs w:val="16"/>
        </w:rPr>
        <w:softHyphen/>
        <w:t>тельного назначения, которое они по существу занимали до сих пор, на роль самостоятельного рода войск». Констатировалось, что новый этап развития ВВС требует новых отправных установок по вопросу о боевом использовании не только самих ВВС, но и всей РККА и Военно-Морского Флота и одновре</w:t>
      </w:r>
      <w:r w:rsidRPr="00142305">
        <w:rPr>
          <w:rStyle w:val="aff"/>
          <w:rFonts w:ascii="Times New Roman" w:hAnsi="Times New Roman" w:cs="Times New Roman"/>
          <w:color w:val="0070C0"/>
          <w:spacing w:val="0"/>
          <w:sz w:val="16"/>
          <w:szCs w:val="16"/>
        </w:rPr>
        <w:softHyphen/>
        <w:t>менно коренного пересмотра реорганизации самих Военно-Воздушных Сил. В постановлении определялось деление Военно-Воздушных Сил в соответствии со стратегическим и оперативно-тактическим назначением на войсковую, ар</w:t>
      </w:r>
      <w:r w:rsidRPr="00142305">
        <w:rPr>
          <w:rStyle w:val="aff"/>
          <w:rFonts w:ascii="Times New Roman" w:hAnsi="Times New Roman" w:cs="Times New Roman"/>
          <w:color w:val="0070C0"/>
          <w:spacing w:val="0"/>
          <w:sz w:val="16"/>
          <w:szCs w:val="16"/>
        </w:rPr>
        <w:softHyphen/>
        <w:t>мейскую и фронтовую авиацию. Тяжелая бомбардировочная авиация рассмат</w:t>
      </w:r>
      <w:r w:rsidRPr="00142305">
        <w:rPr>
          <w:rStyle w:val="aff"/>
          <w:rFonts w:ascii="Times New Roman" w:hAnsi="Times New Roman" w:cs="Times New Roman"/>
          <w:color w:val="0070C0"/>
          <w:spacing w:val="0"/>
          <w:sz w:val="16"/>
          <w:szCs w:val="16"/>
        </w:rPr>
        <w:softHyphen/>
        <w:t>ривалось как средство Главного Командования. В плане новой организации ВВС предрешалось создание крупных соединений тяжелой авиации - корпусов и армий. В постановлении отмечалось, что для действий по живой силе и дру</w:t>
      </w:r>
      <w:r w:rsidRPr="00142305">
        <w:rPr>
          <w:rStyle w:val="aff"/>
          <w:rFonts w:ascii="Times New Roman" w:hAnsi="Times New Roman" w:cs="Times New Roman"/>
          <w:color w:val="0070C0"/>
          <w:spacing w:val="0"/>
          <w:sz w:val="16"/>
          <w:szCs w:val="16"/>
        </w:rPr>
        <w:softHyphen/>
        <w:t>гим целям необходимо иметь штурмовую авиацию как особый род авиации, вооруженный специальным самолетом (</w:t>
      </w:r>
      <w:r w:rsidRPr="006B3569">
        <w:rPr>
          <w:rStyle w:val="aff3"/>
          <w:rFonts w:ascii="Times New Roman" w:hAnsi="Times New Roman" w:cs="Times New Roman"/>
          <w:i w:val="0"/>
          <w:iCs w:val="0"/>
          <w:color w:val="0070C0"/>
          <w:sz w:val="16"/>
          <w:szCs w:val="16"/>
          <w:lang w:val="ru-RU"/>
        </w:rPr>
        <w:t>Шумихин В.С. Советская военная авиация 1917-1941. М., 1986. С. 181.</w:t>
      </w:r>
      <w:r w:rsidRPr="00142305">
        <w:rPr>
          <w:rStyle w:val="aff"/>
          <w:rFonts w:ascii="Times New Roman" w:hAnsi="Times New Roman" w:cs="Times New Roman"/>
          <w:color w:val="0070C0"/>
          <w:spacing w:val="0"/>
          <w:sz w:val="16"/>
          <w:szCs w:val="16"/>
        </w:rPr>
        <w:t>).</w:t>
      </w:r>
    </w:p>
    <w:p w14:paraId="4B439147"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Как утверждают В.И. Перов и О.В. Растренин, «принятие доктрины ВВС вполне обеспечивало успешное выполнение авиацией боевых задач в глубокой наступательной операции, разработка теории которой была практически полно</w:t>
      </w:r>
      <w:r w:rsidRPr="00142305">
        <w:rPr>
          <w:rStyle w:val="aff"/>
          <w:rFonts w:ascii="Times New Roman" w:hAnsi="Times New Roman" w:cs="Times New Roman"/>
          <w:color w:val="0070C0"/>
          <w:spacing w:val="0"/>
          <w:sz w:val="16"/>
          <w:szCs w:val="16"/>
        </w:rPr>
        <w:softHyphen/>
        <w:t>стью завершена Генеральным штабом Красной армии к середине 1935 г.» (</w:t>
      </w:r>
      <w:r w:rsidRPr="006B3569">
        <w:rPr>
          <w:rStyle w:val="aff3"/>
          <w:rFonts w:ascii="Times New Roman" w:hAnsi="Times New Roman" w:cs="Times New Roman"/>
          <w:i w:val="0"/>
          <w:iCs w:val="0"/>
          <w:color w:val="0070C0"/>
          <w:sz w:val="16"/>
          <w:szCs w:val="16"/>
          <w:lang w:val="ru-RU"/>
        </w:rPr>
        <w:t>Перов В.И., Растренин О.В. Штурмовики Красной Армии. М., 2001. С. 24.</w:t>
      </w:r>
      <w:r w:rsidRPr="00142305">
        <w:rPr>
          <w:rStyle w:val="aff"/>
          <w:rFonts w:ascii="Times New Roman" w:hAnsi="Times New Roman" w:cs="Times New Roman"/>
          <w:color w:val="0070C0"/>
          <w:spacing w:val="0"/>
          <w:sz w:val="16"/>
          <w:szCs w:val="16"/>
        </w:rPr>
        <w:t>) (25647).</w:t>
      </w:r>
    </w:p>
    <w:p w14:paraId="7A2929BB" w14:textId="77777777" w:rsidR="006B3569" w:rsidRPr="00142305" w:rsidRDefault="006B3569" w:rsidP="006B3569">
      <w:pPr>
        <w:spacing w:after="0" w:line="240" w:lineRule="auto"/>
        <w:jc w:val="both"/>
        <w:rPr>
          <w:rFonts w:ascii="Times New Roman" w:hAnsi="Times New Roman"/>
          <w:color w:val="0070C0"/>
          <w:sz w:val="16"/>
          <w:szCs w:val="16"/>
        </w:rPr>
      </w:pPr>
    </w:p>
    <w:p w14:paraId="1832DC14"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марта 1932 г. в Постановлении РВС СССР «Об основах организации Военно-воздушных сил РККА» указывалось, что большие изменения, происшед</w:t>
      </w:r>
      <w:r w:rsidRPr="00142305">
        <w:rPr>
          <w:rFonts w:ascii="Times New Roman" w:hAnsi="Times New Roman"/>
          <w:color w:val="0070C0"/>
          <w:sz w:val="16"/>
          <w:szCs w:val="16"/>
        </w:rPr>
        <w:softHyphen/>
        <w:t xml:space="preserve">шие в ВВС, «переводят их из оружия вспомогательного назначения, которое они, по существу, занимали до сих пор, на роль самостоятельного рода войск» (РГВА. Ф. 29. Оп. 35. Д. 13. Л. </w:t>
      </w:r>
      <w:r w:rsidRPr="00142305">
        <w:rPr>
          <w:rFonts w:ascii="Times New Roman" w:hAnsi="Times New Roman"/>
          <w:color w:val="0070C0"/>
          <w:sz w:val="16"/>
          <w:szCs w:val="16"/>
        </w:rPr>
        <w:tab/>
        <w:t>11).</w:t>
      </w:r>
    </w:p>
    <w:p w14:paraId="7231A987"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в зависимости от задач и характера целей в составе ВВС обозна</w:t>
      </w:r>
      <w:r w:rsidRPr="00142305">
        <w:rPr>
          <w:rFonts w:ascii="Times New Roman" w:hAnsi="Times New Roman"/>
          <w:color w:val="0070C0"/>
          <w:sz w:val="16"/>
          <w:szCs w:val="16"/>
        </w:rPr>
        <w:softHyphen/>
        <w:t>чились рода авиации: тяжелая бомбардировочная (ТБА), легкобомбардировоч</w:t>
      </w:r>
      <w:r w:rsidRPr="00142305">
        <w:rPr>
          <w:rFonts w:ascii="Times New Roman" w:hAnsi="Times New Roman"/>
          <w:color w:val="0070C0"/>
          <w:sz w:val="16"/>
          <w:szCs w:val="16"/>
        </w:rPr>
        <w:softHyphen/>
        <w:t>ная (ЛБА), штурмовая, истребительная и разведывательная авиация. Рода авиа</w:t>
      </w:r>
      <w:r w:rsidRPr="00142305">
        <w:rPr>
          <w:rFonts w:ascii="Times New Roman" w:hAnsi="Times New Roman"/>
          <w:color w:val="0070C0"/>
          <w:sz w:val="16"/>
          <w:szCs w:val="16"/>
        </w:rPr>
        <w:softHyphen/>
        <w:t>ции постепенно оснащались самолетами, построенными на советских заводах, имевшими высокие по тому времени летно-тактические данные. В 1932 г. в ВВС насчитывалось уже 35 авиабригад.</w:t>
      </w:r>
    </w:p>
    <w:p w14:paraId="76419E12"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Каждый род авиации имел свое предназначение. Так, основным предназна</w:t>
      </w:r>
      <w:r w:rsidRPr="00142305">
        <w:rPr>
          <w:rFonts w:ascii="Times New Roman" w:hAnsi="Times New Roman"/>
          <w:color w:val="0070C0"/>
          <w:sz w:val="16"/>
          <w:szCs w:val="16"/>
        </w:rPr>
        <w:softHyphen/>
        <w:t>чением ЛБА было воздействие на оперативный тыл противника, а ТБА - ведение самостоятельных действий. Еще в начале 1922 г. командир дивизиона воздуш</w:t>
      </w:r>
      <w:r w:rsidRPr="00142305">
        <w:rPr>
          <w:rFonts w:ascii="Times New Roman" w:hAnsi="Times New Roman"/>
          <w:color w:val="0070C0"/>
          <w:sz w:val="16"/>
          <w:szCs w:val="16"/>
        </w:rPr>
        <w:softHyphen/>
        <w:t xml:space="preserve">ных кораблей «Илья Муромец» военный летчик В. М. Ремезюк в рапорте на имя Главного начальника ВВФ Республики указывал, что «бомбометание в больших масштабах (...) бомбами крупного размера является насущной необходимостью в большой войне. Поэтому России необходимо, и необходимо во что бы то ни стало, иметь большие тяжелые воздушные корабли» (РГВА. Ф. 29. Оп. 75. </w:t>
      </w:r>
      <w:r w:rsidRPr="00142305">
        <w:rPr>
          <w:rFonts w:ascii="Times New Roman" w:hAnsi="Times New Roman"/>
          <w:color w:val="0070C0"/>
          <w:sz w:val="16"/>
          <w:szCs w:val="16"/>
        </w:rPr>
        <w:tab/>
        <w:t>Д. 29. Л. 1-3) (24968).</w:t>
      </w:r>
    </w:p>
    <w:p w14:paraId="4E5A0675" w14:textId="77777777" w:rsidR="006B3569" w:rsidRPr="006B3569" w:rsidRDefault="006B3569" w:rsidP="006B3569">
      <w:pPr>
        <w:pStyle w:val="aff2"/>
        <w:tabs>
          <w:tab w:val="left" w:pos="594"/>
        </w:tabs>
        <w:spacing w:line="240" w:lineRule="auto"/>
        <w:rPr>
          <w:rFonts w:ascii="Times New Roman" w:hAnsi="Times New Roman" w:cs="Times New Roman"/>
          <w:i w:val="0"/>
          <w:iCs w:val="0"/>
          <w:color w:val="0070C0"/>
          <w:sz w:val="16"/>
          <w:szCs w:val="16"/>
          <w:lang w:val="ru-RU"/>
        </w:rPr>
      </w:pPr>
    </w:p>
    <w:p w14:paraId="6EB6A253"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марта 1932 г. в соответствии с Постановлением РВС СССР с 1933 г. тбб стали сводиться в тяжелые бомбардировочные авиакорпуса (тбак). В каж</w:t>
      </w:r>
      <w:r w:rsidRPr="00142305">
        <w:rPr>
          <w:rFonts w:ascii="Times New Roman" w:hAnsi="Times New Roman"/>
          <w:color w:val="0070C0"/>
          <w:sz w:val="16"/>
          <w:szCs w:val="16"/>
        </w:rPr>
        <w:softHyphen/>
        <w:t>дом из них было от двух до четырех тбб.</w:t>
      </w:r>
    </w:p>
    <w:p w14:paraId="6F7E329A"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скорректированному Плану развития ВВС требовалось иметь следую</w:t>
      </w:r>
      <w:r w:rsidRPr="00142305">
        <w:rPr>
          <w:rFonts w:ascii="Times New Roman" w:hAnsi="Times New Roman"/>
          <w:color w:val="0070C0"/>
          <w:sz w:val="16"/>
          <w:szCs w:val="16"/>
        </w:rPr>
        <w:softHyphen/>
        <w:t>щее соотношение родов авиации: бомбардировщиков (тяжелых и легких) - 20,7%, истребителей и штурмовиков - 25% и разведчиков 54,3%. Фактические цифры были пока другими: 12,4%, 25% и 62,6% соответственно. Первоначально в конце пятилетки (см. выше) намечалось довести удельный вес бомбардировщи</w:t>
      </w:r>
      <w:r w:rsidRPr="00142305">
        <w:rPr>
          <w:rFonts w:ascii="Times New Roman" w:hAnsi="Times New Roman"/>
          <w:color w:val="0070C0"/>
          <w:sz w:val="16"/>
          <w:szCs w:val="16"/>
        </w:rPr>
        <w:softHyphen/>
        <w:t>ков до 38%, истребителей - до 31 %, разведчиков - до 31 %. Эти цифры показывают, что в конце 1933 г. ВВС РККА имели в своем составе преимущественно вспомога</w:t>
      </w:r>
      <w:r w:rsidRPr="00142305">
        <w:rPr>
          <w:rFonts w:ascii="Times New Roman" w:hAnsi="Times New Roman"/>
          <w:color w:val="0070C0"/>
          <w:sz w:val="16"/>
          <w:szCs w:val="16"/>
        </w:rPr>
        <w:softHyphen/>
        <w:t>тельную авиацию (24968).</w:t>
      </w:r>
    </w:p>
    <w:p w14:paraId="57681FE0" w14:textId="77777777" w:rsidR="006B3569" w:rsidRPr="000C7DD6" w:rsidRDefault="006B3569" w:rsidP="006B3569">
      <w:pPr>
        <w:pStyle w:val="aff2"/>
        <w:tabs>
          <w:tab w:val="left" w:pos="594"/>
        </w:tabs>
        <w:spacing w:line="240" w:lineRule="auto"/>
        <w:rPr>
          <w:rFonts w:ascii="Times New Roman" w:hAnsi="Times New Roman" w:cs="Times New Roman"/>
          <w:i w:val="0"/>
          <w:iCs w:val="0"/>
          <w:color w:val="0070C0"/>
          <w:sz w:val="16"/>
          <w:szCs w:val="16"/>
          <w:lang w:val="ru-RU"/>
        </w:rPr>
      </w:pPr>
    </w:p>
    <w:p w14:paraId="44BDF322" w14:textId="77777777" w:rsidR="00FA6E96"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4625360B" w14:textId="77777777" w:rsidR="00FA6E96" w:rsidRPr="00E93F40" w:rsidRDefault="00FA6E9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C9723E8" w14:textId="77777777" w:rsidR="00FA6E96" w:rsidRPr="00E93F40" w:rsidRDefault="00FA6E9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23 марта</w:t>
      </w:r>
      <w:r w:rsidRPr="00E93F40">
        <w:rPr>
          <w:rFonts w:ascii="Times New Roman" w:hAnsi="Times New Roman"/>
          <w:color w:val="000000" w:themeColor="text1"/>
          <w:sz w:val="16"/>
          <w:szCs w:val="16"/>
        </w:rPr>
        <w:t xml:space="preserve"> в 1932 году РВС СССР принял постановление "Об основах организации Военно-Воздушных Сил РККА, положившее начало широкомасштабной реформе военной авиации: было определено боевое значение и техническое развитие ВВС как самостоятельного рода войск (15077).</w:t>
      </w:r>
    </w:p>
    <w:p w14:paraId="6D4941F0" w14:textId="77777777" w:rsidR="00FA6E96" w:rsidRPr="00E93F40" w:rsidRDefault="00FA6E96" w:rsidP="00E93F40">
      <w:pPr>
        <w:spacing w:after="0" w:line="240" w:lineRule="auto"/>
        <w:jc w:val="both"/>
        <w:rPr>
          <w:rFonts w:ascii="Times New Roman" w:hAnsi="Times New Roman"/>
          <w:color w:val="000000" w:themeColor="text1"/>
          <w:sz w:val="16"/>
          <w:szCs w:val="16"/>
        </w:rPr>
      </w:pPr>
    </w:p>
    <w:p w14:paraId="2E73790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EF7615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5EA9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в Чеченской АО. Крупное антисоветское восстание в Ножай-Юртовском районе (10687).</w:t>
      </w:r>
    </w:p>
    <w:p w14:paraId="3187B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2A3F1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2C20F7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9D8537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1932 Муссолини осудил антисемитизм и расовую теорию германских нацистов (4962).</w:t>
      </w:r>
    </w:p>
    <w:p w14:paraId="7B0628F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5F2D08" w14:textId="77777777" w:rsidR="00FB4165"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C4F4B84" w14:textId="77777777" w:rsidR="00FB4165" w:rsidRPr="00E93F40" w:rsidRDefault="00FB416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87DA383" w14:textId="77777777" w:rsidR="00AD7492" w:rsidRPr="00E93F40" w:rsidRDefault="00AD7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марта 1932 г. Н.А. Кучеренко в качестве представителя ХПЗ участвует в работе совещания по пересмотру конструкции броневых деталей этой машины. Работая в составе КБ Т2К над улучшением боевых свойств танка БТ, в конце июля 1932 г. Н.А. Кучеренко участвует в работе комиссии по испытаниям опытного образца танка БТ-5 (23450).</w:t>
      </w:r>
    </w:p>
    <w:p w14:paraId="26F6938F" w14:textId="77777777" w:rsidR="00AD7492" w:rsidRPr="00E93F40" w:rsidRDefault="00AD7492" w:rsidP="00E93F40">
      <w:pPr>
        <w:spacing w:after="0" w:line="240" w:lineRule="auto"/>
        <w:jc w:val="both"/>
        <w:rPr>
          <w:rFonts w:ascii="Times New Roman" w:hAnsi="Times New Roman"/>
          <w:color w:val="000000" w:themeColor="text1"/>
          <w:sz w:val="16"/>
          <w:szCs w:val="16"/>
        </w:rPr>
      </w:pPr>
    </w:p>
    <w:p w14:paraId="09110F54" w14:textId="31495BCB" w:rsidR="00FB4165" w:rsidRPr="00E93F40" w:rsidRDefault="00FB4165" w:rsidP="00E93F40">
      <w:pPr>
        <w:pStyle w:val="ae"/>
        <w:spacing w:before="0" w:after="0"/>
        <w:jc w:val="both"/>
        <w:rPr>
          <w:color w:val="000000" w:themeColor="text1"/>
          <w:sz w:val="16"/>
          <w:szCs w:val="16"/>
        </w:rPr>
      </w:pPr>
      <w:r w:rsidRPr="00E93F40">
        <w:rPr>
          <w:color w:val="000000" w:themeColor="text1"/>
          <w:sz w:val="16"/>
          <w:szCs w:val="16"/>
        </w:rPr>
        <w:t>24 марта 1932</w:t>
      </w:r>
      <w:r w:rsidR="007C1411" w:rsidRPr="00E93F40">
        <w:rPr>
          <w:color w:val="000000" w:themeColor="text1"/>
          <w:sz w:val="16"/>
          <w:szCs w:val="16"/>
        </w:rPr>
        <w:t xml:space="preserve"> </w:t>
      </w:r>
      <w:r w:rsidRPr="00E93F40">
        <w:rPr>
          <w:color w:val="000000" w:themeColor="text1"/>
          <w:sz w:val="16"/>
          <w:szCs w:val="16"/>
        </w:rPr>
        <w:t>г. в записке Наркомвоенмора К.Е. Ворошилова в правительство был проведен анализ состояния и перспектив развития ПВО. В соответствии с этим документом традиционные средства защиты – зенитная артиллерия и пулеметы – должны были уступить свое «первенствующее значение» в активной системе ПВО воздушным силам. Тем не менее НКВМ констатировал «отсутствие в стране современных систем зенитных орудий, прожекторов и необходимых для их боевого обслуживания приборов управления. Освоение же промышленностью образцов новой 76-мм зенитной пушки позволит нам только с конца 1932</w:t>
      </w:r>
      <w:r w:rsidR="007C1411" w:rsidRPr="00E93F40">
        <w:rPr>
          <w:color w:val="000000" w:themeColor="text1"/>
          <w:sz w:val="16"/>
          <w:szCs w:val="16"/>
        </w:rPr>
        <w:t xml:space="preserve"> </w:t>
      </w:r>
      <w:r w:rsidRPr="00E93F40">
        <w:rPr>
          <w:color w:val="000000" w:themeColor="text1"/>
          <w:sz w:val="16"/>
          <w:szCs w:val="16"/>
        </w:rPr>
        <w:t>г. переходить на постепенное перевооружение на эту систему. Также не справилась промышленность и с изготовлением аэростатов воздушных заграждений, основных средств местной защиты и приборов радиоуправления» (15736).</w:t>
      </w:r>
    </w:p>
    <w:p w14:paraId="6E85AD1B" w14:textId="77777777" w:rsidR="00FB4165" w:rsidRPr="00E93F40" w:rsidRDefault="00FB4165" w:rsidP="00E93F40">
      <w:pPr>
        <w:pStyle w:val="ae"/>
        <w:spacing w:before="0" w:after="0"/>
        <w:jc w:val="both"/>
        <w:rPr>
          <w:color w:val="000000" w:themeColor="text1"/>
          <w:sz w:val="16"/>
          <w:szCs w:val="16"/>
        </w:rPr>
      </w:pPr>
    </w:p>
    <w:p w14:paraId="194EC95D" w14:textId="77777777" w:rsidR="00FA6E96"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E8FC5A1" w14:textId="77777777" w:rsidR="00FA6E96" w:rsidRPr="00E93F40" w:rsidRDefault="00FA6E9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C9DB150" w14:textId="77777777" w:rsidR="00FA6E96" w:rsidRPr="00E93F40" w:rsidRDefault="00FA6E9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марта 1932 Волынченко сообщил, что воспользовавшись его отсутствием на аэродроме, китайский лётчик (имя не указано) на втором самолёте, «не имея провозных полётов, совершенно самостоятельно вылетел, не поставив об этом меня в известность и при посадке потерпел аварию. Самолёт разбит. При осмотре самолёта оказались поломанными передние лонжероны верхних плоско</w:t>
      </w:r>
      <w:r w:rsidRPr="00E93F40">
        <w:rPr>
          <w:rFonts w:ascii="Times New Roman" w:hAnsi="Times New Roman"/>
          <w:color w:val="000000" w:themeColor="text1"/>
          <w:sz w:val="16"/>
          <w:szCs w:val="16"/>
        </w:rPr>
        <w:softHyphen/>
        <w:t>стей и несколько нервюр на них, руль поворота, винт и радиатор. Некоторые ленты по</w:t>
      </w:r>
      <w:r w:rsidRPr="00E93F40">
        <w:rPr>
          <w:rFonts w:ascii="Times New Roman" w:hAnsi="Times New Roman"/>
          <w:color w:val="000000" w:themeColor="text1"/>
          <w:sz w:val="16"/>
          <w:szCs w:val="16"/>
        </w:rPr>
        <w:softHyphen/>
        <w:t>лукоробок смяты, оборвано ушко крепления несущей ленты первого пролёта». Далее он отметил, что «самолёт в течение двух недель был отремонтирован китайскими техника</w:t>
      </w:r>
      <w:r w:rsidRPr="00E93F40">
        <w:rPr>
          <w:rFonts w:ascii="Times New Roman" w:hAnsi="Times New Roman"/>
          <w:color w:val="000000" w:themeColor="text1"/>
          <w:sz w:val="16"/>
          <w:szCs w:val="16"/>
        </w:rPr>
        <w:softHyphen/>
        <w:t>ми и мною опробован в воздухе. Производить полёты на самолёте, подвергнувшемся та</w:t>
      </w:r>
      <w:r w:rsidRPr="00E93F40">
        <w:rPr>
          <w:rFonts w:ascii="Times New Roman" w:hAnsi="Times New Roman"/>
          <w:color w:val="000000" w:themeColor="text1"/>
          <w:sz w:val="16"/>
          <w:szCs w:val="16"/>
        </w:rPr>
        <w:softHyphen/>
        <w:t>кому ремонту, крайне опасно и впредь летать на нем я отказываюсь» (15802).</w:t>
      </w:r>
    </w:p>
    <w:p w14:paraId="78A845C4" w14:textId="77777777" w:rsidR="00FA6E96" w:rsidRPr="00E93F40" w:rsidRDefault="00FA6E96" w:rsidP="00E93F40">
      <w:pPr>
        <w:spacing w:after="0" w:line="240" w:lineRule="auto"/>
        <w:jc w:val="both"/>
        <w:rPr>
          <w:rFonts w:ascii="Times New Roman" w:hAnsi="Times New Roman"/>
          <w:color w:val="000000" w:themeColor="text1"/>
          <w:sz w:val="16"/>
          <w:szCs w:val="16"/>
        </w:rPr>
      </w:pPr>
    </w:p>
    <w:p w14:paraId="3933674B" w14:textId="77777777" w:rsidR="00611CD0" w:rsidRPr="00E93F40" w:rsidRDefault="00611CD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40E6FA8" w14:textId="77777777" w:rsidR="00611CD0" w:rsidRPr="00E93F40" w:rsidRDefault="00611CD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3EEB04" w14:textId="77777777" w:rsidR="00611CD0" w:rsidRPr="00E93F40" w:rsidRDefault="00611CD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24–28 марта 1932 Джим Моллисон устанавливает новый рекорд скорости между Соединенным Королевством и Кейптауном, выполнив рейс за 4 дня 17 часов на de Havilland Puss Moth (20803).</w:t>
      </w:r>
    </w:p>
    <w:p w14:paraId="4ACAC99A" w14:textId="77777777" w:rsidR="00611CD0" w:rsidRPr="00E93F40" w:rsidRDefault="00611CD0" w:rsidP="00E93F40">
      <w:pPr>
        <w:spacing w:after="0" w:line="240" w:lineRule="auto"/>
        <w:jc w:val="both"/>
        <w:rPr>
          <w:rFonts w:ascii="Times New Roman" w:hAnsi="Times New Roman"/>
          <w:color w:val="000000" w:themeColor="text1"/>
          <w:sz w:val="16"/>
          <w:szCs w:val="16"/>
        </w:rPr>
      </w:pPr>
    </w:p>
    <w:p w14:paraId="6A896C3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5091EC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B7245D4"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марта 1932 г. подняли в воздух вторую машину ТБ-3 завода № 22 (№ 2202). Летали на лыжах, колесное шасси еще до</w:t>
      </w:r>
      <w:r w:rsidRPr="00142305">
        <w:rPr>
          <w:rFonts w:ascii="Times New Roman" w:hAnsi="Times New Roman"/>
          <w:color w:val="0070C0"/>
          <w:sz w:val="16"/>
          <w:szCs w:val="16"/>
        </w:rPr>
        <w:softHyphen/>
        <w:t>делывали в цехе. Поскольку ЦАГИ отпра</w:t>
      </w:r>
      <w:r w:rsidRPr="00142305">
        <w:rPr>
          <w:rFonts w:ascii="Times New Roman" w:hAnsi="Times New Roman"/>
          <w:color w:val="0070C0"/>
          <w:sz w:val="16"/>
          <w:szCs w:val="16"/>
        </w:rPr>
        <w:softHyphen/>
        <w:t>вило на завод чертежи еще до перехода на спаренные тележки, то для четырех машин его сделали по старому образцу, с одиноч</w:t>
      </w:r>
      <w:r w:rsidRPr="00142305">
        <w:rPr>
          <w:rFonts w:ascii="Times New Roman" w:hAnsi="Times New Roman"/>
          <w:color w:val="0070C0"/>
          <w:sz w:val="16"/>
          <w:szCs w:val="16"/>
        </w:rPr>
        <w:softHyphen/>
        <w:t>ными двухметровыми колесами. Позже эти бомбардировщики переделали (24937).</w:t>
      </w:r>
    </w:p>
    <w:p w14:paraId="09ED9209" w14:textId="77777777" w:rsidR="006B3569" w:rsidRPr="00142305" w:rsidRDefault="006B3569" w:rsidP="006B3569">
      <w:pPr>
        <w:spacing w:after="0" w:line="240" w:lineRule="auto"/>
        <w:jc w:val="both"/>
        <w:rPr>
          <w:rFonts w:ascii="Times New Roman" w:hAnsi="Times New Roman"/>
          <w:color w:val="0070C0"/>
          <w:sz w:val="16"/>
          <w:szCs w:val="16"/>
        </w:rPr>
      </w:pPr>
    </w:p>
    <w:p w14:paraId="39EE4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марта 1932 закончились испытания МДР-3, которые начались 14 января 1932. Маневренность и мореходность признали неудовлетворительной. Тандемная схема двигателей ухудшила аэродинамику. Обнаружили тряску хвостового оперения. Машину передали А.Н.Т., который на его основе выпустил МДР-4 (АНТ-27) (92,425).</w:t>
      </w:r>
    </w:p>
    <w:p w14:paraId="05FA8C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139B37"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25 марта 1932 г. продолжались испытания МДР-2 Четверикова. Итог был неутешительный, гидросамолет не отвечал всем требованиям для такого класса машин. В полете были отмечены очень сильные колебания лодки, передававшиеся от хвоста самолета к носу. Причиной возникновения тряски стали воздушные винты тандемных установок. После установки винтов с самолета Дорнье «Валь» вибрации почти пропали. Для окончательной ликвидации колебаний требовались значительные доработки хвостовой части.</w:t>
      </w:r>
    </w:p>
    <w:p w14:paraId="43365CEE"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показал хорошую мореходность, скорость до 210 км/ч, время разбега 36 с, но плохую скороподъемность и потолок всего 3000 м. Причиной этого была отчасти тандемная установка двигателей, но главное — ухудшенная аэродинамика самолета. Заклепки с полукруглыми головками, отсутствие обтекателей и зализов на узлах стоек и подкосов, наружные стрингеры и фальшборт лодки, подвеска бомб по бортам, радиаторы тандемных установок, особо вредившие тем, что они находились над крылом на небольшом от него расстоянии и, кроме того, множество мелких “колючих” деталей, находившихся в потоке, — все это сильно снижало аэродинамическое качество МДР-3.</w:t>
      </w:r>
    </w:p>
    <w:p w14:paraId="1797E909"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Учитывая большую продолжительность (8 ч) и дальность (1600 км) полета МДР-3, а также острую нужду флота в таком самолете, было принято решение продолжить работы над ним. Устранить недостатки было поручено коллективу КОСОС ЦАГИ во главе с А.Н. Туполевым. Там модернизировать машину не стали, а основательно переделали и получили уже совсем другой гидросамолет — АНТ-27 (МДР-4). Новый самолет сохранил только обводы лодки МДР-3 и стал трехдвигательным свободнонесущим высокопланом с однокилевой схемой вертикального оперения (25300).</w:t>
      </w:r>
    </w:p>
    <w:p w14:paraId="39D3B831" w14:textId="77777777" w:rsidR="006B3569" w:rsidRPr="00142305" w:rsidRDefault="006B3569" w:rsidP="006B3569">
      <w:pPr>
        <w:spacing w:after="0" w:line="240" w:lineRule="auto"/>
        <w:jc w:val="both"/>
        <w:rPr>
          <w:rFonts w:ascii="Times New Roman" w:hAnsi="Times New Roman"/>
          <w:color w:val="0070C0"/>
          <w:sz w:val="16"/>
          <w:szCs w:val="16"/>
        </w:rPr>
      </w:pPr>
    </w:p>
    <w:p w14:paraId="77E01F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марта 1932 ГУ ГВФ присвоили наименование Аэрофлот (237,163).</w:t>
      </w:r>
    </w:p>
    <w:p w14:paraId="6C179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77BCB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C904A5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795E38"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марта 1932 года БТ-2 с башней увели</w:t>
      </w:r>
      <w:r w:rsidRPr="00142305">
        <w:rPr>
          <w:rFonts w:ascii="Times New Roman" w:hAnsi="Times New Roman"/>
          <w:color w:val="0070C0"/>
          <w:sz w:val="16"/>
          <w:szCs w:val="16"/>
        </w:rPr>
        <w:softHyphen/>
        <w:t>ченного размера с 76-мм полковой пуш</w:t>
      </w:r>
      <w:r w:rsidRPr="00142305">
        <w:rPr>
          <w:rFonts w:ascii="Times New Roman" w:hAnsi="Times New Roman"/>
          <w:color w:val="0070C0"/>
          <w:sz w:val="16"/>
          <w:szCs w:val="16"/>
        </w:rPr>
        <w:softHyphen/>
        <w:t>кой с укороченной длиной отката (ранее установленную на СУ-1) и пулеметом ДТ в раздельных установках КБ Дыренкова проходил испытания на артиллерийском полигоне Пролетар</w:t>
      </w:r>
      <w:r w:rsidRPr="00142305">
        <w:rPr>
          <w:rFonts w:ascii="Times New Roman" w:hAnsi="Times New Roman"/>
          <w:color w:val="0070C0"/>
          <w:sz w:val="16"/>
          <w:szCs w:val="16"/>
        </w:rPr>
        <w:softHyphen/>
        <w:t>ской дивизии. Из-за неудачной конст</w:t>
      </w:r>
      <w:r w:rsidRPr="00142305">
        <w:rPr>
          <w:rFonts w:ascii="Times New Roman" w:hAnsi="Times New Roman"/>
          <w:color w:val="0070C0"/>
          <w:sz w:val="16"/>
          <w:szCs w:val="16"/>
        </w:rPr>
        <w:softHyphen/>
        <w:t>рукции артустановки и заедания ролико</w:t>
      </w:r>
      <w:r w:rsidRPr="00142305">
        <w:rPr>
          <w:rFonts w:ascii="Times New Roman" w:hAnsi="Times New Roman"/>
          <w:color w:val="0070C0"/>
          <w:sz w:val="16"/>
          <w:szCs w:val="16"/>
        </w:rPr>
        <w:softHyphen/>
        <w:t>вого погона башни при выстрелах этот вариант дальше опытного образца не по</w:t>
      </w:r>
      <w:r w:rsidRPr="00142305">
        <w:rPr>
          <w:rFonts w:ascii="Times New Roman" w:hAnsi="Times New Roman"/>
          <w:color w:val="0070C0"/>
          <w:sz w:val="16"/>
          <w:szCs w:val="16"/>
        </w:rPr>
        <w:softHyphen/>
        <w:t>шел. В это же время рассматривался проект установки на БТ-2 76-мм динамореактивной пушки (ДРП), предло</w:t>
      </w:r>
      <w:r w:rsidRPr="00142305">
        <w:rPr>
          <w:rFonts w:ascii="Times New Roman" w:hAnsi="Times New Roman"/>
          <w:color w:val="0070C0"/>
          <w:sz w:val="16"/>
          <w:szCs w:val="16"/>
        </w:rPr>
        <w:softHyphen/>
        <w:t>женный Л.В. Курчевским, который при</w:t>
      </w:r>
      <w:r w:rsidRPr="00142305">
        <w:rPr>
          <w:rFonts w:ascii="Times New Roman" w:hAnsi="Times New Roman"/>
          <w:color w:val="0070C0"/>
          <w:sz w:val="16"/>
          <w:szCs w:val="16"/>
        </w:rPr>
        <w:softHyphen/>
        <w:t>знали неудовлетворительным (25009).</w:t>
      </w:r>
    </w:p>
    <w:p w14:paraId="2B206F59" w14:textId="77777777" w:rsidR="006B3569" w:rsidRPr="00142305" w:rsidRDefault="006B3569" w:rsidP="006B3569">
      <w:pPr>
        <w:spacing w:after="0" w:line="240" w:lineRule="auto"/>
        <w:jc w:val="both"/>
        <w:rPr>
          <w:rFonts w:ascii="Times New Roman" w:hAnsi="Times New Roman"/>
          <w:color w:val="0070C0"/>
          <w:sz w:val="16"/>
          <w:szCs w:val="16"/>
        </w:rPr>
      </w:pPr>
    </w:p>
    <w:p w14:paraId="7680E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марта 1932 была испытана стрельбой пушка ПС-3, установленная на БТ. Стреляли из закрепленной башни Дыренкова. Сделали 50 выстрелов (3879,22).</w:t>
      </w:r>
    </w:p>
    <w:p w14:paraId="4A4ADC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085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марта 1932 году пушка ПС-3, установленная в башне конструкции Дыренкова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1C4BA7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678F70" w14:textId="77777777" w:rsidR="00FB4165" w:rsidRPr="00E93F40" w:rsidRDefault="00FB41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25 марта 1932 году пушка ПС-3, установленная в башне конструкции Дыренкова на </w:t>
      </w:r>
      <w:hyperlink r:id="rId68"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е БТ, была испытана возкой и стрельбой. Из-за большого отката и чрезмерной реакции на погон испытания пришлось прекратить «вплоть до готовности новой 76-мм </w:t>
      </w:r>
      <w:hyperlink r:id="rId69"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овой пушки укороченного отката».</w:t>
      </w:r>
    </w:p>
    <w:p w14:paraId="28F66C8B" w14:textId="77777777" w:rsidR="00FB4165" w:rsidRPr="00E93F40" w:rsidRDefault="00FB41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Вместо запланированных на испытаниях 200 выстрелов было сделано лишь 50 (15619).</w:t>
      </w:r>
    </w:p>
    <w:p w14:paraId="10AED476" w14:textId="77777777" w:rsidR="00FB4165" w:rsidRPr="00E93F40" w:rsidRDefault="00FB4165" w:rsidP="00E93F40">
      <w:pPr>
        <w:spacing w:after="0" w:line="240" w:lineRule="auto"/>
        <w:jc w:val="both"/>
        <w:rPr>
          <w:rFonts w:ascii="Times New Roman" w:hAnsi="Times New Roman"/>
          <w:color w:val="000000" w:themeColor="text1"/>
          <w:sz w:val="16"/>
          <w:szCs w:val="16"/>
        </w:rPr>
      </w:pPr>
    </w:p>
    <w:p w14:paraId="21BB0B71"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марта 1932 г. велась стрельба из башни для пушки ПС-3 танка Дыренкова Д-38, установленной на серийном танке БТ-2 Всего был сделан 41 выстрел, при закрепленной в определенном направлении башне, и 9 выстрелов при незакрепленной башне. Сама установка орудия крупного калибра на танк БТ была признана возможной, но из-за конструктивных особенностей танк Д-38 на вооружение принят не был. Компоновка танка оказалась все же тесной, а увеличить пространство боевого отделения без существенного увеличения размеров башни не представлялась возможным. Установку 76,2-мм пушки отложили на несколько лет и только в 1936 г. на испытания был представлен артиллерийский танк БТ-7А. Его основным вооружением была 76,2-мм пушка КТ с боекомплектом 50 выстрелов, но в опытном порядке на БТ-7А пробовали установить </w:t>
      </w:r>
      <w:hyperlink r:id="rId70"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овые пушки Л-10 и Ф-32. Именно эта машина была запущена в серийное производство (25497).</w:t>
      </w:r>
    </w:p>
    <w:p w14:paraId="1FB2B2B0" w14:textId="77777777" w:rsidR="006B3569" w:rsidRPr="00142305" w:rsidRDefault="006B3569" w:rsidP="006B3569">
      <w:pPr>
        <w:spacing w:after="0" w:line="240" w:lineRule="auto"/>
        <w:jc w:val="both"/>
        <w:rPr>
          <w:rFonts w:ascii="Times New Roman" w:hAnsi="Times New Roman"/>
          <w:color w:val="0070C0"/>
          <w:sz w:val="16"/>
          <w:szCs w:val="16"/>
        </w:rPr>
      </w:pPr>
    </w:p>
    <w:p w14:paraId="1E195CAE"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25 марта 1932 </w:t>
      </w:r>
      <w:r w:rsidRPr="00E93F40">
        <w:rPr>
          <w:rFonts w:ascii="Times New Roman" w:hAnsi="Times New Roman"/>
          <w:color w:val="000000" w:themeColor="text1"/>
          <w:sz w:val="16"/>
          <w:szCs w:val="16"/>
        </w:rPr>
        <w:t>Политбюро ЦК ВКП (б) приняло решение о составе комиссии для приема завода «Шарикоподшипник» (12265).</w:t>
      </w:r>
    </w:p>
    <w:p w14:paraId="4E054053"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СНК приняло постановление «Об организации работ по составлению второй пятилетки» (12265).</w:t>
      </w:r>
    </w:p>
    <w:p w14:paraId="3A818413" w14:textId="21F59D4D" w:rsidR="00424ECB"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15B4912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4B31BDF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0A65E7" w14:textId="77777777" w:rsidR="008B41A1" w:rsidRPr="00E93F40" w:rsidRDefault="008B41A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марта 1932 г. РВС СССР принял постановление № 1707/сс «Об основах организации ВВС РККА». За основу оперативно-тактических соединений ВВС был принят воздушный корпус, который за 1 рейс мог перебросить десант в составе 400 человек. Среди основных самостоятельных задач перед ВВС ставилась задача выбросить авиамотодесант в наиболее революционных районах для организации и развития вооруженной борьбы в тылу противника и на выгодных в оперативном отношении участках территории противника (РГВА. Ф. 32871. Оп. 1. Д. 2. Л. 43-44). Этим постановлением РВС СССР была поставлена задача довести численность боевой авиации к концу 1933 года до 7.500 самолетов, из которых не менее 1500 составляли тяжелые самолеты (РГВА. Ф. 32871. Оп. 1. Д. 2. Л. 45) (21402).</w:t>
      </w:r>
    </w:p>
    <w:p w14:paraId="66F44C32" w14:textId="77777777" w:rsidR="008B41A1" w:rsidRPr="00E93F40" w:rsidRDefault="008B41A1" w:rsidP="00E93F40">
      <w:pPr>
        <w:spacing w:after="0" w:line="240" w:lineRule="auto"/>
        <w:jc w:val="both"/>
        <w:rPr>
          <w:rFonts w:ascii="Times New Roman" w:hAnsi="Times New Roman"/>
          <w:color w:val="000000" w:themeColor="text1"/>
          <w:sz w:val="16"/>
          <w:szCs w:val="16"/>
        </w:rPr>
      </w:pPr>
    </w:p>
    <w:p w14:paraId="451C0EFA" w14:textId="77777777" w:rsidR="008B41A1" w:rsidRPr="00E93F40" w:rsidRDefault="008B41A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марта 1932 года в соответствии с постановлением РВС СССР № 1707/сс «Об основах организации ВВС РККА», принимался воздушный корпус, объединяющий тяжелую бомбардировочную авиацию, и способный за один рейс перебросить десант в составе 400 человек для организации и развития вооруженной борьбы в тылу противника (РГВА. Ф. 32871. Оп. 1. Д. 2. Л. 43-44) (21402).</w:t>
      </w:r>
    </w:p>
    <w:p w14:paraId="60776D7A" w14:textId="77777777" w:rsidR="008B41A1" w:rsidRPr="00E93F40" w:rsidRDefault="008B41A1" w:rsidP="00E93F40">
      <w:pPr>
        <w:spacing w:after="0" w:line="240" w:lineRule="auto"/>
        <w:jc w:val="both"/>
        <w:rPr>
          <w:rFonts w:ascii="Times New Roman" w:hAnsi="Times New Roman"/>
          <w:color w:val="000000" w:themeColor="text1"/>
          <w:sz w:val="16"/>
          <w:szCs w:val="16"/>
        </w:rPr>
      </w:pPr>
    </w:p>
    <w:p w14:paraId="4E509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25 марта 1932 г. на Дальнем Востоке там базировались 26-я, 38-я и 40-я ЛБАЭ и 54-я штурмовая авиаэскадрилья (ШАЭ), почти полностью укомплектованные Р-5.</w:t>
      </w:r>
    </w:p>
    <w:p w14:paraId="05B8B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Быстрое внедрение новой техники неизбежно было связано с неурядицами и неполадками. Посадочная скорость и скорость сваливания стали выше, к чему требовалось привыкнуть. Вообще посадку на новой машине считали более сложной, чем на Р-1. Многие площадки, пригодные для базирования старых разведчиков, для Р-5 были малы. Поначалу это вызвало серию аварий на аэродромах. Правда, обладавший значительными запасами прочности самолет не так-то просто было разбить, а отремонтировать простую и дешевую машину оказалось относительно легко (11936).</w:t>
      </w:r>
    </w:p>
    <w:p w14:paraId="19B497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269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25 марта 1932 г. на Дальнем Востоке базировались 26-я, 38-я и 40-я легко- бомбардировочные и 54-я штурмовая эскадрильи, почти полностью укомплектованные Р-5. Некоторые части были тайно, под видом учений, переброшены туда из европейской части страны. Так отправляли из Воронежа в Читу 58-ю лбаэ.</w:t>
      </w:r>
    </w:p>
    <w:p w14:paraId="234F84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Разумеется, быстрое широкое внедрение новой техники неизбежно было связано с какими-то неурядицами и неполадками. Посадочная скорость и скорость сваливания стали выше, к чему требовалось привыкнуть. Вообще посадку на новой машине оценивали как более сложную, чем на Р-1. Многие площадки, пригодные для базирования старых разведчиков, для Р-5 были малы. Поначалу это вызвало серию аварий на аэродромах.</w:t>
      </w:r>
    </w:p>
    <w:p w14:paraId="3C93F3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Правда, простая и дешевая конструкция машины легко подвергалась столь же простому и дешевому ремонту. Кроме того, обладавший значительными запасами прочности самолет не так-то легко было разбить совершенно. Из воинских частей жаловались в основном на течи бен- зо- и маслобаков, появление трещин в башмаке киля. Деревянный самолет при безангарном хранении поражался грибком, полотно начинало отставать от брусков и фанеры. Кроме того, в погоне за выполнением плана древесину плохо просушивали еще в процессе производства, она гнила и покрывалась плесенью. Отмечалась плохая окраска. В августе I931 г. из многих частей пришли сообщения, что в дождь краска смывается!</w:t>
      </w:r>
    </w:p>
    <w:p w14:paraId="12E36C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самолетов ранних серий были характерны перегрев двигателей при температуре на земле свыше 30°, самопроизвольная перекачка бензина из нижних баков в верхние, поломки бомбодержателей, невзаимозаменяемость основных узлов.</w:t>
      </w:r>
    </w:p>
    <w:p w14:paraId="39B88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Р-5 стало достаточно много, столкнулись с нехваткой топлива. Дело в том, что мотор М-17 с его довольно высокой степенью сжатия требовал качественного горючего. У нас низкооктановый отечественный бензин, чтобы он не детонировал, мешали с бензолом. Бензол же в основном ввозили из Германии, свое производство этого продукта только осваивали. Из-за нехватки бензола приходилось либо прекращать полеты, либо переделывать моторы под чистый грозненский бензин, теряя в мощности (12034).</w:t>
      </w:r>
    </w:p>
    <w:p w14:paraId="770DE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F9C524"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25 марта 1932 г. на Дальнем Востоке базировались 26-я. 38-я и 40-я легко</w:t>
      </w:r>
      <w:r w:rsidRPr="00142305">
        <w:rPr>
          <w:rFonts w:ascii="Times New Roman" w:hAnsi="Times New Roman"/>
          <w:color w:val="0070C0"/>
          <w:sz w:val="16"/>
          <w:szCs w:val="16"/>
        </w:rPr>
        <w:softHyphen/>
        <w:t>бомбардировочные и 54-я штурмовая эскадрильи, почти полностью укомплектованные Р-5. Некоторые части бы</w:t>
      </w:r>
      <w:r w:rsidRPr="00142305">
        <w:rPr>
          <w:rFonts w:ascii="Times New Roman" w:hAnsi="Times New Roman"/>
          <w:color w:val="0070C0"/>
          <w:sz w:val="16"/>
          <w:szCs w:val="16"/>
        </w:rPr>
        <w:softHyphen/>
        <w:t>ли тайно, под видом учений, переброшены туда из европейской части страны. Так отправляли из Воронежа в Чи</w:t>
      </w:r>
      <w:r w:rsidRPr="00142305">
        <w:rPr>
          <w:rFonts w:ascii="Times New Roman" w:hAnsi="Times New Roman"/>
          <w:color w:val="0070C0"/>
          <w:sz w:val="16"/>
          <w:szCs w:val="16"/>
        </w:rPr>
        <w:softHyphen/>
        <w:t>ту 58-ю лбаэ (24990).</w:t>
      </w:r>
    </w:p>
    <w:p w14:paraId="570CB10C" w14:textId="77777777" w:rsidR="006B3569" w:rsidRPr="00142305" w:rsidRDefault="006B3569" w:rsidP="006B3569">
      <w:pPr>
        <w:spacing w:after="0" w:line="240" w:lineRule="auto"/>
        <w:jc w:val="both"/>
        <w:rPr>
          <w:rFonts w:ascii="Times New Roman" w:hAnsi="Times New Roman"/>
          <w:color w:val="0070C0"/>
          <w:sz w:val="16"/>
          <w:szCs w:val="16"/>
        </w:rPr>
      </w:pPr>
    </w:p>
    <w:p w14:paraId="6B63AB7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9B4C99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7A79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25 марта и 2 апреля 1932. Из протокола заседания Политбюро № 92, 1932 г.</w:t>
      </w:r>
    </w:p>
    <w:p w14:paraId="5411B6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закупке автомобилей "Линкольн" для гаражей ЦИК СССР и ВЦИК </w:t>
      </w:r>
    </w:p>
    <w:p w14:paraId="46A3BB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тов. Енукидзе о закупке сверх плана без дополнительной затраты валюты 30 легковых автомобилей системы "Линкольн" вместо ввозимых агрегатов "Форда" для гаражей ЦИК СССР и ВЦИК (11652).</w:t>
      </w:r>
    </w:p>
    <w:p w14:paraId="124AC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595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25 марта и 2 апреля 1932. Из протокола заседания Политбюро № 93, 1932 г.</w:t>
      </w:r>
    </w:p>
    <w:p w14:paraId="3001F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порядке выдачи бесплатных годовых билетов и предоставления служебных вагонов </w:t>
      </w:r>
    </w:p>
    <w:p w14:paraId="55AE6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Предложить НКПС выдачу годовых бесплатных билетов советским партийным и хозяйственным организациям (не железнодорожного транспорта) прекратить. </w:t>
      </w:r>
    </w:p>
    <w:p w14:paraId="1F320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Допустить выдачу годовых билетов организациям, ведомствам и лицам не железнодорожного транспорта исключительно за плату, устанавливаемую Народным комиссариатом путей сообщения. </w:t>
      </w:r>
    </w:p>
    <w:p w14:paraId="5C6D2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Предложить всем организациям и учреждениям, имеющим в настоящий момент служебные вагоны, кроме перечисленных в прилагаемом списке, в декадный срок сдать НКПС. </w:t>
      </w:r>
    </w:p>
    <w:p w14:paraId="622729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Список лиц, коим предоставляется право пользования служебными вагонами: Председатели ЦИК СССР, Председатели СНК СССР и РСФСР, зам. Председателя СНК СССР, наркомы СССР, председатель ОГПУ СССР, секретари ЦК ВКП(б), члены ПБ ЦК ВКП(б), командующие округами (11652).</w:t>
      </w:r>
    </w:p>
    <w:p w14:paraId="136A0823" w14:textId="1935782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4E51FF" w14:textId="71BC390E" w:rsidR="00611CD0" w:rsidRPr="00E93F40" w:rsidRDefault="00611CD0"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17CA005A" w14:textId="77777777" w:rsidR="00611CD0" w:rsidRPr="00E93F40" w:rsidRDefault="00611CD0"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54E3E426" w14:textId="77777777" w:rsidR="00611CD0" w:rsidRPr="00E93F40" w:rsidRDefault="00611CD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марта 1932 состоялся первый полет Curtiss XF11C-2, прототип Curtiss F11C тетеревятник, последний Curtiss истребитель, который пойдет в производство для ВМС США (20803).</w:t>
      </w:r>
    </w:p>
    <w:p w14:paraId="45B467E3" w14:textId="77777777" w:rsidR="00611CD0" w:rsidRPr="00E93F40" w:rsidRDefault="00611CD0" w:rsidP="00E93F40">
      <w:pPr>
        <w:spacing w:after="0" w:line="240" w:lineRule="auto"/>
        <w:jc w:val="both"/>
        <w:rPr>
          <w:rFonts w:ascii="Times New Roman" w:hAnsi="Times New Roman"/>
          <w:color w:val="000000" w:themeColor="text1"/>
          <w:sz w:val="16"/>
          <w:szCs w:val="16"/>
        </w:rPr>
      </w:pPr>
    </w:p>
    <w:p w14:paraId="65C6E12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9B8AF7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2F8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марта 1932 у А.Н.Т. состоялось совещание об изготовлении эталона ТБ-3 (АНТ-6) на 1933 (1077,124).</w:t>
      </w:r>
    </w:p>
    <w:p w14:paraId="02A1E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846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марта 1932 года начальник ВВС Алкснис писал письмо N 038164 председателю РВС.</w:t>
      </w:r>
    </w:p>
    <w:p w14:paraId="2A243E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4B850C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26 марта с.г.</w:t>
      </w:r>
    </w:p>
    <w:p w14:paraId="4A397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1 испытан в воздухе и перегнан на Центральный аэродром. Предъявление самолета военной приемке УВВС предполагается к 1 апреля с.г.</w:t>
      </w:r>
    </w:p>
    <w:p w14:paraId="1A6CCC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2 прошел летные испытания в воздухе 25 марта 1932 года.</w:t>
      </w:r>
    </w:p>
    <w:p w14:paraId="5AFC6D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3 - находится на аэродроме завода, предъявлен к сдаточному полету.</w:t>
      </w:r>
    </w:p>
    <w:p w14:paraId="20F0E7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4 - на аэродроме завода N 22 готовится к предъявлению военной приемки УВВС. Производится проба моторов на земле (3027).</w:t>
      </w:r>
    </w:p>
    <w:p w14:paraId="54F8F6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0A80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марта 1932 года начальник ВВА им. Жуковского Хорьков, зам. ст. конструктора Болховитинов писали письмо N 224сс зам. Наркомвоенмора и председателя РВС Тухачевскому, начальнику УВВС Алкснису.</w:t>
      </w:r>
    </w:p>
    <w:p w14:paraId="24003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работе проделанной по ОКБ ВВА по проектированию самолета типа Г-1</w:t>
      </w:r>
    </w:p>
    <w:p w14:paraId="376A50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1-го октября 1931 года цикл самолетоведения приступил вплотную к компоновке эскизного проекта самолета. 15-го октября 1931 года был заслушан доклад руководителя проектированием Козлова по эскизному проекту самолета.</w:t>
      </w:r>
    </w:p>
    <w:p w14:paraId="04A7B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эскизного проекта была закончена к 1 ноября 1931 года, и с этого числа цикл самолетоведения приступил к разработке предварительного проекта.</w:t>
      </w:r>
    </w:p>
    <w:p w14:paraId="310F53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ноября 1931 года секретным приказом по Академии было организовано Особое конструкторское бюро для проектирования самолета Г-1.</w:t>
      </w:r>
    </w:p>
    <w:p w14:paraId="34048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Проделанная теоретическая, исследовательская работа подтвердили принципы, которые были заложены в эскизном проекте. (3054,17-25).</w:t>
      </w:r>
    </w:p>
    <w:p w14:paraId="2DEDE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042411" w14:textId="77777777" w:rsidR="00FB4165" w:rsidRPr="00E93F40" w:rsidRDefault="00FB41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26 марта</w:t>
      </w:r>
      <w:r w:rsidRPr="00E93F40">
        <w:rPr>
          <w:rFonts w:ascii="Times New Roman" w:hAnsi="Times New Roman"/>
          <w:color w:val="000000" w:themeColor="text1"/>
          <w:sz w:val="16"/>
          <w:szCs w:val="16"/>
        </w:rPr>
        <w:t xml:space="preserve"> в 1932 году катастрофа самолёта «И-5», лётчик-испытатель Альбинский В.И. Лётчик погиб при выполнении испытательного полета (15080).</w:t>
      </w:r>
    </w:p>
    <w:p w14:paraId="65E867E1" w14:textId="77777777" w:rsidR="00FB4165" w:rsidRPr="00E93F40" w:rsidRDefault="00FB4165" w:rsidP="00E93F40">
      <w:pPr>
        <w:spacing w:after="0" w:line="240" w:lineRule="auto"/>
        <w:jc w:val="both"/>
        <w:rPr>
          <w:rFonts w:ascii="Times New Roman" w:hAnsi="Times New Roman"/>
          <w:color w:val="000000" w:themeColor="text1"/>
          <w:sz w:val="16"/>
          <w:szCs w:val="16"/>
        </w:rPr>
      </w:pPr>
    </w:p>
    <w:p w14:paraId="1FE61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марта 1932 года начальник боевой подготовки РККА Лапин писал письмо N 120977сс Тухачевскому, Алкснису и начальнику штаба РККА Егорову.</w:t>
      </w:r>
    </w:p>
    <w:p w14:paraId="59DD34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Ознакомившись с планом опытного строительства по моторам и самолетам на 1932-34 г.г., вношу следующие предложения:</w:t>
      </w:r>
    </w:p>
    <w:p w14:paraId="1632E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Войсковой самолет (по плану порядковый N 12) в запроектированном виде не соответствует современным требованиям.</w:t>
      </w:r>
    </w:p>
    <w:p w14:paraId="3AABF0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войсковой самолет иметь истребительного типа, двухместный, который сам мог бы охранять себя от воздушного противника, мог бы вмещать фотоаппарат с многообъективной камерой и иметь на себе радиостанцию. В отношении бомбовой нагрузки можно ограничиться 50-ти кг бомбами. Иметь скорость не менее 300 км. Срок представления на испытание -_не позднее конца 1932 года.</w:t>
      </w:r>
    </w:p>
    <w:p w14:paraId="713C9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разработать специальный тип штурмовика. Необходимо при разработке осуществить защиту наиболее ответственных частей от ружейно-пулеметного огня с земли (3771,43).</w:t>
      </w:r>
    </w:p>
    <w:p w14:paraId="3D208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D7F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марта 1932 ГВФ была присвоено наименование Аэрофлот (2668).</w:t>
      </w:r>
    </w:p>
    <w:p w14:paraId="0BC88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BF677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марта 1932 г. Главному управлению ГВФ присвоено наименование "Аэрофлот" (6395).</w:t>
      </w:r>
    </w:p>
    <w:p w14:paraId="17F14F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77FA85" w14:textId="77777777" w:rsidR="00FB4165" w:rsidRPr="00E93F40" w:rsidRDefault="00FB41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26 марта</w:t>
      </w:r>
      <w:r w:rsidRPr="00E93F40">
        <w:rPr>
          <w:rFonts w:ascii="Times New Roman" w:hAnsi="Times New Roman"/>
          <w:color w:val="000000" w:themeColor="text1"/>
          <w:sz w:val="16"/>
          <w:szCs w:val="16"/>
        </w:rPr>
        <w:t xml:space="preserve"> в 1932 году главному управлению ГВФ присвоено наименование "Аэрофлот". Путем слияния Всесоюзного Объединения ГВФ, Укрвоздухпути и Закавиа было основано Главное Управление Гражданского Воздушного Флота СССР, получившее торговую марку Аэрофлот. 21 ноября 1932 г. ему была передана сельскохозяйственная авиация, в ноябре 1937 г. санитарная авиация, 23 сентября 1948 г. - авиация Министерства лесного хозяйства СССР, 30 ноября 1949 г. - авиация Минрыбпрома СССР. А после передачи Аэрофлоту в январе 1960 г. Полярной Авиации он превратился в монополиста гражданской авиации СССР;</w:t>
      </w:r>
    </w:p>
    <w:p w14:paraId="58D2937C" w14:textId="77777777" w:rsidR="00FB4165" w:rsidRPr="00E93F40" w:rsidRDefault="00FB4165" w:rsidP="00E93F40">
      <w:pPr>
        <w:spacing w:after="0" w:line="240" w:lineRule="auto"/>
        <w:jc w:val="both"/>
        <w:rPr>
          <w:rFonts w:ascii="Times New Roman" w:hAnsi="Times New Roman"/>
          <w:color w:val="000000" w:themeColor="text1"/>
          <w:sz w:val="16"/>
          <w:szCs w:val="16"/>
        </w:rPr>
      </w:pPr>
    </w:p>
    <w:p w14:paraId="7DB6883F"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26 марта 1932 года на заседании коллегии Аэрофлота, прошедшем, Пурмаль объявил: новый корабль будет построен быстро, уже к следующему Первомаю. Это был будущий «СССР-В6», получивший неофициальное название «корабль 18500», который включили в производственный план Дирижаблестроя на 1932-1933 годы (23192).</w:t>
      </w:r>
    </w:p>
    <w:p w14:paraId="5E95DA83" w14:textId="77777777" w:rsidR="00103953" w:rsidRPr="00E93F40" w:rsidRDefault="00103953" w:rsidP="00E93F40">
      <w:pPr>
        <w:spacing w:after="0" w:line="240" w:lineRule="auto"/>
        <w:jc w:val="both"/>
        <w:rPr>
          <w:rFonts w:ascii="Times New Roman" w:hAnsi="Times New Roman"/>
          <w:color w:val="000000" w:themeColor="text1"/>
          <w:sz w:val="16"/>
          <w:szCs w:val="16"/>
        </w:rPr>
      </w:pPr>
    </w:p>
    <w:p w14:paraId="2170EDB7" w14:textId="77777777" w:rsidR="00424EC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45C4E04" w14:textId="77777777" w:rsidR="00424ECB" w:rsidRPr="00E93F40" w:rsidRDefault="00424EC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299C55"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26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283/104 об обеспечении дополнительного строительства укрепрайонов НКВМ, согласно постановлению правительства от 15 февраля 1932 г. (ГА РФ. Ф. Р?8418. Оп. 28. Д. 1а. Л. 1188?189) (12415).</w:t>
      </w:r>
    </w:p>
    <w:p w14:paraId="2B5F6184"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p>
    <w:p w14:paraId="052CC95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235C86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560C8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марта 1932 ЦК ВКП(б) осудил принудительное отчуждение у крестьян скота (4962).</w:t>
      </w:r>
    </w:p>
    <w:p w14:paraId="742B939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C943E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23E8BC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484EDC5" w14:textId="77777777" w:rsidR="00FB4165" w:rsidRPr="00E93F40" w:rsidRDefault="00FB41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26 марта</w:t>
      </w:r>
      <w:r w:rsidRPr="00E93F40">
        <w:rPr>
          <w:rFonts w:ascii="Times New Roman" w:hAnsi="Times New Roman"/>
          <w:color w:val="000000" w:themeColor="text1"/>
          <w:sz w:val="16"/>
          <w:szCs w:val="16"/>
        </w:rPr>
        <w:t xml:space="preserve"> в 1932 году путём слияния «Ad Astra Aero AG» и «Basler Luftverkehr» была основана национальная швейцарская авиакомпания «Swissair». Ряд десятилетий она была одной из крупнейших авиакомпаний мира. Однако серьёзные финансовые проблемы заставили её осенью 2001 прекратить полёты на регулярных линиях а в начале 2002 она прекратила существование. Наступил день 2 октября 2001 года, и ни один самолет компании не поднялся в воздух, они все остались на приколе, а в начале 2002 она прекратила существование. 31 марта 2002 года, после слияния с региональной авиакомпанией «Crossair», швейцарский национальный перевозчик вновь начал работу уже под именем «Swiss». Федеральный центр и банки профинансировали процесс перестройки компании кредитами на общую сумму в 3 миллиарда франков, из них 1,7 миллиарда были деньгами налогоплательщиков.Однако, несмотря на все усилия, добиться прежних результатов уже не удалось. Экономическая турбулентность, в которую попала компания, были слишком велики, а перспективы – туманны. Когда весной 2005 г. компанию купила германская «Lufthansa», рыночная стоимость Swiss составляла всего лишь 340 миллионов франков (15080).</w:t>
      </w:r>
    </w:p>
    <w:p w14:paraId="1AA252F2" w14:textId="77777777" w:rsidR="00FB4165" w:rsidRPr="00E93F40" w:rsidRDefault="00FB4165" w:rsidP="00E93F40">
      <w:pPr>
        <w:spacing w:after="0" w:line="240" w:lineRule="auto"/>
        <w:jc w:val="both"/>
        <w:rPr>
          <w:rFonts w:ascii="Times New Roman" w:hAnsi="Times New Roman"/>
          <w:color w:val="000000" w:themeColor="text1"/>
          <w:sz w:val="16"/>
          <w:szCs w:val="16"/>
        </w:rPr>
      </w:pPr>
    </w:p>
    <w:p w14:paraId="6054C01D" w14:textId="77777777" w:rsidR="00FB4165" w:rsidRPr="00E93F40" w:rsidRDefault="00FB41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26 марта</w:t>
      </w:r>
      <w:r w:rsidRPr="00E93F40">
        <w:rPr>
          <w:rFonts w:ascii="Times New Roman" w:hAnsi="Times New Roman"/>
          <w:color w:val="000000" w:themeColor="text1"/>
          <w:sz w:val="16"/>
          <w:szCs w:val="16"/>
        </w:rPr>
        <w:t xml:space="preserve"> в 1932 году впервые поднялся в воздух прототип «XP2Y-1», в будущем американская патрульная летающая лодка «Consolidated» «P2Y» «Ranger». Вместо моторов «Пратт Уитни» "Уосп" мощностью 450 л.с., использовавшихся на «XPY-1», поставили "Циклоны" «R-1820F» фирмы «Райт», развивавшие по 575 л.с. «P2Y» оказался довольно удачным самолетом с хорошими летными характеристиками, который позволил патрульным эскадрильям отрабатывать тактические приемы, ставшие стандартными в годы Второй Мировой войны. Когда «P2Y» были сняты с вооружения, 41 из 47 поставленных машин все еще была в летном состоянии, несмотря на более чем шестилетнюю эксплуатацию в боевых и учебных эскадрильях (15080).</w:t>
      </w:r>
    </w:p>
    <w:p w14:paraId="2E5B0D33" w14:textId="77777777" w:rsidR="00FB4165" w:rsidRPr="00E93F40" w:rsidRDefault="00FB4165" w:rsidP="00E93F40">
      <w:pPr>
        <w:spacing w:after="0" w:line="240" w:lineRule="auto"/>
        <w:jc w:val="both"/>
        <w:rPr>
          <w:rFonts w:ascii="Times New Roman" w:hAnsi="Times New Roman"/>
          <w:color w:val="000000" w:themeColor="text1"/>
          <w:sz w:val="16"/>
          <w:szCs w:val="16"/>
        </w:rPr>
      </w:pPr>
    </w:p>
    <w:p w14:paraId="761630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марта 1932 года В.Л. Терни (Конгресс США, Палата представителей, Вашингтон) писал письмо Лестеру П. Барлоу (4 Сауд стрит, Стамфорд, Кон.)</w:t>
      </w:r>
    </w:p>
    <w:p w14:paraId="4C45C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Уважаемый Барлоу</w:t>
      </w:r>
    </w:p>
    <w:p w14:paraId="2D2720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Подтверждаю получение Вашего письма от 14 марта с копией, предлагаемой Вами резолюции для создания тайной комиссии.</w:t>
      </w:r>
    </w:p>
    <w:p w14:paraId="5108DD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очень рад сообщить вам, что я внес эту резолюцию и что она передана комиссии по военным делам 19 марта 1932 года.</w:t>
      </w:r>
    </w:p>
    <w:p w14:paraId="5C14D2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P.S. Копия резолюции при сем прилагается (3553,16).</w:t>
      </w:r>
    </w:p>
    <w:p w14:paraId="25D3B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BE591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F6DD15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045F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марта 1932 года начальник ВВС Алкснис писал письмо N 038168 председателю РВС.</w:t>
      </w:r>
    </w:p>
    <w:p w14:paraId="59DFF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006D1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27 марта с.г.</w:t>
      </w:r>
    </w:p>
    <w:p w14:paraId="7455E4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3 испытан сдаточным полетом (3027).</w:t>
      </w:r>
    </w:p>
    <w:p w14:paraId="1E2335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D52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марта 1932 года начальник НИИ ВВС Бузанов</w:t>
      </w:r>
    </w:p>
    <w:p w14:paraId="56617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Справка о выполнении Постановления РВС от 19 декабря 1931 года</w:t>
      </w:r>
    </w:p>
    <w:p w14:paraId="73EDD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02527/сс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763"/>
        <w:gridCol w:w="6861"/>
      </w:tblGrid>
      <w:tr w:rsidR="00DA227A" w:rsidRPr="00E93F40" w14:paraId="7F3B2718" w14:textId="77777777">
        <w:tc>
          <w:tcPr>
            <w:tcW w:w="4763" w:type="dxa"/>
          </w:tcPr>
          <w:p w14:paraId="071243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постановления РВС</w:t>
            </w:r>
          </w:p>
        </w:tc>
        <w:tc>
          <w:tcPr>
            <w:tcW w:w="6861" w:type="dxa"/>
          </w:tcPr>
          <w:p w14:paraId="62AC18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сделано</w:t>
            </w:r>
          </w:p>
        </w:tc>
      </w:tr>
      <w:tr w:rsidR="00DA227A" w:rsidRPr="00E93F40" w14:paraId="5352A5C8" w14:textId="77777777">
        <w:tc>
          <w:tcPr>
            <w:tcW w:w="4763" w:type="dxa"/>
          </w:tcPr>
          <w:p w14:paraId="1B57A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Конструирование новых разведывательных и бомбардировочных самолетов с посадочной скоростью не свыше 50-70 км/час с одновременным дальнейшим увеличением максимальной горизонтальной скорости.</w:t>
            </w:r>
          </w:p>
        </w:tc>
        <w:tc>
          <w:tcPr>
            <w:tcW w:w="6861" w:type="dxa"/>
          </w:tcPr>
          <w:p w14:paraId="0DD96A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 опытного строительства, утвержденный комиссией Тухачевского внесены следующие самолеты с малой посадочной скоростью:</w:t>
            </w:r>
          </w:p>
          <w:p w14:paraId="68E8D7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бомбардировщик ТБ6 – посадочная скорость 70-80 км/час</w:t>
            </w:r>
          </w:p>
          <w:p w14:paraId="47AE7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бомбардировщик и десант Д1 – посадочная скорость 60 км/час</w:t>
            </w:r>
          </w:p>
          <w:p w14:paraId="0C6E48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химический Х1 – посадочная скорость 70 км/час</w:t>
            </w:r>
          </w:p>
          <w:p w14:paraId="7DE0C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ВС2 – посадочная скорость 50-60 км/час</w:t>
            </w:r>
          </w:p>
          <w:p w14:paraId="33BB8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Переходный учебный, он же корпусный разведчик П3 - посадочная скорость 70-80 км/час</w:t>
            </w:r>
          </w:p>
          <w:p w14:paraId="3B6957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Учебный самолет У3 – посадочная скорость 50-60 км/час</w:t>
            </w:r>
          </w:p>
        </w:tc>
      </w:tr>
      <w:tr w:rsidR="00DA227A" w:rsidRPr="00E93F40" w14:paraId="17AF2E00" w14:textId="77777777">
        <w:tc>
          <w:tcPr>
            <w:tcW w:w="4763" w:type="dxa"/>
          </w:tcPr>
          <w:p w14:paraId="24AEC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Построить и широко испытать автожиры</w:t>
            </w:r>
          </w:p>
        </w:tc>
        <w:tc>
          <w:tcPr>
            <w:tcW w:w="6861" w:type="dxa"/>
          </w:tcPr>
          <w:p w14:paraId="60076B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тот же план включены два автожира под моторы М11 и М22. Срок их выпуска 1 августа 1932 года.</w:t>
            </w:r>
          </w:p>
        </w:tc>
      </w:tr>
      <w:tr w:rsidR="00DA227A" w:rsidRPr="00E93F40" w14:paraId="0A4BBDA9" w14:textId="77777777">
        <w:tc>
          <w:tcPr>
            <w:tcW w:w="4763" w:type="dxa"/>
          </w:tcPr>
          <w:p w14:paraId="36846D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Добиться для Р5, Р6 и И5 уменьшения посадочной скорости до 60-70 км/час без уменьшения их горизонтальной скорости.</w:t>
            </w:r>
          </w:p>
        </w:tc>
        <w:tc>
          <w:tcPr>
            <w:tcW w:w="6861" w:type="dxa"/>
          </w:tcPr>
          <w:p w14:paraId="116D57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установке разрезных крыльев и тормозных колес на Р5 ведутся, но до сих пор положительных результатов не дали.</w:t>
            </w:r>
          </w:p>
          <w:p w14:paraId="2AD12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Р6 и И5 промышленностью не ведутся. Вопрос о невыполнении промышленностью постановлений РВС, касающихся снабжения самолетов разрезными крыльями и тормозными колесами, внесен на рассмотрение КО. Тормозные колеса сделаны ЦАГИ на самолет ТШ2. В настоящее время находится на испытании.</w:t>
            </w:r>
          </w:p>
          <w:p w14:paraId="361DD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тормозных колес делает ВТА. Срок изготовления колес 1 июня 1932 года. В ЦАГИ выделена колесная бригада, только приступающая к работе. Разрезные крылья (предкрылки) были сделаны на самолете И4, но дальнейшие работы не ведутся.</w:t>
            </w:r>
          </w:p>
          <w:p w14:paraId="31ACC6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Разрезные крылья на самолете ГРОСа не дали положительных результатов.</w:t>
            </w:r>
          </w:p>
          <w:p w14:paraId="4C4B92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проектировании находится самолет Кричевского со щелью особой формы (отказ от руля высоты).</w:t>
            </w:r>
          </w:p>
        </w:tc>
      </w:tr>
      <w:tr w:rsidR="00DA227A" w:rsidRPr="00E93F40" w14:paraId="6D5D3364" w14:textId="77777777">
        <w:tc>
          <w:tcPr>
            <w:tcW w:w="4763" w:type="dxa"/>
          </w:tcPr>
          <w:p w14:paraId="16B7A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Осуществить в 1932 году конструкцию и постройку газовой турбины Бриллинга и Стечкина не менее 10000 л.с. каждая.</w:t>
            </w:r>
          </w:p>
        </w:tc>
        <w:tc>
          <w:tcPr>
            <w:tcW w:w="6861" w:type="dxa"/>
          </w:tcPr>
          <w:p w14:paraId="1DAF6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РВС поставил вопрос о создании производственной базы для ОКБ ПГУ (Горянова) и об усилении самого бюро. В случае положительного решения этих вопросов конструирование и постройка обоих турбин будет обеспечена. Сейчас имеются предварительные подсчеты.</w:t>
            </w:r>
          </w:p>
        </w:tc>
      </w:tr>
      <w:tr w:rsidR="00DA227A" w:rsidRPr="00E93F40" w14:paraId="14C706C6" w14:textId="77777777">
        <w:tc>
          <w:tcPr>
            <w:tcW w:w="4763" w:type="dxa"/>
          </w:tcPr>
          <w:p w14:paraId="2B897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Сделать необходимые подсчеты и выдвинуть перед изобретательскими органами конструирование моторов, необходимых для постройки сверхмощных бомбардировщиков на 30-100 тонн бомбовой нагрузки.</w:t>
            </w:r>
          </w:p>
        </w:tc>
        <w:tc>
          <w:tcPr>
            <w:tcW w:w="6861" w:type="dxa"/>
          </w:tcPr>
          <w:p w14:paraId="5448B8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 включает самолет ТБ6 с бомбовой нагрузкой 15 тонн.</w:t>
            </w:r>
          </w:p>
          <w:p w14:paraId="04D850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Следующий самолет ТБ7, грузоподъемностью 30 тонн бомб промышленностью отвергнут.</w:t>
            </w:r>
          </w:p>
          <w:p w14:paraId="79A04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ТБ6 обеспечивается моторами в 2000 л.с. (моторы М44 и Н-5), выходящими в этом году.</w:t>
            </w:r>
          </w:p>
        </w:tc>
      </w:tr>
      <w:tr w:rsidR="00DA227A" w:rsidRPr="00E93F40" w14:paraId="1EE9852F" w14:textId="77777777">
        <w:tc>
          <w:tcPr>
            <w:tcW w:w="4763" w:type="dxa"/>
          </w:tcPr>
          <w:p w14:paraId="325B97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Конструирование и постройка приборов автоматического управления полетов самолета в тумане и в облаках.</w:t>
            </w:r>
          </w:p>
        </w:tc>
        <w:tc>
          <w:tcPr>
            <w:tcW w:w="6861" w:type="dxa"/>
          </w:tcPr>
          <w:p w14:paraId="7EC80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выполняется Осконбюро (Ленинград). Представлен на испытания в НИИ образец автомата трех стабилизаций, дал удовлетворительные результаты.</w:t>
            </w:r>
          </w:p>
          <w:p w14:paraId="5C02F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работы выполняются ВОТ (Ниренберг) и группой Осконбюро с участием инженеров НИИ. Опытный образец автоматического пилота от Осконбюро ожидается через 3-4 месяца, от ВОТИ (Ниренберг) через 1,5-2 месяца.</w:t>
            </w:r>
          </w:p>
          <w:p w14:paraId="78819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Лучшие результаты обещает дать автоматический пилот, конструируемый Осконбюро в новом составе (группа инженеров НИИ).</w:t>
            </w:r>
          </w:p>
        </w:tc>
      </w:tr>
      <w:tr w:rsidR="00DA227A" w:rsidRPr="00E93F40" w14:paraId="52CBE04E" w14:textId="77777777">
        <w:tc>
          <w:tcPr>
            <w:tcW w:w="4763" w:type="dxa"/>
          </w:tcPr>
          <w:p w14:paraId="7FA72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Достигнуть в 1932 году распыления жидких ОВ с высоты 5000 метров.</w:t>
            </w:r>
          </w:p>
        </w:tc>
        <w:tc>
          <w:tcPr>
            <w:tcW w:w="6861" w:type="dxa"/>
          </w:tcPr>
          <w:p w14:paraId="4AAFB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ВООМП заказан прицельный прибор для распыления ОВ с высоты 5000 м. НИИ и Академией совместно с ВОХИМУ производится исследовательская работа и необходимые расчеты. Опыты по практическому распылению, намечены во второй половине 1932 года на химполигоне. Прицельное распыление намечается по изготовлению обраца прицела, который ВООМП по договору должен выполнить к концу 1932 года.</w:t>
            </w:r>
          </w:p>
        </w:tc>
      </w:tr>
      <w:tr w:rsidR="00DA227A" w:rsidRPr="00E93F40" w14:paraId="414C34B5" w14:textId="77777777">
        <w:tc>
          <w:tcPr>
            <w:tcW w:w="4763" w:type="dxa"/>
          </w:tcPr>
          <w:p w14:paraId="7268F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Обеспечить к летнему сезону 1932 года широкое участие в боевой подготовке войск технических средств для производства авиамотодесантных частей.</w:t>
            </w:r>
          </w:p>
        </w:tc>
        <w:tc>
          <w:tcPr>
            <w:tcW w:w="6861" w:type="dxa"/>
          </w:tcPr>
          <w:p w14:paraId="3F372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Серийный заказ на оборудование дан бюро Гроховского. Организация авиамотодесантных частей проводится Штабом РККА по линии обще войскового командования.</w:t>
            </w:r>
          </w:p>
        </w:tc>
      </w:tr>
      <w:tr w:rsidR="00DA227A" w:rsidRPr="00E93F40" w14:paraId="75482B1B" w14:textId="77777777">
        <w:tc>
          <w:tcPr>
            <w:tcW w:w="4763" w:type="dxa"/>
          </w:tcPr>
          <w:p w14:paraId="238ED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полностью закончить испытания по применению самолетного огня 76 мм ДРП и приступить к испытанию 107 и 152 ДРП.</w:t>
            </w:r>
          </w:p>
        </w:tc>
        <w:tc>
          <w:tcPr>
            <w:tcW w:w="6861" w:type="dxa"/>
          </w:tcPr>
          <w:p w14:paraId="3ADAC1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ДРП установлены на опытные образцы И12 и ЗЕТ. На И12 вследствие разрыва орудия, испытания в ЦАГИ временно прекращены. Испытания ДРП, установленных на самолете ЗЕТ намечено провести в апреле 1932 года.</w:t>
            </w:r>
          </w:p>
        </w:tc>
      </w:tr>
      <w:tr w:rsidR="00DA227A" w:rsidRPr="00E93F40" w14:paraId="3113DD94" w14:textId="77777777">
        <w:tc>
          <w:tcPr>
            <w:tcW w:w="4763" w:type="dxa"/>
          </w:tcPr>
          <w:p w14:paraId="6CAA9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позднее второго квартала 1932 года закончить полную стабилизацию самолета при полете и автомата взлета и посадки.</w:t>
            </w:r>
          </w:p>
        </w:tc>
        <w:tc>
          <w:tcPr>
            <w:tcW w:w="6861" w:type="dxa"/>
          </w:tcPr>
          <w:p w14:paraId="68C037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См. справку пункт 6 Автоматики взлета и посадки при помощи радиомаяков будет производиться в НИИ на специально оборудованном самолете У2 в течение второго квартала 1932 года. Оборудование самолета закончится.</w:t>
            </w:r>
          </w:p>
        </w:tc>
      </w:tr>
    </w:tbl>
    <w:p w14:paraId="62283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(7427, 48-50).</w:t>
      </w:r>
    </w:p>
    <w:p w14:paraId="3BACA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BF0512"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марта 1932 опросом членов ПБ</w:t>
      </w:r>
    </w:p>
    <w:p w14:paraId="25326D44"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58/24.- О привлечении специалистов фирмы "Юнкере".</w:t>
      </w:r>
    </w:p>
    <w:p w14:paraId="1A968892"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Привлечь немецких специалистов по авиации.</w:t>
      </w:r>
    </w:p>
    <w:p w14:paraId="1C020BBA"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Выделить фонд в 7.000 ам. Долларов.</w:t>
      </w:r>
    </w:p>
    <w:p w14:paraId="1588AB60"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Обязать Моссовет предоставить для иноспециалистов в гражданской авиации и авиопромышленности 50 комнат равными долями в течение апреля и мая месяцев, поручив наб</w:t>
      </w:r>
      <w:r w:rsidRPr="00E93F40">
        <w:rPr>
          <w:rFonts w:ascii="Times New Roman" w:hAnsi="Times New Roman"/>
          <w:color w:val="000000" w:themeColor="text1"/>
          <w:sz w:val="16"/>
          <w:szCs w:val="16"/>
        </w:rPr>
        <w:softHyphen/>
        <w:t>людение т.Кагановичу.</w:t>
      </w:r>
    </w:p>
    <w:p w14:paraId="37233C52"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Выделить 3 автобуса и 8 легковых машин специально для обслуживания иноспециалистов и договориться об этом с т. Кагановичем.</w:t>
      </w:r>
    </w:p>
    <w:p w14:paraId="5DCDE357"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 списке приглашаемых лиц включить специалистов, необходимых да авиопроиншленности (Глававиапром).</w:t>
      </w:r>
    </w:p>
    <w:p w14:paraId="3E975A5F"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Возложить на т.Гольцмана наблюдение за ходом привлечения и устройства специалистов в Москве.</w:t>
      </w:r>
    </w:p>
    <w:p w14:paraId="4F72B937" w14:textId="43E5EEFB"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Керженцову, Кагановичу, Гольцману</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 Рудзутаку - п.1,2; Булганину - п. 3</w:t>
      </w:r>
    </w:p>
    <w:p w14:paraId="7F38507D" w14:textId="77777777" w:rsidR="00103953" w:rsidRPr="00E93F40" w:rsidRDefault="001039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состоялось заседание ПБ (Протокол № 94) (23040).</w:t>
      </w:r>
    </w:p>
    <w:p w14:paraId="2E74BFA0" w14:textId="77777777" w:rsidR="00103953" w:rsidRPr="00E93F40" w:rsidRDefault="00103953" w:rsidP="00E93F40">
      <w:pPr>
        <w:spacing w:after="0" w:line="240" w:lineRule="auto"/>
        <w:jc w:val="both"/>
        <w:rPr>
          <w:rFonts w:ascii="Times New Roman" w:hAnsi="Times New Roman"/>
          <w:color w:val="000000" w:themeColor="text1"/>
          <w:sz w:val="16"/>
          <w:szCs w:val="16"/>
        </w:rPr>
      </w:pPr>
    </w:p>
    <w:p w14:paraId="69FE6E6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0DDAEA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81D240"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27 марта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ЦИК СССР и СНК СССР об организации управления республиканской и местной промышленностью в связи с реорганизацией ВСНХ СССР (СЗ. 1932. № 22. Ст. 134) (12415).</w:t>
      </w:r>
    </w:p>
    <w:p w14:paraId="166BA0B8"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p>
    <w:p w14:paraId="3A01608D"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марта 1932 г. — Письмо замнаркома по военным и морским делам СССР и председателя РВС СССР М. Н. Тухачевского генеральному секретарю ЦК ВКП(б) И. В. Сталину об изменении системы подготовки военных инженеров и создании специальных военных академий</w:t>
      </w:r>
    </w:p>
    <w:p w14:paraId="61E1D36B"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Секретно.</w:t>
      </w:r>
    </w:p>
    <w:p w14:paraId="2F7893AD"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последними решениями КО о быстром оснащении РККА танками, артиллерией и другими техническими средствами резко выросла потребность в военных инженерах различных специальностей, что требует немедленного выделения из Военно-технической академии РККА ряда самостоятельных академий, и в первую очередь Механизации и моторизации. Военно-инженерной и Военно-химической.</w:t>
      </w:r>
    </w:p>
    <w:p w14:paraId="3FC62B97"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Подобно тому, как до последнего времени НКВМ ежегодно поддерживал промышленность инженерами, теперь необходима помощь НКТП, без чего невозможно своевременно организационно охватить боевую эксплуатацию новой материальной части и создать в стране необходимый запас военных инженеров.</w:t>
      </w:r>
    </w:p>
    <w:p w14:paraId="30830E3B"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выполнения этой задачи необходима милитаризация трех гражданских втузов, причем подготовка в них военных инженеров может быть так поставлена, что НКТП не потерпит ущерба в ежегодных выпусках. Получая военных инженеров запаса, НКТП даже выиграет не только в отношении повышенной дисциплинированности военных инженеров, но и в отношении быстроты поступления их на производство.</w:t>
      </w:r>
    </w:p>
    <w:p w14:paraId="2EC5C720" w14:textId="2B2A358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выпускаемые из втузов инженеры берутся в РККА по ежегодному призыву на одногодичный срок службы и на производство фактически попадают лишь через год. Таким образом, инженеры, оканчивающие курс весной или летом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фактически попадут на производство не ранее осени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7474DA5B"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Предлагаемая Наркомвоенмором милитаризация, с производственной точки зрения, безусловно, будет выгодна промышленности, так как оканчивающие по промышленным отделениям будут выпущены военными инженерами запаса и как прошедшие минимально потребный курс военного обучения будут освобождены от призыва в армию и поступят на производство немедленно по окончании. Потребная для НКТП специализация будет строго соблюдена в милитаризованных втузах.</w:t>
      </w:r>
    </w:p>
    <w:p w14:paraId="41E9DD0E"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Наличие интересующих НКВМ втузов и потребности НКВМ, характеризуются следующими данными.</w:t>
      </w:r>
    </w:p>
    <w:p w14:paraId="43D22FA3"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Автотракторные и автодорожные институты и развертывание Академии механизации и моторизации РККА</w:t>
      </w:r>
    </w:p>
    <w:p w14:paraId="717A59FA" w14:textId="1A5066F5"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по Союзу имеется 2 автотракторных института (Москва и Сталинград) и 3 специальных факультета в составе мех[анико]-машиностроительных институтов (Ленинград, Харьков, Н[ижний] Новгород). Автодорожных институтов имеется 10 (Москва, Ленинград, Харьков, Ростов, Саратов, Омск, Тюмень, Тифлис, Ташкент и Минск). Общее число студентов во всех этих институтах и факультетах 16</w:t>
      </w:r>
      <w:r w:rsidRPr="00E93F40">
        <w:rPr>
          <w:rFonts w:ascii="Times New Roman" w:hAnsi="Times New Roman"/>
          <w:color w:val="000000" w:themeColor="text1"/>
          <w:sz w:val="16"/>
          <w:szCs w:val="16"/>
        </w:rPr>
        <w:noBreakHyphen/>
        <w:t>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 Потребность военного ведомства выражается в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слушателей.</w:t>
      </w:r>
    </w:p>
    <w:p w14:paraId="7DDABCE2" w14:textId="76BD3304"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Московский автотракторный институт имеет 1256 студентов, и наряду с этим наличие преподавательских кадров, лабораторий и аудиторий позволяет расширить контингент студентов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 при условии постройки общежитий. Учитывая, что НКВМ пополнит АТИ лабораториями факультета механизации и моторизации ВТА и за лето успеет построить общежития, совершенно очевидно, что никаких затруднений для милитаризации АТИ не имеется.</w:t>
      </w:r>
    </w:p>
    <w:p w14:paraId="4B8D2E0D" w14:textId="67B918F4"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Строительные институты и развертывание Военно-инженерной академии РККА</w:t>
      </w:r>
    </w:p>
    <w:p w14:paraId="022C7D9F" w14:textId="060F93CD"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строительных втузов по СССР 15 и учащихся в них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 Потребный состав слушателей для Военно-инженерной академии 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 Наиболее подходящим для милитаризации является Московское высшее инженерно-строительное училище (ВИСУ), имеющее 2325 студентов, из коих 643 в вечерней смене. Часть имеющихся специальностей, именно: отопление, вентиляция, водопровод и канализация, с общим числом студентов 343, передается в Каменевский учебно-строительный комбинат, в связи с чем особых затруднений в переводе военно-инженерного факультета и слиянии его с ВИСУ, очевидно, не будет.</w:t>
      </w:r>
    </w:p>
    <w:p w14:paraId="7FDBE884"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Химические институты и развертывание Военно-химической академии РККА</w:t>
      </w:r>
    </w:p>
    <w:p w14:paraId="32741328" w14:textId="72AC69A5" w:rsidR="00424ECB" w:rsidRPr="00E93F40" w:rsidRDefault="00424ECB" w:rsidP="00E93F40">
      <w:pPr>
        <w:pStyle w:val="rtejustify"/>
        <w:spacing w:before="0" w:after="0"/>
        <w:rPr>
          <w:color w:val="000000" w:themeColor="text1"/>
          <w:sz w:val="16"/>
          <w:szCs w:val="16"/>
        </w:rPr>
      </w:pPr>
      <w:r w:rsidRPr="00E93F40">
        <w:rPr>
          <w:color w:val="000000" w:themeColor="text1"/>
          <w:sz w:val="16"/>
          <w:szCs w:val="16"/>
        </w:rPr>
        <w:t>Всего по Союзу имеется 18 химических втузов и в 1932</w:t>
      </w:r>
      <w:r w:rsidR="007C1411" w:rsidRPr="00E93F40">
        <w:rPr>
          <w:color w:val="000000" w:themeColor="text1"/>
          <w:sz w:val="16"/>
          <w:szCs w:val="16"/>
        </w:rPr>
        <w:t xml:space="preserve"> </w:t>
      </w:r>
      <w:r w:rsidRPr="00E93F40">
        <w:rPr>
          <w:color w:val="000000" w:themeColor="text1"/>
          <w:sz w:val="16"/>
          <w:szCs w:val="16"/>
        </w:rPr>
        <w:t>г. будет открыто 3</w:t>
      </w:r>
      <w:r w:rsidR="007C1411" w:rsidRPr="00E93F40">
        <w:rPr>
          <w:color w:val="000000" w:themeColor="text1"/>
          <w:sz w:val="16"/>
          <w:szCs w:val="16"/>
        </w:rPr>
        <w:t xml:space="preserve"> </w:t>
      </w:r>
      <w:r w:rsidRPr="00E93F40">
        <w:rPr>
          <w:color w:val="000000" w:themeColor="text1"/>
          <w:sz w:val="16"/>
          <w:szCs w:val="16"/>
        </w:rPr>
        <w:t>новых. Два втуза находятся в Москве. Общая численность студентов 17</w:t>
      </w:r>
      <w:r w:rsidR="007C1411" w:rsidRPr="00E93F40">
        <w:rPr>
          <w:color w:val="000000" w:themeColor="text1"/>
          <w:sz w:val="16"/>
          <w:szCs w:val="16"/>
        </w:rPr>
        <w:t xml:space="preserve"> </w:t>
      </w:r>
      <w:r w:rsidRPr="00E93F40">
        <w:rPr>
          <w:color w:val="000000" w:themeColor="text1"/>
          <w:sz w:val="16"/>
          <w:szCs w:val="16"/>
        </w:rPr>
        <w:t>354</w:t>
      </w:r>
      <w:r w:rsidR="007C1411" w:rsidRPr="00E93F40">
        <w:rPr>
          <w:color w:val="000000" w:themeColor="text1"/>
          <w:sz w:val="16"/>
          <w:szCs w:val="16"/>
        </w:rPr>
        <w:t xml:space="preserve"> </w:t>
      </w:r>
      <w:r w:rsidRPr="00E93F40">
        <w:rPr>
          <w:color w:val="000000" w:themeColor="text1"/>
          <w:sz w:val="16"/>
          <w:szCs w:val="16"/>
        </w:rPr>
        <w:t>чел., из них в обоих московских вузах 5389</w:t>
      </w:r>
      <w:r w:rsidR="007C1411" w:rsidRPr="00E93F40">
        <w:rPr>
          <w:color w:val="000000" w:themeColor="text1"/>
          <w:sz w:val="16"/>
          <w:szCs w:val="16"/>
        </w:rPr>
        <w:t xml:space="preserve"> </w:t>
      </w:r>
      <w:r w:rsidRPr="00E93F40">
        <w:rPr>
          <w:color w:val="000000" w:themeColor="text1"/>
          <w:sz w:val="16"/>
          <w:szCs w:val="16"/>
        </w:rPr>
        <w:t>чел. Для Военно-химической академии требуется 500</w:t>
      </w:r>
      <w:r w:rsidR="007C1411" w:rsidRPr="00E93F40">
        <w:rPr>
          <w:color w:val="000000" w:themeColor="text1"/>
          <w:sz w:val="16"/>
          <w:szCs w:val="16"/>
        </w:rPr>
        <w:t xml:space="preserve"> </w:t>
      </w:r>
      <w:r w:rsidRPr="00E93F40">
        <w:rPr>
          <w:color w:val="000000" w:themeColor="text1"/>
          <w:sz w:val="16"/>
          <w:szCs w:val="16"/>
        </w:rPr>
        <w:t>чел. Нагрузка московских вузов оценивается в 60%. Наиболее подходящим для милитаризации является 2</w:t>
      </w:r>
      <w:r w:rsidRPr="00E93F40">
        <w:rPr>
          <w:color w:val="000000" w:themeColor="text1"/>
          <w:sz w:val="16"/>
          <w:szCs w:val="16"/>
        </w:rPr>
        <w:noBreakHyphen/>
        <w:t>й филиал Московского химического института, значительно недогруженный студентами, слияние с которым Военно-химического факультета не представит затруднений. Остальные факультеты, а именно: артиллерийский, военных приборов, электротехнический и связи, значительно расширенные, могут остаться в Ленинграде, в составе Военно-технической академии РККА.</w:t>
      </w:r>
    </w:p>
    <w:p w14:paraId="2A0FB209" w14:textId="3B493FFC" w:rsidR="00424ECB" w:rsidRPr="00E93F40" w:rsidRDefault="00424ECB" w:rsidP="00E93F40">
      <w:pPr>
        <w:pStyle w:val="rtejustify"/>
        <w:spacing w:before="0" w:after="0"/>
        <w:rPr>
          <w:color w:val="000000" w:themeColor="text1"/>
          <w:sz w:val="16"/>
          <w:szCs w:val="16"/>
        </w:rPr>
      </w:pPr>
      <w:r w:rsidRPr="00E93F40">
        <w:rPr>
          <w:color w:val="000000" w:themeColor="text1"/>
          <w:sz w:val="16"/>
          <w:szCs w:val="16"/>
        </w:rPr>
        <w:lastRenderedPageBreak/>
        <w:t>Представляю на Ваше усмотрение настоящей проект с разрешения т.</w:t>
      </w:r>
      <w:r w:rsidR="007C1411" w:rsidRPr="00E93F40">
        <w:rPr>
          <w:color w:val="000000" w:themeColor="text1"/>
          <w:sz w:val="16"/>
          <w:szCs w:val="16"/>
        </w:rPr>
        <w:t xml:space="preserve"> </w:t>
      </w:r>
      <w:hyperlink r:id="rId71" w:history="1">
        <w:r w:rsidRPr="00E93F40">
          <w:rPr>
            <w:color w:val="000000" w:themeColor="text1"/>
            <w:sz w:val="16"/>
            <w:szCs w:val="16"/>
          </w:rPr>
          <w:t>Орджоникидзе</w:t>
        </w:r>
      </w:hyperlink>
      <w:r w:rsidRPr="00E93F40">
        <w:rPr>
          <w:color w:val="000000" w:themeColor="text1"/>
          <w:sz w:val="16"/>
          <w:szCs w:val="16"/>
        </w:rPr>
        <w:t>, не возражающего в принципе против изложенных выше предложений.</w:t>
      </w:r>
    </w:p>
    <w:p w14:paraId="372DC834" w14:textId="77777777" w:rsidR="00424ECB" w:rsidRPr="00E93F40" w:rsidRDefault="00424ECB"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Зам. наркомвоенмора </w:t>
      </w:r>
      <w:hyperlink r:id="rId72" w:history="1">
        <w:r w:rsidRPr="00E93F40">
          <w:rPr>
            <w:rStyle w:val="af0"/>
            <w:i w:val="0"/>
            <w:color w:val="000000" w:themeColor="text1"/>
            <w:sz w:val="16"/>
            <w:szCs w:val="16"/>
          </w:rPr>
          <w:t>Тухачевский</w:t>
        </w:r>
      </w:hyperlink>
    </w:p>
    <w:p w14:paraId="726650EC" w14:textId="77777777" w:rsidR="00424ECB" w:rsidRPr="00E93F40" w:rsidRDefault="00424ECB"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Примечание</w:t>
      </w:r>
      <w:r w:rsidRPr="00E93F40">
        <w:rPr>
          <w:color w:val="000000" w:themeColor="text1"/>
          <w:sz w:val="16"/>
          <w:szCs w:val="16"/>
        </w:rPr>
        <w:t>:</w:t>
      </w:r>
    </w:p>
    <w:p w14:paraId="5A3B6C5D" w14:textId="58A756EC" w:rsidR="00424ECB" w:rsidRPr="00E93F40" w:rsidRDefault="00424ECB" w:rsidP="00E93F40">
      <w:pPr>
        <w:pStyle w:val="ae"/>
        <w:spacing w:before="0" w:after="0"/>
        <w:jc w:val="both"/>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Копии направлены Г.</w:t>
      </w:r>
      <w:r w:rsidR="007C1411" w:rsidRPr="00E93F40">
        <w:rPr>
          <w:color w:val="000000" w:themeColor="text1"/>
          <w:sz w:val="16"/>
          <w:szCs w:val="16"/>
        </w:rPr>
        <w:t xml:space="preserve"> </w:t>
      </w:r>
      <w:r w:rsidRPr="00E93F40">
        <w:rPr>
          <w:color w:val="000000" w:themeColor="text1"/>
          <w:sz w:val="16"/>
          <w:szCs w:val="16"/>
        </w:rPr>
        <w:t>К.</w:t>
      </w:r>
      <w:r w:rsidR="007C1411" w:rsidRPr="00E93F40">
        <w:rPr>
          <w:color w:val="000000" w:themeColor="text1"/>
          <w:sz w:val="16"/>
          <w:szCs w:val="16"/>
        </w:rPr>
        <w:t xml:space="preserve"> </w:t>
      </w:r>
      <w:r w:rsidRPr="00E93F40">
        <w:rPr>
          <w:color w:val="000000" w:themeColor="text1"/>
          <w:sz w:val="16"/>
          <w:szCs w:val="16"/>
        </w:rPr>
        <w:t>Орджоникидзе и К.</w:t>
      </w:r>
      <w:r w:rsidR="007C1411" w:rsidRPr="00E93F40">
        <w:rPr>
          <w:color w:val="000000" w:themeColor="text1"/>
          <w:sz w:val="16"/>
          <w:szCs w:val="16"/>
        </w:rPr>
        <w:t xml:space="preserve"> </w:t>
      </w:r>
      <w:r w:rsidRPr="00E93F40">
        <w:rPr>
          <w:color w:val="000000" w:themeColor="text1"/>
          <w:sz w:val="16"/>
          <w:szCs w:val="16"/>
        </w:rPr>
        <w:t>Е.</w:t>
      </w:r>
      <w:r w:rsidR="007C1411" w:rsidRPr="00E93F40">
        <w:rPr>
          <w:color w:val="000000" w:themeColor="text1"/>
          <w:sz w:val="16"/>
          <w:szCs w:val="16"/>
        </w:rPr>
        <w:t xml:space="preserve"> </w:t>
      </w:r>
      <w:r w:rsidRPr="00E93F40">
        <w:rPr>
          <w:color w:val="000000" w:themeColor="text1"/>
          <w:sz w:val="16"/>
          <w:szCs w:val="16"/>
        </w:rPr>
        <w:t>Ворошилову.</w:t>
      </w:r>
    </w:p>
    <w:p w14:paraId="34B904BA" w14:textId="77777777" w:rsidR="00424ECB" w:rsidRPr="00E93F40" w:rsidRDefault="00424ECB" w:rsidP="00E93F40">
      <w:pPr>
        <w:pStyle w:val="ae"/>
        <w:spacing w:before="0" w:after="0"/>
        <w:jc w:val="both"/>
        <w:rPr>
          <w:color w:val="000000" w:themeColor="text1"/>
          <w:sz w:val="16"/>
          <w:szCs w:val="16"/>
        </w:rPr>
      </w:pPr>
      <w:r w:rsidRPr="00E93F40">
        <w:rPr>
          <w:color w:val="000000" w:themeColor="text1"/>
          <w:sz w:val="16"/>
          <w:szCs w:val="16"/>
        </w:rPr>
        <w:t>ГА РФ. Ф. Р-8418. Оп. 6. Д. 235. Л. 2—5. Подлинник.</w:t>
      </w:r>
    </w:p>
    <w:p w14:paraId="38F71E59" w14:textId="73F0973A"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235. Л. 2—5. Подлинник. </w:t>
      </w:r>
    </w:p>
    <w:p w14:paraId="7B5420CF" w14:textId="78784401"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655-657 (12557).</w:t>
      </w:r>
    </w:p>
    <w:p w14:paraId="657B954A" w14:textId="77777777" w:rsidR="00424ECB" w:rsidRPr="00E93F40" w:rsidRDefault="00424ECB" w:rsidP="00E93F40">
      <w:pPr>
        <w:spacing w:after="0" w:line="240" w:lineRule="auto"/>
        <w:jc w:val="both"/>
        <w:rPr>
          <w:rFonts w:ascii="Times New Roman" w:hAnsi="Times New Roman"/>
          <w:color w:val="000000" w:themeColor="text1"/>
          <w:sz w:val="16"/>
          <w:szCs w:val="16"/>
        </w:rPr>
      </w:pPr>
    </w:p>
    <w:p w14:paraId="511B2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марта 1932 г. проект тральщика Пр. 3 был утвержден и предусматривал вооружение тральщика стандартным во</w:t>
      </w:r>
      <w:r w:rsidRPr="00E93F40">
        <w:rPr>
          <w:rFonts w:ascii="Times New Roman" w:hAnsi="Times New Roman"/>
          <w:color w:val="000000" w:themeColor="text1"/>
          <w:sz w:val="16"/>
          <w:szCs w:val="16"/>
        </w:rPr>
        <w:softHyphen/>
        <w:t>доизмещением 383 т (полное 433 т) двумя комплектами параван-тралов, тралами Щульца, змейковым и электромагнитным (для борьбы с неконтактными минами) (3898).</w:t>
      </w:r>
    </w:p>
    <w:p w14:paraId="4D9D93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Восемь тральщиков I серии в 1931—1932 гг. были заказаны Северной верфи в Ленинграде (4 единицы) и Севморзаводу (4 еди</w:t>
      </w:r>
      <w:r w:rsidRPr="00E93F40">
        <w:rPr>
          <w:rFonts w:ascii="Times New Roman" w:hAnsi="Times New Roman"/>
          <w:color w:val="000000" w:themeColor="text1"/>
          <w:sz w:val="16"/>
          <w:szCs w:val="16"/>
        </w:rPr>
        <w:softHyphen/>
        <w:t>ницы). Однако закладка кораблей задержалась из-за непоставок стали, и только в октябре 1933 г. — январе 1934 г. на Северной вер</w:t>
      </w:r>
      <w:r w:rsidRPr="00E93F40">
        <w:rPr>
          <w:rFonts w:ascii="Times New Roman" w:hAnsi="Times New Roman"/>
          <w:color w:val="000000" w:themeColor="text1"/>
          <w:sz w:val="16"/>
          <w:szCs w:val="16"/>
        </w:rPr>
        <w:softHyphen/>
        <w:t>фи заложили "Заряд" (Т-201), "Буй" (Т-202), "Патрон" (Т-203) "Фугас" (Т-204), по названию последнего корабля быстроходные тральщики впоследствии стали именовать типом "Фугас". Строите</w:t>
      </w:r>
      <w:r w:rsidRPr="00E93F40">
        <w:rPr>
          <w:rFonts w:ascii="Times New Roman" w:hAnsi="Times New Roman"/>
          <w:color w:val="000000" w:themeColor="text1"/>
          <w:sz w:val="16"/>
          <w:szCs w:val="16"/>
        </w:rPr>
        <w:softHyphen/>
        <w:t>лем тральщиков типа "Фугас" на Северной верфи был инженер И. С. Кузовов. В Севастополе закладка однотипных "Трала" (Т-401) "Минрепа" (Т-402), "Груза" (Т-403) и "Щита" (Т-404) состоялась в 1933—1934 гг., а в 1934—1935 гг. все корабли бьши спущены на воду. При этом стапельный период постройки оказался в пределах 10--12 мес., но своевременная сдача тральщиков, половину из ко</w:t>
      </w:r>
      <w:r w:rsidRPr="00E93F40">
        <w:rPr>
          <w:rFonts w:ascii="Times New Roman" w:hAnsi="Times New Roman"/>
          <w:color w:val="000000" w:themeColor="text1"/>
          <w:sz w:val="16"/>
          <w:szCs w:val="16"/>
        </w:rPr>
        <w:softHyphen/>
        <w:t>торых к концу 1935 г. довели до готовности 85%, бьша сорвана не</w:t>
      </w:r>
      <w:r w:rsidRPr="00E93F40">
        <w:rPr>
          <w:rFonts w:ascii="Times New Roman" w:hAnsi="Times New Roman"/>
          <w:color w:val="000000" w:themeColor="text1"/>
          <w:sz w:val="16"/>
          <w:szCs w:val="16"/>
        </w:rPr>
        <w:softHyphen/>
        <w:t>поставкой дизелей Коломенским заводом (3898).</w:t>
      </w:r>
    </w:p>
    <w:p w14:paraId="311DE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6B887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F5F7E1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D754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марта 1932 года было опубликовано постановление ЦК ВКП(б) "О принудительном обобществлении скота". В нем всем партийным, советским и колхозным организациям вменялось в обязанность содействие колхозникам в покупке и выращивании личного скота. Теперь задача партии усматривалась в том, чтобы "у каждого колхозника были своя корова, мелкий скот, птица" (9492).</w:t>
      </w:r>
    </w:p>
    <w:p w14:paraId="1826B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C785C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46326C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D2E5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года Алкснис утвердил самолет И-5 N 4298 эталоном для производства на 1932 год (3002).</w:t>
      </w:r>
    </w:p>
    <w:p w14:paraId="77A8FD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0D69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года начальник ВВС Алкснис писал письмо N 038170 председателю РВС.</w:t>
      </w:r>
    </w:p>
    <w:p w14:paraId="0287B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2C176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28 марта с.г.</w:t>
      </w:r>
    </w:p>
    <w:p w14:paraId="194B5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NN 1, 2, 3 испытаны в воздухе, производится окончательная сборка вооружения.</w:t>
      </w:r>
    </w:p>
    <w:p w14:paraId="795E4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4 облетан (испытан в воздухе) 27 марта 1932 года.</w:t>
      </w:r>
    </w:p>
    <w:p w14:paraId="3132CA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6 вывозится на аэродром завода (3027).</w:t>
      </w:r>
    </w:p>
    <w:p w14:paraId="049E3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E25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вышел Приказ Народного комиссариата тяжелой промышленности - главное управление авиационной промышленности -№ 181</w:t>
      </w:r>
    </w:p>
    <w:p w14:paraId="5DD78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w:t>
      </w:r>
    </w:p>
    <w:p w14:paraId="315E05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проект и план строительства завода №125.</w:t>
      </w:r>
    </w:p>
    <w:p w14:paraId="7F014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2 </w:t>
      </w:r>
    </w:p>
    <w:p w14:paraId="6FCF8B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Обязанность начальника строительства возложить на т. Бычкова.</w:t>
      </w:r>
    </w:p>
    <w:p w14:paraId="082991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Народный комиссариат тяжелой промышленности: (С. Орджоникидзе) (10795).</w:t>
      </w:r>
    </w:p>
    <w:p w14:paraId="3DC8E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60C8C1" w14:textId="77777777" w:rsidR="00FB4165" w:rsidRPr="00E93F40" w:rsidRDefault="00FB41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28 марта</w:t>
      </w:r>
      <w:r w:rsidRPr="00E93F40">
        <w:rPr>
          <w:rFonts w:ascii="Times New Roman" w:hAnsi="Times New Roman"/>
          <w:color w:val="000000" w:themeColor="text1"/>
          <w:sz w:val="16"/>
          <w:szCs w:val="16"/>
        </w:rPr>
        <w:t xml:space="preserve"> в 1932 году приказом НКТП №181 было принято решение о начале строительства завода № 125 под Иркутском (ныне ОАО ИАПО - «Иркут»). 23 августа 1934 г. завод № 125 получил имя Сталина. Осенью 1941 г. на территорию завода № 125 был эвакуирован завод №39 имени Менжинского из Москвы, и Иркутский завод стал заводом № 39 орденов Ленина и Трудового Красного знамени. Распоряжением Совнархоза № 215 от 15 февраля 1963 предприятию было присвоено название "Иркутский машиностроительный завод". Приказом МАП №2111 от 14 мая 1975 завод получил название "Иркутский авиационный завод". В 1976 г. завод был награжден орденом Октябрьской революции. В связи с юбилейной датой образования СССР Президиум Верховного Совета СССР 14 декабря 1982 г. присвоил заводу наименование "Иркутский авиационный завод имени 60-летия Союза ССР". В связи с образованием у завода филиалов приказом МАП № 205 от 21 апреля 1989 ИАЗ преобразован в "Иркутское авиационное производственное объединение" (ИАПО). После регистрации 13 октября 1992 государственное предприятие "Иркутское авиационное производственное объединение" было преобразовано в открытое акционерное общество "Иркутское авиационное производственное объединение" (ОАО ИАПО). В августе 1997 г. ОАО ИАПО получило заключение о соответствии системе качества изготовления самолетов международному стандарту ISO-9002. С 23 декабря 2002 предприятие стало называться ОАО "Научно-производственная корпорация "Иркут". На заводе работали такие авиаконструкторы, как В.Г.Ермолаев и П.О.Сухой. За многие годы из цехов объединения вышло свыше 6500 самолетов, созданных практически во всех ведущих конструкторских бюро России. В настоящее время ИАПО производит лётную технику 21 века. Это двухместный учебно-боевой истребитель Су-27УБК, истребитель дальнего радиуса действия Су-30К, многофункциональный истребитель Су-30МК. Высоким экспортным потенциалом обладает многоцелевой реактивный самолет-амфибия Бе-200. Существуют противопожарный, поисково-спасательный, патрульный, пассажирский, транспортный и другие варианты Бе-200, которые позволяют решать практически любые задачи. Иркутское авиационное производственное объединение - одно из крупнейших российских самолетостроительных предприятий (15082).</w:t>
      </w:r>
    </w:p>
    <w:p w14:paraId="420287E1" w14:textId="77777777" w:rsidR="00FB4165" w:rsidRPr="00E93F40" w:rsidRDefault="00FB4165" w:rsidP="00E93F40">
      <w:pPr>
        <w:spacing w:after="0" w:line="240" w:lineRule="auto"/>
        <w:jc w:val="both"/>
        <w:rPr>
          <w:rFonts w:ascii="Times New Roman" w:hAnsi="Times New Roman"/>
          <w:color w:val="000000" w:themeColor="text1"/>
          <w:sz w:val="16"/>
          <w:szCs w:val="16"/>
        </w:rPr>
      </w:pPr>
    </w:p>
    <w:p w14:paraId="76238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вышел приказ N 181 ГУПромышленности НКТП о строительстве авиазавода в Иркутске (1718,44).</w:t>
      </w:r>
    </w:p>
    <w:p w14:paraId="4D212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606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года Народный комиссар тяжелой промышленности СССР Серго Орджоникидзе подписал приказ № 181 о строительстве авиационного завода № 125 под Иркутском. По плану, завод должен вступить в строй 1 января 1933 года и выпускать по 100 самолетов Р-5 ежегодно (11884).</w:t>
      </w:r>
    </w:p>
    <w:p w14:paraId="0C7334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AFC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28 марта 1932 года началось строительство производственных цехов и подсобных помещений Иркутского авиационного завода. Начальником строительства назначен И.Н. Бычков, директором – А.Д. Люшинский, техническим директором – Д.М. Хомский. С 1 апреля на заводе действовали организации: партийная (секретарь Вдовин), комсомольская (секретарь В. Бодров) и профсоюзная (председатель П. Тараканов, заместитель И. Секерин) (11884). </w:t>
      </w:r>
    </w:p>
    <w:p w14:paraId="04820A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E20D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 нарком тяжелой промышленности Се pro Орджоникидзе подписал приказ №181 по Главному управлению авиационной промышленности (оно структурно входило в Наркомтяжпром) об утверждении проекта и плана строительства завода №125 и о назначении начальником стройки инженера Бычкова (12037).</w:t>
      </w:r>
    </w:p>
    <w:p w14:paraId="7A20A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3A0176" w14:textId="19AD0EF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w:t>
      </w:r>
      <w:r w:rsidRPr="00E93F40">
        <w:rPr>
          <w:rFonts w:ascii="Times New Roman" w:hAnsi="Times New Roman"/>
          <w:color w:val="000000" w:themeColor="text1"/>
          <w:sz w:val="16"/>
          <w:szCs w:val="16"/>
          <w:vertAlign w:val="superscript"/>
        </w:rPr>
        <w:t>69</w:t>
      </w:r>
      <w:r w:rsidRPr="00E93F40">
        <w:rPr>
          <w:rFonts w:ascii="Times New Roman" w:hAnsi="Times New Roman"/>
          <w:color w:val="000000" w:themeColor="text1"/>
          <w:sz w:val="16"/>
          <w:szCs w:val="16"/>
        </w:rPr>
        <w:t xml:space="preserve"> в ведении самолетного треста ГУАП НКТП был основан Завод № 125 им. Сталина НКТП, НКОП, НКАП /г. Иркутск/ /Московское представительство: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Москва ул. Разина, 20 (1938 г.)/, заданный постановлением от 16 февраля 1932. Частично вступил в строй 24.08.1934 г., в 02.1937-12.193 8 г. - в ведении 1ГУ НКОП.</w:t>
      </w:r>
    </w:p>
    <w:p w14:paraId="3956F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0032 от 8.02.1937 г. заводу предписано в 1937 г. сдать в эксплуатацию два пролета главного корпуса и ангар. По пр. № 247с от 14/15.07.1938 г. к 10.08.1938 г. требовалось закончить проектирование гл. корпуса (ГПИ-1); на площадях строящегося корпуса № 2 (моторный цех) временно организовать производство шасси и моторам. В 1938 г. начато строительство бетонной ВПП, но до начала войны оно не было закончено. В конце 1940 г. завод еще строился. К 1941 г. завод занимал территорию 40,5 га, включая аэродром. Производственные площади- 25.158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Имелись основной корпус, сборочный. 852 единицы оборудования. По пр. № 67с от 21/23.02.1938 г. заводу передан (по состоянию на 1.03.1938 г.) кирпичный завод, принадлежавший «Востсибэлементу» ( г. Усолье).</w:t>
      </w:r>
    </w:p>
    <w:p w14:paraId="589CC1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1939 г. проектная мощность завода составляла 700 СБ в год.</w:t>
      </w:r>
    </w:p>
    <w:p w14:paraId="10A74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262сс от 22.03.1941 г. завод передан в ЮГУ НКАП.</w:t>
      </w:r>
    </w:p>
    <w:p w14:paraId="7B6CF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628с от 5.07.1941 г. завод № 99 ( г. Улан-Удэ) преобразован в филиал завода № 125 НКАП. Начальник филиала- И.М. Барышев.</w:t>
      </w:r>
    </w:p>
    <w:p w14:paraId="1DEAB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02.1941 г. начато освоение выпука Пе-2. План производства на 1941 г.: 250 Пе-2. Пост. ГКО № 566 от 23.08.1941 г. заводу поручено производство упрощенного Пе-2. 23.09.1941 г. вновь вышло постановление ГКО № 707 о производстве Пе-2 на заводе.</w:t>
      </w:r>
    </w:p>
    <w:p w14:paraId="5094F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соответствии с пост. Совета эвакуации № 14323сс 10.1941 г. на площадку завода № 125 НКАП ЮГУ эвакуирован завод № 39 ЮГУ. В соответствии с пост. ГКО № 996с от 6.12.1941 г. и приказом </w:t>
      </w:r>
      <w:r w:rsidRPr="00E93F40">
        <w:rPr>
          <w:rFonts w:ascii="Times New Roman" w:hAnsi="Times New Roman"/>
          <w:color w:val="000000" w:themeColor="text1"/>
          <w:sz w:val="16"/>
          <w:szCs w:val="16"/>
          <w:lang w:val="en-US"/>
        </w:rPr>
        <w:t>HKAII</w:t>
      </w:r>
      <w:r w:rsidRPr="00E93F40">
        <w:rPr>
          <w:rFonts w:ascii="Times New Roman" w:hAnsi="Times New Roman"/>
          <w:color w:val="000000" w:themeColor="text1"/>
          <w:sz w:val="16"/>
          <w:szCs w:val="16"/>
        </w:rPr>
        <w:t xml:space="preserve"> № 1139с от 8.12.1941 г. завод № 39 объединен с заводом № 125 с образованием единого завода № 39 НКАП. Выбыл из состава действующих с 11.1941 г.</w:t>
      </w:r>
    </w:p>
    <w:p w14:paraId="7DE80E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1941 г. на площадку завода № 125 эвакуировано ОКБ-240 Ермолаева. Работы по самолету СРГ-2 с М-40Ф.</w:t>
      </w:r>
    </w:p>
    <w:p w14:paraId="4A869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(11.1940 г.)- 529 металлорежущих станков.</w:t>
      </w:r>
    </w:p>
    <w:p w14:paraId="275ADB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(1.01.1941 г.)- 7369 чел.</w:t>
      </w:r>
    </w:p>
    <w:p w14:paraId="639EBFF3" w14:textId="5E1C8D79"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(-06-20.12.1937 г.)- А. Г. Горелш (снят); и.о. (30.12.1937 г.-)- Ю.В. Колганов; (8.02-07.1938 г.-)- И.С. Левин, (06.1940-10.1941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 И.Б. Иосилович.</w:t>
      </w:r>
    </w:p>
    <w:p w14:paraId="5C36B1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(06.1937 г.)- Ю.В. Колганов; по капстроительству (8.03-21.11.1938 г.)- М.М. Верховский (снят), (27.11.1938 г.-)- Н.В. Островский. Помощник директора по найму и увольнению рабочей силы (-1.02.1937 г.)- К.М. Аниканов, (8.03.1938 г.-)- Р.С. Карабач.</w:t>
      </w:r>
    </w:p>
    <w:p w14:paraId="3942A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(10.07.1938 г.-)- В.Т. Редин.</w:t>
      </w:r>
    </w:p>
    <w:p w14:paraId="4D75F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(06.1937 г.)- Ю.В. Колганов.</w:t>
      </w:r>
      <w:r w:rsidRPr="00E93F40">
        <w:rPr>
          <w:rFonts w:ascii="Times New Roman" w:hAnsi="Times New Roman"/>
          <w:color w:val="000000" w:themeColor="text1"/>
          <w:sz w:val="16"/>
          <w:szCs w:val="16"/>
          <w:vertAlign w:val="superscript"/>
        </w:rPr>
        <w:t>139</w:t>
      </w:r>
    </w:p>
    <w:p w14:paraId="42AB2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Летчики-испытатели: (02.1941 г.-)- Щ.Б. Бидзинашвили.</w:t>
      </w:r>
    </w:p>
    <w:p w14:paraId="3BA3E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самолеты: ИП-1 (1936-37)- 90, И-14 (1936-37)- 18, СБ (1937-41)- 1136, Пе-2 (1941)- 144 (11982).</w:t>
      </w:r>
    </w:p>
    <w:p w14:paraId="1A32C4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B74F7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года Приказом зам. наркома Тухачевского за № 020 была организована на базе конструкторского бюро Ниренберга новая конструкторская группа при ВОТИ во главе с Кореневым для разработки опытных автопилотов. Пункт первый этого приказа гласит: «Создать в Осконбюро в Ленинграде ударную группу по трем стабилизациям под руководством начальника Отделения НИИ ВВС Коренева. К работам приступить немедленно. Срок окончания работ на самолетах ТБ-1 и И-4 с производством всех испытаний к 1 сентября 1932 года» (4039,114).</w:t>
      </w:r>
    </w:p>
    <w:p w14:paraId="1B715C4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6ED0E6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F4DF7E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2D4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года заводу "Большевик" был выдан заказ на изготовление одного скрепленного ствола 152/36-мм пушки типа "Красный Путиловец", в грубо обработанном виде. Срок выполнения заказа 2 месяца. Позже, в том году "Большевику" был выдан заказ на 18 тел 152/36-мм пушки, из них завод изготовил 15 тел. На 1932 год "Красному Путиловцу" дан план 14 пушек, ни одной пушки сдано не было, так как в 1932 году пушка была снята с производства ввиду конструктивных неполадок (3861).</w:t>
      </w:r>
    </w:p>
    <w:p w14:paraId="2DA2A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72A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 коллегия Наркомата тяжёлой промышленности приняла решение о создании специальной организации для строительства ЧЗКС – Челябспецстроя, с обязательной передачей ему оборудования и техники по мере их освобождения на ЧТЗ (11557).</w:t>
      </w:r>
    </w:p>
    <w:p w14:paraId="4C7B7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E03520" w14:textId="77777777"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 в со</w:t>
      </w:r>
      <w:r w:rsidRPr="00E93F40">
        <w:rPr>
          <w:rFonts w:ascii="Times New Roman" w:hAnsi="Times New Roman"/>
          <w:color w:val="000000" w:themeColor="text1"/>
          <w:sz w:val="16"/>
          <w:szCs w:val="16"/>
        </w:rPr>
        <w:softHyphen/>
        <w:t>ответствии с постановлением правительства № 454 все недопос</w:t>
      </w:r>
      <w:r w:rsidRPr="00E93F40">
        <w:rPr>
          <w:rFonts w:ascii="Times New Roman" w:hAnsi="Times New Roman"/>
          <w:color w:val="000000" w:themeColor="text1"/>
          <w:sz w:val="16"/>
          <w:szCs w:val="16"/>
        </w:rPr>
        <w:softHyphen/>
        <w:t>татки завода Кулакова за предыдущий год были аннулированы, а ВЭСО было предписано обеспе</w:t>
      </w:r>
      <w:r w:rsidRPr="00E93F40">
        <w:rPr>
          <w:rFonts w:ascii="Times New Roman" w:hAnsi="Times New Roman"/>
          <w:color w:val="000000" w:themeColor="text1"/>
          <w:sz w:val="16"/>
          <w:szCs w:val="16"/>
        </w:rPr>
        <w:softHyphen/>
        <w:t>чивать в первую очередь своей продукцией заказы на оборону и для ударных строек. Постановление Президиума Госплана СССР от 14 апреля 1932 г. опреде</w:t>
      </w:r>
      <w:r w:rsidRPr="00E93F40">
        <w:rPr>
          <w:rFonts w:ascii="Times New Roman" w:hAnsi="Times New Roman"/>
          <w:color w:val="000000" w:themeColor="text1"/>
          <w:sz w:val="16"/>
          <w:szCs w:val="16"/>
        </w:rPr>
        <w:softHyphen/>
        <w:t>лило распределение телеграфной продукции между заказчиками на 1932 г.</w:t>
      </w:r>
    </w:p>
    <w:p w14:paraId="0C62E0B3" w14:textId="77777777"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этому постановлению заводу им. Кулакова предписывалось из</w:t>
      </w:r>
      <w:r w:rsidRPr="00E93F40">
        <w:rPr>
          <w:rFonts w:ascii="Times New Roman" w:hAnsi="Times New Roman"/>
          <w:color w:val="000000" w:themeColor="text1"/>
          <w:sz w:val="16"/>
          <w:szCs w:val="16"/>
        </w:rPr>
        <w:softHyphen/>
        <w:t>готовить в течение года 87 телеграфных аппаратов Бодо, 16 трансляционных станций Бодо, 800 аппаратов Шорина, 20 оконечных станций Уитстона, 390 швейцарских коммутаторов различных типов. На заказы в интересах НКВМ бы</w:t>
      </w:r>
      <w:r w:rsidRPr="00E93F40">
        <w:rPr>
          <w:rFonts w:ascii="Times New Roman" w:hAnsi="Times New Roman"/>
          <w:color w:val="000000" w:themeColor="text1"/>
          <w:sz w:val="16"/>
          <w:szCs w:val="16"/>
        </w:rPr>
        <w:softHyphen/>
        <w:t>ло выделено по 30% всего выпуска аппаратов Уитстона и Шорина, 6% аппаратов Бодо и 87% коммутаторов. По итогам 1932 г. завод в полном объеме справился с правительственной программой в интересах НКВМ. Кроме запланированных было реализовано еще несколько дополнительных заказов, в результате чего в войска поступило 254 аппарата Шорина, 11 2-х и 4-х кратных аппаратов Бодо, 6 оконечных станций Уитстона, 1 промежуточная и 1 трансляционная станции Бо- до, 289 телеграфных коммутаторов и другое телеграфное имущество (19098).</w:t>
      </w:r>
    </w:p>
    <w:p w14:paraId="4852DEDC" w14:textId="77777777" w:rsidR="00BC1630" w:rsidRPr="00E93F40" w:rsidRDefault="00BC1630" w:rsidP="00E93F40">
      <w:pPr>
        <w:spacing w:after="0" w:line="240" w:lineRule="auto"/>
        <w:jc w:val="both"/>
        <w:rPr>
          <w:rFonts w:ascii="Times New Roman" w:hAnsi="Times New Roman"/>
          <w:color w:val="000000" w:themeColor="text1"/>
          <w:sz w:val="16"/>
          <w:szCs w:val="16"/>
        </w:rPr>
      </w:pPr>
    </w:p>
    <w:p w14:paraId="2E3C81BA" w14:textId="77777777"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марта 1932 г. в соответствии с постановлением правительства № 454 от все недостатки завода им. Кулакова за предыдущие годы были аннулированы, а ВЭСО было предписано обеспечивать в первую очередь своей продукцией заказы на оборону и для ударных строек (18297).</w:t>
      </w:r>
    </w:p>
    <w:p w14:paraId="6249944F" w14:textId="77777777" w:rsidR="00BC1630" w:rsidRPr="00E93F40" w:rsidRDefault="00BC1630" w:rsidP="00E93F40">
      <w:pPr>
        <w:spacing w:after="0" w:line="240" w:lineRule="auto"/>
        <w:jc w:val="both"/>
        <w:rPr>
          <w:rFonts w:ascii="Times New Roman" w:hAnsi="Times New Roman"/>
          <w:color w:val="000000" w:themeColor="text1"/>
          <w:sz w:val="16"/>
          <w:szCs w:val="16"/>
        </w:rPr>
      </w:pPr>
    </w:p>
    <w:p w14:paraId="3BCB8F7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B4A956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516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марта-3 апреля 1932 на III расширенном пленуме ЦС ОХА принято решение "обеспечить проведение до конца работ по созданию ракетного двигателя и самолета" (Сборник "За боевую перестройку Осоавиахима. Итоги III расширенного пленума ЦС Осоавиахима") (10676).</w:t>
      </w:r>
    </w:p>
    <w:p w14:paraId="19F4C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9BA41C" w14:textId="77777777" w:rsidR="00001878" w:rsidRPr="00E93F40" w:rsidRDefault="000018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марта – 3 апреля 1932 года III расширенный Пленум ЦС Союза ОАХ СССР и РСФСР конкретизировал партийные указания от 23 февраля. В частности, на Пленуме говорилось о необходимости переломить отношение к авиационной работе как составляющей массовой оборонной деятельности в связи с возрастанием роли авиации. Речь шла, в том числе, и об обеспечении безопасности полетов, что невозможно было без парашютного дела.</w:t>
      </w:r>
    </w:p>
    <w:p w14:paraId="45F38722" w14:textId="77777777" w:rsidR="00001878" w:rsidRPr="00E93F40" w:rsidRDefault="000018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требованию Пленума во всех республиканских, краевых, областных, городских, районных звеньях управления, и даже в крупных первичных ячейках создавались авиаотделы или сектора. Школьная сеть ОАХ была приведена в соответствие с реальным планом снабжения самолетомоторным парком. Пленум обязал советы Общества, на территории которых находились авиашколы, обеспечить их работу необходимыми ассигнованиями с выделением школ на самостоятельный бюджет. Была проведена большая</w:t>
      </w:r>
    </w:p>
    <w:p w14:paraId="2A940FB3" w14:textId="77777777" w:rsidR="00001878" w:rsidRPr="00E93F40" w:rsidRDefault="000018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по разведке и устройству посадочных площадок, службы наблюдения на трассах воздушных путей сообщения. Особо важным было форсирование развития легкой авиации местного сообщения посредством выпуска легкомоторных самолетов для тренировочных полетов и спортивных занятий. Руководство Осоавиахима стремилось вовлечь широкие массы в процесс авиамоделирования и авиастроительства, поэтому в ячейках ОАХ, районных и городских советах Общества создавались кружки по изучению авиационного дела, устраивались постоянные и передвижные авиавыставки, библиотеки, читались лекции и доклады, проводились авиапраздники (Очередные задачи Осоавиахима. Постановление III расширенного Пленума ЦС Союза Осоавиахим СССР и РСФСР. 29.III. – 3.IV.1932 г. М.: Госвоениздат, 1932. С. 17-18.) (21402).</w:t>
      </w:r>
    </w:p>
    <w:p w14:paraId="0D2B1288" w14:textId="77777777" w:rsidR="00001878" w:rsidRPr="00E93F40" w:rsidRDefault="00001878" w:rsidP="00E93F40">
      <w:pPr>
        <w:spacing w:after="0" w:line="240" w:lineRule="auto"/>
        <w:jc w:val="both"/>
        <w:rPr>
          <w:rFonts w:ascii="Times New Roman" w:hAnsi="Times New Roman"/>
          <w:color w:val="000000" w:themeColor="text1"/>
          <w:sz w:val="16"/>
          <w:szCs w:val="16"/>
        </w:rPr>
      </w:pPr>
    </w:p>
    <w:p w14:paraId="5F1FFED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980042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2D012B"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29 марта</w:t>
      </w:r>
      <w:r w:rsidRPr="00E93F40">
        <w:rPr>
          <w:rFonts w:ascii="Times New Roman" w:hAnsi="Times New Roman"/>
          <w:color w:val="000000" w:themeColor="text1"/>
          <w:sz w:val="16"/>
          <w:szCs w:val="16"/>
        </w:rPr>
        <w:t xml:space="preserve"> в 1932 году основано предприятие ОАО “Нижегородский машиностроительный завод”. ОАО “Нижегородский машиностроительный завод” (при создании - завод "Новое Сормово") обязано своим возникновением одному из старейших заводов России - заводу "Красное Сормово", руководство которого планировало за счет этого строительства развить мощности кузнечного производства. Важнейшим событием конца 1946 - начала 1947 года стало привлечение завода к решению задач "Урановой проблемы" страны, научным руководителем которой был Игорь Васильевич Курчатов.Понимание проблемы началось с первого посещения завода (в большой череде последующих посещений самыми выдающимися учеными-атомщиками страны) группой ученых лаборатории № 2 (будущий ИАЭ имени Курчатова) во главе с академиком И.К.Кикоиным. На заводе, под постоянным личным контролем министра вооружений Д.Ф.Устинова, форсированно организуется серийное производство комплектных антенных узлов стационарного радиолокатора Б-200 системы "Беркут". Срочно создаются новые участки, строятся пролеты, цехи, специальный полигон. К 7 ноября 1952 года первые комплекты антенн строго по графику отправлены на баржах по Волге под Москву, где они монтировались специальными заводскими бригадами. В 1963 году на заводе вновь было возобновлено производство корабельной артиллерии (качающаяся часть 2-ствольной пушки «АК-726» («ЗИФ-67») калибра 76,2 мм). В этом же году завод получает новый заказ артиллерийского профиля - башенную 23-мм счетверенную зенитную установку «2А10» "Амур" для ЗСУ "Шилка" разработки Тульского КБП (начальник - главный конструктор Г.А.Шипунов) (15083).</w:t>
      </w:r>
    </w:p>
    <w:p w14:paraId="2C92D21F" w14:textId="77777777" w:rsidR="001E3FFC" w:rsidRPr="00E93F40" w:rsidRDefault="001E3FFC" w:rsidP="00E93F40">
      <w:pPr>
        <w:spacing w:after="0" w:line="240" w:lineRule="auto"/>
        <w:jc w:val="both"/>
        <w:rPr>
          <w:rFonts w:ascii="Times New Roman" w:hAnsi="Times New Roman"/>
          <w:color w:val="000000" w:themeColor="text1"/>
          <w:sz w:val="16"/>
          <w:szCs w:val="16"/>
        </w:rPr>
      </w:pPr>
    </w:p>
    <w:p w14:paraId="1793C0B6"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марта 1932 года представитель военной приемки на заводе «Красный Профинтерн» в Брянске докладывал: «Завод изготавливает по заказу артиллерийского управления для УММ РККА для вооружения бронепоездов тумбовые установки двух типов под 76-мм орудия: брянского – 42 штуки и сормовского – 30 штук. В основном установки отличаются тем, что вертлюг для сормовской установки литой, а для брянской клепаный. Изготовление установки брянского типа легче, требует меньше времени и значительно дешевле. Кроме того, завод «Красный Профинтерн» не в состоянии давать литье хорошего качества. Так, из 33 вертлюгов, отлитых им, условно допущены (с заваркой) лишь 4, а остальные окончательно забракованы. Ходатайствую о замене сормовского типа установок на брянские». После рассмотрения проблемы с изготовлением тумбовых установок, УММ РККА приняло решение о выпуске только брянского типа. Их производство велось на заводе «Красный Профинтерн» вплоть до эвакуации последнего в августе 1941 года (15218).</w:t>
      </w:r>
    </w:p>
    <w:p w14:paraId="1A54CA9B" w14:textId="77777777" w:rsidR="001E3FFC" w:rsidRPr="00E93F40" w:rsidRDefault="001E3FFC" w:rsidP="00E93F40">
      <w:pPr>
        <w:spacing w:after="0" w:line="240" w:lineRule="auto"/>
        <w:jc w:val="both"/>
        <w:rPr>
          <w:rFonts w:ascii="Times New Roman" w:hAnsi="Times New Roman"/>
          <w:color w:val="000000" w:themeColor="text1"/>
          <w:sz w:val="16"/>
          <w:szCs w:val="16"/>
        </w:rPr>
      </w:pPr>
    </w:p>
    <w:p w14:paraId="41ED508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марта 1932 пущен в строй 1-й Московский шарикоподшипниковый завод (4962).</w:t>
      </w:r>
    </w:p>
    <w:p w14:paraId="4837626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C6B9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марта 1932 вступил в строй 1-й Государственный подшипниковый завод (11437).</w:t>
      </w:r>
    </w:p>
    <w:p w14:paraId="55CAF4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14B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марта 1932 года вышел Приказ № 193 НКТП о вступлении в строй действующих предприятий первой очереди шарико и роликоподшипникового завода № 1 (9015).</w:t>
      </w:r>
    </w:p>
    <w:p w14:paraId="44430B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7EB7EC" w14:textId="77777777" w:rsidR="00001878" w:rsidRPr="00E93F40" w:rsidRDefault="000018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марта 1932 ввод в действие 1-го государственного подшипникового завода (Москва). История 1-ГПЗ начинается в 1929 году, когда правительство приняло решение о строительстве первенца советской подшипниковой промышленности. Завод должен был выпускать 24 млн. подшипников в год. Пуск в 1932 году первой очереди подшипникового завода явился большим событием для экономики. К 1936 году 1-ГПЗ в 1,5 раза перекрыл проектную мощность и стал одним из крупнейших в мире подшипниковых заводов. Все годы довоенных пятилеток 1-ГПЗ был основным поставщиком подшипников для нужд промышленности нашей страны (21176).</w:t>
      </w:r>
    </w:p>
    <w:p w14:paraId="3D62BD37" w14:textId="77777777" w:rsidR="00001878" w:rsidRPr="00E93F40" w:rsidRDefault="00001878" w:rsidP="00E93F40">
      <w:pPr>
        <w:spacing w:after="0" w:line="240" w:lineRule="auto"/>
        <w:jc w:val="both"/>
        <w:rPr>
          <w:rFonts w:ascii="Times New Roman" w:hAnsi="Times New Roman"/>
          <w:color w:val="000000" w:themeColor="text1"/>
          <w:sz w:val="16"/>
          <w:szCs w:val="16"/>
        </w:rPr>
      </w:pPr>
    </w:p>
    <w:p w14:paraId="5B0FA46B" w14:textId="77777777" w:rsidR="001E3FF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2238121" w14:textId="77777777" w:rsidR="001E3FFC" w:rsidRPr="00E93F40" w:rsidRDefault="001E3FF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1D83D1"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марта 1932 Б. Иванов «настучал» на Алксниса М. Тухачевскому, адресуя тому письмо как члену Восточной Комиссии СТО: «До сего дня т. Алкснис занимал резко отрицательную пози</w:t>
      </w:r>
      <w:r w:rsidRPr="00E93F40">
        <w:rPr>
          <w:rFonts w:ascii="Times New Roman" w:hAnsi="Times New Roman"/>
          <w:color w:val="000000" w:themeColor="text1"/>
          <w:sz w:val="16"/>
          <w:szCs w:val="16"/>
        </w:rPr>
        <w:softHyphen/>
        <w:t>цию в отношении Синьцзянского Авиазаказа. Ни УВВС, ни... [ГВФ] ни одним мотором или самолётом поступиться не хотят. Т. Баранов заявляет, что согласно последних рас</w:t>
      </w:r>
      <w:r w:rsidRPr="00E93F40">
        <w:rPr>
          <w:rFonts w:ascii="Times New Roman" w:hAnsi="Times New Roman"/>
          <w:color w:val="000000" w:themeColor="text1"/>
          <w:sz w:val="16"/>
          <w:szCs w:val="16"/>
        </w:rPr>
        <w:softHyphen/>
        <w:t>поряжений Правительства он всю продукцию заводов Глававиапрома обязан сдавать УВВС или... [ГВФ], причем; принимая во внимание в несколько раз увеличенные разме</w:t>
      </w:r>
      <w:r w:rsidRPr="00E93F40">
        <w:rPr>
          <w:rFonts w:ascii="Times New Roman" w:hAnsi="Times New Roman"/>
          <w:color w:val="000000" w:themeColor="text1"/>
          <w:sz w:val="16"/>
          <w:szCs w:val="16"/>
        </w:rPr>
        <w:softHyphen/>
        <w:t>ры заказов, ни о каких сдачах сверх программы не может быть и речи. Сдача Синьцзян</w:t>
      </w:r>
      <w:r w:rsidRPr="00E93F40">
        <w:rPr>
          <w:rFonts w:ascii="Times New Roman" w:hAnsi="Times New Roman"/>
          <w:color w:val="000000" w:themeColor="text1"/>
          <w:sz w:val="16"/>
          <w:szCs w:val="16"/>
        </w:rPr>
        <w:softHyphen/>
        <w:t>ского заказа таким образом оказывается возможной только за счёт основных заказов.</w:t>
      </w:r>
    </w:p>
    <w:p w14:paraId="32569E94"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Ваше распоряжение Глававиапрому заказы по Синьцзяну срочно выполнить. Секретариат т. Ворошилова сегодня поставил меня в известность о том, что т. Вороши</w:t>
      </w:r>
      <w:r w:rsidRPr="00E93F40">
        <w:rPr>
          <w:rFonts w:ascii="Times New Roman" w:hAnsi="Times New Roman"/>
          <w:color w:val="000000" w:themeColor="text1"/>
          <w:sz w:val="16"/>
          <w:szCs w:val="16"/>
        </w:rPr>
        <w:softHyphen/>
        <w:t>лов подтверждает т. Алкснису приказание удовлетворить просьбу Восточной Комиссии, изложенную в письме от 17.2.32» (15802).</w:t>
      </w:r>
    </w:p>
    <w:p w14:paraId="400E6058" w14:textId="77777777" w:rsidR="001E3FFC" w:rsidRPr="00E93F40" w:rsidRDefault="001E3FFC" w:rsidP="00E93F40">
      <w:pPr>
        <w:spacing w:after="0" w:line="240" w:lineRule="auto"/>
        <w:jc w:val="both"/>
        <w:rPr>
          <w:rFonts w:ascii="Times New Roman" w:hAnsi="Times New Roman"/>
          <w:color w:val="000000" w:themeColor="text1"/>
          <w:sz w:val="16"/>
          <w:szCs w:val="16"/>
        </w:rPr>
      </w:pPr>
    </w:p>
    <w:p w14:paraId="0292DBE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709D3E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F140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марта 1932 года начальник ВВС Алкснис писал письмо №100сс</w:t>
      </w:r>
    </w:p>
    <w:p w14:paraId="2DE05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w:t>
      </w:r>
    </w:p>
    <w:p w14:paraId="124D77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 на 1932-1934 г.г.</w:t>
      </w:r>
    </w:p>
    <w:p w14:paraId="40E8C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Представляя план опытного моторо и самолетостроения на 1932-1934 г.г. докладываю, что основным и решающим звеном этого плана, за которое мы должны ухватиться всеми силами, является мотор. Мотор в основном предопределяет летно-тактические данные самолета, техническую безопасность и надежность его действия. Без решения проблемы мотора нам не догнать и не перегнать передовые в авиационном отношение капстраны.</w:t>
      </w:r>
    </w:p>
    <w:p w14:paraId="3E1F9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Важнейшими решающими вопросами в проблеме мотора являются:</w:t>
      </w:r>
    </w:p>
    <w:p w14:paraId="5E22D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Высотность, т.е. сохранение мощности до 5000 м и выше, что достигается путем установки особого приспособления для подачи добавочного воздуха (импеллер, нагнетатель, наддув).</w:t>
      </w:r>
    </w:p>
    <w:p w14:paraId="7AD0B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Надежность, т.е. увеличение безотказной работы до 300-500 часов без всяких неполадок и замены частей, перечисток и переборок, ибо без этого нельзя всерьез говорить о создании авиации дальнего действия.</w:t>
      </w:r>
    </w:p>
    <w:p w14:paraId="35024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Мощность, т.е. увеличение количества лошадиных сил с 500-600 до 1000-1200, а для тяжелых самолетов до 1500-2000.</w:t>
      </w:r>
    </w:p>
    <w:p w14:paraId="333A6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Оборотность, т.е. уменьшение оборотов винта против оборотов коленчатого вала мотора путем установки особого приспособления (редуктора).\Все эти вопросы находятся на разрешении в наших конструкторских и опытных учреждениях, но решаются они черепашьими темпами.</w:t>
      </w:r>
    </w:p>
    <w:p w14:paraId="61D0EA0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p w14:paraId="26B031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Предоставляемый на утверждение план предусматривает следующие объекты:</w:t>
      </w:r>
    </w:p>
    <w:p w14:paraId="505552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 бензиновым моторам.</w:t>
      </w:r>
    </w:p>
    <w:p w14:paraId="7439904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опытного строительства бензиновых моторов за основу развития взят тип мотора М-34 в 750-900 НР. К этому мотору должно быть срочно доработано и подготовлено к серии 1933 года: компрессоры для сохранения мощности до 5000 м и редуктор оборотов на винт. После проверки этих двух приспособлений по отдельности, они должны быть введены в действие на моторе и серия 1933 года должна выпускаться с компрессором и редуктором для бомбардировочной авиации, с компрессором – для истребителей, без компрессора, нос редуктором – для штурмовой и войсковой авиации.</w:t>
      </w:r>
    </w:p>
    <w:p w14:paraId="5F606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этими работами необходимо развернуть работу по винтам (пропеллерам) с переменным шагом с тем, чтобы брать с мотора на винт не 0,7 его мощности, как это имеет место до сих пор, а 0,8.</w:t>
      </w:r>
    </w:p>
    <w:p w14:paraId="1189554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Помимо М-34. Мотора средней мощности, план предусматривает для сверхтяжелых самолетов моторы с мощностью 1200-2000 НР. Такие моторы могут быть получены:</w:t>
      </w:r>
    </w:p>
    <w:p w14:paraId="5C991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достройкой мотора ФЭД мощностью 1100-1200 НР с установкой на нем редуктора;</w:t>
      </w:r>
    </w:p>
    <w:p w14:paraId="78B253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форсированного мотора М-34 или переделкой его в конструкцию, дающую мощность 1500-1800 НР;</w:t>
      </w:r>
    </w:p>
    <w:p w14:paraId="6C28C4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постройкой моторов до 2000 НР на основе испытанного цилиндра большого объема в 170 НР.</w:t>
      </w:r>
    </w:p>
    <w:p w14:paraId="730A5E1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исключительной нашей отсталостью по моторам для истребительной авиации, план предусматривает:</w:t>
      </w:r>
    </w:p>
    <w:p w14:paraId="6FC7B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форсированную достройку мотора с воздушным охлаждением М- в 600 НР с высотностью 5000 м;</w:t>
      </w:r>
    </w:p>
    <w:p w14:paraId="5D0CEE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достройку мотора М-32 с нагнетателем в 600 НР с водяным охлаждением и высотностью 5000 м;</w:t>
      </w:r>
    </w:p>
    <w:p w14:paraId="541BE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постройку мотора М-34 с электронным картером, что облегчает его вес на 40-45 кг и делает его пригодным для установки на истребителях (за неимением лучшего).</w:t>
      </w:r>
    </w:p>
    <w:p w14:paraId="4D22E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Попытка УВВС добиться от авиапромышленности более коротких против плана сроков постройки и предъявления опытных образцов названных истребительных моторов, особенно М-38 и М-32, не увенчались успехом, несмотря на всю очевидность исключительной нужды нашей истребительной авиации в этих моторах.</w:t>
      </w:r>
    </w:p>
    <w:p w14:paraId="4FE8C1E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обучения учеников летчиков и обеспечения маломощной авиации план предусматривает:</w:t>
      </w:r>
    </w:p>
    <w:p w14:paraId="2F647B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завершение постройки мотора М-48 воздушного охлаждения в 165 НР с последующей эксплуатацией его на 0,6 мощности, что обеспечит большую надежность полетов, долговечность службы мотора и более длительные сроки между перечистками;</w:t>
      </w:r>
    </w:p>
    <w:p w14:paraId="3CF27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окончание постройки М-52 в 350-400 НР водяного охлаждения для переходных школьных самолетов и для нужд гражданской, так называемой, местной авиации. Этот мотор по существу собой представляет однорядный М-34.</w:t>
      </w:r>
    </w:p>
    <w:p w14:paraId="3D1FA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поступление на снабжение бензиновых авиамоторов, включенных в предлагаемый план опытного строительства, потолок наших самолетов поднимется: тяжелых до 7-8 км против 3,5-4 км, средних до 8-10 км против 5-6 км и легких (истребительных) до 10-12 км против 6-8 км на сегодняшний день. Одновременно с поднятием потолка возрастет скорость тяжелых до 250-280 км/час против 200-220, средних – до 300-320 км/час против 220-250 и легких до 400-450 км/час против 280-300 на сегодня.</w:t>
      </w:r>
    </w:p>
    <w:p w14:paraId="01DF3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моторам на тяжелом топливе.</w:t>
      </w:r>
    </w:p>
    <w:p w14:paraId="6AFE2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скорейшей постройки авиамоторов на тяжелом топливе, особенно потребных и рентабельных для самолетов дальнего действия (дают 25% технической экономии горючего и 70% хозяйственной экономии) в план включено 6 типов двухтактных и четырехтактных авиадизелей.</w:t>
      </w:r>
    </w:p>
    <w:p w14:paraId="33FB6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Планом предусмотрены конструирование и постройка авиадизелей с мощностью в 600 и 1000 НР для средних самолетов и в 2000 НР для тяжелых и свертяжелых самолетов дальнего действия. Основным мотором надо считать тип в 2000 НР, конструируемой группой в ОКБ, который необходимо обеспечить производственной базой для разрешения этой задачи. Авиадизель в 1000 НР проектируется и строится в Ленинграде в НИДИ группой проф. Мартенса.</w:t>
      </w:r>
    </w:p>
    <w:p w14:paraId="4F43E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в 500-600 НР строятся в 4-х типах в ИАМе, украинском УДВС, Харьковском авиаинституте и ОКБ. Первые две организации строят четырехтактные моторы с водяным охлаждением, ХАИ – двухтактные с водяным охлаждением и ОКБ – двухтактные с воздушным охлаждением.</w:t>
      </w:r>
    </w:p>
    <w:p w14:paraId="7A5C9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Шесть типов авиадизелей и пять организаций, привлеченных к проектированию и постройке объясняется необходимостью в кратчайший срок получить на эксплуатацию авиамоторы на тяжелом топливе, построенных на различных, известных до сих пор принципах (4-тактные, 2-тактные, водяного и воздушного охлаждения).</w:t>
      </w:r>
    </w:p>
    <w:p w14:paraId="4C8F3D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Здоровое соревнование между этими группами обеспечит наш воздушный флот в 1932-33 г.г. авиамоторами на тяжелом топливе, а реальное получение хотя бы авиадизелей средней мощности советской конструкции и производства сторицей оправдает намеченный расход на проектирование и постройку опытных образцов.</w:t>
      </w:r>
    </w:p>
    <w:p w14:paraId="2E2A6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 двигателям на новых принципах (экспериментальным).</w:t>
      </w:r>
    </w:p>
    <w:p w14:paraId="2C8C3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газовых и паровых турбин, реактивных двигателей должна произвести революцию в деле самолетостроения и полетов вообще. Они должны вывести воздушный флот на высоту до 30 км и дать скорость порядка 500-600 и выше км, одновременно разрешая вопрос о больших полетных весах.</w:t>
      </w:r>
    </w:p>
    <w:p w14:paraId="197A6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предусматривает постройку газовых турбин в 1000 НР Теплотехническим институтом и паровой турбины в 3000 НР НИИ ГУГВФ и ОКБ.</w:t>
      </w:r>
    </w:p>
    <w:p w14:paraId="090DDC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этого РВС указано разместить заказ на газовую турбину в 1000 НР, но до сих пор никто не соглашается принять к осуществлению это задание. ОКБ соглашается принять это задание при условии обеспечения его своей производственной базой.</w:t>
      </w:r>
    </w:p>
    <w:p w14:paraId="73BE0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По самолетам.</w:t>
      </w:r>
    </w:p>
    <w:p w14:paraId="5B4034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 тяжелым и сверхтяжелым самолетам.</w:t>
      </w:r>
    </w:p>
    <w:p w14:paraId="492537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опытных типах тяжелых самолетов планом предусматривается, как основная работа, достройка тяжелого бомбардировщика ТБ-4 в варианте, совмещающем в себе тип тяжелого бомбардировщика и пассажирского самолета. Окончание постройки этого типа должно быть проведено таким порядком, чтобы закладка в серию и выпуск головной машины были проведены не позже 1 августа 1933 года.</w:t>
      </w:r>
    </w:p>
    <w:p w14:paraId="33C4F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Одновременно с постройкой этой машины необходимо приступить к проектированию сверхтяжелого бомбардировщика с радиусом действия в 2000 км и со сбрасыванием груза в 15 тонн. Этот тип самолета намечено построить в 2-х вариантах: один вариант строит ЦАГИ, другой – ВВА.</w:t>
      </w:r>
    </w:p>
    <w:p w14:paraId="256374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легким и средним самолетам.</w:t>
      </w:r>
    </w:p>
    <w:p w14:paraId="736F9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обеспечения легкой авиации основным типом самолета, план предусматривает 2-местный истребитель, который одновременно должен быть легким бомбардировщиком и штурмовиком (марка ДИ-6). Он же может и должен быть использован в качестве скоростного войскового разведчика. Требование начальника Управления боевой подготовки о том, чтобы при конструировании и постройке этого самолета, как войскового, предусмотреть установку и многообъективной камеры и радио и подвеску 50 кг бомб неосуществимо технически. Осуществление этих требований превратит этот 2-местный скоростной войсковой самолет в самолет с малыми горизонтальными скоростями и малой маневренностью в воздухе, с большой скоростью при посадке, что делает его малопригодным в качестве войскового самолета.</w:t>
      </w:r>
    </w:p>
    <w:p w14:paraId="1C413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одноместных истребительных самолетов планом предусматривается в двух типах:</w:t>
      </w:r>
    </w:p>
    <w:p w14:paraId="0C5A4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скоростные с мотором водяного охлаждения (марка М-32), в основном обеспечивающие борьбу со строем легких самолетов противника;</w:t>
      </w:r>
    </w:p>
    <w:p w14:paraId="7DA3E8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тип скороподъемного и особо маневренного одноместного истребителя с мотором воздушного охлаждения, в основном предназначенного для действия против мелких групп и одиночных легких самолетов противника, а также как тип перехватчика в прифронтовой зоне.</w:t>
      </w:r>
    </w:p>
    <w:p w14:paraId="1422F2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борьбы с тяжелыми самолетами противника предусматривается достройка многоместного истребителя под 2М-34 с таким расчетом, чтобы он быть внедрен в серию в 1933 году.</w:t>
      </w:r>
    </w:p>
    <w:p w14:paraId="1BCDFD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среднего бомбардировщика и дальнего разведчика совмещен в крейсере для сопровождения тяжелого бомбардировщика.</w:t>
      </w:r>
    </w:p>
    <w:p w14:paraId="488CD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решающими типами в этом плане в части сухопутных самолетов являются ДИ-6, МИ-3 и ТБ-4.</w:t>
      </w:r>
    </w:p>
    <w:p w14:paraId="5DA9B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 морским самолетам.</w:t>
      </w:r>
    </w:p>
    <w:p w14:paraId="5319FA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 типом морского самолета план предусматривает морской тяжелый бомбардировщик с радиусом действия 1500 со сбрасыванием груза в 4 тонны и морской крейсер - дальний разведчик с радиусом действия 1500-2000 км при сбрасываемом грузе в 3000 кг.</w:t>
      </w:r>
    </w:p>
    <w:p w14:paraId="26ADBA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осуществления постройки этих двух типов ЦАГИ имеет разрешение РВС построить промежуточный тип морского крейсера с радиусом действия 750, а при перегрузке 1200 км. Тактико-технические данные установленные РВС, предусмотрены планом, но по расчетам ЦАГИ они не могут быть достигнуты: ЦАГИ дает лишь следующие данные: дальность 2260 км без бомбовой нагрузки, 1800 км при бомбовой нагрузке в 1100 кг и при полетном весе с перегрузкой в 22,7 тонн (нормальный полетный вес 19 тонн).</w:t>
      </w:r>
    </w:p>
    <w:p w14:paraId="71D21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опытного строительства гидросамолетов, особенно лодочного типа у нас такое, что без иностранной техпомощи мы вероятно, еще не скоро получим на вооружение нашей морской авиации современные гидросамолеты. Считаю, что крайне необходимо было бы нам в порядке техпомощи использовать богатый опыт германской фирмы Рорбах, неоднократно предлагавшей свои услуги.</w:t>
      </w:r>
    </w:p>
    <w:p w14:paraId="22DBF5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 экспериментальным самолетам.</w:t>
      </w:r>
    </w:p>
    <w:p w14:paraId="6B706A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экспериментальных построек основными типами являются:</w:t>
      </w:r>
    </w:p>
    <w:p w14:paraId="52AAB66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Автожиры с мотором М-11, как разведчики поля боя из своего расположения и автожиры с мотором М-22, как фронтовые разведчики.</w:t>
      </w:r>
    </w:p>
    <w:p w14:paraId="7A23A03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Рекордные самолеты на предельную дальность и предельную высоту.</w:t>
      </w:r>
    </w:p>
    <w:p w14:paraId="43C7782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 проектируемый ЦАГИ и ВИРДЖИЛИ.</w:t>
      </w:r>
    </w:p>
    <w:p w14:paraId="5658B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самолетостроении в основном предусматривается применение, как исходных материалов для тяжелых конструкций, стали в 65% и дюраля 35%, в легких и средних самолетах в основном предусматриваются смешанные конструкции, а в учебных – деревянные конструкции. В морских самолетах предусматривается 50% стальных и 50% дюралевых самолетов.</w:t>
      </w:r>
    </w:p>
    <w:p w14:paraId="253A75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Представляемый план опытного строительства был рассмотрен в Постоянной комиссии РВСС по опытному авиастроительству под председательством Тухачевского.</w:t>
      </w:r>
    </w:p>
    <w:p w14:paraId="4EAA8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этой Комиссии план по моторам согласован с Глававиапромом и другими заинтересованными организациями. По самолетам же план согласован в основном по типам и срокам, кроме срока выпуска сверхтяжелых самолетов и сухопутного крейсера. Что же касается тактико-технических требований, то до окончания расчетов Глававиапром принимает выдвигаемые требования условно с окончательным уточнением их после производства предварительных расчетов.</w:t>
      </w:r>
    </w:p>
    <w:p w14:paraId="7F627E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самолета 2-местного истребителя (он же легкий бомбардировщик и скоростной разведчик) ЦАГИ принимается в основном варианте легкого разведчика, что неприемлемо для ВВС, ибо самолет, сконструированный в качестве в качестве разведчика, не будет иметь необходимого для истребителя запаса прочности.</w:t>
      </w:r>
    </w:p>
    <w:p w14:paraId="0088D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основе всего изложенного, прошу представляемый план опытного моторо и самолетостроения утвердить с одновременным принятием прилагаемого при сем проекта постановления РВС.</w:t>
      </w:r>
    </w:p>
    <w:p w14:paraId="1BF47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1. Проект постановления РВС.</w:t>
      </w:r>
    </w:p>
    <w:p w14:paraId="0C5D9E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авиамоторо- и самолетостроения на 1932 год (7416, 108-111).</w:t>
      </w:r>
    </w:p>
    <w:p w14:paraId="7E865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8D6DE3" w14:textId="77777777" w:rsidR="003A7786" w:rsidRPr="00E93F40" w:rsidRDefault="003A778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марта 1932 г. газета "Техника" обратилась к своим читателям с призывом создать всесоюзный фонд "Штурм стратосферы" с цель» обеспечения материальной базы для последующих научно-исследовательских работ в области изучения стратосферы и полетов в нее. Призыв нашел горяий отклик, прежде всего, среди инженерно-технических работников и фонд "Штурм стратосферы" быстро, стал пополняться взносами (23370).</w:t>
      </w:r>
    </w:p>
    <w:p w14:paraId="2CBD7668" w14:textId="77777777" w:rsidR="003A7786" w:rsidRPr="00E93F40" w:rsidRDefault="003A7786" w:rsidP="00E93F40">
      <w:pPr>
        <w:spacing w:after="0" w:line="240" w:lineRule="auto"/>
        <w:jc w:val="both"/>
        <w:rPr>
          <w:rFonts w:ascii="Times New Roman" w:hAnsi="Times New Roman"/>
          <w:color w:val="000000" w:themeColor="text1"/>
          <w:sz w:val="16"/>
          <w:szCs w:val="16"/>
        </w:rPr>
      </w:pPr>
    </w:p>
    <w:p w14:paraId="01C9328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EA4C9C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DE86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марта 1932 г. на базе Глухоозерского мехзавода, основанного в 1914, был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1DC7B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18.12.1992 г. завод преобразован в АООТ, затем - ОАО «ЗТЛ».</w:t>
      </w:r>
      <w:r w:rsidRPr="00E93F40">
        <w:rPr>
          <w:rFonts w:ascii="Times New Roman" w:hAnsi="Times New Roman"/>
          <w:color w:val="000000" w:themeColor="text1"/>
          <w:sz w:val="16"/>
          <w:szCs w:val="16"/>
          <w:vertAlign w:val="superscript"/>
        </w:rPr>
        <w:t>131</w:t>
      </w:r>
    </w:p>
    <w:p w14:paraId="12E85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(-2003-04 г.-)- А.П. Балашов. Директор филиала (2005 г.)- А.П. Балашов (11982).</w:t>
      </w:r>
    </w:p>
    <w:p w14:paraId="76414DC1" w14:textId="77777777" w:rsidR="001E3FFC" w:rsidRPr="00E93F40" w:rsidRDefault="001E3FF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50DF06" w14:textId="77777777" w:rsidR="00BC1630" w:rsidRPr="00E93F40" w:rsidRDefault="00BC163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388B109" w14:textId="77777777" w:rsidR="00BC1630" w:rsidRPr="00E93F40" w:rsidRDefault="00BC163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FC8787" w14:textId="77777777"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марта 1932. Служащий МГК ВКП(б) А. Г. Соловьев записывает: "Конец Охотному ряду. Ломают все старые постройки и церковь Параскевы Пятницы. Начинают строить на этом месте гостиницу "Москва"" (18723).</w:t>
      </w:r>
    </w:p>
    <w:p w14:paraId="7BE8170A" w14:textId="77777777" w:rsidR="00BC1630" w:rsidRPr="00E93F40" w:rsidRDefault="00BC1630" w:rsidP="00E93F40">
      <w:pPr>
        <w:spacing w:after="0" w:line="240" w:lineRule="auto"/>
        <w:jc w:val="both"/>
        <w:rPr>
          <w:rFonts w:ascii="Times New Roman" w:hAnsi="Times New Roman"/>
          <w:color w:val="000000" w:themeColor="text1"/>
          <w:sz w:val="16"/>
          <w:szCs w:val="16"/>
        </w:rPr>
      </w:pPr>
    </w:p>
    <w:p w14:paraId="11C8C209" w14:textId="77777777" w:rsidR="001E3FF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DC8A038" w14:textId="77777777" w:rsidR="001E3FFC" w:rsidRPr="00E93F40" w:rsidRDefault="001E3FF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B77316"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30 марта</w:t>
      </w:r>
      <w:r w:rsidRPr="00E93F40">
        <w:rPr>
          <w:rFonts w:ascii="Times New Roman" w:hAnsi="Times New Roman"/>
          <w:color w:val="000000" w:themeColor="text1"/>
          <w:sz w:val="16"/>
          <w:szCs w:val="16"/>
        </w:rPr>
        <w:t xml:space="preserve"> в 1932 году состоялся первый полет самолета </w:t>
      </w:r>
      <w:hyperlink r:id="rId73" w:tgtFrame="_blank" w:history="1">
        <w:r w:rsidRPr="00E93F40">
          <w:rPr>
            <w:rFonts w:ascii="Times New Roman" w:hAnsi="Times New Roman"/>
            <w:color w:val="000000" w:themeColor="text1"/>
            <w:sz w:val="16"/>
            <w:szCs w:val="16"/>
          </w:rPr>
          <w:t xml:space="preserve">«SPCA 80», </w:t>
        </w:r>
      </w:hyperlink>
      <w:r w:rsidRPr="00E93F40">
        <w:rPr>
          <w:rFonts w:ascii="Times New Roman" w:hAnsi="Times New Roman"/>
          <w:color w:val="000000" w:themeColor="text1"/>
          <w:sz w:val="16"/>
          <w:szCs w:val="16"/>
        </w:rPr>
        <w:t>самолет вмещал экипаж из двух человек и четырех пассажиров (15084).</w:t>
      </w:r>
    </w:p>
    <w:p w14:paraId="3CC6FEAA" w14:textId="77777777" w:rsidR="001E3FFC" w:rsidRPr="00E93F40" w:rsidRDefault="001E3FFC" w:rsidP="00E93F40">
      <w:pPr>
        <w:spacing w:after="0" w:line="240" w:lineRule="auto"/>
        <w:jc w:val="both"/>
        <w:rPr>
          <w:rFonts w:ascii="Times New Roman" w:hAnsi="Times New Roman"/>
          <w:color w:val="000000" w:themeColor="text1"/>
          <w:sz w:val="16"/>
          <w:szCs w:val="16"/>
        </w:rPr>
      </w:pPr>
    </w:p>
    <w:p w14:paraId="39249A5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C4212F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DE3D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марта 1932 года начальник ВВС Алкснис писал письмо N 038177 председателю РВС.</w:t>
      </w:r>
    </w:p>
    <w:p w14:paraId="71F9E5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1AEAA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31 марта с.г.</w:t>
      </w:r>
    </w:p>
    <w:p w14:paraId="38072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NN 1, 2, 3, 4 испытаны в воздухе, производится окончательный монтаж оборудования, вооружения и устранение дефектов.</w:t>
      </w:r>
    </w:p>
    <w:p w14:paraId="0481B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5 29 марта при испытании в воздухе, вследствие порчи мотора произвел вынужденную посадку. Заканчивается установка нового мотора, самолет готовится ко вторичному испытанию.</w:t>
      </w:r>
    </w:p>
    <w:p w14:paraId="7FBA29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6 на аэродроме, производится испытание моторов, готовится к облету (3027).</w:t>
      </w:r>
    </w:p>
    <w:p w14:paraId="23C6B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BA00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марта 1932 года начальник 10 отдела НИИ ВВС писал письмо N ОС/113с начальнику 8 сектора 3-го управления УВВС.</w:t>
      </w:r>
    </w:p>
    <w:p w14:paraId="6CB80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Препровождая при этом сводку испытания самолета И5 N 4298-М22 (эталон на 1932 год) 1-й отдел НИИ ВВС сообщает, что согласно протокола совещания самолетного треста, на этом эталоне дефекты, выявленные в процессе испытания, указанные в ведомости дефектов в прилагаемой сводке, должны быть устранены к 5 апреля с.г. с тем чтобы И5 N 4298 должен быть 5-го апреля с.г. отправлен на завод N 21.</w:t>
      </w:r>
    </w:p>
    <w:p w14:paraId="6A3D12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"Утверждаю самолет И5 N 4298 эталоном для производства на 1932 год". Алкснис. 28 марта 1932 года.</w:t>
      </w:r>
    </w:p>
    <w:p w14:paraId="43FE5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Сводка</w:t>
      </w:r>
    </w:p>
    <w:p w14:paraId="0FC459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самолета И5 N 4298 (эталон на 1932 год).</w:t>
      </w:r>
    </w:p>
    <w:p w14:paraId="7AA8B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 мотором М-22 Е=6,5 N 9019</w:t>
      </w:r>
    </w:p>
    <w:p w14:paraId="36467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 Д=2,80 м Н=2,10 м N 29059</w:t>
      </w:r>
    </w:p>
    <w:p w14:paraId="47EAF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1B575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Осипенко</w:t>
      </w:r>
    </w:p>
    <w:p w14:paraId="019910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Чкалов</w:t>
      </w:r>
    </w:p>
    <w:p w14:paraId="682BAB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Цель испытания</w:t>
      </w:r>
    </w:p>
    <w:p w14:paraId="6E6E2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Определение возможности использования самолета И5 N 4298 как эталона для постройки самолетов И5-М22 в 1932 году.</w:t>
      </w:r>
    </w:p>
    <w:p w14:paraId="13132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Определение летных данных самолета, отличающегося от серийных И5-М22 выпуска 1931 года специальным капотом и рядом конструктивных изменений.</w:t>
      </w:r>
    </w:p>
    <w:p w14:paraId="618B12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вывод:</w:t>
      </w:r>
    </w:p>
    <w:p w14:paraId="2F4EBC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И5 М22 N 4298 принять как образец (эталон) для постройки И5-М22 в 1932 году.</w:t>
      </w:r>
    </w:p>
    <w:p w14:paraId="7A916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Констатировать улучшение горизонтальных скоростей полета по сравнению с самолетами выпуска 1931 года благодаря установке на самолете более обтекаемого капота.</w:t>
      </w:r>
    </w:p>
    <w:p w14:paraId="37BC4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Ухудшение скороподъемности и понижение потолка целиком отнести за счет влияния на винтомоторную группу низких температур.</w:t>
      </w:r>
    </w:p>
    <w:p w14:paraId="4E555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летной программы.</w:t>
      </w:r>
    </w:p>
    <w:p w14:paraId="3A333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27 января 1932 года был выполнен пробный полет.</w:t>
      </w:r>
    </w:p>
    <w:p w14:paraId="59870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29 января 1932 года был выполнен полет на определение максимальных, средних и минимальных горизонтальных скоростей на мерном километре с нормальной нагрузкой на высоте 100 м.</w:t>
      </w:r>
    </w:p>
    <w:p w14:paraId="2C3469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3, 5, 10 февраля и 4 марта 1932 года были выполнены 4 полета на определение вертикальной скорости и потолка с нормальной нагрузкой; определение максимальных, средних и минимальных скоростей на высотах от потолка через каждые 1000 м. Стрельба на высоте 7000 м.</w:t>
      </w:r>
    </w:p>
    <w:p w14:paraId="71C397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27 января 1932 года был выполнен полет на управляемость и фигуры на высоте 1000 м.</w:t>
      </w:r>
    </w:p>
    <w:p w14:paraId="77A74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8, 11, 15 февраля и 7 марта 1932 года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w:t>
      </w:r>
    </w:p>
    <w:p w14:paraId="68865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11 февраля 1932 года был выполнен полет на штопор.</w:t>
      </w:r>
    </w:p>
    <w:p w14:paraId="047D9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25 февраля и 4 марта были выполнены полеты по компасу, на определение крейсерской скорости и продолжительности полета (по треугольнику) на высоте 3000 м; аэрофотосъемка.</w:t>
      </w:r>
    </w:p>
    <w:p w14:paraId="60C28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Воздушный бой на высоте 7000 м не проведен.</w:t>
      </w:r>
    </w:p>
    <w:p w14:paraId="210D6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6 февраля 1932 года был выполнен полет на определение вертикальной скорости и потолка с перегрузкой; определение максимальных, средних и минимальных скоростей на высотах от потолка через каждые 1000 м</w:t>
      </w:r>
    </w:p>
    <w:p w14:paraId="19482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22, 28 февраля и 12, 13 марта 1932 года выполнены 15 полетов на облет со стрельбой поземным целям; проверка температуры головок цилиндров по термопаре, в связи с установкой на самолете кольца; определение времени длины разбега и пробега.</w:t>
      </w:r>
    </w:p>
    <w:p w14:paraId="01535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Ночные полеты не проводились.</w:t>
      </w:r>
    </w:p>
    <w:p w14:paraId="7484CB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 прохождения испытания самолета И5 N 4298.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29"/>
        <w:gridCol w:w="3827"/>
      </w:tblGrid>
      <w:tr w:rsidR="00DA227A" w:rsidRPr="00E93F40" w14:paraId="5932FFC9" w14:textId="77777777">
        <w:tc>
          <w:tcPr>
            <w:tcW w:w="6629" w:type="dxa"/>
          </w:tcPr>
          <w:p w14:paraId="25840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получен с завода N 39</w:t>
            </w:r>
          </w:p>
        </w:tc>
        <w:tc>
          <w:tcPr>
            <w:tcW w:w="3827" w:type="dxa"/>
          </w:tcPr>
          <w:p w14:paraId="55131C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года</w:t>
            </w:r>
          </w:p>
        </w:tc>
      </w:tr>
      <w:tr w:rsidR="00DA227A" w:rsidRPr="00E93F40" w14:paraId="59E61E72" w14:textId="77777777">
        <w:tc>
          <w:tcPr>
            <w:tcW w:w="6629" w:type="dxa"/>
          </w:tcPr>
          <w:p w14:paraId="148B9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w:t>
            </w:r>
          </w:p>
        </w:tc>
        <w:tc>
          <w:tcPr>
            <w:tcW w:w="3827" w:type="dxa"/>
          </w:tcPr>
          <w:p w14:paraId="49E46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января 1932 года</w:t>
            </w:r>
          </w:p>
        </w:tc>
      </w:tr>
      <w:tr w:rsidR="00DA227A" w:rsidRPr="00E93F40" w14:paraId="40A54A2C" w14:textId="77777777">
        <w:tc>
          <w:tcPr>
            <w:tcW w:w="6629" w:type="dxa"/>
          </w:tcPr>
          <w:p w14:paraId="6C2AF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окончено</w:t>
            </w:r>
          </w:p>
        </w:tc>
        <w:tc>
          <w:tcPr>
            <w:tcW w:w="3827" w:type="dxa"/>
          </w:tcPr>
          <w:p w14:paraId="46F85A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марта 1932 года</w:t>
            </w:r>
          </w:p>
        </w:tc>
      </w:tr>
      <w:tr w:rsidR="00DA227A" w:rsidRPr="00E93F40" w14:paraId="6B78F02E" w14:textId="77777777">
        <w:tc>
          <w:tcPr>
            <w:tcW w:w="6629" w:type="dxa"/>
          </w:tcPr>
          <w:p w14:paraId="201B5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47 календарных дней, из которых:</w:t>
            </w:r>
          </w:p>
        </w:tc>
        <w:tc>
          <w:tcPr>
            <w:tcW w:w="3827" w:type="dxa"/>
          </w:tcPr>
          <w:p w14:paraId="53407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A6779E" w14:textId="77777777">
        <w:tc>
          <w:tcPr>
            <w:tcW w:w="6629" w:type="dxa"/>
          </w:tcPr>
          <w:p w14:paraId="19A30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был неисправен</w:t>
            </w:r>
          </w:p>
        </w:tc>
        <w:tc>
          <w:tcPr>
            <w:tcW w:w="3827" w:type="dxa"/>
          </w:tcPr>
          <w:p w14:paraId="1DD104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дней</w:t>
            </w:r>
          </w:p>
        </w:tc>
      </w:tr>
      <w:tr w:rsidR="00DA227A" w:rsidRPr="00E93F40" w14:paraId="7881C478" w14:textId="77777777">
        <w:tc>
          <w:tcPr>
            <w:tcW w:w="6629" w:type="dxa"/>
          </w:tcPr>
          <w:p w14:paraId="6B47C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летчик был оторван для</w:t>
            </w:r>
          </w:p>
        </w:tc>
        <w:tc>
          <w:tcPr>
            <w:tcW w:w="3827" w:type="dxa"/>
          </w:tcPr>
          <w:p w14:paraId="3CED59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267A53" w14:textId="77777777">
        <w:tc>
          <w:tcPr>
            <w:tcW w:w="6629" w:type="dxa"/>
          </w:tcPr>
          <w:p w14:paraId="255B1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других полетов</w:t>
            </w:r>
          </w:p>
        </w:tc>
        <w:tc>
          <w:tcPr>
            <w:tcW w:w="3827" w:type="dxa"/>
          </w:tcPr>
          <w:p w14:paraId="33573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день</w:t>
            </w:r>
          </w:p>
        </w:tc>
      </w:tr>
      <w:tr w:rsidR="00DA227A" w:rsidRPr="00E93F40" w14:paraId="6F887D05" w14:textId="77777777">
        <w:tc>
          <w:tcPr>
            <w:tcW w:w="6629" w:type="dxa"/>
          </w:tcPr>
          <w:p w14:paraId="432F9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нелетных для испытания дней</w:t>
            </w:r>
          </w:p>
        </w:tc>
        <w:tc>
          <w:tcPr>
            <w:tcW w:w="3827" w:type="dxa"/>
          </w:tcPr>
          <w:p w14:paraId="141E7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6E12C413" w14:textId="77777777">
        <w:tc>
          <w:tcPr>
            <w:tcW w:w="6629" w:type="dxa"/>
          </w:tcPr>
          <w:p w14:paraId="62311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выходных дней</w:t>
            </w:r>
          </w:p>
        </w:tc>
        <w:tc>
          <w:tcPr>
            <w:tcW w:w="3827" w:type="dxa"/>
          </w:tcPr>
          <w:p w14:paraId="0F594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r>
      <w:tr w:rsidR="00DA227A" w:rsidRPr="00E93F40" w14:paraId="28D638A7" w14:textId="77777777">
        <w:tc>
          <w:tcPr>
            <w:tcW w:w="6629" w:type="dxa"/>
          </w:tcPr>
          <w:p w14:paraId="60F8F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годовщина РККА</w:t>
            </w:r>
          </w:p>
        </w:tc>
        <w:tc>
          <w:tcPr>
            <w:tcW w:w="3827" w:type="dxa"/>
          </w:tcPr>
          <w:p w14:paraId="497F04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r w:rsidR="00DA227A" w:rsidRPr="00E93F40" w14:paraId="361F3D7E" w14:textId="77777777">
        <w:tc>
          <w:tcPr>
            <w:tcW w:w="6629" w:type="dxa"/>
          </w:tcPr>
          <w:p w14:paraId="3D4817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3827" w:type="dxa"/>
          </w:tcPr>
          <w:p w14:paraId="11B05E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день</w:t>
            </w:r>
          </w:p>
        </w:tc>
      </w:tr>
    </w:tbl>
    <w:p w14:paraId="6786C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испытание произведено в 16 летных дней.</w:t>
      </w:r>
    </w:p>
    <w:p w14:paraId="39513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время нахождения самолета в НИИ налетано 28 часов 45 мин.</w:t>
      </w:r>
    </w:p>
    <w:p w14:paraId="7BB7B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Сделано посадок - 30 (3002).</w:t>
      </w:r>
    </w:p>
    <w:p w14:paraId="5156E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1D04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марта 1932 Нач. Бр. № 15 КОСОС ЦАГИ Храмцов писал письмо на завод № 39 Нач. 2-й бригады Н.Н.П.:</w:t>
      </w:r>
    </w:p>
    <w:p w14:paraId="0A3A4F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Бригадой № 15 КОСОС ЦАГИ посылаются Вам во временное пользование, сроком на 20 дней, чертежи каркаса и хвостовой части фюзеляжа сам. № I, а также каркаса хвостовой части фюзеляжа сам. № 6. Оригиналы /тушевые/ данных чертежей нахо</w:t>
      </w:r>
      <w:r w:rsidRPr="00E93F40">
        <w:rPr>
          <w:rFonts w:ascii="Times New Roman" w:hAnsi="Times New Roman"/>
          <w:color w:val="000000" w:themeColor="text1"/>
          <w:sz w:val="16"/>
          <w:szCs w:val="16"/>
        </w:rPr>
        <w:softHyphen/>
        <w:t>дятся на Заводе № 21 /сам.№ 1, и Заводе № 16 /сам. №6/, куда Вам и надлежит обратиться за необходимыми Вам синьками, если таковые Вам потребуются на продолжительное время.</w:t>
      </w:r>
    </w:p>
    <w:p w14:paraId="7A14E2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53C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марта 1932 года начальник ЦАГИ и зам. начальника ЭАО Изаксон писали письмо № 730с зам. начальника ВВС Межанинову С.А.</w:t>
      </w:r>
    </w:p>
    <w:p w14:paraId="405152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просит Вашего разрешения на посещение Ефремовым Н.И. и Федуловым В.И. Ленинградской газодинамической лаборатории для ознакомления с ведущимися там работами по пороховым ракетам и с имеющимися в Лаборатории материалами.</w:t>
      </w:r>
    </w:p>
    <w:p w14:paraId="0AE20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товарищи в настоящее время ведут работу по заданию Секции особых конструкций ЭАО ЦАГИ по применению пороховых ракет для раскручивания ротора строящегося у нас аппарата типа автожира.</w:t>
      </w:r>
    </w:p>
    <w:p w14:paraId="1B3AF9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Ефремов и Федулов допущены к секретной работе (7428, 31).</w:t>
      </w:r>
    </w:p>
    <w:p w14:paraId="40756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7BC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марта 1932 года председатель комиссии Хорьков писал письмо № 25/сс</w:t>
      </w:r>
    </w:p>
    <w:p w14:paraId="109F48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 некоторыми изобретательскими группами</w:t>
      </w:r>
    </w:p>
    <w:p w14:paraId="49C00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Комиссия в силу особой секретности ряда крупных изобретений и в силу невозможности оценить техническое существо изобретений, ознакомилась лишь на выдержку с организационной стороной нескольких особых конструкторских групп.</w:t>
      </w:r>
    </w:p>
    <w:p w14:paraId="66394E9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инженера Попова (изобрет. инж. Максимов).</w:t>
      </w:r>
    </w:p>
    <w:p w14:paraId="3F88C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особого типа. Идею изобретения инженера Максимова (новый принцип летания) НВВС поручил разработать воен. инж. мех. ВВС Попову, который создал маленькую конструкторскую группу из одногодичников.</w:t>
      </w:r>
    </w:p>
    <w:p w14:paraId="7E2B5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Территориально группа помещается в НИИ, но никакого техруководства и контроля не имеет. О работах группы ничего не знает даже зам. начальника НИИ по техчасти инженер Аузан.</w:t>
      </w:r>
    </w:p>
    <w:p w14:paraId="5F612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заявлению инженера Попова он предоставлен самому себе – формально имеет дело с зам. НВВС Наумовым.</w:t>
      </w:r>
    </w:p>
    <w:p w14:paraId="2CB2B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идет по его словам удовлетворительно; разработка прибора для экспериментальной поверки идеи идет, но неизвестно где его осуществить.</w:t>
      </w:r>
    </w:p>
    <w:p w14:paraId="5ED71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Попов считает такое случайное существование мелких раздробленных групп нецелесообразным.</w:t>
      </w:r>
    </w:p>
    <w:p w14:paraId="7D913A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 хозяйственной базы, без техруководства и контроля такие группы обладают малой продуктивностью, работают крайне медленно, делают часто ошибки.</w:t>
      </w:r>
    </w:p>
    <w:p w14:paraId="4778D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Возможны злоупотребления со стороны ловких изобретателей.</w:t>
      </w:r>
    </w:p>
    <w:p w14:paraId="01214B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 Нужно обеспечить группе Попова производственную базу для постройки экспериментального образца.</w:t>
      </w:r>
    </w:p>
    <w:p w14:paraId="754F956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Бортьяна. Бортьян является типом изобретателя предпринимателя, объединившего несколько изобретателей инженеров в области приборов для определения положения самолета в тумане.</w:t>
      </w:r>
    </w:p>
    <w:p w14:paraId="0922BB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Група работает по договору с НИИ ВВС.</w:t>
      </w:r>
    </w:p>
    <w:p w14:paraId="14923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в разговоре с комиссией, Бортьян заявил, что договор они выполнить не могут, работа оказалась гораздо сложнее, чем предполагалось и что никакие сроки поставить нельзя.</w:t>
      </w:r>
    </w:p>
    <w:p w14:paraId="474B22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 что потребуется 5 лет или более.</w:t>
      </w:r>
    </w:p>
    <w:p w14:paraId="28894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переросла рамки НИИ и ее нужно перенести или в Остехбюро или в АН, где этой работой якобы заинтересовались академики Иоффе и Крылов.</w:t>
      </w:r>
    </w:p>
    <w:p w14:paraId="350E5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15 отдела НИИ Френкель разъяснил комиссии, что идея группы Бортьяна правильна, но теоретически и конструктивно пока еще не по силам современному состоянию науки и техники.</w:t>
      </w:r>
    </w:p>
    <w:p w14:paraId="02484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Нужна огромнейшая научно-теоретическая и экспериментальная работа и если академики Иоффе и Крылов пожелают ею заняться, целесообразно ее передать АН.</w:t>
      </w:r>
    </w:p>
    <w:p w14:paraId="2A48A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Из всей группы (4 человека) наиболее талантлив инженер коммунист Кофман.</w:t>
      </w:r>
    </w:p>
    <w:p w14:paraId="3FC56F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 Группу нужно передать АН после тщательной технической экспертизы академиков Иоффе и Крылова.</w:t>
      </w:r>
    </w:p>
    <w:p w14:paraId="1458244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Венгеровского (автомат. самолетная лаборатория).</w:t>
      </w:r>
    </w:p>
    <w:p w14:paraId="147428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Венгеровский, несмотря на приглашение, в комиссию не явился.</w:t>
      </w:r>
    </w:p>
    <w:p w14:paraId="47319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разговора с инженером Фотоотдела НИИ Ваниным и с представителем ОВИ Техштаба Глуховым выяснилось, что Венгеровский построил для Союзкино опытные установки, обошедшиеся в 70000 рублей и назначения не оправдавшие.</w:t>
      </w:r>
    </w:p>
    <w:p w14:paraId="5530A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Техштабу Венгеровский стоит 10600 рублей. Пока ничего не дал и не хочет работать по договору и по срокам.</w:t>
      </w:r>
    </w:p>
    <w:p w14:paraId="47BB3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Опирается на талантливого конструктора инженера Эймана.</w:t>
      </w:r>
    </w:p>
    <w:p w14:paraId="74160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Настаивает на постройке опытной модели самолетной лаборатории, что обойдется в 10000 рублей.</w:t>
      </w:r>
    </w:p>
    <w:p w14:paraId="0B7F8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Принцип не проверен. Модель лаборатории строить нецелесообразно, достаточно построить опытную секцию с фитилями.</w:t>
      </w:r>
    </w:p>
    <w:p w14:paraId="357D47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тому же сейчас строятся 3 самолетных фотолаборатории:</w:t>
      </w:r>
    </w:p>
    <w:p w14:paraId="222D3CE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Истомина, получившего на конкурсе 1 приз.</w:t>
      </w:r>
    </w:p>
    <w:p w14:paraId="3C86AC0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(Сольский) – строит за свой счет.</w:t>
      </w:r>
    </w:p>
    <w:p w14:paraId="1583872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Ленинградский Аэрофотоинститут – 7 – строит бесплатно.</w:t>
      </w:r>
    </w:p>
    <w:p w14:paraId="71E3C1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 По группе Венгеровского нужно ограничиться пока постройкой опытной секции (7427, 53-55).</w:t>
      </w:r>
    </w:p>
    <w:p w14:paraId="499638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07BFB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B52F55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6169FF" w14:textId="77777777" w:rsidR="00920AFC" w:rsidRPr="00E93F40" w:rsidRDefault="00920A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марта 1932 г. группой «Д» были направлены на рассмотрение II секции НТК АУ чертежи еще одной системы - 120-мм полкового миномета. Его конструкция была аналогична конструкции Стокса-Брандта, включала в себя тело миномета, опорную плиту и предполагала колесный ход, который при необходимости мог быть отделен от стойки миномета. Общий вес системы составлял 140 кг. Заказ на изготовление двух опытных образцов в срок до 1 июля 1932 г. был дан заводу «Красный Октябрь». Тогда же Н. А. Доровлевым были представлены чертежи 120-мм фугасной мины для заказа опытной партии в количестве 60 шт. Ее вес составлял 9,3 кг, изготовление должно было осуществляться путем отливки из чугуна с последующей механической обработкой корпуса по внутренней и наружной поверхностям для ликвидации разностенности. Ведущие выступы крыльев стабилизатора должны были обрабатываться после сборки стабилизатора с корпусом мины.195 После принятия решения СТО СССР о концентрации опытного производства минометов (и газометов) по чертежам группы «Д» в Харькове, 19-20 апреля 1932 г. Н. А. Доровлев посетил завод и ознакомился с состоянием дел в КБ спецотдела, которое занималось постановкой на производство опытных систем. По итогам поездки он отметил кадровый потенциал КБ, достаточное техническое оснащение завода. Основным условием выполнения опытных заказов в установленные сроки (не позднее 15 июня 1932 г.) на изготовление 2 шт. 60-мм ротных, 5 шт. 82-мм батальонных минометов, 2 шт. 120-мм и 27 шт. 165-мм полковых минометов была своевременная поставка полуфабрикатов для стволов минометов с Трубного завода им. Ленина (г. Днепропетровск), которое изготавливало манесмановские трубы сортовой стали соответствующих калибров.196 (20074)</w:t>
      </w:r>
    </w:p>
    <w:p w14:paraId="082C4298" w14:textId="77777777" w:rsidR="00920AFC" w:rsidRPr="00E93F40" w:rsidRDefault="00920AFC" w:rsidP="00E93F40">
      <w:pPr>
        <w:spacing w:after="0" w:line="240" w:lineRule="auto"/>
        <w:jc w:val="both"/>
        <w:rPr>
          <w:rFonts w:ascii="Times New Roman" w:hAnsi="Times New Roman"/>
          <w:color w:val="000000" w:themeColor="text1"/>
          <w:sz w:val="16"/>
          <w:szCs w:val="16"/>
        </w:rPr>
      </w:pPr>
    </w:p>
    <w:p w14:paraId="389C1D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марта 1932 года председатель комиссии Хорьков писал письмо № 25/сс</w:t>
      </w:r>
    </w:p>
    <w:p w14:paraId="5818D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 некоторыми изобретательскими группами</w:t>
      </w:r>
    </w:p>
    <w:p w14:paraId="4D3D7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Комиссия в силу особой секретности ряда крупных изобретений и в силу невозможности оценить техническое существо изобретений, ознакомилась лишь на выдержку с организационной стороной нескольких особых конструкторских групп.</w:t>
      </w:r>
    </w:p>
    <w:p w14:paraId="4A2CDA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1.Группа инженера Попова (изобрет. инж. Максимов).</w:t>
      </w:r>
    </w:p>
    <w:p w14:paraId="35B684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особого типа. Идею изобретения инженера Максимова (новый принцип летания) НВВС поручил разработать воен. инж. мех. ВВС Попову, который создал маленькую конструкторскую группу из одногодичников.</w:t>
      </w:r>
    </w:p>
    <w:p w14:paraId="35F8E5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Территориально группа помещается в НИИ, но никакого техруководства и контроля не имеет. О работах группы ничего не знает даже зам. начальника НИИ по техчасти инженер Аузан.</w:t>
      </w:r>
    </w:p>
    <w:p w14:paraId="28853E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заявлению инженера Попова он предоставлен самому себе – формально имеет дело с зам. НВВС Наумовым.</w:t>
      </w:r>
    </w:p>
    <w:p w14:paraId="1ACE4D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2.Группа Бортьяна. Бортьян является типом изобретателя предпринимателя, объединившего несколько изобретателей инженеров в области приборов для определения положения самолета в тумане.</w:t>
      </w:r>
    </w:p>
    <w:p w14:paraId="77911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Група работает по договору с НИИ ВВС.</w:t>
      </w:r>
    </w:p>
    <w:p w14:paraId="13E65E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в разговоре с комиссией, Бортьян заявил, что договор они выполнить не могут, работа оказалась гораздо сложнее, чем предполагалось и что никакие сроки поставить нельзя.</w:t>
      </w:r>
    </w:p>
    <w:p w14:paraId="07C43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3.Группа Венгеровского (автомат. самолетная лаборатория).</w:t>
      </w:r>
    </w:p>
    <w:p w14:paraId="0D9CC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Венгеровский, несмотря на приглашение, в комиссию не явился.</w:t>
      </w:r>
    </w:p>
    <w:p w14:paraId="51A448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разговора с инженером Фотоотдела НИИ Ваниным и с представителем ОВИ Техштаба Глуховым выяснилось, что Венгеровский построил для Союзкино опытные установки, обошедшиеся в 70000 рублей и назначения не оправдавшие.</w:t>
      </w:r>
    </w:p>
    <w:p w14:paraId="267A9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Техштабу Венгеровский стоит 10600 рублей. Пока ничего не дал и не хочет работать по договору и по срокам.</w:t>
      </w:r>
    </w:p>
    <w:p w14:paraId="47AD2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Опирается на талантливого конструктора инженера Эймана.</w:t>
      </w:r>
    </w:p>
    <w:p w14:paraId="5879A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Настаивает на постройке опытной модели самолетной лаборатории, что обойдется в 10000 рублей (11885).</w:t>
      </w:r>
    </w:p>
    <w:p w14:paraId="4F0BD2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8BEFD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A7D6BA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18F01F" w14:textId="77777777" w:rsidR="003B4D08" w:rsidRPr="00E93F40" w:rsidRDefault="003B4D08" w:rsidP="00E93F40">
      <w:pPr>
        <w:spacing w:after="0" w:line="240" w:lineRule="auto"/>
        <w:jc w:val="both"/>
        <w:rPr>
          <w:rFonts w:ascii="Times New Roman" w:eastAsia="TimesNewRomanPSMT" w:hAnsi="Times New Roman"/>
          <w:color w:val="000000" w:themeColor="text1"/>
          <w:sz w:val="16"/>
          <w:szCs w:val="16"/>
        </w:rPr>
      </w:pPr>
      <w:r w:rsidRPr="00E93F40">
        <w:rPr>
          <w:rFonts w:ascii="Times New Roman" w:hAnsi="Times New Roman"/>
          <w:color w:val="000000" w:themeColor="text1"/>
          <w:sz w:val="16"/>
          <w:szCs w:val="16"/>
        </w:rPr>
        <w:t>В конце марта 1932 г. были проведены испытания стрельбой 107-мм стальных мин, для которых использовался ствол МС-107, изготовленный заводом «Красный Октябрь», поставленный на поддон от трофейного 107-мм миномета Стокса. Такая комплектность была вызвана тем, что поддоны отечественного производства не выдерживали стрельбу на сильных зарядах. Испытания выявили неудовлетворительные баллистические свойства мины, что потребовало изменения конструкции, а также непригодность «китайского» взрывателя для применения в зимних условиях (20074).</w:t>
      </w:r>
    </w:p>
    <w:p w14:paraId="51C0B731" w14:textId="77777777" w:rsidR="003B4D08" w:rsidRPr="00E93F40" w:rsidRDefault="003B4D08" w:rsidP="00E93F40">
      <w:pPr>
        <w:spacing w:after="0" w:line="240" w:lineRule="auto"/>
        <w:jc w:val="both"/>
        <w:rPr>
          <w:rFonts w:ascii="Times New Roman" w:eastAsia="TimesNewRomanPSMT" w:hAnsi="Times New Roman"/>
          <w:color w:val="000000" w:themeColor="text1"/>
          <w:sz w:val="16"/>
          <w:szCs w:val="16"/>
        </w:rPr>
      </w:pPr>
    </w:p>
    <w:p w14:paraId="6DA0CB32"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марта 1932 года опытный образец танка Т-33 был изго</w:t>
      </w:r>
      <w:r w:rsidRPr="00142305">
        <w:rPr>
          <w:rFonts w:ascii="Times New Roman" w:hAnsi="Times New Roman"/>
          <w:color w:val="0070C0"/>
          <w:sz w:val="16"/>
          <w:szCs w:val="16"/>
        </w:rPr>
        <w:softHyphen/>
        <w:t>товлен на заводе «Большевик» и вышел на испытания.</w:t>
      </w:r>
    </w:p>
    <w:p w14:paraId="4CA01FEB" w14:textId="77777777" w:rsidR="006B3569" w:rsidRPr="00142305" w:rsidRDefault="006B3569" w:rsidP="006B356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Внешне Т-33 во многом походил на анг</w:t>
      </w:r>
      <w:r w:rsidRPr="00142305">
        <w:rPr>
          <w:rFonts w:ascii="Times New Roman" w:hAnsi="Times New Roman"/>
          <w:color w:val="0070C0"/>
          <w:sz w:val="16"/>
          <w:szCs w:val="16"/>
        </w:rPr>
        <w:softHyphen/>
        <w:t>лийский Vickers-Carden-Loyd. Корпус тан</w:t>
      </w:r>
      <w:r w:rsidRPr="00142305">
        <w:rPr>
          <w:rFonts w:ascii="Times New Roman" w:hAnsi="Times New Roman"/>
          <w:color w:val="0070C0"/>
          <w:sz w:val="16"/>
          <w:szCs w:val="16"/>
        </w:rPr>
        <w:softHyphen/>
        <w:t>ка изготавливался из неброневой стали толщиной 4-9 мм. Для повышения плаву</w:t>
      </w:r>
      <w:r w:rsidRPr="00142305">
        <w:rPr>
          <w:rFonts w:ascii="Times New Roman" w:hAnsi="Times New Roman"/>
          <w:color w:val="0070C0"/>
          <w:sz w:val="16"/>
          <w:szCs w:val="16"/>
        </w:rPr>
        <w:softHyphen/>
        <w:t>чести вдоль бортов устанавливались дере</w:t>
      </w:r>
      <w:r w:rsidRPr="00142305">
        <w:rPr>
          <w:rFonts w:ascii="Times New Roman" w:hAnsi="Times New Roman"/>
          <w:color w:val="0070C0"/>
          <w:sz w:val="16"/>
          <w:szCs w:val="16"/>
        </w:rPr>
        <w:softHyphen/>
        <w:t>вянные коробообразные поплавки, обитые жестью. Изнутри поплавки заполнялись пробкой. Двигатель АМО-3 мощностью 63 л.с. вместе с радиатором устанавливал</w:t>
      </w:r>
      <w:r w:rsidRPr="00142305">
        <w:rPr>
          <w:rFonts w:ascii="Times New Roman" w:hAnsi="Times New Roman"/>
          <w:color w:val="0070C0"/>
          <w:sz w:val="16"/>
          <w:szCs w:val="16"/>
        </w:rPr>
        <w:softHyphen/>
        <w:t>ся в корпусе справа, трансмиссия - глав</w:t>
      </w:r>
      <w:r w:rsidRPr="00142305">
        <w:rPr>
          <w:rFonts w:ascii="Times New Roman" w:hAnsi="Times New Roman"/>
          <w:color w:val="0070C0"/>
          <w:sz w:val="16"/>
          <w:szCs w:val="16"/>
        </w:rPr>
        <w:softHyphen/>
        <w:t>ный фрикцион, коробка перемены передач от автомобиля АМО-3 и бортовые фрикци</w:t>
      </w:r>
      <w:r w:rsidRPr="00142305">
        <w:rPr>
          <w:rFonts w:ascii="Times New Roman" w:hAnsi="Times New Roman"/>
          <w:color w:val="0070C0"/>
          <w:sz w:val="16"/>
          <w:szCs w:val="16"/>
        </w:rPr>
        <w:softHyphen/>
        <w:t>оны - в передней части корпуса. Экипаж танка - механик-водитель и командир - располагались слева, один за другим. Воо</w:t>
      </w:r>
      <w:r w:rsidRPr="00142305">
        <w:rPr>
          <w:rFonts w:ascii="Times New Roman" w:hAnsi="Times New Roman"/>
          <w:color w:val="0070C0"/>
          <w:sz w:val="16"/>
          <w:szCs w:val="16"/>
        </w:rPr>
        <w:softHyphen/>
        <w:t>ружение Т-33 - 7,62-мм пулемет ДТ - ус</w:t>
      </w:r>
      <w:r w:rsidRPr="00142305">
        <w:rPr>
          <w:rFonts w:ascii="Times New Roman" w:hAnsi="Times New Roman"/>
          <w:color w:val="0070C0"/>
          <w:sz w:val="16"/>
          <w:szCs w:val="16"/>
        </w:rPr>
        <w:softHyphen/>
        <w:t>танавливался в башне, вращение которой осуществлялось вручную. Для наблюдения за полем боя на башне устанавливался от</w:t>
      </w:r>
      <w:r w:rsidRPr="00142305">
        <w:rPr>
          <w:rFonts w:ascii="Times New Roman" w:hAnsi="Times New Roman"/>
          <w:color w:val="0070C0"/>
          <w:sz w:val="16"/>
          <w:szCs w:val="16"/>
        </w:rPr>
        <w:softHyphen/>
        <w:t>кидной колпак со смотровыми щелями. Ходовая часть машины была изготовлена по образу и подобию английской амфибии Vickers-Carden-Loyd. Движение на плаву осуществлялось при помощи трехлопаст</w:t>
      </w:r>
      <w:r w:rsidRPr="00142305">
        <w:rPr>
          <w:rFonts w:ascii="Times New Roman" w:hAnsi="Times New Roman"/>
          <w:color w:val="0070C0"/>
          <w:sz w:val="16"/>
          <w:szCs w:val="16"/>
        </w:rPr>
        <w:softHyphen/>
        <w:t>ного винта и руля. В ходе заводских пробе</w:t>
      </w:r>
      <w:r w:rsidRPr="00142305">
        <w:rPr>
          <w:rFonts w:ascii="Times New Roman" w:hAnsi="Times New Roman"/>
          <w:color w:val="0070C0"/>
          <w:sz w:val="16"/>
          <w:szCs w:val="16"/>
        </w:rPr>
        <w:softHyphen/>
        <w:t>гов 3-тонный Т-33 показал на суше ско</w:t>
      </w:r>
      <w:r w:rsidRPr="00142305">
        <w:rPr>
          <w:rFonts w:ascii="Times New Roman" w:hAnsi="Times New Roman"/>
          <w:color w:val="0070C0"/>
          <w:sz w:val="16"/>
          <w:szCs w:val="16"/>
        </w:rPr>
        <w:softHyphen/>
        <w:t>рость до 42 км/ч и до 4 км/ч на плаву (25019).</w:t>
      </w:r>
    </w:p>
    <w:p w14:paraId="35F563CC" w14:textId="77777777" w:rsidR="006B3569" w:rsidRPr="00142305" w:rsidRDefault="006B3569" w:rsidP="006B3569">
      <w:pPr>
        <w:spacing w:after="0" w:line="240" w:lineRule="auto"/>
        <w:jc w:val="both"/>
        <w:rPr>
          <w:rFonts w:ascii="Times New Roman" w:hAnsi="Times New Roman"/>
          <w:color w:val="0070C0"/>
          <w:sz w:val="16"/>
          <w:szCs w:val="16"/>
        </w:rPr>
      </w:pPr>
    </w:p>
    <w:p w14:paraId="389841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конце марта 1932 года была запущена первая доменная печь КМК (первый чугун – 3 апреля) (11539). </w:t>
      </w:r>
    </w:p>
    <w:p w14:paraId="4404B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EC10E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55137B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A8480E"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1932 г. начальник НИИ ВВС Бузанов выступил с докладом, в котором, в частнос</w:t>
      </w:r>
      <w:r w:rsidRPr="00142305">
        <w:rPr>
          <w:rFonts w:ascii="Times New Roman" w:hAnsi="Times New Roman"/>
          <w:color w:val="0070C0"/>
          <w:sz w:val="16"/>
          <w:szCs w:val="16"/>
        </w:rPr>
        <w:softHyphen/>
        <w:t>ти, говорилось о том, что развитие советских ВВС «долж</w:t>
      </w:r>
      <w:r w:rsidRPr="00142305">
        <w:rPr>
          <w:rFonts w:ascii="Times New Roman" w:hAnsi="Times New Roman"/>
          <w:color w:val="0070C0"/>
          <w:sz w:val="16"/>
          <w:szCs w:val="16"/>
        </w:rPr>
        <w:softHyphen/>
        <w:t>но быть целеустремлено в сторону развития наступатель</w:t>
      </w:r>
      <w:r w:rsidRPr="00142305">
        <w:rPr>
          <w:rFonts w:ascii="Times New Roman" w:hAnsi="Times New Roman"/>
          <w:color w:val="0070C0"/>
          <w:sz w:val="16"/>
          <w:szCs w:val="16"/>
        </w:rPr>
        <w:softHyphen/>
        <w:t>ных средств».</w:t>
      </w:r>
    </w:p>
    <w:p w14:paraId="58E11484"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Ставилась задача постепенно довес</w:t>
      </w:r>
      <w:r w:rsidRPr="00142305">
        <w:rPr>
          <w:rFonts w:ascii="Times New Roman" w:hAnsi="Times New Roman"/>
          <w:color w:val="0070C0"/>
          <w:sz w:val="16"/>
          <w:szCs w:val="16"/>
        </w:rPr>
        <w:softHyphen/>
        <w:t>ти долю бомбардировщиков в общем количестве самолетов ВВС до 50% - больше, чем в любой стране мира (реально в 1932 г. имелось 18%) (24977).</w:t>
      </w:r>
    </w:p>
    <w:p w14:paraId="4DDD02CA" w14:textId="77777777" w:rsidR="00E965D4" w:rsidRPr="00142305" w:rsidRDefault="00E965D4" w:rsidP="00E965D4">
      <w:pPr>
        <w:spacing w:after="0" w:line="240" w:lineRule="auto"/>
        <w:jc w:val="both"/>
        <w:rPr>
          <w:rFonts w:ascii="Times New Roman" w:hAnsi="Times New Roman"/>
          <w:color w:val="0070C0"/>
          <w:sz w:val="16"/>
          <w:szCs w:val="16"/>
        </w:rPr>
      </w:pPr>
    </w:p>
    <w:p w14:paraId="07D38AD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была подготовлена Сводка по испытаниям самолета ТБ3 эталона на 1932 год с 4-мя моторами БМВ VI (6776).</w:t>
      </w:r>
    </w:p>
    <w:p w14:paraId="5981B09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5F609F4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Петров</w:t>
      </w:r>
    </w:p>
    <w:p w14:paraId="18CBE58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Юмашев</w:t>
      </w:r>
    </w:p>
    <w:p w14:paraId="61321BE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5A644F6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 для выявления:</w:t>
      </w:r>
    </w:p>
    <w:p w14:paraId="55479D0D"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Полной боеспособности самолета и возможности использования его в виде образца (эталона) для серийной постройки самолетов в 1932 году.</w:t>
      </w:r>
    </w:p>
    <w:p w14:paraId="3760EC1E"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Определение летных данных самолета с полным вооружением и оборудованием.</w:t>
      </w:r>
    </w:p>
    <w:p w14:paraId="1C4F000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Краткий вывод</w:t>
      </w:r>
    </w:p>
    <w:p w14:paraId="1DC20C07"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ТБ1-4М17 принять как эталон для серийной постройки в 1932 году.</w:t>
      </w:r>
    </w:p>
    <w:p w14:paraId="3854347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 прохождения испытания самолета ТБ-3 (без номера).</w:t>
      </w:r>
    </w:p>
    <w:p w14:paraId="116CD35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года – самолет получен с завода ЦАГИ на испытание</w:t>
      </w:r>
    </w:p>
    <w:p w14:paraId="16F4162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января 1932 года – тренировочные полеты летчика ведущего испытания.</w:t>
      </w:r>
    </w:p>
    <w:p w14:paraId="2D02D1C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января 1932 года – тренировочные полеты летчика ведущего испытания.</w:t>
      </w:r>
    </w:p>
    <w:p w14:paraId="6037741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января 1932 года – тренировочные полеты летчика ведущего испытания.</w:t>
      </w:r>
    </w:p>
    <w:p w14:paraId="4A6CC52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января 1932 года – начало испытания по программе</w:t>
      </w:r>
    </w:p>
    <w:p w14:paraId="49D3871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февраля 1932 года – фактическое окончание испытания.</w:t>
      </w:r>
    </w:p>
    <w:p w14:paraId="52F239B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48 календарных дней, из них:</w:t>
      </w:r>
    </w:p>
    <w:p w14:paraId="319E3DA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дней для испытания – 11</w:t>
      </w:r>
    </w:p>
    <w:p w14:paraId="1EB05E1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налетано – 29 час. 04 мин.</w:t>
      </w:r>
    </w:p>
    <w:p w14:paraId="6F16DFE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Конструктивные отличия эталона от опытного самолета</w:t>
      </w:r>
    </w:p>
    <w:p w14:paraId="5B97FC8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самолете 2-х метровые колеса «Пальмер» заменены 2-мя тележками с тандемно расположенными колесами 1350х350.</w:t>
      </w:r>
    </w:p>
    <w:p w14:paraId="70BEB036"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крыльями установлено по одной стрелковой башне.</w:t>
      </w:r>
    </w:p>
    <w:p w14:paraId="5E7AEF2B"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стабилизатора увеличен на 1 метр, площадь увеличена на 0,8 м кв.</w:t>
      </w:r>
    </w:p>
    <w:p w14:paraId="2D361FA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фюзеляжем и под крыльями установлены балочные бомбодержатели.</w:t>
      </w:r>
    </w:p>
    <w:p w14:paraId="1069647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Установлена жесткая антенна и динамо к радио и электроосветительному оборудованию.</w:t>
      </w:r>
    </w:p>
    <w:p w14:paraId="364033C6"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Усилены кронштейны крепления руля высоты к стабилизатору (6776).</w:t>
      </w:r>
    </w:p>
    <w:p w14:paraId="580F0726"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FF3EEC" w14:textId="77777777" w:rsidR="00E965D4" w:rsidRPr="00142305" w:rsidRDefault="00E965D4" w:rsidP="00E965D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 марта 1932 г., поскольку Р-6 в качестве многоместного истребите</w:t>
      </w:r>
      <w:r w:rsidRPr="00142305">
        <w:rPr>
          <w:rFonts w:ascii="Times New Roman" w:hAnsi="Times New Roman" w:cs="Times New Roman"/>
          <w:color w:val="0070C0"/>
          <w:sz w:val="16"/>
          <w:szCs w:val="16"/>
        </w:rPr>
        <w:softHyphen/>
        <w:t>ля оказался явно неподходящим, эту функцию попытались вычленить отдельно, создавая специализированные маши</w:t>
      </w:r>
      <w:r w:rsidRPr="00142305">
        <w:rPr>
          <w:rFonts w:ascii="Times New Roman" w:hAnsi="Times New Roman" w:cs="Times New Roman"/>
          <w:color w:val="0070C0"/>
          <w:sz w:val="16"/>
          <w:szCs w:val="16"/>
        </w:rPr>
        <w:softHyphen/>
        <w:t>ны, первой из них стал МИ-3, разрабатывавшийся в АГОС.</w:t>
      </w:r>
    </w:p>
    <w:p w14:paraId="241DCBE3" w14:textId="77777777" w:rsidR="00E965D4" w:rsidRPr="00142305" w:rsidRDefault="00E965D4" w:rsidP="00E965D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Машина получила убирающееся шасси и более мощные моторы М -34. Но этот самолет, так же как и усовершенство</w:t>
      </w:r>
      <w:r w:rsidRPr="00142305">
        <w:rPr>
          <w:rFonts w:ascii="Times New Roman" w:hAnsi="Times New Roman" w:cs="Times New Roman"/>
          <w:color w:val="0070C0"/>
          <w:sz w:val="16"/>
          <w:szCs w:val="16"/>
        </w:rPr>
        <w:softHyphen/>
        <w:t>ванный МИ-3Д, построенный в 1934 г., страдал серьезны</w:t>
      </w:r>
      <w:r w:rsidRPr="00142305">
        <w:rPr>
          <w:rFonts w:ascii="Times New Roman" w:hAnsi="Times New Roman" w:cs="Times New Roman"/>
          <w:color w:val="0070C0"/>
          <w:sz w:val="16"/>
          <w:szCs w:val="16"/>
        </w:rPr>
        <w:softHyphen/>
        <w:t>ми дефектами и не был доведен до серийного производства. Аналогичную судьбу имел и тяжелый истребитель ДИП, выпушенный на испытания зимой 1935 г. (25977).</w:t>
      </w:r>
    </w:p>
    <w:p w14:paraId="26238960" w14:textId="77777777" w:rsidR="00E965D4" w:rsidRPr="00142305" w:rsidRDefault="00E965D4" w:rsidP="00E965D4">
      <w:pPr>
        <w:spacing w:after="0" w:line="240" w:lineRule="auto"/>
        <w:jc w:val="both"/>
        <w:rPr>
          <w:rFonts w:ascii="Times New Roman" w:hAnsi="Times New Roman"/>
          <w:color w:val="0070C0"/>
          <w:sz w:val="16"/>
          <w:szCs w:val="16"/>
        </w:rPr>
      </w:pPr>
    </w:p>
    <w:p w14:paraId="53921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 А.Н.Т. начал разработку Ми-3 (2766,35).</w:t>
      </w:r>
    </w:p>
    <w:p w14:paraId="276CF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75E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 АГОС начал разработку МИ-3. Машина получила убирающееся шасси и более мощные моторы М-34. Но этот самолет, так же как и усовершенствованный МИ-ЗД, построенный в 1934 г., страдал серьезными дефектами и не был доведен до серийного производства. Аналогичную судьбу имел и тяжелый истребитель ДИП, выпущенный на испытания зимой 1935 г.</w:t>
      </w:r>
    </w:p>
    <w:p w14:paraId="14C1E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Оставался путь модернизации Р-6, хотя его гофрированная обшивка и неубирающееся шасси уже выглядели архаично. Требовалось хоть ненадолго продлить его "жизнь" до замены "крейсерами" нового поколения. В связи с этим туполевцы провели ряд усовершенствований своего детища, после чего появилась модификация КР-6 ("КР" означало, что самолет официально признали "крейсером", а не разведчиком). На ней совершенно изменилось оперение. Руль направления лишился рогового компенсатора, зато на нем смонтировали триммер. Горизонтальное оперение получило иную форму в плане. Рули высоты теперь не имели выступающих рогов; компенсаторы вписали в общий закругленный контур. Несколько изменили мотогондолы. Входные отверстия радиаторов приобрели овальную форму. На фюзеляже убрали наружные продольные усиления. Почти вдвое увеличили запас горючего - до 3000 л вместо 1700 л; маслобаки тоже стали больше. Амортизаторы стоек шасси у КР-6 стали масляно-пневматическими, а не резиновыми. Нижнюю выдвижную башню, резко увеличивавшую аэродинамическое сопротивление, ликвидировали. Самолет стал трехместным - перестал быть нужным башенный стрелок. Бомбовое вооружение, радиооборудование и фотоустановка соответствовали Р-6 (12036).</w:t>
      </w:r>
    </w:p>
    <w:p w14:paraId="6D9BD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A37F76" w14:textId="77777777" w:rsidR="0010652E" w:rsidRPr="00142305" w:rsidRDefault="0010652E" w:rsidP="001065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1932 года развернулось рабочее проектирование четырехместного МИ-3 – АНТ-21 под два мотора М-34 конструкции А.А. Микулина.</w:t>
      </w:r>
    </w:p>
    <w:p w14:paraId="415DB6B9" w14:textId="77777777" w:rsidR="0010652E" w:rsidRPr="00142305" w:rsidRDefault="0010652E" w:rsidP="001065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 эксплуатации разведчика Р-6 и его модификации КР-6 создал необходимые пред</w:t>
      </w:r>
      <w:r w:rsidRPr="00142305">
        <w:rPr>
          <w:rFonts w:ascii="Times New Roman" w:hAnsi="Times New Roman"/>
          <w:color w:val="0070C0"/>
          <w:sz w:val="16"/>
          <w:szCs w:val="16"/>
        </w:rPr>
        <w:softHyphen/>
        <w:t>посылки для появления более скоростного многоместного истребителя. Исследование облика машины началось в КОСОС ЦАГИ под обозначением АНТ-21 (ЦАГИ-21). Согласно заданию истребитель должен был, в частности, развивать скорость 300-350 км/ч, подни</w:t>
      </w:r>
      <w:r w:rsidRPr="00142305">
        <w:rPr>
          <w:rFonts w:ascii="Times New Roman" w:hAnsi="Times New Roman"/>
          <w:color w:val="0070C0"/>
          <w:sz w:val="16"/>
          <w:szCs w:val="16"/>
        </w:rPr>
        <w:softHyphen/>
        <w:t>маться на высоту 5000 метров за 10-12 минут. Его требовалось вооружить шестью скоро</w:t>
      </w:r>
      <w:r w:rsidRPr="00142305">
        <w:rPr>
          <w:rFonts w:ascii="Times New Roman" w:hAnsi="Times New Roman"/>
          <w:color w:val="0070C0"/>
          <w:sz w:val="16"/>
          <w:szCs w:val="16"/>
        </w:rPr>
        <w:softHyphen/>
        <w:t>стрельными пулеметами калибра 7,62 мм.</w:t>
      </w:r>
    </w:p>
    <w:p w14:paraId="43379D6A" w14:textId="77777777" w:rsidR="0010652E" w:rsidRPr="00142305" w:rsidRDefault="0010652E" w:rsidP="001065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самолете впервые в практике КБ приме</w:t>
      </w:r>
      <w:r w:rsidRPr="00142305">
        <w:rPr>
          <w:rFonts w:ascii="Times New Roman" w:hAnsi="Times New Roman"/>
          <w:color w:val="0070C0"/>
          <w:sz w:val="16"/>
          <w:szCs w:val="16"/>
        </w:rPr>
        <w:softHyphen/>
        <w:t>нили такие прогрессивные технические решения, как убирающиеся в гондолы основные опоры шасси и полумонококовый фюзеляж с гладкой обшивкой. Но конструкция крыла оста</w:t>
      </w:r>
      <w:r w:rsidRPr="00142305">
        <w:rPr>
          <w:rFonts w:ascii="Times New Roman" w:hAnsi="Times New Roman"/>
          <w:color w:val="0070C0"/>
          <w:sz w:val="16"/>
          <w:szCs w:val="16"/>
        </w:rPr>
        <w:softHyphen/>
        <w:t>лась прежней - ферменные лонжероны и нервюры с гофрированной обшивкой. Таким же было и оперение.</w:t>
      </w:r>
    </w:p>
    <w:p w14:paraId="479ECCEA" w14:textId="77777777" w:rsidR="0010652E" w:rsidRPr="00142305" w:rsidRDefault="0010652E" w:rsidP="001065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расширения секторов обстрела задней установки оперение сделали двухкилевым. Оборонительное вооружение располагалось следующим образом. Пара пулеметов ПВ или ДА - на носовой подвижной установке и по одному неподвижному пулемету в центроплане крыла. Для защиты задней полусферы предназначались фюзеляжная и кинжальная пулемет</w:t>
      </w:r>
      <w:r w:rsidRPr="00142305">
        <w:rPr>
          <w:rFonts w:ascii="Times New Roman" w:hAnsi="Times New Roman"/>
          <w:color w:val="0070C0"/>
          <w:sz w:val="16"/>
          <w:szCs w:val="16"/>
        </w:rPr>
        <w:softHyphen/>
        <w:t>ные установки. Но оборонительным вооружением опытную машину так и не укомплекто</w:t>
      </w:r>
      <w:r w:rsidRPr="00142305">
        <w:rPr>
          <w:rFonts w:ascii="Times New Roman" w:hAnsi="Times New Roman"/>
          <w:color w:val="0070C0"/>
          <w:sz w:val="16"/>
          <w:szCs w:val="16"/>
        </w:rPr>
        <w:softHyphen/>
        <w:t>вали (24991).</w:t>
      </w:r>
    </w:p>
    <w:p w14:paraId="32280BF1" w14:textId="77777777" w:rsidR="0010652E" w:rsidRPr="00142305" w:rsidRDefault="0010652E" w:rsidP="0010652E">
      <w:pPr>
        <w:spacing w:after="0" w:line="240" w:lineRule="auto"/>
        <w:jc w:val="both"/>
        <w:rPr>
          <w:rFonts w:ascii="Times New Roman" w:hAnsi="Times New Roman"/>
          <w:color w:val="0070C0"/>
          <w:sz w:val="16"/>
          <w:szCs w:val="16"/>
        </w:rPr>
      </w:pPr>
    </w:p>
    <w:p w14:paraId="0EF00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АНТ-7 (Р-6) стал осваивать завод 31, куда передали заказ с завода 22, который был занят бомбардировщиками. В качестве образца привезли машину N 2201. завод 22 сделал 45 и дал на 31 узлы на 5 (2671,15).</w:t>
      </w:r>
    </w:p>
    <w:p w14:paraId="2A055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9371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на основании предварительнеых расчетов ЦАГИ пришел к выводу, что “стальной” ТБ-4бис должен иметь размерность примерно такую же, как АНТ-16 опытный, что конструкция лонжеронов крыла и фюзеляжа д.б. из хромомолибденовых труб и профилей. Конструкция шасси - как на опытной машине, обшивка - на 2/3 из гофрированной фанеры и на 1/3 из дюраля (7388, 10).</w:t>
      </w:r>
    </w:p>
    <w:p w14:paraId="756B74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741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ЦАГИ всерьез приступил к проектированию ТБ-6 (АНТ-26), хотя ТБ-6 в пассажирском варианте как АНТ-26, а затем АНТ-28 уже был в плане на 1931 (7425, 19).</w:t>
      </w:r>
    </w:p>
    <w:p w14:paraId="1E201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163C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КБ А.Н.Т. приступило к реализации проектов АНТ-26 (ТБ-6) и АНТ-28 в пассажирском и грузовом вариантах с коммерческой нагрузкой 15 т и дальностью 1500 км. А.Н.Т. поднял вопрос о серийном заводе и основой проектов Авиапроекта стали 124 и 84 (2072,73).</w:t>
      </w:r>
    </w:p>
    <w:p w14:paraId="002208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BEE9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в ЦАГИ представил Глававиапрому данные по расчетам по АНТ-31 (И-14) (1454,24).</w:t>
      </w:r>
    </w:p>
    <w:p w14:paraId="1B096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9BD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 выпуск Р-5 превышал плановые цифры, но уже в октябре завод, очевидно, достигнув предельной производительности, опять не смог угнаться за увеличивавшимся планом. К концу года недостача достигла примерно 300 машин, хотя за год построили 884 Р-5.</w:t>
      </w:r>
    </w:p>
    <w:p w14:paraId="3EF07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несколькими случаями невыхода Р-5 из штопора на самолете попробовали установить модные тогда "поворотные стойки" - маленькие плоскости, вращавшиеся относительно передних труб стоек биплан- ной коробки. Но их эффективность оказалась недостаточной, а в ряде случаев они давали прямо противоположный желаемому результат. Эксперименты закончились катастрофой, в которой погиб испытатель B.C. Волковойнов. Конструкцию забраковали и более к ней не возвращались (11936).</w:t>
      </w:r>
    </w:p>
    <w:p w14:paraId="2B520E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F257A6"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марта 1932 г. выпуск Р-5 превышал плановые цифры, частично покрывая не</w:t>
      </w:r>
      <w:r w:rsidRPr="00142305">
        <w:rPr>
          <w:rFonts w:ascii="Times New Roman" w:hAnsi="Times New Roman"/>
          <w:color w:val="0070C0"/>
          <w:sz w:val="16"/>
          <w:szCs w:val="16"/>
        </w:rPr>
        <w:softHyphen/>
        <w:t>довыполнение в предыдущие годы. Это делалось, как пра</w:t>
      </w:r>
      <w:r w:rsidRPr="00142305">
        <w:rPr>
          <w:rFonts w:ascii="Times New Roman" w:hAnsi="Times New Roman"/>
          <w:color w:val="0070C0"/>
          <w:sz w:val="16"/>
          <w:szCs w:val="16"/>
        </w:rPr>
        <w:softHyphen/>
        <w:t>вило, за счет сверхурочных работ. Так, в мае сверх пла</w:t>
      </w:r>
      <w:r w:rsidRPr="00142305">
        <w:rPr>
          <w:rFonts w:ascii="Times New Roman" w:hAnsi="Times New Roman"/>
          <w:color w:val="0070C0"/>
          <w:sz w:val="16"/>
          <w:szCs w:val="16"/>
        </w:rPr>
        <w:softHyphen/>
        <w:t>на сделали шесть самолетов. Их торжественно сдали во</w:t>
      </w:r>
      <w:r w:rsidRPr="00142305">
        <w:rPr>
          <w:rFonts w:ascii="Times New Roman" w:hAnsi="Times New Roman"/>
          <w:color w:val="0070C0"/>
          <w:sz w:val="16"/>
          <w:szCs w:val="16"/>
        </w:rPr>
        <w:softHyphen/>
        <w:t>енным. Но уже в октябре завод № I, очевидно, достигнув предельной для себя производительности, опять не мог уг</w:t>
      </w:r>
      <w:r w:rsidRPr="00142305">
        <w:rPr>
          <w:rFonts w:ascii="Times New Roman" w:hAnsi="Times New Roman"/>
          <w:color w:val="0070C0"/>
          <w:sz w:val="16"/>
          <w:szCs w:val="16"/>
        </w:rPr>
        <w:softHyphen/>
        <w:t>наться за быстро увеличивающимся планом. К концу года недостача достигла примерно 300 машин. При этом за год построили в общей сложности 884 Р-5 (24990).</w:t>
      </w:r>
    </w:p>
    <w:p w14:paraId="34196002" w14:textId="77777777" w:rsidR="00E965D4" w:rsidRPr="00142305" w:rsidRDefault="00E965D4" w:rsidP="00E965D4">
      <w:pPr>
        <w:spacing w:after="0" w:line="240" w:lineRule="auto"/>
        <w:jc w:val="both"/>
        <w:rPr>
          <w:rFonts w:ascii="Times New Roman" w:hAnsi="Times New Roman"/>
          <w:color w:val="0070C0"/>
          <w:sz w:val="16"/>
          <w:szCs w:val="16"/>
        </w:rPr>
      </w:pPr>
    </w:p>
    <w:p w14:paraId="2F179455" w14:textId="77777777" w:rsidR="009A193F" w:rsidRPr="00E93F40" w:rsidRDefault="009A19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марте 1932 г. начали летные испытания первой лод</w:t>
      </w:r>
      <w:r w:rsidRPr="00E93F40">
        <w:rPr>
          <w:rFonts w:ascii="Times New Roman" w:hAnsi="Times New Roman"/>
          <w:color w:val="000000" w:themeColor="text1"/>
          <w:sz w:val="16"/>
          <w:szCs w:val="16"/>
          <w:lang w:eastAsia="ru-RU" w:bidi="ru-RU"/>
        </w:rPr>
        <w:softHyphen/>
        <w:t>ки С-62КЭ, построенной в Таганроге, с серийным номером ОЕ-68. В апреле са</w:t>
      </w:r>
      <w:r w:rsidRPr="00E93F40">
        <w:rPr>
          <w:rFonts w:ascii="Times New Roman" w:hAnsi="Times New Roman"/>
          <w:color w:val="000000" w:themeColor="text1"/>
          <w:sz w:val="16"/>
          <w:szCs w:val="16"/>
          <w:lang w:eastAsia="ru-RU" w:bidi="ru-RU"/>
        </w:rPr>
        <w:softHyphen/>
        <w:t>молет передали на государственные испытания в Особый морской отдел НИИ ВВС в Севастополе. Характеристики С-62КЭ оказались настолько хуже импортных С-62Б, что по результатам испытаний было рекомендовано отдать само</w:t>
      </w:r>
      <w:r w:rsidRPr="00E93F40">
        <w:rPr>
          <w:rFonts w:ascii="Times New Roman" w:hAnsi="Times New Roman"/>
          <w:color w:val="000000" w:themeColor="text1"/>
          <w:sz w:val="16"/>
          <w:szCs w:val="16"/>
          <w:lang w:eastAsia="ru-RU" w:bidi="ru-RU"/>
        </w:rPr>
        <w:softHyphen/>
        <w:t>лет в летную школу, поскольку для эксплуатации на фло</w:t>
      </w:r>
      <w:r w:rsidRPr="00E93F40">
        <w:rPr>
          <w:rFonts w:ascii="Times New Roman" w:hAnsi="Times New Roman"/>
          <w:color w:val="000000" w:themeColor="text1"/>
          <w:sz w:val="16"/>
          <w:szCs w:val="16"/>
          <w:lang w:eastAsia="ru-RU" w:bidi="ru-RU"/>
        </w:rPr>
        <w:softHyphen/>
        <w:t>тах он явно не годился.</w:t>
      </w:r>
    </w:p>
    <w:p w14:paraId="36A254F3" w14:textId="77777777" w:rsidR="009A193F" w:rsidRPr="00E93F40" w:rsidRDefault="009A193F"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lastRenderedPageBreak/>
        <w:t>В свою очередь, военная приемка сообщала, что дета</w:t>
      </w:r>
      <w:r w:rsidRPr="00E93F40">
        <w:rPr>
          <w:rFonts w:ascii="Times New Roman" w:hAnsi="Times New Roman"/>
          <w:color w:val="000000" w:themeColor="text1"/>
          <w:sz w:val="16"/>
          <w:szCs w:val="16"/>
          <w:lang w:eastAsia="ru-RU" w:bidi="ru-RU"/>
        </w:rPr>
        <w:softHyphen/>
        <w:t>ли построенных С-62КЭ не взаимозаменяемы. Военпреда</w:t>
      </w:r>
      <w:r w:rsidRPr="00E93F40">
        <w:rPr>
          <w:rFonts w:ascii="Times New Roman" w:hAnsi="Times New Roman"/>
          <w:color w:val="000000" w:themeColor="text1"/>
          <w:sz w:val="16"/>
          <w:szCs w:val="16"/>
          <w:lang w:eastAsia="ru-RU" w:bidi="ru-RU"/>
        </w:rPr>
        <w:softHyphen/>
        <w:t>ми отмечались трещины силовых конструкций, местные утолщения обшивки, щели в стыках, плохая окраска. Не</w:t>
      </w:r>
      <w:r w:rsidRPr="00E93F40">
        <w:rPr>
          <w:rFonts w:ascii="Times New Roman" w:hAnsi="Times New Roman"/>
          <w:color w:val="000000" w:themeColor="text1"/>
          <w:sz w:val="16"/>
          <w:szCs w:val="16"/>
          <w:lang w:eastAsia="ru-RU" w:bidi="ru-RU"/>
        </w:rPr>
        <w:softHyphen/>
        <w:t>удивительно, что самолеты признали непригодными для ис</w:t>
      </w:r>
      <w:r w:rsidRPr="00E93F40">
        <w:rPr>
          <w:rFonts w:ascii="Times New Roman" w:hAnsi="Times New Roman"/>
          <w:color w:val="000000" w:themeColor="text1"/>
          <w:sz w:val="16"/>
          <w:szCs w:val="16"/>
          <w:lang w:eastAsia="ru-RU" w:bidi="ru-RU"/>
        </w:rPr>
        <w:softHyphen/>
        <w:t>пользования в строевых частях. Три летающие лодки пе</w:t>
      </w:r>
      <w:r w:rsidRPr="00E93F40">
        <w:rPr>
          <w:rFonts w:ascii="Times New Roman" w:hAnsi="Times New Roman"/>
          <w:color w:val="000000" w:themeColor="text1"/>
          <w:sz w:val="16"/>
          <w:szCs w:val="16"/>
          <w:lang w:eastAsia="ru-RU" w:bidi="ru-RU"/>
        </w:rPr>
        <w:softHyphen/>
        <w:t>редали гражданским эксплуатантам, а две использовали в учебных целях (20325).</w:t>
      </w:r>
    </w:p>
    <w:p w14:paraId="0CA1C07A" w14:textId="77777777" w:rsidR="009A193F" w:rsidRPr="00E93F40" w:rsidRDefault="009A193F" w:rsidP="00E93F40">
      <w:pPr>
        <w:spacing w:after="0" w:line="240" w:lineRule="auto"/>
        <w:jc w:val="both"/>
        <w:rPr>
          <w:rFonts w:ascii="Times New Roman" w:hAnsi="Times New Roman"/>
          <w:color w:val="000000" w:themeColor="text1"/>
          <w:sz w:val="16"/>
          <w:szCs w:val="16"/>
        </w:rPr>
      </w:pPr>
    </w:p>
    <w:p w14:paraId="3461C5C3" w14:textId="77777777" w:rsidR="009A193F" w:rsidRPr="00E93F40" w:rsidRDefault="009A19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были проведены испытания стрелкового и бомбардировочного итальянского вооружения С-62бис (РГВА. Ф. 29. Оп. 76. Д. 1415. Отчет об испытании вооружения на самолете С-62бис. 1.1.32-30.12.32. Л. 14-20.) (21410).</w:t>
      </w:r>
    </w:p>
    <w:p w14:paraId="25ECA195" w14:textId="77777777" w:rsidR="009A193F" w:rsidRPr="00E93F40" w:rsidRDefault="009A193F" w:rsidP="00E93F40">
      <w:pPr>
        <w:spacing w:after="0" w:line="240" w:lineRule="auto"/>
        <w:jc w:val="both"/>
        <w:rPr>
          <w:rFonts w:ascii="Times New Roman" w:hAnsi="Times New Roman"/>
          <w:color w:val="000000" w:themeColor="text1"/>
          <w:sz w:val="16"/>
          <w:szCs w:val="16"/>
        </w:rPr>
      </w:pPr>
    </w:p>
    <w:p w14:paraId="7729BD16"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1932 г. на заводе № 31 начали заводские летные испытания С-62КЭ (24948).</w:t>
      </w:r>
    </w:p>
    <w:p w14:paraId="1747FB7E" w14:textId="77777777" w:rsidR="00E965D4" w:rsidRPr="00142305" w:rsidRDefault="00E965D4" w:rsidP="00E965D4">
      <w:pPr>
        <w:spacing w:after="0" w:line="240" w:lineRule="auto"/>
        <w:jc w:val="both"/>
        <w:rPr>
          <w:rFonts w:ascii="Times New Roman" w:hAnsi="Times New Roman"/>
          <w:color w:val="0070C0"/>
          <w:sz w:val="16"/>
          <w:szCs w:val="16"/>
        </w:rPr>
      </w:pPr>
    </w:p>
    <w:p w14:paraId="362561F9" w14:textId="77777777" w:rsidR="003B4D08" w:rsidRPr="00E93F40" w:rsidRDefault="003B4D08"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1932-го года в план опытного самолето</w:t>
      </w:r>
      <w:r w:rsidRPr="00E93F40">
        <w:rPr>
          <w:rFonts w:ascii="Times New Roman" w:hAnsi="Times New Roman"/>
          <w:color w:val="000000" w:themeColor="text1"/>
          <w:sz w:val="16"/>
          <w:szCs w:val="16"/>
        </w:rPr>
        <w:softHyphen/>
        <w:t>строения на 1932-34 годы включили три новых самолета, на которых рассчитывали установить ДРП (19933).</w:t>
      </w:r>
    </w:p>
    <w:p w14:paraId="532C5277" w14:textId="77777777" w:rsidR="003B4D08" w:rsidRPr="00E93F40" w:rsidRDefault="003B4D08" w:rsidP="00E93F40">
      <w:pPr>
        <w:shd w:val="clear" w:color="auto" w:fill="FFFFFF"/>
        <w:spacing w:after="0" w:line="240" w:lineRule="auto"/>
        <w:jc w:val="both"/>
        <w:rPr>
          <w:rFonts w:ascii="Times New Roman" w:hAnsi="Times New Roman"/>
          <w:color w:val="000000" w:themeColor="text1"/>
          <w:sz w:val="16"/>
          <w:szCs w:val="16"/>
        </w:rPr>
      </w:pPr>
    </w:p>
    <w:p w14:paraId="0612E67A" w14:textId="7E03CBDE" w:rsidR="00E144D6" w:rsidRPr="00E93F40" w:rsidRDefault="00E144D6"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марте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завершились заводские испытания первого самолета-звено. После первого полета изменили конструкцию замков — теперь задний открывался пилотом истребителя, а передний получил форму кольца с вырезом. После открытия заднего замка лётчик с помощью руля высоты удерживал самолёт на передних опорах. Для отрыва ему надо было взять ручку управления на себя, ось шасси высвобождалась и истребитель взмывал вверх. Летали на лыжах.</w:t>
      </w:r>
    </w:p>
    <w:p w14:paraId="1E208407" w14:textId="77777777" w:rsidR="00E144D6" w:rsidRPr="00E93F40" w:rsidRDefault="00E144D6"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Начальник ВВС РККА Алкснис докладывал М.Н. Тухачевскому:</w:t>
      </w:r>
    </w:p>
    <w:p w14:paraId="6075D2BD" w14:textId="0DE49D63" w:rsidR="00E144D6" w:rsidRPr="00E93F40" w:rsidRDefault="00E144D6"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«Изобретение тов. Вахмистрова является олицетворением совершенно новой, за границей нигде не применяемой, смелой и оригинальной мысли.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Благодаря ему разрешаются следующие два важнейшие вопроса применения тяжелой бомбардировочной авиации:</w:t>
      </w:r>
    </w:p>
    <w:p w14:paraId="23228077" w14:textId="610D25FE" w:rsidR="00E144D6" w:rsidRPr="00E93F40" w:rsidRDefault="00E144D6"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Разрешается вопрос сопровождения тяжёлого бомбардировщика своими же истребителями до цели. Питание горючим истребителей производится из общих баков бомбардировщика, благодаря чему радиус действия истребителей увеличивается вдвое.</w:t>
      </w:r>
    </w:p>
    <w:p w14:paraId="7DA72CF8" w14:textId="10B25965" w:rsidR="00E144D6" w:rsidRPr="00E93F40" w:rsidRDefault="00E144D6"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Разрешается вопрос ускорения отрыва с земли и подъёма перегруженного тяжёлого бомбардировщика. Благодаря этому мы можем перегружать наши тяжёлые бомбардировщики и переправлять их через фронт на больших высотах» </w:t>
      </w:r>
      <w:hyperlink r:id="rId74" w:history="1">
        <w:r w:rsidRPr="00E93F40">
          <w:rPr>
            <w:rFonts w:ascii="Times New Roman" w:eastAsia="Times New Roman" w:hAnsi="Times New Roman"/>
            <w:color w:val="000000" w:themeColor="text1"/>
            <w:sz w:val="16"/>
            <w:szCs w:val="16"/>
            <w:lang w:eastAsia="ru-RU"/>
          </w:rPr>
          <w:t>[77]</w:t>
        </w:r>
      </w:hyperlink>
      <w:r w:rsidRPr="00E93F40">
        <w:rPr>
          <w:rFonts w:ascii="Times New Roman" w:eastAsia="Times New Roman" w:hAnsi="Times New Roman"/>
          <w:color w:val="000000" w:themeColor="text1"/>
          <w:sz w:val="16"/>
          <w:szCs w:val="16"/>
          <w:lang w:eastAsia="ru-RU"/>
        </w:rPr>
        <w:t xml:space="preserve"> (17489).</w:t>
      </w:r>
    </w:p>
    <w:p w14:paraId="11751AD6" w14:textId="77777777" w:rsidR="00E144D6" w:rsidRPr="00E93F40" w:rsidRDefault="00E144D6" w:rsidP="00E93F40">
      <w:pPr>
        <w:spacing w:after="0" w:line="240" w:lineRule="auto"/>
        <w:jc w:val="both"/>
        <w:rPr>
          <w:rFonts w:ascii="Times New Roman" w:eastAsia="Times New Roman" w:hAnsi="Times New Roman"/>
          <w:color w:val="000000" w:themeColor="text1"/>
          <w:sz w:val="16"/>
          <w:szCs w:val="16"/>
          <w:lang w:eastAsia="ru-RU"/>
        </w:rPr>
      </w:pPr>
    </w:p>
    <w:p w14:paraId="0C3D4423" w14:textId="77777777" w:rsidR="00871EDF" w:rsidRPr="00E93F40" w:rsidRDefault="00871ED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 велось изготовление ХАИ-1 на заводе № 135. Финансировало работу украинское подразделение Осоавиахима, выделившее 70000 рублей. Техническую помощь оказали сотрудники Харьковского авиазавода, прежде всего главный конструктор предприятия К.А. Калинин и инженер Б.П. Лисунов. Постройка прототипа заняла 180 суток. Первоначально на машину установили двигатель Bristol Jupiter VI (24249).</w:t>
      </w:r>
    </w:p>
    <w:p w14:paraId="256B97F5" w14:textId="77777777" w:rsidR="00871EDF" w:rsidRPr="00E93F40" w:rsidRDefault="00871EDF" w:rsidP="00E93F40">
      <w:pPr>
        <w:spacing w:after="0" w:line="240" w:lineRule="auto"/>
        <w:jc w:val="both"/>
        <w:rPr>
          <w:rFonts w:ascii="Times New Roman" w:hAnsi="Times New Roman"/>
          <w:color w:val="000000" w:themeColor="text1"/>
          <w:sz w:val="16"/>
          <w:szCs w:val="16"/>
        </w:rPr>
      </w:pPr>
    </w:p>
    <w:p w14:paraId="549337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Президиум ЦС ОХА выделил на испытания ракетного самолета (планер БИЧ-11) 13 тыс.р. (см. РП-1 в Приложении 1), оснащенного двигателем ОР-2 Ф.А. Цандера и разрабатывавшегося в ГИРД (ЦГАОР, ф. 8355, № 52(2), л. 86) (10676).</w:t>
      </w:r>
    </w:p>
    <w:p w14:paraId="2EBA31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F73FD8" w14:textId="00B486CB" w:rsidR="00E144D6" w:rsidRPr="00E93F40" w:rsidRDefault="00E144D6"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марте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Президиум</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Центрального совета Осоавиахима выделил на испытания</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ракетного самолета С.П.Королева 13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тыс. рублей (17489).</w:t>
      </w:r>
    </w:p>
    <w:p w14:paraId="23590FB2" w14:textId="77777777" w:rsidR="00E144D6" w:rsidRPr="00E93F40" w:rsidRDefault="00E144D6" w:rsidP="00E93F40">
      <w:pPr>
        <w:spacing w:after="0" w:line="240" w:lineRule="auto"/>
        <w:jc w:val="both"/>
        <w:rPr>
          <w:rFonts w:ascii="Times New Roman" w:eastAsia="Times New Roman" w:hAnsi="Times New Roman"/>
          <w:color w:val="000000" w:themeColor="text1"/>
          <w:sz w:val="16"/>
          <w:szCs w:val="16"/>
          <w:lang w:eastAsia="ru-RU"/>
        </w:rPr>
      </w:pPr>
    </w:p>
    <w:p w14:paraId="2ABBEB6B"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года на базе аэродинамической лаборатории был создан Институт техники планеризма, в котором проектировали и изготовляли планеры и мотопланеры. Также во Львове существовала Школа авиационных механиков.</w:t>
      </w:r>
    </w:p>
    <w:p w14:paraId="064333DA" w14:textId="77777777" w:rsidR="00424ECB" w:rsidRPr="00E93F40" w:rsidRDefault="00424E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Главным центром авиастроительства в межвоенном Львове были Львовские планерные мастерские, отделения которых действовали на улице Блоне, д. 20 (теперь ул. Зализнична) и на улице Токажевского (ныне ул. Городецкая, 62). Всего до 1939 года в Львовских планерных мастерских было построено 190 планеров. Львовские инженеры спроектировали почти 30 конструкций летательных аппаратов, в частности несколько самолетов. Многие львоские авиационные инженеры и конструкторы после II Мировой войны работали в авиастроительных фирмах США, Канады, Франции и даже Турции (12298).</w:t>
      </w:r>
    </w:p>
    <w:p w14:paraId="5B28ECB7" w14:textId="77777777" w:rsidR="00424ECB" w:rsidRPr="00E93F40" w:rsidRDefault="00424ECB" w:rsidP="00E93F40">
      <w:pPr>
        <w:spacing w:after="0" w:line="240" w:lineRule="auto"/>
        <w:jc w:val="both"/>
        <w:rPr>
          <w:rFonts w:ascii="Times New Roman" w:hAnsi="Times New Roman"/>
          <w:color w:val="000000" w:themeColor="text1"/>
          <w:sz w:val="16"/>
          <w:szCs w:val="16"/>
        </w:rPr>
      </w:pPr>
    </w:p>
    <w:p w14:paraId="4C0DF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Бузановым, занимавшим в то время должность начальника НИИ ВВС, был заключен договор с бюро новых конструкций на постройку самолета специального назначения под маркой БНК-3.</w:t>
      </w:r>
    </w:p>
    <w:p w14:paraId="4FAFBE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Заключению договора предшествовали следующие обстоятельства:</w:t>
      </w:r>
    </w:p>
    <w:p w14:paraId="24318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февраля 1932 года Бузановым был направлен на мое имя рапорт (N 8сс от 22 февраля 1932 года) с просьбой дать задание ГУАП"у на разработку и постройку указанного выше самолета.</w:t>
      </w:r>
    </w:p>
    <w:p w14:paraId="1BAF1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ожидая решения по своему рапорту Бузанов 15 марта 1932 г. дал распоряжение заключить договор на самолет. 19 апреля 1932 г. Бузанов получил решение моего заместителя Меженинова - нового самолета не строить, а использовать для опытных целей имеемые истребители.</w:t>
      </w:r>
    </w:p>
    <w:p w14:paraId="275776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прямые указания Бузанов заказ на самолет БНК-3 не аннулировал...</w:t>
      </w:r>
    </w:p>
    <w:p w14:paraId="6167C4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конечном результате выявилось, что заказанный самолет не соответствует своим проектным данным и никакого интереса для опытных целей не представляет.</w:t>
      </w:r>
    </w:p>
    <w:p w14:paraId="64EC97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Приказываю:</w:t>
      </w:r>
    </w:p>
    <w:p w14:paraId="6374B6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Дальнейшую достройку самолета, как явно нецелесообразную затрату денежных средств - прекратить.</w:t>
      </w:r>
    </w:p>
    <w:p w14:paraId="0F8DA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Бывш. начальнику НИИ - начальнику ком. факультета ВВА Бузанову объявляю выговор... (3029,181).</w:t>
      </w:r>
    </w:p>
    <w:p w14:paraId="49667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086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ГРОСС К.А.К. согласно директиве Глававиапрома передал комплект производственной документации (70,171).</w:t>
      </w:r>
    </w:p>
    <w:p w14:paraId="2F18D1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30B7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началась постройка автожира ЭА-6, которая продолжалась до июля 1933 (1017,279).</w:t>
      </w:r>
    </w:p>
    <w:p w14:paraId="76057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E4E8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 г. велась обкатка моторов М-51, с которого с февраля-июня 1931 г. конструкторы завода № 29 начали серию моторов на базе М-11. За основу взяли М-11В. Высотные характеристики улучшили путем включения в конструкцию приводного центробежного нагнетателя (ПЦН). Это позволило довести максимальную мощность до 145 л.с., в мае-июне того же года проходили госиспытания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(11478).</w:t>
      </w:r>
    </w:p>
    <w:p w14:paraId="6DAB29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531F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 начали его обкатку опытного образца М-51, а затем ис</w:t>
      </w:r>
      <w:r w:rsidRPr="00E93F40">
        <w:rPr>
          <w:rFonts w:ascii="Times New Roman" w:hAnsi="Times New Roman"/>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w:t>
      </w:r>
    </w:p>
    <w:p w14:paraId="41E01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 разработан в феврале — июне 1931 г. в КБ завода № 29 (Запорожье) под руководством А.С. Наза</w:t>
      </w:r>
      <w:r w:rsidRPr="00E93F40">
        <w:rPr>
          <w:rFonts w:ascii="Times New Roman" w:hAnsi="Times New Roman"/>
          <w:color w:val="000000" w:themeColor="text1"/>
          <w:sz w:val="16"/>
          <w:szCs w:val="16"/>
        </w:rPr>
        <w:softHyphen/>
        <w:t>рова. Являлся дальнейшим развитием известно</w:t>
      </w:r>
      <w:r w:rsidRPr="00E93F40">
        <w:rPr>
          <w:rFonts w:ascii="Times New Roman" w:hAnsi="Times New Roman"/>
          <w:color w:val="000000" w:themeColor="text1"/>
          <w:sz w:val="16"/>
          <w:szCs w:val="16"/>
        </w:rPr>
        <w:softHyphen/>
        <w:t>го мотора М-11. Отличался в основном наличием ПЦН и использованием одной кулачковой шайбы вместо пяти кулачковых валиков. Использовал часть узлов и агрегатов двигателя М-11В и унифицировался с мото</w:t>
      </w:r>
      <w:r w:rsidRPr="00E93F40">
        <w:rPr>
          <w:rFonts w:ascii="Times New Roman" w:hAnsi="Times New Roman"/>
          <w:color w:val="000000" w:themeColor="text1"/>
          <w:sz w:val="16"/>
          <w:szCs w:val="16"/>
        </w:rPr>
        <w:softHyphen/>
        <w:t>рами М-48 и М-49, входившими в то же семейство. По сравнению с М-11В были упрощены сборка и монтаж агрегатов. Коленвал уста</w:t>
      </w:r>
      <w:r w:rsidRPr="00E93F40">
        <w:rPr>
          <w:rFonts w:ascii="Times New Roman" w:hAnsi="Times New Roman"/>
          <w:color w:val="000000" w:themeColor="text1"/>
          <w:sz w:val="16"/>
          <w:szCs w:val="16"/>
        </w:rPr>
        <w:softHyphen/>
        <w:t>новлен на роликовых подшипниках. Втулка винта шлицевая. Изготовле</w:t>
      </w:r>
      <w:r w:rsidRPr="00E93F40">
        <w:rPr>
          <w:rFonts w:ascii="Times New Roman" w:hAnsi="Times New Roman"/>
          <w:color w:val="000000" w:themeColor="text1"/>
          <w:sz w:val="16"/>
          <w:szCs w:val="16"/>
        </w:rPr>
        <w:softHyphen/>
        <w:t>ны и испытаны опытные образцы. В мае — июне того же года мотор проходил госиспытания с цилин</w:t>
      </w:r>
      <w:r w:rsidRPr="00E93F40">
        <w:rPr>
          <w:rFonts w:ascii="Times New Roman" w:hAnsi="Times New Roman"/>
          <w:color w:val="000000" w:themeColor="text1"/>
          <w:sz w:val="16"/>
          <w:szCs w:val="16"/>
        </w:rPr>
        <w:softHyphen/>
        <w:t>драми от М-11, а в октябре — со своими оригинальными цилиндра</w:t>
      </w:r>
      <w:r w:rsidRPr="00E93F40">
        <w:rPr>
          <w:rFonts w:ascii="Times New Roman" w:hAnsi="Times New Roman"/>
          <w:color w:val="000000" w:themeColor="text1"/>
          <w:sz w:val="16"/>
          <w:szCs w:val="16"/>
        </w:rPr>
        <w:softHyphen/>
        <w:t>ми. Однако в обоих случаях ис</w:t>
      </w:r>
      <w:r w:rsidRPr="00E93F40">
        <w:rPr>
          <w:rFonts w:ascii="Times New Roman" w:hAnsi="Times New Roman"/>
          <w:color w:val="000000" w:themeColor="text1"/>
          <w:sz w:val="16"/>
          <w:szCs w:val="16"/>
        </w:rPr>
        <w:softHyphen/>
        <w:t>пытания закончились неудачно. В июне 1933 г. испытывался на са</w:t>
      </w:r>
      <w:r w:rsidRPr="00E93F40">
        <w:rPr>
          <w:rFonts w:ascii="Times New Roman" w:hAnsi="Times New Roman"/>
          <w:color w:val="000000" w:themeColor="text1"/>
          <w:sz w:val="16"/>
          <w:szCs w:val="16"/>
        </w:rPr>
        <w:softHyphen/>
        <w:t>молете У-2. Планировался серий</w:t>
      </w:r>
      <w:r w:rsidRPr="00E93F40">
        <w:rPr>
          <w:rFonts w:ascii="Times New Roman" w:hAnsi="Times New Roman"/>
          <w:color w:val="000000" w:themeColor="text1"/>
          <w:sz w:val="16"/>
          <w:szCs w:val="16"/>
        </w:rPr>
        <w:softHyphen/>
        <w:t>ный выпуск в 1933 г.. но в серийное производство М-51 не запускался. Впоследствии стал прототипом для мотора МГ-11.</w:t>
      </w:r>
    </w:p>
    <w:p w14:paraId="4CB62C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03DE5F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5-цилиндровый, звездообразный, четырехтактный, воздушного охлаж</w:t>
      </w:r>
      <w:r w:rsidRPr="00E93F40">
        <w:rPr>
          <w:rFonts w:ascii="Times New Roman" w:hAnsi="Times New Roman"/>
          <w:color w:val="000000" w:themeColor="text1"/>
          <w:sz w:val="16"/>
          <w:szCs w:val="16"/>
        </w:rPr>
        <w:softHyphen/>
        <w:t>дения, с ПЦН;</w:t>
      </w:r>
    </w:p>
    <w:p w14:paraId="050FA2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125/145 л.с.;</w:t>
      </w:r>
    </w:p>
    <w:p w14:paraId="43DA22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125/140 мм;</w:t>
      </w:r>
    </w:p>
    <w:p w14:paraId="225E07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8,6 л;</w:t>
      </w:r>
    </w:p>
    <w:p w14:paraId="0C42E90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5,0;</w:t>
      </w:r>
    </w:p>
    <w:p w14:paraId="7DF28C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150 кг (позднее 155 кг).</w:t>
      </w:r>
    </w:p>
    <w:p w14:paraId="5CF3DF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Известен также двигатель 1947 г. под тем же обозначением (11852).</w:t>
      </w:r>
    </w:p>
    <w:p w14:paraId="12C30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EAC36D"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марта 1932 г. на заводе № 29 в Запорожье велась обкатка моторов М-51, в мае-июне того же года проходили госиспытания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(25397).</w:t>
      </w:r>
    </w:p>
    <w:p w14:paraId="695801A4" w14:textId="77777777" w:rsidR="00E965D4" w:rsidRPr="00142305" w:rsidRDefault="00E965D4" w:rsidP="00E965D4">
      <w:pPr>
        <w:spacing w:after="0" w:line="240" w:lineRule="auto"/>
        <w:jc w:val="both"/>
        <w:rPr>
          <w:rFonts w:ascii="Times New Roman" w:hAnsi="Times New Roman"/>
          <w:color w:val="0070C0"/>
          <w:sz w:val="16"/>
          <w:szCs w:val="16"/>
        </w:rPr>
      </w:pPr>
    </w:p>
    <w:p w14:paraId="60463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на вооружение приняли мину ВОМИЗА-100 (воздушная мина заграждения с зарядом 100 кг), но потребовались дополнительные войсковые испытания, которые организовали на ЧМ и в качестве носителя использовали ТБ-1 9-й авиабригады. Лунин и Синеокий сбросили 8 мин (561,14).</w:t>
      </w:r>
    </w:p>
    <w:p w14:paraId="009A8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C3A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мину ВОМИЗА-100 приняли на вооружение под названием МАВ-1 (3224,15).</w:t>
      </w:r>
    </w:p>
    <w:p w14:paraId="6607D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CC3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 г. в торпедном отряде, который с июля 1931 занимался испытаниями нового оружия под командованием летчика Морозова на аэродроме в Каче, проводил испытания мин и торпед,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7451BD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7EE3B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01637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5F189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4E7BBE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4B74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в Москве состоялось совещание, на котором подвели итоги испытаний высокой торпеды 10/15, которые проходили в 1931. В декабре 1931 комиссия, назначенная Я.Алкснисом во главе с Нач. Воздушных сил ЧМ В.К.Лавровым подвела итоги войсковых испытаний высокой торпеды 10/15, которые шли с первой пробы 19 сентября 1931, когда в ходе имитации атаки ТБ-1 на л Парижская Коммуна, торпеду сбросили с 2000 м и она прошла мимо от цели до 14 ноября 1931. В октябре 1931 учебную атаку провела пара ТБ-1 во время учений флота. Сбросили 2 торпеды по буксируемому щиту в 15 милях от Херсонесского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Полностью программу выполнить не удалось из-за отсутствия ТБ-1 в поплавковом варианте, специального прицела и мнущихся зарядных отделений. Пришли к выводу, что "...система сбрасывания торпед ВВС с больших высот себя оправдала, за исключением вопросов, требующих дополнительных испытаний...". Рекомендовали временно принять торпеду ВВС 10/15 на вооружение, но провести дополнительные испытания системы начиная с 1 апреля 1932. Фактически приступили к испытаниям с 5 мая 1932 (1966,10).</w:t>
      </w:r>
    </w:p>
    <w:p w14:paraId="75CBF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323E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решением Реввоенсовета СССР ВОМИЗу-100 официально приняли на вооружение под названием МАВ-1, но временно - до поступления более мощной мины ВОМИ- ЗА-250, также создававшейся Остехбюро. В 1932 г. Остехбюро устранило ряд недостатков своей конструкции. Разработали новое крепление зарядной камеры. Для уже переделанных ранее мин предложили заливку под днище специальной мастики. Вместо сахара в разъединителе стали использовать таблетки йодистого калия. Усилили ряд элементов. Подготовили новый вариант якоря. В декабре 1932 г. на всю страну имелось всего четыре МАВ-1 - они находились на Черноморском флоте. Правда, на Балтике имелось еще 28 штук, но некомплектных или неисправных: две боевых получили смещение зарядной камеры (очевидно, в ходе испытаний в 1931 г.), восемь учебных (без тротила) и 18 боевых не были укомплектованы до конца. Планом предусматривалось изготовление 130 мин МАВ-1, а в марте 1932 г. добавили к этому количеству еще 200, доведя план до 330 авиамин (12002).</w:t>
      </w:r>
    </w:p>
    <w:p w14:paraId="1E84D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9A0DD3"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марта 1932 г. в Севастополе проводились испытания мин и торпед с ТБ-1, а в сентябре они перешли в стадию войсковых, когда тор</w:t>
      </w:r>
      <w:r w:rsidRPr="00142305">
        <w:rPr>
          <w:rFonts w:ascii="Times New Roman" w:hAnsi="Times New Roman"/>
          <w:color w:val="0070C0"/>
          <w:sz w:val="16"/>
          <w:szCs w:val="16"/>
        </w:rPr>
        <w:softHyphen/>
        <w:t>педами попробовали поражать различные морские цели. Главной являлся линкор «Парижская Коммуна», но сбра</w:t>
      </w:r>
      <w:r w:rsidRPr="00142305">
        <w:rPr>
          <w:rFonts w:ascii="Times New Roman" w:hAnsi="Times New Roman"/>
          <w:color w:val="0070C0"/>
          <w:sz w:val="16"/>
          <w:szCs w:val="16"/>
        </w:rPr>
        <w:softHyphen/>
        <w:t>сывали торпеду так, чтобы она прошла заведомо мимо корабля. Это объяснялось тем, что не имелось «мнущих</w:t>
      </w:r>
      <w:r w:rsidRPr="00142305">
        <w:rPr>
          <w:rFonts w:ascii="Times New Roman" w:hAnsi="Times New Roman"/>
          <w:color w:val="0070C0"/>
          <w:sz w:val="16"/>
          <w:szCs w:val="16"/>
        </w:rPr>
        <w:softHyphen/>
        <w:t>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из-за того, что трудно было учесть снос парашютов ветром, но при этом механизмы торпед сработали исправно. Всего до 14 ноября выполни</w:t>
      </w:r>
      <w:r w:rsidRPr="00142305">
        <w:rPr>
          <w:rFonts w:ascii="Times New Roman" w:hAnsi="Times New Roman"/>
          <w:color w:val="0070C0"/>
          <w:sz w:val="16"/>
          <w:szCs w:val="16"/>
        </w:rPr>
        <w:softHyphen/>
        <w:t>ли девять сбрасываний. В первую очередь всех интересо</w:t>
      </w:r>
      <w:r w:rsidRPr="00142305">
        <w:rPr>
          <w:rFonts w:ascii="Times New Roman" w:hAnsi="Times New Roman"/>
          <w:color w:val="0070C0"/>
          <w:sz w:val="16"/>
          <w:szCs w:val="16"/>
        </w:rPr>
        <w:softHyphen/>
        <w:t>вала баллистика системы, и часто сбрасывали «болван</w:t>
      </w:r>
      <w:r w:rsidRPr="00142305">
        <w:rPr>
          <w:rFonts w:ascii="Times New Roman" w:hAnsi="Times New Roman"/>
          <w:color w:val="0070C0"/>
          <w:sz w:val="16"/>
          <w:szCs w:val="16"/>
        </w:rPr>
        <w:softHyphen/>
        <w:t>ки» - габаритно-весовые макеты без «начинки» (25004).</w:t>
      </w:r>
    </w:p>
    <w:p w14:paraId="5B11335D" w14:textId="77777777" w:rsidR="00E965D4" w:rsidRPr="00142305" w:rsidRDefault="00E965D4" w:rsidP="00E965D4">
      <w:pPr>
        <w:spacing w:after="0" w:line="240" w:lineRule="auto"/>
        <w:jc w:val="both"/>
        <w:rPr>
          <w:rFonts w:ascii="Times New Roman" w:hAnsi="Times New Roman"/>
          <w:color w:val="0070C0"/>
          <w:sz w:val="16"/>
          <w:szCs w:val="16"/>
        </w:rPr>
      </w:pPr>
    </w:p>
    <w:p w14:paraId="6A638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на завод № 125 назначили первого директора. Им стал в А.Д.Люшинский, кадровый "красный командир" с опытом организационной работы. Руководил он недолго - уже в октябре того же года его сменил В. Г. Ирьянов. В 1930 г. Ирьянова мобилизовли на работу в военной промышленности и назначили на должность начальника строительства авиационного завода № 18 в г. Воронеже. Видимо, он проявил себя сильным организатором. Во всяком случае, более сильным, чем Люшинский, и его назначили в октябре 1932 г. директором и начальником строительства завода №125 в Иркутске, где дела шли неважно.</w:t>
      </w:r>
    </w:p>
    <w:p w14:paraId="06CFF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проекту завод №125 не отличался грандиозными масштабами, присущими стройкам в Казани и Новосибирске. В документах он назывался "среднесерийным". Но это отнюдь не означало простоту его возведения.</w:t>
      </w:r>
    </w:p>
    <w:p w14:paraId="744708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началось в тяжелейших условиях. Рабочую силу вербовали в основном в европейской части: в Московской, Ярославской и Вологодской губерниях. Спасаясь от свирепствовавшего голода, крестьяне охотно вливались в ряды строителей, но, прибыв на место и пожив зимой в землянках, через пару месяцев бесследно исчезали в Строительство основного лесном краю. В октябре 1932 г. на строительстве работали 109 землекопов (потребность оценивалась в 214 человек), 30 арматурщиков (нужны были 73), 27 бетонщиков (потребность - 99 человек), 20 каменщиков (потребность - 313), 145 плотников (потребность - 505), 13 столяров (потребность - 52), 5 маляров (потребность - 41). Лишь чернорабочих было заметно больше, чем надо - 270 человек против 198 по расписанию работ.</w:t>
      </w:r>
    </w:p>
    <w:p w14:paraId="64235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велись практически полностью ручным способом. Спасала лишь близость железной дороги и Ангары, по которым подвозились материалы. Но поставки материалов шли с такой неритмичностью, что стройку постоянно лихорадило (12037).</w:t>
      </w:r>
    </w:p>
    <w:p w14:paraId="3BC72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6B8C9C" w14:textId="77777777" w:rsidR="003B4D08" w:rsidRPr="00E93F40" w:rsidRDefault="003B4D0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Центральный Комитет ВКП(б) и Центральный Комитет ВЛКСМ объявляет мобилизацию для строительства будущего города Комсомольск на Амуре. 10 мая 1932 года к селу Пермскому на пароходах «Колумб» и «Коминтерн» прибыло около 900 первых строителей. К месту будущего авиационного завода, к нанайскому стойбищу Дземги на пароходе «Капитан Карпенко» прибыло 147 человек.</w:t>
      </w:r>
    </w:p>
    <w:p w14:paraId="75FE1A67" w14:textId="77777777" w:rsidR="003B4D08" w:rsidRPr="00E93F40" w:rsidRDefault="003B4D0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города начиналось с возведения двух заводов: судостроительного и авиационного. 12 июня 1933 г. в торжественной обстановке был заложен первый камень судостроительного завода. Этот день стали считать днем рождения города. Спустя всего 5 лет (!!!), 12 июня 1938 года было заложено первое судно, а в ноябре на воду сошел корабль.</w:t>
      </w:r>
    </w:p>
    <w:p w14:paraId="3047EA8A" w14:textId="77777777" w:rsidR="003B4D08" w:rsidRPr="00E93F40" w:rsidRDefault="003B4D0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Несколько позже, 18 июля 1934 г. состоялась закладка еще одного индустриального гиганта -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w:t>
      </w:r>
      <w:r w:rsidRPr="00E93F40">
        <w:rPr>
          <w:rFonts w:ascii="Times New Roman" w:hAnsi="Times New Roman"/>
          <w:color w:val="000000" w:themeColor="text1"/>
          <w:sz w:val="16"/>
          <w:szCs w:val="16"/>
        </w:rPr>
        <w:br/>
        <w:t>В тридцатые годы в городе было начато строительство заводов «Амурсталь» и «Амурлитмаш», завода по производству свинцовых стартовых аккумуляторов и др. Большинство из них дали первую продукцию в суровом 1942 г. и внесли весомый вклад в разгром немецко-фашистских захватчиков и их союзников на западном фронте, японских милитаристов на Дальнем Востоке (21176).</w:t>
      </w:r>
    </w:p>
    <w:p w14:paraId="51FD7331" w14:textId="77777777" w:rsidR="003B4D08" w:rsidRPr="00E93F40" w:rsidRDefault="003B4D08" w:rsidP="00E93F40">
      <w:pPr>
        <w:spacing w:after="0" w:line="240" w:lineRule="auto"/>
        <w:jc w:val="both"/>
        <w:rPr>
          <w:rFonts w:ascii="Times New Roman" w:eastAsia="TimesNewRomanPSMT" w:hAnsi="Times New Roman"/>
          <w:color w:val="000000" w:themeColor="text1"/>
          <w:sz w:val="16"/>
          <w:szCs w:val="16"/>
        </w:rPr>
      </w:pPr>
    </w:p>
    <w:p w14:paraId="632F2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2342B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Гипроавиа возник в результате слияния двух групп:</w:t>
      </w:r>
    </w:p>
    <w:p w14:paraId="52924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самолетной группы Гипроспецмета</w:t>
      </w:r>
    </w:p>
    <w:p w14:paraId="504BAE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группы сотрудников ВАО.</w:t>
      </w:r>
    </w:p>
    <w:p w14:paraId="026BA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7663E8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71C963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5606D2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5EB896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635A48" w14:textId="77777777" w:rsidR="001E3FFC" w:rsidRPr="00E93F40" w:rsidRDefault="001E3FF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для реконструкции и развития авиационных заводов страны из состава Московского отделения «Гипроспецмета» выделена Государственная контора «Авиапроект». По приказу НКТП № 487 от 9.07.1931 г. она реорганизована в проектный институт «Гипроавиа». По пр. НКОП № 011с от 28.01.1937г. «Гипроавиа» переименован в 1-й ГПИ. В 02.1937г. - в ведении 1ГУ НКОП. По приказам НКАП № 174 от 6.05.1941 г. и от 22.07.1941 г. ГПИ-1 переименован в «Гипроавиапром» (1-й Государственный проектный институт (ГПИ-1) НКОП, НКАП, Государственная контора «Авиапроект» НКТП, Государственный институт по проектированию заводов авиационной промышленности «Гипроавиа» НКТП, НКОП, Государственный институт по проектированию заводов авиационной промышленности «Гипроавиапром» НКАП, МАП, Ордена Трудового Красного Знамени Государственный проектно-конструкторский я научно-исследовательский институт авиационной промышленности («ГипроНИИавиапром») МАП, п/я 3908, Г-4617, АООТ, ОАО, корпорация «ГипроНИИавиапром» /г. Москва ул. Володарского, 20 (1932-41 г.); ул. Нижняя Масловка (1941 г.); ул. Верхняя Масловка, 90 (1945г.-)/ /127083 г. Москва ул. Верхняя Масловка, 20 тел. 612-92-03/).</w:t>
      </w:r>
    </w:p>
    <w:p w14:paraId="008B59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00116 от 28.05.1937г. институту поручено к 1.07.1937г. закончить проект расширения завода № 1; пр. № 300с от 7.08.1938г. срок окончания проекта перенесен на 15.08.1938г., пр. № 418сс от 4.11.1938г. проектирование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7CE7A3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1937г. организован Юго-Восточный филиал института в Воронеже.</w:t>
      </w:r>
    </w:p>
    <w:p w14:paraId="5D86B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1941 г. институт перебазирован в новые помещения на Нижней Масловке. Но после начала войны он в течение 10 дней эвакуирован в Куйбышев, Саратов, Оренбург, Янгиюль, Горький, Казань, Уфу, Ульяновск, Новосибирск, Омск, Каменск-Уральский, Свердловск, Нижний Тагил, Верхний Нейвинск, Сарапул, Рыбинск, Сызрань, Андижан, Ташкент, Пермь, Барнаул, Павлово. В 1942-44г. работники были реэвакуированы в Москву.</w:t>
      </w:r>
    </w:p>
    <w:p w14:paraId="13C75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05.1945г. институт переехал в новое здание (в котором находился и в 2000-е г.) по ул. В. Масловка, 90.</w:t>
      </w:r>
    </w:p>
    <w:p w14:paraId="612FFE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1947г. преобразовано в Куйбышевский филиал; СПБ-2; Сибирский филиал, созданный в 1951 г.; СПБ-6 в Казани, созданное 8.12.1941 г., 18.10.1951 г. преобразовано в Казанский филиал; Омский филиал, организованный 17.10.1959г.; Уфимский филиал, организованый 18.02.1975г.; СПБ-11 в Ульяновске, созданное в 1976г.</w:t>
      </w:r>
    </w:p>
    <w:p w14:paraId="093CE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имел производственную базу в Химках, в 1967г. она передана в ГС ПКБ.</w:t>
      </w:r>
    </w:p>
    <w:p w14:paraId="0164B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1957г. в институте образована группа по подготовке проекта стартовой и технической позиции создаваемой системы ПРО. В 1958г. эта группа преобразована в ОКБ наземного оборудования. В 1950-х г. создано оборудование технической позиции противоракеты В-1000 системы ПРО «А», в 1958г. группа «Гипроавиапрома» по подготовке проекта стартовой и технической позиций системы ПРО преобразована в ОКБ наземного оборудования. Далее выделилось в самостоятельное ОКБ ГАП.</w:t>
      </w:r>
    </w:p>
    <w:p w14:paraId="0F5CB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Разработаны проекты: для предприятий АП: сборочный корпус завода № 22 (1930-е), аэродинамическая труба Т-128 ЦАГИ, реконструкция здания КОСОС (1950-е), корпус сборочного цеха для Ту-104 завода № 135 (1955г.), здание ЛИК и производственно-лабораторный корпус № 9 для ОКБ-156, УАПК, корпус № 6 СибНИА (1960-70-е), комплекс корпусов для испытаний «Бурана» в НПО «Молния», комплекс Ц-110 в ЦИАМ, МИС завода № 19, корпус № 2 для ВАЗа, малярный корпус для Куйбышевского авиазавода, корпус № 206 для КАПО (1970-80-е), чугунолитейный корпус ВСМПО, цех точного литья ММЗ «Салют», литейный цех УМПО, сборочный корпус для ЛАПИЩ (1990-е); большое количество объектов гражданского строительства, в т.ч. Лыжного трамплина на Ленинских горах в Москве, реконструкции Пермского театра оперы и балета.</w:t>
      </w:r>
    </w:p>
    <w:p w14:paraId="720A3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находился в ведении: НКАП (-1946г.), МАП (1946-53; 1953-57; 1965-91 г.), МОП (1953г.), ГКАТ (1957-65г.). По приказу ГКАТ от 14.12.1964г. «Гипроавиапром» реорганизован в «ГипроНИИавиапром» (с 1981 г. - ордена Трудового Красного Знамени). Имел наименования: п/я 3908 (1960-66г.), Г-4617 (1966-89г.).</w:t>
      </w:r>
    </w:p>
    <w:p w14:paraId="0D0BA9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1991 г. Ордена Трудового Красного Знамени ГипроНИИавиапром - в ведении Министерства промышленности. По Указу Президента РФ от 1.07.1991 г. предприятие 30.03.1993г. акционировано и преобразовано в АООТ, с 28.05.1996г. - ОАО «ГипроНИИавиапром». В 2001 г. - корпорация «ГипроНИИавиапром». По решению правительства № 22-р от 9.01.2004г. и Указу Президента РФ № 1009 от 4.08.2004г. вошло в число стратегических оборонных предприятий. В соответствии с Указом Президента РФ № 1052 от 10.07.2008г. ОАО вошло в перечень предприятий, в отношении которых ГК «Ростехнология» осуществляет единую государственную политику по созданию техники военного и гражданского назначения.</w:t>
      </w:r>
    </w:p>
    <w:p w14:paraId="13762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(2004г.): НИР, разработка проектов реконструкции предприятий, проекты газотурбинных электростанций, газоперекачивающих станций, глушителей шума.</w:t>
      </w:r>
    </w:p>
    <w:p w14:paraId="36C40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(1936-37г.)- Н.П. Теплов, (06.1937; -12.1937-23.05.1938г.)- В.Н. Крицман(Кришшй); и.о. (11.1937; 23.05-07.1938г.-)- С.В. Аврутин; (29.07-12.1938-; 1940 г.)- Г.И. Байдаков, (1939г.-)- И.И. Штейнберг, (1940 г.)- Г.В. Вазирян. Директор (1955-71 г.)- М.М. Тимохин, (1972-93г.)- И. Шандура. Гендиректор (1990-е)- Николаев, (-1998- 2005г.-)- В.М. Логинов, (-07.2006-09г.-)- С.Ю. Давыдкин.</w:t>
      </w:r>
    </w:p>
    <w:p w14:paraId="192F61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зам. гендиректора (2001 г.)- А.Н. Панюков. Зам. директора (06.1937г.)- С.В. Аврутин. Зам. гендиректора</w:t>
      </w:r>
    </w:p>
    <w:p w14:paraId="49BDE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(-2002-14.12.2005г.)- С.Ю. Давыдкин.</w:t>
      </w:r>
    </w:p>
    <w:p w14:paraId="15F174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технический (2001 г.)- А.Н. Панюков; по экономике и финансам (2001 г.)- С.Ю. Давыдкин; по поставке оборудования (2001 г.)- С.Ф. Русанов.</w:t>
      </w:r>
      <w:r w:rsidRPr="00E93F40">
        <w:rPr>
          <w:rFonts w:ascii="Times New Roman" w:hAnsi="Times New Roman"/>
          <w:color w:val="000000" w:themeColor="text1"/>
          <w:sz w:val="16"/>
          <w:szCs w:val="16"/>
          <w:vertAlign w:val="superscript"/>
        </w:rPr>
        <w:t>69</w:t>
      </w:r>
    </w:p>
    <w:p w14:paraId="6B079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(06.1937г.)- С.В. Аврутин.</w:t>
      </w:r>
    </w:p>
    <w:p w14:paraId="1CBB13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(2004г.)- И. Нечай.</w:t>
      </w:r>
    </w:p>
    <w:p w14:paraId="4FEE83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инженеры проектов: (1938г.)- И.Н. Кенебас (завод № 124), (06.1938г.)- Рубштейн (завод № 19), (7.08.1938г.-)- Д.Г. Зальцман («Саркомбайн»), (29.09.1938г.-)- М.М. Фадеев (№ 377), (07.1939г.)- Бренгауз (№ 600), (1950-е)- Н.А. Шапиро (техническая позиция В-1000), (2000-е)- В.А. Звягинцев, П. Дунаев.</w:t>
      </w:r>
    </w:p>
    <w:p w14:paraId="0C461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генпланов (09.1938г.)- Демидов; технологического (-09.1938г.)- М.П. Зюзин; (05.1937г.)- Н.С. Берхен.</w:t>
      </w:r>
    </w:p>
    <w:p w14:paraId="774B0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секторов: строительного (06.1938г.)- Бибер.</w:t>
      </w:r>
    </w:p>
    <w:p w14:paraId="15414E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Руководитель СПБ: (1946г.)- М.А. Чикин.</w:t>
      </w:r>
    </w:p>
    <w:p w14:paraId="057C7B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групп: водоснабжения (09.1938г.)- Барабанов; (1935г.-)- Е.А. Иванов.</w:t>
      </w:r>
    </w:p>
    <w:p w14:paraId="139FE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Архитекторы: (09.1938г.)- Курочкин (№ 377).</w:t>
      </w:r>
    </w:p>
    <w:p w14:paraId="7902FC06" w14:textId="77777777" w:rsidR="001E3FFC" w:rsidRPr="00E93F40" w:rsidRDefault="001E3FF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Государственный институт по проектированию специальных металлургических заводов («Гипроспецмет»)</w:t>
      </w:r>
    </w:p>
    <w:p w14:paraId="028B7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03.1931 г. из состава Московского отделения института выделена самостоятельная Государственная контора «Авиапроект» (11982).</w:t>
      </w:r>
    </w:p>
    <w:p w14:paraId="3AA74BA9" w14:textId="77777777" w:rsidR="001E3FFC" w:rsidRPr="00E93F40" w:rsidRDefault="001E3FFC" w:rsidP="00E93F40">
      <w:pPr>
        <w:autoSpaceDE w:val="0"/>
        <w:autoSpaceDN w:val="0"/>
        <w:adjustRightInd w:val="0"/>
        <w:spacing w:after="0" w:line="240" w:lineRule="auto"/>
        <w:jc w:val="both"/>
        <w:rPr>
          <w:rFonts w:ascii="Times New Roman" w:hAnsi="Times New Roman"/>
          <w:color w:val="000000" w:themeColor="text1"/>
          <w:sz w:val="16"/>
          <w:szCs w:val="16"/>
        </w:rPr>
      </w:pPr>
    </w:p>
    <w:p w14:paraId="3F0E7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С.П.К. готовил проект постановления пленума ЦС ОХА об организации работ по ракетной технике (Там же, № 48(3), л. 45) (10676).</w:t>
      </w:r>
    </w:p>
    <w:p w14:paraId="29242D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47F4F0"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Тухачевский по</w:t>
      </w:r>
      <w:r w:rsidRPr="00E93F40">
        <w:rPr>
          <w:rFonts w:ascii="Times New Roman" w:hAnsi="Times New Roman"/>
          <w:color w:val="000000" w:themeColor="text1"/>
          <w:sz w:val="16"/>
          <w:szCs w:val="16"/>
        </w:rPr>
        <w:softHyphen/>
        <w:t>лучил письмо от руководителей Лен- ГИРД. Они предложили создать институт на базе своей группы. Письмо подписали председатель ЛенГИРД инженер В. Разумов, члены президиума Н. Рынин и Я. Перельман.</w:t>
      </w:r>
    </w:p>
    <w:p w14:paraId="608C63B7"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Руководство ГДЛ еще в 1931 г. обратилось в Реввоенсовет СССР с предложением о реорганизации лаборатории в научно</w:t>
      </w:r>
      <w:r w:rsidRPr="00E93F40">
        <w:rPr>
          <w:rFonts w:ascii="Times New Roman" w:hAnsi="Times New Roman"/>
          <w:color w:val="000000" w:themeColor="text1"/>
          <w:sz w:val="16"/>
          <w:szCs w:val="16"/>
        </w:rPr>
        <w:softHyphen/>
        <w:t>исследовательский институт (23559).</w:t>
      </w:r>
    </w:p>
    <w:p w14:paraId="04DA5D18" w14:textId="77777777" w:rsidR="001206CF" w:rsidRPr="00E93F40" w:rsidRDefault="001206CF" w:rsidP="00E93F40">
      <w:pPr>
        <w:spacing w:after="0" w:line="240" w:lineRule="auto"/>
        <w:jc w:val="both"/>
        <w:rPr>
          <w:rFonts w:ascii="Times New Roman" w:hAnsi="Times New Roman"/>
          <w:color w:val="000000" w:themeColor="text1"/>
          <w:sz w:val="16"/>
          <w:szCs w:val="16"/>
        </w:rPr>
      </w:pPr>
    </w:p>
    <w:p w14:paraId="791933C2" w14:textId="3A51E65C" w:rsidR="00871EDF" w:rsidRPr="00E93F40" w:rsidRDefault="00871ED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докладывая программу работ ГИРД</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совещании у началь</w:t>
      </w:r>
      <w:r w:rsidRPr="00E93F40">
        <w:rPr>
          <w:rFonts w:ascii="Times New Roman" w:hAnsi="Times New Roman"/>
          <w:color w:val="000000" w:themeColor="text1"/>
          <w:sz w:val="16"/>
          <w:szCs w:val="16"/>
        </w:rPr>
        <w:softHyphen/>
        <w:t>ника вооружений Рабоче-крестьянс</w:t>
      </w:r>
      <w:r w:rsidRPr="00E93F40">
        <w:rPr>
          <w:rFonts w:ascii="Times New Roman" w:hAnsi="Times New Roman"/>
          <w:color w:val="000000" w:themeColor="text1"/>
          <w:sz w:val="16"/>
          <w:szCs w:val="16"/>
        </w:rPr>
        <w:softHyphen/>
        <w:t>кой Красной армии М. Н. Тухачевского, С. П. Королев получил одобрение. Было решено создать специальный научно</w:t>
      </w:r>
      <w:r w:rsidRPr="00E93F40">
        <w:rPr>
          <w:rFonts w:ascii="Times New Roman" w:hAnsi="Times New Roman"/>
          <w:color w:val="000000" w:themeColor="text1"/>
          <w:sz w:val="16"/>
          <w:szCs w:val="16"/>
        </w:rPr>
        <w:softHyphen/>
        <w:t>исследовательский институт по этой проблематике. С этого времени разра</w:t>
      </w:r>
      <w:r w:rsidRPr="00E93F40">
        <w:rPr>
          <w:rFonts w:ascii="Times New Roman" w:hAnsi="Times New Roman"/>
          <w:color w:val="000000" w:themeColor="text1"/>
          <w:sz w:val="16"/>
          <w:szCs w:val="16"/>
        </w:rPr>
        <w:softHyphen/>
        <w:t>ботка ракетного оружия стала главной целью жизни Сергея Павловича: он по</w:t>
      </w:r>
      <w:r w:rsidRPr="00E93F40">
        <w:rPr>
          <w:rFonts w:ascii="Times New Roman" w:hAnsi="Times New Roman"/>
          <w:color w:val="000000" w:themeColor="text1"/>
          <w:sz w:val="16"/>
          <w:szCs w:val="16"/>
        </w:rPr>
        <w:softHyphen/>
        <w:t>нимал, что укрепление обороноспособ</w:t>
      </w:r>
      <w:r w:rsidRPr="00E93F40">
        <w:rPr>
          <w:rFonts w:ascii="Times New Roman" w:hAnsi="Times New Roman"/>
          <w:color w:val="000000" w:themeColor="text1"/>
          <w:sz w:val="16"/>
          <w:szCs w:val="16"/>
        </w:rPr>
        <w:softHyphen/>
        <w:t>ности страны - непременное условие для выполнения программ использова</w:t>
      </w:r>
      <w:r w:rsidRPr="00E93F40">
        <w:rPr>
          <w:rFonts w:ascii="Times New Roman" w:hAnsi="Times New Roman"/>
          <w:color w:val="000000" w:themeColor="text1"/>
          <w:sz w:val="16"/>
          <w:szCs w:val="16"/>
        </w:rPr>
        <w:softHyphen/>
        <w:t>ния ракетной техники в мирных целях (23488).</w:t>
      </w:r>
    </w:p>
    <w:p w14:paraId="56E3928F" w14:textId="77777777" w:rsidR="00871EDF" w:rsidRPr="00E93F40" w:rsidRDefault="00871EDF" w:rsidP="00E93F40">
      <w:pPr>
        <w:spacing w:after="0" w:line="240" w:lineRule="auto"/>
        <w:jc w:val="both"/>
        <w:rPr>
          <w:rFonts w:ascii="Times New Roman" w:hAnsi="Times New Roman"/>
          <w:color w:val="000000" w:themeColor="text1"/>
          <w:sz w:val="16"/>
          <w:szCs w:val="16"/>
        </w:rPr>
      </w:pPr>
    </w:p>
    <w:p w14:paraId="6C0210E5"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64F057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ECE5B49" w14:textId="77777777" w:rsidR="003B4D08" w:rsidRPr="00E93F40" w:rsidRDefault="003B4D0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марте 1932 г. Н. А. Доровлевым было направлено письмо начальнику АНИИ В. И. Баринова, в котором были подведены итоги работы группы, начиная со времени ее образования. Указывая на результаты работы с 81-мм минометом Стокса-Брандта, Н. А. Доровлев сообщал следующее: «Опытные стрельбы как с трофейным минометом, так и с модернизированным трофейным минометом показали, что найдены правильные пути для достижения намеченной цели: создание меткого, простого и легкого по весу орудия сопровождения пехоты. Следует ожидать, что стрельбы из вновь изготовляемых образцов минами улучшенных баллистических качеств (заказ сделан) дадут возможность внести те или иные изменения в конструкцию системы и мины, благодаря которым мы сможем получить более или менее совершенный образец».205 Кроме этого, автором подчеркивалась необходимость приобретения 1-2 образцов минометов Стокса-Брандта с боеприпасами к ним для лучшего изучения зарубежного опыта по производству гладкоствольных образцов артиллерии сопровождения пехоты.206 К этому вопросу Н. А. Доровлев возвращался неоднократно. В июле 1932 г., в разгар работы по постановке на производство образцов АНИИ на заводе «Красный Октябрь», в рапорте на имя начальника НТК АУ он указывал на неправильный подход к решению многих задач в связи с игнорированием возможности использования зарубежного опыта: «Группа работников завода «Красный Октябрь» вынуждена добиваться того, чтоб проектируемые образцы были по крайней мере такими же, каковые уже имеются заграницей. работа, проводимая самостоятельно без использования зарубежного опыта, отнимает большое количество времени. Необходимо совершенное изменение в методах работы (использование зарубежного опыта) и количественное усиление состава работников».207 В апреле 1932 г. Н. А. Доровлевым была направлена руководству АНИИ рукопись монографии «Минометы», к работе над которой он приступил по заданию АУ РККА. Она включала в себя 127 листов, 69 рисунков, 4 графика и 20 таблиц.208 Монография была издана в 1933 г. и стала первым специализированным изданием в СССР, в котором были собраны и систематизированы имевшиеся к этому времени данные о системах минометов. Подводя итоги работы возглавляемого им подразделения за 1932 г., Н. А. Доровлев указывал на недостаточное выполнение годового плана. В этот период предполагалось спроектировать, изготовить и провести испытания опытных образцов орудий сопровождения пехоты и усиления, а также боеприпасов к ним, после внесения необходимых изменений подготовить их к проведению войсковых испытаний и, наконец, принятию на вооружение. Кроме этого, планировалось провести ряд НИР с целью выработки методов и способов проектирования гладкоствольных и газодинамических систем и оперенных снарядов к ним. Главной причиной недостаточного выполнения годового плана по опытному производству, по мнению Н. А. Доровлева, было отсутствие полноценной производственной базы, в связи с чем предлагалось организовать на заводах «минометной» кооперации специальные отделы, которые имели бы плановые производственные ресурсы для выполнения опытных и серийных заказов на минометы и боеприпасы к ним.209 В полном объеме отделом были выполнены планы по НИР, причем осуществлялись они весьма немногочисленным коллективом, в котором трудились 10 человек: начальник отдела, его помощник (он же начальник опытной части), один старший конструктор, три артинженера, в числе которых были опытные специалисты А. А. Соколов и В. Е. Слухоцкий, работавшие по совместительству, два артинструктора – производители опытов, один гражданский конструктор и одна вычислительница.210 (20074).</w:t>
      </w:r>
    </w:p>
    <w:p w14:paraId="2D90F4DC" w14:textId="77777777" w:rsidR="003B4D08" w:rsidRPr="00E93F40" w:rsidRDefault="003B4D08" w:rsidP="00E93F40">
      <w:pPr>
        <w:spacing w:after="0" w:line="240" w:lineRule="auto"/>
        <w:jc w:val="both"/>
        <w:rPr>
          <w:rFonts w:ascii="Times New Roman" w:hAnsi="Times New Roman"/>
          <w:color w:val="000000" w:themeColor="text1"/>
          <w:sz w:val="16"/>
          <w:szCs w:val="16"/>
        </w:rPr>
      </w:pPr>
    </w:p>
    <w:p w14:paraId="4090C1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года пленумом АК ГАУ была принята на вооружение под названием "45-мм противотанковая пушка обр. 1932 г." (заводской индекс 19К) Г.Беринга (3848,51), переделка 37-мм противотанковой пушки обр. 1931 года (Рейнметалл), в которую вставили новую трубу калибра 45 мм и слегка укрепили лафет. Затем конструкторы завода № 8 спроектировали установку 19К в танк, которая получила название "45-мм танковая пушка обр. 1932 г" и заводской индекс 20К. По сравнению с ПС-2 танковая пушка 20К имела ряд преимуществ. Несколько увеличилась бронепробиваемость бронебойными снарядами, резко возрос (с 0,645 кг до 2,15 кг) вес осколочного снаряда, а вес взрывчатого вещества в снаряде - с 22 г до 118 г. Наконец, была увеличена скорострельность за счет введения вертикального клинового полуавтоматического затвора. Отладка полуавтоматики заняла около 4-х лет и первые серии пушек 20К выпускались с 1/4 автоматики, затем с полуавтоматикой на бронебойных и 1/4 автоматики на осколочно-фугасных снарядах, и только в 1935 году стали поступать пушки с отлаженной полуавтоматикой на всех типах боеприпасов. Но пушка 20К имела и недостаток - она не помещалась в маленькие башни Т-26 и БТ-2. Теоретически ее можно было втиснуть в башню, но для этого требовалось ввести уравновешивающий механизм, новый подъемный механизм и оставить в башне лишь одного человека, второй номер не помещался. На это руководство не пошло и танки Т-26 и БТ стали выпускаться с большой башней. Соответственно, Т-26 стал однобашенным. Первый однобашенный танк Т-26 с 45-мм пушкой обр. 1932 года был подан на НИАП 31 мая 1933 года. Пушки 20К несколько раз модифицировали. Так, обр. 1934 года отличался от обр. 1932 года устройством полуавтоматики, противооткатных систем, подъемного механизма и т.д., а в обр. 1938 года был введен электроспуск (3861).</w:t>
      </w:r>
    </w:p>
    <w:p w14:paraId="0C65C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6AC2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в ходе войсковых испытаний в ЛВО аэросаней Остехбюро осуществлялась транспортировка гаубицы весом в 1.5 т (8673,22).</w:t>
      </w:r>
    </w:p>
    <w:p w14:paraId="72BD0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0C3E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штампованная башня для 76 мм противоштурмовой пушки “Гарфорда”, посталенная на БТ-2, подверглась испытаниям возкой и стрельбой. Но из-за большого отката и чрезмерной реакции на погон, испытания пришлось прекратить «вплоть до готовности новой 76-мм танковой пушки укороченного отката». Вместо запланированных на испытаниях 200 выстрелов было сделано лишь 50 (6469, 12).</w:t>
      </w:r>
    </w:p>
    <w:p w14:paraId="45B8E7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EEBE5F" w14:textId="77777777" w:rsidR="003B4D08" w:rsidRPr="00E93F40" w:rsidRDefault="003B4D08" w:rsidP="00E93F40">
      <w:pPr>
        <w:spacing w:after="0" w:line="240" w:lineRule="auto"/>
        <w:jc w:val="both"/>
        <w:rPr>
          <w:rFonts w:ascii="Times New Roman" w:eastAsia="TimesNewRomanPSMT" w:hAnsi="Times New Roman"/>
          <w:color w:val="000000" w:themeColor="text1"/>
          <w:sz w:val="16"/>
          <w:szCs w:val="16"/>
        </w:rPr>
      </w:pPr>
      <w:r w:rsidRPr="00E93F40">
        <w:rPr>
          <w:rFonts w:ascii="Times New Roman" w:hAnsi="Times New Roman"/>
          <w:color w:val="000000" w:themeColor="text1"/>
          <w:sz w:val="16"/>
          <w:szCs w:val="16"/>
        </w:rPr>
        <w:t>В марте 1932 г. особым отделом Объединенного государственного политического управления в НТК ВОХИМУ были направлены материалы по мине дымового курящегося типа к 107-мм миномету Стокса, которая предположительно должна была обеспечивать создание ядовито-дымного облака в районе расположения противника на дальности и с зарядами, принятыми для данной системы. НТК ВОХИМУ было направлено заключение, в котором проект ТТТ к конструкции мины в целом был признан правильным, скорректированы были только несколько характеристик.39 (20074).</w:t>
      </w:r>
    </w:p>
    <w:p w14:paraId="710A33BA" w14:textId="77777777" w:rsidR="003B4D08" w:rsidRPr="00E93F40" w:rsidRDefault="003B4D08" w:rsidP="00E93F40">
      <w:pPr>
        <w:spacing w:after="0" w:line="240" w:lineRule="auto"/>
        <w:jc w:val="both"/>
        <w:rPr>
          <w:rFonts w:ascii="Times New Roman" w:eastAsia="TimesNewRomanPSMT" w:hAnsi="Times New Roman"/>
          <w:color w:val="000000" w:themeColor="text1"/>
          <w:sz w:val="16"/>
          <w:szCs w:val="16"/>
        </w:rPr>
      </w:pPr>
    </w:p>
    <w:p w14:paraId="619181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штампованная башня была Д-38, которая была изготовлена раньше, буду</w:t>
      </w:r>
      <w:r w:rsidRPr="00E93F40">
        <w:rPr>
          <w:rFonts w:ascii="Times New Roman" w:hAnsi="Times New Roman"/>
          <w:color w:val="000000" w:themeColor="text1"/>
          <w:sz w:val="16"/>
          <w:szCs w:val="16"/>
        </w:rPr>
        <w:softHyphen/>
        <w:t>чи установлена на танк БТ-2, выдержала испытания возкой и стрельбой. Но из-за большого отката и чрезмерной реакции на погон испытания были прекращены «вплоть до готовности новой 76-мм танковой пушки обр. 1927 г. укороченного отката». Вместо запланированных на испытаниях 200 выстрелов было сделано лишь 50.</w:t>
      </w:r>
    </w:p>
    <w:p w14:paraId="2623EE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Первые испытания «улучшенной сварной башни», по</w:t>
      </w:r>
      <w:r w:rsidRPr="00E93F40">
        <w:rPr>
          <w:rFonts w:ascii="Times New Roman" w:hAnsi="Times New Roman"/>
          <w:color w:val="000000" w:themeColor="text1"/>
          <w:sz w:val="16"/>
          <w:szCs w:val="16"/>
        </w:rPr>
        <w:softHyphen/>
        <w:t>лучившей индекс А-43, проходили в НИАП с 26 ноября по 5 декабря 1932 г. Башня была установлена на переработан</w:t>
      </w:r>
      <w:r w:rsidRPr="00E93F40">
        <w:rPr>
          <w:rFonts w:ascii="Times New Roman" w:hAnsi="Times New Roman"/>
          <w:color w:val="000000" w:themeColor="text1"/>
          <w:sz w:val="16"/>
          <w:szCs w:val="16"/>
        </w:rPr>
        <w:softHyphen/>
        <w:t>ный корпус танка Т-26. Большой размер круга обслужива</w:t>
      </w:r>
      <w:r w:rsidRPr="00E93F40">
        <w:rPr>
          <w:rFonts w:ascii="Times New Roman" w:hAnsi="Times New Roman"/>
          <w:color w:val="000000" w:themeColor="text1"/>
          <w:sz w:val="16"/>
          <w:szCs w:val="16"/>
        </w:rPr>
        <w:softHyphen/>
        <w:t>ния (погона) башни заставил наращивать длину подба</w:t>
      </w:r>
      <w:r w:rsidRPr="00E93F40">
        <w:rPr>
          <w:rFonts w:ascii="Times New Roman" w:hAnsi="Times New Roman"/>
          <w:color w:val="000000" w:themeColor="text1"/>
          <w:sz w:val="16"/>
          <w:szCs w:val="16"/>
        </w:rPr>
        <w:softHyphen/>
        <w:t>шенной коробки Т-26 назад, что привело к установке кор</w:t>
      </w:r>
      <w:r w:rsidRPr="00E93F40">
        <w:rPr>
          <w:rFonts w:ascii="Times New Roman" w:hAnsi="Times New Roman"/>
          <w:color w:val="000000" w:themeColor="text1"/>
          <w:sz w:val="16"/>
          <w:szCs w:val="16"/>
        </w:rPr>
        <w:softHyphen/>
        <w:t>мового листа наклонно.</w:t>
      </w:r>
    </w:p>
    <w:p w14:paraId="4B71C9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выявили большое количество недостатков как в конструкции башни, так и в конструкции пушки. Неудачная конструкция погона заставляла прикладывать на маховик поворотного механизма чрезмерные усилия, особенно при страгивании башни с места. Полковую пушку ус</w:t>
      </w:r>
      <w:r w:rsidRPr="00E93F40">
        <w:rPr>
          <w:rFonts w:ascii="Times New Roman" w:hAnsi="Times New Roman"/>
          <w:color w:val="000000" w:themeColor="text1"/>
          <w:sz w:val="16"/>
          <w:szCs w:val="16"/>
        </w:rPr>
        <w:softHyphen/>
        <w:t>тановить в башню не удалось из-за чрезмерной длины отка</w:t>
      </w:r>
      <w:r w:rsidRPr="00E93F40">
        <w:rPr>
          <w:rFonts w:ascii="Times New Roman" w:hAnsi="Times New Roman"/>
          <w:color w:val="000000" w:themeColor="text1"/>
          <w:sz w:val="16"/>
          <w:szCs w:val="16"/>
        </w:rPr>
        <w:softHyphen/>
        <w:t>та (до 900 мм). Уменьшить же откат путем применения дуль</w:t>
      </w:r>
      <w:r w:rsidRPr="00E93F40">
        <w:rPr>
          <w:rFonts w:ascii="Times New Roman" w:hAnsi="Times New Roman"/>
          <w:color w:val="000000" w:themeColor="text1"/>
          <w:sz w:val="16"/>
          <w:szCs w:val="16"/>
        </w:rPr>
        <w:softHyphen/>
        <w:t>ного тормоза АНИИ не разрешил. На эти испытания посту</w:t>
      </w:r>
      <w:r w:rsidRPr="00E93F40">
        <w:rPr>
          <w:rFonts w:ascii="Times New Roman" w:hAnsi="Times New Roman"/>
          <w:color w:val="000000" w:themeColor="text1"/>
          <w:sz w:val="16"/>
          <w:szCs w:val="16"/>
        </w:rPr>
        <w:softHyphen/>
        <w:t>пила башня А-43 с пушкой «Гарфорда» обр. 1910 г.</w:t>
      </w:r>
    </w:p>
    <w:p w14:paraId="674A9D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1933 г. в этой же башне была смонтирована уже 76,2-мм пушка КТ обр. 1927/32 гг., представлявшая собой ту же полковую пушку, но с уменьшенной до 500 мм длиной отката. Конструкция башни была немного изме</w:t>
      </w:r>
      <w:r w:rsidRPr="00E93F40">
        <w:rPr>
          <w:rFonts w:ascii="Times New Roman" w:hAnsi="Times New Roman"/>
          <w:color w:val="000000" w:themeColor="text1"/>
          <w:sz w:val="16"/>
          <w:szCs w:val="16"/>
        </w:rPr>
        <w:softHyphen/>
        <w:t>нена, но кардинальных улучшений не последовало. Осо</w:t>
      </w:r>
      <w:r w:rsidRPr="00E93F40">
        <w:rPr>
          <w:rFonts w:ascii="Times New Roman" w:hAnsi="Times New Roman"/>
          <w:color w:val="000000" w:themeColor="text1"/>
          <w:sz w:val="16"/>
          <w:szCs w:val="16"/>
        </w:rPr>
        <w:softHyphen/>
        <w:t>бенно угнетала теснота в боевом отделении.</w:t>
      </w:r>
    </w:p>
    <w:p w14:paraId="34810F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 при производстве выстрела заряжающему (он же пулеметчик) приходилось буквально вжиматься в правую стенку башни и, </w:t>
      </w:r>
      <w:r w:rsidRPr="00E93F40">
        <w:rPr>
          <w:rFonts w:ascii="Times New Roman" w:hAnsi="Times New Roman"/>
          <w:iCs/>
          <w:color w:val="000000" w:themeColor="text1"/>
          <w:sz w:val="16"/>
          <w:szCs w:val="16"/>
        </w:rPr>
        <w:t xml:space="preserve">«прерывая всякую возможность ведения стрельбы из пулемета», </w:t>
      </w:r>
      <w:r w:rsidRPr="00E93F40">
        <w:rPr>
          <w:rFonts w:ascii="Times New Roman" w:hAnsi="Times New Roman"/>
          <w:color w:val="000000" w:themeColor="text1"/>
          <w:sz w:val="16"/>
          <w:szCs w:val="16"/>
        </w:rPr>
        <w:t>прижимать к себе левую руку (что</w:t>
      </w:r>
      <w:r w:rsidRPr="00E93F40">
        <w:rPr>
          <w:rFonts w:ascii="Times New Roman" w:hAnsi="Times New Roman"/>
          <w:color w:val="000000" w:themeColor="text1"/>
          <w:sz w:val="16"/>
          <w:szCs w:val="16"/>
        </w:rPr>
        <w:softHyphen/>
        <w:t>бы его не ударило откатывающейся казенной частью). Механизированный спуск давал частые отказы, а произ</w:t>
      </w:r>
      <w:r w:rsidRPr="00E93F40">
        <w:rPr>
          <w:rFonts w:ascii="Times New Roman" w:hAnsi="Times New Roman"/>
          <w:color w:val="000000" w:themeColor="text1"/>
          <w:sz w:val="16"/>
          <w:szCs w:val="16"/>
        </w:rPr>
        <w:softHyphen/>
        <w:t>водить выстрел со шнура в такой тесноте было невозмож</w:t>
      </w:r>
      <w:r w:rsidRPr="00E93F40">
        <w:rPr>
          <w:rFonts w:ascii="Times New Roman" w:hAnsi="Times New Roman"/>
          <w:color w:val="000000" w:themeColor="text1"/>
          <w:sz w:val="16"/>
          <w:szCs w:val="16"/>
        </w:rPr>
        <w:softHyphen/>
        <w:t>но. Угол обстрела из башенного пулемета был никуда не годным. Обзор — ограниченным. Отсутствие вентиляции могло привести к угару экипажа при ведении огня с за</w:t>
      </w:r>
      <w:r w:rsidRPr="00E93F40">
        <w:rPr>
          <w:rFonts w:ascii="Times New Roman" w:hAnsi="Times New Roman"/>
          <w:color w:val="000000" w:themeColor="text1"/>
          <w:sz w:val="16"/>
          <w:szCs w:val="16"/>
        </w:rPr>
        <w:softHyphen/>
        <w:t>крытыми дверьми башни. По окончании этих испытаний башня была забракована УММ (11417).</w:t>
      </w:r>
    </w:p>
    <w:p w14:paraId="563D7A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8792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эскизный проект мобилизационного танка Т-34, выполненныый ОКМО завода Ворошилова, был передан на недавно организованный опытный завод Спецмаштреста. Там про</w:t>
      </w:r>
      <w:r w:rsidRPr="00E93F40">
        <w:rPr>
          <w:rFonts w:ascii="Times New Roman" w:hAnsi="Times New Roman"/>
          <w:color w:val="000000" w:themeColor="text1"/>
          <w:sz w:val="16"/>
          <w:szCs w:val="16"/>
        </w:rPr>
        <w:softHyphen/>
        <w:t>ект был доработан под общим руководством С. Гинзбурга при участии конструкторов Г. Михайлова и С. Кузина (10733,188).</w:t>
      </w:r>
    </w:p>
    <w:p w14:paraId="5F04CF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0AD322"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1932 г. при непосредственном участии И.С. Бера в Танковом отделе Т2 была создана Опытно-исследовательская секция, а в следующем месяце в КБ Т2К была создана еще одна секция – «Секция исследования по оригиналу БТ, отдельных деталей и механизмов БТ» (25046).</w:t>
      </w:r>
    </w:p>
    <w:p w14:paraId="3D52AFD2" w14:textId="77777777" w:rsidR="00E965D4" w:rsidRPr="00142305" w:rsidRDefault="00E965D4" w:rsidP="00E965D4">
      <w:pPr>
        <w:spacing w:after="0" w:line="240" w:lineRule="auto"/>
        <w:jc w:val="both"/>
        <w:rPr>
          <w:rFonts w:ascii="Times New Roman" w:hAnsi="Times New Roman"/>
          <w:color w:val="0070C0"/>
          <w:sz w:val="16"/>
          <w:szCs w:val="16"/>
        </w:rPr>
      </w:pPr>
    </w:p>
    <w:p w14:paraId="568E6E1C"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марте 1932 года в отчете о работе "курсов ТЕКО"отмечалось, что "основная целеустановка Управления механизации и моторизации РККА в вопросе использования ТЕКО сводилась к тому, чтобы ознакомить командиров РККА с особенностями конструкции немецких боевых машин, изучить методику стрелковой подготовки </w:t>
      </w:r>
      <w:hyperlink r:id="rId75"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иста и приборы управления машинами и огнем в бою, изучить вопросы боевого применения </w:t>
      </w:r>
      <w:hyperlink r:id="rId76"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овых частей и попутно овладеть в совершенстве техникой вождения боевых машин".</w:t>
      </w:r>
    </w:p>
    <w:p w14:paraId="31230F0D"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Изучение чертежей, ознакомление с материальной частью боевых машин и результатами испытаний позволили нашим инженерам практически использовать немецкий, опыт. В советских </w:t>
      </w:r>
      <w:hyperlink r:id="rId77"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ах Т-24, Т-26, Т-28, Т-35 и БТ были применены элементы немецких конструкций: подвеска, сварные корпуса, внутреннее размещение экипажа, стробоскопы и наблюдательные купола. перископические прицелы, спаренные пулеметы, электрооборудование башен средних </w:t>
      </w:r>
      <w:hyperlink r:id="rId78"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ов, радиооборудование, а также технические условия проектирования и постройки.</w:t>
      </w:r>
    </w:p>
    <w:p w14:paraId="29052843"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Много интересного было отмечено и в методике проведения занятий по тактике, вождению машин и стрелковой подготовке. В силу этого немецкая методика обучения </w:t>
      </w:r>
      <w:hyperlink r:id="rId79"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истов стрелковому делу была использована при разработке "Руководства по стрелковой подготовке </w:t>
      </w:r>
      <w:hyperlink r:id="rId80"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овых частей РККА".</w:t>
      </w:r>
    </w:p>
    <w:p w14:paraId="45E65134"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Поэтому в вышеупомянутом отчете делался вывод, что "в целом работа ТЕКО до сих пор еще представляет интерес для РККА как с точки зрения чисто технической, так и с тактической. Новые принципы конструкции машин и в особенности отдельных агрегатов, вооружение и стрелковые приборы, идеально разрешенная проблема </w:t>
      </w:r>
      <w:r w:rsidRPr="00E93F40">
        <w:rPr>
          <w:rFonts w:ascii="Times New Roman" w:hAnsi="Times New Roman"/>
          <w:color w:val="000000" w:themeColor="text1"/>
          <w:sz w:val="16"/>
          <w:szCs w:val="16"/>
        </w:rPr>
        <w:lastRenderedPageBreak/>
        <w:t xml:space="preserve">наблюдения с </w:t>
      </w:r>
      <w:hyperlink r:id="rId81"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 практически разрешенная проблема управления в </w:t>
      </w:r>
      <w:hyperlink r:id="rId82"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е и </w:t>
      </w:r>
      <w:hyperlink r:id="rId83"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овых подразделениях представляет еще собой область, которую необходимо изучать и переносить на нашу базу". Поэтому и в последующие годы военное руководство СССР намеревалось использовать курсы в качестве "исследовательской лаборатории для технического, тактического и методического усовершенствования наших командиров". В 1932 году на шестимесячные курсы было направлено 32 "отборных командира и инженера" (17 инженеров и 15 строевых офицеров). Основной упор, как и в прежние годы, делался на изучение конструкции </w:t>
      </w:r>
      <w:hyperlink r:id="rId84"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 способов управления в бою, техники стрельбы, а также на освоение методики обучения </w:t>
      </w:r>
      <w:hyperlink r:id="rId85"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истов (15652).</w:t>
      </w:r>
    </w:p>
    <w:p w14:paraId="2FC620F1" w14:textId="77777777" w:rsidR="001E3FFC" w:rsidRPr="00E93F40" w:rsidRDefault="001E3FFC" w:rsidP="00E93F40">
      <w:pPr>
        <w:spacing w:after="0" w:line="240" w:lineRule="auto"/>
        <w:jc w:val="both"/>
        <w:rPr>
          <w:rFonts w:ascii="Times New Roman" w:hAnsi="Times New Roman"/>
          <w:color w:val="000000" w:themeColor="text1"/>
          <w:sz w:val="16"/>
          <w:szCs w:val="16"/>
        </w:rPr>
      </w:pPr>
    </w:p>
    <w:p w14:paraId="3C45DA6B"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1932 года в отчете о работе «курсов ТЕКО» отмечалось, что «основная целеустановка Управления механизации и моторизации РККА в вопросе использования ТЕКО сводилась к тому, чтобы ознакомить командиров РККА с особенностями конструкции немецких боевых машин, изучить методику стрелковой подготовки танкиста и приборы управления машинами и огнем в бою, изучить вопросы боевого применения танковых частей и попутно овладеть в совершенстве техникой вождения боевых машин».</w:t>
      </w:r>
    </w:p>
    <w:p w14:paraId="5ED906D9"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Изучение чертежей, ознакомление с материальной частью боевых машин и результатами испытаний позволили нашим инженерам практически использовать немецкий опыт. В советских танках Т-24, Т-26, Т-28, Т-35 и БТ были применены элементы немецких конструкций: подвеска, сварные корпуса, внутреннее размещение экипажа, стробоскопы и наблюдательные купола, перископические прицелы, спаренные пулеметы, электрооборудование башен средних танков, радиооборудование, а также технические условия проектирования и постройки.</w:t>
      </w:r>
    </w:p>
    <w:p w14:paraId="46E893B7"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вышеупомянутом отчете делался вывод, что «в целом работа ТЕКО до сих пор еще представляет интерес для РККА как с точки зрения чисто технической, так и с тактической. Новые принципы конструкции машин и в особенности отдельных агрегатов, вооружение и стрелковые приборы, идеально разрешенная проблема наблюдения с танка, практически разрешенная проблема управления в танке и танковых подразделениях представляет еще собой область, которую необходимо изучать и переносить на нашу базу» (25496).</w:t>
      </w:r>
    </w:p>
    <w:p w14:paraId="6377A7FF" w14:textId="77777777" w:rsidR="00E965D4" w:rsidRPr="00142305" w:rsidRDefault="00E965D4" w:rsidP="00E965D4">
      <w:pPr>
        <w:spacing w:after="0" w:line="240" w:lineRule="auto"/>
        <w:jc w:val="both"/>
        <w:rPr>
          <w:rFonts w:ascii="Times New Roman" w:hAnsi="Times New Roman"/>
          <w:color w:val="0070C0"/>
          <w:sz w:val="16"/>
          <w:szCs w:val="16"/>
        </w:rPr>
      </w:pPr>
    </w:p>
    <w:p w14:paraId="5EEA8A5A" w14:textId="77777777" w:rsidR="001E3FFC" w:rsidRPr="00E93F40" w:rsidRDefault="001E3FFC"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марте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на сборку танкеток Т-27 был ориентирован автосборочный завод ГАЗ, но первую машину изготовили лишь 14 июля. Автосборочный завод, находившийся в Канавино, некоторые авторы исторических исследований отождествляют с заводом «Гудок Октября», который автосборкой не занимался. Тем не менее эта путаница идет с начала 1930-х годов: директор автосборочного завода №1, обеспокоенный тем, что адресованные заводу грузы попадают к соседям, писал смежникам: «… С заводом «Гудок Октября» мы ничего общего не имеем». Причинами срыва плана, по мнению директора Шабаева, была «поставка комплектующих не в ущерб главному конвейеру, хотя разница в деталях, поставляемых на основную сборку и для Т-27, минимальная или ее совсем нет». Имела место кустарщина в изготовлении машин, что вело к срыву конвейерной сборки Т-27, рабочих неоднократно перебрасывали с места на место – с Опытных мастерских на сборочный завод и обратно (15218).</w:t>
      </w:r>
    </w:p>
    <w:p w14:paraId="66CA7F80" w14:textId="77777777" w:rsidR="001E3FFC" w:rsidRPr="00E93F40" w:rsidRDefault="001E3FFC" w:rsidP="00E93F40">
      <w:pPr>
        <w:widowControl w:val="0"/>
        <w:spacing w:after="0" w:line="240" w:lineRule="auto"/>
        <w:jc w:val="both"/>
        <w:rPr>
          <w:rFonts w:ascii="Times New Roman" w:hAnsi="Times New Roman"/>
          <w:color w:val="000000" w:themeColor="text1"/>
          <w:sz w:val="16"/>
          <w:szCs w:val="16"/>
        </w:rPr>
      </w:pPr>
    </w:p>
    <w:p w14:paraId="52A41A82" w14:textId="77777777" w:rsidR="005A2D36" w:rsidRPr="00E93F40" w:rsidRDefault="005A2D3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под руководством главного инженера тракторного отдела В.Я. Слонимского инженером А.А. Крейслером разрабатывается мотор ГАЗ-НАТИ (М-1) для 16-футовых комбайнов, выпускаемых заво</w:t>
      </w:r>
      <w:r w:rsidRPr="00E93F40">
        <w:rPr>
          <w:rFonts w:ascii="Times New Roman" w:hAnsi="Times New Roman"/>
          <w:color w:val="000000" w:themeColor="text1"/>
          <w:sz w:val="16"/>
          <w:szCs w:val="16"/>
        </w:rPr>
        <w:softHyphen/>
        <w:t>дом «Коммунар» в г. Запорожье. Использовался стан</w:t>
      </w:r>
      <w:r w:rsidRPr="00E93F40">
        <w:rPr>
          <w:rFonts w:ascii="Times New Roman" w:hAnsi="Times New Roman"/>
          <w:color w:val="000000" w:themeColor="text1"/>
          <w:sz w:val="16"/>
          <w:szCs w:val="16"/>
        </w:rPr>
        <w:softHyphen/>
        <w:t>дартный двигатель Форд, у которого усилили систему охлаждения, ввели регулятор оборотов, заменили зажигание от аккумулятора на зажигание от магнето, установили очиститель воздуха типа «ПОМОН». М-1 развивал мощность 28 л.с. при 1400 об./мин. (22518)</w:t>
      </w:r>
    </w:p>
    <w:p w14:paraId="7C99DBF8" w14:textId="77777777" w:rsidR="005A2D36" w:rsidRPr="00E93F40" w:rsidRDefault="005A2D36" w:rsidP="00E93F40">
      <w:pPr>
        <w:spacing w:after="0" w:line="240" w:lineRule="auto"/>
        <w:jc w:val="both"/>
        <w:rPr>
          <w:rFonts w:ascii="Times New Roman" w:hAnsi="Times New Roman"/>
          <w:color w:val="000000" w:themeColor="text1"/>
          <w:sz w:val="16"/>
          <w:szCs w:val="16"/>
        </w:rPr>
      </w:pPr>
    </w:p>
    <w:p w14:paraId="3598A4C4" w14:textId="77777777" w:rsidR="005A2D36" w:rsidRPr="00E93F40" w:rsidRDefault="005A2D3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1932Коллегия НКТП СССР Постановле</w:t>
      </w:r>
      <w:r w:rsidRPr="00E93F40">
        <w:rPr>
          <w:rFonts w:ascii="Times New Roman" w:hAnsi="Times New Roman"/>
          <w:color w:val="000000" w:themeColor="text1"/>
          <w:sz w:val="16"/>
          <w:szCs w:val="16"/>
        </w:rPr>
        <w:softHyphen/>
        <w:t>нием № 308 обязала Сталинградский завод выпус</w:t>
      </w:r>
      <w:r w:rsidRPr="00E93F40">
        <w:rPr>
          <w:rFonts w:ascii="Times New Roman" w:hAnsi="Times New Roman"/>
          <w:color w:val="000000" w:themeColor="text1"/>
          <w:sz w:val="16"/>
          <w:szCs w:val="16"/>
        </w:rPr>
        <w:softHyphen/>
        <w:t>тить в двухмесячный срок 5 дизелей НАТИ-2-40, а Харьковский паровозостроительный завод - партию Д-300. Для этого харьковчанам разрешили снять часть программы мирной продукции. Кроме этого, двигатель НАТИ Д-300 изготовлял завод им. Воро</w:t>
      </w:r>
      <w:r w:rsidRPr="00E93F40">
        <w:rPr>
          <w:rFonts w:ascii="Times New Roman" w:hAnsi="Times New Roman"/>
          <w:color w:val="000000" w:themeColor="text1"/>
          <w:sz w:val="16"/>
          <w:szCs w:val="16"/>
        </w:rPr>
        <w:softHyphen/>
        <w:t>шилова в Ленинграде. НАТИ должен был в десяти</w:t>
      </w:r>
      <w:r w:rsidRPr="00E93F40">
        <w:rPr>
          <w:rFonts w:ascii="Times New Roman" w:hAnsi="Times New Roman"/>
          <w:color w:val="000000" w:themeColor="text1"/>
          <w:sz w:val="16"/>
          <w:szCs w:val="16"/>
        </w:rPr>
        <w:softHyphen/>
        <w:t>дневный срок передать в Союздизель все чертежи и двигатели НАТИ-1-60 для постановки на производ</w:t>
      </w:r>
      <w:r w:rsidRPr="00E93F40">
        <w:rPr>
          <w:rFonts w:ascii="Times New Roman" w:hAnsi="Times New Roman"/>
          <w:color w:val="000000" w:themeColor="text1"/>
          <w:sz w:val="16"/>
          <w:szCs w:val="16"/>
        </w:rPr>
        <w:softHyphen/>
        <w:t>ство на заводе АМО (22518).</w:t>
      </w:r>
    </w:p>
    <w:p w14:paraId="3BF5CDCB" w14:textId="77777777" w:rsidR="005A2D36" w:rsidRPr="00E93F40" w:rsidRDefault="005A2D36" w:rsidP="00E93F40">
      <w:pPr>
        <w:spacing w:after="0" w:line="240" w:lineRule="auto"/>
        <w:jc w:val="both"/>
        <w:rPr>
          <w:rFonts w:ascii="Times New Roman" w:hAnsi="Times New Roman"/>
          <w:color w:val="000000" w:themeColor="text1"/>
          <w:sz w:val="16"/>
          <w:szCs w:val="16"/>
        </w:rPr>
      </w:pPr>
    </w:p>
    <w:p w14:paraId="018A456B" w14:textId="2BDFF998"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отчете зам. начальника Управления механизации и моторизации (УММ) РККА И. К. Грязнова о работе курсов ТЕКО отмечалось, что «основная целеустановка Управления механизации и моторизации РККА в вопросе использования ТЕКО сводилась к тому, чтобы ознакомить командиров РККА с особенностями конструкции немецких боевых машин, изучить методику испытания материальной части, изучить методику стрелковой подготовки танкиста и приборы управления машинами и огнем в бою, изучить вопросы боевого применения танковых частей и попутно овладеть в совершенстве техникой вождения боевых машин»</w:t>
      </w:r>
      <w:hyperlink r:id="rId86" w:anchor="n_320" w:history="1">
        <w:r w:rsidRPr="00E93F40">
          <w:rPr>
            <w:rStyle w:val="a5"/>
            <w:rFonts w:ascii="Times New Roman" w:hAnsi="Times New Roman"/>
            <w:color w:val="000000" w:themeColor="text1"/>
            <w:sz w:val="16"/>
            <w:szCs w:val="16"/>
          </w:rPr>
          <w:t>[320]</w:t>
        </w:r>
      </w:hyperlink>
      <w:r w:rsidRPr="00E93F40">
        <w:rPr>
          <w:rFonts w:ascii="Times New Roman" w:hAnsi="Times New Roman"/>
          <w:color w:val="000000" w:themeColor="text1"/>
          <w:sz w:val="16"/>
          <w:szCs w:val="16"/>
        </w:rPr>
        <w:t>.</w:t>
      </w:r>
    </w:p>
    <w:p w14:paraId="3095CD46" w14:textId="1A71CAA3"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Изучение немецких чертежей, ознакомление с материальной частью немецких боевых машин и результатами испытаний позволили нашим инженерам практически использовать немецкий опыт. В советских танках Т-26, Т-28, Т-35 и БТ были применены элементы немецких конструкций (подвеска, сварные корпуса, внутреннее размещение экипажа, стробоскоп и наблюдательные купола, перископические прицелы, спаренные пулеметы, электрооборудование башен средних танков, радиооборудование, а также технические условия проектирования и постройки). Немецкая методика обучения стрелковому делу танкиста была использована при разработке «Руководства по стрелковой подготовке танковых частей РККА». На базе полученного опыта К. Б. Калиновский добавил к теории «глубокой операции» Триандафиллова использование подразделений средних и тяжелых танков для решения самостоятельных боевых задач. В результате после серии теоретических изысканий и испытаний в марте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было решено создать мехкорпуса. Тогда это был настоящий прорыв в теории военного искусства. В конце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начале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они были включены в состав Украинского и Ленинградского военных округов</w:t>
      </w:r>
      <w:hyperlink r:id="rId87" w:anchor="n_321" w:history="1">
        <w:r w:rsidRPr="00E93F40">
          <w:rPr>
            <w:rStyle w:val="a5"/>
            <w:rFonts w:ascii="Times New Roman" w:hAnsi="Times New Roman"/>
            <w:color w:val="000000" w:themeColor="text1"/>
            <w:sz w:val="16"/>
            <w:szCs w:val="16"/>
          </w:rPr>
          <w:t>[321]</w:t>
        </w:r>
      </w:hyperlink>
      <w:r w:rsidRPr="00E93F40">
        <w:rPr>
          <w:rFonts w:ascii="Times New Roman" w:hAnsi="Times New Roman"/>
          <w:color w:val="000000" w:themeColor="text1"/>
          <w:sz w:val="16"/>
          <w:szCs w:val="16"/>
        </w:rPr>
        <w:t>.</w:t>
      </w:r>
    </w:p>
    <w:p w14:paraId="7DF0C122" w14:textId="77777777"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случайно в вышеупомянутом отчете Грязнова делался вывод, что «в целом работа ТЕКО до сих пор еще представляет большой интерес для РККА как с точки зрения чисто технической, так и с тактической. Новые принципы конструкции машин и в особенности отдельных агрегатов, вооружение и стрелковые приборы, идеально разрешенная проблема наблюдения с танка, практически разрешенная проблема управления в танке и танковых подразделениях представляют еще собой область, которую необходимо изучать и переносить на нашу базу».</w:t>
      </w:r>
    </w:p>
    <w:p w14:paraId="182E1E5E" w14:textId="7A9D7B44"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6-месячные курсы было направлено 32 «отборных командира и инженера» (17 инженеров и 15 строевых офицеров). Основной упор как и прежде делался на изучение конструкции танка, техники управления танками в бою и техники стрельбы, а также на освоение методики обучения.</w:t>
      </w:r>
    </w:p>
    <w:p w14:paraId="3C4FB252" w14:textId="77777777"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занятий с советскими слушателями из Германии были приглашены пять преподавателей, работали там и советские преподаватели (Г. В. Павловский, А. Г. Кравченко и др.). Кроме того, в постоянный состав ТЕКО в качестве помощников немецких инженеров были включены 5 советских аспирантов, которые должны были детально овладеть методикой и опытом работы и в последующем перенести это в РККА. Для бронетанковых вузов предполагалось приобрести у немцев учебные пособия и экспонаты. Таким образом, танковая школа в Казани в целом успешно справлялась со стоящими перед ней задачами, принося ощутимую пользу обеим сторонам (18265).</w:t>
      </w:r>
    </w:p>
    <w:p w14:paraId="5878DA24" w14:textId="77777777" w:rsidR="00BC1630" w:rsidRPr="00E93F40" w:rsidRDefault="00BC1630" w:rsidP="00E93F40">
      <w:pPr>
        <w:spacing w:after="0" w:line="240" w:lineRule="auto"/>
        <w:jc w:val="both"/>
        <w:rPr>
          <w:rFonts w:ascii="Times New Roman" w:hAnsi="Times New Roman"/>
          <w:color w:val="000000" w:themeColor="text1"/>
          <w:sz w:val="16"/>
          <w:szCs w:val="16"/>
        </w:rPr>
      </w:pPr>
    </w:p>
    <w:p w14:paraId="2F557590" w14:textId="2F9896D4"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года Д-37 совершила первую поездку. При этом выявилось множество технических недоработок в конструкции дрезины.</w:t>
      </w:r>
      <w:r w:rsidR="007C1411" w:rsidRPr="00E93F40">
        <w:rPr>
          <w:rFonts w:ascii="Times New Roman" w:hAnsi="Times New Roman"/>
          <w:color w:val="000000" w:themeColor="text1"/>
          <w:sz w:val="16"/>
          <w:szCs w:val="16"/>
        </w:rPr>
        <w:t xml:space="preserve"> </w:t>
      </w:r>
    </w:p>
    <w:p w14:paraId="7C8BF105" w14:textId="08407C4C"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Д-37 имела несущий бронекорпус, сваренный из 12 (лоб и борта), 8, 6 и 4 мм (наклонные верхние, крыша и дно) броневых листов. Корпус был разъемным и состоял из двух частей нижней, на которой монтировалась ходовая часть и силовая установка и верхней, в которой размещалось вооружение и укладка. Между собой нижняя и верхняя часть крепились болтами, для посадки экипажа из 6 человек в бортах имелось две двери. Для наблюдения за железнодорожным полотном при движении в переднем и заднем листах имелось 4 лючка со смотровыми щелями.</w:t>
      </w:r>
      <w:r w:rsidR="007C1411" w:rsidRPr="00E93F40">
        <w:rPr>
          <w:rFonts w:ascii="Times New Roman" w:hAnsi="Times New Roman"/>
          <w:color w:val="000000" w:themeColor="text1"/>
          <w:sz w:val="16"/>
          <w:szCs w:val="16"/>
        </w:rPr>
        <w:t xml:space="preserve"> </w:t>
      </w:r>
    </w:p>
    <w:p w14:paraId="1FAA599C" w14:textId="1F793F66"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передней части корпуса находился двигатель Форд-АА в 40 л.с. и коробка перемены передач с реверсом, обеспечивающая 4 скорости вперед и назад. Здесь же в верхней части размещались два бензобака емкостью по 85 л каждый, подача горючего из которых осуществлялась самотеком. Ведущей была передняя ось дрезины. При движении Д-37 вперед воздух для охлаждения радиатора поступал через люк в нижней части корпуса, а при движении назад - через люк в крыше. Д-37 оснащалась электрооборудованием с напряжением 6 В с питанием от двух аккумуляторов - основного в левой и запасного в правой части корпуса дрезины.</w:t>
      </w:r>
      <w:r w:rsidR="007C1411" w:rsidRPr="00E93F40">
        <w:rPr>
          <w:rFonts w:ascii="Times New Roman" w:hAnsi="Times New Roman"/>
          <w:color w:val="000000" w:themeColor="text1"/>
          <w:sz w:val="16"/>
          <w:szCs w:val="16"/>
        </w:rPr>
        <w:t xml:space="preserve"> </w:t>
      </w:r>
    </w:p>
    <w:p w14:paraId="653C74D6" w14:textId="5B9C1A33"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крыше средней части корпуса размещалась башня от бронеавтомобиля Д-13, вооруженная 37-мм пушкой Гочкиса и пулеметом ДТ, еще 2 ДТ имелись в шаровых установках в бортах корпуса. В задней части корпуса размещалась спаренная зенитная установка пулеметов Максима, закрываемая двухстворчатым люком. При стрельбе люк откидывался в стороны, а пулеметы поднимались наверх. Боекомплект состоял из 200 снарядов, 18 коробок к пулеметам Максима (по 500 патрон в каждой, всего 9000) - 6 в бортовых стеллажах, 12 в задней части корпуса и 90 дисков (5670 патронов) к ДТ, размещенных по бортам. Масса бронедрезины Д-37 составляла 8050 кг, максимальная скорость на прямом участке пути составляла 75 км/ч.</w:t>
      </w:r>
      <w:r w:rsidR="007C1411" w:rsidRPr="00E93F40">
        <w:rPr>
          <w:rFonts w:ascii="Times New Roman" w:hAnsi="Times New Roman"/>
          <w:color w:val="000000" w:themeColor="text1"/>
          <w:sz w:val="16"/>
          <w:szCs w:val="16"/>
        </w:rPr>
        <w:t xml:space="preserve"> </w:t>
      </w:r>
    </w:p>
    <w:p w14:paraId="5B5B144D" w14:textId="1075E724" w:rsidR="00BC1630" w:rsidRPr="00E93F40" w:rsidRDefault="00BC16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проведения испытаний Дыренков предложил представителям УММ РККА усилить вооружение Д-37 установкой на нее башней новой конструкции с 76-мм орудием, и получил «добро» на выполнение этой работы. Правда, довести ее до конца он не успел - с 1 декабря 1932 года УММ РККА расформировало конструкторское бюро Дыренкова, а незаконченные работы передали для доделки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 Гуленко, под руководством которого в 1933-1934 году спроектировали несколько образцов бронедрезин и мотоброневагонов (к сожалению, никаких биографических данных и сведений о судьбе этого человека автору обнаружить не удалось) (18646).</w:t>
      </w:r>
    </w:p>
    <w:p w14:paraId="5026B0A7" w14:textId="77777777" w:rsidR="00BC1630" w:rsidRPr="00E93F40" w:rsidRDefault="00BC1630" w:rsidP="00E93F40">
      <w:pPr>
        <w:spacing w:after="0" w:line="240" w:lineRule="auto"/>
        <w:jc w:val="both"/>
        <w:rPr>
          <w:rFonts w:ascii="Times New Roman" w:hAnsi="Times New Roman"/>
          <w:color w:val="000000" w:themeColor="text1"/>
          <w:sz w:val="16"/>
          <w:szCs w:val="16"/>
        </w:rPr>
      </w:pPr>
    </w:p>
    <w:p w14:paraId="7753D8F9"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года из Карачева на восток оправился и 9-й дивизион бронепоездов. Два тяжелых (вооруженных 107-мм пушками) и один легкий (четыре 76-мм пушки) бронепоезда, базируясь на станции Уссурийск, вошли в состав отдельной Приморской армии (15218).</w:t>
      </w:r>
    </w:p>
    <w:p w14:paraId="66B7AE48" w14:textId="77777777" w:rsidR="001E3FFC" w:rsidRPr="00E93F40" w:rsidRDefault="001E3FFC" w:rsidP="00E93F40">
      <w:pPr>
        <w:spacing w:after="0" w:line="240" w:lineRule="auto"/>
        <w:jc w:val="both"/>
        <w:rPr>
          <w:rFonts w:ascii="Times New Roman" w:hAnsi="Times New Roman"/>
          <w:color w:val="000000" w:themeColor="text1"/>
          <w:sz w:val="16"/>
          <w:szCs w:val="16"/>
        </w:rPr>
      </w:pPr>
    </w:p>
    <w:p w14:paraId="2FA5FA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марте 1932 г. был готов опытный образец «Селезня» и сразу поступил на испытания. Внешне танк был похож на своего британского прародителя. Его корпус был изго</w:t>
      </w:r>
      <w:r w:rsidRPr="00E93F40">
        <w:rPr>
          <w:rFonts w:ascii="Times New Roman" w:hAnsi="Times New Roman"/>
          <w:color w:val="000000" w:themeColor="text1"/>
          <w:sz w:val="16"/>
          <w:szCs w:val="16"/>
        </w:rPr>
        <w:softHyphen/>
        <w:t>товлен из неброневой стали. Двигатель АМО-3 мощнос</w:t>
      </w:r>
      <w:r w:rsidRPr="00E93F40">
        <w:rPr>
          <w:rFonts w:ascii="Times New Roman" w:hAnsi="Times New Roman"/>
          <w:color w:val="000000" w:themeColor="text1"/>
          <w:sz w:val="16"/>
          <w:szCs w:val="16"/>
        </w:rPr>
        <w:softHyphen/>
        <w:t>тью 62 л.с. с системами питания и охлаждения размещал</w:t>
      </w:r>
      <w:r w:rsidRPr="00E93F40">
        <w:rPr>
          <w:rFonts w:ascii="Times New Roman" w:hAnsi="Times New Roman"/>
          <w:color w:val="000000" w:themeColor="text1"/>
          <w:sz w:val="16"/>
          <w:szCs w:val="16"/>
        </w:rPr>
        <w:softHyphen/>
        <w:t>ся вдоль правого борта, а экипаж в составе командира танка и механика-водителя, сидящих в затылок друг дру</w:t>
      </w:r>
      <w:r w:rsidRPr="00E93F40">
        <w:rPr>
          <w:rFonts w:ascii="Times New Roman" w:hAnsi="Times New Roman"/>
          <w:color w:val="000000" w:themeColor="text1"/>
          <w:sz w:val="16"/>
          <w:szCs w:val="16"/>
        </w:rPr>
        <w:softHyphen/>
        <w:t>гу, — вдоль левого борта. Вооружение танка — 7,62-мм пулемет ДТ — устанавли</w:t>
      </w:r>
      <w:r w:rsidRPr="00E93F40">
        <w:rPr>
          <w:rFonts w:ascii="Times New Roman" w:hAnsi="Times New Roman"/>
          <w:color w:val="000000" w:themeColor="text1"/>
          <w:sz w:val="16"/>
          <w:szCs w:val="16"/>
        </w:rPr>
        <w:softHyphen/>
        <w:t>вался во вращающейся башне, имеющей вверху откидной колпак со смотровыми щелями. Движение танка на плаву осуществлялось при помощи трехлопастного винта и руля, В ходе испытаний танк раз</w:t>
      </w:r>
      <w:r w:rsidRPr="00E93F40">
        <w:rPr>
          <w:rFonts w:ascii="Times New Roman" w:hAnsi="Times New Roman"/>
          <w:color w:val="000000" w:themeColor="text1"/>
          <w:sz w:val="16"/>
          <w:szCs w:val="16"/>
        </w:rPr>
        <w:softHyphen/>
        <w:t>вил скорость на дороге до 42 км/ч, а на плаву — 4 км/ч (10733,151).</w:t>
      </w:r>
    </w:p>
    <w:p w14:paraId="0D8E24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2B51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С. Гинзбург предлагал перейти к производству танков с монолитным наклонным лобовым листом (подобно Т-19), что позволяло не только поднять его стойкость, но и упрос</w:t>
      </w:r>
      <w:r w:rsidRPr="00E93F40">
        <w:rPr>
          <w:rFonts w:ascii="Times New Roman" w:hAnsi="Times New Roman"/>
          <w:color w:val="000000" w:themeColor="text1"/>
          <w:sz w:val="16"/>
          <w:szCs w:val="16"/>
        </w:rPr>
        <w:softHyphen/>
        <w:t>тить, технологию сборки танка (одна деталь могла заменить три). Но утверждено такое решение не было (10733,180).</w:t>
      </w:r>
    </w:p>
    <w:p w14:paraId="15DF4D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FA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создали опытный цех отдела Т2 ХПЗ - Т-2О в виде опытно-исследовательской секции Т-2Ки при технической конторе Т-2К (3880,3).</w:t>
      </w:r>
    </w:p>
    <w:p w14:paraId="7E79F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F6C5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немецкое руководство попросило доставить в «Каму» закупленные СССР в Великобритании и САСШ танки «Виккерс» и «Кристи» для их совместного изучения (10733,126).</w:t>
      </w:r>
    </w:p>
    <w:p w14:paraId="1E0342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2945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проект танка ТП-1 закрыт по причине чрезвычайно высокой стоимости (10733,118).</w:t>
      </w:r>
    </w:p>
    <w:p w14:paraId="105CD7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BEA8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башня Н.Дыренковыа, вооруженная 76-мм пушкой будучи установленная на танк БТ-2, под</w:t>
      </w:r>
      <w:r w:rsidRPr="00E93F40">
        <w:rPr>
          <w:rFonts w:ascii="Times New Roman" w:hAnsi="Times New Roman"/>
          <w:color w:val="000000" w:themeColor="text1"/>
          <w:sz w:val="16"/>
          <w:szCs w:val="16"/>
        </w:rPr>
        <w:softHyphen/>
        <w:t>верглась испытаниям возкой и стрельбой. Но из-за большо</w:t>
      </w:r>
      <w:r w:rsidRPr="00E93F40">
        <w:rPr>
          <w:rFonts w:ascii="Times New Roman" w:hAnsi="Times New Roman"/>
          <w:color w:val="000000" w:themeColor="text1"/>
          <w:sz w:val="16"/>
          <w:szCs w:val="16"/>
        </w:rPr>
        <w:softHyphen/>
        <w:t>го отката и чрезмерной реакции на погон испытания при</w:t>
      </w:r>
      <w:r w:rsidRPr="00E93F40">
        <w:rPr>
          <w:rFonts w:ascii="Times New Roman" w:hAnsi="Times New Roman"/>
          <w:color w:val="000000" w:themeColor="text1"/>
          <w:sz w:val="16"/>
          <w:szCs w:val="16"/>
        </w:rPr>
        <w:softHyphen/>
        <w:t>шлось прекратить «вплоть до готовности новой 76-мм тан</w:t>
      </w:r>
      <w:r w:rsidRPr="00E93F40">
        <w:rPr>
          <w:rFonts w:ascii="Times New Roman" w:hAnsi="Times New Roman"/>
          <w:color w:val="000000" w:themeColor="text1"/>
          <w:sz w:val="16"/>
          <w:szCs w:val="16"/>
        </w:rPr>
        <w:softHyphen/>
        <w:t>ковой пушки укороченного отката». Вместо запланирован</w:t>
      </w:r>
      <w:r w:rsidRPr="00E93F40">
        <w:rPr>
          <w:rFonts w:ascii="Times New Roman" w:hAnsi="Times New Roman"/>
          <w:color w:val="000000" w:themeColor="text1"/>
          <w:sz w:val="16"/>
          <w:szCs w:val="16"/>
        </w:rPr>
        <w:softHyphen/>
        <w:t>ных на испытаниях 200 выстрелов было сделано лишь 50 (10733,334).</w:t>
      </w:r>
    </w:p>
    <w:p w14:paraId="314E87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BB9E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на заводе Большевик был выпущен опытный образец плавающего танка Т-33, разработанного в КБ-3 Оружобъединения в Ленинграде под руководством С.А.Гинзбурга (9527,49).</w:t>
      </w:r>
    </w:p>
    <w:p w14:paraId="34B8C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04F0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 на Т-26 над выхлопным коллектором поставили короб (9527,69).</w:t>
      </w:r>
    </w:p>
    <w:p w14:paraId="2590FC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2DD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на Большевике в Ленинграде был построен образец разработанного на факультете ММ ВТА им. Дзержинского под руководством Вершинана танка ТММ-2 - версия Виккерс (9527,90).</w:t>
      </w:r>
    </w:p>
    <w:p w14:paraId="68EB3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DDD7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Э.Гроте разработал проект тяжелого танка ТГ-VI (Г.Д.6) с боевой массой 70-75 т с одной 76 мм или 100 мм полуавтоматической пушкой, двумя 45 мм пушками и 6хДП. Броня - 60-70 мм, двигатель - М-34. Потом лег в основу Т-42 массой 100 т (9527,152).</w:t>
      </w:r>
    </w:p>
    <w:p w14:paraId="33A4C8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AF6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на заводах им. Ворошилова и № 2 ВАТО были начаты работы по проектированию и изготовлению опытных образцов танкеток с сооружением во вращающейся башне. Завод № 2 разработал Т-41, а им. Ворошилова - Т-37 (9527,255).</w:t>
      </w:r>
    </w:p>
    <w:p w14:paraId="0B235B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88B27B"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марта по октябрь 1932 года состоялись испы</w:t>
      </w:r>
      <w:r w:rsidRPr="00142305">
        <w:rPr>
          <w:rFonts w:ascii="Times New Roman" w:hAnsi="Times New Roman"/>
          <w:color w:val="0070C0"/>
          <w:sz w:val="16"/>
          <w:szCs w:val="16"/>
        </w:rPr>
        <w:softHyphen/>
        <w:t>тания таких на «Коммунарах» газогенераторных установок.</w:t>
      </w:r>
    </w:p>
    <w:p w14:paraId="7133CB7B"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испытания готовых газогенератор</w:t>
      </w:r>
      <w:r w:rsidRPr="00142305">
        <w:rPr>
          <w:rFonts w:ascii="Times New Roman" w:hAnsi="Times New Roman"/>
          <w:color w:val="0070C0"/>
          <w:sz w:val="16"/>
          <w:szCs w:val="16"/>
        </w:rPr>
        <w:softHyphen/>
        <w:t>ных установок на тракторах в НАТИ был доставлен ряд образцов.</w:t>
      </w:r>
    </w:p>
    <w:p w14:paraId="6B1233BA" w14:textId="77777777" w:rsidR="00E965D4" w:rsidRPr="00142305" w:rsidRDefault="00E965D4" w:rsidP="00E965D4">
      <w:pPr>
        <w:widowControl w:val="0"/>
        <w:tabs>
          <w:tab w:val="left" w:pos="438"/>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Установка системы Введенского на тракторе «Коммунар».</w:t>
      </w:r>
    </w:p>
    <w:p w14:paraId="34576520" w14:textId="77777777" w:rsidR="00E965D4" w:rsidRPr="00142305" w:rsidRDefault="00E965D4" w:rsidP="00E965D4">
      <w:pPr>
        <w:widowControl w:val="0"/>
        <w:tabs>
          <w:tab w:val="left" w:pos="438"/>
        </w:tabs>
        <w:spacing w:after="0" w:line="240" w:lineRule="auto"/>
        <w:jc w:val="both"/>
        <w:rPr>
          <w:rFonts w:ascii="Times New Roman" w:hAnsi="Times New Roman"/>
          <w:color w:val="0070C0"/>
          <w:sz w:val="16"/>
          <w:szCs w:val="16"/>
        </w:rPr>
      </w:pPr>
      <w:bookmarkStart w:id="17" w:name="bookmark58"/>
      <w:bookmarkEnd w:id="17"/>
      <w:r w:rsidRPr="00142305">
        <w:rPr>
          <w:rFonts w:ascii="Times New Roman" w:hAnsi="Times New Roman"/>
          <w:color w:val="0070C0"/>
          <w:sz w:val="16"/>
          <w:szCs w:val="16"/>
        </w:rPr>
        <w:t>2. Установка ОКБ-8 Техотдела ОГПУ на тракторе «Катерпиллер-60».</w:t>
      </w:r>
      <w:bookmarkStart w:id="18" w:name="bookmark59"/>
      <w:bookmarkEnd w:id="18"/>
    </w:p>
    <w:p w14:paraId="17CF4E86" w14:textId="77777777" w:rsidR="00E965D4" w:rsidRPr="00142305" w:rsidRDefault="00E965D4" w:rsidP="00E965D4">
      <w:pPr>
        <w:widowControl w:val="0"/>
        <w:tabs>
          <w:tab w:val="left" w:pos="438"/>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Установка системы профессора Наумова на тракторе «Коммунар».</w:t>
      </w:r>
    </w:p>
    <w:p w14:paraId="0704329D" w14:textId="77777777" w:rsidR="00E965D4" w:rsidRPr="00142305" w:rsidRDefault="00E965D4" w:rsidP="00E965D4">
      <w:pPr>
        <w:widowControl w:val="0"/>
        <w:tabs>
          <w:tab w:val="left" w:pos="470"/>
          <w:tab w:val="left" w:pos="150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Установка системы Декаленкова на тракторе «Коммунар».</w:t>
      </w:r>
    </w:p>
    <w:p w14:paraId="471672E6" w14:textId="77777777" w:rsidR="00E965D4" w:rsidRPr="00142305" w:rsidRDefault="00E965D4" w:rsidP="00E965D4">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Установка системы профессора Ветчинкина на тракторе «Коммунар».</w:t>
      </w:r>
    </w:p>
    <w:p w14:paraId="4342AE6E"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всех установок проводились на специально устроенном НАТИ поли</w:t>
      </w:r>
      <w:r w:rsidRPr="00142305">
        <w:rPr>
          <w:rFonts w:ascii="Times New Roman" w:hAnsi="Times New Roman"/>
          <w:color w:val="0070C0"/>
          <w:sz w:val="16"/>
          <w:szCs w:val="16"/>
        </w:rPr>
        <w:softHyphen/>
        <w:t>гоне. Первые четыре установки прошли полные испытания. Установку Ветчинкина вследствие обнаруженных в ней неи</w:t>
      </w:r>
      <w:r w:rsidRPr="00142305">
        <w:rPr>
          <w:rFonts w:ascii="Times New Roman" w:hAnsi="Times New Roman"/>
          <w:color w:val="0070C0"/>
          <w:sz w:val="16"/>
          <w:szCs w:val="16"/>
        </w:rPr>
        <w:softHyphen/>
        <w:t>справностей по желанию конструктора сняли с испытаний, причем вместо нее должна была поступить новая установка с некоторыми конструктивными измене</w:t>
      </w:r>
      <w:r w:rsidRPr="00142305">
        <w:rPr>
          <w:rFonts w:ascii="Times New Roman" w:hAnsi="Times New Roman"/>
          <w:color w:val="0070C0"/>
          <w:sz w:val="16"/>
          <w:szCs w:val="16"/>
        </w:rPr>
        <w:softHyphen/>
        <w:t>ниями. Однако ее не успели изготовить в период испытаний.</w:t>
      </w:r>
    </w:p>
    <w:p w14:paraId="702A99BC"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установке профессора Наумова ис</w:t>
      </w:r>
      <w:r w:rsidRPr="00142305">
        <w:rPr>
          <w:rFonts w:ascii="Times New Roman" w:hAnsi="Times New Roman"/>
          <w:color w:val="0070C0"/>
          <w:sz w:val="16"/>
          <w:szCs w:val="16"/>
        </w:rPr>
        <w:softHyphen/>
        <w:t>пользовался прямой процесс и топли</w:t>
      </w:r>
      <w:r w:rsidRPr="00142305">
        <w:rPr>
          <w:rFonts w:ascii="Times New Roman" w:hAnsi="Times New Roman"/>
          <w:color w:val="0070C0"/>
          <w:sz w:val="16"/>
          <w:szCs w:val="16"/>
        </w:rPr>
        <w:softHyphen/>
        <w:t>вом служил древесный уголь. Остальные установки обратного процесса работали на березовых чурках.</w:t>
      </w:r>
    </w:p>
    <w:p w14:paraId="2D58B117"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всех установок проводились рабочей бригадой НАТИ под общим руко</w:t>
      </w:r>
      <w:r w:rsidRPr="00142305">
        <w:rPr>
          <w:rFonts w:ascii="Times New Roman" w:hAnsi="Times New Roman"/>
          <w:color w:val="0070C0"/>
          <w:sz w:val="16"/>
          <w:szCs w:val="16"/>
        </w:rPr>
        <w:softHyphen/>
        <w:t>водством Семенова-Жукова и при наблю</w:t>
      </w:r>
      <w:r w:rsidRPr="00142305">
        <w:rPr>
          <w:rFonts w:ascii="Times New Roman" w:hAnsi="Times New Roman"/>
          <w:color w:val="0070C0"/>
          <w:sz w:val="16"/>
          <w:szCs w:val="16"/>
        </w:rPr>
        <w:softHyphen/>
        <w:t>дении экспертов Абрамовича, Болтинско- го, Карачана, Карельских, Михаловского и Тюляева.</w:t>
      </w:r>
    </w:p>
    <w:p w14:paraId="3E8E997F"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результатам испытаний была признана необходимость совер</w:t>
      </w:r>
      <w:r w:rsidRPr="00142305">
        <w:rPr>
          <w:rFonts w:ascii="Times New Roman" w:hAnsi="Times New Roman"/>
          <w:color w:val="0070C0"/>
          <w:sz w:val="16"/>
          <w:szCs w:val="16"/>
        </w:rPr>
        <w:softHyphen/>
        <w:t>шенствования всех представленных кон</w:t>
      </w:r>
      <w:r w:rsidRPr="00142305">
        <w:rPr>
          <w:rFonts w:ascii="Times New Roman" w:hAnsi="Times New Roman"/>
          <w:color w:val="0070C0"/>
          <w:sz w:val="16"/>
          <w:szCs w:val="16"/>
        </w:rPr>
        <w:softHyphen/>
        <w:t>струкций (25003).</w:t>
      </w:r>
    </w:p>
    <w:p w14:paraId="7FA36451" w14:textId="77777777" w:rsidR="00E965D4" w:rsidRPr="00142305" w:rsidRDefault="00E965D4" w:rsidP="00E965D4">
      <w:pPr>
        <w:spacing w:after="0" w:line="240" w:lineRule="auto"/>
        <w:jc w:val="both"/>
        <w:rPr>
          <w:rFonts w:ascii="Times New Roman" w:hAnsi="Times New Roman"/>
          <w:color w:val="0070C0"/>
          <w:sz w:val="16"/>
          <w:szCs w:val="16"/>
        </w:rPr>
      </w:pPr>
    </w:p>
    <w:p w14:paraId="6675F1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приступили к техническому проекту тяжёлого ар</w:t>
      </w:r>
      <w:r w:rsidRPr="00E93F40">
        <w:rPr>
          <w:rFonts w:ascii="Times New Roman" w:hAnsi="Times New Roman"/>
          <w:color w:val="000000" w:themeColor="text1"/>
          <w:sz w:val="16"/>
          <w:szCs w:val="16"/>
        </w:rPr>
        <w:softHyphen/>
        <w:t>мейского мотоцикла, сразу же названного НАТИ-А-750, предпо</w:t>
      </w:r>
      <w:r w:rsidRPr="00E93F40">
        <w:rPr>
          <w:rFonts w:ascii="Times New Roman" w:hAnsi="Times New Roman"/>
          <w:color w:val="000000" w:themeColor="text1"/>
          <w:sz w:val="16"/>
          <w:szCs w:val="16"/>
        </w:rPr>
        <w:softHyphen/>
        <w:t>лагая изготовить 10 таких машин в сентябре того же года [4.56]. Проектирование завершили в конце апреля 1932 г. [4.57]. Рама у НАТИ-А-750 в техническом проекте была сварная из двух симметричных штампованных половин. Бензобак частично утоплен между двумя верхними наклонными балками. Двига</w:t>
      </w:r>
      <w:r w:rsidRPr="00E93F40">
        <w:rPr>
          <w:rFonts w:ascii="Times New Roman" w:hAnsi="Times New Roman"/>
          <w:color w:val="000000" w:themeColor="text1"/>
          <w:sz w:val="16"/>
          <w:szCs w:val="16"/>
        </w:rPr>
        <w:softHyphen/>
        <w:t>тель У-образный с углом развала цилиндров 45° совмещён с трёхступенчатой КП и жёстко соединён с нижней частью рамы. Отечественное магнето вынесено вперёд и соединено с коленва-лом посредством шестерён. Левая вращающаяся ручка на руле -регулировка опережения зажигания, правая - управляла карбю</w:t>
      </w:r>
      <w:r w:rsidRPr="00E93F40">
        <w:rPr>
          <w:rFonts w:ascii="Times New Roman" w:hAnsi="Times New Roman"/>
          <w:color w:val="000000" w:themeColor="text1"/>
          <w:sz w:val="16"/>
          <w:szCs w:val="16"/>
        </w:rPr>
        <w:softHyphen/>
        <w:t>ратором. Сцепление - сухое, выключалось левым рычагом на руле или левой педалью. Трансмиссия на сцепление - шестерён</w:t>
      </w:r>
      <w:r w:rsidRPr="00E93F40">
        <w:rPr>
          <w:rFonts w:ascii="Times New Roman" w:hAnsi="Times New Roman"/>
          <w:color w:val="000000" w:themeColor="text1"/>
          <w:sz w:val="16"/>
          <w:szCs w:val="16"/>
        </w:rPr>
        <w:softHyphen/>
        <w:t>чатая, на ведущее колесо - цепная, в герметичной масляной ван</w:t>
      </w:r>
      <w:r w:rsidRPr="00E93F40">
        <w:rPr>
          <w:rFonts w:ascii="Times New Roman" w:hAnsi="Times New Roman"/>
          <w:color w:val="000000" w:themeColor="text1"/>
          <w:sz w:val="16"/>
          <w:szCs w:val="16"/>
        </w:rPr>
        <w:softHyphen/>
        <w:t>не. Смазка мотора и КП - циркулярная, масляный бак - в виде плоской консоли вмонтирован в картер КП. Рычаг переключе</w:t>
      </w:r>
      <w:r w:rsidRPr="00E93F40">
        <w:rPr>
          <w:rFonts w:ascii="Times New Roman" w:hAnsi="Times New Roman"/>
          <w:color w:val="000000" w:themeColor="text1"/>
          <w:sz w:val="16"/>
          <w:szCs w:val="16"/>
        </w:rPr>
        <w:softHyphen/>
        <w:t>ния передач КП - автомобильного типа. Привод ведущего коле</w:t>
      </w:r>
      <w:r w:rsidRPr="00E93F40">
        <w:rPr>
          <w:rFonts w:ascii="Times New Roman" w:hAnsi="Times New Roman"/>
          <w:color w:val="000000" w:themeColor="text1"/>
          <w:sz w:val="16"/>
          <w:szCs w:val="16"/>
        </w:rPr>
        <w:softHyphen/>
        <w:t>са и тормозной барабан - слева, глушители - справа, коляска -слева. Передняя вилка - из двух штампованных половин. Перед</w:t>
      </w:r>
      <w:r w:rsidRPr="00E93F40">
        <w:rPr>
          <w:rFonts w:ascii="Times New Roman" w:hAnsi="Times New Roman"/>
          <w:color w:val="000000" w:themeColor="text1"/>
          <w:sz w:val="16"/>
          <w:szCs w:val="16"/>
        </w:rPr>
        <w:softHyphen/>
        <w:t>нее колесо - на рычажной подвеске в особой скобе, упиравшейся в горизонтальную рессору, к ней же крепились фрикционные га</w:t>
      </w:r>
      <w:r w:rsidRPr="00E93F40">
        <w:rPr>
          <w:rFonts w:ascii="Times New Roman" w:hAnsi="Times New Roman"/>
          <w:color w:val="000000" w:themeColor="text1"/>
          <w:sz w:val="16"/>
          <w:szCs w:val="16"/>
        </w:rPr>
        <w:softHyphen/>
        <w:t>сители колебаний. Крылья - глубокие, переднее - охватывало колесо на угол около 150°, заднее - почти 210°. Руль - в резино</w:t>
      </w:r>
      <w:r w:rsidRPr="00E93F40">
        <w:rPr>
          <w:rFonts w:ascii="Times New Roman" w:hAnsi="Times New Roman"/>
          <w:color w:val="000000" w:themeColor="text1"/>
          <w:sz w:val="16"/>
          <w:szCs w:val="16"/>
        </w:rPr>
        <w:softHyphen/>
        <w:t>вых демпферах. На верхние балки рамы установили нигрисы и пружины седла водителя, передняя часть которого качалась на особой петле, привинченной к бензобаку. Седло пассажира кре</w:t>
      </w:r>
      <w:r w:rsidRPr="00E93F40">
        <w:rPr>
          <w:rFonts w:ascii="Times New Roman" w:hAnsi="Times New Roman"/>
          <w:color w:val="000000" w:themeColor="text1"/>
          <w:sz w:val="16"/>
          <w:szCs w:val="16"/>
        </w:rPr>
        <w:softHyphen/>
        <w:t>пилось к верхним балкам рамы с помощью кованых скоб. Свето</w:t>
      </w:r>
      <w:r w:rsidRPr="00E93F40">
        <w:rPr>
          <w:rFonts w:ascii="Times New Roman" w:hAnsi="Times New Roman"/>
          <w:color w:val="000000" w:themeColor="text1"/>
          <w:sz w:val="16"/>
          <w:szCs w:val="16"/>
        </w:rPr>
        <w:softHyphen/>
        <w:t>техника - фара с дальним и ближним светом, задний сигнальный фонарь. Педаль кикстартера справа. По дизайну НАТИ-А-750 -армейская машина [4.58]. Мотор и КП объединили в единый блок [4.59].</w:t>
      </w:r>
    </w:p>
    <w:p w14:paraId="55C85E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расчётам мотор НАТИ-А-750 должен был развивать мощ</w:t>
      </w:r>
      <w:r w:rsidRPr="00E93F40">
        <w:rPr>
          <w:rFonts w:ascii="Times New Roman" w:hAnsi="Times New Roman"/>
          <w:color w:val="000000" w:themeColor="text1"/>
          <w:sz w:val="16"/>
          <w:szCs w:val="16"/>
        </w:rPr>
        <w:softHyphen/>
        <w:t>ность до 18 л.с. при степени сжатия в пределах 4,5-5,5. На стадии проектирования мощность представлялась недостаточной для движения мотоцикла с коляской при транспортировке 3-х чело</w:t>
      </w:r>
      <w:r w:rsidRPr="00E93F40">
        <w:rPr>
          <w:rFonts w:ascii="Times New Roman" w:hAnsi="Times New Roman"/>
          <w:color w:val="000000" w:themeColor="text1"/>
          <w:sz w:val="16"/>
          <w:szCs w:val="16"/>
        </w:rPr>
        <w:softHyphen/>
        <w:t>век по плохим дорогам в полевых условиях. С целью расширения возможностей машины, предусмотрели форсировку мотора до 27 л.с. за счёт увеличения степени сжатия до 6,3. При этом сни</w:t>
      </w:r>
      <w:r w:rsidRPr="00E93F40">
        <w:rPr>
          <w:rFonts w:ascii="Times New Roman" w:hAnsi="Times New Roman"/>
          <w:color w:val="000000" w:themeColor="text1"/>
          <w:sz w:val="16"/>
          <w:szCs w:val="16"/>
        </w:rPr>
        <w:softHyphen/>
        <w:t>жался ресурс двигателя из-за перенапряжённости и ухудшилась его приспособляемость. Чтобы обойти затруднения, предполага</w:t>
      </w:r>
      <w:r w:rsidRPr="00E93F40">
        <w:rPr>
          <w:rFonts w:ascii="Times New Roman" w:hAnsi="Times New Roman"/>
          <w:color w:val="000000" w:themeColor="text1"/>
          <w:sz w:val="16"/>
          <w:szCs w:val="16"/>
        </w:rPr>
        <w:softHyphen/>
        <w:t>ли в дальнейшем модифицировать мотор, увеличив его рабочий объём минимум до 850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сохранив первоначальную степень сжатия. Получился бы более мощный мотоцикл НАТИ-А-850 с вполне приемлемой приспособляемостью двигателя [4.60].</w:t>
      </w:r>
    </w:p>
    <w:p w14:paraId="02E0B8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НАТИ-А-750 считался базовой моделью. Предполагалось, что в основном будет использоваться с коляской и без неё. Но «одиночка» с двигателем рабочим объёмом 750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xml:space="preserve"> - роскошь с завышенными мощностью и расходом металла, поэтому преду</w:t>
      </w:r>
      <w:r w:rsidRPr="00E93F40">
        <w:rPr>
          <w:rFonts w:ascii="Times New Roman" w:hAnsi="Times New Roman"/>
          <w:color w:val="000000" w:themeColor="text1"/>
          <w:sz w:val="16"/>
          <w:szCs w:val="16"/>
        </w:rPr>
        <w:softHyphen/>
        <w:t>смотрели изготовление одноцилиндрового мотора, унифициро</w:t>
      </w:r>
      <w:r w:rsidRPr="00E93F40">
        <w:rPr>
          <w:rFonts w:ascii="Times New Roman" w:hAnsi="Times New Roman"/>
          <w:color w:val="000000" w:themeColor="text1"/>
          <w:sz w:val="16"/>
          <w:szCs w:val="16"/>
        </w:rPr>
        <w:softHyphen/>
        <w:t>ванного с двигателем НАТИ-А-750 по цилиндру, поршневой группе, КП и новым картером. Такой двигатель задумали устано</w:t>
      </w:r>
      <w:r w:rsidRPr="00E93F40">
        <w:rPr>
          <w:rFonts w:ascii="Times New Roman" w:hAnsi="Times New Roman"/>
          <w:color w:val="000000" w:themeColor="text1"/>
          <w:sz w:val="16"/>
          <w:szCs w:val="16"/>
        </w:rPr>
        <w:softHyphen/>
        <w:t>вить на ходовую часть Л-300 с карданной передачей на заднее ко</w:t>
      </w:r>
      <w:r w:rsidRPr="00E93F40">
        <w:rPr>
          <w:rFonts w:ascii="Times New Roman" w:hAnsi="Times New Roman"/>
          <w:color w:val="000000" w:themeColor="text1"/>
          <w:sz w:val="16"/>
          <w:szCs w:val="16"/>
        </w:rPr>
        <w:softHyphen/>
        <w:t>лесо. Этот мотоцикл назвали НАТИ-Б-375 [4.61]. Помимо этого решили использовать наработки от ИЖ-1-ИЖ-6 и интересные технические решения, подмеченные в мотоцикле ВМ\У К-16 и но</w:t>
      </w:r>
      <w:r w:rsidRPr="00E93F40">
        <w:rPr>
          <w:rFonts w:ascii="Times New Roman" w:hAnsi="Times New Roman"/>
          <w:color w:val="000000" w:themeColor="text1"/>
          <w:sz w:val="16"/>
          <w:szCs w:val="16"/>
        </w:rPr>
        <w:softHyphen/>
        <w:t>вой модели ВМ\У К-4 (сварная штампованная рама, карданный привод, передняя вилка и пр.), и спроектировали НАТИ-В-375 [4.62].</w:t>
      </w:r>
    </w:p>
    <w:p w14:paraId="0209EF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НАТИ-А-750 разработали только технический проект, не чертили боковой прицеп, а для НАТИ-Б-375 и НАТИ-В-375 -лишь эскизные проекты. Предполагали сделать рабочие чертежи в КБ завода-изготовителя, который НАТИ предстояло найти, чтобы изготовить там опытные мотоциклы.</w:t>
      </w:r>
    </w:p>
    <w:p w14:paraId="523609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тому времени одобрили постройку Ижевского мотоциклет</w:t>
      </w:r>
      <w:r w:rsidRPr="00E93F40">
        <w:rPr>
          <w:rFonts w:ascii="Times New Roman" w:hAnsi="Times New Roman"/>
          <w:color w:val="000000" w:themeColor="text1"/>
          <w:sz w:val="16"/>
          <w:szCs w:val="16"/>
        </w:rPr>
        <w:softHyphen/>
        <w:t>ного завода (ИжМЗ). Хлопоты об этом начались ещё в 1930 г. вскоре после запрета трестом РУЖ выпуска мотоциклов на ИОЗе. С инициативой выступили руководство и передовые рабо</w:t>
      </w:r>
      <w:r w:rsidRPr="00E93F40">
        <w:rPr>
          <w:rFonts w:ascii="Times New Roman" w:hAnsi="Times New Roman"/>
          <w:color w:val="000000" w:themeColor="text1"/>
          <w:sz w:val="16"/>
          <w:szCs w:val="16"/>
        </w:rPr>
        <w:softHyphen/>
        <w:t>чие завода, а также широкая общественность Ижевска - от про</w:t>
      </w:r>
      <w:r w:rsidRPr="00E93F40">
        <w:rPr>
          <w:rFonts w:ascii="Times New Roman" w:hAnsi="Times New Roman"/>
          <w:color w:val="000000" w:themeColor="text1"/>
          <w:sz w:val="16"/>
          <w:szCs w:val="16"/>
        </w:rPr>
        <w:softHyphen/>
        <w:t>стых тружеников до руководителей Удмуртской автономной об</w:t>
      </w:r>
      <w:r w:rsidRPr="00E93F40">
        <w:rPr>
          <w:rFonts w:ascii="Times New Roman" w:hAnsi="Times New Roman"/>
          <w:color w:val="000000" w:themeColor="text1"/>
          <w:sz w:val="16"/>
          <w:szCs w:val="16"/>
        </w:rPr>
        <w:softHyphen/>
        <w:t>ласти (УАО). Этому предшествовало заключение экспертов и ко</w:t>
      </w:r>
      <w:r w:rsidRPr="00E93F40">
        <w:rPr>
          <w:rFonts w:ascii="Times New Roman" w:hAnsi="Times New Roman"/>
          <w:color w:val="000000" w:themeColor="text1"/>
          <w:sz w:val="16"/>
          <w:szCs w:val="16"/>
        </w:rPr>
        <w:softHyphen/>
        <w:t>миссии Центрального технико-экономического совета (ЦТЭС), входившего в Президиум ВСНХ СССР в июне 1930 г., о том, что технически и экономически целесообразно строить мотоциклет</w:t>
      </w:r>
      <w:r w:rsidRPr="00E93F40">
        <w:rPr>
          <w:rFonts w:ascii="Times New Roman" w:hAnsi="Times New Roman"/>
          <w:color w:val="000000" w:themeColor="text1"/>
          <w:sz w:val="16"/>
          <w:szCs w:val="16"/>
        </w:rPr>
        <w:softHyphen/>
        <w:t>ный завод именно в Ижевске. Сначала предполагалось, что пред</w:t>
      </w:r>
      <w:r w:rsidRPr="00E93F40">
        <w:rPr>
          <w:rFonts w:ascii="Times New Roman" w:hAnsi="Times New Roman"/>
          <w:color w:val="000000" w:themeColor="text1"/>
          <w:sz w:val="16"/>
          <w:szCs w:val="16"/>
        </w:rPr>
        <w:softHyphen/>
        <w:t>приятие будет выпускать 50 тыс. мотоциклов ежегодно. Однако в октябре 1931 г. Главмашпром ВСНХ СССР увеличил проектную мощность завода до 120 тыс. Планировали изготавливать НАТИ-А-750 и НАТИ-Б-375 в пропорции 40% и 60% (11429).</w:t>
      </w:r>
    </w:p>
    <w:p w14:paraId="7E22B1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F0BD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по октябрь 1932 г. состоялись испытания газогенераторных установок на "Коммунарах". Преимуществом газогенераторных силовых установок являлась возможность их работы на дешевом местном топливе. К числу основных недостатков относились потери мощности, трудоемкость обслуживания и значительная собственная масса (3ГАРФ, ф. 4426, on. 1, д. 678, пл. 5-8об).</w:t>
      </w:r>
    </w:p>
    <w:p w14:paraId="15A9C6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Для испытания готовых газогенераторных установок на тракторах в НАТИ был доставлен ряд образцов.</w:t>
      </w:r>
    </w:p>
    <w:p w14:paraId="2D1DE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Установка системы Введенского на тракторе "Коммунар".</w:t>
      </w:r>
    </w:p>
    <w:p w14:paraId="707EB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Установка ОКБ-8 Техотдела ОПТУ на тракторе "Катерпиллер-60"4.</w:t>
      </w:r>
    </w:p>
    <w:p w14:paraId="4736D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Комплект для установки проволочных заграждений.</w:t>
      </w:r>
    </w:p>
    <w:p w14:paraId="1D6176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Установка системы профессора Наумова на тракторе "Коммунар".</w:t>
      </w:r>
    </w:p>
    <w:p w14:paraId="3F0AA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Установка системы Декаленкова на тракторе "Коммунар".</w:t>
      </w:r>
    </w:p>
    <w:p w14:paraId="17EEA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Установка системы профессора Ветчинки на на тракторе "Коммунар".</w:t>
      </w:r>
    </w:p>
    <w:p w14:paraId="38D7C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всех установок проводились на специально устроенном НАТИ полигоне. Первые четыре установки прошли полные испытания. Установку Ветчинкина, вследствие обнаруженных в ней неисправностей, по желанию конструктора сняли с испытаний, причем вместо нее должна была поступить новая установка с некоторыми конструктивными изменениями. Однако ее не успели изготовить в период испытаний.</w:t>
      </w:r>
    </w:p>
    <w:p w14:paraId="4A1099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установке профессора Наумова использовался прямой процесс и топливом служил древесный уголь. Остальные установки обратного процесса работали на березовых чурках.</w:t>
      </w:r>
    </w:p>
    <w:p w14:paraId="79D28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всех установок проводились рабочей бригадой НАТИ под общим руководством Семенова-Жукова и при наблюдении экспертов Абрамовича, Болтинекого, Кара- чана, Карельских, Михаловского и Тюляева.</w:t>
      </w:r>
    </w:p>
    <w:p w14:paraId="1BB6B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испытаниях были сняты тяговые характеристики тракторов при работе на бензине и на газе, после чего все тракторы поступали в "рядовую" работу с прицепной нагрузкой, составлявшей около 80% наибольшей нагрузки, полученной при снятии характеристик. Каждая установка наработала около 20 ч. Кроме того, каждый трактор испытывался на холостом ходу в течение одного рабочего дня с наибольшей скоростью для выяснения влияния быстрого хода на прочность установок.</w:t>
      </w:r>
    </w:p>
    <w:p w14:paraId="4AB4F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окончании "рядовой" работы установки разобрали с хронометражем времени и детальным осмотром на предмет износа и повреждений.</w:t>
      </w:r>
    </w:p>
    <w:p w14:paraId="1B3585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Потери мощности и тягового усилия тракторов "Коммунар" с газогенераторными установками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DA227A" w:rsidRPr="00E93F40" w14:paraId="70B29C13" w14:textId="77777777">
        <w:tc>
          <w:tcPr>
            <w:tcW w:w="1401" w:type="dxa"/>
            <w:tcBorders>
              <w:top w:val="single" w:sz="12" w:space="0" w:color="auto"/>
            </w:tcBorders>
          </w:tcPr>
          <w:p w14:paraId="6F598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w:t>
            </w:r>
          </w:p>
        </w:tc>
        <w:tc>
          <w:tcPr>
            <w:tcW w:w="1401" w:type="dxa"/>
            <w:tcBorders>
              <w:top w:val="single" w:sz="12" w:space="0" w:color="auto"/>
            </w:tcBorders>
          </w:tcPr>
          <w:p w14:paraId="5842A2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на крюке при работе на бензине, л.с.</w:t>
            </w:r>
          </w:p>
        </w:tc>
        <w:tc>
          <w:tcPr>
            <w:tcW w:w="1401" w:type="dxa"/>
            <w:tcBorders>
              <w:top w:val="single" w:sz="12" w:space="0" w:color="auto"/>
            </w:tcBorders>
          </w:tcPr>
          <w:p w14:paraId="0F7346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на крюке при работе на газе, л.с.</w:t>
            </w:r>
          </w:p>
        </w:tc>
        <w:tc>
          <w:tcPr>
            <w:tcW w:w="1401" w:type="dxa"/>
            <w:tcBorders>
              <w:top w:val="single" w:sz="12" w:space="0" w:color="auto"/>
            </w:tcBorders>
          </w:tcPr>
          <w:p w14:paraId="5465B6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Потери мощности на крюке, %</w:t>
            </w:r>
          </w:p>
        </w:tc>
        <w:tc>
          <w:tcPr>
            <w:tcW w:w="1401" w:type="dxa"/>
            <w:tcBorders>
              <w:top w:val="single" w:sz="12" w:space="0" w:color="auto"/>
            </w:tcBorders>
          </w:tcPr>
          <w:p w14:paraId="5D28A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Потери тягового усилия,%</w:t>
            </w:r>
          </w:p>
        </w:tc>
        <w:tc>
          <w:tcPr>
            <w:tcW w:w="1401" w:type="dxa"/>
            <w:tcBorders>
              <w:top w:val="single" w:sz="12" w:space="0" w:color="auto"/>
            </w:tcBorders>
          </w:tcPr>
          <w:p w14:paraId="7CF0A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Полная мощность двигателя при работе на бензине, л.с.</w:t>
            </w:r>
          </w:p>
        </w:tc>
        <w:tc>
          <w:tcPr>
            <w:tcW w:w="1401" w:type="dxa"/>
            <w:tcBorders>
              <w:top w:val="single" w:sz="12" w:space="0" w:color="auto"/>
            </w:tcBorders>
          </w:tcPr>
          <w:p w14:paraId="36DD16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Полная мощность двигателя при работе на газе, л.с.</w:t>
            </w:r>
          </w:p>
        </w:tc>
        <w:tc>
          <w:tcPr>
            <w:tcW w:w="1401" w:type="dxa"/>
            <w:tcBorders>
              <w:top w:val="single" w:sz="12" w:space="0" w:color="auto"/>
            </w:tcBorders>
          </w:tcPr>
          <w:p w14:paraId="5AC5C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Потеря полной мощности, %</w:t>
            </w:r>
          </w:p>
        </w:tc>
      </w:tr>
      <w:tr w:rsidR="00DA227A" w:rsidRPr="00E93F40" w14:paraId="36A7521E" w14:textId="77777777">
        <w:tc>
          <w:tcPr>
            <w:tcW w:w="1401" w:type="dxa"/>
          </w:tcPr>
          <w:p w14:paraId="0F1A8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Введенского</w:t>
            </w:r>
          </w:p>
        </w:tc>
        <w:tc>
          <w:tcPr>
            <w:tcW w:w="1401" w:type="dxa"/>
          </w:tcPr>
          <w:p w14:paraId="07826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63,7</w:t>
            </w:r>
          </w:p>
        </w:tc>
        <w:tc>
          <w:tcPr>
            <w:tcW w:w="1401" w:type="dxa"/>
          </w:tcPr>
          <w:p w14:paraId="31BA59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24,9</w:t>
            </w:r>
          </w:p>
        </w:tc>
        <w:tc>
          <w:tcPr>
            <w:tcW w:w="1401" w:type="dxa"/>
          </w:tcPr>
          <w:p w14:paraId="55003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60,9</w:t>
            </w:r>
          </w:p>
        </w:tc>
        <w:tc>
          <w:tcPr>
            <w:tcW w:w="1401" w:type="dxa"/>
          </w:tcPr>
          <w:p w14:paraId="047A3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59,8</w:t>
            </w:r>
          </w:p>
        </w:tc>
        <w:tc>
          <w:tcPr>
            <w:tcW w:w="1401" w:type="dxa"/>
          </w:tcPr>
          <w:p w14:paraId="5F096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91.7</w:t>
            </w:r>
          </w:p>
        </w:tc>
        <w:tc>
          <w:tcPr>
            <w:tcW w:w="1401" w:type="dxa"/>
          </w:tcPr>
          <w:p w14:paraId="0779B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42,4</w:t>
            </w:r>
          </w:p>
        </w:tc>
        <w:tc>
          <w:tcPr>
            <w:tcW w:w="1401" w:type="dxa"/>
          </w:tcPr>
          <w:p w14:paraId="64233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53,8</w:t>
            </w:r>
          </w:p>
        </w:tc>
      </w:tr>
      <w:tr w:rsidR="00DA227A" w:rsidRPr="00E93F40" w14:paraId="616CCFF5" w14:textId="77777777">
        <w:tc>
          <w:tcPr>
            <w:tcW w:w="1401" w:type="dxa"/>
          </w:tcPr>
          <w:p w14:paraId="4C060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Наумова</w:t>
            </w:r>
          </w:p>
        </w:tc>
        <w:tc>
          <w:tcPr>
            <w:tcW w:w="1401" w:type="dxa"/>
          </w:tcPr>
          <w:p w14:paraId="1EF46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63,7</w:t>
            </w:r>
          </w:p>
        </w:tc>
        <w:tc>
          <w:tcPr>
            <w:tcW w:w="1401" w:type="dxa"/>
          </w:tcPr>
          <w:p w14:paraId="210A22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26,1</w:t>
            </w:r>
          </w:p>
        </w:tc>
        <w:tc>
          <w:tcPr>
            <w:tcW w:w="1401" w:type="dxa"/>
          </w:tcPr>
          <w:p w14:paraId="1CCD7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1401" w:type="dxa"/>
          </w:tcPr>
          <w:p w14:paraId="10ABE9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53,8</w:t>
            </w:r>
          </w:p>
        </w:tc>
        <w:tc>
          <w:tcPr>
            <w:tcW w:w="1401" w:type="dxa"/>
          </w:tcPr>
          <w:p w14:paraId="2E2DE4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91.7</w:t>
            </w:r>
          </w:p>
        </w:tc>
        <w:tc>
          <w:tcPr>
            <w:tcW w:w="1401" w:type="dxa"/>
          </w:tcPr>
          <w:p w14:paraId="31B64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42,9</w:t>
            </w:r>
          </w:p>
        </w:tc>
        <w:tc>
          <w:tcPr>
            <w:tcW w:w="1401" w:type="dxa"/>
          </w:tcPr>
          <w:p w14:paraId="39ADF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53,3</w:t>
            </w:r>
          </w:p>
        </w:tc>
      </w:tr>
      <w:tr w:rsidR="00DA227A" w:rsidRPr="00E93F40" w14:paraId="14A65CD6" w14:textId="77777777">
        <w:tc>
          <w:tcPr>
            <w:tcW w:w="1401" w:type="dxa"/>
            <w:tcBorders>
              <w:bottom w:val="single" w:sz="12" w:space="0" w:color="auto"/>
            </w:tcBorders>
          </w:tcPr>
          <w:p w14:paraId="2672E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Декаленкова</w:t>
            </w:r>
          </w:p>
        </w:tc>
        <w:tc>
          <w:tcPr>
            <w:tcW w:w="1401" w:type="dxa"/>
            <w:tcBorders>
              <w:bottom w:val="single" w:sz="12" w:space="0" w:color="auto"/>
            </w:tcBorders>
          </w:tcPr>
          <w:p w14:paraId="212B2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61,2</w:t>
            </w:r>
          </w:p>
        </w:tc>
        <w:tc>
          <w:tcPr>
            <w:tcW w:w="1401" w:type="dxa"/>
            <w:tcBorders>
              <w:bottom w:val="single" w:sz="12" w:space="0" w:color="auto"/>
            </w:tcBorders>
          </w:tcPr>
          <w:p w14:paraId="0FE217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22,2</w:t>
            </w:r>
          </w:p>
        </w:tc>
        <w:tc>
          <w:tcPr>
            <w:tcW w:w="1401" w:type="dxa"/>
            <w:tcBorders>
              <w:bottom w:val="single" w:sz="12" w:space="0" w:color="auto"/>
            </w:tcBorders>
          </w:tcPr>
          <w:p w14:paraId="6FA53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63,7</w:t>
            </w:r>
          </w:p>
        </w:tc>
        <w:tc>
          <w:tcPr>
            <w:tcW w:w="1401" w:type="dxa"/>
            <w:tcBorders>
              <w:bottom w:val="single" w:sz="12" w:space="0" w:color="auto"/>
            </w:tcBorders>
          </w:tcPr>
          <w:p w14:paraId="318365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60,8</w:t>
            </w:r>
          </w:p>
        </w:tc>
        <w:tc>
          <w:tcPr>
            <w:tcW w:w="1401" w:type="dxa"/>
            <w:tcBorders>
              <w:bottom w:val="single" w:sz="12" w:space="0" w:color="auto"/>
            </w:tcBorders>
          </w:tcPr>
          <w:p w14:paraId="18C88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87,6</w:t>
            </w:r>
          </w:p>
        </w:tc>
        <w:tc>
          <w:tcPr>
            <w:tcW w:w="1401" w:type="dxa"/>
            <w:tcBorders>
              <w:bottom w:val="single" w:sz="12" w:space="0" w:color="auto"/>
            </w:tcBorders>
          </w:tcPr>
          <w:p w14:paraId="6109B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37,6</w:t>
            </w:r>
          </w:p>
        </w:tc>
        <w:tc>
          <w:tcPr>
            <w:tcW w:w="1401" w:type="dxa"/>
            <w:tcBorders>
              <w:bottom w:val="single" w:sz="12" w:space="0" w:color="auto"/>
            </w:tcBorders>
          </w:tcPr>
          <w:p w14:paraId="4BFF1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p>
        </w:tc>
      </w:tr>
    </w:tbl>
    <w:p w14:paraId="4D443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 традиционными для газогенераторных установок недостатками (см. таблицу) были зафиксированы и отдельные производственные и конструктивные дефекты. Например, в установке Декаленкова отмечалось большое число ненадежных болтовых соединений; установка системы Введенского отличалась неэффективностью примененных катализаторов; неудовлетворительную прочность кирпичной футеровки показала установка Наумова. Общим же недостатком всех установок стала неудовлетворительная очистка газа. По результатам испытаний была признана необходимость совершенствования всех представленных конструкций (12009).</w:t>
      </w:r>
    </w:p>
    <w:p w14:paraId="4C887E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зиме 1933-1934 гг. установка системы Введенского на тракторе 3-90 была в целом доведена и под обозначением В-3 представлена на госиспытания на предмет определения пригодности ее к использованию в военных целях (12009).</w:t>
      </w:r>
    </w:p>
    <w:p w14:paraId="2B646D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D938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В научно-исследовательском институте радиовещания и телевидения (НИИРТ) сконструирован аппарат для магнитной записи звука на проволоке (9923).</w:t>
      </w:r>
    </w:p>
    <w:p w14:paraId="166C4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140E7B" w14:textId="77777777" w:rsidR="0094098A" w:rsidRPr="00E93F40" w:rsidRDefault="009409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Главное военно-мобилизационное управление (ГВМУ) НКТП потребовало от ВЭСО принять дополнительный наряд на 250 коммутаторов для УВМС49, а также 1690 коммутаторов для РККА (18297).</w:t>
      </w:r>
    </w:p>
    <w:p w14:paraId="207C5C47" w14:textId="77777777" w:rsidR="0094098A" w:rsidRPr="00E93F40" w:rsidRDefault="0094098A" w:rsidP="00E93F40">
      <w:pPr>
        <w:spacing w:after="0" w:line="240" w:lineRule="auto"/>
        <w:jc w:val="both"/>
        <w:rPr>
          <w:rFonts w:ascii="Times New Roman" w:hAnsi="Times New Roman"/>
          <w:color w:val="000000" w:themeColor="text1"/>
          <w:sz w:val="16"/>
          <w:szCs w:val="16"/>
        </w:rPr>
      </w:pPr>
    </w:p>
    <w:p w14:paraId="5DECD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в докладной записке о состоянии цехового и бригадного хозрасчёта в Трансформаторном отделе говорилось: «… Подлинного хозрасчёта нет, есть только формальный хозрасчёт цехов. Спускаемый в цех финплан планово-экономического отдела – не что иное как что-то относительное. Показатели финплана очень ограничены – сумма выпуска, число рабочих, фонд зарплаты, сметы накладных расходов…. Что касается организации складского хозяйства, то там отсутствует какой-либо учёт, отпускается кому сколько угодно. Учёт рабсилы, простоя рабсилы, оборудования, брака поставлен из рук вон плохо. Договорная система между цехами, а так же бригадами отсутствует…. Единой системы учёта показателей нет, каждый делает по своему. Установить, кто отвечает за бригадный учёт невозможно, так как им занимаются бухгалтер, экономист и бригадиры…». В той же записке уточняется, что, хотя, без учёта механического цеха, в отделе числятся 86 хозрасчётных бригад, реальный хозрасчёт есть только в 23. Механический цех не случайно был выделен особо. В этом цехе к проблеме хозрасчёта отнеслись очень ответственно. Была «поднята на ноги цеховая общественность, заставили цеховую бухгалтерию и склад обслуживать хозрасчётные бригады». В результате уже в январе хозрасчётные бригады цеха дали экономии на материалах на 1285 руб., сокращение брака дало экономию ещё в 184 руб., а производительность повысилась на 15,3%.</w:t>
      </w:r>
    </w:p>
    <w:p w14:paraId="60FD4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Проведённая в феврале-марте 1932 г. проверка хозрасчёта на Электрозаводе выявила безрадостную картину. Видимо, порядок исчисления и выдачи премий за экономию был ещё не отработан, поэтому хозрасчётные бригады систематически не получали положенную премию. В результате администрация разразилась приказом немедленно выплатить хозрасчётным бригадам всё положенной. Особенно тяжёлым оказалось положение бригадиров хозрасчётных бригад. Объём бюрократических работ, свалившихся на них (вне зависимости от получения или не получения премии) явно отпугивал работников от этой обузы, поэтому заводоуправление было вынуждено существенно подсластить пилюлю – неосвобождённым бригадирам хозрасчётных бригад было приказано выплачивать дополнительное вознаграждение в размере 10-25% тарифной ставки, а сменным заместителям бригадиров (если бригада была многосменной) – 5-15% от ставки. Видимо, на Электрозаводе многие ещё не очень хорошо понимали, что такое хозрасчёт, поэтому заводоуправление настойчиво разъясняло, что основной целью хозрасчёта является экономия, и премирование за достигнутые результаты так же следует производить из достигнутой экономии, практику же создания специальных премиальных фондов для хозрасчётных бригад надо прекратить. Размер премии определялся в 20-60% от полученной экономии. Особо оговаривалось, что бригада, получившая экономию, премируется вне зависимости от достижений цеха (11564).</w:t>
      </w:r>
    </w:p>
    <w:p w14:paraId="6FF45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CC2708" w14:textId="77777777" w:rsidR="00684A8A" w:rsidRPr="00E93F40" w:rsidRDefault="00684A8A" w:rsidP="00E93F40">
      <w:pPr>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В марте 1932 г. в служебной записке, направленной управляющим ВЭСО В. И. Романовским в Иностранный сектор Наркомата тяжелой промышленности (НКТП), подчеркивалось: «Как производство, так и развернутая сеть научно-исследовательских работ требуют корректировки по данным наилучших конструкций заграницы и результатам заграничных научно-технических разработок, что сильно ускоряет наш путь самостоятельной работы» [Там же]. Аналогичные мысли звучали и в резолюции прошедшей в Ленинграде в мае 1932 г. конференции по обсуждению вопросов второй технической пятилетки в области военной связи, носившей по сути дела характер конференции отраслевой [11, д. 39, л. 120]. Интересы динамичного развития отрасли настоятельно требовали наличия полномасштабного договора о технической помощи хотя бы с одной из крупных западных компаний, договора, аналогичного по своему характеру и широте охватываемых проблем договору 1923 г. с французской фирмой (12695).</w:t>
      </w:r>
    </w:p>
    <w:p w14:paraId="0F0207F2"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p>
    <w:p w14:paraId="5BF77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на НИАПе было проведено первое испытание стрельбой 305-мм ДРП. Эта пушка представляла собой ствол старой 305/40-мм пушки № 74, переделанный на заводе «Большевик».</w:t>
      </w:r>
    </w:p>
    <w:p w14:paraId="40BF6E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Пушка № 74 была укорочена с дульной части на 3472 мм. Таким образом, длина ствола ДРП стала 8720 мм, то есть 28,6 калибра. Вместо затвора было вставлено сопло длиной 3326 мм, таким образом, длина ствола с соплом стала 12 046 мм. Стрельба из пушки производилась с клетки из деревянных бревен.</w:t>
      </w:r>
    </w:p>
    <w:p w14:paraId="0B02A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1934 г. на заводе «Большевик» была закончена новая 305-мм ДРП «305-К». 21–23 сентября 1934 г. она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0018E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Данные испытывавшейся ДРП (305-К) </w:t>
      </w:r>
    </w:p>
    <w:p w14:paraId="57511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305</w:t>
      </w:r>
    </w:p>
    <w:p w14:paraId="5CD9C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с соплом, мм/клб — 12035/39,4</w:t>
      </w:r>
    </w:p>
    <w:p w14:paraId="29C1C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без сопла, клб — 25</w:t>
      </w:r>
    </w:p>
    <w:p w14:paraId="0A667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нарезной части, мм — 9515</w:t>
      </w:r>
    </w:p>
    <w:p w14:paraId="1709A5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ВН, град — +35</w:t>
      </w:r>
    </w:p>
    <w:p w14:paraId="6827A8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Вес ствола, т — 10</w:t>
      </w:r>
    </w:p>
    <w:p w14:paraId="546B1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системы, т — 17,5</w:t>
      </w:r>
    </w:p>
    <w:p w14:paraId="2ADF7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59AF3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четырех точек на эсминце «Энгельс» было произведено 11 выстрелов.</w:t>
      </w:r>
    </w:p>
    <w:p w14:paraId="310D70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6B9BFD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5A4677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мнению комиссии: проведенные испытания показали полную возможность установки 305-мм ДРП на эсминцах.</w:t>
      </w:r>
    </w:p>
    <w:p w14:paraId="5C714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20 305-мм снарядов на ствол. На эсминце сохранялись два 102/60-мм орудия на палубах и два трехтрубных торпедных аппарата.</w:t>
      </w:r>
    </w:p>
    <w:p w14:paraId="01667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53725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6449B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Изготовление второго ствола 305-К затянулось. На 1 декабря 1934 г. на «Большевике» в работе находились труба, кожух и детали сопла. Заказ перешел на I квартал 1935 г. Второй ствол предполагалось изготовить с более глубокой нарезкой, чем первый.</w:t>
      </w:r>
    </w:p>
    <w:p w14:paraId="7BE18AD7" w14:textId="41F515D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февраля 1934 г. на заседании заместителя наркома по военным и морским делам Курчевский доложил об испытаниях 305-мм ДРП, и Тухачевский немедленно предложил наркомату судостроения спроектировать боевой корабль принципиально нового типа с недостижимой по тем временам скоростью для крейсеров и эсминцев — 42 узла, а вооружить корабль Тухачевский потребовал шестью 305-мм ДРП Курчевского. От флота присутствовал военмор Лудри,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 он сидел тихо, как мышь (12091).</w:t>
      </w:r>
    </w:p>
    <w:p w14:paraId="16984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6381C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0675E90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78E3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начальник НИИ ВВС Бузанов выступил с докладом на тему"глубинной" стратегии, в котором, в частности, говорилось о том, что развитие советских ВВС "должно быть целеустремлено в сторону развития наступательных средств".</w:t>
      </w:r>
    </w:p>
    <w:p w14:paraId="5CB86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Следует учесть, что ни у кого, ни на западе, ни на востоке, тогда не было тяжелобомбардировочной авиации. С окончанием Первой мировой старые деревянные многомоторные бипланы быстро ушли со сцены. Новое поколение тяжелых бомбардировщиков зародилось только во второй половине 30-х годов. Стратегическая авиация появилась в США лишь в конце 30-х годов, в Англии - уже в ходе Второй мировой войны. Франция обладала незначительным количеством самолетов этого класса. Японцы располагали всего пятью четырехмоторными бомбардировщиками, являвшимися переделками немецких пассажирских самолетов. Имевшиеся в наличии у ВВС РККА сотни ТБ-3 являлись тогда грозным оружием и немаловажным инструментом внешней политики. Соединения же многомоторных монстров стали бы еше опаснее. В условиях слабо развитой системы ПВО воздушные гиганты могли нанести огромный ущерб промышленным и политическим центрам потенциальных противников. Мобильный стратегический "кулак" мог в короткое время сосредоточиться у любой границы.</w:t>
      </w:r>
    </w:p>
    <w:p w14:paraId="289CF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 тяжелых бомбардировщиков виделось массированным. Уже в 1932 г. предлагалось: "...необходимо выделение тяжелобомбардировочной и крейсерской авиации в особый корпус, подчиненный во всех отношениях Начальнику ВВС РККА для выполнения задач Главного Командования". Двигаясь в этом направлении, в 1933 г. создали тяжелобомбардировочные корпуса, а с 1936 г. формировались армии особого назначения (АОН). Это были мощные объединения, включавшие четыре-шесть бригад, в том числе две-три тяжелые. Армия особого назначения насчитывала 250 - 260 самолетов, в том числе 150 - 170 тяжелых бомбардировщиков.</w:t>
      </w:r>
    </w:p>
    <w:p w14:paraId="28E11D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духе этих идей был в свое время сформулирован документ "Система вооружения ВВС РККА на 1932-34 гг.", представлявший собой сумму перспективных заданий на новые самолеты, двигатели, оборудование и вооружение для них. Аналогично были расставлены акценты и в плане опытного самолетостроения и авиационного моторостроения, принятом Реввоенсоветом СССР весной 1931 г.</w:t>
      </w:r>
    </w:p>
    <w:p w14:paraId="5F455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первом из этих документов говорилось: "Основной идеей системы стратегической авиации является базирование на тяжелом бомбардировщике с весом 15 - 18 тонн, с радиусом действия 1000 - 1400 км, бомбовой нагрузкой 3000 - 5000 кг, потолком 8000 м... с одновременным развитием сверхтяжелого бомбардировщика и доведением его данных до полетного веса 140 - 150 тонн, бомбовой нагрузки до 25 тонн, радиуса действия до 2000 км".</w:t>
      </w:r>
    </w:p>
    <w:p w14:paraId="034402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предполагался постепенный переход ко все большим по размерам и весу бомбардировщикам. Двухмоторный ТБ-1 уже отошел в разряд машин войсковой авиации. "Лестница наверх" начиналась с ТБ-3, считавшегося по тогдашней классификации "линкором 2-го класса". Он, с некоторыми отступлениями в части грузоподъемности и потолка, в целом соответствовал требованиям к "базовой", самой массовой машине стратегической авиации. Затем следовал еще больший по размерам, но по заданию тоже четырехмоторный (на деле его выполнили шестимоторным) ТБ-4 - "линкор 1-го класса", также являвшийся детищем А.Н. Туполева. "Дублером" ТБ-4 считался К-7, создававшийся в Харькове под руководством К.А. Калинина.</w:t>
      </w:r>
    </w:p>
    <w:p w14:paraId="63206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следующей стадии ВВС предполагали получить огромные сверхтяжелые бомбардировщики. В документах они никак не классифицировались. Наверное, следовало бы их назвать "суперлинкорами" или "дредноутами". В качестве таковых рассматривались туполевский ТБ-6 либо конкурировавший с ним десятимоторный (по заданию, реально - двенадцатимоторный) Д-l (он же Г-1), разрабатывавшийся в Военно-воздушной академии имени Жуковского. Готовились технические задания на еще большие машины. "Основное развитие бомбардировщиков должно идти по линии стратегической авиации", - указывалось в докладе о перспективах ВВС во 2-й пятилетке (март 1933 г.).</w:t>
      </w:r>
    </w:p>
    <w:p w14:paraId="6DA36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Всю эту армаду должны были поддерживать "вспомогательные бомбардировщики" - такие же огромные самолеты ГВФ, на которых заранее предусматривалась установка стрелкового и бомбового вооружения. Они должны были бомбить цели по ночам. Эта концепция являлась аналогом "вспомогательного крейсера" в военно-морском флоте. Во вспомогательные крейсера во время войны превращали быстроходные торговые суда и пассажирские лайнеры. Применительно к авиации ее впервые опробовали немцы. Лишенные Версальским договором права иметь военную авиацию, они намеревались в случае боевых действий "поставить под ружье" пассажирские самолеты, установив на них бомбодержатели и пулеметы по заранее отлаженной схеме.</w:t>
      </w:r>
    </w:p>
    <w:p w14:paraId="3193AD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ту же "Систему вооружений...", подготовленную в 1931 г., включались гражданские самолеты, в конструкцию которых исходно закладывалось двойное назначение. Они могли служить при необходимости как тяжелые военно-транспортные машины или бомбардировщики. Это были ГТБ (бомбовая нагрузка семь тонн), ГТБТ (десять тонн), 9ТБТ (15 тонн) и ГТБ-5 (три тонны). В последнем собирались странным образом совместить военные функции бомбардировщика и "летающей амбулатории". Немного позже 9ТБТ заменили на почти идентичный по требованиям, но уже чисто военный ТБ-8 и добавили ТБ-9 под 25 тонн бомб.</w:t>
      </w:r>
    </w:p>
    <w:p w14:paraId="096D49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 гигантомания поразила и руководство Гражданского воздушного флота. Оно, невзирая на возможности промышленности и реально не такие уж большие пассажиропотоки, тоже требовало проектирования и строительства огромных многомоторных пассажирских и грузовых самолетов. В значительной мере их заказ оправдывали соображениями престижа страны, но и о потен- цияльном военном использовании тоже не забывали (12024).</w:t>
      </w:r>
    </w:p>
    <w:p w14:paraId="40BAF8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A70461" w14:textId="77777777" w:rsidR="00871EDF" w:rsidRPr="00E93F40" w:rsidRDefault="00871ED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тогдашний начальник НИИ ВВС Бузанов выступил на тему «глубин</w:t>
      </w:r>
      <w:r w:rsidRPr="00E93F40">
        <w:rPr>
          <w:rFonts w:ascii="Times New Roman" w:hAnsi="Times New Roman"/>
          <w:color w:val="000000" w:themeColor="text1"/>
          <w:sz w:val="16"/>
          <w:szCs w:val="16"/>
        </w:rPr>
        <w:softHyphen/>
        <w:t>ной» стратегии с докладом, в котором, в част</w:t>
      </w:r>
      <w:r w:rsidRPr="00E93F40">
        <w:rPr>
          <w:rFonts w:ascii="Times New Roman" w:hAnsi="Times New Roman"/>
          <w:color w:val="000000" w:themeColor="text1"/>
          <w:sz w:val="16"/>
          <w:szCs w:val="16"/>
        </w:rPr>
        <w:softHyphen/>
        <w:t>ности, говорилось о том, что разви</w:t>
      </w:r>
      <w:r w:rsidRPr="00E93F40">
        <w:rPr>
          <w:rFonts w:ascii="Times New Roman" w:hAnsi="Times New Roman"/>
          <w:color w:val="000000" w:themeColor="text1"/>
          <w:sz w:val="16"/>
          <w:szCs w:val="16"/>
        </w:rPr>
        <w:softHyphen/>
        <w:t>тие советских ВВС «должно быть целеустремлено в сторону разви</w:t>
      </w:r>
      <w:r w:rsidRPr="00E93F40">
        <w:rPr>
          <w:rFonts w:ascii="Times New Roman" w:hAnsi="Times New Roman"/>
          <w:color w:val="000000" w:themeColor="text1"/>
          <w:sz w:val="16"/>
          <w:szCs w:val="16"/>
        </w:rPr>
        <w:softHyphen/>
        <w:t>тия наступательных средств».</w:t>
      </w:r>
    </w:p>
    <w:p w14:paraId="605FF1C0" w14:textId="77777777" w:rsidR="00871EDF" w:rsidRPr="00E93F40" w:rsidRDefault="00871ED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духе этих идей был сформу</w:t>
      </w:r>
      <w:r w:rsidRPr="00E93F40">
        <w:rPr>
          <w:rFonts w:ascii="Times New Roman" w:hAnsi="Times New Roman"/>
          <w:color w:val="000000" w:themeColor="text1"/>
          <w:sz w:val="16"/>
          <w:szCs w:val="16"/>
        </w:rPr>
        <w:softHyphen/>
        <w:t>лирован документ «Система воору</w:t>
      </w:r>
      <w:r w:rsidRPr="00E93F40">
        <w:rPr>
          <w:rFonts w:ascii="Times New Roman" w:hAnsi="Times New Roman"/>
          <w:color w:val="000000" w:themeColor="text1"/>
          <w:sz w:val="16"/>
          <w:szCs w:val="16"/>
        </w:rPr>
        <w:softHyphen/>
        <w:t>жения ВВС РККА на 1932-34 гг», представлявший собой сумму пер</w:t>
      </w:r>
      <w:r w:rsidRPr="00E93F40">
        <w:rPr>
          <w:rFonts w:ascii="Times New Roman" w:hAnsi="Times New Roman"/>
          <w:color w:val="000000" w:themeColor="text1"/>
          <w:sz w:val="16"/>
          <w:szCs w:val="16"/>
        </w:rPr>
        <w:softHyphen/>
        <w:t>спективных заданий на новые са</w:t>
      </w:r>
      <w:r w:rsidRPr="00E93F40">
        <w:rPr>
          <w:rFonts w:ascii="Times New Roman" w:hAnsi="Times New Roman"/>
          <w:color w:val="000000" w:themeColor="text1"/>
          <w:sz w:val="16"/>
          <w:szCs w:val="16"/>
        </w:rPr>
        <w:softHyphen/>
        <w:t>молёты, двигатели, оборудование и вооружение для них. Аналогично были расставлены акценты и в плане опытного самолётостро</w:t>
      </w:r>
      <w:r w:rsidRPr="00E93F40">
        <w:rPr>
          <w:rFonts w:ascii="Times New Roman" w:hAnsi="Times New Roman"/>
          <w:color w:val="000000" w:themeColor="text1"/>
          <w:sz w:val="16"/>
          <w:szCs w:val="16"/>
        </w:rPr>
        <w:softHyphen/>
        <w:t>ения и авиационного моторостро</w:t>
      </w:r>
      <w:r w:rsidRPr="00E93F40">
        <w:rPr>
          <w:rFonts w:ascii="Times New Roman" w:hAnsi="Times New Roman"/>
          <w:color w:val="000000" w:themeColor="text1"/>
          <w:sz w:val="16"/>
          <w:szCs w:val="16"/>
        </w:rPr>
        <w:softHyphen/>
        <w:t>ения, принятом Реввоенсоветом СССР весной 1931 г.</w:t>
      </w:r>
    </w:p>
    <w:p w14:paraId="5BCA3DE5" w14:textId="77777777" w:rsidR="00871EDF" w:rsidRPr="00E93F40" w:rsidRDefault="00871ED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первом из этих документов го</w:t>
      </w:r>
      <w:r w:rsidRPr="00E93F40">
        <w:rPr>
          <w:rFonts w:ascii="Times New Roman" w:hAnsi="Times New Roman"/>
          <w:color w:val="000000" w:themeColor="text1"/>
          <w:sz w:val="16"/>
          <w:szCs w:val="16"/>
        </w:rPr>
        <w:softHyphen/>
        <w:t>ворилось: «Основной идеей систе</w:t>
      </w:r>
      <w:r w:rsidRPr="00E93F40">
        <w:rPr>
          <w:rFonts w:ascii="Times New Roman" w:hAnsi="Times New Roman"/>
          <w:color w:val="000000" w:themeColor="text1"/>
          <w:sz w:val="16"/>
          <w:szCs w:val="16"/>
        </w:rPr>
        <w:softHyphen/>
        <w:t>мы стратегической авиации явля</w:t>
      </w:r>
      <w:r w:rsidRPr="00E93F40">
        <w:rPr>
          <w:rFonts w:ascii="Times New Roman" w:hAnsi="Times New Roman"/>
          <w:color w:val="000000" w:themeColor="text1"/>
          <w:sz w:val="16"/>
          <w:szCs w:val="16"/>
        </w:rPr>
        <w:softHyphen/>
        <w:t>ется базирование на тяжёлом бомбардировщике с весом 15-18 тонн, с радиусом действия 1000- 1400 км, бомбовой нагрузкой 3000- 5000 кг, потолком 8000 м... с одно</w:t>
      </w:r>
      <w:r w:rsidRPr="00E93F40">
        <w:rPr>
          <w:rFonts w:ascii="Times New Roman" w:hAnsi="Times New Roman"/>
          <w:color w:val="000000" w:themeColor="text1"/>
          <w:sz w:val="16"/>
          <w:szCs w:val="16"/>
        </w:rPr>
        <w:softHyphen/>
        <w:t>временным развитием сверхтяжё</w:t>
      </w:r>
      <w:r w:rsidRPr="00E93F40">
        <w:rPr>
          <w:rFonts w:ascii="Times New Roman" w:hAnsi="Times New Roman"/>
          <w:color w:val="000000" w:themeColor="text1"/>
          <w:sz w:val="16"/>
          <w:szCs w:val="16"/>
        </w:rPr>
        <w:softHyphen/>
        <w:t>лого бомбардировщика и доведени</w:t>
      </w:r>
      <w:r w:rsidRPr="00E93F40">
        <w:rPr>
          <w:rFonts w:ascii="Times New Roman" w:hAnsi="Times New Roman"/>
          <w:color w:val="000000" w:themeColor="text1"/>
          <w:sz w:val="16"/>
          <w:szCs w:val="16"/>
        </w:rPr>
        <w:softHyphen/>
        <w:t>ем его данных до полётного веса 140-150 тонн, бомбовой нагрузки до 25 тонн, радиуса действия до 2000 км» (23469).</w:t>
      </w:r>
    </w:p>
    <w:p w14:paraId="78B570A6" w14:textId="77777777" w:rsidR="00871EDF" w:rsidRPr="00E93F40" w:rsidRDefault="00871EDF" w:rsidP="00E93F40">
      <w:pPr>
        <w:spacing w:after="0" w:line="240" w:lineRule="auto"/>
        <w:jc w:val="both"/>
        <w:rPr>
          <w:rFonts w:ascii="Times New Roman" w:hAnsi="Times New Roman"/>
          <w:color w:val="000000" w:themeColor="text1"/>
          <w:sz w:val="16"/>
          <w:szCs w:val="16"/>
        </w:rPr>
      </w:pPr>
    </w:p>
    <w:p w14:paraId="5FE3A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 ВВС РККА в соответствии со стратегическим и оперативно-тактическим назначением была разделена на войсковую, армейскую и фронтовую (2606,35).</w:t>
      </w:r>
    </w:p>
    <w:p w14:paraId="3B024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F789F1" w14:textId="52A00A33" w:rsidR="00E144D6" w:rsidRPr="00E93F40" w:rsidRDefault="00E144D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марта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соответствии со стратегическим и оперативно-тактическим назначением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разделились на войсковую, армейскую и фронтовую авиацию. В ноябре 1940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отдельно выделилась авиация Главного командования.</w:t>
      </w:r>
    </w:p>
    <w:p w14:paraId="1373C981" w14:textId="799B0432" w:rsidR="00E144D6" w:rsidRPr="00E93F40" w:rsidRDefault="00E144D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Войсковая авиация включала в себя отдельные эскадрильи, по одной на каждый стрелковый, механизированный и кавалерийский корпус. На вооружении эскадрилий находились легкие самолеты для разведки, связи и корректировки артиллерийского огня. Армейская авиация состояла из отдельных смешанных авиационных соединений (авиадивизий), входивших в общевойсковые армии, в основном по одному авиасоединению на армию. Фронтовая авиация входила в военные округа, состояла из частей и соединений различных родов авиации и действовала в соответствии с планами округа (фронта). Существовала до ноября 1942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Авиация Главного командования предназначалась для проведения самостоятельных воздушных операций по нанесению бомбовых ударов по объектам в глубоком тылу противника и включала в себя авиационные корпуса и отдельные дивизии. Позднее была переименована на авиацию дальнего действия.</w:t>
      </w:r>
    </w:p>
    <w:p w14:paraId="5C06235E" w14:textId="77777777" w:rsidR="00E144D6" w:rsidRPr="00E93F40" w:rsidRDefault="00E144D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Военная авиация подразделялась на истребительную, бомбардировочную, штурмовую и разведывательную. К началу войны бомбардировочная авиация была представлена ближней (фронтовой) и дальней бомбардировочной авиацией.</w:t>
      </w:r>
    </w:p>
    <w:p w14:paraId="7287AE41" w14:textId="64CE1330" w:rsidR="00E144D6" w:rsidRPr="00E93F40" w:rsidRDefault="00E144D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w:t>
      </w:r>
      <w:r w:rsidRPr="00E93F40">
        <w:rPr>
          <w:rFonts w:ascii="Times New Roman" w:hAnsi="Times New Roman"/>
          <w:color w:val="000000" w:themeColor="text1"/>
          <w:sz w:val="16"/>
          <w:szCs w:val="16"/>
        </w:rPr>
        <w:noBreakHyphen/>
        <w:t>1939 гг. ВВС были переведены с бригадной организации на полковую и дивизионную. Основной тактической единицей стал полк, первичным подразделением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являлось звено.</w:t>
      </w:r>
    </w:p>
    <w:p w14:paraId="5A34DD09" w14:textId="26E99188" w:rsidR="00E144D6" w:rsidRPr="00E93F40" w:rsidRDefault="00E144D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произошли изменения в структуре и численности самолетов эскадрилий. С этого времени бомбардировочная авиационная эскадрилья включала в себя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звена по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самолета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самолетов), штурмовая эскадрилья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боевых звена и одного резервного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самолетов), истребительная эскадрилья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звеньев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самолетов).</w:t>
      </w:r>
    </w:p>
    <w:p w14:paraId="391091FD" w14:textId="4564CB90" w:rsidR="00E144D6" w:rsidRPr="00E93F40" w:rsidRDefault="00E144D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1940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наркомом обороны СССР был издан приказ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0105 по аэрофотослужбе ВВС Красной армии, в соответствии с которым в штабе ВВС организовывался отдел аэрофотослужбы. Во всех приграничных округах вводились отделения, а в авиационных бригадах и полках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начальники аэрофотослужбы.</w:t>
      </w:r>
    </w:p>
    <w:p w14:paraId="4BBD6A15" w14:textId="24FA9DFF" w:rsidR="00E144D6" w:rsidRPr="00E93F40" w:rsidRDefault="00E144D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1940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постановлением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была утверждена новая организационная структура ВВС Красной армии: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авиационная дивизия в составе управления дивизии и 4</w:t>
      </w:r>
      <w:r w:rsidRPr="00E93F40">
        <w:rPr>
          <w:rFonts w:ascii="Times New Roman" w:hAnsi="Times New Roman"/>
          <w:color w:val="000000" w:themeColor="text1"/>
          <w:sz w:val="16"/>
          <w:szCs w:val="16"/>
        </w:rPr>
        <w:noBreakHyphen/>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авиационных полков,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отдельная авиационная бригада в составе управления бригады и 2</w:t>
      </w:r>
      <w:r w:rsidRPr="00E93F40">
        <w:rPr>
          <w:rFonts w:ascii="Times New Roman" w:hAnsi="Times New Roman"/>
          <w:color w:val="000000" w:themeColor="text1"/>
          <w:sz w:val="16"/>
          <w:szCs w:val="16"/>
        </w:rPr>
        <w:noBreakHyphen/>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авиационных полков,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авиационный полк в составе 4</w:t>
      </w:r>
      <w:r w:rsidRPr="00E93F40">
        <w:rPr>
          <w:rFonts w:ascii="Times New Roman" w:hAnsi="Times New Roman"/>
          <w:color w:val="000000" w:themeColor="text1"/>
          <w:sz w:val="16"/>
          <w:szCs w:val="16"/>
        </w:rPr>
        <w:noBreakHyphen/>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авиационных эскадрилий,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авиационная эскадрилья в составе 4</w:t>
      </w:r>
      <w:r w:rsidRPr="00E93F40">
        <w:rPr>
          <w:rFonts w:ascii="Times New Roman" w:hAnsi="Times New Roman"/>
          <w:color w:val="000000" w:themeColor="text1"/>
          <w:sz w:val="16"/>
          <w:szCs w:val="16"/>
        </w:rPr>
        <w:noBreakHyphen/>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авиазвеньев,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авиационное звено в составе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самолетов. Тогда же была утверждена организация смешанной, дальнебомбардировочной и истребительной дивизий, установлены конкретные сроки проведения оргмероприятий, Наркомат обороны СССР получил разрешение увеличить штатную численность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 на 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w:t>
      </w:r>
    </w:p>
    <w:p w14:paraId="3C9B72EF" w14:textId="07C8E5BF" w:rsidR="00E144D6" w:rsidRPr="00E93F40" w:rsidRDefault="00E144D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1941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и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приняли постановление “О реорганизации авиационных сил Красной армии”, которое в течение года предусматривало существенное увеличение численности авиации приграничных военных округов, улучшение подготовки авиационных кадров, реорганизацию авиационного тыла, а также проведение необходимых мероприятий по реконструкции и расширению аэродромной сети. Особое внимание было уделено вопросам дальнейшего совершенствования организационной структуры ВВС, состоящей накануне войны из дальнебомбардировочной авиации Главного командования, фронтовой, армейской и войсковой авиации. (РГАСПИ. Ф.</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17. Оп.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162.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28. 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52, 81</w:t>
      </w:r>
      <w:r w:rsidRPr="00E93F40">
        <w:rPr>
          <w:rFonts w:ascii="Times New Roman" w:hAnsi="Times New Roman"/>
          <w:color w:val="000000" w:themeColor="text1"/>
          <w:sz w:val="16"/>
          <w:szCs w:val="16"/>
        </w:rPr>
        <w:noBreakHyphen/>
        <w:t>84;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30. 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6, 37</w:t>
      </w:r>
      <w:r w:rsidRPr="00E93F40">
        <w:rPr>
          <w:rFonts w:ascii="Times New Roman" w:hAnsi="Times New Roman"/>
          <w:color w:val="000000" w:themeColor="text1"/>
          <w:sz w:val="16"/>
          <w:szCs w:val="16"/>
        </w:rPr>
        <w:noBreakHyphen/>
        <w:t>41.) (17750).</w:t>
      </w:r>
    </w:p>
    <w:p w14:paraId="3295035B" w14:textId="77777777" w:rsidR="00E144D6" w:rsidRPr="00E93F40" w:rsidRDefault="00E144D6" w:rsidP="00E93F40">
      <w:pPr>
        <w:spacing w:after="0" w:line="240" w:lineRule="auto"/>
        <w:jc w:val="both"/>
        <w:rPr>
          <w:rFonts w:ascii="Times New Roman" w:eastAsia="Times New Roman" w:hAnsi="Times New Roman"/>
          <w:color w:val="000000" w:themeColor="text1"/>
          <w:sz w:val="16"/>
          <w:szCs w:val="16"/>
          <w:lang w:eastAsia="ru-RU"/>
        </w:rPr>
      </w:pPr>
    </w:p>
    <w:p w14:paraId="19AE8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РВС составил проект решения о новых формах мото-механизации. В проекте отмечалось, что решение Правительства о выпуске 10000 танков создало условия для быстрого развития танкового производства и что решительные усилия промышленности позволяют к весне 1933 иметь от 16000 до 17000 танков. В совокупности с развитием тяжелой авиации и моторизации армии это обеспечивает применение новых глубоких форм ведения боевых действий. КА должна была быть в состоянии развернуть 20 мехбригад, объединенных в 8-10 корпусов. В состав 15 кавдивизий д.б.б. включены 15 мехполков. Силы армии должны были насчитывать 150 пехотных вдивизий, из которых 75 д.б. иметь по танковому батальону из Т-27. Танковый резерв ВК - 35 батальонов (9089,155).</w:t>
      </w:r>
    </w:p>
    <w:p w14:paraId="586FB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7D14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был подготовлен отчет заместителя начальника УММ РККА И. К. Грязнова о работе курсов «Теко» (танковая школа в Казани</w:t>
      </w:r>
      <w:r w:rsidRPr="00E93F40">
        <w:rPr>
          <w:rFonts w:ascii="Times New Roman" w:hAnsi="Times New Roman"/>
          <w:iCs/>
          <w:color w:val="000000" w:themeColor="text1"/>
          <w:sz w:val="16"/>
          <w:szCs w:val="16"/>
        </w:rPr>
        <w:t>).</w:t>
      </w:r>
      <w:r w:rsidRPr="00E93F40">
        <w:rPr>
          <w:rFonts w:ascii="Times New Roman" w:hAnsi="Times New Roman"/>
          <w:color w:val="000000" w:themeColor="text1"/>
          <w:sz w:val="16"/>
          <w:szCs w:val="16"/>
        </w:rPr>
        <w:t xml:space="preserve"> В нем отмечалось, что «в целом работа „Теко“ до сих пор представляет большой интерес для РККА как с точки зрения чисто технической, так и с тактической. Новые принципы конструкции машин и в особенности отдельных агрегатов, вооружение и стрелковые приборы, идеально разрешенная проблема наблюдения с танка, практически разрешенная проблема управления в танке и танковых подразделениях представляет собой область, которую необходимо изучать и переносить на нашу базу». О примерах реализации на практике этого пожелания было рассказано выше (Горлов С. А. Совершенно секретно: Москва — Берлин, 1920 — 1933. Военно-политические отношения между СССР и Германией, — М., 1999, с. 221-222.) (11765).</w:t>
      </w:r>
    </w:p>
    <w:p w14:paraId="46783D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D28F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в отчете зам. начальника Управления механизации и моторизации (УММ) РККА И. К. Грязнова о работе курсов ТЕКО отмечалось, что «основная целеустановка Управления механизации и моторизации РККА в вопросе использования ТЕКО сводилась к тому, чтобы ознакомить командиров РККА с особенностями конструкции немецких боевых машин, изучить методику испытания материальной части, изучить методику стрелковой подготовки танкиста и приборы управления машинами и огнем в бою, изучить вопросы боевого применения танковых частей и попутно овладеть в совершенстве техникой вождения боевых машин» (РГВА, ф. 33987, оп. 3, д. 295, л. 113.). Изучение немецких чертежей, ознакомление с материальной частью немецких боевых машин и результатами испытаний позволили нашим инженерам практически использовать немецкий опыт. В советских танках Т-26, Т-28, Т-35 и БТ были применены элементы немецких конструкций (подвеска, сварные корпуса, внутреннее размещение экипажа, стробоскоп и наблюдательные купола, перископические прицелы, спаренные пулеметы, электрооборудование башен средних танков, радиооборудование, а также технические условия проектирования и постройки). Немецкая методика обучения стрелковому делу танкиста была использована при разработке «Руководства по стрелковой подготовке танковых частей РККА». На базе полученного опыта К. Б. Калиновский добавил к теории «глубокой операции» Триандафиллова использование подразделений средних и тяжелых танков для решения самостоятельных боевых задач. В результате после серии теоретических изысканий и испытаний в марте 1932 г. было решено создать мехкорпуса. Тогда это был настоящий прорыв в теории военного искусства. В конце 1932 г. — начале 1933 г. они были включены в состав Украинского и Ленинградского военных округов (Рыжаков А. К вопросу о строительстве бронетанковых войск Красной Армии в 30-е годы (Военно-исторический журнал, № 8,1968, с 105-107.). Не случайно в вышеупомянутом отчете Грязнова делался вывод, что «в целом работа ТЕКО до сих пор еще представляет большой интерес для РККА как с точки зрения чисто технической, так и с тактической. Новые принципы конструкции машин и в особенности отдельных агрегатов, вооружение и стрелковые приборы, идеально разрешенная проблема наблюдения с танка, практически разрешенная проблема управления в танке и танковых подразделениях представляют еще собой область, которую необходимо изучать и переносить на нашу базу». Поэтому и в последующие годы военное руководство СССР намеревалось использовать курсы в качестве исследовательской лаборатории для технического, тактического и методического усовершенствования командиров РККА. В 1932 г. на 6-месячные курсы было направлено 32 «отборных командира и инженера» (17 инженеров и 15 строевых офицеров). Основной упор как и прежде делался на изучение конструкции танка, техники управления танками в бою и техники стрельбы, а также на освоение методики обучения. Для занятий с советскими слушателями из Германии были приглашены пять преподавателей, работали там и советские преподаватели (Г. В. Павловский, А. Г. Кравченко и др.). Кроме того, в постоянный состав ТЕКО в качестве помощников немецких инженеров были включены 5 советских аспирантов, которые должны были детально овладеть методикой и опытом работы и в последующем перенести это в РККА. Для бронетанковых вузов предполагалось приобрести у немцев учебные пособия и экспонаты. Таким образом, танковая школа в Казани в целом успешно справлялась со стоящими перед ней задачами, принося ощутимую пользу обеим сторонам (11784).</w:t>
      </w:r>
    </w:p>
    <w:p w14:paraId="61C4C9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664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в Качинскую летную школу вливается со всем личным составом и материальными средствами Киевская окружная школа пилотов. Небольшая, но прибавка к расширению Качи (11139).</w:t>
      </w:r>
    </w:p>
    <w:p w14:paraId="5082D8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A6D9D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0A00D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8AADA1" w14:textId="77777777" w:rsidR="0094098A" w:rsidRPr="00E93F40" w:rsidRDefault="009409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 1932. Начались подготовительные работы по прокладке первоочередной линии метрополитена протяженностью 11,4 километра: Сокольники - Крымская площадь - Сапожковская - Смоленский рынок (18723).</w:t>
      </w:r>
    </w:p>
    <w:p w14:paraId="4F33F1AC" w14:textId="77777777" w:rsidR="0094098A" w:rsidRPr="00E93F40" w:rsidRDefault="0094098A" w:rsidP="00E93F40">
      <w:pPr>
        <w:spacing w:after="0" w:line="240" w:lineRule="auto"/>
        <w:jc w:val="both"/>
        <w:rPr>
          <w:rFonts w:ascii="Times New Roman" w:hAnsi="Times New Roman"/>
          <w:color w:val="000000" w:themeColor="text1"/>
          <w:sz w:val="16"/>
          <w:szCs w:val="16"/>
        </w:rPr>
      </w:pPr>
    </w:p>
    <w:p w14:paraId="16CB3AD0" w14:textId="77777777" w:rsidR="0094098A" w:rsidRPr="00E93F40" w:rsidRDefault="009409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Ротерт. попросил советские торговые представительства в Лондоне, Нью-Йорке и Берлине прислать в Москву все имеющиеся публикации о строительстве метрополитена. В журналах, которые удалось раздобыть, имелись только скудные справки без технических чертежей и описаний{385}.Осенью 1933 г. трое инженеров Метростроя в ходе служебной командировки впервые смогли ознакомиться с опытом строительства тоннелей и метрополитена в Англии, Франции, Бельгии и Германии{386}.Результатом стали практические предложения и составленный инженером Маковским справочник, в котором исчерпывающим образом были описаны европейские способы сооружения метро. В свет этот труд вышел, впрочем, только в 1935 г., когда первая очередь строительства уже была завершена{387}.</w:t>
      </w:r>
    </w:p>
    <w:p w14:paraId="0D9C038D" w14:textId="77777777" w:rsidR="0094098A" w:rsidRPr="00E93F40" w:rsidRDefault="009409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Чтобы заполучить специальную информацию и использовать зарубежное «ноу-хау», Ротерт. предложил в сентябре 1931 г. привлечь в качестве консультанта известную заграничную фирму. Она обязана была прислать в Москву четырех специалистов по проектированию, двух — для организации и механизации работ и еще двух — для надзора за ходом работ. Готовый проект должен был пройти дополнительную экспертизу у специалистов фирмы{388}.</w:t>
      </w:r>
    </w:p>
    <w:p w14:paraId="3540DE5D" w14:textId="77777777" w:rsidR="0094098A" w:rsidRPr="00E93F40" w:rsidRDefault="009409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Консультативная зарубежная помощь в этой форме осталась только на бумаге. Однако, несмотря на это, иностранное «ноу-хау» в значительном масштабе поступало к руководителям стройки. Во-первых, в 1932 г. были заказаны три иностранные экспертизы{389},во-вторых, зарубежных специалистов нанимали по личным контрактам. В мае 1933 г. на Метрострое трудилось в общей сложности 16 «иноспецов». Их набор осуществлялся спонтанно. Большинство сами предложили свои услуги. Семеро из них были немцы, четверо — американцы, двое -чехи, один австриец, один латыш и один французский еврей. Почти все прибыли в Советский Союз в 1928-1932 гг. и до Метростроя успели поработать на других советских предприятиях{390}.Осенью 1933 г. на строительство метро прибыла группа из 11 американских инженеров. По происхождению все они были российскими и польскими евреями, перед Первой мировой войной эмигрировавшими в Америку, которые работали на Нью-Йоркском метрополитене и были уволены в связи с экономическим кризисом{391}.</w:t>
      </w:r>
    </w:p>
    <w:p w14:paraId="149F5AB9" w14:textId="77777777" w:rsidR="0094098A" w:rsidRPr="00E93F40" w:rsidRDefault="009409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Главным консультантом Метростроя был американец Джордж Морган (Morgan), инженер, в 1930 г. работавший в Магнитогорске, который в июне 1933 г. по туристической визе приехал в Москву и предложил свои услуги в качестве специалиста по тоннельным работам. Он оставался на Метрострое вплоть до завершения </w:t>
      </w:r>
      <w:r w:rsidRPr="00E93F40">
        <w:rPr>
          <w:rFonts w:ascii="Times New Roman" w:hAnsi="Times New Roman"/>
          <w:color w:val="000000" w:themeColor="text1"/>
          <w:sz w:val="16"/>
          <w:szCs w:val="16"/>
        </w:rPr>
        <w:lastRenderedPageBreak/>
        <w:t>строительства первой очереди в 1935 г. и внес существенный вклад в решение технических проблем, прежде всего при конструировании станций и гидроизоляции тоннелей{392}.</w:t>
      </w:r>
    </w:p>
    <w:p w14:paraId="406822E1" w14:textId="77777777" w:rsidR="0094098A" w:rsidRPr="00E93F40" w:rsidRDefault="009409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ряд иностранных фирм обращались в Метрострой с предложением о сотрудничестве. Некоторые хотели заняться поставкой оборудования, другие даже выражали готовность взять на себя техническую реализацию работ, третьи рекламировали новейшие технологии{393}.Со своей стороны, Метрострой обращался с техническими запросами к западным фирмам, стремясь при этом задаром получить по возможности больше информации. Так, в августе 1932 г. Метрострой послал фирме Сименс обширный перечень вопросов по электрооборудованию берлинского метро. Руководство фирмы пришло к выводу, что следует «избежать того, чтобы правление московского метрополитена таким путем заполучило ценные сведения, за которые оно, вероятно, не хочет платить»{394} (18299).</w:t>
      </w:r>
    </w:p>
    <w:p w14:paraId="760EEA00" w14:textId="77777777" w:rsidR="0094098A" w:rsidRPr="00E93F40" w:rsidRDefault="0094098A" w:rsidP="00E93F40">
      <w:pPr>
        <w:spacing w:after="0" w:line="240" w:lineRule="auto"/>
        <w:jc w:val="both"/>
        <w:rPr>
          <w:rFonts w:ascii="Times New Roman" w:hAnsi="Times New Roman"/>
          <w:color w:val="000000" w:themeColor="text1"/>
          <w:sz w:val="16"/>
          <w:szCs w:val="16"/>
        </w:rPr>
      </w:pPr>
    </w:p>
    <w:p w14:paraId="353401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 1932 г. В составе Оперативного отдела ОГПУ создается Общесоюзное научно-техническое отделение (НТО). В него входят НТО ГУМ и УР при СНК РСФСР. Вскоре Общесоюзное НТО стало центром криминалистической экспертизы в стране и организатором научной работы по криминалистике в милиции (10303).</w:t>
      </w:r>
    </w:p>
    <w:p w14:paraId="271D1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3FC11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2DFEDA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AD90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года ББ-Аппарат Северной Баварии подготовил доклад о производстве взрывчатых веществ и о перспективах немецкого ракетостроения. Были собраны сведения о деятельности немецкого исследовательского института воздушного флота, об изготовлении самолетов на предприятиях Г. Юнкерса в Дессау, о производстве высокомощных взрывчатых веществ на заводе фирмы «Хауф». Агентов часто арестовывали, поэтому регулярные сообщения о провалах никого не удивляли. Например, у Э. Штеффен и К. Динсбахга при задержании были изъяты подробные материалы по строящимся броненосцам типа «А» и «В», коротковолновым передатчикам и производству моторов (Êîëïàêèäè À., Ïðîõîðîâ Ä. Èìïåðèÿ ÃÐÓ: Î÷åðêè èñòîðèè ðîññèéñêîé âîåííîé ðàçâåäêè. Êí. 1. — Ì., 2000, ñ. 147—148.) (11765).</w:t>
      </w:r>
    </w:p>
    <w:p w14:paraId="14815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F95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года арестовали и осудили Ш. Ланда, сотрудницу химического завода в Берлине, которая собирала секретную информацию о химической и металлургической промышленности для СССР (11765).</w:t>
      </w:r>
    </w:p>
    <w:p w14:paraId="158E2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1C1F5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3EA2D7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CDEE76" w14:textId="77777777" w:rsidR="00075A99" w:rsidRPr="00E93F40" w:rsidRDefault="00075A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последний Avro 504 покидает производственную линию. Этот тип находится в непрерывном производстве уже девятнадцать лет (20803).</w:t>
      </w:r>
    </w:p>
    <w:p w14:paraId="3741EBFA" w14:textId="77777777" w:rsidR="00075A99" w:rsidRPr="00E93F40" w:rsidRDefault="00075A99" w:rsidP="00E93F40">
      <w:pPr>
        <w:spacing w:after="0" w:line="240" w:lineRule="auto"/>
        <w:jc w:val="both"/>
        <w:rPr>
          <w:rFonts w:ascii="Times New Roman" w:hAnsi="Times New Roman"/>
          <w:color w:val="000000" w:themeColor="text1"/>
          <w:sz w:val="16"/>
          <w:szCs w:val="16"/>
        </w:rPr>
      </w:pPr>
    </w:p>
    <w:p w14:paraId="770697C1" w14:textId="77777777" w:rsidR="00075A99" w:rsidRPr="00E93F40" w:rsidRDefault="00075A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 1932 состоялся первый полет Юнкерс Ju 46 (20803).</w:t>
      </w:r>
    </w:p>
    <w:p w14:paraId="52F8C152" w14:textId="77777777" w:rsidR="00075A99" w:rsidRPr="00E93F40" w:rsidRDefault="00075A99" w:rsidP="00E93F40">
      <w:pPr>
        <w:spacing w:after="0" w:line="240" w:lineRule="auto"/>
        <w:jc w:val="both"/>
        <w:rPr>
          <w:rFonts w:ascii="Times New Roman" w:hAnsi="Times New Roman"/>
          <w:color w:val="000000" w:themeColor="text1"/>
          <w:sz w:val="16"/>
          <w:szCs w:val="16"/>
        </w:rPr>
      </w:pPr>
    </w:p>
    <w:p w14:paraId="22BE7323" w14:textId="77777777" w:rsidR="00AD7492" w:rsidRPr="00E93F40" w:rsidRDefault="00AD7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советский шпион Александр Шерешевский, который в 1929 г. несколько месяцев работал в Берли</w:t>
      </w:r>
      <w:r w:rsidRPr="00E93F40">
        <w:rPr>
          <w:rFonts w:ascii="Times New Roman" w:hAnsi="Times New Roman"/>
          <w:color w:val="000000" w:themeColor="text1"/>
          <w:sz w:val="16"/>
          <w:szCs w:val="16"/>
        </w:rPr>
        <w:softHyphen/>
        <w:t>не ассистентом у Оберта, строивше</w:t>
      </w:r>
      <w:r w:rsidRPr="00E93F40">
        <w:rPr>
          <w:rFonts w:ascii="Times New Roman" w:hAnsi="Times New Roman"/>
          <w:color w:val="000000" w:themeColor="text1"/>
          <w:sz w:val="16"/>
          <w:szCs w:val="16"/>
        </w:rPr>
        <w:softHyphen/>
        <w:t>го «лунную ракету» для киностудии и тайно снял копии с чертежей не</w:t>
      </w:r>
      <w:r w:rsidRPr="00E93F40">
        <w:rPr>
          <w:rFonts w:ascii="Times New Roman" w:hAnsi="Times New Roman"/>
          <w:color w:val="000000" w:themeColor="text1"/>
          <w:sz w:val="16"/>
          <w:szCs w:val="16"/>
        </w:rPr>
        <w:softHyphen/>
        <w:t>мецкого изобретателя.</w:t>
      </w:r>
    </w:p>
    <w:p w14:paraId="7F53B7EA" w14:textId="77777777" w:rsidR="00AD7492" w:rsidRPr="00E93F40" w:rsidRDefault="00AD7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Шерешевского приняли на работу в ГДЛ, в РНИИ в 1933 г. он не перешел. В 1937 г. его арестовали и расстреля</w:t>
      </w:r>
      <w:r w:rsidRPr="00E93F40">
        <w:rPr>
          <w:rFonts w:ascii="Times New Roman" w:hAnsi="Times New Roman"/>
          <w:color w:val="000000" w:themeColor="text1"/>
          <w:sz w:val="16"/>
          <w:szCs w:val="16"/>
        </w:rPr>
        <w:softHyphen/>
        <w:t>ли как «немецкого шпиона». Через три десятка лет реаби</w:t>
      </w:r>
      <w:r w:rsidRPr="00E93F40">
        <w:rPr>
          <w:rFonts w:ascii="Times New Roman" w:hAnsi="Times New Roman"/>
          <w:color w:val="000000" w:themeColor="text1"/>
          <w:sz w:val="16"/>
          <w:szCs w:val="16"/>
        </w:rPr>
        <w:softHyphen/>
        <w:t>литировали.</w:t>
      </w:r>
    </w:p>
    <w:p w14:paraId="49C380AC" w14:textId="77777777" w:rsidR="00AD7492" w:rsidRPr="00E93F40" w:rsidRDefault="00AD7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чертежам «кегельдюзы» немца Оберта Глушко построил двигатели ОРМ-14 и ОРМ-15 (23550).</w:t>
      </w:r>
    </w:p>
    <w:p w14:paraId="6C2C1947" w14:textId="77777777" w:rsidR="00AD7492" w:rsidRPr="00E93F40" w:rsidRDefault="00AD7492" w:rsidP="00E93F40">
      <w:pPr>
        <w:spacing w:after="0" w:line="240" w:lineRule="auto"/>
        <w:jc w:val="both"/>
        <w:rPr>
          <w:rFonts w:ascii="Times New Roman" w:hAnsi="Times New Roman"/>
          <w:color w:val="000000" w:themeColor="text1"/>
          <w:sz w:val="16"/>
          <w:szCs w:val="16"/>
        </w:rPr>
      </w:pPr>
    </w:p>
    <w:p w14:paraId="72D2ADFA" w14:textId="77777777" w:rsidR="00AD7492" w:rsidRPr="00E93F40" w:rsidRDefault="00AD7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г. военное министерство в рамках так называемой «программы А» дало ряду самолетостроительных фирм задание приступить к проектированию новых бомбардировщиков. Конструкторы компании «Юнкерс» во главе с Цинделем взялись за ночной бомбардировщик. В качестве такового предложили использовать модифицированный Ju 52/3m. Этот подход имел свои плюсы и свои минусы. Подобную машину можно было быстро запустить в серию, она получалась дешевле, но в то же время летные данные у нее были хуже, чем у бомбардировщиков специальной постройки. Поскольку ставилась задача в короткое время подготовить максимальное количество экипажей, то временное принятие на вооружение «вспомогательного бомбардировщика» становилось оправданным. Хорошие устойчивость и управляемость, характерные для пассажирского лайнера, давали возможность сажать на них молодых пилотов с низким уровнем подготовки. Сходство с гражданской машиной позволяло до времени маскировать возрождение военной авиации. Активное участие в формировании облика «вспомогательного бомбардировщика» принял технический директор «Люфтганзы» Э. Мильх (впоследствии фельдмаршал, начальник штаба Люфтваффе) (24199).</w:t>
      </w:r>
    </w:p>
    <w:p w14:paraId="17695353" w14:textId="77777777" w:rsidR="00AD7492" w:rsidRPr="00E93F40" w:rsidRDefault="00AD7492" w:rsidP="00E93F40">
      <w:pPr>
        <w:spacing w:after="0" w:line="240" w:lineRule="auto"/>
        <w:jc w:val="both"/>
        <w:rPr>
          <w:rFonts w:ascii="Times New Roman" w:hAnsi="Times New Roman"/>
          <w:color w:val="000000" w:themeColor="text1"/>
          <w:sz w:val="16"/>
          <w:szCs w:val="16"/>
        </w:rPr>
      </w:pPr>
    </w:p>
    <w:p w14:paraId="3EAE423D" w14:textId="335489B7" w:rsidR="00AD7492" w:rsidRPr="00E93F40" w:rsidRDefault="00AD7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марте 1932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француз Луи Дамблан (Louis Damblanc; 1889–1969) построил испытательный стенд, который установил на площадке Авиационного института в Сен-Сире, одного из пригородов Парижа. Этот стенд не имел аналогов, т.к. автоматически записывал много данных. Свой стенд Дамблан использовался для определения тяги ракет путем измерения сжатия откалиброванной пружины. Изменения тяги измерялись 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помощью рычагов, отмечавших эти изменения на барабане, приводимом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действие часовой пружиной. Движение пружины фиксировала кинокамера. Чтобы определить время на пленке, был использован маятник, отбивавший секунды и видимый с большого расстояния. Благодаря пленке Дамблан также получал информацию 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явлениях, сопровождающих горение, в частности о форме пламени, интенсивности истечения раскаленного газа. Конструкцию стенда он запатентовал в 1936 г. Дамблан проводил на стенде эксперименты с четырьмя типами пороховых ракет. Ими были:</w:t>
      </w:r>
    </w:p>
    <w:p w14:paraId="3E2FE2A5" w14:textId="77777777" w:rsidR="00AD7492" w:rsidRPr="00E93F40" w:rsidRDefault="00AD7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Спасательная ракета (линемет). Она могла доставить на аварийный корабль, находящийся на удалении до 400 метров от пусковой установки, конец быстро сматывавшегося с барабана каната общим весом 35 кг. Ракета имела боковой шест-стабилизатор длиной 3 м.</w:t>
      </w:r>
    </w:p>
    <w:p w14:paraId="4E16AE87" w14:textId="60699D0C" w:rsidR="00AD7492" w:rsidRPr="00E93F40" w:rsidRDefault="00AD7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Противоградовая ракета Центральной пиротехнической школы.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её жестяной корпус (толщина стенки 1,5 мм) вставлялся патрон из толстого картона, а в него — 4 шашки прессованного пороха (три с центральным каналом и верхняя без канала). Шест-стабилизатор ввинчивался в патрон по его оси, газ выбрасывался через три отверстия в поддоне. </w:t>
      </w:r>
    </w:p>
    <w:p w14:paraId="57326209" w14:textId="77777777" w:rsidR="00AD7492" w:rsidRPr="00E93F40" w:rsidRDefault="00AD74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Две противоградовые ракеты фирмы «Ruggieri» разных моделей, обе с гильзами из толстого картона и небольшими крыльями (23372).</w:t>
      </w:r>
    </w:p>
    <w:p w14:paraId="42E7C9D0" w14:textId="77777777" w:rsidR="00AD7492" w:rsidRPr="00E93F40" w:rsidRDefault="00AD7492" w:rsidP="00E93F40">
      <w:pPr>
        <w:spacing w:after="0" w:line="240" w:lineRule="auto"/>
        <w:jc w:val="both"/>
        <w:rPr>
          <w:rFonts w:ascii="Times New Roman" w:hAnsi="Times New Roman"/>
          <w:color w:val="000000" w:themeColor="text1"/>
          <w:sz w:val="16"/>
          <w:szCs w:val="16"/>
        </w:rPr>
      </w:pPr>
    </w:p>
    <w:p w14:paraId="3BCBBF99"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1932 г. заказали 20 еще более длинных «океанских» лодок S.55 с улучшенными обводами. В итальянских документах они именуются «Al la rg atissi mi» («самые большие»).. Они комплектовались редукторными мотора</w:t>
      </w:r>
      <w:r w:rsidRPr="00142305">
        <w:rPr>
          <w:rFonts w:ascii="Times New Roman" w:hAnsi="Times New Roman"/>
          <w:color w:val="0070C0"/>
          <w:sz w:val="16"/>
          <w:szCs w:val="16"/>
        </w:rPr>
        <w:softHyphen/>
        <w:t>ми A.22R, снова в открытой установке. По-прежнему использовались деревян</w:t>
      </w:r>
      <w:r w:rsidRPr="00142305">
        <w:rPr>
          <w:rFonts w:ascii="Times New Roman" w:hAnsi="Times New Roman"/>
          <w:color w:val="0070C0"/>
          <w:sz w:val="16"/>
          <w:szCs w:val="16"/>
        </w:rPr>
        <w:softHyphen/>
        <w:t>ные винты фиксированного шага: передний двухлопастный диаметром 3,6 м, задний - четырехлопастный, 3,15 м. Эти самолеты отличались увеличенным до 2500 л запасом горючего. Вместо десяти одинаковых бензобаков по 205 л поста</w:t>
      </w:r>
      <w:r w:rsidRPr="00142305">
        <w:rPr>
          <w:rFonts w:ascii="Times New Roman" w:hAnsi="Times New Roman"/>
          <w:color w:val="0070C0"/>
          <w:sz w:val="16"/>
          <w:szCs w:val="16"/>
        </w:rPr>
        <w:softHyphen/>
        <w:t>вили семь больших овального сечения по 330 л и два цилиндрических помень</w:t>
      </w:r>
      <w:r w:rsidRPr="00142305">
        <w:rPr>
          <w:rFonts w:ascii="Times New Roman" w:hAnsi="Times New Roman"/>
          <w:color w:val="0070C0"/>
          <w:sz w:val="16"/>
          <w:szCs w:val="16"/>
        </w:rPr>
        <w:softHyphen/>
        <w:t>ше - по 95 л. В левой лодке размещались три больших бака и один маленький, в правой - четыре и один. Все они по- прежнему монтировались вертикально. Предлагалась при необходимости уста</w:t>
      </w:r>
      <w:r w:rsidRPr="00142305">
        <w:rPr>
          <w:rFonts w:ascii="Times New Roman" w:hAnsi="Times New Roman"/>
          <w:color w:val="0070C0"/>
          <w:sz w:val="16"/>
          <w:szCs w:val="16"/>
        </w:rPr>
        <w:softHyphen/>
        <w:t>новка дополнительного, восьмого, бака на 330 л в левой лодке. В последнем случае общий запас бензина составлял 2830 л. Хвостовые балки в задней части в дополнение к крестовым расчалкам уси</w:t>
      </w:r>
      <w:r w:rsidRPr="00142305">
        <w:rPr>
          <w:rFonts w:ascii="Times New Roman" w:hAnsi="Times New Roman"/>
          <w:color w:val="0070C0"/>
          <w:sz w:val="16"/>
          <w:szCs w:val="16"/>
        </w:rPr>
        <w:softHyphen/>
        <w:t>лили большими фанерными косынками. Увеличение тяги способствовало улуч</w:t>
      </w:r>
      <w:r w:rsidRPr="00142305">
        <w:rPr>
          <w:rFonts w:ascii="Times New Roman" w:hAnsi="Times New Roman"/>
          <w:color w:val="0070C0"/>
          <w:sz w:val="16"/>
          <w:szCs w:val="16"/>
        </w:rPr>
        <w:softHyphen/>
        <w:t>шению летных данных: несмотря на рост взлетного веса до 7550 кг, максимальная скорость достигла 211,4 км/ч, потолок - 4000 м. Значительно улучшились также показатели скороподъемности.</w:t>
      </w:r>
    </w:p>
    <w:p w14:paraId="12821A8A"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самолетов S.55 итальянским ВВС требовалось много, к их производст</w:t>
      </w:r>
      <w:r w:rsidRPr="00142305">
        <w:rPr>
          <w:rFonts w:ascii="Times New Roman" w:hAnsi="Times New Roman"/>
          <w:color w:val="0070C0"/>
          <w:sz w:val="16"/>
          <w:szCs w:val="16"/>
        </w:rPr>
        <w:softHyphen/>
        <w:t>ву подключили фирмы CRDA, «Макки» и «Пьяджо», которые приобрели у SIAI лицензии и необходимую документацию. (24944).</w:t>
      </w:r>
    </w:p>
    <w:p w14:paraId="2440DE53" w14:textId="77777777" w:rsidR="00E965D4" w:rsidRPr="00142305" w:rsidRDefault="00E965D4" w:rsidP="00E965D4">
      <w:pPr>
        <w:spacing w:after="0" w:line="240" w:lineRule="auto"/>
        <w:jc w:val="both"/>
        <w:rPr>
          <w:rFonts w:ascii="Times New Roman" w:hAnsi="Times New Roman"/>
          <w:color w:val="0070C0"/>
          <w:sz w:val="16"/>
          <w:szCs w:val="16"/>
        </w:rPr>
      </w:pPr>
    </w:p>
    <w:p w14:paraId="679DE6D9"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1932 г. прекратило существование общество «Воздушные линии Юнкерса в Персии», а вместе с ним и линия Тегеран-Баку. В начале 30-х годов в условиях экономического кризиса на Западе фирма «Юнкерс» вновь обанкротилась (24903).</w:t>
      </w:r>
    </w:p>
    <w:p w14:paraId="2FAE04B9" w14:textId="77777777" w:rsidR="00E965D4" w:rsidRPr="00142305" w:rsidRDefault="00E965D4" w:rsidP="00E965D4">
      <w:pPr>
        <w:spacing w:after="0" w:line="240" w:lineRule="auto"/>
        <w:jc w:val="both"/>
        <w:rPr>
          <w:rFonts w:ascii="Times New Roman" w:hAnsi="Times New Roman"/>
          <w:color w:val="0070C0"/>
          <w:sz w:val="16"/>
          <w:szCs w:val="16"/>
        </w:rPr>
      </w:pPr>
    </w:p>
    <w:p w14:paraId="79DEC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1932 японцы создали Манчжоу-Го (61,69).</w:t>
      </w:r>
    </w:p>
    <w:p w14:paraId="71E56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31D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марта 1932 в Великобритании вступил в силу закон о пошлинах на импортные товары, впервые после 80 лет свободной торговли (3907,172).</w:t>
      </w:r>
    </w:p>
    <w:p w14:paraId="7B8442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CB9F53" w14:textId="77777777" w:rsidR="003A0F02" w:rsidRPr="00E93F40" w:rsidRDefault="003A0F0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1AC28A3" w14:textId="77777777" w:rsidR="003A0F02" w:rsidRPr="00E93F40" w:rsidRDefault="003A0F0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398AA8" w14:textId="77777777" w:rsidR="003A0F02" w:rsidRPr="00E93F40" w:rsidRDefault="003A0F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марте-апреле 1932 г. в Италии работала комиссия (РГВА. Ф. 33987. Секретариат Председателя РВС СССР. Оп. 3. Д. 302. Отчет о работе группы советских авиаспециалистов по ознакомлению с авиапромышленными предприятиями Италии. 1932. Л. 79-172.) инспектора ВВС РККА В.В. Хрипина и полномочного представителя Ефимова. В их программу входило посещение крупнейших авиационных заводов (в частности, «SIAI, «Fiat», «Caproni», «Isotta-Fraschini») и составление предложений о возможных выгодных закупках. В отчете комиссия писала, что «модернизированный тип Савойя-55 обладает очень высокими данными» и рекомендовала его к покупке: «Самолеты с новыми моторами Фиат А 24 Р, несомненно, являются вполне современными и для условий нашей эксплуатации пригодными во всех отношениях. Целесообразно было бы заказать не менее 15 самолетов с расчетом вооружить одну эскадрилью тяжелой морской авиации и </w:t>
      </w:r>
      <w:r w:rsidRPr="00E93F40">
        <w:rPr>
          <w:rFonts w:ascii="Times New Roman" w:hAnsi="Times New Roman"/>
          <w:color w:val="000000" w:themeColor="text1"/>
          <w:sz w:val="16"/>
          <w:szCs w:val="16"/>
        </w:rPr>
        <w:lastRenderedPageBreak/>
        <w:t>одновременно разрешить вопрос о постановке производства этих самолетов у нас»( РГВА. Ф. 33988. Оп. 3. Оп. 3. Д. 225. Л. 21.). Управление ВВС РККА рассматривало план приобретения до 30 таких самолетов (21410).</w:t>
      </w:r>
    </w:p>
    <w:p w14:paraId="4F890355" w14:textId="77777777" w:rsidR="003A0F02" w:rsidRPr="00E93F40" w:rsidRDefault="003A0F02" w:rsidP="00E93F40">
      <w:pPr>
        <w:spacing w:after="0" w:line="240" w:lineRule="auto"/>
        <w:jc w:val="both"/>
        <w:rPr>
          <w:rFonts w:ascii="Times New Roman" w:hAnsi="Times New Roman"/>
          <w:color w:val="000000" w:themeColor="text1"/>
          <w:sz w:val="16"/>
          <w:szCs w:val="16"/>
        </w:rPr>
      </w:pPr>
    </w:p>
    <w:p w14:paraId="1BF5646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019B9B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F70D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марте-апреле 1932 г. первые ВТ были наконец приня</w:t>
      </w:r>
      <w:r w:rsidRPr="00E93F40">
        <w:rPr>
          <w:rFonts w:ascii="Times New Roman" w:hAnsi="Times New Roman"/>
          <w:color w:val="000000" w:themeColor="text1"/>
          <w:sz w:val="16"/>
          <w:szCs w:val="16"/>
        </w:rPr>
        <w:softHyphen/>
        <w:t>ты представителем заказчика, и началось их освоение в вой</w:t>
      </w:r>
      <w:r w:rsidRPr="00E93F40">
        <w:rPr>
          <w:rFonts w:ascii="Times New Roman" w:hAnsi="Times New Roman"/>
          <w:color w:val="000000" w:themeColor="text1"/>
          <w:sz w:val="16"/>
          <w:szCs w:val="16"/>
        </w:rPr>
        <w:softHyphen/>
        <w:t>сках. Одними из первых освоили ВТ танкисты мехбригады им. Калиновского. Но отзывы оттуда не радовали. По числу поломок танк не имел себе равных. Усугубляло положение также то, что первые ВТ поступали в части без вооружения (10733,202).</w:t>
      </w:r>
    </w:p>
    <w:p w14:paraId="51CDEE25" w14:textId="72AEFB24"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E57EA0" w14:textId="2316CD09" w:rsidR="003A0F02" w:rsidRPr="00E93F40" w:rsidRDefault="003A0F02" w:rsidP="00E93F40">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79CF56BE" w14:textId="77777777" w:rsidR="003A0F02" w:rsidRPr="00E93F40" w:rsidRDefault="003A0F02" w:rsidP="00E93F40">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570C6754" w14:textId="77777777" w:rsidR="003A0F02" w:rsidRPr="00E93F40" w:rsidRDefault="003A0F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марте-апреле 1932 года марш во время избирательной кампании в Германии Адольф Гитлер стал первым политиком в истории, который использовал воздушные путешествия для участия в политической кампании в нескольких городах за один день, летая на самолетах Deutsche Luft Hansa. Прежде чем кампания завершится на выборах 10 апреля 1932 года, Гитлер выступит в 46 городах во время двух недельных «полетов над Германией» (20803).</w:t>
      </w:r>
    </w:p>
    <w:p w14:paraId="11E4D4FD" w14:textId="77777777" w:rsidR="003A0F02" w:rsidRPr="00E93F40" w:rsidRDefault="003A0F02" w:rsidP="00E93F40">
      <w:pPr>
        <w:spacing w:after="0" w:line="240" w:lineRule="auto"/>
        <w:jc w:val="both"/>
        <w:rPr>
          <w:rFonts w:ascii="Times New Roman" w:hAnsi="Times New Roman"/>
          <w:color w:val="000000" w:themeColor="text1"/>
          <w:sz w:val="16"/>
          <w:szCs w:val="16"/>
        </w:rPr>
      </w:pPr>
    </w:p>
    <w:p w14:paraId="6435EAF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382EFC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176983"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I квартале 1932 г. по инициативе начальника бригады №3 ЦКБ-39 Н.Н. Поликарпова начато проектирование скоростного истребителя ЦКБ-12. Он был задуман с двигателем Райт «Циклон» РЦФ-3 (R1820F-3) с редуктором и приводным центробежным нагнетателем, трехлопастным воздушным винтом как моноплан смешанной конструкции, но весьма совершенной аэродинамики с закрытой кабиной и убирающимися основными опорами шасси с вооружением с проектируемыми КБ-15 НКВ (Главный конструктор Б.Г. Шпитальный) пулеметами ШКАС калибра 7,62 мм со скорострельностью 1800 выстр./мин. – вдвое больше типовых показателей в то время. Шпитальный заявлял, что ведет работы как в сторону еще большего повышения скорострельности, так и по автоматическому оружию калибра 12,7 и 20 мм.</w:t>
      </w:r>
    </w:p>
    <w:p w14:paraId="0237885D"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такой подход к новым истребителям не поддержало руководство ЦАГИ и АГОС, указывая, что технологически такой самолет уже не будет преемником освоенного в производстве И-5, а раз так, то выгоднее развивать линию цельнометаллических истребителей, начатых проектом АНТ-5 (И-4) (23554).</w:t>
      </w:r>
    </w:p>
    <w:p w14:paraId="2776FF33" w14:textId="77777777" w:rsidR="001206CF" w:rsidRPr="00E93F40" w:rsidRDefault="001206CF" w:rsidP="00E93F40">
      <w:pPr>
        <w:spacing w:after="0" w:line="240" w:lineRule="auto"/>
        <w:jc w:val="both"/>
        <w:rPr>
          <w:rFonts w:ascii="Times New Roman" w:hAnsi="Times New Roman"/>
          <w:color w:val="000000" w:themeColor="text1"/>
          <w:sz w:val="16"/>
          <w:szCs w:val="16"/>
        </w:rPr>
      </w:pPr>
    </w:p>
    <w:p w14:paraId="1B290FD7"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I квартале 1932 г. руководство ЦКБ-39 добилось снятия с плана ряда заданий, по которым намечаются трудности с исполнением – например, по ближнему разведчику Р-8, поскольку он проектировался под мотор М-27, который не идет в серийное производство (23664).</w:t>
      </w:r>
    </w:p>
    <w:p w14:paraId="11515A17" w14:textId="77777777" w:rsidR="001206CF" w:rsidRPr="00E93F40" w:rsidRDefault="001206CF" w:rsidP="00E93F40">
      <w:pPr>
        <w:spacing w:after="0" w:line="240" w:lineRule="auto"/>
        <w:jc w:val="both"/>
        <w:rPr>
          <w:rFonts w:ascii="Times New Roman" w:hAnsi="Times New Roman"/>
          <w:color w:val="000000" w:themeColor="text1"/>
          <w:sz w:val="16"/>
          <w:szCs w:val="16"/>
        </w:rPr>
      </w:pPr>
    </w:p>
    <w:p w14:paraId="78F9D38F"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I квартале 1932 г. главный консультант (должность, соответствующая Главному конструктору) ЦКБ ЦАГИ Н.Н. Поликарпов по личной инициативе начал проработку двух проектов одноместного скоростного истребителя-моноплана с двигателями воздушного и водяного охлаждения.</w:t>
      </w:r>
    </w:p>
    <w:p w14:paraId="2335FF6D"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Поликарповым поставлена задача создать самолет с как можно более высокой скоростью полета на большой высоте – в то время высотными считались истребители, достигающие наилучших летных характеристик на высотах 5000 м и более. Но предназначался он не только для перехвата бомбардировщиков, но и для борьбы с самолетами всех других классов, включая маневренные истребители.</w:t>
      </w:r>
    </w:p>
    <w:p w14:paraId="6994B06B"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Предполагалась замена в Военных Воздушных Силах Рабоче-Крестьянской Красной Армии и в Воздушных Силах Рабоче-Крестьянского Военно-Морского Флота парка истребителей-полуторапланов И-4 конструкции А.Н. Туполева, а также И-3 и И-5 Н.Н. Поликарпова самолетами двух типов:</w:t>
      </w:r>
    </w:p>
    <w:p w14:paraId="0840DF14"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маневренными бипланами (Поликарпов разрабатывал проект ЦКБ-3);</w:t>
      </w:r>
    </w:p>
    <w:p w14:paraId="3BBAAC73"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скоростными монопланами (Поликарпов разрабатывал проекты ЦКБ-12 и ЦКБ-15, Туполев разрабатывал проект АНТ-31 – И-14).</w:t>
      </w:r>
    </w:p>
    <w:p w14:paraId="03769BBC"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достижения требуемых характеристик Поликарпов предлагал следующие пути:</w:t>
      </w:r>
    </w:p>
    <w:p w14:paraId="78413A9C"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применение современного двигателя с высокой удельной мощностью – и весовой, и литровой, поскольку чрезмерный рост из-за силовой установки веса и размеров самолета, в т.ч. его миделя, не допустим, при этом возможна полная унификация проектов с двигателями воздушного и водяного охлаждения по крылу и шасси, но фюзеляж и оперение таких самолетов будут разными;</w:t>
      </w:r>
    </w:p>
    <w:p w14:paraId="79725F2A"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двигатель должен иметь редуктор, что повышает снимаемую тягу за счет повышения крутящего момента на воздушном винте при меньших его оборотах и уменьшения зон возникновения сверхзвуковых течений на концах лопастей, зависящих от их линейных скоростей;</w:t>
      </w:r>
    </w:p>
    <w:p w14:paraId="33B9CF10"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двигатель должен иметь нагнетатель, повышающий границу высотности, применение переразмеренных двигателей с избыточным рабочим объемом, таких как М-22, нежелательно, т.к. у них хуже удельные характеристики, а прибавка высотности за счет этого недостаточна;</w:t>
      </w:r>
    </w:p>
    <w:p w14:paraId="7A495593"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применение воздушного винта изменяемого шага позволяет получать наивысший его коэффициент полезного действия на режимах взлета и набора высоты и разгона до максимальной скорости в горизонтальном полете, для чего лопасти должны устанавливаться в два соответствующих положения летчиком из кабины;</w:t>
      </w:r>
    </w:p>
    <w:p w14:paraId="6A64F484"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оптимальное число лопастей воздушного винта с точки зрения снимаемой мощности при высоком КПД, его диаметра и соответственно высоты шасси, а также веса – три;</w:t>
      </w:r>
    </w:p>
    <w:p w14:paraId="3E055F91"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уменьшение испытываемого самолетом сопротивления трения за счет уменьшения омываемой поверхности, за счет сокращения его размеров, в т.ч. площади крыла, а также улучшения гладкости поверхности;</w:t>
      </w:r>
    </w:p>
    <w:p w14:paraId="6F3021ED"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конструкция с фанерно-полотняной обшивкой обеспечивает лучшую гладкость поверхности планера за счет возможности простой герметизации и шпатлевки всех неразъемных стыков и отсутствия выступающих в поток головок крепежа, вопрос отказа от применения имеющих чрезмерное сопротивления трения гофрированных дюралевых обшивок и замены их гладкими только еще прорабатывается и не известно как скоро он может быть решен (кроме того, в то время в СССР было всего два завода, полностью оснащенных для производства цельнометаллических самолетов – 22-й и 31-й, и они были полностью загружены выпуском тяжелых самолетов, остальные не имели достаточно ни оборудования, ни работником для массовой постройки цельнометаллических самолетов);</w:t>
      </w:r>
    </w:p>
    <w:p w14:paraId="249282A7"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 расчетам Поликарпова на тех скоростях и высотах, на которых самолет будет летать, и соответственно при тех числах Рейнольдса (Re), которые характеризуют характер обтекающего самолет пограничного слоя воздуха, именно трение будет главной составляющей общего аэродинамического сопротивления, но необходимо снижение и остальных его составляющих – сопротивления формы («противодавления» из-за турбулизации потока в местах изменения сечений планера) и индуктивного, зависящего от развиваемой самолетом подъемной силы, потребная величина которой в свою очередь зависит от веса самолета;</w:t>
      </w:r>
    </w:p>
    <w:p w14:paraId="23AAF665"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для снижения аэродинамического сопротивления формы предусмотрены установка кока на ступицу воздушного винта, полное капотирование двигателя, плавное изменение сечений фюзеляжа, сопряжение крыла и оперения с ним через зализы («карманы»), полностью закрытая кабина с остекленным фонарем и полностью убирающиеся основные опоры шасси (костыльная находится в срывной зоне, где поток все равно заторможен, и ее уборка не целесообразна;</w:t>
      </w:r>
    </w:p>
    <w:p w14:paraId="70BB3D3B"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снижение индуктивного сопротивления крыла и оперения на режимах максимальной скорости (малые углы атаки) и маневра (большие углы атаки) достигается переходом на схему моноплана (основной источник этого сопротивления – законцовки крыльев), подбором сужения и формы законцовок, а также полетного веса, а это в свою очередь можно получить уменьшением размеров и удлинения агрегатов планера, повышением удельных характеристик силовой установки и отказа от избыточного вооружения;</w:t>
      </w:r>
    </w:p>
    <w:p w14:paraId="5A28F7A5"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хотя увеличение относительного удлинения крыла уменьшает индуктивное сопротивление, но это ведет и к увеличению веса крыла, что дает обратный эффект, а также увеличивает инертность по крену и ухудшает маневренность, для своего истребителя Поликарпов выбрал умеренное относительное удлинение крыла 5,5 против 7,5 у проекта истребителя И-14, делавшегося одновременно;</w:t>
      </w:r>
    </w:p>
    <w:p w14:paraId="70B14E7A"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для снижения полетного веса и размеров самолета расчет сразу делался на два новых пулемета с повышенной скорострельностью вместо увеличения числа серийных пулеметов ПВ-1 или на установку тяжелых и громоздких динамо-реактивных пушек;</w:t>
      </w:r>
    </w:p>
    <w:p w14:paraId="5D1CA0D8"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 для ведения маневренного воздушного боя, и для перехвата тяжелых самолетов на легких самолетах-истребителях целесообразно применение автоматических пушек калибра 20 мм с высокой скорострельностью, установка их возможна в крыле или вблизи оси самолета – синхронная, а на V-образных двигателях водяного охлаждения с редуктором с большим расстоянием между осями вала коленчатого и выходного вала редуктора и воздушного винта – и в развале блоков цилиндров – такая установка по оси самолета предпочтительна.</w:t>
      </w:r>
    </w:p>
    <w:p w14:paraId="2E53687E"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 время ни в руководстве авиапромышленности, ни в ЦКБ-ЦАГИ, ни у Заказчика не было единого мнения о том, какие показатели тактико-технических данных для перспективных истребителей являются важнейшими. Поликарпов считал, что предпочтение необходимо отдать скорости, для чего лучше подходит моноплан, но пока продолжать разработку и истребителей-бипланов, которые имеют преимущество в маневренности и скороподъемности, но сохраняться оно будет только при том соотношении мощности двигателей, полетного веса и аэродинамического качества истребителей, которые были в начале 1930-х гг. и будет потеряно с ростом мощности двигателей и полетного веса, а это неизбежно.</w:t>
      </w:r>
    </w:p>
    <w:p w14:paraId="50DC8470"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Заказчик считал предпочтительной схему биплана или полутораплана, как более простую в освоении широкой массой летчиков со средним уровнем подготовки. Проявляя недовольство быстрым устареванием истребителя-биплана И-5, командование ВВС РККА в то же время настаивало на продолжении разработки истребителей этой схемы. В качестве аргумента против использования схемы моноплана Заказчик приводил неудачный опыт работы по истребителю ИЛ-400 (И-1), и руководство ВАО и его начальник П.И. Баранов поддерживали позицию Заказчика.</w:t>
      </w:r>
    </w:p>
    <w:p w14:paraId="36D18E49"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Также Поликарпов считал непригодными для использования в маневренном воздушном бою динамо-реактивных пушек, а сторонником их повсеместного внедрения ДРП системы Курчевского в т.ч. и в авиации был начальник вооружений РККА командарм Тухачевский, его мнению в ЦКБ-ЦАГИ следовали Д.П. Григорович, руководство конструкторской части ЦАГИ – АГОС, А.Н. Туполев и П.О. Сухой.</w:t>
      </w:r>
    </w:p>
    <w:p w14:paraId="204C58F1"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Поликарпов настаивал на применении как можно более современного двигателя и воздушного винта с большими резервами дальнейшего повышения мощности и высотности и с учетом указанных выше требований. Советские моторостроительные КБ создать такие двигатели и винты и выпускать их серийно сами пока не могли, а работы по наддуву вообще находились пока в зачаточной фазе. Поликарпов предлагал закупить лицензии на выпуск всего этого за границей, но это не соответствовало неоднократно принимавшимся правительственным решениям о переводе моторостроения на отечественную базу полностью. Здесь его не поддержал и заказчик, считавший, что в условиях обострения отношений с Англией остальные капиталистические страны, прежде всего – Франция и США. Заказчик считал, что они могут лицензии продать, но потом затягивать предоставление необходимых для их освоения в СССР сопутствующих услуг и тем самым задержат или вообще сорвут поставку таких серийных двигателей отечественного выпуска.</w:t>
      </w:r>
    </w:p>
    <w:p w14:paraId="2BFCE7E6"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Поликарпов считал, что с учетом оснащенности отечественных авиазаводов и потребности в таком самолете как изделии массовом с невысокой себестоимостью, в конструкции самолета необходимо применять в основном дерево и сталь, а дюраль, который и сам в дефиците, и оборудования и работников для изготовления деталей и агрегатов из него на большинстве предприятий авиапромышленности СССР не хватает, использовать для изготовления капота силовой установки, а в остальном – по возможности. Здесь его не поддерживали руководство ЦАГИ и лично А.Н. Туполев и П.О. Сухой, которые настаивали на скорейшем переходе на цельнометаллические конструкции самолетов именно из дюраля, указывая на его лучшую удельную прочность и жесткость и приводя в пример авиапромышленность Франции, Германии и США, где это уже делалось. К тому времени в ЦАГИ и АГОС уже практически не занимались разработкой конструкций самолетов из дерева, а в цельнометаллических конструкциях занимали в СССР ведущее положение, имея в этом наибольший опыт. Но в то время он пока не включал умение проектировать и рассчитывать оболочечные конструкции с работающей гладкой обивкой и балочными силовыми элементами каркаса на минимальный вес, а работали с обшивками гофрированными малой толщины и ферменным силовым набором. Здесь руководство ВАО поддерживало позицию Поликарпова, столкнувшись с трудностями с производством и ремонтом цельнометаллических истребителей И-4 (АНТ-5) конструкции Туполева (24115).</w:t>
      </w:r>
    </w:p>
    <w:p w14:paraId="20592DEF"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г. ввиду противоречий между Поликарповым и Туполевым начальник ЦАГИ Н.М. Харламов издал приказ №12 о слиянии бригад ЦКБ-39 №№ 3 и 4 в одну, которую следует считать бригадой истребителей и рекордных самолетов с объединением их плановых заданий. Начальником бригады назначен выходец из АГОС ЦАГИ П.О. Сухой, а Н.Н. Поликарпов стал его заместителем (вторым замом Сухого стал Г. Бартош). Но нормальной работы между ними не складывалось.</w:t>
      </w:r>
    </w:p>
    <w:p w14:paraId="1843F953"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Главные противоречия возникли, когда в это же время было получено задание на скоростной истребитель с усиленным вооружением.</w:t>
      </w:r>
    </w:p>
    <w:p w14:paraId="02C0B448"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Сухой настаивал на том, что самолет должен иметь цельнометаллическую конструкцию, приспособленную для выпуска на авиазаводе №22 (т.е. с ферменными силовыми элементами каркаса и в основном гофрированной неработающей обшивкой на клепке), а вооружение должно быть из динамо-реактивных пушек системы Курчевского.</w:t>
      </w:r>
    </w:p>
    <w:p w14:paraId="35D0DA71"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Поликарпов указывал, что такая конструкция уже с одной стороны устарела, с другой на массовый выпуск такого самолета не хватит дюраля и металлообрабатывающего оборудования, а вооружение должно быть пока пулеметным, но с использованием новых скорострельных пулеметов Шпитального ШКАС, поскольку сама идея ДРП Курчевского неверна, а использование таких пушек с малым боезапасом и низкой скорострельностью и баллистикой против истребителей противника вообще невозможно. В определенной мере это уже подтверждали испытания истребителя И-Зет (ЦКБ-7) конструкции Д.П. Григоровича.</w:t>
      </w:r>
    </w:p>
    <w:p w14:paraId="2858E1F1"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проверки правильности подхода к проектированию скоростных истребителей ЦКБ-ЦАГИ была задана трех новых типов истребителей:</w:t>
      </w:r>
    </w:p>
    <w:p w14:paraId="74E0B091"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цельнометаллического моноплана с динамо-реактивными пушками И-14;</w:t>
      </w:r>
    </w:p>
    <w:p w14:paraId="6AE29898"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биплана смешанной конструкции И-15 с обычным пулеметным вооружением;</w:t>
      </w:r>
    </w:p>
    <w:p w14:paraId="1204EB0B"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моноплана смешанной конструкции И-16 с пулеметным вооружением с увеличенной скорострельностью.</w:t>
      </w:r>
    </w:p>
    <w:p w14:paraId="61B9C728"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Сухой и Туполев продолжали противиться такому ходу работ, считая, что это распыляет силы и ресурсы.</w:t>
      </w:r>
    </w:p>
    <w:p w14:paraId="2F1A3248"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 время ЦКБ-ЦАГИ находилось в состоянии реорганизации, которая шла практически с самого основания ЦКБ в поисках наилучших форм работы, при этом руководство ЦАГИ далеко не всегда выполняло касающиеся этого приказы, стремясь с одной стороны сохранять административную самостоятельность, а с другой – влиять на техническую политику других предприятий ГУАП.</w:t>
      </w:r>
    </w:p>
    <w:p w14:paraId="1B07CB73"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одной стороны это затрудняло общую организацию работ, но с другой – предоставляло больше возможностей для проявления инициативы, чем воспользовался и Поликарпов.</w:t>
      </w:r>
    </w:p>
    <w:p w14:paraId="1514C5B5"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Почти весь 1932 г. продолжалось обсуждение направлений развития истребительной авиации между руководством ЦКБ-ЦАГИ (в котором не было собственного единого мнения по этому вопросу), ГУАП и ВВС, которое к концу года так ни чем и не закончилось. Также оказалась не завершена по факту и реорганизация ЦКБ (24115).</w:t>
      </w:r>
    </w:p>
    <w:p w14:paraId="58F17CCE" w14:textId="77777777" w:rsidR="001206CF" w:rsidRPr="00E93F40" w:rsidRDefault="001206CF" w:rsidP="00E93F40">
      <w:pPr>
        <w:spacing w:after="0" w:line="240" w:lineRule="auto"/>
        <w:jc w:val="both"/>
        <w:rPr>
          <w:rFonts w:ascii="Times New Roman" w:hAnsi="Times New Roman"/>
          <w:color w:val="000000" w:themeColor="text1"/>
          <w:sz w:val="16"/>
          <w:szCs w:val="16"/>
        </w:rPr>
      </w:pPr>
    </w:p>
    <w:p w14:paraId="51365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1 -и квартал 1932 г. до строевых частей добрались лишь пять ТВ-3, хотя официально за этот срок через военную приемку прошли 46 бомбардировщиков, что составляло примерно две трети плана. На этих самолетах не хватало прицелов, радиостанций, бомбодержателей, пулеметов. Производство радиостанций 13-СК вообще началось только в 1932 г., да и выпустили их в том году всего десять штук! Радиостанций 11 -СК и вовсе не сделали ни одной. Бомбовые прицелы "Герц" (ОПБ-1) у нас осваивали с 1931 г., но за два года собрали 127 прицелов, а ставили их не только на ТБ-3. Более сложный «Герц-Бойков» (ОПБ-2) в СССР стали делать только с 1933 г. и выпустили в том году три экземпляра. Конечно, эти сложные оптические приборы можно было импортировать, но поставки зарубежных изделий сдерживал недостаток валюты. Спаренные установки ДА-2 поставили в производство также в конце 1931 г., а потому в том году их сделали очень немного. Самолеты сдавали «условно» без всего этого, под гарантийные письма завода - дослать все недостающее при получении прямо в воинские части. Ну а самые неукомплектованные бомбардировщики оседали на заводском аэродроме. Поэтому реально в ВВС поступило значительно меньше машин, чем было собрано (7668).</w:t>
      </w:r>
    </w:p>
    <w:p w14:paraId="2C303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D6209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EAD761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98D2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 квартале 1932 г. чертежи башни, разработанной для танков ВТ, подверглись ревизии, и первые 60 башен, поданных Ижорским заводом для вооружения орудием, были приспособлены под раздельную установку пушки и пулемета. Поскольку в этих башнях амбразура под пушку вырезалась «по месту», в них не нашлось места для установ</w:t>
      </w:r>
      <w:r w:rsidRPr="00E93F40">
        <w:rPr>
          <w:rFonts w:ascii="Times New Roman" w:hAnsi="Times New Roman"/>
          <w:color w:val="000000" w:themeColor="text1"/>
          <w:sz w:val="16"/>
          <w:szCs w:val="16"/>
        </w:rPr>
        <w:softHyphen/>
        <w:t>ки шарового яблока пулемета ДТ. Лишь на 240 башнях, вы</w:t>
      </w:r>
      <w:r w:rsidRPr="00E93F40">
        <w:rPr>
          <w:rFonts w:ascii="Times New Roman" w:hAnsi="Times New Roman"/>
          <w:color w:val="000000" w:themeColor="text1"/>
          <w:sz w:val="16"/>
          <w:szCs w:val="16"/>
        </w:rPr>
        <w:softHyphen/>
        <w:t>пущенных позднее, оказалось возможным установить и пушку, и пулемет. Всего было запланировано вооружить 37-мм пушкой Б-3 (5К) 300 танков, а начиная с 301-го заменить ее 45-мм по</w:t>
      </w:r>
      <w:r w:rsidRPr="00E93F40">
        <w:rPr>
          <w:rFonts w:ascii="Times New Roman" w:hAnsi="Times New Roman"/>
          <w:color w:val="000000" w:themeColor="text1"/>
          <w:sz w:val="16"/>
          <w:szCs w:val="16"/>
        </w:rPr>
        <w:softHyphen/>
        <w:t>луавтоматической пушкой обр. 1932 г. 20К. Но ввиду того, что завод N° 8 не освоил выпуск 20К в срок, да и с установкой орудия в существующей башне танка БТ имелись трудности, нарком тяжелой промышленности скорректировал план, и следующие 310 танков (№№ 301-610) также должны были получить 37-мм танковую пушку обр 1930 г. Б-3 (5К) (10733,203).</w:t>
      </w:r>
    </w:p>
    <w:p w14:paraId="24D28F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CE08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первые месяцы 1932 г. в НАТИ организовали мотоциклет</w:t>
      </w:r>
      <w:r w:rsidRPr="00E93F40">
        <w:rPr>
          <w:rFonts w:ascii="Times New Roman" w:hAnsi="Times New Roman"/>
          <w:color w:val="000000" w:themeColor="text1"/>
          <w:sz w:val="16"/>
          <w:szCs w:val="16"/>
        </w:rPr>
        <w:softHyphen/>
        <w:t>ную группу в составе КБ в автомобильном отделении, возглавляе</w:t>
      </w:r>
      <w:r w:rsidRPr="00E93F40">
        <w:rPr>
          <w:rFonts w:ascii="Times New Roman" w:hAnsi="Times New Roman"/>
          <w:color w:val="000000" w:themeColor="text1"/>
          <w:sz w:val="16"/>
          <w:szCs w:val="16"/>
        </w:rPr>
        <w:softHyphen/>
        <w:t>мом А.А. Липгартом и его заместителем К.А. Шараповым, и раз</w:t>
      </w:r>
      <w:r w:rsidRPr="00E93F40">
        <w:rPr>
          <w:rFonts w:ascii="Times New Roman" w:hAnsi="Times New Roman"/>
          <w:color w:val="000000" w:themeColor="text1"/>
          <w:sz w:val="16"/>
          <w:szCs w:val="16"/>
        </w:rPr>
        <w:softHyphen/>
        <w:t>местили на территории Московского Высшего технического учи</w:t>
      </w:r>
      <w:r w:rsidRPr="00E93F40">
        <w:rPr>
          <w:rFonts w:ascii="Times New Roman" w:hAnsi="Times New Roman"/>
          <w:color w:val="000000" w:themeColor="text1"/>
          <w:sz w:val="16"/>
          <w:szCs w:val="16"/>
        </w:rPr>
        <w:softHyphen/>
        <w:t>лища (МВТУ) им. Баумана между рекой Яузой и Салтыковской улицей в старом двухэтажном доме. Рядом с залом для конструк</w:t>
      </w:r>
      <w:r w:rsidRPr="00E93F40">
        <w:rPr>
          <w:rFonts w:ascii="Times New Roman" w:hAnsi="Times New Roman"/>
          <w:color w:val="000000" w:themeColor="text1"/>
          <w:sz w:val="16"/>
          <w:szCs w:val="16"/>
        </w:rPr>
        <w:softHyphen/>
        <w:t>торов находилась лаборатория с беговым стендом для испытания мотоциклов. Среди работников мотоциклетной группы были бу</w:t>
      </w:r>
      <w:r w:rsidRPr="00E93F40">
        <w:rPr>
          <w:rFonts w:ascii="Times New Roman" w:hAnsi="Times New Roman"/>
          <w:color w:val="000000" w:themeColor="text1"/>
          <w:sz w:val="16"/>
          <w:szCs w:val="16"/>
        </w:rPr>
        <w:softHyphen/>
        <w:t>дущие знаменитости отечественного Мотопрома: С.И. Карзинкин - испытатель многих мотоциклов, в том числе и «Союза», Б.М. Фиттерман - спроектировавший КП и коляску для НАТИ-А-750 и будущий главный конструктор Автозавода им. Сталина (ЗИС) А.М. Фёдоров - будущий главный конструктор Ирбитско-го мотозавода, Я.В. Коганов, а также М.В. Лутц и Н.А. Семаш</w:t>
      </w:r>
      <w:r w:rsidRPr="00E93F40">
        <w:rPr>
          <w:rFonts w:ascii="Times New Roman" w:hAnsi="Times New Roman"/>
          <w:color w:val="000000" w:themeColor="text1"/>
          <w:sz w:val="16"/>
          <w:szCs w:val="16"/>
        </w:rPr>
        <w:softHyphen/>
        <w:t>ко - участники создания ИЖ-1 - ИЖ-5 и Л-300. С ЗИС пригласи</w:t>
      </w:r>
      <w:r w:rsidRPr="00E93F40">
        <w:rPr>
          <w:rFonts w:ascii="Times New Roman" w:hAnsi="Times New Roman"/>
          <w:color w:val="000000" w:themeColor="text1"/>
          <w:sz w:val="16"/>
          <w:szCs w:val="16"/>
        </w:rPr>
        <w:softHyphen/>
        <w:t>ли специалистов по колёсам - Э. Барта, посадкам - Г.Н. Листа, А.И. Скерджева, А.В. Муращенко, обучавших молодых инжене</w:t>
      </w:r>
      <w:r w:rsidRPr="00E93F40">
        <w:rPr>
          <w:rFonts w:ascii="Times New Roman" w:hAnsi="Times New Roman"/>
          <w:color w:val="000000" w:themeColor="text1"/>
          <w:sz w:val="16"/>
          <w:szCs w:val="16"/>
        </w:rPr>
        <w:softHyphen/>
        <w:t xml:space="preserve">ров конструкторскому искусству [4.53]. Начали с изучения тяжёлых мотоциклов различных фирм </w:t>
      </w:r>
      <w:r w:rsidRPr="00E93F40">
        <w:rPr>
          <w:rFonts w:ascii="Times New Roman" w:hAnsi="Times New Roman"/>
          <w:color w:val="000000" w:themeColor="text1"/>
          <w:sz w:val="16"/>
          <w:szCs w:val="16"/>
          <w:lang w:val="en-US"/>
        </w:rPr>
        <w:t>BMW</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Zundapp</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DKW</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Harley</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Davidson</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Indian</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Excelsior</w:t>
      </w:r>
      <w:r w:rsidRPr="00E93F40">
        <w:rPr>
          <w:rFonts w:ascii="Times New Roman" w:hAnsi="Times New Roman"/>
          <w:color w:val="000000" w:themeColor="text1"/>
          <w:sz w:val="16"/>
          <w:szCs w:val="16"/>
        </w:rPr>
        <w:t xml:space="preserve"> и др. (11429)</w:t>
      </w:r>
    </w:p>
    <w:p w14:paraId="4729F61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84DD13" w14:textId="73728585" w:rsidR="00E965D4" w:rsidRPr="00E93F40" w:rsidRDefault="00E965D4" w:rsidP="00E965D4">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4C21FF7D" w14:textId="77777777" w:rsidR="00E965D4" w:rsidRPr="00E93F40" w:rsidRDefault="00E965D4" w:rsidP="00E965D4">
      <w:pPr>
        <w:autoSpaceDE w:val="0"/>
        <w:autoSpaceDN w:val="0"/>
        <w:adjustRightInd w:val="0"/>
        <w:spacing w:after="0" w:line="240" w:lineRule="auto"/>
        <w:jc w:val="both"/>
        <w:rPr>
          <w:rFonts w:ascii="Times New Roman" w:hAnsi="Times New Roman"/>
          <w:iCs/>
          <w:color w:val="000000" w:themeColor="text1"/>
          <w:sz w:val="16"/>
          <w:szCs w:val="16"/>
        </w:rPr>
      </w:pPr>
    </w:p>
    <w:p w14:paraId="64E058CA"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l-й квартал 1932 г. через военную приемку прошли 46 ТБ-3, примерно две трети плана. На этих самолетах не хватало прицелов, радиостанций, бомбодержателей, пулеметов. Са</w:t>
      </w:r>
      <w:bookmarkStart w:id="19" w:name="bookmark42"/>
      <w:r w:rsidRPr="00142305">
        <w:rPr>
          <w:rFonts w:ascii="Times New Roman" w:hAnsi="Times New Roman"/>
          <w:color w:val="0070C0"/>
          <w:sz w:val="16"/>
          <w:szCs w:val="16"/>
        </w:rPr>
        <w:t>молеты сдавали «условно», под гарантийные письма-завода дослать все недостающее при получении прямо в воинские части. Ну а самые неукомплектованные бомбардировщики оседали на заводском аэродроме. Поэтому реально в ВВС поступило значительно меньше машин, чем было собрано (24977).</w:t>
      </w:r>
      <w:bookmarkEnd w:id="19"/>
    </w:p>
    <w:p w14:paraId="0DBB1F3E" w14:textId="77777777" w:rsidR="00E965D4" w:rsidRPr="00142305" w:rsidRDefault="00E965D4" w:rsidP="00E965D4">
      <w:pPr>
        <w:spacing w:after="0" w:line="240" w:lineRule="auto"/>
        <w:jc w:val="both"/>
        <w:rPr>
          <w:rFonts w:ascii="Times New Roman" w:hAnsi="Times New Roman"/>
          <w:color w:val="0070C0"/>
          <w:sz w:val="16"/>
          <w:szCs w:val="16"/>
        </w:rPr>
      </w:pPr>
    </w:p>
    <w:p w14:paraId="5EAA498A"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l-й квартал 1932 г. до строевых частей добрались лишь пять ТБ-З. Производство развертывалось медленнее, чем рассчитывали, что тормозило перевооружение ВВС. Уже из</w:t>
      </w:r>
      <w:r w:rsidRPr="00142305">
        <w:rPr>
          <w:rFonts w:ascii="Times New Roman" w:hAnsi="Times New Roman"/>
          <w:color w:val="0070C0"/>
          <w:sz w:val="16"/>
          <w:szCs w:val="16"/>
        </w:rPr>
        <w:softHyphen/>
        <w:t>готовленные машины доделывались и переоборудовались.</w:t>
      </w:r>
    </w:p>
    <w:p w14:paraId="45D41FEE"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Эскадрилье по штату полагалось иметь дюжину ТБ-З плюс три Р-5 для тренировки и связи. Укомплектование одной тяжелобомбардировочной эскадрильи обходилось при</w:t>
      </w:r>
      <w:r w:rsidRPr="00142305">
        <w:rPr>
          <w:rFonts w:ascii="Times New Roman" w:hAnsi="Times New Roman"/>
          <w:color w:val="0070C0"/>
          <w:sz w:val="16"/>
          <w:szCs w:val="16"/>
        </w:rPr>
        <w:softHyphen/>
        <w:t>мерно в 8 миллионов рублей.</w:t>
      </w:r>
    </w:p>
    <w:p w14:paraId="75D9BD68"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пилотам тяжелых бомбардировщиков предъявляли очень высокие требования. Они обязательно до.лжны бы</w:t>
      </w:r>
      <w:r w:rsidRPr="00142305">
        <w:rPr>
          <w:rFonts w:ascii="Times New Roman" w:hAnsi="Times New Roman"/>
          <w:color w:val="0070C0"/>
          <w:sz w:val="16"/>
          <w:szCs w:val="16"/>
        </w:rPr>
        <w:softHyphen/>
        <w:t>ли налетать значительное количество часов на Р-5 и ТБ-1, причем на последнем - на правом и левом сиденьях. Затем полагалось 18 полетов с инструктором на ТБ-З. Команди</w:t>
      </w:r>
      <w:r w:rsidRPr="00142305">
        <w:rPr>
          <w:rFonts w:ascii="Times New Roman" w:hAnsi="Times New Roman"/>
          <w:color w:val="0070C0"/>
          <w:sz w:val="16"/>
          <w:szCs w:val="16"/>
        </w:rPr>
        <w:softHyphen/>
        <w:t>рам самолетов, кроме этого, предписывались длительные тренировки на правом сиденье ТБ-З в качестве вторых пи</w:t>
      </w:r>
      <w:r w:rsidRPr="00142305">
        <w:rPr>
          <w:rFonts w:ascii="Times New Roman" w:hAnsi="Times New Roman"/>
          <w:color w:val="0070C0"/>
          <w:sz w:val="16"/>
          <w:szCs w:val="16"/>
        </w:rPr>
        <w:softHyphen/>
        <w:t xml:space="preserve">лотов. И вдобавок командиру предъявлялось требование о наличии партийного стажа. На </w:t>
      </w:r>
      <w:r w:rsidRPr="00142305">
        <w:rPr>
          <w:rFonts w:ascii="Times New Roman" w:hAnsi="Times New Roman"/>
          <w:color w:val="0070C0"/>
          <w:sz w:val="16"/>
          <w:szCs w:val="16"/>
        </w:rPr>
        <w:lastRenderedPageBreak/>
        <w:t>практике оказалось, что эта сложная и громоздкая система сдерживает освоение но</w:t>
      </w:r>
      <w:r w:rsidRPr="00142305">
        <w:rPr>
          <w:rFonts w:ascii="Times New Roman" w:hAnsi="Times New Roman"/>
          <w:color w:val="0070C0"/>
          <w:sz w:val="16"/>
          <w:szCs w:val="16"/>
        </w:rPr>
        <w:softHyphen/>
        <w:t>вых бомбардировщиков. Нужного количества пи</w:t>
      </w:r>
      <w:r w:rsidRPr="00142305">
        <w:rPr>
          <w:rFonts w:ascii="Times New Roman" w:hAnsi="Times New Roman"/>
          <w:color w:val="0070C0"/>
          <w:sz w:val="16"/>
          <w:szCs w:val="16"/>
        </w:rPr>
        <w:softHyphen/>
        <w:t>лотов, соответствующих всем требованиям, прос</w:t>
      </w:r>
      <w:r w:rsidRPr="00142305">
        <w:rPr>
          <w:rFonts w:ascii="Times New Roman" w:hAnsi="Times New Roman"/>
          <w:color w:val="0070C0"/>
          <w:sz w:val="16"/>
          <w:szCs w:val="16"/>
        </w:rPr>
        <w:softHyphen/>
        <w:t>то не оказалось. Да и тех, кого нашли, пришлось пропускать через долгую процедуру тренировок. В результате боеспособ</w:t>
      </w:r>
      <w:r w:rsidRPr="00142305">
        <w:rPr>
          <w:rFonts w:ascii="Times New Roman" w:hAnsi="Times New Roman"/>
          <w:color w:val="0070C0"/>
          <w:sz w:val="16"/>
          <w:szCs w:val="16"/>
        </w:rPr>
        <w:softHyphen/>
        <w:t>ных самолетов стало су</w:t>
      </w:r>
      <w:r w:rsidRPr="00142305">
        <w:rPr>
          <w:rFonts w:ascii="Times New Roman" w:hAnsi="Times New Roman"/>
          <w:color w:val="0070C0"/>
          <w:sz w:val="16"/>
          <w:szCs w:val="16"/>
        </w:rPr>
        <w:softHyphen/>
        <w:t>щественно больше, чем подготовленного летно</w:t>
      </w:r>
      <w:r w:rsidRPr="00142305">
        <w:rPr>
          <w:rFonts w:ascii="Times New Roman" w:hAnsi="Times New Roman"/>
          <w:color w:val="0070C0"/>
          <w:sz w:val="16"/>
          <w:szCs w:val="16"/>
        </w:rPr>
        <w:softHyphen/>
        <w:t>го состава. Кроме это</w:t>
      </w:r>
      <w:r w:rsidRPr="00142305">
        <w:rPr>
          <w:rFonts w:ascii="Times New Roman" w:hAnsi="Times New Roman"/>
          <w:color w:val="0070C0"/>
          <w:sz w:val="16"/>
          <w:szCs w:val="16"/>
        </w:rPr>
        <w:softHyphen/>
        <w:t>го, длительное обучение поглощало моторесурс и горючее. Пришлось по</w:t>
      </w:r>
      <w:r w:rsidRPr="00142305">
        <w:rPr>
          <w:rFonts w:ascii="Times New Roman" w:hAnsi="Times New Roman"/>
          <w:color w:val="0070C0"/>
          <w:sz w:val="16"/>
          <w:szCs w:val="16"/>
        </w:rPr>
        <w:softHyphen/>
        <w:t>низить требования по налету и сократить про</w:t>
      </w:r>
      <w:r w:rsidRPr="00142305">
        <w:rPr>
          <w:rFonts w:ascii="Times New Roman" w:hAnsi="Times New Roman"/>
          <w:color w:val="0070C0"/>
          <w:sz w:val="16"/>
          <w:szCs w:val="16"/>
        </w:rPr>
        <w:softHyphen/>
        <w:t>грамму тренировок, пос</w:t>
      </w:r>
      <w:r w:rsidRPr="00142305">
        <w:rPr>
          <w:rFonts w:ascii="Times New Roman" w:hAnsi="Times New Roman"/>
          <w:color w:val="0070C0"/>
          <w:sz w:val="16"/>
          <w:szCs w:val="16"/>
        </w:rPr>
        <w:softHyphen/>
        <w:t>кольку к 1 января 1933 г. требовалось по плану подготовить 200 экипа</w:t>
      </w:r>
      <w:r w:rsidRPr="00142305">
        <w:rPr>
          <w:rFonts w:ascii="Times New Roman" w:hAnsi="Times New Roman"/>
          <w:color w:val="0070C0"/>
          <w:sz w:val="16"/>
          <w:szCs w:val="16"/>
        </w:rPr>
        <w:softHyphen/>
        <w:t>жей.</w:t>
      </w:r>
    </w:p>
    <w:p w14:paraId="3D4437B7"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Тяжелобомбардиро</w:t>
      </w:r>
      <w:r w:rsidRPr="00142305">
        <w:rPr>
          <w:rFonts w:ascii="Times New Roman" w:hAnsi="Times New Roman"/>
          <w:color w:val="0070C0"/>
          <w:sz w:val="16"/>
          <w:szCs w:val="16"/>
        </w:rPr>
        <w:softHyphen/>
        <w:t>вочные эскадрильи объединились в бригады. Бригада полного состава в то вре</w:t>
      </w:r>
      <w:r w:rsidRPr="00142305">
        <w:rPr>
          <w:rFonts w:ascii="Times New Roman" w:hAnsi="Times New Roman"/>
          <w:color w:val="0070C0"/>
          <w:sz w:val="16"/>
          <w:szCs w:val="16"/>
        </w:rPr>
        <w:softHyphen/>
        <w:t>мя уже имела четыре эскадрильи ТБ-3 или три ТБ-3 и одну ТБ-1 (всего 49 машин), эскадрилью «крейсеров» Р-6 (12 самолетов) ДЛЯ дальнего сопровождения и разведки и эс</w:t>
      </w:r>
      <w:r w:rsidRPr="00142305">
        <w:rPr>
          <w:rFonts w:ascii="Times New Roman" w:hAnsi="Times New Roman"/>
          <w:color w:val="0070C0"/>
          <w:sz w:val="16"/>
          <w:szCs w:val="16"/>
        </w:rPr>
        <w:softHyphen/>
        <w:t>кадрилью истребителей И-5 (31 штуку) для прикрытия аэ</w:t>
      </w:r>
      <w:r w:rsidRPr="00142305">
        <w:rPr>
          <w:rFonts w:ascii="Times New Roman" w:hAnsi="Times New Roman"/>
          <w:color w:val="0070C0"/>
          <w:sz w:val="16"/>
          <w:szCs w:val="16"/>
        </w:rPr>
        <w:softHyphen/>
        <w:t>родромов и эскорта близ линии фронта. Таким образом, со</w:t>
      </w:r>
      <w:r w:rsidRPr="00142305">
        <w:rPr>
          <w:rFonts w:ascii="Times New Roman" w:hAnsi="Times New Roman"/>
          <w:color w:val="0070C0"/>
          <w:sz w:val="16"/>
          <w:szCs w:val="16"/>
        </w:rPr>
        <w:softHyphen/>
        <w:t>здавалась стройная структура стратегической авиации. Все это делалось впервые в мире. Бригады обычно сначала фор</w:t>
      </w:r>
      <w:r w:rsidRPr="00142305">
        <w:rPr>
          <w:rFonts w:ascii="Times New Roman" w:hAnsi="Times New Roman"/>
          <w:color w:val="0070C0"/>
          <w:sz w:val="16"/>
          <w:szCs w:val="16"/>
        </w:rPr>
        <w:softHyphen/>
        <w:t>мировались из двух эскадрилий, а потом разворачивались до полного состава (24977).</w:t>
      </w:r>
    </w:p>
    <w:p w14:paraId="7D1A47E9" w14:textId="77777777" w:rsidR="00E965D4" w:rsidRPr="00142305" w:rsidRDefault="00E965D4" w:rsidP="00E965D4">
      <w:pPr>
        <w:spacing w:after="0" w:line="240" w:lineRule="auto"/>
        <w:jc w:val="both"/>
        <w:rPr>
          <w:rFonts w:ascii="Times New Roman" w:hAnsi="Times New Roman"/>
          <w:color w:val="0070C0"/>
          <w:sz w:val="16"/>
          <w:szCs w:val="16"/>
        </w:rPr>
      </w:pPr>
    </w:p>
    <w:p w14:paraId="2FD1A78B" w14:textId="77777777" w:rsidR="001E3FF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9155046" w14:textId="77777777" w:rsidR="001E3FFC" w:rsidRPr="00E93F40" w:rsidRDefault="001E3FF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B53990" w14:textId="77777777" w:rsidR="001E3FFC" w:rsidRPr="00E93F40" w:rsidRDefault="001E3FF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первые месяцы 1932 года главные конструкторы А.Ф. Шорин и В.И. Бекаури демонстрировали свою аппаратуру членам Политбюро и правительства. Комплекс А.Ф. Шорина был принят на вооружение, а В.И. Бекаури предложили провести дополнительные испытания. Одновременно правительство приняло решение о строительстве завода точной механики и автоматики. Согласно отчету Остехбюро, «Одной из самых крупных работ Ленинградского периода деятельности Остехбюро было создание управляемых по радио торпедных катеров. На первом этапе была разработана радиолиния для управления катером, а также электромеханический рулевой (“Элемру”), принимающий от радиолинии команды изменения курса катера. Вторым этапом разработки телекатеров было создание системы телемеханического управления в кильватерном строю. Телекатера системы “Вольт” выполняли значительное количество команд, передаваемых по радиолинии с поста управления: “Ход”, “Малый ход”, “Средний ход”, “Полный ход”, “Лево”, “Право”, “Прямо”. По шести командам 1°, 5° и 30° “Лево” и 1°, 5°, 30° — “Право” катер автоматически переходил на измененный курс, причем последовательно можно было задавать любое изменение курса катера (например, 68° вправо -30°+ 30° Ч-5° + 1º + 1° 4-1°). Была также команда “Виляние” — зигзагообразный ход катера. Управление осуществлялось передающей радиостанцией “У”, представляющей собой комплекс счетно-решающих аналоговых приборов электромеханического типа, а также командное устройство, посылающее на радиостанцию команды управления курсами катеров. Была разработана аппаратура телеуправления “Вольт-Р”, обеспечивающая управление катерами, оснащенными торпедами, с гидросамолетов. За создание самолетной аппаратуры управления гигроскопического курсоуказателя Л.Г. Усачев был награжден орденом Ленина, А.И. Зимин — орденом “Знак Почета”. За разработку управляемых катеров 10.03.36 была награждена орденами большая группа сотрудников Остехбюро: Г.Н. Кутейников, А.Л. Мирвис, С.Г. Бобров, А.В. Виленский, С.Т. Зайцев, Д.Л. Тимофеевский, Б.А. Чирьев, Ю.А. Шаровский» (15117).</w:t>
      </w:r>
    </w:p>
    <w:p w14:paraId="006E22A2" w14:textId="77777777" w:rsidR="001E3FFC" w:rsidRPr="00E93F40" w:rsidRDefault="001E3FFC" w:rsidP="00E93F40">
      <w:pPr>
        <w:spacing w:after="0" w:line="240" w:lineRule="auto"/>
        <w:jc w:val="both"/>
        <w:rPr>
          <w:rFonts w:ascii="Times New Roman" w:hAnsi="Times New Roman"/>
          <w:color w:val="000000" w:themeColor="text1"/>
          <w:sz w:val="16"/>
          <w:szCs w:val="16"/>
        </w:rPr>
      </w:pPr>
    </w:p>
    <w:p w14:paraId="1C3341B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56E0C4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D93D72" w14:textId="77777777" w:rsidR="0094098A" w:rsidRPr="00E93F40" w:rsidRDefault="0094098A"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К апрелю 1932 г. АИР-5 прошел полную программу испытаний. Американский мотор в НИИ ГВФ так и не удалось вывести на максимальные обороты, в связи с чем летные данные несколько ухудшились. Тем не менее, они получились вполне приемлемыми. Максимальная скорость равнялась 182 км/ч (ранее получили 193 км/ч), практический потолок-4275 м. Продольная, поперечная и путевая устойчивость оценивались как хорошие.</w:t>
      </w:r>
    </w:p>
    <w:p w14:paraId="3E170B37" w14:textId="77777777" w:rsidR="0094098A" w:rsidRPr="00E93F40" w:rsidRDefault="0094098A"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Самолет легко взлетал. С правильно отрегулированным стабилизатором он уверенно набирал высоту, позволяя пилоту даже бросить управление. В горизонтальном полете АИР-5 «прощал» летчику небольшие ошибки: выйдя из устойчивого положения, после двух-трех колебаний он опять возвращался к нему. Пилот мог долго не прикасаться к ручке и педалям - машина продолжала идти по прямой, держась на заданной высоте. При потере скорости АИР-5 не проявлял тенденции к сваливанию на крыло, просто переходя в пологое снижение. Самолет быстро и устойчиво выполнял левый и правый виражи, легко переходя от одного к другому. Высоко оценили эффективность рулей, на их движения машина реагировала без каких-либо запозданий. Нагрузки на педали и ручку управления на всех режимах полета оставались незначительными.</w:t>
      </w:r>
    </w:p>
    <w:p w14:paraId="15161DCA" w14:textId="77777777" w:rsidR="0094098A" w:rsidRPr="00E93F40" w:rsidRDefault="0094098A"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Самолет заходил на посадку на скорости 95 км/ч. Из-за хорошей устойчивости машины пилот мог позволить себе при этом безопасно маневрировать на малой скорости. Техника выполнения посадки «на три точки» описывалась как простая. Для посадки АИР-5 требовалась площадка длиной 250 м, при хороших подходах - 200 м.</w:t>
      </w:r>
    </w:p>
    <w:p w14:paraId="0C819BF0" w14:textId="77777777" w:rsidR="0094098A" w:rsidRPr="00E93F40" w:rsidRDefault="0094098A"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Машину признали простой в эксплуатации, ее вполне мог обслуживать один специалист средней квалификации. Сочли, что она может использоваться в гражданской авиации для перевозки пассажиров и почты, а также для аэрофотосъемки (19099).</w:t>
      </w:r>
    </w:p>
    <w:p w14:paraId="6347F996" w14:textId="77777777" w:rsidR="0094098A" w:rsidRPr="00E93F40" w:rsidRDefault="0094098A" w:rsidP="00E93F40">
      <w:pPr>
        <w:pStyle w:val="a8"/>
        <w:jc w:val="both"/>
        <w:rPr>
          <w:rFonts w:ascii="Times New Roman" w:hAnsi="Times New Roman" w:cs="Times New Roman"/>
          <w:color w:val="000000" w:themeColor="text1"/>
        </w:rPr>
      </w:pPr>
    </w:p>
    <w:p w14:paraId="5C94E383"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апрелю 1932 г. АИР-5 прошел полную программу испытаний. Американский мотор Райт J4A номи</w:t>
      </w:r>
      <w:r w:rsidRPr="00142305">
        <w:rPr>
          <w:rFonts w:ascii="Times New Roman" w:hAnsi="Times New Roman"/>
          <w:color w:val="0070C0"/>
          <w:sz w:val="16"/>
          <w:szCs w:val="16"/>
        </w:rPr>
        <w:softHyphen/>
        <w:t>нальной мощностью 200 л.с в НИИ ГВФ так и не удалось вывести на максимальные обороты, в связи с чем летные данные несколько ухудшились. Тем не менее, они получились вполне приемлемыми. Мак</w:t>
      </w:r>
      <w:r w:rsidRPr="00142305">
        <w:rPr>
          <w:rFonts w:ascii="Times New Roman" w:hAnsi="Times New Roman"/>
          <w:color w:val="0070C0"/>
          <w:sz w:val="16"/>
          <w:szCs w:val="16"/>
        </w:rPr>
        <w:softHyphen/>
        <w:t>симальная скорость равнялась 182 км/ч (ранее получили 193 км/ч), практический потолок-4275 м. Продольная, попереч</w:t>
      </w:r>
      <w:r w:rsidRPr="00142305">
        <w:rPr>
          <w:rFonts w:ascii="Times New Roman" w:hAnsi="Times New Roman"/>
          <w:color w:val="0070C0"/>
          <w:sz w:val="16"/>
          <w:szCs w:val="16"/>
        </w:rPr>
        <w:softHyphen/>
        <w:t>ная и путевая устойчивость оценивались как хорошие.</w:t>
      </w:r>
    </w:p>
    <w:p w14:paraId="56E9053C"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легко взлетал. С правильно отрегулированным стабилизатором он уверенно набирал высоту, позволяя пилоту даже бросить управление. В горизон</w:t>
      </w:r>
      <w:r w:rsidRPr="00142305">
        <w:rPr>
          <w:rFonts w:ascii="Times New Roman" w:hAnsi="Times New Roman"/>
          <w:color w:val="0070C0"/>
          <w:sz w:val="16"/>
          <w:szCs w:val="16"/>
        </w:rPr>
        <w:softHyphen/>
        <w:t>тальном полете АИР-5 «прощал» летчику небольшие ошибки: выйдя из устойчивого положения, после двух-трех колебаний он опять возвращался к нему. Пилот мог долго не прикасаться к ручке и педалям - машина продолжала идти по прямой, дер</w:t>
      </w:r>
      <w:r w:rsidRPr="00142305">
        <w:rPr>
          <w:rFonts w:ascii="Times New Roman" w:hAnsi="Times New Roman"/>
          <w:color w:val="0070C0"/>
          <w:sz w:val="16"/>
          <w:szCs w:val="16"/>
        </w:rPr>
        <w:softHyphen/>
        <w:t>жась на заданной высоте. При потере скорости АИР-5 не проявлял тенденции к сваливанию на крыло, просто переходя в пологое снижение. Самолет быстро и стойчиво выполнял левый и правый ви</w:t>
      </w:r>
      <w:r w:rsidRPr="00142305">
        <w:rPr>
          <w:rFonts w:ascii="Times New Roman" w:hAnsi="Times New Roman"/>
          <w:color w:val="0070C0"/>
          <w:sz w:val="16"/>
          <w:szCs w:val="16"/>
        </w:rPr>
        <w:softHyphen/>
        <w:t>ражи, легко переходя от одного к другому. Высоко оценили эффективность рулей, на их движения машина реагировала без каких-либо запозданий. Нагрузки на педа</w:t>
      </w:r>
      <w:r w:rsidRPr="00142305">
        <w:rPr>
          <w:rFonts w:ascii="Times New Roman" w:hAnsi="Times New Roman"/>
          <w:color w:val="0070C0"/>
          <w:sz w:val="16"/>
          <w:szCs w:val="16"/>
        </w:rPr>
        <w:softHyphen/>
        <w:t>ли и ручку управления на всех режимах полета оставались незначительными.</w:t>
      </w:r>
    </w:p>
    <w:p w14:paraId="447AB72C"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заходил на посадку на скоро</w:t>
      </w:r>
      <w:r w:rsidRPr="00142305">
        <w:rPr>
          <w:rFonts w:ascii="Times New Roman" w:hAnsi="Times New Roman"/>
          <w:color w:val="0070C0"/>
          <w:sz w:val="16"/>
          <w:szCs w:val="16"/>
        </w:rPr>
        <w:softHyphen/>
        <w:t>сти 95 км/ч. Из-за хорошей устойчивости машины пилот мог позволить себе при этом безопасно маневрировать на малой скорости. Техника выполнения посадки «на три точки» описывалась как про</w:t>
      </w:r>
      <w:r w:rsidRPr="00142305">
        <w:rPr>
          <w:rFonts w:ascii="Times New Roman" w:hAnsi="Times New Roman"/>
          <w:color w:val="0070C0"/>
          <w:sz w:val="16"/>
          <w:szCs w:val="16"/>
        </w:rPr>
        <w:softHyphen/>
        <w:t>стая. Для посадки АИР-5 требовалась площадка длиной 250 м, при хороших подходах - 200 м.</w:t>
      </w:r>
    </w:p>
    <w:p w14:paraId="32D1EDCC"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Машину признали простой в эксплуата</w:t>
      </w:r>
      <w:r w:rsidRPr="00142305">
        <w:rPr>
          <w:rFonts w:ascii="Times New Roman" w:hAnsi="Times New Roman"/>
          <w:color w:val="0070C0"/>
          <w:sz w:val="16"/>
          <w:szCs w:val="16"/>
        </w:rPr>
        <w:softHyphen/>
        <w:t>ции, ее вполне мог обслуживать один спе</w:t>
      </w:r>
      <w:r w:rsidRPr="00142305">
        <w:rPr>
          <w:rFonts w:ascii="Times New Roman" w:hAnsi="Times New Roman"/>
          <w:color w:val="0070C0"/>
          <w:sz w:val="16"/>
          <w:szCs w:val="16"/>
        </w:rPr>
        <w:softHyphen/>
        <w:t>циалист средней квалификации. Сочли, что она может использоваться в граждан</w:t>
      </w:r>
      <w:r w:rsidRPr="00142305">
        <w:rPr>
          <w:rFonts w:ascii="Times New Roman" w:hAnsi="Times New Roman"/>
          <w:color w:val="0070C0"/>
          <w:sz w:val="16"/>
          <w:szCs w:val="16"/>
        </w:rPr>
        <w:softHyphen/>
        <w:t>ской авиации для перевозки пассажиров и почты, а также для аэрофотосъемки (24945).</w:t>
      </w:r>
    </w:p>
    <w:p w14:paraId="3A9C8AA5" w14:textId="77777777" w:rsidR="00E965D4" w:rsidRPr="00142305" w:rsidRDefault="00E965D4" w:rsidP="00E965D4">
      <w:pPr>
        <w:spacing w:after="0" w:line="240" w:lineRule="auto"/>
        <w:jc w:val="both"/>
        <w:rPr>
          <w:rFonts w:ascii="Times New Roman" w:hAnsi="Times New Roman"/>
          <w:color w:val="0070C0"/>
          <w:sz w:val="16"/>
          <w:szCs w:val="16"/>
        </w:rPr>
      </w:pPr>
    </w:p>
    <w:p w14:paraId="5B3EE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апрелю 1932 был изготовлен планер СК-6 С.П.К. с использованием электрона (105,123).</w:t>
      </w:r>
    </w:p>
    <w:p w14:paraId="1639A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FC2318" w14:textId="6A83C1DA" w:rsidR="003A0F02" w:rsidRPr="00E93F40" w:rsidRDefault="003A0F02" w:rsidP="00E93F40">
      <w:pPr>
        <w:pStyle w:val="ae"/>
        <w:spacing w:before="0" w:after="0"/>
        <w:jc w:val="both"/>
        <w:textAlignment w:val="baseline"/>
        <w:rPr>
          <w:color w:val="000000" w:themeColor="text1"/>
          <w:sz w:val="16"/>
          <w:szCs w:val="16"/>
          <w:bdr w:val="none" w:sz="0" w:space="0" w:color="auto" w:frame="1"/>
        </w:rPr>
      </w:pPr>
      <w:r w:rsidRPr="00E93F40">
        <w:rPr>
          <w:color w:val="000000" w:themeColor="text1"/>
          <w:sz w:val="16"/>
          <w:szCs w:val="16"/>
          <w:bdr w:val="none" w:sz="0" w:space="0" w:color="auto" w:frame="1"/>
        </w:rPr>
        <w:t>К апрелю 1932 г. стало ясно, что широкие планы советских моторостроителей фактически провалились. Слабость конструкторских организаций, нехватка квалифицированных кадров, отставание в технологии и общая отсталость смежных отраслей, в первую очередь электротех-нической и металлургической промышленности, привели к тому, что до практического использования в 1930-31 годах довели только один двигатель отечественной конструкции — М-34 А.А. Микулина, Это сдерживало развитие самолетостроения. Современных высотных моторов для истребителей в стране не имелось вообще. Комиссия во главе с будущим маршалом М.Н. Тухачевским порекомендовала приобрести лицензии в США. Для освоения в СССР выбрали Райт</w:t>
      </w:r>
      <w:r w:rsidR="007C1411" w:rsidRPr="00E93F40">
        <w:rPr>
          <w:color w:val="000000" w:themeColor="text1"/>
          <w:sz w:val="16"/>
          <w:szCs w:val="16"/>
          <w:bdr w:val="none" w:sz="0" w:space="0" w:color="auto" w:frame="1"/>
        </w:rPr>
        <w:t xml:space="preserve"> </w:t>
      </w:r>
      <w:r w:rsidRPr="00E93F40">
        <w:rPr>
          <w:color w:val="000000" w:themeColor="text1"/>
          <w:sz w:val="16"/>
          <w:szCs w:val="16"/>
          <w:bdr w:val="none" w:sz="0" w:space="0" w:color="auto" w:frame="1"/>
          <w:lang w:val="en-US"/>
        </w:rPr>
        <w:t>R</w:t>
      </w:r>
      <w:r w:rsidRPr="00E93F40">
        <w:rPr>
          <w:color w:val="000000" w:themeColor="text1"/>
          <w:sz w:val="16"/>
          <w:szCs w:val="16"/>
          <w:bdr w:val="none" w:sz="0" w:space="0" w:color="auto" w:frame="1"/>
        </w:rPr>
        <w:t>-1820</w:t>
      </w:r>
      <w:r w:rsidR="007C1411" w:rsidRPr="00E93F40">
        <w:rPr>
          <w:color w:val="000000" w:themeColor="text1"/>
          <w:sz w:val="16"/>
          <w:szCs w:val="16"/>
          <w:bdr w:val="none" w:sz="0" w:space="0" w:color="auto" w:frame="1"/>
        </w:rPr>
        <w:t xml:space="preserve"> </w:t>
      </w:r>
      <w:r w:rsidRPr="00E93F40">
        <w:rPr>
          <w:color w:val="000000" w:themeColor="text1"/>
          <w:sz w:val="16"/>
          <w:szCs w:val="16"/>
          <w:bdr w:val="none" w:sz="0" w:space="0" w:color="auto" w:frame="1"/>
        </w:rPr>
        <w:t>«Циклон» и Кэртис</w:t>
      </w:r>
      <w:r w:rsidR="007C1411" w:rsidRPr="00E93F40">
        <w:rPr>
          <w:color w:val="000000" w:themeColor="text1"/>
          <w:sz w:val="16"/>
          <w:szCs w:val="16"/>
          <w:bdr w:val="none" w:sz="0" w:space="0" w:color="auto" w:frame="1"/>
        </w:rPr>
        <w:t xml:space="preserve"> </w:t>
      </w:r>
      <w:r w:rsidRPr="00E93F40">
        <w:rPr>
          <w:color w:val="000000" w:themeColor="text1"/>
          <w:sz w:val="16"/>
          <w:szCs w:val="16"/>
          <w:bdr w:val="none" w:sz="0" w:space="0" w:color="auto" w:frame="1"/>
          <w:lang w:val="en-US"/>
        </w:rPr>
        <w:t>V</w:t>
      </w:r>
      <w:r w:rsidRPr="00E93F40">
        <w:rPr>
          <w:color w:val="000000" w:themeColor="text1"/>
          <w:sz w:val="16"/>
          <w:szCs w:val="16"/>
          <w:bdr w:val="none" w:sz="0" w:space="0" w:color="auto" w:frame="1"/>
        </w:rPr>
        <w:t>-1800</w:t>
      </w:r>
      <w:r w:rsidR="007C1411" w:rsidRPr="00E93F40">
        <w:rPr>
          <w:color w:val="000000" w:themeColor="text1"/>
          <w:sz w:val="16"/>
          <w:szCs w:val="16"/>
          <w:bdr w:val="none" w:sz="0" w:space="0" w:color="auto" w:frame="1"/>
        </w:rPr>
        <w:t xml:space="preserve"> </w:t>
      </w:r>
      <w:r w:rsidRPr="00E93F40">
        <w:rPr>
          <w:color w:val="000000" w:themeColor="text1"/>
          <w:sz w:val="16"/>
          <w:szCs w:val="16"/>
          <w:bdr w:val="none" w:sz="0" w:space="0" w:color="auto" w:frame="1"/>
        </w:rPr>
        <w:t>«Конкверор». «Циклон» начали делать в Перми как М-25. Он стал прародителем большого семейства двигателей, над которым работал А.Д. Швецов. Чтобы ускорить создание нового поколения самолетов, в США закупили партию готовых «Циклонов», причем большую их часть — в исходном дюймовом исполнении. Поскольку самолетостроители несколько обогнали запоздавшие моторные заводы, в ряде случаев импортные двигатели шли и на серийные истребители. Их получила некоторая часть И-16 и все первые И-14. «Конкверор» собирались изготовлять на заводе № 26 в Рыбинске. Но неожиданно работы по нему остановили. Во Франции заключили договор с «Испано-Сюизой» на приобретение лицензии на новый двигатель</w:t>
      </w:r>
      <w:r w:rsidR="007C1411" w:rsidRPr="00E93F40">
        <w:rPr>
          <w:color w:val="000000" w:themeColor="text1"/>
          <w:sz w:val="16"/>
          <w:szCs w:val="16"/>
          <w:bdr w:val="none" w:sz="0" w:space="0" w:color="auto" w:frame="1"/>
        </w:rPr>
        <w:t xml:space="preserve"> </w:t>
      </w:r>
      <w:r w:rsidRPr="00E93F40">
        <w:rPr>
          <w:color w:val="000000" w:themeColor="text1"/>
          <w:sz w:val="16"/>
          <w:szCs w:val="16"/>
          <w:bdr w:val="none" w:sz="0" w:space="0" w:color="auto" w:frame="1"/>
        </w:rPr>
        <w:t>12</w:t>
      </w:r>
      <w:r w:rsidRPr="00E93F40">
        <w:rPr>
          <w:color w:val="000000" w:themeColor="text1"/>
          <w:sz w:val="16"/>
          <w:szCs w:val="16"/>
          <w:bdr w:val="none" w:sz="0" w:space="0" w:color="auto" w:frame="1"/>
          <w:lang w:val="en-US"/>
        </w:rPr>
        <w:t>Ybrs</w:t>
      </w:r>
      <w:r w:rsidRPr="00E93F40">
        <w:rPr>
          <w:color w:val="000000" w:themeColor="text1"/>
          <w:sz w:val="16"/>
          <w:szCs w:val="16"/>
          <w:bdr w:val="none" w:sz="0" w:space="0" w:color="auto" w:frame="1"/>
        </w:rPr>
        <w:t>.</w:t>
      </w:r>
      <w:r w:rsidR="007C1411" w:rsidRPr="00E93F40">
        <w:rPr>
          <w:color w:val="000000" w:themeColor="text1"/>
          <w:sz w:val="16"/>
          <w:szCs w:val="16"/>
          <w:bdr w:val="none" w:sz="0" w:space="0" w:color="auto" w:frame="1"/>
        </w:rPr>
        <w:t xml:space="preserve"> </w:t>
      </w:r>
      <w:r w:rsidRPr="00E93F40">
        <w:rPr>
          <w:color w:val="000000" w:themeColor="text1"/>
          <w:sz w:val="16"/>
          <w:szCs w:val="16"/>
          <w:bdr w:val="none" w:sz="0" w:space="0" w:color="auto" w:frame="1"/>
        </w:rPr>
        <w:t>Его хотели сначала строить в Москве на заводе № 24, но тот был слишком загружен М-34. Тогда план по «Испано» передали в Рыбинск. Весь задел по</w:t>
      </w:r>
      <w:r w:rsidR="007C1411" w:rsidRPr="00E93F40">
        <w:rPr>
          <w:color w:val="000000" w:themeColor="text1"/>
          <w:sz w:val="16"/>
          <w:szCs w:val="16"/>
          <w:bdr w:val="none" w:sz="0" w:space="0" w:color="auto" w:frame="1"/>
        </w:rPr>
        <w:t xml:space="preserve"> </w:t>
      </w:r>
      <w:r w:rsidRPr="00E93F40">
        <w:rPr>
          <w:color w:val="000000" w:themeColor="text1"/>
          <w:sz w:val="16"/>
          <w:szCs w:val="16"/>
          <w:bdr w:val="none" w:sz="0" w:space="0" w:color="auto" w:frame="1"/>
          <w:lang w:val="en-US"/>
        </w:rPr>
        <w:t>V</w:t>
      </w:r>
      <w:r w:rsidRPr="00E93F40">
        <w:rPr>
          <w:color w:val="000000" w:themeColor="text1"/>
          <w:sz w:val="16"/>
          <w:szCs w:val="16"/>
          <w:bdr w:val="none" w:sz="0" w:space="0" w:color="auto" w:frame="1"/>
        </w:rPr>
        <w:t>-1800</w:t>
      </w:r>
      <w:r w:rsidR="007C1411" w:rsidRPr="00E93F40">
        <w:rPr>
          <w:color w:val="000000" w:themeColor="text1"/>
          <w:sz w:val="16"/>
          <w:szCs w:val="16"/>
          <w:bdr w:val="none" w:sz="0" w:space="0" w:color="auto" w:frame="1"/>
        </w:rPr>
        <w:t xml:space="preserve"> </w:t>
      </w:r>
      <w:r w:rsidRPr="00E93F40">
        <w:rPr>
          <w:color w:val="000000" w:themeColor="text1"/>
          <w:sz w:val="16"/>
          <w:szCs w:val="16"/>
          <w:bdr w:val="none" w:sz="0" w:space="0" w:color="auto" w:frame="1"/>
        </w:rPr>
        <w:t>списали и уничтожили (20442).</w:t>
      </w:r>
    </w:p>
    <w:p w14:paraId="19DB2D88" w14:textId="77777777" w:rsidR="003A0F02" w:rsidRPr="00E93F40" w:rsidRDefault="003A0F02" w:rsidP="00E93F40">
      <w:pPr>
        <w:pStyle w:val="ae"/>
        <w:spacing w:before="0" w:after="0"/>
        <w:jc w:val="both"/>
        <w:textAlignment w:val="baseline"/>
        <w:rPr>
          <w:color w:val="000000" w:themeColor="text1"/>
          <w:sz w:val="16"/>
          <w:szCs w:val="16"/>
        </w:rPr>
      </w:pPr>
    </w:p>
    <w:p w14:paraId="7E93382A"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апрелю 1932 г. стало ясно, что широкие планы советских моторострои</w:t>
      </w:r>
      <w:r w:rsidRPr="00E93F40">
        <w:rPr>
          <w:rFonts w:ascii="Times New Roman" w:hAnsi="Times New Roman"/>
          <w:color w:val="000000" w:themeColor="text1"/>
          <w:sz w:val="16"/>
          <w:szCs w:val="16"/>
        </w:rPr>
        <w:softHyphen/>
        <w:t>телей фактически провалились. Слабость конструкторских организаций, нехватка квалифицированных кадров, отставание в технологии и общая отсталость смежных отраслей, в первую очередь электротех</w:t>
      </w:r>
      <w:r w:rsidRPr="00E93F40">
        <w:rPr>
          <w:rFonts w:ascii="Times New Roman" w:hAnsi="Times New Roman"/>
          <w:color w:val="000000" w:themeColor="text1"/>
          <w:sz w:val="16"/>
          <w:szCs w:val="16"/>
        </w:rPr>
        <w:softHyphen/>
        <w:t>нической и металлургической промыш</w:t>
      </w:r>
      <w:r w:rsidRPr="00E93F40">
        <w:rPr>
          <w:rFonts w:ascii="Times New Roman" w:hAnsi="Times New Roman"/>
          <w:color w:val="000000" w:themeColor="text1"/>
          <w:sz w:val="16"/>
          <w:szCs w:val="16"/>
        </w:rPr>
        <w:softHyphen/>
        <w:t>ленности, привели к тому, что до практи</w:t>
      </w:r>
      <w:r w:rsidRPr="00E93F40">
        <w:rPr>
          <w:rFonts w:ascii="Times New Roman" w:hAnsi="Times New Roman"/>
          <w:color w:val="000000" w:themeColor="text1"/>
          <w:sz w:val="16"/>
          <w:szCs w:val="16"/>
        </w:rPr>
        <w:softHyphen/>
        <w:t>ческого использования в 1930-31 годах довели только один двигатель отечествен</w:t>
      </w:r>
      <w:r w:rsidRPr="00E93F40">
        <w:rPr>
          <w:rFonts w:ascii="Times New Roman" w:hAnsi="Times New Roman"/>
          <w:color w:val="000000" w:themeColor="text1"/>
          <w:sz w:val="16"/>
          <w:szCs w:val="16"/>
        </w:rPr>
        <w:softHyphen/>
        <w:t>ной конструкции — М-34 А.А. Микулина, Это сдерживало развитие самолетострое</w:t>
      </w:r>
      <w:r w:rsidRPr="00E93F40">
        <w:rPr>
          <w:rFonts w:ascii="Times New Roman" w:hAnsi="Times New Roman"/>
          <w:color w:val="000000" w:themeColor="text1"/>
          <w:sz w:val="16"/>
          <w:szCs w:val="16"/>
        </w:rPr>
        <w:softHyphen/>
        <w:t>ния. Современных высотных моторов для истребителей в стране не имелось вообще. Комиссия во главе с будущим маршалом М.Н. Тухачевским порекомендовала при</w:t>
      </w:r>
      <w:r w:rsidRPr="00E93F40">
        <w:rPr>
          <w:rFonts w:ascii="Times New Roman" w:hAnsi="Times New Roman"/>
          <w:color w:val="000000" w:themeColor="text1"/>
          <w:sz w:val="16"/>
          <w:szCs w:val="16"/>
        </w:rPr>
        <w:softHyphen/>
        <w:t>обрести лицензии в США. Для освоения в СССР выбрали Райт R-1820 «Циклон» и Кэртис V-1800 «Конкверор».</w:t>
      </w:r>
    </w:p>
    <w:p w14:paraId="70DEA734"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Лицензии купили. В определенной степени шантажируя «Кэртис-Райт», па</w:t>
      </w:r>
      <w:r w:rsidRPr="00E93F40">
        <w:rPr>
          <w:rFonts w:ascii="Times New Roman" w:hAnsi="Times New Roman"/>
          <w:color w:val="000000" w:themeColor="text1"/>
          <w:sz w:val="16"/>
          <w:szCs w:val="16"/>
        </w:rPr>
        <w:softHyphen/>
        <w:t>раллельно зондировали почву у «Пратт- Уитни». Но купили все-таки у первых.</w:t>
      </w:r>
    </w:p>
    <w:p w14:paraId="28C17126"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«Циклон» начали делать в Перми как М-25. Он стал прародителем большого семейства двигателей, над которым рабо</w:t>
      </w:r>
      <w:r w:rsidRPr="00E93F40">
        <w:rPr>
          <w:rFonts w:ascii="Times New Roman" w:hAnsi="Times New Roman"/>
          <w:color w:val="000000" w:themeColor="text1"/>
          <w:sz w:val="16"/>
          <w:szCs w:val="16"/>
        </w:rPr>
        <w:softHyphen/>
        <w:t>тал А.Д. Швецов. «Конкверор» собирались изготовлять на заводе № 26 в Рыбинске. Но неожиданно работы по нему остано</w:t>
      </w:r>
      <w:r w:rsidRPr="00E93F40">
        <w:rPr>
          <w:rFonts w:ascii="Times New Roman" w:hAnsi="Times New Roman"/>
          <w:color w:val="000000" w:themeColor="text1"/>
          <w:sz w:val="16"/>
          <w:szCs w:val="16"/>
        </w:rPr>
        <w:softHyphen/>
        <w:t>вили. Во Франции заключили договор с «Испано-Сюизой» на приобретение ли</w:t>
      </w:r>
      <w:r w:rsidRPr="00E93F40">
        <w:rPr>
          <w:rFonts w:ascii="Times New Roman" w:hAnsi="Times New Roman"/>
          <w:color w:val="000000" w:themeColor="text1"/>
          <w:sz w:val="16"/>
          <w:szCs w:val="16"/>
        </w:rPr>
        <w:softHyphen/>
        <w:t>цензии на новый двигатель 12Ybrs. Его хотели сначала строить в Москве на за</w:t>
      </w:r>
      <w:r w:rsidRPr="00E93F40">
        <w:rPr>
          <w:rFonts w:ascii="Times New Roman" w:hAnsi="Times New Roman"/>
          <w:color w:val="000000" w:themeColor="text1"/>
          <w:sz w:val="16"/>
          <w:szCs w:val="16"/>
        </w:rPr>
        <w:softHyphen/>
        <w:t>воде № 24, но тот был слишком загружен М-34. Тогда план по «Испано» передали в Рыбинск. Весь задел по V-1800 списали и уничтожили.</w:t>
      </w:r>
    </w:p>
    <w:p w14:paraId="201E9101" w14:textId="77777777" w:rsidR="001206CF" w:rsidRPr="00E93F40" w:rsidRDefault="001206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Чтобы ускорить создание нового поко</w:t>
      </w:r>
      <w:r w:rsidRPr="00E93F40">
        <w:rPr>
          <w:rFonts w:ascii="Times New Roman" w:hAnsi="Times New Roman"/>
          <w:color w:val="000000" w:themeColor="text1"/>
          <w:sz w:val="16"/>
          <w:szCs w:val="16"/>
        </w:rPr>
        <w:softHyphen/>
        <w:t>ления самолетов, в США закупили партию готовых «Циклонов», причем большую их часть — в исходном дюймовом испол</w:t>
      </w:r>
      <w:r w:rsidRPr="00E93F40">
        <w:rPr>
          <w:rFonts w:ascii="Times New Roman" w:hAnsi="Times New Roman"/>
          <w:color w:val="000000" w:themeColor="text1"/>
          <w:sz w:val="16"/>
          <w:szCs w:val="16"/>
        </w:rPr>
        <w:softHyphen/>
        <w:t>нении. Поскольку самолетостроители не</w:t>
      </w:r>
      <w:r w:rsidRPr="00E93F40">
        <w:rPr>
          <w:rFonts w:ascii="Times New Roman" w:hAnsi="Times New Roman"/>
          <w:color w:val="000000" w:themeColor="text1"/>
          <w:sz w:val="16"/>
          <w:szCs w:val="16"/>
        </w:rPr>
        <w:softHyphen/>
        <w:t>сколько обогнали запоздавшие моторные заводы, в ряде случаев импортные двига</w:t>
      </w:r>
      <w:r w:rsidRPr="00E93F40">
        <w:rPr>
          <w:rFonts w:ascii="Times New Roman" w:hAnsi="Times New Roman"/>
          <w:color w:val="000000" w:themeColor="text1"/>
          <w:sz w:val="16"/>
          <w:szCs w:val="16"/>
        </w:rPr>
        <w:softHyphen/>
        <w:t>тели шли и на серийные истребители. Их получила некоторая часть И-16 и все пер</w:t>
      </w:r>
      <w:r w:rsidRPr="00E93F40">
        <w:rPr>
          <w:rFonts w:ascii="Times New Roman" w:hAnsi="Times New Roman"/>
          <w:color w:val="000000" w:themeColor="text1"/>
          <w:sz w:val="16"/>
          <w:szCs w:val="16"/>
        </w:rPr>
        <w:softHyphen/>
        <w:t>вые И-14 (23513).</w:t>
      </w:r>
    </w:p>
    <w:p w14:paraId="4FAD90CE" w14:textId="77777777" w:rsidR="001206CF" w:rsidRPr="00E93F40" w:rsidRDefault="001206CF" w:rsidP="00E93F40">
      <w:pPr>
        <w:spacing w:after="0" w:line="240" w:lineRule="auto"/>
        <w:jc w:val="both"/>
        <w:rPr>
          <w:rFonts w:ascii="Times New Roman" w:hAnsi="Times New Roman"/>
          <w:color w:val="000000" w:themeColor="text1"/>
          <w:sz w:val="16"/>
          <w:szCs w:val="16"/>
        </w:rPr>
      </w:pPr>
    </w:p>
    <w:p w14:paraId="3D739BB8" w14:textId="6A996DDD" w:rsidR="00B7114F" w:rsidRPr="00E93F40" w:rsidRDefault="00B7114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апрелю 1932 г. были построены и совершили первые полеты дирижабли СССР В-1, СССР В-2 и СССР В-3, а к сентябрю был перестроен</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дирижабль «Комсомольская Правда» (1930 г. постройки) и переименован в СССР В-4. Эти 4 дирижабля мягкой конструкции приняли участие в параде 7 ноября 1932 г., пройдя в кильватерной колонне над Красной площадью [1, с. 144-148]. Демонстрация успехов первого периода деятельности Дирижаблестроя получила высокую оценку руководства ГУГВФ, отмеченную</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Приказом по ГВФ № 242 от 10 ноября1932 г. [7, л. 30]. Но Центральная контрольная комиссия ВКП(б) (ЦКК ВКП(б)) и Народный комиссариат Рабоче-крестьянской инспекции (НК РКИ) оценили деятельность Дирижаблестроя как недостаточно эффективную. В Постановлении № 95-47 от 7.01.1933 об обследовании Дирижаблестроя военно-морской инспекцией говорилось: «Отдельные успехи в работе, достигнутые Дирижаблестроем (выпуск 3-х мягких кораблей) не соответствуют размерам затраченных средств» [4, л.4] (15797).</w:t>
      </w:r>
    </w:p>
    <w:p w14:paraId="1729B11F" w14:textId="77777777" w:rsidR="00B7114F" w:rsidRPr="00E93F40" w:rsidRDefault="00B7114F" w:rsidP="00E93F40">
      <w:pPr>
        <w:spacing w:after="0" w:line="240" w:lineRule="auto"/>
        <w:jc w:val="both"/>
        <w:rPr>
          <w:rFonts w:ascii="Times New Roman" w:hAnsi="Times New Roman"/>
          <w:color w:val="000000" w:themeColor="text1"/>
          <w:sz w:val="16"/>
          <w:szCs w:val="16"/>
        </w:rPr>
      </w:pPr>
    </w:p>
    <w:p w14:paraId="357CAC7B" w14:textId="77777777" w:rsidR="00B7114F"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AF1C9B2" w14:textId="77777777" w:rsidR="00B7114F" w:rsidRPr="00E93F40" w:rsidRDefault="00B7114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D3716D" w14:textId="77777777" w:rsidR="00B7114F" w:rsidRPr="00E93F40" w:rsidRDefault="00B7114F" w:rsidP="00E93F40">
      <w:pPr>
        <w:pStyle w:val="ae"/>
        <w:spacing w:before="0" w:after="0"/>
        <w:jc w:val="both"/>
        <w:rPr>
          <w:color w:val="000000" w:themeColor="text1"/>
          <w:sz w:val="16"/>
          <w:szCs w:val="16"/>
        </w:rPr>
      </w:pPr>
      <w:r w:rsidRPr="00E93F40">
        <w:rPr>
          <w:color w:val="000000" w:themeColor="text1"/>
          <w:sz w:val="16"/>
          <w:szCs w:val="16"/>
        </w:rPr>
        <w:t>К апрелю 1932 года строительство нового корпуса ЦВИРЛ на Мызе было закончено, и туда перебрались основные сотрудники, однако вместо создания нового военного радиозавода ограничились проведением реконструкции телефонного завода им. В.И. Ленина (15736).</w:t>
      </w:r>
    </w:p>
    <w:p w14:paraId="62B3528A" w14:textId="77777777" w:rsidR="00B7114F" w:rsidRPr="00E93F40" w:rsidRDefault="00B7114F" w:rsidP="00E93F40">
      <w:pPr>
        <w:pStyle w:val="ae"/>
        <w:spacing w:before="0" w:after="0"/>
        <w:jc w:val="both"/>
        <w:rPr>
          <w:color w:val="000000" w:themeColor="text1"/>
          <w:sz w:val="16"/>
          <w:szCs w:val="16"/>
        </w:rPr>
      </w:pPr>
    </w:p>
    <w:p w14:paraId="52C95398" w14:textId="45C67A79" w:rsidR="00E965D4" w:rsidRPr="00E93F40" w:rsidRDefault="00E965D4" w:rsidP="00E965D4">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1098C849" w14:textId="77777777" w:rsidR="00E965D4" w:rsidRPr="00E93F40" w:rsidRDefault="00E965D4" w:rsidP="00E965D4">
      <w:pPr>
        <w:autoSpaceDE w:val="0"/>
        <w:autoSpaceDN w:val="0"/>
        <w:adjustRightInd w:val="0"/>
        <w:spacing w:after="0" w:line="240" w:lineRule="auto"/>
        <w:jc w:val="both"/>
        <w:rPr>
          <w:rFonts w:ascii="Times New Roman" w:hAnsi="Times New Roman"/>
          <w:iCs/>
          <w:color w:val="000000" w:themeColor="text1"/>
          <w:sz w:val="16"/>
          <w:szCs w:val="16"/>
        </w:rPr>
      </w:pPr>
    </w:p>
    <w:p w14:paraId="73A5D167"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апрелю 1932 г. за три года через «Каму» прошло 65 человек начсостава танковых и мотомеханизированных частей. При модернизации ряда советских танков был использован германский опыт, полученный на «Каме». Конкретно, в танке Т-28 применили подвески «тяжёлого трактора» Круппа, в Т-26, БТ и Т-28 использовали метод сварки корпусов германских «тракторов». В танках Т-26, БТ и Т-28 применили приборы наблюдения, прицелы, идею спаривания орудия с пулемётом, электрооборудование и радиооборудование, как на германских «тракторах» (25184).</w:t>
      </w:r>
    </w:p>
    <w:p w14:paraId="3B5F4B2A" w14:textId="77777777" w:rsidR="00E965D4" w:rsidRPr="00142305" w:rsidRDefault="00E965D4" w:rsidP="00E965D4">
      <w:pPr>
        <w:spacing w:after="0" w:line="240" w:lineRule="auto"/>
        <w:jc w:val="both"/>
        <w:rPr>
          <w:rFonts w:ascii="Times New Roman" w:hAnsi="Times New Roman"/>
          <w:color w:val="0070C0"/>
          <w:sz w:val="16"/>
          <w:szCs w:val="16"/>
        </w:rPr>
      </w:pPr>
    </w:p>
    <w:p w14:paraId="38390633" w14:textId="77777777" w:rsidR="00E965D4" w:rsidRPr="00E93F40" w:rsidRDefault="00E965D4" w:rsidP="00E965D4">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EAFA82B" w14:textId="77777777" w:rsidR="00E965D4" w:rsidRPr="00E93F40" w:rsidRDefault="00E965D4" w:rsidP="00E965D4">
      <w:pPr>
        <w:autoSpaceDE w:val="0"/>
        <w:autoSpaceDN w:val="0"/>
        <w:adjustRightInd w:val="0"/>
        <w:spacing w:after="0" w:line="240" w:lineRule="auto"/>
        <w:jc w:val="both"/>
        <w:rPr>
          <w:rFonts w:ascii="Times New Roman" w:hAnsi="Times New Roman"/>
          <w:iCs/>
          <w:color w:val="000000" w:themeColor="text1"/>
          <w:sz w:val="16"/>
          <w:szCs w:val="16"/>
        </w:rPr>
      </w:pPr>
    </w:p>
    <w:p w14:paraId="02BD6450"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апреля 1932 г. общая компоновка АНТ-25 уже окончательно установилась. Конструкторы приступили к детализиро</w:t>
      </w:r>
      <w:r w:rsidRPr="00142305">
        <w:rPr>
          <w:rFonts w:ascii="Times New Roman" w:hAnsi="Times New Roman"/>
          <w:color w:val="0070C0"/>
          <w:sz w:val="16"/>
          <w:szCs w:val="16"/>
        </w:rPr>
        <w:softHyphen/>
        <w:t>ванной разработке. Ведущим конструкто</w:t>
      </w:r>
      <w:r w:rsidRPr="00142305">
        <w:rPr>
          <w:rFonts w:ascii="Times New Roman" w:hAnsi="Times New Roman"/>
          <w:color w:val="0070C0"/>
          <w:sz w:val="16"/>
          <w:szCs w:val="16"/>
        </w:rPr>
        <w:softHyphen/>
        <w:t>ром стал молодой инженер П.О. Сухой. В приказе по ЦАГИ от 8 апреля он зна</w:t>
      </w:r>
      <w:r w:rsidRPr="00142305">
        <w:rPr>
          <w:rFonts w:ascii="Times New Roman" w:hAnsi="Times New Roman"/>
          <w:color w:val="0070C0"/>
          <w:sz w:val="16"/>
          <w:szCs w:val="16"/>
        </w:rPr>
        <w:softHyphen/>
        <w:t>чится «ответственным по машине». На Сухого также возложили конструирование центральной части крыла, фюзеляжа и управления рулями.</w:t>
      </w:r>
    </w:p>
    <w:p w14:paraId="36BDF0AF"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Аэродинамический расчет и основной расчет на прочность поручили бригаде В.М. Петлякова. В отношении крыла ей помогали сотрудники В.Н. Беляева. Для быстрейшего проведения работ Петляко- ву разрешалось привлекать прочнистов из бригады Н.С. Некрасова. Последняя занималась конструированием хвосто</w:t>
      </w:r>
      <w:r w:rsidRPr="00142305">
        <w:rPr>
          <w:rFonts w:ascii="Times New Roman" w:hAnsi="Times New Roman"/>
          <w:color w:val="0070C0"/>
          <w:sz w:val="16"/>
          <w:szCs w:val="16"/>
        </w:rPr>
        <w:softHyphen/>
        <w:t>вого оперения и отъемных частей крыла. В частности, консолями крыла занимался И.С. Лебедев, а оперением - Д А. Ромейко-Гурко. Над фюзеляжем работали ГО. Бертош и Н.А. Фомин. Проектирова</w:t>
      </w:r>
      <w:r w:rsidRPr="00142305">
        <w:rPr>
          <w:rFonts w:ascii="Times New Roman" w:hAnsi="Times New Roman"/>
          <w:color w:val="0070C0"/>
          <w:sz w:val="16"/>
          <w:szCs w:val="16"/>
        </w:rPr>
        <w:softHyphen/>
        <w:t>ние шасси возлагалось на Т.П. Сапрыки</w:t>
      </w:r>
      <w:r w:rsidRPr="00142305">
        <w:rPr>
          <w:rFonts w:ascii="Times New Roman" w:hAnsi="Times New Roman"/>
          <w:color w:val="0070C0"/>
          <w:sz w:val="16"/>
          <w:szCs w:val="16"/>
        </w:rPr>
        <w:softHyphen/>
        <w:t>на, ему помогал А.Г. Агладзе. Силовую установку проектировали Е.И. Погосский и К.В. Минкнер. Новый винт для самолета создавали С.Л. Белкин и А.В. Гришин. Электро- и навигационное оборудование поручалось А.А. Енгибаряну.</w:t>
      </w:r>
    </w:p>
    <w:p w14:paraId="2FC73614"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АНТ-25 выполнялся по схеме цельнометаллического низкоплана с одним двигателем. Заданная дальность обеспечивалась целым комплексом проектно-конструкторских решений, поз</w:t>
      </w:r>
      <w:r w:rsidRPr="00142305">
        <w:rPr>
          <w:rFonts w:ascii="Times New Roman" w:hAnsi="Times New Roman"/>
          <w:color w:val="0070C0"/>
          <w:sz w:val="16"/>
          <w:szCs w:val="16"/>
        </w:rPr>
        <w:softHyphen/>
        <w:t>волявших аэродинамического и ве</w:t>
      </w:r>
      <w:r w:rsidRPr="00142305">
        <w:rPr>
          <w:rFonts w:ascii="Times New Roman" w:hAnsi="Times New Roman"/>
          <w:color w:val="0070C0"/>
          <w:sz w:val="16"/>
          <w:szCs w:val="16"/>
        </w:rPr>
        <w:softHyphen/>
        <w:t>сового совершенства планера и силовой установки. Главной особенностью АНТ-25 являлось применение крыла с необычно большим удлинением и сужением (13,1 и 5,3 соответственно). Первое снижало ин</w:t>
      </w:r>
      <w:r w:rsidRPr="00142305">
        <w:rPr>
          <w:rFonts w:ascii="Times New Roman" w:hAnsi="Times New Roman"/>
          <w:color w:val="0070C0"/>
          <w:sz w:val="16"/>
          <w:szCs w:val="16"/>
        </w:rPr>
        <w:softHyphen/>
        <w:t>дуктивное сопротивление в крейсерском полете, второе - увеличивало жесткость крыла и сдвигало скорость возникновения флаттера. Снижению массы и увеличе</w:t>
      </w:r>
      <w:r w:rsidRPr="00142305">
        <w:rPr>
          <w:rFonts w:ascii="Times New Roman" w:hAnsi="Times New Roman"/>
          <w:color w:val="0070C0"/>
          <w:sz w:val="16"/>
          <w:szCs w:val="16"/>
        </w:rPr>
        <w:softHyphen/>
        <w:t>нию жесткости способствовала трехлон</w:t>
      </w:r>
      <w:r w:rsidRPr="00142305">
        <w:rPr>
          <w:rFonts w:ascii="Times New Roman" w:hAnsi="Times New Roman"/>
          <w:color w:val="0070C0"/>
          <w:sz w:val="16"/>
          <w:szCs w:val="16"/>
        </w:rPr>
        <w:softHyphen/>
        <w:t>жеронная схема с использованием образовавшихся между лонжеронами отсеков для размещения топливных баков. Бен</w:t>
      </w:r>
      <w:r w:rsidRPr="00142305">
        <w:rPr>
          <w:rFonts w:ascii="Times New Roman" w:hAnsi="Times New Roman"/>
          <w:color w:val="0070C0"/>
          <w:sz w:val="16"/>
          <w:szCs w:val="16"/>
        </w:rPr>
        <w:softHyphen/>
        <w:t>зин из них в полете вырабатывался по определенному закону. Такое решение позволило разгрузить крыло от аэродина</w:t>
      </w:r>
      <w:r w:rsidRPr="00142305">
        <w:rPr>
          <w:rFonts w:ascii="Times New Roman" w:hAnsi="Times New Roman"/>
          <w:color w:val="0070C0"/>
          <w:sz w:val="16"/>
          <w:szCs w:val="16"/>
        </w:rPr>
        <w:softHyphen/>
        <w:t>мических нагрузок и значительно снизить массу конструкции.</w:t>
      </w:r>
    </w:p>
    <w:p w14:paraId="08727935"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конструировании крыла столкну</w:t>
      </w:r>
      <w:r w:rsidRPr="00142305">
        <w:rPr>
          <w:rFonts w:ascii="Times New Roman" w:hAnsi="Times New Roman"/>
          <w:color w:val="0070C0"/>
          <w:sz w:val="16"/>
          <w:szCs w:val="16"/>
        </w:rPr>
        <w:softHyphen/>
        <w:t>лись с техническим противоречием. Оно должно было быть большим, но одновре</w:t>
      </w:r>
      <w:r w:rsidRPr="00142305">
        <w:rPr>
          <w:rFonts w:ascii="Times New Roman" w:hAnsi="Times New Roman"/>
          <w:color w:val="0070C0"/>
          <w:sz w:val="16"/>
          <w:szCs w:val="16"/>
        </w:rPr>
        <w:softHyphen/>
        <w:t>менно и легким Но в этом случае воз</w:t>
      </w:r>
      <w:r w:rsidRPr="00142305">
        <w:rPr>
          <w:rFonts w:ascii="Times New Roman" w:hAnsi="Times New Roman"/>
          <w:color w:val="0070C0"/>
          <w:sz w:val="16"/>
          <w:szCs w:val="16"/>
        </w:rPr>
        <w:softHyphen/>
        <w:t>никала опасность вибрации. Сделать же крыло тяжелым ради одной прочности не имело никакого смысла: это пошло бы в прямой ущерб грузоподъемности самолета. Предстояло найти золотую се</w:t>
      </w:r>
      <w:r w:rsidRPr="00142305">
        <w:rPr>
          <w:rFonts w:ascii="Times New Roman" w:hAnsi="Times New Roman"/>
          <w:color w:val="0070C0"/>
          <w:sz w:val="16"/>
          <w:szCs w:val="16"/>
        </w:rPr>
        <w:softHyphen/>
        <w:t>редину. Сотрудники ЦАГИ продули в аэ</w:t>
      </w:r>
      <w:r w:rsidRPr="00142305">
        <w:rPr>
          <w:rFonts w:ascii="Times New Roman" w:hAnsi="Times New Roman"/>
          <w:color w:val="0070C0"/>
          <w:sz w:val="16"/>
          <w:szCs w:val="16"/>
        </w:rPr>
        <w:softHyphen/>
        <w:t>родинамической трубе многочисленные модели на различных скоростях, доводя их иногда до разрушения. В результате профессор В Л Ветчинкин совместно с В.Н. Беляевым выполнил теоретический расчет крыльев на вибрацию.</w:t>
      </w:r>
    </w:p>
    <w:p w14:paraId="2AA094DC"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Передняя часть фюзеляжа имела фер</w:t>
      </w:r>
      <w:r w:rsidRPr="00142305">
        <w:rPr>
          <w:rFonts w:ascii="Times New Roman" w:hAnsi="Times New Roman"/>
          <w:color w:val="0070C0"/>
          <w:sz w:val="16"/>
          <w:szCs w:val="16"/>
        </w:rPr>
        <w:softHyphen/>
        <w:t>менную конструкцию и выполнялась за одно целое с центропланом. К ней кре</w:t>
      </w:r>
      <w:r w:rsidRPr="00142305">
        <w:rPr>
          <w:rFonts w:ascii="Times New Roman" w:hAnsi="Times New Roman"/>
          <w:color w:val="0070C0"/>
          <w:sz w:val="16"/>
          <w:szCs w:val="16"/>
        </w:rPr>
        <w:softHyphen/>
        <w:t>пилась моторама с двигателем М-34, отделенная от кабины экипажа про</w:t>
      </w:r>
      <w:r w:rsidRPr="00142305">
        <w:rPr>
          <w:rFonts w:ascii="Times New Roman" w:hAnsi="Times New Roman"/>
          <w:color w:val="0070C0"/>
          <w:sz w:val="16"/>
          <w:szCs w:val="16"/>
        </w:rPr>
        <w:softHyphen/>
        <w:t>тивопожарной перегородкой. Хвостовая часть фюзеляжа представляла собой по</w:t>
      </w:r>
      <w:r w:rsidRPr="00142305">
        <w:rPr>
          <w:rFonts w:ascii="Times New Roman" w:hAnsi="Times New Roman"/>
          <w:color w:val="0070C0"/>
          <w:sz w:val="16"/>
          <w:szCs w:val="16"/>
        </w:rPr>
        <w:softHyphen/>
        <w:t>лумонокок с несущей обшивкой. За каби</w:t>
      </w:r>
      <w:r w:rsidRPr="00142305">
        <w:rPr>
          <w:rFonts w:ascii="Times New Roman" w:hAnsi="Times New Roman"/>
          <w:color w:val="0070C0"/>
          <w:sz w:val="16"/>
          <w:szCs w:val="16"/>
        </w:rPr>
        <w:softHyphen/>
        <w:t>ной фюзеляж плавно переходил в киль, на котором размещался стабилизатор с изменяемым в полете углом установки.</w:t>
      </w:r>
    </w:p>
    <w:p w14:paraId="6D7B9502"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Обшивка фюзеляжа выполнялась гладкой, а стабилизатора и руля направ</w:t>
      </w:r>
      <w:r w:rsidRPr="00142305">
        <w:rPr>
          <w:rFonts w:ascii="Times New Roman" w:hAnsi="Times New Roman"/>
          <w:color w:val="0070C0"/>
          <w:sz w:val="16"/>
          <w:szCs w:val="16"/>
        </w:rPr>
        <w:softHyphen/>
        <w:t>ления - гофрированной, как и обшивка крыла.</w:t>
      </w:r>
    </w:p>
    <w:p w14:paraId="39106CCE"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Основные стойки шасси электроприво</w:t>
      </w:r>
      <w:r w:rsidRPr="00142305">
        <w:rPr>
          <w:rFonts w:ascii="Times New Roman" w:hAnsi="Times New Roman"/>
          <w:color w:val="0070C0"/>
          <w:sz w:val="16"/>
          <w:szCs w:val="16"/>
        </w:rPr>
        <w:softHyphen/>
        <w:t>дом убирались в крыло. Сзади первона</w:t>
      </w:r>
      <w:r w:rsidRPr="00142305">
        <w:rPr>
          <w:rFonts w:ascii="Times New Roman" w:hAnsi="Times New Roman"/>
          <w:color w:val="0070C0"/>
          <w:sz w:val="16"/>
          <w:szCs w:val="16"/>
        </w:rPr>
        <w:softHyphen/>
        <w:t>чальным проектом предусматривался кос</w:t>
      </w:r>
      <w:r w:rsidRPr="00142305">
        <w:rPr>
          <w:rFonts w:ascii="Times New Roman" w:hAnsi="Times New Roman"/>
          <w:color w:val="0070C0"/>
          <w:sz w:val="16"/>
          <w:szCs w:val="16"/>
        </w:rPr>
        <w:softHyphen/>
        <w:t>тыль, который позже заменили хвостовым колесом, полуприкрытым обтекателем. АНТ-25 стал первой советской машиной, на которой поставили убирающееся в по</w:t>
      </w:r>
      <w:r w:rsidRPr="00142305">
        <w:rPr>
          <w:rFonts w:ascii="Times New Roman" w:hAnsi="Times New Roman"/>
          <w:color w:val="0070C0"/>
          <w:sz w:val="16"/>
          <w:szCs w:val="16"/>
        </w:rPr>
        <w:softHyphen/>
        <w:t>лете шасси с масляными амортизаторами. Колеса намеревались снабдить тормоза</w:t>
      </w:r>
      <w:r w:rsidRPr="00142305">
        <w:rPr>
          <w:rFonts w:ascii="Times New Roman" w:hAnsi="Times New Roman"/>
          <w:color w:val="0070C0"/>
          <w:sz w:val="16"/>
          <w:szCs w:val="16"/>
        </w:rPr>
        <w:softHyphen/>
        <w:t>ми, но этого так и не сделали.</w:t>
      </w:r>
    </w:p>
    <w:p w14:paraId="462AF713"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Запас топлива достигал 6100 кг, а мас</w:t>
      </w:r>
      <w:r w:rsidRPr="00142305">
        <w:rPr>
          <w:rFonts w:ascii="Times New Roman" w:hAnsi="Times New Roman"/>
          <w:color w:val="0070C0"/>
          <w:sz w:val="16"/>
          <w:szCs w:val="16"/>
        </w:rPr>
        <w:softHyphen/>
        <w:t>ла - 350 кг, что должно было обеспечить беспосадочный полет в течение 75 ч при максимальной взлетной массе 16 500 кг. Крейсерская скорость оценивалась в 165 км/ч.</w:t>
      </w:r>
    </w:p>
    <w:p w14:paraId="79555E61"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Условия длительного беспосадочного полета потребовали установки наибо</w:t>
      </w:r>
      <w:r w:rsidRPr="00142305">
        <w:rPr>
          <w:rFonts w:ascii="Times New Roman" w:hAnsi="Times New Roman"/>
          <w:color w:val="0070C0"/>
          <w:sz w:val="16"/>
          <w:szCs w:val="16"/>
        </w:rPr>
        <w:softHyphen/>
        <w:t>лее совершенного по тому времени пи</w:t>
      </w:r>
      <w:r w:rsidRPr="00142305">
        <w:rPr>
          <w:rFonts w:ascii="Times New Roman" w:hAnsi="Times New Roman"/>
          <w:color w:val="0070C0"/>
          <w:sz w:val="16"/>
          <w:szCs w:val="16"/>
        </w:rPr>
        <w:softHyphen/>
        <w:t>лотажно-навигационного оборудования: авиагоризонта, гиромагнитного компаса, радиополукомпаса, секстанта и солнеч</w:t>
      </w:r>
      <w:r w:rsidRPr="00142305">
        <w:rPr>
          <w:rFonts w:ascii="Times New Roman" w:hAnsi="Times New Roman"/>
          <w:color w:val="0070C0"/>
          <w:sz w:val="16"/>
          <w:szCs w:val="16"/>
        </w:rPr>
        <w:softHyphen/>
        <w:t>ного указателя курса.</w:t>
      </w:r>
    </w:p>
    <w:p w14:paraId="5B129E35" w14:textId="77777777" w:rsidR="00E965D4" w:rsidRPr="00142305" w:rsidRDefault="00E965D4" w:rsidP="00E965D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обеспечения плавучести в случае вынужденной посадки на воду под руко</w:t>
      </w:r>
      <w:r w:rsidRPr="00142305">
        <w:rPr>
          <w:rFonts w:ascii="Times New Roman" w:hAnsi="Times New Roman"/>
          <w:color w:val="0070C0"/>
          <w:sz w:val="16"/>
          <w:szCs w:val="16"/>
        </w:rPr>
        <w:softHyphen/>
        <w:t>водством инженера Н.С. Лебедева сконструировали надувные баллоны из легкой прорезиненной ткани, упрятанные в кры</w:t>
      </w:r>
      <w:r w:rsidRPr="00142305">
        <w:rPr>
          <w:rFonts w:ascii="Times New Roman" w:hAnsi="Times New Roman"/>
          <w:color w:val="0070C0"/>
          <w:sz w:val="16"/>
          <w:szCs w:val="16"/>
        </w:rPr>
        <w:softHyphen/>
        <w:t>лья и под капот мотора. Предварительно вопрос о плавучести АНТ-25 изучили на модели в 1/25 натуральной величины. Эксперимент вселил уверенность в на</w:t>
      </w:r>
      <w:r w:rsidRPr="00142305">
        <w:rPr>
          <w:rFonts w:ascii="Times New Roman" w:hAnsi="Times New Roman"/>
          <w:color w:val="0070C0"/>
          <w:sz w:val="16"/>
          <w:szCs w:val="16"/>
        </w:rPr>
        <w:softHyphen/>
        <w:t>дежности избранного средства (24946).</w:t>
      </w:r>
    </w:p>
    <w:p w14:paraId="744C318A" w14:textId="77777777" w:rsidR="00E965D4" w:rsidRPr="00142305" w:rsidRDefault="00E965D4" w:rsidP="00E965D4">
      <w:pPr>
        <w:spacing w:after="0" w:line="240" w:lineRule="auto"/>
        <w:jc w:val="both"/>
        <w:rPr>
          <w:rFonts w:ascii="Times New Roman" w:hAnsi="Times New Roman"/>
          <w:color w:val="0070C0"/>
          <w:sz w:val="16"/>
          <w:szCs w:val="16"/>
        </w:rPr>
      </w:pPr>
    </w:p>
    <w:p w14:paraId="1472605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2E7764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B229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года вр. начальника ВВС Меженинов писал письмо N 038180 начальнику Глававиапрома Баранову.</w:t>
      </w:r>
    </w:p>
    <w:p w14:paraId="41EA84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1.04.32 года истек окончательный срок предъявления образцового самолета ТШ; однако самолет до сих пор не предъявлен.</w:t>
      </w:r>
    </w:p>
    <w:p w14:paraId="5CE60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выяснения всего вопроса по ТШ и сроках получения образца, начальник ВВС 4 апреля с.г. в 20 часов созывает совещание. (3065,48).</w:t>
      </w:r>
    </w:p>
    <w:p w14:paraId="7FC6F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2B92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года ст. военпред. на заводе N 22 писал письмо N 44с начальнику 8 сектора 3 упр. ВВС, зав. КИО зав. N 22, начальнику Самолетного треста.</w:t>
      </w:r>
    </w:p>
    <w:p w14:paraId="729EA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препровождаю сводку результатов серийного испытания самолета ТБ1 за N 760.</w:t>
      </w:r>
    </w:p>
    <w:p w14:paraId="4C2950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Акт</w:t>
      </w:r>
    </w:p>
    <w:p w14:paraId="6801B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специального испытания самолета типа ТБ1, серии N 8, построенного на заводе N 22 с мотором 2хМ-17, 500НР NN 26427, 26430, степень сжатия 1:6 постройки завода N 26 серии 4 с воздушными винтами диам. 3,3, шаг 2,42 м</w:t>
      </w:r>
    </w:p>
    <w:p w14:paraId="241044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предъявлен для производства испытания 1 декабря 1931 года.</w:t>
      </w:r>
    </w:p>
    <w:p w14:paraId="1F150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 3 декабря 1931 г.</w:t>
      </w:r>
    </w:p>
    <w:p w14:paraId="052417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окончено 25 февраля 1932 года.</w:t>
      </w:r>
    </w:p>
    <w:p w14:paraId="54B64D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Акт согласован и подписан 29 марта 1932 г.</w:t>
      </w:r>
    </w:p>
    <w:p w14:paraId="70D8D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проводили летчики-сдатчики Лозовский и Моисеев.</w:t>
      </w:r>
    </w:p>
    <w:p w14:paraId="4A1E4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Серия N 8 состоит из 35 самолетов с N 725 по N 760 включительно.</w:t>
      </w:r>
    </w:p>
    <w:p w14:paraId="065AF6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готовности самолетов данной серии находилась в момент предъявления серии - вся серия сдана (сам. N 760 задержан ввиду испытания).</w:t>
      </w:r>
    </w:p>
    <w:p w14:paraId="6ABB5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Предъявленных заводом Военной приемке для технического осмотра и испытания в воздухе - 35 самолетов.</w:t>
      </w:r>
    </w:p>
    <w:p w14:paraId="314E9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 воздухе испытано 35 самолетов.</w:t>
      </w:r>
    </w:p>
    <w:p w14:paraId="302A8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Из них на высоту - 13 самолетов.</w:t>
      </w:r>
    </w:p>
    <w:p w14:paraId="6B2FAA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На продолжительность - 22 самолета</w:t>
      </w:r>
    </w:p>
    <w:p w14:paraId="1EA3FE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испытание 22-х самолетов на высоту 3000 м было заменено испытанием на продолжительность, с согласия УВВС, вследствие неблагоприятного состояния погоды.</w:t>
      </w:r>
    </w:p>
    <w:p w14:paraId="14794B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0C4425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Комиссия считает необходимым отметить в отношении выявившегося при специальном испытании сам. N 760, а также и в отношении всей серии следующее: самолет N 760 потолка, указанного в технических условиях не взял. По скороподъемности также имеет пониженные показатели. Данный результат с ухудшенными летными качествами получился за счет снижения мощностей, благодаря низкой температуре. (с. 1-6).</w:t>
      </w:r>
    </w:p>
    <w:p w14:paraId="2D5CAA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августа 1932 года.</w:t>
      </w:r>
    </w:p>
    <w:p w14:paraId="57106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Сводка испытаний шасси поплавкового типа "Ж" - самолета ТБ1-2М-17 N 800 NN мот. 26984/26927.</w:t>
      </w:r>
    </w:p>
    <w:p w14:paraId="2B864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Полетные испытания.</w:t>
      </w:r>
    </w:p>
    <w:p w14:paraId="59C719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произведено 24 посадки.</w:t>
      </w:r>
    </w:p>
    <w:p w14:paraId="463473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 комиссии.</w:t>
      </w:r>
    </w:p>
    <w:p w14:paraId="652ECD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ТБ1 2М17 N 800 установленный на поплавки т. Ж имеет явное преимущество по сравнению с поплавками типа Б в отношении взлета и посадки, а также поведение самолета на воде.</w:t>
      </w:r>
    </w:p>
    <w:p w14:paraId="4F9948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увеличение веса конструкции самолета за счет перетяжеления поплавков и шасси значительно снижают его скороподъемность. (2995,14-21).</w:t>
      </w:r>
    </w:p>
    <w:p w14:paraId="467F1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AE0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по 8 апреля 1932 повторялись испытания звена на основе АНТ-4 и И-4 и НИИ ВВС рекомендовал крепления в серию (1016,154).</w:t>
      </w:r>
    </w:p>
    <w:p w14:paraId="50E764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7CAC19" w14:textId="77777777" w:rsidR="005B6859" w:rsidRPr="00E93F40" w:rsidRDefault="005B6859"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1 апреля 1932 г. поднялся в воздух головной экземпляр амфибии Ш-2 таганрогского завода. Спустя короткое время полетел второй серий</w:t>
      </w:r>
      <w:r w:rsidRPr="00E93F40">
        <w:rPr>
          <w:rFonts w:ascii="Times New Roman" w:hAnsi="Times New Roman"/>
          <w:color w:val="000000" w:themeColor="text1"/>
          <w:sz w:val="16"/>
          <w:szCs w:val="16"/>
          <w:lang w:eastAsia="ru-RU" w:bidi="ru-RU"/>
        </w:rPr>
        <w:softHyphen/>
        <w:t>ный экземпляр, и 1 мая 1932 г. уже две машины летали над Таганрогом и разбрасывали листовки над праздничной демонстрацией жителей города. Государственные испыта</w:t>
      </w:r>
      <w:r w:rsidRPr="00E93F40">
        <w:rPr>
          <w:rFonts w:ascii="Times New Roman" w:hAnsi="Times New Roman"/>
          <w:color w:val="000000" w:themeColor="text1"/>
          <w:sz w:val="16"/>
          <w:szCs w:val="16"/>
          <w:lang w:eastAsia="ru-RU" w:bidi="ru-RU"/>
        </w:rPr>
        <w:softHyphen/>
        <w:t>ния головного экземпляра закончились 9 мая, после чего машину направили в Свердловск, где она в первый летный сезон выполнила сотни полетов (20325).</w:t>
      </w:r>
    </w:p>
    <w:p w14:paraId="00E2F00F" w14:textId="77777777" w:rsidR="005B6859" w:rsidRPr="00E93F40" w:rsidRDefault="005B6859" w:rsidP="00E93F40">
      <w:pPr>
        <w:spacing w:after="0" w:line="240" w:lineRule="auto"/>
        <w:jc w:val="both"/>
        <w:rPr>
          <w:rFonts w:ascii="Times New Roman" w:hAnsi="Times New Roman"/>
          <w:color w:val="000000" w:themeColor="text1"/>
          <w:sz w:val="16"/>
          <w:szCs w:val="16"/>
          <w:lang w:eastAsia="ru-RU" w:bidi="ru-RU"/>
        </w:rPr>
      </w:pPr>
    </w:p>
    <w:p w14:paraId="146DA8B6" w14:textId="77777777"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состоялось заседание ПБ (Протокол № 94)</w:t>
      </w:r>
    </w:p>
    <w:p w14:paraId="4DEDF9E0" w14:textId="77777777"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марта 1932 опросом членов ПБ</w:t>
      </w:r>
    </w:p>
    <w:p w14:paraId="3D97E336" w14:textId="77777777"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58/24.- О привлечении специалистов фирмы "Юнкере".</w:t>
      </w:r>
    </w:p>
    <w:p w14:paraId="06F46A7C" w14:textId="77777777"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Привлечь немецких специалистов по авиации.</w:t>
      </w:r>
    </w:p>
    <w:p w14:paraId="69A5BEAF" w14:textId="77777777"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Выделить фонд в 7.000 ам. долларов.</w:t>
      </w:r>
    </w:p>
    <w:p w14:paraId="16911CCA" w14:textId="77777777"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Обязать Моссовет предоставить для иноспециалистов в гражданской авиации и авиопромышленности 50 комнат равными долями в течение апреля и мая месяцев, поручив наб</w:t>
      </w:r>
      <w:r w:rsidRPr="00E93F40">
        <w:rPr>
          <w:rFonts w:ascii="Times New Roman" w:hAnsi="Times New Roman"/>
          <w:color w:val="000000" w:themeColor="text1"/>
          <w:sz w:val="16"/>
          <w:szCs w:val="16"/>
        </w:rPr>
        <w:softHyphen/>
        <w:t>людение т. Кагановичу.</w:t>
      </w:r>
    </w:p>
    <w:p w14:paraId="580A235C" w14:textId="77777777"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Выделить 3 автобуса и 8 легковых машин специально для обслуживания иноспециалистов и договориться об этом с т.Кагановичем.</w:t>
      </w:r>
    </w:p>
    <w:p w14:paraId="17FB602F" w14:textId="77777777"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 списке приглашаемых лиц включить специалистов, необходимых да авиопроиншленности (Глававиапром).</w:t>
      </w:r>
    </w:p>
    <w:p w14:paraId="21A5A3CC" w14:textId="77777777"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Возложить на т.Гольцмана наблюдение за ходом привлечения и устройства специалистов в Москве.</w:t>
      </w:r>
    </w:p>
    <w:p w14:paraId="6A898FD7" w14:textId="1AC05090" w:rsidR="005B6859" w:rsidRPr="00E93F40" w:rsidRDefault="005B68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Керженцову, Кагановичу, Гольцману</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 Рудзутаку - п.1,2; Булганину - п. 3 (23040).</w:t>
      </w:r>
    </w:p>
    <w:p w14:paraId="3A6016EE" w14:textId="77777777" w:rsidR="005B6859" w:rsidRPr="00E93F40" w:rsidRDefault="005B6859" w:rsidP="00E93F40">
      <w:pPr>
        <w:spacing w:after="0" w:line="240" w:lineRule="auto"/>
        <w:jc w:val="both"/>
        <w:rPr>
          <w:rFonts w:ascii="Times New Roman" w:hAnsi="Times New Roman"/>
          <w:color w:val="000000" w:themeColor="text1"/>
          <w:sz w:val="16"/>
          <w:szCs w:val="16"/>
        </w:rPr>
      </w:pPr>
    </w:p>
    <w:p w14:paraId="58196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по 8 апреля 1932 г. после некоторой доработки конструкции провели повторные испытания Звена. Они шли По их завершении НИИ ВВС дал заключение о том, что полеты на "авианосце" и его истребителях доступны для летчиков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(12001).</w:t>
      </w:r>
    </w:p>
    <w:p w14:paraId="610FA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DF9179" w14:textId="77777777" w:rsidR="004949ED" w:rsidRPr="00E93F40" w:rsidRDefault="004949ED" w:rsidP="00E93F40">
      <w:pPr>
        <w:pStyle w:val="a3"/>
        <w:rPr>
          <w:color w:val="000000" w:themeColor="text1"/>
          <w:lang w:val="ru-RU"/>
        </w:rPr>
      </w:pPr>
      <w:r w:rsidRPr="00E93F40">
        <w:rPr>
          <w:color w:val="000000" w:themeColor="text1"/>
          <w:lang w:val="ru-RU"/>
        </w:rPr>
        <w:t>С 1 по 8 апреля 1932 г. после доработки конструкции провели повторные испытания «самолёта-звена» ТБ-1 +2И-4. Назначенный командиром экипажа носителя П.М. Стефановский вспоминал, как его «в процессе этих доработок назначили командиром «цирка Вахмистрова» — так наши лётчи</w:t>
      </w:r>
      <w:r w:rsidRPr="00E93F40">
        <w:rPr>
          <w:color w:val="000000" w:themeColor="text1"/>
          <w:lang w:val="ru-RU"/>
        </w:rPr>
        <w:softHyphen/>
        <w:t>ки с чьей-то лёгкой руки стали величать «самолёт-звено». В этом названии было и восхи</w:t>
      </w:r>
      <w:r w:rsidRPr="00E93F40">
        <w:rPr>
          <w:color w:val="000000" w:themeColor="text1"/>
          <w:lang w:val="ru-RU"/>
        </w:rPr>
        <w:softHyphen/>
        <w:t>щение созданной Владимиром Сергеевичем боевой воздушной «единицей в трёх лицах» и некоторая толика юмора. Полёт «самолёта-звена» и впрямь напоминал что-то вроде циркового аттракциона. ТБ-1 нисколько не утратил своих качеств из-за размещённого на его плоскостях добавочного оборудования, выполнял в полёте все эволюции, вплоть до глубоких виражей. Освободившись от истребителей, он вёл себя как обычный серийный бомбардировщик.</w:t>
      </w:r>
    </w:p>
    <w:p w14:paraId="0BDC8AE7" w14:textId="77777777" w:rsidR="004949ED" w:rsidRPr="00E93F40" w:rsidRDefault="004949ED" w:rsidP="00E93F40">
      <w:pPr>
        <w:pStyle w:val="a3"/>
        <w:rPr>
          <w:color w:val="000000" w:themeColor="text1"/>
          <w:lang w:val="ru-RU"/>
        </w:rPr>
      </w:pPr>
      <w:r w:rsidRPr="00E93F40">
        <w:rPr>
          <w:color w:val="000000" w:themeColor="text1"/>
          <w:lang w:val="ru-RU"/>
        </w:rPr>
        <w:t>На основании испытаний НИИ ВВС сделал заключение, что полёты самолёта «Звено» вполне реальны и доступны для лётного состава со средним уровнем подготовки, а установка истребителей не требует сложных приспособлений и возможна при любых лётных условиях.</w:t>
      </w:r>
    </w:p>
    <w:p w14:paraId="26C97F62" w14:textId="77777777" w:rsidR="004949ED" w:rsidRPr="00E93F40" w:rsidRDefault="004949ED" w:rsidP="00E93F40">
      <w:pPr>
        <w:pStyle w:val="a3"/>
        <w:rPr>
          <w:color w:val="000000" w:themeColor="text1"/>
          <w:lang w:val="ru-RU"/>
        </w:rPr>
      </w:pPr>
      <w:r w:rsidRPr="00E93F40">
        <w:rPr>
          <w:color w:val="000000" w:themeColor="text1"/>
          <w:lang w:val="ru-RU"/>
        </w:rPr>
        <w:t>Результаты испытаний привели ВВС к решению о постройке войсковой серии устано</w:t>
      </w:r>
      <w:r w:rsidRPr="00E93F40">
        <w:rPr>
          <w:color w:val="000000" w:themeColor="text1"/>
          <w:lang w:val="ru-RU"/>
        </w:rPr>
        <w:softHyphen/>
        <w:t>вок для самолёта «Звено», и в июле 1932 г. ЦАГИ получил заказ на разработку чертежей серийного варианта подвески.</w:t>
      </w:r>
    </w:p>
    <w:p w14:paraId="1B28A6AC" w14:textId="77777777" w:rsidR="004949ED" w:rsidRPr="00E93F40" w:rsidRDefault="004949ED" w:rsidP="00E93F40">
      <w:pPr>
        <w:pStyle w:val="a3"/>
        <w:rPr>
          <w:color w:val="000000" w:themeColor="text1"/>
          <w:lang w:val="ru-RU"/>
        </w:rPr>
      </w:pPr>
      <w:r w:rsidRPr="00E93F40">
        <w:rPr>
          <w:color w:val="000000" w:themeColor="text1"/>
          <w:lang w:val="ru-RU"/>
        </w:rPr>
        <w:t>Высокую оценку «Звену» дал зам. Наркома Обороны М.Н. Тухачевский. Ознакомив</w:t>
      </w:r>
      <w:r w:rsidRPr="00E93F40">
        <w:rPr>
          <w:color w:val="000000" w:themeColor="text1"/>
          <w:lang w:val="ru-RU"/>
        </w:rPr>
        <w:softHyphen/>
        <w:t>шись с материалом по испытаниям, он наложил резолюцию: «Это крупнейшее изобре</w:t>
      </w:r>
      <w:r w:rsidRPr="00E93F40">
        <w:rPr>
          <w:color w:val="000000" w:themeColor="text1"/>
          <w:lang w:val="ru-RU"/>
        </w:rPr>
        <w:softHyphen/>
        <w:t>тение. Надо сделать расчёт на полёт ТБ-1 и ТБ-3 с радиусом 800-1200 км с тем, чтобы учесть общую эффективность «Звена». Надо премировать изобретателя. Тухачевский...» (15821).</w:t>
      </w:r>
    </w:p>
    <w:p w14:paraId="018EE6AF" w14:textId="77777777" w:rsidR="004949ED" w:rsidRPr="00E93F40" w:rsidRDefault="004949ED" w:rsidP="00E93F40">
      <w:pPr>
        <w:pStyle w:val="a3"/>
        <w:rPr>
          <w:color w:val="000000" w:themeColor="text1"/>
          <w:lang w:val="ru-RU"/>
        </w:rPr>
      </w:pPr>
    </w:p>
    <w:p w14:paraId="62348503" w14:textId="77777777" w:rsidR="00851C31" w:rsidRPr="00E93F40" w:rsidRDefault="00851C31" w:rsidP="00E93F40">
      <w:pPr>
        <w:pStyle w:val="a3"/>
        <w:rPr>
          <w:color w:val="000000" w:themeColor="text1"/>
          <w:lang w:val="ru-RU"/>
        </w:rPr>
      </w:pPr>
      <w:r w:rsidRPr="00E93F40">
        <w:rPr>
          <w:color w:val="000000" w:themeColor="text1"/>
          <w:lang w:val="ru-RU"/>
        </w:rPr>
        <w:t>С 1 по 8 апреля 1932 г.</w:t>
      </w:r>
      <w:r w:rsidRPr="00E93F40">
        <w:rPr>
          <w:rStyle w:val="ArialNarrow13"/>
          <w:rFonts w:ascii="Times New Roman" w:hAnsi="Times New Roman" w:cs="Times New Roman"/>
          <w:b w:val="0"/>
          <w:color w:val="000000" w:themeColor="text1"/>
          <w:sz w:val="16"/>
          <w:szCs w:val="16"/>
          <w:lang w:val="ru-RU"/>
        </w:rPr>
        <w:t xml:space="preserve"> прошел</w:t>
      </w:r>
      <w:r w:rsidRPr="00E93F40">
        <w:rPr>
          <w:color w:val="000000" w:themeColor="text1"/>
          <w:lang w:val="ru-RU"/>
        </w:rPr>
        <w:t xml:space="preserve"> н</w:t>
      </w:r>
      <w:r w:rsidRPr="00E93F40">
        <w:rPr>
          <w:rStyle w:val="ArialNarrow13"/>
          <w:rFonts w:ascii="Times New Roman" w:hAnsi="Times New Roman" w:cs="Times New Roman"/>
          <w:b w:val="0"/>
          <w:color w:val="000000" w:themeColor="text1"/>
          <w:sz w:val="16"/>
          <w:szCs w:val="16"/>
          <w:lang w:val="ru-RU"/>
        </w:rPr>
        <w:t>овый</w:t>
      </w:r>
      <w:r w:rsidRPr="00E93F40">
        <w:rPr>
          <w:color w:val="000000" w:themeColor="text1"/>
          <w:lang w:val="ru-RU"/>
        </w:rPr>
        <w:t xml:space="preserve"> тур испытаний «Звена-1». Оказа</w:t>
      </w:r>
      <w:r w:rsidRPr="00E93F40">
        <w:rPr>
          <w:color w:val="000000" w:themeColor="text1"/>
          <w:lang w:val="ru-RU"/>
        </w:rPr>
        <w:softHyphen/>
      </w:r>
      <w:r w:rsidRPr="00E93F40">
        <w:rPr>
          <w:rStyle w:val="ArialNarrow13"/>
          <w:rFonts w:ascii="Times New Roman" w:hAnsi="Times New Roman" w:cs="Times New Roman"/>
          <w:b w:val="0"/>
          <w:color w:val="000000" w:themeColor="text1"/>
          <w:sz w:val="16"/>
          <w:szCs w:val="16"/>
          <w:lang w:val="ru-RU"/>
        </w:rPr>
        <w:t>лось,</w:t>
      </w:r>
      <w:r w:rsidRPr="00E93F40">
        <w:rPr>
          <w:color w:val="000000" w:themeColor="text1"/>
          <w:lang w:val="ru-RU"/>
        </w:rPr>
        <w:t xml:space="preserve"> что действительно «авианосец» </w:t>
      </w:r>
      <w:r w:rsidRPr="00E93F40">
        <w:rPr>
          <w:rStyle w:val="ArialNarrow13"/>
          <w:rFonts w:ascii="Times New Roman" w:hAnsi="Times New Roman" w:cs="Times New Roman"/>
          <w:b w:val="0"/>
          <w:color w:val="000000" w:themeColor="text1"/>
          <w:sz w:val="16"/>
          <w:szCs w:val="16"/>
          <w:lang w:val="ru-RU"/>
        </w:rPr>
        <w:t>разбегался</w:t>
      </w:r>
      <w:r w:rsidRPr="00E93F40">
        <w:rPr>
          <w:color w:val="000000" w:themeColor="text1"/>
          <w:lang w:val="ru-RU"/>
        </w:rPr>
        <w:t xml:space="preserve"> быстрее, чем обычный ТБ-1 </w:t>
      </w:r>
      <w:r w:rsidRPr="00E93F40">
        <w:rPr>
          <w:rStyle w:val="ArialNarrow13"/>
          <w:rFonts w:ascii="Times New Roman" w:hAnsi="Times New Roman" w:cs="Times New Roman"/>
          <w:b w:val="0"/>
          <w:color w:val="000000" w:themeColor="text1"/>
          <w:sz w:val="16"/>
          <w:szCs w:val="16"/>
          <w:lang w:val="ru-RU"/>
        </w:rPr>
        <w:t>с бомбами.</w:t>
      </w:r>
      <w:r w:rsidRPr="00E93F40">
        <w:rPr>
          <w:color w:val="000000" w:themeColor="text1"/>
          <w:lang w:val="ru-RU"/>
        </w:rPr>
        <w:t xml:space="preserve"> Практический потолок был </w:t>
      </w:r>
      <w:r w:rsidRPr="00E93F40">
        <w:rPr>
          <w:rStyle w:val="ArialNarrow13"/>
          <w:rFonts w:ascii="Times New Roman" w:hAnsi="Times New Roman" w:cs="Times New Roman"/>
          <w:b w:val="0"/>
          <w:color w:val="000000" w:themeColor="text1"/>
          <w:sz w:val="16"/>
          <w:szCs w:val="16"/>
          <w:lang w:val="ru-RU"/>
        </w:rPr>
        <w:t>выше, чем</w:t>
      </w:r>
      <w:r w:rsidRPr="00E93F40">
        <w:rPr>
          <w:color w:val="000000" w:themeColor="text1"/>
          <w:lang w:val="ru-RU"/>
        </w:rPr>
        <w:t xml:space="preserve"> у последнего, на 700-800 м. </w:t>
      </w:r>
      <w:r w:rsidRPr="00E93F40">
        <w:rPr>
          <w:rStyle w:val="ArialNarrow13"/>
          <w:rFonts w:ascii="Times New Roman" w:hAnsi="Times New Roman" w:cs="Times New Roman"/>
          <w:b w:val="0"/>
          <w:color w:val="000000" w:themeColor="text1"/>
          <w:sz w:val="16"/>
          <w:szCs w:val="16"/>
          <w:lang w:val="ru-RU"/>
        </w:rPr>
        <w:t>В первом</w:t>
      </w:r>
      <w:r w:rsidRPr="00E93F40">
        <w:rPr>
          <w:color w:val="000000" w:themeColor="text1"/>
          <w:lang w:val="ru-RU"/>
        </w:rPr>
        <w:t xml:space="preserve"> полете выявили некоторые </w:t>
      </w:r>
      <w:r w:rsidRPr="00E93F40">
        <w:rPr>
          <w:rStyle w:val="ArialNarrow13"/>
          <w:rFonts w:ascii="Times New Roman" w:hAnsi="Times New Roman" w:cs="Times New Roman"/>
          <w:b w:val="0"/>
          <w:color w:val="000000" w:themeColor="text1"/>
          <w:sz w:val="16"/>
          <w:szCs w:val="16"/>
          <w:lang w:val="ru-RU"/>
        </w:rPr>
        <w:t>вибрации,</w:t>
      </w:r>
      <w:r w:rsidRPr="00E93F40">
        <w:rPr>
          <w:color w:val="000000" w:themeColor="text1"/>
          <w:lang w:val="ru-RU"/>
        </w:rPr>
        <w:t xml:space="preserve"> которые позже исчезли. При </w:t>
      </w:r>
      <w:r w:rsidRPr="00E93F40">
        <w:rPr>
          <w:rStyle w:val="ArialNarrow13"/>
          <w:rFonts w:ascii="Times New Roman" w:hAnsi="Times New Roman" w:cs="Times New Roman"/>
          <w:b w:val="0"/>
          <w:color w:val="000000" w:themeColor="text1"/>
          <w:sz w:val="16"/>
          <w:szCs w:val="16"/>
          <w:lang w:val="ru-RU"/>
        </w:rPr>
        <w:t>отцепке</w:t>
      </w:r>
      <w:r w:rsidRPr="00E93F40">
        <w:rPr>
          <w:color w:val="000000" w:themeColor="text1"/>
          <w:lang w:val="ru-RU"/>
        </w:rPr>
        <w:t xml:space="preserve"> одного И-4 носитель сохранял </w:t>
      </w:r>
      <w:r w:rsidRPr="00E93F40">
        <w:rPr>
          <w:rStyle w:val="ArialNarrow13"/>
          <w:rFonts w:ascii="Times New Roman" w:hAnsi="Times New Roman" w:cs="Times New Roman"/>
          <w:b w:val="0"/>
          <w:color w:val="000000" w:themeColor="text1"/>
          <w:sz w:val="16"/>
          <w:szCs w:val="16"/>
          <w:lang w:val="ru-RU"/>
        </w:rPr>
        <w:t>устойчивое</w:t>
      </w:r>
      <w:r w:rsidRPr="00E93F40">
        <w:rPr>
          <w:color w:val="000000" w:themeColor="text1"/>
          <w:lang w:val="ru-RU"/>
        </w:rPr>
        <w:t xml:space="preserve"> положение. О пилотирова</w:t>
      </w:r>
      <w:r w:rsidR="00A94516" w:rsidRPr="00E93F40">
        <w:rPr>
          <w:color w:val="000000" w:themeColor="text1"/>
          <w:lang w:val="ru-RU"/>
        </w:rPr>
        <w:t>нии</w:t>
      </w:r>
      <w:r w:rsidRPr="00E93F40">
        <w:rPr>
          <w:rStyle w:val="ArialNarrow13"/>
          <w:rFonts w:ascii="Times New Roman" w:hAnsi="Times New Roman" w:cs="Times New Roman"/>
          <w:b w:val="0"/>
          <w:color w:val="000000" w:themeColor="text1"/>
          <w:sz w:val="16"/>
          <w:szCs w:val="16"/>
          <w:lang w:val="ru-RU"/>
        </w:rPr>
        <w:t xml:space="preserve"> ТБ</w:t>
      </w:r>
      <w:r w:rsidRPr="00E93F40">
        <w:rPr>
          <w:color w:val="000000" w:themeColor="text1"/>
          <w:lang w:val="ru-RU"/>
        </w:rPr>
        <w:t xml:space="preserve">-1 Залевский писал: «Управление </w:t>
      </w:r>
      <w:r w:rsidRPr="00E93F40">
        <w:rPr>
          <w:rStyle w:val="ArialNarrow13"/>
          <w:rFonts w:ascii="Times New Roman" w:hAnsi="Times New Roman" w:cs="Times New Roman"/>
          <w:b w:val="0"/>
          <w:color w:val="000000" w:themeColor="text1"/>
          <w:sz w:val="16"/>
          <w:szCs w:val="16"/>
          <w:lang w:val="ru-RU"/>
        </w:rPr>
        <w:t>самолетом</w:t>
      </w:r>
      <w:r w:rsidRPr="00E93F40">
        <w:rPr>
          <w:color w:val="000000" w:themeColor="text1"/>
          <w:lang w:val="ru-RU"/>
        </w:rPr>
        <w:t xml:space="preserve"> в воздухе - нормальное, ни</w:t>
      </w:r>
      <w:r w:rsidRPr="00E93F40">
        <w:rPr>
          <w:color w:val="000000" w:themeColor="text1"/>
          <w:lang w:val="ru-RU"/>
        </w:rPr>
        <w:softHyphen/>
      </w:r>
      <w:r w:rsidRPr="00E93F40">
        <w:rPr>
          <w:rStyle w:val="ArialNarrow13"/>
          <w:rFonts w:ascii="Times New Roman" w:hAnsi="Times New Roman" w:cs="Times New Roman"/>
          <w:b w:val="0"/>
          <w:color w:val="000000" w:themeColor="text1"/>
          <w:sz w:val="16"/>
          <w:szCs w:val="16"/>
          <w:lang w:val="ru-RU"/>
        </w:rPr>
        <w:t>каких</w:t>
      </w:r>
      <w:r w:rsidRPr="00E93F40">
        <w:rPr>
          <w:color w:val="000000" w:themeColor="text1"/>
          <w:lang w:val="ru-RU"/>
        </w:rPr>
        <w:t xml:space="preserve"> добавочных нагрузок на органы </w:t>
      </w:r>
      <w:r w:rsidRPr="00E93F40">
        <w:rPr>
          <w:rStyle w:val="ArialNarrow13"/>
          <w:rFonts w:ascii="Times New Roman" w:hAnsi="Times New Roman" w:cs="Times New Roman"/>
          <w:b w:val="0"/>
          <w:color w:val="000000" w:themeColor="text1"/>
          <w:sz w:val="16"/>
          <w:szCs w:val="16"/>
          <w:lang w:val="ru-RU"/>
        </w:rPr>
        <w:t>управления не</w:t>
      </w:r>
      <w:r w:rsidRPr="00E93F40">
        <w:rPr>
          <w:color w:val="000000" w:themeColor="text1"/>
          <w:lang w:val="ru-RU"/>
        </w:rPr>
        <w:t xml:space="preserve"> чувствовалось».</w:t>
      </w:r>
    </w:p>
    <w:p w14:paraId="13DFC233" w14:textId="77777777" w:rsidR="00851C31" w:rsidRPr="00E93F40" w:rsidRDefault="00851C31" w:rsidP="00E93F40">
      <w:pPr>
        <w:pStyle w:val="a3"/>
        <w:rPr>
          <w:color w:val="000000" w:themeColor="text1"/>
          <w:lang w:val="ru-RU"/>
        </w:rPr>
      </w:pPr>
      <w:r w:rsidRPr="00E93F40">
        <w:rPr>
          <w:rStyle w:val="ArialNarrow13"/>
          <w:rFonts w:ascii="Times New Roman" w:hAnsi="Times New Roman" w:cs="Times New Roman"/>
          <w:b w:val="0"/>
          <w:color w:val="000000" w:themeColor="text1"/>
          <w:sz w:val="16"/>
          <w:szCs w:val="16"/>
          <w:lang w:val="ru-RU"/>
        </w:rPr>
        <w:t>Летчики</w:t>
      </w:r>
      <w:r w:rsidRPr="00E93F40">
        <w:rPr>
          <w:color w:val="000000" w:themeColor="text1"/>
          <w:lang w:val="ru-RU"/>
        </w:rPr>
        <w:t xml:space="preserve"> на носителе и истребителях </w:t>
      </w:r>
      <w:r w:rsidRPr="00E93F40">
        <w:rPr>
          <w:rStyle w:val="ArialNarrow13"/>
          <w:rFonts w:ascii="Times New Roman" w:hAnsi="Times New Roman" w:cs="Times New Roman"/>
          <w:b w:val="0"/>
          <w:color w:val="000000" w:themeColor="text1"/>
          <w:sz w:val="16"/>
          <w:szCs w:val="16"/>
          <w:lang w:val="ru-RU"/>
        </w:rPr>
        <w:t>время от</w:t>
      </w:r>
      <w:r w:rsidRPr="00E93F40">
        <w:rPr>
          <w:color w:val="000000" w:themeColor="text1"/>
          <w:lang w:val="ru-RU"/>
        </w:rPr>
        <w:t xml:space="preserve"> времени менялись. В одном из </w:t>
      </w:r>
      <w:r w:rsidRPr="00E93F40">
        <w:rPr>
          <w:rStyle w:val="ArialNarrow13"/>
          <w:rFonts w:ascii="Times New Roman" w:hAnsi="Times New Roman" w:cs="Times New Roman"/>
          <w:b w:val="0"/>
          <w:color w:val="000000" w:themeColor="text1"/>
          <w:sz w:val="16"/>
          <w:szCs w:val="16"/>
          <w:lang w:val="ru-RU"/>
        </w:rPr>
        <w:t>полетов на</w:t>
      </w:r>
      <w:r w:rsidRPr="00E93F40">
        <w:rPr>
          <w:color w:val="000000" w:themeColor="text1"/>
          <w:lang w:val="ru-RU"/>
        </w:rPr>
        <w:t xml:space="preserve"> ТБ-1 находились П.М. Сте- </w:t>
      </w:r>
      <w:r w:rsidRPr="00E93F40">
        <w:rPr>
          <w:rStyle w:val="ArialNarrow13"/>
          <w:rFonts w:ascii="Times New Roman" w:hAnsi="Times New Roman" w:cs="Times New Roman"/>
          <w:b w:val="0"/>
          <w:color w:val="000000" w:themeColor="text1"/>
          <w:sz w:val="16"/>
          <w:szCs w:val="16"/>
          <w:lang w:val="ru-RU"/>
        </w:rPr>
        <w:t>фановский и</w:t>
      </w:r>
      <w:r w:rsidRPr="00E93F40">
        <w:rPr>
          <w:color w:val="000000" w:themeColor="text1"/>
          <w:lang w:val="ru-RU"/>
        </w:rPr>
        <w:t xml:space="preserve"> М.А. Нюхтиков, а на И-4 - </w:t>
      </w:r>
      <w:r w:rsidRPr="00E93F40">
        <w:rPr>
          <w:rStyle w:val="ArialNarrow13"/>
          <w:rFonts w:ascii="Times New Roman" w:hAnsi="Times New Roman" w:cs="Times New Roman"/>
          <w:b w:val="0"/>
          <w:color w:val="000000" w:themeColor="text1"/>
          <w:sz w:val="16"/>
          <w:szCs w:val="16"/>
        </w:rPr>
        <w:t>BJC</w:t>
      </w:r>
      <w:r w:rsidRPr="00E93F40">
        <w:rPr>
          <w:rStyle w:val="ArialNarrow13"/>
          <w:rFonts w:ascii="Times New Roman" w:hAnsi="Times New Roman" w:cs="Times New Roman"/>
          <w:b w:val="0"/>
          <w:color w:val="000000" w:themeColor="text1"/>
          <w:sz w:val="16"/>
          <w:szCs w:val="16"/>
          <w:lang w:val="ru-RU"/>
        </w:rPr>
        <w:t xml:space="preserve"> Коккинаки и И.Ф.</w:t>
      </w:r>
      <w:r w:rsidRPr="00E93F40">
        <w:rPr>
          <w:color w:val="000000" w:themeColor="text1"/>
          <w:lang w:val="ru-RU"/>
        </w:rPr>
        <w:t xml:space="preserve"> Гродзь. При попыт</w:t>
      </w:r>
      <w:r w:rsidR="00A94516" w:rsidRPr="00E93F40">
        <w:rPr>
          <w:color w:val="000000" w:themeColor="text1"/>
          <w:lang w:val="ru-RU"/>
        </w:rPr>
        <w:t>ке</w:t>
      </w:r>
      <w:r w:rsidRPr="00E93F40">
        <w:rPr>
          <w:rStyle w:val="ArialNarrow13"/>
          <w:rFonts w:ascii="Times New Roman" w:hAnsi="Times New Roman" w:cs="Times New Roman"/>
          <w:b w:val="0"/>
          <w:color w:val="000000" w:themeColor="text1"/>
          <w:sz w:val="16"/>
          <w:szCs w:val="16"/>
          <w:lang w:val="ru-RU"/>
        </w:rPr>
        <w:t xml:space="preserve"> отцепки</w:t>
      </w:r>
      <w:r w:rsidRPr="00E93F40">
        <w:rPr>
          <w:color w:val="000000" w:themeColor="text1"/>
          <w:lang w:val="ru-RU"/>
        </w:rPr>
        <w:t xml:space="preserve"> Коккинаки резким рывком </w:t>
      </w:r>
      <w:r w:rsidRPr="00E93F40">
        <w:rPr>
          <w:rStyle w:val="ArialNarrow13"/>
          <w:rFonts w:ascii="Times New Roman" w:hAnsi="Times New Roman" w:cs="Times New Roman"/>
          <w:b w:val="0"/>
          <w:color w:val="000000" w:themeColor="text1"/>
          <w:sz w:val="16"/>
          <w:szCs w:val="16"/>
          <w:lang w:val="ru-RU"/>
        </w:rPr>
        <w:t>оборвал</w:t>
      </w:r>
      <w:r w:rsidR="00A94516" w:rsidRPr="00E93F40">
        <w:rPr>
          <w:color w:val="000000" w:themeColor="text1"/>
          <w:lang w:val="ru-RU"/>
        </w:rPr>
        <w:t xml:space="preserve"> тросик,</w:t>
      </w:r>
      <w:r w:rsidRPr="00E93F40">
        <w:rPr>
          <w:color w:val="000000" w:themeColor="text1"/>
          <w:lang w:val="ru-RU"/>
        </w:rPr>
        <w:t xml:space="preserve"> открывавший задний </w:t>
      </w:r>
      <w:r w:rsidRPr="00E93F40">
        <w:rPr>
          <w:rStyle w:val="9"/>
          <w:rFonts w:ascii="Times New Roman" w:cs="Times New Roman"/>
          <w:color w:val="000000" w:themeColor="text1"/>
          <w:spacing w:val="0"/>
          <w:sz w:val="16"/>
          <w:szCs w:val="16"/>
          <w:lang w:val="ru-RU"/>
        </w:rPr>
        <w:t>замок.</w:t>
      </w:r>
      <w:r w:rsidRPr="00E93F40">
        <w:rPr>
          <w:rStyle w:val="ArialNarrow13"/>
          <w:rFonts w:ascii="Times New Roman" w:hAnsi="Times New Roman" w:cs="Times New Roman"/>
          <w:b w:val="0"/>
          <w:color w:val="000000" w:themeColor="text1"/>
          <w:sz w:val="16"/>
          <w:szCs w:val="16"/>
          <w:lang w:val="ru-RU"/>
        </w:rPr>
        <w:t xml:space="preserve"> На</w:t>
      </w:r>
      <w:r w:rsidRPr="00E93F40">
        <w:rPr>
          <w:color w:val="000000" w:themeColor="text1"/>
          <w:lang w:val="ru-RU"/>
        </w:rPr>
        <w:t xml:space="preserve"> втором</w:t>
      </w:r>
      <w:r w:rsidRPr="00E93F40">
        <w:rPr>
          <w:rStyle w:val="ArialNarrow13"/>
          <w:rFonts w:ascii="Times New Roman" w:hAnsi="Times New Roman" w:cs="Times New Roman"/>
          <w:b w:val="0"/>
          <w:color w:val="000000" w:themeColor="text1"/>
          <w:sz w:val="16"/>
          <w:szCs w:val="16"/>
          <w:lang w:val="ru-RU"/>
        </w:rPr>
        <w:t xml:space="preserve"> И-4</w:t>
      </w:r>
      <w:r w:rsidRPr="00E93F40">
        <w:rPr>
          <w:color w:val="000000" w:themeColor="text1"/>
          <w:lang w:val="ru-RU"/>
        </w:rPr>
        <w:t xml:space="preserve"> Гродзь открыл зад</w:t>
      </w:r>
      <w:r w:rsidRPr="00E93F40">
        <w:rPr>
          <w:color w:val="000000" w:themeColor="text1"/>
          <w:lang w:val="ru-RU"/>
        </w:rPr>
        <w:softHyphen/>
      </w:r>
      <w:r w:rsidRPr="00E93F40">
        <w:rPr>
          <w:rStyle w:val="9"/>
          <w:rFonts w:ascii="Times New Roman" w:cs="Times New Roman"/>
          <w:color w:val="000000" w:themeColor="text1"/>
          <w:spacing w:val="0"/>
          <w:sz w:val="16"/>
          <w:szCs w:val="16"/>
          <w:lang w:val="ru-RU"/>
        </w:rPr>
        <w:t>ний</w:t>
      </w:r>
      <w:r w:rsidRPr="00E93F40">
        <w:rPr>
          <w:rStyle w:val="ArialNarrow13"/>
          <w:rFonts w:ascii="Times New Roman" w:hAnsi="Times New Roman" w:cs="Times New Roman"/>
          <w:b w:val="0"/>
          <w:color w:val="000000" w:themeColor="text1"/>
          <w:sz w:val="16"/>
          <w:szCs w:val="16"/>
          <w:lang w:val="ru-RU"/>
        </w:rPr>
        <w:t xml:space="preserve"> замок и</w:t>
      </w:r>
      <w:r w:rsidRPr="00E93F40">
        <w:rPr>
          <w:color w:val="000000" w:themeColor="text1"/>
          <w:lang w:val="ru-RU"/>
        </w:rPr>
        <w:t xml:space="preserve"> приготовился отделиться, но </w:t>
      </w:r>
      <w:r w:rsidRPr="00E93F40">
        <w:rPr>
          <w:rStyle w:val="ArialNarrow13"/>
          <w:rFonts w:ascii="Times New Roman" w:hAnsi="Times New Roman" w:cs="Times New Roman"/>
          <w:b w:val="0"/>
          <w:color w:val="000000" w:themeColor="text1"/>
          <w:sz w:val="16"/>
          <w:szCs w:val="16"/>
          <w:lang w:val="ru-RU"/>
        </w:rPr>
        <w:t>ждал команды</w:t>
      </w:r>
      <w:r w:rsidRPr="00E93F40">
        <w:rPr>
          <w:color w:val="000000" w:themeColor="text1"/>
          <w:lang w:val="ru-RU"/>
        </w:rPr>
        <w:t xml:space="preserve"> из кабины ТБ-1. Экипаж </w:t>
      </w:r>
      <w:r w:rsidRPr="00E93F40">
        <w:rPr>
          <w:rStyle w:val="ArialNarrow13"/>
          <w:rFonts w:ascii="Times New Roman" w:hAnsi="Times New Roman" w:cs="Times New Roman"/>
          <w:b w:val="0"/>
          <w:color w:val="000000" w:themeColor="text1"/>
          <w:sz w:val="16"/>
          <w:szCs w:val="16"/>
          <w:lang w:val="ru-RU"/>
        </w:rPr>
        <w:t>носителя начал</w:t>
      </w:r>
      <w:r w:rsidRPr="00E93F40">
        <w:rPr>
          <w:color w:val="000000" w:themeColor="text1"/>
          <w:lang w:val="ru-RU"/>
        </w:rPr>
        <w:t xml:space="preserve"> лихорадочно думать, как </w:t>
      </w:r>
      <w:r w:rsidRPr="00E93F40">
        <w:rPr>
          <w:rStyle w:val="ArialNarrow13"/>
          <w:rFonts w:ascii="Times New Roman" w:hAnsi="Times New Roman" w:cs="Times New Roman"/>
          <w:b w:val="0"/>
          <w:color w:val="000000" w:themeColor="text1"/>
          <w:sz w:val="16"/>
          <w:szCs w:val="16"/>
          <w:lang w:val="ru-RU"/>
        </w:rPr>
        <w:t>выкрутиться</w:t>
      </w:r>
      <w:r w:rsidRPr="00E93F40">
        <w:rPr>
          <w:color w:val="000000" w:themeColor="text1"/>
          <w:lang w:val="ru-RU"/>
        </w:rPr>
        <w:t xml:space="preserve"> из создавшейся ситуации. </w:t>
      </w:r>
      <w:r w:rsidRPr="00E93F40">
        <w:rPr>
          <w:rStyle w:val="ArialNarrow13"/>
          <w:rFonts w:ascii="Times New Roman" w:hAnsi="Times New Roman" w:cs="Times New Roman"/>
          <w:b w:val="0"/>
          <w:color w:val="000000" w:themeColor="text1"/>
          <w:sz w:val="16"/>
          <w:szCs w:val="16"/>
          <w:lang w:val="ru-RU"/>
        </w:rPr>
        <w:t>Предлагалось</w:t>
      </w:r>
      <w:r w:rsidRPr="00E93F40">
        <w:rPr>
          <w:color w:val="000000" w:themeColor="text1"/>
          <w:lang w:val="ru-RU"/>
        </w:rPr>
        <w:t xml:space="preserve"> проползти по крылу и от</w:t>
      </w:r>
      <w:r w:rsidRPr="00E93F40">
        <w:rPr>
          <w:color w:val="000000" w:themeColor="text1"/>
          <w:lang w:val="ru-RU"/>
        </w:rPr>
        <w:softHyphen/>
      </w:r>
      <w:r w:rsidRPr="00E93F40">
        <w:rPr>
          <w:rStyle w:val="ArialNarrow13"/>
          <w:rFonts w:ascii="Times New Roman" w:hAnsi="Times New Roman" w:cs="Times New Roman"/>
          <w:b w:val="0"/>
          <w:color w:val="000000" w:themeColor="text1"/>
          <w:sz w:val="16"/>
          <w:szCs w:val="16"/>
          <w:lang w:val="ru-RU"/>
        </w:rPr>
        <w:t>крыть замок</w:t>
      </w:r>
      <w:r w:rsidRPr="00E93F40">
        <w:rPr>
          <w:color w:val="000000" w:themeColor="text1"/>
          <w:lang w:val="ru-RU"/>
        </w:rPr>
        <w:t xml:space="preserve"> вручную, перебить его пулей </w:t>
      </w:r>
      <w:r w:rsidRPr="00E93F40">
        <w:rPr>
          <w:rStyle w:val="9"/>
          <w:rFonts w:ascii="Times New Roman" w:cs="Times New Roman"/>
          <w:color w:val="000000" w:themeColor="text1"/>
          <w:spacing w:val="0"/>
          <w:sz w:val="16"/>
          <w:szCs w:val="16"/>
          <w:lang w:val="ru-RU"/>
        </w:rPr>
        <w:t>из</w:t>
      </w:r>
      <w:r w:rsidRPr="00E93F40">
        <w:rPr>
          <w:rStyle w:val="ArialNarrow13"/>
          <w:rFonts w:ascii="Times New Roman" w:hAnsi="Times New Roman" w:cs="Times New Roman"/>
          <w:b w:val="0"/>
          <w:color w:val="000000" w:themeColor="text1"/>
          <w:sz w:val="16"/>
          <w:szCs w:val="16"/>
          <w:lang w:val="ru-RU"/>
        </w:rPr>
        <w:t xml:space="preserve"> «нагана»...</w:t>
      </w:r>
      <w:r w:rsidRPr="00E93F40">
        <w:rPr>
          <w:color w:val="000000" w:themeColor="text1"/>
          <w:lang w:val="ru-RU"/>
        </w:rPr>
        <w:t xml:space="preserve"> Но все эти идеи отбросили, </w:t>
      </w:r>
      <w:r w:rsidRPr="00E93F40">
        <w:rPr>
          <w:rStyle w:val="9"/>
          <w:rFonts w:ascii="Times New Roman" w:cs="Times New Roman"/>
          <w:color w:val="000000" w:themeColor="text1"/>
          <w:spacing w:val="0"/>
          <w:sz w:val="16"/>
          <w:szCs w:val="16"/>
          <w:lang w:val="ru-RU"/>
        </w:rPr>
        <w:t>как</w:t>
      </w:r>
      <w:r w:rsidRPr="00E93F40">
        <w:rPr>
          <w:rStyle w:val="ArialNarrow13"/>
          <w:rFonts w:ascii="Times New Roman" w:hAnsi="Times New Roman" w:cs="Times New Roman"/>
          <w:b w:val="0"/>
          <w:color w:val="000000" w:themeColor="text1"/>
          <w:sz w:val="16"/>
          <w:szCs w:val="16"/>
          <w:lang w:val="ru-RU"/>
        </w:rPr>
        <w:t xml:space="preserve"> нереальные.</w:t>
      </w:r>
    </w:p>
    <w:p w14:paraId="0A29D202" w14:textId="77777777" w:rsidR="00851C31" w:rsidRPr="00E93F40" w:rsidRDefault="00851C31" w:rsidP="00E93F40">
      <w:pPr>
        <w:pStyle w:val="a3"/>
        <w:rPr>
          <w:color w:val="000000" w:themeColor="text1"/>
          <w:lang w:val="ru-RU"/>
        </w:rPr>
      </w:pPr>
      <w:r w:rsidRPr="00E93F40">
        <w:rPr>
          <w:color w:val="000000" w:themeColor="text1"/>
          <w:lang w:val="ru-RU"/>
        </w:rPr>
        <w:t>Стефановский решил садиться с ис</w:t>
      </w:r>
      <w:r w:rsidRPr="00E93F40">
        <w:rPr>
          <w:color w:val="000000" w:themeColor="text1"/>
          <w:lang w:val="ru-RU"/>
        </w:rPr>
        <w:softHyphen/>
      </w:r>
      <w:r w:rsidRPr="00E93F40">
        <w:rPr>
          <w:rStyle w:val="ArialNarrow13"/>
          <w:rFonts w:ascii="Times New Roman" w:hAnsi="Times New Roman" w:cs="Times New Roman"/>
          <w:b w:val="0"/>
          <w:color w:val="000000" w:themeColor="text1"/>
          <w:sz w:val="16"/>
          <w:szCs w:val="16"/>
          <w:lang w:val="ru-RU"/>
        </w:rPr>
        <w:t>требителями</w:t>
      </w:r>
      <w:r w:rsidRPr="00E93F40">
        <w:rPr>
          <w:color w:val="000000" w:themeColor="text1"/>
          <w:lang w:val="ru-RU"/>
        </w:rPr>
        <w:t xml:space="preserve"> на крыле; отцепить И-4 </w:t>
      </w:r>
      <w:r w:rsidRPr="00E93F40">
        <w:rPr>
          <w:rStyle w:val="ArialNarrow13"/>
          <w:rFonts w:ascii="Times New Roman" w:hAnsi="Times New Roman" w:cs="Times New Roman"/>
          <w:b w:val="0"/>
          <w:color w:val="000000" w:themeColor="text1"/>
          <w:sz w:val="16"/>
          <w:szCs w:val="16"/>
          <w:lang w:val="ru-RU"/>
        </w:rPr>
        <w:t>Гродзя</w:t>
      </w:r>
      <w:r w:rsidRPr="00E93F40">
        <w:rPr>
          <w:color w:val="000000" w:themeColor="text1"/>
          <w:lang w:val="ru-RU"/>
        </w:rPr>
        <w:t xml:space="preserve"> он побоялся, поскольку счел, что </w:t>
      </w:r>
      <w:r w:rsidRPr="00E93F40">
        <w:rPr>
          <w:rStyle w:val="ArialNarrow13"/>
          <w:rFonts w:ascii="Times New Roman" w:hAnsi="Times New Roman" w:cs="Times New Roman"/>
          <w:b w:val="0"/>
          <w:color w:val="000000" w:themeColor="text1"/>
          <w:sz w:val="16"/>
          <w:szCs w:val="16"/>
          <w:lang w:val="ru-RU"/>
        </w:rPr>
        <w:t>асимметрия</w:t>
      </w:r>
      <w:r w:rsidRPr="00E93F40">
        <w:rPr>
          <w:color w:val="000000" w:themeColor="text1"/>
          <w:lang w:val="ru-RU"/>
        </w:rPr>
        <w:t xml:space="preserve"> нагрузки ничего хорошего </w:t>
      </w:r>
      <w:r w:rsidRPr="00E93F40">
        <w:rPr>
          <w:rStyle w:val="ArialNarrow13"/>
          <w:rFonts w:ascii="Times New Roman" w:hAnsi="Times New Roman" w:cs="Times New Roman"/>
          <w:b w:val="0"/>
          <w:color w:val="000000" w:themeColor="text1"/>
          <w:sz w:val="16"/>
          <w:szCs w:val="16"/>
          <w:lang w:val="ru-RU"/>
        </w:rPr>
        <w:t>не даст. И</w:t>
      </w:r>
      <w:r w:rsidRPr="00E93F40">
        <w:rPr>
          <w:color w:val="000000" w:themeColor="text1"/>
          <w:lang w:val="ru-RU"/>
        </w:rPr>
        <w:t xml:space="preserve"> ему действительно удалось приземлиться. Правда, в конце пробега </w:t>
      </w:r>
      <w:r w:rsidRPr="00E93F40">
        <w:rPr>
          <w:rStyle w:val="ArialNarrow13"/>
          <w:rFonts w:ascii="Times New Roman" w:hAnsi="Times New Roman" w:cs="Times New Roman"/>
          <w:b w:val="0"/>
          <w:color w:val="000000" w:themeColor="text1"/>
          <w:sz w:val="16"/>
          <w:szCs w:val="16"/>
          <w:lang w:val="ru-RU"/>
        </w:rPr>
        <w:t>самолет</w:t>
      </w:r>
      <w:r w:rsidRPr="00E93F40">
        <w:rPr>
          <w:color w:val="000000" w:themeColor="text1"/>
          <w:lang w:val="ru-RU"/>
        </w:rPr>
        <w:t xml:space="preserve"> Гродзя рухнул на заднюю трено</w:t>
      </w:r>
      <w:r w:rsidRPr="00E93F40">
        <w:rPr>
          <w:color w:val="000000" w:themeColor="text1"/>
          <w:lang w:val="ru-RU"/>
        </w:rPr>
        <w:softHyphen/>
        <w:t xml:space="preserve">гу, которая пробила фюзеляж и уперлась </w:t>
      </w:r>
      <w:r w:rsidRPr="00E93F40">
        <w:rPr>
          <w:rStyle w:val="ArialNarrow13"/>
          <w:rFonts w:ascii="Times New Roman" w:hAnsi="Times New Roman" w:cs="Times New Roman"/>
          <w:b w:val="0"/>
          <w:color w:val="000000" w:themeColor="text1"/>
          <w:sz w:val="16"/>
          <w:szCs w:val="16"/>
          <w:lang w:val="ru-RU"/>
        </w:rPr>
        <w:t>в</w:t>
      </w:r>
      <w:r w:rsidRPr="00E93F40">
        <w:rPr>
          <w:color w:val="000000" w:themeColor="text1"/>
          <w:lang w:val="ru-RU"/>
        </w:rPr>
        <w:t xml:space="preserve"> спинку сиденья. Все остались живы и </w:t>
      </w:r>
      <w:r w:rsidRPr="00E93F40">
        <w:rPr>
          <w:rStyle w:val="ArialNarrow13"/>
          <w:rFonts w:ascii="Times New Roman" w:hAnsi="Times New Roman" w:cs="Times New Roman"/>
          <w:b w:val="0"/>
          <w:color w:val="000000" w:themeColor="text1"/>
          <w:sz w:val="16"/>
          <w:szCs w:val="16"/>
          <w:lang w:val="ru-RU"/>
        </w:rPr>
        <w:t>здоровы (17741).</w:t>
      </w:r>
    </w:p>
    <w:p w14:paraId="016A420A" w14:textId="77777777" w:rsidR="00851C31" w:rsidRPr="00E93F40" w:rsidRDefault="00851C31" w:rsidP="00E93F40">
      <w:pPr>
        <w:spacing w:after="0" w:line="240" w:lineRule="auto"/>
        <w:jc w:val="both"/>
        <w:rPr>
          <w:rFonts w:ascii="Times New Roman" w:eastAsia="Times New Roman" w:hAnsi="Times New Roman"/>
          <w:color w:val="000000" w:themeColor="text1"/>
          <w:sz w:val="16"/>
          <w:szCs w:val="16"/>
          <w:lang w:eastAsia="ru-RU"/>
        </w:rPr>
      </w:pPr>
    </w:p>
    <w:p w14:paraId="64742CA8" w14:textId="77777777" w:rsidR="00735104" w:rsidRPr="00E93F40" w:rsidRDefault="00735104"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С 1 по 8 апреля 1932 г.прошел новый тур испытаний «Звена-1». Оказалось, что действительно «авианосец» разбегался быстрее, чем обычный ТБ-1 с бомбами. Практический потолок был выше, чем у последнего, на 700 - 800 м. В первом полете выявили некоторые вибрации, которые позже исчезли. При отцепке одного И-4 носитель сохранял устойчивое положение. О пилотировании ТБ-1 Залевский писал: «Управление самолетом в воздухе - нормальное, никаких добавочных нагрузок на органы управления не чувствовалось».</w:t>
      </w:r>
    </w:p>
    <w:p w14:paraId="57E21D9F" w14:textId="77777777" w:rsidR="00735104" w:rsidRPr="00E93F40" w:rsidRDefault="00735104"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Летчики на носителе и истребителях время от времени менялись. В одном из полетов на ТБ-1 находились П.М. Стефановский и М.А. Нюхтиков, а на И-4 - В.К. Коккинаки и И.Ф. Гродзь.</w:t>
      </w:r>
    </w:p>
    <w:p w14:paraId="189733FB" w14:textId="77777777" w:rsidR="00735104" w:rsidRPr="00E93F40" w:rsidRDefault="00735104"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НИИ ВВС дал заключение о том, что полеты на «авианосце» и его истребителях доступны для летчиков средней квалификации. Наверху приняли решение о выпуске небольшой серии СЗВ для войсковых испытаний (19100).</w:t>
      </w:r>
    </w:p>
    <w:p w14:paraId="7BB1E824" w14:textId="77777777" w:rsidR="00735104" w:rsidRPr="00E93F40" w:rsidRDefault="00735104" w:rsidP="00E93F40">
      <w:pPr>
        <w:pStyle w:val="a8"/>
        <w:jc w:val="both"/>
        <w:rPr>
          <w:rFonts w:ascii="Times New Roman" w:hAnsi="Times New Roman" w:cs="Times New Roman"/>
          <w:color w:val="000000" w:themeColor="text1"/>
        </w:rPr>
      </w:pPr>
    </w:p>
    <w:p w14:paraId="7323A3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в Монино демонстрировали командному составу ВВС Московского ВО демонстрировали один из первых ТБ-3 (1854,13).</w:t>
      </w:r>
    </w:p>
    <w:p w14:paraId="3948A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082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был сделан первый серийный Ш-2 (92,384). Внедрение на заводе № 31 началось в сентябре 1931. Облетал головную машину л В.М.Ремезюк (7621, 34).</w:t>
      </w:r>
    </w:p>
    <w:p w14:paraId="5AB32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FF422D" w14:textId="77777777"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 первый АШ был сдан в срок. Недорогой и неприхотливый в эксплуатации АШ, способный взлетать и с воды, и с суши, оказался очень востребованным. Он нашел заказчиков среди военных, в летных школах и аэроклубах, в санитарной авиации, применялся для различных хозяйственных задач. Выпуск АШ на заводе №31 прекратили в 1934 г. после сдачи 270 машин. По данным В.Б. Шаврова, позднее на ремонтных базах ГВФ изготовили еще несколько сотен этих амфибий (18303).</w:t>
      </w:r>
    </w:p>
    <w:p w14:paraId="4C9A88AC" w14:textId="77777777" w:rsidR="00735104" w:rsidRPr="00E93F40" w:rsidRDefault="00735104" w:rsidP="00E93F40">
      <w:pPr>
        <w:spacing w:after="0" w:line="240" w:lineRule="auto"/>
        <w:jc w:val="both"/>
        <w:rPr>
          <w:rFonts w:ascii="Times New Roman" w:hAnsi="Times New Roman"/>
          <w:color w:val="000000" w:themeColor="text1"/>
          <w:sz w:val="16"/>
          <w:szCs w:val="16"/>
        </w:rPr>
      </w:pPr>
    </w:p>
    <w:p w14:paraId="5F79FD88"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в 1932 году выпущен головной экземпляр первого советского серийного гидросамолета «Ш-2» конструкции В.Б.Шаврова. В 1933—1934 гг. изготовлено несколько сотен экземпляров самолетов этого типа (15086).</w:t>
      </w:r>
    </w:p>
    <w:p w14:paraId="66003C72" w14:textId="77777777" w:rsidR="004949ED" w:rsidRPr="00E93F40" w:rsidRDefault="004949ED" w:rsidP="00E93F40">
      <w:pPr>
        <w:spacing w:after="0" w:line="240" w:lineRule="auto"/>
        <w:jc w:val="both"/>
        <w:rPr>
          <w:rFonts w:ascii="Times New Roman" w:hAnsi="Times New Roman"/>
          <w:color w:val="000000" w:themeColor="text1"/>
          <w:sz w:val="16"/>
          <w:szCs w:val="16"/>
        </w:rPr>
      </w:pPr>
    </w:p>
    <w:p w14:paraId="307E54EC"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апреля 1932 на заводе № 31 головной образец Ш-2 (с номером ОЖ-38) был готов, его предъявили заводским контролёрам. Интересно, что на этот раз серийный экземпляр, несмотря на усиление ряда деталей, получился легче опытного на 20 кг (обычно - наоборот). При этом бен</w:t>
      </w:r>
      <w:r w:rsidRPr="00142305">
        <w:rPr>
          <w:rFonts w:ascii="Times New Roman" w:hAnsi="Times New Roman"/>
          <w:color w:val="0070C0"/>
          <w:sz w:val="16"/>
          <w:szCs w:val="16"/>
        </w:rPr>
        <w:softHyphen/>
        <w:t>зобаков стало три (третий - под задним сиденьем), добавили ряд приборов. Выиг</w:t>
      </w:r>
      <w:r w:rsidRPr="00142305">
        <w:rPr>
          <w:rFonts w:ascii="Times New Roman" w:hAnsi="Times New Roman"/>
          <w:color w:val="0070C0"/>
          <w:sz w:val="16"/>
          <w:szCs w:val="16"/>
        </w:rPr>
        <w:softHyphen/>
        <w:t>рыша достигли в основном за счёт более качественного изготовления лодки.</w:t>
      </w:r>
    </w:p>
    <w:p w14:paraId="798CA53E"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на Азовском море ещё стоял лёд, а на аэродроме - весенняя распутица (24952).</w:t>
      </w:r>
    </w:p>
    <w:p w14:paraId="23AC2E9E" w14:textId="77777777" w:rsidR="00A8197F" w:rsidRPr="00142305" w:rsidRDefault="00A8197F" w:rsidP="00A8197F">
      <w:pPr>
        <w:spacing w:after="0" w:line="240" w:lineRule="auto"/>
        <w:jc w:val="both"/>
        <w:rPr>
          <w:rFonts w:ascii="Times New Roman" w:hAnsi="Times New Roman"/>
          <w:color w:val="0070C0"/>
          <w:sz w:val="16"/>
          <w:szCs w:val="16"/>
        </w:rPr>
      </w:pPr>
    </w:p>
    <w:p w14:paraId="1F8516E0"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апреля 1932 г. выпустили первый го</w:t>
      </w:r>
      <w:r w:rsidRPr="00142305">
        <w:rPr>
          <w:rFonts w:ascii="Times New Roman" w:hAnsi="Times New Roman"/>
          <w:color w:val="0070C0"/>
          <w:sz w:val="16"/>
          <w:szCs w:val="16"/>
        </w:rPr>
        <w:softHyphen/>
        <w:t>ловной экземпляр летающей лодки Ш-2. Облетал его летчик В.М. Ремезюк. Спустя короткое время полетел второй серийный экземпляр, и 1 мая 1932 г. уже две машины летали над Та</w:t>
      </w:r>
      <w:r w:rsidRPr="00142305">
        <w:rPr>
          <w:rFonts w:ascii="Times New Roman" w:hAnsi="Times New Roman"/>
          <w:color w:val="0070C0"/>
          <w:sz w:val="16"/>
          <w:szCs w:val="16"/>
        </w:rPr>
        <w:softHyphen/>
        <w:t>ганрогом и разбрасывали листовки над празд</w:t>
      </w:r>
      <w:r w:rsidRPr="00142305">
        <w:rPr>
          <w:rFonts w:ascii="Times New Roman" w:hAnsi="Times New Roman"/>
          <w:color w:val="0070C0"/>
          <w:sz w:val="16"/>
          <w:szCs w:val="16"/>
        </w:rPr>
        <w:softHyphen/>
        <w:t>ничной демонстрацией жителей города. Госу</w:t>
      </w:r>
      <w:r w:rsidRPr="00142305">
        <w:rPr>
          <w:rFonts w:ascii="Times New Roman" w:hAnsi="Times New Roman"/>
          <w:color w:val="0070C0"/>
          <w:sz w:val="16"/>
          <w:szCs w:val="16"/>
        </w:rPr>
        <w:softHyphen/>
        <w:t>дарственные испытания первого головного эк</w:t>
      </w:r>
      <w:r w:rsidRPr="00142305">
        <w:rPr>
          <w:rFonts w:ascii="Times New Roman" w:hAnsi="Times New Roman"/>
          <w:color w:val="0070C0"/>
          <w:sz w:val="16"/>
          <w:szCs w:val="16"/>
        </w:rPr>
        <w:softHyphen/>
        <w:t>земпляра закончились 9 мая, после чего маши</w:t>
      </w:r>
      <w:r w:rsidRPr="00142305">
        <w:rPr>
          <w:rFonts w:ascii="Times New Roman" w:hAnsi="Times New Roman"/>
          <w:color w:val="0070C0"/>
          <w:sz w:val="16"/>
          <w:szCs w:val="16"/>
        </w:rPr>
        <w:softHyphen/>
        <w:t>ну направили в Свердловск, где она в первый летный сезон выполнила сотни полетов. Нес</w:t>
      </w:r>
      <w:r w:rsidRPr="00142305">
        <w:rPr>
          <w:rFonts w:ascii="Times New Roman" w:hAnsi="Times New Roman"/>
          <w:color w:val="0070C0"/>
          <w:sz w:val="16"/>
          <w:szCs w:val="16"/>
        </w:rPr>
        <w:softHyphen/>
        <w:t>колько человек прошли на ней обучение.</w:t>
      </w:r>
    </w:p>
    <w:p w14:paraId="4FCB610C"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Первые серийные Ш-2 были не столь каче</w:t>
      </w:r>
      <w:r w:rsidRPr="00142305">
        <w:rPr>
          <w:rFonts w:ascii="Times New Roman" w:hAnsi="Times New Roman"/>
          <w:color w:val="0070C0"/>
          <w:sz w:val="16"/>
          <w:szCs w:val="16"/>
        </w:rPr>
        <w:softHyphen/>
        <w:t>ственно выполнены, как опытный образец, а кроме того, оказались тяжелее примерно на 10 кг. Поэтому при переходе на эталон 1933 г. в конструкцию лодки ввели множество мелких доработок и изменений: усилили мотораму, улучшили механизмы подъема шасси, спинки сидений увеличили по высоте на 150 мм, под фюзеляжный бензиновый бак установили несколько резиновых шайб, и т.п.</w:t>
      </w:r>
    </w:p>
    <w:p w14:paraId="4856E2C0"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Серийное производство Ш-2 на авиазаводе № 31 в Таганроге продолжалось до 1934 г. За это время было выпущено:</w:t>
      </w:r>
    </w:p>
    <w:p w14:paraId="4845ADFA" w14:textId="77777777" w:rsidR="00A8197F" w:rsidRPr="00142305" w:rsidRDefault="00A8197F" w:rsidP="00A8197F">
      <w:pPr>
        <w:widowControl w:val="0"/>
        <w:tabs>
          <w:tab w:val="left" w:pos="72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1932 г. — 30 экземпляров</w:t>
      </w:r>
    </w:p>
    <w:p w14:paraId="34301B93" w14:textId="77777777" w:rsidR="00A8197F" w:rsidRPr="00142305" w:rsidRDefault="00A8197F" w:rsidP="00A8197F">
      <w:pPr>
        <w:widowControl w:val="0"/>
        <w:tabs>
          <w:tab w:val="left" w:pos="72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1933 г. — 200 экземпляров</w:t>
      </w:r>
    </w:p>
    <w:p w14:paraId="349EA261" w14:textId="77777777" w:rsidR="00A8197F" w:rsidRPr="00142305" w:rsidRDefault="00A8197F" w:rsidP="00A8197F">
      <w:pPr>
        <w:widowControl w:val="0"/>
        <w:tabs>
          <w:tab w:val="left" w:pos="72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1934 г. — 40 экземпляров</w:t>
      </w:r>
    </w:p>
    <w:p w14:paraId="44C8441F"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 270 экземпляров (25013).</w:t>
      </w:r>
    </w:p>
    <w:p w14:paraId="51EA2DC8" w14:textId="77777777" w:rsidR="00A8197F" w:rsidRPr="00142305" w:rsidRDefault="00A8197F" w:rsidP="00A8197F">
      <w:pPr>
        <w:spacing w:after="0" w:line="240" w:lineRule="auto"/>
        <w:jc w:val="both"/>
        <w:rPr>
          <w:rFonts w:ascii="Times New Roman" w:hAnsi="Times New Roman"/>
          <w:color w:val="0070C0"/>
          <w:sz w:val="16"/>
          <w:szCs w:val="16"/>
        </w:rPr>
      </w:pPr>
    </w:p>
    <w:p w14:paraId="2A4192EE"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по 8 апреля 1932 г. после некоторой доработки конструкции провели пов</w:t>
      </w:r>
      <w:r w:rsidRPr="00142305">
        <w:rPr>
          <w:rFonts w:ascii="Times New Roman" w:hAnsi="Times New Roman"/>
          <w:color w:val="0070C0"/>
          <w:sz w:val="16"/>
          <w:szCs w:val="16"/>
        </w:rPr>
        <w:softHyphen/>
        <w:t xml:space="preserve">торные испытания «Звена». По их завершении НИИ ВВС дал заключение о том, что полеты на «авианосце» </w:t>
      </w:r>
      <w:r w:rsidRPr="00142305">
        <w:rPr>
          <w:rFonts w:ascii="Times New Roman" w:hAnsi="Times New Roman"/>
          <w:smallCaps/>
          <w:color w:val="0070C0"/>
          <w:sz w:val="16"/>
          <w:szCs w:val="16"/>
        </w:rPr>
        <w:t>и</w:t>
      </w:r>
      <w:r w:rsidRPr="00142305">
        <w:rPr>
          <w:rFonts w:ascii="Times New Roman" w:hAnsi="Times New Roman"/>
          <w:color w:val="0070C0"/>
          <w:sz w:val="16"/>
          <w:szCs w:val="16"/>
        </w:rPr>
        <w:t xml:space="preserve"> его истребителях доступны для летчиков со среднем уровнем подготовки. Управление ВВС приняло решение о постройке небольшой серии «Звеньев». В июле 1932 г. ЦАГИ получил от военных заказ на разработку чер</w:t>
      </w:r>
      <w:r w:rsidRPr="00142305">
        <w:rPr>
          <w:rFonts w:ascii="Times New Roman" w:hAnsi="Times New Roman"/>
          <w:color w:val="0070C0"/>
          <w:sz w:val="16"/>
          <w:szCs w:val="16"/>
        </w:rPr>
        <w:softHyphen/>
        <w:t>тежей серийного варианта подвески (24977).</w:t>
      </w:r>
    </w:p>
    <w:p w14:paraId="30AE88AE" w14:textId="77777777" w:rsidR="00A8197F" w:rsidRPr="00142305" w:rsidRDefault="00A8197F" w:rsidP="00A8197F">
      <w:pPr>
        <w:spacing w:after="0" w:line="240" w:lineRule="auto"/>
        <w:jc w:val="both"/>
        <w:rPr>
          <w:rFonts w:ascii="Times New Roman" w:hAnsi="Times New Roman"/>
          <w:color w:val="0070C0"/>
          <w:sz w:val="16"/>
          <w:szCs w:val="16"/>
        </w:rPr>
      </w:pPr>
    </w:p>
    <w:p w14:paraId="321BCCCA"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94. 8. О реконструкции Уральских металлургических заводов (записка Кабакова) (Сталин). 9. О состоянии Константиновского цинкового завода (Рудзутак). Опросом членов ПБ: от 27 марта 1932 г. 58/24. О привлечении специалистов фирмы «Юнкерс» — ОП. Постановили: 1) привлечь немецкий специалистов по авиации: 2) выделить фонд в 7 тыс. долларов; 3) обязать Моссовет предоставить для иноспециалистов гражданской авиации и авиапромышленности 50 комнат равными долями в течение апреля и мая месяцев, поручив наблюдение т. Кагановичу; 4) выделить 3 автобуса и 8 легковых машин специально для обслуживания иноспециалистов и договориться об этом с т. Кагановичем; 5) в список приглашаемых лиц включить специалистов, необходимых для авиапромышленности (Глававиапром); 6) возложить на т. Гольцмана наблюдение за ходом привлечения и устройства специалистов в Москве. (Политбюро... Т. 2. С. 288, 289; РГАСПИ. Ф. 17. Оп. 162. Д. 12. Л. 37) (12416).</w:t>
      </w:r>
    </w:p>
    <w:p w14:paraId="6F8C2005"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p>
    <w:p w14:paraId="6DB55A52" w14:textId="77777777"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w:t>
      </w:r>
    </w:p>
    <w:p w14:paraId="6156FB64" w14:textId="334C9861"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94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60F7120E" w14:textId="12963332"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017C7E0E" w14:textId="7C72796C"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Опросом членов Политбюро от 27.III.1932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FFC7FD5" w14:textId="4B3DBF1E"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58/24: О привлечении специалистов фирмы “Юнкерс”</w:t>
      </w:r>
    </w:p>
    <w:p w14:paraId="34C0D051" w14:textId="31488DB3"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640492C5" w14:textId="77777777"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Привлечь немецких специалистов по авиации.</w:t>
      </w:r>
    </w:p>
    <w:p w14:paraId="1E7F81DF" w14:textId="4F9FB94C"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Выделить фонд в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тысяч долларов.</w:t>
      </w:r>
    </w:p>
    <w:p w14:paraId="1CA61231" w14:textId="350D7789"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Обязать Моссовет предоставить для иноспециалистов гражданской авиации и авиапромышленности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комнат равными долями в течение апреля и мая месяцев, поручив наблюдение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Кагановичу.</w:t>
      </w:r>
    </w:p>
    <w:p w14:paraId="2A14B4E6" w14:textId="49F08A3E"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Выделить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автобуса и 8 легковых машин специально для обслуживания иноспециалистов и договориться об этом с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Кагановичем.</w:t>
      </w:r>
    </w:p>
    <w:p w14:paraId="776C9FE3" w14:textId="77777777"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 список приглашаемых лиц включить специалистов, необходимых для авиапромышленности (Глававиапром).</w:t>
      </w:r>
    </w:p>
    <w:p w14:paraId="1D3EBA7B" w14:textId="5433BB5B"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Возложить на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Гольцмана наблюдение за ходом привлечения и устройства специалистов в Москве.</w:t>
      </w:r>
    </w:p>
    <w:p w14:paraId="0A84D3A2" w14:textId="77777777"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24B7A440" w14:textId="342570C3"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Орджоникидзе, Керженцеву Кагановичу, Гольцману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w:t>
      </w:r>
    </w:p>
    <w:p w14:paraId="34250025" w14:textId="708E811B"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Рудзутаку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 2;</w:t>
      </w:r>
    </w:p>
    <w:p w14:paraId="0A835D91" w14:textId="3FEC467F"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Булганину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w:t>
      </w:r>
    </w:p>
    <w:p w14:paraId="6CA93A25" w14:textId="77777777" w:rsidR="00735104" w:rsidRPr="00E93F40" w:rsidRDefault="0073510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(18128).</w:t>
      </w:r>
    </w:p>
    <w:p w14:paraId="33289FAB" w14:textId="77777777" w:rsidR="00735104" w:rsidRPr="00E93F40" w:rsidRDefault="00735104" w:rsidP="00E93F40">
      <w:pPr>
        <w:spacing w:after="0" w:line="240" w:lineRule="auto"/>
        <w:jc w:val="both"/>
        <w:rPr>
          <w:rFonts w:ascii="Times New Roman" w:hAnsi="Times New Roman"/>
          <w:color w:val="000000" w:themeColor="text1"/>
          <w:sz w:val="16"/>
          <w:szCs w:val="16"/>
        </w:rPr>
      </w:pPr>
    </w:p>
    <w:p w14:paraId="38823146"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 Протокол ПБ № 94 п.29: О первомайском параде (Ворошилов). Решено: а) Поручить Ворошилову представить в Политбюро письменные предложения. б) Определить участие в параде 300 самолетов, 100 танков, из них не более 30 танкеток (15898).</w:t>
      </w:r>
    </w:p>
    <w:p w14:paraId="75A90F36" w14:textId="77777777" w:rsidR="004949ED" w:rsidRPr="00E93F40" w:rsidRDefault="004949ED" w:rsidP="00E93F40">
      <w:pPr>
        <w:spacing w:after="0" w:line="240" w:lineRule="auto"/>
        <w:jc w:val="both"/>
        <w:rPr>
          <w:rFonts w:ascii="Times New Roman" w:hAnsi="Times New Roman"/>
          <w:color w:val="000000" w:themeColor="text1"/>
          <w:sz w:val="16"/>
          <w:szCs w:val="16"/>
        </w:rPr>
      </w:pPr>
    </w:p>
    <w:p w14:paraId="71B98113"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в 1932 году для работников ГВФ введена форменная одежда и знаки различия (15086).</w:t>
      </w:r>
    </w:p>
    <w:p w14:paraId="7499BCD8" w14:textId="77777777" w:rsidR="004949ED" w:rsidRPr="00E93F40" w:rsidRDefault="004949ED" w:rsidP="00E93F40">
      <w:pPr>
        <w:spacing w:after="0" w:line="240" w:lineRule="auto"/>
        <w:jc w:val="both"/>
        <w:rPr>
          <w:rFonts w:ascii="Times New Roman" w:hAnsi="Times New Roman"/>
          <w:color w:val="000000" w:themeColor="text1"/>
          <w:sz w:val="16"/>
          <w:szCs w:val="16"/>
        </w:rPr>
      </w:pPr>
    </w:p>
    <w:p w14:paraId="48EEA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для работников ГВФ ввели форму (2668).</w:t>
      </w:r>
    </w:p>
    <w:p w14:paraId="07DF9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D15E2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 для работников ГВФ введена форменная одежда и знаки различия (6395).</w:t>
      </w:r>
    </w:p>
    <w:p w14:paraId="4915490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A00D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на III расширенном пленуме ЦС ОХА отмечалось: "Инженеры Колесников и Королев из Московской планерной школы (...) в течение ряда лет безвозмездно работают в конструкторском бюро, дали десятки конструкций, преподают в этой школе, причем выполняют эти работы исключительно в рабочем порядке" (Там же, № 50(1), л. 38) (10676).</w:t>
      </w:r>
    </w:p>
    <w:p w14:paraId="272569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3C40C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F8D4A4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67B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апреля 1932 на НАЗ начался непрерывный выпуск НАЗ-АА.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 вот нелегкие задачи,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"Катер-пиллер"), танки ("Виккерс", "Кристи") и многое другое. Стране нужен был быстрый рывок в индустриальную эпоху. Путь, на который она встала, оказался верным. С вводом в строй ГАЗа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08D899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3A291E" w14:textId="77777777" w:rsidR="00D50769" w:rsidRPr="00E93F40" w:rsidRDefault="00D5076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года образовано ЦКБ специального (подводного) судостроения N2, впоследствии ЦКБ-18, - ныне ЦКБ морской техники (ЦКБМТ) «Рубин» (21176).</w:t>
      </w:r>
    </w:p>
    <w:p w14:paraId="1948653A" w14:textId="77777777" w:rsidR="00D50769" w:rsidRPr="00E93F40" w:rsidRDefault="00D50769" w:rsidP="00E93F40">
      <w:pPr>
        <w:spacing w:after="0" w:line="240" w:lineRule="auto"/>
        <w:jc w:val="both"/>
        <w:rPr>
          <w:rFonts w:ascii="Times New Roman" w:hAnsi="Times New Roman"/>
          <w:color w:val="000000" w:themeColor="text1"/>
          <w:sz w:val="16"/>
          <w:szCs w:val="16"/>
        </w:rPr>
      </w:pPr>
    </w:p>
    <w:p w14:paraId="788EB24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55A976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F700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 с одним из первых серийных ТБ-3 ознакомили в Монино командный состав ВВС Московского военного округа. Это не было случайным. Именно 17-й авиабригаде в Монино предстояло первой осваивать ТБ-3. Это соединение, вооруженное ТБ-1, уже имело опыт эксплуатации тяжелых цельнометаллических машин и можно было рассчитывать, что оно быстрее достигнет стадии боеспособности. Далее предполагалось начать формирование четырех эскадрилий 26-й бригады в Сеще и трех - 30-й в Ржеве. Далее на повестке дня стояли 11 -я бригада в Воронеже, 20-я в Харькове и 27-я в Ростове-на-Дону. Это все в европейской части страны. На Дальнем Востоке и в Забайкалье предполагалось сформировать четыре бригады - две в Бочкарево, одну в Хабаровске и одну в Никольск-Уссурийске (7668).</w:t>
      </w:r>
    </w:p>
    <w:p w14:paraId="172249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766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 с одним из первых серийных самолетов ТБ-3 ознакомили в Монино командный состав ВВС Московского военного округа. Это не было случайным. Именно 17-й авиабригаде в Монино предстояло первой осваивать ТБ-3. Это соединение, вооруженное ТБ-1, уже имело опыт эксплуатации тяжелых цельнометаллических машин, и можно было рассчитывать, что оно быстрее достигнет стадии боеспособности. Далее предполагалось начать формирование четырех эскадрилий 26-й бригады в Сеще и трех - 30-й в Ржеве. Далее на повестке дня стояли 11-я бригада в Воронеже, 20-я в Харькове и 27-я в Ростове-на-Дону. Это все в Европейской части страны. На Дальнем Востоке и в Забайкалье предполагалось сформировать четыре бригады - две в Бочкарево, одну в Хабаровске и одну в Никольск-Уссурийске.</w:t>
      </w:r>
    </w:p>
    <w:p w14:paraId="6ED45A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 1-й квартал 1932 г. до строевых частей добрались лишь пять ТБ-3. Производство развертывалось медленнее, чем рассчитывали, что тормозило первооружение ВВС. Уже изготовленные машины доделывались и переоборудовались. </w:t>
      </w:r>
    </w:p>
    <w:p w14:paraId="63A86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Эскадрилье по штату полагалось иметь дюжину ТБ-3 плюс три Р-5 для тренировки и связи. Укомплектование одной тяжелобомбардировочной эскадрильи обходилось примерно в 8 миллионов рублей.</w:t>
      </w:r>
    </w:p>
    <w:p w14:paraId="4E54B0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пилотам тяжелых бомбардировщиков предъявляли очень высокие требования. Они обязательно должны были налетать значительное количество часов на биплане Р-5, затем на ТБ-1, причем на последнем - на правом и левом сиденьях. Затем полагалось 18 полетов с инструктором на ТБ-3. Командирам самолетов кроме этого, предписывались длительные тренировки на правом сиденье ТБ-3 в качестве вторых пилотов. И вдобавок командиру предъявлялось требование о наличии партийного стажа. На практике оказалось, что эта сложная и громоздкая система сдерживает освоение новых бомбардировщиков. Нужного количества пилотов, соответствующих всем требованиям, просто не оказалось. Да и тех, кого нашли, пришлось пропускать через долгую процедуру тренировок. В результате боеспособных самолетов стало существенно больше, чем подготовленного летного состава. Кроме этого, длительное обучение поглощало моторесурс и горючее. Пришлось понизить требования по налету и сократить программу тренировок, поскольку к 1 января 1933 г. требовалось по плану подготовить 200 экипажей.</w:t>
      </w:r>
    </w:p>
    <w:p w14:paraId="2203D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Тяжелобомбардировочные эскадрильи объединялись в бригады. Бригада полного состава в то время уже имела четыре эскадрильи ТБ-3 или три ТБ-3 и одну ТБ-1 (всего 49 машин), эскадрилью "крейсеров" Р-6 (12 самолетов) для дальнего сопровождения и разведки и эскадрилью истребителей И-5 (31 штуку) для прикрытия аэродромов и эскорта близ линии фронта. Таким образом, создавалась стройная структура стратегической авиации. Все это делалось впервые в мире. Бригады обычно сначала формировались из двух эскадрилий, а потом разворачивались до полного состава (12024).</w:t>
      </w:r>
    </w:p>
    <w:p w14:paraId="0941C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CEC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г. с одним из первых серийных самолетов ознакомили в Монино командный состав ВВС Московского военного округа. Это не было случайным. Именно 17-й авиабригаде в Монино предстояло первой осваивать ТБ-3. Это соединение, вооруженное ТБ-1, уже имело опыт эксплуатации тяжелых цельнометаллических машин, и можно было рассчитывать, что оно быстрее достигнет стадии боеспособности. Далее предполагалось начать формирование четырех эскадрилий 26-й бригады в Сеще и трех - 30-й в Ржеве. Далее на повестке дня стояли 11 -я бригада в Воронеже, 20-я в Харькове и 27-я в Ростове-на-Дону. Это все в Европейской части страны. На Дальнем Востоке и в Забайкалье предполагалось сформировать четыре бригады - две в Бочкарево, одну в Хабаровске и одну в Никольск-Уссурийске.</w:t>
      </w:r>
    </w:p>
    <w:p w14:paraId="2A2BB3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1-й квартал 1932 г. до строевых частей добрались лишь пять ТБ-3. Производство развертывалось медленнее, чем рассчитывали, что тормозило первооружение ВВС. Уже изготовленные машины доделывались и переоборудовались.</w:t>
      </w:r>
    </w:p>
    <w:p w14:paraId="6989F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Эскадрилье по штату полагалось иметь дюжину ТБ-3 плюс три Р-5 для тренировки и связи. Укомплектование одной тяжелобомбардировочной эскадрильи обходилось примерно в 8 миллионов рублей.</w:t>
      </w:r>
    </w:p>
    <w:p w14:paraId="6DBD5C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пилотам тяжелых бомбардировщиков предъявляли очень высокие требования. Они обязательно должны были налетать значительное количество часов на Р-5 и ТБ-1, причем на последнем - на правом и левом сиденьях. Затем полагалось 18 полетов с инструктором на ТБ-3. Командирам самолетов, кроме этого, предписывались длительные тренировки на правом сиденье ТБ-3 в качестве вторых пилотов. И вдобавок командиру предъявлялось требование о наличии партийного стажа. На практике оказалось, что эта сложная и громоздкая система сдерживает освоение новых бомбардировщиков. Нужного количества пилотов, соответствующих всем требованиям, просто не оказалось.</w:t>
      </w:r>
    </w:p>
    <w:p w14:paraId="149A00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боеспособных самолетов стало существенно больше, чем подготовленного летного состава. Кроме этого, длительное обучение поглощало моторесурс и горючее. Пришлось понизить требования по налету и сократить программу тренировок, поскольку к 1 января 1933 г. требовалось по плану подготовить 200 экипажей (12036).</w:t>
      </w:r>
    </w:p>
    <w:p w14:paraId="730CD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868713"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апреля 1932 г. с одним из первых серийных самолетов ТБ-3 ознакомили в Монино командный состав ВВС Московского воен</w:t>
      </w:r>
      <w:r w:rsidRPr="00142305">
        <w:rPr>
          <w:rFonts w:ascii="Times New Roman" w:hAnsi="Times New Roman"/>
          <w:color w:val="0070C0"/>
          <w:sz w:val="16"/>
          <w:szCs w:val="16"/>
        </w:rPr>
        <w:softHyphen/>
        <w:t>ного округа. Это не было случайным. Имен</w:t>
      </w:r>
      <w:r w:rsidRPr="00142305">
        <w:rPr>
          <w:rFonts w:ascii="Times New Roman" w:hAnsi="Times New Roman"/>
          <w:color w:val="0070C0"/>
          <w:sz w:val="16"/>
          <w:szCs w:val="16"/>
        </w:rPr>
        <w:softHyphen/>
        <w:t>но 17-й авиабригаде в Монино предстояло первой осваивать ТБ-3. Это соединение, вооруженное ТБ-1, уже имело опыт экс</w:t>
      </w:r>
      <w:r w:rsidRPr="00142305">
        <w:rPr>
          <w:rFonts w:ascii="Times New Roman" w:hAnsi="Times New Roman"/>
          <w:color w:val="0070C0"/>
          <w:sz w:val="16"/>
          <w:szCs w:val="16"/>
        </w:rPr>
        <w:softHyphen/>
        <w:t>плуатации тяжелых цельнометаллических машин, и рассчитывали, что оно быстрее достигнет стадии боеспособности. Далее предполагалось начать формирование четырех эскадрилий 26-й бригады в Сеще и трех - 30-й в Ржеве. За ними на повест</w:t>
      </w:r>
      <w:r w:rsidRPr="00142305">
        <w:rPr>
          <w:rFonts w:ascii="Times New Roman" w:hAnsi="Times New Roman"/>
          <w:color w:val="0070C0"/>
          <w:sz w:val="16"/>
          <w:szCs w:val="16"/>
        </w:rPr>
        <w:softHyphen/>
        <w:t>ке дня стояли 11-я бригада в Воронеже, 20-я в Харькове и 27-я в Ростове-на-Дону. На Дальнем Востоке и в Забайкалье пред</w:t>
      </w:r>
      <w:r w:rsidRPr="00142305">
        <w:rPr>
          <w:rFonts w:ascii="Times New Roman" w:hAnsi="Times New Roman"/>
          <w:color w:val="0070C0"/>
          <w:sz w:val="16"/>
          <w:szCs w:val="16"/>
        </w:rPr>
        <w:softHyphen/>
        <w:t>полагалось сформировать четыре брига</w:t>
      </w:r>
      <w:r w:rsidRPr="00142305">
        <w:rPr>
          <w:rFonts w:ascii="Times New Roman" w:hAnsi="Times New Roman"/>
          <w:color w:val="0070C0"/>
          <w:sz w:val="16"/>
          <w:szCs w:val="16"/>
        </w:rPr>
        <w:softHyphen/>
        <w:t>ды - две в Бочкарево, одну - в Хабаровске и одну - в Никольск-Уссурийске.</w:t>
      </w:r>
    </w:p>
    <w:p w14:paraId="19F8C1F1"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первый квартал 1932 г. до строевых частей добрались лишь пять ТБ-3 (24938).</w:t>
      </w:r>
    </w:p>
    <w:p w14:paraId="7734EC73" w14:textId="77777777" w:rsidR="00A8197F" w:rsidRPr="00142305" w:rsidRDefault="00A8197F" w:rsidP="00A8197F">
      <w:pPr>
        <w:spacing w:after="0" w:line="240" w:lineRule="auto"/>
        <w:jc w:val="both"/>
        <w:rPr>
          <w:rFonts w:ascii="Times New Roman" w:hAnsi="Times New Roman"/>
          <w:color w:val="0070C0"/>
          <w:sz w:val="16"/>
          <w:szCs w:val="16"/>
        </w:rPr>
      </w:pPr>
    </w:p>
    <w:p w14:paraId="445FF6EE" w14:textId="77777777" w:rsidR="00A8197F" w:rsidRPr="00142305" w:rsidRDefault="00A8197F" w:rsidP="00A8197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апреля 1932 г. с одним из первых серийных самоле</w:t>
      </w:r>
      <w:r w:rsidRPr="00142305">
        <w:rPr>
          <w:rFonts w:ascii="Times New Roman" w:hAnsi="Times New Roman"/>
          <w:color w:val="0070C0"/>
          <w:sz w:val="16"/>
          <w:szCs w:val="16"/>
        </w:rPr>
        <w:softHyphen/>
        <w:t>тов ТБ-3 ознакомили в Монино командный состав ВВС Московс</w:t>
      </w:r>
      <w:r w:rsidRPr="00142305">
        <w:rPr>
          <w:rFonts w:ascii="Times New Roman" w:hAnsi="Times New Roman"/>
          <w:color w:val="0070C0"/>
          <w:sz w:val="16"/>
          <w:szCs w:val="16"/>
        </w:rPr>
        <w:softHyphen/>
        <w:t>кого военного округа. Эго не было случайным. Именно 17-й авиабригаде в Монино предстояло первой осваивать ТБ-3. Это соединение, вооруженное ТБ-l, уже имело опыт эксплу</w:t>
      </w:r>
      <w:r w:rsidRPr="00142305">
        <w:rPr>
          <w:rFonts w:ascii="Times New Roman" w:hAnsi="Times New Roman"/>
          <w:color w:val="0070C0"/>
          <w:sz w:val="16"/>
          <w:szCs w:val="16"/>
        </w:rPr>
        <w:softHyphen/>
        <w:t>атации тяжелых цельнометаллических машин, и можно было рассчитывать, что оно быстрее достигнет стадии боеспособ</w:t>
      </w:r>
      <w:r w:rsidRPr="00142305">
        <w:rPr>
          <w:rFonts w:ascii="Times New Roman" w:hAnsi="Times New Roman"/>
          <w:color w:val="0070C0"/>
          <w:sz w:val="16"/>
          <w:szCs w:val="16"/>
        </w:rPr>
        <w:softHyphen/>
        <w:t>ности. Далее предполагалось начать формирование четырех эскадрилий 26-й бригады в Сеще и трех — 30-й в Ржеве. Далее на повестке дня стояли ll-я бригада в Воронеже, 20-я в Харь</w:t>
      </w:r>
      <w:r w:rsidRPr="00142305">
        <w:rPr>
          <w:rFonts w:ascii="Times New Roman" w:hAnsi="Times New Roman"/>
          <w:color w:val="0070C0"/>
          <w:sz w:val="16"/>
          <w:szCs w:val="16"/>
        </w:rPr>
        <w:softHyphen/>
        <w:t xml:space="preserve">кове и 27-я в Ростове-на-Дону. Эго все в Европейской части страны. На Дальнем Востоке и в Забайкалье предполагалось сформировать четыре бригады — два в Бочкарево, одну </w:t>
      </w:r>
      <w:r w:rsidRPr="00142305">
        <w:rPr>
          <w:rFonts w:ascii="Times New Roman" w:hAnsi="Times New Roman"/>
          <w:smallCaps/>
          <w:color w:val="0070C0"/>
          <w:sz w:val="16"/>
          <w:szCs w:val="16"/>
        </w:rPr>
        <w:t>в</w:t>
      </w:r>
      <w:r w:rsidRPr="00142305">
        <w:rPr>
          <w:rFonts w:ascii="Times New Roman" w:hAnsi="Times New Roman"/>
          <w:color w:val="0070C0"/>
          <w:sz w:val="16"/>
          <w:szCs w:val="16"/>
        </w:rPr>
        <w:t xml:space="preserve"> Ха</w:t>
      </w:r>
      <w:r w:rsidRPr="00142305">
        <w:rPr>
          <w:rFonts w:ascii="Times New Roman" w:hAnsi="Times New Roman"/>
          <w:color w:val="0070C0"/>
          <w:sz w:val="16"/>
          <w:szCs w:val="16"/>
        </w:rPr>
        <w:softHyphen/>
        <w:t>баровске и одну в Никольск-Уссурийске (24977).</w:t>
      </w:r>
    </w:p>
    <w:p w14:paraId="3090EBBE" w14:textId="77777777" w:rsidR="00A8197F" w:rsidRPr="00142305" w:rsidRDefault="00A8197F" w:rsidP="00A8197F">
      <w:pPr>
        <w:spacing w:after="0" w:line="240" w:lineRule="auto"/>
        <w:jc w:val="both"/>
        <w:rPr>
          <w:rFonts w:ascii="Times New Roman" w:hAnsi="Times New Roman"/>
          <w:color w:val="0070C0"/>
          <w:sz w:val="16"/>
          <w:szCs w:val="16"/>
        </w:rPr>
      </w:pPr>
    </w:p>
    <w:p w14:paraId="4EDEB6E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11CB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D90BB1" w14:textId="77777777" w:rsidR="00D50769" w:rsidRPr="00E93F40" w:rsidRDefault="00D50769"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rPr>
        <w:t>1 апреля 1932 г. в решениях Политбюро ЦК ВКП(б) по товарам широкого потребления указывается, что для потребностей гражданского рынка на предприятиях ВООМП в 1931 г. было изготовлено 10 тыс. биноклей, и указывается на возможность производства в 1932 г. еще 18 тыс. экземпляров (22788).</w:t>
      </w:r>
    </w:p>
    <w:p w14:paraId="5FA279AA" w14:textId="77777777" w:rsidR="00D50769" w:rsidRPr="00E93F40" w:rsidRDefault="00D50769" w:rsidP="00E93F40">
      <w:pPr>
        <w:spacing w:after="0" w:line="240" w:lineRule="auto"/>
        <w:jc w:val="both"/>
        <w:rPr>
          <w:rFonts w:ascii="Times New Roman" w:hAnsi="Times New Roman"/>
          <w:color w:val="000000" w:themeColor="text1"/>
          <w:sz w:val="16"/>
          <w:szCs w:val="16"/>
          <w:lang w:eastAsia="ru-RU" w:bidi="ru-RU"/>
        </w:rPr>
      </w:pPr>
    </w:p>
    <w:p w14:paraId="55769405" w14:textId="4EF9BCD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апреля 1932 года </w:t>
      </w:r>
      <w:r w:rsidR="00D50769" w:rsidRPr="00E93F40">
        <w:rPr>
          <w:rFonts w:ascii="Times New Roman" w:hAnsi="Times New Roman"/>
          <w:color w:val="000000" w:themeColor="text1"/>
          <w:sz w:val="16"/>
          <w:szCs w:val="16"/>
        </w:rPr>
        <w:t>д</w:t>
      </w:r>
      <w:r w:rsidRPr="00E93F40">
        <w:rPr>
          <w:rFonts w:ascii="Times New Roman" w:hAnsi="Times New Roman"/>
          <w:color w:val="000000" w:themeColor="text1"/>
          <w:sz w:val="16"/>
          <w:szCs w:val="16"/>
        </w:rPr>
        <w:t>ля обслуживания нужд Дальстроя в рабочей силе приказом ОГПУ № 287с был организован Северо-Восточный лагерь ОГПУ с дислокацией управления в поселке Средникан (7560).</w:t>
      </w:r>
    </w:p>
    <w:p w14:paraId="41195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8103D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17C868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B647F8" w14:textId="77777777" w:rsidR="00D50769" w:rsidRPr="00E93F40" w:rsidRDefault="00D5076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апреля 1932 Hillman's Airways начинает свои первые регулярные рейсы между Ромфордом и Клактон-он-Си, Англия, на самолетах de Havilland Puss Moth и de Havilland Fox Moth (20803). </w:t>
      </w:r>
    </w:p>
    <w:p w14:paraId="31F40389" w14:textId="77777777" w:rsidR="00D50769" w:rsidRPr="00E93F40" w:rsidRDefault="00D50769" w:rsidP="00E93F40">
      <w:pPr>
        <w:spacing w:after="0" w:line="240" w:lineRule="auto"/>
        <w:jc w:val="both"/>
        <w:rPr>
          <w:rFonts w:ascii="Times New Roman" w:hAnsi="Times New Roman"/>
          <w:color w:val="000000" w:themeColor="text1"/>
          <w:sz w:val="16"/>
          <w:szCs w:val="16"/>
        </w:rPr>
      </w:pPr>
    </w:p>
    <w:p w14:paraId="6140B5F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 немецкие нацисты объявили бойкот магазинов евреев (4962).</w:t>
      </w:r>
    </w:p>
    <w:p w14:paraId="0A9199E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AE0B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81C324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C1F7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апреля 1932 года выписка из протокола № 11КО</w:t>
      </w:r>
    </w:p>
    <w:p w14:paraId="084F5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Вооружение самолета ТБ-3.</w:t>
      </w:r>
    </w:p>
    <w:p w14:paraId="6716C5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 Каганович Л., Александров (РКИ).</w:t>
      </w:r>
    </w:p>
    <w:p w14:paraId="6FB59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Поручить комиссии в составе Тухачевского (председатель), Баранова, Куйбышева Н., Алксниса и Меженинова, на основе обмена мнений проработать вопросы вооружения самолета ТБ-3, обратив внимание на связь внутри самолета, прицельные приспособления, бомбодержатели, крупнокалиберные пулеметы, пушку Курчевского и наметить мероприятия по постановке внутреннего производства всего необходимого.</w:t>
      </w:r>
    </w:p>
    <w:p w14:paraId="25055C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Предложения представить на утверждение КО 19 апреля 1932 года (7429, 31).</w:t>
      </w:r>
    </w:p>
    <w:p w14:paraId="59AD06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EFAC3B" w14:textId="08615DE6" w:rsidR="00DA309B" w:rsidRPr="00E93F40" w:rsidRDefault="00DA309B"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 апреля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г. М.Н. Тухачевский в послании В.М. Молотову писал: «В области авиации применение жидкостного реактивного мотора… в конечном итоге разрешит задачу полётов в стратосфере. Генеральные штабы за границей прекрасно учитывают эти перспективы, засекречивая малейшие достижения в этой области для использования их по военной линии» </w:t>
      </w:r>
      <w:hyperlink r:id="rId88" w:history="1">
        <w:r w:rsidRPr="00E93F40">
          <w:rPr>
            <w:rFonts w:ascii="Times New Roman" w:eastAsia="Times New Roman" w:hAnsi="Times New Roman"/>
            <w:color w:val="000000" w:themeColor="text1"/>
            <w:sz w:val="16"/>
            <w:szCs w:val="16"/>
            <w:lang w:eastAsia="ru-RU"/>
          </w:rPr>
          <w:t>[259]</w:t>
        </w:r>
      </w:hyperlink>
      <w:r w:rsidRPr="00E93F40">
        <w:rPr>
          <w:rFonts w:ascii="Times New Roman" w:eastAsia="Times New Roman" w:hAnsi="Times New Roman"/>
          <w:color w:val="000000" w:themeColor="text1"/>
          <w:sz w:val="16"/>
          <w:szCs w:val="16"/>
          <w:lang w:eastAsia="ru-RU"/>
        </w:rPr>
        <w:t xml:space="preserve"> (17489).</w:t>
      </w:r>
    </w:p>
    <w:p w14:paraId="4EAF301F" w14:textId="77777777" w:rsidR="00DA309B" w:rsidRPr="00E93F40" w:rsidRDefault="00DA309B" w:rsidP="00E93F40">
      <w:pPr>
        <w:spacing w:after="0" w:line="240" w:lineRule="auto"/>
        <w:jc w:val="both"/>
        <w:rPr>
          <w:rFonts w:ascii="Times New Roman" w:eastAsia="Times New Roman" w:hAnsi="Times New Roman"/>
          <w:color w:val="000000" w:themeColor="text1"/>
          <w:sz w:val="16"/>
          <w:szCs w:val="16"/>
          <w:lang w:eastAsia="ru-RU"/>
        </w:rPr>
      </w:pPr>
    </w:p>
    <w:p w14:paraId="31D5E330"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475/1О5сс о систематической разгрузке с объявлением мобилизации и во время войны г. Ленинграда (ГА РФ. Ф. Р?8418. Оп. 28. Д. 146. Л. 52?56) (12415).</w:t>
      </w:r>
    </w:p>
    <w:p w14:paraId="75797EAD"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З06/110сс об оборудовании воздушных линий ГУГВФ на Дальнем Востоке и о строительстве авиаремонтного завода в г. Хабаровск (12415).</w:t>
      </w:r>
    </w:p>
    <w:p w14:paraId="50FDB5AC"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307/111сс о развитии базы опытного стального самолета и моторостроения ГУГВФ (ГА РФ. Ф. Р?8418. Оп. 28. Д. 1а. Л. 193?195) (12415).</w:t>
      </w:r>
    </w:p>
    <w:p w14:paraId="302F6705"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308/112ссс о развитии авиаремонтной сети (ГА РФ. Ф. Р?8418. Оп. 28. Д. 1а. Л. 1196) (12415).</w:t>
      </w:r>
    </w:p>
    <w:p w14:paraId="258FF4FF"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p>
    <w:p w14:paraId="1EB6A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апреля 1932 П.И.Б. выступая на заседании 3 Пленума ЦК Союза работников автотракторной и авиационной промышленности (РАТАП), обсуждавшим планы 2 пятилетки. "...Здесь следует указать на проблему газотурбины, проблему паросиловой установки, проблему реактивного двигателя" и "...наконец ряд проблемных задач - сверхскоростные самолеты (высота 15 тыс. м), самолет типа утки, самолет с реактивным двигателем и т.д...." (371,54).</w:t>
      </w:r>
    </w:p>
    <w:p w14:paraId="6133C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F8A9CC" w14:textId="77777777" w:rsidR="008458CF" w:rsidRPr="00E93F40" w:rsidRDefault="00845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 апреля 1932 Пурмаль, ставший первым начальником Дирижаблестроя, подписал приказ о приёме итальянского консультанта Нобиле на работу считая с 1 марта, то есть задним числом:</w:t>
      </w:r>
    </w:p>
    <w:p w14:paraId="6096DAD6" w14:textId="77777777" w:rsidR="008458CF" w:rsidRPr="00E93F40" w:rsidRDefault="00845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 1. Вследствие выявившейся необходимости теснее увязать между собой работу чисто технических секторов Дирижаблестроя, особенно в связи с возрастающими темпами развёртывания советского дирижаблестроения, создать Технический отдел Дирижаблестроя, включив в него Конструкторский, Эксплуатационный и Производственный сектор с находящимися в ведении последнего Механическими и Баллонно-бодрюшными мастерскими.</w:t>
      </w:r>
    </w:p>
    <w:p w14:paraId="16563AF5" w14:textId="77777777" w:rsidR="008458CF" w:rsidRPr="00E93F40" w:rsidRDefault="00845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 2. Начальником Технического отдела назначаю инженера У. В. Нобиле с окладом 1100 руб., считая с 1 марта с. г. ...</w:t>
      </w:r>
    </w:p>
    <w:p w14:paraId="05207C1C" w14:textId="77777777" w:rsidR="008458CF" w:rsidRPr="00E93F40" w:rsidRDefault="00845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Итальянской группе отвели на Долгопрудной двухэтажный домик - обычный засыпной, зато отдельный. Кстати, он простоял около четверти века и ещё долгое время после отъезда южных гостей назывался в народе «Итальянским».</w:t>
      </w:r>
    </w:p>
    <w:p w14:paraId="4A45ED00" w14:textId="77777777" w:rsidR="008458CF" w:rsidRPr="00E93F40" w:rsidRDefault="00845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Самого же начальника технического отдела Дирижаблестроя разместили в центре Москвы, на Мясницкой улице. Так было удобно и Гольцману, чья контора располагалась на Никольской, и чекистам. Вероятно, квартира просто принадлежала этому ведомству, со всеми вытекающими последствиями. Сам Нобиле прекрасно понимал, что жил «непосредственно под благожелательным пристальным взглядом ОГПУ».</w:t>
      </w:r>
    </w:p>
    <w:p w14:paraId="77A206FE" w14:textId="77777777" w:rsidR="008458CF" w:rsidRPr="00E93F40" w:rsidRDefault="00845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таком выборе места жительства был и другой смысл, сугубо производственный. Долгопрудная в то время представляла собой настоящий остров, в тёплое время года отрезанный от материка непролазными грязями, зимой - снежными заносами. Поначалу база даже не имела с Москвой телефонной связи, и чтобы передать туда самые простые указания, приходилось ехать на автомобиле или поезде, который ходил три-четыре раза в день. Отправить Нобиле в «долгопрудненскую ссылку» означало надолго потерять его как наставника для советских инженеров (23192).</w:t>
      </w:r>
    </w:p>
    <w:p w14:paraId="1DF330FE" w14:textId="159B74E2" w:rsidR="008458CF" w:rsidRPr="00E93F40" w:rsidRDefault="008458CF" w:rsidP="00E93F40">
      <w:pPr>
        <w:spacing w:after="0" w:line="240" w:lineRule="auto"/>
        <w:jc w:val="both"/>
        <w:rPr>
          <w:rFonts w:ascii="Times New Roman" w:hAnsi="Times New Roman"/>
          <w:color w:val="000000" w:themeColor="text1"/>
          <w:sz w:val="16"/>
          <w:szCs w:val="16"/>
        </w:rPr>
      </w:pPr>
    </w:p>
    <w:p w14:paraId="07DFCD69" w14:textId="76169A69" w:rsidR="008458CF" w:rsidRPr="00E93F40" w:rsidRDefault="008458CF"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066BEB50" w14:textId="77777777" w:rsidR="008458CF" w:rsidRPr="00E93F40" w:rsidRDefault="008458CF" w:rsidP="00E93F40">
      <w:pPr>
        <w:spacing w:after="0" w:line="240" w:lineRule="auto"/>
        <w:jc w:val="both"/>
        <w:rPr>
          <w:rFonts w:ascii="Times New Roman" w:hAnsi="Times New Roman"/>
          <w:i/>
          <w:iCs/>
          <w:color w:val="000000" w:themeColor="text1"/>
          <w:sz w:val="16"/>
          <w:szCs w:val="16"/>
        </w:rPr>
      </w:pPr>
    </w:p>
    <w:p w14:paraId="5A3B1D69" w14:textId="77777777" w:rsidR="008458CF" w:rsidRPr="00E93F40" w:rsidRDefault="00845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апреля 1932 г. Начальник ВВС в приказе № 034 (Архив ЦДА и К. Ф. 50. Оп. 1. Д. 3. Лл. 29-32.) подвел итоги парашютных занятий и учений 1931 года. В приказе отмечено, что ПДО, обученный прыжкам в ЛВО, показал на окружных маневрах ЛВО и УВО неплохое знание своего дела. Особое внимание в приказе НВВС было уделено ряду недостатков как в парашютной работе в 1931 году, так и особенно при проведении десантных операций. Среди них подверглась критике высадка парашютных десантов в одиночку, что сильно удлиняет срок высадки десантов, демаскирует место высадки и распыляет десантный отряд. Кроме того, опыт по изготовлению парашютов на отечественных заводах из более дешевых материалов: нансук, перкаль и других хлопчатобумажных тканей, вполне пригодных для ПДО, так как не требуется плотной укладки парашюта и его долгого хранения в «запечатанном» виде, не используется. Среди замечаний отмечалось отсутствие отдельных типов парашютов для летчиков, десантников и других специалистов, а общий тип парашюта не может всех удовлетворить, так как у всех работа и условия работы разные. То же самое относилось и к костюму десантника, удобного как для работы на земле (подвеска гранат на поясе, перетаскивание динамита и пироксилиновых шашек и т.д.), так и в воздухе при прыжках. Предлагалось также разработать тип парашюта, позволяющий регулировать скорость падения и изменять направление движения парашютиста и др. (21402).</w:t>
      </w:r>
    </w:p>
    <w:p w14:paraId="28E41877" w14:textId="77777777" w:rsidR="008458CF" w:rsidRPr="00E93F40" w:rsidRDefault="008458CF" w:rsidP="00E93F40">
      <w:pPr>
        <w:spacing w:after="0" w:line="240" w:lineRule="auto"/>
        <w:jc w:val="both"/>
        <w:rPr>
          <w:rFonts w:ascii="Times New Roman" w:hAnsi="Times New Roman"/>
          <w:color w:val="000000" w:themeColor="text1"/>
          <w:sz w:val="16"/>
          <w:szCs w:val="16"/>
        </w:rPr>
      </w:pPr>
    </w:p>
    <w:p w14:paraId="1ACB188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C77DFB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CF05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 и 8 апреля 1932. Из протокола заседания Политбюро № 95, 1932 г.</w:t>
      </w:r>
    </w:p>
    <w:p w14:paraId="2A031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хищениях и злоупотреблениях в системе Москоопхлеба </w:t>
      </w:r>
    </w:p>
    <w:p w14:paraId="54671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Мосгоркому ВКП(б) и ПП ОГПУ Московской области тов. Агранову представить в ЦК небольшую записку о тех каналах, по которым расхищается хлеб, и о тех конкретных мерах, которые приняты и должны быть приняты для прекращения хищения хлеба, а также доложить о мерах наказания спекулянтов и расхитителей, включая сюда и провинившихся коммунистов (11652).</w:t>
      </w:r>
    </w:p>
    <w:p w14:paraId="126240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46BB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 и 8 апреля 1932. Из протокола заседания Политбюро № 95, 1932 г.</w:t>
      </w:r>
    </w:p>
    <w:p w14:paraId="5A95D8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розничной торговле колхозов </w:t>
      </w:r>
    </w:p>
    <w:p w14:paraId="41AC1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что колхозы, расположенные в стокилометровой зоне вокруг Москвы и Ленинграда, могут теперь же торговать по ценам несколько выше кооперативных, прочие колхозы — по кооперативным продажным ценам (11652).</w:t>
      </w:r>
    </w:p>
    <w:p w14:paraId="02040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973F4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B6356E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096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 и 8 апреля 1932. Из протокола заседания Политбюро № 94, 1932 г.</w:t>
      </w:r>
    </w:p>
    <w:p w14:paraId="1BC1B8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конференции по разоружению </w:t>
      </w:r>
    </w:p>
    <w:p w14:paraId="71D2F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Принять с поправками предложения НКИД... </w:t>
      </w:r>
    </w:p>
    <w:p w14:paraId="4473F0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Делегация высказывается и голосует против отмены обязательной воинской повинности, аргументируя, между прочим, оторванностью профессиональных армий от населения, облегчающей использование их для внутренних целей. </w:t>
      </w:r>
    </w:p>
    <w:p w14:paraId="2EF08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Делегации не соглашаться на сокращение срока военной службы. </w:t>
      </w:r>
    </w:p>
    <w:p w14:paraId="5BEC2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Делегация должна поддержать предложение о полном упразднении военной авиации или по крайней мере об упразднении бомбардировочной авиации... (11652).</w:t>
      </w:r>
    </w:p>
    <w:p w14:paraId="0CA43A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6A0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 и 8 апреля 1932. Из протокола заседания Политбюро № 95, 1932 г.</w:t>
      </w:r>
    </w:p>
    <w:p w14:paraId="66AFA0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вербовке рабочей силы за границей </w:t>
      </w:r>
    </w:p>
    <w:p w14:paraId="7ABE9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Не возражать против вербовки Наркомтяжпромом в Германии и Австрии 1420 квалифицированных рабочих, 100 человек среднетехнического персонала и 230 инженеров-угольщиков для работы в Кузбассе на безвалютных условиях. </w:t>
      </w:r>
    </w:p>
    <w:p w14:paraId="7C90E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Обязать Наркомтяжпром производить вербовку отдельными небольшими группами в 10-15 человек, не форсируя ее. </w:t>
      </w:r>
    </w:p>
    <w:p w14:paraId="5F133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Жестко обусловить въезд иностранных рабочих и специалистов в СССР наличием жилищ для них и указанием места работы и специальности для каждого из завербованных рабочих и специалистов (11652).</w:t>
      </w:r>
    </w:p>
    <w:p w14:paraId="7EAE77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268A13" w14:textId="77777777" w:rsidR="004949ED"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F8BB979" w14:textId="77777777" w:rsidR="004949ED" w:rsidRPr="00E93F40" w:rsidRDefault="004949E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56FDC4"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апреля в 1932 году польский легкий транспортный самолет </w:t>
      </w:r>
      <w:hyperlink r:id="rId89" w:tgtFrame="_blank" w:history="1">
        <w:r w:rsidRPr="00E93F40">
          <w:rPr>
            <w:rFonts w:ascii="Times New Roman" w:hAnsi="Times New Roman"/>
            <w:color w:val="000000" w:themeColor="text1"/>
            <w:sz w:val="16"/>
            <w:szCs w:val="16"/>
          </w:rPr>
          <w:t xml:space="preserve">«PZL-16» </w:t>
        </w:r>
      </w:hyperlink>
      <w:r w:rsidRPr="00E93F40">
        <w:rPr>
          <w:rFonts w:ascii="Times New Roman" w:hAnsi="Times New Roman"/>
          <w:color w:val="000000" w:themeColor="text1"/>
          <w:sz w:val="16"/>
          <w:szCs w:val="16"/>
        </w:rPr>
        <w:t xml:space="preserve">был приготовлен для полетных испытаний. Однако после нескольких секунд работы двигателя самолет завалился на крыло. Восстанавливать прототип никто не стал, сосредоточившись на работе над следующим проектом «PZL-17». «PZL-16» был разработан в </w:t>
      </w:r>
      <w:r w:rsidRPr="00E93F40">
        <w:rPr>
          <w:rFonts w:ascii="Times New Roman" w:hAnsi="Times New Roman"/>
          <w:color w:val="000000" w:themeColor="text1"/>
          <w:sz w:val="16"/>
          <w:szCs w:val="16"/>
        </w:rPr>
        <w:lastRenderedPageBreak/>
        <w:t>первой половине 1931 года в конструкторском бюро «PZL» как проект легкого пятиместного пассажирского и транспортного самолета. Главным инженером был Станислав Праусс (15087).</w:t>
      </w:r>
    </w:p>
    <w:p w14:paraId="6A524BDA" w14:textId="77777777" w:rsidR="004949ED" w:rsidRPr="00E93F40" w:rsidRDefault="004949ED" w:rsidP="00E93F40">
      <w:pPr>
        <w:spacing w:after="0" w:line="240" w:lineRule="auto"/>
        <w:jc w:val="both"/>
        <w:rPr>
          <w:rFonts w:ascii="Times New Roman" w:hAnsi="Times New Roman"/>
          <w:color w:val="000000" w:themeColor="text1"/>
          <w:sz w:val="16"/>
          <w:szCs w:val="16"/>
        </w:rPr>
      </w:pPr>
    </w:p>
    <w:p w14:paraId="7234C99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E26155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0EB8D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года был подготовлен Отчет по испытаниям самолета Р5 № 4629 (эталон на 1932 год) на штопор</w:t>
      </w:r>
    </w:p>
    <w:p w14:paraId="3DD646D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60691A3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 – Жемчужин</w:t>
      </w:r>
    </w:p>
    <w:p w14:paraId="3B1FCE4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 Байдуков</w:t>
      </w:r>
    </w:p>
    <w:p w14:paraId="4E3A58C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2F6BDCD3"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Выяснение при каких условиях центровки самолет Р5 входит в штопор.</w:t>
      </w:r>
    </w:p>
    <w:p w14:paraId="58035607"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Имеет ли самолет тенденцию срываться в штопор при нормальных ошибках пилотирования.</w:t>
      </w:r>
    </w:p>
    <w:p w14:paraId="1308406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Определение характера штопора для варианта разведчика.</w:t>
      </w:r>
    </w:p>
    <w:p w14:paraId="3E9BA4E8"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нужно выводить самолет из штопора после двух витков (6961).</w:t>
      </w:r>
    </w:p>
    <w:p w14:paraId="74122AED"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05AD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года начальник ВВС Алкснис писал письмо N 038184 председателю РВС.</w:t>
      </w:r>
    </w:p>
    <w:p w14:paraId="0CD814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58A51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3 апреля с.г.</w:t>
      </w:r>
    </w:p>
    <w:p w14:paraId="50F8A3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1 сдан НИИ ВВС.</w:t>
      </w:r>
    </w:p>
    <w:p w14:paraId="6D9B12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NN 1, 2, 3, 4 заправляются горючим для перегонки на Центральный аэродром и передачи в НИИ ВВС (3027).</w:t>
      </w:r>
    </w:p>
    <w:p w14:paraId="71340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7F03F2"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года был осмотрен и утвержден макетной комиссией макет дублера АНТ-21.</w:t>
      </w:r>
    </w:p>
    <w:p w14:paraId="0CC7543A"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были получены результаты испытаний опытного самолета МИ-3, и особенно после его аварии и последующих расследований, на дублере были произведены значительные конструктивные изменения.</w:t>
      </w:r>
    </w:p>
    <w:p w14:paraId="55F6EB8B"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переделаны:</w:t>
      </w:r>
    </w:p>
    <w:p w14:paraId="7CB70F5B"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Хвостовая часть фюзеляжа.</w:t>
      </w:r>
    </w:p>
    <w:p w14:paraId="15D50A6D"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Концевые обтекатели отъемных частей крыла.</w:t>
      </w:r>
    </w:p>
    <w:p w14:paraId="28FDAE86"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Центроплан.</w:t>
      </w:r>
    </w:p>
    <w:p w14:paraId="271D03A1"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Оперение.</w:t>
      </w:r>
    </w:p>
    <w:p w14:paraId="1F20ECC4"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w:t>
      </w:r>
    </w:p>
    <w:p w14:paraId="4D27D44C"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Моторное оборудование и т.д.</w:t>
      </w:r>
    </w:p>
    <w:p w14:paraId="0C085130"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Стрелковое вооружение самолета состояло из пяти огневых точек:</w:t>
      </w:r>
    </w:p>
    <w:p w14:paraId="361F4F4B"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Носовая установка с пушкой Эрликон.</w:t>
      </w:r>
    </w:p>
    <w:p w14:paraId="6A31B434"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Крыльевые пулеметные установки с двумя ПВ-1.</w:t>
      </w:r>
    </w:p>
    <w:p w14:paraId="0FDB256E"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Задняя верхняя установка с пулеметом ШКАС.</w:t>
      </w:r>
    </w:p>
    <w:p w14:paraId="6537AE12"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Люковая установка с пулеметом ДА.</w:t>
      </w:r>
    </w:p>
    <w:p w14:paraId="241DE2D3" w14:textId="77777777" w:rsidR="009A3249" w:rsidRPr="00E93F40" w:rsidRDefault="009A324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переделки задержали плановый срок выпуска самолета с 1-го сентября 1933 г до 15-го января 1934 г. (24198).</w:t>
      </w:r>
    </w:p>
    <w:p w14:paraId="29937CEA" w14:textId="77777777" w:rsidR="009A3249" w:rsidRPr="00E93F40" w:rsidRDefault="009A3249" w:rsidP="00E93F40">
      <w:pPr>
        <w:spacing w:after="0" w:line="240" w:lineRule="auto"/>
        <w:jc w:val="both"/>
        <w:rPr>
          <w:rFonts w:ascii="Times New Roman" w:hAnsi="Times New Roman"/>
          <w:color w:val="000000" w:themeColor="text1"/>
          <w:sz w:val="16"/>
          <w:szCs w:val="16"/>
        </w:rPr>
      </w:pPr>
    </w:p>
    <w:p w14:paraId="74F25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Р.П.Эйдеман сменил И.С.Уншлихта на посту председателя Осоавиахима (117,6) 19 апреля 1932 - постановление РВС было одобрено Комиссией Обороны.</w:t>
      </w:r>
    </w:p>
    <w:p w14:paraId="114708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ЦК выступал В.М.Молотов. Рассказал о результатах работы комиссии ЦК ВКП(б) по обследованию Осоавиахима (371,53).</w:t>
      </w:r>
    </w:p>
    <w:p w14:paraId="6D2282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420C43"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опросом членов ПБ</w:t>
      </w:r>
    </w:p>
    <w:p w14:paraId="19DD4E6B"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38/8.- Вопросы ГУГВФ.</w:t>
      </w:r>
    </w:p>
    <w:p w14:paraId="5A162C45"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постройку в районе г. Хабаровска ремзавода ассигновать в распоряжение нач. ГУГВФ т. Гольцмана 16 млн. руб.и валюты на импорт станков, оборудования и инструмента 10 тыс. руб., а также увеличить ГУГВФ импорт</w:t>
      </w:r>
      <w:r w:rsidRPr="00E93F40">
        <w:rPr>
          <w:rFonts w:ascii="Times New Roman" w:hAnsi="Times New Roman"/>
          <w:color w:val="000000" w:themeColor="text1"/>
          <w:sz w:val="16"/>
          <w:szCs w:val="16"/>
        </w:rPr>
        <w:softHyphen/>
        <w:t>ный контингент на 400 тыс. руб. Поручить Наркомвнешторгу немедленно заказать в Италии 6 самолетов 2-х лодоч</w:t>
      </w:r>
      <w:r w:rsidRPr="00E93F40">
        <w:rPr>
          <w:rFonts w:ascii="Times New Roman" w:hAnsi="Times New Roman"/>
          <w:color w:val="000000" w:themeColor="text1"/>
          <w:sz w:val="16"/>
          <w:szCs w:val="16"/>
        </w:rPr>
        <w:softHyphen/>
        <w:t>ной системы типа С-55 с 2 моторами АССО каждый, со 100% запасом моторо-рессурса, а ГУГВФ по получении этих са</w:t>
      </w:r>
      <w:r w:rsidRPr="00E93F40">
        <w:rPr>
          <w:rFonts w:ascii="Times New Roman" w:hAnsi="Times New Roman"/>
          <w:color w:val="000000" w:themeColor="text1"/>
          <w:sz w:val="16"/>
          <w:szCs w:val="16"/>
        </w:rPr>
        <w:softHyphen/>
        <w:t>молетов немедленно открыть на них движение по Приморской линии.</w:t>
      </w:r>
    </w:p>
    <w:p w14:paraId="1FAD4542"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Разрешить ГУГВФ выписать из САСШ специальное электросварочное оборудование на 20 тыс. руб. в валюте.</w:t>
      </w:r>
    </w:p>
    <w:p w14:paraId="5546C7EC"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Рудзутаку, Ворошилову, Гольцману.</w:t>
      </w:r>
    </w:p>
    <w:p w14:paraId="17708580"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состоялось заседание ПБ (Протокол № 95) (23041).</w:t>
      </w:r>
    </w:p>
    <w:p w14:paraId="52BE2E08" w14:textId="77777777" w:rsidR="00F05737" w:rsidRPr="00E93F40" w:rsidRDefault="00F05737" w:rsidP="00E93F40">
      <w:pPr>
        <w:spacing w:after="0" w:line="240" w:lineRule="auto"/>
        <w:jc w:val="both"/>
        <w:rPr>
          <w:rFonts w:ascii="Times New Roman" w:hAnsi="Times New Roman"/>
          <w:color w:val="000000" w:themeColor="text1"/>
          <w:sz w:val="16"/>
          <w:szCs w:val="16"/>
        </w:rPr>
      </w:pPr>
    </w:p>
    <w:p w14:paraId="2D050D5C"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апреля 1932 года члены Политбюро решили:</w:t>
      </w:r>
    </w:p>
    <w:p w14:paraId="35DE5A63"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На постройку в районе г. Хабаровска ремзавода ассигновать в распоряжение начальника ГУГВФ т. Гольцмана 16 млн. руб. и валюты на импорт станков, оборудования и инструмента 10 тыс. руб., а также увеличить ГУГВФ импортный контингент на 400 тыс. руб. Поручить Наркомвнешторгу немедленно заказать в Италии 6 самолетов 2</w:t>
      </w:r>
      <w:r w:rsidRPr="00142305">
        <w:rPr>
          <w:rFonts w:ascii="Times New Roman" w:hAnsi="Times New Roman"/>
          <w:color w:val="0070C0"/>
          <w:sz w:val="16"/>
          <w:szCs w:val="16"/>
        </w:rPr>
        <w:noBreakHyphen/>
        <w:t>х лодочной системы типа С</w:t>
      </w:r>
      <w:r w:rsidRPr="00142305">
        <w:rPr>
          <w:rFonts w:ascii="Times New Roman" w:hAnsi="Times New Roman"/>
          <w:color w:val="0070C0"/>
          <w:sz w:val="16"/>
          <w:szCs w:val="16"/>
        </w:rPr>
        <w:noBreakHyphen/>
        <w:t>55 с 2 моторами АССО каждый, со 100% запасом моторо-ресурса, а ГУГВФ по получении этих самолетов немедленно открыть на них движение по Приморской линии.</w:t>
      </w:r>
    </w:p>
    <w:p w14:paraId="2E3E6B3F"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Разрешить ГУГВФ выписать из САСШ специальное электросварочное оборудование на 20 тыс. руб. в валюте» (25172).</w:t>
      </w:r>
    </w:p>
    <w:p w14:paraId="2BA51D37" w14:textId="77777777" w:rsidR="00311ADB" w:rsidRPr="00142305" w:rsidRDefault="00311ADB" w:rsidP="00311ADB">
      <w:pPr>
        <w:spacing w:after="0" w:line="240" w:lineRule="auto"/>
        <w:jc w:val="both"/>
        <w:rPr>
          <w:rFonts w:ascii="Times New Roman" w:hAnsi="Times New Roman"/>
          <w:color w:val="0070C0"/>
          <w:sz w:val="16"/>
          <w:szCs w:val="16"/>
        </w:rPr>
      </w:pPr>
    </w:p>
    <w:p w14:paraId="5FE6A8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года газета "Вечерняя Москва" сообщила, что Бюро воздушной техники ленинградского Осоавиахима конструирует первый советский бесхвостый самолет. Уничтожение хвоста значительно повышает летные качества самолета. Этот самолет сможет, имея малосильный мотор, лететь с большим грузом. Подъем самолета с земли будет производиться при помощи ракетного двигателя (11022).</w:t>
      </w:r>
    </w:p>
    <w:p w14:paraId="2ED129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2CC2A2" w14:textId="77777777" w:rsidR="004949E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5337F45" w14:textId="77777777" w:rsidR="004949ED" w:rsidRPr="00E93F40" w:rsidRDefault="004949E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A6394F"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 апреля</w:t>
      </w:r>
      <w:r w:rsidRPr="00E93F40">
        <w:rPr>
          <w:rFonts w:ascii="Times New Roman" w:hAnsi="Times New Roman"/>
          <w:color w:val="000000" w:themeColor="text1"/>
          <w:sz w:val="16"/>
          <w:szCs w:val="16"/>
        </w:rPr>
        <w:t xml:space="preserve"> в 1932 году запуск первой домны Кузнецкого металлургического комбината (15088).</w:t>
      </w:r>
    </w:p>
    <w:p w14:paraId="6AF14ADD" w14:textId="77777777" w:rsidR="004949ED" w:rsidRPr="00E93F40" w:rsidRDefault="004949ED" w:rsidP="00E93F40">
      <w:pPr>
        <w:spacing w:after="0" w:line="240" w:lineRule="auto"/>
        <w:jc w:val="both"/>
        <w:rPr>
          <w:rFonts w:ascii="Times New Roman" w:hAnsi="Times New Roman"/>
          <w:color w:val="000000" w:themeColor="text1"/>
          <w:sz w:val="16"/>
          <w:szCs w:val="16"/>
        </w:rPr>
      </w:pPr>
    </w:p>
    <w:p w14:paraId="45D1D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была запущена домна Кузнецкого меткомбината (3960, 131).</w:t>
      </w:r>
    </w:p>
    <w:p w14:paraId="1F5EE74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DC3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осуществлен запуск первой домны Кузнецкого металлургического комбината.</w:t>
      </w:r>
    </w:p>
    <w:p w14:paraId="1A640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4E21F3"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года вступила в строй первая домна Кузнецкого металлургического комбината.</w:t>
      </w:r>
    </w:p>
    <w:p w14:paraId="0C795F2B"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1930 года в праздничной обстановке был заложен фундамент доменной печи, а 1 апреля 1932 года в 3 часа 55 минут первая кузнецкая домна была задута. 3 апреля 1932 году был получен первый чугун.</w:t>
      </w:r>
    </w:p>
    <w:p w14:paraId="274499B6"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 выданный первой домной, разлили разливочной машиной и отправили в Москву. Участники торжества получили по плитке первого сибирского чугуна.</w:t>
      </w:r>
    </w:p>
    <w:p w14:paraId="0DC9B196"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 за первой печью через месяц пошла вторая. А вскоре выдал сталь мартен, затем запущен прокатный цех — вошли в строй действующих блюминг и рельсопрокатный стан.</w:t>
      </w:r>
    </w:p>
    <w:p w14:paraId="0DAE9280" w14:textId="77777777" w:rsidR="00F05737" w:rsidRPr="00E93F40" w:rsidRDefault="00F057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была произведена первая плавка в мартеновском цехе, в ноябре вступил в строй блюминг, а 30 декабря в рельсобалочном цехе была прокатана первая партия рельс. Таким образом в 1932 году комбинат вступил в строй. Он был построен за 1000 дней (21176).</w:t>
      </w:r>
    </w:p>
    <w:p w14:paraId="7D36E527" w14:textId="77777777" w:rsidR="00F05737" w:rsidRPr="00E93F40" w:rsidRDefault="00F05737" w:rsidP="00E93F40">
      <w:pPr>
        <w:spacing w:after="0" w:line="240" w:lineRule="auto"/>
        <w:jc w:val="both"/>
        <w:rPr>
          <w:rFonts w:ascii="Times New Roman" w:hAnsi="Times New Roman"/>
          <w:color w:val="000000" w:themeColor="text1"/>
          <w:sz w:val="16"/>
          <w:szCs w:val="16"/>
        </w:rPr>
      </w:pPr>
    </w:p>
    <w:p w14:paraId="0B97E37B" w14:textId="77777777" w:rsidR="004949E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CFE8A79" w14:textId="77777777" w:rsidR="004949ED" w:rsidRPr="00E93F40" w:rsidRDefault="004949E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1324E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русский хирург Ю. Вороной провел первую в мире операцию по пересадке почки (4962).</w:t>
      </w:r>
    </w:p>
    <w:p w14:paraId="757C007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BD9A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A49F3D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1CA2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апреля 1932 года начальник ВВС Алкснис писал письмо N 038186 председателю РВС.</w:t>
      </w:r>
    </w:p>
    <w:p w14:paraId="1F8B2F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399BBF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4 апреля с.г.</w:t>
      </w:r>
    </w:p>
    <w:p w14:paraId="2711A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NN 1, 2, 3 перегнаны на Центральный аэродром и переданы НИИ. На самолетах N 2 и N 3 не закончен монтаж вооружения.</w:t>
      </w:r>
    </w:p>
    <w:p w14:paraId="6BA50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4 подготовлен к перегонке на Центральный аэродром и передаче НИИ. Не закончен монтаж вооружения.</w:t>
      </w:r>
    </w:p>
    <w:p w14:paraId="342C8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5 во время сдаточного полета из-за отказа водяной помпы мотора сделал вынужденную посадку на Центральном аэродроме.</w:t>
      </w:r>
    </w:p>
    <w:p w14:paraId="2C41E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6 подготовлен к сдаточному полету.</w:t>
      </w:r>
    </w:p>
    <w:p w14:paraId="76B9F9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7 подготовлен к сдаточному полету (3027).</w:t>
      </w:r>
    </w:p>
    <w:p w14:paraId="579E1A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6F4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апреля 1932 был завершен аванпроект самолета "Электрон-1" (СК-7) (см. Приложение 1) (АМЖ, ф. 5300, № 10) (10676).</w:t>
      </w:r>
    </w:p>
    <w:p w14:paraId="328764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167396" w14:textId="1DF2D0B0" w:rsidR="00424ECB" w:rsidRPr="00E93F40" w:rsidRDefault="00424ECB" w:rsidP="00E93F40">
      <w:pPr>
        <w:pStyle w:val="rtejustify"/>
        <w:spacing w:before="0" w:after="0"/>
        <w:rPr>
          <w:color w:val="000000" w:themeColor="text1"/>
          <w:sz w:val="16"/>
          <w:szCs w:val="16"/>
        </w:rPr>
      </w:pPr>
      <w:r w:rsidRPr="00E93F40">
        <w:rPr>
          <w:rStyle w:val="af0"/>
          <w:i w:val="0"/>
          <w:color w:val="000000" w:themeColor="text1"/>
          <w:sz w:val="16"/>
          <w:szCs w:val="16"/>
        </w:rPr>
        <w:t>4</w:t>
      </w:r>
      <w:r w:rsidR="007C1411" w:rsidRPr="00E93F40">
        <w:rPr>
          <w:rStyle w:val="af0"/>
          <w:i w:val="0"/>
          <w:color w:val="000000" w:themeColor="text1"/>
          <w:sz w:val="16"/>
          <w:szCs w:val="16"/>
        </w:rPr>
        <w:t xml:space="preserve"> </w:t>
      </w:r>
      <w:r w:rsidRPr="00E93F40">
        <w:rPr>
          <w:rStyle w:val="af0"/>
          <w:i w:val="0"/>
          <w:color w:val="000000" w:themeColor="text1"/>
          <w:sz w:val="16"/>
          <w:szCs w:val="16"/>
        </w:rPr>
        <w:t>апреля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12.</w:t>
      </w:r>
      <w:r w:rsidRPr="00E93F40">
        <w:rPr>
          <w:color w:val="000000" w:themeColor="text1"/>
          <w:sz w:val="16"/>
          <w:szCs w:val="16"/>
        </w:rPr>
        <w:t xml:space="preserve"> 6.</w:t>
      </w:r>
      <w:r w:rsidR="007C1411" w:rsidRPr="00E93F40">
        <w:rPr>
          <w:color w:val="000000" w:themeColor="text1"/>
          <w:sz w:val="16"/>
          <w:szCs w:val="16"/>
        </w:rPr>
        <w:t xml:space="preserve"> </w:t>
      </w:r>
      <w:r w:rsidRPr="00E93F40">
        <w:rPr>
          <w:color w:val="000000" w:themeColor="text1"/>
          <w:sz w:val="16"/>
          <w:szCs w:val="16"/>
        </w:rPr>
        <w:t>План опытного самолето- и моторостроения на 1932</w:t>
      </w:r>
      <w:r w:rsidR="007C1411" w:rsidRPr="00E93F40">
        <w:rPr>
          <w:color w:val="000000" w:themeColor="text1"/>
          <w:sz w:val="16"/>
          <w:szCs w:val="16"/>
        </w:rPr>
        <w:t xml:space="preserve"> </w:t>
      </w:r>
      <w:r w:rsidRPr="00E93F40">
        <w:rPr>
          <w:color w:val="000000" w:themeColor="text1"/>
          <w:sz w:val="16"/>
          <w:szCs w:val="16"/>
        </w:rPr>
        <w:t>г. (Меженинов).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188) (12342).</w:t>
      </w:r>
    </w:p>
    <w:p w14:paraId="6B5CF6B0" w14:textId="77777777" w:rsidR="00424ECB" w:rsidRPr="00E93F40" w:rsidRDefault="00424ECB" w:rsidP="00E93F40">
      <w:pPr>
        <w:pStyle w:val="rtejustify"/>
        <w:spacing w:before="0" w:after="0"/>
        <w:rPr>
          <w:color w:val="000000" w:themeColor="text1"/>
          <w:sz w:val="16"/>
          <w:szCs w:val="16"/>
        </w:rPr>
      </w:pPr>
    </w:p>
    <w:p w14:paraId="6870BC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апреля 1932 года выписка из протокола № 12 заседания РВС</w:t>
      </w:r>
    </w:p>
    <w:p w14:paraId="48077F2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самолето- и моторостроения на 1932 год (к л.т. Наумова от 19 января 1932 года п. 8, пр. РВСС № 11 п. 4-32 г.).</w:t>
      </w:r>
    </w:p>
    <w:p w14:paraId="62A5D8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 Меженинов.</w:t>
      </w:r>
    </w:p>
    <w:p w14:paraId="0F81D8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Представленный план опытного самолето- и моторостроения в основном утвердить.</w:t>
      </w:r>
    </w:p>
    <w:p w14:paraId="035D31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Комиссии Тухачевского с приглашением Баранова и Орлова на основе происшедшего обмена мнений и последнего решения КО (от 2 апреля 1932 года) еще раз пересмотреть сроки опытных работ с задачей сосредоточения всех сил и средств на важнейших участках.</w:t>
      </w:r>
    </w:p>
    <w:p w14:paraId="29468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Этой же комиссии рассмотреть особо положение с опытным авиамоторостроением под углом принятых, но не выполненных решений КО от 27 июля 1931 года, установить причины невыполнения и наметить конкретные мероприятия, обеспечивающие необходимый сдвиг в этой решающей для боеспособности ВВС области.</w:t>
      </w:r>
    </w:p>
    <w:p w14:paraId="12F79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Разработанное постановление РВСС представить на утверждение пред. РВСС в трехдневный срок и внести на рассмотрение КО.</w:t>
      </w:r>
    </w:p>
    <w:p w14:paraId="3FD77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(Пометки: Меженинову. 1. Надо наметить те легкие машины и их моторы, в частности, истребители, на которые необходимо наседать – сроки сократить. 2. Разберитесь в тех решениях КО, которвые остаются невыполненными и причинах невыполнения – и результаты доложите. 12 апреля 1932 года. Алкснис.) (7431, 78).</w:t>
      </w:r>
    </w:p>
    <w:p w14:paraId="486C3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85117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AFCFDF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A7DBDA" w14:textId="77777777" w:rsidR="004949ED" w:rsidRPr="00E93F40" w:rsidRDefault="004949ED"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апреля 1932 запущена первая домна Кузнецкого металлургического комбината (4962).</w:t>
      </w:r>
    </w:p>
    <w:p w14:paraId="40A9FBFC" w14:textId="77777777" w:rsidR="004949ED" w:rsidRPr="00E93F40" w:rsidRDefault="004949ED"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34B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апреля 1932 была направлена телеграмма из Москвы на Дальний восток "№ 164. Гамарнику, Каттелю, Оксману. Окончательно решено, что Воронежская площадка отпадает. Надо строить в районе Пермско-Нижнетамбовская. Иное решение иск</w:t>
      </w:r>
      <w:r w:rsidRPr="00E93F40">
        <w:rPr>
          <w:rFonts w:ascii="Times New Roman" w:hAnsi="Times New Roman"/>
          <w:color w:val="000000" w:themeColor="text1"/>
          <w:sz w:val="16"/>
          <w:szCs w:val="16"/>
        </w:rPr>
        <w:softHyphen/>
        <w:t>лючено... Начинайте работу. Серго</w:t>
      </w:r>
      <w:r w:rsidRPr="00E93F40">
        <w:rPr>
          <w:rFonts w:ascii="Times New Roman" w:hAnsi="Times New Roman"/>
          <w:iCs/>
          <w:color w:val="000000" w:themeColor="text1"/>
          <w:sz w:val="16"/>
          <w:szCs w:val="16"/>
        </w:rPr>
        <w:t>"</w:t>
      </w:r>
      <w:r w:rsidRPr="00E93F40">
        <w:rPr>
          <w:rFonts w:ascii="Times New Roman" w:hAnsi="Times New Roman"/>
          <w:color w:val="000000" w:themeColor="text1"/>
          <w:sz w:val="16"/>
          <w:szCs w:val="16"/>
        </w:rPr>
        <w:t xml:space="preserve"> (3898).</w:t>
      </w:r>
    </w:p>
    <w:p w14:paraId="0595260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5E116B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7303B9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6B38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апреля 1932 была сформирована авиация ТОФ (2668).</w:t>
      </w:r>
    </w:p>
    <w:p w14:paraId="6C5E5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EAC4D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B8DD10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99F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апреля 1932 близ Роквелл, Нью Мексика, США, Robert Goddard осуществил очередной пуск ракеты и на ракете впервые была установлена гироскопическая система стабилизации (2990).</w:t>
      </w:r>
    </w:p>
    <w:p w14:paraId="6EA8BC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4D56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апреля 1932 Советское правительство Китая официально объявило войну Японии (3878,3).</w:t>
      </w:r>
    </w:p>
    <w:p w14:paraId="640BAF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686F3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апреля 1932 американский ученый С. Кинг впервые выделил витамин C (4962).</w:t>
      </w:r>
    </w:p>
    <w:p w14:paraId="548038B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0CE893"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4 апреля</w:t>
      </w:r>
      <w:r w:rsidRPr="00E93F40">
        <w:rPr>
          <w:rFonts w:ascii="Times New Roman" w:hAnsi="Times New Roman"/>
          <w:color w:val="000000" w:themeColor="text1"/>
          <w:sz w:val="16"/>
          <w:szCs w:val="16"/>
        </w:rPr>
        <w:t xml:space="preserve"> в 1932 году американский ученый С.Кинг впервые выделил витамин C. Двукратный нобелевский лауреат доктор Лайнус Полинг был первым, кто исследовал значение витамина С для иммунной системы. Еще в 1970 году он предположил, что регулярное употребление витамина С в больших дозах (значительно превышавших рекомендованные суточные дозы), может предотвращать и сокращать длительность простудных заболеваний. Хотя эта теория не была официально признана, было получено ее экспериментальное подтверждение, поскольку множество людей последовали рекомендациям доктора Полинга. Недавно проведенное медицинское исследование подтвердило, что высокие дозы витамина C не только заметно облегчают течение простуды, но и эффективно предотвращают вторичные вирусные или бактериальные осложнения (15089).</w:t>
      </w:r>
    </w:p>
    <w:p w14:paraId="4843214C" w14:textId="77777777" w:rsidR="004949ED" w:rsidRPr="00E93F40" w:rsidRDefault="004949ED" w:rsidP="00E93F40">
      <w:pPr>
        <w:spacing w:after="0" w:line="240" w:lineRule="auto"/>
        <w:jc w:val="both"/>
        <w:rPr>
          <w:rFonts w:ascii="Times New Roman" w:hAnsi="Times New Roman"/>
          <w:color w:val="000000" w:themeColor="text1"/>
          <w:sz w:val="16"/>
          <w:szCs w:val="16"/>
        </w:rPr>
      </w:pPr>
    </w:p>
    <w:p w14:paraId="52614EE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A1CDC2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36445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апреля 1932 года за № 516/120 вышло постановление СНК, которое обязало НКТП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серийном производстве (7439, 14).</w:t>
      </w:r>
    </w:p>
    <w:p w14:paraId="7CE7BF5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1A4B70F" w14:textId="77777777" w:rsidR="004D32A9" w:rsidRPr="00E93F40" w:rsidRDefault="004D32A9"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5 апреля 1932 года Решение Комиссии, оформленное постановлением СНК СССР, обязало Наркомат тяжелой промышленности (НКТП) принять дополнительный заказ на поставку Наркомату по Военным и Морским делам (НКВМ) 200 уже устаревших, но лучших на тот период самолетов И-5 и И-7. В то же время близилось к завершению согласование пятилетнего плана опытного строительства (19177).</w:t>
      </w:r>
    </w:p>
    <w:p w14:paraId="070FB2DD" w14:textId="77777777" w:rsidR="004D32A9" w:rsidRPr="00E93F40" w:rsidRDefault="004D32A9" w:rsidP="00E93F40">
      <w:pPr>
        <w:pStyle w:val="ae"/>
        <w:shd w:val="clear" w:color="auto" w:fill="FFFFFF"/>
        <w:spacing w:before="0" w:after="0"/>
        <w:jc w:val="both"/>
        <w:textAlignment w:val="baseline"/>
        <w:rPr>
          <w:color w:val="000000" w:themeColor="text1"/>
          <w:sz w:val="16"/>
          <w:szCs w:val="16"/>
        </w:rPr>
      </w:pPr>
    </w:p>
    <w:p w14:paraId="37E7CE43" w14:textId="77777777" w:rsidR="000A05C4" w:rsidRPr="00E93F40" w:rsidRDefault="000A05C4" w:rsidP="00E93F40">
      <w:pPr>
        <w:spacing w:after="0" w:line="240" w:lineRule="auto"/>
        <w:jc w:val="both"/>
        <w:rPr>
          <w:rFonts w:ascii="Times New Roman" w:hAnsi="Times New Roman"/>
          <w:color w:val="000000" w:themeColor="text1"/>
          <w:sz w:val="16"/>
          <w:szCs w:val="16"/>
        </w:rPr>
      </w:pPr>
      <w:bookmarkStart w:id="20" w:name="_Hlk153196605"/>
      <w:r w:rsidRPr="00E93F40">
        <w:rPr>
          <w:rFonts w:ascii="Times New Roman" w:hAnsi="Times New Roman"/>
          <w:color w:val="000000" w:themeColor="text1"/>
          <w:sz w:val="16"/>
          <w:szCs w:val="16"/>
        </w:rPr>
        <w:t>5 апреля 1932 г. Постановление Совета Народных Комиссаров СССР №516/120 обязало Наркомат тяжелой промышленности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серийном производстве» (24331).</w:t>
      </w:r>
    </w:p>
    <w:p w14:paraId="52E0A353" w14:textId="77777777" w:rsidR="000A05C4" w:rsidRPr="00E93F40" w:rsidRDefault="000A05C4" w:rsidP="00E93F40">
      <w:pPr>
        <w:spacing w:after="0" w:line="240" w:lineRule="auto"/>
        <w:jc w:val="both"/>
        <w:rPr>
          <w:rFonts w:ascii="Times New Roman" w:hAnsi="Times New Roman"/>
          <w:color w:val="000000" w:themeColor="text1"/>
          <w:sz w:val="16"/>
          <w:szCs w:val="16"/>
        </w:rPr>
      </w:pPr>
    </w:p>
    <w:bookmarkEnd w:id="20"/>
    <w:p w14:paraId="5C2554E7"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5 апреля 1932 года решение КО, оформ</w:t>
      </w:r>
      <w:r w:rsidRPr="00142305">
        <w:rPr>
          <w:rStyle w:val="aff"/>
          <w:rFonts w:ascii="Times New Roman" w:hAnsi="Times New Roman" w:cs="Times New Roman"/>
          <w:color w:val="0070C0"/>
          <w:spacing w:val="0"/>
          <w:sz w:val="16"/>
          <w:szCs w:val="16"/>
        </w:rPr>
        <w:softHyphen/>
        <w:t>ленное в виде постановления СНК за № 516/120 обязало НКТП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w:t>
      </w:r>
      <w:r w:rsidRPr="00142305">
        <w:rPr>
          <w:rStyle w:val="aff"/>
          <w:rFonts w:ascii="Times New Roman" w:hAnsi="Times New Roman" w:cs="Times New Roman"/>
          <w:color w:val="0070C0"/>
          <w:spacing w:val="0"/>
          <w:sz w:val="16"/>
          <w:szCs w:val="16"/>
        </w:rPr>
        <w:softHyphen/>
        <w:t>ном производстве НКТПром не только этот дополнительный заказ на истребители, но и основной заказ в 1932 году в значительной части не выполнил (25519).</w:t>
      </w:r>
    </w:p>
    <w:p w14:paraId="1F37014E" w14:textId="77777777" w:rsidR="00311ADB" w:rsidRPr="00142305" w:rsidRDefault="00311ADB" w:rsidP="00311ADB">
      <w:pPr>
        <w:widowControl w:val="0"/>
        <w:tabs>
          <w:tab w:val="left" w:pos="481"/>
        </w:tabs>
        <w:spacing w:after="0" w:line="240" w:lineRule="auto"/>
        <w:jc w:val="both"/>
        <w:rPr>
          <w:rStyle w:val="aff"/>
          <w:rFonts w:ascii="Times New Roman" w:hAnsi="Times New Roman" w:cs="Times New Roman"/>
          <w:color w:val="0070C0"/>
          <w:spacing w:val="0"/>
          <w:sz w:val="16"/>
          <w:szCs w:val="16"/>
        </w:rPr>
      </w:pPr>
    </w:p>
    <w:p w14:paraId="004D7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апреля 1932 года был подписан Протокол заседания комиссии по вооружению ТБ-3</w:t>
      </w:r>
    </w:p>
    <w:p w14:paraId="36F960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w:t>
      </w:r>
    </w:p>
    <w:p w14:paraId="17F2C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Существующее бомбовое вооружение самолетов, дающее общую бомбовую нагрузку 4 тонны и при перегрузке самолетов 5 тонн признать удовлетворительным в разных комбинациях и требующим лишь усовершенствования и механизации способов подвески бомб в целях получения возможности быстрого перехода от одной комбинации бомбовой нагрузки (в кассетах) к другой (бомбами, подвешенными на балках).</w:t>
      </w:r>
    </w:p>
    <w:p w14:paraId="574D72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Пулеметное вооружение самолетов (8 пулеметов) признать допустимым для настоящего времени, но требующим дальнейшего развития и дополнения вооружением пушечным.</w:t>
      </w:r>
    </w:p>
    <w:p w14:paraId="511D1E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Предусмотреть:</w:t>
      </w:r>
    </w:p>
    <w:p w14:paraId="65284D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скорейшее испытание тяжелой пушки на самолете</w:t>
      </w:r>
    </w:p>
    <w:p w14:paraId="5631E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применение в вооружении самолета крупнокалиберного пулемета (12,7 мм) и 20 мм автомата</w:t>
      </w:r>
    </w:p>
    <w:p w14:paraId="545F3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разработку установки телемеханически управляемых пулеметов в хвостовой части и на крыльях самолета</w:t>
      </w:r>
    </w:p>
    <w:p w14:paraId="6473B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разработку вооружения самолета реактивными снарядами</w:t>
      </w:r>
    </w:p>
    <w:p w14:paraId="471F5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разработку вооружения самолета пушками ДРП для обороны хвоста, установленными в хвостовой части и на крыльях.</w:t>
      </w:r>
    </w:p>
    <w:p w14:paraId="17CD6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Наличие средства связи считать неудовлетворительными. Необходимо снизить вес всей установки до 12-13 кг, обеспечивая связь 11 человек (3568,4).</w:t>
      </w:r>
    </w:p>
    <w:p w14:paraId="3E844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076F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5 апреля 1932 вышло постановление СТО за N 343/121сс:</w:t>
      </w:r>
    </w:p>
    <w:p w14:paraId="7F5C14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размере заказа Наркомвоенмора на аэродромно-самолетные средства радиосвязи на 1932 г.</w:t>
      </w:r>
    </w:p>
    <w:p w14:paraId="0A86C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Наркомат тяжелой промышленности под ответственность Жукова до 1.02.33 г. сдать НКВМ полностью 2183 радиостанции; из них 550 станций для тяжелой авиации.</w:t>
      </w:r>
    </w:p>
    <w:p w14:paraId="6EA70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1.02.33 г. получено 350 самолетных радиостанций (3082).</w:t>
      </w:r>
    </w:p>
    <w:p w14:paraId="1A017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3CEF0A"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5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343/121сс о размере заказа НКВМ на аэродромно-самолетные средства радиосвязи на 1932 г (12415).</w:t>
      </w:r>
    </w:p>
    <w:p w14:paraId="2AAB27E7"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342/120сс о дополнительном финансировании оборонных мероприятий (ГА РФ. Ф. Р?8418. Оп. 28. Д. 1а. Л. 199?200) (12415).</w:t>
      </w:r>
    </w:p>
    <w:p w14:paraId="03269786"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341/119сс о строительстве гаражей НКВМ в 1932 г (12415).</w:t>
      </w:r>
    </w:p>
    <w:p w14:paraId="7A8F918B"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СНК СССР № 515/120сс о состоянии и развитии противовоздушной и противохимической обороны СССР в 1932 г. (ГА РФ. Ф. Р?8418. Оп. 28. Д. 146. Л. 60?71) (12415).</w:t>
      </w:r>
    </w:p>
    <w:p w14:paraId="70CF8598"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p>
    <w:p w14:paraId="050AAB28" w14:textId="77777777" w:rsidR="008840A8" w:rsidRPr="00E93F40" w:rsidRDefault="008840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апреля 1932 г. поста</w:t>
      </w:r>
      <w:r w:rsidRPr="00E93F40">
        <w:rPr>
          <w:rFonts w:ascii="Times New Roman" w:hAnsi="Times New Roman"/>
          <w:color w:val="000000" w:themeColor="text1"/>
          <w:sz w:val="16"/>
          <w:szCs w:val="16"/>
        </w:rPr>
        <w:softHyphen/>
        <w:t>новление СНК СССР наметило комплексную программу военно-технических мероприятий для достижения перелома в совершенствовании ПВО страны уже текущем году. В процессе ре</w:t>
      </w:r>
      <w:r w:rsidRPr="00E93F40">
        <w:rPr>
          <w:rFonts w:ascii="Times New Roman" w:hAnsi="Times New Roman"/>
          <w:color w:val="000000" w:themeColor="text1"/>
          <w:sz w:val="16"/>
          <w:szCs w:val="16"/>
        </w:rPr>
        <w:softHyphen/>
        <w:t>шения этой задачи были сформированы первые учебные отряды АЗ в составе ПВО Москвы, Ле</w:t>
      </w:r>
      <w:r w:rsidRPr="00E93F40">
        <w:rPr>
          <w:rFonts w:ascii="Times New Roman" w:hAnsi="Times New Roman"/>
          <w:color w:val="000000" w:themeColor="text1"/>
          <w:sz w:val="16"/>
          <w:szCs w:val="16"/>
        </w:rPr>
        <w:softHyphen/>
        <w:t>нинграда и Баку. В 1932 г. изготовили 240 аэро</w:t>
      </w:r>
      <w:r w:rsidRPr="00E93F40">
        <w:rPr>
          <w:rFonts w:ascii="Times New Roman" w:hAnsi="Times New Roman"/>
          <w:color w:val="000000" w:themeColor="text1"/>
          <w:sz w:val="16"/>
          <w:szCs w:val="16"/>
        </w:rPr>
        <w:softHyphen/>
        <w:t>статов. Дальнейший рост их числа сдерживало производство лебёдок, которых изготовили счи</w:t>
      </w:r>
      <w:r w:rsidRPr="00E93F40">
        <w:rPr>
          <w:rFonts w:ascii="Times New Roman" w:hAnsi="Times New Roman"/>
          <w:color w:val="000000" w:themeColor="text1"/>
          <w:sz w:val="16"/>
          <w:szCs w:val="16"/>
        </w:rPr>
        <w:softHyphen/>
        <w:t>танные единицы.</w:t>
      </w:r>
    </w:p>
    <w:p w14:paraId="0554C971" w14:textId="77777777" w:rsidR="008840A8" w:rsidRPr="00E93F40" w:rsidRDefault="008840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установленным нормам, корпус ПВО прикрывал аэростатами площадь в 200</w:t>
      </w:r>
      <w:r w:rsidRPr="00E93F40">
        <w:rPr>
          <w:rFonts w:ascii="Times New Roman" w:hAnsi="Times New Roman"/>
          <w:color w:val="000000" w:themeColor="text1"/>
          <w:sz w:val="16"/>
          <w:szCs w:val="16"/>
        </w:rPr>
        <w:softHyphen/>
        <w:t>400 км2, а дивизия ПВО — до 75 км2. АЗ плани</w:t>
      </w:r>
      <w:r w:rsidRPr="00E93F40">
        <w:rPr>
          <w:rFonts w:ascii="Times New Roman" w:hAnsi="Times New Roman"/>
          <w:color w:val="000000" w:themeColor="text1"/>
          <w:sz w:val="16"/>
          <w:szCs w:val="16"/>
        </w:rPr>
        <w:softHyphen/>
        <w:t>ровалось использовать также для прикрытия отдельных, небольших по объёму, но важных в стратегическом отношении объектов, таких, как ГЭС, крупные мосты, железнодорожные узлы, тыловые базы и т.п.</w:t>
      </w:r>
    </w:p>
    <w:p w14:paraId="20C0B876" w14:textId="77777777" w:rsidR="008840A8" w:rsidRPr="00E93F40" w:rsidRDefault="008840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 Первой мировой войны показал, что эксплуатировать АЗ можно силами доброволь</w:t>
      </w:r>
      <w:r w:rsidRPr="00E93F40">
        <w:rPr>
          <w:rFonts w:ascii="Times New Roman" w:hAnsi="Times New Roman"/>
          <w:color w:val="000000" w:themeColor="text1"/>
          <w:sz w:val="16"/>
          <w:szCs w:val="16"/>
        </w:rPr>
        <w:softHyphen/>
        <w:t>цев и резервистов, поэтому аэростаты загра</w:t>
      </w:r>
      <w:r w:rsidRPr="00E93F40">
        <w:rPr>
          <w:rFonts w:ascii="Times New Roman" w:hAnsi="Times New Roman"/>
          <w:color w:val="000000" w:themeColor="text1"/>
          <w:sz w:val="16"/>
          <w:szCs w:val="16"/>
        </w:rPr>
        <w:softHyphen/>
        <w:t>ждения включали в систему не только ПВО, но и гражданской обороны. В конце 1920-х годов при Осоавиахиме создавались даже «воздухопла</w:t>
      </w:r>
      <w:r w:rsidRPr="00E93F40">
        <w:rPr>
          <w:rFonts w:ascii="Times New Roman" w:hAnsi="Times New Roman"/>
          <w:color w:val="000000" w:themeColor="text1"/>
          <w:sz w:val="16"/>
          <w:szCs w:val="16"/>
        </w:rPr>
        <w:softHyphen/>
        <w:t>вательные дружины» из 10 человек. Каждая дру</w:t>
      </w:r>
      <w:r w:rsidRPr="00E93F40">
        <w:rPr>
          <w:rFonts w:ascii="Times New Roman" w:hAnsi="Times New Roman"/>
          <w:color w:val="000000" w:themeColor="text1"/>
          <w:sz w:val="16"/>
          <w:szCs w:val="16"/>
        </w:rPr>
        <w:softHyphen/>
        <w:t>жина имела на вооружение два аэростата (20120).</w:t>
      </w:r>
    </w:p>
    <w:p w14:paraId="1C715A7D" w14:textId="77777777" w:rsidR="008840A8" w:rsidRPr="00E93F40" w:rsidRDefault="008840A8" w:rsidP="00E93F40">
      <w:pPr>
        <w:spacing w:after="0" w:line="240" w:lineRule="auto"/>
        <w:jc w:val="both"/>
        <w:rPr>
          <w:rFonts w:ascii="Times New Roman" w:hAnsi="Times New Roman"/>
          <w:color w:val="000000" w:themeColor="text1"/>
          <w:sz w:val="16"/>
          <w:szCs w:val="16"/>
        </w:rPr>
      </w:pPr>
    </w:p>
    <w:p w14:paraId="644511F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8CF841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2F0179" w14:textId="77777777" w:rsidR="008840A8" w:rsidRPr="00E93F40" w:rsidRDefault="008840A8" w:rsidP="00E93F40">
      <w:pPr>
        <w:pStyle w:val="Default"/>
        <w:jc w:val="both"/>
        <w:rPr>
          <w:color w:val="000000" w:themeColor="text1"/>
          <w:sz w:val="16"/>
          <w:szCs w:val="16"/>
        </w:rPr>
      </w:pPr>
      <w:r w:rsidRPr="00E93F40">
        <w:rPr>
          <w:color w:val="000000" w:themeColor="text1"/>
          <w:sz w:val="16"/>
          <w:szCs w:val="16"/>
        </w:rPr>
        <w:t xml:space="preserve">С 5 по 11 апреля 1932 г. специалистами группы «Д» был проведен второй этап испытаний МС-107, полученных от завода «Красный Октябрь» (108 шт. стволов, 97 шт. двуног, 107 шт. поддонов к ним). Их результат был аналогичен предыдущему – качество изготовления стволов и поддонов не вызвало никаких нареканий, в то время как 32 из 97 двуног получили </w:t>
      </w:r>
    </w:p>
    <w:p w14:paraId="2458391A" w14:textId="77777777" w:rsidR="008840A8" w:rsidRPr="00E93F40" w:rsidRDefault="008840A8"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повреждения и по окончании испытаний были направлены на завод – изготовитель. В целом, по итогам двух испытаний минометы, выдержавшие их, было рекомендовано использовать после их поступления в воинские части только в качестве учебных.385 </w:t>
      </w:r>
    </w:p>
    <w:p w14:paraId="6793727C" w14:textId="77777777" w:rsidR="008840A8" w:rsidRPr="00E93F40" w:rsidRDefault="008840A8" w:rsidP="00E93F40">
      <w:pPr>
        <w:spacing w:after="0" w:line="240" w:lineRule="auto"/>
        <w:jc w:val="both"/>
        <w:rPr>
          <w:rFonts w:ascii="Times New Roman" w:eastAsia="TimesNewRomanPSMT" w:hAnsi="Times New Roman"/>
          <w:color w:val="000000" w:themeColor="text1"/>
          <w:sz w:val="16"/>
          <w:szCs w:val="16"/>
        </w:rPr>
      </w:pPr>
      <w:r w:rsidRPr="00E93F40">
        <w:rPr>
          <w:rFonts w:ascii="Times New Roman" w:hAnsi="Times New Roman"/>
          <w:color w:val="000000" w:themeColor="text1"/>
          <w:sz w:val="16"/>
          <w:szCs w:val="16"/>
        </w:rPr>
        <w:t>Конструктивный потенциал имевшихся 107-мм минометов не позволял проводить полноценные полигонные испытания боеприпасов к ним, в связи с чем 29 марта 1932 г. НТК ВОХИМУ направило в АНИИ просьбу о разработке в срок до 1 мая 1932 г. опытного 107-мм гладкоствольного миномета на стационарном станке для испытаний мин и зарядов, предназначенных для данной системы. В основе его конструкции должна была лежать система Стокса.386 (20074).</w:t>
      </w:r>
    </w:p>
    <w:p w14:paraId="1E9BE94C" w14:textId="77777777" w:rsidR="008840A8" w:rsidRPr="00E93F40" w:rsidRDefault="008840A8" w:rsidP="00E93F40">
      <w:pPr>
        <w:spacing w:after="0" w:line="240" w:lineRule="auto"/>
        <w:jc w:val="both"/>
        <w:rPr>
          <w:rFonts w:ascii="Times New Roman" w:eastAsia="TimesNewRomanPSMT" w:hAnsi="Times New Roman"/>
          <w:color w:val="000000" w:themeColor="text1"/>
          <w:sz w:val="16"/>
          <w:szCs w:val="16"/>
        </w:rPr>
      </w:pPr>
    </w:p>
    <w:p w14:paraId="5C0BC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апреля 1932 г. было основано Отдельное КБ Артиллерийского управления РККА для проектирования артиллерийских приборов. В 1933г. ОКБ и ЭМ переименованы в Центральные оптико-электромеханические мастерские (ЦОЭММ) РККА, в 1935г. мастерские преобразованы в ЦНИЛВП, в 1939г. - в НИЛАП ГАУ РККА.</w:t>
      </w:r>
      <w:r w:rsidRPr="00E93F40">
        <w:rPr>
          <w:rFonts w:ascii="Times New Roman" w:hAnsi="Times New Roman"/>
          <w:color w:val="000000" w:themeColor="text1"/>
          <w:sz w:val="16"/>
          <w:szCs w:val="16"/>
          <w:vertAlign w:val="superscript"/>
        </w:rPr>
        <w:t>130</w:t>
      </w:r>
    </w:p>
    <w:p w14:paraId="4A428E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1930-е г. велась разработка звукоулавливателей для обнаружения самолетов. Лаборатория принимала участие в создании первых отечественных РЛС: линейной системы радиообнаружения РУС-1 «Ревень» (1937г., М.И. Куликов, пнв 10.09.1939г.), РУС-2 «Редут» (1940 г., А.Н. Шестаков). Начаты работы по когерентно- импульсным принципам защиты РЛС от помех.</w:t>
      </w:r>
    </w:p>
    <w:p w14:paraId="7654A9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1945г. НИЛАП преобразована в НИИАП РККА (НИИ-5 ААН, ГАУ МО, ГКРЭ, МРП, Отдельное КБ АУ РККА, Центральная НИЛ военных приборов (ЦНИЛВП) РККА, НИЛ артиллерийского приборостроения (НИЛАП) РККА, НИИ артиллерийского приборостроения (НИИАП) РККА, МВС, Институт радиолокации и приборостроения, Московский НИИ Приборной автоматики (МНИИПА) МРП, В-2655, ОАО «МНИИПА» /111250 г. Москва ул. Красноказарменная, 14А тел. 361-55-88, -92/), с 1946г. - в ведении созданной Академии артиллерийских наук (ААН). В 1947г. переименован в НИИ-5 ААН (употреблялось также название Институт радиолокации и приборостроения). С 1953г. НИИ-5 - в ведении ГАУ.</w:t>
      </w:r>
    </w:p>
    <w:p w14:paraId="28F13E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1946г. институт перепрофилирован на радиолокационную тематику, начаты НИОКР по созданию систем вооружения ПВО.</w:t>
      </w:r>
    </w:p>
    <w:p w14:paraId="49F3E0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ПСМ № 185-90сс от 2.02.1954г. пнв аппаратура наведения «Ясень». В соответствии с ПСМ № 816-489сс от 27.04.1955г. начата разработка первой в стране территориальной автоматизированной системы оповещения, управления и наведения истребительной авиации «Воздух-1»; в 1957г. она создана и пнв. 4.04.1957г. вышло постановление СМ СССР № 410-203 о дальнейших работах по системам «Воздух-1» и «Горизонт-1». В соответствии с ПСМ№ 1179-509 от 30.12.1961 г. подвижная система «Воздух-Ш» пнв.</w:t>
      </w:r>
    </w:p>
    <w:p w14:paraId="2BF80A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1960 г. институт определен головным по созданию единого комплекса средств автоматизации СУ войсками ПВО «Электрон». В соответствии с пост. СМ СССР от 30.06.1965г. институт определен головным по созданию комплекса аппаратуры для Центра Контроля космического пространства (ЦККП). В 1967г. институт определен головным по АСУ «Скат» для КИК. В 1970-е г. отвечал за наземные пункты автоматизированных систем управления ПВО. Создан первый отечественный </w:t>
      </w:r>
      <w:r w:rsidRPr="00E93F40">
        <w:rPr>
          <w:rFonts w:ascii="Times New Roman" w:hAnsi="Times New Roman"/>
          <w:color w:val="000000" w:themeColor="text1"/>
          <w:sz w:val="16"/>
          <w:szCs w:val="16"/>
          <w:lang w:val="en-US"/>
        </w:rPr>
        <w:t>PJI</w:t>
      </w:r>
      <w:r w:rsidRPr="00E93F40">
        <w:rPr>
          <w:rFonts w:ascii="Times New Roman" w:hAnsi="Times New Roman"/>
          <w:color w:val="000000" w:themeColor="text1"/>
          <w:sz w:val="16"/>
          <w:szCs w:val="16"/>
        </w:rPr>
        <w:t xml:space="preserve"> узел «Межа-1». В 1977г. институту поручено создание новой АСУ ПВО Москвы и Центрального промышленного района, система была создана и пнв.</w:t>
      </w:r>
    </w:p>
    <w:p w14:paraId="65C72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Созданы приборы и автоматизированные системы обработки информации и управления артиллерийским огнем, ракетным оружием, авиацией, РТ войсками. К 2000-м г. создано более 50 систем, принятых на вооружение.</w:t>
      </w:r>
    </w:p>
    <w:p w14:paraId="23D1E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Головное предприятие (2004г.) по созданию территориальных автоматизированных систем управления и комплексов средств автоматизации для ВВС, ВМФ, ПВО, ГА.</w:t>
      </w:r>
    </w:p>
    <w:p w14:paraId="46859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Выполнены НИР: «Луч» по определению возможности и пути создания АСУ ПВО с использованием ЭВМ; «Зажим» по созданию первой в мире самоходной зенитной установки, осуществлявшей стрельбу по самолетам во время движения; «Зеркало», «Лаплас», «Скат», «Аметист», «Донец».</w:t>
      </w:r>
    </w:p>
    <w:p w14:paraId="0D0369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1966г. НИИ-5 переименован в МНИИПА и передан в ведение МРП. Имел наименование «п/я В-2655». Входил в состав НПО «Протон».</w:t>
      </w:r>
      <w:r w:rsidRPr="00E93F40">
        <w:rPr>
          <w:rFonts w:ascii="Times New Roman" w:hAnsi="Times New Roman"/>
          <w:color w:val="000000" w:themeColor="text1"/>
          <w:sz w:val="16"/>
          <w:szCs w:val="16"/>
          <w:vertAlign w:val="superscript"/>
        </w:rPr>
        <w:t>104</w:t>
      </w:r>
      <w:r w:rsidRPr="00E93F40">
        <w:rPr>
          <w:rFonts w:ascii="Times New Roman" w:hAnsi="Times New Roman"/>
          <w:color w:val="000000" w:themeColor="text1"/>
          <w:sz w:val="16"/>
          <w:szCs w:val="16"/>
        </w:rPr>
        <w:t xml:space="preserve"> Входил в МФПГ «Оборонительные системы». В 2001 г. предприятие преобразовано в ОАО и вошло в состав Концерна «Алмаз-Антей». По решению правительства № 22-р от 9.01.2004г. и Указу Президента РФ № 1009 от 4.08.2004г. ОАО вошло в число стратегических оборонных предприятий.</w:t>
      </w:r>
    </w:p>
    <w:p w14:paraId="56F68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2008г. по заказу Концерна «Алмаз-Антей» разработана комплексная АСУ ПВО Сил воздушной обороны государств СНГ.</w:t>
      </w:r>
    </w:p>
    <w:p w14:paraId="4AFAE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(2001 г.)- 2000 чел.</w:t>
      </w:r>
    </w:p>
    <w:p w14:paraId="16A84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(1931 г.)- Г.С. Гойлов, (1941 г.-)- Л.К. Муравьев. Директор (-1954г.)- Л.К. Муравьев, (1960 г.)- А.Л. Лившиц, (1970-86г.)- г-л В.А. Шабалин, (1986г.-)- А.В. Грибов, (1996-2001 г.)- С.С. Свердлов. Гендиректор (2002- 06г.)- С.С. Свердлов, (12.2006г.-)- И.Р. Ашурбейли.</w:t>
      </w:r>
    </w:p>
    <w:p w14:paraId="50096D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зам. директора, гендиректора (1990 г.-)- С.С. Свердлов, (08.2007-09г.-)- Б.Ф. Чельцов. Зам. директора: по научной работе (1932-34г.)- Г.С. Гойлов, (1977г.-)- Ю.В. Асафьев, Н.В. Мохин, В.Н. Ревенко; по спецгематике (1963г.-)- г-м И.К. Филатов; (1970-е)- п И.К. Филатов, (1996г.-)- О.Н. Родин. Зам. гендиректора (2006-07г.-)- С.С. Свердлов.</w:t>
      </w:r>
    </w:p>
    <w:p w14:paraId="14B0E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 конструктор (1986-96г.)- А.В. Грибов, (1996-2007г.-)- Я.В. Безель. Ген. конструктор: комплекса «Электрон» (1960 г.-)- А.Л. Лившиц; территориальных АСУ ПВО (-1996г.)- А.В. Грибов; Единой автоматизированной РЛ системы ФСР, контроля воздушного пространства (2007г.)- Я.В. Безель; модернизации систем ПВО, головного участка ВКО Москвы (2007г.)- Я.В. Безель.</w:t>
      </w:r>
    </w:p>
    <w:p w14:paraId="621A1C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зам. ген. конструктора: (1998г.-)- В.В. Корниенко; комплекса «Электрон», АСУ «Луч-1» (1960-70 г.)- З.М. Бененсон.</w:t>
      </w:r>
    </w:p>
    <w:p w14:paraId="1ED21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Исполнительный директор (08.2007-09г.-)- Б.Ф. Чельцов.</w:t>
      </w:r>
    </w:p>
    <w:p w14:paraId="7C149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(1971 г.-)- А.Н. Коротоношко, (1977г.-)- Ю.В. Асафьев, (1990 г.-)- С.С. Свердлов, (1996г.-)- О.Н. Родин.</w:t>
      </w:r>
    </w:p>
    <w:p w14:paraId="3BE818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инженера- В.К. Жихарев.</w:t>
      </w:r>
    </w:p>
    <w:p w14:paraId="51EE6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Научный руководитель (1970-е)- Лившиц,</w:t>
      </w:r>
      <w:r w:rsidRPr="00E93F40">
        <w:rPr>
          <w:rFonts w:ascii="Times New Roman" w:hAnsi="Times New Roman"/>
          <w:color w:val="000000" w:themeColor="text1"/>
          <w:sz w:val="16"/>
          <w:szCs w:val="16"/>
          <w:vertAlign w:val="superscript"/>
        </w:rPr>
        <w:t>79</w:t>
      </w:r>
      <w:r w:rsidRPr="00E93F40">
        <w:rPr>
          <w:rFonts w:ascii="Times New Roman" w:hAnsi="Times New Roman"/>
          <w:color w:val="000000" w:themeColor="text1"/>
          <w:sz w:val="16"/>
          <w:szCs w:val="16"/>
        </w:rPr>
        <w:t xml:space="preserve"> (1996-2003г.-)- Я.В. Безель.</w:t>
      </w:r>
    </w:p>
    <w:p w14:paraId="40E752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конструкторы: (1953г.-)- А.Л. Лившиц («Каскад», «Воздух-1»), (1959г.-)- В.А. Шабалин («Межа»), (-1961- 61 г.-)- В.П. Тибилов («Каскад-М»), (1967г.)- Н.Н. Никитин («Скат»), (1967г.)- А.В. Кожухарев («Скат-Ц»), (1967г.)- В.А. Стекольников («Скат-П»), (-1970 г.)- А.Н. Коротоношко, (1971-75г.-)- Н.В. Мохин («Основа», «Байкал»), (-1975-83г.-)- С.В. Володин («Стрела», «Пирамида», «Протон», «Протон-М», «Универсал»), А.З. Минкин («Протон»), (1970-е)- И.К. Филатов («Скат»), (1991 г.)- В.К. Жихарев («Кварц», «Водичка», «Пицунда», «Фундамент», «Фундамент-Э»), А.З. Шостак («Гранит»), А.А. Кацоев («Байкал»), Я.В. Безель («Байкал», «Байкал-1, -1М, -1МЭ»), С.С. Высоцкий (комплекс аппаратуры ЦККП), В.Н. Ревенко (средства отображения для «Экран», Единой спутниковой системы связи, «Скат»), В.П. Тибилов; направления: УВД, ПИВП (1990 г.-)- Ю.В. Асафьев; ЕС ОрВД- Ю.В. Асафьев.</w:t>
      </w:r>
    </w:p>
    <w:p w14:paraId="05631C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1-е зам. гл. конструкторов: (1967г.)- Я.Я. Сиробаба («Скат»), Я.В. Безель («Нива», «Основа», «Основа-1», «Байкал», АСУ. ракетной системы ПВО Москвы), С.В. Володин («Луч-2, -3», РТЦ-13, -94, -94М), В.П. Тибилов (Э-500). Зам. гл. конструкторов: (1949-50 г.)- А.Л. Лившиц («Ясень-1»), (1963-77г.)- Н.В. Мохин («Межа»), (1965г.-)- А.Н. Коротоношко, (1965г.-)- О.Ю. Ланэ (комплекс аппаратуры ЦККП), (1967г.-)- Ю.В. Асафьев («Скат-2»), (1970-75г.)- И.Т. Шаповалов (АСУ РТЦ-94, «Луч-2»), (1980 г.-)- А.Н. Макаров («Луч-4»), Ю.М. Гиршович («Байкал»), В.К. Жихарев.</w:t>
      </w:r>
    </w:p>
    <w:p w14:paraId="46543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отделений: 1-го комплексного (-1995г.)- С.В. Володин; (-1945г.)- Л.Н. Лошаков; научно- координационного центра (2007г.)- В.В. Корниенко.</w:t>
      </w:r>
    </w:p>
    <w:p w14:paraId="28611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НИО- С.С. Свердлов; В.К. Жихарев, (1953г.-)- А.Л. Лившиц, (-1954г.)- Л.Н. Лошаков; (1964г.-)- В.Н. Ревенко, В.П. Тибилов.</w:t>
      </w:r>
    </w:p>
    <w:p w14:paraId="2FD71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отдела: С.В. Володин, В.В. Корниенко.</w:t>
      </w:r>
    </w:p>
    <w:p w14:paraId="6A499F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секторов: В.В. Корниенко, С.С. Свердлов.</w:t>
      </w:r>
    </w:p>
    <w:p w14:paraId="25716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Начальники лабораторий: моделирования системы наведения истребителей (1957г.-)- В.А. Шабалин; построения </w:t>
      </w:r>
      <w:r w:rsidRPr="00E93F40">
        <w:rPr>
          <w:rFonts w:ascii="Times New Roman" w:hAnsi="Times New Roman"/>
          <w:color w:val="000000" w:themeColor="text1"/>
          <w:sz w:val="16"/>
          <w:szCs w:val="16"/>
          <w:lang w:val="en-US"/>
        </w:rPr>
        <w:t>PJI</w:t>
      </w:r>
      <w:r w:rsidRPr="00E93F40">
        <w:rPr>
          <w:rFonts w:ascii="Times New Roman" w:hAnsi="Times New Roman"/>
          <w:color w:val="000000" w:themeColor="text1"/>
          <w:sz w:val="16"/>
          <w:szCs w:val="16"/>
        </w:rPr>
        <w:t xml:space="preserve"> поля АСУ «Луч-1» (1963-70 г.)- И. Т. Шаповалов; распространения и отражения сантиметровых волн (1945г.-)- </w:t>
      </w:r>
      <w:r w:rsidRPr="00E93F40">
        <w:rPr>
          <w:rFonts w:ascii="Times New Roman" w:hAnsi="Times New Roman"/>
          <w:color w:val="000000" w:themeColor="text1"/>
          <w:sz w:val="16"/>
          <w:szCs w:val="16"/>
          <w:lang w:val="en-US"/>
        </w:rPr>
        <w:t>JI</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H</w:t>
      </w:r>
      <w:r w:rsidRPr="00E93F40">
        <w:rPr>
          <w:rFonts w:ascii="Times New Roman" w:hAnsi="Times New Roman"/>
          <w:color w:val="000000" w:themeColor="text1"/>
          <w:sz w:val="16"/>
          <w:szCs w:val="16"/>
        </w:rPr>
        <w:t>. Лошаков; комплексной (-2000 г.)- В.А. Третьяков; С.В. Володин, В.К. Жихарев, С.С. Свердлов.</w:t>
      </w:r>
    </w:p>
    <w:p w14:paraId="0AE63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Научные руководители НИР: Ю.В. Асафьев, З.М. Бененсон («Зажим»), А.Л. Лившиц («Луч»), Г.Е. Маслов («Зеркало», «Лаплас»), Я.Я. Сиробаба («Скат»), В.П. Тибилов, И.Т. Шаповалов («Аметист», «Донец»).</w:t>
      </w:r>
    </w:p>
    <w:p w14:paraId="3D094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приборы управления артиллерийскими зенитными орудиями ПУАЗО-2, -3 для 85-мм орудий, ПУАЗО-ВЭП, -4, -5, -6 (1940-е); ЭВМ: «Спектр-4» для наведения перехватчиков (1960); специальное вычислительное устройство (СВУ) «Кристалл» 5Э94 (1962), спецвычислители СВ, СВ-1, -2, -3, -4, -ГУ (1976); управляющий вычислительный комплекс для ПВО «Гранит» 5Э75-П1 (1971), «Гранит» 5Э75-С1 (1973); маловысотный РЛ пост «Низина» (пнв в 1964г.), средних и больших высот «Низина-У» (1960-е); АСУ: наведением истребителей «Ясень-1» (пнв в 1950 г.), «Ясень-2» (пнв 2.02.1954г.), «Воздух-1» с аппаратурой «Каскад» для Т-3-51 и Т-3-8М (пнв в 1957г.), «Воздух-1П» (пнв 30.12.1961 г.), «Каскад-М», «Луч-1 для Т-ЗА-9 (1970), -2, -3, -4», система наведения для Як-35МВ; для КИК «Скат», «Скат-2»; «Каштан» (пнв в 1968г.), РТЦ-13, -94, -94М, «Пирамида»; для РТ войск: «Межа» (пнв в 1968г.), «Межа-1, -У, -М, -200», «Нива», «Основа», «Основа-1», «Поле», «Фундамент-Э» (1990-е); для КП тактического соединения «Протон» (1960-е), «Протон-М»; для КП ПВО «Универсал», «Универсал-1Э» (1990-е); КП зенитной ракетной бригады «Байкал», «Байкал-1, -1М, - 1Э, -1МЭ» (1990-е); централизованной ракетной системы ПВО Москвы «Кварц», «Кварц-1»; контроля использования воздушного пространства «Крым-Э» (1990-е); УВД ГА «Стрела» (1983); полка ПВО 54К6Е2 (1997);</w:t>
      </w:r>
      <w:r w:rsidRPr="00E93F40">
        <w:rPr>
          <w:rFonts w:ascii="Times New Roman" w:hAnsi="Times New Roman"/>
          <w:color w:val="000000" w:themeColor="text1"/>
          <w:sz w:val="16"/>
          <w:szCs w:val="16"/>
          <w:vertAlign w:val="superscript"/>
        </w:rPr>
        <w:t>63,101</w:t>
      </w:r>
      <w:r w:rsidRPr="00E93F40">
        <w:rPr>
          <w:rFonts w:ascii="Times New Roman" w:hAnsi="Times New Roman"/>
          <w:color w:val="000000" w:themeColor="text1"/>
          <w:sz w:val="16"/>
          <w:szCs w:val="16"/>
        </w:rPr>
        <w:t xml:space="preserve"> комплексы: СУ войсками ПВО «Электрон», аппаратуры ЦККП, «Экран», Единая спутниковая система связи; Единая система автоматизации НКУ КА «Простор»; Э-500, «Водичка», «Пицунда»; датчик скорости изображения для АФА «Ашафа-5».</w:t>
      </w:r>
      <w:r w:rsidRPr="00E93F40">
        <w:rPr>
          <w:rFonts w:ascii="Times New Roman" w:hAnsi="Times New Roman"/>
          <w:color w:val="000000" w:themeColor="text1"/>
          <w:sz w:val="16"/>
          <w:szCs w:val="16"/>
          <w:vertAlign w:val="superscript"/>
        </w:rPr>
        <w:t>130</w:t>
      </w:r>
    </w:p>
    <w:p w14:paraId="292801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АСУ: «Универсал-1Э» (2000-е), «Байкал-1Э, -1МЭ» (2000-е), «Фундамент-Э» (2000-е), «Крьм-Э» (2000-е) (11982).</w:t>
      </w:r>
    </w:p>
    <w:p w14:paraId="7EDE958B" w14:textId="77777777" w:rsidR="004949ED" w:rsidRPr="00E93F40" w:rsidRDefault="004949ED" w:rsidP="00E93F40">
      <w:pPr>
        <w:pStyle w:val="ae"/>
        <w:spacing w:before="0" w:after="0"/>
        <w:jc w:val="both"/>
        <w:rPr>
          <w:color w:val="000000" w:themeColor="text1"/>
          <w:sz w:val="16"/>
          <w:szCs w:val="16"/>
        </w:rPr>
      </w:pPr>
    </w:p>
    <w:p w14:paraId="3C1BFB65" w14:textId="3FF4B73D" w:rsidR="004949ED" w:rsidRPr="00E93F40" w:rsidRDefault="004949ED" w:rsidP="00E93F40">
      <w:pPr>
        <w:pStyle w:val="ae"/>
        <w:spacing w:before="0" w:after="0"/>
        <w:jc w:val="both"/>
        <w:rPr>
          <w:color w:val="000000" w:themeColor="text1"/>
          <w:sz w:val="16"/>
          <w:szCs w:val="16"/>
        </w:rPr>
      </w:pPr>
      <w:r w:rsidRPr="00E93F40">
        <w:rPr>
          <w:color w:val="000000" w:themeColor="text1"/>
          <w:sz w:val="16"/>
          <w:szCs w:val="16"/>
        </w:rPr>
        <w:t>5 апреля 1932</w:t>
      </w:r>
      <w:r w:rsidR="007C1411" w:rsidRPr="00E93F40">
        <w:rPr>
          <w:color w:val="000000" w:themeColor="text1"/>
          <w:sz w:val="16"/>
          <w:szCs w:val="16"/>
        </w:rPr>
        <w:t xml:space="preserve"> </w:t>
      </w:r>
      <w:r w:rsidRPr="00E93F40">
        <w:rPr>
          <w:color w:val="000000" w:themeColor="text1"/>
          <w:sz w:val="16"/>
          <w:szCs w:val="16"/>
        </w:rPr>
        <w:t>г., было принято постановление СНК №</w:t>
      </w:r>
      <w:r w:rsidR="007C1411" w:rsidRPr="00E93F40">
        <w:rPr>
          <w:color w:val="000000" w:themeColor="text1"/>
          <w:sz w:val="16"/>
          <w:szCs w:val="16"/>
        </w:rPr>
        <w:t xml:space="preserve"> </w:t>
      </w:r>
      <w:r w:rsidRPr="00E93F40">
        <w:rPr>
          <w:color w:val="000000" w:themeColor="text1"/>
          <w:sz w:val="16"/>
          <w:szCs w:val="16"/>
        </w:rPr>
        <w:t>516/120сс «О состоянии и развитии противовоздушной и противохимической обороны СССР в 1932</w:t>
      </w:r>
      <w:r w:rsidR="007C1411" w:rsidRPr="00E93F40">
        <w:rPr>
          <w:color w:val="000000" w:themeColor="text1"/>
          <w:sz w:val="16"/>
          <w:szCs w:val="16"/>
        </w:rPr>
        <w:t xml:space="preserve"> </w:t>
      </w:r>
      <w:r w:rsidRPr="00E93F40">
        <w:rPr>
          <w:color w:val="000000" w:themeColor="text1"/>
          <w:sz w:val="16"/>
          <w:szCs w:val="16"/>
        </w:rPr>
        <w:t>г.», в котором был сделан вывод, «что поступающие в 1932</w:t>
      </w:r>
      <w:r w:rsidR="007C1411" w:rsidRPr="00E93F40">
        <w:rPr>
          <w:color w:val="000000" w:themeColor="text1"/>
          <w:sz w:val="16"/>
          <w:szCs w:val="16"/>
        </w:rPr>
        <w:t xml:space="preserve"> </w:t>
      </w:r>
      <w:r w:rsidRPr="00E93F40">
        <w:rPr>
          <w:color w:val="000000" w:themeColor="text1"/>
          <w:sz w:val="16"/>
          <w:szCs w:val="16"/>
        </w:rPr>
        <w:t>г. на вооружение средства ПВО … не будут соответствовать минимальным требованиям, предъявляемым к современной системе ПВО». 1932</w:t>
      </w:r>
      <w:r w:rsidR="007C1411" w:rsidRPr="00E93F40">
        <w:rPr>
          <w:color w:val="000000" w:themeColor="text1"/>
          <w:sz w:val="16"/>
          <w:szCs w:val="16"/>
        </w:rPr>
        <w:t xml:space="preserve"> </w:t>
      </w:r>
      <w:r w:rsidRPr="00E93F40">
        <w:rPr>
          <w:color w:val="000000" w:themeColor="text1"/>
          <w:sz w:val="16"/>
          <w:szCs w:val="16"/>
        </w:rPr>
        <w:t>г. был объявлен годом решительного перелома в деле ПВО страны, годом мощного развития ее техники и резкого повышения уровня боевой подготовки.</w:t>
      </w:r>
    </w:p>
    <w:p w14:paraId="18881BF3" w14:textId="77777777" w:rsidR="004949ED" w:rsidRPr="00E93F40" w:rsidRDefault="004949ED" w:rsidP="00E93F40">
      <w:pPr>
        <w:pStyle w:val="ae"/>
        <w:spacing w:before="0" w:after="0"/>
        <w:jc w:val="both"/>
        <w:rPr>
          <w:color w:val="000000" w:themeColor="text1"/>
          <w:sz w:val="16"/>
          <w:szCs w:val="16"/>
        </w:rPr>
      </w:pPr>
      <w:r w:rsidRPr="00E93F40">
        <w:rPr>
          <w:color w:val="000000" w:themeColor="text1"/>
          <w:sz w:val="16"/>
          <w:szCs w:val="16"/>
        </w:rPr>
        <w:t>Нужны были новые пушки, прожектора, новые системы их наведения с помощью приборов управления артиллерийским зенитным огнем (ПУАЗО) и синхронно-силовых передач. Для оснащения зенитных батарей ПУАЗО в Москве было начато строительство специальных заводов.</w:t>
      </w:r>
    </w:p>
    <w:p w14:paraId="38A4ECFB" w14:textId="1FFFD20E" w:rsidR="004949ED" w:rsidRPr="00E93F40" w:rsidRDefault="004949ED" w:rsidP="00E93F40">
      <w:pPr>
        <w:pStyle w:val="ae"/>
        <w:spacing w:before="0" w:after="0"/>
        <w:jc w:val="both"/>
        <w:rPr>
          <w:color w:val="000000" w:themeColor="text1"/>
          <w:sz w:val="16"/>
          <w:szCs w:val="16"/>
        </w:rPr>
      </w:pPr>
      <w:r w:rsidRPr="00E93F40">
        <w:rPr>
          <w:color w:val="000000" w:themeColor="text1"/>
          <w:sz w:val="16"/>
          <w:szCs w:val="16"/>
        </w:rPr>
        <w:t>Новый комплекс предприятий намечалось завершить не позднее IV квартала 1932</w:t>
      </w:r>
      <w:r w:rsidR="007C1411" w:rsidRPr="00E93F40">
        <w:rPr>
          <w:color w:val="000000" w:themeColor="text1"/>
          <w:sz w:val="16"/>
          <w:szCs w:val="16"/>
        </w:rPr>
        <w:t xml:space="preserve"> </w:t>
      </w:r>
      <w:r w:rsidRPr="00E93F40">
        <w:rPr>
          <w:color w:val="000000" w:themeColor="text1"/>
          <w:sz w:val="16"/>
          <w:szCs w:val="16"/>
        </w:rPr>
        <w:t>г. Однако строительство завода «Радиоприбор» для выпуска комплектов телемеханической аппаратуры для управления по радио танками, катерами, и даже самолетами в 1932 году закончено не было, а остальные предприятия, как говорилось в документе, «не начаты строительством».</w:t>
      </w:r>
    </w:p>
    <w:p w14:paraId="2A241966" w14:textId="77777777" w:rsidR="004949ED" w:rsidRPr="00E93F40" w:rsidRDefault="004949ED" w:rsidP="00E93F40">
      <w:pPr>
        <w:pStyle w:val="ae"/>
        <w:spacing w:before="0" w:after="0"/>
        <w:jc w:val="both"/>
        <w:rPr>
          <w:color w:val="000000" w:themeColor="text1"/>
          <w:sz w:val="16"/>
          <w:szCs w:val="16"/>
        </w:rPr>
      </w:pPr>
      <w:r w:rsidRPr="00E93F40">
        <w:rPr>
          <w:color w:val="000000" w:themeColor="text1"/>
          <w:sz w:val="16"/>
          <w:szCs w:val="16"/>
        </w:rPr>
        <w:t>Земля, отведенная под строительство новых предприятий, первоначально предназначалась проектировщиками для второй очереди соцгородка Дангауэровки – жилого массива для рабочих стоявших недалеко электротехнических заводов. Проект получил рабочее название «Электрогородок», но так и не был реализован. Землю отдали под возведение упомянутых предприятий, которые, видимо по аналогии, поначалу имели адрес: Москва, шоссе Энтузиастов, Радиогородок. Позднее адрес поменялся на Центральный проезд, а еще позднее – на Авиамоторную улицу. Новый комплекс предприятий для разработки и производства изделий точной механики для военных и гражданских нужд в Москве должен был расширить производственные и научные возможности военного приборостроения на относительно удаленной от границы территории. Поблизости располагались прожекторный завод, «Фрезер», выпускавший прецизионный инструмент для производства точных приборов (и в том числе часов), и еще ряд оборонных заводов.</w:t>
      </w:r>
    </w:p>
    <w:p w14:paraId="45EF2B15" w14:textId="77777777" w:rsidR="004949ED" w:rsidRPr="00E93F40" w:rsidRDefault="004949ED" w:rsidP="00E93F40">
      <w:pPr>
        <w:pStyle w:val="ae"/>
        <w:spacing w:before="0" w:after="0"/>
        <w:jc w:val="both"/>
        <w:rPr>
          <w:color w:val="000000" w:themeColor="text1"/>
          <w:sz w:val="16"/>
          <w:szCs w:val="16"/>
        </w:rPr>
      </w:pPr>
      <w:r w:rsidRPr="00E93F40">
        <w:rPr>
          <w:color w:val="000000" w:themeColor="text1"/>
          <w:sz w:val="16"/>
          <w:szCs w:val="16"/>
        </w:rPr>
        <w:t>Завод «Электросигнал» также первоначально хотели расположить здесь, но с 1932 года строительство новых заводов в Москве было запрещено, стройку перенесли в Воронеж (так же как завода «Радиолампа» – во «Фрязино) (15736).</w:t>
      </w:r>
    </w:p>
    <w:p w14:paraId="035493FB" w14:textId="77777777" w:rsidR="004949ED" w:rsidRPr="00E93F40" w:rsidRDefault="004949ED" w:rsidP="00E93F40">
      <w:pPr>
        <w:pStyle w:val="ae"/>
        <w:spacing w:before="0" w:after="0"/>
        <w:jc w:val="both"/>
        <w:rPr>
          <w:color w:val="000000" w:themeColor="text1"/>
          <w:sz w:val="16"/>
          <w:szCs w:val="16"/>
        </w:rPr>
      </w:pPr>
    </w:p>
    <w:p w14:paraId="5EBDC55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3149A86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CE4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апреля 1932 вышло постановление СНК о формировании в СССР первых учебных отрядов аэростатов заграждения в составе ПВО Москвы, Ленинграда и Баку с целью "достичь решительного перелома в совершенствовании ПВО страны" (1838,11).</w:t>
      </w:r>
    </w:p>
    <w:p w14:paraId="12A8A7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A63186" w14:textId="77777777" w:rsidR="00F05737" w:rsidRPr="00E93F40" w:rsidRDefault="00F0573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5 апреля 1932 года в Советском Союзе по постановлению СНК сформировали первые учебные отряды аэростатов заграждения в составе ПВО Москвы, Ленинграда и Баку (21404).</w:t>
      </w:r>
    </w:p>
    <w:p w14:paraId="08C6C1D1" w14:textId="77777777" w:rsidR="00F05737" w:rsidRPr="00E93F40" w:rsidRDefault="00F05737" w:rsidP="00E93F40">
      <w:pPr>
        <w:autoSpaceDE w:val="0"/>
        <w:autoSpaceDN w:val="0"/>
        <w:adjustRightInd w:val="0"/>
        <w:spacing w:after="0" w:line="240" w:lineRule="auto"/>
        <w:jc w:val="both"/>
        <w:rPr>
          <w:rFonts w:ascii="Times New Roman" w:hAnsi="Times New Roman"/>
          <w:color w:val="000000" w:themeColor="text1"/>
          <w:sz w:val="16"/>
          <w:szCs w:val="16"/>
        </w:rPr>
      </w:pPr>
    </w:p>
    <w:p w14:paraId="6B272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апреля 1932 СНК принял постановление О состоянии и развитии ПВ и ПХО (3398,139).</w:t>
      </w:r>
    </w:p>
    <w:p w14:paraId="5960D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A4B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апреля 1932 года Совет Народных Комиссаров СССР возложил руководство системой ПВО на наркома по военно-морским делам Климента Ворошилова (10109).</w:t>
      </w:r>
    </w:p>
    <w:p w14:paraId="12229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2C14CC" w14:textId="77777777" w:rsidR="004949ED"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726CA8D" w14:textId="77777777" w:rsidR="004949ED" w:rsidRPr="00E93F40" w:rsidRDefault="004949E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35410A"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5 апреля</w:t>
      </w:r>
      <w:r w:rsidRPr="00E93F40">
        <w:rPr>
          <w:rFonts w:ascii="Times New Roman" w:hAnsi="Times New Roman"/>
          <w:color w:val="000000" w:themeColor="text1"/>
          <w:sz w:val="16"/>
          <w:szCs w:val="16"/>
        </w:rPr>
        <w:t xml:space="preserve"> в 1932 году первый полет многомоторного пассажирского самолета </w:t>
      </w:r>
      <w:hyperlink r:id="rId90" w:tgtFrame="_blank" w:history="1">
        <w:r w:rsidRPr="00E93F40">
          <w:rPr>
            <w:rFonts w:ascii="Times New Roman" w:hAnsi="Times New Roman"/>
            <w:color w:val="000000" w:themeColor="text1"/>
            <w:sz w:val="16"/>
            <w:szCs w:val="16"/>
          </w:rPr>
          <w:t>«Airspeed» «AS-4» (15089).</w:t>
        </w:r>
      </w:hyperlink>
    </w:p>
    <w:p w14:paraId="040CF0DB" w14:textId="77777777" w:rsidR="004949ED" w:rsidRPr="00E93F40" w:rsidRDefault="004949ED" w:rsidP="00E93F40">
      <w:pPr>
        <w:spacing w:after="0" w:line="240" w:lineRule="auto"/>
        <w:jc w:val="both"/>
        <w:rPr>
          <w:rFonts w:ascii="Times New Roman" w:hAnsi="Times New Roman"/>
          <w:color w:val="000000" w:themeColor="text1"/>
          <w:sz w:val="16"/>
          <w:szCs w:val="16"/>
        </w:rPr>
      </w:pPr>
    </w:p>
    <w:p w14:paraId="2FBD44B5"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апреля 1932 пассажирский самолет Couzinet 33 Biarritz приземляется в Ла Тонтута, Новая Каледония, устанавливая первое воздушное сообщение между Францией и Новой Каледонией. Он покинул Францию марта (20803).</w:t>
      </w:r>
    </w:p>
    <w:p w14:paraId="0B01AC06" w14:textId="77777777" w:rsidR="003516A0" w:rsidRPr="00E93F40" w:rsidRDefault="003516A0" w:rsidP="00E93F40">
      <w:pPr>
        <w:spacing w:after="0" w:line="240" w:lineRule="auto"/>
        <w:jc w:val="both"/>
        <w:rPr>
          <w:rFonts w:ascii="Times New Roman" w:hAnsi="Times New Roman"/>
          <w:color w:val="000000" w:themeColor="text1"/>
          <w:sz w:val="16"/>
          <w:szCs w:val="16"/>
        </w:rPr>
      </w:pPr>
    </w:p>
    <w:p w14:paraId="323099F5" w14:textId="77777777" w:rsidR="00311ADB" w:rsidRPr="00E93F40" w:rsidRDefault="00311ADB" w:rsidP="00311ADB">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D8F1CD2" w14:textId="77777777" w:rsidR="00311ADB" w:rsidRPr="00E93F40" w:rsidRDefault="00311ADB" w:rsidP="00311ADB">
      <w:pPr>
        <w:autoSpaceDE w:val="0"/>
        <w:autoSpaceDN w:val="0"/>
        <w:adjustRightInd w:val="0"/>
        <w:spacing w:after="0" w:line="240" w:lineRule="auto"/>
        <w:jc w:val="both"/>
        <w:rPr>
          <w:rFonts w:ascii="Times New Roman" w:hAnsi="Times New Roman"/>
          <w:iCs/>
          <w:color w:val="000000" w:themeColor="text1"/>
          <w:sz w:val="16"/>
          <w:szCs w:val="16"/>
        </w:rPr>
      </w:pPr>
    </w:p>
    <w:p w14:paraId="0606D751"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апреля 1932 г. на первом серийном Ш-2 (с номером ОЖ-38) опробовали и отрегулировали мотор (24952).</w:t>
      </w:r>
    </w:p>
    <w:p w14:paraId="4F7EF3ED" w14:textId="77777777" w:rsidR="00311ADB" w:rsidRPr="00142305" w:rsidRDefault="00311ADB" w:rsidP="00311ADB">
      <w:pPr>
        <w:spacing w:after="0" w:line="240" w:lineRule="auto"/>
        <w:jc w:val="both"/>
        <w:rPr>
          <w:rFonts w:ascii="Times New Roman" w:hAnsi="Times New Roman"/>
          <w:color w:val="0070C0"/>
          <w:sz w:val="16"/>
          <w:szCs w:val="16"/>
        </w:rPr>
      </w:pPr>
    </w:p>
    <w:p w14:paraId="7F80BB5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89F611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397A65"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апреля 1932 года нарком обороны СССР К. Ворошилов докладывал:</w:t>
      </w:r>
    </w:p>
    <w:p w14:paraId="43193115"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«Находящийся в производстве на заводе имени Ворошилова опытный образец Т-35 весом в 35 т. Этот танк запроектирован с уче</w:t>
      </w:r>
      <w:r w:rsidRPr="00142305">
        <w:rPr>
          <w:rFonts w:ascii="Times New Roman" w:hAnsi="Times New Roman"/>
          <w:color w:val="0070C0"/>
          <w:sz w:val="16"/>
          <w:szCs w:val="16"/>
        </w:rPr>
        <w:softHyphen/>
        <w:t>том опыта по ТГ. Опытный образец будет го</w:t>
      </w:r>
      <w:r w:rsidRPr="00142305">
        <w:rPr>
          <w:rFonts w:ascii="Times New Roman" w:hAnsi="Times New Roman"/>
          <w:color w:val="0070C0"/>
          <w:sz w:val="16"/>
          <w:szCs w:val="16"/>
        </w:rPr>
        <w:softHyphen/>
        <w:t>тов в июле 1932 г.» (25014).</w:t>
      </w:r>
    </w:p>
    <w:p w14:paraId="387CDBE7" w14:textId="77777777" w:rsidR="00311ADB" w:rsidRPr="00142305" w:rsidRDefault="00311ADB" w:rsidP="00311ADB">
      <w:pPr>
        <w:spacing w:after="0" w:line="240" w:lineRule="auto"/>
        <w:jc w:val="both"/>
        <w:rPr>
          <w:rFonts w:ascii="Times New Roman" w:hAnsi="Times New Roman"/>
          <w:color w:val="0070C0"/>
          <w:sz w:val="16"/>
          <w:szCs w:val="16"/>
        </w:rPr>
      </w:pPr>
    </w:p>
    <w:p w14:paraId="655C14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апреля 1932 года был подготовлен доклада Бокиса, из которого следует, что бро</w:t>
      </w:r>
      <w:r w:rsidRPr="00E93F40">
        <w:rPr>
          <w:rFonts w:ascii="Times New Roman" w:hAnsi="Times New Roman"/>
          <w:color w:val="000000" w:themeColor="text1"/>
          <w:sz w:val="16"/>
          <w:szCs w:val="16"/>
        </w:rPr>
        <w:softHyphen/>
        <w:t>невик ФВВ на шасси «Форд-Тимкен» был построен (11284).</w:t>
      </w:r>
    </w:p>
    <w:p w14:paraId="189ADD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238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апреля 1932 года после получения информации об американском бронеавтомобиле Т4 с несущим бронекорпусом, в своем письме помощник начальника УММ РККА Г. Бокис сообщал: «На Ижорском заводе выполняется образец безрамной 3-осной бронема</w:t>
      </w:r>
      <w:r w:rsidRPr="00E93F40">
        <w:rPr>
          <w:rFonts w:ascii="Times New Roman" w:hAnsi="Times New Roman"/>
          <w:color w:val="000000" w:themeColor="text1"/>
          <w:sz w:val="16"/>
          <w:szCs w:val="16"/>
        </w:rPr>
        <w:softHyphen/>
        <w:t>шины по типу американского бронеавтомобиля Т4 с бро</w:t>
      </w:r>
      <w:r w:rsidRPr="00E93F40">
        <w:rPr>
          <w:rFonts w:ascii="Times New Roman" w:hAnsi="Times New Roman"/>
          <w:color w:val="000000" w:themeColor="text1"/>
          <w:sz w:val="16"/>
          <w:szCs w:val="16"/>
        </w:rPr>
        <w:softHyphen/>
        <w:t>нировкой в 10-мм, применением мотора «Геркулес» АМО-3 и задних мостов «Форд-Тимкен». Образец будет готов в ию</w:t>
      </w:r>
      <w:r w:rsidRPr="00E93F40">
        <w:rPr>
          <w:rFonts w:ascii="Times New Roman" w:hAnsi="Times New Roman"/>
          <w:color w:val="000000" w:themeColor="text1"/>
          <w:sz w:val="16"/>
          <w:szCs w:val="16"/>
        </w:rPr>
        <w:softHyphen/>
        <w:t>не месяце сего года». Руководст</w:t>
      </w:r>
      <w:r w:rsidRPr="00E93F40">
        <w:rPr>
          <w:rFonts w:ascii="Times New Roman" w:hAnsi="Times New Roman"/>
          <w:color w:val="000000" w:themeColor="text1"/>
          <w:sz w:val="16"/>
          <w:szCs w:val="16"/>
        </w:rPr>
        <w:softHyphen/>
        <w:t>во УММ заключило с Ижорским заводом договор № 9003212 на проектирование и изготовление этой машины, аналогичной Т4. Но работа так и не была закончена: в «сводном отчете о выполнении промышленностью зака</w:t>
      </w:r>
      <w:r w:rsidRPr="00E93F40">
        <w:rPr>
          <w:rFonts w:ascii="Times New Roman" w:hAnsi="Times New Roman"/>
          <w:color w:val="000000" w:themeColor="text1"/>
          <w:sz w:val="16"/>
          <w:szCs w:val="16"/>
        </w:rPr>
        <w:softHyphen/>
        <w:t>зов на производство имущества и БТ техники для мотомех-войск РККА», датированном 31 декабря 1933 года, сообща</w:t>
      </w:r>
      <w:r w:rsidRPr="00E93F40">
        <w:rPr>
          <w:rFonts w:ascii="Times New Roman" w:hAnsi="Times New Roman"/>
          <w:color w:val="000000" w:themeColor="text1"/>
          <w:sz w:val="16"/>
          <w:szCs w:val="16"/>
        </w:rPr>
        <w:softHyphen/>
        <w:t>лось, что заказ на безрамный броневик аннулирован (11284).</w:t>
      </w:r>
    </w:p>
    <w:p w14:paraId="09BABE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39C1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апреля 1932 года после того, как после предварительной заводской обкатки БАИ по</w:t>
      </w:r>
      <w:r w:rsidRPr="00E93F40">
        <w:rPr>
          <w:rFonts w:ascii="Times New Roman" w:hAnsi="Times New Roman"/>
          <w:color w:val="000000" w:themeColor="text1"/>
          <w:sz w:val="16"/>
          <w:szCs w:val="16"/>
        </w:rPr>
        <w:softHyphen/>
        <w:t>казали военным, на которых бронеавтомобиль произвел хорошее впечатление, помощник на</w:t>
      </w:r>
      <w:r w:rsidRPr="00E93F40">
        <w:rPr>
          <w:rFonts w:ascii="Times New Roman" w:hAnsi="Times New Roman"/>
          <w:color w:val="000000" w:themeColor="text1"/>
          <w:sz w:val="16"/>
          <w:szCs w:val="16"/>
        </w:rPr>
        <w:softHyphen/>
        <w:t>чальника УММ РККА Г. Бокис в своем докладе о пер</w:t>
      </w:r>
      <w:r w:rsidRPr="00E93F40">
        <w:rPr>
          <w:rFonts w:ascii="Times New Roman" w:hAnsi="Times New Roman"/>
          <w:color w:val="000000" w:themeColor="text1"/>
          <w:sz w:val="16"/>
          <w:szCs w:val="16"/>
        </w:rPr>
        <w:softHyphen/>
        <w:t>спективных образцах бронетанкового вооружения сооб</w:t>
      </w:r>
      <w:r w:rsidRPr="00E93F40">
        <w:rPr>
          <w:rFonts w:ascii="Times New Roman" w:hAnsi="Times New Roman"/>
          <w:color w:val="000000" w:themeColor="text1"/>
          <w:sz w:val="16"/>
          <w:szCs w:val="16"/>
        </w:rPr>
        <w:softHyphen/>
        <w:t>щал следующее:</w:t>
      </w:r>
    </w:p>
    <w:p w14:paraId="2ECE11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серийном производстве находится средний бронеав</w:t>
      </w:r>
      <w:r w:rsidRPr="00E93F40">
        <w:rPr>
          <w:rFonts w:ascii="Times New Roman" w:hAnsi="Times New Roman"/>
          <w:color w:val="000000" w:themeColor="text1"/>
          <w:sz w:val="16"/>
          <w:szCs w:val="16"/>
        </w:rPr>
        <w:softHyphen/>
        <w:t>томобиль Д-13 на шасси «Форд-ААА». Выполнены опытные образцы этого типа бронеавтомобиля с различной конфигу</w:t>
      </w:r>
      <w:r w:rsidRPr="00E93F40">
        <w:rPr>
          <w:rFonts w:ascii="Times New Roman" w:hAnsi="Times New Roman"/>
          <w:color w:val="000000" w:themeColor="text1"/>
          <w:sz w:val="16"/>
          <w:szCs w:val="16"/>
        </w:rPr>
        <w:softHyphen/>
        <w:t>рацией корпуса и различным расположением вооружения. На сегодняшний день имеем опытные образцы следующих бронеавтомобилей:</w:t>
      </w:r>
    </w:p>
    <w:p w14:paraId="32821E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Д-13 - конструкции Дыренкова;</w:t>
      </w:r>
    </w:p>
    <w:p w14:paraId="44D583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ФВВ - конструкции АТТБ ЭКУ ОГПУ;</w:t>
      </w:r>
    </w:p>
    <w:p w14:paraId="4E3016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БАИ — Ижорского завода.</w:t>
      </w:r>
    </w:p>
    <w:p w14:paraId="25E160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Причем последний тип имеет укороченную базу, вслед</w:t>
      </w:r>
      <w:r w:rsidRPr="00E93F40">
        <w:rPr>
          <w:rFonts w:ascii="Times New Roman" w:hAnsi="Times New Roman"/>
          <w:color w:val="000000" w:themeColor="text1"/>
          <w:sz w:val="16"/>
          <w:szCs w:val="16"/>
        </w:rPr>
        <w:softHyphen/>
        <w:t>ствие чего получились более компактные размеры корпуса.</w:t>
      </w:r>
    </w:p>
    <w:p w14:paraId="52366C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дало возможность увеличить толщину брони и довести ее до 8-мм без нагрузки машины. По результатам сравни</w:t>
      </w:r>
      <w:r w:rsidRPr="00E93F40">
        <w:rPr>
          <w:rFonts w:ascii="Times New Roman" w:hAnsi="Times New Roman"/>
          <w:color w:val="000000" w:themeColor="text1"/>
          <w:sz w:val="16"/>
          <w:szCs w:val="16"/>
        </w:rPr>
        <w:softHyphen/>
        <w:t>тельных испытаний будет выбран тип среднего бронеавто</w:t>
      </w:r>
      <w:r w:rsidRPr="00E93F40">
        <w:rPr>
          <w:rFonts w:ascii="Times New Roman" w:hAnsi="Times New Roman"/>
          <w:color w:val="000000" w:themeColor="text1"/>
          <w:sz w:val="16"/>
          <w:szCs w:val="16"/>
        </w:rPr>
        <w:softHyphen/>
        <w:t>мобиля для валового производства на конец 1932 года и 1933 год» (11284).</w:t>
      </w:r>
    </w:p>
    <w:p w14:paraId="0CF941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463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апреля 1932 г. президиум облисполкома Удмуртской автономной области постановил: "В связи с неоднократными решениями ВСНХ СССР о постройке в г. Ижевске большого мотоциклетного завода, признать необходимым и обязательным работы, связанные со строительством и организацией опытного мотозавода…" (11297).</w:t>
      </w:r>
    </w:p>
    <w:p w14:paraId="0ED7B4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240A0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5A09EA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F45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апреля 1932 на Таймырском п-ове. Мироновское. Начало антисоветского восстания коренного северного населения (долган и ненцев) под руководством родо-племенного вождя шамана Р.Бархатова. Причиной, вызвавшей массовый протест, стало безвозмездное и произвольное изъятие оленей, попытки расколоть население по имущественному признаку, а также искусственное насаждение коллективных форм хозяйства (10687).</w:t>
      </w:r>
    </w:p>
    <w:p w14:paraId="1292DA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E52CF5" w14:textId="77777777" w:rsidR="00D45048" w:rsidRPr="00E93F40" w:rsidRDefault="00D4504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апреля 1932 началась Вичугская всеобщая стачка, переросшая в открытый бунт. Бастовало 16 тыс. рабочих. Уличные бои, порча оборудования, захват телеграфа, все как в кино. В Вичугу приехал Каганович. Рабочим пошли на уступки, разрешили частную торговлю на колхозных рынках, подняли нормы продовольственного обеспечения. 13 апреля восстановили порядок, но чекисты задумались. Уж очень организованно все происходило. В 37-м организаторов (мнимых или настоящих) беспорядков нашли (12629).</w:t>
      </w:r>
    </w:p>
    <w:p w14:paraId="40FA86B3" w14:textId="77777777" w:rsidR="00D45048" w:rsidRPr="00E93F40" w:rsidRDefault="00D4504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0E56B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F22AF6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B10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6 по 8 апреля 1932 в Лондоне проходила конференция четырех держав по правилам навигации на Дунае. Италия и Германия отказались признавать договоры, заключенные дунайскими государствами (3907,172).</w:t>
      </w:r>
    </w:p>
    <w:p w14:paraId="23073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CD8AA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64CC82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095043"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первых числах апреля 1932 г. при рассмотрении в Комитете Обороны вопроса о состоянии и развитии противовоздушной и химической обороны Союза начальником ВВС заострен вопрос о недостаточном количестве нашей истребительной авиации для обороны Союза и неудовлетворительном качестве состоящих на вооружении самолетов истребителей.</w:t>
      </w:r>
    </w:p>
    <w:p w14:paraId="6558E3B1"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весь 1931 г. завод №1, перегруженный выпуском самолетов других типов, сдал только два указанных самолета И-7, причем один из них – некомплектный на статические испытания и далее в резерв без мотора. Среди прочих причин отставания от плана были и общие недостатки управления авиапромышленностью – шел поиск лучшей ее организации.</w:t>
      </w:r>
    </w:p>
    <w:p w14:paraId="1E23F6D6"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 один самолет И-7 не был сдан в 1931 г. в строевую часть и положение с ними оказалось худшим среди всех серийных истребителей – план по осваиваемому в производстве самолету И-5 выполнили на 21%, тогда как по И-3 и И-4 – на 100%.</w:t>
      </w:r>
    </w:p>
    <w:p w14:paraId="64C13B0B"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выпуска 60 самолетов И-7 заводу №1 перенесен на 1932 г. в дополнение к ранее порученному заводу на этот год плану на выпуск 100 самолетов И-7 (24331).</w:t>
      </w:r>
    </w:p>
    <w:p w14:paraId="640303E3"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415F036F" w14:textId="7EAEFA3C"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апреля 1932 года на Монинском аэродроме состоялся демонстрационный показ ТБ-3 командованию Военно-воздушных сил Московского округа. Осенью 1933 года здесь же прошли испытания нового «детища» проекта Владимира Сергеевича Вахмистрова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самолёта-авианосца, основой которого стал тяжёлый бомбардировщик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ТБ-3 (21535).</w:t>
      </w:r>
    </w:p>
    <w:p w14:paraId="7513A106" w14:textId="77777777" w:rsidR="003516A0" w:rsidRPr="00E93F40" w:rsidRDefault="003516A0" w:rsidP="00E93F40">
      <w:pPr>
        <w:spacing w:after="0" w:line="240" w:lineRule="auto"/>
        <w:jc w:val="both"/>
        <w:rPr>
          <w:rFonts w:ascii="Times New Roman" w:hAnsi="Times New Roman"/>
          <w:color w:val="000000" w:themeColor="text1"/>
          <w:sz w:val="16"/>
          <w:szCs w:val="16"/>
        </w:rPr>
      </w:pPr>
    </w:p>
    <w:p w14:paraId="3BBAD612"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апреля 1932 года на Монинском аэродроме состоялся демонстрационный показ этого ТБ-3 командованию Военно-воздушных сил Московского округа (25652).</w:t>
      </w:r>
    </w:p>
    <w:p w14:paraId="09B33E8B" w14:textId="77777777" w:rsidR="00311ADB" w:rsidRPr="00142305" w:rsidRDefault="00311ADB" w:rsidP="00311ADB">
      <w:pPr>
        <w:spacing w:after="0" w:line="240" w:lineRule="auto"/>
        <w:jc w:val="both"/>
        <w:rPr>
          <w:rFonts w:ascii="Times New Roman" w:hAnsi="Times New Roman"/>
          <w:color w:val="0070C0"/>
          <w:sz w:val="16"/>
          <w:szCs w:val="16"/>
        </w:rPr>
      </w:pPr>
    </w:p>
    <w:p w14:paraId="7AA83B9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апреля 1932 года НИИ ВВС заключил договор с ОКБ-ВОТИ для финансирования и наблюдение за работами по ОКБ-ВОТИ согласно приказа зам. наркомвоенпреда Тухачевского № 020 было за на общую сумму 671200 рублей. По этому договору, впоследствии перезаключенному 20 августа 1932 года с увеличением суммы договора до 882000 рублей ОКБ ВОТИ было обязано разработать и построить:</w:t>
      </w:r>
    </w:p>
    <w:p w14:paraId="2303EB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Три стабилизации для самолета ТБ-1 – 15 сентября 1932 года.</w:t>
      </w:r>
    </w:p>
    <w:p w14:paraId="6860E7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Тоже для самолета И-4 - 15 сентября 1932 года.</w:t>
      </w:r>
    </w:p>
    <w:p w14:paraId="688C9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Тоже для самолета ТБ-3.</w:t>
      </w:r>
    </w:p>
    <w:p w14:paraId="740FBE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Тоже для самолета Р-5 – 1 января 1933 года.</w:t>
      </w:r>
    </w:p>
    <w:p w14:paraId="1B12A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Автоматы и взлеты посадки – по тактико-техническим требованиям НИИ ВВС (4039,144).</w:t>
      </w:r>
    </w:p>
    <w:p w14:paraId="36D3E0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214C54" w14:textId="77777777" w:rsidR="00311ADB" w:rsidRPr="00E93F40" w:rsidRDefault="00311ADB" w:rsidP="00311ADB">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F7A19C5" w14:textId="77777777" w:rsidR="00311ADB" w:rsidRPr="00E93F40" w:rsidRDefault="00311ADB" w:rsidP="00311ADB">
      <w:pPr>
        <w:autoSpaceDE w:val="0"/>
        <w:autoSpaceDN w:val="0"/>
        <w:adjustRightInd w:val="0"/>
        <w:spacing w:after="0" w:line="240" w:lineRule="auto"/>
        <w:jc w:val="both"/>
        <w:rPr>
          <w:rFonts w:ascii="Times New Roman" w:hAnsi="Times New Roman"/>
          <w:iCs/>
          <w:color w:val="000000" w:themeColor="text1"/>
          <w:sz w:val="16"/>
          <w:szCs w:val="16"/>
        </w:rPr>
      </w:pPr>
    </w:p>
    <w:p w14:paraId="1117FF17"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апреля 1932 года новый танк Т-33 был продемонстрирован представителям командования РККА.</w:t>
      </w:r>
    </w:p>
    <w:p w14:paraId="60A1BDF7"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М. Тухачевского показ амфибии, уве</w:t>
      </w:r>
      <w:r w:rsidRPr="00142305">
        <w:rPr>
          <w:rFonts w:ascii="Times New Roman" w:hAnsi="Times New Roman"/>
          <w:color w:val="0070C0"/>
          <w:sz w:val="16"/>
          <w:szCs w:val="16"/>
        </w:rPr>
        <w:softHyphen/>
        <w:t>ренно маневрирующей среди плывущих по Неве льдин, произвел очень благоприят</w:t>
      </w:r>
      <w:r w:rsidRPr="00142305">
        <w:rPr>
          <w:rFonts w:ascii="Times New Roman" w:hAnsi="Times New Roman"/>
          <w:color w:val="0070C0"/>
          <w:sz w:val="16"/>
          <w:szCs w:val="16"/>
        </w:rPr>
        <w:softHyphen/>
        <w:t>ное впечатление. Несколько дней спус</w:t>
      </w:r>
      <w:r w:rsidRPr="00142305">
        <w:rPr>
          <w:rFonts w:ascii="Times New Roman" w:hAnsi="Times New Roman"/>
          <w:color w:val="0070C0"/>
          <w:sz w:val="16"/>
          <w:szCs w:val="16"/>
        </w:rPr>
        <w:softHyphen/>
        <w:t>тя, отправляя телеграмму с различными указаниями советской закупочной комис</w:t>
      </w:r>
      <w:r w:rsidRPr="00142305">
        <w:rPr>
          <w:rFonts w:ascii="Times New Roman" w:hAnsi="Times New Roman"/>
          <w:color w:val="0070C0"/>
          <w:sz w:val="16"/>
          <w:szCs w:val="16"/>
        </w:rPr>
        <w:softHyphen/>
        <w:t>сии в Италию, Тухачевский написал: «Пе</w:t>
      </w:r>
      <w:r w:rsidRPr="00142305">
        <w:rPr>
          <w:rFonts w:ascii="Times New Roman" w:hAnsi="Times New Roman"/>
          <w:color w:val="0070C0"/>
          <w:sz w:val="16"/>
          <w:szCs w:val="16"/>
        </w:rPr>
        <w:softHyphen/>
        <w:t>редайте Гинзбургу, что его «утка» плавает и весьма успешно. Результаты испытаний самые благоприятные».</w:t>
      </w:r>
    </w:p>
    <w:p w14:paraId="380197CE"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w:t>
      </w:r>
      <w:r w:rsidRPr="00142305">
        <w:rPr>
          <w:rFonts w:ascii="Times New Roman" w:hAnsi="Times New Roman"/>
          <w:color w:val="0070C0"/>
          <w:sz w:val="16"/>
          <w:szCs w:val="16"/>
        </w:rPr>
        <w:softHyphen/>
        <w:t>ря на лестные отзывы Тухачевского и дру</w:t>
      </w:r>
      <w:r w:rsidRPr="00142305">
        <w:rPr>
          <w:rFonts w:ascii="Times New Roman" w:hAnsi="Times New Roman"/>
          <w:color w:val="0070C0"/>
          <w:sz w:val="16"/>
          <w:szCs w:val="16"/>
        </w:rPr>
        <w:softHyphen/>
        <w:t>гих руководителей Красной Армии, у тан</w:t>
      </w:r>
      <w:r w:rsidRPr="00142305">
        <w:rPr>
          <w:rFonts w:ascii="Times New Roman" w:hAnsi="Times New Roman"/>
          <w:color w:val="0070C0"/>
          <w:sz w:val="16"/>
          <w:szCs w:val="16"/>
        </w:rPr>
        <w:softHyphen/>
        <w:t>ка Т-33 оказалось большое количество не</w:t>
      </w:r>
      <w:r w:rsidRPr="00142305">
        <w:rPr>
          <w:rFonts w:ascii="Times New Roman" w:hAnsi="Times New Roman"/>
          <w:color w:val="0070C0"/>
          <w:sz w:val="16"/>
          <w:szCs w:val="16"/>
        </w:rPr>
        <w:softHyphen/>
        <w:t>достатков и недоработок. Для принятия на вооружение армии эта машина не годи</w:t>
      </w:r>
      <w:r w:rsidRPr="00142305">
        <w:rPr>
          <w:rFonts w:ascii="Times New Roman" w:hAnsi="Times New Roman"/>
          <w:color w:val="0070C0"/>
          <w:sz w:val="16"/>
          <w:szCs w:val="16"/>
        </w:rPr>
        <w:softHyphen/>
        <w:t>лась (25019).</w:t>
      </w:r>
    </w:p>
    <w:p w14:paraId="302982F8" w14:textId="77777777" w:rsidR="00311ADB" w:rsidRPr="00142305" w:rsidRDefault="00311ADB" w:rsidP="00311ADB">
      <w:pPr>
        <w:spacing w:after="0" w:line="240" w:lineRule="auto"/>
        <w:jc w:val="both"/>
        <w:rPr>
          <w:rFonts w:ascii="Times New Roman" w:hAnsi="Times New Roman"/>
          <w:color w:val="0070C0"/>
          <w:sz w:val="16"/>
          <w:szCs w:val="16"/>
        </w:rPr>
      </w:pPr>
    </w:p>
    <w:p w14:paraId="795FD03F" w14:textId="77777777" w:rsidR="004949ED"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BC4FAF1" w14:textId="77777777" w:rsidR="004949ED" w:rsidRPr="00E93F40" w:rsidRDefault="004949E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DBEBB4"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апреля 1932 от Алксниса добились при</w:t>
      </w:r>
      <w:r w:rsidRPr="00E93F40">
        <w:rPr>
          <w:rFonts w:ascii="Times New Roman" w:hAnsi="Times New Roman"/>
          <w:color w:val="000000" w:themeColor="text1"/>
          <w:sz w:val="16"/>
          <w:szCs w:val="16"/>
        </w:rPr>
        <w:softHyphen/>
        <w:t>каза «отправить в г. Ташкент... три Р-1 с... М-5, усиленным комплектом запчастей и до</w:t>
      </w:r>
      <w:r w:rsidRPr="00E93F40">
        <w:rPr>
          <w:rFonts w:ascii="Times New Roman" w:hAnsi="Times New Roman"/>
          <w:color w:val="000000" w:themeColor="text1"/>
          <w:sz w:val="16"/>
          <w:szCs w:val="16"/>
        </w:rPr>
        <w:softHyphen/>
        <w:t>бавочными радиаторами». Ввиду особой срочности переделку и дооснащение самолётов вместо московского авиазавода № 1 поручили 37-му авиапарку в Ташкенте. 10 марта там получили указания по закраске опознавательных знаков, переделке турелей и срочной от</w:t>
      </w:r>
      <w:r w:rsidRPr="00E93F40">
        <w:rPr>
          <w:rFonts w:ascii="Times New Roman" w:hAnsi="Times New Roman"/>
          <w:color w:val="000000" w:themeColor="text1"/>
          <w:sz w:val="16"/>
          <w:szCs w:val="16"/>
        </w:rPr>
        <w:softHyphen/>
        <w:t>правке. При малейшей задержке требовали немедленно телеграфировать в Москву.</w:t>
      </w:r>
    </w:p>
    <w:p w14:paraId="55EE57D8"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Экипировка и дооснащение машин напоминали «тришкин; кафтан». Иванов «слезно» упрашивал УВВС: «На проданных... трёх У-2, по требованию лётчиков, мы распоряди</w:t>
      </w:r>
      <w:r w:rsidRPr="00E93F40">
        <w:rPr>
          <w:rFonts w:ascii="Times New Roman" w:hAnsi="Times New Roman"/>
          <w:color w:val="000000" w:themeColor="text1"/>
          <w:sz w:val="16"/>
          <w:szCs w:val="16"/>
        </w:rPr>
        <w:softHyphen/>
        <w:t xml:space="preserve">лись установить приборы «Пионер». На авиаснаббазе Глававиапрома оказались </w:t>
      </w:r>
      <w:r w:rsidRPr="00E93F40">
        <w:rPr>
          <w:rStyle w:val="151"/>
          <w:rFonts w:ascii="Times New Roman" w:hAnsi="Times New Roman" w:cs="Times New Roman"/>
          <w:color w:val="000000" w:themeColor="text1"/>
          <w:sz w:val="16"/>
          <w:szCs w:val="16"/>
        </w:rPr>
        <w:t>толь</w:t>
      </w:r>
      <w:r w:rsidRPr="00E93F40">
        <w:rPr>
          <w:rStyle w:val="151"/>
          <w:rFonts w:ascii="Times New Roman" w:hAnsi="Times New Roman" w:cs="Times New Roman"/>
          <w:color w:val="000000" w:themeColor="text1"/>
          <w:sz w:val="16"/>
          <w:szCs w:val="16"/>
        </w:rPr>
        <w:softHyphen/>
        <w:t>ко два</w:t>
      </w:r>
      <w:r w:rsidRPr="00E93F40">
        <w:rPr>
          <w:rFonts w:ascii="Times New Roman" w:hAnsi="Times New Roman"/>
          <w:color w:val="000000" w:themeColor="text1"/>
          <w:sz w:val="16"/>
          <w:szCs w:val="16"/>
        </w:rPr>
        <w:t xml:space="preserve"> таких прибора, и третьего Глававиапром достать в настоящее время не может.</w:t>
      </w:r>
    </w:p>
    <w:p w14:paraId="33ACD243"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Вас за наличный расчёт отпустить прибор «Пионер». В целях быстрейшей до</w:t>
      </w:r>
      <w:r w:rsidRPr="00E93F40">
        <w:rPr>
          <w:rFonts w:ascii="Times New Roman" w:hAnsi="Times New Roman"/>
          <w:color w:val="000000" w:themeColor="text1"/>
          <w:sz w:val="16"/>
          <w:szCs w:val="16"/>
        </w:rPr>
        <w:softHyphen/>
        <w:t>ставки названного прибора на завод № 23 в Ленинграде, очень желательно прибор по</w:t>
      </w:r>
      <w:r w:rsidRPr="00E93F40">
        <w:rPr>
          <w:rFonts w:ascii="Times New Roman" w:hAnsi="Times New Roman"/>
          <w:color w:val="000000" w:themeColor="text1"/>
          <w:sz w:val="16"/>
          <w:szCs w:val="16"/>
        </w:rPr>
        <w:softHyphen/>
        <w:t>лучить там же, из авиачастей. Если возможно, прошу приказание об отпуске отправить по телеграфу». В свою очередь начальник ИНО УВВС докладывал Алкснису: «На... Р-1 для Синьцзяна нет прицелов, Герца дать нельзя ни под каким видом. Единственная воз</w:t>
      </w:r>
      <w:r w:rsidRPr="00E93F40">
        <w:rPr>
          <w:rFonts w:ascii="Times New Roman" w:hAnsi="Times New Roman"/>
          <w:color w:val="000000" w:themeColor="text1"/>
          <w:sz w:val="16"/>
          <w:szCs w:val="16"/>
        </w:rPr>
        <w:softHyphen/>
        <w:t>можность — АП-2, но их можно взять только из частей МВО. Жду Ваших указаний».</w:t>
      </w:r>
    </w:p>
    <w:p w14:paraId="080B112F"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формировали лётную группу. Помимо летчиков, хорошо знающих матчасть, на три Р-1 затребовали двух авиатехников и летнаба, знающего фото- и радио</w:t>
      </w:r>
      <w:r w:rsidRPr="00E93F40">
        <w:rPr>
          <w:rFonts w:ascii="Times New Roman" w:hAnsi="Times New Roman"/>
          <w:color w:val="000000" w:themeColor="text1"/>
          <w:sz w:val="16"/>
          <w:szCs w:val="16"/>
        </w:rPr>
        <w:softHyphen/>
        <w:t>дело. Всех следовало откомандировать в Аягуз до 5 апреля. 7 мая возник вопрос и о лётчиках для других самолётов. Китайцы запрашивали для работы в Синьцзяне двоих для К-5 и двоих для Р-1, «причём один из последних должен быть специалистом по фотосъемке, другой — по радиосвязи». Помимо этого выясняли, «если... наличного ко</w:t>
      </w:r>
      <w:r w:rsidRPr="00E93F40">
        <w:rPr>
          <w:rFonts w:ascii="Times New Roman" w:hAnsi="Times New Roman"/>
          <w:color w:val="000000" w:themeColor="text1"/>
          <w:sz w:val="16"/>
          <w:szCs w:val="16"/>
        </w:rPr>
        <w:softHyphen/>
        <w:t>личества лётчиков в Синьцзяне недостаточно, то... можно ли надеяться, что те лётчики, которые доставят в Синьцзян из СССР аэропланы, останутся там на службе».</w:t>
      </w:r>
    </w:p>
    <w:p w14:paraId="2B9EFE6F"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Б.Н. Иванов докладывал «наверх», что «приглашение для двух К-5 только двух лётчи</w:t>
      </w:r>
      <w:r w:rsidRPr="00E93F40">
        <w:rPr>
          <w:rFonts w:ascii="Times New Roman" w:hAnsi="Times New Roman"/>
          <w:color w:val="000000" w:themeColor="text1"/>
          <w:sz w:val="16"/>
          <w:szCs w:val="16"/>
        </w:rPr>
        <w:softHyphen/>
        <w:t>ков, без бортмехаников, мало резонно, вероятно это просто результат безграмотности китайцев. Нужно готовить сразу двух лётчиков и двух бортмехаников, тогда эксплуата</w:t>
      </w:r>
      <w:r w:rsidRPr="00E93F40">
        <w:rPr>
          <w:rFonts w:ascii="Times New Roman" w:hAnsi="Times New Roman"/>
          <w:color w:val="000000" w:themeColor="text1"/>
          <w:sz w:val="16"/>
          <w:szCs w:val="16"/>
        </w:rPr>
        <w:softHyphen/>
        <w:t>ция двух К-5 будет обеспечена. В Урумчи китайцы, очевидно, поставят вопрос об ос</w:t>
      </w:r>
      <w:r w:rsidRPr="00E93F40">
        <w:rPr>
          <w:rFonts w:ascii="Times New Roman" w:hAnsi="Times New Roman"/>
          <w:color w:val="000000" w:themeColor="text1"/>
          <w:sz w:val="16"/>
          <w:szCs w:val="16"/>
        </w:rPr>
        <w:softHyphen/>
        <w:t>тавлении трёх лётчиков и трёх бортмехаников для проданных им трёх Р-1.</w:t>
      </w:r>
    </w:p>
    <w:p w14:paraId="0D93B14F"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Я полагаю, что по получении принципиального разрешения наших высших инстанций, вопрос о выборе лётчиков надлежит передать моему Бюро, которое совместно с Граждвоздухофлотом, У ВВФ и НКИД остановится на определённых кандидатурах, выработа</w:t>
      </w:r>
      <w:r w:rsidRPr="00E93F40">
        <w:rPr>
          <w:rFonts w:ascii="Times New Roman" w:hAnsi="Times New Roman"/>
          <w:color w:val="000000" w:themeColor="text1"/>
          <w:sz w:val="16"/>
          <w:szCs w:val="16"/>
        </w:rPr>
        <w:softHyphen/>
        <w:t>ет условия договора найма наших лётчиков Синьцзянским Правительством.</w:t>
      </w:r>
    </w:p>
    <w:p w14:paraId="7605D406" w14:textId="77777777" w:rsidR="004949ED" w:rsidRPr="00E93F40" w:rsidRDefault="004949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полагаю, что помимо всего прочего, при отборе кандидатов нужно считаться с соб</w:t>
      </w:r>
      <w:r w:rsidRPr="00E93F40">
        <w:rPr>
          <w:rFonts w:ascii="Times New Roman" w:hAnsi="Times New Roman"/>
          <w:color w:val="000000" w:themeColor="text1"/>
          <w:sz w:val="16"/>
          <w:szCs w:val="16"/>
        </w:rPr>
        <w:softHyphen/>
        <w:t>ственным их отношением к вопросу в тяжёлых Синьцзянских условиях. НКИД придает особое значение [привлечению] наших лётчиков для работы на пассажирских К-5» (15802).</w:t>
      </w:r>
    </w:p>
    <w:p w14:paraId="58A3F073" w14:textId="77777777" w:rsidR="004949ED" w:rsidRPr="00E93F40" w:rsidRDefault="004949ED" w:rsidP="00E93F40">
      <w:pPr>
        <w:spacing w:after="0" w:line="240" w:lineRule="auto"/>
        <w:jc w:val="both"/>
        <w:rPr>
          <w:rFonts w:ascii="Times New Roman" w:hAnsi="Times New Roman"/>
          <w:color w:val="000000" w:themeColor="text1"/>
          <w:sz w:val="16"/>
          <w:szCs w:val="16"/>
        </w:rPr>
      </w:pPr>
    </w:p>
    <w:p w14:paraId="244C58C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FF76EF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268BF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апреля 1932 закончились испытания самолета Р6 N 2201 (эталон на 1932 год) с моторами М17 Е=7,3 за N 26391 и 26398 винты Н=2,5 Д=3,15 сист. ЦАГИ, которые проходили с 23 января 1932.</w:t>
      </w:r>
    </w:p>
    <w:p w14:paraId="37983B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66331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Кудиков</w:t>
      </w:r>
    </w:p>
    <w:p w14:paraId="50BF58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Миндер</w:t>
      </w:r>
    </w:p>
    <w:p w14:paraId="57AC5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Ночные полеты не производились</w:t>
      </w:r>
    </w:p>
    <w:p w14:paraId="0A5A91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было выполнено 36 полетов.</w:t>
      </w:r>
    </w:p>
    <w:p w14:paraId="4F93A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 прохождения испытаний.</w:t>
      </w:r>
    </w:p>
    <w:p w14:paraId="6EC89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января 1932 года самолет получен из ЦАГИ с недоконченным вооружением</w:t>
      </w:r>
    </w:p>
    <w:p w14:paraId="2129D4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22 по 27 января 1932 года произведены предварительные летные испытания</w:t>
      </w:r>
    </w:p>
    <w:p w14:paraId="5CBF0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января 1932 года самолет сдан в ЦАГИ для дооборудования</w:t>
      </w:r>
    </w:p>
    <w:p w14:paraId="289B6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года самолет принят для продолжения испытаний (без рации).</w:t>
      </w:r>
    </w:p>
    <w:p w14:paraId="6E23CE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 по 6 февраля 1932 года произведены испытания спецоборудвания</w:t>
      </w:r>
    </w:p>
    <w:p w14:paraId="6EAB1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февраля 1932 года самолет сдан в ЦАГИ для установки рации</w:t>
      </w:r>
    </w:p>
    <w:p w14:paraId="33F5C3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года самолет принят для продолжения испытаний</w:t>
      </w:r>
    </w:p>
    <w:p w14:paraId="765E2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апреля 1932 года испытания окончены</w:t>
      </w:r>
    </w:p>
    <w:p w14:paraId="15537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78 календарных дней.</w:t>
      </w:r>
    </w:p>
    <w:p w14:paraId="3E2C1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произведено в 12 летных дней.</w:t>
      </w:r>
    </w:p>
    <w:p w14:paraId="3BB26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время испытаний выполнено 36 полетов налетано 22 часа 21 мин (3003).</w:t>
      </w:r>
    </w:p>
    <w:p w14:paraId="469F9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вывод.</w:t>
      </w:r>
    </w:p>
    <w:p w14:paraId="74928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Р6-2М17 N 2201 может быть принят как эталон для постройки самолетов Р6 в 1932 г. при условии - устранения вибрации хвостового оперения и недочетов указанных в сводке (3003).</w:t>
      </w:r>
    </w:p>
    <w:p w14:paraId="34D80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7650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апреля 1932 в ходе испытаний на 22 заводе самолета Р6 N 2201 (эталон на 1932 год), которые проходили с 23 января по 7 апреля 1932, был выполнен полет на испытание радиооборудования (3003).</w:t>
      </w:r>
    </w:p>
    <w:p w14:paraId="58E9C0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9AA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апреля 1932 был предъявлен на гос. испытания С62 КЭ-АССО 750 (заводской N ОЕ-78) (2996).</w:t>
      </w:r>
    </w:p>
    <w:p w14:paraId="393A6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BF6F98" w14:textId="77777777" w:rsidR="00684A8A" w:rsidRPr="00E93F40" w:rsidRDefault="00684A8A" w:rsidP="00E93F40">
      <w:pPr>
        <w:pStyle w:val="ae"/>
        <w:spacing w:before="0" w:after="0"/>
        <w:jc w:val="both"/>
        <w:rPr>
          <w:color w:val="000000" w:themeColor="text1"/>
          <w:sz w:val="16"/>
          <w:szCs w:val="16"/>
        </w:rPr>
      </w:pPr>
      <w:r w:rsidRPr="00E93F40">
        <w:rPr>
          <w:color w:val="000000" w:themeColor="text1"/>
          <w:sz w:val="16"/>
          <w:szCs w:val="16"/>
        </w:rPr>
        <w:t>7 апреля 1932 года в НКТП по вопросу использования прозрачных материалов прошло совещание представителей Глававиапро- ма, НИИ ВВС, ЦАГИ и других заинтересованных организаций. На совещании рассмотрели общее положение работ, ведущихся в СССР по получению прозрачных материалов, из которых можно было изготовить обшивку самолетов и даже некоторые силовые элементы, в частности, лонжероны. Приглашенный изобретатель Громов (к сожалению, в ту пору инициалы, как правило, не указывались) доложил об изобретенной им прозрачной массе, годной, по его мнению, для этих целей. Эта масса готовилась «из рыбной чешуи и затем вводятся силикаты, которыми пленке придается любая твердость». Для получения листов обшивки предлагалось заливать этой массой металлическую сетку или редкое полотно. Кроме декларативных заявлений о том, кого надо привлечь к работе и на кого возложить руководство, совещание решило создать комиссию, которая должна была представить на утверждение план работ и смету. Вероятно, это так и осталось единственным результатом совещания.</w:t>
      </w:r>
    </w:p>
    <w:p w14:paraId="1B28E11A" w14:textId="77777777" w:rsidR="00684A8A" w:rsidRPr="00E93F40" w:rsidRDefault="00684A8A" w:rsidP="00E93F40">
      <w:pPr>
        <w:pStyle w:val="ae"/>
        <w:spacing w:before="0" w:after="0"/>
        <w:jc w:val="both"/>
        <w:rPr>
          <w:color w:val="000000" w:themeColor="text1"/>
          <w:sz w:val="16"/>
          <w:szCs w:val="16"/>
        </w:rPr>
      </w:pPr>
      <w:r w:rsidRPr="00E93F40">
        <w:rPr>
          <w:color w:val="000000" w:themeColor="text1"/>
          <w:sz w:val="16"/>
          <w:szCs w:val="16"/>
        </w:rPr>
        <w:t>Однако на этом совещании не присутствовал начальник кафедры конструирования самолетов Военно-Воздушной Академии Сергей Григорьевич Козлов, который примерно с 1928 года работал над вопросом уменьшения видимости самолетов. Правда, до 1934 года его деятельность ограничивалась чисто теоретическими изысканиями и весьма примитивными экспериментами, которые можно было провести без каких бы то ни было ассигнований. Но отсутствие официального заказа позволило С.Г. Козлову не спеша и основательно продумать не только пути максимального уменьшения видимости самолета, но и все препятствия, стоящие па этом пути. Проблема была разделена им на три отдельные задачи: видимость обшивки, видимость внутренней структуры самолета и видимость мотора, экипажа, вооружения и т.д.</w:t>
      </w:r>
    </w:p>
    <w:p w14:paraId="0A5075D8" w14:textId="77777777" w:rsidR="00684A8A" w:rsidRPr="00E93F40" w:rsidRDefault="00684A8A" w:rsidP="00E93F40">
      <w:pPr>
        <w:pStyle w:val="ae"/>
        <w:spacing w:before="0" w:after="0"/>
        <w:jc w:val="both"/>
        <w:rPr>
          <w:color w:val="000000" w:themeColor="text1"/>
          <w:sz w:val="16"/>
          <w:szCs w:val="16"/>
        </w:rPr>
      </w:pPr>
      <w:r w:rsidRPr="00E93F40">
        <w:rPr>
          <w:color w:val="000000" w:themeColor="text1"/>
          <w:sz w:val="16"/>
          <w:szCs w:val="16"/>
        </w:rPr>
        <w:t xml:space="preserve">Для решения первой задачи Козлов выбрал прозрачное покрытие. Исследовав несколько, наиболее подходящих материалов, он остановился на целлоне </w:t>
      </w:r>
      <w:hyperlink r:id="rId91" w:anchor="uBmk_154362" w:history="1">
        <w:r w:rsidRPr="00E93F40">
          <w:rPr>
            <w:rStyle w:val="a5"/>
            <w:rFonts w:eastAsia="Times New Roman"/>
            <w:color w:val="000000" w:themeColor="text1"/>
            <w:sz w:val="16"/>
            <w:szCs w:val="16"/>
          </w:rPr>
          <w:t>2</w:t>
        </w:r>
      </w:hyperlink>
      <w:r w:rsidRPr="00E93F40">
        <w:rPr>
          <w:color w:val="000000" w:themeColor="text1"/>
          <w:sz w:val="16"/>
          <w:szCs w:val="16"/>
        </w:rPr>
        <w:t>, который ранее применялся немцами. При дальнейшем усовершенствовании именно целлон имел наибольшие шансы стать кондиционным материалом для прозрачной обшивки.</w:t>
      </w:r>
    </w:p>
    <w:p w14:paraId="4BC59950" w14:textId="77777777" w:rsidR="00684A8A" w:rsidRPr="00E93F40" w:rsidRDefault="00684A8A" w:rsidP="00E93F40">
      <w:pPr>
        <w:pStyle w:val="ae"/>
        <w:spacing w:before="0" w:after="0"/>
        <w:jc w:val="both"/>
        <w:rPr>
          <w:color w:val="000000" w:themeColor="text1"/>
          <w:sz w:val="16"/>
          <w:szCs w:val="16"/>
        </w:rPr>
      </w:pPr>
      <w:r w:rsidRPr="00E93F40">
        <w:rPr>
          <w:color w:val="000000" w:themeColor="text1"/>
          <w:sz w:val="16"/>
          <w:szCs w:val="16"/>
        </w:rPr>
        <w:t>Анализируя вторую задачу, Козлов отказался от эфемерной возможности использования для силовых элементов прозрачных материалов (в силу их малой прочности) и остановился на применении более традиционных материалов. При этом он отмечал, что, кроме обычного стремления конструкторов снизить вес силовой конструкции, для уменьшения видимости самолета с прозрачной обшивкой необходимо всемерно уменьшить габариты силовых элементов. Таким образом, критерием качества материала, вместо удельной прочности (отношение предела прочности материала к его плотности – чем это отношение больше, тем меньше вес конструкции, обеспечивающей заданные условия прочности), становится просто предел прочности. Исходя из этого, на первое место, по мнению Козлова, вместо дюраля выходила нормализованная хромомолибденовая сталь.</w:t>
      </w:r>
    </w:p>
    <w:p w14:paraId="76977497" w14:textId="77777777" w:rsidR="00684A8A" w:rsidRPr="00E93F40" w:rsidRDefault="00684A8A" w:rsidP="00E93F40">
      <w:pPr>
        <w:pStyle w:val="ae"/>
        <w:spacing w:before="0" w:after="0"/>
        <w:jc w:val="both"/>
        <w:rPr>
          <w:color w:val="000000" w:themeColor="text1"/>
          <w:sz w:val="16"/>
          <w:szCs w:val="16"/>
        </w:rPr>
      </w:pPr>
      <w:r w:rsidRPr="00E93F40">
        <w:rPr>
          <w:color w:val="000000" w:themeColor="text1"/>
          <w:sz w:val="16"/>
          <w:szCs w:val="16"/>
        </w:rPr>
        <w:t>Но не только выбор материала служил решению второй задачи – большую роль играл тип конструкции крыла и фюзеляжа самолета. Так как по своим физико-механическим свойствам целлон не мог служить работающей обшивкой, то наиболее перспективными с точки зрения малозаметности становились ферменные конструкции с проволочными расчалками, которые в первой половине 1930-х еще широко применялись в авиации. Из существующих наиболее полно решению второй задачи отвечала конструкция самолета «Сталь-2», хотя и здесь нужно было пересмотреть форму нервюр и лонжеронов.</w:t>
      </w:r>
    </w:p>
    <w:p w14:paraId="2B60BF97" w14:textId="77777777" w:rsidR="00684A8A" w:rsidRPr="00E93F40" w:rsidRDefault="00684A8A" w:rsidP="00E93F40">
      <w:pPr>
        <w:pStyle w:val="ae"/>
        <w:spacing w:before="0" w:after="0"/>
        <w:jc w:val="both"/>
        <w:rPr>
          <w:color w:val="000000" w:themeColor="text1"/>
          <w:sz w:val="16"/>
          <w:szCs w:val="16"/>
        </w:rPr>
      </w:pPr>
      <w:r w:rsidRPr="00E93F40">
        <w:rPr>
          <w:color w:val="000000" w:themeColor="text1"/>
          <w:sz w:val="16"/>
          <w:szCs w:val="16"/>
        </w:rPr>
        <w:t>Третий пункт. Для уменьшения видимости экипажа, вооружения, мотора и т.д. Козлов предлагал использовать некую «световую броню», пути реализации которой он, вероятно, и сам ясно не представлял. Суть дела была вот в чем. Любой предмет на фоне неба выглядит значительно темнее, чем само небо. Связано это с тем, что нижние поверхности освещаются отраженным от земли светом, а коэффициент отражения земной поверхности колеблется в зависимости от местности от 4 до 15%. Исключением является только снег – 80%. Летом нижние поверхности, какой бы светлой и блестящей краской они не окрашивались, будут выглядеть в 6-20 раз темнее неба. Следовательно, в идеале, надо подсветить нижние непрозрачные поверхности самолета или установить на эти поверхности, направленный вниз источник рассеянного света.</w:t>
      </w:r>
    </w:p>
    <w:p w14:paraId="39A2CBB6" w14:textId="77777777" w:rsidR="00684A8A" w:rsidRPr="00E93F40" w:rsidRDefault="00684A8A" w:rsidP="00E93F40">
      <w:pPr>
        <w:pStyle w:val="ae"/>
        <w:spacing w:before="0" w:after="0"/>
        <w:jc w:val="both"/>
        <w:rPr>
          <w:color w:val="000000" w:themeColor="text1"/>
          <w:sz w:val="16"/>
          <w:szCs w:val="16"/>
        </w:rPr>
      </w:pPr>
      <w:r w:rsidRPr="00E93F40">
        <w:rPr>
          <w:color w:val="000000" w:themeColor="text1"/>
          <w:sz w:val="16"/>
          <w:szCs w:val="16"/>
        </w:rPr>
        <w:t>Сочетание всех трех направлений позволило бы построить максимально невидимый (или минимально видимый) самолет. Но значение для маскировки и цена осуществления каждого из них был неравноценны. Прекрасно сознавая невозможность в то время осуществления на практике «световой брони», С. Козлов больше не возвращался к этой идее, предложив, в качестве некоторой ее замены «отражательный» способ, т.е. «отразить соседние участки неба посредством полированных поверхностей (зеркал, полированная гладкая сталь и т.д.)». Решение второй задачи требовало проектирования специального самолета, и было оставлено на следующий этап работ. А пока все внимание было устремлено на прозрачную обшивку (12703).</w:t>
      </w:r>
    </w:p>
    <w:p w14:paraId="356DE660" w14:textId="77777777" w:rsidR="00684A8A" w:rsidRPr="00E93F40" w:rsidRDefault="00684A8A" w:rsidP="00E93F40">
      <w:pPr>
        <w:pStyle w:val="ae"/>
        <w:spacing w:before="0" w:after="0"/>
        <w:jc w:val="both"/>
        <w:rPr>
          <w:color w:val="000000" w:themeColor="text1"/>
          <w:sz w:val="16"/>
          <w:szCs w:val="16"/>
        </w:rPr>
      </w:pPr>
    </w:p>
    <w:p w14:paraId="542BC1DF"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7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509/117сс об изменении постановления СНК СССР № 211с от 30 сентября 1931 г. о порядке использования транспортных средств в мобилизационный период (ГА РФ. Ф. Р?8418. Оп. 28. Д. 146. Л. 57?59) (12415).</w:t>
      </w:r>
    </w:p>
    <w:p w14:paraId="2DB96F6A"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344/122сс об обеспечении дополнительного строительства НКВМ по постоянным и оперативным аэродромам для тяжелых авиабригад на 1932 г. (ГА РФ. Ф. Р?8418. Оп. 28. Д. 1а. Л. 201) (12415).</w:t>
      </w:r>
    </w:p>
    <w:p w14:paraId="3DF40276" w14:textId="77777777" w:rsidR="00424ECB" w:rsidRPr="00E93F40" w:rsidRDefault="00424ECB" w:rsidP="00E93F40">
      <w:pPr>
        <w:spacing w:after="0" w:line="240" w:lineRule="auto"/>
        <w:jc w:val="both"/>
        <w:rPr>
          <w:rFonts w:ascii="Times New Roman" w:hAnsi="Times New Roman"/>
          <w:color w:val="000000" w:themeColor="text1"/>
          <w:sz w:val="16"/>
          <w:szCs w:val="16"/>
          <w:u w:color="002060"/>
        </w:rPr>
      </w:pPr>
    </w:p>
    <w:p w14:paraId="550F313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2E1298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3042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апреля 1932 года после ремонта 152-мм пушка Д вернулась на НИАП для дальнейших испытаний (3861).</w:t>
      </w:r>
    </w:p>
    <w:p w14:paraId="6250F1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5C9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апреля 1932 была направлена телеграмма из Москвы "№. 167. Гамарнику, Блюхеру,..., Катте</w:t>
      </w:r>
      <w:r w:rsidRPr="00E93F40">
        <w:rPr>
          <w:rFonts w:ascii="Times New Roman" w:hAnsi="Times New Roman"/>
          <w:color w:val="000000" w:themeColor="text1"/>
          <w:sz w:val="16"/>
          <w:szCs w:val="16"/>
        </w:rPr>
        <w:softHyphen/>
        <w:t>лю. Телеграмму Серго, вероятно, вы уже получили. Решение обус</w:t>
      </w:r>
      <w:r w:rsidRPr="00E93F40">
        <w:rPr>
          <w:rFonts w:ascii="Times New Roman" w:hAnsi="Times New Roman"/>
          <w:color w:val="000000" w:themeColor="text1"/>
          <w:sz w:val="16"/>
          <w:szCs w:val="16"/>
        </w:rPr>
        <w:softHyphen/>
        <w:t>ловлено двумя мотивами. Первое. Завод надо построить возможно дальше от границы. Возле Хабаровска было бы легче, но надо за</w:t>
      </w:r>
      <w:r w:rsidRPr="00E93F40">
        <w:rPr>
          <w:rFonts w:ascii="Times New Roman" w:hAnsi="Times New Roman"/>
          <w:color w:val="000000" w:themeColor="text1"/>
          <w:sz w:val="16"/>
          <w:szCs w:val="16"/>
        </w:rPr>
        <w:softHyphen/>
        <w:t xml:space="preserve">труднить возможность нападения на него. </w:t>
      </w:r>
      <w:r w:rsidRPr="00E93F40">
        <w:rPr>
          <w:rFonts w:ascii="Times New Roman" w:hAnsi="Times New Roman"/>
          <w:color w:val="000000" w:themeColor="text1"/>
          <w:sz w:val="16"/>
          <w:szCs w:val="16"/>
        </w:rPr>
        <w:lastRenderedPageBreak/>
        <w:t>Учтите исключительную важность завода. Второе. Завод надо построить обязательно на ле</w:t>
      </w:r>
      <w:r w:rsidRPr="00E93F40">
        <w:rPr>
          <w:rFonts w:ascii="Times New Roman" w:hAnsi="Times New Roman"/>
          <w:color w:val="000000" w:themeColor="text1"/>
          <w:sz w:val="16"/>
          <w:szCs w:val="16"/>
        </w:rPr>
        <w:softHyphen/>
        <w:t>вом берегу Амура, чтобы обойтись без моста через реку, с присое</w:t>
      </w:r>
      <w:r w:rsidRPr="00E93F40">
        <w:rPr>
          <w:rFonts w:ascii="Times New Roman" w:hAnsi="Times New Roman"/>
          <w:color w:val="000000" w:themeColor="text1"/>
          <w:sz w:val="16"/>
          <w:szCs w:val="16"/>
        </w:rPr>
        <w:softHyphen/>
        <w:t>динением ветки на магистраль. Считаю, что Каттелю и его работ</w:t>
      </w:r>
      <w:r w:rsidRPr="00E93F40">
        <w:rPr>
          <w:rFonts w:ascii="Times New Roman" w:hAnsi="Times New Roman"/>
          <w:color w:val="000000" w:themeColor="text1"/>
          <w:sz w:val="16"/>
          <w:szCs w:val="16"/>
        </w:rPr>
        <w:softHyphen/>
        <w:t>никам не следовало бы выезжать в Москва — это лишняя трата де-рвег. Приступайте к работе скорее. Сталин." (3898).</w:t>
      </w:r>
    </w:p>
    <w:p w14:paraId="386CBD5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7EC221" w14:textId="3CBB6994"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апреля 1932 г. начались испытания самоходной установки Т-27М (Т-27С, или Т-27/С/), которую создали в КБ ленинградского завода «Большевик» по проекту К.К. Сиркена в 1931 г.</w:t>
      </w:r>
      <w:r w:rsidR="00DD74E1">
        <w:rPr>
          <w:rFonts w:ascii="Times New Roman" w:hAnsi="Times New Roman"/>
          <w:color w:val="0070C0"/>
          <w:sz w:val="16"/>
          <w:szCs w:val="16"/>
        </w:rPr>
        <w:t xml:space="preserve"> </w:t>
      </w:r>
      <w:r w:rsidRPr="00142305">
        <w:rPr>
          <w:rFonts w:ascii="Times New Roman" w:hAnsi="Times New Roman"/>
          <w:color w:val="0070C0"/>
          <w:sz w:val="16"/>
          <w:szCs w:val="16"/>
        </w:rPr>
        <w:t>«на слаженность отдельных механизмов при движении на 4-й скорости по шоссе».</w:t>
      </w:r>
    </w:p>
    <w:p w14:paraId="38EA483A"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 склада №37 на полигон в Кубинке машина прибыла своим ходом. Движение проходило по шоссе с подъемами и спусками до 4°. До Кунцево шоссе было чистым, а далее до Кубинки — покрыто растаявшим снегом. В ходе пробега произошло короткое замыкание в цепи, причиной чего сочли</w:t>
      </w:r>
    </w:p>
    <w:p w14:paraId="0EE1A38D"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«ветхость всей проводки электрооборудования».</w:t>
      </w:r>
    </w:p>
    <w:p w14:paraId="014C20D5"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отмечалась ненадежная работа гусеничного движителя </w:t>
      </w:r>
      <w:hyperlink r:id="rId92"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етки:</w:t>
      </w:r>
    </w:p>
    <w:p w14:paraId="60943F3A"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Частое соскакивание гусеницы объясняется конструктивным устройством движителя, а именно: гусеница охватывает меньше, чем одну треть ленивца и развалу перьев — направляющих трака гусеницы.</w:t>
      </w:r>
    </w:p>
    <w:p w14:paraId="324A8896"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б/В виду конструктивных данных движителя и гусеницы развороты крупные на 1-й и 2-й скоростях и полный разворот на 1 -й скорости ограничен» (25961).</w:t>
      </w:r>
    </w:p>
    <w:p w14:paraId="7066B2BD" w14:textId="77777777" w:rsidR="00311ADB" w:rsidRPr="00142305" w:rsidRDefault="00311ADB" w:rsidP="00311ADB">
      <w:pPr>
        <w:spacing w:after="0" w:line="240" w:lineRule="auto"/>
        <w:jc w:val="both"/>
        <w:rPr>
          <w:rFonts w:ascii="Times New Roman" w:hAnsi="Times New Roman"/>
          <w:color w:val="0070C0"/>
          <w:sz w:val="16"/>
          <w:szCs w:val="16"/>
        </w:rPr>
      </w:pPr>
    </w:p>
    <w:p w14:paraId="3EA9B7EF"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апреля 1932 прошли сравнительные испытания на линкоре «Марат» приемника Остехбюро селекторного вызова и приемника типа «Блокада» (18667).</w:t>
      </w:r>
    </w:p>
    <w:p w14:paraId="10021E2C" w14:textId="77777777" w:rsidR="00446FB0" w:rsidRPr="00E93F40" w:rsidRDefault="00446FB0" w:rsidP="00E93F40">
      <w:pPr>
        <w:spacing w:after="0" w:line="240" w:lineRule="auto"/>
        <w:jc w:val="both"/>
        <w:rPr>
          <w:rFonts w:ascii="Times New Roman" w:hAnsi="Times New Roman"/>
          <w:color w:val="000000" w:themeColor="text1"/>
          <w:sz w:val="16"/>
          <w:szCs w:val="16"/>
        </w:rPr>
      </w:pPr>
    </w:p>
    <w:p w14:paraId="3C4C495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5A7444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F373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состоялось совещание N 1 о развертывании работ по рекордной машине АНТ-25 с целью увеличения дальности (1077,263).</w:t>
      </w:r>
    </w:p>
    <w:p w14:paraId="72A853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9B88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 просто по постройке рекордной машины на дальность - и это точно. Докладывал А.Н.Т. и хотел выпустить на аэродром к 15 июля 1932, а сдачу последних чертежей не позднее 1 июля. П.О.С. был назначен ответственным руководителем бригады по проектированию и постройке АНТ-25. Аэродинамический и основной расчет - бригада В.М.П. В.Н.Беляеву - дать наметку основных размеров и разметку нагрузок. Хвостовое оперение поручили бригаде Некрасова, а шасси - Т.П.Сапрыкину. Моторамы - бригаде 2, моторного оборудования - бригаде 8 (1102).</w:t>
      </w:r>
    </w:p>
    <w:p w14:paraId="6FD9C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14841B"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г. Ответственным руководителем бри</w:t>
      </w:r>
      <w:r w:rsidRPr="00E93F40">
        <w:rPr>
          <w:rFonts w:ascii="Times New Roman" w:hAnsi="Times New Roman"/>
          <w:color w:val="000000" w:themeColor="text1"/>
          <w:sz w:val="16"/>
          <w:szCs w:val="16"/>
        </w:rPr>
        <w:softHyphen/>
        <w:t>гады по проектированию и постройке са</w:t>
      </w:r>
      <w:r w:rsidRPr="00E93F40">
        <w:rPr>
          <w:rFonts w:ascii="Times New Roman" w:hAnsi="Times New Roman"/>
          <w:color w:val="000000" w:themeColor="text1"/>
          <w:sz w:val="16"/>
          <w:szCs w:val="16"/>
        </w:rPr>
        <w:softHyphen/>
        <w:t>молёта РД приказом по ЦАГИ был назначен П.О. Сухой (24309).</w:t>
      </w:r>
    </w:p>
    <w:p w14:paraId="371CAE57"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117EEF15"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апреля 1932 г. в приказе по ЦАГИ П.О.С. зна</w:t>
      </w:r>
      <w:r w:rsidRPr="00142305">
        <w:rPr>
          <w:rFonts w:ascii="Times New Roman" w:hAnsi="Times New Roman"/>
          <w:color w:val="0070C0"/>
          <w:sz w:val="16"/>
          <w:szCs w:val="16"/>
        </w:rPr>
        <w:softHyphen/>
        <w:t>чится «ответственным по машине» АНТ-25. На Сухого также возложили конструирование центральной части крыла, фюзеляжа и управления рулями (24946).</w:t>
      </w:r>
    </w:p>
    <w:p w14:paraId="4DA6B5D8" w14:textId="77777777" w:rsidR="00311ADB" w:rsidRPr="00142305" w:rsidRDefault="00311ADB" w:rsidP="00311ADB">
      <w:pPr>
        <w:spacing w:after="0" w:line="240" w:lineRule="auto"/>
        <w:jc w:val="both"/>
        <w:rPr>
          <w:rFonts w:ascii="Times New Roman" w:hAnsi="Times New Roman"/>
          <w:color w:val="0070C0"/>
          <w:sz w:val="16"/>
          <w:szCs w:val="16"/>
        </w:rPr>
      </w:pPr>
    </w:p>
    <w:p w14:paraId="10A2E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начались испытания первой Савойи С-62бис, построенной на 31 завода. Первые пять строили без чертежей по обмерам. В строевые части не пошли и те, что делались по чертежам стали называть МБР-4 (1085,106).</w:t>
      </w:r>
    </w:p>
    <w:p w14:paraId="5588F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182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фирма Рато дала предложение на поставку 20 нагнетателей к М-34 по 90 тыс. франков всего на 900000, но ответа не получила и решала, что мы отказались. С трудом восстановили отношения. Получили новое предложение 10 марта 1933 (2304,20).</w:t>
      </w:r>
    </w:p>
    <w:p w14:paraId="73F4D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47A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закончились испытания первого звена В.С.Вахмистрова и НИИ ВВС дал положительное заключение. Первую назвали 3-1, потом появились: 3-1а (ТБ-1 + 2хИ-5), 3-2 (ТБ-3 + 3хИ-5), 3-6 (ТБ-3 + 2хИ-16), до этого были попытки подвешивать И-Z на качающейся установке, но оказалась слишком сложной, 3-5 (ТБ-3 + И-Z с подцепкой), АМ объединил 3-2, 3-6, и 3-5 - (ТБ-3 + 2хИ-16 + 2хИ-5 + И-Z. 3-6 стал СПБ И-16-ФАБ-250 (372,38). Испытания шли с 3 (91,35) декабря 1931 (92,344).</w:t>
      </w:r>
    </w:p>
    <w:p w14:paraId="3EA1B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C5F285"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8 апреля</w:t>
      </w:r>
      <w:r w:rsidRPr="00E93F40">
        <w:rPr>
          <w:rFonts w:ascii="Times New Roman" w:hAnsi="Times New Roman"/>
          <w:color w:val="000000" w:themeColor="text1"/>
          <w:sz w:val="16"/>
          <w:szCs w:val="16"/>
        </w:rPr>
        <w:t xml:space="preserve"> в 1932 году завершились повторные испытания (начались 1 апреля), после некоторой доработки конструкции, </w:t>
      </w:r>
      <w:hyperlink r:id="rId93" w:tgtFrame="_blank" w:history="1">
        <w:r w:rsidRPr="00E93F40">
          <w:rPr>
            <w:rFonts w:ascii="Times New Roman" w:hAnsi="Times New Roman"/>
            <w:color w:val="000000" w:themeColor="text1"/>
            <w:sz w:val="16"/>
            <w:szCs w:val="16"/>
          </w:rPr>
          <w:t xml:space="preserve">«Звена». </w:t>
        </w:r>
      </w:hyperlink>
      <w:r w:rsidRPr="00E93F40">
        <w:rPr>
          <w:rFonts w:ascii="Times New Roman" w:hAnsi="Times New Roman"/>
          <w:color w:val="000000" w:themeColor="text1"/>
          <w:sz w:val="16"/>
          <w:szCs w:val="16"/>
        </w:rPr>
        <w:t>По их завершении НИИ ВВС дал заключение о том, что полеты на "авианосце" и его истребителях доступны для летчиков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Первый полет "Звена" состоялся 3 декабря 1931 г. Носитель пилотировали А.И.Залевский и B.C.Вахмистров, в кабине левого «И-4» сидел В.П.Чкалов, правого- А.Ф.Анисимов. На высоте 1000 м истребители отцепились от бомбардировщика, при этом правый ударился колесом в крыло «ТБ-1», пробил обшивку и смял опору. Но приземлились все три самолета нормально (15093).</w:t>
      </w:r>
    </w:p>
    <w:p w14:paraId="30F5B082" w14:textId="77777777" w:rsidR="00A9613C" w:rsidRPr="00E93F40" w:rsidRDefault="00A9613C" w:rsidP="00E93F40">
      <w:pPr>
        <w:spacing w:after="0" w:line="240" w:lineRule="auto"/>
        <w:jc w:val="both"/>
        <w:rPr>
          <w:rFonts w:ascii="Times New Roman" w:hAnsi="Times New Roman"/>
          <w:color w:val="000000" w:themeColor="text1"/>
          <w:sz w:val="16"/>
          <w:szCs w:val="16"/>
        </w:rPr>
      </w:pPr>
    </w:p>
    <w:p w14:paraId="5C813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г. закончились повторные испытания Звена после некоторой доработки конструкции, которые шли с 1 апонля. По их завершении НИИ ВВС дал заключение о том, что полеты на "авианосце" и его истребителях доступны для летчиков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(12001).</w:t>
      </w:r>
    </w:p>
    <w:p w14:paraId="650FDC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93A5AC"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апреля 1932 года завершились повторные испытания, после некоторой доработки конструкции, «Звена» (начались 1 апреля). По их завершении НИИ ВВС дал заключение о том, что полёты на "авианосце" и его истребителях доступны для лётчиков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(25740).</w:t>
      </w:r>
    </w:p>
    <w:p w14:paraId="4147990B" w14:textId="77777777" w:rsidR="00311ADB" w:rsidRPr="00142305" w:rsidRDefault="00311ADB" w:rsidP="00311ADB">
      <w:pPr>
        <w:spacing w:after="0" w:line="240" w:lineRule="auto"/>
        <w:jc w:val="both"/>
        <w:rPr>
          <w:rFonts w:ascii="Times New Roman" w:hAnsi="Times New Roman"/>
          <w:color w:val="0070C0"/>
          <w:sz w:val="16"/>
          <w:szCs w:val="16"/>
        </w:rPr>
      </w:pPr>
    </w:p>
    <w:p w14:paraId="2C9211EC"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г. Протокол ПБ № 95 п.38/3: Вопросы ГУГВФ – ОП. Решено: а) Ассигновать на постройку ремзавода в районе Хабаровска, в распоряжение начальника ГУГВФ Гольцмана, 16 миллионов рублей и 10 тысяч валюты на импорт станков, оборудования и инструмента; увеличить ГУГВФ импортный контингент на 400 тысяч рублей; поручить Наркомвнешторгу заказать в Италии 6 самолетов со 100% запасом мотороресурса; обязать ГУГВФ немедленно открыть движение на этих самолетах по Приморской линии. б) Разрешить ГУГВФ выписать из САСШ специальное электросварочное оборудование на 20 тысяч рублей (15900).</w:t>
      </w:r>
    </w:p>
    <w:p w14:paraId="7AC6573C" w14:textId="77777777" w:rsidR="00A9613C" w:rsidRPr="00E93F40" w:rsidRDefault="00A9613C" w:rsidP="00E93F40">
      <w:pPr>
        <w:spacing w:after="0" w:line="240" w:lineRule="auto"/>
        <w:jc w:val="both"/>
        <w:rPr>
          <w:rFonts w:ascii="Times New Roman" w:hAnsi="Times New Roman"/>
          <w:color w:val="000000" w:themeColor="text1"/>
          <w:sz w:val="16"/>
          <w:szCs w:val="16"/>
        </w:rPr>
      </w:pPr>
    </w:p>
    <w:p w14:paraId="260D8419" w14:textId="77777777" w:rsidR="005256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F916AC0" w14:textId="77777777" w:rsidR="00525619" w:rsidRPr="00E93F40" w:rsidRDefault="005256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AADE90"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состоялось заседание ПБ (Протокол № 95)</w:t>
      </w:r>
    </w:p>
    <w:p w14:paraId="4E292F93"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26.-О прелложениях концерна "Рихард Кан".</w:t>
      </w:r>
    </w:p>
    <w:p w14:paraId="1D12FE95"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Пятаков, Розенгольц).</w:t>
      </w:r>
    </w:p>
    <w:p w14:paraId="7CBD6E58"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Идею Наркомтяжа о закупке старых заводов и станков одобрить.</w:t>
      </w:r>
    </w:p>
    <w:p w14:paraId="0A3F2C78"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Наркомтяж (с привлечением представителя НКЗема СССР) организовать технически-авторитетный осмотр заводов и складов.</w:t>
      </w:r>
    </w:p>
    <w:p w14:paraId="3499ACDE"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 все; Яковлеву - п."бп.</w:t>
      </w:r>
    </w:p>
    <w:p w14:paraId="0689A01C"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опросом членов ПБ</w:t>
      </w:r>
    </w:p>
    <w:p w14:paraId="68D01561"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38/8.- Вопросы ГУГВФ.</w:t>
      </w:r>
    </w:p>
    <w:p w14:paraId="11D127D2"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постройку в районе г. Хабаровска ремзавода ассигновать в распоряжение нач. ГУГВФ т. Гольцмана 16 млн. руб.и валюты на импорт станков, оборудования и инструмента 10 тыс. руб., а также увеличить ГУГВФ импорт</w:t>
      </w:r>
      <w:r w:rsidRPr="00E93F40">
        <w:rPr>
          <w:rFonts w:ascii="Times New Roman" w:hAnsi="Times New Roman"/>
          <w:color w:val="000000" w:themeColor="text1"/>
          <w:sz w:val="16"/>
          <w:szCs w:val="16"/>
        </w:rPr>
        <w:softHyphen/>
        <w:t>ный контингент на 400 тыс. руб. Поручить Наркомвнешторгу немедленно заказать в Италии 6 самолетов 2-х лодоч</w:t>
      </w:r>
      <w:r w:rsidRPr="00E93F40">
        <w:rPr>
          <w:rFonts w:ascii="Times New Roman" w:hAnsi="Times New Roman"/>
          <w:color w:val="000000" w:themeColor="text1"/>
          <w:sz w:val="16"/>
          <w:szCs w:val="16"/>
        </w:rPr>
        <w:softHyphen/>
        <w:t>ной системы типа С-55 с 2 моторами АССО каждый, со 100% запасом моторо-рессурса, а ГУГВФ по получении этих са</w:t>
      </w:r>
      <w:r w:rsidRPr="00E93F40">
        <w:rPr>
          <w:rFonts w:ascii="Times New Roman" w:hAnsi="Times New Roman"/>
          <w:color w:val="000000" w:themeColor="text1"/>
          <w:sz w:val="16"/>
          <w:szCs w:val="16"/>
        </w:rPr>
        <w:softHyphen/>
        <w:t>молетов немедленно открыть на них движение по Приморской линии.</w:t>
      </w:r>
    </w:p>
    <w:p w14:paraId="1FF16740"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Разрешить ГУГВФ выписать из САСШ специальное электросварочное оборудование на 20 тыс. руб. в валюте.</w:t>
      </w:r>
    </w:p>
    <w:p w14:paraId="0B12D26D"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Рудзутаку, Ворошилову, Гольцману.</w:t>
      </w:r>
    </w:p>
    <w:p w14:paraId="6C1F60B5"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опросом членов ПБ</w:t>
      </w:r>
    </w:p>
    <w:p w14:paraId="0ACDFA0A"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65/30.- О вербовке рабочей силы заграницей.</w:t>
      </w:r>
    </w:p>
    <w:p w14:paraId="1AFE15E5"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Не возражать против вербовки Наркомтяжпромом в Германии и Австрии 1.420 квалифицированных рабочих, 100 человек средне-технического персонала и 230 инженеров-уголыциков для работы в Кузбассе, на безвалютных условиях.</w:t>
      </w:r>
    </w:p>
    <w:p w14:paraId="209AB7E1"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Обязатъ Ндркомтяжпром производить вербовку от</w:t>
      </w:r>
      <w:r w:rsidRPr="00E93F40">
        <w:rPr>
          <w:rFonts w:ascii="Times New Roman" w:hAnsi="Times New Roman"/>
          <w:color w:val="000000" w:themeColor="text1"/>
          <w:sz w:val="16"/>
          <w:szCs w:val="16"/>
        </w:rPr>
        <w:softHyphen/>
        <w:t>дельными небольшими группами в 10-15 чел., не форсируя ее.</w:t>
      </w:r>
    </w:p>
    <w:p w14:paraId="6A8CE35D"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Жестко обусловить в"езд иностранных рабочих и специалистов в СССР наличием жилищ для них и указанием места работы и специальности для каждого из завербованных рабочих и специалистов.</w:t>
      </w:r>
    </w:p>
    <w:p w14:paraId="39FB6291"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г) Для наблюдения за выполнением этих условий создать при ЦК ВКП(б) специальную комиссию в составе т.т. Ройзенмана (председатель).Друяна (Распред. отд. ЦК) и Биткера (НКТяжпром).</w:t>
      </w:r>
    </w:p>
    <w:p w14:paraId="7C013135"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Ежову, Артузову, Ройзенману, Друяну, Виткеру; Оргбюро. (23041).</w:t>
      </w:r>
    </w:p>
    <w:p w14:paraId="54C9CAF8" w14:textId="77777777" w:rsidR="003516A0" w:rsidRPr="00E93F40" w:rsidRDefault="003516A0" w:rsidP="00E93F40">
      <w:pPr>
        <w:spacing w:after="0" w:line="240" w:lineRule="auto"/>
        <w:jc w:val="both"/>
        <w:rPr>
          <w:rFonts w:ascii="Times New Roman" w:hAnsi="Times New Roman"/>
          <w:color w:val="000000" w:themeColor="text1"/>
          <w:sz w:val="16"/>
          <w:szCs w:val="16"/>
        </w:rPr>
      </w:pPr>
    </w:p>
    <w:p w14:paraId="38B94661" w14:textId="77777777" w:rsidR="00525619" w:rsidRPr="00E93F40" w:rsidRDefault="00525619"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8 апреля 1932 </w:t>
      </w:r>
      <w:r w:rsidRPr="00E93F40">
        <w:rPr>
          <w:rFonts w:ascii="Times New Roman" w:hAnsi="Times New Roman"/>
          <w:color w:val="000000" w:themeColor="text1"/>
          <w:sz w:val="16"/>
          <w:szCs w:val="16"/>
        </w:rPr>
        <w:t>Политбюро ЦК ВКП (б) рассмотрело вопрос о партийной н хозяйственной работе на Нижегородском автозаводе, признало ее неудовлетворительной и обязало Нижегородский крайком ВКП (б) выправить положение с партийным руководством на заводе (12265).</w:t>
      </w:r>
    </w:p>
    <w:p w14:paraId="36CDD02E" w14:textId="610BA93F" w:rsidR="00525619"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10B83F7E"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апреля 1932 г. Протокол ПБ № 95 п.36/1: О Нижегородском автозаводе. Решено: Признать наличие полной технической возможности завода, выполнить и перевыполнить заданную ему программу по выпуску машин. Установить причиной факта приостановки выпуска машин – неудовлетворительное руководство заводом. Констатировано: полное отсутствие на заводе единоначалия, подмена хозяйственного руководства райкомом и цеховыми парторганизациями, наличие антиспецовских настроений и травли административно-технического персонала, слабая партийно-массовая работа. Указано на отсутствие в заводоуправлении четкого распределения обязанностей между многочисленными заместителями директора, четкости и твердости хозяйственного руководства. Вынесено постановление ЦК: 1. Обязать Нижегородский крайком в кротчайший срок выправить линию партруководства на заводе и обеспечить производственный подъем, улучшение партийно-массовой работы на заводе и установление твердого единоначалия. 2. Реорганизовать структуру парторганизации завода, установить, вместо существующих райкома, корпусных партбюро и цехячеек, заводской партком и цехячейки. 3. Освободить Кузнецова К. от обязанностей секретаря райкома, поручив Секретариату ЦК до 3-4-1932 представить кандидатуру на пост секретаря парткома завода. 4. Принять к сведению сообщение Наркомтяжпрома о назначении Кузнецова начальником Управления самолето-вагоностроя в Казани. 5. Принять к сведению сообщение Наркомтяжпрома о данном им распоряжении о замене начальника кузнечного цеха Пенькова инженером Соколовым и начальника механосборочного цеха Кулешова инженером Вальтером. 6. Принять к сведению сообщение заводоуправления о возобновлении выпуска машин не позднее 15-4-1932 и об обязательстве выполнить программу по выпуску машин за все первое полугодие в течение второго квартала. 7. Дано указание Наркомтяжпрому обеспечить прокатку металла на союзных заводах и своевременную его доставку на автозавод (15899).</w:t>
      </w:r>
    </w:p>
    <w:p w14:paraId="076882E5" w14:textId="77777777" w:rsidR="00A9613C" w:rsidRPr="00E93F40" w:rsidRDefault="00A9613C" w:rsidP="00E93F40">
      <w:pPr>
        <w:spacing w:after="0" w:line="240" w:lineRule="auto"/>
        <w:jc w:val="both"/>
        <w:rPr>
          <w:rFonts w:ascii="Times New Roman" w:hAnsi="Times New Roman"/>
          <w:color w:val="000000" w:themeColor="text1"/>
          <w:sz w:val="16"/>
          <w:szCs w:val="16"/>
        </w:rPr>
      </w:pPr>
    </w:p>
    <w:p w14:paraId="4F722E8F" w14:textId="77777777" w:rsidR="00F8376C" w:rsidRPr="00E93F40" w:rsidRDefault="00F8376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8 апреля</w:t>
      </w:r>
      <w:r w:rsidRPr="00E93F40">
        <w:rPr>
          <w:rFonts w:ascii="Times New Roman" w:hAnsi="Times New Roman"/>
          <w:color w:val="000000" w:themeColor="text1"/>
          <w:sz w:val="16"/>
          <w:szCs w:val="16"/>
        </w:rPr>
        <w:t xml:space="preserve"> в 1932 году в лаборатории Ленинградского института стекла разработан способ получения рубинового стекла (15093).</w:t>
      </w:r>
    </w:p>
    <w:p w14:paraId="6A70F399" w14:textId="77777777" w:rsidR="00F8376C" w:rsidRPr="00E93F40" w:rsidRDefault="00F8376C" w:rsidP="00E93F40">
      <w:pPr>
        <w:spacing w:after="0" w:line="240" w:lineRule="auto"/>
        <w:jc w:val="both"/>
        <w:rPr>
          <w:rFonts w:ascii="Times New Roman" w:hAnsi="Times New Roman"/>
          <w:color w:val="000000" w:themeColor="text1"/>
          <w:sz w:val="16"/>
          <w:szCs w:val="16"/>
        </w:rPr>
      </w:pPr>
    </w:p>
    <w:p w14:paraId="0A3E11A6"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8 апреля 1932 в газете Труд было опубликовано</w:t>
      </w:r>
    </w:p>
    <w:p w14:paraId="0A37B159" w14:textId="77777777" w:rsidR="009274A8" w:rsidRPr="00E93F40" w:rsidRDefault="009274A8" w:rsidP="00E93F40">
      <w:pPr>
        <w:pStyle w:val="ae"/>
        <w:spacing w:before="0" w:after="0"/>
        <w:jc w:val="both"/>
        <w:rPr>
          <w:rStyle w:val="a7"/>
          <w:b w:val="0"/>
          <w:color w:val="000000" w:themeColor="text1"/>
          <w:sz w:val="16"/>
          <w:szCs w:val="16"/>
        </w:rPr>
      </w:pPr>
      <w:r w:rsidRPr="00E93F40">
        <w:rPr>
          <w:color w:val="000000" w:themeColor="text1"/>
          <w:sz w:val="16"/>
          <w:szCs w:val="16"/>
        </w:rPr>
        <w:t>Дело Штерна и Васильева</w:t>
      </w:r>
    </w:p>
    <w:p w14:paraId="159B64F9" w14:textId="77777777" w:rsidR="009274A8" w:rsidRPr="00E93F40" w:rsidRDefault="009274A8" w:rsidP="00E93F40">
      <w:pPr>
        <w:pStyle w:val="ae"/>
        <w:spacing w:before="0" w:after="0"/>
        <w:jc w:val="both"/>
        <w:rPr>
          <w:rStyle w:val="a7"/>
          <w:b w:val="0"/>
          <w:color w:val="000000" w:themeColor="text1"/>
          <w:sz w:val="16"/>
          <w:szCs w:val="16"/>
        </w:rPr>
      </w:pPr>
      <w:r w:rsidRPr="00E93F40">
        <w:rPr>
          <w:color w:val="000000" w:themeColor="text1"/>
          <w:sz w:val="16"/>
          <w:szCs w:val="16"/>
        </w:rPr>
        <w:t>Приговор</w:t>
      </w:r>
    </w:p>
    <w:p w14:paraId="057D5C6F" w14:textId="77777777" w:rsidR="009274A8" w:rsidRPr="00E93F40" w:rsidRDefault="009274A8" w:rsidP="00E93F40">
      <w:pPr>
        <w:pStyle w:val="ae"/>
        <w:spacing w:before="0" w:after="0"/>
        <w:jc w:val="both"/>
        <w:rPr>
          <w:color w:val="000000" w:themeColor="text1"/>
          <w:sz w:val="16"/>
          <w:szCs w:val="16"/>
        </w:rPr>
      </w:pPr>
      <w:r w:rsidRPr="00E93F40">
        <w:rPr>
          <w:rStyle w:val="a7"/>
          <w:b w:val="0"/>
          <w:color w:val="000000" w:themeColor="text1"/>
          <w:sz w:val="16"/>
          <w:szCs w:val="16"/>
        </w:rPr>
        <w:t>Именем Союза Советских Социалистических Республик, военная коллегия Верховного суда Союза ССР в составе председателя В. В. Ульрих, членов: И. О. Матулевич и Н. М. Рычкова при секретаре Костюшко с участием государственного обвинителя народного комиссара юстиции РСФСР Н. В. Крыленко, членов Московской коллегии защитников тт. Брауде и Казначеева</w:t>
      </w:r>
      <w:r w:rsidRPr="00E93F40">
        <w:rPr>
          <w:color w:val="000000" w:themeColor="text1"/>
          <w:sz w:val="16"/>
          <w:szCs w:val="16"/>
        </w:rPr>
        <w:t>, рассмотрев в судебном заседании 4, 5 и 6 апреля 1932 г. дело по обвинению:</w:t>
      </w:r>
    </w:p>
    <w:p w14:paraId="354FB5BD"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 xml:space="preserve">1. </w:t>
      </w:r>
      <w:r w:rsidRPr="00E93F40">
        <w:rPr>
          <w:rStyle w:val="a7"/>
          <w:b w:val="0"/>
          <w:color w:val="000000" w:themeColor="text1"/>
          <w:sz w:val="16"/>
          <w:szCs w:val="16"/>
        </w:rPr>
        <w:t>Штерна</w:t>
      </w:r>
      <w:r w:rsidRPr="00E93F40">
        <w:rPr>
          <w:color w:val="000000" w:themeColor="text1"/>
          <w:sz w:val="16"/>
          <w:szCs w:val="16"/>
        </w:rPr>
        <w:t>, Иуды Мироновича, 28 лет, с незаконченным высшим образованием, без определенных занятий, сына бывш. собственника мастерской, не судившегося, и</w:t>
      </w:r>
    </w:p>
    <w:p w14:paraId="4DFBDBF7"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 xml:space="preserve">2. </w:t>
      </w:r>
      <w:r w:rsidRPr="00E93F40">
        <w:rPr>
          <w:rStyle w:val="a7"/>
          <w:b w:val="0"/>
          <w:color w:val="000000" w:themeColor="text1"/>
          <w:sz w:val="16"/>
          <w:szCs w:val="16"/>
        </w:rPr>
        <w:t>Васильева</w:t>
      </w:r>
      <w:r w:rsidRPr="00E93F40">
        <w:rPr>
          <w:color w:val="000000" w:themeColor="text1"/>
          <w:sz w:val="16"/>
          <w:szCs w:val="16"/>
        </w:rPr>
        <w:t>, Сергея Сергеевича, 29 лет, с высшим образованием, сына бывш. домовладельца, по профессии экономиста-финансиста, не судившегося, — в организации террористического акта против советника германского посольства в г. Москве г. фон-Твардовского, каковое преступление предусмотрено п.п. 4 и 8 ст.ст. 58 и 16 Уголовного Кодекса РСФСР.</w:t>
      </w:r>
    </w:p>
    <w:p w14:paraId="5232776F" w14:textId="77777777" w:rsidR="009274A8" w:rsidRPr="00E93F40" w:rsidRDefault="009274A8" w:rsidP="00E93F40">
      <w:pPr>
        <w:pStyle w:val="ae"/>
        <w:spacing w:before="0" w:after="0"/>
        <w:jc w:val="both"/>
        <w:rPr>
          <w:color w:val="000000" w:themeColor="text1"/>
          <w:sz w:val="16"/>
          <w:szCs w:val="16"/>
        </w:rPr>
      </w:pPr>
      <w:r w:rsidRPr="00E93F40">
        <w:rPr>
          <w:rStyle w:val="a7"/>
          <w:b w:val="0"/>
          <w:color w:val="000000" w:themeColor="text1"/>
          <w:sz w:val="16"/>
          <w:szCs w:val="16"/>
        </w:rPr>
        <w:t>Нашла судебным следствием установленным следующее:</w:t>
      </w:r>
    </w:p>
    <w:p w14:paraId="751CBBF5"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1. В 1928 г. приезжавший из Варшавы в г. Москву в качестве польского дипломатического курьера польский гражданин Всеволод Любарский организовал совместно со своей сестрой О. А. Шелковой-Любарской, Борисом Любарским, Львом Любарским и другими лицами контрреволюционную террористическую группу.</w:t>
      </w:r>
    </w:p>
    <w:p w14:paraId="6A638FA7"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 xml:space="preserve">2. По заданию этой группы член группы Лев Любарский 16 августа 1928 г. выстрелом из револьвера убил в г. Москве старшего инспектора Политического Управления Рабоче-Крестьянской Красной армии тов. </w:t>
      </w:r>
      <w:r w:rsidRPr="00E93F40">
        <w:rPr>
          <w:rStyle w:val="a7"/>
          <w:b w:val="0"/>
          <w:color w:val="000000" w:themeColor="text1"/>
          <w:sz w:val="16"/>
          <w:szCs w:val="16"/>
        </w:rPr>
        <w:t>Шапошникова</w:t>
      </w:r>
      <w:r w:rsidRPr="00E93F40">
        <w:rPr>
          <w:color w:val="000000" w:themeColor="text1"/>
          <w:sz w:val="16"/>
          <w:szCs w:val="16"/>
        </w:rPr>
        <w:t>.</w:t>
      </w:r>
    </w:p>
    <w:p w14:paraId="088AD802"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3. В результате следствия по делу об убийстве т. Шапошникова часть членов группы была выявлена и осуждена в 1929 г., в то время как остальные члены группы продолжали свою контрреволюционную террористическую деятельность.</w:t>
      </w:r>
    </w:p>
    <w:p w14:paraId="518D6C23"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4. Полагая, что важнейшим средством для свержения советской власти является вооруженная интервенция против СССР со стороны капиталистических стран, каковая может быть осуществлена в результате ухудшения внешнеполитического положения Союза ССР, террористическая группа Всеволода Любарского в конце 1931 г. решила убить германского посла в Москве г. фон-Дирксена и этим убийством добиться резкого ухудшения отношений Германии с Советским союзом и разрыва дипломатических отношений.</w:t>
      </w:r>
    </w:p>
    <w:p w14:paraId="397A6962"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5. Организацию террористического акта группа возложила на Сергея Васильева, а последний непосредственное исполнение террористического акта поручил лично ему известному по своим антисоветским взглядам И. М. Штерну, который вполне разделял точку зрения Васильева и его единомышленников, что ухудшение взаимоотношений Германии с Советским союзом может значительно облегчить организацию интервенции против Страны советов.</w:t>
      </w:r>
    </w:p>
    <w:p w14:paraId="2829B94F"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6. Дав согласие на выполнение террористического акта, Штерн совместно с Васильевым разработал план его выполнения, избрав местом для покушения угол Леонтьевского переулка и улицы Герцена, где автомобили обычно задерживают ход.</w:t>
      </w:r>
    </w:p>
    <w:p w14:paraId="63B6C3F8"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7. Похитив револьвер системы «Наган» из квартиры своего шурина, Штерн в феврале месяце с. г. приступил к систематическому наблюдению за зданием посольства и за выездами автомашин, неоднократно встречаясь с Васильевым, который давал Штерну советы и указания о технике выполнения террористического акта.</w:t>
      </w:r>
    </w:p>
    <w:p w14:paraId="7588EABD"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8. 6 марта 1932 года, дождавшись на углу Леонтьевского переулка и улицы Герцена автомашины германского посольства с германским флагом и приняв за посла находившегося в автомобиле советника германского посольства г-на фон-Твардовского, Штерн произвел в него 5 выстрелов из револьвера «Наган», причинив г-ну фон-Твардовскому, кроме легкого ранения в шею, более тяжелую рану в кисть левой руки.</w:t>
      </w:r>
    </w:p>
    <w:p w14:paraId="20A25936"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Таким образом, устанавливается виновность:</w:t>
      </w:r>
    </w:p>
    <w:p w14:paraId="0F452C89"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 xml:space="preserve">а) </w:t>
      </w:r>
      <w:r w:rsidRPr="00E93F40">
        <w:rPr>
          <w:rStyle w:val="a7"/>
          <w:b w:val="0"/>
          <w:color w:val="000000" w:themeColor="text1"/>
          <w:sz w:val="16"/>
          <w:szCs w:val="16"/>
        </w:rPr>
        <w:t>Васильева С. С.</w:t>
      </w:r>
      <w:r w:rsidRPr="00E93F40">
        <w:rPr>
          <w:color w:val="000000" w:themeColor="text1"/>
          <w:sz w:val="16"/>
          <w:szCs w:val="16"/>
        </w:rPr>
        <w:t xml:space="preserve"> в том, что, будучи врагом советской власти и состоя членом контрреволюционной террористической группы, сформированной должностным лицом одного из государственных учреждений Польской республики, польским гражданином Всеволодом Любарским, организовал террористический акт против германского посла при правительстве Союза ССР г-на фон-Дирксена с целью ухудшения внешнеполитического положения СССР, возложив непосредственное совершение террористического акта на надлежаще им подготовленного И. М. Штерна, т.-е. в преступлении, предусмотренном п.п. 4 и 8 ст.ст. 58 и 16 Уголовного Кодекса РСФСР.</w:t>
      </w:r>
    </w:p>
    <w:p w14:paraId="6BCA34EC"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 xml:space="preserve">б) </w:t>
      </w:r>
      <w:r w:rsidRPr="00E93F40">
        <w:rPr>
          <w:rStyle w:val="a7"/>
          <w:b w:val="0"/>
          <w:color w:val="000000" w:themeColor="text1"/>
          <w:sz w:val="16"/>
          <w:szCs w:val="16"/>
        </w:rPr>
        <w:t>Штерна И. М.</w:t>
      </w:r>
      <w:r w:rsidRPr="00E93F40">
        <w:rPr>
          <w:color w:val="000000" w:themeColor="text1"/>
          <w:sz w:val="16"/>
          <w:szCs w:val="16"/>
        </w:rPr>
        <w:t xml:space="preserve"> в том, что он, будучи врагом советской власти, в целях ухудшения внешнеполитического положения СССР совершил в соучастии с Васильевым 5 марта с. г., около 2 часов дня, в гор. Москве террористический акт против посла Германской республики при правительстве СССР г-на фон-Дирксена, произведя 5 выстрелов в машину германского посольства г. фон-Твардовский, был ранен в шею и руку советник германского посольства г. фон-Твардовский, принятый Штерном за посла Германской республики, т.-е. в преступлении, предусмотренном п.п. 4 и 8 ст.ст. 58 и 16 Уголовного Кодекса РСФСР.</w:t>
      </w:r>
    </w:p>
    <w:p w14:paraId="475D2191"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 xml:space="preserve">На основании изложенного и принимая во внимание, что террористические акты на дипломатических представителей государств, находящихся в нормальных отношениях с Советским союзом, составляют тягчайшее государственное преступление, требующее самых суровых мер воздействия, Военная коллегия Верховного суда Союза ССР </w:t>
      </w:r>
      <w:r w:rsidRPr="00E93F40">
        <w:rPr>
          <w:rStyle w:val="a7"/>
          <w:b w:val="0"/>
          <w:color w:val="000000" w:themeColor="text1"/>
          <w:sz w:val="16"/>
          <w:szCs w:val="16"/>
        </w:rPr>
        <w:t>приговорила</w:t>
      </w:r>
      <w:r w:rsidRPr="00E93F40">
        <w:rPr>
          <w:color w:val="000000" w:themeColor="text1"/>
          <w:sz w:val="16"/>
          <w:szCs w:val="16"/>
        </w:rPr>
        <w:t>:</w:t>
      </w:r>
    </w:p>
    <w:p w14:paraId="5ADD9DCD"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 xml:space="preserve">1. </w:t>
      </w:r>
      <w:r w:rsidRPr="00E93F40">
        <w:rPr>
          <w:rStyle w:val="a7"/>
          <w:b w:val="0"/>
          <w:color w:val="000000" w:themeColor="text1"/>
          <w:sz w:val="16"/>
          <w:szCs w:val="16"/>
        </w:rPr>
        <w:t>Васильева</w:t>
      </w:r>
      <w:r w:rsidRPr="00E93F40">
        <w:rPr>
          <w:color w:val="000000" w:themeColor="text1"/>
          <w:sz w:val="16"/>
          <w:szCs w:val="16"/>
        </w:rPr>
        <w:t xml:space="preserve"> Сергея Сергеевича и 2. </w:t>
      </w:r>
      <w:r w:rsidRPr="00E93F40">
        <w:rPr>
          <w:rStyle w:val="a7"/>
          <w:b w:val="0"/>
          <w:color w:val="000000" w:themeColor="text1"/>
          <w:sz w:val="16"/>
          <w:szCs w:val="16"/>
        </w:rPr>
        <w:t>Штерна</w:t>
      </w:r>
      <w:r w:rsidRPr="00E93F40">
        <w:rPr>
          <w:color w:val="000000" w:themeColor="text1"/>
          <w:sz w:val="16"/>
          <w:szCs w:val="16"/>
        </w:rPr>
        <w:t xml:space="preserve"> Иуду Мироновича — обоих по ст. 58 п. 4 Уголовного Кодекса РСФСР к высшей мере социальной защиты — </w:t>
      </w:r>
      <w:r w:rsidRPr="00E93F40">
        <w:rPr>
          <w:rStyle w:val="a7"/>
          <w:b w:val="0"/>
          <w:color w:val="000000" w:themeColor="text1"/>
          <w:sz w:val="16"/>
          <w:szCs w:val="16"/>
        </w:rPr>
        <w:t>расстрелу</w:t>
      </w:r>
      <w:r w:rsidRPr="00E93F40">
        <w:rPr>
          <w:color w:val="000000" w:themeColor="text1"/>
          <w:sz w:val="16"/>
          <w:szCs w:val="16"/>
        </w:rPr>
        <w:t xml:space="preserve"> с конфискацией всего имущества.</w:t>
      </w:r>
    </w:p>
    <w:p w14:paraId="02FBB16B"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Приговор окончательный и обжалованию в кассационном порядке не подлежит.</w:t>
      </w:r>
    </w:p>
    <w:p w14:paraId="0CD21796" w14:textId="77777777" w:rsidR="009274A8" w:rsidRPr="00E93F40" w:rsidRDefault="009274A8" w:rsidP="00E93F40">
      <w:pPr>
        <w:pStyle w:val="ae"/>
        <w:spacing w:before="0" w:after="0"/>
        <w:jc w:val="both"/>
        <w:rPr>
          <w:rStyle w:val="a7"/>
          <w:b w:val="0"/>
          <w:color w:val="000000" w:themeColor="text1"/>
          <w:sz w:val="16"/>
          <w:szCs w:val="16"/>
        </w:rPr>
      </w:pPr>
      <w:r w:rsidRPr="00E93F40">
        <w:rPr>
          <w:rStyle w:val="a7"/>
          <w:b w:val="0"/>
          <w:color w:val="000000" w:themeColor="text1"/>
          <w:sz w:val="16"/>
          <w:szCs w:val="16"/>
        </w:rPr>
        <w:t>Председательствующий В. УЛЬРИХ.</w:t>
      </w:r>
    </w:p>
    <w:p w14:paraId="72DF946E" w14:textId="77777777" w:rsidR="009274A8" w:rsidRPr="00E93F40" w:rsidRDefault="009274A8" w:rsidP="00E93F40">
      <w:pPr>
        <w:pStyle w:val="ae"/>
        <w:spacing w:before="0" w:after="0"/>
        <w:jc w:val="both"/>
        <w:rPr>
          <w:color w:val="000000" w:themeColor="text1"/>
          <w:sz w:val="16"/>
          <w:szCs w:val="16"/>
        </w:rPr>
      </w:pPr>
      <w:r w:rsidRPr="00E93F40">
        <w:rPr>
          <w:rStyle w:val="a7"/>
          <w:b w:val="0"/>
          <w:color w:val="000000" w:themeColor="text1"/>
          <w:sz w:val="16"/>
          <w:szCs w:val="16"/>
        </w:rPr>
        <w:t>Члены: И. МАТУЛЕВИЧ, Н. РЫЧКОВ.</w:t>
      </w:r>
    </w:p>
    <w:p w14:paraId="064E46FA" w14:textId="77777777" w:rsidR="009274A8" w:rsidRPr="00E93F40" w:rsidRDefault="009274A8" w:rsidP="00E93F40">
      <w:pPr>
        <w:pStyle w:val="ae"/>
        <w:spacing w:before="0" w:after="0"/>
        <w:jc w:val="both"/>
        <w:rPr>
          <w:color w:val="000000" w:themeColor="text1"/>
          <w:sz w:val="16"/>
          <w:szCs w:val="16"/>
        </w:rPr>
      </w:pPr>
      <w:r w:rsidRPr="00E93F40">
        <w:rPr>
          <w:color w:val="000000" w:themeColor="text1"/>
          <w:sz w:val="16"/>
          <w:szCs w:val="16"/>
        </w:rPr>
        <w:t>Москва, 6 апреля, 5 ч. 20 м (17201).</w:t>
      </w:r>
    </w:p>
    <w:p w14:paraId="0405954E" w14:textId="77777777" w:rsidR="009274A8" w:rsidRPr="00E93F40" w:rsidRDefault="009274A8" w:rsidP="00E93F40">
      <w:pPr>
        <w:spacing w:after="0" w:line="240" w:lineRule="auto"/>
        <w:jc w:val="both"/>
        <w:rPr>
          <w:rFonts w:ascii="Times New Roman" w:hAnsi="Times New Roman"/>
          <w:color w:val="000000" w:themeColor="text1"/>
          <w:sz w:val="16"/>
          <w:szCs w:val="16"/>
        </w:rPr>
      </w:pPr>
    </w:p>
    <w:p w14:paraId="653D727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15CB0E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FC0C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апреля 1932 года начальник ВВС Алкснис писал письмо N 038196 председателю РВС.</w:t>
      </w:r>
    </w:p>
    <w:p w14:paraId="6F8A9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320F5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9 апреля с.г.</w:t>
      </w:r>
    </w:p>
    <w:p w14:paraId="12126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NN 1, 2, 3, 4 оформлены сдачей, находятся на Центральном аэродроме и переданы НИИ (3027).</w:t>
      </w:r>
    </w:p>
    <w:p w14:paraId="680A4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DA1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апреля 1932 был принят на гос. испытания предъявленный 7 апреля 1932 С62 КЭ-АССО 750 (заводской N ОЕ-78. Испытания полностью не проведены, т.к. самолет 8 мая 1932 года передан в Северную экспедицию (2996). По другим данным это была одна из первых пяти лодок С-32, построенных на заводе 31 по данным обмеров, а не чертежам (которые запаздывали. Оказался перетяжеленным на 274 кг и потолок и скорость снизились (9078)</w:t>
      </w:r>
    </w:p>
    <w:p w14:paraId="069FE6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9 апреля 1932 состоялся первый полет дирижабля СССР В-4 - перестроенного дирижабля "Комсомольская правда" (УК-4 c 2хСименс с 75 нр и металлической гондолой, крепившейся вплотную к обшивке без подвесной системы - 438,632)), сделанного в 1930 ЦАГИ и заводом Каучук. Впоследствии был опять переделан и с 1934 стал СССР В-4 (233,166).</w:t>
      </w:r>
    </w:p>
    <w:p w14:paraId="3F57D1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192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апреля 1932 был принят на гос. испытания предъявленный 7 апреля 1932 С62 КЭ-АССО 750 (заводской N ОЕ-78. Испытания полностью не проведены, т.к. самолет 8 мая 1932 года передан в Северную экспедицию (2996). По другим данным это была одна из первых пяти лодок С-32, построенных на заводе 31 по данным обмеров, а не чертежам (которые запаздывали. Оказался перетяжеленным на 274 кг и потолок и скорость снизились (9078)</w:t>
      </w:r>
    </w:p>
    <w:p w14:paraId="09F47C1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48A5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апреля 1932 года состоялся первый полет В-1 (командир корабля — В. Л. Нижевский).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(11324).</w:t>
      </w:r>
    </w:p>
    <w:p w14:paraId="1512DB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067BC3"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апреля 1932 г. в Ленинграде завершили сборку дирижабля«СССР В-1».</w:t>
      </w:r>
    </w:p>
    <w:p w14:paraId="72C6D9CE"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дирижабля «СССР В-1» («Первое мая») разработали в 1931-1932 годах в ЦАГИ под руководством В. Г. Гараканидзе при участии инженеров Д.А. Ромейко-Гурко, М.М. Соколова, К.К. Федяевского, Б.А. Ушакова и группы студентов-практикантов воздухоплава</w:t>
      </w:r>
      <w:r w:rsidRPr="00E93F40">
        <w:rPr>
          <w:rFonts w:ascii="Times New Roman" w:hAnsi="Times New Roman"/>
          <w:color w:val="000000" w:themeColor="text1"/>
          <w:sz w:val="16"/>
          <w:szCs w:val="16"/>
        </w:rPr>
        <w:softHyphen/>
        <w:t>тельного факультета МАИ. Авторы проекта пла</w:t>
      </w:r>
      <w:r w:rsidRPr="00E93F40">
        <w:rPr>
          <w:rFonts w:ascii="Times New Roman" w:hAnsi="Times New Roman"/>
          <w:color w:val="000000" w:themeColor="text1"/>
          <w:sz w:val="16"/>
          <w:szCs w:val="16"/>
        </w:rPr>
        <w:softHyphen/>
        <w:t>нировали создать учебный дирижабль с лучши</w:t>
      </w:r>
      <w:r w:rsidRPr="00E93F40">
        <w:rPr>
          <w:rFonts w:ascii="Times New Roman" w:hAnsi="Times New Roman"/>
          <w:color w:val="000000" w:themeColor="text1"/>
          <w:sz w:val="16"/>
          <w:szCs w:val="16"/>
        </w:rPr>
        <w:softHyphen/>
        <w:t>ми лётно-эксплуатационными качествами и бо</w:t>
      </w:r>
      <w:r w:rsidRPr="00E93F40">
        <w:rPr>
          <w:rFonts w:ascii="Times New Roman" w:hAnsi="Times New Roman"/>
          <w:color w:val="000000" w:themeColor="text1"/>
          <w:sz w:val="16"/>
          <w:szCs w:val="16"/>
        </w:rPr>
        <w:softHyphen/>
        <w:t>лее удобный для работы экипажа по сравнению с кораблями Н.В. Фомина.</w:t>
      </w:r>
    </w:p>
    <w:p w14:paraId="519E9850"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своей конструктивной схеме «СССР В-1», как и все последующие корабли, строившиеся по этому проекту до 1939 г., занимал промежуточ</w:t>
      </w:r>
      <w:r w:rsidRPr="00E93F40">
        <w:rPr>
          <w:rFonts w:ascii="Times New Roman" w:hAnsi="Times New Roman"/>
          <w:color w:val="000000" w:themeColor="text1"/>
          <w:sz w:val="16"/>
          <w:szCs w:val="16"/>
        </w:rPr>
        <w:softHyphen/>
        <w:t>ное место между дирижаблями мягкого и по</w:t>
      </w:r>
      <w:r w:rsidRPr="00E93F40">
        <w:rPr>
          <w:rFonts w:ascii="Times New Roman" w:hAnsi="Times New Roman"/>
          <w:color w:val="000000" w:themeColor="text1"/>
          <w:sz w:val="16"/>
          <w:szCs w:val="16"/>
        </w:rPr>
        <w:softHyphen/>
        <w:t>лумягкого типа. Оболочка, сшитая из двухслой</w:t>
      </w:r>
      <w:r w:rsidRPr="00E93F40">
        <w:rPr>
          <w:rFonts w:ascii="Times New Roman" w:hAnsi="Times New Roman"/>
          <w:color w:val="000000" w:themeColor="text1"/>
          <w:sz w:val="16"/>
          <w:szCs w:val="16"/>
        </w:rPr>
        <w:softHyphen/>
        <w:t>ной материи, образовывала корпус корабля, вну</w:t>
      </w:r>
      <w:r w:rsidRPr="00E93F40">
        <w:rPr>
          <w:rFonts w:ascii="Times New Roman" w:hAnsi="Times New Roman"/>
          <w:color w:val="000000" w:themeColor="text1"/>
          <w:sz w:val="16"/>
          <w:szCs w:val="16"/>
        </w:rPr>
        <w:softHyphen/>
        <w:t>три которого находился баллонет, но отсутство</w:t>
      </w:r>
      <w:r w:rsidRPr="00E93F40">
        <w:rPr>
          <w:rFonts w:ascii="Times New Roman" w:hAnsi="Times New Roman"/>
          <w:color w:val="000000" w:themeColor="text1"/>
          <w:sz w:val="16"/>
          <w:szCs w:val="16"/>
        </w:rPr>
        <w:softHyphen/>
        <w:t>вали разделяющие диафрагмы. На корме имелось оперение из четырёх одинаковых планов, состо</w:t>
      </w:r>
      <w:r w:rsidRPr="00E93F40">
        <w:rPr>
          <w:rFonts w:ascii="Times New Roman" w:hAnsi="Times New Roman"/>
          <w:color w:val="000000" w:themeColor="text1"/>
          <w:sz w:val="16"/>
          <w:szCs w:val="16"/>
        </w:rPr>
        <w:softHyphen/>
        <w:t>явших из стабилизаторов и рулей. Носовую часть корпуса усилили 14 рейками из дюралевых труб. Удлинённая, хорошо обтекаемая гондола дири</w:t>
      </w:r>
      <w:r w:rsidRPr="00E93F40">
        <w:rPr>
          <w:rFonts w:ascii="Times New Roman" w:hAnsi="Times New Roman"/>
          <w:color w:val="000000" w:themeColor="text1"/>
          <w:sz w:val="16"/>
          <w:szCs w:val="16"/>
        </w:rPr>
        <w:softHyphen/>
        <w:t>жабля подвешивалась непосредственно к обо</w:t>
      </w:r>
      <w:r w:rsidRPr="00E93F40">
        <w:rPr>
          <w:rFonts w:ascii="Times New Roman" w:hAnsi="Times New Roman"/>
          <w:color w:val="000000" w:themeColor="text1"/>
          <w:sz w:val="16"/>
          <w:szCs w:val="16"/>
        </w:rPr>
        <w:softHyphen/>
        <w:t>лочке при помощи матерчатого пояса, внутрен</w:t>
      </w:r>
      <w:r w:rsidRPr="00E93F40">
        <w:rPr>
          <w:rFonts w:ascii="Times New Roman" w:hAnsi="Times New Roman"/>
          <w:color w:val="000000" w:themeColor="text1"/>
          <w:sz w:val="16"/>
          <w:szCs w:val="16"/>
        </w:rPr>
        <w:softHyphen/>
        <w:t>няя подвеска отсутствовала. По бокам гондолы на выносных кронштейнах находились моторы воздушного охлаждения с толкающими винтами.</w:t>
      </w:r>
    </w:p>
    <w:p w14:paraId="4C46253B"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первом варианте дирижабля (1932 г.) обо</w:t>
      </w:r>
      <w:r w:rsidRPr="00E93F40">
        <w:rPr>
          <w:rFonts w:ascii="Times New Roman" w:hAnsi="Times New Roman"/>
          <w:color w:val="000000" w:themeColor="text1"/>
          <w:sz w:val="16"/>
          <w:szCs w:val="16"/>
        </w:rPr>
        <w:softHyphen/>
        <w:t>лочку (объём — 2200 м3, длина — 45 м, наиболь</w:t>
      </w:r>
      <w:r w:rsidRPr="00E93F40">
        <w:rPr>
          <w:rFonts w:ascii="Times New Roman" w:hAnsi="Times New Roman"/>
          <w:color w:val="000000" w:themeColor="text1"/>
          <w:sz w:val="16"/>
          <w:szCs w:val="16"/>
        </w:rPr>
        <w:softHyphen/>
        <w:t>ший диаметр — 10 м) сшили из двухслойной не- алюминированной материи, использовавшейся для привязных аэростатов. Меридиональный раскрой давал значительный прирост объёма за счёт деформации материи, но ценой ухудшения его аэродинамических характеристик. Разделяю</w:t>
      </w:r>
      <w:r w:rsidRPr="00E93F40">
        <w:rPr>
          <w:rFonts w:ascii="Times New Roman" w:hAnsi="Times New Roman"/>
          <w:color w:val="000000" w:themeColor="text1"/>
          <w:sz w:val="16"/>
          <w:szCs w:val="16"/>
        </w:rPr>
        <w:softHyphen/>
        <w:t>щих диафрагм внутри оболочки не было. Обо</w:t>
      </w:r>
      <w:r w:rsidRPr="00E93F40">
        <w:rPr>
          <w:rFonts w:ascii="Times New Roman" w:hAnsi="Times New Roman"/>
          <w:color w:val="000000" w:themeColor="text1"/>
          <w:sz w:val="16"/>
          <w:szCs w:val="16"/>
        </w:rPr>
        <w:softHyphen/>
        <w:t>лочка имела только один управляемый газовый клапан, установленный сбоку корабля над гондо</w:t>
      </w:r>
      <w:r w:rsidRPr="00E93F40">
        <w:rPr>
          <w:rFonts w:ascii="Times New Roman" w:hAnsi="Times New Roman"/>
          <w:color w:val="000000" w:themeColor="text1"/>
          <w:sz w:val="16"/>
          <w:szCs w:val="16"/>
        </w:rPr>
        <w:softHyphen/>
        <w:t>лой. Для наполнения баллонета воздухом с обо</w:t>
      </w:r>
      <w:r w:rsidRPr="00E93F40">
        <w:rPr>
          <w:rFonts w:ascii="Times New Roman" w:hAnsi="Times New Roman"/>
          <w:color w:val="000000" w:themeColor="text1"/>
          <w:sz w:val="16"/>
          <w:szCs w:val="16"/>
        </w:rPr>
        <w:softHyphen/>
        <w:t>их бортов гондолы за винтами помещались воз- духоулавливатели.</w:t>
      </w:r>
    </w:p>
    <w:p w14:paraId="3A0F1F0D"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большую длину гондолы, из-за отсутствия внутренней подвески её дополни</w:t>
      </w:r>
      <w:r w:rsidRPr="00E93F40">
        <w:rPr>
          <w:rFonts w:ascii="Times New Roman" w:hAnsi="Times New Roman"/>
          <w:color w:val="000000" w:themeColor="text1"/>
          <w:sz w:val="16"/>
          <w:szCs w:val="16"/>
        </w:rPr>
        <w:softHyphen/>
        <w:t>тельно закрепили на двух носовых и двух кор</w:t>
      </w:r>
      <w:r w:rsidRPr="00E93F40">
        <w:rPr>
          <w:rFonts w:ascii="Times New Roman" w:hAnsi="Times New Roman"/>
          <w:color w:val="000000" w:themeColor="text1"/>
          <w:sz w:val="16"/>
          <w:szCs w:val="16"/>
        </w:rPr>
        <w:softHyphen/>
        <w:t>мовых стропах, чтобы избежать прогиба корпуса дирижабля.</w:t>
      </w:r>
    </w:p>
    <w:p w14:paraId="71270EA9"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Гондола (длина 10 м, наибольшая ширина — 2,5 м, высота — 2 м) в плане имела обтекаемую форму, а в поперечном сечении — трапециевид</w:t>
      </w:r>
      <w:r w:rsidRPr="00E93F40">
        <w:rPr>
          <w:rFonts w:ascii="Times New Roman" w:hAnsi="Times New Roman"/>
          <w:color w:val="000000" w:themeColor="text1"/>
          <w:sz w:val="16"/>
          <w:szCs w:val="16"/>
        </w:rPr>
        <w:softHyphen/>
        <w:t>ную с узким полом и широким потолком, необ</w:t>
      </w:r>
      <w:r w:rsidRPr="00E93F40">
        <w:rPr>
          <w:rFonts w:ascii="Times New Roman" w:hAnsi="Times New Roman"/>
          <w:color w:val="000000" w:themeColor="text1"/>
          <w:sz w:val="16"/>
          <w:szCs w:val="16"/>
        </w:rPr>
        <w:softHyphen/>
        <w:t>ходимым для надёжного крепления к оболочке.</w:t>
      </w:r>
    </w:p>
    <w:p w14:paraId="026A5A8A"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гондолы ферменная, образо</w:t>
      </w:r>
      <w:r w:rsidRPr="00E93F40">
        <w:rPr>
          <w:rFonts w:ascii="Times New Roman" w:hAnsi="Times New Roman"/>
          <w:color w:val="000000" w:themeColor="text1"/>
          <w:sz w:val="16"/>
          <w:szCs w:val="16"/>
        </w:rPr>
        <w:softHyphen/>
        <w:t>ванная из шпангоутов, стрингеров и платформы пола, склёпанных из дюралевых профилей. С бо</w:t>
      </w:r>
      <w:r w:rsidRPr="00E93F40">
        <w:rPr>
          <w:rFonts w:ascii="Times New Roman" w:hAnsi="Times New Roman"/>
          <w:color w:val="000000" w:themeColor="text1"/>
          <w:sz w:val="16"/>
          <w:szCs w:val="16"/>
        </w:rPr>
        <w:softHyphen/>
        <w:t>ков и снизу каркас обшили дюралевым гофром. Общий вес гондолы без моторов и оборудова</w:t>
      </w:r>
      <w:r w:rsidRPr="00E93F40">
        <w:rPr>
          <w:rFonts w:ascii="Times New Roman" w:hAnsi="Times New Roman"/>
          <w:color w:val="000000" w:themeColor="text1"/>
          <w:sz w:val="16"/>
          <w:szCs w:val="16"/>
        </w:rPr>
        <w:softHyphen/>
        <w:t>ния составлял 275 кг.</w:t>
      </w:r>
    </w:p>
    <w:p w14:paraId="45201E66"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Передний фонарь и боковые окна гондолы за</w:t>
      </w:r>
      <w:r w:rsidRPr="00E93F40">
        <w:rPr>
          <w:rFonts w:ascii="Times New Roman" w:hAnsi="Times New Roman"/>
          <w:color w:val="000000" w:themeColor="text1"/>
          <w:sz w:val="16"/>
          <w:szCs w:val="16"/>
        </w:rPr>
        <w:softHyphen/>
        <w:t>стеклили целлулоидом. В передней части гондолы находились штурвалы, аэронавигационные при</w:t>
      </w:r>
      <w:r w:rsidRPr="00E93F40">
        <w:rPr>
          <w:rFonts w:ascii="Times New Roman" w:hAnsi="Times New Roman"/>
          <w:color w:val="000000" w:themeColor="text1"/>
          <w:sz w:val="16"/>
          <w:szCs w:val="16"/>
        </w:rPr>
        <w:softHyphen/>
        <w:t>боры и органы статического управления, а в зад</w:t>
      </w:r>
      <w:r w:rsidRPr="00E93F40">
        <w:rPr>
          <w:rFonts w:ascii="Times New Roman" w:hAnsi="Times New Roman"/>
          <w:color w:val="000000" w:themeColor="text1"/>
          <w:sz w:val="16"/>
          <w:szCs w:val="16"/>
        </w:rPr>
        <w:softHyphen/>
        <w:t>ней, у моторов, имелось место для механика. К полу гондолы крепились два пневматических амортизатора (пуфа). По бокам гондолы на вы</w:t>
      </w:r>
      <w:r w:rsidRPr="00E93F40">
        <w:rPr>
          <w:rFonts w:ascii="Times New Roman" w:hAnsi="Times New Roman"/>
          <w:color w:val="000000" w:themeColor="text1"/>
          <w:sz w:val="16"/>
          <w:szCs w:val="16"/>
        </w:rPr>
        <w:softHyphen/>
        <w:t>носных кронштейнах располагались два мотора воздушного охлаждения Сименс-Хальске Sh-13a мощностью 75 л.с. с толкающими винтами.</w:t>
      </w:r>
    </w:p>
    <w:p w14:paraId="7C3B06B8"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состоял из 4-6 человек. Продолжи</w:t>
      </w:r>
      <w:r w:rsidRPr="00E93F40">
        <w:rPr>
          <w:rFonts w:ascii="Times New Roman" w:hAnsi="Times New Roman"/>
          <w:color w:val="000000" w:themeColor="text1"/>
          <w:sz w:val="16"/>
          <w:szCs w:val="16"/>
        </w:rPr>
        <w:softHyphen/>
        <w:t>тельность полёта с крейсерской скоростью при экипаже 4 человека была 22 часа. Полезная на</w:t>
      </w:r>
      <w:r w:rsidRPr="00E93F40">
        <w:rPr>
          <w:rFonts w:ascii="Times New Roman" w:hAnsi="Times New Roman"/>
          <w:color w:val="000000" w:themeColor="text1"/>
          <w:sz w:val="16"/>
          <w:szCs w:val="16"/>
        </w:rPr>
        <w:softHyphen/>
        <w:t>грузка составляла 780 кг, а весовая отдача — 0,47.</w:t>
      </w:r>
    </w:p>
    <w:p w14:paraId="7F7DC59D" w14:textId="77777777" w:rsidR="003516A0" w:rsidRPr="00E93F40" w:rsidRDefault="003516A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на Волковом поле состоялся первый полёт «СССР В-1», на борту которого находились командир корабля В.Л. Ни</w:t>
      </w:r>
      <w:r w:rsidRPr="00E93F40">
        <w:rPr>
          <w:rFonts w:ascii="Times New Roman" w:hAnsi="Times New Roman"/>
          <w:color w:val="000000" w:themeColor="text1"/>
          <w:sz w:val="16"/>
          <w:szCs w:val="16"/>
        </w:rPr>
        <w:softHyphen/>
        <w:t>жевский, первый помощник И.Я. Волхонский, второй помощник И.В. Паньков, бортмеханики С.Ф. Кузьмин и И.Д. Ободзинский, корабельный инженер В.Г. Гараканизде. Полёт показал полное соответствие характеристик дирижабля расчёт</w:t>
      </w:r>
      <w:r w:rsidRPr="00E93F40">
        <w:rPr>
          <w:rFonts w:ascii="Times New Roman" w:hAnsi="Times New Roman"/>
          <w:color w:val="000000" w:themeColor="text1"/>
          <w:sz w:val="16"/>
          <w:szCs w:val="16"/>
        </w:rPr>
        <w:softHyphen/>
        <w:t>ным данным. Затем «СССР В-1» перелетел в Са</w:t>
      </w:r>
      <w:r w:rsidRPr="00E93F40">
        <w:rPr>
          <w:rFonts w:ascii="Times New Roman" w:hAnsi="Times New Roman"/>
          <w:color w:val="000000" w:themeColor="text1"/>
          <w:sz w:val="16"/>
          <w:szCs w:val="16"/>
        </w:rPr>
        <w:softHyphen/>
        <w:t>лизи. Там провели десять испытательных полё</w:t>
      </w:r>
      <w:r w:rsidRPr="00E93F40">
        <w:rPr>
          <w:rFonts w:ascii="Times New Roman" w:hAnsi="Times New Roman"/>
          <w:color w:val="000000" w:themeColor="text1"/>
          <w:sz w:val="16"/>
          <w:szCs w:val="16"/>
        </w:rPr>
        <w:softHyphen/>
        <w:t>тов, в ходе которых зафиксировали крейсерскую (76 км/ч) и максимальную (95 км/ч) скорости. На одном моторе на крейсерских оборотах ди</w:t>
      </w:r>
      <w:r w:rsidRPr="00E93F40">
        <w:rPr>
          <w:rFonts w:ascii="Times New Roman" w:hAnsi="Times New Roman"/>
          <w:color w:val="000000" w:themeColor="text1"/>
          <w:sz w:val="16"/>
          <w:szCs w:val="16"/>
        </w:rPr>
        <w:softHyphen/>
        <w:t>рижабль показал скорость 54 км/ч и полную ма</w:t>
      </w:r>
      <w:r w:rsidRPr="00E93F40">
        <w:rPr>
          <w:rFonts w:ascii="Times New Roman" w:hAnsi="Times New Roman"/>
          <w:color w:val="000000" w:themeColor="text1"/>
          <w:sz w:val="16"/>
          <w:szCs w:val="16"/>
        </w:rPr>
        <w:softHyphen/>
        <w:t>нёвренность. «Сборка и полётные испытания происходили в напряжённой атмосфере, так как руководство Дирижаблестроя в стремлении по</w:t>
      </w:r>
      <w:r w:rsidRPr="00E93F40">
        <w:rPr>
          <w:rFonts w:ascii="Times New Roman" w:hAnsi="Times New Roman"/>
          <w:color w:val="000000" w:themeColor="text1"/>
          <w:sz w:val="16"/>
          <w:szCs w:val="16"/>
        </w:rPr>
        <w:softHyphen/>
        <w:t>казать Москве 1-го мая три корабля естественно проявляло нервозность и чрезмерно форсирова</w:t>
      </w:r>
      <w:r w:rsidRPr="00E93F40">
        <w:rPr>
          <w:rFonts w:ascii="Times New Roman" w:hAnsi="Times New Roman"/>
          <w:color w:val="000000" w:themeColor="text1"/>
          <w:sz w:val="16"/>
          <w:szCs w:val="16"/>
        </w:rPr>
        <w:softHyphen/>
        <w:t>ло сроки, чтобы освободить эллинг для сборки следующего корабля» (20120).</w:t>
      </w:r>
    </w:p>
    <w:p w14:paraId="17131325" w14:textId="77777777" w:rsidR="003516A0" w:rsidRPr="00E93F40" w:rsidRDefault="003516A0" w:rsidP="00E93F40">
      <w:pPr>
        <w:spacing w:after="0" w:line="240" w:lineRule="auto"/>
        <w:jc w:val="both"/>
        <w:rPr>
          <w:rFonts w:ascii="Times New Roman" w:hAnsi="Times New Roman"/>
          <w:color w:val="000000" w:themeColor="text1"/>
          <w:sz w:val="16"/>
          <w:szCs w:val="16"/>
        </w:rPr>
      </w:pPr>
    </w:p>
    <w:p w14:paraId="51D236B3" w14:textId="77777777" w:rsidR="003516A0" w:rsidRPr="00E93F40" w:rsidRDefault="003516A0" w:rsidP="00E93F40">
      <w:pPr>
        <w:shd w:val="clear" w:color="auto" w:fill="FFFFFF"/>
        <w:spacing w:after="0" w:line="240" w:lineRule="auto"/>
        <w:jc w:val="both"/>
        <w:rPr>
          <w:rFonts w:ascii="Times New Roman" w:eastAsia="Times New Roman" w:hAnsi="Times New Roman"/>
          <w:i/>
          <w:iCs/>
          <w:color w:val="000000" w:themeColor="text1"/>
          <w:sz w:val="16"/>
          <w:szCs w:val="16"/>
          <w:lang w:eastAsia="ru-RU"/>
        </w:rPr>
      </w:pPr>
      <w:r w:rsidRPr="00E93F40">
        <w:rPr>
          <w:rFonts w:ascii="Times New Roman" w:eastAsia="Times New Roman" w:hAnsi="Times New Roman"/>
          <w:color w:val="000000" w:themeColor="text1"/>
          <w:sz w:val="16"/>
          <w:szCs w:val="16"/>
          <w:lang w:eastAsia="ru-RU"/>
        </w:rPr>
        <w:t>9 апреля 1932 года опытно-промышленная гелиевая установка была пущена в пробную эксплуатацию. Ее основу составляла все та же холодильная установка "Линде", а производительность определялась мощностью четырехступенчатого компрессора – 120 куб. м газа в час. К июню 1932 года удалось получить 40</w:t>
      </w:r>
      <w:r w:rsidRPr="00E93F40">
        <w:rPr>
          <w:rFonts w:ascii="Times New Roman" w:eastAsia="Times New Roman" w:hAnsi="Times New Roman"/>
          <w:color w:val="000000" w:themeColor="text1"/>
          <w:sz w:val="16"/>
          <w:szCs w:val="16"/>
          <w:lang w:eastAsia="ru-RU"/>
        </w:rPr>
        <w:noBreakHyphen/>
        <w:t>процентный гелиевый концентрат, а в дальнейшем – 98</w:t>
      </w:r>
      <w:r w:rsidRPr="00E93F40">
        <w:rPr>
          <w:rFonts w:ascii="Times New Roman" w:eastAsia="Times New Roman" w:hAnsi="Times New Roman"/>
          <w:color w:val="000000" w:themeColor="text1"/>
          <w:sz w:val="16"/>
          <w:szCs w:val="16"/>
          <w:lang w:eastAsia="ru-RU"/>
        </w:rPr>
        <w:noBreakHyphen/>
        <w:t>процентный гелий. А в июне 1936 года в одном из докладов "Союзгаза" сообщалось, что "установка пущена в нормальную эксплуатацию и для нее установлена определенная программа выработки в размере 1 тыс. куб. м гелия в год. С целью стимулирования повышения выработки в качестве продукции установлена соответствующая поощрительная система оплаты труда" (21452).</w:t>
      </w:r>
    </w:p>
    <w:p w14:paraId="08895D14" w14:textId="77777777" w:rsidR="003516A0" w:rsidRPr="00E93F40" w:rsidRDefault="003516A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31E3A5" w14:textId="77777777" w:rsidR="00B70B03" w:rsidRPr="00E93F40" w:rsidRDefault="00B70B0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апреля 1932 г. состоялся первый испытательный полет дирижабля УК-1 конструкции инженеров Дирижаблестроя. Испытывал В.Л.Нижевский. УК-1 - полужесткой системы объемом 2200 м3 с двумя моторами Сименс по 75 л.с., построенный при участии ЦАГИ и завода "Каучук*. Металлическая закрытая гондола крепилась непосредственно к оболочке без подвесной системы. Дирижабль служил для учебных целей, совершил ряд дальних полетов, в том числе перелет Москва-Севастополь-Москва с промежуточными остановками в пути.</w:t>
      </w:r>
    </w:p>
    <w:p w14:paraId="22F724DC" w14:textId="77777777" w:rsidR="00B70B03" w:rsidRPr="00E93F40" w:rsidRDefault="00B70B0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/"Гражданская авиация", 1932 № 5;"Техника* за 12 апреля 1932/ (23370).</w:t>
      </w:r>
    </w:p>
    <w:p w14:paraId="7E4DBF52" w14:textId="77777777" w:rsidR="00B70B03" w:rsidRPr="00E93F40" w:rsidRDefault="00B70B03" w:rsidP="00E93F40">
      <w:pPr>
        <w:spacing w:after="0" w:line="240" w:lineRule="auto"/>
        <w:jc w:val="both"/>
        <w:rPr>
          <w:rFonts w:ascii="Times New Roman" w:hAnsi="Times New Roman"/>
          <w:color w:val="000000" w:themeColor="text1"/>
          <w:sz w:val="16"/>
          <w:szCs w:val="16"/>
        </w:rPr>
      </w:pPr>
    </w:p>
    <w:p w14:paraId="0F7BAC40" w14:textId="77777777" w:rsidR="005256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68BC934" w14:textId="77777777" w:rsidR="00525619" w:rsidRPr="00E93F40" w:rsidRDefault="005256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BB27AFA" w14:textId="77777777" w:rsidR="00525619" w:rsidRPr="00E93F40" w:rsidRDefault="00525619"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9 апреля 1932 </w:t>
      </w:r>
      <w:r w:rsidRPr="00E93F40">
        <w:rPr>
          <w:rFonts w:ascii="Times New Roman" w:hAnsi="Times New Roman"/>
          <w:color w:val="000000" w:themeColor="text1"/>
          <w:sz w:val="16"/>
          <w:szCs w:val="16"/>
        </w:rPr>
        <w:t>СТО принял постановление «Об ударных объектах строительства на 1932 г.» (12265).</w:t>
      </w:r>
    </w:p>
    <w:p w14:paraId="59248D4E" w14:textId="287789BB" w:rsidR="00525619"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6A4DC3E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46225B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4E27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9 и 15 апреля 1932. Из протокола заседания Политбюро № 96, 1932 г.</w:t>
      </w:r>
    </w:p>
    <w:p w14:paraId="453F5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выселении кулаков </w:t>
      </w:r>
    </w:p>
    <w:p w14:paraId="29C02B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Считать необходимым в течение текущего года выселить 30-35 тыс. семей кулаков, вычищенных из колхозов и раскулаченных... </w:t>
      </w:r>
    </w:p>
    <w:p w14:paraId="4C434E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Предложить ОГПУ на все количество кулаков, намеченных к выселению, заключить договора с хозорганами на их трудовое использование. </w:t>
      </w:r>
    </w:p>
    <w:p w14:paraId="4D3029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Протокол заседания Политбюро N96, особая папка, 1932 г. </w:t>
      </w:r>
    </w:p>
    <w:p w14:paraId="4BA8D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хищениях продовольственных и промышленных товаров </w:t>
      </w:r>
    </w:p>
    <w:p w14:paraId="26E675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Поручить комиссии в составе тт. Вышинского, Крыленко, Ягоды, Акулова и Агранова представить в Политбюро проект организации от 5 до 10 процессов в разных местах СССР, руководствуясь тем, чтобы — считая организаторов хищений хлеба и товаров врагами народа — приговорить их к высшей мере наказания, особенно виновных в хищениях коммунистов. </w:t>
      </w:r>
    </w:p>
    <w:p w14:paraId="723E56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Остальных участников этих хищений по всему СССР приговаривать к концлагерям на большие сроки, причем попавшим за хищения коммунистам наказание усилить (11652).</w:t>
      </w:r>
    </w:p>
    <w:p w14:paraId="5C858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F33D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9 и 15 апреля 1932. Из протокола заседания Политбюро № 96, 1932 г.</w:t>
      </w:r>
    </w:p>
    <w:p w14:paraId="537BEE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дальнейшей работе над мозгом Ленина </w:t>
      </w:r>
    </w:p>
    <w:p w14:paraId="54799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Восстановить Институт Мозга как самостоятельный институт, подчинив его Ученому Комитету ЦИК СССР. </w:t>
      </w:r>
    </w:p>
    <w:p w14:paraId="58E728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Директором Института Мозга оставить профессора Фогта, заместителем директора назначить Саркисова С. А. </w:t>
      </w:r>
    </w:p>
    <w:p w14:paraId="36FAC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Определить группу работников для института по научно-исследовательской работе, утвердив их постановлением ЦК. </w:t>
      </w:r>
    </w:p>
    <w:p w14:paraId="4EB824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Командировать т. Саркисова в Берлин сроком на две недели для переговоров с профессором Фогтом (11652).</w:t>
      </w:r>
    </w:p>
    <w:p w14:paraId="096D4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4F5432" w14:textId="77777777" w:rsidR="00A961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B5DD304" w14:textId="77777777" w:rsidR="00A9613C" w:rsidRPr="00E93F40" w:rsidRDefault="00A961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974F38D"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апреля в 1932 году провозглашение государства Маньчжоу-Го (15094).</w:t>
      </w:r>
    </w:p>
    <w:p w14:paraId="16B063C8" w14:textId="77777777" w:rsidR="00A9613C" w:rsidRPr="00E93F40" w:rsidRDefault="00A9613C" w:rsidP="00E93F40">
      <w:pPr>
        <w:spacing w:after="0" w:line="240" w:lineRule="auto"/>
        <w:jc w:val="both"/>
        <w:rPr>
          <w:rFonts w:ascii="Times New Roman" w:hAnsi="Times New Roman"/>
          <w:color w:val="000000" w:themeColor="text1"/>
          <w:sz w:val="16"/>
          <w:szCs w:val="16"/>
        </w:rPr>
      </w:pPr>
    </w:p>
    <w:p w14:paraId="07F0B75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Авиапромышленность:</w:t>
      </w:r>
    </w:p>
    <w:p w14:paraId="38B73E1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D66B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 в ходе гос. испытаний С62 КЭ-АССО 750 (заводской N ОЕ-78) был выполнен пробный полет (1 час 20 мин.). Во время пробного полета обнаружен дефект - сильное заворачивание влево, с каковым самолет для длительных полетов оказался непригодным. Исправлено силами и за средства НИИ (уменьшена компенсация руля). Потом были полет на потолок. Потолок 4200 м за 59 мин. Испытания полностью не проведены, т.к. самолет 8 мая 1932 года передан в Северную экспедицию. (2996).</w:t>
      </w:r>
    </w:p>
    <w:p w14:paraId="04D59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4F5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 ГУАП писал письмо N 0-86/6158 Нач. ЦАГИ Харламову и Нач. ИАМ Татко (копия ПТЭС):</w:t>
      </w:r>
    </w:p>
    <w:p w14:paraId="4DE68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сообщению ПТЭС ГУАП необходимо к 1 июня 1932 представить в НКТП план второй пятилетки (1933-1937) по НИ и ОР.</w:t>
      </w:r>
    </w:p>
    <w:p w14:paraId="1F6B4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Кладя в основу решение XVII Партконференции о занятии СССР к концу 2-й пятилетки первого места в Европе в техническом отношении, НИИ АП, как ведущим организациям необходимо:</w:t>
      </w:r>
    </w:p>
    <w:p w14:paraId="708D6E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Подвести итоги развития 1 пятилетки, приведя новейшие достижения по АП вообще и по Вашему Институту в частности.</w:t>
      </w:r>
    </w:p>
    <w:p w14:paraId="7CD26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Указать экон. эффект, полученный в результате освоения промышленностью проведенных вами НИР</w:t>
      </w:r>
    </w:p>
    <w:p w14:paraId="2F41D4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Охарактеризовать роль Вашего института в реконструкции промышленности, не только своей, но и смежной и обрисовать пути дальнейшего развития смежной отрасли промышленности.</w:t>
      </w:r>
    </w:p>
    <w:p w14:paraId="0B8A39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Дать оценку организационных форм кооперирования с другими НИИ работы и форм предполагаемого в дальнейшем сотрудничества</w:t>
      </w:r>
    </w:p>
    <w:p w14:paraId="50C85A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Усвоив достижения мировой науки и техники проработать и указать пути реализации и применения в АП всего того, что может содействовать ее дальнейшему развитию.</w:t>
      </w:r>
    </w:p>
    <w:p w14:paraId="314BF5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Учесть перспективы развития и направления научной мысли и техники за границей и на базе достигнутых там и у нас результатов выбрать пути, дать последовательные этапу развития поставленных перед АП проблем и поставить конкретные объекты для разрешения во всех областях.</w:t>
      </w:r>
    </w:p>
    <w:p w14:paraId="4A27F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Учитывая завершение технической реконструкции нашего хозяйства, поставить задлачи по созданию новейших технических баз для АП</w:t>
      </w:r>
    </w:p>
    <w:p w14:paraId="7963D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Указать АП направления, по которым ей надо идти для поднятия количественных и качественных показателей продукции в части овладения техникой, механизации труда, внедрения новейших методов производства и материалов.</w:t>
      </w:r>
    </w:p>
    <w:p w14:paraId="066BE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При проработке плана предусмотреть необходимость опережения результатов теоретических, НИ и экспериментальных работ, практическую потребность их применения</w:t>
      </w:r>
    </w:p>
    <w:p w14:paraId="74FF4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В связи с развитием, расширением и углублением объемов всех работ предусмотреть и наметить пути и конкретные мероприятия по созданию необходимых кадров как в опытной, так и в исследовательской областях.</w:t>
      </w:r>
    </w:p>
    <w:p w14:paraId="0060E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Отметить работы по стандартизации, как проведенные, так и намечаемые вами на вторую пятилетку.</w:t>
      </w:r>
    </w:p>
    <w:p w14:paraId="2137D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Вторая пятилетка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567"/>
        <w:gridCol w:w="840"/>
        <w:gridCol w:w="840"/>
        <w:gridCol w:w="840"/>
        <w:gridCol w:w="840"/>
        <w:gridCol w:w="840"/>
        <w:gridCol w:w="840"/>
        <w:gridCol w:w="840"/>
        <w:gridCol w:w="840"/>
      </w:tblGrid>
      <w:tr w:rsidR="00DA227A" w:rsidRPr="00E93F40" w14:paraId="020B3F51" w14:textId="77777777">
        <w:tc>
          <w:tcPr>
            <w:tcW w:w="1242" w:type="dxa"/>
            <w:tcBorders>
              <w:top w:val="single" w:sz="12" w:space="0" w:color="auto"/>
            </w:tcBorders>
          </w:tcPr>
          <w:p w14:paraId="75C68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12" w:space="0" w:color="auto"/>
            </w:tcBorders>
          </w:tcPr>
          <w:p w14:paraId="5CCFE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Расчетный тип</w:t>
            </w:r>
          </w:p>
        </w:tc>
        <w:tc>
          <w:tcPr>
            <w:tcW w:w="840" w:type="dxa"/>
            <w:tcBorders>
              <w:top w:val="single" w:sz="12" w:space="0" w:color="auto"/>
            </w:tcBorders>
          </w:tcPr>
          <w:p w14:paraId="2F80C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1/1/33</w:t>
            </w:r>
          </w:p>
        </w:tc>
        <w:tc>
          <w:tcPr>
            <w:tcW w:w="840" w:type="dxa"/>
            <w:tcBorders>
              <w:top w:val="single" w:sz="12" w:space="0" w:color="auto"/>
            </w:tcBorders>
          </w:tcPr>
          <w:p w14:paraId="7A1826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1/1/34</w:t>
            </w:r>
          </w:p>
        </w:tc>
        <w:tc>
          <w:tcPr>
            <w:tcW w:w="840" w:type="dxa"/>
            <w:tcBorders>
              <w:top w:val="single" w:sz="12" w:space="0" w:color="auto"/>
            </w:tcBorders>
          </w:tcPr>
          <w:p w14:paraId="0B998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1/1/35</w:t>
            </w:r>
          </w:p>
        </w:tc>
        <w:tc>
          <w:tcPr>
            <w:tcW w:w="840" w:type="dxa"/>
            <w:tcBorders>
              <w:top w:val="single" w:sz="12" w:space="0" w:color="auto"/>
            </w:tcBorders>
          </w:tcPr>
          <w:p w14:paraId="1BB286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1/1/36</w:t>
            </w:r>
          </w:p>
        </w:tc>
        <w:tc>
          <w:tcPr>
            <w:tcW w:w="840" w:type="dxa"/>
            <w:tcBorders>
              <w:top w:val="single" w:sz="12" w:space="0" w:color="auto"/>
            </w:tcBorders>
          </w:tcPr>
          <w:p w14:paraId="2ADF7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1/1/37</w:t>
            </w:r>
          </w:p>
        </w:tc>
        <w:tc>
          <w:tcPr>
            <w:tcW w:w="840" w:type="dxa"/>
            <w:tcBorders>
              <w:top w:val="single" w:sz="12" w:space="0" w:color="auto"/>
            </w:tcBorders>
          </w:tcPr>
          <w:p w14:paraId="5B03BF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1/1/38</w:t>
            </w:r>
          </w:p>
        </w:tc>
        <w:tc>
          <w:tcPr>
            <w:tcW w:w="840" w:type="dxa"/>
            <w:tcBorders>
              <w:top w:val="single" w:sz="12" w:space="0" w:color="auto"/>
            </w:tcBorders>
          </w:tcPr>
          <w:p w14:paraId="39E3C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Баланс моторов в 1938</w:t>
            </w:r>
          </w:p>
        </w:tc>
        <w:tc>
          <w:tcPr>
            <w:tcW w:w="840" w:type="dxa"/>
            <w:tcBorders>
              <w:top w:val="single" w:sz="12" w:space="0" w:color="auto"/>
            </w:tcBorders>
          </w:tcPr>
          <w:p w14:paraId="71E89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E2CDCB" w14:textId="77777777">
        <w:tc>
          <w:tcPr>
            <w:tcW w:w="1242" w:type="dxa"/>
          </w:tcPr>
          <w:p w14:paraId="0488BA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Тяжелые</w:t>
            </w:r>
          </w:p>
        </w:tc>
        <w:tc>
          <w:tcPr>
            <w:tcW w:w="567" w:type="dxa"/>
          </w:tcPr>
          <w:p w14:paraId="0C7323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8141B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6803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F524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35DD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20EB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A073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22C9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tc>
        <w:tc>
          <w:tcPr>
            <w:tcW w:w="840" w:type="dxa"/>
          </w:tcPr>
          <w:p w14:paraId="54D4E1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с резервом</w:t>
            </w:r>
          </w:p>
        </w:tc>
      </w:tr>
      <w:tr w:rsidR="00DA227A" w:rsidRPr="00E93F40" w14:paraId="441C35E1" w14:textId="77777777">
        <w:tc>
          <w:tcPr>
            <w:tcW w:w="1242" w:type="dxa"/>
          </w:tcPr>
          <w:p w14:paraId="68FDA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22</w:t>
            </w:r>
          </w:p>
        </w:tc>
        <w:tc>
          <w:tcPr>
            <w:tcW w:w="567" w:type="dxa"/>
          </w:tcPr>
          <w:p w14:paraId="663DF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840" w:type="dxa"/>
          </w:tcPr>
          <w:p w14:paraId="725D2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40" w:type="dxa"/>
          </w:tcPr>
          <w:p w14:paraId="7A9DA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40" w:type="dxa"/>
          </w:tcPr>
          <w:p w14:paraId="0D759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40" w:type="dxa"/>
          </w:tcPr>
          <w:p w14:paraId="738B3D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40" w:type="dxa"/>
          </w:tcPr>
          <w:p w14:paraId="3FBA3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40" w:type="dxa"/>
          </w:tcPr>
          <w:p w14:paraId="65F646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40" w:type="dxa"/>
          </w:tcPr>
          <w:p w14:paraId="33F023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E97E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ABD945" w14:textId="77777777">
        <w:tc>
          <w:tcPr>
            <w:tcW w:w="1242" w:type="dxa"/>
          </w:tcPr>
          <w:p w14:paraId="094BC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18</w:t>
            </w:r>
          </w:p>
        </w:tc>
        <w:tc>
          <w:tcPr>
            <w:tcW w:w="567" w:type="dxa"/>
          </w:tcPr>
          <w:p w14:paraId="3C5BCF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840" w:type="dxa"/>
          </w:tcPr>
          <w:p w14:paraId="2925F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300A2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11CFC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6A371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5EA5D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1A7266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31E394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2C0E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47EE01" w14:textId="77777777">
        <w:tc>
          <w:tcPr>
            <w:tcW w:w="1242" w:type="dxa"/>
          </w:tcPr>
          <w:p w14:paraId="27BB04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124</w:t>
            </w:r>
          </w:p>
        </w:tc>
        <w:tc>
          <w:tcPr>
            <w:tcW w:w="567" w:type="dxa"/>
          </w:tcPr>
          <w:p w14:paraId="4CB35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840" w:type="dxa"/>
          </w:tcPr>
          <w:p w14:paraId="1872B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840" w:type="dxa"/>
          </w:tcPr>
          <w:p w14:paraId="04A1E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840" w:type="dxa"/>
          </w:tcPr>
          <w:p w14:paraId="517C08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840" w:type="dxa"/>
          </w:tcPr>
          <w:p w14:paraId="1E6B2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840" w:type="dxa"/>
          </w:tcPr>
          <w:p w14:paraId="0FD61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840" w:type="dxa"/>
          </w:tcPr>
          <w:p w14:paraId="23118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840" w:type="dxa"/>
          </w:tcPr>
          <w:p w14:paraId="73A823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4708F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714F3E" w14:textId="77777777">
        <w:tc>
          <w:tcPr>
            <w:tcW w:w="1242" w:type="dxa"/>
          </w:tcPr>
          <w:p w14:paraId="0B825E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126</w:t>
            </w:r>
          </w:p>
        </w:tc>
        <w:tc>
          <w:tcPr>
            <w:tcW w:w="567" w:type="dxa"/>
          </w:tcPr>
          <w:p w14:paraId="2379C3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840" w:type="dxa"/>
          </w:tcPr>
          <w:p w14:paraId="113C4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840" w:type="dxa"/>
          </w:tcPr>
          <w:p w14:paraId="50A01B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840" w:type="dxa"/>
          </w:tcPr>
          <w:p w14:paraId="293E68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840" w:type="dxa"/>
          </w:tcPr>
          <w:p w14:paraId="5A41C5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840" w:type="dxa"/>
          </w:tcPr>
          <w:p w14:paraId="283FE2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840" w:type="dxa"/>
          </w:tcPr>
          <w:p w14:paraId="35F37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840" w:type="dxa"/>
          </w:tcPr>
          <w:p w14:paraId="595204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A7FE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F77715" w14:textId="77777777">
        <w:tc>
          <w:tcPr>
            <w:tcW w:w="1242" w:type="dxa"/>
          </w:tcPr>
          <w:p w14:paraId="0DF9D8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18</w:t>
            </w:r>
          </w:p>
        </w:tc>
        <w:tc>
          <w:tcPr>
            <w:tcW w:w="567" w:type="dxa"/>
          </w:tcPr>
          <w:p w14:paraId="44F5D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840" w:type="dxa"/>
          </w:tcPr>
          <w:p w14:paraId="26C7EC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EBB1B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B210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C6AD0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38D1A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5D5F59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2E050A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2777C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9937B7" w14:textId="77777777">
        <w:tc>
          <w:tcPr>
            <w:tcW w:w="1242" w:type="dxa"/>
          </w:tcPr>
          <w:p w14:paraId="0CA01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124</w:t>
            </w:r>
          </w:p>
        </w:tc>
        <w:tc>
          <w:tcPr>
            <w:tcW w:w="567" w:type="dxa"/>
          </w:tcPr>
          <w:p w14:paraId="75F36D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840" w:type="dxa"/>
          </w:tcPr>
          <w:p w14:paraId="16B03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110E8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0A56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4F04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02473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840" w:type="dxa"/>
          </w:tcPr>
          <w:p w14:paraId="415E0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840" w:type="dxa"/>
          </w:tcPr>
          <w:p w14:paraId="4F9E1B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F8B6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96E9D0" w14:textId="77777777">
        <w:tc>
          <w:tcPr>
            <w:tcW w:w="1242" w:type="dxa"/>
          </w:tcPr>
          <w:p w14:paraId="0DFB3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567" w:type="dxa"/>
          </w:tcPr>
          <w:p w14:paraId="79F78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7A77E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40" w:type="dxa"/>
          </w:tcPr>
          <w:p w14:paraId="5FAE1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4700</w:t>
            </w:r>
          </w:p>
        </w:tc>
        <w:tc>
          <w:tcPr>
            <w:tcW w:w="840" w:type="dxa"/>
          </w:tcPr>
          <w:p w14:paraId="35F06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4700</w:t>
            </w:r>
          </w:p>
        </w:tc>
        <w:tc>
          <w:tcPr>
            <w:tcW w:w="840" w:type="dxa"/>
          </w:tcPr>
          <w:p w14:paraId="63657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6600</w:t>
            </w:r>
          </w:p>
        </w:tc>
        <w:tc>
          <w:tcPr>
            <w:tcW w:w="840" w:type="dxa"/>
          </w:tcPr>
          <w:p w14:paraId="47B6C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7800</w:t>
            </w:r>
          </w:p>
        </w:tc>
        <w:tc>
          <w:tcPr>
            <w:tcW w:w="840" w:type="dxa"/>
          </w:tcPr>
          <w:p w14:paraId="4A942F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840" w:type="dxa"/>
          </w:tcPr>
          <w:p w14:paraId="31F7EA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36000</w:t>
            </w:r>
          </w:p>
        </w:tc>
        <w:tc>
          <w:tcPr>
            <w:tcW w:w="840" w:type="dxa"/>
          </w:tcPr>
          <w:p w14:paraId="0EFB9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45000</w:t>
            </w:r>
          </w:p>
        </w:tc>
      </w:tr>
      <w:tr w:rsidR="00DA227A" w:rsidRPr="00E93F40" w14:paraId="6D837181" w14:textId="77777777">
        <w:tc>
          <w:tcPr>
            <w:tcW w:w="1242" w:type="dxa"/>
          </w:tcPr>
          <w:p w14:paraId="0C94C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Истребители</w:t>
            </w:r>
          </w:p>
        </w:tc>
        <w:tc>
          <w:tcPr>
            <w:tcW w:w="567" w:type="dxa"/>
          </w:tcPr>
          <w:p w14:paraId="4236D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CD3AD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FA5C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6C44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28D4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0337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08EB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E46B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9181F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4ADD34D" w14:textId="77777777">
        <w:tc>
          <w:tcPr>
            <w:tcW w:w="1242" w:type="dxa"/>
          </w:tcPr>
          <w:p w14:paraId="66A65D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21</w:t>
            </w:r>
          </w:p>
        </w:tc>
        <w:tc>
          <w:tcPr>
            <w:tcW w:w="567" w:type="dxa"/>
          </w:tcPr>
          <w:p w14:paraId="175500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840" w:type="dxa"/>
          </w:tcPr>
          <w:p w14:paraId="32F58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840" w:type="dxa"/>
          </w:tcPr>
          <w:p w14:paraId="0F3FC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840" w:type="dxa"/>
          </w:tcPr>
          <w:p w14:paraId="1D55A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40" w:type="dxa"/>
          </w:tcPr>
          <w:p w14:paraId="7B0758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40" w:type="dxa"/>
          </w:tcPr>
          <w:p w14:paraId="63CBA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40" w:type="dxa"/>
          </w:tcPr>
          <w:p w14:paraId="1682F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40" w:type="dxa"/>
          </w:tcPr>
          <w:p w14:paraId="3A31C2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207EA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E5CF6D" w14:textId="77777777">
        <w:tc>
          <w:tcPr>
            <w:tcW w:w="1242" w:type="dxa"/>
          </w:tcPr>
          <w:p w14:paraId="3B8FE6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Заволд 31 (2-х местн.)</w:t>
            </w:r>
          </w:p>
        </w:tc>
        <w:tc>
          <w:tcPr>
            <w:tcW w:w="567" w:type="dxa"/>
          </w:tcPr>
          <w:p w14:paraId="1A80D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CDEB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40" w:type="dxa"/>
          </w:tcPr>
          <w:p w14:paraId="68670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40" w:type="dxa"/>
          </w:tcPr>
          <w:p w14:paraId="54AC46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40" w:type="dxa"/>
          </w:tcPr>
          <w:p w14:paraId="70172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40" w:type="dxa"/>
          </w:tcPr>
          <w:p w14:paraId="442ECB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40" w:type="dxa"/>
          </w:tcPr>
          <w:p w14:paraId="52359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40" w:type="dxa"/>
          </w:tcPr>
          <w:p w14:paraId="6DFDE3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017BE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F23925" w14:textId="77777777">
        <w:tc>
          <w:tcPr>
            <w:tcW w:w="1242" w:type="dxa"/>
          </w:tcPr>
          <w:p w14:paraId="30538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w:t>
            </w:r>
          </w:p>
        </w:tc>
        <w:tc>
          <w:tcPr>
            <w:tcW w:w="567" w:type="dxa"/>
          </w:tcPr>
          <w:p w14:paraId="0F8E9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BC9E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CC5F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28689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c>
          <w:tcPr>
            <w:tcW w:w="840" w:type="dxa"/>
          </w:tcPr>
          <w:p w14:paraId="4E4FA0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Pr>
          <w:p w14:paraId="5FDB9C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Pr>
          <w:p w14:paraId="07023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Pr>
          <w:p w14:paraId="7A2EF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5EDB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0E9657" w14:textId="77777777">
        <w:tc>
          <w:tcPr>
            <w:tcW w:w="1242" w:type="dxa"/>
          </w:tcPr>
          <w:p w14:paraId="56870B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567" w:type="dxa"/>
          </w:tcPr>
          <w:p w14:paraId="15D4A7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A1E4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3400</w:t>
            </w:r>
          </w:p>
        </w:tc>
        <w:tc>
          <w:tcPr>
            <w:tcW w:w="840" w:type="dxa"/>
          </w:tcPr>
          <w:p w14:paraId="16439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3400</w:t>
            </w:r>
          </w:p>
        </w:tc>
        <w:tc>
          <w:tcPr>
            <w:tcW w:w="840" w:type="dxa"/>
          </w:tcPr>
          <w:p w14:paraId="3A0ED7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40" w:type="dxa"/>
          </w:tcPr>
          <w:p w14:paraId="6660E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10500</w:t>
            </w:r>
          </w:p>
        </w:tc>
        <w:tc>
          <w:tcPr>
            <w:tcW w:w="840" w:type="dxa"/>
          </w:tcPr>
          <w:p w14:paraId="2FE3FB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10500</w:t>
            </w:r>
          </w:p>
        </w:tc>
        <w:tc>
          <w:tcPr>
            <w:tcW w:w="840" w:type="dxa"/>
          </w:tcPr>
          <w:p w14:paraId="582128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10500</w:t>
            </w:r>
          </w:p>
        </w:tc>
        <w:tc>
          <w:tcPr>
            <w:tcW w:w="840" w:type="dxa"/>
          </w:tcPr>
          <w:p w14:paraId="0B171B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6500 возд.</w:t>
            </w:r>
          </w:p>
          <w:p w14:paraId="10805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 вод.</w:t>
            </w:r>
          </w:p>
        </w:tc>
        <w:tc>
          <w:tcPr>
            <w:tcW w:w="840" w:type="dxa"/>
          </w:tcPr>
          <w:p w14:paraId="276F4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8500</w:t>
            </w:r>
          </w:p>
          <w:p w14:paraId="72BD35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BD0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0D968E48" w14:textId="77777777">
        <w:tc>
          <w:tcPr>
            <w:tcW w:w="1242" w:type="dxa"/>
          </w:tcPr>
          <w:p w14:paraId="11AA8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Штурмовики, разведчики и легкие бомбардировщики</w:t>
            </w:r>
          </w:p>
        </w:tc>
        <w:tc>
          <w:tcPr>
            <w:tcW w:w="567" w:type="dxa"/>
          </w:tcPr>
          <w:p w14:paraId="55120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0C5A1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8DB0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6387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02C0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44D3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0920D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E0D66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32E98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4EAF18" w14:textId="77777777">
        <w:tc>
          <w:tcPr>
            <w:tcW w:w="1242" w:type="dxa"/>
          </w:tcPr>
          <w:p w14:paraId="63DD2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16</w:t>
            </w:r>
          </w:p>
        </w:tc>
        <w:tc>
          <w:tcPr>
            <w:tcW w:w="567" w:type="dxa"/>
          </w:tcPr>
          <w:p w14:paraId="3696F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 и ЛШ</w:t>
            </w:r>
          </w:p>
        </w:tc>
        <w:tc>
          <w:tcPr>
            <w:tcW w:w="840" w:type="dxa"/>
          </w:tcPr>
          <w:p w14:paraId="58E99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c>
          <w:tcPr>
            <w:tcW w:w="840" w:type="dxa"/>
          </w:tcPr>
          <w:p w14:paraId="144B9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40" w:type="dxa"/>
          </w:tcPr>
          <w:p w14:paraId="334FB1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tc>
        <w:tc>
          <w:tcPr>
            <w:tcW w:w="840" w:type="dxa"/>
          </w:tcPr>
          <w:p w14:paraId="13653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40" w:type="dxa"/>
          </w:tcPr>
          <w:p w14:paraId="2C7100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40" w:type="dxa"/>
          </w:tcPr>
          <w:p w14:paraId="06320C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40" w:type="dxa"/>
          </w:tcPr>
          <w:p w14:paraId="49039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A77B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3EBF64" w14:textId="77777777">
        <w:tc>
          <w:tcPr>
            <w:tcW w:w="1242" w:type="dxa"/>
          </w:tcPr>
          <w:p w14:paraId="3BA00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1</w:t>
            </w:r>
          </w:p>
        </w:tc>
        <w:tc>
          <w:tcPr>
            <w:tcW w:w="567" w:type="dxa"/>
          </w:tcPr>
          <w:p w14:paraId="04D41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840" w:type="dxa"/>
          </w:tcPr>
          <w:p w14:paraId="56DDDE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40" w:type="dxa"/>
          </w:tcPr>
          <w:p w14:paraId="18BD0C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40" w:type="dxa"/>
          </w:tcPr>
          <w:p w14:paraId="2787E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Pr>
          <w:p w14:paraId="2463E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Pr>
          <w:p w14:paraId="28F6C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Pr>
          <w:p w14:paraId="1D4CF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Pr>
          <w:p w14:paraId="2C478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0362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55B4AC" w14:textId="77777777">
        <w:tc>
          <w:tcPr>
            <w:tcW w:w="1242" w:type="dxa"/>
          </w:tcPr>
          <w:p w14:paraId="07413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126</w:t>
            </w:r>
          </w:p>
        </w:tc>
        <w:tc>
          <w:tcPr>
            <w:tcW w:w="567" w:type="dxa"/>
          </w:tcPr>
          <w:p w14:paraId="6C3258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840" w:type="dxa"/>
          </w:tcPr>
          <w:p w14:paraId="6280F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07A90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799781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444D80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6C55E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3783AA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513B3E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8E43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E21D02" w14:textId="77777777">
        <w:tc>
          <w:tcPr>
            <w:tcW w:w="1242" w:type="dxa"/>
          </w:tcPr>
          <w:p w14:paraId="1400F2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w:t>
            </w:r>
          </w:p>
        </w:tc>
        <w:tc>
          <w:tcPr>
            <w:tcW w:w="567" w:type="dxa"/>
          </w:tcPr>
          <w:p w14:paraId="035535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840" w:type="dxa"/>
          </w:tcPr>
          <w:p w14:paraId="76E8B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88C07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F19E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F44D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Pr>
          <w:p w14:paraId="404D7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840" w:type="dxa"/>
          </w:tcPr>
          <w:p w14:paraId="777E2F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840" w:type="dxa"/>
          </w:tcPr>
          <w:p w14:paraId="3EE68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D4547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246EE7" w14:textId="77777777">
        <w:tc>
          <w:tcPr>
            <w:tcW w:w="1242" w:type="dxa"/>
          </w:tcPr>
          <w:p w14:paraId="5E7FB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567" w:type="dxa"/>
          </w:tcPr>
          <w:p w14:paraId="64035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F8979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4480</w:t>
            </w:r>
          </w:p>
        </w:tc>
        <w:tc>
          <w:tcPr>
            <w:tcW w:w="840" w:type="dxa"/>
          </w:tcPr>
          <w:p w14:paraId="080E5A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Pr>
          <w:p w14:paraId="29BCA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7300</w:t>
            </w:r>
          </w:p>
        </w:tc>
        <w:tc>
          <w:tcPr>
            <w:tcW w:w="840" w:type="dxa"/>
          </w:tcPr>
          <w:p w14:paraId="4673BF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12500</w:t>
            </w:r>
          </w:p>
        </w:tc>
        <w:tc>
          <w:tcPr>
            <w:tcW w:w="840" w:type="dxa"/>
          </w:tcPr>
          <w:p w14:paraId="618D5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17500</w:t>
            </w:r>
          </w:p>
        </w:tc>
        <w:tc>
          <w:tcPr>
            <w:tcW w:w="840" w:type="dxa"/>
          </w:tcPr>
          <w:p w14:paraId="068106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17500</w:t>
            </w:r>
          </w:p>
        </w:tc>
        <w:tc>
          <w:tcPr>
            <w:tcW w:w="840" w:type="dxa"/>
          </w:tcPr>
          <w:p w14:paraId="1ED68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17500</w:t>
            </w:r>
          </w:p>
        </w:tc>
        <w:tc>
          <w:tcPr>
            <w:tcW w:w="840" w:type="dxa"/>
          </w:tcPr>
          <w:p w14:paraId="25FB6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22000</w:t>
            </w:r>
          </w:p>
        </w:tc>
      </w:tr>
      <w:tr w:rsidR="00DA227A" w:rsidRPr="00E93F40" w14:paraId="272C342A" w14:textId="77777777">
        <w:tc>
          <w:tcPr>
            <w:tcW w:w="1242" w:type="dxa"/>
          </w:tcPr>
          <w:p w14:paraId="45BF5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Морские</w:t>
            </w:r>
          </w:p>
        </w:tc>
        <w:tc>
          <w:tcPr>
            <w:tcW w:w="567" w:type="dxa"/>
          </w:tcPr>
          <w:p w14:paraId="5955F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2780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2E4D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F66FF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D5DB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F15F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99F9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A632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803D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36A9E74" w14:textId="77777777">
        <w:tc>
          <w:tcPr>
            <w:tcW w:w="1242" w:type="dxa"/>
          </w:tcPr>
          <w:p w14:paraId="65D9F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30</w:t>
            </w:r>
          </w:p>
        </w:tc>
        <w:tc>
          <w:tcPr>
            <w:tcW w:w="567" w:type="dxa"/>
          </w:tcPr>
          <w:p w14:paraId="770C4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 и МДР</w:t>
            </w:r>
          </w:p>
        </w:tc>
        <w:tc>
          <w:tcPr>
            <w:tcW w:w="840" w:type="dxa"/>
          </w:tcPr>
          <w:p w14:paraId="2D28A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BB665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40" w:type="dxa"/>
          </w:tcPr>
          <w:p w14:paraId="6F4F9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40" w:type="dxa"/>
          </w:tcPr>
          <w:p w14:paraId="5BE93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40" w:type="dxa"/>
          </w:tcPr>
          <w:p w14:paraId="1DD386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40" w:type="dxa"/>
          </w:tcPr>
          <w:p w14:paraId="56E34D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40" w:type="dxa"/>
          </w:tcPr>
          <w:p w14:paraId="692ABE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7EC68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2D17D6" w14:textId="77777777">
        <w:tc>
          <w:tcPr>
            <w:tcW w:w="1242" w:type="dxa"/>
          </w:tcPr>
          <w:p w14:paraId="1C4D96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31</w:t>
            </w:r>
          </w:p>
        </w:tc>
        <w:tc>
          <w:tcPr>
            <w:tcW w:w="567" w:type="dxa"/>
          </w:tcPr>
          <w:p w14:paraId="678E5F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w:t>
            </w:r>
          </w:p>
        </w:tc>
        <w:tc>
          <w:tcPr>
            <w:tcW w:w="840" w:type="dxa"/>
          </w:tcPr>
          <w:p w14:paraId="5C01E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840" w:type="dxa"/>
          </w:tcPr>
          <w:p w14:paraId="50E9E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840" w:type="dxa"/>
          </w:tcPr>
          <w:p w14:paraId="395F2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11DEB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28DA71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5F4D38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308D4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727A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B1B129" w14:textId="77777777">
        <w:tc>
          <w:tcPr>
            <w:tcW w:w="1242" w:type="dxa"/>
          </w:tcPr>
          <w:p w14:paraId="67F83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78DF8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C7A5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840" w:type="dxa"/>
          </w:tcPr>
          <w:p w14:paraId="5BE9AB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840" w:type="dxa"/>
          </w:tcPr>
          <w:p w14:paraId="2E5EA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840" w:type="dxa"/>
          </w:tcPr>
          <w:p w14:paraId="7FAB05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840" w:type="dxa"/>
          </w:tcPr>
          <w:p w14:paraId="5EF851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840" w:type="dxa"/>
          </w:tcPr>
          <w:p w14:paraId="775176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840" w:type="dxa"/>
          </w:tcPr>
          <w:p w14:paraId="0B379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вод.</w:t>
            </w:r>
          </w:p>
        </w:tc>
        <w:tc>
          <w:tcPr>
            <w:tcW w:w="840" w:type="dxa"/>
          </w:tcPr>
          <w:p w14:paraId="6F8F6F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r>
      <w:tr w:rsidR="00DA227A" w:rsidRPr="00E93F40" w14:paraId="7BF7F2B1" w14:textId="77777777">
        <w:tc>
          <w:tcPr>
            <w:tcW w:w="1242" w:type="dxa"/>
          </w:tcPr>
          <w:p w14:paraId="77E65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Учебные</w:t>
            </w:r>
          </w:p>
        </w:tc>
        <w:tc>
          <w:tcPr>
            <w:tcW w:w="567" w:type="dxa"/>
          </w:tcPr>
          <w:p w14:paraId="5BA61E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ED9F5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AA010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9AD6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CC203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A006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D6088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B5EE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2193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009AF2" w14:textId="77777777">
        <w:tc>
          <w:tcPr>
            <w:tcW w:w="1242" w:type="dxa"/>
          </w:tcPr>
          <w:p w14:paraId="72265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23</w:t>
            </w:r>
          </w:p>
        </w:tc>
        <w:tc>
          <w:tcPr>
            <w:tcW w:w="567" w:type="dxa"/>
          </w:tcPr>
          <w:p w14:paraId="44839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 У3</w:t>
            </w:r>
          </w:p>
        </w:tc>
        <w:tc>
          <w:tcPr>
            <w:tcW w:w="840" w:type="dxa"/>
          </w:tcPr>
          <w:p w14:paraId="07F2F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0FBF9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45695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40" w:type="dxa"/>
          </w:tcPr>
          <w:p w14:paraId="74F45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40" w:type="dxa"/>
          </w:tcPr>
          <w:p w14:paraId="5D554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40" w:type="dxa"/>
          </w:tcPr>
          <w:p w14:paraId="2B6B77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40" w:type="dxa"/>
          </w:tcPr>
          <w:p w14:paraId="54C883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B581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792A0B" w14:textId="77777777">
        <w:tc>
          <w:tcPr>
            <w:tcW w:w="1242" w:type="dxa"/>
          </w:tcPr>
          <w:p w14:paraId="28452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567" w:type="dxa"/>
          </w:tcPr>
          <w:p w14:paraId="000687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59BF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C61B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40" w:type="dxa"/>
          </w:tcPr>
          <w:p w14:paraId="6C8308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40" w:type="dxa"/>
          </w:tcPr>
          <w:p w14:paraId="79F294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40" w:type="dxa"/>
          </w:tcPr>
          <w:p w14:paraId="6A470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40" w:type="dxa"/>
          </w:tcPr>
          <w:p w14:paraId="40E7B9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40" w:type="dxa"/>
          </w:tcPr>
          <w:p w14:paraId="14C9F8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3553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2869CD" w14:textId="77777777">
        <w:tc>
          <w:tcPr>
            <w:tcW w:w="1242" w:type="dxa"/>
          </w:tcPr>
          <w:p w14:paraId="7B4E99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w:t>
            </w:r>
          </w:p>
        </w:tc>
        <w:tc>
          <w:tcPr>
            <w:tcW w:w="567" w:type="dxa"/>
          </w:tcPr>
          <w:p w14:paraId="11534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2CEB7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F638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820D3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E5D0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840" w:type="dxa"/>
          </w:tcPr>
          <w:p w14:paraId="71593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40" w:type="dxa"/>
          </w:tcPr>
          <w:p w14:paraId="05B42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40" w:type="dxa"/>
          </w:tcPr>
          <w:p w14:paraId="6C466A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46EA1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ECE9F4" w14:textId="77777777">
        <w:tc>
          <w:tcPr>
            <w:tcW w:w="1242" w:type="dxa"/>
          </w:tcPr>
          <w:p w14:paraId="406F8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567" w:type="dxa"/>
          </w:tcPr>
          <w:p w14:paraId="116C3F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0C237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40" w:type="dxa"/>
          </w:tcPr>
          <w:p w14:paraId="35E9B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9500</w:t>
            </w:r>
          </w:p>
        </w:tc>
        <w:tc>
          <w:tcPr>
            <w:tcW w:w="840" w:type="dxa"/>
          </w:tcPr>
          <w:p w14:paraId="616F0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c>
          <w:tcPr>
            <w:tcW w:w="840" w:type="dxa"/>
          </w:tcPr>
          <w:p w14:paraId="7C40E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840" w:type="dxa"/>
          </w:tcPr>
          <w:p w14:paraId="6042D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19000</w:t>
            </w:r>
          </w:p>
        </w:tc>
        <w:tc>
          <w:tcPr>
            <w:tcW w:w="840" w:type="dxa"/>
          </w:tcPr>
          <w:p w14:paraId="7FE9EE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19000</w:t>
            </w:r>
          </w:p>
        </w:tc>
        <w:tc>
          <w:tcPr>
            <w:tcW w:w="840" w:type="dxa"/>
          </w:tcPr>
          <w:p w14:paraId="4C699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19000 возд.</w:t>
            </w:r>
          </w:p>
        </w:tc>
        <w:tc>
          <w:tcPr>
            <w:tcW w:w="840" w:type="dxa"/>
          </w:tcPr>
          <w:p w14:paraId="09587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38000</w:t>
            </w:r>
          </w:p>
        </w:tc>
      </w:tr>
      <w:tr w:rsidR="00DA227A" w:rsidRPr="00E93F40" w14:paraId="69CFB0A0" w14:textId="77777777">
        <w:tc>
          <w:tcPr>
            <w:tcW w:w="1242" w:type="dxa"/>
          </w:tcPr>
          <w:p w14:paraId="18D7EC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Экспериментальный 39</w:t>
            </w:r>
          </w:p>
        </w:tc>
        <w:tc>
          <w:tcPr>
            <w:tcW w:w="567" w:type="dxa"/>
          </w:tcPr>
          <w:p w14:paraId="2E9B2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27EC2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3F4A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7B0B6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7F34D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28A1B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5E67A1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40" w:type="dxa"/>
          </w:tcPr>
          <w:p w14:paraId="48A7D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вод.</w:t>
            </w:r>
          </w:p>
        </w:tc>
        <w:tc>
          <w:tcPr>
            <w:tcW w:w="840" w:type="dxa"/>
          </w:tcPr>
          <w:p w14:paraId="6A842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0731BA64" w14:textId="77777777">
        <w:tc>
          <w:tcPr>
            <w:tcW w:w="1242" w:type="dxa"/>
            <w:tcBorders>
              <w:bottom w:val="single" w:sz="12" w:space="0" w:color="auto"/>
            </w:tcBorders>
          </w:tcPr>
          <w:p w14:paraId="5FB7D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567" w:type="dxa"/>
            <w:tcBorders>
              <w:bottom w:val="single" w:sz="12" w:space="0" w:color="auto"/>
            </w:tcBorders>
          </w:tcPr>
          <w:p w14:paraId="2A191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Borders>
              <w:bottom w:val="single" w:sz="12" w:space="0" w:color="auto"/>
            </w:tcBorders>
          </w:tcPr>
          <w:p w14:paraId="1EFCD7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13280</w:t>
            </w:r>
          </w:p>
        </w:tc>
        <w:tc>
          <w:tcPr>
            <w:tcW w:w="840" w:type="dxa"/>
            <w:tcBorders>
              <w:bottom w:val="single" w:sz="12" w:space="0" w:color="auto"/>
            </w:tcBorders>
          </w:tcPr>
          <w:p w14:paraId="64DF6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23800</w:t>
            </w:r>
          </w:p>
        </w:tc>
        <w:tc>
          <w:tcPr>
            <w:tcW w:w="840" w:type="dxa"/>
            <w:tcBorders>
              <w:bottom w:val="single" w:sz="12" w:space="0" w:color="auto"/>
            </w:tcBorders>
          </w:tcPr>
          <w:p w14:paraId="6AB89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32300</w:t>
            </w:r>
          </w:p>
          <w:p w14:paraId="4592FE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Borders>
              <w:bottom w:val="single" w:sz="12" w:space="0" w:color="auto"/>
            </w:tcBorders>
          </w:tcPr>
          <w:p w14:paraId="3333F9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45900</w:t>
            </w:r>
          </w:p>
          <w:p w14:paraId="6BFCD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Borders>
              <w:bottom w:val="single" w:sz="12" w:space="0" w:color="auto"/>
            </w:tcBorders>
          </w:tcPr>
          <w:p w14:paraId="5EF45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56100</w:t>
            </w:r>
          </w:p>
          <w:p w14:paraId="5F593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Borders>
              <w:bottom w:val="single" w:sz="12" w:space="0" w:color="auto"/>
            </w:tcBorders>
          </w:tcPr>
          <w:p w14:paraId="7D012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57300</w:t>
            </w:r>
          </w:p>
          <w:p w14:paraId="2FFDB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Borders>
              <w:bottom w:val="single" w:sz="12" w:space="0" w:color="auto"/>
            </w:tcBorders>
          </w:tcPr>
          <w:p w14:paraId="33672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86000</w:t>
            </w:r>
          </w:p>
          <w:p w14:paraId="169484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40" w:type="dxa"/>
            <w:tcBorders>
              <w:bottom w:val="single" w:sz="12" w:space="0" w:color="auto"/>
            </w:tcBorders>
          </w:tcPr>
          <w:p w14:paraId="5A9AF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122000</w:t>
            </w:r>
          </w:p>
        </w:tc>
      </w:tr>
    </w:tbl>
    <w:p w14:paraId="19C83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Нач. ПТЭС ГУАП Петрожицкий (2312,69).</w:t>
      </w:r>
    </w:p>
    <w:p w14:paraId="305827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E1674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2436C7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FA55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 г. на полигоне «Выстрел» в Кунцеве были начаты испытания опытного образца СПК.</w:t>
      </w:r>
    </w:p>
    <w:p w14:paraId="550069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Тумба с пушкой снималась с автомобиля и могла вести огонь с грунта. При стрельбе с грунта максимальный угол возвышения без подкапывания составлял 19°30?. Под шасси автомобиля «Форд» была подведена вторая ведущая ось. Для увеличения проходимости на задние колеса надевалась легкая съемная гусеница. Без гусениц по шоссе автомобиль с пушкой развивал скорость до 90 км/час.</w:t>
      </w:r>
    </w:p>
    <w:p w14:paraId="0BD23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стрельбе с автомобиля скорострельность составляла до 10 выстр/мин. Было сделано несколько выстрелов с ходу при скорости 15–20 км/час.</w:t>
      </w:r>
    </w:p>
    <w:p w14:paraId="1A8C6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стрельбе с автомобиля угол горизонтального наведения составлял 240° (вперед и вбок), сектор в 120° назад не обстреливался.</w:t>
      </w:r>
    </w:p>
    <w:p w14:paraId="17463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испытаний в Кунцеве СПК сделала пробег по маршруту Москва — Ленинград — НИАП со средней скоростью 37 км/час. Затем последовали испытания на НИАПе. Акт об их завершении был подписан 22 июля 1932 г.</w:t>
      </w:r>
    </w:p>
    <w:p w14:paraId="7C52A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Войсковые испытания СПК были проведены в московской Пролетарской стрелковой дивизии и 4-й кавалерийской дивизии, по результатам которых СП К была принята на вооружение кавалерийских и мотомеханизированных частей.</w:t>
      </w:r>
    </w:p>
    <w:p w14:paraId="08D5FB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 планировалось вести серийное производство СПК на заводе № 8. В 1933 г. завод имел план на 25 СПК, но ни одной пушки не сдал.</w:t>
      </w:r>
    </w:p>
    <w:p w14:paraId="140F5B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заводу № 7 было поручено освоить производство СПК. На 1934 г. ему заказали 10 °CПК, но вскоре с согласия заказчика систему сняли с производства «ввиду ее несовершенства». По отчету завода № 7 за 1934 т. было изготовлено всего 7 СПК.</w:t>
      </w:r>
    </w:p>
    <w:p w14:paraId="2C317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1935 г. заводу № 7 было заказано 11 °CПК, а сдано под пломбу в течение года 20. Трубы и сопла для завода № 7 изготавливал завод «Большевик».</w:t>
      </w:r>
    </w:p>
    <w:p w14:paraId="016AC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завод № 38 должен был приступить к изготовлению и монтажу 5 °CПК на автомобилях.</w:t>
      </w:r>
    </w:p>
    <w:p w14:paraId="78D412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Сколько всего было изготовлено систем — установить невозможно. Во всяком случае, к 1 ноября 1936 г. на вооружении РККА состояло 85 годных СПК. В ходе Зимней войны 1939–1940 гг. финнам удалось захватить одну установку СПК.</w:t>
      </w:r>
    </w:p>
    <w:p w14:paraId="7ACD2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об участии СПК или каких-либо других пушек Курчевского в Великой Отечественной войне отсутствуют (12091).</w:t>
      </w:r>
    </w:p>
    <w:p w14:paraId="2A66B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06AEF5"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10 апреля 1932 г. на полигоне «Выстрел» в Кунцево были начаты испытания опытного образца самоходной пушки Курчевского СПК.</w:t>
      </w:r>
    </w:p>
    <w:p w14:paraId="0C72BDEE"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Тумба с пушкой снималась с автомобиля и могла вести огонь с грунта. При стрельбе с грунта максимальный угол возвышения без подкапывания составлял 19°30′. Под шасси автомобиля «Форд» была подведена вторая ведущая ось. Для увеличения проходимости на задние колеса надевалась легкая съемная гусеница. Без гусениц по шоссе автомобиль с пушкой развивал скорость до 90 км/ч.</w:t>
      </w:r>
    </w:p>
    <w:p w14:paraId="28ED0D88"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стрельбе с автомобиля скорострельность составляла до 10 выстр./мин. Было сделано несколько выстрелов с хода при скорости 15–20 км/ч.</w:t>
      </w:r>
    </w:p>
    <w:p w14:paraId="292CEB7B"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стрельбе с автомобиля угол горизонтального наведения составлял 240° (вперед и вбок), сектор в 120° назад не обстреливался.</w:t>
      </w:r>
    </w:p>
    <w:p w14:paraId="3B5295B1" w14:textId="77777777" w:rsidR="00311ADB" w:rsidRPr="00142305" w:rsidRDefault="00311ADB" w:rsidP="00311AD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После испытаний в Кунцево СПК сделала пробег по маршруту Москва — Ленинград — НИАП со средней скоростью 37 км/ час (25213).</w:t>
      </w:r>
    </w:p>
    <w:p w14:paraId="6A457021" w14:textId="77777777" w:rsidR="00311ADB" w:rsidRPr="00142305" w:rsidRDefault="00311ADB" w:rsidP="00311ADB">
      <w:pPr>
        <w:spacing w:after="0" w:line="240" w:lineRule="auto"/>
        <w:jc w:val="both"/>
        <w:rPr>
          <w:rStyle w:val="aff"/>
          <w:rFonts w:ascii="Times New Roman" w:hAnsi="Times New Roman" w:cs="Times New Roman"/>
          <w:color w:val="0070C0"/>
          <w:spacing w:val="0"/>
          <w:sz w:val="16"/>
          <w:szCs w:val="16"/>
        </w:rPr>
      </w:pPr>
    </w:p>
    <w:p w14:paraId="5C7699A2" w14:textId="77777777" w:rsidR="00311ADB" w:rsidRPr="00142305" w:rsidRDefault="00311ADB" w:rsidP="00311ADB">
      <w:pPr>
        <w:spacing w:after="0" w:line="240" w:lineRule="auto"/>
        <w:jc w:val="both"/>
        <w:rPr>
          <w:rStyle w:val="aff"/>
          <w:rFonts w:ascii="Times New Roman" w:hAnsi="Times New Roman" w:cs="Times New Roman"/>
          <w:color w:val="0070C0"/>
          <w:spacing w:val="0"/>
          <w:sz w:val="16"/>
          <w:szCs w:val="16"/>
        </w:rPr>
      </w:pPr>
      <w:r w:rsidRPr="00142305">
        <w:rPr>
          <w:rFonts w:ascii="Times New Roman" w:eastAsia="Trebuchet MS" w:hAnsi="Times New Roman"/>
          <w:color w:val="0070C0"/>
          <w:sz w:val="16"/>
          <w:szCs w:val="16"/>
          <w:shd w:val="clear" w:color="auto" w:fill="FFFFFF"/>
        </w:rPr>
        <w:t>10 апреля 1932 года на завод «Красный Октябрь» прибыл нарком Орджоникидзе, а с ним комкор Нейман (управляющий Спецмаштрестом) и комдив Бокис (зам. начальника Бронетанкового управления) – заказчик новой продукции. На расширенном совещании нарком выказал явное недовольство ходом работ по развертыванию нового производства, подверг резкой критике позицию директора завода Михайлова и потребовал безусловного выполнения важного правительственного задания в запланированные сроки (25670)/</w:t>
      </w:r>
    </w:p>
    <w:p w14:paraId="4CF0D4B6" w14:textId="77777777" w:rsidR="00311ADB" w:rsidRPr="00142305" w:rsidRDefault="00311ADB" w:rsidP="00311ADB">
      <w:pPr>
        <w:spacing w:after="0" w:line="240" w:lineRule="auto"/>
        <w:jc w:val="both"/>
        <w:rPr>
          <w:rStyle w:val="aff"/>
          <w:rFonts w:ascii="Times New Roman" w:hAnsi="Times New Roman" w:cs="Times New Roman"/>
          <w:color w:val="0070C0"/>
          <w:spacing w:val="0"/>
          <w:sz w:val="16"/>
          <w:szCs w:val="16"/>
        </w:rPr>
      </w:pPr>
    </w:p>
    <w:p w14:paraId="42930A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 танк “Селезень”, получивший индекс Т-33, на плаву был показан замнаркома М. Тухачевскому, который вскоре по</w:t>
      </w:r>
      <w:r w:rsidRPr="00E93F40">
        <w:rPr>
          <w:rFonts w:ascii="Times New Roman" w:hAnsi="Times New Roman"/>
          <w:color w:val="000000" w:themeColor="text1"/>
          <w:sz w:val="16"/>
          <w:szCs w:val="16"/>
        </w:rPr>
        <w:softHyphen/>
        <w:t>сле этого, отправляя телеграмму в Италию, где находилась наша закупочная комиссия, написал своей рукой: «Пере</w:t>
      </w:r>
      <w:r w:rsidRPr="00E93F40">
        <w:rPr>
          <w:rFonts w:ascii="Times New Roman" w:hAnsi="Times New Roman"/>
          <w:color w:val="000000" w:themeColor="text1"/>
          <w:sz w:val="16"/>
          <w:szCs w:val="16"/>
        </w:rPr>
        <w:softHyphen/>
        <w:t>дайте Гинзбургу, что его «утка» плавает и весьма успешно...», но все же Т-33 испытаний не выдержал и в его конструкции было слиш</w:t>
      </w:r>
      <w:r w:rsidRPr="00E93F40">
        <w:rPr>
          <w:rFonts w:ascii="Times New Roman" w:hAnsi="Times New Roman"/>
          <w:color w:val="000000" w:themeColor="text1"/>
          <w:sz w:val="16"/>
          <w:szCs w:val="16"/>
        </w:rPr>
        <w:softHyphen/>
        <w:t>ком много нетехнологичных решений (10733,151).</w:t>
      </w:r>
    </w:p>
    <w:p w14:paraId="1DFEBD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B32B4B" w14:textId="77777777" w:rsidR="00DF2CD2" w:rsidRPr="00E93F40" w:rsidRDefault="00DF2CD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0490B0EB" w14:textId="77777777" w:rsidR="00DF2CD2" w:rsidRPr="00E93F40" w:rsidRDefault="00DF2CD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DFE497" w14:textId="77777777" w:rsidR="00DF2CD2" w:rsidRPr="00E93F40" w:rsidRDefault="00DF2C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 Газета "Вечерняя Москва" сообщала: "По Каменному мосту до сих пор не разрешалось проезжать одновременно двум трамваям. Вследствие этого почти всегда у моста стояли очереди трамваев. С сегодняшнего дня по Каменному мосту одновременно пропускают по два трамвая. Обследование моста показало, что он свободно выдержит такую нагрузку" (18723).</w:t>
      </w:r>
    </w:p>
    <w:p w14:paraId="515137B1" w14:textId="77777777" w:rsidR="00DF2CD2" w:rsidRPr="00E93F40" w:rsidRDefault="00DF2CD2" w:rsidP="00E93F40">
      <w:pPr>
        <w:spacing w:after="0" w:line="240" w:lineRule="auto"/>
        <w:jc w:val="both"/>
        <w:rPr>
          <w:rFonts w:ascii="Times New Roman" w:hAnsi="Times New Roman"/>
          <w:color w:val="000000" w:themeColor="text1"/>
          <w:sz w:val="16"/>
          <w:szCs w:val="16"/>
        </w:rPr>
      </w:pPr>
    </w:p>
    <w:p w14:paraId="33D25C0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821C43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70A6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 Гинденбург был избран немецким президентом (2100) и получил 19.5 млн. голосов, против 13.4 млн. у А.Г. и 3.7 млн. у Э.Тельмана (3907,172).</w:t>
      </w:r>
    </w:p>
    <w:p w14:paraId="26BCE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C64B84" w14:textId="415FA029" w:rsidR="00DF2CD2" w:rsidRPr="00E93F40" w:rsidRDefault="00DF2C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президентских выборах за кандидатуру Гитлера было подано уже 13,4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голосов, за Гинденбурга —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(19269).</w:t>
      </w:r>
    </w:p>
    <w:p w14:paraId="4D4BE836" w14:textId="77777777" w:rsidR="00DF2CD2" w:rsidRPr="00E93F40" w:rsidRDefault="00DF2CD2" w:rsidP="00E93F40">
      <w:pPr>
        <w:spacing w:after="0" w:line="240" w:lineRule="auto"/>
        <w:jc w:val="both"/>
        <w:rPr>
          <w:rFonts w:ascii="Times New Roman" w:hAnsi="Times New Roman"/>
          <w:color w:val="000000" w:themeColor="text1"/>
          <w:sz w:val="16"/>
          <w:szCs w:val="16"/>
        </w:rPr>
      </w:pPr>
    </w:p>
    <w:p w14:paraId="741830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 г. На президентских выборах (Это был второй тур выборов. В первом туре 13 марта 1932 г. были выставлены 4 кандидата (Гинденбург, Гитлер, Тельман, Дюстерберг). Однако ни один из кандидатов не смог набрать необходимого числа голосов.) за кандидатуру Гитлера было подано уже 13,4 млн. голосов, за Гинденбурга — 19,36 млн. Спустя четыре дня в связи с публикацией в германской печати документов, свидетельствовавших о подготовке национал-социалистами вооруженного путча с целью захвата власти, Гинденбург подписал чрезвычайное постановление о запрете СС и СА (СС и СА — транслитерация с немецкого: СС — Schutzstaffeln (охранные отряды), СА — Sturmabteilungen (штурмовые отряды).). Однако после отставки Брюнинга и назначения главой правительства Папена, также не имевшего большинства в райхстаге, первое, что сделал Папен, были отмена запрета СС и СА и роспуск райхстага. Новые выборы были назначены на 31 июля 1932 г. 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НСДАП{9}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5F0DD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1B3BA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9CBCAF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360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состоялось совещание у Нач. самолетного треста Малахова:</w:t>
      </w:r>
    </w:p>
    <w:p w14:paraId="055E3B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 Об окончательных сроках подготовки рабочих чертежей ТШ заводу 16 (докл. С.В.И.).</w:t>
      </w:r>
    </w:p>
    <w:p w14:paraId="0B182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 ЦАГИ делает для завода 16 все рабочие чертежи самолета ТШ с указанием допусков и все приспособления след. агрегатам:</w:t>
      </w:r>
    </w:p>
    <w:p w14:paraId="37EE4A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Броневая часть фюзеляжа</w:t>
      </w:r>
    </w:p>
    <w:p w14:paraId="4B9CB2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сварочная часть фюзеляжа</w:t>
      </w:r>
    </w:p>
    <w:p w14:paraId="55869A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Верхнее крыло деревянное</w:t>
      </w:r>
    </w:p>
    <w:p w14:paraId="27E9E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Нижнее крыло дюралевое</w:t>
      </w:r>
    </w:p>
    <w:p w14:paraId="52E08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Элероны</w:t>
      </w:r>
    </w:p>
    <w:p w14:paraId="0A5462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Хвостовое оперение</w:t>
      </w:r>
    </w:p>
    <w:p w14:paraId="62464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Технологический процесс разрабатывает завод 16 сам." (2320,57).</w:t>
      </w:r>
    </w:p>
    <w:p w14:paraId="3C43A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4C8E15" w14:textId="77777777" w:rsidR="009C1F6C" w:rsidRPr="00E93F40" w:rsidRDefault="009C1F6C" w:rsidP="00E93F40">
      <w:pPr>
        <w:pStyle w:val="rtejustify"/>
        <w:shd w:val="clear" w:color="auto" w:fill="FFFFFF"/>
        <w:spacing w:before="0" w:after="0"/>
        <w:rPr>
          <w:color w:val="000000" w:themeColor="text1"/>
          <w:sz w:val="16"/>
          <w:szCs w:val="16"/>
        </w:rPr>
      </w:pPr>
      <w:r w:rsidRPr="00E93F40">
        <w:rPr>
          <w:color w:val="000000" w:themeColor="text1"/>
          <w:sz w:val="16"/>
          <w:szCs w:val="16"/>
        </w:rPr>
        <w:t>11 апреля 1932 года в ЦАГИ состоялось совещание представителей ЭАО и ЦКБ, на котором был рассмотрен вопрос «О срочном выполнении работы по просчету машины И-8 под моторы водяного охлаждения (М-32, Ролс-Ройс, Испано и Фиат)». Совещание постановило:</w:t>
      </w:r>
    </w:p>
    <w:p w14:paraId="12F37AA6" w14:textId="77777777" w:rsidR="009C1F6C" w:rsidRPr="00E93F40" w:rsidRDefault="009C1F6C"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«Все данные по машине остаются неизменными за исключением веса, который меняется в зависимости от веса мотора. Расчетная скорость для выбора винта остается неизменной.</w:t>
      </w:r>
    </w:p>
    <w:p w14:paraId="21B4DC91" w14:textId="77777777" w:rsidR="009C1F6C" w:rsidRPr="00E93F40" w:rsidRDefault="009C1F6C"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Срок выполнения работы 13 апреля с/г к 16 час. дня.</w:t>
      </w:r>
    </w:p>
    <w:p w14:paraId="327E6B3C" w14:textId="77777777" w:rsidR="009C1F6C" w:rsidRPr="00E93F40" w:rsidRDefault="009C1F6C"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lastRenderedPageBreak/>
        <w:t>Работу эту берет на себя секция Аэродинамики Самолета ЭАО и работа будет проводиться под руководством инженера Титова, группой инженерных работников, выделенных из ЭАО.</w:t>
      </w:r>
    </w:p>
    <w:p w14:paraId="36E4BE5B" w14:textId="77777777" w:rsidR="009C1F6C" w:rsidRPr="00E93F40" w:rsidRDefault="009C1F6C"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Все данные по аппарату И-8, необходимые для расчета, передаются товарищем Сухим к 16 час. 11 апреля.</w:t>
      </w:r>
    </w:p>
    <w:p w14:paraId="00676F92" w14:textId="77777777" w:rsidR="009C1F6C" w:rsidRPr="00E93F40" w:rsidRDefault="009C1F6C"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Все недостающие данные по мотору представитель ИАМ т. Дмитриевский должен дать не позднее 19 час. 11 апреля.</w:t>
      </w:r>
    </w:p>
    <w:p w14:paraId="1B2FE498" w14:textId="77777777" w:rsidR="009C1F6C" w:rsidRPr="00E93F40" w:rsidRDefault="009C1F6C"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При непредставлении необходимых данных, расчет производится на основании имеющихся данных, путем дополнительных собственных расчетов.</w:t>
      </w:r>
    </w:p>
    <w:p w14:paraId="176169AC" w14:textId="0CD3082F" w:rsidR="009C1F6C" w:rsidRPr="00E93F40" w:rsidRDefault="009C1F6C"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Работа сдается в ЦКБ в указанный срок в рукописном виде. Работу принимает П.</w:t>
      </w:r>
      <w:r w:rsidR="007C1411" w:rsidRPr="00E93F40">
        <w:rPr>
          <w:rStyle w:val="af0"/>
          <w:i w:val="0"/>
          <w:color w:val="000000" w:themeColor="text1"/>
          <w:sz w:val="16"/>
          <w:szCs w:val="16"/>
          <w:bdr w:val="none" w:sz="0" w:space="0" w:color="auto" w:frame="1"/>
        </w:rPr>
        <w:t xml:space="preserve"> </w:t>
      </w:r>
      <w:r w:rsidRPr="00E93F40">
        <w:rPr>
          <w:rStyle w:val="af0"/>
          <w:i w:val="0"/>
          <w:color w:val="000000" w:themeColor="text1"/>
          <w:sz w:val="16"/>
          <w:szCs w:val="16"/>
          <w:bdr w:val="none" w:sz="0" w:space="0" w:color="auto" w:frame="1"/>
        </w:rPr>
        <w:t>О. Сухой.</w:t>
      </w:r>
    </w:p>
    <w:p w14:paraId="0F1FB42B" w14:textId="77777777" w:rsidR="009C1F6C" w:rsidRPr="00E93F40" w:rsidRDefault="009C1F6C" w:rsidP="00E93F40">
      <w:pPr>
        <w:pStyle w:val="rtejustify"/>
        <w:shd w:val="clear" w:color="auto" w:fill="FFFFFF"/>
        <w:spacing w:before="0" w:after="0"/>
        <w:rPr>
          <w:rStyle w:val="af0"/>
          <w:i w:val="0"/>
          <w:color w:val="000000" w:themeColor="text1"/>
          <w:sz w:val="16"/>
          <w:szCs w:val="16"/>
          <w:bdr w:val="none" w:sz="0" w:space="0" w:color="auto" w:frame="1"/>
        </w:rPr>
      </w:pPr>
      <w:r w:rsidRPr="00E93F40">
        <w:rPr>
          <w:rStyle w:val="af0"/>
          <w:i w:val="0"/>
          <w:color w:val="000000" w:themeColor="text1"/>
          <w:sz w:val="16"/>
          <w:szCs w:val="16"/>
          <w:bdr w:val="none" w:sz="0" w:space="0" w:color="auto" w:frame="1"/>
        </w:rPr>
        <w:t>Вся выполненная работа будет оплачена аккордно. Оформление оплаты берет на себя тов. Сухой» (19171).</w:t>
      </w:r>
    </w:p>
    <w:p w14:paraId="4E4F9070" w14:textId="77777777" w:rsidR="009C1F6C" w:rsidRPr="00E93F40" w:rsidRDefault="009C1F6C" w:rsidP="00E93F40">
      <w:pPr>
        <w:pStyle w:val="rtejustify"/>
        <w:shd w:val="clear" w:color="auto" w:fill="FFFFFF"/>
        <w:spacing w:before="0" w:after="0"/>
        <w:rPr>
          <w:color w:val="000000" w:themeColor="text1"/>
          <w:sz w:val="16"/>
          <w:szCs w:val="16"/>
        </w:rPr>
      </w:pPr>
    </w:p>
    <w:p w14:paraId="5D6509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года начальник 1 отдела НИИ Горощенко писал письмо N ОС/131с в 1-е гл. управление ВВС.</w:t>
      </w:r>
    </w:p>
    <w:p w14:paraId="081A2F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препровождаю отчет по испытанию самолета Р5 N 4629 (эталон на 1932 год) на штопор.</w:t>
      </w:r>
    </w:p>
    <w:p w14:paraId="6FA824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Отчет</w:t>
      </w:r>
    </w:p>
    <w:p w14:paraId="209EB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испытанию самолета Р5 N 4629 (эталон на 1932 год) на штопор.</w:t>
      </w:r>
    </w:p>
    <w:p w14:paraId="04CFD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34ED2A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 ведущий самолет Жемчужин</w:t>
      </w:r>
    </w:p>
    <w:p w14:paraId="098BBF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Байдуков</w:t>
      </w:r>
    </w:p>
    <w:p w14:paraId="514A5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2CF33B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Выяснить при каких условиях центровки самолет Р5 выходит в штопор.</w:t>
      </w:r>
    </w:p>
    <w:p w14:paraId="0A4B9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Имеет ли самолет тенденцию срываться в штопор при нормальных ошибках пилотирования.</w:t>
      </w:r>
    </w:p>
    <w:p w14:paraId="10DD5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Определение характера штопора для варианта разведчика.</w:t>
      </w:r>
    </w:p>
    <w:p w14:paraId="155AF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Как нужно выводить самолет из штопора после двух витков.</w:t>
      </w:r>
    </w:p>
    <w:p w14:paraId="5F005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w:t>
      </w:r>
    </w:p>
    <w:p w14:paraId="2BAD1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в отношении штопора не является опасным, так как тенденций к срыву не имеет.</w:t>
      </w:r>
    </w:p>
    <w:p w14:paraId="29E195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Ввиду резкого раскручивания строевым частям штопорить более 2-х витков не следует. (3064,54-64).</w:t>
      </w:r>
    </w:p>
    <w:p w14:paraId="4E1E2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9EA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состоялся первый полет дирижабля СССР В-1 (61,179).</w:t>
      </w:r>
    </w:p>
    <w:p w14:paraId="3F5478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B357EE" w14:textId="77777777" w:rsidR="00073FF4" w:rsidRPr="00E93F40" w:rsidRDefault="00073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на Волковом поле состоялся первый полёт «СССР В-1», на борту которого находились командир корабля В.Л. Ни</w:t>
      </w:r>
      <w:r w:rsidRPr="00E93F40">
        <w:rPr>
          <w:rFonts w:ascii="Times New Roman" w:hAnsi="Times New Roman"/>
          <w:color w:val="000000" w:themeColor="text1"/>
          <w:sz w:val="16"/>
          <w:szCs w:val="16"/>
        </w:rPr>
        <w:softHyphen/>
        <w:t>жевский, первый помощник И.Я. Волхонский, второй помощник И.В. Паньков, бортмеханики С.Ф. Кузьмин и И.Д. Ободзинский, корабельный инженер В.Г. Гараканизде. Полёт показал полное соответствие характеристик дирижабля расчёт</w:t>
      </w:r>
      <w:r w:rsidRPr="00E93F40">
        <w:rPr>
          <w:rFonts w:ascii="Times New Roman" w:hAnsi="Times New Roman"/>
          <w:color w:val="000000" w:themeColor="text1"/>
          <w:sz w:val="16"/>
          <w:szCs w:val="16"/>
        </w:rPr>
        <w:softHyphen/>
        <w:t>ным данным. Затем «СССР В-1» перелетел в Са</w:t>
      </w:r>
      <w:r w:rsidRPr="00E93F40">
        <w:rPr>
          <w:rFonts w:ascii="Times New Roman" w:hAnsi="Times New Roman"/>
          <w:color w:val="000000" w:themeColor="text1"/>
          <w:sz w:val="16"/>
          <w:szCs w:val="16"/>
        </w:rPr>
        <w:softHyphen/>
        <w:t>лизи. Там провели десять испытательных полё</w:t>
      </w:r>
      <w:r w:rsidRPr="00E93F40">
        <w:rPr>
          <w:rFonts w:ascii="Times New Roman" w:hAnsi="Times New Roman"/>
          <w:color w:val="000000" w:themeColor="text1"/>
          <w:sz w:val="16"/>
          <w:szCs w:val="16"/>
        </w:rPr>
        <w:softHyphen/>
        <w:t>тов, в ходе которых зафиксировали крейсерскую (76 км/ч) и максимальную (95 км/ч) скорости. На одном моторе на крейсерских оборотах ди</w:t>
      </w:r>
      <w:r w:rsidRPr="00E93F40">
        <w:rPr>
          <w:rFonts w:ascii="Times New Roman" w:hAnsi="Times New Roman"/>
          <w:color w:val="000000" w:themeColor="text1"/>
          <w:sz w:val="16"/>
          <w:szCs w:val="16"/>
        </w:rPr>
        <w:softHyphen/>
        <w:t>рижабль показал скорость 54 км/ч и полную ма</w:t>
      </w:r>
      <w:r w:rsidRPr="00E93F40">
        <w:rPr>
          <w:rFonts w:ascii="Times New Roman" w:hAnsi="Times New Roman"/>
          <w:color w:val="000000" w:themeColor="text1"/>
          <w:sz w:val="16"/>
          <w:szCs w:val="16"/>
        </w:rPr>
        <w:softHyphen/>
        <w:t>нёвренность. «Сборка и полётные испытания происходили в напряжённой атмосфере, так как руководство Дирижаблестроя в стремлении по</w:t>
      </w:r>
      <w:r w:rsidRPr="00E93F40">
        <w:rPr>
          <w:rFonts w:ascii="Times New Roman" w:hAnsi="Times New Roman"/>
          <w:color w:val="000000" w:themeColor="text1"/>
          <w:sz w:val="16"/>
          <w:szCs w:val="16"/>
        </w:rPr>
        <w:softHyphen/>
        <w:t>казать Москве 1-го мая три корабля естественно проявляло нервозность и чрезмерно форсирова</w:t>
      </w:r>
      <w:r w:rsidRPr="00E93F40">
        <w:rPr>
          <w:rFonts w:ascii="Times New Roman" w:hAnsi="Times New Roman"/>
          <w:color w:val="000000" w:themeColor="text1"/>
          <w:sz w:val="16"/>
          <w:szCs w:val="16"/>
        </w:rPr>
        <w:softHyphen/>
        <w:t>ло сроки, чтобы освободить эллинг для сборки следующего корабля» (20120).</w:t>
      </w:r>
    </w:p>
    <w:p w14:paraId="6A411A21" w14:textId="77777777" w:rsidR="00073FF4" w:rsidRPr="00E93F40" w:rsidRDefault="00073FF4" w:rsidP="00E93F40">
      <w:pPr>
        <w:spacing w:after="0" w:line="240" w:lineRule="auto"/>
        <w:jc w:val="both"/>
        <w:rPr>
          <w:rFonts w:ascii="Times New Roman" w:hAnsi="Times New Roman"/>
          <w:color w:val="000000" w:themeColor="text1"/>
          <w:sz w:val="16"/>
          <w:szCs w:val="16"/>
        </w:rPr>
      </w:pPr>
    </w:p>
    <w:p w14:paraId="5EE01636" w14:textId="77777777" w:rsidR="003732A4" w:rsidRPr="00E93F40" w:rsidRDefault="003732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г. приказом начальника ГУ ГВФ № 76 Управлегние воздушных сооб</w:t>
      </w:r>
      <w:r w:rsidRPr="00E93F40">
        <w:rPr>
          <w:rFonts w:ascii="Times New Roman" w:hAnsi="Times New Roman"/>
          <w:color w:val="000000" w:themeColor="text1"/>
          <w:sz w:val="16"/>
          <w:szCs w:val="16"/>
        </w:rPr>
        <w:softHyphen/>
        <w:t>щник пи реорганизовано во Всесоюзное объединение воздушных сообщений – «Трансавимцтя», а Управление снабжения - во Всесоюзный Трест Снабжения ГВФ - "Гражданавиасиаб".</w:t>
      </w:r>
    </w:p>
    <w:p w14:paraId="55C0FEF7" w14:textId="77777777" w:rsidR="003732A4" w:rsidRPr="00E93F40" w:rsidRDefault="003732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/«Гражданская авиация», 1932, №/ (23370).</w:t>
      </w:r>
    </w:p>
    <w:p w14:paraId="68023267" w14:textId="77777777" w:rsidR="003732A4" w:rsidRPr="00E93F40" w:rsidRDefault="003732A4" w:rsidP="00E93F40">
      <w:pPr>
        <w:spacing w:after="0" w:line="240" w:lineRule="auto"/>
        <w:jc w:val="both"/>
        <w:rPr>
          <w:rFonts w:ascii="Times New Roman" w:hAnsi="Times New Roman"/>
          <w:color w:val="000000" w:themeColor="text1"/>
          <w:sz w:val="16"/>
          <w:szCs w:val="16"/>
        </w:rPr>
      </w:pPr>
    </w:p>
    <w:p w14:paraId="2693D0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было предложение ЛенГИРД об организации РНИИ в Ленинграде (ААН, р. 4, оп. 14, № 242, л. 1) (10676).</w:t>
      </w:r>
    </w:p>
    <w:p w14:paraId="0FA85E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4C590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0FFDDA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E6F2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г. , в письме начальнику УММ С. Гинзбург упоминает, что «претензии тов. Дыренкова к конструкции большой башни для танка Т-26 и Кристи выглядят необосновано...» и что «...тов. Дыренков своей конструкцией показал, что он не умеет проэктировать башень.» Доработанная башня Ижорского завода со спаренной установкой 37-мм пушки 5К и пулемета ДТ была выполне</w:t>
      </w:r>
      <w:r w:rsidRPr="00E93F40">
        <w:rPr>
          <w:rFonts w:ascii="Times New Roman" w:hAnsi="Times New Roman"/>
          <w:color w:val="000000" w:themeColor="text1"/>
          <w:sz w:val="16"/>
          <w:szCs w:val="16"/>
        </w:rPr>
        <w:softHyphen/>
        <w:t>на в двух экземплярах, отличавшихся видом соединитель</w:t>
      </w:r>
      <w:r w:rsidRPr="00E93F40">
        <w:rPr>
          <w:rFonts w:ascii="Times New Roman" w:hAnsi="Times New Roman"/>
          <w:color w:val="000000" w:themeColor="text1"/>
          <w:sz w:val="16"/>
          <w:szCs w:val="16"/>
        </w:rPr>
        <w:softHyphen/>
        <w:t>ных швов. В одной башне они осуществлялись посредст</w:t>
      </w:r>
      <w:r w:rsidRPr="00E93F40">
        <w:rPr>
          <w:rFonts w:ascii="Times New Roman" w:hAnsi="Times New Roman"/>
          <w:color w:val="000000" w:themeColor="text1"/>
          <w:sz w:val="16"/>
          <w:szCs w:val="16"/>
        </w:rPr>
        <w:softHyphen/>
        <w:t>вом бронеболтов и клепки, во второй же — сваркой. Про</w:t>
      </w:r>
      <w:r w:rsidRPr="00E93F40">
        <w:rPr>
          <w:rFonts w:ascii="Times New Roman" w:hAnsi="Times New Roman"/>
          <w:color w:val="000000" w:themeColor="text1"/>
          <w:sz w:val="16"/>
          <w:szCs w:val="16"/>
        </w:rPr>
        <w:softHyphen/>
        <w:t>верка качества изготоатсния башен показала, что в свар</w:t>
      </w:r>
      <w:r w:rsidRPr="00E93F40">
        <w:rPr>
          <w:rFonts w:ascii="Times New Roman" w:hAnsi="Times New Roman"/>
          <w:color w:val="000000" w:themeColor="text1"/>
          <w:sz w:val="16"/>
          <w:szCs w:val="16"/>
        </w:rPr>
        <w:softHyphen/>
        <w:t>ной башне, несмотря на лучшую герметичность швов, бы</w:t>
      </w:r>
      <w:r w:rsidRPr="00E93F40">
        <w:rPr>
          <w:rFonts w:ascii="Times New Roman" w:hAnsi="Times New Roman"/>
          <w:color w:val="000000" w:themeColor="text1"/>
          <w:sz w:val="16"/>
          <w:szCs w:val="16"/>
        </w:rPr>
        <w:softHyphen/>
        <w:t>ли деформированы листы дна и крыши, что не позволяло установить ее на шариковую опору и закрепить на преду-смо!ренных местах собранную крышку люка. По броневой стойкости также преимущества остались за клепаной баш</w:t>
      </w:r>
      <w:r w:rsidRPr="00E93F40">
        <w:rPr>
          <w:rFonts w:ascii="Times New Roman" w:hAnsi="Times New Roman"/>
          <w:color w:val="000000" w:themeColor="text1"/>
          <w:sz w:val="16"/>
          <w:szCs w:val="16"/>
        </w:rPr>
        <w:softHyphen/>
        <w:t>ней, так как бронебойные пули «немецкого образца», по</w:t>
      </w:r>
      <w:r w:rsidRPr="00E93F40">
        <w:rPr>
          <w:rFonts w:ascii="Times New Roman" w:hAnsi="Times New Roman"/>
          <w:color w:val="000000" w:themeColor="text1"/>
          <w:sz w:val="16"/>
          <w:szCs w:val="16"/>
        </w:rPr>
        <w:softHyphen/>
        <w:t>павшие в район сварных швов, вызвали образование глубо</w:t>
      </w:r>
      <w:r w:rsidRPr="00E93F40">
        <w:rPr>
          <w:rFonts w:ascii="Times New Roman" w:hAnsi="Times New Roman"/>
          <w:color w:val="000000" w:themeColor="text1"/>
          <w:sz w:val="16"/>
          <w:szCs w:val="16"/>
        </w:rPr>
        <w:softHyphen/>
        <w:t>ких шрамов и микротрещин на обратной стороне листов. Было понятно, что технология сварки нуждается в совер</w:t>
      </w:r>
      <w:r w:rsidRPr="00E93F40">
        <w:rPr>
          <w:rFonts w:ascii="Times New Roman" w:hAnsi="Times New Roman"/>
          <w:color w:val="000000" w:themeColor="text1"/>
          <w:sz w:val="16"/>
          <w:szCs w:val="16"/>
        </w:rPr>
        <w:softHyphen/>
        <w:t>шенствовании, и освоение серийного выпуска уже велось только в отношении клепаной конструкции. После окончания испытаний башня Ижорского завода была рекомендована к принятию на вооружение с учетом добавления в ее кормовой части бронеящика для радио</w:t>
      </w:r>
      <w:r w:rsidRPr="00E93F40">
        <w:rPr>
          <w:rFonts w:ascii="Times New Roman" w:hAnsi="Times New Roman"/>
          <w:color w:val="000000" w:themeColor="text1"/>
          <w:sz w:val="16"/>
          <w:szCs w:val="16"/>
        </w:rPr>
        <w:softHyphen/>
        <w:t>станции из листов толщиной 10—12 мм. Для проведения войсковых и государственных испытаний Ижорский завод должен был изготовить уже 10 башен с учетом устранения отмеченных недостатков. Серийное производство увеличенных башен должно было начаться в октябре 1932 г., но ввиду принятия на во</w:t>
      </w:r>
      <w:r w:rsidRPr="00E93F40">
        <w:rPr>
          <w:rFonts w:ascii="Times New Roman" w:hAnsi="Times New Roman"/>
          <w:color w:val="000000" w:themeColor="text1"/>
          <w:sz w:val="16"/>
          <w:szCs w:val="16"/>
        </w:rPr>
        <w:softHyphen/>
        <w:t>оружение 45-мм противотанковой пушки 19К было реше</w:t>
      </w:r>
      <w:r w:rsidRPr="00E93F40">
        <w:rPr>
          <w:rFonts w:ascii="Times New Roman" w:hAnsi="Times New Roman"/>
          <w:color w:val="000000" w:themeColor="text1"/>
          <w:sz w:val="16"/>
          <w:szCs w:val="16"/>
        </w:rPr>
        <w:softHyphen/>
        <w:t>но провести испытания пушки указанного типа также и в башне танка-истребителя. Такое решение сулило большие преимущества, так как осколочное действие 45-мм снаряда ожидалось не в пример большим, чем 37-мм при сходной бронепробиваемости. А это было очень важно, так как по</w:t>
      </w:r>
      <w:r w:rsidRPr="00E93F40">
        <w:rPr>
          <w:rFonts w:ascii="Times New Roman" w:hAnsi="Times New Roman"/>
          <w:color w:val="000000" w:themeColor="text1"/>
          <w:sz w:val="16"/>
          <w:szCs w:val="16"/>
        </w:rPr>
        <w:softHyphen/>
        <w:t>зволяло использовать танковую пушку «истребителя» как эффективное оружие не только против бронецелей против</w:t>
      </w:r>
      <w:r w:rsidRPr="00E93F40">
        <w:rPr>
          <w:rFonts w:ascii="Times New Roman" w:hAnsi="Times New Roman"/>
          <w:color w:val="000000" w:themeColor="text1"/>
          <w:sz w:val="16"/>
          <w:szCs w:val="16"/>
        </w:rPr>
        <w:softHyphen/>
        <w:t>ника, но также против вражеских огневых точек и живой силы, что было крайне важно. С. Гинзбург, ознакомившись с конструкцией 45-мм противотанковой пушки, предложил установить ее в опро</w:t>
      </w:r>
      <w:r w:rsidRPr="00E93F40">
        <w:rPr>
          <w:rFonts w:ascii="Times New Roman" w:hAnsi="Times New Roman"/>
          <w:color w:val="000000" w:themeColor="text1"/>
          <w:sz w:val="16"/>
          <w:szCs w:val="16"/>
        </w:rPr>
        <w:softHyphen/>
        <w:t>бованную башню без ее переделок. Однако ряд конструк</w:t>
      </w:r>
      <w:r w:rsidRPr="00E93F40">
        <w:rPr>
          <w:rFonts w:ascii="Times New Roman" w:hAnsi="Times New Roman"/>
          <w:color w:val="000000" w:themeColor="text1"/>
          <w:sz w:val="16"/>
          <w:szCs w:val="16"/>
        </w:rPr>
        <w:softHyphen/>
        <w:t>торов, в том числе П. Сячинтов, считали, что такое реше</w:t>
      </w:r>
      <w:r w:rsidRPr="00E93F40">
        <w:rPr>
          <w:rFonts w:ascii="Times New Roman" w:hAnsi="Times New Roman"/>
          <w:color w:val="000000" w:themeColor="text1"/>
          <w:sz w:val="16"/>
          <w:szCs w:val="16"/>
        </w:rPr>
        <w:softHyphen/>
        <w:t>ние преждевременно и не будет успешным (10733,211).</w:t>
      </w:r>
    </w:p>
    <w:p w14:paraId="30E111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6D06DA" w14:textId="6A4A8525" w:rsidR="00525619" w:rsidRPr="00E93F40" w:rsidRDefault="00525619" w:rsidP="00E93F40">
      <w:pPr>
        <w:pStyle w:val="rtejustify"/>
        <w:spacing w:before="0" w:after="0"/>
        <w:rPr>
          <w:color w:val="000000" w:themeColor="text1"/>
          <w:sz w:val="16"/>
          <w:szCs w:val="16"/>
        </w:rPr>
      </w:pPr>
      <w:r w:rsidRPr="00E93F40">
        <w:rPr>
          <w:rStyle w:val="af0"/>
          <w:i w:val="0"/>
          <w:color w:val="000000" w:themeColor="text1"/>
          <w:sz w:val="16"/>
          <w:szCs w:val="16"/>
        </w:rPr>
        <w:t>11</w:t>
      </w:r>
      <w:r w:rsidR="007C1411" w:rsidRPr="00E93F40">
        <w:rPr>
          <w:rStyle w:val="af0"/>
          <w:i w:val="0"/>
          <w:color w:val="000000" w:themeColor="text1"/>
          <w:sz w:val="16"/>
          <w:szCs w:val="16"/>
        </w:rPr>
        <w:t xml:space="preserve"> </w:t>
      </w:r>
      <w:r w:rsidRPr="00E93F40">
        <w:rPr>
          <w:rStyle w:val="af0"/>
          <w:i w:val="0"/>
          <w:color w:val="000000" w:themeColor="text1"/>
          <w:sz w:val="16"/>
          <w:szCs w:val="16"/>
        </w:rPr>
        <w:t>апреля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13.</w:t>
      </w:r>
      <w:r w:rsidRPr="00E93F40">
        <w:rPr>
          <w:color w:val="000000" w:themeColor="text1"/>
          <w:sz w:val="16"/>
          <w:szCs w:val="16"/>
        </w:rPr>
        <w:t xml:space="preserve"> 5.</w:t>
      </w:r>
      <w:r w:rsidR="007C1411" w:rsidRPr="00E93F40">
        <w:rPr>
          <w:color w:val="000000" w:themeColor="text1"/>
          <w:sz w:val="16"/>
          <w:szCs w:val="16"/>
        </w:rPr>
        <w:t xml:space="preserve"> </w:t>
      </w:r>
      <w:r w:rsidRPr="00E93F40">
        <w:rPr>
          <w:color w:val="000000" w:themeColor="text1"/>
          <w:sz w:val="16"/>
          <w:szCs w:val="16"/>
        </w:rPr>
        <w:t>Система вооружения уров²* (Егоров). 11.</w:t>
      </w:r>
      <w:r w:rsidR="007C1411" w:rsidRPr="00E93F40">
        <w:rPr>
          <w:color w:val="000000" w:themeColor="text1"/>
          <w:sz w:val="16"/>
          <w:szCs w:val="16"/>
        </w:rPr>
        <w:t xml:space="preserve"> </w:t>
      </w:r>
      <w:r w:rsidRPr="00E93F40">
        <w:rPr>
          <w:color w:val="000000" w:themeColor="text1"/>
          <w:sz w:val="16"/>
          <w:szCs w:val="16"/>
        </w:rPr>
        <w:t>О результатах испытания пушечного канонира. (Петин).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213, 214) (12342).</w:t>
      </w:r>
    </w:p>
    <w:p w14:paraId="02ACC519" w14:textId="77777777" w:rsidR="00525619" w:rsidRPr="00E93F40" w:rsidRDefault="00525619" w:rsidP="00E93F40">
      <w:pPr>
        <w:pStyle w:val="rtejustify"/>
        <w:spacing w:before="0" w:after="0"/>
        <w:rPr>
          <w:color w:val="000000" w:themeColor="text1"/>
          <w:sz w:val="16"/>
          <w:szCs w:val="16"/>
        </w:rPr>
      </w:pPr>
    </w:p>
    <w:p w14:paraId="3911F2C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009B739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AE5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НКВМД утвердил Положение о местных частях ПВО (3398,143).</w:t>
      </w:r>
    </w:p>
    <w:p w14:paraId="49D850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8C5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года введено Положение о частях ВНОС. Они состояли из батальонов и рот, объединенных в посты ВНОС. В этом же году начато создание так называемых местных частей ПВО, главными задачами которых было инженерно-техническое оборудование пунктов ПВО, оповещение жителей городов и населенных пунктов о воздушной опасности, маскировка городов и населенных пунктов, ликвидация последствий воздушных налетов (10109).</w:t>
      </w:r>
    </w:p>
    <w:p w14:paraId="4499B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1EBD7E" w14:textId="77777777" w:rsidR="00C0746C" w:rsidRPr="00E93F40" w:rsidRDefault="00C0746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апреля 1932 г. приказом реввоенсовета № 17/203 инженерный факультет Военно-воздушной академии разделен на два; эксплуатационный и военно-технический. Такая специализация инженерных кадров вызвана растущей потребностью ВВС и авиапромышленностн. В 1934 в ВВА был сформирован факультет авиационного вооружения.</w:t>
      </w:r>
    </w:p>
    <w:p w14:paraId="5058849B" w14:textId="77777777" w:rsidR="00C0746C" w:rsidRPr="00E93F40" w:rsidRDefault="00C0746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лет ВВА/ (23370).</w:t>
      </w:r>
    </w:p>
    <w:p w14:paraId="6EE4157B" w14:textId="77777777" w:rsidR="00C0746C" w:rsidRPr="00E93F40" w:rsidRDefault="00C0746C" w:rsidP="00E93F40">
      <w:pPr>
        <w:spacing w:after="0" w:line="240" w:lineRule="auto"/>
        <w:jc w:val="both"/>
        <w:rPr>
          <w:rFonts w:ascii="Times New Roman" w:hAnsi="Times New Roman"/>
          <w:color w:val="000000" w:themeColor="text1"/>
          <w:sz w:val="16"/>
          <w:szCs w:val="16"/>
        </w:rPr>
      </w:pPr>
    </w:p>
    <w:p w14:paraId="6455A152" w14:textId="77777777" w:rsidR="00311ADB" w:rsidRPr="00E93F40" w:rsidRDefault="00311ADB" w:rsidP="00311ADB">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41AB17D" w14:textId="77777777" w:rsidR="00311ADB" w:rsidRPr="00E93F40" w:rsidRDefault="00311ADB" w:rsidP="00311ADB">
      <w:pPr>
        <w:autoSpaceDE w:val="0"/>
        <w:autoSpaceDN w:val="0"/>
        <w:adjustRightInd w:val="0"/>
        <w:spacing w:after="0" w:line="240" w:lineRule="auto"/>
        <w:jc w:val="both"/>
        <w:rPr>
          <w:rFonts w:ascii="Times New Roman" w:hAnsi="Times New Roman"/>
          <w:iCs/>
          <w:color w:val="000000" w:themeColor="text1"/>
          <w:sz w:val="16"/>
          <w:szCs w:val="16"/>
        </w:rPr>
      </w:pPr>
    </w:p>
    <w:p w14:paraId="61B299F3"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апреля 1932 г. заводской лётчик Ремезюк впервые поднял серийный Ш-2 (с номером ОЖ-38) в воздух. До 20 апреля шли заводские испытания. Шавров писал в Москву: «Се</w:t>
      </w:r>
      <w:r w:rsidRPr="00142305">
        <w:rPr>
          <w:rFonts w:ascii="Times New Roman" w:hAnsi="Times New Roman"/>
          <w:color w:val="0070C0"/>
          <w:sz w:val="16"/>
          <w:szCs w:val="16"/>
        </w:rPr>
        <w:softHyphen/>
        <w:t>рийная машина дала резкое улучшение лётных качеств по сравнению с опытны</w:t>
      </w:r>
      <w:r w:rsidRPr="00142305">
        <w:rPr>
          <w:rFonts w:ascii="Times New Roman" w:hAnsi="Times New Roman"/>
          <w:color w:val="0070C0"/>
          <w:sz w:val="16"/>
          <w:szCs w:val="16"/>
        </w:rPr>
        <w:softHyphen/>
        <w:t>ми». Действительно, скороподъёмность улучшилась, практический потолок под</w:t>
      </w:r>
      <w:r w:rsidRPr="00142305">
        <w:rPr>
          <w:rFonts w:ascii="Times New Roman" w:hAnsi="Times New Roman"/>
          <w:color w:val="0070C0"/>
          <w:sz w:val="16"/>
          <w:szCs w:val="16"/>
        </w:rPr>
        <w:softHyphen/>
        <w:t>нялся на 500 м. Максимальная скорость осталась той же, но посадочная умень</w:t>
      </w:r>
      <w:r w:rsidRPr="00142305">
        <w:rPr>
          <w:rFonts w:ascii="Times New Roman" w:hAnsi="Times New Roman"/>
          <w:color w:val="0070C0"/>
          <w:sz w:val="16"/>
          <w:szCs w:val="16"/>
        </w:rPr>
        <w:softHyphen/>
        <w:t>шилась на 5 км/ч, сократились разбег на взлёте и пробег на посадке (на 2 - 3 с, или на 20 - 30 м). Управляемость также улучшилась. Шавров счёл, что основной вклад здесь внесла аэродинамика: бо</w:t>
      </w:r>
      <w:r w:rsidRPr="00142305">
        <w:rPr>
          <w:rFonts w:ascii="Times New Roman" w:hAnsi="Times New Roman"/>
          <w:color w:val="0070C0"/>
          <w:sz w:val="16"/>
          <w:szCs w:val="16"/>
        </w:rPr>
        <w:softHyphen/>
        <w:t>лее точное выдерживание формы носка крыла (за счёт дополнительных нервюр) и щелевые элероны.</w:t>
      </w:r>
    </w:p>
    <w:p w14:paraId="1BC8DD17"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Вскоре был готов и второй самолёт, предназначавшийся для УВВС</w:t>
      </w:r>
    </w:p>
    <w:p w14:paraId="03D67EB8" w14:textId="77777777" w:rsidR="00311ADB" w:rsidRPr="00142305" w:rsidRDefault="00311ADB" w:rsidP="00311A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Успешное выполнение плана по голов</w:t>
      </w:r>
      <w:r w:rsidRPr="00142305">
        <w:rPr>
          <w:rFonts w:ascii="Times New Roman" w:hAnsi="Times New Roman"/>
          <w:color w:val="0070C0"/>
          <w:sz w:val="16"/>
          <w:szCs w:val="16"/>
        </w:rPr>
        <w:softHyphen/>
        <w:t>ным экземплярам вызвало благожела</w:t>
      </w:r>
      <w:r w:rsidRPr="00142305">
        <w:rPr>
          <w:rFonts w:ascii="Times New Roman" w:hAnsi="Times New Roman"/>
          <w:color w:val="0070C0"/>
          <w:sz w:val="16"/>
          <w:szCs w:val="16"/>
        </w:rPr>
        <w:softHyphen/>
        <w:t>тельную реакцию заказчиков. Военпред завода докладывал в Москву: «Благодаря постоянному присутствию на заводе конс</w:t>
      </w:r>
      <w:r w:rsidRPr="00142305">
        <w:rPr>
          <w:rFonts w:ascii="Times New Roman" w:hAnsi="Times New Roman"/>
          <w:color w:val="0070C0"/>
          <w:sz w:val="16"/>
          <w:szCs w:val="16"/>
        </w:rPr>
        <w:softHyphen/>
        <w:t>труктора Шаврова машина легко внедря</w:t>
      </w:r>
      <w:r w:rsidRPr="00142305">
        <w:rPr>
          <w:rFonts w:ascii="Times New Roman" w:hAnsi="Times New Roman"/>
          <w:color w:val="0070C0"/>
          <w:sz w:val="16"/>
          <w:szCs w:val="16"/>
        </w:rPr>
        <w:softHyphen/>
        <w:t>ется в серию» (24952).</w:t>
      </w:r>
    </w:p>
    <w:p w14:paraId="56C817A2" w14:textId="77777777" w:rsidR="00311ADB" w:rsidRPr="00142305" w:rsidRDefault="00311ADB" w:rsidP="00311ADB">
      <w:pPr>
        <w:spacing w:after="0" w:line="240" w:lineRule="auto"/>
        <w:jc w:val="both"/>
        <w:rPr>
          <w:rFonts w:ascii="Times New Roman" w:hAnsi="Times New Roman"/>
          <w:color w:val="0070C0"/>
          <w:sz w:val="16"/>
          <w:szCs w:val="16"/>
        </w:rPr>
      </w:pPr>
    </w:p>
    <w:p w14:paraId="5793FE2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Внешняя политика:</w:t>
      </w:r>
    </w:p>
    <w:p w14:paraId="638A75A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D0BD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12 апреля 1932 г. монгольские ВВС располагали тремя Р-1, тремя Р-5 и одним транспортным самолетом Юнкерс В-33; все они входили в единственный в стране авиаотряд им. Сухэ-Батора. К концу года парк пополнился двумя У-2 и четырьмя Р-1.</w:t>
      </w:r>
    </w:p>
    <w:p w14:paraId="50036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мае-июле 1932 г. два Р-1 вместе с одним Р-5 участвовали в операциях против мятежников. Экипажи были смешанные: русские пилоты и монгольские летнабы. Самолеты вели разведку, разбрасывали листовки и обеспечивали связь между частями монгольской армии и отрядами добровольцев. У реки Кичигин-гол разведчик обнаружил две большие банды, приготовившиеся с разных сторон к атаке на механизированный отряд. Летчики сбросили осколочные бомбы, а затем пулеметным огнем поддержали атаку мотопехоты.</w:t>
      </w:r>
    </w:p>
    <w:p w14:paraId="2E300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Имели место еще несколько случаев бомбометания, например, по монастырю, где располагались командиры мятежников. Но эффективность их была низкой, поскольку монгольские летнабы не имели достаточного опыта.</w:t>
      </w:r>
    </w:p>
    <w:p w14:paraId="03A36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Противник не доставлял авиаторам больших хлопот, «серая чертова птица» внушала ему суеверный ужас. Только большая банда Джамцо, бывшего военного, оказала серьезное сопротивление. Р-1 встречали залпами из винтовок, причем Джамцо выучил своих людей стрелять с нужным упреждением. Машины возвращались с пробоинами. На Р-1 пилота Иванова пуля пробила радиатор, пришлось садиться в расположении банды. Летчикам удалось убежать, а самолет бандиты сожгли. Убежали, правда, недалеко: попали в руки другой банды. Летчиков ограбили, раздели, связали и бросили в воду. На счастье, Иванова связали плохо; он выплыл сам, развязал и вытащил летнаба. На одиннадцатый день голые голодные люди встретились с монгольскими разведчиками.</w:t>
      </w:r>
    </w:p>
    <w:p w14:paraId="2F785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Последние Р-1 эксплуатировались в Монголии как учебные самолеты до середины 1930-х годов (11923).</w:t>
      </w:r>
    </w:p>
    <w:p w14:paraId="35C6A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79EB9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050C8A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2E16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апре</w:t>
      </w:r>
      <w:r w:rsidRPr="00E93F40">
        <w:rPr>
          <w:rFonts w:ascii="Times New Roman" w:hAnsi="Times New Roman"/>
          <w:color w:val="000000" w:themeColor="text1"/>
          <w:sz w:val="16"/>
          <w:szCs w:val="16"/>
        </w:rPr>
        <w:softHyphen/>
        <w:t>ля 1932 г. начальник вооружений РККА М.Н. Тухачевский утвердил положе</w:t>
      </w:r>
      <w:r w:rsidRPr="00E93F40">
        <w:rPr>
          <w:rFonts w:ascii="Times New Roman" w:hAnsi="Times New Roman"/>
          <w:color w:val="000000" w:themeColor="text1"/>
          <w:sz w:val="16"/>
          <w:szCs w:val="16"/>
        </w:rPr>
        <w:softHyphen/>
        <w:t>ние об Особом конструкторском (конструкторско-производственном) бюро ВВС РККА. При ОКБ Гроховского со</w:t>
      </w:r>
      <w:r w:rsidRPr="00E93F40">
        <w:rPr>
          <w:rFonts w:ascii="Times New Roman" w:hAnsi="Times New Roman"/>
          <w:color w:val="000000" w:themeColor="text1"/>
          <w:sz w:val="16"/>
          <w:szCs w:val="16"/>
        </w:rPr>
        <w:softHyphen/>
        <w:t>здали экспериментальный завод, ему подчинили летный отряд. В том же году ОКБ сдало на вооружение грузовые мягкие парашютно-десантные мешки ПДММ для сброса груза массой до 100 кг (индивидуальное и групповое оружие, боеприпасы, продовольствие и т.п.), парашютно-десантные бензи</w:t>
      </w:r>
      <w:r w:rsidRPr="00E93F40">
        <w:rPr>
          <w:rFonts w:ascii="Times New Roman" w:hAnsi="Times New Roman"/>
          <w:color w:val="000000" w:themeColor="text1"/>
          <w:sz w:val="16"/>
          <w:szCs w:val="16"/>
        </w:rPr>
        <w:softHyphen/>
        <w:t>новые баки ПДББ-250 и ПДББ-450. Прошел испытания разработанный Гроховским, Титовым и Афанасьевым метод срыва (парашют раскрывался до отделения груза от носителя, укоро</w:t>
      </w:r>
      <w:r w:rsidRPr="00E93F40">
        <w:rPr>
          <w:rFonts w:ascii="Times New Roman" w:hAnsi="Times New Roman"/>
          <w:color w:val="000000" w:themeColor="text1"/>
          <w:sz w:val="16"/>
          <w:szCs w:val="16"/>
        </w:rPr>
        <w:softHyphen/>
        <w:t>ченной стропой открывал замки креп</w:t>
      </w:r>
      <w:r w:rsidRPr="00E93F40">
        <w:rPr>
          <w:rFonts w:ascii="Times New Roman" w:hAnsi="Times New Roman"/>
          <w:color w:val="000000" w:themeColor="text1"/>
          <w:sz w:val="16"/>
          <w:szCs w:val="16"/>
        </w:rPr>
        <w:softHyphen/>
        <w:t>ления и стягивал груз с носителя) (11752).</w:t>
      </w:r>
    </w:p>
    <w:p w14:paraId="2131F8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28B117"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апреля 1932 г. заместитель Наркома по военным и морским делам утвердил "Положение об особом конструкторском бюро", определившее его основные задачи. В план работ ОКБ ВВС на 1932 г. были включены конкретные объекты, в частности планер Г-63, буксируемый разведывательным самолетом, грузоподъемностью 17 человек и 500 кг груза и планер Г-64 грузоподъемностью 50 человек, который должен был буксироваться самолетом-бомбардировщиком ТБ-1.</w:t>
      </w:r>
    </w:p>
    <w:p w14:paraId="551E69EA"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 также значились парашютные платформы (Г-37а, Г-38а, Г-43, Г-62) для сбрасывания с грузовыми парашютами с самолета ТБ-1 полевого 76-мм орудия и автомобилей типа «пикап», а с самолета ТБ-3 - мотоциклов с колясками и танкеток.</w:t>
      </w:r>
    </w:p>
    <w:p w14:paraId="0AD21672"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ним соответственно готовились и грузовые парашюты (типа Г-56, Г-57, Г-58, Г-59а и Г-72). План работ бюро на 1932 г. был утвержден штабами РККА и ВВС РККА.</w:t>
      </w:r>
    </w:p>
    <w:p w14:paraId="38B3BE20"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 экспериментальна исследовательских работ ОКБ Гроховского стояла также разработка прибора Г-53 для подхвата грузов и людей на самолет с земли. Интересной была работа расширению десантных возможностей самолета ТБ-1 путем увеличения дальности полета с мощью дозаправки его в воздухе.</w:t>
      </w:r>
    </w:p>
    <w:p w14:paraId="629199A1"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Оригинальной разработкой ОКБ Гроховского были кабины для группового сбрасывания людей и грузов без парашютов с бреющего полета, так называваемые авиабус и авиабусная площадка. Так, например, авиабус Г-45а, сбрасываемый с самолёта ТБ-1, был расчитан на отделение в составе 11 человек, авиабус малый Г-68 - для сбрасывания техники и оружия с самолёта Р-5 и авиабусная площадка Г-51 - для объектов массой до одной тонны.</w:t>
      </w:r>
    </w:p>
    <w:p w14:paraId="06BFA4B0"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Авиабусы Гроховского представляли собой плоские удобообтекаемые контейнеры, имеющие профиль утолщенного самолетного крыла и оборудованные в носовой части двухколесным, хорошо амортизированным шасси, а в хвостовой части — самолетным костылем с резиновым амортизатором. Они проектировались на разную грузоподъемность и предназначались для подвески под различными самолетами, состоявшими на вооружении ВВС.</w:t>
      </w:r>
    </w:p>
    <w:p w14:paraId="011D9655"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Эти авиабусы, в отсеках которых размещались лежа головой вперед от 3 до 12 вооруженных десантников или соответствующее количество объектов техники, оружия, сбрасывались с бреющего полета на ровную площадку. Отделившись от самолета, летящего на высоте 2-3 м, авиабус в течение первых секунд продолжал движение за самолетом по инерции, а затем, перейдя в пологое снижение садился на местность скользящим приземлением. Первыми из этой беспарашютной десантной техники были испытаны гидроавиабусы, предназначенные для сбрасывания людей и грузов на воду.</w:t>
      </w:r>
    </w:p>
    <w:p w14:paraId="671CFCAA"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Сброшенные на бреющем полете с самолета ТБ-1, два гидроавиабуса, несмотря на спокойное море, получили в момент приводнения настолько сильные удары, что первый из них полностью разрушился, а второй деформировался и затонул.</w:t>
      </w:r>
    </w:p>
    <w:p w14:paraId="5E15F207"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экземпляр сухопутного авиабуса при испытании дал обнадеживающие результаты (15506).</w:t>
      </w:r>
    </w:p>
    <w:p w14:paraId="0AF2EDE8" w14:textId="77777777" w:rsidR="00A9613C" w:rsidRPr="00E93F40" w:rsidRDefault="00A9613C" w:rsidP="00E93F40">
      <w:pPr>
        <w:spacing w:after="0" w:line="240" w:lineRule="auto"/>
        <w:jc w:val="both"/>
        <w:rPr>
          <w:rFonts w:ascii="Times New Roman" w:hAnsi="Times New Roman"/>
          <w:color w:val="000000" w:themeColor="text1"/>
          <w:sz w:val="16"/>
          <w:szCs w:val="16"/>
        </w:rPr>
      </w:pPr>
    </w:p>
    <w:p w14:paraId="249D9E52" w14:textId="77777777" w:rsidR="005256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DCF7CBD" w14:textId="77777777" w:rsidR="00525619" w:rsidRPr="00E93F40" w:rsidRDefault="005256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F14D68"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13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550/127сс о весе воинских поездов (ГА РФ. Ф. Р?8418. Оп. 28. Д. 146. Л. 77) (12415).</w:t>
      </w:r>
    </w:p>
    <w:p w14:paraId="63335417"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p>
    <w:p w14:paraId="432DD0D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FB2BEA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49A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апреля 1932 вышло постановление СНК СССР о строительстве Байкало-Амурской железнодорожной магистрали (БАМ) (11437).</w:t>
      </w:r>
    </w:p>
    <w:p w14:paraId="7F9E2E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66F7D6"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апреля в 1932 году СНК принял решение о строительстве в Сибири первой очереди железной дороги (БАМ). Идея строительства дороги была выдвинута впервые в 1880-е годы. Под руководством полковника И.А.Волошинова и инженера И.И.Прохаско летом 1889 года велись глазомерная съемка и обследования на маршрутах от реки Ангары через Байкальский и Северо-Муйский хребты в долину реки Муя и между реками Буя и Черный Урюм. Изыскатели, учитывая сложные географические условия и слаборазвитую экономику, сделали вывод о громадных трудностях и непомерных расходах при прокладке дороги. Был выбран южный вариант трассы в районе озера Байкал. В 1911 году на маршрутах Иркутск - Жигалово, Тироть - Жигалово, Тулун - Усть-Кут, Тайшет -Усть-Кут вели изыскания инженеры П.И.Михайловский и И.И.Афонин. В районе Амура в то же время велись обследования трассы с целью прокладки железнодорожного пути от золотодобывающих приисков в районе реки Бодайбо, обеспечения связи этих районов с Транссибирской магистралью. Инициатива исходила от частных лиц и предпринимателей. В советское время первые изыскания были проведены в конце 1920-х годов на участке Хабаровск - Советская Гавань. Материалы были использованы в 1930 году при разработке предложений правительству. 13 апреля 1932 года СНК СССР принял решение о строительстве в Сибири первой очереди железной дороги. Ее строительство началось в июне 1934 года, но было прервано Великой Отечественной войной; в 1974 году принято постановление ЦК КПСС и СМ СССР «О строительстве Байкало-Амурской железнодорожной магистрали» (БАМ). В 1984 году открыто движение, в 2001 году закончен последний участок магистрали. БАМ пролегает по территории Иркутской, Читинской, Амурской областей, Бурятии и Якутии, Хабаровскому краю. Трасса дороги пересекает 11 полноводных рек, семь горных хребтов; более 1000 километров пути проложено в районах вечной мерзлоты, высокой сейсмичности. На трассе дороги пробито восемь тоннелей, построено 142 моста (длиной более 100 метров), более 200 железнодорожных станций и разъездов, свыше 60 городов и поселков. Байкало-Амурская железная дорога - основная составная часть БАМ - спроектирована и построена как дорога первой категории - с земляным полотном под два пути на участке Лена - Тында и под один путь на участке Тында - Комсомольск-на-Амуре, мощным верхним строением пути, высокой энергонасыщенностью, прогрессивными средствами эксплуатации. На дороге разработана технология обращения тяжеловесных поездов, определены их максимальные весовые нормы. 30 марта 2001 года было завершено строительство Северо-Муйского тоннеля, последнего участка Байкало-Амурской магистрали. Наряду с Транссибирской магистралью БАМ служит вторым сквозным выходом страны к Тихому океану (15098).</w:t>
      </w:r>
    </w:p>
    <w:p w14:paraId="733EC573" w14:textId="77777777" w:rsidR="00A9613C" w:rsidRPr="00E93F40" w:rsidRDefault="00A9613C" w:rsidP="00E93F40">
      <w:pPr>
        <w:spacing w:after="0" w:line="240" w:lineRule="auto"/>
        <w:jc w:val="both"/>
        <w:rPr>
          <w:rFonts w:ascii="Times New Roman" w:hAnsi="Times New Roman"/>
          <w:color w:val="000000" w:themeColor="text1"/>
          <w:sz w:val="16"/>
          <w:szCs w:val="16"/>
        </w:rPr>
      </w:pPr>
    </w:p>
    <w:p w14:paraId="4A29BE98" w14:textId="77777777" w:rsidR="00A961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E81A3C3" w14:textId="77777777" w:rsidR="00A9613C" w:rsidRPr="00E93F40" w:rsidRDefault="00A961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7441D1" w14:textId="77777777" w:rsidR="00A9613C" w:rsidRPr="00E93F40" w:rsidRDefault="00A961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апреля в 1932 году поднялся в воздух лёгкий спортивный самолёт «М-29» (разработчик: «Messerschmitt», Германия). Несмотря на то, что первый полет самолета закончился аварией, «М-29» показал себя весьма надежной машиной. Так, первый прототип после ремонта смог налетать без вмешательства механиков 100 часов (15098).</w:t>
      </w:r>
    </w:p>
    <w:p w14:paraId="1D0D9777" w14:textId="77777777" w:rsidR="00A9613C" w:rsidRPr="00E93F40" w:rsidRDefault="00A9613C" w:rsidP="00E93F40">
      <w:pPr>
        <w:spacing w:after="0" w:line="240" w:lineRule="auto"/>
        <w:jc w:val="both"/>
        <w:rPr>
          <w:rFonts w:ascii="Times New Roman" w:hAnsi="Times New Roman"/>
          <w:color w:val="000000" w:themeColor="text1"/>
          <w:sz w:val="16"/>
          <w:szCs w:val="16"/>
        </w:rPr>
      </w:pPr>
    </w:p>
    <w:p w14:paraId="52A9B577" w14:textId="2ABFE364" w:rsidR="000A05C4" w:rsidRPr="00E93F40" w:rsidRDefault="000A05C4"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199027E" w14:textId="77777777" w:rsidR="000A05C4" w:rsidRPr="00E93F40" w:rsidRDefault="000A05C4"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26018008"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апреля 1932 года был утвержден стандарт 15 СО по окраске, разработанный на основании рекомендаций НТК ВВС, действовавших с конца двадцатых годов. Распределение цветов по системам са</w:t>
      </w:r>
      <w:r w:rsidRPr="00E93F40">
        <w:rPr>
          <w:rFonts w:ascii="Times New Roman" w:hAnsi="Times New Roman"/>
          <w:color w:val="000000" w:themeColor="text1"/>
          <w:sz w:val="16"/>
          <w:szCs w:val="16"/>
        </w:rPr>
        <w:softHyphen/>
        <w:t xml:space="preserve">молета предусматривало, в частности, что топливные баки красили в красный цвет, а воздушные баллоны и магистрали - в синий. </w:t>
      </w:r>
      <w:r w:rsidRPr="00E93F40">
        <w:rPr>
          <w:rFonts w:ascii="Times New Roman" w:hAnsi="Times New Roman"/>
          <w:color w:val="000000" w:themeColor="text1"/>
          <w:sz w:val="16"/>
          <w:szCs w:val="16"/>
        </w:rPr>
        <w:lastRenderedPageBreak/>
        <w:t>На «граж</w:t>
      </w:r>
      <w:r w:rsidRPr="00E93F40">
        <w:rPr>
          <w:rFonts w:ascii="Times New Roman" w:hAnsi="Times New Roman"/>
          <w:color w:val="000000" w:themeColor="text1"/>
          <w:sz w:val="16"/>
          <w:szCs w:val="16"/>
        </w:rPr>
        <w:softHyphen/>
        <w:t>данке» в то время синими были кислородные баллоны. Как синие кислородные баллоны попали на стоянку, выяснить не удалось. 16 июля 1930 года на Ходынке при опробовании моторов ТБ-2 перед вылетом меха</w:t>
      </w:r>
      <w:r w:rsidRPr="00E93F40">
        <w:rPr>
          <w:rFonts w:ascii="Times New Roman" w:hAnsi="Times New Roman"/>
          <w:color w:val="000000" w:themeColor="text1"/>
          <w:sz w:val="16"/>
          <w:szCs w:val="16"/>
        </w:rPr>
        <w:softHyphen/>
        <w:t>ники спокойно «подоткнули» их к воздушной магистрали и минут 10 гоняли один из двига</w:t>
      </w:r>
      <w:r w:rsidRPr="00E93F40">
        <w:rPr>
          <w:rFonts w:ascii="Times New Roman" w:hAnsi="Times New Roman"/>
          <w:color w:val="000000" w:themeColor="text1"/>
          <w:sz w:val="16"/>
          <w:szCs w:val="16"/>
        </w:rPr>
        <w:softHyphen/>
        <w:t>телей, несмотря на то, что он «работал ненор</w:t>
      </w:r>
      <w:r w:rsidRPr="00E93F40">
        <w:rPr>
          <w:rFonts w:ascii="Times New Roman" w:hAnsi="Times New Roman"/>
          <w:color w:val="000000" w:themeColor="text1"/>
          <w:sz w:val="16"/>
          <w:szCs w:val="16"/>
        </w:rPr>
        <w:softHyphen/>
        <w:t>мально». Затем решил запустить второй мотор, и только тут взорвались воздушные манометры. Никто не пострадал, но двигате</w:t>
      </w:r>
      <w:r w:rsidRPr="00E93F40">
        <w:rPr>
          <w:rFonts w:ascii="Times New Roman" w:hAnsi="Times New Roman"/>
          <w:color w:val="000000" w:themeColor="text1"/>
          <w:sz w:val="16"/>
          <w:szCs w:val="16"/>
        </w:rPr>
        <w:softHyphen/>
        <w:t>ли сняли на переборку, что стало одной из причин простоя ТБ-2 (23344).</w:t>
      </w:r>
    </w:p>
    <w:p w14:paraId="229967BC"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2D786DF9" w14:textId="53A37A55"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01FB6B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B122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апреля 1932 в Кремле у И.В.С. состоялось большое совещание по вопросам оборонной промышленности (9089,155).</w:t>
      </w:r>
    </w:p>
    <w:p w14:paraId="357281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EED869"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14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668/ко о переносе сроков изготовления броневагонов (ГА РФ. Ф. Р?8418. Оп. 28. Д. 25а. Л. 10?11) (12415).</w:t>
      </w:r>
    </w:p>
    <w:p w14:paraId="59F0E4EC"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p>
    <w:p w14:paraId="098B1518" w14:textId="77777777" w:rsidR="00F27C9C" w:rsidRPr="00E93F40" w:rsidRDefault="00F27C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апреля 1932 г. Постановление Президиума Госплана СССР определило распределение телеграфной продукции между заказчиками завода им. Кулакова на 1932 г. Согласно этому постановлению на заказы в интересах НКВМ было выделено по 30% всего выпуска аппаратов Уитстона и Шорина, 6% аппаратов Бодо и 87% коммутаторов (18297).</w:t>
      </w:r>
    </w:p>
    <w:p w14:paraId="37B4E7A7" w14:textId="77777777" w:rsidR="00F27C9C" w:rsidRPr="00E93F40" w:rsidRDefault="00F27C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итогам 1932 г. завод им. Кулакова в полном объеме справился с этим заданием, в результате чего в войска поступило 254 аппарата Шорина, 11 аппаратов Бодо, 6 оконечных станций Уитстона, 289 телеграфных коммутаторов и другое телеграфное имущество (18297).</w:t>
      </w:r>
    </w:p>
    <w:p w14:paraId="3227B268" w14:textId="77777777" w:rsidR="00F27C9C" w:rsidRPr="00E93F40" w:rsidRDefault="00F27C9C" w:rsidP="00E93F40">
      <w:pPr>
        <w:spacing w:after="0" w:line="240" w:lineRule="auto"/>
        <w:jc w:val="both"/>
        <w:rPr>
          <w:rFonts w:ascii="Times New Roman" w:hAnsi="Times New Roman"/>
          <w:color w:val="000000" w:themeColor="text1"/>
          <w:sz w:val="16"/>
          <w:szCs w:val="16"/>
        </w:rPr>
      </w:pPr>
    </w:p>
    <w:p w14:paraId="37F4173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A2BBE9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B3AD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апреля 1932 в Ленинграде был газифицирован первый жилой дом (3960, 147).</w:t>
      </w:r>
    </w:p>
    <w:p w14:paraId="4A78E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3146B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972143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87DB3D5" w14:textId="77777777" w:rsidR="003159DD" w:rsidRPr="00E93F40" w:rsidRDefault="003159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апреля в 1932 году поднялся в воздух опытный экземпляр многоцелевого истребителя «XF9C-2» (разработчик: «Curtiss», США). Фюзеляж самолета оставили прежним, а для улучшения обзора верхнее крыло подняли на 100 мм, придав ему форму типа "Чайка", а двигатель опустили на 50 мм. Изменили также конструкцию основного шасси и установили на него пневматики низкого давления, сами же колеса закрыли обтекателями. Самолет оснастили более мощным двигателем «Wright» «R-975E-3» «Whirlwind» в 438 л.с. с винтом изменяемого шага. Максимальная скорость этого истребителя составила 284 км/ч, потолок - 5852 м, а скороподъемность - 515 м/мин. Однако после установки крюка ухудшилась путевая устойчивость самолета, и конструкторам пришлось увеличить площадь руля направления. F9C-2 Sparrowhawk предполагалось использовать в качестве бортовой истребителя на дирижаблях типа «Цепеллин» (15099).</w:t>
      </w:r>
    </w:p>
    <w:p w14:paraId="2968BAE9" w14:textId="77777777" w:rsidR="003159DD" w:rsidRPr="00E93F40" w:rsidRDefault="003159DD" w:rsidP="00E93F40">
      <w:pPr>
        <w:spacing w:after="0" w:line="240" w:lineRule="auto"/>
        <w:jc w:val="both"/>
        <w:rPr>
          <w:rFonts w:ascii="Times New Roman" w:hAnsi="Times New Roman"/>
          <w:color w:val="000000" w:themeColor="text1"/>
          <w:sz w:val="16"/>
          <w:szCs w:val="16"/>
        </w:rPr>
      </w:pPr>
    </w:p>
    <w:p w14:paraId="31D74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апреля 1932, спустя четыре дня в связи с публикацией в германской печати документов, свидетельствовавших о подготовке национал-социалистами вооруженного путча с целью захвата власти, Гинденбург подписал чрезвычайное постановление о запрете СС и СА (СС и СА — транслитерация с немецкого: СС — Schutzstaffeln (охранные отряды), СА — Sturmabteilungen (штурмовые отряды).). Однако после отставки Брюнинга и назначения главой правительства Папена, также не имевшего большинства в райхстаге, первое, что сделал Папен, были отмена запрета СС и СА и роспуск райхстага. Новые выборы были назначены на 31 июля 1932 г. 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НСДАП{9}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2C20B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1099DA" w14:textId="6FD5B1CC" w:rsidR="00F27C9C" w:rsidRPr="00E93F40" w:rsidRDefault="00F27C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апреля 1932, спустя четыре дня после президентских выброво, в связи с публикацией в германской печати документов, свидетельствовавших о подготовке национал-социалистами вооруженного путча с целью захвата власти, Гинденбург подписал чрезвычайное постановление о запрете СС и СА. Однако после отставки Брюнинга и назначения главой правительства Папена, также не имевшего большинства в райхстаге, первое, что сделал Папен, были отмена запрета СС и СА и роспуск райхстага. Новые выборы были назначены на 31 июля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20 июля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выборах НСДАП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еще больше укрепила свои позиции, получив 13,73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p>
    <w:p w14:paraId="00EB3A2F" w14:textId="77777777" w:rsidR="00F27C9C" w:rsidRPr="00E93F40" w:rsidRDefault="00F27C9C" w:rsidP="00E93F40">
      <w:pPr>
        <w:spacing w:after="0" w:line="240" w:lineRule="auto"/>
        <w:jc w:val="both"/>
        <w:rPr>
          <w:rFonts w:ascii="Times New Roman" w:hAnsi="Times New Roman"/>
          <w:color w:val="000000" w:themeColor="text1"/>
          <w:sz w:val="16"/>
          <w:szCs w:val="16"/>
        </w:rPr>
      </w:pPr>
    </w:p>
    <w:p w14:paraId="5B23C5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апреля 1932 Временное центральное правительство освобожденных районов Китая объявило войну Японии (3186).</w:t>
      </w:r>
    </w:p>
    <w:p w14:paraId="065B16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69383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29EE48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B3138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 года на заводе № 24 были закончены производством первые два мотора и к 1 мая прошли заводские испытания (3530,51).</w:t>
      </w:r>
    </w:p>
    <w:p w14:paraId="3501B44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6CA8141" w14:textId="77777777" w:rsidR="00073FF4" w:rsidRPr="00E93F40" w:rsidRDefault="00073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 опросом членов ПБ</w:t>
      </w:r>
    </w:p>
    <w:p w14:paraId="41CD60F9" w14:textId="77777777" w:rsidR="00073FF4" w:rsidRPr="00E93F40" w:rsidRDefault="00073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57/85.- Об отпуске средств Институту Авиамоторостроения</w:t>
      </w:r>
    </w:p>
    <w:p w14:paraId="7F0DF96F" w14:textId="77777777" w:rsidR="00073FF4" w:rsidRPr="00E93F40" w:rsidRDefault="00073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Отпустить Институту Авиамоторостроения в счет контингентов НКТяжа 50.000 рублей в золотой валюте для срочных закупок заграницей в связи с опытными работами.</w:t>
      </w:r>
    </w:p>
    <w:p w14:paraId="56271461" w14:textId="77777777" w:rsidR="00073FF4" w:rsidRPr="00E93F40" w:rsidRDefault="00073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Керженцеву, Рудзутаку</w:t>
      </w:r>
    </w:p>
    <w:p w14:paraId="3445AD39" w14:textId="77777777" w:rsidR="00073FF4" w:rsidRPr="00E93F40" w:rsidRDefault="00073F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апреля 1932 состоялось заседание ПБ (Протокол № 95) (23042).</w:t>
      </w:r>
    </w:p>
    <w:p w14:paraId="70133155" w14:textId="77777777" w:rsidR="00073FF4" w:rsidRPr="00E93F40" w:rsidRDefault="00073FF4" w:rsidP="00E93F40">
      <w:pPr>
        <w:spacing w:after="0" w:line="240" w:lineRule="auto"/>
        <w:jc w:val="both"/>
        <w:rPr>
          <w:rFonts w:ascii="Times New Roman" w:hAnsi="Times New Roman"/>
          <w:color w:val="000000" w:themeColor="text1"/>
          <w:sz w:val="16"/>
          <w:szCs w:val="16"/>
        </w:rPr>
      </w:pPr>
    </w:p>
    <w:p w14:paraId="1D6E0081"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 г. Ильин писал письмо на имя Заместителя начальника Техштаба Начальника вооружений РККА т. Новикова: «... докладываю:</w:t>
      </w:r>
    </w:p>
    <w:p w14:paraId="2016203E"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2-й сектор крайне срочно подлежит укомплектованию инженерами.</w:t>
      </w:r>
    </w:p>
    <w:p w14:paraId="0BDFBA07"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Прошу Ваших мероприятий к откомандированию из ЦАГИ следующих специалистов в распоряжение ГДЛ на постоянную работу инженеров:</w:t>
      </w:r>
    </w:p>
    <w:p w14:paraId="20F0474E"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Тихонравов М.К.</w:t>
      </w:r>
    </w:p>
    <w:p w14:paraId="3CEC4DFB"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Победоносцев Ю.А.</w:t>
      </w:r>
    </w:p>
    <w:p w14:paraId="50787D6F"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Зяблов Л. Ф.</w:t>
      </w:r>
    </w:p>
    <w:p w14:paraId="3970F0B4"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Эта группа инженеров совместно с инженером Глушко будет работать над конструкциями реактивных моторов на жидком топливе, предназначенных для авиационных целей и ультра дальней артстрельбы.</w:t>
      </w:r>
    </w:p>
    <w:p w14:paraId="3CCEFA04"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Для усиления 3-го сектора нужно немедленно откомандировать:</w:t>
      </w:r>
    </w:p>
    <w:p w14:paraId="6B5A3003"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Из НИИ ВВС РККА Рязанова на постоянную работу по разгону самолета ТБ-3.</w:t>
      </w:r>
    </w:p>
    <w:p w14:paraId="7DF0C4A5"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Из НИИ УВВС нужно откомандировать в ГДЛ инженера хорошо знакомого с катапультами.</w:t>
      </w:r>
    </w:p>
    <w:p w14:paraId="18B4DAF7"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Из МАИ нужно откомандировать аспиранта-инженера Федулова В.А. - работает в ЦАГИ - специалист по гидроавиации...</w:t>
      </w:r>
    </w:p>
    <w:p w14:paraId="6D40F44B"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Изложенные мероприятия прошу Вас провести в жизнь как можно скорее, т.к. в каждом из этих секторов работает только по одному инженеру, по объему же работ сектора не в состоянии вести правильно и быстро работу…» (12702).</w:t>
      </w:r>
    </w:p>
    <w:p w14:paraId="6FE8D4C8" w14:textId="77777777" w:rsidR="00684A8A" w:rsidRPr="00E93F40" w:rsidRDefault="00684A8A" w:rsidP="00E93F40">
      <w:pPr>
        <w:spacing w:after="0" w:line="240" w:lineRule="auto"/>
        <w:jc w:val="both"/>
        <w:rPr>
          <w:rFonts w:ascii="Times New Roman" w:eastAsia="TimesNewRoman" w:hAnsi="Times New Roman"/>
          <w:color w:val="000000" w:themeColor="text1"/>
          <w:sz w:val="16"/>
          <w:szCs w:val="16"/>
        </w:rPr>
      </w:pPr>
    </w:p>
    <w:p w14:paraId="52380074" w14:textId="77777777" w:rsidR="003159D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9764F76" w14:textId="77777777" w:rsidR="003159DD" w:rsidRPr="00E93F40" w:rsidRDefault="003159D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11953F"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апреля 1932 года в своем докладе один из представителей УММ РККА на заводе «Большевик» сообщал об демонстрации Т-33 следующее:</w:t>
      </w:r>
    </w:p>
    <w:p w14:paraId="609785F3"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«Изготовлен первый опытный образец плавучего сверхлегкого танка типа амфи</w:t>
      </w:r>
      <w:r w:rsidRPr="00142305">
        <w:rPr>
          <w:rFonts w:ascii="Times New Roman" w:hAnsi="Times New Roman"/>
          <w:color w:val="0070C0"/>
          <w:sz w:val="16"/>
          <w:szCs w:val="16"/>
        </w:rPr>
        <w:softHyphen/>
        <w:t>бии Карден-Лойд с применением мото</w:t>
      </w:r>
      <w:r w:rsidRPr="00142305">
        <w:rPr>
          <w:rFonts w:ascii="Times New Roman" w:hAnsi="Times New Roman"/>
          <w:color w:val="0070C0"/>
          <w:sz w:val="16"/>
          <w:szCs w:val="16"/>
        </w:rPr>
        <w:softHyphen/>
        <w:t>ра АМО-3 и ходовой части трактора Кар</w:t>
      </w:r>
      <w:r w:rsidRPr="00142305">
        <w:rPr>
          <w:rFonts w:ascii="Times New Roman" w:hAnsi="Times New Roman"/>
          <w:color w:val="0070C0"/>
          <w:sz w:val="16"/>
          <w:szCs w:val="16"/>
        </w:rPr>
        <w:softHyphen/>
        <w:t>ден-Лойд. Танк прошел предварительные испытания и был продемонстрирован замнаркома тов. Тухачевскому 10 апреля сего года на Неве, причем показал способность надежно плавать даже в условиях быстрого течения. Скорость 2-3 км/ч при движении против течения. После подбора соответс</w:t>
      </w:r>
      <w:r w:rsidRPr="00142305">
        <w:rPr>
          <w:rFonts w:ascii="Times New Roman" w:hAnsi="Times New Roman"/>
          <w:color w:val="0070C0"/>
          <w:sz w:val="16"/>
          <w:szCs w:val="16"/>
        </w:rPr>
        <w:softHyphen/>
        <w:t>твующего винта скорость предполагается увеличить до 7-8 км/ч» (15019).</w:t>
      </w:r>
    </w:p>
    <w:p w14:paraId="2FFAA30E" w14:textId="77777777" w:rsidR="003825BF" w:rsidRPr="00142305" w:rsidRDefault="003825BF" w:rsidP="003825BF">
      <w:pPr>
        <w:spacing w:after="0" w:line="240" w:lineRule="auto"/>
        <w:jc w:val="both"/>
        <w:rPr>
          <w:rFonts w:ascii="Times New Roman" w:hAnsi="Times New Roman"/>
          <w:color w:val="0070C0"/>
          <w:sz w:val="16"/>
          <w:szCs w:val="16"/>
        </w:rPr>
      </w:pPr>
    </w:p>
    <w:p w14:paraId="5AD33C3B" w14:textId="77777777" w:rsidR="003159DD" w:rsidRPr="00E93F40" w:rsidRDefault="003159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в 1932 году в Ленинграде на заводе «Коминтерн» начат выпуск первых советских телевизоров с диском Нипкова для приема изображения с разложением на 30 строк (15100).</w:t>
      </w:r>
    </w:p>
    <w:p w14:paraId="74BA7F84" w14:textId="77777777" w:rsidR="003159DD" w:rsidRPr="00E93F40" w:rsidRDefault="003159DD" w:rsidP="00E93F40">
      <w:pPr>
        <w:spacing w:after="0" w:line="240" w:lineRule="auto"/>
        <w:jc w:val="both"/>
        <w:rPr>
          <w:rFonts w:ascii="Times New Roman" w:hAnsi="Times New Roman"/>
          <w:color w:val="000000" w:themeColor="text1"/>
          <w:sz w:val="16"/>
          <w:szCs w:val="16"/>
        </w:rPr>
      </w:pPr>
    </w:p>
    <w:p w14:paraId="31BAF43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C37FF8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53C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 в журнале МГ начали публиковать первые главы “Как закалялась сталь” (3263,179).</w:t>
      </w:r>
    </w:p>
    <w:p w14:paraId="1794F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BE72D1" w14:textId="1105894C" w:rsidR="00AE16A6" w:rsidRPr="00E93F40" w:rsidRDefault="00AE16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 года журнал «Молодая гвардия» начал печатать первые главы знаменитого романа Николая Островского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Как закалялась сталь (21176). </w:t>
      </w:r>
    </w:p>
    <w:p w14:paraId="59479E28" w14:textId="77777777" w:rsidR="00AE16A6" w:rsidRPr="00E93F40" w:rsidRDefault="00AE16A6" w:rsidP="00E93F40">
      <w:pPr>
        <w:spacing w:after="0" w:line="240" w:lineRule="auto"/>
        <w:jc w:val="both"/>
        <w:rPr>
          <w:rFonts w:ascii="Times New Roman" w:hAnsi="Times New Roman"/>
          <w:color w:val="000000" w:themeColor="text1"/>
          <w:sz w:val="16"/>
          <w:szCs w:val="16"/>
        </w:rPr>
      </w:pPr>
    </w:p>
    <w:p w14:paraId="4996ED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 было объявлено о безбожной пятилетке и к 1937 слово Бог должно было исчезнуть из лексикона (3908,337).</w:t>
      </w:r>
    </w:p>
    <w:p w14:paraId="3E2B7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53F240" w14:textId="77777777" w:rsidR="003159DD"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0813A1F" w14:textId="77777777" w:rsidR="003159DD" w:rsidRPr="00E93F40" w:rsidRDefault="003159D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89F8BEF" w14:textId="77777777" w:rsidR="003159DD" w:rsidRPr="00E93F40" w:rsidRDefault="003159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в 1932 году поднялся в воздух опытный экземпляр летающей лодки-разведчика «Potez 452» (разработчик: «Potez», Франция). Гидросамолет (заводской номер 2661) представлял собой летающую лодку-полутораплан длиной около 10 метров и размахом верхнего крыла 13 метров. Остойчивость на воде обеспечивалась двумя поплавками, прикрепленными к законцовкам нижнего полукрыла. Опытный образец самолета был собран в Meaulte. Замеры показали, что его минимальная скорость полета составляет 72 км/ч, а максимальная скорость достигает 200 км/ч (15100).</w:t>
      </w:r>
    </w:p>
    <w:p w14:paraId="3BC80D0B" w14:textId="77777777" w:rsidR="003159DD" w:rsidRPr="00E93F40" w:rsidRDefault="003159DD" w:rsidP="00E93F40">
      <w:pPr>
        <w:spacing w:after="0" w:line="240" w:lineRule="auto"/>
        <w:jc w:val="both"/>
        <w:rPr>
          <w:rFonts w:ascii="Times New Roman" w:hAnsi="Times New Roman"/>
          <w:color w:val="000000" w:themeColor="text1"/>
          <w:sz w:val="16"/>
          <w:szCs w:val="16"/>
        </w:rPr>
      </w:pPr>
    </w:p>
    <w:p w14:paraId="04A921D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783C31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4E12E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середине апреля 1932, т.е. с запозданием почти на 2 месяца, УВВС были отпущены (из оборотных средств самого Осконбюро) деньги на реализацию заказа ПУРККА, после чего только и было приступлено к фактическому конструированию объектов ТСП (7470, 331-334).</w:t>
      </w:r>
    </w:p>
    <w:p w14:paraId="0DC05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378921" w14:textId="77777777" w:rsidR="00077624" w:rsidRPr="00E93F40" w:rsidRDefault="00077624"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8947ED9" w14:textId="77777777" w:rsidR="00077624" w:rsidRPr="00E93F40" w:rsidRDefault="0007762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D305BB" w14:textId="77777777" w:rsidR="00077624" w:rsidRPr="00E93F40" w:rsidRDefault="000776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апреля 1932 в Московском горкоме партии состоялось совещание по поводу метода строительства метро, созванное Кагановичем и Хрущевым. Маковский и Пассек изложили свою позицию и были поддержаны Хрущевым. Ротерт., Шелюбский и другие инженеры отстаивали проект строительства по берлинскому способу, который находился в завершающей стадии. Ротерт. полемизировал ангажированно и остро, назвав тех, кто требовал подготовки нового проекта, «могильщиками» и «вредителями». Отказ от прежних планов, на его взгляд, означал бы позор на весь мир{427}.</w:t>
      </w:r>
    </w:p>
    <w:p w14:paraId="218F8192" w14:textId="77777777" w:rsidR="00077624" w:rsidRPr="00E93F40" w:rsidRDefault="000776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расхождений между отечественными проектантами Политбюро в конце апреля постановило привлечь для консультаций специалистов из Англии, Франции, Америки и Германии, выделив на эти расходы 50 тыс. долларов США{428}. 1мая 1932 г. Метрострой представил технический проект сооружения первой очереди метро по берлинскому способу{429}.Однако 9 мая 1932 г. от Московского горкома партии последовало поручение Метрострою в течение недели разработать альтернативный эскизный проект прокладки линий глубокого залегания, что было выполнено в срок с напряжением всех сил{430} (18299).</w:t>
      </w:r>
    </w:p>
    <w:p w14:paraId="196A7F14" w14:textId="77777777" w:rsidR="00077624" w:rsidRPr="00E93F40" w:rsidRDefault="00077624" w:rsidP="00E93F40">
      <w:pPr>
        <w:spacing w:after="0" w:line="240" w:lineRule="auto"/>
        <w:jc w:val="both"/>
        <w:rPr>
          <w:rFonts w:ascii="Times New Roman" w:hAnsi="Times New Roman"/>
          <w:color w:val="000000" w:themeColor="text1"/>
          <w:sz w:val="16"/>
          <w:szCs w:val="16"/>
        </w:rPr>
      </w:pPr>
    </w:p>
    <w:p w14:paraId="2599EF3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D7AFFB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B147E2"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96. Опросом членов ПБ от 15 апреля 1932 г. 57/35. Об отпуске средств Институту авиационного моторостроения. Постановили: отпустить Институту авиамоторостроения в счет контингентов НКТяжа 50 тыс. руб. в золотой валюте для срочных закупок за границей в связи с опытными работами. Опросом членов ПБ от 16 апреля 1932 г. 72/50. О Радиевом институте (ПБ от 8 января 1932 г., пр. № 82, п. 102/64). (Политбюро... Т. 2. С. 295, 296; РГАСПИ. Ф. 17. Оп. 162. Д. 12. Л. 96) (12416).</w:t>
      </w:r>
    </w:p>
    <w:p w14:paraId="361F5D41"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p>
    <w:p w14:paraId="6C494A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апреля 1932 и химотделения 4 отдела НИИ ВВС Камарницкий подготовил заключение по предложению Бродского "Воздушная торпеда"</w:t>
      </w:r>
    </w:p>
    <w:p w14:paraId="52B33A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Признал, что идею Бродского можно использовать для сбрасывания ОВ с больших высот на некотором расстоянии от цели, т.к. торпеда имеет формы планера.</w:t>
      </w:r>
    </w:p>
    <w:p w14:paraId="40C87C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Предложение заслуживает внимание со стороны ВВС и положительное решение проблемы явится ценным в решении задачи высотного применения ОВ.</w:t>
      </w:r>
    </w:p>
    <w:p w14:paraId="665BC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Разработку конструкций воздушной торпеды Бродского следует вести и осуществить опытный образец для испытания ее с ОВ с больших высот.</w:t>
      </w:r>
    </w:p>
    <w:p w14:paraId="691E8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разработке конструкции желательно предусмотреть:</w:t>
      </w:r>
    </w:p>
    <w:p w14:paraId="5352B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Возможность вскрытия торпеды для выпуска ОВ в момент ее полета (планирования) в любой точке проектирования.</w:t>
      </w:r>
    </w:p>
    <w:p w14:paraId="26E33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Разбрызгивания ОВ от ударного или дистанционного действия с большим диапазоном заражения площади... (2911).</w:t>
      </w:r>
    </w:p>
    <w:p w14:paraId="756577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Бродский предложил и ж/д торпеду (2912).</w:t>
      </w:r>
    </w:p>
    <w:p w14:paraId="50A619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2E3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апреля 1932го от управления ВВС Ленинградского военного округа на завод № 47 поступил заказ на изготовление планера особого назначения. В этом же месяце были проведены сложный ремонт и дооборудование специального самолета для проведения аэрофотосъемки местности (Там же. Д. 108. Л. 53.). Вместе с тем здесь продолжался и серийный выпуск самолетов Р-1, Р-5, И-5, У-2 и ТБ-1. Так, в 1934-м за девять месяцев было произведено девяносто два Р-1 (при плане девяносто), четыре Р-5, шестьдесят шесть У-2 (104,8 проц. плана) и два ТБ-1. После этого была начата планомерная подготовка к передаче этого авиационного завода в иное ведомство. В ноябре 1934 года в соответствии с приказом наркома тяжелой промышленности предприятие переподчинили Экспериментальному институту РККА, определив для него статус опытного завода (Там же. Л. 5.) (11176).</w:t>
      </w:r>
    </w:p>
    <w:p w14:paraId="7B87B8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AD1D0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C402A1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49C11FF"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апреля 1932 г. </w:t>
      </w:r>
    </w:p>
    <w:p w14:paraId="626B225A"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 секретно. </w:t>
      </w:r>
    </w:p>
    <w:p w14:paraId="4311B1CF"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Экз. № 2 </w:t>
      </w:r>
    </w:p>
    <w:p w14:paraId="18DF273F"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апреля 1932 г. </w:t>
      </w:r>
    </w:p>
    <w:p w14:paraId="43F15595"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172894сс </w:t>
      </w:r>
    </w:p>
    <w:p w14:paraId="1C6D09BA"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УПРАВЛЕНИЯ ДЕЛАМИ РЕВОЛЮЦИОННОГО</w:t>
      </w:r>
    </w:p>
    <w:p w14:paraId="1E1ADAD2"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ВОЕННОГО СОВЕТА СОЮЗА ССР</w:t>
      </w:r>
    </w:p>
    <w:p w14:paraId="07497140"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Препровождаю доклад о ходе реализации бронетанковой системы вооружения. Так как доклад ставится в порядке контроля, проект постановления не прилагается. </w:t>
      </w:r>
    </w:p>
    <w:p w14:paraId="278A5841"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ПРИЛОЖЕНИЕ: доклад на "7" листах. </w:t>
      </w:r>
    </w:p>
    <w:p w14:paraId="01686B5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 ПОМ. НАЧАЛЬНИКА УММ РККА (Бокис)</w:t>
      </w:r>
    </w:p>
    <w:p w14:paraId="1DEAA526"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Отпечатано 2 экз. </w:t>
      </w:r>
    </w:p>
    <w:p w14:paraId="4DCE73A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1 – адресату </w:t>
      </w:r>
    </w:p>
    <w:p w14:paraId="0437B2A3"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2 – в деле </w:t>
      </w:r>
    </w:p>
    <w:p w14:paraId="67CCD4A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Верно: Секретарь подпись </w:t>
      </w:r>
    </w:p>
    <w:p w14:paraId="380708C6"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Фонд 31811 Опись 3 Дело 81 лист 2</w:t>
      </w:r>
    </w:p>
    <w:p w14:paraId="00E8624F"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апреля 1932 г. </w:t>
      </w:r>
    </w:p>
    <w:p w14:paraId="6E102406"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 секретно. </w:t>
      </w:r>
    </w:p>
    <w:p w14:paraId="7C42E44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Экз. № 4 </w:t>
      </w:r>
    </w:p>
    <w:p w14:paraId="2D3C64F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апреля 1932 г. </w:t>
      </w:r>
    </w:p>
    <w:p w14:paraId="00FA243D"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 172894сс </w:t>
      </w:r>
    </w:p>
    <w:p w14:paraId="174CD6BC"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РЕВОЛЮЦИОННОМУ ВОЕННОМУ СОВЕТУ СОЮЗА ССР</w:t>
      </w:r>
    </w:p>
    <w:p w14:paraId="79D6A1F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ходе реализации броне-танковой системы вооружения в порядке контроля. </w:t>
      </w:r>
    </w:p>
    <w:p w14:paraId="3A108ADD"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Докладываю о порядке контроля состояния работ по системе авто-броне танкового вооружения РККА: </w:t>
      </w:r>
    </w:p>
    <w:p w14:paraId="27AC0166"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Танкетка. В валовом производстве изготовляется принятая на вооружение РККА танкетка Т-27. </w:t>
      </w:r>
    </w:p>
    <w:p w14:paraId="0CBE79FA"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Ведутся работы по изготовлению опытных образцов танкетки, вооруженной пулеметом ДТ, расположенным в башне с круговым обстрелом. Опытный образец танкетки этого типа под шифром Т-41, изготавливаемый 2-м Заводом ВАТО в Москве, будет готов в мае м-це с.г. Другой опытный образец под шифром Т-37, изготовляемый на Машиностроительном заводе им. Ворошилова, будет выполнен в Июне с.г. </w:t>
      </w:r>
    </w:p>
    <w:p w14:paraId="025A3016"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Оба эти образца будут обладать плавучестью и принципиальная разница в конструкции между ними состоит в том, что танкетка Т-41 имеет мотор Форд АА, расположенный по осевой центральной линии машины, в то время как танкетка Т-37 имеет одностороннее расположение мотора по типу трактора Карден Лойд или танка-амфибия Карден Лойд. В этом случае стандартный задний мост автомобиля Форд АА изменяется. </w:t>
      </w:r>
    </w:p>
    <w:p w14:paraId="58F35B50"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Легкий танк. В валовом производстве находится принятый на вооружение РККА двухбашенный танк Т-26. Ведутся срочные работы по установке в этот танк 45 мм пушки, спаренной с пулеметом ДТ, расположенной в одной большой башне, обеспечивающей круговой обстрел и, кроме того, разрабатывается установка 76 мм пушки и пулемета ДТ также в башне с круговым обстрелом. Срок окончания этих работ – апрель м-ц с.г., а постройка танка этого типа в валом производстве должна быть начата в конце второго квартала с.г. </w:t>
      </w:r>
    </w:p>
    <w:p w14:paraId="0B02E30F"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Закончены постройкой опытные образцы танка ТММ-1 и ТММ-2. Танки находятся на испытании. Танк ТММ-1 пока строить не предположено впредь до выпуска Уфимским заводом моторов мощностью 90 – 100 л.с., однотипных мотору Геркулес, поставленному в этот танк. </w:t>
      </w:r>
    </w:p>
    <w:p w14:paraId="08CD7C83"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Сверх-легкий танк. В валом производстве сверх-легкий танк не имеется. Изготовлен первый опытный образец плавучего сверх-легкого танка типа амфибии Карден Лойд с применением мотора АМО-3 и ходовой части трактора Карден Лойд. Танк прошел предварительные испытания и был демонстрирован Зампреду т. ТУХАЧЕВСКОМУ 10 апреля с.г. на Неве, причем танк показал способность надежно плавать даже в условиях быстрого течения. Приблизительная скорость танка на воде около 2 – 3 клм против течения. После подбора соответствующего винта предположено скорость повысить до 7 – 8 клм/час. Опытный образец выполнен на Машиностроительном заводе им. Ворошилова в Ленинграде. </w:t>
      </w:r>
    </w:p>
    <w:p w14:paraId="4E2E5AB2"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том же заводе изготовляется опытный образец сверх-легкого танка по типу 5-ти тонного танка Виккерс с использованием мотора АМО-3 и ходовой части Карден Лойд. Опытный образец будет готов в августе м-це с.г. </w:t>
      </w:r>
    </w:p>
    <w:p w14:paraId="635A45D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Быстроходный танк. В серийном производстве находится принятый на вооружение танк Б-Т (Кристи). </w:t>
      </w:r>
    </w:p>
    <w:p w14:paraId="19362785"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Ведутся работы по установке в этот танк более мощного вооружения, причем предположено использовать башенные установки Т-26 и для Б-Т. Срок окончания этих работ – Апрель м-ц с.г. </w:t>
      </w:r>
    </w:p>
    <w:p w14:paraId="4D96C7B2"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 проект АТТБ ЭКУ ОГПУ 14-ти тонного плавучего танка по типу Кристи. На танке предположительно применить специальную подвеску, состоящую из колес системы Луцкого. Опытный образец танка предположено закончить в Августе м-це с.г. Этот танк имеет колесно-гусеничный ход, причем на колесном ходу он имеет четыре поворотных направляющих колеса при всех ведущих колесах, в то время как у Кристи имеется только одна пара ведущих колес и одна пара колес направляющих. </w:t>
      </w:r>
    </w:p>
    <w:p w14:paraId="2C77E23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В данный момент в серийном производстве средних танков не имеется. Заканчивается постройкой опытный образец среднего танка Т-28 с мотором М-17 в 500 л.с. Опытный образец будет готов в мае м-це с.г. </w:t>
      </w:r>
    </w:p>
    <w:p w14:paraId="0E2E16B3"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Тяжелый танк. Находится в производстве на Машиностроительном заводе им. Ворошилова опытный образец танка Т-35 весом в 35 тонн. Этот танк запроектирован с учетом опыта по танку Гроте. Опытный образец будет готов в Июне м-це с.г. </w:t>
      </w:r>
    </w:p>
    <w:p w14:paraId="192985C8"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Вопросами разработки проекта тяжелого танка прорыва весом 75 тонн заняты следующие организации: </w:t>
      </w:r>
    </w:p>
    <w:p w14:paraId="68FDF856"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АТТБ ЭКУ ОГПУ. </w:t>
      </w:r>
    </w:p>
    <w:p w14:paraId="722CDB4C"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Инженер Гроте. </w:t>
      </w:r>
    </w:p>
    <w:p w14:paraId="3DE5ED91"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Итальянская фирма Ансальдо. </w:t>
      </w:r>
    </w:p>
    <w:p w14:paraId="38D7B05D"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по изготовлению проектов во всех этих организациях находятся на первоначальной стадии своего развития. Предположено закончить проектирование к августу м-цу с.г. с таким расчетом, чтобы построить опытные образцы в начале 1933 г. </w:t>
      </w:r>
    </w:p>
    <w:p w14:paraId="4595ADB6"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Бронированные транспортеры. Находится в изготовлении опытный образец бронированного транспортера, сконструированного на основе ходовой части и трансмиссии Т-26 с применением мотора Геркулес 90 л.с. Срок изготовления опытного образца – Июль м-ц с.г. </w:t>
      </w:r>
    </w:p>
    <w:p w14:paraId="1A35F55D"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Разрабатывается проект транспортера на шасси Т-26 вместимостью 12 человек. проект будет закончен в мае м-це с.г. </w:t>
      </w:r>
    </w:p>
    <w:p w14:paraId="2312A6E3"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Самоходные установки. Выполнен опытный образец самоходной установки 76 мм пуши на танке Т-26. Ввиду установки этой пушки в башню с круговым обстрелом, постановка на производство не целесообразна. </w:t>
      </w:r>
    </w:p>
    <w:p w14:paraId="1D990B7D"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Находится в производстве опытная партия в количестве 50 самоходных установок 76 мм пушки на шасси трехосного автомобиля Мореланд. Выполнен опытный образец установки пушки ДРП на легковом трехосном автомобиле Форд А. Заканчивается постройка самоходной установки на тракторе Коммунар "3-90" 76 мм зенитной пушки образца 1915 г. и 122 мм гаубицы обр. 1910 г. </w:t>
      </w:r>
    </w:p>
    <w:p w14:paraId="135A76A8"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Оканчивается постройкой самоходная установка 152 мм пушки ДРП на шасси трехосного грузового автомобиля Форд АА. </w:t>
      </w:r>
    </w:p>
    <w:p w14:paraId="1086C002"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Вопросы моторизации артиллерии.</w:t>
      </w:r>
    </w:p>
    <w:p w14:paraId="1C80D050"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Заканчивается изготовлением легкий трактор для тяги дивизионной и корпусной артиллерии, сконструированный по типу трактора Карден Лойд с применением ходовых частей и трансмиссии последнего и мотора АМО-3. Образец будет закончен в конце апреля с.г. </w:t>
      </w:r>
    </w:p>
    <w:p w14:paraId="14C460C3"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Заканчивается проектирование артиллерийского тягача типа Сомуа на шасси Я-5. Опытный образец предположено закончить к августу с.г. Этот тягач по своей мощности на крюке будет превосходить как тягач Сомуа, так и трактор Карден Лойд, и может быть использован для тяги артиллерийских систем весом до 5 тонн. </w:t>
      </w:r>
    </w:p>
    <w:p w14:paraId="4CC0C832"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Опытные образцы среднего трактора Коминтерн, имеющего скорость 20 клм/час, прошли предварительные испытания. Для доработки ходовых частей и для повышения скорости до 30 клм трактора переданы на Харьковский Паровозостроительный завод. Предположено закончить переделки в июне м-це с.г. и представить трактора на большие транспортные испытания. </w:t>
      </w:r>
    </w:p>
    <w:p w14:paraId="1ACCF83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 и показал хорошие результаты трактор Катерпиллер с мотором дизель изготовления АТТБ ЭКУ ОГПУ. Специальной Правительственной Комиссией, проводившей эти испытания, трактор рекомендуется для внедрения в валовое производство на Челябинском Тракторном заводе. </w:t>
      </w:r>
    </w:p>
    <w:p w14:paraId="445B057C"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Саперный танк. Заканчивается проектированием мостовой танк на шасси Т-26 с приспособлением к этому шасси для траления мин и срытия неровностей почвы и засыпки окопов. Опытный образец будет готов в середине июля с.г. </w:t>
      </w:r>
    </w:p>
    <w:p w14:paraId="72EE4607"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Химический танк. Заканчивается постройкой опытный образец химизированного танка Т-26, снабженного приборами огнеметания, дымопуска и заражения местности. </w:t>
      </w:r>
    </w:p>
    <w:p w14:paraId="3A016E88"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12. Бронемашины. В серийном производстве находится средняя бронемашина Д-13 на шасси Форд 3А. Выполнены опытные образцы этого типа машины с различными конфигурациями корпуса и различным расположением вооружения. На сегодняшний день имеется в опытных образцах три типа средней бронемашины: </w:t>
      </w:r>
    </w:p>
    <w:p w14:paraId="63FA3823"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Д-13 конструкции т. Дыренкова </w:t>
      </w:r>
    </w:p>
    <w:p w14:paraId="114883AA"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ФВВ конструкции АТТБ ЭКУ ОГПУ </w:t>
      </w:r>
    </w:p>
    <w:p w14:paraId="25EFC848"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БАИ конструкции Ижорского завода. </w:t>
      </w:r>
    </w:p>
    <w:p w14:paraId="7AE33C7B"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Причем последний тип машины имеет укороченную базу, вследствие чего получились более компактные размеры корпуса. Это обстоятельство дало возможность увеличить толщину брони и довести ее до 9 мм без перегрузки машины. По результатам сравнительных испытаний будет окончательно выбран тип средней бронемашины для валового производства на конец 1932 г. и на 1933 год. </w:t>
      </w:r>
    </w:p>
    <w:p w14:paraId="7A944213"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Ижорском Заводе выполняется опытный образец безрамной трехосной бронемашины по типу американского броневика Т-4 с бронировкой в 10 мм и с применением мотора Геркулес АМО-3 и задних мостов Форд-Тимкен. Образец будет готов в июне м-це с.г. </w:t>
      </w:r>
    </w:p>
    <w:p w14:paraId="24B7DBCC"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легкой бронемашине на серийном производстве находится Д-8 конструкции т. Дыренкова. Для замены этой конструкции заканчивается постройкой опытная партия в количестве 10 штук бронемашин на шасси Форд А. Этот тип машины имеет усовершенствованные сварные швы корпуса и пулеметную башню с круговым обстрелом, чего нет на Д-8. Образцы будут участвовать в майском параде с.г. </w:t>
      </w:r>
    </w:p>
    <w:p w14:paraId="3C77F58E"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13. Трехосные автомашины. Имеются опытные образцы трехосных машин Форд А, Форд АА, АМО-6, Я-5. Опытные образцы испытаны и внедряются в производство на соответствующих автозаводах. </w:t>
      </w:r>
    </w:p>
    <w:p w14:paraId="61141742"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Броне-мото-вагоны. Приступлено к изготовлению рабочих чертежей тяжелого мото-броне-вагона, вооруженного 107 мм пушкой и пулеметами. Окончательный срок изготовления чертежей – Сентябрь м-ц с.г. </w:t>
      </w:r>
    </w:p>
    <w:p w14:paraId="5ACD348A"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15. Мото-дрезины. Выполнен опытный образец тяжелой мото-дрезины Д-37 из агрегатов Форд АА. Испытания дрезины будут закончены в мае м-це с.г. Срок окончания рабочих чертежей и спецификаций для серийного производства – июнь с.г. </w:t>
      </w:r>
    </w:p>
    <w:p w14:paraId="0D656BC0"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Выполнен и испытан опытный образец съемной дрезины СК с мотором ДКВ. Дрезина вооружена одним пулеметом ДП на установке, допускающей ведение огня по зенитным и наземным целям. </w:t>
      </w:r>
    </w:p>
    <w:p w14:paraId="06E36185"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16. Бронепоезда. Изготовлен и испытан модернизированный легкий бронепоезд. </w:t>
      </w:r>
    </w:p>
    <w:p w14:paraId="5C20EAB4"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Проведена модернизация тяжелого бронепоезда, причем полная модернизация его будет закончена в третьем квартале с.г. </w:t>
      </w:r>
    </w:p>
    <w:p w14:paraId="75D8EEDA"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Все существующие легкие и тяжелые бронепоезда модернизируются по типу опытных образцов. На основании модернизации достигнуто непробиваемость брони бронепаровозов и площадок простой пулей со всех дистанций, вписывание бронеединиц в льготный габарит как колеи СССР, так и западноевропейской, установлены командирские наблюдательные пункты с приборами для управления огнем, увеличены углы обстрела у орудий и пулеметов, установлена внутренняя телефонная связь, электроосвещение, рация, разработана укладка и улучшено благоустройство, поставлены новые бронепоездные орудийные установки. </w:t>
      </w:r>
    </w:p>
    <w:p w14:paraId="1E501DE1"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 ПОМ. НАЧАЛЬНИКА УПРАВЛЕНИЯ</w:t>
      </w:r>
    </w:p>
    <w:p w14:paraId="0296FDCF"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МЕХАНИЗАЦИИ и МОТОРИЗАЦИИ РККА (Бокис)</w:t>
      </w:r>
    </w:p>
    <w:p w14:paraId="7593A318"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Отпечатано в 5 экз. </w:t>
      </w:r>
    </w:p>
    <w:p w14:paraId="3BE4D911"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1 – РВС СССР </w:t>
      </w:r>
    </w:p>
    <w:p w14:paraId="556829A1"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2 – Зам. Наркома т. Тухачевскому </w:t>
      </w:r>
    </w:p>
    <w:p w14:paraId="1811F822"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3 – Секретариат УММ </w:t>
      </w:r>
    </w:p>
    <w:p w14:paraId="0468E062"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4 – Упр. Делами НТК УММ </w:t>
      </w:r>
    </w:p>
    <w:p w14:paraId="4674D3A3"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5 – 1 секция </w:t>
      </w:r>
    </w:p>
    <w:p w14:paraId="0AE7EB5C"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Верно: Секретарь подпись</w:t>
      </w:r>
    </w:p>
    <w:p w14:paraId="7E3CE569" w14:textId="77777777" w:rsidR="00446FB0" w:rsidRPr="00E93F40" w:rsidRDefault="00446F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Фонд 31811 Опись 3 Дело 81 лист 3 – 9 (17949).</w:t>
      </w:r>
    </w:p>
    <w:p w14:paraId="0139E7CE" w14:textId="77777777" w:rsidR="00446FB0" w:rsidRPr="00E93F40" w:rsidRDefault="00446FB0" w:rsidP="00E93F40">
      <w:pPr>
        <w:spacing w:after="0" w:line="240" w:lineRule="auto"/>
        <w:jc w:val="both"/>
        <w:rPr>
          <w:rFonts w:ascii="Times New Roman" w:hAnsi="Times New Roman"/>
          <w:color w:val="000000" w:themeColor="text1"/>
          <w:sz w:val="16"/>
          <w:szCs w:val="16"/>
        </w:rPr>
      </w:pPr>
    </w:p>
    <w:p w14:paraId="257E8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апреля 1932 Ленинградский радиозавод начал выпуск аппаратуры для радиоцентра и изготовил первые телевизоры (3960, 149).</w:t>
      </w:r>
    </w:p>
    <w:p w14:paraId="0299E0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46EBC5"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апреля 1932 состоялось заседание ПБ (Протокол № 95)</w:t>
      </w:r>
    </w:p>
    <w:p w14:paraId="36CFB005" w14:textId="77777777" w:rsidR="00A71942" w:rsidRPr="00E93F40" w:rsidRDefault="00A71942" w:rsidP="00E93F40">
      <w:pPr>
        <w:spacing w:after="0" w:line="240" w:lineRule="auto"/>
        <w:jc w:val="both"/>
        <w:rPr>
          <w:rFonts w:ascii="Times New Roman" w:hAnsi="Times New Roman"/>
          <w:color w:val="000000" w:themeColor="text1"/>
          <w:sz w:val="16"/>
          <w:szCs w:val="16"/>
        </w:rPr>
      </w:pPr>
      <w:bookmarkStart w:id="21" w:name="bookmark0"/>
      <w:r w:rsidRPr="00E93F40">
        <w:rPr>
          <w:rFonts w:ascii="Times New Roman" w:hAnsi="Times New Roman"/>
          <w:color w:val="000000" w:themeColor="text1"/>
          <w:sz w:val="16"/>
          <w:szCs w:val="16"/>
        </w:rPr>
        <w:t>2.- а) отчетный доклад Наркомтяжпрома о состоянии дела искусственного волокна</w:t>
      </w:r>
      <w:bookmarkEnd w:id="21"/>
    </w:p>
    <w:p w14:paraId="58A08648"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8.1У.32 г., пр № 95, п.7).</w:t>
      </w:r>
    </w:p>
    <w:p w14:paraId="214C6986"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Орджоникидзе, Кошкарев).</w:t>
      </w:r>
    </w:p>
    <w:p w14:paraId="0B790CB4"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 заключении договора с Фирмой Вазаг.</w:t>
      </w:r>
    </w:p>
    <w:p w14:paraId="3DE912C2"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Орджоникидзе).</w:t>
      </w:r>
    </w:p>
    <w:p w14:paraId="31816D40"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Принять предложения НКТП о заключении договора с БАЗАР"ом о технической помощи по колоксилину на сум</w:t>
      </w:r>
      <w:r w:rsidRPr="00E93F40">
        <w:rPr>
          <w:rFonts w:ascii="Times New Roman" w:hAnsi="Times New Roman"/>
          <w:color w:val="000000" w:themeColor="text1"/>
          <w:sz w:val="16"/>
          <w:szCs w:val="16"/>
        </w:rPr>
        <w:softHyphen/>
        <w:t>му до 60 тыс. долларов.</w:t>
      </w:r>
    </w:p>
    <w:p w14:paraId="4D4902BF"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Разрешить НКТП пригласить д-ра Гаваса с плате</w:t>
      </w:r>
      <w:r w:rsidRPr="00E93F40">
        <w:rPr>
          <w:rFonts w:ascii="Times New Roman" w:hAnsi="Times New Roman"/>
          <w:color w:val="000000" w:themeColor="text1"/>
          <w:sz w:val="16"/>
          <w:szCs w:val="16"/>
        </w:rPr>
        <w:softHyphen/>
        <w:t>жом не свыше 10 тысяч долларов в год.</w:t>
      </w:r>
    </w:p>
    <w:p w14:paraId="04FB32B5"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Кошкареву.</w:t>
      </w:r>
    </w:p>
    <w:p w14:paraId="33D4EAA6"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 опросом членов ПБ</w:t>
      </w:r>
    </w:p>
    <w:p w14:paraId="0A3AB22F"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57/85.- Об отпуске средств Институту Авиамоторостроения</w:t>
      </w:r>
    </w:p>
    <w:p w14:paraId="08D25A51"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Отпустить Институту Авиамоторостроения в счет контингентов НКТяжа 50.000 рублей в золотой валюте для срочных закупок заграницей в связи с опытными работами.</w:t>
      </w:r>
    </w:p>
    <w:p w14:paraId="08DF9378"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Керженцеву, Рудзутаку (23042).</w:t>
      </w:r>
    </w:p>
    <w:p w14:paraId="0429255C" w14:textId="77777777" w:rsidR="00A71942" w:rsidRPr="00E93F40" w:rsidRDefault="00A71942" w:rsidP="00E93F40">
      <w:pPr>
        <w:spacing w:after="0" w:line="240" w:lineRule="auto"/>
        <w:jc w:val="both"/>
        <w:rPr>
          <w:rFonts w:ascii="Times New Roman" w:hAnsi="Times New Roman"/>
          <w:color w:val="000000" w:themeColor="text1"/>
          <w:sz w:val="16"/>
          <w:szCs w:val="16"/>
        </w:rPr>
      </w:pPr>
    </w:p>
    <w:p w14:paraId="644EACB9" w14:textId="77777777" w:rsidR="00E6267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9452E68" w14:textId="77777777" w:rsidR="00E6267E" w:rsidRPr="00E93F40" w:rsidRDefault="00E626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1221E0"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апреля в 1932 году на испытания одновременно вышли сразу два прототипа нового многоцелевого палубного истребителя, разработанных «Curtiss», США – «XF11C-1» с двухрядным двигателем «Райт» «R-1510-98» «Уирлуинд» с трехлопастным винтом и «XF11C-2» с однорядным «Райт» «R-1820-78» «Циклон» с двухлопастным винтом. Заказчику больше понравился второй, и 18 октября 1932 года последовал заказ на 28 серийных «F11C-2» (15101).</w:t>
      </w:r>
    </w:p>
    <w:p w14:paraId="08AA5CE7"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0ABACB2F"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апреля в 1932 году на самолётах авиакомпании «Imperial Airways» «S.17» «Kent» (разработчик: «Short», Великобритания) начали выполняться полёты по маршруту Бриндизи - Лимассол - Хайфа - Александрия. Это четырёхмоторная летающая лодка-биплан классической схемы смешанной конструкции. В носовой части кабина бортрадиста. Затем закрытая кабина для экипажа - двух пилотов и штурмана. Позади неё отсек для почты. Затем пассажирский салон на 16 человек с мягкими креслами. В ряду четыре кресла - распложены попарно по бортам, между ними проход. Позади отсек для багажа пассажиров. Установлены четыре двигателя «Bristol Jupiter» «XFBM» - 555 л.с./410 кВт, 9-ти цилиндровые звездообразные, воздушного охлаждения с наддувом; размещены в гондолах на стойках между крыльями, винты четырёхлопастные деревянные (15101).</w:t>
      </w:r>
    </w:p>
    <w:p w14:paraId="3B118591"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1A9C5733" w14:textId="77777777" w:rsidR="00A71942" w:rsidRPr="00E93F40" w:rsidRDefault="00A719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апреля 1932 Фрэнк Хоукс ранен, а его загадочный корабль Travel Air Type R Texaco 13 сильно поврежден, когда он разбивается при взлете с мокрого поля в Вустере, штат Массачусетс. Он выздоравливает, и самолет ремонтируют (20803).</w:t>
      </w:r>
    </w:p>
    <w:p w14:paraId="7AC9F480" w14:textId="77777777" w:rsidR="00A71942" w:rsidRPr="00E93F40" w:rsidRDefault="00A71942" w:rsidP="00E93F40">
      <w:pPr>
        <w:spacing w:after="0" w:line="240" w:lineRule="auto"/>
        <w:jc w:val="both"/>
        <w:rPr>
          <w:rFonts w:ascii="Times New Roman" w:hAnsi="Times New Roman"/>
          <w:color w:val="000000" w:themeColor="text1"/>
          <w:sz w:val="16"/>
          <w:szCs w:val="16"/>
        </w:rPr>
      </w:pPr>
    </w:p>
    <w:p w14:paraId="2A3DEE0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4E27BE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B75D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апреля 1932 в г. Севастополе закончились гос. испытания Р-5а-М17 на поплавках, которые проходили с 27 января 1932</w:t>
      </w:r>
    </w:p>
    <w:p w14:paraId="58798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4A54B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Целесообразно представить на вооружение ВВС как самолет, могущий заменить МБР требуемый современной системой вооружения - особенно же на театрах, где необходим легкий переход на колеса и лыжи. Данные сухопутного Р-5-М17 понизились незначительно.</w:t>
      </w:r>
    </w:p>
    <w:p w14:paraId="2E782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Произведенные испытания достаточны для принятия решения о пуске в серию.</w:t>
      </w:r>
    </w:p>
    <w:p w14:paraId="532B4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Доиспытания произвести на головном серийном самолете (3064,176-185).</w:t>
      </w:r>
    </w:p>
    <w:p w14:paraId="3DD2B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E1D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апреля 1932 года нарком по военным и морским делам и председатель Революционного военного совета Ворошилов писал письмо № 115сс председателю КО (оно же № 16212)</w:t>
      </w:r>
    </w:p>
    <w:p w14:paraId="6A2AD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Представляемый при сем план опытного моторо- и самолетостроения на 1932-34 гг. утвержден Революционным военным советом 4 апреля 1932 года.</w:t>
      </w:r>
    </w:p>
    <w:p w14:paraId="08205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самые объекты плана, так и сроки их предъявления согласованы с исполнителями, за исключением приводимых ниже 4-х типов самолетов. Основным и решающим звеном плана является строительство опытных моторов. Мотор в основном предопределяет летно-тактичнские данные самолета, техническую безопасность и надежность его действий, являясь, таким образом, необходимой предпосылкой для осуществления в опытном самолетостроении лозунга: «догнать и перегнать».</w:t>
      </w:r>
    </w:p>
    <w:p w14:paraId="5C904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Важнейшими, решающими вопросами плана являются:</w:t>
      </w:r>
    </w:p>
    <w:p w14:paraId="253161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Высотность мотора, т.е. сохранение полной мощности до 5000 м и выше, что достигается путем установки особого приспособления для подачи добавочного воздуха (импеллер, нагнетатель, наддув).</w:t>
      </w:r>
    </w:p>
    <w:p w14:paraId="72849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Надежность работы мотора, т.е. увеличение безотказной работы до 300-500 часов без всяких неполадок и замены частей, перечисток и переборок, ибо без этого нельзя говорить о создании авиации дальнего действия.</w:t>
      </w:r>
    </w:p>
    <w:p w14:paraId="63FA1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Мощность, т.е. увеличение количества лошадиных сил с 500-600 до 1000-1200, а для тяжелых самолетов – до 1500-2000.</w:t>
      </w:r>
    </w:p>
    <w:p w14:paraId="0B79E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Оборотность, т.е. уменьшение оборотов винта против оборотов коленчатого вала мотора, путем установки особого приспособления (редуктора).</w:t>
      </w:r>
    </w:p>
    <w:p w14:paraId="5F350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Первоочередными работами по моторам являются:</w:t>
      </w:r>
    </w:p>
    <w:p w14:paraId="0FEEC41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мотору М-34.</w:t>
      </w:r>
    </w:p>
    <w:p w14:paraId="55E461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Снабжение мотора М-34 750-900 л.с. нагнетателем, обеспечивающим сохранение неизменной мощности мотора до высоты 5000 м.</w:t>
      </w:r>
    </w:p>
    <w:p w14:paraId="35869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Снабжение мотора М-34 редуктором, уменьшающим число оборотов винта и тем значительно (на 10-15%) увеличивающим его коэффициент полезного действия.</w:t>
      </w:r>
    </w:p>
    <w:p w14:paraId="0871C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Постройка электронного картера для мотора М-34.</w:t>
      </w:r>
    </w:p>
    <w:p w14:paraId="106415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работы по мотору М-34 превратят его в вполне современный авиационный мотор и обеспечат двухместным и многоместным истребителям, разведчикам и средним бомбовозам (ТБ3) необходимые им высокие летные данные.</w:t>
      </w:r>
    </w:p>
    <w:p w14:paraId="6A95D9D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 опытных моторов: М38 мощностью 600 л.с. воздушного охлаждения и М-32, мощностью также 600 л.с. водяного охлаждения.</w:t>
      </w:r>
    </w:p>
    <w:p w14:paraId="11D33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исключительной нашей отсталостью по моторам для истребительной авиации, выполнение этой задачи является наиболее срочным. Оба мотора предназначены для одноместных истребителей. До сего времени наша истребительная авиация пользуется моторами М-22 и М-17, почему значительно уступает по своим летным данным новейшим иностранным истребителем.</w:t>
      </w:r>
    </w:p>
    <w:p w14:paraId="6E7D9EA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нефтяным моторам.</w:t>
      </w:r>
    </w:p>
    <w:p w14:paraId="643BC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Переход на нефтяные моторы дает значительную экономическую выгоду (70% хозяйственной экономии) и кроме того, нефтяные моторы расходуют на 15-20% меньше горючего, чем бензиновые и являются исключительно выгодными при установке их на тяжелые и сверхтяжелые бомбовозы, повышая их радиус действия.</w:t>
      </w:r>
    </w:p>
    <w:p w14:paraId="63A0D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Важность работы по нефтяным моторам вызывает необходимость развития ОКБ ОГПУ, обладающего кадром крупнейших специалистов, в мощное, снабженное собственной производственной базой, КБ по нефтяным моторам.</w:t>
      </w:r>
    </w:p>
    <w:p w14:paraId="2D91EF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По самолетам.</w:t>
      </w:r>
    </w:p>
    <w:p w14:paraId="529C90C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Окончание постройки самолета ТБ4-6М34. Этот самолет является в настоящее время самым большим в мире тяжелым сухопутным бомбардировщиком и обеспечивает на ближайший период времени необходимые дальности действия и бомбовую нагрузку.</w:t>
      </w:r>
    </w:p>
    <w:p w14:paraId="5B6A24D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Окончание постройки многоместного истребителя МИ3-2М34, постройки нового двухместного истребителя, совмещающего назначение легкого разведчика и бомбовоза ДИ6-М34 и постройки двух новых типов одноместных истребителей И13-М32 и И14-М38.</w:t>
      </w:r>
    </w:p>
    <w:p w14:paraId="12150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Эти самолеты должны поднять нашу истребительную авиацию на уровень современных иностранных истребителей.</w:t>
      </w:r>
    </w:p>
    <w:p w14:paraId="4C1D3DB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морского крейсера МК1-4М34.</w:t>
      </w:r>
    </w:p>
    <w:p w14:paraId="18D4A1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Исключительно медленное развитие и отставание наших морских самолетов вызывает необходимость установления связи с крупной германской гидросамолетной фирмой Рорбах для использования в порядке технической помощи ее богатого опыта. Точно также крайне медленное развитие экспериментальных конструкций новых летательных аппаратов вызывает необходимость выделения из ЦКБ ЦАГИ Бюро особых конструкций в самостоятельное КБ по проектированию и постройке экспериментальных летательных аппаратов.</w:t>
      </w:r>
    </w:p>
    <w:p w14:paraId="304CD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Разногласия между представленным планом и Глававиапромом остались по следующим 4-м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685"/>
      </w:tblGrid>
      <w:tr w:rsidR="00DA227A" w:rsidRPr="00E93F40" w14:paraId="0C5314A6" w14:textId="77777777">
        <w:tc>
          <w:tcPr>
            <w:tcW w:w="3369" w:type="dxa"/>
          </w:tcPr>
          <w:p w14:paraId="0E077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Марка самолета </w:t>
            </w:r>
          </w:p>
        </w:tc>
        <w:tc>
          <w:tcPr>
            <w:tcW w:w="3402" w:type="dxa"/>
          </w:tcPr>
          <w:p w14:paraId="4FEAC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 испытания по плану</w:t>
            </w:r>
          </w:p>
        </w:tc>
        <w:tc>
          <w:tcPr>
            <w:tcW w:w="3685" w:type="dxa"/>
          </w:tcPr>
          <w:p w14:paraId="7D99B2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предлагаемый Глававиапромом</w:t>
            </w:r>
          </w:p>
        </w:tc>
      </w:tr>
      <w:tr w:rsidR="00DA227A" w:rsidRPr="00E93F40" w14:paraId="3B1547AB" w14:textId="77777777">
        <w:tc>
          <w:tcPr>
            <w:tcW w:w="3369" w:type="dxa"/>
          </w:tcPr>
          <w:p w14:paraId="6A4BD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w:t>
            </w:r>
          </w:p>
        </w:tc>
        <w:tc>
          <w:tcPr>
            <w:tcW w:w="3402" w:type="dxa"/>
          </w:tcPr>
          <w:p w14:paraId="7BCCD7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c>
          <w:tcPr>
            <w:tcW w:w="3685" w:type="dxa"/>
          </w:tcPr>
          <w:p w14:paraId="7C82A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w:t>
            </w:r>
          </w:p>
        </w:tc>
      </w:tr>
      <w:tr w:rsidR="00DA227A" w:rsidRPr="00E93F40" w14:paraId="6E0B0062" w14:textId="77777777">
        <w:tc>
          <w:tcPr>
            <w:tcW w:w="3369" w:type="dxa"/>
          </w:tcPr>
          <w:p w14:paraId="3A6B4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К1-2М34</w:t>
            </w:r>
          </w:p>
        </w:tc>
        <w:tc>
          <w:tcPr>
            <w:tcW w:w="3402" w:type="dxa"/>
          </w:tcPr>
          <w:p w14:paraId="41CE1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c>
          <w:tcPr>
            <w:tcW w:w="3685" w:type="dxa"/>
          </w:tcPr>
          <w:p w14:paraId="19766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1934 года</w:t>
            </w:r>
          </w:p>
        </w:tc>
      </w:tr>
      <w:tr w:rsidR="00DA227A" w:rsidRPr="00E93F40" w14:paraId="04BE60DE" w14:textId="77777777">
        <w:tc>
          <w:tcPr>
            <w:tcW w:w="3369" w:type="dxa"/>
          </w:tcPr>
          <w:p w14:paraId="371AAE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МТБ3-М34 или М35</w:t>
            </w:r>
          </w:p>
        </w:tc>
        <w:tc>
          <w:tcPr>
            <w:tcW w:w="3402" w:type="dxa"/>
          </w:tcPr>
          <w:p w14:paraId="15A38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1934 года</w:t>
            </w:r>
          </w:p>
        </w:tc>
        <w:tc>
          <w:tcPr>
            <w:tcW w:w="3685" w:type="dxa"/>
          </w:tcPr>
          <w:p w14:paraId="3D5519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1934 года</w:t>
            </w:r>
          </w:p>
        </w:tc>
      </w:tr>
      <w:tr w:rsidR="00DA227A" w:rsidRPr="00E93F40" w14:paraId="345BC2D8" w14:textId="77777777">
        <w:tc>
          <w:tcPr>
            <w:tcW w:w="3369" w:type="dxa"/>
          </w:tcPr>
          <w:p w14:paraId="1696E3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П3-М52</w:t>
            </w:r>
          </w:p>
        </w:tc>
        <w:tc>
          <w:tcPr>
            <w:tcW w:w="3402" w:type="dxa"/>
          </w:tcPr>
          <w:p w14:paraId="35A021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w:t>
            </w:r>
          </w:p>
        </w:tc>
        <w:tc>
          <w:tcPr>
            <w:tcW w:w="3685" w:type="dxa"/>
          </w:tcPr>
          <w:p w14:paraId="5B3C53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Глававиапромом не принят</w:t>
            </w:r>
          </w:p>
        </w:tc>
      </w:tr>
    </w:tbl>
    <w:p w14:paraId="3F4EA9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вышеуказанным причинам сроки выпуска истребительного самолета МИ3-2М34 и морского тяжелого бомбардировщика МТБ3, установленные в плане, являются крайними и не могут быть сдвинуты без ущерба для развития ВВС. Также не могут быть сдвинуты сроки выпуска самолета типа крейсера К1-2М34. Переходный самолет П3-М52 является необходимейшим школьным самолетом взамен существующего до сих пор в школах самолета Р1-М5, снятого с производства со всех заводов.</w:t>
      </w:r>
    </w:p>
    <w:p w14:paraId="47CB0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утвердить представленный план (3530,10-13).</w:t>
      </w:r>
    </w:p>
    <w:p w14:paraId="52057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Комиссии обороны</w:t>
      </w:r>
    </w:p>
    <w:p w14:paraId="3740C76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Представленный Революционным военным советом План опытного строительства моторов и самолетов на 1932-34 гг. утвердить.</w:t>
      </w:r>
    </w:p>
    <w:p w14:paraId="4B2F3C0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Революционный военный совет:</w:t>
      </w:r>
    </w:p>
    <w:p w14:paraId="6E1E78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 моторам.</w:t>
      </w:r>
    </w:p>
    <w:p w14:paraId="21F1C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Всемерно форсировать конструирование, постройку и испытание опытных образцов моторов, особенно М34 с нагнетателем и редуктором, М38 и М32, предназначенных для установки на истребителях и авиадизелей, исходя из необходимости в 1933 году впустить в серийное производство по одному из типов истребительных моторов и авиадизелей, включенных в план опытного строительства.</w:t>
      </w:r>
    </w:p>
    <w:p w14:paraId="54C12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самолетам.</w:t>
      </w:r>
    </w:p>
    <w:p w14:paraId="10FD89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Основное внимание и усилия направлять на постройку одноместного истребителя И14, двухместного истребителя ДИ6, многоместного истребителя МИ3, тяжелого бомбардировщика ТБ4 и морского крейсера МК-1.</w:t>
      </w:r>
    </w:p>
    <w:p w14:paraId="699AD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w:t>
      </w:r>
    </w:p>
    <w:p w14:paraId="749BB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НКТяжпром в 1932 году сконцентрировать все усилия опытных учреждений на конструирование, постройку и испытание указанных в пункте 2-м опытных образцов моторов и самолетов, как основных и решающих.</w:t>
      </w:r>
    </w:p>
    <w:p w14:paraId="159C1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ОГПУ в 1932 году развернуть ОКБ в самостоятельный мощный институт по опытному строительству авиадизелей и авиатурбин, отпустив для строительства и оборудования этого института из резервного фонда необходимые средства, строительные материалы и оборудование.</w:t>
      </w:r>
    </w:p>
    <w:p w14:paraId="20DD87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Глававиапром в месячный срок выделить Бюро особых конструкций при ЦАГИ в самостоятельное конструкторское бюро по экспериментальным типам летательных аппаратов, укомплектовав руководящий состав этого бюро особо энергичными людьми.</w:t>
      </w:r>
    </w:p>
    <w:p w14:paraId="6D9E253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исключительной нашей осталости по строительству гидросамолетов, особенно лодочного типа, обязать НКТяжпром немедленно начать переговоры с германской фирмой Рорбах на предмет широкого использования и восприятия опыта этой фирмы в порядке технической помощи (3530,14-15)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1"/>
        <w:gridCol w:w="931"/>
        <w:gridCol w:w="850"/>
        <w:gridCol w:w="851"/>
        <w:gridCol w:w="850"/>
        <w:gridCol w:w="851"/>
        <w:gridCol w:w="850"/>
        <w:gridCol w:w="1843"/>
        <w:gridCol w:w="1276"/>
      </w:tblGrid>
      <w:tr w:rsidR="00DA227A" w:rsidRPr="00E93F40" w14:paraId="556C5AE1" w14:textId="77777777">
        <w:tc>
          <w:tcPr>
            <w:tcW w:w="1871" w:type="dxa"/>
          </w:tcPr>
          <w:p w14:paraId="67069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Марка мотора</w:t>
            </w:r>
          </w:p>
        </w:tc>
        <w:tc>
          <w:tcPr>
            <w:tcW w:w="931" w:type="dxa"/>
          </w:tcPr>
          <w:p w14:paraId="03FD4C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850" w:type="dxa"/>
          </w:tcPr>
          <w:p w14:paraId="276DD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851" w:type="dxa"/>
          </w:tcPr>
          <w:p w14:paraId="3C013C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850" w:type="dxa"/>
          </w:tcPr>
          <w:p w14:paraId="1676C9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851" w:type="dxa"/>
          </w:tcPr>
          <w:p w14:paraId="661779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Расход горючего</w:t>
            </w:r>
          </w:p>
        </w:tc>
        <w:tc>
          <w:tcPr>
            <w:tcW w:w="850" w:type="dxa"/>
          </w:tcPr>
          <w:p w14:paraId="2DA2F4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час. между переборками</w:t>
            </w:r>
          </w:p>
        </w:tc>
        <w:tc>
          <w:tcPr>
            <w:tcW w:w="1843" w:type="dxa"/>
          </w:tcPr>
          <w:p w14:paraId="5F88D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выхода на государственные и заводские испытания</w:t>
            </w:r>
          </w:p>
        </w:tc>
        <w:tc>
          <w:tcPr>
            <w:tcW w:w="1276" w:type="dxa"/>
          </w:tcPr>
          <w:p w14:paraId="1FE5F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Исполнитель</w:t>
            </w:r>
          </w:p>
        </w:tc>
      </w:tr>
      <w:tr w:rsidR="00DA227A" w:rsidRPr="00E93F40" w14:paraId="22297CA8" w14:textId="77777777">
        <w:tc>
          <w:tcPr>
            <w:tcW w:w="1871" w:type="dxa"/>
          </w:tcPr>
          <w:p w14:paraId="38E75F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Бензиновые моторы.</w:t>
            </w:r>
          </w:p>
        </w:tc>
        <w:tc>
          <w:tcPr>
            <w:tcW w:w="931" w:type="dxa"/>
          </w:tcPr>
          <w:p w14:paraId="1F3D06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378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78C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BA975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4B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98FF6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302C0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B9C9C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DECB01" w14:textId="77777777">
        <w:tc>
          <w:tcPr>
            <w:tcW w:w="1871" w:type="dxa"/>
          </w:tcPr>
          <w:p w14:paraId="2C9FEC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ФЭД (с нагнетателем)</w:t>
            </w:r>
          </w:p>
        </w:tc>
        <w:tc>
          <w:tcPr>
            <w:tcW w:w="931" w:type="dxa"/>
          </w:tcPr>
          <w:p w14:paraId="0E5248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5A5B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1100-1200</w:t>
            </w:r>
          </w:p>
        </w:tc>
        <w:tc>
          <w:tcPr>
            <w:tcW w:w="851" w:type="dxa"/>
          </w:tcPr>
          <w:p w14:paraId="41024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850" w:type="dxa"/>
          </w:tcPr>
          <w:p w14:paraId="1011BF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851" w:type="dxa"/>
          </w:tcPr>
          <w:p w14:paraId="13DAF2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51A141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843" w:type="dxa"/>
          </w:tcPr>
          <w:p w14:paraId="3268B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 – государственные</w:t>
            </w:r>
          </w:p>
        </w:tc>
        <w:tc>
          <w:tcPr>
            <w:tcW w:w="1276" w:type="dxa"/>
          </w:tcPr>
          <w:p w14:paraId="778B9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r>
      <w:tr w:rsidR="00DA227A" w:rsidRPr="00E93F40" w14:paraId="45EC6A1E" w14:textId="77777777">
        <w:tc>
          <w:tcPr>
            <w:tcW w:w="1871" w:type="dxa"/>
          </w:tcPr>
          <w:p w14:paraId="3E1EC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 (с нагнетателем)</w:t>
            </w:r>
          </w:p>
        </w:tc>
        <w:tc>
          <w:tcPr>
            <w:tcW w:w="931" w:type="dxa"/>
          </w:tcPr>
          <w:p w14:paraId="3DF2F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2BEFB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25C92F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324148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0D8484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2FEC0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843" w:type="dxa"/>
          </w:tcPr>
          <w:p w14:paraId="0CCFF7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года – государственные</w:t>
            </w:r>
          </w:p>
        </w:tc>
        <w:tc>
          <w:tcPr>
            <w:tcW w:w="1276" w:type="dxa"/>
          </w:tcPr>
          <w:p w14:paraId="21549B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6ED10467" w14:textId="77777777">
        <w:tc>
          <w:tcPr>
            <w:tcW w:w="1871" w:type="dxa"/>
          </w:tcPr>
          <w:p w14:paraId="19AFC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 (с редуктором)</w:t>
            </w:r>
          </w:p>
        </w:tc>
        <w:tc>
          <w:tcPr>
            <w:tcW w:w="931" w:type="dxa"/>
          </w:tcPr>
          <w:p w14:paraId="082E2F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6EF1ED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524121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27A15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74304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w:t>
            </w:r>
          </w:p>
        </w:tc>
        <w:tc>
          <w:tcPr>
            <w:tcW w:w="850" w:type="dxa"/>
          </w:tcPr>
          <w:p w14:paraId="7A6A2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843" w:type="dxa"/>
          </w:tcPr>
          <w:p w14:paraId="55D653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сентября 1932 года – заводские</w:t>
            </w:r>
          </w:p>
        </w:tc>
        <w:tc>
          <w:tcPr>
            <w:tcW w:w="1276" w:type="dxa"/>
          </w:tcPr>
          <w:p w14:paraId="1A52A0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5BFA24DD" w14:textId="77777777">
        <w:tc>
          <w:tcPr>
            <w:tcW w:w="1871" w:type="dxa"/>
          </w:tcPr>
          <w:p w14:paraId="63A2C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 (с электр. кар.)</w:t>
            </w:r>
          </w:p>
        </w:tc>
        <w:tc>
          <w:tcPr>
            <w:tcW w:w="931" w:type="dxa"/>
          </w:tcPr>
          <w:p w14:paraId="778DC4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14B221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10B2D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37140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w:t>
            </w:r>
          </w:p>
        </w:tc>
        <w:tc>
          <w:tcPr>
            <w:tcW w:w="851" w:type="dxa"/>
          </w:tcPr>
          <w:p w14:paraId="17889F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6F4F26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843" w:type="dxa"/>
          </w:tcPr>
          <w:p w14:paraId="4A854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 государственные</w:t>
            </w:r>
          </w:p>
        </w:tc>
        <w:tc>
          <w:tcPr>
            <w:tcW w:w="1276" w:type="dxa"/>
          </w:tcPr>
          <w:p w14:paraId="76E8C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2C22A6E2" w14:textId="77777777">
        <w:tc>
          <w:tcPr>
            <w:tcW w:w="1871" w:type="dxa"/>
          </w:tcPr>
          <w:p w14:paraId="26650E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 (с реверсом)</w:t>
            </w:r>
          </w:p>
        </w:tc>
        <w:tc>
          <w:tcPr>
            <w:tcW w:w="931" w:type="dxa"/>
          </w:tcPr>
          <w:p w14:paraId="0DEAF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9CBEE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6F897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08CF00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w:t>
            </w:r>
          </w:p>
        </w:tc>
        <w:tc>
          <w:tcPr>
            <w:tcW w:w="851" w:type="dxa"/>
          </w:tcPr>
          <w:p w14:paraId="08580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34C61C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843" w:type="dxa"/>
          </w:tcPr>
          <w:p w14:paraId="2F341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 – государственные</w:t>
            </w:r>
          </w:p>
        </w:tc>
        <w:tc>
          <w:tcPr>
            <w:tcW w:w="1276" w:type="dxa"/>
          </w:tcPr>
          <w:p w14:paraId="7BDB6E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4E774912" w14:textId="77777777">
        <w:tc>
          <w:tcPr>
            <w:tcW w:w="1871" w:type="dxa"/>
          </w:tcPr>
          <w:p w14:paraId="486907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(с нагнетателем)</w:t>
            </w:r>
          </w:p>
        </w:tc>
        <w:tc>
          <w:tcPr>
            <w:tcW w:w="931" w:type="dxa"/>
          </w:tcPr>
          <w:p w14:paraId="0043B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41E2C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3346A4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3823A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851" w:type="dxa"/>
          </w:tcPr>
          <w:p w14:paraId="4A4D86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1B38D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843" w:type="dxa"/>
          </w:tcPr>
          <w:p w14:paraId="6F19F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 – государственные</w:t>
            </w:r>
          </w:p>
        </w:tc>
        <w:tc>
          <w:tcPr>
            <w:tcW w:w="1276" w:type="dxa"/>
          </w:tcPr>
          <w:p w14:paraId="5353BC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72A99666" w14:textId="77777777">
        <w:tc>
          <w:tcPr>
            <w:tcW w:w="1871" w:type="dxa"/>
          </w:tcPr>
          <w:p w14:paraId="513B0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(с нагнетателем и редуктором)</w:t>
            </w:r>
          </w:p>
        </w:tc>
        <w:tc>
          <w:tcPr>
            <w:tcW w:w="931" w:type="dxa"/>
          </w:tcPr>
          <w:p w14:paraId="612DB2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31214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65B5FA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114761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430</w:t>
            </w:r>
          </w:p>
        </w:tc>
        <w:tc>
          <w:tcPr>
            <w:tcW w:w="851" w:type="dxa"/>
          </w:tcPr>
          <w:p w14:paraId="7A611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7A8AB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843" w:type="dxa"/>
          </w:tcPr>
          <w:p w14:paraId="37AFD2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 – заводские</w:t>
            </w:r>
          </w:p>
        </w:tc>
        <w:tc>
          <w:tcPr>
            <w:tcW w:w="1276" w:type="dxa"/>
          </w:tcPr>
          <w:p w14:paraId="6F2ED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53661F5A" w14:textId="77777777">
        <w:tc>
          <w:tcPr>
            <w:tcW w:w="1871" w:type="dxa"/>
          </w:tcPr>
          <w:p w14:paraId="6EFBB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М35 (с нагнетателем и редуктором)</w:t>
            </w:r>
          </w:p>
        </w:tc>
        <w:tc>
          <w:tcPr>
            <w:tcW w:w="931" w:type="dxa"/>
          </w:tcPr>
          <w:p w14:paraId="4AE18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4A2BE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1500-1800</w:t>
            </w:r>
          </w:p>
        </w:tc>
        <w:tc>
          <w:tcPr>
            <w:tcW w:w="851" w:type="dxa"/>
          </w:tcPr>
          <w:p w14:paraId="124123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680567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851" w:type="dxa"/>
          </w:tcPr>
          <w:p w14:paraId="326CD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13DF27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843" w:type="dxa"/>
          </w:tcPr>
          <w:p w14:paraId="72F2F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1933 года – заводские</w:t>
            </w:r>
          </w:p>
        </w:tc>
        <w:tc>
          <w:tcPr>
            <w:tcW w:w="1276" w:type="dxa"/>
          </w:tcPr>
          <w:p w14:paraId="6D683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6090E0C" w14:textId="77777777">
        <w:tc>
          <w:tcPr>
            <w:tcW w:w="1871" w:type="dxa"/>
          </w:tcPr>
          <w:p w14:paraId="0FCDB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 (с нагнетателем и редуктором)</w:t>
            </w:r>
          </w:p>
        </w:tc>
        <w:tc>
          <w:tcPr>
            <w:tcW w:w="931" w:type="dxa"/>
          </w:tcPr>
          <w:p w14:paraId="60F78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12FDD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2E4721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79D63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851" w:type="dxa"/>
          </w:tcPr>
          <w:p w14:paraId="29CDAE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52A105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843" w:type="dxa"/>
          </w:tcPr>
          <w:p w14:paraId="066BB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Октябрь 1932 года – государственные</w:t>
            </w:r>
          </w:p>
        </w:tc>
        <w:tc>
          <w:tcPr>
            <w:tcW w:w="1276" w:type="dxa"/>
          </w:tcPr>
          <w:p w14:paraId="6E8F9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6FFAF80B" w14:textId="77777777">
        <w:tc>
          <w:tcPr>
            <w:tcW w:w="1871" w:type="dxa"/>
          </w:tcPr>
          <w:p w14:paraId="746CB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М44 (с нагнетателем)</w:t>
            </w:r>
          </w:p>
        </w:tc>
        <w:tc>
          <w:tcPr>
            <w:tcW w:w="931" w:type="dxa"/>
          </w:tcPr>
          <w:p w14:paraId="09185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517A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51" w:type="dxa"/>
          </w:tcPr>
          <w:p w14:paraId="786CA7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50" w:type="dxa"/>
          </w:tcPr>
          <w:p w14:paraId="7B56F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51" w:type="dxa"/>
          </w:tcPr>
          <w:p w14:paraId="52F5DC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3D115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843" w:type="dxa"/>
          </w:tcPr>
          <w:p w14:paraId="5CED6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1933 года – заводские</w:t>
            </w:r>
          </w:p>
        </w:tc>
        <w:tc>
          <w:tcPr>
            <w:tcW w:w="1276" w:type="dxa"/>
          </w:tcPr>
          <w:p w14:paraId="1AB01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32ED41BD" w14:textId="77777777">
        <w:tc>
          <w:tcPr>
            <w:tcW w:w="1871" w:type="dxa"/>
          </w:tcPr>
          <w:p w14:paraId="0A0AAD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w:t>
            </w:r>
          </w:p>
        </w:tc>
        <w:tc>
          <w:tcPr>
            <w:tcW w:w="931" w:type="dxa"/>
          </w:tcPr>
          <w:p w14:paraId="56BCD8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25C93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350-400</w:t>
            </w:r>
          </w:p>
        </w:tc>
        <w:tc>
          <w:tcPr>
            <w:tcW w:w="851" w:type="dxa"/>
          </w:tcPr>
          <w:p w14:paraId="344DE8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2BD50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51" w:type="dxa"/>
          </w:tcPr>
          <w:p w14:paraId="26315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w:t>
            </w:r>
          </w:p>
        </w:tc>
        <w:tc>
          <w:tcPr>
            <w:tcW w:w="850" w:type="dxa"/>
          </w:tcPr>
          <w:p w14:paraId="4EA2AC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843" w:type="dxa"/>
          </w:tcPr>
          <w:p w14:paraId="51BF0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 – государственные</w:t>
            </w:r>
          </w:p>
        </w:tc>
        <w:tc>
          <w:tcPr>
            <w:tcW w:w="1276" w:type="dxa"/>
          </w:tcPr>
          <w:p w14:paraId="27F66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3AC94770" w14:textId="77777777">
        <w:tc>
          <w:tcPr>
            <w:tcW w:w="1871" w:type="dxa"/>
          </w:tcPr>
          <w:p w14:paraId="52FFB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М54 (форсированный М34)</w:t>
            </w:r>
          </w:p>
        </w:tc>
        <w:tc>
          <w:tcPr>
            <w:tcW w:w="931" w:type="dxa"/>
          </w:tcPr>
          <w:p w14:paraId="373E83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744A0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851" w:type="dxa"/>
          </w:tcPr>
          <w:p w14:paraId="580A8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27949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0B46F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3C3FBB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843" w:type="dxa"/>
          </w:tcPr>
          <w:p w14:paraId="7402C8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w:t>
            </w:r>
          </w:p>
        </w:tc>
        <w:tc>
          <w:tcPr>
            <w:tcW w:w="1276" w:type="dxa"/>
          </w:tcPr>
          <w:p w14:paraId="29C662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5C5243DF" w14:textId="77777777">
        <w:tc>
          <w:tcPr>
            <w:tcW w:w="1871" w:type="dxa"/>
          </w:tcPr>
          <w:p w14:paraId="56C65B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М55 (перевернутый М34)</w:t>
            </w:r>
          </w:p>
        </w:tc>
        <w:tc>
          <w:tcPr>
            <w:tcW w:w="931" w:type="dxa"/>
          </w:tcPr>
          <w:p w14:paraId="12C124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169302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20D63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551F5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2E611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5D4806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150 </w:t>
            </w:r>
          </w:p>
        </w:tc>
        <w:tc>
          <w:tcPr>
            <w:tcW w:w="1843" w:type="dxa"/>
          </w:tcPr>
          <w:p w14:paraId="2F201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Август-октябрь 1933 года – заводские</w:t>
            </w:r>
          </w:p>
        </w:tc>
        <w:tc>
          <w:tcPr>
            <w:tcW w:w="1276" w:type="dxa"/>
          </w:tcPr>
          <w:p w14:paraId="7CE79B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3AC44A98" w14:textId="77777777">
        <w:tc>
          <w:tcPr>
            <w:tcW w:w="1871" w:type="dxa"/>
          </w:tcPr>
          <w:p w14:paraId="5B02A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М48</w:t>
            </w:r>
          </w:p>
        </w:tc>
        <w:tc>
          <w:tcPr>
            <w:tcW w:w="931" w:type="dxa"/>
          </w:tcPr>
          <w:p w14:paraId="0FEDB7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2D990B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w:t>
            </w:r>
          </w:p>
        </w:tc>
        <w:tc>
          <w:tcPr>
            <w:tcW w:w="851" w:type="dxa"/>
          </w:tcPr>
          <w:p w14:paraId="635CB7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76F0D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851" w:type="dxa"/>
          </w:tcPr>
          <w:p w14:paraId="11502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4AEF7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843" w:type="dxa"/>
          </w:tcPr>
          <w:p w14:paraId="60110F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августа 1932 года </w:t>
            </w:r>
          </w:p>
        </w:tc>
        <w:tc>
          <w:tcPr>
            <w:tcW w:w="1276" w:type="dxa"/>
          </w:tcPr>
          <w:p w14:paraId="09952B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29</w:t>
            </w:r>
          </w:p>
        </w:tc>
      </w:tr>
      <w:tr w:rsidR="00DA227A" w:rsidRPr="00E93F40" w14:paraId="0E8DBCC7" w14:textId="77777777">
        <w:tc>
          <w:tcPr>
            <w:tcW w:w="1871" w:type="dxa"/>
          </w:tcPr>
          <w:p w14:paraId="176E7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Нефтяные моторы.</w:t>
            </w:r>
          </w:p>
        </w:tc>
        <w:tc>
          <w:tcPr>
            <w:tcW w:w="931" w:type="dxa"/>
          </w:tcPr>
          <w:p w14:paraId="038A40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9D6C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B9C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8A2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32B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7AAC7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DB5F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9702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2431E5" w14:textId="77777777">
        <w:tc>
          <w:tcPr>
            <w:tcW w:w="1871" w:type="dxa"/>
          </w:tcPr>
          <w:p w14:paraId="6E8FCF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 (четырехтактный)</w:t>
            </w:r>
          </w:p>
        </w:tc>
        <w:tc>
          <w:tcPr>
            <w:tcW w:w="931" w:type="dxa"/>
          </w:tcPr>
          <w:p w14:paraId="1E0AA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19F93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08D125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5A8DCB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c>
          <w:tcPr>
            <w:tcW w:w="851" w:type="dxa"/>
          </w:tcPr>
          <w:p w14:paraId="0CC4F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7C7226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843" w:type="dxa"/>
          </w:tcPr>
          <w:p w14:paraId="4239C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марта 1933 года –государственные </w:t>
            </w:r>
          </w:p>
        </w:tc>
        <w:tc>
          <w:tcPr>
            <w:tcW w:w="1276" w:type="dxa"/>
          </w:tcPr>
          <w:p w14:paraId="3E5A3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BA3B702" w14:textId="77777777">
        <w:tc>
          <w:tcPr>
            <w:tcW w:w="1871" w:type="dxa"/>
          </w:tcPr>
          <w:p w14:paraId="329AE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Н2 (четырехтактный)</w:t>
            </w:r>
          </w:p>
        </w:tc>
        <w:tc>
          <w:tcPr>
            <w:tcW w:w="931" w:type="dxa"/>
          </w:tcPr>
          <w:p w14:paraId="7ADD02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BB997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51" w:type="dxa"/>
          </w:tcPr>
          <w:p w14:paraId="69EE38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72EF8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851" w:type="dxa"/>
          </w:tcPr>
          <w:p w14:paraId="6B3F0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6C1B6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843" w:type="dxa"/>
          </w:tcPr>
          <w:p w14:paraId="71D41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 –государственные</w:t>
            </w:r>
          </w:p>
        </w:tc>
        <w:tc>
          <w:tcPr>
            <w:tcW w:w="1276" w:type="dxa"/>
          </w:tcPr>
          <w:p w14:paraId="718F2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ВНИДИ</w:t>
            </w:r>
          </w:p>
        </w:tc>
      </w:tr>
      <w:tr w:rsidR="00DA227A" w:rsidRPr="00E93F40" w14:paraId="5EF0C11F" w14:textId="77777777">
        <w:tc>
          <w:tcPr>
            <w:tcW w:w="1871" w:type="dxa"/>
          </w:tcPr>
          <w:p w14:paraId="72B08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 (четырехтактный)</w:t>
            </w:r>
          </w:p>
        </w:tc>
        <w:tc>
          <w:tcPr>
            <w:tcW w:w="931" w:type="dxa"/>
          </w:tcPr>
          <w:p w14:paraId="78DD7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63CECA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0F4BBD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67A7B0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851" w:type="dxa"/>
          </w:tcPr>
          <w:p w14:paraId="272B8C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4CB033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843" w:type="dxa"/>
          </w:tcPr>
          <w:p w14:paraId="1EC74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 –государственные</w:t>
            </w:r>
          </w:p>
        </w:tc>
        <w:tc>
          <w:tcPr>
            <w:tcW w:w="1276" w:type="dxa"/>
          </w:tcPr>
          <w:p w14:paraId="5E2F7D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УкрИДВС</w:t>
            </w:r>
          </w:p>
        </w:tc>
      </w:tr>
      <w:tr w:rsidR="00DA227A" w:rsidRPr="00E93F40" w14:paraId="04D55708" w14:textId="77777777">
        <w:tc>
          <w:tcPr>
            <w:tcW w:w="1871" w:type="dxa"/>
          </w:tcPr>
          <w:p w14:paraId="552DAA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Н4 (двухтактный)</w:t>
            </w:r>
          </w:p>
        </w:tc>
        <w:tc>
          <w:tcPr>
            <w:tcW w:w="931" w:type="dxa"/>
          </w:tcPr>
          <w:p w14:paraId="5400A9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3878C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500-600</w:t>
            </w:r>
          </w:p>
        </w:tc>
        <w:tc>
          <w:tcPr>
            <w:tcW w:w="851" w:type="dxa"/>
          </w:tcPr>
          <w:p w14:paraId="0D2D5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1E64F1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500-600</w:t>
            </w:r>
          </w:p>
        </w:tc>
        <w:tc>
          <w:tcPr>
            <w:tcW w:w="851" w:type="dxa"/>
          </w:tcPr>
          <w:p w14:paraId="21960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14964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843" w:type="dxa"/>
          </w:tcPr>
          <w:p w14:paraId="63EA1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 –государственные</w:t>
            </w:r>
          </w:p>
        </w:tc>
        <w:tc>
          <w:tcPr>
            <w:tcW w:w="1276" w:type="dxa"/>
          </w:tcPr>
          <w:p w14:paraId="25F6B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w:t>
            </w:r>
          </w:p>
        </w:tc>
      </w:tr>
      <w:tr w:rsidR="00DA227A" w:rsidRPr="00E93F40" w14:paraId="6B24E618" w14:textId="77777777">
        <w:tc>
          <w:tcPr>
            <w:tcW w:w="1871" w:type="dxa"/>
          </w:tcPr>
          <w:p w14:paraId="07787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Н5 (двухтактный)</w:t>
            </w:r>
          </w:p>
        </w:tc>
        <w:tc>
          <w:tcPr>
            <w:tcW w:w="931" w:type="dxa"/>
          </w:tcPr>
          <w:p w14:paraId="347B8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19B38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51" w:type="dxa"/>
          </w:tcPr>
          <w:p w14:paraId="3AC6F8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7E3B2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51" w:type="dxa"/>
          </w:tcPr>
          <w:p w14:paraId="3DF8F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12604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843" w:type="dxa"/>
          </w:tcPr>
          <w:p w14:paraId="13DAF8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 заводские</w:t>
            </w:r>
          </w:p>
        </w:tc>
        <w:tc>
          <w:tcPr>
            <w:tcW w:w="1276" w:type="dxa"/>
          </w:tcPr>
          <w:p w14:paraId="527199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r>
      <w:tr w:rsidR="00DA227A" w:rsidRPr="00E93F40" w14:paraId="479F6E1E" w14:textId="77777777">
        <w:tc>
          <w:tcPr>
            <w:tcW w:w="1871" w:type="dxa"/>
          </w:tcPr>
          <w:p w14:paraId="019C04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Н6 (двухтактный)</w:t>
            </w:r>
          </w:p>
        </w:tc>
        <w:tc>
          <w:tcPr>
            <w:tcW w:w="931" w:type="dxa"/>
          </w:tcPr>
          <w:p w14:paraId="59583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28A24A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751B7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3976CA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w:t>
            </w:r>
          </w:p>
        </w:tc>
        <w:tc>
          <w:tcPr>
            <w:tcW w:w="851" w:type="dxa"/>
          </w:tcPr>
          <w:p w14:paraId="1D462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180-200</w:t>
            </w:r>
          </w:p>
        </w:tc>
        <w:tc>
          <w:tcPr>
            <w:tcW w:w="850" w:type="dxa"/>
          </w:tcPr>
          <w:p w14:paraId="27B75F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843" w:type="dxa"/>
          </w:tcPr>
          <w:p w14:paraId="40D4A7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 – заводские</w:t>
            </w:r>
          </w:p>
        </w:tc>
        <w:tc>
          <w:tcPr>
            <w:tcW w:w="1276" w:type="dxa"/>
          </w:tcPr>
          <w:p w14:paraId="393BD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r>
    </w:tbl>
    <w:p w14:paraId="4A505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Экспериментальные двигатели и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030"/>
        <w:gridCol w:w="992"/>
        <w:gridCol w:w="1701"/>
        <w:gridCol w:w="2552"/>
      </w:tblGrid>
      <w:tr w:rsidR="00DA227A" w:rsidRPr="00E93F40" w14:paraId="6BAC1E10" w14:textId="77777777">
        <w:tc>
          <w:tcPr>
            <w:tcW w:w="1878" w:type="dxa"/>
          </w:tcPr>
          <w:p w14:paraId="07CF4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двигателя или агрегата</w:t>
            </w:r>
          </w:p>
        </w:tc>
        <w:tc>
          <w:tcPr>
            <w:tcW w:w="1878" w:type="dxa"/>
          </w:tcPr>
          <w:p w14:paraId="3582CF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1030" w:type="dxa"/>
          </w:tcPr>
          <w:p w14:paraId="766A5F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992" w:type="dxa"/>
          </w:tcPr>
          <w:p w14:paraId="69E0C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1701" w:type="dxa"/>
          </w:tcPr>
          <w:p w14:paraId="707FD1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выхода на госиспытания</w:t>
            </w:r>
          </w:p>
        </w:tc>
        <w:tc>
          <w:tcPr>
            <w:tcW w:w="2552" w:type="dxa"/>
          </w:tcPr>
          <w:p w14:paraId="728822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Исполнитель</w:t>
            </w:r>
          </w:p>
        </w:tc>
      </w:tr>
      <w:tr w:rsidR="00DA227A" w:rsidRPr="00E93F40" w14:paraId="291AC7F9" w14:textId="77777777">
        <w:tc>
          <w:tcPr>
            <w:tcW w:w="1878" w:type="dxa"/>
          </w:tcPr>
          <w:p w14:paraId="450A3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 переменного шага</w:t>
            </w:r>
          </w:p>
        </w:tc>
        <w:tc>
          <w:tcPr>
            <w:tcW w:w="1878" w:type="dxa"/>
          </w:tcPr>
          <w:p w14:paraId="339DAF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030" w:type="dxa"/>
          </w:tcPr>
          <w:p w14:paraId="4350A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92" w:type="dxa"/>
          </w:tcPr>
          <w:p w14:paraId="0885C3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Pr>
          <w:p w14:paraId="0E9B2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c>
          <w:tcPr>
            <w:tcW w:w="2552" w:type="dxa"/>
          </w:tcPr>
          <w:p w14:paraId="72079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45EF9DCB" w14:textId="77777777">
        <w:tc>
          <w:tcPr>
            <w:tcW w:w="1878" w:type="dxa"/>
          </w:tcPr>
          <w:p w14:paraId="037659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Газовая турбина</w:t>
            </w:r>
          </w:p>
        </w:tc>
        <w:tc>
          <w:tcPr>
            <w:tcW w:w="1878" w:type="dxa"/>
          </w:tcPr>
          <w:p w14:paraId="6E5CE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500-1000</w:t>
            </w:r>
          </w:p>
        </w:tc>
        <w:tc>
          <w:tcPr>
            <w:tcW w:w="1030" w:type="dxa"/>
          </w:tcPr>
          <w:p w14:paraId="7CEB89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6000-8000</w:t>
            </w:r>
          </w:p>
        </w:tc>
        <w:tc>
          <w:tcPr>
            <w:tcW w:w="992" w:type="dxa"/>
          </w:tcPr>
          <w:p w14:paraId="73119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400-800</w:t>
            </w:r>
          </w:p>
        </w:tc>
        <w:tc>
          <w:tcPr>
            <w:tcW w:w="1701" w:type="dxa"/>
          </w:tcPr>
          <w:p w14:paraId="0588E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c>
          <w:tcPr>
            <w:tcW w:w="2552" w:type="dxa"/>
          </w:tcPr>
          <w:p w14:paraId="711B7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Теплотехнический институт</w:t>
            </w:r>
          </w:p>
        </w:tc>
      </w:tr>
      <w:tr w:rsidR="00DA227A" w:rsidRPr="00E93F40" w14:paraId="7F1D7387" w14:textId="77777777">
        <w:tc>
          <w:tcPr>
            <w:tcW w:w="1878" w:type="dxa"/>
          </w:tcPr>
          <w:p w14:paraId="14853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Паровая турбина</w:t>
            </w:r>
          </w:p>
        </w:tc>
        <w:tc>
          <w:tcPr>
            <w:tcW w:w="1878" w:type="dxa"/>
          </w:tcPr>
          <w:p w14:paraId="56B7B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1030" w:type="dxa"/>
          </w:tcPr>
          <w:p w14:paraId="6204A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992" w:type="dxa"/>
          </w:tcPr>
          <w:p w14:paraId="676B4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1701" w:type="dxa"/>
          </w:tcPr>
          <w:p w14:paraId="19D219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2552" w:type="dxa"/>
          </w:tcPr>
          <w:p w14:paraId="2C276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НИИ ВОГВФ и ОКБ </w:t>
            </w:r>
          </w:p>
        </w:tc>
      </w:tr>
      <w:tr w:rsidR="00DA227A" w:rsidRPr="00E93F40" w14:paraId="4CEC308D" w14:textId="77777777">
        <w:tc>
          <w:tcPr>
            <w:tcW w:w="1878" w:type="dxa"/>
          </w:tcPr>
          <w:p w14:paraId="27E602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Бесклапан. двигатель</w:t>
            </w:r>
          </w:p>
        </w:tc>
        <w:tc>
          <w:tcPr>
            <w:tcW w:w="1878" w:type="dxa"/>
          </w:tcPr>
          <w:p w14:paraId="3DF3D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90/165</w:t>
            </w:r>
          </w:p>
        </w:tc>
        <w:tc>
          <w:tcPr>
            <w:tcW w:w="1030" w:type="dxa"/>
          </w:tcPr>
          <w:p w14:paraId="4F5C3D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20A5CF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Pr>
          <w:p w14:paraId="14045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c>
          <w:tcPr>
            <w:tcW w:w="2552" w:type="dxa"/>
          </w:tcPr>
          <w:p w14:paraId="052A90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ВВА – ИАМ</w:t>
            </w:r>
          </w:p>
        </w:tc>
      </w:tr>
      <w:tr w:rsidR="00DA227A" w:rsidRPr="00E93F40" w14:paraId="5A541CA0" w14:textId="77777777">
        <w:tc>
          <w:tcPr>
            <w:tcW w:w="1878" w:type="dxa"/>
          </w:tcPr>
          <w:p w14:paraId="1C0F7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двигатель</w:t>
            </w:r>
          </w:p>
        </w:tc>
        <w:tc>
          <w:tcPr>
            <w:tcW w:w="1878" w:type="dxa"/>
          </w:tcPr>
          <w:p w14:paraId="18DB3B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Исследовательская работа </w:t>
            </w:r>
          </w:p>
        </w:tc>
        <w:tc>
          <w:tcPr>
            <w:tcW w:w="1030" w:type="dxa"/>
          </w:tcPr>
          <w:p w14:paraId="2D93A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B75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C6B7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Pr>
          <w:p w14:paraId="416BA9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650FEE" w14:textId="77777777">
        <w:tc>
          <w:tcPr>
            <w:tcW w:w="1878" w:type="dxa"/>
          </w:tcPr>
          <w:p w14:paraId="67DB0B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Исследовательская работа</w:t>
            </w:r>
          </w:p>
        </w:tc>
        <w:tc>
          <w:tcPr>
            <w:tcW w:w="1878" w:type="dxa"/>
          </w:tcPr>
          <w:p w14:paraId="596383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области электродвигателя</w:t>
            </w:r>
          </w:p>
        </w:tc>
        <w:tc>
          <w:tcPr>
            <w:tcW w:w="1030" w:type="dxa"/>
          </w:tcPr>
          <w:p w14:paraId="59C5A5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6803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7616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Pr>
          <w:p w14:paraId="7F79D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0FF97F" w14:textId="77777777">
        <w:tc>
          <w:tcPr>
            <w:tcW w:w="1878" w:type="dxa"/>
          </w:tcPr>
          <w:p w14:paraId="1D20C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Исследовательская работа </w:t>
            </w:r>
          </w:p>
        </w:tc>
        <w:tc>
          <w:tcPr>
            <w:tcW w:w="1878" w:type="dxa"/>
          </w:tcPr>
          <w:p w14:paraId="0E4FE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бензиновым двигателям с механич. впрыскив. топлива </w:t>
            </w:r>
          </w:p>
        </w:tc>
        <w:tc>
          <w:tcPr>
            <w:tcW w:w="1030" w:type="dxa"/>
          </w:tcPr>
          <w:p w14:paraId="29690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CB340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3B57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Pr>
          <w:p w14:paraId="23980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bl>
    <w:p w14:paraId="4EE32C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w:t>
      </w:r>
    </w:p>
    <w:p w14:paraId="7C3A2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самолетам на 1932-34 гг.</w:t>
      </w:r>
    </w:p>
    <w:p w14:paraId="5F3588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850"/>
        <w:gridCol w:w="709"/>
        <w:gridCol w:w="709"/>
        <w:gridCol w:w="708"/>
        <w:gridCol w:w="851"/>
        <w:gridCol w:w="1296"/>
        <w:gridCol w:w="830"/>
        <w:gridCol w:w="851"/>
        <w:gridCol w:w="992"/>
      </w:tblGrid>
      <w:tr w:rsidR="00DA227A" w:rsidRPr="00E93F40" w14:paraId="47CFB3C1" w14:textId="77777777">
        <w:tc>
          <w:tcPr>
            <w:tcW w:w="1281" w:type="dxa"/>
          </w:tcPr>
          <w:p w14:paraId="23CAD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387901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предъяв. на госисп.</w:t>
            </w:r>
          </w:p>
        </w:tc>
        <w:tc>
          <w:tcPr>
            <w:tcW w:w="654" w:type="dxa"/>
          </w:tcPr>
          <w:p w14:paraId="1546C1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w:t>
            </w:r>
          </w:p>
        </w:tc>
        <w:tc>
          <w:tcPr>
            <w:tcW w:w="850" w:type="dxa"/>
          </w:tcPr>
          <w:p w14:paraId="5689B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7B35D8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709" w:type="dxa"/>
          </w:tcPr>
          <w:p w14:paraId="5BD08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 скорость</w:t>
            </w:r>
          </w:p>
        </w:tc>
        <w:tc>
          <w:tcPr>
            <w:tcW w:w="708" w:type="dxa"/>
          </w:tcPr>
          <w:p w14:paraId="6AC90D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 радиус при перегруз.</w:t>
            </w:r>
          </w:p>
        </w:tc>
        <w:tc>
          <w:tcPr>
            <w:tcW w:w="851" w:type="dxa"/>
          </w:tcPr>
          <w:p w14:paraId="3E19A0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 сбрасыв. груз/ сбрасыв. груз при перегруз.</w:t>
            </w:r>
          </w:p>
        </w:tc>
        <w:tc>
          <w:tcPr>
            <w:tcW w:w="1296" w:type="dxa"/>
          </w:tcPr>
          <w:p w14:paraId="782F5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830" w:type="dxa"/>
          </w:tcPr>
          <w:p w14:paraId="4C1E87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w:t>
            </w:r>
          </w:p>
        </w:tc>
        <w:tc>
          <w:tcPr>
            <w:tcW w:w="851" w:type="dxa"/>
          </w:tcPr>
          <w:p w14:paraId="4A494E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 заменяет при выходе</w:t>
            </w:r>
          </w:p>
        </w:tc>
        <w:tc>
          <w:tcPr>
            <w:tcW w:w="992" w:type="dxa"/>
          </w:tcPr>
          <w:p w14:paraId="79658C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01E0C968" w14:textId="77777777">
        <w:tc>
          <w:tcPr>
            <w:tcW w:w="1281" w:type="dxa"/>
          </w:tcPr>
          <w:p w14:paraId="062FDB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Ближний бомбардир., он же пассажирск. грузовой (ТБ6-М44 или нефтяной)</w:t>
            </w:r>
          </w:p>
        </w:tc>
        <w:tc>
          <w:tcPr>
            <w:tcW w:w="867" w:type="dxa"/>
          </w:tcPr>
          <w:p w14:paraId="750FA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1934 г.</w:t>
            </w:r>
          </w:p>
        </w:tc>
        <w:tc>
          <w:tcPr>
            <w:tcW w:w="654" w:type="dxa"/>
          </w:tcPr>
          <w:p w14:paraId="742E8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375CE4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01BA40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709" w:type="dxa"/>
          </w:tcPr>
          <w:p w14:paraId="6158EC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708" w:type="dxa"/>
          </w:tcPr>
          <w:p w14:paraId="2B67A4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 2000</w:t>
            </w:r>
          </w:p>
        </w:tc>
        <w:tc>
          <w:tcPr>
            <w:tcW w:w="851" w:type="dxa"/>
          </w:tcPr>
          <w:p w14:paraId="42284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1296" w:type="dxa"/>
          </w:tcPr>
          <w:p w14:paraId="1E2FD8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пулемет и пушки</w:t>
            </w:r>
          </w:p>
          <w:p w14:paraId="2C8E6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2000</w:t>
            </w:r>
          </w:p>
        </w:tc>
        <w:tc>
          <w:tcPr>
            <w:tcW w:w="830" w:type="dxa"/>
          </w:tcPr>
          <w:p w14:paraId="6F096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571F8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К7</w:t>
            </w:r>
          </w:p>
        </w:tc>
        <w:tc>
          <w:tcPr>
            <w:tcW w:w="992" w:type="dxa"/>
          </w:tcPr>
          <w:p w14:paraId="705B8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A1D6B3" w14:textId="77777777">
        <w:tc>
          <w:tcPr>
            <w:tcW w:w="1281" w:type="dxa"/>
          </w:tcPr>
          <w:p w14:paraId="279B5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десантный, он же тяжелый грузовой (Д1-10М34)</w:t>
            </w:r>
          </w:p>
        </w:tc>
        <w:tc>
          <w:tcPr>
            <w:tcW w:w="867" w:type="dxa"/>
          </w:tcPr>
          <w:p w14:paraId="0D917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211869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408B2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709" w:type="dxa"/>
          </w:tcPr>
          <w:p w14:paraId="353BC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51B68E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708" w:type="dxa"/>
          </w:tcPr>
          <w:p w14:paraId="6372A7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851" w:type="dxa"/>
          </w:tcPr>
          <w:p w14:paraId="408B5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1296" w:type="dxa"/>
          </w:tcPr>
          <w:p w14:paraId="3D7998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30" w:type="dxa"/>
          </w:tcPr>
          <w:p w14:paraId="7CE289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19B082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3910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ведет ВВА ВВС</w:t>
            </w:r>
          </w:p>
        </w:tc>
      </w:tr>
      <w:tr w:rsidR="00DA227A" w:rsidRPr="00E93F40" w14:paraId="6A8E4233" w14:textId="77777777">
        <w:tc>
          <w:tcPr>
            <w:tcW w:w="1281" w:type="dxa"/>
          </w:tcPr>
          <w:p w14:paraId="71B63B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 (ТБ4-6М34)</w:t>
            </w:r>
          </w:p>
        </w:tc>
        <w:tc>
          <w:tcPr>
            <w:tcW w:w="867" w:type="dxa"/>
          </w:tcPr>
          <w:p w14:paraId="7704A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 1932 г.</w:t>
            </w:r>
          </w:p>
        </w:tc>
        <w:tc>
          <w:tcPr>
            <w:tcW w:w="654" w:type="dxa"/>
          </w:tcPr>
          <w:p w14:paraId="091A7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5704E0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709" w:type="dxa"/>
          </w:tcPr>
          <w:p w14:paraId="712B02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709" w:type="dxa"/>
          </w:tcPr>
          <w:p w14:paraId="1A0798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30634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51" w:type="dxa"/>
          </w:tcPr>
          <w:p w14:paraId="6B743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1296" w:type="dxa"/>
          </w:tcPr>
          <w:p w14:paraId="64454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w:t>
            </w:r>
          </w:p>
          <w:p w14:paraId="5047CC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w:t>
            </w:r>
          </w:p>
        </w:tc>
        <w:tc>
          <w:tcPr>
            <w:tcW w:w="830" w:type="dxa"/>
          </w:tcPr>
          <w:p w14:paraId="6D716C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334E4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992" w:type="dxa"/>
          </w:tcPr>
          <w:p w14:paraId="5D6AF0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Перенести из плана № 1</w:t>
            </w:r>
          </w:p>
        </w:tc>
      </w:tr>
      <w:tr w:rsidR="00DA227A" w:rsidRPr="00E93F40" w14:paraId="2FBC0E19" w14:textId="77777777">
        <w:tc>
          <w:tcPr>
            <w:tcW w:w="1281" w:type="dxa"/>
          </w:tcPr>
          <w:p w14:paraId="6E8E7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 (ТБ4 бис - 6М34)</w:t>
            </w:r>
          </w:p>
        </w:tc>
        <w:tc>
          <w:tcPr>
            <w:tcW w:w="867" w:type="dxa"/>
          </w:tcPr>
          <w:p w14:paraId="6B9DF4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1934 г.</w:t>
            </w:r>
          </w:p>
        </w:tc>
        <w:tc>
          <w:tcPr>
            <w:tcW w:w="654" w:type="dxa"/>
          </w:tcPr>
          <w:p w14:paraId="25CB3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7F891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 крейсерс.</w:t>
            </w:r>
          </w:p>
        </w:tc>
        <w:tc>
          <w:tcPr>
            <w:tcW w:w="709" w:type="dxa"/>
          </w:tcPr>
          <w:p w14:paraId="4928C4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3BF76A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1DC1F5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34E3F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1296" w:type="dxa"/>
          </w:tcPr>
          <w:p w14:paraId="29859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w:t>
            </w:r>
          </w:p>
          <w:p w14:paraId="0445C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2000</w:t>
            </w:r>
          </w:p>
        </w:tc>
        <w:tc>
          <w:tcPr>
            <w:tcW w:w="830" w:type="dxa"/>
          </w:tcPr>
          <w:p w14:paraId="04931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19C90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992" w:type="dxa"/>
          </w:tcPr>
          <w:p w14:paraId="4F2A9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Перенести из плана № 1</w:t>
            </w:r>
          </w:p>
        </w:tc>
      </w:tr>
      <w:tr w:rsidR="00DA227A" w:rsidRPr="00E93F40" w14:paraId="57ED0C54" w14:textId="77777777">
        <w:tc>
          <w:tcPr>
            <w:tcW w:w="1281" w:type="dxa"/>
          </w:tcPr>
          <w:p w14:paraId="5C759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химический боевик, он же самолет для перевозки горючего и пассажирский (Х1-2М34)</w:t>
            </w:r>
          </w:p>
        </w:tc>
        <w:tc>
          <w:tcPr>
            <w:tcW w:w="867" w:type="dxa"/>
          </w:tcPr>
          <w:p w14:paraId="25C23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 г.</w:t>
            </w:r>
          </w:p>
        </w:tc>
        <w:tc>
          <w:tcPr>
            <w:tcW w:w="654" w:type="dxa"/>
          </w:tcPr>
          <w:p w14:paraId="26417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383A2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2AFCBA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3C90E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708" w:type="dxa"/>
          </w:tcPr>
          <w:p w14:paraId="1E1CE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450/600</w:t>
            </w:r>
          </w:p>
        </w:tc>
        <w:tc>
          <w:tcPr>
            <w:tcW w:w="851" w:type="dxa"/>
          </w:tcPr>
          <w:p w14:paraId="55B63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3000</w:t>
            </w:r>
          </w:p>
        </w:tc>
        <w:tc>
          <w:tcPr>
            <w:tcW w:w="1296" w:type="dxa"/>
          </w:tcPr>
          <w:p w14:paraId="4A2471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Пулеметы</w:t>
            </w:r>
          </w:p>
        </w:tc>
        <w:tc>
          <w:tcPr>
            <w:tcW w:w="830" w:type="dxa"/>
          </w:tcPr>
          <w:p w14:paraId="7310B8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6376E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992" w:type="dxa"/>
          </w:tcPr>
          <w:p w14:paraId="64A63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проектирует и строит НИИ ГУГВФ</w:t>
            </w:r>
          </w:p>
        </w:tc>
      </w:tr>
      <w:tr w:rsidR="00DA227A" w:rsidRPr="00E93F40" w14:paraId="6BCAABCA" w14:textId="77777777">
        <w:tc>
          <w:tcPr>
            <w:tcW w:w="1281" w:type="dxa"/>
          </w:tcPr>
          <w:p w14:paraId="3BFED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Крейсерский сухопутный средний бомбардиров. или дальний разведчик (К1-2М34)</w:t>
            </w:r>
          </w:p>
        </w:tc>
        <w:tc>
          <w:tcPr>
            <w:tcW w:w="867" w:type="dxa"/>
          </w:tcPr>
          <w:p w14:paraId="39D2C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w:t>
            </w:r>
          </w:p>
        </w:tc>
        <w:tc>
          <w:tcPr>
            <w:tcW w:w="654" w:type="dxa"/>
          </w:tcPr>
          <w:p w14:paraId="661B72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850" w:type="dxa"/>
          </w:tcPr>
          <w:p w14:paraId="460FC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709" w:type="dxa"/>
          </w:tcPr>
          <w:p w14:paraId="65736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16545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708" w:type="dxa"/>
          </w:tcPr>
          <w:p w14:paraId="3D587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1250</w:t>
            </w:r>
          </w:p>
        </w:tc>
        <w:tc>
          <w:tcPr>
            <w:tcW w:w="851" w:type="dxa"/>
          </w:tcPr>
          <w:p w14:paraId="062DB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p w14:paraId="22A715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Pr>
          <w:p w14:paraId="7EFF7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Тяж. и легк. пулеметы </w:t>
            </w:r>
          </w:p>
          <w:p w14:paraId="28CC9B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250, гирлянды</w:t>
            </w:r>
          </w:p>
        </w:tc>
        <w:tc>
          <w:tcPr>
            <w:tcW w:w="830" w:type="dxa"/>
          </w:tcPr>
          <w:p w14:paraId="4C7BB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 или дюраль</w:t>
            </w:r>
          </w:p>
        </w:tc>
        <w:tc>
          <w:tcPr>
            <w:tcW w:w="851" w:type="dxa"/>
          </w:tcPr>
          <w:p w14:paraId="40C1B4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992" w:type="dxa"/>
          </w:tcPr>
          <w:p w14:paraId="6236C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1FF454" w14:textId="77777777">
        <w:tc>
          <w:tcPr>
            <w:tcW w:w="1281" w:type="dxa"/>
          </w:tcPr>
          <w:p w14:paraId="592D53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Многоместный истребитель (МИ3-2М34)</w:t>
            </w:r>
          </w:p>
        </w:tc>
        <w:tc>
          <w:tcPr>
            <w:tcW w:w="867" w:type="dxa"/>
          </w:tcPr>
          <w:p w14:paraId="3ADDBE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 1932 г.</w:t>
            </w:r>
          </w:p>
        </w:tc>
        <w:tc>
          <w:tcPr>
            <w:tcW w:w="654" w:type="dxa"/>
          </w:tcPr>
          <w:p w14:paraId="67D82D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6B651D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320/5000/ 15-18</w:t>
            </w:r>
          </w:p>
        </w:tc>
        <w:tc>
          <w:tcPr>
            <w:tcW w:w="709" w:type="dxa"/>
          </w:tcPr>
          <w:p w14:paraId="2124E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709" w:type="dxa"/>
          </w:tcPr>
          <w:p w14:paraId="20287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4A81D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7293C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297B02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пулемет.</w:t>
            </w:r>
          </w:p>
          <w:p w14:paraId="6F1F1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ав. пушка </w:t>
            </w:r>
          </w:p>
        </w:tc>
        <w:tc>
          <w:tcPr>
            <w:tcW w:w="830" w:type="dxa"/>
          </w:tcPr>
          <w:p w14:paraId="171F11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1DEBC6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92E0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Перенесено из плана №..</w:t>
            </w:r>
          </w:p>
          <w:p w14:paraId="761C8B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Со Штабом РККА согласовано уменьшение радиуса </w:t>
            </w:r>
            <w:r w:rsidRPr="00E93F40">
              <w:rPr>
                <w:rFonts w:ascii="Times New Roman" w:hAnsi="Times New Roman"/>
                <w:color w:val="000000" w:themeColor="text1"/>
                <w:sz w:val="16"/>
                <w:szCs w:val="16"/>
              </w:rPr>
              <w:lastRenderedPageBreak/>
              <w:t>с 1000 до 500 км</w:t>
            </w:r>
          </w:p>
        </w:tc>
      </w:tr>
      <w:tr w:rsidR="00DA227A" w:rsidRPr="00E93F40" w14:paraId="0E865EA1" w14:textId="77777777">
        <w:tc>
          <w:tcPr>
            <w:tcW w:w="1281" w:type="dxa"/>
          </w:tcPr>
          <w:p w14:paraId="24ED24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Двухместный истребитель (ДИП1-М34)</w:t>
            </w:r>
          </w:p>
        </w:tc>
        <w:tc>
          <w:tcPr>
            <w:tcW w:w="867" w:type="dxa"/>
          </w:tcPr>
          <w:p w14:paraId="388E5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 1933 г.</w:t>
            </w:r>
          </w:p>
        </w:tc>
        <w:tc>
          <w:tcPr>
            <w:tcW w:w="654" w:type="dxa"/>
          </w:tcPr>
          <w:p w14:paraId="48A89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065083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w:t>
            </w:r>
          </w:p>
          <w:p w14:paraId="59E335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10-12</w:t>
            </w:r>
          </w:p>
        </w:tc>
        <w:tc>
          <w:tcPr>
            <w:tcW w:w="709" w:type="dxa"/>
          </w:tcPr>
          <w:p w14:paraId="7C878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709" w:type="dxa"/>
          </w:tcPr>
          <w:p w14:paraId="75D09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5E06C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3000/600</w:t>
            </w:r>
          </w:p>
        </w:tc>
        <w:tc>
          <w:tcPr>
            <w:tcW w:w="851" w:type="dxa"/>
          </w:tcPr>
          <w:p w14:paraId="452BB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296" w:type="dxa"/>
          </w:tcPr>
          <w:p w14:paraId="39B75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 ДРП и легк. пулем.</w:t>
            </w:r>
          </w:p>
          <w:p w14:paraId="48ECC2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гирлянды ЗАМ</w:t>
            </w:r>
          </w:p>
        </w:tc>
        <w:tc>
          <w:tcPr>
            <w:tcW w:w="830" w:type="dxa"/>
          </w:tcPr>
          <w:p w14:paraId="3DF03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42AF8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w:t>
            </w:r>
          </w:p>
        </w:tc>
        <w:tc>
          <w:tcPr>
            <w:tcW w:w="992" w:type="dxa"/>
          </w:tcPr>
          <w:p w14:paraId="63B76A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C7B19A" w14:textId="77777777">
        <w:tc>
          <w:tcPr>
            <w:tcW w:w="1281" w:type="dxa"/>
          </w:tcPr>
          <w:p w14:paraId="53E900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 , он же легкий и пикирующий бомбардиров. разведчик скоростной почтовый (ДИ6-М34)</w:t>
            </w:r>
          </w:p>
        </w:tc>
        <w:tc>
          <w:tcPr>
            <w:tcW w:w="867" w:type="dxa"/>
          </w:tcPr>
          <w:p w14:paraId="2CB31F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654" w:type="dxa"/>
          </w:tcPr>
          <w:p w14:paraId="6EDCA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22BD75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375/-/9</w:t>
            </w:r>
          </w:p>
        </w:tc>
        <w:tc>
          <w:tcPr>
            <w:tcW w:w="709" w:type="dxa"/>
          </w:tcPr>
          <w:p w14:paraId="595EE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709" w:type="dxa"/>
          </w:tcPr>
          <w:p w14:paraId="28DCCD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39D65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400/700</w:t>
            </w:r>
          </w:p>
        </w:tc>
        <w:tc>
          <w:tcPr>
            <w:tcW w:w="851" w:type="dxa"/>
          </w:tcPr>
          <w:p w14:paraId="6EF1EE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296" w:type="dxa"/>
          </w:tcPr>
          <w:p w14:paraId="525CE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пулем.</w:t>
            </w:r>
          </w:p>
          <w:p w14:paraId="5219F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100, 250</w:t>
            </w:r>
          </w:p>
        </w:tc>
        <w:tc>
          <w:tcPr>
            <w:tcW w:w="830" w:type="dxa"/>
          </w:tcPr>
          <w:p w14:paraId="4A760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2E43E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7E8A6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w:t>
            </w:r>
          </w:p>
          <w:p w14:paraId="1FD7F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992" w:type="dxa"/>
          </w:tcPr>
          <w:p w14:paraId="3BD905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 с ГУАП в 1933 году самолет аналогичн. назначения дает ГУГВФ</w:t>
            </w:r>
          </w:p>
        </w:tc>
      </w:tr>
      <w:tr w:rsidR="00DA227A" w:rsidRPr="00E93F40" w14:paraId="5249A88C" w14:textId="77777777">
        <w:tc>
          <w:tcPr>
            <w:tcW w:w="1281" w:type="dxa"/>
          </w:tcPr>
          <w:p w14:paraId="7AF50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 (скоростной) (И13-М32)</w:t>
            </w:r>
          </w:p>
        </w:tc>
        <w:tc>
          <w:tcPr>
            <w:tcW w:w="867" w:type="dxa"/>
          </w:tcPr>
          <w:p w14:paraId="257F57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214DC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50" w:type="dxa"/>
          </w:tcPr>
          <w:p w14:paraId="3F07A4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425/5000/6</w:t>
            </w:r>
          </w:p>
        </w:tc>
        <w:tc>
          <w:tcPr>
            <w:tcW w:w="709" w:type="dxa"/>
          </w:tcPr>
          <w:p w14:paraId="23351D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c>
          <w:tcPr>
            <w:tcW w:w="709" w:type="dxa"/>
          </w:tcPr>
          <w:p w14:paraId="47BA2A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4C0B5F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51" w:type="dxa"/>
          </w:tcPr>
          <w:p w14:paraId="6B536F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1296" w:type="dxa"/>
          </w:tcPr>
          <w:p w14:paraId="7ADBF9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пулем.</w:t>
            </w:r>
          </w:p>
          <w:p w14:paraId="6409C2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6585C9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589B2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548CB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w:t>
            </w:r>
          </w:p>
        </w:tc>
        <w:tc>
          <w:tcPr>
            <w:tcW w:w="992" w:type="dxa"/>
          </w:tcPr>
          <w:p w14:paraId="36180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85FDE15" w14:textId="77777777">
        <w:tc>
          <w:tcPr>
            <w:tcW w:w="1281" w:type="dxa"/>
          </w:tcPr>
          <w:p w14:paraId="6ED3E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 скороподъемн. (И14_М38)</w:t>
            </w:r>
          </w:p>
        </w:tc>
        <w:tc>
          <w:tcPr>
            <w:tcW w:w="867" w:type="dxa"/>
          </w:tcPr>
          <w:p w14:paraId="520B62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 1933 г.</w:t>
            </w:r>
          </w:p>
        </w:tc>
        <w:tc>
          <w:tcPr>
            <w:tcW w:w="654" w:type="dxa"/>
          </w:tcPr>
          <w:p w14:paraId="19BEBA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50" w:type="dxa"/>
          </w:tcPr>
          <w:p w14:paraId="44F7A9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400/5000/5</w:t>
            </w:r>
          </w:p>
        </w:tc>
        <w:tc>
          <w:tcPr>
            <w:tcW w:w="709" w:type="dxa"/>
          </w:tcPr>
          <w:p w14:paraId="6C3CFC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12000</w:t>
            </w:r>
          </w:p>
        </w:tc>
        <w:tc>
          <w:tcPr>
            <w:tcW w:w="709" w:type="dxa"/>
          </w:tcPr>
          <w:p w14:paraId="7AAC9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499DA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851" w:type="dxa"/>
          </w:tcPr>
          <w:p w14:paraId="413E1C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06D3A8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пулем.</w:t>
            </w:r>
          </w:p>
          <w:p w14:paraId="00E7B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54A238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6E6F9A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4A970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992" w:type="dxa"/>
          </w:tcPr>
          <w:p w14:paraId="1F6B7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01A234" w14:textId="77777777">
        <w:tc>
          <w:tcPr>
            <w:tcW w:w="1281" w:type="dxa"/>
          </w:tcPr>
          <w:p w14:paraId="10D7B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он же легкий боевик, самолет борьбы с вредителями с/х, фотосъем., санитарный, пассажирский (ВС2-2М52)</w:t>
            </w:r>
          </w:p>
        </w:tc>
        <w:tc>
          <w:tcPr>
            <w:tcW w:w="867" w:type="dxa"/>
          </w:tcPr>
          <w:p w14:paraId="3EC25E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 г.</w:t>
            </w:r>
          </w:p>
        </w:tc>
        <w:tc>
          <w:tcPr>
            <w:tcW w:w="654" w:type="dxa"/>
          </w:tcPr>
          <w:p w14:paraId="419D5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4C5DF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250/-/12</w:t>
            </w:r>
          </w:p>
        </w:tc>
        <w:tc>
          <w:tcPr>
            <w:tcW w:w="709" w:type="dxa"/>
          </w:tcPr>
          <w:p w14:paraId="4B545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7C927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w:t>
            </w:r>
          </w:p>
        </w:tc>
        <w:tc>
          <w:tcPr>
            <w:tcW w:w="708" w:type="dxa"/>
          </w:tcPr>
          <w:p w14:paraId="19559A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350/600</w:t>
            </w:r>
          </w:p>
        </w:tc>
        <w:tc>
          <w:tcPr>
            <w:tcW w:w="851" w:type="dxa"/>
          </w:tcPr>
          <w:p w14:paraId="04146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1296" w:type="dxa"/>
          </w:tcPr>
          <w:p w14:paraId="1DC72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p w14:paraId="7CD3F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100</w:t>
            </w:r>
          </w:p>
        </w:tc>
        <w:tc>
          <w:tcPr>
            <w:tcW w:w="830" w:type="dxa"/>
          </w:tcPr>
          <w:p w14:paraId="6A67C9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2A996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5A384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p w14:paraId="3D46FB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К5</w:t>
            </w:r>
          </w:p>
        </w:tc>
        <w:tc>
          <w:tcPr>
            <w:tcW w:w="992" w:type="dxa"/>
          </w:tcPr>
          <w:p w14:paraId="6726EA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Вместо Р9 из плана №.. строит ГРО…</w:t>
            </w:r>
          </w:p>
        </w:tc>
      </w:tr>
      <w:tr w:rsidR="00DA227A" w:rsidRPr="00E93F40" w14:paraId="780A72FD" w14:textId="77777777">
        <w:tc>
          <w:tcPr>
            <w:tcW w:w="1281" w:type="dxa"/>
          </w:tcPr>
          <w:p w14:paraId="68B88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Переходный для школ , он же корпусной разведчик (самолет местной авиации) (П3-М52)</w:t>
            </w:r>
          </w:p>
        </w:tc>
        <w:tc>
          <w:tcPr>
            <w:tcW w:w="867" w:type="dxa"/>
          </w:tcPr>
          <w:p w14:paraId="0997B5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1C192B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0CB28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386602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3C7F1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708" w:type="dxa"/>
          </w:tcPr>
          <w:p w14:paraId="7211A2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51" w:type="dxa"/>
          </w:tcPr>
          <w:p w14:paraId="2989D5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27DFC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830" w:type="dxa"/>
          </w:tcPr>
          <w:p w14:paraId="4FD66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851" w:type="dxa"/>
          </w:tcPr>
          <w:p w14:paraId="708C1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497A68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23BA01" w14:textId="77777777">
        <w:tc>
          <w:tcPr>
            <w:tcW w:w="1281" w:type="dxa"/>
          </w:tcPr>
          <w:p w14:paraId="43EA5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Учебный самолет, он же связи и сопровождения (для туризма, спорта, легкий санитарный, местной авиации) (У3-М48)</w:t>
            </w:r>
          </w:p>
        </w:tc>
        <w:tc>
          <w:tcPr>
            <w:tcW w:w="867" w:type="dxa"/>
          </w:tcPr>
          <w:p w14:paraId="1144BB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654" w:type="dxa"/>
          </w:tcPr>
          <w:p w14:paraId="14E7E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50" w:type="dxa"/>
          </w:tcPr>
          <w:p w14:paraId="1F8C2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709" w:type="dxa"/>
          </w:tcPr>
          <w:p w14:paraId="5F0B93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5A282E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708" w:type="dxa"/>
          </w:tcPr>
          <w:p w14:paraId="5281AA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851" w:type="dxa"/>
          </w:tcPr>
          <w:p w14:paraId="53891F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4E7AD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 фото или радио</w:t>
            </w:r>
          </w:p>
        </w:tc>
        <w:tc>
          <w:tcPr>
            <w:tcW w:w="830" w:type="dxa"/>
          </w:tcPr>
          <w:p w14:paraId="59FAA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851" w:type="dxa"/>
          </w:tcPr>
          <w:p w14:paraId="7F35A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47AA30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постройка ведется ВТУЗом ГУГВФ</w:t>
            </w:r>
          </w:p>
        </w:tc>
      </w:tr>
      <w:tr w:rsidR="00DA227A" w:rsidRPr="00E93F40" w14:paraId="531B60A1" w14:textId="77777777">
        <w:tc>
          <w:tcPr>
            <w:tcW w:w="1281" w:type="dxa"/>
          </w:tcPr>
          <w:p w14:paraId="60A3A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крейсерск. (см. примечание) (МК1-4М34)</w:t>
            </w:r>
          </w:p>
        </w:tc>
        <w:tc>
          <w:tcPr>
            <w:tcW w:w="867" w:type="dxa"/>
          </w:tcPr>
          <w:p w14:paraId="00E16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62486B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0F4B3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 у земли</w:t>
            </w:r>
          </w:p>
          <w:p w14:paraId="539C62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215/4000</w:t>
            </w:r>
          </w:p>
        </w:tc>
        <w:tc>
          <w:tcPr>
            <w:tcW w:w="709" w:type="dxa"/>
          </w:tcPr>
          <w:p w14:paraId="317D4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2E38B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708" w:type="dxa"/>
          </w:tcPr>
          <w:p w14:paraId="51D6F1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750/1200</w:t>
            </w:r>
          </w:p>
        </w:tc>
        <w:tc>
          <w:tcPr>
            <w:tcW w:w="851" w:type="dxa"/>
          </w:tcPr>
          <w:p w14:paraId="3DEEA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500-1800 сообразно варианту применения/ 3600</w:t>
            </w:r>
          </w:p>
        </w:tc>
        <w:tc>
          <w:tcPr>
            <w:tcW w:w="1296" w:type="dxa"/>
          </w:tcPr>
          <w:p w14:paraId="071113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Военное снаряжение 1850 кг </w:t>
            </w:r>
          </w:p>
          <w:p w14:paraId="351F4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перегрузке 2230 кг</w:t>
            </w:r>
          </w:p>
          <w:p w14:paraId="0AF1B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торпед 1800</w:t>
            </w:r>
          </w:p>
          <w:p w14:paraId="761BEB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Варианты бом-к, торпедонос.</w:t>
            </w:r>
          </w:p>
        </w:tc>
        <w:tc>
          <w:tcPr>
            <w:tcW w:w="830" w:type="dxa"/>
          </w:tcPr>
          <w:p w14:paraId="283989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426D1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является переход. к МТБ3.</w:t>
            </w:r>
          </w:p>
          <w:p w14:paraId="6F5829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 завод по линии ВОГВФ не предусм.</w:t>
            </w:r>
          </w:p>
        </w:tc>
        <w:tc>
          <w:tcPr>
            <w:tcW w:w="992" w:type="dxa"/>
          </w:tcPr>
          <w:p w14:paraId="242C5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строительст. принят Постановл. РВС от 5 августа 1931 года</w:t>
            </w:r>
          </w:p>
        </w:tc>
      </w:tr>
      <w:tr w:rsidR="00DA227A" w:rsidRPr="00E93F40" w14:paraId="58E3BB28" w14:textId="77777777">
        <w:tc>
          <w:tcPr>
            <w:tcW w:w="1281" w:type="dxa"/>
          </w:tcPr>
          <w:p w14:paraId="5C56E2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тяжелый бомбардиров. (пассажирск.) (МТБ3 под М34 или под М35)</w:t>
            </w:r>
          </w:p>
        </w:tc>
        <w:tc>
          <w:tcPr>
            <w:tcW w:w="867" w:type="dxa"/>
          </w:tcPr>
          <w:p w14:paraId="0C476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1934 г.</w:t>
            </w:r>
          </w:p>
        </w:tc>
        <w:tc>
          <w:tcPr>
            <w:tcW w:w="654" w:type="dxa"/>
          </w:tcPr>
          <w:p w14:paraId="2AF6B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565C8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36936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50554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737F6B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51" w:type="dxa"/>
          </w:tcPr>
          <w:p w14:paraId="7A5B56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1296" w:type="dxa"/>
          </w:tcPr>
          <w:p w14:paraId="1D166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пулемет, пушки</w:t>
            </w:r>
          </w:p>
          <w:p w14:paraId="7ECCF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2000</w:t>
            </w:r>
          </w:p>
        </w:tc>
        <w:tc>
          <w:tcPr>
            <w:tcW w:w="830" w:type="dxa"/>
          </w:tcPr>
          <w:p w14:paraId="17542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 дюраль</w:t>
            </w:r>
          </w:p>
        </w:tc>
        <w:tc>
          <w:tcPr>
            <w:tcW w:w="851" w:type="dxa"/>
          </w:tcPr>
          <w:p w14:paraId="125F3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6A9E60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 1 2-я очередь</w:t>
            </w:r>
          </w:p>
        </w:tc>
      </w:tr>
      <w:tr w:rsidR="00DA227A" w:rsidRPr="00E93F40" w14:paraId="7049B8EA" w14:textId="77777777">
        <w:tc>
          <w:tcPr>
            <w:tcW w:w="1281" w:type="dxa"/>
          </w:tcPr>
          <w:p w14:paraId="338FD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ближний разведчик амфибия (санитарный, фотосъемщик, …) (МБР5-М35)</w:t>
            </w:r>
          </w:p>
        </w:tc>
        <w:tc>
          <w:tcPr>
            <w:tcW w:w="867" w:type="dxa"/>
          </w:tcPr>
          <w:p w14:paraId="2F8CA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 г.</w:t>
            </w:r>
          </w:p>
        </w:tc>
        <w:tc>
          <w:tcPr>
            <w:tcW w:w="654" w:type="dxa"/>
          </w:tcPr>
          <w:p w14:paraId="41C5DB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5E7606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709" w:type="dxa"/>
          </w:tcPr>
          <w:p w14:paraId="70EAA6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709" w:type="dxa"/>
          </w:tcPr>
          <w:p w14:paraId="74F83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708" w:type="dxa"/>
          </w:tcPr>
          <w:p w14:paraId="72498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500/800</w:t>
            </w:r>
          </w:p>
        </w:tc>
        <w:tc>
          <w:tcPr>
            <w:tcW w:w="851" w:type="dxa"/>
          </w:tcPr>
          <w:p w14:paraId="09E45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100/600</w:t>
            </w:r>
          </w:p>
        </w:tc>
        <w:tc>
          <w:tcPr>
            <w:tcW w:w="1296" w:type="dxa"/>
          </w:tcPr>
          <w:p w14:paraId="19115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пулем.</w:t>
            </w:r>
          </w:p>
          <w:p w14:paraId="498BB2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100</w:t>
            </w:r>
          </w:p>
        </w:tc>
        <w:tc>
          <w:tcPr>
            <w:tcW w:w="830" w:type="dxa"/>
          </w:tcPr>
          <w:p w14:paraId="0F599D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851" w:type="dxa"/>
          </w:tcPr>
          <w:p w14:paraId="7BEFB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СБ2б</w:t>
            </w:r>
          </w:p>
        </w:tc>
        <w:tc>
          <w:tcPr>
            <w:tcW w:w="992" w:type="dxa"/>
          </w:tcPr>
          <w:p w14:paraId="379F2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ведет НИИ ГУГВФ</w:t>
            </w:r>
          </w:p>
        </w:tc>
      </w:tr>
    </w:tbl>
    <w:p w14:paraId="5747E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4678"/>
        <w:gridCol w:w="2268"/>
      </w:tblGrid>
      <w:tr w:rsidR="00DA227A" w:rsidRPr="00E93F40" w14:paraId="7A661EF2" w14:textId="77777777">
        <w:tc>
          <w:tcPr>
            <w:tcW w:w="1242" w:type="dxa"/>
          </w:tcPr>
          <w:p w14:paraId="7C0FB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4678" w:type="dxa"/>
          </w:tcPr>
          <w:p w14:paraId="01E66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модификации</w:t>
            </w:r>
          </w:p>
        </w:tc>
        <w:tc>
          <w:tcPr>
            <w:tcW w:w="2268" w:type="dxa"/>
          </w:tcPr>
          <w:p w14:paraId="7E757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r>
      <w:tr w:rsidR="00DA227A" w:rsidRPr="00E93F40" w14:paraId="7A3C6E86" w14:textId="77777777">
        <w:tc>
          <w:tcPr>
            <w:tcW w:w="1242" w:type="dxa"/>
          </w:tcPr>
          <w:p w14:paraId="3ABE20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4678" w:type="dxa"/>
          </w:tcPr>
          <w:p w14:paraId="2AF86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установка моторов М34</w:t>
            </w:r>
          </w:p>
        </w:tc>
        <w:tc>
          <w:tcPr>
            <w:tcW w:w="2268" w:type="dxa"/>
          </w:tcPr>
          <w:p w14:paraId="15F88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1D763B5D" w14:textId="77777777">
        <w:tc>
          <w:tcPr>
            <w:tcW w:w="1242" w:type="dxa"/>
          </w:tcPr>
          <w:p w14:paraId="7B691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ТШ2-М17</w:t>
            </w:r>
          </w:p>
        </w:tc>
        <w:tc>
          <w:tcPr>
            <w:tcW w:w="4678" w:type="dxa"/>
          </w:tcPr>
          <w:p w14:paraId="0906E4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установка М34, облегчение веса конструкции и улучшение летных данных</w:t>
            </w:r>
          </w:p>
        </w:tc>
        <w:tc>
          <w:tcPr>
            <w:tcW w:w="2268" w:type="dxa"/>
          </w:tcPr>
          <w:p w14:paraId="6868F4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r>
      <w:tr w:rsidR="00DA227A" w:rsidRPr="00E93F40" w14:paraId="2506D9EF" w14:textId="77777777">
        <w:tc>
          <w:tcPr>
            <w:tcW w:w="1242" w:type="dxa"/>
          </w:tcPr>
          <w:p w14:paraId="5BD02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АНТ9-3М26</w:t>
            </w:r>
          </w:p>
        </w:tc>
        <w:tc>
          <w:tcPr>
            <w:tcW w:w="4678" w:type="dxa"/>
          </w:tcPr>
          <w:p w14:paraId="5C80F6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Военное оборудование самолета</w:t>
            </w:r>
          </w:p>
        </w:tc>
        <w:tc>
          <w:tcPr>
            <w:tcW w:w="2268" w:type="dxa"/>
          </w:tcPr>
          <w:p w14:paraId="5A706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70CC4773" w14:textId="77777777">
        <w:tc>
          <w:tcPr>
            <w:tcW w:w="1242" w:type="dxa"/>
          </w:tcPr>
          <w:p w14:paraId="12E37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4678" w:type="dxa"/>
          </w:tcPr>
          <w:p w14:paraId="3ABCC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Замена мотора М17 на мотор М34</w:t>
            </w:r>
          </w:p>
        </w:tc>
        <w:tc>
          <w:tcPr>
            <w:tcW w:w="2268" w:type="dxa"/>
          </w:tcPr>
          <w:p w14:paraId="76C7F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r>
      <w:tr w:rsidR="00DA227A" w:rsidRPr="00E93F40" w14:paraId="467551B8" w14:textId="77777777">
        <w:tc>
          <w:tcPr>
            <w:tcW w:w="1242" w:type="dxa"/>
          </w:tcPr>
          <w:p w14:paraId="67DDE9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4678" w:type="dxa"/>
          </w:tcPr>
          <w:p w14:paraId="47634F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разрезных крыльев и тормозных колес</w:t>
            </w:r>
          </w:p>
        </w:tc>
        <w:tc>
          <w:tcPr>
            <w:tcW w:w="2268" w:type="dxa"/>
          </w:tcPr>
          <w:p w14:paraId="47DEB9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4B20DEFC" w14:textId="77777777">
        <w:tc>
          <w:tcPr>
            <w:tcW w:w="1242" w:type="dxa"/>
          </w:tcPr>
          <w:p w14:paraId="1DCCE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 бис</w:t>
            </w:r>
          </w:p>
        </w:tc>
        <w:tc>
          <w:tcPr>
            <w:tcW w:w="4678" w:type="dxa"/>
          </w:tcPr>
          <w:p w14:paraId="58462F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w:t>
            </w:r>
          </w:p>
        </w:tc>
        <w:tc>
          <w:tcPr>
            <w:tcW w:w="2268" w:type="dxa"/>
          </w:tcPr>
          <w:p w14:paraId="1787A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w:t>
            </w:r>
          </w:p>
        </w:tc>
      </w:tr>
      <w:tr w:rsidR="00DA227A" w:rsidRPr="00E93F40" w14:paraId="608FE088" w14:textId="77777777">
        <w:tc>
          <w:tcPr>
            <w:tcW w:w="1242" w:type="dxa"/>
          </w:tcPr>
          <w:p w14:paraId="47175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И12-2М22</w:t>
            </w:r>
          </w:p>
        </w:tc>
        <w:tc>
          <w:tcPr>
            <w:tcW w:w="4678" w:type="dxa"/>
          </w:tcPr>
          <w:p w14:paraId="64F0C2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второго модифицированного экземпляра</w:t>
            </w:r>
          </w:p>
        </w:tc>
        <w:tc>
          <w:tcPr>
            <w:tcW w:w="2268" w:type="dxa"/>
          </w:tcPr>
          <w:p w14:paraId="03654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w:t>
            </w:r>
          </w:p>
        </w:tc>
      </w:tr>
      <w:tr w:rsidR="00DA227A" w:rsidRPr="00E93F40" w14:paraId="096DD5D8" w14:textId="77777777">
        <w:tc>
          <w:tcPr>
            <w:tcW w:w="1242" w:type="dxa"/>
          </w:tcPr>
          <w:p w14:paraId="0AA5B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4678" w:type="dxa"/>
          </w:tcPr>
          <w:p w14:paraId="125AC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бомбового вооружения</w:t>
            </w:r>
          </w:p>
        </w:tc>
        <w:tc>
          <w:tcPr>
            <w:tcW w:w="2268" w:type="dxa"/>
          </w:tcPr>
          <w:p w14:paraId="3EDEEE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w:t>
            </w:r>
          </w:p>
        </w:tc>
      </w:tr>
      <w:tr w:rsidR="00DA227A" w:rsidRPr="00E93F40" w14:paraId="1047E782" w14:textId="77777777">
        <w:tc>
          <w:tcPr>
            <w:tcW w:w="1242" w:type="dxa"/>
          </w:tcPr>
          <w:p w14:paraId="55B17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…Ш2-М17</w:t>
            </w:r>
          </w:p>
        </w:tc>
        <w:tc>
          <w:tcPr>
            <w:tcW w:w="4678" w:type="dxa"/>
          </w:tcPr>
          <w:p w14:paraId="144E5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пулеметных батарей</w:t>
            </w:r>
          </w:p>
        </w:tc>
        <w:tc>
          <w:tcPr>
            <w:tcW w:w="2268" w:type="dxa"/>
          </w:tcPr>
          <w:p w14:paraId="1C7359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июля 1932 года</w:t>
            </w:r>
          </w:p>
        </w:tc>
      </w:tr>
      <w:tr w:rsidR="00DA227A" w:rsidRPr="00E93F40" w14:paraId="6DF23168" w14:textId="77777777">
        <w:tc>
          <w:tcPr>
            <w:tcW w:w="1242" w:type="dxa"/>
          </w:tcPr>
          <w:p w14:paraId="31893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….-2М17</w:t>
            </w:r>
          </w:p>
        </w:tc>
        <w:tc>
          <w:tcPr>
            <w:tcW w:w="4678" w:type="dxa"/>
          </w:tcPr>
          <w:p w14:paraId="778013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2268" w:type="dxa"/>
          </w:tcPr>
          <w:p w14:paraId="078AA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r>
      <w:tr w:rsidR="00DA227A" w:rsidRPr="00E93F40" w14:paraId="4CD08E57" w14:textId="77777777">
        <w:tc>
          <w:tcPr>
            <w:tcW w:w="1242" w:type="dxa"/>
          </w:tcPr>
          <w:p w14:paraId="7F5E57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4678" w:type="dxa"/>
          </w:tcPr>
          <w:p w14:paraId="6144E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2268" w:type="dxa"/>
          </w:tcPr>
          <w:p w14:paraId="2ADF1F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r>
      <w:tr w:rsidR="00DA227A" w:rsidRPr="00E93F40" w14:paraId="7D2CC65D" w14:textId="77777777">
        <w:tc>
          <w:tcPr>
            <w:tcW w:w="1242" w:type="dxa"/>
          </w:tcPr>
          <w:p w14:paraId="77F17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4678" w:type="dxa"/>
          </w:tcPr>
          <w:p w14:paraId="058D9E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 для химцелей</w:t>
            </w:r>
          </w:p>
        </w:tc>
        <w:tc>
          <w:tcPr>
            <w:tcW w:w="2268" w:type="dxa"/>
          </w:tcPr>
          <w:p w14:paraId="2516F7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года</w:t>
            </w:r>
          </w:p>
        </w:tc>
      </w:tr>
    </w:tbl>
    <w:p w14:paraId="39C2D0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Экспериментальные и особые группы.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708"/>
        <w:gridCol w:w="709"/>
        <w:gridCol w:w="709"/>
        <w:gridCol w:w="868"/>
        <w:gridCol w:w="691"/>
        <w:gridCol w:w="1341"/>
        <w:gridCol w:w="927"/>
        <w:gridCol w:w="709"/>
        <w:gridCol w:w="1134"/>
      </w:tblGrid>
      <w:tr w:rsidR="00DA227A" w:rsidRPr="00E93F40" w14:paraId="4B4F6761" w14:textId="77777777">
        <w:tc>
          <w:tcPr>
            <w:tcW w:w="1281" w:type="dxa"/>
          </w:tcPr>
          <w:p w14:paraId="01CB5B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7188E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предъяв. на госисп.</w:t>
            </w:r>
          </w:p>
        </w:tc>
        <w:tc>
          <w:tcPr>
            <w:tcW w:w="654" w:type="dxa"/>
          </w:tcPr>
          <w:p w14:paraId="2B26D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w:t>
            </w:r>
          </w:p>
        </w:tc>
        <w:tc>
          <w:tcPr>
            <w:tcW w:w="708" w:type="dxa"/>
          </w:tcPr>
          <w:p w14:paraId="0D52F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43B80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709" w:type="dxa"/>
          </w:tcPr>
          <w:p w14:paraId="0712E9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 скорость</w:t>
            </w:r>
          </w:p>
        </w:tc>
        <w:tc>
          <w:tcPr>
            <w:tcW w:w="868" w:type="dxa"/>
          </w:tcPr>
          <w:p w14:paraId="7BA02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 радиус при перегруз.</w:t>
            </w:r>
          </w:p>
        </w:tc>
        <w:tc>
          <w:tcPr>
            <w:tcW w:w="691" w:type="dxa"/>
          </w:tcPr>
          <w:p w14:paraId="4A350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 сбрасыв. груз/ сбрасыв. груз при перегруз.</w:t>
            </w:r>
          </w:p>
        </w:tc>
        <w:tc>
          <w:tcPr>
            <w:tcW w:w="1341" w:type="dxa"/>
          </w:tcPr>
          <w:p w14:paraId="6EDCE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927" w:type="dxa"/>
          </w:tcPr>
          <w:p w14:paraId="2B8CB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w:t>
            </w:r>
          </w:p>
        </w:tc>
        <w:tc>
          <w:tcPr>
            <w:tcW w:w="709" w:type="dxa"/>
          </w:tcPr>
          <w:p w14:paraId="505FF7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 заменяет при выходе</w:t>
            </w:r>
          </w:p>
        </w:tc>
        <w:tc>
          <w:tcPr>
            <w:tcW w:w="1134" w:type="dxa"/>
          </w:tcPr>
          <w:p w14:paraId="0CAFB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34CB67EC" w14:textId="77777777">
        <w:tc>
          <w:tcPr>
            <w:tcW w:w="1281" w:type="dxa"/>
          </w:tcPr>
          <w:p w14:paraId="403DE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w:t>
            </w:r>
          </w:p>
        </w:tc>
        <w:tc>
          <w:tcPr>
            <w:tcW w:w="867" w:type="dxa"/>
          </w:tcPr>
          <w:p w14:paraId="216D60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C1CF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E66EE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DCD75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28EC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30C9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65C9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59720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8B28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68CD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37AB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E30512" w14:textId="77777777">
        <w:tc>
          <w:tcPr>
            <w:tcW w:w="1281" w:type="dxa"/>
          </w:tcPr>
          <w:p w14:paraId="7A5EA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 пушечный особой схемы (ДИП2-М34)</w:t>
            </w:r>
          </w:p>
        </w:tc>
        <w:tc>
          <w:tcPr>
            <w:tcW w:w="867" w:type="dxa"/>
          </w:tcPr>
          <w:p w14:paraId="1C532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3D89DA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8" w:type="dxa"/>
          </w:tcPr>
          <w:p w14:paraId="6C7D4E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350/-/8</w:t>
            </w:r>
          </w:p>
        </w:tc>
        <w:tc>
          <w:tcPr>
            <w:tcW w:w="709" w:type="dxa"/>
          </w:tcPr>
          <w:p w14:paraId="1E263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709" w:type="dxa"/>
          </w:tcPr>
          <w:p w14:paraId="3B08D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8" w:type="dxa"/>
          </w:tcPr>
          <w:p w14:paraId="5C4EF1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300/600</w:t>
            </w:r>
          </w:p>
        </w:tc>
        <w:tc>
          <w:tcPr>
            <w:tcW w:w="691" w:type="dxa"/>
          </w:tcPr>
          <w:p w14:paraId="5B9BBE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341" w:type="dxa"/>
          </w:tcPr>
          <w:p w14:paraId="00F8E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 пушка и пулем.</w:t>
            </w:r>
          </w:p>
          <w:p w14:paraId="678E7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 10, 50, ЗАМы гирлянды</w:t>
            </w:r>
          </w:p>
        </w:tc>
        <w:tc>
          <w:tcPr>
            <w:tcW w:w="927" w:type="dxa"/>
          </w:tcPr>
          <w:p w14:paraId="60D13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54ED09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709" w:type="dxa"/>
          </w:tcPr>
          <w:p w14:paraId="249B85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D606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078613" w14:textId="77777777">
        <w:tc>
          <w:tcPr>
            <w:tcW w:w="1281" w:type="dxa"/>
          </w:tcPr>
          <w:p w14:paraId="7E4669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 самолет, он же рекордный на высоту</w:t>
            </w:r>
          </w:p>
        </w:tc>
        <w:tc>
          <w:tcPr>
            <w:tcW w:w="867" w:type="dxa"/>
          </w:tcPr>
          <w:p w14:paraId="6E4ACF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1933 г.</w:t>
            </w:r>
          </w:p>
        </w:tc>
        <w:tc>
          <w:tcPr>
            <w:tcW w:w="654" w:type="dxa"/>
          </w:tcPr>
          <w:p w14:paraId="46F55D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10000-12000</w:t>
            </w:r>
          </w:p>
        </w:tc>
        <w:tc>
          <w:tcPr>
            <w:tcW w:w="708" w:type="dxa"/>
          </w:tcPr>
          <w:p w14:paraId="4E07E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1F567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709" w:type="dxa"/>
          </w:tcPr>
          <w:p w14:paraId="52EB8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16AF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00E0D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6227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6F3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815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DD27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двух экземпляров ведут ВВА и Глававиапр.</w:t>
            </w:r>
          </w:p>
        </w:tc>
      </w:tr>
      <w:tr w:rsidR="00DA227A" w:rsidRPr="00E93F40" w14:paraId="6A2A4568" w14:textId="77777777">
        <w:tc>
          <w:tcPr>
            <w:tcW w:w="1281" w:type="dxa"/>
          </w:tcPr>
          <w:p w14:paraId="21AF46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скоростной под мотор М32</w:t>
            </w:r>
          </w:p>
        </w:tc>
        <w:tc>
          <w:tcPr>
            <w:tcW w:w="867" w:type="dxa"/>
          </w:tcPr>
          <w:p w14:paraId="5C425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78177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83CC9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0D5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7E25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B61A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C1D6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E3021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7809D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36B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5C8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69CC7F" w14:textId="77777777">
        <w:tc>
          <w:tcPr>
            <w:tcW w:w="1281" w:type="dxa"/>
          </w:tcPr>
          <w:p w14:paraId="72B5A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на дальность</w:t>
            </w:r>
          </w:p>
        </w:tc>
        <w:tc>
          <w:tcPr>
            <w:tcW w:w="867" w:type="dxa"/>
          </w:tcPr>
          <w:p w14:paraId="3DD6C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w:t>
            </w:r>
          </w:p>
        </w:tc>
        <w:tc>
          <w:tcPr>
            <w:tcW w:w="654" w:type="dxa"/>
          </w:tcPr>
          <w:p w14:paraId="73071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318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384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28EF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66E6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3B39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CC90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82354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E65FE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9D66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BB353B" w14:textId="77777777">
        <w:tc>
          <w:tcPr>
            <w:tcW w:w="1281" w:type="dxa"/>
          </w:tcPr>
          <w:p w14:paraId="35D6EF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летающее крыло (парабола Чарановского)</w:t>
            </w:r>
          </w:p>
        </w:tc>
        <w:tc>
          <w:tcPr>
            <w:tcW w:w="867" w:type="dxa"/>
          </w:tcPr>
          <w:p w14:paraId="11A6CA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46C075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06C19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2459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8973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B2BD7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BF2C3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B557E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9DA3A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4059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6B83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BBAFF3" w14:textId="77777777">
        <w:tc>
          <w:tcPr>
            <w:tcW w:w="1281" w:type="dxa"/>
          </w:tcPr>
          <w:p w14:paraId="7FF5E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раздвижными крыльями (У3 бис М48)</w:t>
            </w:r>
          </w:p>
        </w:tc>
        <w:tc>
          <w:tcPr>
            <w:tcW w:w="867" w:type="dxa"/>
          </w:tcPr>
          <w:p w14:paraId="17DDE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37727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708" w:type="dxa"/>
          </w:tcPr>
          <w:p w14:paraId="3C50DB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709" w:type="dxa"/>
          </w:tcPr>
          <w:p w14:paraId="050FC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49B835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c>
          <w:tcPr>
            <w:tcW w:w="868" w:type="dxa"/>
          </w:tcPr>
          <w:p w14:paraId="3AE79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691" w:type="dxa"/>
          </w:tcPr>
          <w:p w14:paraId="61221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341" w:type="dxa"/>
          </w:tcPr>
          <w:p w14:paraId="734A8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Легк. пулем. </w:t>
            </w:r>
          </w:p>
        </w:tc>
        <w:tc>
          <w:tcPr>
            <w:tcW w:w="927" w:type="dxa"/>
          </w:tcPr>
          <w:p w14:paraId="0E6FA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709" w:type="dxa"/>
          </w:tcPr>
          <w:p w14:paraId="6BBBC3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34" w:type="dxa"/>
          </w:tcPr>
          <w:p w14:paraId="1D4EB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ведет ВТУЗ ГУГВФа</w:t>
            </w:r>
          </w:p>
        </w:tc>
      </w:tr>
      <w:tr w:rsidR="00DA227A" w:rsidRPr="00E93F40" w14:paraId="0B609248" w14:textId="77777777">
        <w:tc>
          <w:tcPr>
            <w:tcW w:w="1281" w:type="dxa"/>
          </w:tcPr>
          <w:p w14:paraId="0E59F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особым типом разрезных крыльев (системы Кричевского)</w:t>
            </w:r>
          </w:p>
        </w:tc>
        <w:tc>
          <w:tcPr>
            <w:tcW w:w="867" w:type="dxa"/>
          </w:tcPr>
          <w:p w14:paraId="2C305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 1932 г.</w:t>
            </w:r>
          </w:p>
        </w:tc>
        <w:tc>
          <w:tcPr>
            <w:tcW w:w="654" w:type="dxa"/>
          </w:tcPr>
          <w:p w14:paraId="5589B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E9835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4907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CBC31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AC16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9C680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F4B0F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AEE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1E8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CCD4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626927" w14:textId="77777777">
        <w:tc>
          <w:tcPr>
            <w:tcW w:w="1281" w:type="dxa"/>
          </w:tcPr>
          <w:p w14:paraId="12D89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 (ВГ2)</w:t>
            </w:r>
          </w:p>
        </w:tc>
        <w:tc>
          <w:tcPr>
            <w:tcW w:w="867" w:type="dxa"/>
          </w:tcPr>
          <w:p w14:paraId="19D7C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06CD4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BF43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C2F7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A30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4C38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B748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30956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EF155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61E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5B13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FB2343" w14:textId="77777777">
        <w:tc>
          <w:tcPr>
            <w:tcW w:w="1281" w:type="dxa"/>
          </w:tcPr>
          <w:p w14:paraId="5C68E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w:t>
            </w:r>
          </w:p>
        </w:tc>
        <w:tc>
          <w:tcPr>
            <w:tcW w:w="867" w:type="dxa"/>
          </w:tcPr>
          <w:p w14:paraId="3EB0E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w:t>
            </w:r>
          </w:p>
        </w:tc>
        <w:tc>
          <w:tcPr>
            <w:tcW w:w="654" w:type="dxa"/>
          </w:tcPr>
          <w:p w14:paraId="23883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C5EB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9687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FEA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EA13D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AD40D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410BB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E91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A360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2E3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D90537" w14:textId="77777777">
        <w:tc>
          <w:tcPr>
            <w:tcW w:w="1281" w:type="dxa"/>
          </w:tcPr>
          <w:p w14:paraId="758481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w:t>
            </w:r>
          </w:p>
        </w:tc>
        <w:tc>
          <w:tcPr>
            <w:tcW w:w="867" w:type="dxa"/>
          </w:tcPr>
          <w:p w14:paraId="776AF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w:t>
            </w:r>
          </w:p>
        </w:tc>
        <w:tc>
          <w:tcPr>
            <w:tcW w:w="654" w:type="dxa"/>
          </w:tcPr>
          <w:p w14:paraId="5CC3E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1F70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E9A8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8026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0552B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E63ED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AA870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AECF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1A5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BD26E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A095AE" w14:textId="77777777">
        <w:tc>
          <w:tcPr>
            <w:tcW w:w="1281" w:type="dxa"/>
          </w:tcPr>
          <w:p w14:paraId="3AAA05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реактивным двигателем</w:t>
            </w:r>
          </w:p>
        </w:tc>
        <w:tc>
          <w:tcPr>
            <w:tcW w:w="867" w:type="dxa"/>
          </w:tcPr>
          <w:p w14:paraId="27A28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2025CF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5A4D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9A1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5CD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4BAD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02FAA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F9B9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EFAE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78F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F3E4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Работу ведет Гидродинамическая лаборатория</w:t>
            </w:r>
          </w:p>
        </w:tc>
      </w:tr>
      <w:tr w:rsidR="00DA227A" w:rsidRPr="00E93F40" w14:paraId="586C641C" w14:textId="77777777">
        <w:tc>
          <w:tcPr>
            <w:tcW w:w="1281" w:type="dxa"/>
          </w:tcPr>
          <w:p w14:paraId="199B1D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нефтяным двигателем Паккард</w:t>
            </w:r>
          </w:p>
        </w:tc>
        <w:tc>
          <w:tcPr>
            <w:tcW w:w="867" w:type="dxa"/>
          </w:tcPr>
          <w:p w14:paraId="6EC41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507F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E01E3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8438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82C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49FE1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499C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BBFF4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E0D69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9CC5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05498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мотора производит ГУГВФ</w:t>
            </w:r>
          </w:p>
        </w:tc>
      </w:tr>
      <w:tr w:rsidR="00DA227A" w:rsidRPr="00E93F40" w14:paraId="1BD701A1" w14:textId="77777777">
        <w:tc>
          <w:tcPr>
            <w:tcW w:w="1281" w:type="dxa"/>
          </w:tcPr>
          <w:p w14:paraId="51496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Корабельный разведчик …, он же катапультный (КР2-М34)</w:t>
            </w:r>
          </w:p>
        </w:tc>
        <w:tc>
          <w:tcPr>
            <w:tcW w:w="867" w:type="dxa"/>
          </w:tcPr>
          <w:p w14:paraId="0781FE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 г.</w:t>
            </w:r>
          </w:p>
        </w:tc>
        <w:tc>
          <w:tcPr>
            <w:tcW w:w="654" w:type="dxa"/>
          </w:tcPr>
          <w:p w14:paraId="210A6A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708" w:type="dxa"/>
          </w:tcPr>
          <w:p w14:paraId="27B2CD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709" w:type="dxa"/>
          </w:tcPr>
          <w:p w14:paraId="11861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709" w:type="dxa"/>
          </w:tcPr>
          <w:p w14:paraId="6168D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 115</w:t>
            </w:r>
          </w:p>
        </w:tc>
        <w:tc>
          <w:tcPr>
            <w:tcW w:w="868" w:type="dxa"/>
          </w:tcPr>
          <w:p w14:paraId="0E87A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350/550</w:t>
            </w:r>
          </w:p>
        </w:tc>
        <w:tc>
          <w:tcPr>
            <w:tcW w:w="691" w:type="dxa"/>
          </w:tcPr>
          <w:p w14:paraId="041613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341" w:type="dxa"/>
          </w:tcPr>
          <w:p w14:paraId="5E05A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 Калибры бомб –10, 50</w:t>
            </w:r>
          </w:p>
        </w:tc>
        <w:tc>
          <w:tcPr>
            <w:tcW w:w="927" w:type="dxa"/>
          </w:tcPr>
          <w:p w14:paraId="1A672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709" w:type="dxa"/>
          </w:tcPr>
          <w:p w14:paraId="017A8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КР1-ЮV</w:t>
            </w:r>
          </w:p>
        </w:tc>
        <w:tc>
          <w:tcPr>
            <w:tcW w:w="1134" w:type="dxa"/>
          </w:tcPr>
          <w:p w14:paraId="55B48D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должен иметь варианты:</w:t>
            </w:r>
          </w:p>
          <w:p w14:paraId="0A9EB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разрез. и в то же время склад.</w:t>
            </w:r>
          </w:p>
          <w:p w14:paraId="07351E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выдвижн.</w:t>
            </w:r>
          </w:p>
        </w:tc>
      </w:tr>
      <w:tr w:rsidR="00DA227A" w:rsidRPr="00E93F40" w14:paraId="55198B0F" w14:textId="77777777">
        <w:tc>
          <w:tcPr>
            <w:tcW w:w="1281" w:type="dxa"/>
          </w:tcPr>
          <w:p w14:paraId="22663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подлодок (СПЛ)</w:t>
            </w:r>
          </w:p>
        </w:tc>
        <w:tc>
          <w:tcPr>
            <w:tcW w:w="867" w:type="dxa"/>
          </w:tcPr>
          <w:p w14:paraId="46995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654" w:type="dxa"/>
          </w:tcPr>
          <w:p w14:paraId="03D4F4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BB66D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8C5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F39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942D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33CF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5DF6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632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25E6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A431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устанавлив. особо.</w:t>
            </w:r>
          </w:p>
          <w:p w14:paraId="5AE9C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Место проектиров. и постр. </w:t>
            </w:r>
            <w:r w:rsidRPr="00E93F40">
              <w:rPr>
                <w:rFonts w:ascii="Times New Roman" w:hAnsi="Times New Roman"/>
                <w:color w:val="000000" w:themeColor="text1"/>
                <w:sz w:val="16"/>
                <w:szCs w:val="16"/>
              </w:rPr>
              <w:lastRenderedPageBreak/>
              <w:t>Находит. УВВС.</w:t>
            </w:r>
          </w:p>
        </w:tc>
      </w:tr>
      <w:tr w:rsidR="00DA227A" w:rsidRPr="00E93F40" w14:paraId="06419923" w14:textId="77777777">
        <w:tc>
          <w:tcPr>
            <w:tcW w:w="1281" w:type="dxa"/>
          </w:tcPr>
          <w:p w14:paraId="4FF89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Особой группы</w:t>
            </w:r>
          </w:p>
        </w:tc>
        <w:tc>
          <w:tcPr>
            <w:tcW w:w="867" w:type="dxa"/>
          </w:tcPr>
          <w:p w14:paraId="0F7E3A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89631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02BE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555F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6C7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45DB8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A8091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14A0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F5B6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19A1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F630E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E4D892" w14:textId="77777777">
        <w:tc>
          <w:tcPr>
            <w:tcW w:w="1281" w:type="dxa"/>
          </w:tcPr>
          <w:p w14:paraId="1D9C7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«Таран» (ТА1)</w:t>
            </w:r>
          </w:p>
        </w:tc>
        <w:tc>
          <w:tcPr>
            <w:tcW w:w="867" w:type="dxa"/>
          </w:tcPr>
          <w:p w14:paraId="16605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54" w:type="dxa"/>
          </w:tcPr>
          <w:p w14:paraId="0848E8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8" w:type="dxa"/>
          </w:tcPr>
          <w:p w14:paraId="70147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400/-/6</w:t>
            </w:r>
          </w:p>
        </w:tc>
        <w:tc>
          <w:tcPr>
            <w:tcW w:w="709" w:type="dxa"/>
          </w:tcPr>
          <w:p w14:paraId="5C6037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709" w:type="dxa"/>
          </w:tcPr>
          <w:p w14:paraId="722E7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7B9DC8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w:t>
            </w:r>
          </w:p>
        </w:tc>
        <w:tc>
          <w:tcPr>
            <w:tcW w:w="691" w:type="dxa"/>
          </w:tcPr>
          <w:p w14:paraId="6F1117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341" w:type="dxa"/>
          </w:tcPr>
          <w:p w14:paraId="7DB7F1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ЗАМы</w:t>
            </w:r>
          </w:p>
        </w:tc>
        <w:tc>
          <w:tcPr>
            <w:tcW w:w="927" w:type="dxa"/>
          </w:tcPr>
          <w:p w14:paraId="14ABA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1901C4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34" w:type="dxa"/>
          </w:tcPr>
          <w:p w14:paraId="73E24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485524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p w14:paraId="05600C8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«Особой группы» строятся в порядке особой засекреченности, не проходя обычных путей разработки и утверждения требований и макетов. Самолеты этой группы проходят специальные испытания и быть введенными на вооружение ВВС в мирное время не предполагаются.</w:t>
      </w:r>
    </w:p>
    <w:p w14:paraId="50CC5DB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4B353A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(Апрель 1932 года начальник ВВС Алкснис) (3530,16-22).</w:t>
      </w:r>
    </w:p>
    <w:p w14:paraId="541829C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089775" w14:textId="77777777" w:rsidR="00E6267E"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AA73240" w14:textId="77777777" w:rsidR="00E6267E" w:rsidRPr="00E93F40" w:rsidRDefault="00E626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3FBDC8" w14:textId="2F8D171E" w:rsidR="00E6267E" w:rsidRPr="00E93F40" w:rsidRDefault="00E6267E" w:rsidP="00E93F40">
      <w:pPr>
        <w:pStyle w:val="book"/>
        <w:spacing w:before="0" w:beforeAutospacing="0" w:after="0" w:afterAutospacing="0"/>
        <w:jc w:val="both"/>
        <w:rPr>
          <w:color w:val="000000" w:themeColor="text1"/>
          <w:sz w:val="16"/>
          <w:szCs w:val="16"/>
        </w:rPr>
      </w:pPr>
      <w:r w:rsidRPr="00E93F40">
        <w:rPr>
          <w:color w:val="000000" w:themeColor="text1"/>
          <w:sz w:val="16"/>
          <w:szCs w:val="16"/>
        </w:rPr>
        <w:t>18 апреля 1933</w:t>
      </w:r>
      <w:r w:rsidR="007C1411" w:rsidRPr="00E93F40">
        <w:rPr>
          <w:color w:val="000000" w:themeColor="text1"/>
          <w:sz w:val="16"/>
          <w:szCs w:val="16"/>
        </w:rPr>
        <w:t xml:space="preserve"> </w:t>
      </w:r>
      <w:r w:rsidRPr="00E93F40">
        <w:rPr>
          <w:color w:val="000000" w:themeColor="text1"/>
          <w:sz w:val="16"/>
          <w:szCs w:val="16"/>
        </w:rPr>
        <w:t>г. лица, проходящие по делу фирмы «Метрополитен-Виккерс» специальным присутствием в суде СССР были осуждены к различным срокам заключения.</w:t>
      </w:r>
    </w:p>
    <w:p w14:paraId="47607726" w14:textId="77777777" w:rsidR="00E6267E" w:rsidRPr="00E93F40" w:rsidRDefault="00E6267E" w:rsidP="00E93F40">
      <w:pPr>
        <w:pStyle w:val="book"/>
        <w:spacing w:before="0" w:beforeAutospacing="0" w:after="0" w:afterAutospacing="0"/>
        <w:jc w:val="both"/>
        <w:rPr>
          <w:color w:val="000000" w:themeColor="text1"/>
          <w:sz w:val="16"/>
          <w:szCs w:val="16"/>
        </w:rPr>
      </w:pPr>
      <w:r w:rsidRPr="00E93F40">
        <w:rPr>
          <w:color w:val="000000" w:themeColor="text1"/>
          <w:sz w:val="16"/>
          <w:szCs w:val="16"/>
        </w:rPr>
        <w:t>Вместе с шестью англичанами по процессу проходили и 12 граждан СССР.</w:t>
      </w:r>
    </w:p>
    <w:p w14:paraId="5AC7D04F" w14:textId="77777777" w:rsidR="00E6267E" w:rsidRPr="00E93F40" w:rsidRDefault="00E6267E" w:rsidP="00E93F40">
      <w:pPr>
        <w:pStyle w:val="book"/>
        <w:spacing w:before="0" w:beforeAutospacing="0" w:after="0" w:afterAutospacing="0"/>
        <w:jc w:val="both"/>
        <w:rPr>
          <w:color w:val="000000" w:themeColor="text1"/>
          <w:sz w:val="16"/>
          <w:szCs w:val="16"/>
        </w:rPr>
      </w:pPr>
      <w:r w:rsidRPr="00E93F40">
        <w:rPr>
          <w:color w:val="000000" w:themeColor="text1"/>
          <w:sz w:val="16"/>
          <w:szCs w:val="16"/>
        </w:rPr>
        <w:t>О настроениях ИТР, рабочих и служащих предприятий и учреждений Москвы в связи с процессом ОГПУ ежедневно готовилась сводка. Отношения к этому процессу противоречивы. Интересно высказывание директора завода «Каучук» Вольпе: «Я уважаю Сталина за то, что он сумел построить такую организацию, которая подчиняется его малейшему движению. Этот процесс тоже вовремя выпущен в свет. Плохо стало с электроснабжением, стали в Харькове аварии станций, бац, выпускаются вредители, плохо стало с хлебом, голодает чуть ли не вся Россия, бац, выпускаются в свет вредители сельского хозяйства. Вообще все это ловко устроено»</w:t>
      </w:r>
      <w:bookmarkStart w:id="22" w:name="r362"/>
      <w:bookmarkEnd w:id="22"/>
      <w:r w:rsidRPr="00E93F40">
        <w:rPr>
          <w:color w:val="000000" w:themeColor="text1"/>
          <w:sz w:val="16"/>
          <w:szCs w:val="16"/>
        </w:rPr>
        <w:t>.</w:t>
      </w:r>
    </w:p>
    <w:p w14:paraId="3E8F48EE" w14:textId="277422F2" w:rsidR="00E6267E" w:rsidRPr="00E93F40" w:rsidRDefault="00E6267E" w:rsidP="00E93F40">
      <w:pPr>
        <w:pStyle w:val="book"/>
        <w:spacing w:before="0" w:beforeAutospacing="0" w:after="0" w:afterAutospacing="0"/>
        <w:jc w:val="both"/>
        <w:rPr>
          <w:color w:val="000000" w:themeColor="text1"/>
          <w:sz w:val="16"/>
          <w:szCs w:val="16"/>
        </w:rPr>
      </w:pPr>
      <w:r w:rsidRPr="00E93F40">
        <w:rPr>
          <w:color w:val="000000" w:themeColor="text1"/>
          <w:sz w:val="16"/>
          <w:szCs w:val="16"/>
        </w:rPr>
        <w:t>В обзорах иностранной прессы сообщалось о методах допроса, применяемых к англичанам. Так, Тернтон допрашивался в течение 21 часа без перерыва. Он был доведен до состояния умственной апатии. Другим арестованным говорили, что их коллеги сознались, и т.</w:t>
      </w:r>
      <w:r w:rsidR="007C1411" w:rsidRPr="00E93F40">
        <w:rPr>
          <w:color w:val="000000" w:themeColor="text1"/>
          <w:sz w:val="16"/>
          <w:szCs w:val="16"/>
        </w:rPr>
        <w:t xml:space="preserve"> </w:t>
      </w:r>
      <w:r w:rsidRPr="00E93F40">
        <w:rPr>
          <w:color w:val="000000" w:themeColor="text1"/>
          <w:sz w:val="16"/>
          <w:szCs w:val="16"/>
        </w:rPr>
        <w:t>д.</w:t>
      </w:r>
      <w:bookmarkStart w:id="23" w:name="r363"/>
      <w:bookmarkEnd w:id="23"/>
    </w:p>
    <w:p w14:paraId="19EDB153" w14:textId="77777777" w:rsidR="00E6267E" w:rsidRPr="00E93F40" w:rsidRDefault="00E6267E" w:rsidP="00E93F40">
      <w:pPr>
        <w:pStyle w:val="book"/>
        <w:spacing w:before="0" w:beforeAutospacing="0" w:after="0" w:afterAutospacing="0"/>
        <w:jc w:val="both"/>
        <w:rPr>
          <w:color w:val="000000" w:themeColor="text1"/>
          <w:sz w:val="16"/>
          <w:szCs w:val="16"/>
        </w:rPr>
      </w:pPr>
      <w:r w:rsidRPr="00E93F40">
        <w:rPr>
          <w:color w:val="000000" w:themeColor="text1"/>
          <w:sz w:val="16"/>
          <w:szCs w:val="16"/>
        </w:rPr>
        <w:t>Процесс вызвал возмущение в мире. В ответ на американскую правительственную телеграмму Сталин писал: «Ваши опасения насчет безопасности американских граждан в СССР не имеют никакого основания…</w:t>
      </w:r>
    </w:p>
    <w:p w14:paraId="4EB86EFB" w14:textId="77777777" w:rsidR="00E6267E" w:rsidRPr="00E93F40" w:rsidRDefault="00E6267E" w:rsidP="00E93F40">
      <w:pPr>
        <w:pStyle w:val="book"/>
        <w:spacing w:before="0" w:beforeAutospacing="0" w:after="0" w:afterAutospacing="0"/>
        <w:jc w:val="both"/>
        <w:rPr>
          <w:color w:val="000000" w:themeColor="text1"/>
          <w:sz w:val="16"/>
          <w:szCs w:val="16"/>
        </w:rPr>
      </w:pPr>
      <w:r w:rsidRPr="00E93F40">
        <w:rPr>
          <w:color w:val="000000" w:themeColor="text1"/>
          <w:sz w:val="16"/>
          <w:szCs w:val="16"/>
        </w:rPr>
        <w:t>Не было случая и не может быть случая, когда кто-либо в СССР мог стать предметом преследования за национальное происхождение. Это особенно верно по отношению к иностранным специалистам в СССР, включая и американских специалистов, работа которых, по моему мнению, достойна одобрения.</w:t>
      </w:r>
    </w:p>
    <w:p w14:paraId="14866502" w14:textId="77777777" w:rsidR="00E6267E" w:rsidRPr="00E93F40" w:rsidRDefault="00E6267E" w:rsidP="00E93F40">
      <w:pPr>
        <w:pStyle w:val="book"/>
        <w:spacing w:before="0" w:beforeAutospacing="0" w:after="0" w:afterAutospacing="0"/>
        <w:jc w:val="both"/>
        <w:rPr>
          <w:color w:val="000000" w:themeColor="text1"/>
          <w:sz w:val="16"/>
          <w:szCs w:val="16"/>
        </w:rPr>
      </w:pPr>
      <w:r w:rsidRPr="00E93F40">
        <w:rPr>
          <w:color w:val="000000" w:themeColor="text1"/>
          <w:sz w:val="16"/>
          <w:szCs w:val="16"/>
        </w:rPr>
        <w:t>Что касается нескольких англичан из «Метрополитена-Виккерс», то они привлечены к ответственности не как англичане, а как люди, нарушившие, по утверждению следственных властей, законы СССР.</w:t>
      </w:r>
    </w:p>
    <w:p w14:paraId="02DDBEB2" w14:textId="77777777" w:rsidR="00E6267E" w:rsidRPr="00E93F40" w:rsidRDefault="00E6267E" w:rsidP="00E93F40">
      <w:pPr>
        <w:pStyle w:val="book"/>
        <w:spacing w:before="0" w:beforeAutospacing="0" w:after="0" w:afterAutospacing="0"/>
        <w:jc w:val="both"/>
        <w:rPr>
          <w:color w:val="000000" w:themeColor="text1"/>
          <w:sz w:val="16"/>
          <w:szCs w:val="16"/>
        </w:rPr>
      </w:pPr>
      <w:r w:rsidRPr="00E93F40">
        <w:rPr>
          <w:color w:val="000000" w:themeColor="text1"/>
          <w:sz w:val="16"/>
          <w:szCs w:val="16"/>
        </w:rPr>
        <w:t>Разве русские не так же привлечены к ответственности? Я не знаю, какое отношение может иметь это дело к американским гражданам» (17146).</w:t>
      </w:r>
      <w:bookmarkStart w:id="24" w:name="r364"/>
      <w:bookmarkEnd w:id="24"/>
    </w:p>
    <w:p w14:paraId="0FE95249" w14:textId="77777777" w:rsidR="00E6267E" w:rsidRPr="00E93F40" w:rsidRDefault="00E6267E" w:rsidP="00E93F40">
      <w:pPr>
        <w:pStyle w:val="book"/>
        <w:spacing w:before="0" w:beforeAutospacing="0" w:after="0" w:afterAutospacing="0"/>
        <w:jc w:val="both"/>
        <w:rPr>
          <w:color w:val="000000" w:themeColor="text1"/>
          <w:sz w:val="16"/>
          <w:szCs w:val="16"/>
        </w:rPr>
      </w:pPr>
    </w:p>
    <w:p w14:paraId="0506870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676CD1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6A7CCDD"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апреля в 1932 году под управлением летчика-испытателя помощника сержанта Хосе Онорио Родригеса состоялся первый полет самолета чисто аргентинской постройки – «Ае.С.2». «Ае.С.2» (Гражданский самолёт тип 2) разработан на государственном предприятие «la Fabrica Militar de Aviones» (FMA - Авиационная Военная Фабрика). Он представлял собой двухместный низкоплан (прототип был одноместным), оснащенный пятицилиндровым двигателем «Wright Whirlwind» «R-54013» мощностью 165 л.с. Было выпущено все два экземпляра самолета, на которых пилоты Осорио Арана и Мартин Р.Каиро совершили рекламный полет через всю страну (15103).</w:t>
      </w:r>
    </w:p>
    <w:p w14:paraId="1E6B39BE"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132BB85A" w14:textId="15BEC536" w:rsidR="00C650F4" w:rsidRPr="00E93F40" w:rsidRDefault="00C65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Под управлением летчика-испытателя помощника сержанта Хосе Онорио Родригеса состоялся первый полет самолета чисто аргентинской постройки - Ае.С.2. Ае.С.2 (Гражданский самолёт тип 2) разработан на государственном предприятие la Fabrica Militar de Aviones (FMA - Авиационная Военная Фабрика). Он представлял собой двухместный низкоплан (прототип был одноместным), оснащенный пятицилиндровым двигателем Wright Whirlwind R-54013 мощностью 165 л.с. Было выпущено все два экземпляра самолета, на которых пилоты Осорио Арана и Мартин Р. Каиро совершили рекламный полет через всю страну.</w:t>
      </w:r>
    </w:p>
    <w:p w14:paraId="0F4C0268" w14:textId="08EBD204" w:rsidR="00C650F4" w:rsidRPr="00E93F40" w:rsidRDefault="00C65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Гражданских заказов больше не последовало, однако еще семь самолетов были заказаны для ВВС Аргентины. Эти самолеты получившие обозначение Ae.M.E.1, использовались как учебно-тренировочных целях и для наблюдения.</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Все они находились в эксплуатации в эскадрильи "Sol de Mayo". В 1933 году шесть из них участвовали в большом перелете эскадрильи в Бразилию. Специально для этого перелета самолет переоборудовали новым двигателем Wright R-760 мощностью 240 л.с. (22531).</w:t>
      </w:r>
    </w:p>
    <w:p w14:paraId="7204FB9D" w14:textId="77777777" w:rsidR="00C650F4" w:rsidRPr="00E93F40" w:rsidRDefault="00C650F4" w:rsidP="00E93F40">
      <w:pPr>
        <w:spacing w:after="0" w:line="240" w:lineRule="auto"/>
        <w:jc w:val="both"/>
        <w:rPr>
          <w:rFonts w:ascii="Times New Roman" w:hAnsi="Times New Roman"/>
          <w:color w:val="000000" w:themeColor="text1"/>
          <w:sz w:val="16"/>
          <w:szCs w:val="16"/>
        </w:rPr>
      </w:pPr>
    </w:p>
    <w:p w14:paraId="1292E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апреля 1932 Японцы создали на территории Манчжурии государство Манчжоуго (1285).</w:t>
      </w:r>
    </w:p>
    <w:p w14:paraId="27B97E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494FE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18B404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62D210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из-за катастрофы были прерваны гос. испытания головного серийного ТБ-3-4М17 (6778).</w:t>
      </w:r>
    </w:p>
    <w:p w14:paraId="3C590FD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C08B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г. Нач. НИИ ВВС Бузанов получил решение заместителя Алксниса - Меженинова - нового самолета БНК-3 не строить, а использовать для опытных целей имеемые истребители. Несмотря на прямые указания Бузанов заказ на самолет БНК-3 не аннулировал...В конечном результате выявилось, что заказанный самолет не соответствует своим проектным данным и никакого интереса для опытных целей не представляет (3029,181).</w:t>
      </w:r>
    </w:p>
    <w:p w14:paraId="58B7B7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1A0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года выписка из протокола № 12 КО</w:t>
      </w:r>
    </w:p>
    <w:p w14:paraId="5035418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выполнении программы по авиации.</w:t>
      </w:r>
    </w:p>
    <w:p w14:paraId="261F6A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 Баранов</w:t>
      </w:r>
    </w:p>
    <w:p w14:paraId="1E3BF86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Констатировать, что программа по самолето- и моторостроению первого квартала выполнена с превышением; налицо значительный сдвиг в работе авиапромышленности.</w:t>
      </w:r>
    </w:p>
    <w:p w14:paraId="7DB5A1D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Признать необходимым реорганизацию заводского контроля.</w:t>
      </w:r>
    </w:p>
    <w:p w14:paraId="3C0EC32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Обеспечить закупку образцов иностранных моторов и интехпомощь валютой.</w:t>
      </w:r>
    </w:p>
    <w:p w14:paraId="1D623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комиссии в составе Тухачевского (председатель), Баранова, Алксниса, на основе обмена мнений разработать предложения и представить их на утверждение КО.</w:t>
      </w:r>
    </w:p>
    <w:p w14:paraId="5B0FC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работы – пятидневный.</w:t>
      </w:r>
    </w:p>
    <w:p w14:paraId="065F73A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о качестве самолето- и моторостроения заслушать особо на одном из ближайших заседаний КО.</w:t>
      </w:r>
    </w:p>
    <w:p w14:paraId="16E4C0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НКВМору установить порядок обязательных донесений летным составом о всех замеченных дефектах качества продукции; копии направлять Орджоникидзе.</w:t>
      </w:r>
    </w:p>
    <w:p w14:paraId="60B82CD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Выделить для ГУАПа 50 автомашин за счет НКТП (с зачетом 10 уже выделенных), 100 – из резерва СНК и 20 – за счет НКВМора.</w:t>
      </w:r>
    </w:p>
    <w:p w14:paraId="149CC9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строительства оперативных и постоянных аэродромов выделить УВВС 100 автомашин из резерва СНК (7429, 71).</w:t>
      </w:r>
    </w:p>
    <w:p w14:paraId="5DEC64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DE8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года выписка из протокола № 12 КО</w:t>
      </w:r>
    </w:p>
    <w:p w14:paraId="036F8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Назначить следующее заседание КО 3 мая 1932 года с повесткой дня: 2. Опытное строительство по авиации (7416, 177).</w:t>
      </w:r>
    </w:p>
    <w:p w14:paraId="68C8F7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C6F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года была подготовлена выписка из протокола № 12 КО</w:t>
      </w:r>
    </w:p>
    <w:p w14:paraId="6C36B7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Повестка очередного заседания КО.</w:t>
      </w:r>
    </w:p>
    <w:p w14:paraId="0A384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Назначить следующее заседание КО 3 мая с повесткой:</w:t>
      </w:r>
    </w:p>
    <w:p w14:paraId="2C6737D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Опытное строительство по авиации (3530,7).</w:t>
      </w:r>
    </w:p>
    <w:p w14:paraId="0ED521B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07BBF76" w14:textId="77777777" w:rsidR="00C650F4" w:rsidRPr="00E93F40" w:rsidRDefault="00C65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19 апреля 1932 вышло постановление № 408/140сс РЗ СТО или КО (№ 695/ко от 19.4.1932 г.) О передаче 100 моторов М-17 (19564).</w:t>
      </w:r>
    </w:p>
    <w:p w14:paraId="566D0B40" w14:textId="77777777" w:rsidR="00C650F4" w:rsidRPr="00E93F40" w:rsidRDefault="00C650F4" w:rsidP="00E93F40">
      <w:pPr>
        <w:spacing w:after="0" w:line="240" w:lineRule="auto"/>
        <w:jc w:val="both"/>
        <w:rPr>
          <w:rFonts w:ascii="Times New Roman" w:hAnsi="Times New Roman"/>
          <w:color w:val="000000" w:themeColor="text1"/>
          <w:sz w:val="16"/>
          <w:szCs w:val="16"/>
        </w:rPr>
      </w:pPr>
    </w:p>
    <w:p w14:paraId="217C67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19 апреля 1932 состоялось совещание Комиссии Зам. Пред. РВС тов. Тухачевского. Присутствовали Тухачевский, от УВВС - Я.И.Алкснис, Межанинов, от НИИ ВВС Пузанов, Аузан, Горощенко, Кудрявцев, от ЦАГИ - Н.М.Харламов, А.Н.Т., Е.К.Стоман, от ГУГВФ Анвельт, от НИИ ГУГВФ - Филипович, А.И.Путилов, Р.Л.Бартини. Рассматривали план опытного строительства по самолетам на 1932-34 гг. Решили: (351).</w:t>
      </w:r>
    </w:p>
    <w:p w14:paraId="3C9CF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Х1-2М34 передать в НИИ ГУГВФ;</w:t>
      </w:r>
    </w:p>
    <w:p w14:paraId="6D331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МИ3-2М34 - помочь ЦАГИ;</w:t>
      </w:r>
    </w:p>
    <w:p w14:paraId="5D5972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ДИ6-М34 - строить в ГУГВФ как конкурент ЛР;</w:t>
      </w:r>
    </w:p>
    <w:p w14:paraId="4B9D4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К1-2М34 - выпустить на гос. к 1 июля и помочь ЦАГИ;</w:t>
      </w:r>
    </w:p>
    <w:p w14:paraId="6B88C7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И13-М32 - на гос. к 01.06.1933;</w:t>
      </w:r>
    </w:p>
    <w:p w14:paraId="79489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И14-М38 и ВС2-2М52 - к постройке принять;</w:t>
      </w:r>
    </w:p>
    <w:p w14:paraId="70A16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П3-М52 и У3-М48 - строить силами ВТУЗ ГУГВФ и ГУАП;</w:t>
      </w:r>
    </w:p>
    <w:p w14:paraId="7A1EF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ТБ-7 как не имеющий реальных моторов - с плана снять;</w:t>
      </w:r>
    </w:p>
    <w:p w14:paraId="12153B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ТБ4-6М34 стальной в плане оставить со сроком 01.08.1934;</w:t>
      </w:r>
    </w:p>
    <w:p w14:paraId="539E4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МК1-6М34 в плане оставить;</w:t>
      </w:r>
    </w:p>
    <w:p w14:paraId="7AC1C6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МДР3 заводские на 01.02.1934;</w:t>
      </w:r>
    </w:p>
    <w:p w14:paraId="76F79D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МБР5 передать НИИ ГУГВФ;</w:t>
      </w:r>
    </w:p>
    <w:p w14:paraId="146F6E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работами по модификации самолетов считать установку М-34 на ТБ3 и на ТШ-2;</w:t>
      </w:r>
    </w:p>
    <w:p w14:paraId="11E5F7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Р10 из "новых материалов", Р?-2М34?, "для перевозки пушки", "бронированный миноносец", "летающий катер" из плана опытного строительства снять;</w:t>
      </w:r>
    </w:p>
    <w:p w14:paraId="3E623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создать отдельную единицу ГУАП экспериментальных машин с собственной производственной базой (351).</w:t>
      </w:r>
    </w:p>
    <w:p w14:paraId="589E9D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Самолетостроительный трест ставит Вас в известность, что самолеты ТШ-2 заводом N 16 будут сдаваться со следующим вооружением: крыльевыми пулеметными батареями, бомбодержателями дер-6 и бортовыми пулеметами, два для стрельбы через винт и два на турели (351).</w:t>
      </w:r>
    </w:p>
    <w:p w14:paraId="58147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Подписал сам Тухачевский (351).</w:t>
      </w:r>
    </w:p>
    <w:p w14:paraId="255116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B61ED9" w14:textId="77777777" w:rsidR="00791C12" w:rsidRPr="00E93F40" w:rsidRDefault="00791C1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г. в Казани открылась летно-планерная школа Осоавиахима с нациошльняы у кланом. Среди принятых учлетов 34,6% - татары. Из семи принятых девушек - четыре татарки.</w:t>
      </w:r>
    </w:p>
    <w:p w14:paraId="30CA46D8" w14:textId="77777777" w:rsidR="00791C12" w:rsidRPr="00E93F40" w:rsidRDefault="00791C1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/ВВФ, 1932, № 7/ (23370).</w:t>
      </w:r>
    </w:p>
    <w:p w14:paraId="5B0CA868" w14:textId="77777777" w:rsidR="00791C12" w:rsidRPr="00E93F40" w:rsidRDefault="00791C12" w:rsidP="00E93F40">
      <w:pPr>
        <w:spacing w:after="0" w:line="240" w:lineRule="auto"/>
        <w:jc w:val="both"/>
        <w:rPr>
          <w:rFonts w:ascii="Times New Roman" w:hAnsi="Times New Roman"/>
          <w:color w:val="000000" w:themeColor="text1"/>
          <w:sz w:val="16"/>
          <w:szCs w:val="16"/>
        </w:rPr>
      </w:pPr>
    </w:p>
    <w:p w14:paraId="32D4388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289F3E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5EC2BA"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19 апреля 1932. Постановление СТО СССР и Комиссии обороны № 407/139сс о постройке железнодорожных веток в районе Владивосток-Гродеково-Шкотово-Сучаны (ГА РФ. Ф. Р?8418. Оп. 28. Д. 1а. Л. 208?209) (12415).</w:t>
      </w:r>
    </w:p>
    <w:p w14:paraId="3B61434B"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408/140сс о передаче 100 моторов М?17 (ГА РФ. Ф. Р?8418. Оп. 28. Д. 1а. Л. 210) (12415).</w:t>
      </w:r>
    </w:p>
    <w:p w14:paraId="1D5F7967"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p>
    <w:p w14:paraId="72C120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ленинградский з-д Коминтерн начал изготовление самой большой в мире 500 вт радиостанции (3960, 153).</w:t>
      </w:r>
    </w:p>
    <w:p w14:paraId="75FAA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30E0A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4727117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D55E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Комиссия Обороны СССР одобрило постановление РВС и в решении "Об организации ВВС РККА" подтвердила, что ВВС превратились в самостоятельный род войск, обязав Наркомвоенмор разработать план развития ВВС на второе пятилетие с заказами промышленности по всем видам матчасти а также авиастроительства (66,182).</w:t>
      </w:r>
    </w:p>
    <w:p w14:paraId="54886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81C8BA" w14:textId="77777777" w:rsidR="00C650F4" w:rsidRPr="00E93F40" w:rsidRDefault="00C65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г. вышло постановление Комиссии обороны при СНК СССР «Об организации ВВС РККА». Вместе с постановлением РВС СССР «Об основах организации ВВС РККА» эти документы определили новый этап в развитии ВВС – из вспомогательного рода войск ВВС становились самостоятельным родом войск, которому отводилась одна из главных ролей в разрабатываемой военными умами стратегии глубокой наступательной операции. Такая стратегия предусматривала массированное применение не только танков и артиллерии, но и авиации, и воздушных десантов, что без парашютизма было невозможно (21402).</w:t>
      </w:r>
    </w:p>
    <w:p w14:paraId="1FFE49CF" w14:textId="77777777" w:rsidR="00C650F4" w:rsidRPr="00E93F40" w:rsidRDefault="00C650F4" w:rsidP="00E93F40">
      <w:pPr>
        <w:spacing w:after="0" w:line="240" w:lineRule="auto"/>
        <w:jc w:val="both"/>
        <w:rPr>
          <w:rFonts w:ascii="Times New Roman" w:hAnsi="Times New Roman"/>
          <w:color w:val="000000" w:themeColor="text1"/>
          <w:sz w:val="16"/>
          <w:szCs w:val="16"/>
        </w:rPr>
      </w:pPr>
    </w:p>
    <w:p w14:paraId="10484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постановление РВС от 23 марта "Об основах организации ВВС РККА" было одобрено Комиссией Обороны СССР и вышло решение "Об организации ВВС РККА". Комиссия подтвердила вывод РВС о том, что ВВС превратились в самостоятельный род войск и обязала НКВМД разработать на второе пятилетие план развития ВВС, заказов промышленности по всем видам матчмсти (самолетам, моторам, вооружению, оборудованию, автотранспорту, ГСМ и т.п.), а также аэродромного, ангарного, квартирного, школьного и всех др. видов авиационного строительства (66,182).</w:t>
      </w:r>
    </w:p>
    <w:p w14:paraId="4103F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2B3EB8"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19 апреля 1932 г. постановление РВС СССР «Об основах организации Военно-Воздушных Сил РККА» было одобрено Комиссией Обороны СССР. В своем решении «Об организации ВВС РККА» Комиссия подтвердила вывод о превращении Военно-Воздушных Сил в самостоятельный род войск и обязала Наркомат по военным и морским делам разработать на второе пятилетии план развития ВВС, заказов промышленности по всем видам материальной части авиации, а также всех видов авиационного строительства (</w:t>
      </w:r>
      <w:r w:rsidRPr="003825BF">
        <w:rPr>
          <w:rStyle w:val="aff3"/>
          <w:rFonts w:ascii="Times New Roman" w:hAnsi="Times New Roman" w:cs="Times New Roman"/>
          <w:i w:val="0"/>
          <w:iCs w:val="0"/>
          <w:color w:val="0070C0"/>
          <w:sz w:val="16"/>
          <w:szCs w:val="16"/>
          <w:lang w:val="ru-RU"/>
        </w:rPr>
        <w:t>Шумихин В.С. Советская военная авиация 1917-1941. М., 1986. С. 182.</w:t>
      </w:r>
      <w:r w:rsidRPr="00142305">
        <w:rPr>
          <w:rStyle w:val="aff"/>
          <w:rFonts w:ascii="Times New Roman" w:hAnsi="Times New Roman" w:cs="Times New Roman"/>
          <w:color w:val="0070C0"/>
          <w:spacing w:val="0"/>
          <w:sz w:val="16"/>
          <w:szCs w:val="16"/>
        </w:rPr>
        <w:t>) (25647).</w:t>
      </w:r>
    </w:p>
    <w:p w14:paraId="1911F36F" w14:textId="77777777" w:rsidR="003825BF" w:rsidRPr="00142305" w:rsidRDefault="003825BF" w:rsidP="003825BF">
      <w:pPr>
        <w:spacing w:after="0" w:line="240" w:lineRule="auto"/>
        <w:jc w:val="both"/>
        <w:rPr>
          <w:rFonts w:ascii="Times New Roman" w:hAnsi="Times New Roman"/>
          <w:color w:val="0070C0"/>
          <w:sz w:val="16"/>
          <w:szCs w:val="16"/>
        </w:rPr>
      </w:pPr>
    </w:p>
    <w:p w14:paraId="4F92041C" w14:textId="77777777" w:rsidR="00525619" w:rsidRPr="00E93F40" w:rsidRDefault="005256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г. вышло постановления СТО «Об увеличении численности погранохраны и войск ОГПУ» во исполнение которого началось формирование авиачастей ОГПУ в Средней Азии и Казахстане.</w:t>
      </w:r>
    </w:p>
    <w:p w14:paraId="2FB493F1" w14:textId="77777777" w:rsidR="00525619" w:rsidRPr="00E93F40" w:rsidRDefault="005256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1-й отдельный авиаотряд погранвойск в Средней Азии был сформиро</w:t>
      </w:r>
      <w:r w:rsidRPr="00E93F40">
        <w:rPr>
          <w:rFonts w:ascii="Times New Roman" w:hAnsi="Times New Roman"/>
          <w:color w:val="000000" w:themeColor="text1"/>
          <w:sz w:val="16"/>
          <w:szCs w:val="16"/>
        </w:rPr>
        <w:softHyphen/>
        <w:t>ван в Ташкенте приказом ОГПУ от 19 июня 1932 г. Первым командиром авиаот</w:t>
      </w:r>
      <w:r w:rsidRPr="00E93F40">
        <w:rPr>
          <w:rFonts w:ascii="Times New Roman" w:hAnsi="Times New Roman"/>
          <w:color w:val="000000" w:themeColor="text1"/>
          <w:sz w:val="16"/>
          <w:szCs w:val="16"/>
        </w:rPr>
        <w:softHyphen/>
        <w:t>ряда стал Н. Заборский. На вооружении стояли только отечественные самоле</w:t>
      </w:r>
      <w:r w:rsidRPr="00E93F40">
        <w:rPr>
          <w:rFonts w:ascii="Times New Roman" w:hAnsi="Times New Roman"/>
          <w:color w:val="000000" w:themeColor="text1"/>
          <w:sz w:val="16"/>
          <w:szCs w:val="16"/>
        </w:rPr>
        <w:softHyphen/>
        <w:t>ты Р-1, Р-3, Р-5 и По-2. Отдельные звенья авиаотряда в составе 2—3 самолетов постоянно осуществляли перелеты из Ташкента в Ош, Фергану, Ходжент и другие пункты для ведения оперативной работы, совершали облеты и фотогра</w:t>
      </w:r>
      <w:r w:rsidRPr="00E93F40">
        <w:rPr>
          <w:rFonts w:ascii="Times New Roman" w:hAnsi="Times New Roman"/>
          <w:color w:val="000000" w:themeColor="text1"/>
          <w:sz w:val="16"/>
          <w:szCs w:val="16"/>
        </w:rPr>
        <w:softHyphen/>
        <w:t>фирование участков границы, участвовали в охране целого ряда объектов.</w:t>
      </w:r>
    </w:p>
    <w:p w14:paraId="3D9C625D" w14:textId="77777777" w:rsidR="00525619" w:rsidRPr="00E93F40" w:rsidRDefault="005256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соответствие с приказом НКВД СССР от 1 февраля 1937 г. 1-й Ташкент</w:t>
      </w:r>
      <w:r w:rsidRPr="00E93F40">
        <w:rPr>
          <w:rFonts w:ascii="Times New Roman" w:hAnsi="Times New Roman"/>
          <w:color w:val="000000" w:themeColor="text1"/>
          <w:sz w:val="16"/>
          <w:szCs w:val="16"/>
        </w:rPr>
        <w:softHyphen/>
        <w:t>ский авиаотряд был реорганизован в 3-й авиаотряд отдельного базирования и организационно вошел в состав 4-й отдельной авиаэскадрильи г. Мары Турк</w:t>
      </w:r>
      <w:r w:rsidRPr="00E93F40">
        <w:rPr>
          <w:rFonts w:ascii="Times New Roman" w:hAnsi="Times New Roman"/>
          <w:color w:val="000000" w:themeColor="text1"/>
          <w:sz w:val="16"/>
          <w:szCs w:val="16"/>
        </w:rPr>
        <w:softHyphen/>
        <w:t>менской ССР. 13 сентября 1938 г. Ташкентский авиаотряд вновь стал само</w:t>
      </w:r>
      <w:r w:rsidRPr="00E93F40">
        <w:rPr>
          <w:rFonts w:ascii="Times New Roman" w:hAnsi="Times New Roman"/>
          <w:color w:val="000000" w:themeColor="text1"/>
          <w:sz w:val="16"/>
          <w:szCs w:val="16"/>
        </w:rPr>
        <w:softHyphen/>
        <w:t>стоятельной частью с наименованием: «1-й отдельный авиационный отряд пограничных и внутренних войск Среднеазиатского пограничного округа НКВД». Приказом НКВД СССР от 9 августа 1939 г. отряд опять подвергся ре</w:t>
      </w:r>
      <w:r w:rsidRPr="00E93F40">
        <w:rPr>
          <w:rFonts w:ascii="Times New Roman" w:hAnsi="Times New Roman"/>
          <w:color w:val="000000" w:themeColor="text1"/>
          <w:sz w:val="16"/>
          <w:szCs w:val="16"/>
        </w:rPr>
        <w:softHyphen/>
        <w:t>организации в 8-ю отдельную авиационную эскадрилью погранвойск. В таком качестве он просуществовал в Ташкенте вплоть до расформирования в соот</w:t>
      </w:r>
      <w:r w:rsidRPr="00E93F40">
        <w:rPr>
          <w:rFonts w:ascii="Times New Roman" w:hAnsi="Times New Roman"/>
          <w:color w:val="000000" w:themeColor="text1"/>
          <w:sz w:val="16"/>
          <w:szCs w:val="16"/>
        </w:rPr>
        <w:softHyphen/>
        <w:t>ветствии с приказом МГБ СССР от 25 июля 1950 г.</w:t>
      </w:r>
    </w:p>
    <w:p w14:paraId="33764D26" w14:textId="77777777" w:rsidR="00525619" w:rsidRPr="00E93F40" w:rsidRDefault="005256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2-й отдельный авиаотряд погранвойск был сформирован в Ташкенте при</w:t>
      </w:r>
      <w:r w:rsidRPr="00E93F40">
        <w:rPr>
          <w:rFonts w:ascii="Times New Roman" w:hAnsi="Times New Roman"/>
          <w:color w:val="000000" w:themeColor="text1"/>
          <w:sz w:val="16"/>
          <w:szCs w:val="16"/>
        </w:rPr>
        <w:softHyphen/>
        <w:t>казом ОГПУ от 20 апреля 1932 г. для содействия сухопутным пограничным частям в охране государственной границы в Средней Азии. 11 октября 1933 г. отряд передислоцировался сначала в Ашхабад, а затем 8 мая 1934 г. на посто</w:t>
      </w:r>
      <w:r w:rsidRPr="00E93F40">
        <w:rPr>
          <w:rFonts w:ascii="Times New Roman" w:hAnsi="Times New Roman"/>
          <w:color w:val="000000" w:themeColor="text1"/>
          <w:sz w:val="16"/>
          <w:szCs w:val="16"/>
        </w:rPr>
        <w:softHyphen/>
        <w:t>янное место дислокации в г. Мары (тогда — г. Мерв). Приказом НКВД СССР от 1 февраля 1937 г. авиаотряд был переформирован в 4-ю отдельную авиацион</w:t>
      </w:r>
      <w:r w:rsidRPr="00E93F40">
        <w:rPr>
          <w:rFonts w:ascii="Times New Roman" w:hAnsi="Times New Roman"/>
          <w:color w:val="000000" w:themeColor="text1"/>
          <w:sz w:val="16"/>
          <w:szCs w:val="16"/>
        </w:rPr>
        <w:softHyphen/>
        <w:t>ную эскадрилью Погранвойск НКВД СССР. Эта дата и зафиксирована в фор</w:t>
      </w:r>
      <w:r w:rsidRPr="00E93F40">
        <w:rPr>
          <w:rFonts w:ascii="Times New Roman" w:hAnsi="Times New Roman"/>
          <w:color w:val="000000" w:themeColor="text1"/>
          <w:sz w:val="16"/>
          <w:szCs w:val="16"/>
        </w:rPr>
        <w:softHyphen/>
        <w:t>муляре части как официальный день рождения Марыйской отдельной авиа</w:t>
      </w:r>
      <w:r w:rsidRPr="00E93F40">
        <w:rPr>
          <w:rFonts w:ascii="Times New Roman" w:hAnsi="Times New Roman"/>
          <w:color w:val="000000" w:themeColor="text1"/>
          <w:sz w:val="16"/>
          <w:szCs w:val="16"/>
        </w:rPr>
        <w:softHyphen/>
        <w:t>эскадрильи погранвойск.</w:t>
      </w:r>
    </w:p>
    <w:p w14:paraId="5C7A6998" w14:textId="77777777" w:rsidR="00525619" w:rsidRPr="00E93F40" w:rsidRDefault="005256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3-й отдельный авиаотряд погранвойск в Казахстане был сформирован при</w:t>
      </w:r>
      <w:r w:rsidRPr="00E93F40">
        <w:rPr>
          <w:rFonts w:ascii="Times New Roman" w:hAnsi="Times New Roman"/>
          <w:color w:val="000000" w:themeColor="text1"/>
          <w:sz w:val="16"/>
          <w:szCs w:val="16"/>
        </w:rPr>
        <w:softHyphen/>
        <w:t>казом ОГПУ от 14 января 1932 г. Первым командиром авиаотряда, а затем и отдельной авиаэскадрильи был Л. Василевский. В феврале — апреле 1932 г. в формируемый авиаотряд стал прибывать летный и технический состав. До августа месяца летчики оказывали практическую помощь военным строите</w:t>
      </w:r>
      <w:r w:rsidRPr="00E93F40">
        <w:rPr>
          <w:rFonts w:ascii="Times New Roman" w:hAnsi="Times New Roman"/>
          <w:color w:val="000000" w:themeColor="text1"/>
          <w:sz w:val="16"/>
          <w:szCs w:val="16"/>
        </w:rPr>
        <w:softHyphen/>
        <w:t>лям в строительстве аэродрома, ангаров, штаба, казармы и других служеб</w:t>
      </w:r>
      <w:r w:rsidRPr="00E93F40">
        <w:rPr>
          <w:rFonts w:ascii="Times New Roman" w:hAnsi="Times New Roman"/>
          <w:color w:val="000000" w:themeColor="text1"/>
          <w:sz w:val="16"/>
          <w:szCs w:val="16"/>
        </w:rPr>
        <w:softHyphen/>
        <w:t>ных помещений. В августе 1932 г. личный состав был переведен на постоянное место дислокации в урочище Бурундай, в 18 км от Алма-Аты. Приказом НКВД СССР от 13 октября 1934 г. на базе 3, 4 и 14-го авиаотрядов была сфор</w:t>
      </w:r>
      <w:r w:rsidRPr="00E93F40">
        <w:rPr>
          <w:rFonts w:ascii="Times New Roman" w:hAnsi="Times New Roman"/>
          <w:color w:val="000000" w:themeColor="text1"/>
          <w:sz w:val="16"/>
          <w:szCs w:val="16"/>
        </w:rPr>
        <w:softHyphen/>
        <w:t>мирована 3-я авиаэскадрилья погранвойск, а приказом НКВД СССР от 8 октября 1935 г. она переформируется в 3-ю отдельную авиационную эскадри</w:t>
      </w:r>
      <w:r w:rsidRPr="00E93F40">
        <w:rPr>
          <w:rFonts w:ascii="Times New Roman" w:hAnsi="Times New Roman"/>
          <w:color w:val="000000" w:themeColor="text1"/>
          <w:sz w:val="16"/>
          <w:szCs w:val="16"/>
        </w:rPr>
        <w:softHyphen/>
        <w:t>лью Погранвойск НКВД СССР.</w:t>
      </w:r>
    </w:p>
    <w:p w14:paraId="5F31CE4C" w14:textId="77777777" w:rsidR="00525619" w:rsidRPr="00E93F40" w:rsidRDefault="005256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4-й отдельный авиаотряд погранвойск Казахстана в Акмолинске был сфор</w:t>
      </w:r>
      <w:r w:rsidRPr="00E93F40">
        <w:rPr>
          <w:rFonts w:ascii="Times New Roman" w:hAnsi="Times New Roman"/>
          <w:color w:val="000000" w:themeColor="text1"/>
          <w:sz w:val="16"/>
          <w:szCs w:val="16"/>
        </w:rPr>
        <w:softHyphen/>
        <w:t>мирован несколько позже, 22 февраля 1933 г. Первым командиром авиаотряда был К. Шишков. Уже в этом же году авиаотряд в полном составе участвовал в ликвидации недобитых басмаческих банд на границе с Китаем и в китайской провинции Синьцзянь (12299).</w:t>
      </w:r>
    </w:p>
    <w:p w14:paraId="14C430E6" w14:textId="77777777" w:rsidR="00525619" w:rsidRPr="00E93F40" w:rsidRDefault="00525619" w:rsidP="00E93F40">
      <w:pPr>
        <w:spacing w:after="0" w:line="240" w:lineRule="auto"/>
        <w:jc w:val="both"/>
        <w:rPr>
          <w:rFonts w:ascii="Times New Roman" w:hAnsi="Times New Roman"/>
          <w:color w:val="000000" w:themeColor="text1"/>
          <w:sz w:val="16"/>
          <w:szCs w:val="16"/>
        </w:rPr>
      </w:pPr>
    </w:p>
    <w:p w14:paraId="4594A1A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209483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9239488"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в 1932 году состоялся первый полет самолета «Dewoitine» «D.535», оборудованного двигателем «Hispano-Suiza» 12Xbrs мощностью 500 л.с.. D.535 - истребитель, разработанный французской фирмой «Dewoitine». «D.535» является дальнейшим развитием истребителя «Dewoitine» «D.27». По результатам испытаний было решено работы над самолетом не продолжать (15104).</w:t>
      </w:r>
    </w:p>
    <w:p w14:paraId="150614AD"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3B3F2834" w14:textId="77777777" w:rsidR="00C650F4" w:rsidRPr="00E93F40" w:rsidRDefault="00C65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 апреля 1932 CWA Scott устанавливает новый рекорд скорости в одиночном полете между Соединенным Королевством и Дарвином, Австралия , потратив 8 дней 20 часов на de Havilland Gipsy Moth (20803).</w:t>
      </w:r>
    </w:p>
    <w:p w14:paraId="00F626AA" w14:textId="77777777" w:rsidR="00C650F4" w:rsidRPr="00E93F40" w:rsidRDefault="00C650F4" w:rsidP="00E93F40">
      <w:pPr>
        <w:spacing w:after="0" w:line="240" w:lineRule="auto"/>
        <w:jc w:val="both"/>
        <w:rPr>
          <w:rFonts w:ascii="Times New Roman" w:hAnsi="Times New Roman"/>
          <w:color w:val="000000" w:themeColor="text1"/>
          <w:sz w:val="16"/>
          <w:szCs w:val="16"/>
        </w:rPr>
      </w:pPr>
    </w:p>
    <w:p w14:paraId="44E9DE5E" w14:textId="7FA7DB9B" w:rsidR="00C650F4" w:rsidRPr="00E93F40" w:rsidRDefault="00C650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Роберт Годдард произвёл запуск ракеты, управляемой при помощи гироскопа. Ракета, оснащенная гирорулями, стабильно пролетела по заранее заданной траектории. Это было выдающимся достижением в области ракетной техники. Работы Годдарда в период 1930-1935 годов показали, что стабилизация ракет в полёте с помощью гироскопов является более эффективной по сравнению с другими методами (22530).</w:t>
      </w:r>
    </w:p>
    <w:p w14:paraId="5B0497A2" w14:textId="77777777" w:rsidR="00C650F4" w:rsidRPr="00E93F40" w:rsidRDefault="00C650F4" w:rsidP="00E93F40">
      <w:pPr>
        <w:spacing w:after="0" w:line="240" w:lineRule="auto"/>
        <w:jc w:val="both"/>
        <w:rPr>
          <w:rFonts w:ascii="Times New Roman" w:hAnsi="Times New Roman"/>
          <w:color w:val="000000" w:themeColor="text1"/>
          <w:sz w:val="16"/>
          <w:szCs w:val="16"/>
        </w:rPr>
      </w:pPr>
    </w:p>
    <w:p w14:paraId="25540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val="en-US"/>
        </w:rPr>
        <w:t xml:space="preserve">April 19 1932 First flight of Goddard rocket with gyroscopically controlled vanes for automatically stabilized flight, near Roswell, N. Mex. </w:t>
      </w:r>
      <w:r w:rsidRPr="00E93F40">
        <w:rPr>
          <w:rFonts w:ascii="Times New Roman" w:hAnsi="Times New Roman"/>
          <w:color w:val="000000" w:themeColor="text1"/>
          <w:sz w:val="16"/>
          <w:szCs w:val="16"/>
        </w:rPr>
        <w:t>(1038).</w:t>
      </w:r>
    </w:p>
    <w:p w14:paraId="22A6C5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E309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1932 в США близ Роквелл состоялся первый полет ракеты Годдарда с управлением и стабилизацией от гироскопов (1038).</w:t>
      </w:r>
    </w:p>
    <w:p w14:paraId="0AFCA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6C45A6"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апреля в 1932 году близ города Роквелл (штат Нью-Мексика, США) Robert Goddard осуществил очередной пуск ракеты собственной конструкции. Впервые на ракете была установлена гироскопическая система стабилизации (15104).</w:t>
      </w:r>
    </w:p>
    <w:p w14:paraId="69B8B171"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6D7C287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F297D6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BDA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апреля 1932 года начальник ВВС Алкснис писал письмо N 038244 председателю РВС.</w:t>
      </w:r>
    </w:p>
    <w:p w14:paraId="57933B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464E61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20 апреля с.г.</w:t>
      </w:r>
    </w:p>
    <w:p w14:paraId="47F11A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NN 5, 6, 7 самолеты испытаны в полете, находятся на Центральном аэродроме (3027).</w:t>
      </w:r>
    </w:p>
    <w:p w14:paraId="078A4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DB5F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апреля 1932 года выписка из протокола № 14 заседания РВС</w:t>
      </w:r>
    </w:p>
    <w:p w14:paraId="43F906F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вводе на вооружение авиабомб (план РВСС). Докл. Симонов.</w:t>
      </w:r>
    </w:p>
    <w:p w14:paraId="438DD4C1"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Ввести на вооружение РККА:</w:t>
      </w:r>
    </w:p>
    <w:p w14:paraId="3327B67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кг осколочную авиабомбу – (АО-10).</w:t>
      </w:r>
    </w:p>
    <w:p w14:paraId="159008F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кг осколочно-химическую бомбу – (АОХ-10).</w:t>
      </w:r>
    </w:p>
    <w:p w14:paraId="51B3B5E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кг осколочную авиабомбу – (АОХ-25).</w:t>
      </w:r>
    </w:p>
    <w:p w14:paraId="765558A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кг фугасную авиабомбу – (АФ-50).</w:t>
      </w:r>
    </w:p>
    <w:p w14:paraId="43369EF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 кг фугасную авиабомбу – (АФ-100).</w:t>
      </w:r>
    </w:p>
    <w:p w14:paraId="217D284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кг электрон. зажигательную бомбу – (АЭЗ).</w:t>
      </w:r>
    </w:p>
    <w:p w14:paraId="597FB8C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кг светящуюся авиабомбу (АС-5).</w:t>
      </w:r>
    </w:p>
    <w:p w14:paraId="13E0D44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Авиационный головной взрыватель переменного замедления – (АГП).</w:t>
      </w:r>
    </w:p>
    <w:p w14:paraId="333D93A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Авиационную головную дистанционную трубку – (АГДТ).</w:t>
      </w:r>
    </w:p>
    <w:p w14:paraId="5C55FC94"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Допустить на снабжение ВВС:</w:t>
      </w:r>
    </w:p>
    <w:p w14:paraId="69C7993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кг осколочную авиабомбу из 107 мм снаряда увеличенной дальности (АО-15с).</w:t>
      </w:r>
    </w:p>
    <w:p w14:paraId="294E094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кг осколочную авиабомбу из 122 мм снаряда старого чертежа (АО-25с).</w:t>
      </w:r>
    </w:p>
    <w:p w14:paraId="31C6E66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кг фугасную авиабомбу из 152 мм фугасного снаряда (АФ-50с).</w:t>
      </w:r>
    </w:p>
    <w:p w14:paraId="3680B4D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 кг фугасную авиабомбу из мины Батиньоля (АФ-80с) и</w:t>
      </w:r>
    </w:p>
    <w:p w14:paraId="02A645E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 кг бронебойную авиабомбу из 280 мм снаряда (Абр-220с) (7417, 5).</w:t>
      </w:r>
    </w:p>
    <w:p w14:paraId="3FD5097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AD9AD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апреля 1932 года приказом по Наркомату Тяжелой промышленности за №233 от было организовано «Специальное строительное управление по сооружению Авиационного комбината №124» (5764,36).</w:t>
      </w:r>
    </w:p>
    <w:p w14:paraId="3BF3D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A62C31" w14:textId="503994EB" w:rsidR="00525619" w:rsidRPr="00E93F40" w:rsidRDefault="00525619" w:rsidP="00E93F40">
      <w:pPr>
        <w:pStyle w:val="rtejustify"/>
        <w:spacing w:before="0" w:after="0"/>
        <w:rPr>
          <w:color w:val="000000" w:themeColor="text1"/>
          <w:sz w:val="16"/>
          <w:szCs w:val="16"/>
        </w:rPr>
      </w:pPr>
      <w:r w:rsidRPr="00E93F40">
        <w:rPr>
          <w:rStyle w:val="af0"/>
          <w:i w:val="0"/>
          <w:color w:val="000000" w:themeColor="text1"/>
          <w:sz w:val="16"/>
          <w:szCs w:val="16"/>
        </w:rPr>
        <w:t>20</w:t>
      </w:r>
      <w:r w:rsidR="007C1411" w:rsidRPr="00E93F40">
        <w:rPr>
          <w:rStyle w:val="af0"/>
          <w:i w:val="0"/>
          <w:color w:val="000000" w:themeColor="text1"/>
          <w:sz w:val="16"/>
          <w:szCs w:val="16"/>
        </w:rPr>
        <w:t xml:space="preserve"> </w:t>
      </w:r>
      <w:r w:rsidRPr="00E93F40">
        <w:rPr>
          <w:rStyle w:val="af0"/>
          <w:i w:val="0"/>
          <w:color w:val="000000" w:themeColor="text1"/>
          <w:sz w:val="16"/>
          <w:szCs w:val="16"/>
        </w:rPr>
        <w:t>апреля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14.</w:t>
      </w:r>
      <w:r w:rsidRPr="00E93F40">
        <w:rPr>
          <w:color w:val="000000" w:themeColor="text1"/>
          <w:sz w:val="16"/>
          <w:szCs w:val="16"/>
        </w:rPr>
        <w:t xml:space="preserve"> 12.</w:t>
      </w:r>
      <w:r w:rsidR="007C1411" w:rsidRPr="00E93F40">
        <w:rPr>
          <w:color w:val="000000" w:themeColor="text1"/>
          <w:sz w:val="16"/>
          <w:szCs w:val="16"/>
        </w:rPr>
        <w:t xml:space="preserve"> </w:t>
      </w:r>
      <w:r w:rsidRPr="00E93F40">
        <w:rPr>
          <w:color w:val="000000" w:themeColor="text1"/>
          <w:sz w:val="16"/>
          <w:szCs w:val="16"/>
        </w:rPr>
        <w:t>О вводе па вооружение авиабомб (Симонов). 16.</w:t>
      </w:r>
      <w:r w:rsidR="007C1411" w:rsidRPr="00E93F40">
        <w:rPr>
          <w:color w:val="000000" w:themeColor="text1"/>
          <w:sz w:val="16"/>
          <w:szCs w:val="16"/>
        </w:rPr>
        <w:t xml:space="preserve"> </w:t>
      </w:r>
      <w:r w:rsidRPr="00E93F40">
        <w:rPr>
          <w:color w:val="000000" w:themeColor="text1"/>
          <w:sz w:val="16"/>
          <w:szCs w:val="16"/>
        </w:rPr>
        <w:t>О 152</w:t>
      </w:r>
      <w:r w:rsidRPr="00E93F40">
        <w:rPr>
          <w:color w:val="000000" w:themeColor="text1"/>
          <w:sz w:val="16"/>
          <w:szCs w:val="16"/>
        </w:rPr>
        <w:noBreakHyphen/>
        <w:t>мм гаубице (Тризна).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228, 229) (12342).</w:t>
      </w:r>
    </w:p>
    <w:p w14:paraId="22FA1331" w14:textId="77777777" w:rsidR="00525619" w:rsidRPr="00E93F40" w:rsidRDefault="00525619" w:rsidP="00E93F40">
      <w:pPr>
        <w:pStyle w:val="rtejustify"/>
        <w:spacing w:before="0" w:after="0"/>
        <w:rPr>
          <w:color w:val="000000" w:themeColor="text1"/>
          <w:sz w:val="16"/>
          <w:szCs w:val="16"/>
        </w:rPr>
      </w:pPr>
    </w:p>
    <w:p w14:paraId="6EBF0B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апреля 1932 в приказе НКТП, подписанном наркомом Серго Орджоникидзе, говорится об организации специального строительного треста для производства строительных и монтажных работ по сооружению авиакомбината № 124. Начальником «Казавиастроя» назначается Кузнецов Кузьма Дмитриевич, бывший до этого партийным работником на Горьковском автозаводе. Первым директором завода назначили тов. Ситникова. Инициалы его, к сожалению, в доступных документах не сохранились.</w:t>
      </w:r>
    </w:p>
    <w:p w14:paraId="323873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только ни называли тогдашнюю «Стройку века» - Казавиастрой, Казавиакомбинат, Казмашстрой, Казмашстройкомбинат... Трудности, с которыми пришлось столкнуться первому руководству завода, явились естественным результатом ударных темпов подготовки к строительству. Отсутствовали проекты и сметы, не было строительных механизмов, не хватало воды и электричества. Дефицитные материалы, такие, как железо, гвозди, кровельный материал, трубы и многое другое, обеспечивались в первую очередь за счет внеплановой заготовки стройматериалов.</w:t>
      </w:r>
    </w:p>
    <w:p w14:paraId="3AA9A8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Вот вам и плановое строительство! Принимаются решения и постановления, а реального ничего нет, кроме «голого» энтузиазма населения в период насильственной коллективизации и надвигающегося Великого голода. По воспоминаниям Маршева Н.Д., заместителя начальника строительства, секретарь Татарского обкома партии Разумов М.И. так и отвечал Иосифу Виссарионовичу в разговоре по поводу авиакомбината:</w:t>
      </w:r>
    </w:p>
    <w:p w14:paraId="19A794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Вы хотите, товарищ Разумов, строить у себя авиазавод?</w:t>
      </w:r>
    </w:p>
    <w:p w14:paraId="4CF26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Да, хотим, товарищ Сталин.</w:t>
      </w:r>
    </w:p>
    <w:p w14:paraId="09EDC6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всё ли у вас, в Татарии, для этого есть? Как, например, обстоят дела с кадрами строителей?</w:t>
      </w:r>
    </w:p>
    <w:p w14:paraId="01EE16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Таких кадров пока нет.</w:t>
      </w:r>
    </w:p>
    <w:p w14:paraId="25CEF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дорожная сеть у вас хорошо развита?</w:t>
      </w:r>
    </w:p>
    <w:p w14:paraId="10570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дорогами плоховато, товарищ Сталин.</w:t>
      </w:r>
    </w:p>
    <w:p w14:paraId="76250A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на счет строительного материала как?</w:t>
      </w:r>
    </w:p>
    <w:p w14:paraId="06216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Это у нас найдется, надо только руки приложить.</w:t>
      </w:r>
    </w:p>
    <w:p w14:paraId="4BB9CB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как с жильем?</w:t>
      </w:r>
    </w:p>
    <w:p w14:paraId="31C88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Плохо.</w:t>
      </w:r>
    </w:p>
    <w:p w14:paraId="74686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с электроэнергией? Ведь у вас на всю Казань имеется только одна электростанция на Булаке, мощность которой составляет всего лишь 5 тысяч киловатт.</w:t>
      </w:r>
    </w:p>
    <w:p w14:paraId="651A6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Правильно, товарищ Сталин, тут дела пока тоже плохи, но мы заложили в 1929 году. ТЭЦ-1, которая должна вскоре вступить в строй.</w:t>
      </w:r>
    </w:p>
    <w:p w14:paraId="423D7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 с водой, вероятно, плохо?</w:t>
      </w:r>
    </w:p>
    <w:p w14:paraId="4B03B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Плохо.</w:t>
      </w:r>
    </w:p>
    <w:p w14:paraId="67D72D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 наконец, есть ли у вас какой-либо опыт больших новостроек?</w:t>
      </w:r>
    </w:p>
    <w:p w14:paraId="44E861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Нет ? отвечал Разумов.</w:t>
      </w:r>
    </w:p>
    <w:p w14:paraId="21F44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Так что же у вас, в конце концов, есть для того, чтобы осуществить такую грандиозную стройку?</w:t>
      </w:r>
    </w:p>
    <w:p w14:paraId="3496A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У нас, товарищ Сталин, есть совесть и честь татарского народа и на это мы очень и очень рассчитываем. Отправляясь к Вам, меня просили передать, что народ Татарии гордится доверием партии и правительства и ничего не пожалеет для того, чтобы на полях Республики воздвигнуть авиационный комбинат.</w:t>
      </w:r>
    </w:p>
    <w:p w14:paraId="138569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Ну что ж, тогда давайте, стройте... - сказал мудрый вождь.</w:t>
      </w:r>
    </w:p>
    <w:p w14:paraId="0039C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праздничный день 2 мая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43B3D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w:t>
      </w:r>
      <w:r w:rsidRPr="00E93F40">
        <w:rPr>
          <w:rFonts w:ascii="Times New Roman" w:hAnsi="Times New Roman"/>
          <w:color w:val="000000" w:themeColor="text1"/>
          <w:sz w:val="16"/>
          <w:szCs w:val="16"/>
        </w:rPr>
        <w:lastRenderedPageBreak/>
        <w:t>-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64C0E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589ED0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5F9EC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6A805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59E80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357E2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43B07A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645771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09A89F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24F12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B2411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E7859E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1D3255" w14:textId="77777777" w:rsidR="00525619" w:rsidRPr="00E93F40" w:rsidRDefault="00525619" w:rsidP="00E93F40">
      <w:pPr>
        <w:pStyle w:val="a3"/>
        <w:rPr>
          <w:color w:val="000000" w:themeColor="text1"/>
          <w:lang w:val="ru-RU"/>
        </w:rPr>
      </w:pPr>
      <w:r w:rsidRPr="00E93F40">
        <w:rPr>
          <w:color w:val="000000" w:themeColor="text1"/>
          <w:lang w:val="ru-RU"/>
        </w:rPr>
        <w:t>К 20 апреля 1932 г. СТЗ вы</w:t>
      </w:r>
      <w:r w:rsidRPr="00E93F40">
        <w:rPr>
          <w:color w:val="000000" w:themeColor="text1"/>
          <w:lang w:val="ru-RU"/>
        </w:rPr>
        <w:softHyphen/>
        <w:t>шел на проектную мощность выпуска продук</w:t>
      </w:r>
      <w:r w:rsidRPr="00E93F40">
        <w:rPr>
          <w:color w:val="000000" w:themeColor="text1"/>
          <w:lang w:val="ru-RU"/>
        </w:rPr>
        <w:softHyphen/>
        <w:t>ции—144 трактора в сутки. При личном докла</w:t>
      </w:r>
      <w:r w:rsidRPr="00E93F40">
        <w:rPr>
          <w:color w:val="000000" w:themeColor="text1"/>
          <w:lang w:val="ru-RU"/>
        </w:rPr>
        <w:softHyphen/>
        <w:t>де заместителю наркома тяжелой промышлен</w:t>
      </w:r>
      <w:r w:rsidRPr="00E93F40">
        <w:rPr>
          <w:color w:val="000000" w:themeColor="text1"/>
          <w:lang w:val="ru-RU"/>
        </w:rPr>
        <w:softHyphen/>
        <w:t>ности Павлуновскому директор завода Пудалов получил новое промзадание на годовой выпуск в военное время 12 тыс. танков Т-26, запас</w:t>
      </w:r>
      <w:r w:rsidRPr="00E93F40">
        <w:rPr>
          <w:color w:val="000000" w:themeColor="text1"/>
          <w:lang w:val="ru-RU"/>
        </w:rPr>
        <w:softHyphen/>
        <w:t>ных частей эквивалентно 3000 машинам, 8200 ходовых частей для танков ТМ, 12000 единиц стального литья для танкеток Т-27 и запасных частей для Т-27, эквивалентных 15000 маши- сти включить в план второй пятилетки переход на новую конструкцию гусеничного трактора, и 15 мая 1937 г. СХТЗ-15/30 уступил место на конвейере другой модели.</w:t>
      </w:r>
    </w:p>
    <w:p w14:paraId="3D20AAB1" w14:textId="77777777" w:rsidR="00525619" w:rsidRPr="00E93F40" w:rsidRDefault="00525619" w:rsidP="00E93F40">
      <w:pPr>
        <w:pStyle w:val="a3"/>
        <w:rPr>
          <w:color w:val="000000" w:themeColor="text1"/>
          <w:lang w:val="ru-RU"/>
        </w:rPr>
      </w:pPr>
      <w:r w:rsidRPr="00E93F40">
        <w:rPr>
          <w:color w:val="000000" w:themeColor="text1"/>
          <w:lang w:val="ru-RU"/>
        </w:rPr>
        <w:t>Драгоценный опыт, полученный при по</w:t>
      </w:r>
      <w:r w:rsidRPr="00E93F40">
        <w:rPr>
          <w:color w:val="000000" w:themeColor="text1"/>
          <w:lang w:val="ru-RU"/>
        </w:rPr>
        <w:softHyphen/>
        <w:t>стройке и реконструкции СТЗ, был учтен при создании новых предприятий, что позволило су</w:t>
      </w:r>
      <w:r w:rsidRPr="00E93F40">
        <w:rPr>
          <w:color w:val="000000" w:themeColor="text1"/>
          <w:lang w:val="ru-RU"/>
        </w:rPr>
        <w:softHyphen/>
        <w:t>щественно снизить непроизводительные расхо</w:t>
      </w:r>
      <w:r w:rsidRPr="00E93F40">
        <w:rPr>
          <w:color w:val="000000" w:themeColor="text1"/>
          <w:lang w:val="ru-RU"/>
        </w:rPr>
        <w:softHyphen/>
        <w:t>ды при строительстве и расширении автозавода в Нижнем Новгороде и практически избежать многих ошибок при вводе в строй Харьковско</w:t>
      </w:r>
      <w:r w:rsidRPr="00E93F40">
        <w:rPr>
          <w:color w:val="000000" w:themeColor="text1"/>
          <w:lang w:val="ru-RU"/>
        </w:rPr>
        <w:softHyphen/>
        <w:t>го и Челябинского тракторных заводов, а также многих других предприятий. Харьковский трак</w:t>
      </w:r>
      <w:r w:rsidRPr="00E93F40">
        <w:rPr>
          <w:color w:val="000000" w:themeColor="text1"/>
          <w:lang w:val="ru-RU"/>
        </w:rPr>
        <w:softHyphen/>
        <w:t>торный завод (ХТЗ) задумывался дублирующим СТЗ в выпуске как основной, так и мирной про</w:t>
      </w:r>
      <w:r w:rsidRPr="00E93F40">
        <w:rPr>
          <w:color w:val="000000" w:themeColor="text1"/>
          <w:lang w:val="ru-RU"/>
        </w:rPr>
        <w:softHyphen/>
        <w:t>дукции. В этой связи на нем также было органи</w:t>
      </w:r>
      <w:r w:rsidRPr="00E93F40">
        <w:rPr>
          <w:color w:val="000000" w:themeColor="text1"/>
          <w:lang w:val="ru-RU"/>
        </w:rPr>
        <w:softHyphen/>
        <w:t>зовано производство колесных тракторов (пер</w:t>
      </w:r>
      <w:r w:rsidRPr="00E93F40">
        <w:rPr>
          <w:color w:val="000000" w:themeColor="text1"/>
          <w:lang w:val="ru-RU"/>
        </w:rPr>
        <w:softHyphen/>
        <w:t>вый «Интернационал» постройки ХТЗ сошел с конвейера 1 октября 1931 г.), а затем и осущест</w:t>
      </w:r>
      <w:r w:rsidRPr="00E93F40">
        <w:rPr>
          <w:color w:val="000000" w:themeColor="text1"/>
          <w:lang w:val="ru-RU"/>
        </w:rPr>
        <w:softHyphen/>
        <w:t>влен переход к выпуску гусеничных машин (12622).</w:t>
      </w:r>
    </w:p>
    <w:p w14:paraId="29410A8A" w14:textId="77777777" w:rsidR="00525619" w:rsidRPr="00E93F40" w:rsidRDefault="00525619" w:rsidP="00E93F40">
      <w:pPr>
        <w:spacing w:after="0" w:line="240" w:lineRule="auto"/>
        <w:jc w:val="both"/>
        <w:rPr>
          <w:rFonts w:ascii="Times New Roman" w:hAnsi="Times New Roman"/>
          <w:color w:val="000000" w:themeColor="text1"/>
          <w:sz w:val="16"/>
          <w:szCs w:val="16"/>
        </w:rPr>
      </w:pPr>
    </w:p>
    <w:p w14:paraId="3F3E1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апреля 1932 года СТЗ достиг проектной мощности — 144 трактора в сутки — сталинградский завод; набирал темпы конвейер в Харькове; оставалось полгода до пуска челябинского гиганта. Однако в этой в целом отрадной картине становления новой отрасли все контрастнее вырисовывалась диспропорция в производстве колесных и гусеничных тракторов. К тому же в начавшей складываться у нас системе машин оказывался большой разрыв в мощности между СТЗ-ХТЗ 15/30 и «Сталинцем-60», возникла настоятельная необходимость заполнить этот разрыв гусеничным трактором средней мощности (11418).</w:t>
      </w:r>
    </w:p>
    <w:p w14:paraId="4C64A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5D196B"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20 апреля 1932 г. СТЗ вышел на проектную мощность выпуска продукции – 144 трактора в сутки. При личном докладе заместителю наркома тяжелой промышленности Павлуновскому директор завода Пудалов получил новое промзадание на годовой выпуск в военное время 12 тыс. танков Т-26, запасных частей эквивалентно 3000 машинам, 8200 ходовых частей для танков ТМ, 12 000 единиц стального литья для танкеток Т-27 и запасных частей для Т-27, эквивалентных 15 000 машинам (25580).</w:t>
      </w:r>
    </w:p>
    <w:p w14:paraId="7DA4E3A0" w14:textId="77777777" w:rsidR="003825BF" w:rsidRPr="00142305" w:rsidRDefault="003825BF" w:rsidP="003825BF">
      <w:pPr>
        <w:spacing w:after="0" w:line="240" w:lineRule="auto"/>
        <w:jc w:val="both"/>
        <w:rPr>
          <w:rFonts w:ascii="Times New Roman" w:hAnsi="Times New Roman"/>
          <w:color w:val="0070C0"/>
          <w:sz w:val="16"/>
          <w:szCs w:val="16"/>
        </w:rPr>
      </w:pPr>
    </w:p>
    <w:p w14:paraId="4BE4566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1D4A8D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5EAC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20-29 апреля 1932 прошел 9 съезд профсоюзов и в результате профсоюзы потеряли право предъявлять требования работодателям, Следующий был только в 1949 (3908,337).</w:t>
      </w:r>
    </w:p>
    <w:p w14:paraId="19182D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874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апреля 1932 ленинградский з-д Промет освоил выпуск первых отечественных бензоколонок (3960, 155).</w:t>
      </w:r>
    </w:p>
    <w:p w14:paraId="1504DA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48C67F" w14:textId="77777777" w:rsidR="0052561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0F3F2AA" w14:textId="77777777" w:rsidR="00525619" w:rsidRPr="00E93F40" w:rsidRDefault="005256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9B15FC5"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21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417/144сс об укреплении мобготовности и дисциплины в Гражданском воздушном флоте (ГА РФ. Ф. Р?8418. Оп. 28. Д. 1а. Л. 212?213) (12415).</w:t>
      </w:r>
    </w:p>
    <w:p w14:paraId="74B3AD47"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p>
    <w:p w14:paraId="340CE31A" w14:textId="77777777" w:rsidR="000E2553" w:rsidRPr="00E93F40" w:rsidRDefault="000E2553"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21 апреля 1932 вышло постановление № 417/144сс РЗ СТО или КО (№ 734/ко от 22.4.1932 г.) Об укреплении мобготовности и дисциплины в гражданском воздушном флоте (21564).</w:t>
      </w:r>
    </w:p>
    <w:p w14:paraId="6D712AE5" w14:textId="77777777" w:rsidR="000E2553" w:rsidRPr="00E93F40" w:rsidRDefault="000E2553" w:rsidP="00E93F40">
      <w:pPr>
        <w:spacing w:after="0" w:line="240" w:lineRule="auto"/>
        <w:jc w:val="both"/>
        <w:rPr>
          <w:rFonts w:ascii="Times New Roman" w:hAnsi="Times New Roman"/>
          <w:color w:val="000000" w:themeColor="text1"/>
          <w:sz w:val="16"/>
          <w:szCs w:val="16"/>
        </w:rPr>
      </w:pPr>
    </w:p>
    <w:p w14:paraId="2C0B7D26" w14:textId="77777777" w:rsidR="00E6267E"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FCCD420" w14:textId="77777777" w:rsidR="00E6267E" w:rsidRPr="00E93F40" w:rsidRDefault="00E626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F2A7BD"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апреля 1932 года в «Справке о Д-2», направляемым начальником УММ РККА Халепским наркому обороны СССР, говорилось:</w:t>
      </w:r>
    </w:p>
    <w:p w14:paraId="1B19EEE1"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21.04-32 г. имеется только по одному заложенному вагону на заводах «Красный Профинтерн», Коломенский и Калужский. На заводе № 1 находится в разной степени готовности 11 вагонов, завод предполагает 1-2 вагона закончить к 1 мая. Вопросы, которые задерживают производство на сегодняшний день:</w:t>
      </w:r>
    </w:p>
    <w:p w14:paraId="4CEDF2E6"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Неподача брони заводам «Красный Профинтерн», Коломенский и Калужский;</w:t>
      </w:r>
    </w:p>
    <w:p w14:paraId="5F8C2E21"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Слабая подача кооперированными заводами деталей основным заводам сборщикам мотоброневагонов;</w:t>
      </w:r>
    </w:p>
    <w:p w14:paraId="1FD29A42"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со стороны НКТП (народный комиссариат тяжелой промышленности. - Прим. автора) руководства и контроля по этому вопросу;</w:t>
      </w:r>
    </w:p>
    <w:p w14:paraId="6D748986"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Отсутствуют шарико и роликоподшипники» (15624).</w:t>
      </w:r>
    </w:p>
    <w:p w14:paraId="2ACCD8AF"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0FA186EC" w14:textId="0906103E" w:rsidR="00E46374" w:rsidRPr="00E93F40" w:rsidRDefault="00E463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апреля 1932 года в «Справке о Д-2», направленно начальником УММ РККА Халепским наркому обороны СССР, говорилось:</w:t>
      </w:r>
      <w:r w:rsidR="007C1411" w:rsidRPr="00E93F40">
        <w:rPr>
          <w:rFonts w:ascii="Times New Roman" w:hAnsi="Times New Roman"/>
          <w:color w:val="000000" w:themeColor="text1"/>
          <w:sz w:val="16"/>
          <w:szCs w:val="16"/>
        </w:rPr>
        <w:t xml:space="preserve"> </w:t>
      </w:r>
    </w:p>
    <w:p w14:paraId="42C1BAF0" w14:textId="34E92C54" w:rsidR="00E46374" w:rsidRPr="00E93F40" w:rsidRDefault="00E463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21.04-32 г. имеется только по одному заложенному вагону на заводах «Красный Профинтерн», Коломенский и Калужский. На заводе № 1 находится в разной степени готовности 11 вагонов, завод предполагает 1-2 вагона закончить к 1 мая.</w:t>
      </w:r>
      <w:r w:rsidR="007C1411" w:rsidRPr="00E93F40">
        <w:rPr>
          <w:rFonts w:ascii="Times New Roman" w:hAnsi="Times New Roman"/>
          <w:color w:val="000000" w:themeColor="text1"/>
          <w:sz w:val="16"/>
          <w:szCs w:val="16"/>
        </w:rPr>
        <w:t xml:space="preserve"> </w:t>
      </w:r>
    </w:p>
    <w:p w14:paraId="1D2D73AA" w14:textId="3DB2FA4D" w:rsidR="00E46374" w:rsidRPr="00E93F40" w:rsidRDefault="00E463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Вопросы, которые задерживают производство на сегодняшний день:</w:t>
      </w:r>
      <w:r w:rsidR="007C1411" w:rsidRPr="00E93F40">
        <w:rPr>
          <w:rFonts w:ascii="Times New Roman" w:hAnsi="Times New Roman"/>
          <w:color w:val="000000" w:themeColor="text1"/>
          <w:sz w:val="16"/>
          <w:szCs w:val="16"/>
        </w:rPr>
        <w:t xml:space="preserve"> </w:t>
      </w:r>
    </w:p>
    <w:p w14:paraId="73BAF880" w14:textId="2B764260" w:rsidR="00E46374" w:rsidRPr="00E93F40" w:rsidRDefault="00E463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Неподача брони заводам «Красный Профинтерн», Коломенский и Калужский;</w:t>
      </w:r>
      <w:r w:rsidR="007C1411" w:rsidRPr="00E93F40">
        <w:rPr>
          <w:rFonts w:ascii="Times New Roman" w:hAnsi="Times New Roman"/>
          <w:color w:val="000000" w:themeColor="text1"/>
          <w:sz w:val="16"/>
          <w:szCs w:val="16"/>
        </w:rPr>
        <w:t xml:space="preserve"> </w:t>
      </w:r>
    </w:p>
    <w:p w14:paraId="66DC4C18" w14:textId="283BC22D" w:rsidR="00E46374" w:rsidRPr="00E93F40" w:rsidRDefault="00E463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Слабая подача кооперированными заводами деталей основным заводам сборщикам мотоброневагонов;</w:t>
      </w:r>
      <w:r w:rsidR="007C1411" w:rsidRPr="00E93F40">
        <w:rPr>
          <w:rFonts w:ascii="Times New Roman" w:hAnsi="Times New Roman"/>
          <w:color w:val="000000" w:themeColor="text1"/>
          <w:sz w:val="16"/>
          <w:szCs w:val="16"/>
        </w:rPr>
        <w:t xml:space="preserve"> </w:t>
      </w:r>
    </w:p>
    <w:p w14:paraId="2C602FD4" w14:textId="4A6F2990" w:rsidR="00E46374" w:rsidRPr="00E93F40" w:rsidRDefault="00E463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Отсутствие со стороны НКТП (народный комиссариат тяжелой промышленности. - Прим. автора) руководства и контроля по этому вопросу;</w:t>
      </w:r>
      <w:r w:rsidR="007C1411" w:rsidRPr="00E93F40">
        <w:rPr>
          <w:rFonts w:ascii="Times New Roman" w:hAnsi="Times New Roman"/>
          <w:color w:val="000000" w:themeColor="text1"/>
          <w:sz w:val="16"/>
          <w:szCs w:val="16"/>
        </w:rPr>
        <w:t xml:space="preserve"> </w:t>
      </w:r>
    </w:p>
    <w:p w14:paraId="01179C34" w14:textId="77777777" w:rsidR="00E46374" w:rsidRPr="00E93F40" w:rsidRDefault="00E4637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Отсутствуют шарико и роликоподшипники» (18626).</w:t>
      </w:r>
    </w:p>
    <w:p w14:paraId="01D0359C" w14:textId="77777777" w:rsidR="00E46374" w:rsidRPr="00E93F40" w:rsidRDefault="00E46374" w:rsidP="00E93F40">
      <w:pPr>
        <w:spacing w:after="0" w:line="240" w:lineRule="auto"/>
        <w:jc w:val="both"/>
        <w:rPr>
          <w:rFonts w:ascii="Times New Roman" w:hAnsi="Times New Roman"/>
          <w:color w:val="000000" w:themeColor="text1"/>
          <w:sz w:val="16"/>
          <w:szCs w:val="16"/>
        </w:rPr>
      </w:pPr>
    </w:p>
    <w:p w14:paraId="1A1F6B1F"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21 апреля 1932 года, согласно «Справкам по Д-2», направляемым начальником УММ РККА Халепским наркому обороны СССР, говорилось:</w:t>
      </w:r>
    </w:p>
    <w:p w14:paraId="425D418E"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21.04-32 г. имеется только по одному заложенному вагону на заводах «Красный Профинтерн», Коломенский и Калужский. На заводе № 1 находится в разной степени готовности 11 вагонов, завод предполагает 1-2 вагона закончить к 1 мая. Вопросы, которые задерживают производство на сегодняшний день:</w:t>
      </w:r>
    </w:p>
    <w:p w14:paraId="0EA8AE65"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Неподача брони заводам «Красный Профинтерн», Коломенский и Калужский;</w:t>
      </w:r>
    </w:p>
    <w:p w14:paraId="783708F1"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Слабая подача кооперированными заводами деталей основным заводам сборщикам мотоброневагонов;</w:t>
      </w:r>
    </w:p>
    <w:p w14:paraId="725F04DA"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Отсутствие со стороны НКТП (народный комиссариат тяжелой промышленности. — Прим. автора) руководства и контроля по этому вопросу;</w:t>
      </w:r>
    </w:p>
    <w:p w14:paraId="424A106A"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Отсутствуют шарико и роликоподшипники».</w:t>
      </w:r>
    </w:p>
    <w:p w14:paraId="2E6477AB"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несмотря на заявленные сроки, сдать 1-2 вагона к празднику Первомая — завод № 1 выдержать их не смог — первый серийный Д-2 был готов только 26 июня 1932 года (25568).</w:t>
      </w:r>
    </w:p>
    <w:p w14:paraId="5F4FA7B2" w14:textId="77777777" w:rsidR="003825BF" w:rsidRPr="00142305" w:rsidRDefault="003825BF" w:rsidP="003825BF">
      <w:pPr>
        <w:spacing w:after="0" w:line="240" w:lineRule="auto"/>
        <w:jc w:val="both"/>
        <w:rPr>
          <w:rFonts w:ascii="Times New Roman" w:hAnsi="Times New Roman"/>
          <w:color w:val="0070C0"/>
          <w:sz w:val="16"/>
          <w:szCs w:val="16"/>
        </w:rPr>
      </w:pPr>
    </w:p>
    <w:p w14:paraId="2BA5566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00F14DC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441A2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21 апреля 1932 были созданы Морские силы Дальнего Востока (с 11 января 1935 Тихоокеанский флот). </w:t>
      </w:r>
    </w:p>
    <w:p w14:paraId="2516E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1936 с Балтийского и Черного морей во Владивосток (главная ВМБ) Северным морским путем перешли боевые корабли различных классов, составившие ядро флота. Соединения и части ТОФ в 1938 участвовали в разгроме японских войск у оз. Хасан. К 1939 ТОФ представлял собой серьезную силу: в его составе было более 100 кораблей и подводных лодок, мощные военно-воздушные силы и береговая оборона. </w:t>
      </w:r>
    </w:p>
    <w:p w14:paraId="7BD09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 время Великой Отечественной войны ТОФ находился в постоянной боевой готовности к отражению агрессии Японии. Кроме того, он послал на сухопутный фронт более 147 тыс. моряков, оказал большую помощь действующим флотам, передав им корабли, укомплектованные личным составом. Его силы обеспечивали внутренние и внешние коммуникации, корабли ставили оборонительные минные заграждения, охраняли побережье. </w:t>
      </w:r>
    </w:p>
    <w:p w14:paraId="0B385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 началу войны с Японией ТОФ имел 2 крейсера, 1 лидер, 12 эсминцев, 19 сторожевых кораблей, 10 минных заградителей, 52 тральщика, 49 охотников за ПЛ, 204 торпедных катера и 78 подводных лодок, 1618 (из них 1382 боевых) самолетов. С 9 августа по 2 сентября 1945 ТОФ, взаимодействуя с войсками 1-го Дальневосточного фронта, участвовал в окружении японских войск на маньчжурском и корейском плацдармах, высаживал морские десанты в порты противника. Авиация ТОФ наносила удары по военным объектам японцев в Северной Корее. ТОФ содействовал войскам в освобождении Курильских о-вов и Южного Сахалина, обеспечивал проводку конвоев, нарушал морские перевозки противника. </w:t>
      </w:r>
    </w:p>
    <w:p w14:paraId="0AED5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январе 1947 ТОФ был разделен на 5-й (главная ВМБ Владивосток) и 7-й (главная ВМБ Советская Гавань) флоты. В апреле 1953 флоты были вновь объединены в ТОФ (главная ВМБ Владивосток). </w:t>
      </w:r>
    </w:p>
    <w:p w14:paraId="4D655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ТОФ командовали: М. В. Викторов (март 1932 — август 1937), Г. П. Киреев (август 1937 — январь 1938), Н. Г. Кузнецов (январь 1938 — март 1939; февраль 1950 — июль 1951–5-м ВМФ), И. С. Юмашев (март 1939 — январь 1947), А. С. Фролов (январь 1947 — февраль 1950–5-м ВМФ), Ю. А. Пантелеев (август 1951 — апрель 1953–5-м ВМФ; апрель 1953 — январь 1956 — ТОФ), И. И. Байков (январь 1947 — октябрь 1951–7-м ВМФ), Г. Н. Холостяков (ноябрь 1951 — апрель 1953–7-м ВМФ), В. А. Чекуров (январь 1956 — февраль 1958), В. А. Фокин (февраль 1958 — июнь 1962), Н. Н. Амелько (июнь 1962 — март 1969), Н. И.Смирнов (март [241] 1969 — сентябрь 1974), В. П. Маслов (сентябрь 1974 — август 1979), Э. Н. Спиридонов (август 1979 — февраль 1981), В. В. Сидоров (февраль 1981 — декабрь 1986), Г. А. Хватов (с декабря 1986) (11712).</w:t>
      </w:r>
    </w:p>
    <w:p w14:paraId="42F9F1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87B936" w14:textId="77777777" w:rsidR="000E2553" w:rsidRPr="00E93F40" w:rsidRDefault="000E25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апреля 1932 года создан Тихоокеанский флот ВМФ СССР (21176).</w:t>
      </w:r>
    </w:p>
    <w:p w14:paraId="30D93CA3" w14:textId="77777777" w:rsidR="000E2553" w:rsidRPr="00E93F40" w:rsidRDefault="000E2553" w:rsidP="00E93F40">
      <w:pPr>
        <w:spacing w:after="0" w:line="240" w:lineRule="auto"/>
        <w:jc w:val="both"/>
        <w:rPr>
          <w:rFonts w:ascii="Times New Roman" w:hAnsi="Times New Roman"/>
          <w:color w:val="000000" w:themeColor="text1"/>
          <w:sz w:val="16"/>
          <w:szCs w:val="16"/>
        </w:rPr>
      </w:pPr>
    </w:p>
    <w:p w14:paraId="65A211CC" w14:textId="05368FAD" w:rsidR="000A05C4" w:rsidRPr="00E93F40" w:rsidRDefault="000A05C4"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E352D7C" w14:textId="77777777" w:rsidR="000A05C4" w:rsidRPr="00E93F40" w:rsidRDefault="000A05C4"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291EB934"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апреля 1932 г. совещание, прохо</w:t>
      </w:r>
      <w:r w:rsidRPr="00E93F40">
        <w:rPr>
          <w:rFonts w:ascii="Times New Roman" w:hAnsi="Times New Roman"/>
          <w:color w:val="000000" w:themeColor="text1"/>
          <w:sz w:val="16"/>
          <w:szCs w:val="16"/>
        </w:rPr>
        <w:softHyphen/>
        <w:t>дившее у заместителя начальника УВВС С.А. Меженинова, рекомендовало список машин, которые следовало бы приобре</w:t>
      </w:r>
      <w:r w:rsidRPr="00E93F40">
        <w:rPr>
          <w:rFonts w:ascii="Times New Roman" w:hAnsi="Times New Roman"/>
          <w:color w:val="000000" w:themeColor="text1"/>
          <w:sz w:val="16"/>
          <w:szCs w:val="16"/>
        </w:rPr>
        <w:softHyphen/>
        <w:t>сти за границей. На первом месте в нем стояли изделия английской фирмы «Хокер» — одномест</w:t>
      </w:r>
      <w:r w:rsidRPr="00E93F40">
        <w:rPr>
          <w:rFonts w:ascii="Times New Roman" w:hAnsi="Times New Roman"/>
          <w:color w:val="000000" w:themeColor="text1"/>
          <w:sz w:val="16"/>
          <w:szCs w:val="16"/>
        </w:rPr>
        <w:softHyphen/>
        <w:t>ный «Фьюри» и двухместный «Харт» (в ва</w:t>
      </w:r>
      <w:r w:rsidRPr="00E93F40">
        <w:rPr>
          <w:rFonts w:ascii="Times New Roman" w:hAnsi="Times New Roman"/>
          <w:color w:val="000000" w:themeColor="text1"/>
          <w:sz w:val="16"/>
          <w:szCs w:val="16"/>
        </w:rPr>
        <w:softHyphen/>
        <w:t>рианте тяжелого истребителя). Каждый из них предлагали купить в двух экзем</w:t>
      </w:r>
      <w:r w:rsidRPr="00E93F40">
        <w:rPr>
          <w:rFonts w:ascii="Times New Roman" w:hAnsi="Times New Roman"/>
          <w:color w:val="000000" w:themeColor="text1"/>
          <w:sz w:val="16"/>
          <w:szCs w:val="16"/>
        </w:rPr>
        <w:softHyphen/>
        <w:t>плярах. В дополнение в одном экземпля</w:t>
      </w:r>
      <w:r w:rsidRPr="00E93F40">
        <w:rPr>
          <w:rFonts w:ascii="Times New Roman" w:hAnsi="Times New Roman"/>
          <w:color w:val="000000" w:themeColor="text1"/>
          <w:sz w:val="16"/>
          <w:szCs w:val="16"/>
        </w:rPr>
        <w:softHyphen/>
        <w:t>ре хотели купить истребитель-моноплан Виккерс «Жокей». Если «Хокер» откажет</w:t>
      </w:r>
      <w:r w:rsidRPr="00E93F40">
        <w:rPr>
          <w:rFonts w:ascii="Times New Roman" w:hAnsi="Times New Roman"/>
          <w:color w:val="000000" w:themeColor="text1"/>
          <w:sz w:val="16"/>
          <w:szCs w:val="16"/>
        </w:rPr>
        <w:softHyphen/>
        <w:t>ся продать свои самолеты или этому вос</w:t>
      </w:r>
      <w:r w:rsidRPr="00E93F40">
        <w:rPr>
          <w:rFonts w:ascii="Times New Roman" w:hAnsi="Times New Roman"/>
          <w:color w:val="000000" w:themeColor="text1"/>
          <w:sz w:val="16"/>
          <w:szCs w:val="16"/>
        </w:rPr>
        <w:softHyphen/>
        <w:t>препятствует британское правительство, совещание рекомендовало заказать маши</w:t>
      </w:r>
      <w:r w:rsidRPr="00E93F40">
        <w:rPr>
          <w:rFonts w:ascii="Times New Roman" w:hAnsi="Times New Roman"/>
          <w:color w:val="000000" w:themeColor="text1"/>
          <w:sz w:val="16"/>
          <w:szCs w:val="16"/>
        </w:rPr>
        <w:softHyphen/>
        <w:t>ны у конкурента — фирмы «Фэйри». От нее намеревались получить одноместный «Файрфлай» и двухместный «Фокс» (тоже как истребитель).</w:t>
      </w:r>
    </w:p>
    <w:p w14:paraId="1AB3BA7D"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проекте постановления Комитета обороны выбор ограничили, возможно, по соображениям экономии. Остались «Файрфлай», «Фокс» и «Харт» — каждый в двух экземплярах. И, наконец, назна</w:t>
      </w:r>
      <w:r w:rsidRPr="00E93F40">
        <w:rPr>
          <w:rFonts w:ascii="Times New Roman" w:hAnsi="Times New Roman"/>
          <w:color w:val="000000" w:themeColor="text1"/>
          <w:sz w:val="16"/>
          <w:szCs w:val="16"/>
        </w:rPr>
        <w:softHyphen/>
        <w:t>ченная для рассмотрения этого вопроса комиссия во главе с начальником воо</w:t>
      </w:r>
      <w:r w:rsidRPr="00E93F40">
        <w:rPr>
          <w:rFonts w:ascii="Times New Roman" w:hAnsi="Times New Roman"/>
          <w:color w:val="000000" w:themeColor="text1"/>
          <w:sz w:val="16"/>
          <w:szCs w:val="16"/>
        </w:rPr>
        <w:softHyphen/>
        <w:t>ружений Красной армии командармом М.Н. Тухачевским, постановила купить только «Файрфлай» и «Харт».</w:t>
      </w:r>
    </w:p>
    <w:p w14:paraId="7C060288"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«Харт» фирма «Хокер» в единственном экземпляре продать отказалась, опасаясь, что в Советском Союзе его скопируют и начнут строить без лицензии. С «Файрфлаем» дела пошли успешнее. В 1932 г. один такой истребитель прибыл в Москву и прошел полную программу испытаний (23513).</w:t>
      </w:r>
    </w:p>
    <w:p w14:paraId="0D9C134B"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09A6E53B" w14:textId="15919CB3" w:rsidR="00E6267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2B4C8A5" w14:textId="77777777" w:rsidR="00E6267E" w:rsidRPr="00E93F40" w:rsidRDefault="00E626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C825555"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апреля в 1932 году впервые поднялся в воздух с заводского аэродрома фирмы «Боинг» второй прототип американского истребителя «P-26» «Peashooter». (15107).</w:t>
      </w:r>
    </w:p>
    <w:p w14:paraId="3F106D3A"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743B319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DEB7BA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F375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апреля 1932 года на совещании у нач. ВВС Алксниса было утверждено вооружение ТШ-2 в составе крыльевых пулеметных батарей, бомбодержателей дер-6 и бортовых пулеметов, два для стрельбы через винт и два на турели (2994,7б).</w:t>
      </w:r>
    </w:p>
    <w:p w14:paraId="2FFE2C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23 апреля 1932 по согласованию с Я.Алкснисом было принято решение о запуске в серию 10 ТШ-2 вместо первоначально планировавшихся 70, с таким расчетом, чтобы за это время ЦАГИ и НИИ ВВС дали окончательное заключение по результатам его испытаний (3807,66).</w:t>
      </w:r>
    </w:p>
    <w:p w14:paraId="44EFB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CDE30B" w14:textId="77777777" w:rsidR="00E37868" w:rsidRPr="00E93F40" w:rsidRDefault="00E37868"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23 апреля 1932 г. началь</w:t>
      </w:r>
      <w:r w:rsidRPr="00E93F40">
        <w:rPr>
          <w:rFonts w:ascii="Times New Roman" w:hAnsi="Times New Roman"/>
          <w:color w:val="000000" w:themeColor="text1"/>
          <w:sz w:val="16"/>
          <w:szCs w:val="16"/>
          <w:lang w:eastAsia="ru-RU" w:bidi="ru-RU"/>
        </w:rPr>
        <w:softHyphen/>
        <w:t>ник УВВС КА комкор Алкснис принял ре</w:t>
      </w:r>
      <w:r w:rsidRPr="00E93F40">
        <w:rPr>
          <w:rFonts w:ascii="Times New Roman" w:hAnsi="Times New Roman"/>
          <w:color w:val="000000" w:themeColor="text1"/>
          <w:sz w:val="16"/>
          <w:szCs w:val="16"/>
          <w:lang w:eastAsia="ru-RU" w:bidi="ru-RU"/>
        </w:rPr>
        <w:softHyphen/>
        <w:t>шение сначала построить 10 машин вой</w:t>
      </w:r>
      <w:r w:rsidRPr="00E93F40">
        <w:rPr>
          <w:rFonts w:ascii="Times New Roman" w:hAnsi="Times New Roman"/>
          <w:color w:val="000000" w:themeColor="text1"/>
          <w:sz w:val="16"/>
          <w:szCs w:val="16"/>
          <w:lang w:eastAsia="ru-RU" w:bidi="ru-RU"/>
        </w:rPr>
        <w:softHyphen/>
        <w:t>сковой серии по образцу ТШ-2 №2 с та</w:t>
      </w:r>
      <w:r w:rsidRPr="00E93F40">
        <w:rPr>
          <w:rFonts w:ascii="Times New Roman" w:hAnsi="Times New Roman"/>
          <w:color w:val="000000" w:themeColor="text1"/>
          <w:sz w:val="16"/>
          <w:szCs w:val="16"/>
          <w:lang w:eastAsia="ru-RU" w:bidi="ru-RU"/>
        </w:rPr>
        <w:softHyphen/>
        <w:t>ким расчетом, чтобы за время их по</w:t>
      </w:r>
      <w:r w:rsidRPr="00E93F40">
        <w:rPr>
          <w:rFonts w:ascii="Times New Roman" w:hAnsi="Times New Roman"/>
          <w:color w:val="000000" w:themeColor="text1"/>
          <w:sz w:val="16"/>
          <w:szCs w:val="16"/>
          <w:lang w:eastAsia="ru-RU" w:bidi="ru-RU"/>
        </w:rPr>
        <w:softHyphen/>
        <w:t>стройки ЦАГИ и НИИ ВВС успели дать окончательное заключение по результа</w:t>
      </w:r>
      <w:r w:rsidRPr="00E93F40">
        <w:rPr>
          <w:rFonts w:ascii="Times New Roman" w:hAnsi="Times New Roman"/>
          <w:color w:val="000000" w:themeColor="text1"/>
          <w:sz w:val="16"/>
          <w:szCs w:val="16"/>
          <w:lang w:eastAsia="ru-RU" w:bidi="ru-RU"/>
        </w:rPr>
        <w:softHyphen/>
        <w:t>там испытаний эталона самолета. Осталь</w:t>
      </w:r>
      <w:r w:rsidRPr="00E93F40">
        <w:rPr>
          <w:rFonts w:ascii="Times New Roman" w:hAnsi="Times New Roman"/>
          <w:color w:val="000000" w:themeColor="text1"/>
          <w:sz w:val="16"/>
          <w:szCs w:val="16"/>
          <w:lang w:eastAsia="ru-RU" w:bidi="ru-RU"/>
        </w:rPr>
        <w:softHyphen/>
        <w:t>ные самолеты производственной про</w:t>
      </w:r>
      <w:r w:rsidRPr="00E93F40">
        <w:rPr>
          <w:rFonts w:ascii="Times New Roman" w:hAnsi="Times New Roman"/>
          <w:color w:val="000000" w:themeColor="text1"/>
          <w:sz w:val="16"/>
          <w:szCs w:val="16"/>
          <w:lang w:eastAsia="ru-RU" w:bidi="ru-RU"/>
        </w:rPr>
        <w:softHyphen/>
        <w:t>граммы планировалось строить уже с учетом изменений по образцу эталона для массовой серии (21062).</w:t>
      </w:r>
    </w:p>
    <w:p w14:paraId="4D8BE993" w14:textId="77777777" w:rsidR="00E37868" w:rsidRPr="00E93F40" w:rsidRDefault="00E37868" w:rsidP="00E93F40">
      <w:pPr>
        <w:spacing w:after="0" w:line="240" w:lineRule="auto"/>
        <w:jc w:val="both"/>
        <w:rPr>
          <w:rFonts w:ascii="Times New Roman" w:hAnsi="Times New Roman"/>
          <w:color w:val="000000" w:themeColor="text1"/>
          <w:sz w:val="16"/>
          <w:szCs w:val="16"/>
        </w:rPr>
      </w:pPr>
    </w:p>
    <w:p w14:paraId="0B8C784F" w14:textId="77777777" w:rsidR="00E37868" w:rsidRPr="00E93F40" w:rsidRDefault="00E378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23 апреля 1932 на совместном совещании «у начальника ВВС тов. Алксниса» окон</w:t>
      </w:r>
      <w:r w:rsidRPr="00E93F40">
        <w:rPr>
          <w:rFonts w:ascii="Times New Roman" w:hAnsi="Times New Roman"/>
          <w:color w:val="000000" w:themeColor="text1"/>
          <w:sz w:val="16"/>
          <w:szCs w:val="16"/>
          <w:lang w:eastAsia="ru-RU" w:bidi="ru-RU"/>
        </w:rPr>
        <w:softHyphen/>
        <w:t>чательно определились с основным со</w:t>
      </w:r>
      <w:r w:rsidRPr="00E93F40">
        <w:rPr>
          <w:rFonts w:ascii="Times New Roman" w:hAnsi="Times New Roman"/>
          <w:color w:val="000000" w:themeColor="text1"/>
          <w:sz w:val="16"/>
          <w:szCs w:val="16"/>
          <w:lang w:eastAsia="ru-RU" w:bidi="ru-RU"/>
        </w:rPr>
        <w:softHyphen/>
        <w:t>ставом вооружения ТШ-2. Ввиду неясно</w:t>
      </w:r>
      <w:r w:rsidRPr="00E93F40">
        <w:rPr>
          <w:rFonts w:ascii="Times New Roman" w:hAnsi="Times New Roman"/>
          <w:color w:val="000000" w:themeColor="text1"/>
          <w:sz w:val="16"/>
          <w:szCs w:val="16"/>
          <w:lang w:eastAsia="ru-RU" w:bidi="ru-RU"/>
        </w:rPr>
        <w:softHyphen/>
        <w:t>сти требований к гранатницам решили их не устанавливать, а все самолеты ТШ-2 выпускать с «крыльевыми пулеметными батареями, бомбодержателями Дер-6 и бортовыми пулеметами, два для стрельбы через винт и два на турели» (21062).</w:t>
      </w:r>
    </w:p>
    <w:p w14:paraId="26F02240" w14:textId="77777777" w:rsidR="00E37868" w:rsidRPr="00E93F40" w:rsidRDefault="00E37868" w:rsidP="00E93F40">
      <w:pPr>
        <w:spacing w:after="0" w:line="240" w:lineRule="auto"/>
        <w:jc w:val="both"/>
        <w:rPr>
          <w:rFonts w:ascii="Times New Roman" w:hAnsi="Times New Roman"/>
          <w:color w:val="000000" w:themeColor="text1"/>
          <w:sz w:val="16"/>
          <w:szCs w:val="16"/>
          <w:lang w:eastAsia="ru-RU" w:bidi="ru-RU"/>
        </w:rPr>
      </w:pPr>
    </w:p>
    <w:p w14:paraId="3C3F73CB"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апреля в 1932 году по согласованию с Начальником УВВС КА Я.И.Алкснисом было принято решение временно ограничить постройку войсковой серии 10 самолетами с таким расчетом, чтобы за время их постройки ЦАГИ и НИИ ВВС успели дать окончательное заключение по результатам испытаний «ТШ-2» «М-17» (15108).</w:t>
      </w:r>
    </w:p>
    <w:p w14:paraId="694A0DA2"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2747C4E6"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апреля 1932 г. из УВВС поступил приказ проверить пригодность самолетов Р-5 и С-62Б для «волнового управления». Для работы выделили одну летающую лодку, на которую поставили макет сис</w:t>
      </w:r>
      <w:r w:rsidRPr="00142305">
        <w:rPr>
          <w:rFonts w:ascii="Times New Roman" w:hAnsi="Times New Roman"/>
          <w:color w:val="0070C0"/>
          <w:sz w:val="16"/>
          <w:szCs w:val="16"/>
        </w:rPr>
        <w:softHyphen/>
        <w:t>темы образца 1930 г. с передатчиком ДСР (14С-1). Более совершенная аппаратура образца 1931 г. в «савойю» не влезла (ее проектировали для бомбардировщика ТБ-1). Специалисты дали заключение, что по удобству работы водителя тор</w:t>
      </w:r>
      <w:r w:rsidRPr="00142305">
        <w:rPr>
          <w:rFonts w:ascii="Times New Roman" w:hAnsi="Times New Roman"/>
          <w:color w:val="0070C0"/>
          <w:sz w:val="16"/>
          <w:szCs w:val="16"/>
        </w:rPr>
        <w:softHyphen/>
        <w:t>педного катера С-62Б стоит выше и Р-5, и ТБ-1 - лучше обзор и маневренность, больше диапазон скоростей плюс воз</w:t>
      </w:r>
      <w:r w:rsidRPr="00142305">
        <w:rPr>
          <w:rFonts w:ascii="Times New Roman" w:hAnsi="Times New Roman"/>
          <w:color w:val="0070C0"/>
          <w:sz w:val="16"/>
          <w:szCs w:val="16"/>
        </w:rPr>
        <w:softHyphen/>
        <w:t>можность сесть на воду рядом с катером для устранения неполадок (24948).</w:t>
      </w:r>
    </w:p>
    <w:p w14:paraId="0759797C" w14:textId="77777777" w:rsidR="003825BF" w:rsidRPr="00142305" w:rsidRDefault="003825BF" w:rsidP="003825BF">
      <w:pPr>
        <w:spacing w:after="0" w:line="240" w:lineRule="auto"/>
        <w:jc w:val="both"/>
        <w:rPr>
          <w:rFonts w:ascii="Times New Roman" w:hAnsi="Times New Roman"/>
          <w:color w:val="0070C0"/>
          <w:sz w:val="16"/>
          <w:szCs w:val="16"/>
        </w:rPr>
      </w:pPr>
    </w:p>
    <w:p w14:paraId="11392CE0"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23 апреля 1931 года в ЦАГИ под руко</w:t>
      </w:r>
      <w:r w:rsidRPr="00142305">
        <w:rPr>
          <w:rStyle w:val="aff"/>
          <w:rFonts w:ascii="Times New Roman" w:hAnsi="Times New Roman" w:cs="Times New Roman"/>
          <w:color w:val="0070C0"/>
          <w:spacing w:val="0"/>
          <w:sz w:val="16"/>
          <w:szCs w:val="16"/>
        </w:rPr>
        <w:softHyphen/>
        <w:t>водством Н.С. Некрасова был готов первый вариант проекта лидера торпедных катеров Г-6, в сентябре началось строительство макета.</w:t>
      </w:r>
    </w:p>
    <w:p w14:paraId="597B4C77"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Создавался катер почти четыре года, в ходе которых шло согласование вариантов вооруже</w:t>
      </w:r>
      <w:r w:rsidRPr="00142305">
        <w:rPr>
          <w:rStyle w:val="aff"/>
          <w:rFonts w:ascii="Times New Roman" w:hAnsi="Times New Roman" w:cs="Times New Roman"/>
          <w:color w:val="0070C0"/>
          <w:spacing w:val="0"/>
          <w:sz w:val="16"/>
          <w:szCs w:val="16"/>
        </w:rPr>
        <w:softHyphen/>
        <w:t>ния и силовой установки, которая в конечном итоге оказалась восьмимоторной при наличии всего двух линий вала. Моторы соединялись с валами при помощи редукторов и могли индиви</w:t>
      </w:r>
      <w:r w:rsidRPr="00142305">
        <w:rPr>
          <w:rStyle w:val="aff"/>
          <w:rFonts w:ascii="Times New Roman" w:hAnsi="Times New Roman" w:cs="Times New Roman"/>
          <w:color w:val="0070C0"/>
          <w:spacing w:val="0"/>
          <w:sz w:val="16"/>
          <w:szCs w:val="16"/>
        </w:rPr>
        <w:softHyphen/>
        <w:t>дуально отключаться от них. Такая конструкция, безусловно, обладала дополнительным весом и сложностью, а значит, меньшей надежностью. Вооружение же в конечном итоге составили 45-мм полуавтомат 21-К, два крупнокалиберных пулемета в палубных турелях и две турели в кормовой части рубки, причем в верхней пла</w:t>
      </w:r>
      <w:r w:rsidRPr="00142305">
        <w:rPr>
          <w:rStyle w:val="aff"/>
          <w:rFonts w:ascii="Times New Roman" w:hAnsi="Times New Roman" w:cs="Times New Roman"/>
          <w:color w:val="0070C0"/>
          <w:spacing w:val="0"/>
          <w:sz w:val="16"/>
          <w:szCs w:val="16"/>
        </w:rPr>
        <w:softHyphen/>
        <w:t>нировалось установить пулемет винтовочного калибра, а в нижней - крупнокалиберный.</w:t>
      </w:r>
    </w:p>
    <w:p w14:paraId="6A3148D2" w14:textId="77777777" w:rsidR="003825BF" w:rsidRPr="00142305" w:rsidRDefault="003825BF" w:rsidP="003825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Постройка катера шла неспешно из-за от</w:t>
      </w:r>
      <w:r w:rsidRPr="00142305">
        <w:rPr>
          <w:rStyle w:val="aff"/>
          <w:rFonts w:ascii="Times New Roman" w:hAnsi="Times New Roman" w:cs="Times New Roman"/>
          <w:color w:val="0070C0"/>
          <w:spacing w:val="0"/>
          <w:sz w:val="16"/>
          <w:szCs w:val="16"/>
        </w:rPr>
        <w:softHyphen/>
        <w:t>сутствия материалов и моторов ГАМ-34 (25697).</w:t>
      </w:r>
    </w:p>
    <w:p w14:paraId="7FC38716" w14:textId="77777777" w:rsidR="003825BF" w:rsidRPr="00142305" w:rsidRDefault="003825BF" w:rsidP="003825BF">
      <w:pPr>
        <w:spacing w:after="0" w:line="240" w:lineRule="auto"/>
        <w:jc w:val="both"/>
        <w:rPr>
          <w:rFonts w:ascii="Times New Roman" w:hAnsi="Times New Roman"/>
          <w:color w:val="0070C0"/>
          <w:sz w:val="16"/>
          <w:szCs w:val="16"/>
        </w:rPr>
      </w:pPr>
    </w:p>
    <w:p w14:paraId="58F9E65A" w14:textId="77777777" w:rsidR="005256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606F71F" w14:textId="77777777" w:rsidR="00525619" w:rsidRPr="00E93F40" w:rsidRDefault="005256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430D5E" w14:textId="77777777" w:rsidR="00525619" w:rsidRPr="00E93F40" w:rsidRDefault="00525619"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апреля 1932 г. собрали президиум ЦС АВТОДОР СССР и РСФСР, на который пригласили председателя Совнархоза УАО и председателя мотосекции АВТОДОР СССР С.С. Каменева, для принятия решения не дожида</w:t>
      </w:r>
      <w:r w:rsidRPr="00E93F40">
        <w:rPr>
          <w:rFonts w:ascii="Times New Roman" w:hAnsi="Times New Roman"/>
          <w:color w:val="000000" w:themeColor="text1"/>
          <w:sz w:val="16"/>
          <w:szCs w:val="16"/>
        </w:rPr>
        <w:softHyphen/>
        <w:t>ясь окончания строительства завода, создать опытный участок с КБ и мастерскими и начать изготовление опытных мотоциклов. На совещании постановили:</w:t>
      </w:r>
    </w:p>
    <w:p w14:paraId="2B64B654" w14:textId="77777777" w:rsidR="00525619" w:rsidRPr="00E93F40" w:rsidRDefault="00525619"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всемерно поддержать инициативу УАО;</w:t>
      </w:r>
    </w:p>
    <w:p w14:paraId="51B36C90" w14:textId="77777777" w:rsidR="00525619" w:rsidRPr="00E93F40" w:rsidRDefault="00525619"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ходатайствовать в Народный комиссариат тяжёлой про</w:t>
      </w:r>
      <w:r w:rsidRPr="00E93F40">
        <w:rPr>
          <w:rFonts w:ascii="Times New Roman" w:hAnsi="Times New Roman"/>
          <w:color w:val="000000" w:themeColor="text1"/>
          <w:sz w:val="16"/>
          <w:szCs w:val="16"/>
        </w:rPr>
        <w:softHyphen/>
        <w:t>мышленности (НКТП) и ВСНХ СССР о финансировании строи</w:t>
      </w:r>
      <w:r w:rsidRPr="00E93F40">
        <w:rPr>
          <w:rFonts w:ascii="Times New Roman" w:hAnsi="Times New Roman"/>
          <w:color w:val="000000" w:themeColor="text1"/>
          <w:sz w:val="16"/>
          <w:szCs w:val="16"/>
        </w:rPr>
        <w:softHyphen/>
        <w:t>тельства и обеспечении необходимыми материалами и полуфаб</w:t>
      </w:r>
      <w:r w:rsidRPr="00E93F40">
        <w:rPr>
          <w:rFonts w:ascii="Times New Roman" w:hAnsi="Times New Roman"/>
          <w:color w:val="000000" w:themeColor="text1"/>
          <w:sz w:val="16"/>
          <w:szCs w:val="16"/>
        </w:rPr>
        <w:softHyphen/>
        <w:t>рикатами;</w:t>
      </w:r>
    </w:p>
    <w:p w14:paraId="6B58A50E" w14:textId="77777777" w:rsidR="00525619" w:rsidRPr="00E93F40" w:rsidRDefault="00525619"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немедленно предоставить исполкому УАО 275 тыс. р. из средств ЦС АВТОДОР СССР;</w:t>
      </w:r>
    </w:p>
    <w:p w14:paraId="42C0F4A2" w14:textId="77777777" w:rsidR="00525619" w:rsidRPr="00E93F40" w:rsidRDefault="00525619"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принять шефство над ИжМЗ и согласиться на присвоение ему имени АВТОДОРа СССР [4.63].</w:t>
      </w:r>
    </w:p>
    <w:p w14:paraId="7F75D013" w14:textId="77777777" w:rsidR="00525619" w:rsidRPr="00E93F40" w:rsidRDefault="00525619"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Руководство НАТИ передало заказ ИжМЗ на изготовление 10 опытных мотоциклов НАТИ-А-750 и столько же опытных автомобилей НАТИ-2. Эти работы планировали завершить в июне 1933 года [4.64]. Для оказания заводу технической помо</w:t>
      </w:r>
      <w:r w:rsidRPr="00E93F40">
        <w:rPr>
          <w:rFonts w:ascii="Times New Roman" w:hAnsi="Times New Roman"/>
          <w:color w:val="000000" w:themeColor="text1"/>
          <w:sz w:val="16"/>
          <w:szCs w:val="16"/>
        </w:rPr>
        <w:softHyphen/>
        <w:t>щи летом 1932 г. в Ижевск командировали группу сотрудников КБ и других специалистов НАТИ. Им создали хорошие условия работы и проживания. Эти действия НАТИ стимулировали ак</w:t>
      </w:r>
      <w:r w:rsidRPr="00E93F40">
        <w:rPr>
          <w:rFonts w:ascii="Times New Roman" w:hAnsi="Times New Roman"/>
          <w:color w:val="000000" w:themeColor="text1"/>
          <w:sz w:val="16"/>
          <w:szCs w:val="16"/>
        </w:rPr>
        <w:softHyphen/>
        <w:t>тивность руководства Ижевска. Демонстрируя заинтересован</w:t>
      </w:r>
      <w:r w:rsidRPr="00E93F40">
        <w:rPr>
          <w:rFonts w:ascii="Times New Roman" w:hAnsi="Times New Roman"/>
          <w:color w:val="000000" w:themeColor="text1"/>
          <w:sz w:val="16"/>
          <w:szCs w:val="16"/>
        </w:rPr>
        <w:softHyphen/>
        <w:t>ность в создании мотозавода, 23 августа на улице Красной зало</w:t>
      </w:r>
      <w:r w:rsidRPr="00E93F40">
        <w:rPr>
          <w:rFonts w:ascii="Times New Roman" w:hAnsi="Times New Roman"/>
          <w:color w:val="000000" w:themeColor="text1"/>
          <w:sz w:val="16"/>
          <w:szCs w:val="16"/>
        </w:rPr>
        <w:softHyphen/>
        <w:t>жили корпус механосборочного цеха ИжМЗ; а 4 октября 1932 г. приказом руководителя НКТП Г.К. Орджоникидзе директором ИжМЗа назначили И.И. Чекмарёва, сумевшего за последую</w:t>
      </w:r>
      <w:r w:rsidRPr="00E93F40">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E93F40">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w:t>
      </w:r>
    </w:p>
    <w:p w14:paraId="65BC7850" w14:textId="77777777" w:rsidR="00525619" w:rsidRPr="00E93F40" w:rsidRDefault="00525619"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 не менее работа продвигалась не так быстро, как хоте</w:t>
      </w:r>
      <w:r w:rsidRPr="00E93F40">
        <w:rPr>
          <w:rFonts w:ascii="Times New Roman" w:hAnsi="Times New Roman"/>
          <w:color w:val="000000" w:themeColor="text1"/>
          <w:sz w:val="16"/>
          <w:szCs w:val="16"/>
        </w:rPr>
        <w:softHyphen/>
        <w:t>лось бы. Вместе с разработкой необходимой технической доку</w:t>
      </w:r>
      <w:r w:rsidRPr="00E93F40">
        <w:rPr>
          <w:rFonts w:ascii="Times New Roman" w:hAnsi="Times New Roman"/>
          <w:color w:val="000000" w:themeColor="text1"/>
          <w:sz w:val="16"/>
          <w:szCs w:val="16"/>
        </w:rPr>
        <w:softHyphen/>
        <w:t>ментации по «горячим чертежам» изготавливали детали, собира</w:t>
      </w:r>
      <w:r w:rsidRPr="00E93F40">
        <w:rPr>
          <w:rFonts w:ascii="Times New Roman" w:hAnsi="Times New Roman"/>
          <w:color w:val="000000" w:themeColor="text1"/>
          <w:sz w:val="16"/>
          <w:szCs w:val="16"/>
        </w:rPr>
        <w:softHyphen/>
        <w:t>ли узлы, уточняли размеры, допуски и посадки сопрягаемых дета</w:t>
      </w:r>
      <w:r w:rsidRPr="00E93F40">
        <w:rPr>
          <w:rFonts w:ascii="Times New Roman" w:hAnsi="Times New Roman"/>
          <w:color w:val="000000" w:themeColor="text1"/>
          <w:sz w:val="16"/>
          <w:szCs w:val="16"/>
        </w:rPr>
        <w:softHyphen/>
        <w:t>лей. Мотоциклы изготавливали по ходу рабочего проектирова</w:t>
      </w:r>
      <w:r w:rsidRPr="00E93F40">
        <w:rPr>
          <w:rFonts w:ascii="Times New Roman" w:hAnsi="Times New Roman"/>
          <w:color w:val="000000" w:themeColor="text1"/>
          <w:sz w:val="16"/>
          <w:szCs w:val="16"/>
        </w:rPr>
        <w:softHyphen/>
        <w:t>ния, испытывали двигатели. КП и другие узлы (11429).</w:t>
      </w:r>
    </w:p>
    <w:p w14:paraId="0A608861" w14:textId="77777777" w:rsidR="00525619" w:rsidRPr="00E93F40" w:rsidRDefault="00525619"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CB99F"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97. 11. О гаражах и авторемонтных базах по линии гражданских и военных ведомств (ПБ от 3 марта 1932 г., пр. № 90, п. 31) (Каганович Л., Булганин, Киров и др.). 12. Отчетный доклад Наркомтяжмаша о производстве алюминия и строительства алюминиевых заводов (Харитоненко, Пятаков, Прокофьев и др.) (12416).</w:t>
      </w:r>
    </w:p>
    <w:p w14:paraId="6449CE12"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20. О создании военной кооперации и об отпуске ей ссуды в 25 млн. руб. (Политбюро... Т. 2. С. 296, 297) (12416).</w:t>
      </w:r>
    </w:p>
    <w:p w14:paraId="7E73630D"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p>
    <w:p w14:paraId="2BABD3B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9E7211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EEA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апреля 1932 ЦК ВКП(б) принял постановление об объединении писателей в союз писателей СССР (3186) - О перестройке литературно-художественных организаций (3908,337).</w:t>
      </w:r>
    </w:p>
    <w:p w14:paraId="07AAA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45AEE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апреля 1932 вышло Постановление ЦК "О перестройке литературно-художественных организаций". Все существующие организации распускаются, и создаются новые союзы, напрямую контролируемые властями: Союз писателей, Союз архитекторов, Союз композиторов. Все обязаны следовать догматическим принципам социалистического реализма. Создается Литературный институт, готовящий молодых писателей (4962).</w:t>
      </w:r>
    </w:p>
    <w:p w14:paraId="6453E04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0CA654" w14:textId="77777777" w:rsidR="00B0510C" w:rsidRPr="00E93F40" w:rsidRDefault="00B0510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апреля 1932 года в соответствии с решением ЦК ВКП(б) «О перестройке литературно-художественных организаций» распустились все писательские организации, на месте которых создаётся единый Союз советских писателей. Союз писателей СССР создан в 1934 году на Первом съезде писателей СССР, созванном в соответствии с постановлением ЦК ВКП(б) от 23 апреля 1932 года (21176).</w:t>
      </w:r>
    </w:p>
    <w:p w14:paraId="1855EF10" w14:textId="77777777" w:rsidR="00B0510C" w:rsidRPr="00E93F40" w:rsidRDefault="00B0510C" w:rsidP="00E93F40">
      <w:pPr>
        <w:spacing w:after="0" w:line="240" w:lineRule="auto"/>
        <w:jc w:val="both"/>
        <w:rPr>
          <w:rFonts w:ascii="Times New Roman" w:hAnsi="Times New Roman"/>
          <w:color w:val="000000" w:themeColor="text1"/>
          <w:sz w:val="16"/>
          <w:szCs w:val="16"/>
        </w:rPr>
      </w:pPr>
    </w:p>
    <w:p w14:paraId="00CF25F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апреля 1932 принято постановление ЦК ВКП(б) «О перестройке литературно-художественных организаций», по которому в СССР распускались все существовавшие литературные организации (4962).</w:t>
      </w:r>
    </w:p>
    <w:p w14:paraId="25F0FE8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6059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апреля 1932 г. Постановлением ЦК ВКП(б) “О перестройке литературно-художественных организаций” вся творческая интеллигенция объявлялась единой корпорацией, руководимой партией и государством и исповедующей принципы социалистического реализма. На этой основе директивные органы не только оценивали художественные произведения, но и определяли, и упорядочивали процесс их создания: на основах планирования, учета и контроля (11019).</w:t>
      </w:r>
    </w:p>
    <w:p w14:paraId="70454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3FACB2" w14:textId="77777777" w:rsidR="00D45048" w:rsidRPr="00E93F40" w:rsidRDefault="00D4504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апреля 1932 ЦК ВКП(б) принял постановление об объединении всех писателей, стоявших на платформе советской власти, в Союз писателей СССР. Помните у Булгакова? "Так вот, чтобы убедиться в том, что Достоевский - писатель, неужели же нужно спрашивать у него удостоверение? Да возьмите вы любых пять страниц из любого его романа, и без всякого удостоверения вы убедитесь, что имеете дело с писателем. Да я полагаю, что у него и удостоверения никакого не было!". Получается, Бегемот разбирался в литературе лучше нас с вами (12629).</w:t>
      </w:r>
    </w:p>
    <w:p w14:paraId="7ED1068C" w14:textId="77777777" w:rsidR="00D45048" w:rsidRPr="00E93F40" w:rsidRDefault="00D4504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F5198D" w14:textId="77777777" w:rsidR="0042112D" w:rsidRPr="00E93F40" w:rsidRDefault="0042112D" w:rsidP="00E93F40">
      <w:pPr>
        <w:spacing w:after="0" w:line="240" w:lineRule="auto"/>
        <w:jc w:val="both"/>
        <w:rPr>
          <w:rFonts w:ascii="Times New Roman" w:hAnsi="Times New Roman"/>
          <w:color w:val="000000" w:themeColor="text1"/>
          <w:sz w:val="16"/>
          <w:szCs w:val="16"/>
          <w:lang w:eastAsia="ru-RU"/>
        </w:rPr>
      </w:pPr>
      <w:r w:rsidRPr="00E93F40">
        <w:rPr>
          <w:rFonts w:ascii="Times New Roman" w:hAnsi="Times New Roman"/>
          <w:bCs/>
          <w:color w:val="000000" w:themeColor="text1"/>
          <w:sz w:val="16"/>
          <w:szCs w:val="16"/>
        </w:rPr>
        <w:t>23 апреля</w:t>
      </w:r>
      <w:r w:rsidRPr="00E93F40">
        <w:rPr>
          <w:rStyle w:val="highlight"/>
          <w:rFonts w:ascii="Times New Roman" w:hAnsi="Times New Roman"/>
          <w:bCs/>
          <w:color w:val="000000" w:themeColor="text1"/>
          <w:sz w:val="16"/>
          <w:szCs w:val="16"/>
        </w:rPr>
        <w:t>1932</w:t>
      </w:r>
      <w:r w:rsidRPr="00E93F40">
        <w:rPr>
          <w:rFonts w:ascii="Times New Roman" w:hAnsi="Times New Roman"/>
          <w:bCs/>
          <w:color w:val="000000" w:themeColor="text1"/>
          <w:sz w:val="16"/>
          <w:szCs w:val="16"/>
        </w:rPr>
        <w:t>. Постановление Политбюро ЦК ВКП(б) «О перестройке литературно-художественных организаций»</w:t>
      </w:r>
    </w:p>
    <w:p w14:paraId="5CE21741"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ЦК констатирует, что за последние годы на основе значительных успехов социалистического строительства достигнут большой как количественный, так и качественный рост литературы и искусства.</w:t>
      </w:r>
    </w:p>
    <w:p w14:paraId="68A2FB11"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Несколько лет тому назад, когда в литературе налицо было еще значительное влияние чуждых элементов, особенно оживившихся в первые годы нэпа, а кадры пролетарской литературы были еще слабы, партия всемерно помогала созданию и укреплению особых пролетарских организаций в области литературы и [других видов] искусства в целях укрепления позиций пролетарских </w:t>
      </w:r>
      <w:r w:rsidRPr="00E93F40">
        <w:rPr>
          <w:rFonts w:ascii="Times New Roman" w:hAnsi="Times New Roman"/>
          <w:iCs/>
          <w:color w:val="000000" w:themeColor="text1"/>
          <w:sz w:val="16"/>
          <w:szCs w:val="16"/>
        </w:rPr>
        <w:t xml:space="preserve">писателей и работников </w:t>
      </w:r>
      <w:r w:rsidRPr="00E93F40">
        <w:rPr>
          <w:rFonts w:ascii="Times New Roman" w:hAnsi="Times New Roman"/>
          <w:color w:val="000000" w:themeColor="text1"/>
          <w:sz w:val="16"/>
          <w:szCs w:val="16"/>
        </w:rPr>
        <w:t>искусства [и содействия росту кадров пролетарских писателей и художников]</w:t>
      </w:r>
      <w:bookmarkStart w:id="25" w:name="_ftnref2"/>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 xml:space="preserve"> HYPERLINK "http://www.opentextnn.ru/censorship/russia/sov/law/tsk/1930/?id=3012" \l "_ftn2" \o "" </w:instrText>
      </w:r>
      <w:r w:rsidR="00BE0373" w:rsidRPr="00E93F40">
        <w:rPr>
          <w:rFonts w:ascii="Times New Roman" w:hAnsi="Times New Roman"/>
          <w:color w:val="000000" w:themeColor="text1"/>
          <w:sz w:val="16"/>
          <w:szCs w:val="16"/>
        </w:rPr>
      </w:r>
      <w:r w:rsidR="00BE0373" w:rsidRPr="00E93F40">
        <w:rPr>
          <w:rFonts w:ascii="Times New Roman" w:hAnsi="Times New Roman"/>
          <w:color w:val="000000" w:themeColor="text1"/>
          <w:sz w:val="16"/>
          <w:szCs w:val="16"/>
        </w:rPr>
        <w:fldChar w:fldCharType="separate"/>
      </w:r>
      <w:r w:rsidRPr="00E93F40">
        <w:rPr>
          <w:rStyle w:val="a5"/>
          <w:rFonts w:ascii="Times New Roman" w:hAnsi="Times New Roman"/>
          <w:color w:val="000000" w:themeColor="text1"/>
          <w:sz w:val="16"/>
          <w:szCs w:val="16"/>
        </w:rPr>
        <w:t>[2]</w:t>
      </w:r>
      <w:r w:rsidR="00BE0373" w:rsidRPr="00E93F40">
        <w:rPr>
          <w:rFonts w:ascii="Times New Roman" w:hAnsi="Times New Roman"/>
          <w:color w:val="000000" w:themeColor="text1"/>
          <w:sz w:val="16"/>
          <w:szCs w:val="16"/>
        </w:rPr>
        <w:fldChar w:fldCharType="end"/>
      </w:r>
      <w:bookmarkEnd w:id="25"/>
      <w:r w:rsidRPr="00E93F40">
        <w:rPr>
          <w:rFonts w:ascii="Times New Roman" w:hAnsi="Times New Roman"/>
          <w:color w:val="000000" w:themeColor="text1"/>
          <w:sz w:val="16"/>
          <w:szCs w:val="16"/>
        </w:rPr>
        <w:t>.</w:t>
      </w:r>
    </w:p>
    <w:p w14:paraId="4F86AEF0" w14:textId="30EF409A"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когда успели уже вырасти кадры пролетарской литературы и искусства, выдвинулись новые писатели ихудожники с заводов, фабрик, колхозов, рамки существующих пролетарских литературно-художественных организаций (ВОАПП, РАПП, РАМП</w:t>
      </w:r>
      <w:bookmarkStart w:id="26" w:name="_ftnref3"/>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 xml:space="preserve"> HYPERLINK "http://www.opentextnn.ru/censorship/russia/sov/law/tsk/1930/?id=3012" \l "_ftn3" \o "" </w:instrText>
      </w:r>
      <w:r w:rsidR="00BE0373" w:rsidRPr="00E93F40">
        <w:rPr>
          <w:rFonts w:ascii="Times New Roman" w:hAnsi="Times New Roman"/>
          <w:color w:val="000000" w:themeColor="text1"/>
          <w:sz w:val="16"/>
          <w:szCs w:val="16"/>
        </w:rPr>
      </w:r>
      <w:r w:rsidR="00BE0373" w:rsidRPr="00E93F40">
        <w:rPr>
          <w:rFonts w:ascii="Times New Roman" w:hAnsi="Times New Roman"/>
          <w:color w:val="000000" w:themeColor="text1"/>
          <w:sz w:val="16"/>
          <w:szCs w:val="16"/>
        </w:rPr>
        <w:fldChar w:fldCharType="separate"/>
      </w:r>
      <w:r w:rsidRPr="00E93F40">
        <w:rPr>
          <w:rStyle w:val="a5"/>
          <w:rFonts w:ascii="Times New Roman" w:hAnsi="Times New Roman"/>
          <w:color w:val="000000" w:themeColor="text1"/>
          <w:sz w:val="16"/>
          <w:szCs w:val="16"/>
        </w:rPr>
        <w:t>[3]</w:t>
      </w:r>
      <w:r w:rsidR="00BE0373" w:rsidRPr="00E93F40">
        <w:rPr>
          <w:rFonts w:ascii="Times New Roman" w:hAnsi="Times New Roman"/>
          <w:color w:val="000000" w:themeColor="text1"/>
          <w:sz w:val="16"/>
          <w:szCs w:val="16"/>
        </w:rPr>
        <w:fldChar w:fldCharType="end"/>
      </w:r>
      <w:bookmarkEnd w:id="26"/>
      <w:r w:rsidRPr="00E93F40">
        <w:rPr>
          <w:rFonts w:ascii="Times New Roman" w:hAnsi="Times New Roman"/>
          <w:color w:val="000000" w:themeColor="text1"/>
          <w:sz w:val="16"/>
          <w:szCs w:val="16"/>
        </w:rPr>
        <w:t xml:space="preserve"> и др.) становятся уже узкими и тормозят</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серьезный размах [литературного и] художественного творчества. Это обстоятельство создает опасность превращения этих организаций </w:t>
      </w:r>
      <w:r w:rsidRPr="00E93F40">
        <w:rPr>
          <w:rFonts w:ascii="Times New Roman" w:hAnsi="Times New Roman"/>
          <w:iCs/>
          <w:color w:val="000000" w:themeColor="text1"/>
          <w:sz w:val="16"/>
          <w:szCs w:val="16"/>
        </w:rPr>
        <w:t xml:space="preserve">из средства </w:t>
      </w:r>
      <w:r w:rsidRPr="00E93F40">
        <w:rPr>
          <w:rFonts w:ascii="Times New Roman" w:hAnsi="Times New Roman"/>
          <w:color w:val="000000" w:themeColor="text1"/>
          <w:sz w:val="16"/>
          <w:szCs w:val="16"/>
        </w:rPr>
        <w:t>наибольшей мобилизации [действительно] советских писателей и художников вокруг задач социалистического строительства в средство культивирования кружковой замкнутости, отрыва (иногда) от политических задач современности и от значительных групп писателей и художников, сочувствующих социалистическому строительству [и готовых его поддержать].</w:t>
      </w:r>
    </w:p>
    <w:p w14:paraId="7CF21F60"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Отсюда необходимость соответствующей перестройки литературно-художественных организаций и расширения их работы.</w:t>
      </w:r>
    </w:p>
    <w:p w14:paraId="6FAA9F2E"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Исходя из этого, ЦК ВКП(б) постановляет:</w:t>
      </w:r>
    </w:p>
    <w:p w14:paraId="7FA9AAE8"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ликвидировать ассоциацию пролетарских писателей (АПП, РАПП);</w:t>
      </w:r>
    </w:p>
    <w:p w14:paraId="2B0E8895"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объединить всех писателей, </w:t>
      </w:r>
      <w:r w:rsidRPr="00E93F40">
        <w:rPr>
          <w:rFonts w:ascii="Times New Roman" w:hAnsi="Times New Roman"/>
          <w:iCs/>
          <w:color w:val="000000" w:themeColor="text1"/>
          <w:sz w:val="16"/>
          <w:szCs w:val="16"/>
        </w:rPr>
        <w:t xml:space="preserve">поддерживающих платформу Советской </w:t>
      </w:r>
      <w:r w:rsidRPr="00E93F40">
        <w:rPr>
          <w:rFonts w:ascii="Times New Roman" w:hAnsi="Times New Roman"/>
          <w:color w:val="000000" w:themeColor="text1"/>
          <w:sz w:val="16"/>
          <w:szCs w:val="16"/>
        </w:rPr>
        <w:t>[стоящих за политику советской] власти и стремящихся участвовать всоциалистическом строительстве, в единый союз советских писателей с коммунистической фракцией в нем;</w:t>
      </w:r>
    </w:p>
    <w:p w14:paraId="679A912C"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3)провести аналогичное </w:t>
      </w:r>
      <w:r w:rsidRPr="00E93F40">
        <w:rPr>
          <w:rFonts w:ascii="Times New Roman" w:hAnsi="Times New Roman"/>
          <w:iCs/>
          <w:color w:val="000000" w:themeColor="text1"/>
          <w:sz w:val="16"/>
          <w:szCs w:val="16"/>
        </w:rPr>
        <w:t xml:space="preserve">изменение по линии других видов искусства </w:t>
      </w:r>
      <w:r w:rsidRPr="00E93F40">
        <w:rPr>
          <w:rFonts w:ascii="Times New Roman" w:hAnsi="Times New Roman"/>
          <w:color w:val="000000" w:themeColor="text1"/>
          <w:sz w:val="16"/>
          <w:szCs w:val="16"/>
        </w:rPr>
        <w:t xml:space="preserve">[объединение музыкантов, композиторов, художников, архитекторов и т. п. организаций]; </w:t>
      </w:r>
    </w:p>
    <w:p w14:paraId="2FC0250B"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4)поручить Оргбюро разработать практические меры по проведению этого решения.</w:t>
      </w:r>
    </w:p>
    <w:p w14:paraId="7959EB96" w14:textId="30343AC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к пункту 21 протокола № 97 заседания Политбюро ЦК ВКП(б) от 23</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апреля</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9AFDC78"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РЦХИДНИ. Ф. 17. On. 163. Д. 938. ЛЛ. 37, 38.</w:t>
      </w:r>
    </w:p>
    <w:p w14:paraId="3AA9AE8D"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Подлинник. Машинописный текст.</w:t>
      </w:r>
    </w:p>
    <w:p w14:paraId="1A9A3197" w14:textId="77777777" w:rsidR="0042112D" w:rsidRPr="00E93F40" w:rsidRDefault="004211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Опубл.: «Счастье литературы». Государство и писатели. 1925 – 1938 гг. Документы / Составитель Д. Л. Бабиченко. М.: «Российская политическая энциклопедия» (РОССПЭН), 1997. С. 130 – 131.</w:t>
      </w:r>
    </w:p>
    <w:bookmarkStart w:id="27" w:name="_ftn1"/>
    <w:p w14:paraId="286D2395" w14:textId="77777777" w:rsidR="0042112D" w:rsidRPr="00E93F40" w:rsidRDefault="00BE03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fldChar w:fldCharType="begin"/>
      </w:r>
      <w:r w:rsidR="0042112D" w:rsidRPr="00E93F40">
        <w:rPr>
          <w:rFonts w:ascii="Times New Roman" w:hAnsi="Times New Roman"/>
          <w:color w:val="000000" w:themeColor="text1"/>
          <w:sz w:val="16"/>
          <w:szCs w:val="16"/>
        </w:rPr>
        <w:instrText xml:space="preserve"> HYPERLINK "http://www.opentextnn.ru/censorship/russia/sov/law/tsk/1930/?id=3012" \l "_ftnref1" \o "" </w:instrText>
      </w:r>
      <w:r w:rsidRPr="00E93F40">
        <w:rPr>
          <w:rFonts w:ascii="Times New Roman" w:hAnsi="Times New Roman"/>
          <w:color w:val="000000" w:themeColor="text1"/>
          <w:sz w:val="16"/>
          <w:szCs w:val="16"/>
        </w:rPr>
      </w:r>
      <w:r w:rsidRPr="00E93F40">
        <w:rPr>
          <w:rFonts w:ascii="Times New Roman" w:hAnsi="Times New Roman"/>
          <w:color w:val="000000" w:themeColor="text1"/>
          <w:sz w:val="16"/>
          <w:szCs w:val="16"/>
        </w:rPr>
        <w:fldChar w:fldCharType="separate"/>
      </w:r>
      <w:r w:rsidR="0042112D" w:rsidRPr="00E93F40">
        <w:rPr>
          <w:rStyle w:val="a5"/>
          <w:rFonts w:ascii="Times New Roman" w:hAnsi="Times New Roman"/>
          <w:color w:val="000000" w:themeColor="text1"/>
          <w:sz w:val="16"/>
          <w:szCs w:val="16"/>
        </w:rPr>
        <w:t>[1]</w:t>
      </w:r>
      <w:r w:rsidRPr="00E93F40">
        <w:rPr>
          <w:rFonts w:ascii="Times New Roman" w:hAnsi="Times New Roman"/>
          <w:color w:val="000000" w:themeColor="text1"/>
          <w:sz w:val="16"/>
          <w:szCs w:val="16"/>
        </w:rPr>
        <w:fldChar w:fldCharType="end"/>
      </w:r>
      <w:bookmarkEnd w:id="27"/>
      <w:r w:rsidR="0042112D" w:rsidRPr="00E93F40">
        <w:rPr>
          <w:rFonts w:ascii="Times New Roman" w:hAnsi="Times New Roman"/>
          <w:color w:val="000000" w:themeColor="text1"/>
          <w:sz w:val="16"/>
          <w:szCs w:val="16"/>
        </w:rPr>
        <w:t xml:space="preserve"> В пункте 21 было записано: «Принять проект предложений, внесенный т. Кагановичем (см. приложение), и опубликовать в печати». Среди готовивших этот вопрос на рассмотрение Политбюро кроме Д. Кагановича были Л. Авербах и Ф. Панферов. В машинописной записи, сделанной в подлинном Протоколе до заседания ПБ, были указаны кроме упомянутых лиц Киршон, Фадеев и Макарьев. Однако на заседании последние не присутствовали (см. док. №№ 45,46).</w:t>
      </w:r>
    </w:p>
    <w:bookmarkStart w:id="28" w:name="_ftn2"/>
    <w:p w14:paraId="7DFAC7AB" w14:textId="77777777" w:rsidR="0042112D" w:rsidRPr="00E93F40" w:rsidRDefault="00BE03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fldChar w:fldCharType="begin"/>
      </w:r>
      <w:r w:rsidR="0042112D" w:rsidRPr="00E93F40">
        <w:rPr>
          <w:rFonts w:ascii="Times New Roman" w:hAnsi="Times New Roman"/>
          <w:color w:val="000000" w:themeColor="text1"/>
          <w:sz w:val="16"/>
          <w:szCs w:val="16"/>
        </w:rPr>
        <w:instrText xml:space="preserve"> HYPERLINK "http://www.opentextnn.ru/censorship/russia/sov/law/tsk/1930/?id=3012" \l "_ftnref2" \o "" </w:instrText>
      </w:r>
      <w:r w:rsidRPr="00E93F40">
        <w:rPr>
          <w:rFonts w:ascii="Times New Roman" w:hAnsi="Times New Roman"/>
          <w:color w:val="000000" w:themeColor="text1"/>
          <w:sz w:val="16"/>
          <w:szCs w:val="16"/>
        </w:rPr>
      </w:r>
      <w:r w:rsidRPr="00E93F40">
        <w:rPr>
          <w:rFonts w:ascii="Times New Roman" w:hAnsi="Times New Roman"/>
          <w:color w:val="000000" w:themeColor="text1"/>
          <w:sz w:val="16"/>
          <w:szCs w:val="16"/>
        </w:rPr>
        <w:fldChar w:fldCharType="separate"/>
      </w:r>
      <w:r w:rsidR="0042112D" w:rsidRPr="00E93F40">
        <w:rPr>
          <w:rStyle w:val="a5"/>
          <w:rFonts w:ascii="Times New Roman" w:hAnsi="Times New Roman"/>
          <w:color w:val="000000" w:themeColor="text1"/>
          <w:sz w:val="16"/>
          <w:szCs w:val="16"/>
        </w:rPr>
        <w:t>[2]</w:t>
      </w:r>
      <w:r w:rsidRPr="00E93F40">
        <w:rPr>
          <w:rFonts w:ascii="Times New Roman" w:hAnsi="Times New Roman"/>
          <w:color w:val="000000" w:themeColor="text1"/>
          <w:sz w:val="16"/>
          <w:szCs w:val="16"/>
        </w:rPr>
        <w:fldChar w:fldCharType="end"/>
      </w:r>
      <w:bookmarkEnd w:id="28"/>
      <w:r w:rsidR="0042112D" w:rsidRPr="00E93F40">
        <w:rPr>
          <w:rFonts w:ascii="Times New Roman" w:hAnsi="Times New Roman"/>
          <w:color w:val="000000" w:themeColor="text1"/>
          <w:sz w:val="16"/>
          <w:szCs w:val="16"/>
        </w:rPr>
        <w:t xml:space="preserve"> Выделенные курсивом слова вписаны Сталиным. Слова в квадратных скобках зачеркнуты Сталиным.</w:t>
      </w:r>
    </w:p>
    <w:bookmarkStart w:id="29" w:name="_ftn3"/>
    <w:p w14:paraId="18CAE256" w14:textId="77777777" w:rsidR="0042112D" w:rsidRPr="00E93F40" w:rsidRDefault="00BE0373"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fldChar w:fldCharType="begin"/>
      </w:r>
      <w:r w:rsidR="0042112D" w:rsidRPr="00E93F40">
        <w:rPr>
          <w:rFonts w:ascii="Times New Roman" w:hAnsi="Times New Roman"/>
          <w:color w:val="000000" w:themeColor="text1"/>
          <w:sz w:val="16"/>
          <w:szCs w:val="16"/>
        </w:rPr>
        <w:instrText xml:space="preserve"> HYPERLINK "http://www.opentextnn.ru/censorship/russia/sov/law/tsk/1930/?id=3012" \l "_ftnref3" \o "" </w:instrText>
      </w:r>
      <w:r w:rsidRPr="00E93F40">
        <w:rPr>
          <w:rFonts w:ascii="Times New Roman" w:hAnsi="Times New Roman"/>
          <w:color w:val="000000" w:themeColor="text1"/>
          <w:sz w:val="16"/>
          <w:szCs w:val="16"/>
        </w:rPr>
      </w:r>
      <w:r w:rsidRPr="00E93F40">
        <w:rPr>
          <w:rFonts w:ascii="Times New Roman" w:hAnsi="Times New Roman"/>
          <w:color w:val="000000" w:themeColor="text1"/>
          <w:sz w:val="16"/>
          <w:szCs w:val="16"/>
        </w:rPr>
        <w:fldChar w:fldCharType="separate"/>
      </w:r>
      <w:r w:rsidR="0042112D" w:rsidRPr="00E93F40">
        <w:rPr>
          <w:rStyle w:val="a5"/>
          <w:rFonts w:ascii="Times New Roman" w:hAnsi="Times New Roman"/>
          <w:color w:val="000000" w:themeColor="text1"/>
          <w:sz w:val="16"/>
          <w:szCs w:val="16"/>
        </w:rPr>
        <w:t>[3]</w:t>
      </w:r>
      <w:r w:rsidRPr="00E93F40">
        <w:rPr>
          <w:rFonts w:ascii="Times New Roman" w:hAnsi="Times New Roman"/>
          <w:color w:val="000000" w:themeColor="text1"/>
          <w:sz w:val="16"/>
          <w:szCs w:val="16"/>
        </w:rPr>
        <w:fldChar w:fldCharType="end"/>
      </w:r>
      <w:bookmarkEnd w:id="29"/>
      <w:r w:rsidR="0042112D" w:rsidRPr="00E93F40">
        <w:rPr>
          <w:rFonts w:ascii="Times New Roman" w:hAnsi="Times New Roman"/>
          <w:color w:val="000000" w:themeColor="text1"/>
          <w:sz w:val="16"/>
          <w:szCs w:val="16"/>
        </w:rPr>
        <w:t xml:space="preserve"> Правильно: РАПМ (17260).</w:t>
      </w:r>
    </w:p>
    <w:p w14:paraId="3A59B06B" w14:textId="77777777" w:rsidR="0042112D" w:rsidRPr="00E93F40" w:rsidRDefault="0042112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469605" w14:textId="77777777" w:rsidR="000566B1" w:rsidRPr="00E93F40" w:rsidRDefault="000566B1" w:rsidP="000566B1">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BF5F004" w14:textId="77777777" w:rsidR="000566B1" w:rsidRPr="00E93F40" w:rsidRDefault="000566B1" w:rsidP="000566B1">
      <w:pPr>
        <w:autoSpaceDE w:val="0"/>
        <w:autoSpaceDN w:val="0"/>
        <w:adjustRightInd w:val="0"/>
        <w:spacing w:after="0" w:line="240" w:lineRule="auto"/>
        <w:jc w:val="both"/>
        <w:rPr>
          <w:rFonts w:ascii="Times New Roman" w:hAnsi="Times New Roman"/>
          <w:iCs/>
          <w:color w:val="000000" w:themeColor="text1"/>
          <w:sz w:val="16"/>
          <w:szCs w:val="16"/>
        </w:rPr>
      </w:pPr>
    </w:p>
    <w:p w14:paraId="197111E2"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апреля 1932 г. в Таганрог прибыла комиссия НИИ ГВФ, которая должна была провести государст</w:t>
      </w:r>
      <w:r w:rsidRPr="00142305">
        <w:rPr>
          <w:rFonts w:ascii="Times New Roman" w:hAnsi="Times New Roman"/>
          <w:color w:val="0070C0"/>
          <w:sz w:val="16"/>
          <w:szCs w:val="16"/>
        </w:rPr>
        <w:softHyphen/>
        <w:t>венные испытания серийного Ш-2. Лётчиком назначили того же Шварца, а ведущим инженером на этот раз был В.И. Акимов. Испытания шли до 8 мая с одним перерывом, оба Ш-2 (для ГВФ и для ВВС) привлекли к показательным полётам над первомайской демонстрацией; с них разбрасывали листовки.</w:t>
      </w:r>
    </w:p>
    <w:p w14:paraId="21C7D67B"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Шварц подтвердил выводы завод</w:t>
      </w:r>
      <w:r w:rsidRPr="00142305">
        <w:rPr>
          <w:rFonts w:ascii="Times New Roman" w:hAnsi="Times New Roman"/>
          <w:color w:val="0070C0"/>
          <w:sz w:val="16"/>
          <w:szCs w:val="16"/>
        </w:rPr>
        <w:softHyphen/>
        <w:t>ских испытателей о том, что серийная амфибия получилась лучше опытной. В варианте летающей лодки практичес</w:t>
      </w:r>
      <w:r w:rsidRPr="00142305">
        <w:rPr>
          <w:rFonts w:ascii="Times New Roman" w:hAnsi="Times New Roman"/>
          <w:color w:val="0070C0"/>
          <w:sz w:val="16"/>
          <w:szCs w:val="16"/>
        </w:rPr>
        <w:softHyphen/>
        <w:t>кий потолок составил 4140 м, улучши</w:t>
      </w:r>
      <w:r w:rsidRPr="00142305">
        <w:rPr>
          <w:rFonts w:ascii="Times New Roman" w:hAnsi="Times New Roman"/>
          <w:color w:val="0070C0"/>
          <w:sz w:val="16"/>
          <w:szCs w:val="16"/>
        </w:rPr>
        <w:softHyphen/>
        <w:t>лась и скороподъёмность. Вместе с тем выявился ряд недостатков. Испытатели рекомендовали переделать костыль (он захватывал землю на посадке) и снабдить его буфером из цельной резины, сделать угол установки стабилизатора изменяе</w:t>
      </w:r>
      <w:r w:rsidRPr="00142305">
        <w:rPr>
          <w:rFonts w:ascii="Times New Roman" w:hAnsi="Times New Roman"/>
          <w:color w:val="0070C0"/>
          <w:sz w:val="16"/>
          <w:szCs w:val="16"/>
        </w:rPr>
        <w:softHyphen/>
        <w:t>мым на земле, увеличить длину рукоятки механизма уборки шасси (а если можно, сделать её складной), установить огнету</w:t>
      </w:r>
      <w:r w:rsidRPr="00142305">
        <w:rPr>
          <w:rFonts w:ascii="Times New Roman" w:hAnsi="Times New Roman"/>
          <w:color w:val="0070C0"/>
          <w:sz w:val="16"/>
          <w:szCs w:val="16"/>
        </w:rPr>
        <w:softHyphen/>
        <w:t>шитель, предусмотреть стандартные при</w:t>
      </w:r>
      <w:r w:rsidRPr="00142305">
        <w:rPr>
          <w:rFonts w:ascii="Times New Roman" w:hAnsi="Times New Roman"/>
          <w:color w:val="0070C0"/>
          <w:sz w:val="16"/>
          <w:szCs w:val="16"/>
        </w:rPr>
        <w:softHyphen/>
        <w:t>вязные ремни. Трубку ПВД потребовали вернуть на то место, где она находилась на опытном образце, поскольку новый вариант мешал складыванию крыла.</w:t>
      </w:r>
    </w:p>
    <w:p w14:paraId="0A7BFC30"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Ш-2 признали очень технологичным самолётом. Серийная машина обходи</w:t>
      </w:r>
      <w:r w:rsidRPr="00142305">
        <w:rPr>
          <w:rFonts w:ascii="Times New Roman" w:hAnsi="Times New Roman"/>
          <w:color w:val="0070C0"/>
          <w:sz w:val="16"/>
          <w:szCs w:val="16"/>
        </w:rPr>
        <w:softHyphen/>
        <w:t>лась всего в 11 000 рублей (без мотора), дешевле, чем У-2 (25952).</w:t>
      </w:r>
    </w:p>
    <w:p w14:paraId="51866633" w14:textId="77777777" w:rsidR="000566B1" w:rsidRPr="00142305" w:rsidRDefault="000566B1" w:rsidP="000566B1">
      <w:pPr>
        <w:spacing w:after="0" w:line="240" w:lineRule="auto"/>
        <w:jc w:val="both"/>
        <w:rPr>
          <w:rFonts w:ascii="Times New Roman" w:hAnsi="Times New Roman"/>
          <w:color w:val="0070C0"/>
          <w:sz w:val="16"/>
          <w:szCs w:val="16"/>
        </w:rPr>
      </w:pPr>
    </w:p>
    <w:p w14:paraId="1DD1D509" w14:textId="77777777" w:rsidR="00E6267E"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5E67DC8" w14:textId="77777777" w:rsidR="00E6267E" w:rsidRPr="00E93F40" w:rsidRDefault="00E626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742E62"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апреля 1933 сборщики сдали первое шасси Л-1, еще без кузова,. На пробную поездку его вывел сам Тер-Асатуров, а 29 апреля, как раз к майским праздникам, закончили шестую машину. На первомайскую демонстрацию заводчане направили все шесть автомобилей, которые успели закончить к тому времени. Семиместные кузова типа «лимузин» были отделаны никелированными деталями, ценными породами дерева и обиты изнутри репсом. Цвет тканевой обивки салона по данным тогдашнего корреспондента «За рулем» Аркадия Марковича был коричневого цвета, по свидетельству историка автомобилестроения Млодика (кЛ.М. Шугурова - серого, хотя не исключено применение обоих расцветок на разных автомобилях. Вопреки свидетельству Л. Шугурова, что все шесть машин первой партии были черного цвета, по имеющимся фотографиям можно утверждать, что как минимум две машины имели более светлый цвет кузова, контрастно выделяющийся на фоне черных крыльев автомобиля (15591).</w:t>
      </w:r>
    </w:p>
    <w:p w14:paraId="72243F70"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73A2A3B8" w14:textId="77777777" w:rsidR="00E6267E" w:rsidRPr="00E93F40" w:rsidRDefault="00E626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апреля в 1932 году образован Московский орденов Трудового Красного Знамени и Красной Звезды научно-исследовательский институт приборной автоматики (МНИИПА). В институте создавались приборы и автоматизированные системы обработки информации и управления артиллерийским огнем, зенитным ракетным оружием, боевой и гражданской авиацией, радиотехническими войсками, соединениями противовоздушной обороны. Здесь зародились многие перспективные научные направления, получившие свое дальнейшее развитие в работах других институтов и предприятий отрасли. Более 50-ти систем, разработанных коллективом института, были приняты на вооружении армии и флота. Среди сотрудников института трудятся доктора и кандидаты технических наук, лауреаты Сталинской и Ленинской премий, лауреаты Государственной премии в области науки и техники, многие награждены орденами и медалями. В настоящее время МНИИПА является ведущей системной промышленной организацией по созданию комплексных территориальных АСУ силами средствами противовоздушной обороны, разнородной авиацией и воздушным движением, функционирующих в реальном масштабе времени с жестко регламентированным циклом обработки информации и управления (15109).</w:t>
      </w:r>
    </w:p>
    <w:p w14:paraId="416FC9BF" w14:textId="77777777" w:rsidR="00E6267E" w:rsidRPr="00E93F40" w:rsidRDefault="00E6267E" w:rsidP="00E93F40">
      <w:pPr>
        <w:spacing w:after="0" w:line="240" w:lineRule="auto"/>
        <w:jc w:val="both"/>
        <w:rPr>
          <w:rFonts w:ascii="Times New Roman" w:hAnsi="Times New Roman"/>
          <w:color w:val="000000" w:themeColor="text1"/>
          <w:sz w:val="16"/>
          <w:szCs w:val="16"/>
        </w:rPr>
      </w:pPr>
    </w:p>
    <w:p w14:paraId="789B809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0A2449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C2EB7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апреля 1932 в германии нацисты одержали победу в выборах в местные органы власти в Пруссии, Баварии, Вюртемберге и Гамбурге. В Пруссии сформировали однопартийное правительство (3907,173).</w:t>
      </w:r>
    </w:p>
    <w:p w14:paraId="5731C8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F77D2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08A123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E8E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апреля 1932 года начальник ВВС Алкснис писал письмо N 038262 председателю РВС.</w:t>
      </w:r>
    </w:p>
    <w:p w14:paraId="104FD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6107D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25 апреля с.г.</w:t>
      </w:r>
    </w:p>
    <w:p w14:paraId="06188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NN 1-9 подготовляются к участию в Первомайском воздушном параде (3027).</w:t>
      </w:r>
    </w:p>
    <w:p w14:paraId="774BA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9A88F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апреля 1932 года зам. начальника 1 отдела НИИ Аузан писал письмо № 00/151с начальнику ВВС Алкснису (6779):</w:t>
      </w:r>
    </w:p>
    <w:p w14:paraId="62866BE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Доношу, что на настоящее время положение работ по рекордному на дальность самолету нижеследующее:</w:t>
      </w:r>
    </w:p>
    <w:p w14:paraId="59E5C7B8"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общая компоновка самолета;</w:t>
      </w:r>
    </w:p>
    <w:p w14:paraId="5F2BB90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B6643E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Общее руководство проектированием самолета ведет Туполев, его заместителем является Сухой.</w:t>
      </w:r>
    </w:p>
    <w:p w14:paraId="0D486A5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выпуска самолета на аэродром в августе 1932 года следует считать реальным, однако само совершение рекордного полета в 1932 году может быть легко сорвано тем, что специально собранный (особо надежный) мотор М34 с редуктором промышленность сможет дать в лучшем случае лишь в конце 1932 года, мотор же без редуктора уменьшает дальность полета почти на 1000 км.</w:t>
      </w:r>
    </w:p>
    <w:p w14:paraId="2E232DA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Проектируемый ЦАГИ самолет является дюралюминиевым свободнонесущим монопланом, с большим размахом крыльев, трехместным, снабженным убирающимся шасси.</w:t>
      </w:r>
    </w:p>
    <w:p w14:paraId="169BD23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Сравнительный анализ показывает, что благодаря большому размаху крыльев. Чем у французских самолетов и убирающемуся шасси, самолет ЦАГИ при условии выдерживания веса конструкции и нагрузки без горючего и смазочного в пределах 3800-4000 кг, как это запроектировано, сможет очень близко подойти к мировому рекорду на дальность по замкнутому кругу (10605 км) и побить рекорд на дальность по прямой (8065 км).</w:t>
      </w:r>
    </w:p>
    <w:p w14:paraId="72DC3A5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5B6AB1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полетов рекордного самолета совершенно необходима взлетная дорожка длиной в 2 км с открытым подходом (6779, 3).</w:t>
      </w:r>
    </w:p>
    <w:p w14:paraId="4BCF687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6F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апреля 1932 года начальник 8 сектора 3 управления УВВС Нейланд писал письмо N 003835сс начальнику 1 управления Исполкома комитета союза обществ Красного креста Красного полумесяца.</w:t>
      </w:r>
    </w:p>
    <w:p w14:paraId="2E06B7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N 633сс.</w:t>
      </w:r>
    </w:p>
    <w:p w14:paraId="52BD51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Сообщается, что самолеты АНТ-9 и АНТ-14 строить во второй пятилетке не предполагается.</w:t>
      </w:r>
    </w:p>
    <w:p w14:paraId="43D95B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самолетов К-5 в настоящее время ставится мотор М-15, производство которого прекращается и новый мотор еще не подобран.</w:t>
      </w:r>
    </w:p>
    <w:p w14:paraId="049BB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самолетов У-2 - мотор М-11 и в перспективе - мотор М-51. (3046,51).</w:t>
      </w:r>
    </w:p>
    <w:p w14:paraId="64537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8B5D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апреля 1932 года начальник штаба ВВС БМ Базенков писал письмо N 1/213сс начальнику 1 управления УВВС, начальнику штаба морских сил Балтморя.</w:t>
      </w:r>
    </w:p>
    <w:p w14:paraId="0AA0AE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Сообщается, что на самолете С-62-б возможна переброска предметов необходимых для пополнения запасов подлодок (3786,94).</w:t>
      </w:r>
    </w:p>
    <w:p w14:paraId="5150D3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C08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ГИРД получила помещения по Садово-Спасской и 25 апреля туда из ИАМ перешел Цандер (388,62).</w:t>
      </w:r>
    </w:p>
    <w:p w14:paraId="0A157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B95FA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996D35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36BCCD" w14:textId="77777777" w:rsidR="00FD63D9" w:rsidRPr="00E93F40" w:rsidRDefault="00FD63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апреля в 1932 году в воздух поднялся модернизированный вариант – «SPCA 81» с двигателем «Lorraine» «9Na» «Algol.» (15110).</w:t>
      </w:r>
    </w:p>
    <w:p w14:paraId="40F5B22E" w14:textId="77777777" w:rsidR="00FD63D9" w:rsidRPr="00E93F40" w:rsidRDefault="00FD63D9" w:rsidP="00E93F40">
      <w:pPr>
        <w:spacing w:after="0" w:line="240" w:lineRule="auto"/>
        <w:jc w:val="both"/>
        <w:rPr>
          <w:rFonts w:ascii="Times New Roman" w:hAnsi="Times New Roman"/>
          <w:color w:val="000000" w:themeColor="text1"/>
          <w:sz w:val="16"/>
          <w:szCs w:val="16"/>
        </w:rPr>
      </w:pPr>
    </w:p>
    <w:p w14:paraId="2CC160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апреля 1932 в Корее был сформирован первый вооруженный отряд для борьбы с японцами - день Корейской НА (3398,159).</w:t>
      </w:r>
    </w:p>
    <w:p w14:paraId="11AF88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6048BB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77179A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559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1932 вышло сопроводительное письмо НИИ ВВС N 120cc за подписью Нач. 1-го отдела Горощенко в адрес Глававиапрома (Баранов), ГУГВФ (Гольцману) и ЦАГИ (Харламову) к Протоколу совещания Комиссии Зам. Пред. РВС Тухачевского от 19 марта 1932. В ЦАГИ получили 27 апреля 1932 и дали N 1319 (351).</w:t>
      </w:r>
    </w:p>
    <w:p w14:paraId="5948A3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препровождаю протокол совещания Комиссии Зам. Пред. РВС СССР тов. Тухачевского от 19 марта 1932.</w:t>
      </w:r>
    </w:p>
    <w:p w14:paraId="52A53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упомянутое на 2 листах (351,91).</w:t>
      </w:r>
    </w:p>
    <w:p w14:paraId="28525D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марта 1932 на совещании под председательством М.Н.Тухачевского был рассмотрен план опытного строительства самолетов на 1932-1934 гг. в присутствии Н.М.Харламова, А.Н.Т. и Е.К.Стомана (273,297).</w:t>
      </w:r>
    </w:p>
    <w:p w14:paraId="7AE5E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w:t>
      </w:r>
    </w:p>
    <w:p w14:paraId="61DDA1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совещания Комиссии Зам. Пред. РВС СССР тов. Тухачевского</w:t>
      </w:r>
    </w:p>
    <w:p w14:paraId="0E778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Присутствуют:</w:t>
      </w:r>
    </w:p>
    <w:p w14:paraId="1B6AB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РВСР - т. Тухачевский</w:t>
      </w:r>
    </w:p>
    <w:p w14:paraId="66FCE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УВВС - т.т. Алкснис, Меженинов</w:t>
      </w:r>
    </w:p>
    <w:p w14:paraId="0FAAE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НИИ ВВС - т.т. Бузанов, Аузан, Горощенко, Кудрявцев</w:t>
      </w:r>
    </w:p>
    <w:p w14:paraId="2B5CA0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ЦАГИ - т.т. Харламов, Туполев, Стоман</w:t>
      </w:r>
    </w:p>
    <w:p w14:paraId="1B943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 ГВФ - т. Анвельт</w:t>
      </w:r>
    </w:p>
    <w:p w14:paraId="2136B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ГВФ - т.т. Филипович, Путилов, Бартини</w:t>
      </w:r>
    </w:p>
    <w:p w14:paraId="4A722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Повестка дня</w:t>
      </w:r>
    </w:p>
    <w:p w14:paraId="17D00C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Рассмотрение плана опытного строительства по самолетам на 1932 - 34 г.г.</w:t>
      </w:r>
    </w:p>
    <w:p w14:paraId="23822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обмена мнениями постановили:</w:t>
      </w:r>
    </w:p>
    <w:p w14:paraId="52A66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Проектирование и постройку самолета Х1-2 М34 передать НИИ ГУГВФ</w:t>
      </w:r>
    </w:p>
    <w:p w14:paraId="5441F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самолету МИ3-2М34</w:t>
      </w:r>
    </w:p>
    <w:p w14:paraId="0110E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УВВС предоставляет ЦКБ ЦАГИ 2 тяжелых пулемета к 1/У-32</w:t>
      </w:r>
    </w:p>
    <w:p w14:paraId="008B3A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1/1Х-32 г. ЦКБ ЦАГИ начинает заводские испытания самолета</w:t>
      </w:r>
    </w:p>
    <w:p w14:paraId="784D75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 1/1У-32 г. ЦКБ ЦАГИ начинает подготовку рабочих чертежей и приспособлений с расчетом начала серийного производства самолетов с 15 сентября с.г.</w:t>
      </w:r>
    </w:p>
    <w:p w14:paraId="4E93A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Глававиапром обеспечивает выпуск головного серийного самолета МИ3-2М34 в июне 1932 г.</w:t>
      </w:r>
    </w:p>
    <w:p w14:paraId="11DF2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Ввиду того, что представители ЦАГИ перечисленные выше сроки работ по самолету МИ3-2М34 считают для себя неприемлемыми, как слишком малые, войти войти с расхождениями в РВС СССР.</w:t>
      </w:r>
    </w:p>
    <w:p w14:paraId="39998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Ввиду актуальности для ВВС самолета ДИ-2М34 ... за основу назначение с ... ЦАГИ самолетом ДР, считает необходимым провести параллельную постройку самолета как в ЦКБ ЦАГИ, так и в НИИ ГВФ.</w:t>
      </w:r>
    </w:p>
    <w:p w14:paraId="517A01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ЦКБ ЦАГИ выпустить самолет К1-2М34 на государственные испытания к 1/УП-32 г.. Просить Глававиапром обеспечить ЦАГИ необходимыми для этого кадрами.</w:t>
      </w:r>
    </w:p>
    <w:p w14:paraId="508F8C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По самолету И13-М32 принять срок выпуска самолета на госиспытания, выдвинутый ЦАГИ 1/УШ-с.г.</w:t>
      </w:r>
    </w:p>
    <w:p w14:paraId="2E0771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Самолет И14-М38 и ВС2-2М52 к постройке принять</w:t>
      </w:r>
    </w:p>
    <w:p w14:paraId="6EA09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Проектирование и постройку самолетов П3-М52 и У3-М48 провести силами ВТУЗов ГУ ГВФ - Глававиапромы</w:t>
      </w:r>
    </w:p>
    <w:p w14:paraId="20CDAC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Самолет ТБ7 как не имеющий реального моторного обеспечения с плана опытного строительства снять</w:t>
      </w:r>
    </w:p>
    <w:p w14:paraId="0D6DD6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Самолет ТБ5-6М34 стс /стальной/ в плане опытного строительства оставить со сроком выпуска, заявленным ЦАГИ /1/УШ-34 г./.</w:t>
      </w:r>
    </w:p>
    <w:p w14:paraId="49C81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Начатый постройкой самолет МК1-6М34 в плане опытного строительства оставить</w:t>
      </w:r>
    </w:p>
    <w:p w14:paraId="1C3F0A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Установить срок выпуска самолета МДР3 на заводские испытания 1/,-34 г.</w:t>
      </w:r>
    </w:p>
    <w:p w14:paraId="39848A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Проектирование и постройку самолета МБР5 передать НИИ ГВФ</w:t>
      </w:r>
    </w:p>
    <w:p w14:paraId="2CB8C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основными работами по модификации самолетов считать установку моторов М34 на самолет ТБ2 /срок 1/1У-33 г./ и ТШ2</w:t>
      </w:r>
    </w:p>
    <w:p w14:paraId="46CED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Самолеты: Р10 “из новых материалов”, Р5-М34 “для перевозки пушки”, “бронированный миноносец”, “летающий катер” с плана опытного строительства снять</w:t>
      </w:r>
    </w:p>
    <w:p w14:paraId="08D62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Ввиду необходимости концентрации внимания на экспериментальном самолетостроении, войти в РВСР с предложением о выделении Бюро особых конструкций при ЦАГИ в отдельную конструкторскую единицу при Глававиапроме, с созданием при ней отдельной производственной базы (351,95).</w:t>
      </w:r>
    </w:p>
    <w:p w14:paraId="1B16CF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 по самолетам на 1932-1934 гг., утвержденый комиссией Зам. пред. РВС М.Н.Тухачевского. Без даты (351)</w:t>
      </w:r>
    </w:p>
    <w:p w14:paraId="55158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709"/>
        <w:gridCol w:w="867"/>
        <w:gridCol w:w="868"/>
        <w:gridCol w:w="871"/>
        <w:gridCol w:w="865"/>
        <w:gridCol w:w="684"/>
        <w:gridCol w:w="925"/>
        <w:gridCol w:w="694"/>
        <w:gridCol w:w="589"/>
        <w:gridCol w:w="798"/>
      </w:tblGrid>
      <w:tr w:rsidR="00DA227A" w:rsidRPr="00E93F40" w14:paraId="79604B78" w14:textId="77777777">
        <w:tc>
          <w:tcPr>
            <w:tcW w:w="1668" w:type="dxa"/>
          </w:tcPr>
          <w:p w14:paraId="355AF8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 с указанием использования по линии ГВФ</w:t>
            </w:r>
          </w:p>
        </w:tc>
        <w:tc>
          <w:tcPr>
            <w:tcW w:w="850" w:type="dxa"/>
          </w:tcPr>
          <w:p w14:paraId="7DEA7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709" w:type="dxa"/>
          </w:tcPr>
          <w:p w14:paraId="2671BC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 госиспытания</w:t>
            </w:r>
          </w:p>
        </w:tc>
        <w:tc>
          <w:tcPr>
            <w:tcW w:w="867" w:type="dxa"/>
          </w:tcPr>
          <w:p w14:paraId="744F0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применения/потолок/время подъема</w:t>
            </w:r>
          </w:p>
        </w:tc>
        <w:tc>
          <w:tcPr>
            <w:tcW w:w="868" w:type="dxa"/>
          </w:tcPr>
          <w:p w14:paraId="1745A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Горизонт. скорость на высоте применения</w:t>
            </w:r>
          </w:p>
        </w:tc>
        <w:tc>
          <w:tcPr>
            <w:tcW w:w="871" w:type="dxa"/>
          </w:tcPr>
          <w:p w14:paraId="655F3C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w:t>
            </w:r>
          </w:p>
        </w:tc>
        <w:tc>
          <w:tcPr>
            <w:tcW w:w="865" w:type="dxa"/>
          </w:tcPr>
          <w:p w14:paraId="11948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действия/перегрузка</w:t>
            </w:r>
          </w:p>
        </w:tc>
        <w:tc>
          <w:tcPr>
            <w:tcW w:w="684" w:type="dxa"/>
          </w:tcPr>
          <w:p w14:paraId="0915C6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Сбрасываемый груз норм./перегрузка</w:t>
            </w:r>
          </w:p>
        </w:tc>
        <w:tc>
          <w:tcPr>
            <w:tcW w:w="925" w:type="dxa"/>
          </w:tcPr>
          <w:p w14:paraId="235D6B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стрелковое/бомбовое</w:t>
            </w:r>
          </w:p>
        </w:tc>
        <w:tc>
          <w:tcPr>
            <w:tcW w:w="694" w:type="dxa"/>
          </w:tcPr>
          <w:p w14:paraId="51E36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w:t>
            </w:r>
          </w:p>
        </w:tc>
        <w:tc>
          <w:tcPr>
            <w:tcW w:w="589" w:type="dxa"/>
          </w:tcPr>
          <w:p w14:paraId="1CE84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798" w:type="dxa"/>
          </w:tcPr>
          <w:p w14:paraId="15550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Примечания</w:t>
            </w:r>
          </w:p>
        </w:tc>
      </w:tr>
      <w:tr w:rsidR="00DA227A" w:rsidRPr="00E93F40" w14:paraId="50064083" w14:textId="77777777">
        <w:tc>
          <w:tcPr>
            <w:tcW w:w="1668" w:type="dxa"/>
          </w:tcPr>
          <w:p w14:paraId="7E3C37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Опытные:</w:t>
            </w:r>
          </w:p>
        </w:tc>
        <w:tc>
          <w:tcPr>
            <w:tcW w:w="850" w:type="dxa"/>
          </w:tcPr>
          <w:p w14:paraId="671E7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8A58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16801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E12B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2FB4CF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46999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D908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D2D3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4A6A66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EDF0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E3B9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992EB4" w14:textId="77777777">
        <w:tc>
          <w:tcPr>
            <w:tcW w:w="1668" w:type="dxa"/>
          </w:tcPr>
          <w:p w14:paraId="1AE5D4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Тяжелый бомбардировщик (он же пас. и груз.)</w:t>
            </w:r>
          </w:p>
        </w:tc>
        <w:tc>
          <w:tcPr>
            <w:tcW w:w="850" w:type="dxa"/>
          </w:tcPr>
          <w:p w14:paraId="7E1A1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ТБ6-М44 или нефт.</w:t>
            </w:r>
          </w:p>
        </w:tc>
        <w:tc>
          <w:tcPr>
            <w:tcW w:w="709" w:type="dxa"/>
          </w:tcPr>
          <w:p w14:paraId="4911E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1.12.34</w:t>
            </w:r>
          </w:p>
        </w:tc>
        <w:tc>
          <w:tcPr>
            <w:tcW w:w="867" w:type="dxa"/>
          </w:tcPr>
          <w:p w14:paraId="4EEB18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5000/7000/-</w:t>
            </w:r>
          </w:p>
        </w:tc>
        <w:tc>
          <w:tcPr>
            <w:tcW w:w="868" w:type="dxa"/>
          </w:tcPr>
          <w:p w14:paraId="2C292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871" w:type="dxa"/>
          </w:tcPr>
          <w:p w14:paraId="40F17C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865" w:type="dxa"/>
          </w:tcPr>
          <w:p w14:paraId="0B3A3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1500/2000</w:t>
            </w:r>
          </w:p>
        </w:tc>
        <w:tc>
          <w:tcPr>
            <w:tcW w:w="684" w:type="dxa"/>
          </w:tcPr>
          <w:p w14:paraId="53D34C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925" w:type="dxa"/>
          </w:tcPr>
          <w:p w14:paraId="6C3C5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пул. и пушки/ 250,500, 1000, 2000</w:t>
            </w:r>
          </w:p>
        </w:tc>
        <w:tc>
          <w:tcPr>
            <w:tcW w:w="694" w:type="dxa"/>
          </w:tcPr>
          <w:p w14:paraId="615F49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1F8B1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ТБ4-К7</w:t>
            </w:r>
          </w:p>
        </w:tc>
        <w:tc>
          <w:tcPr>
            <w:tcW w:w="798" w:type="dxa"/>
          </w:tcPr>
          <w:p w14:paraId="358BB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выхода - уточнить)</w:t>
            </w:r>
          </w:p>
        </w:tc>
      </w:tr>
      <w:tr w:rsidR="00DA227A" w:rsidRPr="00E93F40" w14:paraId="05D8C4EE" w14:textId="77777777">
        <w:tc>
          <w:tcPr>
            <w:tcW w:w="1668" w:type="dxa"/>
          </w:tcPr>
          <w:p w14:paraId="4EA18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Тяжелый десантный (он же тяж. груз.)</w:t>
            </w:r>
          </w:p>
        </w:tc>
        <w:tc>
          <w:tcPr>
            <w:tcW w:w="850" w:type="dxa"/>
          </w:tcPr>
          <w:p w14:paraId="25E3D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Д1-10М34</w:t>
            </w:r>
          </w:p>
        </w:tc>
        <w:tc>
          <w:tcPr>
            <w:tcW w:w="709" w:type="dxa"/>
          </w:tcPr>
          <w:p w14:paraId="2FC4F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1.6.33</w:t>
            </w:r>
          </w:p>
        </w:tc>
        <w:tc>
          <w:tcPr>
            <w:tcW w:w="867" w:type="dxa"/>
          </w:tcPr>
          <w:p w14:paraId="33820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68" w:type="dxa"/>
          </w:tcPr>
          <w:p w14:paraId="1F5C1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871" w:type="dxa"/>
          </w:tcPr>
          <w:p w14:paraId="2B325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865" w:type="dxa"/>
          </w:tcPr>
          <w:p w14:paraId="46361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684" w:type="dxa"/>
          </w:tcPr>
          <w:p w14:paraId="24DFCE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925" w:type="dxa"/>
          </w:tcPr>
          <w:p w14:paraId="3909C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94" w:type="dxa"/>
          </w:tcPr>
          <w:p w14:paraId="47F231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315FF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4A039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 Ведет ВВА</w:t>
            </w:r>
          </w:p>
        </w:tc>
      </w:tr>
      <w:tr w:rsidR="00DA227A" w:rsidRPr="00E93F40" w14:paraId="05310661" w14:textId="77777777">
        <w:tc>
          <w:tcPr>
            <w:tcW w:w="1668" w:type="dxa"/>
          </w:tcPr>
          <w:p w14:paraId="680787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Тяжелый бомбовоз</w:t>
            </w:r>
          </w:p>
        </w:tc>
        <w:tc>
          <w:tcPr>
            <w:tcW w:w="850" w:type="dxa"/>
          </w:tcPr>
          <w:p w14:paraId="03EF8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w:t>
            </w:r>
          </w:p>
        </w:tc>
        <w:tc>
          <w:tcPr>
            <w:tcW w:w="709" w:type="dxa"/>
          </w:tcPr>
          <w:p w14:paraId="172C1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1.11.32 на аэродром</w:t>
            </w:r>
          </w:p>
        </w:tc>
        <w:tc>
          <w:tcPr>
            <w:tcW w:w="867" w:type="dxa"/>
          </w:tcPr>
          <w:p w14:paraId="109BF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868" w:type="dxa"/>
          </w:tcPr>
          <w:p w14:paraId="4AC79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871" w:type="dxa"/>
          </w:tcPr>
          <w:p w14:paraId="6656C4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29CD33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684" w:type="dxa"/>
          </w:tcPr>
          <w:p w14:paraId="40445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25" w:type="dxa"/>
          </w:tcPr>
          <w:p w14:paraId="1905F7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 2 пуш./ 250,500, 1000</w:t>
            </w:r>
          </w:p>
        </w:tc>
        <w:tc>
          <w:tcPr>
            <w:tcW w:w="694" w:type="dxa"/>
          </w:tcPr>
          <w:p w14:paraId="15027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589" w:type="dxa"/>
          </w:tcPr>
          <w:p w14:paraId="1A7DAD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798" w:type="dxa"/>
          </w:tcPr>
          <w:p w14:paraId="627387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 из плана № 1</w:t>
            </w:r>
          </w:p>
        </w:tc>
      </w:tr>
      <w:tr w:rsidR="00DA227A" w:rsidRPr="00E93F40" w14:paraId="5B38486D" w14:textId="77777777">
        <w:tc>
          <w:tcPr>
            <w:tcW w:w="1668" w:type="dxa"/>
          </w:tcPr>
          <w:p w14:paraId="44CE7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Тяжелый бомбовоз</w:t>
            </w:r>
          </w:p>
        </w:tc>
        <w:tc>
          <w:tcPr>
            <w:tcW w:w="850" w:type="dxa"/>
          </w:tcPr>
          <w:p w14:paraId="3F64C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Головной дюраль 6М34</w:t>
            </w:r>
          </w:p>
        </w:tc>
        <w:tc>
          <w:tcPr>
            <w:tcW w:w="709" w:type="dxa"/>
          </w:tcPr>
          <w:p w14:paraId="195A48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1.6.33</w:t>
            </w:r>
          </w:p>
        </w:tc>
        <w:tc>
          <w:tcPr>
            <w:tcW w:w="867" w:type="dxa"/>
          </w:tcPr>
          <w:p w14:paraId="37A794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32FAA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871" w:type="dxa"/>
          </w:tcPr>
          <w:p w14:paraId="54226C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47B47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684" w:type="dxa"/>
          </w:tcPr>
          <w:p w14:paraId="719198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25" w:type="dxa"/>
          </w:tcPr>
          <w:p w14:paraId="79827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 2 пуш./ 250,500, 1000</w:t>
            </w:r>
          </w:p>
        </w:tc>
        <w:tc>
          <w:tcPr>
            <w:tcW w:w="694" w:type="dxa"/>
          </w:tcPr>
          <w:p w14:paraId="1D4AEC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589" w:type="dxa"/>
          </w:tcPr>
          <w:p w14:paraId="5E5A74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798" w:type="dxa"/>
          </w:tcPr>
          <w:p w14:paraId="4F35B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209C69" w14:textId="77777777">
        <w:tc>
          <w:tcPr>
            <w:tcW w:w="1668" w:type="dxa"/>
          </w:tcPr>
          <w:p w14:paraId="193F6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Тяж. хим. боевик (для горючего и пассажирский)</w:t>
            </w:r>
          </w:p>
        </w:tc>
        <w:tc>
          <w:tcPr>
            <w:tcW w:w="850" w:type="dxa"/>
          </w:tcPr>
          <w:p w14:paraId="30BEF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Х1-2М34</w:t>
            </w:r>
          </w:p>
        </w:tc>
        <w:tc>
          <w:tcPr>
            <w:tcW w:w="709" w:type="dxa"/>
          </w:tcPr>
          <w:p w14:paraId="28F79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1.8.33</w:t>
            </w:r>
          </w:p>
        </w:tc>
        <w:tc>
          <w:tcPr>
            <w:tcW w:w="867" w:type="dxa"/>
          </w:tcPr>
          <w:p w14:paraId="3CE0F1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1CA381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871" w:type="dxa"/>
          </w:tcPr>
          <w:p w14:paraId="479B2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865" w:type="dxa"/>
          </w:tcPr>
          <w:p w14:paraId="25C677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450/600</w:t>
            </w:r>
          </w:p>
        </w:tc>
        <w:tc>
          <w:tcPr>
            <w:tcW w:w="684" w:type="dxa"/>
          </w:tcPr>
          <w:p w14:paraId="49DFB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2000/3000</w:t>
            </w:r>
          </w:p>
        </w:tc>
        <w:tc>
          <w:tcPr>
            <w:tcW w:w="925" w:type="dxa"/>
          </w:tcPr>
          <w:p w14:paraId="260B97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 и тяжелые пулеметы</w:t>
            </w:r>
          </w:p>
        </w:tc>
        <w:tc>
          <w:tcPr>
            <w:tcW w:w="694" w:type="dxa"/>
          </w:tcPr>
          <w:p w14:paraId="25B20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397442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798" w:type="dxa"/>
          </w:tcPr>
          <w:p w14:paraId="3C1E9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проектируется и строится НИИ ГВФ</w:t>
            </w:r>
          </w:p>
        </w:tc>
      </w:tr>
      <w:tr w:rsidR="00DA227A" w:rsidRPr="00E93F40" w14:paraId="7F63A10F" w14:textId="77777777">
        <w:tc>
          <w:tcPr>
            <w:tcW w:w="1668" w:type="dxa"/>
          </w:tcPr>
          <w:p w14:paraId="0A1D75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Крейсер сухоп., средн. бомб. дальн. разведч.</w:t>
            </w:r>
          </w:p>
        </w:tc>
        <w:tc>
          <w:tcPr>
            <w:tcW w:w="850" w:type="dxa"/>
          </w:tcPr>
          <w:p w14:paraId="27275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К1-2М34</w:t>
            </w:r>
          </w:p>
        </w:tc>
        <w:tc>
          <w:tcPr>
            <w:tcW w:w="709" w:type="dxa"/>
          </w:tcPr>
          <w:p w14:paraId="2BAE3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1.3.34</w:t>
            </w:r>
          </w:p>
        </w:tc>
        <w:tc>
          <w:tcPr>
            <w:tcW w:w="867" w:type="dxa"/>
          </w:tcPr>
          <w:p w14:paraId="552D1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868" w:type="dxa"/>
          </w:tcPr>
          <w:p w14:paraId="3E4F5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871" w:type="dxa"/>
          </w:tcPr>
          <w:p w14:paraId="040AB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865" w:type="dxa"/>
          </w:tcPr>
          <w:p w14:paraId="2A0EE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1000/1250</w:t>
            </w:r>
          </w:p>
        </w:tc>
        <w:tc>
          <w:tcPr>
            <w:tcW w:w="684" w:type="dxa"/>
          </w:tcPr>
          <w:p w14:paraId="18AA2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25" w:type="dxa"/>
          </w:tcPr>
          <w:p w14:paraId="51FF8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и легк. пул./10, 50, 250, Гирлянды</w:t>
            </w:r>
          </w:p>
        </w:tc>
        <w:tc>
          <w:tcPr>
            <w:tcW w:w="694" w:type="dxa"/>
          </w:tcPr>
          <w:p w14:paraId="540C6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Сталь/дюраль</w:t>
            </w:r>
          </w:p>
        </w:tc>
        <w:tc>
          <w:tcPr>
            <w:tcW w:w="589" w:type="dxa"/>
          </w:tcPr>
          <w:p w14:paraId="7AF32B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798" w:type="dxa"/>
          </w:tcPr>
          <w:p w14:paraId="5DE6E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госиспытаний - разногласия с ВВС - 1.8.33</w:t>
            </w:r>
          </w:p>
        </w:tc>
      </w:tr>
      <w:tr w:rsidR="00DA227A" w:rsidRPr="00E93F40" w14:paraId="7F83B7BF" w14:textId="77777777">
        <w:tc>
          <w:tcPr>
            <w:tcW w:w="1668" w:type="dxa"/>
          </w:tcPr>
          <w:p w14:paraId="2C26A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Многоместный истребитель</w:t>
            </w:r>
          </w:p>
        </w:tc>
        <w:tc>
          <w:tcPr>
            <w:tcW w:w="850" w:type="dxa"/>
          </w:tcPr>
          <w:p w14:paraId="622C2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МИ3-2М34Н</w:t>
            </w:r>
          </w:p>
        </w:tc>
        <w:tc>
          <w:tcPr>
            <w:tcW w:w="709" w:type="dxa"/>
          </w:tcPr>
          <w:p w14:paraId="52C82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1.1.33</w:t>
            </w:r>
          </w:p>
        </w:tc>
        <w:tc>
          <w:tcPr>
            <w:tcW w:w="867" w:type="dxa"/>
          </w:tcPr>
          <w:p w14:paraId="648FFD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5000/7000-</w:t>
            </w:r>
            <w:r w:rsidRPr="00E93F40">
              <w:rPr>
                <w:rFonts w:ascii="Times New Roman" w:hAnsi="Times New Roman"/>
                <w:color w:val="000000" w:themeColor="text1"/>
                <w:sz w:val="16"/>
                <w:szCs w:val="16"/>
              </w:rPr>
              <w:lastRenderedPageBreak/>
              <w:t>8000/15-18</w:t>
            </w:r>
          </w:p>
        </w:tc>
        <w:tc>
          <w:tcPr>
            <w:tcW w:w="868" w:type="dxa"/>
          </w:tcPr>
          <w:p w14:paraId="02FE41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300/5000</w:t>
            </w:r>
          </w:p>
        </w:tc>
        <w:tc>
          <w:tcPr>
            <w:tcW w:w="871" w:type="dxa"/>
          </w:tcPr>
          <w:p w14:paraId="6F3683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1954BB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684" w:type="dxa"/>
          </w:tcPr>
          <w:p w14:paraId="62BAA0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2CA894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 1 пушка</w:t>
            </w:r>
          </w:p>
        </w:tc>
        <w:tc>
          <w:tcPr>
            <w:tcW w:w="694" w:type="dxa"/>
          </w:tcPr>
          <w:p w14:paraId="5A60E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589" w:type="dxa"/>
          </w:tcPr>
          <w:p w14:paraId="53D13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1D4AD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Перенесен из </w:t>
            </w:r>
            <w:r w:rsidRPr="00E93F40">
              <w:rPr>
                <w:rFonts w:ascii="Times New Roman" w:hAnsi="Times New Roman"/>
                <w:color w:val="000000" w:themeColor="text1"/>
                <w:sz w:val="16"/>
                <w:szCs w:val="16"/>
              </w:rPr>
              <w:lastRenderedPageBreak/>
              <w:t>плана № 1</w:t>
            </w:r>
          </w:p>
          <w:p w14:paraId="5C749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штабом РККА согласовано уменьшение радиуса до 500 км</w:t>
            </w:r>
          </w:p>
        </w:tc>
      </w:tr>
      <w:tr w:rsidR="00DA227A" w:rsidRPr="00E93F40" w14:paraId="4B9CD283" w14:textId="77777777">
        <w:tc>
          <w:tcPr>
            <w:tcW w:w="1668" w:type="dxa"/>
          </w:tcPr>
          <w:p w14:paraId="7B2D0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8. Двухместный истребитель пуш.</w:t>
            </w:r>
          </w:p>
        </w:tc>
        <w:tc>
          <w:tcPr>
            <w:tcW w:w="850" w:type="dxa"/>
          </w:tcPr>
          <w:p w14:paraId="09CFA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ДИП1-М34Н</w:t>
            </w:r>
          </w:p>
        </w:tc>
        <w:tc>
          <w:tcPr>
            <w:tcW w:w="709" w:type="dxa"/>
          </w:tcPr>
          <w:p w14:paraId="7D91E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1.10.33</w:t>
            </w:r>
          </w:p>
        </w:tc>
        <w:tc>
          <w:tcPr>
            <w:tcW w:w="867" w:type="dxa"/>
          </w:tcPr>
          <w:p w14:paraId="6295A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5000/8000/15-18</w:t>
            </w:r>
          </w:p>
        </w:tc>
        <w:tc>
          <w:tcPr>
            <w:tcW w:w="868" w:type="dxa"/>
          </w:tcPr>
          <w:p w14:paraId="23382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325/5000</w:t>
            </w:r>
          </w:p>
        </w:tc>
        <w:tc>
          <w:tcPr>
            <w:tcW w:w="871" w:type="dxa"/>
          </w:tcPr>
          <w:p w14:paraId="3C605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865" w:type="dxa"/>
          </w:tcPr>
          <w:p w14:paraId="57B29E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684" w:type="dxa"/>
          </w:tcPr>
          <w:p w14:paraId="7A7AA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EB31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94" w:type="dxa"/>
          </w:tcPr>
          <w:p w14:paraId="48A30D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589" w:type="dxa"/>
          </w:tcPr>
          <w:p w14:paraId="325AC8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5FC2B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5A4DC049" w14:textId="77777777">
        <w:tc>
          <w:tcPr>
            <w:tcW w:w="1668" w:type="dxa"/>
          </w:tcPr>
          <w:p w14:paraId="5A44BE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Легкий разведчик</w:t>
            </w:r>
          </w:p>
        </w:tc>
        <w:tc>
          <w:tcPr>
            <w:tcW w:w="850" w:type="dxa"/>
          </w:tcPr>
          <w:p w14:paraId="1A42E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ЛР-М34Н</w:t>
            </w:r>
          </w:p>
        </w:tc>
        <w:tc>
          <w:tcPr>
            <w:tcW w:w="709" w:type="dxa"/>
          </w:tcPr>
          <w:p w14:paraId="14401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1.3.33 на аэродром</w:t>
            </w:r>
          </w:p>
        </w:tc>
        <w:tc>
          <w:tcPr>
            <w:tcW w:w="867" w:type="dxa"/>
          </w:tcPr>
          <w:p w14:paraId="78CEF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5000/9000/9</w:t>
            </w:r>
          </w:p>
        </w:tc>
        <w:tc>
          <w:tcPr>
            <w:tcW w:w="868" w:type="dxa"/>
          </w:tcPr>
          <w:p w14:paraId="3657FC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375/5000</w:t>
            </w:r>
          </w:p>
        </w:tc>
        <w:tc>
          <w:tcPr>
            <w:tcW w:w="871" w:type="dxa"/>
          </w:tcPr>
          <w:p w14:paraId="686E6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5" w:type="dxa"/>
          </w:tcPr>
          <w:p w14:paraId="6F5481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400/700</w:t>
            </w:r>
          </w:p>
        </w:tc>
        <w:tc>
          <w:tcPr>
            <w:tcW w:w="684" w:type="dxa"/>
          </w:tcPr>
          <w:p w14:paraId="17E6E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25" w:type="dxa"/>
          </w:tcPr>
          <w:p w14:paraId="0F93E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пул./10,, 100, 250</w:t>
            </w:r>
          </w:p>
        </w:tc>
        <w:tc>
          <w:tcPr>
            <w:tcW w:w="694" w:type="dxa"/>
          </w:tcPr>
          <w:p w14:paraId="375D14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08FAFB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ДИ4-Р5</w:t>
            </w:r>
          </w:p>
        </w:tc>
        <w:tc>
          <w:tcPr>
            <w:tcW w:w="798" w:type="dxa"/>
          </w:tcPr>
          <w:p w14:paraId="1F823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самолет аналогичного назначения дает ГВФ</w:t>
            </w:r>
          </w:p>
          <w:p w14:paraId="61B0E4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Разногласия с ВВС - скорость 350-375</w:t>
            </w:r>
          </w:p>
        </w:tc>
      </w:tr>
      <w:tr w:rsidR="00DA227A" w:rsidRPr="00E93F40" w14:paraId="3FA4BC36" w14:textId="77777777">
        <w:tc>
          <w:tcPr>
            <w:tcW w:w="1668" w:type="dxa"/>
          </w:tcPr>
          <w:p w14:paraId="73D68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Одноместный истреб. /скоростной/</w:t>
            </w:r>
          </w:p>
        </w:tc>
        <w:tc>
          <w:tcPr>
            <w:tcW w:w="850" w:type="dxa"/>
          </w:tcPr>
          <w:p w14:paraId="08D739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И13-М32</w:t>
            </w:r>
          </w:p>
        </w:tc>
        <w:tc>
          <w:tcPr>
            <w:tcW w:w="709" w:type="dxa"/>
          </w:tcPr>
          <w:p w14:paraId="43C4B0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1.6.33</w:t>
            </w:r>
          </w:p>
        </w:tc>
        <w:tc>
          <w:tcPr>
            <w:tcW w:w="867" w:type="dxa"/>
          </w:tcPr>
          <w:p w14:paraId="6BA854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6000/80000-9000/7-8 на 5000</w:t>
            </w:r>
          </w:p>
        </w:tc>
        <w:tc>
          <w:tcPr>
            <w:tcW w:w="868" w:type="dxa"/>
          </w:tcPr>
          <w:p w14:paraId="33CAA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350-420/5000</w:t>
            </w:r>
          </w:p>
        </w:tc>
        <w:tc>
          <w:tcPr>
            <w:tcW w:w="871" w:type="dxa"/>
          </w:tcPr>
          <w:p w14:paraId="00E58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5" w:type="dxa"/>
          </w:tcPr>
          <w:p w14:paraId="0186D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684" w:type="dxa"/>
          </w:tcPr>
          <w:p w14:paraId="2E05C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925" w:type="dxa"/>
          </w:tcPr>
          <w:p w14:paraId="2E5066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 или пушки ДРП/4х10</w:t>
            </w:r>
          </w:p>
        </w:tc>
        <w:tc>
          <w:tcPr>
            <w:tcW w:w="694" w:type="dxa"/>
          </w:tcPr>
          <w:p w14:paraId="5D7E3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4E1B2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w:t>
            </w:r>
          </w:p>
        </w:tc>
        <w:tc>
          <w:tcPr>
            <w:tcW w:w="798" w:type="dxa"/>
          </w:tcPr>
          <w:p w14:paraId="03ED3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FFB95D" w14:textId="77777777">
        <w:tc>
          <w:tcPr>
            <w:tcW w:w="1668" w:type="dxa"/>
          </w:tcPr>
          <w:p w14:paraId="2DD52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Одноместный истреб. /скороподъемный - маневренный/</w:t>
            </w:r>
          </w:p>
        </w:tc>
        <w:tc>
          <w:tcPr>
            <w:tcW w:w="850" w:type="dxa"/>
          </w:tcPr>
          <w:p w14:paraId="66283F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И14-М38</w:t>
            </w:r>
          </w:p>
        </w:tc>
        <w:tc>
          <w:tcPr>
            <w:tcW w:w="709" w:type="dxa"/>
          </w:tcPr>
          <w:p w14:paraId="3122C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15.3.33</w:t>
            </w:r>
          </w:p>
        </w:tc>
        <w:tc>
          <w:tcPr>
            <w:tcW w:w="867" w:type="dxa"/>
          </w:tcPr>
          <w:p w14:paraId="1DE89A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6000/9000-10000/7-8 на 5000</w:t>
            </w:r>
          </w:p>
        </w:tc>
        <w:tc>
          <w:tcPr>
            <w:tcW w:w="868" w:type="dxa"/>
          </w:tcPr>
          <w:p w14:paraId="7F6BA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450-400/5000</w:t>
            </w:r>
          </w:p>
        </w:tc>
        <w:tc>
          <w:tcPr>
            <w:tcW w:w="871" w:type="dxa"/>
          </w:tcPr>
          <w:p w14:paraId="5F260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5" w:type="dxa"/>
          </w:tcPr>
          <w:p w14:paraId="507436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684" w:type="dxa"/>
          </w:tcPr>
          <w:p w14:paraId="155FEA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925" w:type="dxa"/>
          </w:tcPr>
          <w:p w14:paraId="1BC22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 или пушки ДРП/4х10</w:t>
            </w:r>
          </w:p>
        </w:tc>
        <w:tc>
          <w:tcPr>
            <w:tcW w:w="694" w:type="dxa"/>
          </w:tcPr>
          <w:p w14:paraId="030E9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62348F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798" w:type="dxa"/>
          </w:tcPr>
          <w:p w14:paraId="157EE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F56CE2" w14:textId="77777777">
        <w:tc>
          <w:tcPr>
            <w:tcW w:w="1668" w:type="dxa"/>
          </w:tcPr>
          <w:p w14:paraId="5076F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Войсковой самолет, легк. хим. боевик, (сам. борьбы с вред.) с/х и лесов, фотосъем, санит. пас.</w:t>
            </w:r>
          </w:p>
        </w:tc>
        <w:tc>
          <w:tcPr>
            <w:tcW w:w="850" w:type="dxa"/>
          </w:tcPr>
          <w:p w14:paraId="7F8ED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ВC2-2М52</w:t>
            </w:r>
          </w:p>
        </w:tc>
        <w:tc>
          <w:tcPr>
            <w:tcW w:w="709" w:type="dxa"/>
          </w:tcPr>
          <w:p w14:paraId="25F791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1.7.33</w:t>
            </w:r>
          </w:p>
        </w:tc>
        <w:tc>
          <w:tcPr>
            <w:tcW w:w="867" w:type="dxa"/>
          </w:tcPr>
          <w:p w14:paraId="2596CB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3000/-/12</w:t>
            </w:r>
          </w:p>
        </w:tc>
        <w:tc>
          <w:tcPr>
            <w:tcW w:w="868" w:type="dxa"/>
          </w:tcPr>
          <w:p w14:paraId="2508BC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871" w:type="dxa"/>
          </w:tcPr>
          <w:p w14:paraId="5B299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865" w:type="dxa"/>
          </w:tcPr>
          <w:p w14:paraId="6505AE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350/600</w:t>
            </w:r>
          </w:p>
        </w:tc>
        <w:tc>
          <w:tcPr>
            <w:tcW w:w="684" w:type="dxa"/>
          </w:tcPr>
          <w:p w14:paraId="26163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925" w:type="dxa"/>
          </w:tcPr>
          <w:p w14:paraId="3D0CD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пул./10, 50, 100</w:t>
            </w:r>
          </w:p>
        </w:tc>
        <w:tc>
          <w:tcPr>
            <w:tcW w:w="694" w:type="dxa"/>
          </w:tcPr>
          <w:p w14:paraId="31DDA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1FF94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К5</w:t>
            </w:r>
          </w:p>
        </w:tc>
        <w:tc>
          <w:tcPr>
            <w:tcW w:w="798" w:type="dxa"/>
          </w:tcPr>
          <w:p w14:paraId="39764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ГРОСС Вместо Р9 из плпнп № 1 </w:t>
            </w:r>
          </w:p>
        </w:tc>
      </w:tr>
      <w:tr w:rsidR="00DA227A" w:rsidRPr="00E93F40" w14:paraId="26BDEDFF" w14:textId="77777777">
        <w:tc>
          <w:tcPr>
            <w:tcW w:w="1668" w:type="dxa"/>
          </w:tcPr>
          <w:p w14:paraId="275ED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Переходн. для школ и корп. разв., (самолет местн. авиации)</w:t>
            </w:r>
          </w:p>
        </w:tc>
        <w:tc>
          <w:tcPr>
            <w:tcW w:w="850" w:type="dxa"/>
          </w:tcPr>
          <w:p w14:paraId="7C772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П3-М52</w:t>
            </w:r>
          </w:p>
        </w:tc>
        <w:tc>
          <w:tcPr>
            <w:tcW w:w="709" w:type="dxa"/>
          </w:tcPr>
          <w:p w14:paraId="0237FF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w:t>
            </w:r>
          </w:p>
        </w:tc>
        <w:tc>
          <w:tcPr>
            <w:tcW w:w="867" w:type="dxa"/>
          </w:tcPr>
          <w:p w14:paraId="395F99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3000/5000/-</w:t>
            </w:r>
          </w:p>
        </w:tc>
        <w:tc>
          <w:tcPr>
            <w:tcW w:w="868" w:type="dxa"/>
          </w:tcPr>
          <w:p w14:paraId="23A0E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871" w:type="dxa"/>
          </w:tcPr>
          <w:p w14:paraId="6FE571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865" w:type="dxa"/>
          </w:tcPr>
          <w:p w14:paraId="5049B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684" w:type="dxa"/>
          </w:tcPr>
          <w:p w14:paraId="372F5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2EACF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w:t>
            </w:r>
          </w:p>
        </w:tc>
        <w:tc>
          <w:tcPr>
            <w:tcW w:w="694" w:type="dxa"/>
          </w:tcPr>
          <w:p w14:paraId="3BAFD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649A84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16E33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 ГВФ</w:t>
            </w:r>
          </w:p>
        </w:tc>
      </w:tr>
      <w:tr w:rsidR="00DA227A" w:rsidRPr="00E93F40" w14:paraId="2436DE4F" w14:textId="77777777">
        <w:tc>
          <w:tcPr>
            <w:tcW w:w="1668" w:type="dxa"/>
          </w:tcPr>
          <w:p w14:paraId="5F600E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Учебный сам., связи и сопров. (туризм, спорт, легк. санит., местн. авиация)</w:t>
            </w:r>
          </w:p>
        </w:tc>
        <w:tc>
          <w:tcPr>
            <w:tcW w:w="850" w:type="dxa"/>
          </w:tcPr>
          <w:p w14:paraId="032A6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У3-М48</w:t>
            </w:r>
          </w:p>
        </w:tc>
        <w:tc>
          <w:tcPr>
            <w:tcW w:w="709" w:type="dxa"/>
          </w:tcPr>
          <w:p w14:paraId="0D9BC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1.3.33</w:t>
            </w:r>
          </w:p>
        </w:tc>
        <w:tc>
          <w:tcPr>
            <w:tcW w:w="867" w:type="dxa"/>
          </w:tcPr>
          <w:p w14:paraId="2B7C73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1000/5000/-</w:t>
            </w:r>
          </w:p>
        </w:tc>
        <w:tc>
          <w:tcPr>
            <w:tcW w:w="868" w:type="dxa"/>
          </w:tcPr>
          <w:p w14:paraId="605C87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180/1000</w:t>
            </w:r>
          </w:p>
        </w:tc>
        <w:tc>
          <w:tcPr>
            <w:tcW w:w="871" w:type="dxa"/>
          </w:tcPr>
          <w:p w14:paraId="58CDE6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865" w:type="dxa"/>
          </w:tcPr>
          <w:p w14:paraId="6E0B7A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684" w:type="dxa"/>
          </w:tcPr>
          <w:p w14:paraId="49774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005A4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 фото или радио</w:t>
            </w:r>
          </w:p>
        </w:tc>
        <w:tc>
          <w:tcPr>
            <w:tcW w:w="694" w:type="dxa"/>
          </w:tcPr>
          <w:p w14:paraId="23256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6C0AE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798" w:type="dxa"/>
          </w:tcPr>
          <w:p w14:paraId="78670B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w:t>
            </w:r>
          </w:p>
        </w:tc>
      </w:tr>
      <w:tr w:rsidR="00DA227A" w:rsidRPr="00E93F40" w14:paraId="13B85BC1" w14:textId="77777777">
        <w:tc>
          <w:tcPr>
            <w:tcW w:w="1668" w:type="dxa"/>
          </w:tcPr>
          <w:p w14:paraId="67FB5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Морской крейсер (см. Примечание) он же бомб. И торпедоносец</w:t>
            </w:r>
          </w:p>
        </w:tc>
        <w:tc>
          <w:tcPr>
            <w:tcW w:w="850" w:type="dxa"/>
          </w:tcPr>
          <w:p w14:paraId="2F874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МК1-6М34РН</w:t>
            </w:r>
          </w:p>
        </w:tc>
        <w:tc>
          <w:tcPr>
            <w:tcW w:w="709" w:type="dxa"/>
          </w:tcPr>
          <w:p w14:paraId="73848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1.12.33 на госиспытания</w:t>
            </w:r>
          </w:p>
        </w:tc>
        <w:tc>
          <w:tcPr>
            <w:tcW w:w="867" w:type="dxa"/>
          </w:tcPr>
          <w:p w14:paraId="3F8CF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68" w:type="dxa"/>
          </w:tcPr>
          <w:p w14:paraId="1CE50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215-230/4000</w:t>
            </w:r>
          </w:p>
        </w:tc>
        <w:tc>
          <w:tcPr>
            <w:tcW w:w="871" w:type="dxa"/>
          </w:tcPr>
          <w:p w14:paraId="186CB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865" w:type="dxa"/>
          </w:tcPr>
          <w:p w14:paraId="1E8392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750/1200</w:t>
            </w:r>
          </w:p>
        </w:tc>
        <w:tc>
          <w:tcPr>
            <w:tcW w:w="684" w:type="dxa"/>
          </w:tcPr>
          <w:p w14:paraId="38965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Бомб. 2400/0</w:t>
            </w:r>
          </w:p>
          <w:p w14:paraId="7A54C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Бомб. 735/6100 при 6хМ34РН</w:t>
            </w:r>
          </w:p>
        </w:tc>
        <w:tc>
          <w:tcPr>
            <w:tcW w:w="925" w:type="dxa"/>
          </w:tcPr>
          <w:p w14:paraId="21239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военное снаряжение на 1850/2230 кг/250, 500, 1000, торпед 1800.</w:t>
            </w:r>
          </w:p>
          <w:p w14:paraId="6DC5EB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 бомб, торпедоносец</w:t>
            </w:r>
          </w:p>
        </w:tc>
        <w:tc>
          <w:tcPr>
            <w:tcW w:w="694" w:type="dxa"/>
          </w:tcPr>
          <w:p w14:paraId="5CDDA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DE97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Предусматривается как военный и как пассажирский вариант</w:t>
            </w:r>
          </w:p>
        </w:tc>
        <w:tc>
          <w:tcPr>
            <w:tcW w:w="798" w:type="dxa"/>
          </w:tcPr>
          <w:p w14:paraId="40FF0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пост. РВС от 5/УШ-31</w:t>
            </w:r>
          </w:p>
        </w:tc>
      </w:tr>
      <w:tr w:rsidR="00DA227A" w:rsidRPr="00E93F40" w14:paraId="545F0B71" w14:textId="77777777">
        <w:tc>
          <w:tcPr>
            <w:tcW w:w="1668" w:type="dxa"/>
          </w:tcPr>
          <w:p w14:paraId="22A4BA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850" w:type="dxa"/>
          </w:tcPr>
          <w:p w14:paraId="24827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МДР3-3М34</w:t>
            </w:r>
          </w:p>
        </w:tc>
        <w:tc>
          <w:tcPr>
            <w:tcW w:w="709" w:type="dxa"/>
          </w:tcPr>
          <w:p w14:paraId="3BC565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EDB8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7865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26C877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39C9C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A317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5F050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F4E5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5A86D7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0209FD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AC126B" w14:textId="77777777">
        <w:tc>
          <w:tcPr>
            <w:tcW w:w="1668" w:type="dxa"/>
          </w:tcPr>
          <w:p w14:paraId="5D46DD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Морской бл. Разведчик амфиб. (санит, фотосъемщ., опылит.)</w:t>
            </w:r>
          </w:p>
        </w:tc>
        <w:tc>
          <w:tcPr>
            <w:tcW w:w="850" w:type="dxa"/>
          </w:tcPr>
          <w:p w14:paraId="02AE19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МБР5-М35</w:t>
            </w:r>
          </w:p>
        </w:tc>
        <w:tc>
          <w:tcPr>
            <w:tcW w:w="709" w:type="dxa"/>
          </w:tcPr>
          <w:p w14:paraId="6C06D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1.8.33</w:t>
            </w:r>
          </w:p>
        </w:tc>
        <w:tc>
          <w:tcPr>
            <w:tcW w:w="867" w:type="dxa"/>
          </w:tcPr>
          <w:p w14:paraId="5D3CCA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3000/6000</w:t>
            </w:r>
          </w:p>
        </w:tc>
        <w:tc>
          <w:tcPr>
            <w:tcW w:w="868" w:type="dxa"/>
          </w:tcPr>
          <w:p w14:paraId="0021A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300/3000</w:t>
            </w:r>
          </w:p>
        </w:tc>
        <w:tc>
          <w:tcPr>
            <w:tcW w:w="871" w:type="dxa"/>
          </w:tcPr>
          <w:p w14:paraId="256F9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865" w:type="dxa"/>
          </w:tcPr>
          <w:p w14:paraId="45605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500/800</w:t>
            </w:r>
          </w:p>
        </w:tc>
        <w:tc>
          <w:tcPr>
            <w:tcW w:w="684" w:type="dxa"/>
          </w:tcPr>
          <w:p w14:paraId="1CD32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100/600</w:t>
            </w:r>
          </w:p>
        </w:tc>
        <w:tc>
          <w:tcPr>
            <w:tcW w:w="925" w:type="dxa"/>
          </w:tcPr>
          <w:p w14:paraId="6AD1AA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пул./10, 50, 100</w:t>
            </w:r>
          </w:p>
        </w:tc>
        <w:tc>
          <w:tcPr>
            <w:tcW w:w="694" w:type="dxa"/>
          </w:tcPr>
          <w:p w14:paraId="088AA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4989B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С62б</w:t>
            </w:r>
          </w:p>
        </w:tc>
        <w:tc>
          <w:tcPr>
            <w:tcW w:w="798" w:type="dxa"/>
          </w:tcPr>
          <w:p w14:paraId="43CD7F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и постройка ведется НИИ РВФ</w:t>
            </w:r>
          </w:p>
        </w:tc>
      </w:tr>
      <w:tr w:rsidR="00DA227A" w:rsidRPr="00E93F40" w14:paraId="3E24E7A7" w14:textId="77777777">
        <w:tc>
          <w:tcPr>
            <w:tcW w:w="1668" w:type="dxa"/>
          </w:tcPr>
          <w:p w14:paraId="0D4B6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Тяжелый бомбовоз</w:t>
            </w:r>
          </w:p>
        </w:tc>
        <w:tc>
          <w:tcPr>
            <w:tcW w:w="850" w:type="dxa"/>
          </w:tcPr>
          <w:p w14:paraId="2103B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К7-7М34</w:t>
            </w:r>
          </w:p>
        </w:tc>
        <w:tc>
          <w:tcPr>
            <w:tcW w:w="709" w:type="dxa"/>
          </w:tcPr>
          <w:p w14:paraId="27122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 выход на аэродром</w:t>
            </w:r>
          </w:p>
        </w:tc>
        <w:tc>
          <w:tcPr>
            <w:tcW w:w="867" w:type="dxa"/>
          </w:tcPr>
          <w:p w14:paraId="7F629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68" w:type="dxa"/>
          </w:tcPr>
          <w:p w14:paraId="035A61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230/5000</w:t>
            </w:r>
          </w:p>
        </w:tc>
        <w:tc>
          <w:tcPr>
            <w:tcW w:w="871" w:type="dxa"/>
          </w:tcPr>
          <w:p w14:paraId="3D59ED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3DF03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2000/2800</w:t>
            </w:r>
          </w:p>
        </w:tc>
        <w:tc>
          <w:tcPr>
            <w:tcW w:w="684" w:type="dxa"/>
          </w:tcPr>
          <w:p w14:paraId="448CC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9/12</w:t>
            </w:r>
          </w:p>
        </w:tc>
        <w:tc>
          <w:tcPr>
            <w:tcW w:w="925" w:type="dxa"/>
          </w:tcPr>
          <w:p w14:paraId="68F7E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 и тяжелые пулем., 250, 500, 1000</w:t>
            </w:r>
          </w:p>
        </w:tc>
        <w:tc>
          <w:tcPr>
            <w:tcW w:w="694" w:type="dxa"/>
          </w:tcPr>
          <w:p w14:paraId="0A06B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3F98E8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98" w:type="dxa"/>
          </w:tcPr>
          <w:p w14:paraId="680FB8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ГРОСС</w:t>
            </w:r>
          </w:p>
        </w:tc>
      </w:tr>
      <w:tr w:rsidR="00DA227A" w:rsidRPr="00E93F40" w14:paraId="5ABFB5BC" w14:textId="77777777">
        <w:tc>
          <w:tcPr>
            <w:tcW w:w="1668" w:type="dxa"/>
          </w:tcPr>
          <w:p w14:paraId="28D7C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Модификации:</w:t>
            </w:r>
          </w:p>
        </w:tc>
        <w:tc>
          <w:tcPr>
            <w:tcW w:w="850" w:type="dxa"/>
          </w:tcPr>
          <w:p w14:paraId="793411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7FC4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99B3D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383FA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193EC9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18D7D1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2A9ECF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98BCC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324B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18BE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502FF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678B4A" w14:textId="77777777">
        <w:tc>
          <w:tcPr>
            <w:tcW w:w="1668" w:type="dxa"/>
          </w:tcPr>
          <w:p w14:paraId="07ABC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850" w:type="dxa"/>
          </w:tcPr>
          <w:p w14:paraId="651D0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ТШ3-М347</w:t>
            </w:r>
          </w:p>
        </w:tc>
        <w:tc>
          <w:tcPr>
            <w:tcW w:w="709" w:type="dxa"/>
          </w:tcPr>
          <w:p w14:paraId="26CA47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92B2B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82369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Установка М-34, облегчение, уст. тормозных колес </w:t>
            </w:r>
            <w:r w:rsidRPr="00E93F40">
              <w:rPr>
                <w:rFonts w:ascii="Times New Roman" w:hAnsi="Times New Roman"/>
                <w:color w:val="000000" w:themeColor="text1"/>
                <w:sz w:val="16"/>
                <w:szCs w:val="16"/>
              </w:rPr>
              <w:lastRenderedPageBreak/>
              <w:t>и разр. крыло</w:t>
            </w:r>
          </w:p>
        </w:tc>
        <w:tc>
          <w:tcPr>
            <w:tcW w:w="871" w:type="dxa"/>
          </w:tcPr>
          <w:p w14:paraId="1190A1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4867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65FB8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CD381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9265F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01B1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1A6A0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0E8E2B" w14:textId="77777777">
        <w:tc>
          <w:tcPr>
            <w:tcW w:w="1668" w:type="dxa"/>
          </w:tcPr>
          <w:p w14:paraId="4F579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850" w:type="dxa"/>
          </w:tcPr>
          <w:p w14:paraId="6F02F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ТБ3-4М34</w:t>
            </w:r>
          </w:p>
        </w:tc>
        <w:tc>
          <w:tcPr>
            <w:tcW w:w="709" w:type="dxa"/>
          </w:tcPr>
          <w:p w14:paraId="5EFF7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1.12.32 выход на аэродром</w:t>
            </w:r>
          </w:p>
        </w:tc>
        <w:tc>
          <w:tcPr>
            <w:tcW w:w="867" w:type="dxa"/>
          </w:tcPr>
          <w:p w14:paraId="0A3A7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05F3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 и торм. колес</w:t>
            </w:r>
          </w:p>
        </w:tc>
        <w:tc>
          <w:tcPr>
            <w:tcW w:w="871" w:type="dxa"/>
          </w:tcPr>
          <w:p w14:paraId="5FED0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2296FC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5690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94E4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4A8719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BE40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3534A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29BEC1" w14:textId="77777777">
        <w:tc>
          <w:tcPr>
            <w:tcW w:w="1668" w:type="dxa"/>
          </w:tcPr>
          <w:p w14:paraId="6670E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850" w:type="dxa"/>
          </w:tcPr>
          <w:p w14:paraId="13555F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709" w:type="dxa"/>
          </w:tcPr>
          <w:p w14:paraId="4D46A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AB67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6448C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Совмещение назначения пассажирского</w:t>
            </w:r>
          </w:p>
        </w:tc>
        <w:tc>
          <w:tcPr>
            <w:tcW w:w="871" w:type="dxa"/>
          </w:tcPr>
          <w:p w14:paraId="7ED8E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1F62A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3BBB9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71ED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6613E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499DD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3DC525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0B7442" w14:textId="77777777">
        <w:tc>
          <w:tcPr>
            <w:tcW w:w="1668" w:type="dxa"/>
          </w:tcPr>
          <w:p w14:paraId="0F87C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850" w:type="dxa"/>
          </w:tcPr>
          <w:p w14:paraId="666BE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АНТ9-2М26</w:t>
            </w:r>
          </w:p>
        </w:tc>
        <w:tc>
          <w:tcPr>
            <w:tcW w:w="709" w:type="dxa"/>
          </w:tcPr>
          <w:p w14:paraId="55D15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A7C61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0A47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Военный вариан</w:t>
            </w:r>
          </w:p>
        </w:tc>
        <w:tc>
          <w:tcPr>
            <w:tcW w:w="871" w:type="dxa"/>
          </w:tcPr>
          <w:p w14:paraId="6FC236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8A5A2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547E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2740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8D658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520A9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C939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Снять с плана, но хочет переделать</w:t>
            </w:r>
          </w:p>
        </w:tc>
      </w:tr>
      <w:tr w:rsidR="00DA227A" w:rsidRPr="00E93F40" w14:paraId="05E29955" w14:textId="77777777">
        <w:tc>
          <w:tcPr>
            <w:tcW w:w="1668" w:type="dxa"/>
          </w:tcPr>
          <w:p w14:paraId="0677E0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850" w:type="dxa"/>
          </w:tcPr>
          <w:p w14:paraId="3FFC6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Р5-М34</w:t>
            </w:r>
          </w:p>
        </w:tc>
        <w:tc>
          <w:tcPr>
            <w:tcW w:w="709" w:type="dxa"/>
          </w:tcPr>
          <w:p w14:paraId="504E3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1.1.33</w:t>
            </w:r>
          </w:p>
        </w:tc>
        <w:tc>
          <w:tcPr>
            <w:tcW w:w="867" w:type="dxa"/>
          </w:tcPr>
          <w:p w14:paraId="629F2A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F24A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 разр. крыльев и торм. колес</w:t>
            </w:r>
          </w:p>
        </w:tc>
        <w:tc>
          <w:tcPr>
            <w:tcW w:w="871" w:type="dxa"/>
          </w:tcPr>
          <w:p w14:paraId="0C705C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4D9DE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3D391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2465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0291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73D820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456319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74D2F1" w14:textId="77777777">
        <w:tc>
          <w:tcPr>
            <w:tcW w:w="1668" w:type="dxa"/>
          </w:tcPr>
          <w:p w14:paraId="61211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850" w:type="dxa"/>
          </w:tcPr>
          <w:p w14:paraId="4DA30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709" w:type="dxa"/>
          </w:tcPr>
          <w:p w14:paraId="0217EF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15.10.32</w:t>
            </w:r>
          </w:p>
        </w:tc>
        <w:tc>
          <w:tcPr>
            <w:tcW w:w="867" w:type="dxa"/>
          </w:tcPr>
          <w:p w14:paraId="6B3C7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8C2C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тормозного шасси</w:t>
            </w:r>
          </w:p>
        </w:tc>
        <w:tc>
          <w:tcPr>
            <w:tcW w:w="871" w:type="dxa"/>
          </w:tcPr>
          <w:p w14:paraId="332DE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351B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1C34B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C22E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2E21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05BB48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CCA7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E64695" w14:textId="77777777">
        <w:tc>
          <w:tcPr>
            <w:tcW w:w="1668" w:type="dxa"/>
          </w:tcPr>
          <w:p w14:paraId="62CD6C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w:t>
            </w:r>
          </w:p>
        </w:tc>
        <w:tc>
          <w:tcPr>
            <w:tcW w:w="850" w:type="dxa"/>
          </w:tcPr>
          <w:p w14:paraId="7DCFE0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val="en-US"/>
              </w:rPr>
              <w:t>S</w:t>
            </w:r>
            <w:r w:rsidRPr="00E93F40">
              <w:rPr>
                <w:rFonts w:ascii="Times New Roman" w:hAnsi="Times New Roman"/>
                <w:color w:val="000000" w:themeColor="text1"/>
                <w:sz w:val="16"/>
                <w:szCs w:val="16"/>
              </w:rPr>
              <w:t>62бис</w:t>
            </w:r>
            <w:r w:rsidRPr="00E93F40">
              <w:rPr>
                <w:rFonts w:ascii="Times New Roman" w:hAnsi="Times New Roman"/>
                <w:color w:val="000000" w:themeColor="text1"/>
                <w:sz w:val="16"/>
                <w:szCs w:val="16"/>
                <w:lang w:val="en-US"/>
              </w:rPr>
              <w:t>-</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lang w:val="en-US"/>
              </w:rPr>
              <w:t>34</w:t>
            </w:r>
          </w:p>
        </w:tc>
        <w:tc>
          <w:tcPr>
            <w:tcW w:w="709" w:type="dxa"/>
          </w:tcPr>
          <w:p w14:paraId="2ADDA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val="en-US"/>
              </w:rPr>
              <w:t>1</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1</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 xml:space="preserve">33 </w:t>
            </w:r>
            <w:r w:rsidRPr="00E93F40">
              <w:rPr>
                <w:rFonts w:ascii="Times New Roman" w:hAnsi="Times New Roman"/>
                <w:color w:val="000000" w:themeColor="text1"/>
                <w:sz w:val="16"/>
                <w:szCs w:val="16"/>
              </w:rPr>
              <w:t>заводские</w:t>
            </w:r>
          </w:p>
        </w:tc>
        <w:tc>
          <w:tcPr>
            <w:tcW w:w="867" w:type="dxa"/>
          </w:tcPr>
          <w:p w14:paraId="15452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8288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64E2D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D33C7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66D94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4DFC8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81A13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B591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43799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F2C3FA" w14:textId="77777777">
        <w:tc>
          <w:tcPr>
            <w:tcW w:w="1668" w:type="dxa"/>
          </w:tcPr>
          <w:p w14:paraId="3C2E9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850" w:type="dxa"/>
          </w:tcPr>
          <w:p w14:paraId="61CF1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r w:rsidRPr="00E93F40">
              <w:rPr>
                <w:rFonts w:ascii="Times New Roman" w:hAnsi="Times New Roman"/>
                <w:color w:val="000000" w:themeColor="text1"/>
                <w:sz w:val="16"/>
                <w:szCs w:val="16"/>
              </w:rPr>
              <w:t>И12</w:t>
            </w:r>
          </w:p>
        </w:tc>
        <w:tc>
          <w:tcPr>
            <w:tcW w:w="709" w:type="dxa"/>
          </w:tcPr>
          <w:p w14:paraId="61264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67" w:type="dxa"/>
          </w:tcPr>
          <w:p w14:paraId="152B0F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FFF2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6A79A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576131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46AAC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15A2F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BD37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B62A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325A4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5240CA" w14:textId="77777777">
        <w:tc>
          <w:tcPr>
            <w:tcW w:w="1668" w:type="dxa"/>
          </w:tcPr>
          <w:p w14:paraId="18551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850" w:type="dxa"/>
          </w:tcPr>
          <w:p w14:paraId="14444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709" w:type="dxa"/>
          </w:tcPr>
          <w:p w14:paraId="19BA4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B7D3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E9660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бомбового вооружения</w:t>
            </w:r>
          </w:p>
        </w:tc>
        <w:tc>
          <w:tcPr>
            <w:tcW w:w="871" w:type="dxa"/>
          </w:tcPr>
          <w:p w14:paraId="5A106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4292E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7E7FD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9EBF0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B7AD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1DF4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0CFE5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снять с плана, постановили закончить</w:t>
            </w:r>
          </w:p>
        </w:tc>
      </w:tr>
    </w:tbl>
    <w:p w14:paraId="0F8C4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(351).</w:t>
      </w:r>
    </w:p>
    <w:p w14:paraId="14CC7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DFD740"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1932 г. Тухачевский доложил о необходимости созда</w:t>
      </w:r>
      <w:r w:rsidRPr="00E93F40">
        <w:rPr>
          <w:rFonts w:ascii="Times New Roman" w:hAnsi="Times New Roman"/>
          <w:color w:val="000000" w:themeColor="text1"/>
          <w:sz w:val="16"/>
          <w:szCs w:val="16"/>
        </w:rPr>
        <w:softHyphen/>
        <w:t>нии Реактивного института Наркомвоенмору и Председателю Реввоенсовета К.Е.Ворошилову. Ворошилов отверг предложе</w:t>
      </w:r>
      <w:r w:rsidRPr="00E93F40">
        <w:rPr>
          <w:rFonts w:ascii="Times New Roman" w:hAnsi="Times New Roman"/>
          <w:color w:val="000000" w:themeColor="text1"/>
          <w:sz w:val="16"/>
          <w:szCs w:val="16"/>
        </w:rPr>
        <w:softHyphen/>
        <w:t>ние, мотивировав отказ тем, что научно-исследовательские ин</w:t>
      </w:r>
      <w:r w:rsidRPr="00E93F40">
        <w:rPr>
          <w:rFonts w:ascii="Times New Roman" w:hAnsi="Times New Roman"/>
          <w:color w:val="000000" w:themeColor="text1"/>
          <w:sz w:val="16"/>
          <w:szCs w:val="16"/>
        </w:rPr>
        <w:softHyphen/>
        <w:t>ституты должны быть не в армии, а в промышленности, кото</w:t>
      </w:r>
      <w:r w:rsidRPr="00E93F40">
        <w:rPr>
          <w:rFonts w:ascii="Times New Roman" w:hAnsi="Times New Roman"/>
          <w:color w:val="000000" w:themeColor="text1"/>
          <w:sz w:val="16"/>
          <w:szCs w:val="16"/>
        </w:rPr>
        <w:softHyphen/>
        <w:t>рая должна создавать оружие. Армия же должна этим оружием умело воевать.</w:t>
      </w:r>
    </w:p>
    <w:p w14:paraId="59518438"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согласившись с Ворошиловым, Тухачевский нарушил Устав РККА и 16 мая через голову своего непосредственного на</w:t>
      </w:r>
      <w:r w:rsidRPr="00E93F40">
        <w:rPr>
          <w:rFonts w:ascii="Times New Roman" w:hAnsi="Times New Roman"/>
          <w:color w:val="000000" w:themeColor="text1"/>
          <w:sz w:val="16"/>
          <w:szCs w:val="16"/>
        </w:rPr>
        <w:softHyphen/>
        <w:t>чальника представил «Доклад об организации Реактивного ин</w:t>
      </w:r>
      <w:r w:rsidRPr="00E93F40">
        <w:rPr>
          <w:rFonts w:ascii="Times New Roman" w:hAnsi="Times New Roman"/>
          <w:color w:val="000000" w:themeColor="text1"/>
          <w:sz w:val="16"/>
          <w:szCs w:val="16"/>
        </w:rPr>
        <w:softHyphen/>
        <w:t>ститута» председателю Комиссии Обороны СССР В.М.Молотову. В докладе он писал, что «имеющиеся у нас и за границей дости</w:t>
      </w:r>
      <w:r w:rsidRPr="00E93F40">
        <w:rPr>
          <w:rFonts w:ascii="Times New Roman" w:hAnsi="Times New Roman"/>
          <w:color w:val="000000" w:themeColor="text1"/>
          <w:sz w:val="16"/>
          <w:szCs w:val="16"/>
        </w:rPr>
        <w:softHyphen/>
        <w:t>жения в деле разработки и конструирования реактивных двига</w:t>
      </w:r>
      <w:r w:rsidRPr="00E93F40">
        <w:rPr>
          <w:rFonts w:ascii="Times New Roman" w:hAnsi="Times New Roman"/>
          <w:color w:val="000000" w:themeColor="text1"/>
          <w:sz w:val="16"/>
          <w:szCs w:val="16"/>
        </w:rPr>
        <w:softHyphen/>
        <w:t>телей и особенно жидкостных реактивных моторов указывают на широкие возможности использования их как нового мощного боевого средства в различных областях военной техники, в пер</w:t>
      </w:r>
      <w:r w:rsidRPr="00E93F40">
        <w:rPr>
          <w:rFonts w:ascii="Times New Roman" w:hAnsi="Times New Roman"/>
          <w:color w:val="000000" w:themeColor="text1"/>
          <w:sz w:val="16"/>
          <w:szCs w:val="16"/>
        </w:rPr>
        <w:softHyphen/>
        <w:t>вую очередь в артиллерийском и авиационном деле».</w:t>
      </w:r>
    </w:p>
    <w:p w14:paraId="274A4D9C"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Письмо Тухачевского практически одновременно было об</w:t>
      </w:r>
      <w:r w:rsidRPr="00E93F40">
        <w:rPr>
          <w:rFonts w:ascii="Times New Roman" w:hAnsi="Times New Roman"/>
          <w:color w:val="000000" w:themeColor="text1"/>
          <w:sz w:val="16"/>
          <w:szCs w:val="16"/>
        </w:rPr>
        <w:softHyphen/>
        <w:t>суждено на совещании в ЦК ВКП(б) и на заседании Реввоенсове</w:t>
      </w:r>
      <w:r w:rsidRPr="00E93F40">
        <w:rPr>
          <w:rFonts w:ascii="Times New Roman" w:hAnsi="Times New Roman"/>
          <w:color w:val="000000" w:themeColor="text1"/>
          <w:sz w:val="16"/>
          <w:szCs w:val="16"/>
        </w:rPr>
        <w:softHyphen/>
        <w:t>та. В ЦК предложение одобрили, в Реввоенсовете - отклонили. Возражать Центральному Комитету партии опытный и осто</w:t>
      </w:r>
      <w:r w:rsidRPr="00E93F40">
        <w:rPr>
          <w:rFonts w:ascii="Times New Roman" w:hAnsi="Times New Roman"/>
          <w:color w:val="000000" w:themeColor="text1"/>
          <w:sz w:val="16"/>
          <w:szCs w:val="16"/>
        </w:rPr>
        <w:softHyphen/>
        <w:t>рожный Ворошилов не стал. Бумагу с решением Реввоенсовета спрятал в сейф, а на строптивого Тухачевского затаил обиду.</w:t>
      </w:r>
    </w:p>
    <w:p w14:paraId="68901769"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октября заместитель М.Н.Тухачевского начальник ГАУ Н.А.Ефимов подготовил и направил в секретариат ЦК ВКП(б) письмо «Об организации Реактивного института РККА», где была изложена конкретная программа действий. 20 ноября Ту</w:t>
      </w:r>
      <w:r w:rsidRPr="00E93F40">
        <w:rPr>
          <w:rFonts w:ascii="Times New Roman" w:hAnsi="Times New Roman"/>
          <w:color w:val="000000" w:themeColor="text1"/>
          <w:sz w:val="16"/>
          <w:szCs w:val="16"/>
        </w:rPr>
        <w:softHyphen/>
        <w:t>хачевский был утвержден председателем комиссии по органи</w:t>
      </w:r>
      <w:r w:rsidRPr="00E93F40">
        <w:rPr>
          <w:rFonts w:ascii="Times New Roman" w:hAnsi="Times New Roman"/>
          <w:color w:val="000000" w:themeColor="text1"/>
          <w:sz w:val="16"/>
          <w:szCs w:val="16"/>
        </w:rPr>
        <w:softHyphen/>
        <w:t>зации РНИИ (23510).</w:t>
      </w:r>
    </w:p>
    <w:p w14:paraId="7ADF0AC1"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038FB4D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B1834B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ABA1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1932 г. К. Сиркен докладывал, что отстава</w:t>
      </w:r>
      <w:r w:rsidRPr="00E93F40">
        <w:rPr>
          <w:rFonts w:ascii="Times New Roman" w:hAnsi="Times New Roman"/>
          <w:color w:val="000000" w:themeColor="text1"/>
          <w:sz w:val="16"/>
          <w:szCs w:val="16"/>
        </w:rPr>
        <w:softHyphen/>
        <w:t>ние от графика сборки танков имеет место потому, что смежники затягивают доставку узлов и механизмов танка до самого последнего дня, к тому же передавая их совер</w:t>
      </w:r>
      <w:r w:rsidRPr="00E93F40">
        <w:rPr>
          <w:rFonts w:ascii="Times New Roman" w:hAnsi="Times New Roman"/>
          <w:color w:val="000000" w:themeColor="text1"/>
          <w:sz w:val="16"/>
          <w:szCs w:val="16"/>
        </w:rPr>
        <w:softHyphen/>
        <w:t>шенно непригодного качества. Так, по моторам входной контроль обнаруживал брак, достигавший 70—88%, а по корпусам 34—41% (10733,180).</w:t>
      </w:r>
    </w:p>
    <w:p w14:paraId="154C90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548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1932 г. К. Сиркен докладывал, что смежники затягивают поставку узлов и агрегатов Т-26, а входной брак моторов достигает 70-88%, по корпусам — 34-41%. Из-за всех этих причин программа выпуска 10000 танков была конечно сорвана, к 19 марта 1933 года на вооружение РККА было принято 1411 Т-26, 2146 танкеток и 522 танка БТ. Причем качество изготовления практически всех этих машин было отвратительным. Например, в 1932 году было изготовлено 1410 Т-26, предъявлено к сдаче 1361 танк, а войска приняли лишь 950 (11809).</w:t>
      </w:r>
    </w:p>
    <w:p w14:paraId="065B60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276345" w14:textId="77777777" w:rsidR="0034608C" w:rsidRPr="00E93F40" w:rsidRDefault="0034608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1932 опросом членов ПБ</w:t>
      </w:r>
    </w:p>
    <w:p w14:paraId="2B182E47" w14:textId="77777777" w:rsidR="0034608C" w:rsidRPr="00E93F40" w:rsidRDefault="0034608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29/5.- Предложение т. Ворошилова.</w:t>
      </w:r>
    </w:p>
    <w:p w14:paraId="59B415F6" w14:textId="77777777" w:rsidR="0034608C" w:rsidRPr="00E93F40" w:rsidRDefault="0034608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т. Ворошилова о включении в комиссию по заказам в Италию т.т. Бекаури и Миткевича.</w:t>
      </w:r>
    </w:p>
    <w:p w14:paraId="6CBB52BC" w14:textId="77777777" w:rsidR="0034608C" w:rsidRPr="00E93F40" w:rsidRDefault="0034608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Выписка_послана: т.т. Ворошилову, Артузову, Орджоникидзе.</w:t>
      </w:r>
    </w:p>
    <w:p w14:paraId="6961E45D" w14:textId="77777777" w:rsidR="0034608C" w:rsidRPr="00E93F40" w:rsidRDefault="0034608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состоялось заседание ПБ (Протокол № 98) (23043).</w:t>
      </w:r>
    </w:p>
    <w:p w14:paraId="6B82BD8B" w14:textId="77777777" w:rsidR="0034608C" w:rsidRPr="00E93F40" w:rsidRDefault="0034608C" w:rsidP="00E93F40">
      <w:pPr>
        <w:spacing w:after="0" w:line="240" w:lineRule="auto"/>
        <w:jc w:val="both"/>
        <w:rPr>
          <w:rFonts w:ascii="Times New Roman" w:hAnsi="Times New Roman"/>
          <w:color w:val="000000" w:themeColor="text1"/>
          <w:sz w:val="16"/>
          <w:szCs w:val="16"/>
        </w:rPr>
      </w:pPr>
    </w:p>
    <w:p w14:paraId="7A8D7221"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26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440/149сс о дополнительном ассигновании военной промышленности на пополнение оборотных средств на II квартал 1932 г. (ГА РФ. Ф. Р?8418. Оп. 28. Д. 1а. Л. 214?215) (12415).</w:t>
      </w:r>
    </w:p>
    <w:p w14:paraId="1F6056B9"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p>
    <w:p w14:paraId="4DEBBF10" w14:textId="77777777" w:rsidR="00E64A3A"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80DAA11" w14:textId="77777777" w:rsidR="00E64A3A" w:rsidRPr="00E93F40" w:rsidRDefault="00E64A3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424589" w14:textId="4D7F0BF6" w:rsidR="00E64A3A" w:rsidRPr="00E93F40" w:rsidRDefault="00E64A3A"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Косиор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письме Сталину заявил: «У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нас есть отдельные случаи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даже отдельные села голодающие, однако это только результат местного головотяпства, перегибов, особенно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отношении колхозов. Всякие разговоры 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“голоде”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Украине нужно категорически отбросить. 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серьезная помощь, которая Украине была оказана, дает нам возможность все такие очаги ликвидировать». Характерна реакция Сталина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эту позицию Косиора: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Косиор!.. Если судить 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материалам, похоже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 что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некоторых пунктах УССР советская власть перестала существовать. Неужели это верно? Неужели так плохо дело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деревней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Украине? Где органы ГПУ, что они делают? Может быть, проверили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бы это дело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сообщили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бы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ЦК ВКП 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принятых мерах» (17258).</w:t>
      </w:r>
    </w:p>
    <w:p w14:paraId="5C72802B" w14:textId="77777777" w:rsidR="00E64A3A" w:rsidRPr="00E93F40" w:rsidRDefault="00E64A3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FABE4F0" w14:textId="77777777" w:rsidR="00A318D7"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07A9391" w14:textId="77777777" w:rsidR="00A318D7" w:rsidRPr="00E93F40" w:rsidRDefault="00A318D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7C0D59" w14:textId="225D6774" w:rsidR="00A318D7" w:rsidRPr="00E93F40" w:rsidRDefault="00A318D7"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26</w:t>
      </w:r>
      <w:r w:rsidR="00DD74E1">
        <w:rPr>
          <w:rFonts w:ascii="Times New Roman" w:hAnsi="Times New Roman"/>
          <w:color w:val="000000" w:themeColor="text1"/>
          <w:sz w:val="16"/>
          <w:szCs w:val="16"/>
        </w:rPr>
        <w:t xml:space="preserve"> </w:t>
      </w:r>
      <w:r w:rsidR="007C1411" w:rsidRPr="00E93F40">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апреля</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Советский Союз прибыла с официальным визитом турецкая правительственная делегация во главе с председателем Совета Министров Турции Исметом Иненю. ? мая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на квартире К.Е. Ворошилова состоялась беседа, на которой с советской стороны присутствовали И.В. Сталин, В.М. Молотов, Л.М. Карахан, Я.З. Суриц, с турецкой – Исмет Иненю, мининдел Т.Р. Арас. Во время беседы было достигнуто принципиальное соглашение о предоставлении Турции кредита на 8 млн. ам. долл. сроком на 20 лет с ежегодными платежом турецкими товарами. Из этой суммы 4 млн. выделялось на военное оборудование, 1493 тыс.- на текстильный комбинат в Кайсери, 500 тыс. – на автобус для Анкары, 1500 – на строительство текстильного комбината в Назилли. 26 октября 1933 г. в Анкару с официальным визитом по приглашению турецкого правительства посетила делегация по главе с народным комиссаром по военным и морским делам К.Е. Ворошиловым. Советская делегация присутствовала 29 октября 1933 г. на параде по случаю десятой годовщины Турецкой Республики. Вместе с Мустафой Кемалем Ататюрком, министром национальной обороны Февзи Чакмаком, а также премьер-министром Исметом Иненю К.Е. Ворошилов объехал турецкие войска, принимая парад. Этот факт был беспрецедентным и произвел «ошеломляющее впечатление как на массу зрителей, так и на дипломатический корпус».9 ноября 1933 г. в заявлении представителям печати в Стамбуле К.Е. Ворошилов подчеркнул, что тесные дружественные контакты «позволят с еще большей энергией вести совместную борьбу за мир, борьбу за предотвращение войны со всеми страданиями и разрушениями, которыми она угрожает человечеству». Мустафа Кемаль Ататюрк, открывая сессию меджлиса в 1933 году, так охарактеризовал значение визита: «Это посещение послужило счастливым поводом для демонстрации глубокой искренности взаимоотношений между нашими странами. Нет сомнения, что наша дружба, родившаяся в тяжелые для обеих стран времена и неизменно в течение тринадцати лет выходившая из всех испытаний, является ценным и важным фактором укрепления всеобщего мира». За особые заслуги в установлении и развитии двусторонних связей в середине 30-х годов правительство Турции приняло решение о присвоении одной из улиц г. Измира имени Ворошилова. М.М. Литвинов на сессии ЦИК СССР 29 декабря 1933 года так охарактеризовал уровень контактов с Турцией: «Образцом отношений с иностранными государствами мы считаем наши отношения с великой Турецкой Республикой. В течение свыше десяти лет эти отношения улучшались из года в год, достигнув истинной дружбы… Политика дружбы и взаимного доверия создает почву для плодотворного сотрудничества и на международной арене. Каждая сторона, выдвигая предложение, направленное на упрочение мира, может заранее рассчитывать на поддержку и содействие другой стороны». Советско-турецкая дружба, определенно, переросла обычные дипломатические рамки. Высокий уровень и динамика межправительственных контактов самым позитивным образом сказывались на росте взаимного интереса народов друг к другу, поступательном взаимообогащении культуры, науки и искусства. </w:t>
      </w:r>
    </w:p>
    <w:p w14:paraId="1718E9EC" w14:textId="77777777" w:rsidR="00A318D7" w:rsidRPr="00E93F40" w:rsidRDefault="00A318D7"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В 1926 г. по инициативе советского «Авиахима» состоялся авиационный перелет Москва – Анкара. В 1930 году Анкара стала одним из этапов т.н. «Большого восточного перелета» из Москвы в Тегеран и Кабул. Примечательно, что в СССР в аэроклубах проходила стажировку и первая турецкая летчица Сабиха Гекчен, а несколько самолетов из турецкого авиационного отряда, находившихся в апреле – мае 1934 г. в Советском Союзе, приняли участие в первомайском параде. Вторая половина тридцатых годов продолжали развиваться в большей степени по линии укрепления торгово-экономического потенциала. В счет советского кредита, предоставлено в 1934 г., Турции было поставлено оборудование для Кайсерийского и Назиллийского текстильных комбинатов, грузовики, автобусы для Анкарского муниципалитета и пр., а также выполнены некоторые военные заказы. Серьезно активизировался обмен техническими кадрами, специалистами и т.п. В 1935 и 1937 гг. были пущены в строй строившиеся при технической поддержке СССР первые в Турции текстильные комбинаты в Кайсери и Назилли. Оба объекта были охарактеризованы премьер-министром Турции И. Иненю как «прекрасные произведения советской индустрии - символы вечной дружбы». Между тем, в политических контактах обозначилась определенная сдержанность. Ряд разногласий возник в ходе визита в июле 1935 г. в Москву министра народного хозяйства Турции Баяра, на международной конференции 1936 г. в Монтре и т.п. И хотя в состоявшихся в 1937 г. встречах на высоком уровне (М.М. Литвинов и И. Иненю в Лондоне, визит в Москву министра иностранных дел Т.Р. Араса и министра внутренних дел Ш. Кая) взаимная дружба была обозначена в качестве «стабильного элемента» в турецкой и советской внешней политике, тем не менее, кризис в отношениях стал проявляться все серьезнее. К февралю 1938 г. были закрыты советские консульства в Измире, Карсе, Артвине, Эрзуруме, Трабзоне, а также турецкие консульства в Одессе, Баку, Ленинакане и Ереване. В 1938 г. имело место сокращение внешнеторгового оборота между двумя странами (17262).</w:t>
      </w:r>
    </w:p>
    <w:p w14:paraId="31D2CD5D" w14:textId="77777777" w:rsidR="00A318D7" w:rsidRPr="00E93F40" w:rsidRDefault="00A318D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1D3F53" w14:textId="77777777" w:rsidR="00E8453C" w:rsidRPr="00E93F40" w:rsidRDefault="00E845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26 апреля по 8 мая 1932 г. в СССР находилась с официальным визитом турецкая правительственная делегация во главе с председателем совета министров Турции Исмет-пашой. Члены делегации присутствовали на первомайском параде на Красной площади и имели возможность увидеть советскую военную технику. На квартире К.Е. Ворошилова 6 мая 1932 г. состоялась беседа, на которой кроме него с советской стороны присутствовали И.В. Сталин, В.М. Молотов, Л.М. Карахан, Я.З. Суриц, а с турецкой - Исмет-паша, Тевфик Рюштю-бей, Хусейн Рагиб-бей. Было достигнуто принципиальное соглашение о предоставлении Советским союзом Турции беспроцентного кредита в размере 8 млн долларов сроком на 20 лет.</w:t>
      </w:r>
    </w:p>
    <w:p w14:paraId="20134B7D" w14:textId="77777777" w:rsidR="00E8453C" w:rsidRPr="00E93F40" w:rsidRDefault="00E845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советское правительство подарило Турции три самолета Р-5 вместе с одним АНТ-9. Они использовались турецкими ВВС как учебнотренировочные машины в течение нескольких лет. В ответ на визит турецкой делегации с 26 октября по 9 ноября 1933 г.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А с 22 апреля по 14 мая 1934 г. в СССР с дружеским визитом находился турецкий авиационный отряд, 3 самолета которого приняли участие в первомайском параде12.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(18261).</w:t>
      </w:r>
    </w:p>
    <w:p w14:paraId="1F43C976" w14:textId="77777777" w:rsidR="00E8453C" w:rsidRPr="00E93F40" w:rsidRDefault="00E8453C" w:rsidP="00E93F40">
      <w:pPr>
        <w:spacing w:after="0" w:line="240" w:lineRule="auto"/>
        <w:jc w:val="both"/>
        <w:rPr>
          <w:rFonts w:ascii="Times New Roman" w:hAnsi="Times New Roman"/>
          <w:color w:val="000000" w:themeColor="text1"/>
          <w:sz w:val="16"/>
          <w:szCs w:val="16"/>
        </w:rPr>
      </w:pPr>
    </w:p>
    <w:p w14:paraId="06947F8C" w14:textId="77777777" w:rsidR="00E8453C" w:rsidRPr="00E93F40" w:rsidRDefault="00E845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26 апреля по 8 мая 1932 г. в СССР находилась с официальным визитом турецкая правительственная делегация во главе с председателем совета министров Турции Исмет-пашой. Члены делегации присутствовали на первомайском параде на Красной площади и имели возможность увидеть советскую военную технику. На квартире К.Е. Ворошилова 6 мая 1932 г. состоялась беседа, на которой кроме него с советской стороны присутствовали И.В. Сталин, В.М. Молотов, Л.М. Карахан, Я.З. Суриц, а с турецкой – Исмет-паша, Тевфик Рюштю-бей, Хусейн Рагиб-бей. Было достигнуто принципиальное соглашение о предоставлении Советским союзом Турции беспроцентного кредита в размере 8 млн долларов сроком на 20 лет (18512).</w:t>
      </w:r>
    </w:p>
    <w:p w14:paraId="09EDE2DF" w14:textId="77777777" w:rsidR="00E8453C" w:rsidRPr="00E93F40" w:rsidRDefault="00E8453C" w:rsidP="00E93F40">
      <w:pPr>
        <w:spacing w:after="0" w:line="240" w:lineRule="auto"/>
        <w:jc w:val="both"/>
        <w:rPr>
          <w:rFonts w:ascii="Times New Roman" w:hAnsi="Times New Roman"/>
          <w:color w:val="000000" w:themeColor="text1"/>
          <w:sz w:val="16"/>
          <w:szCs w:val="16"/>
        </w:rPr>
      </w:pPr>
    </w:p>
    <w:p w14:paraId="062543A8" w14:textId="3E4901F6" w:rsidR="00E8453C" w:rsidRPr="00E93F40" w:rsidRDefault="00E845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1932 г. в Советский Союз прибыла с официальным визитом турецкая правительственная делегация во главе с председателем Совета Министров Турции Исметом Иненю. 6 мая 1932 г. на квартире К.Е. Ворошилова состоялась беседа, на которой с советской стороны присутствовали И.В. Сталин, В.М. Молотов, Л.М. Карахан, Я.З. Суриц, с турецкой - Исмет Иненю, мининдел Т.Р. Арас. Во время беседы было достигнуто принципиальное соглашение о предоставлении Турции кредита на 8 млн. ам. долл. сроком на 20 лет с ежегодными платежом турецкими товарами. Из этой суммы 4 млн. выделялось на военное оборудование, 1493 тыс.- на текстильный комбинат в Кайсери, 500 тыс. - на автобус для Анкары, 1500 - на строительство текстильного комбината в Назилли (18511).</w:t>
      </w:r>
      <w:r w:rsidR="007C1411" w:rsidRPr="00E93F40">
        <w:rPr>
          <w:rFonts w:ascii="Times New Roman" w:hAnsi="Times New Roman"/>
          <w:color w:val="000000" w:themeColor="text1"/>
          <w:sz w:val="16"/>
          <w:szCs w:val="16"/>
        </w:rPr>
        <w:t xml:space="preserve"> </w:t>
      </w:r>
    </w:p>
    <w:p w14:paraId="5EA131D0" w14:textId="77777777" w:rsidR="00E8453C" w:rsidRPr="00E93F40" w:rsidRDefault="00E8453C" w:rsidP="00E93F40">
      <w:pPr>
        <w:spacing w:after="0" w:line="240" w:lineRule="auto"/>
        <w:jc w:val="both"/>
        <w:rPr>
          <w:rFonts w:ascii="Times New Roman" w:hAnsi="Times New Roman"/>
          <w:color w:val="000000" w:themeColor="text1"/>
          <w:sz w:val="16"/>
          <w:szCs w:val="16"/>
        </w:rPr>
      </w:pPr>
    </w:p>
    <w:p w14:paraId="65C409DF"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26 апреля по 8 мая 1932 г. в СССР находилась с официальным визитом турецкая правительственная делегация во главе с председателем совета министров Турции Исмет-пашой. Члены делегации присутствовали на первомайском параде на Красной площади и имели возможность увидеть советскую военную технику. На квартире К.Е. Ворошилова 6 мая 1932 г. состоялась беседа, на которой кроме него с советской стороны присутствовали И.В. Сталин, В.М. Молотов, Л.М. Карахан, Я.З. Суриц, а с турецкой – Исмет-паша, Тевфик Рюштю-бей, Хусейн Рагиб-бей. Было достигнуто принципиальное соглашение о предоставлении Советским союзом Турции беспроцентного кредита в размере 8 млн долларов сроком на 20 лет. В 1933 г. советское правительство подарило Турции три самолета Р-5 вместе с одним АНТ-9. Они использовались турецкими ВВС как учебно-тренировочные машины в течение нескольких лет11. В ответ на визит турецкой делегации с 26 октября по 9 ноября 1933 г.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(24334).</w:t>
      </w:r>
    </w:p>
    <w:p w14:paraId="2CBB99AA"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27CF2A83"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апреля 1932 г. премьер-ми</w:t>
      </w:r>
      <w:r w:rsidRPr="00142305">
        <w:rPr>
          <w:rFonts w:ascii="Times New Roman" w:hAnsi="Times New Roman"/>
          <w:color w:val="0070C0"/>
          <w:sz w:val="16"/>
          <w:szCs w:val="16"/>
        </w:rPr>
        <w:softHyphen/>
        <w:t>нистр И. Иненю с супругой Мешибе Иненю, министром иностран</w:t>
      </w:r>
      <w:r w:rsidRPr="00142305">
        <w:rPr>
          <w:rFonts w:ascii="Times New Roman" w:hAnsi="Times New Roman"/>
          <w:color w:val="0070C0"/>
          <w:sz w:val="16"/>
          <w:szCs w:val="16"/>
        </w:rPr>
        <w:softHyphen/>
        <w:t>ных дел Т.Р. Арасом с супругой, дочерью и сопровождающими лица</w:t>
      </w:r>
      <w:r w:rsidRPr="00142305">
        <w:rPr>
          <w:rFonts w:ascii="Times New Roman" w:hAnsi="Times New Roman"/>
          <w:color w:val="0070C0"/>
          <w:sz w:val="16"/>
          <w:szCs w:val="16"/>
        </w:rPr>
        <w:softHyphen/>
        <w:t>ми, включая посла Советского Союза в Анкаре Я.З. Сурица, прибыли на корабле из Стамбула в Одессу. В турецкую делегацию в общей сложности входили 30 чел., включая генерального секретаря Народ</w:t>
      </w:r>
      <w:r w:rsidRPr="00142305">
        <w:rPr>
          <w:rFonts w:ascii="Times New Roman" w:hAnsi="Times New Roman"/>
          <w:color w:val="0070C0"/>
          <w:sz w:val="16"/>
          <w:szCs w:val="16"/>
        </w:rPr>
        <w:softHyphen/>
        <w:t>но-республиканской партии Реджеп-бея, председателя парламент</w:t>
      </w:r>
      <w:r w:rsidRPr="00142305">
        <w:rPr>
          <w:rFonts w:ascii="Times New Roman" w:hAnsi="Times New Roman"/>
          <w:color w:val="0070C0"/>
          <w:sz w:val="16"/>
          <w:szCs w:val="16"/>
        </w:rPr>
        <w:softHyphen/>
        <w:t>ской фракции Народно-республиканской партии Али-бея, бывшего командующего Восточным фронтом генерала М. Кязыма Карабекира, представителей министерств иностранных дел, народного хозяйства, земледелия, просвещения, директоров правительственных сахарно</w:t>
      </w:r>
      <w:r w:rsidRPr="00142305">
        <w:rPr>
          <w:rFonts w:ascii="Times New Roman" w:hAnsi="Times New Roman"/>
          <w:color w:val="0070C0"/>
          <w:sz w:val="16"/>
          <w:szCs w:val="16"/>
        </w:rPr>
        <w:softHyphen/>
        <w:t>го завода и текстильной фабрики, группу депутатов меджлиса, писа</w:t>
      </w:r>
      <w:r w:rsidRPr="00142305">
        <w:rPr>
          <w:rFonts w:ascii="Times New Roman" w:hAnsi="Times New Roman"/>
          <w:color w:val="0070C0"/>
          <w:sz w:val="16"/>
          <w:szCs w:val="16"/>
        </w:rPr>
        <w:softHyphen/>
        <w:t>телей и журналистов. В ходе поездки их сопровождал посол Турец</w:t>
      </w:r>
      <w:r w:rsidRPr="00142305">
        <w:rPr>
          <w:rFonts w:ascii="Times New Roman" w:hAnsi="Times New Roman"/>
          <w:color w:val="0070C0"/>
          <w:sz w:val="16"/>
          <w:szCs w:val="16"/>
        </w:rPr>
        <w:softHyphen/>
        <w:t>кой Республики в СССР Х. Рагиб-бей. В Одессе делегацию встретил нарком иностранных дел СССР М.М. Литвинов. 28 апреля все вместе на поезде отбыли в Москву.</w:t>
      </w:r>
    </w:p>
    <w:p w14:paraId="519EA8D3"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Важно отметить, что визит турок был организован в рамках ре</w:t>
      </w:r>
      <w:r w:rsidRPr="00142305">
        <w:rPr>
          <w:rFonts w:ascii="Times New Roman" w:hAnsi="Times New Roman"/>
          <w:color w:val="0070C0"/>
          <w:sz w:val="16"/>
          <w:szCs w:val="16"/>
        </w:rPr>
        <w:softHyphen/>
        <w:t>ализации исторического договора о дружбе и братстве между РСФСР и Турцией (правительством Великого Национального Собра</w:t>
      </w:r>
      <w:r w:rsidRPr="00142305">
        <w:rPr>
          <w:rFonts w:ascii="Times New Roman" w:hAnsi="Times New Roman"/>
          <w:color w:val="0070C0"/>
          <w:sz w:val="16"/>
          <w:szCs w:val="16"/>
        </w:rPr>
        <w:softHyphen/>
        <w:t>ния), заключенного в Москве еще 16 марта 1921 г. К тому времени между сторонами был подписан целый ряд двухсторонних доку</w:t>
      </w:r>
      <w:r w:rsidRPr="00142305">
        <w:rPr>
          <w:rFonts w:ascii="Times New Roman" w:hAnsi="Times New Roman"/>
          <w:color w:val="0070C0"/>
          <w:sz w:val="16"/>
          <w:szCs w:val="16"/>
        </w:rPr>
        <w:softHyphen/>
        <w:t>ментов, заложивших нормативно-правовую базу советско-турецкого сотрудничества.</w:t>
      </w:r>
    </w:p>
    <w:p w14:paraId="4EBF7A32"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Москве на вокзале состоялась торжественная встреча турец</w:t>
      </w:r>
      <w:r w:rsidRPr="00142305">
        <w:rPr>
          <w:rFonts w:ascii="Times New Roman" w:hAnsi="Times New Roman"/>
          <w:color w:val="0070C0"/>
          <w:sz w:val="16"/>
          <w:szCs w:val="16"/>
        </w:rPr>
        <w:softHyphen/>
        <w:t>ких гостей с участием председателя СНК СССР В.М. Молотова. И. Ине</w:t>
      </w:r>
      <w:r w:rsidRPr="00142305">
        <w:rPr>
          <w:rFonts w:ascii="Times New Roman" w:hAnsi="Times New Roman"/>
          <w:color w:val="0070C0"/>
          <w:sz w:val="16"/>
          <w:szCs w:val="16"/>
        </w:rPr>
        <w:softHyphen/>
        <w:t>ню и его коллег приняли в СНК, ВЦИК и РВС СССР (ЦДКА), в наркома</w:t>
      </w:r>
      <w:r w:rsidRPr="00142305">
        <w:rPr>
          <w:rFonts w:ascii="Times New Roman" w:hAnsi="Times New Roman"/>
          <w:color w:val="0070C0"/>
          <w:sz w:val="16"/>
          <w:szCs w:val="16"/>
        </w:rPr>
        <w:softHyphen/>
        <w:t>тах иностранных дел, просвещения, тяжелой и легкой промышленности, наркомземе СССР, в Колхозцентре, ТАСС и Академии наук СССР. Как уже упоминалось, 1 мая делегация из Турции присутствовала на параде на Красной площади и участвовала в поездке в Монино. Через два дня И. Иненю переехал в Ленинград, где был принят в Ленинградсовете.</w:t>
      </w:r>
    </w:p>
    <w:p w14:paraId="22BFBE50"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А 10 мая через Севастополь делегация вернулась на родину. При этом в «городе славы русских военных моряков» турок принимало правительство Крымской советской республики и командование Чер</w:t>
      </w:r>
      <w:r w:rsidRPr="00142305">
        <w:rPr>
          <w:rFonts w:ascii="Times New Roman" w:hAnsi="Times New Roman"/>
          <w:color w:val="0070C0"/>
          <w:sz w:val="16"/>
          <w:szCs w:val="16"/>
        </w:rPr>
        <w:softHyphen/>
        <w:t>номорского флота: гости посетили его флагман - линкор «Парижская коммуна». После этого турецкая делегация убыла на пароходе «Грузия»; до границ территориальных вод ее сопровождали советская эска</w:t>
      </w:r>
      <w:r w:rsidRPr="00142305">
        <w:rPr>
          <w:rFonts w:ascii="Times New Roman" w:hAnsi="Times New Roman"/>
          <w:color w:val="0070C0"/>
          <w:sz w:val="16"/>
          <w:szCs w:val="16"/>
        </w:rPr>
        <w:softHyphen/>
        <w:t>дра надводных кораблей и гидросамолеты.</w:t>
      </w:r>
    </w:p>
    <w:p w14:paraId="30F4B6FD"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Поездка И. Иненю была посвящена, главным образом, вопро</w:t>
      </w:r>
      <w:r w:rsidRPr="00142305">
        <w:rPr>
          <w:rFonts w:ascii="Times New Roman" w:hAnsi="Times New Roman"/>
          <w:color w:val="0070C0"/>
          <w:sz w:val="16"/>
          <w:szCs w:val="16"/>
        </w:rPr>
        <w:softHyphen/>
        <w:t>сам развития торгово-экономического и военно-технического со</w:t>
      </w:r>
      <w:r w:rsidRPr="00142305">
        <w:rPr>
          <w:rFonts w:ascii="Times New Roman" w:hAnsi="Times New Roman"/>
          <w:color w:val="0070C0"/>
          <w:sz w:val="16"/>
          <w:szCs w:val="16"/>
        </w:rPr>
        <w:softHyphen/>
        <w:t>трудничества между двумя странами. Оказывается, еще 6 мая 1932 г. на квартире наркомвоенмора К.Е. Ворошилова состоялись очень важ</w:t>
      </w:r>
      <w:r w:rsidRPr="00142305">
        <w:rPr>
          <w:rFonts w:ascii="Times New Roman" w:hAnsi="Times New Roman"/>
          <w:color w:val="0070C0"/>
          <w:sz w:val="16"/>
          <w:szCs w:val="16"/>
        </w:rPr>
        <w:softHyphen/>
        <w:t>ные, секретные переговоры. На них с советской стороны присутст</w:t>
      </w:r>
      <w:r w:rsidRPr="00142305">
        <w:rPr>
          <w:rFonts w:ascii="Times New Roman" w:hAnsi="Times New Roman"/>
          <w:color w:val="0070C0"/>
          <w:sz w:val="16"/>
          <w:szCs w:val="16"/>
        </w:rPr>
        <w:softHyphen/>
        <w:t>вовали И.В. Сталин, В.М. Молотов, Л.М. Карахан, Я.З. Суриц, а с турец</w:t>
      </w:r>
      <w:r w:rsidRPr="00142305">
        <w:rPr>
          <w:rFonts w:ascii="Times New Roman" w:hAnsi="Times New Roman"/>
          <w:color w:val="0070C0"/>
          <w:sz w:val="16"/>
          <w:szCs w:val="16"/>
        </w:rPr>
        <w:softHyphen/>
        <w:t>кой - Исмет Иненю и Т.Р. Арас.</w:t>
      </w:r>
    </w:p>
    <w:p w14:paraId="371CDD08"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время переговоров было достигнуто принципиальное согла</w:t>
      </w:r>
      <w:r w:rsidRPr="00142305">
        <w:rPr>
          <w:rFonts w:ascii="Times New Roman" w:hAnsi="Times New Roman"/>
          <w:color w:val="0070C0"/>
          <w:sz w:val="16"/>
          <w:szCs w:val="16"/>
        </w:rPr>
        <w:softHyphen/>
        <w:t>шение о предоставлении Турции беспроцентного кредита в размере 8 млн долл. (что равнялось тогда 38 млн руб.) сроком на 20 лет. Турец</w:t>
      </w:r>
      <w:r w:rsidRPr="00142305">
        <w:rPr>
          <w:rFonts w:ascii="Times New Roman" w:hAnsi="Times New Roman"/>
          <w:color w:val="0070C0"/>
          <w:sz w:val="16"/>
          <w:szCs w:val="16"/>
        </w:rPr>
        <w:softHyphen/>
        <w:t>кая сторона обязывалась дважды в год осуществлять платежи по кре</w:t>
      </w:r>
      <w:r w:rsidRPr="00142305">
        <w:rPr>
          <w:rFonts w:ascii="Times New Roman" w:hAnsi="Times New Roman"/>
          <w:color w:val="0070C0"/>
          <w:sz w:val="16"/>
          <w:szCs w:val="16"/>
        </w:rPr>
        <w:softHyphen/>
        <w:t>диту в турецких лирах в пересчете на доллары по курсу, существо</w:t>
      </w:r>
      <w:r w:rsidRPr="00142305">
        <w:rPr>
          <w:rFonts w:ascii="Times New Roman" w:hAnsi="Times New Roman"/>
          <w:color w:val="0070C0"/>
          <w:sz w:val="16"/>
          <w:szCs w:val="16"/>
        </w:rPr>
        <w:softHyphen/>
        <w:t>вавшему на день платежа на биржах Лондона, Нью-Йорка и Стамбула. На суммы, подлежащие выплате, советская сторона закупала в Турции необходимые ей товары. Из общей суммы кредита половина выде</w:t>
      </w:r>
      <w:r w:rsidRPr="00142305">
        <w:rPr>
          <w:rFonts w:ascii="Times New Roman" w:hAnsi="Times New Roman"/>
          <w:color w:val="0070C0"/>
          <w:sz w:val="16"/>
          <w:szCs w:val="16"/>
        </w:rPr>
        <w:softHyphen/>
        <w:t>лялась на закупку советской военной техники и вооружения (ВиВТ), остальная часть - на строительство предприятий оборонного значения и поставки техники и оборудования, как правило, двойного назначения (24972).</w:t>
      </w:r>
    </w:p>
    <w:p w14:paraId="69583C91" w14:textId="77777777" w:rsidR="000566B1" w:rsidRPr="000566B1" w:rsidRDefault="000566B1" w:rsidP="000566B1">
      <w:pPr>
        <w:pStyle w:val="aff2"/>
        <w:tabs>
          <w:tab w:val="left" w:pos="594"/>
        </w:tabs>
        <w:spacing w:line="240" w:lineRule="auto"/>
        <w:rPr>
          <w:rFonts w:ascii="Times New Roman" w:hAnsi="Times New Roman" w:cs="Times New Roman"/>
          <w:i w:val="0"/>
          <w:iCs w:val="0"/>
          <w:color w:val="0070C0"/>
          <w:sz w:val="16"/>
          <w:szCs w:val="16"/>
          <w:lang w:val="ru-RU"/>
        </w:rPr>
      </w:pPr>
    </w:p>
    <w:p w14:paraId="6900D1BA" w14:textId="77777777" w:rsidR="00FD63D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F7AAC41" w14:textId="77777777" w:rsidR="00FD63D9" w:rsidRPr="00E93F40" w:rsidRDefault="00FD63D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2F11BC" w14:textId="77777777" w:rsidR="00FD63D9" w:rsidRPr="00E93F40" w:rsidRDefault="00FD63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в 1932 году поднялся в воздух второй серийный самолёт «Blackburn Segrave», имевший регистрационный номер «G-ABFR». «Blackburn Segrave» был одним из первых пассажирских свободнонесущих монопланов. Самой фирмой «Blackburn» было построено 3 серийных самолёта: первый самолёт – «Blackburn Segrave» («G-ABFP»), второй – «G-ABFR», третий – «G-ABZJ». От первого деревянного прототипа они отличались дюралевым фюзеляжем (15111).</w:t>
      </w:r>
    </w:p>
    <w:p w14:paraId="28C7FDCA" w14:textId="77777777" w:rsidR="00FD63D9" w:rsidRPr="00E93F40" w:rsidRDefault="00FD63D9" w:rsidP="00E93F40">
      <w:pPr>
        <w:spacing w:after="0" w:line="240" w:lineRule="auto"/>
        <w:jc w:val="both"/>
        <w:rPr>
          <w:rFonts w:ascii="Times New Roman" w:hAnsi="Times New Roman"/>
          <w:color w:val="000000" w:themeColor="text1"/>
          <w:sz w:val="16"/>
          <w:szCs w:val="16"/>
        </w:rPr>
      </w:pPr>
    </w:p>
    <w:p w14:paraId="1B5FF37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B0C169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CB6A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 по предложению УВВС и приказу ГУАП заводом 39 был заключен локальный договор с УВВС на постройку 20 самолетов зет с установкой специального вооружения (2303,37).</w:t>
      </w:r>
    </w:p>
    <w:p w14:paraId="7BB18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был договор, подписанный директором завода 39 С.Марголиным с УВВС. Стоимость была 77594 руб., но с учетом непредвиденных расходов до 1 сентября 1933 и срока готовности всей партии заводу дали 2398909 руб. или 119945 руб. на каждый (2692,6).</w:t>
      </w:r>
    </w:p>
    <w:p w14:paraId="65DD11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068FAF" w14:textId="77777777" w:rsidR="001E30C2" w:rsidRPr="00E93F40" w:rsidRDefault="001E30C2" w:rsidP="00E93F40">
      <w:pPr>
        <w:pStyle w:val="a3"/>
        <w:autoSpaceDE/>
        <w:autoSpaceDN/>
        <w:adjustRightInd/>
        <w:rPr>
          <w:color w:val="000000" w:themeColor="text1"/>
          <w:lang w:val="ru-RU"/>
        </w:rPr>
      </w:pPr>
      <w:r w:rsidRPr="00E93F40">
        <w:rPr>
          <w:color w:val="000000" w:themeColor="text1"/>
          <w:lang w:val="ru-RU"/>
        </w:rPr>
        <w:t>27 апреля 1932 г. директор завода № 39 С. Марголин подписал договор с Управлением ВВС на поставку 20 истребителей - со спецвооружением стоимостью 77594 рубля каждый. Срок сдачи заказчику партии определили 1 сентября 1933 г. (12731).</w:t>
      </w:r>
    </w:p>
    <w:p w14:paraId="2FC328CF" w14:textId="77777777" w:rsidR="001E30C2" w:rsidRPr="00E93F40" w:rsidRDefault="001E30C2" w:rsidP="00E93F40">
      <w:pPr>
        <w:pStyle w:val="a3"/>
        <w:autoSpaceDE/>
        <w:autoSpaceDN/>
        <w:adjustRightInd/>
        <w:rPr>
          <w:color w:val="000000" w:themeColor="text1"/>
          <w:lang w:val="ru-RU"/>
        </w:rPr>
      </w:pPr>
    </w:p>
    <w:p w14:paraId="6D0146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 года директор завода № 39 С. Марголин подписал договор с Управлением ВВС на поставку 20 истребителей И-ЗЕТ со спецвооружением стоимостью 77 594 рубля каждый. Срок сдачи заказчику этой партии определили 1 сентября 1933 г. (12005).</w:t>
      </w:r>
    </w:p>
    <w:p w14:paraId="650C7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BDC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 г. руководство авиазавода № 39, теперь уже в лице директора С. Марголина, подписывает договор с Управлением ВВС на поставку 20 истребителей Z с установкой спецвооружения. Один из первых серийных самолетов И-7 № 39 009 испытывался в феврале — марте 1933 г. на полигоне 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(12091).</w:t>
      </w:r>
    </w:p>
    <w:p w14:paraId="7161B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D335B6" w14:textId="77777777" w:rsidR="00FD63D9" w:rsidRPr="00E93F40" w:rsidRDefault="00FD63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в 1932 году директор завода №39 С. Марголин подписал договор с Управлением ВВС на поставку 20 истребителей "Z" со спецвооружением стоимостью 77594 рубля каждый. С учетом непредвиденных расходов до 1 сентября 1933 г., срока готовности всей партии, заводу отпускалось 2398909 рублей. Таким образом, цена самолета составляла 119945 рублей. Один из первых серийных «И-Z» (№39009) испытывался в феврале-марте 1933 г. на полигоне УВВС в Монино. Полеты выполнял летчик-испытатель Пионтковский</w:t>
      </w:r>
    </w:p>
    <w:p w14:paraId="5DC075C9" w14:textId="77777777" w:rsidR="00FD63D9" w:rsidRPr="00E93F40" w:rsidRDefault="00FD63D9" w:rsidP="00E93F40">
      <w:pPr>
        <w:spacing w:after="0" w:line="240" w:lineRule="auto"/>
        <w:jc w:val="both"/>
        <w:rPr>
          <w:rFonts w:ascii="Times New Roman" w:hAnsi="Times New Roman"/>
          <w:color w:val="000000" w:themeColor="text1"/>
          <w:sz w:val="16"/>
          <w:szCs w:val="16"/>
        </w:rPr>
      </w:pPr>
    </w:p>
    <w:p w14:paraId="3B7384B9" w14:textId="77777777" w:rsidR="00EE68A8" w:rsidRPr="00E93F40" w:rsidRDefault="00EE68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27-го апреля 1932 года директор завода № 39 С.Л. Марголин подписал договор с Управлением ВВС на постройку серии из 20-ти истребителей «И-Z» для проведения дальнейших испытаний. Один из первых серийных «И-Z» испытывался в феврале-марте 1933 года на полигоне УВВС в Монино. В испытаниях принимал участие Ю.И. Пионтковский. Предстояло определить воздействие реактивной струи на обшивку фюзеляжа при стрельбе из установленных на самолете пушек Курчевского. Вначале были проведены наземные стрельбы. После каждого выстрела надо было на ощупь определять нагрев и следить за отрывом заклепок. Поскольку ни отрыва заклепок, ни нагрева обшивки на самолете не обнаружилось, был составлен акт с положительным заключением (18293).</w:t>
      </w:r>
    </w:p>
    <w:p w14:paraId="59B78BD7" w14:textId="77777777" w:rsidR="00EE68A8" w:rsidRPr="00E93F40" w:rsidRDefault="00EE68A8" w:rsidP="00E93F40">
      <w:pPr>
        <w:spacing w:after="0" w:line="240" w:lineRule="auto"/>
        <w:jc w:val="both"/>
        <w:rPr>
          <w:rFonts w:ascii="Times New Roman" w:hAnsi="Times New Roman"/>
          <w:color w:val="000000" w:themeColor="text1"/>
          <w:sz w:val="16"/>
          <w:szCs w:val="16"/>
        </w:rPr>
      </w:pPr>
    </w:p>
    <w:p w14:paraId="717CA0C0" w14:textId="77777777" w:rsidR="00FD63D9" w:rsidRPr="00E93F40" w:rsidRDefault="00FD63D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27-го апреля 1932 года директор завода № 39 С.Л. Марголин подписал договор с Управлением ВВС на постройку серии из 20-ти истребителей «И-Z» для проведения дальнейших испытаний. Один из первых серийных «И-Z» испытывался в феврале-марте 1933 года на полигоне УВВС в Монино. В испытаниях принимал участие Ю.И. Пионтковский. Предстояло определить воздействие реактивной струи на обшивку фюзеляжа при стрельбе из установленных на самолете пушек Курчевского. Вначале были проведены наземные стрельбы. После каждого выстрела надо было на ощупь определять нагрев и следить за отрывом заклепок. Поскольку ни отрыва заклепок, ни нагрева обшивки на самолете не обнаружилось, был составлен акт с положительным заключением (15223).</w:t>
      </w:r>
    </w:p>
    <w:p w14:paraId="552FEA4C" w14:textId="77777777" w:rsidR="00FD63D9" w:rsidRPr="00E93F40" w:rsidRDefault="00FD63D9" w:rsidP="00E93F40">
      <w:pPr>
        <w:shd w:val="clear" w:color="auto" w:fill="FFFFFF"/>
        <w:spacing w:after="0" w:line="240" w:lineRule="auto"/>
        <w:jc w:val="both"/>
        <w:rPr>
          <w:rFonts w:ascii="Times New Roman" w:hAnsi="Times New Roman"/>
          <w:color w:val="000000" w:themeColor="text1"/>
          <w:sz w:val="16"/>
          <w:szCs w:val="16"/>
        </w:rPr>
      </w:pPr>
    </w:p>
    <w:p w14:paraId="2A3C4BE3" w14:textId="010953DE"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руководство авиазавода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 теперь уже в лице директора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Марголина, подписывает договор с Управлением ВВС на поставку 20 истребителей Z с установкой спецвооружения.</w:t>
      </w:r>
    </w:p>
    <w:p w14:paraId="66381AFB" w14:textId="49DF2EAD"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Один из первых серийных самолетов И-7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009 испытывался в феврале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марте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полигоне 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w:t>
      </w:r>
    </w:p>
    <w:p w14:paraId="116FEF05" w14:textId="32D43A4E"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были проведены государственные испытания самолета И-7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010, вооруженного серийными пушками АПК-4бис. Испытания проходили на аэродроме НИИ ВВС в Щелкове в период с 14 сентября по 1 октября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Летал летчик Сцельников, общий налет составил 16 часов 20 минут.</w:t>
      </w:r>
    </w:p>
    <w:p w14:paraId="0E315282" w14:textId="4B05EBD1"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отчете по испытаниям указывалось, что самолет И-7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010 постройки авиазавода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153707D7" w14:textId="61FF0B59"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за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 и потолка (7000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являются достаточно удовлетворительными. Полученное значение максимальной скорости 259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км/час совершенно недостаточное. Причина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неудачная конструкция колес и шасси, большое сопротивление пушек. Тактическая дальность действия самолета 310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также признана недостаточной.</w:t>
      </w:r>
    </w:p>
    <w:p w14:paraId="7B3488EF"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2976441E" w14:textId="065E2E5B"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Малая емкость магазинов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две пушки всего 14 снарядов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39200026" w14:textId="394FD38F"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BB29610" w14:textId="09A3A554"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увеличение максимальной скорости до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км/час;</w:t>
      </w:r>
    </w:p>
    <w:p w14:paraId="2D3398A3" w14:textId="31637580"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увеличение емкости бензобаков, доведения количества снарядов до 20 штук, установки электрооборудования и радио.</w:t>
      </w:r>
    </w:p>
    <w:p w14:paraId="2F73813A"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7D316A01" w14:textId="404C12F8"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районе Переславля-Залесского на берегу Плещеева озера. Кстати, испытания безоткатных орудий на этом озере проводились еще в сентябре 1924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Испытывались два самолета И-7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005 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010) с четырьмя серийными пушками АПК-4бис. Летали летчики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Коротков и 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Сцельников. Из 147 патронов выстреляно 74, задержек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w:t>
      </w:r>
    </w:p>
    <w:p w14:paraId="6BBCA3B1" w14:textId="19CC43B3"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Люберецком аэродроме и химическом полигоне в Кузьминках испытывалось семь самолетов И-7 с 14 пушками АПК-4бис. Их испытывала эскадрилья Новака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летчики Климов, Губанов, Бурылин, Катичев и Родин. Отмечалось, что при данной установке АПК стрелять возможно только в горизонтальной плоскости, при пикировании до угла 30°, при кабрировании в крене 25–30°. Первоначально стрельбы велись стержневой шрапнелью чертежа 2–633, а затем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lastRenderedPageBreak/>
        <w:t>осколочной гранатой. Темп стрельбы без задержек составил 21 выстр/мин. Комиссия сочла, что система АПК-4бис на самолете И-7 испытания выдержала и что при устранении прилагаемого перечня недостатков может быть допущена на войсковые испытания.</w:t>
      </w:r>
    </w:p>
    <w:p w14:paraId="3EE0BCE7" w14:textId="31EC3588"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к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авиазавод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 выпустил вместе с опытным самолетом 22 И-7. С начала года проведение стрельб и испытаний было продолжено в Переславле-Залесском. Возглавил испытания Томас Павлович Сузи. Командиром отряда И-7 был летчик Кузьма Александрович Катичев. Летать начали зимой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Стреляли по конусам, которые таскали разведчики Р-5. Все затянулось более чем на год. По сути, это были уже не войсковые испытания, а строевая служба, в ходе которой отрабатывались способы применения, ведения огня по воздушным и наземным целям.</w:t>
      </w:r>
    </w:p>
    <w:p w14:paraId="4EBBD0A5" w14:textId="47563B22"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харьковский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135 и московский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39 выпустили 72 истребителя И-7.</w:t>
      </w:r>
    </w:p>
    <w:p w14:paraId="164024E8" w14:textId="2FF5D181"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весне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Курчевский предложил новую модернизацию пушки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АПК-4М.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Изменения в ней коснулись лишь механизмов подачи.</w:t>
      </w:r>
    </w:p>
    <w:p w14:paraId="35D49F64" w14:textId="7CBCD506"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были проведены полигонные испытания АПК-4М.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Вместе с пушкой испытывались различные типы стержневой шрапнели. В отчете по испытаниям сказано, что пушка «представляет бесспорную боевую ценность», но стрельба из нее производит «тяжелый физиологический эффект» на пилота. Так, техник Моргунов после 182 выстрелов контужен и направлен в больницу с сотрясением мозга. То же самое, только в более слабой форме, у начальника группы Мельникова после 104 выстрелов.</w:t>
      </w:r>
    </w:p>
    <w:p w14:paraId="38F38144" w14:textId="45557CBD"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июня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Алкснис направил Курчевскому письмо: «Во исполнение постановления СТО СССР от 7.04.1935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для определения тактики и боевого применения пушечной авиации и для отработки правил стрельбы приказом НКО СССР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065 создана особая группа: звено „ЗЕТ“, звено Р-5 и один ТБ-1, которая была направлена в Евпаторию. С 15.03.1935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группа бездействует в Евпатории в ожидании пушек. Требуется 6 АПК-4М и одно 37-мм ружье Курчевского».</w:t>
      </w:r>
    </w:p>
    <w:p w14:paraId="70B2E18C" w14:textId="04FD21B1"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марте в Евпаторию прибыли три И-Z, а в июне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РК большой мощности. Вес ружья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вес снаряда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0,6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заряда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0,19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пороха МСК, начальная скорость снаряда 524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10–12 выстр/мин, фактический 5–6 выстр/мин.</w:t>
      </w:r>
    </w:p>
    <w:p w14:paraId="19839B84" w14:textId="0CF9967C"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534, которые выдерживали до 340–360 выстрелов из АПК-4М.</w:t>
      </w:r>
    </w:p>
    <w:p w14:paraId="68F1E0E8" w14:textId="7A557828"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К началу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строю оставались лишь отдельные И-Z, опыты с ДРП прекратились, практическое использование самолетов потеряло актуальность, и применялись они эпизодически. В последующие годы упоминания об этих истребителях не встречаются.</w:t>
      </w:r>
    </w:p>
    <w:p w14:paraId="224E08D6" w14:textId="6EFE187E"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Заканчивая рассказ о И-Z, стоит упомянуть о первомайском празднике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Тогда над Красной площадью пронеслась пятерка И-Z, вооруженная АПК-4 (12705).</w:t>
      </w:r>
    </w:p>
    <w:p w14:paraId="26B5CA71" w14:textId="77777777" w:rsidR="00684A8A" w:rsidRPr="00E93F40" w:rsidRDefault="00684A8A" w:rsidP="00E93F40">
      <w:pPr>
        <w:spacing w:after="0" w:line="240" w:lineRule="auto"/>
        <w:jc w:val="both"/>
        <w:rPr>
          <w:rFonts w:ascii="Times New Roman" w:hAnsi="Times New Roman"/>
          <w:color w:val="000000" w:themeColor="text1"/>
          <w:sz w:val="16"/>
          <w:szCs w:val="16"/>
        </w:rPr>
      </w:pPr>
    </w:p>
    <w:p w14:paraId="0056ABB4" w14:textId="77777777" w:rsidR="000566B1" w:rsidRPr="00E93F40" w:rsidRDefault="000566B1" w:rsidP="000566B1">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 г. УВВС выдал заводу № 39 заказ на 20 пушечных истребителей И-Зет разработки ЦКБ-39 (Главный конструктор самолета Д.П. Григорович), который был перевыполнен – до конца 1933 г. сдан 21 такой самолет. Но по ходу выпуска понадобились значительные переделки, даже после которых эксплуатация машины носила опытный характер и полноценным строевым истребителем она так и не стала (23554).</w:t>
      </w:r>
    </w:p>
    <w:p w14:paraId="1805D71C" w14:textId="77777777" w:rsidR="000566B1" w:rsidRPr="00E93F40" w:rsidRDefault="000566B1" w:rsidP="000566B1">
      <w:pPr>
        <w:spacing w:after="0" w:line="240" w:lineRule="auto"/>
        <w:jc w:val="both"/>
        <w:rPr>
          <w:rFonts w:ascii="Times New Roman" w:hAnsi="Times New Roman"/>
          <w:color w:val="000000" w:themeColor="text1"/>
          <w:sz w:val="16"/>
          <w:szCs w:val="16"/>
        </w:rPr>
      </w:pPr>
    </w:p>
    <w:p w14:paraId="331A01ED" w14:textId="77777777" w:rsidR="000566B1" w:rsidRPr="00E93F40" w:rsidRDefault="000566B1" w:rsidP="000566B1">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 г. в СССР в Москве авиационный завод №39 имени В.Р. Менжинского получил заказ на выпуск для ВВС Рабоче-Крестьянской Красной Армии 20 серийных истребителей-перехватчиков И-Z, разработанных в ЦКБ под руководством Д.П. Григоровича и вооруженных динамо-реактивными пушками системы Курчевского. Срок исполнения был определен к 1 сентября 1933 г. (24155).</w:t>
      </w:r>
    </w:p>
    <w:p w14:paraId="07C89E26" w14:textId="77777777" w:rsidR="000566B1" w:rsidRPr="00E93F40" w:rsidRDefault="000566B1" w:rsidP="000566B1">
      <w:pPr>
        <w:spacing w:after="0" w:line="240" w:lineRule="auto"/>
        <w:jc w:val="both"/>
        <w:rPr>
          <w:rFonts w:ascii="Times New Roman" w:hAnsi="Times New Roman"/>
          <w:color w:val="000000" w:themeColor="text1"/>
          <w:sz w:val="16"/>
          <w:szCs w:val="16"/>
        </w:rPr>
      </w:pPr>
    </w:p>
    <w:p w14:paraId="73EB9C43"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27 апреля 1932 г. руководство авиазавода № 39, теперь уже в лице директора С. Марголина, подписывает договор с Управлением ВВС на поставку 20 истребителей </w:t>
      </w:r>
      <w:r w:rsidRPr="00142305">
        <w:rPr>
          <w:rStyle w:val="aff"/>
          <w:rFonts w:ascii="Times New Roman" w:hAnsi="Times New Roman" w:cs="Times New Roman"/>
          <w:color w:val="0070C0"/>
          <w:spacing w:val="0"/>
          <w:sz w:val="16"/>
          <w:szCs w:val="16"/>
          <w:lang w:val="en-US"/>
        </w:rPr>
        <w:t>Z</w:t>
      </w:r>
      <w:r w:rsidRPr="00142305">
        <w:rPr>
          <w:rStyle w:val="aff"/>
          <w:rFonts w:ascii="Times New Roman" w:hAnsi="Times New Roman" w:cs="Times New Roman"/>
          <w:color w:val="0070C0"/>
          <w:spacing w:val="0"/>
          <w:sz w:val="16"/>
          <w:szCs w:val="16"/>
        </w:rPr>
        <w:t xml:space="preserve"> с установкой спецвооружения (25213).</w:t>
      </w:r>
    </w:p>
    <w:p w14:paraId="30D6B053" w14:textId="77777777" w:rsidR="000566B1" w:rsidRPr="00142305" w:rsidRDefault="000566B1" w:rsidP="000566B1">
      <w:pPr>
        <w:spacing w:after="0" w:line="240" w:lineRule="auto"/>
        <w:jc w:val="both"/>
        <w:rPr>
          <w:rFonts w:ascii="Times New Roman" w:hAnsi="Times New Roman"/>
          <w:color w:val="0070C0"/>
          <w:sz w:val="16"/>
          <w:szCs w:val="16"/>
        </w:rPr>
      </w:pPr>
    </w:p>
    <w:p w14:paraId="0DF4B847" w14:textId="77777777" w:rsidR="0034608C" w:rsidRPr="00E93F40" w:rsidRDefault="0034608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 г. М.Н. Тухачевский писал К.Е. Ворошилову: «Мне кажется, что для упрочнения связи с «Фиатом», очень полезно принять предложение Ефимова о покупке серии новых истребителей (одну эскадрилью) и С-55 (один отряд)» (РГВА. Ф. 33988. Оп. 3. Оп. 3. Д. 225. Л. 67.) (21410).</w:t>
      </w:r>
    </w:p>
    <w:p w14:paraId="004E2EAC" w14:textId="77777777" w:rsidR="0034608C" w:rsidRPr="00E93F40" w:rsidRDefault="0034608C" w:rsidP="00E93F40">
      <w:pPr>
        <w:spacing w:after="0" w:line="240" w:lineRule="auto"/>
        <w:jc w:val="both"/>
        <w:rPr>
          <w:rFonts w:ascii="Times New Roman" w:hAnsi="Times New Roman"/>
          <w:color w:val="000000" w:themeColor="text1"/>
          <w:sz w:val="16"/>
          <w:szCs w:val="16"/>
        </w:rPr>
      </w:pPr>
    </w:p>
    <w:p w14:paraId="27241C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 Президиум ВЦИК утвердил новый Воздушный кодекс (62,691).</w:t>
      </w:r>
    </w:p>
    <w:p w14:paraId="2F6937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883ACF" w14:textId="77777777" w:rsidR="00791C12" w:rsidRPr="00E93F40" w:rsidRDefault="00791C1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 г. ЦИК СССР утвердил "Воздушный кодекс Союза" - первый юридический документ, регламентировавший порядок воздушных сообщений по СССР. С утверждения этого кодекса ГВФ руководствовал</w:t>
      </w:r>
      <w:r w:rsidRPr="00E93F40">
        <w:rPr>
          <w:rFonts w:ascii="Times New Roman" w:hAnsi="Times New Roman"/>
          <w:color w:val="000000" w:themeColor="text1"/>
          <w:sz w:val="16"/>
          <w:szCs w:val="16"/>
        </w:rPr>
        <w:softHyphen/>
        <w:t>ся декретом СНК от 17 января 1921 года "О воздушном передвижении", содержавшим лишь общие правовые понятия о воздушном транспорте. Скоро и этот кодекс оказался весьма элементарным и в 1935 году был заменен новым.</w:t>
      </w:r>
    </w:p>
    <w:p w14:paraId="7044F382" w14:textId="77777777" w:rsidR="00791C12" w:rsidRPr="00E93F40" w:rsidRDefault="00791C1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/Сборник законов СССР 1932 г., № 32, стр.194/ (23370).</w:t>
      </w:r>
    </w:p>
    <w:p w14:paraId="203EBA0A" w14:textId="77777777" w:rsidR="00791C12" w:rsidRPr="00E93F40" w:rsidRDefault="00791C12" w:rsidP="00E93F40">
      <w:pPr>
        <w:spacing w:after="0" w:line="240" w:lineRule="auto"/>
        <w:jc w:val="both"/>
        <w:rPr>
          <w:rFonts w:ascii="Times New Roman" w:hAnsi="Times New Roman"/>
          <w:color w:val="000000" w:themeColor="text1"/>
          <w:sz w:val="16"/>
          <w:szCs w:val="16"/>
        </w:rPr>
      </w:pPr>
    </w:p>
    <w:p w14:paraId="72778CC5"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F605B5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E9C5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27 апреля 1932 г. постановлением Наркомата тяжелой промышленности СССР в результате преобразования Сибирского отделения Центрального государственного научно-исследовательского института цветных металлов, золота и платины бал создан Научно-исследовательский институт по золоту и спутникам "Гинзолото". Приказом Наркомата цветной металлургии СССР от 6 августа 1942 г. институт преобразован в Завод N 172, который приказом Министерства цветной металлургии СССР от 31 мая 1946 г. был преобразован в Иркутский государственный научно-исследовательский институт редких и цветных металлов "Иргиредмет" (12102). </w:t>
      </w:r>
    </w:p>
    <w:p w14:paraId="30060EE6" w14:textId="77777777" w:rsidR="00FD63D9" w:rsidRPr="00E93F40" w:rsidRDefault="00FD63D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1505B6" w14:textId="77777777" w:rsidR="0034608C" w:rsidRPr="00E93F40" w:rsidRDefault="0034608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188E438" w14:textId="77777777" w:rsidR="0034608C" w:rsidRPr="00E93F40" w:rsidRDefault="0034608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F7B7A4" w14:textId="77777777" w:rsidR="0034608C" w:rsidRPr="00E93F40" w:rsidRDefault="0034608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апреля 1932 Imperial Airways открывает регулярные пассажирские рейсы в Кейптаун, Южная Африка (20803).</w:t>
      </w:r>
    </w:p>
    <w:p w14:paraId="654CDBAD" w14:textId="77777777" w:rsidR="0034608C" w:rsidRPr="00E93F40" w:rsidRDefault="0034608C" w:rsidP="00E93F40">
      <w:pPr>
        <w:spacing w:after="0" w:line="240" w:lineRule="auto"/>
        <w:jc w:val="both"/>
        <w:rPr>
          <w:rFonts w:ascii="Times New Roman" w:hAnsi="Times New Roman"/>
          <w:color w:val="000000" w:themeColor="text1"/>
          <w:sz w:val="16"/>
          <w:szCs w:val="16"/>
        </w:rPr>
      </w:pPr>
    </w:p>
    <w:p w14:paraId="737664C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004C3E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DBD2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(к 28 апреля - 1854,7) 1932 состоялся выпуск серии из 10 ТБ-3 (АНТ-6) и Правительство решило, что они должны принять участие в первомайском параде. Придавали первостепенное значение и К.Е.В. приезжал на аэродром ежедневно, докладывал иногда по два раза в день и два раза приезжал И.В.С. Последний десятый привезли на ЦА 28 апреля (262,28).</w:t>
      </w:r>
    </w:p>
    <w:p w14:paraId="191711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015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28 апреля 1932 в Филях собрали первую партию из десяти машин с таким расчетом, чтобы они приняли участие в первомайском параде в Москве. К этому времени заводской аэродром, располагавшийся на заливном лугу у Москвы-реки, подтопило. От него осталась полоса длиной около 100 м и шириной 15-20 м - очень мало для четырехмоторных гигантов. Самолеты предельно облегчили, на борту остались по два человека - пилот и механик. Поодиночке бомбардировщики поднимались в воздух. После взлета каждого в мягком грунте оставались глубокие колеи, которые рабочие тут же засыпали песком. Так все десять ТБ-3 перегнали на Центральный аэродром. Машины были очень «сырыми», и лишь благодаря отчаянным усилиям работников завода и НИИ ВВС их удалось вывести на парад. Экипажи состояли вперемежку из заводского персонала и военных из НИИ. В фюзеляже каждого бомбардировщика сидели техники с бидонами воды, готовые долить текущие радиаторы. Однако цель была достигнута. Парадная девятка, которой командовал А.Б.Юмашев, произвела неизгладимое впечатление на иностранных военных атташе. Еще перед парадом ТБ-3 продемонстрировали итальянской делегации, перед которой экипажи испытателей показали такие трюки, как виражи с креном до 60°-70° и посадку с разворотом на двух моторах (7668).</w:t>
      </w:r>
    </w:p>
    <w:p w14:paraId="3EE4C3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AF3AD4"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28 апреля 1932 г. в Филях завершили пар</w:t>
      </w:r>
      <w:r w:rsidRPr="00142305">
        <w:rPr>
          <w:rFonts w:ascii="Times New Roman" w:hAnsi="Times New Roman"/>
          <w:color w:val="0070C0"/>
          <w:sz w:val="16"/>
          <w:szCs w:val="16"/>
        </w:rPr>
        <w:softHyphen/>
        <w:t>тию из десяти машин ТБ-3 с таким расчетом, чтобы они приняли участие в первомай</w:t>
      </w:r>
      <w:r w:rsidRPr="00142305">
        <w:rPr>
          <w:rFonts w:ascii="Times New Roman" w:hAnsi="Times New Roman"/>
          <w:color w:val="0070C0"/>
          <w:sz w:val="16"/>
          <w:szCs w:val="16"/>
        </w:rPr>
        <w:softHyphen/>
        <w:t>ском параде в Москве. К этому времени заводской аэродром, располагавшийся на заливном лугу у Москвы-реки, подтопило. От него осталась полоса длиной около 100 м и шириной 15-20 м - очень мало для четырехмоторных гигантов. Самолеты предельно облегчили, на борту остались по два человека - пилот и механик. По</w:t>
      </w:r>
      <w:r w:rsidRPr="00142305">
        <w:rPr>
          <w:rFonts w:ascii="Times New Roman" w:hAnsi="Times New Roman"/>
          <w:color w:val="0070C0"/>
          <w:sz w:val="16"/>
          <w:szCs w:val="16"/>
        </w:rPr>
        <w:softHyphen/>
        <w:t>одиночке бомбардировщики поднимались в воздух. После взлета каждого в мягком грунте оставались глубокие колеи, которые рабочие тут же засыпали песком. Так все десять ТБ-3 перегнали на Центральный аэродром.</w:t>
      </w:r>
    </w:p>
    <w:p w14:paraId="2A70A265"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Эти очень «сырые» машины лишь благо</w:t>
      </w:r>
      <w:r w:rsidRPr="00142305">
        <w:rPr>
          <w:rFonts w:ascii="Times New Roman" w:hAnsi="Times New Roman"/>
          <w:color w:val="0070C0"/>
          <w:sz w:val="16"/>
          <w:szCs w:val="16"/>
        </w:rPr>
        <w:softHyphen/>
        <w:t>даря отчаянным усилиям работников заво</w:t>
      </w:r>
      <w:r w:rsidRPr="00142305">
        <w:rPr>
          <w:rFonts w:ascii="Times New Roman" w:hAnsi="Times New Roman"/>
          <w:color w:val="0070C0"/>
          <w:sz w:val="16"/>
          <w:szCs w:val="16"/>
        </w:rPr>
        <w:softHyphen/>
        <w:t>да и НИИ ВВС удалось вывести на парад. Экипажи состояли из заводского персонала и военных из НИИ. В фюзеляже каждого бомбардировщика сидели техники с бидо</w:t>
      </w:r>
      <w:r w:rsidRPr="00142305">
        <w:rPr>
          <w:rFonts w:ascii="Times New Roman" w:hAnsi="Times New Roman"/>
          <w:color w:val="0070C0"/>
          <w:sz w:val="16"/>
          <w:szCs w:val="16"/>
        </w:rPr>
        <w:softHyphen/>
        <w:t>нами воды, готовые долить текущие ради</w:t>
      </w:r>
      <w:r w:rsidRPr="00142305">
        <w:rPr>
          <w:rFonts w:ascii="Times New Roman" w:hAnsi="Times New Roman"/>
          <w:color w:val="0070C0"/>
          <w:sz w:val="16"/>
          <w:szCs w:val="16"/>
        </w:rPr>
        <w:softHyphen/>
        <w:t>аторы. Однако цели достигли. Парадная группа ТБ-3, которой командовал А.Б. Юма</w:t>
      </w:r>
      <w:r w:rsidRPr="00142305">
        <w:rPr>
          <w:rFonts w:ascii="Times New Roman" w:hAnsi="Times New Roman"/>
          <w:color w:val="0070C0"/>
          <w:sz w:val="16"/>
          <w:szCs w:val="16"/>
        </w:rPr>
        <w:softHyphen/>
        <w:t>шев, произвела неизгладимое впечатление на иностранных военных атташе.</w:t>
      </w:r>
    </w:p>
    <w:p w14:paraId="3E12CC31"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Они не знали, что показ закончился тре</w:t>
      </w:r>
      <w:r w:rsidRPr="00142305">
        <w:rPr>
          <w:rFonts w:ascii="Times New Roman" w:hAnsi="Times New Roman"/>
          <w:color w:val="0070C0"/>
          <w:sz w:val="16"/>
          <w:szCs w:val="16"/>
        </w:rPr>
        <w:softHyphen/>
        <w:t>мя вынужденными посадками. У летчика Озолина кончилась вода на обратном пути, а Козлову из-за сильной течи пришлось вернуться назад сразу после взлета. На самолете Баранова ремонт вели прямо в воздухе и запустили заглохший мотор (24937).</w:t>
      </w:r>
    </w:p>
    <w:p w14:paraId="723042EC" w14:textId="77777777" w:rsidR="000566B1" w:rsidRPr="00142305" w:rsidRDefault="000566B1" w:rsidP="000566B1">
      <w:pPr>
        <w:spacing w:after="0" w:line="240" w:lineRule="auto"/>
        <w:jc w:val="both"/>
        <w:rPr>
          <w:rFonts w:ascii="Times New Roman" w:hAnsi="Times New Roman"/>
          <w:color w:val="0070C0"/>
          <w:sz w:val="16"/>
          <w:szCs w:val="16"/>
        </w:rPr>
      </w:pPr>
    </w:p>
    <w:p w14:paraId="408450BE"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28 апреля 1932 г. в Филях собрали первую партию из десяти машин АНТ-6 с таким расчетом, чтобы они приняли участие в пер</w:t>
      </w:r>
      <w:r w:rsidRPr="00142305">
        <w:rPr>
          <w:rFonts w:ascii="Times New Roman" w:hAnsi="Times New Roman"/>
          <w:color w:val="0070C0"/>
          <w:sz w:val="16"/>
          <w:szCs w:val="16"/>
        </w:rPr>
        <w:softHyphen/>
        <w:t>вомайском параде в Москве (24977).</w:t>
      </w:r>
    </w:p>
    <w:p w14:paraId="2F1A705A" w14:textId="77777777" w:rsidR="000566B1" w:rsidRPr="00142305" w:rsidRDefault="000566B1" w:rsidP="000566B1">
      <w:pPr>
        <w:spacing w:after="0" w:line="240" w:lineRule="auto"/>
        <w:jc w:val="both"/>
        <w:rPr>
          <w:rFonts w:ascii="Times New Roman" w:hAnsi="Times New Roman"/>
          <w:color w:val="0070C0"/>
          <w:sz w:val="16"/>
          <w:szCs w:val="16"/>
        </w:rPr>
      </w:pPr>
    </w:p>
    <w:p w14:paraId="69359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апреля 1932 года постановление комиссии КО</w:t>
      </w:r>
    </w:p>
    <w:p w14:paraId="47E91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 использовании Сибкомбайна для производства и ремонта самолетов и моторов</w:t>
      </w:r>
    </w:p>
    <w:p w14:paraId="537F0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Комиссия обороны постановляет:</w:t>
      </w:r>
    </w:p>
    <w:p w14:paraId="4B39071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Считать нецелесообразным передачу Сибкомбайна в настоящее время под самолетостроительный завод.</w:t>
      </w:r>
    </w:p>
    <w:p w14:paraId="65D1CD2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использования Сибкомбайна в случае необходимости во время войны для производства и ремонта самолетов и авиамоторов – предложить НКТП в текущем году оборудовать непосредственно возле завода аэродром с площадкой не менее 1,5 км на 2,5 км (7429, 75).</w:t>
      </w:r>
    </w:p>
    <w:p w14:paraId="3CB83C2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B38D321" w14:textId="77777777" w:rsidR="00197463" w:rsidRPr="00E93F40" w:rsidRDefault="0019746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28 апреля 1932 КО рассматривал вопрос Об использовании Сибкомбайна для производства самолетов и моторов (от 28.4.1932 г.); (№ 772/ко от 29.4.1932 г.) (21563).</w:t>
      </w:r>
    </w:p>
    <w:p w14:paraId="6E085C32" w14:textId="77777777" w:rsidR="00197463" w:rsidRPr="00E93F40" w:rsidRDefault="00197463" w:rsidP="00E93F40">
      <w:pPr>
        <w:spacing w:after="0" w:line="240" w:lineRule="auto"/>
        <w:jc w:val="both"/>
        <w:rPr>
          <w:rFonts w:ascii="Times New Roman" w:hAnsi="Times New Roman"/>
          <w:color w:val="000000" w:themeColor="text1"/>
          <w:sz w:val="16"/>
          <w:szCs w:val="16"/>
        </w:rPr>
      </w:pPr>
    </w:p>
    <w:p w14:paraId="4C8B4418" w14:textId="77777777" w:rsidR="00197463" w:rsidRPr="00E93F40" w:rsidRDefault="0019746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апреля 1932 «СССР В-1» вылетел из Ленинграда в Москву, придерживаясь линии Октябрьской же</w:t>
      </w:r>
      <w:r w:rsidRPr="00E93F40">
        <w:rPr>
          <w:rFonts w:ascii="Times New Roman" w:hAnsi="Times New Roman"/>
          <w:color w:val="000000" w:themeColor="text1"/>
          <w:sz w:val="16"/>
          <w:szCs w:val="16"/>
        </w:rPr>
        <w:softHyphen/>
        <w:t>лезной дороги. Пройдя в 19.50 Тосно, дирижабль попал в туман, и восемь часов шёл по компасу. На следующий день с 4.00 моросящий дождь пере</w:t>
      </w:r>
      <w:r w:rsidRPr="00E93F40">
        <w:rPr>
          <w:rFonts w:ascii="Times New Roman" w:hAnsi="Times New Roman"/>
          <w:color w:val="000000" w:themeColor="text1"/>
          <w:sz w:val="16"/>
          <w:szCs w:val="16"/>
        </w:rPr>
        <w:softHyphen/>
        <w:t>шёл в сильный ливень, вода залила магнето ле</w:t>
      </w:r>
      <w:r w:rsidRPr="00E93F40">
        <w:rPr>
          <w:rFonts w:ascii="Times New Roman" w:hAnsi="Times New Roman"/>
          <w:color w:val="000000" w:themeColor="text1"/>
          <w:sz w:val="16"/>
          <w:szCs w:val="16"/>
        </w:rPr>
        <w:softHyphen/>
        <w:t>вого мотора (правый мотор отключили раньше из-за сомнений в правильной подаче масла), он остановился, и дирижабль перешёл в свободный полёт. Для компенсации перетяжеления от до</w:t>
      </w:r>
      <w:r w:rsidRPr="00E93F40">
        <w:rPr>
          <w:rFonts w:ascii="Times New Roman" w:hAnsi="Times New Roman"/>
          <w:color w:val="000000" w:themeColor="text1"/>
          <w:sz w:val="16"/>
          <w:szCs w:val="16"/>
        </w:rPr>
        <w:softHyphen/>
        <w:t>ждя сдали 100 кг балласта. Один мотор удалось запустить, но из-за дождя тот работал с перебо</w:t>
      </w:r>
      <w:r w:rsidRPr="00E93F40">
        <w:rPr>
          <w:rFonts w:ascii="Times New Roman" w:hAnsi="Times New Roman"/>
          <w:color w:val="000000" w:themeColor="text1"/>
          <w:sz w:val="16"/>
          <w:szCs w:val="16"/>
        </w:rPr>
        <w:softHyphen/>
        <w:t>ями. К 8.00 туман рассеялся, а в 9.00 «СССР В-1» с помощью колхозников приземлился в районе Торжка. 30 апреля ко второй половине дня пого</w:t>
      </w:r>
      <w:r w:rsidRPr="00E93F40">
        <w:rPr>
          <w:rFonts w:ascii="Times New Roman" w:hAnsi="Times New Roman"/>
          <w:color w:val="000000" w:themeColor="text1"/>
          <w:sz w:val="16"/>
          <w:szCs w:val="16"/>
        </w:rPr>
        <w:softHyphen/>
        <w:t>да прояснилась, работу моторов наладили, ди</w:t>
      </w:r>
      <w:r w:rsidRPr="00E93F40">
        <w:rPr>
          <w:rFonts w:ascii="Times New Roman" w:hAnsi="Times New Roman"/>
          <w:color w:val="000000" w:themeColor="text1"/>
          <w:sz w:val="16"/>
          <w:szCs w:val="16"/>
        </w:rPr>
        <w:softHyphen/>
        <w:t>рижабль вылетел с горючим на 10 часов полёта в Тверь, где его встретил В.А. Устинович, органи</w:t>
      </w:r>
      <w:r w:rsidRPr="00E93F40">
        <w:rPr>
          <w:rFonts w:ascii="Times New Roman" w:hAnsi="Times New Roman"/>
          <w:color w:val="000000" w:themeColor="text1"/>
          <w:sz w:val="16"/>
          <w:szCs w:val="16"/>
        </w:rPr>
        <w:softHyphen/>
        <w:t>зовавший посадочную команду «Осоавиахима». Вылет в столицу не разрешили, так как проходил звёздный слёт самолётов к Москве. 1 мая члены экипажа приняли участие в праздничной демон</w:t>
      </w:r>
      <w:r w:rsidRPr="00E93F40">
        <w:rPr>
          <w:rFonts w:ascii="Times New Roman" w:hAnsi="Times New Roman"/>
          <w:color w:val="000000" w:themeColor="text1"/>
          <w:sz w:val="16"/>
          <w:szCs w:val="16"/>
        </w:rPr>
        <w:softHyphen/>
        <w:t>страции, и только около 15.00 дирижабль старто</w:t>
      </w:r>
      <w:r w:rsidRPr="00E93F40">
        <w:rPr>
          <w:rFonts w:ascii="Times New Roman" w:hAnsi="Times New Roman"/>
          <w:color w:val="000000" w:themeColor="text1"/>
          <w:sz w:val="16"/>
          <w:szCs w:val="16"/>
        </w:rPr>
        <w:softHyphen/>
        <w:t>вал в Москву. Около 20.00 он прибыл в эллинг на ст. Долгопрудная, закончив первый успешный перелёт дирижабля из Ленинграда в Москву (20120).</w:t>
      </w:r>
    </w:p>
    <w:p w14:paraId="15C02177" w14:textId="77777777" w:rsidR="00197463" w:rsidRPr="00E93F40" w:rsidRDefault="00197463" w:rsidP="00E93F40">
      <w:pPr>
        <w:spacing w:after="0" w:line="240" w:lineRule="auto"/>
        <w:jc w:val="both"/>
        <w:rPr>
          <w:rFonts w:ascii="Times New Roman" w:hAnsi="Times New Roman"/>
          <w:color w:val="000000" w:themeColor="text1"/>
          <w:sz w:val="16"/>
          <w:szCs w:val="16"/>
        </w:rPr>
      </w:pPr>
    </w:p>
    <w:p w14:paraId="02E8FFC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FA9846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ADF0D1" w14:textId="3AEF0141" w:rsidR="00A84F43" w:rsidRPr="00E93F40" w:rsidRDefault="00A84F4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Американский пилот Лу Райхерс на одномоторном самолете Lockheed Altair Special NR998Y Golden Eagle с двигателем Pratt &amp; Whitney-Wasp мощностью 665 л.с.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установил рекорд скорости на маршруте Монреаль - Гавана. 1,786 миль за 9 часов (22521).</w:t>
      </w:r>
    </w:p>
    <w:p w14:paraId="38FC6E6C" w14:textId="77777777" w:rsidR="00A84F43" w:rsidRPr="00E93F40" w:rsidRDefault="00A84F43" w:rsidP="00E93F40">
      <w:pPr>
        <w:spacing w:after="0" w:line="240" w:lineRule="auto"/>
        <w:jc w:val="both"/>
        <w:rPr>
          <w:rFonts w:ascii="Times New Roman" w:hAnsi="Times New Roman"/>
          <w:color w:val="000000" w:themeColor="text1"/>
          <w:sz w:val="16"/>
          <w:szCs w:val="16"/>
        </w:rPr>
      </w:pPr>
    </w:p>
    <w:p w14:paraId="65496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апреля 1932 было объявлено изобретение вакцины против Желтой лихорадки (2100).</w:t>
      </w:r>
    </w:p>
    <w:p w14:paraId="4B1DF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B98FB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4CBBB4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69E620"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29 апреля 1932 г. АНТ-6 испыты</w:t>
      </w:r>
      <w:r w:rsidRPr="00142305">
        <w:rPr>
          <w:rFonts w:ascii="Times New Roman" w:hAnsi="Times New Roman"/>
          <w:color w:val="0070C0"/>
          <w:sz w:val="16"/>
          <w:szCs w:val="16"/>
        </w:rPr>
        <w:softHyphen/>
        <w:t>вался в НИИ ВВС. Уже 1 мая ее гордо продемонстриро</w:t>
      </w:r>
      <w:r w:rsidRPr="00142305">
        <w:rPr>
          <w:rFonts w:ascii="Times New Roman" w:hAnsi="Times New Roman"/>
          <w:color w:val="0070C0"/>
          <w:sz w:val="16"/>
          <w:szCs w:val="16"/>
        </w:rPr>
        <w:softHyphen/>
        <w:t>вали в воздухе над Красной площадью, а 22 мая состоялся официальный показ бомбардировщика членам правительс</w:t>
      </w:r>
      <w:r w:rsidRPr="00142305">
        <w:rPr>
          <w:rFonts w:ascii="Times New Roman" w:hAnsi="Times New Roman"/>
          <w:color w:val="0070C0"/>
          <w:sz w:val="16"/>
          <w:szCs w:val="16"/>
        </w:rPr>
        <w:softHyphen/>
        <w:t>тва на Центральном аэродроме. Сам товарищ Сталин в ком</w:t>
      </w:r>
      <w:r w:rsidRPr="00142305">
        <w:rPr>
          <w:rFonts w:ascii="Times New Roman" w:hAnsi="Times New Roman"/>
          <w:color w:val="0070C0"/>
          <w:sz w:val="16"/>
          <w:szCs w:val="16"/>
        </w:rPr>
        <w:softHyphen/>
        <w:t>пании с Ворошиловым и Орджоникидзе полазил по маши</w:t>
      </w:r>
      <w:r w:rsidRPr="00142305">
        <w:rPr>
          <w:rFonts w:ascii="Times New Roman" w:hAnsi="Times New Roman"/>
          <w:color w:val="0070C0"/>
          <w:sz w:val="16"/>
          <w:szCs w:val="16"/>
        </w:rPr>
        <w:softHyphen/>
        <w:t>не и покрутил пулеметы на турелях. Затем высокие гости поглядели на короткий полет. За последний пилотов Коз</w:t>
      </w:r>
      <w:r w:rsidRPr="00142305">
        <w:rPr>
          <w:rFonts w:ascii="Times New Roman" w:hAnsi="Times New Roman"/>
          <w:color w:val="0070C0"/>
          <w:sz w:val="16"/>
          <w:szCs w:val="16"/>
        </w:rPr>
        <w:softHyphen/>
        <w:t>лова и Залевского начальник НИИ наградил «заграничны</w:t>
      </w:r>
      <w:r w:rsidRPr="00142305">
        <w:rPr>
          <w:rFonts w:ascii="Times New Roman" w:hAnsi="Times New Roman"/>
          <w:color w:val="0070C0"/>
          <w:sz w:val="16"/>
          <w:szCs w:val="16"/>
        </w:rPr>
        <w:softHyphen/>
        <w:t>ми часами «Мозер» с секундомером» - очевидно, самолет произвел должное впечатление.</w:t>
      </w:r>
    </w:p>
    <w:p w14:paraId="65AE3CAE"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Затем машину еще раз подвергли испытаниям, на этот раз с </w:t>
      </w:r>
      <w:r w:rsidRPr="00142305">
        <w:rPr>
          <w:rFonts w:ascii="Times New Roman" w:hAnsi="Times New Roman"/>
          <w:smallCaps/>
          <w:color w:val="0070C0"/>
          <w:sz w:val="16"/>
          <w:szCs w:val="16"/>
        </w:rPr>
        <w:t>полным</w:t>
      </w:r>
      <w:r w:rsidRPr="00142305">
        <w:rPr>
          <w:rFonts w:ascii="Times New Roman" w:hAnsi="Times New Roman"/>
          <w:color w:val="0070C0"/>
          <w:sz w:val="16"/>
          <w:szCs w:val="16"/>
        </w:rPr>
        <w:t xml:space="preserve"> комплектом оборудования и вооружения, как эталон для серийной постройки. Испытания заверши</w:t>
      </w:r>
      <w:r w:rsidRPr="00142305">
        <w:rPr>
          <w:rFonts w:ascii="Times New Roman" w:hAnsi="Times New Roman"/>
          <w:color w:val="0070C0"/>
          <w:sz w:val="16"/>
          <w:szCs w:val="16"/>
        </w:rPr>
        <w:softHyphen/>
        <w:t>лись 22 февраля 1934 г. Самолет еще раз одобрили. Что ни говори, при всех недостатках он, тем не менее, превосходил все, что могли тогда выставить потенциальные противники, и ВВС (24977).</w:t>
      </w:r>
    </w:p>
    <w:p w14:paraId="685ABDFE" w14:textId="77777777" w:rsidR="000566B1" w:rsidRPr="00142305" w:rsidRDefault="000566B1" w:rsidP="000566B1">
      <w:pPr>
        <w:spacing w:after="0" w:line="240" w:lineRule="auto"/>
        <w:jc w:val="both"/>
        <w:rPr>
          <w:rFonts w:ascii="Times New Roman" w:hAnsi="Times New Roman"/>
          <w:color w:val="0070C0"/>
          <w:sz w:val="16"/>
          <w:szCs w:val="16"/>
        </w:rPr>
      </w:pPr>
    </w:p>
    <w:p w14:paraId="16DB3036"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29 апреля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460/153сс о расходах по формированию и содержанию Особого колхозного корпуса (ГА РФ. Ф. Р?8418. Оп. 28. Д. 1а. Л. 217) (12415).</w:t>
      </w:r>
    </w:p>
    <w:p w14:paraId="71D556AA"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Комиссии обороны № 772/КО об использовании «Сибкомбайна» для производства и ремонта самолетов и моторов (ГА РФ. Ф. Р?8418. Оп. 28. Д. 25а. Л. 12) (12415).</w:t>
      </w:r>
    </w:p>
    <w:p w14:paraId="206AA9CD"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p>
    <w:p w14:paraId="740BF300"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апреля 1932 опросом членов ПБ</w:t>
      </w:r>
    </w:p>
    <w:p w14:paraId="09763765"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35/12.-О Японии.</w:t>
      </w:r>
    </w:p>
    <w:p w14:paraId="1737E2DA"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разрешить японскому самолету газеты "Хоци" перелет по маршруту: Токио-Ном через мыс лопатка, На варин и остров Лаврентия.</w:t>
      </w:r>
    </w:p>
    <w:p w14:paraId="560691C5"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Разрешить спуск в Петропавловске на Камчатке летчику Косихара при перелете по маршруту Япония- Петропавловск-Япопия.</w:t>
      </w:r>
    </w:p>
    <w:p w14:paraId="551324D5"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тов. Карахану</w:t>
      </w:r>
    </w:p>
    <w:p w14:paraId="5A78D94B"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состоялось заседание ПБ (Протокол № 98) (23043).</w:t>
      </w:r>
    </w:p>
    <w:p w14:paraId="6934EAE2" w14:textId="77777777" w:rsidR="009D18B6" w:rsidRPr="00E93F40" w:rsidRDefault="009D18B6" w:rsidP="00E93F40">
      <w:pPr>
        <w:spacing w:after="0" w:line="240" w:lineRule="auto"/>
        <w:jc w:val="both"/>
        <w:rPr>
          <w:rFonts w:ascii="Times New Roman" w:hAnsi="Times New Roman"/>
          <w:color w:val="000000" w:themeColor="text1"/>
          <w:sz w:val="16"/>
          <w:szCs w:val="16"/>
        </w:rPr>
      </w:pPr>
    </w:p>
    <w:p w14:paraId="3700E2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апреля 1932 года дирижабль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(10731).</w:t>
      </w:r>
    </w:p>
    <w:p w14:paraId="38032D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F2A0DC" w14:textId="77777777" w:rsidR="00A20FF6" w:rsidRPr="00E93F40" w:rsidRDefault="00A20FF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bCs/>
          <w:color w:val="000000" w:themeColor="text1"/>
          <w:sz w:val="16"/>
          <w:szCs w:val="16"/>
        </w:rPr>
        <w:t>29 – 30 апреля 1932 г.</w:t>
      </w:r>
      <w:r w:rsidRPr="00E93F40">
        <w:rPr>
          <w:rFonts w:ascii="Times New Roman" w:hAnsi="Times New Roman"/>
          <w:color w:val="000000" w:themeColor="text1"/>
          <w:sz w:val="16"/>
          <w:szCs w:val="16"/>
        </w:rPr>
        <w:t xml:space="preserve"> выполнен перелет на дирижабле ВК-1: Москва—Ленинград (17256).</w:t>
      </w:r>
    </w:p>
    <w:p w14:paraId="33121833" w14:textId="77777777" w:rsidR="00A20FF6" w:rsidRPr="00E93F40" w:rsidRDefault="00A20FF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37352B" w14:textId="77777777" w:rsidR="003A267D" w:rsidRPr="00E93F40" w:rsidRDefault="003A267D"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8FF87E3" w14:textId="77777777" w:rsidR="003A267D" w:rsidRPr="00E93F40" w:rsidRDefault="003A267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E0D046D" w14:textId="77777777" w:rsidR="003A267D" w:rsidRPr="00E93F40" w:rsidRDefault="003A26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апреля 1932. Начался выпуск продукции на заводе режущих инструментов "Фрезер" (18723).</w:t>
      </w:r>
    </w:p>
    <w:p w14:paraId="346FB831" w14:textId="77777777" w:rsidR="003A267D" w:rsidRPr="00E93F40" w:rsidRDefault="003A267D" w:rsidP="00E93F40">
      <w:pPr>
        <w:spacing w:after="0" w:line="240" w:lineRule="auto"/>
        <w:jc w:val="both"/>
        <w:rPr>
          <w:rFonts w:ascii="Times New Roman" w:hAnsi="Times New Roman"/>
          <w:color w:val="000000" w:themeColor="text1"/>
          <w:sz w:val="16"/>
          <w:szCs w:val="16"/>
        </w:rPr>
      </w:pPr>
    </w:p>
    <w:p w14:paraId="3CFA0D8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FE6238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EDB4F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апреля 1932 в СССР созданы бригады содействия милиции (Бригадмил) (4962).</w:t>
      </w:r>
    </w:p>
    <w:p w14:paraId="2C43D65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82E8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апреля 1932 г. Издано постановление СНК РСФСР "</w:t>
      </w:r>
      <w:r w:rsidR="00FD63D9" w:rsidRPr="00E93F40">
        <w:rPr>
          <w:rFonts w:ascii="Times New Roman" w:hAnsi="Times New Roman"/>
          <w:color w:val="000000" w:themeColor="text1"/>
          <w:sz w:val="16"/>
          <w:szCs w:val="16"/>
        </w:rPr>
        <w:t>О</w:t>
      </w:r>
      <w:r w:rsidRPr="00E93F40">
        <w:rPr>
          <w:rFonts w:ascii="Times New Roman" w:hAnsi="Times New Roman"/>
          <w:color w:val="000000" w:themeColor="text1"/>
          <w:sz w:val="16"/>
          <w:szCs w:val="16"/>
        </w:rPr>
        <w:t xml:space="preserve"> реорганизации обществ содействия органам милиции и уголовного розыска в бригады содействия милиции" (БРИГАДМИЛ). Особенностью организации этих бригад являлось то, что они создавались и состояли непосредственно при соответствующих управлениях милиции, а не при исполкомах Советов (10303).</w:t>
      </w:r>
    </w:p>
    <w:p w14:paraId="5628E8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7E414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апреля 1932 Совнарком СССР принял постановление о строительстве железнодорожной магистрали Донбасс-Москва (4962).</w:t>
      </w:r>
    </w:p>
    <w:p w14:paraId="589BB3D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4FE20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B9FF27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25F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апреля 1932 у всех 10 первых серийных ТБ-3 (АНТ-6), предполагаемых к параду, потекли радиаторы. Многие считали, что надо отказаться от участия в параде. В машины поставили по 50 бидонов с водой и посадили по 4 техника с ручной помпой, которые подкачивали воду в радиаторы, давшие течь. На семи потребовалась небольшая подкачка, на двух - средняя, на одном - сильная и эти три не долетели бы без этого (262,29).</w:t>
      </w:r>
    </w:p>
    <w:p w14:paraId="26C4A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830C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апреля 1932 проводились испытания МБР-2 на гидробазе Морских Сил ЧМ - было много начальства. Прилипла тележка и полет состоялся только 3 мая (79,204).</w:t>
      </w:r>
    </w:p>
    <w:p w14:paraId="7B893D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19B6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30 апреля 1932 г. планировался первый полёт нового морского разведчика МБР-2 и должен был стать, как было тогда принято, "очередным подарком к празднику Международной солидарности трудящихся". По этому случаю на гидробазе собралось много гостей. Экипаж торжественно поднялся в самолёт, стоявший на </w:t>
      </w:r>
      <w:r w:rsidRPr="00E93F40">
        <w:rPr>
          <w:rFonts w:ascii="Times New Roman" w:hAnsi="Times New Roman"/>
          <w:color w:val="000000" w:themeColor="text1"/>
          <w:sz w:val="16"/>
          <w:szCs w:val="16"/>
        </w:rPr>
        <w:lastRenderedPageBreak/>
        <w:t>перекатной тележке у гидроспуска. Подошёл катер и подал на летающую лодку буксирные концы. Бериев лично дал команду: "Машину на воду!". МБР-2 - на воде, и тут происходит непредвиденное: гидросамолёт "не захотел" расставаться с перекатной тележкой. Машину вытащили из воды, чтобы разобраться в причинах случившегося. Оказалось, что обитое войлоком ложе перекатной тележки не было предварительно промазано тавотом, и под тяжестью машины оно намертво приклеилось к днищу лодки, покрытому "кузбасслаком" (12003).</w:t>
      </w:r>
    </w:p>
    <w:p w14:paraId="0478E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C38E3C" w14:textId="77777777" w:rsidR="000566B1" w:rsidRPr="00142305" w:rsidRDefault="000566B1" w:rsidP="000566B1">
      <w:pPr>
        <w:spacing w:after="0" w:line="240" w:lineRule="auto"/>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На 30 апреля 1932 г. планировался первый полет но</w:t>
      </w:r>
      <w:r w:rsidRPr="00142305">
        <w:rPr>
          <w:rStyle w:val="aff"/>
          <w:rFonts w:ascii="Times New Roman" w:eastAsiaTheme="minorHAnsi" w:hAnsi="Times New Roman" w:cs="Times New Roman"/>
          <w:color w:val="0070C0"/>
          <w:spacing w:val="0"/>
          <w:sz w:val="16"/>
          <w:szCs w:val="16"/>
        </w:rPr>
        <w:softHyphen/>
        <w:t>вого морского раз</w:t>
      </w:r>
      <w:r w:rsidRPr="00142305">
        <w:rPr>
          <w:rStyle w:val="aff"/>
          <w:rFonts w:ascii="Times New Roman" w:eastAsiaTheme="minorHAnsi" w:hAnsi="Times New Roman" w:cs="Times New Roman"/>
          <w:color w:val="0070C0"/>
          <w:spacing w:val="0"/>
          <w:sz w:val="16"/>
          <w:szCs w:val="16"/>
        </w:rPr>
        <w:softHyphen/>
        <w:t>ведчика ЦКБ-25 и должен был стать, как было принято, «очередным подар</w:t>
      </w:r>
      <w:r w:rsidRPr="00142305">
        <w:rPr>
          <w:rStyle w:val="aff"/>
          <w:rFonts w:ascii="Times New Roman" w:eastAsiaTheme="minorHAnsi" w:hAnsi="Times New Roman" w:cs="Times New Roman"/>
          <w:color w:val="0070C0"/>
          <w:spacing w:val="0"/>
          <w:sz w:val="16"/>
          <w:szCs w:val="16"/>
        </w:rPr>
        <w:softHyphen/>
        <w:t>ком к празднику Международной со</w:t>
      </w:r>
      <w:r w:rsidRPr="00142305">
        <w:rPr>
          <w:rStyle w:val="aff"/>
          <w:rFonts w:ascii="Times New Roman" w:eastAsiaTheme="minorHAnsi" w:hAnsi="Times New Roman" w:cs="Times New Roman"/>
          <w:color w:val="0070C0"/>
          <w:spacing w:val="0"/>
          <w:sz w:val="16"/>
          <w:szCs w:val="16"/>
        </w:rPr>
        <w:softHyphen/>
        <w:t>лидарности трудя</w:t>
      </w:r>
      <w:r w:rsidRPr="00142305">
        <w:rPr>
          <w:rStyle w:val="aff"/>
          <w:rFonts w:ascii="Times New Roman" w:eastAsiaTheme="minorHAnsi" w:hAnsi="Times New Roman" w:cs="Times New Roman"/>
          <w:color w:val="0070C0"/>
          <w:spacing w:val="0"/>
          <w:sz w:val="16"/>
          <w:szCs w:val="16"/>
        </w:rPr>
        <w:softHyphen/>
        <w:t>щихся». По этому случаю на гидробазе 45-го завода собра</w:t>
      </w:r>
      <w:r w:rsidRPr="00142305">
        <w:rPr>
          <w:rStyle w:val="aff"/>
          <w:rFonts w:ascii="Times New Roman" w:eastAsiaTheme="minorHAnsi" w:hAnsi="Times New Roman" w:cs="Times New Roman"/>
          <w:color w:val="0070C0"/>
          <w:spacing w:val="0"/>
          <w:sz w:val="16"/>
          <w:szCs w:val="16"/>
        </w:rPr>
        <w:softHyphen/>
        <w:t>лось много гостей. Экипаж торжествен</w:t>
      </w:r>
      <w:r w:rsidRPr="00142305">
        <w:rPr>
          <w:rStyle w:val="aff"/>
          <w:rFonts w:ascii="Times New Roman" w:eastAsiaTheme="minorHAnsi" w:hAnsi="Times New Roman" w:cs="Times New Roman"/>
          <w:color w:val="0070C0"/>
          <w:spacing w:val="0"/>
          <w:sz w:val="16"/>
          <w:szCs w:val="16"/>
        </w:rPr>
        <w:softHyphen/>
        <w:t>но поднялся в самолет, стоявший на перекатной те</w:t>
      </w:r>
      <w:r w:rsidRPr="00142305">
        <w:rPr>
          <w:rStyle w:val="aff"/>
          <w:rFonts w:ascii="Times New Roman" w:eastAsiaTheme="minorHAnsi" w:hAnsi="Times New Roman" w:cs="Times New Roman"/>
          <w:color w:val="0070C0"/>
          <w:spacing w:val="0"/>
          <w:sz w:val="16"/>
          <w:szCs w:val="16"/>
        </w:rPr>
        <w:softHyphen/>
        <w:t>лежке у гидроспуска.</w:t>
      </w:r>
    </w:p>
    <w:p w14:paraId="79346F0F"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Подошел ка</w:t>
      </w:r>
      <w:r w:rsidRPr="00142305">
        <w:rPr>
          <w:rStyle w:val="aff"/>
          <w:rFonts w:ascii="Times New Roman" w:eastAsiaTheme="minorHAnsi" w:hAnsi="Times New Roman" w:cs="Times New Roman"/>
          <w:color w:val="0070C0"/>
          <w:spacing w:val="0"/>
          <w:sz w:val="16"/>
          <w:szCs w:val="16"/>
        </w:rPr>
        <w:softHyphen/>
        <w:t>тер и подал на летающую лодку буксирные концы. Г.М. Бериев лич</w:t>
      </w:r>
      <w:r w:rsidRPr="00142305">
        <w:rPr>
          <w:rStyle w:val="aff"/>
          <w:rFonts w:ascii="Times New Roman" w:eastAsiaTheme="minorHAnsi" w:hAnsi="Times New Roman" w:cs="Times New Roman"/>
          <w:color w:val="0070C0"/>
          <w:spacing w:val="0"/>
          <w:sz w:val="16"/>
          <w:szCs w:val="16"/>
        </w:rPr>
        <w:softHyphen/>
        <w:t>но дал команду: «Машину на воду!». МБР-2 - на воде, и тут происходит непредвиденное: гидросамолет не захотел расставаться со своей пе</w:t>
      </w:r>
      <w:r w:rsidRPr="00142305">
        <w:rPr>
          <w:rStyle w:val="aff"/>
          <w:rFonts w:ascii="Times New Roman" w:eastAsiaTheme="minorHAnsi" w:hAnsi="Times New Roman" w:cs="Times New Roman"/>
          <w:color w:val="0070C0"/>
          <w:spacing w:val="0"/>
          <w:sz w:val="16"/>
          <w:szCs w:val="16"/>
        </w:rPr>
        <w:softHyphen/>
        <w:t>рекатной тележкой. Расстроенный неудачей Б.Л. Бухгольц, высунув</w:t>
      </w:r>
      <w:r w:rsidRPr="00142305">
        <w:rPr>
          <w:rStyle w:val="aff"/>
          <w:rFonts w:ascii="Times New Roman" w:eastAsiaTheme="minorHAnsi" w:hAnsi="Times New Roman" w:cs="Times New Roman"/>
          <w:color w:val="0070C0"/>
          <w:spacing w:val="0"/>
          <w:sz w:val="16"/>
          <w:szCs w:val="16"/>
        </w:rPr>
        <w:softHyphen/>
        <w:t>шись из кабины, своим громовым голосом стал подавать команды старшине катера, чтобы тот рыв</w:t>
      </w:r>
      <w:r w:rsidRPr="00142305">
        <w:rPr>
          <w:rStyle w:val="aff"/>
          <w:rFonts w:ascii="Times New Roman" w:eastAsiaTheme="minorHAnsi" w:hAnsi="Times New Roman" w:cs="Times New Roman"/>
          <w:color w:val="0070C0"/>
          <w:spacing w:val="0"/>
          <w:sz w:val="16"/>
          <w:szCs w:val="16"/>
        </w:rPr>
        <w:softHyphen/>
        <w:t>ками оторвал гидросамолет от те</w:t>
      </w:r>
      <w:r w:rsidRPr="00142305">
        <w:rPr>
          <w:rStyle w:val="aff"/>
          <w:rFonts w:ascii="Times New Roman" w:eastAsiaTheme="minorHAnsi" w:hAnsi="Times New Roman" w:cs="Times New Roman"/>
          <w:color w:val="0070C0"/>
          <w:spacing w:val="0"/>
          <w:sz w:val="16"/>
          <w:szCs w:val="16"/>
        </w:rPr>
        <w:softHyphen/>
        <w:t>лежки. Но все усилия оказались тщетными - тележка словно при</w:t>
      </w:r>
      <w:r w:rsidRPr="00142305">
        <w:rPr>
          <w:rStyle w:val="aff"/>
          <w:rFonts w:ascii="Times New Roman" w:eastAsiaTheme="minorHAnsi" w:hAnsi="Times New Roman" w:cs="Times New Roman"/>
          <w:color w:val="0070C0"/>
          <w:spacing w:val="0"/>
          <w:sz w:val="16"/>
          <w:szCs w:val="16"/>
        </w:rPr>
        <w:softHyphen/>
        <w:t>росла к самолету. Стало ясно, что «дебют» МБР-2 сорвался, и разоча</w:t>
      </w:r>
      <w:r w:rsidRPr="00142305">
        <w:rPr>
          <w:rStyle w:val="aff"/>
          <w:rFonts w:ascii="Times New Roman" w:eastAsiaTheme="minorHAnsi" w:hAnsi="Times New Roman" w:cs="Times New Roman"/>
          <w:color w:val="0070C0"/>
          <w:spacing w:val="0"/>
          <w:sz w:val="16"/>
          <w:szCs w:val="16"/>
        </w:rPr>
        <w:softHyphen/>
        <w:t>рованные гости, посмеиваясь над испытателями, стали расходиться с гидробазы.</w:t>
      </w:r>
    </w:p>
    <w:p w14:paraId="6B958C6E" w14:textId="77777777" w:rsidR="000566B1" w:rsidRPr="00142305" w:rsidRDefault="000566B1" w:rsidP="000566B1">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Машину вытаскивают из воды на гидроспуск, чтобы разобраться в причинах случившегося. Оказа</w:t>
      </w:r>
      <w:r w:rsidRPr="00142305">
        <w:rPr>
          <w:rStyle w:val="aff"/>
          <w:rFonts w:ascii="Times New Roman" w:eastAsiaTheme="minorHAnsi" w:hAnsi="Times New Roman" w:cs="Times New Roman"/>
          <w:color w:val="0070C0"/>
          <w:spacing w:val="0"/>
          <w:sz w:val="16"/>
          <w:szCs w:val="16"/>
        </w:rPr>
        <w:softHyphen/>
        <w:t>лось, что обитое войлоком ложе пе</w:t>
      </w:r>
      <w:r w:rsidRPr="00142305">
        <w:rPr>
          <w:rStyle w:val="aff"/>
          <w:rFonts w:ascii="Times New Roman" w:eastAsiaTheme="minorHAnsi" w:hAnsi="Times New Roman" w:cs="Times New Roman"/>
          <w:color w:val="0070C0"/>
          <w:spacing w:val="0"/>
          <w:sz w:val="16"/>
          <w:szCs w:val="16"/>
        </w:rPr>
        <w:softHyphen/>
        <w:t>рекатной тележки не было предва</w:t>
      </w:r>
      <w:r w:rsidRPr="00142305">
        <w:rPr>
          <w:rStyle w:val="aff"/>
          <w:rFonts w:ascii="Times New Roman" w:eastAsiaTheme="minorHAnsi" w:hAnsi="Times New Roman" w:cs="Times New Roman"/>
          <w:color w:val="0070C0"/>
          <w:spacing w:val="0"/>
          <w:sz w:val="16"/>
          <w:szCs w:val="16"/>
        </w:rPr>
        <w:softHyphen/>
        <w:t>рительно промазано тавотом, и под тяжестью гидросамолета она намертво приклеилась к днищу лодки, покрытому кузбаслаком (25061).</w:t>
      </w:r>
    </w:p>
    <w:p w14:paraId="63394D12" w14:textId="77777777" w:rsidR="000566B1" w:rsidRPr="00142305" w:rsidRDefault="000566B1" w:rsidP="000566B1">
      <w:pPr>
        <w:spacing w:after="0" w:line="240" w:lineRule="auto"/>
        <w:jc w:val="both"/>
        <w:rPr>
          <w:rFonts w:ascii="Times New Roman" w:hAnsi="Times New Roman"/>
          <w:color w:val="0070C0"/>
          <w:sz w:val="16"/>
          <w:szCs w:val="16"/>
        </w:rPr>
      </w:pPr>
    </w:p>
    <w:p w14:paraId="2CF3CDDD" w14:textId="13A18B15"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апреля 1932 рано утром, когда празд</w:t>
      </w:r>
      <w:r w:rsidRPr="00E93F40">
        <w:rPr>
          <w:rFonts w:ascii="Times New Roman" w:hAnsi="Times New Roman"/>
          <w:color w:val="000000" w:themeColor="text1"/>
          <w:sz w:val="16"/>
          <w:szCs w:val="16"/>
        </w:rPr>
        <w:softHyphen/>
        <w:t>ничная колонна заводских работником уже стала покидать территорию завода, раз</w:t>
      </w:r>
      <w:r w:rsidRPr="00E93F40">
        <w:rPr>
          <w:rFonts w:ascii="Times New Roman" w:hAnsi="Times New Roman"/>
          <w:color w:val="000000" w:themeColor="text1"/>
          <w:sz w:val="16"/>
          <w:szCs w:val="16"/>
        </w:rPr>
        <w:softHyphen/>
        <w:t>дался рев авиамотора — так заявил о своем рождении но</w:t>
      </w:r>
      <w:r w:rsidRPr="00E93F40">
        <w:rPr>
          <w:rFonts w:ascii="Times New Roman" w:hAnsi="Times New Roman"/>
          <w:color w:val="000000" w:themeColor="text1"/>
          <w:sz w:val="16"/>
          <w:szCs w:val="16"/>
        </w:rPr>
        <w:softHyphen/>
        <w:t>вый двигатель - М-34 серийный (10781).</w:t>
      </w:r>
    </w:p>
    <w:p w14:paraId="202D68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161D9" w14:textId="77777777" w:rsidR="00E319B6" w:rsidRPr="00E93F40" w:rsidRDefault="00E319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апреля 1932 г. приказом начальника ГУ № 89 введено положение /с 1-го мая/ о реестре гражданских воздушных судов СССР. Регистрации подлежали все самолеты и аэростаты, поступившие на эксплуатацию во все гражданские ведомства. Зарегистрированному в ГУ ГВФ воздушному судну присваивалось соответствующее обозначение из букв и цифр (23370).</w:t>
      </w:r>
    </w:p>
    <w:p w14:paraId="2DF384AB" w14:textId="77777777" w:rsidR="00E319B6" w:rsidRPr="00E93F40" w:rsidRDefault="00E319B6" w:rsidP="00E93F40">
      <w:pPr>
        <w:spacing w:after="0" w:line="240" w:lineRule="auto"/>
        <w:jc w:val="both"/>
        <w:rPr>
          <w:rFonts w:ascii="Times New Roman" w:hAnsi="Times New Roman"/>
          <w:color w:val="000000" w:themeColor="text1"/>
          <w:sz w:val="16"/>
          <w:szCs w:val="16"/>
        </w:rPr>
      </w:pPr>
    </w:p>
    <w:p w14:paraId="0917B8C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E18AB3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6E5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апреля 1932 в Москве пущен завод Фрезер (3960, 168).</w:t>
      </w:r>
    </w:p>
    <w:p w14:paraId="7B935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83EA1B" w14:textId="77777777" w:rsidR="00FD63D9" w:rsidRPr="00E93F40" w:rsidRDefault="00FD63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апреля в 1932 году в Москве введен в эксплуатацию завод "Фрезер" - первенец советской инструментальной промышленности</w:t>
      </w:r>
    </w:p>
    <w:p w14:paraId="28B90339" w14:textId="77777777" w:rsidR="00FD63D9" w:rsidRPr="00E93F40" w:rsidRDefault="00FD63D9" w:rsidP="00E93F40">
      <w:pPr>
        <w:spacing w:after="0" w:line="240" w:lineRule="auto"/>
        <w:jc w:val="both"/>
        <w:rPr>
          <w:rFonts w:ascii="Times New Roman" w:hAnsi="Times New Roman"/>
          <w:color w:val="000000" w:themeColor="text1"/>
          <w:sz w:val="16"/>
          <w:szCs w:val="16"/>
        </w:rPr>
      </w:pPr>
    </w:p>
    <w:p w14:paraId="5CBD6D62" w14:textId="77777777" w:rsidR="00FD63D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A1A33F9" w14:textId="77777777" w:rsidR="00FD63D9" w:rsidRPr="00E93F40" w:rsidRDefault="00FD63D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A48BC77" w14:textId="77777777" w:rsidR="00FD63D9" w:rsidRPr="00E93F40" w:rsidRDefault="00FD63D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апреля в 1932 году принято решение ЦК ВКП(б) о формировании Морских Сил Дальнего Востока. Этим решением положено начало строительству Краснознаменного Тихоокеанского флота (15115).</w:t>
      </w:r>
    </w:p>
    <w:p w14:paraId="2372CF04" w14:textId="77777777" w:rsidR="00FD63D9" w:rsidRPr="00E93F40" w:rsidRDefault="00FD63D9" w:rsidP="00E93F40">
      <w:pPr>
        <w:spacing w:after="0" w:line="240" w:lineRule="auto"/>
        <w:jc w:val="both"/>
        <w:rPr>
          <w:rFonts w:ascii="Times New Roman" w:hAnsi="Times New Roman"/>
          <w:color w:val="000000" w:themeColor="text1"/>
          <w:sz w:val="16"/>
          <w:szCs w:val="16"/>
        </w:rPr>
      </w:pPr>
    </w:p>
    <w:p w14:paraId="067C7F42" w14:textId="77777777" w:rsidR="001E30C2"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12AC04B" w14:textId="77777777" w:rsidR="001E30C2" w:rsidRPr="00E93F40" w:rsidRDefault="001E30C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01FFBBA" w14:textId="77777777" w:rsidR="001E30C2" w:rsidRPr="00E93F40" w:rsidRDefault="001E30C2" w:rsidP="00E93F40">
      <w:pPr>
        <w:pStyle w:val="a3"/>
        <w:rPr>
          <w:color w:val="000000" w:themeColor="text1"/>
          <w:lang w:val="ru-RU"/>
        </w:rPr>
      </w:pPr>
      <w:r w:rsidRPr="00E93F40">
        <w:rPr>
          <w:color w:val="000000" w:themeColor="text1"/>
          <w:lang w:val="ru-RU"/>
        </w:rPr>
        <w:t>В конце апреля 1932 генерал Нобиле с группой итальянских специалистов прибывает в Москву, где после подписания контракта, зарегистрированного в Наркомтруде СССР, 2 мая приступает к исполнению своих обязанностей. Предлагаем неполный пере</w:t>
      </w:r>
      <w:r w:rsidRPr="00E93F40">
        <w:rPr>
          <w:color w:val="000000" w:themeColor="text1"/>
          <w:lang w:val="ru-RU"/>
        </w:rPr>
        <w:softHyphen/>
        <w:t>чень</w:t>
      </w:r>
      <w:r w:rsidRPr="00E93F40">
        <w:rPr>
          <w:rStyle w:val="83"/>
          <w:rFonts w:ascii="Times New Roman" w:eastAsia="Microsoft Sans Serif" w:hAnsi="Times New Roman" w:cs="Times New Roman"/>
          <w:i w:val="0"/>
          <w:color w:val="000000" w:themeColor="text1"/>
          <w:sz w:val="16"/>
          <w:szCs w:val="16"/>
          <w:lang w:val="ru-RU"/>
        </w:rPr>
        <w:t xml:space="preserve"> свиты</w:t>
      </w:r>
      <w:r w:rsidRPr="00E93F40">
        <w:rPr>
          <w:color w:val="000000" w:themeColor="text1"/>
          <w:lang w:val="ru-RU"/>
        </w:rPr>
        <w:t xml:space="preserve"> покорителя Северного полюса (с некоторыми примечаниями), который нам удалось восстановить:</w:t>
      </w:r>
    </w:p>
    <w:p w14:paraId="3608D96D" w14:textId="77777777" w:rsidR="001E30C2" w:rsidRPr="00E93F40" w:rsidRDefault="001E30C2" w:rsidP="00E93F40">
      <w:pPr>
        <w:pStyle w:val="a3"/>
        <w:widowControl/>
        <w:numPr>
          <w:ilvl w:val="0"/>
          <w:numId w:val="1"/>
        </w:numPr>
        <w:tabs>
          <w:tab w:val="left" w:pos="428"/>
        </w:tabs>
        <w:autoSpaceDE/>
        <w:autoSpaceDN/>
        <w:adjustRightInd/>
        <w:rPr>
          <w:color w:val="000000" w:themeColor="text1"/>
          <w:lang w:val="ru-RU"/>
        </w:rPr>
      </w:pPr>
      <w:r w:rsidRPr="00E93F40">
        <w:rPr>
          <w:color w:val="000000" w:themeColor="text1"/>
          <w:lang w:val="ru-RU"/>
        </w:rPr>
        <w:t>У. Нобиле - начальник КБ, женат. Месячный оклад 600$ и 1700 руб. (Справка: Курс $ США 1932 года соотносится к курсу 2014 г., как 17,5:1,0, т.е. был выше в 17,5 раз);</w:t>
      </w:r>
    </w:p>
    <w:p w14:paraId="0C89EFAF" w14:textId="77777777" w:rsidR="001E30C2" w:rsidRPr="00E93F40" w:rsidRDefault="001E30C2" w:rsidP="00E93F40">
      <w:pPr>
        <w:pStyle w:val="a3"/>
        <w:widowControl/>
        <w:numPr>
          <w:ilvl w:val="0"/>
          <w:numId w:val="1"/>
        </w:numPr>
        <w:tabs>
          <w:tab w:val="left" w:pos="390"/>
        </w:tabs>
        <w:autoSpaceDE/>
        <w:autoSpaceDN/>
        <w:adjustRightInd/>
        <w:rPr>
          <w:color w:val="000000" w:themeColor="text1"/>
        </w:rPr>
      </w:pPr>
      <w:r w:rsidRPr="00E93F40">
        <w:rPr>
          <w:color w:val="000000" w:themeColor="text1"/>
          <w:lang w:val="ru-RU"/>
        </w:rPr>
        <w:t xml:space="preserve">Ф. Трояни - зам. начальника КБ, женат, оформлен по договору. </w:t>
      </w:r>
      <w:r w:rsidRPr="00E93F40">
        <w:rPr>
          <w:color w:val="000000" w:themeColor="text1"/>
        </w:rPr>
        <w:t>Месячный оклад 300$ и 650 руб.;</w:t>
      </w:r>
    </w:p>
    <w:p w14:paraId="22BCD22F" w14:textId="77777777" w:rsidR="001E30C2" w:rsidRPr="00E93F40" w:rsidRDefault="001E30C2" w:rsidP="00E93F40">
      <w:pPr>
        <w:pStyle w:val="a3"/>
        <w:widowControl/>
        <w:numPr>
          <w:ilvl w:val="0"/>
          <w:numId w:val="1"/>
        </w:numPr>
        <w:tabs>
          <w:tab w:val="left" w:pos="423"/>
        </w:tabs>
        <w:autoSpaceDE/>
        <w:autoSpaceDN/>
        <w:adjustRightInd/>
        <w:rPr>
          <w:color w:val="000000" w:themeColor="text1"/>
        </w:rPr>
      </w:pPr>
      <w:r w:rsidRPr="00E93F40">
        <w:rPr>
          <w:color w:val="000000" w:themeColor="text1"/>
          <w:lang w:val="ru-RU"/>
        </w:rPr>
        <w:t xml:space="preserve">Р. Палья - старший мастер-токарь. </w:t>
      </w:r>
      <w:r w:rsidRPr="00E93F40">
        <w:rPr>
          <w:color w:val="000000" w:themeColor="text1"/>
        </w:rPr>
        <w:t>Месячный оклад 83$ и 450 руб.;</w:t>
      </w:r>
    </w:p>
    <w:p w14:paraId="40D82519" w14:textId="77777777" w:rsidR="001E30C2" w:rsidRPr="00E93F40" w:rsidRDefault="001E30C2" w:rsidP="00E93F40">
      <w:pPr>
        <w:pStyle w:val="a3"/>
        <w:widowControl/>
        <w:numPr>
          <w:ilvl w:val="0"/>
          <w:numId w:val="1"/>
        </w:numPr>
        <w:tabs>
          <w:tab w:val="left" w:pos="394"/>
        </w:tabs>
        <w:autoSpaceDE/>
        <w:autoSpaceDN/>
        <w:adjustRightInd/>
        <w:rPr>
          <w:color w:val="000000" w:themeColor="text1"/>
          <w:lang w:val="ru-RU"/>
        </w:rPr>
      </w:pPr>
      <w:r w:rsidRPr="00E93F40">
        <w:rPr>
          <w:color w:val="000000" w:themeColor="text1"/>
          <w:lang w:val="ru-RU"/>
        </w:rPr>
        <w:t>Д. Белли - механик. Месячный оклад 135$ и 550 руб.;</w:t>
      </w:r>
    </w:p>
    <w:p w14:paraId="3F14099F" w14:textId="77777777" w:rsidR="001E30C2" w:rsidRPr="00E93F40" w:rsidRDefault="001E30C2" w:rsidP="00E93F40">
      <w:pPr>
        <w:pStyle w:val="a3"/>
        <w:widowControl/>
        <w:numPr>
          <w:ilvl w:val="0"/>
          <w:numId w:val="1"/>
        </w:numPr>
        <w:tabs>
          <w:tab w:val="left" w:pos="442"/>
        </w:tabs>
        <w:autoSpaceDE/>
        <w:autoSpaceDN/>
        <w:adjustRightInd/>
        <w:rPr>
          <w:color w:val="000000" w:themeColor="text1"/>
        </w:rPr>
      </w:pPr>
      <w:r w:rsidRPr="00E93F40">
        <w:rPr>
          <w:color w:val="000000" w:themeColor="text1"/>
          <w:lang w:val="ru-RU"/>
        </w:rPr>
        <w:t xml:space="preserve">А. Каратти - механик-моторист, оформлен по договору. </w:t>
      </w:r>
      <w:r w:rsidRPr="00E93F40">
        <w:rPr>
          <w:color w:val="000000" w:themeColor="text1"/>
        </w:rPr>
        <w:t>Месячный оклад 20$ и 450 руб.;</w:t>
      </w:r>
    </w:p>
    <w:p w14:paraId="7EC1F4EC" w14:textId="77777777" w:rsidR="001E30C2" w:rsidRPr="00E93F40" w:rsidRDefault="001E30C2" w:rsidP="00E93F40">
      <w:pPr>
        <w:pStyle w:val="a3"/>
        <w:widowControl/>
        <w:numPr>
          <w:ilvl w:val="0"/>
          <w:numId w:val="1"/>
        </w:numPr>
        <w:tabs>
          <w:tab w:val="left" w:pos="385"/>
        </w:tabs>
        <w:autoSpaceDE/>
        <w:autoSpaceDN/>
        <w:adjustRightInd/>
        <w:rPr>
          <w:color w:val="000000" w:themeColor="text1"/>
          <w:lang w:val="ru-RU"/>
        </w:rPr>
      </w:pPr>
      <w:r w:rsidRPr="00E93F40">
        <w:rPr>
          <w:color w:val="000000" w:themeColor="text1"/>
          <w:lang w:val="ru-RU"/>
        </w:rPr>
        <w:t>Л. Високки - инженер. Месячный оклад 35$ и 650 руб.;</w:t>
      </w:r>
    </w:p>
    <w:p w14:paraId="71DDEB9B" w14:textId="77777777" w:rsidR="001E30C2" w:rsidRPr="00E93F40" w:rsidRDefault="001E30C2" w:rsidP="00E93F40">
      <w:pPr>
        <w:pStyle w:val="a3"/>
        <w:widowControl/>
        <w:numPr>
          <w:ilvl w:val="0"/>
          <w:numId w:val="1"/>
        </w:numPr>
        <w:tabs>
          <w:tab w:val="left" w:pos="394"/>
        </w:tabs>
        <w:autoSpaceDE/>
        <w:autoSpaceDN/>
        <w:adjustRightInd/>
        <w:rPr>
          <w:color w:val="000000" w:themeColor="text1"/>
          <w:lang w:val="ru-RU"/>
        </w:rPr>
      </w:pPr>
      <w:r w:rsidRPr="00E93F40">
        <w:rPr>
          <w:color w:val="000000" w:themeColor="text1"/>
          <w:lang w:val="ru-RU"/>
        </w:rPr>
        <w:t>А. (Д.) Вилла - мастер по металлокон</w:t>
      </w:r>
      <w:r w:rsidRPr="00E93F40">
        <w:rPr>
          <w:color w:val="000000" w:themeColor="text1"/>
          <w:lang w:val="ru-RU"/>
        </w:rPr>
        <w:softHyphen/>
        <w:t>струкциям, женат. Месячный оклад 115$ и 700 руб.;</w:t>
      </w:r>
    </w:p>
    <w:p w14:paraId="69A48C79" w14:textId="77777777" w:rsidR="001E30C2" w:rsidRPr="00E93F40" w:rsidRDefault="001E30C2" w:rsidP="00E93F40">
      <w:pPr>
        <w:pStyle w:val="a3"/>
        <w:widowControl/>
        <w:numPr>
          <w:ilvl w:val="0"/>
          <w:numId w:val="1"/>
        </w:numPr>
        <w:tabs>
          <w:tab w:val="left" w:pos="399"/>
        </w:tabs>
        <w:autoSpaceDE/>
        <w:autoSpaceDN/>
        <w:adjustRightInd/>
        <w:rPr>
          <w:color w:val="000000" w:themeColor="text1"/>
          <w:lang w:val="ru-RU"/>
        </w:rPr>
      </w:pPr>
      <w:r w:rsidRPr="00E93F40">
        <w:rPr>
          <w:color w:val="000000" w:themeColor="text1"/>
          <w:lang w:val="ru-RU"/>
        </w:rPr>
        <w:t>Вилли - чертежник КБ, холост. Месяч</w:t>
      </w:r>
      <w:r w:rsidRPr="00E93F40">
        <w:rPr>
          <w:color w:val="000000" w:themeColor="text1"/>
          <w:lang w:val="ru-RU"/>
        </w:rPr>
        <w:softHyphen/>
        <w:t>ный оклад 115$ и 125 руб.;</w:t>
      </w:r>
    </w:p>
    <w:p w14:paraId="68ADDED6" w14:textId="77777777" w:rsidR="001E30C2" w:rsidRPr="00E93F40" w:rsidRDefault="001E30C2" w:rsidP="00E93F40">
      <w:pPr>
        <w:pStyle w:val="a3"/>
        <w:widowControl/>
        <w:numPr>
          <w:ilvl w:val="0"/>
          <w:numId w:val="1"/>
        </w:numPr>
        <w:tabs>
          <w:tab w:val="left" w:pos="442"/>
        </w:tabs>
        <w:autoSpaceDE/>
        <w:autoSpaceDN/>
        <w:adjustRightInd/>
        <w:rPr>
          <w:color w:val="000000" w:themeColor="text1"/>
        </w:rPr>
      </w:pPr>
      <w:r w:rsidRPr="00E93F40">
        <w:rPr>
          <w:color w:val="000000" w:themeColor="text1"/>
          <w:lang w:val="ru-RU"/>
        </w:rPr>
        <w:t xml:space="preserve">Г. Гарутти - инженер-конструктор, холост, оформлен по договору. </w:t>
      </w:r>
      <w:r w:rsidRPr="00E93F40">
        <w:rPr>
          <w:color w:val="000000" w:themeColor="text1"/>
        </w:rPr>
        <w:t>Месячный оклад 250$ и 1000 руб.;</w:t>
      </w:r>
    </w:p>
    <w:p w14:paraId="714AB29F" w14:textId="77777777" w:rsidR="001E30C2" w:rsidRPr="00E93F40" w:rsidRDefault="001E30C2" w:rsidP="00E93F40">
      <w:pPr>
        <w:pStyle w:val="a3"/>
        <w:widowControl/>
        <w:numPr>
          <w:ilvl w:val="0"/>
          <w:numId w:val="1"/>
        </w:numPr>
        <w:tabs>
          <w:tab w:val="left" w:pos="414"/>
        </w:tabs>
        <w:autoSpaceDE/>
        <w:autoSpaceDN/>
        <w:adjustRightInd/>
        <w:rPr>
          <w:color w:val="000000" w:themeColor="text1"/>
        </w:rPr>
      </w:pPr>
      <w:r w:rsidRPr="00E93F40">
        <w:rPr>
          <w:color w:val="000000" w:themeColor="text1"/>
          <w:lang w:val="ru-RU"/>
        </w:rPr>
        <w:t>А. Ди-Бернардино - мастер сбороч</w:t>
      </w:r>
      <w:r w:rsidRPr="00E93F40">
        <w:rPr>
          <w:color w:val="000000" w:themeColor="text1"/>
          <w:lang w:val="ru-RU"/>
        </w:rPr>
        <w:softHyphen/>
        <w:t xml:space="preserve">ного цеха по металлоконструкциям, женат. </w:t>
      </w:r>
      <w:r w:rsidRPr="00E93F40">
        <w:rPr>
          <w:color w:val="000000" w:themeColor="text1"/>
        </w:rPr>
        <w:t>Месячный оклад 45$ и 700 руб.;</w:t>
      </w:r>
    </w:p>
    <w:p w14:paraId="59B379C4" w14:textId="77777777" w:rsidR="001E30C2" w:rsidRPr="00E93F40" w:rsidRDefault="001E30C2" w:rsidP="00E93F40">
      <w:pPr>
        <w:pStyle w:val="a3"/>
        <w:widowControl/>
        <w:numPr>
          <w:ilvl w:val="0"/>
          <w:numId w:val="1"/>
        </w:numPr>
        <w:tabs>
          <w:tab w:val="left" w:pos="414"/>
        </w:tabs>
        <w:autoSpaceDE/>
        <w:autoSpaceDN/>
        <w:adjustRightInd/>
        <w:rPr>
          <w:color w:val="000000" w:themeColor="text1"/>
        </w:rPr>
      </w:pPr>
      <w:r w:rsidRPr="00E93F40">
        <w:rPr>
          <w:color w:val="000000" w:themeColor="text1"/>
          <w:lang w:val="ru-RU"/>
        </w:rPr>
        <w:t xml:space="preserve">А. Беретта - мастер моторного цеха, женат, оформлен по договору. </w:t>
      </w:r>
      <w:r w:rsidRPr="00E93F40">
        <w:rPr>
          <w:color w:val="000000" w:themeColor="text1"/>
        </w:rPr>
        <w:t>Месячный оклад 20$ и 300 руб.;</w:t>
      </w:r>
    </w:p>
    <w:p w14:paraId="555345B8" w14:textId="77777777" w:rsidR="001E30C2" w:rsidRPr="00E93F40" w:rsidRDefault="001E30C2" w:rsidP="00E93F40">
      <w:pPr>
        <w:pStyle w:val="a3"/>
        <w:widowControl/>
        <w:numPr>
          <w:ilvl w:val="0"/>
          <w:numId w:val="1"/>
        </w:numPr>
        <w:tabs>
          <w:tab w:val="left" w:pos="433"/>
        </w:tabs>
        <w:autoSpaceDE/>
        <w:autoSpaceDN/>
        <w:adjustRightInd/>
        <w:rPr>
          <w:color w:val="000000" w:themeColor="text1"/>
        </w:rPr>
      </w:pPr>
      <w:r w:rsidRPr="00E93F40">
        <w:rPr>
          <w:color w:val="000000" w:themeColor="text1"/>
          <w:lang w:val="ru-RU"/>
        </w:rPr>
        <w:t xml:space="preserve">В. Шакко - мастер баллонного цеха, холост, оформлен по договору. </w:t>
      </w:r>
      <w:r w:rsidRPr="00E93F40">
        <w:rPr>
          <w:color w:val="000000" w:themeColor="text1"/>
        </w:rPr>
        <w:t>Месячный оклад 83$ и 700 руб.;</w:t>
      </w:r>
    </w:p>
    <w:p w14:paraId="76A684CC" w14:textId="77777777" w:rsidR="001E30C2" w:rsidRPr="00E93F40" w:rsidRDefault="001E30C2" w:rsidP="00E93F40">
      <w:pPr>
        <w:pStyle w:val="a3"/>
        <w:widowControl/>
        <w:numPr>
          <w:ilvl w:val="0"/>
          <w:numId w:val="1"/>
        </w:numPr>
        <w:tabs>
          <w:tab w:val="left" w:pos="428"/>
        </w:tabs>
        <w:autoSpaceDE/>
        <w:autoSpaceDN/>
        <w:adjustRightInd/>
        <w:rPr>
          <w:color w:val="000000" w:themeColor="text1"/>
        </w:rPr>
      </w:pPr>
      <w:r w:rsidRPr="00E93F40">
        <w:rPr>
          <w:color w:val="000000" w:themeColor="text1"/>
          <w:lang w:val="ru-RU"/>
        </w:rPr>
        <w:t>Н. Де-Мартино - инженер-конструк</w:t>
      </w:r>
      <w:r w:rsidRPr="00E93F40">
        <w:rPr>
          <w:color w:val="000000" w:themeColor="text1"/>
          <w:lang w:val="ru-RU"/>
        </w:rPr>
        <w:softHyphen/>
        <w:t xml:space="preserve">тор, оформлен по договору. </w:t>
      </w:r>
      <w:r w:rsidRPr="00E93F40">
        <w:rPr>
          <w:color w:val="000000" w:themeColor="text1"/>
        </w:rPr>
        <w:t>Месячный оклад 324$ и 650 руб.;</w:t>
      </w:r>
    </w:p>
    <w:p w14:paraId="6D4187F5" w14:textId="77777777" w:rsidR="001E30C2" w:rsidRPr="00E93F40" w:rsidRDefault="001E30C2" w:rsidP="00E93F40">
      <w:pPr>
        <w:pStyle w:val="a3"/>
        <w:widowControl/>
        <w:numPr>
          <w:ilvl w:val="0"/>
          <w:numId w:val="1"/>
        </w:numPr>
        <w:tabs>
          <w:tab w:val="left" w:pos="404"/>
        </w:tabs>
        <w:autoSpaceDE/>
        <w:autoSpaceDN/>
        <w:adjustRightInd/>
        <w:rPr>
          <w:color w:val="000000" w:themeColor="text1"/>
          <w:lang w:val="ru-RU"/>
        </w:rPr>
      </w:pPr>
      <w:r w:rsidRPr="00E93F40">
        <w:rPr>
          <w:color w:val="000000" w:themeColor="text1"/>
          <w:lang w:val="ru-RU"/>
        </w:rPr>
        <w:t>с Нобиле также работали прибывшие в Россию ранее:</w:t>
      </w:r>
    </w:p>
    <w:p w14:paraId="0609B9F8" w14:textId="77777777" w:rsidR="001E30C2" w:rsidRPr="00E93F40" w:rsidRDefault="001E30C2" w:rsidP="00E93F40">
      <w:pPr>
        <w:pStyle w:val="a3"/>
        <w:widowControl/>
        <w:numPr>
          <w:ilvl w:val="0"/>
          <w:numId w:val="1"/>
        </w:numPr>
        <w:tabs>
          <w:tab w:val="left" w:pos="390"/>
        </w:tabs>
        <w:autoSpaceDE/>
        <w:autoSpaceDN/>
        <w:adjustRightInd/>
        <w:rPr>
          <w:color w:val="000000" w:themeColor="text1"/>
        </w:rPr>
      </w:pPr>
      <w:r w:rsidRPr="00E93F40">
        <w:rPr>
          <w:color w:val="000000" w:themeColor="text1"/>
          <w:lang w:val="ru-RU"/>
        </w:rPr>
        <w:t xml:space="preserve">Р. Бианкони - переводчик, женат, член ВКП(б). </w:t>
      </w:r>
      <w:r w:rsidRPr="00E93F40">
        <w:rPr>
          <w:color w:val="000000" w:themeColor="text1"/>
        </w:rPr>
        <w:t>Месячный оклад 350 руб.;</w:t>
      </w:r>
    </w:p>
    <w:p w14:paraId="3E300B3A" w14:textId="77777777" w:rsidR="001E30C2" w:rsidRPr="00E93F40" w:rsidRDefault="001E30C2" w:rsidP="00E93F40">
      <w:pPr>
        <w:pStyle w:val="a3"/>
        <w:widowControl/>
        <w:numPr>
          <w:ilvl w:val="0"/>
          <w:numId w:val="1"/>
        </w:numPr>
        <w:tabs>
          <w:tab w:val="left" w:pos="438"/>
        </w:tabs>
        <w:autoSpaceDE/>
        <w:autoSpaceDN/>
        <w:adjustRightInd/>
        <w:rPr>
          <w:color w:val="000000" w:themeColor="text1"/>
        </w:rPr>
      </w:pPr>
      <w:r w:rsidRPr="00E93F40">
        <w:rPr>
          <w:color w:val="000000" w:themeColor="text1"/>
          <w:lang w:val="ru-RU"/>
        </w:rPr>
        <w:t xml:space="preserve">Б. Сигалини - инструктор бригады слесарей сборочного цеха, холост, член ВКП(б). </w:t>
      </w:r>
      <w:r w:rsidRPr="00E93F40">
        <w:rPr>
          <w:color w:val="000000" w:themeColor="text1"/>
        </w:rPr>
        <w:t>Месячный оклад 350 руб.</w:t>
      </w:r>
    </w:p>
    <w:p w14:paraId="542B8962" w14:textId="77777777" w:rsidR="001E30C2" w:rsidRPr="00E93F40" w:rsidRDefault="001E30C2" w:rsidP="00E93F40">
      <w:pPr>
        <w:pStyle w:val="a3"/>
        <w:rPr>
          <w:color w:val="000000" w:themeColor="text1"/>
          <w:lang w:val="ru-RU"/>
        </w:rPr>
      </w:pPr>
      <w:r w:rsidRPr="00E93F40">
        <w:rPr>
          <w:color w:val="000000" w:themeColor="text1"/>
          <w:lang w:val="ru-RU"/>
        </w:rPr>
        <w:t>Кроме денежного содержания итальян</w:t>
      </w:r>
      <w:r w:rsidRPr="00E93F40">
        <w:rPr>
          <w:color w:val="000000" w:themeColor="text1"/>
          <w:lang w:val="ru-RU"/>
        </w:rPr>
        <w:softHyphen/>
        <w:t>цы обеспечивались:</w:t>
      </w:r>
    </w:p>
    <w:p w14:paraId="25426239" w14:textId="77777777" w:rsidR="001E30C2" w:rsidRPr="00E93F40" w:rsidRDefault="001E30C2" w:rsidP="00E93F40">
      <w:pPr>
        <w:pStyle w:val="a3"/>
        <w:widowControl/>
        <w:numPr>
          <w:ilvl w:val="0"/>
          <w:numId w:val="1"/>
        </w:numPr>
        <w:tabs>
          <w:tab w:val="left" w:pos="385"/>
        </w:tabs>
        <w:autoSpaceDE/>
        <w:autoSpaceDN/>
        <w:adjustRightInd/>
        <w:rPr>
          <w:color w:val="000000" w:themeColor="text1"/>
          <w:lang w:val="ru-RU"/>
        </w:rPr>
      </w:pPr>
      <w:r w:rsidRPr="00E93F40">
        <w:rPr>
          <w:color w:val="000000" w:themeColor="text1"/>
          <w:lang w:val="ru-RU"/>
        </w:rPr>
        <w:t>оплачиваемой комнатой (с кухней, ван</w:t>
      </w:r>
      <w:r w:rsidRPr="00E93F40">
        <w:rPr>
          <w:color w:val="000000" w:themeColor="text1"/>
          <w:lang w:val="ru-RU"/>
        </w:rPr>
        <w:softHyphen/>
        <w:t>ной) в квартирах дома ИНО на Долгопрудной или гостиничным номером (квартирой) в Москве (У. Нобиле, Ф. Трояни, Г. Гарутти, Н. Де-Мартино, А. Беретта);</w:t>
      </w:r>
    </w:p>
    <w:p w14:paraId="7EBEF494" w14:textId="77777777" w:rsidR="001E30C2" w:rsidRPr="00E93F40" w:rsidRDefault="001E30C2" w:rsidP="00E93F40">
      <w:pPr>
        <w:pStyle w:val="a3"/>
        <w:widowControl/>
        <w:numPr>
          <w:ilvl w:val="0"/>
          <w:numId w:val="1"/>
        </w:numPr>
        <w:tabs>
          <w:tab w:val="left" w:pos="423"/>
        </w:tabs>
        <w:autoSpaceDE/>
        <w:autoSpaceDN/>
        <w:adjustRightInd/>
        <w:rPr>
          <w:color w:val="000000" w:themeColor="text1"/>
          <w:lang w:val="ru-RU"/>
        </w:rPr>
      </w:pPr>
      <w:r w:rsidRPr="00E93F40">
        <w:rPr>
          <w:color w:val="000000" w:themeColor="text1"/>
          <w:lang w:val="ru-RU"/>
        </w:rPr>
        <w:t>оплачиваемым месячным отпуском (раз в году, включая проезд по ж/дороге 2-м классом до Италии и обратно);</w:t>
      </w:r>
    </w:p>
    <w:p w14:paraId="7EB9C3BA" w14:textId="77777777" w:rsidR="001E30C2" w:rsidRPr="00E93F40" w:rsidRDefault="001E30C2" w:rsidP="00E93F40">
      <w:pPr>
        <w:pStyle w:val="a3"/>
        <w:widowControl/>
        <w:numPr>
          <w:ilvl w:val="0"/>
          <w:numId w:val="1"/>
        </w:numPr>
        <w:tabs>
          <w:tab w:val="left" w:pos="409"/>
        </w:tabs>
        <w:autoSpaceDE/>
        <w:autoSpaceDN/>
        <w:adjustRightInd/>
        <w:rPr>
          <w:color w:val="000000" w:themeColor="text1"/>
          <w:lang w:val="ru-RU"/>
        </w:rPr>
      </w:pPr>
      <w:r w:rsidRPr="00E93F40">
        <w:rPr>
          <w:color w:val="000000" w:themeColor="text1"/>
          <w:lang w:val="ru-RU"/>
        </w:rPr>
        <w:t>компенсацией расходов по приезду и отъезду из России (12732).</w:t>
      </w:r>
    </w:p>
    <w:p w14:paraId="3796C16A" w14:textId="77777777" w:rsidR="001E30C2" w:rsidRPr="00E93F40" w:rsidRDefault="001E30C2" w:rsidP="00E93F40">
      <w:pPr>
        <w:pStyle w:val="a3"/>
        <w:rPr>
          <w:color w:val="000000" w:themeColor="text1"/>
          <w:lang w:val="ru-RU"/>
        </w:rPr>
      </w:pPr>
    </w:p>
    <w:p w14:paraId="2D86C95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6E5D8A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AB664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апреля 1932 г. [4.57] завершили проектирование НАТИ-А-750. Рама у НАТИ-А-750 в техническом проекте была сварная из двух симметричных штампованных половин. Бензобак частично утоплен между двумя верхними наклонными балками. Двига</w:t>
      </w:r>
      <w:r w:rsidRPr="00E93F40">
        <w:rPr>
          <w:rFonts w:ascii="Times New Roman" w:hAnsi="Times New Roman"/>
          <w:color w:val="000000" w:themeColor="text1"/>
          <w:sz w:val="16"/>
          <w:szCs w:val="16"/>
        </w:rPr>
        <w:softHyphen/>
        <w:t>тель У-образный с углом развала цилиндров 45° совмещён с трёхступенчатой КП и жёстко соединён с нижней частью рамы. Отечественное магнето вынесено вперёд и соединено с коленва-лом посредством шестерён. Левая вращающаяся ручка на руле -регулировка опережения зажигания, правая - управляла карбю</w:t>
      </w:r>
      <w:r w:rsidRPr="00E93F40">
        <w:rPr>
          <w:rFonts w:ascii="Times New Roman" w:hAnsi="Times New Roman"/>
          <w:color w:val="000000" w:themeColor="text1"/>
          <w:sz w:val="16"/>
          <w:szCs w:val="16"/>
        </w:rPr>
        <w:softHyphen/>
        <w:t>ратором. Сцепление - сухое, выключалось левым рычагом на руле или левой педалью. Трансмиссия на сцепление - шестерён</w:t>
      </w:r>
      <w:r w:rsidRPr="00E93F40">
        <w:rPr>
          <w:rFonts w:ascii="Times New Roman" w:hAnsi="Times New Roman"/>
          <w:color w:val="000000" w:themeColor="text1"/>
          <w:sz w:val="16"/>
          <w:szCs w:val="16"/>
        </w:rPr>
        <w:softHyphen/>
        <w:t>чатая, на ведущее колесо - цепная, в герметичной масляной ван</w:t>
      </w:r>
      <w:r w:rsidRPr="00E93F40">
        <w:rPr>
          <w:rFonts w:ascii="Times New Roman" w:hAnsi="Times New Roman"/>
          <w:color w:val="000000" w:themeColor="text1"/>
          <w:sz w:val="16"/>
          <w:szCs w:val="16"/>
        </w:rPr>
        <w:softHyphen/>
        <w:t>не. Смазка мотора и КП - циркулярная, масляный бак - в виде плоской консоли вмонтирован в картер КП. Рычаг переключе</w:t>
      </w:r>
      <w:r w:rsidRPr="00E93F40">
        <w:rPr>
          <w:rFonts w:ascii="Times New Roman" w:hAnsi="Times New Roman"/>
          <w:color w:val="000000" w:themeColor="text1"/>
          <w:sz w:val="16"/>
          <w:szCs w:val="16"/>
        </w:rPr>
        <w:softHyphen/>
        <w:t>ния передач КП - автомобильного типа. Привод ведущего коле</w:t>
      </w:r>
      <w:r w:rsidRPr="00E93F40">
        <w:rPr>
          <w:rFonts w:ascii="Times New Roman" w:hAnsi="Times New Roman"/>
          <w:color w:val="000000" w:themeColor="text1"/>
          <w:sz w:val="16"/>
          <w:szCs w:val="16"/>
        </w:rPr>
        <w:softHyphen/>
        <w:t>са и тормозной барабан - слева, глушители - справа, коляска -слева. Передняя вилка - из двух штампованных половин. Перед</w:t>
      </w:r>
      <w:r w:rsidRPr="00E93F40">
        <w:rPr>
          <w:rFonts w:ascii="Times New Roman" w:hAnsi="Times New Roman"/>
          <w:color w:val="000000" w:themeColor="text1"/>
          <w:sz w:val="16"/>
          <w:szCs w:val="16"/>
        </w:rPr>
        <w:softHyphen/>
        <w:t>нее колесо - на рычажной подвеске в особой скобе, упиравшейся в горизонтальную рессору, к ней же крепились фрикционные га</w:t>
      </w:r>
      <w:r w:rsidRPr="00E93F40">
        <w:rPr>
          <w:rFonts w:ascii="Times New Roman" w:hAnsi="Times New Roman"/>
          <w:color w:val="000000" w:themeColor="text1"/>
          <w:sz w:val="16"/>
          <w:szCs w:val="16"/>
        </w:rPr>
        <w:softHyphen/>
        <w:t>сители колебаний. Крылья - глубокие, переднее - охватывало колесо на угол около 150°, заднее - почти 210°. Руль - в резино</w:t>
      </w:r>
      <w:r w:rsidRPr="00E93F40">
        <w:rPr>
          <w:rFonts w:ascii="Times New Roman" w:hAnsi="Times New Roman"/>
          <w:color w:val="000000" w:themeColor="text1"/>
          <w:sz w:val="16"/>
          <w:szCs w:val="16"/>
        </w:rPr>
        <w:softHyphen/>
        <w:t>вых демпферах. На верхние балки рамы установили нигрисы и пружины седла водителя, передняя часть которого качалась на особой петле, привинченной к бензобаку. Седло пассажира кре</w:t>
      </w:r>
      <w:r w:rsidRPr="00E93F40">
        <w:rPr>
          <w:rFonts w:ascii="Times New Roman" w:hAnsi="Times New Roman"/>
          <w:color w:val="000000" w:themeColor="text1"/>
          <w:sz w:val="16"/>
          <w:szCs w:val="16"/>
        </w:rPr>
        <w:softHyphen/>
        <w:t>пилось к верхним балкам рамы с помощью кованых скоб. Свето</w:t>
      </w:r>
      <w:r w:rsidRPr="00E93F40">
        <w:rPr>
          <w:rFonts w:ascii="Times New Roman" w:hAnsi="Times New Roman"/>
          <w:color w:val="000000" w:themeColor="text1"/>
          <w:sz w:val="16"/>
          <w:szCs w:val="16"/>
        </w:rPr>
        <w:softHyphen/>
        <w:t>техника - фара с дальним и ближним светом, задний сигнальный фонарь. Педаль кикстартера справа. По дизайну НАТИ-А-750 -армейская машина [4.58]. Мотор и КП объединили в единый блок [4.59].</w:t>
      </w:r>
    </w:p>
    <w:p w14:paraId="222CF6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расчётам мотор НАТИ-А-750 должен был развивать мощ</w:t>
      </w:r>
      <w:r w:rsidRPr="00E93F40">
        <w:rPr>
          <w:rFonts w:ascii="Times New Roman" w:hAnsi="Times New Roman"/>
          <w:color w:val="000000" w:themeColor="text1"/>
          <w:sz w:val="16"/>
          <w:szCs w:val="16"/>
        </w:rPr>
        <w:softHyphen/>
        <w:t>ность до 18 л.с. при степени сжатия в пределах 4,5-5,5. На стадии проектирования мощность представлялась недостаточной для движения мотоцикла с коляской при транспортировке 3-х чело</w:t>
      </w:r>
      <w:r w:rsidRPr="00E93F40">
        <w:rPr>
          <w:rFonts w:ascii="Times New Roman" w:hAnsi="Times New Roman"/>
          <w:color w:val="000000" w:themeColor="text1"/>
          <w:sz w:val="16"/>
          <w:szCs w:val="16"/>
        </w:rPr>
        <w:softHyphen/>
        <w:t>век по плохим дорогам в полевых условиях. С целью расширения возможностей машины, предусмотрели форсировку мотора до 27 л.с. за счёт увеличения степени сжатия до 6,3. При этом сни</w:t>
      </w:r>
      <w:r w:rsidRPr="00E93F40">
        <w:rPr>
          <w:rFonts w:ascii="Times New Roman" w:hAnsi="Times New Roman"/>
          <w:color w:val="000000" w:themeColor="text1"/>
          <w:sz w:val="16"/>
          <w:szCs w:val="16"/>
        </w:rPr>
        <w:softHyphen/>
        <w:t>жался ресурс двигателя из-за перенапряжённости и ухудшилась его приспособляемость. Чтобы обойти затруднения, предполага</w:t>
      </w:r>
      <w:r w:rsidRPr="00E93F40">
        <w:rPr>
          <w:rFonts w:ascii="Times New Roman" w:hAnsi="Times New Roman"/>
          <w:color w:val="000000" w:themeColor="text1"/>
          <w:sz w:val="16"/>
          <w:szCs w:val="16"/>
        </w:rPr>
        <w:softHyphen/>
        <w:t>ли в дальнейшем модифицировать мотор, увеличив его рабочий объём минимум до 850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сохранив первоначальную степень сжатия. Получился бы более мощный мотоцикл НАТИ-А-850 с вполне приемлемой приспособляемостью двигателя [4.60].</w:t>
      </w:r>
    </w:p>
    <w:p w14:paraId="320A86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НАТИ-А-750 считался базовой моделью. Предполагалось, что в основном будет использоваться с коляской и без неё. Но «одиночка» с двигателем рабочим объёмом 750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xml:space="preserve"> - роскошь с завышенными мощностью и расходом металла, поэтому преду</w:t>
      </w:r>
      <w:r w:rsidRPr="00E93F40">
        <w:rPr>
          <w:rFonts w:ascii="Times New Roman" w:hAnsi="Times New Roman"/>
          <w:color w:val="000000" w:themeColor="text1"/>
          <w:sz w:val="16"/>
          <w:szCs w:val="16"/>
        </w:rPr>
        <w:softHyphen/>
        <w:t>смотрели изготовление одноцилиндрового мотора, унифициро</w:t>
      </w:r>
      <w:r w:rsidRPr="00E93F40">
        <w:rPr>
          <w:rFonts w:ascii="Times New Roman" w:hAnsi="Times New Roman"/>
          <w:color w:val="000000" w:themeColor="text1"/>
          <w:sz w:val="16"/>
          <w:szCs w:val="16"/>
        </w:rPr>
        <w:softHyphen/>
        <w:t>ванного с двигателем НАТИ-А-750 по цилиндру, поршневой группе, КП и новым картером. Такой двигатель задумали устано</w:t>
      </w:r>
      <w:r w:rsidRPr="00E93F40">
        <w:rPr>
          <w:rFonts w:ascii="Times New Roman" w:hAnsi="Times New Roman"/>
          <w:color w:val="000000" w:themeColor="text1"/>
          <w:sz w:val="16"/>
          <w:szCs w:val="16"/>
        </w:rPr>
        <w:softHyphen/>
        <w:t xml:space="preserve">вить на ходовую часть Л-300 с карданной передачей на заднее </w:t>
      </w:r>
      <w:r w:rsidRPr="00E93F40">
        <w:rPr>
          <w:rFonts w:ascii="Times New Roman" w:hAnsi="Times New Roman"/>
          <w:color w:val="000000" w:themeColor="text1"/>
          <w:sz w:val="16"/>
          <w:szCs w:val="16"/>
        </w:rPr>
        <w:lastRenderedPageBreak/>
        <w:t>ко</w:t>
      </w:r>
      <w:r w:rsidRPr="00E93F40">
        <w:rPr>
          <w:rFonts w:ascii="Times New Roman" w:hAnsi="Times New Roman"/>
          <w:color w:val="000000" w:themeColor="text1"/>
          <w:sz w:val="16"/>
          <w:szCs w:val="16"/>
        </w:rPr>
        <w:softHyphen/>
        <w:t>лесо. Этот мотоцикл назвали НАТИ-Б-375 [4.61]. Помимо этого решили использовать наработки от ИЖ-1-ИЖ-6 и интересные технические решения, подмеченные в мотоцикле ВМ</w:t>
      </w:r>
      <w:r w:rsidRPr="00E93F40">
        <w:rPr>
          <w:rFonts w:ascii="Times New Roman" w:hAnsi="Times New Roman"/>
          <w:color w:val="000000" w:themeColor="text1"/>
          <w:sz w:val="16"/>
          <w:szCs w:val="16"/>
          <w:lang w:val="en-US"/>
        </w:rPr>
        <w:t>WR</w:t>
      </w:r>
      <w:r w:rsidRPr="00E93F40">
        <w:rPr>
          <w:rFonts w:ascii="Times New Roman" w:hAnsi="Times New Roman"/>
          <w:color w:val="000000" w:themeColor="text1"/>
          <w:sz w:val="16"/>
          <w:szCs w:val="16"/>
        </w:rPr>
        <w:t>-16 и но</w:t>
      </w:r>
      <w:r w:rsidRPr="00E93F40">
        <w:rPr>
          <w:rFonts w:ascii="Times New Roman" w:hAnsi="Times New Roman"/>
          <w:color w:val="000000" w:themeColor="text1"/>
          <w:sz w:val="16"/>
          <w:szCs w:val="16"/>
        </w:rPr>
        <w:softHyphen/>
        <w:t>вой модели ВМ\У К-4 (сварная штампованная рама, карданный привод, передняя вилка и пр.), и спроектировали НАТИ-В-375 [4.62].</w:t>
      </w:r>
    </w:p>
    <w:p w14:paraId="58D29A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НАТИ-А-750 разработали только технический проект, не чертили боковой прицеп, а для НАТИ-Б-375 и НАТИ-В-375 -лишь эскизные проекты. Предполагали сделать рабочие чертежи в КБ завода-изготовителя, который НАТИ предстояло найти, чтобы изготовить там опытные мотоциклы (11429).</w:t>
      </w:r>
    </w:p>
    <w:p w14:paraId="227AF0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77EB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апреля 1932 одобрили постройку Ижевского мотоциклет</w:t>
      </w:r>
      <w:r w:rsidRPr="00E93F40">
        <w:rPr>
          <w:rFonts w:ascii="Times New Roman" w:hAnsi="Times New Roman"/>
          <w:color w:val="000000" w:themeColor="text1"/>
          <w:sz w:val="16"/>
          <w:szCs w:val="16"/>
        </w:rPr>
        <w:softHyphen/>
        <w:t>ного завода (ИжМЗ). Хлопоты об этом начались ещё в 1930 г. вскоре после запрета трестом РУЖ выпуска мотоциклов на ИОЗе. С инициативой выступили руководство и передовые рабо</w:t>
      </w:r>
      <w:r w:rsidRPr="00E93F40">
        <w:rPr>
          <w:rFonts w:ascii="Times New Roman" w:hAnsi="Times New Roman"/>
          <w:color w:val="000000" w:themeColor="text1"/>
          <w:sz w:val="16"/>
          <w:szCs w:val="16"/>
        </w:rPr>
        <w:softHyphen/>
        <w:t>чие завода, а также широкая общественность Ижевска - от про</w:t>
      </w:r>
      <w:r w:rsidRPr="00E93F40">
        <w:rPr>
          <w:rFonts w:ascii="Times New Roman" w:hAnsi="Times New Roman"/>
          <w:color w:val="000000" w:themeColor="text1"/>
          <w:sz w:val="16"/>
          <w:szCs w:val="16"/>
        </w:rPr>
        <w:softHyphen/>
        <w:t>стых тружеников до руководителей Удмуртской автономной об</w:t>
      </w:r>
      <w:r w:rsidRPr="00E93F40">
        <w:rPr>
          <w:rFonts w:ascii="Times New Roman" w:hAnsi="Times New Roman"/>
          <w:color w:val="000000" w:themeColor="text1"/>
          <w:sz w:val="16"/>
          <w:szCs w:val="16"/>
        </w:rPr>
        <w:softHyphen/>
        <w:t>ласти (УАО). Этому предшествовало заключение экспертов и ко</w:t>
      </w:r>
      <w:r w:rsidRPr="00E93F40">
        <w:rPr>
          <w:rFonts w:ascii="Times New Roman" w:hAnsi="Times New Roman"/>
          <w:color w:val="000000" w:themeColor="text1"/>
          <w:sz w:val="16"/>
          <w:szCs w:val="16"/>
        </w:rPr>
        <w:softHyphen/>
        <w:t>миссии Центрального технико-экономического совета (ЦТЭС), входившего в Президиум ВСНХ СССР в июне 1930 г., о том, что технически и экономически целесообразно строить мотоциклет</w:t>
      </w:r>
      <w:r w:rsidRPr="00E93F40">
        <w:rPr>
          <w:rFonts w:ascii="Times New Roman" w:hAnsi="Times New Roman"/>
          <w:color w:val="000000" w:themeColor="text1"/>
          <w:sz w:val="16"/>
          <w:szCs w:val="16"/>
        </w:rPr>
        <w:softHyphen/>
        <w:t>ный завод именно в Ижевске. Сначала предполагалось, что пред</w:t>
      </w:r>
      <w:r w:rsidRPr="00E93F40">
        <w:rPr>
          <w:rFonts w:ascii="Times New Roman" w:hAnsi="Times New Roman"/>
          <w:color w:val="000000" w:themeColor="text1"/>
          <w:sz w:val="16"/>
          <w:szCs w:val="16"/>
        </w:rPr>
        <w:softHyphen/>
        <w:t>приятие будет выпускать 50 тыс. мотоциклов ежегодно. Однако в октябре 1931 г. Главмашпром ВСНХ СССР увеличил проектную мощность завода до 120 тыс. Планировали изготавливать НАТИ-А-750 и НАТИ-Б-375 в пропорции 40% и 60% (11429).</w:t>
      </w:r>
    </w:p>
    <w:p w14:paraId="508574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D95F6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02D840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2ECE5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при рассмотрении в КО вопроса о состоянии и развитии противовоздушной и химической обороны Союза начальником ВВС был заострен вопрос о недостаточном количестве нашей истребительной авиации для обороны Союза и неудовлетворительном качестве состоящих на вооружении самолетов истребителей. В результате этого решение КО, оформленное в виде постановления СНК от 5 апреля 1932 года за № 516/120 обязало НКТП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серийном производстве (7439, 14).</w:t>
      </w:r>
    </w:p>
    <w:p w14:paraId="27ADE83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5B3852A" w14:textId="77777777" w:rsidR="003A267D" w:rsidRPr="00E93F40" w:rsidRDefault="003A267D"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В апреле 1932 года на заседании Комиссии Обороны при рассмотрении вопроса о состоянии и развитии противовоздушной и химической обороны страны было отмечено недостаточное количество и неудовлетворительное качество состоящих на вооружении самолетов-истребителей. Решение Комиссии, оформленное постановлением СНК СССР от 5.04.32 года, обязало Наркомат тяжелой промышленности (НКТП) принять дополнительный заказ на поставку Наркомату по Военным и Морским делам (НКВМ) 200 уже устаревших, но лучших на тот период самолетов И-5 и И-7. В то же время близилось к завершению согласование пятилетнего плана опытного строительства (19177).</w:t>
      </w:r>
    </w:p>
    <w:p w14:paraId="630872A6" w14:textId="77777777" w:rsidR="003A267D" w:rsidRPr="00E93F40" w:rsidRDefault="003A267D" w:rsidP="00E93F40">
      <w:pPr>
        <w:pStyle w:val="ae"/>
        <w:shd w:val="clear" w:color="auto" w:fill="FFFFFF"/>
        <w:spacing w:before="0" w:after="0"/>
        <w:jc w:val="both"/>
        <w:textAlignment w:val="baseline"/>
        <w:rPr>
          <w:color w:val="000000" w:themeColor="text1"/>
          <w:sz w:val="16"/>
          <w:szCs w:val="16"/>
        </w:rPr>
      </w:pPr>
    </w:p>
    <w:p w14:paraId="2AB0ADDF"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апреля 1932 г. продолжались испытания и попытки довести самолет И-8 (АНТ-13), но безуспешно. На госу</w:t>
      </w:r>
      <w:r w:rsidRPr="00E93F40">
        <w:rPr>
          <w:rFonts w:ascii="Times New Roman" w:hAnsi="Times New Roman"/>
          <w:color w:val="000000" w:themeColor="text1"/>
          <w:sz w:val="16"/>
          <w:szCs w:val="16"/>
        </w:rPr>
        <w:softHyphen/>
        <w:t>дарственные испытания И—8 не передали, тема была закрыта. Главной причиной, определившей такую судьбу самолета, - было отсутствие мощных высотных оте</w:t>
      </w:r>
      <w:r w:rsidRPr="00E93F40">
        <w:rPr>
          <w:rFonts w:ascii="Times New Roman" w:hAnsi="Times New Roman"/>
          <w:color w:val="000000" w:themeColor="text1"/>
          <w:sz w:val="16"/>
          <w:szCs w:val="16"/>
        </w:rPr>
        <w:softHyphen/>
        <w:t>чественных двигателей.</w:t>
      </w:r>
    </w:p>
    <w:p w14:paraId="570AFF21"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характеристики самолета АНТ-13</w:t>
      </w:r>
    </w:p>
    <w:tbl>
      <w:tblPr>
        <w:tblOverlap w:val="never"/>
        <w:tblW w:w="0" w:type="auto"/>
        <w:tblLayout w:type="fixed"/>
        <w:tblCellMar>
          <w:left w:w="10" w:type="dxa"/>
          <w:right w:w="10" w:type="dxa"/>
        </w:tblCellMar>
        <w:tblLook w:val="04A0" w:firstRow="1" w:lastRow="0" w:firstColumn="1" w:lastColumn="0" w:noHBand="0" w:noVBand="1"/>
      </w:tblPr>
      <w:tblGrid>
        <w:gridCol w:w="3346"/>
        <w:gridCol w:w="2362"/>
      </w:tblGrid>
      <w:tr w:rsidR="000A05C4" w:rsidRPr="00E93F40" w14:paraId="6263BC01" w14:textId="77777777" w:rsidTr="004B2EA4">
        <w:trPr>
          <w:trHeight w:val="293"/>
        </w:trPr>
        <w:tc>
          <w:tcPr>
            <w:tcW w:w="3346" w:type="dxa"/>
            <w:tcBorders>
              <w:top w:val="single" w:sz="4" w:space="0" w:color="auto"/>
              <w:left w:val="single" w:sz="4" w:space="0" w:color="auto"/>
            </w:tcBorders>
            <w:vAlign w:val="bottom"/>
          </w:tcPr>
          <w:p w14:paraId="5BEA8664"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и тип двигателя</w:t>
            </w:r>
          </w:p>
        </w:tc>
        <w:tc>
          <w:tcPr>
            <w:tcW w:w="2362" w:type="dxa"/>
            <w:tcBorders>
              <w:top w:val="single" w:sz="4" w:space="0" w:color="auto"/>
              <w:right w:val="single" w:sz="4" w:space="0" w:color="auto"/>
            </w:tcBorders>
            <w:vAlign w:val="bottom"/>
          </w:tcPr>
          <w:p w14:paraId="4F3293FA"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IxCurtiss Conqueror</w:t>
            </w:r>
          </w:p>
        </w:tc>
      </w:tr>
      <w:tr w:rsidR="000A05C4" w:rsidRPr="00E93F40" w14:paraId="353105AA" w14:textId="77777777" w:rsidTr="004B2EA4">
        <w:trPr>
          <w:trHeight w:val="226"/>
        </w:trPr>
        <w:tc>
          <w:tcPr>
            <w:tcW w:w="3346" w:type="dxa"/>
            <w:tcBorders>
              <w:left w:val="single" w:sz="4" w:space="0" w:color="auto"/>
            </w:tcBorders>
          </w:tcPr>
          <w:p w14:paraId="27305891"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л.с.</w:t>
            </w:r>
          </w:p>
        </w:tc>
        <w:tc>
          <w:tcPr>
            <w:tcW w:w="2362" w:type="dxa"/>
            <w:tcBorders>
              <w:right w:val="single" w:sz="4" w:space="0" w:color="auto"/>
            </w:tcBorders>
          </w:tcPr>
          <w:p w14:paraId="04C2833A" w14:textId="77777777" w:rsidR="000A05C4" w:rsidRPr="00E93F40" w:rsidRDefault="000A05C4" w:rsidP="00E93F40">
            <w:pPr>
              <w:spacing w:after="0" w:line="240" w:lineRule="auto"/>
              <w:jc w:val="both"/>
              <w:rPr>
                <w:rFonts w:ascii="Times New Roman" w:hAnsi="Times New Roman"/>
                <w:color w:val="000000" w:themeColor="text1"/>
                <w:sz w:val="16"/>
                <w:szCs w:val="16"/>
              </w:rPr>
            </w:pPr>
          </w:p>
        </w:tc>
      </w:tr>
      <w:tr w:rsidR="000A05C4" w:rsidRPr="00E93F40" w14:paraId="4649D0B5" w14:textId="77777777" w:rsidTr="004B2EA4">
        <w:trPr>
          <w:trHeight w:val="211"/>
        </w:trPr>
        <w:tc>
          <w:tcPr>
            <w:tcW w:w="3346" w:type="dxa"/>
            <w:tcBorders>
              <w:left w:val="single" w:sz="4" w:space="0" w:color="auto"/>
            </w:tcBorders>
          </w:tcPr>
          <w:p w14:paraId="34B30A13"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w:t>
            </w:r>
          </w:p>
        </w:tc>
        <w:tc>
          <w:tcPr>
            <w:tcW w:w="2362" w:type="dxa"/>
            <w:tcBorders>
              <w:right w:val="single" w:sz="4" w:space="0" w:color="auto"/>
            </w:tcBorders>
          </w:tcPr>
          <w:p w14:paraId="53964109"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1x600</w:t>
            </w:r>
          </w:p>
        </w:tc>
      </w:tr>
      <w:tr w:rsidR="000A05C4" w:rsidRPr="00E93F40" w14:paraId="51AAADC5" w14:textId="77777777" w:rsidTr="004B2EA4">
        <w:trPr>
          <w:trHeight w:val="221"/>
        </w:trPr>
        <w:tc>
          <w:tcPr>
            <w:tcW w:w="3346" w:type="dxa"/>
            <w:tcBorders>
              <w:left w:val="single" w:sz="4" w:space="0" w:color="auto"/>
            </w:tcBorders>
            <w:vAlign w:val="bottom"/>
          </w:tcPr>
          <w:p w14:paraId="18D892D0"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самолета, м</w:t>
            </w:r>
          </w:p>
        </w:tc>
        <w:tc>
          <w:tcPr>
            <w:tcW w:w="2362" w:type="dxa"/>
            <w:tcBorders>
              <w:right w:val="single" w:sz="4" w:space="0" w:color="auto"/>
            </w:tcBorders>
            <w:vAlign w:val="bottom"/>
          </w:tcPr>
          <w:p w14:paraId="4784EDFC"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6,90</w:t>
            </w:r>
          </w:p>
        </w:tc>
      </w:tr>
      <w:tr w:rsidR="000A05C4" w:rsidRPr="00E93F40" w14:paraId="49511C37" w14:textId="77777777" w:rsidTr="004B2EA4">
        <w:trPr>
          <w:trHeight w:val="230"/>
        </w:trPr>
        <w:tc>
          <w:tcPr>
            <w:tcW w:w="3346" w:type="dxa"/>
            <w:tcBorders>
              <w:left w:val="single" w:sz="4" w:space="0" w:color="auto"/>
            </w:tcBorders>
            <w:vAlign w:val="bottom"/>
          </w:tcPr>
          <w:p w14:paraId="1BD93483"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крыла верхнего/нижнего, м</w:t>
            </w:r>
          </w:p>
        </w:tc>
        <w:tc>
          <w:tcPr>
            <w:tcW w:w="2362" w:type="dxa"/>
            <w:tcBorders>
              <w:right w:val="single" w:sz="4" w:space="0" w:color="auto"/>
            </w:tcBorders>
            <w:vAlign w:val="bottom"/>
          </w:tcPr>
          <w:p w14:paraId="76C0462D"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9,00/7,10</w:t>
            </w:r>
          </w:p>
        </w:tc>
      </w:tr>
      <w:tr w:rsidR="000A05C4" w:rsidRPr="00E93F40" w14:paraId="2312600B" w14:textId="77777777" w:rsidTr="004B2EA4">
        <w:trPr>
          <w:trHeight w:val="202"/>
        </w:trPr>
        <w:tc>
          <w:tcPr>
            <w:tcW w:w="3346" w:type="dxa"/>
            <w:tcBorders>
              <w:left w:val="single" w:sz="4" w:space="0" w:color="auto"/>
            </w:tcBorders>
            <w:vAlign w:val="bottom"/>
          </w:tcPr>
          <w:p w14:paraId="47B44B2A"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самолета, м</w:t>
            </w:r>
          </w:p>
        </w:tc>
        <w:tc>
          <w:tcPr>
            <w:tcW w:w="2362" w:type="dxa"/>
            <w:tcBorders>
              <w:right w:val="single" w:sz="4" w:space="0" w:color="auto"/>
            </w:tcBorders>
            <w:vAlign w:val="bottom"/>
          </w:tcPr>
          <w:p w14:paraId="6AB45449"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2,73</w:t>
            </w:r>
          </w:p>
        </w:tc>
      </w:tr>
      <w:tr w:rsidR="000A05C4" w:rsidRPr="00E93F40" w14:paraId="42EE9340" w14:textId="77777777" w:rsidTr="004B2EA4">
        <w:trPr>
          <w:trHeight w:val="230"/>
        </w:trPr>
        <w:tc>
          <w:tcPr>
            <w:tcW w:w="3346" w:type="dxa"/>
            <w:tcBorders>
              <w:left w:val="single" w:sz="4" w:space="0" w:color="auto"/>
            </w:tcBorders>
          </w:tcPr>
          <w:p w14:paraId="12FB5293"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м2</w:t>
            </w:r>
          </w:p>
        </w:tc>
        <w:tc>
          <w:tcPr>
            <w:tcW w:w="2362" w:type="dxa"/>
            <w:tcBorders>
              <w:right w:val="single" w:sz="4" w:space="0" w:color="auto"/>
            </w:tcBorders>
          </w:tcPr>
          <w:p w14:paraId="4E9B9D4E" w14:textId="77777777" w:rsidR="000A05C4" w:rsidRPr="00E93F40" w:rsidRDefault="000A05C4" w:rsidP="00E93F40">
            <w:pPr>
              <w:spacing w:after="0" w:line="240" w:lineRule="auto"/>
              <w:jc w:val="both"/>
              <w:rPr>
                <w:rFonts w:ascii="Times New Roman" w:hAnsi="Times New Roman"/>
                <w:color w:val="000000" w:themeColor="text1"/>
                <w:sz w:val="16"/>
                <w:szCs w:val="16"/>
              </w:rPr>
            </w:pPr>
          </w:p>
        </w:tc>
      </w:tr>
      <w:tr w:rsidR="000A05C4" w:rsidRPr="00E93F40" w14:paraId="753493AE" w14:textId="77777777" w:rsidTr="004B2EA4">
        <w:trPr>
          <w:trHeight w:val="221"/>
        </w:trPr>
        <w:tc>
          <w:tcPr>
            <w:tcW w:w="3346" w:type="dxa"/>
            <w:tcBorders>
              <w:left w:val="single" w:sz="4" w:space="0" w:color="auto"/>
            </w:tcBorders>
            <w:vAlign w:val="bottom"/>
          </w:tcPr>
          <w:p w14:paraId="5593D6E4"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крыльев</w:t>
            </w:r>
          </w:p>
        </w:tc>
        <w:tc>
          <w:tcPr>
            <w:tcW w:w="2362" w:type="dxa"/>
            <w:tcBorders>
              <w:right w:val="single" w:sz="4" w:space="0" w:color="auto"/>
            </w:tcBorders>
            <w:vAlign w:val="bottom"/>
          </w:tcPr>
          <w:p w14:paraId="23A7BE19"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20,80</w:t>
            </w:r>
          </w:p>
        </w:tc>
      </w:tr>
      <w:tr w:rsidR="000A05C4" w:rsidRPr="00E93F40" w14:paraId="5A29B7DE" w14:textId="77777777" w:rsidTr="004B2EA4">
        <w:trPr>
          <w:trHeight w:val="216"/>
        </w:trPr>
        <w:tc>
          <w:tcPr>
            <w:tcW w:w="3346" w:type="dxa"/>
            <w:tcBorders>
              <w:left w:val="single" w:sz="4" w:space="0" w:color="auto"/>
            </w:tcBorders>
          </w:tcPr>
          <w:p w14:paraId="7D1268CD"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Взлетная масса, кг</w:t>
            </w:r>
          </w:p>
        </w:tc>
        <w:tc>
          <w:tcPr>
            <w:tcW w:w="2362" w:type="dxa"/>
            <w:tcBorders>
              <w:right w:val="single" w:sz="4" w:space="0" w:color="auto"/>
            </w:tcBorders>
          </w:tcPr>
          <w:p w14:paraId="464B8492" w14:textId="77777777" w:rsidR="000A05C4" w:rsidRPr="00E93F40" w:rsidRDefault="000A05C4" w:rsidP="00E93F40">
            <w:pPr>
              <w:spacing w:after="0" w:line="240" w:lineRule="auto"/>
              <w:jc w:val="both"/>
              <w:rPr>
                <w:rFonts w:ascii="Times New Roman" w:hAnsi="Times New Roman"/>
                <w:color w:val="000000" w:themeColor="text1"/>
                <w:sz w:val="16"/>
                <w:szCs w:val="16"/>
              </w:rPr>
            </w:pPr>
          </w:p>
        </w:tc>
      </w:tr>
      <w:tr w:rsidR="000A05C4" w:rsidRPr="00E93F40" w14:paraId="64D60653" w14:textId="77777777" w:rsidTr="004B2EA4">
        <w:trPr>
          <w:trHeight w:val="230"/>
        </w:trPr>
        <w:tc>
          <w:tcPr>
            <w:tcW w:w="3346" w:type="dxa"/>
            <w:tcBorders>
              <w:left w:val="single" w:sz="4" w:space="0" w:color="auto"/>
            </w:tcBorders>
            <w:vAlign w:val="bottom"/>
          </w:tcPr>
          <w:p w14:paraId="0D7FAFE5"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нормальная</w:t>
            </w:r>
          </w:p>
        </w:tc>
        <w:tc>
          <w:tcPr>
            <w:tcW w:w="2362" w:type="dxa"/>
            <w:tcBorders>
              <w:right w:val="single" w:sz="4" w:space="0" w:color="auto"/>
            </w:tcBorders>
            <w:vAlign w:val="bottom"/>
          </w:tcPr>
          <w:p w14:paraId="768B9B69"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1424</w:t>
            </w:r>
          </w:p>
        </w:tc>
      </w:tr>
      <w:tr w:rsidR="000A05C4" w:rsidRPr="00E93F40" w14:paraId="309AFEC2" w14:textId="77777777" w:rsidTr="004B2EA4">
        <w:trPr>
          <w:trHeight w:val="211"/>
        </w:trPr>
        <w:tc>
          <w:tcPr>
            <w:tcW w:w="3346" w:type="dxa"/>
            <w:tcBorders>
              <w:left w:val="single" w:sz="4" w:space="0" w:color="auto"/>
            </w:tcBorders>
          </w:tcPr>
          <w:p w14:paraId="01BD8FAC"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пустого самолета, кг</w:t>
            </w:r>
          </w:p>
        </w:tc>
        <w:tc>
          <w:tcPr>
            <w:tcW w:w="2362" w:type="dxa"/>
            <w:tcBorders>
              <w:right w:val="single" w:sz="4" w:space="0" w:color="auto"/>
            </w:tcBorders>
          </w:tcPr>
          <w:p w14:paraId="603D7414"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0A05C4" w:rsidRPr="00E93F40" w14:paraId="47322606" w14:textId="77777777" w:rsidTr="004B2EA4">
        <w:trPr>
          <w:trHeight w:val="211"/>
        </w:trPr>
        <w:tc>
          <w:tcPr>
            <w:tcW w:w="3346" w:type="dxa"/>
            <w:tcBorders>
              <w:left w:val="single" w:sz="4" w:space="0" w:color="auto"/>
            </w:tcBorders>
            <w:vAlign w:val="bottom"/>
          </w:tcPr>
          <w:p w14:paraId="452C1AA3"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топлива, кг</w:t>
            </w:r>
          </w:p>
        </w:tc>
        <w:tc>
          <w:tcPr>
            <w:tcW w:w="2362" w:type="dxa"/>
            <w:tcBorders>
              <w:right w:val="single" w:sz="4" w:space="0" w:color="auto"/>
            </w:tcBorders>
            <w:vAlign w:val="bottom"/>
          </w:tcPr>
          <w:p w14:paraId="4806C7F7"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w:t>
            </w:r>
          </w:p>
        </w:tc>
      </w:tr>
      <w:tr w:rsidR="000A05C4" w:rsidRPr="00E93F40" w14:paraId="420D6F8F" w14:textId="77777777" w:rsidTr="004B2EA4">
        <w:trPr>
          <w:trHeight w:val="235"/>
        </w:trPr>
        <w:tc>
          <w:tcPr>
            <w:tcW w:w="3346" w:type="dxa"/>
            <w:tcBorders>
              <w:left w:val="single" w:sz="4" w:space="0" w:color="auto"/>
            </w:tcBorders>
            <w:vAlign w:val="bottom"/>
          </w:tcPr>
          <w:p w14:paraId="69E97F1B"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набора высоты, мин</w:t>
            </w:r>
          </w:p>
        </w:tc>
        <w:tc>
          <w:tcPr>
            <w:tcW w:w="2362" w:type="dxa"/>
            <w:tcBorders>
              <w:right w:val="single" w:sz="4" w:space="0" w:color="auto"/>
            </w:tcBorders>
            <w:vAlign w:val="bottom"/>
          </w:tcPr>
          <w:p w14:paraId="3DBE2139"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10,32/3000</w:t>
            </w:r>
          </w:p>
        </w:tc>
      </w:tr>
      <w:tr w:rsidR="000A05C4" w:rsidRPr="00E93F40" w14:paraId="73C81940" w14:textId="77777777" w:rsidTr="004B2EA4">
        <w:trPr>
          <w:trHeight w:val="211"/>
        </w:trPr>
        <w:tc>
          <w:tcPr>
            <w:tcW w:w="3346" w:type="dxa"/>
            <w:tcBorders>
              <w:left w:val="single" w:sz="4" w:space="0" w:color="auto"/>
            </w:tcBorders>
          </w:tcPr>
          <w:p w14:paraId="187D915A"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p>
        </w:tc>
        <w:tc>
          <w:tcPr>
            <w:tcW w:w="2362" w:type="dxa"/>
            <w:tcBorders>
              <w:right w:val="single" w:sz="4" w:space="0" w:color="auto"/>
            </w:tcBorders>
          </w:tcPr>
          <w:p w14:paraId="243DD95A"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8500</w:t>
            </w:r>
          </w:p>
        </w:tc>
      </w:tr>
      <w:tr w:rsidR="000A05C4" w:rsidRPr="00E93F40" w14:paraId="244D6B8B" w14:textId="77777777" w:rsidTr="004B2EA4">
        <w:trPr>
          <w:trHeight w:val="221"/>
        </w:trPr>
        <w:tc>
          <w:tcPr>
            <w:tcW w:w="3346" w:type="dxa"/>
            <w:tcBorders>
              <w:left w:val="single" w:sz="4" w:space="0" w:color="auto"/>
            </w:tcBorders>
            <w:vAlign w:val="bottom"/>
          </w:tcPr>
          <w:p w14:paraId="5E7D97FF"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полета, ч</w:t>
            </w:r>
          </w:p>
        </w:tc>
        <w:tc>
          <w:tcPr>
            <w:tcW w:w="2362" w:type="dxa"/>
            <w:tcBorders>
              <w:right w:val="single" w:sz="4" w:space="0" w:color="auto"/>
            </w:tcBorders>
            <w:vAlign w:val="bottom"/>
          </w:tcPr>
          <w:p w14:paraId="133CF345"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r>
      <w:tr w:rsidR="000A05C4" w:rsidRPr="00E93F40" w14:paraId="256621AD" w14:textId="77777777" w:rsidTr="004B2EA4">
        <w:trPr>
          <w:trHeight w:val="221"/>
        </w:trPr>
        <w:tc>
          <w:tcPr>
            <w:tcW w:w="3346" w:type="dxa"/>
            <w:tcBorders>
              <w:left w:val="single" w:sz="4" w:space="0" w:color="auto"/>
            </w:tcBorders>
            <w:vAlign w:val="bottom"/>
          </w:tcPr>
          <w:p w14:paraId="4923864B"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2362" w:type="dxa"/>
            <w:tcBorders>
              <w:right w:val="single" w:sz="4" w:space="0" w:color="auto"/>
            </w:tcBorders>
          </w:tcPr>
          <w:p w14:paraId="72E3BA11" w14:textId="77777777" w:rsidR="000A05C4" w:rsidRPr="00E93F40" w:rsidRDefault="000A05C4" w:rsidP="00E93F40">
            <w:pPr>
              <w:spacing w:after="0" w:line="240" w:lineRule="auto"/>
              <w:jc w:val="both"/>
              <w:rPr>
                <w:rFonts w:ascii="Times New Roman" w:hAnsi="Times New Roman"/>
                <w:color w:val="000000" w:themeColor="text1"/>
                <w:sz w:val="16"/>
                <w:szCs w:val="16"/>
              </w:rPr>
            </w:pPr>
          </w:p>
        </w:tc>
      </w:tr>
      <w:tr w:rsidR="000A05C4" w:rsidRPr="00E93F40" w14:paraId="6E3ECE4E" w14:textId="77777777" w:rsidTr="004B2EA4">
        <w:trPr>
          <w:trHeight w:val="221"/>
        </w:trPr>
        <w:tc>
          <w:tcPr>
            <w:tcW w:w="3346" w:type="dxa"/>
            <w:tcBorders>
              <w:left w:val="single" w:sz="4" w:space="0" w:color="auto"/>
            </w:tcBorders>
            <w:vAlign w:val="bottom"/>
          </w:tcPr>
          <w:p w14:paraId="5A26BB4B"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стрелковое (число х калибр, мм)</w:t>
            </w:r>
          </w:p>
        </w:tc>
        <w:tc>
          <w:tcPr>
            <w:tcW w:w="2362" w:type="dxa"/>
            <w:tcBorders>
              <w:right w:val="single" w:sz="4" w:space="0" w:color="auto"/>
            </w:tcBorders>
            <w:vAlign w:val="bottom"/>
          </w:tcPr>
          <w:p w14:paraId="1AEC1719"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2x7,62</w:t>
            </w:r>
          </w:p>
        </w:tc>
      </w:tr>
      <w:tr w:rsidR="000A05C4" w:rsidRPr="00E93F40" w14:paraId="4FD7197F" w14:textId="77777777" w:rsidTr="004B2EA4">
        <w:trPr>
          <w:trHeight w:val="293"/>
        </w:trPr>
        <w:tc>
          <w:tcPr>
            <w:tcW w:w="3346" w:type="dxa"/>
            <w:tcBorders>
              <w:left w:val="single" w:sz="4" w:space="0" w:color="auto"/>
              <w:bottom w:val="single" w:sz="4" w:space="0" w:color="auto"/>
            </w:tcBorders>
          </w:tcPr>
          <w:p w14:paraId="7A7D7753"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чел.</w:t>
            </w:r>
          </w:p>
        </w:tc>
        <w:tc>
          <w:tcPr>
            <w:tcW w:w="2362" w:type="dxa"/>
            <w:tcBorders>
              <w:bottom w:val="single" w:sz="4" w:space="0" w:color="auto"/>
              <w:right w:val="single" w:sz="4" w:space="0" w:color="auto"/>
            </w:tcBorders>
          </w:tcPr>
          <w:p w14:paraId="3A57A80F"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bl>
    <w:p w14:paraId="09F9F302"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(23474).</w:t>
      </w:r>
    </w:p>
    <w:p w14:paraId="54EC4D58"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56233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Первая серия АНТ-6 (ТБ-3) из 10 была выпущена в апреле 1932 - для первомайского парада (156,17).</w:t>
      </w:r>
    </w:p>
    <w:p w14:paraId="1FA9B4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9D2116" w14:textId="4310EF9C"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на заводе № 22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была закончена первая серия, которая состояла из девяти са</w:t>
      </w:r>
      <w:r w:rsidRPr="00E93F40">
        <w:rPr>
          <w:rFonts w:ascii="Times New Roman" w:hAnsi="Times New Roman"/>
          <w:color w:val="000000" w:themeColor="text1"/>
          <w:sz w:val="16"/>
          <w:szCs w:val="16"/>
        </w:rPr>
        <w:softHyphen/>
        <w:t>молетов АНТ-6 (начиная с №2201) и они приня</w:t>
      </w:r>
      <w:r w:rsidRPr="00E93F40">
        <w:rPr>
          <w:rFonts w:ascii="Times New Roman" w:hAnsi="Times New Roman"/>
          <w:color w:val="000000" w:themeColor="text1"/>
          <w:sz w:val="16"/>
          <w:szCs w:val="16"/>
        </w:rPr>
        <w:softHyphen/>
        <w:t>ли участие в первомайском параде 1932 г. над Красной площадью.</w:t>
      </w:r>
    </w:p>
    <w:p w14:paraId="650B2574"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завода №22, ТБ—3 строили еще два завода: Московский — № 39 и Во</w:t>
      </w:r>
      <w:r w:rsidRPr="00E93F40">
        <w:rPr>
          <w:rFonts w:ascii="Times New Roman" w:hAnsi="Times New Roman"/>
          <w:color w:val="000000" w:themeColor="text1"/>
          <w:sz w:val="16"/>
          <w:szCs w:val="16"/>
        </w:rPr>
        <w:softHyphen/>
        <w:t>ронежский — № 18.</w:t>
      </w:r>
    </w:p>
    <w:p w14:paraId="77A8B285"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Представителем КБ на заводе №39 был И.Ф. Незваль. Предприятие выпус</w:t>
      </w:r>
      <w:r w:rsidRPr="00E93F40">
        <w:rPr>
          <w:rFonts w:ascii="Times New Roman" w:hAnsi="Times New Roman"/>
          <w:color w:val="000000" w:themeColor="text1"/>
          <w:sz w:val="16"/>
          <w:szCs w:val="16"/>
        </w:rPr>
        <w:softHyphen/>
        <w:t>тило 50 самолетов. Большую часть из них облетал В.П. Чкалов. Первую завод</w:t>
      </w:r>
      <w:r w:rsidRPr="00E93F40">
        <w:rPr>
          <w:rFonts w:ascii="Times New Roman" w:hAnsi="Times New Roman"/>
          <w:color w:val="000000" w:themeColor="text1"/>
          <w:sz w:val="16"/>
          <w:szCs w:val="16"/>
        </w:rPr>
        <w:softHyphen/>
        <w:t>скую машину (№3901) поднял в воздух Ю.И. Пионтковский. Ее заводские ис</w:t>
      </w:r>
      <w:r w:rsidRPr="00E93F40">
        <w:rPr>
          <w:rFonts w:ascii="Times New Roman" w:hAnsi="Times New Roman"/>
          <w:color w:val="000000" w:themeColor="text1"/>
          <w:sz w:val="16"/>
          <w:szCs w:val="16"/>
        </w:rPr>
        <w:softHyphen/>
        <w:t>пытания в НИИ начались 7 декабря 1932 г.</w:t>
      </w:r>
    </w:p>
    <w:p w14:paraId="1DD5A14A"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Воронеже было построено всего шесть ТБ—3. Первый из них взлетел с за</w:t>
      </w:r>
      <w:r w:rsidRPr="00E93F40">
        <w:rPr>
          <w:rFonts w:ascii="Times New Roman" w:hAnsi="Times New Roman"/>
          <w:color w:val="000000" w:themeColor="text1"/>
          <w:sz w:val="16"/>
          <w:szCs w:val="16"/>
        </w:rPr>
        <w:softHyphen/>
        <w:t>водского аэродрома в сентябре 1934 г. (23474).</w:t>
      </w:r>
    </w:p>
    <w:p w14:paraId="279948DC"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4C7FA8C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закончились гос. испытания Р6 2М17, эталон 1932 года, которые проходили с 21 января 1932 (6778).</w:t>
      </w:r>
    </w:p>
    <w:p w14:paraId="587A152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89A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13 июля 1931 и 1 августа 1931 был рассмотрен макет самолетов МИ3-2М34 опытный и дублер (7415, 16).</w:t>
      </w:r>
    </w:p>
    <w:p w14:paraId="60DD5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8029E2"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комиссия осмотрела и утвердила макет машины – дублер МИ-3 — МИ—ЗД (заводское обозначение — АНТ—21 бис). Основные агрегаты начали делать такими же, как и для первой машины. Однако ре</w:t>
      </w:r>
      <w:r w:rsidRPr="00E93F40">
        <w:rPr>
          <w:rFonts w:ascii="Times New Roman" w:hAnsi="Times New Roman"/>
          <w:color w:val="000000" w:themeColor="text1"/>
          <w:sz w:val="16"/>
          <w:szCs w:val="16"/>
        </w:rPr>
        <w:softHyphen/>
        <w:t>зультаты испытаний МИ—3 вынудили инженеров сильно изменить конструк</w:t>
      </w:r>
      <w:r w:rsidRPr="00E93F40">
        <w:rPr>
          <w:rFonts w:ascii="Times New Roman" w:hAnsi="Times New Roman"/>
          <w:color w:val="000000" w:themeColor="text1"/>
          <w:sz w:val="16"/>
          <w:szCs w:val="16"/>
        </w:rPr>
        <w:softHyphen/>
        <w:t>цию. Пришлось заново проектировать хвостовое оперение. Оно стало однокиле</w:t>
      </w:r>
      <w:r w:rsidRPr="00E93F40">
        <w:rPr>
          <w:rFonts w:ascii="Times New Roman" w:hAnsi="Times New Roman"/>
          <w:color w:val="000000" w:themeColor="text1"/>
          <w:sz w:val="16"/>
          <w:szCs w:val="16"/>
        </w:rPr>
        <w:softHyphen/>
        <w:t>вым. Управляемый в полете стабилизатор поставили на киле. Доработки коснулись хвостовой части фюзеляжа, шасси и цен</w:t>
      </w:r>
      <w:r w:rsidRPr="00E93F40">
        <w:rPr>
          <w:rFonts w:ascii="Times New Roman" w:hAnsi="Times New Roman"/>
          <w:color w:val="000000" w:themeColor="text1"/>
          <w:sz w:val="16"/>
          <w:szCs w:val="16"/>
        </w:rPr>
        <w:softHyphen/>
        <w:t>троплана. Как и на МИ—3, гофрирован</w:t>
      </w:r>
      <w:r w:rsidRPr="00E93F40">
        <w:rPr>
          <w:rFonts w:ascii="Times New Roman" w:hAnsi="Times New Roman"/>
          <w:color w:val="000000" w:themeColor="text1"/>
          <w:sz w:val="16"/>
          <w:szCs w:val="16"/>
        </w:rPr>
        <w:softHyphen/>
        <w:t>ную обшивку крыла и оперения обтянули полотном.</w:t>
      </w:r>
    </w:p>
    <w:p w14:paraId="0DD3B73E"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января МИ—ЗД перевезли на аэродром (23474)..</w:t>
      </w:r>
    </w:p>
    <w:p w14:paraId="0E298DD5"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26C281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С.П.К. завершил проект самолета из электрона Электрон-1 (105,150).</w:t>
      </w:r>
    </w:p>
    <w:p w14:paraId="0F01D7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B31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начали строить АИР-7 на заводе Менжинского и строили 7 месяцев (212,14).</w:t>
      </w:r>
    </w:p>
    <w:p w14:paraId="75D37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A813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закончились гос. испытания АИР-5 в НИИ ГВФ (210,11).</w:t>
      </w:r>
    </w:p>
    <w:p w14:paraId="66FBE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9CD57F" w14:textId="77777777" w:rsidR="00DE62AA" w:rsidRPr="00E93F40" w:rsidRDefault="00DE62A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апреле 1932 г. начались заводские летные испытания лодку первой С-62Б с завода № 31 заводским номером ОЕ-78. Затем самолет передали на государственные испытания в Особый морской отдел (ОМО) НИИ ВВС в Севастополе. Было очевидно падение характеристик – самолет был перетяжелен: вес пустого самолета был 2860 кг против веса, указанного в техусловиях – 2674 кг. (РГВА. Ф. 29. Оп. 76. Д. 1415. Отчет об испытании вооружения на самолете С-62бис. 1.1.32-30.12.32. Л. 5.). Поскольку серия была невелика – 5 шт. и считалась промежуточной между С-62 бис и МБР-4, проводивший испытания инженер Украинцев рекомендовал отдать лодку в летную школу, поскольку для эксплуатации на флотах она была непригодна (РГВА. Ф. 29. Оп. 76. Д. 1412. Материалы по испытанию самолетов С-62бис. </w:t>
      </w:r>
      <w:r w:rsidRPr="00E93F40">
        <w:rPr>
          <w:rFonts w:ascii="Times New Roman" w:hAnsi="Times New Roman"/>
          <w:color w:val="000000" w:themeColor="text1"/>
          <w:sz w:val="16"/>
          <w:szCs w:val="16"/>
        </w:rPr>
        <w:lastRenderedPageBreak/>
        <w:t>31.3.32- 30.12.32. Л. 14.). По результатам военной приемки констатировалось, что эти С-62КЭ не могут считаться взаимозаменяемыми и следует их признать неподлежащими к эксплуатации в строевых частях. (21410).</w:t>
      </w:r>
    </w:p>
    <w:p w14:paraId="02B71C8B" w14:textId="77777777" w:rsidR="00DE62AA" w:rsidRPr="00E93F40" w:rsidRDefault="00DE62AA" w:rsidP="00E93F40">
      <w:pPr>
        <w:spacing w:after="0" w:line="240" w:lineRule="auto"/>
        <w:jc w:val="both"/>
        <w:rPr>
          <w:rFonts w:ascii="Times New Roman" w:hAnsi="Times New Roman"/>
          <w:color w:val="000000" w:themeColor="text1"/>
          <w:sz w:val="16"/>
          <w:szCs w:val="16"/>
        </w:rPr>
      </w:pPr>
    </w:p>
    <w:p w14:paraId="60363977" w14:textId="77777777" w:rsidR="00DE62AA" w:rsidRPr="00E93F40" w:rsidRDefault="00DE62AA"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 апреле 1932 С-62КЭ, построенный в Таганроге, с серийным номером ОЕ-68 передали на государственные испытания в Особый морской отдел НИИ ВВС в Севастополе. Характеристики С-62КЭ оказались настолько хуже импортных С-62Б, что по результатам испытаний было рекомендовано отдать само</w:t>
      </w:r>
      <w:r w:rsidRPr="00E93F40">
        <w:rPr>
          <w:rFonts w:ascii="Times New Roman" w:hAnsi="Times New Roman"/>
          <w:color w:val="000000" w:themeColor="text1"/>
          <w:sz w:val="16"/>
          <w:szCs w:val="16"/>
          <w:lang w:eastAsia="ru-RU" w:bidi="ru-RU"/>
        </w:rPr>
        <w:softHyphen/>
        <w:t>лет в летную школу, поскольку для эксплуатации на фло</w:t>
      </w:r>
      <w:r w:rsidRPr="00E93F40">
        <w:rPr>
          <w:rFonts w:ascii="Times New Roman" w:hAnsi="Times New Roman"/>
          <w:color w:val="000000" w:themeColor="text1"/>
          <w:sz w:val="16"/>
          <w:szCs w:val="16"/>
          <w:lang w:eastAsia="ru-RU" w:bidi="ru-RU"/>
        </w:rPr>
        <w:softHyphen/>
        <w:t>тах он явно не годился. В свою очередь, военная приемка сообщала, что дета</w:t>
      </w:r>
      <w:r w:rsidRPr="00E93F40">
        <w:rPr>
          <w:rFonts w:ascii="Times New Roman" w:hAnsi="Times New Roman"/>
          <w:color w:val="000000" w:themeColor="text1"/>
          <w:sz w:val="16"/>
          <w:szCs w:val="16"/>
          <w:lang w:eastAsia="ru-RU" w:bidi="ru-RU"/>
        </w:rPr>
        <w:softHyphen/>
        <w:t>ли построенных С-62КЭ не взаимозаменяемы. Военпреда</w:t>
      </w:r>
      <w:r w:rsidRPr="00E93F40">
        <w:rPr>
          <w:rFonts w:ascii="Times New Roman" w:hAnsi="Times New Roman"/>
          <w:color w:val="000000" w:themeColor="text1"/>
          <w:sz w:val="16"/>
          <w:szCs w:val="16"/>
          <w:lang w:eastAsia="ru-RU" w:bidi="ru-RU"/>
        </w:rPr>
        <w:softHyphen/>
        <w:t>ми отмечались трещины силовых конструкций, местные утолщения обшивки, щели в стыках, плохая окраска. Не</w:t>
      </w:r>
      <w:r w:rsidRPr="00E93F40">
        <w:rPr>
          <w:rFonts w:ascii="Times New Roman" w:hAnsi="Times New Roman"/>
          <w:color w:val="000000" w:themeColor="text1"/>
          <w:sz w:val="16"/>
          <w:szCs w:val="16"/>
          <w:lang w:eastAsia="ru-RU" w:bidi="ru-RU"/>
        </w:rPr>
        <w:softHyphen/>
        <w:t>удивительно, что самолеты признали непригодными для ис</w:t>
      </w:r>
      <w:r w:rsidRPr="00E93F40">
        <w:rPr>
          <w:rFonts w:ascii="Times New Roman" w:hAnsi="Times New Roman"/>
          <w:color w:val="000000" w:themeColor="text1"/>
          <w:sz w:val="16"/>
          <w:szCs w:val="16"/>
          <w:lang w:eastAsia="ru-RU" w:bidi="ru-RU"/>
        </w:rPr>
        <w:softHyphen/>
        <w:t>пользования в строевых частях. Три летающие лодки пе</w:t>
      </w:r>
      <w:r w:rsidRPr="00E93F40">
        <w:rPr>
          <w:rFonts w:ascii="Times New Roman" w:hAnsi="Times New Roman"/>
          <w:color w:val="000000" w:themeColor="text1"/>
          <w:sz w:val="16"/>
          <w:szCs w:val="16"/>
          <w:lang w:eastAsia="ru-RU" w:bidi="ru-RU"/>
        </w:rPr>
        <w:softHyphen/>
        <w:t>редали гражданским эксплуатантам, а две использовали в учебных целях (20325).</w:t>
      </w:r>
    </w:p>
    <w:p w14:paraId="1B4776CE" w14:textId="77777777" w:rsidR="00DE62AA" w:rsidRPr="00E93F40" w:rsidRDefault="00DE62AA" w:rsidP="00E93F40">
      <w:pPr>
        <w:spacing w:after="0" w:line="240" w:lineRule="auto"/>
        <w:jc w:val="both"/>
        <w:rPr>
          <w:rFonts w:ascii="Times New Roman" w:hAnsi="Times New Roman"/>
          <w:color w:val="000000" w:themeColor="text1"/>
          <w:sz w:val="16"/>
          <w:szCs w:val="16"/>
          <w:lang w:eastAsia="ru-RU" w:bidi="ru-RU"/>
        </w:rPr>
      </w:pPr>
    </w:p>
    <w:p w14:paraId="58BD9122"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самолет С-62КЭ пере</w:t>
      </w:r>
      <w:r w:rsidRPr="00142305">
        <w:rPr>
          <w:rFonts w:ascii="Times New Roman" w:hAnsi="Times New Roman"/>
          <w:color w:val="0070C0"/>
          <w:sz w:val="16"/>
          <w:szCs w:val="16"/>
        </w:rPr>
        <w:softHyphen/>
        <w:t>дали на государственные испытания в Особый морской отдел (ОМО) НИИ ВВС в Севастополе. Тамошние специалис</w:t>
      </w:r>
      <w:r w:rsidRPr="00142305">
        <w:rPr>
          <w:rFonts w:ascii="Times New Roman" w:hAnsi="Times New Roman"/>
          <w:color w:val="0070C0"/>
          <w:sz w:val="16"/>
          <w:szCs w:val="16"/>
        </w:rPr>
        <w:softHyphen/>
        <w:t>ты явно ожидали, что С-62КЭ окажет</w:t>
      </w:r>
      <w:r w:rsidRPr="00142305">
        <w:rPr>
          <w:rFonts w:ascii="Times New Roman" w:hAnsi="Times New Roman"/>
          <w:color w:val="0070C0"/>
          <w:sz w:val="16"/>
          <w:szCs w:val="16"/>
        </w:rPr>
        <w:softHyphen/>
        <w:t>ся хуже импортного С-62Б, но падение характеристик превзошло даже самые пессимистические оценки. Скорость у поверхности моря дошла только до 198 км/ч (на заводе намеряли 200 км/ч). Практический потолок ограничивался 4320 м.</w:t>
      </w:r>
    </w:p>
    <w:p w14:paraId="7B759DEA"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Бомбодержатели отсутствова</w:t>
      </w:r>
      <w:r w:rsidRPr="00142305">
        <w:rPr>
          <w:rFonts w:ascii="Times New Roman" w:hAnsi="Times New Roman"/>
          <w:color w:val="0070C0"/>
          <w:sz w:val="16"/>
          <w:szCs w:val="16"/>
        </w:rPr>
        <w:softHyphen/>
        <w:t>ли, на самолете уже стояли две турели Тур-6, но у передней боезапас составлял 14 дисков, а у задней - 12. Проводивший испытания инженер Украинцев рекомен</w:t>
      </w:r>
      <w:r w:rsidRPr="00142305">
        <w:rPr>
          <w:rFonts w:ascii="Times New Roman" w:hAnsi="Times New Roman"/>
          <w:color w:val="0070C0"/>
          <w:sz w:val="16"/>
          <w:szCs w:val="16"/>
        </w:rPr>
        <w:softHyphen/>
        <w:t>довал отдать лодку в летную школу, по</w:t>
      </w:r>
      <w:r w:rsidRPr="00142305">
        <w:rPr>
          <w:rFonts w:ascii="Times New Roman" w:hAnsi="Times New Roman"/>
          <w:color w:val="0070C0"/>
          <w:sz w:val="16"/>
          <w:szCs w:val="16"/>
        </w:rPr>
        <w:softHyphen/>
        <w:t>скольку для эксплуатации на флотах она явно не годилась.</w:t>
      </w:r>
    </w:p>
    <w:p w14:paraId="6A380EAB"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Военная приемка сообщила, что все С-62КЭ не взаимозаменяемы. Отмеча</w:t>
      </w:r>
      <w:r w:rsidRPr="00142305">
        <w:rPr>
          <w:rFonts w:ascii="Times New Roman" w:hAnsi="Times New Roman"/>
          <w:color w:val="0070C0"/>
          <w:sz w:val="16"/>
          <w:szCs w:val="16"/>
        </w:rPr>
        <w:softHyphen/>
        <w:t>лись трещины в силовых конструкциях, местные утолщения обшивки, щели в стыках, плохая окраска.</w:t>
      </w:r>
    </w:p>
    <w:p w14:paraId="0397AF49"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С-62КЭ признали непригодными для использования в строевых частях. Три из них передали в ведомственную авиацию, два использовали как военные учебные (24948).</w:t>
      </w:r>
    </w:p>
    <w:p w14:paraId="6D2C2BFA" w14:textId="77777777" w:rsidR="007D5E72" w:rsidRPr="00142305" w:rsidRDefault="007D5E72" w:rsidP="007D5E72">
      <w:pPr>
        <w:spacing w:after="0" w:line="240" w:lineRule="auto"/>
        <w:jc w:val="both"/>
        <w:rPr>
          <w:rFonts w:ascii="Times New Roman" w:hAnsi="Times New Roman"/>
          <w:color w:val="0070C0"/>
          <w:sz w:val="16"/>
          <w:szCs w:val="16"/>
        </w:rPr>
      </w:pPr>
    </w:p>
    <w:p w14:paraId="7F0BB17B"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В апреле 1932 г. МБР-2 был готов к испытаниям. Летчи</w:t>
      </w:r>
      <w:r w:rsidRPr="00142305">
        <w:rPr>
          <w:rStyle w:val="aff"/>
          <w:rFonts w:ascii="Times New Roman" w:eastAsiaTheme="minorHAnsi" w:hAnsi="Times New Roman" w:cs="Times New Roman"/>
          <w:color w:val="0070C0"/>
          <w:spacing w:val="0"/>
          <w:sz w:val="16"/>
          <w:szCs w:val="16"/>
        </w:rPr>
        <w:softHyphen/>
        <w:t>ком-испытателем первого гидросамо</w:t>
      </w:r>
      <w:r w:rsidRPr="00142305">
        <w:rPr>
          <w:rStyle w:val="aff"/>
          <w:rFonts w:ascii="Times New Roman" w:eastAsiaTheme="minorHAnsi" w:hAnsi="Times New Roman" w:cs="Times New Roman"/>
          <w:color w:val="0070C0"/>
          <w:spacing w:val="0"/>
          <w:sz w:val="16"/>
          <w:szCs w:val="16"/>
        </w:rPr>
        <w:softHyphen/>
        <w:t>лета Г.М. Бериева стал известный морской летчик Бенедикт Львович Бухгольц, бортмехаником Владимир Александ</w:t>
      </w:r>
      <w:r w:rsidRPr="00142305">
        <w:rPr>
          <w:rStyle w:val="aff"/>
          <w:rFonts w:ascii="Times New Roman" w:eastAsiaTheme="minorHAnsi" w:hAnsi="Times New Roman" w:cs="Times New Roman"/>
          <w:color w:val="0070C0"/>
          <w:spacing w:val="0"/>
          <w:sz w:val="16"/>
          <w:szCs w:val="16"/>
        </w:rPr>
        <w:softHyphen/>
        <w:t>рович Днепров.</w:t>
      </w:r>
    </w:p>
    <w:p w14:paraId="7EA4BB48" w14:textId="77777777" w:rsidR="007D5E72" w:rsidRPr="00142305" w:rsidRDefault="007D5E72" w:rsidP="007D5E72">
      <w:pPr>
        <w:spacing w:after="0" w:line="240" w:lineRule="auto"/>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Первый полет но</w:t>
      </w:r>
      <w:r w:rsidRPr="00142305">
        <w:rPr>
          <w:rStyle w:val="aff"/>
          <w:rFonts w:ascii="Times New Roman" w:eastAsiaTheme="minorHAnsi" w:hAnsi="Times New Roman" w:cs="Times New Roman"/>
          <w:color w:val="0070C0"/>
          <w:spacing w:val="0"/>
          <w:sz w:val="16"/>
          <w:szCs w:val="16"/>
        </w:rPr>
        <w:softHyphen/>
        <w:t>вого морского раз</w:t>
      </w:r>
      <w:r w:rsidRPr="00142305">
        <w:rPr>
          <w:rStyle w:val="aff"/>
          <w:rFonts w:ascii="Times New Roman" w:eastAsiaTheme="minorHAnsi" w:hAnsi="Times New Roman" w:cs="Times New Roman"/>
          <w:color w:val="0070C0"/>
          <w:spacing w:val="0"/>
          <w:sz w:val="16"/>
          <w:szCs w:val="16"/>
        </w:rPr>
        <w:softHyphen/>
        <w:t>ведчика планировался на 30 апреля 1932 г. и должен был стать, как было принято, «очередным подар</w:t>
      </w:r>
      <w:r w:rsidRPr="00142305">
        <w:rPr>
          <w:rStyle w:val="aff"/>
          <w:rFonts w:ascii="Times New Roman" w:eastAsiaTheme="minorHAnsi" w:hAnsi="Times New Roman" w:cs="Times New Roman"/>
          <w:color w:val="0070C0"/>
          <w:spacing w:val="0"/>
          <w:sz w:val="16"/>
          <w:szCs w:val="16"/>
        </w:rPr>
        <w:softHyphen/>
        <w:t>ком к празднику Международной со</w:t>
      </w:r>
      <w:r w:rsidRPr="00142305">
        <w:rPr>
          <w:rStyle w:val="aff"/>
          <w:rFonts w:ascii="Times New Roman" w:eastAsiaTheme="minorHAnsi" w:hAnsi="Times New Roman" w:cs="Times New Roman"/>
          <w:color w:val="0070C0"/>
          <w:spacing w:val="0"/>
          <w:sz w:val="16"/>
          <w:szCs w:val="16"/>
        </w:rPr>
        <w:softHyphen/>
        <w:t>лидарности трудя</w:t>
      </w:r>
      <w:r w:rsidRPr="00142305">
        <w:rPr>
          <w:rStyle w:val="aff"/>
          <w:rFonts w:ascii="Times New Roman" w:eastAsiaTheme="minorHAnsi" w:hAnsi="Times New Roman" w:cs="Times New Roman"/>
          <w:color w:val="0070C0"/>
          <w:spacing w:val="0"/>
          <w:sz w:val="16"/>
          <w:szCs w:val="16"/>
        </w:rPr>
        <w:softHyphen/>
        <w:t>щихся». По этому случаю на гидробазе 45-го завода собра</w:t>
      </w:r>
      <w:r w:rsidRPr="00142305">
        <w:rPr>
          <w:rStyle w:val="aff"/>
          <w:rFonts w:ascii="Times New Roman" w:eastAsiaTheme="minorHAnsi" w:hAnsi="Times New Roman" w:cs="Times New Roman"/>
          <w:color w:val="0070C0"/>
          <w:spacing w:val="0"/>
          <w:sz w:val="16"/>
          <w:szCs w:val="16"/>
        </w:rPr>
        <w:softHyphen/>
        <w:t>лось много гостей. Экипаж торжествен</w:t>
      </w:r>
      <w:r w:rsidRPr="00142305">
        <w:rPr>
          <w:rStyle w:val="aff"/>
          <w:rFonts w:ascii="Times New Roman" w:eastAsiaTheme="minorHAnsi" w:hAnsi="Times New Roman" w:cs="Times New Roman"/>
          <w:color w:val="0070C0"/>
          <w:spacing w:val="0"/>
          <w:sz w:val="16"/>
          <w:szCs w:val="16"/>
        </w:rPr>
        <w:softHyphen/>
        <w:t>но поднялся в самолет, стоявший на перекатной те</w:t>
      </w:r>
      <w:r w:rsidRPr="00142305">
        <w:rPr>
          <w:rStyle w:val="aff"/>
          <w:rFonts w:ascii="Times New Roman" w:eastAsiaTheme="minorHAnsi" w:hAnsi="Times New Roman" w:cs="Times New Roman"/>
          <w:color w:val="0070C0"/>
          <w:spacing w:val="0"/>
          <w:sz w:val="16"/>
          <w:szCs w:val="16"/>
        </w:rPr>
        <w:softHyphen/>
        <w:t>лежке у гидроспуска.</w:t>
      </w:r>
    </w:p>
    <w:p w14:paraId="10B1C640"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Подошел ка</w:t>
      </w:r>
      <w:r w:rsidRPr="00142305">
        <w:rPr>
          <w:rStyle w:val="aff"/>
          <w:rFonts w:ascii="Times New Roman" w:eastAsiaTheme="minorHAnsi" w:hAnsi="Times New Roman" w:cs="Times New Roman"/>
          <w:color w:val="0070C0"/>
          <w:spacing w:val="0"/>
          <w:sz w:val="16"/>
          <w:szCs w:val="16"/>
        </w:rPr>
        <w:softHyphen/>
        <w:t>тер и подал на летающую лодку буксирные концы. Г.М. Бериев лич</w:t>
      </w:r>
      <w:r w:rsidRPr="00142305">
        <w:rPr>
          <w:rStyle w:val="aff"/>
          <w:rFonts w:ascii="Times New Roman" w:eastAsiaTheme="minorHAnsi" w:hAnsi="Times New Roman" w:cs="Times New Roman"/>
          <w:color w:val="0070C0"/>
          <w:spacing w:val="0"/>
          <w:sz w:val="16"/>
          <w:szCs w:val="16"/>
        </w:rPr>
        <w:softHyphen/>
        <w:t>но дал команду: «Машину на воду!». МБР-2 - на воде, и тут происходит непредвиденное: гидросамолет не захотел расставаться со своей пе</w:t>
      </w:r>
      <w:r w:rsidRPr="00142305">
        <w:rPr>
          <w:rStyle w:val="aff"/>
          <w:rFonts w:ascii="Times New Roman" w:eastAsiaTheme="minorHAnsi" w:hAnsi="Times New Roman" w:cs="Times New Roman"/>
          <w:color w:val="0070C0"/>
          <w:spacing w:val="0"/>
          <w:sz w:val="16"/>
          <w:szCs w:val="16"/>
        </w:rPr>
        <w:softHyphen/>
        <w:t>рекатной тележкой. Расстроенный неудачей Б.Л. Бухгольц, высунув</w:t>
      </w:r>
      <w:r w:rsidRPr="00142305">
        <w:rPr>
          <w:rStyle w:val="aff"/>
          <w:rFonts w:ascii="Times New Roman" w:eastAsiaTheme="minorHAnsi" w:hAnsi="Times New Roman" w:cs="Times New Roman"/>
          <w:color w:val="0070C0"/>
          <w:spacing w:val="0"/>
          <w:sz w:val="16"/>
          <w:szCs w:val="16"/>
        </w:rPr>
        <w:softHyphen/>
        <w:t>шись из кабины, своим громовым голосом стал подавать команды старшине катера, чтобы тот рыв</w:t>
      </w:r>
      <w:r w:rsidRPr="00142305">
        <w:rPr>
          <w:rStyle w:val="aff"/>
          <w:rFonts w:ascii="Times New Roman" w:eastAsiaTheme="minorHAnsi" w:hAnsi="Times New Roman" w:cs="Times New Roman"/>
          <w:color w:val="0070C0"/>
          <w:spacing w:val="0"/>
          <w:sz w:val="16"/>
          <w:szCs w:val="16"/>
        </w:rPr>
        <w:softHyphen/>
        <w:t>ками оторвал гидросамолет от те</w:t>
      </w:r>
      <w:r w:rsidRPr="00142305">
        <w:rPr>
          <w:rStyle w:val="aff"/>
          <w:rFonts w:ascii="Times New Roman" w:eastAsiaTheme="minorHAnsi" w:hAnsi="Times New Roman" w:cs="Times New Roman"/>
          <w:color w:val="0070C0"/>
          <w:spacing w:val="0"/>
          <w:sz w:val="16"/>
          <w:szCs w:val="16"/>
        </w:rPr>
        <w:softHyphen/>
        <w:t>лежки. Но все усилия оказались тщетными - тележка словно при</w:t>
      </w:r>
      <w:r w:rsidRPr="00142305">
        <w:rPr>
          <w:rStyle w:val="aff"/>
          <w:rFonts w:ascii="Times New Roman" w:eastAsiaTheme="minorHAnsi" w:hAnsi="Times New Roman" w:cs="Times New Roman"/>
          <w:color w:val="0070C0"/>
          <w:spacing w:val="0"/>
          <w:sz w:val="16"/>
          <w:szCs w:val="16"/>
        </w:rPr>
        <w:softHyphen/>
        <w:t>росла к самолету. Стало ясно, что «дебют» МБР-2 сорвался, и разоча</w:t>
      </w:r>
      <w:r w:rsidRPr="00142305">
        <w:rPr>
          <w:rStyle w:val="aff"/>
          <w:rFonts w:ascii="Times New Roman" w:eastAsiaTheme="minorHAnsi" w:hAnsi="Times New Roman" w:cs="Times New Roman"/>
          <w:color w:val="0070C0"/>
          <w:spacing w:val="0"/>
          <w:sz w:val="16"/>
          <w:szCs w:val="16"/>
        </w:rPr>
        <w:softHyphen/>
        <w:t>рованные гости, посмеиваясь над испытателями, стали расходиться с гидробазы.</w:t>
      </w:r>
    </w:p>
    <w:p w14:paraId="0F0F39EE"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Машину вытаскивают из воды на гидроспуск, чтобы разобраться в причинах случившегося. Оказа</w:t>
      </w:r>
      <w:r w:rsidRPr="00142305">
        <w:rPr>
          <w:rStyle w:val="aff"/>
          <w:rFonts w:ascii="Times New Roman" w:eastAsiaTheme="minorHAnsi" w:hAnsi="Times New Roman" w:cs="Times New Roman"/>
          <w:color w:val="0070C0"/>
          <w:spacing w:val="0"/>
          <w:sz w:val="16"/>
          <w:szCs w:val="16"/>
        </w:rPr>
        <w:softHyphen/>
        <w:t>лось, что обитое войлоком ложе пе</w:t>
      </w:r>
      <w:r w:rsidRPr="00142305">
        <w:rPr>
          <w:rStyle w:val="aff"/>
          <w:rFonts w:ascii="Times New Roman" w:eastAsiaTheme="minorHAnsi" w:hAnsi="Times New Roman" w:cs="Times New Roman"/>
          <w:color w:val="0070C0"/>
          <w:spacing w:val="0"/>
          <w:sz w:val="16"/>
          <w:szCs w:val="16"/>
        </w:rPr>
        <w:softHyphen/>
        <w:t>рекатной тележки не было предва</w:t>
      </w:r>
      <w:r w:rsidRPr="00142305">
        <w:rPr>
          <w:rStyle w:val="aff"/>
          <w:rFonts w:ascii="Times New Roman" w:eastAsiaTheme="minorHAnsi" w:hAnsi="Times New Roman" w:cs="Times New Roman"/>
          <w:color w:val="0070C0"/>
          <w:spacing w:val="0"/>
          <w:sz w:val="16"/>
          <w:szCs w:val="16"/>
        </w:rPr>
        <w:softHyphen/>
        <w:t>рительно промазано тавотом, и под тяжестью гидросамолета она намертво приклеилась к днищу лодки, покрытому кузбаслаком (25061).</w:t>
      </w:r>
    </w:p>
    <w:p w14:paraId="562E072C" w14:textId="77777777" w:rsidR="007D5E72" w:rsidRPr="00142305" w:rsidRDefault="007D5E72" w:rsidP="007D5E72">
      <w:pPr>
        <w:spacing w:after="0" w:line="240" w:lineRule="auto"/>
        <w:jc w:val="both"/>
        <w:rPr>
          <w:rFonts w:ascii="Times New Roman" w:hAnsi="Times New Roman"/>
          <w:color w:val="0070C0"/>
          <w:sz w:val="16"/>
          <w:szCs w:val="16"/>
        </w:rPr>
      </w:pPr>
    </w:p>
    <w:p w14:paraId="52A01952"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 бригаде № 9 КОСОС, которой руководил Н.И. Жохов, дали за</w:t>
      </w:r>
      <w:r w:rsidRPr="00142305">
        <w:rPr>
          <w:rFonts w:ascii="Times New Roman" w:hAnsi="Times New Roman"/>
          <w:color w:val="0070C0"/>
          <w:sz w:val="16"/>
          <w:szCs w:val="16"/>
        </w:rPr>
        <w:softHyphen/>
        <w:t>дание спроектировать специальные лы</w:t>
      </w:r>
      <w:r w:rsidRPr="00142305">
        <w:rPr>
          <w:rFonts w:ascii="Times New Roman" w:hAnsi="Times New Roman"/>
          <w:color w:val="0070C0"/>
          <w:sz w:val="16"/>
          <w:szCs w:val="16"/>
        </w:rPr>
        <w:softHyphen/>
        <w:t xml:space="preserve">жи для Ш-2. </w:t>
      </w:r>
    </w:p>
    <w:p w14:paraId="62F8303C"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Сначала на Ш-2 рассчитывали зимой использовать лыжи от У-1; они должны были крепить</w:t>
      </w:r>
      <w:r w:rsidRPr="00142305">
        <w:rPr>
          <w:rFonts w:ascii="Times New Roman" w:hAnsi="Times New Roman"/>
          <w:color w:val="0070C0"/>
          <w:sz w:val="16"/>
          <w:szCs w:val="16"/>
        </w:rPr>
        <w:softHyphen/>
        <w:t>ся к полуосям колёс, но устанавливаться неподвижно, без возможности подъёма.</w:t>
      </w:r>
    </w:p>
    <w:p w14:paraId="665F58A5"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Первые намётки новой лыжи сделал Шавров. Она была существенно короче, чем от У-2. Жохов выполнил удачный проект лыжи без резиновых оттяжек и с внутренней амортизацией. Испытания са</w:t>
      </w:r>
      <w:r w:rsidRPr="00142305">
        <w:rPr>
          <w:rFonts w:ascii="Times New Roman" w:hAnsi="Times New Roman"/>
          <w:color w:val="0070C0"/>
          <w:sz w:val="16"/>
          <w:szCs w:val="16"/>
        </w:rPr>
        <w:softHyphen/>
        <w:t>молёта на них провели в феврале 1933 г. в Таганроге. С сентября 1933 г. комплекты таких лыж стал сдавать завод № 28.</w:t>
      </w:r>
    </w:p>
    <w:p w14:paraId="72D88C87"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вот тут возник конфликт: два конс</w:t>
      </w:r>
      <w:r w:rsidRPr="00142305">
        <w:rPr>
          <w:rFonts w:ascii="Times New Roman" w:hAnsi="Times New Roman"/>
          <w:color w:val="0070C0"/>
          <w:sz w:val="16"/>
          <w:szCs w:val="16"/>
        </w:rPr>
        <w:softHyphen/>
        <w:t>труктора начали претендовать на автор</w:t>
      </w:r>
      <w:r w:rsidRPr="00142305">
        <w:rPr>
          <w:rFonts w:ascii="Times New Roman" w:hAnsi="Times New Roman"/>
          <w:color w:val="0070C0"/>
          <w:sz w:val="16"/>
          <w:szCs w:val="16"/>
        </w:rPr>
        <w:softHyphen/>
        <w:t>ское свидетельство. Шавров говорил, что идея его, а Жохов утверждал, что именно он превратил её в реально работающую конструкцию. Приняли «соломоново реше</w:t>
      </w:r>
      <w:r w:rsidRPr="00142305">
        <w:rPr>
          <w:rFonts w:ascii="Times New Roman" w:hAnsi="Times New Roman"/>
          <w:color w:val="0070C0"/>
          <w:sz w:val="16"/>
          <w:szCs w:val="16"/>
        </w:rPr>
        <w:softHyphen/>
        <w:t>ние», разделив авторство на двоих (24952)</w:t>
      </w:r>
    </w:p>
    <w:p w14:paraId="78940808" w14:textId="77777777" w:rsidR="007D5E72" w:rsidRPr="00142305" w:rsidRDefault="007D5E72" w:rsidP="007D5E72">
      <w:pPr>
        <w:spacing w:after="0" w:line="240" w:lineRule="auto"/>
        <w:jc w:val="both"/>
        <w:rPr>
          <w:rFonts w:ascii="Times New Roman" w:hAnsi="Times New Roman"/>
          <w:color w:val="0070C0"/>
          <w:sz w:val="16"/>
          <w:szCs w:val="16"/>
        </w:rPr>
      </w:pPr>
    </w:p>
    <w:p w14:paraId="3A002CA4" w14:textId="77777777" w:rsidR="000A05C4" w:rsidRPr="00E93F40" w:rsidRDefault="000A05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комиссия под председательством М.Н. Тухачевско</w:t>
      </w:r>
      <w:r w:rsidRPr="00E93F40">
        <w:rPr>
          <w:rFonts w:ascii="Times New Roman" w:hAnsi="Times New Roman"/>
          <w:color w:val="000000" w:themeColor="text1"/>
          <w:sz w:val="16"/>
          <w:szCs w:val="16"/>
        </w:rPr>
        <w:softHyphen/>
        <w:t>го предложила заказать в Америке для изучения образцы истре</w:t>
      </w:r>
      <w:r w:rsidRPr="00E93F40">
        <w:rPr>
          <w:rFonts w:ascii="Times New Roman" w:hAnsi="Times New Roman"/>
          <w:color w:val="000000" w:themeColor="text1"/>
          <w:sz w:val="16"/>
          <w:szCs w:val="16"/>
        </w:rPr>
        <w:softHyphen/>
        <w:t>бителей Боинг P-12F и Локхид YP-24 (по два экземпляра каждый). На первый из них получили письмо с предложениями от фирмы. Но, несмотря на то, что покупку утвердили постановлением Комитета обо</w:t>
      </w:r>
      <w:r w:rsidRPr="00E93F40">
        <w:rPr>
          <w:rFonts w:ascii="Times New Roman" w:hAnsi="Times New Roman"/>
          <w:color w:val="000000" w:themeColor="text1"/>
          <w:sz w:val="16"/>
          <w:szCs w:val="16"/>
        </w:rPr>
        <w:softHyphen/>
        <w:t>роны, реально американские истребители тогда приобретены не были (23513).</w:t>
      </w:r>
    </w:p>
    <w:p w14:paraId="33BD5A5C" w14:textId="77777777" w:rsidR="000A05C4" w:rsidRPr="00E93F40" w:rsidRDefault="000A05C4" w:rsidP="00E93F40">
      <w:pPr>
        <w:spacing w:after="0" w:line="240" w:lineRule="auto"/>
        <w:jc w:val="both"/>
        <w:rPr>
          <w:rFonts w:ascii="Times New Roman" w:hAnsi="Times New Roman"/>
          <w:color w:val="000000" w:themeColor="text1"/>
          <w:sz w:val="16"/>
          <w:szCs w:val="16"/>
        </w:rPr>
      </w:pPr>
    </w:p>
    <w:p w14:paraId="6A0B50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советская делегация во время визита в Италии предложила купить 30-35 и Фиат CR.30, но покупать не стали (2446,43).</w:t>
      </w:r>
    </w:p>
    <w:p w14:paraId="4F107F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F9576D" w14:textId="77777777" w:rsidR="00AC6AC7" w:rsidRPr="00E93F40" w:rsidRDefault="00AC6A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был сдан в эксплуатацию первый производственный корпус завода № 18 и начато производство первых деталей самолета ТБ-3 гл. конструктора Туполева (19829).</w:t>
      </w:r>
    </w:p>
    <w:p w14:paraId="669BD453" w14:textId="77777777" w:rsidR="00AC6AC7" w:rsidRPr="00E93F40" w:rsidRDefault="00AC6AC7" w:rsidP="00E93F40">
      <w:pPr>
        <w:spacing w:after="0" w:line="240" w:lineRule="auto"/>
        <w:jc w:val="both"/>
        <w:rPr>
          <w:rFonts w:ascii="Times New Roman" w:hAnsi="Times New Roman"/>
          <w:color w:val="000000" w:themeColor="text1"/>
          <w:sz w:val="16"/>
          <w:szCs w:val="16"/>
        </w:rPr>
      </w:pPr>
    </w:p>
    <w:p w14:paraId="032D6B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попробовали подвесить на Р-5 дополнительные баки на балках бомбодержателей под крылом. Его запас горючего делал затею с дозаправкой почти бессмысленной. Но подвело кустарное изготовление. Баки и магистрали к ним текли, проводить испытания даже не рискнули. В июне того же года выставили новый образец с большим подфюзеляжным баком из листовой стали, вмещавшим 550 л бензина. Этот вариант и использовался в экспериментах с заправкой ТБ-1. При установке дополнительных внутренних баков (за приборной доской - 126 л, под педалями пилота - 215 л, под его сиденьем - 110 л) переоборудованный разведчик мог слить в баки бомбардировщика в обшей сложности до 1040 л топлива. Это давало ТБ-1 лишних четыре часа полета. Весь комплект добавочного оборудования танкера весил около 120 кг, что было несколько многовато - сказалось слишком широкое применение стали и меди. За счет дополнительного сопротивления бака скорость заправщика уменьшалась на 6 км/ч.</w:t>
      </w:r>
    </w:p>
    <w:p w14:paraId="0079C8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Дальнейшие опыты проводили уже с четырехмоторным ТБ-3. Он мог увезти гораздо больше горючего и заправить несколько самолетов один за другим.</w:t>
      </w:r>
    </w:p>
    <w:p w14:paraId="5B090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1933 г. Р-5, спроектированный в середине 20-х годов, уже порядком устарел. Мировое самолетостроение быстро прогрессировало, а наш разведчик изменился мало. Постановлением комиссии Реввоенсовета СССР от 28 апреля 1933 г., на котором председательствовал А.И. Егоров, совершенствование самого массового самолета РККА было отнесено к числу первоочередных работ.</w:t>
      </w:r>
    </w:p>
    <w:p w14:paraId="04E6C7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248D5D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3C21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попробовали для системы дозаправки в воздухе вдобавок подвесить на Р-5 сигарообразные баки на балках бомбодержателей под нижним крылом. Но подвело кустарное изготовление. Баки и магистрали к ним текли, проводить испытания даже не рискнули. В июне того же года выставили новый образец с большим подфюзеляжным баком из листовой стали, вмещавшим 550 л бензина. Вместе с дополнительными внутренними баками и частью внутренних переоборудованный разведчик теперь мог слить в ТБ-1 до 1040 л топлива. Это давало бомбардировщику дополнительно четыре часа полета.</w:t>
      </w:r>
    </w:p>
    <w:p w14:paraId="43D26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комплект добавочного оборудования весил около 120 кг, что было несколько многовато - сказалось слишком широкое применение стали и меди. За счет дополнительного сопротивления бака скорость "бензиноносца" уменьшалась на 6 км/ч. Но этот вариант оказался вполне работоспособен, что подтвердили летные испытания.</w:t>
      </w:r>
    </w:p>
    <w:p w14:paraId="7AE80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Сначала с Р-5 пробовали заправлять другой такой же биплан. Технология оставалась той же, что и ранее. Затем для экспериментов выделили ТБ-1 № 648. На нем сделали приемную горловину с "пауком" магистралей, раздающих принимаемый бензин в баки бомбардировщика. Она располагалась впереди средней турели. В июне-июле 1932 г. провели испытания пары - заправщик Р-5 и заправляемый самолет ТБ-1. Коней шланга болтался на ветру, угрожая людям и машине ударом тяжелого грузила. На ловлю "груши" стали ставить двух техников, которые располагались в средней и задней стрелковых точках. Но трудности казались вполне преодолимыми. Как и ранее, начали с тренировки в подсоединении шланга, затем стали переливать воду, отсоединив на обеих машинах часть баков от общей системы. Наконец, перешли на бензин. В отчете НИИ ВВС записали: "Испытания выявили сравнительную легкость переливки горючего в воздухе из самолета Р-5 в самолет ТБ-1 при натренированности личного состава". Ставилась задача с помощью пополнения запаса горючего в воздухе довести продолжительность полета бомбардировщика до 25 часов, что уже казалось пределом для возможностей экипажа.</w:t>
      </w:r>
    </w:p>
    <w:p w14:paraId="334514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век ТБ-1 оказался недолог. Всего два года - и в производстве его сменил четырехмоторный гигант ТБ-3, который стал строиться в гораздо больших количествах. Для него тоже проблема увеличения радиуса действия стояла очень остро, поскольку соединениям этих машин предстояло решать стратегические задачи, в том числе по нанесению ударов по целям в глубоком тылу противника (12036).</w:t>
      </w:r>
    </w:p>
    <w:p w14:paraId="7C2B8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8FBA99" w14:textId="77777777" w:rsidR="00195F6D" w:rsidRPr="00142305" w:rsidRDefault="00195F6D" w:rsidP="00195F6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 попробо</w:t>
      </w:r>
      <w:r w:rsidRPr="00142305">
        <w:rPr>
          <w:rFonts w:ascii="Times New Roman" w:hAnsi="Times New Roman"/>
          <w:color w:val="0070C0"/>
          <w:sz w:val="16"/>
          <w:szCs w:val="16"/>
        </w:rPr>
        <w:softHyphen/>
        <w:t>вали подвесить на Р-5 дополнительные баки на балках бомбодер</w:t>
      </w:r>
      <w:r w:rsidRPr="00142305">
        <w:rPr>
          <w:rFonts w:ascii="Times New Roman" w:hAnsi="Times New Roman"/>
          <w:color w:val="0070C0"/>
          <w:sz w:val="16"/>
          <w:szCs w:val="16"/>
        </w:rPr>
        <w:softHyphen/>
        <w:t>жателей под крылом. Но подвело кустарное изготовление. Баки и магистрали к ним текли, проводить испытания даже не рискнули. В июне того же года выставили новый обра</w:t>
      </w:r>
      <w:r w:rsidRPr="00142305">
        <w:rPr>
          <w:rFonts w:ascii="Times New Roman" w:hAnsi="Times New Roman"/>
          <w:color w:val="0070C0"/>
          <w:sz w:val="16"/>
          <w:szCs w:val="16"/>
        </w:rPr>
        <w:softHyphen/>
        <w:t>зец с большим подфюзеляжным баком из листовой стали, вмещавшим 550 л бензина. Этот вариант и использовал</w:t>
      </w:r>
      <w:r w:rsidRPr="00142305">
        <w:rPr>
          <w:rFonts w:ascii="Times New Roman" w:hAnsi="Times New Roman"/>
          <w:color w:val="0070C0"/>
          <w:sz w:val="16"/>
          <w:szCs w:val="16"/>
        </w:rPr>
        <w:softHyphen/>
        <w:t>ся в экспериментах с заправкой ТБ-1. При установке до</w:t>
      </w:r>
      <w:r w:rsidRPr="00142305">
        <w:rPr>
          <w:rFonts w:ascii="Times New Roman" w:hAnsi="Times New Roman"/>
          <w:color w:val="0070C0"/>
          <w:sz w:val="16"/>
          <w:szCs w:val="16"/>
        </w:rPr>
        <w:softHyphen/>
        <w:t>полнительных внутренних баков (за приборной доской - 126 л, под педалями пилота — 215 л, под его сиденьем — 110 л) переоборудованный разведчик мог слить в баки бом</w:t>
      </w:r>
      <w:r w:rsidRPr="00142305">
        <w:rPr>
          <w:rFonts w:ascii="Times New Roman" w:hAnsi="Times New Roman"/>
          <w:color w:val="0070C0"/>
          <w:sz w:val="16"/>
          <w:szCs w:val="16"/>
        </w:rPr>
        <w:softHyphen/>
        <w:t xml:space="preserve">бардировщика в общей сложности до 1040 л топлива. Это </w:t>
      </w:r>
      <w:r w:rsidRPr="00142305">
        <w:rPr>
          <w:rFonts w:ascii="Times New Roman" w:hAnsi="Times New Roman"/>
          <w:color w:val="0070C0"/>
          <w:sz w:val="16"/>
          <w:szCs w:val="16"/>
        </w:rPr>
        <w:lastRenderedPageBreak/>
        <w:t>давало ТБ-1 лишних четыре часа полета. Весь комплект добавочного оборудования танкера весил около 120 кг, что было несколько многовато — сказалось слишком ши</w:t>
      </w:r>
      <w:r w:rsidRPr="00142305">
        <w:rPr>
          <w:rFonts w:ascii="Times New Roman" w:hAnsi="Times New Roman"/>
          <w:color w:val="0070C0"/>
          <w:sz w:val="16"/>
          <w:szCs w:val="16"/>
        </w:rPr>
        <w:softHyphen/>
        <w:t>рокое применение стали и меди. За счет дополнительно</w:t>
      </w:r>
      <w:r w:rsidRPr="00142305">
        <w:rPr>
          <w:rFonts w:ascii="Times New Roman" w:hAnsi="Times New Roman"/>
          <w:color w:val="0070C0"/>
          <w:sz w:val="16"/>
          <w:szCs w:val="16"/>
        </w:rPr>
        <w:softHyphen/>
        <w:t>го сопротивления бака скорость заправщика уменьшалась на 6 км/ч. Дальнейшие опыты проводили уже с четырехмоторным ТБ-3. Он мог увезти гораздо больше горючего и заправить несколько самолетов один за другим (24990).</w:t>
      </w:r>
    </w:p>
    <w:p w14:paraId="6AF684A7" w14:textId="77777777" w:rsidR="00195F6D" w:rsidRPr="00142305" w:rsidRDefault="00195F6D" w:rsidP="00195F6D">
      <w:pPr>
        <w:spacing w:after="0" w:line="240" w:lineRule="auto"/>
        <w:jc w:val="both"/>
        <w:rPr>
          <w:rFonts w:ascii="Times New Roman" w:hAnsi="Times New Roman"/>
          <w:color w:val="0070C0"/>
          <w:sz w:val="16"/>
          <w:szCs w:val="16"/>
        </w:rPr>
      </w:pPr>
    </w:p>
    <w:p w14:paraId="0E4BEB4A" w14:textId="77777777" w:rsidR="00195F6D" w:rsidRPr="00142305" w:rsidRDefault="00195F6D" w:rsidP="00195F6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 попробовали приспособить Р-5 к роли самолета «волнового управления». С его борта оператор должен был вести радиоуправляемый торпедный катер. Экспериментальную установку специального передатчи</w:t>
      </w:r>
      <w:r w:rsidRPr="00142305">
        <w:rPr>
          <w:rFonts w:ascii="Times New Roman" w:hAnsi="Times New Roman"/>
          <w:color w:val="0070C0"/>
          <w:sz w:val="16"/>
          <w:szCs w:val="16"/>
        </w:rPr>
        <w:softHyphen/>
        <w:t>ка ДСР произвели в 4-й авиабригаде. Но сравнение с ТБ-1 и летающей лодкой С-62 Б оказалось не в пользу поликарповского биплана — маловат, тесноват, обзор у оператора значительно хуже. Выбрали С-62Б (24990).</w:t>
      </w:r>
    </w:p>
    <w:p w14:paraId="118E29A9" w14:textId="77777777" w:rsidR="00195F6D" w:rsidRPr="00142305" w:rsidRDefault="00195F6D" w:rsidP="00195F6D">
      <w:pPr>
        <w:spacing w:after="0" w:line="240" w:lineRule="auto"/>
        <w:jc w:val="both"/>
        <w:rPr>
          <w:rFonts w:ascii="Times New Roman" w:hAnsi="Times New Roman"/>
          <w:color w:val="0070C0"/>
          <w:sz w:val="16"/>
          <w:szCs w:val="16"/>
        </w:rPr>
      </w:pPr>
    </w:p>
    <w:p w14:paraId="2C23B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попробовали приспособить Р-5 к роли самолета "волнового управления". С его борта оператор должен был вести радиоуправляемый торпедный катер. Экспериментальную установку специального передатчика произвели в 4-й авиабригаде. Но сравнение с ТБ-1 и летающей лодкой С-62Б оказалось не в пользу поликарповско- го биплана - маловат, тесноват, обзор у оператора значительно хуже. Выбор сделали в пользу С-62Б (11936).</w:t>
      </w:r>
    </w:p>
    <w:p w14:paraId="71F355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357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попробовали приспособить Р-5 к роли самолета "волнового управления". С его борта оператор должен был вести радиоуправляемый торпедный катер. Экспериментальную установку специального передатчика ДСР произвели в 4-й авиабригаде. Но сравнение с ТБ-1 и летающей лодкой С-62Б оказалось не в пользу поликар- повского биплана - маловат, тесноват, обзор у оператора значительно хуже. Выбрали С-62Б (12034).</w:t>
      </w:r>
    </w:p>
    <w:p w14:paraId="619C4E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9C6173"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года после доработки конструкции испытания первого Звена повторили и после их завершения хотели даже построить небольшую серию воздушных «авианосцев» (24991).</w:t>
      </w:r>
    </w:p>
    <w:p w14:paraId="35534EA5" w14:textId="77777777" w:rsidR="007D5E72" w:rsidRPr="00142305" w:rsidRDefault="007D5E72" w:rsidP="007D5E72">
      <w:pPr>
        <w:spacing w:after="0" w:line="240" w:lineRule="auto"/>
        <w:jc w:val="both"/>
        <w:rPr>
          <w:rFonts w:ascii="Times New Roman" w:hAnsi="Times New Roman"/>
          <w:color w:val="0070C0"/>
          <w:sz w:val="16"/>
          <w:szCs w:val="16"/>
        </w:rPr>
      </w:pPr>
    </w:p>
    <w:p w14:paraId="448D1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был подготовлен План опытного строительства</w:t>
      </w:r>
    </w:p>
    <w:p w14:paraId="72D4C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самолетам на 1932-34 гг.</w:t>
      </w:r>
    </w:p>
    <w:p w14:paraId="691A2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850"/>
        <w:gridCol w:w="709"/>
        <w:gridCol w:w="709"/>
        <w:gridCol w:w="708"/>
        <w:gridCol w:w="851"/>
        <w:gridCol w:w="1296"/>
        <w:gridCol w:w="830"/>
        <w:gridCol w:w="851"/>
        <w:gridCol w:w="992"/>
      </w:tblGrid>
      <w:tr w:rsidR="00DA227A" w:rsidRPr="00E93F40" w14:paraId="7A73CF0A" w14:textId="77777777">
        <w:tc>
          <w:tcPr>
            <w:tcW w:w="1281" w:type="dxa"/>
          </w:tcPr>
          <w:p w14:paraId="2BD9AB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588E7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предъяв. на госисп.</w:t>
            </w:r>
          </w:p>
        </w:tc>
        <w:tc>
          <w:tcPr>
            <w:tcW w:w="654" w:type="dxa"/>
          </w:tcPr>
          <w:p w14:paraId="6D69A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w:t>
            </w:r>
          </w:p>
        </w:tc>
        <w:tc>
          <w:tcPr>
            <w:tcW w:w="850" w:type="dxa"/>
          </w:tcPr>
          <w:p w14:paraId="09349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421E9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709" w:type="dxa"/>
          </w:tcPr>
          <w:p w14:paraId="2BDA3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 Скорость</w:t>
            </w:r>
          </w:p>
        </w:tc>
        <w:tc>
          <w:tcPr>
            <w:tcW w:w="708" w:type="dxa"/>
          </w:tcPr>
          <w:p w14:paraId="6D328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 радиус при перегруз.</w:t>
            </w:r>
          </w:p>
        </w:tc>
        <w:tc>
          <w:tcPr>
            <w:tcW w:w="851" w:type="dxa"/>
          </w:tcPr>
          <w:p w14:paraId="45F71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 сбрасыв. груз/ сбрасыв. груз при перегруз.</w:t>
            </w:r>
          </w:p>
        </w:tc>
        <w:tc>
          <w:tcPr>
            <w:tcW w:w="1296" w:type="dxa"/>
          </w:tcPr>
          <w:p w14:paraId="329D3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830" w:type="dxa"/>
          </w:tcPr>
          <w:p w14:paraId="54D65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w:t>
            </w:r>
          </w:p>
        </w:tc>
        <w:tc>
          <w:tcPr>
            <w:tcW w:w="851" w:type="dxa"/>
          </w:tcPr>
          <w:p w14:paraId="3F15D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 заменяет при выходе</w:t>
            </w:r>
          </w:p>
        </w:tc>
        <w:tc>
          <w:tcPr>
            <w:tcW w:w="992" w:type="dxa"/>
          </w:tcPr>
          <w:p w14:paraId="44E0A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133A78D1" w14:textId="77777777">
        <w:tc>
          <w:tcPr>
            <w:tcW w:w="1281" w:type="dxa"/>
          </w:tcPr>
          <w:p w14:paraId="47DAA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Ближний бомбардир., он же пассажирск. грузовой (ТБ6-М44 или нефтяной)</w:t>
            </w:r>
          </w:p>
        </w:tc>
        <w:tc>
          <w:tcPr>
            <w:tcW w:w="867" w:type="dxa"/>
          </w:tcPr>
          <w:p w14:paraId="29A74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1934 г.</w:t>
            </w:r>
          </w:p>
        </w:tc>
        <w:tc>
          <w:tcPr>
            <w:tcW w:w="654" w:type="dxa"/>
          </w:tcPr>
          <w:p w14:paraId="11AC99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259A02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2059D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709" w:type="dxa"/>
          </w:tcPr>
          <w:p w14:paraId="31C8B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708" w:type="dxa"/>
          </w:tcPr>
          <w:p w14:paraId="7B330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 2000</w:t>
            </w:r>
          </w:p>
        </w:tc>
        <w:tc>
          <w:tcPr>
            <w:tcW w:w="851" w:type="dxa"/>
          </w:tcPr>
          <w:p w14:paraId="6F2F8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1296" w:type="dxa"/>
          </w:tcPr>
          <w:p w14:paraId="0CB3F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пулемет и пушки</w:t>
            </w:r>
          </w:p>
          <w:p w14:paraId="6EA44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2000</w:t>
            </w:r>
          </w:p>
        </w:tc>
        <w:tc>
          <w:tcPr>
            <w:tcW w:w="830" w:type="dxa"/>
          </w:tcPr>
          <w:p w14:paraId="2E6F9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0A9AB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К7</w:t>
            </w:r>
          </w:p>
        </w:tc>
        <w:tc>
          <w:tcPr>
            <w:tcW w:w="992" w:type="dxa"/>
          </w:tcPr>
          <w:p w14:paraId="6BA42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3A68EA" w14:textId="77777777">
        <w:tc>
          <w:tcPr>
            <w:tcW w:w="1281" w:type="dxa"/>
          </w:tcPr>
          <w:p w14:paraId="4539B2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десантный, он же тяжелый грузовой (Д1-10М34)</w:t>
            </w:r>
          </w:p>
        </w:tc>
        <w:tc>
          <w:tcPr>
            <w:tcW w:w="867" w:type="dxa"/>
          </w:tcPr>
          <w:p w14:paraId="5182E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25AFD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653B1F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709" w:type="dxa"/>
          </w:tcPr>
          <w:p w14:paraId="283F7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26F204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708" w:type="dxa"/>
          </w:tcPr>
          <w:p w14:paraId="2DB5C2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851" w:type="dxa"/>
          </w:tcPr>
          <w:p w14:paraId="31015C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1296" w:type="dxa"/>
          </w:tcPr>
          <w:p w14:paraId="1C39C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30" w:type="dxa"/>
          </w:tcPr>
          <w:p w14:paraId="70819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3665AA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556DB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ведет ВВА ВВС</w:t>
            </w:r>
          </w:p>
        </w:tc>
      </w:tr>
      <w:tr w:rsidR="00DA227A" w:rsidRPr="00E93F40" w14:paraId="6115800C" w14:textId="77777777">
        <w:tc>
          <w:tcPr>
            <w:tcW w:w="1281" w:type="dxa"/>
          </w:tcPr>
          <w:p w14:paraId="7BD7A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 (ТБ4-6М34)</w:t>
            </w:r>
          </w:p>
        </w:tc>
        <w:tc>
          <w:tcPr>
            <w:tcW w:w="867" w:type="dxa"/>
          </w:tcPr>
          <w:p w14:paraId="1BA78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 1932 г.</w:t>
            </w:r>
          </w:p>
        </w:tc>
        <w:tc>
          <w:tcPr>
            <w:tcW w:w="654" w:type="dxa"/>
          </w:tcPr>
          <w:p w14:paraId="06393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5B69A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709" w:type="dxa"/>
          </w:tcPr>
          <w:p w14:paraId="7FADD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709" w:type="dxa"/>
          </w:tcPr>
          <w:p w14:paraId="4C243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23CB6C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51" w:type="dxa"/>
          </w:tcPr>
          <w:p w14:paraId="4E04F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1296" w:type="dxa"/>
          </w:tcPr>
          <w:p w14:paraId="301BB6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w:t>
            </w:r>
          </w:p>
          <w:p w14:paraId="323B33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w:t>
            </w:r>
          </w:p>
        </w:tc>
        <w:tc>
          <w:tcPr>
            <w:tcW w:w="830" w:type="dxa"/>
          </w:tcPr>
          <w:p w14:paraId="242D1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70F3F7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992" w:type="dxa"/>
          </w:tcPr>
          <w:p w14:paraId="5A78A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Перенести из плана № 1</w:t>
            </w:r>
          </w:p>
        </w:tc>
      </w:tr>
      <w:tr w:rsidR="00DA227A" w:rsidRPr="00E93F40" w14:paraId="05F63F5B" w14:textId="77777777">
        <w:tc>
          <w:tcPr>
            <w:tcW w:w="1281" w:type="dxa"/>
          </w:tcPr>
          <w:p w14:paraId="10DE2C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 (ТБ4 бис - 6М34)</w:t>
            </w:r>
          </w:p>
        </w:tc>
        <w:tc>
          <w:tcPr>
            <w:tcW w:w="867" w:type="dxa"/>
          </w:tcPr>
          <w:p w14:paraId="365519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1934 г.</w:t>
            </w:r>
          </w:p>
        </w:tc>
        <w:tc>
          <w:tcPr>
            <w:tcW w:w="654" w:type="dxa"/>
          </w:tcPr>
          <w:p w14:paraId="79C8B3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238A33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 крейсерс.</w:t>
            </w:r>
          </w:p>
        </w:tc>
        <w:tc>
          <w:tcPr>
            <w:tcW w:w="709" w:type="dxa"/>
          </w:tcPr>
          <w:p w14:paraId="07D42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711AD1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2CE46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51B51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1296" w:type="dxa"/>
          </w:tcPr>
          <w:p w14:paraId="2ABF3F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w:t>
            </w:r>
          </w:p>
          <w:p w14:paraId="05EEA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2000</w:t>
            </w:r>
          </w:p>
        </w:tc>
        <w:tc>
          <w:tcPr>
            <w:tcW w:w="830" w:type="dxa"/>
          </w:tcPr>
          <w:p w14:paraId="2EEB9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1F4A7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992" w:type="dxa"/>
          </w:tcPr>
          <w:p w14:paraId="05D2E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Перенести из плана № 1</w:t>
            </w:r>
          </w:p>
        </w:tc>
      </w:tr>
      <w:tr w:rsidR="00DA227A" w:rsidRPr="00E93F40" w14:paraId="3CFE83F7" w14:textId="77777777">
        <w:tc>
          <w:tcPr>
            <w:tcW w:w="1281" w:type="dxa"/>
          </w:tcPr>
          <w:p w14:paraId="52E94B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химический боевик, он же самолет для перевозки горючего и пассажирский (Х1-2М34)</w:t>
            </w:r>
          </w:p>
        </w:tc>
        <w:tc>
          <w:tcPr>
            <w:tcW w:w="867" w:type="dxa"/>
          </w:tcPr>
          <w:p w14:paraId="5AFA4F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 г.</w:t>
            </w:r>
          </w:p>
        </w:tc>
        <w:tc>
          <w:tcPr>
            <w:tcW w:w="654" w:type="dxa"/>
          </w:tcPr>
          <w:p w14:paraId="4FD3E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0F3FA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1769C9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5050C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708" w:type="dxa"/>
          </w:tcPr>
          <w:p w14:paraId="45BBD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450/600</w:t>
            </w:r>
          </w:p>
        </w:tc>
        <w:tc>
          <w:tcPr>
            <w:tcW w:w="851" w:type="dxa"/>
          </w:tcPr>
          <w:p w14:paraId="52D64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3000</w:t>
            </w:r>
          </w:p>
        </w:tc>
        <w:tc>
          <w:tcPr>
            <w:tcW w:w="1296" w:type="dxa"/>
          </w:tcPr>
          <w:p w14:paraId="00E54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Пулеметы</w:t>
            </w:r>
          </w:p>
        </w:tc>
        <w:tc>
          <w:tcPr>
            <w:tcW w:w="830" w:type="dxa"/>
          </w:tcPr>
          <w:p w14:paraId="774811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22CA5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992" w:type="dxa"/>
          </w:tcPr>
          <w:p w14:paraId="473E5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проектирует и строит НИИ ГУГВФ</w:t>
            </w:r>
          </w:p>
        </w:tc>
      </w:tr>
      <w:tr w:rsidR="00DA227A" w:rsidRPr="00E93F40" w14:paraId="575233CD" w14:textId="77777777">
        <w:tc>
          <w:tcPr>
            <w:tcW w:w="1281" w:type="dxa"/>
          </w:tcPr>
          <w:p w14:paraId="0B1968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Крейсерский сухопутный средний бомбардиров. или дальний разведчик (К1-2М34)</w:t>
            </w:r>
          </w:p>
        </w:tc>
        <w:tc>
          <w:tcPr>
            <w:tcW w:w="867" w:type="dxa"/>
          </w:tcPr>
          <w:p w14:paraId="68D3AB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w:t>
            </w:r>
          </w:p>
        </w:tc>
        <w:tc>
          <w:tcPr>
            <w:tcW w:w="654" w:type="dxa"/>
          </w:tcPr>
          <w:p w14:paraId="1B598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850" w:type="dxa"/>
          </w:tcPr>
          <w:p w14:paraId="53FB1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709" w:type="dxa"/>
          </w:tcPr>
          <w:p w14:paraId="61FE4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73A6C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708" w:type="dxa"/>
          </w:tcPr>
          <w:p w14:paraId="611172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1250</w:t>
            </w:r>
          </w:p>
        </w:tc>
        <w:tc>
          <w:tcPr>
            <w:tcW w:w="851" w:type="dxa"/>
          </w:tcPr>
          <w:p w14:paraId="75531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p w14:paraId="0ED750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Pr>
          <w:p w14:paraId="75272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Тяж. и легк. пулеметы </w:t>
            </w:r>
          </w:p>
          <w:p w14:paraId="7A0BD1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250, гирлянды</w:t>
            </w:r>
          </w:p>
        </w:tc>
        <w:tc>
          <w:tcPr>
            <w:tcW w:w="830" w:type="dxa"/>
          </w:tcPr>
          <w:p w14:paraId="32785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 или дюраль</w:t>
            </w:r>
          </w:p>
        </w:tc>
        <w:tc>
          <w:tcPr>
            <w:tcW w:w="851" w:type="dxa"/>
          </w:tcPr>
          <w:p w14:paraId="4EAC93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992" w:type="dxa"/>
          </w:tcPr>
          <w:p w14:paraId="4D9E91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515009" w14:textId="77777777">
        <w:tc>
          <w:tcPr>
            <w:tcW w:w="1281" w:type="dxa"/>
          </w:tcPr>
          <w:p w14:paraId="079A2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Многоместный истребитель (МИ3-2М34)</w:t>
            </w:r>
          </w:p>
        </w:tc>
        <w:tc>
          <w:tcPr>
            <w:tcW w:w="867" w:type="dxa"/>
          </w:tcPr>
          <w:p w14:paraId="405C2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 1932 г.</w:t>
            </w:r>
          </w:p>
        </w:tc>
        <w:tc>
          <w:tcPr>
            <w:tcW w:w="654" w:type="dxa"/>
          </w:tcPr>
          <w:p w14:paraId="2A2F35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7029F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320/5000/ 15-18</w:t>
            </w:r>
          </w:p>
        </w:tc>
        <w:tc>
          <w:tcPr>
            <w:tcW w:w="709" w:type="dxa"/>
          </w:tcPr>
          <w:p w14:paraId="1532D0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709" w:type="dxa"/>
          </w:tcPr>
          <w:p w14:paraId="5975FD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1E9064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2469A0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0339BF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пулемет.</w:t>
            </w:r>
          </w:p>
          <w:p w14:paraId="59721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ав. пушка </w:t>
            </w:r>
          </w:p>
        </w:tc>
        <w:tc>
          <w:tcPr>
            <w:tcW w:w="830" w:type="dxa"/>
          </w:tcPr>
          <w:p w14:paraId="094D3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72DF8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3543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Перенесено из плана №..</w:t>
            </w:r>
          </w:p>
          <w:p w14:paraId="51D69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Со Штабом РККА согласовано уменьшение радиуса с 1000 до 500 км</w:t>
            </w:r>
          </w:p>
        </w:tc>
      </w:tr>
      <w:tr w:rsidR="00DA227A" w:rsidRPr="00E93F40" w14:paraId="1A83E72D" w14:textId="77777777">
        <w:tc>
          <w:tcPr>
            <w:tcW w:w="1281" w:type="dxa"/>
          </w:tcPr>
          <w:p w14:paraId="3A783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 (ДИП1-М34)</w:t>
            </w:r>
          </w:p>
        </w:tc>
        <w:tc>
          <w:tcPr>
            <w:tcW w:w="867" w:type="dxa"/>
          </w:tcPr>
          <w:p w14:paraId="30495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 1933 г.</w:t>
            </w:r>
          </w:p>
        </w:tc>
        <w:tc>
          <w:tcPr>
            <w:tcW w:w="654" w:type="dxa"/>
          </w:tcPr>
          <w:p w14:paraId="088DFB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49F10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w:t>
            </w:r>
          </w:p>
          <w:p w14:paraId="3FEE7C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10-12</w:t>
            </w:r>
          </w:p>
        </w:tc>
        <w:tc>
          <w:tcPr>
            <w:tcW w:w="709" w:type="dxa"/>
          </w:tcPr>
          <w:p w14:paraId="3B207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709" w:type="dxa"/>
          </w:tcPr>
          <w:p w14:paraId="6736F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42591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3000/600</w:t>
            </w:r>
          </w:p>
        </w:tc>
        <w:tc>
          <w:tcPr>
            <w:tcW w:w="851" w:type="dxa"/>
          </w:tcPr>
          <w:p w14:paraId="6F039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296" w:type="dxa"/>
          </w:tcPr>
          <w:p w14:paraId="784AF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 ДРП и легк. пулем.</w:t>
            </w:r>
          </w:p>
          <w:p w14:paraId="702AA5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гирлянды ЗАМ</w:t>
            </w:r>
          </w:p>
        </w:tc>
        <w:tc>
          <w:tcPr>
            <w:tcW w:w="830" w:type="dxa"/>
          </w:tcPr>
          <w:p w14:paraId="2F0BA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6E4A6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w:t>
            </w:r>
          </w:p>
        </w:tc>
        <w:tc>
          <w:tcPr>
            <w:tcW w:w="992" w:type="dxa"/>
          </w:tcPr>
          <w:p w14:paraId="386F22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A8132D" w14:textId="77777777">
        <w:tc>
          <w:tcPr>
            <w:tcW w:w="1281" w:type="dxa"/>
          </w:tcPr>
          <w:p w14:paraId="51485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Двухместный истребитель , он же легкий и пикирующий бомбардиров. разведчик скоростной почтовый (ДИ6-М34)</w:t>
            </w:r>
          </w:p>
        </w:tc>
        <w:tc>
          <w:tcPr>
            <w:tcW w:w="867" w:type="dxa"/>
          </w:tcPr>
          <w:p w14:paraId="606B78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654" w:type="dxa"/>
          </w:tcPr>
          <w:p w14:paraId="160760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34115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375/-/9</w:t>
            </w:r>
          </w:p>
        </w:tc>
        <w:tc>
          <w:tcPr>
            <w:tcW w:w="709" w:type="dxa"/>
          </w:tcPr>
          <w:p w14:paraId="1897B2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709" w:type="dxa"/>
          </w:tcPr>
          <w:p w14:paraId="0EB7E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401EC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400/700</w:t>
            </w:r>
          </w:p>
        </w:tc>
        <w:tc>
          <w:tcPr>
            <w:tcW w:w="851" w:type="dxa"/>
          </w:tcPr>
          <w:p w14:paraId="78AC24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296" w:type="dxa"/>
          </w:tcPr>
          <w:p w14:paraId="7F066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пулем.</w:t>
            </w:r>
          </w:p>
          <w:p w14:paraId="34108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100, 250</w:t>
            </w:r>
          </w:p>
        </w:tc>
        <w:tc>
          <w:tcPr>
            <w:tcW w:w="830" w:type="dxa"/>
          </w:tcPr>
          <w:p w14:paraId="7825C9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5CAABE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1D4A5E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w:t>
            </w:r>
          </w:p>
          <w:p w14:paraId="49193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992" w:type="dxa"/>
          </w:tcPr>
          <w:p w14:paraId="687BD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 с ГУАП в 1933 году самолет аналогичн. назначения дает ГУГВФ</w:t>
            </w:r>
          </w:p>
        </w:tc>
      </w:tr>
      <w:tr w:rsidR="00DA227A" w:rsidRPr="00E93F40" w14:paraId="705AFE28" w14:textId="77777777">
        <w:tc>
          <w:tcPr>
            <w:tcW w:w="1281" w:type="dxa"/>
          </w:tcPr>
          <w:p w14:paraId="34F4AB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 (скоростной) (И13-М32)</w:t>
            </w:r>
          </w:p>
        </w:tc>
        <w:tc>
          <w:tcPr>
            <w:tcW w:w="867" w:type="dxa"/>
          </w:tcPr>
          <w:p w14:paraId="2965D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435A9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50" w:type="dxa"/>
          </w:tcPr>
          <w:p w14:paraId="05A11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425/5000/6</w:t>
            </w:r>
          </w:p>
        </w:tc>
        <w:tc>
          <w:tcPr>
            <w:tcW w:w="709" w:type="dxa"/>
          </w:tcPr>
          <w:p w14:paraId="105AC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c>
          <w:tcPr>
            <w:tcW w:w="709" w:type="dxa"/>
          </w:tcPr>
          <w:p w14:paraId="06D884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3B5D1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51" w:type="dxa"/>
          </w:tcPr>
          <w:p w14:paraId="7C930E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1296" w:type="dxa"/>
          </w:tcPr>
          <w:p w14:paraId="30B25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пулем.</w:t>
            </w:r>
          </w:p>
          <w:p w14:paraId="44BAA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48BFA5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7B422A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34569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w:t>
            </w:r>
          </w:p>
        </w:tc>
        <w:tc>
          <w:tcPr>
            <w:tcW w:w="992" w:type="dxa"/>
          </w:tcPr>
          <w:p w14:paraId="797DF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576578" w14:textId="77777777">
        <w:tc>
          <w:tcPr>
            <w:tcW w:w="1281" w:type="dxa"/>
          </w:tcPr>
          <w:p w14:paraId="6DD539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 скороподъемн. (И14_М38)</w:t>
            </w:r>
          </w:p>
        </w:tc>
        <w:tc>
          <w:tcPr>
            <w:tcW w:w="867" w:type="dxa"/>
          </w:tcPr>
          <w:p w14:paraId="281145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 1933 г.</w:t>
            </w:r>
          </w:p>
        </w:tc>
        <w:tc>
          <w:tcPr>
            <w:tcW w:w="654" w:type="dxa"/>
          </w:tcPr>
          <w:p w14:paraId="3997F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50" w:type="dxa"/>
          </w:tcPr>
          <w:p w14:paraId="16295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400/5000/5</w:t>
            </w:r>
          </w:p>
        </w:tc>
        <w:tc>
          <w:tcPr>
            <w:tcW w:w="709" w:type="dxa"/>
          </w:tcPr>
          <w:p w14:paraId="4C2F4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12000</w:t>
            </w:r>
          </w:p>
        </w:tc>
        <w:tc>
          <w:tcPr>
            <w:tcW w:w="709" w:type="dxa"/>
          </w:tcPr>
          <w:p w14:paraId="4CDD20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5A338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851" w:type="dxa"/>
          </w:tcPr>
          <w:p w14:paraId="050FD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4CF531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пулем.</w:t>
            </w:r>
          </w:p>
          <w:p w14:paraId="757EE0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1F842D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2CCB19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068FA9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992" w:type="dxa"/>
          </w:tcPr>
          <w:p w14:paraId="5075F5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B68E99" w14:textId="77777777">
        <w:tc>
          <w:tcPr>
            <w:tcW w:w="1281" w:type="dxa"/>
          </w:tcPr>
          <w:p w14:paraId="2BDC9B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он же легкий боевик, самолет борьбы с вредителями с/х, фотосъем., санитарный, пассажирский (ВС2-2М52)</w:t>
            </w:r>
          </w:p>
        </w:tc>
        <w:tc>
          <w:tcPr>
            <w:tcW w:w="867" w:type="dxa"/>
          </w:tcPr>
          <w:p w14:paraId="49377E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 г.</w:t>
            </w:r>
          </w:p>
        </w:tc>
        <w:tc>
          <w:tcPr>
            <w:tcW w:w="654" w:type="dxa"/>
          </w:tcPr>
          <w:p w14:paraId="70F536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0A460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250/-/12</w:t>
            </w:r>
          </w:p>
        </w:tc>
        <w:tc>
          <w:tcPr>
            <w:tcW w:w="709" w:type="dxa"/>
          </w:tcPr>
          <w:p w14:paraId="3C3CE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07F00F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w:t>
            </w:r>
          </w:p>
        </w:tc>
        <w:tc>
          <w:tcPr>
            <w:tcW w:w="708" w:type="dxa"/>
          </w:tcPr>
          <w:p w14:paraId="1FA083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350/600</w:t>
            </w:r>
          </w:p>
        </w:tc>
        <w:tc>
          <w:tcPr>
            <w:tcW w:w="851" w:type="dxa"/>
          </w:tcPr>
          <w:p w14:paraId="6BE9E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1296" w:type="dxa"/>
          </w:tcPr>
          <w:p w14:paraId="06E7B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p w14:paraId="029B5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100</w:t>
            </w:r>
          </w:p>
        </w:tc>
        <w:tc>
          <w:tcPr>
            <w:tcW w:w="830" w:type="dxa"/>
          </w:tcPr>
          <w:p w14:paraId="1BF8A0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2C42A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1394C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p w14:paraId="4DB36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К5</w:t>
            </w:r>
          </w:p>
        </w:tc>
        <w:tc>
          <w:tcPr>
            <w:tcW w:w="992" w:type="dxa"/>
          </w:tcPr>
          <w:p w14:paraId="75F4B4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Вместо Р9 из плана №.. строит ГРО…</w:t>
            </w:r>
          </w:p>
        </w:tc>
      </w:tr>
      <w:tr w:rsidR="00DA227A" w:rsidRPr="00E93F40" w14:paraId="1203B165" w14:textId="77777777">
        <w:tc>
          <w:tcPr>
            <w:tcW w:w="1281" w:type="dxa"/>
          </w:tcPr>
          <w:p w14:paraId="41895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Переходный для школ , он же корпусной разведчик (самолет местной авиации) (П3-М52)</w:t>
            </w:r>
          </w:p>
        </w:tc>
        <w:tc>
          <w:tcPr>
            <w:tcW w:w="867" w:type="dxa"/>
          </w:tcPr>
          <w:p w14:paraId="4BFA5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5F1FCC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61F90D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2A860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7407E5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708" w:type="dxa"/>
          </w:tcPr>
          <w:p w14:paraId="6DF5CE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51" w:type="dxa"/>
          </w:tcPr>
          <w:p w14:paraId="09FE6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7F4D4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830" w:type="dxa"/>
          </w:tcPr>
          <w:p w14:paraId="53C75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851" w:type="dxa"/>
          </w:tcPr>
          <w:p w14:paraId="2275D5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1D81A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330378" w14:textId="77777777">
        <w:tc>
          <w:tcPr>
            <w:tcW w:w="1281" w:type="dxa"/>
          </w:tcPr>
          <w:p w14:paraId="32B92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Учебный самолет, он же связи и сопровождения (для туризма, спорта, легкий санитарный, местной авиации) (У3-М48)</w:t>
            </w:r>
          </w:p>
        </w:tc>
        <w:tc>
          <w:tcPr>
            <w:tcW w:w="867" w:type="dxa"/>
          </w:tcPr>
          <w:p w14:paraId="03E5D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654" w:type="dxa"/>
          </w:tcPr>
          <w:p w14:paraId="23508F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50" w:type="dxa"/>
          </w:tcPr>
          <w:p w14:paraId="648BD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709" w:type="dxa"/>
          </w:tcPr>
          <w:p w14:paraId="643C14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6FFDB7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708" w:type="dxa"/>
          </w:tcPr>
          <w:p w14:paraId="737E2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851" w:type="dxa"/>
          </w:tcPr>
          <w:p w14:paraId="4A7F9F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1D1889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 фото или радио</w:t>
            </w:r>
          </w:p>
        </w:tc>
        <w:tc>
          <w:tcPr>
            <w:tcW w:w="830" w:type="dxa"/>
          </w:tcPr>
          <w:p w14:paraId="51641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851" w:type="dxa"/>
          </w:tcPr>
          <w:p w14:paraId="07FA0B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1EAA23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постройка ведется ВТУЗом ГУГВФ</w:t>
            </w:r>
          </w:p>
        </w:tc>
      </w:tr>
      <w:tr w:rsidR="00DA227A" w:rsidRPr="00E93F40" w14:paraId="6641E99F" w14:textId="77777777">
        <w:tc>
          <w:tcPr>
            <w:tcW w:w="1281" w:type="dxa"/>
          </w:tcPr>
          <w:p w14:paraId="4018B7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крейсерск. (см. примечание) (МК1-4М34)</w:t>
            </w:r>
          </w:p>
        </w:tc>
        <w:tc>
          <w:tcPr>
            <w:tcW w:w="867" w:type="dxa"/>
          </w:tcPr>
          <w:p w14:paraId="0F3D2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38C1E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02AB5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 у земли</w:t>
            </w:r>
          </w:p>
          <w:p w14:paraId="0288F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215/4000</w:t>
            </w:r>
          </w:p>
        </w:tc>
        <w:tc>
          <w:tcPr>
            <w:tcW w:w="709" w:type="dxa"/>
          </w:tcPr>
          <w:p w14:paraId="5A873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1030BF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708" w:type="dxa"/>
          </w:tcPr>
          <w:p w14:paraId="392C61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750/1200</w:t>
            </w:r>
          </w:p>
        </w:tc>
        <w:tc>
          <w:tcPr>
            <w:tcW w:w="851" w:type="dxa"/>
          </w:tcPr>
          <w:p w14:paraId="769FD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500-1800 сообразно варианту применения/ 3600</w:t>
            </w:r>
          </w:p>
        </w:tc>
        <w:tc>
          <w:tcPr>
            <w:tcW w:w="1296" w:type="dxa"/>
          </w:tcPr>
          <w:p w14:paraId="6D5748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Военное снаряжение 1850 кг </w:t>
            </w:r>
          </w:p>
          <w:p w14:paraId="48826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перегрузке 2230 кг</w:t>
            </w:r>
          </w:p>
          <w:p w14:paraId="4D21A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торпед 1800</w:t>
            </w:r>
          </w:p>
          <w:p w14:paraId="1E344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Варианты бом-к, торпедонос.</w:t>
            </w:r>
          </w:p>
        </w:tc>
        <w:tc>
          <w:tcPr>
            <w:tcW w:w="830" w:type="dxa"/>
          </w:tcPr>
          <w:p w14:paraId="571FB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773B4E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является переход. к МТБ3.</w:t>
            </w:r>
          </w:p>
          <w:p w14:paraId="394EC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 завод по линии ВОГВФ не предусм.</w:t>
            </w:r>
          </w:p>
        </w:tc>
        <w:tc>
          <w:tcPr>
            <w:tcW w:w="992" w:type="dxa"/>
          </w:tcPr>
          <w:p w14:paraId="1DD3ED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строительст. принят Постановл. РВС от 5 августа 1931 года</w:t>
            </w:r>
          </w:p>
        </w:tc>
      </w:tr>
      <w:tr w:rsidR="00DA227A" w:rsidRPr="00E93F40" w14:paraId="6FA6EB00" w14:textId="77777777">
        <w:tc>
          <w:tcPr>
            <w:tcW w:w="1281" w:type="dxa"/>
          </w:tcPr>
          <w:p w14:paraId="09AC6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тяжелый бомбардиров. (пассажирск.) (МТБ3 под М34 или под М35)</w:t>
            </w:r>
          </w:p>
        </w:tc>
        <w:tc>
          <w:tcPr>
            <w:tcW w:w="867" w:type="dxa"/>
          </w:tcPr>
          <w:p w14:paraId="35175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1934 г.</w:t>
            </w:r>
          </w:p>
        </w:tc>
        <w:tc>
          <w:tcPr>
            <w:tcW w:w="654" w:type="dxa"/>
          </w:tcPr>
          <w:p w14:paraId="5B5F5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73D5EF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7162EA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7AB83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0882B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51" w:type="dxa"/>
          </w:tcPr>
          <w:p w14:paraId="19BAC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1296" w:type="dxa"/>
          </w:tcPr>
          <w:p w14:paraId="2EA26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пулемет, пушки</w:t>
            </w:r>
          </w:p>
          <w:p w14:paraId="27309F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2000</w:t>
            </w:r>
          </w:p>
        </w:tc>
        <w:tc>
          <w:tcPr>
            <w:tcW w:w="830" w:type="dxa"/>
          </w:tcPr>
          <w:p w14:paraId="0F663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 дюраль</w:t>
            </w:r>
          </w:p>
        </w:tc>
        <w:tc>
          <w:tcPr>
            <w:tcW w:w="851" w:type="dxa"/>
          </w:tcPr>
          <w:p w14:paraId="5F728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4861E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 1 2-я очередь</w:t>
            </w:r>
          </w:p>
        </w:tc>
      </w:tr>
      <w:tr w:rsidR="00DA227A" w:rsidRPr="00E93F40" w14:paraId="09D0357C" w14:textId="77777777">
        <w:tc>
          <w:tcPr>
            <w:tcW w:w="1281" w:type="dxa"/>
          </w:tcPr>
          <w:p w14:paraId="71925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ближний разведчик амфибия (санитарный, фотосъемщик, …) (МБР5-М35)</w:t>
            </w:r>
          </w:p>
        </w:tc>
        <w:tc>
          <w:tcPr>
            <w:tcW w:w="867" w:type="dxa"/>
          </w:tcPr>
          <w:p w14:paraId="1552D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 г.</w:t>
            </w:r>
          </w:p>
        </w:tc>
        <w:tc>
          <w:tcPr>
            <w:tcW w:w="654" w:type="dxa"/>
          </w:tcPr>
          <w:p w14:paraId="26139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57E0B6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709" w:type="dxa"/>
          </w:tcPr>
          <w:p w14:paraId="62C8B8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709" w:type="dxa"/>
          </w:tcPr>
          <w:p w14:paraId="4960F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708" w:type="dxa"/>
          </w:tcPr>
          <w:p w14:paraId="283E1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500/800</w:t>
            </w:r>
          </w:p>
        </w:tc>
        <w:tc>
          <w:tcPr>
            <w:tcW w:w="851" w:type="dxa"/>
          </w:tcPr>
          <w:p w14:paraId="70CD88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100/600</w:t>
            </w:r>
          </w:p>
        </w:tc>
        <w:tc>
          <w:tcPr>
            <w:tcW w:w="1296" w:type="dxa"/>
          </w:tcPr>
          <w:p w14:paraId="18062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пулем.</w:t>
            </w:r>
          </w:p>
          <w:p w14:paraId="3EBB9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100</w:t>
            </w:r>
          </w:p>
        </w:tc>
        <w:tc>
          <w:tcPr>
            <w:tcW w:w="830" w:type="dxa"/>
          </w:tcPr>
          <w:p w14:paraId="3DB42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851" w:type="dxa"/>
          </w:tcPr>
          <w:p w14:paraId="42C95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СБ2б</w:t>
            </w:r>
          </w:p>
        </w:tc>
        <w:tc>
          <w:tcPr>
            <w:tcW w:w="992" w:type="dxa"/>
          </w:tcPr>
          <w:p w14:paraId="41D455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ведет НИИ ГУГВФ</w:t>
            </w:r>
          </w:p>
        </w:tc>
      </w:tr>
    </w:tbl>
    <w:p w14:paraId="13A094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4678"/>
        <w:gridCol w:w="2268"/>
      </w:tblGrid>
      <w:tr w:rsidR="00DA227A" w:rsidRPr="00E93F40" w14:paraId="02937BAE" w14:textId="77777777">
        <w:tc>
          <w:tcPr>
            <w:tcW w:w="1242" w:type="dxa"/>
          </w:tcPr>
          <w:p w14:paraId="12697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4678" w:type="dxa"/>
          </w:tcPr>
          <w:p w14:paraId="73446F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модификации</w:t>
            </w:r>
          </w:p>
        </w:tc>
        <w:tc>
          <w:tcPr>
            <w:tcW w:w="2268" w:type="dxa"/>
          </w:tcPr>
          <w:p w14:paraId="236C08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r>
      <w:tr w:rsidR="00DA227A" w:rsidRPr="00E93F40" w14:paraId="1A51CA0D" w14:textId="77777777">
        <w:tc>
          <w:tcPr>
            <w:tcW w:w="1242" w:type="dxa"/>
          </w:tcPr>
          <w:p w14:paraId="6EFC7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4678" w:type="dxa"/>
          </w:tcPr>
          <w:p w14:paraId="65E296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установка моторов М34</w:t>
            </w:r>
          </w:p>
        </w:tc>
        <w:tc>
          <w:tcPr>
            <w:tcW w:w="2268" w:type="dxa"/>
          </w:tcPr>
          <w:p w14:paraId="40B92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20B37082" w14:textId="77777777">
        <w:tc>
          <w:tcPr>
            <w:tcW w:w="1242" w:type="dxa"/>
          </w:tcPr>
          <w:p w14:paraId="4EC11B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ТШ2-М17</w:t>
            </w:r>
          </w:p>
        </w:tc>
        <w:tc>
          <w:tcPr>
            <w:tcW w:w="4678" w:type="dxa"/>
          </w:tcPr>
          <w:p w14:paraId="61443D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установка М34, облегчение веса конструкции и улучшение летных данных</w:t>
            </w:r>
          </w:p>
        </w:tc>
        <w:tc>
          <w:tcPr>
            <w:tcW w:w="2268" w:type="dxa"/>
          </w:tcPr>
          <w:p w14:paraId="11E88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r>
      <w:tr w:rsidR="00DA227A" w:rsidRPr="00E93F40" w14:paraId="357A82FB" w14:textId="77777777">
        <w:tc>
          <w:tcPr>
            <w:tcW w:w="1242" w:type="dxa"/>
          </w:tcPr>
          <w:p w14:paraId="1EEFE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АНТ9-3М26</w:t>
            </w:r>
          </w:p>
        </w:tc>
        <w:tc>
          <w:tcPr>
            <w:tcW w:w="4678" w:type="dxa"/>
          </w:tcPr>
          <w:p w14:paraId="7402E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Военное оборудование самолета</w:t>
            </w:r>
          </w:p>
        </w:tc>
        <w:tc>
          <w:tcPr>
            <w:tcW w:w="2268" w:type="dxa"/>
          </w:tcPr>
          <w:p w14:paraId="2E956C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0E21C451" w14:textId="77777777">
        <w:tc>
          <w:tcPr>
            <w:tcW w:w="1242" w:type="dxa"/>
          </w:tcPr>
          <w:p w14:paraId="37FFA0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4678" w:type="dxa"/>
          </w:tcPr>
          <w:p w14:paraId="64C181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Замена мотора М17 на мотор М34</w:t>
            </w:r>
          </w:p>
        </w:tc>
        <w:tc>
          <w:tcPr>
            <w:tcW w:w="2268" w:type="dxa"/>
          </w:tcPr>
          <w:p w14:paraId="6E856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r>
      <w:tr w:rsidR="00DA227A" w:rsidRPr="00E93F40" w14:paraId="1F6DEEF2" w14:textId="77777777">
        <w:tc>
          <w:tcPr>
            <w:tcW w:w="1242" w:type="dxa"/>
          </w:tcPr>
          <w:p w14:paraId="40750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4678" w:type="dxa"/>
          </w:tcPr>
          <w:p w14:paraId="63AEE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разрезных крыльев и тормозных колес</w:t>
            </w:r>
          </w:p>
        </w:tc>
        <w:tc>
          <w:tcPr>
            <w:tcW w:w="2268" w:type="dxa"/>
          </w:tcPr>
          <w:p w14:paraId="474439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6A32D7A8" w14:textId="77777777">
        <w:tc>
          <w:tcPr>
            <w:tcW w:w="1242" w:type="dxa"/>
          </w:tcPr>
          <w:p w14:paraId="57746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 бис</w:t>
            </w:r>
          </w:p>
        </w:tc>
        <w:tc>
          <w:tcPr>
            <w:tcW w:w="4678" w:type="dxa"/>
          </w:tcPr>
          <w:p w14:paraId="2833A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w:t>
            </w:r>
          </w:p>
        </w:tc>
        <w:tc>
          <w:tcPr>
            <w:tcW w:w="2268" w:type="dxa"/>
          </w:tcPr>
          <w:p w14:paraId="61433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w:t>
            </w:r>
          </w:p>
        </w:tc>
      </w:tr>
      <w:tr w:rsidR="00DA227A" w:rsidRPr="00E93F40" w14:paraId="322A0B4D" w14:textId="77777777">
        <w:tc>
          <w:tcPr>
            <w:tcW w:w="1242" w:type="dxa"/>
          </w:tcPr>
          <w:p w14:paraId="3B883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И12-2М22</w:t>
            </w:r>
          </w:p>
        </w:tc>
        <w:tc>
          <w:tcPr>
            <w:tcW w:w="4678" w:type="dxa"/>
          </w:tcPr>
          <w:p w14:paraId="74DDC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второго модифицированного экземпляра</w:t>
            </w:r>
          </w:p>
        </w:tc>
        <w:tc>
          <w:tcPr>
            <w:tcW w:w="2268" w:type="dxa"/>
          </w:tcPr>
          <w:p w14:paraId="7B457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w:t>
            </w:r>
          </w:p>
        </w:tc>
      </w:tr>
      <w:tr w:rsidR="00DA227A" w:rsidRPr="00E93F40" w14:paraId="1C9EA997" w14:textId="77777777">
        <w:tc>
          <w:tcPr>
            <w:tcW w:w="1242" w:type="dxa"/>
          </w:tcPr>
          <w:p w14:paraId="12004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4678" w:type="dxa"/>
          </w:tcPr>
          <w:p w14:paraId="304F4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бомбового вооружения</w:t>
            </w:r>
          </w:p>
        </w:tc>
        <w:tc>
          <w:tcPr>
            <w:tcW w:w="2268" w:type="dxa"/>
          </w:tcPr>
          <w:p w14:paraId="6B5AFC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w:t>
            </w:r>
          </w:p>
        </w:tc>
      </w:tr>
      <w:tr w:rsidR="00DA227A" w:rsidRPr="00E93F40" w14:paraId="031D04D9" w14:textId="77777777">
        <w:tc>
          <w:tcPr>
            <w:tcW w:w="1242" w:type="dxa"/>
          </w:tcPr>
          <w:p w14:paraId="0DDCD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…Ш2-М17</w:t>
            </w:r>
          </w:p>
        </w:tc>
        <w:tc>
          <w:tcPr>
            <w:tcW w:w="4678" w:type="dxa"/>
          </w:tcPr>
          <w:p w14:paraId="6B6D9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пулеметных батарей</w:t>
            </w:r>
          </w:p>
        </w:tc>
        <w:tc>
          <w:tcPr>
            <w:tcW w:w="2268" w:type="dxa"/>
          </w:tcPr>
          <w:p w14:paraId="66987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июля 1932 года</w:t>
            </w:r>
          </w:p>
        </w:tc>
      </w:tr>
      <w:tr w:rsidR="00DA227A" w:rsidRPr="00E93F40" w14:paraId="17E51ED7" w14:textId="77777777">
        <w:tc>
          <w:tcPr>
            <w:tcW w:w="1242" w:type="dxa"/>
          </w:tcPr>
          <w:p w14:paraId="0B4FA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….-2М17</w:t>
            </w:r>
          </w:p>
        </w:tc>
        <w:tc>
          <w:tcPr>
            <w:tcW w:w="4678" w:type="dxa"/>
          </w:tcPr>
          <w:p w14:paraId="08E01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2268" w:type="dxa"/>
          </w:tcPr>
          <w:p w14:paraId="1801CB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r>
      <w:tr w:rsidR="00DA227A" w:rsidRPr="00E93F40" w14:paraId="5FE5AF6F" w14:textId="77777777">
        <w:tc>
          <w:tcPr>
            <w:tcW w:w="1242" w:type="dxa"/>
          </w:tcPr>
          <w:p w14:paraId="4BDCE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4678" w:type="dxa"/>
          </w:tcPr>
          <w:p w14:paraId="75240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2268" w:type="dxa"/>
          </w:tcPr>
          <w:p w14:paraId="023FA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r>
      <w:tr w:rsidR="00DA227A" w:rsidRPr="00E93F40" w14:paraId="572E9F4D" w14:textId="77777777">
        <w:tc>
          <w:tcPr>
            <w:tcW w:w="1242" w:type="dxa"/>
          </w:tcPr>
          <w:p w14:paraId="09883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4678" w:type="dxa"/>
          </w:tcPr>
          <w:p w14:paraId="48CB0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 для химцелей</w:t>
            </w:r>
          </w:p>
        </w:tc>
        <w:tc>
          <w:tcPr>
            <w:tcW w:w="2268" w:type="dxa"/>
          </w:tcPr>
          <w:p w14:paraId="30AF7B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года</w:t>
            </w:r>
          </w:p>
        </w:tc>
      </w:tr>
    </w:tbl>
    <w:p w14:paraId="32A22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Экспериментальные и особые группы.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708"/>
        <w:gridCol w:w="709"/>
        <w:gridCol w:w="709"/>
        <w:gridCol w:w="868"/>
        <w:gridCol w:w="691"/>
        <w:gridCol w:w="1341"/>
        <w:gridCol w:w="927"/>
        <w:gridCol w:w="709"/>
        <w:gridCol w:w="1134"/>
      </w:tblGrid>
      <w:tr w:rsidR="00DA227A" w:rsidRPr="00E93F40" w14:paraId="666A0895" w14:textId="77777777">
        <w:tc>
          <w:tcPr>
            <w:tcW w:w="1281" w:type="dxa"/>
          </w:tcPr>
          <w:p w14:paraId="130AFB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27716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предъяв. на госисп.</w:t>
            </w:r>
          </w:p>
        </w:tc>
        <w:tc>
          <w:tcPr>
            <w:tcW w:w="654" w:type="dxa"/>
          </w:tcPr>
          <w:p w14:paraId="444775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w:t>
            </w:r>
          </w:p>
        </w:tc>
        <w:tc>
          <w:tcPr>
            <w:tcW w:w="708" w:type="dxa"/>
          </w:tcPr>
          <w:p w14:paraId="0476F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627D7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709" w:type="dxa"/>
          </w:tcPr>
          <w:p w14:paraId="02D264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 скорость</w:t>
            </w:r>
          </w:p>
        </w:tc>
        <w:tc>
          <w:tcPr>
            <w:tcW w:w="868" w:type="dxa"/>
          </w:tcPr>
          <w:p w14:paraId="5C714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 радиус при перегруз.</w:t>
            </w:r>
          </w:p>
        </w:tc>
        <w:tc>
          <w:tcPr>
            <w:tcW w:w="691" w:type="dxa"/>
          </w:tcPr>
          <w:p w14:paraId="7FE699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 сбрасыв. груз/ сбрасыв. груз при перегруз.</w:t>
            </w:r>
          </w:p>
        </w:tc>
        <w:tc>
          <w:tcPr>
            <w:tcW w:w="1341" w:type="dxa"/>
          </w:tcPr>
          <w:p w14:paraId="4C971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927" w:type="dxa"/>
          </w:tcPr>
          <w:p w14:paraId="5C9A2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w:t>
            </w:r>
          </w:p>
        </w:tc>
        <w:tc>
          <w:tcPr>
            <w:tcW w:w="709" w:type="dxa"/>
          </w:tcPr>
          <w:p w14:paraId="2093B7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 заменяет при выходе</w:t>
            </w:r>
          </w:p>
        </w:tc>
        <w:tc>
          <w:tcPr>
            <w:tcW w:w="1134" w:type="dxa"/>
          </w:tcPr>
          <w:p w14:paraId="5DE648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02087984" w14:textId="77777777">
        <w:tc>
          <w:tcPr>
            <w:tcW w:w="1281" w:type="dxa"/>
          </w:tcPr>
          <w:p w14:paraId="0CD819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w:t>
            </w:r>
          </w:p>
        </w:tc>
        <w:tc>
          <w:tcPr>
            <w:tcW w:w="867" w:type="dxa"/>
          </w:tcPr>
          <w:p w14:paraId="596516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160B6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E77B3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40C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CE00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8D5B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09A0A2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29082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F9D7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CCC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66F2C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00B7C5" w14:textId="77777777">
        <w:tc>
          <w:tcPr>
            <w:tcW w:w="1281" w:type="dxa"/>
          </w:tcPr>
          <w:p w14:paraId="1A2A7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 пушечный особой схемы (ДИП2-М34)</w:t>
            </w:r>
          </w:p>
        </w:tc>
        <w:tc>
          <w:tcPr>
            <w:tcW w:w="867" w:type="dxa"/>
          </w:tcPr>
          <w:p w14:paraId="697B5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3C341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8" w:type="dxa"/>
          </w:tcPr>
          <w:p w14:paraId="3698EB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350/-/8</w:t>
            </w:r>
          </w:p>
        </w:tc>
        <w:tc>
          <w:tcPr>
            <w:tcW w:w="709" w:type="dxa"/>
          </w:tcPr>
          <w:p w14:paraId="239FB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709" w:type="dxa"/>
          </w:tcPr>
          <w:p w14:paraId="421495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8" w:type="dxa"/>
          </w:tcPr>
          <w:p w14:paraId="2AB36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300/600</w:t>
            </w:r>
          </w:p>
        </w:tc>
        <w:tc>
          <w:tcPr>
            <w:tcW w:w="691" w:type="dxa"/>
          </w:tcPr>
          <w:p w14:paraId="40862B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341" w:type="dxa"/>
          </w:tcPr>
          <w:p w14:paraId="763EC1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 пушка и пулем.</w:t>
            </w:r>
          </w:p>
          <w:p w14:paraId="608513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 10, 50, ЗАМы гирлянды</w:t>
            </w:r>
          </w:p>
        </w:tc>
        <w:tc>
          <w:tcPr>
            <w:tcW w:w="927" w:type="dxa"/>
          </w:tcPr>
          <w:p w14:paraId="6C4C7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4D1FC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709" w:type="dxa"/>
          </w:tcPr>
          <w:p w14:paraId="57745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4CB44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864C60" w14:textId="77777777">
        <w:tc>
          <w:tcPr>
            <w:tcW w:w="1281" w:type="dxa"/>
          </w:tcPr>
          <w:p w14:paraId="2796D2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 самолет, он же рекордный на высоту</w:t>
            </w:r>
          </w:p>
        </w:tc>
        <w:tc>
          <w:tcPr>
            <w:tcW w:w="867" w:type="dxa"/>
          </w:tcPr>
          <w:p w14:paraId="60290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1933 г.</w:t>
            </w:r>
          </w:p>
        </w:tc>
        <w:tc>
          <w:tcPr>
            <w:tcW w:w="654" w:type="dxa"/>
          </w:tcPr>
          <w:p w14:paraId="20E1DD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10000-12000</w:t>
            </w:r>
          </w:p>
        </w:tc>
        <w:tc>
          <w:tcPr>
            <w:tcW w:w="708" w:type="dxa"/>
          </w:tcPr>
          <w:p w14:paraId="13F5B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55292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709" w:type="dxa"/>
          </w:tcPr>
          <w:p w14:paraId="278CA7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A048D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BA65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366D0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ECA6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B82B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F786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двух экземпляров ведут ВВА и Глававиапр.</w:t>
            </w:r>
          </w:p>
        </w:tc>
      </w:tr>
      <w:tr w:rsidR="00DA227A" w:rsidRPr="00E93F40" w14:paraId="6664A668" w14:textId="77777777">
        <w:tc>
          <w:tcPr>
            <w:tcW w:w="1281" w:type="dxa"/>
          </w:tcPr>
          <w:p w14:paraId="202CCD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скоростной под мотор М32</w:t>
            </w:r>
          </w:p>
        </w:tc>
        <w:tc>
          <w:tcPr>
            <w:tcW w:w="867" w:type="dxa"/>
          </w:tcPr>
          <w:p w14:paraId="71CDC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7EC3F0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DE1D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05DC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FA8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89C8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79CE8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59972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C768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E1056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3E2F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3DB7106" w14:textId="77777777">
        <w:tc>
          <w:tcPr>
            <w:tcW w:w="1281" w:type="dxa"/>
          </w:tcPr>
          <w:p w14:paraId="3E50D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на дальность</w:t>
            </w:r>
          </w:p>
        </w:tc>
        <w:tc>
          <w:tcPr>
            <w:tcW w:w="867" w:type="dxa"/>
          </w:tcPr>
          <w:p w14:paraId="3EA91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w:t>
            </w:r>
          </w:p>
        </w:tc>
        <w:tc>
          <w:tcPr>
            <w:tcW w:w="654" w:type="dxa"/>
          </w:tcPr>
          <w:p w14:paraId="791109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DA57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1FA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6E7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135F5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0E221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E2E5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C4E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F1D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4719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B06651" w14:textId="77777777">
        <w:tc>
          <w:tcPr>
            <w:tcW w:w="1281" w:type="dxa"/>
          </w:tcPr>
          <w:p w14:paraId="348BA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летающее крыло (парабола Чарановского)</w:t>
            </w:r>
          </w:p>
        </w:tc>
        <w:tc>
          <w:tcPr>
            <w:tcW w:w="867" w:type="dxa"/>
          </w:tcPr>
          <w:p w14:paraId="6CCA4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27765C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BA4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7C06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154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7653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15E37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6711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CAE8E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9E69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32A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B11BD7" w14:textId="77777777">
        <w:tc>
          <w:tcPr>
            <w:tcW w:w="1281" w:type="dxa"/>
          </w:tcPr>
          <w:p w14:paraId="1A520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раздвижными крыльями (У3 бис М48)</w:t>
            </w:r>
          </w:p>
        </w:tc>
        <w:tc>
          <w:tcPr>
            <w:tcW w:w="867" w:type="dxa"/>
          </w:tcPr>
          <w:p w14:paraId="593C1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71A0A8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708" w:type="dxa"/>
          </w:tcPr>
          <w:p w14:paraId="3B685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709" w:type="dxa"/>
          </w:tcPr>
          <w:p w14:paraId="2BECD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38FBA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c>
          <w:tcPr>
            <w:tcW w:w="868" w:type="dxa"/>
          </w:tcPr>
          <w:p w14:paraId="29B31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691" w:type="dxa"/>
          </w:tcPr>
          <w:p w14:paraId="564CF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341" w:type="dxa"/>
          </w:tcPr>
          <w:p w14:paraId="61469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Легк. пулем. </w:t>
            </w:r>
          </w:p>
        </w:tc>
        <w:tc>
          <w:tcPr>
            <w:tcW w:w="927" w:type="dxa"/>
          </w:tcPr>
          <w:p w14:paraId="6D47C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709" w:type="dxa"/>
          </w:tcPr>
          <w:p w14:paraId="76131D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34" w:type="dxa"/>
          </w:tcPr>
          <w:p w14:paraId="5656B0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ведет ВТУЗ ГУГВФа</w:t>
            </w:r>
          </w:p>
        </w:tc>
      </w:tr>
      <w:tr w:rsidR="00DA227A" w:rsidRPr="00E93F40" w14:paraId="30C848AD" w14:textId="77777777">
        <w:tc>
          <w:tcPr>
            <w:tcW w:w="1281" w:type="dxa"/>
          </w:tcPr>
          <w:p w14:paraId="6385E6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особым типом разрезных крыльев (системы Кричевского)</w:t>
            </w:r>
          </w:p>
        </w:tc>
        <w:tc>
          <w:tcPr>
            <w:tcW w:w="867" w:type="dxa"/>
          </w:tcPr>
          <w:p w14:paraId="22D9C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 1932 г.</w:t>
            </w:r>
          </w:p>
        </w:tc>
        <w:tc>
          <w:tcPr>
            <w:tcW w:w="654" w:type="dxa"/>
          </w:tcPr>
          <w:p w14:paraId="188D5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8F4E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BC5E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8AF5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CFC8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E026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CA65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B52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47B8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21593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080DCB" w14:textId="77777777">
        <w:tc>
          <w:tcPr>
            <w:tcW w:w="1281" w:type="dxa"/>
          </w:tcPr>
          <w:p w14:paraId="0E98F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 (ВГ2)</w:t>
            </w:r>
          </w:p>
        </w:tc>
        <w:tc>
          <w:tcPr>
            <w:tcW w:w="867" w:type="dxa"/>
          </w:tcPr>
          <w:p w14:paraId="1C62C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13F6B7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AF11B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B210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03C48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3AA5B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996D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AA5D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6F2D2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728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BF7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209383" w14:textId="77777777">
        <w:tc>
          <w:tcPr>
            <w:tcW w:w="1281" w:type="dxa"/>
          </w:tcPr>
          <w:p w14:paraId="4205E8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w:t>
            </w:r>
          </w:p>
        </w:tc>
        <w:tc>
          <w:tcPr>
            <w:tcW w:w="867" w:type="dxa"/>
          </w:tcPr>
          <w:p w14:paraId="77ABF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w:t>
            </w:r>
          </w:p>
        </w:tc>
        <w:tc>
          <w:tcPr>
            <w:tcW w:w="654" w:type="dxa"/>
          </w:tcPr>
          <w:p w14:paraId="1B70E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5FD08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2FA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0F5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6556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55FE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B073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5F6E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1B2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3121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D8955F" w14:textId="77777777">
        <w:tc>
          <w:tcPr>
            <w:tcW w:w="1281" w:type="dxa"/>
          </w:tcPr>
          <w:p w14:paraId="01C7DC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w:t>
            </w:r>
          </w:p>
        </w:tc>
        <w:tc>
          <w:tcPr>
            <w:tcW w:w="867" w:type="dxa"/>
          </w:tcPr>
          <w:p w14:paraId="6B71B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w:t>
            </w:r>
          </w:p>
        </w:tc>
        <w:tc>
          <w:tcPr>
            <w:tcW w:w="654" w:type="dxa"/>
          </w:tcPr>
          <w:p w14:paraId="03A7E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C957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E52A3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570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BFC2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392DC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41C1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45222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05C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3694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1AAACA" w14:textId="77777777">
        <w:tc>
          <w:tcPr>
            <w:tcW w:w="1281" w:type="dxa"/>
          </w:tcPr>
          <w:p w14:paraId="7EE74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реактивным двигателем</w:t>
            </w:r>
          </w:p>
        </w:tc>
        <w:tc>
          <w:tcPr>
            <w:tcW w:w="867" w:type="dxa"/>
          </w:tcPr>
          <w:p w14:paraId="08C478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43DE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50F9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CE7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4C910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08BF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04C9A1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6547B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2195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7D83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394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Работу ведет Гидродинамическая лаборатория</w:t>
            </w:r>
          </w:p>
        </w:tc>
      </w:tr>
      <w:tr w:rsidR="00DA227A" w:rsidRPr="00E93F40" w14:paraId="284CB588" w14:textId="77777777">
        <w:tc>
          <w:tcPr>
            <w:tcW w:w="1281" w:type="dxa"/>
          </w:tcPr>
          <w:p w14:paraId="7616AB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нефтяным двигателем Паккард</w:t>
            </w:r>
          </w:p>
        </w:tc>
        <w:tc>
          <w:tcPr>
            <w:tcW w:w="867" w:type="dxa"/>
          </w:tcPr>
          <w:p w14:paraId="5EC99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67C8B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06A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8EB1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A2A4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3800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08EE2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54A03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1A5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00C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3D11C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мотора производит ГУГВФ</w:t>
            </w:r>
          </w:p>
        </w:tc>
      </w:tr>
      <w:tr w:rsidR="00DA227A" w:rsidRPr="00E93F40" w14:paraId="55AC9277" w14:textId="77777777">
        <w:tc>
          <w:tcPr>
            <w:tcW w:w="1281" w:type="dxa"/>
          </w:tcPr>
          <w:p w14:paraId="21DCF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Корабельный разведчик …, он же катапультный (КР2-М34)</w:t>
            </w:r>
          </w:p>
        </w:tc>
        <w:tc>
          <w:tcPr>
            <w:tcW w:w="867" w:type="dxa"/>
          </w:tcPr>
          <w:p w14:paraId="33F70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 г.</w:t>
            </w:r>
          </w:p>
        </w:tc>
        <w:tc>
          <w:tcPr>
            <w:tcW w:w="654" w:type="dxa"/>
          </w:tcPr>
          <w:p w14:paraId="26498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708" w:type="dxa"/>
          </w:tcPr>
          <w:p w14:paraId="6D7DF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709" w:type="dxa"/>
          </w:tcPr>
          <w:p w14:paraId="137424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709" w:type="dxa"/>
          </w:tcPr>
          <w:p w14:paraId="69B1A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 115</w:t>
            </w:r>
          </w:p>
        </w:tc>
        <w:tc>
          <w:tcPr>
            <w:tcW w:w="868" w:type="dxa"/>
          </w:tcPr>
          <w:p w14:paraId="600EC1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350/550</w:t>
            </w:r>
          </w:p>
        </w:tc>
        <w:tc>
          <w:tcPr>
            <w:tcW w:w="691" w:type="dxa"/>
          </w:tcPr>
          <w:p w14:paraId="31196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341" w:type="dxa"/>
          </w:tcPr>
          <w:p w14:paraId="35EDAB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 Калибры бомб –10, 50</w:t>
            </w:r>
          </w:p>
        </w:tc>
        <w:tc>
          <w:tcPr>
            <w:tcW w:w="927" w:type="dxa"/>
          </w:tcPr>
          <w:p w14:paraId="79C5F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709" w:type="dxa"/>
          </w:tcPr>
          <w:p w14:paraId="3BA01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КР1-ЮV</w:t>
            </w:r>
          </w:p>
        </w:tc>
        <w:tc>
          <w:tcPr>
            <w:tcW w:w="1134" w:type="dxa"/>
          </w:tcPr>
          <w:p w14:paraId="07FF21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должен иметь варианты:</w:t>
            </w:r>
          </w:p>
          <w:p w14:paraId="61C1D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разрез. и в то же время склад.</w:t>
            </w:r>
          </w:p>
          <w:p w14:paraId="6535A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выдвижн.</w:t>
            </w:r>
          </w:p>
        </w:tc>
      </w:tr>
      <w:tr w:rsidR="00DA227A" w:rsidRPr="00E93F40" w14:paraId="68B6DDFD" w14:textId="77777777">
        <w:tc>
          <w:tcPr>
            <w:tcW w:w="1281" w:type="dxa"/>
          </w:tcPr>
          <w:p w14:paraId="587BBD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подлодок (СПЛ)</w:t>
            </w:r>
          </w:p>
        </w:tc>
        <w:tc>
          <w:tcPr>
            <w:tcW w:w="867" w:type="dxa"/>
          </w:tcPr>
          <w:p w14:paraId="1E2FB0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654" w:type="dxa"/>
          </w:tcPr>
          <w:p w14:paraId="26A39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E17F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8427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99C3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9D3A4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7648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7C91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94458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FAC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984D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устанавлив. особо.</w:t>
            </w:r>
          </w:p>
          <w:p w14:paraId="092EEF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проектиров. и постр. находит. УВВС.</w:t>
            </w:r>
          </w:p>
        </w:tc>
      </w:tr>
      <w:tr w:rsidR="00DA227A" w:rsidRPr="00E93F40" w14:paraId="4552FAD6" w14:textId="77777777">
        <w:tc>
          <w:tcPr>
            <w:tcW w:w="1281" w:type="dxa"/>
          </w:tcPr>
          <w:p w14:paraId="4A6F28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Особой группы</w:t>
            </w:r>
          </w:p>
        </w:tc>
        <w:tc>
          <w:tcPr>
            <w:tcW w:w="867" w:type="dxa"/>
          </w:tcPr>
          <w:p w14:paraId="255F4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52CDD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F108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D13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6EE4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C487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44B18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20075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48E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8E0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8051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573E2B" w14:textId="77777777">
        <w:tc>
          <w:tcPr>
            <w:tcW w:w="1281" w:type="dxa"/>
          </w:tcPr>
          <w:p w14:paraId="1B6DBF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«Таран» (ТА1)</w:t>
            </w:r>
          </w:p>
        </w:tc>
        <w:tc>
          <w:tcPr>
            <w:tcW w:w="867" w:type="dxa"/>
          </w:tcPr>
          <w:p w14:paraId="5C4B2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54" w:type="dxa"/>
          </w:tcPr>
          <w:p w14:paraId="4AE71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8" w:type="dxa"/>
          </w:tcPr>
          <w:p w14:paraId="1E7FE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400/-/6</w:t>
            </w:r>
          </w:p>
        </w:tc>
        <w:tc>
          <w:tcPr>
            <w:tcW w:w="709" w:type="dxa"/>
          </w:tcPr>
          <w:p w14:paraId="2C84B3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709" w:type="dxa"/>
          </w:tcPr>
          <w:p w14:paraId="79D760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56B05F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w:t>
            </w:r>
          </w:p>
        </w:tc>
        <w:tc>
          <w:tcPr>
            <w:tcW w:w="691" w:type="dxa"/>
          </w:tcPr>
          <w:p w14:paraId="473AE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341" w:type="dxa"/>
          </w:tcPr>
          <w:p w14:paraId="39765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ЗАМы</w:t>
            </w:r>
          </w:p>
        </w:tc>
        <w:tc>
          <w:tcPr>
            <w:tcW w:w="927" w:type="dxa"/>
          </w:tcPr>
          <w:p w14:paraId="0AFFF8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18E16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34" w:type="dxa"/>
          </w:tcPr>
          <w:p w14:paraId="1A9893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2FF8F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p w14:paraId="7C67F56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Самолеты «Особой группы» строятся в порядке особой засекреченности, не проходя обычных путей разработки и утверждения требований и макетов. Самолеты этой группы проходят специальные испытания и быть введенными на вооружение ВВС в мирное время не предполагаются.</w:t>
      </w:r>
    </w:p>
    <w:p w14:paraId="3B3EA51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6D4F7A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(Апрель 1932 года начальник ВВС Алкснис) (3530,16-22)</w:t>
      </w:r>
    </w:p>
    <w:p w14:paraId="1D2DC8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зам. начальника 2 сектора НК по военным и морским делам Мимма писал письмо № 16212сс в КО Базилевичу</w:t>
      </w:r>
    </w:p>
    <w:p w14:paraId="00605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приказанию Ворошилова препровождаю план опытного строительства по моторам и самолетам на 1932-34 гг., рассмотренный Комиссией Тухачевского с участием Баранова и Орлова. Ворошилов считает необходимым рассмотреть план опытного строительства УВВС на заседании КО 19 апреля 1932 года.</w:t>
      </w:r>
    </w:p>
    <w:p w14:paraId="0C1D2F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план опытного строительства в 5 экземплярах (3530,9).</w:t>
      </w:r>
    </w:p>
    <w:p w14:paraId="56BD9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w:t>
      </w:r>
    </w:p>
    <w:p w14:paraId="42C495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самолетам на 1932-34 гг.</w:t>
      </w:r>
    </w:p>
    <w:p w14:paraId="0AAB4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850"/>
        <w:gridCol w:w="709"/>
        <w:gridCol w:w="709"/>
        <w:gridCol w:w="708"/>
        <w:gridCol w:w="851"/>
        <w:gridCol w:w="1296"/>
        <w:gridCol w:w="830"/>
        <w:gridCol w:w="851"/>
        <w:gridCol w:w="992"/>
      </w:tblGrid>
      <w:tr w:rsidR="00DA227A" w:rsidRPr="00E93F40" w14:paraId="4340B927" w14:textId="77777777">
        <w:tc>
          <w:tcPr>
            <w:tcW w:w="1281" w:type="dxa"/>
          </w:tcPr>
          <w:p w14:paraId="6882D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7E9072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предъяв. на госисп.</w:t>
            </w:r>
          </w:p>
        </w:tc>
        <w:tc>
          <w:tcPr>
            <w:tcW w:w="654" w:type="dxa"/>
          </w:tcPr>
          <w:p w14:paraId="0681B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w:t>
            </w:r>
          </w:p>
        </w:tc>
        <w:tc>
          <w:tcPr>
            <w:tcW w:w="850" w:type="dxa"/>
          </w:tcPr>
          <w:p w14:paraId="3A508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3EEEB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709" w:type="dxa"/>
          </w:tcPr>
          <w:p w14:paraId="65FE37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 скорость</w:t>
            </w:r>
          </w:p>
        </w:tc>
        <w:tc>
          <w:tcPr>
            <w:tcW w:w="708" w:type="dxa"/>
          </w:tcPr>
          <w:p w14:paraId="64AA7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 радиус при перегруз.</w:t>
            </w:r>
          </w:p>
        </w:tc>
        <w:tc>
          <w:tcPr>
            <w:tcW w:w="851" w:type="dxa"/>
          </w:tcPr>
          <w:p w14:paraId="7AA92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 сбрасыв. груз/ сбрасыв. груз при перегруз.</w:t>
            </w:r>
          </w:p>
        </w:tc>
        <w:tc>
          <w:tcPr>
            <w:tcW w:w="1296" w:type="dxa"/>
          </w:tcPr>
          <w:p w14:paraId="4787F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830" w:type="dxa"/>
          </w:tcPr>
          <w:p w14:paraId="4748CA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w:t>
            </w:r>
          </w:p>
        </w:tc>
        <w:tc>
          <w:tcPr>
            <w:tcW w:w="851" w:type="dxa"/>
          </w:tcPr>
          <w:p w14:paraId="4E8AEA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 заменяет при выходе</w:t>
            </w:r>
          </w:p>
        </w:tc>
        <w:tc>
          <w:tcPr>
            <w:tcW w:w="992" w:type="dxa"/>
          </w:tcPr>
          <w:p w14:paraId="42654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293BADC2" w14:textId="77777777">
        <w:tc>
          <w:tcPr>
            <w:tcW w:w="1281" w:type="dxa"/>
          </w:tcPr>
          <w:p w14:paraId="250BF5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Ближний бомбардир., он же пассажирск. грузовой (ТБ6-М44 или нефтяной)</w:t>
            </w:r>
          </w:p>
        </w:tc>
        <w:tc>
          <w:tcPr>
            <w:tcW w:w="867" w:type="dxa"/>
          </w:tcPr>
          <w:p w14:paraId="56C67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1934 г.</w:t>
            </w:r>
          </w:p>
        </w:tc>
        <w:tc>
          <w:tcPr>
            <w:tcW w:w="654" w:type="dxa"/>
          </w:tcPr>
          <w:p w14:paraId="15ED2A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46933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185BD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709" w:type="dxa"/>
          </w:tcPr>
          <w:p w14:paraId="177B6C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708" w:type="dxa"/>
          </w:tcPr>
          <w:p w14:paraId="74F554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 2000</w:t>
            </w:r>
          </w:p>
        </w:tc>
        <w:tc>
          <w:tcPr>
            <w:tcW w:w="851" w:type="dxa"/>
          </w:tcPr>
          <w:p w14:paraId="02B6B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1296" w:type="dxa"/>
          </w:tcPr>
          <w:p w14:paraId="375B7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пулемет и пушки</w:t>
            </w:r>
          </w:p>
          <w:p w14:paraId="4C177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2000</w:t>
            </w:r>
          </w:p>
        </w:tc>
        <w:tc>
          <w:tcPr>
            <w:tcW w:w="830" w:type="dxa"/>
          </w:tcPr>
          <w:p w14:paraId="3BB16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1F756C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К7</w:t>
            </w:r>
          </w:p>
        </w:tc>
        <w:tc>
          <w:tcPr>
            <w:tcW w:w="992" w:type="dxa"/>
          </w:tcPr>
          <w:p w14:paraId="76D374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BB3482" w14:textId="77777777">
        <w:tc>
          <w:tcPr>
            <w:tcW w:w="1281" w:type="dxa"/>
          </w:tcPr>
          <w:p w14:paraId="7185A6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десантный, он же тяжелый грузовой (Д1-10М34)</w:t>
            </w:r>
          </w:p>
        </w:tc>
        <w:tc>
          <w:tcPr>
            <w:tcW w:w="867" w:type="dxa"/>
          </w:tcPr>
          <w:p w14:paraId="2F54F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6A32A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357BE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709" w:type="dxa"/>
          </w:tcPr>
          <w:p w14:paraId="6DF50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6D61F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708" w:type="dxa"/>
          </w:tcPr>
          <w:p w14:paraId="620E5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851" w:type="dxa"/>
          </w:tcPr>
          <w:p w14:paraId="5C3269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1296" w:type="dxa"/>
          </w:tcPr>
          <w:p w14:paraId="150C0B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30" w:type="dxa"/>
          </w:tcPr>
          <w:p w14:paraId="0A13B4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30F4D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D3866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ведет ВВА ВВС</w:t>
            </w:r>
          </w:p>
        </w:tc>
      </w:tr>
      <w:tr w:rsidR="00DA227A" w:rsidRPr="00E93F40" w14:paraId="4A706598" w14:textId="77777777">
        <w:tc>
          <w:tcPr>
            <w:tcW w:w="1281" w:type="dxa"/>
          </w:tcPr>
          <w:p w14:paraId="23DA20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 (ТБ4-6М34)</w:t>
            </w:r>
          </w:p>
        </w:tc>
        <w:tc>
          <w:tcPr>
            <w:tcW w:w="867" w:type="dxa"/>
          </w:tcPr>
          <w:p w14:paraId="02177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 1932 г.</w:t>
            </w:r>
          </w:p>
        </w:tc>
        <w:tc>
          <w:tcPr>
            <w:tcW w:w="654" w:type="dxa"/>
          </w:tcPr>
          <w:p w14:paraId="5A376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1AA93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709" w:type="dxa"/>
          </w:tcPr>
          <w:p w14:paraId="69BD3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709" w:type="dxa"/>
          </w:tcPr>
          <w:p w14:paraId="1A797E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4206B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51" w:type="dxa"/>
          </w:tcPr>
          <w:p w14:paraId="16426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1296" w:type="dxa"/>
          </w:tcPr>
          <w:p w14:paraId="0B7A0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w:t>
            </w:r>
          </w:p>
          <w:p w14:paraId="6455F1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w:t>
            </w:r>
          </w:p>
        </w:tc>
        <w:tc>
          <w:tcPr>
            <w:tcW w:w="830" w:type="dxa"/>
          </w:tcPr>
          <w:p w14:paraId="501989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7EB15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992" w:type="dxa"/>
          </w:tcPr>
          <w:p w14:paraId="73B6E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Перенести из плана № 1</w:t>
            </w:r>
          </w:p>
        </w:tc>
      </w:tr>
      <w:tr w:rsidR="00DA227A" w:rsidRPr="00E93F40" w14:paraId="5F76F62B" w14:textId="77777777">
        <w:tc>
          <w:tcPr>
            <w:tcW w:w="1281" w:type="dxa"/>
          </w:tcPr>
          <w:p w14:paraId="54F64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 (ТБ4 бис - 6М34)</w:t>
            </w:r>
          </w:p>
        </w:tc>
        <w:tc>
          <w:tcPr>
            <w:tcW w:w="867" w:type="dxa"/>
          </w:tcPr>
          <w:p w14:paraId="06D3F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1934 г.</w:t>
            </w:r>
          </w:p>
        </w:tc>
        <w:tc>
          <w:tcPr>
            <w:tcW w:w="654" w:type="dxa"/>
          </w:tcPr>
          <w:p w14:paraId="0BCB9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1B60EB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 крейсерс.</w:t>
            </w:r>
          </w:p>
        </w:tc>
        <w:tc>
          <w:tcPr>
            <w:tcW w:w="709" w:type="dxa"/>
          </w:tcPr>
          <w:p w14:paraId="7043FF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7BBF0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6ABA2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01B3CE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1296" w:type="dxa"/>
          </w:tcPr>
          <w:p w14:paraId="6A00ED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w:t>
            </w:r>
          </w:p>
          <w:p w14:paraId="40A328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2000</w:t>
            </w:r>
          </w:p>
        </w:tc>
        <w:tc>
          <w:tcPr>
            <w:tcW w:w="830" w:type="dxa"/>
          </w:tcPr>
          <w:p w14:paraId="4E52D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5BF15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992" w:type="dxa"/>
          </w:tcPr>
          <w:p w14:paraId="544B1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Перенести из плана № 1</w:t>
            </w:r>
          </w:p>
        </w:tc>
      </w:tr>
      <w:tr w:rsidR="00DA227A" w:rsidRPr="00E93F40" w14:paraId="45E6E5A9" w14:textId="77777777">
        <w:tc>
          <w:tcPr>
            <w:tcW w:w="1281" w:type="dxa"/>
          </w:tcPr>
          <w:p w14:paraId="71CEC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химический боевик, он же самолет для перевозки горючего и пассажирский (Х1-2М34)</w:t>
            </w:r>
          </w:p>
        </w:tc>
        <w:tc>
          <w:tcPr>
            <w:tcW w:w="867" w:type="dxa"/>
          </w:tcPr>
          <w:p w14:paraId="2480B4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 г.</w:t>
            </w:r>
          </w:p>
        </w:tc>
        <w:tc>
          <w:tcPr>
            <w:tcW w:w="654" w:type="dxa"/>
          </w:tcPr>
          <w:p w14:paraId="78A93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0FF846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42C44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7F262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708" w:type="dxa"/>
          </w:tcPr>
          <w:p w14:paraId="754831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450/600</w:t>
            </w:r>
          </w:p>
        </w:tc>
        <w:tc>
          <w:tcPr>
            <w:tcW w:w="851" w:type="dxa"/>
          </w:tcPr>
          <w:p w14:paraId="6D9A9F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3000</w:t>
            </w:r>
          </w:p>
        </w:tc>
        <w:tc>
          <w:tcPr>
            <w:tcW w:w="1296" w:type="dxa"/>
          </w:tcPr>
          <w:p w14:paraId="5FE47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Пулеметы</w:t>
            </w:r>
          </w:p>
        </w:tc>
        <w:tc>
          <w:tcPr>
            <w:tcW w:w="830" w:type="dxa"/>
          </w:tcPr>
          <w:p w14:paraId="5B409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59356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992" w:type="dxa"/>
          </w:tcPr>
          <w:p w14:paraId="71D9A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проектирует и строит НИИ ГУГВФ</w:t>
            </w:r>
          </w:p>
        </w:tc>
      </w:tr>
      <w:tr w:rsidR="00DA227A" w:rsidRPr="00E93F40" w14:paraId="3537A93E" w14:textId="77777777">
        <w:tc>
          <w:tcPr>
            <w:tcW w:w="1281" w:type="dxa"/>
          </w:tcPr>
          <w:p w14:paraId="46056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Крейсерский сухопутный средний бомбардиров. или дальний разведчик (К1-2М34)</w:t>
            </w:r>
          </w:p>
        </w:tc>
        <w:tc>
          <w:tcPr>
            <w:tcW w:w="867" w:type="dxa"/>
          </w:tcPr>
          <w:p w14:paraId="58D460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w:t>
            </w:r>
          </w:p>
        </w:tc>
        <w:tc>
          <w:tcPr>
            <w:tcW w:w="654" w:type="dxa"/>
          </w:tcPr>
          <w:p w14:paraId="667DA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850" w:type="dxa"/>
          </w:tcPr>
          <w:p w14:paraId="7E3E54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709" w:type="dxa"/>
          </w:tcPr>
          <w:p w14:paraId="382A5A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4BD31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708" w:type="dxa"/>
          </w:tcPr>
          <w:p w14:paraId="7D63F5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1250</w:t>
            </w:r>
          </w:p>
        </w:tc>
        <w:tc>
          <w:tcPr>
            <w:tcW w:w="851" w:type="dxa"/>
          </w:tcPr>
          <w:p w14:paraId="7EC69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p w14:paraId="24992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Pr>
          <w:p w14:paraId="23B7A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Тяж. и легк. пулеметы </w:t>
            </w:r>
          </w:p>
          <w:p w14:paraId="587E7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250, гирлянды</w:t>
            </w:r>
          </w:p>
        </w:tc>
        <w:tc>
          <w:tcPr>
            <w:tcW w:w="830" w:type="dxa"/>
          </w:tcPr>
          <w:p w14:paraId="06ACB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 или дюраль</w:t>
            </w:r>
          </w:p>
        </w:tc>
        <w:tc>
          <w:tcPr>
            <w:tcW w:w="851" w:type="dxa"/>
          </w:tcPr>
          <w:p w14:paraId="2B274C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992" w:type="dxa"/>
          </w:tcPr>
          <w:p w14:paraId="1DA3E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2B6AAD" w14:textId="77777777">
        <w:tc>
          <w:tcPr>
            <w:tcW w:w="1281" w:type="dxa"/>
          </w:tcPr>
          <w:p w14:paraId="336483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Многоместный истребитель (МИ3-2М34)</w:t>
            </w:r>
          </w:p>
        </w:tc>
        <w:tc>
          <w:tcPr>
            <w:tcW w:w="867" w:type="dxa"/>
          </w:tcPr>
          <w:p w14:paraId="32051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 1932 г.</w:t>
            </w:r>
          </w:p>
        </w:tc>
        <w:tc>
          <w:tcPr>
            <w:tcW w:w="654" w:type="dxa"/>
          </w:tcPr>
          <w:p w14:paraId="07765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61114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320/5000/ 15-18</w:t>
            </w:r>
          </w:p>
        </w:tc>
        <w:tc>
          <w:tcPr>
            <w:tcW w:w="709" w:type="dxa"/>
          </w:tcPr>
          <w:p w14:paraId="6E063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709" w:type="dxa"/>
          </w:tcPr>
          <w:p w14:paraId="7EF77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76C1F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09F42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7694EC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пулемет.</w:t>
            </w:r>
          </w:p>
          <w:p w14:paraId="4A4671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ав. пушка </w:t>
            </w:r>
          </w:p>
        </w:tc>
        <w:tc>
          <w:tcPr>
            <w:tcW w:w="830" w:type="dxa"/>
          </w:tcPr>
          <w:p w14:paraId="0B761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4D548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3CB4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Перенесено из плана №..</w:t>
            </w:r>
          </w:p>
          <w:p w14:paraId="39DCC2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Со Штабом РККА согласовано уменьшение радиуса с 1000 до 500 км</w:t>
            </w:r>
          </w:p>
        </w:tc>
      </w:tr>
      <w:tr w:rsidR="00DA227A" w:rsidRPr="00E93F40" w14:paraId="40CEA66D" w14:textId="77777777">
        <w:tc>
          <w:tcPr>
            <w:tcW w:w="1281" w:type="dxa"/>
          </w:tcPr>
          <w:p w14:paraId="4DA84E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 (ДИП1-М34)</w:t>
            </w:r>
          </w:p>
        </w:tc>
        <w:tc>
          <w:tcPr>
            <w:tcW w:w="867" w:type="dxa"/>
          </w:tcPr>
          <w:p w14:paraId="4CC57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 1933 г.</w:t>
            </w:r>
          </w:p>
        </w:tc>
        <w:tc>
          <w:tcPr>
            <w:tcW w:w="654" w:type="dxa"/>
          </w:tcPr>
          <w:p w14:paraId="4D76E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667A65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w:t>
            </w:r>
          </w:p>
          <w:p w14:paraId="009231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10-12</w:t>
            </w:r>
          </w:p>
        </w:tc>
        <w:tc>
          <w:tcPr>
            <w:tcW w:w="709" w:type="dxa"/>
          </w:tcPr>
          <w:p w14:paraId="03850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709" w:type="dxa"/>
          </w:tcPr>
          <w:p w14:paraId="22826C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00857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3000/600</w:t>
            </w:r>
          </w:p>
        </w:tc>
        <w:tc>
          <w:tcPr>
            <w:tcW w:w="851" w:type="dxa"/>
          </w:tcPr>
          <w:p w14:paraId="1AE1C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296" w:type="dxa"/>
          </w:tcPr>
          <w:p w14:paraId="624B95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 ДРП и легк. пулем.</w:t>
            </w:r>
          </w:p>
          <w:p w14:paraId="08C604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гирлянды ЗАМ</w:t>
            </w:r>
          </w:p>
        </w:tc>
        <w:tc>
          <w:tcPr>
            <w:tcW w:w="830" w:type="dxa"/>
          </w:tcPr>
          <w:p w14:paraId="2F9CB5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29DCA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w:t>
            </w:r>
          </w:p>
        </w:tc>
        <w:tc>
          <w:tcPr>
            <w:tcW w:w="992" w:type="dxa"/>
          </w:tcPr>
          <w:p w14:paraId="10344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DD20B2" w14:textId="77777777">
        <w:tc>
          <w:tcPr>
            <w:tcW w:w="1281" w:type="dxa"/>
          </w:tcPr>
          <w:p w14:paraId="52D37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 , он же легкий и пикирующий бомбардиров. разведчик скоростной почтовый (ДИ6-М34)</w:t>
            </w:r>
          </w:p>
        </w:tc>
        <w:tc>
          <w:tcPr>
            <w:tcW w:w="867" w:type="dxa"/>
          </w:tcPr>
          <w:p w14:paraId="16CD9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654" w:type="dxa"/>
          </w:tcPr>
          <w:p w14:paraId="697AE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2AAAA4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375/-/9</w:t>
            </w:r>
          </w:p>
        </w:tc>
        <w:tc>
          <w:tcPr>
            <w:tcW w:w="709" w:type="dxa"/>
          </w:tcPr>
          <w:p w14:paraId="6F6C7E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709" w:type="dxa"/>
          </w:tcPr>
          <w:p w14:paraId="302E6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7EC58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400/700</w:t>
            </w:r>
          </w:p>
        </w:tc>
        <w:tc>
          <w:tcPr>
            <w:tcW w:w="851" w:type="dxa"/>
          </w:tcPr>
          <w:p w14:paraId="7BA924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296" w:type="dxa"/>
          </w:tcPr>
          <w:p w14:paraId="22E5CE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пулем.</w:t>
            </w:r>
          </w:p>
          <w:p w14:paraId="6527F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100, 250</w:t>
            </w:r>
          </w:p>
        </w:tc>
        <w:tc>
          <w:tcPr>
            <w:tcW w:w="830" w:type="dxa"/>
          </w:tcPr>
          <w:p w14:paraId="490128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4C6F4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63B323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w:t>
            </w:r>
          </w:p>
          <w:p w14:paraId="6A6EF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992" w:type="dxa"/>
          </w:tcPr>
          <w:p w14:paraId="3D1FD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 с ГУАП в 1933 году самолет аналогичн. назначения дает ГУГВФ</w:t>
            </w:r>
          </w:p>
        </w:tc>
      </w:tr>
      <w:tr w:rsidR="00DA227A" w:rsidRPr="00E93F40" w14:paraId="5193E2FB" w14:textId="77777777">
        <w:tc>
          <w:tcPr>
            <w:tcW w:w="1281" w:type="dxa"/>
          </w:tcPr>
          <w:p w14:paraId="603C1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Одноместный истребитель </w:t>
            </w:r>
            <w:r w:rsidRPr="00E93F40">
              <w:rPr>
                <w:rFonts w:ascii="Times New Roman" w:hAnsi="Times New Roman"/>
                <w:color w:val="000000" w:themeColor="text1"/>
                <w:sz w:val="16"/>
                <w:szCs w:val="16"/>
              </w:rPr>
              <w:lastRenderedPageBreak/>
              <w:t>(скоростной) (И13-М32)</w:t>
            </w:r>
          </w:p>
        </w:tc>
        <w:tc>
          <w:tcPr>
            <w:tcW w:w="867" w:type="dxa"/>
          </w:tcPr>
          <w:p w14:paraId="7B7BF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 июня 1933 г.</w:t>
            </w:r>
          </w:p>
        </w:tc>
        <w:tc>
          <w:tcPr>
            <w:tcW w:w="654" w:type="dxa"/>
          </w:tcPr>
          <w:p w14:paraId="5DFD9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50" w:type="dxa"/>
          </w:tcPr>
          <w:p w14:paraId="65965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425/5000/6</w:t>
            </w:r>
          </w:p>
        </w:tc>
        <w:tc>
          <w:tcPr>
            <w:tcW w:w="709" w:type="dxa"/>
          </w:tcPr>
          <w:p w14:paraId="5448AC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c>
          <w:tcPr>
            <w:tcW w:w="709" w:type="dxa"/>
          </w:tcPr>
          <w:p w14:paraId="031A3F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20FBD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51" w:type="dxa"/>
          </w:tcPr>
          <w:p w14:paraId="776D5E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1296" w:type="dxa"/>
          </w:tcPr>
          <w:p w14:paraId="39C2FE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пулем.</w:t>
            </w:r>
          </w:p>
          <w:p w14:paraId="08B4D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1D10BE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Сварные трубы</w:t>
            </w:r>
          </w:p>
          <w:p w14:paraId="265CE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деревян. </w:t>
            </w:r>
          </w:p>
        </w:tc>
        <w:tc>
          <w:tcPr>
            <w:tcW w:w="851" w:type="dxa"/>
          </w:tcPr>
          <w:p w14:paraId="55B864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И7</w:t>
            </w:r>
          </w:p>
        </w:tc>
        <w:tc>
          <w:tcPr>
            <w:tcW w:w="992" w:type="dxa"/>
          </w:tcPr>
          <w:p w14:paraId="1DE768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5E8B94" w14:textId="77777777">
        <w:tc>
          <w:tcPr>
            <w:tcW w:w="1281" w:type="dxa"/>
          </w:tcPr>
          <w:p w14:paraId="31779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 скороподъемн. (И14_М38)</w:t>
            </w:r>
          </w:p>
        </w:tc>
        <w:tc>
          <w:tcPr>
            <w:tcW w:w="867" w:type="dxa"/>
          </w:tcPr>
          <w:p w14:paraId="548A5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 1933 г.</w:t>
            </w:r>
          </w:p>
        </w:tc>
        <w:tc>
          <w:tcPr>
            <w:tcW w:w="654" w:type="dxa"/>
          </w:tcPr>
          <w:p w14:paraId="59A91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850" w:type="dxa"/>
          </w:tcPr>
          <w:p w14:paraId="474C5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400/5000/5</w:t>
            </w:r>
          </w:p>
        </w:tc>
        <w:tc>
          <w:tcPr>
            <w:tcW w:w="709" w:type="dxa"/>
          </w:tcPr>
          <w:p w14:paraId="577D88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12000</w:t>
            </w:r>
          </w:p>
        </w:tc>
        <w:tc>
          <w:tcPr>
            <w:tcW w:w="709" w:type="dxa"/>
          </w:tcPr>
          <w:p w14:paraId="05F52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29792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851" w:type="dxa"/>
          </w:tcPr>
          <w:p w14:paraId="27D3CA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030A1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пулем.</w:t>
            </w:r>
          </w:p>
          <w:p w14:paraId="362255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5E2DC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1C5725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56417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992" w:type="dxa"/>
          </w:tcPr>
          <w:p w14:paraId="28601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5B5A63" w14:textId="77777777">
        <w:tc>
          <w:tcPr>
            <w:tcW w:w="1281" w:type="dxa"/>
          </w:tcPr>
          <w:p w14:paraId="0B1D71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он же легкий боевик, самолет борьбы с вредителями с/х, фотосъем., санитарный, пассажирский (ВС2-2М52)</w:t>
            </w:r>
          </w:p>
        </w:tc>
        <w:tc>
          <w:tcPr>
            <w:tcW w:w="867" w:type="dxa"/>
          </w:tcPr>
          <w:p w14:paraId="03A85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 г.</w:t>
            </w:r>
          </w:p>
        </w:tc>
        <w:tc>
          <w:tcPr>
            <w:tcW w:w="654" w:type="dxa"/>
          </w:tcPr>
          <w:p w14:paraId="6D1E8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46647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250/-/12</w:t>
            </w:r>
          </w:p>
        </w:tc>
        <w:tc>
          <w:tcPr>
            <w:tcW w:w="709" w:type="dxa"/>
          </w:tcPr>
          <w:p w14:paraId="180F5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20A54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w:t>
            </w:r>
          </w:p>
        </w:tc>
        <w:tc>
          <w:tcPr>
            <w:tcW w:w="708" w:type="dxa"/>
          </w:tcPr>
          <w:p w14:paraId="7F3AF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350/600</w:t>
            </w:r>
          </w:p>
        </w:tc>
        <w:tc>
          <w:tcPr>
            <w:tcW w:w="851" w:type="dxa"/>
          </w:tcPr>
          <w:p w14:paraId="137F9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1296" w:type="dxa"/>
          </w:tcPr>
          <w:p w14:paraId="21EA7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p w14:paraId="3A65A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100</w:t>
            </w:r>
          </w:p>
        </w:tc>
        <w:tc>
          <w:tcPr>
            <w:tcW w:w="830" w:type="dxa"/>
          </w:tcPr>
          <w:p w14:paraId="6830A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2E386D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деревян. </w:t>
            </w:r>
          </w:p>
        </w:tc>
        <w:tc>
          <w:tcPr>
            <w:tcW w:w="851" w:type="dxa"/>
          </w:tcPr>
          <w:p w14:paraId="45C19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p w14:paraId="2FF91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К5</w:t>
            </w:r>
          </w:p>
        </w:tc>
        <w:tc>
          <w:tcPr>
            <w:tcW w:w="992" w:type="dxa"/>
          </w:tcPr>
          <w:p w14:paraId="01522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Вместо Р9 из плана №.. строит ГРО…</w:t>
            </w:r>
          </w:p>
        </w:tc>
      </w:tr>
      <w:tr w:rsidR="00DA227A" w:rsidRPr="00E93F40" w14:paraId="646A4AA4" w14:textId="77777777">
        <w:tc>
          <w:tcPr>
            <w:tcW w:w="1281" w:type="dxa"/>
          </w:tcPr>
          <w:p w14:paraId="73A76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Переходный для школ , он же корпусной разведчик (самолет местной авиации) (П3-М52)</w:t>
            </w:r>
          </w:p>
        </w:tc>
        <w:tc>
          <w:tcPr>
            <w:tcW w:w="867" w:type="dxa"/>
          </w:tcPr>
          <w:p w14:paraId="78C468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21FA8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22B41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71E29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1C64A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708" w:type="dxa"/>
          </w:tcPr>
          <w:p w14:paraId="5BC12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51" w:type="dxa"/>
          </w:tcPr>
          <w:p w14:paraId="1CE259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32922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830" w:type="dxa"/>
          </w:tcPr>
          <w:p w14:paraId="2CB285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851" w:type="dxa"/>
          </w:tcPr>
          <w:p w14:paraId="57BAAD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2FAEE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35F9CB" w14:textId="77777777">
        <w:tc>
          <w:tcPr>
            <w:tcW w:w="1281" w:type="dxa"/>
          </w:tcPr>
          <w:p w14:paraId="5CBE6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Учебный самолет, он же связи и сопровождения (для туризма, спорта, легкий санитарный, местной авиации) (У3-М48)</w:t>
            </w:r>
          </w:p>
        </w:tc>
        <w:tc>
          <w:tcPr>
            <w:tcW w:w="867" w:type="dxa"/>
          </w:tcPr>
          <w:p w14:paraId="0E918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654" w:type="dxa"/>
          </w:tcPr>
          <w:p w14:paraId="01417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50" w:type="dxa"/>
          </w:tcPr>
          <w:p w14:paraId="46FDB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709" w:type="dxa"/>
          </w:tcPr>
          <w:p w14:paraId="0FA988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75DE79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708" w:type="dxa"/>
          </w:tcPr>
          <w:p w14:paraId="72F7E9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851" w:type="dxa"/>
          </w:tcPr>
          <w:p w14:paraId="2BC90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96" w:type="dxa"/>
          </w:tcPr>
          <w:p w14:paraId="5A6228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 фото или радио</w:t>
            </w:r>
          </w:p>
        </w:tc>
        <w:tc>
          <w:tcPr>
            <w:tcW w:w="830" w:type="dxa"/>
          </w:tcPr>
          <w:p w14:paraId="02CB26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851" w:type="dxa"/>
          </w:tcPr>
          <w:p w14:paraId="46A27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6192A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постройка ведется ВТУЗом ГУГВФ</w:t>
            </w:r>
          </w:p>
        </w:tc>
      </w:tr>
      <w:tr w:rsidR="00DA227A" w:rsidRPr="00E93F40" w14:paraId="0538A05B" w14:textId="77777777">
        <w:tc>
          <w:tcPr>
            <w:tcW w:w="1281" w:type="dxa"/>
          </w:tcPr>
          <w:p w14:paraId="58BCCC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крейсерск. (см. Примечание) (МК1-4М34)</w:t>
            </w:r>
          </w:p>
        </w:tc>
        <w:tc>
          <w:tcPr>
            <w:tcW w:w="867" w:type="dxa"/>
          </w:tcPr>
          <w:p w14:paraId="5E00B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5DB110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6CCF4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 у земли</w:t>
            </w:r>
          </w:p>
          <w:p w14:paraId="6604E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215/4000</w:t>
            </w:r>
          </w:p>
        </w:tc>
        <w:tc>
          <w:tcPr>
            <w:tcW w:w="709" w:type="dxa"/>
          </w:tcPr>
          <w:p w14:paraId="64ED93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094025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708" w:type="dxa"/>
          </w:tcPr>
          <w:p w14:paraId="7CF84D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750/1200</w:t>
            </w:r>
          </w:p>
        </w:tc>
        <w:tc>
          <w:tcPr>
            <w:tcW w:w="851" w:type="dxa"/>
          </w:tcPr>
          <w:p w14:paraId="5CB46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500-1800 сообразно варианту применения/ 3600</w:t>
            </w:r>
          </w:p>
        </w:tc>
        <w:tc>
          <w:tcPr>
            <w:tcW w:w="1296" w:type="dxa"/>
          </w:tcPr>
          <w:p w14:paraId="10B109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Военное снаряжение 1850 кг </w:t>
            </w:r>
          </w:p>
          <w:p w14:paraId="72C1E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перегрузке 2230 кг</w:t>
            </w:r>
          </w:p>
          <w:p w14:paraId="140A8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торпед 1800</w:t>
            </w:r>
          </w:p>
          <w:p w14:paraId="73434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Варианты бом-к, торпедонос.</w:t>
            </w:r>
          </w:p>
        </w:tc>
        <w:tc>
          <w:tcPr>
            <w:tcW w:w="830" w:type="dxa"/>
          </w:tcPr>
          <w:p w14:paraId="76066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6E0B0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является переход. к МТБ3.</w:t>
            </w:r>
          </w:p>
          <w:p w14:paraId="37B31C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 завод по линии ВОГВФ не предусм.</w:t>
            </w:r>
          </w:p>
        </w:tc>
        <w:tc>
          <w:tcPr>
            <w:tcW w:w="992" w:type="dxa"/>
          </w:tcPr>
          <w:p w14:paraId="6D482E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строительст. принят Постановл. РВС от 5 августа 1931 года</w:t>
            </w:r>
          </w:p>
        </w:tc>
      </w:tr>
      <w:tr w:rsidR="00DA227A" w:rsidRPr="00E93F40" w14:paraId="10ED4CF6" w14:textId="77777777">
        <w:tc>
          <w:tcPr>
            <w:tcW w:w="1281" w:type="dxa"/>
          </w:tcPr>
          <w:p w14:paraId="686C7E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тяжелый бомбардиров. (пассажирск.) (МТБ3 под М34 или под М35)</w:t>
            </w:r>
          </w:p>
        </w:tc>
        <w:tc>
          <w:tcPr>
            <w:tcW w:w="867" w:type="dxa"/>
          </w:tcPr>
          <w:p w14:paraId="254E28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1934 г.</w:t>
            </w:r>
          </w:p>
        </w:tc>
        <w:tc>
          <w:tcPr>
            <w:tcW w:w="654" w:type="dxa"/>
          </w:tcPr>
          <w:p w14:paraId="428617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2D34A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58906C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37AD9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18FAFC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51" w:type="dxa"/>
          </w:tcPr>
          <w:p w14:paraId="6FC5D5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1296" w:type="dxa"/>
          </w:tcPr>
          <w:p w14:paraId="138A7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пулемет, пушки</w:t>
            </w:r>
          </w:p>
          <w:p w14:paraId="41420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2000</w:t>
            </w:r>
          </w:p>
        </w:tc>
        <w:tc>
          <w:tcPr>
            <w:tcW w:w="830" w:type="dxa"/>
          </w:tcPr>
          <w:p w14:paraId="1C75C4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 дюраль</w:t>
            </w:r>
          </w:p>
        </w:tc>
        <w:tc>
          <w:tcPr>
            <w:tcW w:w="851" w:type="dxa"/>
          </w:tcPr>
          <w:p w14:paraId="6D038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3C5B2D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 1 2-я очередь</w:t>
            </w:r>
          </w:p>
        </w:tc>
      </w:tr>
      <w:tr w:rsidR="00DA227A" w:rsidRPr="00E93F40" w14:paraId="0647A395" w14:textId="77777777">
        <w:tc>
          <w:tcPr>
            <w:tcW w:w="1281" w:type="dxa"/>
          </w:tcPr>
          <w:p w14:paraId="7AAE3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ближний разведчик амфибия (санитарный, фотосъемщик, …) (МБР5-М35)</w:t>
            </w:r>
          </w:p>
        </w:tc>
        <w:tc>
          <w:tcPr>
            <w:tcW w:w="867" w:type="dxa"/>
          </w:tcPr>
          <w:p w14:paraId="092BB2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 г.</w:t>
            </w:r>
          </w:p>
        </w:tc>
        <w:tc>
          <w:tcPr>
            <w:tcW w:w="654" w:type="dxa"/>
          </w:tcPr>
          <w:p w14:paraId="6C7BE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67C8D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709" w:type="dxa"/>
          </w:tcPr>
          <w:p w14:paraId="1E5C4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709" w:type="dxa"/>
          </w:tcPr>
          <w:p w14:paraId="558B5F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708" w:type="dxa"/>
          </w:tcPr>
          <w:p w14:paraId="5EEC1E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500/800</w:t>
            </w:r>
          </w:p>
        </w:tc>
        <w:tc>
          <w:tcPr>
            <w:tcW w:w="851" w:type="dxa"/>
          </w:tcPr>
          <w:p w14:paraId="23677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100/600</w:t>
            </w:r>
          </w:p>
        </w:tc>
        <w:tc>
          <w:tcPr>
            <w:tcW w:w="1296" w:type="dxa"/>
          </w:tcPr>
          <w:p w14:paraId="545B0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пулем.</w:t>
            </w:r>
          </w:p>
          <w:p w14:paraId="428EE7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100</w:t>
            </w:r>
          </w:p>
        </w:tc>
        <w:tc>
          <w:tcPr>
            <w:tcW w:w="830" w:type="dxa"/>
          </w:tcPr>
          <w:p w14:paraId="7F5E6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851" w:type="dxa"/>
          </w:tcPr>
          <w:p w14:paraId="63FF5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СБ2б</w:t>
            </w:r>
          </w:p>
        </w:tc>
        <w:tc>
          <w:tcPr>
            <w:tcW w:w="992" w:type="dxa"/>
          </w:tcPr>
          <w:p w14:paraId="5542F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ведет НИИ ГУГВФ</w:t>
            </w:r>
          </w:p>
        </w:tc>
      </w:tr>
    </w:tbl>
    <w:p w14:paraId="055B3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4678"/>
        <w:gridCol w:w="2268"/>
      </w:tblGrid>
      <w:tr w:rsidR="00DA227A" w:rsidRPr="00E93F40" w14:paraId="7382F021" w14:textId="77777777">
        <w:tc>
          <w:tcPr>
            <w:tcW w:w="1242" w:type="dxa"/>
          </w:tcPr>
          <w:p w14:paraId="165B6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4678" w:type="dxa"/>
          </w:tcPr>
          <w:p w14:paraId="4C138C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модификации</w:t>
            </w:r>
          </w:p>
        </w:tc>
        <w:tc>
          <w:tcPr>
            <w:tcW w:w="2268" w:type="dxa"/>
          </w:tcPr>
          <w:p w14:paraId="24FC06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r>
      <w:tr w:rsidR="00DA227A" w:rsidRPr="00E93F40" w14:paraId="3D3069D1" w14:textId="77777777">
        <w:tc>
          <w:tcPr>
            <w:tcW w:w="1242" w:type="dxa"/>
          </w:tcPr>
          <w:p w14:paraId="01431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4678" w:type="dxa"/>
          </w:tcPr>
          <w:p w14:paraId="05BA78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установка моторов М34</w:t>
            </w:r>
          </w:p>
        </w:tc>
        <w:tc>
          <w:tcPr>
            <w:tcW w:w="2268" w:type="dxa"/>
          </w:tcPr>
          <w:p w14:paraId="5D9BC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50D1A265" w14:textId="77777777">
        <w:tc>
          <w:tcPr>
            <w:tcW w:w="1242" w:type="dxa"/>
          </w:tcPr>
          <w:p w14:paraId="05583A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ТШ2-М17</w:t>
            </w:r>
          </w:p>
        </w:tc>
        <w:tc>
          <w:tcPr>
            <w:tcW w:w="4678" w:type="dxa"/>
          </w:tcPr>
          <w:p w14:paraId="24BE0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установка М34, облегчение веса конструкции и улучшение летных данных</w:t>
            </w:r>
          </w:p>
        </w:tc>
        <w:tc>
          <w:tcPr>
            <w:tcW w:w="2268" w:type="dxa"/>
          </w:tcPr>
          <w:p w14:paraId="293E2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r>
      <w:tr w:rsidR="00DA227A" w:rsidRPr="00E93F40" w14:paraId="0FACF7A2" w14:textId="77777777">
        <w:tc>
          <w:tcPr>
            <w:tcW w:w="1242" w:type="dxa"/>
          </w:tcPr>
          <w:p w14:paraId="154FE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АНТ9-3М26</w:t>
            </w:r>
          </w:p>
        </w:tc>
        <w:tc>
          <w:tcPr>
            <w:tcW w:w="4678" w:type="dxa"/>
          </w:tcPr>
          <w:p w14:paraId="3469F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Военное оборудование самолета</w:t>
            </w:r>
          </w:p>
        </w:tc>
        <w:tc>
          <w:tcPr>
            <w:tcW w:w="2268" w:type="dxa"/>
          </w:tcPr>
          <w:p w14:paraId="61803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r>
      <w:tr w:rsidR="00DA227A" w:rsidRPr="00E93F40" w14:paraId="5DF7CF0D" w14:textId="77777777">
        <w:tc>
          <w:tcPr>
            <w:tcW w:w="1242" w:type="dxa"/>
          </w:tcPr>
          <w:p w14:paraId="79A4B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4678" w:type="dxa"/>
          </w:tcPr>
          <w:p w14:paraId="402EB9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Замена мотора М17 на мотор М34</w:t>
            </w:r>
          </w:p>
        </w:tc>
        <w:tc>
          <w:tcPr>
            <w:tcW w:w="2268" w:type="dxa"/>
          </w:tcPr>
          <w:p w14:paraId="5B86D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r>
      <w:tr w:rsidR="00DA227A" w:rsidRPr="00E93F40" w14:paraId="1F5651BF" w14:textId="77777777">
        <w:tc>
          <w:tcPr>
            <w:tcW w:w="1242" w:type="dxa"/>
          </w:tcPr>
          <w:p w14:paraId="06CF08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4678" w:type="dxa"/>
          </w:tcPr>
          <w:p w14:paraId="4F87F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разрезных крыльев и тормозных колес</w:t>
            </w:r>
          </w:p>
        </w:tc>
        <w:tc>
          <w:tcPr>
            <w:tcW w:w="2268" w:type="dxa"/>
          </w:tcPr>
          <w:p w14:paraId="2E7A2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w:t>
            </w:r>
          </w:p>
        </w:tc>
      </w:tr>
      <w:tr w:rsidR="00DA227A" w:rsidRPr="00E93F40" w14:paraId="5121A2FD" w14:textId="77777777">
        <w:tc>
          <w:tcPr>
            <w:tcW w:w="1242" w:type="dxa"/>
          </w:tcPr>
          <w:p w14:paraId="4D8AD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 бис</w:t>
            </w:r>
          </w:p>
        </w:tc>
        <w:tc>
          <w:tcPr>
            <w:tcW w:w="4678" w:type="dxa"/>
          </w:tcPr>
          <w:p w14:paraId="627BA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w:t>
            </w:r>
          </w:p>
        </w:tc>
        <w:tc>
          <w:tcPr>
            <w:tcW w:w="2268" w:type="dxa"/>
          </w:tcPr>
          <w:p w14:paraId="3D390F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w:t>
            </w:r>
          </w:p>
        </w:tc>
      </w:tr>
      <w:tr w:rsidR="00DA227A" w:rsidRPr="00E93F40" w14:paraId="02609150" w14:textId="77777777">
        <w:tc>
          <w:tcPr>
            <w:tcW w:w="1242" w:type="dxa"/>
          </w:tcPr>
          <w:p w14:paraId="1276B5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И12-2М22</w:t>
            </w:r>
          </w:p>
        </w:tc>
        <w:tc>
          <w:tcPr>
            <w:tcW w:w="4678" w:type="dxa"/>
          </w:tcPr>
          <w:p w14:paraId="6F2677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второго модифицированного экземпляра</w:t>
            </w:r>
          </w:p>
        </w:tc>
        <w:tc>
          <w:tcPr>
            <w:tcW w:w="2268" w:type="dxa"/>
          </w:tcPr>
          <w:p w14:paraId="31B185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w:t>
            </w:r>
          </w:p>
        </w:tc>
      </w:tr>
      <w:tr w:rsidR="00DA227A" w:rsidRPr="00E93F40" w14:paraId="7604D549" w14:textId="77777777">
        <w:tc>
          <w:tcPr>
            <w:tcW w:w="1242" w:type="dxa"/>
          </w:tcPr>
          <w:p w14:paraId="4DB36E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4678" w:type="dxa"/>
          </w:tcPr>
          <w:p w14:paraId="779F0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бомбового вооружения</w:t>
            </w:r>
          </w:p>
        </w:tc>
        <w:tc>
          <w:tcPr>
            <w:tcW w:w="2268" w:type="dxa"/>
          </w:tcPr>
          <w:p w14:paraId="2B910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w:t>
            </w:r>
          </w:p>
        </w:tc>
      </w:tr>
      <w:tr w:rsidR="00DA227A" w:rsidRPr="00E93F40" w14:paraId="448E7F12" w14:textId="77777777">
        <w:tc>
          <w:tcPr>
            <w:tcW w:w="1242" w:type="dxa"/>
          </w:tcPr>
          <w:p w14:paraId="327758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…Ш2-М17</w:t>
            </w:r>
          </w:p>
        </w:tc>
        <w:tc>
          <w:tcPr>
            <w:tcW w:w="4678" w:type="dxa"/>
          </w:tcPr>
          <w:p w14:paraId="27924B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пулеметных батарей</w:t>
            </w:r>
          </w:p>
        </w:tc>
        <w:tc>
          <w:tcPr>
            <w:tcW w:w="2268" w:type="dxa"/>
          </w:tcPr>
          <w:p w14:paraId="3274C3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июля 1932 года</w:t>
            </w:r>
          </w:p>
        </w:tc>
      </w:tr>
      <w:tr w:rsidR="00DA227A" w:rsidRPr="00E93F40" w14:paraId="1223CA6F" w14:textId="77777777">
        <w:tc>
          <w:tcPr>
            <w:tcW w:w="1242" w:type="dxa"/>
          </w:tcPr>
          <w:p w14:paraId="29ADB3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….-2М17</w:t>
            </w:r>
          </w:p>
        </w:tc>
        <w:tc>
          <w:tcPr>
            <w:tcW w:w="4678" w:type="dxa"/>
          </w:tcPr>
          <w:p w14:paraId="07BAC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2268" w:type="dxa"/>
          </w:tcPr>
          <w:p w14:paraId="23872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r>
      <w:tr w:rsidR="00DA227A" w:rsidRPr="00E93F40" w14:paraId="75CEAF98" w14:textId="77777777">
        <w:tc>
          <w:tcPr>
            <w:tcW w:w="1242" w:type="dxa"/>
          </w:tcPr>
          <w:p w14:paraId="0219BC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4678" w:type="dxa"/>
          </w:tcPr>
          <w:p w14:paraId="30735C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2268" w:type="dxa"/>
          </w:tcPr>
          <w:p w14:paraId="54A5C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r>
      <w:tr w:rsidR="00DA227A" w:rsidRPr="00E93F40" w14:paraId="4DA6D03D" w14:textId="77777777">
        <w:tc>
          <w:tcPr>
            <w:tcW w:w="1242" w:type="dxa"/>
          </w:tcPr>
          <w:p w14:paraId="15335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4678" w:type="dxa"/>
          </w:tcPr>
          <w:p w14:paraId="6E7CA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 для химцелей</w:t>
            </w:r>
          </w:p>
        </w:tc>
        <w:tc>
          <w:tcPr>
            <w:tcW w:w="2268" w:type="dxa"/>
          </w:tcPr>
          <w:p w14:paraId="404C64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года</w:t>
            </w:r>
          </w:p>
        </w:tc>
      </w:tr>
    </w:tbl>
    <w:p w14:paraId="138F9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Экспериментальные и особые группы.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708"/>
        <w:gridCol w:w="709"/>
        <w:gridCol w:w="709"/>
        <w:gridCol w:w="868"/>
        <w:gridCol w:w="691"/>
        <w:gridCol w:w="1341"/>
        <w:gridCol w:w="927"/>
        <w:gridCol w:w="709"/>
        <w:gridCol w:w="1134"/>
      </w:tblGrid>
      <w:tr w:rsidR="00DA227A" w:rsidRPr="00E93F40" w14:paraId="085C7B4D" w14:textId="77777777">
        <w:tc>
          <w:tcPr>
            <w:tcW w:w="1281" w:type="dxa"/>
          </w:tcPr>
          <w:p w14:paraId="05AC0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33018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предъяв. на госисп.</w:t>
            </w:r>
          </w:p>
        </w:tc>
        <w:tc>
          <w:tcPr>
            <w:tcW w:w="654" w:type="dxa"/>
          </w:tcPr>
          <w:p w14:paraId="5C59F8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w:t>
            </w:r>
          </w:p>
        </w:tc>
        <w:tc>
          <w:tcPr>
            <w:tcW w:w="708" w:type="dxa"/>
          </w:tcPr>
          <w:p w14:paraId="02A6AE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Гориз. скорость/ на высоте примен./ время </w:t>
            </w:r>
            <w:r w:rsidRPr="00E93F40">
              <w:rPr>
                <w:rFonts w:ascii="Times New Roman" w:hAnsi="Times New Roman"/>
                <w:color w:val="000000" w:themeColor="text1"/>
                <w:sz w:val="16"/>
                <w:szCs w:val="16"/>
              </w:rPr>
              <w:lastRenderedPageBreak/>
              <w:t>подъема на высоту примен.</w:t>
            </w:r>
          </w:p>
        </w:tc>
        <w:tc>
          <w:tcPr>
            <w:tcW w:w="709" w:type="dxa"/>
          </w:tcPr>
          <w:p w14:paraId="4F859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Практич. потолок</w:t>
            </w:r>
          </w:p>
        </w:tc>
        <w:tc>
          <w:tcPr>
            <w:tcW w:w="709" w:type="dxa"/>
          </w:tcPr>
          <w:p w14:paraId="520E2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 скорость</w:t>
            </w:r>
          </w:p>
        </w:tc>
        <w:tc>
          <w:tcPr>
            <w:tcW w:w="868" w:type="dxa"/>
          </w:tcPr>
          <w:p w14:paraId="04AD8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 радиус при перегруз.</w:t>
            </w:r>
          </w:p>
        </w:tc>
        <w:tc>
          <w:tcPr>
            <w:tcW w:w="691" w:type="dxa"/>
          </w:tcPr>
          <w:p w14:paraId="1148F5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Нормал. сбрасыв. груз/ сбрасыв. </w:t>
            </w:r>
            <w:r w:rsidRPr="00E93F40">
              <w:rPr>
                <w:rFonts w:ascii="Times New Roman" w:hAnsi="Times New Roman"/>
                <w:color w:val="000000" w:themeColor="text1"/>
                <w:sz w:val="16"/>
                <w:szCs w:val="16"/>
              </w:rPr>
              <w:lastRenderedPageBreak/>
              <w:t>груз при перегруз.</w:t>
            </w:r>
          </w:p>
        </w:tc>
        <w:tc>
          <w:tcPr>
            <w:tcW w:w="1341" w:type="dxa"/>
          </w:tcPr>
          <w:p w14:paraId="37049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Вооружение</w:t>
            </w:r>
          </w:p>
        </w:tc>
        <w:tc>
          <w:tcPr>
            <w:tcW w:w="927" w:type="dxa"/>
          </w:tcPr>
          <w:p w14:paraId="46D7E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w:t>
            </w:r>
          </w:p>
        </w:tc>
        <w:tc>
          <w:tcPr>
            <w:tcW w:w="709" w:type="dxa"/>
          </w:tcPr>
          <w:p w14:paraId="63117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 заменяет при выходе</w:t>
            </w:r>
          </w:p>
        </w:tc>
        <w:tc>
          <w:tcPr>
            <w:tcW w:w="1134" w:type="dxa"/>
          </w:tcPr>
          <w:p w14:paraId="311186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2AB70326" w14:textId="77777777">
        <w:tc>
          <w:tcPr>
            <w:tcW w:w="1281" w:type="dxa"/>
          </w:tcPr>
          <w:p w14:paraId="5EF2E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w:t>
            </w:r>
          </w:p>
        </w:tc>
        <w:tc>
          <w:tcPr>
            <w:tcW w:w="867" w:type="dxa"/>
          </w:tcPr>
          <w:p w14:paraId="2699DE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7EBEB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0BC91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D2302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257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07076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588F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33DE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F14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E7CE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0D79D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623C9B" w14:textId="77777777">
        <w:tc>
          <w:tcPr>
            <w:tcW w:w="1281" w:type="dxa"/>
          </w:tcPr>
          <w:p w14:paraId="4A009D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 пушечный особой схемы (ДИП2-М34)</w:t>
            </w:r>
          </w:p>
        </w:tc>
        <w:tc>
          <w:tcPr>
            <w:tcW w:w="867" w:type="dxa"/>
          </w:tcPr>
          <w:p w14:paraId="149A8F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086EDF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8" w:type="dxa"/>
          </w:tcPr>
          <w:p w14:paraId="207D7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350/-/8</w:t>
            </w:r>
          </w:p>
        </w:tc>
        <w:tc>
          <w:tcPr>
            <w:tcW w:w="709" w:type="dxa"/>
          </w:tcPr>
          <w:p w14:paraId="078C1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709" w:type="dxa"/>
          </w:tcPr>
          <w:p w14:paraId="23609F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8" w:type="dxa"/>
          </w:tcPr>
          <w:p w14:paraId="4CD72F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300/600</w:t>
            </w:r>
          </w:p>
        </w:tc>
        <w:tc>
          <w:tcPr>
            <w:tcW w:w="691" w:type="dxa"/>
          </w:tcPr>
          <w:p w14:paraId="76362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341" w:type="dxa"/>
          </w:tcPr>
          <w:p w14:paraId="158BBE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 пушка и пулем.</w:t>
            </w:r>
          </w:p>
          <w:p w14:paraId="2D296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 10, 50, ЗАМы гирлянды</w:t>
            </w:r>
          </w:p>
        </w:tc>
        <w:tc>
          <w:tcPr>
            <w:tcW w:w="927" w:type="dxa"/>
          </w:tcPr>
          <w:p w14:paraId="28A1FD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6992A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709" w:type="dxa"/>
          </w:tcPr>
          <w:p w14:paraId="3A3CF0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EF321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D3ED63" w14:textId="77777777">
        <w:tc>
          <w:tcPr>
            <w:tcW w:w="1281" w:type="dxa"/>
          </w:tcPr>
          <w:p w14:paraId="33BBE4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 самолет, он же рекордный на высоту</w:t>
            </w:r>
          </w:p>
        </w:tc>
        <w:tc>
          <w:tcPr>
            <w:tcW w:w="867" w:type="dxa"/>
          </w:tcPr>
          <w:p w14:paraId="4A2E1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1933 г.</w:t>
            </w:r>
          </w:p>
        </w:tc>
        <w:tc>
          <w:tcPr>
            <w:tcW w:w="654" w:type="dxa"/>
          </w:tcPr>
          <w:p w14:paraId="6607E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10000-12000</w:t>
            </w:r>
          </w:p>
        </w:tc>
        <w:tc>
          <w:tcPr>
            <w:tcW w:w="708" w:type="dxa"/>
          </w:tcPr>
          <w:p w14:paraId="596137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01930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709" w:type="dxa"/>
          </w:tcPr>
          <w:p w14:paraId="004C7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1695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0D3C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28DA6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EA529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431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5256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двух экземпляров ведут ВВА и Глававиапр.</w:t>
            </w:r>
          </w:p>
        </w:tc>
      </w:tr>
      <w:tr w:rsidR="00DA227A" w:rsidRPr="00E93F40" w14:paraId="57D91FC6" w14:textId="77777777">
        <w:tc>
          <w:tcPr>
            <w:tcW w:w="1281" w:type="dxa"/>
          </w:tcPr>
          <w:p w14:paraId="2046B9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скоростной под мотор М32</w:t>
            </w:r>
          </w:p>
        </w:tc>
        <w:tc>
          <w:tcPr>
            <w:tcW w:w="867" w:type="dxa"/>
          </w:tcPr>
          <w:p w14:paraId="54409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4CA8F1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8496C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3E47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40D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50EB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01CC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2B48C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77E3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53A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63A5B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BA9660" w14:textId="77777777">
        <w:tc>
          <w:tcPr>
            <w:tcW w:w="1281" w:type="dxa"/>
          </w:tcPr>
          <w:p w14:paraId="3FA4E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на дальность</w:t>
            </w:r>
          </w:p>
        </w:tc>
        <w:tc>
          <w:tcPr>
            <w:tcW w:w="867" w:type="dxa"/>
          </w:tcPr>
          <w:p w14:paraId="333D9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w:t>
            </w:r>
          </w:p>
        </w:tc>
        <w:tc>
          <w:tcPr>
            <w:tcW w:w="654" w:type="dxa"/>
          </w:tcPr>
          <w:p w14:paraId="5CC88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3386F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0BA4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AE90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7D763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D238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7821C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992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C2A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AAC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3A0DAB" w14:textId="77777777">
        <w:tc>
          <w:tcPr>
            <w:tcW w:w="1281" w:type="dxa"/>
          </w:tcPr>
          <w:p w14:paraId="4D27D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летающее крыло (парабола Чарановского)</w:t>
            </w:r>
          </w:p>
        </w:tc>
        <w:tc>
          <w:tcPr>
            <w:tcW w:w="867" w:type="dxa"/>
          </w:tcPr>
          <w:p w14:paraId="0CADB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654" w:type="dxa"/>
          </w:tcPr>
          <w:p w14:paraId="002D0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B25AD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8BA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4839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9C7DE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3B86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4564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6D2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441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5F342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64CAB8" w14:textId="77777777">
        <w:tc>
          <w:tcPr>
            <w:tcW w:w="1281" w:type="dxa"/>
          </w:tcPr>
          <w:p w14:paraId="5E2B39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раздвижными крыльями (У3 бис М48)</w:t>
            </w:r>
          </w:p>
        </w:tc>
        <w:tc>
          <w:tcPr>
            <w:tcW w:w="867" w:type="dxa"/>
          </w:tcPr>
          <w:p w14:paraId="3B404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654" w:type="dxa"/>
          </w:tcPr>
          <w:p w14:paraId="2D03EC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708" w:type="dxa"/>
          </w:tcPr>
          <w:p w14:paraId="0AA1B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709" w:type="dxa"/>
          </w:tcPr>
          <w:p w14:paraId="79A08E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9" w:type="dxa"/>
          </w:tcPr>
          <w:p w14:paraId="1F88BE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c>
          <w:tcPr>
            <w:tcW w:w="868" w:type="dxa"/>
          </w:tcPr>
          <w:p w14:paraId="5C0FE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691" w:type="dxa"/>
          </w:tcPr>
          <w:p w14:paraId="6A5FC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341" w:type="dxa"/>
          </w:tcPr>
          <w:p w14:paraId="76C39B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Легк. пулем. </w:t>
            </w:r>
          </w:p>
        </w:tc>
        <w:tc>
          <w:tcPr>
            <w:tcW w:w="927" w:type="dxa"/>
          </w:tcPr>
          <w:p w14:paraId="4941F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709" w:type="dxa"/>
          </w:tcPr>
          <w:p w14:paraId="03E59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34" w:type="dxa"/>
          </w:tcPr>
          <w:p w14:paraId="19DE47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ведет ВТУЗ ГУГВФа</w:t>
            </w:r>
          </w:p>
        </w:tc>
      </w:tr>
      <w:tr w:rsidR="00DA227A" w:rsidRPr="00E93F40" w14:paraId="067D7ECB" w14:textId="77777777">
        <w:tc>
          <w:tcPr>
            <w:tcW w:w="1281" w:type="dxa"/>
          </w:tcPr>
          <w:p w14:paraId="58C1F2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особым типом разрезных крыльев (системы Кричевского)</w:t>
            </w:r>
          </w:p>
        </w:tc>
        <w:tc>
          <w:tcPr>
            <w:tcW w:w="867" w:type="dxa"/>
          </w:tcPr>
          <w:p w14:paraId="237E03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 1932 г.</w:t>
            </w:r>
          </w:p>
        </w:tc>
        <w:tc>
          <w:tcPr>
            <w:tcW w:w="654" w:type="dxa"/>
          </w:tcPr>
          <w:p w14:paraId="345B5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DD6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C7B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0D7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9437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B563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25870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1B3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A13B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6E67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353F46" w14:textId="77777777">
        <w:tc>
          <w:tcPr>
            <w:tcW w:w="1281" w:type="dxa"/>
          </w:tcPr>
          <w:p w14:paraId="1775DD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 (ВГ2)</w:t>
            </w:r>
          </w:p>
        </w:tc>
        <w:tc>
          <w:tcPr>
            <w:tcW w:w="867" w:type="dxa"/>
          </w:tcPr>
          <w:p w14:paraId="1FB9BA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33462D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63D58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760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A39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7AEEA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C6AA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24EC4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D53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5BE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F605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73F280" w14:textId="77777777">
        <w:tc>
          <w:tcPr>
            <w:tcW w:w="1281" w:type="dxa"/>
          </w:tcPr>
          <w:p w14:paraId="37C92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w:t>
            </w:r>
          </w:p>
        </w:tc>
        <w:tc>
          <w:tcPr>
            <w:tcW w:w="867" w:type="dxa"/>
          </w:tcPr>
          <w:p w14:paraId="3B381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w:t>
            </w:r>
          </w:p>
        </w:tc>
        <w:tc>
          <w:tcPr>
            <w:tcW w:w="654" w:type="dxa"/>
          </w:tcPr>
          <w:p w14:paraId="72101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EF03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AD25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7D3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795D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AB6E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6D72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A36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E17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5C9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8BD67E" w14:textId="77777777">
        <w:tc>
          <w:tcPr>
            <w:tcW w:w="1281" w:type="dxa"/>
          </w:tcPr>
          <w:p w14:paraId="712B0C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w:t>
            </w:r>
          </w:p>
        </w:tc>
        <w:tc>
          <w:tcPr>
            <w:tcW w:w="867" w:type="dxa"/>
          </w:tcPr>
          <w:p w14:paraId="1B881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w:t>
            </w:r>
          </w:p>
        </w:tc>
        <w:tc>
          <w:tcPr>
            <w:tcW w:w="654" w:type="dxa"/>
          </w:tcPr>
          <w:p w14:paraId="4F1AE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5133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7CA7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284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85AB2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A88FB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4354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7723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89B0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832B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F04F576" w14:textId="77777777">
        <w:tc>
          <w:tcPr>
            <w:tcW w:w="1281" w:type="dxa"/>
          </w:tcPr>
          <w:p w14:paraId="4BB09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реактивным двигателем</w:t>
            </w:r>
          </w:p>
        </w:tc>
        <w:tc>
          <w:tcPr>
            <w:tcW w:w="867" w:type="dxa"/>
          </w:tcPr>
          <w:p w14:paraId="51243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51547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C73A0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DFB6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6321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D17E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9C8F4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D46F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09A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872E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7FDC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Работу ведет Гидродинамическая лаборатория</w:t>
            </w:r>
          </w:p>
        </w:tc>
      </w:tr>
      <w:tr w:rsidR="00DA227A" w:rsidRPr="00E93F40" w14:paraId="2E4B4EF3" w14:textId="77777777">
        <w:tc>
          <w:tcPr>
            <w:tcW w:w="1281" w:type="dxa"/>
          </w:tcPr>
          <w:p w14:paraId="5C498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нефтяным двигателем Паккард</w:t>
            </w:r>
          </w:p>
        </w:tc>
        <w:tc>
          <w:tcPr>
            <w:tcW w:w="867" w:type="dxa"/>
          </w:tcPr>
          <w:p w14:paraId="0C7F73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106E0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9217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43B6E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6FA2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6090E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48EE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8D76E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A3CE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6329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139B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мотора производит ГУГВФ</w:t>
            </w:r>
          </w:p>
        </w:tc>
      </w:tr>
      <w:tr w:rsidR="00DA227A" w:rsidRPr="00E93F40" w14:paraId="4EA792CD" w14:textId="77777777">
        <w:tc>
          <w:tcPr>
            <w:tcW w:w="1281" w:type="dxa"/>
          </w:tcPr>
          <w:p w14:paraId="1A208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Корабельный разведчик …, он же катапультный (КР2-М34)</w:t>
            </w:r>
          </w:p>
        </w:tc>
        <w:tc>
          <w:tcPr>
            <w:tcW w:w="867" w:type="dxa"/>
          </w:tcPr>
          <w:p w14:paraId="6C332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 г.</w:t>
            </w:r>
          </w:p>
        </w:tc>
        <w:tc>
          <w:tcPr>
            <w:tcW w:w="654" w:type="dxa"/>
          </w:tcPr>
          <w:p w14:paraId="02202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708" w:type="dxa"/>
          </w:tcPr>
          <w:p w14:paraId="27260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709" w:type="dxa"/>
          </w:tcPr>
          <w:p w14:paraId="79EB8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709" w:type="dxa"/>
          </w:tcPr>
          <w:p w14:paraId="5C5C0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 115</w:t>
            </w:r>
          </w:p>
        </w:tc>
        <w:tc>
          <w:tcPr>
            <w:tcW w:w="868" w:type="dxa"/>
          </w:tcPr>
          <w:p w14:paraId="52C88C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350/550</w:t>
            </w:r>
          </w:p>
        </w:tc>
        <w:tc>
          <w:tcPr>
            <w:tcW w:w="691" w:type="dxa"/>
          </w:tcPr>
          <w:p w14:paraId="72C51A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341" w:type="dxa"/>
          </w:tcPr>
          <w:p w14:paraId="0E87F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 Калибры бомб –10, 50</w:t>
            </w:r>
          </w:p>
        </w:tc>
        <w:tc>
          <w:tcPr>
            <w:tcW w:w="927" w:type="dxa"/>
          </w:tcPr>
          <w:p w14:paraId="12446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709" w:type="dxa"/>
          </w:tcPr>
          <w:p w14:paraId="66093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КР1-ЮV</w:t>
            </w:r>
          </w:p>
        </w:tc>
        <w:tc>
          <w:tcPr>
            <w:tcW w:w="1134" w:type="dxa"/>
          </w:tcPr>
          <w:p w14:paraId="0A26AF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должен иметь варианты:</w:t>
            </w:r>
          </w:p>
          <w:p w14:paraId="09370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разрез. и в то же время склад.</w:t>
            </w:r>
          </w:p>
          <w:p w14:paraId="1F45A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выдвижн.</w:t>
            </w:r>
          </w:p>
        </w:tc>
      </w:tr>
      <w:tr w:rsidR="00DA227A" w:rsidRPr="00E93F40" w14:paraId="2386CE67" w14:textId="77777777">
        <w:tc>
          <w:tcPr>
            <w:tcW w:w="1281" w:type="dxa"/>
          </w:tcPr>
          <w:p w14:paraId="0DB7A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подлодок (СПЛ)</w:t>
            </w:r>
          </w:p>
        </w:tc>
        <w:tc>
          <w:tcPr>
            <w:tcW w:w="867" w:type="dxa"/>
          </w:tcPr>
          <w:p w14:paraId="5A1C6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654" w:type="dxa"/>
          </w:tcPr>
          <w:p w14:paraId="0DE4C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C0DF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C0A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349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6E26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6FE6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7E3EB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DDE8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5518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A65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устанавлив. особо.</w:t>
            </w:r>
          </w:p>
          <w:p w14:paraId="23843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проектиров. и постр. находит. УВВС.</w:t>
            </w:r>
          </w:p>
        </w:tc>
      </w:tr>
      <w:tr w:rsidR="00DA227A" w:rsidRPr="00E93F40" w14:paraId="7365103A" w14:textId="77777777">
        <w:tc>
          <w:tcPr>
            <w:tcW w:w="1281" w:type="dxa"/>
          </w:tcPr>
          <w:p w14:paraId="05A91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Особой группы</w:t>
            </w:r>
          </w:p>
        </w:tc>
        <w:tc>
          <w:tcPr>
            <w:tcW w:w="867" w:type="dxa"/>
          </w:tcPr>
          <w:p w14:paraId="431E4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B2E97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783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AEA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D09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F47F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78AF1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8520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D1E6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F8F8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686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A4ECC6" w14:textId="77777777">
        <w:tc>
          <w:tcPr>
            <w:tcW w:w="1281" w:type="dxa"/>
          </w:tcPr>
          <w:p w14:paraId="072C7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«Таран» (ТА1)</w:t>
            </w:r>
          </w:p>
        </w:tc>
        <w:tc>
          <w:tcPr>
            <w:tcW w:w="867" w:type="dxa"/>
          </w:tcPr>
          <w:p w14:paraId="50F251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54" w:type="dxa"/>
          </w:tcPr>
          <w:p w14:paraId="7B2F85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08" w:type="dxa"/>
          </w:tcPr>
          <w:p w14:paraId="69106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400/-/6</w:t>
            </w:r>
          </w:p>
        </w:tc>
        <w:tc>
          <w:tcPr>
            <w:tcW w:w="709" w:type="dxa"/>
          </w:tcPr>
          <w:p w14:paraId="36432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709" w:type="dxa"/>
          </w:tcPr>
          <w:p w14:paraId="48F6E2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4252B1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w:t>
            </w:r>
          </w:p>
        </w:tc>
        <w:tc>
          <w:tcPr>
            <w:tcW w:w="691" w:type="dxa"/>
          </w:tcPr>
          <w:p w14:paraId="796E8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341" w:type="dxa"/>
          </w:tcPr>
          <w:p w14:paraId="1F5084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ЗАМы</w:t>
            </w:r>
          </w:p>
        </w:tc>
        <w:tc>
          <w:tcPr>
            <w:tcW w:w="927" w:type="dxa"/>
          </w:tcPr>
          <w:p w14:paraId="6F0952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53BFBA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34" w:type="dxa"/>
          </w:tcPr>
          <w:p w14:paraId="7D59D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241C5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p w14:paraId="6F86411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«Особой группы» строятся в порядке особой засекреченности, не проходя обычных путей разработки и утверждения требований и макетов. Самолеты этой группы проходят специальные испытания и быть введенными на вооружение ВВС в мирное время не предполагаются.</w:t>
      </w:r>
    </w:p>
    <w:p w14:paraId="0C7C4E2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17CDE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(Апрель 1932 года начальник ВВС Алкснис) (3530,16-22).</w:t>
      </w:r>
    </w:p>
    <w:p w14:paraId="511B7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14A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начали изготавливать первые три экземпляра мотора, получившего новое обозначение М-58. Карбюраторы и магнето устанавливались импортные. Первый опытный образец испы</w:t>
      </w:r>
      <w:r w:rsidRPr="00E93F40">
        <w:rPr>
          <w:rFonts w:ascii="Times New Roman" w:hAnsi="Times New Roman"/>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E93F40">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E93F40">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E93F40">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E93F40">
        <w:rPr>
          <w:rFonts w:ascii="Times New Roman" w:hAnsi="Times New Roman"/>
          <w:color w:val="000000" w:themeColor="text1"/>
          <w:sz w:val="16"/>
          <w:szCs w:val="16"/>
        </w:rPr>
        <w:softHyphen/>
        <w:t xml:space="preserve">тель прошел 50-часовые заводские </w:t>
      </w:r>
      <w:r w:rsidRPr="00E93F40">
        <w:rPr>
          <w:rFonts w:ascii="Times New Roman" w:hAnsi="Times New Roman"/>
          <w:color w:val="000000" w:themeColor="text1"/>
          <w:sz w:val="16"/>
          <w:szCs w:val="16"/>
        </w:rPr>
        <w:lastRenderedPageBreak/>
        <w:t>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E93F40">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E93F40">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276A4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1CA34A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9-цилиндровый, звездообразный, четырехтактный, воздушного охлаж</w:t>
      </w:r>
      <w:r w:rsidRPr="00E93F40">
        <w:rPr>
          <w:rFonts w:ascii="Times New Roman" w:hAnsi="Times New Roman"/>
          <w:color w:val="000000" w:themeColor="text1"/>
          <w:sz w:val="16"/>
          <w:szCs w:val="16"/>
        </w:rPr>
        <w:softHyphen/>
        <w:t>дения, безредукторный, с одноступенчатым односкоростным ПЦН;</w:t>
      </w:r>
    </w:p>
    <w:p w14:paraId="3F5B03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160/190 мм;</w:t>
      </w:r>
    </w:p>
    <w:p w14:paraId="21B533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34,4 л;</w:t>
      </w:r>
    </w:p>
    <w:p w14:paraId="3F7B90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5,5;</w:t>
      </w:r>
    </w:p>
    <w:p w14:paraId="026A8E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по проекту 630/800 л.с., реально 630/785 л.с.;</w:t>
      </w:r>
    </w:p>
    <w:p w14:paraId="4CE98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в зависимости от модификации. Известны модификации:</w:t>
      </w:r>
    </w:p>
    <w:p w14:paraId="34FFB4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М-58Н</w:t>
      </w:r>
    </w:p>
    <w:p w14:paraId="50B238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М-58, три первых опытных экземпляра с полным наддувом, 630/680 л.с., вес 445^450 кг.</w:t>
      </w:r>
    </w:p>
    <w:p w14:paraId="602553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130919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М-58Н, отличался от М-58МН передачей к ПЦН, крыльчаткой и диф</w:t>
      </w:r>
      <w:r w:rsidRPr="00E93F40">
        <w:rPr>
          <w:rFonts w:ascii="Times New Roman" w:hAnsi="Times New Roman"/>
          <w:color w:val="000000" w:themeColor="text1"/>
          <w:sz w:val="16"/>
          <w:szCs w:val="16"/>
        </w:rPr>
        <w:softHyphen/>
        <w:t>фузором.</w:t>
      </w:r>
    </w:p>
    <w:p w14:paraId="5F2EA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1B6FB8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F91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были закончены рабочие чертежи дизельного двигателя Н-5 (4223).</w:t>
      </w:r>
    </w:p>
    <w:p w14:paraId="1AB884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B4F9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на заводе № 18 был сдан в эксплуатацию первый производственный корпус и начато производство первых деталей самолета ТБ-3 гл. конструктора Туполева. К концу 1934 года завод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40CA6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302C4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2E1AD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 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 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5653C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1946 и 1947 гг. заводом освоены следующие агрегаты:</w:t>
      </w:r>
    </w:p>
    <w:p w14:paraId="68514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хвостовая часть фюзеляжа;</w:t>
      </w:r>
    </w:p>
    <w:p w14:paraId="121BA9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оперение;</w:t>
      </w:r>
    </w:p>
    <w:p w14:paraId="4A406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шасси.</w:t>
      </w:r>
    </w:p>
    <w:p w14:paraId="24E3C5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5121B4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150F4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052838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72F9F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 Директор – Белявский</w:t>
      </w:r>
    </w:p>
    <w:p w14:paraId="79F20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Производственный профиль – самолет Ан-10 конструкции Антонова</w:t>
      </w:r>
    </w:p>
    <w:p w14:paraId="55549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Характеристика аэродрома завода</w:t>
      </w:r>
    </w:p>
    <w:p w14:paraId="294E3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38BDB7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4451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был готов первый производственный корпус авиазавода вблизи ст. Придача Юго-Восточной ж/д г. Воронежа на левом берегу реки Воронеж. С апреля 1932 года начали делать первые детали для самолета ТБ-3.</w:t>
      </w:r>
    </w:p>
    <w:p w14:paraId="15092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Первая очередь гл. производственного корпуса достраивалась еще в зиму 1932-34 гг. Но сборка первых самолетов в нем уже производилась. В 1934 году выпустили первые 5 самолетов ТБ-3. С этого времени начался выпуск самолетов по заданной программе заводу. В первых числах октября 1941 года было принято решение об эвакуации завода в Куйбышевскую область на ст. Безымянка.</w:t>
      </w:r>
    </w:p>
    <w:p w14:paraId="1AAAB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Новая площадка завода на Безымянке представляла из себя необорудованные, незаконченные строительством производственные и служебные корпуса, начатые строительством УОСа НКВД задолго до начала войны.</w:t>
      </w:r>
    </w:p>
    <w:p w14:paraId="225B3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 УОСом НКВД намечалось строительство крупнейшего авиационного комбината на ст. Безымянке. Во второй половине декабря 1941 года завод на новой площадке начал выпускать самолеты ИЛ-2.</w:t>
      </w:r>
    </w:p>
    <w:p w14:paraId="203D27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После эвакуации завода на новую площадку в Воронеже на старой площадке завода остался небольшой коллектив работников завода и завод работал как ремонтная база для удовлетворения нужд Воронежского фронта в ремонте боевых самолетов. Позже на этой территории был организован и работает завод № 64.</w:t>
      </w:r>
    </w:p>
    <w:p w14:paraId="65164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 самолетов заводом: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5"/>
        <w:gridCol w:w="659"/>
        <w:gridCol w:w="559"/>
        <w:gridCol w:w="717"/>
        <w:gridCol w:w="709"/>
        <w:gridCol w:w="567"/>
        <w:gridCol w:w="708"/>
        <w:gridCol w:w="692"/>
        <w:gridCol w:w="693"/>
        <w:gridCol w:w="693"/>
        <w:gridCol w:w="693"/>
        <w:gridCol w:w="692"/>
        <w:gridCol w:w="693"/>
        <w:gridCol w:w="693"/>
        <w:gridCol w:w="693"/>
        <w:gridCol w:w="692"/>
      </w:tblGrid>
      <w:tr w:rsidR="00DA227A" w:rsidRPr="00E93F40" w14:paraId="36037FAF" w14:textId="77777777">
        <w:tc>
          <w:tcPr>
            <w:tcW w:w="725" w:type="dxa"/>
          </w:tcPr>
          <w:p w14:paraId="23A391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Годы</w:t>
            </w:r>
          </w:p>
        </w:tc>
        <w:tc>
          <w:tcPr>
            <w:tcW w:w="659" w:type="dxa"/>
          </w:tcPr>
          <w:p w14:paraId="551A60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559" w:type="dxa"/>
          </w:tcPr>
          <w:p w14:paraId="6FEEC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РД</w:t>
            </w:r>
          </w:p>
        </w:tc>
        <w:tc>
          <w:tcPr>
            <w:tcW w:w="717" w:type="dxa"/>
          </w:tcPr>
          <w:p w14:paraId="3639F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ДБ3А</w:t>
            </w:r>
          </w:p>
        </w:tc>
        <w:tc>
          <w:tcPr>
            <w:tcW w:w="709" w:type="dxa"/>
          </w:tcPr>
          <w:p w14:paraId="6918E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ДБ3Ф</w:t>
            </w:r>
          </w:p>
        </w:tc>
        <w:tc>
          <w:tcPr>
            <w:tcW w:w="567" w:type="dxa"/>
          </w:tcPr>
          <w:p w14:paraId="7AD204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ЕР-2</w:t>
            </w:r>
          </w:p>
        </w:tc>
        <w:tc>
          <w:tcPr>
            <w:tcW w:w="708" w:type="dxa"/>
          </w:tcPr>
          <w:p w14:paraId="6604B4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ИЛ-2</w:t>
            </w:r>
          </w:p>
        </w:tc>
        <w:tc>
          <w:tcPr>
            <w:tcW w:w="692" w:type="dxa"/>
          </w:tcPr>
          <w:p w14:paraId="5D988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ИЛ-10</w:t>
            </w:r>
          </w:p>
        </w:tc>
        <w:tc>
          <w:tcPr>
            <w:tcW w:w="693" w:type="dxa"/>
          </w:tcPr>
          <w:p w14:paraId="404224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ТУ-4</w:t>
            </w:r>
          </w:p>
        </w:tc>
        <w:tc>
          <w:tcPr>
            <w:tcW w:w="693" w:type="dxa"/>
          </w:tcPr>
          <w:p w14:paraId="44707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ИЛ-28</w:t>
            </w:r>
          </w:p>
        </w:tc>
        <w:tc>
          <w:tcPr>
            <w:tcW w:w="693" w:type="dxa"/>
          </w:tcPr>
          <w:p w14:paraId="29D44B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ТУ-95</w:t>
            </w:r>
          </w:p>
        </w:tc>
        <w:tc>
          <w:tcPr>
            <w:tcW w:w="692" w:type="dxa"/>
          </w:tcPr>
          <w:p w14:paraId="5066A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ТУ-116</w:t>
            </w:r>
          </w:p>
        </w:tc>
        <w:tc>
          <w:tcPr>
            <w:tcW w:w="693" w:type="dxa"/>
          </w:tcPr>
          <w:p w14:paraId="0CCC23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ТУ-95М</w:t>
            </w:r>
          </w:p>
        </w:tc>
        <w:tc>
          <w:tcPr>
            <w:tcW w:w="693" w:type="dxa"/>
          </w:tcPr>
          <w:p w14:paraId="0E83BB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ТУ-95К</w:t>
            </w:r>
          </w:p>
        </w:tc>
        <w:tc>
          <w:tcPr>
            <w:tcW w:w="693" w:type="dxa"/>
          </w:tcPr>
          <w:p w14:paraId="6EAB3D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ТУ-114</w:t>
            </w:r>
          </w:p>
        </w:tc>
        <w:tc>
          <w:tcPr>
            <w:tcW w:w="692" w:type="dxa"/>
          </w:tcPr>
          <w:p w14:paraId="3A504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r>
      <w:tr w:rsidR="00DA227A" w:rsidRPr="00E93F40" w14:paraId="38ECA95A" w14:textId="77777777">
        <w:tc>
          <w:tcPr>
            <w:tcW w:w="725" w:type="dxa"/>
          </w:tcPr>
          <w:p w14:paraId="3F461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659" w:type="dxa"/>
          </w:tcPr>
          <w:p w14:paraId="0018DA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4933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866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E26D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9502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67D50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07498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400C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D02CD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F985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17DE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75DF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AA15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A5F8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D2C5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2E1324C0" w14:textId="77777777">
        <w:tc>
          <w:tcPr>
            <w:tcW w:w="725" w:type="dxa"/>
          </w:tcPr>
          <w:p w14:paraId="6A29A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659" w:type="dxa"/>
          </w:tcPr>
          <w:p w14:paraId="5B5D47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48714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2D0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5177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45CB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4134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21C45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1B50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9DA1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E1950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C23F8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B04F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8128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8D83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95CF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2CB1AECC" w14:textId="77777777">
        <w:tc>
          <w:tcPr>
            <w:tcW w:w="725" w:type="dxa"/>
          </w:tcPr>
          <w:p w14:paraId="2F75A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659" w:type="dxa"/>
          </w:tcPr>
          <w:p w14:paraId="50078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C491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149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A1F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1B6A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74F2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3AD0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0A71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555D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9AA18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D6EBB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C2C9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5FBC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634D0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323BA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2684051" w14:textId="77777777">
        <w:tc>
          <w:tcPr>
            <w:tcW w:w="725" w:type="dxa"/>
          </w:tcPr>
          <w:p w14:paraId="378B8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w:t>
            </w:r>
          </w:p>
        </w:tc>
        <w:tc>
          <w:tcPr>
            <w:tcW w:w="659" w:type="dxa"/>
          </w:tcPr>
          <w:p w14:paraId="7F69C0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559" w:type="dxa"/>
          </w:tcPr>
          <w:p w14:paraId="16FCC6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635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032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3CF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C593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61F4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96CCF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E69D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E0FE7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32961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5847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54CB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C535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4552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r>
      <w:tr w:rsidR="00DA227A" w:rsidRPr="00E93F40" w14:paraId="1DE2DE43" w14:textId="77777777">
        <w:tc>
          <w:tcPr>
            <w:tcW w:w="725" w:type="dxa"/>
          </w:tcPr>
          <w:p w14:paraId="44781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1935</w:t>
            </w:r>
          </w:p>
        </w:tc>
        <w:tc>
          <w:tcPr>
            <w:tcW w:w="659" w:type="dxa"/>
          </w:tcPr>
          <w:p w14:paraId="4EA32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420C1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B6D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600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D55D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2397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26B1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257F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37B5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E5E2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D97F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9056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F3A2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52F7A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96A4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77CC2F90" w14:textId="77777777">
        <w:tc>
          <w:tcPr>
            <w:tcW w:w="725" w:type="dxa"/>
          </w:tcPr>
          <w:p w14:paraId="237574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1936</w:t>
            </w:r>
          </w:p>
        </w:tc>
        <w:tc>
          <w:tcPr>
            <w:tcW w:w="659" w:type="dxa"/>
          </w:tcPr>
          <w:p w14:paraId="6BF89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BDCC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717" w:type="dxa"/>
          </w:tcPr>
          <w:p w14:paraId="20FF1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8C2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EE01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B8F9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44AA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F7EE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1C36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02E9A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6E14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B6B9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8C33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372D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38678E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r>
      <w:tr w:rsidR="00DA227A" w:rsidRPr="00E93F40" w14:paraId="6A0E7F80" w14:textId="77777777">
        <w:tc>
          <w:tcPr>
            <w:tcW w:w="725" w:type="dxa"/>
          </w:tcPr>
          <w:p w14:paraId="6F499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1937</w:t>
            </w:r>
          </w:p>
        </w:tc>
        <w:tc>
          <w:tcPr>
            <w:tcW w:w="659" w:type="dxa"/>
          </w:tcPr>
          <w:p w14:paraId="75E339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915C2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E5B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709" w:type="dxa"/>
          </w:tcPr>
          <w:p w14:paraId="00BFB3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5582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1BD7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BF76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D189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2ED3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15F8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8A07D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FF9AE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899B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B77DB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030C5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r>
      <w:tr w:rsidR="00DA227A" w:rsidRPr="00E93F40" w14:paraId="3DBD772C" w14:textId="77777777">
        <w:tc>
          <w:tcPr>
            <w:tcW w:w="725" w:type="dxa"/>
          </w:tcPr>
          <w:p w14:paraId="493E51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1938</w:t>
            </w:r>
          </w:p>
        </w:tc>
        <w:tc>
          <w:tcPr>
            <w:tcW w:w="659" w:type="dxa"/>
          </w:tcPr>
          <w:p w14:paraId="76D706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21552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FD7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c>
          <w:tcPr>
            <w:tcW w:w="709" w:type="dxa"/>
          </w:tcPr>
          <w:p w14:paraId="761524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41A3F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DFD0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E236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080D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8D1CA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35DC1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EC456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D3D4E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4007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2317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E07D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r>
      <w:tr w:rsidR="00DA227A" w:rsidRPr="00E93F40" w14:paraId="3351512C" w14:textId="77777777">
        <w:tc>
          <w:tcPr>
            <w:tcW w:w="725" w:type="dxa"/>
          </w:tcPr>
          <w:p w14:paraId="289198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1939</w:t>
            </w:r>
          </w:p>
        </w:tc>
        <w:tc>
          <w:tcPr>
            <w:tcW w:w="659" w:type="dxa"/>
          </w:tcPr>
          <w:p w14:paraId="748690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94FD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CFB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555</w:t>
            </w:r>
          </w:p>
        </w:tc>
        <w:tc>
          <w:tcPr>
            <w:tcW w:w="709" w:type="dxa"/>
          </w:tcPr>
          <w:p w14:paraId="0245F9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19430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D047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072F7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58678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2BB49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5F23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8EA31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B7046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D4F9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20A0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584D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555</w:t>
            </w:r>
          </w:p>
        </w:tc>
      </w:tr>
      <w:tr w:rsidR="00DA227A" w:rsidRPr="00E93F40" w14:paraId="04675304" w14:textId="77777777">
        <w:tc>
          <w:tcPr>
            <w:tcW w:w="725" w:type="dxa"/>
          </w:tcPr>
          <w:p w14:paraId="51A3DC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1940</w:t>
            </w:r>
          </w:p>
        </w:tc>
        <w:tc>
          <w:tcPr>
            <w:tcW w:w="659" w:type="dxa"/>
          </w:tcPr>
          <w:p w14:paraId="165799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9B9B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05A8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80C8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808</w:t>
            </w:r>
          </w:p>
        </w:tc>
        <w:tc>
          <w:tcPr>
            <w:tcW w:w="567" w:type="dxa"/>
          </w:tcPr>
          <w:p w14:paraId="64EEE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393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CEDA7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44DC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7B60C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E063C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0409B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9AC1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AE0C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CA34C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3FB100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808</w:t>
            </w:r>
          </w:p>
        </w:tc>
      </w:tr>
      <w:tr w:rsidR="00DA227A" w:rsidRPr="00E93F40" w14:paraId="1AF0EE12" w14:textId="77777777">
        <w:tc>
          <w:tcPr>
            <w:tcW w:w="725" w:type="dxa"/>
          </w:tcPr>
          <w:p w14:paraId="0AE87D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1941</w:t>
            </w:r>
          </w:p>
        </w:tc>
        <w:tc>
          <w:tcPr>
            <w:tcW w:w="659" w:type="dxa"/>
          </w:tcPr>
          <w:p w14:paraId="142432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BB53A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9B8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EB65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329</w:t>
            </w:r>
          </w:p>
        </w:tc>
        <w:tc>
          <w:tcPr>
            <w:tcW w:w="567" w:type="dxa"/>
          </w:tcPr>
          <w:p w14:paraId="189784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708" w:type="dxa"/>
          </w:tcPr>
          <w:p w14:paraId="07BDE5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1510*</w:t>
            </w:r>
          </w:p>
        </w:tc>
        <w:tc>
          <w:tcPr>
            <w:tcW w:w="692" w:type="dxa"/>
          </w:tcPr>
          <w:p w14:paraId="1B1110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8AE5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498A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FE48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D5923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FB40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8B5C0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F9898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C1920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1909</w:t>
            </w:r>
          </w:p>
        </w:tc>
      </w:tr>
      <w:tr w:rsidR="00DA227A" w:rsidRPr="00E93F40" w14:paraId="19D5E643" w14:textId="77777777">
        <w:tc>
          <w:tcPr>
            <w:tcW w:w="725" w:type="dxa"/>
          </w:tcPr>
          <w:p w14:paraId="27E9E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1942</w:t>
            </w:r>
          </w:p>
        </w:tc>
        <w:tc>
          <w:tcPr>
            <w:tcW w:w="659" w:type="dxa"/>
          </w:tcPr>
          <w:p w14:paraId="538D41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D12B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024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D3DF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0437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81EF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3837</w:t>
            </w:r>
          </w:p>
        </w:tc>
        <w:tc>
          <w:tcPr>
            <w:tcW w:w="692" w:type="dxa"/>
          </w:tcPr>
          <w:p w14:paraId="36C00D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0C4DC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B3D5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ACD3D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ECE7B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26360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98595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4C35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5B05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3837</w:t>
            </w:r>
          </w:p>
        </w:tc>
      </w:tr>
      <w:tr w:rsidR="00DA227A" w:rsidRPr="00E93F40" w14:paraId="7E863830" w14:textId="77777777">
        <w:tc>
          <w:tcPr>
            <w:tcW w:w="725" w:type="dxa"/>
          </w:tcPr>
          <w:p w14:paraId="3DEF62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1943</w:t>
            </w:r>
          </w:p>
        </w:tc>
        <w:tc>
          <w:tcPr>
            <w:tcW w:w="659" w:type="dxa"/>
          </w:tcPr>
          <w:p w14:paraId="23921C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7503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E10A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6C2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444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0732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4764</w:t>
            </w:r>
          </w:p>
        </w:tc>
        <w:tc>
          <w:tcPr>
            <w:tcW w:w="692" w:type="dxa"/>
          </w:tcPr>
          <w:p w14:paraId="3DA682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7F16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2B5AA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E6B09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B53D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9CA4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14E0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A85B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6E01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4764</w:t>
            </w:r>
          </w:p>
        </w:tc>
      </w:tr>
      <w:tr w:rsidR="00DA227A" w:rsidRPr="00E93F40" w14:paraId="495BCA03" w14:textId="77777777">
        <w:tc>
          <w:tcPr>
            <w:tcW w:w="725" w:type="dxa"/>
          </w:tcPr>
          <w:p w14:paraId="7E268A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1944</w:t>
            </w:r>
          </w:p>
        </w:tc>
        <w:tc>
          <w:tcPr>
            <w:tcW w:w="659" w:type="dxa"/>
          </w:tcPr>
          <w:p w14:paraId="27922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D46E1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4DD7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451E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2B510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74CD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3971</w:t>
            </w:r>
          </w:p>
        </w:tc>
        <w:tc>
          <w:tcPr>
            <w:tcW w:w="692" w:type="dxa"/>
          </w:tcPr>
          <w:p w14:paraId="498B7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w:t>
            </w:r>
          </w:p>
        </w:tc>
        <w:tc>
          <w:tcPr>
            <w:tcW w:w="693" w:type="dxa"/>
          </w:tcPr>
          <w:p w14:paraId="077C2F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2464A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D983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34E2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8E57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56A7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01D5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0EC0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4014</w:t>
            </w:r>
          </w:p>
        </w:tc>
      </w:tr>
      <w:tr w:rsidR="00DA227A" w:rsidRPr="00E93F40" w14:paraId="7C25EFE4" w14:textId="77777777">
        <w:tc>
          <w:tcPr>
            <w:tcW w:w="725" w:type="dxa"/>
          </w:tcPr>
          <w:p w14:paraId="6161A1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1945</w:t>
            </w:r>
          </w:p>
        </w:tc>
        <w:tc>
          <w:tcPr>
            <w:tcW w:w="659" w:type="dxa"/>
          </w:tcPr>
          <w:p w14:paraId="797B49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9BC2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413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A215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650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ED9B1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943</w:t>
            </w:r>
          </w:p>
        </w:tc>
        <w:tc>
          <w:tcPr>
            <w:tcW w:w="692" w:type="dxa"/>
          </w:tcPr>
          <w:p w14:paraId="508A3A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1315</w:t>
            </w:r>
          </w:p>
        </w:tc>
        <w:tc>
          <w:tcPr>
            <w:tcW w:w="693" w:type="dxa"/>
          </w:tcPr>
          <w:p w14:paraId="61E54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3F10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1050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9B49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12F1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6134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BC28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1718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2258</w:t>
            </w:r>
          </w:p>
        </w:tc>
      </w:tr>
      <w:tr w:rsidR="00DA227A" w:rsidRPr="00E93F40" w14:paraId="64D3DFFD" w14:textId="77777777">
        <w:tc>
          <w:tcPr>
            <w:tcW w:w="725" w:type="dxa"/>
          </w:tcPr>
          <w:p w14:paraId="5670EF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1946</w:t>
            </w:r>
          </w:p>
        </w:tc>
        <w:tc>
          <w:tcPr>
            <w:tcW w:w="659" w:type="dxa"/>
          </w:tcPr>
          <w:p w14:paraId="458F70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ACAB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73E6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553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37323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1EBA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CED9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1018</w:t>
            </w:r>
          </w:p>
        </w:tc>
        <w:tc>
          <w:tcPr>
            <w:tcW w:w="693" w:type="dxa"/>
          </w:tcPr>
          <w:p w14:paraId="4269D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24AD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B780F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803A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FE88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587B5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24B9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93DD9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1018</w:t>
            </w:r>
          </w:p>
        </w:tc>
      </w:tr>
      <w:tr w:rsidR="00DA227A" w:rsidRPr="00E93F40" w14:paraId="345AD148" w14:textId="77777777">
        <w:tc>
          <w:tcPr>
            <w:tcW w:w="725" w:type="dxa"/>
          </w:tcPr>
          <w:p w14:paraId="2F44E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1947</w:t>
            </w:r>
          </w:p>
        </w:tc>
        <w:tc>
          <w:tcPr>
            <w:tcW w:w="659" w:type="dxa"/>
          </w:tcPr>
          <w:p w14:paraId="010191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448FA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AFC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80B1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9323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645F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5F44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861</w:t>
            </w:r>
          </w:p>
        </w:tc>
        <w:tc>
          <w:tcPr>
            <w:tcW w:w="693" w:type="dxa"/>
          </w:tcPr>
          <w:p w14:paraId="278EA2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5EFA6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5E00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F3D09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39AB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06A7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F9605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9545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861</w:t>
            </w:r>
          </w:p>
        </w:tc>
      </w:tr>
      <w:tr w:rsidR="00DA227A" w:rsidRPr="00E93F40" w14:paraId="76093BAA" w14:textId="77777777">
        <w:tc>
          <w:tcPr>
            <w:tcW w:w="725" w:type="dxa"/>
          </w:tcPr>
          <w:p w14:paraId="1B1B8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1948</w:t>
            </w:r>
          </w:p>
        </w:tc>
        <w:tc>
          <w:tcPr>
            <w:tcW w:w="659" w:type="dxa"/>
          </w:tcPr>
          <w:p w14:paraId="0A8DE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0789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BE7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BEE1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EE7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6128F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1098C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664B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93" w:type="dxa"/>
          </w:tcPr>
          <w:p w14:paraId="5040C2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F75AD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09CBC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7FA3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4A80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C99AE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EC13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092ECD6" w14:textId="77777777">
        <w:tc>
          <w:tcPr>
            <w:tcW w:w="725" w:type="dxa"/>
          </w:tcPr>
          <w:p w14:paraId="5B42D9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1949</w:t>
            </w:r>
          </w:p>
        </w:tc>
        <w:tc>
          <w:tcPr>
            <w:tcW w:w="659" w:type="dxa"/>
          </w:tcPr>
          <w:p w14:paraId="2EA59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0CB9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B478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2902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FB9C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4EC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7EB07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E83C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693" w:type="dxa"/>
          </w:tcPr>
          <w:p w14:paraId="01B069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7D81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6F73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3FD0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D20F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50A9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2221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r>
      <w:tr w:rsidR="00DA227A" w:rsidRPr="00E93F40" w14:paraId="0AA9830B" w14:textId="77777777">
        <w:tc>
          <w:tcPr>
            <w:tcW w:w="725" w:type="dxa"/>
          </w:tcPr>
          <w:p w14:paraId="0F949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1950</w:t>
            </w:r>
          </w:p>
        </w:tc>
        <w:tc>
          <w:tcPr>
            <w:tcW w:w="659" w:type="dxa"/>
          </w:tcPr>
          <w:p w14:paraId="532D64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F879A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4F09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3AD4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301C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445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ACB8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D1ED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693" w:type="dxa"/>
          </w:tcPr>
          <w:p w14:paraId="436B0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BDF1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38C9A7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B235C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6A58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7301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C030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r>
      <w:tr w:rsidR="00DA227A" w:rsidRPr="00E93F40" w14:paraId="1AC9E3F5" w14:textId="77777777">
        <w:tc>
          <w:tcPr>
            <w:tcW w:w="725" w:type="dxa"/>
          </w:tcPr>
          <w:p w14:paraId="2414E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1951</w:t>
            </w:r>
          </w:p>
        </w:tc>
        <w:tc>
          <w:tcPr>
            <w:tcW w:w="659" w:type="dxa"/>
          </w:tcPr>
          <w:p w14:paraId="51B08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CDB4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98FA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EBBAD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106E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09BF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A0CB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464F9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693" w:type="dxa"/>
          </w:tcPr>
          <w:p w14:paraId="60D0B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2940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3742F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B3D95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498A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F98E5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379CF0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r>
      <w:tr w:rsidR="00DA227A" w:rsidRPr="00E93F40" w14:paraId="2C6B95B1" w14:textId="77777777">
        <w:tc>
          <w:tcPr>
            <w:tcW w:w="725" w:type="dxa"/>
          </w:tcPr>
          <w:p w14:paraId="4E3AEF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1952</w:t>
            </w:r>
          </w:p>
        </w:tc>
        <w:tc>
          <w:tcPr>
            <w:tcW w:w="659" w:type="dxa"/>
          </w:tcPr>
          <w:p w14:paraId="4613C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F623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653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413F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92A5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89C2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93DB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00BC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166</w:t>
            </w:r>
          </w:p>
        </w:tc>
        <w:tc>
          <w:tcPr>
            <w:tcW w:w="693" w:type="dxa"/>
          </w:tcPr>
          <w:p w14:paraId="5E04B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60AA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156E4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D789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579A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6DB0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AEC0A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166</w:t>
            </w:r>
          </w:p>
        </w:tc>
      </w:tr>
      <w:tr w:rsidR="00DA227A" w:rsidRPr="00E93F40" w14:paraId="7587DBF5" w14:textId="77777777">
        <w:tc>
          <w:tcPr>
            <w:tcW w:w="725" w:type="dxa"/>
          </w:tcPr>
          <w:p w14:paraId="365A6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1953</w:t>
            </w:r>
          </w:p>
        </w:tc>
        <w:tc>
          <w:tcPr>
            <w:tcW w:w="659" w:type="dxa"/>
          </w:tcPr>
          <w:p w14:paraId="449E27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2587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90E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FD8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911C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965DF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43959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72A60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693" w:type="dxa"/>
          </w:tcPr>
          <w:p w14:paraId="6FD757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693" w:type="dxa"/>
          </w:tcPr>
          <w:p w14:paraId="3351F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9A7D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79AF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E156F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7651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D3280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w:t>
            </w:r>
          </w:p>
        </w:tc>
      </w:tr>
      <w:tr w:rsidR="00DA227A" w:rsidRPr="00E93F40" w14:paraId="7F2EA90D" w14:textId="77777777">
        <w:tc>
          <w:tcPr>
            <w:tcW w:w="725" w:type="dxa"/>
          </w:tcPr>
          <w:p w14:paraId="780E2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1954</w:t>
            </w:r>
          </w:p>
        </w:tc>
        <w:tc>
          <w:tcPr>
            <w:tcW w:w="659" w:type="dxa"/>
          </w:tcPr>
          <w:p w14:paraId="5332D8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0B54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5CD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6A8F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0C8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DDBDE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6E54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40E9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ECD6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898D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A4C88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5140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BA63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1DA10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5C770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92DB35F" w14:textId="77777777">
        <w:tc>
          <w:tcPr>
            <w:tcW w:w="725" w:type="dxa"/>
          </w:tcPr>
          <w:p w14:paraId="3C184E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1955</w:t>
            </w:r>
          </w:p>
        </w:tc>
        <w:tc>
          <w:tcPr>
            <w:tcW w:w="659" w:type="dxa"/>
          </w:tcPr>
          <w:p w14:paraId="0B9900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7AFC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2FE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9BCE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73EE2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2715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24D3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772F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17CE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FDDE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692" w:type="dxa"/>
          </w:tcPr>
          <w:p w14:paraId="2EE75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B6978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841C1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DA2E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DBD10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629AF79F" w14:textId="77777777">
        <w:tc>
          <w:tcPr>
            <w:tcW w:w="725" w:type="dxa"/>
          </w:tcPr>
          <w:p w14:paraId="29470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1956</w:t>
            </w:r>
          </w:p>
        </w:tc>
        <w:tc>
          <w:tcPr>
            <w:tcW w:w="659" w:type="dxa"/>
          </w:tcPr>
          <w:p w14:paraId="25C85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13F7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6481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CDA3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70F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9FA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F6B6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75994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29B2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62D9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692" w:type="dxa"/>
          </w:tcPr>
          <w:p w14:paraId="1F22C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56752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7C46F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5F86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68BF7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r>
      <w:tr w:rsidR="00DA227A" w:rsidRPr="00E93F40" w14:paraId="426441D3" w14:textId="77777777">
        <w:tc>
          <w:tcPr>
            <w:tcW w:w="725" w:type="dxa"/>
          </w:tcPr>
          <w:p w14:paraId="6E1A8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1957</w:t>
            </w:r>
          </w:p>
        </w:tc>
        <w:tc>
          <w:tcPr>
            <w:tcW w:w="659" w:type="dxa"/>
          </w:tcPr>
          <w:p w14:paraId="0AB4F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BCF7B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CBE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69A5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461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674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4EBB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136A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83AE1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5F4A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692" w:type="dxa"/>
          </w:tcPr>
          <w:p w14:paraId="24FAAC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693" w:type="dxa"/>
          </w:tcPr>
          <w:p w14:paraId="3FC18F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FA9F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5EA31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488E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r>
      <w:tr w:rsidR="00DA227A" w:rsidRPr="00E93F40" w14:paraId="22FDB615" w14:textId="77777777">
        <w:tc>
          <w:tcPr>
            <w:tcW w:w="725" w:type="dxa"/>
          </w:tcPr>
          <w:p w14:paraId="1B3E12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1958</w:t>
            </w:r>
          </w:p>
        </w:tc>
        <w:tc>
          <w:tcPr>
            <w:tcW w:w="659" w:type="dxa"/>
          </w:tcPr>
          <w:p w14:paraId="3763D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C8C8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4CC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8CB4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8E0F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9E47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D7581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FF647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632E2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9183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027F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88DA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693" w:type="dxa"/>
          </w:tcPr>
          <w:p w14:paraId="4E3F1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693" w:type="dxa"/>
          </w:tcPr>
          <w:p w14:paraId="660BE9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692" w:type="dxa"/>
          </w:tcPr>
          <w:p w14:paraId="71F6C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r>
      <w:tr w:rsidR="00DA227A" w:rsidRPr="00E93F40" w14:paraId="5713DEAA" w14:textId="77777777">
        <w:tc>
          <w:tcPr>
            <w:tcW w:w="725" w:type="dxa"/>
          </w:tcPr>
          <w:p w14:paraId="7A3F19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659" w:type="dxa"/>
          </w:tcPr>
          <w:p w14:paraId="61D05C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559" w:type="dxa"/>
          </w:tcPr>
          <w:p w14:paraId="11786D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717" w:type="dxa"/>
          </w:tcPr>
          <w:p w14:paraId="540D44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771</w:t>
            </w:r>
          </w:p>
        </w:tc>
        <w:tc>
          <w:tcPr>
            <w:tcW w:w="709" w:type="dxa"/>
          </w:tcPr>
          <w:p w14:paraId="1C1B17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1137</w:t>
            </w:r>
          </w:p>
        </w:tc>
        <w:tc>
          <w:tcPr>
            <w:tcW w:w="567" w:type="dxa"/>
          </w:tcPr>
          <w:p w14:paraId="566A7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708" w:type="dxa"/>
          </w:tcPr>
          <w:p w14:paraId="4CA41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15025</w:t>
            </w:r>
          </w:p>
        </w:tc>
        <w:tc>
          <w:tcPr>
            <w:tcW w:w="692" w:type="dxa"/>
          </w:tcPr>
          <w:p w14:paraId="4D11B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3237</w:t>
            </w:r>
          </w:p>
        </w:tc>
        <w:tc>
          <w:tcPr>
            <w:tcW w:w="693" w:type="dxa"/>
          </w:tcPr>
          <w:p w14:paraId="3C0FF6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c>
          <w:tcPr>
            <w:tcW w:w="693" w:type="dxa"/>
          </w:tcPr>
          <w:p w14:paraId="4B7FFB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693" w:type="dxa"/>
          </w:tcPr>
          <w:p w14:paraId="07D86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692" w:type="dxa"/>
          </w:tcPr>
          <w:p w14:paraId="138ED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693" w:type="dxa"/>
          </w:tcPr>
          <w:p w14:paraId="69EAE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693" w:type="dxa"/>
          </w:tcPr>
          <w:p w14:paraId="74B85B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693" w:type="dxa"/>
          </w:tcPr>
          <w:p w14:paraId="5FAC41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692" w:type="dxa"/>
          </w:tcPr>
          <w:p w14:paraId="6E629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20845</w:t>
            </w:r>
          </w:p>
        </w:tc>
      </w:tr>
    </w:tbl>
    <w:p w14:paraId="3052063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71 машины одна машина во время испытания (лето 1941 года) была подбита в воздухе и сгорела.</w:t>
      </w:r>
    </w:p>
    <w:p w14:paraId="55C41E8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данным ППО выпуск самолетов числится 1510 (9730).</w:t>
      </w:r>
    </w:p>
    <w:p w14:paraId="5FD3F8A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1F64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на пленуме Техсовета ГУАП был утвержден проект специалистов Гипроавиапрома по строительству в Казани «самолетостроительного завода с выпуском машин типа АНТ-4/АНТ-6, моторного завода с выпуском двигателей типа «Кертисс-Конкверор», теплоэлектроцентрали ТЭЦ-2, водозабора, двух вспомогательных заводов по производству самолетных лыж и запасных частей к изделиям, поселка Соцгород на 350 тысяч человек» (здесь и далее в цитатах в основном сохраняется стиль и орфография документов - авт.). Выгодность расположения будущего промышленного гиганта была очевидна. Рядом проходили магистральные железнодорожные и водные пути. Предполагалось построить пятнадцать основных цехов.</w:t>
      </w:r>
    </w:p>
    <w:p w14:paraId="3FDAF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сумма стоимости комбината оценивалась в 300 млн. рублей, что равнялось затратам на сооружение Магнитогорского гиганта, и вдвое превышала бюджет Горьковского автозавода. Предполагалось, что работников авиазаводов будет в два раза больше, чем жителей во всей Казани.</w:t>
      </w:r>
    </w:p>
    <w:p w14:paraId="4EA64B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апреля в приказе НКТП, подписанном наркомом Серго Орджоникидзе, говорится об организации специального строительного треста для производства строительных и монтажных работ по сооружению авиакомбината № 124. Начальником «Казавиастроя» назначается Кузнецов Кузьма Дмитриевич, бывший до этого партийным работником на Горьковском автозаводе. Первым директором завода назначили тов. Ситникова. Инициалы его, к сожалению, в доступных документах не сохранились.</w:t>
      </w:r>
    </w:p>
    <w:p w14:paraId="5CBBD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только ни называли тогдашнюю «Стройку века» - Казавиастрой, Казавиакомбинат, Казмашстрой, Казмашстройкомбинат... Трудности, с которыми пришлось столкнуться первому руководству завода, явились естественным результатом ударных темпов подготовки к строительству. Отсутствовали проекты и сметы, не было строительных механизмов, не хватало воды и электричества. Дефицитные материалы, такие, как железо, гвозди, кровельный материал, трубы и многое другое, обеспечивались в первую очередь за счет внеплановой заготовки стройматериалов.</w:t>
      </w:r>
    </w:p>
    <w:p w14:paraId="2C795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Вот вам и плановое строительство! Принимаются решения и постановления, а реального ничего нет, кроме «голого» энтузиазма населения в период насильственной коллективизации и надвигающегося Великого голода. По воспоминаниям Маршева Н.Д., заместителя начальника строительства, секретарь Татарского обкома партии Разумов М.И. так и отвечал Иосифу Виссарионовичу в разговоре по поводу авиакомбината:</w:t>
      </w:r>
    </w:p>
    <w:p w14:paraId="4659A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Вы хотите, товарищ Разумов, строить у себя авиазавод?</w:t>
      </w:r>
    </w:p>
    <w:p w14:paraId="77E93C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Да, хотим, товарищ Сталин.</w:t>
      </w:r>
    </w:p>
    <w:p w14:paraId="49B94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всё ли у вас, в Татарии, для этого есть? Как, например, обстоят дела с кадрами строителей?</w:t>
      </w:r>
    </w:p>
    <w:p w14:paraId="650A0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Таких кадров пока нет.</w:t>
      </w:r>
    </w:p>
    <w:p w14:paraId="4DE829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дорожная сеть у вас хорошо развита?</w:t>
      </w:r>
    </w:p>
    <w:p w14:paraId="5E821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дорогами плоховато, товарищ Сталин.</w:t>
      </w:r>
    </w:p>
    <w:p w14:paraId="40D49C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на счет строительного материала как?</w:t>
      </w:r>
    </w:p>
    <w:p w14:paraId="37726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Это у нас найдется, надо только руки приложить.</w:t>
      </w:r>
    </w:p>
    <w:p w14:paraId="3ADD9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как с жильем?</w:t>
      </w:r>
    </w:p>
    <w:p w14:paraId="61E51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Плохо.</w:t>
      </w:r>
    </w:p>
    <w:p w14:paraId="2D0E5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с электроэнергией? Ведь у вас на всю Казань имеется только одна электростанция на Булаке, мощность которой составляет всего лишь 5 тысяч киловатт.</w:t>
      </w:r>
    </w:p>
    <w:p w14:paraId="19599D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Правильно, товарищ Сталин, тут дела пока тоже плохи, но мы заложили в 1929 году. ТЭЦ-1, которая должна вскоре вступить в строй.</w:t>
      </w:r>
    </w:p>
    <w:p w14:paraId="1E0D56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 с водой, вероятно, плохо?</w:t>
      </w:r>
    </w:p>
    <w:p w14:paraId="00B019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Плохо.</w:t>
      </w:r>
    </w:p>
    <w:p w14:paraId="7EDF4C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 наконец, есть ли у вас какой-либо опыт больших новостроек?</w:t>
      </w:r>
    </w:p>
    <w:p w14:paraId="577B1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Нет ? отвечал Разумов.</w:t>
      </w:r>
    </w:p>
    <w:p w14:paraId="27FD2D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Так что же у вас, в конце концов, есть для того, чтобы осуществить такую грандиозную стройку?</w:t>
      </w:r>
    </w:p>
    <w:p w14:paraId="36C58D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У нас, товарищ Сталин, есть совесть и честь татарского народа и на это мы очень и очень рассчитываем. Отправляясь к Вам, меня просили передать, что народ Татарии гордится доверием партии и правительства и ничего не пожалеет для того, чтобы на полях Республики воздвигнуть авиационный комбинат.</w:t>
      </w:r>
    </w:p>
    <w:p w14:paraId="53CED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Ну что ж, тогда давайте, стройте... - сказал мудрый вождь.</w:t>
      </w:r>
    </w:p>
    <w:p w14:paraId="42710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праздничный день 2 мая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06329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w:t>
      </w:r>
      <w:r w:rsidRPr="00E93F40">
        <w:rPr>
          <w:rFonts w:ascii="Times New Roman" w:hAnsi="Times New Roman"/>
          <w:color w:val="000000" w:themeColor="text1"/>
          <w:sz w:val="16"/>
          <w:szCs w:val="16"/>
        </w:rPr>
        <w:lastRenderedPageBreak/>
        <w:t>-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5DFEF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18F0C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6961B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646FA1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299D94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1D5E6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4ADD89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2FE3F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579DF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62C54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C7B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чертежно-конструкторский отдел завода перевели из Москвы в Нижний Новгород, а в августе чертежно-конструкторский отдел возглавил инженер Ю.Т. Шаталов. В течение 1932 - 1933 гола сформировался работоспособный коллектив, который состоял к началу 1933-го из 21 конструктора и чертежника. Завод № 21, по сути, стал первым в системе авиапромышленности, узко специализирующимся на выпуске самолетов определенного назначения, а именно истребителей. Первым самолетом, запущенным на заводе в производство, стал истребитель И-5 конструкции Н. Н. Поликарпова, который строился серийно в 1932-1934 годах. В процессе производства истребителя обязанностями завода стали выполнение конструктивных доработок, модернизация самолета и подготовка производства новых типов машин. За три года предприятие выпустило 661 самолет И-5, что составило 82,3% от общего количества выпущенных в стране истребителей этого типа. Группа заводских конструкторов при участии И.Ф. Флорова и А.А. Боровкова в 1935 году создала двухместный вариант И-5, получивший обозначение УТИ-1. Изготовление самолета велось пол руководством Б. В. Куприянова. С первых же дней существования предприятия для использования промышленных отходов организовали производство ширпотреба и мирной продукции. Это былии примусные ключи, механические рубанки, табуреты и другие товары. В 1933 голу коллектив чертежно-конструкторского отдела получил первый опыт выполнения крупных конструкторских работ в процессе переделки скоростного пассажирского самолета ХАИ-1, разработанного под руководством профессора И. Г. Немана, в военный вариант ХАИ-1 ВВ. Фактически конструкторы завода стали соавторами харьковского КБ в создании этой машины. Весной 1934 года по распоряжению наркомата документацию, оснастку, задел деталей и агрегатов на шесть ХАИ-1 ВВ передали на Киевский авиазавод. Хотя данный самолет серийно в Горьком не строился, однако приобретенный конструкторами опыт использовали при доработке и модификациях истребителя И-16, освоение которого началось в апреле 1934 года (11651).</w:t>
      </w:r>
    </w:p>
    <w:p w14:paraId="3D4DEA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C67DFE"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апреле 1932 году Конструкторский отдел при НИИ ВВС был реорганизо</w:t>
      </w:r>
      <w:r w:rsidRPr="00142305">
        <w:rPr>
          <w:rStyle w:val="aff"/>
          <w:rFonts w:ascii="Times New Roman" w:hAnsi="Times New Roman" w:cs="Times New Roman"/>
          <w:color w:val="0070C0"/>
          <w:spacing w:val="0"/>
          <w:sz w:val="16"/>
          <w:szCs w:val="16"/>
        </w:rPr>
        <w:softHyphen/>
        <w:t>ван в Особое конструк</w:t>
      </w:r>
      <w:r w:rsidRPr="00142305">
        <w:rPr>
          <w:rStyle w:val="aff"/>
          <w:rFonts w:ascii="Times New Roman" w:hAnsi="Times New Roman" w:cs="Times New Roman"/>
          <w:color w:val="0070C0"/>
          <w:spacing w:val="0"/>
          <w:sz w:val="16"/>
          <w:szCs w:val="16"/>
        </w:rPr>
        <w:softHyphen/>
        <w:t>торское бюро, а затем в Экспериментальный Институт. До конца 1930-х годов эту органи</w:t>
      </w:r>
      <w:r w:rsidRPr="00142305">
        <w:rPr>
          <w:rStyle w:val="aff"/>
          <w:rFonts w:ascii="Times New Roman" w:hAnsi="Times New Roman" w:cs="Times New Roman"/>
          <w:color w:val="0070C0"/>
          <w:spacing w:val="0"/>
          <w:sz w:val="16"/>
          <w:szCs w:val="16"/>
        </w:rPr>
        <w:softHyphen/>
        <w:t>зацию возглавлял П.И. Гроховский. Основной задачей его коллектива были разработки для воздушно-десантных войск. Однако наряду с парашютной техникой и оборудованием для доставки грузов и личного состава по воздуху, там занимались и созданием оригинальных видов вооружения. В частности, Гроховский предложил несколько вариантов десантируемых аэросаней. Тщательных расчетов он при этом не делал, ограничиваясь формулировкой общей концепции или рисунками (25664).</w:t>
      </w:r>
    </w:p>
    <w:p w14:paraId="78DC3F54" w14:textId="77777777" w:rsidR="007D5E72" w:rsidRPr="00142305" w:rsidRDefault="007D5E72" w:rsidP="007D5E72">
      <w:pPr>
        <w:spacing w:after="0" w:line="240" w:lineRule="auto"/>
        <w:jc w:val="both"/>
        <w:rPr>
          <w:rFonts w:ascii="Times New Roman" w:hAnsi="Times New Roman"/>
          <w:color w:val="0070C0"/>
          <w:sz w:val="16"/>
          <w:szCs w:val="16"/>
        </w:rPr>
      </w:pPr>
    </w:p>
    <w:p w14:paraId="3476735A"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года с одобрения начальника Главного управления Гражданского воздушного флота (ГУ ГВФ), более известного как «Аэрофлот», А. Гольцмана и его заместителя Я.Я. Анвельта, Р.Бартини, в августе 1930 уволенный из ЦКБ, был направлен в проектный отдел СНИИ ГВФ (Самолетостроительный научно-исследовательский институт Гражданского воздушного флота) (25168).</w:t>
      </w:r>
    </w:p>
    <w:p w14:paraId="3F3404A9" w14:textId="77777777" w:rsidR="007D5E72" w:rsidRPr="00142305" w:rsidRDefault="007D5E72" w:rsidP="007D5E72">
      <w:pPr>
        <w:spacing w:after="0" w:line="240" w:lineRule="auto"/>
        <w:jc w:val="both"/>
        <w:rPr>
          <w:rFonts w:ascii="Times New Roman" w:hAnsi="Times New Roman"/>
          <w:color w:val="0070C0"/>
          <w:sz w:val="16"/>
          <w:szCs w:val="16"/>
        </w:rPr>
      </w:pPr>
    </w:p>
    <w:p w14:paraId="712B15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Надашкевичу и Курчевскому дали задание разработать схему размещения динамореактивных пушек на консолях крыла и в хвостовой части ТБ-3. Из сохранившихся документов не ясно, имелась в виду неподвижная или подвижная установка. А вот в отчете НИИ ВВС за первое полугодие 1934 г. довольно подробно описана "полуподвижная" (с ограниченными углами перемещения) установка с батареей из шести автоматических динамореактивных пушек АП К-4. Интересно, что в проекте предусматривалось автоматическое управление поворотом всех стволов от центральной системы управления огнем, как на корабле. Альтернативно предлагался комплект из девяти 20-мм обычных автоматических пушек с той же системой управления огнем "Гром". Но в том же году работу приостановили из-за проблем с финансированием. Позже упор сделали не на динамореактивные, а на классические нарезные пушки. При том же калибре они имели в полтора раза более тяжелый снаряд, выигрывали в начальной скорости, а стало быть, в дальности и точности стрельбы. Минусом являлась отдача, сотрясавшая конструкцию самолета. Поэтому носителем их выбрали большой и тяжелый ТБ-3. Под руководством П.И. Гроховского бомбардировщик Туполева оснастили пушками весьма приличного калибра (12036).</w:t>
      </w:r>
    </w:p>
    <w:p w14:paraId="1CDD5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AA77E7"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года А.В. Надашкевичу и Л.В. Курчевскому предложили разработать установки динамореактивных (безоткатных) пушек на крыльях и в хвостовой части бомбардировщика ТБ-3. Неизвестно, создали ли такой проект. Более реалистичным вы</w:t>
      </w:r>
      <w:r w:rsidRPr="00142305">
        <w:rPr>
          <w:rFonts w:ascii="Times New Roman" w:hAnsi="Times New Roman"/>
          <w:color w:val="0070C0"/>
          <w:sz w:val="16"/>
          <w:szCs w:val="16"/>
        </w:rPr>
        <w:softHyphen/>
        <w:t>глядело применение на ТБ-3 швейцарских 20-мм автоматических пушек «Эрликон». Работы по размещению их в носовой части самолета велись с 1933 г. (24937).</w:t>
      </w:r>
    </w:p>
    <w:p w14:paraId="49C6C830" w14:textId="77777777" w:rsidR="007D5E72" w:rsidRPr="00142305" w:rsidRDefault="007D5E72" w:rsidP="007D5E72">
      <w:pPr>
        <w:spacing w:after="0" w:line="240" w:lineRule="auto"/>
        <w:jc w:val="both"/>
        <w:rPr>
          <w:rFonts w:ascii="Times New Roman" w:hAnsi="Times New Roman"/>
          <w:color w:val="0070C0"/>
          <w:sz w:val="16"/>
          <w:szCs w:val="16"/>
        </w:rPr>
      </w:pPr>
    </w:p>
    <w:p w14:paraId="69FAA93C"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 Надашкевичу и Курчевскому дали зада</w:t>
      </w:r>
      <w:r w:rsidRPr="00142305">
        <w:rPr>
          <w:rFonts w:ascii="Times New Roman" w:hAnsi="Times New Roman"/>
          <w:color w:val="0070C0"/>
          <w:sz w:val="16"/>
          <w:szCs w:val="16"/>
        </w:rPr>
        <w:softHyphen/>
        <w:t>ние разработать схему размещения динамореактивных пу</w:t>
      </w:r>
      <w:r w:rsidRPr="00142305">
        <w:rPr>
          <w:rFonts w:ascii="Times New Roman" w:hAnsi="Times New Roman"/>
          <w:color w:val="0070C0"/>
          <w:sz w:val="16"/>
          <w:szCs w:val="16"/>
        </w:rPr>
        <w:softHyphen/>
        <w:t>шек на консолях крыла и в хвостовой части ТБ-3. Из сохра</w:t>
      </w:r>
      <w:r w:rsidRPr="00142305">
        <w:rPr>
          <w:rFonts w:ascii="Times New Roman" w:hAnsi="Times New Roman"/>
          <w:color w:val="0070C0"/>
          <w:sz w:val="16"/>
          <w:szCs w:val="16"/>
        </w:rPr>
        <w:softHyphen/>
        <w:t>нившихся документов не ясно, имелась в виду неподвижная или подвижная установка. А вот в отчете НИИ ВВС за пер</w:t>
      </w:r>
      <w:r w:rsidRPr="00142305">
        <w:rPr>
          <w:rFonts w:ascii="Times New Roman" w:hAnsi="Times New Roman"/>
          <w:color w:val="0070C0"/>
          <w:sz w:val="16"/>
          <w:szCs w:val="16"/>
        </w:rPr>
        <w:softHyphen/>
        <w:t>вое полугодие 1934 г. довольно подробно описана «полуподвнжная» (с ограниченными углами перемещения) установ</w:t>
      </w:r>
      <w:r w:rsidRPr="00142305">
        <w:rPr>
          <w:rFonts w:ascii="Times New Roman" w:hAnsi="Times New Roman"/>
          <w:color w:val="0070C0"/>
          <w:sz w:val="16"/>
          <w:szCs w:val="16"/>
        </w:rPr>
        <w:softHyphen/>
        <w:t>ка с батареей из шести автоматических динамореактивных пушекАПК-4. Интересно, что в проекте предусматривалось автоматическое управление поворотом всех стволов от цен</w:t>
      </w:r>
      <w:r w:rsidRPr="00142305">
        <w:rPr>
          <w:rFonts w:ascii="Times New Roman" w:hAnsi="Times New Roman"/>
          <w:color w:val="0070C0"/>
          <w:sz w:val="16"/>
          <w:szCs w:val="16"/>
        </w:rPr>
        <w:softHyphen/>
        <w:t>тральной системы управления огнем, как на корабле. Аль</w:t>
      </w:r>
      <w:r w:rsidRPr="00142305">
        <w:rPr>
          <w:rFonts w:ascii="Times New Roman" w:hAnsi="Times New Roman"/>
          <w:color w:val="0070C0"/>
          <w:sz w:val="16"/>
          <w:szCs w:val="16"/>
        </w:rPr>
        <w:softHyphen/>
        <w:t>тернативно предлагался комплект из девяти 20-мм обыч</w:t>
      </w:r>
      <w:r w:rsidRPr="00142305">
        <w:rPr>
          <w:rFonts w:ascii="Times New Roman" w:hAnsi="Times New Roman"/>
          <w:color w:val="0070C0"/>
          <w:sz w:val="16"/>
          <w:szCs w:val="16"/>
        </w:rPr>
        <w:softHyphen/>
        <w:t xml:space="preserve">ных автоматических пушек с той же системой управления огнем «Гром». Но </w:t>
      </w:r>
      <w:r w:rsidRPr="00142305">
        <w:rPr>
          <w:rFonts w:ascii="Times New Roman" w:hAnsi="Times New Roman"/>
          <w:smallCaps/>
          <w:color w:val="0070C0"/>
          <w:sz w:val="16"/>
          <w:szCs w:val="16"/>
        </w:rPr>
        <w:t>в</w:t>
      </w:r>
      <w:r w:rsidRPr="00142305">
        <w:rPr>
          <w:rFonts w:ascii="Times New Roman" w:hAnsi="Times New Roman"/>
          <w:color w:val="0070C0"/>
          <w:sz w:val="16"/>
          <w:szCs w:val="16"/>
        </w:rPr>
        <w:t xml:space="preserve"> том же году работу приостановили из-за проблем с финансированием.</w:t>
      </w:r>
    </w:p>
    <w:p w14:paraId="503B4DCB" w14:textId="77777777" w:rsidR="007D5E72" w:rsidRPr="00142305" w:rsidRDefault="007D5E72" w:rsidP="007D5E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Позже упор сделали не на динамореактивные, а на клас</w:t>
      </w:r>
      <w:r w:rsidRPr="00142305">
        <w:rPr>
          <w:rFonts w:ascii="Times New Roman" w:hAnsi="Times New Roman"/>
          <w:color w:val="0070C0"/>
          <w:sz w:val="16"/>
          <w:szCs w:val="16"/>
        </w:rPr>
        <w:softHyphen/>
        <w:t>сические нарезные пушки. При том же калибре они имели в полтора раза более тяжелый снарад, выигрывали в началь</w:t>
      </w:r>
      <w:r w:rsidRPr="00142305">
        <w:rPr>
          <w:rFonts w:ascii="Times New Roman" w:hAnsi="Times New Roman"/>
          <w:color w:val="0070C0"/>
          <w:sz w:val="16"/>
          <w:szCs w:val="16"/>
        </w:rPr>
        <w:softHyphen/>
        <w:t>ной скорости, а стало быть, в дальности и точности стрель</w:t>
      </w:r>
      <w:r w:rsidRPr="00142305">
        <w:rPr>
          <w:rFonts w:ascii="Times New Roman" w:hAnsi="Times New Roman"/>
          <w:color w:val="0070C0"/>
          <w:sz w:val="16"/>
          <w:szCs w:val="16"/>
        </w:rPr>
        <w:softHyphen/>
        <w:t>бы. Минусом являлась отдача, сотрясавшая конструкцию самолета. Поэтому носителем их выбрали большой и тяже</w:t>
      </w:r>
      <w:r w:rsidRPr="00142305">
        <w:rPr>
          <w:rFonts w:ascii="Times New Roman" w:hAnsi="Times New Roman"/>
          <w:color w:val="0070C0"/>
          <w:sz w:val="16"/>
          <w:szCs w:val="16"/>
        </w:rPr>
        <w:softHyphen/>
        <w:t>лый ТБ-3. Под руководством П.И. Гроховского бомбарди</w:t>
      </w:r>
      <w:r w:rsidRPr="00142305">
        <w:rPr>
          <w:rFonts w:ascii="Times New Roman" w:hAnsi="Times New Roman"/>
          <w:color w:val="0070C0"/>
          <w:sz w:val="16"/>
          <w:szCs w:val="16"/>
        </w:rPr>
        <w:softHyphen/>
        <w:t>ровщик Туполева оснастили пушками весьма приличного калибра (24977(.</w:t>
      </w:r>
    </w:p>
    <w:p w14:paraId="0E244D46" w14:textId="77777777" w:rsidR="007D5E72" w:rsidRPr="00142305" w:rsidRDefault="007D5E72" w:rsidP="007D5E72">
      <w:pPr>
        <w:spacing w:after="0" w:line="240" w:lineRule="auto"/>
        <w:jc w:val="both"/>
        <w:rPr>
          <w:rFonts w:ascii="Times New Roman" w:hAnsi="Times New Roman"/>
          <w:color w:val="0070C0"/>
          <w:sz w:val="16"/>
          <w:szCs w:val="16"/>
        </w:rPr>
      </w:pPr>
    </w:p>
    <w:p w14:paraId="7165A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апреле 1932 совершили первый полет дирижабли СССР В-2 "Смольный" и СССР В-3 "Красная звезда" (61,179).</w:t>
      </w:r>
    </w:p>
    <w:p w14:paraId="64EB8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0BA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"Дирижаблестрой" получил территорию Центральной воздухоплавательной базы Осоавиахима в Долгопрудном (61,65). Построили эллинг, аэродром, завод и это заменило аналогичные мощности на Волковом поле в Ленинграде.</w:t>
      </w:r>
    </w:p>
    <w:p w14:paraId="4992E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F6F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Дирижаблестрою была также передана территория Центральной воздухоплавательной базы Осоавиахима в районе станции Долгопрудная, на которой сразу же началось интенсивное строительство объектов, связанных с производством и эксплуатацией дирижаблей — эллинга, аэродрома, завода и т. п. Создание базы в Долгопрудном было жизненно необходимо, ибо существовала нелепая ситуация. Основной центр проектирования и строительства дирижаблей находился в Москве, а эллинг и команда наземного обслуживания располагались (так сложилось исторически) в Ленинграде на Волковом поле. Именно поэтому первые полеты советских дирижаблей, созданных в Москве, совершались в небе Ленинграда (10731).</w:t>
      </w:r>
    </w:p>
    <w:p w14:paraId="31A5DF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7ABE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Надашкевичу и Курчевскому предложили разработать установки динамореактивных (безоткатных) пушек на крыльях и в хвостовой части бомбардировщика. Неизвестно, был ли создан такой проект. Более реалистичным выглядело применение на ТБ-3 швейцарских 20-мм автоматических пушек «Эрликон». Работы по размещению их в носовой части самолета велись с 1933 г. (8887).</w:t>
      </w:r>
    </w:p>
    <w:p w14:paraId="56FC97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5ECC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в московском ГИРДе создается НИ центр, где модель ВРД испытывали в 76 мм снаряде (352,18).</w:t>
      </w:r>
    </w:p>
    <w:p w14:paraId="56CCA8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75A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Б.С. Петропавловский представил проект структуры Газодинамического НИИ на базе ГДЛ (после решения о создании РНИИ на базе ГДЛ и ГИРД на совещании у М.Н. Тухачевского 3 марта 1932 г.) (Там же, № 243, л. 1) (10676).</w:t>
      </w:r>
    </w:p>
    <w:p w14:paraId="2FA8F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C826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М.Н. Тухачевский в письме В.М. Молотову объясняет преимущества ракетных двигателей: "В области авиации применение жидкостного реактивного мотора (...) в конечном итоге разрешит задачу полетов в стратосфере. Генеральные штабы за границей прекрасно учитывают эти перспективы (...) засекречивая малейшие достижения в этой области для использования их по военной линии" (Там же, л. 7) (10676).</w:t>
      </w:r>
    </w:p>
    <w:p w14:paraId="197C8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2056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принято решение о создании Опытного ракетного завода ЦГИРДа. Вначале (в 1933 г. была там) группа располагалась в Москве, в подвале дома № 19 по ул. Садово-Спасской, вместе с ЦКБ по планерам Осоавиахима, которое возглавлял Антонов. В 1932 г. в ГИРД организовано 4 бригады, занимавшиеся разработкой: 1) жидкостных двигателей для ракетоплана; 2) жидкостных баллистических ракет; 3) ПВРД, газодинамических испытательных установок; 4) ракетопланов и крылатых ракет. Начальником ЦГИРДа и Оытного завода был С.П. Королев. Здесь также работали Б.И. Черановский, В.П. Ветчинкин, Н.К. Федоренков, И.П. Фортиков.</w:t>
      </w:r>
    </w:p>
    <w:p w14:paraId="48B564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Бригада № 1 по ЖРД создана из группы, перешедшей из ИАМ. Руководитель (-28.03.1933 г.)- Ф.А. Цандер (умер), (1933 г.-)- Л.К. Корнеев. Работали: А.И. Полярный, Л.С. Душкин, Э.П. Шептицкий. Созданы двигатели: ОР-2; ракеты: ГИРД-Х (1933 г.), КПД-1 (1934 г.). Затем на базе бригады создано КБ-7 РНИИ.</w:t>
      </w:r>
    </w:p>
    <w:p w14:paraId="71E67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Бригада № 2 жидкостных баллистических ракет. Руководитель- М.К. Тихонравов. Работали: В.А. Андреев, В.Н. Галковский, Н.И. Ефремов, В.С. Зуев, З.И. Круглова, О.К. Паровина, Е.И. Снегирева, Н.И. Шульгина, Ф.Л. Якайтис.Разработаы: двигатель РДА-1; ракеты: «05» с ОРМ-50 (1933 г.), «07», «09» (запущена 17.08.1933 г.).</w:t>
      </w:r>
    </w:p>
    <w:p w14:paraId="30E57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Бригада № 3 по ПВРД. Руководитель- Ю.А. Победоносцев. Работали: Л. Э. Брюкер, М.С. Кисенко, И.А. Меркулов, О.С. Оганесов, А.Б. Рязанкин, Г.В. Шибалов. Созданы: установка ИУ-1, экспериментальная камера сгорания ЭК-3 для испытаний ПВРД (1933 г.).</w:t>
      </w:r>
    </w:p>
    <w:p w14:paraId="6E0B8E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Бригада № 4 по КР. Руководитель (1932 г.-)- С.П. Королев, Н.А. Железняков, А.В. Чесалов, Е.С. Щетинков. Создан ракетоплан РП-1 (планер БИЧ-11 с двигателем ОР-2). </w:t>
      </w:r>
    </w:p>
    <w:p w14:paraId="4C69C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Существовала также Ленинградская группа- ЛенГИРД, созданная 13.11.1931 г., одним из организаторов которой был Н.А. Рынин.84 </w:t>
      </w:r>
    </w:p>
    <w:p w14:paraId="1189E7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РВС № 113 от 21.09.1933 г. на базе ГИРД ОСОАВИАХИМ основан РНИИ РККА. Также на базе МосГИРД было организовано КБ-7, занимавшееся жидкостными баллистическими ракетами.</w:t>
      </w:r>
    </w:p>
    <w:p w14:paraId="72893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постановлению СТО № 104 от 31.10.1933 г. РНИИ с филиалом передан в НКТП. В 1934 г. в него вошла группа по РД из ГДЛ при Управлении военных изобретений (г. Ленинград) под руководством В.П. Глушко. Вначале находился на Лихачевском ш.</w:t>
      </w:r>
    </w:p>
    <w:p w14:paraId="163BE4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ЖРД, РДТТ, ПВРД, ракетам, газогенераторам торпед, порохам.</w:t>
      </w:r>
    </w:p>
    <w:p w14:paraId="12C7E5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составе РНИИ организован сектор (отдел) КР, которым руководили: А.И. Стеняев, С.П. Королев, В.И. Дудаков. Позже, в 1935-36 г. создана отдельная бригада КР с РДТТ. </w:t>
      </w:r>
    </w:p>
    <w:p w14:paraId="19C5C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Велись работы под руководством В.И. Дудакова по созданию стартовых ускорителей с РДТТ для самолетов: У-1 (1931 г.), ТБ-1 (1933 г.). Спроектирована и построена экспериментальная пороховая катапульта для запуска самолета с борта корабля (1935 г.).39</w:t>
      </w:r>
    </w:p>
    <w:p w14:paraId="5458E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1933-40 г. под руководством Б.С. Петропавловского создан ряд пороховых РС.</w:t>
      </w:r>
    </w:p>
    <w:p w14:paraId="71E05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1936 г. на базе ракеты «05» создана ракета «Авиавнито» с двигателем 12К (запущена 6.04.1936 г.). </w:t>
      </w:r>
    </w:p>
    <w:p w14:paraId="47728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Созданы и испытаны КР: «06/I» (Щетинков, 1934 г.), «06/III» («216») (1936 г.), «212» (Королев, 1939 г.).</w:t>
      </w:r>
    </w:p>
    <w:p w14:paraId="1098D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руководством М.П. Дрязгова созданы КР с РДТТ: «48» (1935 г.), экспериментальная зенитная «217» (1936 г.).</w:t>
      </w:r>
    </w:p>
    <w:p w14:paraId="518B8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71893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руководством С.А. Пивоварова создан гироскопический автомат ГПС-2 для КР «216».</w:t>
      </w:r>
    </w:p>
    <w:p w14:paraId="38747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19.05.1939 г.. испытана ракета Р-3 с ПВРД И.А. Меркулова.59 </w:t>
      </w:r>
    </w:p>
    <w:p w14:paraId="66840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2.01.1937 г. институт передан в НКОП и преобразован в НИИ-3 НКОП. В 1941 г.- в ведении НКБ.</w:t>
      </w:r>
    </w:p>
    <w:p w14:paraId="715D4E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Палло).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23A16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20-х числах октября 1941 г. институт эвакуирован в Свердловск.</w:t>
      </w:r>
    </w:p>
    <w:p w14:paraId="027C5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78223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 самолет «302П» (Ко-3) с ЖРД Душкина (гл. конструктор- Костиков, первый полет в 10.1943 г.).</w:t>
      </w:r>
    </w:p>
    <w:p w14:paraId="53C91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 </w:t>
      </w:r>
    </w:p>
    <w:p w14:paraId="65460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4A8B24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57134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19405D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555961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1947 г. Келдышем разработан проект ракетного самолета с 2-мя ПВРД и ЖРД.</w:t>
      </w:r>
    </w:p>
    <w:p w14:paraId="610B86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1226EC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7A430C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793BBB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1954 г. создана лаборатория № 6 (руководитель- К.П. Осминин) по динамике КР.</w:t>
      </w:r>
    </w:p>
    <w:p w14:paraId="039F27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1950-е г. построена стендовая испытательная база в Тураево.</w:t>
      </w:r>
    </w:p>
    <w:p w14:paraId="0BB341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76D2D9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11EDE3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6E445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4E3B35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507B0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1BA3EA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7A5B99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Принимал участие в программе создания ОК «Буран». </w:t>
      </w:r>
    </w:p>
    <w:p w14:paraId="271A36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1970-80-е г.- научное обеспечение создания РДТТ для БРК.</w:t>
      </w:r>
    </w:p>
    <w:p w14:paraId="33A5E9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7F019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7BDE1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12065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182F7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6FB52B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1460F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Научный руководитель (1948-61 г.)- академик М.В. Келдыш.</w:t>
      </w:r>
    </w:p>
    <w:p w14:paraId="67CC49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23199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(1940-41 г.)- А.Г. Костиков. Начальник КБ (1943 г.-)- А.Я. Березняк.</w:t>
      </w:r>
    </w:p>
    <w:p w14:paraId="28006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333EA8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05CE9A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61FBDE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125438 г. Москва, ул. Онежская, 8/10 тел. 456-46-08, 456-87-56 www.kerc.msk.ru (10776).</w:t>
      </w:r>
    </w:p>
    <w:p w14:paraId="169C26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КБ-7 РНИИ</w:t>
      </w:r>
    </w:p>
    <w:p w14:paraId="7F8DB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в 1935 г. на базе бригады ЖРД ГИРДа. Работы по жидкостным ракетам.</w:t>
      </w:r>
    </w:p>
    <w:p w14:paraId="79FF1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4A8BE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(1935 г.)- Л.К. Корнеев.</w:t>
      </w:r>
    </w:p>
    <w:p w14:paraId="7449F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(08.1935 г.)- А.И. Полярный.</w:t>
      </w:r>
    </w:p>
    <w:p w14:paraId="55A79F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1A9F6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717CF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Филиал № 1 НИИ-1</w:t>
      </w:r>
    </w:p>
    <w:p w14:paraId="635B7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Химки Московской обл./</w:t>
      </w:r>
    </w:p>
    <w:p w14:paraId="4715A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24DBEC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241E5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филиала (01.1946 г.)- Нейман.</w:t>
      </w:r>
    </w:p>
    <w:p w14:paraId="3B653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КБ филиала (06.1946 г.)- А.Я. Березняк.</w:t>
      </w:r>
    </w:p>
    <w:p w14:paraId="34D17F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Филиал № 2 НИИ-1</w:t>
      </w:r>
    </w:p>
    <w:p w14:paraId="641B5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Москва Ново-Владыкино/</w:t>
      </w:r>
    </w:p>
    <w:p w14:paraId="090CA6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455CA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0F612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1CAB5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7371BD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филиала (1944-46 г.)- Ю.А. Победоносцев.</w:t>
      </w:r>
    </w:p>
    <w:p w14:paraId="6D7F7B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гл. инженер (1944 г.)- Н.В. Климовицкий.</w:t>
      </w:r>
    </w:p>
    <w:p w14:paraId="4EC1A4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КБ-1, ОКБ-1 при НИИ-1 МАП гл. конструктора Л.С. Душкина</w:t>
      </w:r>
    </w:p>
    <w:p w14:paraId="75D5D8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27F0FD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63354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Проводились работы по ускорителю самолета С-155 и ускорителю для Е-50.</w:t>
      </w:r>
    </w:p>
    <w:p w14:paraId="0EB46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Душкин до 04.1946 г.- начальник отдела № 13 НИИ-1. В 04.1946 г.- гл. конструктор КБ-1 при НИИ-1.</w:t>
      </w:r>
    </w:p>
    <w:p w14:paraId="3AC40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1949 г. ОКБ-1 входило в состав ЦИАМ (вместе с НИИ-1).</w:t>
      </w:r>
    </w:p>
    <w:p w14:paraId="0E2357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7CF37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Работали: (1949 г.)- Преображенский, Чурков.</w:t>
      </w:r>
    </w:p>
    <w:p w14:paraId="232A13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203BB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КБ-2 при НИИ-1 МАП гл. конструктора М.М. Бондарюка</w:t>
      </w:r>
    </w:p>
    <w:p w14:paraId="2DCF56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06415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12C4F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(08.1947-10.1950 г.)- М.М. Бондарюк.</w:t>
      </w:r>
    </w:p>
    <w:p w14:paraId="29D82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конструктора – Г.А. Варшавский.</w:t>
      </w:r>
    </w:p>
    <w:p w14:paraId="64C79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5787B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0BC3B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КБ-3 при НИИ-1 МАП гл. конструктора Г.Я. Диллона</w:t>
      </w:r>
    </w:p>
    <w:p w14:paraId="6F1BD9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Также- это отдел вооружения № 52 НИИ-1.</w:t>
      </w:r>
    </w:p>
    <w:p w14:paraId="1A6748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07627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1944 г. Диллон работал в филиале № 2 НИИ-1 по РС.</w:t>
      </w:r>
    </w:p>
    <w:p w14:paraId="6814D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0308B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01935D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СКБ НИИ-1 МАП гл. конструктора А.М. Люльки</w:t>
      </w:r>
    </w:p>
    <w:p w14:paraId="0D703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Москва Лихоборы/</w:t>
      </w:r>
    </w:p>
    <w:p w14:paraId="25104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7C0715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36DA75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(03.1944-03.1946 г.)- А.М. Люлька.</w:t>
      </w:r>
    </w:p>
    <w:p w14:paraId="75CE9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ОКО при НИИ-1 МАП </w:t>
      </w:r>
    </w:p>
    <w:p w14:paraId="11A2F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Химки, г. Москва/</w:t>
      </w:r>
    </w:p>
    <w:p w14:paraId="34E5C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6F3AB0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3986F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095E36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7E59E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59600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Филиал НИИ-1 МАП</w:t>
      </w:r>
    </w:p>
    <w:p w14:paraId="542A7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7B6CB3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143A7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210269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1962 г. в 4ГУ ГКАТ действовал филиал НИИ-1 (начальник- А.В. Ежов).</w:t>
      </w:r>
    </w:p>
    <w:p w14:paraId="74A5A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12BD5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/624790 г. Нижняя Салда Свердловской обл., ул. Строителей, 72 тел. (34345) 217-03/</w:t>
      </w:r>
    </w:p>
    <w:p w14:paraId="049EF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62B4B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496ADA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233F65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212A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филиала (1957-66 г.)- М.Г. Миронов.</w:t>
      </w:r>
    </w:p>
    <w:p w14:paraId="319AE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(1981 г.)- В.И. Чепак, (-2000-02 г.-)- Б.А. Некрасов.</w:t>
      </w:r>
    </w:p>
    <w:p w14:paraId="1FED3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(2002 г.)- Е.Г. Ларин.</w:t>
      </w:r>
    </w:p>
    <w:p w14:paraId="6A884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Зам. директора по НИР (2002 г.)- Е.Г. Ларин.69 </w:t>
      </w:r>
    </w:p>
    <w:p w14:paraId="093A8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24F7A6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«Пламя» при НИИТП МОМ, НПВО «Пламя» МОМ, ЗАО «ОКБ «Пламя»</w:t>
      </w:r>
    </w:p>
    <w:p w14:paraId="4BC08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353756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26F8F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397B64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Руководитель (1978-99 г.-)- И.Б. Леванов.</w:t>
      </w:r>
    </w:p>
    <w:p w14:paraId="4DC1A4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(1978-99 г.-)- И.Б. Леванов (10776).</w:t>
      </w:r>
    </w:p>
    <w:p w14:paraId="18DEC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07F301"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президиум ЦС ОСОВИАХИМ предоставил в распоряжение ГИРД постоянное помещение — половину под</w:t>
      </w:r>
      <w:r w:rsidRPr="00E93F40">
        <w:rPr>
          <w:rFonts w:ascii="Times New Roman" w:hAnsi="Times New Roman"/>
          <w:color w:val="000000" w:themeColor="text1"/>
          <w:sz w:val="16"/>
          <w:szCs w:val="16"/>
        </w:rPr>
        <w:softHyphen/>
        <w:t>вала дома № 19 (строение 2) по Садово-Черногрязской улице (за</w:t>
      </w:r>
      <w:r w:rsidRPr="00E93F40">
        <w:rPr>
          <w:rFonts w:ascii="Times New Roman" w:hAnsi="Times New Roman"/>
          <w:color w:val="000000" w:themeColor="text1"/>
          <w:sz w:val="16"/>
          <w:szCs w:val="16"/>
        </w:rPr>
        <w:softHyphen/>
        <w:t>тем улицу переименовали в Садово-Спасскую). В другой его по</w:t>
      </w:r>
      <w:r w:rsidRPr="00E93F40">
        <w:rPr>
          <w:rFonts w:ascii="Times New Roman" w:hAnsi="Times New Roman"/>
          <w:color w:val="000000" w:themeColor="text1"/>
          <w:sz w:val="16"/>
          <w:szCs w:val="16"/>
        </w:rPr>
        <w:softHyphen/>
        <w:t>ловине находилось ЦКБ ОСОВИАХИМ по планёрам, которое возглавлял Олег Антонов (1906-1984) (23550).</w:t>
      </w:r>
    </w:p>
    <w:p w14:paraId="07027716" w14:textId="77777777" w:rsidR="00E03902" w:rsidRPr="00E93F40" w:rsidRDefault="00E03902" w:rsidP="00E93F40">
      <w:pPr>
        <w:spacing w:after="0" w:line="240" w:lineRule="auto"/>
        <w:jc w:val="both"/>
        <w:rPr>
          <w:rFonts w:ascii="Times New Roman" w:hAnsi="Times New Roman"/>
          <w:color w:val="000000" w:themeColor="text1"/>
          <w:sz w:val="16"/>
          <w:szCs w:val="16"/>
        </w:rPr>
      </w:pPr>
    </w:p>
    <w:p w14:paraId="049F3514"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был создан опытный завод ГИРД. Под этим названием скрывалась механическая мастерская в небольшом помещении, плохо оснащенная и с плохим освещением. ГИРД разрешили проводить испытания своих аппаратов на полигоне инженерных войск возле посёлка Нахабино (23550).</w:t>
      </w:r>
    </w:p>
    <w:p w14:paraId="6AC3E893" w14:textId="77777777" w:rsidR="00E03902" w:rsidRPr="00E93F40" w:rsidRDefault="00E03902" w:rsidP="00E93F40">
      <w:pPr>
        <w:spacing w:after="0" w:line="240" w:lineRule="auto"/>
        <w:jc w:val="both"/>
        <w:rPr>
          <w:rFonts w:ascii="Times New Roman" w:hAnsi="Times New Roman"/>
          <w:color w:val="000000" w:themeColor="text1"/>
          <w:sz w:val="16"/>
          <w:szCs w:val="16"/>
        </w:rPr>
      </w:pPr>
    </w:p>
    <w:p w14:paraId="78BE44F6"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Цандер полностью перешел на работу в ГИРД. Здесь у него появились ученики и последователи, которых он воодушевил идеями создания крылатой ракеты (ракетоплана) и баллистической ракеты. Лидером тех, кто хотел строить ра</w:t>
      </w:r>
      <w:r w:rsidRPr="00E93F40">
        <w:rPr>
          <w:rFonts w:ascii="Times New Roman" w:hAnsi="Times New Roman"/>
          <w:color w:val="000000" w:themeColor="text1"/>
          <w:sz w:val="16"/>
          <w:szCs w:val="16"/>
        </w:rPr>
        <w:softHyphen/>
        <w:t>кетоплан, стал Сергей Королев (1906-1966), а тех, кто увлекся бескрылой ракетой — Михаил Тихонравов (1900-1974). В итоге появились ракеты 03, 05, 07, 09 и 10, позже — ракеты 013 и Авиа- ВНИТО.</w:t>
      </w:r>
    </w:p>
    <w:p w14:paraId="36689158"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Тихонравов до 1931 г. тоже был планеристом, как и Королев: по его проектам в 1923-1931 гг. построили 7 планёров. Все они успешно летали и ставили рекорды (23550).</w:t>
      </w:r>
    </w:p>
    <w:p w14:paraId="649CC019" w14:textId="77777777" w:rsidR="00E03902" w:rsidRPr="00E93F40" w:rsidRDefault="00E03902" w:rsidP="00E93F40">
      <w:pPr>
        <w:spacing w:after="0" w:line="240" w:lineRule="auto"/>
        <w:jc w:val="both"/>
        <w:rPr>
          <w:rFonts w:ascii="Times New Roman" w:hAnsi="Times New Roman"/>
          <w:color w:val="000000" w:themeColor="text1"/>
          <w:sz w:val="16"/>
          <w:szCs w:val="16"/>
        </w:rPr>
      </w:pPr>
    </w:p>
    <w:p w14:paraId="6C8264D5"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группа Александра Полярного (настоящая фамилия Грошенков; 1902-1991), который в 1931 г. участвовал в оргсобрании ГИРД и там встретился с Цандером, который привлёк его к работе в своей группе в ИАМ, где под руководством Цандера выполнял конструкторские работы и проводил опыты с дви</w:t>
      </w:r>
      <w:r w:rsidRPr="00E93F40">
        <w:rPr>
          <w:rFonts w:ascii="Times New Roman" w:hAnsi="Times New Roman"/>
          <w:color w:val="000000" w:themeColor="text1"/>
          <w:sz w:val="16"/>
          <w:szCs w:val="16"/>
        </w:rPr>
        <w:softHyphen/>
        <w:t xml:space="preserve">гателем </w:t>
      </w:r>
      <w:r w:rsidRPr="00E93F40">
        <w:rPr>
          <w:rFonts w:ascii="Times New Roman" w:hAnsi="Times New Roman"/>
          <w:color w:val="000000" w:themeColor="text1"/>
          <w:sz w:val="16"/>
          <w:szCs w:val="16"/>
        </w:rPr>
        <w:lastRenderedPageBreak/>
        <w:t>ОР-1, перешла в МосГИРД, где ее назвали бри</w:t>
      </w:r>
      <w:r w:rsidRPr="00E93F40">
        <w:rPr>
          <w:rFonts w:ascii="Times New Roman" w:hAnsi="Times New Roman"/>
          <w:color w:val="000000" w:themeColor="text1"/>
          <w:sz w:val="16"/>
          <w:szCs w:val="16"/>
        </w:rPr>
        <w:softHyphen/>
        <w:t>гадой № 1. Одним направлением работ бригады Цандера стало созда</w:t>
      </w:r>
      <w:r w:rsidRPr="00E93F40">
        <w:rPr>
          <w:rFonts w:ascii="Times New Roman" w:hAnsi="Times New Roman"/>
          <w:color w:val="000000" w:themeColor="text1"/>
          <w:sz w:val="16"/>
          <w:szCs w:val="16"/>
        </w:rPr>
        <w:softHyphen/>
        <w:t>ние двигателя ОР-2 на жидком топливе для ракетоплана РП-1. Другим — создание двигателя для ракеты ГИРД-10. После смерти Цандера началь</w:t>
      </w:r>
      <w:r w:rsidRPr="00E93F40">
        <w:rPr>
          <w:rFonts w:ascii="Times New Roman" w:hAnsi="Times New Roman"/>
          <w:color w:val="000000" w:themeColor="text1"/>
          <w:sz w:val="16"/>
          <w:szCs w:val="16"/>
        </w:rPr>
        <w:softHyphen/>
        <w:t>ником бригады № 1 назначили Л. К. Корнеева. Запуск ракеты ГИРД-10 состоялся 25 ноября 1933 г. Но еще в августе Корнеев, Полярный и ряд других членов бригады № 1 из-за конфликта с Королевым перешли в КБ № 7 (23550).</w:t>
      </w:r>
    </w:p>
    <w:p w14:paraId="616332D7" w14:textId="77777777" w:rsidR="00E03902" w:rsidRPr="00E93F40" w:rsidRDefault="00E03902" w:rsidP="00E93F40">
      <w:pPr>
        <w:spacing w:after="0" w:line="240" w:lineRule="auto"/>
        <w:jc w:val="both"/>
        <w:rPr>
          <w:rFonts w:ascii="Times New Roman" w:hAnsi="Times New Roman"/>
          <w:color w:val="000000" w:themeColor="text1"/>
          <w:sz w:val="16"/>
          <w:szCs w:val="16"/>
        </w:rPr>
      </w:pPr>
    </w:p>
    <w:p w14:paraId="35A25EDD"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началось официальное зачисление сотрудников в штат ГИР</w:t>
      </w:r>
      <w:r w:rsidRPr="00E93F40">
        <w:rPr>
          <w:rFonts w:ascii="Times New Roman" w:hAnsi="Times New Roman"/>
          <w:color w:val="000000" w:themeColor="text1"/>
          <w:sz w:val="16"/>
          <w:szCs w:val="16"/>
        </w:rPr>
        <w:softHyphen/>
        <w:t>Да. Организационное оформление как государственной организации произошло 1 мая 1932 года. В этот же день, 1 мая 1932 года, начальником ГИРДа был на</w:t>
      </w:r>
      <w:r w:rsidRPr="00E93F40">
        <w:rPr>
          <w:rFonts w:ascii="Times New Roman" w:hAnsi="Times New Roman"/>
          <w:color w:val="000000" w:themeColor="text1"/>
          <w:sz w:val="16"/>
          <w:szCs w:val="16"/>
        </w:rPr>
        <w:softHyphen/>
        <w:t xml:space="preserve">значен С.П.Королев. </w:t>
      </w:r>
    </w:p>
    <w:p w14:paraId="311E0852"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Расположилась группа в небольшом временном помеще</w:t>
      </w:r>
      <w:r w:rsidRPr="00E93F40">
        <w:rPr>
          <w:rFonts w:ascii="Times New Roman" w:hAnsi="Times New Roman"/>
          <w:color w:val="000000" w:themeColor="text1"/>
          <w:sz w:val="16"/>
          <w:szCs w:val="16"/>
        </w:rPr>
        <w:softHyphen/>
        <w:t>нии дома № 2 7 на Никольской улице. Позже было выделено чуть более просторное, но также временное помещение в доме № 3 на Ильинке.</w:t>
      </w:r>
    </w:p>
    <w:p w14:paraId="683208EE"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гирдовцы переехали в постоянное помещение в подвале дома № 19 на Садово-Спасской улице. Рассказывают, что, приходя по утрам в этот полутемный сырой подвал, Цандер неизменно начинал свой рабочий день гром</w:t>
      </w:r>
      <w:r w:rsidRPr="00E93F40">
        <w:rPr>
          <w:rFonts w:ascii="Times New Roman" w:hAnsi="Times New Roman"/>
          <w:color w:val="000000" w:themeColor="text1"/>
          <w:sz w:val="16"/>
          <w:szCs w:val="16"/>
        </w:rPr>
        <w:softHyphen/>
        <w:t>ким и восторженным возгласом:</w:t>
      </w:r>
    </w:p>
    <w:p w14:paraId="628D75D0"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Вперед, на Марс!</w:t>
      </w:r>
    </w:p>
    <w:p w14:paraId="67EDA738"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Вскоре в ГИРД поступили В.П.Ветчинкин, А.И.Полярный, Л.С.Душкин, Н.И.Ефремов, Е.С.Щетинков, В.С.Зуев, В.Н. Гал</w:t>
      </w:r>
      <w:r w:rsidRPr="00E93F40">
        <w:rPr>
          <w:rFonts w:ascii="Times New Roman" w:hAnsi="Times New Roman"/>
          <w:color w:val="000000" w:themeColor="text1"/>
          <w:sz w:val="16"/>
          <w:szCs w:val="16"/>
        </w:rPr>
        <w:softHyphen/>
        <w:t>ковский, Е.К.Мошкин, И.А.Меркулов и другие. В сентябре 1932 года в честь 75-летия со дня рождения К.Э.Циолковского был создан Технический совет. Руководителем Техсовета Цен</w:t>
      </w:r>
      <w:r w:rsidRPr="00E93F40">
        <w:rPr>
          <w:rFonts w:ascii="Times New Roman" w:hAnsi="Times New Roman"/>
          <w:color w:val="000000" w:themeColor="text1"/>
          <w:sz w:val="16"/>
          <w:szCs w:val="16"/>
        </w:rPr>
        <w:softHyphen/>
        <w:t>тральной группы ГИРДа стал Цандер. Техсовет определил три основных направления работы.</w:t>
      </w:r>
    </w:p>
    <w:p w14:paraId="2334F672"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 направлением стали исследования и разработка летательных аппаратов различных типов - небольших ракет и пилотируемых ракетопланов, сочетающих в себе баллистиче</w:t>
      </w:r>
      <w:r w:rsidRPr="00E93F40">
        <w:rPr>
          <w:rFonts w:ascii="Times New Roman" w:hAnsi="Times New Roman"/>
          <w:color w:val="000000" w:themeColor="text1"/>
          <w:sz w:val="16"/>
          <w:szCs w:val="16"/>
        </w:rPr>
        <w:softHyphen/>
        <w:t>ские качества ракеты и аэродинамические свойства самолета.</w:t>
      </w:r>
    </w:p>
    <w:p w14:paraId="41DF4ADB"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Второе направление - исследования и разработки дви</w:t>
      </w:r>
      <w:r w:rsidRPr="00E93F40">
        <w:rPr>
          <w:rFonts w:ascii="Times New Roman" w:hAnsi="Times New Roman"/>
          <w:color w:val="000000" w:themeColor="text1"/>
          <w:sz w:val="16"/>
          <w:szCs w:val="16"/>
        </w:rPr>
        <w:softHyphen/>
        <w:t>гателей для различных летательных аппаратов. С первых ша</w:t>
      </w:r>
      <w:r w:rsidRPr="00E93F40">
        <w:rPr>
          <w:rFonts w:ascii="Times New Roman" w:hAnsi="Times New Roman"/>
          <w:color w:val="000000" w:themeColor="text1"/>
          <w:sz w:val="16"/>
          <w:szCs w:val="16"/>
        </w:rPr>
        <w:softHyphen/>
        <w:t>гов решено было заниматься созданием жидкостных ракетных двигателей, воздушно-реактивных двигателей и двигателей, преобразующих солнечную энергию в энергию активной или реактивной силы. С целью создания в кратчайшие сроки пер</w:t>
      </w:r>
      <w:r w:rsidRPr="00E93F40">
        <w:rPr>
          <w:rFonts w:ascii="Times New Roman" w:hAnsi="Times New Roman"/>
          <w:color w:val="000000" w:themeColor="text1"/>
          <w:sz w:val="16"/>
          <w:szCs w:val="16"/>
        </w:rPr>
        <w:softHyphen/>
        <w:t>вой ракеты был разработан двигатель на гибридном топливе.</w:t>
      </w:r>
    </w:p>
    <w:p w14:paraId="2E478C6D"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Третье направление - выбор наиболее оптимальных видов топлива для летательных аппаратов. Цандер отдавал предпочте</w:t>
      </w:r>
      <w:r w:rsidRPr="00E93F40">
        <w:rPr>
          <w:rFonts w:ascii="Times New Roman" w:hAnsi="Times New Roman"/>
          <w:color w:val="000000" w:themeColor="text1"/>
          <w:sz w:val="16"/>
          <w:szCs w:val="16"/>
        </w:rPr>
        <w:softHyphen/>
        <w:t>ние топливу на основе жидкого кислорода как обеспечивающего наибольшее тепловыделение. В перспективе предполагалось ис</w:t>
      </w:r>
      <w:r w:rsidRPr="00E93F40">
        <w:rPr>
          <w:rFonts w:ascii="Times New Roman" w:hAnsi="Times New Roman"/>
          <w:color w:val="000000" w:themeColor="text1"/>
          <w:sz w:val="16"/>
          <w:szCs w:val="16"/>
        </w:rPr>
        <w:softHyphen/>
        <w:t>пользование жидкого водорода и металлических добавок.</w:t>
      </w:r>
    </w:p>
    <w:p w14:paraId="09E2F569"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реализации этих направлений в ГИРДе были образо</w:t>
      </w:r>
      <w:r w:rsidRPr="00E93F40">
        <w:rPr>
          <w:rFonts w:ascii="Times New Roman" w:hAnsi="Times New Roman"/>
          <w:color w:val="000000" w:themeColor="text1"/>
          <w:sz w:val="16"/>
          <w:szCs w:val="16"/>
        </w:rPr>
        <w:softHyphen/>
        <w:t>ваны четыре отдела: научно-исследовательский и опытно-экс</w:t>
      </w:r>
      <w:r w:rsidRPr="00E93F40">
        <w:rPr>
          <w:rFonts w:ascii="Times New Roman" w:hAnsi="Times New Roman"/>
          <w:color w:val="000000" w:themeColor="text1"/>
          <w:sz w:val="16"/>
          <w:szCs w:val="16"/>
        </w:rPr>
        <w:softHyphen/>
        <w:t>периментальный, административно управленческий, оргмас- совый (пропаганда и учеба), производственный (строительство опытных конструкций). Главную роль играл первый отдел, со</w:t>
      </w:r>
      <w:r w:rsidRPr="00E93F40">
        <w:rPr>
          <w:rFonts w:ascii="Times New Roman" w:hAnsi="Times New Roman"/>
          <w:color w:val="000000" w:themeColor="text1"/>
          <w:sz w:val="16"/>
          <w:szCs w:val="16"/>
        </w:rPr>
        <w:softHyphen/>
        <w:t>стоявший из четырех бригад.</w:t>
      </w:r>
    </w:p>
    <w:p w14:paraId="62ED7F61"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Первую бригаду возглавил Ф.А.Цандер. Здесь под его ру</w:t>
      </w:r>
      <w:r w:rsidRPr="00E93F40">
        <w:rPr>
          <w:rFonts w:ascii="Times New Roman" w:hAnsi="Times New Roman"/>
          <w:color w:val="000000" w:themeColor="text1"/>
          <w:sz w:val="16"/>
          <w:szCs w:val="16"/>
        </w:rPr>
        <w:softHyphen/>
        <w:t>ководством занимались созданием ракет и ракетных двигате</w:t>
      </w:r>
      <w:r w:rsidRPr="00E93F40">
        <w:rPr>
          <w:rFonts w:ascii="Times New Roman" w:hAnsi="Times New Roman"/>
          <w:color w:val="000000" w:themeColor="text1"/>
          <w:sz w:val="16"/>
          <w:szCs w:val="16"/>
        </w:rPr>
        <w:softHyphen/>
        <w:t>лей. Были разработаны двигатели OP-1, ОР-2, 0-10. Здесь под руководством Цандера были созданы первые ракеты ГИРД-Х, ГИРД-07 и другие (23510).</w:t>
      </w:r>
    </w:p>
    <w:p w14:paraId="4C3C9BF5" w14:textId="77777777" w:rsidR="00E03902" w:rsidRPr="00E93F40" w:rsidRDefault="00E03902" w:rsidP="00E93F40">
      <w:pPr>
        <w:spacing w:after="0" w:line="240" w:lineRule="auto"/>
        <w:jc w:val="both"/>
        <w:rPr>
          <w:rFonts w:ascii="Times New Roman" w:hAnsi="Times New Roman"/>
          <w:color w:val="000000" w:themeColor="text1"/>
          <w:sz w:val="16"/>
          <w:szCs w:val="16"/>
        </w:rPr>
      </w:pPr>
    </w:p>
    <w:p w14:paraId="4C37D92D"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через пару недель после назначения Королева «начальником МосГИРД на общественных началах» (т. е. без доплаты за руководство), он писал Тухачевскому:</w:t>
      </w:r>
    </w:p>
    <w:p w14:paraId="15935EA7" w14:textId="77777777" w:rsidR="00E03902" w:rsidRPr="00E93F40" w:rsidRDefault="00E039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Тяжелое положение Группы по изучению реактивных дви</w:t>
      </w:r>
      <w:r w:rsidRPr="00E93F40">
        <w:rPr>
          <w:rFonts w:ascii="Times New Roman" w:hAnsi="Times New Roman"/>
          <w:color w:val="000000" w:themeColor="text1"/>
          <w:sz w:val="16"/>
          <w:szCs w:val="16"/>
        </w:rPr>
        <w:softHyphen/>
        <w:t>гателей (ГИРД), которой я руковожу, и не видимый конец наших мытарств заставляют меня обратиться к вам непосредствен</w:t>
      </w:r>
      <w:r w:rsidRPr="00E93F40">
        <w:rPr>
          <w:rFonts w:ascii="Times New Roman" w:hAnsi="Times New Roman"/>
          <w:color w:val="000000" w:themeColor="text1"/>
          <w:sz w:val="16"/>
          <w:szCs w:val="16"/>
        </w:rPr>
        <w:softHyphen/>
        <w:t>но [...] (23550).</w:t>
      </w:r>
    </w:p>
    <w:p w14:paraId="51A2F533" w14:textId="77777777" w:rsidR="00E03902" w:rsidRPr="00E93F40" w:rsidRDefault="00E03902" w:rsidP="00E93F40">
      <w:pPr>
        <w:spacing w:after="0" w:line="240" w:lineRule="auto"/>
        <w:jc w:val="both"/>
        <w:rPr>
          <w:rFonts w:ascii="Times New Roman" w:hAnsi="Times New Roman"/>
          <w:color w:val="000000" w:themeColor="text1"/>
          <w:sz w:val="16"/>
          <w:szCs w:val="16"/>
        </w:rPr>
      </w:pPr>
    </w:p>
    <w:p w14:paraId="192E57EB"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в связи со слиянием Цен</w:t>
      </w:r>
      <w:r w:rsidRPr="00E93F40">
        <w:rPr>
          <w:rFonts w:ascii="Times New Roman" w:hAnsi="Times New Roman"/>
          <w:color w:val="000000" w:themeColor="text1"/>
          <w:sz w:val="16"/>
          <w:szCs w:val="16"/>
        </w:rPr>
        <w:softHyphen/>
        <w:t>тральной воздухоплавательной базы Осоавиа</w:t>
      </w:r>
      <w:r w:rsidRPr="00E93F40">
        <w:rPr>
          <w:rFonts w:ascii="Times New Roman" w:hAnsi="Times New Roman"/>
          <w:color w:val="000000" w:themeColor="text1"/>
          <w:sz w:val="16"/>
          <w:szCs w:val="16"/>
        </w:rPr>
        <w:softHyphen/>
        <w:t>хима с «Дирижаблестроем» дирижабль «Комсо</w:t>
      </w:r>
      <w:r w:rsidRPr="00E93F40">
        <w:rPr>
          <w:rFonts w:ascii="Times New Roman" w:hAnsi="Times New Roman"/>
          <w:color w:val="000000" w:themeColor="text1"/>
          <w:sz w:val="16"/>
          <w:szCs w:val="16"/>
        </w:rPr>
        <w:softHyphen/>
        <w:t>мольская правда» передали в ведение последне</w:t>
      </w:r>
      <w:r w:rsidRPr="00E93F40">
        <w:rPr>
          <w:rFonts w:ascii="Times New Roman" w:hAnsi="Times New Roman"/>
          <w:color w:val="000000" w:themeColor="text1"/>
          <w:sz w:val="16"/>
          <w:szCs w:val="16"/>
        </w:rPr>
        <w:softHyphen/>
        <w:t>го. С этого времени он использовался в основ</w:t>
      </w:r>
      <w:r w:rsidRPr="00E93F40">
        <w:rPr>
          <w:rFonts w:ascii="Times New Roman" w:hAnsi="Times New Roman"/>
          <w:color w:val="000000" w:themeColor="text1"/>
          <w:sz w:val="16"/>
          <w:szCs w:val="16"/>
        </w:rPr>
        <w:softHyphen/>
        <w:t>ном для тренировочных полётов. Когда осенью 1932 г. газопроницаемость оболочки стала чрез</w:t>
      </w:r>
      <w:r w:rsidRPr="00E93F40">
        <w:rPr>
          <w:rFonts w:ascii="Times New Roman" w:hAnsi="Times New Roman"/>
          <w:color w:val="000000" w:themeColor="text1"/>
          <w:sz w:val="16"/>
          <w:szCs w:val="16"/>
        </w:rPr>
        <w:softHyphen/>
        <w:t>мерно большой, было решено изготовить новую оболочку из более прочной материи, одновре</w:t>
      </w:r>
      <w:r w:rsidRPr="00E93F40">
        <w:rPr>
          <w:rFonts w:ascii="Times New Roman" w:hAnsi="Times New Roman"/>
          <w:color w:val="000000" w:themeColor="text1"/>
          <w:sz w:val="16"/>
          <w:szCs w:val="16"/>
        </w:rPr>
        <w:softHyphen/>
        <w:t>менно улучшив конструкцию дирижабля.</w:t>
      </w:r>
    </w:p>
    <w:p w14:paraId="21EF998E"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вариант дирижабля, получивший на</w:t>
      </w:r>
      <w:r w:rsidRPr="00E93F40">
        <w:rPr>
          <w:rFonts w:ascii="Times New Roman" w:hAnsi="Times New Roman"/>
          <w:color w:val="000000" w:themeColor="text1"/>
          <w:sz w:val="16"/>
          <w:szCs w:val="16"/>
        </w:rPr>
        <w:softHyphen/>
        <w:t>звание «СССР В-4», имел такой же объём и фор</w:t>
      </w:r>
      <w:r w:rsidRPr="00E93F40">
        <w:rPr>
          <w:rFonts w:ascii="Times New Roman" w:hAnsi="Times New Roman"/>
          <w:color w:val="000000" w:themeColor="text1"/>
          <w:sz w:val="16"/>
          <w:szCs w:val="16"/>
        </w:rPr>
        <w:softHyphen/>
        <w:t>му корпуса, как и у «Комсомольской правды» выпуска 1930 г. Основная конструктивная схема дирижабля осталась прежней, однако в конструк</w:t>
      </w:r>
      <w:r w:rsidRPr="00E93F40">
        <w:rPr>
          <w:rFonts w:ascii="Times New Roman" w:hAnsi="Times New Roman"/>
          <w:color w:val="000000" w:themeColor="text1"/>
          <w:sz w:val="16"/>
          <w:szCs w:val="16"/>
        </w:rPr>
        <w:softHyphen/>
        <w:t>цию оболочки, подвески, носового усиления, опе</w:t>
      </w:r>
      <w:r w:rsidRPr="00E93F40">
        <w:rPr>
          <w:rFonts w:ascii="Times New Roman" w:hAnsi="Times New Roman"/>
          <w:color w:val="000000" w:themeColor="text1"/>
          <w:sz w:val="16"/>
          <w:szCs w:val="16"/>
        </w:rPr>
        <w:softHyphen/>
        <w:t>рения и, частично, гондолы внесли изменения. Вместо двух баллонетов сделали один, большего объёма. Тросовые стропы подвески непосред</w:t>
      </w:r>
      <w:r w:rsidRPr="00E93F40">
        <w:rPr>
          <w:rFonts w:ascii="Times New Roman" w:hAnsi="Times New Roman"/>
          <w:color w:val="000000" w:themeColor="text1"/>
          <w:sz w:val="16"/>
          <w:szCs w:val="16"/>
        </w:rPr>
        <w:softHyphen/>
        <w:t>ственно закрепили на четырёхпалых лапах, что значительно упростило конструкцию. Вместо прежних трёх планов оперения на «СССР В-4» установили оперение новой конструкции из че</w:t>
      </w:r>
      <w:r w:rsidRPr="00E93F40">
        <w:rPr>
          <w:rFonts w:ascii="Times New Roman" w:hAnsi="Times New Roman"/>
          <w:color w:val="000000" w:themeColor="text1"/>
          <w:sz w:val="16"/>
          <w:szCs w:val="16"/>
        </w:rPr>
        <w:softHyphen/>
        <w:t>тырёх одинаковых стабилизаторов, двух рулей высоты и одного руля направления. Над передней и задней частью гондолы установили каркасиро- ванный тент, в носовой части прорезали окна, а для входа с левого борта сделали дверцу. Для уменьшения высоты корабля расстояние между гондолой и оболочкой сократили, изменили схе</w:t>
      </w:r>
      <w:r w:rsidRPr="00E93F40">
        <w:rPr>
          <w:rFonts w:ascii="Times New Roman" w:hAnsi="Times New Roman"/>
          <w:color w:val="000000" w:themeColor="text1"/>
          <w:sz w:val="16"/>
          <w:szCs w:val="16"/>
        </w:rPr>
        <w:softHyphen/>
        <w:t>му расположения строп подвески.</w:t>
      </w:r>
    </w:p>
    <w:p w14:paraId="7FE2A57D"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Изменения претерпело и оборудование обо</w:t>
      </w:r>
      <w:r w:rsidRPr="00E93F40">
        <w:rPr>
          <w:rFonts w:ascii="Times New Roman" w:hAnsi="Times New Roman"/>
          <w:color w:val="000000" w:themeColor="text1"/>
          <w:sz w:val="16"/>
          <w:szCs w:val="16"/>
        </w:rPr>
        <w:softHyphen/>
        <w:t>лочки. Вместо треугольных разрывных кон</w:t>
      </w:r>
      <w:r w:rsidRPr="00E93F40">
        <w:rPr>
          <w:rFonts w:ascii="Times New Roman" w:hAnsi="Times New Roman"/>
          <w:color w:val="000000" w:themeColor="text1"/>
          <w:sz w:val="16"/>
          <w:szCs w:val="16"/>
        </w:rPr>
        <w:softHyphen/>
        <w:t>струкции Н.В. Фомина на её хребте установили два продольных разрывных щелевого типа. Раз</w:t>
      </w:r>
      <w:r w:rsidRPr="00E93F40">
        <w:rPr>
          <w:rFonts w:ascii="Times New Roman" w:hAnsi="Times New Roman"/>
          <w:color w:val="000000" w:themeColor="text1"/>
          <w:sz w:val="16"/>
          <w:szCs w:val="16"/>
        </w:rPr>
        <w:softHyphen/>
        <w:t>рывное полотнища в баллонете сняли, а вместо клапанов типа «Како» установили клапаны К-1 автоматического и управляемого типа.</w:t>
      </w:r>
    </w:p>
    <w:p w14:paraId="34F3A280"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«СССР В-4» выполнил перелёт в Тулу для тренировки экипажа в дальнем внеаэродром- ном полёте и в вождении дирижабля по компасу. Полёт запланировали на 28 августа, но по метео</w:t>
      </w:r>
      <w:r w:rsidRPr="00E93F40">
        <w:rPr>
          <w:rFonts w:ascii="Times New Roman" w:hAnsi="Times New Roman"/>
          <w:color w:val="000000" w:themeColor="text1"/>
          <w:sz w:val="16"/>
          <w:szCs w:val="16"/>
        </w:rPr>
        <w:softHyphen/>
        <w:t>рологическим причинам он не состоялся. На</w:t>
      </w:r>
      <w:r w:rsidRPr="00E93F40">
        <w:rPr>
          <w:rFonts w:ascii="Times New Roman" w:hAnsi="Times New Roman"/>
          <w:color w:val="000000" w:themeColor="text1"/>
          <w:sz w:val="16"/>
          <w:szCs w:val="16"/>
        </w:rPr>
        <w:softHyphen/>
        <w:t>рушение графика полёта повлекло за собой ряд инцидентов. 29 августа в 10.50 дирижабль под командой Н.И. Суслова вышел в рейс и через 2 ч 30 мин прибыл в Тулу. Дирижабль, которо</w:t>
      </w:r>
      <w:r w:rsidRPr="00E93F40">
        <w:rPr>
          <w:rFonts w:ascii="Times New Roman" w:hAnsi="Times New Roman"/>
          <w:color w:val="000000" w:themeColor="text1"/>
          <w:sz w:val="16"/>
          <w:szCs w:val="16"/>
        </w:rPr>
        <w:softHyphen/>
        <w:t>го ожидали накануне, не встретили, и командиру пришлось самому искать место для посадки.</w:t>
      </w:r>
    </w:p>
    <w:p w14:paraId="01ADC62C"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Обратный перелёт прошёл вполне удачно, но к Московскому центральному дирижаблепорту дирижабль подошёл с малым запасом бензина. Порт, перегруженный работой по обслуживанию других дирижаблей, не принимал «СССР В-4», посадку которого ожидали на Кунцевской базе. Около трёх часов «СССР В-4» держался над пор</w:t>
      </w:r>
      <w:r w:rsidRPr="00E93F40">
        <w:rPr>
          <w:rFonts w:ascii="Times New Roman" w:hAnsi="Times New Roman"/>
          <w:color w:val="000000" w:themeColor="text1"/>
          <w:sz w:val="16"/>
          <w:szCs w:val="16"/>
        </w:rPr>
        <w:softHyphen/>
        <w:t>том, пока, наконец, ему не выложили посадочное «Т». Сама посадка происходила почти в полной темноте (на дирижабле разрядились аккумулято</w:t>
      </w:r>
      <w:r w:rsidRPr="00E93F40">
        <w:rPr>
          <w:rFonts w:ascii="Times New Roman" w:hAnsi="Times New Roman"/>
          <w:color w:val="000000" w:themeColor="text1"/>
          <w:sz w:val="16"/>
          <w:szCs w:val="16"/>
        </w:rPr>
        <w:softHyphen/>
        <w:t>ры, а в порту не было электростанции), так что «СССР В-4» кружился на малой скорости до тех пор, пока его распущенный гайдроп не поймала наземная команда порта (20120).</w:t>
      </w:r>
    </w:p>
    <w:p w14:paraId="029825E8" w14:textId="77777777" w:rsidR="009D18B6" w:rsidRPr="00E93F40" w:rsidRDefault="009D18B6" w:rsidP="00E93F40">
      <w:pPr>
        <w:spacing w:after="0" w:line="240" w:lineRule="auto"/>
        <w:jc w:val="both"/>
        <w:rPr>
          <w:rFonts w:ascii="Times New Roman" w:hAnsi="Times New Roman"/>
          <w:color w:val="000000" w:themeColor="text1"/>
          <w:sz w:val="16"/>
          <w:szCs w:val="16"/>
        </w:rPr>
      </w:pPr>
    </w:p>
    <w:p w14:paraId="21F2F74C" w14:textId="77777777" w:rsidR="009D18B6" w:rsidRPr="00E93F40" w:rsidRDefault="009D18B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w:t>
      </w:r>
      <w:r w:rsidRPr="00E93F40">
        <w:rPr>
          <w:rFonts w:ascii="Times New Roman" w:hAnsi="Times New Roman"/>
          <w:color w:val="000000" w:themeColor="text1"/>
          <w:sz w:val="16"/>
          <w:szCs w:val="16"/>
        </w:rPr>
        <w:softHyphen/>
        <w:t>ле 1932 г. прошло слияние Центральной возду</w:t>
      </w:r>
      <w:r w:rsidRPr="00E93F40">
        <w:rPr>
          <w:rFonts w:ascii="Times New Roman" w:hAnsi="Times New Roman"/>
          <w:color w:val="000000" w:themeColor="text1"/>
          <w:sz w:val="16"/>
          <w:szCs w:val="16"/>
        </w:rPr>
        <w:softHyphen/>
        <w:t>хоплавательной базы Осоавиахима с «Дирижа- блестроем», при этом последний получил дири</w:t>
      </w:r>
      <w:r w:rsidRPr="00E93F40">
        <w:rPr>
          <w:rFonts w:ascii="Times New Roman" w:hAnsi="Times New Roman"/>
          <w:color w:val="000000" w:themeColor="text1"/>
          <w:sz w:val="16"/>
          <w:szCs w:val="16"/>
        </w:rPr>
        <w:softHyphen/>
        <w:t>жабль «Комсомольская правда» (20120).</w:t>
      </w:r>
    </w:p>
    <w:p w14:paraId="0105EA10" w14:textId="77777777" w:rsidR="009D18B6" w:rsidRPr="00E93F40" w:rsidRDefault="009D18B6" w:rsidP="00E93F40">
      <w:pPr>
        <w:spacing w:after="0" w:line="240" w:lineRule="auto"/>
        <w:jc w:val="both"/>
        <w:rPr>
          <w:rFonts w:ascii="Times New Roman" w:hAnsi="Times New Roman"/>
          <w:color w:val="000000" w:themeColor="text1"/>
          <w:sz w:val="16"/>
          <w:szCs w:val="16"/>
        </w:rPr>
      </w:pPr>
    </w:p>
    <w:p w14:paraId="56FBCFA8" w14:textId="77777777" w:rsidR="00DE62AA" w:rsidRPr="00E93F40" w:rsidRDefault="00DE62A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апреле 1932 года в тестовую эксплуатацию была запущена опытно-промышленная гелиевая установка (на базе установки Linde). К июню 1932 года удалось получить сорокапроцентный гелиевый концентрат, а затем – девяностовосьмипроцентный гелий.</w:t>
      </w:r>
    </w:p>
    <w:p w14:paraId="155A4D34" w14:textId="77777777" w:rsidR="00DE62AA" w:rsidRPr="00E93F40" w:rsidRDefault="00DE62A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Опытно-промышленная стадия закончилась и началось промышленное производство «солнечного газа». Интересно, что сотрудничество с фирмой Linde российская газовая отрасль продолжает и по сей день. Именно эта компания является поставщиком основного технологического оборудования для криогенного разделения газа с получением гелия и других компонентов для нефтехимии на строящемся Амурском газоперерабатывающем заводе (одном из самых больших в мире предприятий по переработке природного газа).</w:t>
      </w:r>
    </w:p>
    <w:p w14:paraId="44509051" w14:textId="77777777" w:rsidR="00DE62AA" w:rsidRPr="00E93F40" w:rsidRDefault="00DE62A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Производство гелия на этом заводе позволит обеспечить гелием потребителей восточных регионов нашей страны и создать прочную основу для расширения экспорта «солнечного газа» (21451).</w:t>
      </w:r>
    </w:p>
    <w:p w14:paraId="61BD57C1" w14:textId="77777777" w:rsidR="00DE62AA" w:rsidRPr="00E93F40" w:rsidRDefault="00DE62AA" w:rsidP="00E93F40">
      <w:pPr>
        <w:pStyle w:val="article-renderblock"/>
        <w:shd w:val="clear" w:color="auto" w:fill="FFFFFF"/>
        <w:spacing w:before="0" w:beforeAutospacing="0" w:after="0" w:afterAutospacing="0"/>
        <w:jc w:val="both"/>
        <w:rPr>
          <w:color w:val="000000" w:themeColor="text1"/>
          <w:sz w:val="16"/>
          <w:szCs w:val="16"/>
        </w:rPr>
      </w:pPr>
    </w:p>
    <w:p w14:paraId="365D69F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8B655D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08B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заводом "Большевик" был закончен ствол № 1 пушки 152-мм дальнобойной пушки Б-10, а лафет к ней не ранее ноября 1932 года. Поэтому пушка Б-10 № 1 была установлена на НИАПе на станке от 152/52-мм береговой пушки системы Виккерса</w:t>
      </w:r>
    </w:p>
    <w:p w14:paraId="5759E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апреля 1932 года выпуск "Форд-АА" начался на новом заводе в Нижнем Новгороде. Строительство этого завода финансировалось Г.Фордом в соответствии с вышеуказанным соглашением (3862).</w:t>
      </w:r>
    </w:p>
    <w:p w14:paraId="2FFA3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D2F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на НИБТ полигоне закончились испытания танка ТММ-1 - версии Виккерс, разработанной по проекту факультета ММ под руководством М.В.Данченко и построенной на Большевике в Ленинграде, которые проходили с февраля 1932 (9527,89).</w:t>
      </w:r>
    </w:p>
    <w:p w14:paraId="352822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CCC4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НТК УММ разработал и принял ТТТ к тяжелому танку (9527,152).</w:t>
      </w:r>
    </w:p>
    <w:p w14:paraId="4D9A7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9F7E40" w14:textId="77777777" w:rsidR="006114BA" w:rsidRPr="00E93F40" w:rsidRDefault="006114B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состоялись сравнительные испытания трех быстроходных танков: БТ-ВТ, БТ-2 и «Кристи». Владимир Вольфович Дурныгин во время совместных испытаний управлял БТ-ВТ и ему удалось легко обогнать своих конкурентов. За это он был включен в группу работников, поощряемых за проведенные работы. Вскоре после завершения работ над БТ-ВТ он был переведен с казарменного положения на свободное поселение и далее работал над созданием другой боевой техники (15735).</w:t>
      </w:r>
    </w:p>
    <w:p w14:paraId="36BB3225" w14:textId="77777777" w:rsidR="006114BA" w:rsidRPr="00E93F40" w:rsidRDefault="006114BA" w:rsidP="00E93F40">
      <w:pPr>
        <w:spacing w:after="0" w:line="240" w:lineRule="auto"/>
        <w:jc w:val="both"/>
        <w:rPr>
          <w:rFonts w:ascii="Times New Roman" w:hAnsi="Times New Roman"/>
          <w:color w:val="000000" w:themeColor="text1"/>
          <w:sz w:val="16"/>
          <w:szCs w:val="16"/>
        </w:rPr>
      </w:pPr>
    </w:p>
    <w:p w14:paraId="467F8790" w14:textId="34F962A3" w:rsidR="006114BA" w:rsidRPr="00E93F40" w:rsidRDefault="006114BA" w:rsidP="00E93F40">
      <w:pPr>
        <w:pStyle w:val="ae"/>
        <w:spacing w:before="0" w:after="0"/>
        <w:jc w:val="both"/>
        <w:rPr>
          <w:color w:val="000000" w:themeColor="text1"/>
          <w:sz w:val="16"/>
          <w:szCs w:val="16"/>
        </w:rPr>
      </w:pPr>
      <w:r w:rsidRPr="00E93F40">
        <w:rPr>
          <w:color w:val="000000" w:themeColor="text1"/>
          <w:sz w:val="16"/>
          <w:szCs w:val="16"/>
        </w:rPr>
        <w:t>В апреле 1932</w:t>
      </w:r>
      <w:r w:rsidR="007C1411" w:rsidRPr="00E93F40">
        <w:rPr>
          <w:color w:val="000000" w:themeColor="text1"/>
          <w:sz w:val="16"/>
          <w:szCs w:val="16"/>
        </w:rPr>
        <w:t xml:space="preserve"> </w:t>
      </w:r>
      <w:r w:rsidRPr="00E93F40">
        <w:rPr>
          <w:color w:val="000000" w:themeColor="text1"/>
          <w:sz w:val="16"/>
          <w:szCs w:val="16"/>
        </w:rPr>
        <w:t>г. на Московском химическом полигоне (в районе Кузьминки) испытывали двухбашенный Т-26, оснащенный аппаратурой телеуправления под шифром «Мост-1», позднее – аппаратурой «Река-1» и «Река-2». По результатам испытаний был выдан заказ на изготовление четырех телетанков и двух танков управления (15736).</w:t>
      </w:r>
    </w:p>
    <w:p w14:paraId="25807C27" w14:textId="77777777" w:rsidR="006114BA" w:rsidRPr="00E93F40" w:rsidRDefault="006114BA" w:rsidP="00E93F40">
      <w:pPr>
        <w:pStyle w:val="ae"/>
        <w:spacing w:before="0" w:after="0"/>
        <w:jc w:val="both"/>
        <w:rPr>
          <w:color w:val="000000" w:themeColor="text1"/>
          <w:sz w:val="16"/>
          <w:szCs w:val="16"/>
        </w:rPr>
      </w:pPr>
    </w:p>
    <w:p w14:paraId="4D2799AB" w14:textId="77777777" w:rsidR="006114BA" w:rsidRPr="00E93F40" w:rsidRDefault="006114B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апреле 1932 г. на Московском химполигоне проводились испытания этого танка (двухбашенный Т-26, оснащенный аппаратурой).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(15117).</w:t>
      </w:r>
    </w:p>
    <w:p w14:paraId="033F0320" w14:textId="77777777" w:rsidR="006114BA" w:rsidRPr="00E93F40" w:rsidRDefault="006114BA" w:rsidP="00E93F40">
      <w:pPr>
        <w:spacing w:after="0" w:line="240" w:lineRule="auto"/>
        <w:jc w:val="both"/>
        <w:rPr>
          <w:rFonts w:ascii="Times New Roman" w:hAnsi="Times New Roman"/>
          <w:color w:val="000000" w:themeColor="text1"/>
          <w:sz w:val="16"/>
          <w:szCs w:val="16"/>
        </w:rPr>
      </w:pPr>
    </w:p>
    <w:p w14:paraId="365498D9" w14:textId="77777777" w:rsidR="00C85702" w:rsidRPr="00142305" w:rsidRDefault="00C85702" w:rsidP="00C8570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апреле 1932 г. на Московском химполигоне проводились испытания двухбашенный танк Т-26, оснащенного аппаратурой дистанционного управления «Река-2».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(25313).</w:t>
      </w:r>
    </w:p>
    <w:p w14:paraId="66789D1D" w14:textId="77777777" w:rsidR="00C85702" w:rsidRPr="00142305" w:rsidRDefault="00C85702" w:rsidP="00C85702">
      <w:pPr>
        <w:spacing w:after="0" w:line="240" w:lineRule="auto"/>
        <w:jc w:val="both"/>
        <w:rPr>
          <w:rFonts w:ascii="Times New Roman" w:hAnsi="Times New Roman"/>
          <w:color w:val="0070C0"/>
          <w:sz w:val="16"/>
          <w:szCs w:val="16"/>
        </w:rPr>
      </w:pPr>
    </w:p>
    <w:p w14:paraId="1FEA2817" w14:textId="77777777" w:rsidR="00C85702" w:rsidRPr="00142305" w:rsidRDefault="00C85702" w:rsidP="00C8570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года в до</w:t>
      </w:r>
      <w:r w:rsidRPr="00142305">
        <w:rPr>
          <w:rFonts w:ascii="Times New Roman" w:hAnsi="Times New Roman"/>
          <w:color w:val="0070C0"/>
          <w:sz w:val="16"/>
          <w:szCs w:val="16"/>
        </w:rPr>
        <w:softHyphen/>
        <w:t>кладе «О ходе работ по проектированию но</w:t>
      </w:r>
      <w:r w:rsidRPr="00142305">
        <w:rPr>
          <w:rFonts w:ascii="Times New Roman" w:hAnsi="Times New Roman"/>
          <w:color w:val="0070C0"/>
          <w:sz w:val="16"/>
          <w:szCs w:val="16"/>
        </w:rPr>
        <w:softHyphen/>
        <w:t>вых типов танков», направленном руководс</w:t>
      </w:r>
      <w:r w:rsidRPr="00142305">
        <w:rPr>
          <w:rFonts w:ascii="Times New Roman" w:hAnsi="Times New Roman"/>
          <w:color w:val="0070C0"/>
          <w:sz w:val="16"/>
          <w:szCs w:val="16"/>
        </w:rPr>
        <w:softHyphen/>
        <w:t>твом УММ РККА в Совет труда и обороны СССР, сказано следующее:</w:t>
      </w:r>
    </w:p>
    <w:p w14:paraId="7510CF65" w14:textId="77777777" w:rsidR="00C85702" w:rsidRPr="00142305" w:rsidRDefault="00C85702" w:rsidP="00C8570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«Танкетки. В валовом производстве нахо</w:t>
      </w:r>
      <w:r w:rsidRPr="00142305">
        <w:rPr>
          <w:rFonts w:ascii="Times New Roman" w:hAnsi="Times New Roman"/>
          <w:color w:val="0070C0"/>
          <w:sz w:val="16"/>
          <w:szCs w:val="16"/>
        </w:rPr>
        <w:softHyphen/>
        <w:t>дится Т-27. Ведутся работы по изготовлению опытных образцов танкетки с вооружением в башне. Первый образец, под шифром Т-41, изготавливаемый заводом ВАТО в Москве, будет готов в мае сего года. Другой образец, под шифром Т-37, изготавливаемый на ма</w:t>
      </w:r>
      <w:r w:rsidRPr="00142305">
        <w:rPr>
          <w:rFonts w:ascii="Times New Roman" w:hAnsi="Times New Roman"/>
          <w:color w:val="0070C0"/>
          <w:sz w:val="16"/>
          <w:szCs w:val="16"/>
        </w:rPr>
        <w:softHyphen/>
        <w:t>шиностроительном заводе имени Вороши</w:t>
      </w:r>
      <w:r w:rsidRPr="00142305">
        <w:rPr>
          <w:rFonts w:ascii="Times New Roman" w:hAnsi="Times New Roman"/>
          <w:color w:val="0070C0"/>
          <w:sz w:val="16"/>
          <w:szCs w:val="16"/>
        </w:rPr>
        <w:softHyphen/>
        <w:t>лова, будет выпущен в июне сего года. Оба танка будут обладать плавучестью, и разни</w:t>
      </w:r>
      <w:r w:rsidRPr="00142305">
        <w:rPr>
          <w:rFonts w:ascii="Times New Roman" w:hAnsi="Times New Roman"/>
          <w:color w:val="0070C0"/>
          <w:sz w:val="16"/>
          <w:szCs w:val="16"/>
        </w:rPr>
        <w:softHyphen/>
        <w:t>ца их состоит в том, что Т-41 имеет мотор Форд-АА, расположенный по осевой цент</w:t>
      </w:r>
      <w:r w:rsidRPr="00142305">
        <w:rPr>
          <w:rFonts w:ascii="Times New Roman" w:hAnsi="Times New Roman"/>
          <w:color w:val="0070C0"/>
          <w:sz w:val="16"/>
          <w:szCs w:val="16"/>
        </w:rPr>
        <w:softHyphen/>
        <w:t>ральной линии машины, в то время как Т-37 имеет одностороннее расположение мотора по типу амфибии Карден-Лойд. В этом слу</w:t>
      </w:r>
      <w:r w:rsidRPr="00142305">
        <w:rPr>
          <w:rFonts w:ascii="Times New Roman" w:hAnsi="Times New Roman"/>
          <w:color w:val="0070C0"/>
          <w:sz w:val="16"/>
          <w:szCs w:val="16"/>
        </w:rPr>
        <w:softHyphen/>
        <w:t>чае стандартный задний мост автомобиля Форд-АА изменяется» (25019).</w:t>
      </w:r>
    </w:p>
    <w:p w14:paraId="20F15C1D" w14:textId="77777777" w:rsidR="00C85702" w:rsidRPr="00C85702" w:rsidRDefault="00C85702" w:rsidP="00C85702">
      <w:pPr>
        <w:pStyle w:val="aff2"/>
        <w:tabs>
          <w:tab w:val="left" w:pos="594"/>
        </w:tabs>
        <w:spacing w:line="240" w:lineRule="auto"/>
        <w:rPr>
          <w:rFonts w:ascii="Times New Roman" w:hAnsi="Times New Roman" w:cs="Times New Roman"/>
          <w:i w:val="0"/>
          <w:iCs w:val="0"/>
          <w:color w:val="0070C0"/>
          <w:sz w:val="16"/>
          <w:szCs w:val="16"/>
          <w:lang w:val="ru-RU"/>
        </w:rPr>
      </w:pPr>
    </w:p>
    <w:p w14:paraId="1E3642CD" w14:textId="77777777" w:rsidR="00DE62AA" w:rsidRPr="00E93F40" w:rsidRDefault="00DE62A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апреля 1932 года Путиловский завод выпускал Фордзоны, а всего их сделали 49568 штук. С 1922 по 1926 год СССР закупил около 20 тысяч «Фордзонов Ф17». Однако транжирить дефицитную валюту было не по-хозяйски, поэтому без всяких чертежей и лицензий-только по обмерам нескольких куп</w:t>
      </w:r>
      <w:r w:rsidRPr="00E93F40">
        <w:rPr>
          <w:rFonts w:ascii="Times New Roman" w:hAnsi="Times New Roman"/>
          <w:color w:val="000000" w:themeColor="text1"/>
          <w:sz w:val="16"/>
          <w:szCs w:val="16"/>
        </w:rPr>
        <w:softHyphen/>
        <w:t>ленных машин - на ленинградском заводе «Красный Путиловец» под руководством М.Л. Седова был организовани их выпуск. Интерес</w:t>
      </w:r>
      <w:r w:rsidRPr="00E93F40">
        <w:rPr>
          <w:rFonts w:ascii="Times New Roman" w:hAnsi="Times New Roman"/>
          <w:color w:val="000000" w:themeColor="text1"/>
          <w:sz w:val="16"/>
          <w:szCs w:val="16"/>
        </w:rPr>
        <w:softHyphen/>
        <w:t>но, что в конце карьеры трактор пытались при</w:t>
      </w:r>
      <w:r w:rsidRPr="00E93F40">
        <w:rPr>
          <w:rFonts w:ascii="Times New Roman" w:hAnsi="Times New Roman"/>
          <w:color w:val="000000" w:themeColor="text1"/>
          <w:sz w:val="16"/>
          <w:szCs w:val="16"/>
        </w:rPr>
        <w:softHyphen/>
        <w:t>способить и для промышленного использова</w:t>
      </w:r>
      <w:r w:rsidRPr="00E93F40">
        <w:rPr>
          <w:rFonts w:ascii="Times New Roman" w:hAnsi="Times New Roman"/>
          <w:color w:val="000000" w:themeColor="text1"/>
          <w:sz w:val="16"/>
          <w:szCs w:val="16"/>
        </w:rPr>
        <w:softHyphen/>
        <w:t>ния, снабдив пневматическими шинами. Пер</w:t>
      </w:r>
      <w:r w:rsidRPr="00E93F40">
        <w:rPr>
          <w:rFonts w:ascii="Times New Roman" w:hAnsi="Times New Roman"/>
          <w:color w:val="000000" w:themeColor="text1"/>
          <w:sz w:val="16"/>
          <w:szCs w:val="16"/>
        </w:rPr>
        <w:softHyphen/>
        <w:t>вые такие тягачи появились в 1931 году, а их выпуск из задела деталей продолжался даже после окончания производства сельскохозяй</w:t>
      </w:r>
      <w:r w:rsidRPr="00E93F40">
        <w:rPr>
          <w:rFonts w:ascii="Times New Roman" w:hAnsi="Times New Roman"/>
          <w:color w:val="000000" w:themeColor="text1"/>
          <w:sz w:val="16"/>
          <w:szCs w:val="16"/>
        </w:rPr>
        <w:softHyphen/>
        <w:t>ственного собрата на стальных колесах - последние 317 промышленных «ФП» значатся в программе 1935 года. Тягачей всего построи</w:t>
      </w:r>
      <w:r w:rsidRPr="00E93F40">
        <w:rPr>
          <w:rFonts w:ascii="Times New Roman" w:hAnsi="Times New Roman"/>
          <w:color w:val="000000" w:themeColor="text1"/>
          <w:sz w:val="16"/>
          <w:szCs w:val="16"/>
        </w:rPr>
        <w:softHyphen/>
        <w:t>ли 4706 штук, но большого распространения они не получили. Считалось, что при работе с тремя сменными двухосными прицепами «карусельным методом» (один в загрузке, вто</w:t>
      </w:r>
      <w:r w:rsidRPr="00E93F40">
        <w:rPr>
          <w:rFonts w:ascii="Times New Roman" w:hAnsi="Times New Roman"/>
          <w:color w:val="000000" w:themeColor="text1"/>
          <w:sz w:val="16"/>
          <w:szCs w:val="16"/>
        </w:rPr>
        <w:softHyphen/>
        <w:t>рой в пути и третий под разгрузкой) такой тягач заменит 10 лошадей. Но стоил он доволь</w:t>
      </w:r>
      <w:r w:rsidRPr="00E93F40">
        <w:rPr>
          <w:rFonts w:ascii="Times New Roman" w:hAnsi="Times New Roman"/>
          <w:color w:val="000000" w:themeColor="text1"/>
          <w:sz w:val="16"/>
          <w:szCs w:val="16"/>
        </w:rPr>
        <w:softHyphen/>
        <w:t>но дорого - 5500 рублей, двигатель имел всего-то в 20 л.с. и разгонялся до 11 км/ч. А в это время уже массово выпускались «полутор</w:t>
      </w:r>
      <w:r w:rsidRPr="00E93F40">
        <w:rPr>
          <w:rFonts w:ascii="Times New Roman" w:hAnsi="Times New Roman"/>
          <w:color w:val="000000" w:themeColor="text1"/>
          <w:sz w:val="16"/>
          <w:szCs w:val="16"/>
        </w:rPr>
        <w:softHyphen/>
        <w:t>ки» и АМ0-3, существенно лучше походившие для перевозки грузов (19858).</w:t>
      </w:r>
    </w:p>
    <w:p w14:paraId="22AD62E1" w14:textId="77777777" w:rsidR="00DE62AA" w:rsidRPr="00E93F40" w:rsidRDefault="00DE62AA" w:rsidP="00E93F40">
      <w:pPr>
        <w:shd w:val="clear" w:color="auto" w:fill="FFFFFF"/>
        <w:spacing w:after="0" w:line="240" w:lineRule="auto"/>
        <w:jc w:val="both"/>
        <w:rPr>
          <w:rFonts w:ascii="Times New Roman" w:hAnsi="Times New Roman"/>
          <w:color w:val="000000" w:themeColor="text1"/>
          <w:sz w:val="16"/>
          <w:szCs w:val="16"/>
          <w:lang w:val="ru"/>
        </w:rPr>
      </w:pPr>
    </w:p>
    <w:p w14:paraId="23679979" w14:textId="77777777" w:rsidR="006114BA" w:rsidRPr="00E93F40" w:rsidRDefault="006114B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в Кубинке стостоялось испытание ЯГ-10 (15764).</w:t>
      </w:r>
    </w:p>
    <w:p w14:paraId="58778F4C" w14:textId="77777777" w:rsidR="006114BA" w:rsidRPr="00E93F40" w:rsidRDefault="006114BA" w:rsidP="00E93F40">
      <w:pPr>
        <w:pStyle w:val="27"/>
        <w:shd w:val="clear" w:color="auto" w:fill="auto"/>
        <w:spacing w:after="0" w:line="240" w:lineRule="auto"/>
        <w:ind w:firstLine="0"/>
        <w:rPr>
          <w:rFonts w:ascii="Times New Roman" w:cs="Times New Roman"/>
          <w:color w:val="000000" w:themeColor="text1"/>
          <w:spacing w:val="0"/>
        </w:rPr>
      </w:pPr>
    </w:p>
    <w:p w14:paraId="7DC14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в системе местной промышленности Удмуртской АССР были организованы опытные мастерские им. Автодора.</w:t>
      </w:r>
    </w:p>
    <w:p w14:paraId="7BC20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Мастерские были заняты изготовлением образцов малолитражных автомобилей и мотоциклов по конструкциям, разработанным НАТИ. За первый (1932-й) год существования опытными мастерскими были изготовлены и выпущены 2 автомобиля марки НАТИ-2.</w:t>
      </w:r>
    </w:p>
    <w:p w14:paraId="5E4127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году мастерские получили расширение за счет постройки нового производственного корпуса. В июле 1933 года мастерские были переведены в систему НКТП, после чего были переименованы в Мотоциклетный завод.</w:t>
      </w:r>
    </w:p>
    <w:p w14:paraId="04A6F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период нахождения завода в системе НКТП, завод передавался из одного гл. управления в другое – Главмашпрому, Главметизу, Главширпотребу, Главмотовелопрому..</w:t>
      </w:r>
    </w:p>
    <w:p w14:paraId="13F2B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системе Главмотовелопрома завод находился до момента его передачи в систему НКВ, т.е. до конца 1941 года.</w:t>
      </w:r>
    </w:p>
    <w:p w14:paraId="626B8F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524 МВ был организован на основании постановления ГКО от 23 ноября 1941 года на производственной базе мотоциклетного завода, Главмотовелопрома НК среднего машиностроения, переданного в систему оборонной промышленности 5 декабря 1941 года.</w:t>
      </w:r>
    </w:p>
    <w:p w14:paraId="53633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задачей организации завода № 524 и передачи его в Министерство вооружения было в основном изготовление пулемета системы «Максим», станка системы Соколова и изготовление запасных деталей и узлов пулемета «Максим». Указанная продукция изготовлялась на заводе с 1942 года до 1945 года включительно. С 1945 года завод изготавливал охотничьи ружья, электромоторные пилы, а также тракторные детали для с/х. В 1948 году заводом был освоен из оборонной продукции автомат системы Калашникова (АК-47). В сентябре 1949 года завод был передан в 4 гл. управление МОП с прекращением выпуска всех изделий ранее изготовлявшихся на заводе и переводом завода на освоение новых производств.</w:t>
      </w:r>
    </w:p>
    <w:p w14:paraId="218037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Первоначальной базой на которой был организован Мотоциклетный завод, служили помещения бывшей частной фабрики охотружей.</w:t>
      </w:r>
    </w:p>
    <w:p w14:paraId="4EDF0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Ижевск, п/я 33</w:t>
      </w:r>
    </w:p>
    <w:p w14:paraId="5CE75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 Фомин</w:t>
      </w:r>
    </w:p>
    <w:p w14:paraId="31A13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Территория завода расположена в центральной части Ижевска, между улицами М. Горького, Красной и переулками Бородина и Красногеройским (9560).</w:t>
      </w:r>
    </w:p>
    <w:p w14:paraId="10602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00F2A7" w14:textId="77777777" w:rsidR="00525619" w:rsidRPr="00E93F40" w:rsidRDefault="00525619" w:rsidP="00E93F40">
      <w:pPr>
        <w:pStyle w:val="a3"/>
        <w:rPr>
          <w:color w:val="000000" w:themeColor="text1"/>
          <w:lang w:val="ru-RU"/>
        </w:rPr>
      </w:pPr>
      <w:r w:rsidRPr="00E93F40">
        <w:rPr>
          <w:color w:val="000000" w:themeColor="text1"/>
          <w:lang w:val="ru-RU"/>
        </w:rPr>
        <w:t>В апреле 1932 г. танко</w:t>
      </w:r>
      <w:r w:rsidRPr="00E93F40">
        <w:rPr>
          <w:color w:val="000000" w:themeColor="text1"/>
          <w:lang w:val="ru-RU"/>
        </w:rPr>
        <w:softHyphen/>
        <w:t>вое производство Большевика (там выпускался танк МС-1) было преобразовано в самостоятельный завод №174 им. Ворошилова (12619).</w:t>
      </w:r>
    </w:p>
    <w:p w14:paraId="2069D30D" w14:textId="77777777" w:rsidR="00525619" w:rsidRPr="00E93F40" w:rsidRDefault="00525619" w:rsidP="00E93F40">
      <w:pPr>
        <w:pStyle w:val="a3"/>
        <w:rPr>
          <w:color w:val="000000" w:themeColor="text1"/>
          <w:lang w:val="ru-RU"/>
        </w:rPr>
      </w:pPr>
    </w:p>
    <w:p w14:paraId="16D260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на Московском химполигоне проводили испытания танка Т-2, оснащенного радиоаппаратурой. По результатам испытаний было 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(10675).</w:t>
      </w:r>
    </w:p>
    <w:p w14:paraId="1FBFAE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7D1521" w14:textId="77777777" w:rsidR="00E116AB" w:rsidRPr="00E93F40" w:rsidRDefault="00E116AB"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опытный образец БАД-2 («броне-авто-водо-машина») был готов.</w:t>
      </w:r>
    </w:p>
    <w:p w14:paraId="58A04783" w14:textId="77777777" w:rsidR="00E116AB" w:rsidRPr="00E93F40" w:rsidRDefault="00E116AB"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Успешный опыт по созданию БАД-1 побудил ТО ЭКО ПП ОГПУ начать проектирование «броне-авто-водо-машины с более мощным вооружением». В качестве базы теперь использовался трехосный «Форд-Тимкен», а помимо желез</w:t>
      </w:r>
      <w:r w:rsidRPr="00E93F40">
        <w:rPr>
          <w:rFonts w:ascii="Times New Roman" w:hAnsi="Times New Roman"/>
          <w:color w:val="000000" w:themeColor="text1"/>
          <w:sz w:val="16"/>
          <w:szCs w:val="16"/>
        </w:rPr>
        <w:softHyphen/>
        <w:t>нодорожного хода бронеавтомобиль должен был плавать. Эскизный проект машины, получившей обозначение БАД-2 («броне-авто-водо-машина»), утвержденный начальником ПП ОГПУ в ЛВО Медведем, отправили на завод «Больше</w:t>
      </w:r>
      <w:r w:rsidRPr="00E93F40">
        <w:rPr>
          <w:rFonts w:ascii="Times New Roman" w:hAnsi="Times New Roman"/>
          <w:color w:val="000000" w:themeColor="text1"/>
          <w:sz w:val="16"/>
          <w:szCs w:val="16"/>
        </w:rPr>
        <w:softHyphen/>
        <w:t>вик» для доработки и изготовления опытного образца. Здесь, под руководством инженера Н. Обухова, было проведено де</w:t>
      </w:r>
      <w:r w:rsidRPr="00E93F40">
        <w:rPr>
          <w:rFonts w:ascii="Times New Roman" w:hAnsi="Times New Roman"/>
          <w:color w:val="000000" w:themeColor="text1"/>
          <w:sz w:val="16"/>
          <w:szCs w:val="16"/>
        </w:rPr>
        <w:softHyphen/>
        <w:t>тальное проектирование машины и выполнены рабочие чер</w:t>
      </w:r>
      <w:r w:rsidRPr="00E93F40">
        <w:rPr>
          <w:rFonts w:ascii="Times New Roman" w:hAnsi="Times New Roman"/>
          <w:color w:val="000000" w:themeColor="text1"/>
          <w:sz w:val="16"/>
          <w:szCs w:val="16"/>
        </w:rPr>
        <w:softHyphen/>
        <w:t xml:space="preserve">тежи. К этому времени этот проект заинтересовал военных, и они взяли дело постройки броневика в свои руки. </w:t>
      </w:r>
    </w:p>
    <w:p w14:paraId="17E45318" w14:textId="77777777" w:rsidR="00E116AB" w:rsidRPr="00E93F40" w:rsidRDefault="00E116AB"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Корпус БАД-2, внешне напоминавший катер, был из</w:t>
      </w:r>
      <w:r w:rsidRPr="00E93F40">
        <w:rPr>
          <w:rFonts w:ascii="Times New Roman" w:hAnsi="Times New Roman"/>
          <w:color w:val="000000" w:themeColor="text1"/>
          <w:sz w:val="16"/>
          <w:szCs w:val="16"/>
        </w:rPr>
        <w:softHyphen/>
        <w:t>готовлен сварным из 4-6 мм обычной (не броневой) стали. В нашей печати пишут, что он был несущим, но это не так. Корпус крепился к шасси «Форд-Тимкен» при помощи сварки и болтов, причем при проектировании пришлось решать проблему его герметичности при движении на пла</w:t>
      </w:r>
      <w:r w:rsidRPr="00E93F40">
        <w:rPr>
          <w:rFonts w:ascii="Times New Roman" w:hAnsi="Times New Roman"/>
          <w:color w:val="000000" w:themeColor="text1"/>
          <w:sz w:val="16"/>
          <w:szCs w:val="16"/>
        </w:rPr>
        <w:softHyphen/>
        <w:t>ву. Вооружение броневика состояло из 37-мм пушки Б-3 в передней башне, пулемета ДТ в задней и еще одного ДТ в лобовом листе корпуса. Для движения по воде БАД-2 имел трехлопастной гребной винт, установленный на конце червяка передачи заднего моста. Из-за такой конструкции при движении БАД-2 по суше вращался гребной винт, а при движении по воде — колеса задних мостов.</w:t>
      </w:r>
    </w:p>
    <w:p w14:paraId="2D5485C7" w14:textId="77777777" w:rsidR="00E116AB" w:rsidRPr="00E93F40" w:rsidRDefault="00E116AB"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вентиляции боевого отделения по бортам машины имелись жалюзи, закрытые броневыми кожухами. В мотор</w:t>
      </w:r>
      <w:r w:rsidRPr="00E93F40">
        <w:rPr>
          <w:rFonts w:ascii="Times New Roman" w:hAnsi="Times New Roman"/>
          <w:color w:val="000000" w:themeColor="text1"/>
          <w:sz w:val="16"/>
          <w:szCs w:val="16"/>
        </w:rPr>
        <w:softHyphen/>
        <w:t>ное отделение воздух поступал через специальные грибообразные колпаки.</w:t>
      </w:r>
    </w:p>
    <w:p w14:paraId="1E9CF6C4" w14:textId="77777777" w:rsidR="00E116AB" w:rsidRPr="00E93F40" w:rsidRDefault="00E116AB"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Маневрирование машины на плаву велось при помощи поворота передних колес. Для движения по рельсам броне</w:t>
      </w:r>
      <w:r w:rsidRPr="00E93F40">
        <w:rPr>
          <w:rFonts w:ascii="Times New Roman" w:hAnsi="Times New Roman"/>
          <w:color w:val="000000" w:themeColor="text1"/>
          <w:sz w:val="16"/>
          <w:szCs w:val="16"/>
        </w:rPr>
        <w:softHyphen/>
        <w:t>вик, как и БАД-1, переставлялся на железнодорожные бан</w:t>
      </w:r>
      <w:r w:rsidRPr="00E93F40">
        <w:rPr>
          <w:rFonts w:ascii="Times New Roman" w:hAnsi="Times New Roman"/>
          <w:color w:val="000000" w:themeColor="text1"/>
          <w:sz w:val="16"/>
          <w:szCs w:val="16"/>
        </w:rPr>
        <w:softHyphen/>
        <w:t>дажи. Кроме того, для повышения проходимости по пло</w:t>
      </w:r>
      <w:r w:rsidRPr="00E93F40">
        <w:rPr>
          <w:rFonts w:ascii="Times New Roman" w:hAnsi="Times New Roman"/>
          <w:color w:val="000000" w:themeColor="text1"/>
          <w:sz w:val="16"/>
          <w:szCs w:val="16"/>
        </w:rPr>
        <w:softHyphen/>
        <w:t>хим фунтовым дорогам на колеса задних мостов одевалась резиновая лента по типу гусениц автомобилей Кегресса (а не металлические цепи «Оверолл», как пишут некоторые авторы). В качестве дополнительного оборудования БАД-2 оснащался ручным насосом для откачки воды, попавшей внутрь корпуса при движении на плаву (11284).</w:t>
      </w:r>
    </w:p>
    <w:p w14:paraId="06B37E05" w14:textId="77777777" w:rsidR="00E116AB" w:rsidRPr="00E93F40" w:rsidRDefault="00E116AB"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57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Фишман в беседе с Фишером в Москве даже запретил проведение опытов на местности, и они проходили в лаборатории. На переговорах в октябре он заявил, что весь 1932 г. прошел даром, поскольку немцы занимались в основном совершенствованием уже известных химических средств поражения. Свое существование «Томка» прекратила летом 1933 г., тем самым завершив целую главу советско-германских «военно-технических контактов». Это сотрудничество в области военной химии следует оценить как последовательное, плодотворное и взаимовыгодное. Его основным итогом для СССР было то, что менее чем за 10 лет Красная Армия сумела создать собственные химвойска, организовать научные исследования и испытания, наладить производство средств химического нападения и защиты и, таким образом, встать в области военной химии вровень с армиями ведущих мировых держав. В СССР появилась целая плеяда талантливых военных химиков-специалистов по химзащите: В. Аборенков, Д. Балабанов, М. Дубинин, А. Королев, А. Мельников, В. Патрикеев, А. Прокофьев, П. Сергеев, П, Скворцов, В. Ткач, П. Шепелев (Э. Гаме. Указ. соч. С. 52.) (11874).</w:t>
      </w:r>
    </w:p>
    <w:p w14:paraId="5C0CD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E9B2B0" w14:textId="381C1353" w:rsidR="003A267D" w:rsidRPr="00E93F40" w:rsidRDefault="003A26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Фишман в беседе с Фишером в Москве запретил проведение опытов на местности, и они проходили в лаборатории. На переговорах в октябре он заявил, что весь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прошел даром, поскольку немцы занимались в основном совершенствованием уже известных химических средств поражения (18265).</w:t>
      </w:r>
    </w:p>
    <w:p w14:paraId="6779008C" w14:textId="77777777" w:rsidR="003A267D" w:rsidRPr="00E93F40" w:rsidRDefault="003A267D" w:rsidP="00E93F40">
      <w:pPr>
        <w:spacing w:after="0" w:line="240" w:lineRule="auto"/>
        <w:jc w:val="both"/>
        <w:rPr>
          <w:rFonts w:ascii="Times New Roman" w:hAnsi="Times New Roman"/>
          <w:color w:val="000000" w:themeColor="text1"/>
          <w:sz w:val="16"/>
          <w:szCs w:val="16"/>
        </w:rPr>
      </w:pPr>
    </w:p>
    <w:p w14:paraId="2816E9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на заводе им. Козицкого начат выпуск первых советских телевизоров с диском Нипкова для приема изображений с четкостью 30 строк (9923).</w:t>
      </w:r>
    </w:p>
    <w:p w14:paraId="120405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40DE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был пущен Кузнецкий меткомбинат (1348,200).</w:t>
      </w:r>
    </w:p>
    <w:p w14:paraId="369AB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D42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на съезде ВНТОСС бьыо принято решение о создании двух всесо</w:t>
      </w:r>
      <w:r w:rsidRPr="00E93F40">
        <w:rPr>
          <w:rFonts w:ascii="Times New Roman" w:hAnsi="Times New Roman"/>
          <w:color w:val="000000" w:themeColor="text1"/>
          <w:sz w:val="16"/>
          <w:szCs w:val="16"/>
        </w:rPr>
        <w:softHyphen/>
        <w:t>юзных инженерно-технических обществ — водного транспорта (ВНИТОВТ) и судостроения (ВНИТОСС). Первым председателем ВНИТОСС на съезде был избран академик Алексей Николаевич Крылов, который занимал этот пост до своей смерти в 1945 г. (3898)</w:t>
      </w:r>
    </w:p>
    <w:p w14:paraId="519C74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3D685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0D94BD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B405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в Казахстан, где недовольные коллективизацией местные жители получили поддержку из- за китайской границы, где после Гражданской войны осели белые казаки, передислоцировали 37-ю аэ и звено из состава 40-го ао. Но действия там были кратковременными. Казаки вернулись восвояси, за китайскую границу, преследовать их не стали. К началу июля самолеты перелетели в Ташкент.</w:t>
      </w:r>
    </w:p>
    <w:p w14:paraId="7D77E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этому времени в Средней Азии были сосредоточены почти все Р-ЗЛД. В августе 1932 г. их здесь насчитывалось 70 из 80 имевшихся в ВВС РККА плюс три старых Р-ЗМ5. Это явилось следствием того, что потери возмещались за счет машин, освобождавшихся при перевооружении авиачастей в других округах. Самолеты были сильно изношены. Моторы "Лоррэн-Дитрих" многократно перебирались, запчастей к ним не хватало; 20 Р-ЗЛД и два Р-ЗМ5 числились неисправными.</w:t>
      </w:r>
    </w:p>
    <w:p w14:paraId="7C8A6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Поэтому приступили к перевооружению частей 16-й бригады новыми самолетами Р-5. Первые машины, как уже говорилось, поступили еще в 1931 г. К началу 1933 г. они составляли более половины ее состава. Однако процесс затянулся. Басмачей не рассматривали как серьезного противника, считалось, что против них годится и старье. 19 января 1933 г. командующий войсками Среднеазиатского округа докладывал председателю Реввоенсовета: "Состояние самолетов Р-3 с моторами "Лорен Дитрих", находящихся на вооружении в авиачастях вверенного мне округа, в силу изношенности таково, что может обеспечить боевую подготовку... только на 1933 г.". Р-ЗЛД постепенно списывались, но старые самолеты еще принимали участие в операциях. На 1 января 1933 г. в САВО имелось 68 машин, 39 из которых могли подняться в воздух. Примерно в таком же состоянии парк 16-й бригады пребывал и в конце года (11985). </w:t>
      </w:r>
    </w:p>
    <w:p w14:paraId="649C5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96D4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из 16-й бригады выделили отряд во главе с Назарчуком (девять Р-ЗЛД и один Р-5), переброшенный в Туркмению. Он потом участвовал в боях с басмачами у озера Зайсан (12034).</w:t>
      </w:r>
    </w:p>
    <w:p w14:paraId="2156BA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4DF42D" w14:textId="77777777" w:rsidR="00E116AB" w:rsidRPr="00E93F40" w:rsidRDefault="00E116A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51 эскадрилью тяжелобомбардировочной авиации, переброшенную из Европейской части страны на Дальний Восток, передали в Морские эскМорские силы Дальнего Востока и назвали 1 ТЭ (12 ТБ-1 на колесах). Незадолго до этого постановлением Реввоенсовета на Балтике сформировали 121 тяжелую эскадрилью (12 ТБ-1а), а на Черном Море - 124 ТЭ (4 ТБ-1а). Однако за 1933 сделали только 25 мостов (561,6).</w:t>
      </w:r>
    </w:p>
    <w:p w14:paraId="529D2495" w14:textId="77777777" w:rsidR="00E116AB" w:rsidRPr="00E93F40" w:rsidRDefault="00E116AB" w:rsidP="00E93F40">
      <w:pPr>
        <w:autoSpaceDE w:val="0"/>
        <w:autoSpaceDN w:val="0"/>
        <w:adjustRightInd w:val="0"/>
        <w:spacing w:after="0" w:line="240" w:lineRule="auto"/>
        <w:jc w:val="both"/>
        <w:rPr>
          <w:rFonts w:ascii="Times New Roman" w:hAnsi="Times New Roman"/>
          <w:color w:val="000000" w:themeColor="text1"/>
          <w:sz w:val="16"/>
          <w:szCs w:val="16"/>
        </w:rPr>
      </w:pPr>
    </w:p>
    <w:p w14:paraId="23638F16" w14:textId="77777777" w:rsidR="00C85702" w:rsidRPr="00142305" w:rsidRDefault="00C85702" w:rsidP="00C8570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1932 г. вышел приказ К. Е. Ворошилова № 027 о катастрофе самолета «Дорнье- Валь» и наложении взысканий на командование 63-й авиаэскадрильи 9-й авиа</w:t>
      </w:r>
      <w:r w:rsidRPr="00142305">
        <w:rPr>
          <w:rFonts w:ascii="Times New Roman" w:hAnsi="Times New Roman"/>
          <w:color w:val="0070C0"/>
          <w:sz w:val="16"/>
          <w:szCs w:val="16"/>
        </w:rPr>
        <w:softHyphen/>
        <w:t>бригады авиации Черного моря. В приказе говорилось, что в 63-й авиаэскадри</w:t>
      </w:r>
      <w:r w:rsidRPr="00142305">
        <w:rPr>
          <w:rFonts w:ascii="Times New Roman" w:hAnsi="Times New Roman"/>
          <w:color w:val="0070C0"/>
          <w:sz w:val="16"/>
          <w:szCs w:val="16"/>
        </w:rPr>
        <w:softHyphen/>
        <w:t>льи Черного моря потерпел катастрофу самолет «Дорнье-Валь», пилотируемый старшим летчиком Кирсановым, в составе летчика Панчукова, летнаба Ульченко, старшего техника Вихрова и стрелка Кучаева.</w:t>
      </w:r>
    </w:p>
    <w:p w14:paraId="3D750BCB" w14:textId="77777777" w:rsidR="00C85702" w:rsidRPr="00142305" w:rsidRDefault="00C85702" w:rsidP="00C8570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Этим самолетом был допущен крен до 70 градусов, в результате которого самолет вошел в скольжение и врезался в воду. Причина - неудовлетворительное пилотирование самолета Кирсановым, несмотря на его относительно большой налет на этом самолете - 154 часа. При расследовании было установлено, что Кирсанов при проверке пилотирования имел ошибки, которые им не были устра</w:t>
      </w:r>
      <w:r w:rsidRPr="00142305">
        <w:rPr>
          <w:rFonts w:ascii="Times New Roman" w:hAnsi="Times New Roman"/>
          <w:color w:val="0070C0"/>
          <w:sz w:val="16"/>
          <w:szCs w:val="16"/>
        </w:rPr>
        <w:softHyphen/>
        <w:t>нены. Отмечалась ранее и недисциплинированность Кирсанова в воздухе.</w:t>
      </w:r>
    </w:p>
    <w:p w14:paraId="4E524B8E" w14:textId="77777777" w:rsidR="00C85702" w:rsidRPr="00142305" w:rsidRDefault="00C85702" w:rsidP="00C8570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Командир 63-й авиаэскадрильи Неверов арестовывался на 10 суток. Ко</w:t>
      </w:r>
      <w:r w:rsidRPr="00142305">
        <w:rPr>
          <w:rFonts w:ascii="Times New Roman" w:hAnsi="Times New Roman"/>
          <w:color w:val="0070C0"/>
          <w:sz w:val="16"/>
          <w:szCs w:val="16"/>
        </w:rPr>
        <w:softHyphen/>
        <w:t>мандиру 9-й авиабригады Санчуку объявлялся выговор (РГВА. Ф. 4. Оп. 15а. Д. 330. Л. 34) (24068).</w:t>
      </w:r>
    </w:p>
    <w:p w14:paraId="46295423" w14:textId="77777777" w:rsidR="00C85702" w:rsidRPr="00C85702" w:rsidRDefault="00C85702" w:rsidP="00C85702">
      <w:pPr>
        <w:pStyle w:val="aff2"/>
        <w:tabs>
          <w:tab w:val="left" w:pos="594"/>
        </w:tabs>
        <w:spacing w:line="240" w:lineRule="auto"/>
        <w:rPr>
          <w:rFonts w:ascii="Times New Roman" w:hAnsi="Times New Roman" w:cs="Times New Roman"/>
          <w:i w:val="0"/>
          <w:iCs w:val="0"/>
          <w:color w:val="0070C0"/>
          <w:sz w:val="16"/>
          <w:szCs w:val="16"/>
          <w:lang w:val="ru-RU"/>
        </w:rPr>
      </w:pPr>
    </w:p>
    <w:p w14:paraId="719157D8" w14:textId="77777777" w:rsidR="00E116AB" w:rsidRPr="00E93F40" w:rsidRDefault="00E116A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были созданы Морские силы Дальнего Востока, которые 9 января 1935 стали Тихоокеанским флотом (359,109).</w:t>
      </w:r>
    </w:p>
    <w:p w14:paraId="6FE3F300" w14:textId="77777777" w:rsidR="00E116AB" w:rsidRPr="00E93F40" w:rsidRDefault="00E116AB" w:rsidP="00E93F40">
      <w:pPr>
        <w:autoSpaceDE w:val="0"/>
        <w:autoSpaceDN w:val="0"/>
        <w:adjustRightInd w:val="0"/>
        <w:spacing w:after="0" w:line="240" w:lineRule="auto"/>
        <w:jc w:val="both"/>
        <w:rPr>
          <w:rFonts w:ascii="Times New Roman" w:hAnsi="Times New Roman"/>
          <w:color w:val="000000" w:themeColor="text1"/>
          <w:sz w:val="16"/>
          <w:szCs w:val="16"/>
        </w:rPr>
      </w:pPr>
    </w:p>
    <w:p w14:paraId="16EE38D2" w14:textId="77777777" w:rsidR="00E116AB" w:rsidRPr="00E93F40" w:rsidRDefault="00E116A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года в районе Лужского артполигона был поражен ипритом 13-летний мальчик, который нашел и заглянул в стеклянную бутыль с ипритом. Бутыль валялась в полукилометре от границы полигона. Наказывать было некого - виновные обнаружены не были (9065).</w:t>
      </w:r>
    </w:p>
    <w:p w14:paraId="4C068078" w14:textId="77777777" w:rsidR="00E116AB" w:rsidRPr="00E93F40" w:rsidRDefault="00E116AB" w:rsidP="00E93F40">
      <w:pPr>
        <w:autoSpaceDE w:val="0"/>
        <w:autoSpaceDN w:val="0"/>
        <w:adjustRightInd w:val="0"/>
        <w:spacing w:after="0" w:line="240" w:lineRule="auto"/>
        <w:jc w:val="both"/>
        <w:rPr>
          <w:rFonts w:ascii="Times New Roman" w:hAnsi="Times New Roman"/>
          <w:color w:val="000000" w:themeColor="text1"/>
          <w:sz w:val="16"/>
          <w:szCs w:val="16"/>
        </w:rPr>
      </w:pPr>
    </w:p>
    <w:p w14:paraId="22AD2582" w14:textId="77777777" w:rsidR="00E116AB" w:rsidRPr="00E93F40" w:rsidRDefault="00E116A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отряд во главе с Назарчуком (девять Р-ЗЛД и один Р-5) перебросили в Туркмению, где он участвовал в боях с басмачами у оз. Зайсан (11936).</w:t>
      </w:r>
    </w:p>
    <w:p w14:paraId="6784B97A" w14:textId="77777777" w:rsidR="00E116AB" w:rsidRPr="00E93F40" w:rsidRDefault="00E116AB" w:rsidP="00E93F40">
      <w:pPr>
        <w:autoSpaceDE w:val="0"/>
        <w:autoSpaceDN w:val="0"/>
        <w:adjustRightInd w:val="0"/>
        <w:spacing w:after="0" w:line="240" w:lineRule="auto"/>
        <w:jc w:val="both"/>
        <w:rPr>
          <w:rFonts w:ascii="Times New Roman" w:hAnsi="Times New Roman"/>
          <w:color w:val="000000" w:themeColor="text1"/>
          <w:sz w:val="16"/>
          <w:szCs w:val="16"/>
        </w:rPr>
      </w:pPr>
    </w:p>
    <w:p w14:paraId="746B2F3D" w14:textId="77777777" w:rsidR="00C85702" w:rsidRPr="00C85702" w:rsidRDefault="00C85702" w:rsidP="00C85702">
      <w:pPr>
        <w:pStyle w:val="aff2"/>
        <w:tabs>
          <w:tab w:val="left" w:pos="594"/>
        </w:tabs>
        <w:spacing w:line="240" w:lineRule="auto"/>
        <w:rPr>
          <w:rFonts w:ascii="Times New Roman" w:hAnsi="Times New Roman" w:cs="Times New Roman"/>
          <w:i w:val="0"/>
          <w:iCs w:val="0"/>
          <w:color w:val="0070C0"/>
          <w:sz w:val="16"/>
          <w:szCs w:val="16"/>
          <w:lang w:val="ru-RU"/>
        </w:rPr>
      </w:pPr>
      <w:r w:rsidRPr="00C85702">
        <w:rPr>
          <w:rFonts w:ascii="Times New Roman" w:hAnsi="Times New Roman" w:cs="Times New Roman"/>
          <w:i w:val="0"/>
          <w:iCs w:val="0"/>
          <w:color w:val="0070C0"/>
          <w:sz w:val="16"/>
          <w:szCs w:val="16"/>
          <w:lang w:val="ru-RU"/>
        </w:rPr>
        <w:t>В апреле 1932 года, после того как в июне 1931 г. начальник штаба РККА А. И. Егоров, глубоко вникнув в проблемы противовоздушной обороны, изложил их в докладе Реввоенсовету, СНК СССР признал «современное состояние противовоздушной обороны страны неудовлетворительным и не отвечающим задачам и темпам социалистического строительства и обороны». Вышедшее тогда же постановление этого руководящего органа возложило ответственность за всю систему воздушной обороны на наркома по военным и морским делам. Согласно общему плану, стала строиться ПВО столицы (25130).</w:t>
      </w:r>
    </w:p>
    <w:p w14:paraId="4F003AA9" w14:textId="77777777" w:rsidR="00C85702" w:rsidRPr="00C85702" w:rsidRDefault="00C85702" w:rsidP="00C85702">
      <w:pPr>
        <w:pStyle w:val="aff2"/>
        <w:tabs>
          <w:tab w:val="left" w:pos="594"/>
        </w:tabs>
        <w:spacing w:line="240" w:lineRule="auto"/>
        <w:rPr>
          <w:rFonts w:ascii="Times New Roman" w:hAnsi="Times New Roman" w:cs="Times New Roman"/>
          <w:i w:val="0"/>
          <w:iCs w:val="0"/>
          <w:color w:val="0070C0"/>
          <w:sz w:val="16"/>
          <w:szCs w:val="16"/>
          <w:lang w:val="ru-RU"/>
        </w:rPr>
      </w:pPr>
    </w:p>
    <w:p w14:paraId="545BAF75" w14:textId="77777777" w:rsidR="00C85702" w:rsidRPr="00142305" w:rsidRDefault="00C85702" w:rsidP="00C85702">
      <w:pPr>
        <w:widowControl w:val="0"/>
        <w:tabs>
          <w:tab w:val="left" w:pos="476"/>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апреле 1932 года при рассмотре</w:t>
      </w:r>
      <w:r w:rsidRPr="00142305">
        <w:rPr>
          <w:rStyle w:val="aff"/>
          <w:rFonts w:ascii="Times New Roman" w:hAnsi="Times New Roman" w:cs="Times New Roman"/>
          <w:color w:val="0070C0"/>
          <w:spacing w:val="0"/>
          <w:sz w:val="16"/>
          <w:szCs w:val="16"/>
        </w:rPr>
        <w:softHyphen/>
        <w:t>нии в КО вопроса о состоянии и развитии про</w:t>
      </w:r>
      <w:r w:rsidRPr="00142305">
        <w:rPr>
          <w:rStyle w:val="aff"/>
          <w:rFonts w:ascii="Times New Roman" w:hAnsi="Times New Roman" w:cs="Times New Roman"/>
          <w:color w:val="0070C0"/>
          <w:spacing w:val="0"/>
          <w:sz w:val="16"/>
          <w:szCs w:val="16"/>
        </w:rPr>
        <w:softHyphen/>
        <w:t>тивовоздушной и химической обороны Союза ВВС был заострен вопрос о недостаточном количестве нашей истребительной авиации для обороны Союза и неудовлетворительном качестве состоящих на вооружении самоле</w:t>
      </w:r>
      <w:r w:rsidRPr="00142305">
        <w:rPr>
          <w:rStyle w:val="aff"/>
          <w:rFonts w:ascii="Times New Roman" w:hAnsi="Times New Roman" w:cs="Times New Roman"/>
          <w:color w:val="0070C0"/>
          <w:spacing w:val="0"/>
          <w:sz w:val="16"/>
          <w:szCs w:val="16"/>
        </w:rPr>
        <w:softHyphen/>
        <w:t>тов истребителей.</w:t>
      </w:r>
    </w:p>
    <w:p w14:paraId="5C66FC16" w14:textId="77777777" w:rsidR="00C85702" w:rsidRPr="00142305" w:rsidRDefault="00C85702" w:rsidP="00C8570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результате этого решение КО, оформ</w:t>
      </w:r>
      <w:r w:rsidRPr="00142305">
        <w:rPr>
          <w:rStyle w:val="aff"/>
          <w:rFonts w:ascii="Times New Roman" w:hAnsi="Times New Roman" w:cs="Times New Roman"/>
          <w:color w:val="0070C0"/>
          <w:spacing w:val="0"/>
          <w:sz w:val="16"/>
          <w:szCs w:val="16"/>
        </w:rPr>
        <w:softHyphen/>
        <w:t>ленное в виде постановления СНК от 5 апреля 1932 года за № 516/120 обязало НКТП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w:t>
      </w:r>
      <w:r w:rsidRPr="00142305">
        <w:rPr>
          <w:rStyle w:val="aff"/>
          <w:rFonts w:ascii="Times New Roman" w:hAnsi="Times New Roman" w:cs="Times New Roman"/>
          <w:color w:val="0070C0"/>
          <w:spacing w:val="0"/>
          <w:sz w:val="16"/>
          <w:szCs w:val="16"/>
        </w:rPr>
        <w:softHyphen/>
        <w:t>ном производстве (25519).</w:t>
      </w:r>
    </w:p>
    <w:p w14:paraId="75E1B700" w14:textId="77777777" w:rsidR="00C85702" w:rsidRPr="00142305" w:rsidRDefault="00C85702" w:rsidP="00C85702">
      <w:pPr>
        <w:spacing w:after="0" w:line="240" w:lineRule="auto"/>
        <w:jc w:val="both"/>
        <w:rPr>
          <w:rFonts w:ascii="Times New Roman" w:hAnsi="Times New Roman"/>
          <w:color w:val="0070C0"/>
          <w:sz w:val="16"/>
          <w:szCs w:val="16"/>
        </w:rPr>
      </w:pPr>
    </w:p>
    <w:p w14:paraId="7870BFDD" w14:textId="77777777" w:rsidR="00E116AB" w:rsidRPr="00E93F40" w:rsidRDefault="00E116AB"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87D8397" w14:textId="77777777" w:rsidR="00E116AB" w:rsidRPr="00E93F40" w:rsidRDefault="00E116A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5FEB78" w14:textId="77777777" w:rsidR="003A267D" w:rsidRPr="00E93F40" w:rsidRDefault="003A26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Апрель 1932. По Москве налог на велосипед составил 10 рублей и на мотоцикл - 12 рублей (18723).</w:t>
      </w:r>
    </w:p>
    <w:p w14:paraId="65D937CD" w14:textId="77777777" w:rsidR="003A267D" w:rsidRPr="00E93F40" w:rsidRDefault="003A267D" w:rsidP="00E93F40">
      <w:pPr>
        <w:spacing w:after="0" w:line="240" w:lineRule="auto"/>
        <w:jc w:val="both"/>
        <w:rPr>
          <w:rFonts w:ascii="Times New Roman" w:hAnsi="Times New Roman"/>
          <w:color w:val="000000" w:themeColor="text1"/>
          <w:sz w:val="16"/>
          <w:szCs w:val="16"/>
        </w:rPr>
      </w:pPr>
    </w:p>
    <w:p w14:paraId="593EB22D" w14:textId="77777777" w:rsidR="003A267D" w:rsidRPr="00E93F40" w:rsidRDefault="003A26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Апрель 1932. Открылось самое крупное рабочее кафе Москвы - при фабрике-кухне - 1 Краснопресненского района. В среднем за вечер здесь отпускалось больше четырех тысяч блюд. Меню самое разнообразное. Цена -не выше стоимости соответствующих рабочих буфетов. Так, например, салат овощной - 3 копейки, тешка белорыбная -1 рубль, свинина -1 рубль 50 копеек, сдоба свежая -25 копеек, пирожное - 35 копеек. В зале кафе играл оркестр (18723).</w:t>
      </w:r>
    </w:p>
    <w:p w14:paraId="5546481B" w14:textId="77777777" w:rsidR="003A267D" w:rsidRPr="00E93F40" w:rsidRDefault="003A267D" w:rsidP="00E93F40">
      <w:pPr>
        <w:spacing w:after="0" w:line="240" w:lineRule="auto"/>
        <w:jc w:val="both"/>
        <w:rPr>
          <w:rFonts w:ascii="Times New Roman" w:hAnsi="Times New Roman"/>
          <w:color w:val="000000" w:themeColor="text1"/>
          <w:sz w:val="16"/>
          <w:szCs w:val="16"/>
        </w:rPr>
      </w:pPr>
    </w:p>
    <w:p w14:paraId="044912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г. Совет Народных комиссаров СССР принял два постановления «О строительстве Байкало-Амурской железной дороги». Эти документы называли конечные пункты магистрали – ст. Уруша на западе и с. Пермское на востоке. СНК СССР потребовал от Наркомата путей сообщения обеспечить «немедленный приступ ко всем подготовительным работам по сооружению БАМа» с тем чтобы к концу 1935 г. обеспечить сквозное движение поездов на всем протяжении железной дороги в режиме рабочей эксплуатации. Тогда же решением Политбюро ЦК ВКП(б) руководителем строительства был назначен Сергей Витальевич Мрачковский.</w:t>
      </w:r>
    </w:p>
    <w:p w14:paraId="0266A1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первые же месяцы руководители стройки столкнулись с острейшим дефицитом трудовых ресурсов. Официально установленный среднесписочный контингент работающих определялся в 25-26 тыс. человек. С.В. Мрачковский полагал, что для выполнения программы 1932 г. необходимо иметь в два раза больше людей.</w:t>
      </w:r>
    </w:p>
    <w:p w14:paraId="365EC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даже этот показатель можно расценивать как заниженный и не отвечающий нуждам стройки. Подтверждением тому может стать сооружение восточного крыла БАМа – дороги от Комсомольска до Советской Гавани протяжённостью в 445 км. В 1944 г. оно потребовало более 80 тыс. человек (11545).</w:t>
      </w:r>
    </w:p>
    <w:p w14:paraId="6CF41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 г. Байкало-Амурскую магистраль строили всего 2500 чел. – десятая часть от требуемого минимума. Набрать людей на западе СССР и доставить их на строительство Байкало-Амурской магистрали было делом нелегким. Вербовка «организована прямо-таки преступно, – писал С.В. Мрачковский. – Плохо снабжаемые в дорогу и в дороге, лишенные питания на остановочных пунктах, рабочие либо разбегались в пути, либо… прибывали на строительство в неработоспособном состоянии» (11545).</w:t>
      </w:r>
    </w:p>
    <w:p w14:paraId="6C31380D" w14:textId="68AB1A4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1D0180" w14:textId="32C566DB" w:rsidR="00E116AB" w:rsidRPr="00E93F40" w:rsidRDefault="00E116AB"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6DDE2371" w14:textId="77777777" w:rsidR="00E116AB" w:rsidRPr="00E93F40" w:rsidRDefault="00E116AB"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01078ED3" w14:textId="77777777" w:rsidR="00E116AB" w:rsidRPr="00E93F40" w:rsidRDefault="00E116A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Апрель 1932 состоялся первый полет Curtiss XP-23 Hawk, последний биплан, построенный для ВВС США (20803).</w:t>
      </w:r>
    </w:p>
    <w:p w14:paraId="19FEDA1F" w14:textId="77777777" w:rsidR="00E116AB" w:rsidRPr="00E93F40" w:rsidRDefault="00E116AB" w:rsidP="00E93F40">
      <w:pPr>
        <w:spacing w:after="0" w:line="240" w:lineRule="auto"/>
        <w:jc w:val="both"/>
        <w:rPr>
          <w:rFonts w:ascii="Times New Roman" w:hAnsi="Times New Roman"/>
          <w:color w:val="000000" w:themeColor="text1"/>
          <w:sz w:val="16"/>
          <w:szCs w:val="16"/>
        </w:rPr>
      </w:pPr>
    </w:p>
    <w:p w14:paraId="1643BD53" w14:textId="77777777" w:rsidR="00C85702" w:rsidRPr="00142305" w:rsidRDefault="00C85702" w:rsidP="00C85702">
      <w:pPr>
        <w:tabs>
          <w:tab w:val="left" w:leader="hyphen" w:pos="7526"/>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апреле 1932 г. Степонас Дарюс и Стасис Гиренас на личные сбережения купили отслу</w:t>
      </w:r>
      <w:r w:rsidRPr="00142305">
        <w:rPr>
          <w:rStyle w:val="aff"/>
          <w:rFonts w:ascii="Times New Roman" w:hAnsi="Times New Roman" w:cs="Times New Roman"/>
          <w:color w:val="0070C0"/>
          <w:spacing w:val="0"/>
          <w:sz w:val="16"/>
          <w:szCs w:val="16"/>
        </w:rPr>
        <w:softHyphen/>
        <w:t xml:space="preserve">живший свое самолет Белланка СН-300 с двигателем </w:t>
      </w:r>
      <w:r w:rsidRPr="00142305">
        <w:rPr>
          <w:rStyle w:val="aff"/>
          <w:rFonts w:ascii="Times New Roman" w:hAnsi="Times New Roman" w:cs="Times New Roman"/>
          <w:color w:val="0070C0"/>
          <w:spacing w:val="0"/>
          <w:sz w:val="16"/>
          <w:szCs w:val="16"/>
          <w:lang w:val="en-US"/>
        </w:rPr>
        <w:t>J</w:t>
      </w:r>
      <w:r w:rsidRPr="00142305">
        <w:rPr>
          <w:rStyle w:val="aff"/>
          <w:rFonts w:ascii="Times New Roman" w:hAnsi="Times New Roman" w:cs="Times New Roman"/>
          <w:color w:val="0070C0"/>
          <w:spacing w:val="0"/>
          <w:sz w:val="16"/>
          <w:szCs w:val="16"/>
        </w:rPr>
        <w:t>-6 мощ</w:t>
      </w:r>
      <w:r w:rsidRPr="00142305">
        <w:rPr>
          <w:rStyle w:val="aff"/>
          <w:rFonts w:ascii="Times New Roman" w:hAnsi="Times New Roman" w:cs="Times New Roman"/>
          <w:color w:val="0070C0"/>
          <w:spacing w:val="0"/>
          <w:sz w:val="16"/>
          <w:szCs w:val="16"/>
        </w:rPr>
        <w:softHyphen/>
        <w:t>ностью в 300 л. с. По их мнению, он лучше других подходил для трансатлантического полета. Это был обычный и довольно распространенный для того времени летательный аппарат. Он</w:t>
      </w:r>
      <w:r w:rsidRPr="00142305">
        <w:rPr>
          <w:rStyle w:val="30"/>
          <w:rFonts w:ascii="Times New Roman" w:eastAsia="Calibri" w:hAnsi="Times New Roman"/>
          <w:color w:val="0070C0"/>
          <w:sz w:val="16"/>
          <w:szCs w:val="16"/>
        </w:rPr>
        <w:t xml:space="preserve"> </w:t>
      </w:r>
      <w:r w:rsidRPr="00142305">
        <w:rPr>
          <w:rStyle w:val="aff"/>
          <w:rFonts w:ascii="Times New Roman" w:hAnsi="Times New Roman" w:cs="Times New Roman"/>
          <w:color w:val="0070C0"/>
          <w:spacing w:val="0"/>
          <w:sz w:val="16"/>
          <w:szCs w:val="16"/>
        </w:rPr>
        <w:t>применялся на местных воздушных линиях для перевозки ше</w:t>
      </w:r>
      <w:r w:rsidRPr="00142305">
        <w:rPr>
          <w:rStyle w:val="aff"/>
          <w:rFonts w:ascii="Times New Roman" w:hAnsi="Times New Roman" w:cs="Times New Roman"/>
          <w:color w:val="0070C0"/>
          <w:spacing w:val="0"/>
          <w:sz w:val="16"/>
          <w:szCs w:val="16"/>
        </w:rPr>
        <w:softHyphen/>
        <w:t>сти пассажиров или груза. Самолет нуждался в значительной переделке. Требовалось удлинить крылья, разместить топлив</w:t>
      </w:r>
      <w:r w:rsidRPr="00142305">
        <w:rPr>
          <w:rStyle w:val="aff"/>
          <w:rFonts w:ascii="Times New Roman" w:hAnsi="Times New Roman" w:cs="Times New Roman"/>
          <w:color w:val="0070C0"/>
          <w:spacing w:val="0"/>
          <w:sz w:val="16"/>
          <w:szCs w:val="16"/>
        </w:rPr>
        <w:softHyphen/>
        <w:t>ные баки, установить навигационное оборудование. Летчики обратились за помощью к соотечественникам: «...мы пожерт</w:t>
      </w:r>
      <w:r w:rsidRPr="00142305">
        <w:rPr>
          <w:rStyle w:val="aff"/>
          <w:rFonts w:ascii="Times New Roman" w:hAnsi="Times New Roman" w:cs="Times New Roman"/>
          <w:color w:val="0070C0"/>
          <w:spacing w:val="0"/>
          <w:sz w:val="16"/>
          <w:szCs w:val="16"/>
        </w:rPr>
        <w:softHyphen/>
        <w:t xml:space="preserve">вовали </w:t>
      </w:r>
      <w:r w:rsidRPr="00142305">
        <w:rPr>
          <w:rStyle w:val="aff"/>
          <w:rFonts w:ascii="Times New Roman" w:hAnsi="Times New Roman" w:cs="Times New Roman"/>
          <w:color w:val="0070C0"/>
          <w:spacing w:val="0"/>
          <w:sz w:val="16"/>
          <w:szCs w:val="16"/>
        </w:rPr>
        <w:lastRenderedPageBreak/>
        <w:t>состоянием и отдаем все свои силы, однако приобрести необходимое оборудование уже не имеем возможности». Не все литовские эмигранты поверили в успех мероприятия, не всякий сумел по достоинству оценить значение будущего полета. Тем не менее, необходимая сумма была собрана (25675).</w:t>
      </w:r>
    </w:p>
    <w:p w14:paraId="3FC2D146" w14:textId="77777777" w:rsidR="00C85702" w:rsidRPr="00C85702" w:rsidRDefault="00C85702" w:rsidP="00C85702">
      <w:pPr>
        <w:pStyle w:val="aff2"/>
        <w:tabs>
          <w:tab w:val="left" w:pos="594"/>
        </w:tabs>
        <w:spacing w:line="240" w:lineRule="auto"/>
        <w:rPr>
          <w:rFonts w:ascii="Times New Roman" w:hAnsi="Times New Roman" w:cs="Times New Roman"/>
          <w:i w:val="0"/>
          <w:iCs w:val="0"/>
          <w:color w:val="0070C0"/>
          <w:sz w:val="16"/>
          <w:szCs w:val="16"/>
          <w:lang w:val="ru-RU"/>
        </w:rPr>
      </w:pPr>
    </w:p>
    <w:p w14:paraId="65EF14F5" w14:textId="77777777" w:rsidR="00C85702" w:rsidRPr="00142305" w:rsidRDefault="00C85702" w:rsidP="00C85702">
      <w:pPr>
        <w:tabs>
          <w:tab w:val="left" w:leader="hyphen" w:pos="7526"/>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апреле 1932 г. был получен государственный заказ на самолет Виккерс «Тип 253» Конструктор Барнс Н. Уоллес смог убедить ру</w:t>
      </w:r>
      <w:r w:rsidRPr="00142305">
        <w:rPr>
          <w:rStyle w:val="aff"/>
          <w:rFonts w:ascii="Times New Roman" w:hAnsi="Times New Roman" w:cs="Times New Roman"/>
          <w:color w:val="0070C0"/>
          <w:spacing w:val="0"/>
          <w:sz w:val="16"/>
          <w:szCs w:val="16"/>
        </w:rPr>
        <w:softHyphen/>
        <w:t>ководство фирмы в преимуществах моноплана и добился разре</w:t>
      </w:r>
      <w:r w:rsidRPr="00142305">
        <w:rPr>
          <w:rStyle w:val="aff"/>
          <w:rFonts w:ascii="Times New Roman" w:hAnsi="Times New Roman" w:cs="Times New Roman"/>
          <w:color w:val="0070C0"/>
          <w:spacing w:val="0"/>
          <w:sz w:val="16"/>
          <w:szCs w:val="16"/>
        </w:rPr>
        <w:softHyphen/>
        <w:t>шения на параллельную постройку самолета «Тип 246». Первый полет «Тип 253» состоялся на аэродроме Брукленде 16 авгу</w:t>
      </w:r>
      <w:r w:rsidRPr="00142305">
        <w:rPr>
          <w:rStyle w:val="aff"/>
          <w:rFonts w:ascii="Times New Roman" w:hAnsi="Times New Roman" w:cs="Times New Roman"/>
          <w:color w:val="0070C0"/>
          <w:spacing w:val="0"/>
          <w:sz w:val="16"/>
          <w:szCs w:val="16"/>
        </w:rPr>
        <w:softHyphen/>
        <w:t>ста 1934 г. Биплан имел достаточно широкое крыло и монопланное оперение. Металлический каркас фюзеляжа состоял из усовершенствованных «геодезических» элементов. Четыре лонжерона и тонкие шпангоуты были заключены в пересекаю</w:t>
      </w:r>
      <w:r w:rsidRPr="00142305">
        <w:rPr>
          <w:rStyle w:val="aff"/>
          <w:rFonts w:ascii="Times New Roman" w:hAnsi="Times New Roman" w:cs="Times New Roman"/>
          <w:color w:val="0070C0"/>
          <w:spacing w:val="0"/>
          <w:sz w:val="16"/>
          <w:szCs w:val="16"/>
        </w:rPr>
        <w:softHyphen/>
        <w:t>щиеся спирали, образованные арочными балками двутаврово</w:t>
      </w:r>
      <w:r w:rsidRPr="00142305">
        <w:rPr>
          <w:rStyle w:val="aff"/>
          <w:rFonts w:ascii="Times New Roman" w:hAnsi="Times New Roman" w:cs="Times New Roman"/>
          <w:color w:val="0070C0"/>
          <w:spacing w:val="0"/>
          <w:sz w:val="16"/>
          <w:szCs w:val="16"/>
        </w:rPr>
        <w:softHyphen/>
        <w:t>го сечения. После некоторых доработок «Тип 253» перевели в Летно-исследовательский центр в Фарнборо, а затем на авиа</w:t>
      </w:r>
      <w:r w:rsidRPr="00142305">
        <w:rPr>
          <w:rStyle w:val="aff"/>
          <w:rFonts w:ascii="Times New Roman" w:hAnsi="Times New Roman" w:cs="Times New Roman"/>
          <w:color w:val="0070C0"/>
          <w:spacing w:val="0"/>
          <w:sz w:val="16"/>
          <w:szCs w:val="16"/>
        </w:rPr>
        <w:softHyphen/>
        <w:t>базу Мартлешем Хит для государственных испытаний. Но по</w:t>
      </w:r>
      <w:r w:rsidRPr="00142305">
        <w:rPr>
          <w:rStyle w:val="aff"/>
          <w:rFonts w:ascii="Times New Roman" w:hAnsi="Times New Roman" w:cs="Times New Roman"/>
          <w:color w:val="0070C0"/>
          <w:spacing w:val="0"/>
          <w:sz w:val="16"/>
          <w:szCs w:val="16"/>
        </w:rPr>
        <w:softHyphen/>
        <w:t>сле серьезной аварии этого самолета предпочтение было отда</w:t>
      </w:r>
      <w:r w:rsidRPr="00142305">
        <w:rPr>
          <w:rStyle w:val="aff"/>
          <w:rFonts w:ascii="Times New Roman" w:hAnsi="Times New Roman" w:cs="Times New Roman"/>
          <w:color w:val="0070C0"/>
          <w:spacing w:val="0"/>
          <w:sz w:val="16"/>
          <w:szCs w:val="16"/>
        </w:rPr>
        <w:softHyphen/>
        <w:t>но биплану «Тип 253». В отличие от предшественника данный прототип был полностью «геодезическим». Фюзеляж имел кон</w:t>
      </w:r>
      <w:r w:rsidRPr="00142305">
        <w:rPr>
          <w:rStyle w:val="aff"/>
          <w:rFonts w:ascii="Times New Roman" w:hAnsi="Times New Roman" w:cs="Times New Roman"/>
          <w:color w:val="0070C0"/>
          <w:spacing w:val="0"/>
          <w:sz w:val="16"/>
          <w:szCs w:val="16"/>
        </w:rPr>
        <w:softHyphen/>
        <w:t>струкцию, отработанную на предыдущей машине. Низкораспо</w:t>
      </w:r>
      <w:r w:rsidRPr="00142305">
        <w:rPr>
          <w:rStyle w:val="aff"/>
          <w:rFonts w:ascii="Times New Roman" w:hAnsi="Times New Roman" w:cs="Times New Roman"/>
          <w:color w:val="0070C0"/>
          <w:spacing w:val="0"/>
          <w:sz w:val="16"/>
          <w:szCs w:val="16"/>
        </w:rPr>
        <w:softHyphen/>
        <w:t>ложенное свободнонесущее разъемное крыло большого удлинения было оснащено металлическим носком, элеронами Фрайза и закрылками Шренка. Запас топлива составлял 1955 л. Основ</w:t>
      </w:r>
      <w:r w:rsidRPr="00142305">
        <w:rPr>
          <w:rStyle w:val="aff"/>
          <w:rFonts w:ascii="Times New Roman" w:hAnsi="Times New Roman" w:cs="Times New Roman"/>
          <w:color w:val="0070C0"/>
          <w:spacing w:val="0"/>
          <w:sz w:val="16"/>
          <w:szCs w:val="16"/>
        </w:rPr>
        <w:softHyphen/>
        <w:t>ное шасси убиралось в ниши центроплана по направлению к фюзеляжу. Неподвижное хвостовое колесо было снабжено об</w:t>
      </w:r>
      <w:r w:rsidRPr="00142305">
        <w:rPr>
          <w:rStyle w:val="aff"/>
          <w:rFonts w:ascii="Times New Roman" w:hAnsi="Times New Roman" w:cs="Times New Roman"/>
          <w:color w:val="0070C0"/>
          <w:spacing w:val="0"/>
          <w:sz w:val="16"/>
          <w:szCs w:val="16"/>
        </w:rPr>
        <w:softHyphen/>
        <w:t>текателем. Пилот и стрелок-радист располагались в сообщаю</w:t>
      </w:r>
      <w:r w:rsidRPr="00142305">
        <w:rPr>
          <w:rStyle w:val="aff"/>
          <w:rFonts w:ascii="Times New Roman" w:hAnsi="Times New Roman" w:cs="Times New Roman"/>
          <w:color w:val="0070C0"/>
          <w:spacing w:val="0"/>
          <w:sz w:val="16"/>
          <w:szCs w:val="16"/>
        </w:rPr>
        <w:softHyphen/>
        <w:t>щихся кабинах. Вооружение должно было состоять из одного пулемета в крыле и второго у стрелка (25675).</w:t>
      </w:r>
    </w:p>
    <w:p w14:paraId="2003EF85" w14:textId="77777777" w:rsidR="00C85702" w:rsidRPr="00C85702" w:rsidRDefault="00C85702" w:rsidP="00C85702">
      <w:pPr>
        <w:pStyle w:val="aff2"/>
        <w:tabs>
          <w:tab w:val="left" w:pos="594"/>
        </w:tabs>
        <w:spacing w:line="240" w:lineRule="auto"/>
        <w:rPr>
          <w:rFonts w:ascii="Times New Roman" w:hAnsi="Times New Roman" w:cs="Times New Roman"/>
          <w:i w:val="0"/>
          <w:iCs w:val="0"/>
          <w:color w:val="0070C0"/>
          <w:sz w:val="16"/>
          <w:szCs w:val="16"/>
          <w:lang w:val="ru-RU"/>
        </w:rPr>
      </w:pPr>
    </w:p>
    <w:p w14:paraId="610283D8" w14:textId="77777777" w:rsidR="00E116AB" w:rsidRPr="00E93F40" w:rsidRDefault="00E116A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1932 Испанская авиакомпания LAPE начинает свою деятельность (20803).</w:t>
      </w:r>
    </w:p>
    <w:p w14:paraId="3888DDBB" w14:textId="77777777" w:rsidR="00E116AB" w:rsidRPr="00E93F40" w:rsidRDefault="00E116AB" w:rsidP="00E93F40">
      <w:pPr>
        <w:spacing w:after="0" w:line="240" w:lineRule="auto"/>
        <w:jc w:val="both"/>
        <w:rPr>
          <w:rFonts w:ascii="Times New Roman" w:hAnsi="Times New Roman"/>
          <w:color w:val="000000" w:themeColor="text1"/>
          <w:sz w:val="16"/>
          <w:szCs w:val="16"/>
        </w:rPr>
      </w:pPr>
    </w:p>
    <w:p w14:paraId="3740436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767C4C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F4DC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 мае 1932 г. был создан проект М-22У, который объединил ПЦН по типу М-22Н с новы</w:t>
      </w:r>
      <w:r w:rsidRPr="00E93F40">
        <w:rPr>
          <w:rFonts w:ascii="Times New Roman" w:hAnsi="Times New Roman"/>
          <w:color w:val="000000" w:themeColor="text1"/>
          <w:sz w:val="16"/>
          <w:szCs w:val="16"/>
        </w:rPr>
        <w:softHyphen/>
        <w:t>ми головками цилиндров (сделанными по типу американского мотора Пратт-Уитни «Хорнет»), большей площадью оребрения цилиндров и шлицевым но</w:t>
      </w:r>
      <w:r w:rsidRPr="00E93F40">
        <w:rPr>
          <w:rFonts w:ascii="Times New Roman" w:hAnsi="Times New Roman"/>
          <w:color w:val="000000" w:themeColor="text1"/>
          <w:sz w:val="16"/>
          <w:szCs w:val="16"/>
        </w:rPr>
        <w:softHyphen/>
        <w:t>ском коленвала (под ВИШ). Назаров внес в М-22У еще целый ряд изменений. Предназначался новый двигатель в первую очередь для истребителей. Проект был представлен в УВВС и внесен в план 1933 г. уже как М-58. М-58 изготовили в нескольких экземплярах и испытали на стенде. В ходе доводки мощность мотора постепенно подняли до 800 л.с. «Ахил</w:t>
      </w:r>
      <w:r w:rsidRPr="00E93F40">
        <w:rPr>
          <w:rFonts w:ascii="Times New Roman" w:hAnsi="Times New Roman"/>
          <w:color w:val="000000" w:themeColor="text1"/>
          <w:sz w:val="16"/>
          <w:szCs w:val="16"/>
        </w:rPr>
        <w:softHyphen/>
        <w:t>лесовой пятой» его являлся нагнетатель, надежность которого была невы</w:t>
      </w:r>
      <w:r w:rsidRPr="00E93F40">
        <w:rPr>
          <w:rFonts w:ascii="Times New Roman" w:hAnsi="Times New Roman"/>
          <w:color w:val="000000" w:themeColor="text1"/>
          <w:sz w:val="16"/>
          <w:szCs w:val="16"/>
        </w:rPr>
        <w:softHyphen/>
        <w:t>сокой. Это вынудило перейти к промежуточной модификации М-58МН с уменьшенным наддувом. Такой двигатель удовлетворительно прошел за</w:t>
      </w:r>
      <w:r w:rsidRPr="00E93F40">
        <w:rPr>
          <w:rFonts w:ascii="Times New Roman" w:hAnsi="Times New Roman"/>
          <w:color w:val="000000" w:themeColor="text1"/>
          <w:sz w:val="16"/>
          <w:szCs w:val="16"/>
        </w:rPr>
        <w:softHyphen/>
        <w:t>водские, а в сентябре 1934 г. — государственные испытания. В ноябре 1935 г. — мае 1936 г. он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E93F40">
        <w:rPr>
          <w:rFonts w:ascii="Times New Roman" w:hAnsi="Times New Roman"/>
          <w:color w:val="000000" w:themeColor="text1"/>
          <w:sz w:val="16"/>
          <w:szCs w:val="16"/>
        </w:rPr>
        <w:softHyphen/>
        <w:t>ной авиации. Кроме того, выпуск базового М-22 к моменту завершения ис</w:t>
      </w:r>
      <w:r w:rsidRPr="00E93F40">
        <w:rPr>
          <w:rFonts w:ascii="Times New Roman" w:hAnsi="Times New Roman"/>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E93F40">
        <w:rPr>
          <w:rFonts w:ascii="Times New Roman" w:hAnsi="Times New Roman"/>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26C5EF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Являлся развитием конструкции серийного мотора М-22 (Гном-Рон 9А «Юпитер»). Первоначально именовался М-22У. Разрабатывался в апреле — мае 1932 г. Технико-конструкторским отделом завода № 29 (Запорожье) под руководством А.С. Назарова для замены М-22 как вне</w:t>
      </w:r>
      <w:r w:rsidRPr="00E93F40">
        <w:rPr>
          <w:rFonts w:ascii="Times New Roman" w:hAnsi="Times New Roman"/>
          <w:color w:val="000000" w:themeColor="text1"/>
          <w:sz w:val="16"/>
          <w:szCs w:val="16"/>
        </w:rPr>
        <w:softHyphen/>
        <w:t>плановый (по инициативе завода). Отличался головками цилиндров типа «Хорнет», полыми выхлопными клапанами с воздушным охлаждением, цилиндрами с более частым оребрением и новыми фланцами, ролико</w:t>
      </w:r>
      <w:r w:rsidRPr="00E93F40">
        <w:rPr>
          <w:rFonts w:ascii="Times New Roman" w:hAnsi="Times New Roman"/>
          <w:color w:val="000000" w:themeColor="text1"/>
          <w:sz w:val="16"/>
          <w:szCs w:val="16"/>
        </w:rPr>
        <w:softHyphen/>
        <w:t>выми подшипниками коленвала (кроме переднего), новой схемой смазки шатунов, шлицевым носком коленвала, наличием ПЦН, использованием титановых сплавов. Первые три экземпляра мотора, получившего новое обозначение М-58, начали изготавливать в апреле 1932 г. Карбюраторы и магнето устанавливались импортные. Первый опытный образец испы</w:t>
      </w:r>
      <w:r w:rsidRPr="00E93F40">
        <w:rPr>
          <w:rFonts w:ascii="Times New Roman" w:hAnsi="Times New Roman"/>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E93F40">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E93F40">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E93F40">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E93F40">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E93F40">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E93F40">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128F04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13AC13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9-цилиндровый, звездообразный, четырехтактный, воздушного охлаж</w:t>
      </w:r>
      <w:r w:rsidRPr="00E93F40">
        <w:rPr>
          <w:rFonts w:ascii="Times New Roman" w:hAnsi="Times New Roman"/>
          <w:color w:val="000000" w:themeColor="text1"/>
          <w:sz w:val="16"/>
          <w:szCs w:val="16"/>
        </w:rPr>
        <w:softHyphen/>
        <w:t>дения, безредукторный, с одноступенчатым односкоростным ПЦН;</w:t>
      </w:r>
    </w:p>
    <w:p w14:paraId="4B671C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160/190 мм;</w:t>
      </w:r>
    </w:p>
    <w:p w14:paraId="4DCAA9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34,4 л;</w:t>
      </w:r>
    </w:p>
    <w:p w14:paraId="72DCC4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5,5;</w:t>
      </w:r>
    </w:p>
    <w:p w14:paraId="1A6FA8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по проекту 630/800 л.с., реально 630/785 л.с.;</w:t>
      </w:r>
    </w:p>
    <w:p w14:paraId="48A604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в зависимости от модификации. Известны модификации:</w:t>
      </w:r>
    </w:p>
    <w:p w14:paraId="2419E3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М-58Н</w:t>
      </w:r>
    </w:p>
    <w:p w14:paraId="104343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М-58, три первых опытных экземпляра с полным наддувом, 630/680 л.с., вес 445^450 кг.</w:t>
      </w:r>
    </w:p>
    <w:p w14:paraId="7F7D63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08531F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М-58Н, отличался от М-58МН передачей к ПЦН, крыльчаткой и диф</w:t>
      </w:r>
      <w:r w:rsidRPr="00E93F40">
        <w:rPr>
          <w:rFonts w:ascii="Times New Roman" w:hAnsi="Times New Roman"/>
          <w:color w:val="000000" w:themeColor="text1"/>
          <w:sz w:val="16"/>
          <w:szCs w:val="16"/>
        </w:rPr>
        <w:softHyphen/>
        <w:t>фузором.</w:t>
      </w:r>
    </w:p>
    <w:p w14:paraId="77DAFD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274A77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D776E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AF8D94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B53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апреле-мае 1932 проходили полигонные испытания на НИБТ полигоне САУ Т-27М (Т-27С), разработанной КБ завода Большевик по проекту К.К.Сиркена в 1931 (9527,269).</w:t>
      </w:r>
    </w:p>
    <w:p w14:paraId="1ECFCF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EE2FB8" w14:textId="77777777" w:rsidR="00C85702" w:rsidRPr="00C85702" w:rsidRDefault="00C85702" w:rsidP="00C85702">
      <w:pPr>
        <w:pStyle w:val="aff2"/>
        <w:tabs>
          <w:tab w:val="left" w:pos="594"/>
        </w:tabs>
        <w:spacing w:line="240" w:lineRule="auto"/>
        <w:rPr>
          <w:rFonts w:ascii="Times New Roman" w:hAnsi="Times New Roman" w:cs="Times New Roman"/>
          <w:i w:val="0"/>
          <w:iCs w:val="0"/>
          <w:color w:val="0070C0"/>
          <w:sz w:val="16"/>
          <w:szCs w:val="16"/>
          <w:lang w:val="ru-RU"/>
        </w:rPr>
      </w:pPr>
      <w:r w:rsidRPr="00C85702">
        <w:rPr>
          <w:rFonts w:ascii="Times New Roman" w:hAnsi="Times New Roman" w:cs="Times New Roman"/>
          <w:i w:val="0"/>
          <w:iCs w:val="0"/>
          <w:color w:val="0070C0"/>
          <w:sz w:val="16"/>
          <w:szCs w:val="16"/>
          <w:lang w:val="ru-RU"/>
        </w:rPr>
        <w:t>В апреле—мае 1932 г. самоходная установка Т-27М (Т-27С, или Т-27/С/), которую создали в КБ ленинградского завода «Большевик» по проекту К.К. Сиркена в 1931 г., прошла полигонные испытания в Подмосковье.</w:t>
      </w:r>
    </w:p>
    <w:p w14:paraId="0AA9987D" w14:textId="77777777" w:rsidR="00C85702" w:rsidRPr="00C85702" w:rsidRDefault="00C85702" w:rsidP="00C85702">
      <w:pPr>
        <w:pStyle w:val="aff2"/>
        <w:tabs>
          <w:tab w:val="left" w:pos="594"/>
        </w:tabs>
        <w:spacing w:line="240" w:lineRule="auto"/>
        <w:rPr>
          <w:rFonts w:ascii="Times New Roman" w:hAnsi="Times New Roman" w:cs="Times New Roman"/>
          <w:i w:val="0"/>
          <w:iCs w:val="0"/>
          <w:color w:val="0070C0"/>
          <w:sz w:val="16"/>
          <w:szCs w:val="16"/>
          <w:lang w:val="ru-RU"/>
        </w:rPr>
      </w:pPr>
      <w:r w:rsidRPr="00C85702">
        <w:rPr>
          <w:rFonts w:ascii="Times New Roman" w:hAnsi="Times New Roman" w:cs="Times New Roman"/>
          <w:i w:val="0"/>
          <w:iCs w:val="0"/>
          <w:color w:val="0070C0"/>
          <w:sz w:val="16"/>
          <w:szCs w:val="16"/>
          <w:lang w:val="ru-RU"/>
        </w:rPr>
        <w:t>Опытный образец машины, изготовленный на заводе «Большевик», после проведения кратких заводских испытаний был передан на военный склад №37 для ремонта.</w:t>
      </w:r>
    </w:p>
    <w:p w14:paraId="274BA371" w14:textId="77777777" w:rsidR="00C85702" w:rsidRPr="00C85702" w:rsidRDefault="00C85702" w:rsidP="00C85702">
      <w:pPr>
        <w:pStyle w:val="aff2"/>
        <w:tabs>
          <w:tab w:val="left" w:pos="594"/>
        </w:tabs>
        <w:spacing w:line="240" w:lineRule="auto"/>
        <w:rPr>
          <w:rFonts w:ascii="Times New Roman" w:hAnsi="Times New Roman" w:cs="Times New Roman"/>
          <w:i w:val="0"/>
          <w:iCs w:val="0"/>
          <w:color w:val="0070C0"/>
          <w:sz w:val="16"/>
          <w:szCs w:val="16"/>
          <w:lang w:val="ru-RU"/>
        </w:rPr>
      </w:pPr>
      <w:r w:rsidRPr="00C85702">
        <w:rPr>
          <w:rFonts w:ascii="Times New Roman" w:hAnsi="Times New Roman" w:cs="Times New Roman"/>
          <w:i w:val="0"/>
          <w:iCs w:val="0"/>
          <w:color w:val="0070C0"/>
          <w:sz w:val="16"/>
          <w:szCs w:val="16"/>
          <w:lang w:val="ru-RU"/>
        </w:rPr>
        <w:t>От серийной</w:t>
      </w:r>
      <w:r w:rsidRPr="00142305">
        <w:rPr>
          <w:rFonts w:ascii="Times New Roman" w:hAnsi="Times New Roman" w:cs="Times New Roman"/>
          <w:i w:val="0"/>
          <w:iCs w:val="0"/>
          <w:color w:val="0070C0"/>
          <w:sz w:val="16"/>
          <w:szCs w:val="16"/>
        </w:rPr>
        <w:t> </w:t>
      </w:r>
      <w:hyperlink r:id="rId94" w:history="1">
        <w:r w:rsidRPr="00C85702">
          <w:rPr>
            <w:rStyle w:val="a5"/>
            <w:rFonts w:ascii="Times New Roman" w:hAnsi="Times New Roman" w:cs="Times New Roman"/>
            <w:i w:val="0"/>
            <w:iCs w:val="0"/>
            <w:color w:val="0070C0"/>
            <w:sz w:val="16"/>
            <w:szCs w:val="16"/>
            <w:lang w:val="ru-RU"/>
          </w:rPr>
          <w:t>танк</w:t>
        </w:r>
      </w:hyperlink>
      <w:r w:rsidRPr="00C85702">
        <w:rPr>
          <w:rFonts w:ascii="Times New Roman" w:hAnsi="Times New Roman" w:cs="Times New Roman"/>
          <w:i w:val="0"/>
          <w:iCs w:val="0"/>
          <w:color w:val="0070C0"/>
          <w:sz w:val="16"/>
          <w:szCs w:val="16"/>
          <w:lang w:val="ru-RU"/>
        </w:rPr>
        <w:t>етки Т-27 самоходная установка отличалась измененными броневым корпусом и ходовой частью. В состав экипажа входили два человека. В броневой рубке машины справа находилась 37-мм пушка «Гочкис», наводка которой как по вертикали, так по горизонтали производилась с помощью плечевого упора. Над пушкой в автономной установке размещался 7,62-мм пулемет ДТ. Ввиду небольшого внутреннего объема машины для перевозки боекомплекта использовался специальный гусеничный прицеп типа «Карден-Ллойд».</w:t>
      </w:r>
    </w:p>
    <w:p w14:paraId="1BC9EA17" w14:textId="77777777" w:rsidR="00C85702" w:rsidRPr="00142305" w:rsidRDefault="00C85702" w:rsidP="00C85702">
      <w:pPr>
        <w:pStyle w:val="aff2"/>
        <w:tabs>
          <w:tab w:val="left" w:pos="594"/>
        </w:tabs>
        <w:spacing w:line="240" w:lineRule="auto"/>
        <w:rPr>
          <w:rFonts w:ascii="Times New Roman" w:hAnsi="Times New Roman" w:cs="Times New Roman"/>
          <w:i w:val="0"/>
          <w:iCs w:val="0"/>
          <w:color w:val="0070C0"/>
          <w:sz w:val="16"/>
          <w:szCs w:val="16"/>
        </w:rPr>
      </w:pPr>
      <w:r w:rsidRPr="00C85702">
        <w:rPr>
          <w:rFonts w:ascii="Times New Roman" w:hAnsi="Times New Roman" w:cs="Times New Roman"/>
          <w:i w:val="0"/>
          <w:iCs w:val="0"/>
          <w:color w:val="0070C0"/>
          <w:sz w:val="16"/>
          <w:szCs w:val="16"/>
          <w:lang w:val="ru-RU"/>
        </w:rPr>
        <w:t xml:space="preserve">На Т-27М устанавливался четырехцилиндровый карбюраторный двигатель «Форд-АА» мощностью 40 л.с. (29,4 кВт). Коробка передач, как и на базовой машине, обеспечивала четыре передачи переднего хода и одну передачу при движении назад. </w:t>
      </w:r>
      <w:r w:rsidRPr="00142305">
        <w:rPr>
          <w:rFonts w:ascii="Times New Roman" w:hAnsi="Times New Roman" w:cs="Times New Roman"/>
          <w:i w:val="0"/>
          <w:iCs w:val="0"/>
          <w:color w:val="0070C0"/>
          <w:sz w:val="16"/>
          <w:szCs w:val="16"/>
        </w:rPr>
        <w:t>Имелосьдублированноеуправление движением с места командира</w:t>
      </w:r>
    </w:p>
    <w:p w14:paraId="2C262523" w14:textId="77777777" w:rsidR="00C85702" w:rsidRPr="00142305" w:rsidRDefault="00C85702" w:rsidP="00C85702">
      <w:pPr>
        <w:pStyle w:val="aff2"/>
        <w:tabs>
          <w:tab w:val="left" w:pos="594"/>
        </w:tabs>
        <w:spacing w:line="240" w:lineRule="auto"/>
        <w:rPr>
          <w:rFonts w:ascii="Times New Roman" w:hAnsi="Times New Roman" w:cs="Times New Roman"/>
          <w:i w:val="0"/>
          <w:iCs w:val="0"/>
          <w:color w:val="0070C0"/>
          <w:sz w:val="16"/>
          <w:szCs w:val="16"/>
        </w:rPr>
      </w:pPr>
      <w:r w:rsidRPr="00142305">
        <w:rPr>
          <w:rFonts w:ascii="Times New Roman" w:hAnsi="Times New Roman" w:cs="Times New Roman"/>
          <w:i w:val="0"/>
          <w:iCs w:val="0"/>
          <w:color w:val="0070C0"/>
          <w:sz w:val="16"/>
          <w:szCs w:val="16"/>
        </w:rPr>
        <w:t xml:space="preserve"> (25561).</w:t>
      </w:r>
    </w:p>
    <w:p w14:paraId="4E6B6CB5" w14:textId="77777777" w:rsidR="00C85702" w:rsidRPr="00142305" w:rsidRDefault="00C85702" w:rsidP="00C85702">
      <w:pPr>
        <w:pStyle w:val="aff2"/>
        <w:tabs>
          <w:tab w:val="left" w:pos="594"/>
        </w:tabs>
        <w:spacing w:line="240" w:lineRule="auto"/>
        <w:rPr>
          <w:rFonts w:ascii="Times New Roman" w:hAnsi="Times New Roman" w:cs="Times New Roman"/>
          <w:i w:val="0"/>
          <w:iCs w:val="0"/>
          <w:color w:val="0070C0"/>
          <w:sz w:val="16"/>
          <w:szCs w:val="16"/>
        </w:rPr>
      </w:pPr>
    </w:p>
    <w:p w14:paraId="3665761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D6FE58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C688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апреле-мае 1933 г. в каждом военном округе сфор</w:t>
      </w:r>
      <w:r w:rsidRPr="00E93F40">
        <w:rPr>
          <w:rFonts w:ascii="Times New Roman" w:hAnsi="Times New Roman"/>
          <w:color w:val="000000" w:themeColor="text1"/>
          <w:sz w:val="16"/>
          <w:szCs w:val="16"/>
        </w:rPr>
        <w:softHyphen/>
        <w:t>мировали отдельные стрелковые батальо</w:t>
      </w:r>
      <w:r w:rsidRPr="00E93F40">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E93F40">
        <w:rPr>
          <w:rFonts w:ascii="Times New Roman" w:hAnsi="Times New Roman"/>
          <w:color w:val="000000" w:themeColor="text1"/>
          <w:sz w:val="16"/>
          <w:szCs w:val="16"/>
        </w:rPr>
        <w:softHyphen/>
        <w:t>чения в Детском Селе сначала предполага</w:t>
      </w:r>
      <w:r w:rsidRPr="00E93F40">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E93F40">
        <w:rPr>
          <w:rFonts w:ascii="Times New Roman" w:hAnsi="Times New Roman"/>
          <w:color w:val="000000" w:themeColor="text1"/>
          <w:sz w:val="16"/>
          <w:szCs w:val="16"/>
        </w:rPr>
        <w:softHyphen/>
        <w:t>ных отделений стрелковых дивизий в Мо</w:t>
      </w:r>
      <w:r w:rsidRPr="00E93F40">
        <w:rPr>
          <w:rFonts w:ascii="Times New Roman" w:hAnsi="Times New Roman"/>
          <w:color w:val="000000" w:themeColor="text1"/>
          <w:sz w:val="16"/>
          <w:szCs w:val="16"/>
        </w:rPr>
        <w:softHyphen/>
        <w:t>нино под Москвой и в Гатчине под Ленин</w:t>
      </w:r>
      <w:r w:rsidRPr="00E93F40">
        <w:rPr>
          <w:rFonts w:ascii="Times New Roman" w:hAnsi="Times New Roman"/>
          <w:color w:val="000000" w:themeColor="text1"/>
          <w:sz w:val="16"/>
          <w:szCs w:val="16"/>
        </w:rPr>
        <w:softHyphen/>
        <w:t>градом. Парашютные прыжки осуществля</w:t>
      </w:r>
      <w:r w:rsidRPr="00E93F40">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E93F40">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E93F40">
        <w:rPr>
          <w:rFonts w:ascii="Times New Roman" w:hAnsi="Times New Roman"/>
          <w:color w:val="000000" w:themeColor="text1"/>
          <w:sz w:val="16"/>
          <w:szCs w:val="16"/>
        </w:rPr>
        <w:softHyphen/>
        <w:t>ли для тренировок (11286).</w:t>
      </w:r>
    </w:p>
    <w:p w14:paraId="7367B4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1E4A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E2DF53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264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маю 1932 комиссия В.М.Петлякова представила проект облегченного АНТ-6 (ТБ-3) (437,104).</w:t>
      </w:r>
    </w:p>
    <w:p w14:paraId="5AA18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126B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маю 1932 в бригаде 3 П.О.С. был подготовлен аэродинамический расчет и эскизный проект АНТ-31 (И-14) под М-38 (4020,9).</w:t>
      </w:r>
    </w:p>
    <w:p w14:paraId="3AA82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6BA046" w14:textId="77777777" w:rsidR="00E116AB" w:rsidRPr="00E93F40" w:rsidRDefault="00E116AB"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К маю 1932 г. в цехах завода № 31 находились уже 25 машин МБР-4. От «Савойи», помимо новшеств, внесенных в С-62КЭ, эти самолеты отличались дальнейшими изме</w:t>
      </w:r>
      <w:r w:rsidRPr="00E93F40">
        <w:rPr>
          <w:rFonts w:ascii="Times New Roman" w:hAnsi="Times New Roman"/>
          <w:color w:val="000000" w:themeColor="text1"/>
          <w:sz w:val="16"/>
          <w:szCs w:val="16"/>
          <w:lang w:eastAsia="ru-RU" w:bidi="ru-RU"/>
        </w:rPr>
        <w:softHyphen/>
        <w:t>нениями в размещении оборудования и усилением неко</w:t>
      </w:r>
      <w:r w:rsidRPr="00E93F40">
        <w:rPr>
          <w:rFonts w:ascii="Times New Roman" w:hAnsi="Times New Roman"/>
          <w:color w:val="000000" w:themeColor="text1"/>
          <w:sz w:val="16"/>
          <w:szCs w:val="16"/>
          <w:lang w:eastAsia="ru-RU" w:bidi="ru-RU"/>
        </w:rPr>
        <w:softHyphen/>
        <w:t>торых шпангоутов. Вместо балочных держателей Дер-7 или их итальянских аналогов на них появились новые бомбо</w:t>
      </w:r>
      <w:r w:rsidRPr="00E93F40">
        <w:rPr>
          <w:rFonts w:ascii="Times New Roman" w:hAnsi="Times New Roman"/>
          <w:color w:val="000000" w:themeColor="text1"/>
          <w:sz w:val="16"/>
          <w:szCs w:val="16"/>
          <w:lang w:eastAsia="ru-RU" w:bidi="ru-RU"/>
        </w:rPr>
        <w:softHyphen/>
        <w:t>держатели ДОС в сочетании с бомбосбрасывателем Сбр-9 (вместо Сбр-8 на С-62КЭ). Обводы лодки теперь точнее соответствовали прототипу, хотя фюзеляж МБР-4 все рав</w:t>
      </w:r>
      <w:r w:rsidRPr="00E93F40">
        <w:rPr>
          <w:rFonts w:ascii="Times New Roman" w:hAnsi="Times New Roman"/>
          <w:color w:val="000000" w:themeColor="text1"/>
          <w:sz w:val="16"/>
          <w:szCs w:val="16"/>
          <w:lang w:eastAsia="ru-RU" w:bidi="ru-RU"/>
        </w:rPr>
        <w:softHyphen/>
        <w:t>но оставался шире и выше за счет того, что турель Тур-6 по габаритам была больше итальянской. Первым был готов самолет с серийным номером ОЕ-74 (20235)</w:t>
      </w:r>
    </w:p>
    <w:p w14:paraId="17F04BBD" w14:textId="77777777" w:rsidR="00E116AB" w:rsidRPr="00E93F40" w:rsidRDefault="00E116AB" w:rsidP="00E93F40">
      <w:pPr>
        <w:spacing w:after="0" w:line="240" w:lineRule="auto"/>
        <w:jc w:val="both"/>
        <w:rPr>
          <w:rFonts w:ascii="Times New Roman" w:hAnsi="Times New Roman"/>
          <w:color w:val="000000" w:themeColor="text1"/>
          <w:sz w:val="16"/>
          <w:szCs w:val="16"/>
          <w:lang w:eastAsia="ru-RU" w:bidi="ru-RU"/>
        </w:rPr>
      </w:pPr>
    </w:p>
    <w:p w14:paraId="34366D44" w14:textId="77777777" w:rsidR="00C85702" w:rsidRPr="00142305" w:rsidRDefault="00C85702" w:rsidP="00C8570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маю 1932 г на заводе № 31 в работе находились уже 25 МБР-4. Первым был готов самолет ОЕ-74. 2 августа его предъявили на за</w:t>
      </w:r>
      <w:r w:rsidRPr="00142305">
        <w:rPr>
          <w:rFonts w:ascii="Times New Roman" w:hAnsi="Times New Roman"/>
          <w:color w:val="0070C0"/>
          <w:sz w:val="16"/>
          <w:szCs w:val="16"/>
        </w:rPr>
        <w:softHyphen/>
        <w:t>водские испытания. Военпред И.П. Би</w:t>
      </w:r>
      <w:r w:rsidRPr="00142305">
        <w:rPr>
          <w:rFonts w:ascii="Times New Roman" w:hAnsi="Times New Roman"/>
          <w:color w:val="0070C0"/>
          <w:sz w:val="16"/>
          <w:szCs w:val="16"/>
        </w:rPr>
        <w:softHyphen/>
        <w:t>рюков протестовал, выложив убедитель</w:t>
      </w:r>
      <w:r w:rsidRPr="00142305">
        <w:rPr>
          <w:rFonts w:ascii="Times New Roman" w:hAnsi="Times New Roman"/>
          <w:color w:val="0070C0"/>
          <w:sz w:val="16"/>
          <w:szCs w:val="16"/>
        </w:rPr>
        <w:softHyphen/>
        <w:t>ный список из 85 дефектов. Например, он насчитал на полотняной обтяжке крыла ни много ни мало 74 заплатки! Несмотря на это, директор завода приказал начать испытания. Следом за первой лодкой взлетела вторая, тоже официально не прошедшая военную приемку. 4 августа ее гордо продемонстрировали в воздухе горкому ВКП(б), что вызвало новую депе</w:t>
      </w:r>
      <w:r w:rsidRPr="00142305">
        <w:rPr>
          <w:rFonts w:ascii="Times New Roman" w:hAnsi="Times New Roman"/>
          <w:color w:val="0070C0"/>
          <w:sz w:val="16"/>
          <w:szCs w:val="16"/>
        </w:rPr>
        <w:softHyphen/>
        <w:t>шу Бирюкова в Москву (24948).</w:t>
      </w:r>
    </w:p>
    <w:p w14:paraId="270A899E" w14:textId="77777777" w:rsidR="00C85702" w:rsidRPr="00142305" w:rsidRDefault="00C85702" w:rsidP="00C85702">
      <w:pPr>
        <w:spacing w:after="0" w:line="240" w:lineRule="auto"/>
        <w:jc w:val="both"/>
        <w:rPr>
          <w:rFonts w:ascii="Times New Roman" w:hAnsi="Times New Roman"/>
          <w:color w:val="0070C0"/>
          <w:sz w:val="16"/>
          <w:szCs w:val="16"/>
        </w:rPr>
      </w:pPr>
    </w:p>
    <w:p w14:paraId="605A2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маю 1932 в СССР было сделано три мягких дирижабля - СССР В-1, СССР В-2 (Смольный) и СССР В-3 (Красная звезда) (224,9).</w:t>
      </w:r>
    </w:p>
    <w:p w14:paraId="7EEC1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184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маю 1932 года из цехов «Дирижаблестроя» вышли 3 мягких дирижабля — СССР В-1, СССР В-2 «Смольный» и СССР В-3 «Красная звезда», предназначенные в основном для выполнения учебно-агитационных полетов и накопления опыта применения дирижаблей в народном хозяйстве. Дирижабли В-2 и В-3 отличались объемами оболочек (соответственно 5000 и 6500 куб. м) и двигателями, но имели однотипную конструкцию. Оболочка была выполнена из трехслойной прорезиненной ткани и имела внутри перегородку, делившую объем на две равные части. Перегородка обеспечивала уменьшение переливания газа вдоль оболочки при дифференте дирижабля. С целью уравновешивания давления в отсеках в перегородке были предусмотрены отверстия. Для обеспечения маневрирования путем выпуска газа в оболочке имелись 4 газовых клапана тарельчатого типа диаметром 0,4 м. Два клапана были установлены с каждой стороны миделевого сечения по экватору, два других — под кормовой частью. В оболочке также находился двухсекционный баллонет, выполненный из двухслойной прорезиненной материи, причем каждая из секций, подобно самой оболочке, имела перегородки с отверстиями. Для выпуска воздуха в баллонете были предусмотрены 4 клапана. Наполнение баллонетов осуществлялось воздухом, отбрасываемым винтами, с помощью воздухоулавливающего трубопровода. В передней части оболочки находилось носовое усиление из 20 реек, выполненных из кольчугалюминия. В хвостовой части располагались 2 горизонтальных стабилизатора с рулями высоты и 2 вертикальных. Руль направления имелся лишь на нижнем киле. Проводка управления была тросовой. Цельнометаллическая гондола с закрытым верхом имела обтекаемую форму. Ее длина — 9 м, ширина — 2 м, высота — 3,25 м. По бокам гондолы размещались оконные проемы, в которые был вставлен прозрачный целлулоид. Передняя часть гондолы также была обильно застеклена, что обеспечивало хороший обзор. В полу гондолы находился люк для выбрасывания перед посадкой гайдропа. Гондола, выполненная из кольчугалюминия, подвешивалась к оболочке посредством системы стальных тросов диаметром 8 мм по 12 штук с каждой стороны. Силовая установка состояла из двух звездообразных двигателей воздушного охлаждения по 240 л. с., установленных на кронштейнах по обе стороны гондолы в ее задней части. Каждый двигатель приводил в движение один винт. Бензин находился в пяти дюралюминиевых баках, оборудованных системой аварийного слива. В гондоле размещался гайдроп длиной около 100 м и балласт. Им служили 350 кг воды, залитой в прорезиненные брезентовые мешки с выпускными клапанами. Открытие клапанов осуществлялось из рубки управления. Каркас цельнометаллического оперения обтягивался материей, покрытой эмалитом. Стабилизатор нес на себе рули высоты, нижний киль — руль направления. Управление рулями осуществлялось тросовыми тягами, проходящими по смонтированным на оболочке роликам. Так как металлические агрегаты были приняты одинаковыми для обоих дирижаблей, то изготавливались сразу в двух экземплярах. Затем все было передано заказчику — «Дирижаблестрою». На этих дирижаблях был выполнен ряд удачных полетов по таким маршрутам, как Москва — Горький — Москва, Ленинград — Москва — Ленинград, Москва — Харьков и др. (10731).</w:t>
      </w:r>
    </w:p>
    <w:p w14:paraId="14F581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83577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EBF772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125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над Красной площадью пролетело 300 самолетов (66,179). Было три звена ТБ-3 (АНТ-6) (71,168) и Р-6 (2671,16).</w:t>
      </w:r>
    </w:p>
    <w:p w14:paraId="52C790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F1A2F7"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1932 г. 10 очень «сырых» машин ТБ-3 лишь благо</w:t>
      </w:r>
      <w:r w:rsidRPr="00142305">
        <w:rPr>
          <w:rFonts w:ascii="Times New Roman" w:hAnsi="Times New Roman"/>
          <w:color w:val="0070C0"/>
          <w:sz w:val="16"/>
          <w:szCs w:val="16"/>
        </w:rPr>
        <w:softHyphen/>
        <w:t>даря отчаянным усилиям работников заво</w:t>
      </w:r>
      <w:r w:rsidRPr="00142305">
        <w:rPr>
          <w:rFonts w:ascii="Times New Roman" w:hAnsi="Times New Roman"/>
          <w:color w:val="0070C0"/>
          <w:sz w:val="16"/>
          <w:szCs w:val="16"/>
        </w:rPr>
        <w:softHyphen/>
        <w:t>да и НИИ ВВС удалось вывести на парад. Экипажи состояли из заводского персонала и военных из НИИ. В фюзеляже каждого бомбардировщика сидели техники с бидо</w:t>
      </w:r>
      <w:r w:rsidRPr="00142305">
        <w:rPr>
          <w:rFonts w:ascii="Times New Roman" w:hAnsi="Times New Roman"/>
          <w:color w:val="0070C0"/>
          <w:sz w:val="16"/>
          <w:szCs w:val="16"/>
        </w:rPr>
        <w:softHyphen/>
        <w:t>нами воды, готовые долить текущие ради</w:t>
      </w:r>
      <w:r w:rsidRPr="00142305">
        <w:rPr>
          <w:rFonts w:ascii="Times New Roman" w:hAnsi="Times New Roman"/>
          <w:color w:val="0070C0"/>
          <w:sz w:val="16"/>
          <w:szCs w:val="16"/>
        </w:rPr>
        <w:softHyphen/>
        <w:t>аторы. Однако цели достигли. Парадная группа ТБ-3, которой командовал А.Б. Юма</w:t>
      </w:r>
      <w:r w:rsidRPr="00142305">
        <w:rPr>
          <w:rFonts w:ascii="Times New Roman" w:hAnsi="Times New Roman"/>
          <w:color w:val="0070C0"/>
          <w:sz w:val="16"/>
          <w:szCs w:val="16"/>
        </w:rPr>
        <w:softHyphen/>
        <w:t>шев, произвела неизгладимое впечатление на иностранных военных атташе.</w:t>
      </w:r>
    </w:p>
    <w:p w14:paraId="3B05DB16"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Они не знали, что показ закончился тре</w:t>
      </w:r>
      <w:r w:rsidRPr="00142305">
        <w:rPr>
          <w:rFonts w:ascii="Times New Roman" w:hAnsi="Times New Roman"/>
          <w:color w:val="0070C0"/>
          <w:sz w:val="16"/>
          <w:szCs w:val="16"/>
        </w:rPr>
        <w:softHyphen/>
        <w:t>мя вынужденными посадками. У летчика Озолина кончилась вода на обратном пути, а Козлову из-за сильной течи пришлось вернуться назад сразу после взлета. На самолете Баранова ремонт вели прямо в воздухе и запустили заглохший мотор.</w:t>
      </w:r>
    </w:p>
    <w:p w14:paraId="6AB2B07C"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машины, участвовавшие в перво</w:t>
      </w:r>
      <w:r w:rsidRPr="00142305">
        <w:rPr>
          <w:rFonts w:ascii="Times New Roman" w:hAnsi="Times New Roman"/>
          <w:color w:val="0070C0"/>
          <w:sz w:val="16"/>
          <w:szCs w:val="16"/>
        </w:rPr>
        <w:softHyphen/>
        <w:t>майском параде, вернули обратно на завод и еще примерно два месяца дорабатыва</w:t>
      </w:r>
      <w:r w:rsidRPr="00142305">
        <w:rPr>
          <w:rFonts w:ascii="Times New Roman" w:hAnsi="Times New Roman"/>
          <w:color w:val="0070C0"/>
          <w:sz w:val="16"/>
          <w:szCs w:val="16"/>
        </w:rPr>
        <w:softHyphen/>
        <w:t xml:space="preserve">ли: меняли радиаторы, тяги управления, усиливали костыли и рули направления, ставили различное оборудование. </w:t>
      </w:r>
    </w:p>
    <w:p w14:paraId="6429688D"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самолетах не хватало прицелов, радиостанций, бомбодержателей, пуле</w:t>
      </w:r>
      <w:r w:rsidRPr="00142305">
        <w:rPr>
          <w:rFonts w:ascii="Times New Roman" w:hAnsi="Times New Roman"/>
          <w:color w:val="0070C0"/>
          <w:sz w:val="16"/>
          <w:szCs w:val="16"/>
        </w:rPr>
        <w:softHyphen/>
        <w:t>метов.</w:t>
      </w:r>
    </w:p>
    <w:p w14:paraId="239CCB75"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Производство радиостанций 13-СК началось только в 1932 г. и выпустили их всего десять штук, 11-СК не сделали ни одной. Бомбовые прицелы «Герц» (ОПБ-1) у нас осваивали с 1931 г., но за два года произвели 127 прицелов, а их ставили не только на ТБ-3. Более сложный «Герц-Бой</w:t>
      </w:r>
      <w:r w:rsidRPr="00142305">
        <w:rPr>
          <w:rFonts w:ascii="Times New Roman" w:hAnsi="Times New Roman"/>
          <w:color w:val="0070C0"/>
          <w:sz w:val="16"/>
          <w:szCs w:val="16"/>
        </w:rPr>
        <w:softHyphen/>
        <w:t>ков» (ОПБ-2) в СССР стали делать только с 1933 г. и изготовили в том году всего три штуки. Импорт прицелов ограничивался недостатком валюты. Спаренные установки ДА-2 поставили в производство в конце 1931 г. и делали их немного. Не хватало бомбодержателей Дер-15 и Дер-16.</w:t>
      </w:r>
    </w:p>
    <w:p w14:paraId="51360000" w14:textId="503FBC4C"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Самолеты сдавали «условно» без всего этого, под гарантийные письма завода до</w:t>
      </w:r>
      <w:r w:rsidRPr="00142305">
        <w:rPr>
          <w:rFonts w:ascii="Times New Roman" w:hAnsi="Times New Roman"/>
          <w:color w:val="0070C0"/>
          <w:sz w:val="16"/>
          <w:szCs w:val="16"/>
        </w:rPr>
        <w:softHyphen/>
        <w:t>слать все недостающее при получении пря</w:t>
      </w:r>
      <w:r w:rsidRPr="00142305">
        <w:rPr>
          <w:rFonts w:ascii="Times New Roman" w:hAnsi="Times New Roman"/>
          <w:color w:val="0070C0"/>
          <w:sz w:val="16"/>
          <w:szCs w:val="16"/>
        </w:rPr>
        <w:softHyphen/>
        <w:t>мо в воинские части. Ну а самые неуком</w:t>
      </w:r>
      <w:r w:rsidRPr="00142305">
        <w:rPr>
          <w:rFonts w:ascii="Times New Roman" w:hAnsi="Times New Roman"/>
          <w:color w:val="0070C0"/>
          <w:sz w:val="16"/>
          <w:szCs w:val="16"/>
        </w:rPr>
        <w:softHyphen/>
        <w:t>плектованные бомбардировщики оседали на заводском аэродроме. Поэтому реально в ВВС поступило значительно меньше машин, чем собрали</w:t>
      </w:r>
      <w:r w:rsidR="00DD74E1">
        <w:rPr>
          <w:rFonts w:ascii="Times New Roman" w:hAnsi="Times New Roman"/>
          <w:color w:val="0070C0"/>
          <w:sz w:val="16"/>
          <w:szCs w:val="16"/>
        </w:rPr>
        <w:t xml:space="preserve"> </w:t>
      </w:r>
      <w:r w:rsidRPr="00142305">
        <w:rPr>
          <w:rFonts w:ascii="Times New Roman" w:hAnsi="Times New Roman"/>
          <w:color w:val="0070C0"/>
          <w:sz w:val="16"/>
          <w:szCs w:val="16"/>
        </w:rPr>
        <w:t>(24937).</w:t>
      </w:r>
    </w:p>
    <w:p w14:paraId="1FAAD831" w14:textId="77777777" w:rsidR="007E482E" w:rsidRPr="00142305" w:rsidRDefault="007E482E" w:rsidP="007E482E">
      <w:pPr>
        <w:spacing w:after="0" w:line="240" w:lineRule="auto"/>
        <w:jc w:val="both"/>
        <w:rPr>
          <w:rFonts w:ascii="Times New Roman" w:hAnsi="Times New Roman"/>
          <w:color w:val="0070C0"/>
          <w:sz w:val="16"/>
          <w:szCs w:val="16"/>
        </w:rPr>
      </w:pPr>
    </w:p>
    <w:p w14:paraId="7834A19F"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1932 г. в Москве состоялась первая мощная воздушная демонстра</w:t>
      </w:r>
      <w:r w:rsidRPr="00142305">
        <w:rPr>
          <w:rFonts w:ascii="Times New Roman" w:hAnsi="Times New Roman"/>
          <w:color w:val="0070C0"/>
          <w:sz w:val="16"/>
          <w:szCs w:val="16"/>
        </w:rPr>
        <w:softHyphen/>
        <w:t>ция. Тогда над Красной площадью пролетели в пяти эшелонах до 300 самолетов. Демонстрировались в основном новые самолеты ТБ-1, Р-5 и И-5. Это был первый крупный сбор и парад авиационных частей.</w:t>
      </w:r>
    </w:p>
    <w:p w14:paraId="16293817"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«Вестник воздушного флота» освещал это так: «Парадом 1 мая командовал С. А. Меженинов, который находился на ведущем корабле. Характерно то, что самолеты появились над Красной площадью в точно назначенное время, 11 час. 45 мин., а это время было передано на ведущий корабль в воздухе лично Нарко</w:t>
      </w:r>
      <w:r w:rsidRPr="00142305">
        <w:rPr>
          <w:rFonts w:ascii="Times New Roman" w:hAnsi="Times New Roman"/>
          <w:color w:val="0070C0"/>
          <w:sz w:val="16"/>
          <w:szCs w:val="16"/>
        </w:rPr>
        <w:softHyphen/>
        <w:t>мом т. Ворошиловым по телефону с Красной площади на Центральный аэро</w:t>
      </w:r>
      <w:r w:rsidRPr="00142305">
        <w:rPr>
          <w:rFonts w:ascii="Times New Roman" w:hAnsi="Times New Roman"/>
          <w:color w:val="0070C0"/>
          <w:sz w:val="16"/>
          <w:szCs w:val="16"/>
        </w:rPr>
        <w:softHyphen/>
        <w:t>дром, а оттуда по радио С. А. Меженинову.</w:t>
      </w:r>
    </w:p>
    <w:p w14:paraId="4659906A"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то, что 40% аэродромной площади не было пригодно для ра</w:t>
      </w:r>
      <w:r w:rsidRPr="00142305">
        <w:rPr>
          <w:rFonts w:ascii="Times New Roman" w:hAnsi="Times New Roman"/>
          <w:color w:val="0070C0"/>
          <w:sz w:val="16"/>
          <w:szCs w:val="16"/>
        </w:rPr>
        <w:softHyphen/>
        <w:t>боты вследствие весенней распутицы, соединения выполнили взлет и посадку отлично. Не было ни одной аварии, ни одного летного происшествия, ни одного отставшего самолета.</w:t>
      </w:r>
    </w:p>
    <w:p w14:paraId="750605FA" w14:textId="77777777" w:rsidR="007E482E" w:rsidRPr="007E482E" w:rsidRDefault="007E482E" w:rsidP="007E482E">
      <w:pPr>
        <w:pStyle w:val="aff2"/>
        <w:tabs>
          <w:tab w:val="left" w:pos="640"/>
        </w:tabs>
        <w:spacing w:line="240" w:lineRule="auto"/>
        <w:rPr>
          <w:rFonts w:ascii="Times New Roman" w:hAnsi="Times New Roman" w:cs="Times New Roman"/>
          <w:i w:val="0"/>
          <w:iCs w:val="0"/>
          <w:color w:val="0070C0"/>
          <w:sz w:val="16"/>
          <w:szCs w:val="16"/>
          <w:lang w:val="ru-RU"/>
        </w:rPr>
      </w:pPr>
      <w:r w:rsidRPr="007E482E">
        <w:rPr>
          <w:rFonts w:ascii="Times New Roman" w:hAnsi="Times New Roman" w:cs="Times New Roman"/>
          <w:i w:val="0"/>
          <w:iCs w:val="0"/>
          <w:color w:val="0070C0"/>
          <w:sz w:val="16"/>
          <w:szCs w:val="16"/>
          <w:lang w:val="ru-RU"/>
        </w:rPr>
        <w:t>За исключительно образцовый первомайский парад ВВС в Москве, за вы</w:t>
      </w:r>
      <w:r w:rsidRPr="007E482E">
        <w:rPr>
          <w:rFonts w:ascii="Times New Roman" w:hAnsi="Times New Roman" w:cs="Times New Roman"/>
          <w:i w:val="0"/>
          <w:iCs w:val="0"/>
          <w:color w:val="0070C0"/>
          <w:sz w:val="16"/>
          <w:szCs w:val="16"/>
          <w:lang w:val="ru-RU"/>
        </w:rPr>
        <w:softHyphen/>
        <w:t>сокое состояние материальной части и успешную работу летчикам, летнабам, авиатехникам, инженерам и командирам частей и соединений, а также руково</w:t>
      </w:r>
      <w:r w:rsidRPr="007E482E">
        <w:rPr>
          <w:rFonts w:ascii="Times New Roman" w:hAnsi="Times New Roman" w:cs="Times New Roman"/>
          <w:i w:val="0"/>
          <w:iCs w:val="0"/>
          <w:color w:val="0070C0"/>
          <w:sz w:val="16"/>
          <w:szCs w:val="16"/>
          <w:lang w:val="ru-RU"/>
        </w:rPr>
        <w:softHyphen/>
        <w:t>дителям парада от РВС СССР объявлена благодарность, каждому выданы месяч</w:t>
      </w:r>
      <w:r w:rsidRPr="007E482E">
        <w:rPr>
          <w:rFonts w:ascii="Times New Roman" w:hAnsi="Times New Roman" w:cs="Times New Roman"/>
          <w:i w:val="0"/>
          <w:iCs w:val="0"/>
          <w:color w:val="0070C0"/>
          <w:sz w:val="16"/>
          <w:szCs w:val="16"/>
          <w:lang w:val="ru-RU"/>
        </w:rPr>
        <w:softHyphen/>
        <w:t>ный оклад содержания и ценные подарки» (Майский слет и парад над Красной площадью в Москве // Вестник воздушного флота. - 1932,-№5) 24968).</w:t>
      </w:r>
    </w:p>
    <w:p w14:paraId="03202F00" w14:textId="77777777" w:rsidR="007E482E" w:rsidRPr="007E482E" w:rsidRDefault="007E482E" w:rsidP="007E482E">
      <w:pPr>
        <w:pStyle w:val="aff2"/>
        <w:tabs>
          <w:tab w:val="left" w:pos="594"/>
        </w:tabs>
        <w:spacing w:line="240" w:lineRule="auto"/>
        <w:rPr>
          <w:rFonts w:ascii="Times New Roman" w:hAnsi="Times New Roman" w:cs="Times New Roman"/>
          <w:i w:val="0"/>
          <w:iCs w:val="0"/>
          <w:color w:val="0070C0"/>
          <w:sz w:val="16"/>
          <w:szCs w:val="16"/>
          <w:lang w:val="ru-RU"/>
        </w:rPr>
      </w:pPr>
    </w:p>
    <w:p w14:paraId="33152252"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1932 г. в традиционном первомайском параде в Москве принял участие 61 бомбардировщик из 11-й и 17-й авиабригад (25004).</w:t>
      </w:r>
    </w:p>
    <w:p w14:paraId="4CD281AC" w14:textId="77777777" w:rsidR="007E482E" w:rsidRPr="00142305" w:rsidRDefault="007E482E" w:rsidP="007E482E">
      <w:pPr>
        <w:spacing w:after="0" w:line="240" w:lineRule="auto"/>
        <w:jc w:val="both"/>
        <w:rPr>
          <w:rFonts w:ascii="Times New Roman" w:hAnsi="Times New Roman"/>
          <w:color w:val="0070C0"/>
          <w:sz w:val="16"/>
          <w:szCs w:val="16"/>
        </w:rPr>
      </w:pPr>
    </w:p>
    <w:p w14:paraId="4D008D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 Р-5 впервые продемонстрировали на параде - дюжина Р-5 пролетела над Красной площадью в Москве. В других крупных городах их показали через полгода. Так, в Хабаровске 7 ноября в параде участвовали 20 новых самолетов.</w:t>
      </w:r>
    </w:p>
    <w:p w14:paraId="2946B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Повсеместно новые разведчики встречали с энтузиазмом. "Это была замечательная по тем временам машина", - писал маршал авиации С.А. Красовский, в 1932 г. командовавший отрядом, который осваивал Р-5. На 1932 г. ставили задачу перевооружить этими машинами 9 эскадрилий и 27 отрядов, а также сформировать 6 новых эскадрилий. Много самолетов отправили на Дальний Восток (11936).</w:t>
      </w:r>
    </w:p>
    <w:p w14:paraId="19DDA0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7032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 на параде Р-5 впервые продемонстрировали. В Москве дюжина этих машин пролетела над Красной площадью. В других крупных городах их показали через полгода. Так, в Хабаровске 7 ноября в параде участвовали 20 новых самолетов.</w:t>
      </w:r>
    </w:p>
    <w:p w14:paraId="794741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становился массовым многоцелевым самолетом ВВС РККА, вытесняя устаревшие Р-1. Повсеместно эти машины встречали с энтузиазмом. Неудивительно - по своим возможностям разведчик Поликарпова существенно превосходил все имевшиеся тогда на вооружении нашей авиации самолеты этого назначения. "Это была замечательная по тем временам машина", - писал маршал авиации С.А. Красовский, в 1932 г. командовавший отрядом, который осваивал Р-5.</w:t>
      </w:r>
    </w:p>
    <w:p w14:paraId="3DB97F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тот год ставили задачу перевооружить этими машинами девять эскадрилий (шесть разведывательных, три штурмовых) и 27 отрядов (в том числе 36-й отдельный химический) и сформировать шесть новых эскадрилий (пять легкобомбардировочных и одну штурмовую). Р-5 входили также в штат тяжелобомбардировочных частей как тренировочные и вспомогательные. На 20 марта только в Европейской части страны уже эксплуатировались около 320 машин этого типа (12034).</w:t>
      </w:r>
    </w:p>
    <w:p w14:paraId="1056D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8AD47F"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1932 г. Р-5 впервые продемонстрировали на параде. В Москве дюжина этих машин пролетела над Красной площадью. В других крупных городах их показали через полгода. Так, в Хабаровске 7 ноября в параде участвовали 20 новых самолетов (20990).</w:t>
      </w:r>
    </w:p>
    <w:p w14:paraId="0306F245" w14:textId="77777777" w:rsidR="007E482E" w:rsidRPr="00142305" w:rsidRDefault="007E482E" w:rsidP="007E482E">
      <w:pPr>
        <w:spacing w:after="0" w:line="240" w:lineRule="auto"/>
        <w:jc w:val="both"/>
        <w:rPr>
          <w:rFonts w:ascii="Times New Roman" w:hAnsi="Times New Roman"/>
          <w:color w:val="0070C0"/>
          <w:sz w:val="16"/>
          <w:szCs w:val="16"/>
        </w:rPr>
      </w:pPr>
    </w:p>
    <w:p w14:paraId="6E6F6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в воздушном параде участвовали самолеты Р-6 11-й и 17-й авиабригад. По штату каждой тяжелобомбардировочной бригаде полагалась эскадрилья из дюжины "крейсеров" (12036).</w:t>
      </w:r>
    </w:p>
    <w:p w14:paraId="42F00C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EC81BE" w14:textId="77777777" w:rsidR="007E482E" w:rsidRPr="00142305" w:rsidRDefault="007E482E" w:rsidP="007E482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1932 г. в воздушном пара</w:t>
      </w:r>
      <w:r w:rsidRPr="00142305">
        <w:rPr>
          <w:rFonts w:ascii="Times New Roman" w:hAnsi="Times New Roman"/>
          <w:color w:val="0070C0"/>
          <w:sz w:val="16"/>
          <w:szCs w:val="16"/>
        </w:rPr>
        <w:softHyphen/>
        <w:t>де участвовали самолеты Р-6 ll-й и 17-й авиабригад. По шта</w:t>
      </w:r>
      <w:r w:rsidRPr="00142305">
        <w:rPr>
          <w:rFonts w:ascii="Times New Roman" w:hAnsi="Times New Roman"/>
          <w:color w:val="0070C0"/>
          <w:sz w:val="16"/>
          <w:szCs w:val="16"/>
        </w:rPr>
        <w:softHyphen/>
        <w:t>ту каждой тяжелобомбардировочной бригаде полагалась эс</w:t>
      </w:r>
      <w:r w:rsidRPr="00142305">
        <w:rPr>
          <w:rFonts w:ascii="Times New Roman" w:hAnsi="Times New Roman"/>
          <w:color w:val="0070C0"/>
          <w:sz w:val="16"/>
          <w:szCs w:val="16"/>
        </w:rPr>
        <w:softHyphen/>
        <w:t>кадрилья из дюжины «крейсеров» (24977).</w:t>
      </w:r>
    </w:p>
    <w:p w14:paraId="4E3A169C" w14:textId="77777777" w:rsidR="007E482E" w:rsidRPr="00142305" w:rsidRDefault="007E482E" w:rsidP="007E482E">
      <w:pPr>
        <w:spacing w:after="0" w:line="240" w:lineRule="auto"/>
        <w:jc w:val="both"/>
        <w:rPr>
          <w:rFonts w:ascii="Times New Roman" w:hAnsi="Times New Roman"/>
          <w:color w:val="0070C0"/>
          <w:sz w:val="16"/>
          <w:szCs w:val="16"/>
        </w:rPr>
      </w:pPr>
    </w:p>
    <w:p w14:paraId="57B67A18" w14:textId="77777777" w:rsidR="00560CA8" w:rsidRPr="00E93F40" w:rsidRDefault="00560CA8" w:rsidP="00560CA8">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над Таганрогом пролетели первые два собранных Ш-2. Серия была до 1934 и сделали в 1932 - 30, в 1933 - 200, в 1934- 40 (7621, 34).</w:t>
      </w:r>
    </w:p>
    <w:p w14:paraId="0E76D2B9" w14:textId="77777777" w:rsidR="00560CA8" w:rsidRPr="00E93F40" w:rsidRDefault="00560CA8" w:rsidP="00560CA8">
      <w:pPr>
        <w:autoSpaceDE w:val="0"/>
        <w:autoSpaceDN w:val="0"/>
        <w:adjustRightInd w:val="0"/>
        <w:spacing w:after="0" w:line="240" w:lineRule="auto"/>
        <w:jc w:val="both"/>
        <w:rPr>
          <w:rFonts w:ascii="Times New Roman" w:hAnsi="Times New Roman"/>
          <w:color w:val="000000" w:themeColor="text1"/>
          <w:sz w:val="16"/>
          <w:szCs w:val="16"/>
        </w:rPr>
      </w:pPr>
    </w:p>
    <w:p w14:paraId="7F7EBB2D" w14:textId="77777777" w:rsidR="00560CA8" w:rsidRPr="00E93F40" w:rsidRDefault="00560CA8" w:rsidP="00560CA8">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1 мая 1932 г. уже две машины Ш-2 летали над Таганрогом и разбрасывали листовки над праздничной демонстрацией жителей города. Государственные испыта</w:t>
      </w:r>
      <w:r w:rsidRPr="00E93F40">
        <w:rPr>
          <w:rFonts w:ascii="Times New Roman" w:hAnsi="Times New Roman"/>
          <w:color w:val="000000" w:themeColor="text1"/>
          <w:sz w:val="16"/>
          <w:szCs w:val="16"/>
          <w:lang w:eastAsia="ru-RU" w:bidi="ru-RU"/>
        </w:rPr>
        <w:softHyphen/>
        <w:t>ния головного экземпляра закончились 9 мая, после чего машину направили в Свердловск, где она в первый летный сезон выполнила сотни полетов (20325).</w:t>
      </w:r>
    </w:p>
    <w:p w14:paraId="3BDFA17D" w14:textId="77777777" w:rsidR="00560CA8" w:rsidRPr="00E93F40" w:rsidRDefault="00560CA8" w:rsidP="00560CA8">
      <w:pPr>
        <w:spacing w:after="0" w:line="240" w:lineRule="auto"/>
        <w:jc w:val="both"/>
        <w:rPr>
          <w:rFonts w:ascii="Times New Roman" w:hAnsi="Times New Roman"/>
          <w:color w:val="000000" w:themeColor="text1"/>
          <w:sz w:val="16"/>
          <w:szCs w:val="16"/>
        </w:rPr>
      </w:pPr>
    </w:p>
    <w:p w14:paraId="14CB41EB"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1932 г. две машины Ш-2 летали над Та</w:t>
      </w:r>
      <w:r w:rsidRPr="00142305">
        <w:rPr>
          <w:rFonts w:ascii="Times New Roman" w:hAnsi="Times New Roman"/>
          <w:color w:val="0070C0"/>
          <w:sz w:val="16"/>
          <w:szCs w:val="16"/>
        </w:rPr>
        <w:softHyphen/>
        <w:t>ганрогом и разбрасывали листовки над празд</w:t>
      </w:r>
      <w:r w:rsidRPr="00142305">
        <w:rPr>
          <w:rFonts w:ascii="Times New Roman" w:hAnsi="Times New Roman"/>
          <w:color w:val="0070C0"/>
          <w:sz w:val="16"/>
          <w:szCs w:val="16"/>
        </w:rPr>
        <w:softHyphen/>
        <w:t>ничной демонстрацией жителей города. Госу</w:t>
      </w:r>
      <w:r w:rsidRPr="00142305">
        <w:rPr>
          <w:rFonts w:ascii="Times New Roman" w:hAnsi="Times New Roman"/>
          <w:color w:val="0070C0"/>
          <w:sz w:val="16"/>
          <w:szCs w:val="16"/>
        </w:rPr>
        <w:softHyphen/>
        <w:t>дарственные испытания первого головного эк</w:t>
      </w:r>
      <w:r w:rsidRPr="00142305">
        <w:rPr>
          <w:rFonts w:ascii="Times New Roman" w:hAnsi="Times New Roman"/>
          <w:color w:val="0070C0"/>
          <w:sz w:val="16"/>
          <w:szCs w:val="16"/>
        </w:rPr>
        <w:softHyphen/>
        <w:t>земпляра закончились 9 мая, после чего маши</w:t>
      </w:r>
      <w:r w:rsidRPr="00142305">
        <w:rPr>
          <w:rFonts w:ascii="Times New Roman" w:hAnsi="Times New Roman"/>
          <w:color w:val="0070C0"/>
          <w:sz w:val="16"/>
          <w:szCs w:val="16"/>
        </w:rPr>
        <w:softHyphen/>
        <w:t>ну направили в Свердловск, где она в первый летный сезон выполнила сотни полетов. Нес</w:t>
      </w:r>
      <w:r w:rsidRPr="00142305">
        <w:rPr>
          <w:rFonts w:ascii="Times New Roman" w:hAnsi="Times New Roman"/>
          <w:color w:val="0070C0"/>
          <w:sz w:val="16"/>
          <w:szCs w:val="16"/>
        </w:rPr>
        <w:softHyphen/>
        <w:t>колько человек прошли на ней обучение (35013).</w:t>
      </w:r>
    </w:p>
    <w:p w14:paraId="54AC8D8A" w14:textId="77777777" w:rsidR="00560CA8" w:rsidRPr="00142305" w:rsidRDefault="00560CA8" w:rsidP="00560CA8">
      <w:pPr>
        <w:spacing w:after="0" w:line="240" w:lineRule="auto"/>
        <w:jc w:val="both"/>
        <w:rPr>
          <w:rFonts w:ascii="Times New Roman" w:hAnsi="Times New Roman"/>
          <w:color w:val="0070C0"/>
          <w:sz w:val="16"/>
          <w:szCs w:val="16"/>
        </w:rPr>
      </w:pPr>
    </w:p>
    <w:p w14:paraId="0E16EA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в Тушино открылся первый планерный завод Осоавиахима. Начальником ОКБ был назначен О.К.Антонов (237,164).</w:t>
      </w:r>
    </w:p>
    <w:p w14:paraId="2020E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C3CA50"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мая</w:t>
      </w:r>
      <w:r w:rsidRPr="00E93F40">
        <w:rPr>
          <w:rFonts w:ascii="Times New Roman" w:hAnsi="Times New Roman"/>
          <w:color w:val="000000" w:themeColor="text1"/>
          <w:sz w:val="16"/>
          <w:szCs w:val="16"/>
        </w:rPr>
        <w:t xml:space="preserve"> в 1932 году в Тушино начал работу планерный завод Осоавиахима (14878).</w:t>
      </w:r>
    </w:p>
    <w:p w14:paraId="7A3536BA"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7B4305E3" w14:textId="77777777" w:rsidR="00EB5E43" w:rsidRPr="00E93F40" w:rsidRDefault="00EB5E4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 в Тушино открылся первый в СССР планерный завод Осоавиахима. Начальником конструкторского бюро был назначен инженер Олег Константинович Антонов, конструкторами - В.Емельянов, Б.Шереметев, Г.Грошев, А. Борин.</w:t>
      </w:r>
    </w:p>
    <w:p w14:paraId="5545D3A5" w14:textId="77777777" w:rsidR="00EB5E43" w:rsidRPr="00E93F40" w:rsidRDefault="00EB5E4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/"Красная звезда" за 5 апреля 1937 г./ (23370).</w:t>
      </w:r>
    </w:p>
    <w:p w14:paraId="72D53648" w14:textId="77777777" w:rsidR="00EB5E43" w:rsidRPr="00E93F40" w:rsidRDefault="00EB5E43" w:rsidP="00E93F40">
      <w:pPr>
        <w:spacing w:after="0" w:line="240" w:lineRule="auto"/>
        <w:jc w:val="both"/>
        <w:rPr>
          <w:rFonts w:ascii="Times New Roman" w:hAnsi="Times New Roman"/>
          <w:color w:val="000000" w:themeColor="text1"/>
          <w:sz w:val="16"/>
          <w:szCs w:val="16"/>
        </w:rPr>
      </w:pPr>
    </w:p>
    <w:p w14:paraId="66816B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 вступил в строй завод № 3 Управления производственными предприятиями ЦС Осоавиахима, созданный вдекабре 1931 г., когда планерные мастерские «Снабосоавиахима», действовавшие на территории Московской планерной школы, были переведены в Тушино на площадку у железнодорожной станции.</w:t>
      </w:r>
    </w:p>
    <w:p w14:paraId="0DFFC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около 40 типов планеров, многие из которых строились серийно.</w:t>
      </w:r>
    </w:p>
    <w:p w14:paraId="286E9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1933г. на заводе работал </w:t>
      </w:r>
      <w:r w:rsidRPr="00E93F40">
        <w:rPr>
          <w:rFonts w:ascii="Times New Roman" w:hAnsi="Times New Roman"/>
          <w:color w:val="000000" w:themeColor="text1"/>
          <w:sz w:val="16"/>
          <w:szCs w:val="16"/>
          <w:lang w:val="en-US"/>
        </w:rPr>
        <w:t>O</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K</w:t>
      </w:r>
      <w:r w:rsidRPr="00E93F40">
        <w:rPr>
          <w:rFonts w:ascii="Times New Roman" w:hAnsi="Times New Roman"/>
          <w:color w:val="000000" w:themeColor="text1"/>
          <w:sz w:val="16"/>
          <w:szCs w:val="16"/>
        </w:rPr>
        <w:t>. Антонов. В 1938г. он снят с должности, переведен на работу в ГУАП.</w:t>
      </w:r>
    </w:p>
    <w:p w14:paraId="361AB8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1936г. при заводе действовало МКБ Осоавиахима под руководством В.К. Грибовского. В 1938г. Грибовский назначен гл. конструктором завода вместо снятого </w:t>
      </w:r>
      <w:r w:rsidRPr="00E93F40">
        <w:rPr>
          <w:rFonts w:ascii="Times New Roman" w:hAnsi="Times New Roman"/>
          <w:color w:val="000000" w:themeColor="text1"/>
          <w:sz w:val="16"/>
          <w:szCs w:val="16"/>
          <w:lang w:val="en-US"/>
        </w:rPr>
        <w:t>O</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K</w:t>
      </w:r>
      <w:r w:rsidRPr="00E93F40">
        <w:rPr>
          <w:rFonts w:ascii="Times New Roman" w:hAnsi="Times New Roman"/>
          <w:color w:val="000000" w:themeColor="text1"/>
          <w:sz w:val="16"/>
          <w:szCs w:val="16"/>
        </w:rPr>
        <w:t>. Антонова, при заводе в результате слияния КБ Антонова и Грибовского организован Опытный отдел.</w:t>
      </w:r>
    </w:p>
    <w:p w14:paraId="3A240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до 1938г. построено около 8 тыс. планеров.</w:t>
      </w:r>
    </w:p>
    <w:p w14:paraId="128B59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По-видимому, в 03(04). 1939г. планерный завод № 3 Осоавиахима был передан в качестве производственной базы ЦКБ-1 профессора В.И. Левкова и был переименован в завод № 445 НКСП.</w:t>
      </w:r>
    </w:p>
    <w:p w14:paraId="06FCCD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72с от 10.03.1940 г. Грибовский назначен гл. конструктором нового ОКБ-28.</w:t>
      </w:r>
    </w:p>
    <w:p w14:paraId="2B642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1941 г. на этом месте организован завод № 464 НКАП.</w:t>
      </w:r>
    </w:p>
    <w:p w14:paraId="3D3AC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(12.1931 г.-)- И.Г. Комаров.</w:t>
      </w:r>
    </w:p>
    <w:p w14:paraId="132EB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Гл. инженер (1933-38г.)- </w:t>
      </w:r>
      <w:r w:rsidRPr="00E93F40">
        <w:rPr>
          <w:rFonts w:ascii="Times New Roman" w:hAnsi="Times New Roman"/>
          <w:color w:val="000000" w:themeColor="text1"/>
          <w:sz w:val="16"/>
          <w:szCs w:val="16"/>
          <w:lang w:val="en-US"/>
        </w:rPr>
        <w:t>O</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K</w:t>
      </w:r>
      <w:r w:rsidRPr="00E93F40">
        <w:rPr>
          <w:rFonts w:ascii="Times New Roman" w:hAnsi="Times New Roman"/>
          <w:color w:val="000000" w:themeColor="text1"/>
          <w:sz w:val="16"/>
          <w:szCs w:val="16"/>
        </w:rPr>
        <w:t>. Антонов («Упар», «6 условий ДИП», УС-3, -4, -5, -6, РФ-1, -2, -3, -4, -5, -6, -7, М-1, -2, -3, -4, -5, -6, ИП-1, -2, БА-1, БС-3, -4, -5, РЭ, ЛЕМ-2).</w:t>
      </w:r>
    </w:p>
    <w:p w14:paraId="02371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Гл. конструктор (1933-38г.)- </w:t>
      </w:r>
      <w:r w:rsidRPr="00E93F40">
        <w:rPr>
          <w:rFonts w:ascii="Times New Roman" w:hAnsi="Times New Roman"/>
          <w:color w:val="000000" w:themeColor="text1"/>
          <w:sz w:val="16"/>
          <w:szCs w:val="16"/>
          <w:lang w:val="en-US"/>
        </w:rPr>
        <w:t>O</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K</w:t>
      </w:r>
      <w:r w:rsidRPr="00E93F40">
        <w:rPr>
          <w:rFonts w:ascii="Times New Roman" w:hAnsi="Times New Roman"/>
          <w:color w:val="000000" w:themeColor="text1"/>
          <w:sz w:val="16"/>
          <w:szCs w:val="16"/>
        </w:rPr>
        <w:t>. Антонов, (1938-39г.)- В.К. Грибовский.</w:t>
      </w:r>
    </w:p>
    <w:p w14:paraId="16A10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КБ завода- Б.Н. Шереметьев.</w:t>
      </w:r>
    </w:p>
    <w:p w14:paraId="3AB9EA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планеры: «Упар»- 800, «6 условий ДИП», УС-3- 1600, УС-4- 3000, УС-5, УС-6, РФ-1, РФ-2, РФ-3, РФ-4, РФ-5, РФ-6, РФ-7, М-1, М-2, М-3, М-4, М-5, М-6, ИП-1, ИП-2, БА-1, БС-3, БС-4, БС-5, РЭ, Ш-4, Ш-5, «Октябренок», Ш-7, Ш-8, Ш-10, Ш-11, «Эрнст Тельман», «Беспризорник», Г № 2, Г № 6, Г № 7, АГ-1, КИМ-1, КИМ-2, РВ-1, МАК-12, ДК-3, ВА-3, СК-9, Г-9 (серия); самолеты: Г-15 (1934)- 1, ЛЕМ-2 (1937)- 1, Г-25 (1937), Г-26 (1938)- 1,Г-27 (1938)- 1 (11982).</w:t>
      </w:r>
    </w:p>
    <w:p w14:paraId="0977C460" w14:textId="77777777" w:rsidR="005E4C16" w:rsidRPr="00E93F40" w:rsidRDefault="005E4C16" w:rsidP="00E93F40">
      <w:pPr>
        <w:autoSpaceDE w:val="0"/>
        <w:autoSpaceDN w:val="0"/>
        <w:adjustRightInd w:val="0"/>
        <w:spacing w:after="0" w:line="240" w:lineRule="auto"/>
        <w:jc w:val="both"/>
        <w:rPr>
          <w:rFonts w:ascii="Times New Roman" w:hAnsi="Times New Roman"/>
          <w:color w:val="000000" w:themeColor="text1"/>
          <w:sz w:val="16"/>
          <w:szCs w:val="16"/>
        </w:rPr>
      </w:pPr>
    </w:p>
    <w:p w14:paraId="1C4EEF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мая 1932 на заводе № 24 собрали первые два серийных М-34. В тот же день один из них запустили на стенде. Так тогда было принято - подарок к праздни</w:t>
      </w:r>
      <w:r w:rsidRPr="00E93F40">
        <w:rPr>
          <w:rFonts w:ascii="Times New Roman" w:hAnsi="Times New Roman"/>
          <w:color w:val="000000" w:themeColor="text1"/>
          <w:sz w:val="16"/>
          <w:szCs w:val="16"/>
        </w:rPr>
        <w:softHyphen/>
        <w:t>ку. В июне первый серийный мотор, № 2001, установили на доработан</w:t>
      </w:r>
      <w:r w:rsidRPr="00E93F40">
        <w:rPr>
          <w:rFonts w:ascii="Times New Roman" w:hAnsi="Times New Roman"/>
          <w:color w:val="000000" w:themeColor="text1"/>
          <w:sz w:val="16"/>
          <w:szCs w:val="16"/>
        </w:rPr>
        <w:softHyphen/>
        <w:t>ный в ЦАГИ биплан Р-5, на котором провели летные испытания. Первые серии М-34 комплекто</w:t>
      </w:r>
      <w:r w:rsidRPr="00E93F40">
        <w:rPr>
          <w:rFonts w:ascii="Times New Roman" w:hAnsi="Times New Roman"/>
          <w:color w:val="000000" w:themeColor="text1"/>
          <w:sz w:val="16"/>
          <w:szCs w:val="16"/>
        </w:rPr>
        <w:softHyphen/>
        <w:t>вались французскими карбюратора</w:t>
      </w:r>
      <w:r w:rsidRPr="00E93F40">
        <w:rPr>
          <w:rFonts w:ascii="Times New Roman" w:hAnsi="Times New Roman"/>
          <w:color w:val="000000" w:themeColor="text1"/>
          <w:sz w:val="16"/>
          <w:szCs w:val="16"/>
        </w:rPr>
        <w:softHyphen/>
        <w:t>ми «Зенит 90Р». Серийный мотор оказался примерно на 60 кг тяже</w:t>
      </w:r>
      <w:r w:rsidRPr="00E93F40">
        <w:rPr>
          <w:rFonts w:ascii="Times New Roman" w:hAnsi="Times New Roman"/>
          <w:color w:val="000000" w:themeColor="text1"/>
          <w:sz w:val="16"/>
          <w:szCs w:val="16"/>
        </w:rPr>
        <w:softHyphen/>
        <w:t>лее М-17, вес которого был зало</w:t>
      </w:r>
      <w:r w:rsidRPr="00E93F40">
        <w:rPr>
          <w:rFonts w:ascii="Times New Roman" w:hAnsi="Times New Roman"/>
          <w:color w:val="000000" w:themeColor="text1"/>
          <w:sz w:val="16"/>
          <w:szCs w:val="16"/>
        </w:rPr>
        <w:softHyphen/>
        <w:t>жен в задание (550 кг), а максималь</w:t>
      </w:r>
      <w:r w:rsidRPr="00E93F40">
        <w:rPr>
          <w:rFonts w:ascii="Times New Roman" w:hAnsi="Times New Roman"/>
          <w:color w:val="000000" w:themeColor="text1"/>
          <w:sz w:val="16"/>
          <w:szCs w:val="16"/>
        </w:rPr>
        <w:softHyphen/>
        <w:t>ная мощность - на 100 л.с. меньше требуемой (800 л.с. вместо 900 л.с.}. В результате удельная мощность ока</w:t>
      </w:r>
      <w:r w:rsidRPr="00E93F40">
        <w:rPr>
          <w:rFonts w:ascii="Times New Roman" w:hAnsi="Times New Roman"/>
          <w:color w:val="000000" w:themeColor="text1"/>
          <w:sz w:val="16"/>
          <w:szCs w:val="16"/>
        </w:rPr>
        <w:softHyphen/>
        <w:t>залась примерно той же, что и у «немца». Расход бензина и масла, по мировым стандартам, был вели</w:t>
      </w:r>
      <w:r w:rsidRPr="00E93F40">
        <w:rPr>
          <w:rFonts w:ascii="Times New Roman" w:hAnsi="Times New Roman"/>
          <w:color w:val="000000" w:themeColor="text1"/>
          <w:sz w:val="16"/>
          <w:szCs w:val="16"/>
        </w:rPr>
        <w:softHyphen/>
        <w:t>коват. А посадочные места не соот</w:t>
      </w:r>
      <w:r w:rsidRPr="00E93F40">
        <w:rPr>
          <w:rFonts w:ascii="Times New Roman" w:hAnsi="Times New Roman"/>
          <w:color w:val="000000" w:themeColor="text1"/>
          <w:sz w:val="16"/>
          <w:szCs w:val="16"/>
        </w:rPr>
        <w:softHyphen/>
        <w:t>ветствовали "не только немецкому двигателю, но и полноразмерным макетам, которые ИАМ рассылал самолетостроителям. Значит, заме</w:t>
      </w:r>
      <w:r w:rsidRPr="00E93F40">
        <w:rPr>
          <w:rFonts w:ascii="Times New Roman" w:hAnsi="Times New Roman"/>
          <w:color w:val="000000" w:themeColor="text1"/>
          <w:sz w:val="16"/>
          <w:szCs w:val="16"/>
        </w:rPr>
        <w:softHyphen/>
        <w:t>на М-17 на М-34 получалась доволь</w:t>
      </w:r>
      <w:r w:rsidRPr="00E93F40">
        <w:rPr>
          <w:rFonts w:ascii="Times New Roman" w:hAnsi="Times New Roman"/>
          <w:color w:val="000000" w:themeColor="text1"/>
          <w:sz w:val="16"/>
          <w:szCs w:val="16"/>
        </w:rPr>
        <w:softHyphen/>
        <w:t>но хлопотной. В производстве М-34 оказался и сложнее, и дороже пред</w:t>
      </w:r>
      <w:r w:rsidRPr="00E93F40">
        <w:rPr>
          <w:rFonts w:ascii="Times New Roman" w:hAnsi="Times New Roman"/>
          <w:color w:val="000000" w:themeColor="text1"/>
          <w:sz w:val="16"/>
          <w:szCs w:val="16"/>
        </w:rPr>
        <w:softHyphen/>
        <w:t>шественника. Первые моторы даже не пытались сдавать военным. Дело в том, что технические условия писали на за</w:t>
      </w:r>
      <w:r w:rsidRPr="00E93F40">
        <w:rPr>
          <w:rFonts w:ascii="Times New Roman" w:hAnsi="Times New Roman"/>
          <w:color w:val="000000" w:themeColor="text1"/>
          <w:sz w:val="16"/>
          <w:szCs w:val="16"/>
        </w:rPr>
        <w:softHyphen/>
        <w:t>воде, и в УВВС их отправили только в декабре 1932 г. А утвердили их только 19 мая следующего года, ког</w:t>
      </w:r>
      <w:r w:rsidRPr="00E93F40">
        <w:rPr>
          <w:rFonts w:ascii="Times New Roman" w:hAnsi="Times New Roman"/>
          <w:color w:val="000000" w:themeColor="text1"/>
          <w:sz w:val="16"/>
          <w:szCs w:val="16"/>
        </w:rPr>
        <w:softHyphen/>
        <w:t>да М-34 уже шли из цехов сотнями! (11848).</w:t>
      </w:r>
    </w:p>
    <w:p w14:paraId="1B542F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04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мотор М-38 поступил на испытания (2310,130).</w:t>
      </w:r>
    </w:p>
    <w:p w14:paraId="769C05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 гос. испытание мотора М38 по плану 15.08.32 г.</w:t>
      </w:r>
    </w:p>
    <w:p w14:paraId="5A895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испытаниях выявлены дефекты.</w:t>
      </w:r>
    </w:p>
    <w:p w14:paraId="6319B6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Переделанный мотор будет закончен 20.03.33 г. Предъявление на гос. испытания 1.05.33 г.</w:t>
      </w:r>
    </w:p>
    <w:p w14:paraId="6C831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М-38 запроектирован редуктор и запущен в производство. Срок готовности 1.10.33 г. (предъявление на гос. испытания) (3082).</w:t>
      </w:r>
    </w:p>
    <w:p w14:paraId="7D2CC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101B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 мая 1932 самолетно-моторный парк ОВФ ЦС Осоавиахима состоял: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22"/>
        <w:gridCol w:w="1263"/>
        <w:gridCol w:w="669"/>
        <w:gridCol w:w="1174"/>
        <w:gridCol w:w="1134"/>
        <w:gridCol w:w="1275"/>
        <w:gridCol w:w="2550"/>
      </w:tblGrid>
      <w:tr w:rsidR="00DA227A" w:rsidRPr="00E93F40" w14:paraId="37F08C08" w14:textId="77777777">
        <w:tc>
          <w:tcPr>
            <w:tcW w:w="1809" w:type="dxa"/>
          </w:tcPr>
          <w:p w14:paraId="16FE33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722" w:type="dxa"/>
          </w:tcPr>
          <w:p w14:paraId="310CE3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w:t>
            </w:r>
          </w:p>
        </w:tc>
        <w:tc>
          <w:tcPr>
            <w:tcW w:w="1263" w:type="dxa"/>
          </w:tcPr>
          <w:p w14:paraId="567C6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01.05.31</w:t>
            </w:r>
          </w:p>
        </w:tc>
        <w:tc>
          <w:tcPr>
            <w:tcW w:w="669" w:type="dxa"/>
          </w:tcPr>
          <w:p w14:paraId="7DE7CB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40733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01.01.32</w:t>
            </w:r>
          </w:p>
        </w:tc>
        <w:tc>
          <w:tcPr>
            <w:tcW w:w="1134" w:type="dxa"/>
          </w:tcPr>
          <w:p w14:paraId="2003C2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B3C7D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01.05.32</w:t>
            </w:r>
          </w:p>
        </w:tc>
        <w:tc>
          <w:tcPr>
            <w:tcW w:w="2550" w:type="dxa"/>
          </w:tcPr>
          <w:p w14:paraId="6A9A2E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D17A50B" w14:textId="77777777">
        <w:tc>
          <w:tcPr>
            <w:tcW w:w="1809" w:type="dxa"/>
          </w:tcPr>
          <w:p w14:paraId="2238F3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DD82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685B3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w:t>
            </w:r>
          </w:p>
        </w:tc>
        <w:tc>
          <w:tcPr>
            <w:tcW w:w="669" w:type="dxa"/>
          </w:tcPr>
          <w:p w14:paraId="0E47DB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Кол-во</w:t>
            </w:r>
          </w:p>
        </w:tc>
        <w:tc>
          <w:tcPr>
            <w:tcW w:w="1174" w:type="dxa"/>
          </w:tcPr>
          <w:p w14:paraId="75C7D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w:t>
            </w:r>
          </w:p>
        </w:tc>
        <w:tc>
          <w:tcPr>
            <w:tcW w:w="1134" w:type="dxa"/>
          </w:tcPr>
          <w:p w14:paraId="0DFCB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Кол-во</w:t>
            </w:r>
          </w:p>
        </w:tc>
        <w:tc>
          <w:tcPr>
            <w:tcW w:w="1275" w:type="dxa"/>
          </w:tcPr>
          <w:p w14:paraId="325D58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w:t>
            </w:r>
          </w:p>
        </w:tc>
        <w:tc>
          <w:tcPr>
            <w:tcW w:w="2550" w:type="dxa"/>
          </w:tcPr>
          <w:p w14:paraId="42247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Кол-во</w:t>
            </w:r>
          </w:p>
        </w:tc>
      </w:tr>
      <w:tr w:rsidR="00DA227A" w:rsidRPr="00E93F40" w14:paraId="6035A972" w14:textId="77777777">
        <w:tc>
          <w:tcPr>
            <w:tcW w:w="1809" w:type="dxa"/>
          </w:tcPr>
          <w:p w14:paraId="5F234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Учебные</w:t>
            </w:r>
          </w:p>
        </w:tc>
        <w:tc>
          <w:tcPr>
            <w:tcW w:w="722" w:type="dxa"/>
          </w:tcPr>
          <w:p w14:paraId="67153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263" w:type="dxa"/>
          </w:tcPr>
          <w:p w14:paraId="352B5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w:t>
            </w:r>
          </w:p>
        </w:tc>
        <w:tc>
          <w:tcPr>
            <w:tcW w:w="669" w:type="dxa"/>
          </w:tcPr>
          <w:p w14:paraId="5A6BB8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1174" w:type="dxa"/>
          </w:tcPr>
          <w:p w14:paraId="719BB1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D012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1275" w:type="dxa"/>
          </w:tcPr>
          <w:p w14:paraId="30905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2BBBD7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w:t>
            </w:r>
          </w:p>
        </w:tc>
      </w:tr>
      <w:tr w:rsidR="00DA227A" w:rsidRPr="00E93F40" w14:paraId="3A58BFE0" w14:textId="77777777">
        <w:tc>
          <w:tcPr>
            <w:tcW w:w="1809" w:type="dxa"/>
          </w:tcPr>
          <w:p w14:paraId="05B25C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2687C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263" w:type="dxa"/>
          </w:tcPr>
          <w:p w14:paraId="41B38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669" w:type="dxa"/>
          </w:tcPr>
          <w:p w14:paraId="1FA7DE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174" w:type="dxa"/>
          </w:tcPr>
          <w:p w14:paraId="060A6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D965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1275" w:type="dxa"/>
          </w:tcPr>
          <w:p w14:paraId="270EA2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78EB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r>
      <w:tr w:rsidR="00DA227A" w:rsidRPr="00E93F40" w14:paraId="2781FF45" w14:textId="77777777">
        <w:tc>
          <w:tcPr>
            <w:tcW w:w="1809" w:type="dxa"/>
          </w:tcPr>
          <w:p w14:paraId="79C5B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319F47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467459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789166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7D10B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3ED4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35D1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П-2</w:t>
            </w:r>
          </w:p>
        </w:tc>
        <w:tc>
          <w:tcPr>
            <w:tcW w:w="2550" w:type="dxa"/>
          </w:tcPr>
          <w:p w14:paraId="14CA1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r>
      <w:tr w:rsidR="00DA227A" w:rsidRPr="00E93F40" w14:paraId="23E0A270" w14:textId="77777777">
        <w:tc>
          <w:tcPr>
            <w:tcW w:w="1809" w:type="dxa"/>
          </w:tcPr>
          <w:p w14:paraId="412AC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722" w:type="dxa"/>
          </w:tcPr>
          <w:p w14:paraId="20727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62E8D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19539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w:t>
            </w:r>
          </w:p>
        </w:tc>
        <w:tc>
          <w:tcPr>
            <w:tcW w:w="1174" w:type="dxa"/>
          </w:tcPr>
          <w:p w14:paraId="3829A2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3D9D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w:t>
            </w:r>
          </w:p>
        </w:tc>
        <w:tc>
          <w:tcPr>
            <w:tcW w:w="1275" w:type="dxa"/>
          </w:tcPr>
          <w:p w14:paraId="46D35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3493C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139</w:t>
            </w:r>
          </w:p>
        </w:tc>
      </w:tr>
      <w:tr w:rsidR="00DA227A" w:rsidRPr="00E93F40" w14:paraId="12D66D6F" w14:textId="77777777">
        <w:tc>
          <w:tcPr>
            <w:tcW w:w="1809" w:type="dxa"/>
          </w:tcPr>
          <w:p w14:paraId="7BC47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Экспонатные</w:t>
            </w:r>
          </w:p>
        </w:tc>
        <w:tc>
          <w:tcPr>
            <w:tcW w:w="722" w:type="dxa"/>
          </w:tcPr>
          <w:p w14:paraId="3A5D6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2CCDE8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726EE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23843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1585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4272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DCF3F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178455" w14:textId="77777777">
        <w:tc>
          <w:tcPr>
            <w:tcW w:w="1809" w:type="dxa"/>
          </w:tcPr>
          <w:p w14:paraId="4730E8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3A548B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263" w:type="dxa"/>
          </w:tcPr>
          <w:p w14:paraId="5865A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Мартин-Сайд</w:t>
            </w:r>
          </w:p>
        </w:tc>
        <w:tc>
          <w:tcPr>
            <w:tcW w:w="669" w:type="dxa"/>
          </w:tcPr>
          <w:p w14:paraId="4E9EB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174" w:type="dxa"/>
          </w:tcPr>
          <w:p w14:paraId="3AB51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FCFA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275" w:type="dxa"/>
          </w:tcPr>
          <w:p w14:paraId="6B52D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2550" w:type="dxa"/>
          </w:tcPr>
          <w:p w14:paraId="65004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r>
      <w:tr w:rsidR="00DA227A" w:rsidRPr="00E93F40" w14:paraId="29AF416E" w14:textId="77777777">
        <w:tc>
          <w:tcPr>
            <w:tcW w:w="1809" w:type="dxa"/>
          </w:tcPr>
          <w:p w14:paraId="3C3C8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A409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263" w:type="dxa"/>
          </w:tcPr>
          <w:p w14:paraId="1C300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 У-1</w:t>
            </w:r>
          </w:p>
        </w:tc>
        <w:tc>
          <w:tcPr>
            <w:tcW w:w="669" w:type="dxa"/>
          </w:tcPr>
          <w:p w14:paraId="7AC8E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174" w:type="dxa"/>
          </w:tcPr>
          <w:p w14:paraId="091FD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64FE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275" w:type="dxa"/>
          </w:tcPr>
          <w:p w14:paraId="61851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4AA151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9810E3" w14:textId="77777777">
        <w:tc>
          <w:tcPr>
            <w:tcW w:w="1809" w:type="dxa"/>
          </w:tcPr>
          <w:p w14:paraId="436DE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6B397D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263" w:type="dxa"/>
          </w:tcPr>
          <w:p w14:paraId="178EC0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w:t>
            </w:r>
          </w:p>
        </w:tc>
        <w:tc>
          <w:tcPr>
            <w:tcW w:w="669" w:type="dxa"/>
          </w:tcPr>
          <w:p w14:paraId="5A8393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174" w:type="dxa"/>
          </w:tcPr>
          <w:p w14:paraId="04AE50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E4DE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275" w:type="dxa"/>
          </w:tcPr>
          <w:p w14:paraId="7CCD9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59A90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4DD69619" w14:textId="77777777">
        <w:tc>
          <w:tcPr>
            <w:tcW w:w="1809" w:type="dxa"/>
          </w:tcPr>
          <w:p w14:paraId="75CCB8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49D466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263" w:type="dxa"/>
          </w:tcPr>
          <w:p w14:paraId="746013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w:t>
            </w:r>
          </w:p>
        </w:tc>
        <w:tc>
          <w:tcPr>
            <w:tcW w:w="669" w:type="dxa"/>
          </w:tcPr>
          <w:p w14:paraId="24C6C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174" w:type="dxa"/>
          </w:tcPr>
          <w:p w14:paraId="7A041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046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6B1D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4F9623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351AD7" w14:textId="77777777">
        <w:tc>
          <w:tcPr>
            <w:tcW w:w="1809" w:type="dxa"/>
          </w:tcPr>
          <w:p w14:paraId="3C492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5C73F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263" w:type="dxa"/>
          </w:tcPr>
          <w:p w14:paraId="68B32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ФД-11</w:t>
            </w:r>
          </w:p>
        </w:tc>
        <w:tc>
          <w:tcPr>
            <w:tcW w:w="669" w:type="dxa"/>
          </w:tcPr>
          <w:p w14:paraId="3B7B7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174" w:type="dxa"/>
          </w:tcPr>
          <w:p w14:paraId="0AC57F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5CB3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1275" w:type="dxa"/>
          </w:tcPr>
          <w:p w14:paraId="6FA6D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EE80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3DBD833" w14:textId="77777777">
        <w:tc>
          <w:tcPr>
            <w:tcW w:w="1809" w:type="dxa"/>
          </w:tcPr>
          <w:p w14:paraId="4E538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6A8D9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263" w:type="dxa"/>
          </w:tcPr>
          <w:p w14:paraId="46A0DB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ФД-7</w:t>
            </w:r>
          </w:p>
        </w:tc>
        <w:tc>
          <w:tcPr>
            <w:tcW w:w="669" w:type="dxa"/>
          </w:tcPr>
          <w:p w14:paraId="2410D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174" w:type="dxa"/>
          </w:tcPr>
          <w:p w14:paraId="361A7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407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35E72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4951D8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610C2C4" w14:textId="77777777">
        <w:tc>
          <w:tcPr>
            <w:tcW w:w="1809" w:type="dxa"/>
          </w:tcPr>
          <w:p w14:paraId="04020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5BF8F2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1263" w:type="dxa"/>
          </w:tcPr>
          <w:p w14:paraId="788CC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ДН-9</w:t>
            </w:r>
          </w:p>
        </w:tc>
        <w:tc>
          <w:tcPr>
            <w:tcW w:w="669" w:type="dxa"/>
          </w:tcPr>
          <w:p w14:paraId="4BB03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174" w:type="dxa"/>
          </w:tcPr>
          <w:p w14:paraId="428917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055FA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D68E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5BA9A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9954A6" w14:textId="77777777">
        <w:tc>
          <w:tcPr>
            <w:tcW w:w="1809" w:type="dxa"/>
          </w:tcPr>
          <w:p w14:paraId="1C0C9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298ED4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263" w:type="dxa"/>
          </w:tcPr>
          <w:p w14:paraId="677EC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Фоккер-3</w:t>
            </w:r>
          </w:p>
        </w:tc>
        <w:tc>
          <w:tcPr>
            <w:tcW w:w="669" w:type="dxa"/>
          </w:tcPr>
          <w:p w14:paraId="050FAE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174" w:type="dxa"/>
          </w:tcPr>
          <w:p w14:paraId="459D1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680C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6737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163295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DF1982" w14:textId="77777777">
        <w:tc>
          <w:tcPr>
            <w:tcW w:w="1809" w:type="dxa"/>
          </w:tcPr>
          <w:p w14:paraId="6E5136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3CB02F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1263" w:type="dxa"/>
          </w:tcPr>
          <w:p w14:paraId="4E261F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Анрио</w:t>
            </w:r>
          </w:p>
        </w:tc>
        <w:tc>
          <w:tcPr>
            <w:tcW w:w="669" w:type="dxa"/>
          </w:tcPr>
          <w:p w14:paraId="2798A6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174" w:type="dxa"/>
          </w:tcPr>
          <w:p w14:paraId="26367B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3360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275" w:type="dxa"/>
          </w:tcPr>
          <w:p w14:paraId="1B879A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3C477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241743" w14:textId="77777777">
        <w:tc>
          <w:tcPr>
            <w:tcW w:w="1809" w:type="dxa"/>
          </w:tcPr>
          <w:p w14:paraId="12E25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1142D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263" w:type="dxa"/>
          </w:tcPr>
          <w:p w14:paraId="4BDB9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Савойя</w:t>
            </w:r>
          </w:p>
        </w:tc>
        <w:tc>
          <w:tcPr>
            <w:tcW w:w="669" w:type="dxa"/>
          </w:tcPr>
          <w:p w14:paraId="4313C5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174" w:type="dxa"/>
          </w:tcPr>
          <w:p w14:paraId="6893F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E71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F0ED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801B9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A875B1" w14:textId="77777777">
        <w:tc>
          <w:tcPr>
            <w:tcW w:w="1809" w:type="dxa"/>
          </w:tcPr>
          <w:p w14:paraId="749D37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4E62A6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39A719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5A8A92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1115BA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ФСУ пас.</w:t>
            </w:r>
          </w:p>
        </w:tc>
        <w:tc>
          <w:tcPr>
            <w:tcW w:w="1134" w:type="dxa"/>
          </w:tcPr>
          <w:p w14:paraId="09A6A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275" w:type="dxa"/>
          </w:tcPr>
          <w:p w14:paraId="5A3D32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8C3D3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886077" w14:textId="77777777">
        <w:tc>
          <w:tcPr>
            <w:tcW w:w="1809" w:type="dxa"/>
          </w:tcPr>
          <w:p w14:paraId="58B7C6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1D4B6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6FE97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6ACDD9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761EC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Ансальдо</w:t>
            </w:r>
          </w:p>
        </w:tc>
        <w:tc>
          <w:tcPr>
            <w:tcW w:w="1134" w:type="dxa"/>
          </w:tcPr>
          <w:p w14:paraId="16030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275" w:type="dxa"/>
          </w:tcPr>
          <w:p w14:paraId="0E474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5EB48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812314E" w14:textId="77777777">
        <w:tc>
          <w:tcPr>
            <w:tcW w:w="1809" w:type="dxa"/>
          </w:tcPr>
          <w:p w14:paraId="3DE990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722" w:type="dxa"/>
          </w:tcPr>
          <w:p w14:paraId="445355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4BF13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7F6A6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w:t>
            </w:r>
          </w:p>
        </w:tc>
        <w:tc>
          <w:tcPr>
            <w:tcW w:w="1174" w:type="dxa"/>
          </w:tcPr>
          <w:p w14:paraId="3080A7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2AD1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1275" w:type="dxa"/>
          </w:tcPr>
          <w:p w14:paraId="549B6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849F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r>
      <w:tr w:rsidR="00DA227A" w:rsidRPr="00E93F40" w14:paraId="039B54B0" w14:textId="77777777">
        <w:tc>
          <w:tcPr>
            <w:tcW w:w="1809" w:type="dxa"/>
          </w:tcPr>
          <w:p w14:paraId="6CFA7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учебные</w:t>
            </w:r>
          </w:p>
        </w:tc>
        <w:tc>
          <w:tcPr>
            <w:tcW w:w="722" w:type="dxa"/>
          </w:tcPr>
          <w:p w14:paraId="5F55F8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263" w:type="dxa"/>
          </w:tcPr>
          <w:p w14:paraId="00273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М-2-120</w:t>
            </w:r>
          </w:p>
        </w:tc>
        <w:tc>
          <w:tcPr>
            <w:tcW w:w="669" w:type="dxa"/>
          </w:tcPr>
          <w:p w14:paraId="7C673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w:t>
            </w:r>
          </w:p>
        </w:tc>
        <w:tc>
          <w:tcPr>
            <w:tcW w:w="1174" w:type="dxa"/>
          </w:tcPr>
          <w:p w14:paraId="1DC518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М-2-120нр</w:t>
            </w:r>
          </w:p>
        </w:tc>
        <w:tc>
          <w:tcPr>
            <w:tcW w:w="1134" w:type="dxa"/>
          </w:tcPr>
          <w:p w14:paraId="2D3D5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w:t>
            </w:r>
          </w:p>
        </w:tc>
        <w:tc>
          <w:tcPr>
            <w:tcW w:w="1275" w:type="dxa"/>
          </w:tcPr>
          <w:p w14:paraId="26733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w:t>
            </w:r>
          </w:p>
        </w:tc>
        <w:tc>
          <w:tcPr>
            <w:tcW w:w="2550" w:type="dxa"/>
          </w:tcPr>
          <w:p w14:paraId="2D71D8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292</w:t>
            </w:r>
          </w:p>
        </w:tc>
      </w:tr>
      <w:tr w:rsidR="00DA227A" w:rsidRPr="00E93F40" w14:paraId="2A65EBF0" w14:textId="77777777">
        <w:tc>
          <w:tcPr>
            <w:tcW w:w="1809" w:type="dxa"/>
          </w:tcPr>
          <w:p w14:paraId="790CA8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5BA30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02F37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51D650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25CF4E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М-11</w:t>
            </w:r>
          </w:p>
        </w:tc>
        <w:tc>
          <w:tcPr>
            <w:tcW w:w="1134" w:type="dxa"/>
          </w:tcPr>
          <w:p w14:paraId="1D01A3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1275" w:type="dxa"/>
          </w:tcPr>
          <w:p w14:paraId="62DC5E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3B1832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r>
      <w:tr w:rsidR="00DA227A" w:rsidRPr="00E93F40" w14:paraId="4AE988E5" w14:textId="77777777">
        <w:tc>
          <w:tcPr>
            <w:tcW w:w="1809" w:type="dxa"/>
          </w:tcPr>
          <w:p w14:paraId="231921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722" w:type="dxa"/>
          </w:tcPr>
          <w:p w14:paraId="16184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3C8D1D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0CA34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w:t>
            </w:r>
          </w:p>
        </w:tc>
        <w:tc>
          <w:tcPr>
            <w:tcW w:w="1174" w:type="dxa"/>
          </w:tcPr>
          <w:p w14:paraId="6F8FE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368D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w:t>
            </w:r>
          </w:p>
        </w:tc>
        <w:tc>
          <w:tcPr>
            <w:tcW w:w="1275" w:type="dxa"/>
          </w:tcPr>
          <w:p w14:paraId="6AD00A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4A26BB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w:t>
            </w:r>
          </w:p>
        </w:tc>
      </w:tr>
      <w:tr w:rsidR="00DA227A" w:rsidRPr="00E93F40" w14:paraId="715D02F5" w14:textId="77777777">
        <w:tc>
          <w:tcPr>
            <w:tcW w:w="1809" w:type="dxa"/>
          </w:tcPr>
          <w:p w14:paraId="7C3597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Экспонатные</w:t>
            </w:r>
          </w:p>
        </w:tc>
        <w:tc>
          <w:tcPr>
            <w:tcW w:w="722" w:type="dxa"/>
          </w:tcPr>
          <w:p w14:paraId="2F000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263" w:type="dxa"/>
          </w:tcPr>
          <w:p w14:paraId="2EA44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w:t>
            </w:r>
          </w:p>
        </w:tc>
        <w:tc>
          <w:tcPr>
            <w:tcW w:w="669" w:type="dxa"/>
          </w:tcPr>
          <w:p w14:paraId="7048B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174" w:type="dxa"/>
          </w:tcPr>
          <w:p w14:paraId="30919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D3CAF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275" w:type="dxa"/>
          </w:tcPr>
          <w:p w14:paraId="7C18E4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2550" w:type="dxa"/>
          </w:tcPr>
          <w:p w14:paraId="61FE3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w:t>
            </w:r>
          </w:p>
        </w:tc>
      </w:tr>
      <w:tr w:rsidR="00DA227A" w:rsidRPr="00E93F40" w14:paraId="37F600F2" w14:textId="77777777">
        <w:tc>
          <w:tcPr>
            <w:tcW w:w="1809" w:type="dxa"/>
          </w:tcPr>
          <w:p w14:paraId="18476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05CC47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263" w:type="dxa"/>
          </w:tcPr>
          <w:p w14:paraId="08CF8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Ротативные</w:t>
            </w:r>
          </w:p>
        </w:tc>
        <w:tc>
          <w:tcPr>
            <w:tcW w:w="669" w:type="dxa"/>
          </w:tcPr>
          <w:p w14:paraId="1C56C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174" w:type="dxa"/>
          </w:tcPr>
          <w:p w14:paraId="47DD76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627E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3CECA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F45E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725402" w14:textId="77777777">
        <w:tc>
          <w:tcPr>
            <w:tcW w:w="1809" w:type="dxa"/>
          </w:tcPr>
          <w:p w14:paraId="738F1A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53F6CC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263" w:type="dxa"/>
          </w:tcPr>
          <w:p w14:paraId="3E0F33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Рон-120</w:t>
            </w:r>
          </w:p>
        </w:tc>
        <w:tc>
          <w:tcPr>
            <w:tcW w:w="669" w:type="dxa"/>
          </w:tcPr>
          <w:p w14:paraId="68328F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1174" w:type="dxa"/>
          </w:tcPr>
          <w:p w14:paraId="76AC0F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E75D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3EF68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276F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8D5C29" w14:textId="77777777">
        <w:tc>
          <w:tcPr>
            <w:tcW w:w="1809" w:type="dxa"/>
          </w:tcPr>
          <w:p w14:paraId="120DA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311611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263" w:type="dxa"/>
          </w:tcPr>
          <w:p w14:paraId="369E6C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Фиат</w:t>
            </w:r>
          </w:p>
        </w:tc>
        <w:tc>
          <w:tcPr>
            <w:tcW w:w="669" w:type="dxa"/>
          </w:tcPr>
          <w:p w14:paraId="76A6F3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1174" w:type="dxa"/>
          </w:tcPr>
          <w:p w14:paraId="7DEA6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40999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F4DDC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09225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E144C3" w14:textId="77777777">
        <w:tc>
          <w:tcPr>
            <w:tcW w:w="1809" w:type="dxa"/>
          </w:tcPr>
          <w:p w14:paraId="1B154A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1ADB5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263" w:type="dxa"/>
          </w:tcPr>
          <w:p w14:paraId="6BB6B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Клерже</w:t>
            </w:r>
          </w:p>
        </w:tc>
        <w:tc>
          <w:tcPr>
            <w:tcW w:w="669" w:type="dxa"/>
          </w:tcPr>
          <w:p w14:paraId="5B0CCA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1174" w:type="dxa"/>
          </w:tcPr>
          <w:p w14:paraId="14B92C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EFE9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7CF9C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2A97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78BD4D" w14:textId="77777777">
        <w:tc>
          <w:tcPr>
            <w:tcW w:w="1809" w:type="dxa"/>
          </w:tcPr>
          <w:p w14:paraId="4F17AD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5A651E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744E9C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06D07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06B20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М-6</w:t>
            </w:r>
          </w:p>
        </w:tc>
        <w:tc>
          <w:tcPr>
            <w:tcW w:w="1134" w:type="dxa"/>
          </w:tcPr>
          <w:p w14:paraId="75EF78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1275" w:type="dxa"/>
          </w:tcPr>
          <w:p w14:paraId="7EEE45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15DCD8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38C5F9" w14:textId="77777777">
        <w:tc>
          <w:tcPr>
            <w:tcW w:w="1809" w:type="dxa"/>
          </w:tcPr>
          <w:p w14:paraId="37030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0A5A4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438B1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4AE73E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246474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w:t>
            </w:r>
          </w:p>
        </w:tc>
        <w:tc>
          <w:tcPr>
            <w:tcW w:w="1134" w:type="dxa"/>
          </w:tcPr>
          <w:p w14:paraId="3CCD1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275" w:type="dxa"/>
          </w:tcPr>
          <w:p w14:paraId="237CF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0D48DC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093AD7" w14:textId="77777777">
        <w:tc>
          <w:tcPr>
            <w:tcW w:w="1809" w:type="dxa"/>
          </w:tcPr>
          <w:p w14:paraId="000FC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7EA1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6A2B5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1C38EA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4E7AC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Сидней-Пума</w:t>
            </w:r>
          </w:p>
        </w:tc>
        <w:tc>
          <w:tcPr>
            <w:tcW w:w="1134" w:type="dxa"/>
          </w:tcPr>
          <w:p w14:paraId="57653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275" w:type="dxa"/>
          </w:tcPr>
          <w:p w14:paraId="614D7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45A01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8A853D" w14:textId="77777777">
        <w:tc>
          <w:tcPr>
            <w:tcW w:w="1809" w:type="dxa"/>
          </w:tcPr>
          <w:p w14:paraId="49231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634C5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029C00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35C02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28FB1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Рон-80</w:t>
            </w:r>
          </w:p>
        </w:tc>
        <w:tc>
          <w:tcPr>
            <w:tcW w:w="1134" w:type="dxa"/>
          </w:tcPr>
          <w:p w14:paraId="436A2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(2329)</w:t>
            </w:r>
          </w:p>
        </w:tc>
        <w:tc>
          <w:tcPr>
            <w:tcW w:w="1275" w:type="dxa"/>
          </w:tcPr>
          <w:p w14:paraId="5B799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2B374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722623F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3F8EE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в НИИ ВВС было проведено гос. испытание самолета «Звено» (6778).</w:t>
      </w:r>
    </w:p>
    <w:p w14:paraId="6D5A26A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88F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мая 1932 С.П.К. возглавил ГИРД (371,52).</w:t>
      </w:r>
    </w:p>
    <w:p w14:paraId="3EC0E8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92D3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 был основан завод № 125 в Иркутске:</w:t>
      </w:r>
    </w:p>
    <w:p w14:paraId="60C6BA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 ввода в эксплуатацию:</w:t>
      </w:r>
    </w:p>
    <w:p w14:paraId="42E88E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частичного – 24 августа 1934 года</w:t>
      </w:r>
    </w:p>
    <w:p w14:paraId="6EC0E2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w:t>
      </w:r>
    </w:p>
    <w:p w14:paraId="78B2F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производства – среднесерийное</w:t>
      </w:r>
    </w:p>
    <w:p w14:paraId="045EA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производства – самолетостроение</w:t>
      </w:r>
    </w:p>
    <w:p w14:paraId="3D4A8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Иркутск-2, п/я 11</w:t>
      </w:r>
    </w:p>
    <w:p w14:paraId="6EB30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СБ и ПЕ-2 и гр. компл. к ним</w:t>
      </w:r>
    </w:p>
    <w:p w14:paraId="647B2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I квартала 1941 года завод перешел на новую конструкцию машины и в настоящее время находится в стадии подготовки и освоения ее. На основании плана выпуска продукции, первые 10 машин завод должен дать во II квартале 1941 года (9254).</w:t>
      </w:r>
    </w:p>
    <w:p w14:paraId="64C5C4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1E8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мая 1932 года был закончен производством мотор М-38Н: Мощность – 600 л.с., Вес – 400 кг, Срок госиспытаний – август 1932 года, ЦИАМ. 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 Суммарно мотор проработал около 200 часов, из них режимных около 80 часов. С другой стороны испытания показали, что в отношении развиваемой мощности, надежности работы отдельных деталей (кривошипно-шатунный механизм, картер и пр.) требуются доработки (3530,70-86).</w:t>
      </w:r>
    </w:p>
    <w:p w14:paraId="37D26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CF5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 мотор М-38 был построен и поставлен на заводские испытания (3530,91).</w:t>
      </w:r>
    </w:p>
    <w:p w14:paraId="58AB1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B8C3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мая 1932 г. было решено первые два двигателя М-34, изготовленные на заводе № 24, поставить на испытания и обязательно запустить. Работникам завода пришлось приложить все силы, чтобы в срок вы</w:t>
      </w:r>
      <w:r w:rsidRPr="00E93F40">
        <w:rPr>
          <w:rFonts w:ascii="Times New Roman" w:hAnsi="Times New Roman"/>
          <w:color w:val="000000" w:themeColor="text1"/>
          <w:sz w:val="16"/>
          <w:szCs w:val="16"/>
        </w:rPr>
        <w:softHyphen/>
        <w:t>полнить это задание. Для доводки двигателя необходимо было ре</w:t>
      </w:r>
      <w:r w:rsidRPr="00E93F40">
        <w:rPr>
          <w:rFonts w:ascii="Times New Roman" w:hAnsi="Times New Roman"/>
          <w:color w:val="000000" w:themeColor="text1"/>
          <w:sz w:val="16"/>
          <w:szCs w:val="16"/>
        </w:rPr>
        <w:softHyphen/>
        <w:t>конструировать испытательный цех. В нем заменили испытательные стенды и все нестандартное оборудование, которое изготовили и смонтировали сами рабочие. Заводские испытания первого серийного М-34 начались 30 апреля 1932 г. (10781).</w:t>
      </w:r>
    </w:p>
    <w:p w14:paraId="6934F7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D402EC"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года произошло организационное оформление ГИРД как государственной организации. В этот же день, 1 мая 1932 года, начальником ГИРДа был на</w:t>
      </w:r>
      <w:r w:rsidRPr="00E93F40">
        <w:rPr>
          <w:rFonts w:ascii="Times New Roman" w:hAnsi="Times New Roman"/>
          <w:color w:val="000000" w:themeColor="text1"/>
          <w:sz w:val="16"/>
          <w:szCs w:val="16"/>
        </w:rPr>
        <w:softHyphen/>
        <w:t xml:space="preserve">значен С.П.Королев. </w:t>
      </w:r>
    </w:p>
    <w:p w14:paraId="7180E37C"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Расположилась группа в небольшом временном помеще</w:t>
      </w:r>
      <w:r w:rsidRPr="00E93F40">
        <w:rPr>
          <w:rFonts w:ascii="Times New Roman" w:hAnsi="Times New Roman"/>
          <w:color w:val="000000" w:themeColor="text1"/>
          <w:sz w:val="16"/>
          <w:szCs w:val="16"/>
        </w:rPr>
        <w:softHyphen/>
        <w:t>нии дома № 2 7 на Никольской улице. Позже было выделено чуть более просторное, но также временное помещение в доме № 3 на Ильинке.</w:t>
      </w:r>
    </w:p>
    <w:p w14:paraId="78A3FE62"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гирдовцы переехали в постоянное помещение в подвале дома № 19 на Садово-Спасской улице. Рассказывают, что, приходя по утрам в этот полутемный сырой подвал, Цандер неизменно начинал свой рабочий день гром</w:t>
      </w:r>
      <w:r w:rsidRPr="00E93F40">
        <w:rPr>
          <w:rFonts w:ascii="Times New Roman" w:hAnsi="Times New Roman"/>
          <w:color w:val="000000" w:themeColor="text1"/>
          <w:sz w:val="16"/>
          <w:szCs w:val="16"/>
        </w:rPr>
        <w:softHyphen/>
        <w:t>ким и восторженным возгласом:</w:t>
      </w:r>
    </w:p>
    <w:p w14:paraId="4662FCFF"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Вперед, на Марс!</w:t>
      </w:r>
    </w:p>
    <w:p w14:paraId="5E90A52A"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Вскоре в ГИРД поступили В.П.Ветчинкин, А.И.Полярный, Л.С.Душкин, Н.И.Ефремов, Е.С.Щетинков, В.С.Зуев, В.Н. Гал</w:t>
      </w:r>
      <w:r w:rsidRPr="00E93F40">
        <w:rPr>
          <w:rFonts w:ascii="Times New Roman" w:hAnsi="Times New Roman"/>
          <w:color w:val="000000" w:themeColor="text1"/>
          <w:sz w:val="16"/>
          <w:szCs w:val="16"/>
        </w:rPr>
        <w:softHyphen/>
        <w:t>ковский, Е.К.Мошкин, И.А.Меркулов и другие. В сентябре 1932 года в честь 75-летия со дня рождения К.Э.Циолковского был создан Технический совет. Руководителем Техсовета Цен</w:t>
      </w:r>
      <w:r w:rsidRPr="00E93F40">
        <w:rPr>
          <w:rFonts w:ascii="Times New Roman" w:hAnsi="Times New Roman"/>
          <w:color w:val="000000" w:themeColor="text1"/>
          <w:sz w:val="16"/>
          <w:szCs w:val="16"/>
        </w:rPr>
        <w:softHyphen/>
        <w:t>тральной группы ГИРДа стал Цандер. Техсовет определил три основных направления работы.</w:t>
      </w:r>
    </w:p>
    <w:p w14:paraId="6E1D36FD"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 направлением стали исследования и разработка летательных аппаратов различных типов - небольших ракет и пилотируемых ракетопланов, сочетающих в себе баллистиче</w:t>
      </w:r>
      <w:r w:rsidRPr="00E93F40">
        <w:rPr>
          <w:rFonts w:ascii="Times New Roman" w:hAnsi="Times New Roman"/>
          <w:color w:val="000000" w:themeColor="text1"/>
          <w:sz w:val="16"/>
          <w:szCs w:val="16"/>
        </w:rPr>
        <w:softHyphen/>
        <w:t>ские качества ракеты и аэродинамические свойства самолета.</w:t>
      </w:r>
    </w:p>
    <w:p w14:paraId="71D375FA"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Второе направление - исследования и разработки дви</w:t>
      </w:r>
      <w:r w:rsidRPr="00E93F40">
        <w:rPr>
          <w:rFonts w:ascii="Times New Roman" w:hAnsi="Times New Roman"/>
          <w:color w:val="000000" w:themeColor="text1"/>
          <w:sz w:val="16"/>
          <w:szCs w:val="16"/>
        </w:rPr>
        <w:softHyphen/>
        <w:t>гателей для различных летательных аппаратов. С первых ша</w:t>
      </w:r>
      <w:r w:rsidRPr="00E93F40">
        <w:rPr>
          <w:rFonts w:ascii="Times New Roman" w:hAnsi="Times New Roman"/>
          <w:color w:val="000000" w:themeColor="text1"/>
          <w:sz w:val="16"/>
          <w:szCs w:val="16"/>
        </w:rPr>
        <w:softHyphen/>
        <w:t>гов решено было заниматься созданием жидкостных ракетных двигателей, воздушно-реактивных двигателей и двигателей, преобразующих солнечную энергию в энергию активной или реактивной силы. С целью создания в кратчайшие сроки пер</w:t>
      </w:r>
      <w:r w:rsidRPr="00E93F40">
        <w:rPr>
          <w:rFonts w:ascii="Times New Roman" w:hAnsi="Times New Roman"/>
          <w:color w:val="000000" w:themeColor="text1"/>
          <w:sz w:val="16"/>
          <w:szCs w:val="16"/>
        </w:rPr>
        <w:softHyphen/>
        <w:t>вой ракеты был разработан двигатель на гибридном топливе.</w:t>
      </w:r>
    </w:p>
    <w:p w14:paraId="5861F194"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Третье направление - выбор наиболее оптимальных видов топлива для летательных аппаратов. Цандер отдавал предпочте</w:t>
      </w:r>
      <w:r w:rsidRPr="00E93F40">
        <w:rPr>
          <w:rFonts w:ascii="Times New Roman" w:hAnsi="Times New Roman"/>
          <w:color w:val="000000" w:themeColor="text1"/>
          <w:sz w:val="16"/>
          <w:szCs w:val="16"/>
        </w:rPr>
        <w:softHyphen/>
        <w:t>ние топливу на основе жидкого кислорода как обеспечивающего наибольшее тепловыделение. В перспективе предполагалось ис</w:t>
      </w:r>
      <w:r w:rsidRPr="00E93F40">
        <w:rPr>
          <w:rFonts w:ascii="Times New Roman" w:hAnsi="Times New Roman"/>
          <w:color w:val="000000" w:themeColor="text1"/>
          <w:sz w:val="16"/>
          <w:szCs w:val="16"/>
        </w:rPr>
        <w:softHyphen/>
        <w:t>пользование жидкого водорода и металлических добавок.</w:t>
      </w:r>
    </w:p>
    <w:p w14:paraId="407D9B0C"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реализации этих направлений в ГИРДе были образо</w:t>
      </w:r>
      <w:r w:rsidRPr="00E93F40">
        <w:rPr>
          <w:rFonts w:ascii="Times New Roman" w:hAnsi="Times New Roman"/>
          <w:color w:val="000000" w:themeColor="text1"/>
          <w:sz w:val="16"/>
          <w:szCs w:val="16"/>
        </w:rPr>
        <w:softHyphen/>
        <w:t>ваны четыре отдела: научно-исследовательский и опытно-экс</w:t>
      </w:r>
      <w:r w:rsidRPr="00E93F40">
        <w:rPr>
          <w:rFonts w:ascii="Times New Roman" w:hAnsi="Times New Roman"/>
          <w:color w:val="000000" w:themeColor="text1"/>
          <w:sz w:val="16"/>
          <w:szCs w:val="16"/>
        </w:rPr>
        <w:softHyphen/>
        <w:t>периментальный, административно управленческий, оргмас- совый (пропаганда и учеба), производственный (строительство опытных конструкций). Главную роль играл первый отдел, со</w:t>
      </w:r>
      <w:r w:rsidRPr="00E93F40">
        <w:rPr>
          <w:rFonts w:ascii="Times New Roman" w:hAnsi="Times New Roman"/>
          <w:color w:val="000000" w:themeColor="text1"/>
          <w:sz w:val="16"/>
          <w:szCs w:val="16"/>
        </w:rPr>
        <w:softHyphen/>
        <w:t>стоявший из четырех бригад.</w:t>
      </w:r>
    </w:p>
    <w:p w14:paraId="2DB204DC" w14:textId="77777777" w:rsidR="00180177" w:rsidRPr="00E93F40" w:rsidRDefault="001801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Первую бригаду возглавил Ф.А.Цандер. Здесь под его ру</w:t>
      </w:r>
      <w:r w:rsidRPr="00E93F40">
        <w:rPr>
          <w:rFonts w:ascii="Times New Roman" w:hAnsi="Times New Roman"/>
          <w:color w:val="000000" w:themeColor="text1"/>
          <w:sz w:val="16"/>
          <w:szCs w:val="16"/>
        </w:rPr>
        <w:softHyphen/>
        <w:t>ководством занимались созданием ракет и ракетных двигате</w:t>
      </w:r>
      <w:r w:rsidRPr="00E93F40">
        <w:rPr>
          <w:rFonts w:ascii="Times New Roman" w:hAnsi="Times New Roman"/>
          <w:color w:val="000000" w:themeColor="text1"/>
          <w:sz w:val="16"/>
          <w:szCs w:val="16"/>
        </w:rPr>
        <w:softHyphen/>
        <w:t>лей. Были разработаны двигатели OP-1, ОР-2, 0-10. Здесь под руководством Цандера были созданы первые ракеты ГИРД-Х, ГИРД-07 и другие (23510).</w:t>
      </w:r>
    </w:p>
    <w:p w14:paraId="21713C2C" w14:textId="77777777" w:rsidR="00180177" w:rsidRPr="00E93F40" w:rsidRDefault="00180177" w:rsidP="00E93F40">
      <w:pPr>
        <w:spacing w:after="0" w:line="240" w:lineRule="auto"/>
        <w:jc w:val="both"/>
        <w:rPr>
          <w:rFonts w:ascii="Times New Roman" w:hAnsi="Times New Roman"/>
          <w:color w:val="000000" w:themeColor="text1"/>
          <w:sz w:val="16"/>
          <w:szCs w:val="16"/>
        </w:rPr>
      </w:pPr>
    </w:p>
    <w:p w14:paraId="2FF9C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В-1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(11324).</w:t>
      </w:r>
    </w:p>
    <w:p w14:paraId="1D586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EFA3C8" w14:textId="77777777" w:rsidR="00A20FF6" w:rsidRPr="00E93F40" w:rsidRDefault="00A20FF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мая 1932г.</w:t>
      </w:r>
      <w:r w:rsidRPr="00E93F40">
        <w:rPr>
          <w:rFonts w:ascii="Times New Roman" w:hAnsi="Times New Roman"/>
          <w:color w:val="000000" w:themeColor="text1"/>
          <w:sz w:val="16"/>
          <w:szCs w:val="16"/>
        </w:rPr>
        <w:t xml:space="preserve"> выполнен перелет на дирижабле </w:t>
      </w:r>
      <w:r w:rsidRPr="00E93F40">
        <w:rPr>
          <w:rStyle w:val="caps"/>
          <w:rFonts w:ascii="Times New Roman" w:hAnsi="Times New Roman"/>
          <w:color w:val="000000" w:themeColor="text1"/>
          <w:sz w:val="16"/>
          <w:szCs w:val="16"/>
        </w:rPr>
        <w:t>СССРВ</w:t>
      </w:r>
      <w:r w:rsidRPr="00E93F40">
        <w:rPr>
          <w:rFonts w:ascii="Times New Roman" w:hAnsi="Times New Roman"/>
          <w:color w:val="000000" w:themeColor="text1"/>
          <w:sz w:val="16"/>
          <w:szCs w:val="16"/>
        </w:rPr>
        <w:t>-1 Ленинград-Москва (17256).</w:t>
      </w:r>
    </w:p>
    <w:p w14:paraId="7B6B2DC2" w14:textId="77777777" w:rsidR="00A20FF6" w:rsidRPr="00E93F40" w:rsidRDefault="00A20FF6" w:rsidP="00E93F40">
      <w:pPr>
        <w:autoSpaceDE w:val="0"/>
        <w:autoSpaceDN w:val="0"/>
        <w:adjustRightInd w:val="0"/>
        <w:spacing w:after="0" w:line="240" w:lineRule="auto"/>
        <w:jc w:val="both"/>
        <w:rPr>
          <w:rFonts w:ascii="Times New Roman" w:hAnsi="Times New Roman"/>
          <w:color w:val="000000" w:themeColor="text1"/>
          <w:sz w:val="16"/>
          <w:szCs w:val="16"/>
        </w:rPr>
      </w:pPr>
    </w:p>
    <w:p w14:paraId="1DD8CE06" w14:textId="77777777" w:rsidR="00A51CEA" w:rsidRPr="00E93F40" w:rsidRDefault="00A51CE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состоялся первый испытательный полет дирижабля СССР-В2 объемом 5000 м (271,129).</w:t>
      </w:r>
    </w:p>
    <w:p w14:paraId="21647C05" w14:textId="77777777" w:rsidR="00A51CEA" w:rsidRPr="00E93F40" w:rsidRDefault="00A51CEA" w:rsidP="00E93F40">
      <w:pPr>
        <w:autoSpaceDE w:val="0"/>
        <w:autoSpaceDN w:val="0"/>
        <w:adjustRightInd w:val="0"/>
        <w:spacing w:after="0" w:line="240" w:lineRule="auto"/>
        <w:jc w:val="both"/>
        <w:rPr>
          <w:rFonts w:ascii="Times New Roman" w:hAnsi="Times New Roman"/>
          <w:color w:val="000000" w:themeColor="text1"/>
          <w:sz w:val="16"/>
          <w:szCs w:val="16"/>
        </w:rPr>
      </w:pPr>
    </w:p>
    <w:p w14:paraId="59C7603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0C2F7D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2AA0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мая 1932 был изготовлен прототип танка Т-28 и осенью выпуск поручили заводу Красный Путиловец (Кировский завод) (3547).</w:t>
      </w:r>
    </w:p>
    <w:p w14:paraId="2F8D2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AE22B3"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lastRenderedPageBreak/>
        <w:t>1 января</w:t>
      </w:r>
      <w:r w:rsidRPr="00E93F40">
        <w:rPr>
          <w:rFonts w:ascii="Times New Roman" w:hAnsi="Times New Roman"/>
          <w:color w:val="000000" w:themeColor="text1"/>
          <w:sz w:val="16"/>
          <w:szCs w:val="16"/>
        </w:rPr>
        <w:t xml:space="preserve"> в 1932 году Нижегородский автозавод, построенный в рекордно короткие сроки, вступил в строй действующих. 29 января заводской гудок возвестил о рождении первого грузового автомобиля НАЗ-ДА. Осенью Нижний Новгород переименован в город Горький, и автомобильный завод и начал выпускать 1,5-тонные грузовые автомобили ГАЗ-АА и легковые ГАЗ-А</w:t>
      </w:r>
    </w:p>
    <w:p w14:paraId="14761F25"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12959A6C" w14:textId="77777777"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мая 1932 г. по данным доклада ГАИ НКВД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1051DBC2" w14:textId="77777777" w:rsidR="00C111EF" w:rsidRPr="00E93F40" w:rsidRDefault="00C111EF" w:rsidP="00E93F40">
      <w:pPr>
        <w:spacing w:after="0" w:line="240" w:lineRule="auto"/>
        <w:jc w:val="both"/>
        <w:rPr>
          <w:rFonts w:ascii="Times New Roman" w:hAnsi="Times New Roman"/>
          <w:color w:val="000000" w:themeColor="text1"/>
          <w:sz w:val="16"/>
          <w:szCs w:val="16"/>
        </w:rPr>
      </w:pPr>
    </w:p>
    <w:p w14:paraId="2F684FA2"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января</w:t>
      </w:r>
      <w:r w:rsidRPr="00E93F40">
        <w:rPr>
          <w:rFonts w:ascii="Times New Roman" w:hAnsi="Times New Roman"/>
          <w:color w:val="000000" w:themeColor="text1"/>
          <w:sz w:val="16"/>
          <w:szCs w:val="16"/>
        </w:rPr>
        <w:t xml:space="preserve"> в 1932 году по постановлению ВСНХ от 28 декабря 1931 года Златоустовский механический завод имени В.И.Ленина переименован в Златоустовский инструментальный завод-комбинат имени В.И.Ленина (14996).</w:t>
      </w:r>
    </w:p>
    <w:p w14:paraId="4FC3CF7E"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25FC0637" w14:textId="77777777" w:rsidR="00446E58" w:rsidRPr="00E93F40" w:rsidRDefault="00446E5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 мая 1932 года созданный 6 апреля 1931 года Постановлением Президиума ВСНХ о строительстве во Владимире завода по производству приборов для отечественной автотракторной промышленности, завод пущен в эксплуатацию. В 1939 году на «Автоприборе» разработан и внедрен в производство первый советский таксометр (ТК-2), отсчитывающий плату за проезд. Если в 1932-ом году “Автоприбор” выпускал всего пять наименований приборов, то к концу 1940-го года производилось уже 69 наименований (17250).</w:t>
      </w:r>
    </w:p>
    <w:p w14:paraId="508745F8" w14:textId="77777777" w:rsidR="00446E58" w:rsidRPr="00E93F40" w:rsidRDefault="00446E58" w:rsidP="00E93F40">
      <w:pPr>
        <w:autoSpaceDE w:val="0"/>
        <w:autoSpaceDN w:val="0"/>
        <w:adjustRightInd w:val="0"/>
        <w:spacing w:after="0" w:line="240" w:lineRule="auto"/>
        <w:jc w:val="both"/>
        <w:rPr>
          <w:rFonts w:ascii="Times New Roman" w:hAnsi="Times New Roman"/>
          <w:color w:val="000000" w:themeColor="text1"/>
          <w:sz w:val="16"/>
          <w:szCs w:val="16"/>
        </w:rPr>
      </w:pPr>
    </w:p>
    <w:p w14:paraId="70941AB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CD13C8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0C4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мая 1932 г. (приказ РВС СССР No.074 от 4 июля 1932 г.) ВХУправление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2C605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положению об НКО СССР от 22 ноября 1934 г. переименовано в Химическое управление РККА.</w:t>
      </w:r>
    </w:p>
    <w:p w14:paraId="07AFA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7799CB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6213A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283AB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DFC65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3C9133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F3A29C" w14:textId="77777777" w:rsidR="00525619" w:rsidRPr="00E93F40" w:rsidRDefault="005256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г. в параде над Красной площадью участвовали самолёты 11-й и 17-й авиабригад (12264).</w:t>
      </w:r>
    </w:p>
    <w:p w14:paraId="14B23542" w14:textId="77777777" w:rsidR="00525619" w:rsidRPr="00E93F40" w:rsidRDefault="00525619" w:rsidP="00E93F40">
      <w:pPr>
        <w:spacing w:after="0" w:line="240" w:lineRule="auto"/>
        <w:jc w:val="both"/>
        <w:rPr>
          <w:rFonts w:ascii="Times New Roman" w:hAnsi="Times New Roman"/>
          <w:color w:val="000000" w:themeColor="text1"/>
          <w:sz w:val="16"/>
          <w:szCs w:val="16"/>
        </w:rPr>
      </w:pPr>
    </w:p>
    <w:p w14:paraId="13B1DEC0"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мая</w:t>
      </w:r>
      <w:r w:rsidRPr="00E93F40">
        <w:rPr>
          <w:rFonts w:ascii="Times New Roman" w:hAnsi="Times New Roman"/>
          <w:color w:val="000000" w:themeColor="text1"/>
          <w:sz w:val="16"/>
          <w:szCs w:val="16"/>
        </w:rPr>
        <w:t xml:space="preserve"> в 1932 году впервые вечером был показан телезрителям фильм о параде и демонстрации трудящихся Москвы, посвященный первомайскому празднику. Телевизионные операторы вели съемки на Красной площади, Пушкинской площади, Тверской (ныне Горького) улице. Дикторов радио, которые вели передачи из здания ГУМа и из разных городов страны, с эфира записывали на кинопленку (14878).</w:t>
      </w:r>
    </w:p>
    <w:p w14:paraId="29BB20F3"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0AEBE2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ДнепроГЭС дал первый промышленный ток, но строительство завершили в октябре 1932. ЦАГИ принял активное участие в проектировании (423,133).</w:t>
      </w:r>
    </w:p>
    <w:p w14:paraId="166766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4C5AE4"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первый гидрогенератор Днепрогэса дал промышленный ток. Вслед за ним быстрыми темпами вводились в эксплуатацию агрегаты первой очереди. «Ни американцы, бывшие свидетелями других строек, ни немцы, умеющие дисциплинированно работать, не верили в наши возможности,— писал А. В. Винтер.— А все-таки наша взяла, все-таки здесь, на Днепре, они увидели то новое, чего нет у них и не может быть в условиях капиталистического хозяйства». 10 октября гидростанция на Днепре вступила в строй действующих. Митинг на площади Днепрогэса слушал весь мир. Здесь Михаил Иванович Калинин сообщил собравшимся, что Днепрогэсу присвоено имя В. И. Ленина (21176).</w:t>
      </w:r>
    </w:p>
    <w:p w14:paraId="2647CFFF" w14:textId="77777777" w:rsidR="00AA0BD7" w:rsidRPr="00E93F40" w:rsidRDefault="00AA0BD7" w:rsidP="00E93F40">
      <w:pPr>
        <w:spacing w:after="0" w:line="240" w:lineRule="auto"/>
        <w:jc w:val="both"/>
        <w:rPr>
          <w:rFonts w:ascii="Times New Roman" w:hAnsi="Times New Roman"/>
          <w:color w:val="000000" w:themeColor="text1"/>
          <w:sz w:val="16"/>
          <w:szCs w:val="16"/>
        </w:rPr>
      </w:pPr>
    </w:p>
    <w:p w14:paraId="17E35C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Днепрогэс дал промышленный ток (11437).</w:t>
      </w:r>
    </w:p>
    <w:p w14:paraId="085C7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2278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 на Ленинградской копировальной фабрике Союзкино завершены испытания советской кинопленки Шосткинского з-да (3960, 172).</w:t>
      </w:r>
    </w:p>
    <w:p w14:paraId="48777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552C66" w14:textId="77777777" w:rsidR="005E4C16"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094FD41" w14:textId="77777777" w:rsidR="005E4C16" w:rsidRPr="00E93F40" w:rsidRDefault="005E4C1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C462EF"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мая</w:t>
      </w:r>
      <w:r w:rsidRPr="00E93F40">
        <w:rPr>
          <w:rFonts w:ascii="Times New Roman" w:hAnsi="Times New Roman"/>
          <w:color w:val="000000" w:themeColor="text1"/>
          <w:sz w:val="16"/>
          <w:szCs w:val="16"/>
        </w:rPr>
        <w:t xml:space="preserve"> в 1932 году совершил первый полёт первый шведский учебный истребитель модификация </w:t>
      </w:r>
      <w:hyperlink r:id="rId95" w:tgtFrame="_blank" w:history="1">
        <w:r w:rsidRPr="00E93F40">
          <w:rPr>
            <w:rFonts w:ascii="Times New Roman" w:hAnsi="Times New Roman"/>
            <w:color w:val="000000" w:themeColor="text1"/>
            <w:sz w:val="16"/>
            <w:szCs w:val="16"/>
          </w:rPr>
          <w:t>«J 6B» «Jaktfalken» II.</w:t>
        </w:r>
      </w:hyperlink>
    </w:p>
    <w:p w14:paraId="1F1426C5"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6320130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086EDF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E72A7E"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мая 1932 г., на следующий день после парада летчик А.И. Залевский на аэродроме столкнулся на ТБ-3 с АНТ-9. Вскоре произошла еще одна ава</w:t>
      </w:r>
      <w:r w:rsidRPr="00142305">
        <w:rPr>
          <w:rFonts w:ascii="Times New Roman" w:hAnsi="Times New Roman"/>
          <w:color w:val="0070C0"/>
          <w:sz w:val="16"/>
          <w:szCs w:val="16"/>
        </w:rPr>
        <w:softHyphen/>
        <w:t>рия. При полете в районе Сейма лопнул маслобак. К.П. Миндер произвел вынуж</w:t>
      </w:r>
      <w:r w:rsidRPr="00142305">
        <w:rPr>
          <w:rFonts w:ascii="Times New Roman" w:hAnsi="Times New Roman"/>
          <w:color w:val="0070C0"/>
          <w:sz w:val="16"/>
          <w:szCs w:val="16"/>
        </w:rPr>
        <w:softHyphen/>
        <w:t>денную посадку на большом лугу. Но там кто-то выпивал и закусывал, оставив после себя разбитую бутылку. Нижняя ее часть стояла торчком Наехавшее на нее колесо сразу лопнуло, тележка затормозилась, что привело к развороту бомбардировщика влево с поломкой стоек шасси, поврежде</w:t>
      </w:r>
      <w:r w:rsidRPr="00142305">
        <w:rPr>
          <w:rFonts w:ascii="Times New Roman" w:hAnsi="Times New Roman"/>
          <w:color w:val="0070C0"/>
          <w:sz w:val="16"/>
          <w:szCs w:val="16"/>
        </w:rPr>
        <w:softHyphen/>
        <w:t>нию крыла и фюзеляжа (24937).</w:t>
      </w:r>
    </w:p>
    <w:p w14:paraId="0C55E7D0" w14:textId="77777777" w:rsidR="00560CA8" w:rsidRPr="00142305" w:rsidRDefault="00560CA8" w:rsidP="00560CA8">
      <w:pPr>
        <w:spacing w:after="0" w:line="240" w:lineRule="auto"/>
        <w:jc w:val="both"/>
        <w:rPr>
          <w:rFonts w:ascii="Times New Roman" w:hAnsi="Times New Roman"/>
          <w:color w:val="0070C0"/>
          <w:sz w:val="16"/>
          <w:szCs w:val="16"/>
        </w:rPr>
      </w:pPr>
    </w:p>
    <w:p w14:paraId="33646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мая 1932 года в торжественно-праздничной обстановке произошла закладка комбината № 124 в Казани, о чем был составлен Акт, в котором руководители партийной организации, правительство Татарстана от имени тысяч трудящихся заверяли партию и её Ленинский штаб - Центральный комитет и вождя, что «боевая задача построить Авиакомбинат будет выполнена в намеченный срок». Авиакомбинат заложили у деревни Караваево, на северо-востоке от Казани, на правом берегу реки Казанки. На строительство были присланы рабочие с уже построенного Горьковского автозавода, накопившие большой опыт в строительстве гигантов машиностроения; много устроилось рабочих из Казани. Фундамент под основной корпус приходилось копать вручную, экскаваторов не было, а грузовых машин было очень мало. Здесь огромную помощь в вывозе грунта оказали крестьяне близлежащих деревень, приехавших на стройку со своими подводами. Вокруг стройки вырос жилой городок из бараков, насыпушек и землянок, который местные острословы прозвали «Китай-город». Но это название не прижилось и городок получил новое имя - «Копай-город», ввиду специфической работы большинства его обитателей. Лопата, кирка, тачка - вот и вся «техника» разнорабочих, составлявших основу стройки. Параллельно со строительством Авиакомбината, заложили два жилых поселка «Соцгород» и «ИТР», начали строительство водозабора и ТЭЦ. Единственной дорогой, соединяющей город со стройкой была дамба. Весной из-за разлива Казанки её размывало и поступление материалов, необходимых для стройки, задерживалось. Дамбу подняли и укрепили, проложили рельсы и пустили трамвай. Расстояние от города до стройки было около 14 километров и рабочим, жившим в городе, приходилось каждый день вышагивать по 28 километров. С пуском трамвая эта проблема была решена. Остаток 1932 г был использован для основательной подготовки строительной площадки и завоза строительных материалов (5764,36).</w:t>
      </w:r>
    </w:p>
    <w:p w14:paraId="2D111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B616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праздничный день 2 мая 1932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w:t>
      </w:r>
      <w:r w:rsidRPr="00E93F40">
        <w:rPr>
          <w:rFonts w:ascii="Times New Roman" w:hAnsi="Times New Roman"/>
          <w:color w:val="000000" w:themeColor="text1"/>
          <w:sz w:val="16"/>
          <w:szCs w:val="16"/>
        </w:rPr>
        <w:lastRenderedPageBreak/>
        <w:t>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7B925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395BC1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10093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4D05F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794F8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7A6190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0BF2A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766C9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3F19A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554AD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331D9C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63B91C" w14:textId="77777777" w:rsidR="00704230" w:rsidRPr="00E93F40" w:rsidRDefault="007042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мая 1932 г. недалеко от села Караваево состоялась торжественная закладка Казанского авиакомбината.</w:t>
      </w:r>
    </w:p>
    <w:p w14:paraId="40C1413C" w14:textId="77777777" w:rsidR="00704230" w:rsidRPr="00E93F40" w:rsidRDefault="007042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Планы для авиакомбината строились грандиозные. Он должен был выпускать 2400 самолетов ТБ-3 и 20 тыс. моторов М-34 в год.</w:t>
      </w:r>
    </w:p>
    <w:p w14:paraId="50F0815F" w14:textId="77777777" w:rsidR="00704230" w:rsidRPr="00E93F40" w:rsidRDefault="007042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в конце 1932 г. на Казмашстрое работало 36580 человек. Большинство из них было занято земляными работами, были землекопами и грабарями (грабарка - телега для перевозки земли).</w:t>
      </w:r>
    </w:p>
    <w:p w14:paraId="35A00CE7" w14:textId="77777777" w:rsidR="00704230" w:rsidRPr="00E93F40" w:rsidRDefault="0070423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июля 1939 г. строительством заводов и организацией производства на них занималось единое руководство.</w:t>
      </w:r>
    </w:p>
    <w:p w14:paraId="581BC944" w14:textId="77777777" w:rsidR="00704230" w:rsidRPr="00E93F40" w:rsidRDefault="00704230" w:rsidP="00E93F40">
      <w:pPr>
        <w:spacing w:after="0" w:line="240" w:lineRule="auto"/>
        <w:jc w:val="both"/>
        <w:rPr>
          <w:rFonts w:ascii="Times New Roman" w:hAnsi="Times New Roman"/>
          <w:color w:val="000000" w:themeColor="text1"/>
          <w:sz w:val="16"/>
          <w:szCs w:val="16"/>
        </w:rPr>
      </w:pPr>
    </w:p>
    <w:p w14:paraId="11FC6F8B" w14:textId="77777777" w:rsidR="001E30C2" w:rsidRPr="00E93F40" w:rsidRDefault="001E30C2" w:rsidP="00E93F40">
      <w:pPr>
        <w:pStyle w:val="a3"/>
        <w:rPr>
          <w:color w:val="000000" w:themeColor="text1"/>
          <w:lang w:val="ru-RU"/>
        </w:rPr>
      </w:pPr>
      <w:r w:rsidRPr="00E93F40">
        <w:rPr>
          <w:color w:val="000000" w:themeColor="text1"/>
          <w:lang w:val="ru-RU"/>
        </w:rPr>
        <w:t>2 мая 1932 генерал Нобиле приступает к исполнению своих обязанностей. Предлагаем неполный пере</w:t>
      </w:r>
      <w:r w:rsidRPr="00E93F40">
        <w:rPr>
          <w:color w:val="000000" w:themeColor="text1"/>
          <w:lang w:val="ru-RU"/>
        </w:rPr>
        <w:softHyphen/>
        <w:t>чень</w:t>
      </w:r>
      <w:r w:rsidRPr="00E93F40">
        <w:rPr>
          <w:rStyle w:val="83"/>
          <w:rFonts w:ascii="Times New Roman" w:eastAsia="Microsoft Sans Serif" w:hAnsi="Times New Roman" w:cs="Times New Roman"/>
          <w:i w:val="0"/>
          <w:color w:val="000000" w:themeColor="text1"/>
          <w:sz w:val="16"/>
          <w:szCs w:val="16"/>
          <w:lang w:val="ru-RU"/>
        </w:rPr>
        <w:t xml:space="preserve"> свиты</w:t>
      </w:r>
      <w:r w:rsidRPr="00E93F40">
        <w:rPr>
          <w:color w:val="000000" w:themeColor="text1"/>
          <w:lang w:val="ru-RU"/>
        </w:rPr>
        <w:t xml:space="preserve"> покорителя Северного полюса (с некоторыми примечаниями), который нам удалось восстановить:</w:t>
      </w:r>
    </w:p>
    <w:p w14:paraId="1C4FE623" w14:textId="77777777" w:rsidR="001E30C2" w:rsidRPr="00E93F40" w:rsidRDefault="001E30C2" w:rsidP="00E93F40">
      <w:pPr>
        <w:pStyle w:val="a3"/>
        <w:widowControl/>
        <w:numPr>
          <w:ilvl w:val="0"/>
          <w:numId w:val="1"/>
        </w:numPr>
        <w:tabs>
          <w:tab w:val="left" w:pos="428"/>
        </w:tabs>
        <w:autoSpaceDE/>
        <w:autoSpaceDN/>
        <w:adjustRightInd/>
        <w:rPr>
          <w:color w:val="000000" w:themeColor="text1"/>
          <w:lang w:val="ru-RU"/>
        </w:rPr>
      </w:pPr>
      <w:r w:rsidRPr="00E93F40">
        <w:rPr>
          <w:color w:val="000000" w:themeColor="text1"/>
          <w:lang w:val="ru-RU"/>
        </w:rPr>
        <w:t>У. Нобиле - начальник КБ, женат. Месячный оклад 600$ и 1700 руб. (Справка: Курс $ США 1932 года соотносится к курсу 2014 г., как 17,5:1,0, т.е. был выше в 17,5 раз);</w:t>
      </w:r>
    </w:p>
    <w:p w14:paraId="403CA0DC" w14:textId="77777777" w:rsidR="001E30C2" w:rsidRPr="00E93F40" w:rsidRDefault="001E30C2" w:rsidP="00E93F40">
      <w:pPr>
        <w:pStyle w:val="a3"/>
        <w:widowControl/>
        <w:numPr>
          <w:ilvl w:val="0"/>
          <w:numId w:val="1"/>
        </w:numPr>
        <w:tabs>
          <w:tab w:val="left" w:pos="390"/>
        </w:tabs>
        <w:autoSpaceDE/>
        <w:autoSpaceDN/>
        <w:adjustRightInd/>
        <w:rPr>
          <w:color w:val="000000" w:themeColor="text1"/>
        </w:rPr>
      </w:pPr>
      <w:r w:rsidRPr="00E93F40">
        <w:rPr>
          <w:color w:val="000000" w:themeColor="text1"/>
          <w:lang w:val="ru-RU"/>
        </w:rPr>
        <w:t xml:space="preserve">Ф. Трояни - зам. начальника КБ, женат, оформлен по договору. </w:t>
      </w:r>
      <w:r w:rsidRPr="00E93F40">
        <w:rPr>
          <w:color w:val="000000" w:themeColor="text1"/>
        </w:rPr>
        <w:t>Месячный оклад 300$ и 650 руб.;</w:t>
      </w:r>
    </w:p>
    <w:p w14:paraId="70F3F115" w14:textId="77777777" w:rsidR="001E30C2" w:rsidRPr="00E93F40" w:rsidRDefault="001E30C2" w:rsidP="00E93F40">
      <w:pPr>
        <w:pStyle w:val="a3"/>
        <w:widowControl/>
        <w:numPr>
          <w:ilvl w:val="0"/>
          <w:numId w:val="1"/>
        </w:numPr>
        <w:tabs>
          <w:tab w:val="left" w:pos="423"/>
        </w:tabs>
        <w:autoSpaceDE/>
        <w:autoSpaceDN/>
        <w:adjustRightInd/>
        <w:rPr>
          <w:color w:val="000000" w:themeColor="text1"/>
        </w:rPr>
      </w:pPr>
      <w:r w:rsidRPr="00E93F40">
        <w:rPr>
          <w:color w:val="000000" w:themeColor="text1"/>
          <w:lang w:val="ru-RU"/>
        </w:rPr>
        <w:t xml:space="preserve">Р. Палья - старший мастер-токарь. </w:t>
      </w:r>
      <w:r w:rsidRPr="00E93F40">
        <w:rPr>
          <w:color w:val="000000" w:themeColor="text1"/>
        </w:rPr>
        <w:t>Месячный оклад 83$ и 450 руб.;</w:t>
      </w:r>
    </w:p>
    <w:p w14:paraId="5974B8AD" w14:textId="77777777" w:rsidR="001E30C2" w:rsidRPr="00E93F40" w:rsidRDefault="001E30C2" w:rsidP="00E93F40">
      <w:pPr>
        <w:pStyle w:val="a3"/>
        <w:widowControl/>
        <w:numPr>
          <w:ilvl w:val="0"/>
          <w:numId w:val="1"/>
        </w:numPr>
        <w:tabs>
          <w:tab w:val="left" w:pos="394"/>
        </w:tabs>
        <w:autoSpaceDE/>
        <w:autoSpaceDN/>
        <w:adjustRightInd/>
        <w:rPr>
          <w:color w:val="000000" w:themeColor="text1"/>
          <w:lang w:val="ru-RU"/>
        </w:rPr>
      </w:pPr>
      <w:r w:rsidRPr="00E93F40">
        <w:rPr>
          <w:color w:val="000000" w:themeColor="text1"/>
          <w:lang w:val="ru-RU"/>
        </w:rPr>
        <w:t>Д. Белли - механик. Месячный оклад 135$ и 550 руб.;</w:t>
      </w:r>
    </w:p>
    <w:p w14:paraId="6DDD9D09" w14:textId="77777777" w:rsidR="001E30C2" w:rsidRPr="00E93F40" w:rsidRDefault="001E30C2" w:rsidP="00E93F40">
      <w:pPr>
        <w:pStyle w:val="a3"/>
        <w:widowControl/>
        <w:numPr>
          <w:ilvl w:val="0"/>
          <w:numId w:val="1"/>
        </w:numPr>
        <w:tabs>
          <w:tab w:val="left" w:pos="442"/>
        </w:tabs>
        <w:autoSpaceDE/>
        <w:autoSpaceDN/>
        <w:adjustRightInd/>
        <w:rPr>
          <w:color w:val="000000" w:themeColor="text1"/>
        </w:rPr>
      </w:pPr>
      <w:r w:rsidRPr="00E93F40">
        <w:rPr>
          <w:color w:val="000000" w:themeColor="text1"/>
          <w:lang w:val="ru-RU"/>
        </w:rPr>
        <w:t xml:space="preserve">А. Каратти - механик-моторист, оформлен по договору. </w:t>
      </w:r>
      <w:r w:rsidRPr="00E93F40">
        <w:rPr>
          <w:color w:val="000000" w:themeColor="text1"/>
        </w:rPr>
        <w:t>Месячный оклад 20$ и 450 руб.;</w:t>
      </w:r>
    </w:p>
    <w:p w14:paraId="69DE5A74" w14:textId="77777777" w:rsidR="001E30C2" w:rsidRPr="00E93F40" w:rsidRDefault="001E30C2" w:rsidP="00E93F40">
      <w:pPr>
        <w:pStyle w:val="a3"/>
        <w:widowControl/>
        <w:numPr>
          <w:ilvl w:val="0"/>
          <w:numId w:val="1"/>
        </w:numPr>
        <w:tabs>
          <w:tab w:val="left" w:pos="385"/>
        </w:tabs>
        <w:autoSpaceDE/>
        <w:autoSpaceDN/>
        <w:adjustRightInd/>
        <w:rPr>
          <w:color w:val="000000" w:themeColor="text1"/>
          <w:lang w:val="ru-RU"/>
        </w:rPr>
      </w:pPr>
      <w:r w:rsidRPr="00E93F40">
        <w:rPr>
          <w:color w:val="000000" w:themeColor="text1"/>
          <w:lang w:val="ru-RU"/>
        </w:rPr>
        <w:t>Л. Високки - инженер. Месячный оклад 35$ и 650 руб.;</w:t>
      </w:r>
    </w:p>
    <w:p w14:paraId="1240FB78" w14:textId="77777777" w:rsidR="001E30C2" w:rsidRPr="00E93F40" w:rsidRDefault="001E30C2" w:rsidP="00E93F40">
      <w:pPr>
        <w:pStyle w:val="a3"/>
        <w:widowControl/>
        <w:numPr>
          <w:ilvl w:val="0"/>
          <w:numId w:val="1"/>
        </w:numPr>
        <w:tabs>
          <w:tab w:val="left" w:pos="394"/>
        </w:tabs>
        <w:autoSpaceDE/>
        <w:autoSpaceDN/>
        <w:adjustRightInd/>
        <w:rPr>
          <w:color w:val="000000" w:themeColor="text1"/>
          <w:lang w:val="ru-RU"/>
        </w:rPr>
      </w:pPr>
      <w:r w:rsidRPr="00E93F40">
        <w:rPr>
          <w:color w:val="000000" w:themeColor="text1"/>
          <w:lang w:val="ru-RU"/>
        </w:rPr>
        <w:t>А. (Д.) Вилла - мастер по металлокон</w:t>
      </w:r>
      <w:r w:rsidRPr="00E93F40">
        <w:rPr>
          <w:color w:val="000000" w:themeColor="text1"/>
          <w:lang w:val="ru-RU"/>
        </w:rPr>
        <w:softHyphen/>
        <w:t>струкциям, женат. Месячный оклад 115$ и 700 руб.;</w:t>
      </w:r>
    </w:p>
    <w:p w14:paraId="61FBF093" w14:textId="77777777" w:rsidR="001E30C2" w:rsidRPr="00E93F40" w:rsidRDefault="001E30C2" w:rsidP="00E93F40">
      <w:pPr>
        <w:pStyle w:val="a3"/>
        <w:widowControl/>
        <w:numPr>
          <w:ilvl w:val="0"/>
          <w:numId w:val="1"/>
        </w:numPr>
        <w:tabs>
          <w:tab w:val="left" w:pos="399"/>
        </w:tabs>
        <w:autoSpaceDE/>
        <w:autoSpaceDN/>
        <w:adjustRightInd/>
        <w:rPr>
          <w:color w:val="000000" w:themeColor="text1"/>
          <w:lang w:val="ru-RU"/>
        </w:rPr>
      </w:pPr>
      <w:r w:rsidRPr="00E93F40">
        <w:rPr>
          <w:color w:val="000000" w:themeColor="text1"/>
          <w:lang w:val="ru-RU"/>
        </w:rPr>
        <w:t>Вилли - чертежник КБ, холост. Месяч</w:t>
      </w:r>
      <w:r w:rsidRPr="00E93F40">
        <w:rPr>
          <w:color w:val="000000" w:themeColor="text1"/>
          <w:lang w:val="ru-RU"/>
        </w:rPr>
        <w:softHyphen/>
        <w:t>ный оклад 115$ и 125 руб.;</w:t>
      </w:r>
    </w:p>
    <w:p w14:paraId="19492A45" w14:textId="77777777" w:rsidR="001E30C2" w:rsidRPr="00E93F40" w:rsidRDefault="001E30C2" w:rsidP="00E93F40">
      <w:pPr>
        <w:pStyle w:val="a3"/>
        <w:widowControl/>
        <w:numPr>
          <w:ilvl w:val="0"/>
          <w:numId w:val="1"/>
        </w:numPr>
        <w:tabs>
          <w:tab w:val="left" w:pos="442"/>
        </w:tabs>
        <w:autoSpaceDE/>
        <w:autoSpaceDN/>
        <w:adjustRightInd/>
        <w:rPr>
          <w:color w:val="000000" w:themeColor="text1"/>
        </w:rPr>
      </w:pPr>
      <w:r w:rsidRPr="00E93F40">
        <w:rPr>
          <w:color w:val="000000" w:themeColor="text1"/>
          <w:lang w:val="ru-RU"/>
        </w:rPr>
        <w:t xml:space="preserve">Г. Гарутти - инженер-конструктор, холост, оформлен по договору. </w:t>
      </w:r>
      <w:r w:rsidRPr="00E93F40">
        <w:rPr>
          <w:color w:val="000000" w:themeColor="text1"/>
        </w:rPr>
        <w:t>Месячный оклад 250$ и 1000 руб.;</w:t>
      </w:r>
    </w:p>
    <w:p w14:paraId="26E75E01" w14:textId="77777777" w:rsidR="001E30C2" w:rsidRPr="00E93F40" w:rsidRDefault="001E30C2" w:rsidP="00E93F40">
      <w:pPr>
        <w:pStyle w:val="a3"/>
        <w:widowControl/>
        <w:numPr>
          <w:ilvl w:val="0"/>
          <w:numId w:val="1"/>
        </w:numPr>
        <w:tabs>
          <w:tab w:val="left" w:pos="414"/>
        </w:tabs>
        <w:autoSpaceDE/>
        <w:autoSpaceDN/>
        <w:adjustRightInd/>
        <w:rPr>
          <w:color w:val="000000" w:themeColor="text1"/>
        </w:rPr>
      </w:pPr>
      <w:r w:rsidRPr="00E93F40">
        <w:rPr>
          <w:color w:val="000000" w:themeColor="text1"/>
          <w:lang w:val="ru-RU"/>
        </w:rPr>
        <w:t>А. Ди-Бернардино - мастер сбороч</w:t>
      </w:r>
      <w:r w:rsidRPr="00E93F40">
        <w:rPr>
          <w:color w:val="000000" w:themeColor="text1"/>
          <w:lang w:val="ru-RU"/>
        </w:rPr>
        <w:softHyphen/>
        <w:t xml:space="preserve">ного цеха по металлоконструкциям, женат. </w:t>
      </w:r>
      <w:r w:rsidRPr="00E93F40">
        <w:rPr>
          <w:color w:val="000000" w:themeColor="text1"/>
        </w:rPr>
        <w:t>Месячный оклад 45$ и 700 руб.;</w:t>
      </w:r>
    </w:p>
    <w:p w14:paraId="150E040A" w14:textId="77777777" w:rsidR="001E30C2" w:rsidRPr="00E93F40" w:rsidRDefault="001E30C2" w:rsidP="00E93F40">
      <w:pPr>
        <w:pStyle w:val="a3"/>
        <w:widowControl/>
        <w:numPr>
          <w:ilvl w:val="0"/>
          <w:numId w:val="1"/>
        </w:numPr>
        <w:tabs>
          <w:tab w:val="left" w:pos="414"/>
        </w:tabs>
        <w:autoSpaceDE/>
        <w:autoSpaceDN/>
        <w:adjustRightInd/>
        <w:rPr>
          <w:color w:val="000000" w:themeColor="text1"/>
        </w:rPr>
      </w:pPr>
      <w:r w:rsidRPr="00E93F40">
        <w:rPr>
          <w:color w:val="000000" w:themeColor="text1"/>
          <w:lang w:val="ru-RU"/>
        </w:rPr>
        <w:t xml:space="preserve">А. Беретта - мастер моторного цеха, женат, оформлен по договору. </w:t>
      </w:r>
      <w:r w:rsidRPr="00E93F40">
        <w:rPr>
          <w:color w:val="000000" w:themeColor="text1"/>
        </w:rPr>
        <w:t>Месячный оклад 20$ и 300 руб.;</w:t>
      </w:r>
    </w:p>
    <w:p w14:paraId="55BDA589" w14:textId="77777777" w:rsidR="001E30C2" w:rsidRPr="00E93F40" w:rsidRDefault="001E30C2" w:rsidP="00E93F40">
      <w:pPr>
        <w:pStyle w:val="a3"/>
        <w:widowControl/>
        <w:numPr>
          <w:ilvl w:val="0"/>
          <w:numId w:val="1"/>
        </w:numPr>
        <w:tabs>
          <w:tab w:val="left" w:pos="433"/>
        </w:tabs>
        <w:autoSpaceDE/>
        <w:autoSpaceDN/>
        <w:adjustRightInd/>
        <w:rPr>
          <w:color w:val="000000" w:themeColor="text1"/>
        </w:rPr>
      </w:pPr>
      <w:r w:rsidRPr="00E93F40">
        <w:rPr>
          <w:color w:val="000000" w:themeColor="text1"/>
          <w:lang w:val="ru-RU"/>
        </w:rPr>
        <w:t xml:space="preserve">В. Шакко - мастер баллонного цеха, холост, оформлен по договору. </w:t>
      </w:r>
      <w:r w:rsidRPr="00E93F40">
        <w:rPr>
          <w:color w:val="000000" w:themeColor="text1"/>
        </w:rPr>
        <w:t>Месячный оклад 83$ и 700 руб.;</w:t>
      </w:r>
    </w:p>
    <w:p w14:paraId="6784518F" w14:textId="77777777" w:rsidR="001E30C2" w:rsidRPr="00E93F40" w:rsidRDefault="001E30C2" w:rsidP="00E93F40">
      <w:pPr>
        <w:pStyle w:val="a3"/>
        <w:widowControl/>
        <w:numPr>
          <w:ilvl w:val="0"/>
          <w:numId w:val="1"/>
        </w:numPr>
        <w:tabs>
          <w:tab w:val="left" w:pos="428"/>
        </w:tabs>
        <w:autoSpaceDE/>
        <w:autoSpaceDN/>
        <w:adjustRightInd/>
        <w:rPr>
          <w:color w:val="000000" w:themeColor="text1"/>
        </w:rPr>
      </w:pPr>
      <w:r w:rsidRPr="00E93F40">
        <w:rPr>
          <w:color w:val="000000" w:themeColor="text1"/>
          <w:lang w:val="ru-RU"/>
        </w:rPr>
        <w:t>Н. Де-Мартино - инженер-конструк</w:t>
      </w:r>
      <w:r w:rsidRPr="00E93F40">
        <w:rPr>
          <w:color w:val="000000" w:themeColor="text1"/>
          <w:lang w:val="ru-RU"/>
        </w:rPr>
        <w:softHyphen/>
        <w:t xml:space="preserve">тор, оформлен по договору. </w:t>
      </w:r>
      <w:r w:rsidRPr="00E93F40">
        <w:rPr>
          <w:color w:val="000000" w:themeColor="text1"/>
        </w:rPr>
        <w:t>Месячный оклад 324$ и 650 руб.;</w:t>
      </w:r>
    </w:p>
    <w:p w14:paraId="5A39BE27" w14:textId="77777777" w:rsidR="001E30C2" w:rsidRPr="00E93F40" w:rsidRDefault="001E30C2" w:rsidP="00E93F40">
      <w:pPr>
        <w:pStyle w:val="a3"/>
        <w:widowControl/>
        <w:numPr>
          <w:ilvl w:val="0"/>
          <w:numId w:val="1"/>
        </w:numPr>
        <w:tabs>
          <w:tab w:val="left" w:pos="404"/>
        </w:tabs>
        <w:autoSpaceDE/>
        <w:autoSpaceDN/>
        <w:adjustRightInd/>
        <w:rPr>
          <w:color w:val="000000" w:themeColor="text1"/>
          <w:lang w:val="ru-RU"/>
        </w:rPr>
      </w:pPr>
      <w:r w:rsidRPr="00E93F40">
        <w:rPr>
          <w:color w:val="000000" w:themeColor="text1"/>
          <w:lang w:val="ru-RU"/>
        </w:rPr>
        <w:t>с Нобиле также работали прибывшие в Россию ранее:</w:t>
      </w:r>
    </w:p>
    <w:p w14:paraId="7440CAE3" w14:textId="77777777" w:rsidR="001E30C2" w:rsidRPr="00E93F40" w:rsidRDefault="001E30C2" w:rsidP="00E93F40">
      <w:pPr>
        <w:pStyle w:val="a3"/>
        <w:widowControl/>
        <w:numPr>
          <w:ilvl w:val="0"/>
          <w:numId w:val="1"/>
        </w:numPr>
        <w:tabs>
          <w:tab w:val="left" w:pos="390"/>
        </w:tabs>
        <w:autoSpaceDE/>
        <w:autoSpaceDN/>
        <w:adjustRightInd/>
        <w:rPr>
          <w:color w:val="000000" w:themeColor="text1"/>
        </w:rPr>
      </w:pPr>
      <w:r w:rsidRPr="00E93F40">
        <w:rPr>
          <w:color w:val="000000" w:themeColor="text1"/>
          <w:lang w:val="ru-RU"/>
        </w:rPr>
        <w:t xml:space="preserve">Р. Бианкони - переводчик, женат, член ВКП(б). </w:t>
      </w:r>
      <w:r w:rsidRPr="00E93F40">
        <w:rPr>
          <w:color w:val="000000" w:themeColor="text1"/>
        </w:rPr>
        <w:t>Месячный оклад 350 руб.;</w:t>
      </w:r>
    </w:p>
    <w:p w14:paraId="74B455CE" w14:textId="77777777" w:rsidR="001E30C2" w:rsidRPr="00E93F40" w:rsidRDefault="001E30C2" w:rsidP="00E93F40">
      <w:pPr>
        <w:pStyle w:val="a3"/>
        <w:widowControl/>
        <w:numPr>
          <w:ilvl w:val="0"/>
          <w:numId w:val="1"/>
        </w:numPr>
        <w:tabs>
          <w:tab w:val="left" w:pos="438"/>
        </w:tabs>
        <w:autoSpaceDE/>
        <w:autoSpaceDN/>
        <w:adjustRightInd/>
        <w:rPr>
          <w:color w:val="000000" w:themeColor="text1"/>
        </w:rPr>
      </w:pPr>
      <w:r w:rsidRPr="00E93F40">
        <w:rPr>
          <w:color w:val="000000" w:themeColor="text1"/>
          <w:lang w:val="ru-RU"/>
        </w:rPr>
        <w:t xml:space="preserve">Б. Сигалини - инструктор бригады слесарей сборочного цеха, холост, член ВКП(б). </w:t>
      </w:r>
      <w:r w:rsidRPr="00E93F40">
        <w:rPr>
          <w:color w:val="000000" w:themeColor="text1"/>
        </w:rPr>
        <w:t>Месячный оклад 350 руб.</w:t>
      </w:r>
    </w:p>
    <w:p w14:paraId="454CBD0B" w14:textId="77777777" w:rsidR="001E30C2" w:rsidRPr="00E93F40" w:rsidRDefault="001E30C2" w:rsidP="00E93F40">
      <w:pPr>
        <w:pStyle w:val="a3"/>
        <w:rPr>
          <w:color w:val="000000" w:themeColor="text1"/>
          <w:lang w:val="ru-RU"/>
        </w:rPr>
      </w:pPr>
      <w:r w:rsidRPr="00E93F40">
        <w:rPr>
          <w:color w:val="000000" w:themeColor="text1"/>
          <w:lang w:val="ru-RU"/>
        </w:rPr>
        <w:t>Кроме денежного содержания итальян</w:t>
      </w:r>
      <w:r w:rsidRPr="00E93F40">
        <w:rPr>
          <w:color w:val="000000" w:themeColor="text1"/>
          <w:lang w:val="ru-RU"/>
        </w:rPr>
        <w:softHyphen/>
        <w:t>цы обеспечивались:</w:t>
      </w:r>
    </w:p>
    <w:p w14:paraId="2BFD168E" w14:textId="77777777" w:rsidR="001E30C2" w:rsidRPr="00E93F40" w:rsidRDefault="001E30C2" w:rsidP="00E93F40">
      <w:pPr>
        <w:pStyle w:val="a3"/>
        <w:widowControl/>
        <w:numPr>
          <w:ilvl w:val="0"/>
          <w:numId w:val="1"/>
        </w:numPr>
        <w:tabs>
          <w:tab w:val="left" w:pos="385"/>
        </w:tabs>
        <w:autoSpaceDE/>
        <w:autoSpaceDN/>
        <w:adjustRightInd/>
        <w:rPr>
          <w:color w:val="000000" w:themeColor="text1"/>
          <w:lang w:val="ru-RU"/>
        </w:rPr>
      </w:pPr>
      <w:r w:rsidRPr="00E93F40">
        <w:rPr>
          <w:color w:val="000000" w:themeColor="text1"/>
          <w:lang w:val="ru-RU"/>
        </w:rPr>
        <w:t>оплачиваемой комнатой (с кухней, ван</w:t>
      </w:r>
      <w:r w:rsidRPr="00E93F40">
        <w:rPr>
          <w:color w:val="000000" w:themeColor="text1"/>
          <w:lang w:val="ru-RU"/>
        </w:rPr>
        <w:softHyphen/>
        <w:t>ной) в квартирах дома ИНО на Долгопрудной или гостиничным номером (квартирой) в Москве (У. Нобиле, Ф. Трояни, Г. Гарутти, Н. Де-Мартино, А. Беретта);</w:t>
      </w:r>
    </w:p>
    <w:p w14:paraId="27570AF9" w14:textId="77777777" w:rsidR="001E30C2" w:rsidRPr="00E93F40" w:rsidRDefault="001E30C2" w:rsidP="00E93F40">
      <w:pPr>
        <w:pStyle w:val="a3"/>
        <w:widowControl/>
        <w:numPr>
          <w:ilvl w:val="0"/>
          <w:numId w:val="1"/>
        </w:numPr>
        <w:tabs>
          <w:tab w:val="left" w:pos="423"/>
        </w:tabs>
        <w:autoSpaceDE/>
        <w:autoSpaceDN/>
        <w:adjustRightInd/>
        <w:rPr>
          <w:color w:val="000000" w:themeColor="text1"/>
          <w:lang w:val="ru-RU"/>
        </w:rPr>
      </w:pPr>
      <w:r w:rsidRPr="00E93F40">
        <w:rPr>
          <w:color w:val="000000" w:themeColor="text1"/>
          <w:lang w:val="ru-RU"/>
        </w:rPr>
        <w:t>оплачиваемым месячным отпуском (раз в году, включая проезд по ж/дороге 2-м классом до Италии и обратно);</w:t>
      </w:r>
    </w:p>
    <w:p w14:paraId="514CAD93" w14:textId="77777777" w:rsidR="001E30C2" w:rsidRPr="00E93F40" w:rsidRDefault="001E30C2" w:rsidP="00E93F40">
      <w:pPr>
        <w:pStyle w:val="a3"/>
        <w:widowControl/>
        <w:numPr>
          <w:ilvl w:val="0"/>
          <w:numId w:val="1"/>
        </w:numPr>
        <w:tabs>
          <w:tab w:val="left" w:pos="409"/>
        </w:tabs>
        <w:autoSpaceDE/>
        <w:autoSpaceDN/>
        <w:adjustRightInd/>
        <w:rPr>
          <w:color w:val="000000" w:themeColor="text1"/>
          <w:lang w:val="ru-RU"/>
        </w:rPr>
      </w:pPr>
      <w:r w:rsidRPr="00E93F40">
        <w:rPr>
          <w:color w:val="000000" w:themeColor="text1"/>
          <w:lang w:val="ru-RU"/>
        </w:rPr>
        <w:t>компенсацией расходов по приезду и отъезду из России.</w:t>
      </w:r>
    </w:p>
    <w:p w14:paraId="05ABC64F" w14:textId="77777777" w:rsidR="001E30C2" w:rsidRPr="00E93F40" w:rsidRDefault="001E30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Первыми шагами Нобиле в КБ «Дири</w:t>
      </w:r>
      <w:r w:rsidRPr="00E93F40">
        <w:rPr>
          <w:rFonts w:ascii="Times New Roman" w:hAnsi="Times New Roman"/>
          <w:color w:val="000000" w:themeColor="text1"/>
          <w:sz w:val="16"/>
          <w:szCs w:val="16"/>
        </w:rPr>
        <w:softHyphen/>
        <w:t>жаблестроя» стали разработка проекта и строительство небольшого по объему (всего лишь в 1750 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но первого в России кора</w:t>
      </w:r>
      <w:r w:rsidRPr="00E93F40">
        <w:rPr>
          <w:rFonts w:ascii="Times New Roman" w:hAnsi="Times New Roman"/>
          <w:color w:val="000000" w:themeColor="text1"/>
          <w:sz w:val="16"/>
          <w:szCs w:val="16"/>
        </w:rPr>
        <w:softHyphen/>
        <w:t>бля полужесткой конструкции СССР В-5. Ближайшей целью конструктора виделось обучение молодых и пока еще неопытных советских специалистов итальянской школе дирижаблестроения. Как известно, 1-й выпуск воздухоплавательной школы «Дирижаблестроя» ГУ ГВФ при СНК СССР (47 человек) состоялся лишь летом 1932 г.</w:t>
      </w:r>
    </w:p>
    <w:p w14:paraId="29E37960" w14:textId="77777777" w:rsidR="001E30C2" w:rsidRPr="00E93F40" w:rsidRDefault="001E30C2" w:rsidP="00E93F40">
      <w:pPr>
        <w:pStyle w:val="a3"/>
        <w:widowControl/>
        <w:autoSpaceDE/>
        <w:autoSpaceDN/>
        <w:adjustRightInd/>
        <w:rPr>
          <w:color w:val="000000" w:themeColor="text1"/>
          <w:lang w:val="ru-RU"/>
        </w:rPr>
      </w:pPr>
      <w:r w:rsidRPr="00E93F40">
        <w:rPr>
          <w:color w:val="000000" w:themeColor="text1"/>
          <w:lang w:val="ru-RU"/>
        </w:rPr>
        <w:t>К сожалению, первый же опыт из</w:t>
      </w:r>
      <w:r w:rsidRPr="00E93F40">
        <w:rPr>
          <w:color w:val="000000" w:themeColor="text1"/>
          <w:lang w:val="ru-RU"/>
        </w:rPr>
        <w:softHyphen/>
        <w:t>вестного практика-дирижаблиста в стране только-только начавшей индустриализацию народного хозяйства после разрушительной Гражданской войны, обернулся досадной оплошностью, повлекшей за собой далеко идущие последствия... Почти готовый каркас В-5 изготовленный по частям разными бригадами, оказался тяжелее расчетного. Пришлось в авральном порядке удлинить корабль на... 6 метров с увеличением его объема до 2150 м</w:t>
      </w:r>
      <w:r w:rsidRPr="00E93F40">
        <w:rPr>
          <w:color w:val="000000" w:themeColor="text1"/>
          <w:vertAlign w:val="superscript"/>
          <w:lang w:val="ru-RU"/>
        </w:rPr>
        <w:t>3</w:t>
      </w:r>
      <w:r w:rsidRPr="00E93F40">
        <w:rPr>
          <w:color w:val="000000" w:themeColor="text1"/>
          <w:lang w:val="ru-RU"/>
        </w:rPr>
        <w:t>. Вся группа Нобиле стала предметом резкой критики технического персонала «Аэрофлота» (12732).</w:t>
      </w:r>
    </w:p>
    <w:p w14:paraId="16B425F4" w14:textId="77777777" w:rsidR="001E30C2" w:rsidRPr="00E93F40" w:rsidRDefault="001E30C2" w:rsidP="00E93F40">
      <w:pPr>
        <w:pStyle w:val="a3"/>
        <w:rPr>
          <w:color w:val="000000" w:themeColor="text1"/>
          <w:lang w:val="ru-RU"/>
        </w:rPr>
      </w:pPr>
    </w:p>
    <w:p w14:paraId="2223FBB1"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мая 1932 г. для руководства работами по проектированию, строительству и эксплуата</w:t>
      </w:r>
      <w:r w:rsidRPr="00E93F40">
        <w:rPr>
          <w:rFonts w:ascii="Times New Roman" w:hAnsi="Times New Roman"/>
          <w:color w:val="000000" w:themeColor="text1"/>
          <w:sz w:val="16"/>
          <w:szCs w:val="16"/>
        </w:rPr>
        <w:softHyphen/>
        <w:t>ции полужёстких дирижаблей в СССР прибыл У. Нобиле, ещё 30 сентября 1931 г. подписавший соответствующий договор. Вместе с ним прие</w:t>
      </w:r>
      <w:r w:rsidRPr="00E93F40">
        <w:rPr>
          <w:rFonts w:ascii="Times New Roman" w:hAnsi="Times New Roman"/>
          <w:color w:val="000000" w:themeColor="text1"/>
          <w:sz w:val="16"/>
          <w:szCs w:val="16"/>
        </w:rPr>
        <w:softHyphen/>
        <w:t>хали конструкторы Трояни и Гарутти, а также баллонный мастер Шакка и несколько опытных рабочих и мотористов. О своей работе в «Дири- жаблестрое» У. Нобиле оставил интересные вос</w:t>
      </w:r>
      <w:r w:rsidRPr="00E93F40">
        <w:rPr>
          <w:rFonts w:ascii="Times New Roman" w:hAnsi="Times New Roman"/>
          <w:color w:val="000000" w:themeColor="text1"/>
          <w:sz w:val="16"/>
          <w:szCs w:val="16"/>
        </w:rPr>
        <w:softHyphen/>
        <w:t>поминания. В них он доброжелательно, но ме</w:t>
      </w:r>
      <w:r w:rsidRPr="00E93F40">
        <w:rPr>
          <w:rFonts w:ascii="Times New Roman" w:hAnsi="Times New Roman"/>
          <w:color w:val="000000" w:themeColor="text1"/>
          <w:sz w:val="16"/>
          <w:szCs w:val="16"/>
        </w:rPr>
        <w:softHyphen/>
        <w:t>стами критически, описал организацию работ в «Дирижаблестрое» (20120).</w:t>
      </w:r>
    </w:p>
    <w:p w14:paraId="597B8326" w14:textId="77777777" w:rsidR="00AA0BD7" w:rsidRPr="00E93F40" w:rsidRDefault="00AA0BD7" w:rsidP="00E93F40">
      <w:pPr>
        <w:spacing w:after="0" w:line="240" w:lineRule="auto"/>
        <w:jc w:val="both"/>
        <w:rPr>
          <w:rFonts w:ascii="Times New Roman" w:hAnsi="Times New Roman"/>
          <w:color w:val="000000" w:themeColor="text1"/>
          <w:sz w:val="16"/>
          <w:szCs w:val="16"/>
        </w:rPr>
      </w:pPr>
    </w:p>
    <w:p w14:paraId="7E2880E5" w14:textId="77777777" w:rsidR="00560CA8" w:rsidRPr="00E93F40" w:rsidRDefault="00560CA8" w:rsidP="00560CA8">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Другие оборонные отрасли:</w:t>
      </w:r>
    </w:p>
    <w:p w14:paraId="72E5C554" w14:textId="77777777" w:rsidR="00560CA8" w:rsidRPr="00E93F40" w:rsidRDefault="00560CA8" w:rsidP="00560CA8">
      <w:pPr>
        <w:autoSpaceDE w:val="0"/>
        <w:autoSpaceDN w:val="0"/>
        <w:adjustRightInd w:val="0"/>
        <w:spacing w:after="0" w:line="240" w:lineRule="auto"/>
        <w:jc w:val="both"/>
        <w:rPr>
          <w:rFonts w:ascii="Times New Roman" w:hAnsi="Times New Roman"/>
          <w:iCs/>
          <w:color w:val="000000" w:themeColor="text1"/>
          <w:sz w:val="16"/>
          <w:szCs w:val="16"/>
        </w:rPr>
      </w:pPr>
    </w:p>
    <w:p w14:paraId="0FA0A457"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мая 1932 года Т-28 совершил первый испытательный пробег по двору завода «Большевик».</w:t>
      </w:r>
    </w:p>
    <w:p w14:paraId="20CD5B33"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ходе изготовления опытного образца в его конструкцию внесли ряд изменении: вместо М-5 установили более мощный двигатель М-17, а из-за отсутствия 45-мм орудия в главной башне смонтировали 37-мм пушку ПС-2. Кроме того, машина была изготовлена из обычной (неброневой) стали. </w:t>
      </w:r>
    </w:p>
    <w:p w14:paraId="013072D9"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Сразу же выяснилось, что новая машина имеет множество недостатков и недоделок, которые приходилось устранять в ходе испытаний. Поэтому в течение июня Т-28 прошел всего 62 километра (24998).</w:t>
      </w:r>
    </w:p>
    <w:p w14:paraId="3AB28E9A" w14:textId="77777777" w:rsidR="00560CA8" w:rsidRPr="00142305" w:rsidRDefault="00560CA8" w:rsidP="00560CA8">
      <w:pPr>
        <w:spacing w:after="0" w:line="240" w:lineRule="auto"/>
        <w:jc w:val="both"/>
        <w:rPr>
          <w:rFonts w:ascii="Times New Roman" w:hAnsi="Times New Roman"/>
          <w:color w:val="0070C0"/>
          <w:sz w:val="16"/>
          <w:szCs w:val="16"/>
        </w:rPr>
      </w:pPr>
    </w:p>
    <w:p w14:paraId="1820BF7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B5DBFB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90F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мая 1932 г. ленинградские радиостанции РВ-70 и РВ-53 начали регулярные телевизионные передачи с четкостью 30 строк (9923).</w:t>
      </w:r>
    </w:p>
    <w:p w14:paraId="532D7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15B5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мая 1932 г. Начало регулярных передач из Ленинграда по оптико-механической системе с использованием телепередатчика (ТВ-камеры) “бегущего луча” Передачи из Ленинградского радиоцентра (Песочная ул., 5) (11482).</w:t>
      </w:r>
    </w:p>
    <w:p w14:paraId="7829BAD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3F2AD7D"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мая в 1932 году начались регулярные передачи телевидения с разложением изображения на 30 строк ленинградскими радиостанциями РВ-70 и РВ-53. Со второй половины 1932 года телевизионные передачи почти ежедневно вело Московское радио. Они шли через средневолновые радиовещательные станции, и их принимали на европейской территории страны. Передачи проводились после полуночи. В эфире звучал обращенный к радиозрителям, как их тогда называли, голос диктора: «Показывает Москва. Смотрите...» Радиоприемник для приема телепередачи назывался «ЭЧС». Во всей стране насчитывались немногие сотни телевизоров (14879).</w:t>
      </w:r>
    </w:p>
    <w:p w14:paraId="3FF68255"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6EF2BC56"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мая в 1932 году на Ленинградской копировальной фабрике «Союзкино» завершаются испытания советской пленки Шосткинского завода (14879).</w:t>
      </w:r>
    </w:p>
    <w:p w14:paraId="713017B1"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5D09C33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A9397D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B359C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мая 1932 состоялся первый полет МБР-2 (80,256). Г.М.Б. Всего сделали 1500 (237,164). В Севастопольской бухте Голландия, после рулежек и пробежек (самолет 25) (451). Летал Б.Л.Бухгольц (1049,25). При спуске - прилип кузбасслаком к тележке (2555,14).</w:t>
      </w:r>
    </w:p>
    <w:p w14:paraId="02B64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38B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3 по 24 мая 1932 проходили заводские испытания МБР-2 (3043).</w:t>
      </w:r>
    </w:p>
    <w:p w14:paraId="0D0C96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после завершения испытаний МБР-2, было совещание в ЦКБ ЦАГИ, где против запуска машины в серию возражал А.Н.Т. - не любил дерева и предложил свой МДР-2, но против него возражали летчики. На следующий день Г.М.Бериев опять говорил с Н.М.Харламовым - тот посоветовал найти заказчика - ГВФ и поручил А.Н.Т. дать Г.М.Бериеву возможность разработать пассажирский вариант МБР-2 - тот выделил группу и отстал (79,206).</w:t>
      </w:r>
    </w:p>
    <w:p w14:paraId="36F56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ED1FB4" w14:textId="77777777"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3-го мая 1932 состоялся первый полет морского разведчика МБР-2.</w:t>
      </w:r>
    </w:p>
    <w:p w14:paraId="69E648F4" w14:textId="77777777"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года разобранный самолет по железной дороге доставили в Севастополь, и в апреле он был готов к испытаниям.</w:t>
      </w:r>
    </w:p>
    <w:p w14:paraId="4289AF8D" w14:textId="77777777"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Оценка летчика-испытателя Б.Л. Бухгольца: «Машина отличная. Жить будет!». Программу заводских и Государственных испытаний самолет прошел всего за 20 дней, причем обошлось даже без обычных в таких случаях доводок. В полетах принял участие как член экипажа и сам Г.М. Бериев. Испытания убедительно показали, что новый морской разведчик получился. Отмечалось, что машина устойчива в полете и на воде, легка в управлении.</w:t>
      </w:r>
    </w:p>
    <w:p w14:paraId="3720982E" w14:textId="77777777"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Вскоре командование ВВС РККА (в состав ВВС тогда входила и морская авиация: официальное вхождение её в состав ВМФ произошло только в конце 1937 года) утвердило акт по Госиспытаниям МБР-2, рекомендовало самолет к принятию на вооружение и к запуску в серийное производство. Однако при рассмотрении этого вопроса на совместном совещании представителей авиапромышленности и ВВС, неожиданно категорически против запуска в серию МБР-2 выступил А.Н. Туполев. Вместо «этой деревяшки» он предложил свою цельнометаллическую летающую лодку МДР-2. В результате возникших разногласий, вопрос о запуске в серийное производство МБР-2 на тот момент решен не был (18293).</w:t>
      </w:r>
    </w:p>
    <w:p w14:paraId="787ADC06" w14:textId="77777777" w:rsidR="00C111EF" w:rsidRPr="00E93F40" w:rsidRDefault="00C111EF" w:rsidP="00E93F40">
      <w:pPr>
        <w:spacing w:after="0" w:line="240" w:lineRule="auto"/>
        <w:jc w:val="both"/>
        <w:rPr>
          <w:rFonts w:ascii="Times New Roman" w:hAnsi="Times New Roman"/>
          <w:color w:val="000000" w:themeColor="text1"/>
          <w:sz w:val="16"/>
          <w:szCs w:val="16"/>
        </w:rPr>
      </w:pPr>
    </w:p>
    <w:p w14:paraId="1C57B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мая 1932 МБР-2 М-17 выполнил первый полет под управлением л П.Л.Бухгольца (9077).</w:t>
      </w:r>
    </w:p>
    <w:p w14:paraId="6D3AC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E24C94"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мая в 1932 году состоялся первый полет летающей лодки </w:t>
      </w:r>
      <w:hyperlink r:id="rId96" w:tgtFrame="_blank" w:history="1">
        <w:r w:rsidRPr="00E93F40">
          <w:rPr>
            <w:rFonts w:ascii="Times New Roman" w:hAnsi="Times New Roman"/>
            <w:color w:val="000000" w:themeColor="text1"/>
            <w:sz w:val="16"/>
            <w:szCs w:val="16"/>
          </w:rPr>
          <w:t xml:space="preserve">«МБР-2» </w:t>
        </w:r>
      </w:hyperlink>
      <w:r w:rsidRPr="00E93F40">
        <w:rPr>
          <w:rFonts w:ascii="Times New Roman" w:hAnsi="Times New Roman"/>
          <w:color w:val="000000" w:themeColor="text1"/>
          <w:sz w:val="16"/>
          <w:szCs w:val="16"/>
        </w:rPr>
        <w:t xml:space="preserve">Г.М.Бериева, пилот Б.Л.Бухгольц. Полет состоялся в Севастопольской бухте Голландия, после рулежек и пробежек самолет оторвался от воды. Затем, после завершения испытаний </w:t>
      </w:r>
      <w:hyperlink r:id="rId97" w:tgtFrame="_blank" w:history="1">
        <w:r w:rsidRPr="00E93F40">
          <w:rPr>
            <w:rFonts w:ascii="Times New Roman" w:hAnsi="Times New Roman"/>
            <w:color w:val="000000" w:themeColor="text1"/>
            <w:sz w:val="16"/>
            <w:szCs w:val="16"/>
          </w:rPr>
          <w:t xml:space="preserve">«МБР-2», </w:t>
        </w:r>
      </w:hyperlink>
      <w:r w:rsidRPr="00E93F40">
        <w:rPr>
          <w:rFonts w:ascii="Times New Roman" w:hAnsi="Times New Roman"/>
          <w:color w:val="000000" w:themeColor="text1"/>
          <w:sz w:val="16"/>
          <w:szCs w:val="16"/>
        </w:rPr>
        <w:t>было совещание в ЦКБ ЦАГИ, где против запуска машины в серию возражал А.Н.Туполев, не любил дерева и предложил свой «МДР-2», но против него возражали летчики. На следующий день Г.М.Бериев опять говорил с Н.М.Харламовым, тот посоветовал найти заказчика - ГВФ и поручил А.Н.Туполеву дать Г.М.Бериеву возможность разработать пассажирский вариант «МБР-2» - тот выделил группу и отстал (14880).</w:t>
      </w:r>
    </w:p>
    <w:p w14:paraId="1BA08257"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77B4FC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мая 1932 Бухгольц легко оторвал МБР-2 от воды, через восемь минут полёта безукоризненно выполнил приводнение и сразу же пошёл на повторный взлёт. Выполнив два полёта и подрулив к гидроспуску, лётчик дал новому самолёту первую оценку: "Машина отличная. Жить будет!".</w:t>
      </w:r>
    </w:p>
    <w:p w14:paraId="7543C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заводских и государственных испытаний заняла всего 20 дней, причём обошлись даже без неизбежных в таких случаях доводок. В испытательных полётах принял участие как член экипажа и сам Бериев. Испытания убедительно показали, что новый гидросамолёт получился, Бухгольц отмечал, что он устойчив в полёте и на воде, лёгок в управлении.</w:t>
      </w:r>
    </w:p>
    <w:p w14:paraId="44876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Казалось, что все трудности уже позади, и вопрос о запуске МБР-2 в серию - чистая формальность. Окрылённый успехом, Бериев с лёгким сердцем возвращался в Москву. Действительно, командование ВВС РККА (в состав которых тогда входила и морская авиация) без возражений утвердило акт по государственным испытаниям опытного образца МБР-2 и рекомендовало его к принятию на вооружение и, соответственно, к запуску в серию. Этот вопрос рассматривался на совместном совещании представителей авиационной промышленности и Управления ВВС, и тут неожиданно будущее самолёта вновь оказалось под вопросом. Выступивший на совещании А.Н. Туполев высказался категорически против запуска в серию этой, как он выразился, "деревяшки". Вместо МБР-2 Туполев предложил строить серийно свою цельнометаллическую летающую лодку МДР-2. Против его предложения высказались военные, поскольку, по результатам лётных испытаний, гидросамолёт Туполева оказался не удовлетворяющим требованиям задания. В результате возникших разногласий, вопрос о запуске в производство МБР-2 так и не решили (12003).</w:t>
      </w:r>
    </w:p>
    <w:p w14:paraId="1A3A9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632B20"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3 мая 1932 г., через два дня, состоялась следующая попытка полета ЦКБ-25 Бериева. Вот как запомнился этот день самому со</w:t>
      </w:r>
      <w:r w:rsidRPr="00142305">
        <w:rPr>
          <w:rStyle w:val="aff"/>
          <w:rFonts w:ascii="Times New Roman" w:eastAsiaTheme="minorHAnsi" w:hAnsi="Times New Roman" w:cs="Times New Roman"/>
          <w:color w:val="0070C0"/>
          <w:spacing w:val="0"/>
          <w:sz w:val="16"/>
          <w:szCs w:val="16"/>
        </w:rPr>
        <w:softHyphen/>
        <w:t>здателю нового гидросамолета: «...Севастополь. Бухта Голландия, майское утро 1932 года. На неболь</w:t>
      </w:r>
      <w:r w:rsidRPr="00142305">
        <w:rPr>
          <w:rStyle w:val="aff"/>
          <w:rFonts w:ascii="Times New Roman" w:eastAsiaTheme="minorHAnsi" w:hAnsi="Times New Roman" w:cs="Times New Roman"/>
          <w:color w:val="0070C0"/>
          <w:spacing w:val="0"/>
          <w:sz w:val="16"/>
          <w:szCs w:val="16"/>
        </w:rPr>
        <w:softHyphen/>
        <w:t>шой бетонной площадке гидроспу</w:t>
      </w:r>
      <w:r w:rsidRPr="00142305">
        <w:rPr>
          <w:rStyle w:val="aff"/>
          <w:rFonts w:ascii="Times New Roman" w:eastAsiaTheme="minorHAnsi" w:hAnsi="Times New Roman" w:cs="Times New Roman"/>
          <w:color w:val="0070C0"/>
          <w:spacing w:val="0"/>
          <w:sz w:val="16"/>
          <w:szCs w:val="16"/>
        </w:rPr>
        <w:softHyphen/>
        <w:t>ска хлопочут люди в комбинезонах — готовят опытную машину к пер</w:t>
      </w:r>
      <w:r w:rsidRPr="00142305">
        <w:rPr>
          <w:rStyle w:val="aff"/>
          <w:rFonts w:ascii="Times New Roman" w:eastAsiaTheme="minorHAnsi" w:hAnsi="Times New Roman" w:cs="Times New Roman"/>
          <w:color w:val="0070C0"/>
          <w:spacing w:val="0"/>
          <w:sz w:val="16"/>
          <w:szCs w:val="16"/>
        </w:rPr>
        <w:softHyphen/>
        <w:t>вому вылету.</w:t>
      </w:r>
    </w:p>
    <w:p w14:paraId="2D7A3DF2"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Наконец механик Володя Дне</w:t>
      </w:r>
      <w:r w:rsidRPr="00142305">
        <w:rPr>
          <w:rStyle w:val="aff"/>
          <w:rFonts w:ascii="Times New Roman" w:eastAsiaTheme="minorHAnsi" w:hAnsi="Times New Roman" w:cs="Times New Roman"/>
          <w:color w:val="0070C0"/>
          <w:spacing w:val="0"/>
          <w:sz w:val="16"/>
          <w:szCs w:val="16"/>
        </w:rPr>
        <w:softHyphen/>
        <w:t>пров докладывает, что самолет к вылету готов. Вся испытательная бригада принимает участие в спус</w:t>
      </w:r>
      <w:r w:rsidRPr="00142305">
        <w:rPr>
          <w:rStyle w:val="aff"/>
          <w:rFonts w:ascii="Times New Roman" w:eastAsiaTheme="minorHAnsi" w:hAnsi="Times New Roman" w:cs="Times New Roman"/>
          <w:color w:val="0070C0"/>
          <w:spacing w:val="0"/>
          <w:sz w:val="16"/>
          <w:szCs w:val="16"/>
        </w:rPr>
        <w:softHyphen/>
        <w:t>ке гидроплана на воду.</w:t>
      </w:r>
    </w:p>
    <w:p w14:paraId="45A74627"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Подошел буксирный катер и от</w:t>
      </w:r>
      <w:r w:rsidRPr="00142305">
        <w:rPr>
          <w:rStyle w:val="aff"/>
          <w:rFonts w:ascii="Times New Roman" w:eastAsiaTheme="minorHAnsi" w:hAnsi="Times New Roman" w:cs="Times New Roman"/>
          <w:color w:val="0070C0"/>
          <w:spacing w:val="0"/>
          <w:sz w:val="16"/>
          <w:szCs w:val="16"/>
        </w:rPr>
        <w:softHyphen/>
        <w:t>вел летающую лодку на середину бухты. Из кабины выглядывают Бухгольц и Днепров. Катер принимает буксировочный конец и быст</w:t>
      </w:r>
      <w:r w:rsidRPr="00142305">
        <w:rPr>
          <w:rStyle w:val="aff"/>
          <w:rFonts w:ascii="Times New Roman" w:eastAsiaTheme="minorHAnsi" w:hAnsi="Times New Roman" w:cs="Times New Roman"/>
          <w:color w:val="0070C0"/>
          <w:spacing w:val="0"/>
          <w:sz w:val="16"/>
          <w:szCs w:val="16"/>
        </w:rPr>
        <w:softHyphen/>
        <w:t>ро отходит в сторон</w:t>
      </w:r>
      <w:r w:rsidRPr="00142305">
        <w:rPr>
          <w:rStyle w:val="aff"/>
          <w:rFonts w:ascii="Times New Roman" w:eastAsiaTheme="minorHAnsi" w:hAnsi="Times New Roman" w:cs="Times New Roman"/>
          <w:color w:val="0070C0"/>
          <w:spacing w:val="0"/>
          <w:sz w:val="16"/>
          <w:szCs w:val="16"/>
          <w:lang w:val="en-US"/>
        </w:rPr>
        <w:t>y</w:t>
      </w:r>
      <w:r w:rsidRPr="00142305">
        <w:rPr>
          <w:rStyle w:val="aff"/>
          <w:rFonts w:ascii="Times New Roman" w:eastAsiaTheme="minorHAnsi" w:hAnsi="Times New Roman" w:cs="Times New Roman"/>
          <w:color w:val="0070C0"/>
          <w:spacing w:val="0"/>
          <w:sz w:val="16"/>
          <w:szCs w:val="16"/>
        </w:rPr>
        <w:t>.</w:t>
      </w:r>
    </w:p>
    <w:p w14:paraId="3D3B2CD2"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Заработал двигатель, и гидроса</w:t>
      </w:r>
      <w:r w:rsidRPr="00142305">
        <w:rPr>
          <w:rStyle w:val="aff"/>
          <w:rFonts w:ascii="Times New Roman" w:eastAsiaTheme="minorHAnsi" w:hAnsi="Times New Roman" w:cs="Times New Roman"/>
          <w:color w:val="0070C0"/>
          <w:spacing w:val="0"/>
          <w:sz w:val="16"/>
          <w:szCs w:val="16"/>
        </w:rPr>
        <w:softHyphen/>
        <w:t>молет начал выписывать красивые восьмерки на воде. Установив пове</w:t>
      </w:r>
      <w:r w:rsidRPr="00142305">
        <w:rPr>
          <w:rStyle w:val="aff"/>
          <w:rFonts w:ascii="Times New Roman" w:eastAsiaTheme="minorHAnsi" w:hAnsi="Times New Roman" w:cs="Times New Roman"/>
          <w:color w:val="0070C0"/>
          <w:spacing w:val="0"/>
          <w:sz w:val="16"/>
          <w:szCs w:val="16"/>
        </w:rPr>
        <w:softHyphen/>
        <w:t>дение машины на рулежках, летчик начинает проверять ее на пробеж</w:t>
      </w:r>
      <w:r w:rsidRPr="00142305">
        <w:rPr>
          <w:rStyle w:val="aff"/>
          <w:rFonts w:ascii="Times New Roman" w:eastAsiaTheme="minorHAnsi" w:hAnsi="Times New Roman" w:cs="Times New Roman"/>
          <w:color w:val="0070C0"/>
          <w:spacing w:val="0"/>
          <w:sz w:val="16"/>
          <w:szCs w:val="16"/>
        </w:rPr>
        <w:softHyphen/>
        <w:t>ках, постепенно наращивает ско</w:t>
      </w:r>
      <w:r w:rsidRPr="00142305">
        <w:rPr>
          <w:rStyle w:val="aff"/>
          <w:rFonts w:ascii="Times New Roman" w:eastAsiaTheme="minorHAnsi" w:hAnsi="Times New Roman" w:cs="Times New Roman"/>
          <w:color w:val="0070C0"/>
          <w:spacing w:val="0"/>
          <w:sz w:val="16"/>
          <w:szCs w:val="16"/>
        </w:rPr>
        <w:softHyphen/>
        <w:t>рость и доводит ее чуть ли не до взлетной - самый ответственный момент. Неоднократно мне прихо</w:t>
      </w:r>
      <w:r w:rsidRPr="00142305">
        <w:rPr>
          <w:rStyle w:val="aff"/>
          <w:rFonts w:ascii="Times New Roman" w:eastAsiaTheme="minorHAnsi" w:hAnsi="Times New Roman" w:cs="Times New Roman"/>
          <w:color w:val="0070C0"/>
          <w:spacing w:val="0"/>
          <w:sz w:val="16"/>
          <w:szCs w:val="16"/>
        </w:rPr>
        <w:softHyphen/>
        <w:t>дилось быть свидетелем того, как на таких пробежках испытываемые гидросамолеты «барсили», выбро</w:t>
      </w:r>
      <w:r w:rsidRPr="00142305">
        <w:rPr>
          <w:rStyle w:val="aff"/>
          <w:rFonts w:ascii="Times New Roman" w:eastAsiaTheme="minorHAnsi" w:hAnsi="Times New Roman" w:cs="Times New Roman"/>
          <w:color w:val="0070C0"/>
          <w:spacing w:val="0"/>
          <w:sz w:val="16"/>
          <w:szCs w:val="16"/>
        </w:rPr>
        <w:softHyphen/>
        <w:t>шенные из воды мощными гидродинамическими силами, воз</w:t>
      </w:r>
      <w:r w:rsidRPr="00142305">
        <w:rPr>
          <w:rStyle w:val="aff"/>
          <w:rFonts w:ascii="Times New Roman" w:eastAsiaTheme="minorHAnsi" w:hAnsi="Times New Roman" w:cs="Times New Roman"/>
          <w:color w:val="0070C0"/>
          <w:spacing w:val="0"/>
          <w:sz w:val="16"/>
          <w:szCs w:val="16"/>
        </w:rPr>
        <w:softHyphen/>
        <w:t>никавшими на режимах глис</w:t>
      </w:r>
      <w:r w:rsidRPr="00142305">
        <w:rPr>
          <w:rStyle w:val="aff"/>
          <w:rFonts w:ascii="Times New Roman" w:eastAsiaTheme="minorHAnsi" w:hAnsi="Times New Roman" w:cs="Times New Roman"/>
          <w:color w:val="0070C0"/>
          <w:spacing w:val="0"/>
          <w:sz w:val="16"/>
          <w:szCs w:val="16"/>
        </w:rPr>
        <w:softHyphen/>
        <w:t>сирования.</w:t>
      </w:r>
    </w:p>
    <w:p w14:paraId="22334849"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Рев мотора усиливается - это летчик дал полный газ и сейчас взлетит. Летающая лодка быстро набирает ско</w:t>
      </w:r>
      <w:r w:rsidRPr="00142305">
        <w:rPr>
          <w:rStyle w:val="aff"/>
          <w:rFonts w:ascii="Times New Roman" w:eastAsiaTheme="minorHAnsi" w:hAnsi="Times New Roman" w:cs="Times New Roman"/>
          <w:color w:val="0070C0"/>
          <w:spacing w:val="0"/>
          <w:sz w:val="16"/>
          <w:szCs w:val="16"/>
        </w:rPr>
        <w:softHyphen/>
        <w:t>рость на разбеге, секунд через двадцать легко отрывается от воды - и... взмывает в небо! У всех на гидроспуске вырвался вздох облегчения: «Летит, ро</w:t>
      </w:r>
      <w:r w:rsidRPr="00142305">
        <w:rPr>
          <w:rStyle w:val="aff"/>
          <w:rFonts w:ascii="Times New Roman" w:eastAsiaTheme="minorHAnsi" w:hAnsi="Times New Roman" w:cs="Times New Roman"/>
          <w:color w:val="0070C0"/>
          <w:spacing w:val="0"/>
          <w:sz w:val="16"/>
          <w:szCs w:val="16"/>
        </w:rPr>
        <w:softHyphen/>
        <w:t>димая!»</w:t>
      </w:r>
    </w:p>
    <w:p w14:paraId="2468E3C0"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Через восемь минут поле</w:t>
      </w:r>
      <w:r w:rsidRPr="00142305">
        <w:rPr>
          <w:rStyle w:val="aff"/>
          <w:rFonts w:ascii="Times New Roman" w:eastAsiaTheme="minorHAnsi" w:hAnsi="Times New Roman" w:cs="Times New Roman"/>
          <w:color w:val="0070C0"/>
          <w:spacing w:val="0"/>
          <w:sz w:val="16"/>
          <w:szCs w:val="16"/>
        </w:rPr>
        <w:softHyphen/>
        <w:t>та испытатель безукоризнен</w:t>
      </w:r>
      <w:r w:rsidRPr="00142305">
        <w:rPr>
          <w:rStyle w:val="aff"/>
          <w:rFonts w:ascii="Times New Roman" w:eastAsiaTheme="minorHAnsi" w:hAnsi="Times New Roman" w:cs="Times New Roman"/>
          <w:color w:val="0070C0"/>
          <w:spacing w:val="0"/>
          <w:sz w:val="16"/>
          <w:szCs w:val="16"/>
        </w:rPr>
        <w:softHyphen/>
        <w:t>но выполняет приводнение и сразу же идет на повторный</w:t>
      </w:r>
      <w:r w:rsidRPr="00142305">
        <w:rPr>
          <w:rStyle w:val="40"/>
          <w:rFonts w:ascii="Times New Roman" w:eastAsiaTheme="minorHAnsi" w:hAnsi="Times New Roman"/>
          <w:i w:val="0"/>
          <w:iCs w:val="0"/>
          <w:color w:val="0070C0"/>
          <w:sz w:val="16"/>
          <w:szCs w:val="16"/>
        </w:rPr>
        <w:t xml:space="preserve"> </w:t>
      </w:r>
      <w:r w:rsidRPr="00142305">
        <w:rPr>
          <w:rStyle w:val="aff"/>
          <w:rFonts w:ascii="Times New Roman" w:eastAsiaTheme="minorHAnsi" w:hAnsi="Times New Roman" w:cs="Times New Roman"/>
          <w:color w:val="0070C0"/>
          <w:spacing w:val="0"/>
          <w:sz w:val="16"/>
          <w:szCs w:val="16"/>
        </w:rPr>
        <w:t>взлет. Через четырнадцать минут вновь посадка - на бухту с моря на</w:t>
      </w:r>
      <w:r w:rsidRPr="00142305">
        <w:rPr>
          <w:rStyle w:val="aff"/>
          <w:rFonts w:ascii="Times New Roman" w:eastAsiaTheme="minorHAnsi" w:hAnsi="Times New Roman" w:cs="Times New Roman"/>
          <w:color w:val="0070C0"/>
          <w:spacing w:val="0"/>
          <w:sz w:val="16"/>
          <w:szCs w:val="16"/>
        </w:rPr>
        <w:softHyphen/>
        <w:t>двигалась сплошная молочная стена тумана.</w:t>
      </w:r>
    </w:p>
    <w:p w14:paraId="66F5FE4F"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Гидросамолет без помощи кате</w:t>
      </w:r>
      <w:r w:rsidRPr="00142305">
        <w:rPr>
          <w:rStyle w:val="aff"/>
          <w:rFonts w:ascii="Times New Roman" w:eastAsiaTheme="minorHAnsi" w:hAnsi="Times New Roman" w:cs="Times New Roman"/>
          <w:color w:val="0070C0"/>
          <w:spacing w:val="0"/>
          <w:sz w:val="16"/>
          <w:szCs w:val="16"/>
        </w:rPr>
        <w:softHyphen/>
        <w:t>ра-буксировщика подруливает к самому спуску, и я слышу первую оценку летчика: «Машина отлич</w:t>
      </w:r>
      <w:r w:rsidRPr="00142305">
        <w:rPr>
          <w:rStyle w:val="aff"/>
          <w:rFonts w:ascii="Times New Roman" w:eastAsiaTheme="minorHAnsi" w:hAnsi="Times New Roman" w:cs="Times New Roman"/>
          <w:color w:val="0070C0"/>
          <w:spacing w:val="0"/>
          <w:sz w:val="16"/>
          <w:szCs w:val="16"/>
        </w:rPr>
        <w:softHyphen/>
        <w:t>ная. Жить будет!» (25061).</w:t>
      </w:r>
    </w:p>
    <w:p w14:paraId="062A1A6F" w14:textId="77777777" w:rsidR="00560CA8" w:rsidRPr="00142305" w:rsidRDefault="00560CA8" w:rsidP="00560CA8">
      <w:pPr>
        <w:spacing w:after="0" w:line="240" w:lineRule="auto"/>
        <w:jc w:val="both"/>
        <w:rPr>
          <w:rFonts w:ascii="Times New Roman" w:hAnsi="Times New Roman"/>
          <w:color w:val="0070C0"/>
          <w:sz w:val="16"/>
          <w:szCs w:val="16"/>
        </w:rPr>
      </w:pPr>
    </w:p>
    <w:p w14:paraId="54807ECD" w14:textId="77777777" w:rsidR="005256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08D67E5" w14:textId="77777777" w:rsidR="00525619" w:rsidRPr="00E93F40" w:rsidRDefault="005256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D7ABD6"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3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635/155сс об обеспечении перевозок по мобплану № 11 подвижным составом (ГА РФ. Ф. Р?8418. Оп. 28. Д. 146. Л. 78?80) (12415).</w:t>
      </w:r>
    </w:p>
    <w:p w14:paraId="0BE7FCF3" w14:textId="77777777" w:rsidR="00525619" w:rsidRPr="00E93F40" w:rsidRDefault="00525619" w:rsidP="00E93F40">
      <w:pPr>
        <w:spacing w:after="0" w:line="240" w:lineRule="auto"/>
        <w:jc w:val="both"/>
        <w:rPr>
          <w:rFonts w:ascii="Times New Roman" w:hAnsi="Times New Roman"/>
          <w:color w:val="000000" w:themeColor="text1"/>
          <w:sz w:val="16"/>
          <w:szCs w:val="16"/>
          <w:u w:color="002060"/>
        </w:rPr>
      </w:pPr>
    </w:p>
    <w:p w14:paraId="20D682E3" w14:textId="77777777" w:rsidR="00EE6152" w:rsidRPr="00E93F40" w:rsidRDefault="00EE6152" w:rsidP="00E93F40">
      <w:pPr>
        <w:spacing w:after="0" w:line="240" w:lineRule="auto"/>
        <w:jc w:val="both"/>
        <w:rPr>
          <w:rFonts w:ascii="Times New Roman" w:hAnsi="Times New Roman"/>
          <w:i/>
          <w:color w:val="000000" w:themeColor="text1"/>
          <w:sz w:val="16"/>
          <w:szCs w:val="16"/>
        </w:rPr>
      </w:pPr>
      <w:r w:rsidRPr="00E93F40">
        <w:rPr>
          <w:rFonts w:ascii="Times New Roman" w:hAnsi="Times New Roman"/>
          <w:i/>
          <w:color w:val="000000" w:themeColor="text1"/>
          <w:sz w:val="16"/>
          <w:szCs w:val="16"/>
        </w:rPr>
        <w:t>Армия:</w:t>
      </w:r>
    </w:p>
    <w:p w14:paraId="6067FC21" w14:textId="77777777" w:rsidR="00EE6152" w:rsidRPr="00E93F40" w:rsidRDefault="00EE6152" w:rsidP="00E93F40">
      <w:pPr>
        <w:spacing w:after="0" w:line="240" w:lineRule="auto"/>
        <w:jc w:val="both"/>
        <w:rPr>
          <w:rFonts w:ascii="Times New Roman" w:hAnsi="Times New Roman"/>
          <w:i/>
          <w:color w:val="000000" w:themeColor="text1"/>
          <w:sz w:val="16"/>
          <w:szCs w:val="16"/>
        </w:rPr>
      </w:pPr>
    </w:p>
    <w:p w14:paraId="10406AA3" w14:textId="77777777" w:rsidR="00EE6152" w:rsidRPr="00E93F40" w:rsidRDefault="00EE61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мая 1932 г. в Москве состоялась 1-я всесоюзная конференция изобретателей и рационализаторов ВВС, созванная с целью мобилизации творчества широких масс изобретателей и рационализаторов на усовершенствование боевой подготовки авиационной техники и методов ее эксплуатации.</w:t>
      </w:r>
    </w:p>
    <w:p w14:paraId="1247B13B" w14:textId="619CBDC1" w:rsidR="00EE6152" w:rsidRPr="00E93F40" w:rsidRDefault="00EE61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/ВВФ, 1932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 (23370).</w:t>
      </w:r>
    </w:p>
    <w:p w14:paraId="6366D8E2" w14:textId="77777777" w:rsidR="00EE6152" w:rsidRPr="00E93F40" w:rsidRDefault="00EE6152" w:rsidP="00E93F40">
      <w:pPr>
        <w:spacing w:after="0" w:line="240" w:lineRule="auto"/>
        <w:jc w:val="both"/>
        <w:rPr>
          <w:rFonts w:ascii="Times New Roman" w:hAnsi="Times New Roman"/>
          <w:color w:val="000000" w:themeColor="text1"/>
          <w:sz w:val="16"/>
          <w:szCs w:val="16"/>
        </w:rPr>
      </w:pPr>
    </w:p>
    <w:p w14:paraId="5DDF9F5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6F094C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87D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мая 1932 нанкинское правительство заключило в Шанхае при посредничестве англичан соглашение с Японией. Японские войска д.б. очистить город при отходе от него китайских войск и перенацелены на север (3878,3).</w:t>
      </w:r>
    </w:p>
    <w:p w14:paraId="13CDC8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859BF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8BD84B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981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начальник ЦАГИ Н.М.Харламов издал приказ N 12 о слиянии бригад 3 и 4 ЦКБ в одну, которую считать бригадой истребителей и рекордных самолетов (2869,21) т именовать - 3, но начальником бригады назначил П.О.С., а Н.Н.П. и Г.И.(Г.О. - 1102) Бертош стали замами. Задания 4 бригады перешли в третью (228,84). Кроме того, бригаде (персонально П.О.С. дали задание на разработку одноместного пушечного истребителя цельнометаллической конструкции с увеличенным арсеналом вооружения. По ТТ скорость хотели 340-400 км/час, время подъема на 5000 м - 7 мин., дальность - 500 км, вооружение - 2 пушки (2869,21).</w:t>
      </w:r>
    </w:p>
    <w:p w14:paraId="1AA8C4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9798E7"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г. в связи с назначением В.Н. Чернышева заместителем директора заво</w:t>
      </w:r>
      <w:r w:rsidRPr="00E93F40">
        <w:rPr>
          <w:rFonts w:ascii="Times New Roman" w:hAnsi="Times New Roman"/>
          <w:color w:val="000000" w:themeColor="text1"/>
          <w:sz w:val="16"/>
          <w:szCs w:val="16"/>
        </w:rPr>
        <w:softHyphen/>
        <w:t>да № 22 произошло объединение бригад № 3 и № 4 ЦКБ ЦАГИ в одну бригаду № 3, с передачей ей производственных заданий обеих бригад. Объединенную бригаду № 3 возглавил П.О. Сухой, а его замес</w:t>
      </w:r>
      <w:r w:rsidRPr="00E93F40">
        <w:rPr>
          <w:rFonts w:ascii="Times New Roman" w:hAnsi="Times New Roman"/>
          <w:color w:val="000000" w:themeColor="text1"/>
          <w:sz w:val="16"/>
          <w:szCs w:val="16"/>
        </w:rPr>
        <w:softHyphen/>
        <w:t>тителями стали Н.Н. Поликарпов и Г.О. Бертош (15801).</w:t>
      </w:r>
    </w:p>
    <w:p w14:paraId="6DD1C9D4"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2438CA25" w14:textId="2AE55F74" w:rsidR="00C111EF" w:rsidRPr="00E93F40" w:rsidRDefault="00C111EF" w:rsidP="00E93F40">
      <w:pPr>
        <w:pStyle w:val="rtejustify"/>
        <w:shd w:val="clear" w:color="auto" w:fill="FFFFFF"/>
        <w:spacing w:before="0" w:after="0"/>
        <w:rPr>
          <w:color w:val="000000" w:themeColor="text1"/>
          <w:sz w:val="16"/>
          <w:szCs w:val="16"/>
        </w:rPr>
      </w:pPr>
      <w:r w:rsidRPr="00E93F40">
        <w:rPr>
          <w:color w:val="000000" w:themeColor="text1"/>
          <w:sz w:val="16"/>
          <w:szCs w:val="16"/>
        </w:rPr>
        <w:t>4 мая 1932 года, в связи с назначением В. Н. Чернышева на должность заместителя директора Московского авиационного завода №22, произошло объединение бригад №3 и №4 ЦКБ ЦАГИ в одну бригаду №3, с передачей ей производственных заданий обеих бригад. Объединенную бригаду №3 возглавил П. О. Сухой, а его заместителями стали Н. Н. Поликарпов и Г.</w:t>
      </w:r>
      <w:r w:rsidR="007C1411" w:rsidRPr="00E93F40">
        <w:rPr>
          <w:color w:val="000000" w:themeColor="text1"/>
          <w:sz w:val="16"/>
          <w:szCs w:val="16"/>
        </w:rPr>
        <w:t xml:space="preserve"> </w:t>
      </w:r>
      <w:r w:rsidRPr="00E93F40">
        <w:rPr>
          <w:color w:val="000000" w:themeColor="text1"/>
          <w:sz w:val="16"/>
          <w:szCs w:val="16"/>
        </w:rPr>
        <w:t>О. Бертош (19171).</w:t>
      </w:r>
    </w:p>
    <w:p w14:paraId="31AFB84C" w14:textId="77777777" w:rsidR="00C111EF" w:rsidRPr="00E93F40" w:rsidRDefault="00C111EF" w:rsidP="00E93F40">
      <w:pPr>
        <w:pStyle w:val="rtejustify"/>
        <w:shd w:val="clear" w:color="auto" w:fill="FFFFFF"/>
        <w:spacing w:before="0" w:after="0"/>
        <w:rPr>
          <w:color w:val="000000" w:themeColor="text1"/>
          <w:sz w:val="16"/>
          <w:szCs w:val="16"/>
        </w:rPr>
      </w:pPr>
    </w:p>
    <w:p w14:paraId="3D3E00B2"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в 1932 году приказом по ЦАГИ начальником бригады № 3 истребителей и рекордных самолетов (с 1935 г. - КБ-3) назначают П.О.Сухого. Его заместителем становятся Н.Н.Поликарпов и Г.О.Бертош (14881).</w:t>
      </w:r>
    </w:p>
    <w:p w14:paraId="0EAD7247"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2F05B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г. начальник ЦАГИ Н.М.Харламов издал при</w:t>
      </w:r>
      <w:r w:rsidRPr="00E93F40">
        <w:rPr>
          <w:rFonts w:ascii="Times New Roman" w:hAnsi="Times New Roman"/>
          <w:color w:val="000000" w:themeColor="text1"/>
          <w:sz w:val="16"/>
          <w:szCs w:val="16"/>
        </w:rPr>
        <w:softHyphen/>
        <w:t>каз о слиянии бригад № 3 и № 4 в одну - бригаду № 3 (начальник П.О.Сухой). По предложению С.В.Илью</w:t>
      </w:r>
      <w:r w:rsidRPr="00E93F40">
        <w:rPr>
          <w:rFonts w:ascii="Times New Roman" w:hAnsi="Times New Roman"/>
          <w:color w:val="000000" w:themeColor="text1"/>
          <w:sz w:val="16"/>
          <w:szCs w:val="16"/>
        </w:rPr>
        <w:softHyphen/>
        <w:t>шина на должность заместителей начальника назначили Н.Н.Поликарпова и Г.И.Бертоша (10667).</w:t>
      </w:r>
    </w:p>
    <w:p w14:paraId="095BB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7C0D60" w14:textId="77777777" w:rsidR="001E30C2" w:rsidRPr="00E93F40" w:rsidRDefault="001E30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года Павла Осиповича назна</w:t>
      </w:r>
      <w:r w:rsidRPr="00E93F40">
        <w:rPr>
          <w:rFonts w:ascii="Times New Roman" w:hAnsi="Times New Roman"/>
          <w:color w:val="000000" w:themeColor="text1"/>
          <w:sz w:val="16"/>
          <w:szCs w:val="16"/>
        </w:rPr>
        <w:softHyphen/>
        <w:t>чили начальником ЦКБ ЦАГИ, образо</w:t>
      </w:r>
      <w:r w:rsidRPr="00E93F40">
        <w:rPr>
          <w:rFonts w:ascii="Times New Roman" w:hAnsi="Times New Roman"/>
          <w:color w:val="000000" w:themeColor="text1"/>
          <w:sz w:val="16"/>
          <w:szCs w:val="16"/>
        </w:rPr>
        <w:softHyphen/>
        <w:t>вавшегося после слияния ЦКБ-39 и АГОС ЦАГИ. Спустя три недели новую органи</w:t>
      </w:r>
      <w:r w:rsidRPr="00E93F40">
        <w:rPr>
          <w:rFonts w:ascii="Times New Roman" w:hAnsi="Times New Roman"/>
          <w:color w:val="000000" w:themeColor="text1"/>
          <w:sz w:val="16"/>
          <w:szCs w:val="16"/>
        </w:rPr>
        <w:softHyphen/>
        <w:t>зацию преобразовали в сектор опытного строительства ЦАГИ (12725).</w:t>
      </w:r>
    </w:p>
    <w:p w14:paraId="1819DF63" w14:textId="77777777" w:rsidR="001E30C2" w:rsidRPr="00E93F40" w:rsidRDefault="001E30C2" w:rsidP="00E93F40">
      <w:pPr>
        <w:spacing w:after="0" w:line="240" w:lineRule="auto"/>
        <w:jc w:val="both"/>
        <w:rPr>
          <w:rFonts w:ascii="Times New Roman" w:hAnsi="Times New Roman"/>
          <w:color w:val="000000" w:themeColor="text1"/>
          <w:sz w:val="16"/>
          <w:szCs w:val="16"/>
        </w:rPr>
      </w:pPr>
    </w:p>
    <w:p w14:paraId="4716C4FA"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г. ввиду противоречий между Поликарповым и Туполевым начальник ЦАГИ Н.М. Харламов издал приказ №12 о слиянии бригад 3 и 4 ЦКБ-39 в одну, которую следует считать бригадой истребителей и рекордных самолетов с объединением их плановых заданий. Начальником бригады назначен выходец из АГОС ЦАГИ П.О. Сухой, а Н.Н. Поликарпов стал его заместителем (вторым замом Сухого стал Г. Бартош). Но нормальной работы между ними не складывалось. Среди прочего это свидетельствует и о том, что после тюремного заключения Поликарпов не был сломлен и не стал слепо выполнять все распоряжения руководства, а сохранял принципиальность и собственное мнение во всех технических вопросах, лишь тщательно соблюдая законность путей их решения, дабы вновь не иметь неприятностей.</w:t>
      </w:r>
    </w:p>
    <w:p w14:paraId="4F8F8FC0"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Сухой настаивал на том, что самолет должен иметь цельнометаллическую конструкцию, приспособленную для выпуска на авиазаводе №22 (т.е. с ферменными силовыми элементами каркаса и в основном гофрированной неработающей обшивкой на клепке), а вооружение должно быть из динамо-реактивных пушек системы Курчевского.</w:t>
      </w:r>
    </w:p>
    <w:p w14:paraId="518A85ED"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Поликарпов указывал, что такая конструкция уже с одной стороны устарела, с другой на массовый выпуск такого самолета не хватит дюраля и металлообрабатывающего оборудования, а вооружение должно быть пока пулеметным, но с использованием новых скорострельных пулеметов Шпитального ШКАС, поскольку сама идея ДРП Курчевского неверна, а использование таких пушек с малым боезапасом и низкой скорострельностью и баллистикой против истребителей противника вообще невозможно. В определенной мере это уже подтверждали испытания истребителя И-Зет (ЦКБ-7) конструкции Д.П. Григоровича.</w:t>
      </w:r>
    </w:p>
    <w:p w14:paraId="4A40B262"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проверки правильности подхода к проектированию скоростных истребителей ЦКБ-ЦАГИ была задана трех новых типов истребителей:</w:t>
      </w:r>
    </w:p>
    <w:p w14:paraId="2F0838E9"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цельнометаллического моноплана с динамо-реактивными пушками И-14;</w:t>
      </w:r>
    </w:p>
    <w:p w14:paraId="697C1E48"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биплана смешанной конструкции И-15 с обычным пулеметным вооружением;</w:t>
      </w:r>
    </w:p>
    <w:p w14:paraId="59A28F9D"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моноплана смешанной конструкции И-15 с пулеметным вооружением с увеличенной скорострельностью.</w:t>
      </w:r>
    </w:p>
    <w:p w14:paraId="4C6C639C"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Сухой и Туполев продолжали противиться такому ходу работ, считая, что это распыляет силы и ресурсы (23554).</w:t>
      </w:r>
    </w:p>
    <w:p w14:paraId="75362EE3" w14:textId="77777777" w:rsidR="004F5D91" w:rsidRPr="00E93F40" w:rsidRDefault="004F5D91" w:rsidP="00E93F40">
      <w:pPr>
        <w:spacing w:after="0" w:line="240" w:lineRule="auto"/>
        <w:jc w:val="both"/>
        <w:rPr>
          <w:rFonts w:ascii="Times New Roman" w:hAnsi="Times New Roman"/>
          <w:color w:val="000000" w:themeColor="text1"/>
          <w:sz w:val="16"/>
          <w:szCs w:val="16"/>
        </w:rPr>
      </w:pPr>
    </w:p>
    <w:p w14:paraId="51C133A5"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мая 1932 г. начальник ЦАГИ Н. М. Харламов издал приказ о слиянии бригад № 3 и № 4 в одну — бригаду № 3 (начальник П. О. Сухой) и по предложению С. В. Ильюшина на должность заместителей начальника были назначены Н. Н. Поликарпов и Г. И. Бертош.</w:t>
      </w:r>
    </w:p>
    <w:p w14:paraId="7BE72FC2"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плану к середине 1933 г. бригада должна выпустить на испытания истребитель-полутораплан И-13 с двигателем жидкостного охлаждения М-32 и истребитель-моноплан И-14 с двигателем воздушного охлаждения М-38, который еще только разрабатывался.</w:t>
      </w:r>
    </w:p>
    <w:p w14:paraId="6F20181D"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Бертош, выполняя указание Туполева, вел проектирование И-13 на базе И-8.</w:t>
      </w:r>
    </w:p>
    <w:p w14:paraId="3D4A0D71"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Павел Осипович Сухой сконцентрировал свои усилия на разработке истребителя-моноплана И-14 с убирающимся шасси и максимальной скоростью около 380 километров в час. Николай Николаевич высказал свои соображения по самолету, но понимания не встретил. П. О. Сухой имел иной взгляд на проектирование И-14 (25035).</w:t>
      </w:r>
    </w:p>
    <w:p w14:paraId="5CF27A19" w14:textId="77777777" w:rsidR="00560CA8" w:rsidRPr="00142305" w:rsidRDefault="00560CA8" w:rsidP="00560CA8">
      <w:pPr>
        <w:spacing w:after="0" w:line="240" w:lineRule="auto"/>
        <w:jc w:val="both"/>
        <w:rPr>
          <w:rFonts w:ascii="Times New Roman" w:hAnsi="Times New Roman"/>
          <w:color w:val="0070C0"/>
          <w:sz w:val="16"/>
          <w:szCs w:val="16"/>
        </w:rPr>
      </w:pPr>
    </w:p>
    <w:p w14:paraId="5D42E6F3"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мая 1932 г., в связи с назначением В.Н. Чернышева на вышестоящую должность, произошло объединение бригад № 3 и № 4 ЦКБ ЦАГИ в одну бригаду № 3, с передачей ей производственных заданий обеих бригад. Объединенную бригаду № 3 возглавил П.О. Сухой, а его заместителями стали Н.Н. Поликарпов и Г.О. Бертош (25667).</w:t>
      </w:r>
    </w:p>
    <w:p w14:paraId="6AA2D842" w14:textId="77777777" w:rsidR="00560CA8" w:rsidRPr="00142305" w:rsidRDefault="00560CA8" w:rsidP="00560CA8">
      <w:pPr>
        <w:spacing w:after="0" w:line="240" w:lineRule="auto"/>
        <w:jc w:val="both"/>
        <w:rPr>
          <w:rFonts w:ascii="Times New Roman" w:hAnsi="Times New Roman"/>
          <w:color w:val="0070C0"/>
          <w:sz w:val="16"/>
          <w:szCs w:val="16"/>
        </w:rPr>
      </w:pPr>
    </w:p>
    <w:p w14:paraId="675E7D00"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года начальник МАИ Вольский подписал приказ о досрочном выпуске Грушина, Бабада и Мараказова из института и присвоении им звания инженеров</w:t>
      </w:r>
      <w:r w:rsidRPr="00E93F40">
        <w:rPr>
          <w:rFonts w:ascii="Times New Roman" w:hAnsi="Times New Roman"/>
          <w:color w:val="000000" w:themeColor="text1"/>
          <w:sz w:val="16"/>
          <w:szCs w:val="16"/>
        </w:rPr>
        <w:noBreakHyphen/>
        <w:t>механиков по конструкции самолетов. Впрочем, для Грушина на этом учеба не закончилась – уже через несколько месяцев он стал аспирантом МАИ. Одновременно с этим он устроился на работу в небольшое конструкторское бюро – БНК, входившее в состав Всесоюзного авиационного объединения (24213).</w:t>
      </w:r>
    </w:p>
    <w:p w14:paraId="2EEE64A2"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октября 1932 года в газете «Известия» были опубликованы результаты консурса Осоавиахима на проект легкомоторного самолета из электрона.</w:t>
      </w:r>
    </w:p>
    <w:p w14:paraId="0A976974"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Жюри конкурса решило премировать ряд наиболее интересных работ. Первую премию в размере 15 тысяч рублей получили разработчики проекта самолета «Бригадный» (П.Д.Грушин), вторую премию получил инженер С. П. Королев за проект самолета из сплава «электрон», представленный на конкурс под девизом «Высокий путь». (24213).</w:t>
      </w:r>
    </w:p>
    <w:p w14:paraId="6DB54F5E" w14:textId="77777777" w:rsidR="004F5D91" w:rsidRPr="00E93F40" w:rsidRDefault="004F5D91" w:rsidP="00E93F40">
      <w:pPr>
        <w:spacing w:after="0" w:line="240" w:lineRule="auto"/>
        <w:jc w:val="both"/>
        <w:rPr>
          <w:rFonts w:ascii="Times New Roman" w:hAnsi="Times New Roman"/>
          <w:color w:val="000000" w:themeColor="text1"/>
          <w:sz w:val="16"/>
          <w:szCs w:val="16"/>
        </w:rPr>
      </w:pPr>
    </w:p>
    <w:p w14:paraId="339BA5B1" w14:textId="77777777" w:rsidR="005E4C16" w:rsidRPr="00E93F40" w:rsidRDefault="005E4C16"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4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98. Опросом членов ПБ от 4 мая 1932 г. 51/27. О строительстве Казанского авиакомбината. 67/43. О тракторах для НКВоенмора. (Политбюро... Т. 2. С. 300) (12416).</w:t>
      </w:r>
    </w:p>
    <w:p w14:paraId="75305123" w14:textId="77777777" w:rsidR="005E4C16" w:rsidRPr="00E93F40" w:rsidRDefault="005E4C16" w:rsidP="00E93F40">
      <w:pPr>
        <w:spacing w:after="0" w:line="240" w:lineRule="auto"/>
        <w:jc w:val="both"/>
        <w:rPr>
          <w:rFonts w:ascii="Times New Roman" w:hAnsi="Times New Roman"/>
          <w:color w:val="000000" w:themeColor="text1"/>
          <w:sz w:val="16"/>
          <w:szCs w:val="16"/>
          <w:u w:color="002060"/>
        </w:rPr>
      </w:pPr>
    </w:p>
    <w:p w14:paraId="59A5A3C0" w14:textId="77777777" w:rsidR="005E4C16" w:rsidRPr="00E93F40" w:rsidRDefault="005E4C16" w:rsidP="00E93F40">
      <w:pPr>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4 мая 1932 г. Протокол ПБ № 98 п.50/26: О заводе № 62. Решено: а) присвоить заводу № 62 стальных самолетов Главного управления гражданского воздушного флота наименование "Завод № 62 им. В.М. Молотова"; б) вопрос о передаче заводу станков и оборудования передать на разрешение в СТО (15871).</w:t>
      </w:r>
    </w:p>
    <w:p w14:paraId="4287D64A" w14:textId="77777777" w:rsidR="005E4C16" w:rsidRPr="00E93F40" w:rsidRDefault="005E4C16" w:rsidP="00E93F40">
      <w:pPr>
        <w:spacing w:after="0" w:line="240" w:lineRule="auto"/>
        <w:jc w:val="both"/>
        <w:rPr>
          <w:rFonts w:ascii="Times New Roman" w:hAnsi="Times New Roman"/>
          <w:iCs/>
          <w:color w:val="000000" w:themeColor="text1"/>
          <w:sz w:val="16"/>
          <w:szCs w:val="16"/>
        </w:rPr>
      </w:pPr>
    </w:p>
    <w:p w14:paraId="7034B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состоялось Согласительное совещание ЦИАМ и завода 34 о кооперации в разработке М-34 (2314,16).</w:t>
      </w:r>
    </w:p>
    <w:p w14:paraId="3078DC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BE23D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470C35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503E1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Тухачевский направил И.В.С. длинное письмо, поясняющее, как относительно небольшие вложения в советское машиностроение будут иметь огромный импортозамещающий эффект. И.В.С. - не согласился и ответил 7 мая 1932 (9089,163).</w:t>
      </w:r>
    </w:p>
    <w:p w14:paraId="70DDF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7C5182"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состоялось заседание ПБ (Протокол № 98)</w:t>
      </w:r>
    </w:p>
    <w:p w14:paraId="214FB2A2"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1932 опросом членов ПБ</w:t>
      </w:r>
    </w:p>
    <w:p w14:paraId="0984B27E"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29/5.- Предложение т. Ворошилова.</w:t>
      </w:r>
    </w:p>
    <w:p w14:paraId="42C043BF"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т. Ворошилова о включении в комиссию по заказам в Италию т.т. Бекаури и Миткевича.</w:t>
      </w:r>
    </w:p>
    <w:p w14:paraId="64F3C429"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Выписка_послана: т.т. Ворошилову, Артузову, Орджоникидзе.</w:t>
      </w:r>
    </w:p>
    <w:p w14:paraId="76B94790"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апреля 1932 опросом членов ПБ</w:t>
      </w:r>
    </w:p>
    <w:p w14:paraId="3CFB4404"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35/12.-О Японии.</w:t>
      </w:r>
    </w:p>
    <w:p w14:paraId="0E6D2C17"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разрешить японскому самолету газеты "Хоци" перелет по маршруту: Токио-Ном через мыс лопатка, На варин и остров Лаврентия.</w:t>
      </w:r>
    </w:p>
    <w:p w14:paraId="0D4131A5"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Разрешить спуск в Петропавловске на Камчатке летчику Косихара при перелете по маршруту Япония- Петропавловск-Япопия.</w:t>
      </w:r>
    </w:p>
    <w:p w14:paraId="191A3EC4"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тов. Карахану</w:t>
      </w:r>
    </w:p>
    <w:p w14:paraId="1EE6A50B"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опросом членов ПБ</w:t>
      </w:r>
    </w:p>
    <w:p w14:paraId="1156678C"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52/28.-О машинах Форд и «Примут»</w:t>
      </w:r>
    </w:p>
    <w:p w14:paraId="3ACF2373"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Выписать по одному экземпляру Форда восьмици</w:t>
      </w:r>
      <w:r w:rsidRPr="00E93F40">
        <w:rPr>
          <w:rFonts w:ascii="Times New Roman" w:hAnsi="Times New Roman"/>
          <w:color w:val="000000" w:themeColor="text1"/>
          <w:sz w:val="16"/>
          <w:szCs w:val="16"/>
        </w:rPr>
        <w:softHyphen/>
        <w:t>линдрового, нового четырехцилиндрового и "Плимута" для а/Автодора и б/Научного Автотракторного Института (НАТИ), а всего шесть машин.</w:t>
      </w:r>
    </w:p>
    <w:p w14:paraId="378FD875"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Выписку Фордов произвести в зачет поставок аггрегатов для сборки, выписку "Плимута” для "HATH” за счет контингентов НКТП, выписку "Плимута" для Автодора за счет специально отпущенных Политбюро средств.</w:t>
      </w:r>
    </w:p>
    <w:p w14:paraId="246FC6A4"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Предложить Наркомвнешторгу заказать машины немед</w:t>
      </w:r>
      <w:r w:rsidRPr="00E93F40">
        <w:rPr>
          <w:rFonts w:ascii="Times New Roman" w:hAnsi="Times New Roman"/>
          <w:color w:val="000000" w:themeColor="text1"/>
          <w:sz w:val="16"/>
          <w:szCs w:val="16"/>
        </w:rPr>
        <w:softHyphen/>
        <w:t>ленно, по телеграфу,и погрузить в срочном порядке.</w:t>
      </w:r>
    </w:p>
    <w:p w14:paraId="6F2435A7" w14:textId="77777777" w:rsidR="00AA0BD7" w:rsidRPr="00E93F40" w:rsidRDefault="00AA0B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Орджоникидзе, Осинскому (23043).</w:t>
      </w:r>
    </w:p>
    <w:p w14:paraId="5B2B2AB9" w14:textId="77777777" w:rsidR="00AA0BD7" w:rsidRPr="00E93F40" w:rsidRDefault="00AA0BD7" w:rsidP="00E93F40">
      <w:pPr>
        <w:spacing w:after="0" w:line="240" w:lineRule="auto"/>
        <w:jc w:val="both"/>
        <w:rPr>
          <w:rFonts w:ascii="Times New Roman" w:hAnsi="Times New Roman"/>
          <w:color w:val="000000" w:themeColor="text1"/>
          <w:sz w:val="16"/>
          <w:szCs w:val="16"/>
        </w:rPr>
      </w:pPr>
    </w:p>
    <w:p w14:paraId="0F2F847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CF9CD2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6413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1932 был подписан договор о ненападении с Эстонией (1348,242) на 3 года (3908,337).</w:t>
      </w:r>
    </w:p>
    <w:p w14:paraId="0E3C5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D18CE8"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мая в 1932 году СССР и Эстония подписывают пакт о ненападении и мирном разрешении конфликтов. Через 8 лет в Эстонию войдут советские войска (14881).</w:t>
      </w:r>
    </w:p>
    <w:p w14:paraId="71177BC4"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2CF4061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89A6BC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26BAAB"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года в НИИ ВВС на испытания был передан самолет Р5-М17 с разрезным верхним крылом, переделанным нижним крылом, оперением и шасси (6780).</w:t>
      </w:r>
    </w:p>
    <w:p w14:paraId="33D3FD2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A287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 первый самолет Р-5 с разрезным крылом передали на испытания в НИИ ВВС. Механизация крыла позволила снизить посадочную скорость с 86 до 70 км/ч и улучшить поведение самолета на малых скоростях, но за счет ухудшения скороподъемности и уменьшения максимальной скорости.</w:t>
      </w:r>
    </w:p>
    <w:p w14:paraId="043AA8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1931 г. Л .И. Сутугин (аэродинамик) и С.А. Кочеригин (конструктор) представили УВВС два варианта проекта, из которых одобрили первый. Позднее построили два опытных образца. Оба самолета имели сильно измененное (фактически новое) верхнее крыло. Его законцовки стали почти прямоугольными. По всей передней кромке (кроме центроплана) разместили предкрылки, на задней, между элеронами - закрылки. Предкрылки срабатывали автоматически, от перепада давления. Механизм управления ими стоял в передней части центроплана, потеснив верхние бензобаки. Закрылки управлялись тросовым механизмом, срабатывавшим при нажатии пилотом рычага по левому борту кабины. На нижнем крыле смонтировали вторую пару элеронов. Хвостовое оперение немного увеличили по сравнению с серийным Р-5.</w:t>
      </w:r>
    </w:p>
    <w:p w14:paraId="59659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Вторая машина, отличавшаяся наличием вооружения, попала в НИИ в начале января 1933 г.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2A9B79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66561E"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мая 1932 г. первый самолет Р-5 с разрезным крылом передали на испытания в НИИ ВВС. Механизация крыла позволила снизить поса</w:t>
      </w:r>
      <w:r w:rsidRPr="00142305">
        <w:rPr>
          <w:rFonts w:ascii="Times New Roman" w:hAnsi="Times New Roman"/>
          <w:color w:val="0070C0"/>
          <w:sz w:val="16"/>
          <w:szCs w:val="16"/>
        </w:rPr>
        <w:softHyphen/>
        <w:t>дочную скорость с 86 до 70 км/ч и улучшить поведение са</w:t>
      </w:r>
      <w:r w:rsidRPr="00142305">
        <w:rPr>
          <w:rFonts w:ascii="Times New Roman" w:hAnsi="Times New Roman"/>
          <w:color w:val="0070C0"/>
          <w:sz w:val="16"/>
          <w:szCs w:val="16"/>
        </w:rPr>
        <w:softHyphen/>
        <w:t>молета на малых скоростях, но за счет ухудшения скоро</w:t>
      </w:r>
      <w:r w:rsidRPr="00142305">
        <w:rPr>
          <w:rFonts w:ascii="Times New Roman" w:hAnsi="Times New Roman"/>
          <w:color w:val="0070C0"/>
          <w:sz w:val="16"/>
          <w:szCs w:val="16"/>
        </w:rPr>
        <w:softHyphen/>
        <w:t>подъемности и уменьшения максимальной скорости.</w:t>
      </w:r>
    </w:p>
    <w:p w14:paraId="7C028161"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Вторая машина, отличавшаяся наличием вооружения, попала в НИИ в начале января 1933 г. Летал на ней пилот Козлов. Испытания, проходившие до 25 марта, опять по</w:t>
      </w:r>
      <w:r w:rsidRPr="00142305">
        <w:rPr>
          <w:rFonts w:ascii="Times New Roman" w:hAnsi="Times New Roman"/>
          <w:color w:val="0070C0"/>
          <w:sz w:val="16"/>
          <w:szCs w:val="16"/>
        </w:rPr>
        <w:softHyphen/>
        <w:t>казали, что посадочная скорость уменьшилась, а допусти</w:t>
      </w:r>
      <w:r w:rsidRPr="00142305">
        <w:rPr>
          <w:rFonts w:ascii="Times New Roman" w:hAnsi="Times New Roman"/>
          <w:color w:val="0070C0"/>
          <w:sz w:val="16"/>
          <w:szCs w:val="16"/>
        </w:rPr>
        <w:softHyphen/>
        <w:t>мый угол атаки — увеличился. Разбег стал короче. Но мак</w:t>
      </w:r>
      <w:r w:rsidRPr="00142305">
        <w:rPr>
          <w:rFonts w:ascii="Times New Roman" w:hAnsi="Times New Roman"/>
          <w:color w:val="0070C0"/>
          <w:sz w:val="16"/>
          <w:szCs w:val="16"/>
        </w:rPr>
        <w:softHyphen/>
        <w:t>симальная скорость полета упала, а устойчивость с выпу</w:t>
      </w:r>
      <w:r w:rsidRPr="00142305">
        <w:rPr>
          <w:rFonts w:ascii="Times New Roman" w:hAnsi="Times New Roman"/>
          <w:color w:val="0070C0"/>
          <w:sz w:val="16"/>
          <w:szCs w:val="16"/>
        </w:rPr>
        <w:softHyphen/>
        <w:t>щенными закрылками стала существенно хуже, чем без них. Пришли к выводу, что для столь тихоходного само</w:t>
      </w:r>
      <w:r w:rsidRPr="00142305">
        <w:rPr>
          <w:rFonts w:ascii="Times New Roman" w:hAnsi="Times New Roman"/>
          <w:color w:val="0070C0"/>
          <w:sz w:val="16"/>
          <w:szCs w:val="16"/>
        </w:rPr>
        <w:softHyphen/>
        <w:t>лета, как Р-5, «разрезное» крыло существенного выигры</w:t>
      </w:r>
      <w:r w:rsidRPr="00142305">
        <w:rPr>
          <w:rFonts w:ascii="Times New Roman" w:hAnsi="Times New Roman"/>
          <w:color w:val="0070C0"/>
          <w:sz w:val="16"/>
          <w:szCs w:val="16"/>
        </w:rPr>
        <w:softHyphen/>
        <w:t>ша не даст. Для этого самолета сделали шасси с тормозны</w:t>
      </w:r>
      <w:r w:rsidRPr="00142305">
        <w:rPr>
          <w:rFonts w:ascii="Times New Roman" w:hAnsi="Times New Roman"/>
          <w:color w:val="0070C0"/>
          <w:sz w:val="16"/>
          <w:szCs w:val="16"/>
        </w:rPr>
        <w:softHyphen/>
        <w:t>ми колесами, но неизвестно, летал ли он с ним. Хотя в ав</w:t>
      </w:r>
      <w:r w:rsidRPr="00142305">
        <w:rPr>
          <w:rFonts w:ascii="Times New Roman" w:hAnsi="Times New Roman"/>
          <w:color w:val="0070C0"/>
          <w:sz w:val="16"/>
          <w:szCs w:val="16"/>
        </w:rPr>
        <w:softHyphen/>
        <w:t>густе I933 г. военные планировали постройку десяти таких машин для войсковых испытаний, в серийное производс</w:t>
      </w:r>
      <w:r w:rsidRPr="00142305">
        <w:rPr>
          <w:rFonts w:ascii="Times New Roman" w:hAnsi="Times New Roman"/>
          <w:color w:val="0070C0"/>
          <w:sz w:val="16"/>
          <w:szCs w:val="16"/>
        </w:rPr>
        <w:softHyphen/>
        <w:t>тво варианте разрезным крылом внедрять не стали. Работы по доводке второго самолета как экспериментального шли до августа 1934 г. (24990).</w:t>
      </w:r>
    </w:p>
    <w:p w14:paraId="072A6732" w14:textId="77777777" w:rsidR="00560CA8" w:rsidRPr="00142305" w:rsidRDefault="00560CA8" w:rsidP="00560CA8">
      <w:pPr>
        <w:spacing w:after="0" w:line="240" w:lineRule="auto"/>
        <w:jc w:val="both"/>
        <w:rPr>
          <w:rFonts w:ascii="Times New Roman" w:hAnsi="Times New Roman"/>
          <w:color w:val="0070C0"/>
          <w:sz w:val="16"/>
          <w:szCs w:val="16"/>
        </w:rPr>
      </w:pPr>
    </w:p>
    <w:p w14:paraId="298FF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состоялось совещание по вопросу планирования окончания работ по выпуску опытного ТБ-4 (1077,174).</w:t>
      </w:r>
    </w:p>
    <w:p w14:paraId="12017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E653CF" w14:textId="77777777" w:rsidR="005E4C16" w:rsidRPr="00E93F40" w:rsidRDefault="005E4C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в 1932 году основано ОАО "Долгопрудненское научно-производственное предприятие". ОАО ДНПП разработчик и серийный изготовитель зенитных управляемых ракет средней дальности 9М38М1, 9МЗ17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(14882).</w:t>
      </w:r>
    </w:p>
    <w:p w14:paraId="0B2A1E2B" w14:textId="77777777" w:rsidR="005E4C16" w:rsidRPr="00E93F40" w:rsidRDefault="005E4C16" w:rsidP="00E93F40">
      <w:pPr>
        <w:spacing w:after="0" w:line="240" w:lineRule="auto"/>
        <w:jc w:val="both"/>
        <w:rPr>
          <w:rFonts w:ascii="Times New Roman" w:hAnsi="Times New Roman"/>
          <w:color w:val="000000" w:themeColor="text1"/>
          <w:sz w:val="16"/>
          <w:szCs w:val="16"/>
        </w:rPr>
      </w:pPr>
    </w:p>
    <w:p w14:paraId="69D41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года на основании приказа начальника «Дирижаблестроя» за № 78 завод вступил в строй как самостоятельная единица.</w:t>
      </w:r>
    </w:p>
    <w:p w14:paraId="084FDD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 году производственная программа завода № 207 по производству дирижаблей изменилась и завод приступил к изготовлению опытных самолетов гл. конструктора Боронкова.</w:t>
      </w:r>
    </w:p>
    <w:p w14:paraId="7AF20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2A02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ГКО № 761сс от 8 сентября 1941 года и приказом НКАП № 1053сс от 4 января 1942 года завод № 207 со всем оборудованием и кадрами бл эвакуирован в Молотов, где был объединен с заводом № 135. С этого времени завод прекратил свое самостоятельное существование как завод № 207.</w:t>
      </w:r>
    </w:p>
    <w:p w14:paraId="451F0C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эвакуации на площадке завода, согласно приказу НКАП № 93с от 2 февраля 1942 года организуются авиаремонтные мастерские, которые используют частично оставленное оборудование. Мастерским присваивается наименование завод № 462 с профилем работ – ремонт самолетов. В 1943 году на заводе было освоено изготовление запчастей самолета МИГ-3. В 1943 году приказом НКАП № 416с от 14 июля на площадь завода № 462 был влит завод № 464, входящий в 11 Гл. управление НКАП. Объединенному заводу присваивается № 464 НКАП с программой выпуска самолетов ЯК-6.</w:t>
      </w:r>
    </w:p>
    <w:p w14:paraId="532450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же 1943 году Постановлением ГКО № 3977с от 25 августа и приказом НКАП № 516с от 27 августа завод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 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333DAD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60305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3A3F4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278779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13595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ст. Долгопрудная Московской области, п/я 1078. В 1953 году 28 марта в соответствии с Постановлением СМ приказом № 30сс МОП завод № 464 переходит из ведения МАП в МОП (9559).</w:t>
      </w:r>
    </w:p>
    <w:p w14:paraId="65BC6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13088C" w14:textId="77777777"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 вступил в строй завод № 62. К 6 ноября 1932 г. был построен первый самолет "Сталь-2" - шестиместный пассажирский самолет. Испытали его летчики-испытатели Я.Г.Пауль и В.В.Карпов (19602).</w:t>
      </w:r>
    </w:p>
    <w:p w14:paraId="3A3B97E9" w14:textId="77777777" w:rsidR="00C111EF" w:rsidRPr="00E93F40" w:rsidRDefault="00C111EF" w:rsidP="00E93F40">
      <w:pPr>
        <w:spacing w:after="0" w:line="240" w:lineRule="auto"/>
        <w:jc w:val="both"/>
        <w:rPr>
          <w:rFonts w:ascii="Times New Roman" w:hAnsi="Times New Roman"/>
          <w:color w:val="000000" w:themeColor="text1"/>
          <w:sz w:val="16"/>
          <w:szCs w:val="16"/>
        </w:rPr>
      </w:pPr>
    </w:p>
    <w:p w14:paraId="1B3F9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 после 3,5 месяцев строительства тушинский завод вступил в строй. К 6 ноября 1932 г. был построен первый самолет "Сталь-2" - шестиместный пассажирский самолет. Испытали его летчики-испытатели Я.Г.Пауль и В.В.Карпов. Тушинский машиностроительный завод был создан для производства самолетов "Сталь-2" и "Сталь-3" КБ А.И.Путилова, на которых впервые в самолетостроительной практике были применены элементы конструкции из нержавеющих сталей и сварочные технологии. Подобную попытку уже предпринимал в 1913 г. конструктор Орлов на машине "Орлов-1", однако дальше "подскоков" дело у него не пошло. В книге "История конструкции самолетов в СССР" В.Б.Шавров пишет: "В результате работы этого коллектива меньше чем через год, 11 октября 1932 г., был испытан в первом полете самолет "Сталь-2", пущенный в серийное производство на еще строившемся тогда заводе № 81. В 1933 г. туда же было переведено и ОКБ А.И.Путилова. "Сталь-2" - пассажирский подкосный высокоплан, кабина летчика закрыта фонарем, пассажирская кабина - четырехместная, с дверью в левом борту. Конструкция фюзеляжа в плоскостях бортов - ферменная, в остальных плоскостях -расчалочная. Все стержни представляли собой закрытые тонкостенные гофрированные профили из стали "Энерж-6". Применялись также профили четырехгранные с толщиной листов 0,8...1,0 мм. Круглые профили из листов 0,3...0,5 мм стягивались хомутиками от выпучивания, в четырехгранных (более сильных) стержнях делались внутренние рамки. Концы стержней - шарнирные в виде листовых ушков, приваренные точками к гофру труб.</w:t>
      </w:r>
    </w:p>
    <w:p w14:paraId="708BC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Лонжероны крыла - ферменные, полки их - наборные из гофрированных листов различной толщины на точечной сварке. Специальные закрытые профили (из листов 0,1...0,15 мм) были отработаны для нервюр крыла, оперения и каркаса под полотняную обтяжку.</w:t>
      </w:r>
    </w:p>
    <w:p w14:paraId="3CEEE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целом получилась конструкция более трудоемкая и дорогая, чем сварная ферма фюзеляжа из труб и деревянное крыло. Но преимущество в весе было неоспоримо. Весовая отдача самолета была высокой - 43 %. Серийный выпуск этих самолетов начался только с 1934 г.; за этот год было построено 87 самолетов, а всего их было выпущено 111 экземпляров. С 1935 г. он стал заменяться самолетом "Сталь-3".</w:t>
      </w:r>
    </w:p>
    <w:p w14:paraId="35684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самолете "Сталь-2" был установлен двигатель "Райт" в 300 л.с. Как небольшой пассажирский самолет "Сталь-2" себя оправдал. Один экземпляр, снабженный щитками типа "фрайз", назывался "Сталь-2 бис".</w:t>
      </w:r>
    </w:p>
    <w:p w14:paraId="7DC7A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"Сталь-3" представлял собой развитие самолета "Сталь-2" с двигателем М-22 в 480 л.с. Самолет восьмиместный (шесть пассажиров). Схема и конструкция -те же, но были введены щелевые элероны и закрылки, двойное управление, колеса - тормозные в обтекателях, кольца Тауненда на двигателе. Весовая отдача -41 %. Опытный самолет был выпущен в 1933 г. Серийных было сдано за 1935...1936 гг. 79 экземпляров. На нескольких самолетах был установлен М-17 (позже), но это особых преимуществ не дало. "Сталь-3" с успехом применялся на воздушных линиях до самой войны. Эксплуатация самолетов "Сталь-2" и "Сталь-3" показала, что они вполне удовлетворяют своему назначению" (11200).</w:t>
      </w:r>
    </w:p>
    <w:p w14:paraId="6F72C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CD8C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года постановление РВС "О работе Остехбюро"</w:t>
      </w:r>
    </w:p>
    <w:p w14:paraId="088571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Заслушав доклад Бекаури о работе Остехбюро, РВС постановляет:</w:t>
      </w:r>
    </w:p>
    <w:p w14:paraId="02631F5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Одобрить проделанную Остехбюро работу в области изобретения, разработки новых видов вооружения и способов их использования в РККА, значительно усиливающих обороноспособность Союза. Констатировать инициативу и большие достижения в областях:</w:t>
      </w:r>
    </w:p>
    <w:p w14:paraId="2FB55D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торпедного и минного оружия и его использования; высокое торпедометание и минометание (ВВС и ВОМИЗА), "ВС" 21" торпеда, торпеда с неконтактным взрывателем, мины образца 1926 г. и 1931 г., антенные мины, речная мина с неконтактным взрывателем, противопараванный прибор "Х" и др.;</w:t>
      </w:r>
    </w:p>
    <w:p w14:paraId="5BD04F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телемеханики: сухопутной (приборы "БЕМИ"), морской (радиоуправляемые катера) и авиационной (бомбосбрасыватель); радиосвязи (пьезокварцевый приемник, радиостанции и УКВ);</w:t>
      </w:r>
    </w:p>
    <w:p w14:paraId="61979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тяжелых авиабомб – бронебойных и фугасных (250, 500, 1000 и 2000 кг), дистанционных взрывателей авиабомб, дистанционных фосфорных авиабомб;</w:t>
      </w:r>
    </w:p>
    <w:p w14:paraId="10AD4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авиатранспорта (артиллерии, автомобилей и др. боевых объектов);</w:t>
      </w:r>
    </w:p>
    <w:p w14:paraId="62223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Создание крупной научно-экспериментальной и производственной базы (лаборатории, мастерские, расширение завода "Двигатель" с остановкой на нем производства крупнокалиберных торпед, постройка нового завода, создание плавучих средств и др.);</w:t>
      </w:r>
    </w:p>
    <w:p w14:paraId="55E07F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проявление инициативы заказа и постройки первых в СССР тяжелых бомбовозов (ТБ-1, ТБ-3 и ТБ-4) по выработанным Остехбюро заданиям ……………………………….(7417, 6-7).</w:t>
      </w:r>
    </w:p>
    <w:p w14:paraId="20909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271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года на заседании Реввоенсовета СССР отмечалось, что деятельность Остехбюро значительно усиливает обороноспособность СССР. Особо отмечалась инициатива Остехбюро по выдаче задания ЦАГИ на постройку первых советских тяжелых бомбовозов "ТБ-1", "ТБ-3", "ТБ-4". Финансировались эти работы Остехбюро (10737).</w:t>
      </w:r>
    </w:p>
    <w:p w14:paraId="284E13C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658F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5 мая 1932 начались дополнительные испытания высокой торпеды 10/15 и они шли до 10 июня, когда ЧФ отобрал корабли. За это время смогли выполнить только один из семи запланированных сбросов торпед, но вышло неудачно, так как главный парашют не сработал и торпеда разбилась о воду (1966,10).</w:t>
      </w:r>
    </w:p>
    <w:p w14:paraId="2DFC5F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D78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5 мая по 8 июня 1932 в Каче проводились постановки мин МАВ-1 с ТБ-1. Летали Лунин и Синеокий. От НИИ ВВС обычно был Тронза (3413,12).</w:t>
      </w:r>
    </w:p>
    <w:p w14:paraId="777783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0B80FE" w14:textId="77777777" w:rsidR="001E30C2" w:rsidRPr="00E93F40" w:rsidRDefault="001E30C2" w:rsidP="00E93F40">
      <w:pPr>
        <w:pStyle w:val="a3"/>
        <w:rPr>
          <w:color w:val="000000" w:themeColor="text1"/>
          <w:lang w:val="ru-RU"/>
        </w:rPr>
      </w:pPr>
      <w:r w:rsidRPr="00E93F40">
        <w:rPr>
          <w:color w:val="000000" w:themeColor="text1"/>
          <w:lang w:val="ru-RU"/>
        </w:rPr>
        <w:t>5 мая 1932, опережая события в явном стрем</w:t>
      </w:r>
      <w:r w:rsidRPr="00E93F40">
        <w:rPr>
          <w:color w:val="000000" w:themeColor="text1"/>
          <w:lang w:val="ru-RU"/>
        </w:rPr>
        <w:softHyphen/>
        <w:t>лении выдать желаемое за действительное, руководство ГУ ГВФ рапортует о вводе» НИК по ОС и ЭД «Дирижаблестрой» в число действующих предприятий.</w:t>
      </w:r>
    </w:p>
    <w:p w14:paraId="37606EE9" w14:textId="77777777" w:rsidR="001E30C2" w:rsidRPr="00E93F40" w:rsidRDefault="001E30C2" w:rsidP="00E93F40">
      <w:pPr>
        <w:pStyle w:val="a3"/>
        <w:rPr>
          <w:color w:val="000000" w:themeColor="text1"/>
          <w:lang w:val="ru-RU"/>
        </w:rPr>
      </w:pPr>
      <w:r w:rsidRPr="00E93F40">
        <w:rPr>
          <w:color w:val="000000" w:themeColor="text1"/>
          <w:lang w:val="ru-RU"/>
        </w:rPr>
        <w:t>Спешно ему передаются все четыре корабля мягкой конструкции, изготовленные ктому времени в Москве и собранные в 1931-1932 гг. на Волковом поле в Ленинграде:</w:t>
      </w:r>
    </w:p>
    <w:p w14:paraId="098BA3EF" w14:textId="77777777" w:rsidR="001E30C2" w:rsidRPr="00E93F40" w:rsidRDefault="001E30C2" w:rsidP="00E93F40">
      <w:pPr>
        <w:pStyle w:val="a3"/>
        <w:widowControl/>
        <w:numPr>
          <w:ilvl w:val="0"/>
          <w:numId w:val="1"/>
        </w:numPr>
        <w:tabs>
          <w:tab w:val="left" w:pos="409"/>
        </w:tabs>
        <w:autoSpaceDE/>
        <w:autoSpaceDN/>
        <w:adjustRightInd/>
        <w:rPr>
          <w:color w:val="000000" w:themeColor="text1"/>
          <w:lang w:val="ru-RU"/>
        </w:rPr>
      </w:pPr>
      <w:r w:rsidRPr="00E93F40">
        <w:rPr>
          <w:color w:val="000000" w:themeColor="text1"/>
          <w:lang w:val="ru-RU"/>
        </w:rPr>
        <w:t>«Комсомольская правда», реконстру</w:t>
      </w:r>
      <w:r w:rsidRPr="00E93F40">
        <w:rPr>
          <w:color w:val="000000" w:themeColor="text1"/>
          <w:lang w:val="ru-RU"/>
        </w:rPr>
        <w:softHyphen/>
        <w:t>ированный бывший «Московский химик- резинщик» (объем - 2550 м</w:t>
      </w:r>
      <w:r w:rsidRPr="00E93F40">
        <w:rPr>
          <w:color w:val="000000" w:themeColor="text1"/>
          <w:vertAlign w:val="superscript"/>
          <w:lang w:val="ru-RU"/>
        </w:rPr>
        <w:t>3</w:t>
      </w:r>
      <w:r w:rsidRPr="00E93F40">
        <w:rPr>
          <w:color w:val="000000" w:themeColor="text1"/>
          <w:lang w:val="ru-RU"/>
        </w:rPr>
        <w:t>, длина - 47,5 м);</w:t>
      </w:r>
    </w:p>
    <w:p w14:paraId="4D1CBFA5" w14:textId="77777777" w:rsidR="001E30C2" w:rsidRPr="00E93F40" w:rsidRDefault="001E30C2" w:rsidP="00E93F40">
      <w:pPr>
        <w:pStyle w:val="a3"/>
        <w:widowControl/>
        <w:numPr>
          <w:ilvl w:val="0"/>
          <w:numId w:val="1"/>
        </w:numPr>
        <w:tabs>
          <w:tab w:val="left" w:pos="423"/>
        </w:tabs>
        <w:autoSpaceDE/>
        <w:autoSpaceDN/>
        <w:adjustRightInd/>
        <w:rPr>
          <w:color w:val="000000" w:themeColor="text1"/>
          <w:lang w:val="ru-RU"/>
        </w:rPr>
      </w:pPr>
      <w:r w:rsidRPr="00E93F40">
        <w:rPr>
          <w:color w:val="000000" w:themeColor="text1"/>
          <w:lang w:val="ru-RU"/>
        </w:rPr>
        <w:t>СССР В-1 (объем - 2265 м</w:t>
      </w:r>
      <w:r w:rsidRPr="00E93F40">
        <w:rPr>
          <w:color w:val="000000" w:themeColor="text1"/>
          <w:vertAlign w:val="superscript"/>
          <w:lang w:val="ru-RU"/>
        </w:rPr>
        <w:t>3</w:t>
      </w:r>
      <w:r w:rsidRPr="00E93F40">
        <w:rPr>
          <w:color w:val="000000" w:themeColor="text1"/>
          <w:lang w:val="ru-RU"/>
        </w:rPr>
        <w:t>, длина - 45,0 м);</w:t>
      </w:r>
    </w:p>
    <w:p w14:paraId="62F10324" w14:textId="77777777" w:rsidR="001E30C2" w:rsidRPr="00E93F40" w:rsidRDefault="001E30C2" w:rsidP="00E93F40">
      <w:pPr>
        <w:pStyle w:val="a3"/>
        <w:widowControl/>
        <w:numPr>
          <w:ilvl w:val="0"/>
          <w:numId w:val="1"/>
        </w:numPr>
        <w:tabs>
          <w:tab w:val="left" w:pos="447"/>
        </w:tabs>
        <w:autoSpaceDE/>
        <w:autoSpaceDN/>
        <w:adjustRightInd/>
        <w:rPr>
          <w:color w:val="000000" w:themeColor="text1"/>
          <w:lang w:val="ru-RU"/>
        </w:rPr>
      </w:pPr>
      <w:r w:rsidRPr="00E93F40">
        <w:rPr>
          <w:color w:val="000000" w:themeColor="text1"/>
          <w:lang w:val="ru-RU"/>
        </w:rPr>
        <w:t>СССР В-2 «Смольный» (объем - 5100 м</w:t>
      </w:r>
      <w:r w:rsidRPr="00E93F40">
        <w:rPr>
          <w:color w:val="000000" w:themeColor="text1"/>
          <w:vertAlign w:val="superscript"/>
          <w:lang w:val="ru-RU"/>
        </w:rPr>
        <w:t>3</w:t>
      </w:r>
      <w:r w:rsidRPr="00E93F40">
        <w:rPr>
          <w:color w:val="000000" w:themeColor="text1"/>
          <w:lang w:val="ru-RU"/>
        </w:rPr>
        <w:t>, длина-58,1 м);</w:t>
      </w:r>
    </w:p>
    <w:p w14:paraId="531272FD" w14:textId="77777777" w:rsidR="001E30C2" w:rsidRPr="00E93F40" w:rsidRDefault="001E30C2" w:rsidP="00E93F40">
      <w:pPr>
        <w:pStyle w:val="a3"/>
        <w:widowControl/>
        <w:numPr>
          <w:ilvl w:val="0"/>
          <w:numId w:val="1"/>
        </w:numPr>
        <w:tabs>
          <w:tab w:val="left" w:pos="404"/>
        </w:tabs>
        <w:autoSpaceDE/>
        <w:autoSpaceDN/>
        <w:adjustRightInd/>
        <w:rPr>
          <w:color w:val="000000" w:themeColor="text1"/>
          <w:lang w:val="ru-RU"/>
        </w:rPr>
      </w:pPr>
      <w:r w:rsidRPr="00E93F40">
        <w:rPr>
          <w:color w:val="000000" w:themeColor="text1"/>
          <w:lang w:val="ru-RU"/>
        </w:rPr>
        <w:t>СССР В-3 «Ударник» (объем - 6500 м</w:t>
      </w:r>
      <w:r w:rsidRPr="00E93F40">
        <w:rPr>
          <w:color w:val="000000" w:themeColor="text1"/>
          <w:vertAlign w:val="superscript"/>
          <w:lang w:val="ru-RU"/>
        </w:rPr>
        <w:t>3</w:t>
      </w:r>
      <w:r w:rsidRPr="00E93F40">
        <w:rPr>
          <w:color w:val="000000" w:themeColor="text1"/>
          <w:lang w:val="ru-RU"/>
        </w:rPr>
        <w:t>, длина-63,5 м).</w:t>
      </w:r>
    </w:p>
    <w:p w14:paraId="05D237DE" w14:textId="77777777" w:rsidR="001E30C2" w:rsidRPr="00E93F40" w:rsidRDefault="001E30C2" w:rsidP="00E93F40">
      <w:pPr>
        <w:pStyle w:val="a3"/>
        <w:rPr>
          <w:rStyle w:val="74"/>
          <w:rFonts w:ascii="Times New Roman" w:hAnsi="Times New Roman" w:cs="Times New Roman"/>
          <w:i w:val="0"/>
          <w:color w:val="000000" w:themeColor="text1"/>
          <w:sz w:val="16"/>
          <w:szCs w:val="16"/>
          <w:lang w:val="ru-RU"/>
        </w:rPr>
      </w:pPr>
      <w:r w:rsidRPr="00E93F40">
        <w:rPr>
          <w:color w:val="000000" w:themeColor="text1"/>
          <w:lang w:val="ru-RU"/>
        </w:rPr>
        <w:t>О многочисленных аварийных ситуациях с полетами этих кораблей говорят рапорты и докладные записки заместителей на</w:t>
      </w:r>
      <w:r w:rsidRPr="00E93F40">
        <w:rPr>
          <w:color w:val="000000" w:themeColor="text1"/>
          <w:lang w:val="ru-RU"/>
        </w:rPr>
        <w:softHyphen/>
        <w:t>чальника порта дирижаблей Венфельда, Соловьева, Тарапкина в адрес начальника «Дирижаблестроя» П.М. Пурмаля и его откровенная резолюция:</w:t>
      </w:r>
      <w:r w:rsidRPr="00E93F40">
        <w:rPr>
          <w:rStyle w:val="74"/>
          <w:rFonts w:ascii="Times New Roman" w:hAnsi="Times New Roman" w:cs="Times New Roman"/>
          <w:i w:val="0"/>
          <w:color w:val="000000" w:themeColor="text1"/>
          <w:sz w:val="16"/>
          <w:szCs w:val="16"/>
          <w:lang w:val="ru-RU"/>
        </w:rPr>
        <w:t xml:space="preserve"> «...Много глупой беллетристики... Что же касается по суще</w:t>
      </w:r>
      <w:r w:rsidRPr="00E93F40">
        <w:rPr>
          <w:rStyle w:val="74"/>
          <w:rFonts w:ascii="Times New Roman" w:hAnsi="Times New Roman" w:cs="Times New Roman"/>
          <w:i w:val="0"/>
          <w:color w:val="000000" w:themeColor="text1"/>
          <w:sz w:val="16"/>
          <w:szCs w:val="16"/>
          <w:lang w:val="ru-RU"/>
        </w:rPr>
        <w:softHyphen/>
        <w:t>ству дела, товарищи во многих высказанных установках правы - эксплуатация у нас больное место» (12732).</w:t>
      </w:r>
    </w:p>
    <w:p w14:paraId="6CB5FEF6" w14:textId="77777777" w:rsidR="001E30C2" w:rsidRPr="00E93F40" w:rsidRDefault="001E30C2" w:rsidP="00E93F40">
      <w:pPr>
        <w:pStyle w:val="a3"/>
        <w:rPr>
          <w:color w:val="000000" w:themeColor="text1"/>
          <w:lang w:val="ru-RU"/>
        </w:rPr>
      </w:pPr>
    </w:p>
    <w:p w14:paraId="1D030FD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9846BB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257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г. Приказом Реввоенсовета СССР № 30 от 45-мм ПТП обр. 1932 г. была введена на вооружение РККА. Одновременно Реввоенсовет обязал завод № 8 в течение 2-3-х месяцев прекратить производство 37-мм ПТП обр. 1930 г. и организовать выпуск 45-мм ПТП (3861).</w:t>
      </w:r>
    </w:p>
    <w:p w14:paraId="20F698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36D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было создани КБ ГАУ, в дальнейшем НИИ-5 ГАУ МО</w:t>
      </w:r>
    </w:p>
    <w:p w14:paraId="65905E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1967 г. институт определен головным по АСУ «Скат» для КИК (гл. конструктор- Н.Н. Никитин, затем- И.К. Филатов; 1-й зам. гл. конструктора- Я.Я. Сиробаба).</w:t>
      </w:r>
    </w:p>
    <w:p w14:paraId="6E90B8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1970-е г. отвечал за наземные пункты автоматизированных систем управления ПВО.</w:t>
      </w:r>
    </w:p>
    <w:p w14:paraId="41117F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Головное предприятие по созданию территориальных автоматизированных систем управления и комплексов средств автоматизации для ВВС, ВМФ, ПВО, ГА (2004 г.). </w:t>
      </w:r>
    </w:p>
    <w:p w14:paraId="57593E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Входит в МФПГ «Оборонительные системы», в 2002 г. вошел в Концерн «Алмаз-Антей». По решению правительства № 22-р от 9.01.2004 г. и Указу Президента РФ № 1009 от 4.08.2004 г. ОАО вошло в число стратегических оборонных предприятий.</w:t>
      </w:r>
    </w:p>
    <w:p w14:paraId="15BF31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А.Л. Лившиц, В.А. Шабалин.</w:t>
      </w:r>
    </w:p>
    <w:p w14:paraId="62E67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(1970-е)- полковник И.К. Филатов.</w:t>
      </w:r>
    </w:p>
    <w:p w14:paraId="3D89B3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Научный руководитель (1970-е)- Лившиц.79 </w:t>
      </w:r>
    </w:p>
    <w:p w14:paraId="66AD10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конструкторы: (1967 г.)- Н.Н. Никитин, (1967 г.)- А.В. Кожухарев («Скат-Ц»), (1967 г.)- В.А. Стекольников («Скат-П»), (1970-е)- И.К. Филатов («Скат»).</w:t>
      </w:r>
    </w:p>
    <w:p w14:paraId="186D8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Работали: В.С. Верних, Т.В. Голенко, В.В. Муханов, Э.Ф. Назаров, И.Е. Новиков, Л.Н. Панчева, В.А. Пашкевич, Р.М. Серебряков, С.Т. Строганова, А.С. Ярыгин; (1962 г.)- Н.А. Калашников, А.М. Маркус, А.Г. Панин, Е.В. Фролов, Ж.С. Шахназаров; (-1971-73 г.-)- И.В. Безхмельнов, Е.Д. Монюшко, Б.М. Федотов, Ф.Ф. Черненко, А.З. Шостак; (1976 г.)- В.З. Авсеев, А.М. Бойкевич, В.Г. Захаров, В.Н. Петренко, С.С. Свердлов.</w:t>
      </w:r>
    </w:p>
    <w:p w14:paraId="3D07DA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Создано: ЭВМ: «Спектр-4» для наведения перехватчиков (1960); специальное вычислительное устройство (СВУ) «Кристалл» 5Э94 (1962), спецвычислители СВ, СВ-1, -2, -3, -4, -ГУ (1976); управляющий вычислительный комплекс «Гранит» 5Э75-П1 для ПВО (1971), «Гранит» 5Э75-С1 (1973); КП зенитной бригады «Байкал-1Э»; АСУ полка ПВО 54К6Е2 (1997).63 </w:t>
      </w:r>
    </w:p>
    <w:p w14:paraId="71469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НИИ-5 ГАУ МО, Московский НИИ Приборной автоматики (МНИИПА) МРП, ОАО «МНИИПА» </w:t>
      </w:r>
    </w:p>
    <w:p w14:paraId="3D747B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111250 г. Москва ул. Красноказарменная, 14А тел. 361-55-88 (10776).</w:t>
      </w:r>
    </w:p>
    <w:p w14:paraId="38B31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CEEDE5"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28948D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BBB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был сформирован первый отдельный пограничный КПП аэропорта в Москве (3398,12).</w:t>
      </w:r>
    </w:p>
    <w:p w14:paraId="466758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944EEA" w14:textId="77777777" w:rsidR="004F5D91" w:rsidRPr="00E93F40" w:rsidRDefault="004F5D91"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4A44D22" w14:textId="77777777" w:rsidR="004F5D91" w:rsidRPr="00E93F40" w:rsidRDefault="004F5D9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452795"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опросом членов ПБ</w:t>
      </w:r>
    </w:p>
    <w:p w14:paraId="460C4CAE"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33/1.-О Туриции</w:t>
      </w:r>
    </w:p>
    <w:p w14:paraId="60E688F9"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Отпустить турецкой делегации, в виде подарка от СССР турецкому правительству, машины нашего производства:</w:t>
      </w:r>
    </w:p>
    <w:p w14:paraId="0721A987"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5 танкеток с пулеметами.</w:t>
      </w:r>
    </w:p>
    <w:p w14:paraId="31715731"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2 танка Виккерса с пулеметами.</w:t>
      </w:r>
    </w:p>
    <w:p w14:paraId="642AC0A6"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 машино-тракторную станцию в виде 10 тракторов с прицепным инвентарем (плуги простые, сеялки простые, уборочные машины и т.д.).</w:t>
      </w:r>
    </w:p>
    <w:p w14:paraId="572D95F1"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2 грузовика и 1 автобус автозавода Сталина.</w:t>
      </w:r>
    </w:p>
    <w:p w14:paraId="0ADE1F23"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Организацию этого дела поручить т.т. Ворошилову и Яковлеву.</w:t>
      </w:r>
    </w:p>
    <w:p w14:paraId="065D3A5D"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Ворошилову,Яковлеву.</w:t>
      </w:r>
    </w:p>
    <w:p w14:paraId="4194C18D"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1932 состоялось заседание ПБ (Протокол № 99) (23044).</w:t>
      </w:r>
    </w:p>
    <w:p w14:paraId="02D207CE" w14:textId="77777777" w:rsidR="004F5D91" w:rsidRPr="00E93F40" w:rsidRDefault="004F5D91" w:rsidP="00E93F40">
      <w:pPr>
        <w:spacing w:after="0" w:line="240" w:lineRule="auto"/>
        <w:jc w:val="both"/>
        <w:rPr>
          <w:rFonts w:ascii="Times New Roman" w:hAnsi="Times New Roman"/>
          <w:color w:val="000000" w:themeColor="text1"/>
          <w:sz w:val="16"/>
          <w:szCs w:val="16"/>
        </w:rPr>
      </w:pPr>
    </w:p>
    <w:p w14:paraId="2FC71B86" w14:textId="77777777" w:rsidR="00EE6152" w:rsidRPr="00E93F40" w:rsidRDefault="00EE615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477A133" w14:textId="77777777" w:rsidR="00EE6152" w:rsidRPr="00E93F40" w:rsidRDefault="00EE615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981C5C" w14:textId="77777777" w:rsidR="00EE6152" w:rsidRPr="00E93F40" w:rsidRDefault="00EE61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мая 1932 года впервые прозвучало пожелание НИИ ВВС получить у ТБ-7 скорость 300 км/ч на высоте 7000 м и потолок не ниже 9000 м. При ударах по фронтовым целям бомбовый груз теперь хотели иметь 25 т, а по тыловым с радиусом 2000 км — 2 т (22833).</w:t>
      </w:r>
    </w:p>
    <w:p w14:paraId="7D84B615" w14:textId="77777777" w:rsidR="00EE6152" w:rsidRPr="00E93F40" w:rsidRDefault="00EE6152" w:rsidP="00E93F40">
      <w:pPr>
        <w:spacing w:after="0" w:line="240" w:lineRule="auto"/>
        <w:jc w:val="both"/>
        <w:rPr>
          <w:rFonts w:ascii="Times New Roman" w:hAnsi="Times New Roman"/>
          <w:color w:val="000000" w:themeColor="text1"/>
          <w:sz w:val="16"/>
          <w:szCs w:val="16"/>
        </w:rPr>
      </w:pPr>
    </w:p>
    <w:p w14:paraId="05ADDCB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9F9E8D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668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мая 1932 г. вышел отчет НИАПа по испытаниям 122-мм пушки и опытный образец был отправлен на доработку. Доработку вначале производило КБ ВОАО , а после его расформирования ГКБ-38 (ГКБ-38 главное конструкторское бюро завода № 38.). В 1933 году в ГКБ-38 были разработаны чертежи опытной серии пушек и присвоен индекс А-19 (А это индекс ГКБ-38) (3861).</w:t>
      </w:r>
    </w:p>
    <w:p w14:paraId="0FD937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2234E2" w14:textId="77777777" w:rsidR="00AB5D50" w:rsidRPr="00E93F40" w:rsidRDefault="00AB5D5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мая 1932 года, когда с мест пришли сведения о плохом проведении весенних полевых работ, СНК СССР и ЦК ВКПб постановлением от снизили план заготовок. План заготовок был утвержден для колхозов и единоличников (СССР в целом) в 18,5 млн. т на 10% ниже чем план. Одновременно повышались планы хлевозаготовок для совхозов с 1,7 до 2,5 млн тонн. ЦК не только снизил план зоготовок, но и разрешил колхозам и крестьянам торговать зерном на рынке на основе рыночных цен, чтобы дать возможность крестьянам продавать зерно по свободным рыночным ценам после выполнения плана хлебозаготовок. Многие даже думали, что декрет 6 мая означал введение нового НЭПа так как он разрешал свободную торговлю. Все надеялись, что свободная торговля нормализует снабжение городов продовольствием, но это были совершенно необоснованные надежды. Поэтому вполне можно согласиться с мнением М. Таугера - правительство искало компромиса с крестьянами.</w:t>
      </w:r>
    </w:p>
    <w:p w14:paraId="0A53944D" w14:textId="77777777" w:rsidR="00AB5D50" w:rsidRPr="00E93F40" w:rsidRDefault="00AB5D5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В 1928 г. доля хлебозаготовок составляла 14,7% валового сбора, в 1929 г. - 22,4, в 1930 г. - 26,5, в 1931 г. - 32,9, а в 1932 г. - 26,9%. Последняя цифра - из сборника «Сельское хозяйство СССР. Ежегодник 1935 г.». Низкий урожай 1931 года вынудил правительство снизить экспорт зерна с 5,2 млн т в 1931 году до 1,73 млн тонн в 1932 году (это календарные годы). Думалось, что хороший урожай зерна позволит больше его продать и спасти страну, находящуюся в глубоком кризисе (17264).</w:t>
      </w:r>
    </w:p>
    <w:p w14:paraId="436D0B6A" w14:textId="77777777" w:rsidR="00AB5D50" w:rsidRPr="00E93F40" w:rsidRDefault="00AB5D5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5BB940" w14:textId="77777777" w:rsidR="00C111EF" w:rsidRPr="00E93F40" w:rsidRDefault="00C111E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5EDE9AA0" w14:textId="77777777" w:rsidR="00C111EF" w:rsidRPr="00E93F40" w:rsidRDefault="00C111E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CDEC5D1" w14:textId="56056D8E"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мая 1932 г. на квартире К.Е. Ворошилова состоялась беседа, на которой с советской стороны присутствовали И.В. Сталин, В.М. Молотов, Л.М. Карахан, Я.З. Суриц, с турецкой - Исмет Иненю, мининдел Т.Р. Арас. Во время беседы было достигнуто принципиальное соглашение о предоставлении Турции кредита на 8 млн. ам. долл. сроком на 20 лет с ежегодными платежом турецкими товарами. Из этой суммы 4 млн. выделялось на военное оборудование, 1493 тыс.- на текстильный комбинат в Кайсери, 500 тыс. - на автобус для Анкары, 1500 - на строительство текстильного комбината в Назилли (18511).</w:t>
      </w:r>
      <w:r w:rsidR="007C1411" w:rsidRPr="00E93F40">
        <w:rPr>
          <w:rFonts w:ascii="Times New Roman" w:hAnsi="Times New Roman"/>
          <w:color w:val="000000" w:themeColor="text1"/>
          <w:sz w:val="16"/>
          <w:szCs w:val="16"/>
        </w:rPr>
        <w:t xml:space="preserve"> </w:t>
      </w:r>
    </w:p>
    <w:p w14:paraId="2957A6AA" w14:textId="77777777" w:rsidR="00C111EF" w:rsidRPr="00E93F40" w:rsidRDefault="00C111EF" w:rsidP="00E93F40">
      <w:pPr>
        <w:spacing w:after="0" w:line="240" w:lineRule="auto"/>
        <w:jc w:val="both"/>
        <w:rPr>
          <w:rFonts w:ascii="Times New Roman" w:hAnsi="Times New Roman"/>
          <w:color w:val="000000" w:themeColor="text1"/>
          <w:sz w:val="16"/>
          <w:szCs w:val="16"/>
        </w:rPr>
      </w:pPr>
    </w:p>
    <w:p w14:paraId="3D9DA1BF"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мая 1932 г. на квартире К.Е. Ворошилова состоялась беседа, на которой кроме него с советской стороны присутствовали И.В. Сталин, В.М. Молотов, Л.М. Карахан, Я.З. Суриц, а с турецкой – Исмет-паша, Тевфик Рюштю-бей, Хусейн Рагиб-бей. Было достигнуто принципиальное соглашение о предоставлении Советским союзом Турции беспроцентного кредита в размере 8 млн долларов сроком на 20 лет. В 1933 г. советское правительство подарило Турции три самолета Р-5 вместе с одним АНТ-9. Они использовались турецкими ВВС как учебно-тренировочные машины в течение нескольких лет11. В ответ на визит турецкой делегации с 26 октября по 9 ноября 1933 г.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(24334).</w:t>
      </w:r>
    </w:p>
    <w:p w14:paraId="6352EC09" w14:textId="77777777" w:rsidR="004F5D91" w:rsidRPr="00E93F40" w:rsidRDefault="004F5D91" w:rsidP="00E93F40">
      <w:pPr>
        <w:spacing w:after="0" w:line="240" w:lineRule="auto"/>
        <w:jc w:val="both"/>
        <w:rPr>
          <w:rFonts w:ascii="Times New Roman" w:hAnsi="Times New Roman"/>
          <w:color w:val="000000" w:themeColor="text1"/>
          <w:sz w:val="16"/>
          <w:szCs w:val="16"/>
        </w:rPr>
      </w:pPr>
    </w:p>
    <w:p w14:paraId="22A1830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92C710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F89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мая 1932 Поль Думер, президент Франции был ранен в ходе покушения и погиб на следующий день (3186). Ранил русский эмигрант, умер 7 и 10 мая новым президентом стал А.Лебрен (3907,172).</w:t>
      </w:r>
    </w:p>
    <w:p w14:paraId="65101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968D0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мая 1932 в Париже русским террористом Павлом Гаргаловым убит президент Франции Поль Думье (4962).</w:t>
      </w:r>
    </w:p>
    <w:p w14:paraId="6BAE49D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2E12C" w14:textId="77777777" w:rsidR="007F0BB4" w:rsidRPr="00E93F40" w:rsidRDefault="007F0B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мая в 1932 году в Париже русским анархистом Павлом Гаргуловым убит президент Франции Поль Думье. Русский эмигрант Павел Горгулов застрелил 75-летнего президента Франции Поля Думера на торжественном открытии благотворительной книжной ярмарки ветеранов Первой мировой войны. Горгулов пришел на ярмарку с пригласительным билетом на имя «ветерана-писателя Поля Бреда». «Поль Бред» - это был его литературный псевдоним, под которым он издал во Франции свои романы - «Сын» и «Казак». Ярмарку открывал президент республики Поль Думер, потерявший на этой войне четырёх сыновей. Горгулов отправил его на встречу с ними, выстрелив несколько раз с близкого расстояния из автоматического револьвера «Браунинг 6,35». Одним из выстрелов он зацепил писателя Клода Фаррера, у которого незадолго до этого купил книгу и взял на ней автограф. Потерявший сознание Думер был доставлен в госпиталь, где во время операции пришёл в себя и спросил: «Что со мной случилось?» Ему ответили: «Вы попали в автомобильную аварию». — «Надо же, я ничего не заметил!» — сказал Думер, вновь впал в забытье и скончался в 4 часа утра 7 мая.</w:t>
      </w:r>
    </w:p>
    <w:p w14:paraId="3E950D68" w14:textId="77777777" w:rsidR="007F0BB4" w:rsidRPr="00E93F40" w:rsidRDefault="007F0B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Убийца был избит окружающими и задержан на месте преступления, при этом он выкрикивал свой любимый лозунг: «Фиалка победит машину!». На допросе Горгулов представился главой «русской фашистской партии зеленых» и заявил, что стрелял в Думера «из ненависти к евреям, большевикам и их французским приспешникам». В ходе обыска у него дома изъяли программу «фашистской партии зеленых», в которой излагался план свержения большевизма в России путём восстания «зеленых братьев» (то есть крестьян) при политической и военной поддержке европейских государств. После этого он должен был стать диктатором Всероссийской Национальной Республики. Но его планам мешал Думер, как лидер Франции – страны, которая поддерживает большевиков, торгуя с ними.</w:t>
      </w:r>
    </w:p>
    <w:p w14:paraId="77302000" w14:textId="77777777" w:rsidR="007F0BB4" w:rsidRPr="00E93F40" w:rsidRDefault="007F0B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своем последнем слове на суде Горгулов назвал себя «одиноким одичавшим скифом» и заявил, что никто не может его судить, поскольку судья – в его собственном сердце. Однако присяжные были иного мнения и единогласно вынесли смертный приговор. Адвокат плакал – он был убежден в том, что казнят безумца, не отвечающего за свои действия. Но прокурор заявил: «Впечатление безумного, производимое обвиняемым, объясняется его национальностью». На рассвете 15 сентября 1932 года приговор привели в исполнение. По пути к гильотине Горгулов пел «Варшавянку» (14883).</w:t>
      </w:r>
    </w:p>
    <w:p w14:paraId="0C489C4F" w14:textId="77777777" w:rsidR="007F0BB4" w:rsidRPr="00E93F40" w:rsidRDefault="007F0BB4" w:rsidP="00E93F40">
      <w:pPr>
        <w:spacing w:after="0" w:line="240" w:lineRule="auto"/>
        <w:jc w:val="both"/>
        <w:rPr>
          <w:rFonts w:ascii="Times New Roman" w:hAnsi="Times New Roman"/>
          <w:color w:val="000000" w:themeColor="text1"/>
          <w:sz w:val="16"/>
          <w:szCs w:val="16"/>
        </w:rPr>
      </w:pPr>
    </w:p>
    <w:p w14:paraId="58A1435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DA2174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631B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начала мая 1932 года проходили испытания серийных 76,2-мм капонирных лафетов обр. 1932 г., изготовленных заводом "Красный Профинтерн" и № 7 (в марте 1932 года завод № 7 получил заказ на 210 установок, которые были сданы до конца года). Большая часть установок была произведена заводом № 7. Так, </w:t>
      </w:r>
    </w:p>
    <w:p w14:paraId="0B3496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E5CA5A"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начала мая 1932 г. приступили к испытанию новой установ</w:t>
      </w:r>
      <w:r w:rsidRPr="00142305">
        <w:rPr>
          <w:rStyle w:val="aff"/>
          <w:rFonts w:ascii="Times New Roman" w:hAnsi="Times New Roman" w:cs="Times New Roman"/>
          <w:color w:val="0070C0"/>
          <w:spacing w:val="0"/>
          <w:sz w:val="16"/>
          <w:szCs w:val="16"/>
        </w:rPr>
        <w:softHyphen/>
        <w:t>ки для УРов, созданной на базе капонирной установки Путиловского заво</w:t>
      </w:r>
      <w:r w:rsidRPr="00142305">
        <w:rPr>
          <w:rStyle w:val="aff"/>
          <w:rFonts w:ascii="Times New Roman" w:hAnsi="Times New Roman" w:cs="Times New Roman"/>
          <w:color w:val="0070C0"/>
          <w:spacing w:val="0"/>
          <w:sz w:val="16"/>
          <w:szCs w:val="16"/>
        </w:rPr>
        <w:softHyphen/>
        <w:t>да обр. 1913 г. Пушка помещалась в боевом каземате капонира (полукапонира) площадью 3 х 2,3 м и высотой 2 м. В передней стенке каземата имелась амбразура прямоугольного сечения. Сфе</w:t>
      </w:r>
      <w:r w:rsidRPr="00142305">
        <w:rPr>
          <w:rStyle w:val="aff"/>
          <w:rFonts w:ascii="Times New Roman" w:hAnsi="Times New Roman" w:cs="Times New Roman"/>
          <w:color w:val="0070C0"/>
          <w:spacing w:val="0"/>
          <w:sz w:val="16"/>
          <w:szCs w:val="16"/>
        </w:rPr>
        <w:softHyphen/>
        <w:t>рический шит выступал в нише амбразуры. Пушка с неброниро</w:t>
      </w:r>
      <w:r w:rsidRPr="00142305">
        <w:rPr>
          <w:rStyle w:val="aff"/>
          <w:rFonts w:ascii="Times New Roman" w:hAnsi="Times New Roman" w:cs="Times New Roman"/>
          <w:color w:val="0070C0"/>
          <w:spacing w:val="0"/>
          <w:sz w:val="16"/>
          <w:szCs w:val="16"/>
        </w:rPr>
        <w:softHyphen/>
        <w:t>ванной передней частью люльки также находилась в нише амбра</w:t>
      </w:r>
      <w:r w:rsidRPr="00142305">
        <w:rPr>
          <w:rStyle w:val="aff"/>
          <w:rFonts w:ascii="Times New Roman" w:hAnsi="Times New Roman" w:cs="Times New Roman"/>
          <w:color w:val="0070C0"/>
          <w:spacing w:val="0"/>
          <w:sz w:val="16"/>
          <w:szCs w:val="16"/>
        </w:rPr>
        <w:softHyphen/>
        <w:t>зуры. Высота ниши амбразуры 940 мм. Амбразура закрывалась бронированной заслонкой, открывающейся вниз. Время подъема заслонки —50 с, опускания —30 с.</w:t>
      </w:r>
    </w:p>
    <w:p w14:paraId="2590CD84"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Расчет установки —7 человек. Командир капонира помещал</w:t>
      </w:r>
      <w:r w:rsidRPr="00142305">
        <w:rPr>
          <w:rStyle w:val="aff"/>
          <w:rFonts w:ascii="Times New Roman" w:hAnsi="Times New Roman" w:cs="Times New Roman"/>
          <w:color w:val="0070C0"/>
          <w:spacing w:val="0"/>
          <w:sz w:val="16"/>
          <w:szCs w:val="16"/>
        </w:rPr>
        <w:softHyphen/>
        <w:t>ся в отдельной боевой рубке, где вел наблюдение при помощи перископа и руководил стрельбой.</w:t>
      </w:r>
    </w:p>
    <w:p w14:paraId="3F290D3B" w14:textId="77777777" w:rsidR="00560CA8" w:rsidRPr="00142305" w:rsidRDefault="00560CA8" w:rsidP="00560CA8">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Система была принята на вооружение под наименованием «76,2-мм пушка обр. 1902 г. на капонирном лафете обр. 1932 г.».</w:t>
      </w:r>
    </w:p>
    <w:p w14:paraId="24ED66D4"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До этого в дотах УР помещались 76-мм капонирные орудия царской армии и новых образцов. К первым относились капонирные лафеты сис</w:t>
      </w:r>
      <w:r w:rsidRPr="00142305">
        <w:rPr>
          <w:rStyle w:val="aff"/>
          <w:rFonts w:ascii="Times New Roman" w:hAnsi="Times New Roman" w:cs="Times New Roman"/>
          <w:color w:val="0070C0"/>
          <w:spacing w:val="0"/>
          <w:sz w:val="16"/>
          <w:szCs w:val="16"/>
        </w:rPr>
        <w:softHyphen/>
        <w:t>темы Дурляхера, на которых устанавливались 76-мм пушки обр. 1900 г. и 76-мм капонирные установки Путиловского завода обр. 1913 г. и 76-мм пушки обр. 1902 г. (25436).</w:t>
      </w:r>
    </w:p>
    <w:p w14:paraId="428E970D" w14:textId="77777777" w:rsidR="00560CA8" w:rsidRPr="00142305" w:rsidRDefault="00560CA8" w:rsidP="00560CA8">
      <w:pPr>
        <w:spacing w:after="0" w:line="240" w:lineRule="auto"/>
        <w:jc w:val="both"/>
        <w:rPr>
          <w:rFonts w:ascii="Times New Roman" w:hAnsi="Times New Roman"/>
          <w:color w:val="0070C0"/>
          <w:sz w:val="16"/>
          <w:szCs w:val="16"/>
        </w:rPr>
      </w:pPr>
    </w:p>
    <w:p w14:paraId="01212A00" w14:textId="08F8C536" w:rsidR="00560CA8" w:rsidRPr="00E93F40" w:rsidRDefault="00560CA8" w:rsidP="00560CA8">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E93F40">
        <w:rPr>
          <w:rFonts w:ascii="Times New Roman" w:hAnsi="Times New Roman"/>
          <w:i/>
          <w:iCs/>
          <w:color w:val="000000" w:themeColor="text1"/>
          <w:sz w:val="16"/>
          <w:szCs w:val="16"/>
        </w:rPr>
        <w:t>:</w:t>
      </w:r>
    </w:p>
    <w:p w14:paraId="7054EB35" w14:textId="77777777" w:rsidR="00560CA8" w:rsidRPr="00E93F40" w:rsidRDefault="00560CA8" w:rsidP="00560CA8">
      <w:pPr>
        <w:autoSpaceDE w:val="0"/>
        <w:autoSpaceDN w:val="0"/>
        <w:adjustRightInd w:val="0"/>
        <w:spacing w:after="0" w:line="240" w:lineRule="auto"/>
        <w:jc w:val="both"/>
        <w:rPr>
          <w:rFonts w:ascii="Times New Roman" w:hAnsi="Times New Roman"/>
          <w:iCs/>
          <w:color w:val="000000" w:themeColor="text1"/>
          <w:sz w:val="16"/>
          <w:szCs w:val="16"/>
        </w:rPr>
      </w:pPr>
    </w:p>
    <w:p w14:paraId="74B7BC9F"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мая 1933 г. оранжевый самолет, названный Литуаника, приземлился на аэродроме Беннет близ Нью-Йорка, со взлетной полосы которого в то время начинались многие рекордные перелеты. На этот раз здесь ожидали благоприятную погоду итальянцы, французы, известный американский летчик Вилли Пост. Вечером 14 июля, после очередной консультации с метеорологами, Дарюс заявил: «Решили утром улетать. У бере</w:t>
      </w:r>
      <w:r w:rsidRPr="00142305">
        <w:rPr>
          <w:rStyle w:val="aff"/>
          <w:rFonts w:ascii="Times New Roman" w:hAnsi="Times New Roman" w:cs="Times New Roman"/>
          <w:color w:val="0070C0"/>
          <w:spacing w:val="0"/>
          <w:sz w:val="16"/>
          <w:szCs w:val="16"/>
        </w:rPr>
        <w:softHyphen/>
        <w:t>гов Америки все хорошо, над океаном кое-где дожди, зато ветер благоприятствует. В Европе погода неустойчивая, но это нам не угрожает». Летчики верили, что после того, как они пересекут океан, позади останутся все опасности. Особое беспокойство вызывала первая минута полета. Удастся ли оторвать перегру</w:t>
      </w:r>
      <w:r w:rsidRPr="00142305">
        <w:rPr>
          <w:rStyle w:val="aff"/>
          <w:rFonts w:ascii="Times New Roman" w:hAnsi="Times New Roman" w:cs="Times New Roman"/>
          <w:color w:val="0070C0"/>
          <w:spacing w:val="0"/>
          <w:sz w:val="16"/>
          <w:szCs w:val="16"/>
        </w:rPr>
        <w:softHyphen/>
        <w:t>женную Литуанику от бетонной полосы, которая обрывается на берегу Ямайского залива (25675).</w:t>
      </w:r>
    </w:p>
    <w:p w14:paraId="47CC0B22" w14:textId="77777777" w:rsidR="00560CA8" w:rsidRPr="00142305" w:rsidRDefault="00560CA8" w:rsidP="00560CA8">
      <w:pPr>
        <w:spacing w:after="0" w:line="240" w:lineRule="auto"/>
        <w:jc w:val="both"/>
        <w:rPr>
          <w:rFonts w:ascii="Times New Roman" w:hAnsi="Times New Roman"/>
          <w:color w:val="0070C0"/>
          <w:sz w:val="16"/>
          <w:szCs w:val="16"/>
        </w:rPr>
      </w:pPr>
    </w:p>
    <w:p w14:paraId="7B71B56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448283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3AFDF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7 мая по 24 июля 1932 проходили гос. испытания Р-5 М-17 с разрезными крыльями (6778).</w:t>
      </w:r>
    </w:p>
    <w:p w14:paraId="452E244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E274ED"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7 мая 1932 вышло постановление № 473/157с РЗ СТО или КО (№ 875/ко от 15.5.1932 г.) - Об утверждении Положения о государственных испытаниях опытных и лицензионных самолетов и моторов советского производства (21564).</w:t>
      </w:r>
    </w:p>
    <w:p w14:paraId="1EAC7DAB" w14:textId="77777777" w:rsidR="005F6928" w:rsidRPr="00E93F40" w:rsidRDefault="005F6928" w:rsidP="00E93F40">
      <w:pPr>
        <w:spacing w:after="0" w:line="240" w:lineRule="auto"/>
        <w:jc w:val="both"/>
        <w:rPr>
          <w:rFonts w:ascii="Times New Roman" w:hAnsi="Times New Roman"/>
          <w:color w:val="000000" w:themeColor="text1"/>
          <w:sz w:val="16"/>
          <w:szCs w:val="16"/>
        </w:rPr>
      </w:pPr>
    </w:p>
    <w:p w14:paraId="16339F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мая 1932 СТО постановлением N 973/157 утвердил Положение о прохождении опытных самолетов (2303,34).</w:t>
      </w:r>
    </w:p>
    <w:p w14:paraId="556A7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02EDE4" w14:textId="77777777" w:rsidR="00BA083A" w:rsidRPr="00E93F40" w:rsidRDefault="00BA08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мая 1932 года</w:t>
      </w:r>
    </w:p>
    <w:p w14:paraId="3B6D3CEA" w14:textId="77777777" w:rsidR="00BA083A" w:rsidRPr="00E93F40" w:rsidRDefault="00BA08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о государственных испытания опытных и лицензированных самолетов и моторов советского производства</w:t>
      </w:r>
    </w:p>
    <w:p w14:paraId="68C6A4DD" w14:textId="77777777" w:rsidR="00BA083A" w:rsidRPr="00E93F40" w:rsidRDefault="00BA08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председателя Совета Труда и обороны</w:t>
      </w:r>
    </w:p>
    <w:p w14:paraId="27AF938B" w14:textId="77777777" w:rsidR="00BA083A" w:rsidRPr="00E93F40" w:rsidRDefault="00BA08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Куйбышев</w:t>
      </w:r>
    </w:p>
    <w:p w14:paraId="15BC0C7F" w14:textId="77777777" w:rsidR="00BA083A" w:rsidRPr="00E93F40" w:rsidRDefault="00BA08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Базилевич</w:t>
      </w:r>
    </w:p>
    <w:p w14:paraId="6A38252C" w14:textId="77777777" w:rsidR="00BA083A" w:rsidRPr="00E93F40" w:rsidRDefault="00BA08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"...гражданские самолеты должны представлять собой полный стандарт с каким-либо военным типом и вооружение к нему должно устанавливаться по мобилизации,</w:t>
      </w:r>
    </w:p>
    <w:p w14:paraId="06F6FC4E" w14:textId="77777777" w:rsidR="00BA083A" w:rsidRPr="00E93F40" w:rsidRDefault="00BA08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каждый проект гражданского самолета должен быть представлен как с гражданским, так и с боевым оборудованием и с расчетами, в какой срок может быть установлено вооружение на данном типе гражданского самолета...".</w:t>
      </w:r>
    </w:p>
    <w:p w14:paraId="4C39DE5A" w14:textId="77777777" w:rsidR="00BA083A" w:rsidRPr="00E93F40" w:rsidRDefault="00BA08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(ГАРФ, Опись 1, Дело № 374: Общество содействия обороне, авиационному и химическому строительству СССР (ОСОАВИАХИМ), Л. 36) (15249).</w:t>
      </w:r>
    </w:p>
    <w:p w14:paraId="63140E5E" w14:textId="77777777" w:rsidR="00BA083A" w:rsidRPr="00E93F40" w:rsidRDefault="00BA083A" w:rsidP="00E93F40">
      <w:pPr>
        <w:shd w:val="clear" w:color="auto" w:fill="FFFFFF"/>
        <w:spacing w:after="0" w:line="240" w:lineRule="auto"/>
        <w:jc w:val="both"/>
        <w:rPr>
          <w:rFonts w:ascii="Times New Roman" w:hAnsi="Times New Roman"/>
          <w:color w:val="000000" w:themeColor="text1"/>
          <w:sz w:val="16"/>
          <w:szCs w:val="16"/>
        </w:rPr>
      </w:pPr>
    </w:p>
    <w:p w14:paraId="0C85AAE3" w14:textId="77777777" w:rsidR="00EE6152" w:rsidRPr="00E93F40" w:rsidRDefault="00EE61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мая 1932 г. приказом по ГВФ № 92 введен в действие Устав внутренней службы ГВВ, определяющий права и обязанности работников ГВФ (23370).</w:t>
      </w:r>
    </w:p>
    <w:p w14:paraId="7EF98D7E" w14:textId="77777777" w:rsidR="00EE6152" w:rsidRPr="00E93F40" w:rsidRDefault="00EE6152" w:rsidP="00E93F40">
      <w:pPr>
        <w:spacing w:after="0" w:line="240" w:lineRule="auto"/>
        <w:jc w:val="both"/>
        <w:rPr>
          <w:rFonts w:ascii="Times New Roman" w:hAnsi="Times New Roman"/>
          <w:color w:val="000000" w:themeColor="text1"/>
          <w:sz w:val="16"/>
          <w:szCs w:val="16"/>
        </w:rPr>
      </w:pPr>
    </w:p>
    <w:p w14:paraId="137806A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EA46B6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B9C2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 мая 1932 года испытания проходили 38 установок завода № 7. Результаты их испытаний: средняя длина отката 965 мм при начальной скорости снаряда 588 м/с. Капонирный лафет обр. 1932 г. создан по типу капонирного лафета обр. 1913 г. Путиловского завода. Главное принципиальное отличие - отсутствие клинового полуавтоматического затвора Лендера.</w:t>
      </w:r>
    </w:p>
    <w:p w14:paraId="6568D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Пушка помещалась в боевом каземате капонира (полукапонира) площадью 3 - 2,3 м и высотой 2 м. В передней стенке каземата имелась амбразура прямоугольного сечения. На полке каземата укреплены 3 рамы (кольца) для облегчения сборки системы. В полу каземата, у передней стенки, заделаны в бетон 4 фундаментных болта для крепления основной плиты, а на расстоянии 1640 мм от передней стенки заделан в полу каземата поперечный швеллер, к которому крепились подкрепляющие основную плиту продольные швеллеры и укосины. От поперечного швеллера назад, в направлении входной двери в каземате сделан скат, который через нишу в стене соединялся с колодцем для стреляных гильз.</w:t>
      </w:r>
    </w:p>
    <w:p w14:paraId="01874F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Особенностью пушки являлось наличие у нее обтюрирующих приспособлений (типа шаровой маски). Благодаря незначительности зазоров и щелей в каземате удалось с помощью вентилятора создать избыточное давление. Поэтому пороховые газы при стрельбе увлекались наружу и предотвращали проникновения отравляющих веществ в каземат.</w:t>
      </w:r>
    </w:p>
    <w:p w14:paraId="3EFA7A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Сферический щит выступал в нише амбразуры. Пушка с небронированной передней частью люльки также находилась в нише амбразуры. Высота ниши амбразуры 940 мм. Амбразура закрывалась бронированной заслонкой, открывающейся вниз.</w:t>
      </w:r>
    </w:p>
    <w:p w14:paraId="2A2D8F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 установки 7 человек: Командир - 1; наводчик - 1; замковый - 1; заряжающий - 1, установщики трубок - 2; подносчик - 1.</w:t>
      </w:r>
    </w:p>
    <w:p w14:paraId="30F08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 капонира помещался в отдельной боевой рубке, где вел наблюдение при помощи перископа и руководил стрельбой.</w:t>
      </w:r>
    </w:p>
    <w:p w14:paraId="17516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Основная плита с подкреплениями - костяк всей установки, на ней монтировались все части системы. Для удобства протаскивания плиты по коридорам капонира (при сборке) она состояла из двух половин. Каждая половина представляла собой отливку толщиной 30 мм, усиленную горизонтальными и вертикальными ребрами. Обе половины соединены сухарями и 6 болтами. Плита ставилась вертикально к передней стенке боевого каземата и крепилась к полу 4 фундаментными болтами, проходящими через отверстия в основании плиты. В нижней части основания плиты в специальные гнезда вставлялись нижние швеллеры, каждый из которых скреплен с плитой тремя болтами.</w:t>
      </w:r>
    </w:p>
    <w:p w14:paraId="28DF73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плиты были двух образцов (различались мелочами). В каждой половине основной плиты было по одному смотровому окну, закрываемому рамой со стеклом.</w:t>
      </w:r>
    </w:p>
    <w:p w14:paraId="1F4E50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сборке в круглое отверстие основной плиты сначала вставлялся щит обтюратора, а потом с плитой соединялся диск с гнездом для боевого штыря.</w:t>
      </w:r>
    </w:p>
    <w:p w14:paraId="1A7446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Диск, на котором крепился вертлюг с качающейся частью системы, представлял собой стальную отливку в виде кольца, переходящего в нижней части в сплошной сегмент. Диск расположен в вертикальной плоскости. Посередине сегмента имелся вертикальный прилив, в котором расточено сквозное гнездо для боевого штыря вертлюга.</w:t>
      </w:r>
    </w:p>
    <w:p w14:paraId="79CDE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поворота обтюратора в стороны - 20°) в сегменте сделаны прорези, куда входили выступающие края обтюратора. С основной плитой диск соединен болтами.</w:t>
      </w:r>
    </w:p>
    <w:p w14:paraId="6B77BC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Вертлюг - стальная отливка в виде челюсти с отогнутыми бортами. Вертлюг являлся основанием, на котором расположена качающаяся часть пушки. Концами челюсти вертлюг охватывал прилив с гнездом для боевого штыря на диске и соединялся с диском боевым штырем. Вертлюг мог поворачиваться вокруг боевого штыря на - 20°.</w:t>
      </w:r>
    </w:p>
    <w:p w14:paraId="6B9270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Подъемный механизм - двойной винт.</w:t>
      </w:r>
    </w:p>
    <w:p w14:paraId="6BE033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Поворотный механизм: к горизонтальной полке диска прикреплен бронзовый зубчатый сектор, на вертлюге расположен червяк, непосредственно )без передачи) связанный с двумя маховиками по краям.</w:t>
      </w:r>
    </w:p>
    <w:p w14:paraId="13182A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Обтюратор (шаровая маска) - стальная деталь сферической формы с фигурными вырезами по краям. Обтюратор винтами привинчен к люльке.</w:t>
      </w:r>
    </w:p>
    <w:p w14:paraId="21263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Прицел нормализованный обр. 1930 г. с оптической прицельной трубкой &lt;Утенок&gt; (3861).</w:t>
      </w:r>
    </w:p>
    <w:p w14:paraId="516D3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2960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7 мая 1932 И.В.С. ответил на длинное письмо Тухачевского от 4 мая 1932, поясняющем, как относительно небольшие вложения в советское машиностроение будут иметь огромный импортозамещающий эффект. И.В.С. - не согласился и ответил, но при этом, признал, что ошибался в 1930 и прислал копии своих писем К.Е.В. (9089,163).</w:t>
      </w:r>
    </w:p>
    <w:p w14:paraId="5C5E4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90A598" w14:textId="77777777" w:rsidR="00BA083A" w:rsidRPr="00E93F40" w:rsidRDefault="00BA083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мая 1932 года было письмо И.В.С. М.Н. Тухачевскому</w:t>
      </w:r>
    </w:p>
    <w:p w14:paraId="732D6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Товарищу Тухачевскому.</w:t>
      </w:r>
    </w:p>
    <w:p w14:paraId="30EDF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Копия товарищу Ворошилову.</w:t>
      </w:r>
    </w:p>
    <w:p w14:paraId="346EF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Приложенное письмо на имя т. Ворошилова написано мной в марте 1930 г. Оно имеет в виду 2 документа: а) Вашу “записку” о развертывании нашей армии с доведением количества дивизий до 246 или 248 (не помню точно); б) “соображения” нашего штаба с выводом о том, что Ваша “записка” требует, по сути дела, доведения численности армии </w:t>
      </w:r>
      <w:r w:rsidRPr="00E93F40">
        <w:rPr>
          <w:rFonts w:ascii="Times New Roman" w:hAnsi="Times New Roman"/>
          <w:iCs/>
          <w:color w:val="000000" w:themeColor="text1"/>
          <w:sz w:val="16"/>
          <w:szCs w:val="16"/>
        </w:rPr>
        <w:t>до 11 миллионов душ</w:t>
      </w:r>
      <w:r w:rsidRPr="00E93F40">
        <w:rPr>
          <w:rFonts w:ascii="Times New Roman" w:hAnsi="Times New Roman"/>
          <w:color w:val="000000" w:themeColor="text1"/>
          <w:sz w:val="16"/>
          <w:szCs w:val="16"/>
        </w:rPr>
        <w:t>, что “записка” эта ввиду этого — нереальна, фантастична, непосильна для нашей страны.</w:t>
      </w:r>
    </w:p>
    <w:p w14:paraId="215B3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своем письме на имя т. Ворошилова, как известно, я присоединился, в основном, к выводам нашего штаба и высказался о Вашей “записке” резко отрицательно, признав ее плодом “канцелярского максимализма”, результатом “игры в цифры” и т. п.</w:t>
      </w:r>
    </w:p>
    <w:p w14:paraId="4441B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было дело два года назад.</w:t>
      </w:r>
    </w:p>
    <w:p w14:paraId="27C2D6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Ныне, спустя два года, когда некоторые неясные вопросы стали для меня более ясными, я должен признать, что моя оценка была слишком резкой, а выводы моего письма — не во всем правильными.</w:t>
      </w:r>
    </w:p>
    <w:p w14:paraId="78B44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Во-первых, ближайшее знакомство с делом показало, что цифра “</w:t>
      </w:r>
      <w:r w:rsidRPr="00E93F40">
        <w:rPr>
          <w:rFonts w:ascii="Times New Roman" w:hAnsi="Times New Roman"/>
          <w:iCs/>
          <w:color w:val="000000" w:themeColor="text1"/>
          <w:sz w:val="16"/>
          <w:szCs w:val="16"/>
        </w:rPr>
        <w:t>11 миллионов душ”</w:t>
      </w:r>
      <w:r w:rsidRPr="00E93F40">
        <w:rPr>
          <w:rFonts w:ascii="Times New Roman" w:hAnsi="Times New Roman"/>
          <w:color w:val="000000" w:themeColor="text1"/>
          <w:sz w:val="16"/>
          <w:szCs w:val="16"/>
        </w:rPr>
        <w:t xml:space="preserve"> не вытекает из Вашей “записки”, ибо то, чего может требовать Ваша “записка” и чего она в самом деле требует — это армия в 8 миллионов душ. Конечно, 8-ми миллионная армия — тоже нереальна, не нужна и непосильна для нашей страны, по крайней мере, в ближайшие три-четыре года (не говоря уже о первой пятилетке). Но 8 миллионов все же не 11 миллионов.</w:t>
      </w:r>
    </w:p>
    <w:p w14:paraId="3770D8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Во-вторых, несомненно, что изменившийся за последние годы характер армий, рост техники военного транспорта и развитие авиации, появление механизированных частей и соответствующая реорганизация армии — создают совершенно новую обстановку, лишающую старые споры о </w:t>
      </w:r>
      <w:r w:rsidRPr="00E93F40">
        <w:rPr>
          <w:rFonts w:ascii="Times New Roman" w:hAnsi="Times New Roman"/>
          <w:iCs/>
          <w:color w:val="000000" w:themeColor="text1"/>
          <w:sz w:val="16"/>
          <w:szCs w:val="16"/>
        </w:rPr>
        <w:t>большом количестве</w:t>
      </w:r>
      <w:r w:rsidRPr="00E93F40">
        <w:rPr>
          <w:rFonts w:ascii="Times New Roman" w:hAnsi="Times New Roman"/>
          <w:color w:val="000000" w:themeColor="text1"/>
          <w:sz w:val="16"/>
          <w:szCs w:val="16"/>
        </w:rPr>
        <w:t xml:space="preserve"> дивизий их решающего значения. Нет нужды доказывать, что не </w:t>
      </w:r>
      <w:r w:rsidRPr="00E93F40">
        <w:rPr>
          <w:rFonts w:ascii="Times New Roman" w:hAnsi="Times New Roman"/>
          <w:iCs/>
          <w:color w:val="000000" w:themeColor="text1"/>
          <w:sz w:val="16"/>
          <w:szCs w:val="16"/>
        </w:rPr>
        <w:t>количество</w:t>
      </w:r>
      <w:r w:rsidRPr="00E93F40">
        <w:rPr>
          <w:rFonts w:ascii="Times New Roman" w:hAnsi="Times New Roman"/>
          <w:color w:val="000000" w:themeColor="text1"/>
          <w:sz w:val="16"/>
          <w:szCs w:val="16"/>
        </w:rPr>
        <w:t xml:space="preserve"> дивизий, а, прежде всего, их </w:t>
      </w:r>
      <w:r w:rsidRPr="00E93F40">
        <w:rPr>
          <w:rFonts w:ascii="Times New Roman" w:hAnsi="Times New Roman"/>
          <w:iCs/>
          <w:color w:val="000000" w:themeColor="text1"/>
          <w:sz w:val="16"/>
          <w:szCs w:val="16"/>
        </w:rPr>
        <w:t>качество,</w:t>
      </w:r>
      <w:r w:rsidRPr="00E93F40">
        <w:rPr>
          <w:rFonts w:ascii="Times New Roman" w:hAnsi="Times New Roman"/>
          <w:color w:val="000000" w:themeColor="text1"/>
          <w:sz w:val="16"/>
          <w:szCs w:val="16"/>
        </w:rPr>
        <w:t xml:space="preserve"> их насыщенность техникой будет играть отныне решающее значение. Я думаю, Вы согласитесь со мною, что 6-ти миллионной армии, хорошо снабженной техникой и по-новому организованной — будет вполне достаточно для того, чтобы отстоять независимость нашей страны на всех, без исключения, фронтах. А такая армия нам более или менее по силам. Мне кажется, что мое письмо на имя т. Ворошилова не было бы столь резким по тону и оно было бы свободно от некоторых неправильных выводов в отношении Вас, если бы я перенес тогда спор на эту новую базу. Но я не сделал этого, так как, очевидно, проблема не была еще достаточно ясна для меня.</w:t>
      </w:r>
    </w:p>
    <w:p w14:paraId="7F23D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ругайте меня, что я взялся исправить недочеты своего письма с некоторым опозданием.</w:t>
      </w:r>
    </w:p>
    <w:p w14:paraId="1D803C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V.32 г.</w:t>
      </w:r>
    </w:p>
    <w:p w14:paraId="5B907E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коммунистическим приветом</w:t>
      </w:r>
    </w:p>
    <w:p w14:paraId="513EE4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Сталин.</w:t>
      </w:r>
    </w:p>
    <w:p w14:paraId="74CCF6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Исторический архив. 1998. № 5–6. С. 151–152.</w:t>
      </w:r>
    </w:p>
    <w:p w14:paraId="76174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РГАСПИ. Ф. 74. Оп. 2. Д. 38. Л. 56–57 (11868).</w:t>
      </w:r>
    </w:p>
    <w:p w14:paraId="753DF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0614EE" w14:textId="77777777" w:rsidR="00A278E8" w:rsidRPr="00E93F40" w:rsidRDefault="00A278E8"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7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653/159сс об изъятии автотранспорта и тракторов из народного хозяйства при мобилизации (ГА РФ. Ф. Р?8418. Оп. 28. Д. 146. Л. 81?85) (12415).</w:t>
      </w:r>
    </w:p>
    <w:p w14:paraId="125DD664" w14:textId="77777777" w:rsidR="00A278E8" w:rsidRPr="00E93F40" w:rsidRDefault="00A278E8"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СНК СССР № 666/164сс об обеспечении средствами и рельсами спецработ по плану 1932 г. (ГА РФ. Ф. Р?8418. Оп. 28. Д. 146. Л. 86) (12415).</w:t>
      </w:r>
    </w:p>
    <w:p w14:paraId="34F66B55" w14:textId="77777777" w:rsidR="00A278E8" w:rsidRPr="00E93F40" w:rsidRDefault="00A278E8"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СНК СССР № 667/165сс о структуре органов транспорта в военное время (ГА РФ. Ф. Р?8418. Оп. 28. Д. 146. Л. 87?89)</w:t>
      </w:r>
    </w:p>
    <w:p w14:paraId="6C806DC6" w14:textId="77777777" w:rsidR="00A278E8" w:rsidRPr="00E93F40" w:rsidRDefault="00A278E8"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478/162сс об обеспечении стройматериалами, оборудованием и механизмами строительства Дальневосточных железнодорожных веток (ГА РФ. Ф. Р?8418. Оп. 28. Д. 1а. Л. 253?256) (12415).</w:t>
      </w:r>
    </w:p>
    <w:p w14:paraId="1600333A" w14:textId="77777777" w:rsidR="00A278E8" w:rsidRPr="00E93F40" w:rsidRDefault="00A278E8"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473/157сс об утверждении положения о государственных испытаниях опытных и лицензионных самолетов и моторов советского производства (ГА РФ. Ф. Р?8418. Оп. 28. Д. 1а. Л. 218?252) (12415).</w:t>
      </w:r>
    </w:p>
    <w:p w14:paraId="20B9F9EF" w14:textId="77777777" w:rsidR="00A278E8" w:rsidRPr="00E93F40" w:rsidRDefault="00A278E8" w:rsidP="00E93F40">
      <w:pPr>
        <w:spacing w:after="0" w:line="240" w:lineRule="auto"/>
        <w:jc w:val="both"/>
        <w:rPr>
          <w:rFonts w:ascii="Times New Roman" w:hAnsi="Times New Roman"/>
          <w:color w:val="000000" w:themeColor="text1"/>
          <w:sz w:val="16"/>
          <w:szCs w:val="16"/>
          <w:u w:color="002060"/>
        </w:rPr>
      </w:pPr>
    </w:p>
    <w:p w14:paraId="19B612B4" w14:textId="77777777" w:rsidR="00BA083A" w:rsidRPr="00E93F40" w:rsidRDefault="00BA083A" w:rsidP="00E93F40">
      <w:pPr>
        <w:pStyle w:val="rtejustify"/>
        <w:spacing w:before="0" w:after="0"/>
        <w:rPr>
          <w:color w:val="000000" w:themeColor="text1"/>
          <w:sz w:val="16"/>
          <w:szCs w:val="16"/>
        </w:rPr>
      </w:pPr>
      <w:r w:rsidRPr="00E93F40">
        <w:rPr>
          <w:bCs/>
          <w:color w:val="000000" w:themeColor="text1"/>
          <w:sz w:val="16"/>
          <w:szCs w:val="16"/>
        </w:rPr>
        <w:t>7 мая 1932 г. — Письмо генсека ЦК ВКП(б) И. В. Сталина замнаркома по военным и морским делам и председателя РВС СССР М. Н. Тухачевскому о пересмотре критических замечаний на предложения последнего об основных направлениях реконструкции вооруженных сил</w:t>
      </w:r>
    </w:p>
    <w:p w14:paraId="78F844CD" w14:textId="4FAC4EFE"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Приложенное письмо на имя т.</w:t>
      </w:r>
      <w:r w:rsidR="007C1411" w:rsidRPr="00E93F40">
        <w:rPr>
          <w:color w:val="000000" w:themeColor="text1"/>
          <w:sz w:val="16"/>
          <w:szCs w:val="16"/>
        </w:rPr>
        <w:t xml:space="preserve"> </w:t>
      </w:r>
      <w:r w:rsidRPr="00E93F40">
        <w:rPr>
          <w:color w:val="000000" w:themeColor="text1"/>
          <w:sz w:val="16"/>
          <w:szCs w:val="16"/>
        </w:rPr>
        <w:t>Ворошилова написано мной в марте 1930</w:t>
      </w:r>
      <w:r w:rsidR="007C1411" w:rsidRPr="00E93F40">
        <w:rPr>
          <w:color w:val="000000" w:themeColor="text1"/>
          <w:sz w:val="16"/>
          <w:szCs w:val="16"/>
        </w:rPr>
        <w:t xml:space="preserve"> </w:t>
      </w:r>
      <w:r w:rsidRPr="00E93F40">
        <w:rPr>
          <w:color w:val="000000" w:themeColor="text1"/>
          <w:sz w:val="16"/>
          <w:szCs w:val="16"/>
        </w:rPr>
        <w:t>г.²* Оно имеет в виду 2</w:t>
      </w:r>
      <w:r w:rsidR="007C1411" w:rsidRPr="00E93F40">
        <w:rPr>
          <w:color w:val="000000" w:themeColor="text1"/>
          <w:sz w:val="16"/>
          <w:szCs w:val="16"/>
        </w:rPr>
        <w:t xml:space="preserve"> </w:t>
      </w:r>
      <w:r w:rsidRPr="00E93F40">
        <w:rPr>
          <w:color w:val="000000" w:themeColor="text1"/>
          <w:sz w:val="16"/>
          <w:szCs w:val="16"/>
        </w:rPr>
        <w:t>документа: а)</w:t>
      </w:r>
      <w:r w:rsidR="007C1411" w:rsidRPr="00E93F40">
        <w:rPr>
          <w:color w:val="000000" w:themeColor="text1"/>
          <w:sz w:val="16"/>
          <w:szCs w:val="16"/>
        </w:rPr>
        <w:t xml:space="preserve"> </w:t>
      </w:r>
      <w:r w:rsidRPr="00E93F40">
        <w:rPr>
          <w:color w:val="000000" w:themeColor="text1"/>
          <w:sz w:val="16"/>
          <w:szCs w:val="16"/>
        </w:rPr>
        <w:t>Вашу «записку» о развертывании нашей армии с доведением количества дивизий до 246 или 248 (не помню точно)³*; б)</w:t>
      </w:r>
      <w:r w:rsidR="007C1411" w:rsidRPr="00E93F40">
        <w:rPr>
          <w:color w:val="000000" w:themeColor="text1"/>
          <w:sz w:val="16"/>
          <w:szCs w:val="16"/>
        </w:rPr>
        <w:t xml:space="preserve"> </w:t>
      </w:r>
      <w:r w:rsidRPr="00E93F40">
        <w:rPr>
          <w:color w:val="000000" w:themeColor="text1"/>
          <w:sz w:val="16"/>
          <w:szCs w:val="16"/>
        </w:rPr>
        <w:t>«соображения» нашего штаба с выводом о том, что Ваша «записка» требует, по сути дела, доведения численности армии до 11</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душ, что «записка» эта ввиду этого нереальна, фантастична, непосильна для нашей страны⁴*.</w:t>
      </w:r>
    </w:p>
    <w:p w14:paraId="67745C43" w14:textId="239CACC9"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В своем письме на имя т.</w:t>
      </w:r>
      <w:r w:rsidR="007C1411" w:rsidRPr="00E93F40">
        <w:rPr>
          <w:color w:val="000000" w:themeColor="text1"/>
          <w:sz w:val="16"/>
          <w:szCs w:val="16"/>
        </w:rPr>
        <w:t xml:space="preserve"> </w:t>
      </w:r>
      <w:r w:rsidRPr="00E93F40">
        <w:rPr>
          <w:color w:val="000000" w:themeColor="text1"/>
          <w:sz w:val="16"/>
          <w:szCs w:val="16"/>
        </w:rPr>
        <w:t>Ворошилова, как известно, я присоединился в основном к выводам нашего штаба и высказался о Вашей «записке» резко отрицательно, признав ее плодом «канцелярского максимализма», результатом «игры в цифры»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п. Так было дело два года назад. Ныне, спустя два года, когда некоторые неясные вопросы стали для меня более ясными, я должен признать, что моя оценка была слишком резкой, а выводы моего письма не во всем правильными.</w:t>
      </w:r>
    </w:p>
    <w:p w14:paraId="760476D7" w14:textId="47865414"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Во-первых, ближайшее знакомство с делом показало, что цифра «11</w:t>
      </w:r>
      <w:r w:rsidR="007C1411" w:rsidRPr="00E93F40">
        <w:rPr>
          <w:color w:val="000000" w:themeColor="text1"/>
          <w:sz w:val="16"/>
          <w:szCs w:val="16"/>
        </w:rPr>
        <w:t xml:space="preserve"> </w:t>
      </w:r>
      <w:r w:rsidRPr="00E93F40">
        <w:rPr>
          <w:color w:val="000000" w:themeColor="text1"/>
          <w:sz w:val="16"/>
          <w:szCs w:val="16"/>
        </w:rPr>
        <w:t>млн. душ» не вытекает из Вашей «записки», ибо то, чего может требовать Ваша «записка» и чего она в самом деле требует</w:t>
      </w:r>
      <w:r w:rsidR="007C1411" w:rsidRPr="00E93F40">
        <w:rPr>
          <w:color w:val="000000" w:themeColor="text1"/>
          <w:sz w:val="16"/>
          <w:szCs w:val="16"/>
        </w:rPr>
        <w:t xml:space="preserve"> </w:t>
      </w:r>
      <w:r w:rsidRPr="00E93F40">
        <w:rPr>
          <w:color w:val="000000" w:themeColor="text1"/>
          <w:sz w:val="16"/>
          <w:szCs w:val="16"/>
        </w:rPr>
        <w:t>— это армия в 8</w:t>
      </w:r>
      <w:r w:rsidR="007C1411" w:rsidRPr="00E93F40">
        <w:rPr>
          <w:color w:val="000000" w:themeColor="text1"/>
          <w:sz w:val="16"/>
          <w:szCs w:val="16"/>
        </w:rPr>
        <w:t xml:space="preserve"> </w:t>
      </w:r>
      <w:r w:rsidRPr="00E93F40">
        <w:rPr>
          <w:color w:val="000000" w:themeColor="text1"/>
          <w:sz w:val="16"/>
          <w:szCs w:val="16"/>
        </w:rPr>
        <w:t>млн. душ. Конечно, 8</w:t>
      </w:r>
      <w:r w:rsidRPr="00E93F40">
        <w:rPr>
          <w:color w:val="000000" w:themeColor="text1"/>
          <w:sz w:val="16"/>
          <w:szCs w:val="16"/>
        </w:rPr>
        <w:noBreakHyphen/>
        <w:t>миллионная армия тоже нереальна, не нужна и непосильна для нашей страны, по крайней мере, в ближайшие 3</w:t>
      </w:r>
      <w:r w:rsidRPr="00E93F40">
        <w:rPr>
          <w:color w:val="000000" w:themeColor="text1"/>
          <w:sz w:val="16"/>
          <w:szCs w:val="16"/>
        </w:rPr>
        <w:noBreakHyphen/>
        <w:t>4</w:t>
      </w:r>
      <w:r w:rsidR="007C1411" w:rsidRPr="00E93F40">
        <w:rPr>
          <w:color w:val="000000" w:themeColor="text1"/>
          <w:sz w:val="16"/>
          <w:szCs w:val="16"/>
        </w:rPr>
        <w:t xml:space="preserve"> </w:t>
      </w:r>
      <w:r w:rsidRPr="00E93F40">
        <w:rPr>
          <w:color w:val="000000" w:themeColor="text1"/>
          <w:sz w:val="16"/>
          <w:szCs w:val="16"/>
        </w:rPr>
        <w:t>года (не говоря уже о первой пятилетке). Но 8</w:t>
      </w:r>
      <w:r w:rsidR="007C1411" w:rsidRPr="00E93F40">
        <w:rPr>
          <w:color w:val="000000" w:themeColor="text1"/>
          <w:sz w:val="16"/>
          <w:szCs w:val="16"/>
        </w:rPr>
        <w:t xml:space="preserve"> </w:t>
      </w:r>
      <w:r w:rsidRPr="00E93F40">
        <w:rPr>
          <w:color w:val="000000" w:themeColor="text1"/>
          <w:sz w:val="16"/>
          <w:szCs w:val="16"/>
        </w:rPr>
        <w:t>млн. все же не 11</w:t>
      </w:r>
      <w:r w:rsidR="007C1411" w:rsidRPr="00E93F40">
        <w:rPr>
          <w:color w:val="000000" w:themeColor="text1"/>
          <w:sz w:val="16"/>
          <w:szCs w:val="16"/>
        </w:rPr>
        <w:t xml:space="preserve"> </w:t>
      </w:r>
      <w:r w:rsidRPr="00E93F40">
        <w:rPr>
          <w:color w:val="000000" w:themeColor="text1"/>
          <w:sz w:val="16"/>
          <w:szCs w:val="16"/>
        </w:rPr>
        <w:t>млн.</w:t>
      </w:r>
    </w:p>
    <w:p w14:paraId="245003A7" w14:textId="4911D72A"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Во-вторых, несомненно, что изменившийся за последние годы характер армий, рост техники военного транспорта и развитие авиации, появление механизированных частей и соответствующая реорганизация армии создают совершенно новую обстановку, лишающую старые споры о большом количестве дивизий их решающего значения. Нет нужды доказывать, что не количество дивизий, а прежде всего их качество, их насыщенность техникой будет играть отныне решающее значение. Я думаю, Вы согласитесь со мною, что 6</w:t>
      </w:r>
      <w:r w:rsidRPr="00E93F40">
        <w:rPr>
          <w:color w:val="000000" w:themeColor="text1"/>
          <w:sz w:val="16"/>
          <w:szCs w:val="16"/>
        </w:rPr>
        <w:noBreakHyphen/>
        <w:t>миллионной армии, хорошо снабженной техникой и по-новому организованной, будет вполне достаточно для того, чтобы отстоять независимость нашей страны на всех без исключения фронтах. А такая армия нам более или менее по силам. Мне кажется, что мое письмо на имя т.</w:t>
      </w:r>
      <w:r w:rsidR="007C1411" w:rsidRPr="00E93F40">
        <w:rPr>
          <w:color w:val="000000" w:themeColor="text1"/>
          <w:sz w:val="16"/>
          <w:szCs w:val="16"/>
        </w:rPr>
        <w:t xml:space="preserve"> </w:t>
      </w:r>
      <w:r w:rsidRPr="00E93F40">
        <w:rPr>
          <w:color w:val="000000" w:themeColor="text1"/>
          <w:sz w:val="16"/>
          <w:szCs w:val="16"/>
        </w:rPr>
        <w:t>Ворошилова не было бы столь резким по тону и оно было бы свободно от некоторых неправильных выводов в отношении Вас, если бы я перенес тогда спор на эту новую базу. Но я не сделал этого, так как, очевидно, проблема не была еще достаточно ясна для меня.</w:t>
      </w:r>
    </w:p>
    <w:p w14:paraId="2CA8E6B9" w14:textId="77777777"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Не ругайте меня, что я взялся исправить недочеты своего письма с некоторым опозданием.</w:t>
      </w:r>
    </w:p>
    <w:p w14:paraId="66A824DE" w14:textId="3B5CBAF9" w:rsidR="00A278E8" w:rsidRPr="00E93F40" w:rsidRDefault="00A278E8"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С коммунистическим приветом, </w:t>
      </w:r>
      <w:hyperlink r:id="rId98" w:history="1">
        <w:r w:rsidRPr="00E93F40">
          <w:rPr>
            <w:rStyle w:val="af0"/>
            <w:i w:val="0"/>
            <w:color w:val="000000" w:themeColor="text1"/>
            <w:sz w:val="16"/>
            <w:szCs w:val="16"/>
          </w:rPr>
          <w:t>И.</w:t>
        </w:r>
        <w:r w:rsidR="007C1411" w:rsidRPr="00E93F40">
          <w:rPr>
            <w:rStyle w:val="af0"/>
            <w:i w:val="0"/>
            <w:color w:val="000000" w:themeColor="text1"/>
            <w:sz w:val="16"/>
            <w:szCs w:val="16"/>
          </w:rPr>
          <w:t xml:space="preserve"> </w:t>
        </w:r>
        <w:r w:rsidRPr="00E93F40">
          <w:rPr>
            <w:rStyle w:val="af0"/>
            <w:i w:val="0"/>
            <w:color w:val="000000" w:themeColor="text1"/>
            <w:sz w:val="16"/>
            <w:szCs w:val="16"/>
          </w:rPr>
          <w:t>Сталин</w:t>
        </w:r>
      </w:hyperlink>
    </w:p>
    <w:p w14:paraId="5B9B346F" w14:textId="77777777" w:rsidR="00A278E8" w:rsidRPr="00E93F40" w:rsidRDefault="00A278E8"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6C3773B8" w14:textId="42A84412"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Копия направлена К. Е. Ворошилову.</w:t>
      </w:r>
    </w:p>
    <w:p w14:paraId="265F3B2D" w14:textId="59BE0877"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Не публикуется. См.: РГАСПИ. Ф.</w:t>
      </w:r>
      <w:r w:rsidR="007C1411" w:rsidRPr="00E93F40">
        <w:rPr>
          <w:color w:val="000000" w:themeColor="text1"/>
          <w:sz w:val="16"/>
          <w:szCs w:val="16"/>
        </w:rPr>
        <w:t xml:space="preserve"> </w:t>
      </w:r>
      <w:r w:rsidRPr="00E93F40">
        <w:rPr>
          <w:color w:val="000000" w:themeColor="text1"/>
          <w:sz w:val="16"/>
          <w:szCs w:val="16"/>
        </w:rPr>
        <w:t>558. Оп.</w:t>
      </w:r>
      <w:r w:rsidR="007C1411" w:rsidRPr="00E93F40">
        <w:rPr>
          <w:color w:val="000000" w:themeColor="text1"/>
          <w:sz w:val="16"/>
          <w:szCs w:val="16"/>
        </w:rPr>
        <w:t xml:space="preserve"> </w:t>
      </w:r>
      <w:r w:rsidRPr="00E93F40">
        <w:rPr>
          <w:color w:val="000000" w:themeColor="text1"/>
          <w:sz w:val="16"/>
          <w:szCs w:val="16"/>
        </w:rPr>
        <w:t>11. Д.</w:t>
      </w:r>
      <w:r w:rsidR="007C1411" w:rsidRPr="00E93F40">
        <w:rPr>
          <w:color w:val="000000" w:themeColor="text1"/>
          <w:sz w:val="16"/>
          <w:szCs w:val="16"/>
        </w:rPr>
        <w:t xml:space="preserve"> </w:t>
      </w:r>
      <w:r w:rsidRPr="00E93F40">
        <w:rPr>
          <w:color w:val="000000" w:themeColor="text1"/>
          <w:sz w:val="16"/>
          <w:szCs w:val="16"/>
        </w:rPr>
        <w:t>447. Л.</w:t>
      </w:r>
      <w:r w:rsidR="007C1411" w:rsidRPr="00E93F40">
        <w:rPr>
          <w:color w:val="000000" w:themeColor="text1"/>
          <w:sz w:val="16"/>
          <w:szCs w:val="16"/>
        </w:rPr>
        <w:t xml:space="preserve"> </w:t>
      </w:r>
      <w:r w:rsidRPr="00E93F40">
        <w:rPr>
          <w:color w:val="000000" w:themeColor="text1"/>
          <w:sz w:val="16"/>
          <w:szCs w:val="16"/>
        </w:rPr>
        <w:t>8.</w:t>
      </w:r>
    </w:p>
    <w:p w14:paraId="2E6E0564" w14:textId="29832F25"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 xml:space="preserve">См. док. от </w:t>
      </w:r>
      <w:r w:rsidRPr="00E93F40">
        <w:rPr>
          <w:rStyle w:val="af0"/>
          <w:i w:val="0"/>
          <w:color w:val="000000" w:themeColor="text1"/>
          <w:sz w:val="16"/>
          <w:szCs w:val="16"/>
        </w:rPr>
        <w:t>11</w:t>
      </w:r>
      <w:r w:rsidR="007C1411" w:rsidRPr="00E93F40">
        <w:rPr>
          <w:rStyle w:val="af0"/>
          <w:i w:val="0"/>
          <w:color w:val="000000" w:themeColor="text1"/>
          <w:sz w:val="16"/>
          <w:szCs w:val="16"/>
        </w:rPr>
        <w:t xml:space="preserve"> </w:t>
      </w:r>
      <w:r w:rsidRPr="00E93F40">
        <w:rPr>
          <w:rStyle w:val="af0"/>
          <w:i w:val="0"/>
          <w:color w:val="000000" w:themeColor="text1"/>
          <w:sz w:val="16"/>
          <w:szCs w:val="16"/>
        </w:rPr>
        <w:t>января 1930</w:t>
      </w:r>
      <w:r w:rsidR="007C1411" w:rsidRPr="00E93F40">
        <w:rPr>
          <w:rStyle w:val="af0"/>
          <w:i w:val="0"/>
          <w:color w:val="000000" w:themeColor="text1"/>
          <w:sz w:val="16"/>
          <w:szCs w:val="16"/>
        </w:rPr>
        <w:t xml:space="preserve"> </w:t>
      </w:r>
      <w:r w:rsidRPr="00E93F40">
        <w:rPr>
          <w:rStyle w:val="af0"/>
          <w:i w:val="0"/>
          <w:color w:val="000000" w:themeColor="text1"/>
          <w:sz w:val="16"/>
          <w:szCs w:val="16"/>
        </w:rPr>
        <w:t>г.</w:t>
      </w:r>
      <w:r w:rsidR="007C1411" w:rsidRPr="00E93F40">
        <w:rPr>
          <w:color w:val="000000" w:themeColor="text1"/>
          <w:sz w:val="16"/>
          <w:szCs w:val="16"/>
        </w:rPr>
        <w:t xml:space="preserve"> </w:t>
      </w:r>
      <w:r w:rsidRPr="00E93F40">
        <w:rPr>
          <w:rStyle w:val="af0"/>
          <w:i w:val="0"/>
          <w:color w:val="000000" w:themeColor="text1"/>
          <w:sz w:val="16"/>
          <w:szCs w:val="16"/>
        </w:rPr>
        <w:t xml:space="preserve">— </w:t>
      </w:r>
      <w:hyperlink r:id="rId99" w:history="1">
        <w:r w:rsidRPr="00E93F40">
          <w:rPr>
            <w:color w:val="000000" w:themeColor="text1"/>
            <w:sz w:val="16"/>
            <w:szCs w:val="16"/>
          </w:rPr>
          <w:t>Доклад командующего войсками Ленинградского военного округа М.</w:t>
        </w:r>
        <w:r w:rsidR="007C1411" w:rsidRPr="00E93F40">
          <w:rPr>
            <w:color w:val="000000" w:themeColor="text1"/>
            <w:sz w:val="16"/>
            <w:szCs w:val="16"/>
          </w:rPr>
          <w:t xml:space="preserve"> </w:t>
        </w:r>
        <w:r w:rsidRPr="00E93F40">
          <w:rPr>
            <w:color w:val="000000" w:themeColor="text1"/>
            <w:sz w:val="16"/>
            <w:szCs w:val="16"/>
          </w:rPr>
          <w:t>Н.</w:t>
        </w:r>
        <w:r w:rsidR="007C1411" w:rsidRPr="00E93F40">
          <w:rPr>
            <w:color w:val="000000" w:themeColor="text1"/>
            <w:sz w:val="16"/>
            <w:szCs w:val="16"/>
          </w:rPr>
          <w:t xml:space="preserve"> </w:t>
        </w:r>
        <w:r w:rsidRPr="00E93F40">
          <w:rPr>
            <w:color w:val="000000" w:themeColor="text1"/>
            <w:sz w:val="16"/>
            <w:szCs w:val="16"/>
          </w:rPr>
          <w:t>Тухачевского наркому по военным и морским делам СССР, председателю Реввоенсовета СССР К.</w:t>
        </w:r>
        <w:r w:rsidR="007C1411" w:rsidRPr="00E93F40">
          <w:rPr>
            <w:color w:val="000000" w:themeColor="text1"/>
            <w:sz w:val="16"/>
            <w:szCs w:val="16"/>
          </w:rPr>
          <w:t xml:space="preserve"> </w:t>
        </w:r>
        <w:r w:rsidRPr="00E93F40">
          <w:rPr>
            <w:color w:val="000000" w:themeColor="text1"/>
            <w:sz w:val="16"/>
            <w:szCs w:val="16"/>
          </w:rPr>
          <w:t>Е.</w:t>
        </w:r>
        <w:r w:rsidR="007C1411" w:rsidRPr="00E93F40">
          <w:rPr>
            <w:color w:val="000000" w:themeColor="text1"/>
            <w:sz w:val="16"/>
            <w:szCs w:val="16"/>
          </w:rPr>
          <w:t xml:space="preserve"> </w:t>
        </w:r>
        <w:r w:rsidRPr="00E93F40">
          <w:rPr>
            <w:color w:val="000000" w:themeColor="text1"/>
            <w:sz w:val="16"/>
            <w:szCs w:val="16"/>
          </w:rPr>
          <w:t>Ворошилову об основных направлениях реконструкции вооруженных сил.</w:t>
        </w:r>
      </w:hyperlink>
    </w:p>
    <w:p w14:paraId="4DD19136" w14:textId="012AE6B2"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 xml:space="preserve">См. док. от </w:t>
      </w:r>
      <w:r w:rsidRPr="00E93F40">
        <w:rPr>
          <w:rStyle w:val="af0"/>
          <w:i w:val="0"/>
          <w:color w:val="000000" w:themeColor="text1"/>
          <w:sz w:val="16"/>
          <w:szCs w:val="16"/>
        </w:rPr>
        <w:t>5</w:t>
      </w:r>
      <w:r w:rsidR="007C1411" w:rsidRPr="00E93F40">
        <w:rPr>
          <w:rStyle w:val="af0"/>
          <w:i w:val="0"/>
          <w:color w:val="000000" w:themeColor="text1"/>
          <w:sz w:val="16"/>
          <w:szCs w:val="16"/>
        </w:rPr>
        <w:t xml:space="preserve"> </w:t>
      </w:r>
      <w:r w:rsidRPr="00E93F40">
        <w:rPr>
          <w:rStyle w:val="af0"/>
          <w:i w:val="0"/>
          <w:color w:val="000000" w:themeColor="text1"/>
          <w:sz w:val="16"/>
          <w:szCs w:val="16"/>
        </w:rPr>
        <w:t>марта 1930</w:t>
      </w:r>
      <w:r w:rsidR="007C1411" w:rsidRPr="00E93F40">
        <w:rPr>
          <w:rStyle w:val="af0"/>
          <w:i w:val="0"/>
          <w:color w:val="000000" w:themeColor="text1"/>
          <w:sz w:val="16"/>
          <w:szCs w:val="16"/>
        </w:rPr>
        <w:t xml:space="preserve"> </w:t>
      </w:r>
      <w:r w:rsidRPr="00E93F40">
        <w:rPr>
          <w:rStyle w:val="af0"/>
          <w:i w:val="0"/>
          <w:color w:val="000000" w:themeColor="text1"/>
          <w:sz w:val="16"/>
          <w:szCs w:val="16"/>
        </w:rPr>
        <w:t>г.</w:t>
      </w:r>
      <w:r w:rsidR="007C1411" w:rsidRPr="00E93F40">
        <w:rPr>
          <w:rStyle w:val="af0"/>
          <w:i w:val="0"/>
          <w:color w:val="000000" w:themeColor="text1"/>
          <w:sz w:val="16"/>
          <w:szCs w:val="16"/>
        </w:rPr>
        <w:t xml:space="preserve"> </w:t>
      </w:r>
      <w:r w:rsidRPr="00E93F40">
        <w:rPr>
          <w:rStyle w:val="af0"/>
          <w:i w:val="0"/>
          <w:color w:val="000000" w:themeColor="text1"/>
          <w:sz w:val="16"/>
          <w:szCs w:val="16"/>
        </w:rPr>
        <w:t xml:space="preserve">— </w:t>
      </w:r>
      <w:hyperlink r:id="rId100" w:history="1">
        <w:r w:rsidRPr="00E93F40">
          <w:rPr>
            <w:color w:val="000000" w:themeColor="text1"/>
            <w:sz w:val="16"/>
            <w:szCs w:val="16"/>
          </w:rPr>
          <w:t>Из заключения Штаба РККА по докладу командующего войсками Ленинградского военного округа М.</w:t>
        </w:r>
        <w:r w:rsidR="007C1411" w:rsidRPr="00E93F40">
          <w:rPr>
            <w:color w:val="000000" w:themeColor="text1"/>
            <w:sz w:val="16"/>
            <w:szCs w:val="16"/>
          </w:rPr>
          <w:t xml:space="preserve"> </w:t>
        </w:r>
        <w:r w:rsidRPr="00E93F40">
          <w:rPr>
            <w:color w:val="000000" w:themeColor="text1"/>
            <w:sz w:val="16"/>
            <w:szCs w:val="16"/>
          </w:rPr>
          <w:t>Н.</w:t>
        </w:r>
        <w:r w:rsidR="007C1411" w:rsidRPr="00E93F40">
          <w:rPr>
            <w:color w:val="000000" w:themeColor="text1"/>
            <w:sz w:val="16"/>
            <w:szCs w:val="16"/>
          </w:rPr>
          <w:t xml:space="preserve"> </w:t>
        </w:r>
        <w:r w:rsidRPr="00E93F40">
          <w:rPr>
            <w:color w:val="000000" w:themeColor="text1"/>
            <w:sz w:val="16"/>
            <w:szCs w:val="16"/>
          </w:rPr>
          <w:t>Тухачевского об основных направлениях реконструкции РККА</w:t>
        </w:r>
      </w:hyperlink>
      <w:r w:rsidRPr="00E93F40">
        <w:rPr>
          <w:color w:val="000000" w:themeColor="text1"/>
          <w:sz w:val="16"/>
          <w:szCs w:val="16"/>
        </w:rPr>
        <w:t>.</w:t>
      </w:r>
    </w:p>
    <w:p w14:paraId="7BBCB42F" w14:textId="77777777" w:rsidR="00A278E8" w:rsidRPr="00E93F40" w:rsidRDefault="00A278E8" w:rsidP="00E93F40">
      <w:pPr>
        <w:pStyle w:val="ae"/>
        <w:spacing w:before="0" w:after="0"/>
        <w:jc w:val="both"/>
        <w:rPr>
          <w:color w:val="000000" w:themeColor="text1"/>
          <w:sz w:val="16"/>
          <w:szCs w:val="16"/>
        </w:rPr>
      </w:pPr>
      <w:r w:rsidRPr="00E93F40">
        <w:rPr>
          <w:color w:val="000000" w:themeColor="text1"/>
          <w:sz w:val="16"/>
          <w:szCs w:val="16"/>
        </w:rPr>
        <w:t>РГАСПИ. Ф. 558. Оп. 11. Д. 447. Л. 4—7. Автограф.</w:t>
      </w:r>
    </w:p>
    <w:p w14:paraId="11595AAD" w14:textId="0348E3BB"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РГАСПИ. Ф. 558. Оп. 11. Д. 447. Л. 4—7. Автограф. </w:t>
      </w:r>
    </w:p>
    <w:p w14:paraId="2BF84C08" w14:textId="4531DDB0"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662 (12558).</w:t>
      </w:r>
    </w:p>
    <w:p w14:paraId="6F8996AF" w14:textId="77777777" w:rsidR="00A278E8" w:rsidRPr="00E93F40" w:rsidRDefault="00A278E8" w:rsidP="00E93F40">
      <w:pPr>
        <w:spacing w:after="0" w:line="240" w:lineRule="auto"/>
        <w:jc w:val="both"/>
        <w:rPr>
          <w:rFonts w:ascii="Times New Roman" w:hAnsi="Times New Roman"/>
          <w:color w:val="000000" w:themeColor="text1"/>
          <w:sz w:val="16"/>
          <w:szCs w:val="16"/>
        </w:rPr>
      </w:pPr>
    </w:p>
    <w:p w14:paraId="0C66B83B"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мая 1932 г. — Из доклада Военно-морской инспекции НК РКИ СССР председателю СНК и СТО СССР В. М. Молотову о ходе выполнения постановления СТО СССР от 11 января 1932 г. № 7сс по связи</w:t>
      </w:r>
    </w:p>
    <w:p w14:paraId="5BB65E43"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7E4B1E55" w14:textId="54F2FE26"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Военно-морской инспекцией НК РКИ СССР произведена проверка хода выполнения постановления СТО по связи. Установлено, что реализация этого постановления в должном объеме еще не развернута и перелома в этом отношении еще не создано как по линии Наркомвоенмора и Наркомсвязи, так и по линии Наркомтяжпрома. Единственным исключением из этого является план заказов НКВМ промышленности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который достаточно проработан НКВМ и размещен на заводах электропромышленности.</w:t>
      </w:r>
    </w:p>
    <w:p w14:paraId="22D79599"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По НКВМ</w:t>
      </w:r>
    </w:p>
    <w:p w14:paraId="4392C5A8" w14:textId="7E607BCF"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Задания НКВМу имеют в основном 3 раздела: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оснащению РККА новейшими техническими средствами связи, в особенности низших войсковых соединений, танков и авиации;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мобилизационной и организационной подготовке связи, в частности по подготовке аппарата НКСвязи и НКПС в отношении организации аппарата связи на военное время;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кадрам для промышленности и НКСвязи.</w:t>
      </w:r>
    </w:p>
    <w:p w14:paraId="70B584E9" w14:textId="78B5C3DF"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оснащению РККА техническими средствами связи. По первому разделу в отношении оснащения РККА техническими средствами связи проделана значительная работа по проработке плана и размещению заказов промышленности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этом плане предусмотрено: корпусных и дивизионных радиостанций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63, полковых </w:t>
      </w:r>
      <w:r w:rsidRPr="00E93F40">
        <w:rPr>
          <w:rFonts w:ascii="Times New Roman" w:hAnsi="Times New Roman"/>
          <w:color w:val="000000" w:themeColor="text1"/>
          <w:sz w:val="16"/>
          <w:szCs w:val="16"/>
        </w:rPr>
        <w:lastRenderedPageBreak/>
        <w:t>радиостанций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1362, батальонных радиостанций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3318, танковых радиостанций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660, самолетных радиостанций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2076, радиомаяков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 приемников к радиомаякам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130, аэродромных станций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142, пеленгаторных станций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114, телефонов УНА</w:t>
      </w:r>
      <w:r w:rsidRPr="00E93F40">
        <w:rPr>
          <w:rFonts w:ascii="Times New Roman" w:hAnsi="Times New Roman"/>
          <w:color w:val="000000" w:themeColor="text1"/>
          <w:sz w:val="16"/>
          <w:szCs w:val="16"/>
        </w:rPr>
        <w:noBreakHyphen/>
        <w:t>Ф и УНА</w:t>
      </w:r>
      <w:r w:rsidRPr="00E93F40">
        <w:rPr>
          <w:rFonts w:ascii="Times New Roman" w:hAnsi="Times New Roman"/>
          <w:color w:val="000000" w:themeColor="text1"/>
          <w:sz w:val="16"/>
          <w:szCs w:val="16"/>
        </w:rPr>
        <w:noBreakHyphen/>
        <w:t>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светосигнальных приборов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Общая сумма заказов НКВМ промышленности по связи РККА выражается в 88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в 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раза больше по сравнению с прошлым годом, и равняется 2% всей годовой сметы НКВМ (против 0,9% прошлого года).</w:t>
      </w:r>
    </w:p>
    <w:p w14:paraId="7EB8D866"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такой большой рост заказов по оснащению средствами связи РККА, все же потребность армии, в особенности низших войсковых соединений и танков, удовлетворена недостаточно...¹*</w:t>
      </w:r>
    </w:p>
    <w:p w14:paraId="1452C7B4" w14:textId="6F7B7459"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кадрах для промышленности и НКСвязи. Также является не выполненным задание по части усиления аппарата НКСвязи и промышленности военными работниками. Не проработан и не разрешен вопрос об увеличении промышленного отделения по связи в Военно-технической академии РККА до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 Больше того, Военно-технической академии это задание даже не известно, а существующее электропромышленное отд[еление] ликвидируется. Со стороны ГУ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не сделано ровно ничего. Точно так же ничего не сделано в отношении организации подготовки техников связи при одной из нормальных школ связи РККА. Таким образом, НКВМ не выполнено предложение, им же самим выдвинутое, и дело военизации аппарата НКСвязи и промышленности не получает разрешения²*.</w:t>
      </w:r>
    </w:p>
    <w:p w14:paraId="46C4079A"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По электропромышленности</w:t>
      </w:r>
    </w:p>
    <w:p w14:paraId="69647629" w14:textId="479EDFAB"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Заданная ВЭСО производственная программа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360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основном принята. ВЭСО наметило программу в 375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по валовому выпуску и 334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по выпуску годовых изделий. При выполнении этой программы встречается ряд трудностей, так как большинство типов радиостанций строятся впервые по новым образцам.</w:t>
      </w:r>
    </w:p>
    <w:p w14:paraId="4E15ED38" w14:textId="43C8EC6D"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Сырье и полуфабрикаты. Имеются также трудности по снабжению заводов сырьем и полуфабрикатами, особенно по чугунному и цветному литью, кабельным изделиям и антенному канатику, кольчугалюминию, на которые еще не выделены фонды на 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 (28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Недостаточные фонды выделены (от 15 до 50%) по силовым кабелям, эбонитовым изделиям и парусине-брезенту полотну.</w:t>
      </w:r>
    </w:p>
    <w:p w14:paraId="3A3A4D85" w14:textId="45B5E366"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Реконструкция и расширение заводов ВЭСО. Для выполнения программы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ВЭСО производит строительство по расширению и реконструкции заводов «Электроприбор»,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Козицкого, «Коминтерн» и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Кулакова. Предусмотренные постановлением работы по переводу телеграфного цеха с завода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Козицкого на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Кулакова выполнены. Заводом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Кулакова получено помещение цинкографии и уже приспособлено под производство. Проводится организация цеха телемеханики на заводе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Козицкого: выделена площадь около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м², закупается импортное оборудование, но производство должным образом еще не налажено. Выполнение программы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телемеханике вызывает серьезные опасения.</w:t>
      </w:r>
    </w:p>
    <w:p w14:paraId="69BCA86D" w14:textId="3B53247C"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Реконструкция заводов, связанная с капитальными достройками («Электроприбор», «Коминтерн»), испытывает задержки из-за не выделения ленинградскими организациями местных фондов стройматериалов в 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Фонды на 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 намечены недостаточные, материалы предположено получить во второй половине мая месяца, после чего работы должны возобновиться, но темпы работ будут связаны с наличием материалов.</w:t>
      </w:r>
    </w:p>
    <w:p w14:paraId="059657E2" w14:textId="1EF2C184"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части импортного оборудования валютные фонды НКТП выделены не полностью. На выделенную сумму размещаются заказы на оборудование за границей комиссией ВЭСО. При этом нужно отметить задержку со стороны ИНО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НКТП в выделении ВЭСО 350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валюты благодаря неправильному толкованию постановления СТО и отчуждении этой суммы не по назначению. Несмотря на указание на этот счет со стороны Военно-морской инспекции НК РКИ, дело задерживается и приняло форму волокиты.</w:t>
      </w:r>
    </w:p>
    <w:p w14:paraId="73B63D5C" w14:textId="4F7E6063"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несмотря на целый ряд затруднений, заводы ВЭСО имеют возможность полностью выполнить установленную для них программу по плану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 обеспечении со стороны НКТП необходимыми материалами и мероприятиями по реконструкции заводов.</w:t>
      </w:r>
    </w:p>
    <w:p w14:paraId="315CDE78" w14:textId="55A7A09F"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Радиомашинки. Радиомашинками должно обеспечить ВЭО. Программа по мелким радиомашинам распределена между двумя заводами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заводом «Электрик» в Ленинграде и заводом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Лепсе в Москве. Завод «Электрик» вполне освоил производство этих машин в течение целого ряда лет. Поэтому выполнение программы здесь не вызывает опасений. Производство на заводе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Лепсе переведено с «Электрозавода» в феврале-марте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благодаря чему здесь ощущается еще целый ряд организационных неполадок. Тем не менее, программа по мелким радиомашинкам не вызывает особых опасений, так как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Лепсе является в производственном отношении заводом крепким и заслуженным.</w:t>
      </w:r>
    </w:p>
    <w:p w14:paraId="52CF78BC"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Хуже обстоит дело с агрегатами АБС для радиостанций подводных лодок. ВЭО с самого начала не уделило организации этого дела должного внимания, благодаря чему потеряны сроки. Имеются опасения, что для первой серии подлодок завод «Электрик» запоздает с выпуском агрегатов «С», так как завод «Электросила» запаздывает с выпуском образцов этой серии.</w:t>
      </w:r>
    </w:p>
    <w:p w14:paraId="7C57A7A6" w14:textId="71FFFB40"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Щелочные аккумуляторы. Для питания радиостанций необходимы щелочные аккумуляторы. Постановление предусматривает постройку специального завода (в Саратове) щелочных аккумуляторов. Строительство завода должно быть закончено с таким расчетом, чтобы начиная с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начать производство щелочных аккумуляторов и произвести до конца года выпуск не менее 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ампер-часов. Отпущено 350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валюты на закупку необходимого импортного оборудования и доставку его на завод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НКТП задание это не выполнено, почему вся программа по радиовооружению РККА будет сорвана (если не будет обеспечена импортом).</w:t>
      </w:r>
    </w:p>
    <w:p w14:paraId="49C785F6"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Строительные работы задерживались из-за отсутствия строительных материалов, транспорта и рабочей силы. Внутреннее оборудование и, особенно, электрооборудование не размещено на заводах ВЭО (размещено около 40%), хотя строительство находилось в составе ВЭО.</w:t>
      </w:r>
    </w:p>
    <w:p w14:paraId="066B158C" w14:textId="4919A16B"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Импортное оборудование не только не доставлено на завод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но даже полностью не размещены заказы за границей. При этом основное оборудование, без которого не может быть начато производство аккумуляторов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брикетировочные машины, никелировочный агрегат, мельницы,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предполагается разместить только в конце года, о чем комиссия ВЭО в Германии вела переписку с заводом.</w:t>
      </w:r>
    </w:p>
    <w:p w14:paraId="552653E8" w14:textId="4315C5C0"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особо отметить, что производство щелочных аккумуляторов у нас налаживается впервые, благодаря чему возможны затруднения в период пуска завода и налаживания производства. Все это еще более усугубляет угрозу срыва по обеспечению радиостанций аккумуляторами и в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даже в начале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A6DC007" w14:textId="73B4C71A"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тем это строительство по своим размерам материальных затрат не является большим и сложным, поэтому не было никаких особых трудностей по своевременному его проведению. Невыполнение же в срок следует объяснить исключительно бездействием со стороны ГВМУ НКТП и, особенно, правления ВЭО, Примером этого бездействия может служить то обстоятельство, что не был составлен план организационных мероприятий по обеспечению всех основных элементов строительства. Не было мобилизовано внимание к этому строительству Нижневолжского краевого комитета ВКП(б), который узнал о важности строительства только в начале апреля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 комиссии 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РКИ, Сам завод (заводоуправление) узнал о переводе его к разряду сверхударных только в конце марта,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через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месяца после постановления СТО, и даже не от ВЭО, а от местного банка, благодаря изменению формы отчетности. Директор завода был отпущен в отпуск, по словам зам. секретаря Н[ижне]в[олжского] крайкома, из-за отсутствия работы, так как строительство было почти законсервировано.</w:t>
      </w:r>
    </w:p>
    <w:p w14:paraId="1F6C90BB"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ГВМУ не отнесло строительство завода к числу «специальных» для наблюдения за ним по линии спецорганов промышленности и Наркомвнешторга и вообще не сделало буквально ничего для его обеспечения,</w:t>
      </w:r>
    </w:p>
    <w:p w14:paraId="22F914A7"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 Капитальное строительство</w:t>
      </w:r>
    </w:p>
    <w:p w14:paraId="4899FF6B" w14:textId="34E50666"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намечено развертывание электропромышленности связи с 220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 360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 800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Для обеспечения этой программы и создания промышленной базы технических средств связи намечена постройка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следующих заводов: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точной электромеханики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ЗАТЭМ;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телемеханики «Радиоприбор»;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«Мосрадио»;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«Радиолампа», на что отпущено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14,15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из которых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валюте. Заводы предположено строить в составе так называемого радиогородка в Москве.</w:t>
      </w:r>
    </w:p>
    <w:p w14:paraId="56E880EA" w14:textId="703778D8"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Составлен эскизный план размещения заводов «радиогородка», но генерального плана самого строительства заводов еще нет. Нет также проектов по отдельным заводам. Проектирование ведется недостаточными темпами. Между тем строительство заводов должно быть закончено в октябре-ноябре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с 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заводы должны начать выпуск готовых изделий.</w:t>
      </w:r>
    </w:p>
    <w:p w14:paraId="30A67111"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намеченных заводов в настоящее время ведется строительство завода телемеханики «Радиоприбор». Под этот завод предоставлена коробка, предназначавшаяся ранее заводу «Мосрадио». Утвержденного плана и проекта «Радиоприбора» еще нет, и строительство, таким образом, ведется без проекта. К строительству остальных заводов еще не приступлено.</w:t>
      </w:r>
    </w:p>
    <w:p w14:paraId="7C4C6DC4"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Заказы на импортное оборудование размещаются на основании эскизных проектов только для завода ЗАТЭМ. Для остальных заводов валютные средства еще не отпущены. Внутреннее оборудование не наряжено. Строительство заводов не обеспечивается стройматериалами, в особенности лесом. Работы по строительству не развернуты из-за отсутствия рабсилы по вине 22</w:t>
      </w:r>
      <w:r w:rsidRPr="00E93F40">
        <w:rPr>
          <w:rFonts w:ascii="Times New Roman" w:hAnsi="Times New Roman"/>
          <w:color w:val="000000" w:themeColor="text1"/>
          <w:sz w:val="16"/>
          <w:szCs w:val="16"/>
        </w:rPr>
        <w:noBreakHyphen/>
        <w:t>го стройтреста.</w:t>
      </w:r>
    </w:p>
    <w:p w14:paraId="1B1BFB2E"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строительство этих заводов находится в таком состоянии, что внушает серьезные опасения за окончание их в назначенные сроки. Если заводы ЗАТЭМ и «Радиоприбор» и получают некоторое обеспечение стройматериалами и оборудованием, то заводы «Мосрадио» и «Радиолампа» совершенно не обеспечиваются и в назначенные сроки, как видно, построены не будут. Между тем эти заводы совершенно необходимы. В частности, как известно, вся наша современная радиопромышленность опирается на единственный завод радиоламп «Светлана» в Ленинграде, и дальнейшее развитие радиотехники и телемеханики упирается и тормозится из-за узкой технической и производственной базы по радиолампам.</w:t>
      </w:r>
    </w:p>
    <w:p w14:paraId="1B7FDAAC" w14:textId="4C6D853C"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следует отметить, что будущие заводы «радиогородка» не обеспечиваются жилищным строительством, что уже теперь вызывает большие трудности как по организации самого строительства, так и по подбору будущих работников завода. Что касается строительства заводов, назначенных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то на них составляются только промзадания, а к самому проектированию еще не приступлено.</w:t>
      </w:r>
    </w:p>
    <w:p w14:paraId="12F4AC7D" w14:textId="06FCE2BE"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это заставляет серьезно опасаться, что строительство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своевременно выполнено не будет и развертывание производственной программы ВЭСО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обеспечено не будет также, если в самое ближайшее время со стороны НКТП не будут приняты реальные меры.</w:t>
      </w:r>
    </w:p>
    <w:p w14:paraId="4F89ED22"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VI. По НКТП</w:t>
      </w:r>
    </w:p>
    <w:p w14:paraId="795B1441" w14:textId="0338AD28"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НКТП, в частности ГВМУ, не уделено внимания заданию по организации производства в 1932</w:t>
      </w:r>
      <w:r w:rsidR="007C1411" w:rsidRPr="00E93F40">
        <w:rPr>
          <w:color w:val="000000" w:themeColor="text1"/>
          <w:sz w:val="16"/>
          <w:szCs w:val="16"/>
        </w:rPr>
        <w:t xml:space="preserve"> </w:t>
      </w:r>
      <w:r w:rsidRPr="00E93F40">
        <w:rPr>
          <w:color w:val="000000" w:themeColor="text1"/>
          <w:sz w:val="16"/>
          <w:szCs w:val="16"/>
        </w:rPr>
        <w:t>г. тантала, молибдена, а также добыче пьезокварца, кадмия и сурьмы. Не налажена выработка «искусственной двуокиси марганца» для повышения качества гальванических элементов и даже не известно, кто этим должен заниматься. Завод «Мосэлемент» ведет эти работы по собственному разумению</w:t>
      </w:r>
      <w:r w:rsidR="007C1411" w:rsidRPr="00E93F40">
        <w:rPr>
          <w:color w:val="000000" w:themeColor="text1"/>
          <w:sz w:val="16"/>
          <w:szCs w:val="16"/>
        </w:rPr>
        <w:t xml:space="preserve"> </w:t>
      </w:r>
      <w:r w:rsidRPr="00E93F40">
        <w:rPr>
          <w:color w:val="000000" w:themeColor="text1"/>
          <w:sz w:val="16"/>
          <w:szCs w:val="16"/>
        </w:rPr>
        <w:t>— кустарно и без всякого руководства.</w:t>
      </w:r>
    </w:p>
    <w:p w14:paraId="3624F8D3" w14:textId="308058DF"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Не создана качественная сырьевая база добычи и обогащения графита, благодаря чему элементные заводы по-прежнему не обеспечиваются качественным графитом. НКТП и Минералруд ровно ничего не сделали и не делают в этом отношении. Не выполнено задание по форсированию производства стально-луженой проволоки диаметром 0,3 и 0,41</w:t>
      </w:r>
      <w:r w:rsidR="007C1411" w:rsidRPr="00E93F40">
        <w:rPr>
          <w:color w:val="000000" w:themeColor="text1"/>
          <w:sz w:val="16"/>
          <w:szCs w:val="16"/>
        </w:rPr>
        <w:t xml:space="preserve"> </w:t>
      </w:r>
      <w:r w:rsidRPr="00E93F40">
        <w:rPr>
          <w:color w:val="000000" w:themeColor="text1"/>
          <w:sz w:val="16"/>
          <w:szCs w:val="16"/>
        </w:rPr>
        <w:t>мм для удовлетворения РККА в полевых телефонных кабелях. Хотя само производство и можно считать налаженным, но оно задерживается из-за невыделения металла. Не обеспечивается выполнение задания по постановке производства в 1932</w:t>
      </w:r>
      <w:r w:rsidR="007C1411" w:rsidRPr="00E93F40">
        <w:rPr>
          <w:color w:val="000000" w:themeColor="text1"/>
          <w:sz w:val="16"/>
          <w:szCs w:val="16"/>
        </w:rPr>
        <w:t xml:space="preserve"> </w:t>
      </w:r>
      <w:r w:rsidRPr="00E93F40">
        <w:rPr>
          <w:color w:val="000000" w:themeColor="text1"/>
          <w:sz w:val="16"/>
          <w:szCs w:val="16"/>
        </w:rPr>
        <w:t>г. химически чистого свинца, сурика и глета для удовлетворения потребностей аккумуляторной промышленности.</w:t>
      </w:r>
    </w:p>
    <w:p w14:paraId="436A9031" w14:textId="77777777"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VII. Общее заключение о ходе реализации постановления СТО по связи</w:t>
      </w:r>
    </w:p>
    <w:p w14:paraId="6A2A83F6" w14:textId="574163D3"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Со стороны НКВМ не обеспечено должное руководство в проведении организационных мероприятий по разработке планов подготовки аппарата НКСвязи и НКПС по организации связи на военное время.</w:t>
      </w:r>
    </w:p>
    <w:p w14:paraId="7C155E3D" w14:textId="6B8AAB2D"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В части выполнения промышленностью заказов НКВМ производственная программа 1932</w:t>
      </w:r>
      <w:r w:rsidR="007C1411" w:rsidRPr="00E93F40">
        <w:rPr>
          <w:color w:val="000000" w:themeColor="text1"/>
          <w:sz w:val="16"/>
          <w:szCs w:val="16"/>
        </w:rPr>
        <w:t xml:space="preserve"> </w:t>
      </w:r>
      <w:r w:rsidRPr="00E93F40">
        <w:rPr>
          <w:color w:val="000000" w:themeColor="text1"/>
          <w:sz w:val="16"/>
          <w:szCs w:val="16"/>
        </w:rPr>
        <w:t>г. особых опасений не вызывает, за исключением программы по щелочным аккумуляторам.</w:t>
      </w:r>
    </w:p>
    <w:p w14:paraId="5ACD3D40" w14:textId="43C6C5CC"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План строительства завода щелочных аккумуляторов сорван, благодаря чему находится под угрозой срыва обеспечение аккумуляторами всей программы по радио-вооружению РККА.</w:t>
      </w:r>
    </w:p>
    <w:p w14:paraId="0EB39A18" w14:textId="4A289705"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Наркомтяжпромом не обеспечивается строительство заводов ЗАТЭМ, «Радиоприбор», «Мосрадио» и «Радиолампа» своевременным выделением фондов на строительные материалы и оборудование, благодаря чему не будет обеспечена производственная программа 1933</w:t>
      </w:r>
      <w:r w:rsidR="007C1411" w:rsidRPr="00E93F40">
        <w:rPr>
          <w:color w:val="000000" w:themeColor="text1"/>
          <w:sz w:val="16"/>
          <w:szCs w:val="16"/>
        </w:rPr>
        <w:t xml:space="preserve"> </w:t>
      </w:r>
      <w:r w:rsidRPr="00E93F40">
        <w:rPr>
          <w:color w:val="000000" w:themeColor="text1"/>
          <w:sz w:val="16"/>
          <w:szCs w:val="16"/>
        </w:rPr>
        <w:t>г. по вооружению РККА техническими средствами связи.</w:t>
      </w:r>
    </w:p>
    <w:p w14:paraId="1B2B3608" w14:textId="77777777" w:rsidR="00A278E8" w:rsidRPr="00E93F40" w:rsidRDefault="00A278E8"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Член коллегии НК РКИ СССР, начальник ВМИ </w:t>
      </w:r>
      <w:hyperlink r:id="rId101" w:history="1">
        <w:r w:rsidRPr="00E93F40">
          <w:rPr>
            <w:rStyle w:val="af0"/>
            <w:i w:val="0"/>
            <w:color w:val="000000" w:themeColor="text1"/>
            <w:sz w:val="16"/>
            <w:szCs w:val="16"/>
          </w:rPr>
          <w:t>Куйбышев</w:t>
        </w:r>
      </w:hyperlink>
    </w:p>
    <w:p w14:paraId="63C483EE" w14:textId="77777777" w:rsidR="00A278E8" w:rsidRPr="00E93F40" w:rsidRDefault="00A278E8"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p>
    <w:p w14:paraId="0506360E" w14:textId="4DC746F8"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 подраздел «По мобилизационной и организационной подготовке связи».</w:t>
      </w:r>
    </w:p>
    <w:p w14:paraId="5A545C79" w14:textId="38AE9CEE" w:rsidR="00A278E8" w:rsidRPr="00E93F40" w:rsidRDefault="00A278E8"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разделы «II.</w:t>
      </w:r>
      <w:r w:rsidR="007C1411" w:rsidRPr="00E93F40">
        <w:rPr>
          <w:color w:val="000000" w:themeColor="text1"/>
          <w:sz w:val="16"/>
          <w:szCs w:val="16"/>
        </w:rPr>
        <w:t xml:space="preserve"> </w:t>
      </w:r>
      <w:r w:rsidRPr="00E93F40">
        <w:rPr>
          <w:color w:val="000000" w:themeColor="text1"/>
          <w:sz w:val="16"/>
          <w:szCs w:val="16"/>
        </w:rPr>
        <w:t>По НКСвязи» и «III.</w:t>
      </w:r>
      <w:r w:rsidR="007C1411" w:rsidRPr="00E93F40">
        <w:rPr>
          <w:color w:val="000000" w:themeColor="text1"/>
          <w:sz w:val="16"/>
          <w:szCs w:val="16"/>
        </w:rPr>
        <w:t xml:space="preserve"> </w:t>
      </w:r>
      <w:r w:rsidRPr="00E93F40">
        <w:rPr>
          <w:color w:val="000000" w:themeColor="text1"/>
          <w:sz w:val="16"/>
          <w:szCs w:val="16"/>
        </w:rPr>
        <w:t>По ВОГВФ».</w:t>
      </w:r>
    </w:p>
    <w:p w14:paraId="716C804B" w14:textId="740DF5B4" w:rsidR="00A278E8" w:rsidRPr="00E93F40" w:rsidRDefault="00A278E8" w:rsidP="00E93F40">
      <w:pPr>
        <w:pStyle w:val="ae"/>
        <w:spacing w:before="0" w:after="0"/>
        <w:jc w:val="both"/>
        <w:rPr>
          <w:color w:val="000000" w:themeColor="text1"/>
          <w:sz w:val="16"/>
          <w:szCs w:val="16"/>
        </w:rPr>
      </w:pPr>
      <w:r w:rsidRPr="00E93F40">
        <w:rPr>
          <w:color w:val="000000" w:themeColor="text1"/>
          <w:sz w:val="16"/>
          <w:szCs w:val="16"/>
        </w:rPr>
        <w:t>ГА</w:t>
      </w:r>
      <w:r w:rsidR="007C1411" w:rsidRPr="00E93F40">
        <w:rPr>
          <w:color w:val="000000" w:themeColor="text1"/>
          <w:sz w:val="16"/>
          <w:szCs w:val="16"/>
        </w:rPr>
        <w:t xml:space="preserve"> </w:t>
      </w:r>
      <w:r w:rsidRPr="00E93F40">
        <w:rPr>
          <w:color w:val="000000" w:themeColor="text1"/>
          <w:sz w:val="16"/>
          <w:szCs w:val="16"/>
        </w:rPr>
        <w:t>РФ. Ф.</w:t>
      </w:r>
      <w:r w:rsidR="007C1411" w:rsidRPr="00E93F40">
        <w:rPr>
          <w:color w:val="000000" w:themeColor="text1"/>
          <w:sz w:val="16"/>
          <w:szCs w:val="16"/>
        </w:rPr>
        <w:t xml:space="preserve"> </w:t>
      </w:r>
      <w:r w:rsidRPr="00E93F40">
        <w:rPr>
          <w:color w:val="000000" w:themeColor="text1"/>
          <w:sz w:val="16"/>
          <w:szCs w:val="16"/>
        </w:rPr>
        <w:t>Р-8418. Оп.</w:t>
      </w:r>
      <w:r w:rsidR="007C1411" w:rsidRPr="00E93F40">
        <w:rPr>
          <w:color w:val="000000" w:themeColor="text1"/>
          <w:sz w:val="16"/>
          <w:szCs w:val="16"/>
        </w:rPr>
        <w:t xml:space="preserve"> </w:t>
      </w:r>
      <w:r w:rsidRPr="00E93F40">
        <w:rPr>
          <w:color w:val="000000" w:themeColor="text1"/>
          <w:sz w:val="16"/>
          <w:szCs w:val="16"/>
        </w:rPr>
        <w:t>5. Д.</w:t>
      </w:r>
      <w:r w:rsidR="007C1411" w:rsidRPr="00E93F40">
        <w:rPr>
          <w:color w:val="000000" w:themeColor="text1"/>
          <w:sz w:val="16"/>
          <w:szCs w:val="16"/>
        </w:rPr>
        <w:t xml:space="preserve"> </w:t>
      </w:r>
      <w:r w:rsidRPr="00E93F40">
        <w:rPr>
          <w:color w:val="000000" w:themeColor="text1"/>
          <w:sz w:val="16"/>
          <w:szCs w:val="16"/>
        </w:rPr>
        <w:t>61. Л.</w:t>
      </w:r>
      <w:r w:rsidR="007C1411" w:rsidRPr="00E93F40">
        <w:rPr>
          <w:color w:val="000000" w:themeColor="text1"/>
          <w:sz w:val="16"/>
          <w:szCs w:val="16"/>
        </w:rPr>
        <w:t xml:space="preserve"> </w:t>
      </w:r>
      <w:r w:rsidRPr="00E93F40">
        <w:rPr>
          <w:color w:val="000000" w:themeColor="text1"/>
          <w:sz w:val="16"/>
          <w:szCs w:val="16"/>
        </w:rPr>
        <w:t>269-275. Подлинник.</w:t>
      </w:r>
    </w:p>
    <w:p w14:paraId="6A82C47D" w14:textId="1E8F7550"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5. Д. 61. Л. 269-275. Подлинник. </w:t>
      </w:r>
    </w:p>
    <w:p w14:paraId="35B8EA5E" w14:textId="54A13A3D" w:rsidR="00A278E8" w:rsidRPr="00E93F40" w:rsidRDefault="00A278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657-661 (12557).</w:t>
      </w:r>
    </w:p>
    <w:p w14:paraId="1203F4C3" w14:textId="77777777" w:rsidR="00A278E8" w:rsidRPr="00E93F40" w:rsidRDefault="00A278E8" w:rsidP="00E93F40">
      <w:pPr>
        <w:spacing w:after="0" w:line="240" w:lineRule="auto"/>
        <w:jc w:val="both"/>
        <w:rPr>
          <w:rFonts w:ascii="Times New Roman" w:hAnsi="Times New Roman"/>
          <w:color w:val="000000" w:themeColor="text1"/>
          <w:sz w:val="16"/>
          <w:szCs w:val="16"/>
        </w:rPr>
      </w:pPr>
    </w:p>
    <w:p w14:paraId="3CD1A3C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5185A37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DD3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7 и 13 мая 1932. Из протокола заседания Политбюро № 98, 1932 г.</w:t>
      </w:r>
    </w:p>
    <w:p w14:paraId="5748C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снабжении мясом красноармейцев </w:t>
      </w:r>
    </w:p>
    <w:p w14:paraId="1E7673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Установить для состава РККА и войск ОГПУ один день в пятидневку выдачу рыбы вместо мяса в том же количестве. </w:t>
      </w:r>
    </w:p>
    <w:p w14:paraId="4143F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В отношении других категорий, получающих красноармейский паек, установить два дня в пятидневку выдачу рыбы вместо мяса. </w:t>
      </w:r>
    </w:p>
    <w:p w14:paraId="68B418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Поручить тт. Микояну, Ворошилову и Менжинскому договориться об увеличении норм выдачи овощей с тем, чтобы уменьшение выдачи мяса не могло отразиться на общей питательности пайка (11652).</w:t>
      </w:r>
    </w:p>
    <w:p w14:paraId="6015A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1D42C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2988FD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1D2C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7 и 13 мая 1932. Из протокола заседания Политбюро № 97, 1932 г.</w:t>
      </w:r>
    </w:p>
    <w:p w14:paraId="2DCF3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гараже ЦИК СССР </w:t>
      </w:r>
    </w:p>
    <w:p w14:paraId="01B93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Признать целесообразным организацию специального гаража с квартирами для шоферов ЦИК СССР с тем, чтобы строительство этого гаража было обеспечено строительными материалами. </w:t>
      </w:r>
    </w:p>
    <w:p w14:paraId="38DA96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Существующий ныне гараж (бывший манеж) передать Московскому Совету для кино и заводских собраний (11652).</w:t>
      </w:r>
    </w:p>
    <w:p w14:paraId="34C6E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191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7 и 13 мая 1932. Из протокола заседания Политбюро № 97, 1932 г.</w:t>
      </w:r>
    </w:p>
    <w:p w14:paraId="57139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финансировании марксистско-ленинского воспитания, подготовки партийного и комсомольского актива </w:t>
      </w:r>
    </w:p>
    <w:p w14:paraId="25ADA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Согласиться с предложениями НКФ СССР о выделении из резервного фонда СНК СССР 10 млн. рублей на партийное просвещение и 5 млн. рублей на комсомольское политобразование (11652).</w:t>
      </w:r>
    </w:p>
    <w:p w14:paraId="13391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3465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7 и 13 мая 1932. Из протокола заседания Политбюро № 97, 1932 г.</w:t>
      </w:r>
    </w:p>
    <w:p w14:paraId="681BF5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технической консультации по строительству метро </w:t>
      </w:r>
    </w:p>
    <w:p w14:paraId="1396C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Разрешить вызвать для консультации по строительству метро иностранных специалистов из Англии, Америки, Франции и Германии и отпустить для этой цели 50 тыс. долларов (11652).</w:t>
      </w:r>
    </w:p>
    <w:p w14:paraId="1A24B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DF5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7 и 13 мая 1932. Из протокола заседания Политбюро № 98, 1932 г.</w:t>
      </w:r>
    </w:p>
    <w:p w14:paraId="4D60F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пересмотре цен </w:t>
      </w:r>
    </w:p>
    <w:p w14:paraId="1B5F8D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Пересмотреть существующие отпускные цены на изделия трикотажной промышленности, повысив их в среднем по всему ассортименту на 10%. </w:t>
      </w:r>
    </w:p>
    <w:p w14:paraId="3BB5E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Повысить существующие цены на ткани шерстяной промышленности, поступающие в метровую продажу, в среднем на 100%, произведя выравнивание цен между отдельными группами шерстяных тканей. На головные платки шерстяной промышленности цены повысить на 50%. </w:t>
      </w:r>
    </w:p>
    <w:p w14:paraId="4B60AA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Повысить отпускные цены на льняные ткани и льняной штучный товар на 76% (11652).</w:t>
      </w:r>
    </w:p>
    <w:p w14:paraId="566DC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DF202F" w14:textId="77777777" w:rsidR="00BA083A"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9E27999" w14:textId="77777777" w:rsidR="00BA083A" w:rsidRPr="00E93F40" w:rsidRDefault="00BA083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05FCA36" w14:textId="77777777" w:rsidR="00BA083A" w:rsidRPr="00E93F40" w:rsidRDefault="00BA08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мая в 1932 году в Альтенрхейне впервые полетел </w:t>
      </w:r>
      <w:hyperlink r:id="rId102" w:tgtFrame="_blank" w:history="1">
        <w:r w:rsidRPr="00E93F40">
          <w:rPr>
            <w:rFonts w:ascii="Times New Roman" w:hAnsi="Times New Roman"/>
            <w:color w:val="000000" w:themeColor="text1"/>
            <w:sz w:val="16"/>
            <w:szCs w:val="16"/>
          </w:rPr>
          <w:t xml:space="preserve">«Дорнье» «Dо.11». </w:t>
        </w:r>
      </w:hyperlink>
      <w:r w:rsidRPr="00E93F40">
        <w:rPr>
          <w:rFonts w:ascii="Times New Roman" w:hAnsi="Times New Roman"/>
          <w:color w:val="000000" w:themeColor="text1"/>
          <w:sz w:val="16"/>
          <w:szCs w:val="16"/>
        </w:rPr>
        <w:t>Это был двухмоторный подкосный моноплан с металлическим трехлонжеронным крылом, обшитым тканью, цельнометаллическим фюзеляжем и убираемыми стойками шасси. Последнее было новинкой для европейских бомбардировщиков, хотя в США годом раньше летали «ХВ-7» «Дугласа» и «YВ-8» «Фоккера», также имевшие убирающиеся шасси. Главные стойки шасси крепились с помощью Y-образной стойки к фюзеляжу и вертикальной стойкой на шарнире, которые, поворачиваясь на 90град, убирали шасси в двигательные гондолы, а верхняя точка вертикальной стойки скользила под крылом к фюзеляжу, укладываясь вдоль размаха крыла. Уборку планировалось осуществлять электромотором, но электрическая система оказалась непригодной и использовалась ручная система уборки (14884).</w:t>
      </w:r>
    </w:p>
    <w:p w14:paraId="45DD351C" w14:textId="77777777" w:rsidR="00BA083A" w:rsidRPr="00E93F40" w:rsidRDefault="00BA083A" w:rsidP="00E93F40">
      <w:pPr>
        <w:spacing w:after="0" w:line="240" w:lineRule="auto"/>
        <w:jc w:val="both"/>
        <w:rPr>
          <w:rFonts w:ascii="Times New Roman" w:hAnsi="Times New Roman"/>
          <w:color w:val="000000" w:themeColor="text1"/>
          <w:sz w:val="16"/>
          <w:szCs w:val="16"/>
        </w:rPr>
      </w:pPr>
    </w:p>
    <w:p w14:paraId="15EBD1E3"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мая 1932 состоялся первый полет Дорнье До 10 (20803).</w:t>
      </w:r>
    </w:p>
    <w:p w14:paraId="12DFBFC5" w14:textId="77777777" w:rsidR="005F6928" w:rsidRPr="00E93F40" w:rsidRDefault="005F6928" w:rsidP="00E93F40">
      <w:pPr>
        <w:spacing w:after="0" w:line="240" w:lineRule="auto"/>
        <w:jc w:val="both"/>
        <w:rPr>
          <w:rFonts w:ascii="Times New Roman" w:hAnsi="Times New Roman"/>
          <w:color w:val="000000" w:themeColor="text1"/>
          <w:sz w:val="16"/>
          <w:szCs w:val="16"/>
        </w:rPr>
      </w:pPr>
    </w:p>
    <w:p w14:paraId="7D63B146"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7 мая 1932 г. русский эмигрант Павел Горгулов убивает французского президента Поля Думера. Это вызвало новое обострение отношений, грозившее разрывом, и даже пого</w:t>
      </w:r>
      <w:r w:rsidRPr="00142305">
        <w:rPr>
          <w:rStyle w:val="aff"/>
          <w:rFonts w:ascii="Times New Roman" w:hAnsi="Times New Roman" w:cs="Times New Roman"/>
          <w:color w:val="0070C0"/>
          <w:spacing w:val="0"/>
          <w:sz w:val="16"/>
          <w:szCs w:val="16"/>
        </w:rPr>
        <w:softHyphen/>
        <w:t>варивали о войне. Однако затем Франция пошла на объяв</w:t>
      </w:r>
      <w:r w:rsidRPr="00142305">
        <w:rPr>
          <w:rStyle w:val="aff"/>
          <w:rFonts w:ascii="Times New Roman" w:hAnsi="Times New Roman" w:cs="Times New Roman"/>
          <w:color w:val="0070C0"/>
          <w:spacing w:val="0"/>
          <w:sz w:val="16"/>
          <w:szCs w:val="16"/>
        </w:rPr>
        <w:softHyphen/>
        <w:t>ление Горгулова сумасшедшим и 29 ноября 1932 г. советский посол Валериан Довгалевский и президент Франции Эдуард Эррио подписали исторический договор о ненападении (25668).</w:t>
      </w:r>
    </w:p>
    <w:p w14:paraId="7494CB14" w14:textId="77777777" w:rsidR="00560CA8" w:rsidRPr="00142305" w:rsidRDefault="00560CA8" w:rsidP="00560CA8">
      <w:pPr>
        <w:spacing w:after="0" w:line="240" w:lineRule="auto"/>
        <w:jc w:val="both"/>
        <w:rPr>
          <w:rFonts w:ascii="Times New Roman" w:hAnsi="Times New Roman"/>
          <w:color w:val="0070C0"/>
          <w:sz w:val="16"/>
          <w:szCs w:val="16"/>
        </w:rPr>
      </w:pPr>
    </w:p>
    <w:p w14:paraId="524B558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F1DEF0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6762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1930 года по 8 мая 1932 года из двух пушек, установленных на истребителе "Z", было произведено 192 выстрела (95 и 97). В начале испытания в левой пушке произошло раздутие канала ствола. При перезаряжании происходило ряд задержек как-то: не досылка снарядов вследствие недостаточных усилий амортизатора, не досылка снаряда вследствие застревания в канале ствола стержня от предшествовавшего патрона, выпадение снаряда из лотка пушки, выдвижение от сотрясения очередного снаряда на лоток и защемление его прибойником и просто не перезпряжение после выстрелов (7470, 244)..</w:t>
      </w:r>
    </w:p>
    <w:p w14:paraId="5B44C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1932 в ЦАГИ состоялось расширенное заседание о выполнении требований НИИ ВВС по устранению недостатков на ТБ-3 (АНТ-6) (1077,124).</w:t>
      </w:r>
    </w:p>
    <w:p w14:paraId="794A4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344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1932 года зам. начальника НИИ ВВС Аузан писал письмо N 80с начальнику ВВС Меженинову.</w:t>
      </w:r>
    </w:p>
    <w:p w14:paraId="198C8F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октябре 1931 года НИИ был испытан винт конструкции Никифорова для с-та И-5 М-22. Данные испытания показали, что винт Никифорова уступает по своим летным характеристикам винту, находящемуся в настоящее время на вооружении самолета И-5 М-22.</w:t>
      </w:r>
    </w:p>
    <w:p w14:paraId="405C6C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это 3 управление дало заказ на изготовление 70 шт. винтов Никифорова. Эти винты были изготовлены в срочном порядке и разосланы по частям ВВС.</w:t>
      </w:r>
    </w:p>
    <w:p w14:paraId="34CA1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Постановка винтов Никифорова на самолет И5-М22 уничтожает преимущества этого самолета со стороны его летных качеств и ставит его ниже самолетов И3 и И4. (3025,13-14).</w:t>
      </w:r>
    </w:p>
    <w:p w14:paraId="46DEC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455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1932 года были прерваны испытания С62 КЭ-АССО 750 (заводской N ОЕ-78), которые начались 9 апреля 1932. Испытания полностью не были проведены, т.к. самолет передан в Северную экспедицию (2996).</w:t>
      </w:r>
    </w:p>
    <w:p w14:paraId="5F04B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w:t>
      </w:r>
    </w:p>
    <w:p w14:paraId="52786F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С62 КЭ-АССО 750 в сравнении с С62б-АССО 750.</w:t>
      </w:r>
    </w:p>
    <w:p w14:paraId="714A51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перетяжелен на 274 кг.</w:t>
      </w:r>
    </w:p>
    <w:p w14:paraId="4B253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данным заводских испытаний имеет максимальную скорость 200 км/час.</w:t>
      </w:r>
    </w:p>
    <w:p w14:paraId="6E068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имеет потолок 4220 м (по гос. испытаниям).</w:t>
      </w:r>
    </w:p>
    <w:p w14:paraId="0B196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Подробная оценка самолетов С62 КЭ-АССО 750 не является необходимой, т.к. серия невелика (5 шт.) и является промежуточной между С62б и МБР4.</w:t>
      </w:r>
    </w:p>
    <w:p w14:paraId="684B6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Самолеты С62 КЭ целесообразно сдать в школу морлетов для обучения молодых летчиков. Этим строевые части будут избавлены от разнотипных самолетов на вооружение.</w:t>
      </w:r>
    </w:p>
    <w:p w14:paraId="2F6558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Техническая эксплуатация С62 КЭ не отличается от эксплуатации С62б-АССО750. (2996,13-14).</w:t>
      </w:r>
    </w:p>
    <w:p w14:paraId="5E01A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167429" w14:textId="77777777" w:rsidR="00BA083A"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572F6AD" w14:textId="77777777" w:rsidR="00BA083A" w:rsidRPr="00E93F40" w:rsidRDefault="00BA083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6E2404" w14:textId="77777777" w:rsidR="00BA083A" w:rsidRPr="00E93F40" w:rsidRDefault="00BA083A" w:rsidP="00E93F40">
      <w:pPr>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8 мая 1932 г. Протокол ПБ № 99 п.37/5: О посылке конструкторского бюро на завод имени Марти - ОП. Решено предложить ОГПУ командировать на Николаевский завод имени Марти инженера конструкторского бюро в Ленинграде Дукельского с группой инженеров-конструкторов сроком на 2 месяца для помощи заводу по установке производства 12 дюймовых и 180 мил. железнодорожных транспортеров (15872).</w:t>
      </w:r>
    </w:p>
    <w:p w14:paraId="3A68723D" w14:textId="2BDAF6B6" w:rsidR="00BA083A" w:rsidRPr="00E93F40" w:rsidRDefault="00BA083A" w:rsidP="00E93F40">
      <w:pPr>
        <w:spacing w:after="0" w:line="240" w:lineRule="auto"/>
        <w:jc w:val="both"/>
        <w:rPr>
          <w:rFonts w:ascii="Times New Roman" w:hAnsi="Times New Roman"/>
          <w:iCs/>
          <w:color w:val="000000" w:themeColor="text1"/>
          <w:sz w:val="16"/>
          <w:szCs w:val="16"/>
        </w:rPr>
      </w:pPr>
    </w:p>
    <w:p w14:paraId="0A377139" w14:textId="1A02B949" w:rsidR="005F6928" w:rsidRPr="00E93F40" w:rsidRDefault="005F6928" w:rsidP="00E93F40">
      <w:pPr>
        <w:spacing w:after="0" w:line="240" w:lineRule="auto"/>
        <w:jc w:val="both"/>
        <w:rPr>
          <w:rFonts w:ascii="Times New Roman" w:hAnsi="Times New Roman"/>
          <w:i/>
          <w:color w:val="000000" w:themeColor="text1"/>
          <w:sz w:val="16"/>
          <w:szCs w:val="16"/>
        </w:rPr>
      </w:pPr>
      <w:r w:rsidRPr="00E93F40">
        <w:rPr>
          <w:rFonts w:ascii="Times New Roman" w:hAnsi="Times New Roman"/>
          <w:i/>
          <w:color w:val="000000" w:themeColor="text1"/>
          <w:sz w:val="16"/>
          <w:szCs w:val="16"/>
        </w:rPr>
        <w:t>Внешняя политика:</w:t>
      </w:r>
    </w:p>
    <w:p w14:paraId="5B6D01D3" w14:textId="77777777" w:rsidR="005F6928" w:rsidRPr="00E93F40" w:rsidRDefault="005F6928" w:rsidP="00E93F40">
      <w:pPr>
        <w:spacing w:after="0" w:line="240" w:lineRule="auto"/>
        <w:jc w:val="both"/>
        <w:rPr>
          <w:rFonts w:ascii="Times New Roman" w:hAnsi="Times New Roman"/>
          <w:i/>
          <w:color w:val="000000" w:themeColor="text1"/>
          <w:sz w:val="16"/>
          <w:szCs w:val="16"/>
        </w:rPr>
      </w:pPr>
    </w:p>
    <w:p w14:paraId="79F2541E"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1932 состоялось заседание ПБ (Протокол № 99)</w:t>
      </w:r>
    </w:p>
    <w:p w14:paraId="6091F6A9"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 опросом членов ПБ</w:t>
      </w:r>
    </w:p>
    <w:p w14:paraId="5AB0A3A9"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33/1.-О Туриции</w:t>
      </w:r>
    </w:p>
    <w:p w14:paraId="4583644F"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Отпустить турецкой делегации, в виде подарка от СССР турецкому правительству, машины нашего производства:</w:t>
      </w:r>
    </w:p>
    <w:p w14:paraId="5CAC0357"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5 танкеток с пулеметами.</w:t>
      </w:r>
    </w:p>
    <w:p w14:paraId="4E08F5E0"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2 танка Виккерса с пулеметами.</w:t>
      </w:r>
    </w:p>
    <w:p w14:paraId="48CD60F9"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 машино-тракторную станцию в виде 10 тракторов с прицепным инвентарем (плуги простые, сеялки простые, уборочные машины и т.д.).</w:t>
      </w:r>
    </w:p>
    <w:p w14:paraId="0A0E1F0E"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2 грузовика и 1 автобус автозавода Сталина.</w:t>
      </w:r>
    </w:p>
    <w:p w14:paraId="5ACA1375"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Организацию этого дела поручить т.т. Ворошилову и Яковлеву.</w:t>
      </w:r>
    </w:p>
    <w:p w14:paraId="15595243"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Ворошилову,Яковлеву.</w:t>
      </w:r>
    </w:p>
    <w:p w14:paraId="1EB59741"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1932 опросом членов ПБ</w:t>
      </w:r>
    </w:p>
    <w:p w14:paraId="377853F5"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37/5.-О посылке конструкторского бюро на завод им. Марти</w:t>
      </w:r>
    </w:p>
    <w:p w14:paraId="1E39B273"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ОГДУ командировать на Николаевский завод им. Марти инженера Конструкторского бюро в Ленинграде Дукельского с грудной инженеров-конструкторов сроком на 2 месяца для помощи заводу по установке производства 12 дюймовых и 180 мм. ж.д.транспортеров.</w:t>
      </w:r>
    </w:p>
    <w:p w14:paraId="267FB474" w14:textId="77777777" w:rsidR="005F6928" w:rsidRPr="00E93F40" w:rsidRDefault="005F69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Менжинскому, Орджоникидзе, Павлуновскому (23044).</w:t>
      </w:r>
    </w:p>
    <w:p w14:paraId="0C3A9558" w14:textId="77777777" w:rsidR="005F6928" w:rsidRPr="00E93F40" w:rsidRDefault="005F6928" w:rsidP="00E93F40">
      <w:pPr>
        <w:spacing w:after="0" w:line="240" w:lineRule="auto"/>
        <w:jc w:val="both"/>
        <w:rPr>
          <w:rFonts w:ascii="Times New Roman" w:hAnsi="Times New Roman"/>
          <w:color w:val="000000" w:themeColor="text1"/>
          <w:sz w:val="16"/>
          <w:szCs w:val="16"/>
        </w:rPr>
      </w:pPr>
    </w:p>
    <w:p w14:paraId="13035990"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мая 1932 г., когда турецкая делегация еще находилась в Советском Союзе, Политбюро ЦК ВКП(б) приняло секретное решение (протокол №99) отпустить «в виде подар</w:t>
      </w:r>
      <w:r w:rsidRPr="00142305">
        <w:rPr>
          <w:rFonts w:ascii="Times New Roman" w:hAnsi="Times New Roman"/>
          <w:color w:val="0070C0"/>
          <w:sz w:val="16"/>
          <w:szCs w:val="16"/>
        </w:rPr>
        <w:softHyphen/>
        <w:t>ка от СССР турецкому правительству»: пять танкеток, два танка с пол</w:t>
      </w:r>
      <w:r w:rsidRPr="00142305">
        <w:rPr>
          <w:rFonts w:ascii="Times New Roman" w:hAnsi="Times New Roman"/>
          <w:color w:val="0070C0"/>
          <w:sz w:val="16"/>
          <w:szCs w:val="16"/>
        </w:rPr>
        <w:softHyphen/>
        <w:t>ным вооружением, два грузовика, один автобус завода им. И.В. Сталина и «машинотракторную станцию в виде 10 интеров с прицепным инвен</w:t>
      </w:r>
      <w:r w:rsidRPr="00142305">
        <w:rPr>
          <w:rFonts w:ascii="Times New Roman" w:hAnsi="Times New Roman"/>
          <w:color w:val="0070C0"/>
          <w:sz w:val="16"/>
          <w:szCs w:val="16"/>
        </w:rPr>
        <w:softHyphen/>
        <w:t>тарем (простые плуги и уборочные машины, сеялки и т.д.) (24972).</w:t>
      </w:r>
    </w:p>
    <w:p w14:paraId="028F95D3" w14:textId="77777777" w:rsidR="00560CA8" w:rsidRPr="00142305" w:rsidRDefault="00560CA8" w:rsidP="00560CA8">
      <w:pPr>
        <w:spacing w:after="0" w:line="240" w:lineRule="auto"/>
        <w:jc w:val="both"/>
        <w:rPr>
          <w:rFonts w:ascii="Times New Roman" w:hAnsi="Times New Roman"/>
          <w:color w:val="0070C0"/>
          <w:sz w:val="16"/>
          <w:szCs w:val="16"/>
        </w:rPr>
      </w:pPr>
    </w:p>
    <w:p w14:paraId="53F35E4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A73EA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BF76F17" w14:textId="77777777" w:rsidR="007F0E59" w:rsidRPr="00E93F40" w:rsidRDefault="007F0E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мая в 1932 году поднялась в воздух двух/трехместная разведывательная летающая лодка «CMASA» </w:t>
      </w:r>
      <w:hyperlink r:id="rId103" w:tgtFrame="_blank" w:history="1">
        <w:r w:rsidRPr="00E93F40">
          <w:rPr>
            <w:rFonts w:ascii="Times New Roman" w:hAnsi="Times New Roman"/>
            <w:color w:val="000000" w:themeColor="text1"/>
            <w:sz w:val="16"/>
            <w:szCs w:val="16"/>
          </w:rPr>
          <w:t xml:space="preserve">«MF.4» </w:t>
        </w:r>
      </w:hyperlink>
      <w:r w:rsidRPr="00E93F40">
        <w:rPr>
          <w:rFonts w:ascii="Times New Roman" w:hAnsi="Times New Roman"/>
          <w:color w:val="000000" w:themeColor="text1"/>
          <w:sz w:val="16"/>
          <w:szCs w:val="16"/>
        </w:rPr>
        <w:t>с крылом типа парасоль спроектированная под руководством Марио Стиавелли в компании «CMASA» ("Costruzioni Meccaniche Aeronautiche SA"). Установлен расположенныё по центру крыла двигатель «Piaggio» «P.VI» с тянущим винтом, (заменён позже на «Piaggio» «Stella IX R» мощностью 600 л.с. (447 кВт) (14885).</w:t>
      </w:r>
    </w:p>
    <w:p w14:paraId="2E6D893E" w14:textId="77777777" w:rsidR="007F0E59" w:rsidRPr="00E93F40" w:rsidRDefault="007F0E59" w:rsidP="00E93F40">
      <w:pPr>
        <w:spacing w:after="0" w:line="240" w:lineRule="auto"/>
        <w:jc w:val="both"/>
        <w:rPr>
          <w:rFonts w:ascii="Times New Roman" w:hAnsi="Times New Roman"/>
          <w:color w:val="000000" w:themeColor="text1"/>
          <w:sz w:val="16"/>
          <w:szCs w:val="16"/>
        </w:rPr>
      </w:pPr>
    </w:p>
    <w:p w14:paraId="3B36D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1932 дирижабль Акрон вылетел из Лейкхерста в направлении еще недостроенной базы в Саннивейле. Полет, омраченный техническими неисправностями и неблагоприятными погодными условиями, проходил вдоль восточного побережья Мексиканского залива, затем через Техас, Нью-Мексико и Аризону в Калифорнию, где ZRS-4 должен был приземлиться на аэродроме Кемп Керни у Сан-Диего. На борту дирижабля находились 2 самолета XF9C-1 и N2Y-1. Обе машины перед посадкой покинули борт воздушного корабля и приземлились на аэродроме. Двухместный N2Y-1 доставил на землю штурмана «Акрона» для координации действий наземного персонала во время посадки дирижабля. Было около полудня, стояла очень жаркая погода. Из-за перерасхода топлива «Акрон» стал легче на 40 т, еще 1500 кг весили улетевшие самолеты. Все это привело к тому, что дирижабль никак не хотел опускаться. Только в 19.00 после стравливания лишнего гелия и вечернего похолодания удалось приземлить корабль. Этот случай со всей очевидностью показал, что до сих пор маневрирование [437] дирижабля на посадке является достаточно сложной задачей. К тому же подготовленность экипажа и наземных служб оставляла желать лучшего. Потери гелия были так велики, что для осуществления небольшого перелета в Саннивейл потребовалось существенно уменьшить взлетный вес дирижабля (11324).</w:t>
      </w:r>
    </w:p>
    <w:p w14:paraId="42254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8E9C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1932 во Франции на выборах победил левый блок (2443,406).</w:t>
      </w:r>
    </w:p>
    <w:p w14:paraId="3C09E5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B27AB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41A46D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3130C2" w14:textId="77777777" w:rsidR="00BF2EEE" w:rsidRPr="00E93F40" w:rsidRDefault="00BF2EEE"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9 мая 1932 на заводе № 31 закончились государственные испыта</w:t>
      </w:r>
      <w:r w:rsidRPr="00E93F40">
        <w:rPr>
          <w:rFonts w:ascii="Times New Roman" w:hAnsi="Times New Roman"/>
          <w:color w:val="000000" w:themeColor="text1"/>
          <w:sz w:val="16"/>
          <w:szCs w:val="16"/>
          <w:lang w:eastAsia="ru-RU" w:bidi="ru-RU"/>
        </w:rPr>
        <w:softHyphen/>
        <w:t>ния головного экземпляра Ш-2, после чего машину направили в Свердловск, где она в первый летный сезон выполнила сотни полетов.</w:t>
      </w:r>
    </w:p>
    <w:p w14:paraId="402888E6"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Первые серийные Ш-2 были выполнены не столь каче</w:t>
      </w:r>
      <w:r w:rsidRPr="00E93F40">
        <w:rPr>
          <w:rFonts w:ascii="Times New Roman" w:hAnsi="Times New Roman"/>
          <w:color w:val="000000" w:themeColor="text1"/>
          <w:sz w:val="16"/>
          <w:szCs w:val="16"/>
          <w:lang w:eastAsia="ru-RU" w:bidi="ru-RU"/>
        </w:rPr>
        <w:softHyphen/>
        <w:t>ственно, как опытный образец, и оказались тяжелее при</w:t>
      </w:r>
      <w:r w:rsidRPr="00E93F40">
        <w:rPr>
          <w:rFonts w:ascii="Times New Roman" w:hAnsi="Times New Roman"/>
          <w:color w:val="000000" w:themeColor="text1"/>
          <w:sz w:val="16"/>
          <w:szCs w:val="16"/>
          <w:lang w:eastAsia="ru-RU" w:bidi="ru-RU"/>
        </w:rPr>
        <w:softHyphen/>
        <w:t>мерно на 10 кг. Поэтому при переходе на эталон 1933 г. в конструкцию лодки ввели множество мелких доработоки изменений: усилили мотораму, улучшили механизмы подъема шасси, спинки сидений увеличили по высоте на 150 мм, под фюзеляжный бензиновый бак установили не</w:t>
      </w:r>
      <w:r w:rsidRPr="00E93F40">
        <w:rPr>
          <w:rFonts w:ascii="Times New Roman" w:hAnsi="Times New Roman"/>
          <w:color w:val="000000" w:themeColor="text1"/>
          <w:sz w:val="16"/>
          <w:szCs w:val="16"/>
          <w:lang w:eastAsia="ru-RU" w:bidi="ru-RU"/>
        </w:rPr>
        <w:softHyphen/>
        <w:t>сколько резиновых шайб и т.п.</w:t>
      </w:r>
    </w:p>
    <w:p w14:paraId="6E18B44C"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Руководство завода планировало строить Ш-2 как мини</w:t>
      </w:r>
      <w:r w:rsidRPr="00E93F40">
        <w:rPr>
          <w:rFonts w:ascii="Times New Roman" w:hAnsi="Times New Roman"/>
          <w:color w:val="000000" w:themeColor="text1"/>
          <w:sz w:val="16"/>
          <w:szCs w:val="16"/>
          <w:lang w:eastAsia="ru-RU" w:bidi="ru-RU"/>
        </w:rPr>
        <w:softHyphen/>
        <w:t>мум еще несколько лет, т.к. технология была освоена, особых проблем с постройкой не было, контроль и прием</w:t>
      </w:r>
      <w:r w:rsidRPr="00E93F40">
        <w:rPr>
          <w:rFonts w:ascii="Times New Roman" w:hAnsi="Times New Roman"/>
          <w:color w:val="000000" w:themeColor="text1"/>
          <w:sz w:val="16"/>
          <w:szCs w:val="16"/>
          <w:lang w:eastAsia="ru-RU" w:bidi="ru-RU"/>
        </w:rPr>
        <w:softHyphen/>
        <w:t>ка самолетов невоенная. Однако производство было рез</w:t>
      </w:r>
      <w:r w:rsidRPr="00E93F40">
        <w:rPr>
          <w:rFonts w:ascii="Times New Roman" w:hAnsi="Times New Roman"/>
          <w:color w:val="000000" w:themeColor="text1"/>
          <w:sz w:val="16"/>
          <w:szCs w:val="16"/>
          <w:lang w:eastAsia="ru-RU" w:bidi="ru-RU"/>
        </w:rPr>
        <w:softHyphen/>
        <w:t>ко свернуто в 1934 г. Всего к моменту прекращения производства в Таганроге было построено 270 амфибий Ш-2.</w:t>
      </w:r>
    </w:p>
    <w:p w14:paraId="44C9B228" w14:textId="77777777" w:rsidR="00BF2EEE" w:rsidRPr="00E93F40" w:rsidRDefault="00BF2EEE"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 гражданской авиации «шаврушка», как любовно назы</w:t>
      </w:r>
      <w:r w:rsidRPr="00E93F40">
        <w:rPr>
          <w:rFonts w:ascii="Times New Roman" w:hAnsi="Times New Roman"/>
          <w:color w:val="000000" w:themeColor="text1"/>
          <w:sz w:val="16"/>
          <w:szCs w:val="16"/>
          <w:lang w:eastAsia="ru-RU" w:bidi="ru-RU"/>
        </w:rPr>
        <w:softHyphen/>
        <w:t>вали ее летчики, нашла широкое применение в Сибири, на Севере и Дальнем Востоке, в районах, где было затруд</w:t>
      </w:r>
      <w:r w:rsidRPr="00E93F40">
        <w:rPr>
          <w:rFonts w:ascii="Times New Roman" w:hAnsi="Times New Roman"/>
          <w:color w:val="000000" w:themeColor="text1"/>
          <w:sz w:val="16"/>
          <w:szCs w:val="16"/>
          <w:lang w:eastAsia="ru-RU" w:bidi="ru-RU"/>
        </w:rPr>
        <w:softHyphen/>
        <w:t>нено использование практически всех остальных видов транспорта. На борту ледоколов Ш-2 попали и в Арктику. Эти амфибии эксплуатировались вплоть до 1964 г., т.е. почти 35 лет (20325).</w:t>
      </w:r>
    </w:p>
    <w:p w14:paraId="08C48DC3" w14:textId="77777777" w:rsidR="00BF2EEE" w:rsidRPr="00E93F40" w:rsidRDefault="00BF2EEE" w:rsidP="00E93F40">
      <w:pPr>
        <w:spacing w:after="0" w:line="240" w:lineRule="auto"/>
        <w:jc w:val="both"/>
        <w:rPr>
          <w:rFonts w:ascii="Times New Roman" w:hAnsi="Times New Roman"/>
          <w:color w:val="000000" w:themeColor="text1"/>
          <w:sz w:val="16"/>
          <w:szCs w:val="16"/>
        </w:rPr>
      </w:pPr>
    </w:p>
    <w:p w14:paraId="02EDF8F9"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мая 1932 г. закончились госу</w:t>
      </w:r>
      <w:r w:rsidRPr="00142305">
        <w:rPr>
          <w:rFonts w:ascii="Times New Roman" w:hAnsi="Times New Roman"/>
          <w:color w:val="0070C0"/>
          <w:sz w:val="16"/>
          <w:szCs w:val="16"/>
        </w:rPr>
        <w:softHyphen/>
        <w:t>дарственные испытания первого головного эк</w:t>
      </w:r>
      <w:r w:rsidRPr="00142305">
        <w:rPr>
          <w:rFonts w:ascii="Times New Roman" w:hAnsi="Times New Roman"/>
          <w:color w:val="0070C0"/>
          <w:sz w:val="16"/>
          <w:szCs w:val="16"/>
        </w:rPr>
        <w:softHyphen/>
        <w:t>земпляра Ш-2 завода № 31, после чего маши</w:t>
      </w:r>
      <w:r w:rsidRPr="00142305">
        <w:rPr>
          <w:rFonts w:ascii="Times New Roman" w:hAnsi="Times New Roman"/>
          <w:color w:val="0070C0"/>
          <w:sz w:val="16"/>
          <w:szCs w:val="16"/>
        </w:rPr>
        <w:softHyphen/>
        <w:t>ну направили в Свердловск, где она в первый летный сезон выполнила сотни полетов. Нес</w:t>
      </w:r>
      <w:r w:rsidRPr="00142305">
        <w:rPr>
          <w:rFonts w:ascii="Times New Roman" w:hAnsi="Times New Roman"/>
          <w:color w:val="0070C0"/>
          <w:sz w:val="16"/>
          <w:szCs w:val="16"/>
        </w:rPr>
        <w:softHyphen/>
        <w:t>колько человек прошли на ней обучение (35013).</w:t>
      </w:r>
    </w:p>
    <w:p w14:paraId="7E75255F" w14:textId="77777777" w:rsidR="00560CA8" w:rsidRPr="00142305" w:rsidRDefault="00560CA8" w:rsidP="00560CA8">
      <w:pPr>
        <w:spacing w:after="0" w:line="240" w:lineRule="auto"/>
        <w:jc w:val="both"/>
        <w:rPr>
          <w:rFonts w:ascii="Times New Roman" w:hAnsi="Times New Roman"/>
          <w:color w:val="0070C0"/>
          <w:sz w:val="16"/>
          <w:szCs w:val="16"/>
        </w:rPr>
      </w:pPr>
    </w:p>
    <w:p w14:paraId="2F1DC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мая 1932 года для особых поручений при зам. НВВС Соколова писала письмо № 047 в СТО Базилевичу</w:t>
      </w:r>
    </w:p>
    <w:p w14:paraId="235D1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препровождаю согласно приказания зам. начальника ВВС Меженинова схему развития полетных данных тяжелых сухопутных бомбовозов и схему развития летных данных истребителей (3530,23).</w:t>
      </w:r>
    </w:p>
    <w:p w14:paraId="444298AA" w14:textId="0477862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61546F" w14:textId="411FC68C" w:rsidR="00BF2EEE" w:rsidRPr="00E93F40" w:rsidRDefault="00BF2EEE"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lastRenderedPageBreak/>
        <w:t>За рубежом:</w:t>
      </w:r>
    </w:p>
    <w:p w14:paraId="673A50F5" w14:textId="77777777" w:rsidR="00BF2EEE" w:rsidRPr="00E93F40" w:rsidRDefault="00BF2EEE"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34B9B408"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мая 1932 капитан Альберт Хегенбергер совершает первый полностью слепой одиночный полет полностью по приборам в Consolidated NY-2 (20803).</w:t>
      </w:r>
    </w:p>
    <w:p w14:paraId="533C5E16" w14:textId="77777777" w:rsidR="00BF2EEE" w:rsidRPr="00E93F40" w:rsidRDefault="00BF2EEE" w:rsidP="00E93F40">
      <w:pPr>
        <w:spacing w:after="0" w:line="240" w:lineRule="auto"/>
        <w:jc w:val="both"/>
        <w:rPr>
          <w:rFonts w:ascii="Times New Roman" w:hAnsi="Times New Roman"/>
          <w:color w:val="000000" w:themeColor="text1"/>
          <w:sz w:val="16"/>
          <w:szCs w:val="16"/>
        </w:rPr>
      </w:pPr>
    </w:p>
    <w:p w14:paraId="4DF26143" w14:textId="76128E0A"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мая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аэродроме Маккук, штат Огайо, капитан ВВС США А. Hegenberger совершил заход на посадку по приборам и приземление с использованием системы, которую он разработал. Эта система, которая была принята как в гражданской, так и в военной авиации, использовала ряд маркерных радиомаяков на земле вместе с радиополукомпасом и другими гироскопическими приборами и радиоприемниками на борту самолета. Самолет - Consolidated-NY-2 (22508).</w:t>
      </w:r>
    </w:p>
    <w:p w14:paraId="668A1710" w14:textId="77777777" w:rsidR="00BF2EEE" w:rsidRPr="00E93F40" w:rsidRDefault="00BF2EEE" w:rsidP="00E93F40">
      <w:pPr>
        <w:spacing w:after="0" w:line="240" w:lineRule="auto"/>
        <w:jc w:val="both"/>
        <w:rPr>
          <w:rFonts w:ascii="Times New Roman" w:hAnsi="Times New Roman"/>
          <w:color w:val="000000" w:themeColor="text1"/>
          <w:sz w:val="16"/>
          <w:szCs w:val="16"/>
        </w:rPr>
      </w:pPr>
    </w:p>
    <w:p w14:paraId="49E7976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4A969D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4D77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года между НИИ ВВС и Бюро новых конструкций был заключен договор на разработку проекта и изготовление скоростного самолета под маркой БНК-3, для использования его в качестве летающей мины. Срок - 1 ноября 1932 года (3029,180).</w:t>
      </w:r>
    </w:p>
    <w:p w14:paraId="70F6F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6CC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года начальник Техштаба НВ РККА Янсон писал письмо № 128100сс зам. начальника ВВС</w:t>
      </w:r>
    </w:p>
    <w:p w14:paraId="3D57E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года на Научно-испытательном инженерно-техническом полигоне ВИУ (Нахабино) проводятся испытания новых образцов вооружения РККА, представленных в Комиссию РВС по вводу на вооружение.</w:t>
      </w:r>
    </w:p>
    <w:p w14:paraId="719A0A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Означенные испытания образцов вооружения проводятся в присутствии Комиссии РВС с целью проверки действий образцов вооружения.</w:t>
      </w:r>
    </w:p>
    <w:p w14:paraId="3DA08E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Средства связи – по линии управления связи РККА, вследствие невозможности испытания на полигоне, испытываются на Центральном аэродроме в тот же день – по окончании испытаний образцов на полигоне (7428, 46).</w:t>
      </w:r>
    </w:p>
    <w:p w14:paraId="537DA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68D43C"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г. пароходы «Коминтерн» и «Колумб» высадили на амурском берегу около тысячи первых строителей г. Комсомольска-на-Амуре.</w:t>
      </w:r>
    </w:p>
    <w:p w14:paraId="79A2CE4C"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Центральный Комитет ВКП(б) и Центральный Комитет ВЛКСМ в марте 1932 г. объявляет мобилизацию для строительства будущего города. 10 мая 1932 года к селу Пермскому на пароходах «Колумб» и «Коминтерн» прибыло около 900 первых строителей. К месту будущего авиационного завода, к нанайскому стойбищу Дземги на пароходе «Капитан Карпенко» прибыло 147 человек.</w:t>
      </w:r>
    </w:p>
    <w:p w14:paraId="75D124E7"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города начиналось с возведения двух заводов: судостроительного и авиационного. 12 июня 1933 г. в торжественной обстановке был заложен первый камень судостроительного завода. Этот день стали считать днем рождения города. Спустя всего 5 лет (!!!), 12 июня 1938 года было заложено первое судно, а в ноябре на воду сошел корабль.</w:t>
      </w:r>
    </w:p>
    <w:p w14:paraId="7381B650"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Несколько позже, 18 июля 1934 г. состоялась закладка еще одного индустриального гиганта -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w:t>
      </w:r>
    </w:p>
    <w:p w14:paraId="523C19C4"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тридцатые годы в городе было начато строительство заводов «Амурсталь» и «Амурлитмаш», завода по производству свинцовых стартовых аккумуляторов и др. Большинство из них дали первую продукцию в суровом 1942 г. и внесли весомый вклад в разгром немецко-фашистских захватчиков и их союзников на западном фронте, японских милитаристов на Дальнем Востоке (21176).</w:t>
      </w:r>
    </w:p>
    <w:p w14:paraId="66B55409" w14:textId="77777777" w:rsidR="00BF2EEE" w:rsidRPr="00E93F40" w:rsidRDefault="00BF2EEE" w:rsidP="00E93F40">
      <w:pPr>
        <w:spacing w:after="0" w:line="240" w:lineRule="auto"/>
        <w:jc w:val="both"/>
        <w:rPr>
          <w:rFonts w:ascii="Times New Roman" w:hAnsi="Times New Roman"/>
          <w:color w:val="000000" w:themeColor="text1"/>
          <w:sz w:val="16"/>
          <w:szCs w:val="16"/>
        </w:rPr>
      </w:pPr>
    </w:p>
    <w:p w14:paraId="16F0AFA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A8F5CB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E53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года были начаты испытания стрельбой 152-мм дальнобойной пушки Б-10 № 1. Для снаряда весом 49 кг была получена начальная скорость 880 м/с, расчетной начальной скорости 900 м/с получить не удалось. В ходе испытаний программа отстрела была выполнена полностью в объеме 237 выстрелов, и в сентябре 1932 года качающаяся часть была отправлена на завод "Большевик" для установки на штатный лафет (3861).</w:t>
      </w:r>
    </w:p>
    <w:p w14:paraId="6D1D7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BEC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в Ленинграде на заводе Коминтерн начался выпуск первых 20 телевизоров (3960, 183).</w:t>
      </w:r>
    </w:p>
    <w:p w14:paraId="192B2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E9E8CD" w14:textId="77777777" w:rsidR="00660A75" w:rsidRPr="00E93F40" w:rsidRDefault="00660A75"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10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496/166сс о развертывании АУ в Центральное управление НКВМ (ГА РФ. Ф. Р?8418. Оп. 28. Д. 1а. Л. 25) (12415).</w:t>
      </w:r>
    </w:p>
    <w:p w14:paraId="5394C0FC" w14:textId="77777777" w:rsidR="00660A75" w:rsidRPr="00E93F40" w:rsidRDefault="00660A75" w:rsidP="00E93F40">
      <w:pPr>
        <w:spacing w:after="0" w:line="240" w:lineRule="auto"/>
        <w:jc w:val="both"/>
        <w:rPr>
          <w:rFonts w:ascii="Times New Roman" w:hAnsi="Times New Roman"/>
          <w:color w:val="000000" w:themeColor="text1"/>
          <w:sz w:val="16"/>
          <w:szCs w:val="16"/>
          <w:u w:color="002060"/>
        </w:rPr>
      </w:pPr>
    </w:p>
    <w:p w14:paraId="0CBC6C73"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г. — Заключение Штаба РККА по материалам Управления по моторизации и механизации РККА о ходе реализации бронетанковой системы вооружения</w:t>
      </w:r>
    </w:p>
    <w:p w14:paraId="339936A5"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17D21AA1"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Танкетка Т-27</w:t>
      </w:r>
    </w:p>
    <w:p w14:paraId="72545F49"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наличии на вооружении РККА Т</w:t>
      </w:r>
      <w:r w:rsidRPr="00E93F40">
        <w:rPr>
          <w:rFonts w:ascii="Times New Roman" w:hAnsi="Times New Roman"/>
          <w:color w:val="000000" w:themeColor="text1"/>
          <w:sz w:val="16"/>
          <w:szCs w:val="16"/>
        </w:rPr>
        <w:noBreakHyphen/>
        <w:t>26, танкетка Т</w:t>
      </w:r>
      <w:r w:rsidRPr="00E93F40">
        <w:rPr>
          <w:rFonts w:ascii="Times New Roman" w:hAnsi="Times New Roman"/>
          <w:color w:val="000000" w:themeColor="text1"/>
          <w:sz w:val="16"/>
          <w:szCs w:val="16"/>
        </w:rPr>
        <w:noBreakHyphen/>
        <w:t>27 как разведывательная машина не может удовлетворить потребности мотомех[анизированных] частей по следующим причинам, максимальная и средняя скорость недостаточная, чрезвычайно ограничена проходимость и горизонтальный обстрел, недостаточное наблюдение и запас хода и отсутствие второго управления. Поэтому необходимо разработать новую плавучую танкетку, способную обеспечить мотомех[анизированные] части разведкой. Необходимо отметить, что и для пехоты танкетка Т</w:t>
      </w:r>
      <w:r w:rsidRPr="00E93F40">
        <w:rPr>
          <w:rFonts w:ascii="Times New Roman" w:hAnsi="Times New Roman"/>
          <w:color w:val="000000" w:themeColor="text1"/>
          <w:sz w:val="16"/>
          <w:szCs w:val="16"/>
        </w:rPr>
        <w:noBreakHyphen/>
        <w:t>27 малопригодна по своей ограниченной проходимости и слабой меткости стрельбы с хода.</w:t>
      </w:r>
    </w:p>
    <w:p w14:paraId="29D87AB1" w14:textId="1D73970C"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Считаю необходимым в срочном порядке произвести полные испытания плавучей танкетки, с тем чтобы улучшенный образец поставить на производство взамен Т</w:t>
      </w:r>
      <w:r w:rsidRPr="00E93F40">
        <w:rPr>
          <w:rFonts w:ascii="Times New Roman" w:hAnsi="Times New Roman"/>
          <w:color w:val="000000" w:themeColor="text1"/>
          <w:sz w:val="16"/>
          <w:szCs w:val="16"/>
        </w:rPr>
        <w:noBreakHyphen/>
        <w:t>27. Предварительные заводские испытания плавучей танкетки показали, скорость 30</w:t>
      </w:r>
      <w:r w:rsidRPr="00E93F40">
        <w:rPr>
          <w:rFonts w:ascii="Times New Roman" w:hAnsi="Times New Roman"/>
          <w:color w:val="000000" w:themeColor="text1"/>
          <w:sz w:val="16"/>
          <w:szCs w:val="16"/>
        </w:rPr>
        <w:noBreakHyphen/>
        <w:t>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 (на шоссе), хорошую поворотливость и удовлетворительную плавучесть, К недостаткам нужно отнести, чрезвычайная жесткость подвески, перегрев мотора, недостаточность запаса хода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часов), недостаточная скорость на суше и на воде, незначительная проходимость (с трудом проходит канавы, у шоссе цепляется винтом). Плавучая танкетка должна обладать следующими свойствами.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скорость на шоссе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50</w:t>
      </w:r>
      <w:r w:rsidRPr="00E93F40">
        <w:rPr>
          <w:rFonts w:ascii="Times New Roman" w:hAnsi="Times New Roman"/>
          <w:color w:val="000000" w:themeColor="text1"/>
          <w:sz w:val="16"/>
          <w:szCs w:val="16"/>
        </w:rPr>
        <w:noBreakHyphen/>
        <w:t>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 и не менее 35</w:t>
      </w:r>
      <w:r w:rsidRPr="00E93F40">
        <w:rPr>
          <w:rFonts w:ascii="Times New Roman" w:hAnsi="Times New Roman"/>
          <w:color w:val="000000" w:themeColor="text1"/>
          <w:sz w:val="16"/>
          <w:szCs w:val="16"/>
        </w:rPr>
        <w:noBreakHyphen/>
        <w:t>45 по местности и на воде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 при боковом течении воды;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перекрываемый горизонтальный пролет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от 1,6 до 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запас хода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 менее 8 (работы мотора при максимальных оборотах);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подъем брать 30</w:t>
      </w:r>
      <w:r w:rsidRPr="00E93F40">
        <w:rPr>
          <w:rFonts w:ascii="Times New Roman" w:hAnsi="Times New Roman"/>
          <w:color w:val="000000" w:themeColor="text1"/>
          <w:sz w:val="16"/>
          <w:szCs w:val="16"/>
        </w:rPr>
        <w:noBreakHyphen/>
        <w:t>45° тройной длины танкетки;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вооружение с круговым обстрелом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нормальный или крупнокалиберный пулемет;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установить жироскопический компас и спидометр;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броня должна гарантировать экипаж и механизм машины от бронебойных пуль «СМК» и «АУ» на дистанции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команда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 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боекомплект: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патрон на пулемет;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мотор с воздушным охлаждением.</w:t>
      </w:r>
    </w:p>
    <w:p w14:paraId="70E7A5D9"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Легкий танк Т-26</w:t>
      </w:r>
    </w:p>
    <w:p w14:paraId="01D275F7" w14:textId="7CF200FD"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45</w:t>
      </w:r>
      <w:r w:rsidRPr="00E93F40">
        <w:rPr>
          <w:rFonts w:ascii="Times New Roman" w:hAnsi="Times New Roman"/>
          <w:color w:val="000000" w:themeColor="text1"/>
          <w:sz w:val="16"/>
          <w:szCs w:val="16"/>
        </w:rPr>
        <w:noBreakHyphen/>
        <w:t>мм спаренной с пулеметом полуавтоматической пушки, установленной в башне Т</w:t>
      </w:r>
      <w:r w:rsidRPr="00E93F40">
        <w:rPr>
          <w:rFonts w:ascii="Times New Roman" w:hAnsi="Times New Roman"/>
          <w:color w:val="000000" w:themeColor="text1"/>
          <w:sz w:val="16"/>
          <w:szCs w:val="16"/>
        </w:rPr>
        <w:noBreakHyphen/>
        <w:t>26, показали: автоматика работает ненадежно, в башне тесно (420, 430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шириной для стрелка и заряжающего), что чрезвычайно отражается на скорострельности и меткости стрельбы, недостаточная поворотливость в башне, а отсюда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нет гибкости и огня, ножной спуск расположен неудачно, оптический прицел работает ненадежно, вентиляция в башне недостаточна, что не может не отразиться на боеспособности экипажа. Необходимо после окончания испытания этой установки сейчас же испытать другие две установки: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увеличения удобства скорострельности и меткости стрельбы подать пушку вперед, скосить переднюю часть башни и снять заднюю коробку башни, сделанную для уравновешивания башни,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сделать более широкую башню, скошенную с передней части, без задней коробки для уравновешивания.</w:t>
      </w:r>
    </w:p>
    <w:p w14:paraId="0204293A" w14:textId="4C9F2B1E"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случае разрешения вопроса нахождения командира танка с правой стороны орудия (в роли заряжающего) необходимо установить второй перископ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противном случае командир не будет управлять своим танком (ввиду отсутствия наблюдения).</w:t>
      </w:r>
    </w:p>
    <w:p w14:paraId="74AE34CA" w14:textId="1A5075CA"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срочном порядке закончить испытания 45</w:t>
      </w:r>
      <w:r w:rsidRPr="00E93F40">
        <w:rPr>
          <w:rFonts w:ascii="Times New Roman" w:hAnsi="Times New Roman"/>
          <w:color w:val="000000" w:themeColor="text1"/>
          <w:sz w:val="16"/>
          <w:szCs w:val="16"/>
        </w:rPr>
        <w:noBreakHyphen/>
        <w:t>мм спаренной установки и в дальнейшем тапки производить с однобашенной 45</w:t>
      </w:r>
      <w:r w:rsidRPr="00E93F40">
        <w:rPr>
          <w:rFonts w:ascii="Times New Roman" w:hAnsi="Times New Roman"/>
          <w:color w:val="000000" w:themeColor="text1"/>
          <w:sz w:val="16"/>
          <w:szCs w:val="16"/>
        </w:rPr>
        <w:noBreakHyphen/>
        <w:t>мм спаренной установкой с обстрелом 360° и с боекомплектом снарядов 110, патрон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Установить жироскопический компас и спидометр. Вести работу в следующем направлении: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Запас хода повысить до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часов работы мотора при максимальных оборотах.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Проработать вопрос плавучести (плавание или хождение под водой) танка на шасси Т</w:t>
      </w:r>
      <w:r w:rsidRPr="00E93F40">
        <w:rPr>
          <w:rFonts w:ascii="Times New Roman" w:hAnsi="Times New Roman"/>
          <w:color w:val="000000" w:themeColor="text1"/>
          <w:sz w:val="16"/>
          <w:szCs w:val="16"/>
        </w:rPr>
        <w:noBreakHyphen/>
        <w:t>26. 3.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Проработать возможность перехода на колеса.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Проработать газонепроницаемость танка.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Добиться повышения скорости на гусеницах до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 на колесах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 100.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Добиться лучшей работы мотора и механизмов, повысив надежность работы танка до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без среднего ремонта.</w:t>
      </w:r>
    </w:p>
    <w:p w14:paraId="5A2C2C5A"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ТММ-1 и ТММ-2</w:t>
      </w:r>
    </w:p>
    <w:p w14:paraId="6BAE5E85" w14:textId="34690721"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разнохарактерности возможных театров военных действий и особых климатических условий, где период зимы длится от 3 до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 целесообразнее вести работу в направлении использования моторов с воздушным охлаждением и внедрение их в автотракторную промышленность, а не ставить в зависимость боевые машины от наличия воды в летнее время и подогревания ее или наличия специально незамерзающей смеси в зимнее время. Поэтому разработанные машины ТММ</w:t>
      </w:r>
      <w:r w:rsidRPr="00E93F40">
        <w:rPr>
          <w:rFonts w:ascii="Times New Roman" w:hAnsi="Times New Roman"/>
          <w:color w:val="000000" w:themeColor="text1"/>
          <w:sz w:val="16"/>
          <w:szCs w:val="16"/>
        </w:rPr>
        <w:noBreakHyphen/>
        <w:t>1 и ТММ</w:t>
      </w:r>
      <w:r w:rsidRPr="00E93F40">
        <w:rPr>
          <w:rFonts w:ascii="Times New Roman" w:hAnsi="Times New Roman"/>
          <w:color w:val="000000" w:themeColor="text1"/>
          <w:sz w:val="16"/>
          <w:szCs w:val="16"/>
        </w:rPr>
        <w:noBreakHyphen/>
        <w:t>2, базирующиеся на импортных моторах с водяным охлаждением, большой ценности не представляют. В дальнейшем целесообразно вести разработку использования автомоторов для боевых машин собственного производства.</w:t>
      </w:r>
    </w:p>
    <w:p w14:paraId="1B6D0EC0"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Быстроходный танк БТ</w:t>
      </w:r>
    </w:p>
    <w:p w14:paraId="41DBAE19"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Проведенные испытания оригинала и заводские испытания БТ нашего производства показали, что танк на колесах ходит по шоссе и грунтовым дорогам с твердым грунтом в сухую погоду. Оригинал на гусеницах не испытывался вследствие неисправности (был сломлен кривошип ленивца). Танк нашего производства не имел больших испытаний на гусеницах, поэтому сделать вывод о его тактико-оперативной ценности невозможно.</w:t>
      </w:r>
    </w:p>
    <w:p w14:paraId="23B2C076" w14:textId="31CFE56B"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настоящих тактико-технических свойствах БТ не может считаться вполне боевой машиной, пригодной для движения на колесах по мокрым грунтовым или грязным шоссейным дорогам. Поэтому УММ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должно, не приостанавливая производства, сейчас же сделать опытный образец БТ хотя бы с двумя ведущими осями, ведя разработку на три ведущие оси. Улучшить управляемость и поворотливость машины. Механизировать снимание и одевание гусениц, ибо время в 30</w:t>
      </w:r>
      <w:r w:rsidRPr="00E93F40">
        <w:rPr>
          <w:rFonts w:ascii="Times New Roman" w:hAnsi="Times New Roman"/>
          <w:color w:val="000000" w:themeColor="text1"/>
          <w:sz w:val="16"/>
          <w:szCs w:val="16"/>
        </w:rPr>
        <w:noBreakHyphen/>
        <w:t>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 потребное на одевание гусеницы и 15</w:t>
      </w:r>
      <w:r w:rsidRPr="00E93F40">
        <w:rPr>
          <w:rFonts w:ascii="Times New Roman" w:hAnsi="Times New Roman"/>
          <w:color w:val="000000" w:themeColor="text1"/>
          <w:sz w:val="16"/>
          <w:szCs w:val="16"/>
        </w:rPr>
        <w:noBreakHyphen/>
        <w:t>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 на снимание гусеницы, чрезвычайно большое.</w:t>
      </w:r>
    </w:p>
    <w:p w14:paraId="1B8E3E5E"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Штаб РККА настаивает на скорейшей модернизации БТ и построении опытного образца колесно-гусеничного плавающего танка по проекту ГПУ.</w:t>
      </w:r>
    </w:p>
    <w:p w14:paraId="3AFB6B46"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 Средний танк Т-28</w:t>
      </w:r>
    </w:p>
    <w:p w14:paraId="5A4F2F13"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мы не имеем на производстве среднего танка, поэтому необходимо форсировать постройку опытного образца и его испытания с тем, чтобы в августе-сентябре месяце можно было бы поставить серийное производство.</w:t>
      </w:r>
    </w:p>
    <w:p w14:paraId="2ACDD328"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 Тяжелый танк</w:t>
      </w:r>
    </w:p>
    <w:p w14:paraId="352A648C" w14:textId="3255951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Считаю необходимым иметь тяжелый танк, основное назначение которого должно быть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прорыв укрепленной полосы, крепостных районов и борьба с тяжелыми танками противника. Этот танк должен обладать следующими тактико-техническими свойствами:</w:t>
      </w:r>
    </w:p>
    <w:p w14:paraId="36601F7C" w14:textId="526D7EF2"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Скорость 40</w:t>
      </w:r>
      <w:r w:rsidRPr="00E93F40">
        <w:rPr>
          <w:rFonts w:ascii="Times New Roman" w:hAnsi="Times New Roman"/>
          <w:color w:val="000000" w:themeColor="text1"/>
          <w:sz w:val="16"/>
          <w:szCs w:val="16"/>
        </w:rPr>
        <w:noBreakHyphen/>
        <w:t>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Радиус действия 300</w:t>
      </w:r>
      <w:r w:rsidRPr="00E93F40">
        <w:rPr>
          <w:rFonts w:ascii="Times New Roman" w:hAnsi="Times New Roman"/>
          <w:color w:val="000000" w:themeColor="text1"/>
          <w:sz w:val="16"/>
          <w:szCs w:val="16"/>
        </w:rPr>
        <w:noBreakHyphen/>
        <w:t>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Моторы с воздушным охлаждением.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Подъемы брать до 45°.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Преодолевать рвы шириной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Передвижение по железной дороге, нашей и иностранной колее, собственным ходом.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Преодолевать водные преграды путем движения под водой или переплывание по воде.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Сваливать одновременно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дерева диаметром 0,5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каждое. 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Броня должна гарантировать от прямого попадания 3</w:t>
      </w:r>
      <w:r w:rsidRPr="00E93F40">
        <w:rPr>
          <w:rFonts w:ascii="Times New Roman" w:hAnsi="Times New Roman"/>
          <w:color w:val="000000" w:themeColor="text1"/>
          <w:sz w:val="16"/>
          <w:szCs w:val="16"/>
        </w:rPr>
        <w:noBreakHyphen/>
        <w:t>дюймового бронебойною снаряда на расстояние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при начальной скорости снаряда 800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м/с.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Вооружение: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152</w:t>
      </w:r>
      <w:r w:rsidRPr="00E93F40">
        <w:rPr>
          <w:rFonts w:ascii="Times New Roman" w:hAnsi="Times New Roman"/>
          <w:color w:val="000000" w:themeColor="text1"/>
          <w:sz w:val="16"/>
          <w:szCs w:val="16"/>
        </w:rPr>
        <w:noBreakHyphen/>
        <w:t>мм орудие с обстрелом 360°,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76</w:t>
      </w:r>
      <w:r w:rsidRPr="00E93F40">
        <w:rPr>
          <w:rFonts w:ascii="Times New Roman" w:hAnsi="Times New Roman"/>
          <w:color w:val="000000" w:themeColor="text1"/>
          <w:sz w:val="16"/>
          <w:szCs w:val="16"/>
        </w:rPr>
        <w:noBreakHyphen/>
        <w:t>мм полуавтоматические танковые пушки с обстрелом 280°, 12</w:t>
      </w:r>
      <w:r w:rsidRPr="00E93F40">
        <w:rPr>
          <w:rFonts w:ascii="Times New Roman" w:hAnsi="Times New Roman"/>
          <w:color w:val="000000" w:themeColor="text1"/>
          <w:sz w:val="16"/>
          <w:szCs w:val="16"/>
        </w:rPr>
        <w:noBreakHyphen/>
        <w:t>14 пулеметов,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37</w:t>
      </w:r>
      <w:r w:rsidRPr="00E93F40">
        <w:rPr>
          <w:rFonts w:ascii="Times New Roman" w:hAnsi="Times New Roman"/>
          <w:color w:val="000000" w:themeColor="text1"/>
          <w:sz w:val="16"/>
          <w:szCs w:val="16"/>
        </w:rPr>
        <w:noBreakHyphen/>
        <w:t>мм автоматические зенитные пушки и 2 зенитных пулемета (из числа 14). 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Боекомплект: снарядов 152</w:t>
      </w:r>
      <w:r w:rsidRPr="00E93F40">
        <w:rPr>
          <w:rFonts w:ascii="Times New Roman" w:hAnsi="Times New Roman"/>
          <w:color w:val="000000" w:themeColor="text1"/>
          <w:sz w:val="16"/>
          <w:szCs w:val="16"/>
        </w:rPr>
        <w:noBreakHyphen/>
        <w:t>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60, 76</w:t>
      </w:r>
      <w:r w:rsidRPr="00E93F40">
        <w:rPr>
          <w:rFonts w:ascii="Times New Roman" w:hAnsi="Times New Roman"/>
          <w:color w:val="000000" w:themeColor="text1"/>
          <w:sz w:val="16"/>
          <w:szCs w:val="16"/>
        </w:rPr>
        <w:noBreakHyphen/>
        <w:t>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200, 37</w:t>
      </w:r>
      <w:r w:rsidRPr="00E93F40">
        <w:rPr>
          <w:rFonts w:ascii="Times New Roman" w:hAnsi="Times New Roman"/>
          <w:color w:val="000000" w:themeColor="text1"/>
          <w:sz w:val="16"/>
          <w:szCs w:val="16"/>
        </w:rPr>
        <w:noBreakHyphen/>
        <w:t>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по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патрон на пулемет.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Радиостанция.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Танк должен иметь жироскопический компас, спидометр и стробоскопы для наблюдения.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Танк должен быть газонепроницаем.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Боевой вес не должен превышать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Чертежи опытного образца тяжелого танка должны быть разработаны и представлены на заключение в Штаб РККА не позднее августа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Все работы вести с таким расчетом, чтобы в начале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иметь опытный образец танка.</w:t>
      </w:r>
    </w:p>
    <w:p w14:paraId="20A49C9C"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 по танкам</w:t>
      </w:r>
    </w:p>
    <w:p w14:paraId="6618C7DD" w14:textId="2D54DAA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Танки являются мощным наступательным родом войск, поэтому и их развитие должно идти по соответствующим типам, исходя из их назначения,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легкие и средние, а затем танкетки и тяжелые. Между тем по плану танкостроения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развитие танкеток идет наравне с танками, например: Т</w:t>
      </w:r>
      <w:r w:rsidRPr="00E93F40">
        <w:rPr>
          <w:rFonts w:ascii="Times New Roman" w:hAnsi="Times New Roman"/>
          <w:color w:val="000000" w:themeColor="text1"/>
          <w:sz w:val="16"/>
          <w:szCs w:val="16"/>
        </w:rPr>
        <w:noBreakHyphen/>
        <w:t>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БТ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Т</w:t>
      </w:r>
      <w:r w:rsidRPr="00E93F40">
        <w:rPr>
          <w:rFonts w:ascii="Times New Roman" w:hAnsi="Times New Roman"/>
          <w:color w:val="000000" w:themeColor="text1"/>
          <w:sz w:val="16"/>
          <w:szCs w:val="16"/>
        </w:rPr>
        <w:noBreakHyphen/>
        <w:t>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Считаю необходимым на следующий год основной упор сделать на легкие танки.</w:t>
      </w:r>
    </w:p>
    <w:p w14:paraId="5FB85628" w14:textId="5A38C3BD"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 настоящего времени не имеется полных данных о тактическо-оперативной ценности боевых машин, находящихся на вооружении РККА. Поэтому считаю необходимым поставить вопрос об организации параллельных испытаний боевых машин БТ, Т</w:t>
      </w:r>
      <w:r w:rsidRPr="00E93F40">
        <w:rPr>
          <w:rFonts w:ascii="Times New Roman" w:hAnsi="Times New Roman"/>
          <w:color w:val="000000" w:themeColor="text1"/>
          <w:sz w:val="16"/>
          <w:szCs w:val="16"/>
        </w:rPr>
        <w:noBreakHyphen/>
        <w:t>26, Т</w:t>
      </w:r>
      <w:r w:rsidRPr="00E93F40">
        <w:rPr>
          <w:rFonts w:ascii="Times New Roman" w:hAnsi="Times New Roman"/>
          <w:color w:val="000000" w:themeColor="text1"/>
          <w:sz w:val="16"/>
          <w:szCs w:val="16"/>
        </w:rPr>
        <w:noBreakHyphen/>
        <w:t>27, Д</w:t>
      </w:r>
      <w:r w:rsidRPr="00E93F40">
        <w:rPr>
          <w:rFonts w:ascii="Times New Roman" w:hAnsi="Times New Roman"/>
          <w:color w:val="000000" w:themeColor="text1"/>
          <w:sz w:val="16"/>
          <w:szCs w:val="16"/>
        </w:rPr>
        <w:noBreakHyphen/>
        <w:t>13 и Д</w:t>
      </w:r>
      <w:r w:rsidRPr="00E93F40">
        <w:rPr>
          <w:rFonts w:ascii="Times New Roman" w:hAnsi="Times New Roman"/>
          <w:color w:val="000000" w:themeColor="text1"/>
          <w:sz w:val="16"/>
          <w:szCs w:val="16"/>
        </w:rPr>
        <w:noBreakHyphen/>
        <w:t>8 (по три машины каждого типа) с целью установления: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суточного пробега машин по шоссе, грунтовым дорогам и по смешанным участкам и при разных грунтах и состояниях дорог и погоды;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установить среднюю скорость на расстояние 100, 200, 300, 400 и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по шоссе, грунтовым дорогам и комбинированный пробег (шоссе с грунтовой дорогой). Пробег должен производиться в разных условиях погоды и состоянии грунта и дорог и с преодолеванием разного рода препятствий: вода, болото, пески, подъем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установить среднюю норму ночных переходов по разным дорогам;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установить утомляемость экипажа танков и бронемашин при дневных и ночных переходах;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установить способность машин преодолевать разного рода препятствия: рвы, подъемы, броды, проходимость по пескам, болоту, пням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провести стрелковые испытания с целью установления меткости стрельбы на дистанцию от 100 до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установить живучесть (выносливость) машин, для чего довести общий пробег машин до 5</w:t>
      </w:r>
      <w:r w:rsidRPr="00E93F40">
        <w:rPr>
          <w:rFonts w:ascii="Times New Roman" w:hAnsi="Times New Roman"/>
          <w:color w:val="000000" w:themeColor="text1"/>
          <w:sz w:val="16"/>
          <w:szCs w:val="16"/>
        </w:rPr>
        <w:noBreakHyphen/>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Испытания необходимо начать не позднее мая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кроме того, провести дополнительные испытания машин в осенне-зимних условиях.</w:t>
      </w:r>
    </w:p>
    <w:p w14:paraId="3DCE1373"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Штаб РККА считает и в последующем производить подобные испытания всех новых образцов боевых и вспомогательных машин как нашего производства, так и приобретенных за рубежом.</w:t>
      </w:r>
    </w:p>
    <w:p w14:paraId="25CCF13B"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VII. Транспортер</w:t>
      </w:r>
    </w:p>
    <w:p w14:paraId="424F1EBA"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Транспортер в основном должен работать в составе мотомех[анизированных] частей, поэтому он должен обладать такими тактико-техническими средствами, как и легкий танк Т</w:t>
      </w:r>
      <w:r w:rsidRPr="00E93F40">
        <w:rPr>
          <w:rFonts w:ascii="Times New Roman" w:hAnsi="Times New Roman"/>
          <w:color w:val="000000" w:themeColor="text1"/>
          <w:sz w:val="16"/>
          <w:szCs w:val="16"/>
        </w:rPr>
        <w:noBreakHyphen/>
        <w:t>26. Транспортер должен монтироваться на шасси Т</w:t>
      </w:r>
      <w:r w:rsidRPr="00E93F40">
        <w:rPr>
          <w:rFonts w:ascii="Times New Roman" w:hAnsi="Times New Roman"/>
          <w:color w:val="000000" w:themeColor="text1"/>
          <w:sz w:val="16"/>
          <w:szCs w:val="16"/>
        </w:rPr>
        <w:noBreakHyphen/>
        <w:t>26 и должен быть приспособлен не только для перевозки пехоты, но и эвакуации раненых, подвоза огнеприпасов и горюче-смазочных материалов, под штабную машину мотомех[анизированных] и танковых частей и быть приспособленным как походная мастерская для восстановления аварийных танков на поле боя, он же должен быть использован как радиотанк.</w:t>
      </w:r>
    </w:p>
    <w:p w14:paraId="705AAB8C"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VIII. Саперные установки</w:t>
      </w:r>
    </w:p>
    <w:p w14:paraId="6173FBDD"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 опытный образец самоходной установки 76</w:t>
      </w:r>
      <w:r w:rsidRPr="00E93F40">
        <w:rPr>
          <w:rFonts w:ascii="Times New Roman" w:hAnsi="Times New Roman"/>
          <w:color w:val="000000" w:themeColor="text1"/>
          <w:sz w:val="16"/>
          <w:szCs w:val="16"/>
        </w:rPr>
        <w:noBreakHyphen/>
        <w:t>мм горной пушки на шасси Т</w:t>
      </w:r>
      <w:r w:rsidRPr="00E93F40">
        <w:rPr>
          <w:rFonts w:ascii="Times New Roman" w:hAnsi="Times New Roman"/>
          <w:color w:val="000000" w:themeColor="text1"/>
          <w:sz w:val="16"/>
          <w:szCs w:val="16"/>
        </w:rPr>
        <w:noBreakHyphen/>
        <w:t>26. Ввиду установки этой пушки не во вращающейся башне считаю необходимым от производства таковой воздержаться. Необходимо разработать самоходную установку на шасси Т</w:t>
      </w:r>
      <w:r w:rsidRPr="00E93F40">
        <w:rPr>
          <w:rFonts w:ascii="Times New Roman" w:hAnsi="Times New Roman"/>
          <w:color w:val="000000" w:themeColor="text1"/>
          <w:sz w:val="16"/>
          <w:szCs w:val="16"/>
        </w:rPr>
        <w:noBreakHyphen/>
        <w:t>26 с 76</w:t>
      </w:r>
      <w:r w:rsidRPr="00E93F40">
        <w:rPr>
          <w:rFonts w:ascii="Times New Roman" w:hAnsi="Times New Roman"/>
          <w:color w:val="000000" w:themeColor="text1"/>
          <w:sz w:val="16"/>
          <w:szCs w:val="16"/>
        </w:rPr>
        <w:noBreakHyphen/>
        <w:t>мм специально танковой полуавтоматической пушкой с круговым обстрелом.</w:t>
      </w:r>
    </w:p>
    <w:p w14:paraId="39923D9A"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дальнейшем нецелесообразно делать самоходные установки на автомобилях «Мореланд» как импортных машинах и имеющих низшую проходимость по сравнению с 3</w:t>
      </w:r>
      <w:r w:rsidRPr="00E93F40">
        <w:rPr>
          <w:rFonts w:ascii="Times New Roman" w:hAnsi="Times New Roman"/>
          <w:color w:val="000000" w:themeColor="text1"/>
          <w:sz w:val="16"/>
          <w:szCs w:val="16"/>
        </w:rPr>
        <w:noBreakHyphen/>
        <w:t>осным «Фордом АА».</w:t>
      </w:r>
    </w:p>
    <w:p w14:paraId="3A522180"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IX. Саперный танк</w:t>
      </w:r>
    </w:p>
    <w:p w14:paraId="7BDBFC32" w14:textId="2C8A5473"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Саперный танк возражений не встречает. Кроме саперного танка, необходимо иметь танк миноносец</w:t>
      </w:r>
      <w:r w:rsidR="007C1411" w:rsidRPr="00E93F40">
        <w:rPr>
          <w:color w:val="000000" w:themeColor="text1"/>
          <w:sz w:val="16"/>
          <w:szCs w:val="16"/>
        </w:rPr>
        <w:t xml:space="preserve"> </w:t>
      </w:r>
      <w:r w:rsidRPr="00E93F40">
        <w:rPr>
          <w:color w:val="000000" w:themeColor="text1"/>
          <w:sz w:val="16"/>
          <w:szCs w:val="16"/>
        </w:rPr>
        <w:t>— минный заградитель, он же тральщик. Миноносец должен обладать теми же тактико-техническими свойствами, как и легкий танк, но за счет вооружения должен иметь противотанковые мины в количестве 1,2—1,5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шт. и два пулемета для непосредственной защиты.</w:t>
      </w:r>
    </w:p>
    <w:p w14:paraId="4166FC0E" w14:textId="7399AD0E"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Назначение миноносца</w:t>
      </w:r>
      <w:r w:rsidR="007C1411" w:rsidRPr="00E93F40">
        <w:rPr>
          <w:color w:val="000000" w:themeColor="text1"/>
          <w:sz w:val="16"/>
          <w:szCs w:val="16"/>
        </w:rPr>
        <w:t xml:space="preserve"> </w:t>
      </w:r>
      <w:r w:rsidRPr="00E93F40">
        <w:rPr>
          <w:color w:val="000000" w:themeColor="text1"/>
          <w:sz w:val="16"/>
          <w:szCs w:val="16"/>
        </w:rPr>
        <w:t>— разбрасывать противотанковые мины в три ряда в шахматном порядке на расстоянии 1,5</w:t>
      </w:r>
      <w:r w:rsidR="007C1411" w:rsidRPr="00E93F40">
        <w:rPr>
          <w:color w:val="000000" w:themeColor="text1"/>
          <w:sz w:val="16"/>
          <w:szCs w:val="16"/>
        </w:rPr>
        <w:t xml:space="preserve"> </w:t>
      </w:r>
      <w:r w:rsidRPr="00E93F40">
        <w:rPr>
          <w:color w:val="000000" w:themeColor="text1"/>
          <w:sz w:val="16"/>
          <w:szCs w:val="16"/>
        </w:rPr>
        <w:t>м одна от другой во время танковых боев, танкового преследования пр[отивни]ком, при отходе, минирования полей в обороне, на флангах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п.</w:t>
      </w:r>
    </w:p>
    <w:p w14:paraId="26E08286" w14:textId="77777777" w:rsidR="00660A75" w:rsidRPr="00E93F40" w:rsidRDefault="00660A75"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Начальник Штаба РККА </w:t>
      </w:r>
      <w:hyperlink r:id="rId104" w:history="1">
        <w:r w:rsidRPr="00E93F40">
          <w:rPr>
            <w:rStyle w:val="af0"/>
            <w:i w:val="0"/>
            <w:color w:val="000000" w:themeColor="text1"/>
            <w:sz w:val="16"/>
            <w:szCs w:val="16"/>
          </w:rPr>
          <w:t>Егоров</w:t>
        </w:r>
      </w:hyperlink>
    </w:p>
    <w:p w14:paraId="0DFC1591" w14:textId="77777777" w:rsidR="00660A75" w:rsidRPr="00E93F40" w:rsidRDefault="00660A75" w:rsidP="00E93F40">
      <w:pPr>
        <w:pStyle w:val="ae"/>
        <w:spacing w:before="0" w:after="0"/>
        <w:jc w:val="both"/>
        <w:rPr>
          <w:color w:val="000000" w:themeColor="text1"/>
          <w:sz w:val="16"/>
          <w:szCs w:val="16"/>
        </w:rPr>
      </w:pPr>
      <w:r w:rsidRPr="00E93F40">
        <w:rPr>
          <w:rStyle w:val="af0"/>
          <w:i w:val="0"/>
          <w:color w:val="000000" w:themeColor="text1"/>
          <w:sz w:val="16"/>
          <w:szCs w:val="16"/>
        </w:rPr>
        <w:t>Начальник II Управления Штаба РККА²*</w:t>
      </w:r>
    </w:p>
    <w:p w14:paraId="1AD408B6" w14:textId="77777777" w:rsidR="00660A75" w:rsidRPr="00E93F40" w:rsidRDefault="00660A75"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535EE7F6" w14:textId="13D2AA11"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Направлено наркому по военным и морским делам и председателю Реввоенсовета СССР К.</w:t>
      </w:r>
      <w:r w:rsidR="007C1411" w:rsidRPr="00E93F40">
        <w:rPr>
          <w:color w:val="000000" w:themeColor="text1"/>
          <w:sz w:val="16"/>
          <w:szCs w:val="16"/>
        </w:rPr>
        <w:t xml:space="preserve"> </w:t>
      </w:r>
      <w:r w:rsidRPr="00E93F40">
        <w:rPr>
          <w:color w:val="000000" w:themeColor="text1"/>
          <w:sz w:val="16"/>
          <w:szCs w:val="16"/>
        </w:rPr>
        <w:t>Е.</w:t>
      </w:r>
      <w:r w:rsidR="007C1411" w:rsidRPr="00E93F40">
        <w:rPr>
          <w:color w:val="000000" w:themeColor="text1"/>
          <w:sz w:val="16"/>
          <w:szCs w:val="16"/>
        </w:rPr>
        <w:t xml:space="preserve"> </w:t>
      </w:r>
      <w:r w:rsidRPr="00E93F40">
        <w:rPr>
          <w:color w:val="000000" w:themeColor="text1"/>
          <w:sz w:val="16"/>
          <w:szCs w:val="16"/>
        </w:rPr>
        <w:t>Ворошилову.</w:t>
      </w:r>
    </w:p>
    <w:p w14:paraId="7AF5AAE5" w14:textId="201E7EEA"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Подпись неразборчива.</w:t>
      </w:r>
    </w:p>
    <w:p w14:paraId="3DAA0DED" w14:textId="77777777" w:rsidR="00660A75" w:rsidRPr="00E93F40" w:rsidRDefault="00660A75" w:rsidP="00E93F40">
      <w:pPr>
        <w:pStyle w:val="ae"/>
        <w:spacing w:before="0" w:after="0"/>
        <w:jc w:val="both"/>
        <w:rPr>
          <w:color w:val="000000" w:themeColor="text1"/>
          <w:sz w:val="16"/>
          <w:szCs w:val="16"/>
        </w:rPr>
      </w:pPr>
      <w:r w:rsidRPr="00E93F40">
        <w:rPr>
          <w:color w:val="000000" w:themeColor="text1"/>
          <w:sz w:val="16"/>
          <w:szCs w:val="16"/>
        </w:rPr>
        <w:t>РГВА. Ф. 4. Оп. 14. Д. 628. Л. 8 16. Подлинник.</w:t>
      </w:r>
    </w:p>
    <w:p w14:paraId="3FE504F4" w14:textId="4F2C8CDB"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РГВА. Ф. 4. Оп. 14. Д. 628. Л. 8 16. Подлинник. </w:t>
      </w:r>
    </w:p>
    <w:p w14:paraId="4FFBE5E6" w14:textId="45DDC989"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663-666 (12559).</w:t>
      </w:r>
    </w:p>
    <w:p w14:paraId="0DAF798E" w14:textId="77777777" w:rsidR="00660A75" w:rsidRPr="00E93F40" w:rsidRDefault="00660A75" w:rsidP="00E93F40">
      <w:pPr>
        <w:spacing w:after="0" w:line="240" w:lineRule="auto"/>
        <w:jc w:val="both"/>
        <w:rPr>
          <w:rFonts w:ascii="Times New Roman" w:hAnsi="Times New Roman"/>
          <w:color w:val="000000" w:themeColor="text1"/>
          <w:sz w:val="16"/>
          <w:szCs w:val="16"/>
        </w:rPr>
      </w:pPr>
    </w:p>
    <w:p w14:paraId="1FD6FDA0" w14:textId="77777777" w:rsidR="007F0E59" w:rsidRPr="00E93F40" w:rsidRDefault="007F0E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в 1932 году в Ленинграде завод «Коминтерн» приступает к выпуску первых 20 советских телевизоров (14887).</w:t>
      </w:r>
    </w:p>
    <w:p w14:paraId="15CCB014" w14:textId="77777777" w:rsidR="007F0E59" w:rsidRPr="00E93F40" w:rsidRDefault="007F0E59" w:rsidP="00E93F40">
      <w:pPr>
        <w:spacing w:after="0" w:line="240" w:lineRule="auto"/>
        <w:jc w:val="both"/>
        <w:rPr>
          <w:rFonts w:ascii="Times New Roman" w:hAnsi="Times New Roman"/>
          <w:color w:val="000000" w:themeColor="text1"/>
          <w:sz w:val="16"/>
          <w:szCs w:val="16"/>
        </w:rPr>
      </w:pPr>
    </w:p>
    <w:p w14:paraId="0EF431B5"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года в Ленинграде завод «Коминтерн» выпустил первые 20 советских телевизоров (21176).</w:t>
      </w:r>
    </w:p>
    <w:p w14:paraId="4923A3AD" w14:textId="77777777" w:rsidR="00BF2EEE" w:rsidRPr="00E93F40" w:rsidRDefault="00BF2EEE" w:rsidP="00E93F40">
      <w:pPr>
        <w:spacing w:after="0" w:line="240" w:lineRule="auto"/>
        <w:jc w:val="both"/>
        <w:rPr>
          <w:rFonts w:ascii="Times New Roman" w:hAnsi="Times New Roman"/>
          <w:color w:val="000000" w:themeColor="text1"/>
          <w:sz w:val="16"/>
          <w:szCs w:val="16"/>
        </w:rPr>
      </w:pPr>
    </w:p>
    <w:p w14:paraId="688BB7A5" w14:textId="77777777" w:rsidR="00D45048" w:rsidRPr="00E93F40" w:rsidRDefault="00D4504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в селении Пермское Нижне-Тамбовского района Дальневосточного края высаживаются первые строители будущего города Комсомольска. 10 декабря селение переименовано в Комсомольск-на-Амуре (12629).</w:t>
      </w:r>
    </w:p>
    <w:p w14:paraId="5311209D" w14:textId="77777777" w:rsidR="00D45048" w:rsidRPr="00E93F40" w:rsidRDefault="00D4504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31D018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AD141E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D95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К.Е.В. подписал основополагающие приказы по органам руководства ПВО в центре и в военных округах. Приказом РВС N 033 6У Штаба РККА переименовано в УПВО РККА (М.Е.Медведев) (3398,177).</w:t>
      </w:r>
    </w:p>
    <w:p w14:paraId="74BC11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03B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года 6-е управление Штаба РККА преобразовано в самостоятельное Управление ПВО Рабоче-Крестьянской Красной Армии, подчинявшееся непосредственно наркомвоенмору. Начальником Управления ПВО назначен Михаил Медведев (10109).</w:t>
      </w:r>
    </w:p>
    <w:p w14:paraId="1FB29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78DF9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22653F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6FC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г. ВЦИК и СНК РСФСР издают постановление "О сельских исполнителях", которым вносятся некоторые изменения в систему сельских исполнителей, уточняются их задачи, функции и права. Одновременно отменяется декрет ВЦИК и СНК РСФСР от 27 марта 1924 г. по данному вопросу (10303).</w:t>
      </w:r>
    </w:p>
    <w:p w14:paraId="537342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CC3F2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19EF27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9C977E9" w14:textId="77777777" w:rsidR="00665ECA" w:rsidRPr="00E93F40" w:rsidRDefault="00665EC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10 мая в 1932 году впервые поднялся в воздух поплавковый разведчик </w:t>
      </w:r>
      <w:hyperlink r:id="rId105" w:tgtFrame="_blank" w:history="1">
        <w:r w:rsidRPr="00E93F40">
          <w:rPr>
            <w:rFonts w:ascii="Times New Roman" w:hAnsi="Times New Roman"/>
            <w:color w:val="000000" w:themeColor="text1"/>
            <w:sz w:val="16"/>
            <w:szCs w:val="16"/>
          </w:rPr>
          <w:t xml:space="preserve">«GL-820HY», </w:t>
        </w:r>
      </w:hyperlink>
      <w:r w:rsidRPr="00E93F40">
        <w:rPr>
          <w:rFonts w:ascii="Times New Roman" w:hAnsi="Times New Roman"/>
          <w:color w:val="000000" w:themeColor="text1"/>
          <w:sz w:val="16"/>
          <w:szCs w:val="16"/>
        </w:rPr>
        <w:t>с двигателем «Hispano-Suisa» «9Ab» (730 л.с.), но он не показал значительных преимуществ перед серийными вариантами и не был принят к серийному производству. Дорабатывать конструкцию GL-820 не было большого смысла, так как она полностью исчерпала свой ресурс (14887).</w:t>
      </w:r>
    </w:p>
    <w:p w14:paraId="1109D899" w14:textId="77777777" w:rsidR="00665ECA" w:rsidRPr="00E93F40" w:rsidRDefault="00665ECA" w:rsidP="00E93F40">
      <w:pPr>
        <w:spacing w:after="0" w:line="240" w:lineRule="auto"/>
        <w:jc w:val="both"/>
        <w:rPr>
          <w:rFonts w:ascii="Times New Roman" w:hAnsi="Times New Roman"/>
          <w:color w:val="000000" w:themeColor="text1"/>
          <w:sz w:val="16"/>
          <w:szCs w:val="16"/>
        </w:rPr>
      </w:pPr>
    </w:p>
    <w:p w14:paraId="41C72C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мая 1932 года Линн Дж. Фрейзер (Сенат СА, Комиссия по индийским делам) писал письмо Лестеру П. Барлоу (4 Сауд стрит, Стамфорд, Кон.)</w:t>
      </w:r>
    </w:p>
    <w:p w14:paraId="111003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Уважаемый Барлоу</w:t>
      </w:r>
    </w:p>
    <w:p w14:paraId="2E757F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Ваше письмо получил. Законопроект по военно-морской реконструкции внесенный Гейлом прошел прошлую пятницу. Против него было подано всего 17 голосов.</w:t>
      </w:r>
    </w:p>
    <w:p w14:paraId="6CB42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Меня очень интересует Ваше сообщение о том, что один немецкий инженер имеет фактически те же планы, что и вы для наступательной войны. Дивиться этому не приходится так как несомненно во всех крупных странах имеются специалисты, которые все время разрабатывают такого рода вопросы.</w:t>
      </w:r>
    </w:p>
    <w:p w14:paraId="5632E6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Казалось бы, что каждый член Правительства, который хочет мыслить самостоятельно, должен прийти к выводу, что новая война будет означать полное уничтожение и что надо немедленно принимать меры для всеобщего разоружения вместо того, чтобы постоянно стремиться превзойти все прочие страны в подготовке к войне (3553,17).</w:t>
      </w:r>
    </w:p>
    <w:p w14:paraId="79BC2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D4B35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4F19A6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3BC396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года зам. начальника 1 отдела НИИ Квитко писал письмо № ос/164с начальнику ВВС.</w:t>
      </w:r>
    </w:p>
    <w:p w14:paraId="16F401D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выполнении промышленностью решений РВС в части сухопутных самолетов.</w:t>
      </w:r>
    </w:p>
    <w:p w14:paraId="29F63BBD"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 26 от 27 июля 1931 года – об установке разрезных крыльев на самолетах Р5, Р6, И5, И7, И4:</w:t>
      </w:r>
    </w:p>
    <w:p w14:paraId="665E9DD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И4-ЮVI выпущен с разрезным крылом в августе 1931 года. Самолет испытан, дано заключение.</w:t>
      </w:r>
    </w:p>
    <w:p w14:paraId="56D96B2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Р5-М17 с разрезным верхним крылом, переделанным нижним крылом, оперением и шасси предъявлен на испытание в НИИ 5 мая 1932 года. Сейчас самолет проходит испытания в НИИ.</w:t>
      </w:r>
    </w:p>
    <w:p w14:paraId="6DF0F6F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Остальные самолеты в плане опытного строительства на 1932 год не стоят.</w:t>
      </w:r>
    </w:p>
    <w:p w14:paraId="503FFB6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Протокол № 30 п. 8 – об установлении типа пушечного истребителя и переделке самолета Р5 на 5 пассажиров.</w:t>
      </w:r>
    </w:p>
    <w:p w14:paraId="419BD6B6"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построено два пушечных одноместных истребителя – И12 – 2ЮVI и Z-ЮVI, И12 находится на заводских испытаниях. Сейчас отремонтирован после разрыва сопла у левой пушки, усилены подкосы на вертикальном оперении. После ремонта в воздухе не был.</w:t>
      </w:r>
    </w:p>
    <w:p w14:paraId="1288E47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полетам готов.</w:t>
      </w:r>
    </w:p>
    <w:p w14:paraId="28B1E66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Z проходит совместные испытания (39 завод и НИИ ), на нем было заводом сожжено два мотора. Сейчас самолет отремонтирован, готов к продолжению испытаний.</w:t>
      </w:r>
    </w:p>
    <w:p w14:paraId="4BE1AFB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переделка Р5 в ЦАГИ под 5 пассажиров была начата. Во время реорганизации (слияние ЦКБ с АГОС) начальником ВАО работа снята совсем, сейчас не продолжается и в плане на 1932 год не стоит.</w:t>
      </w:r>
    </w:p>
    <w:p w14:paraId="2C1F3B07"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 40 п. 20 – о работах по увеличению радиуса действия ТБ3-4М17 до 1500 км с бомбовой нагрузкой 2000 кг.</w:t>
      </w:r>
    </w:p>
    <w:p w14:paraId="452847D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отрыва самолета ТБ3 при взлете с полетным весом свыше 19800 кг мощности четырех моторов М17 не хватит.</w:t>
      </w:r>
    </w:p>
    <w:p w14:paraId="355819A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 40 п. 29 – о постройке рекордного самолета на дальность.</w:t>
      </w:r>
    </w:p>
    <w:p w14:paraId="0FDE12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самолета в ЦКБ ЦАГИ разработан, сейчас строится макет. ЦКБ обещает выпустить самолет в срок установленный РВС, т.е. 1 августа 1932 года. Ход работы по этому самолету позволяет ожидать, что срок будет выдержан.</w:t>
      </w:r>
    </w:p>
    <w:p w14:paraId="557CC1D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 42 п. 6 – о постройке сверхвысотного самолета.</w:t>
      </w:r>
    </w:p>
    <w:p w14:paraId="2E242BE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в Академии и ЦАГИ ведется работа в порядке предварительных исследований и изысканий в части моторов, винта, горючего, материала для самолета и т.п. Темпы работы слабы (6780, 49-50).</w:t>
      </w:r>
    </w:p>
    <w:p w14:paraId="3CB5AAA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A2BB08"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г.</w:t>
      </w:r>
    </w:p>
    <w:p w14:paraId="47EE11ED"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Сообщение членов советской делегации в Италии из Милана в Политбюро ЦК ВКП(б) о достигнутых соглашениях с фирмой “Фиат”</w:t>
      </w:r>
    </w:p>
    <w:p w14:paraId="133279C8"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г.</w:t>
      </w:r>
    </w:p>
    <w:p w14:paraId="1276A87A"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 секретно</w:t>
      </w:r>
    </w:p>
    <w:p w14:paraId="6D2A1A59"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Немедленно</w:t>
      </w:r>
    </w:p>
    <w:p w14:paraId="0341B3DC"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длительных переговоров с фирмой “Фиат” объем технического оборудования согласован следующий:</w:t>
      </w:r>
    </w:p>
    <w:p w14:paraId="0A9DA537"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Составление предварительного проекта - два месяца, окончательного проекта с техническим процессом, спецификациями и прочим - еще 4 месяца; </w:t>
      </w:r>
    </w:p>
    <w:p w14:paraId="5CD7DB7D"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фирма согласна на разновременное командирование 9 человек и обучение наших людей в своей литейной;</w:t>
      </w:r>
    </w:p>
    <w:p w14:paraId="600C3732"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фирма согласна оказать помощь по монтажу оборудования, наладке производства, но без принятия гарантии и материальной ответственности. Сроками строительства фирма считает невозможным выпуск первого годного литья в начале 1934 года, полной мощностью - конец 1934 года. </w:t>
      </w:r>
    </w:p>
    <w:p w14:paraId="4FAE6031"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Более короткие сроки фирма считает нереальными. По 26-му заводу фирма согласна, по представлении плана, дать указания и экспертизу составленному нами проекту.</w:t>
      </w:r>
    </w:p>
    <w:p w14:paraId="6FAD0845"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Фирма окончательно заявила следующую стоимость договора: техпомощь 880 000 рублей, модель обоих моторов 420 000 рублей, изготовление по 200 комплектов литья к каждому мотору 300 000 рублей, всего 1 660 000 рублей. Сроки платежей следующие: техпомощь - средний кредит 24 месяца, по моделям - средний кредит 15 месяцев, по литью средний кредит 21 месяц. Цена техпомощи и моделей “Фиата” в два с лишним раза выше немецкой, условия платежей, наоборот, фиатовские значительно лучше. Хотя “Фиат" просит дороже, мы считаем необходимым заключение договора с “Фиатом”. Немедленно телеграфируйте Ваше решение, визировать ли нам договор.</w:t>
      </w:r>
    </w:p>
    <w:p w14:paraId="5C23426A"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Мартинович, Ефимов</w:t>
      </w:r>
    </w:p>
    <w:p w14:paraId="4FB7C661"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 3. On. 65. Д. 243. Л. 163. Расшифрованная телеграмма (20932).</w:t>
      </w:r>
    </w:p>
    <w:p w14:paraId="58426A54" w14:textId="77777777" w:rsidR="00C6683D" w:rsidRPr="00E93F40" w:rsidRDefault="00C6683D" w:rsidP="00E93F40">
      <w:pPr>
        <w:spacing w:after="0" w:line="240" w:lineRule="auto"/>
        <w:jc w:val="both"/>
        <w:rPr>
          <w:rFonts w:ascii="Times New Roman" w:hAnsi="Times New Roman"/>
          <w:color w:val="000000" w:themeColor="text1"/>
          <w:sz w:val="16"/>
          <w:szCs w:val="16"/>
        </w:rPr>
      </w:pPr>
    </w:p>
    <w:p w14:paraId="06F5F25C"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г.</w:t>
      </w:r>
    </w:p>
    <w:p w14:paraId="245F5EBC"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ПИСЬМО НИЖЕГОРОДСКОГО КРАЙКОМА ВКП (Б) В КОМИССИЮ ОБОРОНЫ О МЕРАХ ПО ВЫПОЛНЕНИЮ ЗАВОДОМ № 21 ПРОИЗВОДСТВЕННОЙ ПРОГРАММЫ ПО ВЫПУСКУ САМОЛЕТОВ ТИПА «ИСТРЕБИТЕЛЬ»</w:t>
      </w:r>
    </w:p>
    <w:p w14:paraId="79C20552"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г.</w:t>
      </w:r>
    </w:p>
    <w:p w14:paraId="23530F61"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4481C7FE"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Достраивающийся в Нижнем Новгороде завод № 21 рассчитан на производство самолетов типа «Истребитель» и будет являться единственным в СССР заводом, специализированным на производстве самолетов этого типа. Уже в 1932 г. завод должен выпустить 376 самолетов «И-5 М-22». На 1933 г. производственная программа для завода ориентировочно определена в 2 тыс. самолетов. Выполнение программы по самолетостроению в текущем году и освоение такой большой программы в 1933 г. ветречает ряд затруднений, разрешение которых упирается в центральные органы.</w:t>
      </w:r>
    </w:p>
    <w:p w14:paraId="41E22740"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самолета, производство которого завод должен осваивать, в течение 1931 г. изменялся 5 раз. Наконец, в сентябре 1931 г. был окончательно установлен тип самолета «И-5 М-22». Конструкторская доработка машины была возложена на центральное конструкторское бюро ЦАГИ, а разработка рабочих чертежей, спецификации материалов, технологического процесса производства, приспособлений и специнструмента - отдел внедрения ЦАГИ, с окончанием всех этих работ 1 марта текущего года. Но и к настоящему времени завод не имеет полностью рабочих чертежей, а полученная часть их разработана неряшливо, имеет много неточностей и ошибок и требует значительных исправлений, чего завод не в состоянии сделать собственными силами. Специнструмент совершенно не разработан, и заводу надо своими собственными силами разработать 1070 наименований инструментов. Спецификация материалов составлена крайне неудовлетворительно, неполно и содержит до 50% ошибок, что должно неизбежно дать перебои завода в снабжении материалами.</w:t>
      </w:r>
    </w:p>
    <w:p w14:paraId="1C08A323"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всех рабочих чертежей, специального инструмента, неясность технологического процесса и неправильно разработанная спецификация материалов не дают никакой возможности нормально развертывать производство, хотя основные цеха завода были пущены в эксплуатацию 1 февраля с.г.</w:t>
      </w:r>
    </w:p>
    <w:p w14:paraId="126723E0"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крайне недостаточно обеспечен кадрами квалифицированных рабочих и кадрами инженерно-технического персонала. Для развертывания производства завод должен иметь минимум 1840 чел. высококвалифицированных рабочих, фактически их имеется только 238, в том числе рабочих, имеющих опыт работы по самолетостроению, только 75 чел. Все требования руководства завода к Глававиапрому о переброске на завод высококвалифицированных рабочих до настоящего времени не дают никаких результатов, хотя на некоторых заводах (завод № 23) имеется явный излишек высококвалифицированной рабочей силы, используемой на производстве продукции необоронного характера. Инженерно-технических работников завод имеет только 189 чел. вместо 393 необходимых, из авиаспециалистов всего только 24 чел. Инженерно-техническими кадрами не укомплектован ряд основных должностей заводоуправления и ведущих цехов.</w:t>
      </w:r>
    </w:p>
    <w:p w14:paraId="19D7F7A8"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развертывания производства завод должен был иметь смонтированным и сданным в эксплуатацию 571 станок. На 1 мая с. г. завод получил только 342 станка.</w:t>
      </w:r>
    </w:p>
    <w:p w14:paraId="0D44B31D"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Строительство завода проходит неудовлетворительно. В 1931 г. задания по промышленному строительству выполнено на 58% и культурнобытовому на 57%. Строительство завода в текущем году проходит также неудовлетворительно. Одной из основных причин неудовлетворительности строительства завода является недостаточное внимание и руководство Всевторстроя строительными работами и недоснабжение завода строительными материалами.</w:t>
      </w:r>
    </w:p>
    <w:p w14:paraId="1F98132A"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Освоение производственной программы заводом 1933 г. в 2 тыс. самолетов требует развертывания полной мощности завода к началу II квартала 1933 г. Для этого необходимо ввести в эксплуатацию к этому же сроку следующие производственные сооружения, строительство которых еще до настоящего времени центральными организациями не утверждено: 1) экспедиции (с ящичной и упаковочной), 2) ангара, 3) тира и весовое, 4) эмалитной мастерской, 5) хранилища бензина, 6) культурнобытового строительства.</w:t>
      </w:r>
    </w:p>
    <w:p w14:paraId="2823EB81"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особо важное значение в настоящих условиях вопросов самолетостроения и неотложную необходимость быстрейшего развертывания заводом своей полной производственной мощности, Нижегородский краевой комитет ВКП(б) просит Комиссию обороны:</w:t>
      </w:r>
    </w:p>
    <w:p w14:paraId="050E8504"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Командировать на завод из ЦАГИ конструкторскую группу для проработки и исправления полученных неправильных чертежей машины, разработки приспособлений и специнструментов, исправления спецификации материалов и изготовления рабочих чертежей, которые ЦАГИ совершенно не разработал, и переделки чертежей после испытании самолета в научно-исследовательском институте.</w:t>
      </w:r>
    </w:p>
    <w:p w14:paraId="19119311"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Глававиапром в ближайшее время послать на завод группу инженеров-техников и мастеров как для руководящей работы в заводоуправлении, так и на работу в отделы и ведущие цеха завода.</w:t>
      </w:r>
    </w:p>
    <w:p w14:paraId="5243B7E2"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Для создания основного костяка высококвалифицированных кадров рабочих предложить Глававиапрому перебросить с других авиазаводов 150 чел. высококвалифицированных рабочих, имеющих опыт по самолетостроению.</w:t>
      </w:r>
    </w:p>
    <w:p w14:paraId="0AF24899"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Отнести строительство завода к числу ударных строек, срочно разрешить вопрос о пересмотре титулов стройки и обеспечить строительство завода соответствующими фондами строительных материалов. Обязать Всевторстрой усилить свое наблюдение и руководство за строительством завода с тем, чтобы были безусловно выдержаны сроки завершения как по промышленному, так и по культурно-бытовому строительству.</w:t>
      </w:r>
    </w:p>
    <w:p w14:paraId="0BD7D3DA"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Секретарь Нижегородского] крайкома ВКП(б) Жданов</w:t>
      </w:r>
    </w:p>
    <w:p w14:paraId="71E7037F"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ГА РФ. Ф. Р-8418. Оп. 5. Д. 163. Л. 220-222. Подлинник. </w:t>
      </w:r>
    </w:p>
    <w:p w14:paraId="467E0CE8" w14:textId="77777777" w:rsidR="00C6683D" w:rsidRPr="00E93F40" w:rsidRDefault="00C668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Становление оборонно-промышленного комплекса СССР (1927-1932). М. 2008, С. 666-668 (20990).</w:t>
      </w:r>
    </w:p>
    <w:p w14:paraId="6CC1FE2A" w14:textId="77777777" w:rsidR="00C6683D" w:rsidRPr="00E93F40" w:rsidRDefault="00C6683D" w:rsidP="00E93F40">
      <w:pPr>
        <w:spacing w:after="0" w:line="240" w:lineRule="auto"/>
        <w:jc w:val="both"/>
        <w:rPr>
          <w:rFonts w:ascii="Times New Roman" w:hAnsi="Times New Roman"/>
          <w:color w:val="000000" w:themeColor="text1"/>
          <w:sz w:val="16"/>
          <w:szCs w:val="16"/>
        </w:rPr>
      </w:pPr>
    </w:p>
    <w:p w14:paraId="206122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Нач. НТОС ГУАП Алмазов и Нач. моторной группы Дементьев писали в ЦИАМ Побережскому (копии нач. ЦАГИ Харламову, нач. ПТЭС Петрожицкому, нач. спецсектора Наумову письмо N 0-87/6196с:</w:t>
      </w:r>
    </w:p>
    <w:p w14:paraId="49832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"Направляем для исполнения план опытного моторостроения ЦИАМ на 1932-33, утвержденный РВС СССР и план подачи опытных моторов на самолеты ЦАГИ.</w:t>
      </w:r>
    </w:p>
    <w:p w14:paraId="47D6AD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М-34Н, М-34РН, ГМ-34 и М-52 ЦИАМ проводит в кооперированном порядке с заводом 24 по протоколу Согласительного совещания завода и Института от 4 мая 1932.</w:t>
      </w:r>
    </w:p>
    <w:p w14:paraId="11D0A3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Института снимается изготовление моторов М-34 №№ 8 и 9, ввиду чего задание по этим моторам и ограничивается выпуском моторов №№ 4-5-6-7. Необходимые для ЦАГИ моторы поступают из серийного производства.</w:t>
      </w:r>
    </w:p>
    <w:p w14:paraId="0C1C67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Задание на мотор М-38 Гр для гражданской авиации, по постановлению Комиссии т. ТУХАЧЕСВОГО из плана исключено. Танкая работа может быть проведена по согла</w:t>
      </w:r>
      <w:r w:rsidRPr="00E93F40">
        <w:rPr>
          <w:rFonts w:ascii="Times New Roman" w:hAnsi="Times New Roman"/>
          <w:color w:val="000000" w:themeColor="text1"/>
          <w:sz w:val="16"/>
          <w:szCs w:val="16"/>
        </w:rPr>
        <w:softHyphen/>
        <w:t>шению с ГУГВФ, без снижения основной программы. Сроками по данной работе со стороны ГУАП Вы не связываетесь. В план включается задание на изготовление мотора М-38 РН (с редуктором и нагнетателем) со сроком выхода на госиспытание к 1/У-33 г. Срок подачи мотора на самолет сообщает ЦАГИ.</w:t>
      </w:r>
    </w:p>
    <w:p w14:paraId="38CB92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Включаются работы по модификации М-34, моторы М-54С (форсированный М-34) и М-55 (перевернутый М-34). В части этих моторов со стороны ЦАГИ в кратчайший срок голжно быть уточнено каким агрегатами должны быть обеспечены эти моторы </w:t>
      </w:r>
      <w:r w:rsidRPr="00E93F40">
        <w:rPr>
          <w:rFonts w:ascii="Times New Roman" w:hAnsi="Times New Roman"/>
          <w:iCs/>
          <w:color w:val="000000" w:themeColor="text1"/>
          <w:sz w:val="16"/>
          <w:szCs w:val="16"/>
        </w:rPr>
        <w:t>(</w:t>
      </w:r>
      <w:r w:rsidRPr="00E93F40">
        <w:rPr>
          <w:rFonts w:ascii="Times New Roman" w:hAnsi="Times New Roman"/>
          <w:color w:val="000000" w:themeColor="text1"/>
          <w:sz w:val="16"/>
          <w:szCs w:val="16"/>
        </w:rPr>
        <w:t>нагнететель, редуктор,синхрони</w:t>
      </w:r>
      <w:r w:rsidRPr="00E93F40">
        <w:rPr>
          <w:rFonts w:ascii="Times New Roman" w:hAnsi="Times New Roman"/>
          <w:color w:val="000000" w:themeColor="text1"/>
          <w:sz w:val="16"/>
          <w:szCs w:val="16"/>
        </w:rPr>
        <w:softHyphen/>
        <w:t>затор и т.п.), а так же установлено потребное количество моторов для установки на самолеты.</w:t>
      </w:r>
    </w:p>
    <w:p w14:paraId="74B04F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приказанию Нач.ГУАП тов. БАРАНОВА включается задание на изготовление по 3-х экз. мотора М-22Н и М-22Р. Работы по изготовлению этих моторов проводятся в кооперированном порядке с заводом № 29, для чего Институт заключает с заводом специальное соглашение об обязательствах.</w:t>
      </w:r>
    </w:p>
    <w:p w14:paraId="2AE7B9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мотороз на государственное испытание в 1У-м квартале 1932 г.</w:t>
      </w:r>
    </w:p>
    <w:p w14:paraId="16BE53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выходом в текущем году моторов М-34 с нагнетателем, особо актуальным знанием является винт переменного шага, изготовление которого должно быть закончено не позднее 1/1Х-32 г.</w:t>
      </w:r>
    </w:p>
    <w:p w14:paraId="1EA6F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Подробный перечень об"ектов плана, количества, сроков выхода, и технические данные в приложении" (2314,16)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DA227A" w:rsidRPr="00E93F40" w14:paraId="71B697F2" w14:textId="77777777">
        <w:tc>
          <w:tcPr>
            <w:tcW w:w="1127" w:type="dxa"/>
          </w:tcPr>
          <w:p w14:paraId="069455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NN и марка</w:t>
            </w:r>
          </w:p>
        </w:tc>
        <w:tc>
          <w:tcPr>
            <w:tcW w:w="1127" w:type="dxa"/>
          </w:tcPr>
          <w:p w14:paraId="03A386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w:t>
            </w:r>
          </w:p>
        </w:tc>
        <w:tc>
          <w:tcPr>
            <w:tcW w:w="1127" w:type="dxa"/>
          </w:tcPr>
          <w:p w14:paraId="33781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цил.</w:t>
            </w:r>
          </w:p>
        </w:tc>
        <w:tc>
          <w:tcPr>
            <w:tcW w:w="1127" w:type="dxa"/>
          </w:tcPr>
          <w:p w14:paraId="21F3D2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w:t>
            </w:r>
          </w:p>
        </w:tc>
        <w:tc>
          <w:tcPr>
            <w:tcW w:w="1127" w:type="dxa"/>
          </w:tcPr>
          <w:p w14:paraId="21D60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1127" w:type="dxa"/>
          </w:tcPr>
          <w:p w14:paraId="2AB1B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w:t>
            </w:r>
          </w:p>
        </w:tc>
        <w:tc>
          <w:tcPr>
            <w:tcW w:w="1127" w:type="dxa"/>
          </w:tcPr>
          <w:p w14:paraId="7DFB0F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Расход</w:t>
            </w:r>
          </w:p>
        </w:tc>
        <w:tc>
          <w:tcPr>
            <w:tcW w:w="1127" w:type="dxa"/>
          </w:tcPr>
          <w:p w14:paraId="23922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Часов</w:t>
            </w:r>
          </w:p>
        </w:tc>
        <w:tc>
          <w:tcPr>
            <w:tcW w:w="1127" w:type="dxa"/>
          </w:tcPr>
          <w:p w14:paraId="38C196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1127" w:type="dxa"/>
          </w:tcPr>
          <w:p w14:paraId="75B66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68869D9A" w14:textId="77777777">
        <w:tc>
          <w:tcPr>
            <w:tcW w:w="1127" w:type="dxa"/>
          </w:tcPr>
          <w:p w14:paraId="04F01A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М-34Н</w:t>
            </w:r>
          </w:p>
        </w:tc>
        <w:tc>
          <w:tcPr>
            <w:tcW w:w="1127" w:type="dxa"/>
          </w:tcPr>
          <w:p w14:paraId="0A345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вода</w:t>
            </w:r>
          </w:p>
        </w:tc>
        <w:tc>
          <w:tcPr>
            <w:tcW w:w="1127" w:type="dxa"/>
          </w:tcPr>
          <w:p w14:paraId="15AD5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12-У-60</w:t>
            </w:r>
          </w:p>
        </w:tc>
        <w:tc>
          <w:tcPr>
            <w:tcW w:w="1127" w:type="dxa"/>
          </w:tcPr>
          <w:p w14:paraId="36B244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1127" w:type="dxa"/>
          </w:tcPr>
          <w:p w14:paraId="6FFAE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27" w:type="dxa"/>
          </w:tcPr>
          <w:p w14:paraId="08C36E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27" w:type="dxa"/>
          </w:tcPr>
          <w:p w14:paraId="4C842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220-230</w:t>
            </w:r>
          </w:p>
        </w:tc>
        <w:tc>
          <w:tcPr>
            <w:tcW w:w="1127" w:type="dxa"/>
          </w:tcPr>
          <w:p w14:paraId="0588B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127" w:type="dxa"/>
          </w:tcPr>
          <w:p w14:paraId="699415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15.06.32</w:t>
            </w:r>
          </w:p>
        </w:tc>
        <w:tc>
          <w:tcPr>
            <w:tcW w:w="1127" w:type="dxa"/>
          </w:tcPr>
          <w:p w14:paraId="710F06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101A29" w14:textId="77777777">
        <w:tc>
          <w:tcPr>
            <w:tcW w:w="1127" w:type="dxa"/>
          </w:tcPr>
          <w:p w14:paraId="0F591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М-34Р</w:t>
            </w:r>
          </w:p>
        </w:tc>
        <w:tc>
          <w:tcPr>
            <w:tcW w:w="1127" w:type="dxa"/>
          </w:tcPr>
          <w:p w14:paraId="67D457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вода</w:t>
            </w:r>
          </w:p>
        </w:tc>
        <w:tc>
          <w:tcPr>
            <w:tcW w:w="1127" w:type="dxa"/>
          </w:tcPr>
          <w:p w14:paraId="581D92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12-У-60</w:t>
            </w:r>
          </w:p>
        </w:tc>
        <w:tc>
          <w:tcPr>
            <w:tcW w:w="1127" w:type="dxa"/>
          </w:tcPr>
          <w:p w14:paraId="0190CC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1127" w:type="dxa"/>
          </w:tcPr>
          <w:p w14:paraId="2B0A68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27" w:type="dxa"/>
          </w:tcPr>
          <w:p w14:paraId="49566A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7" w:type="dxa"/>
          </w:tcPr>
          <w:p w14:paraId="134E3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220-230</w:t>
            </w:r>
          </w:p>
        </w:tc>
        <w:tc>
          <w:tcPr>
            <w:tcW w:w="1127" w:type="dxa"/>
          </w:tcPr>
          <w:p w14:paraId="3BF22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127" w:type="dxa"/>
          </w:tcPr>
          <w:p w14:paraId="535C7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15.09.32</w:t>
            </w:r>
          </w:p>
        </w:tc>
        <w:tc>
          <w:tcPr>
            <w:tcW w:w="1127" w:type="dxa"/>
          </w:tcPr>
          <w:p w14:paraId="1E0FE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C7B8DC" w14:textId="77777777">
        <w:tc>
          <w:tcPr>
            <w:tcW w:w="1127" w:type="dxa"/>
          </w:tcPr>
          <w:p w14:paraId="58C879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М-34Н (эл.карт.)</w:t>
            </w:r>
          </w:p>
        </w:tc>
        <w:tc>
          <w:tcPr>
            <w:tcW w:w="1127" w:type="dxa"/>
          </w:tcPr>
          <w:p w14:paraId="1DEFBE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вода</w:t>
            </w:r>
          </w:p>
        </w:tc>
        <w:tc>
          <w:tcPr>
            <w:tcW w:w="1127" w:type="dxa"/>
          </w:tcPr>
          <w:p w14:paraId="116F1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12-У-60</w:t>
            </w:r>
          </w:p>
        </w:tc>
        <w:tc>
          <w:tcPr>
            <w:tcW w:w="1127" w:type="dxa"/>
          </w:tcPr>
          <w:p w14:paraId="6D979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1127" w:type="dxa"/>
          </w:tcPr>
          <w:p w14:paraId="6B9819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w:t>
            </w:r>
          </w:p>
        </w:tc>
        <w:tc>
          <w:tcPr>
            <w:tcW w:w="1127" w:type="dxa"/>
          </w:tcPr>
          <w:p w14:paraId="45077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27" w:type="dxa"/>
          </w:tcPr>
          <w:p w14:paraId="4B55DC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220-230</w:t>
            </w:r>
          </w:p>
        </w:tc>
        <w:tc>
          <w:tcPr>
            <w:tcW w:w="1127" w:type="dxa"/>
          </w:tcPr>
          <w:p w14:paraId="38048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127" w:type="dxa"/>
          </w:tcPr>
          <w:p w14:paraId="20A22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01.08.32</w:t>
            </w:r>
          </w:p>
        </w:tc>
        <w:tc>
          <w:tcPr>
            <w:tcW w:w="1127" w:type="dxa"/>
          </w:tcPr>
          <w:p w14:paraId="07BB0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E34B38" w14:textId="77777777">
        <w:tc>
          <w:tcPr>
            <w:tcW w:w="1127" w:type="dxa"/>
          </w:tcPr>
          <w:p w14:paraId="620BA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М-34РН</w:t>
            </w:r>
          </w:p>
        </w:tc>
        <w:tc>
          <w:tcPr>
            <w:tcW w:w="1127" w:type="dxa"/>
          </w:tcPr>
          <w:p w14:paraId="73659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вода</w:t>
            </w:r>
          </w:p>
        </w:tc>
        <w:tc>
          <w:tcPr>
            <w:tcW w:w="1127" w:type="dxa"/>
          </w:tcPr>
          <w:p w14:paraId="1C20AE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12-У-60</w:t>
            </w:r>
          </w:p>
        </w:tc>
        <w:tc>
          <w:tcPr>
            <w:tcW w:w="1127" w:type="dxa"/>
          </w:tcPr>
          <w:p w14:paraId="2CD68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1127" w:type="dxa"/>
          </w:tcPr>
          <w:p w14:paraId="3C15C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w:t>
            </w:r>
          </w:p>
        </w:tc>
        <w:tc>
          <w:tcPr>
            <w:tcW w:w="1127" w:type="dxa"/>
          </w:tcPr>
          <w:p w14:paraId="299DF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27" w:type="dxa"/>
          </w:tcPr>
          <w:p w14:paraId="2C573D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220-230</w:t>
            </w:r>
          </w:p>
        </w:tc>
        <w:tc>
          <w:tcPr>
            <w:tcW w:w="1127" w:type="dxa"/>
          </w:tcPr>
          <w:p w14:paraId="29D7C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127" w:type="dxa"/>
          </w:tcPr>
          <w:p w14:paraId="5534F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01.08.32</w:t>
            </w:r>
          </w:p>
        </w:tc>
        <w:tc>
          <w:tcPr>
            <w:tcW w:w="1127" w:type="dxa"/>
          </w:tcPr>
          <w:p w14:paraId="6CF48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A9169B" w14:textId="77777777">
        <w:tc>
          <w:tcPr>
            <w:tcW w:w="1127" w:type="dxa"/>
          </w:tcPr>
          <w:p w14:paraId="59C99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ГМ-34</w:t>
            </w:r>
          </w:p>
        </w:tc>
        <w:tc>
          <w:tcPr>
            <w:tcW w:w="1127" w:type="dxa"/>
          </w:tcPr>
          <w:p w14:paraId="25831B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вода</w:t>
            </w:r>
          </w:p>
        </w:tc>
        <w:tc>
          <w:tcPr>
            <w:tcW w:w="1127" w:type="dxa"/>
          </w:tcPr>
          <w:p w14:paraId="31BF1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12-У-60</w:t>
            </w:r>
          </w:p>
        </w:tc>
        <w:tc>
          <w:tcPr>
            <w:tcW w:w="1127" w:type="dxa"/>
          </w:tcPr>
          <w:p w14:paraId="0AB391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1127" w:type="dxa"/>
          </w:tcPr>
          <w:p w14:paraId="25F1AC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980</w:t>
            </w:r>
          </w:p>
        </w:tc>
        <w:tc>
          <w:tcPr>
            <w:tcW w:w="1127" w:type="dxa"/>
          </w:tcPr>
          <w:p w14:paraId="436BEE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7" w:type="dxa"/>
          </w:tcPr>
          <w:p w14:paraId="1E9DE7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1127" w:type="dxa"/>
          </w:tcPr>
          <w:p w14:paraId="2AC34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127" w:type="dxa"/>
          </w:tcPr>
          <w:p w14:paraId="1FCF4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01.10.32</w:t>
            </w:r>
          </w:p>
        </w:tc>
        <w:tc>
          <w:tcPr>
            <w:tcW w:w="1127" w:type="dxa"/>
          </w:tcPr>
          <w:p w14:paraId="6D143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259BC9" w14:textId="77777777">
        <w:tc>
          <w:tcPr>
            <w:tcW w:w="1127" w:type="dxa"/>
          </w:tcPr>
          <w:p w14:paraId="3DD50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М-35РНвода</w:t>
            </w:r>
          </w:p>
        </w:tc>
        <w:tc>
          <w:tcPr>
            <w:tcW w:w="1127" w:type="dxa"/>
          </w:tcPr>
          <w:p w14:paraId="2FA22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24-Х-60</w:t>
            </w:r>
          </w:p>
        </w:tc>
        <w:tc>
          <w:tcPr>
            <w:tcW w:w="1127" w:type="dxa"/>
          </w:tcPr>
          <w:p w14:paraId="7B4333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1127" w:type="dxa"/>
          </w:tcPr>
          <w:p w14:paraId="5C101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1127" w:type="dxa"/>
          </w:tcPr>
          <w:p w14:paraId="7098F7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27" w:type="dxa"/>
          </w:tcPr>
          <w:p w14:paraId="374B1F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1127" w:type="dxa"/>
          </w:tcPr>
          <w:p w14:paraId="57F68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127" w:type="dxa"/>
          </w:tcPr>
          <w:p w14:paraId="2852D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01.04.33</w:t>
            </w:r>
          </w:p>
        </w:tc>
        <w:tc>
          <w:tcPr>
            <w:tcW w:w="1127" w:type="dxa"/>
          </w:tcPr>
          <w:p w14:paraId="0CD4F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25677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4AAC84" w14:textId="77777777">
        <w:tc>
          <w:tcPr>
            <w:tcW w:w="1127" w:type="dxa"/>
          </w:tcPr>
          <w:p w14:paraId="7FD643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М-38Н</w:t>
            </w:r>
          </w:p>
        </w:tc>
        <w:tc>
          <w:tcPr>
            <w:tcW w:w="1127" w:type="dxa"/>
          </w:tcPr>
          <w:p w14:paraId="59EBBB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1127" w:type="dxa"/>
          </w:tcPr>
          <w:p w14:paraId="4396D0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звезда</w:t>
            </w:r>
          </w:p>
        </w:tc>
        <w:tc>
          <w:tcPr>
            <w:tcW w:w="1127" w:type="dxa"/>
          </w:tcPr>
          <w:p w14:paraId="0BD987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27" w:type="dxa"/>
          </w:tcPr>
          <w:p w14:paraId="3324F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1127" w:type="dxa"/>
          </w:tcPr>
          <w:p w14:paraId="2B9176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27" w:type="dxa"/>
          </w:tcPr>
          <w:p w14:paraId="0670DB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1127" w:type="dxa"/>
          </w:tcPr>
          <w:p w14:paraId="3299B8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127" w:type="dxa"/>
          </w:tcPr>
          <w:p w14:paraId="4E512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15.08.32</w:t>
            </w:r>
          </w:p>
        </w:tc>
        <w:tc>
          <w:tcPr>
            <w:tcW w:w="1127" w:type="dxa"/>
          </w:tcPr>
          <w:p w14:paraId="1AFD3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18C005" w14:textId="77777777">
        <w:tc>
          <w:tcPr>
            <w:tcW w:w="1127" w:type="dxa"/>
          </w:tcPr>
          <w:p w14:paraId="11C93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М-38РНвозд.</w:t>
            </w:r>
          </w:p>
        </w:tc>
        <w:tc>
          <w:tcPr>
            <w:tcW w:w="1127" w:type="dxa"/>
          </w:tcPr>
          <w:p w14:paraId="6FFDF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звезда</w:t>
            </w:r>
          </w:p>
        </w:tc>
        <w:tc>
          <w:tcPr>
            <w:tcW w:w="1127" w:type="dxa"/>
          </w:tcPr>
          <w:p w14:paraId="7C630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27" w:type="dxa"/>
          </w:tcPr>
          <w:p w14:paraId="7E0AC9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430</w:t>
            </w:r>
          </w:p>
        </w:tc>
        <w:tc>
          <w:tcPr>
            <w:tcW w:w="1127" w:type="dxa"/>
          </w:tcPr>
          <w:p w14:paraId="7ED60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27" w:type="dxa"/>
          </w:tcPr>
          <w:p w14:paraId="748D13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1127" w:type="dxa"/>
          </w:tcPr>
          <w:p w14:paraId="6332C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127" w:type="dxa"/>
          </w:tcPr>
          <w:p w14:paraId="2E47B7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01.05.33</w:t>
            </w:r>
          </w:p>
        </w:tc>
        <w:tc>
          <w:tcPr>
            <w:tcW w:w="1127" w:type="dxa"/>
          </w:tcPr>
          <w:p w14:paraId="10501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C9AD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B9E4B0" w14:textId="77777777">
        <w:tc>
          <w:tcPr>
            <w:tcW w:w="1127" w:type="dxa"/>
          </w:tcPr>
          <w:p w14:paraId="4F8B30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М-32Н</w:t>
            </w:r>
          </w:p>
        </w:tc>
        <w:tc>
          <w:tcPr>
            <w:tcW w:w="1127" w:type="dxa"/>
          </w:tcPr>
          <w:p w14:paraId="29D41A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вода</w:t>
            </w:r>
          </w:p>
        </w:tc>
        <w:tc>
          <w:tcPr>
            <w:tcW w:w="1127" w:type="dxa"/>
          </w:tcPr>
          <w:p w14:paraId="490C4D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16-У-60</w:t>
            </w:r>
          </w:p>
        </w:tc>
        <w:tc>
          <w:tcPr>
            <w:tcW w:w="1127" w:type="dxa"/>
          </w:tcPr>
          <w:p w14:paraId="780D8C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27" w:type="dxa"/>
          </w:tcPr>
          <w:p w14:paraId="3ADE1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1127" w:type="dxa"/>
          </w:tcPr>
          <w:p w14:paraId="747E1C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27" w:type="dxa"/>
          </w:tcPr>
          <w:p w14:paraId="2526D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1127" w:type="dxa"/>
          </w:tcPr>
          <w:p w14:paraId="5DC1A0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127" w:type="dxa"/>
          </w:tcPr>
          <w:p w14:paraId="68320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01.11.32</w:t>
            </w:r>
          </w:p>
        </w:tc>
        <w:tc>
          <w:tcPr>
            <w:tcW w:w="1127" w:type="dxa"/>
          </w:tcPr>
          <w:p w14:paraId="6348D2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69A50F" w14:textId="77777777">
        <w:tc>
          <w:tcPr>
            <w:tcW w:w="1127" w:type="dxa"/>
          </w:tcPr>
          <w:p w14:paraId="25871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М-44Нвода</w:t>
            </w:r>
          </w:p>
        </w:tc>
        <w:tc>
          <w:tcPr>
            <w:tcW w:w="1127" w:type="dxa"/>
          </w:tcPr>
          <w:p w14:paraId="4B89C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12-У-60</w:t>
            </w:r>
          </w:p>
        </w:tc>
        <w:tc>
          <w:tcPr>
            <w:tcW w:w="1127" w:type="dxa"/>
          </w:tcPr>
          <w:p w14:paraId="7ED5D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1127" w:type="dxa"/>
          </w:tcPr>
          <w:p w14:paraId="6D11C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1127" w:type="dxa"/>
          </w:tcPr>
          <w:p w14:paraId="5F004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1127" w:type="dxa"/>
          </w:tcPr>
          <w:p w14:paraId="2916F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1127" w:type="dxa"/>
          </w:tcPr>
          <w:p w14:paraId="7176B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127" w:type="dxa"/>
          </w:tcPr>
          <w:p w14:paraId="73676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01.02.33</w:t>
            </w:r>
          </w:p>
        </w:tc>
        <w:tc>
          <w:tcPr>
            <w:tcW w:w="1127" w:type="dxa"/>
          </w:tcPr>
          <w:p w14:paraId="60B478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w:t>
            </w:r>
          </w:p>
        </w:tc>
        <w:tc>
          <w:tcPr>
            <w:tcW w:w="1127" w:type="dxa"/>
          </w:tcPr>
          <w:p w14:paraId="06776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2CF66C" w14:textId="77777777">
        <w:tc>
          <w:tcPr>
            <w:tcW w:w="1127" w:type="dxa"/>
          </w:tcPr>
          <w:p w14:paraId="25EDF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М-52</w:t>
            </w:r>
          </w:p>
        </w:tc>
        <w:tc>
          <w:tcPr>
            <w:tcW w:w="1127" w:type="dxa"/>
          </w:tcPr>
          <w:p w14:paraId="3624E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вода</w:t>
            </w:r>
          </w:p>
        </w:tc>
        <w:tc>
          <w:tcPr>
            <w:tcW w:w="1127" w:type="dxa"/>
          </w:tcPr>
          <w:p w14:paraId="3FC6F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w:t>
            </w:r>
          </w:p>
        </w:tc>
        <w:tc>
          <w:tcPr>
            <w:tcW w:w="1127" w:type="dxa"/>
          </w:tcPr>
          <w:p w14:paraId="4E2DF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350-400</w:t>
            </w:r>
          </w:p>
        </w:tc>
        <w:tc>
          <w:tcPr>
            <w:tcW w:w="1127" w:type="dxa"/>
          </w:tcPr>
          <w:p w14:paraId="553F7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127" w:type="dxa"/>
          </w:tcPr>
          <w:p w14:paraId="7EAD65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7" w:type="dxa"/>
          </w:tcPr>
          <w:p w14:paraId="5D188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w:t>
            </w:r>
          </w:p>
        </w:tc>
        <w:tc>
          <w:tcPr>
            <w:tcW w:w="1127" w:type="dxa"/>
          </w:tcPr>
          <w:p w14:paraId="123B0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127" w:type="dxa"/>
          </w:tcPr>
          <w:p w14:paraId="7D79F3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01.10.32</w:t>
            </w:r>
          </w:p>
        </w:tc>
        <w:tc>
          <w:tcPr>
            <w:tcW w:w="1127" w:type="dxa"/>
          </w:tcPr>
          <w:p w14:paraId="4A73E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4A5BA4" w14:textId="77777777">
        <w:tc>
          <w:tcPr>
            <w:tcW w:w="1127" w:type="dxa"/>
          </w:tcPr>
          <w:p w14:paraId="43F66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М-54 (ф М-34)</w:t>
            </w:r>
          </w:p>
        </w:tc>
        <w:tc>
          <w:tcPr>
            <w:tcW w:w="1127" w:type="dxa"/>
          </w:tcPr>
          <w:p w14:paraId="5E9AF8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вода</w:t>
            </w:r>
          </w:p>
        </w:tc>
        <w:tc>
          <w:tcPr>
            <w:tcW w:w="1127" w:type="dxa"/>
          </w:tcPr>
          <w:p w14:paraId="7A3DF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12-У-60</w:t>
            </w:r>
          </w:p>
        </w:tc>
        <w:tc>
          <w:tcPr>
            <w:tcW w:w="1127" w:type="dxa"/>
          </w:tcPr>
          <w:p w14:paraId="3751E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1127" w:type="dxa"/>
          </w:tcPr>
          <w:p w14:paraId="5B63C0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27" w:type="dxa"/>
          </w:tcPr>
          <w:p w14:paraId="1CE83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27" w:type="dxa"/>
          </w:tcPr>
          <w:p w14:paraId="12EAA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1127" w:type="dxa"/>
          </w:tcPr>
          <w:p w14:paraId="50594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127" w:type="dxa"/>
          </w:tcPr>
          <w:p w14:paraId="0BDCD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01.05.33</w:t>
            </w:r>
          </w:p>
        </w:tc>
        <w:tc>
          <w:tcPr>
            <w:tcW w:w="1127" w:type="dxa"/>
          </w:tcPr>
          <w:p w14:paraId="3159D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8D1C63" w14:textId="77777777">
        <w:tc>
          <w:tcPr>
            <w:tcW w:w="1127" w:type="dxa"/>
          </w:tcPr>
          <w:p w14:paraId="65AA9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М-55 (п М-34)</w:t>
            </w:r>
          </w:p>
        </w:tc>
        <w:tc>
          <w:tcPr>
            <w:tcW w:w="1127" w:type="dxa"/>
          </w:tcPr>
          <w:p w14:paraId="5B7EE3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вода</w:t>
            </w:r>
          </w:p>
        </w:tc>
        <w:tc>
          <w:tcPr>
            <w:tcW w:w="1127" w:type="dxa"/>
          </w:tcPr>
          <w:p w14:paraId="2DEA5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12-У-60</w:t>
            </w:r>
          </w:p>
        </w:tc>
        <w:tc>
          <w:tcPr>
            <w:tcW w:w="1127" w:type="dxa"/>
          </w:tcPr>
          <w:p w14:paraId="11AF28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1127" w:type="dxa"/>
          </w:tcPr>
          <w:p w14:paraId="07B6E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27" w:type="dxa"/>
          </w:tcPr>
          <w:p w14:paraId="0F8A8B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27" w:type="dxa"/>
          </w:tcPr>
          <w:p w14:paraId="511E8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1127" w:type="dxa"/>
          </w:tcPr>
          <w:p w14:paraId="1B6975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127" w:type="dxa"/>
          </w:tcPr>
          <w:p w14:paraId="37C78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01.08.33</w:t>
            </w:r>
          </w:p>
        </w:tc>
        <w:tc>
          <w:tcPr>
            <w:tcW w:w="1127" w:type="dxa"/>
          </w:tcPr>
          <w:p w14:paraId="7DC31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w:t>
            </w:r>
          </w:p>
        </w:tc>
      </w:tr>
      <w:tr w:rsidR="00DA227A" w:rsidRPr="00E93F40" w14:paraId="61B05228" w14:textId="77777777">
        <w:tc>
          <w:tcPr>
            <w:tcW w:w="1127" w:type="dxa"/>
          </w:tcPr>
          <w:p w14:paraId="2386E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Н-1 (нефт.</w:t>
            </w:r>
          </w:p>
        </w:tc>
        <w:tc>
          <w:tcPr>
            <w:tcW w:w="1127" w:type="dxa"/>
          </w:tcPr>
          <w:p w14:paraId="09042F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0B1D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2180E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27" w:type="dxa"/>
          </w:tcPr>
          <w:p w14:paraId="300298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c>
          <w:tcPr>
            <w:tcW w:w="1127" w:type="dxa"/>
          </w:tcPr>
          <w:p w14:paraId="6E942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7" w:type="dxa"/>
          </w:tcPr>
          <w:p w14:paraId="440DB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1127" w:type="dxa"/>
          </w:tcPr>
          <w:p w14:paraId="5E431F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27" w:type="dxa"/>
          </w:tcPr>
          <w:p w14:paraId="501C37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01.03.33</w:t>
            </w:r>
          </w:p>
        </w:tc>
        <w:tc>
          <w:tcPr>
            <w:tcW w:w="1127" w:type="dxa"/>
          </w:tcPr>
          <w:p w14:paraId="65895C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D86905" w14:textId="77777777">
        <w:tc>
          <w:tcPr>
            <w:tcW w:w="1127" w:type="dxa"/>
          </w:tcPr>
          <w:p w14:paraId="444CA6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 т)</w:t>
            </w:r>
          </w:p>
        </w:tc>
        <w:tc>
          <w:tcPr>
            <w:tcW w:w="1127" w:type="dxa"/>
          </w:tcPr>
          <w:p w14:paraId="4B9EE0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92856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B852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EC83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17CA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7211C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C42A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3964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85BBF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E518C0" w14:textId="77777777">
        <w:tc>
          <w:tcPr>
            <w:tcW w:w="1127" w:type="dxa"/>
          </w:tcPr>
          <w:p w14:paraId="43419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ВПШ М-34</w:t>
            </w:r>
          </w:p>
        </w:tc>
        <w:tc>
          <w:tcPr>
            <w:tcW w:w="1127" w:type="dxa"/>
          </w:tcPr>
          <w:p w14:paraId="47008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609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A69A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35F80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1CE1A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AD20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7906F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B126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01.09.32</w:t>
            </w:r>
          </w:p>
        </w:tc>
        <w:tc>
          <w:tcPr>
            <w:tcW w:w="1127" w:type="dxa"/>
          </w:tcPr>
          <w:p w14:paraId="2BC25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D71DBB" w14:textId="77777777">
        <w:tc>
          <w:tcPr>
            <w:tcW w:w="1127" w:type="dxa"/>
          </w:tcPr>
          <w:p w14:paraId="44F357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М-22Н</w:t>
            </w:r>
          </w:p>
        </w:tc>
        <w:tc>
          <w:tcPr>
            <w:tcW w:w="1127" w:type="dxa"/>
          </w:tcPr>
          <w:p w14:paraId="465FE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Юпитера 7 с нагнетателем</w:t>
            </w:r>
          </w:p>
        </w:tc>
        <w:tc>
          <w:tcPr>
            <w:tcW w:w="1127" w:type="dxa"/>
          </w:tcPr>
          <w:p w14:paraId="694AE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BAB8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B36AE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BCD1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6A304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7003B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EF0F9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01.10.32</w:t>
            </w:r>
          </w:p>
        </w:tc>
        <w:tc>
          <w:tcPr>
            <w:tcW w:w="1127" w:type="dxa"/>
          </w:tcPr>
          <w:p w14:paraId="6DAC2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E93F40" w14:paraId="557896EB" w14:textId="77777777">
        <w:tc>
          <w:tcPr>
            <w:tcW w:w="1127" w:type="dxa"/>
          </w:tcPr>
          <w:p w14:paraId="579C4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М-22Р</w:t>
            </w:r>
          </w:p>
        </w:tc>
        <w:tc>
          <w:tcPr>
            <w:tcW w:w="1127" w:type="dxa"/>
          </w:tcPr>
          <w:p w14:paraId="2186F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Юпитера 7 с нагнетателем</w:t>
            </w:r>
          </w:p>
        </w:tc>
        <w:tc>
          <w:tcPr>
            <w:tcW w:w="1127" w:type="dxa"/>
          </w:tcPr>
          <w:p w14:paraId="52CAB1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5072B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F13FE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D2058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CE19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5855A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7DAF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01.10.32 (2314,17).</w:t>
            </w:r>
          </w:p>
        </w:tc>
        <w:tc>
          <w:tcPr>
            <w:tcW w:w="1127" w:type="dxa"/>
          </w:tcPr>
          <w:p w14:paraId="2547F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0E428EF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743CAE" w14:textId="4A93868E" w:rsidR="00660A75" w:rsidRPr="00E93F40" w:rsidRDefault="00660A75" w:rsidP="00E93F40">
      <w:pPr>
        <w:pStyle w:val="rtejustify"/>
        <w:spacing w:before="0" w:after="0"/>
        <w:rPr>
          <w:color w:val="000000" w:themeColor="text1"/>
          <w:sz w:val="16"/>
          <w:szCs w:val="16"/>
        </w:rPr>
      </w:pPr>
      <w:r w:rsidRPr="00E93F40">
        <w:rPr>
          <w:rStyle w:val="af0"/>
          <w:i w:val="0"/>
          <w:color w:val="000000" w:themeColor="text1"/>
          <w:sz w:val="16"/>
          <w:szCs w:val="16"/>
        </w:rPr>
        <w:t>11</w:t>
      </w:r>
      <w:r w:rsidR="007C1411" w:rsidRPr="00E93F40">
        <w:rPr>
          <w:rStyle w:val="af0"/>
          <w:i w:val="0"/>
          <w:color w:val="000000" w:themeColor="text1"/>
          <w:sz w:val="16"/>
          <w:szCs w:val="16"/>
        </w:rPr>
        <w:t xml:space="preserve"> </w:t>
      </w:r>
      <w:r w:rsidRPr="00E93F40">
        <w:rPr>
          <w:rStyle w:val="af0"/>
          <w:i w:val="0"/>
          <w:color w:val="000000" w:themeColor="text1"/>
          <w:sz w:val="16"/>
          <w:szCs w:val="16"/>
        </w:rPr>
        <w:t>мая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15.</w:t>
      </w:r>
      <w:r w:rsidRPr="00E93F40">
        <w:rPr>
          <w:color w:val="000000" w:themeColor="text1"/>
          <w:sz w:val="16"/>
          <w:szCs w:val="16"/>
        </w:rPr>
        <w:t xml:space="preserve"> 4.</w:t>
      </w:r>
      <w:r w:rsidR="007C1411" w:rsidRPr="00E93F40">
        <w:rPr>
          <w:color w:val="000000" w:themeColor="text1"/>
          <w:sz w:val="16"/>
          <w:szCs w:val="16"/>
        </w:rPr>
        <w:t xml:space="preserve"> </w:t>
      </w:r>
      <w:r w:rsidRPr="00E93F40">
        <w:rPr>
          <w:color w:val="000000" w:themeColor="text1"/>
          <w:sz w:val="16"/>
          <w:szCs w:val="16"/>
        </w:rPr>
        <w:t>Оперативно-тактические требования к десантным самолетам (Егоров). 5.</w:t>
      </w:r>
      <w:r w:rsidR="007C1411" w:rsidRPr="00E93F40">
        <w:rPr>
          <w:color w:val="000000" w:themeColor="text1"/>
          <w:sz w:val="16"/>
          <w:szCs w:val="16"/>
        </w:rPr>
        <w:t xml:space="preserve"> </w:t>
      </w:r>
      <w:r w:rsidRPr="00E93F40">
        <w:rPr>
          <w:color w:val="000000" w:themeColor="text1"/>
          <w:sz w:val="16"/>
          <w:szCs w:val="16"/>
        </w:rPr>
        <w:t>План войсковых испытаний опытных образцов вооружения (Егоров). 7.</w:t>
      </w:r>
      <w:r w:rsidR="007C1411" w:rsidRPr="00E93F40">
        <w:rPr>
          <w:color w:val="000000" w:themeColor="text1"/>
          <w:sz w:val="16"/>
          <w:szCs w:val="16"/>
        </w:rPr>
        <w:t xml:space="preserve"> </w:t>
      </w:r>
      <w:r w:rsidRPr="00E93F40">
        <w:rPr>
          <w:color w:val="000000" w:themeColor="text1"/>
          <w:sz w:val="16"/>
          <w:szCs w:val="16"/>
        </w:rPr>
        <w:t>Механизация тяги артиллерии (Симонов). 11.</w:t>
      </w:r>
      <w:r w:rsidR="007C1411" w:rsidRPr="00E93F40">
        <w:rPr>
          <w:color w:val="000000" w:themeColor="text1"/>
          <w:sz w:val="16"/>
          <w:szCs w:val="16"/>
        </w:rPr>
        <w:t xml:space="preserve"> </w:t>
      </w:r>
      <w:r w:rsidRPr="00E93F40">
        <w:rPr>
          <w:color w:val="000000" w:themeColor="text1"/>
          <w:sz w:val="16"/>
          <w:szCs w:val="16"/>
        </w:rPr>
        <w:t>Об оперативных аэродромах (типы строительства, сметы, охрана и проч.) (Горшков). 15.</w:t>
      </w:r>
      <w:r w:rsidR="007C1411" w:rsidRPr="00E93F40">
        <w:rPr>
          <w:color w:val="000000" w:themeColor="text1"/>
          <w:sz w:val="16"/>
          <w:szCs w:val="16"/>
        </w:rPr>
        <w:t xml:space="preserve"> </w:t>
      </w:r>
      <w:r w:rsidRPr="00E93F40">
        <w:rPr>
          <w:color w:val="000000" w:themeColor="text1"/>
          <w:sz w:val="16"/>
          <w:szCs w:val="16"/>
        </w:rPr>
        <w:t>Выполнение системы инженерного вооружения. (Степанов).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243, 244, 245) (12342).</w:t>
      </w:r>
    </w:p>
    <w:p w14:paraId="48489E9A" w14:textId="77777777" w:rsidR="00660A75" w:rsidRPr="00E93F40" w:rsidRDefault="00660A75" w:rsidP="00E93F40">
      <w:pPr>
        <w:pStyle w:val="rtejustify"/>
        <w:spacing w:before="0" w:after="0"/>
        <w:rPr>
          <w:color w:val="000000" w:themeColor="text1"/>
          <w:sz w:val="16"/>
          <w:szCs w:val="16"/>
        </w:rPr>
      </w:pPr>
    </w:p>
    <w:p w14:paraId="24F9470C" w14:textId="77777777" w:rsidR="00665ECA" w:rsidRPr="00E93F40" w:rsidRDefault="00665ECA"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bCs/>
          <w:color w:val="000000" w:themeColor="text1"/>
          <w:sz w:val="16"/>
          <w:szCs w:val="16"/>
        </w:rPr>
        <w:t>11 мая 1932 г. — Письмо Нижегородского крайкома ВКП(б) в Комиссию обороны о мерах по выполнению заводом № 21 производственной программы по выпуску самолетов типа «Истребитель»</w:t>
      </w:r>
    </w:p>
    <w:p w14:paraId="0A276DAE"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p w14:paraId="25A76948" w14:textId="6413C733"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lastRenderedPageBreak/>
        <w:t>Достраивающийся в Нижнем Новгороде завод №</w:t>
      </w:r>
      <w:r w:rsidR="007C1411" w:rsidRPr="00E93F40">
        <w:rPr>
          <w:color w:val="000000" w:themeColor="text1"/>
          <w:sz w:val="16"/>
          <w:szCs w:val="16"/>
        </w:rPr>
        <w:t xml:space="preserve"> </w:t>
      </w:r>
      <w:r w:rsidRPr="00E93F40">
        <w:rPr>
          <w:color w:val="000000" w:themeColor="text1"/>
          <w:sz w:val="16"/>
          <w:szCs w:val="16"/>
        </w:rPr>
        <w:t>21 рассчитан на производство самолетов типа «Истребитель» и будет являться единственным в СССР заводом, специализированном на производстве самолетов этого типа. Уже в 1932</w:t>
      </w:r>
      <w:r w:rsidR="007C1411" w:rsidRPr="00E93F40">
        <w:rPr>
          <w:color w:val="000000" w:themeColor="text1"/>
          <w:sz w:val="16"/>
          <w:szCs w:val="16"/>
        </w:rPr>
        <w:t xml:space="preserve"> </w:t>
      </w:r>
      <w:r w:rsidRPr="00E93F40">
        <w:rPr>
          <w:color w:val="000000" w:themeColor="text1"/>
          <w:sz w:val="16"/>
          <w:szCs w:val="16"/>
        </w:rPr>
        <w:t>г. завод должен выпустить 376 самолетов «И</w:t>
      </w:r>
      <w:r w:rsidRPr="00E93F40">
        <w:rPr>
          <w:color w:val="000000" w:themeColor="text1"/>
          <w:sz w:val="16"/>
          <w:szCs w:val="16"/>
        </w:rPr>
        <w:noBreakHyphen/>
        <w:t>5</w:t>
      </w:r>
      <w:r w:rsidR="007C1411" w:rsidRPr="00E93F40">
        <w:rPr>
          <w:color w:val="000000" w:themeColor="text1"/>
          <w:sz w:val="16"/>
          <w:szCs w:val="16"/>
        </w:rPr>
        <w:t xml:space="preserve"> </w:t>
      </w:r>
      <w:r w:rsidRPr="00E93F40">
        <w:rPr>
          <w:color w:val="000000" w:themeColor="text1"/>
          <w:sz w:val="16"/>
          <w:szCs w:val="16"/>
        </w:rPr>
        <w:t>М</w:t>
      </w:r>
      <w:r w:rsidRPr="00E93F40">
        <w:rPr>
          <w:color w:val="000000" w:themeColor="text1"/>
          <w:sz w:val="16"/>
          <w:szCs w:val="16"/>
        </w:rPr>
        <w:noBreakHyphen/>
        <w:t>22». На 1933</w:t>
      </w:r>
      <w:r w:rsidR="007C1411" w:rsidRPr="00E93F40">
        <w:rPr>
          <w:color w:val="000000" w:themeColor="text1"/>
          <w:sz w:val="16"/>
          <w:szCs w:val="16"/>
        </w:rPr>
        <w:t xml:space="preserve"> </w:t>
      </w:r>
      <w:r w:rsidRPr="00E93F40">
        <w:rPr>
          <w:color w:val="000000" w:themeColor="text1"/>
          <w:sz w:val="16"/>
          <w:szCs w:val="16"/>
        </w:rPr>
        <w:t>г. производственная программа для завода ориентировочно определена в 2</w:t>
      </w:r>
      <w:r w:rsidR="007C1411" w:rsidRPr="00E93F40">
        <w:rPr>
          <w:color w:val="000000" w:themeColor="text1"/>
          <w:sz w:val="16"/>
          <w:szCs w:val="16"/>
        </w:rPr>
        <w:t xml:space="preserve"> </w:t>
      </w:r>
      <w:r w:rsidRPr="00E93F40">
        <w:rPr>
          <w:color w:val="000000" w:themeColor="text1"/>
          <w:sz w:val="16"/>
          <w:szCs w:val="16"/>
        </w:rPr>
        <w:t>тыс. самолетов. Выполнение программы по самолетостроению в текущем году и освоение такой большой программы в 1933</w:t>
      </w:r>
      <w:r w:rsidR="007C1411" w:rsidRPr="00E93F40">
        <w:rPr>
          <w:color w:val="000000" w:themeColor="text1"/>
          <w:sz w:val="16"/>
          <w:szCs w:val="16"/>
        </w:rPr>
        <w:t xml:space="preserve"> </w:t>
      </w:r>
      <w:r w:rsidRPr="00E93F40">
        <w:rPr>
          <w:color w:val="000000" w:themeColor="text1"/>
          <w:sz w:val="16"/>
          <w:szCs w:val="16"/>
        </w:rPr>
        <w:t>г. встречает ряд затруднений, разрешение которых упирается в центральные органы.</w:t>
      </w:r>
    </w:p>
    <w:p w14:paraId="227EA40F" w14:textId="5DA1CDCD"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Тип самолета, производство которого завод должен осваивать, в течение 1931</w:t>
      </w:r>
      <w:r w:rsidR="007C1411" w:rsidRPr="00E93F40">
        <w:rPr>
          <w:color w:val="000000" w:themeColor="text1"/>
          <w:sz w:val="16"/>
          <w:szCs w:val="16"/>
        </w:rPr>
        <w:t xml:space="preserve"> </w:t>
      </w:r>
      <w:r w:rsidRPr="00E93F40">
        <w:rPr>
          <w:color w:val="000000" w:themeColor="text1"/>
          <w:sz w:val="16"/>
          <w:szCs w:val="16"/>
        </w:rPr>
        <w:t>г. изменялся 5</w:t>
      </w:r>
      <w:r w:rsidR="007C1411" w:rsidRPr="00E93F40">
        <w:rPr>
          <w:color w:val="000000" w:themeColor="text1"/>
          <w:sz w:val="16"/>
          <w:szCs w:val="16"/>
        </w:rPr>
        <w:t xml:space="preserve"> </w:t>
      </w:r>
      <w:r w:rsidRPr="00E93F40">
        <w:rPr>
          <w:color w:val="000000" w:themeColor="text1"/>
          <w:sz w:val="16"/>
          <w:szCs w:val="16"/>
        </w:rPr>
        <w:t>раз. Наконец, в сентябре 1931</w:t>
      </w:r>
      <w:r w:rsidR="007C1411" w:rsidRPr="00E93F40">
        <w:rPr>
          <w:color w:val="000000" w:themeColor="text1"/>
          <w:sz w:val="16"/>
          <w:szCs w:val="16"/>
        </w:rPr>
        <w:t xml:space="preserve"> </w:t>
      </w:r>
      <w:r w:rsidRPr="00E93F40">
        <w:rPr>
          <w:color w:val="000000" w:themeColor="text1"/>
          <w:sz w:val="16"/>
          <w:szCs w:val="16"/>
        </w:rPr>
        <w:t>г. был окончательно установлен тип самолета «И</w:t>
      </w:r>
      <w:r w:rsidRPr="00E93F40">
        <w:rPr>
          <w:color w:val="000000" w:themeColor="text1"/>
          <w:sz w:val="16"/>
          <w:szCs w:val="16"/>
        </w:rPr>
        <w:noBreakHyphen/>
        <w:t>5</w:t>
      </w:r>
      <w:r w:rsidR="007C1411" w:rsidRPr="00E93F40">
        <w:rPr>
          <w:color w:val="000000" w:themeColor="text1"/>
          <w:sz w:val="16"/>
          <w:szCs w:val="16"/>
        </w:rPr>
        <w:t xml:space="preserve"> </w:t>
      </w:r>
      <w:r w:rsidRPr="00E93F40">
        <w:rPr>
          <w:color w:val="000000" w:themeColor="text1"/>
          <w:sz w:val="16"/>
          <w:szCs w:val="16"/>
        </w:rPr>
        <w:t>М</w:t>
      </w:r>
      <w:r w:rsidRPr="00E93F40">
        <w:rPr>
          <w:color w:val="000000" w:themeColor="text1"/>
          <w:sz w:val="16"/>
          <w:szCs w:val="16"/>
        </w:rPr>
        <w:noBreakHyphen/>
        <w:t>22». Конструкторская доработка машины была возложена на центральное конструкторское бюро ЦАГИ, а разработка рабочих чертежей, спецификации материалов, технологического процесса производства, приспособлений и специнструмента</w:t>
      </w:r>
      <w:r w:rsidR="007C1411" w:rsidRPr="00E93F40">
        <w:rPr>
          <w:color w:val="000000" w:themeColor="text1"/>
          <w:sz w:val="16"/>
          <w:szCs w:val="16"/>
        </w:rPr>
        <w:t xml:space="preserve"> </w:t>
      </w:r>
      <w:r w:rsidRPr="00E93F40">
        <w:rPr>
          <w:color w:val="000000" w:themeColor="text1"/>
          <w:sz w:val="16"/>
          <w:szCs w:val="16"/>
        </w:rPr>
        <w:t>— отдел внедрения ЦАГИ, с окончанием всех этих работ 1</w:t>
      </w:r>
      <w:r w:rsidR="007C1411" w:rsidRPr="00E93F40">
        <w:rPr>
          <w:color w:val="000000" w:themeColor="text1"/>
          <w:sz w:val="16"/>
          <w:szCs w:val="16"/>
        </w:rPr>
        <w:t xml:space="preserve"> </w:t>
      </w:r>
      <w:r w:rsidRPr="00E93F40">
        <w:rPr>
          <w:color w:val="000000" w:themeColor="text1"/>
          <w:sz w:val="16"/>
          <w:szCs w:val="16"/>
        </w:rPr>
        <w:t>марта текущего года. Но и к настоящему времени завод не имеет полностью рабочих чертежей, а полученная часть их разработана неряшливо, имеет много неточностей и ошибок и требует значительных исправлений, чего завод не в состоянии сделать собственными силами. Специнструмент совершенно не разработан, и заводу надо своими собственными силами разработать 1070 наименований инструментов. Спецификация материалов составлена крайне неудовлетворительно, неполно и содержит до 50% ошибок, что должно неизбежно дать перебои завода в снабжении материалами.</w:t>
      </w:r>
    </w:p>
    <w:p w14:paraId="6F689010" w14:textId="42EEC067"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Отсутствие всех рабочих чертежей, специнструмента, неясность технологического процесса и неправильно разработанная спецификация материалов не дают никакой возможности нормально развертывать производство, хотя основные цеха завода были пущены в эксплуатацию 1</w:t>
      </w:r>
      <w:r w:rsidR="007C1411" w:rsidRPr="00E93F40">
        <w:rPr>
          <w:color w:val="000000" w:themeColor="text1"/>
          <w:sz w:val="16"/>
          <w:szCs w:val="16"/>
        </w:rPr>
        <w:t xml:space="preserve"> </w:t>
      </w:r>
      <w:r w:rsidRPr="00E93F40">
        <w:rPr>
          <w:color w:val="000000" w:themeColor="text1"/>
          <w:sz w:val="16"/>
          <w:szCs w:val="16"/>
        </w:rPr>
        <w:t>февраля с.</w:t>
      </w:r>
      <w:r w:rsidR="007C1411" w:rsidRPr="00E93F40">
        <w:rPr>
          <w:color w:val="000000" w:themeColor="text1"/>
          <w:sz w:val="16"/>
          <w:szCs w:val="16"/>
        </w:rPr>
        <w:t xml:space="preserve"> </w:t>
      </w:r>
      <w:r w:rsidRPr="00E93F40">
        <w:rPr>
          <w:color w:val="000000" w:themeColor="text1"/>
          <w:sz w:val="16"/>
          <w:szCs w:val="16"/>
        </w:rPr>
        <w:t>г.</w:t>
      </w:r>
    </w:p>
    <w:p w14:paraId="196BB3FF" w14:textId="02125694"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Завод крайне недостаточно обеспечен кадрами квалифицированных рабочих и кадрами инженерно-технического персонала. Для развертывания производства завод должен иметь минимум 1840</w:t>
      </w:r>
      <w:r w:rsidR="007C1411" w:rsidRPr="00E93F40">
        <w:rPr>
          <w:color w:val="000000" w:themeColor="text1"/>
          <w:sz w:val="16"/>
          <w:szCs w:val="16"/>
        </w:rPr>
        <w:t xml:space="preserve"> </w:t>
      </w:r>
      <w:r w:rsidRPr="00E93F40">
        <w:rPr>
          <w:color w:val="000000" w:themeColor="text1"/>
          <w:sz w:val="16"/>
          <w:szCs w:val="16"/>
        </w:rPr>
        <w:t>чел. высоко</w:t>
      </w:r>
      <w:r w:rsidRPr="00E93F40">
        <w:rPr>
          <w:color w:val="000000" w:themeColor="text1"/>
          <w:sz w:val="16"/>
          <w:szCs w:val="16"/>
        </w:rPr>
        <w:softHyphen/>
        <w:t>квалифицированных рабочих, фактически их имеется только 238, в том числе рабочих, имеющих опыт работы по самолетостроению, только 75</w:t>
      </w:r>
      <w:r w:rsidR="007C1411" w:rsidRPr="00E93F40">
        <w:rPr>
          <w:color w:val="000000" w:themeColor="text1"/>
          <w:sz w:val="16"/>
          <w:szCs w:val="16"/>
        </w:rPr>
        <w:t xml:space="preserve"> </w:t>
      </w:r>
      <w:r w:rsidRPr="00E93F40">
        <w:rPr>
          <w:color w:val="000000" w:themeColor="text1"/>
          <w:sz w:val="16"/>
          <w:szCs w:val="16"/>
        </w:rPr>
        <w:t>чел. Все требования руководства завода к Глававиапрому о переброске на завод высококвалифицированных рабочих до настоящего времени не дают никаких результатов, хотя на некоторых заводах (завод №</w:t>
      </w:r>
      <w:r w:rsidR="007C1411" w:rsidRPr="00E93F40">
        <w:rPr>
          <w:color w:val="000000" w:themeColor="text1"/>
          <w:sz w:val="16"/>
          <w:szCs w:val="16"/>
        </w:rPr>
        <w:t xml:space="preserve"> </w:t>
      </w:r>
      <w:r w:rsidRPr="00E93F40">
        <w:rPr>
          <w:color w:val="000000" w:themeColor="text1"/>
          <w:sz w:val="16"/>
          <w:szCs w:val="16"/>
        </w:rPr>
        <w:t>23) имеется явный излишек высококвалифицированной рабочей силы, используемой на производстве продукции необоронного характера. Инженерно-технических работников завод имеет только 189</w:t>
      </w:r>
      <w:r w:rsidR="007C1411" w:rsidRPr="00E93F40">
        <w:rPr>
          <w:color w:val="000000" w:themeColor="text1"/>
          <w:sz w:val="16"/>
          <w:szCs w:val="16"/>
        </w:rPr>
        <w:t xml:space="preserve"> </w:t>
      </w:r>
      <w:r w:rsidRPr="00E93F40">
        <w:rPr>
          <w:color w:val="000000" w:themeColor="text1"/>
          <w:sz w:val="16"/>
          <w:szCs w:val="16"/>
        </w:rPr>
        <w:t>чел. вместо 393 необходимых, из авиаспециалистов всего только 24</w:t>
      </w:r>
      <w:r w:rsidR="007C1411" w:rsidRPr="00E93F40">
        <w:rPr>
          <w:color w:val="000000" w:themeColor="text1"/>
          <w:sz w:val="16"/>
          <w:szCs w:val="16"/>
        </w:rPr>
        <w:t xml:space="preserve"> </w:t>
      </w:r>
      <w:r w:rsidRPr="00E93F40">
        <w:rPr>
          <w:color w:val="000000" w:themeColor="text1"/>
          <w:sz w:val="16"/>
          <w:szCs w:val="16"/>
        </w:rPr>
        <w:t>чел. Инженерно-техническими кадрами не укомплектован ряд основных должностей заводоуправления и ведущих цехов.</w:t>
      </w:r>
    </w:p>
    <w:p w14:paraId="53E4EC9E" w14:textId="7379B80B"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Для развертывания производства завод должен был иметь смонтированным и сданным в эксплуатацию 571</w:t>
      </w:r>
      <w:r w:rsidR="007C1411" w:rsidRPr="00E93F40">
        <w:rPr>
          <w:color w:val="000000" w:themeColor="text1"/>
          <w:sz w:val="16"/>
          <w:szCs w:val="16"/>
        </w:rPr>
        <w:t xml:space="preserve"> </w:t>
      </w:r>
      <w:r w:rsidRPr="00E93F40">
        <w:rPr>
          <w:color w:val="000000" w:themeColor="text1"/>
          <w:sz w:val="16"/>
          <w:szCs w:val="16"/>
        </w:rPr>
        <w:t>станок. На 1</w:t>
      </w:r>
      <w:r w:rsidR="007C1411" w:rsidRPr="00E93F40">
        <w:rPr>
          <w:color w:val="000000" w:themeColor="text1"/>
          <w:sz w:val="16"/>
          <w:szCs w:val="16"/>
        </w:rPr>
        <w:t xml:space="preserve"> </w:t>
      </w:r>
      <w:r w:rsidRPr="00E93F40">
        <w:rPr>
          <w:color w:val="000000" w:themeColor="text1"/>
          <w:sz w:val="16"/>
          <w:szCs w:val="16"/>
        </w:rPr>
        <w:t>мая с.</w:t>
      </w:r>
      <w:r w:rsidR="007C1411" w:rsidRPr="00E93F40">
        <w:rPr>
          <w:color w:val="000000" w:themeColor="text1"/>
          <w:sz w:val="16"/>
          <w:szCs w:val="16"/>
        </w:rPr>
        <w:t xml:space="preserve"> </w:t>
      </w:r>
      <w:r w:rsidRPr="00E93F40">
        <w:rPr>
          <w:color w:val="000000" w:themeColor="text1"/>
          <w:sz w:val="16"/>
          <w:szCs w:val="16"/>
        </w:rPr>
        <w:t>г. завод получил только 342</w:t>
      </w:r>
      <w:r w:rsidR="007C1411" w:rsidRPr="00E93F40">
        <w:rPr>
          <w:color w:val="000000" w:themeColor="text1"/>
          <w:sz w:val="16"/>
          <w:szCs w:val="16"/>
        </w:rPr>
        <w:t xml:space="preserve"> </w:t>
      </w:r>
      <w:r w:rsidRPr="00E93F40">
        <w:rPr>
          <w:color w:val="000000" w:themeColor="text1"/>
          <w:sz w:val="16"/>
          <w:szCs w:val="16"/>
        </w:rPr>
        <w:t>станка.</w:t>
      </w:r>
    </w:p>
    <w:p w14:paraId="10563EF8" w14:textId="67AB87EE"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Строительство завода проходит неудовлетворительно. В 1931</w:t>
      </w:r>
      <w:r w:rsidR="007C1411" w:rsidRPr="00E93F40">
        <w:rPr>
          <w:color w:val="000000" w:themeColor="text1"/>
          <w:sz w:val="16"/>
          <w:szCs w:val="16"/>
        </w:rPr>
        <w:t xml:space="preserve"> </w:t>
      </w:r>
      <w:r w:rsidRPr="00E93F40">
        <w:rPr>
          <w:color w:val="000000" w:themeColor="text1"/>
          <w:sz w:val="16"/>
          <w:szCs w:val="16"/>
        </w:rPr>
        <w:t>г. задания по промышленному строительству выполнено на 58% и культурно-бытовому на 57%. Строительство завода в текущем году проходит также неудовлетворительно. Одной из основных причин неудовлетворительности строительства завода является недостаточное внимание и руководство Всевторстроя строительными работами и недоснабжение завода строительными материалами.</w:t>
      </w:r>
    </w:p>
    <w:p w14:paraId="57BA7434" w14:textId="5263AD83"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Освоение производственной программы заводом 1933</w:t>
      </w:r>
      <w:r w:rsidR="007C1411" w:rsidRPr="00E93F40">
        <w:rPr>
          <w:color w:val="000000" w:themeColor="text1"/>
          <w:sz w:val="16"/>
          <w:szCs w:val="16"/>
        </w:rPr>
        <w:t xml:space="preserve"> </w:t>
      </w:r>
      <w:r w:rsidRPr="00E93F40">
        <w:rPr>
          <w:color w:val="000000" w:themeColor="text1"/>
          <w:sz w:val="16"/>
          <w:szCs w:val="16"/>
        </w:rPr>
        <w:t>г. в 2</w:t>
      </w:r>
      <w:r w:rsidR="007C1411" w:rsidRPr="00E93F40">
        <w:rPr>
          <w:color w:val="000000" w:themeColor="text1"/>
          <w:sz w:val="16"/>
          <w:szCs w:val="16"/>
        </w:rPr>
        <w:t xml:space="preserve"> </w:t>
      </w:r>
      <w:r w:rsidRPr="00E93F40">
        <w:rPr>
          <w:color w:val="000000" w:themeColor="text1"/>
          <w:sz w:val="16"/>
          <w:szCs w:val="16"/>
        </w:rPr>
        <w:t>тыс. самолетов требует развертывания полной мощности завода к началу II</w:t>
      </w:r>
      <w:r w:rsidR="007C1411" w:rsidRPr="00E93F40">
        <w:rPr>
          <w:color w:val="000000" w:themeColor="text1"/>
          <w:sz w:val="16"/>
          <w:szCs w:val="16"/>
        </w:rPr>
        <w:t xml:space="preserve"> </w:t>
      </w:r>
      <w:r w:rsidRPr="00E93F40">
        <w:rPr>
          <w:color w:val="000000" w:themeColor="text1"/>
          <w:sz w:val="16"/>
          <w:szCs w:val="16"/>
        </w:rPr>
        <w:t>квартала 1933</w:t>
      </w:r>
      <w:r w:rsidR="007C1411" w:rsidRPr="00E93F40">
        <w:rPr>
          <w:color w:val="000000" w:themeColor="text1"/>
          <w:sz w:val="16"/>
          <w:szCs w:val="16"/>
        </w:rPr>
        <w:t xml:space="preserve"> </w:t>
      </w:r>
      <w:r w:rsidRPr="00E93F40">
        <w:rPr>
          <w:color w:val="000000" w:themeColor="text1"/>
          <w:sz w:val="16"/>
          <w:szCs w:val="16"/>
        </w:rPr>
        <w:t>г. Для этого необходимо ввести в эксплуатацию к этому же сроку следующие производственные сооружения, строительство которых еще до настоящего времени центральными организациями не утверждено. 1)</w:t>
      </w:r>
      <w:r w:rsidR="007C1411" w:rsidRPr="00E93F40">
        <w:rPr>
          <w:color w:val="000000" w:themeColor="text1"/>
          <w:sz w:val="16"/>
          <w:szCs w:val="16"/>
        </w:rPr>
        <w:t xml:space="preserve"> </w:t>
      </w:r>
      <w:r w:rsidRPr="00E93F40">
        <w:rPr>
          <w:color w:val="000000" w:themeColor="text1"/>
          <w:sz w:val="16"/>
          <w:szCs w:val="16"/>
        </w:rPr>
        <w:t>экспедиции (с ящичной и упаковочной), 2)</w:t>
      </w:r>
      <w:r w:rsidR="007C1411" w:rsidRPr="00E93F40">
        <w:rPr>
          <w:color w:val="000000" w:themeColor="text1"/>
          <w:sz w:val="16"/>
          <w:szCs w:val="16"/>
        </w:rPr>
        <w:t xml:space="preserve"> </w:t>
      </w:r>
      <w:r w:rsidRPr="00E93F40">
        <w:rPr>
          <w:color w:val="000000" w:themeColor="text1"/>
          <w:sz w:val="16"/>
          <w:szCs w:val="16"/>
        </w:rPr>
        <w:t>ангара, 3)</w:t>
      </w:r>
      <w:r w:rsidR="007C1411" w:rsidRPr="00E93F40">
        <w:rPr>
          <w:color w:val="000000" w:themeColor="text1"/>
          <w:sz w:val="16"/>
          <w:szCs w:val="16"/>
        </w:rPr>
        <w:t xml:space="preserve"> </w:t>
      </w:r>
      <w:r w:rsidRPr="00E93F40">
        <w:rPr>
          <w:color w:val="000000" w:themeColor="text1"/>
          <w:sz w:val="16"/>
          <w:szCs w:val="16"/>
        </w:rPr>
        <w:t>тиро и весовое, 4)</w:t>
      </w:r>
      <w:r w:rsidR="007C1411" w:rsidRPr="00E93F40">
        <w:rPr>
          <w:color w:val="000000" w:themeColor="text1"/>
          <w:sz w:val="16"/>
          <w:szCs w:val="16"/>
        </w:rPr>
        <w:t xml:space="preserve"> </w:t>
      </w:r>
      <w:r w:rsidRPr="00E93F40">
        <w:rPr>
          <w:color w:val="000000" w:themeColor="text1"/>
          <w:sz w:val="16"/>
          <w:szCs w:val="16"/>
        </w:rPr>
        <w:t>эмалитной мастерской, 5)</w:t>
      </w:r>
      <w:r w:rsidR="007C1411" w:rsidRPr="00E93F40">
        <w:rPr>
          <w:color w:val="000000" w:themeColor="text1"/>
          <w:sz w:val="16"/>
          <w:szCs w:val="16"/>
        </w:rPr>
        <w:t xml:space="preserve"> </w:t>
      </w:r>
      <w:r w:rsidRPr="00E93F40">
        <w:rPr>
          <w:color w:val="000000" w:themeColor="text1"/>
          <w:sz w:val="16"/>
          <w:szCs w:val="16"/>
        </w:rPr>
        <w:t>хранилища бензина, 6)</w:t>
      </w:r>
      <w:r w:rsidR="007C1411" w:rsidRPr="00E93F40">
        <w:rPr>
          <w:color w:val="000000" w:themeColor="text1"/>
          <w:sz w:val="16"/>
          <w:szCs w:val="16"/>
        </w:rPr>
        <w:t xml:space="preserve"> </w:t>
      </w:r>
      <w:r w:rsidRPr="00E93F40">
        <w:rPr>
          <w:color w:val="000000" w:themeColor="text1"/>
          <w:sz w:val="16"/>
          <w:szCs w:val="16"/>
        </w:rPr>
        <w:t>культурно-бытового строительства.</w:t>
      </w:r>
    </w:p>
    <w:p w14:paraId="2708CD01" w14:textId="77777777"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Учитывая особо важное значение в настоящих условиях вопросов самолетостроения и неотложную необходимость быстрейшего развертывания заводом своей полной производственной мощности. Нижегородский краевой комитет ВКП(б) просит Комиссию обороны:</w:t>
      </w:r>
    </w:p>
    <w:p w14:paraId="17AD583D" w14:textId="225B8F4F"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Командировать на завод из ЦАГИ конструкторскую группу для проработки и исправлении полученных неправильных чертежей машины, разработки приспособлений и специнструментов, исправления спецификации материалов и изготовления рабочих чертежей, которые ЦАГИ совершенно не разработал, и переделки чертежей после испытании самолета в научно-исследовательском институте.</w:t>
      </w:r>
    </w:p>
    <w:p w14:paraId="701ECA77" w14:textId="5B407566"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Обязать Глававиапром в ближайшее время послать на завод группу инженеров-техников и мастеров как для руководящей работы в заводоуправлении, так и на работу в отделы и ведущие цеха завода.</w:t>
      </w:r>
    </w:p>
    <w:p w14:paraId="684A1ACF" w14:textId="4573350C"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Для создания основного костяка высококвалифицированных кадров рабочих предложить Глававиапрому перебросить с других авиазаводов 150</w:t>
      </w:r>
      <w:r w:rsidR="007C1411" w:rsidRPr="00E93F40">
        <w:rPr>
          <w:color w:val="000000" w:themeColor="text1"/>
          <w:sz w:val="16"/>
          <w:szCs w:val="16"/>
        </w:rPr>
        <w:t xml:space="preserve"> </w:t>
      </w:r>
      <w:r w:rsidRPr="00E93F40">
        <w:rPr>
          <w:color w:val="000000" w:themeColor="text1"/>
          <w:sz w:val="16"/>
          <w:szCs w:val="16"/>
        </w:rPr>
        <w:t>чел. высококвалифицированных рабочих, имеющих опыт по самолетостроению.</w:t>
      </w:r>
    </w:p>
    <w:p w14:paraId="7DF36078" w14:textId="3A0B3EF2" w:rsidR="00660A75" w:rsidRPr="00E93F40" w:rsidRDefault="00660A75"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Отнести строительство завода к числу ударных строек, срочно разрешить вопрос о пересмотре титулов стройки и обеспечить строительство завода соответствующими фондами строительных материалов. Обязать Всевторстрой усилить свое наблюдение и руководство за строительством завода с тем, чтобы были безусловно выдержаны сроки завершения как по промышленному, так и по культурно-бытовому строительству.</w:t>
      </w:r>
    </w:p>
    <w:p w14:paraId="7CC8E3A9" w14:textId="77777777" w:rsidR="00660A75" w:rsidRPr="00E93F40" w:rsidRDefault="00660A75"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Секретарь Ниж[егородского] крайкома ВКП(б) </w:t>
      </w:r>
      <w:hyperlink r:id="rId106" w:history="1">
        <w:r w:rsidRPr="00E93F40">
          <w:rPr>
            <w:rStyle w:val="af0"/>
            <w:i w:val="0"/>
            <w:color w:val="000000" w:themeColor="text1"/>
            <w:sz w:val="16"/>
            <w:szCs w:val="16"/>
          </w:rPr>
          <w:t>Жданов</w:t>
        </w:r>
      </w:hyperlink>
    </w:p>
    <w:p w14:paraId="41D2C534" w14:textId="77777777" w:rsidR="00660A75" w:rsidRPr="00E93F40" w:rsidRDefault="00660A75" w:rsidP="00E93F40">
      <w:pPr>
        <w:pStyle w:val="ae"/>
        <w:spacing w:before="0" w:after="0"/>
        <w:jc w:val="both"/>
        <w:rPr>
          <w:color w:val="000000" w:themeColor="text1"/>
          <w:sz w:val="16"/>
          <w:szCs w:val="16"/>
        </w:rPr>
      </w:pPr>
      <w:r w:rsidRPr="00E93F40">
        <w:rPr>
          <w:color w:val="000000" w:themeColor="text1"/>
          <w:sz w:val="16"/>
          <w:szCs w:val="16"/>
        </w:rPr>
        <w:t>ГА РФ. Ф. Р-8418. Оп. 5. Д. 163. Л. 220—222. Подлинник.</w:t>
      </w:r>
    </w:p>
    <w:p w14:paraId="4DE42AA4" w14:textId="662888F5"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5. Д. 163. Л. 220—222. Подлинник. </w:t>
      </w:r>
    </w:p>
    <w:p w14:paraId="4544ABBF"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Источник:Становление оборонно-промышленного комплекса СССР (1927-1932). М. 2008, стр. 666-668 (12560).</w:t>
      </w:r>
    </w:p>
    <w:p w14:paraId="767D93E0" w14:textId="77777777" w:rsidR="00660A75" w:rsidRPr="00E93F40" w:rsidRDefault="00660A75" w:rsidP="00E93F40">
      <w:pPr>
        <w:spacing w:after="0" w:line="240" w:lineRule="auto"/>
        <w:jc w:val="both"/>
        <w:rPr>
          <w:rFonts w:ascii="Times New Roman" w:hAnsi="Times New Roman"/>
          <w:color w:val="000000" w:themeColor="text1"/>
          <w:sz w:val="16"/>
          <w:szCs w:val="16"/>
        </w:rPr>
      </w:pPr>
    </w:p>
    <w:p w14:paraId="4A9F023E" w14:textId="77777777" w:rsidR="00660A75"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125E6C1" w14:textId="77777777" w:rsidR="00660A75" w:rsidRPr="00E93F40" w:rsidRDefault="00660A7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1258F9" w14:textId="77777777" w:rsidR="00660A75" w:rsidRPr="00E93F40" w:rsidRDefault="00660A75"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11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692/171сс о предоставлении Наркомвоенмору права использования гражданских работников, оканчивающих курсы ПВО Наркомвоенмора, по службе ПВО (ГА РФ. Ф. Р?8418. Оп. 28. Д. 146. Л. 90) (12415).</w:t>
      </w:r>
    </w:p>
    <w:p w14:paraId="78EC20A5" w14:textId="77777777" w:rsidR="00660A75" w:rsidRPr="00E93F40" w:rsidRDefault="00660A75"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501/168сс о специальной таре по перевозке ОВ и ДВТ (ГА РФ. Ф. Р?8418. Оп. 28. Д. 1а. Л. 258) (12415).</w:t>
      </w:r>
    </w:p>
    <w:p w14:paraId="15AD5221" w14:textId="77777777" w:rsidR="00660A75" w:rsidRPr="00E93F40" w:rsidRDefault="00660A75"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510/170сс о специальных катерах (ГА РФ. Ф. Р?8418. Оп. 28. Д. 1а. Л. 259?262) (12415).</w:t>
      </w:r>
    </w:p>
    <w:p w14:paraId="35347CF4" w14:textId="77777777" w:rsidR="00660A75" w:rsidRPr="00E93F40" w:rsidRDefault="00660A75" w:rsidP="00E93F40">
      <w:pPr>
        <w:spacing w:after="0" w:line="240" w:lineRule="auto"/>
        <w:jc w:val="both"/>
        <w:rPr>
          <w:rFonts w:ascii="Times New Roman" w:hAnsi="Times New Roman"/>
          <w:color w:val="000000" w:themeColor="text1"/>
          <w:sz w:val="16"/>
          <w:szCs w:val="16"/>
          <w:u w:color="002060"/>
        </w:rPr>
      </w:pPr>
    </w:p>
    <w:p w14:paraId="39AA62A0" w14:textId="77777777"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подписано постановление СТО о плане работ Остехбюро и Наркомата тяжелой промышленности по вооружению флота четырьмя торпедными катерами волнового управления системы Остехбюро (18667).</w:t>
      </w:r>
    </w:p>
    <w:p w14:paraId="589660A0" w14:textId="77777777" w:rsidR="00C111EF" w:rsidRPr="00E93F40" w:rsidRDefault="00C111EF" w:rsidP="00E93F40">
      <w:pPr>
        <w:spacing w:after="0" w:line="240" w:lineRule="auto"/>
        <w:jc w:val="both"/>
        <w:rPr>
          <w:rFonts w:ascii="Times New Roman" w:hAnsi="Times New Roman"/>
          <w:color w:val="000000" w:themeColor="text1"/>
          <w:sz w:val="16"/>
          <w:szCs w:val="16"/>
        </w:rPr>
      </w:pPr>
    </w:p>
    <w:p w14:paraId="17CDE82B" w14:textId="77777777" w:rsidR="00BF2EEE" w:rsidRPr="00E93F40" w:rsidRDefault="00BF2E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было подписано постановление СТО о плане работ Остехбюро и Наркомата тяжелой промышленности по вооружению флота четырьмя торпедными катерами волнового управления системы Остехбюро (22288).</w:t>
      </w:r>
    </w:p>
    <w:p w14:paraId="51507617" w14:textId="77777777" w:rsidR="00BF2EEE" w:rsidRPr="00E93F40" w:rsidRDefault="00BF2EEE" w:rsidP="00E93F40">
      <w:pPr>
        <w:spacing w:after="0" w:line="240" w:lineRule="auto"/>
        <w:jc w:val="both"/>
        <w:rPr>
          <w:rFonts w:ascii="Times New Roman" w:hAnsi="Times New Roman"/>
          <w:color w:val="000000" w:themeColor="text1"/>
          <w:sz w:val="16"/>
          <w:szCs w:val="16"/>
        </w:rPr>
      </w:pPr>
    </w:p>
    <w:p w14:paraId="16CF313E" w14:textId="77777777" w:rsidR="00BF2EEE" w:rsidRPr="00E93F40" w:rsidRDefault="00BF2EEE"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11 мая 1932 вышло постановления КО № 501/168сс и № 510/170сс РЗ СТО или КО (№ 864/ко от 14.5.1932 г.) О специальной таре по перевозке отравляющих веществ (ОВ) и О специальных катерах (21564).</w:t>
      </w:r>
    </w:p>
    <w:p w14:paraId="25A0C5AE" w14:textId="77777777" w:rsidR="00BF2EEE" w:rsidRPr="00E93F40" w:rsidRDefault="00BF2EEE" w:rsidP="00E93F40">
      <w:pPr>
        <w:spacing w:after="0" w:line="240" w:lineRule="auto"/>
        <w:jc w:val="both"/>
        <w:rPr>
          <w:rFonts w:ascii="Times New Roman" w:hAnsi="Times New Roman"/>
          <w:color w:val="000000" w:themeColor="text1"/>
          <w:sz w:val="16"/>
          <w:szCs w:val="16"/>
        </w:rPr>
      </w:pPr>
    </w:p>
    <w:p w14:paraId="6616476A" w14:textId="77777777" w:rsidR="000C7DD6" w:rsidRPr="00951B40" w:rsidRDefault="000C7DD6" w:rsidP="000C7DD6">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11 мая 1932 г. появилось постановление СТО - №510/170/сс – по катерам ВУ. (25781).</w:t>
      </w:r>
    </w:p>
    <w:p w14:paraId="7FBEA610" w14:textId="77777777" w:rsidR="000C7DD6" w:rsidRPr="00951B40" w:rsidRDefault="000C7DD6" w:rsidP="000C7DD6">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Им ставились следующие задачи:</w:t>
      </w:r>
    </w:p>
    <w:p w14:paraId="4FF5BDFB" w14:textId="77777777" w:rsidR="000C7DD6" w:rsidRPr="00951B40" w:rsidRDefault="000C7DD6" w:rsidP="000C7DD6">
      <w:pPr>
        <w:widowControl w:val="0"/>
        <w:tabs>
          <w:tab w:val="left" w:pos="363"/>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подготовить к войсковым испытаниям четыре катера системы ЦАГИ (Ш-4) с аппа</w:t>
      </w:r>
      <w:r w:rsidRPr="00951B40">
        <w:rPr>
          <w:rStyle w:val="aff"/>
          <w:rFonts w:ascii="Times New Roman" w:hAnsi="Times New Roman" w:cs="Times New Roman"/>
          <w:color w:val="0070C0"/>
          <w:spacing w:val="0"/>
          <w:sz w:val="16"/>
          <w:szCs w:val="16"/>
        </w:rPr>
        <w:softHyphen/>
        <w:t>ратурой Остехбюро, управляемых с само</w:t>
      </w:r>
      <w:r w:rsidRPr="00951B40">
        <w:rPr>
          <w:rStyle w:val="aff"/>
          <w:rFonts w:ascii="Times New Roman" w:hAnsi="Times New Roman" w:cs="Times New Roman"/>
          <w:color w:val="0070C0"/>
          <w:spacing w:val="0"/>
          <w:sz w:val="16"/>
          <w:szCs w:val="16"/>
        </w:rPr>
        <w:softHyphen/>
        <w:t>лета; не дожидаясь окончания испытаний приступить к изготовлению 24 комплектов аппаратуры ВУ;</w:t>
      </w:r>
    </w:p>
    <w:p w14:paraId="21861DED" w14:textId="77777777" w:rsidR="000C7DD6" w:rsidRPr="00951B40" w:rsidRDefault="000C7DD6" w:rsidP="000C7DD6">
      <w:pPr>
        <w:widowControl w:val="0"/>
        <w:tabs>
          <w:tab w:val="left" w:pos="360"/>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«Считать необходимым иметь в 1933 г. в составе ВМС 3 береговых рай</w:t>
      </w:r>
      <w:r w:rsidRPr="00951B40">
        <w:rPr>
          <w:rStyle w:val="aff"/>
          <w:rFonts w:ascii="Times New Roman" w:hAnsi="Times New Roman" w:cs="Times New Roman"/>
          <w:color w:val="0070C0"/>
          <w:spacing w:val="0"/>
          <w:sz w:val="16"/>
          <w:szCs w:val="16"/>
        </w:rPr>
        <w:softHyphen/>
        <w:t>она, по одному в Черном и Балтийском морях и во Владивостоке, оборудованных станциями «Берегового Управления» (Б.У). В составе каждого района иметь по 12 больших катеров В.У, оборудован</w:t>
      </w:r>
      <w:r w:rsidRPr="00951B40">
        <w:rPr>
          <w:rStyle w:val="aff"/>
          <w:rFonts w:ascii="Times New Roman" w:hAnsi="Times New Roman" w:cs="Times New Roman"/>
          <w:color w:val="0070C0"/>
          <w:spacing w:val="0"/>
          <w:sz w:val="16"/>
          <w:szCs w:val="16"/>
        </w:rPr>
        <w:softHyphen/>
        <w:t>ных системой ОТБ».</w:t>
      </w:r>
    </w:p>
    <w:p w14:paraId="3136DB79" w14:textId="77777777" w:rsidR="000C7DD6" w:rsidRPr="00951B40" w:rsidRDefault="000C7DD6" w:rsidP="000C7DD6">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Для реализации этого пункта поста</w:t>
      </w:r>
      <w:r w:rsidRPr="00951B40">
        <w:rPr>
          <w:rStyle w:val="aff"/>
          <w:rFonts w:ascii="Times New Roman" w:hAnsi="Times New Roman" w:cs="Times New Roman"/>
          <w:color w:val="0070C0"/>
          <w:spacing w:val="0"/>
          <w:sz w:val="16"/>
          <w:szCs w:val="16"/>
        </w:rPr>
        <w:softHyphen/>
        <w:t>новления предусматривалась постройка в 1933 г. 36 больших торпедных катеров с аппаратурой ВУ, за проектирование ко</w:t>
      </w:r>
      <w:r w:rsidRPr="00951B40">
        <w:rPr>
          <w:rStyle w:val="aff"/>
          <w:rFonts w:ascii="Times New Roman" w:hAnsi="Times New Roman" w:cs="Times New Roman"/>
          <w:color w:val="0070C0"/>
          <w:spacing w:val="0"/>
          <w:sz w:val="16"/>
          <w:szCs w:val="16"/>
        </w:rPr>
        <w:softHyphen/>
        <w:t>торых отвечал НКВМор. Проект должен был быть готов к 15 мая 1932 г. (за четыре дня), при этом в постанов</w:t>
      </w:r>
      <w:r w:rsidRPr="00951B40">
        <w:rPr>
          <w:rStyle w:val="aff"/>
          <w:rFonts w:ascii="Times New Roman" w:hAnsi="Times New Roman" w:cs="Times New Roman"/>
          <w:color w:val="0070C0"/>
          <w:spacing w:val="0"/>
          <w:sz w:val="16"/>
          <w:szCs w:val="16"/>
        </w:rPr>
        <w:softHyphen/>
        <w:t>лении в основном повторялись требова</w:t>
      </w:r>
      <w:r w:rsidRPr="00951B40">
        <w:rPr>
          <w:rStyle w:val="aff"/>
          <w:rFonts w:ascii="Times New Roman" w:hAnsi="Times New Roman" w:cs="Times New Roman"/>
          <w:color w:val="0070C0"/>
          <w:spacing w:val="0"/>
          <w:sz w:val="16"/>
          <w:szCs w:val="16"/>
        </w:rPr>
        <w:softHyphen/>
        <w:t>ния из ТЗ от 22 марта: скорость 45 узлов, вооружение две 21-дм торпеды, мореход</w:t>
      </w:r>
      <w:r w:rsidRPr="00951B40">
        <w:rPr>
          <w:rStyle w:val="aff"/>
          <w:rFonts w:ascii="Times New Roman" w:hAnsi="Times New Roman" w:cs="Times New Roman"/>
          <w:color w:val="0070C0"/>
          <w:spacing w:val="0"/>
          <w:sz w:val="16"/>
          <w:szCs w:val="16"/>
        </w:rPr>
        <w:softHyphen/>
        <w:t>ность - максимально возможная, район плавания - 3-4 ч полным ходом. Катер требовалось спроектировать в реданом и килевом вариантах. Но самая сложная задача выпадала на долю НКТП - «обе</w:t>
      </w:r>
      <w:r w:rsidRPr="00951B40">
        <w:rPr>
          <w:rStyle w:val="aff"/>
          <w:rFonts w:ascii="Times New Roman" w:hAnsi="Times New Roman" w:cs="Times New Roman"/>
          <w:color w:val="0070C0"/>
          <w:spacing w:val="0"/>
          <w:sz w:val="16"/>
          <w:szCs w:val="16"/>
        </w:rPr>
        <w:softHyphen/>
        <w:t>спечить подачу в 1933 г. потребного количества моторов мощностью в 1500 л. с. и кораблестроительной стали повышенного сопротивления». Всю по</w:t>
      </w:r>
      <w:r w:rsidRPr="00951B40">
        <w:rPr>
          <w:rStyle w:val="aff"/>
          <w:rFonts w:ascii="Times New Roman" w:hAnsi="Times New Roman" w:cs="Times New Roman"/>
          <w:color w:val="0070C0"/>
          <w:spacing w:val="0"/>
          <w:sz w:val="16"/>
          <w:szCs w:val="16"/>
        </w:rPr>
        <w:softHyphen/>
        <w:t>стройку серии из 36 катеров требовалось завершить к исходу 1933 г. Параллельно Остехбюро и НКТП получили задачу по производству аппаратуры ВУ и развер</w:t>
      </w:r>
      <w:r w:rsidRPr="00951B40">
        <w:rPr>
          <w:rStyle w:val="aff"/>
          <w:rFonts w:ascii="Times New Roman" w:hAnsi="Times New Roman" w:cs="Times New Roman"/>
          <w:color w:val="0070C0"/>
          <w:spacing w:val="0"/>
          <w:sz w:val="16"/>
          <w:szCs w:val="16"/>
        </w:rPr>
        <w:softHyphen/>
        <w:t>тыванию производственных мощностей, которым эту аппаратуру предстояло изготовить. Для реализации только дан</w:t>
      </w:r>
      <w:r w:rsidRPr="00951B40">
        <w:rPr>
          <w:rStyle w:val="aff"/>
          <w:rFonts w:ascii="Times New Roman" w:hAnsi="Times New Roman" w:cs="Times New Roman"/>
          <w:color w:val="0070C0"/>
          <w:spacing w:val="0"/>
          <w:sz w:val="16"/>
          <w:szCs w:val="16"/>
        </w:rPr>
        <w:softHyphen/>
        <w:t>ного постановления НКВМ выделялось дополнительно 42 млн рублей, что, по сравнению с предыдущими годами, было неслыханной щедростью (25781).</w:t>
      </w:r>
    </w:p>
    <w:p w14:paraId="208E8AA6" w14:textId="77777777" w:rsidR="000C7DD6" w:rsidRPr="00951B40" w:rsidRDefault="000C7DD6" w:rsidP="000C7DD6">
      <w:pPr>
        <w:spacing w:after="0" w:line="240" w:lineRule="auto"/>
        <w:jc w:val="both"/>
        <w:rPr>
          <w:rStyle w:val="aff"/>
          <w:rFonts w:ascii="Times New Roman" w:hAnsi="Times New Roman" w:cs="Times New Roman"/>
          <w:color w:val="0070C0"/>
          <w:spacing w:val="0"/>
          <w:sz w:val="16"/>
          <w:szCs w:val="16"/>
        </w:rPr>
      </w:pPr>
    </w:p>
    <w:p w14:paraId="1C05C56D" w14:textId="77777777" w:rsidR="00665ECA"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4739E45" w14:textId="77777777" w:rsidR="00665ECA" w:rsidRPr="00E93F40" w:rsidRDefault="00665EC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8B9556" w14:textId="77777777" w:rsidR="00665ECA" w:rsidRPr="00E93F40" w:rsidRDefault="00665EC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в 1932 году из Кронштадта во Владивосток прибыл первый эшелон 12 торпедных катеров во главе с Ф.С.Октябрьским. Ныне 165-я Краснознаменная бригада надводных кораблей Тихоокеанского флота (14888).</w:t>
      </w:r>
    </w:p>
    <w:p w14:paraId="3FECB6AB" w14:textId="77777777" w:rsidR="00665ECA" w:rsidRPr="00E93F40" w:rsidRDefault="00665ECA" w:rsidP="00E93F40">
      <w:pPr>
        <w:spacing w:after="0" w:line="240" w:lineRule="auto"/>
        <w:jc w:val="both"/>
        <w:rPr>
          <w:rFonts w:ascii="Times New Roman" w:hAnsi="Times New Roman"/>
          <w:color w:val="000000" w:themeColor="text1"/>
          <w:sz w:val="16"/>
          <w:szCs w:val="16"/>
        </w:rPr>
      </w:pPr>
    </w:p>
    <w:p w14:paraId="7728A15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CC1F0E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42A7C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опубликован призыв донецкого шахтера Изотова начать подготовку молодых рабочих, начало изотовского движения (4962).</w:t>
      </w:r>
    </w:p>
    <w:p w14:paraId="032C490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99F33"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11 мая 1932 года в «Правде» опубликован призыв донецкого шахтёра Изотова начать подготовку молодых рабочих, положивший начало изотовскому движению. В 1932 году забойщик шахты №1 «Kочегарка» (Горловка) Никита Алексеевич Изотов добился небывалой выработки, выполнив план угледобычи в январе на 562%, в мае на 558%, а в июне на 2000% (607 тонн за 6 часов). Простой по своей сути метод Изотова основан на тщательном изучении угольного пласта, умении быстро производить крепление горных выработок, чёткой организации труда, содержании в порядке инструмента. Не останавливаясь на личных рекордах Никита Изотов 11 мая 1932 года выступил в газете «Правда» со статьей о своём опыте. Эта статья и положила начало «Изотовскому движению». B конце декабря 1932 года для обучения передовому опыту на шахте «Kочегарка» была организована первая изотовская школа. Hепосредственно на рабочем месте Изотов проводил инструктажи, показывал шахтёрам приёмы высокопроизводительного труда.</w:t>
      </w:r>
    </w:p>
    <w:p w14:paraId="5D2D124F"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Изотовское движение получило широкое распространение по всей стране. Оно способствовало росту технического уровня рабочих ведущих профессий в горнорудной и металлургической отраслях промышленности. Сыграло огромную роль в воспитании молодых рабочих и повышении их квалификации (21176).</w:t>
      </w:r>
    </w:p>
    <w:p w14:paraId="2524560A" w14:textId="77777777" w:rsidR="00583BE8" w:rsidRPr="00E93F40" w:rsidRDefault="00583BE8" w:rsidP="00E93F40">
      <w:pPr>
        <w:spacing w:after="0" w:line="240" w:lineRule="auto"/>
        <w:jc w:val="both"/>
        <w:rPr>
          <w:rFonts w:ascii="Times New Roman" w:hAnsi="Times New Roman"/>
          <w:color w:val="000000" w:themeColor="text1"/>
          <w:sz w:val="16"/>
          <w:szCs w:val="16"/>
        </w:rPr>
      </w:pPr>
    </w:p>
    <w:p w14:paraId="54F9638F" w14:textId="77777777"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Введены новые правила найма такси. Выезжая из гаража, таксист получает медный жетон, на котором выбит номер его машины. На стоянке он сдает его в справочное бюро, которое выдает жетоны пассажирам в порядке общей очереди. Таксист не имеет права отказаться везти пассажира, который предъявляет жетон. Таким образом, устраняются давка и погоня за машинами на улицах (18723).</w:t>
      </w:r>
    </w:p>
    <w:p w14:paraId="7E6D47A1" w14:textId="6118FC88" w:rsidR="00C111EF" w:rsidRPr="00E93F40" w:rsidRDefault="00C111EF" w:rsidP="00E93F40">
      <w:pPr>
        <w:spacing w:after="0" w:line="240" w:lineRule="auto"/>
        <w:jc w:val="both"/>
        <w:rPr>
          <w:rFonts w:ascii="Times New Roman" w:hAnsi="Times New Roman"/>
          <w:color w:val="000000" w:themeColor="text1"/>
          <w:sz w:val="16"/>
          <w:szCs w:val="16"/>
        </w:rPr>
      </w:pPr>
    </w:p>
    <w:p w14:paraId="169CE4B2" w14:textId="2ACD8C50" w:rsidR="00583BE8" w:rsidRPr="00E93F40" w:rsidRDefault="00583BE8"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03200F60" w14:textId="77777777" w:rsidR="00583BE8" w:rsidRPr="00E93F40" w:rsidRDefault="00583BE8" w:rsidP="00E93F40">
      <w:pPr>
        <w:spacing w:after="0" w:line="240" w:lineRule="auto"/>
        <w:jc w:val="both"/>
        <w:rPr>
          <w:rFonts w:ascii="Times New Roman" w:hAnsi="Times New Roman"/>
          <w:i/>
          <w:iCs/>
          <w:color w:val="000000" w:themeColor="text1"/>
          <w:sz w:val="16"/>
          <w:szCs w:val="16"/>
        </w:rPr>
      </w:pPr>
    </w:p>
    <w:p w14:paraId="7949696C"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мая 1932 случается трагедия, когда дирижабль ВМС США « Акрон» (ZRS-4) пытается приземлиться на глазах у тысяч зрителей в лагере Кирни в Сан-Диего, Калифорния, после 77-часового полета с военно-морской авиабазы Лейкхерст , штат Нью-Джерси, когда внезапно накренится вверх, удивляя моряков, управляющих приземлением дирижаблем. Четверо мужчин цепляются за канат, когда Акрон поднимается, один падает с высоты 15 футов (4,6 метра) и выживает со сломанной рукой, но двое других падают насмерть с высоты от 100 до 200 футов (от 30 до 61 метра). Подвешенного на высоте 200 футов (61 метр) ниже Акрона, четвертый человек, ученик моряка CM "Бад" Коварт, вместе с дирижаблем выносится в море на высоте 2 000 футов (610 метров) и, наконец, приближается к борт Акрона после двух часов на веревке (20803).</w:t>
      </w:r>
    </w:p>
    <w:p w14:paraId="105E5869" w14:textId="77777777" w:rsidR="00583BE8" w:rsidRPr="00E93F40" w:rsidRDefault="00583BE8" w:rsidP="00E93F40">
      <w:pPr>
        <w:spacing w:after="0" w:line="240" w:lineRule="auto"/>
        <w:jc w:val="both"/>
        <w:rPr>
          <w:rFonts w:ascii="Times New Roman" w:hAnsi="Times New Roman"/>
          <w:color w:val="000000" w:themeColor="text1"/>
          <w:sz w:val="16"/>
          <w:szCs w:val="16"/>
        </w:rPr>
      </w:pPr>
    </w:p>
    <w:p w14:paraId="4161E4CC" w14:textId="77777777" w:rsidR="00660A75"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39342F2" w14:textId="77777777" w:rsidR="00660A75" w:rsidRPr="00E93F40" w:rsidRDefault="00660A7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37C19C7"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мая 1932 г. на место будущей стройки завода № 126 прибыла первая, небольшая группа строителей. 19 мая 1932 г. в р-н с. Пермского прибыла вторая группа строителей завода в количестве 100 человек. В их числе был начальник строительства К. Р. Золотарев вместе со своим заместителем Зиновьевым и гл. инженером Щипакиным. К.Р. Золотарев и его помощники прежде всего имели цель дополнительно обследовать площадки под строительство завода в р-не стойбища Дземги и в районе оз. Болонь. В итоге после осмотра местности первоначально планировшееся место у оз. Болонь было отвергнуто из-за недостаточной его глубины, а дземгинскую площадку, несмотря на ряд ее существенных недостатков, К.Р. Золотарев и его помощники сочли пригодной как для строительства завода, так и прилегающего к нему аэродрома. Председатель назначенной Блюхером краевой комиссии Михайлов подтвердил непригодность оз. Болонь для строительства там завода. Об этом было доложено в Москву.</w:t>
      </w:r>
    </w:p>
    <w:p w14:paraId="6AF5B54B"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31 мая на пароходе «Капитан Карпенко» прибыл новый отряд строителей в количестве 130 чел. и разместился в районе стойбища Дземги в палатках и 6 нанайских фанзах. Нанайцы к тому времени уже покинули стойбище, переместившись в другие места. </w:t>
      </w:r>
    </w:p>
    <w:p w14:paraId="6F38DB74"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Вот имена некоторых первостроителей: И.Е.Семенов, П.Ф.Сафонов, П.С.Пазухин, П.З.Зайцев, К.А.Коршунов, К.Г.Маршалов, А.Г.Ефременко, К.М.Нуждин, А.Д.Голобоченков, П.Г.Емельянов, И.С.Мазилин, С.И. Смирнов, Г.Л.Чувеляев, К.А.Имамакова и др.</w:t>
      </w:r>
    </w:p>
    <w:p w14:paraId="7347EFD7"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июня К.Р. Золотарев отправил в Москву нач. Авиапрома Мухину подробный доклад о положение на строительстве, в котором сообщалось, что место выбранное под строительство имеет высокую вероятность затопления осенними паводками. </w:t>
      </w:r>
    </w:p>
    <w:p w14:paraId="29C9114E"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Однако, несмотря на все данные о высокой вероятности затопления этой площадки, строительство и складирование необходимых грузов осуществлялось без учета этого фактора. В результате в сентябре небывалый на Амуре паводок нанес большой урон стройке. Материальные ресурсы строительных объектов на промплощадке, в том числе, котлован главного корпуса и аэродром, — все оказалось затопленным. Из 570 га, отведенных под стройку, 390, т.е. 70% всей площади оказалось под водой. </w:t>
      </w:r>
    </w:p>
    <w:p w14:paraId="21A99D1A"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стройке срочно была создана экспедиция под руководством инженера Л. Кравцова, которая в короткий срок нашла новое место для строительства в 4-5 км от прежней стройки. На ней вновь развернулись работы по корчевке тайги и осушению болот (12211).</w:t>
      </w:r>
    </w:p>
    <w:p w14:paraId="02FCB807" w14:textId="77777777" w:rsidR="00660A75" w:rsidRPr="00E93F40" w:rsidRDefault="00660A75" w:rsidP="00E93F40">
      <w:pPr>
        <w:spacing w:after="0" w:line="240" w:lineRule="auto"/>
        <w:jc w:val="both"/>
        <w:rPr>
          <w:rFonts w:ascii="Times New Roman" w:hAnsi="Times New Roman"/>
          <w:color w:val="000000" w:themeColor="text1"/>
          <w:sz w:val="16"/>
          <w:szCs w:val="16"/>
        </w:rPr>
      </w:pPr>
    </w:p>
    <w:p w14:paraId="568B9A8C"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мая 1932 опросом членов ПБ</w:t>
      </w:r>
    </w:p>
    <w:p w14:paraId="44B4D3E3"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10/12.- Предложедпе Итальянской комиссии.</w:t>
      </w:r>
    </w:p>
    <w:p w14:paraId="68317BF0"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Заказать в Италии:</w:t>
      </w:r>
    </w:p>
    <w:p w14:paraId="4D6C832C"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Объект заказа</w:t>
      </w:r>
      <w:r w:rsidRPr="00E93F40">
        <w:rPr>
          <w:rFonts w:ascii="Times New Roman" w:hAnsi="Times New Roman"/>
          <w:color w:val="000000" w:themeColor="text1"/>
          <w:sz w:val="16"/>
          <w:szCs w:val="16"/>
        </w:rPr>
        <w:tab/>
        <w:t>Количество штук</w:t>
      </w:r>
      <w:r w:rsidRPr="00E93F40">
        <w:rPr>
          <w:rFonts w:ascii="Times New Roman" w:hAnsi="Times New Roman"/>
          <w:color w:val="000000" w:themeColor="text1"/>
          <w:sz w:val="16"/>
          <w:szCs w:val="16"/>
        </w:rPr>
        <w:tab/>
        <w:t>Цена за штуку в рублях</w:t>
      </w:r>
      <w:r w:rsidRPr="00E93F40">
        <w:rPr>
          <w:rFonts w:ascii="Times New Roman" w:hAnsi="Times New Roman"/>
          <w:color w:val="000000" w:themeColor="text1"/>
          <w:sz w:val="16"/>
          <w:szCs w:val="16"/>
        </w:rPr>
        <w:tab/>
        <w:t>Сумма в рублях</w:t>
      </w:r>
    </w:p>
    <w:p w14:paraId="56F118C8"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Авиационная рация конст</w:t>
      </w:r>
      <w:r w:rsidRPr="00E93F40">
        <w:rPr>
          <w:rFonts w:ascii="Times New Roman" w:hAnsi="Times New Roman"/>
          <w:color w:val="000000" w:themeColor="text1"/>
          <w:sz w:val="16"/>
          <w:szCs w:val="16"/>
        </w:rPr>
        <w:softHyphen/>
      </w:r>
    </w:p>
    <w:p w14:paraId="7A509CC6"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рукции капитана Марино </w:t>
      </w:r>
      <w:r w:rsidRPr="00E93F40">
        <w:rPr>
          <w:rFonts w:ascii="Times New Roman" w:hAnsi="Times New Roman"/>
          <w:color w:val="000000" w:themeColor="text1"/>
          <w:sz w:val="16"/>
          <w:szCs w:val="16"/>
        </w:rPr>
        <w:tab/>
        <w:t>15</w:t>
      </w:r>
      <w:r w:rsidRPr="00E93F40">
        <w:rPr>
          <w:rFonts w:ascii="Times New Roman" w:hAnsi="Times New Roman"/>
          <w:color w:val="000000" w:themeColor="text1"/>
          <w:sz w:val="16"/>
          <w:szCs w:val="16"/>
        </w:rPr>
        <w:tab/>
        <w:t>4.500 (ориент.)</w:t>
      </w:r>
      <w:r w:rsidRPr="00E93F40">
        <w:rPr>
          <w:rFonts w:ascii="Times New Roman" w:hAnsi="Times New Roman"/>
          <w:color w:val="000000" w:themeColor="text1"/>
          <w:sz w:val="16"/>
          <w:szCs w:val="16"/>
        </w:rPr>
        <w:tab/>
        <w:t>67.500</w:t>
      </w:r>
    </w:p>
    <w:p w14:paraId="019B5C42"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Остеофоны полевые</w:t>
      </w:r>
      <w:r w:rsidRPr="00E93F40">
        <w:rPr>
          <w:rFonts w:ascii="Times New Roman" w:hAnsi="Times New Roman"/>
          <w:color w:val="000000" w:themeColor="text1"/>
          <w:sz w:val="16"/>
          <w:szCs w:val="16"/>
        </w:rPr>
        <w:tab/>
        <w:t>500</w:t>
      </w:r>
      <w:r w:rsidRPr="00E93F40">
        <w:rPr>
          <w:rFonts w:ascii="Times New Roman" w:hAnsi="Times New Roman"/>
          <w:color w:val="000000" w:themeColor="text1"/>
          <w:sz w:val="16"/>
          <w:szCs w:val="16"/>
        </w:rPr>
        <w:tab/>
        <w:t>70</w:t>
      </w:r>
      <w:r w:rsidRPr="00E93F40">
        <w:rPr>
          <w:rFonts w:ascii="Times New Roman" w:hAnsi="Times New Roman"/>
          <w:color w:val="000000" w:themeColor="text1"/>
          <w:sz w:val="16"/>
          <w:szCs w:val="16"/>
        </w:rPr>
        <w:tab/>
        <w:t>35.000</w:t>
      </w:r>
    </w:p>
    <w:p w14:paraId="402EFB10"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Остеофоны авиационные</w:t>
      </w:r>
      <w:r w:rsidRPr="00E93F40">
        <w:rPr>
          <w:rFonts w:ascii="Times New Roman" w:hAnsi="Times New Roman"/>
          <w:color w:val="000000" w:themeColor="text1"/>
          <w:sz w:val="16"/>
          <w:szCs w:val="16"/>
        </w:rPr>
        <w:tab/>
        <w:t>500</w:t>
      </w:r>
      <w:r w:rsidRPr="00E93F40">
        <w:rPr>
          <w:rFonts w:ascii="Times New Roman" w:hAnsi="Times New Roman"/>
          <w:color w:val="000000" w:themeColor="text1"/>
          <w:sz w:val="16"/>
          <w:szCs w:val="16"/>
        </w:rPr>
        <w:tab/>
        <w:t>150</w:t>
      </w:r>
      <w:r w:rsidRPr="00E93F40">
        <w:rPr>
          <w:rFonts w:ascii="Times New Roman" w:hAnsi="Times New Roman"/>
          <w:color w:val="000000" w:themeColor="text1"/>
          <w:sz w:val="16"/>
          <w:szCs w:val="16"/>
        </w:rPr>
        <w:tab/>
        <w:t>75.000</w:t>
      </w:r>
    </w:p>
    <w:p w14:paraId="6562594C"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Станции оптического телеграфа</w:t>
      </w:r>
      <w:r w:rsidRPr="00E93F40">
        <w:rPr>
          <w:rFonts w:ascii="Times New Roman" w:hAnsi="Times New Roman"/>
          <w:color w:val="000000" w:themeColor="text1"/>
          <w:sz w:val="16"/>
          <w:szCs w:val="16"/>
        </w:rPr>
        <w:tab/>
        <w:t>200</w:t>
      </w:r>
      <w:r w:rsidRPr="00E93F40">
        <w:rPr>
          <w:rFonts w:ascii="Times New Roman" w:hAnsi="Times New Roman"/>
          <w:color w:val="000000" w:themeColor="text1"/>
          <w:sz w:val="16"/>
          <w:szCs w:val="16"/>
        </w:rPr>
        <w:tab/>
        <w:t>412,5</w:t>
      </w:r>
      <w:r w:rsidRPr="00E93F40">
        <w:rPr>
          <w:rFonts w:ascii="Times New Roman" w:hAnsi="Times New Roman"/>
          <w:color w:val="000000" w:themeColor="text1"/>
          <w:sz w:val="16"/>
          <w:szCs w:val="16"/>
        </w:rPr>
        <w:tab/>
        <w:t>82.500</w:t>
      </w:r>
    </w:p>
    <w:p w14:paraId="09089EAA"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Станции инфракрасных лучей телеграф-телефон на 20 км.</w:t>
      </w:r>
      <w:r w:rsidRPr="00E93F40">
        <w:rPr>
          <w:rFonts w:ascii="Times New Roman" w:hAnsi="Times New Roman"/>
          <w:color w:val="000000" w:themeColor="text1"/>
          <w:sz w:val="16"/>
          <w:szCs w:val="16"/>
        </w:rPr>
        <w:tab/>
        <w:t>20</w:t>
      </w:r>
      <w:r w:rsidRPr="00E93F40">
        <w:rPr>
          <w:rFonts w:ascii="Times New Roman" w:hAnsi="Times New Roman"/>
          <w:color w:val="000000" w:themeColor="text1"/>
          <w:sz w:val="16"/>
          <w:szCs w:val="16"/>
        </w:rPr>
        <w:tab/>
        <w:t>4.000</w:t>
      </w:r>
      <w:r w:rsidRPr="00E93F40">
        <w:rPr>
          <w:rFonts w:ascii="Times New Roman" w:hAnsi="Times New Roman"/>
          <w:color w:val="000000" w:themeColor="text1"/>
          <w:sz w:val="16"/>
          <w:szCs w:val="16"/>
        </w:rPr>
        <w:tab/>
        <w:t>80.000</w:t>
      </w:r>
    </w:p>
    <w:p w14:paraId="2ABBA25F"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Ворошилову</w:t>
      </w:r>
    </w:p>
    <w:p w14:paraId="7B50DC57"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состоялось заседание ПБ (Протокол № 100) (23045).</w:t>
      </w:r>
    </w:p>
    <w:p w14:paraId="682200E5" w14:textId="77777777" w:rsidR="00583BE8" w:rsidRPr="00E93F40" w:rsidRDefault="00583BE8" w:rsidP="00E93F40">
      <w:pPr>
        <w:spacing w:after="0" w:line="240" w:lineRule="auto"/>
        <w:jc w:val="both"/>
        <w:rPr>
          <w:rFonts w:ascii="Times New Roman" w:hAnsi="Times New Roman"/>
          <w:color w:val="000000" w:themeColor="text1"/>
          <w:sz w:val="16"/>
          <w:szCs w:val="16"/>
        </w:rPr>
      </w:pPr>
    </w:p>
    <w:p w14:paraId="342CA642" w14:textId="77777777" w:rsidR="00660A75"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FF2F0EC" w14:textId="77777777" w:rsidR="00660A75" w:rsidRPr="00E93F40" w:rsidRDefault="00660A7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114808" w14:textId="77777777" w:rsidR="00660A75" w:rsidRPr="00E93F40" w:rsidRDefault="00660A7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мая 1932 г. РВС утвердил Постоянную комиссию по испыта</w:t>
      </w:r>
      <w:r w:rsidRPr="00E93F40">
        <w:rPr>
          <w:rFonts w:ascii="Times New Roman" w:hAnsi="Times New Roman"/>
          <w:color w:val="000000" w:themeColor="text1"/>
          <w:sz w:val="16"/>
          <w:szCs w:val="16"/>
        </w:rPr>
        <w:softHyphen/>
        <w:t>ниям и приемке вновь построенных и капитально отремонтированых кораблей вместо отдельньис местных и временных комиссий. При</w:t>
      </w:r>
      <w:r w:rsidRPr="00E93F40">
        <w:rPr>
          <w:rFonts w:ascii="Times New Roman" w:hAnsi="Times New Roman"/>
          <w:color w:val="000000" w:themeColor="text1"/>
          <w:sz w:val="16"/>
          <w:szCs w:val="16"/>
        </w:rPr>
        <w:softHyphen/>
        <w:t>емный акт утверждался наморси РККА, после чего корабль вступал в состав морских сил соответствующего театра.</w:t>
      </w:r>
    </w:p>
    <w:p w14:paraId="30051A86" w14:textId="77777777" w:rsidR="00660A75" w:rsidRPr="00E93F40" w:rsidRDefault="00660A7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 председателем Постоянной комиссии был назначен А. К. Векман, бывший офицер с большим плавательным стажем, командным и военным опытом. Вообще при создании комиссии ее предполагалось комплектовать исключительно из лиц строевого состава РККФ для всестороннего и правильного учета действитель</w:t>
      </w:r>
      <w:r w:rsidRPr="00E93F40">
        <w:rPr>
          <w:rFonts w:ascii="Times New Roman" w:hAnsi="Times New Roman"/>
          <w:color w:val="000000" w:themeColor="text1"/>
          <w:sz w:val="16"/>
          <w:szCs w:val="16"/>
        </w:rPr>
        <w:softHyphen/>
        <w:t>ных потребностей флота.</w:t>
      </w:r>
    </w:p>
    <w:p w14:paraId="4ED74252" w14:textId="77777777" w:rsidR="00660A75" w:rsidRPr="00E93F40" w:rsidRDefault="00660A7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Начальником Технического управления УВМС в сложный пе</w:t>
      </w:r>
      <w:r w:rsidRPr="00E93F40">
        <w:rPr>
          <w:rFonts w:ascii="Times New Roman" w:hAnsi="Times New Roman"/>
          <w:color w:val="000000" w:themeColor="text1"/>
          <w:sz w:val="16"/>
          <w:szCs w:val="16"/>
        </w:rPr>
        <w:softHyphen/>
        <w:t>риод 1926—1930 гг. был Н. И. Власьев, который обладал широтой взглядов и пытался активно влиять на качество работы промыш</w:t>
      </w:r>
      <w:r w:rsidRPr="00E93F40">
        <w:rPr>
          <w:rFonts w:ascii="Times New Roman" w:hAnsi="Times New Roman"/>
          <w:color w:val="000000" w:themeColor="text1"/>
          <w:sz w:val="16"/>
          <w:szCs w:val="16"/>
        </w:rPr>
        <w:softHyphen/>
        <w:t>ленности и бороться с непоследовательностью Реввоенсовета и пра</w:t>
      </w:r>
      <w:r w:rsidRPr="00E93F40">
        <w:rPr>
          <w:rFonts w:ascii="Times New Roman" w:hAnsi="Times New Roman"/>
          <w:color w:val="000000" w:themeColor="text1"/>
          <w:sz w:val="16"/>
          <w:szCs w:val="16"/>
        </w:rPr>
        <w:softHyphen/>
        <w:t>вительства в вопросах ассигнований. Возражая против чрезмерных ассигнований на "большую" модернизацию линкоров, Власьев ука</w:t>
      </w:r>
      <w:r w:rsidRPr="00E93F40">
        <w:rPr>
          <w:rFonts w:ascii="Times New Roman" w:hAnsi="Times New Roman"/>
          <w:color w:val="000000" w:themeColor="text1"/>
          <w:sz w:val="16"/>
          <w:szCs w:val="16"/>
        </w:rPr>
        <w:softHyphen/>
        <w:t>зывал и на слабость НТК УВМС как проектной организации. Дей</w:t>
      </w:r>
      <w:r w:rsidRPr="00E93F40">
        <w:rPr>
          <w:rFonts w:ascii="Times New Roman" w:hAnsi="Times New Roman"/>
          <w:color w:val="000000" w:themeColor="text1"/>
          <w:sz w:val="16"/>
          <w:szCs w:val="16"/>
        </w:rPr>
        <w:softHyphen/>
        <w:t>ствительно, НТК имел весьма ограниченный штат и буквально единицы специалистов, способных к самостоятельному проектиро</w:t>
      </w:r>
      <w:r w:rsidRPr="00E93F40">
        <w:rPr>
          <w:rFonts w:ascii="Times New Roman" w:hAnsi="Times New Roman"/>
          <w:color w:val="000000" w:themeColor="text1"/>
          <w:sz w:val="16"/>
          <w:szCs w:val="16"/>
        </w:rPr>
        <w:softHyphen/>
        <w:t>ванию (3898).</w:t>
      </w:r>
    </w:p>
    <w:p w14:paraId="3318341C" w14:textId="77777777" w:rsidR="00660A75" w:rsidRPr="00E93F40" w:rsidRDefault="00660A75" w:rsidP="00E93F40">
      <w:pPr>
        <w:autoSpaceDE w:val="0"/>
        <w:autoSpaceDN w:val="0"/>
        <w:adjustRightInd w:val="0"/>
        <w:spacing w:after="0" w:line="240" w:lineRule="auto"/>
        <w:jc w:val="both"/>
        <w:rPr>
          <w:rFonts w:ascii="Times New Roman" w:hAnsi="Times New Roman"/>
          <w:color w:val="000000" w:themeColor="text1"/>
          <w:sz w:val="16"/>
          <w:szCs w:val="16"/>
        </w:rPr>
      </w:pPr>
    </w:p>
    <w:p w14:paraId="4293D45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C46C4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1EC949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мая 1932 найден мертвым младенец любимца американской публики пилота Линдберга, после чего конгресс принял «закон Линдберга», занесший похищение детей в список федеральных преступлений (4962).</w:t>
      </w:r>
    </w:p>
    <w:p w14:paraId="6C0CA8D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B606F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E37026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F6347B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14 мая по 21 июня 1932 проходило гос. испытание на дальность Р-5-М17 (6778).</w:t>
      </w:r>
    </w:p>
    <w:p w14:paraId="6EC2F05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8B8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состоялось техническое совещание ЦКБ по вопросу планирования работ по ТБ-3 (АНТ-6). В.М.П. докладывал о замечаниях НИИ ВВС по серийной машине, а также об установке М-34 (1077,124).</w:t>
      </w:r>
    </w:p>
    <w:p w14:paraId="4DEEB0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F68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Нач. НТОС ГУАП Алмазов и Нач. моторной группы Дементьев писали письмо 11/V-1932 N 0-87/6196с Нач. ЦИАМ Побережскому (копии Нач. ЦАГИ Харламову, Нач. ПТЭС Петрожицкому, Нач. Спецсектра Наумову):</w:t>
      </w:r>
    </w:p>
    <w:p w14:paraId="04E81A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был подготовлен План подачи моторов для опытных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3553"/>
      </w:tblGrid>
      <w:tr w:rsidR="00DA227A" w:rsidRPr="00E93F40" w14:paraId="1B108973" w14:textId="77777777">
        <w:tc>
          <w:tcPr>
            <w:tcW w:w="1409" w:type="dxa"/>
          </w:tcPr>
          <w:p w14:paraId="573CD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N</w:t>
            </w:r>
          </w:p>
        </w:tc>
        <w:tc>
          <w:tcPr>
            <w:tcW w:w="1409" w:type="dxa"/>
          </w:tcPr>
          <w:p w14:paraId="5423C4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Марка</w:t>
            </w:r>
          </w:p>
        </w:tc>
        <w:tc>
          <w:tcPr>
            <w:tcW w:w="1409" w:type="dxa"/>
          </w:tcPr>
          <w:p w14:paraId="7B2436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w:t>
            </w:r>
          </w:p>
        </w:tc>
        <w:tc>
          <w:tcPr>
            <w:tcW w:w="1409" w:type="dxa"/>
          </w:tcPr>
          <w:p w14:paraId="375662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tc>
        <w:tc>
          <w:tcPr>
            <w:tcW w:w="1409" w:type="dxa"/>
          </w:tcPr>
          <w:p w14:paraId="08046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3553" w:type="dxa"/>
          </w:tcPr>
          <w:p w14:paraId="2B41EC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3C0D78FA" w14:textId="77777777">
        <w:tc>
          <w:tcPr>
            <w:tcW w:w="1409" w:type="dxa"/>
          </w:tcPr>
          <w:p w14:paraId="6475B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w:t>
            </w:r>
          </w:p>
        </w:tc>
        <w:tc>
          <w:tcPr>
            <w:tcW w:w="1409" w:type="dxa"/>
          </w:tcPr>
          <w:p w14:paraId="130C8D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w:t>
            </w:r>
          </w:p>
        </w:tc>
        <w:tc>
          <w:tcPr>
            <w:tcW w:w="1409" w:type="dxa"/>
          </w:tcPr>
          <w:p w14:paraId="63A5DA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w:t>
            </w:r>
          </w:p>
        </w:tc>
        <w:tc>
          <w:tcPr>
            <w:tcW w:w="1409" w:type="dxa"/>
          </w:tcPr>
          <w:p w14:paraId="6CB10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w:t>
            </w:r>
          </w:p>
        </w:tc>
        <w:tc>
          <w:tcPr>
            <w:tcW w:w="1409" w:type="dxa"/>
          </w:tcPr>
          <w:p w14:paraId="5D96C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подачи</w:t>
            </w:r>
          </w:p>
        </w:tc>
        <w:tc>
          <w:tcPr>
            <w:tcW w:w="3553" w:type="dxa"/>
          </w:tcPr>
          <w:p w14:paraId="7D0EC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766C58" w14:textId="77777777">
        <w:tc>
          <w:tcPr>
            <w:tcW w:w="1409" w:type="dxa"/>
          </w:tcPr>
          <w:p w14:paraId="6BE6E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w:t>
            </w:r>
          </w:p>
        </w:tc>
        <w:tc>
          <w:tcPr>
            <w:tcW w:w="1409" w:type="dxa"/>
          </w:tcPr>
          <w:p w14:paraId="13F9F2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409" w:type="dxa"/>
          </w:tcPr>
          <w:p w14:paraId="76E2C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75A6C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19FC0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75E655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экспериментальных испытаний ЦИАМ</w:t>
            </w:r>
          </w:p>
        </w:tc>
      </w:tr>
      <w:tr w:rsidR="00DA227A" w:rsidRPr="00E93F40" w14:paraId="248663D2" w14:textId="77777777">
        <w:tc>
          <w:tcPr>
            <w:tcW w:w="1409" w:type="dxa"/>
          </w:tcPr>
          <w:p w14:paraId="7A274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F186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409" w:type="dxa"/>
          </w:tcPr>
          <w:p w14:paraId="7757AD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799DC5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34BBA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E8662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экспериментальных испытаний ЦИАМ</w:t>
            </w:r>
          </w:p>
        </w:tc>
      </w:tr>
      <w:tr w:rsidR="00DA227A" w:rsidRPr="00E93F40" w14:paraId="65282DF5" w14:textId="77777777">
        <w:tc>
          <w:tcPr>
            <w:tcW w:w="1409" w:type="dxa"/>
          </w:tcPr>
          <w:p w14:paraId="52B038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D7425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409" w:type="dxa"/>
          </w:tcPr>
          <w:p w14:paraId="7BCA81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22C5E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1CD18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D099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экспериментальных испытаний ЦИАМ</w:t>
            </w:r>
          </w:p>
        </w:tc>
      </w:tr>
      <w:tr w:rsidR="00DA227A" w:rsidRPr="00E93F40" w14:paraId="0AEE5BAA" w14:textId="77777777">
        <w:tc>
          <w:tcPr>
            <w:tcW w:w="1409" w:type="dxa"/>
          </w:tcPr>
          <w:p w14:paraId="51780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4C801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409" w:type="dxa"/>
          </w:tcPr>
          <w:p w14:paraId="07F9D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409" w:type="dxa"/>
          </w:tcPr>
          <w:p w14:paraId="1695E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10BE1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20.05.32</w:t>
            </w:r>
          </w:p>
        </w:tc>
        <w:tc>
          <w:tcPr>
            <w:tcW w:w="3553" w:type="dxa"/>
          </w:tcPr>
          <w:p w14:paraId="687FD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r>
      <w:tr w:rsidR="00DA227A" w:rsidRPr="00E93F40" w14:paraId="1A5C0DFF" w14:textId="77777777">
        <w:tc>
          <w:tcPr>
            <w:tcW w:w="1409" w:type="dxa"/>
          </w:tcPr>
          <w:p w14:paraId="753F2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3EB7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409" w:type="dxa"/>
          </w:tcPr>
          <w:p w14:paraId="4AA7D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409" w:type="dxa"/>
          </w:tcPr>
          <w:p w14:paraId="24AB43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595782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15.06.32</w:t>
            </w:r>
          </w:p>
        </w:tc>
        <w:tc>
          <w:tcPr>
            <w:tcW w:w="3553" w:type="dxa"/>
          </w:tcPr>
          <w:p w14:paraId="0D373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18E583" w14:textId="77777777">
        <w:tc>
          <w:tcPr>
            <w:tcW w:w="1409" w:type="dxa"/>
          </w:tcPr>
          <w:p w14:paraId="5891B2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872E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409" w:type="dxa"/>
          </w:tcPr>
          <w:p w14:paraId="1B12F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409" w:type="dxa"/>
          </w:tcPr>
          <w:p w14:paraId="42DEA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7385EC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01.06.32</w:t>
            </w:r>
          </w:p>
        </w:tc>
        <w:tc>
          <w:tcPr>
            <w:tcW w:w="3553" w:type="dxa"/>
          </w:tcPr>
          <w:p w14:paraId="73C65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96B5FD" w14:textId="77777777">
        <w:tc>
          <w:tcPr>
            <w:tcW w:w="1409" w:type="dxa"/>
          </w:tcPr>
          <w:p w14:paraId="48298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B4B54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409" w:type="dxa"/>
          </w:tcPr>
          <w:p w14:paraId="13F110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1409" w:type="dxa"/>
          </w:tcPr>
          <w:p w14:paraId="22107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6C56F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01.06.32</w:t>
            </w:r>
          </w:p>
        </w:tc>
        <w:tc>
          <w:tcPr>
            <w:tcW w:w="3553" w:type="dxa"/>
          </w:tcPr>
          <w:p w14:paraId="5EB8B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8672B6" w14:textId="77777777">
        <w:tc>
          <w:tcPr>
            <w:tcW w:w="1409" w:type="dxa"/>
          </w:tcPr>
          <w:p w14:paraId="03D08E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72E8DB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tc>
        <w:tc>
          <w:tcPr>
            <w:tcW w:w="1409" w:type="dxa"/>
          </w:tcPr>
          <w:p w14:paraId="6A303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5778F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5788D8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37DF59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585A2F" w14:textId="77777777">
        <w:tc>
          <w:tcPr>
            <w:tcW w:w="1409" w:type="dxa"/>
          </w:tcPr>
          <w:p w14:paraId="56EB6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118F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tc>
        <w:tc>
          <w:tcPr>
            <w:tcW w:w="1409" w:type="dxa"/>
          </w:tcPr>
          <w:p w14:paraId="567D7E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275DCD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54960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A0B8E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63D0CD" w14:textId="77777777">
        <w:tc>
          <w:tcPr>
            <w:tcW w:w="1409" w:type="dxa"/>
          </w:tcPr>
          <w:p w14:paraId="0088A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90AF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tc>
        <w:tc>
          <w:tcPr>
            <w:tcW w:w="1409" w:type="dxa"/>
          </w:tcPr>
          <w:p w14:paraId="0DA8D0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2042B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3A18C9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15.10.32</w:t>
            </w:r>
          </w:p>
        </w:tc>
        <w:tc>
          <w:tcPr>
            <w:tcW w:w="3553" w:type="dxa"/>
          </w:tcPr>
          <w:p w14:paraId="6408C4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w:t>
            </w:r>
          </w:p>
        </w:tc>
      </w:tr>
      <w:tr w:rsidR="00DA227A" w:rsidRPr="00E93F40" w14:paraId="3D93CEDD" w14:textId="77777777">
        <w:tc>
          <w:tcPr>
            <w:tcW w:w="1409" w:type="dxa"/>
          </w:tcPr>
          <w:p w14:paraId="734E2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58D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tc>
        <w:tc>
          <w:tcPr>
            <w:tcW w:w="1409" w:type="dxa"/>
          </w:tcPr>
          <w:p w14:paraId="7FC18F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409" w:type="dxa"/>
          </w:tcPr>
          <w:p w14:paraId="3FBD2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56B4CB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15.11.32</w:t>
            </w:r>
          </w:p>
        </w:tc>
        <w:tc>
          <w:tcPr>
            <w:tcW w:w="3553" w:type="dxa"/>
          </w:tcPr>
          <w:p w14:paraId="71008F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w:t>
            </w:r>
          </w:p>
        </w:tc>
      </w:tr>
      <w:tr w:rsidR="00DA227A" w:rsidRPr="00E93F40" w14:paraId="68EAD431" w14:textId="77777777">
        <w:tc>
          <w:tcPr>
            <w:tcW w:w="1409" w:type="dxa"/>
          </w:tcPr>
          <w:p w14:paraId="6A73B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4FFD2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tc>
        <w:tc>
          <w:tcPr>
            <w:tcW w:w="1409" w:type="dxa"/>
          </w:tcPr>
          <w:p w14:paraId="153EE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409" w:type="dxa"/>
          </w:tcPr>
          <w:p w14:paraId="29B57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30C5B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15.11.32</w:t>
            </w:r>
          </w:p>
        </w:tc>
        <w:tc>
          <w:tcPr>
            <w:tcW w:w="3553" w:type="dxa"/>
          </w:tcPr>
          <w:p w14:paraId="2D4C7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w:t>
            </w:r>
          </w:p>
        </w:tc>
      </w:tr>
      <w:tr w:rsidR="00DA227A" w:rsidRPr="00E93F40" w14:paraId="790BA7DB" w14:textId="77777777">
        <w:tc>
          <w:tcPr>
            <w:tcW w:w="1409" w:type="dxa"/>
          </w:tcPr>
          <w:p w14:paraId="13DB56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07F6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tc>
        <w:tc>
          <w:tcPr>
            <w:tcW w:w="1409" w:type="dxa"/>
          </w:tcPr>
          <w:p w14:paraId="13BA6F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409" w:type="dxa"/>
          </w:tcPr>
          <w:p w14:paraId="7250B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1ECB84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15.12.32</w:t>
            </w:r>
          </w:p>
        </w:tc>
        <w:tc>
          <w:tcPr>
            <w:tcW w:w="3553" w:type="dxa"/>
          </w:tcPr>
          <w:p w14:paraId="00B9F5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w:t>
            </w:r>
          </w:p>
        </w:tc>
      </w:tr>
      <w:tr w:rsidR="00DA227A" w:rsidRPr="00E93F40" w14:paraId="37007C85" w14:textId="77777777">
        <w:tc>
          <w:tcPr>
            <w:tcW w:w="1409" w:type="dxa"/>
          </w:tcPr>
          <w:p w14:paraId="4F336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3E0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tc>
        <w:tc>
          <w:tcPr>
            <w:tcW w:w="1409" w:type="dxa"/>
          </w:tcPr>
          <w:p w14:paraId="20545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1409" w:type="dxa"/>
          </w:tcPr>
          <w:p w14:paraId="5E858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44011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15.12.32</w:t>
            </w:r>
          </w:p>
        </w:tc>
        <w:tc>
          <w:tcPr>
            <w:tcW w:w="3553" w:type="dxa"/>
          </w:tcPr>
          <w:p w14:paraId="7A29F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w:t>
            </w:r>
          </w:p>
        </w:tc>
      </w:tr>
      <w:tr w:rsidR="00DA227A" w:rsidRPr="00E93F40" w14:paraId="2E8A60F7" w14:textId="77777777">
        <w:tc>
          <w:tcPr>
            <w:tcW w:w="1409" w:type="dxa"/>
          </w:tcPr>
          <w:p w14:paraId="28B5BB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5EE43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М-34РН</w:t>
            </w:r>
          </w:p>
        </w:tc>
        <w:tc>
          <w:tcPr>
            <w:tcW w:w="1409" w:type="dxa"/>
          </w:tcPr>
          <w:p w14:paraId="754D2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409" w:type="dxa"/>
          </w:tcPr>
          <w:p w14:paraId="2C123D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52CCF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01.01.33</w:t>
            </w:r>
          </w:p>
        </w:tc>
        <w:tc>
          <w:tcPr>
            <w:tcW w:w="3553" w:type="dxa"/>
          </w:tcPr>
          <w:p w14:paraId="1CE23E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6FE039" w14:textId="77777777">
        <w:tc>
          <w:tcPr>
            <w:tcW w:w="1409" w:type="dxa"/>
          </w:tcPr>
          <w:p w14:paraId="0DB6A4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2D067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М-34РН</w:t>
            </w:r>
          </w:p>
        </w:tc>
        <w:tc>
          <w:tcPr>
            <w:tcW w:w="1409" w:type="dxa"/>
          </w:tcPr>
          <w:p w14:paraId="000D9D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1409" w:type="dxa"/>
          </w:tcPr>
          <w:p w14:paraId="25520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5790FC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01.01.33</w:t>
            </w:r>
          </w:p>
        </w:tc>
        <w:tc>
          <w:tcPr>
            <w:tcW w:w="3553" w:type="dxa"/>
          </w:tcPr>
          <w:p w14:paraId="702B2D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8FFF7A" w14:textId="77777777">
        <w:tc>
          <w:tcPr>
            <w:tcW w:w="1409" w:type="dxa"/>
          </w:tcPr>
          <w:p w14:paraId="35F9C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409" w:type="dxa"/>
          </w:tcPr>
          <w:p w14:paraId="4A5D7B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М-38Н</w:t>
            </w:r>
          </w:p>
        </w:tc>
        <w:tc>
          <w:tcPr>
            <w:tcW w:w="1409" w:type="dxa"/>
          </w:tcPr>
          <w:p w14:paraId="7F661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0BBAB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15706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37723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Макет подается в ЦАГИ 15.07.32</w:t>
            </w:r>
          </w:p>
        </w:tc>
      </w:tr>
      <w:tr w:rsidR="00DA227A" w:rsidRPr="00E93F40" w14:paraId="3D7273F9" w14:textId="77777777">
        <w:tc>
          <w:tcPr>
            <w:tcW w:w="1409" w:type="dxa"/>
          </w:tcPr>
          <w:p w14:paraId="1B48D2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3B1D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7B32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5FFE5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3A624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687DCE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3CBDBF" w14:textId="77777777">
        <w:tc>
          <w:tcPr>
            <w:tcW w:w="1409" w:type="dxa"/>
          </w:tcPr>
          <w:p w14:paraId="6AD7DC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31A6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9C31F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7DAD39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798EE1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01.10.32</w:t>
            </w:r>
          </w:p>
        </w:tc>
        <w:tc>
          <w:tcPr>
            <w:tcW w:w="3553" w:type="dxa"/>
          </w:tcPr>
          <w:p w14:paraId="795BEA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024937" w14:textId="77777777">
        <w:tc>
          <w:tcPr>
            <w:tcW w:w="1409" w:type="dxa"/>
          </w:tcPr>
          <w:p w14:paraId="73482F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3444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D5163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409" w:type="dxa"/>
          </w:tcPr>
          <w:p w14:paraId="166CD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68DB1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01.10.32</w:t>
            </w:r>
          </w:p>
        </w:tc>
        <w:tc>
          <w:tcPr>
            <w:tcW w:w="3553" w:type="dxa"/>
          </w:tcPr>
          <w:p w14:paraId="38FFD1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20E37B" w14:textId="77777777">
        <w:tc>
          <w:tcPr>
            <w:tcW w:w="1409" w:type="dxa"/>
          </w:tcPr>
          <w:p w14:paraId="77BF9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409" w:type="dxa"/>
          </w:tcPr>
          <w:p w14:paraId="0C0720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М-38РН</w:t>
            </w:r>
          </w:p>
        </w:tc>
        <w:tc>
          <w:tcPr>
            <w:tcW w:w="1409" w:type="dxa"/>
          </w:tcPr>
          <w:p w14:paraId="08743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6D62D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047E19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74978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подачи устанавливается ЦАГИ</w:t>
            </w:r>
          </w:p>
        </w:tc>
      </w:tr>
      <w:tr w:rsidR="00DA227A" w:rsidRPr="00E93F40" w14:paraId="271AFEC0" w14:textId="77777777">
        <w:tc>
          <w:tcPr>
            <w:tcW w:w="1409" w:type="dxa"/>
          </w:tcPr>
          <w:p w14:paraId="4FC3CE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5E1AF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E051C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0528F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106A84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616CD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9C6AD9" w14:textId="77777777">
        <w:tc>
          <w:tcPr>
            <w:tcW w:w="1409" w:type="dxa"/>
          </w:tcPr>
          <w:p w14:paraId="51ABC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66C13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B303F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450FC4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08F339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75EFB2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9B5166" w14:textId="77777777">
        <w:tc>
          <w:tcPr>
            <w:tcW w:w="1409" w:type="dxa"/>
          </w:tcPr>
          <w:p w14:paraId="16BBAE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91B4F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7B4F9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409" w:type="dxa"/>
          </w:tcPr>
          <w:p w14:paraId="24D07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6C669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36C1A3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9C4AE4" w14:textId="77777777">
        <w:tc>
          <w:tcPr>
            <w:tcW w:w="1409" w:type="dxa"/>
          </w:tcPr>
          <w:p w14:paraId="0A8E82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409" w:type="dxa"/>
          </w:tcPr>
          <w:p w14:paraId="1841C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М-32РН</w:t>
            </w:r>
          </w:p>
        </w:tc>
        <w:tc>
          <w:tcPr>
            <w:tcW w:w="1409" w:type="dxa"/>
          </w:tcPr>
          <w:p w14:paraId="2F4509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068DB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070B6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5A8E2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Макет подается в ЦАГИ 15.12.32</w:t>
            </w:r>
          </w:p>
        </w:tc>
      </w:tr>
      <w:tr w:rsidR="00DA227A" w:rsidRPr="00E93F40" w14:paraId="463A44DE" w14:textId="77777777">
        <w:tc>
          <w:tcPr>
            <w:tcW w:w="1409" w:type="dxa"/>
          </w:tcPr>
          <w:p w14:paraId="1BF1C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5F23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386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28F78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3B441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3EBBD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0B0948" w14:textId="77777777">
        <w:tc>
          <w:tcPr>
            <w:tcW w:w="1409" w:type="dxa"/>
          </w:tcPr>
          <w:p w14:paraId="4470E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9CE9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5F62B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0FEC7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7E9DB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01.02.33</w:t>
            </w:r>
          </w:p>
        </w:tc>
        <w:tc>
          <w:tcPr>
            <w:tcW w:w="3553" w:type="dxa"/>
          </w:tcPr>
          <w:p w14:paraId="04396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0F2715" w14:textId="77777777">
        <w:tc>
          <w:tcPr>
            <w:tcW w:w="1409" w:type="dxa"/>
          </w:tcPr>
          <w:p w14:paraId="046FE0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1409" w:type="dxa"/>
          </w:tcPr>
          <w:p w14:paraId="52F9FF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w:t>
            </w:r>
          </w:p>
        </w:tc>
        <w:tc>
          <w:tcPr>
            <w:tcW w:w="1409" w:type="dxa"/>
          </w:tcPr>
          <w:p w14:paraId="5BC95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56B05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464DB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DA75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3EB3C49" w14:textId="77777777">
        <w:tc>
          <w:tcPr>
            <w:tcW w:w="1409" w:type="dxa"/>
          </w:tcPr>
          <w:p w14:paraId="485AF3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4356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(М-33)</w:t>
            </w:r>
          </w:p>
        </w:tc>
        <w:tc>
          <w:tcPr>
            <w:tcW w:w="1409" w:type="dxa"/>
          </w:tcPr>
          <w:p w14:paraId="70DB0D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1EA43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1D6D1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01.02.33</w:t>
            </w:r>
          </w:p>
        </w:tc>
        <w:tc>
          <w:tcPr>
            <w:tcW w:w="3553" w:type="dxa"/>
          </w:tcPr>
          <w:p w14:paraId="7C820A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1B7DD97" w14:textId="77777777">
        <w:tc>
          <w:tcPr>
            <w:tcW w:w="1409" w:type="dxa"/>
          </w:tcPr>
          <w:p w14:paraId="12748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DBE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F5BD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62440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67366C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01.02.33</w:t>
            </w:r>
          </w:p>
        </w:tc>
        <w:tc>
          <w:tcPr>
            <w:tcW w:w="3553" w:type="dxa"/>
          </w:tcPr>
          <w:p w14:paraId="2DEF55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ED08CD" w14:textId="77777777">
        <w:tc>
          <w:tcPr>
            <w:tcW w:w="1409" w:type="dxa"/>
          </w:tcPr>
          <w:p w14:paraId="15BCC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409" w:type="dxa"/>
          </w:tcPr>
          <w:p w14:paraId="05F9F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М-54</w:t>
            </w:r>
          </w:p>
        </w:tc>
        <w:tc>
          <w:tcPr>
            <w:tcW w:w="1409" w:type="dxa"/>
          </w:tcPr>
          <w:p w14:paraId="60BFC8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388293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46367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7498E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экспериментов в ЦИАМ изготавливается 2, ЦАГИ сообщит потребность</w:t>
            </w:r>
          </w:p>
        </w:tc>
      </w:tr>
      <w:tr w:rsidR="00DA227A" w:rsidRPr="00E93F40" w14:paraId="3862D00C" w14:textId="77777777">
        <w:tc>
          <w:tcPr>
            <w:tcW w:w="1409" w:type="dxa"/>
          </w:tcPr>
          <w:p w14:paraId="28776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78E4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7D02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06EBE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3308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783D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D76BFB" w14:textId="77777777">
        <w:tc>
          <w:tcPr>
            <w:tcW w:w="1409" w:type="dxa"/>
          </w:tcPr>
          <w:p w14:paraId="41D42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7E07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FB4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07AFD3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F640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3BF81F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465B65" w14:textId="77777777">
        <w:tc>
          <w:tcPr>
            <w:tcW w:w="1409" w:type="dxa"/>
          </w:tcPr>
          <w:p w14:paraId="3B563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1409" w:type="dxa"/>
          </w:tcPr>
          <w:p w14:paraId="7671C0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М-55</w:t>
            </w:r>
          </w:p>
        </w:tc>
        <w:tc>
          <w:tcPr>
            <w:tcW w:w="1409" w:type="dxa"/>
          </w:tcPr>
          <w:p w14:paraId="0502C7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56BF46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F4CD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0484F8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же</w:t>
            </w:r>
          </w:p>
        </w:tc>
      </w:tr>
      <w:tr w:rsidR="00DA227A" w:rsidRPr="00E93F40" w14:paraId="02065C8E" w14:textId="77777777">
        <w:tc>
          <w:tcPr>
            <w:tcW w:w="1409" w:type="dxa"/>
          </w:tcPr>
          <w:p w14:paraId="322D3D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C9D1F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DFC6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5DC68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5577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8208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6E7C90" w14:textId="77777777">
        <w:tc>
          <w:tcPr>
            <w:tcW w:w="1409" w:type="dxa"/>
          </w:tcPr>
          <w:p w14:paraId="491962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DDE8A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795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020B7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67B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60103F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609226" w14:textId="77777777">
        <w:tc>
          <w:tcPr>
            <w:tcW w:w="1409" w:type="dxa"/>
          </w:tcPr>
          <w:p w14:paraId="2BAD8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09" w:type="dxa"/>
          </w:tcPr>
          <w:p w14:paraId="3C673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М-22Н</w:t>
            </w:r>
          </w:p>
        </w:tc>
        <w:tc>
          <w:tcPr>
            <w:tcW w:w="1409" w:type="dxa"/>
          </w:tcPr>
          <w:p w14:paraId="5EB523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661960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768A7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01.09.32</w:t>
            </w:r>
          </w:p>
        </w:tc>
        <w:tc>
          <w:tcPr>
            <w:tcW w:w="3553" w:type="dxa"/>
          </w:tcPr>
          <w:p w14:paraId="3A052B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же</w:t>
            </w:r>
          </w:p>
        </w:tc>
      </w:tr>
      <w:tr w:rsidR="00DA227A" w:rsidRPr="00E93F40" w14:paraId="6483F771" w14:textId="77777777">
        <w:tc>
          <w:tcPr>
            <w:tcW w:w="1409" w:type="dxa"/>
          </w:tcPr>
          <w:p w14:paraId="5AD39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76BD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D4BD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613D2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02C39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51653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66C85D" w14:textId="77777777">
        <w:tc>
          <w:tcPr>
            <w:tcW w:w="1409" w:type="dxa"/>
          </w:tcPr>
          <w:p w14:paraId="35B8A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81D94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1DC75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319E3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1CE19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52A4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9BED02" w14:textId="77777777">
        <w:tc>
          <w:tcPr>
            <w:tcW w:w="1409" w:type="dxa"/>
          </w:tcPr>
          <w:p w14:paraId="2F214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1409" w:type="dxa"/>
          </w:tcPr>
          <w:p w14:paraId="2A4007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М-22Р</w:t>
            </w:r>
          </w:p>
        </w:tc>
        <w:tc>
          <w:tcPr>
            <w:tcW w:w="1409" w:type="dxa"/>
          </w:tcPr>
          <w:p w14:paraId="7564CF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37874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5BFAC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01.09.32</w:t>
            </w:r>
          </w:p>
        </w:tc>
        <w:tc>
          <w:tcPr>
            <w:tcW w:w="3553" w:type="dxa"/>
          </w:tcPr>
          <w:p w14:paraId="3F0DE1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же</w:t>
            </w:r>
          </w:p>
        </w:tc>
      </w:tr>
      <w:tr w:rsidR="00DA227A" w:rsidRPr="00E93F40" w14:paraId="5CB6A24F" w14:textId="77777777">
        <w:tc>
          <w:tcPr>
            <w:tcW w:w="1409" w:type="dxa"/>
          </w:tcPr>
          <w:p w14:paraId="02E02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CEE3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9063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4F8A9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120E94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54766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9CB40B" w14:textId="77777777">
        <w:tc>
          <w:tcPr>
            <w:tcW w:w="1409" w:type="dxa"/>
          </w:tcPr>
          <w:p w14:paraId="657D8C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C891E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357C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69F385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3E677D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34DE0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390F5E" w14:textId="77777777">
        <w:tc>
          <w:tcPr>
            <w:tcW w:w="1409" w:type="dxa"/>
          </w:tcPr>
          <w:p w14:paraId="7FB40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1409" w:type="dxa"/>
          </w:tcPr>
          <w:p w14:paraId="39067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w:t>
            </w:r>
          </w:p>
        </w:tc>
        <w:tc>
          <w:tcPr>
            <w:tcW w:w="1409" w:type="dxa"/>
          </w:tcPr>
          <w:p w14:paraId="48254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5932B7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09B5C6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D7C78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699C45" w14:textId="77777777">
        <w:tc>
          <w:tcPr>
            <w:tcW w:w="1409" w:type="dxa"/>
          </w:tcPr>
          <w:p w14:paraId="670F64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48073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EE14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09" w:type="dxa"/>
          </w:tcPr>
          <w:p w14:paraId="02CF8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6E4488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01.12.32</w:t>
            </w:r>
          </w:p>
        </w:tc>
        <w:tc>
          <w:tcPr>
            <w:tcW w:w="3553" w:type="dxa"/>
          </w:tcPr>
          <w:p w14:paraId="56405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A102A5" w14:textId="77777777">
        <w:tc>
          <w:tcPr>
            <w:tcW w:w="1409" w:type="dxa"/>
          </w:tcPr>
          <w:p w14:paraId="7A9CF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314F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571C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09" w:type="dxa"/>
          </w:tcPr>
          <w:p w14:paraId="79953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1409" w:type="dxa"/>
          </w:tcPr>
          <w:p w14:paraId="6D46C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01.12.32</w:t>
            </w:r>
          </w:p>
        </w:tc>
        <w:tc>
          <w:tcPr>
            <w:tcW w:w="3553" w:type="dxa"/>
          </w:tcPr>
          <w:p w14:paraId="4EB84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E93F40" w14:paraId="72FB2CB9" w14:textId="77777777">
        <w:tc>
          <w:tcPr>
            <w:tcW w:w="1409" w:type="dxa"/>
          </w:tcPr>
          <w:p w14:paraId="2EEF3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1409" w:type="dxa"/>
          </w:tcPr>
          <w:p w14:paraId="29BF0E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ВПШ</w:t>
            </w:r>
          </w:p>
        </w:tc>
        <w:tc>
          <w:tcPr>
            <w:tcW w:w="1409" w:type="dxa"/>
          </w:tcPr>
          <w:p w14:paraId="21ABE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09" w:type="dxa"/>
          </w:tcPr>
          <w:p w14:paraId="5A006C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409" w:type="dxa"/>
          </w:tcPr>
          <w:p w14:paraId="5D42C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01.09.32 (2314,15)</w:t>
            </w:r>
          </w:p>
        </w:tc>
        <w:tc>
          <w:tcPr>
            <w:tcW w:w="3553" w:type="dxa"/>
          </w:tcPr>
          <w:p w14:paraId="6557C3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28EFA3B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68ED6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068C2F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0D4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года на Научно-испытательном инженерно-техническом полигоне ВИУ (Нахабино) проводились испытания новых образцов вооружения РККА, представленных в Комиссию РВС по вводу на вооружение. Означенные испытания образцов вооружения проводились в присутствии Комиссии РВС с целью проверки действий образцов вооружения. Средства связи – по линии управления связи РККА, вследствие невозможности испытания на полигоне, испытывались на Центральном аэродроме в тот же день – по окончании испытаний образцов на полигоне (7428, 46).</w:t>
      </w:r>
    </w:p>
    <w:p w14:paraId="1EAA6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6D2257"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мая 1932 г. прошло испытание самоходной установки Т-27М (Т-27С, или Т-27/С/) по определению максимальной и средней скоростей по маршруту Кубинка — Можайск — Кубинка. Определение максимальной скорости проводилось на мерном километре с подъемом до 2% движением в обе стороны с предварительным разгоном на участке в 200 м и переходом на 4-ю скорость. Максимальная скорость движения по шоссе равнялась 26—30 км/ч, а средняя скорость— 16—20 км/ч.</w:t>
      </w:r>
    </w:p>
    <w:p w14:paraId="0CCB2120"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Выяснилось, что безостановочный пробег </w:t>
      </w:r>
      <w:hyperlink r:id="rId107"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етки по шоссе составлял 3—4 км, после чего вода в радиаторе закипала и для ее охлаждения требовалась остановка машины на 15—20 мин. Кроме того, были зафиксированы частые спадания гусеницы даже при незначительных поворотах. В результате, для поворота требовалось переходить на 1-ю скорость. </w:t>
      </w:r>
    </w:p>
    <w:p w14:paraId="67C280F8"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«Поворот на 180° можно произвести только на 1-й скорости с включением 3-4 раза задней скорости, требуется на это 5 минут времени».</w:t>
      </w:r>
    </w:p>
    <w:p w14:paraId="2BDA9AB6"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365 км пробега вышел из строя механизм натяжения гусеницы:</w:t>
      </w:r>
    </w:p>
    <w:p w14:paraId="7C6E122D"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«лопнули 2 крюка-защепки у рейки натяжения гусеницы и треснуло ушко для ручки при натяжении» (25961).</w:t>
      </w:r>
    </w:p>
    <w:p w14:paraId="25BC554A" w14:textId="77777777" w:rsidR="00560CA8" w:rsidRPr="00142305" w:rsidRDefault="00560CA8" w:rsidP="00560CA8">
      <w:pPr>
        <w:spacing w:after="0" w:line="240" w:lineRule="auto"/>
        <w:jc w:val="both"/>
        <w:rPr>
          <w:rFonts w:ascii="Times New Roman" w:hAnsi="Times New Roman"/>
          <w:color w:val="0070C0"/>
          <w:sz w:val="16"/>
          <w:szCs w:val="16"/>
        </w:rPr>
      </w:pPr>
    </w:p>
    <w:p w14:paraId="0B392CAA" w14:textId="77777777" w:rsidR="00AB2091" w:rsidRPr="00E93F40" w:rsidRDefault="00AB20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торжественно открыт Волховский алюминиевый з-д (3960, 188).</w:t>
      </w:r>
    </w:p>
    <w:p w14:paraId="2B732DF5" w14:textId="77777777" w:rsidR="00AB2091" w:rsidRPr="00E93F40" w:rsidRDefault="00AB2091" w:rsidP="00E93F40">
      <w:pPr>
        <w:autoSpaceDE w:val="0"/>
        <w:autoSpaceDN w:val="0"/>
        <w:adjustRightInd w:val="0"/>
        <w:spacing w:after="0" w:line="240" w:lineRule="auto"/>
        <w:jc w:val="both"/>
        <w:rPr>
          <w:rFonts w:ascii="Times New Roman" w:hAnsi="Times New Roman"/>
          <w:color w:val="000000" w:themeColor="text1"/>
          <w:sz w:val="16"/>
          <w:szCs w:val="16"/>
        </w:rPr>
      </w:pPr>
    </w:p>
    <w:p w14:paraId="7CB6CC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года на Волховском алюминиевом заводе были получены первые килограммы советского промышленного алюминия (11273).</w:t>
      </w:r>
    </w:p>
    <w:p w14:paraId="0BC948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DFA68C" w14:textId="77777777" w:rsidR="00AB2091" w:rsidRPr="00E93F40" w:rsidRDefault="00AB20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в 1932 году на Волховском алюминиевом заводе была получена первая промышленная партия алюминия (теперь ОАО "Волховский алюминий"). День рождения алюминиевой промышленности России (14891).</w:t>
      </w:r>
    </w:p>
    <w:p w14:paraId="76051CED" w14:textId="77777777" w:rsidR="00AB2091" w:rsidRPr="00E93F40" w:rsidRDefault="00AB2091" w:rsidP="00E93F40">
      <w:pPr>
        <w:spacing w:after="0" w:line="240" w:lineRule="auto"/>
        <w:jc w:val="both"/>
        <w:rPr>
          <w:rFonts w:ascii="Times New Roman" w:hAnsi="Times New Roman"/>
          <w:color w:val="000000" w:themeColor="text1"/>
          <w:sz w:val="16"/>
          <w:szCs w:val="16"/>
        </w:rPr>
      </w:pPr>
    </w:p>
    <w:p w14:paraId="3D33A8A8"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года, через два года напряженного труда девятитысячного коллектива строителей, на Волховском алюминиевом заводе были получены первые килограммы советского промышленного алюминия. Это событие стало одним из крупнейших достижений первой пятилетки. Именно эта дата считается днем рождения алюминиевой промышленности в нашей стране (12225).</w:t>
      </w:r>
    </w:p>
    <w:p w14:paraId="01DA18EA" w14:textId="77777777" w:rsidR="00660A75" w:rsidRPr="00E93F40" w:rsidRDefault="00660A75" w:rsidP="00E93F40">
      <w:pPr>
        <w:spacing w:after="0" w:line="240" w:lineRule="auto"/>
        <w:jc w:val="both"/>
        <w:rPr>
          <w:rFonts w:ascii="Times New Roman" w:hAnsi="Times New Roman"/>
          <w:color w:val="000000" w:themeColor="text1"/>
          <w:sz w:val="16"/>
          <w:szCs w:val="16"/>
        </w:rPr>
      </w:pPr>
    </w:p>
    <w:p w14:paraId="26FA815B"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мая 1932 года на Волховском алюминиевом заводе получена первая партия алюминия. 14 сентября здесь же получен первый российский глинозем. В июле 1933 года «пущен в строй» Днепровский алюминиевый завод. </w:t>
      </w:r>
    </w:p>
    <w:p w14:paraId="73414A50"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2ACCD022"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0E595F94"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15B45F39"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43B5D8DC"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324D50E1"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5B24A339" w14:textId="77777777" w:rsidR="00660A75" w:rsidRPr="00E93F40" w:rsidRDefault="00660A75" w:rsidP="00E93F40">
      <w:pPr>
        <w:spacing w:after="0" w:line="240" w:lineRule="auto"/>
        <w:jc w:val="both"/>
        <w:rPr>
          <w:rFonts w:ascii="Times New Roman" w:hAnsi="Times New Roman"/>
          <w:color w:val="000000" w:themeColor="text1"/>
          <w:sz w:val="16"/>
          <w:szCs w:val="16"/>
        </w:rPr>
      </w:pPr>
    </w:p>
    <w:p w14:paraId="2796B998"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г. вступил в эксплуатацию Волховский алюминиевый завод, а в 1933 г. на базе Днепровской ГЭС-Днепровский алюминиевый завод. Очень много внимания становлению советской алюминиевой промышленности уделял С.М. Киров, который возглавлял Ленинградскую партийную организацию. Первым алюминиевым заводам нашей страны - Волховскому и Днепровскому - в дальнейшем было присвоено его имя.</w:t>
      </w:r>
    </w:p>
    <w:p w14:paraId="5C5AC7AC"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с 1926 по 1936 г. в Государственном институте прикладной химии (ГИПХ) под руководством А.А. Яковкина был разработан способ получения глинозема из тихвинских бокситов спеканием их с содой и известняком. В результате впервые была разрешена проблема переработки высококремнистых бокситов. В 1938 г. вошел в эксплуатацию Тихвинский глиноземный завод, а в 1939 г. на базе высококачественных североуральских бокситов-Уральский алюминиевый завод.</w:t>
      </w:r>
    </w:p>
    <w:p w14:paraId="21AAE7F4"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 г. в Ленинграде был пущен опытный завод, который сыграл большую роль в развитии советской алюминиевой промышленности. На этом заводе испытывалось оборудование, осваивался технологический режим, готовились рабочие и инженерно-технические кадры для первых советских алюминиевых заводов. Одновременно были проведены исследования по производству электродных изделий, необходимых для получения алюминия. Результаты этих исследований легли в основу проектирования первых электродных заводов - Московского и Днепровского. Разработанный в Институте прикладной минералогии способ получения криолита был положен в основу проектирования производства криолита на Полевском криолитовом заводе.</w:t>
      </w:r>
    </w:p>
    <w:p w14:paraId="349146A5"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 г. были созданы Научно-исследовательский институт алюминиевой промышленности (НИИСалюминпй) и проектный институт-гипроалгомпний. Позднее НИИСалюминий и Гипроалюминий были объединены в единый Всесоюзный алюминиево-магниевын институт (ВАМИ).Зарождение и развитие отечественной алюминиевой промышленности в нашей стране неразрывно связано с Волховским алюминиевым заводом, который был построен на территории Ленинградской области и начал работать 14 мая 1932 г. Пережив эвакуацию в те суровые годы, когда война вплотную подошла к стенам Ленинграда, Волховский завод остался одним из самых стабильных по ежегодным объемам выпуска металла предприятием отрасли. Вместе с тем завод интересен не только своей трудовой ролью "первенца" советской алюминиевой промышленности, но и успешным возрождением под именем "Волховский алюминий" после кризисных для отечественной индустрии 90 гг. ушедшего столетия. Однако начнем с истории…</w:t>
      </w:r>
    </w:p>
    <w:p w14:paraId="444FFAF6"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известно, дореволюционная Россия не располагала промышленными технологиями получения алюминия и не производила его. Первоочередные нужды страны в этом стратегическом металле (в объеме 5-6 тыс. т) даже в период первой мировой войны покрывались за счет импорта. Не были разведаны запасы сырья, отсутствовала необходимая энергетическая база… Хотя интересно отметить, что всем известный Ленинский план ГОЭЛРО (план государственной электрификации России) был разработан еще до октябрьской социалистической революции русским инженером Генрихом Осиповичем Графтио.</w:t>
      </w:r>
    </w:p>
    <w:p w14:paraId="4B5B9319"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то, что теория электролитического способа получения алюминия была сформулирована в начале XX в. русским ученым П.П. Федотьевым, промышленную технологию пришлось создавать "с нуля". В 1929 году на ленинградском заводе "Красный выборжец" под руководством П.П. Федотьева были впервые в стране проведены опыты по получению алюминия из отечественного сырья. В 1930 году вошел в строй Ленинградский опытный алюминиевый завод (12249).</w:t>
      </w:r>
    </w:p>
    <w:p w14:paraId="1326F6DC" w14:textId="77777777" w:rsidR="00660A75" w:rsidRPr="00E93F40" w:rsidRDefault="00660A75" w:rsidP="00E93F40">
      <w:pPr>
        <w:spacing w:after="0" w:line="240" w:lineRule="auto"/>
        <w:jc w:val="both"/>
        <w:rPr>
          <w:rFonts w:ascii="Times New Roman" w:hAnsi="Times New Roman"/>
          <w:color w:val="000000" w:themeColor="text1"/>
          <w:sz w:val="16"/>
          <w:szCs w:val="16"/>
        </w:rPr>
      </w:pPr>
    </w:p>
    <w:p w14:paraId="7A5AECCB"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года Волховский алюминиевый комбинат выдал первую партию алюминия. Так начиналась история «крылатого металла» Страны Советов. Советское государство, сумело менее чем за пятнадцать лет преодолеть более чем полувековое отставание России в производстве алюминия. Собственное производство алюминия дало мощной толчок промышленности, авиации, приборостроению, но самое главное позволило избавиться от зависимости от импорта и вынужденной необходимости кормить иностранный капитал.</w:t>
      </w:r>
    </w:p>
    <w:p w14:paraId="0D3B1A04"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Далее:</w:t>
      </w:r>
    </w:p>
    <w:p w14:paraId="2F61BF14"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1933 году заработал Днепровский алюминиевый завод в Запорожье.</w:t>
      </w:r>
    </w:p>
    <w:p w14:paraId="53EC41E0"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1934 году начата добыча бокситов на Северо–Уральском бокситовом руднике.</w:t>
      </w:r>
    </w:p>
    <w:p w14:paraId="29A7FF86"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1936 году был запущен Южно–Уральский бокситовый рудник, давший начало строительству алюминиевого комбината на Урале.</w:t>
      </w:r>
    </w:p>
    <w:p w14:paraId="2D0286A8"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1938 году был введен в эксплуатацию Тихвинский глиноземный завод.</w:t>
      </w:r>
    </w:p>
    <w:p w14:paraId="54F49FBD"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1939 году начала работу первая очередь Уральского алюминиевого комбината в Каменске–Уральском.</w:t>
      </w:r>
    </w:p>
    <w:p w14:paraId="47A10527"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Годовое производство алюминия в СССР в 1940 году составило 60 000 тонн (31168).</w:t>
      </w:r>
    </w:p>
    <w:p w14:paraId="074F8DCD" w14:textId="77777777" w:rsidR="00583BE8" w:rsidRPr="00E93F40" w:rsidRDefault="00583BE8" w:rsidP="00E93F40">
      <w:pPr>
        <w:spacing w:after="0" w:line="240" w:lineRule="auto"/>
        <w:jc w:val="both"/>
        <w:rPr>
          <w:rFonts w:ascii="Times New Roman" w:hAnsi="Times New Roman"/>
          <w:color w:val="000000" w:themeColor="text1"/>
          <w:sz w:val="16"/>
          <w:szCs w:val="16"/>
        </w:rPr>
      </w:pPr>
    </w:p>
    <w:p w14:paraId="11FFA2C7"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мая 1932 года вступил в строй Волховский алюминиевый завод, положивший начало развитию алюминиевой промышленности в стране.</w:t>
      </w:r>
    </w:p>
    <w:p w14:paraId="171473B4"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Вблизи Волховской ГЭС, построенной по плану ГОЭЛРО, в 127 км от Ленинграда в июне 1930 г. было выбрано место для строительства первенца алюминиевой промышленности СССР-Волховского алюминиевого комбината. Первоначальная проектная мощность комбината была 6 тыс. т алюминия в год; позднее ее решили увеличить до 15 тыс. т.</w:t>
      </w:r>
    </w:p>
    <w:p w14:paraId="06A777D7"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Правительственная комиссия 12 мая 1932 г. приняла электролизный завод в эксплуатацию. Торжественное открытие завода состоялось 14 мая 1932 г. при первой выливке алюминия из электролизеров. Эта дата стала днем рождения промышленного производства алюминия в Советском Союзе.</w:t>
      </w:r>
    </w:p>
    <w:p w14:paraId="61AD3677" w14:textId="77777777" w:rsidR="00583BE8" w:rsidRPr="00E93F40" w:rsidRDefault="00583B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в 1940 году, всего через восемь лет после первой плавки, СССР вышел на третье место в мире по объемам производства алюминия (21176).</w:t>
      </w:r>
    </w:p>
    <w:p w14:paraId="4D0F5862" w14:textId="77777777" w:rsidR="00583BE8" w:rsidRPr="00E93F40" w:rsidRDefault="00583BE8" w:rsidP="00E93F40">
      <w:pPr>
        <w:spacing w:after="0" w:line="240" w:lineRule="auto"/>
        <w:jc w:val="both"/>
        <w:rPr>
          <w:rFonts w:ascii="Times New Roman" w:hAnsi="Times New Roman"/>
          <w:color w:val="000000" w:themeColor="text1"/>
          <w:sz w:val="16"/>
          <w:szCs w:val="16"/>
        </w:rPr>
      </w:pPr>
    </w:p>
    <w:p w14:paraId="58D9020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830AC6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E52B2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14 и 20 мая 1932. Из протокола заседания Политбюро № 100, 1932 г.</w:t>
      </w:r>
    </w:p>
    <w:p w14:paraId="659D66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плане мясоснабжения на II квартал </w:t>
      </w:r>
    </w:p>
    <w:p w14:paraId="627A9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Общий план мясоснабжения на II квартал сократить с 175 тысяч тонн мяса и мясопродуктов до 135 тысяч тонн. </w:t>
      </w:r>
    </w:p>
    <w:p w14:paraId="135EF3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План индивидуального снабжения сократить против действующего квартального плана: по Москве и Ленинграду — на 15%, по особому списку в других городах — на 30%, по списку N1 — на 50% (11652).</w:t>
      </w:r>
    </w:p>
    <w:p w14:paraId="3CB44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A43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14 и 20 мая 1932. Из протокола заседания Политбюро № 100, 1932 г.</w:t>
      </w:r>
    </w:p>
    <w:p w14:paraId="395DC5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залежах мыла в Казани </w:t>
      </w:r>
    </w:p>
    <w:p w14:paraId="5D6A34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то что директор завода им. Вахитова тов. Лоцов в течение всего I квартала сигнализировал правлению ОМПК, НКСнабу, НКЛегпрому, НКПС и другим органам о затоваривании остродефицитным мылом, лежащим в огромных количествах (от 100 до 150 вагонов) под открытым небом и подвергающимся порче,— правление ОМПК и аппарат НКПС не приняли необходимых мер к обеспечению своевременной отгрузки образовавшихся запасов мыла, составивших на 1 апреля с. г. свыше 100 вагонов, ограничившись длительной бюрократической перепиской (11652).</w:t>
      </w:r>
    </w:p>
    <w:p w14:paraId="4E7BE5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0FC00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1459F6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7005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при 3 ГУ ВВС состоялось совещание по устранению дефектов на ТБ-3 (АНТ-6) (1077,125).</w:t>
      </w:r>
    </w:p>
    <w:p w14:paraId="42D1C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CA6917"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15 мая 1932 г. на Казмашстрое заработал силикатный завод. 11 июня прибыла группа иностранных специалистов в количестве 95 человек. И это были не только инженеры. Механики, арматурщики, бетонщики и даже плотники и столяры. Инициаторы Авиастроя замахнулись на строительство грандиозного авиационного завода заводов, а основная масса строителей была крестьянами, не имевшими строительных специальностей, и их нужно было учить строить промышленные предприятия. Среди иностранных специалистов были коммунисты. Они организовали свою партячейку (24156). </w:t>
      </w:r>
    </w:p>
    <w:p w14:paraId="7F2E875F" w14:textId="77777777" w:rsidR="004F5D91" w:rsidRPr="00E93F40" w:rsidRDefault="004F5D91" w:rsidP="00E93F40">
      <w:pPr>
        <w:spacing w:after="0" w:line="240" w:lineRule="auto"/>
        <w:jc w:val="both"/>
        <w:rPr>
          <w:rFonts w:ascii="Times New Roman" w:hAnsi="Times New Roman"/>
          <w:color w:val="000000" w:themeColor="text1"/>
          <w:sz w:val="16"/>
          <w:szCs w:val="16"/>
        </w:rPr>
      </w:pPr>
    </w:p>
    <w:p w14:paraId="046FDC1B" w14:textId="77777777" w:rsidR="00AB2091" w:rsidRPr="00E93F40" w:rsidRDefault="00AB2091" w:rsidP="00E93F40">
      <w:pPr>
        <w:pStyle w:val="38"/>
        <w:shd w:val="clear" w:color="auto" w:fill="auto"/>
        <w:spacing w:before="0" w:after="0" w:line="240" w:lineRule="auto"/>
        <w:jc w:val="both"/>
        <w:rPr>
          <w:color w:val="000000" w:themeColor="text1"/>
          <w:spacing w:val="0"/>
          <w:sz w:val="16"/>
          <w:szCs w:val="16"/>
        </w:rPr>
      </w:pPr>
      <w:r w:rsidRPr="00E93F40">
        <w:rPr>
          <w:color w:val="000000" w:themeColor="text1"/>
          <w:spacing w:val="0"/>
          <w:sz w:val="16"/>
          <w:szCs w:val="16"/>
        </w:rPr>
        <w:t>15 мая 1932 г. Письмо № 251с начальника ЦАГИ в IV секцию Бюро Новизны Комитета по изобретательству при СТО СССР о закреплении приоритета изобретения за С.С. Кричевским</w:t>
      </w:r>
    </w:p>
    <w:p w14:paraId="525BA5F7" w14:textId="77777777" w:rsidR="00AB2091" w:rsidRPr="00E93F40" w:rsidRDefault="00AB20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Секретно</w:t>
      </w:r>
    </w:p>
    <w:p w14:paraId="20FACA60" w14:textId="77777777" w:rsidR="00AB2091" w:rsidRPr="00E93F40" w:rsidRDefault="00AB20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Препровождая возражения изобретателя Кричевского относи</w:t>
      </w:r>
      <w:r w:rsidRPr="00E93F40">
        <w:rPr>
          <w:rFonts w:ascii="Times New Roman" w:hAnsi="Times New Roman"/>
          <w:color w:val="000000" w:themeColor="text1"/>
          <w:sz w:val="16"/>
          <w:szCs w:val="16"/>
        </w:rPr>
        <w:softHyphen/>
        <w:t>тельно формулировки предметов его авторства по заявкам № 51498/2521 и № 98739/6936, ЦАГИ считает целесообразным прибавить к ним сле</w:t>
      </w:r>
      <w:r w:rsidRPr="00E93F40">
        <w:rPr>
          <w:rFonts w:ascii="Times New Roman" w:hAnsi="Times New Roman"/>
          <w:color w:val="000000" w:themeColor="text1"/>
          <w:sz w:val="16"/>
          <w:szCs w:val="16"/>
        </w:rPr>
        <w:softHyphen/>
        <w:t>дующее:</w:t>
      </w:r>
    </w:p>
    <w:p w14:paraId="50328FF4" w14:textId="77777777" w:rsidR="00AB2091" w:rsidRPr="00E93F40" w:rsidRDefault="00AB20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Изобретение инженера Кричевского, ныне осуществляемое ЦАГИ, имеет целью достижение нового аэродинамического эффекта — полета самолета на режиме поляры огибающей. Крайне важно, что</w:t>
      </w:r>
      <w:r w:rsidRPr="00E93F40">
        <w:rPr>
          <w:rFonts w:ascii="Times New Roman" w:hAnsi="Times New Roman"/>
          <w:color w:val="000000" w:themeColor="text1"/>
          <w:sz w:val="16"/>
          <w:szCs w:val="16"/>
        </w:rPr>
        <w:softHyphen/>
        <w:t>бы достижение этого эффекта предлагаемым инженером Кричевским способом было запатентовано за автором — советским гражданином, а не за иностранной фирмой, как это уже имело место в практике Ко</w:t>
      </w:r>
      <w:r w:rsidRPr="00E93F40">
        <w:rPr>
          <w:rFonts w:ascii="Times New Roman" w:hAnsi="Times New Roman"/>
          <w:color w:val="000000" w:themeColor="text1"/>
          <w:sz w:val="16"/>
          <w:szCs w:val="16"/>
        </w:rPr>
        <w:softHyphen/>
        <w:t>митета (разрезное крыло — патент Юнкерса № 5136 — было даже до за</w:t>
      </w:r>
      <w:r w:rsidRPr="00E93F40">
        <w:rPr>
          <w:rFonts w:ascii="Times New Roman" w:hAnsi="Times New Roman"/>
          <w:color w:val="000000" w:themeColor="text1"/>
          <w:sz w:val="16"/>
          <w:szCs w:val="16"/>
        </w:rPr>
        <w:softHyphen/>
        <w:t>явки его Юнкерса в Германии предложено профессором Чаплыгиным в нашей печати).</w:t>
      </w:r>
    </w:p>
    <w:p w14:paraId="3EC95DA1" w14:textId="77777777" w:rsidR="00AB2091" w:rsidRPr="00E93F40" w:rsidRDefault="00AB20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Предложенные инженером Кричевским формулировки предме</w:t>
      </w:r>
      <w:r w:rsidRPr="00E93F40">
        <w:rPr>
          <w:rFonts w:ascii="Times New Roman" w:hAnsi="Times New Roman"/>
          <w:color w:val="000000" w:themeColor="text1"/>
          <w:sz w:val="16"/>
          <w:szCs w:val="16"/>
        </w:rPr>
        <w:softHyphen/>
        <w:t>та авторства выпукло подчеркивают основную сущность этого изобретения, и ЦАГИ, вполне присоединяясь к возражениям Кричевского, просит учесть их в соответствующем постановлении.</w:t>
      </w:r>
    </w:p>
    <w:p w14:paraId="4E19C919" w14:textId="77777777" w:rsidR="00AB2091" w:rsidRPr="00E93F40" w:rsidRDefault="00AB20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на 2-х листах: возражения изобретателя.</w:t>
      </w:r>
    </w:p>
    <w:p w14:paraId="4E44953B" w14:textId="77777777" w:rsidR="00AB2091" w:rsidRPr="00E93F40" w:rsidRDefault="00AB2091" w:rsidP="00E93F40">
      <w:pPr>
        <w:tabs>
          <w:tab w:val="left" w:pos="500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ЦАГИ Н.М. Харламов</w:t>
      </w:r>
    </w:p>
    <w:p w14:paraId="381DC769" w14:textId="77777777" w:rsidR="00AB2091" w:rsidRPr="00E93F40" w:rsidRDefault="00AB2091" w:rsidP="00E93F40">
      <w:pPr>
        <w:tabs>
          <w:tab w:val="left" w:pos="499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бюро информации] и патентов Пастушенко</w:t>
      </w:r>
    </w:p>
    <w:p w14:paraId="6977CBDA" w14:textId="77777777" w:rsidR="00AB2091" w:rsidRPr="00E93F40" w:rsidRDefault="00AB20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Филиал РГАНТД. Ф. Р-1. Оп. 47-5. Д. 538. Л. 63. Подлинник (15633).</w:t>
      </w:r>
    </w:p>
    <w:p w14:paraId="33D459B1" w14:textId="77777777" w:rsidR="00AB2091" w:rsidRPr="00E93F40" w:rsidRDefault="00AB2091" w:rsidP="00E93F40">
      <w:pPr>
        <w:spacing w:after="0" w:line="240" w:lineRule="auto"/>
        <w:jc w:val="both"/>
        <w:rPr>
          <w:rStyle w:val="1pt"/>
          <w:rFonts w:ascii="Times New Roman" w:hAnsi="Times New Roman" w:cs="Times New Roman"/>
          <w:color w:val="000000" w:themeColor="text1"/>
          <w:spacing w:val="0"/>
          <w:sz w:val="16"/>
          <w:szCs w:val="16"/>
        </w:rPr>
      </w:pPr>
    </w:p>
    <w:p w14:paraId="74819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был подготовлен проект и чертежи мотора М-58 (2310,130).</w:t>
      </w:r>
    </w:p>
    <w:p w14:paraId="2AED2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54859E"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опросом членов ПБ</w:t>
      </w:r>
    </w:p>
    <w:p w14:paraId="0A96ABE2"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64/20.-Телеграмма т.т. Мартиновича и Ефимова.</w:t>
      </w:r>
    </w:p>
    <w:p w14:paraId="514CBA64"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Согласиться с предложением т.т. Мартиновича и Ефимова о заключении договора с фирмой "Фиат".</w:t>
      </w:r>
    </w:p>
    <w:p w14:paraId="07977E80"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Розенгольцу.</w:t>
      </w:r>
    </w:p>
    <w:p w14:paraId="59DCA4C1"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55/21.- О закупке оборудования в Америке для завода синтетического аммиака.</w:t>
      </w:r>
    </w:p>
    <w:p w14:paraId="00A9590F"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т. Пятакову договорится с т. Розенгольцем за счет контингентов НКТПрома</w:t>
      </w:r>
    </w:p>
    <w:p w14:paraId="7BCA38DC"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Пятакову, Розенгольцу.</w:t>
      </w:r>
    </w:p>
    <w:p w14:paraId="17F45AC5"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58/24.- Об электротехническом "блоке".</w:t>
      </w:r>
    </w:p>
    <w:p w14:paraId="144AE68D"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Передать на предварительное рассмотренио в кoмиссию в составе т.т. Рудзутака (председатель), 0рджоникидзе, Розенгольца, Жукова.</w:t>
      </w:r>
    </w:p>
    <w:p w14:paraId="187B5E6E"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Рудзутаку, Орджоникидзе, Розенгольцу, Жукову.</w:t>
      </w:r>
    </w:p>
    <w:p w14:paraId="4FE26612"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83/49.- О заказах в Италии.</w:t>
      </w:r>
    </w:p>
    <w:p w14:paraId="3B729EA6"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Купить все образцы по телемеханике и фирмы «Сименс Олап» см ассигнованием на это дело 500 тыс. долларов (1 миллион рублей).</w:t>
      </w:r>
    </w:p>
    <w:p w14:paraId="373D258A"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Розенгольцу, Рудзутаку</w:t>
      </w:r>
    </w:p>
    <w:p w14:paraId="3FD5F3CD"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состоялось заседание ПБ (Протокол № 100) (23045).</w:t>
      </w:r>
    </w:p>
    <w:p w14:paraId="0DF6E30E" w14:textId="77777777" w:rsidR="00A1380A" w:rsidRPr="00E93F40" w:rsidRDefault="00A1380A" w:rsidP="00E93F40">
      <w:pPr>
        <w:spacing w:after="0" w:line="240" w:lineRule="auto"/>
        <w:jc w:val="both"/>
        <w:rPr>
          <w:rFonts w:ascii="Times New Roman" w:hAnsi="Times New Roman"/>
          <w:color w:val="000000" w:themeColor="text1"/>
          <w:sz w:val="16"/>
          <w:szCs w:val="16"/>
        </w:rPr>
      </w:pPr>
    </w:p>
    <w:p w14:paraId="670B2286" w14:textId="77777777" w:rsidR="00C111EF" w:rsidRPr="00E93F40" w:rsidRDefault="00C111E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1385A6E" w14:textId="77777777" w:rsidR="00C111EF" w:rsidRPr="00E93F40" w:rsidRDefault="00C111E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73D8ED"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мая 1932 г. продолжились испытания самоходной установки Т-27М (Т-27С, или Т-27/С/). В этот день пробегом по шоссе Кубинка — Можайск — Кубинка было опробовано двойное управление. При этом выявились следующие недостатки:</w:t>
      </w:r>
    </w:p>
    <w:p w14:paraId="1B55E1EE"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«Управление с места командира.</w:t>
      </w:r>
    </w:p>
    <w:p w14:paraId="48C9153E"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Сидение не приспособлено к управлению, т.к. удалено назад по сравнению с сидением водителя.</w:t>
      </w:r>
    </w:p>
    <w:p w14:paraId="6540C4B0"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Педали конуса и газа остались без изменения на линии с педалями водителя.</w:t>
      </w:r>
    </w:p>
    <w:p w14:paraId="00C673A0"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управлении командиру необходимо протягивать ноги, сползая с сидения, т.к. педаль сцепления удалена.</w:t>
      </w:r>
    </w:p>
    <w:p w14:paraId="584E72E0"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Нет твердости в сидении. Командир воспринимает массу толчков, ударяясь о боковые и задние стенки, кроме того необходима мягкая подушка на голову командира или на крышку для предохранения от ушибов при толчках.</w:t>
      </w:r>
    </w:p>
    <w:p w14:paraId="5499EC98"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Затруднительно управление вследствие малого поля зрения вперед.</w:t>
      </w:r>
    </w:p>
    <w:p w14:paraId="301653C5"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Рычаг управления гусеницами расположен с левой стороны вниз. Торможение гусеницами происходит направлением рычага в ту или иную сторону по вертикали.</w:t>
      </w:r>
    </w:p>
    <w:p w14:paraId="63986A28"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Такое расположение ручки является неудобным при управлении командиром </w:t>
      </w:r>
      <w:hyperlink r:id="rId108"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и.</w:t>
      </w:r>
    </w:p>
    <w:p w14:paraId="692D6635"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торможении левой гусеницы — направление рычага вперед — корпус командира подается вперед вниз.</w:t>
      </w:r>
    </w:p>
    <w:p w14:paraId="0DB6EBC1"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Установка же пушки не позволяет этого, упирается в грудь и плечо, вследствие чего рука не может нажать до отказа рычаг и произвести полное торможение и </w:t>
      </w:r>
      <w:hyperlink r:id="rId109"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етка почти не меняет направления в движении.</w:t>
      </w:r>
    </w:p>
    <w:p w14:paraId="3D7EFF30" w14:textId="77777777" w:rsidR="00560CA8" w:rsidRPr="00142305" w:rsidRDefault="00560CA8" w:rsidP="00560C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более удобного положения необходимо рычаг управления поставить вниз по вертикали, а вверх с таким расчетом, чтобы, находясь в нейтральном положении, был с отклонением от вертикального положения в сторону командира/к радиатору/на 10-15°» (25561).</w:t>
      </w:r>
    </w:p>
    <w:p w14:paraId="4C10B77E" w14:textId="77777777" w:rsidR="00560CA8" w:rsidRPr="00142305" w:rsidRDefault="00560CA8" w:rsidP="00560CA8">
      <w:pPr>
        <w:spacing w:after="0" w:line="240" w:lineRule="auto"/>
        <w:jc w:val="both"/>
        <w:rPr>
          <w:rFonts w:ascii="Times New Roman" w:hAnsi="Times New Roman"/>
          <w:color w:val="0070C0"/>
          <w:sz w:val="16"/>
          <w:szCs w:val="16"/>
        </w:rPr>
      </w:pPr>
    </w:p>
    <w:p w14:paraId="5AC7DDFA" w14:textId="77777777" w:rsidR="00A1380A" w:rsidRPr="00E93F40" w:rsidRDefault="00A138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СНК СССР принял решение о проведении сравни</w:t>
      </w:r>
      <w:r w:rsidRPr="00E93F40">
        <w:rPr>
          <w:rFonts w:ascii="Times New Roman" w:hAnsi="Times New Roman"/>
          <w:color w:val="000000" w:themeColor="text1"/>
          <w:sz w:val="16"/>
          <w:szCs w:val="16"/>
        </w:rPr>
        <w:softHyphen/>
        <w:t>тельных испытаний отечественных и зарубежных автодизелей. Пред</w:t>
      </w:r>
      <w:r w:rsidRPr="00E93F40">
        <w:rPr>
          <w:rFonts w:ascii="Times New Roman" w:hAnsi="Times New Roman"/>
          <w:color w:val="000000" w:themeColor="text1"/>
          <w:sz w:val="16"/>
          <w:szCs w:val="16"/>
        </w:rPr>
        <w:softHyphen/>
        <w:t>полагалось организовать Между</w:t>
      </w:r>
      <w:r w:rsidRPr="00E93F40">
        <w:rPr>
          <w:rFonts w:ascii="Times New Roman" w:hAnsi="Times New Roman"/>
          <w:color w:val="000000" w:themeColor="text1"/>
          <w:sz w:val="16"/>
          <w:szCs w:val="16"/>
        </w:rPr>
        <w:softHyphen/>
        <w:t>народный дизельный конкурс (22518).</w:t>
      </w:r>
    </w:p>
    <w:p w14:paraId="409BB502" w14:textId="77777777" w:rsidR="00A1380A" w:rsidRPr="00E93F40" w:rsidRDefault="00A1380A" w:rsidP="00E93F40">
      <w:pPr>
        <w:spacing w:after="0" w:line="240" w:lineRule="auto"/>
        <w:jc w:val="both"/>
        <w:rPr>
          <w:rFonts w:ascii="Times New Roman" w:hAnsi="Times New Roman"/>
          <w:color w:val="000000" w:themeColor="text1"/>
          <w:sz w:val="16"/>
          <w:szCs w:val="16"/>
        </w:rPr>
      </w:pPr>
    </w:p>
    <w:p w14:paraId="59F1E914" w14:textId="77777777" w:rsidR="00C111EF" w:rsidRPr="00E93F40" w:rsidRDefault="00C111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на СК-1 зажглась на подогрев первая контактная печь. 16 июня в контактные печи был подан спирт. Для участия в пуске завода из Ленинграда прибыла бригада сотрудников опытного завода «Литер Б» во главе с ведущим инженером-технологом Н.И. Смирновым (18298).</w:t>
      </w:r>
    </w:p>
    <w:p w14:paraId="30878A2B" w14:textId="77777777" w:rsidR="00C111EF" w:rsidRPr="00E93F40" w:rsidRDefault="00C111EF" w:rsidP="00E93F40">
      <w:pPr>
        <w:spacing w:after="0" w:line="240" w:lineRule="auto"/>
        <w:jc w:val="both"/>
        <w:rPr>
          <w:rFonts w:ascii="Times New Roman" w:hAnsi="Times New Roman"/>
          <w:color w:val="000000" w:themeColor="text1"/>
          <w:sz w:val="16"/>
          <w:szCs w:val="16"/>
        </w:rPr>
      </w:pPr>
    </w:p>
    <w:p w14:paraId="5ACC6EA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FBE177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973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декретом Правительства за подписью И.В.С. была объявлена безбожная пятилетка (3263,240) - имя бога должно было забыться к 1 мая 1937 (3481).</w:t>
      </w:r>
    </w:p>
    <w:p w14:paraId="46B69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147BC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Сталин объявил начало «безбожной пятилетки», поставив цель: к 1 мая 1937 года на всей территории страны должны забыть имя бога (4962).</w:t>
      </w:r>
    </w:p>
    <w:p w14:paraId="5DDE8BA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9FEB72" w14:textId="77777777" w:rsidR="009A1D75" w:rsidRPr="00E93F40" w:rsidRDefault="009A1D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в 1932 году декретом правительства за подписью И.В.Сталина объявляется «безбожная пятилетка», поставившая цель: к 1 мая 1937 «имя бога должно быть забыто на территории страны.» (14892).</w:t>
      </w:r>
    </w:p>
    <w:p w14:paraId="3B18383A" w14:textId="77777777" w:rsidR="009A1D75" w:rsidRPr="00E93F40" w:rsidRDefault="009A1D75" w:rsidP="00E93F40">
      <w:pPr>
        <w:spacing w:after="0" w:line="240" w:lineRule="auto"/>
        <w:jc w:val="both"/>
        <w:rPr>
          <w:rFonts w:ascii="Times New Roman" w:hAnsi="Times New Roman"/>
          <w:color w:val="000000" w:themeColor="text1"/>
          <w:sz w:val="16"/>
          <w:szCs w:val="16"/>
        </w:rPr>
      </w:pPr>
    </w:p>
    <w:p w14:paraId="2B31CB4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0515F0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614665" w14:textId="0FCFE34B" w:rsidR="000F169A" w:rsidRPr="00E93F40" w:rsidRDefault="000F169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1932 г. немецкий пилот Ганс Бертрам и механик Адольф Клаусманн, пытаясь совершить кругосветное плавание на восток на гидросамолете Junkers W 33, попадают шторм в Тиморском море, который вынуждает их приземлиться в удаленной части северного побережья Кимберли,Западная Австралия. Люди, оказавшиеся в затруднительном положении, проводят почти шесть недель без еды и воды и близки к смерти, когда их спасла поисковая группа аборигенов 22 июня (20803).</w:t>
      </w:r>
    </w:p>
    <w:p w14:paraId="2AD64E5C" w14:textId="77777777" w:rsidR="000F169A" w:rsidRPr="00E93F40" w:rsidRDefault="000F169A" w:rsidP="00E93F40">
      <w:pPr>
        <w:spacing w:after="0" w:line="240" w:lineRule="auto"/>
        <w:jc w:val="both"/>
        <w:rPr>
          <w:rFonts w:ascii="Times New Roman" w:hAnsi="Times New Roman"/>
          <w:color w:val="000000" w:themeColor="text1"/>
          <w:sz w:val="16"/>
          <w:szCs w:val="16"/>
        </w:rPr>
      </w:pPr>
    </w:p>
    <w:p w14:paraId="3CB86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в Японии был военно-фашистский путч и премьер-министр Инукаи был убит молодыми офицерами (2443,406).</w:t>
      </w:r>
    </w:p>
    <w:p w14:paraId="0A910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114C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была попытка военно-фашистского путча в Японии (3186).</w:t>
      </w:r>
    </w:p>
    <w:p w14:paraId="4AB7C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94106D" w14:textId="77777777" w:rsidR="0037491A" w:rsidRPr="00E93F40" w:rsidRDefault="0037491A" w:rsidP="00E93F40">
      <w:pPr>
        <w:spacing w:after="0" w:line="240" w:lineRule="auto"/>
        <w:jc w:val="both"/>
        <w:rPr>
          <w:rFonts w:ascii="Times New Roman" w:hAnsi="Times New Roman"/>
          <w:color w:val="000000" w:themeColor="text1"/>
          <w:sz w:val="16"/>
          <w:szCs w:val="16"/>
        </w:rPr>
      </w:pPr>
      <w:r w:rsidRPr="00E93F40">
        <w:rPr>
          <w:rStyle w:val="w"/>
          <w:rFonts w:ascii="Times New Roman" w:hAnsi="Times New Roman"/>
          <w:color w:val="000000" w:themeColor="text1"/>
          <w:sz w:val="16"/>
          <w:szCs w:val="16"/>
        </w:rPr>
        <w:t>15</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мая</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1932г</w:t>
      </w:r>
      <w:r w:rsidRPr="00E93F40">
        <w:rPr>
          <w:rFonts w:ascii="Times New Roman" w:hAnsi="Times New Roman"/>
          <w:color w:val="000000" w:themeColor="text1"/>
          <w:sz w:val="16"/>
          <w:szCs w:val="16"/>
        </w:rPr>
        <w:t>. был</w:t>
      </w:r>
      <w:r w:rsidR="00C111EF" w:rsidRPr="00E93F40">
        <w:rPr>
          <w:rFonts w:ascii="Times New Roman" w:hAnsi="Times New Roman"/>
          <w:color w:val="000000" w:themeColor="text1"/>
          <w:sz w:val="16"/>
          <w:szCs w:val="16"/>
        </w:rPr>
        <w:t>а</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попытка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государственного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переворота</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предпринятая</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группой</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экстремистов</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Впутче</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участвовали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молодые</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офицеры</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армии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флота</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группа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боевиков</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из</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Айкёдзюку</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Школы</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любви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к</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родной</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земле</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Дзиммукай</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Общество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императора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Дзимму</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Кэцумэйдан</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Лига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кровавого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братства</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недовольные</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ратификацией</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Лондонского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договора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1930</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г</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об</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ограничении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морских</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вооружений</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Разделившись</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н</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анесколько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отрядов</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путчисты</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напали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на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резиденцию</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премьер</w:t>
      </w:r>
      <w:r w:rsidRPr="00E93F40">
        <w:rPr>
          <w:rFonts w:ascii="Times New Roman" w:hAnsi="Times New Roman"/>
          <w:color w:val="000000" w:themeColor="text1"/>
          <w:sz w:val="16"/>
          <w:szCs w:val="16"/>
        </w:rPr>
        <w:t>-</w:t>
      </w:r>
      <w:r w:rsidRPr="00E93F40">
        <w:rPr>
          <w:rStyle w:val="w"/>
          <w:rFonts w:ascii="Times New Roman" w:hAnsi="Times New Roman"/>
          <w:color w:val="000000" w:themeColor="text1"/>
          <w:sz w:val="16"/>
          <w:szCs w:val="16"/>
        </w:rPr>
        <w:t>министра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Инукаи</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он</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был</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смертельно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ранен</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на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Министерство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внутренних</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дел</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штаб</w:t>
      </w:r>
      <w:r w:rsidRPr="00E93F40">
        <w:rPr>
          <w:rFonts w:ascii="Times New Roman" w:hAnsi="Times New Roman"/>
          <w:color w:val="000000" w:themeColor="text1"/>
          <w:sz w:val="16"/>
          <w:szCs w:val="16"/>
        </w:rPr>
        <w:t>-</w:t>
      </w:r>
      <w:r w:rsidRPr="00E93F40">
        <w:rPr>
          <w:rStyle w:val="w"/>
          <w:rFonts w:ascii="Times New Roman" w:hAnsi="Times New Roman"/>
          <w:color w:val="000000" w:themeColor="text1"/>
          <w:sz w:val="16"/>
          <w:szCs w:val="16"/>
        </w:rPr>
        <w:t>квартиру</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правящей</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партии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Сэйюкай</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Банк</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Японии</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банк</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Мицубиси</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полицейское</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управление</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электростанцию</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Путчисты</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распространяли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листовки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призывами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бороться</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против</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парламентских</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партий</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финансовых</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клик</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запередачу</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власти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военным</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которые</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установят</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порядок</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в</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стране</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У</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организаторов</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путча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был</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большой</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список</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приговоренных</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к</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смерти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лиц</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среди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которых</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кроме</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Инукаи</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были: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гэнро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Сайондзи</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хранитель</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государственной</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печати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Макино</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председатель</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палаты</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пэров</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Токугава</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член</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тайного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совета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Ито</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ряд</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лидеров</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партий</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Сэйюкай</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Минсэйто</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lastRenderedPageBreak/>
        <w:t>руководители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концернов</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Ясуда</w:t>
      </w:r>
      <w:r w:rsidRPr="00E93F40">
        <w:rPr>
          <w:rFonts w:ascii="Times New Roman" w:hAnsi="Times New Roman"/>
          <w:color w:val="000000" w:themeColor="text1"/>
          <w:sz w:val="16"/>
          <w:szCs w:val="16"/>
        </w:rPr>
        <w:t>", "</w:t>
      </w:r>
      <w:r w:rsidRPr="00E93F40">
        <w:rPr>
          <w:rStyle w:val="w"/>
          <w:rFonts w:ascii="Times New Roman" w:hAnsi="Times New Roman"/>
          <w:color w:val="000000" w:themeColor="text1"/>
          <w:sz w:val="16"/>
          <w:szCs w:val="16"/>
        </w:rPr>
        <w:t>Окура</w:t>
      </w:r>
      <w:r w:rsidRPr="00E93F40">
        <w:rPr>
          <w:rFonts w:ascii="Times New Roman" w:hAnsi="Times New Roman"/>
          <w:color w:val="000000" w:themeColor="text1"/>
          <w:sz w:val="16"/>
          <w:szCs w:val="16"/>
        </w:rPr>
        <w:t>", "</w:t>
      </w:r>
      <w:r w:rsidRPr="00E93F40">
        <w:rPr>
          <w:rStyle w:val="w"/>
          <w:rFonts w:ascii="Times New Roman" w:hAnsi="Times New Roman"/>
          <w:color w:val="000000" w:themeColor="text1"/>
          <w:sz w:val="16"/>
          <w:szCs w:val="16"/>
        </w:rPr>
        <w:t>Мицуи</w:t>
      </w:r>
      <w:r w:rsidRPr="00E93F40">
        <w:rPr>
          <w:rFonts w:ascii="Times New Roman" w:hAnsi="Times New Roman"/>
          <w:color w:val="000000" w:themeColor="text1"/>
          <w:sz w:val="16"/>
          <w:szCs w:val="16"/>
        </w:rPr>
        <w:t>", "</w:t>
      </w:r>
      <w:r w:rsidRPr="00E93F40">
        <w:rPr>
          <w:rStyle w:val="w"/>
          <w:rFonts w:ascii="Times New Roman" w:hAnsi="Times New Roman"/>
          <w:color w:val="000000" w:themeColor="text1"/>
          <w:sz w:val="16"/>
          <w:szCs w:val="16"/>
        </w:rPr>
        <w:t>Мицубиси</w:t>
      </w:r>
      <w:r w:rsidRPr="00E93F40">
        <w:rPr>
          <w:rFonts w:ascii="Times New Roman" w:hAnsi="Times New Roman"/>
          <w:color w:val="000000" w:themeColor="text1"/>
          <w:sz w:val="16"/>
          <w:szCs w:val="16"/>
        </w:rPr>
        <w:t>", "</w:t>
      </w:r>
      <w:r w:rsidRPr="00E93F40">
        <w:rPr>
          <w:rStyle w:val="w"/>
          <w:rFonts w:ascii="Times New Roman" w:hAnsi="Times New Roman"/>
          <w:color w:val="000000" w:themeColor="text1"/>
          <w:sz w:val="16"/>
          <w:szCs w:val="16"/>
        </w:rPr>
        <w:t>Сумитомо</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других</w:t>
      </w:r>
      <w:r w:rsidRPr="00E93F40">
        <w:rPr>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После</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совершения</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акции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участники</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путча</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явились</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в</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жандармерию</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с</w:t>
      </w:r>
      <w:r w:rsidR="00C111EF" w:rsidRPr="00E93F40">
        <w:rPr>
          <w:rStyle w:val="w"/>
          <w:rFonts w:ascii="Times New Roman" w:hAnsi="Times New Roman"/>
          <w:color w:val="000000" w:themeColor="text1"/>
          <w:sz w:val="16"/>
          <w:szCs w:val="16"/>
        </w:rPr>
        <w:t xml:space="preserve"> </w:t>
      </w:r>
      <w:r w:rsidRPr="00E93F40">
        <w:rPr>
          <w:rStyle w:val="w"/>
          <w:rFonts w:ascii="Times New Roman" w:hAnsi="Times New Roman"/>
          <w:color w:val="000000" w:themeColor="text1"/>
          <w:sz w:val="16"/>
          <w:szCs w:val="16"/>
        </w:rPr>
        <w:t>повинной (17263)</w:t>
      </w:r>
      <w:r w:rsidRPr="00E93F40">
        <w:rPr>
          <w:rFonts w:ascii="Times New Roman" w:hAnsi="Times New Roman"/>
          <w:color w:val="000000" w:themeColor="text1"/>
          <w:sz w:val="16"/>
          <w:szCs w:val="16"/>
        </w:rPr>
        <w:t>.</w:t>
      </w:r>
    </w:p>
    <w:p w14:paraId="3346CA9D" w14:textId="77777777" w:rsidR="0037491A" w:rsidRPr="00E93F40" w:rsidRDefault="0037491A" w:rsidP="00E93F40">
      <w:pPr>
        <w:spacing w:after="0" w:line="240" w:lineRule="auto"/>
        <w:jc w:val="both"/>
        <w:rPr>
          <w:rFonts w:ascii="Times New Roman" w:hAnsi="Times New Roman"/>
          <w:color w:val="000000" w:themeColor="text1"/>
          <w:sz w:val="16"/>
          <w:szCs w:val="16"/>
        </w:rPr>
      </w:pPr>
    </w:p>
    <w:p w14:paraId="15D9E792" w14:textId="77777777" w:rsidR="009D1B4F" w:rsidRPr="00E93F40" w:rsidRDefault="009D1B4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39579E5" w14:textId="77777777" w:rsidR="009D1B4F" w:rsidRPr="00E93F40" w:rsidRDefault="009D1B4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59E21A" w14:textId="77777777" w:rsidR="009D1B4F" w:rsidRPr="00E93F40" w:rsidRDefault="009D1B4F" w:rsidP="00E93F40">
      <w:pPr>
        <w:spacing w:after="0" w:line="240" w:lineRule="auto"/>
        <w:jc w:val="both"/>
        <w:rPr>
          <w:rFonts w:ascii="Times New Roman" w:eastAsia="TimesNewRomanPSMT" w:hAnsi="Times New Roman"/>
          <w:color w:val="000000" w:themeColor="text1"/>
          <w:sz w:val="16"/>
          <w:szCs w:val="16"/>
        </w:rPr>
      </w:pPr>
      <w:r w:rsidRPr="00E93F40">
        <w:rPr>
          <w:rFonts w:ascii="Times New Roman" w:hAnsi="Times New Roman"/>
          <w:color w:val="000000" w:themeColor="text1"/>
          <w:sz w:val="16"/>
          <w:szCs w:val="16"/>
        </w:rPr>
        <w:t>В середине мая 1932 г. на НИАПе были проведены испытания 107-мм чугунных осколочно-химических мин в количестве 203 шт., изготовленных по проекту группы «Д», которые выявили необходимость улучшения их баллистических качеств и прочности. В сентябре для рассмотрения III секцией ВОХИМУ был представлен еще один вариант конструкции 107-мм чугунных осколочно-химических мин.390 (20074).</w:t>
      </w:r>
    </w:p>
    <w:p w14:paraId="1F43EC05" w14:textId="77777777" w:rsidR="009D1B4F" w:rsidRPr="00E93F40" w:rsidRDefault="009D1B4F" w:rsidP="00E93F40">
      <w:pPr>
        <w:spacing w:after="0" w:line="240" w:lineRule="auto"/>
        <w:jc w:val="both"/>
        <w:rPr>
          <w:rFonts w:ascii="Times New Roman" w:eastAsia="TimesNewRomanPSMT" w:hAnsi="Times New Roman"/>
          <w:color w:val="000000" w:themeColor="text1"/>
          <w:sz w:val="16"/>
          <w:szCs w:val="16"/>
        </w:rPr>
      </w:pPr>
    </w:p>
    <w:p w14:paraId="3DD7B88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7CF2EE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46D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вышло постановление СТО N 538/177сс (3082):</w:t>
      </w:r>
    </w:p>
    <w:p w14:paraId="731FC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8. "Обязать Глававиапром все опытные конструкции самолетов, выходящих в 32 г.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Р5 в программе 1933 г. строить также с тормозными колесами" (3082).</w:t>
      </w:r>
    </w:p>
    <w:p w14:paraId="262E6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"9". Обязать Глававиапром всемерно форсировать опытные работы по разрезным крыльям, указал на совершенно неудовлетворительные сроки окончания этих работ, "предусмотренные планом" (3082).</w:t>
      </w:r>
    </w:p>
    <w:p w14:paraId="5E57E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ГУАП изъять Контрольно-испытательные отделы заводов из подчинения директоров заводов и подчинить непосредственно ГУАП"у. Данное мероприятие провести к 1.06.32 г.</w:t>
      </w:r>
    </w:p>
    <w:p w14:paraId="6CDDF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1.01.33 г. данное постановление остается не выполненным.</w:t>
      </w:r>
    </w:p>
    <w:p w14:paraId="19C40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Организация в составе ГУАП Управления по наблюдению и контролю за качеством производства и Учреждений при заводах специальных инспекторов по качеству от ГУАП - не достигает цели и не может считаться прямым выполнением данного постановления.</w:t>
      </w:r>
    </w:p>
    <w:p w14:paraId="1179A1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Согласно п. 2 этого же постановления - Глававиапром обязан был через свои заводы сдать не позже 1.10.32 г. УВВС групповые комплекты запасных частей и отдельные детали к моторам.</w:t>
      </w:r>
    </w:p>
    <w:p w14:paraId="02366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постановление моторостроительными заводами ГУАП было выполнено лишь в незначительной степени и на 1.01.33 г. осталась большая задолженность по запасным частям программы 1932 г. (3082).</w:t>
      </w:r>
    </w:p>
    <w:p w14:paraId="7C578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6AD441" w14:textId="77777777" w:rsidR="004F5D91" w:rsidRPr="00E93F40" w:rsidRDefault="004F5D91"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bCs/>
          <w:color w:val="000000" w:themeColor="text1"/>
          <w:sz w:val="16"/>
          <w:szCs w:val="16"/>
        </w:rPr>
        <w:t>16 мая 1932 г. — Постановление № 538/177сс СТО СССР «По авиации»</w:t>
      </w:r>
    </w:p>
    <w:p w14:paraId="4E5DB839"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p w14:paraId="7C715126" w14:textId="761356BC"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Констатировать, что программа по самолето- и моторостроению I</w:t>
      </w:r>
      <w:r w:rsidR="007C1411" w:rsidRPr="00E93F40">
        <w:rPr>
          <w:color w:val="000000" w:themeColor="text1"/>
          <w:sz w:val="16"/>
          <w:szCs w:val="16"/>
        </w:rPr>
        <w:t xml:space="preserve"> </w:t>
      </w:r>
      <w:r w:rsidRPr="00E93F40">
        <w:rPr>
          <w:color w:val="000000" w:themeColor="text1"/>
          <w:sz w:val="16"/>
          <w:szCs w:val="16"/>
        </w:rPr>
        <w:t>квартала выполнена с превышением; налицо значительный сдвиг в работе авиапромышленности. Совет труда и обороны постановляет:</w:t>
      </w:r>
    </w:p>
    <w:p w14:paraId="224314F8" w14:textId="55037CC3"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Для обеспечения решительного улучшения качества продукции авиационной промышленности обязать начальника Глававиапрома т.</w:t>
      </w:r>
      <w:r w:rsidR="007C1411" w:rsidRPr="00E93F40">
        <w:rPr>
          <w:color w:val="000000" w:themeColor="text1"/>
          <w:sz w:val="16"/>
          <w:szCs w:val="16"/>
        </w:rPr>
        <w:t xml:space="preserve"> </w:t>
      </w:r>
      <w:hyperlink r:id="rId110" w:history="1">
        <w:r w:rsidRPr="00E93F40">
          <w:rPr>
            <w:color w:val="000000" w:themeColor="text1"/>
            <w:sz w:val="16"/>
            <w:szCs w:val="16"/>
          </w:rPr>
          <w:t>Баранова</w:t>
        </w:r>
      </w:hyperlink>
      <w:r w:rsidRPr="00E93F40">
        <w:rPr>
          <w:color w:val="000000" w:themeColor="text1"/>
          <w:sz w:val="16"/>
          <w:szCs w:val="16"/>
        </w:rPr>
        <w:t>: а)</w:t>
      </w:r>
      <w:r w:rsidR="007C1411" w:rsidRPr="00E93F40">
        <w:rPr>
          <w:color w:val="000000" w:themeColor="text1"/>
          <w:sz w:val="16"/>
          <w:szCs w:val="16"/>
        </w:rPr>
        <w:t xml:space="preserve"> </w:t>
      </w:r>
      <w:r w:rsidRPr="00E93F40">
        <w:rPr>
          <w:color w:val="000000" w:themeColor="text1"/>
          <w:sz w:val="16"/>
          <w:szCs w:val="16"/>
        </w:rPr>
        <w:t>изъять контрольно-испытательные отделы на заводах из подчинения директоров заводов, подчинив их непосредственно ГУАП; б)</w:t>
      </w:r>
      <w:r w:rsidR="007C1411" w:rsidRPr="00E93F40">
        <w:rPr>
          <w:color w:val="000000" w:themeColor="text1"/>
          <w:sz w:val="16"/>
          <w:szCs w:val="16"/>
        </w:rPr>
        <w:t xml:space="preserve"> </w:t>
      </w:r>
      <w:r w:rsidRPr="00E93F40">
        <w:rPr>
          <w:color w:val="000000" w:themeColor="text1"/>
          <w:sz w:val="16"/>
          <w:szCs w:val="16"/>
        </w:rPr>
        <w:t>пересмотреть личный состав КИО заводов с целью сокращения штатов и одновременного подбора работников с повышенной квалификацией, вполне отвечающих сложной и ответственной задаче заводского контроля; в)</w:t>
      </w:r>
      <w:r w:rsidR="007C1411" w:rsidRPr="00E93F40">
        <w:rPr>
          <w:color w:val="000000" w:themeColor="text1"/>
          <w:sz w:val="16"/>
          <w:szCs w:val="16"/>
        </w:rPr>
        <w:t xml:space="preserve"> </w:t>
      </w:r>
      <w:r w:rsidRPr="00E93F40">
        <w:rPr>
          <w:color w:val="000000" w:themeColor="text1"/>
          <w:sz w:val="16"/>
          <w:szCs w:val="16"/>
        </w:rPr>
        <w:t>пересмотреть ставки работников КИО в сторону их значительного повышения, приравняв их к высшим категориям работников заводов; г)</w:t>
      </w:r>
      <w:r w:rsidR="007C1411" w:rsidRPr="00E93F40">
        <w:rPr>
          <w:color w:val="000000" w:themeColor="text1"/>
          <w:sz w:val="16"/>
          <w:szCs w:val="16"/>
        </w:rPr>
        <w:t xml:space="preserve"> </w:t>
      </w:r>
      <w:r w:rsidRPr="00E93F40">
        <w:rPr>
          <w:color w:val="000000" w:themeColor="text1"/>
          <w:sz w:val="16"/>
          <w:szCs w:val="16"/>
        </w:rPr>
        <w:t>аппарат КИО заводов содержать за счет ГУАП; д)</w:t>
      </w:r>
      <w:r w:rsidR="007C1411" w:rsidRPr="00E93F40">
        <w:rPr>
          <w:color w:val="000000" w:themeColor="text1"/>
          <w:sz w:val="16"/>
          <w:szCs w:val="16"/>
        </w:rPr>
        <w:t xml:space="preserve"> </w:t>
      </w:r>
      <w:r w:rsidRPr="00E93F40">
        <w:rPr>
          <w:color w:val="000000" w:themeColor="text1"/>
          <w:sz w:val="16"/>
          <w:szCs w:val="16"/>
        </w:rPr>
        <w:t>означенные мероприятия провести полностью к 1</w:t>
      </w:r>
      <w:r w:rsidR="007C1411" w:rsidRPr="00E93F40">
        <w:rPr>
          <w:color w:val="000000" w:themeColor="text1"/>
          <w:sz w:val="16"/>
          <w:szCs w:val="16"/>
        </w:rPr>
        <w:t xml:space="preserve"> </w:t>
      </w:r>
      <w:r w:rsidRPr="00E93F40">
        <w:rPr>
          <w:color w:val="000000" w:themeColor="text1"/>
          <w:sz w:val="16"/>
          <w:szCs w:val="16"/>
        </w:rPr>
        <w:t>июня 1932</w:t>
      </w:r>
      <w:r w:rsidR="007C1411" w:rsidRPr="00E93F40">
        <w:rPr>
          <w:color w:val="000000" w:themeColor="text1"/>
          <w:sz w:val="16"/>
          <w:szCs w:val="16"/>
        </w:rPr>
        <w:t xml:space="preserve"> </w:t>
      </w:r>
      <w:r w:rsidRPr="00E93F40">
        <w:rPr>
          <w:color w:val="000000" w:themeColor="text1"/>
          <w:sz w:val="16"/>
          <w:szCs w:val="16"/>
        </w:rPr>
        <w:t>г.</w:t>
      </w:r>
    </w:p>
    <w:p w14:paraId="028832CF" w14:textId="6FFEBCAE"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Обязать начальника Глававиапрома т.</w:t>
      </w:r>
      <w:r w:rsidR="007C1411" w:rsidRPr="00E93F40">
        <w:rPr>
          <w:color w:val="000000" w:themeColor="text1"/>
          <w:sz w:val="16"/>
          <w:szCs w:val="16"/>
        </w:rPr>
        <w:t xml:space="preserve"> </w:t>
      </w:r>
      <w:r w:rsidRPr="00E93F40">
        <w:rPr>
          <w:color w:val="000000" w:themeColor="text1"/>
          <w:sz w:val="16"/>
          <w:szCs w:val="16"/>
        </w:rPr>
        <w:t>Баранова не позднее 1</w:t>
      </w:r>
      <w:r w:rsidR="007C1411" w:rsidRPr="00E93F40">
        <w:rPr>
          <w:color w:val="000000" w:themeColor="text1"/>
          <w:sz w:val="16"/>
          <w:szCs w:val="16"/>
        </w:rPr>
        <w:t xml:space="preserve"> </w:t>
      </w:r>
      <w:r w:rsidRPr="00E93F40">
        <w:rPr>
          <w:color w:val="000000" w:themeColor="text1"/>
          <w:sz w:val="16"/>
          <w:szCs w:val="16"/>
        </w:rPr>
        <w:t>июля 1932</w:t>
      </w:r>
      <w:r w:rsidR="007C1411" w:rsidRPr="00E93F40">
        <w:rPr>
          <w:color w:val="000000" w:themeColor="text1"/>
          <w:sz w:val="16"/>
          <w:szCs w:val="16"/>
        </w:rPr>
        <w:t xml:space="preserve"> </w:t>
      </w:r>
      <w:r w:rsidRPr="00E93F40">
        <w:rPr>
          <w:color w:val="000000" w:themeColor="text1"/>
          <w:sz w:val="16"/>
          <w:szCs w:val="16"/>
        </w:rPr>
        <w:t>г. сдать полностью Управлению Военно-воздушных сил РККА все недоданные групповые комплекты запасных частей и отдельные детали за истекший квартал 1932</w:t>
      </w:r>
      <w:r w:rsidR="007C1411" w:rsidRPr="00E93F40">
        <w:rPr>
          <w:color w:val="000000" w:themeColor="text1"/>
          <w:sz w:val="16"/>
          <w:szCs w:val="16"/>
        </w:rPr>
        <w:t xml:space="preserve"> </w:t>
      </w:r>
      <w:r w:rsidRPr="00E93F40">
        <w:rPr>
          <w:color w:val="000000" w:themeColor="text1"/>
          <w:sz w:val="16"/>
          <w:szCs w:val="16"/>
        </w:rPr>
        <w:t>г.</w:t>
      </w:r>
    </w:p>
    <w:p w14:paraId="3E11D1F7" w14:textId="38633132"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Обязать Глававиапром НКТП немедленно закупить за границей необходимые новейшие образцы высотных истребительных моторов и истребительных самолетов. Ассигновать для этой цели в валюте до 300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w:t>
      </w:r>
    </w:p>
    <w:p w14:paraId="4CB0D55C" w14:textId="4ABA4322"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Обязать Глававиапром по получении новейших образцов провести совместно с ВВС подробные всесторонние испытания этих образцов и в 1932</w:t>
      </w:r>
      <w:r w:rsidR="007C1411" w:rsidRPr="00E93F40">
        <w:rPr>
          <w:color w:val="000000" w:themeColor="text1"/>
          <w:sz w:val="16"/>
          <w:szCs w:val="16"/>
        </w:rPr>
        <w:t xml:space="preserve"> </w:t>
      </w:r>
      <w:r w:rsidRPr="00E93F40">
        <w:rPr>
          <w:color w:val="000000" w:themeColor="text1"/>
          <w:sz w:val="16"/>
          <w:szCs w:val="16"/>
        </w:rPr>
        <w:t>г. спроектировать и построить одноместный истребитель со скоростью не ниже 400</w:t>
      </w:r>
      <w:r w:rsidR="007C1411" w:rsidRPr="00E93F40">
        <w:rPr>
          <w:color w:val="000000" w:themeColor="text1"/>
          <w:sz w:val="16"/>
          <w:szCs w:val="16"/>
        </w:rPr>
        <w:t xml:space="preserve"> </w:t>
      </w:r>
      <w:r w:rsidRPr="00E93F40">
        <w:rPr>
          <w:color w:val="000000" w:themeColor="text1"/>
          <w:sz w:val="16"/>
          <w:szCs w:val="16"/>
        </w:rPr>
        <w:t>км/ч и двухместный со скоростью не ниже 350</w:t>
      </w:r>
      <w:r w:rsidR="007C1411" w:rsidRPr="00E93F40">
        <w:rPr>
          <w:color w:val="000000" w:themeColor="text1"/>
          <w:sz w:val="16"/>
          <w:szCs w:val="16"/>
        </w:rPr>
        <w:t xml:space="preserve"> </w:t>
      </w:r>
      <w:r w:rsidRPr="00E93F40">
        <w:rPr>
          <w:color w:val="000000" w:themeColor="text1"/>
          <w:sz w:val="16"/>
          <w:szCs w:val="16"/>
        </w:rPr>
        <w:t>км/ч на боевой высоте 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м. На указанные истребители установить импортные моторы, давшие лучший результат при их испытании.</w:t>
      </w:r>
    </w:p>
    <w:p w14:paraId="36F61918" w14:textId="4AAFF609"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Обязать Глававиапром заключить договор с итальянской фирмой «Фиат» на проектирование, техническую помощь и оборудование центральной литейной с пропускной способностью 30</w:t>
      </w:r>
      <w:r w:rsidR="007C1411" w:rsidRPr="00E93F40">
        <w:rPr>
          <w:color w:val="000000" w:themeColor="text1"/>
          <w:sz w:val="16"/>
          <w:szCs w:val="16"/>
        </w:rPr>
        <w:t xml:space="preserve"> </w:t>
      </w:r>
      <w:r w:rsidRPr="00E93F40">
        <w:rPr>
          <w:color w:val="000000" w:themeColor="text1"/>
          <w:sz w:val="16"/>
          <w:szCs w:val="16"/>
        </w:rPr>
        <w:t>тыс. моторов в год и реконструкцию литейного завода №</w:t>
      </w:r>
      <w:r w:rsidR="007C1411" w:rsidRPr="00E93F40">
        <w:rPr>
          <w:color w:val="000000" w:themeColor="text1"/>
          <w:sz w:val="16"/>
          <w:szCs w:val="16"/>
        </w:rPr>
        <w:t xml:space="preserve"> </w:t>
      </w:r>
      <w:r w:rsidRPr="00E93F40">
        <w:rPr>
          <w:color w:val="000000" w:themeColor="text1"/>
          <w:sz w:val="16"/>
          <w:szCs w:val="16"/>
        </w:rPr>
        <w:t>26 на 10</w:t>
      </w:r>
      <w:r w:rsidR="007C1411" w:rsidRPr="00E93F40">
        <w:rPr>
          <w:color w:val="000000" w:themeColor="text1"/>
          <w:sz w:val="16"/>
          <w:szCs w:val="16"/>
        </w:rPr>
        <w:t xml:space="preserve"> </w:t>
      </w:r>
      <w:r w:rsidRPr="00E93F40">
        <w:rPr>
          <w:color w:val="000000" w:themeColor="text1"/>
          <w:sz w:val="16"/>
          <w:szCs w:val="16"/>
        </w:rPr>
        <w:t>тыс. моторов в год.</w:t>
      </w:r>
    </w:p>
    <w:p w14:paraId="1A2D6C10" w14:textId="77777777"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По договору с фирмой «Фиат» предусмотреть заказ оборудований, металлических моделей, кокилей, опытных отливок, обучение наших людей у фирмы в период действия договора, а также приглашение его специалистов для работы на заводах Глававиапрома.</w:t>
      </w:r>
    </w:p>
    <w:p w14:paraId="5B975A15" w14:textId="2EB03301"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Для скорейшего освоения производства истребительных моторов Глававиапрому заключить договор на техническую помощь с американской фирмой «Райт-Кертисс» по высотным моторам воздушного и водяного охлаждения, взяв за основу по воздушному охлаждению мотор «Райт-Циклон» 600</w:t>
      </w:r>
      <w:r w:rsidRPr="00E93F40">
        <w:rPr>
          <w:color w:val="000000" w:themeColor="text1"/>
          <w:sz w:val="16"/>
          <w:szCs w:val="16"/>
        </w:rPr>
        <w:noBreakHyphen/>
        <w:t>700</w:t>
      </w:r>
      <w:r w:rsidR="007C1411" w:rsidRPr="00E93F40">
        <w:rPr>
          <w:color w:val="000000" w:themeColor="text1"/>
          <w:sz w:val="16"/>
          <w:szCs w:val="16"/>
        </w:rPr>
        <w:t xml:space="preserve"> </w:t>
      </w:r>
      <w:r w:rsidRPr="00E93F40">
        <w:rPr>
          <w:color w:val="000000" w:themeColor="text1"/>
          <w:sz w:val="16"/>
          <w:szCs w:val="16"/>
        </w:rPr>
        <w:t>НР новейшей конструкции, а по водяному</w:t>
      </w:r>
      <w:r w:rsidR="007C1411" w:rsidRPr="00E93F40">
        <w:rPr>
          <w:color w:val="000000" w:themeColor="text1"/>
          <w:sz w:val="16"/>
          <w:szCs w:val="16"/>
        </w:rPr>
        <w:t xml:space="preserve"> </w:t>
      </w:r>
      <w:r w:rsidRPr="00E93F40">
        <w:rPr>
          <w:color w:val="000000" w:themeColor="text1"/>
          <w:sz w:val="16"/>
          <w:szCs w:val="16"/>
        </w:rPr>
        <w:t>— новейший образец «Кертисс-Конкверор» с нагнетателем и редуктором.</w:t>
      </w:r>
    </w:p>
    <w:p w14:paraId="5867C147" w14:textId="2BD0EA88"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Освободить Глававиапром от обязательства строить 5</w:t>
      </w:r>
      <w:r w:rsidR="007C1411" w:rsidRPr="00E93F40">
        <w:rPr>
          <w:color w:val="000000" w:themeColor="text1"/>
          <w:sz w:val="16"/>
          <w:szCs w:val="16"/>
        </w:rPr>
        <w:t xml:space="preserve"> </w:t>
      </w:r>
      <w:r w:rsidRPr="00E93F40">
        <w:rPr>
          <w:color w:val="000000" w:themeColor="text1"/>
          <w:sz w:val="16"/>
          <w:szCs w:val="16"/>
        </w:rPr>
        <w:t>дизелей «Паккард», так как эта конструкция не оправдала себя на испытании в Союзе и снята с производства в Америке.</w:t>
      </w:r>
    </w:p>
    <w:p w14:paraId="1F6E9EFB" w14:textId="19FD21E1"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Обязать Глававиапром теперь же приступить к производству летных испытаний ТБ</w:t>
      </w:r>
      <w:r w:rsidRPr="00E93F40">
        <w:rPr>
          <w:color w:val="000000" w:themeColor="text1"/>
          <w:sz w:val="16"/>
          <w:szCs w:val="16"/>
        </w:rPr>
        <w:noBreakHyphen/>
        <w:t>5 в целях выявить аэродинамические, технические и конструктивные качества этого самолета.</w:t>
      </w:r>
    </w:p>
    <w:p w14:paraId="71D5C305" w14:textId="138DF0F3"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8.</w:t>
      </w:r>
      <w:r w:rsidR="007C1411" w:rsidRPr="00E93F40">
        <w:rPr>
          <w:color w:val="000000" w:themeColor="text1"/>
          <w:sz w:val="16"/>
          <w:szCs w:val="16"/>
        </w:rPr>
        <w:t xml:space="preserve"> </w:t>
      </w:r>
      <w:r w:rsidRPr="00E93F40">
        <w:rPr>
          <w:color w:val="000000" w:themeColor="text1"/>
          <w:sz w:val="16"/>
          <w:szCs w:val="16"/>
        </w:rPr>
        <w:t>Обязать Глававиапром все опытные конструкции самолетов, выходящих в 1932</w:t>
      </w:r>
      <w:r w:rsidR="007C1411" w:rsidRPr="00E93F40">
        <w:rPr>
          <w:color w:val="000000" w:themeColor="text1"/>
          <w:sz w:val="16"/>
          <w:szCs w:val="16"/>
        </w:rPr>
        <w:t xml:space="preserve"> </w:t>
      </w:r>
      <w:r w:rsidRPr="00E93F40">
        <w:rPr>
          <w:color w:val="000000" w:themeColor="text1"/>
          <w:sz w:val="16"/>
          <w:szCs w:val="16"/>
        </w:rPr>
        <w:t>г.,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w:t>
      </w:r>
      <w:r w:rsidRPr="00E93F40">
        <w:rPr>
          <w:color w:val="000000" w:themeColor="text1"/>
          <w:sz w:val="16"/>
          <w:szCs w:val="16"/>
        </w:rPr>
        <w:noBreakHyphen/>
        <w:t>5 в программе 1933</w:t>
      </w:r>
      <w:r w:rsidR="007C1411" w:rsidRPr="00E93F40">
        <w:rPr>
          <w:color w:val="000000" w:themeColor="text1"/>
          <w:sz w:val="16"/>
          <w:szCs w:val="16"/>
        </w:rPr>
        <w:t xml:space="preserve"> </w:t>
      </w:r>
      <w:r w:rsidRPr="00E93F40">
        <w:rPr>
          <w:color w:val="000000" w:themeColor="text1"/>
          <w:sz w:val="16"/>
          <w:szCs w:val="16"/>
        </w:rPr>
        <w:t>г. строить также с тормозными колесами.</w:t>
      </w:r>
    </w:p>
    <w:p w14:paraId="30A78DBB" w14:textId="7AF67686" w:rsidR="004F5D91" w:rsidRPr="00E93F40" w:rsidRDefault="004F5D91" w:rsidP="00E93F40">
      <w:pPr>
        <w:pStyle w:val="rtejustify"/>
        <w:spacing w:before="0" w:after="0"/>
        <w:rPr>
          <w:color w:val="000000" w:themeColor="text1"/>
          <w:sz w:val="16"/>
          <w:szCs w:val="16"/>
        </w:rPr>
      </w:pPr>
      <w:r w:rsidRPr="00E93F40">
        <w:rPr>
          <w:color w:val="000000" w:themeColor="text1"/>
          <w:sz w:val="16"/>
          <w:szCs w:val="16"/>
        </w:rPr>
        <w:t>9.</w:t>
      </w:r>
      <w:r w:rsidR="007C1411" w:rsidRPr="00E93F40">
        <w:rPr>
          <w:color w:val="000000" w:themeColor="text1"/>
          <w:sz w:val="16"/>
          <w:szCs w:val="16"/>
        </w:rPr>
        <w:t xml:space="preserve"> </w:t>
      </w:r>
      <w:r w:rsidRPr="00E93F40">
        <w:rPr>
          <w:color w:val="000000" w:themeColor="text1"/>
          <w:sz w:val="16"/>
          <w:szCs w:val="16"/>
        </w:rPr>
        <w:t>Обязать Глававиапром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w:t>
      </w:r>
    </w:p>
    <w:p w14:paraId="26F4FC9A" w14:textId="77777777" w:rsidR="004F5D91" w:rsidRPr="00E93F40" w:rsidRDefault="004F5D91"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Зам. председателя Совета труда и обороны </w:t>
      </w:r>
      <w:hyperlink r:id="rId111" w:history="1">
        <w:r w:rsidRPr="00E93F40">
          <w:rPr>
            <w:rStyle w:val="af0"/>
            <w:i w:val="0"/>
            <w:color w:val="000000" w:themeColor="text1"/>
            <w:sz w:val="16"/>
            <w:szCs w:val="16"/>
          </w:rPr>
          <w:t>В. Куйбышев</w:t>
        </w:r>
      </w:hyperlink>
    </w:p>
    <w:p w14:paraId="1F8B663B" w14:textId="77777777" w:rsidR="004F5D91" w:rsidRPr="00E93F40" w:rsidRDefault="004F5D91" w:rsidP="00E93F40">
      <w:pPr>
        <w:pStyle w:val="ae"/>
        <w:spacing w:before="0" w:after="0"/>
        <w:jc w:val="both"/>
        <w:rPr>
          <w:color w:val="000000" w:themeColor="text1"/>
          <w:sz w:val="16"/>
          <w:szCs w:val="16"/>
        </w:rPr>
      </w:pPr>
      <w:r w:rsidRPr="00E93F40">
        <w:rPr>
          <w:color w:val="000000" w:themeColor="text1"/>
          <w:sz w:val="16"/>
          <w:szCs w:val="16"/>
        </w:rPr>
        <w:t>ГА РФ. Ф. Р-8418. Оп. 6. Д. 95. Л. 3—5. Заверенная копия.</w:t>
      </w:r>
    </w:p>
    <w:p w14:paraId="41DDA772" w14:textId="687E28D9"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95. Л. 3—5. Заверенная копия. </w:t>
      </w:r>
    </w:p>
    <w:p w14:paraId="6F6D9B39" w14:textId="40CB9C62"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668-669 (12561).</w:t>
      </w:r>
    </w:p>
    <w:p w14:paraId="5AE8DF9A" w14:textId="77777777" w:rsidR="004F5D91" w:rsidRPr="00E93F40" w:rsidRDefault="004F5D91" w:rsidP="00E93F40">
      <w:pPr>
        <w:spacing w:after="0" w:line="240" w:lineRule="auto"/>
        <w:jc w:val="both"/>
        <w:rPr>
          <w:rFonts w:ascii="Times New Roman" w:hAnsi="Times New Roman"/>
          <w:color w:val="000000" w:themeColor="text1"/>
          <w:sz w:val="16"/>
          <w:szCs w:val="16"/>
        </w:rPr>
      </w:pPr>
    </w:p>
    <w:p w14:paraId="32D70790"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года постановление № 538/177сс СТО</w:t>
      </w:r>
    </w:p>
    <w:p w14:paraId="7E49F95F"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авиации</w:t>
      </w:r>
    </w:p>
    <w:p w14:paraId="76F0BE73"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Констатировать, что программа по самолето- и моторостроению I квартала выполнена с превышением; налицо значительный сдвиг в работе авиапромышленности.</w:t>
      </w:r>
    </w:p>
    <w:p w14:paraId="0CC7353F"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 постановляет:</w:t>
      </w:r>
    </w:p>
    <w:p w14:paraId="515261EA" w14:textId="77777777" w:rsidR="004F5D91" w:rsidRPr="00E93F40" w:rsidRDefault="004F5D91"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обеспечения решительного улучшения качества продукции авиапромышленности обязать начальника Глававиапрома Баранова:</w:t>
      </w:r>
    </w:p>
    <w:p w14:paraId="60833868"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изъять контрольно-испытательные отделы на заводах из подчинения директоров заводов, подчинив их непосредственно ГУАП;</w:t>
      </w:r>
    </w:p>
    <w:p w14:paraId="2517C4ED"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BEA7518" w14:textId="77777777" w:rsidR="004F5D91" w:rsidRPr="00E93F40" w:rsidRDefault="004F5D91"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начальника Глававиапрома Баранова не позднее 1 июля 1932 года сдать полностью УВВС все недоданные групповые комплекты запчастей и отдельные детали за истекший квартал 1932 года.</w:t>
      </w:r>
    </w:p>
    <w:p w14:paraId="0C9AC7A7" w14:textId="77777777" w:rsidR="004F5D91" w:rsidRPr="00E93F40" w:rsidRDefault="004F5D91"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НКТП немедленно закупить за границей необходимые новейшие образцы высотных истребительных моторов и истребительных самолетов.</w:t>
      </w:r>
    </w:p>
    <w:p w14:paraId="28EA1268"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по получении новейших образцов, провести совместно с ВВС подробные всесторонние испытания этих образцов и в 1932 году спроектировать и построить одноместный истребитель со скоростью не ниже 400 км/час и двухместный со скоростью не ниже 350 км/час на боевой высоте 5000 м.</w:t>
      </w:r>
    </w:p>
    <w:p w14:paraId="36D0F739"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указанные истребители установить импортные моторы, давшие лучший результат при их испытании.</w:t>
      </w:r>
    </w:p>
    <w:p w14:paraId="09A91E93"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806B137" w14:textId="77777777" w:rsidR="004F5D91" w:rsidRPr="00E93F40" w:rsidRDefault="004F5D91"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Освободить Глававиапром от обязательства строить пять дизелей Паккард, так как эта конструкция не оправдала себя на испытании в Союзе и снята с производства в Америке.</w:t>
      </w:r>
    </w:p>
    <w:p w14:paraId="73C94D37" w14:textId="77777777" w:rsidR="004F5D91" w:rsidRPr="00E93F40" w:rsidRDefault="004F5D91"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теперь же приступить к производству летных испытаний ТБ-5 в целях выявить аэродинамические, технические и конструктивные качества этого самолета.</w:t>
      </w:r>
    </w:p>
    <w:p w14:paraId="0CA426B4" w14:textId="77777777" w:rsidR="004F5D91" w:rsidRPr="00E93F40" w:rsidRDefault="004F5D91"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все опытные конструкции самолетов, входящих в 1932 г., выпускать с тормозными колесами с тем, чтобы самолеты новых конструкций, принятые на снабжение, строились только с тормозными колесами.</w:t>
      </w:r>
    </w:p>
    <w:p w14:paraId="106D7447" w14:textId="77777777" w:rsidR="004F5D91" w:rsidRPr="00E93F40" w:rsidRDefault="004F5D9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самолет Р-5 в программе 1933 года строить также с тормозными колесами.</w:t>
      </w:r>
    </w:p>
    <w:p w14:paraId="521273B3" w14:textId="77777777" w:rsidR="004F5D91" w:rsidRPr="00E93F40" w:rsidRDefault="004F5D91"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Обязать Глававиапром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 (7429, 116-118).</w:t>
      </w:r>
    </w:p>
    <w:p w14:paraId="28ED84CD" w14:textId="77777777" w:rsidR="004F5D91" w:rsidRPr="00E93F40" w:rsidRDefault="004F5D9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0C8018"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г.</w:t>
      </w:r>
    </w:p>
    <w:p w14:paraId="699AE777"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 538/177СС СТО СССР «ПО АВИАЦИИ»</w:t>
      </w:r>
    </w:p>
    <w:p w14:paraId="76AEBCC2"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г.</w:t>
      </w:r>
    </w:p>
    <w:p w14:paraId="288C5A56"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2B725276"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Констатировать, что программа по самолета- и моторостроению I квартала выполнена с превышением; налицо значительный сдвиг в работе авиапромышленности. Совет труда и обороны постановляет:</w:t>
      </w:r>
    </w:p>
    <w:p w14:paraId="5BD23BB4"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Для обеспечения решительного улучшения качества продукции авиационной промышленности обязать начальника Глававиапрома т. Баранова: </w:t>
      </w:r>
    </w:p>
    <w:p w14:paraId="2B494321"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изъять контрольно-испытательные отделы на заводах из подчинения директоров заводов, подчинив их непосредственно ГУАП;</w:t>
      </w:r>
    </w:p>
    <w:p w14:paraId="34A1218E"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пересмотреть личный состав КИО заводов с целью сокращения штатов и одновременного подбора работников с повышенной квалификацией, вполне отвечающих сложной и ответственной задаче заводского контроля; </w:t>
      </w:r>
    </w:p>
    <w:p w14:paraId="249112E3"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пересмотреть ставки работников КИО в сторону их значительного повышения, приравняв их к высшим категориям работников заводов; </w:t>
      </w:r>
    </w:p>
    <w:p w14:paraId="6C8E612F"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аппарат КИО заводов содержать за счет ГУ АП;</w:t>
      </w:r>
    </w:p>
    <w:p w14:paraId="2D33364C"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означенные мероприятия провести полностью к 1 июня 1932 г.</w:t>
      </w:r>
    </w:p>
    <w:p w14:paraId="20B6BC95"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начальника Глававиапрома т. Баранова не позднее 1 июля 1932г. сдать полностью Управлению Военно-воздушных сил РККА все недоданные групповые комплекты запасных частей и отдельные детали за истекший квартал 1932 г.</w:t>
      </w:r>
    </w:p>
    <w:p w14:paraId="1D6D51BC"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Обязать Глававиапром НКТП немедленно закупить за границей необходимые новейшие образцы высотных истребительных моторов и истребительных самолетов. Ассигновать для этой цели в валюте до 300 тыс. руб.</w:t>
      </w:r>
    </w:p>
    <w:p w14:paraId="05E55638"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по получении новейших образцов провести совместно с ВВС подробные всесторонние испытания этих образцов и в 1932 г. спроектировать и построить одноместный истребитель со скоростью не ниже 400 км/ч[ас], и двухместный со скоростью не ниже 350 км/ч[ас] на боевой высоте 5 тыс. м. На указанные истребители установить импортные моторы, давшие лучший результат при их испытании.</w:t>
      </w:r>
    </w:p>
    <w:p w14:paraId="4A29494E"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Обязать Глававиапром заключить договор с итальянской фирмой «Фиат» на проектирование, техническую помощь и оборудование центральной литейной с пропускной способностью 30 тыс. моторов в год и реконструкцию литейного завода № 26 на 10 тыс. моторов в год. По договору с фирмой «Фиат» предусмотреть заказ оборудований, металлических моделей, кокилей, опытных отливок, обучение наших людей у фирмы в период действия договора, а также приглашение его специалистов для работы на заводах Глававиапрома.</w:t>
      </w:r>
    </w:p>
    <w:p w14:paraId="2CEE208F"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Для скорейшего освоения производства истребительных моторов Глававиапрому заключить договор на техническую помощь с американской фирмой «Райт-Кертисс» по высотным моторам воздушного и водяного охлаждения, взяв за основу по воздушному охлаждению мотор «РайтЦиклон» 600-700 HP новейшей конструкции, а по водяному – новейший образец «Кертисс-Конкверор» с нагнетателем и редуктором.</w:t>
      </w:r>
    </w:p>
    <w:p w14:paraId="4663E504"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Освободить Глававиапром от обязательства строить 5 дизелей «Паккард», так как эта конструкция не оправдала себя на испытании в Союзе и снята с производства в Америке.</w:t>
      </w:r>
    </w:p>
    <w:p w14:paraId="0155A6D8"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Обязать Глававиапром теперь же приступить к производству летных испытаний ТБ-5 в целях выявить аэродинамические, технические и конструктивные качества этого самолета.</w:t>
      </w:r>
    </w:p>
    <w:p w14:paraId="4DEE5E85"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Обязать Глававиапром все опытные конструкции самолетов, выходящих в 1932 г.,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Р-5 в программе 1933 г. строить также с тормозными колесами.</w:t>
      </w:r>
    </w:p>
    <w:p w14:paraId="4CACFB0B"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Обязать Глававиапром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w:t>
      </w:r>
    </w:p>
    <w:p w14:paraId="2327BB6D"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председателя Совета труда и обороны В. Куйбышев</w:t>
      </w:r>
    </w:p>
    <w:p w14:paraId="464E03B0"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 РФ. Ф. Р-8418. Оп. 6. Д. 95. Л. 3-5. Заверенная копия // Становление оборонно-промышленного комплекса СССР (1927-1932). - М. 2008. - С. 668-669 (20969).</w:t>
      </w:r>
    </w:p>
    <w:p w14:paraId="39F04E88" w14:textId="77777777" w:rsidR="004F5D91" w:rsidRPr="00E93F40" w:rsidRDefault="004F5D91" w:rsidP="00E93F40">
      <w:pPr>
        <w:spacing w:after="0" w:line="240" w:lineRule="auto"/>
        <w:jc w:val="both"/>
        <w:rPr>
          <w:rFonts w:ascii="Times New Roman" w:hAnsi="Times New Roman"/>
          <w:color w:val="000000" w:themeColor="text1"/>
          <w:sz w:val="16"/>
          <w:szCs w:val="16"/>
        </w:rPr>
      </w:pPr>
    </w:p>
    <w:p w14:paraId="6849A358"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г. Постановление № 538/177сс СТО СССР «По авиации»</w:t>
      </w:r>
    </w:p>
    <w:p w14:paraId="6C0C5C61"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3140E748"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Констатировать, что программа по самолето- и моторостроению I квартала выполнена с превышением; налицо значительный сдвиг в работе авиапромышленности.</w:t>
      </w:r>
    </w:p>
    <w:p w14:paraId="21F57A51"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Совет труда и обороны постановляет:</w:t>
      </w:r>
    </w:p>
    <w:p w14:paraId="61624200"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обеспечения решительного улучшения качества продукции авиационной промышленности обязать начальника Глававиапрома т. Баранова:</w:t>
      </w:r>
    </w:p>
    <w:p w14:paraId="118AEC45"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изъять контрольно-испытательные отделы на заводах из подчинения директоров заводов, подчинив их непосредственно ГУ АП;</w:t>
      </w:r>
    </w:p>
    <w:p w14:paraId="1996C69F"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пересмотреть личный состав КИО заводов с целью сокращения штатов и одновременного подбора работников с повышенной квалификацией, вполне отвечающих сложной и ответственной задаче заводского контроля;</w:t>
      </w:r>
    </w:p>
    <w:p w14:paraId="484E740A"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пересмотреть ставки работников КИО в сторону их значительного повышения, приравняв их к высшим категориям работников заводов;</w:t>
      </w:r>
    </w:p>
    <w:p w14:paraId="04C678E8"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аппарат КИО заводов содержать за счет ГУ АП;</w:t>
      </w:r>
    </w:p>
    <w:p w14:paraId="4D190484"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означенные мероприятия провести полностью к 1 июня 1932 г.</w:t>
      </w:r>
    </w:p>
    <w:p w14:paraId="53CF2A8C"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начальника Глававиапрома т. Баранова не позднее 1 июля 1932 г. сдать полностью Управлению Военно-воздушных сил РККА все недоданные групповые комплекты запасных частей и отдельные детали за истекший квартал 1932 г.</w:t>
      </w:r>
    </w:p>
    <w:p w14:paraId="4DA01A98"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Обязать Глававиапром НКТП немедленно закупить за границей необходимые новейшие образцы высотных истребительных моторов и истребительных самолетов.</w:t>
      </w:r>
    </w:p>
    <w:p w14:paraId="12291BFA"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Ассигновать для этой цели в валюте до 300 тыс. руб.</w:t>
      </w:r>
    </w:p>
    <w:p w14:paraId="4E2308BB"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Глававиапром по получении новейших образцов провести совместно с ВВС подробные всесторонние испытания этих образцов и в 1932 г. спроектировать и построить одноместный истребитель со скоростью не ниже 400 км/ч и двухместный со скоростью не ниже 350 км/ч на боевой высоте 5 тыс. м. На указанные истребители установить импортные моторы, давшие лучший результат при их испытании.</w:t>
      </w:r>
    </w:p>
    <w:p w14:paraId="3112CFA4"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Обязать Глававиапром заключить договор с итальянской фирмой «Фиат» на проектирование, техническую помощь и оборудование центральной литейной с пропускной способностью 30 тыс. моторов в год и реконструкцию литейного завода № 26 на 10 тыс. моторов в год.</w:t>
      </w:r>
    </w:p>
    <w:p w14:paraId="39B49B06"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договору с фирмой «Фиат» предусмотреть заказ оборудований, металлических моделей, кокилей, опытных отливок, обучение наших людей у фирмы в период действия договора, а также приглашение его специалистов для работы на заводах Глававиапрома.</w:t>
      </w:r>
    </w:p>
    <w:p w14:paraId="60AC03DA"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Для скорейшего освоения производства истребительных моторов Глававиапрому заключить договор на техническую помощь с американской фирмой «Райт-Кертисс» по высотным моторам воздушного и водяного охлаждения, взяв за основу по воздушному охлаждению мотор «Райт-Циклон» 600-700 HP новейшей конструкции, а по водяному — новейший образец «Кертисс-Конкверор» с нагнетателем и редуктором.</w:t>
      </w:r>
    </w:p>
    <w:p w14:paraId="421CB7C2"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Освободить Глававиапром от обязательства строить 5 дизелей «Паккард», так как эта конструкция не оправдала себя на испытании в Союзе и снята с производства в Америке.</w:t>
      </w:r>
    </w:p>
    <w:p w14:paraId="62C26717"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Обязать Глававиапром теперь же приступить к производству летных испытаний ТБ-5 в целях выявить аэродинамические, технические и конструктивные качества этого самолета.</w:t>
      </w:r>
    </w:p>
    <w:p w14:paraId="56F9C07C"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Обязать Глававиапром все опытные конструкции самолетов, выходящих в 1932 г.,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Р-5 в программе 1933 г. строить также с тормозными колесами.</w:t>
      </w:r>
    </w:p>
    <w:p w14:paraId="465A3ACD"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Обязать Глававиапром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w:t>
      </w:r>
    </w:p>
    <w:p w14:paraId="0E8E9794"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председателя Совета труда и обороны В. Куйбышев</w:t>
      </w:r>
    </w:p>
    <w:p w14:paraId="0F59B8B9" w14:textId="77777777" w:rsidR="004F5D91" w:rsidRPr="00E93F40" w:rsidRDefault="004F5D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 РФ. Ф. Р-8418. Оп. 6. Д. 95. Л. 3—5. Заверенная копия (23748).</w:t>
      </w:r>
    </w:p>
    <w:p w14:paraId="00104E47" w14:textId="77777777" w:rsidR="004F5D91" w:rsidRPr="00E93F40" w:rsidRDefault="004F5D91" w:rsidP="00E93F40">
      <w:pPr>
        <w:spacing w:after="0" w:line="240" w:lineRule="auto"/>
        <w:jc w:val="both"/>
        <w:rPr>
          <w:rFonts w:ascii="Times New Roman" w:hAnsi="Times New Roman"/>
          <w:color w:val="000000" w:themeColor="text1"/>
          <w:sz w:val="16"/>
          <w:szCs w:val="16"/>
        </w:rPr>
      </w:pPr>
    </w:p>
    <w:p w14:paraId="0A0010E1"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вышло постановление СТО о реорганизации технического контроля на заводах Авиапромышленности, Глававиапром не только не принял мер к проведению этого постановления в жизнь, но, наоборот, отдал приказ № 321 от 14 июня об организации технической инспекции, извращающий вышеуказан</w:t>
      </w:r>
      <w:r w:rsidRPr="00E93F40">
        <w:rPr>
          <w:rFonts w:ascii="Times New Roman" w:hAnsi="Times New Roman"/>
          <w:color w:val="000000" w:themeColor="text1"/>
          <w:sz w:val="16"/>
          <w:szCs w:val="16"/>
        </w:rPr>
        <w:softHyphen/>
        <w:t>ное постановление СТО (23061).</w:t>
      </w:r>
    </w:p>
    <w:p w14:paraId="3F944495" w14:textId="77777777" w:rsidR="00316F64" w:rsidRPr="00E93F40" w:rsidRDefault="00316F64" w:rsidP="00E93F40">
      <w:pPr>
        <w:spacing w:after="0" w:line="240" w:lineRule="auto"/>
        <w:jc w:val="both"/>
        <w:rPr>
          <w:rFonts w:ascii="Times New Roman" w:hAnsi="Times New Roman"/>
          <w:color w:val="000000" w:themeColor="text1"/>
          <w:sz w:val="16"/>
          <w:szCs w:val="16"/>
        </w:rPr>
      </w:pPr>
    </w:p>
    <w:p w14:paraId="48DA150B" w14:textId="77777777" w:rsidR="00295309" w:rsidRPr="00E93F40" w:rsidRDefault="002953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г. Протокол ПБ № 100 п.46/12: Предложение Итальянской комиссии - ОП. Решено заказать в Италии: 15 авиационных раций конструкции капитана Мариино стоимостью 67500 рублей, 500 штук остеофонов полевых стоимостью 35000 рублей и другие аппараты общей стоимостью 340000 рублей (15940).</w:t>
      </w:r>
    </w:p>
    <w:p w14:paraId="71662507" w14:textId="77777777" w:rsidR="00295309" w:rsidRPr="00E93F40" w:rsidRDefault="00295309" w:rsidP="00E93F40">
      <w:pPr>
        <w:spacing w:after="0" w:line="240" w:lineRule="auto"/>
        <w:jc w:val="both"/>
        <w:rPr>
          <w:rFonts w:ascii="Times New Roman" w:hAnsi="Times New Roman"/>
          <w:color w:val="000000" w:themeColor="text1"/>
          <w:sz w:val="16"/>
          <w:szCs w:val="16"/>
        </w:rPr>
      </w:pPr>
    </w:p>
    <w:p w14:paraId="32007BBC"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состоялось заседание ПБ (Протокол № 100)</w:t>
      </w:r>
    </w:p>
    <w:p w14:paraId="5797A7A6"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18. Об импорте качественной стали</w:t>
      </w:r>
    </w:p>
    <w:p w14:paraId="700768AA"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Разрешить импорт качественной стали на 10 млн. руб. из контингентов Наркомтяжпрома за счет черных металлов.</w:t>
      </w:r>
    </w:p>
    <w:p w14:paraId="67472808"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Разрешить НКТяжпрому заказы по стали разместить теперь же для 3 и 4-го квартала.</w:t>
      </w:r>
    </w:p>
    <w:p w14:paraId="2FD7B8DD"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Предложить НКТяжпрому обсудить вопрос о создании металлической базы для Нижегородского "Автозавода" и Московского АМО.</w:t>
      </w:r>
    </w:p>
    <w:p w14:paraId="01DBB6BA"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Розенгольцу.</w:t>
      </w:r>
    </w:p>
    <w:p w14:paraId="64FDB923"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мая 1932 опросом членов ПБ</w:t>
      </w:r>
    </w:p>
    <w:p w14:paraId="74B45D10"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10/12.- Предложедпе Итальянской комиссии.</w:t>
      </w:r>
    </w:p>
    <w:p w14:paraId="46632E7E"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Заказать в Италии:</w:t>
      </w:r>
    </w:p>
    <w:p w14:paraId="65FB5F07"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Объект заказа</w:t>
      </w:r>
      <w:r w:rsidRPr="00E93F40">
        <w:rPr>
          <w:rFonts w:ascii="Times New Roman" w:hAnsi="Times New Roman"/>
          <w:color w:val="000000" w:themeColor="text1"/>
          <w:sz w:val="16"/>
          <w:szCs w:val="16"/>
        </w:rPr>
        <w:tab/>
        <w:t>Количество штук</w:t>
      </w:r>
      <w:r w:rsidRPr="00E93F40">
        <w:rPr>
          <w:rFonts w:ascii="Times New Roman" w:hAnsi="Times New Roman"/>
          <w:color w:val="000000" w:themeColor="text1"/>
          <w:sz w:val="16"/>
          <w:szCs w:val="16"/>
        </w:rPr>
        <w:tab/>
        <w:t>Цена за штуку в рублях</w:t>
      </w:r>
      <w:r w:rsidRPr="00E93F40">
        <w:rPr>
          <w:rFonts w:ascii="Times New Roman" w:hAnsi="Times New Roman"/>
          <w:color w:val="000000" w:themeColor="text1"/>
          <w:sz w:val="16"/>
          <w:szCs w:val="16"/>
        </w:rPr>
        <w:tab/>
        <w:t>Сумма в рублях</w:t>
      </w:r>
    </w:p>
    <w:p w14:paraId="777985C7"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Авиационная рация конст</w:t>
      </w:r>
      <w:r w:rsidRPr="00E93F40">
        <w:rPr>
          <w:rFonts w:ascii="Times New Roman" w:hAnsi="Times New Roman"/>
          <w:color w:val="000000" w:themeColor="text1"/>
          <w:sz w:val="16"/>
          <w:szCs w:val="16"/>
        </w:rPr>
        <w:softHyphen/>
      </w:r>
    </w:p>
    <w:p w14:paraId="0C0E1543"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рукции капитана Марино </w:t>
      </w:r>
      <w:r w:rsidRPr="00E93F40">
        <w:rPr>
          <w:rFonts w:ascii="Times New Roman" w:hAnsi="Times New Roman"/>
          <w:color w:val="000000" w:themeColor="text1"/>
          <w:sz w:val="16"/>
          <w:szCs w:val="16"/>
        </w:rPr>
        <w:tab/>
        <w:t>15</w:t>
      </w:r>
      <w:r w:rsidRPr="00E93F40">
        <w:rPr>
          <w:rFonts w:ascii="Times New Roman" w:hAnsi="Times New Roman"/>
          <w:color w:val="000000" w:themeColor="text1"/>
          <w:sz w:val="16"/>
          <w:szCs w:val="16"/>
        </w:rPr>
        <w:tab/>
        <w:t>4.500 (ориент.)</w:t>
      </w:r>
      <w:r w:rsidRPr="00E93F40">
        <w:rPr>
          <w:rFonts w:ascii="Times New Roman" w:hAnsi="Times New Roman"/>
          <w:color w:val="000000" w:themeColor="text1"/>
          <w:sz w:val="16"/>
          <w:szCs w:val="16"/>
        </w:rPr>
        <w:tab/>
        <w:t>67.500</w:t>
      </w:r>
    </w:p>
    <w:p w14:paraId="13526975"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Остеофоны полевые</w:t>
      </w:r>
      <w:r w:rsidRPr="00E93F40">
        <w:rPr>
          <w:rFonts w:ascii="Times New Roman" w:hAnsi="Times New Roman"/>
          <w:color w:val="000000" w:themeColor="text1"/>
          <w:sz w:val="16"/>
          <w:szCs w:val="16"/>
        </w:rPr>
        <w:tab/>
        <w:t>500</w:t>
      </w:r>
      <w:r w:rsidRPr="00E93F40">
        <w:rPr>
          <w:rFonts w:ascii="Times New Roman" w:hAnsi="Times New Roman"/>
          <w:color w:val="000000" w:themeColor="text1"/>
          <w:sz w:val="16"/>
          <w:szCs w:val="16"/>
        </w:rPr>
        <w:tab/>
        <w:t>70</w:t>
      </w:r>
      <w:r w:rsidRPr="00E93F40">
        <w:rPr>
          <w:rFonts w:ascii="Times New Roman" w:hAnsi="Times New Roman"/>
          <w:color w:val="000000" w:themeColor="text1"/>
          <w:sz w:val="16"/>
          <w:szCs w:val="16"/>
        </w:rPr>
        <w:tab/>
        <w:t>35.000</w:t>
      </w:r>
    </w:p>
    <w:p w14:paraId="5BA4773B"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Остеофоны авиационные</w:t>
      </w:r>
      <w:r w:rsidRPr="00E93F40">
        <w:rPr>
          <w:rFonts w:ascii="Times New Roman" w:hAnsi="Times New Roman"/>
          <w:color w:val="000000" w:themeColor="text1"/>
          <w:sz w:val="16"/>
          <w:szCs w:val="16"/>
        </w:rPr>
        <w:tab/>
        <w:t>500</w:t>
      </w:r>
      <w:r w:rsidRPr="00E93F40">
        <w:rPr>
          <w:rFonts w:ascii="Times New Roman" w:hAnsi="Times New Roman"/>
          <w:color w:val="000000" w:themeColor="text1"/>
          <w:sz w:val="16"/>
          <w:szCs w:val="16"/>
        </w:rPr>
        <w:tab/>
        <w:t>150</w:t>
      </w:r>
      <w:r w:rsidRPr="00E93F40">
        <w:rPr>
          <w:rFonts w:ascii="Times New Roman" w:hAnsi="Times New Roman"/>
          <w:color w:val="000000" w:themeColor="text1"/>
          <w:sz w:val="16"/>
          <w:szCs w:val="16"/>
        </w:rPr>
        <w:tab/>
        <w:t>75.000</w:t>
      </w:r>
    </w:p>
    <w:p w14:paraId="4F7F0872"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Станции оптического телеграфа</w:t>
      </w:r>
      <w:r w:rsidRPr="00E93F40">
        <w:rPr>
          <w:rFonts w:ascii="Times New Roman" w:hAnsi="Times New Roman"/>
          <w:color w:val="000000" w:themeColor="text1"/>
          <w:sz w:val="16"/>
          <w:szCs w:val="16"/>
        </w:rPr>
        <w:tab/>
        <w:t>200</w:t>
      </w:r>
      <w:r w:rsidRPr="00E93F40">
        <w:rPr>
          <w:rFonts w:ascii="Times New Roman" w:hAnsi="Times New Roman"/>
          <w:color w:val="000000" w:themeColor="text1"/>
          <w:sz w:val="16"/>
          <w:szCs w:val="16"/>
        </w:rPr>
        <w:tab/>
        <w:t>412,5</w:t>
      </w:r>
      <w:r w:rsidRPr="00E93F40">
        <w:rPr>
          <w:rFonts w:ascii="Times New Roman" w:hAnsi="Times New Roman"/>
          <w:color w:val="000000" w:themeColor="text1"/>
          <w:sz w:val="16"/>
          <w:szCs w:val="16"/>
        </w:rPr>
        <w:tab/>
        <w:t>82.500</w:t>
      </w:r>
    </w:p>
    <w:p w14:paraId="5773DA79"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Станции инфракрасных лучей телеграф-телефон на 20 км.</w:t>
      </w:r>
      <w:r w:rsidRPr="00E93F40">
        <w:rPr>
          <w:rFonts w:ascii="Times New Roman" w:hAnsi="Times New Roman"/>
          <w:color w:val="000000" w:themeColor="text1"/>
          <w:sz w:val="16"/>
          <w:szCs w:val="16"/>
        </w:rPr>
        <w:tab/>
        <w:t>20</w:t>
      </w:r>
      <w:r w:rsidRPr="00E93F40">
        <w:rPr>
          <w:rFonts w:ascii="Times New Roman" w:hAnsi="Times New Roman"/>
          <w:color w:val="000000" w:themeColor="text1"/>
          <w:sz w:val="16"/>
          <w:szCs w:val="16"/>
        </w:rPr>
        <w:tab/>
        <w:t>4.000</w:t>
      </w:r>
      <w:r w:rsidRPr="00E93F40">
        <w:rPr>
          <w:rFonts w:ascii="Times New Roman" w:hAnsi="Times New Roman"/>
          <w:color w:val="000000" w:themeColor="text1"/>
          <w:sz w:val="16"/>
          <w:szCs w:val="16"/>
        </w:rPr>
        <w:tab/>
        <w:t>80.000</w:t>
      </w:r>
    </w:p>
    <w:p w14:paraId="129144BA"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Ворошилову</w:t>
      </w:r>
    </w:p>
    <w:p w14:paraId="6A065535"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опросом членов ПБ</w:t>
      </w:r>
    </w:p>
    <w:p w14:paraId="0FFFB098"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64/20.-Телеграмма т.т. Мартиновича и Ефимова.</w:t>
      </w:r>
    </w:p>
    <w:p w14:paraId="5F265EA1"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Согласиться с предложением т.т. Мартиновича и Ефимова о заключении договора с фирмой "Фиат".</w:t>
      </w:r>
    </w:p>
    <w:p w14:paraId="5E093528"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Розенгольцу.</w:t>
      </w:r>
    </w:p>
    <w:p w14:paraId="2249243D"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55/21.- О закупке оборудования в Америке для завода синтетического аммиака.</w:t>
      </w:r>
    </w:p>
    <w:p w14:paraId="6AFFF06E"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т. Пятакову договорится с т. Розенгольцем за счет контингентов НКТПрома</w:t>
      </w:r>
    </w:p>
    <w:p w14:paraId="77B7959B"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Пятакову, Розенгольцу.</w:t>
      </w:r>
    </w:p>
    <w:p w14:paraId="58F36001"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58/24.- Об электротехническом "блоке".</w:t>
      </w:r>
    </w:p>
    <w:p w14:paraId="0BB6FA95"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Передать на предварительное рассмотренио в кoмиссию в составе т.т. Рудзутака (председатель), 0рджоникидзе, Розенгольца, Жукова.</w:t>
      </w:r>
    </w:p>
    <w:p w14:paraId="05B7CF0B"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Рудзутаку, Орджоникидзе, Розенгольцу, Жукову.</w:t>
      </w:r>
    </w:p>
    <w:p w14:paraId="778E9336"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83/49.- О заказах в Италии.</w:t>
      </w:r>
    </w:p>
    <w:p w14:paraId="33B283FE"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Купить все образцы по телемеханике и фирмы «Сименс Олап» см ассигнованием на это дело 500 тыс. долларов (1 миллион рублей).</w:t>
      </w:r>
    </w:p>
    <w:p w14:paraId="627E6709"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Розенгольцу, Рудзутаку (23045).</w:t>
      </w:r>
    </w:p>
    <w:p w14:paraId="2643B437" w14:textId="77777777" w:rsidR="00316F64" w:rsidRPr="00E93F40" w:rsidRDefault="00316F64" w:rsidP="00E93F40">
      <w:pPr>
        <w:spacing w:after="0" w:line="240" w:lineRule="auto"/>
        <w:jc w:val="both"/>
        <w:rPr>
          <w:rFonts w:ascii="Times New Roman" w:hAnsi="Times New Roman"/>
          <w:color w:val="000000" w:themeColor="text1"/>
          <w:sz w:val="16"/>
          <w:szCs w:val="16"/>
        </w:rPr>
      </w:pPr>
    </w:p>
    <w:p w14:paraId="0E6563B2"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г.</w:t>
      </w:r>
    </w:p>
    <w:p w14:paraId="62AE629A"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Политбюро ЦК ВКП(б)</w:t>
      </w:r>
    </w:p>
    <w:p w14:paraId="57099DF6"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“Телеграммы тт. Мартиновича и Ефимова”</w:t>
      </w:r>
    </w:p>
    <w:p w14:paraId="26FDD56A"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г.</w:t>
      </w:r>
    </w:p>
    <w:p w14:paraId="72F0FE53"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Строго секретно</w:t>
      </w:r>
    </w:p>
    <w:p w14:paraId="2259A68C"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О.П.)</w:t>
      </w:r>
    </w:p>
    <w:p w14:paraId="64570E04"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100/54/20-сопр.</w:t>
      </w:r>
    </w:p>
    <w:p w14:paraId="7AC1A264"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Согласиться с предложением тт. Мартиновича и Ефимова о заключении договора с фирмой “Фиат”.</w:t>
      </w:r>
    </w:p>
    <w:p w14:paraId="717FC897"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Секретарь ЦК</w:t>
      </w:r>
    </w:p>
    <w:p w14:paraId="4E3F4935"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 3. On. 65. Д. 243. Л. 162. Выписка из протокола (20932).</w:t>
      </w:r>
    </w:p>
    <w:p w14:paraId="6CE855EF" w14:textId="77777777" w:rsidR="00316F64" w:rsidRPr="00E93F40" w:rsidRDefault="00316F64" w:rsidP="00E93F40">
      <w:pPr>
        <w:spacing w:after="0" w:line="240" w:lineRule="auto"/>
        <w:jc w:val="both"/>
        <w:rPr>
          <w:rFonts w:ascii="Times New Roman" w:hAnsi="Times New Roman"/>
          <w:color w:val="000000" w:themeColor="text1"/>
          <w:sz w:val="16"/>
          <w:szCs w:val="16"/>
        </w:rPr>
      </w:pPr>
    </w:p>
    <w:p w14:paraId="7C7F3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М.Н.Тухачевский представил в СТО доклад о необходимости организации РНИИ путем слияния ГДЛ и ГИРД (1233,27).</w:t>
      </w:r>
    </w:p>
    <w:p w14:paraId="380511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записке В.В.М. он писал "Имеющиеся у нас и за границей достижения в деле разработки и конструкции РД и особенно жидкостных реактивных моторов указывает на широкие возможности использования их, как нового мощного боевого средства, в различных областях военной техники, в первую очередь, в артиллерийском, авиационном и химическом деле... В области авиации принятие ЖРД повлечет за собой резкое увеличение скорости полета и поднятие потолка самолетов до стратосферы и, в конечном счете, разрешит проблему полетов в стратосферу" (1566,101).</w:t>
      </w:r>
    </w:p>
    <w:p w14:paraId="356E2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43F672"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г. М.Н. Тухачевский представил Председателю Совета Труда и Обороны В.М. Молотову доклад об организации РНИИ с перечислением его задач и сметой на 5 млн. рублей.</w:t>
      </w:r>
    </w:p>
    <w:p w14:paraId="79527A5B" w14:textId="77777777"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докладе М.Н. Тухачевского председателю Комиссии обороны при СНК В.М. Молотову говорится о необходимости немедленной организации реактивного института, «учитывая огромные перспективы в деле применения реактивных двигателей и особенно жидкостных реактивных моторов в различных областях».</w:t>
      </w:r>
    </w:p>
    <w:p w14:paraId="6C2CFA81" w14:textId="41FA7980" w:rsidR="00316F64" w:rsidRPr="00E93F40" w:rsidRDefault="00316F6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в 1931 г. М.Н. Тухачевскому поступило заявление от ГДЛ, а в 1932 г. еще 2 заявления - от МосГИРД, ЛенГИРД с предложением создать научно-исследовательский институт по реактивной технике. ЛенГИРД значительно уступала Московской Группе в области конструирования двигателей и ракет. На счету МосГИРД уже были два первых в Советском Союзе успешных запуска ракет ГИРД-09 и ГИРД-10. ГДЛ к тому времени создала прекрасную школу двигателистов и работала над двигателями практически со всеми известными видами топлива. Ставку стоило делать только на эти две организации.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(22685).</w:t>
      </w:r>
    </w:p>
    <w:p w14:paraId="14931409" w14:textId="77777777" w:rsidR="00316F64" w:rsidRPr="00E93F40" w:rsidRDefault="00316F64" w:rsidP="00E93F40">
      <w:pPr>
        <w:spacing w:after="0" w:line="240" w:lineRule="auto"/>
        <w:jc w:val="both"/>
        <w:rPr>
          <w:rFonts w:ascii="Times New Roman" w:hAnsi="Times New Roman"/>
          <w:color w:val="000000" w:themeColor="text1"/>
          <w:sz w:val="16"/>
          <w:szCs w:val="16"/>
        </w:rPr>
      </w:pPr>
    </w:p>
    <w:p w14:paraId="13A1A25A" w14:textId="77777777" w:rsidR="004F2BDE" w:rsidRPr="00E93F40" w:rsidRDefault="004F2B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не согласившись с Ворошиловым, отказавшимся создавать РНИИ, Тухачевский нарушил Устав РККА и через голову своего непосредственного на</w:t>
      </w:r>
      <w:r w:rsidRPr="00E93F40">
        <w:rPr>
          <w:rFonts w:ascii="Times New Roman" w:hAnsi="Times New Roman"/>
          <w:color w:val="000000" w:themeColor="text1"/>
          <w:sz w:val="16"/>
          <w:szCs w:val="16"/>
        </w:rPr>
        <w:softHyphen/>
        <w:t>чальника представил «Доклад об организации Реактивного ин</w:t>
      </w:r>
      <w:r w:rsidRPr="00E93F40">
        <w:rPr>
          <w:rFonts w:ascii="Times New Roman" w:hAnsi="Times New Roman"/>
          <w:color w:val="000000" w:themeColor="text1"/>
          <w:sz w:val="16"/>
          <w:szCs w:val="16"/>
        </w:rPr>
        <w:softHyphen/>
        <w:t>ститута» председателю Комиссии Обороны СССР В.М.Молотову. В докладе он писал, что «имеющиеся у нас и за границей дости</w:t>
      </w:r>
      <w:r w:rsidRPr="00E93F40">
        <w:rPr>
          <w:rFonts w:ascii="Times New Roman" w:hAnsi="Times New Roman"/>
          <w:color w:val="000000" w:themeColor="text1"/>
          <w:sz w:val="16"/>
          <w:szCs w:val="16"/>
        </w:rPr>
        <w:softHyphen/>
        <w:t>жения в деле разработки и конструирования реактивных двига</w:t>
      </w:r>
      <w:r w:rsidRPr="00E93F40">
        <w:rPr>
          <w:rFonts w:ascii="Times New Roman" w:hAnsi="Times New Roman"/>
          <w:color w:val="000000" w:themeColor="text1"/>
          <w:sz w:val="16"/>
          <w:szCs w:val="16"/>
        </w:rPr>
        <w:softHyphen/>
        <w:t>телей и особенно жидкостных реактивных моторов указывают на широкие возможности использования их как нового мощного боевого средства в различных областях военной техники, в пер</w:t>
      </w:r>
      <w:r w:rsidRPr="00E93F40">
        <w:rPr>
          <w:rFonts w:ascii="Times New Roman" w:hAnsi="Times New Roman"/>
          <w:color w:val="000000" w:themeColor="text1"/>
          <w:sz w:val="16"/>
          <w:szCs w:val="16"/>
        </w:rPr>
        <w:softHyphen/>
        <w:t>вую очередь в артиллерийском и авиационном деле».</w:t>
      </w:r>
    </w:p>
    <w:p w14:paraId="3ADE1842" w14:textId="77777777" w:rsidR="004F2BDE" w:rsidRPr="00E93F40" w:rsidRDefault="004F2B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Письмо Тухачевского практически одновременно было об</w:t>
      </w:r>
      <w:r w:rsidRPr="00E93F40">
        <w:rPr>
          <w:rFonts w:ascii="Times New Roman" w:hAnsi="Times New Roman"/>
          <w:color w:val="000000" w:themeColor="text1"/>
          <w:sz w:val="16"/>
          <w:szCs w:val="16"/>
        </w:rPr>
        <w:softHyphen/>
        <w:t>суждено на совещании в ЦК ВКП(б) и на заседании Реввоенсове</w:t>
      </w:r>
      <w:r w:rsidRPr="00E93F40">
        <w:rPr>
          <w:rFonts w:ascii="Times New Roman" w:hAnsi="Times New Roman"/>
          <w:color w:val="000000" w:themeColor="text1"/>
          <w:sz w:val="16"/>
          <w:szCs w:val="16"/>
        </w:rPr>
        <w:softHyphen/>
        <w:t>та. В ЦК предложение одобрили, в Реввоенсовете - отклонили. Возражать Центральному Комитету партии опытный и осто</w:t>
      </w:r>
      <w:r w:rsidRPr="00E93F40">
        <w:rPr>
          <w:rFonts w:ascii="Times New Roman" w:hAnsi="Times New Roman"/>
          <w:color w:val="000000" w:themeColor="text1"/>
          <w:sz w:val="16"/>
          <w:szCs w:val="16"/>
        </w:rPr>
        <w:softHyphen/>
        <w:t>рожный Ворошилов не стал. Бумагу с решением Реввоенсовета спрятал в сейф, а на строптивого Тухачевского затаил обиду.</w:t>
      </w:r>
    </w:p>
    <w:p w14:paraId="75557357" w14:textId="77777777" w:rsidR="004F2BDE" w:rsidRPr="00E93F40" w:rsidRDefault="004F2B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октября заместитель М.Н.Тухачевского начальник ГАУ Н.А.Ефимов подготовил и направил в секретариат ЦК ВКП(б) письмо «Об организации Реактивного института РККА», где была изложена конкретная программа действий. 20 ноября Ту</w:t>
      </w:r>
      <w:r w:rsidRPr="00E93F40">
        <w:rPr>
          <w:rFonts w:ascii="Times New Roman" w:hAnsi="Times New Roman"/>
          <w:color w:val="000000" w:themeColor="text1"/>
          <w:sz w:val="16"/>
          <w:szCs w:val="16"/>
        </w:rPr>
        <w:softHyphen/>
        <w:t>хачевский был утвержден председателем комиссии по органи</w:t>
      </w:r>
      <w:r w:rsidRPr="00E93F40">
        <w:rPr>
          <w:rFonts w:ascii="Times New Roman" w:hAnsi="Times New Roman"/>
          <w:color w:val="000000" w:themeColor="text1"/>
          <w:sz w:val="16"/>
          <w:szCs w:val="16"/>
        </w:rPr>
        <w:softHyphen/>
        <w:t>зации РНИИ (23510).</w:t>
      </w:r>
    </w:p>
    <w:p w14:paraId="6A36C8DD" w14:textId="77777777" w:rsidR="004F2BDE" w:rsidRPr="00E93F40" w:rsidRDefault="004F2BDE" w:rsidP="00E93F40">
      <w:pPr>
        <w:spacing w:after="0" w:line="240" w:lineRule="auto"/>
        <w:jc w:val="both"/>
        <w:rPr>
          <w:rFonts w:ascii="Times New Roman" w:hAnsi="Times New Roman"/>
          <w:color w:val="000000" w:themeColor="text1"/>
          <w:sz w:val="16"/>
          <w:szCs w:val="16"/>
        </w:rPr>
      </w:pPr>
    </w:p>
    <w:p w14:paraId="52C4B4A7" w14:textId="77777777" w:rsidR="004F2BDE" w:rsidRPr="00E93F40" w:rsidRDefault="004F2B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г. в докладе председателю комиссии по обороне при Совнаркоме Молотову Тухачевский заявил о необходимости организа</w:t>
      </w:r>
      <w:r w:rsidRPr="00E93F40">
        <w:rPr>
          <w:rFonts w:ascii="Times New Roman" w:hAnsi="Times New Roman"/>
          <w:color w:val="000000" w:themeColor="text1"/>
          <w:sz w:val="16"/>
          <w:szCs w:val="16"/>
        </w:rPr>
        <w:softHyphen/>
        <w:t>ции Реактивного института. Обоснование он сформулировал так:</w:t>
      </w:r>
    </w:p>
    <w:p w14:paraId="5F5359DC" w14:textId="77777777" w:rsidR="004F2BDE" w:rsidRPr="00E93F40" w:rsidRDefault="004F2B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учитывая имеющиеся достижения и огромные перспек</w:t>
      </w:r>
      <w:r w:rsidRPr="00E93F40">
        <w:rPr>
          <w:rFonts w:ascii="Times New Roman" w:hAnsi="Times New Roman"/>
          <w:color w:val="000000" w:themeColor="text1"/>
          <w:sz w:val="16"/>
          <w:szCs w:val="16"/>
        </w:rPr>
        <w:softHyphen/>
        <w:t>тивы в деле применения реактивных двигателей и особенно жидкостных реактивных моторов в различных областях.</w:t>
      </w:r>
    </w:p>
    <w:p w14:paraId="1BAB3C0B" w14:textId="77777777" w:rsidR="004F2BDE" w:rsidRPr="00E93F40" w:rsidRDefault="004F2B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жернова бюрократического аппарата вращались мед</w:t>
      </w:r>
      <w:r w:rsidRPr="00E93F40">
        <w:rPr>
          <w:rFonts w:ascii="Times New Roman" w:hAnsi="Times New Roman"/>
          <w:color w:val="000000" w:themeColor="text1"/>
          <w:sz w:val="16"/>
          <w:szCs w:val="16"/>
        </w:rPr>
        <w:softHyphen/>
        <w:t>ленно. К тому же отношения между Тухачевским и его непосред</w:t>
      </w:r>
      <w:r w:rsidRPr="00E93F40">
        <w:rPr>
          <w:rFonts w:ascii="Times New Roman" w:hAnsi="Times New Roman"/>
          <w:color w:val="000000" w:themeColor="text1"/>
          <w:sz w:val="16"/>
          <w:szCs w:val="16"/>
        </w:rPr>
        <w:softHyphen/>
        <w:t>ственным начальником Климом Ворошиловым оставляли желать много лучшего. «Первый красный маршал» слабо разбирался в военном деле, а в новой военной технике ничего не понимал.</w:t>
      </w:r>
    </w:p>
    <w:p w14:paraId="132B33C9" w14:textId="77777777" w:rsidR="004F2BDE" w:rsidRPr="00E93F40" w:rsidRDefault="004F2B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Наконец, «верхи» каким-то образом решили вопрос, подроб</w:t>
      </w:r>
      <w:r w:rsidRPr="00E93F40">
        <w:rPr>
          <w:rFonts w:ascii="Times New Roman" w:hAnsi="Times New Roman"/>
          <w:color w:val="000000" w:themeColor="text1"/>
          <w:sz w:val="16"/>
          <w:szCs w:val="16"/>
        </w:rPr>
        <w:softHyphen/>
        <w:t>ности нам неизвестны, об этом нигде нет ни слова (23550).</w:t>
      </w:r>
    </w:p>
    <w:p w14:paraId="7B6E6BED" w14:textId="77777777" w:rsidR="004F2BDE" w:rsidRPr="00E93F40" w:rsidRDefault="004F2BDE" w:rsidP="00E93F40">
      <w:pPr>
        <w:spacing w:after="0" w:line="240" w:lineRule="auto"/>
        <w:jc w:val="both"/>
        <w:rPr>
          <w:rFonts w:ascii="Times New Roman" w:hAnsi="Times New Roman"/>
          <w:color w:val="000000" w:themeColor="text1"/>
          <w:sz w:val="16"/>
          <w:szCs w:val="16"/>
        </w:rPr>
      </w:pPr>
    </w:p>
    <w:p w14:paraId="5DAE1ADE" w14:textId="77777777" w:rsidR="00295309" w:rsidRPr="00E93F40" w:rsidRDefault="002953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16 мая</w:t>
      </w:r>
      <w:r w:rsidRPr="00E93F40">
        <w:rPr>
          <w:rFonts w:ascii="Times New Roman" w:hAnsi="Times New Roman"/>
          <w:color w:val="000000" w:themeColor="text1"/>
          <w:sz w:val="16"/>
          <w:szCs w:val="16"/>
        </w:rPr>
        <w:t xml:space="preserve"> в 1932 году сформирован авиаотряд им. газеты "Правда" для доставки матриц газеты в Ленинград, Харьков, Севастополь и Пятигорск (14893).</w:t>
      </w:r>
    </w:p>
    <w:p w14:paraId="7B49A337" w14:textId="77777777" w:rsidR="00295309" w:rsidRPr="00E93F40" w:rsidRDefault="00295309" w:rsidP="00E93F40">
      <w:pPr>
        <w:spacing w:after="0" w:line="240" w:lineRule="auto"/>
        <w:jc w:val="both"/>
        <w:rPr>
          <w:rFonts w:ascii="Times New Roman" w:hAnsi="Times New Roman"/>
          <w:color w:val="000000" w:themeColor="text1"/>
          <w:sz w:val="16"/>
          <w:szCs w:val="16"/>
        </w:rPr>
      </w:pPr>
    </w:p>
    <w:p w14:paraId="53077CC0" w14:textId="77777777" w:rsidR="00660A75"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149B0AF" w14:textId="77777777" w:rsidR="00660A75" w:rsidRPr="00E93F40" w:rsidRDefault="00660A7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60D050" w14:textId="77777777" w:rsidR="00C07864" w:rsidRPr="00142305" w:rsidRDefault="00C07864" w:rsidP="00C078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мая 1932 г. самоходная установка Т-27М (Т-27С, или Т-27/С/) испытывалась на проселке (разбитая дорога с комьями засохшей грязи и рытвинами) пробегом по маршруту Кубинка — Часовня — Агафоново — Часовня — Кубинка. Наблюдались трудности в управлении и отказы тормозов. В ходе испытания на первой скорости был взят подъем 25° длиной 20 м. При спуске танкетка не смогла затормозить и продолжала движение (25561).</w:t>
      </w:r>
    </w:p>
    <w:p w14:paraId="672460D5" w14:textId="77777777" w:rsidR="00C07864" w:rsidRPr="00142305" w:rsidRDefault="00C07864" w:rsidP="00C07864">
      <w:pPr>
        <w:spacing w:after="0" w:line="240" w:lineRule="auto"/>
        <w:jc w:val="both"/>
        <w:rPr>
          <w:rFonts w:ascii="Times New Roman" w:hAnsi="Times New Roman"/>
          <w:color w:val="0070C0"/>
          <w:sz w:val="16"/>
          <w:szCs w:val="16"/>
        </w:rPr>
      </w:pPr>
    </w:p>
    <w:p w14:paraId="0A01515E" w14:textId="77777777" w:rsidR="004F5D91" w:rsidRPr="00E93F40" w:rsidRDefault="004F5D91"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533/175сс о переброске гусеничных тракторов и прицепок (ГА РФ. Ф. Р?8418. Оп. 28. Д. 1а. Л. 263) (12415).</w:t>
      </w:r>
    </w:p>
    <w:p w14:paraId="6F9B4B4D" w14:textId="77777777" w:rsidR="004F5D91" w:rsidRPr="00E93F40" w:rsidRDefault="004F5D91"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lastRenderedPageBreak/>
        <w:t>Постановление СТО СССР и Комиссии обороны № 534/176сс об отсрочке представления технических проектов по объектам строительства заводов военной, авиационной и гражданской узкооборонного значения промышленности (ГА РФ. Ф. Р?8418. Оп. 28. Д. 1а. Л. 264?267) (12415).</w:t>
      </w:r>
    </w:p>
    <w:p w14:paraId="33A4C61B" w14:textId="77777777" w:rsidR="004F5D91" w:rsidRPr="00E93F40" w:rsidRDefault="004F5D91"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538/177сс по авиации (ГА РФ. Ф. Р?8418. Оп. 28. Д. 1а. Л. 269?271) (12415).</w:t>
      </w:r>
    </w:p>
    <w:p w14:paraId="5350BA79" w14:textId="77777777" w:rsidR="004F5D91" w:rsidRPr="00E93F40" w:rsidRDefault="004F5D91" w:rsidP="00E93F40">
      <w:pPr>
        <w:spacing w:after="0" w:line="240" w:lineRule="auto"/>
        <w:jc w:val="both"/>
        <w:rPr>
          <w:rFonts w:ascii="Times New Roman" w:hAnsi="Times New Roman"/>
          <w:color w:val="000000" w:themeColor="text1"/>
          <w:sz w:val="16"/>
          <w:szCs w:val="16"/>
          <w:u w:color="002060"/>
        </w:rPr>
      </w:pPr>
    </w:p>
    <w:p w14:paraId="2BE29049" w14:textId="77777777" w:rsidR="00C07864" w:rsidRPr="00142305" w:rsidRDefault="00C07864" w:rsidP="00C078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мая 1932-го г. под руководством заведующего КБ Ярославского завода А. С. Литвинова был построен свой 12-тонный автомобиль-вездеход. Первоначально ему присвоили индекс «Я-Гай», но потом его изменили на ЯГ-12. Из чувств национальной гордости и стратегической важности новой машины ей присвоили популярный в то время девиз «Наш ответ Чемберлену», обращенный британскому министру иностранных дел, ненавидевшему Советский Союз.</w:t>
      </w:r>
    </w:p>
    <w:p w14:paraId="2DC60ED2" w14:textId="77777777" w:rsidR="00C07864" w:rsidRPr="00142305" w:rsidRDefault="00C07864" w:rsidP="00C078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Основой четырехоски являлся трехосный ЯГ-10 со штатными задними мостами и коробкой передач, к которому пришлось заново изобретать переднюю управляемую тележку с ведущими односкатными колесами. Конечно, столь необычная и сложная 20-тонная машина не смогла обойтись без иностранных агрегатов: ЯГ-12 оснастили двигателем Continental в 120 сил и сложнейшей трансмиссией, выполненной по схеме de Dion с приводами колес девятью короткими карданными валами с 18 импортными шарнирами равных угловых скоростей и 42 подшипниками. Готовый автомобиль своим ходом прибыл в Москву и 7 ноября прошел по Красной площади, а затем успешно одолел зимние испытания. (25597).</w:t>
      </w:r>
    </w:p>
    <w:p w14:paraId="22336103" w14:textId="77777777" w:rsidR="00C07864" w:rsidRPr="00142305" w:rsidRDefault="00C07864" w:rsidP="00C07864">
      <w:pPr>
        <w:spacing w:after="0" w:line="240" w:lineRule="auto"/>
        <w:jc w:val="both"/>
        <w:rPr>
          <w:rFonts w:ascii="Times New Roman" w:hAnsi="Times New Roman"/>
          <w:color w:val="0070C0"/>
          <w:sz w:val="16"/>
          <w:szCs w:val="16"/>
        </w:rPr>
      </w:pPr>
    </w:p>
    <w:p w14:paraId="5B0E846E" w14:textId="77777777" w:rsidR="004F5D91" w:rsidRPr="00E93F40" w:rsidRDefault="004F5D91"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100. 29. О производстве алюминия и строительстве алюминиевых заводов (проект постановления) (ПБ от 23 апреля 1932 г., пр. № 97, п. 12) (Харитоненко, Жуков, Гринько и др.). Опросом членов ПБ от 12 мая 1932 г. 46/12. Предложение Итальянской комиссии. Постановили: заказать в Италии: 1) авиационная рация конструкции капитана Марино — 15 шт. (4500 руб. за 1 шт. (ориентировочно), на сумму 67,5 тыс. руб.); 2) остеофоны полевые — 500 шт. (70 руб. за 1 шт., на сумму 35 тыс. руб.); 3) остеофоны авиационные — 500 шт. (150 руб. за 1 шт., на сумму 75 тыс. руб.); 4) станции оптического телеграфа — 200 шт. (412,5 руб. за 1 шт., на сумму 82,5 тыс. руб.); 5) станции инфракрасных лучей телеграф-телефон на 20 км — 20 шт. (4000 руб. за 1 шт., на сумму 80 тыс. руб.); итого — 340 тыс. руб. (Политбюро... Т. 2. С. 304; РГАСПИ. Ф. 17. Оп. 162. Д. 12. Л. 135) (12416).</w:t>
      </w:r>
    </w:p>
    <w:p w14:paraId="56FB4CF2" w14:textId="77777777" w:rsidR="004F5D91" w:rsidRPr="00E93F40" w:rsidRDefault="004F5D91" w:rsidP="00E93F40">
      <w:pPr>
        <w:spacing w:after="0" w:line="240" w:lineRule="auto"/>
        <w:jc w:val="both"/>
        <w:rPr>
          <w:rFonts w:ascii="Times New Roman" w:hAnsi="Times New Roman"/>
          <w:color w:val="000000" w:themeColor="text1"/>
          <w:sz w:val="16"/>
          <w:szCs w:val="16"/>
          <w:u w:color="002060"/>
        </w:rPr>
      </w:pPr>
    </w:p>
    <w:p w14:paraId="630C08BB"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16 мая 1932 </w:t>
      </w:r>
      <w:r w:rsidRPr="00E93F40">
        <w:rPr>
          <w:rFonts w:ascii="Times New Roman" w:hAnsi="Times New Roman"/>
          <w:color w:val="000000" w:themeColor="text1"/>
          <w:sz w:val="16"/>
          <w:szCs w:val="16"/>
        </w:rPr>
        <w:t>Политбюро ЦК ВКП (б) приняло постановления: о размерах производства синтетического каучука и сроках окончания строительства каучуковых заводов в 1932-1934 гг., о состоянии и развитии производства искусственного волокна, об увеличении производства алюминия и строительстве алюминиевых и глиноземных заводов (12265).</w:t>
      </w:r>
    </w:p>
    <w:p w14:paraId="5FB7E1FF" w14:textId="222A4E75" w:rsidR="00660A75"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2C65DB57" w14:textId="77777777" w:rsidR="00295309" w:rsidRPr="00E93F40" w:rsidRDefault="002953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16 мая</w:t>
      </w:r>
      <w:r w:rsidRPr="00E93F40">
        <w:rPr>
          <w:rFonts w:ascii="Times New Roman" w:hAnsi="Times New Roman"/>
          <w:color w:val="000000" w:themeColor="text1"/>
          <w:sz w:val="16"/>
          <w:szCs w:val="16"/>
        </w:rPr>
        <w:t xml:space="preserve"> в 1932 году получена первая промышленная нефть Ишимбаевского нефтяного месторождения в Башкирии. День рождения нефтяной промышленности Башкирии (14893).</w:t>
      </w:r>
    </w:p>
    <w:p w14:paraId="5A9C5B11" w14:textId="77777777" w:rsidR="00295309" w:rsidRPr="00E93F40" w:rsidRDefault="00295309" w:rsidP="00E93F40">
      <w:pPr>
        <w:spacing w:after="0" w:line="240" w:lineRule="auto"/>
        <w:jc w:val="both"/>
        <w:rPr>
          <w:rFonts w:ascii="Times New Roman" w:hAnsi="Times New Roman"/>
          <w:color w:val="000000" w:themeColor="text1"/>
          <w:sz w:val="16"/>
          <w:szCs w:val="16"/>
        </w:rPr>
      </w:pPr>
    </w:p>
    <w:p w14:paraId="1134F8A2" w14:textId="3766194F" w:rsidR="009871AA" w:rsidRPr="00E93F40" w:rsidRDefault="009871AA" w:rsidP="009871AA">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Внешняя политика</w:t>
      </w:r>
      <w:r w:rsidRPr="00E93F40">
        <w:rPr>
          <w:rFonts w:ascii="Times New Roman" w:hAnsi="Times New Roman"/>
          <w:i/>
          <w:iCs/>
          <w:color w:val="000000" w:themeColor="text1"/>
          <w:sz w:val="16"/>
          <w:szCs w:val="16"/>
        </w:rPr>
        <w:t>:</w:t>
      </w:r>
    </w:p>
    <w:p w14:paraId="38330D62" w14:textId="77777777" w:rsidR="009871AA" w:rsidRPr="00E93F40" w:rsidRDefault="009871AA" w:rsidP="009871AA">
      <w:pPr>
        <w:autoSpaceDE w:val="0"/>
        <w:autoSpaceDN w:val="0"/>
        <w:adjustRightInd w:val="0"/>
        <w:spacing w:after="0" w:line="240" w:lineRule="auto"/>
        <w:jc w:val="both"/>
        <w:rPr>
          <w:rFonts w:ascii="Times New Roman" w:hAnsi="Times New Roman"/>
          <w:iCs/>
          <w:color w:val="000000" w:themeColor="text1"/>
          <w:sz w:val="16"/>
          <w:szCs w:val="16"/>
        </w:rPr>
      </w:pPr>
    </w:p>
    <w:p w14:paraId="2D337DCE" w14:textId="77777777" w:rsidR="009871AA" w:rsidRPr="00142305" w:rsidRDefault="009871AA" w:rsidP="009871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мая 1932 г. решением Политбюро ЦК ВКП(б) (протокол №100) с эти</w:t>
      </w:r>
      <w:r w:rsidRPr="00142305">
        <w:rPr>
          <w:rFonts w:ascii="Times New Roman" w:hAnsi="Times New Roman"/>
          <w:color w:val="0070C0"/>
          <w:sz w:val="16"/>
          <w:szCs w:val="16"/>
        </w:rPr>
        <w:softHyphen/>
        <w:t>ми подарками в Турцию командировали девять военных и гражданских специалистов: Ф.Ф. Петренко, Ф.С. Пархоменко, К.И. Будько, ПА. Орлов, А.П. Серяков, А.И. Кондаков, Д.А. Климов, А.Т Павлов и В.Б. Ваго (24972).</w:t>
      </w:r>
    </w:p>
    <w:p w14:paraId="2B6E117E" w14:textId="77777777" w:rsidR="009871AA" w:rsidRPr="009871AA" w:rsidRDefault="009871AA" w:rsidP="009871AA">
      <w:pPr>
        <w:pStyle w:val="aff2"/>
        <w:tabs>
          <w:tab w:val="left" w:pos="594"/>
        </w:tabs>
        <w:spacing w:line="240" w:lineRule="auto"/>
        <w:rPr>
          <w:rFonts w:ascii="Times New Roman" w:hAnsi="Times New Roman" w:cs="Times New Roman"/>
          <w:i w:val="0"/>
          <w:iCs w:val="0"/>
          <w:color w:val="0070C0"/>
          <w:sz w:val="16"/>
          <w:szCs w:val="16"/>
          <w:lang w:val="ru-RU"/>
        </w:rPr>
      </w:pPr>
    </w:p>
    <w:p w14:paraId="3B5E797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265847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98C88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мая 1932 в Аравийском море сгорел французский лайнер «Жорж Филиппар», около 100 человек погибли (4962).</w:t>
      </w:r>
    </w:p>
    <w:p w14:paraId="2F5320A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1815D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E09850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4268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17-24 мая 1932 года комиссия ОКДВА утвердила масто строительства завода № 126.</w:t>
      </w:r>
    </w:p>
    <w:p w14:paraId="54B52D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Генеральный план строительства был разработан Государственным институтом по проектированию авиационных заводов и утвержден комиссией НКТП 25 мая 1932 года.</w:t>
      </w:r>
    </w:p>
    <w:p w14:paraId="459E69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завода началось 31 мая 1932 года.</w:t>
      </w:r>
    </w:p>
    <w:p w14:paraId="693B84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года наводнением реки Амур был почти целиком уничтожено все, что было сделано на осваиваемой площадке.</w:t>
      </w:r>
    </w:p>
    <w:p w14:paraId="2B511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Пришлось срочно искать новую площадку.</w:t>
      </w:r>
    </w:p>
    <w:p w14:paraId="60561B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Новая площадка отстояла от Амура на расстоянии 4,5 км, на незаливаемых местах.</w:t>
      </w:r>
    </w:p>
    <w:p w14:paraId="625C20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Перенесение строительства на новую площадку было подтверждено специальным решением Глававиапрома от 14 июня 1933 года (9444).</w:t>
      </w:r>
    </w:p>
    <w:p w14:paraId="0351E2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60BA7C" w14:textId="159985E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мая 1932 г. началось строительство завода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Куйбышев ст. Безымянка/ /443052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Самара ул. Псковская, 32 к. 106 тел. 267-35-35/). Фундамент был заложен в 04.1931 г., введен в строй в 1934 г. В 02.1937 г. ГС ордена Ленина завод № 18 - в ведении 1ГУ НКОП (и на 12.1938 г.). По приказу № 262сс от 22.03.1941 г. завод передан в ЮГУ НКАП.</w:t>
      </w:r>
    </w:p>
    <w:p w14:paraId="54DF2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Строящийся завод был ориентирован на выпуск тяжелых бомбардировщиков ТБ-3 (а в перспективе - ТБ-4 и ТБ-5)</w:t>
      </w:r>
    </w:p>
    <w:p w14:paraId="108444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на заводе работал авиаконструктор А.С. Москалев, затем организовал собственное ОКБ-31, располагавшееся в Воронежском авиатехникуме. В 1936-41 г. завод № 18 являлся его производственной базой.</w:t>
      </w:r>
    </w:p>
    <w:p w14:paraId="3D410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07.1934-07.1936 г. на заводе работало КБ К.А. Калинина.</w:t>
      </w:r>
    </w:p>
    <w:p w14:paraId="03DE6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1936 г. на заводе шло освоение производства ДБ-3. Производственная программа завода на 1937 г.: 500 ДБ-3. В 1936-37 г. шло также освоение производства ДБ-2. Решением СТО от 02.1938 г. выпуск ДБ-2 прекращен в пользу производства ДБ-3.</w:t>
      </w:r>
    </w:p>
    <w:p w14:paraId="052980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 г. была начата реконструкция завода. Приказом № 0032 от 8.02.1937 г. заводу предписано к 1.04.1937 г. сдать в эксплуатацию 3 пролета главного корпуса, в 3-м квартале - еще три, из них термический цех - к 1.06.1937 г.; в 4-м квартале сдать конвейерный коридор. По пр. № 6с от 8/11.101.1937 г. был создан Центральный технологический отдел в составе секторов: штамповки, механической технологии, сварочного, термического. По пр. № 299с от 7.08.1938 г. требовалось сдать в эксплуатацию цехи: термический - к 1.08.1938 г., покрытий и сварочный-к 15.08.1938 г.</w:t>
      </w:r>
    </w:p>
    <w:p w14:paraId="2428B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цехи (1938 г.): № 1 механический, № 2 мелких сварных узлов, № 5 крупных сварных узлов, № 6 крыла, механо-сборочный, бако-медницкий, № 11 штамповочный (6500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нормалей, шасси, инструментальный. По пр. № 115 от 21.03.1938 г. организовано представительство завода в Москве. В 1939 г. действовал цех № 7- сборочный по ДБ-3.</w:t>
      </w:r>
    </w:p>
    <w:p w14:paraId="49ECA4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218 от 1.06.1938 г. при аэродинамической лаборатории завода организован 1-й филиал ЦАГИ.</w:t>
      </w:r>
    </w:p>
    <w:p w14:paraId="1671C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осуществления проекта нового </w:t>
      </w:r>
      <w:r w:rsidRPr="00E93F40">
        <w:rPr>
          <w:rFonts w:ascii="Times New Roman" w:hAnsi="Times New Roman"/>
          <w:color w:val="000000" w:themeColor="text1"/>
          <w:sz w:val="16"/>
          <w:szCs w:val="16"/>
          <w:lang w:val="en-US"/>
        </w:rPr>
        <w:t>JIA</w:t>
      </w:r>
      <w:r w:rsidRPr="00E93F40">
        <w:rPr>
          <w:rFonts w:ascii="Times New Roman" w:hAnsi="Times New Roman"/>
          <w:color w:val="000000" w:themeColor="text1"/>
          <w:sz w:val="16"/>
          <w:szCs w:val="16"/>
        </w:rPr>
        <w:t xml:space="preserve"> «Ротоплан» с 6-лопастным ротором на горизонтальной оси (типа коловратного колеса) М.Ф. Кортикова пр. № 460с от 14/19.12.1938 г. заводу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w:t>
      </w:r>
    </w:p>
    <w:p w14:paraId="261E4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1939 г. проектная мощность завода составляла 2500 ДБ-3 в год, годовой план составлял 550 самолетов. В соответствии с пост. КО № 532 от 31.05.1939 г. необходимо было с </w:t>
      </w:r>
      <w:r w:rsidRPr="00E93F40">
        <w:rPr>
          <w:rFonts w:ascii="Times New Roman" w:hAnsi="Times New Roman"/>
          <w:color w:val="000000" w:themeColor="text1"/>
          <w:sz w:val="16"/>
          <w:szCs w:val="16"/>
          <w:lang w:val="en-US"/>
        </w:rPr>
        <w:t>IV</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ro</w:t>
      </w:r>
      <w:r w:rsidRPr="00E93F40">
        <w:rPr>
          <w:rFonts w:ascii="Times New Roman" w:hAnsi="Times New Roman"/>
          <w:color w:val="000000" w:themeColor="text1"/>
          <w:sz w:val="16"/>
          <w:szCs w:val="16"/>
        </w:rPr>
        <w:t xml:space="preserve"> квартала 1939 г. начать выпуск ДБ-ЗФ.</w:t>
      </w:r>
    </w:p>
    <w:p w14:paraId="72B0B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Комитета обороны № 236 от 29.05.1940 г. началось освоение производства Ер-2 (предписывалось в этом году выпустить 70 машин). 23.08.1941 г. вышло постановление ГКО № 568 о прекращении производства Ер-2 с М-40Ф. 5.12.1940 г. вышло постановление правительства о прекращении производства ДБ-240 с М-105.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w:t>
      </w:r>
    </w:p>
    <w:p w14:paraId="0018E1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НКАП № 739 от 14.12.1940 г. был запущен в серию одноместный Ил-2 с АМ-35А и организовано представительство ОКБ Ильюшина на заводе. Производство было необходимо начать с 15.02.1941 г., а всего в 1941 г. построить 1200 машин. Приказами НКАП от 7.01.1941 г. и от 14.02.1941 г. запущен в серию Ил-2 с АМ-38. Завод № 18 определен головным по производству штурмовика (остальные заводы должны были строить Ил-2 по его чертежам). 27.08.1941 г. вышло постановление ГКО № 591 об увеличении выпуска Ил-2. 7.02.1942 г. вышло постановление ГКО № 1254сс о начале выпуска на заводе Ил-2 с двойным управлением с 15.02.1942 г. по 20 самолетов в месяц. Пост. ГКО № 1376сс от 3.03.1942 г. заводу утвержден суточный план на 03.1942 г. по выпуску Ил-2: с 1 по 5 марта - 35 машин, в остальные дни - по 45 машин. В соответствии с пост. ГКО № 2374 от 5.10.1942 г. запущен в серию двухместный Ил-2 с АМ-38. К концу октября завод должен был выпустить 70 машин.</w:t>
      </w:r>
    </w:p>
    <w:p w14:paraId="559C4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производства на 1941 г.: 1200 Ил-2,400 ДБ-ЗФ и 100 Ер-2.</w:t>
      </w:r>
      <w:r w:rsidRPr="00E93F40">
        <w:rPr>
          <w:rFonts w:ascii="Times New Roman" w:hAnsi="Times New Roman"/>
          <w:color w:val="000000" w:themeColor="text1"/>
          <w:sz w:val="16"/>
          <w:szCs w:val="16"/>
          <w:vertAlign w:val="superscript"/>
        </w:rPr>
        <w:t>144</w:t>
      </w:r>
    </w:p>
    <w:p w14:paraId="679CD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НКАП № 533 от 17.06.1941 г. начата подготовка к производству «103» (Ту-2) с планом на 1942 г. 1000 машин, но начало войны помешало осуществлению плана.</w:t>
      </w:r>
    </w:p>
    <w:p w14:paraId="06648474" w14:textId="023EDCB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соответствии с пост. ГКО № 751 от 9.10.1941 г. и приказом НКАП № 1056сс от 10.10.1941 г. в течение октября-ноября 1941 г. завод эвакуирован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Куйбышев, ст. Безьмянка на площадку строящегося завода № 295 НКАП. В результате слияния образован единый завод № 18 НКАП.</w:t>
      </w:r>
    </w:p>
    <w:p w14:paraId="593A13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эвакуации здесь с 10.1941 по 04.1942 г. ОКБ-39 С.В. Ильюшина. После перебазирования ОКБ в Москву его представителем на заводе остался В.А. Борог, затем- А .Я. Левин.</w:t>
      </w:r>
    </w:p>
    <w:p w14:paraId="24085321" w14:textId="602274B2"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12.1941 г. на площадке эвакуированного завода организованы самолетные Ремонтные мастерские. Начальник мастерских-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ГСЗ№ 450 НКАП.</w:t>
      </w:r>
    </w:p>
    <w:p w14:paraId="6E69E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7119E6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03.1943 г. на завод № 18 передана часть оборудования завода № 381 НКАП, реэвакуированного из Нижнего Тагила.</w:t>
      </w:r>
    </w:p>
    <w:p w14:paraId="09A2F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23.07.1944 г. вышло постановление ГКО № 6246 о производстве Ил-10 на заводе.</w:t>
      </w:r>
    </w:p>
    <w:p w14:paraId="4AE200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5B4BF6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1956 г. на заводе образован филиал ОКБ-156, начальник- А.И. Путилов. Впоследствии филиал преобразован в ОКБ.</w:t>
      </w:r>
    </w:p>
    <w:p w14:paraId="0C42F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СМ СССР № 713-342 от 26.06.1957 г. передан в ведение СНХ РСФСР.</w:t>
      </w:r>
    </w:p>
    <w:p w14:paraId="7F0CDFE0" w14:textId="52048F8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построен малярный ангар с пролетом 100 м.</w:t>
      </w:r>
    </w:p>
    <w:p w14:paraId="2BF59361" w14:textId="2E9D818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1983 г. с Таганрогского авиазавода передано производство Ту-95МС. Мощности по его производству свернуты в 1995 г. В 1980-е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велась подготовка к выпуску Ту-204, но производство передали в УАПК. В 1997 г. началось освоение производства Ан-140 (1-я машина построена 25.12.2003 г.).</w:t>
      </w:r>
    </w:p>
    <w:p w14:paraId="0723C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025FBA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решению правительства № 22-р от 9.01.2004 г. вошло в перечень стратегических предприятий. В 2009 г. планировалось вхождение предприятия в </w:t>
      </w:r>
      <w:r w:rsidRPr="00E93F40">
        <w:rPr>
          <w:rFonts w:ascii="Times New Roman" w:hAnsi="Times New Roman"/>
          <w:color w:val="000000" w:themeColor="text1"/>
          <w:sz w:val="16"/>
          <w:szCs w:val="16"/>
          <w:lang w:val="en-US"/>
        </w:rPr>
        <w:t>OAK</w:t>
      </w:r>
      <w:r w:rsidRPr="00E93F40">
        <w:rPr>
          <w:rFonts w:ascii="Times New Roman" w:hAnsi="Times New Roman"/>
          <w:color w:val="000000" w:themeColor="text1"/>
          <w:sz w:val="16"/>
          <w:szCs w:val="16"/>
        </w:rPr>
        <w:t>, в связи с этим для оптимизации издержек планировалось сокращение 1500 чел. из 2600 работающих.</w:t>
      </w:r>
    </w:p>
    <w:p w14:paraId="2D8A2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E93F40">
        <w:rPr>
          <w:rFonts w:ascii="Times New Roman" w:hAnsi="Times New Roman"/>
          <w:color w:val="000000" w:themeColor="text1"/>
          <w:sz w:val="16"/>
          <w:szCs w:val="16"/>
          <w:vertAlign w:val="superscript"/>
        </w:rPr>
        <w:t>1</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vertAlign w:val="superscript"/>
        </w:rPr>
        <w:t>22 09 04</w:t>
      </w:r>
      <w:r w:rsidRPr="00E93F40">
        <w:rPr>
          <w:rFonts w:ascii="Times New Roman" w:hAnsi="Times New Roman"/>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28590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(11.1940 г.)- 1247 металлорежущих станков.</w:t>
      </w:r>
    </w:p>
    <w:p w14:paraId="79A7F1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(12.1936 г.)- 1400 рабочих, (1940 г.)- 24.510 чел., (1980-е)~ 30.000 чел., (1.01.2003 г.)- 5072 чел., (2009 г.)- 2600 чел.</w:t>
      </w:r>
    </w:p>
    <w:p w14:paraId="3AF7836E" w14:textId="122ECC2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(-06-28.10.1937 г.)- С.М. Шабашвшш (снят), (22.10.1937-22.02.1938 г.)- Н.И. Горьковенко, (22.02.1938-42 г.)- М.Б. Шенкман (погиб); и.о. (03.1941 г.)- А.А. Белянский; (06.1942-05.1946 г.-)- А.А. Белянский, Белеловский. Гендиректор (1980-е)- В. Земец, (2000 г.)- А. Карклин, (-2002-04 г.)- В.П. Белогуб, (04.2004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Г.Н. Плотников, (-09.2005-0 / г.-)- С.К. Лихарев, (2010 г.)- А. Гусев. Арбитражный управляющий (1994 г.-)- </w:t>
      </w:r>
      <w:r w:rsidRPr="00E93F40">
        <w:rPr>
          <w:rFonts w:ascii="Times New Roman" w:hAnsi="Times New Roman"/>
          <w:color w:val="000000" w:themeColor="text1"/>
          <w:sz w:val="16"/>
          <w:szCs w:val="16"/>
          <w:lang w:val="en-US"/>
        </w:rPr>
        <w:t>JI</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 Хасис.</w:t>
      </w:r>
    </w:p>
    <w:p w14:paraId="4479F7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зам. гендиректора (-2006-07 г.-)- Е.В. Цыбанов. Зам. директора (22.10.1937 г.-)- М.Н. Корнеев, (15.12.1937 г.- )- И.Н. Мартынов; по ПВО и охране (29.11.1938 г.-)- Н.Д. Гусев. Помощник директора по найму и увольнению (14.05.1938 г.-)- И.Т. Измалков. Зам. гендиректора: начальник авиационного производства (2000 г.)- А. Кириллов; (2000 г.)- В. Петрищев.</w:t>
      </w:r>
    </w:p>
    <w:p w14:paraId="16167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Исполнительный директор (2005 г.)- С.К. Лихарев.</w:t>
      </w:r>
    </w:p>
    <w:p w14:paraId="76648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(22.10.1937-01.1938 г.-)- М.Н. Корнеев, (03.1941 г.)- Н.Д. Востров.</w:t>
      </w:r>
    </w:p>
    <w:p w14:paraId="0ADA8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(07.1934-07.1936 г.)- К.А. Калинин, (08.1936-08.1938 г.)- А.А. Сеньков.</w:t>
      </w:r>
    </w:p>
    <w:p w14:paraId="7B7C93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технолог (2000 г.)- В. Антонюк.</w:t>
      </w:r>
    </w:p>
    <w:p w14:paraId="75379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Серийного КБ (05.1941 г.)- В.К. Золотухин, (04.1942 г.-)- В.Н. Бугайский. Гл. конструктор СКВ (1938 г.)- М.Н. Корнеев. Начальник ЛИС (1938 г.)- А.А. Сеньков,</w:t>
      </w:r>
      <w:r w:rsidRPr="00E93F40">
        <w:rPr>
          <w:rFonts w:ascii="Times New Roman" w:hAnsi="Times New Roman"/>
          <w:color w:val="000000" w:themeColor="text1"/>
          <w:sz w:val="16"/>
          <w:szCs w:val="16"/>
          <w:vertAlign w:val="superscript"/>
        </w:rPr>
        <w:t>84</w:t>
      </w:r>
      <w:r w:rsidRPr="00E93F40">
        <w:rPr>
          <w:rFonts w:ascii="Times New Roman" w:hAnsi="Times New Roman"/>
          <w:color w:val="000000" w:themeColor="text1"/>
          <w:sz w:val="16"/>
          <w:szCs w:val="16"/>
        </w:rPr>
        <w:t xml:space="preserve"> (1941 г.)- м К.К. Рыков. Руководитель проекта Ан-140 (2004 г.)- С. Кузнецов.</w:t>
      </w:r>
    </w:p>
    <w:p w14:paraId="70B222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Летчики-испытатели: (1942 г.)- Е.Н. Ломакин, (1941 г.)- К.К. Рыков.</w:t>
      </w:r>
    </w:p>
    <w:p w14:paraId="7CD428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(1958-65), Ту-95МС (1983-92)- 88 (вместе с заводом № 86),</w:t>
      </w:r>
      <w:r w:rsidRPr="00E93F40">
        <w:rPr>
          <w:rFonts w:ascii="Times New Roman" w:hAnsi="Times New Roman"/>
          <w:color w:val="000000" w:themeColor="text1"/>
          <w:sz w:val="16"/>
          <w:szCs w:val="16"/>
          <w:vertAlign w:val="superscript"/>
        </w:rPr>
        <w:t>30</w:t>
      </w:r>
      <w:r w:rsidRPr="00E93F40">
        <w:rPr>
          <w:rFonts w:ascii="Times New Roman" w:hAnsi="Times New Roman"/>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E93F40">
        <w:rPr>
          <w:rFonts w:ascii="Times New Roman" w:hAnsi="Times New Roman"/>
          <w:color w:val="000000" w:themeColor="text1"/>
          <w:sz w:val="16"/>
          <w:szCs w:val="16"/>
          <w:vertAlign w:val="superscript"/>
        </w:rPr>
        <w:t>69</w:t>
      </w:r>
      <w:r w:rsidRPr="00E93F40">
        <w:rPr>
          <w:rFonts w:ascii="Times New Roman" w:hAnsi="Times New Roman"/>
          <w:color w:val="000000" w:themeColor="text1"/>
          <w:sz w:val="16"/>
          <w:szCs w:val="16"/>
        </w:rPr>
        <w:t xml:space="preserve"> кузовые детали автомобилей и с/х оборудование.</w:t>
      </w:r>
    </w:p>
    <w:p w14:paraId="722383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номера: Ер-2 № 1851906 - (18 -№ завода, 5 - тип машины, 19 -№ самолета в серии, Об - № серии). ДБ-3 № 3018002; Ил-2 1872932 (11982).</w:t>
      </w:r>
    </w:p>
    <w:p w14:paraId="57698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A029E1" w14:textId="77777777" w:rsidR="00295309" w:rsidRPr="00E93F40" w:rsidRDefault="002953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17 мая</w:t>
      </w:r>
      <w:r w:rsidRPr="00E93F40">
        <w:rPr>
          <w:rFonts w:ascii="Times New Roman" w:hAnsi="Times New Roman"/>
          <w:color w:val="000000" w:themeColor="text1"/>
          <w:sz w:val="16"/>
          <w:szCs w:val="16"/>
        </w:rPr>
        <w:t xml:space="preserve"> в 1932 году вступил в строй Воронежский авиационный завод, ныне ОАО "Воронежское акционерное самолетостроительное общество". За годы своего существования завод прошел славный путь развития, став крупным, оснащенным современным оборудованием предприятием, владеющим передовыми технологиями, укомплектованным высококвалифицированным персоналом. В предвоенный период завод освоил 11 типов самолетов конструкции А.Н.Туполева, А.С.Москалева, С.В.Ильюшина, В.Г.Ермолаева. На заводе выпускались тяжелые бомбардировщики «ТБ-3», самолет «САМ-5» для местных авиалиний и «АНТ-25», который прославил на весь мир нашу страну беспосадочными перелетами из Москвы через Северный полюс в Америку с экипажами В.П.Чкалова и М.М.Громова. Во время Великой Отечественной войны история завода связана с выпуском самолета «Ил-2» - лучшего фронтового штурмовика того времени. Это первый в мире бронированный штурмовик, предназначенный для нанесения с небольших высот ударов по живой силе и технике противника. Историки назвали этот «летающий танк» Оружием Победы в Великой Отечественной войне. За годы войны было произведено и передано фронту около 18 тысяч самолетов этого типа. Многие из заводчан ушли на фронт в составе Воронежского добровольческого полка. В 1943 году, после возвращения завода из эвакуации, началось производство агрегатов на ранее выпускавшиеся самолеты, а с 1947 года выпуск самолета «Ил-10» - штурмовика повышенной маневренности. В это же время ведется переоборудование под пассажирский вариант «Ил-12». С 1949 года было начато производство первого реактивного фронтового бомбардировщика «Ил-28», а с 1954 года – турбореактивного бомбардировщика «Ту-16». В конце 1950-х годов коллективу предприятия доверили организацию и освоение серийного производства турбовинтовых пассажирских самолетов «Ан-10» и транспортных «Ан-12» О.К.Антонова. Эти машины были рассчитаны на перевозку до 100 пассажиров или 14,4 тонны коммерческого груза. Дальность полета – 2850 км. Опыт производства самолетов «Ил-28», «Ту-16», «Ан-10», «Ан-12» оказался неоценимым при решении новых, более сложных задач. Заводу было поручено освоить выпуск первого в мире сверхзвукового пассажирского самолета «Ту-144». Производство «Ту-144» стало крупнейшим этапом технического прогресса на заводе. Применение новых конструкционных материалов, разработка оригинальных конструкторских и технологических решений, изготовление необычно крупных деталей и агрегатов, соблюдение высоких требований к аэродинамике и ресурсу – все эти задачи были успешно решены, и 31 декабря 1968 года первый самолет «Ту-144» поднялся в небо. Одновременно с «Ту-144» налаживался выпуск широкофюзеляжного самолета-аэробуса «Ил-86», разработанного прославленным ОКБ имени С.В.Ильюшина. Это был первый представитель третьего поколения пассажирских самолетов, предназначенный для перевозки пассажиров и багажа на внутренних и международных магистральных линиях. 24 декабря 1977 года со взлетной полосы поднялся в небо первый «Ил-86». с декабря 1980 года начались регулярные пассажирские перевозки внутри страны, а с июля 1981 года – на международных авиалиниях. В 1986 году объединение ВАСО приступило к выпуску комфортабельных и конкурентоспособных на мировом рынке дальнемагистральных пассажирских самолетов «Ил-96-300». уже в 1989 году самолет совершил первый полет. В 1995 году начато освоение производства транспортного самолета «Ил-96Т», впервые поднявшегося в небо в 1997 году. За успешное выполнение заданий по выпуску передовой авиационной технике завод в 1966 году награжден орденом Ленина, а в 1981 году – орденом Трудового Красного Знамени (14894).</w:t>
      </w:r>
    </w:p>
    <w:p w14:paraId="49736006" w14:textId="77777777" w:rsidR="00295309" w:rsidRPr="00E93F40" w:rsidRDefault="00295309" w:rsidP="00E93F40">
      <w:pPr>
        <w:spacing w:after="0" w:line="240" w:lineRule="auto"/>
        <w:jc w:val="both"/>
        <w:rPr>
          <w:rFonts w:ascii="Times New Roman" w:hAnsi="Times New Roman"/>
          <w:color w:val="000000" w:themeColor="text1"/>
          <w:sz w:val="16"/>
          <w:szCs w:val="16"/>
        </w:rPr>
      </w:pPr>
    </w:p>
    <w:p w14:paraId="6A37A45D" w14:textId="77777777" w:rsidR="00660A75"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3A969FC" w14:textId="77777777" w:rsidR="00660A75" w:rsidRPr="00E93F40" w:rsidRDefault="00660A7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553DF75" w14:textId="77777777" w:rsidR="00660A75" w:rsidRPr="00E93F40" w:rsidRDefault="00660A75"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17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539/178сс о дополнительном финансировании во II квартале 1932 г. оборотных средств ВООМПа (ГА РФ. Ф. Р?8418. Оп. 28. Д. 1а. Л. 272) (12415).</w:t>
      </w:r>
    </w:p>
    <w:p w14:paraId="3DB06F89" w14:textId="77777777" w:rsidR="00660A75" w:rsidRPr="00E93F40" w:rsidRDefault="00660A75" w:rsidP="00E93F40">
      <w:pPr>
        <w:spacing w:after="0" w:line="240" w:lineRule="auto"/>
        <w:jc w:val="both"/>
        <w:rPr>
          <w:rFonts w:ascii="Times New Roman" w:hAnsi="Times New Roman"/>
          <w:color w:val="000000" w:themeColor="text1"/>
          <w:sz w:val="16"/>
          <w:szCs w:val="16"/>
          <w:u w:color="002060"/>
        </w:rPr>
      </w:pPr>
    </w:p>
    <w:p w14:paraId="34B3A10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A36581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1DE91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17 мая 1932 г. приказом Наркомата тяжелой промышленности СССР был создан Государственный промышленный трест по проектированию тепловых электрических станций и электро - и теплосетей "Теплоэлектропроект". В ноябре 1939 г. приказом Наркомата электростанций и электропромышленности СССР переименован в Союзный трест по проектированию тепловых электрических станций и электро - и теплосетей "Теллоэлектропроект". Впоследствии трест был переименован в Государственный всесоюзный трест по проектированию и изысканию тепловых электрических станций, сетей и подстанций "Теплоэлектропроект". В 1941 - 1943 гг. </w:t>
      </w:r>
      <w:r w:rsidRPr="00E93F40">
        <w:rPr>
          <w:rFonts w:ascii="Times New Roman" w:hAnsi="Times New Roman"/>
          <w:color w:val="000000" w:themeColor="text1"/>
          <w:sz w:val="16"/>
          <w:szCs w:val="16"/>
        </w:rPr>
        <w:lastRenderedPageBreak/>
        <w:t>управление треста находилось в эвакуации в г. Троицке Челябинской обл. Приказом Министерства электростанций СССР от 13 апреля 1951 г. трест переименован во Всесоюзный государственный проектный институт "Теплоэлектропроект". Награжден орденами Ленина (1962), Октябрьской Революции (1974). В январе 1982 г. преобразован во Всесоюзный государственный ордена Ленина и ордена Октябрьской Революции научно-исследовательский и проектно-изыскательский институт "Атомтеплоэлектропроект".</w:t>
      </w:r>
    </w:p>
    <w:p w14:paraId="128FDD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Институт находился в ведении: </w:t>
      </w:r>
    </w:p>
    <w:p w14:paraId="3439F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Наркомата тяжелой промышленности СССР (1932 - 1939); </w:t>
      </w:r>
    </w:p>
    <w:p w14:paraId="2E228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Наркомата-Министерства электростанций и электропромышленности СССР (1939 - 1940, 1953 - 1954); </w:t>
      </w:r>
    </w:p>
    <w:p w14:paraId="7D028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Наркомата-Министерства электростанций СССР (1940 - 1953, 1954 - 1958); </w:t>
      </w:r>
    </w:p>
    <w:p w14:paraId="646ED5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Министерства строительства электростанций СССР (1958 - 1962); </w:t>
      </w:r>
    </w:p>
    <w:p w14:paraId="0AF8B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Государственного производственного комитета по энергетике и электрификации СССР (1963 - 1965); </w:t>
      </w:r>
    </w:p>
    <w:p w14:paraId="01B98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Министерства энергетики и электрификации СССР (1962 - 1963, 1965 -). </w:t>
      </w:r>
    </w:p>
    <w:p w14:paraId="46551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Институт имел отделения: Горьковское, Киевское, Ленинградское, Львовское, Московское, Новосибирское, Одесское, Рижское, Ростовское, Ташкентское, Томское, Уральское, Харьковское, Дальних передач (г. Москва). </w:t>
      </w:r>
    </w:p>
    <w:p w14:paraId="4A70EA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занимался проектированием электростанций и теплоэлектроцентралей, предназначенных для работы на различных видах топлива, атомных электростанций, разрабатывал новые направления атомной энергетики (12102).</w:t>
      </w:r>
    </w:p>
    <w:p w14:paraId="68D933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89A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17 мая 1932 г. приказом Наркомата тяжелой промышленности СССР был создан Государственный трест по проектированию гидроэлектрических станций "Гидроэлектропроект". Приказом наркомата от 30 декабря 1935 г. объединен с Государственным институтом по строительству и рабочему технологическому проектированию гидроэнергоузлов "Гидростройпроект" и переименован в Государственный союзный трест по проектированию гидроэлектрических станций и гидроэнергоузлов "Гидроэнергопроект". В 1948 г. переименован в Государственный всесоюзный трест по изысканиям и проектированию гидроэлектрических станций и гидроэнергоузлов "Гидроэнергопроект". Приказом Министерства электростанций СССР от 13 апреля 1951 г. переименован во Всесоюзный государственный проектный институт "Гидроэнергопроект", который приказом Министерства строительства электростанций СССР от 27 июня 1962 г. объединен с Гидропроектом. </w:t>
      </w:r>
    </w:p>
    <w:p w14:paraId="0EAA0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Проектно-конструкторское бюро Всесоюзного треста "Гидромонтаж" создано в 1941 г. В 1941 - 1943 гг. </w:t>
      </w:r>
    </w:p>
    <w:p w14:paraId="2B969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Бюро находилось в эвакуации в г. Чирчик Ташкентской обл. Приказом треста от 10 июня 1942 г. переименовывается в Объединенное конструкторское бюро (ОКБ-Гидромонтаж). ОКБ-Гидромонтаж неоднократно реорганизовывалось и переименовывалось:приказом Министерства электростанций СССР от 13 мая 1949 г. реорганизовано в Центральную проектную контору Всесоюзного треста "Гидромонтаж", переименованную в октябре 1950 г. в Московскую проектную контору. в апреле 1952 г. получившую название Московская проектная контора "Гидростальпроект". Приказом Государственного производственного комитета по энергетике и электрификации СССР от 31 июля 1963 г. контора переименована в Московскую проектно-конструкторскую контору "Гидростальпроект", которая в марте 1968 г. приказом Министерства энергетики и электрификации СССР вновь переименовывается в Московское специальное конструкторское бюро гидротехнических стальных конструкций и механизмов "Мосгидросталь". В апреле 1987 г. приказом Министерства энергетики и электрификации СССР бюро переименовано в Московское специальное проектное и конструкторско-технологическое бюро гидротехнических стальных конструкций и механизмов "Мосгидросталь" (12102).</w:t>
      </w:r>
    </w:p>
    <w:p w14:paraId="4C6D9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5506E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2F6D0F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6C60FE" w14:textId="77777777" w:rsidR="00D41559" w:rsidRPr="00E93F40" w:rsidRDefault="00D415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мая 1932 Берил Маркхэм на Avro Птичий IV завершает полет на дальность около 6000 миль (9660 км) от Найроби, Кения, в Хестон Аэродром за пределами Лондона, Англия . Он вылетел из Найроби 24 апреля и пролетел через Судан, Египет, Средиземное море и Европу за семь дней фактического полета, с несколькими вынужденными посадками и остановками для ремонта двигателей по пути. Несмотря на то, что перед полетом она налетала всего 127 часов в качестве пилота, она совершает полет без радио и ориентируется визуально. Через несколько месяцев она вернется в Кению (20803).</w:t>
      </w:r>
    </w:p>
    <w:p w14:paraId="54D1BE6C" w14:textId="77777777" w:rsidR="00D41559" w:rsidRPr="00E93F40" w:rsidRDefault="00D41559" w:rsidP="00E93F40">
      <w:pPr>
        <w:spacing w:after="0" w:line="240" w:lineRule="auto"/>
        <w:jc w:val="both"/>
        <w:rPr>
          <w:rFonts w:ascii="Times New Roman" w:hAnsi="Times New Roman"/>
          <w:color w:val="000000" w:themeColor="text1"/>
          <w:sz w:val="16"/>
          <w:szCs w:val="16"/>
        </w:rPr>
      </w:pPr>
    </w:p>
    <w:p w14:paraId="41BC6A8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мая 1932 Конгресс США переименовал Порто-Рико в Пуэрто-Рико (4962).</w:t>
      </w:r>
    </w:p>
    <w:p w14:paraId="744F971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4CD6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2281C1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C98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мая 1932 К-5М-22 "эталон 1932" вылетел в Москву (70,171).</w:t>
      </w:r>
    </w:p>
    <w:p w14:paraId="1A6C5B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9DA2AE" w14:textId="77777777" w:rsidR="00D41559" w:rsidRPr="00E93F40" w:rsidRDefault="00D415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мая 1932 опросом членов ПБ</w:t>
      </w:r>
    </w:p>
    <w:p w14:paraId="227691C7" w14:textId="77777777" w:rsidR="00D41559" w:rsidRPr="00E93F40" w:rsidRDefault="00D415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30/4.- О самолётах и моторах</w:t>
      </w:r>
    </w:p>
    <w:p w14:paraId="39C34B59" w14:textId="77777777" w:rsidR="00D41559" w:rsidRPr="00E93F40" w:rsidRDefault="00D415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Ассигновать всего 1 млн. рублей валюты па закупку новейших образцов моторов и самолетов (по истребительной авиации).</w:t>
      </w:r>
    </w:p>
    <w:p w14:paraId="142E56D3" w14:textId="77777777" w:rsidR="00D41559" w:rsidRPr="00E93F40" w:rsidRDefault="00D415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т.т. Куйбышеву, Рудзутаку, Ворошилову, Розенгольцу</w:t>
      </w:r>
    </w:p>
    <w:p w14:paraId="50C586B0" w14:textId="77777777" w:rsidR="00D41559" w:rsidRPr="00E93F40" w:rsidRDefault="00D415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мая 1932 состоялось заседание ПБ (Протокол № 101) (23046).</w:t>
      </w:r>
    </w:p>
    <w:p w14:paraId="44CCE3F5" w14:textId="77777777" w:rsidR="00D41559" w:rsidRPr="00E93F40" w:rsidRDefault="00D41559" w:rsidP="00E93F40">
      <w:pPr>
        <w:spacing w:after="0" w:line="240" w:lineRule="auto"/>
        <w:jc w:val="both"/>
        <w:rPr>
          <w:rFonts w:ascii="Times New Roman" w:hAnsi="Times New Roman"/>
          <w:color w:val="000000" w:themeColor="text1"/>
          <w:sz w:val="16"/>
          <w:szCs w:val="16"/>
        </w:rPr>
      </w:pPr>
    </w:p>
    <w:p w14:paraId="49F3B52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5797C2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9C9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ГУАП ответил на письмо УВВС о включении в план 1933 600 И-14 М-38 или М-22 и согласилось только на 100, но 2 июля отказалась и от них из-за недоведенности машины (4020,14).</w:t>
      </w:r>
    </w:p>
    <w:p w14:paraId="5224C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6A4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в первом полете взорвалась 3-дюймовая ДРП на АНТ-23 - разрушило хвостовую балку, но И.Ф.Козлов сумел сесть (203,28).</w:t>
      </w:r>
    </w:p>
    <w:p w14:paraId="4FA7A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58C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года Алкснис писал письмо N сч/205с председателю РВС и секретарю КО, СТО.</w:t>
      </w:r>
    </w:p>
    <w:p w14:paraId="020E7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положение работ по рекордному на дальность самолету нижеследующее:</w:t>
      </w:r>
    </w:p>
    <w:p w14:paraId="7FDCA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общая компоновка самолета и строится макет. Заканчивается расчет и проектирование части крыльев. Для ускорения работы переданы нескольким бригадам, которые работают параллельно.</w:t>
      </w:r>
    </w:p>
    <w:p w14:paraId="4E702B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Общее руководство проектированием самолета ведет Туполев, его заместителем является Сухой.</w:t>
      </w:r>
    </w:p>
    <w:p w14:paraId="40509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выпуска самолета на аэродром в августе текущего года следует считать реальным, однако само совершение рекордного полета в текущем году может быть легко сорвано тем, что специально собранный (особо надежный) мотор М34 с редуктором промышленность сможет дать в лучшем случае в конце 1932 года. Мотор без редуктора уменьшает дальность полета почти на 1000 км.</w:t>
      </w:r>
    </w:p>
    <w:p w14:paraId="70086F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Проектируемый ЦАГИ самолет является дюралюминиевым, свободнонесущим монопланом, с большим размахом крыльев, трехместным, снабженным убирающимся шасси.</w:t>
      </w:r>
    </w:p>
    <w:p w14:paraId="0EB4F7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сравнения нашего самолета с тремя французскими (Блерио 110, Девуатин 33, Бернар 80) последовательно ставившими мировые рекорды полета на дальность по замкнутой кривой, следует, что самолет ЦАГИ, если будет выдержан запроектированный вес его конструкции, сможет близко подойти к мировому рекорду полета на дальность по замкнутой кривой (10605 км) рекорд полета на дальность по прямой (8065) самолет ЦАГИ при указанном условии побьет.</w:t>
      </w:r>
    </w:p>
    <w:p w14:paraId="4F761B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полетов рекордного самолета совершенно необходима взлетная дорожка длиной в 2 км с открытым подходом (3531,9-10).</w:t>
      </w:r>
    </w:p>
    <w:p w14:paraId="00F92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235B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Нач. ВВС Я.И.А. писал своему Заму С.А.Меженинову: "Осоавиахим до сих пор занимается РД. Мне звонил т. Эйдеман и просил, нельзя ли кадры, работавшие по РД в Осоавиахиме, объединить с какими-нибудь другими организациями, с тем, чтобы, не распыляя сил, можно было бы получить те или иные результаты. Я очень прошу Вас заняться этим делом." (505,101).</w:t>
      </w:r>
    </w:p>
    <w:p w14:paraId="5170B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E1C87E"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 в р-н с. Пермского прибыла вторая группа строителей завода в количестве 100 человек. В их числе был начальник строительства К. Р. Золотарев вместе со своим заместителем Зиновьевым и гл. инженером Щипакиным. К.Р. Золотарев и его помощники прежде всего имели цель дополнительно обследовать площадки под строительство завода в р-не стойбища Дземги и в районе оз. Болонь. В итоге после осмотра местности первоначально планировшееся место у оз. Болонь было отвергнуто из-за недостаточной его глубины, а дземгинскую площадку, несмотря на ряд ее существенных недостатков, К.Р. Золотарев и его помощники сочли пригодной как для строительства завода, так и прилегающего к нему аэродрома. Председатель назначенной Блюхером краевой комиссии Михайлов подтвердил непригодность оз. Болонь для строительства там завода. Об этом было доложено в Москву.</w:t>
      </w:r>
    </w:p>
    <w:p w14:paraId="2CD570E0"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31 мая на пароходе «Капитан Карпенко» прибыл новый отряд строителей в количестве 130 чел. и разместился в районе стойбища Дземги в палатках и 6 нанайских фанзах. Нанайцы к тому времени уже покинули стойбище, переместившись в другие места. </w:t>
      </w:r>
    </w:p>
    <w:p w14:paraId="135818D2"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Вот имена некоторых первостроителей: И.Е.Семенов, П.Ф.Сафонов, П.С.Пазухин, П.З.Зайцев, К.А.Коршунов, К.Г.Маршалов, А.Г.Ефременко, К.М.Нуждин, А.Д.Голобоченков, П.Г.Емельянов, И.С.Мазилин, С.И. Смирнов, Г.Л.Чувеляев, К.А.Имамакова и др.</w:t>
      </w:r>
    </w:p>
    <w:p w14:paraId="35BCE2CB"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июня К.Р. Золотарев отправил в Москву нач. Авиапрома Мухину подробный доклад о положение на строительстве, в котором сообщалось, что место выбранное под строительство имеет высокую вероятность затопления осенними паводками. </w:t>
      </w:r>
    </w:p>
    <w:p w14:paraId="2A55498F"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Однако, несмотря на все данные о высокой вероятности затопления этой площадки, строительство и складирование необходимых грузов осуществлялось без учета этого фактора. В результате в сентябре небывалый на Амуре паводок нанес большой урон стройке. Материальные ресурсы строительных объектов на промплощадке, в том числе, котлован главного корпуса и аэродром, — все оказалось затопленным. Из 570 га, отведенных под стройку, 390, т.е. 70% всей площади оказалось под водой. </w:t>
      </w:r>
    </w:p>
    <w:p w14:paraId="24F3B530" w14:textId="77777777" w:rsidR="00660A75" w:rsidRPr="00E93F40" w:rsidRDefault="00660A7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стройке срочно была создана экспедиция под руководством инженера Л. Кравцова, которая в короткий срок нашла новое место для строительства в 4-5 км от прежней стройки. На ней вновь развернулись работы по корчевке тайги и осушению болот (12211).</w:t>
      </w:r>
    </w:p>
    <w:p w14:paraId="347ABBCB" w14:textId="77777777" w:rsidR="00660A75" w:rsidRPr="00E93F40" w:rsidRDefault="00660A75" w:rsidP="00E93F40">
      <w:pPr>
        <w:spacing w:after="0" w:line="240" w:lineRule="auto"/>
        <w:jc w:val="both"/>
        <w:rPr>
          <w:rFonts w:ascii="Times New Roman" w:hAnsi="Times New Roman"/>
          <w:color w:val="000000" w:themeColor="text1"/>
          <w:sz w:val="16"/>
          <w:szCs w:val="16"/>
        </w:rPr>
      </w:pPr>
    </w:p>
    <w:p w14:paraId="63832D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 мая по 15 июня 1932 проходили летные испытания самолета "Звено 3-1" С.3.1. (ТБ1-2И4).</w:t>
      </w:r>
    </w:p>
    <w:p w14:paraId="3A855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291AC4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Летчики: Залевский, Анисимов, Чкалов</w:t>
      </w:r>
    </w:p>
    <w:p w14:paraId="02EC90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Летнабы: Вахмистров, Морозов</w:t>
      </w:r>
    </w:p>
    <w:p w14:paraId="486FB7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 Куликов</w:t>
      </w:r>
    </w:p>
    <w:p w14:paraId="00D88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0E1454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 с целью определения полетно-эксплуатационных данных и выявления надежности действия всех механизмов.</w:t>
      </w:r>
    </w:p>
    <w:p w14:paraId="3CED21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Объект испытаний</w:t>
      </w:r>
    </w:p>
    <w:p w14:paraId="70388A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ТБ1 N 651 с моторами М-17 NN 2632 и 2638 по 500х600 НР.</w:t>
      </w:r>
    </w:p>
    <w:p w14:paraId="442D6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Винты сист. ЦАГИ.</w:t>
      </w:r>
    </w:p>
    <w:p w14:paraId="1CB08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И4 NN 1651 и 1655 с моторами ЮVI NN 42074 и 42053 по 480 НР.</w:t>
      </w:r>
    </w:p>
    <w:p w14:paraId="3A5B32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Винты завода N 28.</w:t>
      </w:r>
    </w:p>
    <w:p w14:paraId="579F6A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 самолета</w:t>
      </w:r>
    </w:p>
    <w:p w14:paraId="19BC8E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_3-1_ может быть использован по 3-м основным назначениям:</w:t>
      </w:r>
    </w:p>
    <w:p w14:paraId="71BBD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Бомбардирование глубокого тыла противника под охраной своих истребителей. В этом случае при полете к цели И-4 питаются горючим из ТБ1, а обратно отцепившись летят на своем горючем.</w:t>
      </w:r>
    </w:p>
    <w:p w14:paraId="4F5083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Помощь тяжело груженному бомбардировщику при подъеме с аэродрома когда мощности своих моторов у него для этого не хватает. Доставив бомбардировщика на определенную высоту, истребители отцепляются и уходят на свой аэродром.</w:t>
      </w:r>
    </w:p>
    <w:p w14:paraId="5EDEA8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потолка тяжелого бомбардировщика при переходе им линии фронта и защиты его от истребителей и противника в ближнем тылу. В этом случае 3-1 (Звено) летит в ближний тыл противника на глубину радиуса действия И4, а дальше продолжает полет один (изолированно), истребители же возвращаются на свой аэродром.</w:t>
      </w:r>
    </w:p>
    <w:p w14:paraId="1EED1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3C4EDF51" w14:textId="77777777">
        <w:tc>
          <w:tcPr>
            <w:tcW w:w="5636" w:type="dxa"/>
          </w:tcPr>
          <w:p w14:paraId="09BC8D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года</w:t>
            </w:r>
          </w:p>
        </w:tc>
        <w:tc>
          <w:tcPr>
            <w:tcW w:w="5636" w:type="dxa"/>
          </w:tcPr>
          <w:p w14:paraId="219716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начало испытаний</w:t>
            </w:r>
          </w:p>
        </w:tc>
      </w:tr>
      <w:tr w:rsidR="00DA227A" w:rsidRPr="00E93F40" w14:paraId="3AD94FE0" w14:textId="77777777">
        <w:tc>
          <w:tcPr>
            <w:tcW w:w="5636" w:type="dxa"/>
          </w:tcPr>
          <w:p w14:paraId="38D9FD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20-22 мая 1932 года</w:t>
            </w:r>
          </w:p>
        </w:tc>
        <w:tc>
          <w:tcPr>
            <w:tcW w:w="5636" w:type="dxa"/>
          </w:tcPr>
          <w:p w14:paraId="1DEA2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и полеты по программе</w:t>
            </w:r>
          </w:p>
        </w:tc>
      </w:tr>
      <w:tr w:rsidR="00DA227A" w:rsidRPr="00E93F40" w14:paraId="3469840C" w14:textId="77777777">
        <w:tc>
          <w:tcPr>
            <w:tcW w:w="5636" w:type="dxa"/>
          </w:tcPr>
          <w:p w14:paraId="3DDA06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мая - 15 июня 1932 года</w:t>
            </w:r>
          </w:p>
        </w:tc>
        <w:tc>
          <w:tcPr>
            <w:tcW w:w="5636" w:type="dxa"/>
          </w:tcPr>
          <w:p w14:paraId="702E1F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находился в ЦАГИ для установки новой схемы питания</w:t>
            </w:r>
          </w:p>
        </w:tc>
      </w:tr>
      <w:tr w:rsidR="00DA227A" w:rsidRPr="00E93F40" w14:paraId="3D4F19C1" w14:textId="77777777">
        <w:tc>
          <w:tcPr>
            <w:tcW w:w="5636" w:type="dxa"/>
          </w:tcPr>
          <w:p w14:paraId="4EFB8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года</w:t>
            </w:r>
          </w:p>
        </w:tc>
        <w:tc>
          <w:tcPr>
            <w:tcW w:w="5636" w:type="dxa"/>
          </w:tcPr>
          <w:p w14:paraId="22E4C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закончены</w:t>
            </w:r>
          </w:p>
        </w:tc>
      </w:tr>
    </w:tbl>
    <w:p w14:paraId="1E9BC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находился на испытании 28 календарных дней.</w:t>
      </w:r>
    </w:p>
    <w:p w14:paraId="59B050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 11 полетов, налетано 23 часа 50 мин.</w:t>
      </w:r>
    </w:p>
    <w:p w14:paraId="5C1C30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4081E5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Построить эскадрилью самолетов 3-1 для выявления тактико-эксплуатационных свойств этого самолета в строю.</w:t>
      </w:r>
    </w:p>
    <w:p w14:paraId="52504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конструкцию и произвести опытную установку на самолете ТБ3 3-х самолетов И-6 и на ТБ1 двух самолетов И-5.</w:t>
      </w:r>
    </w:p>
    <w:p w14:paraId="6E011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конструкцию и произвести опытную работу с проливом горючего с самолетов ТБ1 и ТБ3 на И4 и И5.</w:t>
      </w:r>
    </w:p>
    <w:p w14:paraId="3ACBC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работы произвести под руководством инженера Вахмистрова, выделив для этого основную группу производившую работу по самолету _3-1_, а именно: из НИИ инженера Морозова В.В., из ЦАГИ инженера Привен Д.Л., конструктора Емельянова и рабочего Полякова И.</w:t>
      </w:r>
    </w:p>
    <w:p w14:paraId="36C22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Конструирование и производство указанных работ считать наиболее удобным производить на заводе БНК.</w:t>
      </w:r>
    </w:p>
    <w:p w14:paraId="516EF6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 опытного строительства во 2-ю пятилетку включить постройку специального 2-х местного истребителя для _Звена_ и самолета - тягача для улучшения подъема тяжелых самолетов (3822,4-44).</w:t>
      </w:r>
    </w:p>
    <w:p w14:paraId="28F598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700191" w14:textId="77777777" w:rsidR="00D41559" w:rsidRPr="00E93F40" w:rsidRDefault="00D415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 начались государственным испытаниям «Самолет-Звено-1» (20345).</w:t>
      </w:r>
    </w:p>
    <w:p w14:paraId="47F8D93D" w14:textId="77777777" w:rsidR="00D41559" w:rsidRPr="00E93F40" w:rsidRDefault="00D41559" w:rsidP="00E93F40">
      <w:pPr>
        <w:spacing w:after="0" w:line="240" w:lineRule="auto"/>
        <w:jc w:val="both"/>
        <w:rPr>
          <w:rFonts w:ascii="Times New Roman" w:hAnsi="Times New Roman"/>
          <w:color w:val="000000" w:themeColor="text1"/>
          <w:sz w:val="16"/>
          <w:szCs w:val="16"/>
        </w:rPr>
      </w:pPr>
    </w:p>
    <w:p w14:paraId="70F1DE8E"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 начались государственные испытания после проведенных доработок «Само</w:t>
      </w:r>
      <w:r w:rsidRPr="00E93F40">
        <w:rPr>
          <w:rFonts w:ascii="Times New Roman" w:hAnsi="Times New Roman"/>
          <w:color w:val="000000" w:themeColor="text1"/>
          <w:sz w:val="16"/>
          <w:szCs w:val="16"/>
        </w:rPr>
        <w:softHyphen/>
        <w:t>лет-звено-1».</w:t>
      </w:r>
    </w:p>
    <w:p w14:paraId="09F3E181"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первых испытаний зимой 1931 -1932 гг. вся система СЗ-1 подверглась значительным доработкам. С помощью инженеров ЦАГИ Петлякова, Беляева, Привен, Никитенко и Фомина были проведены дополнительные расчеты прочности крыла с целью повысить эффективность и надежность работы соеди</w:t>
      </w:r>
      <w:r w:rsidRPr="00E93F40">
        <w:rPr>
          <w:rFonts w:ascii="Times New Roman" w:hAnsi="Times New Roman"/>
          <w:color w:val="000000" w:themeColor="text1"/>
          <w:sz w:val="16"/>
          <w:szCs w:val="16"/>
        </w:rPr>
        <w:softHyphen/>
        <w:t>ненных самолетов. В последующем, для уве</w:t>
      </w:r>
      <w:r w:rsidRPr="00E93F40">
        <w:rPr>
          <w:rFonts w:ascii="Times New Roman" w:hAnsi="Times New Roman"/>
          <w:color w:val="000000" w:themeColor="text1"/>
          <w:sz w:val="16"/>
          <w:szCs w:val="16"/>
        </w:rPr>
        <w:softHyphen/>
        <w:t>личения взлетного веса СЗ-1 на основных стойках шасси ТБ-1 с внешней их стороны оборудовали дополнительную амортизаци</w:t>
      </w:r>
      <w:r w:rsidRPr="00E93F40">
        <w:rPr>
          <w:rFonts w:ascii="Times New Roman" w:hAnsi="Times New Roman"/>
          <w:color w:val="000000" w:themeColor="text1"/>
          <w:sz w:val="16"/>
          <w:szCs w:val="16"/>
        </w:rPr>
        <w:softHyphen/>
        <w:t>онную стойку от самолета АНТ-9. Лонже</w:t>
      </w:r>
      <w:r w:rsidRPr="00E93F40">
        <w:rPr>
          <w:rFonts w:ascii="Times New Roman" w:hAnsi="Times New Roman"/>
          <w:color w:val="000000" w:themeColor="text1"/>
          <w:sz w:val="16"/>
          <w:szCs w:val="16"/>
        </w:rPr>
        <w:softHyphen/>
        <w:t>рон крыла носителя в районе крепления этой стойки усилили дополнительным внутрен</w:t>
      </w:r>
      <w:r w:rsidRPr="00E93F40">
        <w:rPr>
          <w:rFonts w:ascii="Times New Roman" w:hAnsi="Times New Roman"/>
          <w:color w:val="000000" w:themeColor="text1"/>
          <w:sz w:val="16"/>
          <w:szCs w:val="16"/>
        </w:rPr>
        <w:softHyphen/>
        <w:t>ним подкосом. Кроме того, на ТБ-1 устано</w:t>
      </w:r>
      <w:r w:rsidRPr="00E93F40">
        <w:rPr>
          <w:rFonts w:ascii="Times New Roman" w:hAnsi="Times New Roman"/>
          <w:color w:val="000000" w:themeColor="text1"/>
          <w:sz w:val="16"/>
          <w:szCs w:val="16"/>
        </w:rPr>
        <w:softHyphen/>
        <w:t>вили увеличенные колеса размером 1350x300 мм вместо прежних, размером 1250x250 мм.</w:t>
      </w:r>
    </w:p>
    <w:p w14:paraId="6C1EC556"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учетом первого испытания, доработали замки крепления И-4 и механизм их расцепления. Третья пирамида, закрепля</w:t>
      </w:r>
      <w:r w:rsidRPr="00E93F40">
        <w:rPr>
          <w:rFonts w:ascii="Times New Roman" w:hAnsi="Times New Roman"/>
          <w:color w:val="000000" w:themeColor="text1"/>
          <w:sz w:val="16"/>
          <w:szCs w:val="16"/>
        </w:rPr>
        <w:softHyphen/>
        <w:t>ющая фюзеляж истребителей, теперь шар нирно крепилась на крыле ТБ-1.</w:t>
      </w:r>
    </w:p>
    <w:p w14:paraId="73856C46"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открытия замка на фюзеляже пилот истребителя давал ручку управления от се</w:t>
      </w:r>
      <w:r w:rsidRPr="00E93F40">
        <w:rPr>
          <w:rFonts w:ascii="Times New Roman" w:hAnsi="Times New Roman"/>
          <w:color w:val="000000" w:themeColor="text1"/>
          <w:sz w:val="16"/>
          <w:szCs w:val="16"/>
        </w:rPr>
        <w:softHyphen/>
        <w:t>бя, задняя пирамида окончательно освобо</w:t>
      </w:r>
      <w:r w:rsidRPr="00E93F40">
        <w:rPr>
          <w:rFonts w:ascii="Times New Roman" w:hAnsi="Times New Roman"/>
          <w:color w:val="000000" w:themeColor="text1"/>
          <w:sz w:val="16"/>
          <w:szCs w:val="16"/>
        </w:rPr>
        <w:softHyphen/>
        <w:t>ждалась и откидывалась назад. Затем следо</w:t>
      </w:r>
      <w:r w:rsidRPr="00E93F40">
        <w:rPr>
          <w:rFonts w:ascii="Times New Roman" w:hAnsi="Times New Roman"/>
          <w:color w:val="000000" w:themeColor="text1"/>
          <w:sz w:val="16"/>
          <w:szCs w:val="16"/>
        </w:rPr>
        <w:softHyphen/>
        <w:t>вало движение ручки управления на себя, пе</w:t>
      </w:r>
      <w:r w:rsidRPr="00E93F40">
        <w:rPr>
          <w:rFonts w:ascii="Times New Roman" w:hAnsi="Times New Roman"/>
          <w:color w:val="000000" w:themeColor="text1"/>
          <w:sz w:val="16"/>
          <w:szCs w:val="16"/>
        </w:rPr>
        <w:softHyphen/>
        <w:t>редние замки выходили из фасонного заце</w:t>
      </w:r>
      <w:r w:rsidRPr="00E93F40">
        <w:rPr>
          <w:rFonts w:ascii="Times New Roman" w:hAnsi="Times New Roman"/>
          <w:color w:val="000000" w:themeColor="text1"/>
          <w:sz w:val="16"/>
          <w:szCs w:val="16"/>
        </w:rPr>
        <w:softHyphen/>
        <w:t>пления, и самолет отрывался от крыла ТБ-1.</w:t>
      </w:r>
    </w:p>
    <w:p w14:paraId="6097B955"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увеличения дальности полета «Само</w:t>
      </w:r>
      <w:r w:rsidRPr="00E93F40">
        <w:rPr>
          <w:rFonts w:ascii="Times New Roman" w:hAnsi="Times New Roman"/>
          <w:color w:val="000000" w:themeColor="text1"/>
          <w:sz w:val="16"/>
          <w:szCs w:val="16"/>
        </w:rPr>
        <w:softHyphen/>
        <w:t>лета-звена» в бомбоотсеке ТБ-1 установили дополнительные топливные баки (два по 450 л, два по 140 л и еще два запасных бачка на 65 литров), объединенные с остальным запа</w:t>
      </w:r>
      <w:r w:rsidRPr="00E93F40">
        <w:rPr>
          <w:rFonts w:ascii="Times New Roman" w:hAnsi="Times New Roman"/>
          <w:color w:val="000000" w:themeColor="text1"/>
          <w:sz w:val="16"/>
          <w:szCs w:val="16"/>
        </w:rPr>
        <w:softHyphen/>
        <w:t>сом горючего в единую магистраль. Из этой общей системы были проведены бензопро</w:t>
      </w:r>
      <w:r w:rsidRPr="00E93F40">
        <w:rPr>
          <w:rFonts w:ascii="Times New Roman" w:hAnsi="Times New Roman"/>
          <w:color w:val="000000" w:themeColor="text1"/>
          <w:sz w:val="16"/>
          <w:szCs w:val="16"/>
        </w:rPr>
        <w:softHyphen/>
        <w:t>воды, питающие истребители. По мере рас</w:t>
      </w:r>
      <w:r w:rsidRPr="00E93F40">
        <w:rPr>
          <w:rFonts w:ascii="Times New Roman" w:hAnsi="Times New Roman"/>
          <w:color w:val="000000" w:themeColor="text1"/>
          <w:sz w:val="16"/>
          <w:szCs w:val="16"/>
        </w:rPr>
        <w:softHyphen/>
        <w:t>ходования на них топлива из бортового ба</w:t>
      </w:r>
      <w:r w:rsidRPr="00E93F40">
        <w:rPr>
          <w:rFonts w:ascii="Times New Roman" w:hAnsi="Times New Roman"/>
          <w:color w:val="000000" w:themeColor="text1"/>
          <w:sz w:val="16"/>
          <w:szCs w:val="16"/>
        </w:rPr>
        <w:softHyphen/>
        <w:t>ка, бортмеханик самолета-носителя насосом подкачивал бензин в баки И-4. Кроме то</w:t>
      </w:r>
      <w:r w:rsidRPr="00E93F40">
        <w:rPr>
          <w:rFonts w:ascii="Times New Roman" w:hAnsi="Times New Roman"/>
          <w:color w:val="000000" w:themeColor="text1"/>
          <w:sz w:val="16"/>
          <w:szCs w:val="16"/>
        </w:rPr>
        <w:softHyphen/>
        <w:t>го, И-4 оборудовали двумя дополнительны</w:t>
      </w:r>
      <w:r w:rsidRPr="00E93F40">
        <w:rPr>
          <w:rFonts w:ascii="Times New Roman" w:hAnsi="Times New Roman"/>
          <w:color w:val="000000" w:themeColor="text1"/>
          <w:sz w:val="16"/>
          <w:szCs w:val="16"/>
        </w:rPr>
        <w:softHyphen/>
        <w:t>ми масляными баками по 12,5 л и указателем уровня топлива.</w:t>
      </w:r>
    </w:p>
    <w:p w14:paraId="37ADCE1E"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перечисленных доработок вес пу</w:t>
      </w:r>
      <w:r w:rsidRPr="00E93F40">
        <w:rPr>
          <w:rFonts w:ascii="Times New Roman" w:hAnsi="Times New Roman"/>
          <w:color w:val="000000" w:themeColor="text1"/>
          <w:sz w:val="16"/>
          <w:szCs w:val="16"/>
        </w:rPr>
        <w:softHyphen/>
        <w:t>стого ТБ-1 составил 4602 кг. По сравнению со стандартным ТБ-1, вес пустого самолета увеличился на 177 кг. Увеличение веса за счет установки пирамид крепления истребителей, дополнительных баков и усиления шасси со</w:t>
      </w:r>
      <w:r w:rsidRPr="00E93F40">
        <w:rPr>
          <w:rFonts w:ascii="Times New Roman" w:hAnsi="Times New Roman"/>
          <w:color w:val="000000" w:themeColor="text1"/>
          <w:sz w:val="16"/>
          <w:szCs w:val="16"/>
        </w:rPr>
        <w:softHyphen/>
        <w:t>ставило 245 кг, однако это значение удалось уменьшить на 68 кг за счет снятия кассетных бомбодержателей Дер-9. Вес каждого пусто</w:t>
      </w:r>
      <w:r w:rsidRPr="00E93F40">
        <w:rPr>
          <w:rFonts w:ascii="Times New Roman" w:hAnsi="Times New Roman"/>
          <w:color w:val="000000" w:themeColor="text1"/>
          <w:sz w:val="16"/>
          <w:szCs w:val="16"/>
        </w:rPr>
        <w:softHyphen/>
        <w:t>го И-4 уменьшился на 10 кг и составил 965 кг (снятые нижние крылышки дали экономию 20 кг, однако эта величина сократилась на 10 кг за счет монтажа дополнительных маслоба</w:t>
      </w:r>
      <w:r w:rsidRPr="00E93F40">
        <w:rPr>
          <w:rFonts w:ascii="Times New Roman" w:hAnsi="Times New Roman"/>
          <w:color w:val="000000" w:themeColor="text1"/>
          <w:sz w:val="16"/>
          <w:szCs w:val="16"/>
        </w:rPr>
        <w:softHyphen/>
        <w:t>ков и узлов их крепления). Нормальный по</w:t>
      </w:r>
      <w:r w:rsidRPr="00E93F40">
        <w:rPr>
          <w:rFonts w:ascii="Times New Roman" w:hAnsi="Times New Roman"/>
          <w:color w:val="000000" w:themeColor="text1"/>
          <w:sz w:val="16"/>
          <w:szCs w:val="16"/>
        </w:rPr>
        <w:softHyphen/>
        <w:t>летный вес СЗ-1 составил 10 500 кг — ТБ-1 с экипажем и запасом бензина 1625 кг весил 7453 кг, плюс два И-4 со взлетным весом по 1518 кг. При максимальном запасе бензина 2625 кг и 1000 кг бомб максимальный полет</w:t>
      </w:r>
      <w:r w:rsidRPr="00E93F40">
        <w:rPr>
          <w:rFonts w:ascii="Times New Roman" w:hAnsi="Times New Roman"/>
          <w:color w:val="000000" w:themeColor="text1"/>
          <w:sz w:val="16"/>
          <w:szCs w:val="16"/>
        </w:rPr>
        <w:softHyphen/>
        <w:t>ный вес СЗ-1 составил 12 500 кг.</w:t>
      </w:r>
    </w:p>
    <w:p w14:paraId="21C91F61"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20, 21, 22, 29,31 мая, 5, 14, 15 июня 1932 бы</w:t>
      </w:r>
      <w:r w:rsidRPr="00E93F40">
        <w:rPr>
          <w:rFonts w:ascii="Times New Roman" w:hAnsi="Times New Roman"/>
          <w:color w:val="000000" w:themeColor="text1"/>
          <w:sz w:val="16"/>
          <w:szCs w:val="16"/>
        </w:rPr>
        <w:softHyphen/>
        <w:t>ло выполнено 9 испытательных и контрольных полетов с отцепкой истребителей в воздухе. На 10 июня был запланирован перелет по мар</w:t>
      </w:r>
      <w:r w:rsidRPr="00E93F40">
        <w:rPr>
          <w:rFonts w:ascii="Times New Roman" w:hAnsi="Times New Roman"/>
          <w:color w:val="000000" w:themeColor="text1"/>
          <w:sz w:val="16"/>
          <w:szCs w:val="16"/>
        </w:rPr>
        <w:softHyphen/>
        <w:t>шруту Монино— Киев— Монино с полетным весом 12500 кг. По плану ТБ-1 должен был до</w:t>
      </w:r>
      <w:r w:rsidRPr="00E93F40">
        <w:rPr>
          <w:rFonts w:ascii="Times New Roman" w:hAnsi="Times New Roman"/>
          <w:color w:val="000000" w:themeColor="text1"/>
          <w:sz w:val="16"/>
          <w:szCs w:val="16"/>
        </w:rPr>
        <w:softHyphen/>
        <w:t>лететь до Киева, выпустить истребители, сбро</w:t>
      </w:r>
      <w:r w:rsidRPr="00E93F40">
        <w:rPr>
          <w:rFonts w:ascii="Times New Roman" w:hAnsi="Times New Roman"/>
          <w:color w:val="000000" w:themeColor="text1"/>
          <w:sz w:val="16"/>
          <w:szCs w:val="16"/>
        </w:rPr>
        <w:softHyphen/>
        <w:t>сить 1000 кг бомб и вернуться в Монино. Одна</w:t>
      </w:r>
      <w:r w:rsidRPr="00E93F40">
        <w:rPr>
          <w:rFonts w:ascii="Times New Roman" w:hAnsi="Times New Roman"/>
          <w:color w:val="000000" w:themeColor="text1"/>
          <w:sz w:val="16"/>
          <w:szCs w:val="16"/>
        </w:rPr>
        <w:softHyphen/>
        <w:t>ко сильный встречный ветер и недостаток го</w:t>
      </w:r>
      <w:r w:rsidRPr="00E93F40">
        <w:rPr>
          <w:rFonts w:ascii="Times New Roman" w:hAnsi="Times New Roman"/>
          <w:color w:val="000000" w:themeColor="text1"/>
          <w:sz w:val="16"/>
          <w:szCs w:val="16"/>
        </w:rPr>
        <w:softHyphen/>
        <w:t>рючего заставил произвести расцепку в районе Брянска. Впрочем, это не повлияло на поло</w:t>
      </w:r>
      <w:r w:rsidRPr="00E93F40">
        <w:rPr>
          <w:rFonts w:ascii="Times New Roman" w:hAnsi="Times New Roman"/>
          <w:color w:val="000000" w:themeColor="text1"/>
          <w:sz w:val="16"/>
          <w:szCs w:val="16"/>
        </w:rPr>
        <w:softHyphen/>
        <w:t>жительный отзыв о проведенных испытаниях. На их заключительном этапе, 14 июня провели отцепку только одного из двух истребителей. Носитель ТБ-1 с одним закрепленным И-4 со</w:t>
      </w:r>
      <w:r w:rsidRPr="00E93F40">
        <w:rPr>
          <w:rFonts w:ascii="Times New Roman" w:hAnsi="Times New Roman"/>
          <w:color w:val="000000" w:themeColor="text1"/>
          <w:sz w:val="16"/>
          <w:szCs w:val="16"/>
        </w:rPr>
        <w:softHyphen/>
        <w:t>хранял устойчивость и мог продолжать прямо</w:t>
      </w:r>
      <w:r w:rsidRPr="00E93F40">
        <w:rPr>
          <w:rFonts w:ascii="Times New Roman" w:hAnsi="Times New Roman"/>
          <w:color w:val="000000" w:themeColor="text1"/>
          <w:sz w:val="16"/>
          <w:szCs w:val="16"/>
        </w:rPr>
        <w:softHyphen/>
        <w:t>линейный полет.</w:t>
      </w:r>
    </w:p>
    <w:p w14:paraId="3BC594D8"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показали надежность работы всех механизмов, за все время не было ни од</w:t>
      </w:r>
      <w:r w:rsidRPr="00E93F40">
        <w:rPr>
          <w:rFonts w:ascii="Times New Roman" w:hAnsi="Times New Roman"/>
          <w:color w:val="000000" w:themeColor="text1"/>
          <w:sz w:val="16"/>
          <w:szCs w:val="16"/>
        </w:rPr>
        <w:softHyphen/>
        <w:t>ного случая неисправности. В отчете по ис</w:t>
      </w:r>
      <w:r w:rsidRPr="00E93F40">
        <w:rPr>
          <w:rFonts w:ascii="Times New Roman" w:hAnsi="Times New Roman"/>
          <w:color w:val="000000" w:themeColor="text1"/>
          <w:sz w:val="16"/>
          <w:szCs w:val="16"/>
        </w:rPr>
        <w:softHyphen/>
        <w:t>пытаниям СЗ-1 говорилось, что положитель</w:t>
      </w:r>
      <w:r w:rsidRPr="00E93F40">
        <w:rPr>
          <w:rFonts w:ascii="Times New Roman" w:hAnsi="Times New Roman"/>
          <w:color w:val="000000" w:themeColor="text1"/>
          <w:sz w:val="16"/>
          <w:szCs w:val="16"/>
        </w:rPr>
        <w:softHyphen/>
        <w:t>ным результатом создания «самолета-звена» является возможность истребительного ох</w:t>
      </w:r>
      <w:r w:rsidRPr="00E93F40">
        <w:rPr>
          <w:rFonts w:ascii="Times New Roman" w:hAnsi="Times New Roman"/>
          <w:color w:val="000000" w:themeColor="text1"/>
          <w:sz w:val="16"/>
          <w:szCs w:val="16"/>
        </w:rPr>
        <w:softHyphen/>
        <w:t>ранения при действиях тяжелого бомбарди</w:t>
      </w:r>
      <w:r w:rsidRPr="00E93F40">
        <w:rPr>
          <w:rFonts w:ascii="Times New Roman" w:hAnsi="Times New Roman"/>
          <w:color w:val="000000" w:themeColor="text1"/>
          <w:sz w:val="16"/>
          <w:szCs w:val="16"/>
        </w:rPr>
        <w:softHyphen/>
        <w:t>ровщика в глубоком тылу противника. Овла</w:t>
      </w:r>
      <w:r w:rsidRPr="00E93F40">
        <w:rPr>
          <w:rFonts w:ascii="Times New Roman" w:hAnsi="Times New Roman"/>
          <w:color w:val="000000" w:themeColor="text1"/>
          <w:sz w:val="16"/>
          <w:szCs w:val="16"/>
        </w:rPr>
        <w:softHyphen/>
        <w:t>дение управлением СЗ-1 не требует от летчи</w:t>
      </w:r>
      <w:r w:rsidRPr="00E93F40">
        <w:rPr>
          <w:rFonts w:ascii="Times New Roman" w:hAnsi="Times New Roman"/>
          <w:color w:val="000000" w:themeColor="text1"/>
          <w:sz w:val="16"/>
          <w:szCs w:val="16"/>
        </w:rPr>
        <w:softHyphen/>
        <w:t>ков высокой квалификации. Использование избыточной мощности истребителей облег</w:t>
      </w:r>
      <w:r w:rsidRPr="00E93F40">
        <w:rPr>
          <w:rFonts w:ascii="Times New Roman" w:hAnsi="Times New Roman"/>
          <w:color w:val="000000" w:themeColor="text1"/>
          <w:sz w:val="16"/>
          <w:szCs w:val="16"/>
        </w:rPr>
        <w:softHyphen/>
        <w:t>чает взлет тяжело нагруженного бомбарди</w:t>
      </w:r>
      <w:r w:rsidRPr="00E93F40">
        <w:rPr>
          <w:rFonts w:ascii="Times New Roman" w:hAnsi="Times New Roman"/>
          <w:color w:val="000000" w:themeColor="text1"/>
          <w:sz w:val="16"/>
          <w:szCs w:val="16"/>
        </w:rPr>
        <w:softHyphen/>
        <w:t>ровщика с аэродрома. По сравнению с обыч</w:t>
      </w:r>
      <w:r w:rsidRPr="00E93F40">
        <w:rPr>
          <w:rFonts w:ascii="Times New Roman" w:hAnsi="Times New Roman"/>
          <w:color w:val="000000" w:themeColor="text1"/>
          <w:sz w:val="16"/>
          <w:szCs w:val="16"/>
        </w:rPr>
        <w:softHyphen/>
        <w:t>ным ТБ-1, система СЗ-1 имеет значительные преимущества. При одинаковой нагрузке по</w:t>
      </w:r>
      <w:r w:rsidRPr="00E93F40">
        <w:rPr>
          <w:rFonts w:ascii="Times New Roman" w:hAnsi="Times New Roman"/>
          <w:color w:val="000000" w:themeColor="text1"/>
          <w:sz w:val="16"/>
          <w:szCs w:val="16"/>
        </w:rPr>
        <w:softHyphen/>
        <w:t>толок увеличивается на 500-600 метров, дли</w:t>
      </w:r>
      <w:r w:rsidRPr="00E93F40">
        <w:rPr>
          <w:rFonts w:ascii="Times New Roman" w:hAnsi="Times New Roman"/>
          <w:color w:val="000000" w:themeColor="text1"/>
          <w:sz w:val="16"/>
          <w:szCs w:val="16"/>
        </w:rPr>
        <w:softHyphen/>
        <w:t>на разбега уменьшается на 150-200 м. Созда</w:t>
      </w:r>
      <w:r w:rsidRPr="00E93F40">
        <w:rPr>
          <w:rFonts w:ascii="Times New Roman" w:hAnsi="Times New Roman"/>
          <w:color w:val="000000" w:themeColor="text1"/>
          <w:sz w:val="16"/>
          <w:szCs w:val="16"/>
        </w:rPr>
        <w:softHyphen/>
        <w:t>ние СЗ-1 оценивалось как значительное до</w:t>
      </w:r>
      <w:r w:rsidRPr="00E93F40">
        <w:rPr>
          <w:rFonts w:ascii="Times New Roman" w:hAnsi="Times New Roman"/>
          <w:color w:val="000000" w:themeColor="text1"/>
          <w:sz w:val="16"/>
          <w:szCs w:val="16"/>
        </w:rPr>
        <w:softHyphen/>
        <w:t>стижение, для оценки тактических и эксплу</w:t>
      </w:r>
      <w:r w:rsidRPr="00E93F40">
        <w:rPr>
          <w:rFonts w:ascii="Times New Roman" w:hAnsi="Times New Roman"/>
          <w:color w:val="000000" w:themeColor="text1"/>
          <w:sz w:val="16"/>
          <w:szCs w:val="16"/>
        </w:rPr>
        <w:softHyphen/>
        <w:t>атационных особенностей звена предлага</w:t>
      </w:r>
      <w:r w:rsidRPr="00E93F40">
        <w:rPr>
          <w:rFonts w:ascii="Times New Roman" w:hAnsi="Times New Roman"/>
          <w:color w:val="000000" w:themeColor="text1"/>
          <w:sz w:val="16"/>
          <w:szCs w:val="16"/>
        </w:rPr>
        <w:softHyphen/>
        <w:t>лось построить эскадрилью таких самолетов. Далее предлагалось произвести установку на ТБ-1 двух истребителей И-5, а затем присту</w:t>
      </w:r>
      <w:r w:rsidRPr="00E93F40">
        <w:rPr>
          <w:rFonts w:ascii="Times New Roman" w:hAnsi="Times New Roman"/>
          <w:color w:val="000000" w:themeColor="text1"/>
          <w:sz w:val="16"/>
          <w:szCs w:val="16"/>
        </w:rPr>
        <w:softHyphen/>
        <w:t>пить к опытам по переливу горючего с ТБ-1 и ТБ-Зна И-4 и И-5 (12295).</w:t>
      </w:r>
    </w:p>
    <w:p w14:paraId="25EBFCAF" w14:textId="77777777" w:rsidR="00272919" w:rsidRPr="00E93F40" w:rsidRDefault="00272919" w:rsidP="00E93F40">
      <w:pPr>
        <w:spacing w:after="0" w:line="240" w:lineRule="auto"/>
        <w:jc w:val="both"/>
        <w:rPr>
          <w:rFonts w:ascii="Times New Roman" w:hAnsi="Times New Roman"/>
          <w:color w:val="000000" w:themeColor="text1"/>
          <w:sz w:val="16"/>
          <w:szCs w:val="16"/>
        </w:rPr>
      </w:pPr>
    </w:p>
    <w:p w14:paraId="40C28F36" w14:textId="1B339504" w:rsidR="001D7244" w:rsidRPr="00E93F40" w:rsidRDefault="001D72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19 мая 1932 г. после всех проведенных доработок «Самолет-Звено-1» допустили к государственным испытаниям</w:t>
      </w:r>
      <w:r w:rsidR="00CD6DEE"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 xml:space="preserve"> и они начались. В период 20, 21, 22, 29, 31 мая, 5, 14, 15 июня было выполнено 9 испытател ных и контрольных полетов с отцепкой истребителей в воздухе. На 10 июня был запланирован перелет по маршруту Монино-Киев-Монино с полетным весом 12 500 кг. По плану ТБ-1 должен был долететь до Ки</w:t>
      </w:r>
      <w:r w:rsidRPr="00E93F40">
        <w:rPr>
          <w:rFonts w:ascii="Times New Roman" w:hAnsi="Times New Roman"/>
          <w:color w:val="000000" w:themeColor="text1"/>
          <w:sz w:val="16"/>
          <w:szCs w:val="16"/>
        </w:rPr>
        <w:softHyphen/>
        <w:t>ева, выпустить истребители, сбросить 1000 кг бомб и вернуться в Монино. Однако сильный встречный ве</w:t>
      </w:r>
      <w:r w:rsidRPr="00E93F40">
        <w:rPr>
          <w:rFonts w:ascii="Times New Roman" w:hAnsi="Times New Roman"/>
          <w:color w:val="000000" w:themeColor="text1"/>
          <w:sz w:val="16"/>
          <w:szCs w:val="16"/>
        </w:rPr>
        <w:softHyphen/>
        <w:t>тер и недостаток горючего заставили произвести рас</w:t>
      </w:r>
      <w:r w:rsidRPr="00E93F40">
        <w:rPr>
          <w:rFonts w:ascii="Times New Roman" w:hAnsi="Times New Roman"/>
          <w:color w:val="000000" w:themeColor="text1"/>
          <w:sz w:val="16"/>
          <w:szCs w:val="16"/>
        </w:rPr>
        <w:softHyphen/>
        <w:t>цепку в районе Брянска. Впрочем, это не повлияло на положительный отзыв о проведенных испытаниях. На их заключительном этапе, 14 июня, провели отцепку только одного из двух истребителей. Носитель ТБ-1 с одним закрепленным И-4 сохранял устойчивость и мог продолжать прямолинейный полет. (3, 4)</w:t>
      </w:r>
    </w:p>
    <w:p w14:paraId="02FCE522" w14:textId="77777777" w:rsidR="001D7244" w:rsidRPr="00E93F40" w:rsidRDefault="001D72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показали надежность работы всех ме</w:t>
      </w:r>
      <w:r w:rsidRPr="00E93F40">
        <w:rPr>
          <w:rFonts w:ascii="Times New Roman" w:hAnsi="Times New Roman"/>
          <w:color w:val="000000" w:themeColor="text1"/>
          <w:sz w:val="16"/>
          <w:szCs w:val="16"/>
        </w:rPr>
        <w:softHyphen/>
        <w:t>ханизмов, за все время не было ни одного случая не</w:t>
      </w:r>
      <w:r w:rsidRPr="00E93F40">
        <w:rPr>
          <w:rFonts w:ascii="Times New Roman" w:hAnsi="Times New Roman"/>
          <w:color w:val="000000" w:themeColor="text1"/>
          <w:sz w:val="16"/>
          <w:szCs w:val="16"/>
        </w:rPr>
        <w:softHyphen/>
        <w:t>исправности. В отчете по испытаниям СЗ-1 говори</w:t>
      </w:r>
      <w:r w:rsidRPr="00E93F40">
        <w:rPr>
          <w:rFonts w:ascii="Times New Roman" w:hAnsi="Times New Roman"/>
          <w:color w:val="000000" w:themeColor="text1"/>
          <w:sz w:val="16"/>
          <w:szCs w:val="16"/>
        </w:rPr>
        <w:softHyphen/>
        <w:t>лось, что положительным результатом создания «самолета-звена» является возможность истребитель</w:t>
      </w:r>
      <w:r w:rsidRPr="00E93F40">
        <w:rPr>
          <w:rFonts w:ascii="Times New Roman" w:hAnsi="Times New Roman"/>
          <w:color w:val="000000" w:themeColor="text1"/>
          <w:sz w:val="16"/>
          <w:szCs w:val="16"/>
        </w:rPr>
        <w:softHyphen/>
        <w:t>ного охранения при действиях тяжелого бомбарди</w:t>
      </w:r>
      <w:r w:rsidRPr="00E93F40">
        <w:rPr>
          <w:rFonts w:ascii="Times New Roman" w:hAnsi="Times New Roman"/>
          <w:color w:val="000000" w:themeColor="text1"/>
          <w:sz w:val="16"/>
          <w:szCs w:val="16"/>
        </w:rPr>
        <w:softHyphen/>
        <w:t>ровщика в глубоком тылу противника. Овладение управлением СЗ-1 не требует от летчиков высокой квалификации. Использование избыточной мощнос</w:t>
      </w:r>
      <w:r w:rsidRPr="00E93F40">
        <w:rPr>
          <w:rFonts w:ascii="Times New Roman" w:hAnsi="Times New Roman"/>
          <w:color w:val="000000" w:themeColor="text1"/>
          <w:sz w:val="16"/>
          <w:szCs w:val="16"/>
        </w:rPr>
        <w:softHyphen/>
        <w:t>ти истребителей облегчает взлет тяжело нагруженно</w:t>
      </w:r>
      <w:r w:rsidRPr="00E93F40">
        <w:rPr>
          <w:rFonts w:ascii="Times New Roman" w:hAnsi="Times New Roman"/>
          <w:color w:val="000000" w:themeColor="text1"/>
          <w:sz w:val="16"/>
          <w:szCs w:val="16"/>
        </w:rPr>
        <w:softHyphen/>
        <w:t>го бомбардировщика с аэродрома. По сравнению с обычным ТБ-1, система СЗ-1 имеет значительные преимущества. При одинаковой нагрузке потолок увеличивается на 500-600 метров, длина разбега уменьшается на 150-200 м. Создание СЗ-1 оценива</w:t>
      </w:r>
      <w:r w:rsidRPr="00E93F40">
        <w:rPr>
          <w:rFonts w:ascii="Times New Roman" w:hAnsi="Times New Roman"/>
          <w:color w:val="000000" w:themeColor="text1"/>
          <w:sz w:val="16"/>
          <w:szCs w:val="16"/>
        </w:rPr>
        <w:softHyphen/>
        <w:t>лось как значительное достижение, для оценки так</w:t>
      </w:r>
      <w:r w:rsidRPr="00E93F40">
        <w:rPr>
          <w:rFonts w:ascii="Times New Roman" w:hAnsi="Times New Roman"/>
          <w:color w:val="000000" w:themeColor="text1"/>
          <w:sz w:val="16"/>
          <w:szCs w:val="16"/>
        </w:rPr>
        <w:softHyphen/>
        <w:t>тических и эксплуатационных особенностей звена предлагалось построить эскадрилью таких самолетов. Далее предлагалось произвести установку на ТБ-1 двух истребителей И-5, а затем приступить к опытам по переливу горючего с ТБ-1 и ТБ-3 на И-4 и И-5 (23378).</w:t>
      </w:r>
    </w:p>
    <w:p w14:paraId="3AEF0D03" w14:textId="77777777" w:rsidR="001D7244" w:rsidRPr="00E93F40" w:rsidRDefault="001D7244" w:rsidP="00E93F40">
      <w:pPr>
        <w:spacing w:after="0" w:line="240" w:lineRule="auto"/>
        <w:jc w:val="both"/>
        <w:rPr>
          <w:rFonts w:ascii="Times New Roman" w:hAnsi="Times New Roman"/>
          <w:color w:val="000000" w:themeColor="text1"/>
          <w:sz w:val="16"/>
          <w:szCs w:val="16"/>
        </w:rPr>
      </w:pPr>
    </w:p>
    <w:p w14:paraId="7E3719FC"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19 мая 1932 года начались государственным испытаниям звена СЗ-1. Всего было выполнено девять контрольных полётов. На 10 июня был запланирован перелёт по маршруту Монино Киев Монино. По плану ТБ-1 должен был долететь до Киева, выпустить истребители, сбросить 1000 кг бомб и вернуться в Монино. Однако сильный встречный ветер и недостаток горючего заставили произвести расцепку в районе Брянска. Впро</w:t>
      </w:r>
      <w:r w:rsidRPr="00142305">
        <w:rPr>
          <w:rStyle w:val="aff"/>
          <w:rFonts w:ascii="Times New Roman" w:hAnsi="Times New Roman" w:cs="Times New Roman"/>
          <w:color w:val="0070C0"/>
          <w:spacing w:val="0"/>
          <w:sz w:val="16"/>
          <w:szCs w:val="16"/>
        </w:rPr>
        <w:softHyphen/>
        <w:t>чем, это не повлияло на положительный отзыв о проведённых испытаниях. На заключительном этапе, 14 июня, провели отцепку только одного из двух истре</w:t>
      </w:r>
      <w:r w:rsidRPr="00142305">
        <w:rPr>
          <w:rStyle w:val="aff"/>
          <w:rFonts w:ascii="Times New Roman" w:hAnsi="Times New Roman" w:cs="Times New Roman"/>
          <w:color w:val="0070C0"/>
          <w:spacing w:val="0"/>
          <w:sz w:val="16"/>
          <w:szCs w:val="16"/>
        </w:rPr>
        <w:softHyphen/>
        <w:t>бителей. С одним закреплённым истребителем ТБ-1 сохранял устойчивость и мог продолжать прямолинейный полёт.</w:t>
      </w:r>
    </w:p>
    <w:p w14:paraId="22ECD7ED"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Испытания показали надёжность работы всех механизмов, за всё время не было ни одного случая неисправности. В отчете по испытаниям СЗ-1 отмечалось, овладение управлением СЗ-1 не требует от летчиков высокой квалифи</w:t>
      </w:r>
      <w:r w:rsidRPr="00142305">
        <w:rPr>
          <w:rStyle w:val="aff"/>
          <w:rFonts w:ascii="Times New Roman" w:hAnsi="Times New Roman" w:cs="Times New Roman"/>
          <w:color w:val="0070C0"/>
          <w:spacing w:val="0"/>
          <w:sz w:val="16"/>
          <w:szCs w:val="16"/>
        </w:rPr>
        <w:softHyphen/>
        <w:t>кации (25618).</w:t>
      </w:r>
    </w:p>
    <w:p w14:paraId="732470D7" w14:textId="77777777"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p>
    <w:p w14:paraId="694993B9"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года НИИ ВВС утвердил "Положение о государственных испытаниях опытных и лицензионных самолетов советского производства", в котором впервые предписывалось: "Всемерное развитие и поощрение конструирования новых образцов как по числу, так и по качеству должно, вместе с тем, обеспечить наличие и поддержание минимального числа типов в серийном производстве, для чего при конструировании каждого военного и гражданского самолета исходить из требований, предъявленным самолетам основных военных видов авиации, установленных РВС СССР" (12704).</w:t>
      </w:r>
    </w:p>
    <w:p w14:paraId="46B50B5B"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p>
    <w:p w14:paraId="2A81722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305490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CFDC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года УВМС были выданы заводу "Большевик" дополнительные ТТЗ на 130/45-мм установки для подводных лодок с углом возвышения до +30 и для надводных кораблей с углом возвышения +45. К тому времени длина ствола была увеличена до 50 калибров, клиновой затвор был сменен поршневым и введено картузное заряжание (3861).</w:t>
      </w:r>
    </w:p>
    <w:p w14:paraId="0D519C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5F436E" w14:textId="77777777"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r w:rsidRPr="0096770E">
        <w:rPr>
          <w:rFonts w:ascii="Times New Roman" w:hAnsi="Times New Roman" w:cs="Times New Roman"/>
          <w:i w:val="0"/>
          <w:iCs w:val="0"/>
          <w:color w:val="0070C0"/>
          <w:sz w:val="16"/>
          <w:szCs w:val="16"/>
          <w:lang w:val="ru-RU"/>
        </w:rPr>
        <w:t>19 мая 1932 н. для определения тепловых режимов работы двигателя состоялось специальное испытание самоходной установки Т-27М (Т-27С, или Т-27/С/), в ходе которого причиной закипания воды через 15 мин после начала движения определили пирамидальный кожух, прикрывающий радиатор вместо стандартных дверок Т-27 (25561).</w:t>
      </w:r>
    </w:p>
    <w:p w14:paraId="2AAAB51E" w14:textId="77777777"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p>
    <w:p w14:paraId="0EF6A181" w14:textId="77777777" w:rsidR="00295309" w:rsidRPr="00E93F40" w:rsidRDefault="0029530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1933 года «советские бюики» отправились в испытательный пробег до Москвы и обратно (номера государственной регистрации этих машин: А-66-47, А-66-48, А-66-49, А-66-50, А-66-51 и А-66-52). Заметным внешним отличием Л-1 в этот период стало появление мягких кожухов запасных колес с надписью «Красный Путиловец», полностью закрывающих «запаски». Кожухи заменили плоскую крышку в центре колеса с обозначением «Л-1», заметную на первомайских фотографиях опытных лимузинов. На следующий день колонна прибыла в Москву. В ходе пробега машины двигались в разнообразных дорожных условиях со скоростью от 20 до 85 км/ч. В столице их осматривал Г.К. Орджоникидзе, возглавлявший Наркомтяжпром. Он поставил перед коллективом завода задачу - дать в следующем 1934 году две тысячи легковых автомобилей (15591).</w:t>
      </w:r>
    </w:p>
    <w:p w14:paraId="269E9719" w14:textId="77777777" w:rsidR="00295309" w:rsidRPr="00E93F40" w:rsidRDefault="00295309" w:rsidP="00E93F40">
      <w:pPr>
        <w:spacing w:after="0" w:line="240" w:lineRule="auto"/>
        <w:jc w:val="both"/>
        <w:rPr>
          <w:rFonts w:ascii="Times New Roman" w:hAnsi="Times New Roman"/>
          <w:color w:val="000000" w:themeColor="text1"/>
          <w:sz w:val="16"/>
          <w:szCs w:val="16"/>
        </w:rPr>
      </w:pPr>
    </w:p>
    <w:p w14:paraId="2D176DA1"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19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о развитии промышленности искусственного волокна (ГА РФ. Ф. Р?8418. Оп. 5. Д. 30. Л. 1?3) (12415).</w:t>
      </w:r>
    </w:p>
    <w:p w14:paraId="76D58144"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p>
    <w:p w14:paraId="77CD0E5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0AC8E4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DA1B52" w14:textId="77777777" w:rsidR="00713DD7" w:rsidRPr="00E93F40" w:rsidRDefault="00713DD7"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20 мая</w:t>
      </w:r>
      <w:r w:rsidRPr="00E93F40">
        <w:rPr>
          <w:rFonts w:ascii="Times New Roman" w:hAnsi="Times New Roman"/>
          <w:color w:val="000000" w:themeColor="text1"/>
          <w:sz w:val="16"/>
          <w:szCs w:val="16"/>
        </w:rPr>
        <w:t xml:space="preserve"> в 1932 году летчик-испытатель И.Ф.Козлов награжден орденом Красной Звезды за №27, за спасение опытного пушечного истребителя </w:t>
      </w:r>
      <w:hyperlink r:id="rId112" w:tgtFrame="_blank" w:history="1">
        <w:r w:rsidRPr="00E93F40">
          <w:rPr>
            <w:rFonts w:ascii="Times New Roman" w:hAnsi="Times New Roman"/>
            <w:color w:val="000000" w:themeColor="text1"/>
            <w:sz w:val="16"/>
            <w:szCs w:val="16"/>
          </w:rPr>
          <w:t xml:space="preserve">«И-12» </w:t>
        </w:r>
      </w:hyperlink>
      <w:r w:rsidRPr="00E93F40">
        <w:rPr>
          <w:rFonts w:ascii="Times New Roman" w:hAnsi="Times New Roman"/>
          <w:color w:val="000000" w:themeColor="text1"/>
          <w:sz w:val="16"/>
          <w:szCs w:val="16"/>
        </w:rPr>
        <w:t>с пушкой «АПК». 21 марта Козлов вылетел на Кунцевский полигон для опробования «АПК» в воздухе. Каждая пушка была укомплектована двумя снарядами: один находился в стволе, второй - в магазине. На высоте 1000 м пилот произвел выстрел из левой пушки. При этом произошел разрыв диффузора, срыв обтекателей орудия и повреждение проводки управления стабилизатором, который на «И-12» был переставным. Одновременно автоматика подачи направила в ствол очередной снаряд. Разрыв диффузора оказался совершенно неожиданным, так как до этого было проведено на земле более 100 удачных выстрелов.</w:t>
      </w:r>
    </w:p>
    <w:p w14:paraId="3856EC1C" w14:textId="77777777" w:rsidR="00713DD7" w:rsidRPr="00E93F40" w:rsidRDefault="00713D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Ситуация в воздухе складывалась угрожающая. Козлов видел развороченную обшивку, поврежденную хвостовую балку и понимал, что в любой момент машина может разрушиться. Прыгать с парашютом было опасно из-за высокой вероятности попасть в задний винт, да и не принято было у испытателей покидать машину, которая держалась в воздухе. С величайшей осторожностью пилот развернул самолет в сторону Центрального аэродрома. При посадке хвостовая балка переломилась, но опытный истребитель удалось спасти (14897).</w:t>
      </w:r>
    </w:p>
    <w:p w14:paraId="79ACC769" w14:textId="77777777" w:rsidR="00713DD7" w:rsidRPr="00E93F40" w:rsidRDefault="00713DD7" w:rsidP="00E93F40">
      <w:pPr>
        <w:spacing w:after="0" w:line="240" w:lineRule="auto"/>
        <w:jc w:val="both"/>
        <w:rPr>
          <w:rFonts w:ascii="Times New Roman" w:hAnsi="Times New Roman"/>
          <w:color w:val="000000" w:themeColor="text1"/>
          <w:sz w:val="16"/>
          <w:szCs w:val="16"/>
        </w:rPr>
      </w:pPr>
    </w:p>
    <w:p w14:paraId="746AED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21, 22, 29, 31 мая, 5, 14, 15 июня 1932 г. после всех проведенных доработок «Самолет-Звено-1» проходил к Госиспыта</w:t>
      </w:r>
      <w:r w:rsidRPr="00E93F40">
        <w:rPr>
          <w:rFonts w:ascii="Times New Roman" w:hAnsi="Times New Roman"/>
          <w:color w:val="000000" w:themeColor="text1"/>
          <w:sz w:val="16"/>
          <w:szCs w:val="16"/>
        </w:rPr>
        <w:softHyphen/>
        <w:t>ния. Было выполнено 9 испытательных и контрольных полетов с отцепкой истреби</w:t>
      </w:r>
      <w:r w:rsidRPr="00E93F40">
        <w:rPr>
          <w:rFonts w:ascii="Times New Roman" w:hAnsi="Times New Roman"/>
          <w:color w:val="000000" w:themeColor="text1"/>
          <w:sz w:val="16"/>
          <w:szCs w:val="16"/>
        </w:rPr>
        <w:softHyphen/>
        <w:t>телей в воздухе. На 10 июня запланировали перелет по маршруту Монино-Киев-Мони-но с максимальным полетным весом. По плану, ТБ-1 должен был прилететь в район Киева, выпустить истребители, сбросить 1000 кг бомб и вернуться в Монино. Однако сильный встречный ветер заставил произ</w:t>
      </w:r>
      <w:r w:rsidRPr="00E93F40">
        <w:rPr>
          <w:rFonts w:ascii="Times New Roman" w:hAnsi="Times New Roman"/>
          <w:color w:val="000000" w:themeColor="text1"/>
          <w:sz w:val="16"/>
          <w:szCs w:val="16"/>
        </w:rPr>
        <w:softHyphen/>
        <w:t>вести расцепку в районе Брянска. Впрочем, это не повлияло на положительный отзыв об испытаниях (11286).</w:t>
      </w:r>
    </w:p>
    <w:p w14:paraId="45317F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EBB9DB"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20, 21, 22, 29,31 мая, 5, 14, 15 июня 1932 бы</w:t>
      </w:r>
      <w:r w:rsidRPr="00E93F40">
        <w:rPr>
          <w:rFonts w:ascii="Times New Roman" w:hAnsi="Times New Roman"/>
          <w:color w:val="000000" w:themeColor="text1"/>
          <w:sz w:val="16"/>
          <w:szCs w:val="16"/>
        </w:rPr>
        <w:softHyphen/>
        <w:t>ло выполнено 9 испытательных и контрольных полетов с отцепкой истребителей в воздухе. На 10 июня был запланирован перелет по мар</w:t>
      </w:r>
      <w:r w:rsidRPr="00E93F40">
        <w:rPr>
          <w:rFonts w:ascii="Times New Roman" w:hAnsi="Times New Roman"/>
          <w:color w:val="000000" w:themeColor="text1"/>
          <w:sz w:val="16"/>
          <w:szCs w:val="16"/>
        </w:rPr>
        <w:softHyphen/>
        <w:t>шруту Монино— Киев— Монино с полетным весом 12500 кг. По плану ТБ-1 должен был до</w:t>
      </w:r>
      <w:r w:rsidRPr="00E93F40">
        <w:rPr>
          <w:rFonts w:ascii="Times New Roman" w:hAnsi="Times New Roman"/>
          <w:color w:val="000000" w:themeColor="text1"/>
          <w:sz w:val="16"/>
          <w:szCs w:val="16"/>
        </w:rPr>
        <w:softHyphen/>
        <w:t>лететь до Киева, выпустить истребители, сбро</w:t>
      </w:r>
      <w:r w:rsidRPr="00E93F40">
        <w:rPr>
          <w:rFonts w:ascii="Times New Roman" w:hAnsi="Times New Roman"/>
          <w:color w:val="000000" w:themeColor="text1"/>
          <w:sz w:val="16"/>
          <w:szCs w:val="16"/>
        </w:rPr>
        <w:softHyphen/>
        <w:t>сить 1000 кг бомб и вернуться в Монино. Одна</w:t>
      </w:r>
      <w:r w:rsidRPr="00E93F40">
        <w:rPr>
          <w:rFonts w:ascii="Times New Roman" w:hAnsi="Times New Roman"/>
          <w:color w:val="000000" w:themeColor="text1"/>
          <w:sz w:val="16"/>
          <w:szCs w:val="16"/>
        </w:rPr>
        <w:softHyphen/>
        <w:t>ко сильный встречный ветер и недостаток го</w:t>
      </w:r>
      <w:r w:rsidRPr="00E93F40">
        <w:rPr>
          <w:rFonts w:ascii="Times New Roman" w:hAnsi="Times New Roman"/>
          <w:color w:val="000000" w:themeColor="text1"/>
          <w:sz w:val="16"/>
          <w:szCs w:val="16"/>
        </w:rPr>
        <w:softHyphen/>
        <w:t>рючего заставил произвести расцепку в районе Брянска. Впрочем, это не повлияло на поло</w:t>
      </w:r>
      <w:r w:rsidRPr="00E93F40">
        <w:rPr>
          <w:rFonts w:ascii="Times New Roman" w:hAnsi="Times New Roman"/>
          <w:color w:val="000000" w:themeColor="text1"/>
          <w:sz w:val="16"/>
          <w:szCs w:val="16"/>
        </w:rPr>
        <w:softHyphen/>
        <w:t>жительный отзыв о проведенных испытаниях. На их заключительном этапе, 14 июня провели отцепку только одного из двух истребителей. Носитель ТБ-1 с одним закрепленным И-4 со</w:t>
      </w:r>
      <w:r w:rsidRPr="00E93F40">
        <w:rPr>
          <w:rFonts w:ascii="Times New Roman" w:hAnsi="Times New Roman"/>
          <w:color w:val="000000" w:themeColor="text1"/>
          <w:sz w:val="16"/>
          <w:szCs w:val="16"/>
        </w:rPr>
        <w:softHyphen/>
        <w:t>хранял устойчивость и мог продолжать прямо</w:t>
      </w:r>
      <w:r w:rsidRPr="00E93F40">
        <w:rPr>
          <w:rFonts w:ascii="Times New Roman" w:hAnsi="Times New Roman"/>
          <w:color w:val="000000" w:themeColor="text1"/>
          <w:sz w:val="16"/>
          <w:szCs w:val="16"/>
        </w:rPr>
        <w:softHyphen/>
        <w:t>линейный полет (12295).</w:t>
      </w:r>
    </w:p>
    <w:p w14:paraId="6C45C6D8" w14:textId="77777777" w:rsidR="00272919" w:rsidRPr="00E93F40" w:rsidRDefault="00272919" w:rsidP="00E93F40">
      <w:pPr>
        <w:spacing w:after="0" w:line="240" w:lineRule="auto"/>
        <w:jc w:val="both"/>
        <w:rPr>
          <w:rFonts w:ascii="Times New Roman" w:hAnsi="Times New Roman"/>
          <w:color w:val="000000" w:themeColor="text1"/>
          <w:sz w:val="16"/>
          <w:szCs w:val="16"/>
        </w:rPr>
      </w:pPr>
    </w:p>
    <w:p w14:paraId="4BEA46D4" w14:textId="414E678F" w:rsidR="003B5891" w:rsidRPr="00E93F40" w:rsidRDefault="003B589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20 мая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начали и закончили 14 июня 1932 госиспытания нового звена. За это время было сделано 11 полётов общей продолжительностью 23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ч 50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 В них участвовала та же команда: лётчики Залевский, Анисимов, Чкалов, бортинженеры</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Вахмистров и Морозов; не было только провинившегося при первом вылете лётчика Шарапова.</w:t>
      </w:r>
    </w:p>
    <w:p w14:paraId="75ABFE51" w14:textId="0E7DC429" w:rsidR="003B5891" w:rsidRPr="00E93F40" w:rsidRDefault="003B589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Так как «звену» нужно было летать на большие расстояния, с полной загрузкой, шасси ТБ-1 с наружной стороны усилили амортизационной стойкой от самолёта АНТ-9, а лонжерон в месте присоединения стойки укрепили добавочным подкосом. Был увеличен размер колёс. В бомбоотсеке установили дополнительные баки на 1250 литров бензина. Предполагалось, что с помощью ручного насоса бортмеханик будет подкачивать топливо в истребители. Внешние бензопроводы носителя и несомых самолётов соединялись через резиновую вставку, которая при взлёте И-4</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легко разъединялась. На практике перелива бензина из ТБ-1 в И-4 не проводили; возможно, система перекачки даже не была смонтирована.</w:t>
      </w:r>
    </w:p>
    <w:p w14:paraId="62485851" w14:textId="36BDC46C" w:rsidR="003B5891" w:rsidRPr="00E93F40" w:rsidRDefault="003B589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ходе полётов были замерены характеристики составного самолёта «Звено-1» при различном взлётном весе и сделан вывод, что система ТБ-1 + 2 И-4 при всех работающих моторах позволяет увеличить потолок на 500–600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м и сократить длину разбега по сравнению с одиночным ТБ-1 </w:t>
      </w:r>
      <w:hyperlink r:id="rId113" w:history="1">
        <w:r w:rsidRPr="00E93F40">
          <w:rPr>
            <w:rFonts w:ascii="Times New Roman" w:eastAsia="Times New Roman" w:hAnsi="Times New Roman"/>
            <w:color w:val="000000" w:themeColor="text1"/>
            <w:sz w:val="16"/>
            <w:szCs w:val="16"/>
            <w:lang w:eastAsia="ru-RU"/>
          </w:rPr>
          <w:t>[78]</w:t>
        </w:r>
      </w:hyperlink>
      <w:r w:rsidRPr="00E93F40">
        <w:rPr>
          <w:rFonts w:ascii="Times New Roman" w:eastAsia="Times New Roman" w:hAnsi="Times New Roman"/>
          <w:color w:val="000000" w:themeColor="text1"/>
          <w:sz w:val="16"/>
          <w:szCs w:val="16"/>
          <w:lang w:eastAsia="ru-RU"/>
        </w:rPr>
        <w:t xml:space="preserve"> .</w:t>
      </w:r>
    </w:p>
    <w:p w14:paraId="0C71150A" w14:textId="12772CAB" w:rsidR="003B5891" w:rsidRPr="00E93F40" w:rsidRDefault="003B589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один из дней состоялся полёт с отделением одного И-4 на высоте 1000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 Опыт прошёл успешно, нарушений устойчивости и управляемости ТБ-1 с одним самолётом на крыле не наблюдалось. Но перед посадкой второй истребитель также стартовал в полёт.</w:t>
      </w:r>
    </w:p>
    <w:p w14:paraId="6940CC8A" w14:textId="2F181EF0" w:rsidR="003B5891" w:rsidRPr="00E93F40" w:rsidRDefault="003B589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 10 июня был намечен дальний перелёт самолёта-звена. ТБ-1 с двумя истребителями должен был стартовать в Монино, прилететь в Киев, отделить самолёты, сбросить на полигоне 1000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бомб и вернуться в Монино без промежуточных посадок. Баки всех трёх машин заправили до отказа, вес «звена»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составил 12 500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Но из-за сильного встречного ветра топлива хватило только до Брянска. Там самолёты приземлились. После заправки ТБ-1 продолжил полёт до Киева, а истребители вернулись в Монино.</w:t>
      </w:r>
    </w:p>
    <w:p w14:paraId="75F3B4E7" w14:textId="77777777" w:rsidR="003B5891" w:rsidRPr="00E93F40" w:rsidRDefault="003B589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lastRenderedPageBreak/>
        <w:t>В целом Государственные испытания сочли успешными. Рекомендовалось построить эскадрилью самолётов «Звено-1» для войсковых испытаний, перейти к опытам с бомбардировщиками ТБ-3 и истребителями И-5, разработать конструкцию и произвести опыты перелива горючего в истребители в полете в составе «Звена».</w:t>
      </w:r>
    </w:p>
    <w:p w14:paraId="216FFBE7" w14:textId="31E94E35" w:rsidR="003B5891" w:rsidRPr="00E93F40" w:rsidRDefault="003B589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Новым шеф-пилотом самолёта-носителя «звеньев» стал лётчик-испытатель НИИ ВВС Пётр Михайлович Стефановский, оставивший интересные мемуары об этих экспериментах. Однажды ему пришлось сажать «Звено-1» с истребителями на крыле. В тот день намечался обычный полёт на отработку техники взлёта с крыла. Но лётчик истребителя В.К. Коккинаки, на рассчитав силу, оборвал трос расцепления замка задней опоры и не смог отделится от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ТБ-1. Так как посадка с одним самолётом на крыле была опасна из-за несимметричной конфигурации «звена», Пётр Михайлович запретил взлёт лётчику второго И-4 И.Ф. Гроздю, уже отсоединившему задний замок, пошёл на снижение и плавно коснулся земли. Казалось бы, всё позади. Но тут чуть не случилось непоправимое. Стефановский пишет: «Самолёт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Иустина (Гроздя)</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не сорвался ли он с плоскости? Глянул в его сторону и обмер. Истребитель повис на задней треноге крепления и раскачивается. Вверху в такт ему болтается лётчик. Одним словом — цирк Вахмистрова.</w:t>
      </w:r>
    </w:p>
    <w:p w14:paraId="601F9BAA" w14:textId="29A0FA97" w:rsidR="003B5891" w:rsidRPr="00E93F40" w:rsidRDefault="003B589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первую очередь освободили Гроздя. Обняли, расцеловали. Как-никак он больше всех натерпелся страху. А могло быть и хуже. Дело в том, что на пробеге, когда руль глубины из-за потери скорости потерял эффективность, истребитель, хвост которого не был закреплен, начал сползать с плоскости бомбардировщика. Задняя ферма крепления, наклонившись под углом тридцать градусов, прорвала фюзеляж И-4 и уперлась в спинку сиденья лётчика.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Нос истребителя неестественно задрался. Будь при посадке толчок посильнее, самолёт Гроздя сорвался бы» </w:t>
      </w:r>
      <w:hyperlink r:id="rId114" w:history="1">
        <w:r w:rsidRPr="00E93F40">
          <w:rPr>
            <w:rFonts w:ascii="Times New Roman" w:eastAsia="Times New Roman" w:hAnsi="Times New Roman"/>
            <w:color w:val="000000" w:themeColor="text1"/>
            <w:sz w:val="16"/>
            <w:szCs w:val="16"/>
            <w:lang w:eastAsia="ru-RU"/>
          </w:rPr>
          <w:t>[79]</w:t>
        </w:r>
      </w:hyperlink>
      <w:r w:rsidRPr="00E93F40">
        <w:rPr>
          <w:rFonts w:ascii="Times New Roman" w:eastAsia="Times New Roman" w:hAnsi="Times New Roman"/>
          <w:color w:val="000000" w:themeColor="text1"/>
          <w:sz w:val="16"/>
          <w:szCs w:val="16"/>
          <w:lang w:eastAsia="ru-RU"/>
        </w:rPr>
        <w:t xml:space="preserve"> (17489).</w:t>
      </w:r>
    </w:p>
    <w:p w14:paraId="37A3C54A" w14:textId="77777777" w:rsidR="003B5891" w:rsidRPr="00E93F40" w:rsidRDefault="003B5891" w:rsidP="00E93F40">
      <w:pPr>
        <w:spacing w:after="0" w:line="240" w:lineRule="auto"/>
        <w:jc w:val="both"/>
        <w:rPr>
          <w:rFonts w:ascii="Times New Roman" w:eastAsia="Times New Roman" w:hAnsi="Times New Roman"/>
          <w:color w:val="000000" w:themeColor="text1"/>
          <w:sz w:val="16"/>
          <w:szCs w:val="16"/>
          <w:lang w:eastAsia="ru-RU"/>
        </w:rPr>
      </w:pPr>
    </w:p>
    <w:p w14:paraId="7A129DE3" w14:textId="77777777" w:rsidR="00D41559" w:rsidRPr="00E93F40" w:rsidRDefault="00D415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21, 22, 29, 31 мая, 5, 14, 15 июня 1932 было выполнено 9 испытательных и контрольных полетов с отцепкой истребителей в воздухе. На 10 июня был запла</w:t>
      </w:r>
      <w:r w:rsidRPr="00E93F40">
        <w:rPr>
          <w:rFonts w:ascii="Times New Roman" w:hAnsi="Times New Roman"/>
          <w:color w:val="000000" w:themeColor="text1"/>
          <w:sz w:val="16"/>
          <w:szCs w:val="16"/>
        </w:rPr>
        <w:softHyphen/>
        <w:t>нирован перелет по маршруту Монино - Киев - Монино с полетным весом 12 500 кг. По плану ТБ-1 должен был до</w:t>
      </w:r>
      <w:r w:rsidRPr="00E93F40">
        <w:rPr>
          <w:rFonts w:ascii="Times New Roman" w:hAnsi="Times New Roman"/>
          <w:color w:val="000000" w:themeColor="text1"/>
          <w:sz w:val="16"/>
          <w:szCs w:val="16"/>
        </w:rPr>
        <w:softHyphen/>
        <w:t>лететь до Киева, выпустить истребители, сбросить 1000 кг бомб и вернуться в Монино. Однако сильный встречный ве</w:t>
      </w:r>
      <w:r w:rsidRPr="00E93F40">
        <w:rPr>
          <w:rFonts w:ascii="Times New Roman" w:hAnsi="Times New Roman"/>
          <w:color w:val="000000" w:themeColor="text1"/>
          <w:sz w:val="16"/>
          <w:szCs w:val="16"/>
        </w:rPr>
        <w:softHyphen/>
        <w:t>тер и недостаток горючего заставил произвести расцеп</w:t>
      </w:r>
      <w:r w:rsidRPr="00E93F40">
        <w:rPr>
          <w:rFonts w:ascii="Times New Roman" w:hAnsi="Times New Roman"/>
          <w:color w:val="000000" w:themeColor="text1"/>
          <w:sz w:val="16"/>
          <w:szCs w:val="16"/>
        </w:rPr>
        <w:softHyphen/>
        <w:t>ку в районе Брянска. Впрочем, это не повлияло на поло</w:t>
      </w:r>
      <w:r w:rsidRPr="00E93F40">
        <w:rPr>
          <w:rFonts w:ascii="Times New Roman" w:hAnsi="Times New Roman"/>
          <w:color w:val="000000" w:themeColor="text1"/>
          <w:sz w:val="16"/>
          <w:szCs w:val="16"/>
        </w:rPr>
        <w:softHyphen/>
        <w:t>жительный отзыв о проведенных испытаниях (20345).</w:t>
      </w:r>
    </w:p>
    <w:p w14:paraId="374005BA" w14:textId="77777777" w:rsidR="00D41559" w:rsidRPr="00E93F40" w:rsidRDefault="00D41559" w:rsidP="00E93F40">
      <w:pPr>
        <w:spacing w:after="0" w:line="240" w:lineRule="auto"/>
        <w:jc w:val="both"/>
        <w:rPr>
          <w:rFonts w:ascii="Times New Roman" w:hAnsi="Times New Roman"/>
          <w:color w:val="000000" w:themeColor="text1"/>
          <w:sz w:val="16"/>
          <w:szCs w:val="16"/>
        </w:rPr>
      </w:pPr>
    </w:p>
    <w:p w14:paraId="2E287894" w14:textId="77777777" w:rsidR="00D41559" w:rsidRPr="00E93F40" w:rsidRDefault="00D415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проходивших с 20-го мая по 15 июня 1932 года государственных испытаний, «Самолёт-Звено-1» выполнил в общей сложности девять программных контрольных и испытательных полётов с расцепкой истребителей в воздухе (21535).</w:t>
      </w:r>
    </w:p>
    <w:p w14:paraId="61A68E98" w14:textId="77777777" w:rsidR="00D41559" w:rsidRPr="00E93F40" w:rsidRDefault="00D41559" w:rsidP="00E93F40">
      <w:pPr>
        <w:spacing w:after="0" w:line="240" w:lineRule="auto"/>
        <w:jc w:val="both"/>
        <w:rPr>
          <w:rFonts w:ascii="Times New Roman" w:hAnsi="Times New Roman"/>
          <w:color w:val="000000" w:themeColor="text1"/>
          <w:sz w:val="16"/>
          <w:szCs w:val="16"/>
        </w:rPr>
      </w:pPr>
    </w:p>
    <w:p w14:paraId="08DE4E27"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20-го мая по 15 июня 1932 года в период проходивших государственных испытаний, «Самолёт-Звено-1» выполнил в общей сложности девять программных контрольных и испытательных полётов с расцепкой истребителей в воздухе. На 10 июня 1932 года был запланирован перелёт СЗ-1 в район Киева. Пройдя без посадки 1275 км, воздушный авианосец в ходе демонстративного налёта должен был выпустить истребители, сбросить на полигон 1000 кг бомб и вернуться в Монино. Однако непогода помешала полностью выполнить полётное задание. Сильный встречный ветер заставил экипаж произвести расцепку в районе Брянска, что, впрочем, не повлияло на положительный отзыв о проведённых испытаниях (25652).</w:t>
      </w:r>
    </w:p>
    <w:p w14:paraId="5368E41E" w14:textId="77777777" w:rsidR="0096770E" w:rsidRPr="00142305" w:rsidRDefault="0096770E" w:rsidP="0096770E">
      <w:pPr>
        <w:spacing w:after="0" w:line="240" w:lineRule="auto"/>
        <w:jc w:val="both"/>
        <w:rPr>
          <w:rFonts w:ascii="Times New Roman" w:hAnsi="Times New Roman"/>
          <w:color w:val="0070C0"/>
          <w:sz w:val="16"/>
          <w:szCs w:val="16"/>
        </w:rPr>
      </w:pPr>
    </w:p>
    <w:p w14:paraId="4F331B94"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20 мая 1932 года в материалах к заседанию коллегии Аэрофлота говорилось: Работа по 18000-му дирижаблю будет в основном сводиться к созданию уже разработанного инж. Нобиле типа, и объём конструкторской работы по этому объекту чрезвычайно невелик, включая в себя только восполнение отсутствующих детальных чертежей и некоторых модификаций, основывающихся на имеющемся опыте эксплуатации 18000 корабля.</w:t>
      </w:r>
    </w:p>
    <w:p w14:paraId="76B5E67D"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Спроектировать новый дирижабль планировали за 2 месяца (в июне - июле 1932 года), изготовить детали - за 10 месяцев (с августа 1932-го по май 1933 года), собрать - за 4 месяца (с июня по сентябрь 1933 года) и за полтора месяца провести лётные испытания, предъявив готовый корабль к ноябрю 1933 года. Очевидно, как и многое другое в стране, это событие приурочивалось к годовщине Октябрьской революции.</w:t>
      </w:r>
    </w:p>
    <w:p w14:paraId="3B582E90"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Москве пребывали в полной уверенности, что Нобиле привезёт с собой готовые рабочие проекты, включая детальные чертежи, и потому никаких конструкторских работ по новым кораблям не потребуется - на них даже не заложили средств в бюджет 1932 года.</w:t>
      </w:r>
    </w:p>
    <w:p w14:paraId="40FF2C8B" w14:textId="77777777" w:rsidR="002B79A4" w:rsidRPr="00E93F40" w:rsidRDefault="002B79A4"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 xml:space="preserve">Сейчас уже нельзя сказать, каким образом это получилось. То ли Гольцман и Нобиле неправильно поняли друг друга, то ли кто-то выдал желаемое за действительное, но рабочего проекта дирижабля 18500 в чемодане у Нобиле не оказалось. Правда, было много чертежей общих видов и некоторых деталей итальянских кораблей типа </w:t>
      </w:r>
      <w:r w:rsidRPr="00E93F40">
        <w:rPr>
          <w:rFonts w:ascii="Times New Roman" w:hAnsi="Times New Roman"/>
          <w:color w:val="000000" w:themeColor="text1"/>
          <w:sz w:val="16"/>
          <w:szCs w:val="16"/>
          <w:lang w:val="en-US" w:bidi="en-US"/>
        </w:rPr>
        <w:t>N</w:t>
      </w:r>
      <w:r w:rsidRPr="00E93F40">
        <w:rPr>
          <w:rFonts w:ascii="Times New Roman" w:hAnsi="Times New Roman"/>
          <w:color w:val="000000" w:themeColor="text1"/>
          <w:sz w:val="16"/>
          <w:szCs w:val="16"/>
          <w:lang w:bidi="en-US"/>
        </w:rPr>
        <w:t xml:space="preserve">, </w:t>
      </w:r>
      <w:r w:rsidRPr="00E93F40">
        <w:rPr>
          <w:rFonts w:ascii="Times New Roman" w:hAnsi="Times New Roman"/>
          <w:color w:val="000000" w:themeColor="text1"/>
          <w:sz w:val="16"/>
          <w:szCs w:val="16"/>
          <w:lang w:eastAsia="ru-RU" w:bidi="ru-RU"/>
        </w:rPr>
        <w:t>а также размеры, геометрические и весовые данные оболочки и металлических конструкций. Это позволило руководству Дирижаблестроя ограничиться сдвигом графика лишь на полгода.</w:t>
      </w:r>
    </w:p>
    <w:p w14:paraId="185CAF5C"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действительности одни только проектные работы по «СССР- В6» заняли примерно год, а весь производственный цикл, окончившийся с завершением испытаний и доделок, составил около двух с половиной лет вместо запланированных полутора. Планирование на Дирижаблестрое тогда вообще отличалось нереалистичностью, но в случае с дирижаблем 18500 задержку вызвало ещё и то, что Нобиле вопреки нетерпеливым ожиданиям не стал сразу же браться за его проектирование. Счёл ли он, что у Дирижаблестроя ещё недостаёт условий и сил, или самому конструктору потребовалось освежить навыки после пятилетнего перерыва - неизвестно, но первым продуктом итальянской конструкторской мысли на советской земле стал другой корабль (23192).</w:t>
      </w:r>
    </w:p>
    <w:p w14:paraId="36C00E40" w14:textId="77777777" w:rsidR="002B79A4" w:rsidRPr="00E93F40" w:rsidRDefault="002B79A4" w:rsidP="00E93F40">
      <w:pPr>
        <w:spacing w:after="0" w:line="240" w:lineRule="auto"/>
        <w:jc w:val="both"/>
        <w:rPr>
          <w:rFonts w:ascii="Times New Roman" w:hAnsi="Times New Roman"/>
          <w:color w:val="000000" w:themeColor="text1"/>
          <w:sz w:val="16"/>
          <w:szCs w:val="16"/>
        </w:rPr>
      </w:pPr>
    </w:p>
    <w:p w14:paraId="20D47D61" w14:textId="77777777" w:rsidR="00713DD7"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2DAAF62" w14:textId="77777777" w:rsidR="00713DD7" w:rsidRPr="00E93F40" w:rsidRDefault="00713DD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A355F26" w14:textId="59BEBBF2"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r w:rsidRPr="0096770E">
        <w:rPr>
          <w:rFonts w:ascii="Times New Roman" w:hAnsi="Times New Roman" w:cs="Times New Roman"/>
          <w:i w:val="0"/>
          <w:iCs w:val="0"/>
          <w:color w:val="0070C0"/>
          <w:sz w:val="16"/>
          <w:szCs w:val="16"/>
          <w:lang w:val="ru-RU"/>
        </w:rPr>
        <w:t>20 мая 1932 г. приказом Наркома тяжёлой промышленности Орджоникидзе из НИИ-13 на ИЗ переводятся инженеры: А.С. Завьялов, М.Н. Попов, С.И. Сахин вместе с инженером-исследователем Менделем Израилевичем Ходаком. Из них на ИЗ создаётся Отдел лабораторий во главе с А.С.Завьяловым.</w:t>
      </w:r>
      <w:r w:rsidR="00DD74E1">
        <w:rPr>
          <w:rFonts w:ascii="Times New Roman" w:hAnsi="Times New Roman" w:cs="Times New Roman"/>
          <w:i w:val="0"/>
          <w:iCs w:val="0"/>
          <w:color w:val="0070C0"/>
          <w:sz w:val="16"/>
          <w:szCs w:val="16"/>
        </w:rPr>
        <w:t xml:space="preserve"> </w:t>
      </w:r>
      <w:r w:rsidRPr="0096770E">
        <w:rPr>
          <w:rFonts w:ascii="Times New Roman" w:hAnsi="Times New Roman" w:cs="Times New Roman"/>
          <w:i w:val="0"/>
          <w:iCs w:val="0"/>
          <w:color w:val="0070C0"/>
          <w:sz w:val="16"/>
          <w:szCs w:val="16"/>
          <w:lang w:val="ru-RU"/>
        </w:rPr>
        <w:t>В конце 1932 г. завод начал освоение в производстве танковой брони марки «ПИ» (Путиловско-Ижорской).</w:t>
      </w:r>
    </w:p>
    <w:p w14:paraId="2C90002F" w14:textId="77777777"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r w:rsidRPr="0096770E">
        <w:rPr>
          <w:rFonts w:ascii="Times New Roman" w:hAnsi="Times New Roman" w:cs="Times New Roman"/>
          <w:i w:val="0"/>
          <w:iCs w:val="0"/>
          <w:color w:val="0070C0"/>
          <w:sz w:val="16"/>
          <w:szCs w:val="16"/>
          <w:lang w:val="ru-RU"/>
        </w:rPr>
        <w:t xml:space="preserve">В течение 1933 г. был уточнён хим. состав стали, обоснована </w:t>
      </w:r>
      <w:r w:rsidRPr="00142305">
        <w:rPr>
          <w:rFonts w:ascii="Times New Roman" w:hAnsi="Times New Roman" w:cs="Times New Roman"/>
          <w:i w:val="0"/>
          <w:iCs w:val="0"/>
          <w:color w:val="0070C0"/>
          <w:sz w:val="16"/>
          <w:szCs w:val="16"/>
        </w:rPr>
        <w:t>t</w:t>
      </w:r>
      <w:r w:rsidRPr="0096770E">
        <w:rPr>
          <w:rFonts w:ascii="Times New Roman" w:hAnsi="Times New Roman" w:cs="Times New Roman"/>
          <w:i w:val="0"/>
          <w:iCs w:val="0"/>
          <w:color w:val="0070C0"/>
          <w:sz w:val="16"/>
          <w:szCs w:val="16"/>
          <w:lang w:val="ru-RU"/>
        </w:rPr>
        <w:t xml:space="preserve"> отпуска после прокатки, установлены оптимальные </w:t>
      </w:r>
      <w:r w:rsidRPr="00142305">
        <w:rPr>
          <w:rFonts w:ascii="Times New Roman" w:hAnsi="Times New Roman" w:cs="Times New Roman"/>
          <w:i w:val="0"/>
          <w:iCs w:val="0"/>
          <w:color w:val="0070C0"/>
          <w:sz w:val="16"/>
          <w:szCs w:val="16"/>
        </w:rPr>
        <w:t>t</w:t>
      </w:r>
      <w:r w:rsidRPr="0096770E">
        <w:rPr>
          <w:rFonts w:ascii="Times New Roman" w:hAnsi="Times New Roman" w:cs="Times New Roman"/>
          <w:i w:val="0"/>
          <w:iCs w:val="0"/>
          <w:color w:val="0070C0"/>
          <w:sz w:val="16"/>
          <w:szCs w:val="16"/>
          <w:lang w:val="ru-RU"/>
        </w:rPr>
        <w:t xml:space="preserve"> закалки и последующего отпуска. Весьма важным обстоятельством было появление чётких технологических инструкций по всему металлургическому переделу, разработанных Отделом лабораторий и опирающихся на научно-исследовательские и опытные работы, проведённые на заводе.</w:t>
      </w:r>
    </w:p>
    <w:p w14:paraId="2B63DA93" w14:textId="77777777"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r w:rsidRPr="0096770E">
        <w:rPr>
          <w:rFonts w:ascii="Times New Roman" w:hAnsi="Times New Roman" w:cs="Times New Roman"/>
          <w:i w:val="0"/>
          <w:iCs w:val="0"/>
          <w:color w:val="0070C0"/>
          <w:sz w:val="16"/>
          <w:szCs w:val="16"/>
          <w:lang w:val="ru-RU"/>
        </w:rPr>
        <w:t>Появление технологических инструкций было встречено недоверчиво не только работниками цехов, но и частью руководителей завода.</w:t>
      </w:r>
    </w:p>
    <w:p w14:paraId="30C50887" w14:textId="77777777"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r w:rsidRPr="0096770E">
        <w:rPr>
          <w:rFonts w:ascii="Times New Roman" w:hAnsi="Times New Roman" w:cs="Times New Roman"/>
          <w:i w:val="0"/>
          <w:iCs w:val="0"/>
          <w:color w:val="0070C0"/>
          <w:sz w:val="16"/>
          <w:szCs w:val="16"/>
          <w:lang w:val="ru-RU"/>
        </w:rPr>
        <w:t>Однако резкое снижение потерь от брака и существенное повышение качества брони, произошедшее после внедрения инструкций, показало правильность их внедрения в производство (25550).</w:t>
      </w:r>
    </w:p>
    <w:p w14:paraId="11E4F5B1" w14:textId="77777777" w:rsidR="0096770E" w:rsidRPr="00142305" w:rsidRDefault="0096770E" w:rsidP="0096770E">
      <w:pPr>
        <w:spacing w:after="0" w:line="240" w:lineRule="auto"/>
        <w:jc w:val="both"/>
        <w:rPr>
          <w:rFonts w:ascii="Times New Roman" w:hAnsi="Times New Roman"/>
          <w:color w:val="0070C0"/>
          <w:sz w:val="16"/>
          <w:szCs w:val="16"/>
        </w:rPr>
      </w:pPr>
    </w:p>
    <w:p w14:paraId="6A86FE78" w14:textId="77777777" w:rsidR="00713DD7" w:rsidRPr="00E93F40" w:rsidRDefault="00713D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мая 1933 в Москве первые шесть Л-1 осматривал Г.К. Орджоникидзе, возглавлявший Наркомтяжпром. Он поставил перед коллективом завода задачу - дать в следующем 1934 году две тысячи легковых автомобилей.</w:t>
      </w:r>
    </w:p>
    <w:p w14:paraId="57DD2074" w14:textId="77777777" w:rsidR="00713DD7" w:rsidRPr="00E93F40" w:rsidRDefault="00713D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Журналист Млодик писал:</w:t>
      </w:r>
    </w:p>
    <w:p w14:paraId="5932DA54" w14:textId="77777777" w:rsidR="00713DD7" w:rsidRPr="00E93F40" w:rsidRDefault="00713D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Сейчас перед „Красным Путиловцем"стоит огромная задача перейти на массовое производство машин. В нынешнем году он должен дать еще 60, а в 1934 году уже 2 тысячи автомобилей... У Гипроавто уже готов проект реконструкции тракторного завода. Дальнейший выпуск автомобилей закрепит на практике начатую реорганизацию завода для автомобильного производства. Создатели первых шести автомобилей, краснопутиловцы, блестяще доказали, что они справятся с массовым выпуском классной и качественно высокой машины точно также, как в свое время справлялись с трактором» (15591).</w:t>
      </w:r>
    </w:p>
    <w:p w14:paraId="0EEEC0B4" w14:textId="77777777" w:rsidR="00713DD7" w:rsidRPr="00E93F40" w:rsidRDefault="00713DD7" w:rsidP="00E93F40">
      <w:pPr>
        <w:spacing w:after="0" w:line="240" w:lineRule="auto"/>
        <w:jc w:val="both"/>
        <w:rPr>
          <w:rFonts w:ascii="Times New Roman" w:hAnsi="Times New Roman"/>
          <w:color w:val="000000" w:themeColor="text1"/>
          <w:sz w:val="16"/>
          <w:szCs w:val="16"/>
        </w:rPr>
      </w:pPr>
    </w:p>
    <w:p w14:paraId="78637A5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B59BB0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595530"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мая 1932 г. Московский горком партии выбрал «Дмитровский» проект канала Москва - Волга, а на следующий день инженерные группы уже обозначали колышками будущую трассу. 3 сентября 1932 года началось строительствоэ</w:t>
      </w:r>
    </w:p>
    <w:p w14:paraId="2725F3B2"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Трасса канала должна была пройти по кратчайшему пути между реками Волгой и Москвой: расстояние от старинного села Тушина до устья реки Дубны, впадающей в Волгу, было 130 км. Высокий гребень холмов с истоками и долинами мелких рек планирова-лось превратить в непрерывный многокилометровый водяной мост. К нему с двух сторон — от Волги и от Москвы-реки — нужно было поднять водяные лестницы, чтобы по этому пути направить воду и корабли из Волги в Москву-реку.</w:t>
      </w:r>
    </w:p>
    <w:p w14:paraId="7602C4A9"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1937 г. последовало решение «остановить Волгу», то есть приступить к наполнению Московского моря и канала (21176).</w:t>
      </w:r>
    </w:p>
    <w:p w14:paraId="633F6ECB" w14:textId="77777777" w:rsidR="002B79A4" w:rsidRPr="00E93F40" w:rsidRDefault="002B79A4" w:rsidP="00E93F40">
      <w:pPr>
        <w:spacing w:after="0" w:line="240" w:lineRule="auto"/>
        <w:jc w:val="both"/>
        <w:rPr>
          <w:rFonts w:ascii="Times New Roman" w:hAnsi="Times New Roman"/>
          <w:color w:val="000000" w:themeColor="text1"/>
          <w:sz w:val="16"/>
          <w:szCs w:val="16"/>
        </w:rPr>
      </w:pPr>
    </w:p>
    <w:p w14:paraId="138A5510"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мая 1932 года на собрании писательского актива СССР впервые введен термин «социалистический реализм», представляющий собой эстетическое выражение социалистически осознанной концепции мира и человека, обусловленной эпохой борьбы за установление и созидание социалистического общества (21176).</w:t>
      </w:r>
    </w:p>
    <w:p w14:paraId="3CEE0F32" w14:textId="77777777" w:rsidR="002B79A4" w:rsidRPr="00E93F40" w:rsidRDefault="002B79A4" w:rsidP="00E93F40">
      <w:pPr>
        <w:spacing w:after="0" w:line="240" w:lineRule="auto"/>
        <w:jc w:val="both"/>
        <w:rPr>
          <w:rFonts w:ascii="Times New Roman" w:hAnsi="Times New Roman"/>
          <w:color w:val="000000" w:themeColor="text1"/>
          <w:sz w:val="16"/>
          <w:szCs w:val="16"/>
        </w:rPr>
      </w:pPr>
    </w:p>
    <w:p w14:paraId="5C6961A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мая 1932 на собрании писательского актива СССР впервые введен термин «социалистический реализм» (4962).</w:t>
      </w:r>
    </w:p>
    <w:p w14:paraId="51D3F02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B1C424" w14:textId="77777777" w:rsidR="000621C7" w:rsidRPr="00E93F40" w:rsidRDefault="000621C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20 мая 1932 г. горком партии отдал распоряжение Метрострою перестроить работу на принципах прокладки линий глубокого залегания и — не дожидаясь окончания разработки проекта — начать строительство на отдельных, хорошо обследованных участках{431}. Поскольку же Ротерт. продолжал настаивать на прежнем проекте, </w:t>
      </w:r>
      <w:r w:rsidRPr="00E93F40">
        <w:rPr>
          <w:rFonts w:ascii="Times New Roman" w:hAnsi="Times New Roman"/>
          <w:color w:val="000000" w:themeColor="text1"/>
          <w:sz w:val="16"/>
          <w:szCs w:val="16"/>
        </w:rPr>
        <w:lastRenderedPageBreak/>
        <w:t>в дело вмешалось Политбюро. Сталин отверг довод Ротерта, что строительство метро закрытым способом обойдется чересчур дорого. Судить об этом — прерогатива правительства{432} (18299).</w:t>
      </w:r>
    </w:p>
    <w:p w14:paraId="20BE7218" w14:textId="77777777" w:rsidR="000621C7" w:rsidRPr="00E93F40" w:rsidRDefault="000621C7" w:rsidP="00E93F40">
      <w:pPr>
        <w:spacing w:after="0" w:line="240" w:lineRule="auto"/>
        <w:jc w:val="both"/>
        <w:rPr>
          <w:rFonts w:ascii="Times New Roman" w:hAnsi="Times New Roman"/>
          <w:color w:val="000000" w:themeColor="text1"/>
          <w:sz w:val="16"/>
          <w:szCs w:val="16"/>
        </w:rPr>
      </w:pPr>
    </w:p>
    <w:p w14:paraId="452BD47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D82B99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169F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20-21 мая 1932 американская летчица Amelia Earhart стала первой женщиной, совершившей самостоятельный перелет через Северную Атлантику (237,164).</w:t>
      </w:r>
    </w:p>
    <w:p w14:paraId="0E036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39EE68"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20–21 мая 1932 Амелия Эрхарт на самолете Lockheed Vega становится первой женщиной, совершившей одиночный перелет через Северную Атлантику из гавани Грейс в Ньюфаундленде в Дерри в Северной Ирландии за 14 часов 54 минуты (20803).</w:t>
      </w:r>
    </w:p>
    <w:p w14:paraId="1E7C0491" w14:textId="77777777" w:rsidR="002B79A4" w:rsidRPr="00E93F40" w:rsidRDefault="002B79A4" w:rsidP="00E93F40">
      <w:pPr>
        <w:spacing w:after="0" w:line="240" w:lineRule="auto"/>
        <w:jc w:val="both"/>
        <w:rPr>
          <w:rFonts w:ascii="Times New Roman" w:hAnsi="Times New Roman"/>
          <w:color w:val="000000" w:themeColor="text1"/>
          <w:sz w:val="16"/>
          <w:szCs w:val="16"/>
        </w:rPr>
      </w:pPr>
    </w:p>
    <w:p w14:paraId="34660C98" w14:textId="77777777" w:rsidR="00713DD7" w:rsidRPr="00E93F40" w:rsidRDefault="00713DD7"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20 мая</w:t>
      </w:r>
      <w:r w:rsidRPr="00E93F40">
        <w:rPr>
          <w:rFonts w:ascii="Times New Roman" w:hAnsi="Times New Roman"/>
          <w:color w:val="000000" w:themeColor="text1"/>
          <w:sz w:val="16"/>
          <w:szCs w:val="16"/>
        </w:rPr>
        <w:t xml:space="preserve"> в 1932 году первый женский беспосадочный трансатлантический перелёт (не межконтинентальный), </w:t>
      </w:r>
      <w:hyperlink r:id="rId115" w:tgtFrame="_blank" w:history="1">
        <w:r w:rsidRPr="00E93F40">
          <w:rPr>
            <w:rFonts w:ascii="Times New Roman" w:hAnsi="Times New Roman"/>
            <w:color w:val="000000" w:themeColor="text1"/>
            <w:sz w:val="16"/>
            <w:szCs w:val="16"/>
          </w:rPr>
          <w:t xml:space="preserve">Амелия Эрхарт </w:t>
        </w:r>
      </w:hyperlink>
      <w:r w:rsidRPr="00E93F40">
        <w:rPr>
          <w:rFonts w:ascii="Times New Roman" w:hAnsi="Times New Roman"/>
          <w:color w:val="000000" w:themeColor="text1"/>
          <w:sz w:val="16"/>
          <w:szCs w:val="16"/>
        </w:rPr>
        <w:t>вылетает с Ньюфаундленда в Ирландию.</w:t>
      </w:r>
    </w:p>
    <w:p w14:paraId="49FDEF7F" w14:textId="77777777" w:rsidR="00713DD7" w:rsidRPr="00E93F40" w:rsidRDefault="00713D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Ее полет продолжается менее 14 час 54 мин (20-21 мая). Она становится первой женщиной, пересекшей самостоятельно Атлантический океан на самолете (14897).</w:t>
      </w:r>
    </w:p>
    <w:p w14:paraId="2DD9B188" w14:textId="77777777" w:rsidR="00713DD7" w:rsidRPr="00E93F40" w:rsidRDefault="00713DD7" w:rsidP="00E93F40">
      <w:pPr>
        <w:spacing w:after="0" w:line="240" w:lineRule="auto"/>
        <w:jc w:val="both"/>
        <w:rPr>
          <w:rFonts w:ascii="Times New Roman" w:hAnsi="Times New Roman"/>
          <w:color w:val="000000" w:themeColor="text1"/>
          <w:sz w:val="16"/>
          <w:szCs w:val="16"/>
        </w:rPr>
      </w:pPr>
    </w:p>
    <w:p w14:paraId="137C72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мая 1932 федеральным канцлером Австрии стал Энгельберт Дольфус (3186), а по другим данным сформировал коалиционное правительство (3907,173).</w:t>
      </w:r>
    </w:p>
    <w:p w14:paraId="283F30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28A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мая 1932 После отставки правительства К.Буреша (ХСП) новым федеральным канцлером Австрии стал Э.Дольфус, бывший министр сельского хозяйства, сформировавший коалиционное правительство из ХСП и Аграрной партии (7444).</w:t>
      </w:r>
    </w:p>
    <w:p w14:paraId="023AF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5C12C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9484D8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D43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мая 1932 года зам. начальника Глававиапрома Макаровский писал зам. председателя Р.В.С. Тухачевскому.</w:t>
      </w:r>
    </w:p>
    <w:p w14:paraId="4853B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вашего запроса сообщаю утвержденный С.Т.О. 11.1.32 г. план развития мощностей заводов Глававиапрома с теми коррективами, которые были внесены постановлением С.Т.О. от 16.II.32 г. и отпущенными на 1932 г. кредитами на капитальное строительство и импорт.</w:t>
      </w:r>
    </w:p>
    <w:p w14:paraId="4E106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2004"/>
        <w:gridCol w:w="1184"/>
        <w:gridCol w:w="1402"/>
        <w:gridCol w:w="1241"/>
        <w:gridCol w:w="609"/>
        <w:gridCol w:w="3219"/>
      </w:tblGrid>
      <w:tr w:rsidR="00DA227A" w:rsidRPr="00E93F40" w14:paraId="0667D05A" w14:textId="77777777">
        <w:tc>
          <w:tcPr>
            <w:tcW w:w="939" w:type="dxa"/>
          </w:tcPr>
          <w:p w14:paraId="657203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NN з-дов</w:t>
            </w:r>
          </w:p>
        </w:tc>
        <w:tc>
          <w:tcPr>
            <w:tcW w:w="2004" w:type="dxa"/>
          </w:tcPr>
          <w:p w14:paraId="61F71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Местонахождение</w:t>
            </w:r>
          </w:p>
        </w:tc>
        <w:tc>
          <w:tcPr>
            <w:tcW w:w="1184" w:type="dxa"/>
          </w:tcPr>
          <w:p w14:paraId="5EA74E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tc>
        <w:tc>
          <w:tcPr>
            <w:tcW w:w="1402" w:type="dxa"/>
          </w:tcPr>
          <w:p w14:paraId="5377D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Расчетный</w:t>
            </w:r>
          </w:p>
        </w:tc>
        <w:tc>
          <w:tcPr>
            <w:tcW w:w="1241" w:type="dxa"/>
          </w:tcPr>
          <w:p w14:paraId="37FE92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09" w:type="dxa"/>
          </w:tcPr>
          <w:p w14:paraId="3C5043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проектная</w:t>
            </w:r>
          </w:p>
        </w:tc>
        <w:tc>
          <w:tcPr>
            <w:tcW w:w="3219" w:type="dxa"/>
          </w:tcPr>
          <w:p w14:paraId="6E3BC7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3B5155" w14:textId="77777777">
        <w:tc>
          <w:tcPr>
            <w:tcW w:w="939" w:type="dxa"/>
          </w:tcPr>
          <w:p w14:paraId="57B0C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35138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84" w:type="dxa"/>
          </w:tcPr>
          <w:p w14:paraId="4A6C4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37D745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1241" w:type="dxa"/>
          </w:tcPr>
          <w:p w14:paraId="589E8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1.I-33 г.</w:t>
            </w:r>
          </w:p>
        </w:tc>
        <w:tc>
          <w:tcPr>
            <w:tcW w:w="609" w:type="dxa"/>
          </w:tcPr>
          <w:p w14:paraId="54837E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1.I-34 г.</w:t>
            </w:r>
          </w:p>
        </w:tc>
        <w:tc>
          <w:tcPr>
            <w:tcW w:w="3219" w:type="dxa"/>
          </w:tcPr>
          <w:p w14:paraId="539EA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1.I-35 г.</w:t>
            </w:r>
          </w:p>
        </w:tc>
      </w:tr>
      <w:tr w:rsidR="00DA227A" w:rsidRPr="00E93F40" w14:paraId="0E17AD27" w14:textId="77777777">
        <w:tc>
          <w:tcPr>
            <w:tcW w:w="939" w:type="dxa"/>
          </w:tcPr>
          <w:p w14:paraId="43ABD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c>
          <w:tcPr>
            <w:tcW w:w="2004" w:type="dxa"/>
          </w:tcPr>
          <w:p w14:paraId="33913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Нижний Новгород</w:t>
            </w:r>
          </w:p>
        </w:tc>
        <w:tc>
          <w:tcPr>
            <w:tcW w:w="1184" w:type="dxa"/>
          </w:tcPr>
          <w:p w14:paraId="6596C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1402" w:type="dxa"/>
          </w:tcPr>
          <w:p w14:paraId="656EE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1241" w:type="dxa"/>
          </w:tcPr>
          <w:p w14:paraId="6B2476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2400/1500</w:t>
            </w:r>
          </w:p>
        </w:tc>
        <w:tc>
          <w:tcPr>
            <w:tcW w:w="609" w:type="dxa"/>
          </w:tcPr>
          <w:p w14:paraId="70DDF0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3219" w:type="dxa"/>
          </w:tcPr>
          <w:p w14:paraId="0D5B9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r>
      <w:tr w:rsidR="00DA227A" w:rsidRPr="00E93F40" w14:paraId="0481032D" w14:textId="77777777">
        <w:tc>
          <w:tcPr>
            <w:tcW w:w="939" w:type="dxa"/>
          </w:tcPr>
          <w:p w14:paraId="3D5A6A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2004" w:type="dxa"/>
          </w:tcPr>
          <w:p w14:paraId="50AB7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1184" w:type="dxa"/>
          </w:tcPr>
          <w:p w14:paraId="5CD769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c>
          <w:tcPr>
            <w:tcW w:w="1402" w:type="dxa"/>
          </w:tcPr>
          <w:p w14:paraId="4EEC9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1241" w:type="dxa"/>
          </w:tcPr>
          <w:p w14:paraId="65DDF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609" w:type="dxa"/>
          </w:tcPr>
          <w:p w14:paraId="0F0FE7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3219" w:type="dxa"/>
          </w:tcPr>
          <w:p w14:paraId="703A3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r>
      <w:tr w:rsidR="00DA227A" w:rsidRPr="00E93F40" w14:paraId="0CC45508" w14:textId="77777777">
        <w:tc>
          <w:tcPr>
            <w:tcW w:w="939" w:type="dxa"/>
          </w:tcPr>
          <w:p w14:paraId="64639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2004" w:type="dxa"/>
          </w:tcPr>
          <w:p w14:paraId="5C423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Таганрог</w:t>
            </w:r>
          </w:p>
        </w:tc>
        <w:tc>
          <w:tcPr>
            <w:tcW w:w="1184" w:type="dxa"/>
          </w:tcPr>
          <w:p w14:paraId="7388AE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2" w:type="dxa"/>
          </w:tcPr>
          <w:p w14:paraId="5DA931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1241" w:type="dxa"/>
          </w:tcPr>
          <w:p w14:paraId="3ED12D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609" w:type="dxa"/>
          </w:tcPr>
          <w:p w14:paraId="79DE59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3219" w:type="dxa"/>
          </w:tcPr>
          <w:p w14:paraId="621CFA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r>
      <w:tr w:rsidR="00DA227A" w:rsidRPr="00E93F40" w14:paraId="39A1ED76" w14:textId="77777777">
        <w:tc>
          <w:tcPr>
            <w:tcW w:w="939" w:type="dxa"/>
          </w:tcPr>
          <w:p w14:paraId="62FEBF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ХАЗ</w:t>
            </w:r>
          </w:p>
        </w:tc>
        <w:tc>
          <w:tcPr>
            <w:tcW w:w="2004" w:type="dxa"/>
          </w:tcPr>
          <w:p w14:paraId="620BB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Харьков</w:t>
            </w:r>
          </w:p>
        </w:tc>
        <w:tc>
          <w:tcPr>
            <w:tcW w:w="1184" w:type="dxa"/>
          </w:tcPr>
          <w:p w14:paraId="76DBD8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2" w:type="dxa"/>
          </w:tcPr>
          <w:p w14:paraId="6AFD6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 тип К5</w:t>
            </w:r>
          </w:p>
        </w:tc>
        <w:tc>
          <w:tcPr>
            <w:tcW w:w="1241" w:type="dxa"/>
          </w:tcPr>
          <w:p w14:paraId="1716D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609" w:type="dxa"/>
          </w:tcPr>
          <w:p w14:paraId="63207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3219" w:type="dxa"/>
          </w:tcPr>
          <w:p w14:paraId="6F8E1A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50CF5B04" w14:textId="77777777">
        <w:tc>
          <w:tcPr>
            <w:tcW w:w="939" w:type="dxa"/>
          </w:tcPr>
          <w:p w14:paraId="141F8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2004" w:type="dxa"/>
          </w:tcPr>
          <w:p w14:paraId="19389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Воронеж</w:t>
            </w:r>
          </w:p>
        </w:tc>
        <w:tc>
          <w:tcPr>
            <w:tcW w:w="1184" w:type="dxa"/>
          </w:tcPr>
          <w:p w14:paraId="2AADB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штурмовик</w:t>
            </w:r>
          </w:p>
        </w:tc>
        <w:tc>
          <w:tcPr>
            <w:tcW w:w="1402" w:type="dxa"/>
          </w:tcPr>
          <w:p w14:paraId="65131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АТШ и ТШ</w:t>
            </w:r>
          </w:p>
        </w:tc>
        <w:tc>
          <w:tcPr>
            <w:tcW w:w="1241" w:type="dxa"/>
          </w:tcPr>
          <w:p w14:paraId="275E2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c>
          <w:tcPr>
            <w:tcW w:w="609" w:type="dxa"/>
          </w:tcPr>
          <w:p w14:paraId="612E3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3219" w:type="dxa"/>
          </w:tcPr>
          <w:p w14:paraId="4557B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tc>
      </w:tr>
      <w:tr w:rsidR="00DA227A" w:rsidRPr="00E93F40" w14:paraId="13B493D5" w14:textId="77777777">
        <w:tc>
          <w:tcPr>
            <w:tcW w:w="939" w:type="dxa"/>
          </w:tcPr>
          <w:p w14:paraId="3DE37B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2004" w:type="dxa"/>
          </w:tcPr>
          <w:p w14:paraId="5AF655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w:t>
            </w:r>
          </w:p>
        </w:tc>
        <w:tc>
          <w:tcPr>
            <w:tcW w:w="1184" w:type="dxa"/>
          </w:tcPr>
          <w:p w14:paraId="373483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 авиэтки</w:t>
            </w:r>
          </w:p>
        </w:tc>
        <w:tc>
          <w:tcPr>
            <w:tcW w:w="1402" w:type="dxa"/>
          </w:tcPr>
          <w:p w14:paraId="749C4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1241" w:type="dxa"/>
          </w:tcPr>
          <w:p w14:paraId="2B0D1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609" w:type="dxa"/>
          </w:tcPr>
          <w:p w14:paraId="304B9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3219" w:type="dxa"/>
          </w:tcPr>
          <w:p w14:paraId="5E1982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3B10CA4E" w14:textId="77777777">
        <w:tc>
          <w:tcPr>
            <w:tcW w:w="939" w:type="dxa"/>
          </w:tcPr>
          <w:p w14:paraId="11982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02</w:t>
            </w:r>
          </w:p>
        </w:tc>
        <w:tc>
          <w:tcPr>
            <w:tcW w:w="2004" w:type="dxa"/>
          </w:tcPr>
          <w:p w14:paraId="143EA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Ориент.</w:t>
            </w:r>
          </w:p>
        </w:tc>
        <w:tc>
          <w:tcPr>
            <w:tcW w:w="1184" w:type="dxa"/>
          </w:tcPr>
          <w:p w14:paraId="424DCE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3E07CA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41" w:type="dxa"/>
          </w:tcPr>
          <w:p w14:paraId="4BFF4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09" w:type="dxa"/>
          </w:tcPr>
          <w:p w14:paraId="1B0D9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19" w:type="dxa"/>
          </w:tcPr>
          <w:p w14:paraId="73CA8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AD9B2C" w14:textId="77777777">
        <w:tc>
          <w:tcPr>
            <w:tcW w:w="939" w:type="dxa"/>
          </w:tcPr>
          <w:p w14:paraId="0E2DD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10E1A2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Покровск</w:t>
            </w:r>
          </w:p>
        </w:tc>
        <w:tc>
          <w:tcPr>
            <w:tcW w:w="1184" w:type="dxa"/>
          </w:tcPr>
          <w:p w14:paraId="3B10E3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2" w:type="dxa"/>
          </w:tcPr>
          <w:p w14:paraId="11FFBE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У2-У3</w:t>
            </w:r>
          </w:p>
        </w:tc>
        <w:tc>
          <w:tcPr>
            <w:tcW w:w="1241" w:type="dxa"/>
          </w:tcPr>
          <w:p w14:paraId="1B2935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09" w:type="dxa"/>
          </w:tcPr>
          <w:p w14:paraId="16FE3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3219" w:type="dxa"/>
          </w:tcPr>
          <w:p w14:paraId="31CD0E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6C5D3803" w14:textId="77777777">
        <w:tc>
          <w:tcPr>
            <w:tcW w:w="939" w:type="dxa"/>
          </w:tcPr>
          <w:p w14:paraId="7926A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03</w:t>
            </w:r>
          </w:p>
        </w:tc>
        <w:tc>
          <w:tcPr>
            <w:tcW w:w="2004" w:type="dxa"/>
          </w:tcPr>
          <w:p w14:paraId="5B7E9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Ейск</w:t>
            </w:r>
          </w:p>
        </w:tc>
        <w:tc>
          <w:tcPr>
            <w:tcW w:w="1184" w:type="dxa"/>
          </w:tcPr>
          <w:p w14:paraId="2246C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морские</w:t>
            </w:r>
          </w:p>
        </w:tc>
        <w:tc>
          <w:tcPr>
            <w:tcW w:w="1402" w:type="dxa"/>
          </w:tcPr>
          <w:p w14:paraId="1009F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МБР3</w:t>
            </w:r>
          </w:p>
        </w:tc>
        <w:tc>
          <w:tcPr>
            <w:tcW w:w="1241" w:type="dxa"/>
          </w:tcPr>
          <w:p w14:paraId="6A38A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09" w:type="dxa"/>
          </w:tcPr>
          <w:p w14:paraId="1A69A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19" w:type="dxa"/>
          </w:tcPr>
          <w:p w14:paraId="6164A0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A5B98D" w14:textId="77777777">
        <w:tc>
          <w:tcPr>
            <w:tcW w:w="939" w:type="dxa"/>
          </w:tcPr>
          <w:p w14:paraId="4F3ABF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1BDB2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84" w:type="dxa"/>
          </w:tcPr>
          <w:p w14:paraId="40B0B6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5654F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w:t>
            </w:r>
          </w:p>
        </w:tc>
        <w:tc>
          <w:tcPr>
            <w:tcW w:w="1241" w:type="dxa"/>
          </w:tcPr>
          <w:p w14:paraId="148A35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09" w:type="dxa"/>
          </w:tcPr>
          <w:p w14:paraId="152BD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3219" w:type="dxa"/>
          </w:tcPr>
          <w:p w14:paraId="4D9F7D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r>
      <w:tr w:rsidR="00DA227A" w:rsidRPr="00E93F40" w14:paraId="66376E6C" w14:textId="77777777">
        <w:tc>
          <w:tcPr>
            <w:tcW w:w="939" w:type="dxa"/>
          </w:tcPr>
          <w:p w14:paraId="42CC5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34250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84" w:type="dxa"/>
          </w:tcPr>
          <w:p w14:paraId="0B3EDE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05F8D8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w:t>
            </w:r>
          </w:p>
        </w:tc>
        <w:tc>
          <w:tcPr>
            <w:tcW w:w="1241" w:type="dxa"/>
          </w:tcPr>
          <w:p w14:paraId="3687DF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609" w:type="dxa"/>
          </w:tcPr>
          <w:p w14:paraId="158A7B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19" w:type="dxa"/>
          </w:tcPr>
          <w:p w14:paraId="7CABC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58DAB7" w14:textId="77777777">
        <w:tc>
          <w:tcPr>
            <w:tcW w:w="939" w:type="dxa"/>
          </w:tcPr>
          <w:p w14:paraId="779422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2004" w:type="dxa"/>
          </w:tcPr>
          <w:p w14:paraId="08F450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1184" w:type="dxa"/>
          </w:tcPr>
          <w:p w14:paraId="1FCC4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тяжелые</w:t>
            </w:r>
          </w:p>
        </w:tc>
        <w:tc>
          <w:tcPr>
            <w:tcW w:w="1402" w:type="dxa"/>
          </w:tcPr>
          <w:p w14:paraId="7A1C4E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w:t>
            </w:r>
          </w:p>
        </w:tc>
        <w:tc>
          <w:tcPr>
            <w:tcW w:w="1241" w:type="dxa"/>
          </w:tcPr>
          <w:p w14:paraId="2AF399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609" w:type="dxa"/>
          </w:tcPr>
          <w:p w14:paraId="5E59E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3219" w:type="dxa"/>
          </w:tcPr>
          <w:p w14:paraId="398109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00B500F0" w14:textId="77777777">
        <w:tc>
          <w:tcPr>
            <w:tcW w:w="939" w:type="dxa"/>
          </w:tcPr>
          <w:p w14:paraId="39CB6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c>
          <w:tcPr>
            <w:tcW w:w="2004" w:type="dxa"/>
          </w:tcPr>
          <w:p w14:paraId="4C106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Воронеж</w:t>
            </w:r>
          </w:p>
        </w:tc>
        <w:tc>
          <w:tcPr>
            <w:tcW w:w="1184" w:type="dxa"/>
          </w:tcPr>
          <w:p w14:paraId="2C699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2" w:type="dxa"/>
          </w:tcPr>
          <w:p w14:paraId="6AEF75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1241" w:type="dxa"/>
          </w:tcPr>
          <w:p w14:paraId="7F767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1500/500</w:t>
            </w:r>
          </w:p>
        </w:tc>
        <w:tc>
          <w:tcPr>
            <w:tcW w:w="609" w:type="dxa"/>
          </w:tcPr>
          <w:p w14:paraId="7E1B88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3219" w:type="dxa"/>
          </w:tcPr>
          <w:p w14:paraId="015A4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1C261847" w14:textId="77777777">
        <w:tc>
          <w:tcPr>
            <w:tcW w:w="939" w:type="dxa"/>
          </w:tcPr>
          <w:p w14:paraId="3AF19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w:t>
            </w:r>
          </w:p>
        </w:tc>
        <w:tc>
          <w:tcPr>
            <w:tcW w:w="2004" w:type="dxa"/>
          </w:tcPr>
          <w:p w14:paraId="61F6D2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Казань</w:t>
            </w:r>
          </w:p>
        </w:tc>
        <w:tc>
          <w:tcPr>
            <w:tcW w:w="1184" w:type="dxa"/>
          </w:tcPr>
          <w:p w14:paraId="54F2B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02" w:type="dxa"/>
          </w:tcPr>
          <w:p w14:paraId="7E661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и ТБ6</w:t>
            </w:r>
          </w:p>
        </w:tc>
        <w:tc>
          <w:tcPr>
            <w:tcW w:w="1241" w:type="dxa"/>
          </w:tcPr>
          <w:p w14:paraId="2EB99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 2)</w:t>
            </w:r>
          </w:p>
        </w:tc>
        <w:tc>
          <w:tcPr>
            <w:tcW w:w="609" w:type="dxa"/>
          </w:tcPr>
          <w:p w14:paraId="21D96C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3219" w:type="dxa"/>
          </w:tcPr>
          <w:p w14:paraId="2D331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r>
      <w:tr w:rsidR="00DA227A" w:rsidRPr="00E93F40" w14:paraId="0139C421" w14:textId="77777777">
        <w:tc>
          <w:tcPr>
            <w:tcW w:w="939" w:type="dxa"/>
          </w:tcPr>
          <w:p w14:paraId="7C7E2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05</w:t>
            </w:r>
          </w:p>
        </w:tc>
        <w:tc>
          <w:tcPr>
            <w:tcW w:w="2004" w:type="dxa"/>
          </w:tcPr>
          <w:p w14:paraId="0E2D5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Переяславль</w:t>
            </w:r>
          </w:p>
        </w:tc>
        <w:tc>
          <w:tcPr>
            <w:tcW w:w="1184" w:type="dxa"/>
          </w:tcPr>
          <w:p w14:paraId="7CA667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w:t>
            </w:r>
          </w:p>
        </w:tc>
        <w:tc>
          <w:tcPr>
            <w:tcW w:w="1402" w:type="dxa"/>
          </w:tcPr>
          <w:p w14:paraId="16D4D7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41" w:type="dxa"/>
          </w:tcPr>
          <w:p w14:paraId="7E4F9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09" w:type="dxa"/>
          </w:tcPr>
          <w:p w14:paraId="4F8C2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3219" w:type="dxa"/>
          </w:tcPr>
          <w:p w14:paraId="4FB22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706805C3" w14:textId="77777777">
        <w:tc>
          <w:tcPr>
            <w:tcW w:w="939" w:type="dxa"/>
          </w:tcPr>
          <w:p w14:paraId="2025E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c>
          <w:tcPr>
            <w:tcW w:w="2004" w:type="dxa"/>
          </w:tcPr>
          <w:p w14:paraId="694DA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Иркутск</w:t>
            </w:r>
          </w:p>
        </w:tc>
        <w:tc>
          <w:tcPr>
            <w:tcW w:w="1184" w:type="dxa"/>
          </w:tcPr>
          <w:p w14:paraId="625818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разведчики</w:t>
            </w:r>
          </w:p>
        </w:tc>
        <w:tc>
          <w:tcPr>
            <w:tcW w:w="1402" w:type="dxa"/>
          </w:tcPr>
          <w:p w14:paraId="68A3B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1241" w:type="dxa"/>
          </w:tcPr>
          <w:p w14:paraId="6BBA3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2)</w:t>
            </w:r>
          </w:p>
        </w:tc>
        <w:tc>
          <w:tcPr>
            <w:tcW w:w="609" w:type="dxa"/>
          </w:tcPr>
          <w:p w14:paraId="6278B7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3219" w:type="dxa"/>
          </w:tcPr>
          <w:p w14:paraId="4C2CD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67B9946E" w14:textId="77777777">
        <w:tc>
          <w:tcPr>
            <w:tcW w:w="939" w:type="dxa"/>
          </w:tcPr>
          <w:p w14:paraId="61B20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126</w:t>
            </w:r>
          </w:p>
        </w:tc>
        <w:tc>
          <w:tcPr>
            <w:tcW w:w="2004" w:type="dxa"/>
          </w:tcPr>
          <w:p w14:paraId="0585E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Район</w:t>
            </w:r>
          </w:p>
        </w:tc>
        <w:tc>
          <w:tcPr>
            <w:tcW w:w="1184" w:type="dxa"/>
          </w:tcPr>
          <w:p w14:paraId="7C32C9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435C03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41" w:type="dxa"/>
          </w:tcPr>
          <w:p w14:paraId="3BF11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09" w:type="dxa"/>
          </w:tcPr>
          <w:p w14:paraId="2AE8D8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19" w:type="dxa"/>
          </w:tcPr>
          <w:p w14:paraId="41BC16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621CBE" w14:textId="77777777">
        <w:tc>
          <w:tcPr>
            <w:tcW w:w="939" w:type="dxa"/>
          </w:tcPr>
          <w:p w14:paraId="55803A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33446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Хабаровска</w:t>
            </w:r>
          </w:p>
        </w:tc>
        <w:tc>
          <w:tcPr>
            <w:tcW w:w="1184" w:type="dxa"/>
          </w:tcPr>
          <w:p w14:paraId="623AD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тяжелые</w:t>
            </w:r>
          </w:p>
        </w:tc>
        <w:tc>
          <w:tcPr>
            <w:tcW w:w="1402" w:type="dxa"/>
          </w:tcPr>
          <w:p w14:paraId="06943C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 и МДР3</w:t>
            </w:r>
          </w:p>
        </w:tc>
        <w:tc>
          <w:tcPr>
            <w:tcW w:w="1241" w:type="dxa"/>
          </w:tcPr>
          <w:p w14:paraId="7FD64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2)</w:t>
            </w:r>
          </w:p>
        </w:tc>
        <w:tc>
          <w:tcPr>
            <w:tcW w:w="609" w:type="dxa"/>
          </w:tcPr>
          <w:p w14:paraId="5ACD4B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3219" w:type="dxa"/>
          </w:tcPr>
          <w:p w14:paraId="10D160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r>
      <w:tr w:rsidR="00DA227A" w:rsidRPr="00E93F40" w14:paraId="13037615" w14:textId="77777777">
        <w:tc>
          <w:tcPr>
            <w:tcW w:w="939" w:type="dxa"/>
          </w:tcPr>
          <w:p w14:paraId="0DF592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210D53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84" w:type="dxa"/>
          </w:tcPr>
          <w:p w14:paraId="174B58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4087B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241" w:type="dxa"/>
          </w:tcPr>
          <w:p w14:paraId="310B9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14380/11380</w:t>
            </w:r>
          </w:p>
        </w:tc>
        <w:tc>
          <w:tcPr>
            <w:tcW w:w="609" w:type="dxa"/>
          </w:tcPr>
          <w:p w14:paraId="244438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25000</w:t>
            </w:r>
          </w:p>
        </w:tc>
        <w:tc>
          <w:tcPr>
            <w:tcW w:w="3219" w:type="dxa"/>
          </w:tcPr>
          <w:p w14:paraId="6840A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30000</w:t>
            </w:r>
          </w:p>
        </w:tc>
      </w:tr>
    </w:tbl>
    <w:p w14:paraId="06D5CB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p w14:paraId="52F1F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 числителе показана мощность по площадям, в знаменателе по оборудованию.</w:t>
      </w:r>
    </w:p>
    <w:p w14:paraId="27529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Оборудование на мощность, соответствующую строительной должно быть установлено к 1.VII.33 г.</w:t>
      </w:r>
    </w:p>
    <w:p w14:paraId="2655B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Зав. N 31 при переводе в эквиваленты к строящимся в настоящее время типам имеет мощность С62-400 и МДР3-200.</w:t>
      </w:r>
    </w:p>
    <w:p w14:paraId="42812B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Завод N 22 в эквиваленте к ТБ3 имеет мощность 600-ТБ3.</w:t>
      </w:r>
    </w:p>
    <w:p w14:paraId="707BE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Моторостроительные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05"/>
        <w:gridCol w:w="2138"/>
        <w:gridCol w:w="1843"/>
        <w:gridCol w:w="1418"/>
        <w:gridCol w:w="1255"/>
        <w:gridCol w:w="1256"/>
        <w:gridCol w:w="1886"/>
      </w:tblGrid>
      <w:tr w:rsidR="00DA227A" w:rsidRPr="00E93F40" w14:paraId="7F97EAAF" w14:textId="77777777">
        <w:tc>
          <w:tcPr>
            <w:tcW w:w="805" w:type="dxa"/>
          </w:tcPr>
          <w:p w14:paraId="5CB484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NN з-дов</w:t>
            </w:r>
          </w:p>
        </w:tc>
        <w:tc>
          <w:tcPr>
            <w:tcW w:w="2138" w:type="dxa"/>
          </w:tcPr>
          <w:p w14:paraId="14409C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Месторасположение</w:t>
            </w:r>
          </w:p>
        </w:tc>
        <w:tc>
          <w:tcPr>
            <w:tcW w:w="1843" w:type="dxa"/>
          </w:tcPr>
          <w:p w14:paraId="0DC58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Характеристика</w:t>
            </w:r>
          </w:p>
        </w:tc>
        <w:tc>
          <w:tcPr>
            <w:tcW w:w="1418" w:type="dxa"/>
          </w:tcPr>
          <w:p w14:paraId="6E210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w:t>
            </w:r>
          </w:p>
        </w:tc>
        <w:tc>
          <w:tcPr>
            <w:tcW w:w="1255" w:type="dxa"/>
          </w:tcPr>
          <w:p w14:paraId="04639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Проектная мощность</w:t>
            </w:r>
          </w:p>
        </w:tc>
        <w:tc>
          <w:tcPr>
            <w:tcW w:w="1256" w:type="dxa"/>
          </w:tcPr>
          <w:p w14:paraId="7C0FFB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86" w:type="dxa"/>
          </w:tcPr>
          <w:p w14:paraId="0C3245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B6E140" w14:textId="77777777">
        <w:tc>
          <w:tcPr>
            <w:tcW w:w="805" w:type="dxa"/>
          </w:tcPr>
          <w:p w14:paraId="02134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38F71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AE4D8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8601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55" w:type="dxa"/>
          </w:tcPr>
          <w:p w14:paraId="5A7A3A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1.I-33 г.</w:t>
            </w:r>
          </w:p>
        </w:tc>
        <w:tc>
          <w:tcPr>
            <w:tcW w:w="1256" w:type="dxa"/>
          </w:tcPr>
          <w:p w14:paraId="1E1EEF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1.I-34 г.</w:t>
            </w:r>
          </w:p>
        </w:tc>
        <w:tc>
          <w:tcPr>
            <w:tcW w:w="1886" w:type="dxa"/>
          </w:tcPr>
          <w:p w14:paraId="23CE9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1.I-35 г.</w:t>
            </w:r>
          </w:p>
        </w:tc>
      </w:tr>
      <w:tr w:rsidR="00DA227A" w:rsidRPr="00E93F40" w14:paraId="30475D0F" w14:textId="77777777">
        <w:tc>
          <w:tcPr>
            <w:tcW w:w="805" w:type="dxa"/>
          </w:tcPr>
          <w:p w14:paraId="2AEC1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2138" w:type="dxa"/>
          </w:tcPr>
          <w:p w14:paraId="3F891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1843" w:type="dxa"/>
          </w:tcPr>
          <w:p w14:paraId="08A54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 охлаждение</w:t>
            </w:r>
          </w:p>
        </w:tc>
        <w:tc>
          <w:tcPr>
            <w:tcW w:w="1418" w:type="dxa"/>
          </w:tcPr>
          <w:p w14:paraId="4884F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255" w:type="dxa"/>
          </w:tcPr>
          <w:p w14:paraId="2F6FA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15000/3000</w:t>
            </w:r>
          </w:p>
        </w:tc>
        <w:tc>
          <w:tcPr>
            <w:tcW w:w="1256" w:type="dxa"/>
          </w:tcPr>
          <w:p w14:paraId="69CB56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1886" w:type="dxa"/>
          </w:tcPr>
          <w:p w14:paraId="38B91A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r>
      <w:tr w:rsidR="00DA227A" w:rsidRPr="00E93F40" w14:paraId="6B2ACE49" w14:textId="77777777">
        <w:tc>
          <w:tcPr>
            <w:tcW w:w="805" w:type="dxa"/>
          </w:tcPr>
          <w:p w14:paraId="3CC9CF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tc>
        <w:tc>
          <w:tcPr>
            <w:tcW w:w="2138" w:type="dxa"/>
          </w:tcPr>
          <w:p w14:paraId="253222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Рыбинск</w:t>
            </w:r>
          </w:p>
        </w:tc>
        <w:tc>
          <w:tcPr>
            <w:tcW w:w="1843" w:type="dxa"/>
          </w:tcPr>
          <w:p w14:paraId="0F674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18" w:type="dxa"/>
          </w:tcPr>
          <w:p w14:paraId="07F8C4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w:t>
            </w:r>
          </w:p>
        </w:tc>
        <w:tc>
          <w:tcPr>
            <w:tcW w:w="1255" w:type="dxa"/>
          </w:tcPr>
          <w:p w14:paraId="6DA12F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1256" w:type="dxa"/>
          </w:tcPr>
          <w:p w14:paraId="5BABFA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1886" w:type="dxa"/>
          </w:tcPr>
          <w:p w14:paraId="6FBE1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r>
      <w:tr w:rsidR="00DA227A" w:rsidRPr="00E93F40" w14:paraId="6034A078" w14:textId="77777777">
        <w:tc>
          <w:tcPr>
            <w:tcW w:w="805" w:type="dxa"/>
          </w:tcPr>
          <w:p w14:paraId="6438B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w:t>
            </w:r>
          </w:p>
        </w:tc>
        <w:tc>
          <w:tcPr>
            <w:tcW w:w="2138" w:type="dxa"/>
          </w:tcPr>
          <w:p w14:paraId="6F6C0D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 Казань</w:t>
            </w:r>
          </w:p>
        </w:tc>
        <w:tc>
          <w:tcPr>
            <w:tcW w:w="1843" w:type="dxa"/>
          </w:tcPr>
          <w:p w14:paraId="1F4082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18" w:type="dxa"/>
          </w:tcPr>
          <w:p w14:paraId="08CA2F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Кертис</w:t>
            </w:r>
          </w:p>
        </w:tc>
        <w:tc>
          <w:tcPr>
            <w:tcW w:w="1255" w:type="dxa"/>
          </w:tcPr>
          <w:p w14:paraId="4F91C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56" w:type="dxa"/>
          </w:tcPr>
          <w:p w14:paraId="2776B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86" w:type="dxa"/>
          </w:tcPr>
          <w:p w14:paraId="0F4B8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BD539D" w14:textId="77777777">
        <w:tc>
          <w:tcPr>
            <w:tcW w:w="805" w:type="dxa"/>
          </w:tcPr>
          <w:p w14:paraId="5DFD0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4E1E0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01751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98E4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Конкверер</w:t>
            </w:r>
          </w:p>
        </w:tc>
        <w:tc>
          <w:tcPr>
            <w:tcW w:w="1255" w:type="dxa"/>
          </w:tcPr>
          <w:p w14:paraId="735ABD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56" w:type="dxa"/>
          </w:tcPr>
          <w:p w14:paraId="7B2813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1886" w:type="dxa"/>
          </w:tcPr>
          <w:p w14:paraId="4B72F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r>
      <w:tr w:rsidR="00DA227A" w:rsidRPr="00E93F40" w14:paraId="726C8D3C" w14:textId="77777777">
        <w:tc>
          <w:tcPr>
            <w:tcW w:w="805" w:type="dxa"/>
          </w:tcPr>
          <w:p w14:paraId="613D74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2138" w:type="dxa"/>
          </w:tcPr>
          <w:p w14:paraId="0DBB2E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Запорожье</w:t>
            </w:r>
          </w:p>
        </w:tc>
        <w:tc>
          <w:tcPr>
            <w:tcW w:w="1843" w:type="dxa"/>
          </w:tcPr>
          <w:p w14:paraId="60FDF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 Охлажд.</w:t>
            </w:r>
          </w:p>
        </w:tc>
        <w:tc>
          <w:tcPr>
            <w:tcW w:w="1418" w:type="dxa"/>
          </w:tcPr>
          <w:p w14:paraId="09BC9F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М11</w:t>
            </w:r>
          </w:p>
        </w:tc>
        <w:tc>
          <w:tcPr>
            <w:tcW w:w="1255" w:type="dxa"/>
          </w:tcPr>
          <w:p w14:paraId="24468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1256" w:type="dxa"/>
          </w:tcPr>
          <w:p w14:paraId="404B2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1886" w:type="dxa"/>
          </w:tcPr>
          <w:p w14:paraId="1D196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r>
      <w:tr w:rsidR="00DA227A" w:rsidRPr="00E93F40" w14:paraId="68A4DA16" w14:textId="77777777">
        <w:tc>
          <w:tcPr>
            <w:tcW w:w="805" w:type="dxa"/>
          </w:tcPr>
          <w:p w14:paraId="49731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c>
          <w:tcPr>
            <w:tcW w:w="2138" w:type="dxa"/>
          </w:tcPr>
          <w:p w14:paraId="603D9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Пермь</w:t>
            </w:r>
          </w:p>
        </w:tc>
        <w:tc>
          <w:tcPr>
            <w:tcW w:w="1843" w:type="dxa"/>
          </w:tcPr>
          <w:p w14:paraId="36206E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18" w:type="dxa"/>
          </w:tcPr>
          <w:p w14:paraId="154B4D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w:t>
            </w:r>
          </w:p>
        </w:tc>
        <w:tc>
          <w:tcPr>
            <w:tcW w:w="1255" w:type="dxa"/>
          </w:tcPr>
          <w:p w14:paraId="04DEF5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6000/1000</w:t>
            </w:r>
          </w:p>
        </w:tc>
        <w:tc>
          <w:tcPr>
            <w:tcW w:w="1256" w:type="dxa"/>
          </w:tcPr>
          <w:p w14:paraId="78746F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1886" w:type="dxa"/>
          </w:tcPr>
          <w:p w14:paraId="25EBF8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r>
      <w:tr w:rsidR="00DA227A" w:rsidRPr="00E93F40" w14:paraId="676B43A6" w14:textId="77777777">
        <w:tc>
          <w:tcPr>
            <w:tcW w:w="805" w:type="dxa"/>
          </w:tcPr>
          <w:p w14:paraId="174F5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030</w:t>
            </w:r>
          </w:p>
        </w:tc>
        <w:tc>
          <w:tcPr>
            <w:tcW w:w="2138" w:type="dxa"/>
          </w:tcPr>
          <w:p w14:paraId="5A8770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Нижний</w:t>
            </w:r>
          </w:p>
        </w:tc>
        <w:tc>
          <w:tcPr>
            <w:tcW w:w="1843" w:type="dxa"/>
          </w:tcPr>
          <w:p w14:paraId="19048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18" w:type="dxa"/>
          </w:tcPr>
          <w:p w14:paraId="5D4C9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Райт-Циклон</w:t>
            </w:r>
          </w:p>
        </w:tc>
        <w:tc>
          <w:tcPr>
            <w:tcW w:w="1255" w:type="dxa"/>
          </w:tcPr>
          <w:p w14:paraId="5E1FFB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56" w:type="dxa"/>
          </w:tcPr>
          <w:p w14:paraId="0C0F11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1886" w:type="dxa"/>
          </w:tcPr>
          <w:p w14:paraId="390DF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r>
      <w:tr w:rsidR="00DA227A" w:rsidRPr="00E93F40" w14:paraId="68C82C22" w14:textId="77777777">
        <w:tc>
          <w:tcPr>
            <w:tcW w:w="805" w:type="dxa"/>
          </w:tcPr>
          <w:p w14:paraId="190F1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040</w:t>
            </w:r>
          </w:p>
        </w:tc>
        <w:tc>
          <w:tcPr>
            <w:tcW w:w="2138" w:type="dxa"/>
          </w:tcPr>
          <w:p w14:paraId="73229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Ориент. Покровск</w:t>
            </w:r>
          </w:p>
        </w:tc>
        <w:tc>
          <w:tcPr>
            <w:tcW w:w="1843" w:type="dxa"/>
          </w:tcPr>
          <w:p w14:paraId="120D9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18" w:type="dxa"/>
          </w:tcPr>
          <w:p w14:paraId="2FAE3C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Маломощные</w:t>
            </w:r>
          </w:p>
        </w:tc>
        <w:tc>
          <w:tcPr>
            <w:tcW w:w="1255" w:type="dxa"/>
          </w:tcPr>
          <w:p w14:paraId="4A571C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56" w:type="dxa"/>
          </w:tcPr>
          <w:p w14:paraId="0AFED4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w:t>
            </w:r>
          </w:p>
        </w:tc>
        <w:tc>
          <w:tcPr>
            <w:tcW w:w="1886" w:type="dxa"/>
          </w:tcPr>
          <w:p w14:paraId="6D261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r>
      <w:tr w:rsidR="00DA227A" w:rsidRPr="00E93F40" w14:paraId="7459361C" w14:textId="77777777">
        <w:tc>
          <w:tcPr>
            <w:tcW w:w="805" w:type="dxa"/>
          </w:tcPr>
          <w:p w14:paraId="62520B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w:t>
            </w:r>
          </w:p>
        </w:tc>
        <w:tc>
          <w:tcPr>
            <w:tcW w:w="2138" w:type="dxa"/>
          </w:tcPr>
          <w:p w14:paraId="00926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Переяславль</w:t>
            </w:r>
          </w:p>
        </w:tc>
        <w:tc>
          <w:tcPr>
            <w:tcW w:w="1843" w:type="dxa"/>
          </w:tcPr>
          <w:p w14:paraId="0C63E3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Нефтяной</w:t>
            </w:r>
          </w:p>
        </w:tc>
        <w:tc>
          <w:tcPr>
            <w:tcW w:w="1418" w:type="dxa"/>
          </w:tcPr>
          <w:p w14:paraId="6F1AFA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Разные</w:t>
            </w:r>
          </w:p>
        </w:tc>
        <w:tc>
          <w:tcPr>
            <w:tcW w:w="1255" w:type="dxa"/>
          </w:tcPr>
          <w:p w14:paraId="78F74F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56" w:type="dxa"/>
          </w:tcPr>
          <w:p w14:paraId="42BF2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1886" w:type="dxa"/>
          </w:tcPr>
          <w:p w14:paraId="39D32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08C93084" w14:textId="77777777">
        <w:tc>
          <w:tcPr>
            <w:tcW w:w="805" w:type="dxa"/>
          </w:tcPr>
          <w:p w14:paraId="1D7DC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7E878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03D1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3A754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255" w:type="dxa"/>
          </w:tcPr>
          <w:p w14:paraId="356296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37000/19500</w:t>
            </w:r>
          </w:p>
        </w:tc>
        <w:tc>
          <w:tcPr>
            <w:tcW w:w="1256" w:type="dxa"/>
          </w:tcPr>
          <w:p w14:paraId="22258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57000</w:t>
            </w:r>
          </w:p>
        </w:tc>
        <w:tc>
          <w:tcPr>
            <w:tcW w:w="1886" w:type="dxa"/>
          </w:tcPr>
          <w:p w14:paraId="158E2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68500</w:t>
            </w:r>
          </w:p>
        </w:tc>
      </w:tr>
      <w:tr w:rsidR="00DA227A" w:rsidRPr="00E93F40" w14:paraId="2830650F" w14:textId="77777777">
        <w:tc>
          <w:tcPr>
            <w:tcW w:w="805" w:type="dxa"/>
          </w:tcPr>
          <w:p w14:paraId="2956E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tc>
        <w:tc>
          <w:tcPr>
            <w:tcW w:w="2138" w:type="dxa"/>
          </w:tcPr>
          <w:p w14:paraId="06BDCA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 соединить</w:t>
            </w:r>
          </w:p>
        </w:tc>
        <w:tc>
          <w:tcPr>
            <w:tcW w:w="1843" w:type="dxa"/>
          </w:tcPr>
          <w:p w14:paraId="3A15D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1F077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55" w:type="dxa"/>
          </w:tcPr>
          <w:p w14:paraId="313064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56" w:type="dxa"/>
          </w:tcPr>
          <w:p w14:paraId="287A9D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86" w:type="dxa"/>
          </w:tcPr>
          <w:p w14:paraId="02FC68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D8C654" w14:textId="77777777">
        <w:tc>
          <w:tcPr>
            <w:tcW w:w="805" w:type="dxa"/>
          </w:tcPr>
          <w:p w14:paraId="63A1BB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4EB55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N 010</w:t>
            </w:r>
          </w:p>
        </w:tc>
        <w:tc>
          <w:tcPr>
            <w:tcW w:w="1843" w:type="dxa"/>
          </w:tcPr>
          <w:p w14:paraId="1E547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 охлажд.</w:t>
            </w:r>
          </w:p>
        </w:tc>
        <w:tc>
          <w:tcPr>
            <w:tcW w:w="1418" w:type="dxa"/>
          </w:tcPr>
          <w:p w14:paraId="29DF24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Кертис</w:t>
            </w:r>
          </w:p>
        </w:tc>
        <w:tc>
          <w:tcPr>
            <w:tcW w:w="1255" w:type="dxa"/>
          </w:tcPr>
          <w:p w14:paraId="7091B9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56" w:type="dxa"/>
          </w:tcPr>
          <w:p w14:paraId="2194E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86" w:type="dxa"/>
          </w:tcPr>
          <w:p w14:paraId="6994C8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0DD4C7" w14:textId="77777777">
        <w:tc>
          <w:tcPr>
            <w:tcW w:w="805" w:type="dxa"/>
          </w:tcPr>
          <w:p w14:paraId="163D2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43EAB0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D7BF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8C0C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Конкверер-</w:t>
            </w:r>
          </w:p>
        </w:tc>
        <w:tc>
          <w:tcPr>
            <w:tcW w:w="1255" w:type="dxa"/>
          </w:tcPr>
          <w:p w14:paraId="56580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56" w:type="dxa"/>
          </w:tcPr>
          <w:p w14:paraId="09E01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886" w:type="dxa"/>
          </w:tcPr>
          <w:p w14:paraId="761948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r>
      <w:tr w:rsidR="00DA227A" w:rsidRPr="00E93F40" w14:paraId="40944CB4" w14:textId="77777777">
        <w:tc>
          <w:tcPr>
            <w:tcW w:w="805" w:type="dxa"/>
          </w:tcPr>
          <w:p w14:paraId="04A8A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54E76C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D2C08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D5D5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1255" w:type="dxa"/>
          </w:tcPr>
          <w:p w14:paraId="723400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37000/20000</w:t>
            </w:r>
          </w:p>
        </w:tc>
        <w:tc>
          <w:tcPr>
            <w:tcW w:w="1256" w:type="dxa"/>
          </w:tcPr>
          <w:p w14:paraId="500F6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62000</w:t>
            </w:r>
          </w:p>
        </w:tc>
        <w:tc>
          <w:tcPr>
            <w:tcW w:w="1886" w:type="dxa"/>
          </w:tcPr>
          <w:p w14:paraId="79B8C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78500</w:t>
            </w:r>
          </w:p>
        </w:tc>
      </w:tr>
    </w:tbl>
    <w:p w14:paraId="144F62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p w14:paraId="44711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Оборудование для зав. N 24 д.б. установлено к 1.VII.33 г., а заказано в III кв. 32 г. к 1.I.33 г. ориентировочно будет получено обор. на проектную мощность 3000 моторов.</w:t>
      </w:r>
    </w:p>
    <w:p w14:paraId="40EDA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зав. N 26, 29 и 19 оборудование заказывается в 1 и 2 кв. 32 г. и ожидается получением не позже I кв. 1933 г.</w:t>
      </w:r>
    </w:p>
    <w:p w14:paraId="77CA5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Предполагаемые увеличения мощностей по заводам NN 21 и 19 для формирования развития истребительной авиации в план развития не внесен, т.к. еще не утвержден правительством (2329).</w:t>
      </w:r>
    </w:p>
    <w:p w14:paraId="293AC9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614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21 мая 1932 года секретарь члена Президиума ВСНХ, начальника Всесоюзного объединения авиапромышленности Литуновская писала письмо № 0-86/6208с секретарю СТО Дергольц Г.М.</w:t>
      </w:r>
    </w:p>
    <w:p w14:paraId="615A99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распоряжению зам. начальника Глававиапрома представляю проект постановления по опытному строительству (3530,26).</w:t>
      </w:r>
    </w:p>
    <w:p w14:paraId="6BC709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постановления Комиссии обороны</w:t>
      </w:r>
    </w:p>
    <w:p w14:paraId="4DCAD45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Прилагаемый план опытного самолето и моторостроения утвердить.</w:t>
      </w:r>
    </w:p>
    <w:p w14:paraId="793FF02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Первоочередными задачами опытного строительства считать:</w:t>
      </w:r>
    </w:p>
    <w:p w14:paraId="24EDF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моторостроению:</w:t>
      </w:r>
    </w:p>
    <w:p w14:paraId="590A70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развитие М-34 (редуктор, нагнетатель, реверс, однорядный, облегченный);</w:t>
      </w:r>
    </w:p>
    <w:p w14:paraId="0084B3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создание типов истребительных моторов М-38 воздушного охлаждения, М-32 – водяного;</w:t>
      </w:r>
    </w:p>
    <w:p w14:paraId="7DE4B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мощных авиадизелей.</w:t>
      </w:r>
    </w:p>
    <w:p w14:paraId="4A481A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4B34FE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4B257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форсирование работ по постройке образцов тяжелого бомбардировщика (ТБ4) дуралевого и стального;</w:t>
      </w:r>
    </w:p>
    <w:p w14:paraId="76C97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морских лодочных самолетов (МК1, МТБ3).</w:t>
      </w:r>
    </w:p>
    <w:p w14:paraId="2A50CF8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усиления опытных организаций предложить Наркомвоенмору немедленно откомандировать:</w:t>
      </w:r>
    </w:p>
    <w:p w14:paraId="79377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 моторостроению:</w:t>
      </w:r>
    </w:p>
    <w:p w14:paraId="5EF2F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Инженеров: Петровского, Калошина, Левина, Королева, Сеничкина, Знаменского и 10 человек из очередного выпуска ВВА.</w:t>
      </w:r>
    </w:p>
    <w:p w14:paraId="2A727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самолетостроению:</w:t>
      </w:r>
    </w:p>
    <w:p w14:paraId="055AD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Инженеров: Ганулича, Квитко, Кравцова, Куликова, Петрова, Филина, Евстегнеева, Фрадкина и 40 человек из очередного выпуска ВВА; и 5 человек из очередного выпуска ВМА.</w:t>
      </w:r>
    </w:p>
    <w:p w14:paraId="08E49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Летчиков: Волковойнова, Попова, Юмашева и 10 летчиков, 4-х летнабов, 20 авиатехников и 20 авиамехаников из строевых частей ВВС.</w:t>
      </w:r>
    </w:p>
    <w:p w14:paraId="450F1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 вооружению:</w:t>
      </w:r>
    </w:p>
    <w:p w14:paraId="6F82C0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Инженеров: Рукавишникова, Вазигера, Мальникова, Панова, Захарченко, инструктора Лукьянова, преподавателя Жука, 10 человек вооруженцев из очередного выпуска ВВА, 15 инженеров-артиллеристов, 5 инженеров-электриков, 4-х инженеров-химиков из очередного выпуска ВТА, 4-х инженеров-артиллеристов из очередного выпуска ВМА, 5 артиллеристов-техников из бронечастей, 4-х летнабов-вооруженцев из строевых частей ВВС.</w:t>
      </w:r>
    </w:p>
    <w:p w14:paraId="0618F1F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НКТП обеспечить выполнение плана выделением необходимого оборудования импортного и отечественного, материалами денежными средствами.</w:t>
      </w:r>
    </w:p>
    <w:p w14:paraId="0606709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ОГПУ в 1932 году развернуть ОКБ в самостоятельный мощный Институт по опытному строительству авиадизелей и авиатурбин (отпустив для строительства и оборудования этого Института из резервного фонда необходимые средства, строительные материалы и оборудование) (3530,27).</w:t>
      </w:r>
    </w:p>
    <w:p w14:paraId="401AE42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D0A93EC" w14:textId="77777777" w:rsidR="002B79A4" w:rsidRPr="00E93F40" w:rsidRDefault="002B79A4"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21 мая 1932 года</w:t>
      </w:r>
    </w:p>
    <w:p w14:paraId="79D9A0F8" w14:textId="77777777" w:rsidR="002B79A4" w:rsidRPr="00E93F40" w:rsidRDefault="002B79A4" w:rsidP="00E93F40">
      <w:pPr>
        <w:pStyle w:val="28"/>
        <w:tabs>
          <w:tab w:val="left" w:pos="6000"/>
        </w:tabs>
        <w:spacing w:before="0" w:line="240" w:lineRule="auto"/>
        <w:jc w:val="both"/>
        <w:rPr>
          <w:rFonts w:ascii="Times New Roman" w:hAnsi="Times New Roman" w:cs="Times New Roman"/>
          <w:color w:val="000000" w:themeColor="text1"/>
          <w:sz w:val="16"/>
          <w:szCs w:val="16"/>
          <w:lang w:eastAsia="ru-RU" w:bidi="ru-RU"/>
        </w:rPr>
      </w:pPr>
      <w:r w:rsidRPr="00E93F40">
        <w:rPr>
          <w:rFonts w:ascii="Times New Roman" w:hAnsi="Times New Roman" w:cs="Times New Roman"/>
          <w:color w:val="000000" w:themeColor="text1"/>
          <w:sz w:val="16"/>
          <w:szCs w:val="16"/>
          <w:lang w:eastAsia="ru-RU" w:bidi="ru-RU"/>
        </w:rPr>
        <w:t>Приказ №131 по заводу №21 им Енукидзе</w:t>
      </w:r>
    </w:p>
    <w:p w14:paraId="2D013AF0" w14:textId="77777777" w:rsidR="002B79A4" w:rsidRPr="00E93F40" w:rsidRDefault="002B79A4" w:rsidP="00E93F40">
      <w:pPr>
        <w:pStyle w:val="28"/>
        <w:tabs>
          <w:tab w:val="left" w:pos="6000"/>
        </w:tabs>
        <w:spacing w:before="0" w:line="240" w:lineRule="auto"/>
        <w:jc w:val="both"/>
        <w:rPr>
          <w:rFonts w:ascii="Times New Roman" w:hAnsi="Times New Roman" w:cs="Times New Roman"/>
          <w:color w:val="000000" w:themeColor="text1"/>
          <w:sz w:val="16"/>
          <w:szCs w:val="16"/>
          <w:lang w:eastAsia="ru-RU" w:bidi="ru-RU"/>
        </w:rPr>
      </w:pPr>
      <w:r w:rsidRPr="00E93F40">
        <w:rPr>
          <w:rFonts w:ascii="Times New Roman" w:hAnsi="Times New Roman" w:cs="Times New Roman"/>
          <w:color w:val="000000" w:themeColor="text1"/>
          <w:sz w:val="16"/>
          <w:szCs w:val="16"/>
          <w:lang w:eastAsia="ru-RU" w:bidi="ru-RU"/>
        </w:rPr>
        <w:t>Глававиапрома</w:t>
      </w:r>
    </w:p>
    <w:p w14:paraId="233ED1F2" w14:textId="77777777" w:rsidR="002B79A4" w:rsidRPr="00E93F40" w:rsidRDefault="002B79A4" w:rsidP="00E93F40">
      <w:pPr>
        <w:pStyle w:val="28"/>
        <w:tabs>
          <w:tab w:val="left" w:pos="6000"/>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от 21 мая 1932 года.</w:t>
      </w:r>
    </w:p>
    <w:p w14:paraId="3C08F2B4" w14:textId="77777777" w:rsidR="002B79A4" w:rsidRPr="00E93F40" w:rsidRDefault="002B79A4" w:rsidP="00E93F40">
      <w:pPr>
        <w:pStyle w:val="28"/>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За создание никчемной междуведомственной переписки, за не принятия живых практических мер и за формальное отношение, проявленное в деле обеспечения аэродрома семенами посевных трав, что привело к несвоевременному засеву площади ПРИКАЗЫВАЮ:</w:t>
      </w:r>
    </w:p>
    <w:p w14:paraId="3E53A94D" w14:textId="77777777" w:rsidR="002B79A4" w:rsidRPr="00E93F40" w:rsidRDefault="002B79A4" w:rsidP="00E93F40">
      <w:pPr>
        <w:pStyle w:val="28"/>
        <w:tabs>
          <w:tab w:val="left" w:pos="7200"/>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1.</w:t>
      </w:r>
    </w:p>
    <w:p w14:paraId="2A92B482" w14:textId="77777777" w:rsidR="002B79A4" w:rsidRPr="00E93F40" w:rsidRDefault="002B79A4" w:rsidP="00E93F40">
      <w:pPr>
        <w:pStyle w:val="28"/>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Начальника отдела снабжения Ивагина и Ответственного исполнителя по снабжению Шкотова подвергнуть аресту обоих на 3-е суток с исполнением служебных обязанностей.</w:t>
      </w:r>
    </w:p>
    <w:p w14:paraId="5923A848" w14:textId="77777777" w:rsidR="002B79A4" w:rsidRPr="00E93F40" w:rsidRDefault="002B79A4" w:rsidP="00E93F40">
      <w:pPr>
        <w:pStyle w:val="28"/>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2.</w:t>
      </w:r>
    </w:p>
    <w:p w14:paraId="47FBAFD1" w14:textId="424D6748" w:rsidR="002B79A4" w:rsidRPr="00E93F40" w:rsidRDefault="002B79A4" w:rsidP="00E93F40">
      <w:pPr>
        <w:pStyle w:val="28"/>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Весь материал (переписка на 22 листах) направить в следственные органы для выявления конкретных виновников в необеспечении аэродрома семенами и привлечения их к судебной ответственности.</w:t>
      </w:r>
    </w:p>
    <w:p w14:paraId="1D94C0B7" w14:textId="77777777" w:rsidR="002B79A4" w:rsidRPr="00E93F40" w:rsidRDefault="002B79A4" w:rsidP="00E93F40">
      <w:pPr>
        <w:pStyle w:val="28"/>
        <w:tabs>
          <w:tab w:val="left" w:pos="13220"/>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Директор завода №21 Безруков (21100).</w:t>
      </w:r>
    </w:p>
    <w:p w14:paraId="6EB1F383" w14:textId="77777777" w:rsidR="002B79A4" w:rsidRPr="00E93F40" w:rsidRDefault="002B79A4" w:rsidP="00E93F40">
      <w:pPr>
        <w:spacing w:after="0" w:line="240" w:lineRule="auto"/>
        <w:jc w:val="both"/>
        <w:rPr>
          <w:rFonts w:ascii="Times New Roman" w:hAnsi="Times New Roman"/>
          <w:color w:val="000000" w:themeColor="text1"/>
          <w:sz w:val="16"/>
          <w:szCs w:val="16"/>
          <w:lang w:eastAsia="ru-RU" w:bidi="ru-RU"/>
        </w:rPr>
      </w:pPr>
    </w:p>
    <w:p w14:paraId="62AF20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мая 1932 Предприятия ХАЗ и ХАЗОСС преобразованы в единый завод опытного самолетостроения — ХАЗ Директором и главным конструктором завода утвержден К. А. Калинин (10674).</w:t>
      </w:r>
    </w:p>
    <w:p w14:paraId="73753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8C86EC" w14:textId="04B5D83F"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мая 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Харьков, Белгородское шоссе п/я 231 «Экран (1938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Молотов/ /61023 Украина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Харьков ул. Сумская, 134 тел. 43-19-85, 707-08-00/ /Московское представительство: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Королев Московской обл. тел. 512-24-12/). В 1935 г. завод вновь перепрофилирован в серийный. В 12.1936 г. передан в 1ГУ НКОП. В 01.1939 г. передан в НКАП.</w:t>
      </w:r>
    </w:p>
    <w:p w14:paraId="7120F6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1897ED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Производственная программа завода на 1937 г.: 200 АИР-10.</w:t>
      </w:r>
    </w:p>
    <w:p w14:paraId="1772D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2C650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3ABD0D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01BA24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цехи (1938 г.): № 1- механический, № 2- слесарно-сварочный, № 3- дюралевый, № 5- сборочный.</w:t>
      </w:r>
    </w:p>
    <w:p w14:paraId="5D1F2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0E2DB1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E93F40">
        <w:rPr>
          <w:rFonts w:ascii="Times New Roman" w:hAnsi="Times New Roman"/>
          <w:color w:val="000000" w:themeColor="text1"/>
          <w:sz w:val="16"/>
          <w:szCs w:val="16"/>
          <w:vertAlign w:val="superscript"/>
        </w:rPr>
        <w:t>144</w:t>
      </w:r>
    </w:p>
    <w:p w14:paraId="09F7C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1940-41 г.- на заводе работало КБ П.Д. Грушина.</w:t>
      </w:r>
    </w:p>
    <w:p w14:paraId="0140A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войны (~в 1940 г.) заводу № 135 был передан завод № 3 НКВД.</w:t>
      </w:r>
    </w:p>
    <w:p w14:paraId="28EB8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626с от 5.07.1941 г. завод № 450 НКАП преобразован в филиал завода № 135.</w:t>
      </w:r>
    </w:p>
    <w:p w14:paraId="6F953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4A2E5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6E77E3F5" w14:textId="59740E29"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E93F40">
        <w:rPr>
          <w:rFonts w:ascii="Times New Roman" w:hAnsi="Times New Roman"/>
          <w:color w:val="000000" w:themeColor="text1"/>
          <w:sz w:val="16"/>
          <w:szCs w:val="16"/>
          <w:lang w:val="en-US"/>
        </w:rPr>
        <w:t>JIa</w:t>
      </w:r>
      <w:r w:rsidRPr="00E93F40">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08712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1945-46 г. на завод поставлено трофейное оборудование из Вены с заводов «Штейер-Дамлер-Пух» (330 единиц), «Мессершмит» и «Хейнкель» - всего 487 единиц.</w:t>
      </w:r>
    </w:p>
    <w:p w14:paraId="77712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4B976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09B03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477A1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32945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18.07.1958 г. вышло Постановление СМ СССР о серийном производстве Ту-124.</w:t>
      </w:r>
    </w:p>
    <w:p w14:paraId="7EEBE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3BC44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7363D9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58AEE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4938E4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26A4A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152DD5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1A554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19.06.1986 г. вступил в строй механический цех № 54.</w:t>
      </w:r>
    </w:p>
    <w:p w14:paraId="54590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75AB5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4A629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E93F40">
        <w:rPr>
          <w:rFonts w:ascii="Times New Roman" w:hAnsi="Times New Roman"/>
          <w:color w:val="000000" w:themeColor="text1"/>
          <w:sz w:val="16"/>
          <w:szCs w:val="16"/>
          <w:lang w:val="en-US"/>
        </w:rPr>
        <w:t>WEB</w:t>
      </w:r>
      <w:r w:rsidRPr="00E93F40">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E93F40">
        <w:rPr>
          <w:rFonts w:ascii="Times New Roman" w:hAnsi="Times New Roman"/>
          <w:color w:val="000000" w:themeColor="text1"/>
          <w:sz w:val="16"/>
          <w:szCs w:val="16"/>
          <w:lang w:val="en-US"/>
        </w:rPr>
        <w:t>PR</w:t>
      </w:r>
      <w:r w:rsidRPr="00E93F40">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43B32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4B0938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(11.1940 г.)- 502 металлорежущих станков.</w:t>
      </w:r>
    </w:p>
    <w:p w14:paraId="3BDAF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5A1D6161" w14:textId="1F2CC27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Кладченко, (07.2002-07 г.)- П.О. Науменко; и.о. гендиректора (05.2007 г.-)- С. Задорожный.</w:t>
      </w:r>
    </w:p>
    <w:p w14:paraId="342DA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55DBAB81" w14:textId="65B3427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(28.10.1928-10.1929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Кладченко, (20.04-7.10.1996 г.)- В.П. Михнич, (10.1996-2003 г.-&gt; В.И. Заяц.</w:t>
      </w:r>
    </w:p>
    <w:p w14:paraId="674F5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инженера по Ан-74- С.М. Федак.</w:t>
      </w:r>
    </w:p>
    <w:p w14:paraId="6B222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17DF6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конструктора (-12.1937 г.)- Арсон.</w:t>
      </w:r>
    </w:p>
    <w:p w14:paraId="6F86D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Сивокозов.</w:t>
      </w:r>
    </w:p>
    <w:p w14:paraId="22265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технолога- В.И. Заяц.</w:t>
      </w:r>
    </w:p>
    <w:p w14:paraId="32ED4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Руководитель коммерческого департамента (2007 г.)- С. Задорожный.</w:t>
      </w:r>
    </w:p>
    <w:p w14:paraId="534B54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московского представительства (2002 г.)- И.Н. Платоненко.</w:t>
      </w:r>
    </w:p>
    <w:p w14:paraId="0BFDC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20FFCC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1049C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снабжения (11.1930 г.-)- И.И. Чуркин.</w:t>
      </w:r>
    </w:p>
    <w:p w14:paraId="79CC8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Руководители бригад: по приспособлениям (-1938 г.)- Гринченко.</w:t>
      </w:r>
    </w:p>
    <w:p w14:paraId="368D91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E93F40">
        <w:rPr>
          <w:rFonts w:ascii="Times New Roman" w:hAnsi="Times New Roman"/>
          <w:color w:val="000000" w:themeColor="text1"/>
          <w:sz w:val="16"/>
          <w:szCs w:val="16"/>
          <w:lang w:val="en-US"/>
        </w:rPr>
        <w:t>Z</w:t>
      </w:r>
      <w:r w:rsidRPr="00E93F40">
        <w:rPr>
          <w:rFonts w:ascii="Times New Roman" w:hAnsi="Times New Roman"/>
          <w:color w:val="000000" w:themeColor="text1"/>
          <w:sz w:val="16"/>
          <w:szCs w:val="16"/>
        </w:rPr>
        <w:t xml:space="preserve"> (1934-35)- 50, ИП-1 (1936-38)- 200 (по [</w:t>
      </w:r>
      <w:r w:rsidRPr="00E93F40">
        <w:rPr>
          <w:rFonts w:ascii="Times New Roman" w:hAnsi="Times New Roman"/>
          <w:color w:val="000000" w:themeColor="text1"/>
          <w:sz w:val="16"/>
          <w:szCs w:val="16"/>
          <w:lang w:val="en-US"/>
        </w:rPr>
        <w:t>www</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ksamc</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com</w:t>
      </w:r>
      <w:r w:rsidRPr="00E93F40">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7016A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E93F40">
        <w:rPr>
          <w:rFonts w:ascii="Times New Roman" w:hAnsi="Times New Roman"/>
          <w:color w:val="000000" w:themeColor="text1"/>
          <w:sz w:val="16"/>
          <w:szCs w:val="16"/>
          <w:vertAlign w:val="superscript"/>
          <w:lang w:val="en-US"/>
        </w:rPr>
        <w:t>wwwksamc</w:t>
      </w:r>
      <w:r w:rsidRPr="00E93F40">
        <w:rPr>
          <w:rFonts w:ascii="Times New Roman" w:hAnsi="Times New Roman"/>
          <w:color w:val="000000" w:themeColor="text1"/>
          <w:sz w:val="16"/>
          <w:szCs w:val="16"/>
          <w:vertAlign w:val="superscript"/>
        </w:rPr>
        <w:t xml:space="preserve"> сот</w:t>
      </w:r>
    </w:p>
    <w:p w14:paraId="315DB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 13534 - И-</w:t>
      </w:r>
      <w:r w:rsidRPr="00E93F40">
        <w:rPr>
          <w:rFonts w:ascii="Times New Roman" w:hAnsi="Times New Roman"/>
          <w:color w:val="000000" w:themeColor="text1"/>
          <w:sz w:val="16"/>
          <w:szCs w:val="16"/>
          <w:lang w:val="en-US"/>
        </w:rPr>
        <w:t>Z</w:t>
      </w:r>
      <w:r w:rsidRPr="00E93F40">
        <w:rPr>
          <w:rFonts w:ascii="Times New Roman" w:hAnsi="Times New Roman"/>
          <w:color w:val="000000" w:themeColor="text1"/>
          <w:sz w:val="16"/>
          <w:szCs w:val="16"/>
        </w:rPr>
        <w:t xml:space="preserve"> (11982).</w:t>
      </w:r>
    </w:p>
    <w:p w14:paraId="737C7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CC2D4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8F0980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1057C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мая 1932 было принято постановление РВС о создании первого в КА мехкорпуса (3398,189).</w:t>
      </w:r>
    </w:p>
    <w:p w14:paraId="0A82E5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9C9E5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57365C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713F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мая 1932 года начальник 2-го отдела НИИ ВВС Ганулич писал письмо N МС/146с начальнику 3 управления ВВС.</w:t>
      </w:r>
    </w:p>
    <w:p w14:paraId="5498B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препровождаю сводку испытания самолета МДР-2-2БМВVI за 1931 год.</w:t>
      </w:r>
    </w:p>
    <w:p w14:paraId="027327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летных испытаний МДР-2-2БМВVIZ Е=6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44"/>
        <w:gridCol w:w="5954"/>
      </w:tblGrid>
      <w:tr w:rsidR="00DA227A" w:rsidRPr="00E93F40" w14:paraId="5FEBF5F8" w14:textId="77777777">
        <w:tc>
          <w:tcPr>
            <w:tcW w:w="4644" w:type="dxa"/>
          </w:tcPr>
          <w:p w14:paraId="16C10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Начало испытаний </w:t>
            </w:r>
          </w:p>
        </w:tc>
        <w:tc>
          <w:tcPr>
            <w:tcW w:w="5954" w:type="dxa"/>
          </w:tcPr>
          <w:p w14:paraId="05C7E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15.02.1931 года</w:t>
            </w:r>
          </w:p>
        </w:tc>
      </w:tr>
      <w:tr w:rsidR="00DA227A" w:rsidRPr="00E93F40" w14:paraId="0C8FBB87" w14:textId="77777777">
        <w:tc>
          <w:tcPr>
            <w:tcW w:w="4644" w:type="dxa"/>
          </w:tcPr>
          <w:p w14:paraId="7A480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Окончание испытаний</w:t>
            </w:r>
          </w:p>
        </w:tc>
        <w:tc>
          <w:tcPr>
            <w:tcW w:w="5954" w:type="dxa"/>
          </w:tcPr>
          <w:p w14:paraId="3828B4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 1931 года</w:t>
            </w:r>
          </w:p>
        </w:tc>
      </w:tr>
      <w:tr w:rsidR="00DA227A" w:rsidRPr="00E93F40" w14:paraId="61FD51B1" w14:textId="77777777">
        <w:tc>
          <w:tcPr>
            <w:tcW w:w="4644" w:type="dxa"/>
          </w:tcPr>
          <w:p w14:paraId="0119D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испытаний</w:t>
            </w:r>
          </w:p>
        </w:tc>
        <w:tc>
          <w:tcPr>
            <w:tcW w:w="5954" w:type="dxa"/>
          </w:tcPr>
          <w:p w14:paraId="58B2E4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дня</w:t>
            </w:r>
          </w:p>
        </w:tc>
      </w:tr>
      <w:tr w:rsidR="00DA227A" w:rsidRPr="00E93F40" w14:paraId="73A59E51" w14:textId="77777777">
        <w:tc>
          <w:tcPr>
            <w:tcW w:w="4644" w:type="dxa"/>
          </w:tcPr>
          <w:p w14:paraId="4E33D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них:</w:t>
            </w:r>
          </w:p>
        </w:tc>
        <w:tc>
          <w:tcPr>
            <w:tcW w:w="5954" w:type="dxa"/>
          </w:tcPr>
          <w:p w14:paraId="36263A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8EC8F3" w14:textId="77777777">
        <w:tc>
          <w:tcPr>
            <w:tcW w:w="4644" w:type="dxa"/>
          </w:tcPr>
          <w:p w14:paraId="33B76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дней</w:t>
            </w:r>
          </w:p>
        </w:tc>
        <w:tc>
          <w:tcPr>
            <w:tcW w:w="5954" w:type="dxa"/>
          </w:tcPr>
          <w:p w14:paraId="1F116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r>
      <w:tr w:rsidR="00DA227A" w:rsidRPr="00E93F40" w14:paraId="0903306E" w14:textId="77777777">
        <w:tc>
          <w:tcPr>
            <w:tcW w:w="4644" w:type="dxa"/>
          </w:tcPr>
          <w:p w14:paraId="75C01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нелетных дней</w:t>
            </w:r>
          </w:p>
        </w:tc>
        <w:tc>
          <w:tcPr>
            <w:tcW w:w="5954" w:type="dxa"/>
          </w:tcPr>
          <w:p w14:paraId="64C58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r>
      <w:tr w:rsidR="00DA227A" w:rsidRPr="00E93F40" w14:paraId="597740C3" w14:textId="77777777">
        <w:tc>
          <w:tcPr>
            <w:tcW w:w="4644" w:type="dxa"/>
          </w:tcPr>
          <w:p w14:paraId="5A659D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налет</w:t>
            </w:r>
          </w:p>
        </w:tc>
        <w:tc>
          <w:tcPr>
            <w:tcW w:w="5954" w:type="dxa"/>
          </w:tcPr>
          <w:p w14:paraId="0754C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час. 32 мин.</w:t>
            </w:r>
          </w:p>
        </w:tc>
      </w:tr>
      <w:tr w:rsidR="00DA227A" w:rsidRPr="00E93F40" w14:paraId="59DDC138" w14:textId="77777777">
        <w:tc>
          <w:tcPr>
            <w:tcW w:w="4644" w:type="dxa"/>
          </w:tcPr>
          <w:p w14:paraId="4EFC6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полетов</w:t>
            </w:r>
          </w:p>
        </w:tc>
        <w:tc>
          <w:tcPr>
            <w:tcW w:w="5954" w:type="dxa"/>
          </w:tcPr>
          <w:p w14:paraId="437AD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tc>
      </w:tr>
      <w:tr w:rsidR="00DA227A" w:rsidRPr="00E93F40" w14:paraId="729E4D51" w14:textId="77777777">
        <w:tc>
          <w:tcPr>
            <w:tcW w:w="4644" w:type="dxa"/>
          </w:tcPr>
          <w:p w14:paraId="2B4A5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самолета ДВ 2БМВVIZ Е=6</w:t>
            </w:r>
          </w:p>
        </w:tc>
        <w:tc>
          <w:tcPr>
            <w:tcW w:w="5954" w:type="dxa"/>
          </w:tcPr>
          <w:p w14:paraId="5DD29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8DBAD7" w14:textId="77777777">
        <w:tc>
          <w:tcPr>
            <w:tcW w:w="4644" w:type="dxa"/>
          </w:tcPr>
          <w:p w14:paraId="3E091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сравнения с самолетом МДР-2)</w:t>
            </w:r>
          </w:p>
        </w:tc>
        <w:tc>
          <w:tcPr>
            <w:tcW w:w="5954" w:type="dxa"/>
          </w:tcPr>
          <w:p w14:paraId="7EBE9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3B5FF5" w14:textId="77777777">
        <w:tc>
          <w:tcPr>
            <w:tcW w:w="4644" w:type="dxa"/>
          </w:tcPr>
          <w:p w14:paraId="6545B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Начало испытаний </w:t>
            </w:r>
          </w:p>
        </w:tc>
        <w:tc>
          <w:tcPr>
            <w:tcW w:w="5954" w:type="dxa"/>
          </w:tcPr>
          <w:p w14:paraId="3FC59D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16.03.1931 года</w:t>
            </w:r>
          </w:p>
        </w:tc>
      </w:tr>
      <w:tr w:rsidR="00DA227A" w:rsidRPr="00E93F40" w14:paraId="1BBE6D5C" w14:textId="77777777">
        <w:tc>
          <w:tcPr>
            <w:tcW w:w="4644" w:type="dxa"/>
          </w:tcPr>
          <w:p w14:paraId="4FDCF3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Окончание испытаний</w:t>
            </w:r>
          </w:p>
        </w:tc>
        <w:tc>
          <w:tcPr>
            <w:tcW w:w="5954" w:type="dxa"/>
          </w:tcPr>
          <w:p w14:paraId="6A640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17.03.1931 года</w:t>
            </w:r>
          </w:p>
        </w:tc>
      </w:tr>
      <w:tr w:rsidR="00DA227A" w:rsidRPr="00E93F40" w14:paraId="1D737B08" w14:textId="77777777">
        <w:tc>
          <w:tcPr>
            <w:tcW w:w="4644" w:type="dxa"/>
          </w:tcPr>
          <w:p w14:paraId="73762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дней</w:t>
            </w:r>
          </w:p>
        </w:tc>
        <w:tc>
          <w:tcPr>
            <w:tcW w:w="5954" w:type="dxa"/>
          </w:tcPr>
          <w:p w14:paraId="169CE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r w:rsidR="00DA227A" w:rsidRPr="00E93F40" w14:paraId="1345A41A" w14:textId="77777777">
        <w:tc>
          <w:tcPr>
            <w:tcW w:w="4644" w:type="dxa"/>
          </w:tcPr>
          <w:p w14:paraId="724394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полетов</w:t>
            </w:r>
          </w:p>
        </w:tc>
        <w:tc>
          <w:tcPr>
            <w:tcW w:w="5954" w:type="dxa"/>
          </w:tcPr>
          <w:p w14:paraId="25A703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r w:rsidR="00DA227A" w:rsidRPr="00E93F40" w14:paraId="1924A90A" w14:textId="77777777">
        <w:tc>
          <w:tcPr>
            <w:tcW w:w="4644" w:type="dxa"/>
          </w:tcPr>
          <w:p w14:paraId="71B524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Налет</w:t>
            </w:r>
          </w:p>
        </w:tc>
        <w:tc>
          <w:tcPr>
            <w:tcW w:w="5954" w:type="dxa"/>
          </w:tcPr>
          <w:p w14:paraId="4D38DA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час. 2 мин.</w:t>
            </w:r>
          </w:p>
        </w:tc>
      </w:tr>
    </w:tbl>
    <w:p w14:paraId="2E75B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94E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мая 1932 Н.А.Евдокимов в Евпатории совершил первый в СССР затяжной прыжок (237,164) с высоты 1200 м и летел до 600 м 14 с (438,633).</w:t>
      </w:r>
    </w:p>
    <w:p w14:paraId="100B97A4" w14:textId="5ADC6D8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453EE7" w14:textId="77777777" w:rsidR="00EE6152" w:rsidRPr="00E93F40" w:rsidRDefault="00EE61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мая 1932 г. военный летчик Николай Александрович Евдокимов на смотре парашютистов-инструкторов в Евпатории совершил первый затяжной прыжок. Оставив самолет на высоте 1200 м, он падал с не раскрывая парашюта 600 м. Свободное падение продолжалось 14 сек. Этот прыжок явился первым всесоюзным рекордом свободного падения, или, иначе, затяжного прыжка.</w:t>
      </w:r>
    </w:p>
    <w:p w14:paraId="228AF37E" w14:textId="77777777" w:rsidR="00EE6152" w:rsidRPr="00E93F40" w:rsidRDefault="00EE61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/Н.Евдокимов. Записки парашютиста, 1933/ (23370).</w:t>
      </w:r>
    </w:p>
    <w:p w14:paraId="47ABFEDE" w14:textId="77777777" w:rsidR="00EE6152" w:rsidRPr="00E93F40" w:rsidRDefault="00EE6152" w:rsidP="00E93F40">
      <w:pPr>
        <w:spacing w:after="0" w:line="240" w:lineRule="auto"/>
        <w:jc w:val="both"/>
        <w:rPr>
          <w:rFonts w:ascii="Times New Roman" w:hAnsi="Times New Roman"/>
          <w:color w:val="000000" w:themeColor="text1"/>
          <w:sz w:val="16"/>
          <w:szCs w:val="16"/>
        </w:rPr>
      </w:pPr>
    </w:p>
    <w:p w14:paraId="5562686C" w14:textId="6A0DC0CF" w:rsidR="002B79A4" w:rsidRPr="00E93F40" w:rsidRDefault="002B79A4"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0F537CAD" w14:textId="77777777" w:rsidR="002B79A4" w:rsidRPr="00E93F40" w:rsidRDefault="002B79A4"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305EFB5A" w14:textId="77777777" w:rsidR="002B79A4" w:rsidRPr="00E93F40" w:rsidRDefault="002B79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мая 1932 состоялся первый полет General Aviation GA-43 (20803).</w:t>
      </w:r>
    </w:p>
    <w:p w14:paraId="46DD79B2" w14:textId="77777777" w:rsidR="002B79A4" w:rsidRPr="00E93F40" w:rsidRDefault="002B79A4" w:rsidP="00E93F40">
      <w:pPr>
        <w:spacing w:after="0" w:line="240" w:lineRule="auto"/>
        <w:jc w:val="both"/>
        <w:rPr>
          <w:rFonts w:ascii="Times New Roman" w:hAnsi="Times New Roman"/>
          <w:color w:val="000000" w:themeColor="text1"/>
          <w:sz w:val="16"/>
          <w:szCs w:val="16"/>
        </w:rPr>
      </w:pPr>
    </w:p>
    <w:p w14:paraId="27C530B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2EBAB6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1BB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23 мая по 26 июня 1932 состоялись гос. испытания эталона К-5М-22 - пятьсот пятьдесят посадок и 2000 виражей, но комиссия НИИ ГВФ не приняла, так как оказалась мала полезная нагрузка из-за утяжеления конструкции. К.А.К. - плюнул и дополнительно машину на испытания не предъявлял (70,172).</w:t>
      </w:r>
    </w:p>
    <w:p w14:paraId="5F993D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DDA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мая 1932 года начальник 17 отдела НИИ Трунов подготовил план Стратегическая авиация (дальнего действия).</w:t>
      </w:r>
    </w:p>
    <w:p w14:paraId="15ADF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44"/>
        <w:gridCol w:w="5529"/>
      </w:tblGrid>
      <w:tr w:rsidR="00DA227A" w:rsidRPr="00E93F40" w14:paraId="75BEEF9A" w14:textId="77777777">
        <w:tc>
          <w:tcPr>
            <w:tcW w:w="4644" w:type="dxa"/>
          </w:tcPr>
          <w:p w14:paraId="4EE7D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2F9EAF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бомбардировщик, он же</w:t>
            </w:r>
          </w:p>
        </w:tc>
      </w:tr>
      <w:tr w:rsidR="00DA227A" w:rsidRPr="00E93F40" w14:paraId="69C3EB4C" w14:textId="77777777">
        <w:tc>
          <w:tcPr>
            <w:tcW w:w="4644" w:type="dxa"/>
          </w:tcPr>
          <w:p w14:paraId="38FAD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971B1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 и грузовой</w:t>
            </w:r>
          </w:p>
        </w:tc>
      </w:tr>
      <w:tr w:rsidR="00DA227A" w:rsidRPr="00E93F40" w14:paraId="796C3076" w14:textId="77777777">
        <w:tc>
          <w:tcPr>
            <w:tcW w:w="4644" w:type="dxa"/>
          </w:tcPr>
          <w:p w14:paraId="1C26B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14FE43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ТБ-7</w:t>
            </w:r>
          </w:p>
        </w:tc>
      </w:tr>
      <w:tr w:rsidR="00DA227A" w:rsidRPr="00E93F40" w14:paraId="08283E1B" w14:textId="77777777">
        <w:tc>
          <w:tcPr>
            <w:tcW w:w="4644" w:type="dxa"/>
          </w:tcPr>
          <w:p w14:paraId="468C1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074BF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7500</w:t>
            </w:r>
          </w:p>
        </w:tc>
      </w:tr>
      <w:tr w:rsidR="00DA227A" w:rsidRPr="00E93F40" w14:paraId="5C4016FA" w14:textId="77777777">
        <w:tc>
          <w:tcPr>
            <w:tcW w:w="4644" w:type="dxa"/>
          </w:tcPr>
          <w:p w14:paraId="0AE35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4E137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C1696F" w14:textId="77777777">
        <w:tc>
          <w:tcPr>
            <w:tcW w:w="4644" w:type="dxa"/>
          </w:tcPr>
          <w:p w14:paraId="21BE65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20437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 км/час</w:t>
            </w:r>
          </w:p>
        </w:tc>
      </w:tr>
      <w:tr w:rsidR="00DA227A" w:rsidRPr="00E93F40" w14:paraId="6D36141C" w14:textId="77777777">
        <w:tc>
          <w:tcPr>
            <w:tcW w:w="4644" w:type="dxa"/>
          </w:tcPr>
          <w:p w14:paraId="54F6B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18576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CDD173" w14:textId="77777777">
        <w:tc>
          <w:tcPr>
            <w:tcW w:w="4644" w:type="dxa"/>
          </w:tcPr>
          <w:p w14:paraId="4EAE7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применен. </w:t>
            </w:r>
          </w:p>
        </w:tc>
        <w:tc>
          <w:tcPr>
            <w:tcW w:w="5529" w:type="dxa"/>
          </w:tcPr>
          <w:p w14:paraId="15E07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 20 мин.</w:t>
            </w:r>
          </w:p>
        </w:tc>
      </w:tr>
      <w:tr w:rsidR="00DA227A" w:rsidRPr="00E93F40" w14:paraId="0CA92BEA" w14:textId="77777777">
        <w:tc>
          <w:tcPr>
            <w:tcW w:w="4644" w:type="dxa"/>
          </w:tcPr>
          <w:p w14:paraId="18E919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417A5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 м</w:t>
            </w:r>
          </w:p>
        </w:tc>
      </w:tr>
      <w:tr w:rsidR="00DA227A" w:rsidRPr="00E93F40" w14:paraId="59065706" w14:textId="77777777">
        <w:tc>
          <w:tcPr>
            <w:tcW w:w="4644" w:type="dxa"/>
          </w:tcPr>
          <w:p w14:paraId="51065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7B1B1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км</w:t>
            </w:r>
          </w:p>
        </w:tc>
      </w:tr>
      <w:tr w:rsidR="00DA227A" w:rsidRPr="00E93F40" w14:paraId="7B4FD0BC" w14:textId="77777777">
        <w:tc>
          <w:tcPr>
            <w:tcW w:w="4644" w:type="dxa"/>
          </w:tcPr>
          <w:p w14:paraId="634558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765A2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B6C5C4" w14:textId="77777777">
        <w:tc>
          <w:tcPr>
            <w:tcW w:w="4644" w:type="dxa"/>
          </w:tcPr>
          <w:p w14:paraId="4007A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тактич. радиус </w:t>
            </w:r>
          </w:p>
        </w:tc>
        <w:tc>
          <w:tcPr>
            <w:tcW w:w="5529" w:type="dxa"/>
          </w:tcPr>
          <w:p w14:paraId="00173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 км</w:t>
            </w:r>
          </w:p>
        </w:tc>
      </w:tr>
      <w:tr w:rsidR="00DA227A" w:rsidRPr="00E93F40" w14:paraId="0534E48A" w14:textId="77777777">
        <w:tc>
          <w:tcPr>
            <w:tcW w:w="4644" w:type="dxa"/>
          </w:tcPr>
          <w:p w14:paraId="1FCDB0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30F01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т</w:t>
            </w:r>
          </w:p>
        </w:tc>
      </w:tr>
      <w:tr w:rsidR="00DA227A" w:rsidRPr="00E93F40" w14:paraId="1B7E6C53" w14:textId="77777777">
        <w:tc>
          <w:tcPr>
            <w:tcW w:w="4644" w:type="dxa"/>
          </w:tcPr>
          <w:p w14:paraId="59302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27E1C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11FE17" w14:textId="77777777">
        <w:tc>
          <w:tcPr>
            <w:tcW w:w="4644" w:type="dxa"/>
          </w:tcPr>
          <w:p w14:paraId="5C0E6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30070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D90D0D" w14:textId="77777777">
        <w:tc>
          <w:tcPr>
            <w:tcW w:w="4644" w:type="dxa"/>
          </w:tcPr>
          <w:p w14:paraId="054D6D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067F18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2E8693" w14:textId="77777777">
        <w:tc>
          <w:tcPr>
            <w:tcW w:w="4644" w:type="dxa"/>
          </w:tcPr>
          <w:p w14:paraId="25D68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31A398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F04F98" w14:textId="77777777">
        <w:tc>
          <w:tcPr>
            <w:tcW w:w="4644" w:type="dxa"/>
          </w:tcPr>
          <w:p w14:paraId="4FEDA4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6AC7AA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E5A464" w14:textId="77777777">
        <w:tc>
          <w:tcPr>
            <w:tcW w:w="4644" w:type="dxa"/>
          </w:tcPr>
          <w:p w14:paraId="062A3A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1D21C0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40FA55" w14:textId="77777777">
        <w:tc>
          <w:tcPr>
            <w:tcW w:w="4644" w:type="dxa"/>
          </w:tcPr>
          <w:p w14:paraId="2EE053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5529" w:type="dxa"/>
          </w:tcPr>
          <w:p w14:paraId="6EFA4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6C8191" w14:textId="77777777">
        <w:tc>
          <w:tcPr>
            <w:tcW w:w="4644" w:type="dxa"/>
          </w:tcPr>
          <w:p w14:paraId="3ED03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554C7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 транспортный</w:t>
            </w:r>
          </w:p>
        </w:tc>
      </w:tr>
      <w:tr w:rsidR="00DA227A" w:rsidRPr="00E93F40" w14:paraId="7D00F1BA" w14:textId="77777777">
        <w:tc>
          <w:tcPr>
            <w:tcW w:w="4644" w:type="dxa"/>
          </w:tcPr>
          <w:p w14:paraId="47B388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D8ED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15029E2C" w14:textId="77777777">
        <w:tc>
          <w:tcPr>
            <w:tcW w:w="4644" w:type="dxa"/>
          </w:tcPr>
          <w:p w14:paraId="28466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2F240C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бомбардировщик, он же</w:t>
            </w:r>
          </w:p>
        </w:tc>
      </w:tr>
      <w:tr w:rsidR="00DA227A" w:rsidRPr="00E93F40" w14:paraId="4F52BF56" w14:textId="77777777">
        <w:tc>
          <w:tcPr>
            <w:tcW w:w="4644" w:type="dxa"/>
          </w:tcPr>
          <w:p w14:paraId="207AB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EE84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 и грузовой</w:t>
            </w:r>
          </w:p>
        </w:tc>
      </w:tr>
      <w:tr w:rsidR="00DA227A" w:rsidRPr="00E93F40" w14:paraId="5F06DB63" w14:textId="77777777">
        <w:tc>
          <w:tcPr>
            <w:tcW w:w="4644" w:type="dxa"/>
          </w:tcPr>
          <w:p w14:paraId="348333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286C5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 М-41</w:t>
            </w:r>
          </w:p>
        </w:tc>
      </w:tr>
      <w:tr w:rsidR="00DA227A" w:rsidRPr="00E93F40" w14:paraId="5B7156A7" w14:textId="77777777">
        <w:tc>
          <w:tcPr>
            <w:tcW w:w="4644" w:type="dxa"/>
          </w:tcPr>
          <w:p w14:paraId="251B4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22E8E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020A8A0F" w14:textId="77777777">
        <w:tc>
          <w:tcPr>
            <w:tcW w:w="4644" w:type="dxa"/>
          </w:tcPr>
          <w:p w14:paraId="26162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3A524A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DC43976" w14:textId="77777777">
        <w:tc>
          <w:tcPr>
            <w:tcW w:w="4644" w:type="dxa"/>
          </w:tcPr>
          <w:p w14:paraId="695F20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применения </w:t>
            </w:r>
          </w:p>
        </w:tc>
        <w:tc>
          <w:tcPr>
            <w:tcW w:w="5529" w:type="dxa"/>
          </w:tcPr>
          <w:p w14:paraId="017E8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5A01EBA6" w14:textId="77777777">
        <w:tc>
          <w:tcPr>
            <w:tcW w:w="4644" w:type="dxa"/>
          </w:tcPr>
          <w:p w14:paraId="1BDD6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17776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385ABE" w14:textId="77777777">
        <w:tc>
          <w:tcPr>
            <w:tcW w:w="4644" w:type="dxa"/>
          </w:tcPr>
          <w:p w14:paraId="16BA1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7D54E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16C64A" w14:textId="77777777">
        <w:tc>
          <w:tcPr>
            <w:tcW w:w="4644" w:type="dxa"/>
          </w:tcPr>
          <w:p w14:paraId="35FDF2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6A4A43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r>
      <w:tr w:rsidR="00DA227A" w:rsidRPr="00E93F40" w14:paraId="3E0A769E" w14:textId="77777777">
        <w:tc>
          <w:tcPr>
            <w:tcW w:w="4644" w:type="dxa"/>
          </w:tcPr>
          <w:p w14:paraId="0AC1EA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4C3C3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41767926" w14:textId="77777777">
        <w:tc>
          <w:tcPr>
            <w:tcW w:w="4644" w:type="dxa"/>
          </w:tcPr>
          <w:p w14:paraId="32756B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5DB69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007A51" w14:textId="77777777">
        <w:tc>
          <w:tcPr>
            <w:tcW w:w="4644" w:type="dxa"/>
          </w:tcPr>
          <w:p w14:paraId="79126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53518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2FC0F604" w14:textId="77777777">
        <w:tc>
          <w:tcPr>
            <w:tcW w:w="4644" w:type="dxa"/>
          </w:tcPr>
          <w:p w14:paraId="7F616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Сбрасыв. груз норм.</w:t>
            </w:r>
          </w:p>
        </w:tc>
        <w:tc>
          <w:tcPr>
            <w:tcW w:w="5529" w:type="dxa"/>
          </w:tcPr>
          <w:p w14:paraId="56F92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т</w:t>
            </w:r>
          </w:p>
        </w:tc>
      </w:tr>
      <w:tr w:rsidR="00DA227A" w:rsidRPr="00E93F40" w14:paraId="54D8DF2E" w14:textId="77777777">
        <w:tc>
          <w:tcPr>
            <w:tcW w:w="4644" w:type="dxa"/>
          </w:tcPr>
          <w:p w14:paraId="18AAD0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6C069D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FB65A8" w14:textId="77777777">
        <w:tc>
          <w:tcPr>
            <w:tcW w:w="4644" w:type="dxa"/>
          </w:tcPr>
          <w:p w14:paraId="1EF6D7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7EB36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B16B1D" w14:textId="77777777">
        <w:tc>
          <w:tcPr>
            <w:tcW w:w="4644" w:type="dxa"/>
          </w:tcPr>
          <w:p w14:paraId="1E77A6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6F4095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8313FDD" w14:textId="77777777">
        <w:tc>
          <w:tcPr>
            <w:tcW w:w="4644" w:type="dxa"/>
          </w:tcPr>
          <w:p w14:paraId="0066FC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09ED8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FBA6A4" w14:textId="77777777">
        <w:tc>
          <w:tcPr>
            <w:tcW w:w="4644" w:type="dxa"/>
          </w:tcPr>
          <w:p w14:paraId="146BE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0AB31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B51E0E" w14:textId="77777777">
        <w:tc>
          <w:tcPr>
            <w:tcW w:w="4644" w:type="dxa"/>
          </w:tcPr>
          <w:p w14:paraId="38349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54C58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97BAD9" w14:textId="77777777">
        <w:tc>
          <w:tcPr>
            <w:tcW w:w="4644" w:type="dxa"/>
          </w:tcPr>
          <w:p w14:paraId="174ED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479FA5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1934 г.</w:t>
            </w:r>
          </w:p>
        </w:tc>
      </w:tr>
      <w:tr w:rsidR="00DA227A" w:rsidRPr="00E93F40" w14:paraId="58B5D155" w14:textId="77777777">
        <w:tc>
          <w:tcPr>
            <w:tcW w:w="4644" w:type="dxa"/>
          </w:tcPr>
          <w:p w14:paraId="21E7F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5BF17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A48255" w14:textId="77777777">
        <w:tc>
          <w:tcPr>
            <w:tcW w:w="4644" w:type="dxa"/>
          </w:tcPr>
          <w:p w14:paraId="522C9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2D40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2176DA3B" w14:textId="77777777">
        <w:tc>
          <w:tcPr>
            <w:tcW w:w="4644" w:type="dxa"/>
          </w:tcPr>
          <w:p w14:paraId="4428E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6FA4D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десантный (он же</w:t>
            </w:r>
          </w:p>
        </w:tc>
      </w:tr>
      <w:tr w:rsidR="00DA227A" w:rsidRPr="00E93F40" w14:paraId="16D38A0A" w14:textId="77777777">
        <w:tc>
          <w:tcPr>
            <w:tcW w:w="4644" w:type="dxa"/>
          </w:tcPr>
          <w:p w14:paraId="679EC1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0744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 тяжелый грузовой)</w:t>
            </w:r>
          </w:p>
        </w:tc>
      </w:tr>
      <w:tr w:rsidR="00DA227A" w:rsidRPr="00E93F40" w14:paraId="762E28E8" w14:textId="77777777">
        <w:tc>
          <w:tcPr>
            <w:tcW w:w="4644" w:type="dxa"/>
          </w:tcPr>
          <w:p w14:paraId="4C636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1B8270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Д-1 10-М34</w:t>
            </w:r>
          </w:p>
        </w:tc>
      </w:tr>
      <w:tr w:rsidR="00DA227A" w:rsidRPr="00E93F40" w14:paraId="52C7B24B" w14:textId="77777777">
        <w:tc>
          <w:tcPr>
            <w:tcW w:w="4644" w:type="dxa"/>
          </w:tcPr>
          <w:p w14:paraId="63E454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98D7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EEE512" w14:textId="77777777">
        <w:tc>
          <w:tcPr>
            <w:tcW w:w="4644" w:type="dxa"/>
          </w:tcPr>
          <w:p w14:paraId="520FD9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4523C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841D80" w14:textId="77777777">
        <w:tc>
          <w:tcPr>
            <w:tcW w:w="4644" w:type="dxa"/>
          </w:tcPr>
          <w:p w14:paraId="2CD69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3EF66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r>
      <w:tr w:rsidR="00DA227A" w:rsidRPr="00E93F40" w14:paraId="0743FCB3" w14:textId="77777777">
        <w:tc>
          <w:tcPr>
            <w:tcW w:w="4644" w:type="dxa"/>
          </w:tcPr>
          <w:p w14:paraId="7D6C76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4505B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86F0A2" w14:textId="77777777">
        <w:tc>
          <w:tcPr>
            <w:tcW w:w="4644" w:type="dxa"/>
          </w:tcPr>
          <w:p w14:paraId="56420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3D2EE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B8ED62" w14:textId="77777777">
        <w:tc>
          <w:tcPr>
            <w:tcW w:w="4644" w:type="dxa"/>
          </w:tcPr>
          <w:p w14:paraId="6FCA60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41F34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5519B910" w14:textId="77777777">
        <w:tc>
          <w:tcPr>
            <w:tcW w:w="4644" w:type="dxa"/>
          </w:tcPr>
          <w:p w14:paraId="2A7782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45D9F1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r>
      <w:tr w:rsidR="00DA227A" w:rsidRPr="00E93F40" w14:paraId="71714061" w14:textId="77777777">
        <w:tc>
          <w:tcPr>
            <w:tcW w:w="4644" w:type="dxa"/>
          </w:tcPr>
          <w:p w14:paraId="56DD8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0BF5D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66C56A" w14:textId="77777777">
        <w:tc>
          <w:tcPr>
            <w:tcW w:w="4644" w:type="dxa"/>
          </w:tcPr>
          <w:p w14:paraId="20BFB3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755B4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F534A0" w14:textId="77777777">
        <w:tc>
          <w:tcPr>
            <w:tcW w:w="4644" w:type="dxa"/>
          </w:tcPr>
          <w:p w14:paraId="63B047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7CC52A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т</w:t>
            </w:r>
          </w:p>
        </w:tc>
      </w:tr>
      <w:tr w:rsidR="00DA227A" w:rsidRPr="00E93F40" w14:paraId="5D628506" w14:textId="77777777">
        <w:tc>
          <w:tcPr>
            <w:tcW w:w="4644" w:type="dxa"/>
          </w:tcPr>
          <w:p w14:paraId="03F0B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44C890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6522DB" w14:textId="77777777">
        <w:tc>
          <w:tcPr>
            <w:tcW w:w="4644" w:type="dxa"/>
          </w:tcPr>
          <w:p w14:paraId="27962B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46FD31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CEF30A" w14:textId="77777777">
        <w:tc>
          <w:tcPr>
            <w:tcW w:w="4644" w:type="dxa"/>
          </w:tcPr>
          <w:p w14:paraId="14F72F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69D52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1103CA" w14:textId="77777777">
        <w:tc>
          <w:tcPr>
            <w:tcW w:w="4644" w:type="dxa"/>
          </w:tcPr>
          <w:p w14:paraId="0E4EA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798BD2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8267FA" w14:textId="77777777">
        <w:tc>
          <w:tcPr>
            <w:tcW w:w="4644" w:type="dxa"/>
          </w:tcPr>
          <w:p w14:paraId="1BCB08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57014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FC0567" w14:textId="77777777">
        <w:tc>
          <w:tcPr>
            <w:tcW w:w="4644" w:type="dxa"/>
          </w:tcPr>
          <w:p w14:paraId="10DBD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5CA646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E2E2C0" w14:textId="77777777">
        <w:tc>
          <w:tcPr>
            <w:tcW w:w="4644" w:type="dxa"/>
          </w:tcPr>
          <w:p w14:paraId="6C684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5529" w:type="dxa"/>
          </w:tcPr>
          <w:p w14:paraId="771F1E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r>
      <w:tr w:rsidR="00DA227A" w:rsidRPr="00E93F40" w14:paraId="522F1A7C" w14:textId="77777777">
        <w:tc>
          <w:tcPr>
            <w:tcW w:w="4644" w:type="dxa"/>
          </w:tcPr>
          <w:p w14:paraId="3E21E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365411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2C9103" w14:textId="77777777">
        <w:tc>
          <w:tcPr>
            <w:tcW w:w="4644" w:type="dxa"/>
          </w:tcPr>
          <w:p w14:paraId="7417E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3A52F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77AD1E12" w14:textId="77777777">
        <w:tc>
          <w:tcPr>
            <w:tcW w:w="4644" w:type="dxa"/>
          </w:tcPr>
          <w:p w14:paraId="5FC3C1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Средние бомбардировщики</w:t>
            </w:r>
          </w:p>
        </w:tc>
        <w:tc>
          <w:tcPr>
            <w:tcW w:w="5529" w:type="dxa"/>
          </w:tcPr>
          <w:p w14:paraId="73E37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1BC9CE" w14:textId="77777777">
        <w:tc>
          <w:tcPr>
            <w:tcW w:w="4644" w:type="dxa"/>
          </w:tcPr>
          <w:p w14:paraId="47679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6CFC7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средний бомбардировщик,</w:t>
            </w:r>
          </w:p>
        </w:tc>
      </w:tr>
      <w:tr w:rsidR="00DA227A" w:rsidRPr="00E93F40" w14:paraId="552032D0" w14:textId="77777777">
        <w:tc>
          <w:tcPr>
            <w:tcW w:w="4644" w:type="dxa"/>
          </w:tcPr>
          <w:p w14:paraId="1E199C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79DA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 и грузовой</w:t>
            </w:r>
          </w:p>
        </w:tc>
      </w:tr>
      <w:tr w:rsidR="00DA227A" w:rsidRPr="00E93F40" w14:paraId="0B4E9B56" w14:textId="77777777">
        <w:tc>
          <w:tcPr>
            <w:tcW w:w="4644" w:type="dxa"/>
          </w:tcPr>
          <w:p w14:paraId="4F4A3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6E5699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СБ-6</w:t>
            </w:r>
          </w:p>
        </w:tc>
      </w:tr>
      <w:tr w:rsidR="00DA227A" w:rsidRPr="00E93F40" w14:paraId="754BE2F5" w14:textId="77777777">
        <w:tc>
          <w:tcPr>
            <w:tcW w:w="4644" w:type="dxa"/>
          </w:tcPr>
          <w:p w14:paraId="61A9D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C29A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6AB106A4" w14:textId="77777777">
        <w:tc>
          <w:tcPr>
            <w:tcW w:w="4644" w:type="dxa"/>
          </w:tcPr>
          <w:p w14:paraId="7B4ED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1AF601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D35C13" w14:textId="77777777">
        <w:tc>
          <w:tcPr>
            <w:tcW w:w="4644" w:type="dxa"/>
          </w:tcPr>
          <w:p w14:paraId="2458B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7BBB8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w:t>
            </w:r>
          </w:p>
        </w:tc>
      </w:tr>
      <w:tr w:rsidR="00DA227A" w:rsidRPr="00E93F40" w14:paraId="7C30A6DF" w14:textId="77777777">
        <w:tc>
          <w:tcPr>
            <w:tcW w:w="4644" w:type="dxa"/>
          </w:tcPr>
          <w:p w14:paraId="1B802E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1F8995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5F5B26" w14:textId="77777777">
        <w:tc>
          <w:tcPr>
            <w:tcW w:w="4644" w:type="dxa"/>
          </w:tcPr>
          <w:p w14:paraId="717EB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243E34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w:t>
            </w:r>
          </w:p>
        </w:tc>
      </w:tr>
      <w:tr w:rsidR="00DA227A" w:rsidRPr="00E93F40" w14:paraId="35D712B9" w14:textId="77777777">
        <w:tc>
          <w:tcPr>
            <w:tcW w:w="4644" w:type="dxa"/>
          </w:tcPr>
          <w:p w14:paraId="42386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0930F2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r>
      <w:tr w:rsidR="00DA227A" w:rsidRPr="00E93F40" w14:paraId="68A48540" w14:textId="77777777">
        <w:tc>
          <w:tcPr>
            <w:tcW w:w="4644" w:type="dxa"/>
          </w:tcPr>
          <w:p w14:paraId="16F61F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7B2F8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1600</w:t>
            </w:r>
          </w:p>
        </w:tc>
      </w:tr>
      <w:tr w:rsidR="00DA227A" w:rsidRPr="00E93F40" w14:paraId="7A06286E" w14:textId="77777777">
        <w:tc>
          <w:tcPr>
            <w:tcW w:w="4644" w:type="dxa"/>
          </w:tcPr>
          <w:p w14:paraId="0A98C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21B6B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BAE54E" w14:textId="77777777">
        <w:tc>
          <w:tcPr>
            <w:tcW w:w="4644" w:type="dxa"/>
          </w:tcPr>
          <w:p w14:paraId="594A04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079CF0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4A7BF66B" w14:textId="77777777">
        <w:tc>
          <w:tcPr>
            <w:tcW w:w="4644" w:type="dxa"/>
          </w:tcPr>
          <w:p w14:paraId="5EFBB1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78D2C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т.</w:t>
            </w:r>
          </w:p>
        </w:tc>
      </w:tr>
      <w:tr w:rsidR="00DA227A" w:rsidRPr="00E93F40" w14:paraId="79CBB9B7" w14:textId="77777777">
        <w:tc>
          <w:tcPr>
            <w:tcW w:w="4644" w:type="dxa"/>
          </w:tcPr>
          <w:p w14:paraId="10A95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4A9CBB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2804E9" w14:textId="77777777">
        <w:tc>
          <w:tcPr>
            <w:tcW w:w="4644" w:type="dxa"/>
          </w:tcPr>
          <w:p w14:paraId="17A09B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078472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346248" w14:textId="77777777">
        <w:tc>
          <w:tcPr>
            <w:tcW w:w="4644" w:type="dxa"/>
          </w:tcPr>
          <w:p w14:paraId="3D515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754341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4908D3" w14:textId="77777777">
        <w:tc>
          <w:tcPr>
            <w:tcW w:w="4644" w:type="dxa"/>
          </w:tcPr>
          <w:p w14:paraId="64AB2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13F86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F51395" w14:textId="77777777">
        <w:tc>
          <w:tcPr>
            <w:tcW w:w="4644" w:type="dxa"/>
          </w:tcPr>
          <w:p w14:paraId="7BE458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02230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4AA32B" w14:textId="77777777">
        <w:tc>
          <w:tcPr>
            <w:tcW w:w="4644" w:type="dxa"/>
          </w:tcPr>
          <w:p w14:paraId="3BFCE8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70664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4D27A1" w14:textId="77777777">
        <w:tc>
          <w:tcPr>
            <w:tcW w:w="4644" w:type="dxa"/>
          </w:tcPr>
          <w:p w14:paraId="306257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5529" w:type="dxa"/>
          </w:tcPr>
          <w:p w14:paraId="47D30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ACF176" w14:textId="77777777">
        <w:tc>
          <w:tcPr>
            <w:tcW w:w="4644" w:type="dxa"/>
          </w:tcPr>
          <w:p w14:paraId="7BF604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28207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 транспортный</w:t>
            </w:r>
          </w:p>
        </w:tc>
      </w:tr>
      <w:tr w:rsidR="00DA227A" w:rsidRPr="00E93F40" w14:paraId="144C936A" w14:textId="77777777">
        <w:tc>
          <w:tcPr>
            <w:tcW w:w="4644" w:type="dxa"/>
          </w:tcPr>
          <w:p w14:paraId="28B82D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Крейсера, они же ближние бомбардировщики</w:t>
            </w:r>
          </w:p>
        </w:tc>
        <w:tc>
          <w:tcPr>
            <w:tcW w:w="5529" w:type="dxa"/>
          </w:tcPr>
          <w:p w14:paraId="3CC60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071317" w14:textId="77777777">
        <w:tc>
          <w:tcPr>
            <w:tcW w:w="4644" w:type="dxa"/>
          </w:tcPr>
          <w:p w14:paraId="58C01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5C0237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 он же ближний бомбардировщик</w:t>
            </w:r>
          </w:p>
        </w:tc>
      </w:tr>
      <w:tr w:rsidR="00DA227A" w:rsidRPr="00E93F40" w14:paraId="26636DCE" w14:textId="77777777">
        <w:tc>
          <w:tcPr>
            <w:tcW w:w="4644" w:type="dxa"/>
          </w:tcPr>
          <w:p w14:paraId="16742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022D7E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w:t>
            </w:r>
          </w:p>
        </w:tc>
      </w:tr>
      <w:tr w:rsidR="00DA227A" w:rsidRPr="00E93F40" w14:paraId="3D98994C" w14:textId="77777777">
        <w:tc>
          <w:tcPr>
            <w:tcW w:w="4644" w:type="dxa"/>
          </w:tcPr>
          <w:p w14:paraId="4F782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50B7FE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1772AB7D" w14:textId="77777777">
        <w:tc>
          <w:tcPr>
            <w:tcW w:w="4644" w:type="dxa"/>
          </w:tcPr>
          <w:p w14:paraId="223DDB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3A0CC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A48E9F" w14:textId="77777777">
        <w:tc>
          <w:tcPr>
            <w:tcW w:w="4644" w:type="dxa"/>
          </w:tcPr>
          <w:p w14:paraId="252987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453AF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r>
      <w:tr w:rsidR="00DA227A" w:rsidRPr="00E93F40" w14:paraId="41905E60" w14:textId="77777777">
        <w:tc>
          <w:tcPr>
            <w:tcW w:w="4644" w:type="dxa"/>
          </w:tcPr>
          <w:p w14:paraId="7E0017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48E48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0DEE3A" w14:textId="77777777">
        <w:tc>
          <w:tcPr>
            <w:tcW w:w="4644" w:type="dxa"/>
          </w:tcPr>
          <w:p w14:paraId="5A815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30058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w:t>
            </w:r>
          </w:p>
        </w:tc>
      </w:tr>
      <w:tr w:rsidR="00DA227A" w:rsidRPr="00E93F40" w14:paraId="7AA6CB20" w14:textId="77777777">
        <w:tc>
          <w:tcPr>
            <w:tcW w:w="4644" w:type="dxa"/>
          </w:tcPr>
          <w:p w14:paraId="577904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58BA35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r>
      <w:tr w:rsidR="00DA227A" w:rsidRPr="00E93F40" w14:paraId="31307FEC" w14:textId="77777777">
        <w:tc>
          <w:tcPr>
            <w:tcW w:w="4644" w:type="dxa"/>
          </w:tcPr>
          <w:p w14:paraId="6BCB9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7BC78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765B5689" w14:textId="77777777">
        <w:tc>
          <w:tcPr>
            <w:tcW w:w="4644" w:type="dxa"/>
          </w:tcPr>
          <w:p w14:paraId="2CA85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511D9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793796" w14:textId="77777777">
        <w:tc>
          <w:tcPr>
            <w:tcW w:w="4644" w:type="dxa"/>
          </w:tcPr>
          <w:p w14:paraId="2913CE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77EF0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948083" w14:textId="77777777">
        <w:tc>
          <w:tcPr>
            <w:tcW w:w="4644" w:type="dxa"/>
          </w:tcPr>
          <w:p w14:paraId="705649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39484B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26EF8A97" w14:textId="77777777">
        <w:tc>
          <w:tcPr>
            <w:tcW w:w="4644" w:type="dxa"/>
          </w:tcPr>
          <w:p w14:paraId="4D12D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681FCC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F1115E" w14:textId="77777777">
        <w:tc>
          <w:tcPr>
            <w:tcW w:w="4644" w:type="dxa"/>
          </w:tcPr>
          <w:p w14:paraId="4EA479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16E666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767949" w14:textId="77777777">
        <w:tc>
          <w:tcPr>
            <w:tcW w:w="4644" w:type="dxa"/>
          </w:tcPr>
          <w:p w14:paraId="7E33F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2B7D7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954E62" w14:textId="77777777">
        <w:tc>
          <w:tcPr>
            <w:tcW w:w="4644" w:type="dxa"/>
          </w:tcPr>
          <w:p w14:paraId="44178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56A8F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5CEC05" w14:textId="77777777">
        <w:tc>
          <w:tcPr>
            <w:tcW w:w="4644" w:type="dxa"/>
          </w:tcPr>
          <w:p w14:paraId="3CECC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61E97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D8E64EC" w14:textId="77777777">
        <w:tc>
          <w:tcPr>
            <w:tcW w:w="4644" w:type="dxa"/>
          </w:tcPr>
          <w:p w14:paraId="0BD75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5E76C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0758F0" w14:textId="77777777">
        <w:tc>
          <w:tcPr>
            <w:tcW w:w="4644" w:type="dxa"/>
          </w:tcPr>
          <w:p w14:paraId="2AC26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00104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231304" w14:textId="77777777">
        <w:tc>
          <w:tcPr>
            <w:tcW w:w="4644" w:type="dxa"/>
          </w:tcPr>
          <w:p w14:paraId="10EB9E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3A285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 транспортный</w:t>
            </w:r>
          </w:p>
        </w:tc>
      </w:tr>
      <w:tr w:rsidR="00DA227A" w:rsidRPr="00E93F40" w14:paraId="0A2D3740" w14:textId="77777777">
        <w:tc>
          <w:tcPr>
            <w:tcW w:w="4644" w:type="dxa"/>
          </w:tcPr>
          <w:p w14:paraId="119D3F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8A9EE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Может быть модифицирован из самолетов</w:t>
            </w:r>
          </w:p>
        </w:tc>
      </w:tr>
      <w:tr w:rsidR="00DA227A" w:rsidRPr="00E93F40" w14:paraId="17B5A160" w14:textId="77777777">
        <w:tc>
          <w:tcPr>
            <w:tcW w:w="4644" w:type="dxa"/>
          </w:tcPr>
          <w:p w14:paraId="03AD4F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AD71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 или ТБ-4</w:t>
            </w:r>
          </w:p>
        </w:tc>
      </w:tr>
      <w:tr w:rsidR="00DA227A" w:rsidRPr="00E93F40" w14:paraId="3F86DCC2" w14:textId="77777777">
        <w:tc>
          <w:tcPr>
            <w:tcW w:w="4644" w:type="dxa"/>
          </w:tcPr>
          <w:p w14:paraId="2DFC9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4DA7F5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w:t>
            </w:r>
          </w:p>
        </w:tc>
      </w:tr>
      <w:tr w:rsidR="00DA227A" w:rsidRPr="00E93F40" w14:paraId="5CC5F183" w14:textId="77777777">
        <w:tc>
          <w:tcPr>
            <w:tcW w:w="4644" w:type="dxa"/>
          </w:tcPr>
          <w:p w14:paraId="33CFC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Литерное обозначение</w:t>
            </w:r>
          </w:p>
        </w:tc>
        <w:tc>
          <w:tcPr>
            <w:tcW w:w="5529" w:type="dxa"/>
          </w:tcPr>
          <w:p w14:paraId="45D02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6М-34</w:t>
            </w:r>
          </w:p>
        </w:tc>
      </w:tr>
      <w:tr w:rsidR="00DA227A" w:rsidRPr="00E93F40" w14:paraId="65C7946E" w14:textId="77777777">
        <w:tc>
          <w:tcPr>
            <w:tcW w:w="4644" w:type="dxa"/>
          </w:tcPr>
          <w:p w14:paraId="30CF0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1201AF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8F0ABA" w14:textId="77777777">
        <w:tc>
          <w:tcPr>
            <w:tcW w:w="4644" w:type="dxa"/>
          </w:tcPr>
          <w:p w14:paraId="34961E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7E237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1E347E" w14:textId="77777777">
        <w:tc>
          <w:tcPr>
            <w:tcW w:w="4644" w:type="dxa"/>
          </w:tcPr>
          <w:p w14:paraId="579B41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применения </w:t>
            </w:r>
          </w:p>
        </w:tc>
        <w:tc>
          <w:tcPr>
            <w:tcW w:w="5529" w:type="dxa"/>
          </w:tcPr>
          <w:p w14:paraId="7A3D48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r>
      <w:tr w:rsidR="00DA227A" w:rsidRPr="00E93F40" w14:paraId="20243EEA" w14:textId="77777777">
        <w:tc>
          <w:tcPr>
            <w:tcW w:w="4644" w:type="dxa"/>
          </w:tcPr>
          <w:p w14:paraId="4DD08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53F60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65E91C" w14:textId="77777777">
        <w:tc>
          <w:tcPr>
            <w:tcW w:w="4644" w:type="dxa"/>
          </w:tcPr>
          <w:p w14:paraId="298E6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563341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1B2A9B" w14:textId="77777777">
        <w:tc>
          <w:tcPr>
            <w:tcW w:w="4644" w:type="dxa"/>
          </w:tcPr>
          <w:p w14:paraId="6BAC7D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5355E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r>
      <w:tr w:rsidR="00DA227A" w:rsidRPr="00E93F40" w14:paraId="6508D98E" w14:textId="77777777">
        <w:tc>
          <w:tcPr>
            <w:tcW w:w="4644" w:type="dxa"/>
          </w:tcPr>
          <w:p w14:paraId="073E3C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79B30D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при перегруз.</w:t>
            </w:r>
          </w:p>
        </w:tc>
      </w:tr>
      <w:tr w:rsidR="00DA227A" w:rsidRPr="00E93F40" w14:paraId="3E8B8AB7" w14:textId="77777777">
        <w:tc>
          <w:tcPr>
            <w:tcW w:w="4644" w:type="dxa"/>
          </w:tcPr>
          <w:p w14:paraId="1F8F06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4CE66A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DA8075" w14:textId="77777777">
        <w:tc>
          <w:tcPr>
            <w:tcW w:w="4644" w:type="dxa"/>
          </w:tcPr>
          <w:p w14:paraId="0A555D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080055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3F6CED" w14:textId="77777777">
        <w:tc>
          <w:tcPr>
            <w:tcW w:w="4644" w:type="dxa"/>
          </w:tcPr>
          <w:p w14:paraId="4C7EC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36F28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т</w:t>
            </w:r>
          </w:p>
        </w:tc>
      </w:tr>
      <w:tr w:rsidR="00DA227A" w:rsidRPr="00E93F40" w14:paraId="75D7CA18" w14:textId="77777777">
        <w:tc>
          <w:tcPr>
            <w:tcW w:w="4644" w:type="dxa"/>
          </w:tcPr>
          <w:p w14:paraId="49428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17A025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C4D60C" w14:textId="77777777">
        <w:tc>
          <w:tcPr>
            <w:tcW w:w="4644" w:type="dxa"/>
          </w:tcPr>
          <w:p w14:paraId="7270EE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717F96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52464B" w14:textId="77777777">
        <w:tc>
          <w:tcPr>
            <w:tcW w:w="4644" w:type="dxa"/>
          </w:tcPr>
          <w:p w14:paraId="08546A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2991B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E32BFC" w14:textId="77777777">
        <w:tc>
          <w:tcPr>
            <w:tcW w:w="4644" w:type="dxa"/>
          </w:tcPr>
          <w:p w14:paraId="0A5F9A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10B4A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55AE94" w14:textId="77777777">
        <w:tc>
          <w:tcPr>
            <w:tcW w:w="4644" w:type="dxa"/>
          </w:tcPr>
          <w:p w14:paraId="0F1B4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25AB93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1AB32A" w14:textId="77777777">
        <w:tc>
          <w:tcPr>
            <w:tcW w:w="4644" w:type="dxa"/>
          </w:tcPr>
          <w:p w14:paraId="6C173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5297B5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776648" w14:textId="77777777">
        <w:tc>
          <w:tcPr>
            <w:tcW w:w="4644" w:type="dxa"/>
          </w:tcPr>
          <w:p w14:paraId="18580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5529" w:type="dxa"/>
          </w:tcPr>
          <w:p w14:paraId="04006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октября 1932 г.</w:t>
            </w:r>
          </w:p>
        </w:tc>
      </w:tr>
      <w:tr w:rsidR="00DA227A" w:rsidRPr="00E93F40" w14:paraId="493C3406" w14:textId="77777777">
        <w:tc>
          <w:tcPr>
            <w:tcW w:w="4644" w:type="dxa"/>
          </w:tcPr>
          <w:p w14:paraId="429BA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68E8E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96DF6F" w14:textId="77777777">
        <w:tc>
          <w:tcPr>
            <w:tcW w:w="4644" w:type="dxa"/>
          </w:tcPr>
          <w:p w14:paraId="25A499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69A17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6E821A03" w14:textId="77777777">
        <w:tc>
          <w:tcPr>
            <w:tcW w:w="4644" w:type="dxa"/>
          </w:tcPr>
          <w:p w14:paraId="47068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6103E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w:t>
            </w:r>
          </w:p>
        </w:tc>
      </w:tr>
      <w:tr w:rsidR="00DA227A" w:rsidRPr="00E93F40" w14:paraId="09D88639" w14:textId="77777777">
        <w:tc>
          <w:tcPr>
            <w:tcW w:w="4644" w:type="dxa"/>
          </w:tcPr>
          <w:p w14:paraId="102CC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20CD9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бис 6М-34</w:t>
            </w:r>
          </w:p>
        </w:tc>
      </w:tr>
      <w:tr w:rsidR="00DA227A" w:rsidRPr="00E93F40" w14:paraId="152A1972" w14:textId="77777777">
        <w:tc>
          <w:tcPr>
            <w:tcW w:w="4644" w:type="dxa"/>
          </w:tcPr>
          <w:p w14:paraId="52A1FE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2BBD3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857720" w14:textId="77777777">
        <w:tc>
          <w:tcPr>
            <w:tcW w:w="4644" w:type="dxa"/>
          </w:tcPr>
          <w:p w14:paraId="0B1EE3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3AFF5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3A3F50" w14:textId="77777777">
        <w:tc>
          <w:tcPr>
            <w:tcW w:w="4644" w:type="dxa"/>
          </w:tcPr>
          <w:p w14:paraId="2837E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04E9E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r>
      <w:tr w:rsidR="00DA227A" w:rsidRPr="00E93F40" w14:paraId="005543D5" w14:textId="77777777">
        <w:tc>
          <w:tcPr>
            <w:tcW w:w="4644" w:type="dxa"/>
          </w:tcPr>
          <w:p w14:paraId="5E9BA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14970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4959A24" w14:textId="77777777">
        <w:tc>
          <w:tcPr>
            <w:tcW w:w="4644" w:type="dxa"/>
          </w:tcPr>
          <w:p w14:paraId="62180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4E9E2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76B0F1" w14:textId="77777777">
        <w:tc>
          <w:tcPr>
            <w:tcW w:w="4644" w:type="dxa"/>
          </w:tcPr>
          <w:p w14:paraId="1A472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36101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D1B027" w14:textId="77777777">
        <w:tc>
          <w:tcPr>
            <w:tcW w:w="4644" w:type="dxa"/>
          </w:tcPr>
          <w:p w14:paraId="616EE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75E3A2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751DE201" w14:textId="77777777">
        <w:tc>
          <w:tcPr>
            <w:tcW w:w="4644" w:type="dxa"/>
          </w:tcPr>
          <w:p w14:paraId="5F5FA2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72E27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1CBE3F" w14:textId="77777777">
        <w:tc>
          <w:tcPr>
            <w:tcW w:w="4644" w:type="dxa"/>
          </w:tcPr>
          <w:p w14:paraId="16743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035C9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0E0926" w14:textId="77777777">
        <w:tc>
          <w:tcPr>
            <w:tcW w:w="4644" w:type="dxa"/>
          </w:tcPr>
          <w:p w14:paraId="50BB3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38F2F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 т</w:t>
            </w:r>
          </w:p>
        </w:tc>
      </w:tr>
      <w:tr w:rsidR="00DA227A" w:rsidRPr="00E93F40" w14:paraId="2F7A1BA2" w14:textId="77777777">
        <w:tc>
          <w:tcPr>
            <w:tcW w:w="4644" w:type="dxa"/>
          </w:tcPr>
          <w:p w14:paraId="4481D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43C67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11523CD" w14:textId="77777777">
        <w:tc>
          <w:tcPr>
            <w:tcW w:w="4644" w:type="dxa"/>
          </w:tcPr>
          <w:p w14:paraId="7A82D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07AE9E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52C77B" w14:textId="77777777">
        <w:tc>
          <w:tcPr>
            <w:tcW w:w="4644" w:type="dxa"/>
          </w:tcPr>
          <w:p w14:paraId="330B4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51B802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490003" w14:textId="77777777">
        <w:tc>
          <w:tcPr>
            <w:tcW w:w="4644" w:type="dxa"/>
          </w:tcPr>
          <w:p w14:paraId="51BB8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2187E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5A5965" w14:textId="77777777">
        <w:tc>
          <w:tcPr>
            <w:tcW w:w="4644" w:type="dxa"/>
          </w:tcPr>
          <w:p w14:paraId="69925E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2F52D8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54F1CA" w14:textId="77777777">
        <w:tc>
          <w:tcPr>
            <w:tcW w:w="4644" w:type="dxa"/>
          </w:tcPr>
          <w:p w14:paraId="5D242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4FE39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284B61" w14:textId="77777777">
        <w:tc>
          <w:tcPr>
            <w:tcW w:w="4644" w:type="dxa"/>
          </w:tcPr>
          <w:p w14:paraId="57CCD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676FB9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1934 г.</w:t>
            </w:r>
          </w:p>
        </w:tc>
      </w:tr>
      <w:tr w:rsidR="00DA227A" w:rsidRPr="00E93F40" w14:paraId="36988936" w14:textId="77777777">
        <w:tc>
          <w:tcPr>
            <w:tcW w:w="4644" w:type="dxa"/>
          </w:tcPr>
          <w:p w14:paraId="58E0B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3F518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9D53D0" w14:textId="77777777">
        <w:tc>
          <w:tcPr>
            <w:tcW w:w="4644" w:type="dxa"/>
          </w:tcPr>
          <w:p w14:paraId="14D4B5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F31DA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3538B3F8" w14:textId="77777777">
        <w:tc>
          <w:tcPr>
            <w:tcW w:w="4644" w:type="dxa"/>
          </w:tcPr>
          <w:p w14:paraId="0CA540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3A965B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 сухопутный, средний</w:t>
            </w:r>
          </w:p>
        </w:tc>
      </w:tr>
      <w:tr w:rsidR="00DA227A" w:rsidRPr="00E93F40" w14:paraId="532D0537" w14:textId="77777777">
        <w:tc>
          <w:tcPr>
            <w:tcW w:w="4644" w:type="dxa"/>
          </w:tcPr>
          <w:p w14:paraId="5B5D1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C53B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бомбардировщик, дальний разведчик</w:t>
            </w:r>
          </w:p>
        </w:tc>
      </w:tr>
      <w:tr w:rsidR="00DA227A" w:rsidRPr="00E93F40" w14:paraId="62547528" w14:textId="77777777">
        <w:tc>
          <w:tcPr>
            <w:tcW w:w="4644" w:type="dxa"/>
          </w:tcPr>
          <w:p w14:paraId="012DF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5BD05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 2М-34</w:t>
            </w:r>
          </w:p>
        </w:tc>
      </w:tr>
      <w:tr w:rsidR="00DA227A" w:rsidRPr="00E93F40" w14:paraId="4688CEA4" w14:textId="77777777">
        <w:tc>
          <w:tcPr>
            <w:tcW w:w="4644" w:type="dxa"/>
          </w:tcPr>
          <w:p w14:paraId="5D1F6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17D0F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r>
      <w:tr w:rsidR="00DA227A" w:rsidRPr="00E93F40" w14:paraId="762155B0" w14:textId="77777777">
        <w:tc>
          <w:tcPr>
            <w:tcW w:w="4644" w:type="dxa"/>
          </w:tcPr>
          <w:p w14:paraId="096C3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1774C7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1DFF3A" w14:textId="77777777">
        <w:tc>
          <w:tcPr>
            <w:tcW w:w="4644" w:type="dxa"/>
          </w:tcPr>
          <w:p w14:paraId="77E14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применения </w:t>
            </w:r>
          </w:p>
        </w:tc>
        <w:tc>
          <w:tcPr>
            <w:tcW w:w="5529" w:type="dxa"/>
          </w:tcPr>
          <w:p w14:paraId="17A6B2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r>
      <w:tr w:rsidR="00DA227A" w:rsidRPr="00E93F40" w14:paraId="3E1E1D6F" w14:textId="77777777">
        <w:tc>
          <w:tcPr>
            <w:tcW w:w="4644" w:type="dxa"/>
          </w:tcPr>
          <w:p w14:paraId="26D55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0DDF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C99F23" w14:textId="77777777">
        <w:tc>
          <w:tcPr>
            <w:tcW w:w="4644" w:type="dxa"/>
          </w:tcPr>
          <w:p w14:paraId="245C11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7B1098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E055A0" w14:textId="77777777">
        <w:tc>
          <w:tcPr>
            <w:tcW w:w="4644" w:type="dxa"/>
          </w:tcPr>
          <w:p w14:paraId="3FEAE6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319395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0F21FF" w14:textId="77777777">
        <w:tc>
          <w:tcPr>
            <w:tcW w:w="4644" w:type="dxa"/>
          </w:tcPr>
          <w:p w14:paraId="0A4192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10A0D4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049DEB9F" w14:textId="77777777">
        <w:tc>
          <w:tcPr>
            <w:tcW w:w="4644" w:type="dxa"/>
          </w:tcPr>
          <w:p w14:paraId="3097E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4FC646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5CF68F" w14:textId="77777777">
        <w:tc>
          <w:tcPr>
            <w:tcW w:w="4644" w:type="dxa"/>
          </w:tcPr>
          <w:p w14:paraId="3964DD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тактич. радиус </w:t>
            </w:r>
          </w:p>
        </w:tc>
        <w:tc>
          <w:tcPr>
            <w:tcW w:w="5529" w:type="dxa"/>
          </w:tcPr>
          <w:p w14:paraId="6D9132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1250</w:t>
            </w:r>
          </w:p>
        </w:tc>
      </w:tr>
      <w:tr w:rsidR="00DA227A" w:rsidRPr="00E93F40" w14:paraId="7C96334B" w14:textId="77777777">
        <w:tc>
          <w:tcPr>
            <w:tcW w:w="4644" w:type="dxa"/>
          </w:tcPr>
          <w:p w14:paraId="676BBB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2AF463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7B26B9AE" w14:textId="77777777">
        <w:tc>
          <w:tcPr>
            <w:tcW w:w="4644" w:type="dxa"/>
          </w:tcPr>
          <w:p w14:paraId="293AAC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4AE62B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9CCB36" w14:textId="77777777">
        <w:tc>
          <w:tcPr>
            <w:tcW w:w="4644" w:type="dxa"/>
          </w:tcPr>
          <w:p w14:paraId="17AE3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10B30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203AF2" w14:textId="77777777">
        <w:tc>
          <w:tcPr>
            <w:tcW w:w="4644" w:type="dxa"/>
          </w:tcPr>
          <w:p w14:paraId="202CA1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6B4CA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A1D33C" w14:textId="77777777">
        <w:tc>
          <w:tcPr>
            <w:tcW w:w="4644" w:type="dxa"/>
          </w:tcPr>
          <w:p w14:paraId="4D824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1B0F1B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566B81" w14:textId="77777777">
        <w:tc>
          <w:tcPr>
            <w:tcW w:w="4644" w:type="dxa"/>
          </w:tcPr>
          <w:p w14:paraId="34316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679AD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E02681" w14:textId="77777777">
        <w:tc>
          <w:tcPr>
            <w:tcW w:w="4644" w:type="dxa"/>
          </w:tcPr>
          <w:p w14:paraId="7D670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7429B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6BCF01" w14:textId="77777777">
        <w:tc>
          <w:tcPr>
            <w:tcW w:w="4644" w:type="dxa"/>
          </w:tcPr>
          <w:p w14:paraId="78321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34BD6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r>
      <w:tr w:rsidR="00DA227A" w:rsidRPr="00E93F40" w14:paraId="187DCFCD" w14:textId="77777777">
        <w:tc>
          <w:tcPr>
            <w:tcW w:w="4644" w:type="dxa"/>
          </w:tcPr>
          <w:p w14:paraId="7FF13D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64CFF1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A0AA88" w14:textId="77777777">
        <w:tc>
          <w:tcPr>
            <w:tcW w:w="4644" w:type="dxa"/>
          </w:tcPr>
          <w:p w14:paraId="2D99A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AB2B3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05CF9297" w14:textId="77777777">
        <w:tc>
          <w:tcPr>
            <w:tcW w:w="4644" w:type="dxa"/>
          </w:tcPr>
          <w:p w14:paraId="12BAF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Войсковая авиация</w:t>
            </w:r>
          </w:p>
        </w:tc>
        <w:tc>
          <w:tcPr>
            <w:tcW w:w="5529" w:type="dxa"/>
          </w:tcPr>
          <w:p w14:paraId="29503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8766CE" w14:textId="77777777">
        <w:tc>
          <w:tcPr>
            <w:tcW w:w="4644" w:type="dxa"/>
          </w:tcPr>
          <w:p w14:paraId="07374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Бомбардировщики</w:t>
            </w:r>
          </w:p>
        </w:tc>
        <w:tc>
          <w:tcPr>
            <w:tcW w:w="5529" w:type="dxa"/>
          </w:tcPr>
          <w:p w14:paraId="6FE32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235B57" w14:textId="77777777">
        <w:tc>
          <w:tcPr>
            <w:tcW w:w="4644" w:type="dxa"/>
          </w:tcPr>
          <w:p w14:paraId="5A7FE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77177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ближний бомбардировщик</w:t>
            </w:r>
          </w:p>
        </w:tc>
      </w:tr>
      <w:tr w:rsidR="00DA227A" w:rsidRPr="00E93F40" w14:paraId="6851C808" w14:textId="77777777">
        <w:tc>
          <w:tcPr>
            <w:tcW w:w="4644" w:type="dxa"/>
          </w:tcPr>
          <w:p w14:paraId="7673F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5A3CC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w:t>
            </w:r>
          </w:p>
        </w:tc>
      </w:tr>
      <w:tr w:rsidR="00DA227A" w:rsidRPr="00E93F40" w14:paraId="152CD7F8" w14:textId="77777777">
        <w:tc>
          <w:tcPr>
            <w:tcW w:w="4644" w:type="dxa"/>
          </w:tcPr>
          <w:p w14:paraId="2473DB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BA6B2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воздушнй крейсер</w:t>
            </w:r>
          </w:p>
        </w:tc>
      </w:tr>
      <w:tr w:rsidR="00DA227A" w:rsidRPr="00E93F40" w14:paraId="72281B2B" w14:textId="77777777">
        <w:tc>
          <w:tcPr>
            <w:tcW w:w="4644" w:type="dxa"/>
          </w:tcPr>
          <w:p w14:paraId="74661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AF19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C4AB63" w14:textId="77777777">
        <w:tc>
          <w:tcPr>
            <w:tcW w:w="4644" w:type="dxa"/>
          </w:tcPr>
          <w:p w14:paraId="07A72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338BF1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 бомбардировщик, он же легкий</w:t>
            </w:r>
          </w:p>
        </w:tc>
      </w:tr>
      <w:tr w:rsidR="00DA227A" w:rsidRPr="00E93F40" w14:paraId="47D07021" w14:textId="77777777">
        <w:tc>
          <w:tcPr>
            <w:tcW w:w="4644" w:type="dxa"/>
          </w:tcPr>
          <w:p w14:paraId="05EFA7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5F58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штурмовик , он же 2-х местный истребит.</w:t>
            </w:r>
          </w:p>
        </w:tc>
      </w:tr>
      <w:tr w:rsidR="00DA227A" w:rsidRPr="00E93F40" w14:paraId="142438EE" w14:textId="77777777">
        <w:tc>
          <w:tcPr>
            <w:tcW w:w="4644" w:type="dxa"/>
          </w:tcPr>
          <w:p w14:paraId="226A6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7968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разведчик</w:t>
            </w:r>
          </w:p>
        </w:tc>
      </w:tr>
      <w:tr w:rsidR="00DA227A" w:rsidRPr="00E93F40" w14:paraId="49177A52" w14:textId="77777777">
        <w:tc>
          <w:tcPr>
            <w:tcW w:w="4644" w:type="dxa"/>
          </w:tcPr>
          <w:p w14:paraId="4CA8C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23868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Используется один и тот же тип</w:t>
            </w:r>
          </w:p>
        </w:tc>
      </w:tr>
      <w:tr w:rsidR="00DA227A" w:rsidRPr="00E93F40" w14:paraId="3DFE048A" w14:textId="77777777">
        <w:tc>
          <w:tcPr>
            <w:tcW w:w="4644" w:type="dxa"/>
          </w:tcPr>
          <w:p w14:paraId="24BC7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6E1BDD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w:t>
            </w:r>
          </w:p>
        </w:tc>
      </w:tr>
      <w:tr w:rsidR="00DA227A" w:rsidRPr="00E93F40" w14:paraId="0C262CC8" w14:textId="77777777">
        <w:tc>
          <w:tcPr>
            <w:tcW w:w="4644" w:type="dxa"/>
          </w:tcPr>
          <w:p w14:paraId="5500F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20202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r>
      <w:tr w:rsidR="00DA227A" w:rsidRPr="00E93F40" w14:paraId="58A2E28F" w14:textId="77777777">
        <w:tc>
          <w:tcPr>
            <w:tcW w:w="4644" w:type="dxa"/>
          </w:tcPr>
          <w:p w14:paraId="2F90B1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5CE502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65AE80" w14:textId="77777777">
        <w:tc>
          <w:tcPr>
            <w:tcW w:w="4644" w:type="dxa"/>
          </w:tcPr>
          <w:p w14:paraId="7BDA5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03175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54ED1C74" w14:textId="77777777">
        <w:tc>
          <w:tcPr>
            <w:tcW w:w="4644" w:type="dxa"/>
          </w:tcPr>
          <w:p w14:paraId="01E425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2886C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7AD60B" w14:textId="77777777">
        <w:tc>
          <w:tcPr>
            <w:tcW w:w="4644" w:type="dxa"/>
          </w:tcPr>
          <w:p w14:paraId="27696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применен.</w:t>
            </w:r>
          </w:p>
        </w:tc>
        <w:tc>
          <w:tcPr>
            <w:tcW w:w="5529" w:type="dxa"/>
          </w:tcPr>
          <w:p w14:paraId="12621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мин.</w:t>
            </w:r>
          </w:p>
        </w:tc>
      </w:tr>
      <w:tr w:rsidR="00DA227A" w:rsidRPr="00E93F40" w14:paraId="6F79A952" w14:textId="77777777">
        <w:tc>
          <w:tcPr>
            <w:tcW w:w="4644" w:type="dxa"/>
          </w:tcPr>
          <w:p w14:paraId="1E7246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21059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55EF4A3B" w14:textId="77777777">
        <w:tc>
          <w:tcPr>
            <w:tcW w:w="4644" w:type="dxa"/>
          </w:tcPr>
          <w:p w14:paraId="2961A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227AA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r>
      <w:tr w:rsidR="00DA227A" w:rsidRPr="00E93F40" w14:paraId="59D24A21" w14:textId="77777777">
        <w:tc>
          <w:tcPr>
            <w:tcW w:w="4644" w:type="dxa"/>
          </w:tcPr>
          <w:p w14:paraId="57FFA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06BB48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1B39C5" w14:textId="77777777">
        <w:tc>
          <w:tcPr>
            <w:tcW w:w="4644" w:type="dxa"/>
          </w:tcPr>
          <w:p w14:paraId="7372B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126685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4B219F16" w14:textId="77777777">
        <w:tc>
          <w:tcPr>
            <w:tcW w:w="4644" w:type="dxa"/>
          </w:tcPr>
          <w:p w14:paraId="6983E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034D6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5E3F477B" w14:textId="77777777">
        <w:tc>
          <w:tcPr>
            <w:tcW w:w="4644" w:type="dxa"/>
          </w:tcPr>
          <w:p w14:paraId="63E0DD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44AA8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ЛШ</w:t>
            </w:r>
          </w:p>
        </w:tc>
      </w:tr>
      <w:tr w:rsidR="00DA227A" w:rsidRPr="00E93F40" w14:paraId="357FC93B" w14:textId="77777777">
        <w:tc>
          <w:tcPr>
            <w:tcW w:w="4644" w:type="dxa"/>
          </w:tcPr>
          <w:p w14:paraId="3CA61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BE89A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10-1000</w:t>
            </w:r>
          </w:p>
        </w:tc>
      </w:tr>
      <w:tr w:rsidR="00DA227A" w:rsidRPr="00E93F40" w14:paraId="4672557F" w14:textId="77777777">
        <w:tc>
          <w:tcPr>
            <w:tcW w:w="4644" w:type="dxa"/>
          </w:tcPr>
          <w:p w14:paraId="0257B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7A9F2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9B40D1" w14:textId="77777777">
        <w:tc>
          <w:tcPr>
            <w:tcW w:w="4644" w:type="dxa"/>
          </w:tcPr>
          <w:p w14:paraId="2B46B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53E98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1903C314" w14:textId="77777777">
        <w:tc>
          <w:tcPr>
            <w:tcW w:w="4644" w:type="dxa"/>
          </w:tcPr>
          <w:p w14:paraId="7C126C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9D12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DDCE01" w14:textId="77777777">
        <w:tc>
          <w:tcPr>
            <w:tcW w:w="4644" w:type="dxa"/>
          </w:tcPr>
          <w:p w14:paraId="405F87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2BE67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50F36E" w14:textId="77777777">
        <w:tc>
          <w:tcPr>
            <w:tcW w:w="4644" w:type="dxa"/>
          </w:tcPr>
          <w:p w14:paraId="5234E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52887D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599A7860" w14:textId="77777777">
        <w:tc>
          <w:tcPr>
            <w:tcW w:w="4644" w:type="dxa"/>
          </w:tcPr>
          <w:p w14:paraId="11979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7FA0DF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r>
      <w:tr w:rsidR="00DA227A" w:rsidRPr="00E93F40" w14:paraId="1AA4A23F" w14:textId="77777777">
        <w:tc>
          <w:tcPr>
            <w:tcW w:w="4644" w:type="dxa"/>
          </w:tcPr>
          <w:p w14:paraId="1608D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6BF7C0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32D331" w14:textId="77777777">
        <w:tc>
          <w:tcPr>
            <w:tcW w:w="4644" w:type="dxa"/>
          </w:tcPr>
          <w:p w14:paraId="38F11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150C91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4672FBFF" w14:textId="77777777">
        <w:tc>
          <w:tcPr>
            <w:tcW w:w="4644" w:type="dxa"/>
          </w:tcPr>
          <w:p w14:paraId="1EDCD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182B0B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0D3D6C69" w14:textId="77777777">
        <w:tc>
          <w:tcPr>
            <w:tcW w:w="4644" w:type="dxa"/>
          </w:tcPr>
          <w:p w14:paraId="443A2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074C1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ДИ-7</w:t>
            </w:r>
          </w:p>
        </w:tc>
      </w:tr>
      <w:tr w:rsidR="00DA227A" w:rsidRPr="00E93F40" w14:paraId="19BBF46A" w14:textId="77777777">
        <w:tc>
          <w:tcPr>
            <w:tcW w:w="4644" w:type="dxa"/>
          </w:tcPr>
          <w:p w14:paraId="08749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7CFD3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7500</w:t>
            </w:r>
          </w:p>
        </w:tc>
      </w:tr>
      <w:tr w:rsidR="00DA227A" w:rsidRPr="00E93F40" w14:paraId="64B7BDFB" w14:textId="77777777">
        <w:tc>
          <w:tcPr>
            <w:tcW w:w="4644" w:type="dxa"/>
          </w:tcPr>
          <w:p w14:paraId="5A9C3B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36974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3EE1E1" w14:textId="77777777">
        <w:tc>
          <w:tcPr>
            <w:tcW w:w="4644" w:type="dxa"/>
          </w:tcPr>
          <w:p w14:paraId="780040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3CC17F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70EE88E0" w14:textId="77777777">
        <w:tc>
          <w:tcPr>
            <w:tcW w:w="4644" w:type="dxa"/>
          </w:tcPr>
          <w:p w14:paraId="156C54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77E6E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E5DDDF" w14:textId="77777777">
        <w:tc>
          <w:tcPr>
            <w:tcW w:w="4644" w:type="dxa"/>
          </w:tcPr>
          <w:p w14:paraId="0A05E3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1EFD1A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11-12</w:t>
            </w:r>
          </w:p>
        </w:tc>
      </w:tr>
      <w:tr w:rsidR="00DA227A" w:rsidRPr="00E93F40" w14:paraId="30C41995" w14:textId="77777777">
        <w:tc>
          <w:tcPr>
            <w:tcW w:w="4644" w:type="dxa"/>
          </w:tcPr>
          <w:p w14:paraId="037DAA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06F64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r>
      <w:tr w:rsidR="00DA227A" w:rsidRPr="00E93F40" w14:paraId="7E9001FA" w14:textId="77777777">
        <w:tc>
          <w:tcPr>
            <w:tcW w:w="4644" w:type="dxa"/>
          </w:tcPr>
          <w:p w14:paraId="6E1627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62F22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r>
      <w:tr w:rsidR="00DA227A" w:rsidRPr="00E93F40" w14:paraId="11544741" w14:textId="77777777">
        <w:tc>
          <w:tcPr>
            <w:tcW w:w="4644" w:type="dxa"/>
          </w:tcPr>
          <w:p w14:paraId="75A8B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65C9FF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F14C0B" w14:textId="77777777">
        <w:tc>
          <w:tcPr>
            <w:tcW w:w="4644" w:type="dxa"/>
          </w:tcPr>
          <w:p w14:paraId="693E3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139130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66563764" w14:textId="77777777">
        <w:tc>
          <w:tcPr>
            <w:tcW w:w="4644" w:type="dxa"/>
          </w:tcPr>
          <w:p w14:paraId="1AFF0F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460FC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35841118" w14:textId="77777777">
        <w:tc>
          <w:tcPr>
            <w:tcW w:w="4644" w:type="dxa"/>
          </w:tcPr>
          <w:p w14:paraId="1497D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200687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w:t>
            </w:r>
          </w:p>
        </w:tc>
      </w:tr>
      <w:tr w:rsidR="00DA227A" w:rsidRPr="00E93F40" w14:paraId="054E365D" w14:textId="77777777">
        <w:tc>
          <w:tcPr>
            <w:tcW w:w="4644" w:type="dxa"/>
          </w:tcPr>
          <w:p w14:paraId="26908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1A86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же, что и 2-х местный</w:t>
            </w:r>
          </w:p>
        </w:tc>
      </w:tr>
      <w:tr w:rsidR="00DA227A" w:rsidRPr="00E93F40" w14:paraId="77FE8884" w14:textId="77777777">
        <w:tc>
          <w:tcPr>
            <w:tcW w:w="4644" w:type="dxa"/>
          </w:tcPr>
          <w:p w14:paraId="24883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7AA36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r>
      <w:tr w:rsidR="00DA227A" w:rsidRPr="00E93F40" w14:paraId="5A809A67" w14:textId="77777777">
        <w:tc>
          <w:tcPr>
            <w:tcW w:w="4644" w:type="dxa"/>
          </w:tcPr>
          <w:p w14:paraId="7AC81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69D2E3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ДИ-6 М-34</w:t>
            </w:r>
          </w:p>
        </w:tc>
      </w:tr>
      <w:tr w:rsidR="00DA227A" w:rsidRPr="00E93F40" w14:paraId="6AEAEF6D" w14:textId="77777777">
        <w:tc>
          <w:tcPr>
            <w:tcW w:w="4644" w:type="dxa"/>
          </w:tcPr>
          <w:p w14:paraId="12B03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0E4E3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267A5A54" w14:textId="77777777">
        <w:tc>
          <w:tcPr>
            <w:tcW w:w="4644" w:type="dxa"/>
          </w:tcPr>
          <w:p w14:paraId="51F02B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05CD0D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99926B" w14:textId="77777777">
        <w:tc>
          <w:tcPr>
            <w:tcW w:w="4644" w:type="dxa"/>
          </w:tcPr>
          <w:p w14:paraId="3EE82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6A5E10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w:t>
            </w:r>
          </w:p>
        </w:tc>
      </w:tr>
      <w:tr w:rsidR="00DA227A" w:rsidRPr="00E93F40" w14:paraId="3459FA30" w14:textId="77777777">
        <w:tc>
          <w:tcPr>
            <w:tcW w:w="4644" w:type="dxa"/>
          </w:tcPr>
          <w:p w14:paraId="5F92DD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20428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072DD3" w14:textId="77777777">
        <w:tc>
          <w:tcPr>
            <w:tcW w:w="4644" w:type="dxa"/>
          </w:tcPr>
          <w:p w14:paraId="7ADFD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77785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мин.</w:t>
            </w:r>
          </w:p>
        </w:tc>
      </w:tr>
      <w:tr w:rsidR="00DA227A" w:rsidRPr="00E93F40" w14:paraId="48EC38A0" w14:textId="77777777">
        <w:tc>
          <w:tcPr>
            <w:tcW w:w="4644" w:type="dxa"/>
          </w:tcPr>
          <w:p w14:paraId="5475E6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4A0BF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r>
      <w:tr w:rsidR="00DA227A" w:rsidRPr="00E93F40" w14:paraId="042B90D6" w14:textId="77777777">
        <w:tc>
          <w:tcPr>
            <w:tcW w:w="4644" w:type="dxa"/>
          </w:tcPr>
          <w:p w14:paraId="29453B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5FF63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4FDB94DE" w14:textId="77777777">
        <w:tc>
          <w:tcPr>
            <w:tcW w:w="4644" w:type="dxa"/>
          </w:tcPr>
          <w:p w14:paraId="166008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7D26AD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B9AA06" w14:textId="77777777">
        <w:tc>
          <w:tcPr>
            <w:tcW w:w="4644" w:type="dxa"/>
          </w:tcPr>
          <w:p w14:paraId="35EAE2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0EFFA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r>
      <w:tr w:rsidR="00DA227A" w:rsidRPr="00E93F40" w14:paraId="74197A57" w14:textId="77777777">
        <w:tc>
          <w:tcPr>
            <w:tcW w:w="4644" w:type="dxa"/>
          </w:tcPr>
          <w:p w14:paraId="6DBC5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6C578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53CF863A" w14:textId="77777777">
        <w:tc>
          <w:tcPr>
            <w:tcW w:w="4644" w:type="dxa"/>
          </w:tcPr>
          <w:p w14:paraId="10774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4A3E51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9678A3" w14:textId="77777777">
        <w:tc>
          <w:tcPr>
            <w:tcW w:w="4644" w:type="dxa"/>
          </w:tcPr>
          <w:p w14:paraId="5B5D4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 испытания </w:t>
            </w:r>
          </w:p>
        </w:tc>
        <w:tc>
          <w:tcPr>
            <w:tcW w:w="5529" w:type="dxa"/>
          </w:tcPr>
          <w:p w14:paraId="24068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w:t>
            </w:r>
          </w:p>
        </w:tc>
      </w:tr>
      <w:tr w:rsidR="00DA227A" w:rsidRPr="00E93F40" w14:paraId="1AF16EDE" w14:textId="77777777">
        <w:tc>
          <w:tcPr>
            <w:tcW w:w="4644" w:type="dxa"/>
          </w:tcPr>
          <w:p w14:paraId="2F9EBE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7F20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7DF2D4D1" w14:textId="77777777">
        <w:tc>
          <w:tcPr>
            <w:tcW w:w="4644" w:type="dxa"/>
          </w:tcPr>
          <w:p w14:paraId="3B36FE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Штурмовики</w:t>
            </w:r>
          </w:p>
        </w:tc>
        <w:tc>
          <w:tcPr>
            <w:tcW w:w="5529" w:type="dxa"/>
          </w:tcPr>
          <w:p w14:paraId="47BB7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8550CB" w14:textId="77777777">
        <w:tc>
          <w:tcPr>
            <w:tcW w:w="4644" w:type="dxa"/>
          </w:tcPr>
          <w:p w14:paraId="67DB4D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632DF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бронированный штурмовик</w:t>
            </w:r>
          </w:p>
        </w:tc>
      </w:tr>
      <w:tr w:rsidR="00DA227A" w:rsidRPr="00E93F40" w14:paraId="5A92B38F" w14:textId="77777777">
        <w:tc>
          <w:tcPr>
            <w:tcW w:w="4644" w:type="dxa"/>
          </w:tcPr>
          <w:p w14:paraId="39796A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01E8C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ТБШ</w:t>
            </w:r>
          </w:p>
        </w:tc>
      </w:tr>
      <w:tr w:rsidR="00DA227A" w:rsidRPr="00E93F40" w14:paraId="770544E6" w14:textId="77777777">
        <w:tc>
          <w:tcPr>
            <w:tcW w:w="4644" w:type="dxa"/>
          </w:tcPr>
          <w:p w14:paraId="48FF58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070572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25-1000</w:t>
            </w:r>
          </w:p>
        </w:tc>
      </w:tr>
      <w:tr w:rsidR="00DA227A" w:rsidRPr="00E93F40" w14:paraId="3018EF71" w14:textId="77777777">
        <w:tc>
          <w:tcPr>
            <w:tcW w:w="4644" w:type="dxa"/>
          </w:tcPr>
          <w:p w14:paraId="20312D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19AD8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170CBC" w14:textId="77777777">
        <w:tc>
          <w:tcPr>
            <w:tcW w:w="4644" w:type="dxa"/>
          </w:tcPr>
          <w:p w14:paraId="47A69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5CB497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721A3180" w14:textId="77777777">
        <w:tc>
          <w:tcPr>
            <w:tcW w:w="4644" w:type="dxa"/>
          </w:tcPr>
          <w:p w14:paraId="6A5034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220698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F944F5" w14:textId="77777777">
        <w:tc>
          <w:tcPr>
            <w:tcW w:w="4644" w:type="dxa"/>
          </w:tcPr>
          <w:p w14:paraId="71E9F3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373388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мин.</w:t>
            </w:r>
          </w:p>
        </w:tc>
      </w:tr>
      <w:tr w:rsidR="00DA227A" w:rsidRPr="00E93F40" w14:paraId="6EF31852" w14:textId="77777777">
        <w:tc>
          <w:tcPr>
            <w:tcW w:w="4644" w:type="dxa"/>
          </w:tcPr>
          <w:p w14:paraId="4BD739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1AD81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4B1C4B7C" w14:textId="77777777">
        <w:tc>
          <w:tcPr>
            <w:tcW w:w="4644" w:type="dxa"/>
          </w:tcPr>
          <w:p w14:paraId="7EF8E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2DAC6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16EA4F28" w14:textId="77777777">
        <w:tc>
          <w:tcPr>
            <w:tcW w:w="4644" w:type="dxa"/>
          </w:tcPr>
          <w:p w14:paraId="1788B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72894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3B6CA5" w14:textId="77777777">
        <w:tc>
          <w:tcPr>
            <w:tcW w:w="4644" w:type="dxa"/>
          </w:tcPr>
          <w:p w14:paraId="35EB7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25ED2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A857CB" w14:textId="77777777">
        <w:tc>
          <w:tcPr>
            <w:tcW w:w="4644" w:type="dxa"/>
          </w:tcPr>
          <w:p w14:paraId="00C3C1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70E1F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3339F932" w14:textId="77777777">
        <w:tc>
          <w:tcPr>
            <w:tcW w:w="4644" w:type="dxa"/>
          </w:tcPr>
          <w:p w14:paraId="003CBF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35846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0D686C" w14:textId="77777777">
        <w:tc>
          <w:tcPr>
            <w:tcW w:w="4644" w:type="dxa"/>
          </w:tcPr>
          <w:p w14:paraId="5219C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415662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8C3290" w14:textId="77777777">
        <w:tc>
          <w:tcPr>
            <w:tcW w:w="4644" w:type="dxa"/>
          </w:tcPr>
          <w:p w14:paraId="5F6BB9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42AE8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995B58" w14:textId="77777777">
        <w:tc>
          <w:tcPr>
            <w:tcW w:w="4644" w:type="dxa"/>
          </w:tcPr>
          <w:p w14:paraId="0C7C88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208D1C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76D5D1" w14:textId="77777777">
        <w:tc>
          <w:tcPr>
            <w:tcW w:w="4644" w:type="dxa"/>
          </w:tcPr>
          <w:p w14:paraId="76523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4A546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17619D" w14:textId="77777777">
        <w:tc>
          <w:tcPr>
            <w:tcW w:w="4644" w:type="dxa"/>
          </w:tcPr>
          <w:p w14:paraId="43F57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3A5D58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A922FD" w14:textId="77777777">
        <w:tc>
          <w:tcPr>
            <w:tcW w:w="4644" w:type="dxa"/>
          </w:tcPr>
          <w:p w14:paraId="5E0887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08339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1729D2" w14:textId="77777777">
        <w:tc>
          <w:tcPr>
            <w:tcW w:w="4644" w:type="dxa"/>
          </w:tcPr>
          <w:p w14:paraId="1CB01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29E292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3D0BA1" w14:textId="77777777">
        <w:tc>
          <w:tcPr>
            <w:tcW w:w="4644" w:type="dxa"/>
          </w:tcPr>
          <w:p w14:paraId="37AC4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6BFE8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Предусмотреть установ. добавочн. баков</w:t>
            </w:r>
          </w:p>
        </w:tc>
      </w:tr>
      <w:tr w:rsidR="00DA227A" w:rsidRPr="00E93F40" w14:paraId="75DA6B83" w14:textId="77777777">
        <w:tc>
          <w:tcPr>
            <w:tcW w:w="4644" w:type="dxa"/>
          </w:tcPr>
          <w:p w14:paraId="1FF40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F5A4A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 брони на 300 км</w:t>
            </w:r>
          </w:p>
        </w:tc>
      </w:tr>
      <w:tr w:rsidR="00DA227A" w:rsidRPr="00E93F40" w14:paraId="26BAB0F2" w14:textId="77777777">
        <w:tc>
          <w:tcPr>
            <w:tcW w:w="4644" w:type="dxa"/>
          </w:tcPr>
          <w:p w14:paraId="575B82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6CA23A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химический боевик, он же</w:t>
            </w:r>
          </w:p>
        </w:tc>
      </w:tr>
      <w:tr w:rsidR="00DA227A" w:rsidRPr="00E93F40" w14:paraId="0FCC2A38" w14:textId="77777777">
        <w:tc>
          <w:tcPr>
            <w:tcW w:w="4644" w:type="dxa"/>
          </w:tcPr>
          <w:p w14:paraId="63230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19D04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транспортный</w:t>
            </w:r>
          </w:p>
        </w:tc>
      </w:tr>
      <w:tr w:rsidR="00DA227A" w:rsidRPr="00E93F40" w14:paraId="31F332C9" w14:textId="77777777">
        <w:tc>
          <w:tcPr>
            <w:tcW w:w="4644" w:type="dxa"/>
          </w:tcPr>
          <w:p w14:paraId="267C72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0F405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ТШБ</w:t>
            </w:r>
          </w:p>
        </w:tc>
      </w:tr>
      <w:tr w:rsidR="00DA227A" w:rsidRPr="00E93F40" w14:paraId="3A9950A3" w14:textId="77777777">
        <w:tc>
          <w:tcPr>
            <w:tcW w:w="4644" w:type="dxa"/>
          </w:tcPr>
          <w:p w14:paraId="59F01F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6BF1E9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73B42EDE" w14:textId="77777777">
        <w:tc>
          <w:tcPr>
            <w:tcW w:w="4644" w:type="dxa"/>
          </w:tcPr>
          <w:p w14:paraId="26B76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64037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AB48FD" w14:textId="77777777">
        <w:tc>
          <w:tcPr>
            <w:tcW w:w="4644" w:type="dxa"/>
          </w:tcPr>
          <w:p w14:paraId="6276F8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0934B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1D1D3A5A" w14:textId="77777777">
        <w:tc>
          <w:tcPr>
            <w:tcW w:w="4644" w:type="dxa"/>
          </w:tcPr>
          <w:p w14:paraId="571BFC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7AE1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843AFC" w14:textId="77777777">
        <w:tc>
          <w:tcPr>
            <w:tcW w:w="4644" w:type="dxa"/>
          </w:tcPr>
          <w:p w14:paraId="05546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1174CA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 мин.</w:t>
            </w:r>
          </w:p>
        </w:tc>
      </w:tr>
      <w:tr w:rsidR="00DA227A" w:rsidRPr="00E93F40" w14:paraId="1BD34F4B" w14:textId="77777777">
        <w:tc>
          <w:tcPr>
            <w:tcW w:w="4644" w:type="dxa"/>
          </w:tcPr>
          <w:p w14:paraId="13D7B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5492B9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7500</w:t>
            </w:r>
          </w:p>
        </w:tc>
      </w:tr>
      <w:tr w:rsidR="00DA227A" w:rsidRPr="00E93F40" w14:paraId="5DEB2A88" w14:textId="77777777">
        <w:tc>
          <w:tcPr>
            <w:tcW w:w="4644" w:type="dxa"/>
          </w:tcPr>
          <w:p w14:paraId="1495C2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50656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r>
      <w:tr w:rsidR="00DA227A" w:rsidRPr="00E93F40" w14:paraId="7F715F42" w14:textId="77777777">
        <w:tc>
          <w:tcPr>
            <w:tcW w:w="4644" w:type="dxa"/>
          </w:tcPr>
          <w:p w14:paraId="21CB9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Максим. емкость баков на</w:t>
            </w:r>
          </w:p>
        </w:tc>
        <w:tc>
          <w:tcPr>
            <w:tcW w:w="5529" w:type="dxa"/>
          </w:tcPr>
          <w:p w14:paraId="1AFD3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3F3E536" w14:textId="77777777">
        <w:tc>
          <w:tcPr>
            <w:tcW w:w="4644" w:type="dxa"/>
          </w:tcPr>
          <w:p w14:paraId="3B605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79C55F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60DFE8" w14:textId="77777777">
        <w:tc>
          <w:tcPr>
            <w:tcW w:w="4644" w:type="dxa"/>
          </w:tcPr>
          <w:p w14:paraId="5EAD04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2E8668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0817311F" w14:textId="77777777">
        <w:tc>
          <w:tcPr>
            <w:tcW w:w="4644" w:type="dxa"/>
          </w:tcPr>
          <w:p w14:paraId="207ABD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1FD6A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1281AF" w14:textId="77777777">
        <w:tc>
          <w:tcPr>
            <w:tcW w:w="4644" w:type="dxa"/>
          </w:tcPr>
          <w:p w14:paraId="7CC43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0E893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98D929" w14:textId="77777777">
        <w:tc>
          <w:tcPr>
            <w:tcW w:w="4644" w:type="dxa"/>
          </w:tcPr>
          <w:p w14:paraId="7E05E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44CB0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295542" w14:textId="77777777">
        <w:tc>
          <w:tcPr>
            <w:tcW w:w="4644" w:type="dxa"/>
          </w:tcPr>
          <w:p w14:paraId="71CFC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4BC712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976344" w14:textId="77777777">
        <w:tc>
          <w:tcPr>
            <w:tcW w:w="4644" w:type="dxa"/>
          </w:tcPr>
          <w:p w14:paraId="5FB89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47BD34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XI</w:t>
            </w:r>
          </w:p>
        </w:tc>
      </w:tr>
      <w:tr w:rsidR="00DA227A" w:rsidRPr="00E93F40" w14:paraId="09024173" w14:textId="77777777">
        <w:tc>
          <w:tcPr>
            <w:tcW w:w="4644" w:type="dxa"/>
          </w:tcPr>
          <w:p w14:paraId="0AC7F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352C8B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F7B10D" w14:textId="77777777">
        <w:tc>
          <w:tcPr>
            <w:tcW w:w="4644" w:type="dxa"/>
          </w:tcPr>
          <w:p w14:paraId="36958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226349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C6FA97" w14:textId="77777777">
        <w:tc>
          <w:tcPr>
            <w:tcW w:w="4644" w:type="dxa"/>
          </w:tcPr>
          <w:p w14:paraId="1A5014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0D2844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3313DE" w14:textId="77777777">
        <w:tc>
          <w:tcPr>
            <w:tcW w:w="4644" w:type="dxa"/>
          </w:tcPr>
          <w:p w14:paraId="58884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00739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Предусмотреть возможность</w:t>
            </w:r>
          </w:p>
        </w:tc>
      </w:tr>
      <w:tr w:rsidR="00DA227A" w:rsidRPr="00E93F40" w14:paraId="3BB0AA9A" w14:textId="77777777">
        <w:tc>
          <w:tcPr>
            <w:tcW w:w="4644" w:type="dxa"/>
          </w:tcPr>
          <w:p w14:paraId="328DFC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C1C7B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использования перевозимого горюч.</w:t>
            </w:r>
          </w:p>
        </w:tc>
      </w:tr>
      <w:tr w:rsidR="00DA227A" w:rsidRPr="00E93F40" w14:paraId="353E961D" w14:textId="77777777">
        <w:tc>
          <w:tcPr>
            <w:tcW w:w="4644" w:type="dxa"/>
          </w:tcPr>
          <w:p w14:paraId="038DA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D7825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д/полета</w:t>
            </w:r>
          </w:p>
        </w:tc>
      </w:tr>
      <w:tr w:rsidR="00DA227A" w:rsidRPr="00E93F40" w14:paraId="0B0BE84E" w14:textId="77777777">
        <w:tc>
          <w:tcPr>
            <w:tcW w:w="4644" w:type="dxa"/>
          </w:tcPr>
          <w:p w14:paraId="3D119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682FC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химический боевик, он же</w:t>
            </w:r>
          </w:p>
        </w:tc>
      </w:tr>
      <w:tr w:rsidR="00DA227A" w:rsidRPr="00E93F40" w14:paraId="6DA13E76" w14:textId="77777777">
        <w:tc>
          <w:tcPr>
            <w:tcW w:w="4644" w:type="dxa"/>
          </w:tcPr>
          <w:p w14:paraId="62DBC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382D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транспортный</w:t>
            </w:r>
          </w:p>
        </w:tc>
      </w:tr>
      <w:tr w:rsidR="00DA227A" w:rsidRPr="00E93F40" w14:paraId="44891526" w14:textId="77777777">
        <w:tc>
          <w:tcPr>
            <w:tcW w:w="4644" w:type="dxa"/>
          </w:tcPr>
          <w:p w14:paraId="5DE61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6058AA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XI 2М-34</w:t>
            </w:r>
          </w:p>
        </w:tc>
      </w:tr>
      <w:tr w:rsidR="00DA227A" w:rsidRPr="00E93F40" w14:paraId="231266CC" w14:textId="77777777">
        <w:tc>
          <w:tcPr>
            <w:tcW w:w="4644" w:type="dxa"/>
          </w:tcPr>
          <w:p w14:paraId="59FD2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5F7B9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6D22477C" w14:textId="77777777">
        <w:tc>
          <w:tcPr>
            <w:tcW w:w="4644" w:type="dxa"/>
          </w:tcPr>
          <w:p w14:paraId="13FE6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22C4A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919517" w14:textId="77777777">
        <w:tc>
          <w:tcPr>
            <w:tcW w:w="4644" w:type="dxa"/>
          </w:tcPr>
          <w:p w14:paraId="571D6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1D9D8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0DF004BA" w14:textId="77777777">
        <w:tc>
          <w:tcPr>
            <w:tcW w:w="4644" w:type="dxa"/>
          </w:tcPr>
          <w:p w14:paraId="721171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224361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3B1316" w14:textId="77777777">
        <w:tc>
          <w:tcPr>
            <w:tcW w:w="4644" w:type="dxa"/>
          </w:tcPr>
          <w:p w14:paraId="4BF1F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1CFCE0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73FD34" w14:textId="77777777">
        <w:tc>
          <w:tcPr>
            <w:tcW w:w="4644" w:type="dxa"/>
          </w:tcPr>
          <w:p w14:paraId="71580A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59899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497A0C" w14:textId="77777777">
        <w:tc>
          <w:tcPr>
            <w:tcW w:w="4644" w:type="dxa"/>
          </w:tcPr>
          <w:p w14:paraId="6FC55C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016F0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r>
      <w:tr w:rsidR="00DA227A" w:rsidRPr="00E93F40" w14:paraId="506A4A6E" w14:textId="77777777">
        <w:tc>
          <w:tcPr>
            <w:tcW w:w="4644" w:type="dxa"/>
          </w:tcPr>
          <w:p w14:paraId="6CDBE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4A7D9F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7CB244" w14:textId="77777777">
        <w:tc>
          <w:tcPr>
            <w:tcW w:w="4644" w:type="dxa"/>
          </w:tcPr>
          <w:p w14:paraId="18B64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24F9F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5C006611" w14:textId="77777777">
        <w:tc>
          <w:tcPr>
            <w:tcW w:w="4644" w:type="dxa"/>
          </w:tcPr>
          <w:p w14:paraId="3BCFA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288D9E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28656849" w14:textId="77777777">
        <w:tc>
          <w:tcPr>
            <w:tcW w:w="4644" w:type="dxa"/>
          </w:tcPr>
          <w:p w14:paraId="16587A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5B6763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B78F62" w14:textId="77777777">
        <w:tc>
          <w:tcPr>
            <w:tcW w:w="4644" w:type="dxa"/>
          </w:tcPr>
          <w:p w14:paraId="555E81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25A381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3EFF05" w14:textId="77777777">
        <w:tc>
          <w:tcPr>
            <w:tcW w:w="4644" w:type="dxa"/>
          </w:tcPr>
          <w:p w14:paraId="79046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39720B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BB7971" w14:textId="77777777">
        <w:tc>
          <w:tcPr>
            <w:tcW w:w="4644" w:type="dxa"/>
          </w:tcPr>
          <w:p w14:paraId="76CA5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4A8B0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121AA5" w14:textId="77777777">
        <w:tc>
          <w:tcPr>
            <w:tcW w:w="4644" w:type="dxa"/>
          </w:tcPr>
          <w:p w14:paraId="7D2ED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082024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CF320E" w14:textId="77777777">
        <w:tc>
          <w:tcPr>
            <w:tcW w:w="4644" w:type="dxa"/>
          </w:tcPr>
          <w:p w14:paraId="55951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53646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FDCE9B" w14:textId="77777777">
        <w:tc>
          <w:tcPr>
            <w:tcW w:w="4644" w:type="dxa"/>
          </w:tcPr>
          <w:p w14:paraId="43C01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3AA15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 года</w:t>
            </w:r>
          </w:p>
        </w:tc>
      </w:tr>
      <w:tr w:rsidR="00DA227A" w:rsidRPr="00E93F40" w14:paraId="1C03C307" w14:textId="77777777">
        <w:tc>
          <w:tcPr>
            <w:tcW w:w="4644" w:type="dxa"/>
          </w:tcPr>
          <w:p w14:paraId="78EBF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0FBE8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55F4C5" w14:textId="77777777">
        <w:tc>
          <w:tcPr>
            <w:tcW w:w="4644" w:type="dxa"/>
          </w:tcPr>
          <w:p w14:paraId="575DB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1319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747A783E" w14:textId="77777777">
        <w:tc>
          <w:tcPr>
            <w:tcW w:w="4644" w:type="dxa"/>
          </w:tcPr>
          <w:p w14:paraId="4A9BF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Многоместные истребители</w:t>
            </w:r>
          </w:p>
        </w:tc>
        <w:tc>
          <w:tcPr>
            <w:tcW w:w="5529" w:type="dxa"/>
          </w:tcPr>
          <w:p w14:paraId="5D21CB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DB9F33" w14:textId="77777777">
        <w:tc>
          <w:tcPr>
            <w:tcW w:w="4644" w:type="dxa"/>
          </w:tcPr>
          <w:p w14:paraId="1963D8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267F7C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многоместный истребитель, он же</w:t>
            </w:r>
          </w:p>
        </w:tc>
      </w:tr>
      <w:tr w:rsidR="00DA227A" w:rsidRPr="00E93F40" w14:paraId="7DE25F61" w14:textId="77777777">
        <w:tc>
          <w:tcPr>
            <w:tcW w:w="4644" w:type="dxa"/>
          </w:tcPr>
          <w:p w14:paraId="1B7722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461F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армейский разведчик</w:t>
            </w:r>
          </w:p>
        </w:tc>
      </w:tr>
      <w:tr w:rsidR="00DA227A" w:rsidRPr="00E93F40" w14:paraId="73B501F3" w14:textId="77777777">
        <w:tc>
          <w:tcPr>
            <w:tcW w:w="4644" w:type="dxa"/>
          </w:tcPr>
          <w:p w14:paraId="7071FD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601DD6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МИ4</w:t>
            </w:r>
          </w:p>
        </w:tc>
      </w:tr>
      <w:tr w:rsidR="00DA227A" w:rsidRPr="00E93F40" w14:paraId="37C4B7BC" w14:textId="77777777">
        <w:tc>
          <w:tcPr>
            <w:tcW w:w="4644" w:type="dxa"/>
          </w:tcPr>
          <w:p w14:paraId="0218BD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0A2B3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8500</w:t>
            </w:r>
          </w:p>
        </w:tc>
      </w:tr>
      <w:tr w:rsidR="00DA227A" w:rsidRPr="00E93F40" w14:paraId="722CFD4D" w14:textId="77777777">
        <w:tc>
          <w:tcPr>
            <w:tcW w:w="4644" w:type="dxa"/>
          </w:tcPr>
          <w:p w14:paraId="10C97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1C2C7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AAFA89" w14:textId="77777777">
        <w:tc>
          <w:tcPr>
            <w:tcW w:w="4644" w:type="dxa"/>
          </w:tcPr>
          <w:p w14:paraId="42FE6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33DDB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0B0D39AE" w14:textId="77777777">
        <w:tc>
          <w:tcPr>
            <w:tcW w:w="4644" w:type="dxa"/>
          </w:tcPr>
          <w:p w14:paraId="495A3C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25C82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229D94" w14:textId="77777777">
        <w:tc>
          <w:tcPr>
            <w:tcW w:w="4644" w:type="dxa"/>
          </w:tcPr>
          <w:p w14:paraId="156A7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301DCB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мин.</w:t>
            </w:r>
          </w:p>
        </w:tc>
      </w:tr>
      <w:tr w:rsidR="00DA227A" w:rsidRPr="00E93F40" w14:paraId="0AA51114" w14:textId="77777777">
        <w:tc>
          <w:tcPr>
            <w:tcW w:w="4644" w:type="dxa"/>
          </w:tcPr>
          <w:p w14:paraId="0503E4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015DE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r>
      <w:tr w:rsidR="00DA227A" w:rsidRPr="00E93F40" w14:paraId="6CD0D628" w14:textId="77777777">
        <w:tc>
          <w:tcPr>
            <w:tcW w:w="4644" w:type="dxa"/>
          </w:tcPr>
          <w:p w14:paraId="798CEB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2E2C19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0011F5B3" w14:textId="77777777">
        <w:tc>
          <w:tcPr>
            <w:tcW w:w="4644" w:type="dxa"/>
          </w:tcPr>
          <w:p w14:paraId="22B4A1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06AB9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1E2234" w14:textId="77777777">
        <w:tc>
          <w:tcPr>
            <w:tcW w:w="4644" w:type="dxa"/>
          </w:tcPr>
          <w:p w14:paraId="4C0B85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711AF4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3F6D249" w14:textId="77777777">
        <w:tc>
          <w:tcPr>
            <w:tcW w:w="4644" w:type="dxa"/>
          </w:tcPr>
          <w:p w14:paraId="4912ED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76227B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r>
      <w:tr w:rsidR="00DA227A" w:rsidRPr="00E93F40" w14:paraId="55EA5DE9" w14:textId="77777777">
        <w:tc>
          <w:tcPr>
            <w:tcW w:w="4644" w:type="dxa"/>
          </w:tcPr>
          <w:p w14:paraId="4EEDF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1B318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69F63F" w14:textId="77777777">
        <w:tc>
          <w:tcPr>
            <w:tcW w:w="4644" w:type="dxa"/>
          </w:tcPr>
          <w:p w14:paraId="1B218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6FE78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9EBADD" w14:textId="77777777">
        <w:tc>
          <w:tcPr>
            <w:tcW w:w="4644" w:type="dxa"/>
          </w:tcPr>
          <w:p w14:paraId="791897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3F675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DD736D" w14:textId="77777777">
        <w:tc>
          <w:tcPr>
            <w:tcW w:w="4644" w:type="dxa"/>
          </w:tcPr>
          <w:p w14:paraId="3673A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0DDF2D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5B282A" w14:textId="77777777">
        <w:tc>
          <w:tcPr>
            <w:tcW w:w="4644" w:type="dxa"/>
          </w:tcPr>
          <w:p w14:paraId="5BA20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70F92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w:t>
            </w:r>
          </w:p>
        </w:tc>
      </w:tr>
      <w:tr w:rsidR="00DA227A" w:rsidRPr="00E93F40" w14:paraId="6734CA0B" w14:textId="77777777">
        <w:tc>
          <w:tcPr>
            <w:tcW w:w="4644" w:type="dxa"/>
          </w:tcPr>
          <w:p w14:paraId="412087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17E92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CBCCC0" w14:textId="77777777">
        <w:tc>
          <w:tcPr>
            <w:tcW w:w="4644" w:type="dxa"/>
          </w:tcPr>
          <w:p w14:paraId="6F37FE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521B4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4FC7CB" w14:textId="77777777">
        <w:tc>
          <w:tcPr>
            <w:tcW w:w="4644" w:type="dxa"/>
          </w:tcPr>
          <w:p w14:paraId="317AD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4FB45C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4734AF" w14:textId="77777777">
        <w:tc>
          <w:tcPr>
            <w:tcW w:w="4644" w:type="dxa"/>
          </w:tcPr>
          <w:p w14:paraId="70B09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424B49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многоместный истребитель, он же</w:t>
            </w:r>
          </w:p>
        </w:tc>
      </w:tr>
      <w:tr w:rsidR="00DA227A" w:rsidRPr="00E93F40" w14:paraId="01462037" w14:textId="77777777">
        <w:tc>
          <w:tcPr>
            <w:tcW w:w="4644" w:type="dxa"/>
          </w:tcPr>
          <w:p w14:paraId="0FBCF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02187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армейский разведчик</w:t>
            </w:r>
          </w:p>
        </w:tc>
      </w:tr>
      <w:tr w:rsidR="00DA227A" w:rsidRPr="00E93F40" w14:paraId="1A355CC9" w14:textId="77777777">
        <w:tc>
          <w:tcPr>
            <w:tcW w:w="4644" w:type="dxa"/>
          </w:tcPr>
          <w:p w14:paraId="7A4E9D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34FAF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 2М-34</w:t>
            </w:r>
          </w:p>
        </w:tc>
      </w:tr>
      <w:tr w:rsidR="00DA227A" w:rsidRPr="00E93F40" w14:paraId="19429A95" w14:textId="77777777">
        <w:tc>
          <w:tcPr>
            <w:tcW w:w="4644" w:type="dxa"/>
          </w:tcPr>
          <w:p w14:paraId="0C354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730170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672E72" w14:textId="77777777">
        <w:tc>
          <w:tcPr>
            <w:tcW w:w="4644" w:type="dxa"/>
          </w:tcPr>
          <w:p w14:paraId="2B30F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10158A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980C3D" w14:textId="77777777">
        <w:tc>
          <w:tcPr>
            <w:tcW w:w="4644" w:type="dxa"/>
          </w:tcPr>
          <w:p w14:paraId="026DA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4360E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320-5000</w:t>
            </w:r>
          </w:p>
        </w:tc>
      </w:tr>
      <w:tr w:rsidR="00DA227A" w:rsidRPr="00E93F40" w14:paraId="5AA5E1E5" w14:textId="77777777">
        <w:tc>
          <w:tcPr>
            <w:tcW w:w="4644" w:type="dxa"/>
          </w:tcPr>
          <w:p w14:paraId="421A64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098551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931530" w14:textId="77777777">
        <w:tc>
          <w:tcPr>
            <w:tcW w:w="4644" w:type="dxa"/>
          </w:tcPr>
          <w:p w14:paraId="28D7E9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7E210A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15-18/5000</w:t>
            </w:r>
          </w:p>
        </w:tc>
      </w:tr>
      <w:tr w:rsidR="00DA227A" w:rsidRPr="00E93F40" w14:paraId="7E8AC29D" w14:textId="77777777">
        <w:tc>
          <w:tcPr>
            <w:tcW w:w="4644" w:type="dxa"/>
          </w:tcPr>
          <w:p w14:paraId="29A0A7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1345F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r>
      <w:tr w:rsidR="00DA227A" w:rsidRPr="00E93F40" w14:paraId="6B50DCB8" w14:textId="77777777">
        <w:tc>
          <w:tcPr>
            <w:tcW w:w="4644" w:type="dxa"/>
          </w:tcPr>
          <w:p w14:paraId="2C5904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6DFBA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707845AA" w14:textId="77777777">
        <w:tc>
          <w:tcPr>
            <w:tcW w:w="4644" w:type="dxa"/>
          </w:tcPr>
          <w:p w14:paraId="18308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17E2B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22775C" w14:textId="77777777">
        <w:tc>
          <w:tcPr>
            <w:tcW w:w="4644" w:type="dxa"/>
          </w:tcPr>
          <w:p w14:paraId="511587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41F11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3608CC" w14:textId="77777777">
        <w:tc>
          <w:tcPr>
            <w:tcW w:w="4644" w:type="dxa"/>
          </w:tcPr>
          <w:p w14:paraId="1A49E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1F75F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47842B" w14:textId="77777777">
        <w:tc>
          <w:tcPr>
            <w:tcW w:w="4644" w:type="dxa"/>
          </w:tcPr>
          <w:p w14:paraId="0FFC35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599B7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31C20D" w14:textId="77777777">
        <w:tc>
          <w:tcPr>
            <w:tcW w:w="4644" w:type="dxa"/>
          </w:tcPr>
          <w:p w14:paraId="1EA63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694535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5A4088" w14:textId="77777777">
        <w:tc>
          <w:tcPr>
            <w:tcW w:w="4644" w:type="dxa"/>
          </w:tcPr>
          <w:p w14:paraId="52EE2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161F2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A2C67E" w14:textId="77777777">
        <w:tc>
          <w:tcPr>
            <w:tcW w:w="4644" w:type="dxa"/>
          </w:tcPr>
          <w:p w14:paraId="786A8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2976E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FE66C3" w14:textId="77777777">
        <w:tc>
          <w:tcPr>
            <w:tcW w:w="4644" w:type="dxa"/>
          </w:tcPr>
          <w:p w14:paraId="0FA5B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6331C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82D57B" w14:textId="77777777">
        <w:tc>
          <w:tcPr>
            <w:tcW w:w="4644" w:type="dxa"/>
          </w:tcPr>
          <w:p w14:paraId="45B90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65D7B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9EA218" w14:textId="77777777">
        <w:tc>
          <w:tcPr>
            <w:tcW w:w="4644" w:type="dxa"/>
          </w:tcPr>
          <w:p w14:paraId="79448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541AF1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r>
      <w:tr w:rsidR="00DA227A" w:rsidRPr="00E93F40" w14:paraId="617CBFB0" w14:textId="77777777">
        <w:tc>
          <w:tcPr>
            <w:tcW w:w="4644" w:type="dxa"/>
          </w:tcPr>
          <w:p w14:paraId="68BD3D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Какое использование в ГВФ</w:t>
            </w:r>
          </w:p>
        </w:tc>
        <w:tc>
          <w:tcPr>
            <w:tcW w:w="5529" w:type="dxa"/>
          </w:tcPr>
          <w:p w14:paraId="3EF89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555CD2" w14:textId="77777777">
        <w:tc>
          <w:tcPr>
            <w:tcW w:w="4644" w:type="dxa"/>
          </w:tcPr>
          <w:p w14:paraId="09D2BA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4479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233405F3" w14:textId="77777777">
        <w:tc>
          <w:tcPr>
            <w:tcW w:w="4644" w:type="dxa"/>
          </w:tcPr>
          <w:p w14:paraId="37D6D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Разведчики</w:t>
            </w:r>
          </w:p>
        </w:tc>
        <w:tc>
          <w:tcPr>
            <w:tcW w:w="5529" w:type="dxa"/>
          </w:tcPr>
          <w:p w14:paraId="478A64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B0D7CA" w14:textId="77777777">
        <w:tc>
          <w:tcPr>
            <w:tcW w:w="4644" w:type="dxa"/>
          </w:tcPr>
          <w:p w14:paraId="1DD4F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0F4517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скоростной разведчик</w:t>
            </w:r>
          </w:p>
        </w:tc>
      </w:tr>
      <w:tr w:rsidR="00DA227A" w:rsidRPr="00E93F40" w14:paraId="39492D79" w14:textId="77777777">
        <w:tc>
          <w:tcPr>
            <w:tcW w:w="4644" w:type="dxa"/>
          </w:tcPr>
          <w:p w14:paraId="635359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0F909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w:t>
            </w:r>
          </w:p>
        </w:tc>
      </w:tr>
      <w:tr w:rsidR="00DA227A" w:rsidRPr="00E93F40" w14:paraId="48E2A822" w14:textId="77777777">
        <w:tc>
          <w:tcPr>
            <w:tcW w:w="4644" w:type="dxa"/>
          </w:tcPr>
          <w:p w14:paraId="47624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20CF3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r>
      <w:tr w:rsidR="00DA227A" w:rsidRPr="00E93F40" w14:paraId="113234C7" w14:textId="77777777">
        <w:tc>
          <w:tcPr>
            <w:tcW w:w="4644" w:type="dxa"/>
          </w:tcPr>
          <w:p w14:paraId="3A590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04858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46589F" w14:textId="77777777">
        <w:tc>
          <w:tcPr>
            <w:tcW w:w="4644" w:type="dxa"/>
          </w:tcPr>
          <w:p w14:paraId="4E1F7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28B8DE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2617230E" w14:textId="77777777">
        <w:tc>
          <w:tcPr>
            <w:tcW w:w="4644" w:type="dxa"/>
          </w:tcPr>
          <w:p w14:paraId="40C2A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05E7B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442B39" w14:textId="77777777">
        <w:tc>
          <w:tcPr>
            <w:tcW w:w="4644" w:type="dxa"/>
          </w:tcPr>
          <w:p w14:paraId="60A88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3D9DA8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91D829" w14:textId="77777777">
        <w:tc>
          <w:tcPr>
            <w:tcW w:w="4644" w:type="dxa"/>
          </w:tcPr>
          <w:p w14:paraId="263B0E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429EF1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7EE06D3B" w14:textId="77777777">
        <w:tc>
          <w:tcPr>
            <w:tcW w:w="4644" w:type="dxa"/>
          </w:tcPr>
          <w:p w14:paraId="041E7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2047D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r>
      <w:tr w:rsidR="00DA227A" w:rsidRPr="00E93F40" w14:paraId="0FB67C91" w14:textId="77777777">
        <w:tc>
          <w:tcPr>
            <w:tcW w:w="4644" w:type="dxa"/>
          </w:tcPr>
          <w:p w14:paraId="02CB7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52A14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9A2364" w14:textId="77777777">
        <w:tc>
          <w:tcPr>
            <w:tcW w:w="4644" w:type="dxa"/>
          </w:tcPr>
          <w:p w14:paraId="66D57F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2776D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2BAC08" w14:textId="77777777">
        <w:tc>
          <w:tcPr>
            <w:tcW w:w="4644" w:type="dxa"/>
          </w:tcPr>
          <w:p w14:paraId="784C73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27F968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82D7E3" w14:textId="77777777">
        <w:tc>
          <w:tcPr>
            <w:tcW w:w="4644" w:type="dxa"/>
          </w:tcPr>
          <w:p w14:paraId="74737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0BA02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D7025CF" w14:textId="77777777">
        <w:tc>
          <w:tcPr>
            <w:tcW w:w="4644" w:type="dxa"/>
          </w:tcPr>
          <w:p w14:paraId="4BA0E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779D6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BD0CDE" w14:textId="77777777">
        <w:tc>
          <w:tcPr>
            <w:tcW w:w="4644" w:type="dxa"/>
          </w:tcPr>
          <w:p w14:paraId="026777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56641D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9038AA" w14:textId="77777777">
        <w:tc>
          <w:tcPr>
            <w:tcW w:w="4644" w:type="dxa"/>
          </w:tcPr>
          <w:p w14:paraId="44A38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509BA8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55491E" w14:textId="77777777">
        <w:tc>
          <w:tcPr>
            <w:tcW w:w="4644" w:type="dxa"/>
          </w:tcPr>
          <w:p w14:paraId="7DDABB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4B688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D165D5" w14:textId="77777777">
        <w:tc>
          <w:tcPr>
            <w:tcW w:w="4644" w:type="dxa"/>
          </w:tcPr>
          <w:p w14:paraId="79E2B3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090F1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4F12E7" w14:textId="77777777">
        <w:tc>
          <w:tcPr>
            <w:tcW w:w="4644" w:type="dxa"/>
          </w:tcPr>
          <w:p w14:paraId="563C4E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6299B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19BF88" w14:textId="77777777">
        <w:tc>
          <w:tcPr>
            <w:tcW w:w="4644" w:type="dxa"/>
          </w:tcPr>
          <w:p w14:paraId="7A94E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3EA2A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697C4B6" w14:textId="77777777">
        <w:tc>
          <w:tcPr>
            <w:tcW w:w="4644" w:type="dxa"/>
          </w:tcPr>
          <w:p w14:paraId="76D581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Войсковые самолеты</w:t>
            </w:r>
          </w:p>
        </w:tc>
        <w:tc>
          <w:tcPr>
            <w:tcW w:w="5529" w:type="dxa"/>
          </w:tcPr>
          <w:p w14:paraId="77DD79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C9E4F8" w14:textId="77777777">
        <w:tc>
          <w:tcPr>
            <w:tcW w:w="4644" w:type="dxa"/>
          </w:tcPr>
          <w:p w14:paraId="076235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5DBDE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он же</w:t>
            </w:r>
          </w:p>
        </w:tc>
      </w:tr>
      <w:tr w:rsidR="00DA227A" w:rsidRPr="00E93F40" w14:paraId="0EC91040" w14:textId="77777777">
        <w:tc>
          <w:tcPr>
            <w:tcW w:w="4644" w:type="dxa"/>
          </w:tcPr>
          <w:p w14:paraId="5461F6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D31E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корректировщик, корпусной</w:t>
            </w:r>
          </w:p>
        </w:tc>
      </w:tr>
      <w:tr w:rsidR="00DA227A" w:rsidRPr="00E93F40" w14:paraId="53BE3A60" w14:textId="77777777">
        <w:tc>
          <w:tcPr>
            <w:tcW w:w="4644" w:type="dxa"/>
          </w:tcPr>
          <w:p w14:paraId="52810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BEB7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r>
      <w:tr w:rsidR="00DA227A" w:rsidRPr="00E93F40" w14:paraId="1BD3C5DB" w14:textId="77777777">
        <w:tc>
          <w:tcPr>
            <w:tcW w:w="4644" w:type="dxa"/>
          </w:tcPr>
          <w:p w14:paraId="43D24D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75E63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w:t>
            </w:r>
          </w:p>
        </w:tc>
      </w:tr>
      <w:tr w:rsidR="00DA227A" w:rsidRPr="00E93F40" w14:paraId="1FDBBB64" w14:textId="77777777">
        <w:tc>
          <w:tcPr>
            <w:tcW w:w="4644" w:type="dxa"/>
          </w:tcPr>
          <w:p w14:paraId="265A28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6BE08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7CFF3DA6" w14:textId="77777777">
        <w:tc>
          <w:tcPr>
            <w:tcW w:w="4644" w:type="dxa"/>
          </w:tcPr>
          <w:p w14:paraId="4BB0A4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52B4C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496FCA" w14:textId="77777777">
        <w:tc>
          <w:tcPr>
            <w:tcW w:w="4644" w:type="dxa"/>
          </w:tcPr>
          <w:p w14:paraId="66ECF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2BAFD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200-250</w:t>
            </w:r>
          </w:p>
        </w:tc>
      </w:tr>
      <w:tr w:rsidR="00DA227A" w:rsidRPr="00E93F40" w14:paraId="10BDBE25" w14:textId="77777777">
        <w:tc>
          <w:tcPr>
            <w:tcW w:w="4644" w:type="dxa"/>
          </w:tcPr>
          <w:p w14:paraId="03524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070CC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6DAA235" w14:textId="77777777">
        <w:tc>
          <w:tcPr>
            <w:tcW w:w="4644" w:type="dxa"/>
          </w:tcPr>
          <w:p w14:paraId="5A344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23301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мин.</w:t>
            </w:r>
          </w:p>
        </w:tc>
      </w:tr>
      <w:tr w:rsidR="00DA227A" w:rsidRPr="00E93F40" w14:paraId="6F453F8C" w14:textId="77777777">
        <w:tc>
          <w:tcPr>
            <w:tcW w:w="4644" w:type="dxa"/>
          </w:tcPr>
          <w:p w14:paraId="0C8D8F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2DD8BF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0F6B785A" w14:textId="77777777">
        <w:tc>
          <w:tcPr>
            <w:tcW w:w="4644" w:type="dxa"/>
          </w:tcPr>
          <w:p w14:paraId="4EA3DB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7F378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373D380D" w14:textId="77777777">
        <w:tc>
          <w:tcPr>
            <w:tcW w:w="4644" w:type="dxa"/>
          </w:tcPr>
          <w:p w14:paraId="28F4CF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52DB0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6CC403" w14:textId="77777777">
        <w:tc>
          <w:tcPr>
            <w:tcW w:w="4644" w:type="dxa"/>
          </w:tcPr>
          <w:p w14:paraId="429C1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798CE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6677F6DA" w14:textId="77777777">
        <w:tc>
          <w:tcPr>
            <w:tcW w:w="4644" w:type="dxa"/>
          </w:tcPr>
          <w:p w14:paraId="1DA86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602E2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4A9BD485" w14:textId="77777777">
        <w:tc>
          <w:tcPr>
            <w:tcW w:w="4644" w:type="dxa"/>
          </w:tcPr>
          <w:p w14:paraId="2345E4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4B4900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19261F" w14:textId="77777777">
        <w:tc>
          <w:tcPr>
            <w:tcW w:w="4644" w:type="dxa"/>
          </w:tcPr>
          <w:p w14:paraId="5734C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1E8637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66D075" w14:textId="77777777">
        <w:tc>
          <w:tcPr>
            <w:tcW w:w="4644" w:type="dxa"/>
          </w:tcPr>
          <w:p w14:paraId="45D846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15075C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C01FC7" w14:textId="77777777">
        <w:tc>
          <w:tcPr>
            <w:tcW w:w="4644" w:type="dxa"/>
          </w:tcPr>
          <w:p w14:paraId="4157E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64C27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150х150</w:t>
            </w:r>
          </w:p>
        </w:tc>
      </w:tr>
      <w:tr w:rsidR="00DA227A" w:rsidRPr="00E93F40" w14:paraId="766BB693" w14:textId="77777777">
        <w:tc>
          <w:tcPr>
            <w:tcW w:w="4644" w:type="dxa"/>
          </w:tcPr>
          <w:p w14:paraId="4C8FE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46C7B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ВС2</w:t>
            </w:r>
          </w:p>
        </w:tc>
      </w:tr>
      <w:tr w:rsidR="00DA227A" w:rsidRPr="00E93F40" w14:paraId="5C3E5B79" w14:textId="77777777">
        <w:tc>
          <w:tcPr>
            <w:tcW w:w="4644" w:type="dxa"/>
          </w:tcPr>
          <w:p w14:paraId="1D482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73534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5F6B2C" w14:textId="77777777">
        <w:tc>
          <w:tcPr>
            <w:tcW w:w="4644" w:type="dxa"/>
          </w:tcPr>
          <w:p w14:paraId="5F4810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6AA1FC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669520" w14:textId="77777777">
        <w:tc>
          <w:tcPr>
            <w:tcW w:w="4644" w:type="dxa"/>
          </w:tcPr>
          <w:p w14:paraId="5E9F6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2339C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853008" w14:textId="77777777">
        <w:tc>
          <w:tcPr>
            <w:tcW w:w="4644" w:type="dxa"/>
          </w:tcPr>
          <w:p w14:paraId="4C73E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1496A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он же</w:t>
            </w:r>
          </w:p>
        </w:tc>
      </w:tr>
      <w:tr w:rsidR="00DA227A" w:rsidRPr="00E93F40" w14:paraId="0BD15CFF" w14:textId="77777777">
        <w:tc>
          <w:tcPr>
            <w:tcW w:w="4644" w:type="dxa"/>
          </w:tcPr>
          <w:p w14:paraId="7A90A6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A4CB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корректировщик, корпусной</w:t>
            </w:r>
          </w:p>
        </w:tc>
      </w:tr>
      <w:tr w:rsidR="00DA227A" w:rsidRPr="00E93F40" w14:paraId="01942D76" w14:textId="77777777">
        <w:tc>
          <w:tcPr>
            <w:tcW w:w="4644" w:type="dxa"/>
          </w:tcPr>
          <w:p w14:paraId="79E95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8C17A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r>
      <w:tr w:rsidR="00DA227A" w:rsidRPr="00E93F40" w14:paraId="1EC540EC" w14:textId="77777777">
        <w:tc>
          <w:tcPr>
            <w:tcW w:w="4644" w:type="dxa"/>
          </w:tcPr>
          <w:p w14:paraId="2CA0B6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2C965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ЭА</w:t>
            </w:r>
          </w:p>
        </w:tc>
      </w:tr>
      <w:tr w:rsidR="00DA227A" w:rsidRPr="00E93F40" w14:paraId="703EB11E" w14:textId="77777777">
        <w:tc>
          <w:tcPr>
            <w:tcW w:w="4644" w:type="dxa"/>
          </w:tcPr>
          <w:p w14:paraId="105864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2A1484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16548858" w14:textId="77777777">
        <w:tc>
          <w:tcPr>
            <w:tcW w:w="4644" w:type="dxa"/>
          </w:tcPr>
          <w:p w14:paraId="301DAD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7DA3F7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A2F804" w14:textId="77777777">
        <w:tc>
          <w:tcPr>
            <w:tcW w:w="4644" w:type="dxa"/>
          </w:tcPr>
          <w:p w14:paraId="43FF53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352918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200-220</w:t>
            </w:r>
          </w:p>
        </w:tc>
      </w:tr>
      <w:tr w:rsidR="00DA227A" w:rsidRPr="00E93F40" w14:paraId="6F23B3E3" w14:textId="77777777">
        <w:tc>
          <w:tcPr>
            <w:tcW w:w="4644" w:type="dxa"/>
          </w:tcPr>
          <w:p w14:paraId="7B1159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3B343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F2D20B" w14:textId="77777777">
        <w:tc>
          <w:tcPr>
            <w:tcW w:w="4644" w:type="dxa"/>
          </w:tcPr>
          <w:p w14:paraId="47B8F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1DCE35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мин.</w:t>
            </w:r>
          </w:p>
        </w:tc>
      </w:tr>
      <w:tr w:rsidR="00DA227A" w:rsidRPr="00E93F40" w14:paraId="74E088B6" w14:textId="77777777">
        <w:tc>
          <w:tcPr>
            <w:tcW w:w="4644" w:type="dxa"/>
          </w:tcPr>
          <w:p w14:paraId="20709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1A817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r>
      <w:tr w:rsidR="00DA227A" w:rsidRPr="00E93F40" w14:paraId="656FA82C" w14:textId="77777777">
        <w:tc>
          <w:tcPr>
            <w:tcW w:w="4644" w:type="dxa"/>
          </w:tcPr>
          <w:p w14:paraId="64E9B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74EDE4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1CCCF12E" w14:textId="77777777">
        <w:tc>
          <w:tcPr>
            <w:tcW w:w="4644" w:type="dxa"/>
          </w:tcPr>
          <w:p w14:paraId="07938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42504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7153B7" w14:textId="77777777">
        <w:tc>
          <w:tcPr>
            <w:tcW w:w="4644" w:type="dxa"/>
          </w:tcPr>
          <w:p w14:paraId="7D4D2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1361D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r>
      <w:tr w:rsidR="00DA227A" w:rsidRPr="00E93F40" w14:paraId="1F6BFB6D" w14:textId="77777777">
        <w:tc>
          <w:tcPr>
            <w:tcW w:w="4644" w:type="dxa"/>
          </w:tcPr>
          <w:p w14:paraId="35A561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249C6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CF599C" w14:textId="77777777">
        <w:tc>
          <w:tcPr>
            <w:tcW w:w="4644" w:type="dxa"/>
          </w:tcPr>
          <w:p w14:paraId="0C993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6DFA7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2130A1" w14:textId="77777777">
        <w:tc>
          <w:tcPr>
            <w:tcW w:w="4644" w:type="dxa"/>
          </w:tcPr>
          <w:p w14:paraId="79AD7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0FA44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33BA4C" w14:textId="77777777">
        <w:tc>
          <w:tcPr>
            <w:tcW w:w="4644" w:type="dxa"/>
          </w:tcPr>
          <w:p w14:paraId="10534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671538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8EBB8C" w14:textId="77777777">
        <w:tc>
          <w:tcPr>
            <w:tcW w:w="4644" w:type="dxa"/>
          </w:tcPr>
          <w:p w14:paraId="3F7ED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7FE635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50х50</w:t>
            </w:r>
          </w:p>
        </w:tc>
      </w:tr>
      <w:tr w:rsidR="00DA227A" w:rsidRPr="00E93F40" w14:paraId="4AB1E020" w14:textId="77777777">
        <w:tc>
          <w:tcPr>
            <w:tcW w:w="4644" w:type="dxa"/>
          </w:tcPr>
          <w:p w14:paraId="27BDB2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337FD8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ВС2</w:t>
            </w:r>
          </w:p>
        </w:tc>
      </w:tr>
      <w:tr w:rsidR="00DA227A" w:rsidRPr="00E93F40" w14:paraId="102484DE" w14:textId="77777777">
        <w:tc>
          <w:tcPr>
            <w:tcW w:w="4644" w:type="dxa"/>
          </w:tcPr>
          <w:p w14:paraId="24F01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29DFF7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BA01B1" w14:textId="77777777">
        <w:tc>
          <w:tcPr>
            <w:tcW w:w="4644" w:type="dxa"/>
          </w:tcPr>
          <w:p w14:paraId="6409F1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6C8ECF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555569" w14:textId="77777777">
        <w:tc>
          <w:tcPr>
            <w:tcW w:w="4644" w:type="dxa"/>
          </w:tcPr>
          <w:p w14:paraId="23DFA7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5631C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9DC018" w14:textId="77777777">
        <w:tc>
          <w:tcPr>
            <w:tcW w:w="4644" w:type="dxa"/>
          </w:tcPr>
          <w:p w14:paraId="3ABA7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1DE699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он же</w:t>
            </w:r>
          </w:p>
        </w:tc>
      </w:tr>
      <w:tr w:rsidR="00DA227A" w:rsidRPr="00E93F40" w14:paraId="2B125DE3" w14:textId="77777777">
        <w:tc>
          <w:tcPr>
            <w:tcW w:w="4644" w:type="dxa"/>
          </w:tcPr>
          <w:p w14:paraId="68DF1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1259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химический легкий боевик</w:t>
            </w:r>
          </w:p>
        </w:tc>
      </w:tr>
      <w:tr w:rsidR="00DA227A" w:rsidRPr="00E93F40" w14:paraId="69883CE3" w14:textId="77777777">
        <w:tc>
          <w:tcPr>
            <w:tcW w:w="4644" w:type="dxa"/>
          </w:tcPr>
          <w:p w14:paraId="7AA89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31F39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ВС2 2М-52</w:t>
            </w:r>
          </w:p>
        </w:tc>
      </w:tr>
      <w:tr w:rsidR="00DA227A" w:rsidRPr="00E93F40" w14:paraId="0BEE796F" w14:textId="77777777">
        <w:tc>
          <w:tcPr>
            <w:tcW w:w="4644" w:type="dxa"/>
          </w:tcPr>
          <w:p w14:paraId="2A94C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2921AC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47A48044" w14:textId="77777777">
        <w:tc>
          <w:tcPr>
            <w:tcW w:w="4644" w:type="dxa"/>
          </w:tcPr>
          <w:p w14:paraId="56B545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033FF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BF7372" w14:textId="77777777">
        <w:tc>
          <w:tcPr>
            <w:tcW w:w="4644" w:type="dxa"/>
          </w:tcPr>
          <w:p w14:paraId="0CD98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10D5B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3BA60361" w14:textId="77777777">
        <w:tc>
          <w:tcPr>
            <w:tcW w:w="4644" w:type="dxa"/>
          </w:tcPr>
          <w:p w14:paraId="35BCD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28BED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0ACFCD" w14:textId="77777777">
        <w:tc>
          <w:tcPr>
            <w:tcW w:w="4644" w:type="dxa"/>
          </w:tcPr>
          <w:p w14:paraId="6ADC7E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27F65A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мин.</w:t>
            </w:r>
          </w:p>
        </w:tc>
      </w:tr>
      <w:tr w:rsidR="00DA227A" w:rsidRPr="00E93F40" w14:paraId="4B7BDDB8" w14:textId="77777777">
        <w:tc>
          <w:tcPr>
            <w:tcW w:w="4644" w:type="dxa"/>
          </w:tcPr>
          <w:p w14:paraId="06D2AA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5AE62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D281277" w14:textId="77777777">
        <w:tc>
          <w:tcPr>
            <w:tcW w:w="4644" w:type="dxa"/>
          </w:tcPr>
          <w:p w14:paraId="69F5BD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137E3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r>
      <w:tr w:rsidR="00DA227A" w:rsidRPr="00E93F40" w14:paraId="5E57E5E9" w14:textId="77777777">
        <w:tc>
          <w:tcPr>
            <w:tcW w:w="4644" w:type="dxa"/>
          </w:tcPr>
          <w:p w14:paraId="355955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Максим. емкость баков на</w:t>
            </w:r>
          </w:p>
        </w:tc>
        <w:tc>
          <w:tcPr>
            <w:tcW w:w="5529" w:type="dxa"/>
          </w:tcPr>
          <w:p w14:paraId="3F41E7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E5A1A7" w14:textId="77777777">
        <w:tc>
          <w:tcPr>
            <w:tcW w:w="4644" w:type="dxa"/>
          </w:tcPr>
          <w:p w14:paraId="6D1C07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67460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6C4670FB" w14:textId="77777777">
        <w:tc>
          <w:tcPr>
            <w:tcW w:w="4644" w:type="dxa"/>
          </w:tcPr>
          <w:p w14:paraId="78773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107179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 (при перегр. 500)</w:t>
            </w:r>
          </w:p>
        </w:tc>
      </w:tr>
      <w:tr w:rsidR="00DA227A" w:rsidRPr="00E93F40" w14:paraId="4813244E" w14:textId="77777777">
        <w:tc>
          <w:tcPr>
            <w:tcW w:w="4644" w:type="dxa"/>
          </w:tcPr>
          <w:p w14:paraId="65694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12970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3956AC" w14:textId="77777777">
        <w:tc>
          <w:tcPr>
            <w:tcW w:w="4644" w:type="dxa"/>
          </w:tcPr>
          <w:p w14:paraId="216490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2A154D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26EB52" w14:textId="77777777">
        <w:tc>
          <w:tcPr>
            <w:tcW w:w="4644" w:type="dxa"/>
          </w:tcPr>
          <w:p w14:paraId="48BEB6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5767C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D56EB6" w14:textId="77777777">
        <w:tc>
          <w:tcPr>
            <w:tcW w:w="4644" w:type="dxa"/>
          </w:tcPr>
          <w:p w14:paraId="241E6F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3E9AC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1B2C61" w14:textId="77777777">
        <w:tc>
          <w:tcPr>
            <w:tcW w:w="4644" w:type="dxa"/>
          </w:tcPr>
          <w:p w14:paraId="3E051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6510FF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r>
      <w:tr w:rsidR="00DA227A" w:rsidRPr="00E93F40" w14:paraId="0E12603F" w14:textId="77777777">
        <w:tc>
          <w:tcPr>
            <w:tcW w:w="4644" w:type="dxa"/>
          </w:tcPr>
          <w:p w14:paraId="25827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1854F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560135" w14:textId="77777777">
        <w:tc>
          <w:tcPr>
            <w:tcW w:w="4644" w:type="dxa"/>
          </w:tcPr>
          <w:p w14:paraId="72030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79974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 года</w:t>
            </w:r>
          </w:p>
        </w:tc>
      </w:tr>
      <w:tr w:rsidR="00DA227A" w:rsidRPr="00E93F40" w14:paraId="3B80938E" w14:textId="77777777">
        <w:tc>
          <w:tcPr>
            <w:tcW w:w="4644" w:type="dxa"/>
          </w:tcPr>
          <w:p w14:paraId="4A791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22914E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32B99E" w14:textId="77777777">
        <w:tc>
          <w:tcPr>
            <w:tcW w:w="4644" w:type="dxa"/>
          </w:tcPr>
          <w:p w14:paraId="4EA977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6684B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17506B77" w14:textId="77777777">
        <w:tc>
          <w:tcPr>
            <w:tcW w:w="4644" w:type="dxa"/>
          </w:tcPr>
          <w:p w14:paraId="0707D0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Одноместные истребители</w:t>
            </w:r>
          </w:p>
        </w:tc>
        <w:tc>
          <w:tcPr>
            <w:tcW w:w="5529" w:type="dxa"/>
          </w:tcPr>
          <w:p w14:paraId="51E69E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18FF08" w14:textId="77777777">
        <w:tc>
          <w:tcPr>
            <w:tcW w:w="4644" w:type="dxa"/>
          </w:tcPr>
          <w:p w14:paraId="03377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01360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w:t>
            </w:r>
          </w:p>
        </w:tc>
      </w:tr>
      <w:tr w:rsidR="00DA227A" w:rsidRPr="00E93F40" w14:paraId="79FB9391" w14:textId="77777777">
        <w:tc>
          <w:tcPr>
            <w:tcW w:w="4644" w:type="dxa"/>
          </w:tcPr>
          <w:p w14:paraId="06FC7E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1F96D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И-15</w:t>
            </w:r>
          </w:p>
        </w:tc>
      </w:tr>
      <w:tr w:rsidR="00DA227A" w:rsidRPr="00E93F40" w14:paraId="61F5007F" w14:textId="77777777">
        <w:tc>
          <w:tcPr>
            <w:tcW w:w="4644" w:type="dxa"/>
          </w:tcPr>
          <w:p w14:paraId="435921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D58C7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r>
      <w:tr w:rsidR="00DA227A" w:rsidRPr="00E93F40" w14:paraId="0651C89D" w14:textId="77777777">
        <w:tc>
          <w:tcPr>
            <w:tcW w:w="4644" w:type="dxa"/>
          </w:tcPr>
          <w:p w14:paraId="0F20F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7E5E6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9D07C3" w14:textId="77777777">
        <w:tc>
          <w:tcPr>
            <w:tcW w:w="4644" w:type="dxa"/>
          </w:tcPr>
          <w:p w14:paraId="0A89E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67AF42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 км/7000 м</w:t>
            </w:r>
          </w:p>
        </w:tc>
      </w:tr>
      <w:tr w:rsidR="00DA227A" w:rsidRPr="00E93F40" w14:paraId="4A264A9C" w14:textId="77777777">
        <w:tc>
          <w:tcPr>
            <w:tcW w:w="4644" w:type="dxa"/>
          </w:tcPr>
          <w:p w14:paraId="283FB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2E6DE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2D5C3B" w14:textId="77777777">
        <w:tc>
          <w:tcPr>
            <w:tcW w:w="4644" w:type="dxa"/>
          </w:tcPr>
          <w:p w14:paraId="3A0923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0BAB92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мин.</w:t>
            </w:r>
          </w:p>
        </w:tc>
      </w:tr>
      <w:tr w:rsidR="00DA227A" w:rsidRPr="00E93F40" w14:paraId="131EA561" w14:textId="77777777">
        <w:tc>
          <w:tcPr>
            <w:tcW w:w="4644" w:type="dxa"/>
          </w:tcPr>
          <w:p w14:paraId="77383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426E0E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13000</w:t>
            </w:r>
          </w:p>
        </w:tc>
      </w:tr>
      <w:tr w:rsidR="00DA227A" w:rsidRPr="00E93F40" w14:paraId="0A81B79C" w14:textId="77777777">
        <w:tc>
          <w:tcPr>
            <w:tcW w:w="4644" w:type="dxa"/>
          </w:tcPr>
          <w:p w14:paraId="19BB2F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3D2333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5162B9E5" w14:textId="77777777">
        <w:tc>
          <w:tcPr>
            <w:tcW w:w="4644" w:type="dxa"/>
          </w:tcPr>
          <w:p w14:paraId="2D6D8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5EDFF9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C0290F" w14:textId="77777777">
        <w:tc>
          <w:tcPr>
            <w:tcW w:w="4644" w:type="dxa"/>
          </w:tcPr>
          <w:p w14:paraId="53827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4E8DA3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ADE75D" w14:textId="77777777">
        <w:tc>
          <w:tcPr>
            <w:tcW w:w="4644" w:type="dxa"/>
          </w:tcPr>
          <w:p w14:paraId="28F3DF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2EE02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1A9B7F" w14:textId="77777777">
        <w:tc>
          <w:tcPr>
            <w:tcW w:w="4644" w:type="dxa"/>
          </w:tcPr>
          <w:p w14:paraId="1591D0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16011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71AF0B" w14:textId="77777777">
        <w:tc>
          <w:tcPr>
            <w:tcW w:w="4644" w:type="dxa"/>
          </w:tcPr>
          <w:p w14:paraId="4BCC3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7590A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0F6520" w14:textId="77777777">
        <w:tc>
          <w:tcPr>
            <w:tcW w:w="4644" w:type="dxa"/>
          </w:tcPr>
          <w:p w14:paraId="4C552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799A8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24593F" w14:textId="77777777">
        <w:tc>
          <w:tcPr>
            <w:tcW w:w="4644" w:type="dxa"/>
          </w:tcPr>
          <w:p w14:paraId="1EA75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15B55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687091" w14:textId="77777777">
        <w:tc>
          <w:tcPr>
            <w:tcW w:w="4644" w:type="dxa"/>
          </w:tcPr>
          <w:p w14:paraId="3280B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0EE92C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 и И-13</w:t>
            </w:r>
          </w:p>
        </w:tc>
      </w:tr>
      <w:tr w:rsidR="00DA227A" w:rsidRPr="00E93F40" w14:paraId="1FFE22AB" w14:textId="77777777">
        <w:tc>
          <w:tcPr>
            <w:tcW w:w="4644" w:type="dxa"/>
          </w:tcPr>
          <w:p w14:paraId="1BB338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457B23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0BF0D0" w14:textId="77777777">
        <w:tc>
          <w:tcPr>
            <w:tcW w:w="4644" w:type="dxa"/>
          </w:tcPr>
          <w:p w14:paraId="7384B0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4474B3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8B8935" w14:textId="77777777">
        <w:tc>
          <w:tcPr>
            <w:tcW w:w="4644" w:type="dxa"/>
          </w:tcPr>
          <w:p w14:paraId="01223F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19E5D0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9A4A22" w14:textId="77777777">
        <w:tc>
          <w:tcPr>
            <w:tcW w:w="4644" w:type="dxa"/>
          </w:tcPr>
          <w:p w14:paraId="241B7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4C677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w:t>
            </w:r>
          </w:p>
        </w:tc>
      </w:tr>
      <w:tr w:rsidR="00DA227A" w:rsidRPr="00E93F40" w14:paraId="5423F865" w14:textId="77777777">
        <w:tc>
          <w:tcPr>
            <w:tcW w:w="4644" w:type="dxa"/>
          </w:tcPr>
          <w:p w14:paraId="121AD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B50C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(скоростной)</w:t>
            </w:r>
          </w:p>
        </w:tc>
      </w:tr>
      <w:tr w:rsidR="00DA227A" w:rsidRPr="00E93F40" w14:paraId="3AAE2ADB" w14:textId="77777777">
        <w:tc>
          <w:tcPr>
            <w:tcW w:w="4644" w:type="dxa"/>
          </w:tcPr>
          <w:p w14:paraId="02FD2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4567D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И-13 М-32</w:t>
            </w:r>
          </w:p>
        </w:tc>
      </w:tr>
      <w:tr w:rsidR="00DA227A" w:rsidRPr="00E93F40" w14:paraId="0F733B48" w14:textId="77777777">
        <w:tc>
          <w:tcPr>
            <w:tcW w:w="4644" w:type="dxa"/>
          </w:tcPr>
          <w:p w14:paraId="46AEF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123A4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534EF595" w14:textId="77777777">
        <w:tc>
          <w:tcPr>
            <w:tcW w:w="4644" w:type="dxa"/>
          </w:tcPr>
          <w:p w14:paraId="52B5E6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2749B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EA421E" w14:textId="77777777">
        <w:tc>
          <w:tcPr>
            <w:tcW w:w="4644" w:type="dxa"/>
          </w:tcPr>
          <w:p w14:paraId="173029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2DA67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425/5000</w:t>
            </w:r>
          </w:p>
        </w:tc>
      </w:tr>
      <w:tr w:rsidR="00DA227A" w:rsidRPr="00E93F40" w14:paraId="0CDD2DE6" w14:textId="77777777">
        <w:tc>
          <w:tcPr>
            <w:tcW w:w="4644" w:type="dxa"/>
          </w:tcPr>
          <w:p w14:paraId="43F776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078ED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E38A2A" w14:textId="77777777">
        <w:tc>
          <w:tcPr>
            <w:tcW w:w="4644" w:type="dxa"/>
          </w:tcPr>
          <w:p w14:paraId="1C369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749BD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мин./5000</w:t>
            </w:r>
          </w:p>
        </w:tc>
      </w:tr>
      <w:tr w:rsidR="00DA227A" w:rsidRPr="00E93F40" w14:paraId="0532A858" w14:textId="77777777">
        <w:tc>
          <w:tcPr>
            <w:tcW w:w="4644" w:type="dxa"/>
          </w:tcPr>
          <w:p w14:paraId="263836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5599B7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r>
      <w:tr w:rsidR="00DA227A" w:rsidRPr="00E93F40" w14:paraId="1895298C" w14:textId="77777777">
        <w:tc>
          <w:tcPr>
            <w:tcW w:w="4644" w:type="dxa"/>
          </w:tcPr>
          <w:p w14:paraId="0370DA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1B8A0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7301E338" w14:textId="77777777">
        <w:tc>
          <w:tcPr>
            <w:tcW w:w="4644" w:type="dxa"/>
          </w:tcPr>
          <w:p w14:paraId="2D67A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7CA578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D6FEF8F" w14:textId="77777777">
        <w:tc>
          <w:tcPr>
            <w:tcW w:w="4644" w:type="dxa"/>
          </w:tcPr>
          <w:p w14:paraId="2A76C4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295643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96B7EF" w14:textId="77777777">
        <w:tc>
          <w:tcPr>
            <w:tcW w:w="4644" w:type="dxa"/>
          </w:tcPr>
          <w:p w14:paraId="7A4630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71BA6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r>
      <w:tr w:rsidR="00DA227A" w:rsidRPr="00E93F40" w14:paraId="7679F087" w14:textId="77777777">
        <w:tc>
          <w:tcPr>
            <w:tcW w:w="4644" w:type="dxa"/>
          </w:tcPr>
          <w:p w14:paraId="2F1B1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3D1F57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034339" w14:textId="77777777">
        <w:tc>
          <w:tcPr>
            <w:tcW w:w="4644" w:type="dxa"/>
          </w:tcPr>
          <w:p w14:paraId="3F0D5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7EB31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9D6B21" w14:textId="77777777">
        <w:tc>
          <w:tcPr>
            <w:tcW w:w="4644" w:type="dxa"/>
          </w:tcPr>
          <w:p w14:paraId="7036B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7DD44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3B7BC5" w14:textId="77777777">
        <w:tc>
          <w:tcPr>
            <w:tcW w:w="4644" w:type="dxa"/>
          </w:tcPr>
          <w:p w14:paraId="5923B4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49C1C8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7533AC" w14:textId="77777777">
        <w:tc>
          <w:tcPr>
            <w:tcW w:w="4644" w:type="dxa"/>
          </w:tcPr>
          <w:p w14:paraId="47080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1A9663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r>
      <w:tr w:rsidR="00DA227A" w:rsidRPr="00E93F40" w14:paraId="724F62AE" w14:textId="77777777">
        <w:tc>
          <w:tcPr>
            <w:tcW w:w="4644" w:type="dxa"/>
          </w:tcPr>
          <w:p w14:paraId="294C0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652C5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632314" w14:textId="77777777">
        <w:tc>
          <w:tcPr>
            <w:tcW w:w="4644" w:type="dxa"/>
          </w:tcPr>
          <w:p w14:paraId="6A89A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3E2AB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1933 года</w:t>
            </w:r>
          </w:p>
        </w:tc>
      </w:tr>
      <w:tr w:rsidR="00DA227A" w:rsidRPr="00E93F40" w14:paraId="50B42135" w14:textId="77777777">
        <w:tc>
          <w:tcPr>
            <w:tcW w:w="4644" w:type="dxa"/>
          </w:tcPr>
          <w:p w14:paraId="01456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5E8934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51BCBB" w14:textId="77777777">
        <w:tc>
          <w:tcPr>
            <w:tcW w:w="4644" w:type="dxa"/>
          </w:tcPr>
          <w:p w14:paraId="296AE0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422E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384C7549" w14:textId="77777777">
        <w:tc>
          <w:tcPr>
            <w:tcW w:w="4644" w:type="dxa"/>
          </w:tcPr>
          <w:p w14:paraId="3CC224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7F108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w:t>
            </w:r>
          </w:p>
        </w:tc>
      </w:tr>
      <w:tr w:rsidR="00DA227A" w:rsidRPr="00E93F40" w14:paraId="5C0AEE9A" w14:textId="77777777">
        <w:tc>
          <w:tcPr>
            <w:tcW w:w="4644" w:type="dxa"/>
          </w:tcPr>
          <w:p w14:paraId="683C44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B0FE6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(скороподъемный)</w:t>
            </w:r>
          </w:p>
        </w:tc>
      </w:tr>
      <w:tr w:rsidR="00DA227A" w:rsidRPr="00E93F40" w14:paraId="00FA9C0E" w14:textId="77777777">
        <w:tc>
          <w:tcPr>
            <w:tcW w:w="4644" w:type="dxa"/>
          </w:tcPr>
          <w:p w14:paraId="2A708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3911F5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 М-38</w:t>
            </w:r>
          </w:p>
        </w:tc>
      </w:tr>
      <w:tr w:rsidR="00DA227A" w:rsidRPr="00E93F40" w14:paraId="5817EB19" w14:textId="77777777">
        <w:tc>
          <w:tcPr>
            <w:tcW w:w="4644" w:type="dxa"/>
          </w:tcPr>
          <w:p w14:paraId="294165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CE3B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1B71152B" w14:textId="77777777">
        <w:tc>
          <w:tcPr>
            <w:tcW w:w="4644" w:type="dxa"/>
          </w:tcPr>
          <w:p w14:paraId="28A30F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128BE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F01265" w14:textId="77777777">
        <w:tc>
          <w:tcPr>
            <w:tcW w:w="4644" w:type="dxa"/>
          </w:tcPr>
          <w:p w14:paraId="5C45E2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00064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400/5000</w:t>
            </w:r>
          </w:p>
        </w:tc>
      </w:tr>
      <w:tr w:rsidR="00DA227A" w:rsidRPr="00E93F40" w14:paraId="5DAADB88" w14:textId="77777777">
        <w:tc>
          <w:tcPr>
            <w:tcW w:w="4644" w:type="dxa"/>
          </w:tcPr>
          <w:p w14:paraId="70FE6E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BDB78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413F60" w14:textId="77777777">
        <w:tc>
          <w:tcPr>
            <w:tcW w:w="4644" w:type="dxa"/>
          </w:tcPr>
          <w:p w14:paraId="7EB4D5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7A6351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мин./5000</w:t>
            </w:r>
          </w:p>
        </w:tc>
      </w:tr>
      <w:tr w:rsidR="00DA227A" w:rsidRPr="00E93F40" w14:paraId="1DAC0790" w14:textId="77777777">
        <w:tc>
          <w:tcPr>
            <w:tcW w:w="4644" w:type="dxa"/>
          </w:tcPr>
          <w:p w14:paraId="152924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666A78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12000</w:t>
            </w:r>
          </w:p>
        </w:tc>
      </w:tr>
      <w:tr w:rsidR="00DA227A" w:rsidRPr="00E93F40" w14:paraId="46AB6F82" w14:textId="77777777">
        <w:tc>
          <w:tcPr>
            <w:tcW w:w="4644" w:type="dxa"/>
          </w:tcPr>
          <w:p w14:paraId="6BAADF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153FA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39CEE1C7" w14:textId="77777777">
        <w:tc>
          <w:tcPr>
            <w:tcW w:w="4644" w:type="dxa"/>
          </w:tcPr>
          <w:p w14:paraId="39E1BA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23CAE5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382A243" w14:textId="77777777">
        <w:tc>
          <w:tcPr>
            <w:tcW w:w="4644" w:type="dxa"/>
          </w:tcPr>
          <w:p w14:paraId="50B86E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4E8085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C21E60" w14:textId="77777777">
        <w:tc>
          <w:tcPr>
            <w:tcW w:w="4644" w:type="dxa"/>
          </w:tcPr>
          <w:p w14:paraId="3597A8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162EC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1FCB71" w14:textId="77777777">
        <w:tc>
          <w:tcPr>
            <w:tcW w:w="4644" w:type="dxa"/>
          </w:tcPr>
          <w:p w14:paraId="2413F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2D29A1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C88F61" w14:textId="77777777">
        <w:tc>
          <w:tcPr>
            <w:tcW w:w="4644" w:type="dxa"/>
          </w:tcPr>
          <w:p w14:paraId="2BCC8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61801C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39EFF1" w14:textId="77777777">
        <w:tc>
          <w:tcPr>
            <w:tcW w:w="4644" w:type="dxa"/>
          </w:tcPr>
          <w:p w14:paraId="4B314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3C252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2AB33A" w14:textId="77777777">
        <w:tc>
          <w:tcPr>
            <w:tcW w:w="4644" w:type="dxa"/>
          </w:tcPr>
          <w:p w14:paraId="3EB6DA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07FA7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7685E9" w14:textId="77777777">
        <w:tc>
          <w:tcPr>
            <w:tcW w:w="4644" w:type="dxa"/>
          </w:tcPr>
          <w:p w14:paraId="372A8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7657B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r>
      <w:tr w:rsidR="00DA227A" w:rsidRPr="00E93F40" w14:paraId="09013888" w14:textId="77777777">
        <w:tc>
          <w:tcPr>
            <w:tcW w:w="4644" w:type="dxa"/>
          </w:tcPr>
          <w:p w14:paraId="66FBEE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69EEC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79F5D4" w14:textId="77777777">
        <w:tc>
          <w:tcPr>
            <w:tcW w:w="4644" w:type="dxa"/>
          </w:tcPr>
          <w:p w14:paraId="0EE25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1D0DE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1933 года</w:t>
            </w:r>
          </w:p>
        </w:tc>
      </w:tr>
      <w:tr w:rsidR="00DA227A" w:rsidRPr="00E93F40" w14:paraId="02AA895A" w14:textId="77777777">
        <w:tc>
          <w:tcPr>
            <w:tcW w:w="4644" w:type="dxa"/>
          </w:tcPr>
          <w:p w14:paraId="16D89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0D2940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DD0708" w14:textId="77777777">
        <w:tc>
          <w:tcPr>
            <w:tcW w:w="4644" w:type="dxa"/>
          </w:tcPr>
          <w:p w14:paraId="6363E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Морская авиация</w:t>
            </w:r>
          </w:p>
        </w:tc>
        <w:tc>
          <w:tcPr>
            <w:tcW w:w="5529" w:type="dxa"/>
          </w:tcPr>
          <w:p w14:paraId="0AF29F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0E5921" w14:textId="77777777">
        <w:tc>
          <w:tcPr>
            <w:tcW w:w="4644" w:type="dxa"/>
          </w:tcPr>
          <w:p w14:paraId="72636D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Тяжелые морские бомбардировщики</w:t>
            </w:r>
          </w:p>
        </w:tc>
        <w:tc>
          <w:tcPr>
            <w:tcW w:w="5529" w:type="dxa"/>
          </w:tcPr>
          <w:p w14:paraId="6B5DB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019B929" w14:textId="77777777">
        <w:tc>
          <w:tcPr>
            <w:tcW w:w="4644" w:type="dxa"/>
          </w:tcPr>
          <w:p w14:paraId="127E06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Наименование самолета</w:t>
            </w:r>
          </w:p>
        </w:tc>
        <w:tc>
          <w:tcPr>
            <w:tcW w:w="5529" w:type="dxa"/>
          </w:tcPr>
          <w:p w14:paraId="07DBA3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тяжелый бомбард.</w:t>
            </w:r>
          </w:p>
        </w:tc>
      </w:tr>
      <w:tr w:rsidR="00DA227A" w:rsidRPr="00E93F40" w14:paraId="661D9BA4" w14:textId="77777777">
        <w:tc>
          <w:tcPr>
            <w:tcW w:w="4644" w:type="dxa"/>
          </w:tcPr>
          <w:p w14:paraId="45E11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79F52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w:t>
            </w:r>
          </w:p>
        </w:tc>
      </w:tr>
      <w:tr w:rsidR="00DA227A" w:rsidRPr="00E93F40" w14:paraId="2335B3B5" w14:textId="77777777">
        <w:tc>
          <w:tcPr>
            <w:tcW w:w="4644" w:type="dxa"/>
          </w:tcPr>
          <w:p w14:paraId="18E8C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353A93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МТБ-3</w:t>
            </w:r>
          </w:p>
        </w:tc>
      </w:tr>
      <w:tr w:rsidR="00DA227A" w:rsidRPr="00E93F40" w14:paraId="6E09A637" w14:textId="77777777">
        <w:tc>
          <w:tcPr>
            <w:tcW w:w="4644" w:type="dxa"/>
          </w:tcPr>
          <w:p w14:paraId="5E3BD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3A01B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034E45AC" w14:textId="77777777">
        <w:tc>
          <w:tcPr>
            <w:tcW w:w="4644" w:type="dxa"/>
          </w:tcPr>
          <w:p w14:paraId="033A7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74BC9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29A78B" w14:textId="77777777">
        <w:tc>
          <w:tcPr>
            <w:tcW w:w="4644" w:type="dxa"/>
          </w:tcPr>
          <w:p w14:paraId="6CD39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0BEB4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69CD2998" w14:textId="77777777">
        <w:tc>
          <w:tcPr>
            <w:tcW w:w="4644" w:type="dxa"/>
          </w:tcPr>
          <w:p w14:paraId="680D5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25173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D137A3" w14:textId="77777777">
        <w:tc>
          <w:tcPr>
            <w:tcW w:w="4644" w:type="dxa"/>
          </w:tcPr>
          <w:p w14:paraId="7EC1A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66CCB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 30 мин.</w:t>
            </w:r>
          </w:p>
        </w:tc>
      </w:tr>
      <w:tr w:rsidR="00DA227A" w:rsidRPr="00E93F40" w14:paraId="777F30AC" w14:textId="77777777">
        <w:tc>
          <w:tcPr>
            <w:tcW w:w="4644" w:type="dxa"/>
          </w:tcPr>
          <w:p w14:paraId="10505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75026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r>
      <w:tr w:rsidR="00DA227A" w:rsidRPr="00E93F40" w14:paraId="5E5A0BDB" w14:textId="77777777">
        <w:tc>
          <w:tcPr>
            <w:tcW w:w="4644" w:type="dxa"/>
          </w:tcPr>
          <w:p w14:paraId="657B1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3EEE7D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00A2A29F" w14:textId="77777777">
        <w:tc>
          <w:tcPr>
            <w:tcW w:w="4644" w:type="dxa"/>
          </w:tcPr>
          <w:p w14:paraId="3F85A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068D9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BCD19E" w14:textId="77777777">
        <w:tc>
          <w:tcPr>
            <w:tcW w:w="4644" w:type="dxa"/>
          </w:tcPr>
          <w:p w14:paraId="7A456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54344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9D5E04" w14:textId="77777777">
        <w:tc>
          <w:tcPr>
            <w:tcW w:w="4644" w:type="dxa"/>
          </w:tcPr>
          <w:p w14:paraId="2DC2A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1EABE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r>
      <w:tr w:rsidR="00DA227A" w:rsidRPr="00E93F40" w14:paraId="7ABC992C" w14:textId="77777777">
        <w:tc>
          <w:tcPr>
            <w:tcW w:w="4644" w:type="dxa"/>
          </w:tcPr>
          <w:p w14:paraId="642CA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1FEA4D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т</w:t>
            </w:r>
          </w:p>
        </w:tc>
      </w:tr>
      <w:tr w:rsidR="00DA227A" w:rsidRPr="00E93F40" w14:paraId="2B212147" w14:textId="77777777">
        <w:tc>
          <w:tcPr>
            <w:tcW w:w="4644" w:type="dxa"/>
          </w:tcPr>
          <w:p w14:paraId="304D14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1819A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73BCF6" w14:textId="77777777">
        <w:tc>
          <w:tcPr>
            <w:tcW w:w="4644" w:type="dxa"/>
          </w:tcPr>
          <w:p w14:paraId="31065E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5C685A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20B5F9" w14:textId="77777777">
        <w:tc>
          <w:tcPr>
            <w:tcW w:w="4644" w:type="dxa"/>
          </w:tcPr>
          <w:p w14:paraId="352504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683AF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 и посадка на волну</w:t>
            </w:r>
          </w:p>
        </w:tc>
      </w:tr>
      <w:tr w:rsidR="00DA227A" w:rsidRPr="00E93F40" w14:paraId="6330DBEB" w14:textId="77777777">
        <w:tc>
          <w:tcPr>
            <w:tcW w:w="4644" w:type="dxa"/>
          </w:tcPr>
          <w:p w14:paraId="36F1E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96999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1,5 м в безвет. При полетном</w:t>
            </w:r>
          </w:p>
        </w:tc>
      </w:tr>
      <w:tr w:rsidR="00DA227A" w:rsidRPr="00E93F40" w14:paraId="3C128FFF" w14:textId="77777777">
        <w:tc>
          <w:tcPr>
            <w:tcW w:w="4644" w:type="dxa"/>
          </w:tcPr>
          <w:p w14:paraId="6471AC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7E23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нормальном весе</w:t>
            </w:r>
          </w:p>
        </w:tc>
      </w:tr>
      <w:tr w:rsidR="00DA227A" w:rsidRPr="00E93F40" w14:paraId="044CA41C" w14:textId="77777777">
        <w:tc>
          <w:tcPr>
            <w:tcW w:w="4644" w:type="dxa"/>
          </w:tcPr>
          <w:p w14:paraId="2F2B0C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2195A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302D5A" w14:textId="77777777">
        <w:tc>
          <w:tcPr>
            <w:tcW w:w="4644" w:type="dxa"/>
          </w:tcPr>
          <w:p w14:paraId="0B4076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43008D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703315" w14:textId="77777777">
        <w:tc>
          <w:tcPr>
            <w:tcW w:w="4644" w:type="dxa"/>
          </w:tcPr>
          <w:p w14:paraId="5E489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2121D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E32553" w14:textId="77777777">
        <w:tc>
          <w:tcPr>
            <w:tcW w:w="4644" w:type="dxa"/>
          </w:tcPr>
          <w:p w14:paraId="0A648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4CE3A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 грузовой на</w:t>
            </w:r>
          </w:p>
        </w:tc>
      </w:tr>
      <w:tr w:rsidR="00DA227A" w:rsidRPr="00E93F40" w14:paraId="0DF7AC6F" w14:textId="77777777">
        <w:tc>
          <w:tcPr>
            <w:tcW w:w="4644" w:type="dxa"/>
          </w:tcPr>
          <w:p w14:paraId="4C1BC0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FB06A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морских линиях </w:t>
            </w:r>
          </w:p>
        </w:tc>
      </w:tr>
      <w:tr w:rsidR="00DA227A" w:rsidRPr="00E93F40" w14:paraId="23C16B7E" w14:textId="77777777">
        <w:tc>
          <w:tcPr>
            <w:tcW w:w="4644" w:type="dxa"/>
          </w:tcPr>
          <w:p w14:paraId="719EE1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730BC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414309B4" w14:textId="77777777">
        <w:tc>
          <w:tcPr>
            <w:tcW w:w="4644" w:type="dxa"/>
          </w:tcPr>
          <w:p w14:paraId="4E459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E9CD2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D15B5F7" w14:textId="77777777">
        <w:tc>
          <w:tcPr>
            <w:tcW w:w="4644" w:type="dxa"/>
          </w:tcPr>
          <w:p w14:paraId="43D81C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54CA3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тяжелый бомбардировщик</w:t>
            </w:r>
          </w:p>
        </w:tc>
      </w:tr>
      <w:tr w:rsidR="00DA227A" w:rsidRPr="00E93F40" w14:paraId="70177D3C" w14:textId="77777777">
        <w:tc>
          <w:tcPr>
            <w:tcW w:w="4644" w:type="dxa"/>
          </w:tcPr>
          <w:p w14:paraId="74F2A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1C2FC7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МТБ-4</w:t>
            </w:r>
          </w:p>
        </w:tc>
      </w:tr>
      <w:tr w:rsidR="00DA227A" w:rsidRPr="00E93F40" w14:paraId="75831B93" w14:textId="77777777">
        <w:tc>
          <w:tcPr>
            <w:tcW w:w="4644" w:type="dxa"/>
          </w:tcPr>
          <w:p w14:paraId="502C68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52B499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r>
      <w:tr w:rsidR="00DA227A" w:rsidRPr="00E93F40" w14:paraId="2481ACEA" w14:textId="77777777">
        <w:tc>
          <w:tcPr>
            <w:tcW w:w="4644" w:type="dxa"/>
          </w:tcPr>
          <w:p w14:paraId="41C5D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5D371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1F3C8D" w14:textId="77777777">
        <w:tc>
          <w:tcPr>
            <w:tcW w:w="4644" w:type="dxa"/>
          </w:tcPr>
          <w:p w14:paraId="1DD344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4CF31F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22574EF0" w14:textId="77777777">
        <w:tc>
          <w:tcPr>
            <w:tcW w:w="4644" w:type="dxa"/>
          </w:tcPr>
          <w:p w14:paraId="1762A8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3EE99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499FE5" w14:textId="77777777">
        <w:tc>
          <w:tcPr>
            <w:tcW w:w="4644" w:type="dxa"/>
          </w:tcPr>
          <w:p w14:paraId="0A7C1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5659D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 30 мин.</w:t>
            </w:r>
          </w:p>
        </w:tc>
      </w:tr>
      <w:tr w:rsidR="00DA227A" w:rsidRPr="00E93F40" w14:paraId="63FE1DC5" w14:textId="77777777">
        <w:tc>
          <w:tcPr>
            <w:tcW w:w="4644" w:type="dxa"/>
          </w:tcPr>
          <w:p w14:paraId="3387F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028C8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316738D5" w14:textId="77777777">
        <w:tc>
          <w:tcPr>
            <w:tcW w:w="4644" w:type="dxa"/>
          </w:tcPr>
          <w:p w14:paraId="26C8F2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05F8B5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54BB3797" w14:textId="77777777">
        <w:tc>
          <w:tcPr>
            <w:tcW w:w="4644" w:type="dxa"/>
          </w:tcPr>
          <w:p w14:paraId="5FFC1C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65CBC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E3F358" w14:textId="77777777">
        <w:tc>
          <w:tcPr>
            <w:tcW w:w="4644" w:type="dxa"/>
          </w:tcPr>
          <w:p w14:paraId="2D508A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05DC3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6EECE7D2" w14:textId="77777777">
        <w:tc>
          <w:tcPr>
            <w:tcW w:w="4644" w:type="dxa"/>
          </w:tcPr>
          <w:p w14:paraId="7FFB60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69A80C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16000</w:t>
            </w:r>
          </w:p>
        </w:tc>
      </w:tr>
      <w:tr w:rsidR="00DA227A" w:rsidRPr="00E93F40" w14:paraId="3046C6F1" w14:textId="77777777">
        <w:tc>
          <w:tcPr>
            <w:tcW w:w="4644" w:type="dxa"/>
          </w:tcPr>
          <w:p w14:paraId="11865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6A6498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23960B" w14:textId="77777777">
        <w:tc>
          <w:tcPr>
            <w:tcW w:w="4644" w:type="dxa"/>
          </w:tcPr>
          <w:p w14:paraId="264AD6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2015D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080E93" w14:textId="77777777">
        <w:tc>
          <w:tcPr>
            <w:tcW w:w="4644" w:type="dxa"/>
          </w:tcPr>
          <w:p w14:paraId="4D3FCE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23DE3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379B72" w14:textId="77777777">
        <w:tc>
          <w:tcPr>
            <w:tcW w:w="4644" w:type="dxa"/>
          </w:tcPr>
          <w:p w14:paraId="7023D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2AD465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 и посадка на волну</w:t>
            </w:r>
          </w:p>
        </w:tc>
      </w:tr>
      <w:tr w:rsidR="00DA227A" w:rsidRPr="00E93F40" w14:paraId="7FDAE9D1" w14:textId="77777777">
        <w:tc>
          <w:tcPr>
            <w:tcW w:w="4644" w:type="dxa"/>
          </w:tcPr>
          <w:p w14:paraId="3D532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A26DC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1,5 м в безвет. При полетном</w:t>
            </w:r>
          </w:p>
        </w:tc>
      </w:tr>
      <w:tr w:rsidR="00DA227A" w:rsidRPr="00E93F40" w14:paraId="76188836" w14:textId="77777777">
        <w:tc>
          <w:tcPr>
            <w:tcW w:w="4644" w:type="dxa"/>
          </w:tcPr>
          <w:p w14:paraId="0C48E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4D90E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нормальном весе</w:t>
            </w:r>
          </w:p>
        </w:tc>
      </w:tr>
      <w:tr w:rsidR="00DA227A" w:rsidRPr="00E93F40" w14:paraId="20EE4966" w14:textId="77777777">
        <w:tc>
          <w:tcPr>
            <w:tcW w:w="4644" w:type="dxa"/>
          </w:tcPr>
          <w:p w14:paraId="262E67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5D5856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МТБ-3</w:t>
            </w:r>
          </w:p>
        </w:tc>
      </w:tr>
      <w:tr w:rsidR="00DA227A" w:rsidRPr="00E93F40" w14:paraId="269C3DB1" w14:textId="77777777">
        <w:tc>
          <w:tcPr>
            <w:tcW w:w="4644" w:type="dxa"/>
          </w:tcPr>
          <w:p w14:paraId="708294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5C78F0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67311E" w14:textId="77777777">
        <w:tc>
          <w:tcPr>
            <w:tcW w:w="4644" w:type="dxa"/>
          </w:tcPr>
          <w:p w14:paraId="52F775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7A5B3E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D91920" w14:textId="77777777">
        <w:tc>
          <w:tcPr>
            <w:tcW w:w="4644" w:type="dxa"/>
          </w:tcPr>
          <w:p w14:paraId="26D403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2E99D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 грузовой на</w:t>
            </w:r>
          </w:p>
        </w:tc>
      </w:tr>
      <w:tr w:rsidR="00DA227A" w:rsidRPr="00E93F40" w14:paraId="48C883B7" w14:textId="77777777">
        <w:tc>
          <w:tcPr>
            <w:tcW w:w="4644" w:type="dxa"/>
          </w:tcPr>
          <w:p w14:paraId="6CA5C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E568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морских линиях </w:t>
            </w:r>
          </w:p>
        </w:tc>
      </w:tr>
      <w:tr w:rsidR="00DA227A" w:rsidRPr="00E93F40" w14:paraId="78D5F4AD" w14:textId="77777777">
        <w:tc>
          <w:tcPr>
            <w:tcW w:w="4644" w:type="dxa"/>
          </w:tcPr>
          <w:p w14:paraId="4F71E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5ED6FD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крейсер</w:t>
            </w:r>
          </w:p>
        </w:tc>
      </w:tr>
      <w:tr w:rsidR="00DA227A" w:rsidRPr="00E93F40" w14:paraId="346C4605" w14:textId="77777777">
        <w:tc>
          <w:tcPr>
            <w:tcW w:w="4644" w:type="dxa"/>
          </w:tcPr>
          <w:p w14:paraId="431898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21A0E4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МИ-1 4М-34</w:t>
            </w:r>
          </w:p>
        </w:tc>
      </w:tr>
      <w:tr w:rsidR="00DA227A" w:rsidRPr="00E93F40" w14:paraId="3808C40E" w14:textId="77777777">
        <w:tc>
          <w:tcPr>
            <w:tcW w:w="4644" w:type="dxa"/>
          </w:tcPr>
          <w:p w14:paraId="38C6F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3FF6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BF664F" w14:textId="77777777">
        <w:tc>
          <w:tcPr>
            <w:tcW w:w="4644" w:type="dxa"/>
          </w:tcPr>
          <w:p w14:paraId="435614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586B62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850DF6" w14:textId="77777777">
        <w:tc>
          <w:tcPr>
            <w:tcW w:w="4644" w:type="dxa"/>
          </w:tcPr>
          <w:p w14:paraId="0BC4A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1208B1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200/4000</w:t>
            </w:r>
          </w:p>
        </w:tc>
      </w:tr>
      <w:tr w:rsidR="00DA227A" w:rsidRPr="00E93F40" w14:paraId="4401E246" w14:textId="77777777">
        <w:tc>
          <w:tcPr>
            <w:tcW w:w="4644" w:type="dxa"/>
          </w:tcPr>
          <w:p w14:paraId="757580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37C2B7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E3BD58" w14:textId="77777777">
        <w:tc>
          <w:tcPr>
            <w:tcW w:w="4644" w:type="dxa"/>
          </w:tcPr>
          <w:p w14:paraId="17526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5093D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6000DA" w14:textId="77777777">
        <w:tc>
          <w:tcPr>
            <w:tcW w:w="4644" w:type="dxa"/>
          </w:tcPr>
          <w:p w14:paraId="05E3C5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0E23E0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64D45F10" w14:textId="77777777">
        <w:tc>
          <w:tcPr>
            <w:tcW w:w="4644" w:type="dxa"/>
          </w:tcPr>
          <w:p w14:paraId="2B0D6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3BDE93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r>
      <w:tr w:rsidR="00DA227A" w:rsidRPr="00E93F40" w14:paraId="778615A8" w14:textId="77777777">
        <w:tc>
          <w:tcPr>
            <w:tcW w:w="4644" w:type="dxa"/>
          </w:tcPr>
          <w:p w14:paraId="424FD5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0BB9F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8AE409" w14:textId="77777777">
        <w:tc>
          <w:tcPr>
            <w:tcW w:w="4644" w:type="dxa"/>
          </w:tcPr>
          <w:p w14:paraId="6DF9D3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2435B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r>
      <w:tr w:rsidR="00DA227A" w:rsidRPr="00E93F40" w14:paraId="2EC67FDA" w14:textId="77777777">
        <w:tc>
          <w:tcPr>
            <w:tcW w:w="4644" w:type="dxa"/>
          </w:tcPr>
          <w:p w14:paraId="375B1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3C3A97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500-1800 (с перегр. 3600)</w:t>
            </w:r>
          </w:p>
        </w:tc>
      </w:tr>
      <w:tr w:rsidR="00DA227A" w:rsidRPr="00E93F40" w14:paraId="27FBEDCF" w14:textId="77777777">
        <w:tc>
          <w:tcPr>
            <w:tcW w:w="4644" w:type="dxa"/>
          </w:tcPr>
          <w:p w14:paraId="10239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3FFB5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6E2209" w14:textId="77777777">
        <w:tc>
          <w:tcPr>
            <w:tcW w:w="4644" w:type="dxa"/>
          </w:tcPr>
          <w:p w14:paraId="06DED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2DCE0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930F76" w14:textId="77777777">
        <w:tc>
          <w:tcPr>
            <w:tcW w:w="4644" w:type="dxa"/>
          </w:tcPr>
          <w:p w14:paraId="431C9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3B0D6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5E5BE4" w14:textId="77777777">
        <w:tc>
          <w:tcPr>
            <w:tcW w:w="4644" w:type="dxa"/>
          </w:tcPr>
          <w:p w14:paraId="00C4DB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1B27F7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73B6DD" w14:textId="77777777">
        <w:tc>
          <w:tcPr>
            <w:tcW w:w="4644" w:type="dxa"/>
          </w:tcPr>
          <w:p w14:paraId="29F832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31BBF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42F3BE3" w14:textId="77777777">
        <w:tc>
          <w:tcPr>
            <w:tcW w:w="4644" w:type="dxa"/>
          </w:tcPr>
          <w:p w14:paraId="7C3AF6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7D183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4228EC" w14:textId="77777777">
        <w:tc>
          <w:tcPr>
            <w:tcW w:w="4644" w:type="dxa"/>
          </w:tcPr>
          <w:p w14:paraId="43194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3B8108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года</w:t>
            </w:r>
          </w:p>
        </w:tc>
      </w:tr>
      <w:tr w:rsidR="00DA227A" w:rsidRPr="00E93F40" w14:paraId="5E6D9452" w14:textId="77777777">
        <w:tc>
          <w:tcPr>
            <w:tcW w:w="4644" w:type="dxa"/>
          </w:tcPr>
          <w:p w14:paraId="6528D8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6AFBF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A81418" w14:textId="77777777">
        <w:tc>
          <w:tcPr>
            <w:tcW w:w="4644" w:type="dxa"/>
          </w:tcPr>
          <w:p w14:paraId="2CDFE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44762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359A212C" w14:textId="77777777">
        <w:tc>
          <w:tcPr>
            <w:tcW w:w="4644" w:type="dxa"/>
          </w:tcPr>
          <w:p w14:paraId="0817C0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Дальние морские разведчики</w:t>
            </w:r>
          </w:p>
        </w:tc>
        <w:tc>
          <w:tcPr>
            <w:tcW w:w="5529" w:type="dxa"/>
          </w:tcPr>
          <w:p w14:paraId="124D2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4CC992" w14:textId="77777777">
        <w:tc>
          <w:tcPr>
            <w:tcW w:w="4644" w:type="dxa"/>
          </w:tcPr>
          <w:p w14:paraId="74F770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53972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дальний разведчик</w:t>
            </w:r>
          </w:p>
        </w:tc>
      </w:tr>
      <w:tr w:rsidR="00DA227A" w:rsidRPr="00E93F40" w14:paraId="596B36A9" w14:textId="77777777">
        <w:tc>
          <w:tcPr>
            <w:tcW w:w="4644" w:type="dxa"/>
          </w:tcPr>
          <w:p w14:paraId="64DDE1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2F1BD2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МДР-4</w:t>
            </w:r>
          </w:p>
        </w:tc>
      </w:tr>
      <w:tr w:rsidR="00DA227A" w:rsidRPr="00E93F40" w14:paraId="0E0CA77D" w14:textId="77777777">
        <w:tc>
          <w:tcPr>
            <w:tcW w:w="4644" w:type="dxa"/>
          </w:tcPr>
          <w:p w14:paraId="011CC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9098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r>
      <w:tr w:rsidR="00DA227A" w:rsidRPr="00E93F40" w14:paraId="5DE9D1D4" w14:textId="77777777">
        <w:tc>
          <w:tcPr>
            <w:tcW w:w="4644" w:type="dxa"/>
          </w:tcPr>
          <w:p w14:paraId="16822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19EE16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37EB74" w14:textId="77777777">
        <w:tc>
          <w:tcPr>
            <w:tcW w:w="4644" w:type="dxa"/>
          </w:tcPr>
          <w:p w14:paraId="6E2395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661AB2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6541B872" w14:textId="77777777">
        <w:tc>
          <w:tcPr>
            <w:tcW w:w="4644" w:type="dxa"/>
          </w:tcPr>
          <w:p w14:paraId="615077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70C7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40AA72" w14:textId="77777777">
        <w:tc>
          <w:tcPr>
            <w:tcW w:w="4644" w:type="dxa"/>
          </w:tcPr>
          <w:p w14:paraId="254DCB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34719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 30 мин.</w:t>
            </w:r>
          </w:p>
        </w:tc>
      </w:tr>
      <w:tr w:rsidR="00DA227A" w:rsidRPr="00E93F40" w14:paraId="17D83981" w14:textId="77777777">
        <w:tc>
          <w:tcPr>
            <w:tcW w:w="4644" w:type="dxa"/>
          </w:tcPr>
          <w:p w14:paraId="3FD792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Практич. потолок</w:t>
            </w:r>
          </w:p>
        </w:tc>
        <w:tc>
          <w:tcPr>
            <w:tcW w:w="5529" w:type="dxa"/>
          </w:tcPr>
          <w:p w14:paraId="4C093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8500</w:t>
            </w:r>
          </w:p>
        </w:tc>
      </w:tr>
      <w:tr w:rsidR="00DA227A" w:rsidRPr="00E93F40" w14:paraId="6AD1CE31" w14:textId="77777777">
        <w:tc>
          <w:tcPr>
            <w:tcW w:w="4644" w:type="dxa"/>
          </w:tcPr>
          <w:p w14:paraId="5D22D5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1C5E5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6186C49B" w14:textId="77777777">
        <w:tc>
          <w:tcPr>
            <w:tcW w:w="4644" w:type="dxa"/>
          </w:tcPr>
          <w:p w14:paraId="0DE027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6B4C1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905339" w14:textId="77777777">
        <w:tc>
          <w:tcPr>
            <w:tcW w:w="4644" w:type="dxa"/>
          </w:tcPr>
          <w:p w14:paraId="0A316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245575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53F86143" w14:textId="77777777">
        <w:tc>
          <w:tcPr>
            <w:tcW w:w="4644" w:type="dxa"/>
          </w:tcPr>
          <w:p w14:paraId="24D5A8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33B579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1600</w:t>
            </w:r>
          </w:p>
        </w:tc>
      </w:tr>
      <w:tr w:rsidR="00DA227A" w:rsidRPr="00E93F40" w14:paraId="3214A038" w14:textId="77777777">
        <w:tc>
          <w:tcPr>
            <w:tcW w:w="4644" w:type="dxa"/>
          </w:tcPr>
          <w:p w14:paraId="7AB83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07B7D2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т</w:t>
            </w:r>
          </w:p>
        </w:tc>
      </w:tr>
      <w:tr w:rsidR="00DA227A" w:rsidRPr="00E93F40" w14:paraId="42EAD6D4" w14:textId="77777777">
        <w:tc>
          <w:tcPr>
            <w:tcW w:w="4644" w:type="dxa"/>
          </w:tcPr>
          <w:p w14:paraId="5C536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065696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007301" w14:textId="77777777">
        <w:tc>
          <w:tcPr>
            <w:tcW w:w="4644" w:type="dxa"/>
          </w:tcPr>
          <w:p w14:paraId="46404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2BD5A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4D5795" w14:textId="77777777">
        <w:tc>
          <w:tcPr>
            <w:tcW w:w="4644" w:type="dxa"/>
          </w:tcPr>
          <w:p w14:paraId="0F48B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73E9E0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 и посадка на волну</w:t>
            </w:r>
          </w:p>
        </w:tc>
      </w:tr>
      <w:tr w:rsidR="00DA227A" w:rsidRPr="00E93F40" w14:paraId="67A258AA" w14:textId="77777777">
        <w:tc>
          <w:tcPr>
            <w:tcW w:w="4644" w:type="dxa"/>
          </w:tcPr>
          <w:p w14:paraId="2825E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169E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1,25 м в безвет. При полетном</w:t>
            </w:r>
          </w:p>
        </w:tc>
      </w:tr>
      <w:tr w:rsidR="00DA227A" w:rsidRPr="00E93F40" w14:paraId="6A15D5EC" w14:textId="77777777">
        <w:tc>
          <w:tcPr>
            <w:tcW w:w="4644" w:type="dxa"/>
          </w:tcPr>
          <w:p w14:paraId="5A306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E3D8B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нормальном весе</w:t>
            </w:r>
          </w:p>
        </w:tc>
      </w:tr>
      <w:tr w:rsidR="00DA227A" w:rsidRPr="00E93F40" w14:paraId="7BF746C9" w14:textId="77777777">
        <w:tc>
          <w:tcPr>
            <w:tcW w:w="4644" w:type="dxa"/>
          </w:tcPr>
          <w:p w14:paraId="62BCA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7B580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w:t>
            </w:r>
          </w:p>
        </w:tc>
      </w:tr>
      <w:tr w:rsidR="00DA227A" w:rsidRPr="00E93F40" w14:paraId="3460F3DD" w14:textId="77777777">
        <w:tc>
          <w:tcPr>
            <w:tcW w:w="4644" w:type="dxa"/>
          </w:tcPr>
          <w:p w14:paraId="586377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7ADAB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E9DD9E" w14:textId="77777777">
        <w:tc>
          <w:tcPr>
            <w:tcW w:w="4644" w:type="dxa"/>
          </w:tcPr>
          <w:p w14:paraId="067833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4C659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122BED" w14:textId="77777777">
        <w:tc>
          <w:tcPr>
            <w:tcW w:w="4644" w:type="dxa"/>
          </w:tcPr>
          <w:p w14:paraId="79E7D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4E65D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 грузовой на</w:t>
            </w:r>
          </w:p>
        </w:tc>
      </w:tr>
      <w:tr w:rsidR="00DA227A" w:rsidRPr="00E93F40" w14:paraId="5331567B" w14:textId="77777777">
        <w:tc>
          <w:tcPr>
            <w:tcW w:w="4644" w:type="dxa"/>
          </w:tcPr>
          <w:p w14:paraId="382BFA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A3FF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морских линиях</w:t>
            </w:r>
          </w:p>
        </w:tc>
      </w:tr>
      <w:tr w:rsidR="00DA227A" w:rsidRPr="00E93F40" w14:paraId="535FCAE8" w14:textId="77777777">
        <w:tc>
          <w:tcPr>
            <w:tcW w:w="4644" w:type="dxa"/>
          </w:tcPr>
          <w:p w14:paraId="26CF9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Ближние морские разведчики</w:t>
            </w:r>
          </w:p>
        </w:tc>
        <w:tc>
          <w:tcPr>
            <w:tcW w:w="5529" w:type="dxa"/>
          </w:tcPr>
          <w:p w14:paraId="04C9F8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094F3A" w14:textId="77777777">
        <w:tc>
          <w:tcPr>
            <w:tcW w:w="4644" w:type="dxa"/>
          </w:tcPr>
          <w:p w14:paraId="1CF7F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6FD366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ближний разведчик</w:t>
            </w:r>
          </w:p>
        </w:tc>
      </w:tr>
      <w:tr w:rsidR="00DA227A" w:rsidRPr="00E93F40" w14:paraId="78208F9E" w14:textId="77777777">
        <w:tc>
          <w:tcPr>
            <w:tcW w:w="4644" w:type="dxa"/>
          </w:tcPr>
          <w:p w14:paraId="2C312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57A8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амфибия (санит., фотосъемщик,</w:t>
            </w:r>
          </w:p>
        </w:tc>
      </w:tr>
      <w:tr w:rsidR="00DA227A" w:rsidRPr="00E93F40" w14:paraId="5DCAFD8D" w14:textId="77777777">
        <w:tc>
          <w:tcPr>
            <w:tcW w:w="4644" w:type="dxa"/>
          </w:tcPr>
          <w:p w14:paraId="14328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1CCE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опылитель)</w:t>
            </w:r>
          </w:p>
        </w:tc>
      </w:tr>
      <w:tr w:rsidR="00DA227A" w:rsidRPr="00E93F40" w14:paraId="5BA38DF2" w14:textId="77777777">
        <w:tc>
          <w:tcPr>
            <w:tcW w:w="4644" w:type="dxa"/>
          </w:tcPr>
          <w:p w14:paraId="4F6DF9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490EE6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МБР-5 М-35</w:t>
            </w:r>
          </w:p>
        </w:tc>
      </w:tr>
      <w:tr w:rsidR="00DA227A" w:rsidRPr="00E93F40" w14:paraId="1F7F1CE0" w14:textId="77777777">
        <w:tc>
          <w:tcPr>
            <w:tcW w:w="4644" w:type="dxa"/>
          </w:tcPr>
          <w:p w14:paraId="2C896A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2EC03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r>
      <w:tr w:rsidR="00DA227A" w:rsidRPr="00E93F40" w14:paraId="3CA73843" w14:textId="77777777">
        <w:tc>
          <w:tcPr>
            <w:tcW w:w="4644" w:type="dxa"/>
          </w:tcPr>
          <w:p w14:paraId="6A837A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50F75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6C751D" w14:textId="77777777">
        <w:tc>
          <w:tcPr>
            <w:tcW w:w="4644" w:type="dxa"/>
          </w:tcPr>
          <w:p w14:paraId="762639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337527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74BC1841" w14:textId="77777777">
        <w:tc>
          <w:tcPr>
            <w:tcW w:w="4644" w:type="dxa"/>
          </w:tcPr>
          <w:p w14:paraId="4BD5A0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5D893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85D6EE" w14:textId="77777777">
        <w:tc>
          <w:tcPr>
            <w:tcW w:w="4644" w:type="dxa"/>
          </w:tcPr>
          <w:p w14:paraId="6EFB5A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3BC794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w:t>
            </w:r>
          </w:p>
        </w:tc>
      </w:tr>
      <w:tr w:rsidR="00DA227A" w:rsidRPr="00E93F40" w14:paraId="7375034E" w14:textId="77777777">
        <w:tc>
          <w:tcPr>
            <w:tcW w:w="4644" w:type="dxa"/>
          </w:tcPr>
          <w:p w14:paraId="139370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1A4566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r>
      <w:tr w:rsidR="00DA227A" w:rsidRPr="00E93F40" w14:paraId="1B97F7E3" w14:textId="77777777">
        <w:tc>
          <w:tcPr>
            <w:tcW w:w="4644" w:type="dxa"/>
          </w:tcPr>
          <w:p w14:paraId="6B0CB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627E1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3DBCD87E" w14:textId="77777777">
        <w:tc>
          <w:tcPr>
            <w:tcW w:w="4644" w:type="dxa"/>
          </w:tcPr>
          <w:p w14:paraId="300D7A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10162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C5B40A" w14:textId="77777777">
        <w:tc>
          <w:tcPr>
            <w:tcW w:w="4644" w:type="dxa"/>
          </w:tcPr>
          <w:p w14:paraId="10CA25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361FB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r>
      <w:tr w:rsidR="00DA227A" w:rsidRPr="00E93F40" w14:paraId="5F7D381F" w14:textId="77777777">
        <w:tc>
          <w:tcPr>
            <w:tcW w:w="4644" w:type="dxa"/>
          </w:tcPr>
          <w:p w14:paraId="3098E0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73F37F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2519D57B" w14:textId="77777777">
        <w:tc>
          <w:tcPr>
            <w:tcW w:w="4644" w:type="dxa"/>
          </w:tcPr>
          <w:p w14:paraId="61DED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3D6D4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DFB008" w14:textId="77777777">
        <w:tc>
          <w:tcPr>
            <w:tcW w:w="4644" w:type="dxa"/>
          </w:tcPr>
          <w:p w14:paraId="6B1F8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33B26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FBCB16" w14:textId="77777777">
        <w:tc>
          <w:tcPr>
            <w:tcW w:w="4644" w:type="dxa"/>
          </w:tcPr>
          <w:p w14:paraId="69711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3190FB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72F23A" w14:textId="77777777">
        <w:tc>
          <w:tcPr>
            <w:tcW w:w="4644" w:type="dxa"/>
          </w:tcPr>
          <w:p w14:paraId="53AAC8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59E0C1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 и посадка на волну</w:t>
            </w:r>
          </w:p>
        </w:tc>
      </w:tr>
      <w:tr w:rsidR="00DA227A" w:rsidRPr="00E93F40" w14:paraId="1A31F561" w14:textId="77777777">
        <w:tc>
          <w:tcPr>
            <w:tcW w:w="4644" w:type="dxa"/>
          </w:tcPr>
          <w:p w14:paraId="3AC34F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1CE8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1,25 м в безвет. При полетном</w:t>
            </w:r>
          </w:p>
        </w:tc>
      </w:tr>
      <w:tr w:rsidR="00DA227A" w:rsidRPr="00E93F40" w14:paraId="2AC0B62E" w14:textId="77777777">
        <w:tc>
          <w:tcPr>
            <w:tcW w:w="4644" w:type="dxa"/>
          </w:tcPr>
          <w:p w14:paraId="099F3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C127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нормальном весе</w:t>
            </w:r>
          </w:p>
        </w:tc>
      </w:tr>
      <w:tr w:rsidR="00DA227A" w:rsidRPr="00E93F40" w14:paraId="3D557BA8" w14:textId="77777777">
        <w:tc>
          <w:tcPr>
            <w:tcW w:w="4644" w:type="dxa"/>
          </w:tcPr>
          <w:p w14:paraId="3E19D6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00404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1AE57A" w14:textId="77777777">
        <w:tc>
          <w:tcPr>
            <w:tcW w:w="4644" w:type="dxa"/>
          </w:tcPr>
          <w:p w14:paraId="1375B1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25285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ED76CE" w14:textId="77777777">
        <w:tc>
          <w:tcPr>
            <w:tcW w:w="4644" w:type="dxa"/>
          </w:tcPr>
          <w:p w14:paraId="7DE24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6BC5D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55A8B9" w14:textId="77777777">
        <w:tc>
          <w:tcPr>
            <w:tcW w:w="4644" w:type="dxa"/>
          </w:tcPr>
          <w:p w14:paraId="50F380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28842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почтовый в морск. северных </w:t>
            </w:r>
          </w:p>
        </w:tc>
      </w:tr>
      <w:tr w:rsidR="00DA227A" w:rsidRPr="00E93F40" w14:paraId="1F7E512A" w14:textId="77777777">
        <w:tc>
          <w:tcPr>
            <w:tcW w:w="4644" w:type="dxa"/>
          </w:tcPr>
          <w:p w14:paraId="2136B7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B33DB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Районах</w:t>
            </w:r>
          </w:p>
        </w:tc>
      </w:tr>
      <w:tr w:rsidR="00DA227A" w:rsidRPr="00E93F40" w14:paraId="032E1706" w14:textId="77777777">
        <w:tc>
          <w:tcPr>
            <w:tcW w:w="4644" w:type="dxa"/>
          </w:tcPr>
          <w:p w14:paraId="4BFC74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F058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Амфибия</w:t>
            </w:r>
          </w:p>
        </w:tc>
      </w:tr>
      <w:tr w:rsidR="00DA227A" w:rsidRPr="00E93F40" w14:paraId="487BA463" w14:textId="77777777">
        <w:tc>
          <w:tcPr>
            <w:tcW w:w="4644" w:type="dxa"/>
          </w:tcPr>
          <w:p w14:paraId="1A35ED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21E0C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торпедоносец, он же пикирующий</w:t>
            </w:r>
          </w:p>
        </w:tc>
      </w:tr>
      <w:tr w:rsidR="00DA227A" w:rsidRPr="00E93F40" w14:paraId="38EFA8DC" w14:textId="77777777">
        <w:tc>
          <w:tcPr>
            <w:tcW w:w="4644" w:type="dxa"/>
          </w:tcPr>
          <w:p w14:paraId="4A5E5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05005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бомбардировщик</w:t>
            </w:r>
          </w:p>
        </w:tc>
      </w:tr>
      <w:tr w:rsidR="00DA227A" w:rsidRPr="00E93F40" w14:paraId="357EBF1C" w14:textId="77777777">
        <w:tc>
          <w:tcPr>
            <w:tcW w:w="4644" w:type="dxa"/>
          </w:tcPr>
          <w:p w14:paraId="5D2DE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448EC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КРПБ</w:t>
            </w:r>
          </w:p>
        </w:tc>
      </w:tr>
      <w:tr w:rsidR="00DA227A" w:rsidRPr="00E93F40" w14:paraId="48974DCF" w14:textId="77777777">
        <w:tc>
          <w:tcPr>
            <w:tcW w:w="4644" w:type="dxa"/>
          </w:tcPr>
          <w:p w14:paraId="5A766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0CB2F6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7AC25490" w14:textId="77777777">
        <w:tc>
          <w:tcPr>
            <w:tcW w:w="4644" w:type="dxa"/>
          </w:tcPr>
          <w:p w14:paraId="6F90D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21BA1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F9886C" w14:textId="77777777">
        <w:tc>
          <w:tcPr>
            <w:tcW w:w="4644" w:type="dxa"/>
          </w:tcPr>
          <w:p w14:paraId="0C3311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1E34F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r>
      <w:tr w:rsidR="00DA227A" w:rsidRPr="00E93F40" w14:paraId="1C80D785" w14:textId="77777777">
        <w:tc>
          <w:tcPr>
            <w:tcW w:w="4644" w:type="dxa"/>
          </w:tcPr>
          <w:p w14:paraId="0CF38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7592D1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C14574" w14:textId="77777777">
        <w:tc>
          <w:tcPr>
            <w:tcW w:w="4644" w:type="dxa"/>
          </w:tcPr>
          <w:p w14:paraId="15D8C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3975E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мин.</w:t>
            </w:r>
          </w:p>
        </w:tc>
      </w:tr>
      <w:tr w:rsidR="00DA227A" w:rsidRPr="00E93F40" w14:paraId="5CE77EDB" w14:textId="77777777">
        <w:tc>
          <w:tcPr>
            <w:tcW w:w="4644" w:type="dxa"/>
          </w:tcPr>
          <w:p w14:paraId="40927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4D62A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r>
      <w:tr w:rsidR="00DA227A" w:rsidRPr="00E93F40" w14:paraId="37DBA061" w14:textId="77777777">
        <w:tc>
          <w:tcPr>
            <w:tcW w:w="4644" w:type="dxa"/>
          </w:tcPr>
          <w:p w14:paraId="37FA8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21EDB8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756C74A3" w14:textId="77777777">
        <w:tc>
          <w:tcPr>
            <w:tcW w:w="4644" w:type="dxa"/>
          </w:tcPr>
          <w:p w14:paraId="7FA48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669B78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596897" w14:textId="77777777">
        <w:tc>
          <w:tcPr>
            <w:tcW w:w="4644" w:type="dxa"/>
          </w:tcPr>
          <w:p w14:paraId="5CC392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55EAE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4F51A619" w14:textId="77777777">
        <w:tc>
          <w:tcPr>
            <w:tcW w:w="4644" w:type="dxa"/>
          </w:tcPr>
          <w:p w14:paraId="140E3E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0191B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при взлете с гидроаэродр. 1000</w:t>
            </w:r>
          </w:p>
        </w:tc>
      </w:tr>
      <w:tr w:rsidR="00DA227A" w:rsidRPr="00E93F40" w14:paraId="4C4526AF" w14:textId="77777777">
        <w:tc>
          <w:tcPr>
            <w:tcW w:w="4644" w:type="dxa"/>
          </w:tcPr>
          <w:p w14:paraId="0A5DE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50A45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26BBF0" w14:textId="77777777">
        <w:tc>
          <w:tcPr>
            <w:tcW w:w="4644" w:type="dxa"/>
          </w:tcPr>
          <w:p w14:paraId="13E9E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103CBC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2E8474" w14:textId="77777777">
        <w:tc>
          <w:tcPr>
            <w:tcW w:w="4644" w:type="dxa"/>
          </w:tcPr>
          <w:p w14:paraId="3A04A2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5EDB1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25E658" w14:textId="77777777">
        <w:tc>
          <w:tcPr>
            <w:tcW w:w="4644" w:type="dxa"/>
          </w:tcPr>
          <w:p w14:paraId="349C03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604C6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85A45B" w14:textId="77777777">
        <w:tc>
          <w:tcPr>
            <w:tcW w:w="4644" w:type="dxa"/>
          </w:tcPr>
          <w:p w14:paraId="1C02B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2FF5F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E7D9BA" w14:textId="77777777">
        <w:tc>
          <w:tcPr>
            <w:tcW w:w="4644" w:type="dxa"/>
          </w:tcPr>
          <w:p w14:paraId="66FEF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5E4A0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6C08AD" w14:textId="77777777">
        <w:tc>
          <w:tcPr>
            <w:tcW w:w="4644" w:type="dxa"/>
          </w:tcPr>
          <w:p w14:paraId="519899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66373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AD27B4" w14:textId="77777777">
        <w:tc>
          <w:tcPr>
            <w:tcW w:w="4644" w:type="dxa"/>
          </w:tcPr>
          <w:p w14:paraId="4195D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2CA51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2B20EB" w14:textId="77777777">
        <w:tc>
          <w:tcPr>
            <w:tcW w:w="4644" w:type="dxa"/>
          </w:tcPr>
          <w:p w14:paraId="6ED90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5F42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Катапультный при длине разбега</w:t>
            </w:r>
          </w:p>
        </w:tc>
      </w:tr>
      <w:tr w:rsidR="00DA227A" w:rsidRPr="00E93F40" w14:paraId="1A087CD2" w14:textId="77777777">
        <w:tc>
          <w:tcPr>
            <w:tcW w:w="4644" w:type="dxa"/>
          </w:tcPr>
          <w:p w14:paraId="389AB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17ED6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катапульт. 30 м, при увеличении</w:t>
            </w:r>
          </w:p>
        </w:tc>
      </w:tr>
      <w:tr w:rsidR="00DA227A" w:rsidRPr="00E93F40" w14:paraId="1D6A5D78" w14:textId="77777777">
        <w:tc>
          <w:tcPr>
            <w:tcW w:w="4644" w:type="dxa"/>
          </w:tcPr>
          <w:p w14:paraId="52A950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48780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длины разбега на катапульт. соответст.</w:t>
            </w:r>
          </w:p>
        </w:tc>
      </w:tr>
      <w:tr w:rsidR="00DA227A" w:rsidRPr="00E93F40" w14:paraId="38CF4A66" w14:textId="77777777">
        <w:tc>
          <w:tcPr>
            <w:tcW w:w="4644" w:type="dxa"/>
          </w:tcPr>
          <w:p w14:paraId="149075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50200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самолета должна быть</w:t>
            </w:r>
          </w:p>
        </w:tc>
      </w:tr>
      <w:tr w:rsidR="00DA227A" w:rsidRPr="00E93F40" w14:paraId="69223B91" w14:textId="77777777">
        <w:tc>
          <w:tcPr>
            <w:tcW w:w="4644" w:type="dxa"/>
          </w:tcPr>
          <w:p w14:paraId="0365E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85B7E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увеличена</w:t>
            </w:r>
          </w:p>
        </w:tc>
      </w:tr>
      <w:tr w:rsidR="00DA227A" w:rsidRPr="00E93F40" w14:paraId="297E0DE7" w14:textId="77777777">
        <w:tc>
          <w:tcPr>
            <w:tcW w:w="4644" w:type="dxa"/>
          </w:tcPr>
          <w:p w14:paraId="61541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72F484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корабельный разведчик для линкоров</w:t>
            </w:r>
          </w:p>
        </w:tc>
      </w:tr>
      <w:tr w:rsidR="00DA227A" w:rsidRPr="00E93F40" w14:paraId="4A2077EA" w14:textId="77777777">
        <w:tc>
          <w:tcPr>
            <w:tcW w:w="4644" w:type="dxa"/>
          </w:tcPr>
          <w:p w14:paraId="63E833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DF99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крейсеров</w:t>
            </w:r>
          </w:p>
        </w:tc>
      </w:tr>
      <w:tr w:rsidR="00DA227A" w:rsidRPr="00E93F40" w14:paraId="40F767CD" w14:textId="77777777">
        <w:tc>
          <w:tcPr>
            <w:tcW w:w="4644" w:type="dxa"/>
          </w:tcPr>
          <w:p w14:paraId="5AA525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0C9B6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КР-2</w:t>
            </w:r>
          </w:p>
        </w:tc>
      </w:tr>
      <w:tr w:rsidR="00DA227A" w:rsidRPr="00E93F40" w14:paraId="788A0C84" w14:textId="77777777">
        <w:tc>
          <w:tcPr>
            <w:tcW w:w="4644" w:type="dxa"/>
          </w:tcPr>
          <w:p w14:paraId="6E55EF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71DE4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r>
      <w:tr w:rsidR="00DA227A" w:rsidRPr="00E93F40" w14:paraId="32591713" w14:textId="77777777">
        <w:tc>
          <w:tcPr>
            <w:tcW w:w="4644" w:type="dxa"/>
          </w:tcPr>
          <w:p w14:paraId="630F0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52EB92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899AB6" w14:textId="77777777">
        <w:tc>
          <w:tcPr>
            <w:tcW w:w="4644" w:type="dxa"/>
          </w:tcPr>
          <w:p w14:paraId="1ED71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3BDDBC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54DA5E8D" w14:textId="77777777">
        <w:tc>
          <w:tcPr>
            <w:tcW w:w="4644" w:type="dxa"/>
          </w:tcPr>
          <w:p w14:paraId="6E011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3B9EC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491965" w14:textId="77777777">
        <w:tc>
          <w:tcPr>
            <w:tcW w:w="4644" w:type="dxa"/>
          </w:tcPr>
          <w:p w14:paraId="586A2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7BA58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A98A27" w14:textId="77777777">
        <w:tc>
          <w:tcPr>
            <w:tcW w:w="4644" w:type="dxa"/>
          </w:tcPr>
          <w:p w14:paraId="47600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49C17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r>
      <w:tr w:rsidR="00DA227A" w:rsidRPr="00E93F40" w14:paraId="30B23EE2" w14:textId="77777777">
        <w:tc>
          <w:tcPr>
            <w:tcW w:w="4644" w:type="dxa"/>
          </w:tcPr>
          <w:p w14:paraId="0C25B2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Обеспечен. тактич. радиуса</w:t>
            </w:r>
          </w:p>
        </w:tc>
        <w:tc>
          <w:tcPr>
            <w:tcW w:w="5529" w:type="dxa"/>
          </w:tcPr>
          <w:p w14:paraId="1D49B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r>
      <w:tr w:rsidR="00DA227A" w:rsidRPr="00E93F40" w14:paraId="3678EB4E" w14:textId="77777777">
        <w:tc>
          <w:tcPr>
            <w:tcW w:w="4644" w:type="dxa"/>
          </w:tcPr>
          <w:p w14:paraId="41232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7C6E8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ED8B23" w14:textId="77777777">
        <w:tc>
          <w:tcPr>
            <w:tcW w:w="4644" w:type="dxa"/>
          </w:tcPr>
          <w:p w14:paraId="57E7D8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7459D2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6B14B2E2" w14:textId="77777777">
        <w:tc>
          <w:tcPr>
            <w:tcW w:w="4644" w:type="dxa"/>
          </w:tcPr>
          <w:p w14:paraId="17FF8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405DD7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r>
      <w:tr w:rsidR="00DA227A" w:rsidRPr="00E93F40" w14:paraId="7CF6BA77" w14:textId="77777777">
        <w:tc>
          <w:tcPr>
            <w:tcW w:w="4644" w:type="dxa"/>
          </w:tcPr>
          <w:p w14:paraId="141F8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19160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5115EC" w14:textId="77777777">
        <w:tc>
          <w:tcPr>
            <w:tcW w:w="4644" w:type="dxa"/>
          </w:tcPr>
          <w:p w14:paraId="205C5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12BCA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02324D" w14:textId="77777777">
        <w:tc>
          <w:tcPr>
            <w:tcW w:w="4644" w:type="dxa"/>
          </w:tcPr>
          <w:p w14:paraId="20C2EC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70F22F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5713B2" w14:textId="77777777">
        <w:tc>
          <w:tcPr>
            <w:tcW w:w="4644" w:type="dxa"/>
          </w:tcPr>
          <w:p w14:paraId="6D506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419A6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ADCEA5" w14:textId="77777777">
        <w:tc>
          <w:tcPr>
            <w:tcW w:w="4644" w:type="dxa"/>
          </w:tcPr>
          <w:p w14:paraId="139B6A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4C4EE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F85A6B" w14:textId="77777777">
        <w:tc>
          <w:tcPr>
            <w:tcW w:w="4644" w:type="dxa"/>
          </w:tcPr>
          <w:p w14:paraId="6BDD4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24251D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C04D40" w14:textId="77777777">
        <w:tc>
          <w:tcPr>
            <w:tcW w:w="4644" w:type="dxa"/>
          </w:tcPr>
          <w:p w14:paraId="58B183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2D051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99644C" w14:textId="77777777">
        <w:tc>
          <w:tcPr>
            <w:tcW w:w="4644" w:type="dxa"/>
          </w:tcPr>
          <w:p w14:paraId="67605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757FEC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321DE3" w14:textId="77777777">
        <w:tc>
          <w:tcPr>
            <w:tcW w:w="4644" w:type="dxa"/>
          </w:tcPr>
          <w:p w14:paraId="62A98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D240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Разрезные складные крылья.</w:t>
            </w:r>
          </w:p>
        </w:tc>
      </w:tr>
      <w:tr w:rsidR="00DA227A" w:rsidRPr="00E93F40" w14:paraId="132C73A4" w14:textId="77777777">
        <w:tc>
          <w:tcPr>
            <w:tcW w:w="4644" w:type="dxa"/>
          </w:tcPr>
          <w:p w14:paraId="3FB13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C96E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предназначается для</w:t>
            </w:r>
          </w:p>
        </w:tc>
      </w:tr>
      <w:tr w:rsidR="00DA227A" w:rsidRPr="00E93F40" w14:paraId="37D34D90" w14:textId="77777777">
        <w:tc>
          <w:tcPr>
            <w:tcW w:w="4644" w:type="dxa"/>
          </w:tcPr>
          <w:p w14:paraId="2B5D1D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E3B66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кораблей, находящихся в строю</w:t>
            </w:r>
          </w:p>
        </w:tc>
      </w:tr>
      <w:tr w:rsidR="00DA227A" w:rsidRPr="00E93F40" w14:paraId="25D590E2" w14:textId="77777777">
        <w:tc>
          <w:tcPr>
            <w:tcW w:w="4644" w:type="dxa"/>
          </w:tcPr>
          <w:p w14:paraId="40535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8E009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w:t>
            </w:r>
          </w:p>
        </w:tc>
      </w:tr>
      <w:tr w:rsidR="00DA227A" w:rsidRPr="00E93F40" w14:paraId="365189FD" w14:textId="77777777">
        <w:tc>
          <w:tcPr>
            <w:tcW w:w="4644" w:type="dxa"/>
          </w:tcPr>
          <w:p w14:paraId="0D23E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35667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для подлодок и</w:t>
            </w:r>
          </w:p>
        </w:tc>
      </w:tr>
      <w:tr w:rsidR="00DA227A" w:rsidRPr="00E93F40" w14:paraId="3563D22C" w14:textId="77777777">
        <w:tc>
          <w:tcPr>
            <w:tcW w:w="4644" w:type="dxa"/>
          </w:tcPr>
          <w:p w14:paraId="71277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16045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эскадренных миноносцев</w:t>
            </w:r>
          </w:p>
        </w:tc>
      </w:tr>
      <w:tr w:rsidR="00DA227A" w:rsidRPr="00E93F40" w14:paraId="5E8B3FBE" w14:textId="77777777">
        <w:tc>
          <w:tcPr>
            <w:tcW w:w="4644" w:type="dxa"/>
          </w:tcPr>
          <w:p w14:paraId="5182BB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1F4CC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СПЛ</w:t>
            </w:r>
          </w:p>
        </w:tc>
      </w:tr>
      <w:tr w:rsidR="00DA227A" w:rsidRPr="00E93F40" w14:paraId="7557EB5F" w14:textId="77777777">
        <w:tc>
          <w:tcPr>
            <w:tcW w:w="4644" w:type="dxa"/>
          </w:tcPr>
          <w:p w14:paraId="1F194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28984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r>
      <w:tr w:rsidR="00DA227A" w:rsidRPr="00E93F40" w14:paraId="4D1FCC17" w14:textId="77777777">
        <w:tc>
          <w:tcPr>
            <w:tcW w:w="4644" w:type="dxa"/>
          </w:tcPr>
          <w:p w14:paraId="48ED8E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5C734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05E219" w14:textId="77777777">
        <w:tc>
          <w:tcPr>
            <w:tcW w:w="4644" w:type="dxa"/>
          </w:tcPr>
          <w:p w14:paraId="57E55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15376A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r>
      <w:tr w:rsidR="00DA227A" w:rsidRPr="00E93F40" w14:paraId="6EEBFAF3" w14:textId="77777777">
        <w:tc>
          <w:tcPr>
            <w:tcW w:w="4644" w:type="dxa"/>
          </w:tcPr>
          <w:p w14:paraId="1EBF9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370FA9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A54D56" w14:textId="77777777">
        <w:tc>
          <w:tcPr>
            <w:tcW w:w="4644" w:type="dxa"/>
          </w:tcPr>
          <w:p w14:paraId="6E073E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26F88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2FBFD4" w14:textId="77777777">
        <w:tc>
          <w:tcPr>
            <w:tcW w:w="4644" w:type="dxa"/>
          </w:tcPr>
          <w:p w14:paraId="0B949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5D9C74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17B02533" w14:textId="77777777">
        <w:tc>
          <w:tcPr>
            <w:tcW w:w="4644" w:type="dxa"/>
          </w:tcPr>
          <w:p w14:paraId="00DEF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05E40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1761521B" w14:textId="77777777">
        <w:tc>
          <w:tcPr>
            <w:tcW w:w="4644" w:type="dxa"/>
          </w:tcPr>
          <w:p w14:paraId="5B8FE0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399B5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82AAB5" w14:textId="77777777">
        <w:tc>
          <w:tcPr>
            <w:tcW w:w="4644" w:type="dxa"/>
          </w:tcPr>
          <w:p w14:paraId="0B9791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50A859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071AC3" w14:textId="77777777">
        <w:tc>
          <w:tcPr>
            <w:tcW w:w="4644" w:type="dxa"/>
          </w:tcPr>
          <w:p w14:paraId="60DBD7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6CE018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 кг за счет перегр.</w:t>
            </w:r>
          </w:p>
        </w:tc>
      </w:tr>
      <w:tr w:rsidR="00DA227A" w:rsidRPr="00E93F40" w14:paraId="11F23DDF" w14:textId="77777777">
        <w:tc>
          <w:tcPr>
            <w:tcW w:w="4644" w:type="dxa"/>
          </w:tcPr>
          <w:p w14:paraId="679A9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2FACC4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A73A7D" w14:textId="77777777">
        <w:tc>
          <w:tcPr>
            <w:tcW w:w="4644" w:type="dxa"/>
          </w:tcPr>
          <w:p w14:paraId="153C4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456F8D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C8526E" w14:textId="77777777">
        <w:tc>
          <w:tcPr>
            <w:tcW w:w="4644" w:type="dxa"/>
          </w:tcPr>
          <w:p w14:paraId="217BB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226F9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08366C" w14:textId="77777777">
        <w:tc>
          <w:tcPr>
            <w:tcW w:w="4644" w:type="dxa"/>
          </w:tcPr>
          <w:p w14:paraId="790F1F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54384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0C8692" w14:textId="77777777">
        <w:tc>
          <w:tcPr>
            <w:tcW w:w="4644" w:type="dxa"/>
          </w:tcPr>
          <w:p w14:paraId="491C8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65A236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5DA578" w14:textId="77777777">
        <w:tc>
          <w:tcPr>
            <w:tcW w:w="4644" w:type="dxa"/>
          </w:tcPr>
          <w:p w14:paraId="4A936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130BD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D526A9" w14:textId="77777777">
        <w:tc>
          <w:tcPr>
            <w:tcW w:w="4644" w:type="dxa"/>
          </w:tcPr>
          <w:p w14:paraId="28A1B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5FAB5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2CCE25" w14:textId="77777777">
        <w:tc>
          <w:tcPr>
            <w:tcW w:w="4644" w:type="dxa"/>
          </w:tcPr>
          <w:p w14:paraId="6E390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1CC5A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E8DB25" w14:textId="77777777">
        <w:tc>
          <w:tcPr>
            <w:tcW w:w="4644" w:type="dxa"/>
          </w:tcPr>
          <w:p w14:paraId="5FED42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специального назначения</w:t>
            </w:r>
          </w:p>
        </w:tc>
        <w:tc>
          <w:tcPr>
            <w:tcW w:w="5529" w:type="dxa"/>
          </w:tcPr>
          <w:p w14:paraId="2C301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99A207" w14:textId="77777777">
        <w:tc>
          <w:tcPr>
            <w:tcW w:w="4644" w:type="dxa"/>
          </w:tcPr>
          <w:p w14:paraId="1C2BE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5B925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переходный для школ, он же</w:t>
            </w:r>
          </w:p>
        </w:tc>
      </w:tr>
      <w:tr w:rsidR="00DA227A" w:rsidRPr="00E93F40" w14:paraId="0DAA41F6" w14:textId="77777777">
        <w:tc>
          <w:tcPr>
            <w:tcW w:w="4644" w:type="dxa"/>
          </w:tcPr>
          <w:p w14:paraId="7BE9A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CFFD5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корпусной разведчик (сам-тик</w:t>
            </w:r>
          </w:p>
        </w:tc>
      </w:tr>
      <w:tr w:rsidR="00DA227A" w:rsidRPr="00E93F40" w14:paraId="6CF804A3" w14:textId="77777777">
        <w:tc>
          <w:tcPr>
            <w:tcW w:w="4644" w:type="dxa"/>
          </w:tcPr>
          <w:p w14:paraId="57B12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2E52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местной авиации)</w:t>
            </w:r>
          </w:p>
        </w:tc>
      </w:tr>
      <w:tr w:rsidR="00DA227A" w:rsidRPr="00E93F40" w14:paraId="774B518E" w14:textId="77777777">
        <w:tc>
          <w:tcPr>
            <w:tcW w:w="4644" w:type="dxa"/>
          </w:tcPr>
          <w:p w14:paraId="01D6CA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28343E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П3 М-52</w:t>
            </w:r>
          </w:p>
        </w:tc>
      </w:tr>
      <w:tr w:rsidR="00DA227A" w:rsidRPr="00E93F40" w14:paraId="2DCAA4EF" w14:textId="77777777">
        <w:tc>
          <w:tcPr>
            <w:tcW w:w="4644" w:type="dxa"/>
          </w:tcPr>
          <w:p w14:paraId="1F84B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296C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48686E92" w14:textId="77777777">
        <w:tc>
          <w:tcPr>
            <w:tcW w:w="4644" w:type="dxa"/>
          </w:tcPr>
          <w:p w14:paraId="52263E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203911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884A93" w14:textId="77777777">
        <w:tc>
          <w:tcPr>
            <w:tcW w:w="4644" w:type="dxa"/>
          </w:tcPr>
          <w:p w14:paraId="6966A4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21C22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0B57D1BF" w14:textId="77777777">
        <w:tc>
          <w:tcPr>
            <w:tcW w:w="4644" w:type="dxa"/>
          </w:tcPr>
          <w:p w14:paraId="54A1C6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5D4A6D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36BD49" w14:textId="77777777">
        <w:tc>
          <w:tcPr>
            <w:tcW w:w="4644" w:type="dxa"/>
          </w:tcPr>
          <w:p w14:paraId="43164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4857AA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085D86" w14:textId="77777777">
        <w:tc>
          <w:tcPr>
            <w:tcW w:w="4644" w:type="dxa"/>
          </w:tcPr>
          <w:p w14:paraId="5D088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2A270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0B56BF46" w14:textId="77777777">
        <w:tc>
          <w:tcPr>
            <w:tcW w:w="4644" w:type="dxa"/>
          </w:tcPr>
          <w:p w14:paraId="56F89E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1AF385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7E5D8AE9" w14:textId="77777777">
        <w:tc>
          <w:tcPr>
            <w:tcW w:w="4644" w:type="dxa"/>
          </w:tcPr>
          <w:p w14:paraId="19F4A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59A3DC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281396" w14:textId="77777777">
        <w:tc>
          <w:tcPr>
            <w:tcW w:w="4644" w:type="dxa"/>
          </w:tcPr>
          <w:p w14:paraId="65A711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55540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4E2731" w14:textId="77777777">
        <w:tc>
          <w:tcPr>
            <w:tcW w:w="4644" w:type="dxa"/>
          </w:tcPr>
          <w:p w14:paraId="60842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47D46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84B290" w14:textId="77777777">
        <w:tc>
          <w:tcPr>
            <w:tcW w:w="4644" w:type="dxa"/>
          </w:tcPr>
          <w:p w14:paraId="40426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4DD76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73DA12" w14:textId="77777777">
        <w:tc>
          <w:tcPr>
            <w:tcW w:w="4644" w:type="dxa"/>
          </w:tcPr>
          <w:p w14:paraId="0CC32B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366DC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13E8C9" w14:textId="77777777">
        <w:tc>
          <w:tcPr>
            <w:tcW w:w="4644" w:type="dxa"/>
          </w:tcPr>
          <w:p w14:paraId="1681A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060D73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064062" w14:textId="77777777">
        <w:tc>
          <w:tcPr>
            <w:tcW w:w="4644" w:type="dxa"/>
          </w:tcPr>
          <w:p w14:paraId="0FD63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28D0D1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211C38" w14:textId="77777777">
        <w:tc>
          <w:tcPr>
            <w:tcW w:w="4644" w:type="dxa"/>
          </w:tcPr>
          <w:p w14:paraId="00E0F3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50E39D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D67F53" w14:textId="77777777">
        <w:tc>
          <w:tcPr>
            <w:tcW w:w="4644" w:type="dxa"/>
          </w:tcPr>
          <w:p w14:paraId="5C447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490BE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C0EC02" w14:textId="77777777">
        <w:tc>
          <w:tcPr>
            <w:tcW w:w="4644" w:type="dxa"/>
          </w:tcPr>
          <w:p w14:paraId="64DF8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6F8F6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w:t>
            </w:r>
          </w:p>
        </w:tc>
      </w:tr>
      <w:tr w:rsidR="00DA227A" w:rsidRPr="00E93F40" w14:paraId="6CE90701" w14:textId="77777777">
        <w:tc>
          <w:tcPr>
            <w:tcW w:w="4644" w:type="dxa"/>
          </w:tcPr>
          <w:p w14:paraId="062AE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375C5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2B8DD1" w14:textId="77777777">
        <w:tc>
          <w:tcPr>
            <w:tcW w:w="4644" w:type="dxa"/>
          </w:tcPr>
          <w:p w14:paraId="42BEA4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6B21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 1932-34 г.г.</w:t>
            </w:r>
          </w:p>
        </w:tc>
      </w:tr>
      <w:tr w:rsidR="00DA227A" w:rsidRPr="00E93F40" w14:paraId="3268408B" w14:textId="77777777">
        <w:tc>
          <w:tcPr>
            <w:tcW w:w="4644" w:type="dxa"/>
          </w:tcPr>
          <w:p w14:paraId="59EC5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5B785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учебный самолет, он же связи</w:t>
            </w:r>
          </w:p>
        </w:tc>
      </w:tr>
      <w:tr w:rsidR="00DA227A" w:rsidRPr="00E93F40" w14:paraId="5618403F" w14:textId="77777777">
        <w:tc>
          <w:tcPr>
            <w:tcW w:w="4644" w:type="dxa"/>
          </w:tcPr>
          <w:p w14:paraId="6480D9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E336E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сопровождения (для туризма,</w:t>
            </w:r>
          </w:p>
        </w:tc>
      </w:tr>
      <w:tr w:rsidR="00DA227A" w:rsidRPr="00E93F40" w14:paraId="37266950" w14:textId="77777777">
        <w:tc>
          <w:tcPr>
            <w:tcW w:w="4644" w:type="dxa"/>
          </w:tcPr>
          <w:p w14:paraId="7B658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1B5D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спорта, легкий санит., местной</w:t>
            </w:r>
          </w:p>
        </w:tc>
      </w:tr>
      <w:tr w:rsidR="00DA227A" w:rsidRPr="00E93F40" w14:paraId="41194268" w14:textId="77777777">
        <w:tc>
          <w:tcPr>
            <w:tcW w:w="4644" w:type="dxa"/>
          </w:tcPr>
          <w:p w14:paraId="57A30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3E5C7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авиации)</w:t>
            </w:r>
          </w:p>
        </w:tc>
      </w:tr>
      <w:tr w:rsidR="00DA227A" w:rsidRPr="00E93F40" w14:paraId="657816C2" w14:textId="77777777">
        <w:tc>
          <w:tcPr>
            <w:tcW w:w="4644" w:type="dxa"/>
          </w:tcPr>
          <w:p w14:paraId="011562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2C5F7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 М-48</w:t>
            </w:r>
          </w:p>
        </w:tc>
      </w:tr>
      <w:tr w:rsidR="00DA227A" w:rsidRPr="00E93F40" w14:paraId="4FB309CE" w14:textId="77777777">
        <w:tc>
          <w:tcPr>
            <w:tcW w:w="4644" w:type="dxa"/>
          </w:tcPr>
          <w:p w14:paraId="4B0DEA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6FF2C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6528A38D" w14:textId="77777777">
        <w:tc>
          <w:tcPr>
            <w:tcW w:w="4644" w:type="dxa"/>
          </w:tcPr>
          <w:p w14:paraId="228C05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70B4D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DBEC83" w14:textId="77777777">
        <w:tc>
          <w:tcPr>
            <w:tcW w:w="4644" w:type="dxa"/>
          </w:tcPr>
          <w:p w14:paraId="63174C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0FE7B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r>
      <w:tr w:rsidR="00DA227A" w:rsidRPr="00E93F40" w14:paraId="67AE1895" w14:textId="77777777">
        <w:tc>
          <w:tcPr>
            <w:tcW w:w="4644" w:type="dxa"/>
          </w:tcPr>
          <w:p w14:paraId="7E0D3E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5D141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DEAA0B8" w14:textId="77777777">
        <w:tc>
          <w:tcPr>
            <w:tcW w:w="4644" w:type="dxa"/>
          </w:tcPr>
          <w:p w14:paraId="1CF20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0B5D1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BE14EA" w14:textId="77777777">
        <w:tc>
          <w:tcPr>
            <w:tcW w:w="4644" w:type="dxa"/>
          </w:tcPr>
          <w:p w14:paraId="7D2477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7AFA0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1F487C43" w14:textId="77777777">
        <w:tc>
          <w:tcPr>
            <w:tcW w:w="4644" w:type="dxa"/>
          </w:tcPr>
          <w:p w14:paraId="48353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3CC2F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r>
      <w:tr w:rsidR="00DA227A" w:rsidRPr="00E93F40" w14:paraId="689F23EC" w14:textId="77777777">
        <w:tc>
          <w:tcPr>
            <w:tcW w:w="4644" w:type="dxa"/>
          </w:tcPr>
          <w:p w14:paraId="3AD3C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69A48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E83904" w14:textId="77777777">
        <w:tc>
          <w:tcPr>
            <w:tcW w:w="4644" w:type="dxa"/>
          </w:tcPr>
          <w:p w14:paraId="3C31FF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65187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6678C12" w14:textId="77777777">
        <w:tc>
          <w:tcPr>
            <w:tcW w:w="4644" w:type="dxa"/>
          </w:tcPr>
          <w:p w14:paraId="68E04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7F6FFD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336A083" w14:textId="77777777">
        <w:tc>
          <w:tcPr>
            <w:tcW w:w="4644" w:type="dxa"/>
          </w:tcPr>
          <w:p w14:paraId="4D753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255E7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C3EBB0" w14:textId="77777777">
        <w:tc>
          <w:tcPr>
            <w:tcW w:w="4644" w:type="dxa"/>
          </w:tcPr>
          <w:p w14:paraId="51B892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30CE0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0D5C38" w14:textId="77777777">
        <w:tc>
          <w:tcPr>
            <w:tcW w:w="4644" w:type="dxa"/>
          </w:tcPr>
          <w:p w14:paraId="5635A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Экипаж</w:t>
            </w:r>
          </w:p>
        </w:tc>
        <w:tc>
          <w:tcPr>
            <w:tcW w:w="5529" w:type="dxa"/>
          </w:tcPr>
          <w:p w14:paraId="640CF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85C2D7" w14:textId="77777777">
        <w:tc>
          <w:tcPr>
            <w:tcW w:w="4644" w:type="dxa"/>
          </w:tcPr>
          <w:p w14:paraId="5897AC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4DD01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126F3A" w14:textId="77777777">
        <w:tc>
          <w:tcPr>
            <w:tcW w:w="4644" w:type="dxa"/>
          </w:tcPr>
          <w:p w14:paraId="7D908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2D9D7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B814E8" w14:textId="77777777">
        <w:tc>
          <w:tcPr>
            <w:tcW w:w="4644" w:type="dxa"/>
          </w:tcPr>
          <w:p w14:paraId="3A41B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06E05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5028DF" w14:textId="77777777">
        <w:tc>
          <w:tcPr>
            <w:tcW w:w="4644" w:type="dxa"/>
          </w:tcPr>
          <w:p w14:paraId="7906EE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19E97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w:t>
            </w:r>
          </w:p>
        </w:tc>
      </w:tr>
      <w:tr w:rsidR="00DA227A" w:rsidRPr="00E93F40" w14:paraId="4D5E8137" w14:textId="77777777">
        <w:tc>
          <w:tcPr>
            <w:tcW w:w="4644" w:type="dxa"/>
          </w:tcPr>
          <w:p w14:paraId="773CB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7060D1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BBFBF9" w14:textId="77777777">
        <w:tc>
          <w:tcPr>
            <w:tcW w:w="4644" w:type="dxa"/>
          </w:tcPr>
          <w:p w14:paraId="3D8FF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 самолеты не входящие в систему вооружения</w:t>
            </w:r>
          </w:p>
        </w:tc>
        <w:tc>
          <w:tcPr>
            <w:tcW w:w="5529" w:type="dxa"/>
          </w:tcPr>
          <w:p w14:paraId="56AA2E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5B4D9B" w14:textId="77777777">
        <w:tc>
          <w:tcPr>
            <w:tcW w:w="4644" w:type="dxa"/>
          </w:tcPr>
          <w:p w14:paraId="1BBE7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7459FD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w:t>
            </w:r>
          </w:p>
        </w:tc>
      </w:tr>
      <w:tr w:rsidR="00DA227A" w:rsidRPr="00E93F40" w14:paraId="766D20E5" w14:textId="77777777">
        <w:tc>
          <w:tcPr>
            <w:tcW w:w="4644" w:type="dxa"/>
          </w:tcPr>
          <w:p w14:paraId="38BD1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82CB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(пушечный)</w:t>
            </w:r>
          </w:p>
        </w:tc>
      </w:tr>
      <w:tr w:rsidR="00DA227A" w:rsidRPr="00E93F40" w14:paraId="41708911" w14:textId="77777777">
        <w:tc>
          <w:tcPr>
            <w:tcW w:w="4644" w:type="dxa"/>
          </w:tcPr>
          <w:p w14:paraId="5393F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6E5B58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ДИП-1 М-34</w:t>
            </w:r>
          </w:p>
        </w:tc>
      </w:tr>
      <w:tr w:rsidR="00DA227A" w:rsidRPr="00E93F40" w14:paraId="58C26C35" w14:textId="77777777">
        <w:tc>
          <w:tcPr>
            <w:tcW w:w="4644" w:type="dxa"/>
          </w:tcPr>
          <w:p w14:paraId="15473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68387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3942AB9E" w14:textId="77777777">
        <w:tc>
          <w:tcPr>
            <w:tcW w:w="4644" w:type="dxa"/>
          </w:tcPr>
          <w:p w14:paraId="35BE15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584DB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E6972B" w14:textId="77777777">
        <w:tc>
          <w:tcPr>
            <w:tcW w:w="4644" w:type="dxa"/>
          </w:tcPr>
          <w:p w14:paraId="4DBE96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23951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w:t>
            </w:r>
          </w:p>
        </w:tc>
      </w:tr>
      <w:tr w:rsidR="00DA227A" w:rsidRPr="00E93F40" w14:paraId="4DEAB993" w14:textId="77777777">
        <w:tc>
          <w:tcPr>
            <w:tcW w:w="4644" w:type="dxa"/>
          </w:tcPr>
          <w:p w14:paraId="6B421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1888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0E0042" w14:textId="77777777">
        <w:tc>
          <w:tcPr>
            <w:tcW w:w="4644" w:type="dxa"/>
          </w:tcPr>
          <w:p w14:paraId="40DE1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228C7F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10-12</w:t>
            </w:r>
          </w:p>
        </w:tc>
      </w:tr>
      <w:tr w:rsidR="00DA227A" w:rsidRPr="00E93F40" w14:paraId="3642EE6E" w14:textId="77777777">
        <w:tc>
          <w:tcPr>
            <w:tcW w:w="4644" w:type="dxa"/>
          </w:tcPr>
          <w:p w14:paraId="4B2CA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0A533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36F2A65C" w14:textId="77777777">
        <w:tc>
          <w:tcPr>
            <w:tcW w:w="4644" w:type="dxa"/>
          </w:tcPr>
          <w:p w14:paraId="40C1C5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64D41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259DCB17" w14:textId="77777777">
        <w:tc>
          <w:tcPr>
            <w:tcW w:w="4644" w:type="dxa"/>
          </w:tcPr>
          <w:p w14:paraId="15E4E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0AA98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D7E41E" w14:textId="77777777">
        <w:tc>
          <w:tcPr>
            <w:tcW w:w="4644" w:type="dxa"/>
          </w:tcPr>
          <w:p w14:paraId="3184F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54737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37E8683C" w14:textId="77777777">
        <w:tc>
          <w:tcPr>
            <w:tcW w:w="4644" w:type="dxa"/>
          </w:tcPr>
          <w:p w14:paraId="31574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7BA65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2EF89359" w14:textId="77777777">
        <w:tc>
          <w:tcPr>
            <w:tcW w:w="4644" w:type="dxa"/>
          </w:tcPr>
          <w:p w14:paraId="69F38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3FBC1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71E7DD" w14:textId="77777777">
        <w:tc>
          <w:tcPr>
            <w:tcW w:w="4644" w:type="dxa"/>
          </w:tcPr>
          <w:p w14:paraId="11398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6697C5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559F3A" w14:textId="77777777">
        <w:tc>
          <w:tcPr>
            <w:tcW w:w="4644" w:type="dxa"/>
          </w:tcPr>
          <w:p w14:paraId="17D8EC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77F84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4D11BB" w14:textId="77777777">
        <w:tc>
          <w:tcPr>
            <w:tcW w:w="4644" w:type="dxa"/>
          </w:tcPr>
          <w:p w14:paraId="11CA2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12F47C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53F8FC" w14:textId="77777777">
        <w:tc>
          <w:tcPr>
            <w:tcW w:w="4644" w:type="dxa"/>
          </w:tcPr>
          <w:p w14:paraId="4FAE1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6529A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2772BF" w14:textId="77777777">
        <w:tc>
          <w:tcPr>
            <w:tcW w:w="4644" w:type="dxa"/>
          </w:tcPr>
          <w:p w14:paraId="75839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55854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5E7EE8" w14:textId="77777777">
        <w:tc>
          <w:tcPr>
            <w:tcW w:w="4644" w:type="dxa"/>
          </w:tcPr>
          <w:p w14:paraId="626A0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17FEE3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1933 года</w:t>
            </w:r>
          </w:p>
        </w:tc>
      </w:tr>
      <w:tr w:rsidR="00DA227A" w:rsidRPr="00E93F40" w14:paraId="15E825DE" w14:textId="77777777">
        <w:tc>
          <w:tcPr>
            <w:tcW w:w="4644" w:type="dxa"/>
          </w:tcPr>
          <w:p w14:paraId="4C375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01CFA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972287" w14:textId="77777777">
        <w:tc>
          <w:tcPr>
            <w:tcW w:w="4644" w:type="dxa"/>
          </w:tcPr>
          <w:p w14:paraId="060160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7DCF0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w:t>
            </w:r>
          </w:p>
        </w:tc>
      </w:tr>
      <w:tr w:rsidR="00DA227A" w:rsidRPr="00E93F40" w14:paraId="3270D820" w14:textId="77777777">
        <w:tc>
          <w:tcPr>
            <w:tcW w:w="4644" w:type="dxa"/>
          </w:tcPr>
          <w:p w14:paraId="63145D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F484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пушечный особой схемы</w:t>
            </w:r>
          </w:p>
        </w:tc>
      </w:tr>
      <w:tr w:rsidR="00DA227A" w:rsidRPr="00E93F40" w14:paraId="1A0AE650" w14:textId="77777777">
        <w:tc>
          <w:tcPr>
            <w:tcW w:w="4644" w:type="dxa"/>
          </w:tcPr>
          <w:p w14:paraId="2E2006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1D9938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ДИП-2 М-34</w:t>
            </w:r>
          </w:p>
        </w:tc>
      </w:tr>
      <w:tr w:rsidR="00DA227A" w:rsidRPr="00E93F40" w14:paraId="70615844" w14:textId="77777777">
        <w:tc>
          <w:tcPr>
            <w:tcW w:w="4644" w:type="dxa"/>
          </w:tcPr>
          <w:p w14:paraId="2F3257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39619A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17A348E2" w14:textId="77777777">
        <w:tc>
          <w:tcPr>
            <w:tcW w:w="4644" w:type="dxa"/>
          </w:tcPr>
          <w:p w14:paraId="618428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261F3E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4B9F9E" w14:textId="77777777">
        <w:tc>
          <w:tcPr>
            <w:tcW w:w="4644" w:type="dxa"/>
          </w:tcPr>
          <w:p w14:paraId="6E2FC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3AA6D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r>
      <w:tr w:rsidR="00DA227A" w:rsidRPr="00E93F40" w14:paraId="1316B262" w14:textId="77777777">
        <w:tc>
          <w:tcPr>
            <w:tcW w:w="4644" w:type="dxa"/>
          </w:tcPr>
          <w:p w14:paraId="49374C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980F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E89593" w14:textId="77777777">
        <w:tc>
          <w:tcPr>
            <w:tcW w:w="4644" w:type="dxa"/>
          </w:tcPr>
          <w:p w14:paraId="68C60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10F08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мин.</w:t>
            </w:r>
          </w:p>
        </w:tc>
      </w:tr>
      <w:tr w:rsidR="00DA227A" w:rsidRPr="00E93F40" w14:paraId="45E8C085" w14:textId="77777777">
        <w:tc>
          <w:tcPr>
            <w:tcW w:w="4644" w:type="dxa"/>
          </w:tcPr>
          <w:p w14:paraId="53BF1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65C808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DA227A" w:rsidRPr="00E93F40" w14:paraId="6595DE00" w14:textId="77777777">
        <w:tc>
          <w:tcPr>
            <w:tcW w:w="4644" w:type="dxa"/>
          </w:tcPr>
          <w:p w14:paraId="0D2E8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4E386C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0629F33F" w14:textId="77777777">
        <w:tc>
          <w:tcPr>
            <w:tcW w:w="4644" w:type="dxa"/>
          </w:tcPr>
          <w:p w14:paraId="417297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6428A4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348694" w14:textId="77777777">
        <w:tc>
          <w:tcPr>
            <w:tcW w:w="4644" w:type="dxa"/>
          </w:tcPr>
          <w:p w14:paraId="126562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56872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27F854F5" w14:textId="77777777">
        <w:tc>
          <w:tcPr>
            <w:tcW w:w="4644" w:type="dxa"/>
          </w:tcPr>
          <w:p w14:paraId="491BA4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4491C9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A6A15E" w14:textId="77777777">
        <w:tc>
          <w:tcPr>
            <w:tcW w:w="4644" w:type="dxa"/>
          </w:tcPr>
          <w:p w14:paraId="7CE00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38C95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8A99610" w14:textId="77777777">
        <w:tc>
          <w:tcPr>
            <w:tcW w:w="4644" w:type="dxa"/>
          </w:tcPr>
          <w:p w14:paraId="798951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241946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AD9E35" w14:textId="77777777">
        <w:tc>
          <w:tcPr>
            <w:tcW w:w="4644" w:type="dxa"/>
          </w:tcPr>
          <w:p w14:paraId="1CEEC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0FF6C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8777AAC" w14:textId="77777777">
        <w:tc>
          <w:tcPr>
            <w:tcW w:w="4644" w:type="dxa"/>
          </w:tcPr>
          <w:p w14:paraId="649B1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2DA39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F82B99" w14:textId="77777777">
        <w:tc>
          <w:tcPr>
            <w:tcW w:w="4644" w:type="dxa"/>
          </w:tcPr>
          <w:p w14:paraId="1AAA19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0AA188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3F7E86" w14:textId="77777777">
        <w:tc>
          <w:tcPr>
            <w:tcW w:w="4644" w:type="dxa"/>
          </w:tcPr>
          <w:p w14:paraId="58AD7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12A32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C6DC1A" w14:textId="77777777">
        <w:tc>
          <w:tcPr>
            <w:tcW w:w="4644" w:type="dxa"/>
          </w:tcPr>
          <w:p w14:paraId="56E5A2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42A4C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B6124A" w14:textId="77777777">
        <w:tc>
          <w:tcPr>
            <w:tcW w:w="4644" w:type="dxa"/>
          </w:tcPr>
          <w:p w14:paraId="78F6B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2C57A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B6FBFC" w14:textId="77777777">
        <w:tc>
          <w:tcPr>
            <w:tcW w:w="4644" w:type="dxa"/>
          </w:tcPr>
          <w:p w14:paraId="18E87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28D00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разрезными крыльями</w:t>
            </w:r>
          </w:p>
        </w:tc>
      </w:tr>
      <w:tr w:rsidR="00DA227A" w:rsidRPr="00E93F40" w14:paraId="211842DB" w14:textId="77777777">
        <w:tc>
          <w:tcPr>
            <w:tcW w:w="4644" w:type="dxa"/>
          </w:tcPr>
          <w:p w14:paraId="39EDC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723CC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 бис М-48</w:t>
            </w:r>
          </w:p>
        </w:tc>
      </w:tr>
      <w:tr w:rsidR="00DA227A" w:rsidRPr="00E93F40" w14:paraId="09FEBF0B" w14:textId="77777777">
        <w:tc>
          <w:tcPr>
            <w:tcW w:w="4644" w:type="dxa"/>
          </w:tcPr>
          <w:p w14:paraId="3AC987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606E7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4372034C" w14:textId="77777777">
        <w:tc>
          <w:tcPr>
            <w:tcW w:w="4644" w:type="dxa"/>
          </w:tcPr>
          <w:p w14:paraId="0CF3B6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7CB4E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E62D3A" w14:textId="77777777">
        <w:tc>
          <w:tcPr>
            <w:tcW w:w="4644" w:type="dxa"/>
          </w:tcPr>
          <w:p w14:paraId="07F552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696515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r>
      <w:tr w:rsidR="00DA227A" w:rsidRPr="00E93F40" w14:paraId="137A4618" w14:textId="77777777">
        <w:tc>
          <w:tcPr>
            <w:tcW w:w="4644" w:type="dxa"/>
          </w:tcPr>
          <w:p w14:paraId="4A61F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2AE0F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D67C66A" w14:textId="77777777">
        <w:tc>
          <w:tcPr>
            <w:tcW w:w="4644" w:type="dxa"/>
          </w:tcPr>
          <w:p w14:paraId="54DFB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24E8AD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A77C16" w14:textId="77777777">
        <w:tc>
          <w:tcPr>
            <w:tcW w:w="4644" w:type="dxa"/>
          </w:tcPr>
          <w:p w14:paraId="61337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0F165A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6B1EACDF" w14:textId="77777777">
        <w:tc>
          <w:tcPr>
            <w:tcW w:w="4644" w:type="dxa"/>
          </w:tcPr>
          <w:p w14:paraId="1F504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65FE6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r>
      <w:tr w:rsidR="00DA227A" w:rsidRPr="00E93F40" w14:paraId="2C67F6C1" w14:textId="77777777">
        <w:tc>
          <w:tcPr>
            <w:tcW w:w="4644" w:type="dxa"/>
          </w:tcPr>
          <w:p w14:paraId="12DAD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70F970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7089B4" w14:textId="77777777">
        <w:tc>
          <w:tcPr>
            <w:tcW w:w="4644" w:type="dxa"/>
          </w:tcPr>
          <w:p w14:paraId="2B722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55081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AA9C66" w14:textId="77777777">
        <w:tc>
          <w:tcPr>
            <w:tcW w:w="4644" w:type="dxa"/>
          </w:tcPr>
          <w:p w14:paraId="225F92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47884A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CB9DA5" w14:textId="77777777">
        <w:tc>
          <w:tcPr>
            <w:tcW w:w="4644" w:type="dxa"/>
          </w:tcPr>
          <w:p w14:paraId="763EC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62603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E6F6B2" w14:textId="77777777">
        <w:tc>
          <w:tcPr>
            <w:tcW w:w="4644" w:type="dxa"/>
          </w:tcPr>
          <w:p w14:paraId="3E6B8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3EAA36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30F215" w14:textId="77777777">
        <w:tc>
          <w:tcPr>
            <w:tcW w:w="4644" w:type="dxa"/>
          </w:tcPr>
          <w:p w14:paraId="1192C9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4755A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A131BC" w14:textId="77777777">
        <w:tc>
          <w:tcPr>
            <w:tcW w:w="4644" w:type="dxa"/>
          </w:tcPr>
          <w:p w14:paraId="3CC3F1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44254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E2C187" w14:textId="77777777">
        <w:tc>
          <w:tcPr>
            <w:tcW w:w="4644" w:type="dxa"/>
          </w:tcPr>
          <w:p w14:paraId="16FDF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27344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F7480C" w14:textId="77777777">
        <w:tc>
          <w:tcPr>
            <w:tcW w:w="4644" w:type="dxa"/>
          </w:tcPr>
          <w:p w14:paraId="08272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60F9B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C51E8C" w14:textId="77777777">
        <w:tc>
          <w:tcPr>
            <w:tcW w:w="4644" w:type="dxa"/>
          </w:tcPr>
          <w:p w14:paraId="5A93D5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74853E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1AE662" w14:textId="77777777">
        <w:tc>
          <w:tcPr>
            <w:tcW w:w="4644" w:type="dxa"/>
          </w:tcPr>
          <w:p w14:paraId="4331AF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64308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D91862" w14:textId="77777777">
        <w:tc>
          <w:tcPr>
            <w:tcW w:w="4644" w:type="dxa"/>
          </w:tcPr>
          <w:p w14:paraId="6404F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E30E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и постановку ведет</w:t>
            </w:r>
          </w:p>
        </w:tc>
      </w:tr>
      <w:tr w:rsidR="00DA227A" w:rsidRPr="00E93F40" w14:paraId="56182884" w14:textId="77777777">
        <w:tc>
          <w:tcPr>
            <w:tcW w:w="4644" w:type="dxa"/>
          </w:tcPr>
          <w:p w14:paraId="14891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B311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ВТУЗ ГУГВФ</w:t>
            </w:r>
          </w:p>
        </w:tc>
      </w:tr>
      <w:tr w:rsidR="00DA227A" w:rsidRPr="00E93F40" w14:paraId="653A71CA" w14:textId="77777777">
        <w:tc>
          <w:tcPr>
            <w:tcW w:w="4644" w:type="dxa"/>
          </w:tcPr>
          <w:p w14:paraId="77D72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1442E4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Таран</w:t>
            </w:r>
          </w:p>
        </w:tc>
      </w:tr>
      <w:tr w:rsidR="00DA227A" w:rsidRPr="00E93F40" w14:paraId="4FA1113F" w14:textId="77777777">
        <w:tc>
          <w:tcPr>
            <w:tcW w:w="4644" w:type="dxa"/>
          </w:tcPr>
          <w:p w14:paraId="0E2C41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52E25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ТА-1</w:t>
            </w:r>
          </w:p>
        </w:tc>
      </w:tr>
      <w:tr w:rsidR="00DA227A" w:rsidRPr="00E93F40" w14:paraId="1F1DC413" w14:textId="77777777">
        <w:tc>
          <w:tcPr>
            <w:tcW w:w="4644" w:type="dxa"/>
          </w:tcPr>
          <w:p w14:paraId="711F8A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6220CB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3AB1ECA8" w14:textId="77777777">
        <w:tc>
          <w:tcPr>
            <w:tcW w:w="4644" w:type="dxa"/>
          </w:tcPr>
          <w:p w14:paraId="53F7D5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65D51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934CF5" w14:textId="77777777">
        <w:tc>
          <w:tcPr>
            <w:tcW w:w="4644" w:type="dxa"/>
          </w:tcPr>
          <w:p w14:paraId="56D0A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1EF0D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380B3968" w14:textId="77777777">
        <w:tc>
          <w:tcPr>
            <w:tcW w:w="4644" w:type="dxa"/>
          </w:tcPr>
          <w:p w14:paraId="65FC0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11B3C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62AE6E" w14:textId="77777777">
        <w:tc>
          <w:tcPr>
            <w:tcW w:w="4644" w:type="dxa"/>
          </w:tcPr>
          <w:p w14:paraId="21A61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применен.</w:t>
            </w:r>
          </w:p>
        </w:tc>
        <w:tc>
          <w:tcPr>
            <w:tcW w:w="5529" w:type="dxa"/>
          </w:tcPr>
          <w:p w14:paraId="7C060E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мин.</w:t>
            </w:r>
          </w:p>
        </w:tc>
      </w:tr>
      <w:tr w:rsidR="00DA227A" w:rsidRPr="00E93F40" w14:paraId="67B2B340" w14:textId="77777777">
        <w:tc>
          <w:tcPr>
            <w:tcW w:w="4644" w:type="dxa"/>
          </w:tcPr>
          <w:p w14:paraId="57CA69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0B4EC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r>
      <w:tr w:rsidR="00DA227A" w:rsidRPr="00E93F40" w14:paraId="2051CC15" w14:textId="77777777">
        <w:tc>
          <w:tcPr>
            <w:tcW w:w="4644" w:type="dxa"/>
          </w:tcPr>
          <w:p w14:paraId="4D938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2F13A9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A0EBBB" w14:textId="77777777">
        <w:tc>
          <w:tcPr>
            <w:tcW w:w="4644" w:type="dxa"/>
          </w:tcPr>
          <w:p w14:paraId="7D0EF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428496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BF9B63" w14:textId="77777777">
        <w:tc>
          <w:tcPr>
            <w:tcW w:w="4644" w:type="dxa"/>
          </w:tcPr>
          <w:p w14:paraId="7F804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777912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880B62" w14:textId="77777777">
        <w:tc>
          <w:tcPr>
            <w:tcW w:w="4644" w:type="dxa"/>
          </w:tcPr>
          <w:p w14:paraId="23B92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10BCB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B7B1EE" w14:textId="77777777">
        <w:tc>
          <w:tcPr>
            <w:tcW w:w="4644" w:type="dxa"/>
          </w:tcPr>
          <w:p w14:paraId="282975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59958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F2EB02" w14:textId="77777777">
        <w:tc>
          <w:tcPr>
            <w:tcW w:w="4644" w:type="dxa"/>
          </w:tcPr>
          <w:p w14:paraId="1A31DB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05AFD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D98209" w14:textId="77777777">
        <w:tc>
          <w:tcPr>
            <w:tcW w:w="4644" w:type="dxa"/>
          </w:tcPr>
          <w:p w14:paraId="132E8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7AA45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8D5F41" w14:textId="77777777">
        <w:tc>
          <w:tcPr>
            <w:tcW w:w="4644" w:type="dxa"/>
          </w:tcPr>
          <w:p w14:paraId="495E5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442578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7959B0" w14:textId="77777777">
        <w:tc>
          <w:tcPr>
            <w:tcW w:w="4644" w:type="dxa"/>
          </w:tcPr>
          <w:p w14:paraId="068C3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4B5D9D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D29909" w14:textId="77777777">
        <w:tc>
          <w:tcPr>
            <w:tcW w:w="4644" w:type="dxa"/>
          </w:tcPr>
          <w:p w14:paraId="0772A2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53D8D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C7CC5A" w14:textId="77777777">
        <w:tc>
          <w:tcPr>
            <w:tcW w:w="4644" w:type="dxa"/>
          </w:tcPr>
          <w:p w14:paraId="6A45D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13CCB8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443DCC" w14:textId="77777777">
        <w:tc>
          <w:tcPr>
            <w:tcW w:w="4644" w:type="dxa"/>
          </w:tcPr>
          <w:p w14:paraId="1EF752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112EFA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4CC981" w14:textId="77777777">
        <w:tc>
          <w:tcPr>
            <w:tcW w:w="4644" w:type="dxa"/>
          </w:tcPr>
          <w:p w14:paraId="1F03A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6AA93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 самолет, он же</w:t>
            </w:r>
          </w:p>
        </w:tc>
      </w:tr>
      <w:tr w:rsidR="00DA227A" w:rsidRPr="00E93F40" w14:paraId="3F14AA2D" w14:textId="77777777">
        <w:tc>
          <w:tcPr>
            <w:tcW w:w="4644" w:type="dxa"/>
          </w:tcPr>
          <w:p w14:paraId="11DB4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41E7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на высоту</w:t>
            </w:r>
          </w:p>
        </w:tc>
      </w:tr>
      <w:tr w:rsidR="00DA227A" w:rsidRPr="00E93F40" w14:paraId="508024FF" w14:textId="77777777">
        <w:tc>
          <w:tcPr>
            <w:tcW w:w="4644" w:type="dxa"/>
          </w:tcPr>
          <w:p w14:paraId="16D15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5529" w:type="dxa"/>
          </w:tcPr>
          <w:p w14:paraId="787235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B511B6" w14:textId="77777777">
        <w:tc>
          <w:tcPr>
            <w:tcW w:w="4644" w:type="dxa"/>
          </w:tcPr>
          <w:p w14:paraId="5F183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p>
        </w:tc>
        <w:tc>
          <w:tcPr>
            <w:tcW w:w="5529" w:type="dxa"/>
          </w:tcPr>
          <w:p w14:paraId="4007C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10000-12000</w:t>
            </w:r>
          </w:p>
        </w:tc>
      </w:tr>
      <w:tr w:rsidR="00DA227A" w:rsidRPr="00E93F40" w14:paraId="7D6FA853" w14:textId="77777777">
        <w:tc>
          <w:tcPr>
            <w:tcW w:w="4644" w:type="dxa"/>
          </w:tcPr>
          <w:p w14:paraId="31752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w:t>
            </w:r>
          </w:p>
        </w:tc>
        <w:tc>
          <w:tcPr>
            <w:tcW w:w="5529" w:type="dxa"/>
          </w:tcPr>
          <w:p w14:paraId="765387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14ECB0" w14:textId="77777777">
        <w:tc>
          <w:tcPr>
            <w:tcW w:w="4644" w:type="dxa"/>
          </w:tcPr>
          <w:p w14:paraId="3F996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c>
          <w:tcPr>
            <w:tcW w:w="5529" w:type="dxa"/>
          </w:tcPr>
          <w:p w14:paraId="7BDF2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F10F5E" w14:textId="77777777">
        <w:tc>
          <w:tcPr>
            <w:tcW w:w="4644" w:type="dxa"/>
          </w:tcPr>
          <w:p w14:paraId="4FC8F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высоту</w:t>
            </w:r>
          </w:p>
        </w:tc>
        <w:tc>
          <w:tcPr>
            <w:tcW w:w="5529" w:type="dxa"/>
          </w:tcPr>
          <w:p w14:paraId="6BB7A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D51A80" w14:textId="77777777">
        <w:tc>
          <w:tcPr>
            <w:tcW w:w="4644" w:type="dxa"/>
          </w:tcPr>
          <w:p w14:paraId="00E78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w:t>
            </w:r>
          </w:p>
        </w:tc>
        <w:tc>
          <w:tcPr>
            <w:tcW w:w="5529" w:type="dxa"/>
          </w:tcPr>
          <w:p w14:paraId="4CB85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E6FEE3" w14:textId="77777777">
        <w:tc>
          <w:tcPr>
            <w:tcW w:w="4644" w:type="dxa"/>
          </w:tcPr>
          <w:p w14:paraId="25668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5529" w:type="dxa"/>
          </w:tcPr>
          <w:p w14:paraId="68648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r>
      <w:tr w:rsidR="00DA227A" w:rsidRPr="00E93F40" w14:paraId="072C3278" w14:textId="77777777">
        <w:tc>
          <w:tcPr>
            <w:tcW w:w="4644" w:type="dxa"/>
          </w:tcPr>
          <w:p w14:paraId="22CD38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 тактич. радиуса</w:t>
            </w:r>
          </w:p>
        </w:tc>
        <w:tc>
          <w:tcPr>
            <w:tcW w:w="5529" w:type="dxa"/>
          </w:tcPr>
          <w:p w14:paraId="35FEB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6F4154" w14:textId="77777777">
        <w:tc>
          <w:tcPr>
            <w:tcW w:w="4644" w:type="dxa"/>
          </w:tcPr>
          <w:p w14:paraId="4598E1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емкость баков на</w:t>
            </w:r>
          </w:p>
        </w:tc>
        <w:tc>
          <w:tcPr>
            <w:tcW w:w="5529" w:type="dxa"/>
          </w:tcPr>
          <w:p w14:paraId="1519CA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D873D0" w14:textId="77777777">
        <w:tc>
          <w:tcPr>
            <w:tcW w:w="4644" w:type="dxa"/>
          </w:tcPr>
          <w:p w14:paraId="5C29E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радиус</w:t>
            </w:r>
          </w:p>
        </w:tc>
        <w:tc>
          <w:tcPr>
            <w:tcW w:w="5529" w:type="dxa"/>
          </w:tcPr>
          <w:p w14:paraId="4D955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AF792A" w14:textId="77777777">
        <w:tc>
          <w:tcPr>
            <w:tcW w:w="4644" w:type="dxa"/>
          </w:tcPr>
          <w:p w14:paraId="0BDFEC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 груз норм.</w:t>
            </w:r>
          </w:p>
        </w:tc>
        <w:tc>
          <w:tcPr>
            <w:tcW w:w="5529" w:type="dxa"/>
          </w:tcPr>
          <w:p w14:paraId="2890E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A81921" w14:textId="77777777">
        <w:tc>
          <w:tcPr>
            <w:tcW w:w="4644" w:type="dxa"/>
          </w:tcPr>
          <w:p w14:paraId="3BC813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бомбодержат.</w:t>
            </w:r>
          </w:p>
        </w:tc>
        <w:tc>
          <w:tcPr>
            <w:tcW w:w="5529" w:type="dxa"/>
          </w:tcPr>
          <w:p w14:paraId="05A10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9D7A62" w14:textId="77777777">
        <w:tc>
          <w:tcPr>
            <w:tcW w:w="4644" w:type="dxa"/>
          </w:tcPr>
          <w:p w14:paraId="61D8B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5529" w:type="dxa"/>
          </w:tcPr>
          <w:p w14:paraId="5187A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AA47F1" w14:textId="77777777">
        <w:tc>
          <w:tcPr>
            <w:tcW w:w="4644" w:type="dxa"/>
          </w:tcPr>
          <w:p w14:paraId="436CD7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w:t>
            </w:r>
          </w:p>
        </w:tc>
        <w:tc>
          <w:tcPr>
            <w:tcW w:w="5529" w:type="dxa"/>
          </w:tcPr>
          <w:p w14:paraId="41849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ECF00C" w14:textId="77777777">
        <w:tc>
          <w:tcPr>
            <w:tcW w:w="4644" w:type="dxa"/>
          </w:tcPr>
          <w:p w14:paraId="1D96A1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 аэродрома</w:t>
            </w:r>
          </w:p>
        </w:tc>
        <w:tc>
          <w:tcPr>
            <w:tcW w:w="5529" w:type="dxa"/>
          </w:tcPr>
          <w:p w14:paraId="36AD21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E50E38" w14:textId="77777777">
        <w:tc>
          <w:tcPr>
            <w:tcW w:w="4644" w:type="dxa"/>
          </w:tcPr>
          <w:p w14:paraId="5EC1B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5529" w:type="dxa"/>
          </w:tcPr>
          <w:p w14:paraId="4988DF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27F149" w14:textId="77777777">
        <w:tc>
          <w:tcPr>
            <w:tcW w:w="4644" w:type="dxa"/>
          </w:tcPr>
          <w:p w14:paraId="485F3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w:t>
            </w:r>
          </w:p>
        </w:tc>
        <w:tc>
          <w:tcPr>
            <w:tcW w:w="5529" w:type="dxa"/>
          </w:tcPr>
          <w:p w14:paraId="090B6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EE7D9F" w14:textId="77777777">
        <w:tc>
          <w:tcPr>
            <w:tcW w:w="4644" w:type="dxa"/>
          </w:tcPr>
          <w:p w14:paraId="38602F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w:t>
            </w:r>
          </w:p>
        </w:tc>
        <w:tc>
          <w:tcPr>
            <w:tcW w:w="5529" w:type="dxa"/>
          </w:tcPr>
          <w:p w14:paraId="5D1C3A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1EEC63" w14:textId="77777777">
        <w:tc>
          <w:tcPr>
            <w:tcW w:w="4644" w:type="dxa"/>
          </w:tcPr>
          <w:p w14:paraId="3E560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использование в ГВФ</w:t>
            </w:r>
          </w:p>
        </w:tc>
        <w:tc>
          <w:tcPr>
            <w:tcW w:w="5529" w:type="dxa"/>
          </w:tcPr>
          <w:p w14:paraId="052720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732BA1" w14:textId="77777777">
        <w:tc>
          <w:tcPr>
            <w:tcW w:w="4644" w:type="dxa"/>
          </w:tcPr>
          <w:p w14:paraId="425F7E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4976E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И пост. 2-х экз. ВВА</w:t>
            </w:r>
          </w:p>
        </w:tc>
      </w:tr>
      <w:tr w:rsidR="00DA227A" w:rsidRPr="00E93F40" w14:paraId="5D24F2D6" w14:textId="77777777">
        <w:tc>
          <w:tcPr>
            <w:tcW w:w="4644" w:type="dxa"/>
          </w:tcPr>
          <w:p w14:paraId="7D5D7A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63292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Глававиапром</w:t>
            </w:r>
          </w:p>
        </w:tc>
      </w:tr>
      <w:tr w:rsidR="00DA227A" w:rsidRPr="00E93F40" w14:paraId="7BD37D7F" w14:textId="77777777">
        <w:tc>
          <w:tcPr>
            <w:tcW w:w="4644" w:type="dxa"/>
          </w:tcPr>
          <w:p w14:paraId="6D84F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20FBE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скоростной по мотор М-32</w:t>
            </w:r>
          </w:p>
        </w:tc>
      </w:tr>
      <w:tr w:rsidR="00DA227A" w:rsidRPr="00E93F40" w14:paraId="1AB733C8" w14:textId="77777777">
        <w:tc>
          <w:tcPr>
            <w:tcW w:w="4644" w:type="dxa"/>
          </w:tcPr>
          <w:p w14:paraId="7B8279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5770BA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на дальность</w:t>
            </w:r>
          </w:p>
        </w:tc>
      </w:tr>
      <w:tr w:rsidR="00DA227A" w:rsidRPr="00E93F40" w14:paraId="55BA87ED" w14:textId="77777777">
        <w:tc>
          <w:tcPr>
            <w:tcW w:w="4644" w:type="dxa"/>
          </w:tcPr>
          <w:p w14:paraId="014A2F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160B97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летающее крыло</w:t>
            </w:r>
          </w:p>
        </w:tc>
      </w:tr>
      <w:tr w:rsidR="00DA227A" w:rsidRPr="00E93F40" w14:paraId="335D635E" w14:textId="77777777">
        <w:tc>
          <w:tcPr>
            <w:tcW w:w="4644" w:type="dxa"/>
          </w:tcPr>
          <w:p w14:paraId="6FFD7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AAAB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(парабола Чарановского)</w:t>
            </w:r>
          </w:p>
        </w:tc>
      </w:tr>
      <w:tr w:rsidR="00DA227A" w:rsidRPr="00E93F40" w14:paraId="071DCAF2" w14:textId="77777777">
        <w:tc>
          <w:tcPr>
            <w:tcW w:w="4644" w:type="dxa"/>
          </w:tcPr>
          <w:p w14:paraId="20B9E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1771E2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особым типом разрезных</w:t>
            </w:r>
          </w:p>
        </w:tc>
      </w:tr>
      <w:tr w:rsidR="00DA227A" w:rsidRPr="00E93F40" w14:paraId="586DED74" w14:textId="77777777">
        <w:tc>
          <w:tcPr>
            <w:tcW w:w="4644" w:type="dxa"/>
          </w:tcPr>
          <w:p w14:paraId="1CFF6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C3496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крыльев (системы Кричевского)</w:t>
            </w:r>
          </w:p>
        </w:tc>
      </w:tr>
      <w:tr w:rsidR="00DA227A" w:rsidRPr="00E93F40" w14:paraId="2951493B" w14:textId="77777777">
        <w:tc>
          <w:tcPr>
            <w:tcW w:w="4644" w:type="dxa"/>
          </w:tcPr>
          <w:p w14:paraId="0C3B6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5F17A6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w:t>
            </w:r>
          </w:p>
        </w:tc>
      </w:tr>
      <w:tr w:rsidR="00DA227A" w:rsidRPr="00E93F40" w14:paraId="521C2019" w14:textId="77777777">
        <w:tc>
          <w:tcPr>
            <w:tcW w:w="4644" w:type="dxa"/>
          </w:tcPr>
          <w:p w14:paraId="2E7312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0F97EA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М-11</w:t>
            </w:r>
          </w:p>
        </w:tc>
      </w:tr>
      <w:tr w:rsidR="00DA227A" w:rsidRPr="00E93F40" w14:paraId="7483AE87" w14:textId="77777777">
        <w:tc>
          <w:tcPr>
            <w:tcW w:w="4644" w:type="dxa"/>
          </w:tcPr>
          <w:p w14:paraId="1C083A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02A7A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реактивным двигателем</w:t>
            </w:r>
          </w:p>
        </w:tc>
      </w:tr>
      <w:tr w:rsidR="00DA227A" w:rsidRPr="00E93F40" w14:paraId="389E5B75" w14:textId="77777777">
        <w:tc>
          <w:tcPr>
            <w:tcW w:w="4644" w:type="dxa"/>
          </w:tcPr>
          <w:p w14:paraId="7ACB6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w:t>
            </w:r>
          </w:p>
        </w:tc>
        <w:tc>
          <w:tcPr>
            <w:tcW w:w="5529" w:type="dxa"/>
          </w:tcPr>
          <w:p w14:paraId="68DE70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нефтяным двигателем</w:t>
            </w:r>
          </w:p>
        </w:tc>
      </w:tr>
      <w:tr w:rsidR="00DA227A" w:rsidRPr="00E93F40" w14:paraId="40E9BE4C" w14:textId="77777777">
        <w:tc>
          <w:tcPr>
            <w:tcW w:w="4644" w:type="dxa"/>
          </w:tcPr>
          <w:p w14:paraId="2E277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AE36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Паккард</w:t>
            </w:r>
          </w:p>
        </w:tc>
      </w:tr>
      <w:tr w:rsidR="009D12BD" w:rsidRPr="00E93F40" w14:paraId="314A74C4" w14:textId="77777777">
        <w:tc>
          <w:tcPr>
            <w:tcW w:w="4644" w:type="dxa"/>
          </w:tcPr>
          <w:p w14:paraId="62364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87591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мотора производит ГУГВФ (3771,70-78)</w:t>
            </w:r>
          </w:p>
        </w:tc>
      </w:tr>
    </w:tbl>
    <w:p w14:paraId="106E6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E2D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23 мая по 26 июня 1932 улучшенный К-5 проходил госиспытания в НИИ ГВФ. Эталон принят не был, заводу было предложено ввести ряд переделок и после этого предъявить самолет для дополнительных испытаний. Завод отказался от введения кардинальных переделок (перенос шасси, уменьшение веса); в дальнейшем самолет в НИИ ГВФ для дополнительных испытаний не поступил (7738, 12-10).</w:t>
      </w:r>
    </w:p>
    <w:p w14:paraId="1A360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D4A5A5"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101. Опросом членов ПБ от 18 мая 1932 г. 30/4. О самолетах и моторах. Постановили: ассигновать всего 1 млн. руб. валюты на закупку новейших образцов моторов и самолетов (по истребительной авиации). (Политбюро... Т. 2. С. 307; РГАСПИ. Ф. 17. Оп. 162. Д. 12. Л. 148) (12416).</w:t>
      </w:r>
    </w:p>
    <w:p w14:paraId="46E3854E"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p>
    <w:p w14:paraId="217DDD6D" w14:textId="77777777" w:rsidR="002B4519" w:rsidRPr="00E93F40" w:rsidRDefault="002B45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мая 1932 г. Протокол ПБ № 101 п.30/4: О самолетах и моторах – ОП. Решено: Ассигновать 1 миллион рублей валюты на закупку новейших образцов моторов и самолетов (по истребительной авиации) (15901).</w:t>
      </w:r>
    </w:p>
    <w:p w14:paraId="74A45B23" w14:textId="77777777" w:rsidR="002B4519" w:rsidRPr="00E93F40" w:rsidRDefault="002B4519" w:rsidP="00E93F40">
      <w:pPr>
        <w:spacing w:after="0" w:line="240" w:lineRule="auto"/>
        <w:jc w:val="both"/>
        <w:rPr>
          <w:rFonts w:ascii="Times New Roman" w:hAnsi="Times New Roman"/>
          <w:color w:val="000000" w:themeColor="text1"/>
          <w:sz w:val="16"/>
          <w:szCs w:val="16"/>
        </w:rPr>
      </w:pPr>
    </w:p>
    <w:p w14:paraId="604944ED" w14:textId="0BD401A6" w:rsidR="007F0EE1" w:rsidRPr="00E93F40" w:rsidRDefault="007F0EE1"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23 мая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официально начала фу</w:t>
      </w:r>
      <w:r w:rsidR="002B4519" w:rsidRPr="00E93F40">
        <w:rPr>
          <w:rFonts w:ascii="Times New Roman" w:hAnsi="Times New Roman"/>
          <w:color w:val="000000" w:themeColor="text1"/>
          <w:sz w:val="16"/>
          <w:szCs w:val="16"/>
        </w:rPr>
        <w:t>нк</w:t>
      </w:r>
      <w:r w:rsidRPr="00E93F40">
        <w:rPr>
          <w:rFonts w:ascii="Times New Roman" w:hAnsi="Times New Roman"/>
          <w:color w:val="000000" w:themeColor="text1"/>
          <w:sz w:val="16"/>
          <w:szCs w:val="16"/>
        </w:rPr>
        <w:t>ционировать почтово-пассажирская аэролиния Москва - Ленинград, а аэродром «Пулково» был окончательно сдан в июне</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именно 3</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января</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считается началом регулярного авиасообщения между двумя столицами. С этого дня авиасообщение дополнило собой существующий транспорт — железнодорожный, автомобильный и водный. </w:t>
      </w:r>
      <w:r w:rsidRPr="00E93F40">
        <w:rPr>
          <w:rFonts w:ascii="Times New Roman" w:eastAsia="Times New Roman" w:hAnsi="Times New Roman"/>
          <w:color w:val="000000" w:themeColor="text1"/>
          <w:sz w:val="16"/>
          <w:szCs w:val="16"/>
          <w:lang w:eastAsia="ru-RU"/>
        </w:rPr>
        <w:t>Становление регулярной авиалинии Москва — Ленинград шло сложно. В довоенные годы самолеты летали сезонно — в теплое время года, пока грунтовый аэродром не раскисал от осенних дождей. Первыми на регулярные рейсы вышли 8-местные самолеты К-5. 1 августа 1932 года движение было прекращено из-за его экономической неэффективности. 15 января 1933 года полеты возобновились — трассу подготовили к ночным полетам, осветив вращающимися прожекторами. Основной задачей самолетов, работавших на линии, была не перевозка пассажиров, а доставка срочной почты и матриц центральных газет, в частности, «Правды». Как пассажирская линия начала успешно функционировать, когда 20 января 1941 года на нее вышли 21-местные ПС-84 (самолет делался по лицензии Douglas DC-3). Крейсерская скорость самолета 290 км/час позволяла ему преодолевать расстояние в 617 километров за 2 часа 45 минут. Война прервала полеты гражданских судов, они возобновились в мае 1945 года — в полеты отправились Ли-2 (Douglas DC-3 на 25 мест)</w:t>
      </w:r>
      <w:r w:rsidR="00DD74E1">
        <w:rPr>
          <w:rFonts w:ascii="Times New Roman" w:eastAsia="Times New Roman" w:hAnsi="Times New Roman"/>
          <w:color w:val="000000" w:themeColor="text1"/>
          <w:sz w:val="16"/>
          <w:szCs w:val="16"/>
          <w:lang w:eastAsia="ru-RU"/>
        </w:rPr>
        <w:t xml:space="preserve"> </w:t>
      </w:r>
      <w:r w:rsidRPr="00E93F40">
        <w:rPr>
          <w:rFonts w:ascii="Times New Roman" w:hAnsi="Times New Roman"/>
          <w:color w:val="000000" w:themeColor="text1"/>
          <w:sz w:val="16"/>
          <w:szCs w:val="16"/>
        </w:rPr>
        <w:t>(17252).</w:t>
      </w:r>
    </w:p>
    <w:p w14:paraId="75E611A2" w14:textId="77777777" w:rsidR="007F0EE1" w:rsidRPr="00E93F40" w:rsidRDefault="007F0EE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3F7661" w14:textId="77777777" w:rsidR="002729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BAD2AE7" w14:textId="77777777" w:rsidR="00272919" w:rsidRPr="00E93F40" w:rsidRDefault="002729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2C8EAF" w14:textId="77777777"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r w:rsidRPr="0096770E">
        <w:rPr>
          <w:rFonts w:ascii="Times New Roman" w:hAnsi="Times New Roman" w:cs="Times New Roman"/>
          <w:i w:val="0"/>
          <w:iCs w:val="0"/>
          <w:color w:val="0070C0"/>
          <w:sz w:val="16"/>
          <w:szCs w:val="16"/>
          <w:lang w:val="ru-RU"/>
        </w:rPr>
        <w:t>23 мая 1932 г. на стрельбище кавалерийской бригады осуществлялись испытания самоходной установки Т-27М (Т-27С, или Т-27/С/) стрельбой. Стрельба из пушки проводилась с места на расстояние 400 м по щиту размером 2×2 м. Всего выпустили шесть снарядов. Стрельба из пулемета велась с дистанции 600 м. При стрельбе отмечались неудобное крепление орудия и малые сектора обстрела.</w:t>
      </w:r>
    </w:p>
    <w:p w14:paraId="666AAF7B" w14:textId="77777777"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r w:rsidRPr="0096770E">
        <w:rPr>
          <w:rFonts w:ascii="Times New Roman" w:hAnsi="Times New Roman" w:cs="Times New Roman"/>
          <w:i w:val="0"/>
          <w:iCs w:val="0"/>
          <w:color w:val="0070C0"/>
          <w:sz w:val="16"/>
          <w:szCs w:val="16"/>
          <w:lang w:val="ru-RU"/>
        </w:rPr>
        <w:t>«Испытание стрельбой в движении совершенно было невозможно благодаря большому заеданию цапфенных гнезд установки. Требуются большие усилия на перемещение пушки — отсюда невозможность точной наводки и быстрое переутомление стрелка» (25561).</w:t>
      </w:r>
    </w:p>
    <w:p w14:paraId="25DAEEB5" w14:textId="77777777" w:rsidR="0096770E" w:rsidRPr="0096770E" w:rsidRDefault="0096770E" w:rsidP="0096770E">
      <w:pPr>
        <w:pStyle w:val="aff2"/>
        <w:tabs>
          <w:tab w:val="left" w:pos="594"/>
        </w:tabs>
        <w:spacing w:line="240" w:lineRule="auto"/>
        <w:rPr>
          <w:rFonts w:ascii="Times New Roman" w:hAnsi="Times New Roman" w:cs="Times New Roman"/>
          <w:i w:val="0"/>
          <w:iCs w:val="0"/>
          <w:color w:val="0070C0"/>
          <w:sz w:val="16"/>
          <w:szCs w:val="16"/>
          <w:lang w:val="ru-RU"/>
        </w:rPr>
      </w:pPr>
    </w:p>
    <w:p w14:paraId="5D539437"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lastRenderedPageBreak/>
        <w:t xml:space="preserve">23 мая 1932 </w:t>
      </w:r>
      <w:r w:rsidRPr="00E93F40">
        <w:rPr>
          <w:rFonts w:ascii="Times New Roman" w:hAnsi="Times New Roman"/>
          <w:color w:val="000000" w:themeColor="text1"/>
          <w:sz w:val="16"/>
          <w:szCs w:val="16"/>
        </w:rPr>
        <w:t>Политбюро ЦК ВКП (б) поручило Наркомтяжпрому представить предложения по постройке Уралэлектромашкомбината; утвердило проект постановления ЦК ВКП (б) о ходе строительства Челябинского тракторного завода; одобрило предложение НКТП о приступе к строительству Халиловскогр металлургического завода (12265).</w:t>
      </w:r>
    </w:p>
    <w:p w14:paraId="6A69F9F0" w14:textId="1501E0D6" w:rsidR="00272919"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22C8B97B"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23 мая 1932 состоялось заседание ПБ (Протокол № 101) </w:t>
      </w:r>
    </w:p>
    <w:p w14:paraId="09805F55"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 строительстве Челябинского тракторного завода.</w:t>
      </w:r>
    </w:p>
    <w:p w14:paraId="1CD5E379"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Орджоникидзе, Розеяголъц, Дбяконов, Соболь).</w:t>
      </w:r>
    </w:p>
    <w:p w14:paraId="54845726"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Обязать Напкомвнешторг форсировать заказы загра</w:t>
      </w:r>
      <w:r w:rsidRPr="00E93F40">
        <w:rPr>
          <w:rFonts w:ascii="Times New Roman" w:hAnsi="Times New Roman"/>
          <w:color w:val="000000" w:themeColor="text1"/>
          <w:sz w:val="16"/>
          <w:szCs w:val="16"/>
        </w:rPr>
        <w:softHyphen/>
        <w:t>ницей, для обеспечения производства 10.000 тракторов, не останавливаясь перед ухудшением условий кредита.</w:t>
      </w:r>
    </w:p>
    <w:p w14:paraId="74101D80"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Предложить Наркомвнешторгу начать дополнительно размещение заказов на оборудование в пределах 6 мил. рублей, исходя из увеличенной мощности завода до 20 тыс.</w:t>
      </w:r>
    </w:p>
    <w:p w14:paraId="2948A965"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Обязать Наркомтяжпром передать Наркомвнешторгу спецификации на 5.5 мил. руб. сверх 10,5 млн. руб.,подлежащие размещению до 5 июня 1933 г.</w:t>
      </w:r>
    </w:p>
    <w:p w14:paraId="63973EC3"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Предложить Наркомтяжпрому срочно командировать в Европу у. Америку 20-25 контролеров-приемщиков для технического контроля изготовления оборудования и прием</w:t>
      </w:r>
      <w:r w:rsidRPr="00E93F40">
        <w:rPr>
          <w:rFonts w:ascii="Times New Roman" w:hAnsi="Times New Roman"/>
          <w:color w:val="000000" w:themeColor="text1"/>
          <w:sz w:val="16"/>
          <w:szCs w:val="16"/>
        </w:rPr>
        <w:softHyphen/>
        <w:t>ки такового на заводах-поставщиках по заказам Челябтракторостроя.</w:t>
      </w:r>
    </w:p>
    <w:p w14:paraId="3C4FAC16"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Левину, Кабакову, секоетарю Челябинского Горкома.</w:t>
      </w:r>
    </w:p>
    <w:p w14:paraId="57899B63"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Об электротехническом "блоке".</w:t>
      </w:r>
    </w:p>
    <w:p w14:paraId="551B052C"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16.У.32 г., пр. 100, п.58/24).</w:t>
      </w:r>
    </w:p>
    <w:p w14:paraId="08A24B85"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Рудзутак, Орджоникидзе, Розенгольц, Жуков).</w:t>
      </w:r>
    </w:p>
    <w:p w14:paraId="5537DB52"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предложения комиссии т. Рудзутака:</w:t>
      </w:r>
    </w:p>
    <w:p w14:paraId="5AE5C6DB"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НKBT и НКТП пересмотреть весь портфель заказов на электрооборудование с таким расчетом, чтобы все оборудование, которое может быть заказано, фирмам, не входящим в состав электротехнического "блока’', должно бить размещено у этих фирм. Разрешить допустить с ними Долгосрочное соглашение на 1,5-2 года в зависимости от рода и характера заказов.</w:t>
      </w:r>
    </w:p>
    <w:p w14:paraId="3C0AB93E"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электропромышленность просмотреть свою производственную программу под углом зрения, чтобы при своем расширении усилить производство тех предметов оборудования, которые сейчас могут быть заказаны только у фирм, входящих в состав блока.</w:t>
      </w:r>
    </w:p>
    <w:p w14:paraId="027158C4"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Розенгольцу, Рудзутаку</w:t>
      </w:r>
    </w:p>
    <w:p w14:paraId="5167177E"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мая 1932 опросом членов ПБ</w:t>
      </w:r>
    </w:p>
    <w:p w14:paraId="7AFD10C4"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30/4.- О самолётах и моторах</w:t>
      </w:r>
    </w:p>
    <w:p w14:paraId="597937CC"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Ассигновать всего 1 млн. рублей валюты па закупку новейших образцов моторов и самолетов (по истребительной авиации).</w:t>
      </w:r>
    </w:p>
    <w:p w14:paraId="1A5E6C0C" w14:textId="77777777" w:rsidR="007C307C" w:rsidRPr="00E93F40" w:rsidRDefault="007C307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т.т. Куйбышеву, Рудзутаку, Ворошилову, Розеагольцу (23046).</w:t>
      </w:r>
    </w:p>
    <w:p w14:paraId="3363C128" w14:textId="77777777" w:rsidR="007C307C" w:rsidRPr="00E93F40" w:rsidRDefault="007C307C" w:rsidP="00E93F40">
      <w:pPr>
        <w:spacing w:after="0" w:line="240" w:lineRule="auto"/>
        <w:jc w:val="both"/>
        <w:rPr>
          <w:rFonts w:ascii="Times New Roman" w:hAnsi="Times New Roman"/>
          <w:color w:val="000000" w:themeColor="text1"/>
          <w:sz w:val="16"/>
          <w:szCs w:val="16"/>
        </w:rPr>
      </w:pPr>
    </w:p>
    <w:p w14:paraId="7EA664F8" w14:textId="77777777" w:rsidR="002B45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07C76CD" w14:textId="77777777" w:rsidR="002B4519" w:rsidRPr="00E93F40" w:rsidRDefault="002B45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E6884A" w14:textId="77777777" w:rsidR="002B4519" w:rsidRPr="00E93F40" w:rsidRDefault="002B45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23 мая</w:t>
      </w:r>
      <w:r w:rsidRPr="00E93F40">
        <w:rPr>
          <w:rFonts w:ascii="Times New Roman" w:hAnsi="Times New Roman"/>
          <w:color w:val="000000" w:themeColor="text1"/>
          <w:sz w:val="16"/>
          <w:szCs w:val="16"/>
        </w:rPr>
        <w:t xml:space="preserve"> в 1932 году на страницах «Литературной газеты» впервые в печати прозвучал термин «социалистический реализм» в речи председателя оргкомитета Союза писателей И.Гронкого (14900).</w:t>
      </w:r>
    </w:p>
    <w:p w14:paraId="1407555A" w14:textId="77777777" w:rsidR="002B4519" w:rsidRPr="00E93F40" w:rsidRDefault="002B4519" w:rsidP="00E93F40">
      <w:pPr>
        <w:spacing w:after="0" w:line="240" w:lineRule="auto"/>
        <w:jc w:val="both"/>
        <w:rPr>
          <w:rFonts w:ascii="Times New Roman" w:hAnsi="Times New Roman"/>
          <w:color w:val="000000" w:themeColor="text1"/>
          <w:sz w:val="16"/>
          <w:szCs w:val="16"/>
        </w:rPr>
      </w:pPr>
    </w:p>
    <w:p w14:paraId="786228B2" w14:textId="77777777" w:rsidR="00E34863" w:rsidRPr="00E93F40" w:rsidRDefault="00E3486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мая 1932 г. Политбюро постановило строить закрытым способом на большой глубине весь участок от Сокольников до пл. Свердлова (бывшей Театральной), а для решения по поводу других участков привлечь советских и иностранных экспертов. Одновременно Политбюро подчеркнуло, что Метрострой следует рассматривать как важнейшую государственную стройку, которую в первую очередь необходимо снабжать строительными материалами{433} (18299).</w:t>
      </w:r>
    </w:p>
    <w:p w14:paraId="68C02E0C" w14:textId="77777777" w:rsidR="00E34863" w:rsidRPr="00E93F40" w:rsidRDefault="00E34863" w:rsidP="00E93F40">
      <w:pPr>
        <w:spacing w:after="0" w:line="240" w:lineRule="auto"/>
        <w:jc w:val="both"/>
        <w:rPr>
          <w:rFonts w:ascii="Times New Roman" w:hAnsi="Times New Roman"/>
          <w:color w:val="000000" w:themeColor="text1"/>
          <w:sz w:val="16"/>
          <w:szCs w:val="16"/>
        </w:rPr>
      </w:pPr>
    </w:p>
    <w:p w14:paraId="2FB3661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060512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A15317C" w14:textId="77777777" w:rsidR="00486D06" w:rsidRPr="00E93F40" w:rsidRDefault="00486D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24 мая</w:t>
      </w:r>
      <w:r w:rsidRPr="00E93F40">
        <w:rPr>
          <w:rFonts w:ascii="Times New Roman" w:hAnsi="Times New Roman"/>
          <w:color w:val="000000" w:themeColor="text1"/>
          <w:sz w:val="16"/>
          <w:szCs w:val="16"/>
        </w:rPr>
        <w:t xml:space="preserve"> в 1932 году основан ОАО "Тушинский машиностроительный завод", город Москва. Завод был создан с целью освоения новейших образцов авиационной техники, является одним из ведущих предприятий в области машиностроения московского региона. Выпускал новейшие виды оборонной техники многоцелевого назначения (в течение нескольких десятилетий), строительство орбитального космического комплекса "Буран". В настоящее время ОАО ТМЗ производит ветроэнергетические установки мощностью 1 Мвт, городские автобусы, автобусы-троллейбусы нового поколения, автономные промышленные комплексы по утилизации изношенных автомобильных шин, одноразовые шприцы, алюминиевые сплавы и композиционные алюминиевые строительные панели (14901).</w:t>
      </w:r>
    </w:p>
    <w:p w14:paraId="7A183B5C" w14:textId="77777777" w:rsidR="00486D06" w:rsidRPr="00E93F40" w:rsidRDefault="00486D06" w:rsidP="00E93F40">
      <w:pPr>
        <w:spacing w:after="0" w:line="240" w:lineRule="auto"/>
        <w:jc w:val="both"/>
        <w:rPr>
          <w:rFonts w:ascii="Times New Roman" w:hAnsi="Times New Roman"/>
          <w:color w:val="000000" w:themeColor="text1"/>
          <w:sz w:val="16"/>
          <w:szCs w:val="16"/>
        </w:rPr>
      </w:pPr>
    </w:p>
    <w:p w14:paraId="0EAA2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мая 1932 открыто регулярное почтопо-грузовое сообщение между Москвой и Ленинградом (3960, 202).</w:t>
      </w:r>
    </w:p>
    <w:p w14:paraId="30824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104C2F" w14:textId="526640CC" w:rsidR="001351AE" w:rsidRPr="00E93F40" w:rsidRDefault="001351A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мая 1932 года был организован почтово-пассажирский воздушный мост на трассе Москва – Ленинград. Делал промежуточные посадки на аэродромах в Малой Вишере и Твери. 3 января 1932 года состоялся пробный рейс между Москвой и Ленинградом. В этот день в Ленинград прилетел первый пассажирский самолет "Дорнье-Меркур" (4-местный) (21182).</w:t>
      </w:r>
    </w:p>
    <w:p w14:paraId="15476F62" w14:textId="77777777" w:rsidR="001351AE" w:rsidRPr="00E93F40" w:rsidRDefault="001351AE" w:rsidP="00E93F40">
      <w:pPr>
        <w:spacing w:after="0" w:line="240" w:lineRule="auto"/>
        <w:jc w:val="both"/>
        <w:rPr>
          <w:rFonts w:ascii="Times New Roman" w:hAnsi="Times New Roman"/>
          <w:color w:val="000000" w:themeColor="text1"/>
          <w:sz w:val="16"/>
          <w:szCs w:val="16"/>
          <w:lang w:val="ru"/>
        </w:rPr>
      </w:pPr>
    </w:p>
    <w:p w14:paraId="10756D7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3F60E5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909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мая 1932 г. была опубликована телеграмма И.В. Сталина работникам «Кузнецкстроя»:</w:t>
      </w:r>
    </w:p>
    <w:p w14:paraId="72D7E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«Привет ударникам и ударницам, техперсоналу и всему руководящему составу Кузнецкого завода, добившимся высокой выплавки чугуна на домне № 1 и показавшим большевистские темпы в овладении новейшей техникой.</w:t>
      </w:r>
    </w:p>
    <w:p w14:paraId="5FE0AC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Уверен, что коллектив «Кузнецкстроя» разовьёт дальше достигнутые успехи, обеспечит не меньшие успехи на домне № 2, введёт в строй в ближайшие месяцы мартены и прокат, построит и пустит в этом году третью и четвёртую домны".</w:t>
      </w:r>
    </w:p>
    <w:p w14:paraId="49456D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Сталин. “Правда” № 142, 24 мая 1932 г. (11539).</w:t>
      </w:r>
    </w:p>
    <w:p w14:paraId="07962F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B69E7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3EA97D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9CF238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мая 1932 в Канаде создана национальная телекомпания Си-Би-Си (4962).</w:t>
      </w:r>
    </w:p>
    <w:p w14:paraId="1A932D3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3A66E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A8B8B0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619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года начальник ВВС Алкснис писал письмо N 038370 председателю РВС.</w:t>
      </w:r>
    </w:p>
    <w:p w14:paraId="28322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26BFDB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25 мая с.г.</w:t>
      </w:r>
    </w:p>
    <w:p w14:paraId="29521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8 при перелете на завод N 22 для замены плоскостей имел вынужденную посадку в районе Останкино (3027).</w:t>
      </w:r>
    </w:p>
    <w:p w14:paraId="4E9998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771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на испытания в МИС НИИ ВВС для гос. испытаний был предъявлен МБР-2 (3043).</w:t>
      </w:r>
    </w:p>
    <w:p w14:paraId="74186B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D4AC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года начальник штаба НИИ Трунов писал письмо N 145сс зам. Начальника ВВС Наумову, зам. Начальника ВВС Меженинову, начальнику Бюро вооружения штаба РККА, начальнику ВМС.</w:t>
      </w:r>
    </w:p>
    <w:p w14:paraId="64EBE2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представляю проект системы вооружения и план опытного строительства по самолетам на 1932-37 г.г.</w:t>
      </w:r>
    </w:p>
    <w:p w14:paraId="484DF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Представляемый при сем материал составлен на основе совещаний, состоявшихся в Бюро вооружения штаба РККА. Начальником штаба РККА настоящий материал еще не утвержден.</w:t>
      </w:r>
    </w:p>
    <w:p w14:paraId="71868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вооружения</w:t>
      </w:r>
    </w:p>
    <w:p w14:paraId="51613B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вооружения ВВС должна быть целеустремлена в сторону развития наступательных средств с уменьшением до возможного минимума различных типов самолетов.</w:t>
      </w:r>
    </w:p>
    <w:p w14:paraId="1A4079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основном все самолеты разбиваются на следующие группы:</w:t>
      </w:r>
    </w:p>
    <w:p w14:paraId="36765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Стратегическая авиация (дальнего действия).</w:t>
      </w:r>
    </w:p>
    <w:p w14:paraId="75D37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Войсковая авиация.</w:t>
      </w:r>
    </w:p>
    <w:p w14:paraId="4C5906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Морская авиация.</w:t>
      </w:r>
    </w:p>
    <w:p w14:paraId="0E5E9F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Авиация специального назначения.</w:t>
      </w:r>
    </w:p>
    <w:p w14:paraId="5F1616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стратегической авиацией понимается - самолеты большого тоннажа с тактическим радиусом действия от 1600-2000 км с мощным бомбовым вооружением, а также самолеты крейсеры, сопровождающие и обеспечивающие действие бомбардировщиков дальнего действия.</w:t>
      </w:r>
    </w:p>
    <w:p w14:paraId="6D6520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Стратегическая авиация подразделяется на следующие типы самолетов:</w:t>
      </w:r>
    </w:p>
    <w:p w14:paraId="5B90BD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Тяжелый бомбардировщик.</w:t>
      </w:r>
    </w:p>
    <w:p w14:paraId="5AD35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Средний бомбардировщик.</w:t>
      </w:r>
    </w:p>
    <w:p w14:paraId="78547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Крейсер, он же ближний бомбардировщик.</w:t>
      </w:r>
    </w:p>
    <w:p w14:paraId="5A8F0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войсковой авиацией понимаются все самолеты работающие в непосредственном взаимодействии, а также в интересах земных войск.</w:t>
      </w:r>
    </w:p>
    <w:p w14:paraId="3D2B2F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Войсковая авиация подразделяется на:</w:t>
      </w:r>
    </w:p>
    <w:p w14:paraId="3CCE9D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Армейскую.</w:t>
      </w:r>
    </w:p>
    <w:p w14:paraId="5D75C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Корпусную.</w:t>
      </w:r>
    </w:p>
    <w:p w14:paraId="09B4A5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Дивизионную.</w:t>
      </w:r>
    </w:p>
    <w:p w14:paraId="7235BF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войсковую авиацию входят следующие типы самолетов:</w:t>
      </w:r>
    </w:p>
    <w:p w14:paraId="12F14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Ближний бомбардировщик (он же крейсер).</w:t>
      </w:r>
    </w:p>
    <w:p w14:paraId="4CBC42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Легкий бомбардировщик, он же легкий штурмовик, он же двухместный истребитель, он же разведчик.</w:t>
      </w:r>
    </w:p>
    <w:p w14:paraId="6D556E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Тяжелый бронированный штурмовик.</w:t>
      </w:r>
    </w:p>
    <w:p w14:paraId="017E5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Тяжелый химический боевик.</w:t>
      </w:r>
    </w:p>
    <w:p w14:paraId="67330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Многоместный истребитель, он же разведчик и как подсобный бомбардировщик.</w:t>
      </w:r>
    </w:p>
    <w:p w14:paraId="2C297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Скоростной дальний разведчик.</w:t>
      </w:r>
    </w:p>
    <w:p w14:paraId="4E802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Войсковой самолет - корректировщик, корпусной разведчик.</w:t>
      </w:r>
    </w:p>
    <w:p w14:paraId="261037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 Одноместный истребитель.</w:t>
      </w:r>
    </w:p>
    <w:p w14:paraId="57318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Самолеты специального назначения (штабной, для связи).</w:t>
      </w:r>
    </w:p>
    <w:p w14:paraId="212F0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морской авиацией понимаются все самолеты, работающие во взаимодействии и интересах морских сил, а также обслуживающие морские театры. Морская авиация в своем составе может иметь как морские, так и сухопутные самолеты.</w:t>
      </w:r>
    </w:p>
    <w:p w14:paraId="24E4D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морскую авиацию входят следующие типы самолетов:</w:t>
      </w:r>
    </w:p>
    <w:p w14:paraId="79D0E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Тяжелый морской бомбардировщик.</w:t>
      </w:r>
    </w:p>
    <w:p w14:paraId="5E2F0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Дальний морской разведчик, он же воздушный крейсер.</w:t>
      </w:r>
    </w:p>
    <w:p w14:paraId="4DE219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Ближний морской разведчик, он же водитель торпедных катеров.</w:t>
      </w:r>
    </w:p>
    <w:p w14:paraId="76053D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Торпедоносец, он же пикирующий бомбардировщик, он же дымозавесчик.</w:t>
      </w:r>
    </w:p>
    <w:p w14:paraId="421C9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Корабельный разведчик - корректировщик для линкоров и крейсеров. (Временный тип для кораблей, находящихся в строю в настоящее время).</w:t>
      </w:r>
    </w:p>
    <w:p w14:paraId="5DBA25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Самолет для подлодок и эскадренных миноносцев.</w:t>
      </w:r>
    </w:p>
    <w:p w14:paraId="4936A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авиацией специального назначения понимается транспортная, большого и малого тоннажа, а также не боевые самолеты специального назначения (учебные и т.п.).</w:t>
      </w:r>
    </w:p>
    <w:p w14:paraId="50B0F6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Типы самолетов</w:t>
      </w:r>
    </w:p>
    <w:p w14:paraId="2FEC73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бомбардировщик - он же десантный, он же транспортный</w:t>
      </w:r>
    </w:p>
    <w:p w14:paraId="1D17A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303E8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Разрушение крупных политико-стратегических объектов в радиусе действия 2000 км. Бомбардировка баз и морского флота противника. Высадка десантов в глубоком тылу противника. Помощь странам охваченным революционным восстанием. Выполнение транспортных задач в интересах ВВС и земных войск. В мирное время пассажирских транспортный самолет.</w:t>
      </w:r>
    </w:p>
    <w:p w14:paraId="6A55D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796B41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Располагается не ближе 250-500 км от линии фронта. Расположение рассредоточенное, но вблизи ж/д. Полет днем и ночью в основном в группе при обеспечении крейсерами. Возможен полет одиночный. Бой оборонительный, основанный на мощи пушечного и пулеметного вооружения.</w:t>
      </w:r>
    </w:p>
    <w:p w14:paraId="22C88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02A70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должен нести на себе несколько (3-5) одноместных или двухместных истребителей с возможностью отделения этих самолетов и обратной посадки в воздухе.</w:t>
      </w:r>
    </w:p>
    <w:p w14:paraId="5C0D0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использовании его как десантного, должна быть предусмотрена возможность сбрасывания всего десанта и имущества на парашютах.</w:t>
      </w:r>
    </w:p>
    <w:p w14:paraId="7C1DA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Должна быть предусмотрена возможность увеличения огневой мощи за счет уменьшения горючего или бомб для крейсерских целей.</w:t>
      </w:r>
    </w:p>
    <w:p w14:paraId="1966A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12D05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Пушки, крупнокалиберные пулеметы, пулеметы, бомбы.</w:t>
      </w:r>
    </w:p>
    <w:p w14:paraId="5D4104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Средний бомбардировщик - он же десантный, он же транспортный</w:t>
      </w:r>
    </w:p>
    <w:p w14:paraId="2264A2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09B5F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же, что и для сверхтяжелого бомбардировщика, но в радиусе действия 1600 км.</w:t>
      </w:r>
    </w:p>
    <w:p w14:paraId="25848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сказанное о сверхтяжелом бомбардировщике всецело относится и к тяжелому бомбардировщику с той поправкой, что его расположение от линии фронта не должно быть далее 200-250 км.</w:t>
      </w:r>
    </w:p>
    <w:p w14:paraId="68CF2B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 он же ближний бомбардировщик.</w:t>
      </w:r>
    </w:p>
    <w:p w14:paraId="6EB28B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52B0C6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Разрушение крупных ж/д узлов, политико-экономических центров лежащих в радиусе досягаемости с бомбовой нагрузкой.</w:t>
      </w:r>
    </w:p>
    <w:p w14:paraId="62CB0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Обеспечение операций стратегической авиации в радиусе в 2000 км методом сопровождения или косвенного обеспечения. Глубокая разведка как в интересах фронтового командования, так и в интересах стратегической авиации.</w:t>
      </w:r>
    </w:p>
    <w:p w14:paraId="21E5B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Высадка парашютных десантов войсковом тылу противника.</w:t>
      </w:r>
    </w:p>
    <w:p w14:paraId="04D47D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66F10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Располагается не далее 200 км от линии фронта. Полет днем и ночью, в основном в группе. При сопровождении бомбардировщиков в общем боевом порядке. Бой наступательный, основанный на большой огневой мощи вооружения. Маневр как средство для максимального использования огня.</w:t>
      </w:r>
    </w:p>
    <w:p w14:paraId="47EF6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46EE53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Пушки, крупнокалиберные и мелкокалиберные пулеметы, дистанционные бомбы, дымовые приборы, бомбы.</w:t>
      </w:r>
    </w:p>
    <w:p w14:paraId="4005D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3ADF49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должен нести на себе не менее двух одноместных истребителей. Желательно иметь возможность их обратной посадки на самолет в воздухе.</w:t>
      </w:r>
    </w:p>
    <w:p w14:paraId="23086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Должна быть предусмотрена возможность максимального увеличения огневой мощи постановкой дополнительного вооружения за счет горючего для действий на укороченных радиусах.</w:t>
      </w:r>
    </w:p>
    <w:p w14:paraId="14DDC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 бомбардировщик, он же легкий штурмовик, он же двухместный истребитель, он же разведчик.</w:t>
      </w:r>
    </w:p>
    <w:p w14:paraId="1C1D19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236E92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Бомбардировка не сложных сооружений противника в его ближнем тылу. Штурмовые действия с ОВ и бомбами по живой силе противника преимущественно в зоне подхода его к полю боя. Наступательный бой со всеми воздухоплавательными аппаратами противника как в своем расположении, так и в тылу противника. Обеспечение (непосредственное и косвенное) работы авиации на поле боя.</w:t>
      </w:r>
    </w:p>
    <w:p w14:paraId="63FC1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Воздушная разведка в интересах армейского командования.</w:t>
      </w:r>
    </w:p>
    <w:p w14:paraId="5A32A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656390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Располагается в ближайшем тылу от линии фронта. Полет днем и ночью в основном в группе. Бой наступательный, основанный на скорости и мощности вооружения. Бомбардирование с использованием принципа внезапности благодаря большой скорости.</w:t>
      </w:r>
    </w:p>
    <w:p w14:paraId="37A53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5879C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 дистанционные бомбы, бомбы для поражения наземных целей.</w:t>
      </w:r>
    </w:p>
    <w:p w14:paraId="528DA5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бронированный штурмовик, он же самолет сопровождения пехоты.</w:t>
      </w:r>
    </w:p>
    <w:p w14:paraId="1F1FE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26803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Штурмовые действия против живой силы и технических средств противника как на поле боя, так и в ближайшем его тылу. Наблюдение за полем боя, сопровождение танков, помощь пехоте по борьбе с отдельными трудно уязвимыми огневыми точками. Может быть использован для борьбы с тяжелыми бомбардировщиками.</w:t>
      </w:r>
    </w:p>
    <w:p w14:paraId="20205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13937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Полет как одиночный, так и в строю. Преимущественно на малых высотах с использованием складок местности. Располагается в войсковом тылу вблизи линии фронта.</w:t>
      </w:r>
    </w:p>
    <w:p w14:paraId="1B972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12043F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пулеметов для стрельбы вперед, пулемет для обороны задней верхней полусферы, бомбы и вапы для поражения живых целей.</w:t>
      </w:r>
    </w:p>
    <w:p w14:paraId="47F840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химический боевик, он же десантный, он же транспортный.</w:t>
      </w:r>
    </w:p>
    <w:p w14:paraId="19C19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32F1C3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Заражение ОВ живой силы противника, его ж/д узлов, аэродромов, дефиле. Заражение ОВ промышленных и военных центров противника. Постановка дымовых завес в воздухе и на земле. Переброска горючего для авиационных и моторизованных частей.</w:t>
      </w:r>
    </w:p>
    <w:p w14:paraId="7FEE43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72AA4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выполнении боевых заданий нормально полет в строю, как днем, так и ночью (преимущественно ночью). Бой оборонительный. При выполнении транспортных задач - полет одиночный, с посадкой на передовых аэродромах.</w:t>
      </w:r>
    </w:p>
    <w:p w14:paraId="08B74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7B4176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 небольшое количество бомб (как исключение).</w:t>
      </w:r>
    </w:p>
    <w:p w14:paraId="195F1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70901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емкость баков для транспортируемых жидкостей.</w:t>
      </w:r>
    </w:p>
    <w:p w14:paraId="64087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 приспособления для транспортировки объемистых грузов (запасные части мотора, самолетов и т.п.).</w:t>
      </w:r>
    </w:p>
    <w:p w14:paraId="348256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 приспособления для высадки десанта.</w:t>
      </w:r>
    </w:p>
    <w:p w14:paraId="074C4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Многоместный истребитель, он же разведчик, он же подсобный бомбардировщик.</w:t>
      </w:r>
    </w:p>
    <w:p w14:paraId="14390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6A893C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Наступательный бой днем и ночью против всех видов самолетов противника, особо тяжелых бомбардировщиков, как над своей, так и над территорией противника. Обеспечение непосредственное и косвенное своей бомбардировочной авиации до предела своего радиуса действия. Разведка в интересах армейского и фронтового командования с боем.</w:t>
      </w:r>
    </w:p>
    <w:p w14:paraId="2DE51B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49547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Располагается не далее 30-100 км от линии фронта. Полет в основном в строю, бой наступательный, основанный на мощи своего вооружения, а также дистанционных бомб.</w:t>
      </w:r>
    </w:p>
    <w:p w14:paraId="47849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непосредственном обеспечении бомбардировщиков полет в общем боевом порядке.</w:t>
      </w:r>
    </w:p>
    <w:p w14:paraId="4469C2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2863D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Пушка или крупнокалиберные пулеметы, мелкокалиберные пулеметы, дистанционные бомбы.</w:t>
      </w:r>
    </w:p>
    <w:p w14:paraId="1A35C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Армейский (скоростной) разведчик.</w:t>
      </w:r>
    </w:p>
    <w:p w14:paraId="1B532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5FF5A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Выявление оперативно-стратегических намерений противника в интересах армейского и преимущественно фронтового командования, съемка больших площадей.</w:t>
      </w:r>
    </w:p>
    <w:p w14:paraId="6F526A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47C2CD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 одиночный (дневной и ночной, преимущественно дневной).</w:t>
      </w:r>
    </w:p>
    <w:p w14:paraId="175FE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Проникновение в тыл противника на большие расстояния, используя принцип внезапности за счет большой скорости.</w:t>
      </w:r>
    </w:p>
    <w:p w14:paraId="55D89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Разведка фотографическая и в редких случаях визуальная.</w:t>
      </w:r>
    </w:p>
    <w:p w14:paraId="70401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встрече с воздушным противником боя не принимает, а пользуясь преимуществом в совей скорости от него уходит.</w:t>
      </w:r>
    </w:p>
    <w:p w14:paraId="65018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 от 1500-5000 м.</w:t>
      </w:r>
    </w:p>
    <w:p w14:paraId="06B7A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Базирование на армейский и фронтовой аэродром (удаление 100-125 км).</w:t>
      </w:r>
    </w:p>
    <w:p w14:paraId="4FD5E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5D2D0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на самолете отсутствует.</w:t>
      </w:r>
    </w:p>
    <w:p w14:paraId="228546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2 человека.</w:t>
      </w:r>
    </w:p>
    <w:p w14:paraId="6DE38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корректировщик, корпусной разведчик.</w:t>
      </w:r>
    </w:p>
    <w:p w14:paraId="4C07A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5BBECE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Разведка поля боя и ближнего войскового тыла противника. Корректирование артиллерийского огня служба командования. Фотографирование укрепленных полос противника. Самолет сопровождения мото-мехчастей и конницы в рейдах.</w:t>
      </w:r>
    </w:p>
    <w:p w14:paraId="41F79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53907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Расположение в ближайшем тылу и непосредственной близости к штабам корпусов. Работа с малоподготовленных полевых аэродромов и посадочных площадок. Нормально работа протекает при соответствующем истребительном обеспечении. Бой оборонительный с уходом в зону защиты своей ПВО или истребителей. Полет в основном одиночный как днем, так и ночью.</w:t>
      </w:r>
    </w:p>
    <w:p w14:paraId="696D25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1B3D61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 незначительное количество бомб.</w:t>
      </w:r>
    </w:p>
    <w:p w14:paraId="1CC20F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5BCB8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Посадка и взлет на площадки 150х150 м (максимум) желательно - 50х50.</w:t>
      </w:r>
    </w:p>
    <w:p w14:paraId="2A1A5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Быстрая готовность к выполнению боевых заданий в различное время года.</w:t>
      </w:r>
    </w:p>
    <w:p w14:paraId="50C49F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Простота и неприхотливость в обслуживании.</w:t>
      </w:r>
    </w:p>
    <w:p w14:paraId="221EF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Быстрота ухода к земле как маневр от противника.</w:t>
      </w:r>
    </w:p>
    <w:p w14:paraId="1979F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может быть типа автожир или геликоптер.</w:t>
      </w:r>
    </w:p>
    <w:p w14:paraId="763A5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w:t>
      </w:r>
    </w:p>
    <w:p w14:paraId="367C8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6164F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Наступательный бой против всех видов самолетов противника как над своей территорией, так и в ближнем тылу противника. Обеспечение (косвенное) операций своей авиации в ближнем тылу противника. Истребитель ПВО.</w:t>
      </w:r>
    </w:p>
    <w:p w14:paraId="7995BF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00E11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Располагается от 30-50 км от линии фронта. Полет в основном днем, в строю на всех высотах. Бой наступательный, основанный на маневре и огневой мощи, а также на применении дистанционных бомб.</w:t>
      </w:r>
    </w:p>
    <w:p w14:paraId="555EDC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332BB8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Крупно или мелкокалиберные пулеметы, дистанционные бомбы.</w:t>
      </w:r>
    </w:p>
    <w:p w14:paraId="2F6462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3926A9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скороподъемность, маневренность.</w:t>
      </w:r>
    </w:p>
    <w:p w14:paraId="1B31F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штабной.</w:t>
      </w:r>
    </w:p>
    <w:p w14:paraId="679F3B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62BFC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Переброска _оперативной группы_ штаба авиасоединения вместе с летным эшелоном или ранее его.</w:t>
      </w:r>
    </w:p>
    <w:p w14:paraId="7397B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Командный пункт на аэродроме.</w:t>
      </w:r>
    </w:p>
    <w:p w14:paraId="1F198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Вылет _опереативной группы_ штаба на аэродромы бригадного или АГ узла для постановки на месте боевых задач.</w:t>
      </w:r>
    </w:p>
    <w:p w14:paraId="3188CF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Вылет оперативной группы штаба к земному командованию (командиру, комдивам, начартам и т.п.) для получения задач по использованию ВВС в земной операции, согласования действий и немедленной организации использования ВВС.</w:t>
      </w:r>
    </w:p>
    <w:p w14:paraId="689F90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радиосвязи с самолетами соединения при нахождении последних в воздухе и на земле.</w:t>
      </w:r>
    </w:p>
    <w:p w14:paraId="4C6AC6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Установление радиосвязи с аэродромами узла и земным командованием с воздуха.</w:t>
      </w:r>
    </w:p>
    <w:p w14:paraId="374CC5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Выбор аэродромов при переброске авиасоединения.</w:t>
      </w:r>
    </w:p>
    <w:p w14:paraId="173A2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Обслуживание военно-воздушных линий во фронтовой полосе.</w:t>
      </w:r>
    </w:p>
    <w:p w14:paraId="2D144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связи.</w:t>
      </w:r>
    </w:p>
    <w:p w14:paraId="7E4C99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Вылет оперативной группы штаба корпуса для командирской разведки.</w:t>
      </w:r>
    </w:p>
    <w:p w14:paraId="5BB68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0560EF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основном полет одиночный днем и ночью.</w:t>
      </w:r>
    </w:p>
    <w:p w14:paraId="72CE1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полете совместно с летным эшелоном части возможен полет в строю.</w:t>
      </w:r>
    </w:p>
    <w:p w14:paraId="669359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Бой оборонительный (как исключение).</w:t>
      </w:r>
    </w:p>
    <w:p w14:paraId="3DE0C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Уход от противника снижением к земле.</w:t>
      </w:r>
    </w:p>
    <w:p w14:paraId="73228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 в основном на малых высотах. Для выполнения необходимых задач полет на высоте 2500 м.</w:t>
      </w:r>
    </w:p>
    <w:p w14:paraId="0DD3E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Посадка и взлет с малоподготовленных площадок.</w:t>
      </w:r>
    </w:p>
    <w:p w14:paraId="15FAE0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54875C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 и посадка на площадку 50х50 кв. М.</w:t>
      </w:r>
    </w:p>
    <w:p w14:paraId="67F07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- 6 чел.</w:t>
      </w:r>
    </w:p>
    <w:p w14:paraId="0E17A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Может быть использован - вертолет.</w:t>
      </w:r>
    </w:p>
    <w:p w14:paraId="3D62E0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Типы самолетов морской авиации.</w:t>
      </w:r>
    </w:p>
    <w:p w14:paraId="153AB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морской бомбардировщик.</w:t>
      </w:r>
    </w:p>
    <w:p w14:paraId="09418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32784E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Помимо задач возлагаемых на сухопутные аналогичные самолеты, морские бомбардировщики выполняют самостоятельные боевые операции против морского флота противника в открытом море, постановка минных заграждений как с воздуха, так и с посадкой на воду. Высотное торпедометание.</w:t>
      </w:r>
    </w:p>
    <w:p w14:paraId="4C7B4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31685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Располагается на морских аэродромах, в непосредственной близости от баз флота. Полет днем и ночью как в группе, так и одиночным порядком. При полете группой возможно обеспечение воздушными крейсерами. Бой оборонительный, основанный на мощи пушечного и пулеметного вооружения.</w:t>
      </w:r>
    </w:p>
    <w:p w14:paraId="0A2E68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316CC9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должен нести на себе несколько (2-4) одноместных или двухместных истребителей с возможностью отделения этих самолетов и обратной посадки в воздухе.</w:t>
      </w:r>
    </w:p>
    <w:p w14:paraId="357A1D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Должны быть обеспечены взлет и посадка на снег.</w:t>
      </w:r>
    </w:p>
    <w:p w14:paraId="28C1B2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29EEF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Пушки, крупнокалиберные пулеметы, пулеметы, бомбы, торпеды, мины.</w:t>
      </w:r>
    </w:p>
    <w:p w14:paraId="4F99AC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Дальний морской разведчик, он же воздушный крейсер.</w:t>
      </w:r>
    </w:p>
    <w:p w14:paraId="5580B9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4657D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Дальняя визуальная и фотографическая разведка баз противника и районов открытого моря. Связь с кораблями в открытом море. Обеспечение операций тяжелых морских бомбардировщиков в радиусе досягаемости методом сопровождения и косвенного обеспечения. Бомбардирование на укороченных радиусах бомбами крупного калибра.</w:t>
      </w:r>
    </w:p>
    <w:p w14:paraId="322C1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6075E0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разведчик, полет парой или одиночный (днем и ночью). Бой оборонительный. Возможна посадка в закрытых бухтах для дежурства. Как крейсер полет в группе бомбардировщиков в общем боевом порядке. Бой наступательный, основанный на большой огневой мощи. Маневр как средство для максимального использования огня.</w:t>
      </w:r>
    </w:p>
    <w:p w14:paraId="25427F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03315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Пушки, крупнокалиберные и мелкокалиберные пулеметы, дистанционные и глубинные бомбы, бомбы.</w:t>
      </w:r>
    </w:p>
    <w:p w14:paraId="17C760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56DB0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Должна быть предусмотрена возможность максимального увеличения огневой мощи постановкой дополнительного вооружения за счет горючего или перегрузки.</w:t>
      </w:r>
    </w:p>
    <w:p w14:paraId="2C047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Должны быть обеспечены взлет и посадка на снег.</w:t>
      </w:r>
    </w:p>
    <w:p w14:paraId="41741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Ближний морской разведчик, он же водитель торпедных катеров.</w:t>
      </w:r>
    </w:p>
    <w:p w14:paraId="1EAE1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16D7B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Разведка визуальная и фотографическая прибрежных районов моря. Поиски подводных лодок противника и борьба с ними, несение дозорной службы в море, корректирование артиллерийского огня береговой артиллерии. Бомбардирование легких судов противника. Сопровождение флота при выходе его в море и вождение торпедных катеров Е.У.</w:t>
      </w:r>
    </w:p>
    <w:p w14:paraId="6C21B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применения:</w:t>
      </w:r>
    </w:p>
    <w:p w14:paraId="65847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 парой и одиночный (днем и ночью). Базирование на морских прибрежных аэродромах. Возможна посадка в море для дежурства. Полет групповой при использовании как легкого бомбардировщика. Бой оборонительный.</w:t>
      </w:r>
    </w:p>
    <w:p w14:paraId="259C9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02675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 бомбы.</w:t>
      </w:r>
    </w:p>
    <w:p w14:paraId="50FF2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677396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Амфибия.</w:t>
      </w:r>
    </w:p>
    <w:p w14:paraId="5854F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Торпедоносец, он же пикирующий бомбардировщик, он же дымозавесчик.</w:t>
      </w:r>
    </w:p>
    <w:p w14:paraId="4EDD13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1248AD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Низкое торпедометание по кораблям противника. Усиление огневой мощи крейсеров бомбардированием при борьбе с кораблями противника. Постановка дымовых завес при ведении морского боя уничтожение торпедных катеров и подводных лодок. Корректирование артогня кораблей, тактическая разведка.</w:t>
      </w:r>
    </w:p>
    <w:p w14:paraId="092DA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w:t>
      </w:r>
    </w:p>
    <w:p w14:paraId="380FC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торпедоносец базируется на прибрежные аэродромы. Выполняет торпедометание на малых высотах. По окончании задания или возвращается в базу, при невозможность должна быть обеспечена посадка на воду, хотя бы без возможности взлета.</w:t>
      </w:r>
    </w:p>
    <w:p w14:paraId="50DC8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пикирующий бомбардировщик находится на крейсере. Взлетает с катапульты. Возвращается к кораблю с посадкой на воду. Взлет с воды необязателен. Успех бомбардирования обеспечивается скоростью и маневренностью.</w:t>
      </w:r>
    </w:p>
    <w:p w14:paraId="3867B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Постановка дымовых завес производится на малых высотах, защита от наземного огня противника обеспечивается скоростью и маневренностью.</w:t>
      </w:r>
    </w:p>
    <w:p w14:paraId="7DD2B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Воздушный бой - оборонительный.</w:t>
      </w:r>
    </w:p>
    <w:p w14:paraId="17133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58315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 торпеды, бомбы, дапы.</w:t>
      </w:r>
    </w:p>
    <w:p w14:paraId="78AC03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7A00A5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Крылья должны быть складные для удобства хранения на корабле.</w:t>
      </w:r>
    </w:p>
    <w:p w14:paraId="05CFD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Корабельный разведчик для линкоров и крейсеров.</w:t>
      </w:r>
    </w:p>
    <w:p w14:paraId="12140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25630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Ближняя разведка в интересах обеспечения флота. Корректирование артогня кораблей. Охрана кораблей от подлодок и борьба с ними.</w:t>
      </w:r>
    </w:p>
    <w:p w14:paraId="63EFF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w:t>
      </w:r>
    </w:p>
    <w:p w14:paraId="086BF5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Базируется на корабль, выбрасывается с катапульты, возвращается к кораблю с посадкой на воду, поднимается на корабль стрелой. Бой оборонительный.</w:t>
      </w:r>
    </w:p>
    <w:p w14:paraId="30BF8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3F27F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 глубинные бомбы.</w:t>
      </w:r>
    </w:p>
    <w:p w14:paraId="7B8AD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для подводных лодок и эскадронных миноносцев.</w:t>
      </w:r>
    </w:p>
    <w:p w14:paraId="1900F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558877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Поиски объектов атаки для подводных лодок и эскадренных миноносцев, а также наведение на объекты атаки. Установление связи подлодок с подводными кораблями и землей. Ночное бомбардирование малыми зажигательными бомбами земных сооружений.</w:t>
      </w:r>
    </w:p>
    <w:p w14:paraId="6F506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w:t>
      </w:r>
    </w:p>
    <w:p w14:paraId="79DC8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Базируется на подводную лодку, хранится в ангаре цилиндре. При базировании на эсминец хранится на палубе. Взлет и посадка в обоих случаях с воды.</w:t>
      </w:r>
    </w:p>
    <w:p w14:paraId="1D1048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p w14:paraId="14AE3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Один пулемет.</w:t>
      </w:r>
    </w:p>
    <w:p w14:paraId="7B003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требования:</w:t>
      </w:r>
    </w:p>
    <w:p w14:paraId="514A1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должен быть складной (крылья и шасси складывающиеся).</w:t>
      </w:r>
    </w:p>
    <w:p w14:paraId="232E2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Должен вмещаться в цилиндр диаметром 2 м, длиной 7,5 м.</w:t>
      </w:r>
    </w:p>
    <w:p w14:paraId="3C9FB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желательно иметь металлический.</w:t>
      </w:r>
    </w:p>
    <w:p w14:paraId="555E8C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Быстрая готовность к вылету.</w:t>
      </w:r>
    </w:p>
    <w:p w14:paraId="274D9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Типы самолетов авиации специального назначения.</w:t>
      </w:r>
    </w:p>
    <w:p w14:paraId="66EFA1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авиации специального назначения типы самолетов настоящей системы вооружения не устанавливаются. Для этой цели должны быть использованы в основном боевые типы самолетов, снимая вооружение с них, если оно не является необходимым.</w:t>
      </w:r>
    </w:p>
    <w:p w14:paraId="120E8F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Для целей ГВФ в основном должны использоваться также самолеты входящие в систему вооружения и только в крайнем случае могут быть построены специальные самолеты, если ни один из военных типов не окажется для этой цели пригодным.</w:t>
      </w:r>
    </w:p>
    <w:p w14:paraId="53B65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 санитарные самолеты строить не представляется целесообразным, так как можно использовать подвесные большие гондолы системы Гроховского, которые позволяют любой тяжелый самолет превратить в санитарный ни чуть не нарушая его других (боевых свойств) (3771).</w:t>
      </w:r>
    </w:p>
    <w:p w14:paraId="15D51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5853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(273,298) ЦКБ ЦАГИ решением ГУАП было преобразовано в Сектор опытного строительства (СОС ЦАГИ) (62,649). Зам начальника ЦАГИ по СОС был назначен С.В.И. Среди подразделений СОС на правах самостоятельных отделов был Конструкторский отдел (КО СОС) (КОСОС - 80,9) во главе с А.Н.Т. (71,185), состоявший из (80,9):</w:t>
      </w:r>
    </w:p>
    <w:p w14:paraId="197DF5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специализированных конструкторских бригад;</w:t>
      </w:r>
    </w:p>
    <w:p w14:paraId="1042B4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отдела внедрения в серию;</w:t>
      </w:r>
    </w:p>
    <w:p w14:paraId="6A14C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отдела эксплуатации и летных испытаний;</w:t>
      </w:r>
    </w:p>
    <w:p w14:paraId="39D9A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некоторых других (80,9).</w:t>
      </w:r>
    </w:p>
    <w:p w14:paraId="6D7EF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 КОСОС вошел завод опытных конструкций (ЗОК) - завод 156 (80,417).</w:t>
      </w:r>
    </w:p>
    <w:p w14:paraId="3B74C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В.Б.Ш. в это время централизованное проектирование было заменено системой сквозных бригад (92,409):</w:t>
      </w:r>
    </w:p>
    <w:p w14:paraId="09E58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истребители - Н.Н.П.;</w:t>
      </w:r>
    </w:p>
    <w:p w14:paraId="44F481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разведчики - С.А.Кочеригин;</w:t>
      </w:r>
    </w:p>
    <w:p w14:paraId="732A3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самолеты дальнего действия - П.О.Сухой;</w:t>
      </w:r>
    </w:p>
    <w:p w14:paraId="367E1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морские - И.И.Погосский, И.В.Четвериков, позже Г.М.Бериев;</w:t>
      </w:r>
    </w:p>
    <w:p w14:paraId="1F293A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винтовых аппаратов - А.М.Изаксон;</w:t>
      </w:r>
    </w:p>
    <w:p w14:paraId="0BB4DD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вооружения - А.В.Надашкевич;</w:t>
      </w:r>
    </w:p>
    <w:p w14:paraId="34959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воздушных винтов - В.Л.Александров;</w:t>
      </w:r>
    </w:p>
    <w:p w14:paraId="68DD8B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колес и лыж - А.И.Машкевич;</w:t>
      </w:r>
    </w:p>
    <w:p w14:paraId="162A8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стандартов и нормалей - П.А.Дудукалов</w:t>
      </w:r>
    </w:p>
    <w:p w14:paraId="796FA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И.Ф.Незваль писал, что было написано множество докладных и писем в различные инстанции, много было проведено переговоров и в ВСНХ, и в ВВС, и в СНК, и в ЦК и несмотря на это "свадьба" ЦАГИ и ЦКБ (или вернее ОГПУ) была до весны 1933 (71,185).</w:t>
      </w:r>
    </w:p>
    <w:p w14:paraId="4B83EC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упрощение схемы ЦКБ в ЦАГИ и создание КОСОС не помогло и потом все же образовали две самостоятельных организации - уже 13 января 1933 (80,9).</w:t>
      </w:r>
    </w:p>
    <w:p w14:paraId="1F17FD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С.В.И. в мае 1932 назначил Н.Н.П. зам. П.О.Сухого (бригада 3, занятая И-14). Н.Н.П. высказал П.О.С. замечания по работе, но понимания не встретил. Написал докладную (опять!!!) С.В.И. предложил две схемы - биплана и моноплана, а так как И-14 содержал много нового счел полутороплан более важным - сделал свой вариант с убирающимся шасси И-14б и неубирающимся И-14а, а также начал работы по И-16 и И-17 (167,20) Бригада 3 имела задание на истребитель-моноплан И-14 и Н.Н.П. стал зам. занялся разработкой подстраховочного варианта и полутороплан И-14а потом и стал И-15 (129,2). Сам П.О.С. тоже был назначен начальником 3 бригады (с поста начальника которой был смещен Н.Н.П. в ноябре 1931) только в мае 1932 (129,2).</w:t>
      </w:r>
    </w:p>
    <w:p w14:paraId="7651B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Интересно, а кто же был в этот период с ноября 1931 до мая 1932.</w:t>
      </w:r>
    </w:p>
    <w:p w14:paraId="393C6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8EA063"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мая 1932 г. был образован Сектор опытного строительства (СОС), включавший в себя ЗОК (завод опытных конструкций ЦАГИ), ЦКБ, отдел эксплуатации и летных испытаний, ряд других подразделений. Его начальником и заместителем начальника ЦАГИ был назначен С. В. Ильюшин, А. Н. Туполев — заместителем начальника СОС по конструкторскому отделу. Нельзя сказать, что Андрей Николаевич был доволен этим назначением, так как должен был подчиняться Сергею Владимировичу, не имевшему в то время опыта создания авиационной техники (25551).</w:t>
      </w:r>
    </w:p>
    <w:p w14:paraId="01ABB416" w14:textId="77777777" w:rsidR="0096770E" w:rsidRPr="00142305" w:rsidRDefault="0096770E" w:rsidP="0096770E">
      <w:pPr>
        <w:spacing w:after="0" w:line="240" w:lineRule="auto"/>
        <w:jc w:val="both"/>
        <w:rPr>
          <w:rFonts w:ascii="Times New Roman" w:hAnsi="Times New Roman"/>
          <w:color w:val="0070C0"/>
          <w:sz w:val="16"/>
          <w:szCs w:val="16"/>
        </w:rPr>
      </w:pPr>
    </w:p>
    <w:p w14:paraId="3328535C"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25 мая 1932 г. «Для придания большей самостоятельности, гибкости и конкретности руководства отдельными подразделениями…» ЦКБ ЦАГИ было преобразовано в сектор опытного строительства (СОС), в составе: конструкторского отдела (КОСОС); отдела внедрения в серию; отдела стандартизации; отдела эксплуатации, летных испытаний и доводок (ОЭЛИД); завода опытных конструкций (ЗОК); бюро информации.</w:t>
      </w:r>
    </w:p>
    <w:p w14:paraId="2D12C013"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СОС разместился в новом комплексе зданий ЗОК и КОСОС, построенном на правом берегу реки Яузы за Дворцовым (Лефортовским) мостом (25667).</w:t>
      </w:r>
    </w:p>
    <w:p w14:paraId="435F669A" w14:textId="77777777" w:rsidR="0096770E" w:rsidRPr="00142305" w:rsidRDefault="0096770E" w:rsidP="0096770E">
      <w:pPr>
        <w:spacing w:after="0" w:line="240" w:lineRule="auto"/>
        <w:jc w:val="both"/>
        <w:rPr>
          <w:rFonts w:ascii="Times New Roman" w:hAnsi="Times New Roman"/>
          <w:color w:val="0070C0"/>
          <w:sz w:val="16"/>
          <w:szCs w:val="16"/>
        </w:rPr>
      </w:pPr>
    </w:p>
    <w:p w14:paraId="5D8E21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 Н.М.Харламов издал приказ, в соответствии с которым «...для придания большей самостоятельности, гибкости и конкретности руководства отдельными подразделениями...» ЦКБ ЦАГИ преобразовывалось в Сектор опытного строительства - СОС ЦАГИ. Основой СОС ЦАГИ стал Конструкторский отдел (КОСОС) во главе с А.Н.Туполевым, состоявший из специализированных конструкторских бригад, проектировавших самые различные по назначению самолеты - от истребителей до тяжелых бомбардировщиков. Были организованы также Отдел внедрения в серию во главе с И.М.Косткиным; Отдел эксплуатации и летных испытаний во главе с бывшим летчиком Георгиевским кавалером Первой мировой войны К.К.Стоманом; Завод опытных конструкций - ЗОК и ряд других подразделений. Этим же приказом руководителем Сектора опытного строительства ЦАГИ назначался С.В.Ильюшин (9528).</w:t>
      </w:r>
    </w:p>
    <w:p w14:paraId="3095A9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9E7BB9"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color w:val="000000" w:themeColor="text1"/>
          <w:sz w:val="16"/>
          <w:szCs w:val="16"/>
        </w:rPr>
        <w:t xml:space="preserve">25 мая 1932 года </w:t>
      </w:r>
      <w:r w:rsidRPr="00E93F40">
        <w:rPr>
          <w:rStyle w:val="af0"/>
          <w:i w:val="0"/>
          <w:color w:val="000000" w:themeColor="text1"/>
          <w:sz w:val="16"/>
          <w:szCs w:val="16"/>
          <w:bdr w:val="none" w:sz="0" w:space="0" w:color="auto" w:frame="1"/>
        </w:rPr>
        <w:t xml:space="preserve">«Для придания большей самостоятельности, гибкости и конкретности руководства отдельными подразделениями…» </w:t>
      </w:r>
      <w:r w:rsidRPr="00E93F40">
        <w:rPr>
          <w:color w:val="000000" w:themeColor="text1"/>
          <w:sz w:val="16"/>
          <w:szCs w:val="16"/>
        </w:rPr>
        <w:t>ЦКБ ЦАГИ было преобразовано в сектор опытного строительства (СОС), в составе: конструкторского отдела (КОСОС); отдела внедрения в серию; отдела стандартизации; отдела эксплуатации, летных испытаний и доводок (ОЭЛИД); завода опытных конструкций (ЗОК); бюро информации (19171).</w:t>
      </w:r>
    </w:p>
    <w:p w14:paraId="72FD58E5" w14:textId="77777777" w:rsidR="00E34863" w:rsidRPr="00E93F40" w:rsidRDefault="00E34863" w:rsidP="00E93F40">
      <w:pPr>
        <w:pStyle w:val="rtejustify"/>
        <w:shd w:val="clear" w:color="auto" w:fill="FFFFFF"/>
        <w:spacing w:before="0" w:after="0"/>
        <w:rPr>
          <w:color w:val="000000" w:themeColor="text1"/>
          <w:sz w:val="16"/>
          <w:szCs w:val="16"/>
        </w:rPr>
      </w:pPr>
    </w:p>
    <w:p w14:paraId="7C4850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 был образован Сектор опыт</w:t>
      </w:r>
      <w:r w:rsidRPr="00E93F40">
        <w:rPr>
          <w:rFonts w:ascii="Times New Roman" w:hAnsi="Times New Roman"/>
          <w:color w:val="000000" w:themeColor="text1"/>
          <w:sz w:val="16"/>
          <w:szCs w:val="16"/>
        </w:rPr>
        <w:softHyphen/>
        <w:t>ного строительства (СОС), включавший в себя ЗОК, ЦКБ, отдел эксплуатации и летных испытаний, ряд дру</w:t>
      </w:r>
      <w:r w:rsidRPr="00E93F40">
        <w:rPr>
          <w:rFonts w:ascii="Times New Roman" w:hAnsi="Times New Roman"/>
          <w:color w:val="000000" w:themeColor="text1"/>
          <w:sz w:val="16"/>
          <w:szCs w:val="16"/>
        </w:rPr>
        <w:softHyphen/>
        <w:t>гих подразделений. Его начальником и заместите</w:t>
      </w:r>
      <w:r w:rsidRPr="00E93F40">
        <w:rPr>
          <w:rFonts w:ascii="Times New Roman" w:hAnsi="Times New Roman"/>
          <w:color w:val="000000" w:themeColor="text1"/>
          <w:sz w:val="16"/>
          <w:szCs w:val="16"/>
        </w:rPr>
        <w:softHyphen/>
        <w:t>лем начальника ЦАГИ стал Ильюшин, А.Н.Туполев -заместителем начальника СОС по конструкторскому от</w:t>
      </w:r>
      <w:r w:rsidRPr="00E93F40">
        <w:rPr>
          <w:rFonts w:ascii="Times New Roman" w:hAnsi="Times New Roman"/>
          <w:color w:val="000000" w:themeColor="text1"/>
          <w:sz w:val="16"/>
          <w:szCs w:val="16"/>
        </w:rPr>
        <w:softHyphen/>
        <w:t>делу. Нельзя сказать, что Андрей Николаевич был дово</w:t>
      </w:r>
      <w:r w:rsidRPr="00E93F40">
        <w:rPr>
          <w:rFonts w:ascii="Times New Roman" w:hAnsi="Times New Roman"/>
          <w:color w:val="000000" w:themeColor="text1"/>
          <w:sz w:val="16"/>
          <w:szCs w:val="16"/>
        </w:rPr>
        <w:softHyphen/>
        <w:t>лен этим назначением, так как должен был подчиняться Сергею Владимировичу, не имевшему в то время опыта создания авиационной техники (10667).</w:t>
      </w:r>
    </w:p>
    <w:p w14:paraId="7D486D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8B539F" w14:textId="77777777" w:rsidR="00743CF8" w:rsidRPr="00E93F40" w:rsidRDefault="00743C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 «Для придания большей самостоятельности, гибко</w:t>
      </w:r>
      <w:r w:rsidRPr="00E93F40">
        <w:rPr>
          <w:rFonts w:ascii="Times New Roman" w:hAnsi="Times New Roman"/>
          <w:color w:val="000000" w:themeColor="text1"/>
          <w:sz w:val="16"/>
          <w:szCs w:val="16"/>
        </w:rPr>
        <w:softHyphen/>
        <w:t>сти и конкретности руководства от</w:t>
      </w:r>
      <w:r w:rsidRPr="00E93F40">
        <w:rPr>
          <w:rFonts w:ascii="Times New Roman" w:hAnsi="Times New Roman"/>
          <w:color w:val="000000" w:themeColor="text1"/>
          <w:sz w:val="16"/>
          <w:szCs w:val="16"/>
        </w:rPr>
        <w:softHyphen/>
        <w:t>дельными подразделениями...» ЦКБ ЦАГИ преобразовали в сектор опыт</w:t>
      </w:r>
      <w:r w:rsidRPr="00E93F40">
        <w:rPr>
          <w:rFonts w:ascii="Times New Roman" w:hAnsi="Times New Roman"/>
          <w:color w:val="000000" w:themeColor="text1"/>
          <w:sz w:val="16"/>
          <w:szCs w:val="16"/>
        </w:rPr>
        <w:softHyphen/>
        <w:t>ного строительства (СОС), в составе: конструкторского отдела (КОСОС), отдела внедрения в серию, отделов стандартизации и эксплуатации, от</w:t>
      </w:r>
      <w:r w:rsidRPr="00E93F40">
        <w:rPr>
          <w:rFonts w:ascii="Times New Roman" w:hAnsi="Times New Roman"/>
          <w:color w:val="000000" w:themeColor="text1"/>
          <w:sz w:val="16"/>
          <w:szCs w:val="16"/>
        </w:rPr>
        <w:softHyphen/>
        <w:t>дела лётных испытаний и доводок (ОЭЛИД), завода опытных конструк</w:t>
      </w:r>
      <w:r w:rsidRPr="00E93F40">
        <w:rPr>
          <w:rFonts w:ascii="Times New Roman" w:hAnsi="Times New Roman"/>
          <w:color w:val="000000" w:themeColor="text1"/>
          <w:sz w:val="16"/>
          <w:szCs w:val="16"/>
        </w:rPr>
        <w:softHyphen/>
        <w:t>ций (ЗОК), бюро информации (15801).</w:t>
      </w:r>
    </w:p>
    <w:p w14:paraId="2213EFE0" w14:textId="77777777" w:rsidR="00743CF8" w:rsidRPr="00E93F40" w:rsidRDefault="00743CF8" w:rsidP="00E93F40">
      <w:pPr>
        <w:spacing w:after="0" w:line="240" w:lineRule="auto"/>
        <w:jc w:val="both"/>
        <w:rPr>
          <w:rFonts w:ascii="Times New Roman" w:hAnsi="Times New Roman"/>
          <w:color w:val="000000" w:themeColor="text1"/>
          <w:sz w:val="16"/>
          <w:szCs w:val="16"/>
        </w:rPr>
      </w:pPr>
    </w:p>
    <w:p w14:paraId="71E63A8A"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 «Для придания большей самостоятельности, гибкости и конкретности руководства отдельными подразделениями...» ЦКБ ЦАГИ было преобразовано в сектор опытного строительства (СОС), в составе: конструкторского отдела (КОСОС); отдела внедрения в серию; отдела стандартизации; отдела эксплуатации, летных испытаний и доводок (ОЭЛИД); завода опытных конструкций (ЗОК); бюро информации. СОС разместился в новом комплексе зданий ЗОК и КОСОС, построенном на правом берегу реки Яузы за Дворцовым (Лефортовским) мостом (12230).</w:t>
      </w:r>
    </w:p>
    <w:p w14:paraId="2860BBFE" w14:textId="77777777" w:rsidR="00272919" w:rsidRPr="00E93F40" w:rsidRDefault="00272919" w:rsidP="00E93F40">
      <w:pPr>
        <w:spacing w:after="0" w:line="240" w:lineRule="auto"/>
        <w:jc w:val="both"/>
        <w:rPr>
          <w:rFonts w:ascii="Times New Roman" w:hAnsi="Times New Roman"/>
          <w:color w:val="000000" w:themeColor="text1"/>
          <w:sz w:val="16"/>
          <w:szCs w:val="16"/>
        </w:rPr>
      </w:pPr>
    </w:p>
    <w:p w14:paraId="7DC4DB77"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 был образован Сек</w:t>
      </w:r>
      <w:r w:rsidRPr="00E93F40">
        <w:rPr>
          <w:rFonts w:ascii="Times New Roman" w:hAnsi="Times New Roman"/>
          <w:color w:val="000000" w:themeColor="text1"/>
          <w:sz w:val="16"/>
          <w:szCs w:val="16"/>
        </w:rPr>
        <w:softHyphen/>
        <w:t>тор опытного строительства (СОС), включавший в себя ЗОК, ЦКБ, от</w:t>
      </w:r>
      <w:r w:rsidRPr="00E93F40">
        <w:rPr>
          <w:rFonts w:ascii="Times New Roman" w:hAnsi="Times New Roman"/>
          <w:color w:val="000000" w:themeColor="text1"/>
          <w:sz w:val="16"/>
          <w:szCs w:val="16"/>
        </w:rPr>
        <w:softHyphen/>
        <w:t>дел эксплуатации и летных испы</w:t>
      </w:r>
      <w:r w:rsidRPr="00E93F40">
        <w:rPr>
          <w:rFonts w:ascii="Times New Roman" w:hAnsi="Times New Roman"/>
          <w:color w:val="000000" w:themeColor="text1"/>
          <w:sz w:val="16"/>
          <w:szCs w:val="16"/>
        </w:rPr>
        <w:softHyphen/>
        <w:t>таний, ряд других подразделений. Его начальником и заместителем начальника ЦАГИ был назначен С.В. Ильюшин, А.Н. Туполев - за</w:t>
      </w:r>
      <w:r w:rsidRPr="00E93F40">
        <w:rPr>
          <w:rFonts w:ascii="Times New Roman" w:hAnsi="Times New Roman"/>
          <w:color w:val="000000" w:themeColor="text1"/>
          <w:sz w:val="16"/>
          <w:szCs w:val="16"/>
        </w:rPr>
        <w:softHyphen/>
        <w:t>местителем начальника СОС по конструкторскому отделу. Нельзя сказать, что Андрей Николаевич был доволен этим назначением, так как должен был подчиняться Сергею Владимировичу, не имев</w:t>
      </w:r>
      <w:r w:rsidRPr="00E93F40">
        <w:rPr>
          <w:rFonts w:ascii="Times New Roman" w:hAnsi="Times New Roman"/>
          <w:color w:val="000000" w:themeColor="text1"/>
          <w:sz w:val="16"/>
          <w:szCs w:val="16"/>
        </w:rPr>
        <w:softHyphen/>
        <w:t>шему в то время опыта создания авиационной техники.</w:t>
      </w:r>
    </w:p>
    <w:p w14:paraId="0424584C"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Ильюшин как мог старался помочь опальному Поликарпову. Сделать это было нелегко. Но все же, когда четвертого мая 1932 г. на</w:t>
      </w:r>
      <w:r w:rsidRPr="00E93F40">
        <w:rPr>
          <w:rFonts w:ascii="Times New Roman" w:hAnsi="Times New Roman"/>
          <w:color w:val="000000" w:themeColor="text1"/>
          <w:sz w:val="16"/>
          <w:szCs w:val="16"/>
        </w:rPr>
        <w:softHyphen/>
        <w:t>чальник ЦАГИ Н.М. Харламов издал приказ о слиянии бригад №3 и №4 в одну - бригаду №3 (начальник П.О. Сухой), то по предложению С.В. Ильюшина на должность заме</w:t>
      </w:r>
      <w:r w:rsidRPr="00E93F40">
        <w:rPr>
          <w:rFonts w:ascii="Times New Roman" w:hAnsi="Times New Roman"/>
          <w:color w:val="000000" w:themeColor="text1"/>
          <w:sz w:val="16"/>
          <w:szCs w:val="16"/>
        </w:rPr>
        <w:softHyphen/>
        <w:t>стителей начальника были назна</w:t>
      </w:r>
      <w:r w:rsidRPr="00E93F40">
        <w:rPr>
          <w:rFonts w:ascii="Times New Roman" w:hAnsi="Times New Roman"/>
          <w:color w:val="000000" w:themeColor="text1"/>
          <w:sz w:val="16"/>
          <w:szCs w:val="16"/>
        </w:rPr>
        <w:softHyphen/>
        <w:t>чены Н.Н. Поликарпов и Г.И. Бертош.</w:t>
      </w:r>
    </w:p>
    <w:p w14:paraId="015C1D07"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к середине 1933 г. бригада должна была выпустить на испытания истребитель-полу</w:t>
      </w:r>
      <w:r w:rsidRPr="00E93F40">
        <w:rPr>
          <w:rFonts w:ascii="Times New Roman" w:hAnsi="Times New Roman"/>
          <w:color w:val="000000" w:themeColor="text1"/>
          <w:sz w:val="16"/>
          <w:szCs w:val="16"/>
        </w:rPr>
        <w:softHyphen/>
        <w:t>тораплан И-13 (АНТ 32) с двига</w:t>
      </w:r>
      <w:r w:rsidRPr="00E93F40">
        <w:rPr>
          <w:rFonts w:ascii="Times New Roman" w:hAnsi="Times New Roman"/>
          <w:color w:val="000000" w:themeColor="text1"/>
          <w:sz w:val="16"/>
          <w:szCs w:val="16"/>
        </w:rPr>
        <w:softHyphen/>
        <w:t>телем жидкостного охлаждения М 32 и истребитель-моноплан И-14 (АНТ-31) с двигателем воздушного охлаждения М 38, который еще только разрабатывался.</w:t>
      </w:r>
    </w:p>
    <w:p w14:paraId="45D2389C"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Бертош, выполняя указание Туполева, проектировал И-13 на базе И-8.</w:t>
      </w:r>
    </w:p>
    <w:p w14:paraId="2CD292D0"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Павел Осипович Сухой скон</w:t>
      </w:r>
      <w:r w:rsidRPr="00E93F40">
        <w:rPr>
          <w:rFonts w:ascii="Times New Roman" w:hAnsi="Times New Roman"/>
          <w:color w:val="000000" w:themeColor="text1"/>
          <w:sz w:val="16"/>
          <w:szCs w:val="16"/>
        </w:rPr>
        <w:softHyphen/>
        <w:t>центрировал свои усилия на раз</w:t>
      </w:r>
      <w:r w:rsidRPr="00E93F40">
        <w:rPr>
          <w:rFonts w:ascii="Times New Roman" w:hAnsi="Times New Roman"/>
          <w:color w:val="000000" w:themeColor="text1"/>
          <w:sz w:val="16"/>
          <w:szCs w:val="16"/>
        </w:rPr>
        <w:softHyphen/>
        <w:t>работке истребителя-моноплана И-14 с убирающимся шасси и мак</w:t>
      </w:r>
      <w:r w:rsidRPr="00E93F40">
        <w:rPr>
          <w:rFonts w:ascii="Times New Roman" w:hAnsi="Times New Roman"/>
          <w:color w:val="000000" w:themeColor="text1"/>
          <w:sz w:val="16"/>
          <w:szCs w:val="16"/>
        </w:rPr>
        <w:softHyphen/>
        <w:t>симальной скоростью около 380 километров в час. Николай Нико</w:t>
      </w:r>
      <w:r w:rsidRPr="00E93F40">
        <w:rPr>
          <w:rFonts w:ascii="Times New Roman" w:hAnsi="Times New Roman"/>
          <w:color w:val="000000" w:themeColor="text1"/>
          <w:sz w:val="16"/>
          <w:szCs w:val="16"/>
        </w:rPr>
        <w:softHyphen/>
        <w:t>лаевич высказал свои соображе</w:t>
      </w:r>
      <w:r w:rsidRPr="00E93F40">
        <w:rPr>
          <w:rFonts w:ascii="Times New Roman" w:hAnsi="Times New Roman"/>
          <w:color w:val="000000" w:themeColor="text1"/>
          <w:sz w:val="16"/>
          <w:szCs w:val="16"/>
        </w:rPr>
        <w:softHyphen/>
        <w:t>ния по самолету, но понимания не встретил. П.О. Сухой имел иной взгляд на проектирование И-14.</w:t>
      </w:r>
    </w:p>
    <w:p w14:paraId="25570836"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просьбе Ильюшина Нико</w:t>
      </w:r>
      <w:r w:rsidRPr="00E93F40">
        <w:rPr>
          <w:rFonts w:ascii="Times New Roman" w:hAnsi="Times New Roman"/>
          <w:color w:val="000000" w:themeColor="text1"/>
          <w:sz w:val="16"/>
          <w:szCs w:val="16"/>
        </w:rPr>
        <w:softHyphen/>
        <w:t>лай Николаевич провел исследо</w:t>
      </w:r>
      <w:r w:rsidRPr="00E93F40">
        <w:rPr>
          <w:rFonts w:ascii="Times New Roman" w:hAnsi="Times New Roman"/>
          <w:color w:val="000000" w:themeColor="text1"/>
          <w:sz w:val="16"/>
          <w:szCs w:val="16"/>
        </w:rPr>
        <w:softHyphen/>
        <w:t>вания по перспективам развития истребителей и двигателей для них. Именно тогда на его ра</w:t>
      </w:r>
      <w:r w:rsidRPr="00E93F40">
        <w:rPr>
          <w:rFonts w:ascii="Times New Roman" w:hAnsi="Times New Roman"/>
          <w:color w:val="000000" w:themeColor="text1"/>
          <w:sz w:val="16"/>
          <w:szCs w:val="16"/>
        </w:rPr>
        <w:softHyphen/>
        <w:t>бочем столе появились первые расчеты и прорисовки будущих истребителей И-15, И-16, И-17. Свой анализ проблемы он офор</w:t>
      </w:r>
      <w:r w:rsidRPr="00E93F40">
        <w:rPr>
          <w:rFonts w:ascii="Times New Roman" w:hAnsi="Times New Roman"/>
          <w:color w:val="000000" w:themeColor="text1"/>
          <w:sz w:val="16"/>
          <w:szCs w:val="16"/>
        </w:rPr>
        <w:softHyphen/>
        <w:t>мил в виде докладной записки и направил ее руководству ЦКБ. В ней Поликарпов изложил свои предложения по истребителям нового поколения.</w:t>
      </w:r>
    </w:p>
    <w:p w14:paraId="16E2C082"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его мнению, новые истре</w:t>
      </w:r>
      <w:r w:rsidRPr="00E93F40">
        <w:rPr>
          <w:rFonts w:ascii="Times New Roman" w:hAnsi="Times New Roman"/>
          <w:color w:val="000000" w:themeColor="text1"/>
          <w:sz w:val="16"/>
          <w:szCs w:val="16"/>
        </w:rPr>
        <w:softHyphen/>
        <w:t>бители должны быть смешанной конструкции (23406).</w:t>
      </w:r>
    </w:p>
    <w:p w14:paraId="13FFFA3F" w14:textId="77777777" w:rsidR="00CD6DEE" w:rsidRPr="00E93F40" w:rsidRDefault="00CD6DEE" w:rsidP="00E93F40">
      <w:pPr>
        <w:spacing w:after="0" w:line="240" w:lineRule="auto"/>
        <w:jc w:val="both"/>
        <w:rPr>
          <w:rFonts w:ascii="Times New Roman" w:hAnsi="Times New Roman"/>
          <w:color w:val="000000" w:themeColor="text1"/>
          <w:sz w:val="16"/>
          <w:szCs w:val="16"/>
        </w:rPr>
      </w:pPr>
    </w:p>
    <w:p w14:paraId="5E2FED25"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 решением ГУАП ЦКБ-ЦАГИ преобразовано в Сектор опытного строительства (СОС ЦАГИ), заместителем начальника ЦАГИ по СОС назначен С.В. Ильюшин, оставаясь и начальником ЦКБ-39. При этом на правах самостоятельного отдела организован Конструкторский отдел (КО СОС или КОСОС) во главе с А.Н. Туполевым, состоявший из конструкторских бригад, специализированных по типам разрабатываемых ими изделий (например, самолеты-истребители), отдела летных испытаний и эксплуатации, отдела внедрения новых типов в серию, а также вспомогательных подразделений, обеспечивавших работу остальных.</w:t>
      </w:r>
    </w:p>
    <w:p w14:paraId="6FA98F5D"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 КОСОС вошел завод опытных конструкций (ЗОК), который в дальнейшем переименован в завод №156, а опытной базой ЦКБ остался завод №39, который сохранял и серийное производство в т.ч. самолетов разработки АГОС / КОСОС, благодаря ведущейся Ильюшиным модернизации предприятия. В частности, уже в 1932 г. завод №39 сдал первые пять тяжелых бомбардировщиков ТБ-3 (АНТ-6) своей постройки (23554).</w:t>
      </w:r>
    </w:p>
    <w:p w14:paraId="56EDC457" w14:textId="77777777" w:rsidR="00CD6DEE" w:rsidRPr="00E93F40" w:rsidRDefault="00CD6DEE" w:rsidP="00E93F40">
      <w:pPr>
        <w:spacing w:after="0" w:line="240" w:lineRule="auto"/>
        <w:jc w:val="both"/>
        <w:rPr>
          <w:rFonts w:ascii="Times New Roman" w:hAnsi="Times New Roman"/>
          <w:color w:val="000000" w:themeColor="text1"/>
          <w:sz w:val="16"/>
          <w:szCs w:val="16"/>
        </w:rPr>
      </w:pPr>
    </w:p>
    <w:p w14:paraId="7A922A9F"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мая 1932 г. С.В. Ильюшин провел совещание руководства и ЦКБ-39, и АГОС / КОСОС ЦАГИ по вопросу разработки общего пятилетнего плана. В какой-то мере совместную работу ЦКБ-39 и АГОС / КОСОС ЦАГИ к тому времени уже удалось наладить. В частности, мощности ЦКБ-39 были привлечены для выпуска КД на модификацию самолета АНТ-6 (ТБ-3) под новые отечественные двигатели М-34 взамен лицензионных М-17.</w:t>
      </w:r>
    </w:p>
    <w:p w14:paraId="547A20FA"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 же время начальник ЦКБ-39 Ильюшин не поддерживал работы АГОС по самолетам с динамо-реактивными пушками (в частности по такой модификации истребителя АНТ-5 / И-4 (не препятствуя таким работам в ЦКБ – их вел Григорович) и, особенно, по сверхтяжелой летающей лодке АНТ-22 / МК-1, что вызвало недовольство руководства АГОС, потребовавшее считать этот проект «ударным», т.е. особой важности.</w:t>
      </w:r>
    </w:p>
    <w:p w14:paraId="6C50038A"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учетом положительного опыта работы и самого ЦКБ-39 (по факту, а не по формальной организации, которая так до конца и не была внедрена) и АГОС / КОСОС ЦАГИ, централизованное проектирование по постадийному принципу было заменено и в ЦКБ-39 системой сквозных бригад с объектовым принципом работы. Были образованы заново бригады по разработке самолетов различных классов:</w:t>
      </w:r>
    </w:p>
    <w:p w14:paraId="54A4B47A"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 1 (С.А. Кочеригин) – разведчики и штурмовики;</w:t>
      </w:r>
    </w:p>
    <w:p w14:paraId="4DAC8329"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 2 (Н.Н. Поликарпов) – истребители;</w:t>
      </w:r>
    </w:p>
    <w:p w14:paraId="6E30A9BD"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 3 (Чижевский) – экспериментальные работы по высотным самолетам и «летающим крыльям», проект самолета ЛБ-2, гондола стратостата, высотное оборудование;</w:t>
      </w:r>
    </w:p>
    <w:p w14:paraId="5BEC9C70"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 5 (И.И. Погосский, после его перехода в КОСОС ЦАГИ – И.В. Четвериков, далее – Г.М. Бериев) – морские самолеты;</w:t>
      </w:r>
    </w:p>
    <w:p w14:paraId="1F3A5A5E"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 же время в составе ЦКБ-39 оставались общие бригады, работавшие в интересах бригад по классам самолетов.</w:t>
      </w:r>
    </w:p>
    <w:p w14:paraId="1CA98E49"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 4 (А.В. Надашкевич, затем Мальцев) – вооружение для всех проектируемых ЛА;</w:t>
      </w:r>
    </w:p>
    <w:p w14:paraId="2FC43A99"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 6 (П.М. Крейсон) прочность, расчеты веса и статиспытания для всех проектируемых ЛА;</w:t>
      </w:r>
    </w:p>
    <w:p w14:paraId="1608BC47"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бригада воздушных винтов (В.Л. Александров);</w:t>
      </w:r>
    </w:p>
    <w:p w14:paraId="682BA836"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бригада колес и лыж (А.И. Машкевич);</w:t>
      </w:r>
    </w:p>
    <w:p w14:paraId="6DE11733"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бригада стандартов и нормалей (П.А. Дудукалов).</w:t>
      </w:r>
    </w:p>
    <w:p w14:paraId="6F43FBD5"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Оставались неопределенными по принадлежности бригады, которые формально относились к ЦКБ, но находились на территории АГОС / КОСОС:</w:t>
      </w:r>
    </w:p>
    <w:p w14:paraId="1E210168"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самолеты дальнего действия – П.О. Сухой;</w:t>
      </w:r>
    </w:p>
    <w:p w14:paraId="733FC354" w14:textId="77777777" w:rsidR="00CD6DEE" w:rsidRPr="00E93F40" w:rsidRDefault="00CD6D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бригада винтовых аппаратов (автожиры и вертолеты) – А.М. Изаксон (23554).</w:t>
      </w:r>
    </w:p>
    <w:p w14:paraId="70355178" w14:textId="77777777" w:rsidR="00CD6DEE" w:rsidRPr="00E93F40" w:rsidRDefault="00CD6DEE" w:rsidP="00E93F40">
      <w:pPr>
        <w:spacing w:after="0" w:line="240" w:lineRule="auto"/>
        <w:jc w:val="both"/>
        <w:rPr>
          <w:rFonts w:ascii="Times New Roman" w:hAnsi="Times New Roman"/>
          <w:color w:val="000000" w:themeColor="text1"/>
          <w:sz w:val="16"/>
          <w:szCs w:val="16"/>
        </w:rPr>
      </w:pPr>
    </w:p>
    <w:p w14:paraId="2218B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года комиссией НКТП был утвержден Генеральный план строительства завода № 126, разработанный Государственным институтом по проектированию авиационных заводов (9444)</w:t>
      </w:r>
    </w:p>
    <w:p w14:paraId="2A03F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326B68" w14:textId="77777777" w:rsidR="002729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D4F73B6" w14:textId="77777777" w:rsidR="00272919" w:rsidRPr="00E93F40" w:rsidRDefault="002729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BFE87D"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мая 1932 г., поскольку кожух сильно влиял на режим охлаждения двигателя, его сняли и испытали самоходную установку Т-27М (Т-27С, или Т-27/С/) без кожуха. Температура внутри танкетки поднималась максимально до 28°. Вместо 15 мин с кожухом танкетка могла двигаться уже 30—40 мин без кожуха, но при этом вода нагревалась до 93—95°, что также признали неприемлемым. В итоге испытания Т-27М были приостановлены. Однако работы по данной теме решили продолжить.</w:t>
      </w:r>
    </w:p>
    <w:p w14:paraId="5D46A4D4"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Дальнейшим развитием Т-27М стала самоходная установка Т-27, которую также разработали в КБ ленинградского завода «Большевик» по проекту К.К. Сиркена в 1931 г. На заводе «Большевик» выпустили несколько опытных образцов. Эта самоходная установка отличалась от Т-27М наличием только пушечного вооружения (37-мм пушка «Гочкис») и конструкцией ходовой части. Однако самоходной установке Т-27 оказались свойственны те же недостатки, что и Т-27М. Дальнейшие работы по ней были прекращены (25561).</w:t>
      </w:r>
    </w:p>
    <w:p w14:paraId="7A2E334D" w14:textId="77777777" w:rsidR="0096770E" w:rsidRPr="00142305" w:rsidRDefault="0096770E" w:rsidP="0096770E">
      <w:pPr>
        <w:spacing w:after="0" w:line="240" w:lineRule="auto"/>
        <w:jc w:val="both"/>
        <w:rPr>
          <w:rFonts w:ascii="Times New Roman" w:hAnsi="Times New Roman"/>
          <w:color w:val="0070C0"/>
          <w:sz w:val="16"/>
          <w:szCs w:val="16"/>
        </w:rPr>
      </w:pPr>
    </w:p>
    <w:p w14:paraId="597317EB"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мая 1932 г. специальным правительственным постановлением на СТЗ была возложена задача подготовить к 1 января 1933 г. новые мощности, которые при использовании основных цехов завода должны были обращать СТЗ в базу танкостроения РККА, и с этого времени программа выпуска гражданской продукции формировалась с учетом мобилизационного задания предприятия. Утвержденная этим решением программа увеличила объем специального строительства и потребовала полной реконструкции завода.</w:t>
      </w:r>
    </w:p>
    <w:p w14:paraId="2F697175" w14:textId="77777777" w:rsidR="0096770E" w:rsidRPr="00142305" w:rsidRDefault="0096770E" w:rsidP="0096770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Дальнейшее изменение мобилизационного задания завода и слияние военного и гражданского производств привели к необходимости включить в план второй пятилетки переход на новую конструкцию гусеничного трактора, и 15 мая 1937 г. СХТЗ-15/30 уступил место на конвейере другой модели (25580).</w:t>
      </w:r>
    </w:p>
    <w:p w14:paraId="7B325C3C" w14:textId="77777777" w:rsidR="0096770E" w:rsidRPr="00142305" w:rsidRDefault="0096770E" w:rsidP="0096770E">
      <w:pPr>
        <w:spacing w:after="0" w:line="240" w:lineRule="auto"/>
        <w:jc w:val="both"/>
        <w:rPr>
          <w:rFonts w:ascii="Times New Roman" w:hAnsi="Times New Roman"/>
          <w:color w:val="0070C0"/>
          <w:sz w:val="16"/>
          <w:szCs w:val="16"/>
        </w:rPr>
      </w:pPr>
    </w:p>
    <w:p w14:paraId="64206369" w14:textId="77777777" w:rsidR="00272919" w:rsidRPr="00E93F40" w:rsidRDefault="00272919" w:rsidP="00E93F40">
      <w:pPr>
        <w:pStyle w:val="a3"/>
        <w:rPr>
          <w:color w:val="000000" w:themeColor="text1"/>
          <w:lang w:val="ru-RU"/>
        </w:rPr>
      </w:pPr>
      <w:r w:rsidRPr="00E93F40">
        <w:rPr>
          <w:color w:val="000000" w:themeColor="text1"/>
          <w:lang w:val="ru-RU"/>
        </w:rPr>
        <w:t>25 мая 1932 г. специальным правительственным постановле</w:t>
      </w:r>
      <w:r w:rsidRPr="00E93F40">
        <w:rPr>
          <w:color w:val="000000" w:themeColor="text1"/>
          <w:lang w:val="ru-RU"/>
        </w:rPr>
        <w:softHyphen/>
        <w:t>нием на СТЗ была возложена задача подготовить к 1 января 1933 г. новые мощности, которые при использовании основ</w:t>
      </w:r>
      <w:r w:rsidRPr="00E93F40">
        <w:rPr>
          <w:color w:val="000000" w:themeColor="text1"/>
          <w:lang w:val="ru-RU"/>
        </w:rPr>
        <w:softHyphen/>
        <w:t>ных цехов завода должны были обращать СТЗ в базу танкостроения РККА, и с этого времени программа выпуска гражданской продукции формировалась с учетом мобилизационного задания предприятия. Утвержденная этим ре</w:t>
      </w:r>
      <w:r w:rsidRPr="00E93F40">
        <w:rPr>
          <w:color w:val="000000" w:themeColor="text1"/>
          <w:lang w:val="ru-RU"/>
        </w:rPr>
        <w:softHyphen/>
        <w:t>шением программа увеличила объем специ</w:t>
      </w:r>
      <w:r w:rsidRPr="00E93F40">
        <w:rPr>
          <w:color w:val="000000" w:themeColor="text1"/>
          <w:lang w:val="ru-RU"/>
        </w:rPr>
        <w:softHyphen/>
        <w:t>ального строительства и потребовала полной реконструкции завода (12622).</w:t>
      </w:r>
    </w:p>
    <w:p w14:paraId="49929873" w14:textId="77777777" w:rsidR="00272919" w:rsidRPr="00E93F40" w:rsidRDefault="00272919" w:rsidP="00E93F40">
      <w:pPr>
        <w:pStyle w:val="a3"/>
        <w:rPr>
          <w:color w:val="000000" w:themeColor="text1"/>
          <w:lang w:val="ru-RU"/>
        </w:rPr>
      </w:pPr>
    </w:p>
    <w:p w14:paraId="42810782" w14:textId="3400B91C" w:rsidR="0096770E" w:rsidRPr="00E93F40" w:rsidRDefault="0096770E" w:rsidP="0096770E">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6B09EB87" w14:textId="77777777" w:rsidR="0096770E" w:rsidRPr="00E93F40" w:rsidRDefault="0096770E" w:rsidP="0096770E">
      <w:pPr>
        <w:autoSpaceDE w:val="0"/>
        <w:autoSpaceDN w:val="0"/>
        <w:adjustRightInd w:val="0"/>
        <w:spacing w:after="0" w:line="240" w:lineRule="auto"/>
        <w:jc w:val="both"/>
        <w:rPr>
          <w:rFonts w:ascii="Times New Roman" w:hAnsi="Times New Roman"/>
          <w:iCs/>
          <w:color w:val="000000" w:themeColor="text1"/>
          <w:sz w:val="16"/>
          <w:szCs w:val="16"/>
        </w:rPr>
      </w:pPr>
    </w:p>
    <w:p w14:paraId="0E5E830E" w14:textId="77777777" w:rsidR="0096770E" w:rsidRPr="00E93F40" w:rsidRDefault="0096770E" w:rsidP="0096770E">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25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809/191сс о передаче Наркомвоенмору школы среднего начсостава ПВО промышленности (ГА РФ. Ф. Р?8418. Оп. 28. Д. 146. Л. 91) (12415).</w:t>
      </w:r>
    </w:p>
    <w:p w14:paraId="5AD658FF" w14:textId="77777777" w:rsidR="0096770E" w:rsidRPr="00E93F40" w:rsidRDefault="0096770E" w:rsidP="0096770E">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586/191сс о численности мобилизационно-оборонных органов (ГА РФ. Ф. Р?8418. Оп. 28. Д. 1а. Л. 273) (12415).</w:t>
      </w:r>
    </w:p>
    <w:p w14:paraId="6C210F38" w14:textId="77777777" w:rsidR="0096770E" w:rsidRPr="00E93F40" w:rsidRDefault="0096770E" w:rsidP="0096770E">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1006/КО об инспекторских поездках Ворошилова (ГА РФ. Ф. Р?8418. Оп. 28. Д. 25а. Л. 13?14) (12415).</w:t>
      </w:r>
    </w:p>
    <w:p w14:paraId="4B51B65A" w14:textId="77777777" w:rsidR="0096770E" w:rsidRPr="00E93F40" w:rsidRDefault="0096770E" w:rsidP="0096770E">
      <w:pPr>
        <w:spacing w:after="0" w:line="240" w:lineRule="auto"/>
        <w:jc w:val="both"/>
        <w:rPr>
          <w:rFonts w:ascii="Times New Roman" w:hAnsi="Times New Roman"/>
          <w:color w:val="000000" w:themeColor="text1"/>
          <w:sz w:val="16"/>
          <w:szCs w:val="16"/>
          <w:u w:color="002060"/>
        </w:rPr>
      </w:pPr>
    </w:p>
    <w:p w14:paraId="17EF3D6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014940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7ECB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мая 1932 г. в постановлении Совнаркома СССР от указывалось: "Считать Метрострой важнейшей государственной стройкой с обеспечением ее лесоматериалами, металлом, цементом, средствами транспорта и т.п., как первоочередной важности ударной стройкой всесоюзного значения". С принятием этого постановления в строительство первой очереди включились многие регионы страны: 540 заводов выполняли заказы Метростроя на различные виды оборудования. До 150 тыс. вагонов материалов и оборудования были перевезены с разных концов страны в Москву. В 1934 г. на строительстве ежедневно работало в среднем 1000 автомашин. Число рабочих и инженерно-технического персонала с 3 тыс. в апреле 1932 г. увеличилось к маю 1934 г. до 75 тыс. человек. Огромный вклад в обеспечение стройки кадрами внес комсомол, в честь которого станцию у трех вокзалов назвали Комсомольская. Впечатляют объемы выполненных работ. Вот только некоторые цифры: вынуто 2311 тыс. м3 грунта, уложено 851 тыс. м3 бетона, проложено 577 км кабелей различного сечения и др. (11614).</w:t>
      </w:r>
    </w:p>
    <w:p w14:paraId="5B5383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F786F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C02647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D5D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мая 1932 г. в приказе по НИИ N 44/140 была объявлена Программа нормальных гос. испытаний НИИ ВВС:</w:t>
      </w:r>
    </w:p>
    <w:p w14:paraId="714B65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д.б. проходить испытания в 2-х вариантах:</w:t>
      </w:r>
    </w:p>
    <w:p w14:paraId="74940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вариант морской базовый разведчик без бомбовой нагрузки и бомбового снаряжения.</w:t>
      </w:r>
    </w:p>
    <w:p w14:paraId="6CE28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2-й вариант - разведчик с бомбовой нагрузкой 500 кг и бомбовым снаряжением.</w:t>
      </w:r>
    </w:p>
    <w:p w14:paraId="48F6E1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заключении испытаний - определение предельной максимальной нагрузки поднимаемой самолетом (3043).</w:t>
      </w:r>
    </w:p>
    <w:p w14:paraId="422C9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FCCCB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746FD6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974E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26 мая 1932 года вышло постановление Совета Народных комиссаров за №813/192/С о начале (в этом же году) подготовительных работ по сооружению на Урале алюминиевого комбината производительностью в 50 000 тонн металла (11273).</w:t>
      </w:r>
    </w:p>
    <w:p w14:paraId="153882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03BB0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E29E75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9C9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мая 1932 поднялся в воздух Фарман-221 (169,21).</w:t>
      </w:r>
    </w:p>
    <w:p w14:paraId="2B455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6EA254" w14:textId="77777777" w:rsidR="00743CF8" w:rsidRPr="00E93F40" w:rsidRDefault="00743C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26 мая</w:t>
      </w:r>
      <w:r w:rsidRPr="00E93F40">
        <w:rPr>
          <w:rFonts w:ascii="Times New Roman" w:hAnsi="Times New Roman"/>
          <w:color w:val="000000" w:themeColor="text1"/>
          <w:sz w:val="16"/>
          <w:szCs w:val="16"/>
        </w:rPr>
        <w:t xml:space="preserve"> в 1932 году впервые поднялся в воздух французский тяжелый ночной бомбардировщик </w:t>
      </w:r>
      <w:hyperlink r:id="rId116" w:tgtFrame="_blank" w:history="1">
        <w:r w:rsidRPr="00E93F40">
          <w:rPr>
            <w:rFonts w:ascii="Times New Roman" w:hAnsi="Times New Roman"/>
            <w:color w:val="000000" w:themeColor="text1"/>
            <w:sz w:val="16"/>
            <w:szCs w:val="16"/>
          </w:rPr>
          <w:t xml:space="preserve">«F.220.01». </w:t>
        </w:r>
      </w:hyperlink>
      <w:r w:rsidRPr="00E93F40">
        <w:rPr>
          <w:rFonts w:ascii="Times New Roman" w:hAnsi="Times New Roman"/>
          <w:color w:val="000000" w:themeColor="text1"/>
          <w:sz w:val="16"/>
          <w:szCs w:val="16"/>
        </w:rPr>
        <w:t>Оснащенный четырьмя двигателями «Hispanо-Suiza» «12 Lbr» мощностью 600 л.с., он сохранил основную концепцию своих предшественников, которая в течение следующего десятилетия являлась фирменной чертой серии проектов четырехмоторных тяжелых бомбардировщиков. Типичное для компании «Farman» подкосное высокорасположенное крыло со значительной хордой и толщиной было объединено с угловатым фюзеляжем прямоугольного сечения. Силовая установка состояла из четырех двигателей, объединенных в тандемные пары, каждая из которых приводила в движение тянущий и толкающий винты. Двигатели устанавливались на концах пары коротких крыльев, выступавших из нижней части фюзеляжа. Позднее единственный переделанный для гражданского использования экземпляр «F.220», использовался для первых сверхдальних перевозок пассажиров и почты по маршруту над Южной Атлантикой. Позднее единственный переделанный для гражданского использования экземпляр «F.220», использовался для первых сверхдальних перевозок пассажиров и почты по маршруту над Южной Атлантикой (14903).</w:t>
      </w:r>
    </w:p>
    <w:p w14:paraId="38562E68" w14:textId="77777777" w:rsidR="00743CF8" w:rsidRPr="00E93F40" w:rsidRDefault="00743CF8" w:rsidP="00E93F40">
      <w:pPr>
        <w:spacing w:after="0" w:line="240" w:lineRule="auto"/>
        <w:jc w:val="both"/>
        <w:rPr>
          <w:rFonts w:ascii="Times New Roman" w:hAnsi="Times New Roman"/>
          <w:color w:val="000000" w:themeColor="text1"/>
          <w:sz w:val="16"/>
          <w:szCs w:val="16"/>
        </w:rPr>
      </w:pPr>
    </w:p>
    <w:p w14:paraId="4F9E7DCD" w14:textId="77777777" w:rsidR="001351AE" w:rsidRPr="00E93F40" w:rsidRDefault="001351A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мая 1932 состоялся первый полет Farman F.220, прототипа Farman F.221, Farman F.222, Farman F.223 и SNCAC NC.223 (20803).</w:t>
      </w:r>
    </w:p>
    <w:p w14:paraId="0E4D0FD9" w14:textId="77777777" w:rsidR="001351AE" w:rsidRPr="00E93F40" w:rsidRDefault="001351AE" w:rsidP="00E93F40">
      <w:pPr>
        <w:spacing w:after="0" w:line="240" w:lineRule="auto"/>
        <w:jc w:val="both"/>
        <w:rPr>
          <w:rFonts w:ascii="Times New Roman" w:hAnsi="Times New Roman"/>
          <w:color w:val="000000" w:themeColor="text1"/>
          <w:sz w:val="16"/>
          <w:szCs w:val="16"/>
        </w:rPr>
      </w:pPr>
    </w:p>
    <w:p w14:paraId="5D3F26F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AC6D41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8C3E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мая 1932 года начальник ВВС Алкснис писал письмо N 038381 председателю РВС.</w:t>
      </w:r>
    </w:p>
    <w:p w14:paraId="2F37D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0BB42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27 мая с.г.</w:t>
      </w:r>
    </w:p>
    <w:p w14:paraId="18B54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8 находится на месте вынужденной посадки (3027).</w:t>
      </w:r>
    </w:p>
    <w:p w14:paraId="7C9F67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547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мая 1932 состоялось совещание треугольника ЦАГИ с участием Харламова, Пред. завкома Лизунова, Секр. Парткома Матвеева и Чл. Парткома Карпова, посвященное награждению работников и ИТР. С.В.И. представили к Грамоте ЦИК и автомобилю Форд (2269,32).</w:t>
      </w:r>
    </w:p>
    <w:p w14:paraId="664EBD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BF2981"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мая 1932 г. в 5.45 «СССР В-2», имея на бор</w:t>
      </w:r>
      <w:r w:rsidRPr="00E93F40">
        <w:rPr>
          <w:rFonts w:ascii="Times New Roman" w:hAnsi="Times New Roman"/>
          <w:color w:val="000000" w:themeColor="text1"/>
          <w:sz w:val="16"/>
          <w:szCs w:val="16"/>
        </w:rPr>
        <w:softHyphen/>
        <w:t>ту семь человек экипажа, вылетел из Ленинграда в Москву. В 13.44 дирижабль прибыл в Верхний Волочек и после 2 ч 7 мин пребывания в городе, приняв горючее, продолжил полёт. Перелёт, за</w:t>
      </w:r>
      <w:r w:rsidRPr="00E93F40">
        <w:rPr>
          <w:rFonts w:ascii="Times New Roman" w:hAnsi="Times New Roman"/>
          <w:color w:val="000000" w:themeColor="text1"/>
          <w:sz w:val="16"/>
          <w:szCs w:val="16"/>
        </w:rPr>
        <w:softHyphen/>
        <w:t>нявший 15 часов лётного времени, завершился благополучно, несмотря на встречный ветер.</w:t>
      </w:r>
    </w:p>
    <w:p w14:paraId="09A812CF"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 В-2» и «СССР В-3». Дирижабли мяг</w:t>
      </w:r>
      <w:r w:rsidRPr="00E93F40">
        <w:rPr>
          <w:rFonts w:ascii="Times New Roman" w:hAnsi="Times New Roman"/>
          <w:color w:val="000000" w:themeColor="text1"/>
          <w:sz w:val="16"/>
          <w:szCs w:val="16"/>
        </w:rPr>
        <w:softHyphen/>
        <w:t>кого типа «СССР В-2» («Смольный») и «СССР В-3» («Ударник завода «Каучук», Дирижаблестроя и ЦАГИ», «Красная звезда»), разрабаты</w:t>
      </w:r>
      <w:r w:rsidRPr="00E93F40">
        <w:rPr>
          <w:rFonts w:ascii="Times New Roman" w:hAnsi="Times New Roman"/>
          <w:color w:val="000000" w:themeColor="text1"/>
          <w:sz w:val="16"/>
          <w:szCs w:val="16"/>
        </w:rPr>
        <w:softHyphen/>
        <w:t>вавшиеся как учебные воздушные корабли УК-2 и УК-3, имели одинаковую конструкцию и отли</w:t>
      </w:r>
      <w:r w:rsidRPr="00E93F40">
        <w:rPr>
          <w:rFonts w:ascii="Times New Roman" w:hAnsi="Times New Roman"/>
          <w:color w:val="000000" w:themeColor="text1"/>
          <w:sz w:val="16"/>
          <w:szCs w:val="16"/>
        </w:rPr>
        <w:softHyphen/>
        <w:t>чались объёмами оболочек (соответственно 5000 и 6500 м3). Их спроектировали в КБ «Дирижа- блестроя» Б.А. Гарф и В.В. Катанский. Гондолу для «СССР В-2» построили в ЦАГИ, а для «СССР В-3» — в мастерских «Дирижаблестроя». Оболоч</w:t>
      </w:r>
      <w:r w:rsidRPr="00E93F40">
        <w:rPr>
          <w:rFonts w:ascii="Times New Roman" w:hAnsi="Times New Roman"/>
          <w:color w:val="000000" w:themeColor="text1"/>
          <w:sz w:val="16"/>
          <w:szCs w:val="16"/>
        </w:rPr>
        <w:softHyphen/>
        <w:t>ки изготовили на заводе «Каучук».</w:t>
      </w:r>
    </w:p>
    <w:p w14:paraId="0FE6339E"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Оболочки, выполненные из трёхслойной про</w:t>
      </w:r>
      <w:r w:rsidRPr="00E93F40">
        <w:rPr>
          <w:rFonts w:ascii="Times New Roman" w:hAnsi="Times New Roman"/>
          <w:color w:val="000000" w:themeColor="text1"/>
          <w:sz w:val="16"/>
          <w:szCs w:val="16"/>
        </w:rPr>
        <w:softHyphen/>
        <w:t>резиненной материи с внешним алюминированным слоем, имели трапецеидальный раскрой из 16 полотнищ. Внутри оболочек находились по</w:t>
      </w:r>
      <w:r w:rsidRPr="00E93F40">
        <w:rPr>
          <w:rFonts w:ascii="Times New Roman" w:hAnsi="Times New Roman"/>
          <w:color w:val="000000" w:themeColor="text1"/>
          <w:sz w:val="16"/>
          <w:szCs w:val="16"/>
        </w:rPr>
        <w:softHyphen/>
        <w:t>перечные диафрагмы, делившие их объём на два равных отсека. Диафрагма уменьшала перелива</w:t>
      </w:r>
      <w:r w:rsidRPr="00E93F40">
        <w:rPr>
          <w:rFonts w:ascii="Times New Roman" w:hAnsi="Times New Roman"/>
          <w:color w:val="000000" w:themeColor="text1"/>
          <w:sz w:val="16"/>
          <w:szCs w:val="16"/>
        </w:rPr>
        <w:softHyphen/>
        <w:t>ние газа вдоль оболочки при дифференте дири</w:t>
      </w:r>
      <w:r w:rsidRPr="00E93F40">
        <w:rPr>
          <w:rFonts w:ascii="Times New Roman" w:hAnsi="Times New Roman"/>
          <w:color w:val="000000" w:themeColor="text1"/>
          <w:sz w:val="16"/>
          <w:szCs w:val="16"/>
        </w:rPr>
        <w:softHyphen/>
        <w:t>жабля, а для уравновешивания давления в отсе</w:t>
      </w:r>
      <w:r w:rsidRPr="00E93F40">
        <w:rPr>
          <w:rFonts w:ascii="Times New Roman" w:hAnsi="Times New Roman"/>
          <w:color w:val="000000" w:themeColor="text1"/>
          <w:sz w:val="16"/>
          <w:szCs w:val="16"/>
        </w:rPr>
        <w:softHyphen/>
        <w:t>ках в ней имелись отверстия.</w:t>
      </w:r>
    </w:p>
    <w:p w14:paraId="0D56F284"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нижней части оболочки помещался двухсек</w:t>
      </w:r>
      <w:r w:rsidRPr="00E93F40">
        <w:rPr>
          <w:rFonts w:ascii="Times New Roman" w:hAnsi="Times New Roman"/>
          <w:color w:val="000000" w:themeColor="text1"/>
          <w:sz w:val="16"/>
          <w:szCs w:val="16"/>
        </w:rPr>
        <w:softHyphen/>
        <w:t>ционный баллонет из двухслойной прорезинен</w:t>
      </w:r>
      <w:r w:rsidRPr="00E93F40">
        <w:rPr>
          <w:rFonts w:ascii="Times New Roman" w:hAnsi="Times New Roman"/>
          <w:color w:val="000000" w:themeColor="text1"/>
          <w:sz w:val="16"/>
          <w:szCs w:val="16"/>
        </w:rPr>
        <w:softHyphen/>
        <w:t>ной материи, причём каждая из секций, подобно самой оболочке, имела диафрагмы с отверстием внизу. Для выпуска воздуха в баллонете предус</w:t>
      </w:r>
      <w:r w:rsidRPr="00E93F40">
        <w:rPr>
          <w:rFonts w:ascii="Times New Roman" w:hAnsi="Times New Roman"/>
          <w:color w:val="000000" w:themeColor="text1"/>
          <w:sz w:val="16"/>
          <w:szCs w:val="16"/>
        </w:rPr>
        <w:softHyphen/>
        <w:t>матривались четыре клапана. Наполнение балло</w:t>
      </w:r>
      <w:r w:rsidRPr="00E93F40">
        <w:rPr>
          <w:rFonts w:ascii="Times New Roman" w:hAnsi="Times New Roman"/>
          <w:color w:val="000000" w:themeColor="text1"/>
          <w:sz w:val="16"/>
          <w:szCs w:val="16"/>
        </w:rPr>
        <w:softHyphen/>
        <w:t>нетов осуществлялось путём улавливания струй воздуха, отбрасываемых винтами.</w:t>
      </w:r>
    </w:p>
    <w:p w14:paraId="5BA27BAE"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носовой и кормовой частях оболочки на</w:t>
      </w:r>
      <w:r w:rsidRPr="00E93F40">
        <w:rPr>
          <w:rFonts w:ascii="Times New Roman" w:hAnsi="Times New Roman"/>
          <w:color w:val="000000" w:themeColor="text1"/>
          <w:sz w:val="16"/>
          <w:szCs w:val="16"/>
        </w:rPr>
        <w:softHyphen/>
        <w:t>ходились короткие матерчатые аппендиксы для наполнения её газом, которые перед полётом засовывались внутрь оболочки и прикрывались снаружи матерчатыми фартуками.</w:t>
      </w:r>
    </w:p>
    <w:p w14:paraId="036FB83A"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Оболочка оборудовалась четырьмя газовыми клапанами автоматического и управляемого дей</w:t>
      </w:r>
      <w:r w:rsidRPr="00E93F40">
        <w:rPr>
          <w:rFonts w:ascii="Times New Roman" w:hAnsi="Times New Roman"/>
          <w:color w:val="000000" w:themeColor="text1"/>
          <w:sz w:val="16"/>
          <w:szCs w:val="16"/>
        </w:rPr>
        <w:softHyphen/>
        <w:t>ствия: два передних располагались по экватору с каждой стороны у миделевого сечения, два дру</w:t>
      </w:r>
      <w:r w:rsidRPr="00E93F40">
        <w:rPr>
          <w:rFonts w:ascii="Times New Roman" w:hAnsi="Times New Roman"/>
          <w:color w:val="000000" w:themeColor="text1"/>
          <w:sz w:val="16"/>
          <w:szCs w:val="16"/>
        </w:rPr>
        <w:softHyphen/>
        <w:t>гих — под кормовой частью.</w:t>
      </w:r>
    </w:p>
    <w:p w14:paraId="6FFB3FC4"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Оболочки обоих кораблей имели по три раз</w:t>
      </w:r>
      <w:r w:rsidRPr="00E93F40">
        <w:rPr>
          <w:rFonts w:ascii="Times New Roman" w:hAnsi="Times New Roman"/>
          <w:color w:val="000000" w:themeColor="text1"/>
          <w:sz w:val="16"/>
          <w:szCs w:val="16"/>
        </w:rPr>
        <w:softHyphen/>
        <w:t>рывных полотнища (два на оболочке и одно на баллонете), отличавшихся по типу и месту распо</w:t>
      </w:r>
      <w:r w:rsidRPr="00E93F40">
        <w:rPr>
          <w:rFonts w:ascii="Times New Roman" w:hAnsi="Times New Roman"/>
          <w:color w:val="000000" w:themeColor="text1"/>
          <w:sz w:val="16"/>
          <w:szCs w:val="16"/>
        </w:rPr>
        <w:softHyphen/>
        <w:t>ложения: у «СССР В-2» — типа Фомина (разры</w:t>
      </w:r>
      <w:r w:rsidRPr="00E93F40">
        <w:rPr>
          <w:rFonts w:ascii="Times New Roman" w:hAnsi="Times New Roman"/>
          <w:color w:val="000000" w:themeColor="text1"/>
          <w:sz w:val="16"/>
          <w:szCs w:val="16"/>
        </w:rPr>
        <w:softHyphen/>
        <w:t>вающиеся по углу треугольника), с каждой сто</w:t>
      </w:r>
      <w:r w:rsidRPr="00E93F40">
        <w:rPr>
          <w:rFonts w:ascii="Times New Roman" w:hAnsi="Times New Roman"/>
          <w:color w:val="000000" w:themeColor="text1"/>
          <w:sz w:val="16"/>
          <w:szCs w:val="16"/>
        </w:rPr>
        <w:softHyphen/>
        <w:t>роны оболочки, у «СССР В-3» — щелевые, распо</w:t>
      </w:r>
      <w:r w:rsidRPr="00E93F40">
        <w:rPr>
          <w:rFonts w:ascii="Times New Roman" w:hAnsi="Times New Roman"/>
          <w:color w:val="000000" w:themeColor="text1"/>
          <w:sz w:val="16"/>
          <w:szCs w:val="16"/>
        </w:rPr>
        <w:softHyphen/>
        <w:t>ложенные на хребтовой части. С наружной сто</w:t>
      </w:r>
      <w:r w:rsidRPr="00E93F40">
        <w:rPr>
          <w:rFonts w:ascii="Times New Roman" w:hAnsi="Times New Roman"/>
          <w:color w:val="000000" w:themeColor="text1"/>
          <w:sz w:val="16"/>
          <w:szCs w:val="16"/>
        </w:rPr>
        <w:softHyphen/>
        <w:t>роны на нижнюю часть оболочки наклеивались четырёхпалые лапы подвески гондолы, а свер</w:t>
      </w:r>
      <w:r w:rsidRPr="00E93F40">
        <w:rPr>
          <w:rFonts w:ascii="Times New Roman" w:hAnsi="Times New Roman"/>
          <w:color w:val="000000" w:themeColor="text1"/>
          <w:sz w:val="16"/>
          <w:szCs w:val="16"/>
        </w:rPr>
        <w:softHyphen/>
        <w:t>ху — 18 лап крепления поясных (по девять с каж</w:t>
      </w:r>
      <w:r w:rsidRPr="00E93F40">
        <w:rPr>
          <w:rFonts w:ascii="Times New Roman" w:hAnsi="Times New Roman"/>
          <w:color w:val="000000" w:themeColor="text1"/>
          <w:sz w:val="16"/>
          <w:szCs w:val="16"/>
        </w:rPr>
        <w:softHyphen/>
        <w:t>дого борта). В передней части корпуса находи</w:t>
      </w:r>
      <w:r w:rsidRPr="00E93F40">
        <w:rPr>
          <w:rFonts w:ascii="Times New Roman" w:hAnsi="Times New Roman"/>
          <w:color w:val="000000" w:themeColor="text1"/>
          <w:sz w:val="16"/>
          <w:szCs w:val="16"/>
        </w:rPr>
        <w:softHyphen/>
        <w:t>лось носовое усиление из 20 кольчугалюминие- вых реек, выгнутых по форме обвода оболочки. В хвостовой части располагались два горизон</w:t>
      </w:r>
      <w:r w:rsidRPr="00E93F40">
        <w:rPr>
          <w:rFonts w:ascii="Times New Roman" w:hAnsi="Times New Roman"/>
          <w:color w:val="000000" w:themeColor="text1"/>
          <w:sz w:val="16"/>
          <w:szCs w:val="16"/>
        </w:rPr>
        <w:softHyphen/>
        <w:t>тальных стабилизатора с рулями высоты и два вертикальных. Руль направления имелся только на нижнем киле.</w:t>
      </w:r>
    </w:p>
    <w:p w14:paraId="14CA32F9"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Гондола (длина 9 м, ширина 1,8 м, высота без амортизатора 2,3 м) из кольчугалюминия подвешивалась к оболочке системой стальных тросов. Она делилась на три отсека: в переднем размещалась рубка управления, экипаж и кабина для радиста, в среднем — пассажиры и уборная,а в кормовом — механики. Для ночных полётов гондолу электрифицировали.</w:t>
      </w:r>
    </w:p>
    <w:p w14:paraId="2C123C2C"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Силовая установка состояла из двух звёздо- образных моторов, установленных в задней ча</w:t>
      </w:r>
      <w:r w:rsidRPr="00E93F40">
        <w:rPr>
          <w:rFonts w:ascii="Times New Roman" w:hAnsi="Times New Roman"/>
          <w:color w:val="000000" w:themeColor="text1"/>
          <w:sz w:val="16"/>
          <w:szCs w:val="16"/>
        </w:rPr>
        <w:softHyphen/>
        <w:t>сти гондолы по обе стороны. На моторамах мон</w:t>
      </w:r>
      <w:r w:rsidRPr="00E93F40">
        <w:rPr>
          <w:rFonts w:ascii="Times New Roman" w:hAnsi="Times New Roman"/>
          <w:color w:val="000000" w:themeColor="text1"/>
          <w:sz w:val="16"/>
          <w:szCs w:val="16"/>
        </w:rPr>
        <w:softHyphen/>
        <w:t>тировались все агрегаты мотора и масляные баки с масляными радиаторами. Каждый дви</w:t>
      </w:r>
      <w:r w:rsidRPr="00E93F40">
        <w:rPr>
          <w:rFonts w:ascii="Times New Roman" w:hAnsi="Times New Roman"/>
          <w:color w:val="000000" w:themeColor="text1"/>
          <w:sz w:val="16"/>
          <w:szCs w:val="16"/>
        </w:rPr>
        <w:softHyphen/>
        <w:t>гатель (на «СССР В-2» — Гном-Рон «Титан», на «СССР В-3» — Райт) вращал двухлопастный винт (на «СССР В-3» — стальной). В воздухе моторы запускались на «СССР В-2» пневматическим, а на «СССР В-3» — инерционным стартером. Горючее хранилось в пяти баках, размещённых в гондоле. На борту имелись водяной балласт общим весом 350 кг и гайдроп длиной около 100 м.</w:t>
      </w:r>
    </w:p>
    <w:p w14:paraId="529B22EC" w14:textId="77777777" w:rsidR="00EF55DB" w:rsidRPr="00E93F40" w:rsidRDefault="00EF55D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 1932 г. «СССР В-2» показали, что на крейсерском режиме (1200 об/мин) на двух работающих моторах скорость относительно земли равнялась 69 км/ч, минимальный радиус поворота при этих условиях работы моторов со</w:t>
      </w:r>
      <w:r w:rsidRPr="00E93F40">
        <w:rPr>
          <w:rFonts w:ascii="Times New Roman" w:hAnsi="Times New Roman"/>
          <w:color w:val="000000" w:themeColor="text1"/>
          <w:sz w:val="16"/>
          <w:szCs w:val="16"/>
        </w:rPr>
        <w:softHyphen/>
        <w:t>ставил 200 м (три длины корпуса корабля) (20120).</w:t>
      </w:r>
    </w:p>
    <w:p w14:paraId="2497A7C1" w14:textId="77777777" w:rsidR="00EF55DB" w:rsidRPr="00E93F40" w:rsidRDefault="00EF55DB" w:rsidP="00E93F40">
      <w:pPr>
        <w:spacing w:after="0" w:line="240" w:lineRule="auto"/>
        <w:jc w:val="both"/>
        <w:rPr>
          <w:rFonts w:ascii="Times New Roman" w:hAnsi="Times New Roman"/>
          <w:color w:val="000000" w:themeColor="text1"/>
          <w:sz w:val="16"/>
          <w:szCs w:val="16"/>
        </w:rPr>
      </w:pPr>
    </w:p>
    <w:p w14:paraId="75D93B9C" w14:textId="77777777" w:rsidR="002729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9D0BBF2" w14:textId="77777777" w:rsidR="00272919" w:rsidRPr="00E93F40" w:rsidRDefault="002729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C6F886"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27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600/194сс об обеспечении программы работ по постройке деревянных баржей для Амурского бассейна общей грузоподъемностью в 100 тыс. т и верфи деревянного судостроения производительностью 75 тыс. т в год (ГА РФ. Ф. Р?8418. Оп. 28. Д. 1а. Л. 275?276) (12415).</w:t>
      </w:r>
    </w:p>
    <w:p w14:paraId="3738FCB4"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p>
    <w:p w14:paraId="20435EE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39DAC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F43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мая 1932 появился приказ по МКС № 94, интересный тем, что здесь впервые проявились контуры будущего Дмитлага; со строительством Истринского водохранилища, как видно отсюда же, дело на тот момент обстояло скверно:</w:t>
      </w:r>
    </w:p>
    <w:p w14:paraId="4E53E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Работы по строительству канала Волга - Дмитров - Москва, в административно-техническом отношении, делятся на 5 районов, во главе которых стоят Начальники работ. Управление, объединяющее все районы, располагается в г. Дмитрове (7560).</w:t>
      </w:r>
    </w:p>
    <w:p w14:paraId="05026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Конторы начальников работ располагаются в следующих городах:</w:t>
      </w:r>
    </w:p>
    <w:p w14:paraId="492B67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район - Волжский: обнимающий постройки Волжской плотины, шлюза и гидростанции - в г. Калязине.</w:t>
      </w:r>
    </w:p>
    <w:p w14:paraId="211B44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2-й район - Северный: обнимающий сооружение канала от Волги до 55 километра, со всеми искусственными сооружениями, головное сооружение на Волге и шлюзы №№ 1 и 2 - в г. Дмитрове.</w:t>
      </w:r>
    </w:p>
    <w:p w14:paraId="2E1B7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3-й район - Водораздельный: обнимающий канал от 56 до 103 километра, со всеми искусственными сооружениями и шлюзы №№ 3, 4 и 5 - в г. Икше.</w:t>
      </w:r>
    </w:p>
    <w:p w14:paraId="6FD2D9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4-й район - Южный: обнимающий канал от 104 до 127 километра, со всеми искусственными сооружениями, Клязьминское и Мытищинское водохранилища и шлюзы №№ 6, 7 и 8 - в г. Мытищи.</w:t>
      </w:r>
    </w:p>
    <w:p w14:paraId="06E8A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5-й район - Московский: обнимающий работы по сооружению Московского порта, искусственных сооружений при нем, постройку 4-х плотин на р. Москве с шлюзами при них, спрямление р. Яузы и устройство набережной - в г. Москве.</w:t>
      </w:r>
    </w:p>
    <w:p w14:paraId="26E4F7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 Штат районов устанавливается особой Инструкцией (7560).</w:t>
      </w:r>
    </w:p>
    <w:p w14:paraId="38EAC2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 Начальником Южного (4-го) района назначается инж. И. И. Макаров. Он же назначается вр.и.о. Начальника работ 5-го Московского района (7560).</w:t>
      </w:r>
    </w:p>
    <w:p w14:paraId="212EC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4. В остальных районах должности Начальников работ остаются временно незамещенными. Выполнение обязанностей Н-ков р-нов возлагается на старш. произ. работ, которыми назначаются:</w:t>
      </w:r>
    </w:p>
    <w:p w14:paraId="1A25B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Северному (2-му) р-ну: инж. А. Е. Костров,</w:t>
      </w:r>
    </w:p>
    <w:p w14:paraId="3519C3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 Водоразд. (3-му): инж. Е. А. Бажанов (7560).</w:t>
      </w:r>
    </w:p>
    <w:p w14:paraId="38715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5. В связи с изложенным Н-ку Истринского Стр-ва инж. Макарову надлежит, по ликвидации работ в Зеленькове, приступить не позднее 25 сего мая к организации конторы 4-го р-на в г. Мытищах и к работам, согласно инструкции (7560).</w:t>
      </w:r>
    </w:p>
    <w:p w14:paraId="6EC80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6. Ст. производителю работ инженеру Кострову и инж. Бажанову организовать конторы и вести подготовительные работы на своих участках, согласно данных им инструкций (7560).</w:t>
      </w:r>
    </w:p>
    <w:p w14:paraId="0AA63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7. Б. Нач. Истринского Стр-ва инж. Макарову и старш. производителю работ инженеру Кострову штат Истринского Стр-ва распределить между Южным и Северным районами и по мере освобождения штата в Зеленькове перебрасывать работников к месту новой службы, удовлетворяя их при перемещении по КЗОТу (7560).</w:t>
      </w:r>
    </w:p>
    <w:p w14:paraId="268D1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 Б. Начальнику Истринского Стр-ва инженеру Макарову оставить часть штата для составления технического и денежного отчета по Истринскому Стр-ву с пояснительной запиской к нему, который представить в месячный срок (7560).</w:t>
      </w:r>
    </w:p>
    <w:p w14:paraId="0E776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 Остающиеся на Истринском Стр-ве материалы и инвентарь подлежат сдаче Сектору Снабжения Москаналстроя для разделения их между районами» (7560).</w:t>
      </w:r>
    </w:p>
    <w:p w14:paraId="16D380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плотины у деревни Зеленьково, в случае осуществления образовавшей бы колоссальное водохранилище с ответвлением в долину Нахабинки до ее соединения с рекой Сходней, так и остался на бумаге. В итоге плотину на Истре все-таки построили, но много выше, у села Ракова, трасса же канала прошла далеко в стороне (7560).</w:t>
      </w:r>
    </w:p>
    <w:p w14:paraId="4AE7E8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D5270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54657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970F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мая 1932 года начальник ВВС Алкснис писал письмо N 038389 председателю РВС.</w:t>
      </w:r>
    </w:p>
    <w:p w14:paraId="4C2C52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5B55D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28 мая с.г.</w:t>
      </w:r>
    </w:p>
    <w:p w14:paraId="07D0B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8 находится на месте вынужденной посадки (3027).</w:t>
      </w:r>
    </w:p>
    <w:p w14:paraId="6C789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B31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мая 1932 года в 17 час. от зав. N 1 был принят с завода N 1 самолет И5 N 4420 с мотором М22 N 9110, винт N 40442 завода N 28 Н=2,1 Д=2,8 по выяснению причин вибрации (3025).</w:t>
      </w:r>
    </w:p>
    <w:p w14:paraId="1736FA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2A5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мая 1932 состоялось совещание у Нач. ЦКБ ЦАГИ С.В.И. по вопросу разработки пятилетнего плана (321).</w:t>
      </w:r>
    </w:p>
    <w:p w14:paraId="79B15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D7D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мая 1932 СНК постановлением N 828 утвердил Положение о ГУ ГВФ, созданном постановлением СНК 25 февраля 1932 (438,631).</w:t>
      </w:r>
    </w:p>
    <w:p w14:paraId="2ACB28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D8A6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мая 1932 в ПКБ (пулеметное КБ) был закончен опытный образец 12.7 мм авиапулемета С.В.Владимирова и потом в 1934 стал ШВАК (3996, 74).</w:t>
      </w:r>
    </w:p>
    <w:p w14:paraId="68734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6595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мая 1932 г. был закончен опытный образец 12,7-мм пулемета ШВАК. В 1932—1933 гг. пулемет прошел испытания и в 1934 г. был принят на вооружение под названием «12,7-мм авиационный пулемет систе</w:t>
      </w:r>
      <w:r w:rsidRPr="00E93F40">
        <w:rPr>
          <w:rFonts w:ascii="Times New Roman" w:hAnsi="Times New Roman"/>
          <w:color w:val="000000" w:themeColor="text1"/>
          <w:sz w:val="16"/>
          <w:szCs w:val="16"/>
        </w:rPr>
        <w:softHyphen/>
        <w:t>мы Шпитального и Владимирова — ШВАК» (Шпитальный — Вла</w:t>
      </w:r>
      <w:r w:rsidRPr="00E93F40">
        <w:rPr>
          <w:rFonts w:ascii="Times New Roman" w:hAnsi="Times New Roman"/>
          <w:color w:val="000000" w:themeColor="text1"/>
          <w:sz w:val="16"/>
          <w:szCs w:val="16"/>
        </w:rPr>
        <w:softHyphen/>
        <w:t>димиров — авиационный — крупнокалиберный). Принцип работы автоматики был основан на использовании энергии пороховых газов, отводимых через отверстие в канале ствола. При выстреле пороховые газы через отверстие в стволе поступа</w:t>
      </w:r>
      <w:r w:rsidRPr="00E93F40">
        <w:rPr>
          <w:rFonts w:ascii="Times New Roman" w:hAnsi="Times New Roman"/>
          <w:color w:val="000000" w:themeColor="text1"/>
          <w:sz w:val="16"/>
          <w:szCs w:val="16"/>
        </w:rPr>
        <w:softHyphen/>
        <w:t>ли в газовую камору. Под их давлением на поршень шток вместе с затвором отходил назад. При этом из патронника извлекалась гильза, взводился ударник, гильза отражалась, подавался очеред</w:t>
      </w:r>
      <w:r w:rsidRPr="00E93F40">
        <w:rPr>
          <w:rFonts w:ascii="Times New Roman" w:hAnsi="Times New Roman"/>
          <w:color w:val="000000" w:themeColor="text1"/>
          <w:sz w:val="16"/>
          <w:szCs w:val="16"/>
        </w:rPr>
        <w:softHyphen/>
        <w:t>ной патрон из зубчатки в приемное окно и сжималась возвратная пружина. Шток с затвором, дойдя до крайнего заднего положения, ударялся о пружины буфера штока и затвора и сжимал их. Под действием пружин-буферов и возвратной пружины шток с затвором возвращался в крайнее переднее положение, досылая па</w:t>
      </w:r>
      <w:r w:rsidRPr="00E93F40">
        <w:rPr>
          <w:rFonts w:ascii="Times New Roman" w:hAnsi="Times New Roman"/>
          <w:color w:val="000000" w:themeColor="text1"/>
          <w:sz w:val="16"/>
          <w:szCs w:val="16"/>
        </w:rPr>
        <w:softHyphen/>
        <w:t>трон в патронник, затвор запирал канал ствола, подавался очеред</w:t>
      </w:r>
      <w:r w:rsidRPr="00E93F40">
        <w:rPr>
          <w:rFonts w:ascii="Times New Roman" w:hAnsi="Times New Roman"/>
          <w:color w:val="000000" w:themeColor="text1"/>
          <w:sz w:val="16"/>
          <w:szCs w:val="16"/>
        </w:rPr>
        <w:softHyphen/>
        <w:t>ной патрон в зубчатку к приемному окну, выталкивалась гильза из гильзовыводного отверстия и спускался ударник с боевого взвода. Происходил выстрел. Длина ствола пулемета составляла 1246 мм, а тела пулемета — 1726 мм. Число нарезов — 8. Пулемет ШВАК изготавливался в крыльевом, турельном, син</w:t>
      </w:r>
      <w:r w:rsidRPr="00E93F40">
        <w:rPr>
          <w:rFonts w:ascii="Times New Roman" w:hAnsi="Times New Roman"/>
          <w:color w:val="000000" w:themeColor="text1"/>
          <w:sz w:val="16"/>
          <w:szCs w:val="16"/>
        </w:rPr>
        <w:softHyphen/>
        <w:t>хронном и моторном вариантах. Крыльевой вариант предназначал</w:t>
      </w:r>
      <w:r w:rsidRPr="00E93F40">
        <w:rPr>
          <w:rFonts w:ascii="Times New Roman" w:hAnsi="Times New Roman"/>
          <w:color w:val="000000" w:themeColor="text1"/>
          <w:sz w:val="16"/>
          <w:szCs w:val="16"/>
        </w:rPr>
        <w:softHyphen/>
        <w:t>ся для установки в крыле самолета. Турельный вариант устанавли</w:t>
      </w:r>
      <w:r w:rsidRPr="00E93F40">
        <w:rPr>
          <w:rFonts w:ascii="Times New Roman" w:hAnsi="Times New Roman"/>
          <w:color w:val="000000" w:themeColor="text1"/>
          <w:sz w:val="16"/>
          <w:szCs w:val="16"/>
        </w:rPr>
        <w:softHyphen/>
        <w:t>вался в турелях, башнях и других подвижных самолетных уста</w:t>
      </w:r>
      <w:r w:rsidRPr="00E93F40">
        <w:rPr>
          <w:rFonts w:ascii="Times New Roman" w:hAnsi="Times New Roman"/>
          <w:color w:val="000000" w:themeColor="text1"/>
          <w:sz w:val="16"/>
          <w:szCs w:val="16"/>
        </w:rPr>
        <w:softHyphen/>
        <w:t>новках. 12,7-мм пулемет ШВАК был первым советским крупнокалибер</w:t>
      </w:r>
      <w:r w:rsidRPr="00E93F40">
        <w:rPr>
          <w:rFonts w:ascii="Times New Roman" w:hAnsi="Times New Roman"/>
          <w:color w:val="000000" w:themeColor="text1"/>
          <w:sz w:val="16"/>
          <w:szCs w:val="16"/>
        </w:rPr>
        <w:softHyphen/>
        <w:t>ным авиационным пулеметом и оказался довольно эффективным оружием. Однако он имел и ряд недостатков. Главными из них были:</w:t>
      </w:r>
    </w:p>
    <w:p w14:paraId="393229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Чрезвычайно большая сложность устройства отдельных уз</w:t>
      </w:r>
      <w:r w:rsidRPr="00E93F40">
        <w:rPr>
          <w:rFonts w:ascii="Times New Roman" w:hAnsi="Times New Roman"/>
          <w:color w:val="000000" w:themeColor="text1"/>
          <w:sz w:val="16"/>
          <w:szCs w:val="16"/>
        </w:rPr>
        <w:softHyphen/>
        <w:t>лов, особенно механизма питания и механизма отражения стреля</w:t>
      </w:r>
      <w:r w:rsidRPr="00E93F40">
        <w:rPr>
          <w:rFonts w:ascii="Times New Roman" w:hAnsi="Times New Roman"/>
          <w:color w:val="000000" w:themeColor="text1"/>
          <w:sz w:val="16"/>
          <w:szCs w:val="16"/>
        </w:rPr>
        <w:softHyphen/>
        <w:t>ной гильзы, что являлось причиной трудной и сложной разборки и сборки автомата.</w:t>
      </w:r>
    </w:p>
    <w:p w14:paraId="545DD0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Своеобразие конструкции весьма усложнило его производ</w:t>
      </w:r>
      <w:r w:rsidRPr="00E93F40">
        <w:rPr>
          <w:rFonts w:ascii="Times New Roman" w:hAnsi="Times New Roman"/>
          <w:color w:val="000000" w:themeColor="text1"/>
          <w:sz w:val="16"/>
          <w:szCs w:val="16"/>
        </w:rPr>
        <w:softHyphen/>
        <w:t>ство. Особенно велика бьша трудоемкость изготовления механизма питания и ствольной коробки.</w:t>
      </w:r>
    </w:p>
    <w:p w14:paraId="2E1A9D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При нарушении нормальной работы механизмов и устране</w:t>
      </w:r>
      <w:r w:rsidRPr="00E93F40">
        <w:rPr>
          <w:rFonts w:ascii="Times New Roman" w:hAnsi="Times New Roman"/>
          <w:color w:val="000000" w:themeColor="text1"/>
          <w:sz w:val="16"/>
          <w:szCs w:val="16"/>
        </w:rPr>
        <w:softHyphen/>
        <w:t>нии задержек во время стрельбы доступ к механизмам крайне за</w:t>
      </w:r>
      <w:r w:rsidRPr="00E93F40">
        <w:rPr>
          <w:rFonts w:ascii="Times New Roman" w:hAnsi="Times New Roman"/>
          <w:color w:val="000000" w:themeColor="text1"/>
          <w:sz w:val="16"/>
          <w:szCs w:val="16"/>
        </w:rPr>
        <w:softHyphen/>
        <w:t>труднен. В отдельных случаях для устранения задержек требовалась частичная или даже полная разборка автомата.</w:t>
      </w:r>
    </w:p>
    <w:p w14:paraId="4E11EF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Серийное производство 12,7-мм пулеметов ШВАК было начато в 1935 г. на заводе ИНЗ-2 (г. Ковров). В том году завод изготовил 6 наземных 12,7-мм пулеметов ШВАК на универсальном станке (при плане 40 штук) и 86 авиационных 12,7-мм пулеметов ШВАК (при плане 410 штук). Питание 12,7-мм пулемета ШВАК производилось патронами от армейских пулеметов ДК и ДШК. Вес 12,7-мм патрона составлял 123-137 г, вес заряда — около 17 г, длина патрона 147 мм, длина пу</w:t>
      </w:r>
      <w:r w:rsidRPr="00E93F40">
        <w:rPr>
          <w:rFonts w:ascii="Times New Roman" w:hAnsi="Times New Roman"/>
          <w:color w:val="000000" w:themeColor="text1"/>
          <w:sz w:val="16"/>
          <w:szCs w:val="16"/>
        </w:rPr>
        <w:softHyphen/>
        <w:t>ли 64,6 мм, длина гильзы 108 мм. Начальная скорость пули 810-830 м/с. Объем каморы заряжания 20,4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максимальное Давление пороховых газов 3200 кг/см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xml:space="preserve"> (то есть предельное для ар</w:t>
      </w:r>
      <w:r w:rsidRPr="00E93F40">
        <w:rPr>
          <w:rFonts w:ascii="Times New Roman" w:hAnsi="Times New Roman"/>
          <w:color w:val="000000" w:themeColor="text1"/>
          <w:sz w:val="16"/>
          <w:szCs w:val="16"/>
        </w:rPr>
        <w:softHyphen/>
        <w:t>тиллерийских систем до 1945 г.). Пули Б-32 по нормали пробивали броню толщиной 20 мм на дальности до 350 м, а бронебойно-зажигательно-трассирующие (БЗТ) — на дальности до 300 м. Дальность горения трассера пули БЗТ —до 1500 м. В 1935-1936 гг. на базе 12,7-мм пулемета ШВАК была создана 20-мм пушка ШВАК. В 1936 г. 20-мм пушку ШВАК запустили в се</w:t>
      </w:r>
      <w:r w:rsidRPr="00E93F40">
        <w:rPr>
          <w:rFonts w:ascii="Times New Roman" w:hAnsi="Times New Roman"/>
          <w:color w:val="000000" w:themeColor="text1"/>
          <w:sz w:val="16"/>
          <w:szCs w:val="16"/>
        </w:rPr>
        <w:softHyphen/>
        <w:t>рийное производство. Через несколько месяцев после этого 12,7-мм пулемет ШВАК был снят с производства (10695).</w:t>
      </w:r>
    </w:p>
    <w:p w14:paraId="212037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20-мм пушек ШВАК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27"/>
        <w:gridCol w:w="1430"/>
        <w:gridCol w:w="1277"/>
        <w:gridCol w:w="1421"/>
      </w:tblGrid>
      <w:tr w:rsidR="00DA227A" w:rsidRPr="00E93F40" w14:paraId="67A8E706" w14:textId="77777777">
        <w:trPr>
          <w:trHeight w:val="384"/>
        </w:trPr>
        <w:tc>
          <w:tcPr>
            <w:tcW w:w="2227" w:type="dxa"/>
            <w:tcBorders>
              <w:top w:val="single" w:sz="12" w:space="0" w:color="auto"/>
            </w:tcBorders>
          </w:tcPr>
          <w:p w14:paraId="6C00576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Варианты</w:t>
            </w:r>
          </w:p>
          <w:p w14:paraId="64258D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single" w:sz="12" w:space="0" w:color="auto"/>
            </w:tcBorders>
          </w:tcPr>
          <w:p w14:paraId="0FB1DF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Крыльевой</w:t>
            </w:r>
          </w:p>
          <w:p w14:paraId="35D761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22B7DF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Турельный</w:t>
            </w:r>
          </w:p>
          <w:p w14:paraId="031851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12" w:space="0" w:color="auto"/>
            </w:tcBorders>
          </w:tcPr>
          <w:p w14:paraId="56FAEF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Мотор-пушка</w:t>
            </w:r>
          </w:p>
          <w:p w14:paraId="73CF02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FB944E" w14:textId="77777777">
        <w:trPr>
          <w:trHeight w:val="326"/>
        </w:trPr>
        <w:tc>
          <w:tcPr>
            <w:tcW w:w="2227" w:type="dxa"/>
          </w:tcPr>
          <w:p w14:paraId="55B3AD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w:t>
            </w:r>
          </w:p>
          <w:p w14:paraId="6910AC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3FB0C1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p w14:paraId="7AF481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10CDC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p w14:paraId="357751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D86B0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p w14:paraId="732FC7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75E282" w14:textId="77777777">
        <w:trPr>
          <w:trHeight w:val="240"/>
        </w:trPr>
        <w:tc>
          <w:tcPr>
            <w:tcW w:w="2227" w:type="dxa"/>
          </w:tcPr>
          <w:p w14:paraId="707534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длина пушки, мм</w:t>
            </w:r>
          </w:p>
          <w:p w14:paraId="5B7391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7BB484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1679</w:t>
            </w:r>
          </w:p>
          <w:p w14:paraId="574D25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59C06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1726</w:t>
            </w:r>
          </w:p>
          <w:p w14:paraId="0DC1E4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626C88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2122</w:t>
            </w:r>
          </w:p>
          <w:p w14:paraId="78C2F6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A34E68" w14:textId="77777777">
        <w:trPr>
          <w:trHeight w:val="250"/>
        </w:trPr>
        <w:tc>
          <w:tcPr>
            <w:tcW w:w="2227" w:type="dxa"/>
          </w:tcPr>
          <w:p w14:paraId="477F86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мм</w:t>
            </w:r>
          </w:p>
          <w:p w14:paraId="026107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5F7C03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3A5AF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637C2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42152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D65DE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1648</w:t>
            </w:r>
          </w:p>
          <w:p w14:paraId="680B0A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80DB45" w14:textId="77777777">
        <w:trPr>
          <w:trHeight w:val="259"/>
        </w:trPr>
        <w:tc>
          <w:tcPr>
            <w:tcW w:w="2227" w:type="dxa"/>
          </w:tcPr>
          <w:p w14:paraId="36039A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нарезной части, мм</w:t>
            </w:r>
          </w:p>
          <w:p w14:paraId="435220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40B716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1145</w:t>
            </w:r>
          </w:p>
          <w:p w14:paraId="4AE1CB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34990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1145</w:t>
            </w:r>
          </w:p>
          <w:p w14:paraId="4828EB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64EB6C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1540</w:t>
            </w:r>
          </w:p>
          <w:p w14:paraId="36A567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54FF02" w14:textId="77777777">
        <w:trPr>
          <w:trHeight w:val="250"/>
        </w:trPr>
        <w:tc>
          <w:tcPr>
            <w:tcW w:w="2227" w:type="dxa"/>
          </w:tcPr>
          <w:p w14:paraId="24688E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патронника, мм</w:t>
            </w:r>
          </w:p>
          <w:p w14:paraId="5A3F0D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3FF714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4DBCE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F9A1C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63940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6D61A7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w:t>
            </w:r>
          </w:p>
          <w:p w14:paraId="5659DB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5E1F55" w14:textId="77777777">
        <w:trPr>
          <w:trHeight w:val="240"/>
        </w:trPr>
        <w:tc>
          <w:tcPr>
            <w:tcW w:w="2227" w:type="dxa"/>
          </w:tcPr>
          <w:p w14:paraId="67C7D9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Крутизна нарезов, клб</w:t>
            </w:r>
          </w:p>
          <w:p w14:paraId="78EB16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6DBA23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p w14:paraId="18F68E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5BAB8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p w14:paraId="273211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46D151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p w14:paraId="673F4C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E22C53" w14:textId="77777777">
        <w:trPr>
          <w:trHeight w:val="250"/>
        </w:trPr>
        <w:tc>
          <w:tcPr>
            <w:tcW w:w="2227" w:type="dxa"/>
          </w:tcPr>
          <w:p w14:paraId="6FE4A3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нарезов</w:t>
            </w:r>
          </w:p>
          <w:p w14:paraId="3168B6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193832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p w14:paraId="1BE9D2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43581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p w14:paraId="43AE63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41AE2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p w14:paraId="666208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7F4FA3" w14:textId="77777777">
        <w:trPr>
          <w:trHeight w:val="250"/>
        </w:trPr>
        <w:tc>
          <w:tcPr>
            <w:tcW w:w="2227" w:type="dxa"/>
          </w:tcPr>
          <w:p w14:paraId="54CB60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Глубина нареза, мм</w:t>
            </w:r>
          </w:p>
          <w:p w14:paraId="193425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009B63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0,35</w:t>
            </w:r>
          </w:p>
          <w:p w14:paraId="643760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B7740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0,35</w:t>
            </w:r>
          </w:p>
          <w:p w14:paraId="68FF8A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2E8300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0,35</w:t>
            </w:r>
          </w:p>
          <w:p w14:paraId="72AA54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9C2CC4" w14:textId="77777777">
        <w:trPr>
          <w:trHeight w:val="250"/>
        </w:trPr>
        <w:tc>
          <w:tcPr>
            <w:tcW w:w="2227" w:type="dxa"/>
          </w:tcPr>
          <w:p w14:paraId="2E1ECB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нареза, мм</w:t>
            </w:r>
          </w:p>
          <w:p w14:paraId="6E644D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190648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5,35</w:t>
            </w:r>
          </w:p>
          <w:p w14:paraId="2110EF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21AE51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5,35</w:t>
            </w:r>
          </w:p>
          <w:p w14:paraId="37668A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73D943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5,35</w:t>
            </w:r>
          </w:p>
          <w:p w14:paraId="70F100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A12F36" w14:textId="77777777">
        <w:trPr>
          <w:trHeight w:val="250"/>
        </w:trPr>
        <w:tc>
          <w:tcPr>
            <w:tcW w:w="2227" w:type="dxa"/>
          </w:tcPr>
          <w:p w14:paraId="4A6E5C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поля, мм</w:t>
            </w:r>
          </w:p>
          <w:p w14:paraId="06CC75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6CC168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p w14:paraId="52D8C6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13A81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p w14:paraId="1C890B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508C76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p w14:paraId="37B02C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603833" w14:textId="77777777">
        <w:trPr>
          <w:trHeight w:val="230"/>
        </w:trPr>
        <w:tc>
          <w:tcPr>
            <w:tcW w:w="2227" w:type="dxa"/>
          </w:tcPr>
          <w:p w14:paraId="4E9D1A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ствола, кг</w:t>
            </w:r>
          </w:p>
          <w:p w14:paraId="7C0548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71C28B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w:t>
            </w:r>
          </w:p>
          <w:p w14:paraId="4F74B8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BE335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w:t>
            </w:r>
          </w:p>
          <w:p w14:paraId="669471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67D284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11,9</w:t>
            </w:r>
          </w:p>
          <w:p w14:paraId="123AB5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70B971" w14:textId="77777777">
        <w:trPr>
          <w:trHeight w:val="259"/>
        </w:trPr>
        <w:tc>
          <w:tcPr>
            <w:tcW w:w="2227" w:type="dxa"/>
          </w:tcPr>
          <w:p w14:paraId="1358F6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подвижных частей, кг</w:t>
            </w:r>
          </w:p>
          <w:p w14:paraId="57070D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44A5F0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3,14</w:t>
            </w:r>
          </w:p>
          <w:p w14:paraId="2D15F7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EC1B9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3,14</w:t>
            </w:r>
          </w:p>
          <w:p w14:paraId="28F0D1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99160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3,14</w:t>
            </w:r>
          </w:p>
          <w:p w14:paraId="192D1A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A684D4" w14:textId="77777777">
        <w:trPr>
          <w:trHeight w:val="259"/>
        </w:trPr>
        <w:tc>
          <w:tcPr>
            <w:tcW w:w="2227" w:type="dxa"/>
          </w:tcPr>
          <w:p w14:paraId="69870E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всей пушки, кг</w:t>
            </w:r>
          </w:p>
          <w:p w14:paraId="7D5648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721867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40</w:t>
            </w:r>
          </w:p>
          <w:p w14:paraId="2D5429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0C231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42</w:t>
            </w:r>
          </w:p>
          <w:p w14:paraId="050492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B7F83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44,5</w:t>
            </w:r>
          </w:p>
          <w:p w14:paraId="05F51E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D439B3" w14:textId="77777777">
        <w:trPr>
          <w:trHeight w:val="259"/>
        </w:trPr>
        <w:tc>
          <w:tcPr>
            <w:tcW w:w="2227" w:type="dxa"/>
          </w:tcPr>
          <w:p w14:paraId="3A4272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Ширина пушки, мм</w:t>
            </w:r>
          </w:p>
          <w:p w14:paraId="222C05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0DD16F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w:t>
            </w:r>
          </w:p>
          <w:p w14:paraId="36A28A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49809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193,8</w:t>
            </w:r>
          </w:p>
          <w:p w14:paraId="27B993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5534C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193,8</w:t>
            </w:r>
          </w:p>
          <w:p w14:paraId="37B452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5DA92F" w14:textId="77777777">
        <w:trPr>
          <w:trHeight w:val="240"/>
        </w:trPr>
        <w:tc>
          <w:tcPr>
            <w:tcW w:w="2227" w:type="dxa"/>
          </w:tcPr>
          <w:p w14:paraId="37B637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хода подвижных частей, мм</w:t>
            </w:r>
          </w:p>
          <w:p w14:paraId="6485DC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7E55D3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185,5</w:t>
            </w:r>
          </w:p>
          <w:p w14:paraId="3DA482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B41B9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185,5</w:t>
            </w:r>
          </w:p>
          <w:p w14:paraId="537E75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57BF4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185,5</w:t>
            </w:r>
          </w:p>
          <w:p w14:paraId="6F4E77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60774D" w14:textId="77777777">
        <w:trPr>
          <w:trHeight w:val="240"/>
        </w:trPr>
        <w:tc>
          <w:tcPr>
            <w:tcW w:w="2227" w:type="dxa"/>
          </w:tcPr>
          <w:p w14:paraId="143031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Темп стрельбы, выстр./мин.</w:t>
            </w:r>
          </w:p>
          <w:p w14:paraId="17DBD2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6721D7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700-800</w:t>
            </w:r>
          </w:p>
          <w:p w14:paraId="185C1A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20682C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700-800</w:t>
            </w:r>
          </w:p>
          <w:p w14:paraId="5791FB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66AAD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700-800</w:t>
            </w:r>
          </w:p>
          <w:p w14:paraId="15808A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CF9890" w14:textId="77777777">
        <w:trPr>
          <w:trHeight w:val="259"/>
        </w:trPr>
        <w:tc>
          <w:tcPr>
            <w:tcW w:w="2227" w:type="dxa"/>
            <w:tcBorders>
              <w:bottom w:val="single" w:sz="12" w:space="0" w:color="auto"/>
            </w:tcBorders>
          </w:tcPr>
          <w:p w14:paraId="32CDC7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Объем каморы, см</w:t>
            </w:r>
            <w:r w:rsidRPr="00E93F40">
              <w:rPr>
                <w:rFonts w:ascii="Times New Roman" w:hAnsi="Times New Roman"/>
                <w:color w:val="000000" w:themeColor="text1"/>
                <w:sz w:val="16"/>
                <w:szCs w:val="16"/>
                <w:vertAlign w:val="superscript"/>
              </w:rPr>
              <w:t>3</w:t>
            </w:r>
          </w:p>
          <w:p w14:paraId="1B59FD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bottom w:val="single" w:sz="12" w:space="0" w:color="auto"/>
            </w:tcBorders>
          </w:tcPr>
          <w:p w14:paraId="6669ED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p w14:paraId="08C812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7E7C6B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p w14:paraId="063B14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bottom w:val="single" w:sz="12" w:space="0" w:color="auto"/>
            </w:tcBorders>
          </w:tcPr>
          <w:p w14:paraId="23879D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p w14:paraId="24B500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1C9B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 в боекомплект пушки входили осколочно-зажи-гательные и бронебойно-зажигательные снаряды. Длина осколоч-но-зажигательного снаряда 2,4 клб, вес 96 г, снаряд содержал 27,5 г взрывчатого вещества. Длина бронебойно-зажигательного снаряда 3,1 клб, вес 96,6 г. Осколочно-зажигательные и бронебойно-зажи</w:t>
      </w:r>
      <w:r w:rsidRPr="00E93F40">
        <w:rPr>
          <w:rFonts w:ascii="Times New Roman" w:hAnsi="Times New Roman"/>
          <w:color w:val="000000" w:themeColor="text1"/>
          <w:sz w:val="16"/>
          <w:szCs w:val="16"/>
        </w:rPr>
        <w:softHyphen/>
        <w:t>гательные снаряды имели одинаковый метательный заряд — 19,2 г и одинаковую баллистику (начальная скорость 815 м/с). Вес патро</w:t>
      </w:r>
      <w:r w:rsidRPr="00E93F40">
        <w:rPr>
          <w:rFonts w:ascii="Times New Roman" w:hAnsi="Times New Roman"/>
          <w:color w:val="000000" w:themeColor="text1"/>
          <w:sz w:val="16"/>
          <w:szCs w:val="16"/>
        </w:rPr>
        <w:softHyphen/>
        <w:t>на 185 г, вес звена 38 г. В 20-мм патронах к пушке ШВАК применена латунная гильза цилиндрической формы с закраиной в донной части, выступаю</w:t>
      </w:r>
      <w:r w:rsidRPr="00E93F40">
        <w:rPr>
          <w:rFonts w:ascii="Times New Roman" w:hAnsi="Times New Roman"/>
          <w:color w:val="000000" w:themeColor="text1"/>
          <w:sz w:val="16"/>
          <w:szCs w:val="16"/>
        </w:rPr>
        <w:softHyphen/>
        <w:t>щей за тело гильзы. Извлечение такой гильзы после выстрела было затруднено, так как оно начиналось при некотором остаточном давлении пороховых газов в канале ствола, когда стенки гильзы были еще прижаты к стенкам патронника. По этой причине часто случались поперечные разрывы гильзы и обрывы закраин. А это в свою очередь приводило к утыканию очередного патрона и к пре</w:t>
      </w:r>
      <w:r w:rsidRPr="00E93F40">
        <w:rPr>
          <w:rFonts w:ascii="Times New Roman" w:hAnsi="Times New Roman"/>
          <w:color w:val="000000" w:themeColor="text1"/>
          <w:sz w:val="16"/>
          <w:szCs w:val="16"/>
        </w:rPr>
        <w:softHyphen/>
        <w:t>кращению автоматической стрельбы. Первоначально 20-мм патроны комплектовали применявшимся в наземной артиллерии высокочувствительным головным взрыва</w:t>
      </w:r>
      <w:r w:rsidRPr="00E93F40">
        <w:rPr>
          <w:rFonts w:ascii="Times New Roman" w:hAnsi="Times New Roman"/>
          <w:color w:val="000000" w:themeColor="text1"/>
          <w:sz w:val="16"/>
          <w:szCs w:val="16"/>
        </w:rPr>
        <w:softHyphen/>
        <w:t>телем мгновенного действия непредохранительного типа МГ-3. Но МГ-3 иногда давал преждевременные разрывы снарядов в ство</w:t>
      </w:r>
      <w:r w:rsidRPr="00E93F40">
        <w:rPr>
          <w:rFonts w:ascii="Times New Roman" w:hAnsi="Times New Roman"/>
          <w:color w:val="000000" w:themeColor="text1"/>
          <w:sz w:val="16"/>
          <w:szCs w:val="16"/>
        </w:rPr>
        <w:softHyphen/>
        <w:t>ле пушки. В конце 1936 г. МГ-3 был заменен взрывателем МГ-201. Этот взрыватель имел более высокие чувствительность и мгновен</w:t>
      </w:r>
      <w:r w:rsidRPr="00E93F40">
        <w:rPr>
          <w:rFonts w:ascii="Times New Roman" w:hAnsi="Times New Roman"/>
          <w:color w:val="000000" w:themeColor="text1"/>
          <w:sz w:val="16"/>
          <w:szCs w:val="16"/>
        </w:rPr>
        <w:softHyphen/>
        <w:t>ность действия; вылетающий центробежный предохранитель (чека) был изъят. Но все же взрыватель МГ-201 не удовлетворял требова</w:t>
      </w:r>
      <w:r w:rsidRPr="00E93F40">
        <w:rPr>
          <w:rFonts w:ascii="Times New Roman" w:hAnsi="Times New Roman"/>
          <w:color w:val="000000" w:themeColor="text1"/>
          <w:sz w:val="16"/>
          <w:szCs w:val="16"/>
        </w:rPr>
        <w:softHyphen/>
        <w:t>ниям по безопасности, так как взводился в канале ствола пушки. В 1938 г. взрыватель МГ-201 был заменен более чувствитель</w:t>
      </w:r>
      <w:r w:rsidRPr="00E93F40">
        <w:rPr>
          <w:rFonts w:ascii="Times New Roman" w:hAnsi="Times New Roman"/>
          <w:color w:val="000000" w:themeColor="text1"/>
          <w:sz w:val="16"/>
          <w:szCs w:val="16"/>
        </w:rPr>
        <w:softHyphen/>
        <w:t>ным, безотказно срабатывающим при встрече с перкалевой обшив кой самолетов и отличавшимся большим быстродействием взрыва</w:t>
      </w:r>
      <w:r w:rsidRPr="00E93F40">
        <w:rPr>
          <w:rFonts w:ascii="Times New Roman" w:hAnsi="Times New Roman"/>
          <w:color w:val="000000" w:themeColor="text1"/>
          <w:sz w:val="16"/>
          <w:szCs w:val="16"/>
        </w:rPr>
        <w:softHyphen/>
        <w:t>телем К-6, созданным П.Г. Щеголевым. Этот взрыватель имел ме</w:t>
      </w:r>
      <w:r w:rsidRPr="00E93F40">
        <w:rPr>
          <w:rFonts w:ascii="Times New Roman" w:hAnsi="Times New Roman"/>
          <w:color w:val="000000" w:themeColor="text1"/>
          <w:sz w:val="16"/>
          <w:szCs w:val="16"/>
        </w:rPr>
        <w:softHyphen/>
        <w:t>ханизм, обеспечивающий его взведение только после вылета сна</w:t>
      </w:r>
      <w:r w:rsidRPr="00E93F40">
        <w:rPr>
          <w:rFonts w:ascii="Times New Roman" w:hAnsi="Times New Roman"/>
          <w:color w:val="000000" w:themeColor="text1"/>
          <w:sz w:val="16"/>
          <w:szCs w:val="16"/>
        </w:rPr>
        <w:softHyphen/>
        <w:t>ряда из ствола пушки (на расстоянии 0,3—0,5 м от дульного среза), что практически исключало случаи преждевременного разрыва снаряда в стволе пушки. Первоначально патроны к ШВАК комплектовали осколочными снарядами, а в 1941 г. началось валовое производство осколочно-зажигательных снарядов с взрывателем К-6. В новых снарядах каморы под взрывчатое вещество и вес взрывчатого вещества воз</w:t>
      </w:r>
      <w:r w:rsidRPr="00E93F40">
        <w:rPr>
          <w:rFonts w:ascii="Times New Roman" w:hAnsi="Times New Roman"/>
          <w:color w:val="000000" w:themeColor="text1"/>
          <w:sz w:val="16"/>
          <w:szCs w:val="16"/>
        </w:rPr>
        <w:softHyphen/>
        <w:t>росли почти в два раза (10695).</w:t>
      </w:r>
    </w:p>
    <w:p w14:paraId="1D8F69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795A84"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мая 1932 года был закончен в изготовлении опытный образец крупнокалиберного пулемета ШВАК (25233).</w:t>
      </w:r>
    </w:p>
    <w:p w14:paraId="2F9247CE" w14:textId="77777777" w:rsidR="0064033E" w:rsidRPr="00142305" w:rsidRDefault="0064033E" w:rsidP="0064033E">
      <w:pPr>
        <w:spacing w:after="0" w:line="240" w:lineRule="auto"/>
        <w:jc w:val="both"/>
        <w:rPr>
          <w:rFonts w:ascii="Times New Roman" w:hAnsi="Times New Roman"/>
          <w:color w:val="0070C0"/>
          <w:sz w:val="16"/>
          <w:szCs w:val="16"/>
        </w:rPr>
      </w:pPr>
    </w:p>
    <w:p w14:paraId="21DB4DB2"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color w:val="000000" w:themeColor="text1"/>
          <w:sz w:val="16"/>
          <w:szCs w:val="16"/>
        </w:rPr>
        <w:t>28 мая 1936 года постановлением Совета Труда и Обороны (СТО) СССР «О научно-исследовательском экспериментальном институте ЦАГИ» было определено,</w:t>
      </w:r>
    </w:p>
    <w:p w14:paraId="7540662D"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«…что основной задачей ЦАГИ является обеспечение авиационной промышленности научно-технически проверенными данными, позволяющими производить выпуск технически совершенных самолетов…»</w:t>
      </w:r>
    </w:p>
    <w:p w14:paraId="429CB53F" w14:textId="22722FDE" w:rsidR="00E34863" w:rsidRPr="00E93F40" w:rsidRDefault="00E34863" w:rsidP="00E93F40">
      <w:pPr>
        <w:pStyle w:val="rtejustify"/>
        <w:shd w:val="clear" w:color="auto" w:fill="FFFFFF"/>
        <w:spacing w:before="0" w:after="0"/>
        <w:rPr>
          <w:color w:val="000000" w:themeColor="text1"/>
          <w:sz w:val="16"/>
          <w:szCs w:val="16"/>
        </w:rPr>
      </w:pPr>
      <w:r w:rsidRPr="00E93F40">
        <w:rPr>
          <w:color w:val="000000" w:themeColor="text1"/>
          <w:sz w:val="16"/>
          <w:szCs w:val="16"/>
        </w:rPr>
        <w:t>Одновременно из ЦАГИ выделили конструкторское бюро и ЗОК и на их базе создали самостоятельную единицу, подчиненную непосредственно Главному Управлению Авиационной промышленности (ГУАП) НКТП СССР. Во исполнение этого постановления, в начале июля, первым заместителем директора ЗОК и начальником конструкторского отдела назначили В. М. Петлякова, а его заместителями стали С. Л. Берг и П.</w:t>
      </w:r>
      <w:r w:rsidR="007C1411" w:rsidRPr="00E93F40">
        <w:rPr>
          <w:color w:val="000000" w:themeColor="text1"/>
          <w:sz w:val="16"/>
          <w:szCs w:val="16"/>
        </w:rPr>
        <w:t xml:space="preserve"> </w:t>
      </w:r>
      <w:r w:rsidRPr="00E93F40">
        <w:rPr>
          <w:color w:val="000000" w:themeColor="text1"/>
          <w:sz w:val="16"/>
          <w:szCs w:val="16"/>
        </w:rPr>
        <w:t>О. Сухой (19171).</w:t>
      </w:r>
    </w:p>
    <w:p w14:paraId="10E2171E" w14:textId="77777777" w:rsidR="00E34863" w:rsidRPr="00E93F40" w:rsidRDefault="00E34863" w:rsidP="00E93F40">
      <w:pPr>
        <w:pStyle w:val="rtejustify"/>
        <w:shd w:val="clear" w:color="auto" w:fill="FFFFFF"/>
        <w:spacing w:before="0" w:after="0"/>
        <w:rPr>
          <w:color w:val="000000" w:themeColor="text1"/>
          <w:sz w:val="16"/>
          <w:szCs w:val="16"/>
        </w:rPr>
      </w:pPr>
    </w:p>
    <w:p w14:paraId="6FC06FFF"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мая 1932 года в «Правде» появилась передовица «Внимание гражданскому воздушному флоту», где говорилось:</w:t>
      </w:r>
    </w:p>
    <w:p w14:paraId="44957BD4"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«1932 должен быть годом разворота работ по реконструкции гражданского воздушного флота.</w:t>
      </w:r>
    </w:p>
    <w:p w14:paraId="35BC46F6"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Уже в текущем году впервые начинается массовое производство самолетов из новых металлов (нержавеющая сталь).</w:t>
      </w:r>
    </w:p>
    <w:p w14:paraId="12FB2822"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передовице описывались задачи, предусмотренные программой развития «Аэрофлота», но потом констатировалось наметившееся в 1932 году отставание:</w:t>
      </w:r>
    </w:p>
    <w:p w14:paraId="483F4EE2"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«Первый квартал дал значительное недовыполнение плана. План выполнен по километражу на 75,9 проц., по тонно-километражу — на 76,8 проц.».</w:t>
      </w:r>
    </w:p>
    <w:p w14:paraId="3FC20639"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Причиной спада назывались не только погодные условия и острая нехватка самолетов:</w:t>
      </w:r>
    </w:p>
    <w:p w14:paraId="1175958C"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«Исключительное значение для успеха дела имеют порядок и дисциплина. Однако нужно прямо сказать, что этого порядка еще очень мало на воздушных линиях, в отрядах сельскохозяйственной авиации и аэрофотосъемки. Нет здесь строжайшей железной дисциплины, какая необходима в воздушном флоте».</w:t>
      </w:r>
    </w:p>
    <w:p w14:paraId="66F6D15B"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при этом говорилось и о том, что о работниках «Аэрофлота» следует заботиться:</w:t>
      </w:r>
    </w:p>
    <w:p w14:paraId="25CA846D"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«Мы обязаны… обратить особое внимание на дальнейшее улучшение бытового положения его работников, в особенности ведущей профессии — летно-подъемного состава».</w:t>
      </w:r>
    </w:p>
    <w:p w14:paraId="65470071"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немалую часть этой работы, как указывалось в передовице, должны были взять на себя местные органы власти:</w:t>
      </w:r>
    </w:p>
    <w:p w14:paraId="6FE8EDC0"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«Нужно помнить, что гигантская задача аэрофикации Советского Союза требует самого непосредственного и активного участия всех местных партийных, советских, хозяйственных и общественных организаций.</w:t>
      </w:r>
    </w:p>
    <w:p w14:paraId="55F5E4DF"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сожалению, приходится констатировать, что до сего времени еще в ряде мест думают, что развитие воздушных сообщений должно идти исключительно по государственному бюджету.</w:t>
      </w:r>
    </w:p>
    <w:p w14:paraId="555A1E3F"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Поэтому многими горсоветами еще не проведена связь аэродромов с городами и прокладка подъездных путей. Такие крупные центры как Харьков, Ростов, Новосибирск имеют отвратительное сообщение с аэродромами» (25172).</w:t>
      </w:r>
    </w:p>
    <w:p w14:paraId="7D472B8D" w14:textId="77777777" w:rsidR="0064033E" w:rsidRPr="00142305" w:rsidRDefault="0064033E" w:rsidP="0064033E">
      <w:pPr>
        <w:spacing w:after="0" w:line="240" w:lineRule="auto"/>
        <w:jc w:val="both"/>
        <w:rPr>
          <w:rFonts w:ascii="Times New Roman" w:hAnsi="Times New Roman"/>
          <w:color w:val="0070C0"/>
          <w:sz w:val="16"/>
          <w:szCs w:val="16"/>
        </w:rPr>
      </w:pPr>
    </w:p>
    <w:p w14:paraId="4C9D9C96" w14:textId="77777777" w:rsidR="00E34863" w:rsidRPr="00E93F40" w:rsidRDefault="00E3486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мая 1932. В Клубе работников народного хозяйства имени Ф. Э. Дзержинского (Мясницкая, дом - 7) создатель дирижаблей Умберто Нобиле выступил с докладом "Дирижабль СССР необходим". Следующий доклад на эту же тему он сделал, здесь спустя две недели -10 июня (18723).</w:t>
      </w:r>
    </w:p>
    <w:p w14:paraId="558CF34B" w14:textId="77777777" w:rsidR="00E34863" w:rsidRPr="00E93F40" w:rsidRDefault="00E34863" w:rsidP="00E93F40">
      <w:pPr>
        <w:spacing w:after="0" w:line="240" w:lineRule="auto"/>
        <w:jc w:val="both"/>
        <w:rPr>
          <w:rFonts w:ascii="Times New Roman" w:hAnsi="Times New Roman"/>
          <w:color w:val="000000" w:themeColor="text1"/>
          <w:sz w:val="16"/>
          <w:szCs w:val="16"/>
        </w:rPr>
      </w:pPr>
    </w:p>
    <w:p w14:paraId="1B5E650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F5797A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612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мая 1932 года в техническом управлении (ТУ) ВМС был рассмотрен проект 152-мм береговой подвижной буксируемой установки, позже получившей индекс Б-25. В качестве качающейся части была взята все та же Б-10. Система проектировалась на трех повозках с механической тягой (ствольная, лафетная и основания). По проекту угол горизонтального наведения установки был 60, а ТУ ВМС требовало 120. В окончательном варианте установки Б-25 угол возвышения был +45, а угол горизонтального наведения все-таки достиг 120. Приводы наведения работали от специального бензинового двигателя без муфты Дженни. Время перехода системы Б-10 из походного положения в боевое было около 4-х часов. Скорострельность равнялась 2 выстрела в минуту. Вес системы в боевом положении 14759 кг (3861).</w:t>
      </w:r>
    </w:p>
    <w:p w14:paraId="5F6164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6835F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6EB85A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473E6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28 мая и 4 июня 1932. Из протокола заседания Политбюро № 99, 1932 г.</w:t>
      </w:r>
    </w:p>
    <w:p w14:paraId="0D6881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обеспечении программы спиртоводочной промышленности II квартала </w:t>
      </w:r>
    </w:p>
    <w:p w14:paraId="7D2BF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НКФина о снижении крепости хлебного вина с 43 до 40 (11652).</w:t>
      </w:r>
    </w:p>
    <w:p w14:paraId="1B5A9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5E1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28 мая и 4 июня 1932. Из протокола заседания Политбюро № 100, 1932 г.</w:t>
      </w:r>
    </w:p>
    <w:p w14:paraId="7B055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спецпереселенцах </w:t>
      </w:r>
    </w:p>
    <w:p w14:paraId="17309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Отменить постановление Политбюро от 4 мая 1932 г. о хозяйственном выселении 38 300 кулацких семейств, предложив ОГПУ отдельные контрреволюционные злостные элементы в деревне изымать в порядке индивидуального ареста (11652). </w:t>
      </w:r>
    </w:p>
    <w:p w14:paraId="3F1B68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748B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28 мая и 4 июня 1932. Из протокола заседания Политбюро № 100, 1932 г.</w:t>
      </w:r>
    </w:p>
    <w:p w14:paraId="270B20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информационном бюро </w:t>
      </w:r>
    </w:p>
    <w:p w14:paraId="70E5C8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Задачи БМИ состоят: </w:t>
      </w:r>
    </w:p>
    <w:p w14:paraId="3A3AA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В проверке, сводке, информации по международным делам, приходящим в ЦК ВКП(б) по всем каналам наших учреждений. </w:t>
      </w:r>
    </w:p>
    <w:p w14:paraId="78273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В извлечении их из иностранной прессы и литературы. </w:t>
      </w:r>
    </w:p>
    <w:p w14:paraId="12F73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В заполучении сведений из иностранных источников. </w:t>
      </w:r>
    </w:p>
    <w:p w14:paraId="31AA30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В проверке результатов всей предыдущей работы через высылаемых в острые моменты собственных корреспондентов. </w:t>
      </w:r>
    </w:p>
    <w:p w14:paraId="6919D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Разработанный таким образом материал служит: </w:t>
      </w:r>
    </w:p>
    <w:p w14:paraId="209086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а) Для ежедневной информации ЦК. </w:t>
      </w:r>
    </w:p>
    <w:p w14:paraId="638FE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Накопляется для разработки в случае необходимости новых крупных вопросов, в данный момент не решаемых. </w:t>
      </w:r>
    </w:p>
    <w:p w14:paraId="21FF90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По указаниям Секретариата ЦК служит информацией для нашей прессы. </w:t>
      </w:r>
    </w:p>
    <w:p w14:paraId="64444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БМИ создает только небольшой подсобный постоянный аппарат (переводчики и т. д.), не развертывает работы постоянных кадров собственных сотрудников. </w:t>
      </w:r>
    </w:p>
    <w:p w14:paraId="2B725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Использует все наличные учреждения, работающие над экономическими, политическими и военными проблемами капиталистических стран. БМИ пользуется их материалами, дает им задания, кроме того, заказывает работы знатокам вопросов. Единственный постоянный кадр, который БМИ создает,— это кадр разъездных корреспондентов, которые на основе своего знания, специальных связей могут в моменты, когда надо непосредственно проверить наши суждения, выезжать для этой проверки. Эти специальные корреспонденты не имеют никаких оперативных задач, не могут вмешиваться в работу наших учреждений за границей, не передают никаких директив. Они только наблюдатели, которые должны на месте изучить положение и доложить о результатах своей работы. Они отправляются в качестве спецкоров своей газеты, получая задачу и инструкции от БМИ. </w:t>
      </w:r>
    </w:p>
    <w:p w14:paraId="5B7FEA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Постоянный, работающий при ЦК аппарат состоит из руководителя и двух его помощников — по экономическим и политическим вопросам и, наконец, из технических сотрудников. </w:t>
      </w:r>
    </w:p>
    <w:p w14:paraId="55625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Список спецкоров на ближайшие месяцы утверждается тов. Сталиным... </w:t>
      </w:r>
    </w:p>
    <w:p w14:paraId="38A64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Ввиду того, что не всегда желательно, чтобы работающий знал, что пишет для БМИ, этот фонд будет давать заказы и вести расчеты в качестве иностранного отдела "Известий"... </w:t>
      </w:r>
    </w:p>
    <w:p w14:paraId="5F42D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БМИ не выступает официально, а ведет свою работу как секретную (11652).</w:t>
      </w:r>
    </w:p>
    <w:p w14:paraId="215358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8436E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C3B0CF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06E3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28 мая и 4 июня 1932. Из протокола заседания Политбюро № 99, 1932 г.</w:t>
      </w:r>
    </w:p>
    <w:p w14:paraId="2ED87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Турции </w:t>
      </w:r>
    </w:p>
    <w:p w14:paraId="41599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Отпустить турецкой делегации в виде подарка от СССР турецкому правительству машины нашего производства: </w:t>
      </w:r>
    </w:p>
    <w:p w14:paraId="240FB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5 танкеток с пулеметами; б) 2 танка Виккерса с пулеметами; в) машинно-тракторную станцию в виде 10 "Интеров" с прицепным инвентарем (плуги простые, сеялки простые, уборочные машины и т. д.); г) 2 грузовика и 1 автобус автозавода Сталина (11652).</w:t>
      </w:r>
    </w:p>
    <w:p w14:paraId="0928F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93F62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B55CC5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8C1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мая 1932 г. после окончания заводских испытаний нового штурмовика в ЦАГИ, ТШ-2 был передан в НИИ ВВС для производства государственных испытаний. Однако, в силу отмеченных выше недостатков, военные не смогли принять штурмовик в качестве эталона для серии. В результате производство ТШ-2 М-17 в конце 1932 г. было прекращено на первых 10 экземплярах.</w:t>
      </w:r>
    </w:p>
    <w:p w14:paraId="4B44B0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Позднее на одном из серийных ТШ-2 в качестве эксперимента был установлен более мощный W-образный отечественный мотор М-27. Машину испытывал Ю. И. Пионтковский. Лучше летать штурмовик не стал (9649).</w:t>
      </w:r>
    </w:p>
    <w:p w14:paraId="253EA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E6D4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29 мая по 8 июня 1932 проходили испытания принятого с завода N 1 самолета И5 N 4420 с мотором М22 N 9110, винт N 40442 завода N 28 Н=2,1 Д=2,8 по выяснению причин вибрации.</w:t>
      </w:r>
    </w:p>
    <w:p w14:paraId="626A33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1F349D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летчик Степанченок</w:t>
      </w:r>
    </w:p>
    <w:p w14:paraId="4084C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1 отдела Осипенко</w:t>
      </w:r>
    </w:p>
    <w:p w14:paraId="40E68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3 отдела Пуня</w:t>
      </w:r>
    </w:p>
    <w:p w14:paraId="66367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Ход испытания</w:t>
      </w:r>
    </w:p>
    <w:p w14:paraId="517E7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принятый от зав. N 1 28 мая 1932 года в 17 час.</w:t>
      </w:r>
    </w:p>
    <w:p w14:paraId="7B7C7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 29 мая 1932 года</w:t>
      </w:r>
    </w:p>
    <w:p w14:paraId="709BB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окончено 8 июня 1932 года</w:t>
      </w:r>
    </w:p>
    <w:p w14:paraId="212EB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календарных дней на испытание - 11</w:t>
      </w:r>
    </w:p>
    <w:p w14:paraId="17A19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них:</w:t>
      </w:r>
    </w:p>
    <w:p w14:paraId="2E286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испытывался в воздухе - 3 летных дня</w:t>
      </w:r>
    </w:p>
    <w:p w14:paraId="5F196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Летный и технический состав снят для участия в воздушном параде - 1 день</w:t>
      </w:r>
    </w:p>
    <w:p w14:paraId="6D533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Сделано посадок - 11</w:t>
      </w:r>
    </w:p>
    <w:p w14:paraId="2D109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продолжительность полетов в воздухе - 3 часа 43 мин. (3025).</w:t>
      </w:r>
    </w:p>
    <w:p w14:paraId="7071CA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F8059A" w14:textId="77777777" w:rsidR="00BD2BF4" w:rsidRPr="00E93F40" w:rsidRDefault="00BD2B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мая 1932 года на Центральном аэродроме в присутствии начальника УВВС Я.И. Алксниса при посадке С.А. Корзинщиков попал в неуправляемый разворот. Хотя мно</w:t>
      </w:r>
      <w:r w:rsidRPr="00E93F40">
        <w:rPr>
          <w:rFonts w:ascii="Times New Roman" w:hAnsi="Times New Roman"/>
          <w:color w:val="000000" w:themeColor="text1"/>
          <w:sz w:val="16"/>
          <w:szCs w:val="16"/>
        </w:rPr>
        <w:softHyphen/>
        <w:t>гие считали, что удалось «поймать» органиче</w:t>
      </w:r>
      <w:r w:rsidRPr="00E93F40">
        <w:rPr>
          <w:rFonts w:ascii="Times New Roman" w:hAnsi="Times New Roman"/>
          <w:color w:val="000000" w:themeColor="text1"/>
          <w:sz w:val="16"/>
          <w:szCs w:val="16"/>
        </w:rPr>
        <w:softHyphen/>
        <w:t>ский порок крылатых автожиров, в НИИ ВВС, вероятно не без давления Я.И. Алксниса, по</w:t>
      </w:r>
      <w:r w:rsidRPr="00E93F40">
        <w:rPr>
          <w:rFonts w:ascii="Times New Roman" w:hAnsi="Times New Roman"/>
          <w:color w:val="000000" w:themeColor="text1"/>
          <w:sz w:val="16"/>
          <w:szCs w:val="16"/>
        </w:rPr>
        <w:softHyphen/>
        <w:t>считали, что имела место посадка при боко</w:t>
      </w:r>
      <w:r w:rsidRPr="00E93F40">
        <w:rPr>
          <w:rFonts w:ascii="Times New Roman" w:hAnsi="Times New Roman"/>
          <w:color w:val="000000" w:themeColor="text1"/>
          <w:sz w:val="16"/>
          <w:szCs w:val="16"/>
        </w:rPr>
        <w:softHyphen/>
        <w:t>вом ветре 3-5 м/с. При этом машина встала на нос, серьезные повреждения получили лопа</w:t>
      </w:r>
      <w:r w:rsidRPr="00E93F40">
        <w:rPr>
          <w:rFonts w:ascii="Times New Roman" w:hAnsi="Times New Roman"/>
          <w:color w:val="000000" w:themeColor="text1"/>
          <w:sz w:val="16"/>
          <w:szCs w:val="16"/>
        </w:rPr>
        <w:softHyphen/>
        <w:t>сти ротора и мотоустановка.</w:t>
      </w:r>
    </w:p>
    <w:p w14:paraId="30FBD0C5" w14:textId="77777777" w:rsidR="00BD2BF4" w:rsidRPr="00E93F40" w:rsidRDefault="00BD2B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снова восстановили и продолжи</w:t>
      </w:r>
      <w:r w:rsidRPr="00E93F40">
        <w:rPr>
          <w:rFonts w:ascii="Times New Roman" w:hAnsi="Times New Roman"/>
          <w:color w:val="000000" w:themeColor="text1"/>
          <w:sz w:val="16"/>
          <w:szCs w:val="16"/>
        </w:rPr>
        <w:softHyphen/>
        <w:t>ли работу. Всего в процессе летных испытаний было выполнено около полусотни вылетов с общим налетом около 18 часов. Серьезное внимание было уделено вопросам устойчиво</w:t>
      </w:r>
      <w:r w:rsidRPr="00E93F40">
        <w:rPr>
          <w:rFonts w:ascii="Times New Roman" w:hAnsi="Times New Roman"/>
          <w:color w:val="000000" w:themeColor="text1"/>
          <w:sz w:val="16"/>
          <w:szCs w:val="16"/>
        </w:rPr>
        <w:softHyphen/>
        <w:t>сти и управляемости автожира. Сняли немалое количество балансировочных кривых на раз</w:t>
      </w:r>
      <w:r w:rsidRPr="00E93F40">
        <w:rPr>
          <w:rFonts w:ascii="Times New Roman" w:hAnsi="Times New Roman"/>
          <w:color w:val="000000" w:themeColor="text1"/>
          <w:sz w:val="16"/>
          <w:szCs w:val="16"/>
        </w:rPr>
        <w:softHyphen/>
        <w:t>ных режимах полета. Во время испытаний ав</w:t>
      </w:r>
      <w:r w:rsidRPr="00E93F40">
        <w:rPr>
          <w:rFonts w:ascii="Times New Roman" w:hAnsi="Times New Roman"/>
          <w:color w:val="000000" w:themeColor="text1"/>
          <w:sz w:val="16"/>
          <w:szCs w:val="16"/>
        </w:rPr>
        <w:softHyphen/>
        <w:t>тожира впервые в СССР сняли поляры на режи</w:t>
      </w:r>
      <w:r w:rsidRPr="00E93F40">
        <w:rPr>
          <w:rFonts w:ascii="Times New Roman" w:hAnsi="Times New Roman"/>
          <w:color w:val="000000" w:themeColor="text1"/>
          <w:sz w:val="16"/>
          <w:szCs w:val="16"/>
        </w:rPr>
        <w:softHyphen/>
        <w:t>ме планирования. В процессе летных испыта</w:t>
      </w:r>
      <w:r w:rsidRPr="00E93F40">
        <w:rPr>
          <w:rFonts w:ascii="Times New Roman" w:hAnsi="Times New Roman"/>
          <w:color w:val="000000" w:themeColor="text1"/>
          <w:sz w:val="16"/>
          <w:szCs w:val="16"/>
        </w:rPr>
        <w:softHyphen/>
        <w:t>ний и доводки автожира ЦАГИ 2-ЭА был полу</w:t>
      </w:r>
      <w:r w:rsidRPr="00E93F40">
        <w:rPr>
          <w:rFonts w:ascii="Times New Roman" w:hAnsi="Times New Roman"/>
          <w:color w:val="000000" w:themeColor="text1"/>
          <w:sz w:val="16"/>
          <w:szCs w:val="16"/>
        </w:rPr>
        <w:softHyphen/>
        <w:t>чен ценный материал для уточнения методики аэродинамического расчета и расчета балан</w:t>
      </w:r>
      <w:r w:rsidRPr="00E93F40">
        <w:rPr>
          <w:rFonts w:ascii="Times New Roman" w:hAnsi="Times New Roman"/>
          <w:color w:val="000000" w:themeColor="text1"/>
          <w:sz w:val="16"/>
          <w:szCs w:val="16"/>
        </w:rPr>
        <w:softHyphen/>
        <w:t>сировки автожира, расчета длины разбега и пробега, для оценки соответствия расчетных данных данным летных испытаний, для даль</w:t>
      </w:r>
      <w:r w:rsidRPr="00E93F40">
        <w:rPr>
          <w:rFonts w:ascii="Times New Roman" w:hAnsi="Times New Roman"/>
          <w:color w:val="000000" w:themeColor="text1"/>
          <w:sz w:val="16"/>
          <w:szCs w:val="16"/>
        </w:rPr>
        <w:softHyphen/>
        <w:t>нейшего уточнения норм прочности. Однако испытания с модернизированным оперением и механическим запуском проводить не стали. На «выходе» уже был автожир 4ЭА или по-но</w:t>
      </w:r>
      <w:r w:rsidRPr="00E93F40">
        <w:rPr>
          <w:rFonts w:ascii="Times New Roman" w:hAnsi="Times New Roman"/>
          <w:color w:val="000000" w:themeColor="text1"/>
          <w:sz w:val="16"/>
          <w:szCs w:val="16"/>
        </w:rPr>
        <w:softHyphen/>
        <w:t>вому - А-4, на котором были реализованы обе эти опции. В 1933 году автожир ЦАГИ 2ЭА пе</w:t>
      </w:r>
      <w:r w:rsidRPr="00E93F40">
        <w:rPr>
          <w:rFonts w:ascii="Times New Roman" w:hAnsi="Times New Roman"/>
          <w:color w:val="000000" w:themeColor="text1"/>
          <w:sz w:val="16"/>
          <w:szCs w:val="16"/>
        </w:rPr>
        <w:softHyphen/>
        <w:t>редали в агитэскадрилью «Максим Горький», где он совершил несколько агитационных по</w:t>
      </w:r>
      <w:r w:rsidRPr="00E93F40">
        <w:rPr>
          <w:rFonts w:ascii="Times New Roman" w:hAnsi="Times New Roman"/>
          <w:color w:val="000000" w:themeColor="text1"/>
          <w:sz w:val="16"/>
          <w:szCs w:val="16"/>
        </w:rPr>
        <w:softHyphen/>
        <w:t>летов. В начале 1934 году по причине израсхо</w:t>
      </w:r>
      <w:r w:rsidRPr="00E93F40">
        <w:rPr>
          <w:rFonts w:ascii="Times New Roman" w:hAnsi="Times New Roman"/>
          <w:color w:val="000000" w:themeColor="text1"/>
          <w:sz w:val="16"/>
          <w:szCs w:val="16"/>
        </w:rPr>
        <w:softHyphen/>
        <w:t>дования ресурса двигателя автожир был пере</w:t>
      </w:r>
      <w:r w:rsidRPr="00E93F40">
        <w:rPr>
          <w:rFonts w:ascii="Times New Roman" w:hAnsi="Times New Roman"/>
          <w:color w:val="000000" w:themeColor="text1"/>
          <w:sz w:val="16"/>
          <w:szCs w:val="16"/>
        </w:rPr>
        <w:softHyphen/>
        <w:t>дан в музей Осоавиахима (23518).</w:t>
      </w:r>
    </w:p>
    <w:p w14:paraId="4784D7A7" w14:textId="77777777" w:rsidR="00BD2BF4" w:rsidRPr="00E93F40" w:rsidRDefault="00BD2BF4" w:rsidP="00E93F40">
      <w:pPr>
        <w:spacing w:after="0" w:line="240" w:lineRule="auto"/>
        <w:jc w:val="both"/>
        <w:rPr>
          <w:rFonts w:ascii="Times New Roman" w:hAnsi="Times New Roman"/>
          <w:color w:val="000000" w:themeColor="text1"/>
          <w:sz w:val="16"/>
          <w:szCs w:val="16"/>
        </w:rPr>
      </w:pPr>
    </w:p>
    <w:p w14:paraId="58673F26"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29 мая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625/2О1сс об отсрочке представления технических проектов по объектам строительства заводов военной, авиационной и гражданской узко оборонного значения промышленности (ГА РФ. Ф. Р?8418. Оп. 28. Д. 1а. Л. 277?280) (12415).</w:t>
      </w:r>
    </w:p>
    <w:p w14:paraId="0BEE843A"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p>
    <w:p w14:paraId="2B594631" w14:textId="77777777" w:rsidR="00A567B2" w:rsidRPr="00E93F40" w:rsidRDefault="00A567B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29 мая 1932 вышло постановление № 625/201сс РЗ СТО или КО (№ 975/ко от 29.5.1932 г.) - Об отсрочке представления технических проектов по объектам строительства заводов военной, авиационной и гражданской узко-оборонного значения промышленности (21564).</w:t>
      </w:r>
    </w:p>
    <w:p w14:paraId="1AE68BC9" w14:textId="77777777" w:rsidR="00A567B2" w:rsidRPr="00E93F40" w:rsidRDefault="00A567B2" w:rsidP="00E93F40">
      <w:pPr>
        <w:spacing w:after="0" w:line="240" w:lineRule="auto"/>
        <w:jc w:val="both"/>
        <w:rPr>
          <w:rFonts w:ascii="Times New Roman" w:hAnsi="Times New Roman"/>
          <w:color w:val="000000" w:themeColor="text1"/>
          <w:sz w:val="16"/>
          <w:szCs w:val="16"/>
        </w:rPr>
      </w:pPr>
    </w:p>
    <w:p w14:paraId="58535C5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10B5DF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1F87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мая 1932 г. танк Т-28 совершил первый испытательный пробег во дворе завода, причем он привел к перегреву мотора. Таким образом, испытания танка были связаны с доработкой его конструкции и устранения обнаруженных недостатков. А их хватало. Лопались траки, заклинивались передачи КПП, вновь перегревался двигатель, переставало поступать в мотор топливо... За месяц испытаний танк прошел всего лишь 62 километра. Но с каждым разом он одолевал все более даль</w:t>
      </w:r>
      <w:r w:rsidRPr="00E93F40">
        <w:rPr>
          <w:rFonts w:ascii="Times New Roman" w:hAnsi="Times New Roman"/>
          <w:color w:val="000000" w:themeColor="text1"/>
          <w:sz w:val="16"/>
          <w:szCs w:val="16"/>
        </w:rPr>
        <w:softHyphen/>
        <w:t>ние дистанции. И и 16 июля 1932 г. танк был показан нач</w:t>
      </w:r>
      <w:r w:rsidRPr="00E93F40">
        <w:rPr>
          <w:rFonts w:ascii="Times New Roman" w:hAnsi="Times New Roman"/>
          <w:color w:val="000000" w:themeColor="text1"/>
          <w:sz w:val="16"/>
          <w:szCs w:val="16"/>
        </w:rPr>
        <w:softHyphen/>
        <w:t>составу УММ, а 28 июля — партийному руководству Ле</w:t>
      </w:r>
      <w:r w:rsidRPr="00E93F40">
        <w:rPr>
          <w:rFonts w:ascii="Times New Roman" w:hAnsi="Times New Roman"/>
          <w:color w:val="000000" w:themeColor="text1"/>
          <w:sz w:val="16"/>
          <w:szCs w:val="16"/>
        </w:rPr>
        <w:softHyphen/>
        <w:t>нинграда во главе с С. Кировым. После обобщения первых результатов испытаний Т-28 было решено усилить вооружение танка, доведя его до уров</w:t>
      </w:r>
      <w:r w:rsidRPr="00E93F40">
        <w:rPr>
          <w:rFonts w:ascii="Times New Roman" w:hAnsi="Times New Roman"/>
          <w:color w:val="000000" w:themeColor="text1"/>
          <w:sz w:val="16"/>
          <w:szCs w:val="16"/>
        </w:rPr>
        <w:softHyphen/>
        <w:t>ня «гросстракторов» — 76-мм танковая полуавтоматическая пушка, благо такое вооружение позволяло унифицировать большую башню с башней тяжелого (позиционного) танка. Таким образом, второй опытный образец Т-28 наряду с мотором М-17 и усиленными бортредукторами должен был получить также 76-мм пушку ПС-3, аналогичную установ</w:t>
      </w:r>
      <w:r w:rsidRPr="00E93F40">
        <w:rPr>
          <w:rFonts w:ascii="Times New Roman" w:hAnsi="Times New Roman"/>
          <w:color w:val="000000" w:themeColor="text1"/>
          <w:sz w:val="16"/>
          <w:szCs w:val="16"/>
        </w:rPr>
        <w:softHyphen/>
        <w:t>ленной в Т-35. Планировалось на нем же в 1933-м испытать и опытный дизель ПГЕ, работы над которым велись в ОКМО завода «Большевик», получившего незадолго до это</w:t>
      </w:r>
      <w:r w:rsidRPr="00E93F40">
        <w:rPr>
          <w:rFonts w:ascii="Times New Roman" w:hAnsi="Times New Roman"/>
          <w:color w:val="000000" w:themeColor="text1"/>
          <w:sz w:val="16"/>
          <w:szCs w:val="16"/>
        </w:rPr>
        <w:softHyphen/>
        <w:t>го имя К. Ворошилова (10733,233).</w:t>
      </w:r>
    </w:p>
    <w:p w14:paraId="609350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8AD4E4" w14:textId="5B90BA1E" w:rsidR="00743CF8" w:rsidRPr="00E93F40" w:rsidRDefault="00743C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1932 г. Т-28 совершил первый испытательный пробег по территории завода «Большевик». Сразу выяснилось, что машина имеет множество недоделок и недостатков, поэтому в июне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танк прошёл всего 62 км. Руководство страны и армии проявляло к танку большой интерес. 28 июля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он был продемонстрирован партийному руководству Ленинграда во главе с С. М. Кировым. В целом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танк произвёл благоприятное впечатление (15132).</w:t>
      </w:r>
    </w:p>
    <w:p w14:paraId="7F15F2B6" w14:textId="77777777" w:rsidR="00743CF8" w:rsidRPr="00E93F40" w:rsidRDefault="00743CF8" w:rsidP="00E93F40">
      <w:pPr>
        <w:spacing w:after="0" w:line="240" w:lineRule="auto"/>
        <w:jc w:val="both"/>
        <w:rPr>
          <w:rFonts w:ascii="Times New Roman" w:hAnsi="Times New Roman"/>
          <w:color w:val="000000" w:themeColor="text1"/>
          <w:sz w:val="16"/>
          <w:szCs w:val="16"/>
        </w:rPr>
      </w:pPr>
    </w:p>
    <w:p w14:paraId="080D1FB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A85683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FD1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30 мая 1932 г на НИАП прибыл измененный опытный образец универсальной 76-мм пушки завода "Красный Путиловец", собранный 23 февраля 1932 года. Колеса для испытаний первого образца были взяты от Я-5. На вооружение универсалка Путиловского завода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 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(3861).</w:t>
      </w:r>
    </w:p>
    <w:p w14:paraId="09DE1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9B4C01" w14:textId="77777777" w:rsidR="00743CF8" w:rsidRPr="00E93F40" w:rsidRDefault="00743C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мая 1932 г. на НИАП прибыл измененный опытный образец 75-мм универсально пушки. Колеса для испытаний первого образца были взяты от Я-5, Результаты испытаний системы:</w:t>
      </w:r>
    </w:p>
    <w:p w14:paraId="68BF9AED" w14:textId="77777777" w:rsidR="00743CF8" w:rsidRPr="00E93F40" w:rsidRDefault="00743C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 …… Вес снаряда, кг — Начальная скорость, м/с — Длина отката при: 25° / 30° / 75°</w:t>
      </w:r>
    </w:p>
    <w:p w14:paraId="19A76AC3" w14:textId="77777777" w:rsidR="00743CF8" w:rsidRPr="00E93F40" w:rsidRDefault="00743C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 3809 …… 7,1 — 875 — 1193 / 1242 /830</w:t>
      </w:r>
    </w:p>
    <w:p w14:paraId="46B78D90" w14:textId="77777777" w:rsidR="00743CF8" w:rsidRPr="00E93F40" w:rsidRDefault="00743C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(15117).</w:t>
      </w:r>
    </w:p>
    <w:p w14:paraId="0ABE952C" w14:textId="77777777" w:rsidR="00743CF8" w:rsidRPr="00E93F40" w:rsidRDefault="00743CF8" w:rsidP="00E93F40">
      <w:pPr>
        <w:spacing w:after="0" w:line="240" w:lineRule="auto"/>
        <w:jc w:val="both"/>
        <w:rPr>
          <w:rFonts w:ascii="Times New Roman" w:hAnsi="Times New Roman"/>
          <w:color w:val="000000" w:themeColor="text1"/>
          <w:sz w:val="16"/>
          <w:szCs w:val="16"/>
        </w:rPr>
      </w:pPr>
    </w:p>
    <w:p w14:paraId="39EDB9FC" w14:textId="77777777" w:rsidR="0064033E" w:rsidRPr="00142305" w:rsidRDefault="0064033E" w:rsidP="0064033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30 мая 1932 г. опытный образец универсальной 76 мм пушки прибыл на НИАП. Колеса для испытаний первого образца были взяты от Я-5.</w:t>
      </w:r>
    </w:p>
    <w:p w14:paraId="7004C8A5"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(25213).</w:t>
      </w:r>
    </w:p>
    <w:p w14:paraId="02924274" w14:textId="77777777" w:rsidR="0064033E" w:rsidRPr="00142305" w:rsidRDefault="0064033E" w:rsidP="0064033E">
      <w:pPr>
        <w:spacing w:after="0" w:line="240" w:lineRule="auto"/>
        <w:jc w:val="both"/>
        <w:rPr>
          <w:rFonts w:ascii="Times New Roman" w:hAnsi="Times New Roman"/>
          <w:color w:val="0070C0"/>
          <w:sz w:val="16"/>
          <w:szCs w:val="16"/>
        </w:rPr>
      </w:pPr>
    </w:p>
    <w:p w14:paraId="4C6D7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мая 1932 г. Постановлением ЦК ВКП(б) Центральный музей техники и Всесоюзная постоянная выставка техники были объединены в общий комплекс под названием "Дворец техники". Основой концепции будущего Дворца-музея стала демонстрация органической связи различных отраслей народного хозяйства, показ наиболее характерных технологических процессов (9872).</w:t>
      </w:r>
    </w:p>
    <w:p w14:paraId="1E034F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16C6B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4D18DF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6409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мая 1932 канцлер Г.Брюнинг подал в отставку, лишившись поддержки президента Гинденбурга (3907,173).</w:t>
      </w:r>
    </w:p>
    <w:p w14:paraId="280FF3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02AFA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D1846D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761B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мая 1932 г. ЦАГИ выдал расчетные данные по новому самолету, которому был присвоен индекс И-14М-38. Эта машина должна была иметь рабочую высоту применения до 5000 м, развивать на этой высоте скорость до 330 км/ч, набирать ее за 7 - 8 мин, иметь потолок 9500 - 10 000 м, достигать дальности полета на высоте 5000 м со скоростью 260 км/ч - 500 км. Массу боевой нагрузки определели равной 210 кг (в нее входили два пулемета ПВ-1, стреляющие через винт, и 1500 патронов).</w:t>
      </w:r>
    </w:p>
    <w:p w14:paraId="7B4B4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июня 1932 г. в ГУАПе прошло совещание по вопросу сроков представления самолетов-эталонов. В отношении И-14 постановили, что при условии выхода к 1 августа 1932 г. мотора М-38, постройку и испытания самолета вести по утвержденному ранее графику с выходом эталона к 15 мая 1933 г.</w:t>
      </w:r>
    </w:p>
    <w:p w14:paraId="12CAC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М-38 конструкции Ф.В.Концевича имел большой диаметр цилиндра (160 мм) и представлял собой девятицилиндровый звездообразный мотор с редуктором и прибором центрального наддува, по современной терминологии - компрессором с приводом от самой силовой установки. Он создавался с 1930 г. на заводе им. М.В.Фрунзе, а затем его передали в ЦИАМ, где испытали два опытных образца. Параметры оказались намного хуже заявленных в проекте - взлетная мощность составила 575 л.с. против 600 л.с. по ТЗ, а масса на 50 кг превысила заявленную (400 кг). Работы по нему прекратили в 1933 г. Вопрос с силовой установкой для нового истребителя требовал срочного решения (12037).</w:t>
      </w:r>
    </w:p>
    <w:p w14:paraId="0984D6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176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мая 1932 на гос. испытания был принят МБР-2 (3042).</w:t>
      </w:r>
    </w:p>
    <w:p w14:paraId="45B12D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3E60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31 мая 1932 года по 30 июня 1932 года в Севастополе при Морск. испытательной станции НИИ ВВС проходили государственные испытания опытного гидросамолета МБР-2 УТЕ=7,3 (3043).</w:t>
      </w:r>
    </w:p>
    <w:p w14:paraId="2916AD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6618DE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Снятие летно-тактических характеристик самолетов для оценки возможности принятия данного типа на вооружение ВВС.</w:t>
      </w:r>
    </w:p>
    <w:p w14:paraId="631293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нормальных гос. испытаний НИИ ВВС объявленная в приказе по НИИ N 44/140 от 26.05.32 г.</w:t>
      </w:r>
    </w:p>
    <w:p w14:paraId="5AB7C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проходит испытания в 2-х вариантах:</w:t>
      </w:r>
    </w:p>
    <w:p w14:paraId="56952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вариант морской базовый разведчик без бомбовой нагрузки и бомбового снаряжения.</w:t>
      </w:r>
    </w:p>
    <w:p w14:paraId="32AE2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2-й вариант - разведчик с бомбовой нагрузкой 500 кг и бомбовым снаряжением.</w:t>
      </w:r>
    </w:p>
    <w:p w14:paraId="5D90C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заключении испытаний - определение предельной максимальной нагрузки поднимаемой самолетом.</w:t>
      </w:r>
    </w:p>
    <w:p w14:paraId="16F8CF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Даты:</w:t>
      </w:r>
    </w:p>
    <w:p w14:paraId="62396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постройке принят 1931</w:t>
      </w:r>
    </w:p>
    <w:p w14:paraId="4FBA60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 плана</w:t>
      </w:r>
    </w:p>
    <w:p w14:paraId="3C0838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предъявлен 25 мая 1932 года в МИС НИИ ВВС</w:t>
      </w:r>
    </w:p>
    <w:p w14:paraId="226C4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с 3 мая 1932 г. по 24 мая 1932 г.</w:t>
      </w:r>
    </w:p>
    <w:p w14:paraId="2F3AC3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 на гос. испытания 31 мая 1932 г.</w:t>
      </w:r>
    </w:p>
    <w:p w14:paraId="7C6AC8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закончены 30 июня 1932 г. (3043).</w:t>
      </w:r>
    </w:p>
    <w:p w14:paraId="278EA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8C530B"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31 мая 1932 на пароходе «Капитан Карпенко» прибыл новый отряд строителей завода № 126 в количестве 130 чел. и разместился в районе стойбища Дземги в палатках и 6 нанайских фанзах. Нанайцы к тому времени уже покинули стойбище, переместившись в другие места. </w:t>
      </w:r>
    </w:p>
    <w:p w14:paraId="705AA183"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Вот имена некоторых первостроителей: И.Е.Семенов, П.Ф.Сафонов, П.С.Пазухин, П.З.Зайцев, К.А.Коршунов, К.Г.Маршалов, А.Г.Ефременко, К.М.Нуждин, А.Д.Голобоченков, П.Г.Емельянов, И.С.Мазилин, С.И. Смирнов, Г.Л.Чувеляев, К.А.Имамакова и др.</w:t>
      </w:r>
    </w:p>
    <w:p w14:paraId="5FF31A98"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июня К.Р. Золотарев отправил в Москву нач. Авиапрома Мухину подробный доклад о положение на строительстве, в котором сообщалось, что место выбранное под строительство имеет высокую вероятность затопления осенними паводками. </w:t>
      </w:r>
    </w:p>
    <w:p w14:paraId="0C502ABD"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Однако, несмотря на все данные о высокой вероятности затопления этой площадки, строительство и складирование необходимых грузов осуществлялось без учета этого фактора. В результате в сентябре небывалый на Амуре паводок нанес большой урон стройке. Материальные ресурсы строительных объектов на промплощадке, в том числе, котлован главного корпуса и аэродром, — все оказалось затопленным. Из 570 га, отведенных под стройку, 390, т.е. 70% всей площади оказалось под водой. </w:t>
      </w:r>
    </w:p>
    <w:p w14:paraId="7A844F40"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стройке срочно была создана экспедиция под руководством инженера Л. Кравцова, которая в короткий срок нашла новое место для строительства в 4-5 км от прежней стройки. На ней вновь развернулись работы по корчевке тайги и осушению болот (12211).</w:t>
      </w:r>
    </w:p>
    <w:p w14:paraId="40E14C1A" w14:textId="77777777" w:rsidR="00272919" w:rsidRPr="00E93F40" w:rsidRDefault="00272919" w:rsidP="00E93F40">
      <w:pPr>
        <w:spacing w:after="0" w:line="240" w:lineRule="auto"/>
        <w:jc w:val="both"/>
        <w:rPr>
          <w:rFonts w:ascii="Times New Roman" w:hAnsi="Times New Roman"/>
          <w:color w:val="000000" w:themeColor="text1"/>
          <w:sz w:val="16"/>
          <w:szCs w:val="16"/>
        </w:rPr>
      </w:pPr>
    </w:p>
    <w:p w14:paraId="1E31530B" w14:textId="77777777" w:rsidR="00E34863" w:rsidRPr="00E93F40" w:rsidRDefault="00E3486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мая 1932 г. к берегам Амура вблизи нанайского стойбища Дземги причалил пароход «Карпенко» с первым отрядом комсомольцев-строителей. Началась подготовка площадки под завод № 126, но разлив Амура уничтожил все, что сделали за полгода. Пришлось перенести строительство на новое место, в 4,5 км от реки и начать все заново. Грузы приходилось доставлять по Амуру, железнодорожную ветку провели только в конце 1937 г. Зимой работе мешали морозы, доходившие до 47 градусов.</w:t>
      </w:r>
    </w:p>
    <w:p w14:paraId="654B9F6A" w14:textId="77777777" w:rsidR="00E34863" w:rsidRPr="00E93F40" w:rsidRDefault="00E3486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на еще не законченный завод прибыли группа из 120 выпускников Воронежского авиатехникума, а к 1 мая 1936 г. был готов первый самолет — металлический двухмоторный разведчик Р-6. До конца года новорожденное предприятие изготовило и сдало 20 Р-6 в колесном и поплавковом вариантах (18304).</w:t>
      </w:r>
    </w:p>
    <w:p w14:paraId="212F9E38" w14:textId="77777777" w:rsidR="00E34863" w:rsidRPr="00E93F40" w:rsidRDefault="00E34863" w:rsidP="00E93F40">
      <w:pPr>
        <w:spacing w:after="0" w:line="240" w:lineRule="auto"/>
        <w:jc w:val="both"/>
        <w:rPr>
          <w:rFonts w:ascii="Times New Roman" w:hAnsi="Times New Roman"/>
          <w:color w:val="000000" w:themeColor="text1"/>
          <w:sz w:val="16"/>
          <w:szCs w:val="16"/>
        </w:rPr>
      </w:pPr>
    </w:p>
    <w:p w14:paraId="3AD59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мая 1932 года на пароходе «Карпенко» прибыл первый отряд комсомольцев – строителей заводв № 126 Авиастроя НКТП. Пароход причалил к пустынному берегу, вблизи нанайского стойбища Дземги в девяти км ниже села Пермское, ныне – Центрального района города Комсомольска.</w:t>
      </w:r>
    </w:p>
    <w:p w14:paraId="2EDDA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Выбор места строительства завода утвержден комиссией ОКДВА 17-24 мая 1932 года.</w:t>
      </w:r>
    </w:p>
    <w:p w14:paraId="08C45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Генеральный план строительства был разработан Государственным институтом по проектированию авиационных заводов и утвержден комиссией НКТП 25 мая 1932 года.</w:t>
      </w:r>
    </w:p>
    <w:p w14:paraId="6ED2B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Строительство завода началось 31 мая 1932 года. Осенью 1932 года наводнением реки Амур был почти целиком уничтожено все, что было сделано на осваиваемой площадке.</w:t>
      </w:r>
    </w:p>
    <w:p w14:paraId="23EBE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Пришлось срочно искать новую площадку.</w:t>
      </w:r>
    </w:p>
    <w:p w14:paraId="2B910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Новая площадка отстояла от Амура на расстоянии 4,5 км, на незаливаемых местах.</w:t>
      </w:r>
    </w:p>
    <w:p w14:paraId="75E222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Перенесение строительства на новую площадку было подтверждено специальным решением Глававиапрома от 14 июня 1933 года. В декабре 1937 года была открыта ж/д ветка Волочаевка - Комсомольск. Второе полугодие 1933 года и первое полугодие 1934 года были затрачены на освоение новой строительной площадки.</w:t>
      </w:r>
    </w:p>
    <w:p w14:paraId="7F5C9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разбивке новой промплощадки и выборе мест строительства вспомогательных объектов был допущен целый ряд существенных ошибок: неправильно был разбит аэродром, а Гипроавиа на основании этой разбивки сделал проект; бетонный завод выстроен на берегу реки Амур в пяти км от места бетонирования, который потом пришлось забросить; кирпичный завод сооружен в 15 км от строительства, на правом берегу Амура, в то время как на самой площадке строительства было достаточно залежи глины; шоссейная дорога, соединяющая строительство с берегом Амура, а в дальнейшем, идущая в центр Комсомольска, была сделана не по проекту и проходила по территории завода, которую также пришлось забросить. В июле 1934 года на строительство прибыло новое руководство: начальником строительства и директором завода был назначен Кузнецов К.Д.</w:t>
      </w:r>
    </w:p>
    <w:p w14:paraId="1ED50F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паспортных данных строительства завода говориться: программа завода по окончании строительства в 1936 году установлена: 200 самолетов ТБ-3 или МДР-4 в год; в военное время – ремонт 350 самолетов ТБ-3 или МДР-4, 100 самолетов С-62 и ремонт 1500 моторов. Нов действительности производственная программа завода существенно изменилась. К концу 1934 года коллектив стройки был мобилизован на успешное выполнение плана строительства и ввода в эксплуатацию завода в 1935 году. Июнь-сентябрь 1935 года – один за другим вступают в строй действующих производственные и вспомогательные цеха завода. 15 января 1936 года приказом по НКТП за № 11с начальник строительства и эксплуатации завода № 126 Кузнецов К.Д. обязывался приступить к организации и освоению производства самолетов Р6-2М17 морского и сухопутного вариантов.</w:t>
      </w:r>
    </w:p>
    <w:p w14:paraId="6EBFCE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освоения производства давалось задание выпустить 15 машин. Дано было задание выпустить первую машину к 1 мая 1936 года, т.е. подготовиться и дать продукцию за 4 с половиной месяца. 1 мая 1936 года завод выпустил первую машину.</w:t>
      </w:r>
    </w:p>
    <w:p w14:paraId="4F63F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по Гл. управлению авиапромышленности НКТП № 055с от 21 мая 1936 года завод обязывался вести подготовку к серийному выпуску новой машины ДБ-3Б.</w:t>
      </w:r>
    </w:p>
    <w:p w14:paraId="48A7C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завода № 39 обязан был передать заводу № 126 «полную материальную спецификацию самолета ДБ-3Б в металлическом варианте к 25 мая 1936 года; передать 12 комплектов конструктивных и теоретических чертежей, чертежи приспособлений, специнструмента» и т.д.</w:t>
      </w:r>
    </w:p>
    <w:p w14:paraId="679628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 же время завод выпускал самолеты Р-6, выпустив в 1936 году 20 самолетов. Причем в IV квартале было выпущено 85% годового задания (I квартал – 0; II квартал – 1 самолет; III квартал – 2 самолета и IV квартал – 17 самолетов).</w:t>
      </w:r>
    </w:p>
    <w:p w14:paraId="06A50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1936 года выполнение работ по новой машине ДБ-3Б должно было составить 2 условные единицы, фвктическое выполнение 0,5 условной единицы или 25% плана. В конце 1936 года сошла с производства машина Р-6. Всего выпущено заводом таких машин – 20. В 1937 году выпуска оборонной продукции не было. Шло освоение машины ДБ-3Б. К началу 1938 года завод имел два вида чертежей на машину ДБ-3Б: конструктивные и серийные.</w:t>
      </w:r>
    </w:p>
    <w:p w14:paraId="031D5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Сдача готовых самолетов шла по кварталам: I квартал – 1 самолет; II квартал – 4 самолета; III квартал – 14 самолетов; IV квартал – 11 самолетов, в декабре сдачи не было. Итого за 1938 год выпущено 30 машин, полностью укомплектованных запчастями.</w:t>
      </w:r>
    </w:p>
    <w:p w14:paraId="181DDF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этого, отремонтировано два самолета Р6-2М17 и закончено изготовление поплавков и запчастей для машины Р6-2М17 Аэрофлоту.</w:t>
      </w:r>
    </w:p>
    <w:p w14:paraId="4D167B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Снижены затраты времени на изготовление машины с 90,2 тыс. ч/ч в I квартале до 46, 3 тыс. ч/ч в IV квартале 1938 года.</w:t>
      </w:r>
    </w:p>
    <w:p w14:paraId="729AD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1938 года завод принимал непосредственное участие в спасении экипажа самолета «Родина» и вывозил из тайги сам самолет, который был доставлен на аэродром завода и в дальнейшем отправлен в Москву. В 1938 году директором завода стал Тер-Маркарян А.Н. В 1939 году завод выпустил 125 самолетов ДБ-3Б. В декабре 1939 года завод получил программу, согласно которой машина ДБ-3Б должна была сойти с производства в I квартале 1940 года и начато производство модернизированной марки ДБ-3Ф. В конце марта 1940 года программа заводу была изменена; самолет ДБ-3Б был продлен производством в течение всего первого полугодия с доведением количества по выпуску: вместо 50 самолетов до 125, а самолет ДБ-3Ф был включен в программу на второе полугодие с выпуском в количестве 50 машин, вместо 150 по первоначальному плану.</w:t>
      </w:r>
    </w:p>
    <w:p w14:paraId="39DDC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Производственное задание 1940 года не выполнено. Завод выпустил вместо 125 машин типа ДБ-3Б только 100, а типа ДБ-3Ф – ни одной. Причем выпуск самолетов проходил неравномерно: I квартал – 19 самолетов; II квартал – 5 самолетов; III квартал – 2 самолета; IV квартал – 75 самолетов.</w:t>
      </w:r>
    </w:p>
    <w:p w14:paraId="0D3AB2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закончил год с переходящим заделом на 1 января 1941 года ниже утвержденных нормативов, что ставило под угрозу выполнение плана I квартала 1941 года по выпуску самолетов ДБ-3Ф.</w:t>
      </w:r>
    </w:p>
    <w:p w14:paraId="1FECB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 время, с апреля 1939 года до конца 1940 года директором завода был Коломенский А. В I квартале 1941 года выпуска самолетов ДБ-3Ф не было. Первые три машины были выпущены в третьей декаде апреля, т.е. уже во втором квартале. Всего выпущено во II квартале 64 самолета ДБ-3Ф и 7 самолетов ДБ-3Б.</w:t>
      </w:r>
    </w:p>
    <w:p w14:paraId="58056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в первой половине 1941 года было выпущено 82 самолета, то во второй половине – 303; из общего количества 385 самолетов – 25 самолетов ДБ-3Б и 360 самолетов ДБ-3Ф. В 1941 году сошла с производства машина ДБ-3Б.</w:t>
      </w:r>
    </w:p>
    <w:p w14:paraId="62BCA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изготовлено заводом таких самолетов 280 единиц.</w:t>
      </w:r>
    </w:p>
    <w:p w14:paraId="7A775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закончил год с переходящим заделом на 1942 год 198,3 условных машины, из числа которых 75 машин полностью законченных, но не обмоторенных и частично неукомплектованных некоторыми готовыми изделиями.</w:t>
      </w:r>
    </w:p>
    <w:p w14:paraId="5046D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в 1941 году было выпущено 362 самолета, то в 1942 году завод дал 637 самолетов.</w:t>
      </w:r>
    </w:p>
    <w:p w14:paraId="487348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завод занимался дальнейшим строительством промышленных объектов. Причем первые три квартала 1942 года это строительство шло по двум отдельным, самостоятельным титульным спискам, т.е. по титулу завода № 126 и титулу завода № 130, переданному заводу по решению Правительства.</w:t>
      </w:r>
    </w:p>
    <w:p w14:paraId="09C213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приказу НКАП от 26 августа 1942 года № 663/с и приказу по заводу от 7 сентября 1942 года за № 530 строительство заводов было объединено с передачей всех объектов для достройки. За 1943 год было выпущено машин ДБ-3Ф – 653 вместо установленных планом 604, выполнено задание по выпуску самолетов на 109%. В 1944 году выпущено 597 самолетов ДБ-3Ф. В 1945 году завод выпустил 480 самолетов ДБ-3Ф или 103% к плану.</w:t>
      </w:r>
    </w:p>
    <w:p w14:paraId="756C4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изготовлено самолетов ДБ-3Ф – 2732 единицы. С 1941 года до начала 1945 года заводом руководил директор – Тимофеев Д.А. В связи с переводом Тимофеева на новую работу, директором завода был назначен бывш. секретарь Горкома КПСС Комсомольска Медков М.Г. В 1946 году завод занимался освоением и производством предметов народного потребления (фляги молочные, кровати, детские велосипеды, электроутюги и электроплитки, ложки, кастрюли, миски и т.д.), изготавливал ветродвигатели ВД-12 и одновременно готовился к выпуску новой машины ЛИ-2Т.</w:t>
      </w:r>
    </w:p>
    <w:p w14:paraId="55BF6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Территория бывш. завода № 130 – теперь территория «Б».</w:t>
      </w:r>
    </w:p>
    <w:p w14:paraId="2BEB87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по выпуску самолетов ЛИ-2Т, установленная на 1946 год в количестве 10 единиц выполнена не была. Первый фюзеляж был заложен в стапель 26 октября 1946 года, а выемка его произведена только 6 января 1947 года. С 1947 года начался серийный выпуск машины ЛИ-2Т. В 1947 году было выпущено 40 самолетов; в 1948 году – 148, в 1949 – 147 ( в том числе 10 пассажирских). В начале 1949 года МАП давалось задание параллельно с выпуском самолетов ЛИ-2Т, освоить производство самолетов ЛИ-2П (пассажирский вариант), которые также были освоены, но ввиду перехода завода на изготовление новой машины, было выпущено всего 20 самолетов.</w:t>
      </w:r>
    </w:p>
    <w:p w14:paraId="05C9B8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заводом выпущено: ЛИ-2Т (транспортный вариант) – 335 машин; ЛИ-2П (пассажирский вариант – 20 машин). В июне 1949 года завод получил приказ МАП о переходе завода на подготовку к выпуску новой машины МИГ-15.</w:t>
      </w:r>
    </w:p>
    <w:p w14:paraId="26C86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этого времени завод из системы 10-го гл. управления перешел в подчинение 1-му гл. управлению.</w:t>
      </w:r>
    </w:p>
    <w:p w14:paraId="703080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заводом стояла задача: наряду с подготовкой к выпуску новой машины, наиболее полно использовать заделы прошлой машины и тем самым выпустить максимально возможное количество их. В результате было выпущено вместо намеченных планом 125 машин – 157. Завод не додал за год против плана 5 самолетов в пассажирском варианте в количестве 37 самолетов.</w:t>
      </w:r>
    </w:p>
    <w:p w14:paraId="0FB0D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этот период на заводе директором с 1947 года был Белиловский С.И. На 1950 год перед заводом была поставлена задача: до 1 марта закончить в основном освоение технологии изготовления деталей, сборки агрегатов и монтажа самолетов МИГ-15 с тем, чтобы в последующий короткий срок, не более 2-х месяцев развить темпы серийного производства и выпуска самолетов.</w:t>
      </w:r>
    </w:p>
    <w:p w14:paraId="0EF45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этой задачей завод не справился и план на 1950 год по выработке и выпуску готовых самолетов не выполнен.</w:t>
      </w:r>
    </w:p>
    <w:p w14:paraId="4F9E4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Самолетов выпущено вместо 250 по плану всего 43 или 17%.</w:t>
      </w:r>
    </w:p>
    <w:p w14:paraId="076986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Освоение производства самолетов МИГ-15 в агрегатных цехах началось по детальной сборке с марта 1950 года, сборка в стапелях – с апреля, а внестапельная сборка и монтаж – с мая 1950 года. В сентябре 1950 года директором завода был назначен Беляк К.Н. В 1951 году выпущено самолетов МИГ-15 вместо 337 по плану – 362 или 107, 4%.</w:t>
      </w:r>
    </w:p>
    <w:p w14:paraId="766374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Главные задачи завода на 1952 год были определены приказом МАП от 16 января 1952 года за № 50сс и состояли в том, чтобы наряду с продолжением все нарастающего серийного выпуска самолета МИГ-15 бис, подготовить и поставить производство самолета МИГ-17, обеспечив к концу года развитие темпов серийного производства. В 1952 году было выпущено 503 самолета; самолетов МИГ-15 выпущено 428 и МИГ-17 – 75.</w:t>
      </w:r>
    </w:p>
    <w:p w14:paraId="608987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заводом выпущено самолетов МИГ-15 бис 833.</w:t>
      </w:r>
    </w:p>
    <w:p w14:paraId="17251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Основные задачи завода на 1953 год по объему производства и выпуску продукции были определены приказами МАП № 1438сс от 25 декабря 1952 года; № 86сс от 22 января 1953 года и дополнительными заданиями на увеличение выпуска предметов народного потребления. В 1953 году выпущен 461 самолет МИГ-17.</w:t>
      </w:r>
    </w:p>
    <w:p w14:paraId="05B411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задачи завода на 1954 год по объему производства были определены приказом МАП № 304а от 31 декабря 1954 года и дополнительными заданиями: в июне – на постановку производства вертолета МИ-1 и в октябре – на подготовку производства самолета МИГ-17 «СФ». В 1954 году выпущено 604 самолета МИГ-17. 30 мая 1954 года был оформлен «Готовый к бою» – 5000-й самолет, изготовленный со дня выпуска «первенца» (1 мая 1936 года).</w:t>
      </w:r>
    </w:p>
    <w:p w14:paraId="681E7E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377сс от 17 апреля 1954 года перед заводом была поставлена задача подготовиться в сжатые сроки к производству вертолетов МИ-1 на существующих площадях. В октябре завод получил новое задание: подготовиться к производству изделия МИГ-17 СФ. Производство вертолетов было приостановлено и снято с программы. В 1955 году заводом выпущено 124 самолета МИГ-17АС и 336 самолетов МИГ-17СФ. В апреле 1955 года сошла с производства на заводе № 126 машина МИГ-17АС.</w:t>
      </w:r>
    </w:p>
    <w:p w14:paraId="74EB3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изготовлено на заводе машин МИГ-17АС – 1264. В мае 1955 года заводом было получено задание на подготовку производства новых самолетов «СМ».</w:t>
      </w:r>
    </w:p>
    <w:p w14:paraId="7E323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отсутствия постановочных средств, по указанию МАП, в декабре 1955 года все работы по подготовке производства самолета «СМ» были прекращены.</w:t>
      </w:r>
    </w:p>
    <w:p w14:paraId="671307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переводом Беляка К.Н. на другую работу, приказом МАП за № 229/к от 18 июня 1955 года директором завода был назначен Березницкий Ф.А. В 1956 году завод выпустил 429 самолетов МИГ-17СФ.</w:t>
      </w:r>
    </w:p>
    <w:p w14:paraId="600FDC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Руководствуясь приказами МАП, в начале 1956 года началась подготовка производства совершенно нового реактивного самолета конструкции Сухого – СУ-7.</w:t>
      </w:r>
    </w:p>
    <w:p w14:paraId="5B852B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Техническая документация была получена на завод в марте 1956 года. В 1957 году завод выпустил 113 самолетов МИГ-17СФ и 4 самолета СУ-7.</w:t>
      </w:r>
    </w:p>
    <w:p w14:paraId="1EE99A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не выполнил план по выпуску новых самолетов СУ-7, вместо 10 изготовлено только 4 самолета.</w:t>
      </w:r>
    </w:p>
    <w:p w14:paraId="02E7C6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начала освоения самолетов СУ-7 завод № 126 был «ведомым» и всю техническую документацию (чертежи, ТУ и проч.) на модернизацию, конструктивные изменения и доработки получал уже отработанными в производстве на ведущем заводе, что позволяло вводить быстрые изменения в серию.</w:t>
      </w:r>
    </w:p>
    <w:p w14:paraId="10C20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началом освоения самолетов СУ-7 положение резко изменилось, полученные чертежи от ОКБ в действительности носили эскизный характер, в большинстве случаев не проходили до поступления на завод производственной проверки, а зачастую и плазовой увязки.</w:t>
      </w:r>
    </w:p>
    <w:p w14:paraId="7DE428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МАП в 1957 году давалось задание освоить и выпустить 340 планеров А-13 и А-11 конструкции О.К. Антонова. Это решение было вызвано необходимостью дозагрузки мощностей завода и рабочих, ввиду создавшегося положения на заводе с тяжелым освоением и малой серии новых самолетов СУ-7 и затянувшегося решения о продлении производства самолетов МИГ-17СФ.</w:t>
      </w:r>
    </w:p>
    <w:p w14:paraId="34DF8A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моменту получения задания по выпуску планеров существовали только эскизные чертежи планера А-13, чертежей планера А-11 вообще еще не существовало и они разрабатывались на заводе двумя конструкторами ОКБ.</w:t>
      </w:r>
    </w:p>
    <w:p w14:paraId="7ECC6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Запуск чертежей планера А-13 в производство был закончен в апреле 1957 года. В мае было собрано 2 планера А-13 и один из них был отправлен на статическое, а другой в июне 1957 года – на летные испытания в ОКБ (Киев).</w:t>
      </w:r>
    </w:p>
    <w:p w14:paraId="01AAE0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Статические испытания показали, что отдельные элементы конструкции не удовлетворяют требованиям прочности и их необходимо серьезно доработать. Отправленные на летные испытания планер потерпел катастрофу при полетах.</w:t>
      </w:r>
    </w:p>
    <w:p w14:paraId="13749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Вследствие этого дальнейшая сборка планеров была прекращена, до получения от ОКБ материалов о необходимых переделках конструкции. Решение вопросов о конструктивных изменениях затянулось и завод не смог развернуть их производство и обеспечить выполнение даже уменьшенного плана – 40 единиц. Было изготовлено всего 4 планера А-13.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694"/>
        <w:gridCol w:w="2622"/>
        <w:gridCol w:w="2622"/>
      </w:tblGrid>
      <w:tr w:rsidR="00DA227A" w:rsidRPr="00E93F40" w14:paraId="37760954" w14:textId="77777777">
        <w:tc>
          <w:tcPr>
            <w:tcW w:w="2376" w:type="dxa"/>
          </w:tcPr>
          <w:p w14:paraId="7B5D92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w:t>
            </w:r>
          </w:p>
        </w:tc>
        <w:tc>
          <w:tcPr>
            <w:tcW w:w="2694" w:type="dxa"/>
          </w:tcPr>
          <w:p w14:paraId="4FCDB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2622" w:type="dxa"/>
          </w:tcPr>
          <w:p w14:paraId="22BA7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w:t>
            </w:r>
          </w:p>
        </w:tc>
        <w:tc>
          <w:tcPr>
            <w:tcW w:w="2622" w:type="dxa"/>
          </w:tcPr>
          <w:p w14:paraId="65C7A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r>
      <w:tr w:rsidR="00DA227A" w:rsidRPr="00E93F40" w14:paraId="3B0890A3" w14:textId="77777777">
        <w:tc>
          <w:tcPr>
            <w:tcW w:w="2376" w:type="dxa"/>
          </w:tcPr>
          <w:p w14:paraId="4650A6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1936</w:t>
            </w:r>
          </w:p>
        </w:tc>
        <w:tc>
          <w:tcPr>
            <w:tcW w:w="2694" w:type="dxa"/>
          </w:tcPr>
          <w:p w14:paraId="1F0E2F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2622" w:type="dxa"/>
          </w:tcPr>
          <w:p w14:paraId="7E3FD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2М-17</w:t>
            </w:r>
          </w:p>
        </w:tc>
        <w:tc>
          <w:tcPr>
            <w:tcW w:w="2622" w:type="dxa"/>
          </w:tcPr>
          <w:p w14:paraId="711E8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708911C7" w14:textId="77777777">
        <w:tc>
          <w:tcPr>
            <w:tcW w:w="2376" w:type="dxa"/>
          </w:tcPr>
          <w:p w14:paraId="52A18B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1937</w:t>
            </w:r>
          </w:p>
        </w:tc>
        <w:tc>
          <w:tcPr>
            <w:tcW w:w="2694" w:type="dxa"/>
          </w:tcPr>
          <w:p w14:paraId="1A7D99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ДБ-3Б</w:t>
            </w:r>
          </w:p>
        </w:tc>
        <w:tc>
          <w:tcPr>
            <w:tcW w:w="2622" w:type="dxa"/>
          </w:tcPr>
          <w:p w14:paraId="5F697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2М-87Б</w:t>
            </w:r>
          </w:p>
        </w:tc>
        <w:tc>
          <w:tcPr>
            <w:tcW w:w="2622" w:type="dxa"/>
          </w:tcPr>
          <w:p w14:paraId="6B2B2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F2BEC5" w14:textId="77777777">
        <w:tc>
          <w:tcPr>
            <w:tcW w:w="2376" w:type="dxa"/>
          </w:tcPr>
          <w:p w14:paraId="557BE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1938</w:t>
            </w:r>
          </w:p>
        </w:tc>
        <w:tc>
          <w:tcPr>
            <w:tcW w:w="2694" w:type="dxa"/>
          </w:tcPr>
          <w:p w14:paraId="0C767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ДБ-3Б</w:t>
            </w:r>
          </w:p>
        </w:tc>
        <w:tc>
          <w:tcPr>
            <w:tcW w:w="2622" w:type="dxa"/>
          </w:tcPr>
          <w:p w14:paraId="36E8D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2М-87Б</w:t>
            </w:r>
          </w:p>
        </w:tc>
        <w:tc>
          <w:tcPr>
            <w:tcW w:w="2622" w:type="dxa"/>
          </w:tcPr>
          <w:p w14:paraId="1E20A8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D91A78" w14:textId="77777777">
        <w:tc>
          <w:tcPr>
            <w:tcW w:w="2376" w:type="dxa"/>
          </w:tcPr>
          <w:p w14:paraId="2C8D7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1939</w:t>
            </w:r>
          </w:p>
        </w:tc>
        <w:tc>
          <w:tcPr>
            <w:tcW w:w="2694" w:type="dxa"/>
          </w:tcPr>
          <w:p w14:paraId="4AFEAF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ДБ-3Б</w:t>
            </w:r>
          </w:p>
        </w:tc>
        <w:tc>
          <w:tcPr>
            <w:tcW w:w="2622" w:type="dxa"/>
          </w:tcPr>
          <w:p w14:paraId="27ACD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2М-87Б</w:t>
            </w:r>
          </w:p>
        </w:tc>
        <w:tc>
          <w:tcPr>
            <w:tcW w:w="2622" w:type="dxa"/>
          </w:tcPr>
          <w:p w14:paraId="2C7BD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75257A" w14:textId="77777777">
        <w:tc>
          <w:tcPr>
            <w:tcW w:w="2376" w:type="dxa"/>
          </w:tcPr>
          <w:p w14:paraId="14D94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1940</w:t>
            </w:r>
          </w:p>
        </w:tc>
        <w:tc>
          <w:tcPr>
            <w:tcW w:w="2694" w:type="dxa"/>
          </w:tcPr>
          <w:p w14:paraId="6E821F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ДБ-3Б</w:t>
            </w:r>
          </w:p>
        </w:tc>
        <w:tc>
          <w:tcPr>
            <w:tcW w:w="2622" w:type="dxa"/>
          </w:tcPr>
          <w:p w14:paraId="110EB0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2М-87Б</w:t>
            </w:r>
          </w:p>
        </w:tc>
        <w:tc>
          <w:tcPr>
            <w:tcW w:w="2622" w:type="dxa"/>
          </w:tcPr>
          <w:p w14:paraId="7BA12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r>
      <w:tr w:rsidR="00DA227A" w:rsidRPr="00E93F40" w14:paraId="465FC59D" w14:textId="77777777">
        <w:tc>
          <w:tcPr>
            <w:tcW w:w="2376" w:type="dxa"/>
          </w:tcPr>
          <w:p w14:paraId="592B9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1940</w:t>
            </w:r>
          </w:p>
        </w:tc>
        <w:tc>
          <w:tcPr>
            <w:tcW w:w="2694" w:type="dxa"/>
          </w:tcPr>
          <w:p w14:paraId="78CD5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ДБ-3Ф</w:t>
            </w:r>
          </w:p>
        </w:tc>
        <w:tc>
          <w:tcPr>
            <w:tcW w:w="2622" w:type="dxa"/>
          </w:tcPr>
          <w:p w14:paraId="77B1F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2М-88Б</w:t>
            </w:r>
          </w:p>
        </w:tc>
        <w:tc>
          <w:tcPr>
            <w:tcW w:w="2622" w:type="dxa"/>
          </w:tcPr>
          <w:p w14:paraId="00AEA0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r>
      <w:tr w:rsidR="00DA227A" w:rsidRPr="00E93F40" w14:paraId="2C3DCD5F" w14:textId="77777777">
        <w:tc>
          <w:tcPr>
            <w:tcW w:w="2376" w:type="dxa"/>
          </w:tcPr>
          <w:p w14:paraId="632CF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1941</w:t>
            </w:r>
          </w:p>
        </w:tc>
        <w:tc>
          <w:tcPr>
            <w:tcW w:w="2694" w:type="dxa"/>
          </w:tcPr>
          <w:p w14:paraId="4E001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ДБ-3Б</w:t>
            </w:r>
          </w:p>
        </w:tc>
        <w:tc>
          <w:tcPr>
            <w:tcW w:w="2622" w:type="dxa"/>
          </w:tcPr>
          <w:p w14:paraId="75A84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2М-87Б</w:t>
            </w:r>
          </w:p>
        </w:tc>
        <w:tc>
          <w:tcPr>
            <w:tcW w:w="2622" w:type="dxa"/>
          </w:tcPr>
          <w:p w14:paraId="54466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tc>
      </w:tr>
      <w:tr w:rsidR="00DA227A" w:rsidRPr="00E93F40" w14:paraId="065BCE3D" w14:textId="77777777">
        <w:tc>
          <w:tcPr>
            <w:tcW w:w="2376" w:type="dxa"/>
          </w:tcPr>
          <w:p w14:paraId="59FC90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1941</w:t>
            </w:r>
          </w:p>
        </w:tc>
        <w:tc>
          <w:tcPr>
            <w:tcW w:w="2694" w:type="dxa"/>
          </w:tcPr>
          <w:p w14:paraId="4933DF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ДБ-3Ф</w:t>
            </w:r>
          </w:p>
        </w:tc>
        <w:tc>
          <w:tcPr>
            <w:tcW w:w="2622" w:type="dxa"/>
          </w:tcPr>
          <w:p w14:paraId="66231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2М-88Б</w:t>
            </w:r>
          </w:p>
        </w:tc>
        <w:tc>
          <w:tcPr>
            <w:tcW w:w="2622" w:type="dxa"/>
          </w:tcPr>
          <w:p w14:paraId="6B8FC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r>
      <w:tr w:rsidR="00DA227A" w:rsidRPr="00E93F40" w14:paraId="619F3B96" w14:textId="77777777">
        <w:tc>
          <w:tcPr>
            <w:tcW w:w="2376" w:type="dxa"/>
          </w:tcPr>
          <w:p w14:paraId="0B03A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1942</w:t>
            </w:r>
          </w:p>
        </w:tc>
        <w:tc>
          <w:tcPr>
            <w:tcW w:w="2694" w:type="dxa"/>
          </w:tcPr>
          <w:p w14:paraId="25A229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ДБ-3Ф</w:t>
            </w:r>
          </w:p>
        </w:tc>
        <w:tc>
          <w:tcPr>
            <w:tcW w:w="2622" w:type="dxa"/>
          </w:tcPr>
          <w:p w14:paraId="591DF7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2М-88Б</w:t>
            </w:r>
          </w:p>
        </w:tc>
        <w:tc>
          <w:tcPr>
            <w:tcW w:w="2622" w:type="dxa"/>
          </w:tcPr>
          <w:p w14:paraId="6DB55C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695</w:t>
            </w:r>
          </w:p>
        </w:tc>
      </w:tr>
      <w:tr w:rsidR="00DA227A" w:rsidRPr="00E93F40" w14:paraId="3322FBDA" w14:textId="77777777">
        <w:tc>
          <w:tcPr>
            <w:tcW w:w="2376" w:type="dxa"/>
          </w:tcPr>
          <w:p w14:paraId="34BDD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1943</w:t>
            </w:r>
          </w:p>
        </w:tc>
        <w:tc>
          <w:tcPr>
            <w:tcW w:w="2694" w:type="dxa"/>
          </w:tcPr>
          <w:p w14:paraId="72EF38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ДБ-3Ф</w:t>
            </w:r>
          </w:p>
        </w:tc>
        <w:tc>
          <w:tcPr>
            <w:tcW w:w="2622" w:type="dxa"/>
          </w:tcPr>
          <w:p w14:paraId="5E454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2М-88Б</w:t>
            </w:r>
          </w:p>
        </w:tc>
        <w:tc>
          <w:tcPr>
            <w:tcW w:w="2622" w:type="dxa"/>
          </w:tcPr>
          <w:p w14:paraId="2279BB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604</w:t>
            </w:r>
          </w:p>
        </w:tc>
      </w:tr>
      <w:tr w:rsidR="00DA227A" w:rsidRPr="00E93F40" w14:paraId="3578F48D" w14:textId="77777777">
        <w:tc>
          <w:tcPr>
            <w:tcW w:w="2376" w:type="dxa"/>
          </w:tcPr>
          <w:p w14:paraId="60249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1944</w:t>
            </w:r>
          </w:p>
        </w:tc>
        <w:tc>
          <w:tcPr>
            <w:tcW w:w="2694" w:type="dxa"/>
          </w:tcPr>
          <w:p w14:paraId="780DB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ДБ-3Ф</w:t>
            </w:r>
          </w:p>
        </w:tc>
        <w:tc>
          <w:tcPr>
            <w:tcW w:w="2622" w:type="dxa"/>
          </w:tcPr>
          <w:p w14:paraId="40770A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2М-88Б</w:t>
            </w:r>
          </w:p>
        </w:tc>
        <w:tc>
          <w:tcPr>
            <w:tcW w:w="2622" w:type="dxa"/>
          </w:tcPr>
          <w:p w14:paraId="31E19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616</w:t>
            </w:r>
          </w:p>
        </w:tc>
      </w:tr>
      <w:tr w:rsidR="00DA227A" w:rsidRPr="00E93F40" w14:paraId="6D2AE7B1" w14:textId="77777777">
        <w:tc>
          <w:tcPr>
            <w:tcW w:w="2376" w:type="dxa"/>
          </w:tcPr>
          <w:p w14:paraId="7C4A9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1945</w:t>
            </w:r>
          </w:p>
        </w:tc>
        <w:tc>
          <w:tcPr>
            <w:tcW w:w="2694" w:type="dxa"/>
          </w:tcPr>
          <w:p w14:paraId="539D1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ДБ-3Ф</w:t>
            </w:r>
          </w:p>
        </w:tc>
        <w:tc>
          <w:tcPr>
            <w:tcW w:w="2622" w:type="dxa"/>
          </w:tcPr>
          <w:p w14:paraId="4BFAD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2М-88Б</w:t>
            </w:r>
          </w:p>
        </w:tc>
        <w:tc>
          <w:tcPr>
            <w:tcW w:w="2622" w:type="dxa"/>
          </w:tcPr>
          <w:p w14:paraId="70E06F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r>
      <w:tr w:rsidR="00DA227A" w:rsidRPr="00E93F40" w14:paraId="19E2A5A1" w14:textId="77777777">
        <w:tc>
          <w:tcPr>
            <w:tcW w:w="2376" w:type="dxa"/>
          </w:tcPr>
          <w:p w14:paraId="22076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1946</w:t>
            </w:r>
          </w:p>
        </w:tc>
        <w:tc>
          <w:tcPr>
            <w:tcW w:w="2694" w:type="dxa"/>
          </w:tcPr>
          <w:p w14:paraId="115E01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ЛИ-2Т</w:t>
            </w:r>
          </w:p>
        </w:tc>
        <w:tc>
          <w:tcPr>
            <w:tcW w:w="2622" w:type="dxa"/>
          </w:tcPr>
          <w:p w14:paraId="5E794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АШ-62ир</w:t>
            </w:r>
          </w:p>
        </w:tc>
        <w:tc>
          <w:tcPr>
            <w:tcW w:w="2622" w:type="dxa"/>
          </w:tcPr>
          <w:p w14:paraId="6DCE2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r>
      <w:tr w:rsidR="00DA227A" w:rsidRPr="00E93F40" w14:paraId="2E9D10E8" w14:textId="77777777">
        <w:tc>
          <w:tcPr>
            <w:tcW w:w="2376" w:type="dxa"/>
          </w:tcPr>
          <w:p w14:paraId="26F8DD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1947</w:t>
            </w:r>
          </w:p>
        </w:tc>
        <w:tc>
          <w:tcPr>
            <w:tcW w:w="2694" w:type="dxa"/>
          </w:tcPr>
          <w:p w14:paraId="344C5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ЛИ-2Т</w:t>
            </w:r>
          </w:p>
        </w:tc>
        <w:tc>
          <w:tcPr>
            <w:tcW w:w="2622" w:type="dxa"/>
          </w:tcPr>
          <w:p w14:paraId="70F89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АШ-62ир</w:t>
            </w:r>
          </w:p>
        </w:tc>
        <w:tc>
          <w:tcPr>
            <w:tcW w:w="2622" w:type="dxa"/>
          </w:tcPr>
          <w:p w14:paraId="0B148E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r>
      <w:tr w:rsidR="00DA227A" w:rsidRPr="00E93F40" w14:paraId="7B94F350" w14:textId="77777777">
        <w:tc>
          <w:tcPr>
            <w:tcW w:w="2376" w:type="dxa"/>
          </w:tcPr>
          <w:p w14:paraId="5A9E5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1948</w:t>
            </w:r>
          </w:p>
        </w:tc>
        <w:tc>
          <w:tcPr>
            <w:tcW w:w="2694" w:type="dxa"/>
          </w:tcPr>
          <w:p w14:paraId="08BD2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ЛИ-2Т</w:t>
            </w:r>
          </w:p>
        </w:tc>
        <w:tc>
          <w:tcPr>
            <w:tcW w:w="2622" w:type="dxa"/>
          </w:tcPr>
          <w:p w14:paraId="5B776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АШ-62ир</w:t>
            </w:r>
          </w:p>
        </w:tc>
        <w:tc>
          <w:tcPr>
            <w:tcW w:w="2622" w:type="dxa"/>
          </w:tcPr>
          <w:p w14:paraId="0F20E2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r>
      <w:tr w:rsidR="00DA227A" w:rsidRPr="00E93F40" w14:paraId="23997870" w14:textId="77777777">
        <w:tc>
          <w:tcPr>
            <w:tcW w:w="2376" w:type="dxa"/>
          </w:tcPr>
          <w:p w14:paraId="1C472F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1949</w:t>
            </w:r>
          </w:p>
        </w:tc>
        <w:tc>
          <w:tcPr>
            <w:tcW w:w="2694" w:type="dxa"/>
          </w:tcPr>
          <w:p w14:paraId="71E81A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ЛИ-2Т</w:t>
            </w:r>
          </w:p>
        </w:tc>
        <w:tc>
          <w:tcPr>
            <w:tcW w:w="2622" w:type="dxa"/>
          </w:tcPr>
          <w:p w14:paraId="705D9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АШ-62ир</w:t>
            </w:r>
          </w:p>
        </w:tc>
        <w:tc>
          <w:tcPr>
            <w:tcW w:w="2622" w:type="dxa"/>
          </w:tcPr>
          <w:p w14:paraId="5128C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r>
      <w:tr w:rsidR="00DA227A" w:rsidRPr="00E93F40" w14:paraId="7402F497" w14:textId="77777777">
        <w:tc>
          <w:tcPr>
            <w:tcW w:w="2376" w:type="dxa"/>
          </w:tcPr>
          <w:p w14:paraId="51AE1B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1949</w:t>
            </w:r>
          </w:p>
        </w:tc>
        <w:tc>
          <w:tcPr>
            <w:tcW w:w="2694" w:type="dxa"/>
          </w:tcPr>
          <w:p w14:paraId="1F64F4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ЛИ-2П</w:t>
            </w:r>
          </w:p>
        </w:tc>
        <w:tc>
          <w:tcPr>
            <w:tcW w:w="2622" w:type="dxa"/>
          </w:tcPr>
          <w:p w14:paraId="7EF65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АШ-62ир</w:t>
            </w:r>
          </w:p>
        </w:tc>
        <w:tc>
          <w:tcPr>
            <w:tcW w:w="2622" w:type="dxa"/>
          </w:tcPr>
          <w:p w14:paraId="4B757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r>
      <w:tr w:rsidR="00DA227A" w:rsidRPr="00E93F40" w14:paraId="7064138F" w14:textId="77777777">
        <w:tc>
          <w:tcPr>
            <w:tcW w:w="2376" w:type="dxa"/>
          </w:tcPr>
          <w:p w14:paraId="306E3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1950</w:t>
            </w:r>
          </w:p>
        </w:tc>
        <w:tc>
          <w:tcPr>
            <w:tcW w:w="2694" w:type="dxa"/>
          </w:tcPr>
          <w:p w14:paraId="0F53D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ЛИ-2П</w:t>
            </w:r>
          </w:p>
        </w:tc>
        <w:tc>
          <w:tcPr>
            <w:tcW w:w="2622" w:type="dxa"/>
          </w:tcPr>
          <w:p w14:paraId="1ED2B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АШ-62ир</w:t>
            </w:r>
          </w:p>
        </w:tc>
        <w:tc>
          <w:tcPr>
            <w:tcW w:w="2622" w:type="dxa"/>
          </w:tcPr>
          <w:p w14:paraId="153D6B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7A7EC0" w14:textId="77777777">
        <w:tc>
          <w:tcPr>
            <w:tcW w:w="2376" w:type="dxa"/>
          </w:tcPr>
          <w:p w14:paraId="4A4F48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1950</w:t>
            </w:r>
          </w:p>
        </w:tc>
        <w:tc>
          <w:tcPr>
            <w:tcW w:w="2694" w:type="dxa"/>
          </w:tcPr>
          <w:p w14:paraId="5E9FA0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МИГ-15</w:t>
            </w:r>
          </w:p>
        </w:tc>
        <w:tc>
          <w:tcPr>
            <w:tcW w:w="2622" w:type="dxa"/>
          </w:tcPr>
          <w:p w14:paraId="2CE29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w:t>
            </w:r>
          </w:p>
        </w:tc>
        <w:tc>
          <w:tcPr>
            <w:tcW w:w="2622" w:type="dxa"/>
          </w:tcPr>
          <w:p w14:paraId="0B9725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5675C6A6" w14:textId="77777777">
        <w:tc>
          <w:tcPr>
            <w:tcW w:w="2376" w:type="dxa"/>
          </w:tcPr>
          <w:p w14:paraId="365D5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1951</w:t>
            </w:r>
          </w:p>
        </w:tc>
        <w:tc>
          <w:tcPr>
            <w:tcW w:w="2694" w:type="dxa"/>
          </w:tcPr>
          <w:p w14:paraId="36CD3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МИГ-15</w:t>
            </w:r>
          </w:p>
        </w:tc>
        <w:tc>
          <w:tcPr>
            <w:tcW w:w="2622" w:type="dxa"/>
          </w:tcPr>
          <w:p w14:paraId="790477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w:t>
            </w:r>
          </w:p>
        </w:tc>
        <w:tc>
          <w:tcPr>
            <w:tcW w:w="2622" w:type="dxa"/>
          </w:tcPr>
          <w:p w14:paraId="3B701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337</w:t>
            </w:r>
          </w:p>
        </w:tc>
      </w:tr>
      <w:tr w:rsidR="00DA227A" w:rsidRPr="00E93F40" w14:paraId="19E48C0E" w14:textId="77777777">
        <w:tc>
          <w:tcPr>
            <w:tcW w:w="2376" w:type="dxa"/>
          </w:tcPr>
          <w:p w14:paraId="7F52A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1952</w:t>
            </w:r>
          </w:p>
        </w:tc>
        <w:tc>
          <w:tcPr>
            <w:tcW w:w="2694" w:type="dxa"/>
          </w:tcPr>
          <w:p w14:paraId="1FDB9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МИГ-15</w:t>
            </w:r>
          </w:p>
        </w:tc>
        <w:tc>
          <w:tcPr>
            <w:tcW w:w="2622" w:type="dxa"/>
          </w:tcPr>
          <w:p w14:paraId="45977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w:t>
            </w:r>
          </w:p>
        </w:tc>
        <w:tc>
          <w:tcPr>
            <w:tcW w:w="2622" w:type="dxa"/>
          </w:tcPr>
          <w:p w14:paraId="5E5C66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03D69FA4" w14:textId="77777777">
        <w:tc>
          <w:tcPr>
            <w:tcW w:w="2376" w:type="dxa"/>
          </w:tcPr>
          <w:p w14:paraId="6FDDA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1952</w:t>
            </w:r>
          </w:p>
        </w:tc>
        <w:tc>
          <w:tcPr>
            <w:tcW w:w="2694" w:type="dxa"/>
          </w:tcPr>
          <w:p w14:paraId="25DA8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МИГ-17</w:t>
            </w:r>
          </w:p>
        </w:tc>
        <w:tc>
          <w:tcPr>
            <w:tcW w:w="2622" w:type="dxa"/>
          </w:tcPr>
          <w:p w14:paraId="4C13B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ВК-1А</w:t>
            </w:r>
          </w:p>
        </w:tc>
        <w:tc>
          <w:tcPr>
            <w:tcW w:w="2622" w:type="dxa"/>
          </w:tcPr>
          <w:p w14:paraId="2BC01A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r>
      <w:tr w:rsidR="00DA227A" w:rsidRPr="00E93F40" w14:paraId="276E2ED9" w14:textId="77777777">
        <w:tc>
          <w:tcPr>
            <w:tcW w:w="2376" w:type="dxa"/>
          </w:tcPr>
          <w:p w14:paraId="5BB71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1953</w:t>
            </w:r>
          </w:p>
        </w:tc>
        <w:tc>
          <w:tcPr>
            <w:tcW w:w="2694" w:type="dxa"/>
          </w:tcPr>
          <w:p w14:paraId="19BB9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МИГ-17</w:t>
            </w:r>
          </w:p>
        </w:tc>
        <w:tc>
          <w:tcPr>
            <w:tcW w:w="2622" w:type="dxa"/>
          </w:tcPr>
          <w:p w14:paraId="4CF23D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ВК-1А</w:t>
            </w:r>
          </w:p>
        </w:tc>
        <w:tc>
          <w:tcPr>
            <w:tcW w:w="2622" w:type="dxa"/>
          </w:tcPr>
          <w:p w14:paraId="0428A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460</w:t>
            </w:r>
          </w:p>
        </w:tc>
      </w:tr>
      <w:tr w:rsidR="00DA227A" w:rsidRPr="00E93F40" w14:paraId="6236294C" w14:textId="77777777">
        <w:tc>
          <w:tcPr>
            <w:tcW w:w="2376" w:type="dxa"/>
          </w:tcPr>
          <w:p w14:paraId="49080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1954</w:t>
            </w:r>
          </w:p>
        </w:tc>
        <w:tc>
          <w:tcPr>
            <w:tcW w:w="2694" w:type="dxa"/>
          </w:tcPr>
          <w:p w14:paraId="5361BA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МИГ-17</w:t>
            </w:r>
          </w:p>
        </w:tc>
        <w:tc>
          <w:tcPr>
            <w:tcW w:w="2622" w:type="dxa"/>
          </w:tcPr>
          <w:p w14:paraId="674D51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ВК-1А</w:t>
            </w:r>
          </w:p>
        </w:tc>
        <w:tc>
          <w:tcPr>
            <w:tcW w:w="2622" w:type="dxa"/>
          </w:tcPr>
          <w:p w14:paraId="1C4D7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565</w:t>
            </w:r>
          </w:p>
        </w:tc>
      </w:tr>
      <w:tr w:rsidR="00DA227A" w:rsidRPr="00E93F40" w14:paraId="7D627396" w14:textId="77777777">
        <w:tc>
          <w:tcPr>
            <w:tcW w:w="2376" w:type="dxa"/>
          </w:tcPr>
          <w:p w14:paraId="52DB3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1955</w:t>
            </w:r>
          </w:p>
        </w:tc>
        <w:tc>
          <w:tcPr>
            <w:tcW w:w="2694" w:type="dxa"/>
          </w:tcPr>
          <w:p w14:paraId="3E7A2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МИГ-17</w:t>
            </w:r>
          </w:p>
        </w:tc>
        <w:tc>
          <w:tcPr>
            <w:tcW w:w="2622" w:type="dxa"/>
          </w:tcPr>
          <w:p w14:paraId="6F682F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ВК-1А</w:t>
            </w:r>
          </w:p>
        </w:tc>
        <w:tc>
          <w:tcPr>
            <w:tcW w:w="2622" w:type="dxa"/>
          </w:tcPr>
          <w:p w14:paraId="0AFF4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r>
      <w:tr w:rsidR="00DA227A" w:rsidRPr="00E93F40" w14:paraId="3615304F" w14:textId="77777777">
        <w:tc>
          <w:tcPr>
            <w:tcW w:w="2376" w:type="dxa"/>
          </w:tcPr>
          <w:p w14:paraId="44F929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1955</w:t>
            </w:r>
          </w:p>
        </w:tc>
        <w:tc>
          <w:tcPr>
            <w:tcW w:w="2694" w:type="dxa"/>
          </w:tcPr>
          <w:p w14:paraId="25C52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МИГ-17сф</w:t>
            </w:r>
          </w:p>
        </w:tc>
        <w:tc>
          <w:tcPr>
            <w:tcW w:w="2622" w:type="dxa"/>
          </w:tcPr>
          <w:p w14:paraId="17199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ВК-1Ф</w:t>
            </w:r>
          </w:p>
        </w:tc>
        <w:tc>
          <w:tcPr>
            <w:tcW w:w="2622" w:type="dxa"/>
          </w:tcPr>
          <w:p w14:paraId="4BFCA3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335</w:t>
            </w:r>
          </w:p>
        </w:tc>
      </w:tr>
      <w:tr w:rsidR="00DA227A" w:rsidRPr="00E93F40" w14:paraId="66174CEF" w14:textId="77777777">
        <w:tc>
          <w:tcPr>
            <w:tcW w:w="2376" w:type="dxa"/>
          </w:tcPr>
          <w:p w14:paraId="65EB1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1956</w:t>
            </w:r>
          </w:p>
        </w:tc>
        <w:tc>
          <w:tcPr>
            <w:tcW w:w="2694" w:type="dxa"/>
          </w:tcPr>
          <w:p w14:paraId="0829A1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МИГ-17сф</w:t>
            </w:r>
          </w:p>
        </w:tc>
        <w:tc>
          <w:tcPr>
            <w:tcW w:w="2622" w:type="dxa"/>
          </w:tcPr>
          <w:p w14:paraId="402004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ВК-1Ф</w:t>
            </w:r>
          </w:p>
        </w:tc>
        <w:tc>
          <w:tcPr>
            <w:tcW w:w="2622" w:type="dxa"/>
          </w:tcPr>
          <w:p w14:paraId="275AEB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426</w:t>
            </w:r>
          </w:p>
        </w:tc>
      </w:tr>
      <w:tr w:rsidR="00DA227A" w:rsidRPr="00E93F40" w14:paraId="665F925A" w14:textId="77777777">
        <w:tc>
          <w:tcPr>
            <w:tcW w:w="2376" w:type="dxa"/>
          </w:tcPr>
          <w:p w14:paraId="26EF4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1957</w:t>
            </w:r>
          </w:p>
        </w:tc>
        <w:tc>
          <w:tcPr>
            <w:tcW w:w="2694" w:type="dxa"/>
          </w:tcPr>
          <w:p w14:paraId="44F253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МИГ-17сф</w:t>
            </w:r>
          </w:p>
        </w:tc>
        <w:tc>
          <w:tcPr>
            <w:tcW w:w="2622" w:type="dxa"/>
          </w:tcPr>
          <w:p w14:paraId="1F885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ВК-1Ф</w:t>
            </w:r>
          </w:p>
        </w:tc>
        <w:tc>
          <w:tcPr>
            <w:tcW w:w="2622" w:type="dxa"/>
          </w:tcPr>
          <w:p w14:paraId="4BFDE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w:t>
            </w:r>
          </w:p>
        </w:tc>
      </w:tr>
      <w:tr w:rsidR="00DA227A" w:rsidRPr="00E93F40" w14:paraId="2BA21E21" w14:textId="77777777">
        <w:tc>
          <w:tcPr>
            <w:tcW w:w="2376" w:type="dxa"/>
          </w:tcPr>
          <w:p w14:paraId="7B7E7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1957</w:t>
            </w:r>
          </w:p>
        </w:tc>
        <w:tc>
          <w:tcPr>
            <w:tcW w:w="2694" w:type="dxa"/>
          </w:tcPr>
          <w:p w14:paraId="3D695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СУ-7</w:t>
            </w:r>
          </w:p>
        </w:tc>
        <w:tc>
          <w:tcPr>
            <w:tcW w:w="2622" w:type="dxa"/>
          </w:tcPr>
          <w:p w14:paraId="0D017B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АЛ-7Ф</w:t>
            </w:r>
          </w:p>
        </w:tc>
        <w:tc>
          <w:tcPr>
            <w:tcW w:w="2622" w:type="dxa"/>
          </w:tcPr>
          <w:p w14:paraId="0CDA3E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r>
      <w:tr w:rsidR="00DA227A" w:rsidRPr="00E93F40" w14:paraId="0277DBBD" w14:textId="77777777">
        <w:tc>
          <w:tcPr>
            <w:tcW w:w="2376" w:type="dxa"/>
          </w:tcPr>
          <w:p w14:paraId="056A9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1958</w:t>
            </w:r>
          </w:p>
        </w:tc>
        <w:tc>
          <w:tcPr>
            <w:tcW w:w="2694" w:type="dxa"/>
          </w:tcPr>
          <w:p w14:paraId="654F7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МИГ-17сф</w:t>
            </w:r>
          </w:p>
        </w:tc>
        <w:tc>
          <w:tcPr>
            <w:tcW w:w="2622" w:type="dxa"/>
          </w:tcPr>
          <w:p w14:paraId="339E28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ВК-1Ф</w:t>
            </w:r>
          </w:p>
        </w:tc>
        <w:tc>
          <w:tcPr>
            <w:tcW w:w="2622" w:type="dxa"/>
          </w:tcPr>
          <w:p w14:paraId="557B9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r w:rsidR="00DA227A" w:rsidRPr="00E93F40" w14:paraId="076BDCA9" w14:textId="77777777">
        <w:tc>
          <w:tcPr>
            <w:tcW w:w="2376" w:type="dxa"/>
          </w:tcPr>
          <w:p w14:paraId="4B359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1958</w:t>
            </w:r>
          </w:p>
        </w:tc>
        <w:tc>
          <w:tcPr>
            <w:tcW w:w="2694" w:type="dxa"/>
          </w:tcPr>
          <w:p w14:paraId="61BE30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СУ-7</w:t>
            </w:r>
          </w:p>
        </w:tc>
        <w:tc>
          <w:tcPr>
            <w:tcW w:w="2622" w:type="dxa"/>
          </w:tcPr>
          <w:p w14:paraId="5851E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АЛ-7Ф</w:t>
            </w:r>
          </w:p>
        </w:tc>
        <w:tc>
          <w:tcPr>
            <w:tcW w:w="2622" w:type="dxa"/>
          </w:tcPr>
          <w:p w14:paraId="586A77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bl>
    <w:p w14:paraId="4FFCFF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(9444)</w:t>
      </w:r>
    </w:p>
    <w:p w14:paraId="37F2502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916DDD0" w14:textId="77777777" w:rsidR="00BD2BF4" w:rsidRPr="00E93F40" w:rsidRDefault="00BD2B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мая 1932 г. к берегу Амура вблизи нанайского стойбища Дземги причалил пароход «Карпенко» с первым отрядом комсомольцев-строителей завода № 126. Началась подготовка площадки под завод, но разлив Амура уничтожил все, что сделали за полгода. Пришлось перенести строительство на новое место, в 4,5 км от реки, и начать все заново. Грузы приходилось доставлять по Амуру, железнодорожную ветку провели только в конце 1937 г. Зимой работе мешали морозы, доходившие до 47 градусов. В 1935 г. на еще не законченный завод прибыла группа из 120 выпускников Воронежского авиатехникума, а к 1 мая 1936 г. был готов первый самолет — металлический двухмоторный разведчик Р-6. До конца года новорожденное предприятие изготовило и сдало 20 Р-6 в колесном и поплавковом вариантах. Кроме Р-6, на заводе № 126 предполагалось выпускать бомбардировщики ТБ-3 и летающие лодки МДР-4. Но наступала эра скоростной авиации, и в мае 1936 г. появился приказ о подготовке к производству бомбардировщика ДБ-3. К этому моменту коллектив завода насчитывал две тысячи человек, имелось 20 цехов общей площадью 17 тыс. м2, 226 единиц оборудования (23472).</w:t>
      </w:r>
    </w:p>
    <w:p w14:paraId="4D4819E0" w14:textId="77777777" w:rsidR="00BD2BF4" w:rsidRPr="00E93F40" w:rsidRDefault="00BD2BF4" w:rsidP="00E93F40">
      <w:pPr>
        <w:spacing w:after="0" w:line="240" w:lineRule="auto"/>
        <w:jc w:val="both"/>
        <w:rPr>
          <w:rFonts w:ascii="Times New Roman" w:hAnsi="Times New Roman"/>
          <w:color w:val="000000" w:themeColor="text1"/>
          <w:sz w:val="16"/>
          <w:szCs w:val="16"/>
        </w:rPr>
      </w:pPr>
    </w:p>
    <w:p w14:paraId="65FAD9F0" w14:textId="77777777" w:rsidR="002729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387B53C" w14:textId="77777777" w:rsidR="00272919" w:rsidRPr="00E93F40" w:rsidRDefault="002729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40B1F6"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31 мая 1932 </w:t>
      </w:r>
      <w:r w:rsidRPr="00E93F40">
        <w:rPr>
          <w:rFonts w:ascii="Times New Roman" w:hAnsi="Times New Roman"/>
          <w:color w:val="000000" w:themeColor="text1"/>
          <w:sz w:val="16"/>
          <w:szCs w:val="16"/>
        </w:rPr>
        <w:t>Политбюро ЦК ВКП (б) поручило комиссии разобраться н финансовом положении Магнитостроя и Кузнецкстроя; приняло решение о задачах технической пропаганды на 1932 г. и одобрило проект постановления СНК о ее финансировании; предложило Наркомтяжпрому форсировать реконструкцию Златоустовского металлургического завода (12265).</w:t>
      </w:r>
    </w:p>
    <w:p w14:paraId="14F80B2D"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СНК принял постановление «О Комитете промысловой кооперации и кустарной промышленности при СТО» (12265).</w:t>
      </w:r>
    </w:p>
    <w:p w14:paraId="0AD18AE7" w14:textId="08B3783D" w:rsidR="00272919"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23CA7352"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31 мая 1932 г. — Из тезисов к докладу Технического управления УВМС РККА «О состоянии Военно-морских сил РККА»</w:t>
      </w:r>
    </w:p>
    <w:p w14:paraId="28B6DB7F"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к промышленности¹*</w:t>
      </w:r>
    </w:p>
    <w:p w14:paraId="0A0F4E4A" w14:textId="1CD47A02"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Слабо развиты в промышленности и не обеспечивают успешное выполнение программы строительства Морских сил следующие отрасли: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моторостроение, дизелестроение и турбостроение,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оптико-механическая,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приборы управлении артогнем (слаботочная),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броневая,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специальных сталей (судостроительная, маломагнитная, феррохромосплавы), 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радио (высоковольтные машины).</w:t>
      </w:r>
    </w:p>
    <w:p w14:paraId="083B1460" w14:textId="1FB201F9"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Как правило, сроки не выдерживаются. Причины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брак, из-за недоброкачественного сырья и механической обработки.</w:t>
      </w:r>
    </w:p>
    <w:p w14:paraId="5D894FC9" w14:textId="7821E1E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Цены, назначаемые промышленностью, как правило, при окончательном расчете возрастают на 100</w:t>
      </w:r>
      <w:r w:rsidRPr="00E93F40">
        <w:rPr>
          <w:rFonts w:ascii="Times New Roman" w:hAnsi="Times New Roman"/>
          <w:color w:val="000000" w:themeColor="text1"/>
          <w:sz w:val="16"/>
          <w:szCs w:val="16"/>
        </w:rPr>
        <w:noBreakHyphen/>
        <w:t>200%.</w:t>
      </w:r>
    </w:p>
    <w:p w14:paraId="77C6B299" w14:textId="410FCB71"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Сдаваемые изделия во многих случаях не кондиционны и не отвечают ни техническим, ни тактическим требованиям.</w:t>
      </w:r>
    </w:p>
    <w:p w14:paraId="1CBE9CF5" w14:textId="12217C95"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Ожидать лучших результатов от заводов, работающих на военное судостроение и вооружение, при существующем их состоянии до их реконструкции трудно.</w:t>
      </w:r>
    </w:p>
    <w:p w14:paraId="579822C4"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Просьба к правительству</w:t>
      </w:r>
    </w:p>
    <w:p w14:paraId="027AA926" w14:textId="409B94A5"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Выполнение постановлений правительства от 21 и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строительству Морских сил РККА зависит от базы, на которую это строительство опирается. Не имея по некоторым отраслям производства совсем, крайне ограниченное по некоторым другим, строительство Морских сил продолжает оставаться зависеть от импорта и от сроков поставки импортных механизмов.</w:t>
      </w:r>
    </w:p>
    <w:p w14:paraId="36B7D885" w14:textId="7B447736"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Считая такое положение для Союза недопустимым, так как при осложнениях, конечно импортные поставки прекратятся, необходимо обратить особое внимание на: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ускорение реконструкции заводов, обратив особое внимание на турбостроение;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развернуть производство мелкого моторостроения и моторов специального назначения (торпедные, гидроавиац[ионного] флота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внедрение в производство импортируемых образцов механизмов;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развернуть производство оптико-механическое (перископы, дальномеры, прожектора, средства сигнализации, связи и телемеханики);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 же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 приборам управления артогнем, обратив особое внимание на морские ПУАЗО; 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обеспечить, развертывание производства и освоение технической помощи по лянированию и автофретажу орудий;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обеспечить развертывание производства и освоение техпомощи по 21</w:t>
      </w:r>
      <w:r w:rsidRPr="00E93F40">
        <w:rPr>
          <w:rFonts w:ascii="Times New Roman" w:hAnsi="Times New Roman"/>
          <w:color w:val="000000" w:themeColor="text1"/>
          <w:sz w:val="16"/>
          <w:szCs w:val="16"/>
        </w:rPr>
        <w:noBreakHyphen/>
        <w:t>дюймовым торпедам; 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поставить производство высоковольтных машин для раций;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обеспечить подачу заводам, производящим вооружение и строительство флота и береговой обороны, высококачественного сырья и полуфабрикатов и изделия.</w:t>
      </w:r>
    </w:p>
    <w:p w14:paraId="45FA2542"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Судостроительные заводы</w:t>
      </w:r>
    </w:p>
    <w:p w14:paraId="287435A3" w14:textId="04610978"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Форсировать постройку: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верфи на Амуре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Пермское;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Мариупольской верфи;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Архангельской верфи;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Красноармейской верфи (глиссеры);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приступить к постройке в Сормово Сормовского судостроительного завода (базы внутри страны для подводных лодок Балтийского, Белого, Каспийского и Черного морей).</w:t>
      </w:r>
    </w:p>
    <w:p w14:paraId="0D3A6DD5"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Реконструкция судостроительных заводов</w:t>
      </w:r>
    </w:p>
    <w:p w14:paraId="15944006" w14:textId="33D95662"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Реконструировать: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Севастопольский морской завод.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Николаевские судостроительные заводы.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Форсировать начатую реконструкцию заводов Союзверфи на Балтийском море (Балтийский, Северная верфь, Марти).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Приступить уже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или начале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 реконструкции отдельных цехов Дальзавода для обеспечения ремонта подлодок, матчасти береговой обороны и в дальнейшем эсминцев и крейсеров. (Основное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дизели и вспом[огательные] мех[анизмы]).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Создать монтажно-ремонтные отделения ЭМСа и ВЭСО во Владивостоке для сильного и слабого токов (монтаж и ремонт).</w:t>
      </w:r>
    </w:p>
    <w:p w14:paraId="7368F022"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Судостроительная сталь</w:t>
      </w:r>
    </w:p>
    <w:p w14:paraId="1BD12CE8"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Освоить производство марганцовистой стали на Ижорском заводе и маломагнитной на одном из металлургических заводах Юга.</w:t>
      </w:r>
    </w:p>
    <w:p w14:paraId="42B49121"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Уральских металлургических заводах освоить теперь же производство не только марганцовистой стали, но и вообще сталей судостроительных по ВЕСТу, в том числе и нержавеющую для глиссеров на Златоустовском металлическом заводе.</w:t>
      </w:r>
    </w:p>
    <w:p w14:paraId="24307874"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Броня</w:t>
      </w:r>
    </w:p>
    <w:p w14:paraId="7289CF55" w14:textId="1934A6A4"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Ставить (возобновить потерянный опыт прошлого) производство брони на Ижорводе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Колпино, Мариупольском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Донбасс. Вновь ставить на Урале. Имеется в виду броня свыше 15-20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до 12-14 дюймов.</w:t>
      </w:r>
    </w:p>
    <w:p w14:paraId="2BE3DDE0"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Моторостроение</w:t>
      </w:r>
    </w:p>
    <w:p w14:paraId="5FC3A6BA" w14:textId="09C77FCA"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Глиссеры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катера.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Построить завод на Урале для производства судовых моторов (глиссеры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катера).</w:t>
      </w:r>
    </w:p>
    <w:p w14:paraId="6FE00AEE" w14:textId="01609B44"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выполнения программы 1932</w:t>
      </w:r>
      <w:r w:rsidRPr="00E93F40">
        <w:rPr>
          <w:rFonts w:ascii="Times New Roman" w:hAnsi="Times New Roman"/>
          <w:color w:val="000000" w:themeColor="text1"/>
          <w:sz w:val="16"/>
          <w:szCs w:val="16"/>
        </w:rPr>
        <w:noBreakHyphen/>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включить в программу 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 (Москва) производство моторов ГМ</w:t>
      </w:r>
      <w:r w:rsidRPr="00E93F40">
        <w:rPr>
          <w:rFonts w:ascii="Times New Roman" w:hAnsi="Times New Roman"/>
          <w:color w:val="000000" w:themeColor="text1"/>
          <w:sz w:val="16"/>
          <w:szCs w:val="16"/>
        </w:rPr>
        <w:noBreakHyphen/>
        <w:t>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судовых в количестве около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011032BE" w14:textId="74265934"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 веломотоциклетном заводе (Москва)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специальный цех подвесных моторов (шлюпка).</w:t>
      </w:r>
    </w:p>
    <w:p w14:paraId="65775440" w14:textId="300F82FE"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Котлы.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одном из Уральских металлургических заводов поставить производство котельных барабанов (коллекторов) нормального и высокого (свыше 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атм) давления.</w:t>
      </w:r>
    </w:p>
    <w:p w14:paraId="2DE8020E" w14:textId="2B44FE63"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Наладить производство котлов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НГЗ, Ленинград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Северная верфь, Путиловский завод.</w:t>
      </w:r>
    </w:p>
    <w:p w14:paraId="38A39A1E"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Турбостроение</w:t>
      </w:r>
    </w:p>
    <w:p w14:paraId="775C523A" w14:textId="763F0AF2"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Постановка на одном из металлических заводов Урала ковку роторов судовых турбин и отливку статоров.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Постройка на Урале завода мощных судовых турбин для производства их (мощностью свыше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НР одной единицы), а также изготовления редукторов.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Форсировать на Златоустовском заводе изготовление из нержавеющей стали лопаточного материала.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Оборудование производства морских турбин на Металлическом заводе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Сталина.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Освобождение турбинного цеха Северной верфи от посторонних заказов.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Усилить изготовление вспомогательных турбомеханизмов на Металлическом заводе.</w:t>
      </w:r>
    </w:p>
    <w:p w14:paraId="2BCB7967"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Вспомогательные механизмы</w:t>
      </w:r>
    </w:p>
    <w:p w14:paraId="37FD217C" w14:textId="6BDE7C62"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Насосы.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Расширить с дооборудованием завод «Борец» (Москва) для производства насосов различных типов.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Построить специальный завод цветного литья (арматура, корпуса, механизмы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Реконструировать завод «Красный факел» (Москва) для снабжения цветным литьем заводов «Союзверфи» и завод «Борец».</w:t>
      </w:r>
    </w:p>
    <w:p w14:paraId="04FA6D50"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Катапульты. Наладить это производство на НГЗ (Николаев).</w:t>
      </w:r>
    </w:p>
    <w:p w14:paraId="164052AF"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Испытательный бассейн. Необходимо форсировать реконструкцию имеемых на основе средств, отпущенных правлению «Союзверфи» с целью возможности испытания быстроходных моделей.</w:t>
      </w:r>
    </w:p>
    <w:p w14:paraId="3CB0B507" w14:textId="07EE19E5"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торпедных аппаратов. Разрешить вопрос с заводом «Карл Маркс»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реконструировать его и иметь в глубине страны (на Урале) завод для военного времени. Разрешить также вопрос с Текстиль</w:t>
      </w:r>
      <w:r w:rsidRPr="00E93F40">
        <w:rPr>
          <w:rFonts w:ascii="Times New Roman" w:hAnsi="Times New Roman"/>
          <w:color w:val="000000" w:themeColor="text1"/>
          <w:sz w:val="16"/>
          <w:szCs w:val="16"/>
        </w:rPr>
        <w:softHyphen/>
        <w:t>объединением.</w:t>
      </w:r>
    </w:p>
    <w:p w14:paraId="621DA2E2" w14:textId="48CB71F8"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Перископы.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Реконструировать завод ВТОМПа по части увеличения производства перископов.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Постройка нового завода под Москвой, на Урале.</w:t>
      </w:r>
    </w:p>
    <w:p w14:paraId="25FEB409" w14:textId="26006EA9"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Генераторы и моторы пост[оянного] тока. Расширить производство на заводах: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ХЭМЗ путем реконструкции завода в части, касающейся машин пост[оянного] тока и арматуры к ним;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заводу «Электросила» (Ленинград) требуется расширение производ[ственных] площадей;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Лепсе (Москва)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расширение производства машин малых мощностей;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заводу «Динамо» (Москва) требуется расширение производства лебедок и постановка производства электрорулей, электрических шпилей и других судоподъемных устройств;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Уральский комбинат. Необходимо форсировать постройку комбината с тем, чтобы сделать его основной базой по изготовлению судового электрооборудования; 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форсировать на заводах ВЭО и Союзверфи турбогенератор мощностью от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 до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w:t>
      </w:r>
    </w:p>
    <w:p w14:paraId="374D8161" w14:textId="472E659D"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Установочная аппаратура. Необходимо расширить производственную] базу по изготовлению установочной аппаратуры (коробки, штепселя, патроны, выключатели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с дублированием в глубине страны.</w:t>
      </w:r>
    </w:p>
    <w:p w14:paraId="33694459"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Пусковые устройства для моторов. Форсировать постановку производства на «Электрозаводе» (Москва) стартерных устройств судового типа, магнето, баббит и аппаратуры к ним.</w:t>
      </w:r>
    </w:p>
    <w:p w14:paraId="686FE990" w14:textId="5EEDF5AA"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Электроарматура. Расширить производство судовой электроарматуры (Москва, завод «Электросвет») и поставить производство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маячной аппаратуры и оптики к ним.</w:t>
      </w:r>
    </w:p>
    <w:p w14:paraId="28603459"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Техническая помощь по ВЭО. Предложить ВЭО приступить к разработке новых типов машин на основе техпомощи фирмы «Метро Виккерс».</w:t>
      </w:r>
    </w:p>
    <w:p w14:paraId="0DC4F78D" w14:textId="14DA3F58"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Аккумуляторы. Необходимо форсирование освобождения нашей промышленности от импорта (свинец, сурик, сурьма), для чего: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Ярославском заводе форсировать установку производства сурика;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Подольском заводе форсировать постановку рафинировки свинца;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расширить производственные мощности аккум[уляторных] заводов, работающих на изготовлении аккумуляторов для подводных лодок; 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форсировать развитие Саратовского завода щелочных аккумуляторов с производством на нем аккум[уляторов] всех нужных НКВМору типов; 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расширить производство эбонитовых изделий для аккумуляторов на заводе «Красный треугольник» и дублировать производство на заводе «Каучук» (Москва).</w:t>
      </w:r>
    </w:p>
    <w:p w14:paraId="58599F0F" w14:textId="4CB6CDD8"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Кабельное производство. Базируется исключительно на импортной меди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вопрос упирается в расширение добычи медной руды. Необходимо форсирование.</w:t>
      </w:r>
    </w:p>
    <w:p w14:paraId="0137DD31"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Противосыростная изоляция. Необходимо разрешить вопрос о производстве противосыростной изоляции путем постройки специального завода в Москве.</w:t>
      </w:r>
    </w:p>
    <w:p w14:paraId="572D5300" w14:textId="548DB72E"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Прожекторы.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Прожекторная программа базируется на импорте. Необходима широкая техническая помощь и форсирование расширения производства на Константиновском заводе (Донбасс) по изготовлению стеклянных отражателей.</w:t>
      </w:r>
    </w:p>
    <w:p w14:paraId="00D61BAB" w14:textId="6BE00EDA"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Необходимо форсировать постройку завода ЗАТЭМ в Москве для изготовления гирокомпасов, лагов, курсографов, телефонно-телеграфной аппаратуры, электротахометров, машин, телеграфов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30F026F2"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Качество электроизделий. Как по конструкциям, так и по изготовлениям неудовлетворительны. Необходимо внутри электропромышленности поставить широко вопрос исследовательских работ и широкого использования заграничного опыта, с тем чтобы в ближайшие годы полностью пересмотреть типы поставляемых промышленностью электроизделий судового типа.</w:t>
      </w:r>
    </w:p>
    <w:p w14:paraId="0812D1C2" w14:textId="2EB06C38"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 Необходима постройка в Москве.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электровакуумного завода;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приборам гидроакустической связи;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радиозавода, Москва.</w:t>
      </w:r>
    </w:p>
    <w:p w14:paraId="5505B529" w14:textId="1DBFA871"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Форсировать работы.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постройке завода точного машиностроения;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расширению завода «Украинрадио»;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расширению заводов Метиза по выпуску телеграфной железной проволоки.</w:t>
      </w:r>
    </w:p>
    <w:p w14:paraId="5703D87F"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Артиллерия</w:t>
      </w:r>
    </w:p>
    <w:p w14:paraId="49956630" w14:textId="754C837E"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Металлическому заводу: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расширить башенную мастерскую;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обновить станочное оборудование.</w:t>
      </w:r>
    </w:p>
    <w:p w14:paraId="037E286B" w14:textId="013F3FDE"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НГЗ: восстановить башенную и артиллерийскую мастерскую.</w:t>
      </w:r>
    </w:p>
    <w:p w14:paraId="19E13058" w14:textId="43AE81FF"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заводу «Баррикады»: закончить оборудование завода и приступить к изготовлению морских систем с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F085E88" w14:textId="2B9C00C8"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заводу «Большевик» ускорить конструкцию завода, обратив особенное внимание на: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оборудование быв. башенной мастерской под мастерскую для изготовления станков, командно-дальномерных постов и рубок батарейных постов;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создание специальной мастерской для ремонта производственных станков и оборудования;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увеличение мартеновских печей, с разделением цеха на фасонное литье и болваночное;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восстановление производства крупнокалиберных бронебойных снарядов (356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305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и 180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w:t>
      </w:r>
    </w:p>
    <w:p w14:paraId="2F1F7AF2" w14:textId="3B6AC56F"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Форсировать окончание постройки Челябинского завода, обеспечив производство на нем 356</w:t>
      </w:r>
      <w:r w:rsidRPr="00E93F40">
        <w:rPr>
          <w:rFonts w:ascii="Times New Roman" w:hAnsi="Times New Roman"/>
          <w:color w:val="000000" w:themeColor="text1"/>
          <w:sz w:val="16"/>
          <w:szCs w:val="16"/>
        </w:rPr>
        <w:noBreakHyphen/>
        <w:t>мм, 305</w:t>
      </w:r>
      <w:r w:rsidRPr="00E93F40">
        <w:rPr>
          <w:rFonts w:ascii="Times New Roman" w:hAnsi="Times New Roman"/>
          <w:color w:val="000000" w:themeColor="text1"/>
          <w:sz w:val="16"/>
          <w:szCs w:val="16"/>
        </w:rPr>
        <w:noBreakHyphen/>
        <w:t>мм и 180</w:t>
      </w:r>
      <w:r w:rsidRPr="00E93F40">
        <w:rPr>
          <w:rFonts w:ascii="Times New Roman" w:hAnsi="Times New Roman"/>
          <w:color w:val="000000" w:themeColor="text1"/>
          <w:sz w:val="16"/>
          <w:szCs w:val="16"/>
        </w:rPr>
        <w:noBreakHyphen/>
        <w:t>мм фугасных и бронебойных снарядов.</w:t>
      </w:r>
    </w:p>
    <w:p w14:paraId="65BC7359" w14:textId="0A452638"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Выделить специальный завод для производства фугасных и специальных снарядов для средней артиллерии (152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130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120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и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w:t>
      </w:r>
    </w:p>
    <w:p w14:paraId="09A20A95" w14:textId="0D8FDC09"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Реорганизовать заводы, производящие морские взрыватели и средства воспламенения («Прогресс», Велозавод,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Энгельса,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42,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 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80).</w:t>
      </w:r>
    </w:p>
    <w:p w14:paraId="287CA32A" w14:textId="6CC1991E"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Расширить оборудование заводов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 и 80 для обеспечения потребности РККА в тротиле.</w:t>
      </w:r>
    </w:p>
    <w:p w14:paraId="508C3C1A"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Оптика</w:t>
      </w:r>
    </w:p>
    <w:p w14:paraId="2EEA93FA" w14:textId="7F33DE1B"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Произвести полную реконструкцию заводов ВООМПа, обеспечивающую потребность РККА в дальномерах, перископах, прицелах и других оптических предметах.</w:t>
      </w:r>
    </w:p>
    <w:p w14:paraId="783BB230" w14:textId="45A5C340"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Ускорить пуск на полную мощность Павшинского завода.</w:t>
      </w:r>
    </w:p>
    <w:p w14:paraId="252FC982"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ПУАО, ЦН и мор[ской] ПУАЗО</w:t>
      </w:r>
    </w:p>
    <w:p w14:paraId="3552539F" w14:textId="568FEFB4" w:rsidR="00272919" w:rsidRPr="00E93F40" w:rsidRDefault="00272919"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Расширить завод «Электроприбор».</w:t>
      </w:r>
    </w:p>
    <w:p w14:paraId="325EDAF9" w14:textId="6FFE4F75" w:rsidR="00272919" w:rsidRPr="00E93F40" w:rsidRDefault="00272919"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Форсировать постройку ЗАТЭМа 1.</w:t>
      </w:r>
    </w:p>
    <w:p w14:paraId="7C033E9F" w14:textId="19638F10" w:rsidR="00272919" w:rsidRPr="00E93F40" w:rsidRDefault="00272919"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Приступить к постройке ЗАТЭМа 2.</w:t>
      </w:r>
    </w:p>
    <w:p w14:paraId="2386547F" w14:textId="77777777" w:rsidR="00272919" w:rsidRPr="00E93F40" w:rsidRDefault="00272919"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Примечание</w:t>
      </w:r>
      <w:r w:rsidRPr="00E93F40">
        <w:rPr>
          <w:color w:val="000000" w:themeColor="text1"/>
          <w:sz w:val="16"/>
          <w:szCs w:val="16"/>
        </w:rPr>
        <w:t>:</w:t>
      </w:r>
    </w:p>
    <w:p w14:paraId="736453FD" w14:textId="4D1F6F08" w:rsidR="00272919" w:rsidRPr="00E93F40" w:rsidRDefault="00272919"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разделы о количественном составе ВМС, состоянии морских сил, вооружения, состоянии портов, строительстве морских сил в текущую пятилетку.</w:t>
      </w:r>
    </w:p>
    <w:p w14:paraId="6AF71887" w14:textId="5D36924D" w:rsidR="00272919" w:rsidRPr="00E93F40" w:rsidRDefault="00272919" w:rsidP="00E93F40">
      <w:pPr>
        <w:pStyle w:val="ae"/>
        <w:spacing w:before="0" w:after="0"/>
        <w:jc w:val="both"/>
        <w:rPr>
          <w:color w:val="000000" w:themeColor="text1"/>
          <w:sz w:val="16"/>
          <w:szCs w:val="16"/>
        </w:rPr>
      </w:pPr>
      <w:r w:rsidRPr="00E93F40">
        <w:rPr>
          <w:color w:val="000000" w:themeColor="text1"/>
          <w:sz w:val="16"/>
          <w:szCs w:val="16"/>
        </w:rPr>
        <w:t>РГАВМФ. Ф.</w:t>
      </w:r>
      <w:r w:rsidR="007C1411" w:rsidRPr="00E93F40">
        <w:rPr>
          <w:color w:val="000000" w:themeColor="text1"/>
          <w:sz w:val="16"/>
          <w:szCs w:val="16"/>
        </w:rPr>
        <w:t xml:space="preserve"> </w:t>
      </w:r>
      <w:r w:rsidRPr="00E93F40">
        <w:rPr>
          <w:color w:val="000000" w:themeColor="text1"/>
          <w:sz w:val="16"/>
          <w:szCs w:val="16"/>
        </w:rPr>
        <w:t>р-360. Оп.</w:t>
      </w:r>
      <w:r w:rsidR="007C1411" w:rsidRPr="00E93F40">
        <w:rPr>
          <w:color w:val="000000" w:themeColor="text1"/>
          <w:sz w:val="16"/>
          <w:szCs w:val="16"/>
        </w:rPr>
        <w:t xml:space="preserve"> </w:t>
      </w:r>
      <w:r w:rsidRPr="00E93F40">
        <w:rPr>
          <w:color w:val="000000" w:themeColor="text1"/>
          <w:sz w:val="16"/>
          <w:szCs w:val="16"/>
        </w:rPr>
        <w:t>2. Д.</w:t>
      </w:r>
      <w:r w:rsidR="007C1411" w:rsidRPr="00E93F40">
        <w:rPr>
          <w:color w:val="000000" w:themeColor="text1"/>
          <w:sz w:val="16"/>
          <w:szCs w:val="16"/>
        </w:rPr>
        <w:t xml:space="preserve"> </w:t>
      </w:r>
      <w:r w:rsidRPr="00E93F40">
        <w:rPr>
          <w:color w:val="000000" w:themeColor="text1"/>
          <w:sz w:val="16"/>
          <w:szCs w:val="16"/>
        </w:rPr>
        <w:t>303. Л.</w:t>
      </w:r>
      <w:r w:rsidR="007C1411" w:rsidRPr="00E93F40">
        <w:rPr>
          <w:color w:val="000000" w:themeColor="text1"/>
          <w:sz w:val="16"/>
          <w:szCs w:val="16"/>
        </w:rPr>
        <w:t xml:space="preserve"> </w:t>
      </w:r>
      <w:r w:rsidRPr="00E93F40">
        <w:rPr>
          <w:color w:val="000000" w:themeColor="text1"/>
          <w:sz w:val="16"/>
          <w:szCs w:val="16"/>
        </w:rPr>
        <w:t>139-149. Копия.</w:t>
      </w:r>
    </w:p>
    <w:p w14:paraId="2474EA8E" w14:textId="78BE7D58"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РГАВМФ. Ф. р-360. Оп. 2. Д. 303. Л. 139-149. Копия. </w:t>
      </w:r>
    </w:p>
    <w:p w14:paraId="345718A3" w14:textId="08F7A5AA"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669-673 (12562).</w:t>
      </w:r>
    </w:p>
    <w:p w14:paraId="0C58F0E5" w14:textId="77777777" w:rsidR="00272919" w:rsidRPr="00E93F40" w:rsidRDefault="00272919" w:rsidP="00E93F40">
      <w:pPr>
        <w:spacing w:after="0" w:line="240" w:lineRule="auto"/>
        <w:jc w:val="both"/>
        <w:rPr>
          <w:rFonts w:ascii="Times New Roman" w:hAnsi="Times New Roman"/>
          <w:color w:val="000000" w:themeColor="text1"/>
          <w:sz w:val="16"/>
          <w:szCs w:val="16"/>
        </w:rPr>
      </w:pPr>
    </w:p>
    <w:p w14:paraId="4B1E4633" w14:textId="77777777" w:rsidR="00AE03E2"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377F787" w14:textId="77777777" w:rsidR="00AE03E2" w:rsidRPr="00E93F40" w:rsidRDefault="00AE03E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5FF08E" w14:textId="77777777" w:rsidR="00AE03E2" w:rsidRPr="00E93F40" w:rsidRDefault="00AE03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31 мая</w:t>
      </w:r>
      <w:r w:rsidRPr="00E93F40">
        <w:rPr>
          <w:rFonts w:ascii="Times New Roman" w:hAnsi="Times New Roman"/>
          <w:color w:val="000000" w:themeColor="text1"/>
          <w:sz w:val="16"/>
          <w:szCs w:val="16"/>
        </w:rPr>
        <w:t xml:space="preserve"> в 1932 году начались официальные приемочные испытания французского бомбардировщика-разведчика «Амио 140-01» (14908).</w:t>
      </w:r>
    </w:p>
    <w:p w14:paraId="579C2A63" w14:textId="77777777" w:rsidR="00AE03E2" w:rsidRPr="00E93F40" w:rsidRDefault="00AE03E2" w:rsidP="00E93F40">
      <w:pPr>
        <w:spacing w:after="0" w:line="240" w:lineRule="auto"/>
        <w:jc w:val="both"/>
        <w:rPr>
          <w:rFonts w:ascii="Times New Roman" w:hAnsi="Times New Roman"/>
          <w:color w:val="000000" w:themeColor="text1"/>
          <w:sz w:val="16"/>
          <w:szCs w:val="16"/>
        </w:rPr>
      </w:pPr>
    </w:p>
    <w:p w14:paraId="1D12F7A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BB3736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5FC117"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мая 1933 Ильюшин с Поликарповым направили свои замечания к Техническим требованиям на самолет местной авиации с мотором в 300 л. с. (от 10 мая 1933).</w:t>
      </w:r>
    </w:p>
    <w:p w14:paraId="2A7F5484"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Замечания к техническим требованиям на самолет местной авиации под мотор 300 НР.</w:t>
      </w:r>
    </w:p>
    <w:p w14:paraId="71DA1887"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(Отношение ГУАП от 10 мая 1933 года) за N АП 80/229</w:t>
      </w:r>
    </w:p>
    <w:p w14:paraId="56EBE54F"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2 раздела первого:</w:t>
      </w:r>
    </w:p>
    <w:p w14:paraId="32C8E1B0"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Мы понимаем выражение "самолет местной авиации", как самолет местных воздушных сообщений, работающий главным образом по обслуживанию местных линий от крупного центра к областным и районым центрам.</w:t>
      </w:r>
    </w:p>
    <w:p w14:paraId="5F86FC8B"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Мы не предлагаем делать складных крыльев, ввиду утяжеления таковых и усложнения конструкции, особенно принимая во внимание то, что самолет ЦКБ-6 будет иметь опускающиеся элероны с жестким и сложным управлением.</w:t>
      </w:r>
    </w:p>
    <w:p w14:paraId="58935801"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1. Обязательных требований к самолетам ГУ ГВФа.</w:t>
      </w:r>
    </w:p>
    <w:p w14:paraId="27A413B4"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уменьшения посадочных скоростей мы предлагаем установить опускающиеся элероны.</w:t>
      </w:r>
    </w:p>
    <w:p w14:paraId="5C94A519"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2. Мы понимаем выражение "комбинированное лыжно-колесное шасси" как конструкцию шасси, допускающую возможность установки колес для летнего аэродрома и замену их лыжами для зимнего аэродрома.</w:t>
      </w:r>
    </w:p>
    <w:p w14:paraId="4D8E9F93"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38CAF07"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6. Так как самолет ЦКБ-6 понимается нами как самолет местных воздушных сообщений, то нормальная его работа будет проходить днем, вследствие чего установка "полного ночного оборудования с управляемыми фарами" совершенно излишняя, как утяжеляющая и удорожающая самолет. Если же по особому заданию это будет нужно, то это можно будет сделать на отдельно избранном самолете во время постройки.</w:t>
      </w:r>
    </w:p>
    <w:p w14:paraId="77239D92"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Делать же на все без исключения самолеты, летающие днем, ночное оборудование, да еще и полное, считаем нецелесообразным.</w:t>
      </w:r>
    </w:p>
    <w:p w14:paraId="2C60D7F6"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 7. Нам предложено установить на самолет ЦКБ-6 мотор М49 воздушного охлаждения, никакого другого мотора для установки не указано. Поскольку и в этом отношении ГУАПа нет конкретных указаний на другие моторы, мы по этому пункту ничего не предусматриваем, за исключением того, что мотоустановка у нас будет съемной. Во всяком случае замена на таком небольшом самолете одного мотора другим связана с большой работой, так как весь самолет увязан под этот мотор.</w:t>
      </w:r>
    </w:p>
    <w:p w14:paraId="1A49BDD4"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 8. Мы полагаем, что для самолета местных воздушных сообщений, имеющего экипажем всего одного пилота, ставить радиоустановку совершенно нецелесообразно, ибо помимо утяжеления и удорожания самолета, не понятно, кто же будет работать на радиоустановке, ведь летчик очень занят своей работой, а пассажиры совершенно не обязаны обслуживать радио.</w:t>
      </w:r>
    </w:p>
    <w:p w14:paraId="1A04301B"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 9. Было бы желательно, более конкретно выставить особые требования к самолетам в южных районах СССР и на Севере, так как обычные мероприятия в этом отношении нами в ЦКБ-6 не предусматриваются.</w:t>
      </w:r>
    </w:p>
    <w:p w14:paraId="2DB6373A"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ЦКБ Ильюшин</w:t>
      </w:r>
    </w:p>
    <w:p w14:paraId="4271877C"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бригады 2 Поликарпов</w:t>
      </w:r>
    </w:p>
    <w:p w14:paraId="18676A9A"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Отпечатано 4 экз. (15535).</w:t>
      </w:r>
    </w:p>
    <w:p w14:paraId="52716585" w14:textId="77777777" w:rsidR="00C23498" w:rsidRPr="00E93F40" w:rsidRDefault="00C23498" w:rsidP="00E93F40">
      <w:pPr>
        <w:spacing w:after="0" w:line="240" w:lineRule="auto"/>
        <w:jc w:val="both"/>
        <w:rPr>
          <w:rFonts w:ascii="Times New Roman" w:hAnsi="Times New Roman"/>
          <w:color w:val="000000" w:themeColor="text1"/>
          <w:sz w:val="16"/>
          <w:szCs w:val="16"/>
        </w:rPr>
      </w:pPr>
    </w:p>
    <w:p w14:paraId="63507568"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мая 1932 г. начальник КОСОС ЦАГИ А.Н. Туполев и начальник бригады № 3 КОСОС ЦАГИ П.О. Сухой по просьбе начальника ПТС Глававиапрома Петржицкого на</w:t>
      </w:r>
      <w:r w:rsidRPr="00E93F40">
        <w:rPr>
          <w:rFonts w:ascii="Times New Roman" w:hAnsi="Times New Roman"/>
          <w:color w:val="000000" w:themeColor="text1"/>
          <w:sz w:val="16"/>
          <w:szCs w:val="16"/>
        </w:rPr>
        <w:softHyphen/>
        <w:t>правили в его адрес расчётные данные самолёта И-12 2М-22:</w:t>
      </w:r>
    </w:p>
    <w:p w14:paraId="20B50BAC"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r w:rsidRPr="00E93F40">
        <w:rPr>
          <w:rFonts w:ascii="Times New Roman" w:hAnsi="Times New Roman"/>
          <w:color w:val="000000" w:themeColor="text1"/>
          <w:sz w:val="16"/>
          <w:szCs w:val="16"/>
        </w:rPr>
        <w:tab/>
        <w:t>5000 м</w:t>
      </w:r>
    </w:p>
    <w:p w14:paraId="5C8D86BF"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максимальная на 5000 м</w:t>
      </w:r>
      <w:r w:rsidRPr="00E93F40">
        <w:rPr>
          <w:rFonts w:ascii="Times New Roman" w:hAnsi="Times New Roman"/>
          <w:color w:val="000000" w:themeColor="text1"/>
          <w:sz w:val="16"/>
          <w:szCs w:val="16"/>
        </w:rPr>
        <w:tab/>
        <w:t>256 км/ч</w:t>
      </w:r>
    </w:p>
    <w:p w14:paraId="3C772F3E"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подъёма на 5000 м</w:t>
      </w:r>
      <w:r w:rsidRPr="00E93F40">
        <w:rPr>
          <w:rFonts w:ascii="Times New Roman" w:hAnsi="Times New Roman"/>
          <w:color w:val="000000" w:themeColor="text1"/>
          <w:sz w:val="16"/>
          <w:szCs w:val="16"/>
        </w:rPr>
        <w:tab/>
        <w:t>13 мин</w:t>
      </w:r>
    </w:p>
    <w:p w14:paraId="435C3FE8"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w:t>
      </w:r>
      <w:r w:rsidRPr="00E93F40">
        <w:rPr>
          <w:rFonts w:ascii="Times New Roman" w:hAnsi="Times New Roman"/>
          <w:color w:val="000000" w:themeColor="text1"/>
          <w:sz w:val="16"/>
          <w:szCs w:val="16"/>
        </w:rPr>
        <w:tab/>
        <w:t>109 км/ч</w:t>
      </w:r>
    </w:p>
    <w:p w14:paraId="450C6DB7"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r w:rsidRPr="00E93F40">
        <w:rPr>
          <w:rFonts w:ascii="Times New Roman" w:hAnsi="Times New Roman"/>
          <w:color w:val="000000" w:themeColor="text1"/>
          <w:sz w:val="16"/>
          <w:szCs w:val="16"/>
        </w:rPr>
        <w:tab/>
        <w:t>7400-7900 м</w:t>
      </w:r>
    </w:p>
    <w:p w14:paraId="08D9D56F" w14:textId="77777777" w:rsidR="00C23498" w:rsidRPr="00E93F40" w:rsidRDefault="00C23498" w:rsidP="00E93F40">
      <w:pPr>
        <w:spacing w:after="0" w:line="240" w:lineRule="auto"/>
        <w:jc w:val="both"/>
        <w:rPr>
          <w:rFonts w:ascii="Times New Roman" w:hAnsi="Times New Roman"/>
          <w:color w:val="000000" w:themeColor="text1"/>
          <w:sz w:val="16"/>
          <w:szCs w:val="16"/>
          <w:vertAlign w:val="subscript"/>
        </w:rPr>
      </w:pPr>
      <w:r w:rsidRPr="00E93F40">
        <w:rPr>
          <w:rFonts w:ascii="Times New Roman" w:hAnsi="Times New Roman"/>
          <w:color w:val="000000" w:themeColor="text1"/>
          <w:sz w:val="16"/>
          <w:szCs w:val="16"/>
        </w:rPr>
        <w:t>Дальность полёта (Н= 3000 м, У</w:t>
      </w:r>
      <w:r w:rsidRPr="00E93F40">
        <w:rPr>
          <w:rFonts w:ascii="Times New Roman" w:hAnsi="Times New Roman"/>
          <w:color w:val="000000" w:themeColor="text1"/>
          <w:sz w:val="16"/>
          <w:szCs w:val="16"/>
          <w:vertAlign w:val="subscript"/>
        </w:rPr>
        <w:t>наивыгодн</w:t>
      </w:r>
      <w:r w:rsidRPr="00E93F40">
        <w:rPr>
          <w:rFonts w:ascii="Times New Roman" w:hAnsi="Times New Roman"/>
          <w:color w:val="000000" w:themeColor="text1"/>
          <w:sz w:val="16"/>
          <w:szCs w:val="16"/>
          <w:vertAlign w:val="subscript"/>
        </w:rPr>
        <w:tab/>
      </w:r>
      <w:r w:rsidRPr="00E93F40">
        <w:rPr>
          <w:rFonts w:ascii="Times New Roman" w:hAnsi="Times New Roman"/>
          <w:color w:val="000000" w:themeColor="text1"/>
          <w:sz w:val="16"/>
          <w:szCs w:val="16"/>
        </w:rPr>
        <w:t>740 км</w:t>
      </w:r>
    </w:p>
    <w:p w14:paraId="27DDAF89"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максимальная на Н=0/1625/3000/7000 м</w:t>
      </w:r>
      <w:r w:rsidRPr="00E93F40">
        <w:rPr>
          <w:rFonts w:ascii="Times New Roman" w:hAnsi="Times New Roman"/>
          <w:color w:val="000000" w:themeColor="text1"/>
          <w:sz w:val="16"/>
          <w:szCs w:val="16"/>
        </w:rPr>
        <w:tab/>
        <w:t>275/275/271/229 км/ч</w:t>
      </w:r>
    </w:p>
    <w:p w14:paraId="7EA3D4B0"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подъёма на высоту: Н= 1625/3000/7000 м</w:t>
      </w:r>
      <w:r w:rsidRPr="00E93F40">
        <w:rPr>
          <w:rFonts w:ascii="Times New Roman" w:hAnsi="Times New Roman"/>
          <w:color w:val="000000" w:themeColor="text1"/>
          <w:sz w:val="16"/>
          <w:szCs w:val="16"/>
        </w:rPr>
        <w:tab/>
        <w:t>3/6,2/28,8 мин</w:t>
      </w:r>
    </w:p>
    <w:p w14:paraId="6E234D6F"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 полная/ГСМ</w:t>
      </w:r>
      <w:r w:rsidRPr="00E93F40">
        <w:rPr>
          <w:rFonts w:ascii="Times New Roman" w:hAnsi="Times New Roman"/>
          <w:color w:val="000000" w:themeColor="text1"/>
          <w:sz w:val="16"/>
          <w:szCs w:val="16"/>
        </w:rPr>
        <w:tab/>
        <w:t>585/ 403,5кг</w:t>
      </w:r>
    </w:p>
    <w:p w14:paraId="5B5E91EF"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r w:rsidRPr="00E93F40">
        <w:rPr>
          <w:rFonts w:ascii="Times New Roman" w:hAnsi="Times New Roman"/>
          <w:color w:val="000000" w:themeColor="text1"/>
          <w:sz w:val="16"/>
          <w:szCs w:val="16"/>
        </w:rPr>
        <w:tab/>
        <w:t>2 пушки 76 мм (на 12 выстрелов)</w:t>
      </w:r>
    </w:p>
    <w:p w14:paraId="56116C58" w14:textId="77777777" w:rsidR="00C23498" w:rsidRPr="00E93F40" w:rsidRDefault="00C23498" w:rsidP="00E93F40">
      <w:pPr>
        <w:tabs>
          <w:tab w:val="left" w:pos="200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 испытании получено: </w:t>
      </w:r>
    </w:p>
    <w:p w14:paraId="757642BC" w14:textId="77777777" w:rsidR="00C23498" w:rsidRPr="00E93F40" w:rsidRDefault="00C23498" w:rsidP="00E93F40">
      <w:pPr>
        <w:tabs>
          <w:tab w:val="left" w:pos="200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на</w:t>
      </w:r>
      <w:r w:rsidRPr="00E93F40">
        <w:rPr>
          <w:rFonts w:ascii="Times New Roman" w:hAnsi="Times New Roman"/>
          <w:color w:val="000000" w:themeColor="text1"/>
          <w:sz w:val="16"/>
          <w:szCs w:val="16"/>
        </w:rPr>
        <w:tab/>
        <w:t>Н=0</w:t>
      </w:r>
      <w:r w:rsidRPr="00E93F40">
        <w:rPr>
          <w:rFonts w:ascii="Times New Roman" w:hAnsi="Times New Roman"/>
          <w:color w:val="000000" w:themeColor="text1"/>
          <w:sz w:val="16"/>
          <w:szCs w:val="16"/>
        </w:rPr>
        <w:tab/>
        <w:t>260</w:t>
      </w:r>
    </w:p>
    <w:p w14:paraId="54EB0D2C"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подъёма на</w:t>
      </w:r>
      <w:r w:rsidRPr="00E93F40">
        <w:rPr>
          <w:rFonts w:ascii="Times New Roman" w:hAnsi="Times New Roman"/>
          <w:color w:val="000000" w:themeColor="text1"/>
          <w:sz w:val="16"/>
          <w:szCs w:val="16"/>
        </w:rPr>
        <w:tab/>
        <w:t>Н= 5000 м</w:t>
      </w:r>
      <w:r w:rsidRPr="00E93F40">
        <w:rPr>
          <w:rFonts w:ascii="Times New Roman" w:hAnsi="Times New Roman"/>
          <w:color w:val="000000" w:themeColor="text1"/>
          <w:sz w:val="16"/>
          <w:szCs w:val="16"/>
        </w:rPr>
        <w:tab/>
      </w:r>
      <w:r w:rsidRPr="00E93F40">
        <w:rPr>
          <w:rFonts w:ascii="Times New Roman" w:hAnsi="Times New Roman"/>
          <w:color w:val="000000" w:themeColor="text1"/>
          <w:sz w:val="16"/>
          <w:szCs w:val="16"/>
        </w:rPr>
        <w:tab/>
        <w:t>14,3</w:t>
      </w:r>
    </w:p>
    <w:p w14:paraId="586539F5"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r w:rsidRPr="00E93F40">
        <w:rPr>
          <w:rFonts w:ascii="Times New Roman" w:hAnsi="Times New Roman"/>
          <w:color w:val="000000" w:themeColor="text1"/>
          <w:sz w:val="16"/>
          <w:szCs w:val="16"/>
        </w:rPr>
        <w:tab/>
      </w:r>
      <w:r w:rsidRPr="00E93F40">
        <w:rPr>
          <w:rFonts w:ascii="Times New Roman" w:hAnsi="Times New Roman"/>
          <w:color w:val="000000" w:themeColor="text1"/>
          <w:sz w:val="16"/>
          <w:szCs w:val="16"/>
        </w:rPr>
        <w:tab/>
        <w:t>7000</w:t>
      </w:r>
    </w:p>
    <w:p w14:paraId="3E6D5833"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испытаний надо считать ориентировочными ввиду неблагоприятности условий испытаний и незакон</w:t>
      </w:r>
      <w:r w:rsidRPr="00E93F40">
        <w:rPr>
          <w:rFonts w:ascii="Times New Roman" w:hAnsi="Times New Roman"/>
          <w:color w:val="000000" w:themeColor="text1"/>
          <w:sz w:val="16"/>
          <w:szCs w:val="16"/>
        </w:rPr>
        <w:softHyphen/>
        <w:t>ченности их» (15823).</w:t>
      </w:r>
    </w:p>
    <w:p w14:paraId="03DD8176" w14:textId="77777777" w:rsidR="00C23498" w:rsidRPr="00E93F40" w:rsidRDefault="00C23498" w:rsidP="00E93F40">
      <w:pPr>
        <w:spacing w:after="0" w:line="240" w:lineRule="auto"/>
        <w:jc w:val="both"/>
        <w:rPr>
          <w:rFonts w:ascii="Times New Roman" w:hAnsi="Times New Roman"/>
          <w:color w:val="000000" w:themeColor="text1"/>
          <w:sz w:val="16"/>
          <w:szCs w:val="16"/>
        </w:rPr>
      </w:pPr>
    </w:p>
    <w:p w14:paraId="63BC32AE"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color w:val="000000" w:themeColor="text1"/>
          <w:sz w:val="16"/>
          <w:szCs w:val="16"/>
        </w:rPr>
        <w:t>В конце мая 1932 года начальник KОCОC ЦАГИ А.Н. Туполев и начальник бригады №3 KОCОC ЦАГИ П.О. Сухой по просьбе начальника ПТС Глававиапрома Петрожицкого направили в его адрес расчетные данные самолета И-12 2М-22:</w:t>
      </w:r>
    </w:p>
    <w:p w14:paraId="45F11A7F"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 Высота применения – 5000 м</w:t>
      </w:r>
    </w:p>
    <w:p w14:paraId="4D925972"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Скорость максимальная на 5000 м – 256 км/ч</w:t>
      </w:r>
    </w:p>
    <w:p w14:paraId="027E460E"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Время подъема на 5000 м – 13 мин</w:t>
      </w:r>
    </w:p>
    <w:p w14:paraId="4152402E"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Посадочная скорость – 109 км/ч</w:t>
      </w:r>
    </w:p>
    <w:p w14:paraId="0B750E4A"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Потолок – 7400-7900 м</w:t>
      </w:r>
    </w:p>
    <w:p w14:paraId="24B1F4BE"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lastRenderedPageBreak/>
        <w:t>Дальность полета (Н= 3000 м Vнаивыгодн.) – 740 км</w:t>
      </w:r>
    </w:p>
    <w:p w14:paraId="5A06D7EA"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Скорость макс, на</w:t>
      </w:r>
    </w:p>
    <w:p w14:paraId="5396235E"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Н=0 – 275 км/ч</w:t>
      </w:r>
    </w:p>
    <w:p w14:paraId="41D7B48D"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Н= 1625 м- 275 км/ч</w:t>
      </w:r>
    </w:p>
    <w:p w14:paraId="0B36522D"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Н= 3000 м – 271 км/ч</w:t>
      </w:r>
    </w:p>
    <w:p w14:paraId="3DFB50BB"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Н= 7000 м – 229 км/ч</w:t>
      </w:r>
    </w:p>
    <w:p w14:paraId="6D54DB3D"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Время подъема на</w:t>
      </w:r>
    </w:p>
    <w:p w14:paraId="6B6BB409"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Н= 1625 м – 3 мин</w:t>
      </w:r>
    </w:p>
    <w:p w14:paraId="1DE6A74C"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Н= 3000 м – 6,2 мин</w:t>
      </w:r>
    </w:p>
    <w:p w14:paraId="34ACC2FC"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Н= 7000 м – 28,8 мин</w:t>
      </w:r>
    </w:p>
    <w:p w14:paraId="62C1161C"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Нагрузка:</w:t>
      </w:r>
    </w:p>
    <w:p w14:paraId="247A24D6"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 полная – 585 кг</w:t>
      </w:r>
    </w:p>
    <w:p w14:paraId="7CE3F876"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 ГСМ – 403,5 кг</w:t>
      </w:r>
    </w:p>
    <w:p w14:paraId="50BFB516"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Вооружение – 2 пушки 76 мм (на 12 выстрелов)</w:t>
      </w:r>
    </w:p>
    <w:p w14:paraId="6592EE52"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При испытании получено:</w:t>
      </w:r>
    </w:p>
    <w:p w14:paraId="50CDBE1E"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Скорость на Н=0 – 260 км/ч</w:t>
      </w:r>
    </w:p>
    <w:p w14:paraId="0003682F"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Время подъема на Н= 5000 м – 14,3 мин</w:t>
      </w:r>
    </w:p>
    <w:p w14:paraId="1DC07A0A" w14:textId="77777777" w:rsidR="00E34863" w:rsidRPr="00E93F40" w:rsidRDefault="00E34863" w:rsidP="00E93F40">
      <w:pPr>
        <w:pStyle w:val="rtejustify"/>
        <w:shd w:val="clear" w:color="auto" w:fill="FFFFFF"/>
        <w:spacing w:before="0" w:after="0"/>
        <w:rPr>
          <w:color w:val="000000" w:themeColor="text1"/>
          <w:sz w:val="16"/>
          <w:szCs w:val="16"/>
        </w:rPr>
      </w:pPr>
      <w:r w:rsidRPr="00E93F40">
        <w:rPr>
          <w:rStyle w:val="af0"/>
          <w:i w:val="0"/>
          <w:color w:val="000000" w:themeColor="text1"/>
          <w:sz w:val="16"/>
          <w:szCs w:val="16"/>
          <w:bdr w:val="none" w:sz="0" w:space="0" w:color="auto" w:frame="1"/>
        </w:rPr>
        <w:t>Потолок – 7000 м</w:t>
      </w:r>
    </w:p>
    <w:p w14:paraId="7C16967D" w14:textId="77777777" w:rsidR="00E34863" w:rsidRPr="00E93F40" w:rsidRDefault="00E34863" w:rsidP="00E93F40">
      <w:pPr>
        <w:pStyle w:val="rtejustify"/>
        <w:shd w:val="clear" w:color="auto" w:fill="FFFFFF"/>
        <w:spacing w:before="0" w:after="0"/>
        <w:rPr>
          <w:rStyle w:val="af0"/>
          <w:i w:val="0"/>
          <w:color w:val="000000" w:themeColor="text1"/>
          <w:sz w:val="16"/>
          <w:szCs w:val="16"/>
          <w:bdr w:val="none" w:sz="0" w:space="0" w:color="auto" w:frame="1"/>
        </w:rPr>
      </w:pPr>
      <w:r w:rsidRPr="00E93F40">
        <w:rPr>
          <w:rStyle w:val="af0"/>
          <w:i w:val="0"/>
          <w:color w:val="000000" w:themeColor="text1"/>
          <w:sz w:val="16"/>
          <w:szCs w:val="16"/>
          <w:bdr w:val="none" w:sz="0" w:space="0" w:color="auto" w:frame="1"/>
        </w:rPr>
        <w:t>Данные испытаний надо считать ориентировочными ввиду неблагоприятности условий испытаний и незаконченности их.» (19172)</w:t>
      </w:r>
    </w:p>
    <w:p w14:paraId="099844AB" w14:textId="77777777" w:rsidR="00E34863" w:rsidRPr="00E93F40" w:rsidRDefault="00E34863" w:rsidP="00E93F40">
      <w:pPr>
        <w:pStyle w:val="rtejustify"/>
        <w:shd w:val="clear" w:color="auto" w:fill="FFFFFF"/>
        <w:spacing w:before="0" w:after="0"/>
        <w:rPr>
          <w:color w:val="000000" w:themeColor="text1"/>
          <w:sz w:val="16"/>
          <w:szCs w:val="16"/>
        </w:rPr>
      </w:pPr>
    </w:p>
    <w:p w14:paraId="318F0A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конца мая 1932 ТБ-3 стали поступать в эскадрильи ТБАБ (1854,13).</w:t>
      </w:r>
    </w:p>
    <w:p w14:paraId="579C0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71D86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588121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B6EDA0" w14:textId="77777777" w:rsidR="00A567B2" w:rsidRPr="00E93F40" w:rsidRDefault="00A567B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мая 1932 г. материалы, необходимые для производства 60-мм, 82-мм и 165-мм систем на «Красный Октябрь» доставлены не были, что грозило срывом их испытаний, назначенных распоряжением заместителя Наркома вооружений М. Н. Тухачевского на июль 1932 г. Мины для опытных образцов должны были изготавливаться на заводе «Мастяжарт» (г. Москва), однако также получены не были. Следует отметить, что выполнение на этом заводе заказа на выпуск 165-мм мин к этому времени длилось уже около полутора лет. Чертежи на них (двух вариантов) были направлены для размещения заказа во Всесоюзный государственный снарядный трест в 1931 г., однако в начале января 1932 г. его выполнение было приостановлено из-за изменений требований к материалу. Цена, выставленная за одну мину (50 руб.) была признана АУ непомерно высокой, и их производство было остановлено «до особого распоряжения».197 Для разрешения сложившейся ситуации Н. А. Доровлев обратился в НТК АУ, Главное военно-мобилизационное управление Народного комиссариата тяжелой промышленности (ГВМУ НКТП), отдел военных изобретений Технического штаба Начальника Вооружений РККА с ходатайством о принятии мер к срочной поставке труб и изготовлению опытных заказов.198 Для ускорения изготовления 60- и 82-мм мин Н. А. Доровлевым было предложено передать этот заказ на завод «Красный Октябрь», который имел опыт работы с этими отливками. (20074).</w:t>
      </w:r>
    </w:p>
    <w:p w14:paraId="65C6F654" w14:textId="77777777" w:rsidR="00A567B2" w:rsidRPr="00E93F40" w:rsidRDefault="00A567B2" w:rsidP="00E93F40">
      <w:pPr>
        <w:spacing w:after="0" w:line="240" w:lineRule="auto"/>
        <w:jc w:val="both"/>
        <w:rPr>
          <w:rFonts w:ascii="Times New Roman" w:hAnsi="Times New Roman"/>
          <w:color w:val="000000" w:themeColor="text1"/>
          <w:sz w:val="16"/>
          <w:szCs w:val="16"/>
        </w:rPr>
      </w:pPr>
    </w:p>
    <w:p w14:paraId="69705352" w14:textId="77777777" w:rsidR="0064033E" w:rsidRPr="00142305" w:rsidRDefault="0064033E" w:rsidP="00640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мая 1932 года на завод «Красный Октябрь» приходит новое руководство – директор Буйко и технический директор Авербах. По выданной техническим отделом спецификации начинают поступать новые станки: продольно-фрезерные, расточные, радиальносверлильные, зубодолбежные и другие. В спешном порядке заканчиваются строительные работы по главному корпусу, начатые еще в 1930 году. На заводе организуется новый отдел по ремонту моторов в составе механической мастерской, сборочного цеха и испытательной станции. Первые два стенда для испытания моторов поступают с завода «Большевик». Уже в апреле ремонтируются 10 моторов. Но организация 2-го отдела – укомплектование рабочей силой, инструментом, станками, стендами и вспомогательными службами - затягивается надолго. Тракторный цех реорганизуется в механосборочный отдел №3 по изготовлению узлов машины Т-26. Отдел включает четыре цеха: картерный (№3) – для обработки картеров коробки скоростей; токарно-фрезерный (№4) – для изготовления деталей с преобладанием токарных и фрезерных работ (обоймы, карданные вилки, арматура и т.п.); шестерѐнный (№5) – для изготовления шестерен, шлицевых валиков и других деталей, требовавших зубонарезание и протяжку; сборочный (№6) – для сборки и испытаний узлов объекта. Механические цеха перестраивались по принципу замкнутого цикла производства с использованием всех видов механического оборудования, необходимого для изготовления закрепленных за цехом деталей до полной их готовности. Станочное оборудование располагалось так, чтобы по возможности сохранить одно направление грузового потока. В полной мере это удалось в цехах №3 и №6, которые были построены по принципу поточного производства. Такое построение механических цехов сокращало время и затраты на внутри- и межцеховую транспортировку деталей, облегчало планирование и управление производством, повышало ответственность цеховой администрации за выполнение плана и качество продукции (25670).</w:t>
      </w:r>
    </w:p>
    <w:p w14:paraId="15397172" w14:textId="77777777" w:rsidR="0064033E" w:rsidRPr="00142305" w:rsidRDefault="0064033E" w:rsidP="0064033E">
      <w:pPr>
        <w:spacing w:after="0" w:line="240" w:lineRule="auto"/>
        <w:jc w:val="both"/>
        <w:rPr>
          <w:rFonts w:ascii="Times New Roman" w:hAnsi="Times New Roman"/>
          <w:color w:val="0070C0"/>
          <w:sz w:val="16"/>
          <w:szCs w:val="16"/>
        </w:rPr>
      </w:pPr>
    </w:p>
    <w:p w14:paraId="502B6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мая 1932 Центральный Совет Автодора взял шефство над строительством Ижевского мотоциклетного завода и дал добро на присвоение заводу имени "Всесоюзного общества Автодор". Для немедленного развертывания строительства Автодор отпустил из своих средств 275 тысяч рублей. Опытный завод проектной мощностью 5 тысяч мотоциклов в год рассматривался как база, на основе которой во 2-ой пятилетке должен был быть построен мощный завод-гигант производительность в 120 тысяч мотоциклов в год. Местом строительства завода была утверждена усадьба по Коммунальной улице, дом 33 с использованием сооружений авто- мотомастерских. Мастерские, организованные в марте 1932 г. на базе Государственной фабрики охотничьих ружей, параллельно со строительством завода вели разработку опытных партий легковых малолитражных автомобилей и мотоциклов конструкции Научного автотракторного института (НАТИ) (11397).</w:t>
      </w:r>
    </w:p>
    <w:p w14:paraId="2C1F5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DB9CAD" w14:textId="77777777" w:rsidR="00C23498"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C1662BA" w14:textId="77777777" w:rsidR="00C23498" w:rsidRPr="00E93F40" w:rsidRDefault="00C2349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D65727" w14:textId="77777777" w:rsidR="00C23498" w:rsidRPr="00E93F40" w:rsidRDefault="00C23498"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мая 1932 г. (спустя почти полгода — !) в конце концов Волынченко не вы</w:t>
      </w:r>
      <w:r w:rsidRPr="00E93F40">
        <w:rPr>
          <w:rFonts w:ascii="Times New Roman" w:hAnsi="Times New Roman"/>
          <w:color w:val="000000" w:themeColor="text1"/>
          <w:sz w:val="16"/>
          <w:szCs w:val="16"/>
        </w:rPr>
        <w:softHyphen/>
        <w:t>держал и пожаловался в УВВС: «...Послано несколько телеграмм о высылке ленты, на что от тов. Иванова был получен ответ, что это «</w:t>
      </w:r>
      <w:r w:rsidRPr="00E93F40">
        <w:rPr>
          <w:rStyle w:val="5a"/>
          <w:rFonts w:eastAsia="Calibri"/>
          <w:color w:val="000000" w:themeColor="text1"/>
          <w:sz w:val="16"/>
          <w:szCs w:val="16"/>
        </w:rPr>
        <w:t>дефект несущественный, и без несущей ленты полёты совершать можно</w:t>
      </w:r>
      <w:r w:rsidRPr="00E93F40">
        <w:rPr>
          <w:rFonts w:ascii="Times New Roman" w:hAnsi="Times New Roman"/>
          <w:color w:val="000000" w:themeColor="text1"/>
          <w:sz w:val="16"/>
          <w:szCs w:val="16"/>
        </w:rPr>
        <w:t>»(!) Считаю, что такое отношение ставит нас [в] не впол</w:t>
      </w:r>
      <w:r w:rsidRPr="00E93F40">
        <w:rPr>
          <w:rFonts w:ascii="Times New Roman" w:hAnsi="Times New Roman"/>
          <w:color w:val="000000" w:themeColor="text1"/>
          <w:sz w:val="16"/>
          <w:szCs w:val="16"/>
        </w:rPr>
        <w:softHyphen/>
        <w:t>не безопасное положение. При таком дефекте самолёта совершать полёты не полагает</w:t>
      </w:r>
      <w:r w:rsidRPr="00E93F40">
        <w:rPr>
          <w:rFonts w:ascii="Times New Roman" w:hAnsi="Times New Roman"/>
          <w:color w:val="000000" w:themeColor="text1"/>
          <w:sz w:val="16"/>
          <w:szCs w:val="16"/>
        </w:rPr>
        <w:softHyphen/>
        <w:t>ся, а мы летаем, не летать — значит скомпрометировать наши самолётыВ мае 1932 года «Для придания большей самостоятельности, гибкости и конкретности руководства отдельными подразделениями…», ЦКБ ЦАГИ преобразовывают в Сектор опытного строительства (СОС), в состав которого вошли: конструкторский отдел (КОСОС); отдел внедрения в серию; отдел стандартизации; отдел эксплуатации, летных испытаний и доводок (ОЭЛИД); завод опытных конструкций (ЗОК); бюро информации. (Для упрощения дальнейшего повествования воспользуемся прежним наименованием - ЦКБ ЦАГИ) (15223).</w:t>
      </w:r>
    </w:p>
    <w:p w14:paraId="46DA6E5A" w14:textId="77777777" w:rsidR="00C23498" w:rsidRPr="00E93F40" w:rsidRDefault="00C23498" w:rsidP="00E93F40">
      <w:pPr>
        <w:shd w:val="clear" w:color="auto" w:fill="FFFFFF"/>
        <w:spacing w:after="0" w:line="240" w:lineRule="auto"/>
        <w:jc w:val="both"/>
        <w:rPr>
          <w:rFonts w:ascii="Times New Roman" w:hAnsi="Times New Roman"/>
          <w:color w:val="000000" w:themeColor="text1"/>
          <w:sz w:val="16"/>
          <w:szCs w:val="16"/>
        </w:rPr>
      </w:pPr>
    </w:p>
    <w:p w14:paraId="1D8354FB" w14:textId="77777777" w:rsidR="00A567B2" w:rsidRPr="00E93F40" w:rsidRDefault="00A567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25FECDC" w14:textId="77777777" w:rsidR="00A567B2" w:rsidRPr="00E93F40" w:rsidRDefault="00A567B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E366FD" w14:textId="77777777" w:rsidR="00A567B2" w:rsidRPr="00E93F40" w:rsidRDefault="00A567B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конце мая - начале июня 1932 г. по решению руководства НКВМ-РККА, принятому, при разработке нового мобплана штабам предписывалось предусмотреть в общем мобилизационном расписании четыре "частных варианта" мобилизации - 3, В, А, К.</w:t>
      </w:r>
    </w:p>
    <w:p w14:paraId="0FF2CC95" w14:textId="77777777" w:rsidR="00A567B2" w:rsidRPr="00E93F40" w:rsidRDefault="00A567B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Устанавливалось, что</w:t>
      </w:r>
    </w:p>
    <w:p w14:paraId="709F2D58" w14:textId="77777777" w:rsidR="00A567B2" w:rsidRPr="00E93F40" w:rsidRDefault="00A567B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По варианту "3" мобилизуются: ЛВО, БВО, УВО, МВО, ПриВО (без Урала), СКВО, боевые части ККА, Морские силы Балтийского и Черного морей;</w:t>
      </w:r>
    </w:p>
    <w:p w14:paraId="259B722C" w14:textId="77777777" w:rsidR="00A567B2" w:rsidRPr="00E93F40" w:rsidRDefault="00A567B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по варианту "В" мобилизуются: ОКДВА, СибВО (в последующем - Урал) и Морские силы ДВ;</w:t>
      </w:r>
    </w:p>
    <w:p w14:paraId="5777B65C" w14:textId="77777777" w:rsidR="00A567B2" w:rsidRPr="00E93F40" w:rsidRDefault="00A567B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по варианту "А" мобилизуются: САВО, Бакинский район ККА и Каспийская флотилия;</w:t>
      </w:r>
    </w:p>
    <w:p w14:paraId="269BBFFD" w14:textId="77777777" w:rsidR="00A567B2" w:rsidRPr="00E93F40" w:rsidRDefault="00A567B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по варианту "К": ККА, Черноморский Флот и Каспийская флотилия" (Постановление РВС СССР "О разработке нового мобилизационного расписания на 1933 г." [ранее 10.06] 1932 // РГВА. Ф. 4. Оп. 18. Д. 22. Л. 326. Дата заделана, но не проставлена. В документе упоминается поручение Штабу РККА к 10 июня. В архивном деле рассматриваемое постановление непосредственно следует за Постановлением РВС от 5 июня 1932 г.) (22725).</w:t>
      </w:r>
    </w:p>
    <w:p w14:paraId="40211B36" w14:textId="77777777" w:rsidR="00A567B2" w:rsidRPr="00E93F40" w:rsidRDefault="00A567B2" w:rsidP="00E93F40">
      <w:pPr>
        <w:spacing w:after="0" w:line="240" w:lineRule="auto"/>
        <w:jc w:val="both"/>
        <w:rPr>
          <w:rFonts w:ascii="Times New Roman" w:hAnsi="Times New Roman"/>
          <w:color w:val="000000" w:themeColor="text1"/>
          <w:sz w:val="16"/>
          <w:szCs w:val="16"/>
        </w:rPr>
      </w:pPr>
    </w:p>
    <w:p w14:paraId="10E7B6E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45F5A8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9210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завод 45 писал в ГУАП:</w:t>
      </w:r>
    </w:p>
    <w:p w14:paraId="02D232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"заданная заводу 45...машина МТБ-1 заводом в производстве не освоена и, кроме того, не обеспечена производственными площадями...Специнспектор ГУАП просит изменить заявку, заменив МТБ-1 на машину Дорнье Валь в количестве 30 шт. Однако доказательств, что машину делали - нет. Лицензию также не покупали. Есть сведения, что машины с завода 45 принимались, но не известно, были ли это новые или отремонтированные машины. Есть данные о производстве 6 с М-17Б (2543,13).</w:t>
      </w:r>
    </w:p>
    <w:p w14:paraId="54DBB3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821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мае 1932 АНТ-14 вместе с экипажем зачислили в список самолетов ВО воздушных сообщений “Трансавиа”, а менее чем через месяц - перевели во вновь организованный летный отряд коллегии ГУ ГВФ. В мае 1933 попал в эскадрилью МГ и получил это имя (8863,7).</w:t>
      </w:r>
    </w:p>
    <w:p w14:paraId="18A47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C297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один из майских дней 1932 г., когда самолет ТБ-5 под управлением М.М.Громова находился на высоте 800 м, неожиданно началась сильная тряска. Оказалось, что левый задний двигатель сорвался с моторамы и угрожающе повис, зацепившись за шасси. Механик Васин увидел, что воздушный винт этого «Юпитера» пробил фюзеляж и уперся в макет бомбы. В это время загорелся бензин. Громов немедленно приказал перекрыть питание двигателей и начал планировать с левым скольжением, пытаясь сбить пламя. В конце концов это удалось, после чего он совершил успешную вынужденную посадку на аэродроме авиазавода №22 в Филях. Уже на земле выяснилось, что в самый драматичный момент, когда пламя приняло угрожающие размеры, находившийся в отсеке за крылом инженер А.В.Чесалов выпрыгнул с парашютом и благополучно приземлился. После этого случая ТБ-5 вплоть до декабря оставался в Филях. Ремонт его не проводился. Григорович полностью переключился на истребители с динамо-реактивными пушками, и считалось, что самолетом далее должны заниматься представители ЦАГИ, т.к. согласно принятому разделению именно цаговцы теперь специализировались по тяжелым бомбардировщикам. Лучшего способа уничтожения конкурента придумать было нельзя. Дело в том, что в 1931 г. практически одновременно с ТБ-5 начал летать пассажирский самолет АНТ-14. Этот пятимоторный гигант, созданный ЦАГИ всего за год, благодаря использованию крыла и других элементов ТБ-3, был рассчитан и для военных целей. ВВС нравится схема высо-коплана с вместительным фюзеляжем? Пожалуйста! Милитаризированный вариант АНТ-14 обозначался как ТБ-Х, при этом вместо фюзеляжного двигателя устанавливалась носовая турель с пушкой «Эрликон», а для работы штурмана оборудовалась специальная застекленная кабина. Самолет во многом устраивал заказчиков, однако был еще более трудоемким в производстве, чем ТБ-3. Поэтому в конце 1932 г. произошла попытка вновь вернуться к ТБ-5 (5854,34).</w:t>
      </w:r>
    </w:p>
    <w:p w14:paraId="5C2B3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118CAC" w14:textId="77777777"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у ЦКБ-8 (ТБ-5) в полёте на высоте 800 м левый задний двигатель сорвался с моторамы и повис, зацепившись за шасси. Пилот М.Громов успешно посадил самолёт, однако до его восстановления дело так и не дошло. В феврале 1933 г. начальник ГУАП Баранов распорядился: «Самолет разобрать. Дальнейшие работы по этому самолету прекратить» (23907).</w:t>
      </w:r>
    </w:p>
    <w:p w14:paraId="6D4E9965" w14:textId="77777777" w:rsidR="00C74BE3" w:rsidRPr="00E93F40" w:rsidRDefault="00C74BE3" w:rsidP="00E93F40">
      <w:pPr>
        <w:spacing w:after="0" w:line="240" w:lineRule="auto"/>
        <w:jc w:val="both"/>
        <w:rPr>
          <w:rFonts w:ascii="Times New Roman" w:hAnsi="Times New Roman"/>
          <w:color w:val="000000" w:themeColor="text1"/>
          <w:sz w:val="16"/>
          <w:szCs w:val="16"/>
        </w:rPr>
      </w:pPr>
    </w:p>
    <w:p w14:paraId="780283C8"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 летчик-испыта</w:t>
      </w:r>
      <w:r w:rsidRPr="00142305">
        <w:rPr>
          <w:rFonts w:ascii="Times New Roman" w:hAnsi="Times New Roman"/>
          <w:color w:val="0070C0"/>
          <w:sz w:val="16"/>
          <w:szCs w:val="16"/>
        </w:rPr>
        <w:softHyphen/>
        <w:t>тель И.Ф. Козлов опробовал АНТ-21 в полете. МИ-3 стал первой советской машиной с убира</w:t>
      </w:r>
      <w:r w:rsidRPr="00142305">
        <w:rPr>
          <w:rFonts w:ascii="Times New Roman" w:hAnsi="Times New Roman"/>
          <w:color w:val="0070C0"/>
          <w:sz w:val="16"/>
          <w:szCs w:val="16"/>
        </w:rPr>
        <w:softHyphen/>
        <w:t>ющимся шасси. Вслед за ним взлетел истребитель И-14 (АНТ-31) и тоже с аналогичным шасси.</w:t>
      </w:r>
    </w:p>
    <w:p w14:paraId="13867C15"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Сразу после появления машины на аэродроме острословы прозвали его «Митричем».</w:t>
      </w:r>
    </w:p>
    <w:p w14:paraId="2952DED0"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Вопреки ожиданиям, МИ-3 стал преподносить сюрпризы. То на него обрушивались вибрации оперения (типа бафтинг), то он плохо слушался рулей, то его валило на крыло. По мнению летчиков, а его облетали также К.К. Попов и Б.Л. Бухгольц, самолет требовал доработок.</w:t>
      </w:r>
    </w:p>
    <w:p w14:paraId="6B3A9957"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Прежде всего на нем увеличили с 52,1 до 59,18 площадь крыла и установили посадоч</w:t>
      </w:r>
      <w:r w:rsidRPr="00142305">
        <w:rPr>
          <w:rFonts w:ascii="Times New Roman" w:hAnsi="Times New Roman"/>
          <w:color w:val="0070C0"/>
          <w:sz w:val="16"/>
          <w:szCs w:val="16"/>
        </w:rPr>
        <w:softHyphen/>
        <w:t>ные щитки. Затем переделали оперение. Зализы крыла и полотняная обтяжка дюралевого гофра снизили коэффициент лобового сопротивления, но вибрации не устранили. А ведь к услугам Туполева были не только квалифицированные специалисты ЦАГИ, но и мощ</w:t>
      </w:r>
      <w:r w:rsidRPr="00142305">
        <w:rPr>
          <w:rFonts w:ascii="Times New Roman" w:hAnsi="Times New Roman"/>
          <w:color w:val="0070C0"/>
          <w:sz w:val="16"/>
          <w:szCs w:val="16"/>
        </w:rPr>
        <w:softHyphen/>
        <w:t>ная экспериментальная база, включая аэродинамические трубы. Не всегда и не каждый кон</w:t>
      </w:r>
      <w:r w:rsidRPr="00142305">
        <w:rPr>
          <w:rFonts w:ascii="Times New Roman" w:hAnsi="Times New Roman"/>
          <w:color w:val="0070C0"/>
          <w:sz w:val="16"/>
          <w:szCs w:val="16"/>
        </w:rPr>
        <w:softHyphen/>
        <w:t>структор в те годы мог позволить себе такое (24991).</w:t>
      </w:r>
    </w:p>
    <w:p w14:paraId="42199F42" w14:textId="77777777" w:rsidR="00CE5282" w:rsidRPr="00142305" w:rsidRDefault="00CE5282" w:rsidP="00CE5282">
      <w:pPr>
        <w:spacing w:after="0" w:line="240" w:lineRule="auto"/>
        <w:jc w:val="both"/>
        <w:rPr>
          <w:rFonts w:ascii="Times New Roman" w:hAnsi="Times New Roman"/>
          <w:color w:val="0070C0"/>
          <w:sz w:val="16"/>
          <w:szCs w:val="16"/>
        </w:rPr>
      </w:pPr>
    </w:p>
    <w:p w14:paraId="0242F02F"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Николай Поликарпов сделал наброски истребителя монопланной схемы, которому предстояло со временем именоваться И-16. Через некоторое время он возглавил конструкторскую бригаду № 2 Центрального конструкторского бюро (ЦКБ). Именно здесь велось рабочее проектирование самолета, полу</w:t>
      </w:r>
      <w:r w:rsidRPr="00E93F40">
        <w:rPr>
          <w:rFonts w:ascii="Times New Roman" w:hAnsi="Times New Roman"/>
          <w:color w:val="000000" w:themeColor="text1"/>
          <w:sz w:val="16"/>
          <w:szCs w:val="16"/>
        </w:rPr>
        <w:softHyphen/>
        <w:t>чившего рабочее наименование</w:t>
      </w:r>
      <w:r w:rsidRPr="00E93F40">
        <w:rPr>
          <w:rStyle w:val="aff7"/>
          <w:rFonts w:ascii="Times New Roman" w:hAnsi="Times New Roman" w:cs="Times New Roman"/>
          <w:b w:val="0"/>
          <w:color w:val="000000" w:themeColor="text1"/>
          <w:spacing w:val="0"/>
          <w:sz w:val="16"/>
          <w:szCs w:val="16"/>
        </w:rPr>
        <w:t xml:space="preserve"> ЦКБ-12.</w:t>
      </w:r>
      <w:r w:rsidRPr="00E93F40">
        <w:rPr>
          <w:rFonts w:ascii="Times New Roman" w:hAnsi="Times New Roman"/>
          <w:color w:val="000000" w:themeColor="text1"/>
          <w:sz w:val="16"/>
          <w:szCs w:val="16"/>
        </w:rPr>
        <w:t xml:space="preserve"> Это был моноплан с коротким веретенообразным фюзеляжем, закрытым фонарем кабины и убираемым шасси. Самолет имел смешанную кон</w:t>
      </w:r>
      <w:r w:rsidRPr="00E93F40">
        <w:rPr>
          <w:rFonts w:ascii="Times New Roman" w:hAnsi="Times New Roman"/>
          <w:color w:val="000000" w:themeColor="text1"/>
          <w:sz w:val="16"/>
          <w:szCs w:val="16"/>
        </w:rPr>
        <w:softHyphen/>
        <w:t>струкцию: цельнодеревянный фюзеляж, металлические крыло и оперение с полотняной обшивкой (19109).</w:t>
      </w:r>
    </w:p>
    <w:p w14:paraId="5D04E6AE" w14:textId="77777777" w:rsidR="004F6794" w:rsidRPr="00E93F40" w:rsidRDefault="004F6794" w:rsidP="00E93F40">
      <w:pPr>
        <w:spacing w:after="0" w:line="240" w:lineRule="auto"/>
        <w:jc w:val="both"/>
        <w:rPr>
          <w:rFonts w:ascii="Times New Roman" w:hAnsi="Times New Roman"/>
          <w:color w:val="000000" w:themeColor="text1"/>
          <w:sz w:val="16"/>
          <w:szCs w:val="16"/>
        </w:rPr>
      </w:pPr>
    </w:p>
    <w:p w14:paraId="4B3F5534" w14:textId="77777777" w:rsidR="00056EFC" w:rsidRPr="00142305" w:rsidRDefault="00056EFC" w:rsidP="00056EF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мае 1932 г. Н.Н.П. выполнил первые расчеты и предварительные эски</w:t>
      </w:r>
      <w:r w:rsidRPr="00142305">
        <w:rPr>
          <w:rStyle w:val="aff"/>
          <w:rFonts w:ascii="Times New Roman" w:hAnsi="Times New Roman" w:cs="Times New Roman"/>
          <w:color w:val="0070C0"/>
          <w:spacing w:val="0"/>
          <w:sz w:val="16"/>
          <w:szCs w:val="16"/>
        </w:rPr>
        <w:softHyphen/>
        <w:t>зы внешнего облика истребителя монопланной схемы, которому предстояло со временем именоваться И-16. Причин для появления этого инициативного проек</w:t>
      </w:r>
      <w:r w:rsidRPr="00142305">
        <w:rPr>
          <w:rStyle w:val="aff"/>
          <w:rFonts w:ascii="Times New Roman" w:hAnsi="Times New Roman" w:cs="Times New Roman"/>
          <w:color w:val="0070C0"/>
          <w:spacing w:val="0"/>
          <w:sz w:val="16"/>
          <w:szCs w:val="16"/>
        </w:rPr>
        <w:softHyphen/>
        <w:t>та имелось предостаточно. По</w:t>
      </w:r>
      <w:r w:rsidRPr="00142305">
        <w:rPr>
          <w:rStyle w:val="aff"/>
          <w:rFonts w:ascii="Times New Roman" w:hAnsi="Times New Roman" w:cs="Times New Roman"/>
          <w:color w:val="0070C0"/>
          <w:spacing w:val="0"/>
          <w:sz w:val="16"/>
          <w:szCs w:val="16"/>
        </w:rPr>
        <w:softHyphen/>
        <w:t>ликарпов первым из советских конструкто</w:t>
      </w:r>
      <w:r w:rsidRPr="00142305">
        <w:rPr>
          <w:rStyle w:val="aff"/>
          <w:rFonts w:ascii="Times New Roman" w:hAnsi="Times New Roman" w:cs="Times New Roman"/>
          <w:color w:val="0070C0"/>
          <w:spacing w:val="0"/>
          <w:sz w:val="16"/>
          <w:szCs w:val="16"/>
        </w:rPr>
        <w:softHyphen/>
        <w:t>ров осуществил на практике в 1923 г. про</w:t>
      </w:r>
      <w:r w:rsidRPr="00142305">
        <w:rPr>
          <w:rStyle w:val="aff"/>
          <w:rFonts w:ascii="Times New Roman" w:hAnsi="Times New Roman" w:cs="Times New Roman"/>
          <w:color w:val="0070C0"/>
          <w:spacing w:val="0"/>
          <w:sz w:val="16"/>
          <w:szCs w:val="16"/>
        </w:rPr>
        <w:softHyphen/>
        <w:t>ектирование истребителя ИЛ-400, выполненного по схеме свободнонесущего моноплана. Этот самолет, получивший по</w:t>
      </w:r>
      <w:r w:rsidRPr="00142305">
        <w:rPr>
          <w:rStyle w:val="aff"/>
          <w:rFonts w:ascii="Times New Roman" w:hAnsi="Times New Roman" w:cs="Times New Roman"/>
          <w:color w:val="0070C0"/>
          <w:spacing w:val="0"/>
          <w:sz w:val="16"/>
          <w:szCs w:val="16"/>
        </w:rPr>
        <w:softHyphen/>
        <w:t>зднее обозначение И-1, по причине от</w:t>
      </w:r>
      <w:r w:rsidRPr="00142305">
        <w:rPr>
          <w:rStyle w:val="aff"/>
          <w:rFonts w:ascii="Times New Roman" w:hAnsi="Times New Roman" w:cs="Times New Roman"/>
          <w:color w:val="0070C0"/>
          <w:spacing w:val="0"/>
          <w:sz w:val="16"/>
          <w:szCs w:val="16"/>
        </w:rPr>
        <w:softHyphen/>
        <w:t>дельных недостатков не нашел должного понимания в ВВС Красной Армии и массово не тиражировался. Поликарпов все после</w:t>
      </w:r>
      <w:r w:rsidRPr="00142305">
        <w:rPr>
          <w:rStyle w:val="aff"/>
          <w:rFonts w:ascii="Times New Roman" w:hAnsi="Times New Roman" w:cs="Times New Roman"/>
          <w:color w:val="0070C0"/>
          <w:spacing w:val="0"/>
          <w:sz w:val="16"/>
          <w:szCs w:val="16"/>
        </w:rPr>
        <w:softHyphen/>
        <w:t>дующие годы совершенствовал истребите</w:t>
      </w:r>
      <w:r w:rsidRPr="00142305">
        <w:rPr>
          <w:rStyle w:val="aff"/>
          <w:rFonts w:ascii="Times New Roman" w:hAnsi="Times New Roman" w:cs="Times New Roman"/>
          <w:color w:val="0070C0"/>
          <w:spacing w:val="0"/>
          <w:sz w:val="16"/>
          <w:szCs w:val="16"/>
        </w:rPr>
        <w:softHyphen/>
        <w:t>ли-полуторапланы, создав в результате один из лучших таких аппаратов - И-15. Однако и монопланы вовсе не исчезли с его чертежной доски и расчетных листков. Вплоть до 1928 г. прорисовывались и про</w:t>
      </w:r>
      <w:r w:rsidRPr="00142305">
        <w:rPr>
          <w:rStyle w:val="aff"/>
          <w:rFonts w:ascii="Times New Roman" w:hAnsi="Times New Roman" w:cs="Times New Roman"/>
          <w:color w:val="0070C0"/>
          <w:spacing w:val="0"/>
          <w:sz w:val="16"/>
          <w:szCs w:val="16"/>
        </w:rPr>
        <w:softHyphen/>
        <w:t>считывались возможные варианты разви</w:t>
      </w:r>
      <w:r w:rsidRPr="00142305">
        <w:rPr>
          <w:rStyle w:val="aff"/>
          <w:rFonts w:ascii="Times New Roman" w:hAnsi="Times New Roman" w:cs="Times New Roman"/>
          <w:color w:val="0070C0"/>
          <w:spacing w:val="0"/>
          <w:sz w:val="16"/>
          <w:szCs w:val="16"/>
        </w:rPr>
        <w:softHyphen/>
        <w:t>тия И-1. В одном из поздних набросков это был изящный низкоплан, демонстрирую</w:t>
      </w:r>
      <w:r w:rsidRPr="00142305">
        <w:rPr>
          <w:rStyle w:val="aff"/>
          <w:rFonts w:ascii="Times New Roman" w:hAnsi="Times New Roman" w:cs="Times New Roman"/>
          <w:color w:val="0070C0"/>
          <w:spacing w:val="0"/>
          <w:sz w:val="16"/>
          <w:szCs w:val="16"/>
        </w:rPr>
        <w:softHyphen/>
        <w:t>щий своими стремительными формами со</w:t>
      </w:r>
      <w:r w:rsidRPr="00142305">
        <w:rPr>
          <w:rStyle w:val="aff"/>
          <w:rFonts w:ascii="Times New Roman" w:hAnsi="Times New Roman" w:cs="Times New Roman"/>
          <w:color w:val="0070C0"/>
          <w:spacing w:val="0"/>
          <w:sz w:val="16"/>
          <w:szCs w:val="16"/>
        </w:rPr>
        <w:softHyphen/>
        <w:t>вершенство выбранной схемы (25415).</w:t>
      </w:r>
    </w:p>
    <w:p w14:paraId="57B48009" w14:textId="77777777" w:rsidR="00056EFC" w:rsidRPr="00142305" w:rsidRDefault="00056EFC" w:rsidP="00056EFC">
      <w:pPr>
        <w:spacing w:after="0" w:line="240" w:lineRule="auto"/>
        <w:jc w:val="both"/>
        <w:rPr>
          <w:rFonts w:ascii="Times New Roman" w:hAnsi="Times New Roman"/>
          <w:color w:val="0070C0"/>
          <w:sz w:val="16"/>
          <w:szCs w:val="16"/>
        </w:rPr>
      </w:pPr>
    </w:p>
    <w:p w14:paraId="201296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происходят очередные перемены. Бригада № 3 укрупняется, ее руководителем назначают П.О.Сухого. Поликарпова определяют к нему одним из заместителей. В этот период возобновляется проектирование И-13, начатое в августе 1931 и остановленное в ноябре 1931 и активизируется работа по истребителю монопланной схемы И-14. По плану эти самолеты предполагалось выпустить к середине 1933 г. И-13 планировался под двигатель жидкостного охлаждения М-32 конструкции В.М. Яковлева, И-14 - под звездообразный мотор воздушного охлаждения М-38, разрабатываемый Ф.В, Концевичем. Основные усилия бригады №3 были направлены на создание истребителя-моноплана И-14. В этом самолете реализовались основные идеи и технологии, используемые в ЦАГИ: цельнометаллическая конструкция с гофрированной обшивкой.</w:t>
      </w:r>
    </w:p>
    <w:p w14:paraId="04239B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касается предложений Поликарпова, настаивающего на использовании смешанной конструкции, то они не находят понимания у руководства. Несмотря на это, конструктор продолжает реализацию своих замыслов и перерабатывает И-13 под двигатель воздушного охлаждения. Новый проект, обозначенный конструктором И-14а, весьма напоминает полутораплан И-5, выполненный</w:t>
      </w:r>
      <w:r w:rsidR="00543FD5"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 xml:space="preserve"> однако</w:t>
      </w:r>
      <w:r w:rsidR="00543FD5"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 xml:space="preserve"> в более компактном и совершенном виде. Новшеством является закрытый фонарь кабины (таки не реализованный на практике) и убираемое шасси в одном из возможных вариантов. Новой стала и центральная часть верхнего крыла, выполненная в виде «чайки».</w:t>
      </w:r>
    </w:p>
    <w:p w14:paraId="65009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Вводя схему «чайки», Поликарпов хотел, наряду с улучшением аэродинамики, обеспечить истребителю наилучшую маневренность, особенно на глубоком вираже.</w:t>
      </w:r>
    </w:p>
    <w:p w14:paraId="63EE7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рассмотрении вариантов перспективных истребителей, проект И-14а заинтересовал руководство ЦКБ и его реализацию решили продолжать (6593).</w:t>
      </w:r>
    </w:p>
    <w:p w14:paraId="4D8516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C15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была выполнена переделка Р-5 для перевозки пяти пассажиров (10667).</w:t>
      </w:r>
    </w:p>
    <w:p w14:paraId="65A99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38F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были произведены испытания самолетов Р-5 с разрезными крыльями. При испытании был обнаружен ряд серьезных дефектов, потребовавших переделку конструкции (3045,462).</w:t>
      </w:r>
    </w:p>
    <w:p w14:paraId="649F0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290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улучшенный вариант К-5М-15 прошел гос. испытания и был утвержден к производству (70,168).</w:t>
      </w:r>
    </w:p>
    <w:p w14:paraId="75BC90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FB42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на ХАЗ испытывался улучшенный вариант К-5. Самолет был утвержден в эксплуатацию, по этому образцу строилась серия 1932 года.</w:t>
      </w:r>
    </w:p>
    <w:p w14:paraId="0B28D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ГРОСС (гл. конструктор Калинин) вел работы по созданию эталона (для серии 1933 года) (7738, 12-10).</w:t>
      </w:r>
    </w:p>
    <w:p w14:paraId="395DD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ED2A75" w14:textId="77777777" w:rsidR="000326C2" w:rsidRPr="00E93F40" w:rsidRDefault="000326C2"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 мае 1932 в Таганроге на заводе № 31 был собран первый АНТ-9. Задел по АНТ-9 был перевезен в Таганрог с завода №22 в подмосковных Филях. Это был первый цельноме</w:t>
      </w:r>
      <w:r w:rsidRPr="00E93F40">
        <w:rPr>
          <w:rFonts w:ascii="Times New Roman" w:hAnsi="Times New Roman"/>
          <w:color w:val="000000" w:themeColor="text1"/>
          <w:sz w:val="16"/>
          <w:szCs w:val="16"/>
          <w:lang w:eastAsia="ru-RU" w:bidi="ru-RU"/>
        </w:rPr>
        <w:softHyphen/>
        <w:t>таллический самолет, который строили в Таганроге. Пла</w:t>
      </w:r>
      <w:r w:rsidRPr="00E93F40">
        <w:rPr>
          <w:rFonts w:ascii="Times New Roman" w:hAnsi="Times New Roman"/>
          <w:color w:val="000000" w:themeColor="text1"/>
          <w:sz w:val="16"/>
          <w:szCs w:val="16"/>
          <w:lang w:eastAsia="ru-RU" w:bidi="ru-RU"/>
        </w:rPr>
        <w:softHyphen/>
        <w:t>нировалось выпустить в 1932 г. 15 машин. Правда, руководство завода №31 вполне самокритично отмечало, что «хотя первый самолет и собран, но он собирался из наиболее законченных аг</w:t>
      </w:r>
      <w:r w:rsidRPr="00E93F40">
        <w:rPr>
          <w:rFonts w:ascii="Times New Roman" w:hAnsi="Times New Roman"/>
          <w:color w:val="000000" w:themeColor="text1"/>
          <w:sz w:val="16"/>
          <w:szCs w:val="16"/>
          <w:lang w:eastAsia="ru-RU" w:bidi="ru-RU"/>
        </w:rPr>
        <w:softHyphen/>
        <w:t>регатов, а потому освоенным надо считать только процесс окончательной сборки». Сначала предполагалось, что вся серия самолетов АНТ-9 завода №31 будет строиться для ВВС (20325).</w:t>
      </w:r>
    </w:p>
    <w:p w14:paraId="7082AB62" w14:textId="77777777" w:rsidR="000326C2" w:rsidRPr="00E93F40" w:rsidRDefault="000326C2" w:rsidP="00E93F40">
      <w:pPr>
        <w:spacing w:after="0" w:line="240" w:lineRule="auto"/>
        <w:jc w:val="both"/>
        <w:rPr>
          <w:rFonts w:ascii="Times New Roman" w:hAnsi="Times New Roman"/>
          <w:color w:val="000000" w:themeColor="text1"/>
          <w:sz w:val="16"/>
          <w:szCs w:val="16"/>
          <w:lang w:eastAsia="ru-RU" w:bidi="ru-RU"/>
        </w:rPr>
      </w:pPr>
    </w:p>
    <w:p w14:paraId="7D56C6FE"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года руководство ГУ ГВФ, которое не знало, что делать с опытным АНТ-14 после завершения испытаний, вместе с экипажем зачислили в список самолетов Всесоюзного объединения воздушных сообщений "Трансавиа".</w:t>
      </w:r>
    </w:p>
    <w:p w14:paraId="051CF8A3"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Спустя менее чем два месяца АНТ-14 перевели во вновь организованный летный отряд коллегии Главного управления ГВФ. В марте 1933-го организовали эскадрилью "Максим Горький", и этим же именем назвали ее флагман – самолет АНТ-14. Менее, чем через два месяца редакциям газет и журналов предоставили право присвоить свои названия самолетам. Тогда же АНТ-14 переименовали в "Правду" – флагман советской прессы (25604).</w:t>
      </w:r>
    </w:p>
    <w:p w14:paraId="437B2A28" w14:textId="77777777" w:rsidR="00CE5282" w:rsidRPr="00142305" w:rsidRDefault="00CE5282" w:rsidP="00CE5282">
      <w:pPr>
        <w:spacing w:after="0" w:line="240" w:lineRule="auto"/>
        <w:jc w:val="both"/>
        <w:rPr>
          <w:rFonts w:ascii="Times New Roman" w:hAnsi="Times New Roman"/>
          <w:color w:val="0070C0"/>
          <w:sz w:val="16"/>
          <w:szCs w:val="16"/>
        </w:rPr>
      </w:pPr>
    </w:p>
    <w:p w14:paraId="18610B6C" w14:textId="77777777" w:rsidR="000326C2" w:rsidRPr="00E93F40" w:rsidRDefault="000326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Осоавиахим Украины объявил конкурс на скоростной 6-местный самолет. Проектирование, которое шло в инициативном порядке, возглавил заместитель Калинина И.Г. Неман. Бригады студентов Харьковского авиаинститута под руководством Л. Арсона и А. Еременко предложили свои варианты решения, и первый проект, названный ХАИ-1, пошел в постройку на заводе №135. Для харьковского завода это был первый самолет нового поколения — свободнонесущий моноплан с совершенными формами, закрытой кабиной и убирающимися шасси (22829).</w:t>
      </w:r>
    </w:p>
    <w:p w14:paraId="5DFFF74A" w14:textId="77777777" w:rsidR="000326C2" w:rsidRPr="00E93F40" w:rsidRDefault="000326C2" w:rsidP="00E93F40">
      <w:pPr>
        <w:spacing w:after="0" w:line="240" w:lineRule="auto"/>
        <w:jc w:val="both"/>
        <w:rPr>
          <w:rFonts w:ascii="Times New Roman" w:hAnsi="Times New Roman"/>
          <w:color w:val="000000" w:themeColor="text1"/>
          <w:sz w:val="16"/>
          <w:szCs w:val="16"/>
        </w:rPr>
      </w:pPr>
    </w:p>
    <w:p w14:paraId="60D1F3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появился АИР-6 и вскоре были проведены испытания. Запустили в серию и в 1934-36 сделали 468 (92,447) на 47, а потом на 23 (1076,825).</w:t>
      </w:r>
    </w:p>
    <w:p w14:paraId="7177E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DFA0E5" w14:textId="77777777" w:rsidR="00C22673" w:rsidRPr="00E93F40" w:rsidRDefault="00C226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мае 1932 г. проходил испытание новый пассажирский самолет АИР-б конструкции А.С.Яковлсва. АИР-6 - подкосный высокоплан с мотором М-11 100 л.с. Самолет предназначался для местной связи, имел три пассажирских места, выпускался в санитарном варианте, ставился на поплавки, имел широкое прииенсние, участвовал в больших перелетах.</w:t>
      </w:r>
    </w:p>
    <w:p w14:paraId="2B2C69C1" w14:textId="77777777" w:rsidR="00C22673" w:rsidRPr="00E93F40" w:rsidRDefault="00C226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/ТВФ, 1932, № 10; «Самолет», 1933, № 5/ (23370).</w:t>
      </w:r>
    </w:p>
    <w:p w14:paraId="61E1CEA1" w14:textId="77777777" w:rsidR="00C22673" w:rsidRPr="00E93F40" w:rsidRDefault="00C22673" w:rsidP="00E93F40">
      <w:pPr>
        <w:spacing w:after="0" w:line="240" w:lineRule="auto"/>
        <w:jc w:val="both"/>
        <w:rPr>
          <w:rFonts w:ascii="Times New Roman" w:hAnsi="Times New Roman"/>
          <w:color w:val="000000" w:themeColor="text1"/>
          <w:sz w:val="16"/>
          <w:szCs w:val="16"/>
        </w:rPr>
      </w:pPr>
    </w:p>
    <w:p w14:paraId="1F86ACCB" w14:textId="77777777" w:rsidR="004F6794" w:rsidRPr="00E93F40" w:rsidRDefault="004F6794"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В мае 1932 г. на заводе № 39 был завершен Опытный образец АИР-6 с мотором М-11В. Первый полет на нем совершил Ю.И. Пионтковский. До конца лета самолет много летал, однако какие-либо материалы о результатах этих полетов не обнаружены. Дело в том, что в это время АИР-6 фактически оставался «ничьим». Его никто официально не принимал и не сдавал (19099).</w:t>
      </w:r>
    </w:p>
    <w:p w14:paraId="0C9F9F92" w14:textId="77777777" w:rsidR="004F6794" w:rsidRPr="00E93F40" w:rsidRDefault="004F6794" w:rsidP="00E93F40">
      <w:pPr>
        <w:pStyle w:val="a8"/>
        <w:jc w:val="both"/>
        <w:rPr>
          <w:rFonts w:ascii="Times New Roman" w:hAnsi="Times New Roman" w:cs="Times New Roman"/>
          <w:color w:val="000000" w:themeColor="text1"/>
        </w:rPr>
      </w:pPr>
    </w:p>
    <w:p w14:paraId="62B963E0"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1932-го АИР-6, который строился на заводе № 39, был готов, на его создание ушло четыре месяца - результат использования наработок по АИР-5. Как вспоминает Е.Г.Адлер, в августе 1932-го, когда он перешел к Яковлеву из ликвидированного бюро внедрения ЦКБ, АИР-6 вовсю летал, и конструкторы ходили на аэродром делать зарисовки с "живого самолета" для изготовления рабочих чертежей. Это были контрольные и демонстрационные полеты еще до официальных летных испытаний.</w:t>
      </w:r>
    </w:p>
    <w:p w14:paraId="7D397F48" w14:textId="77777777" w:rsidR="00C23498" w:rsidRPr="00E93F40" w:rsidRDefault="00C234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самолет имел амортизационные стойки шасси от поликарповского У-2, вертикальное и горизонтальное оперение - от истребителя И-5. В нормальную нагрузку, кроме пилота и пассажира, входили до 100 кг топлива и 12,5 кг масла. Максимальная же нагрузка доходила до 382,2 кг. Масса пустого самолета 582,8 кг, полетная нормальная - до 853,3 кг, максимальная - 965,0 кг. На приборной доске имелись альтиметр, счетчик оборотов двигателя, указатель скорости ("Саф"), термометр для масла, манометр для бензина и указатель поворота. В целом самолет соответствовал требованиям, за исключением отсутствия тормозов, сокращавших пробег до 30 м и разрезного крыла, снижавшего скорость посадки до 50 км/ч (15727).</w:t>
      </w:r>
    </w:p>
    <w:p w14:paraId="21D4F77A" w14:textId="77777777" w:rsidR="00C23498" w:rsidRPr="00E93F40" w:rsidRDefault="00C23498" w:rsidP="00E93F40">
      <w:pPr>
        <w:spacing w:after="0" w:line="240" w:lineRule="auto"/>
        <w:jc w:val="both"/>
        <w:rPr>
          <w:rFonts w:ascii="Times New Roman" w:hAnsi="Times New Roman"/>
          <w:color w:val="000000" w:themeColor="text1"/>
          <w:sz w:val="16"/>
          <w:szCs w:val="16"/>
        </w:rPr>
      </w:pPr>
    </w:p>
    <w:p w14:paraId="362CF8D8"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 на заводе № 39 и был завершен опытный образец АИР-6 с мотором М-11 В. Первый полет на нем совершил Ю.И. Пионтковский. До конца лета самолет много летал, однако какие-либо материалы о результатах этих полетов не обнаружены. Дело в том, что в это время АИР-6 фактически оставался «ничьим». Его никто официально не при</w:t>
      </w:r>
      <w:r w:rsidRPr="00142305">
        <w:rPr>
          <w:rFonts w:ascii="Times New Roman" w:hAnsi="Times New Roman"/>
          <w:color w:val="0070C0"/>
          <w:sz w:val="16"/>
          <w:szCs w:val="16"/>
        </w:rPr>
        <w:softHyphen/>
        <w:t>нимал и не сдавал (34945).</w:t>
      </w:r>
    </w:p>
    <w:p w14:paraId="765345D1" w14:textId="77777777" w:rsidR="00CE5282" w:rsidRPr="00142305" w:rsidRDefault="00CE5282" w:rsidP="00CE5282">
      <w:pPr>
        <w:spacing w:after="0" w:line="240" w:lineRule="auto"/>
        <w:jc w:val="both"/>
        <w:rPr>
          <w:rFonts w:ascii="Times New Roman" w:hAnsi="Times New Roman"/>
          <w:color w:val="0070C0"/>
          <w:sz w:val="16"/>
          <w:szCs w:val="16"/>
        </w:rPr>
      </w:pPr>
    </w:p>
    <w:p w14:paraId="0226C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“Известия” писали: “...Мы можем с гордостью отметить большие успехи, достигнутые нами в самый последний период. У нас уже есть два типа “исполкомовского самолета”, испытания которых дали блестящие результаты. Мы имеем в виду Сталь-2 и АИР-5, обладающие каждый своими достоинствами и преимуществами.” (3971,5).</w:t>
      </w:r>
    </w:p>
    <w:p w14:paraId="240B6D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64D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ЦКБ ВАО, которое подчинили ЦАГИ и переименовали в ЦКБ ЦАГИ, стало уже Сектором опытного строительства ЦАГИ. Бериев попал в Конструкторский отдел сектора опытного самолётостроения (КОСОС) под прямое начало Туполева.</w:t>
      </w:r>
    </w:p>
    <w:p w14:paraId="699465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Естественно, что позиция Туполева, обладавшего немалым влиянием, делала шансы МБР-2 попасть в серию весьма невысокими. Но тут в судьбу самолёта, да и его конструктора снова вмешался Харламов, ставший к этому времени начальником ЦАГИ. Он предложил Бериеву разработать пассажирский вариант МБР-2, поскольку полагал, что если эта машина заинтересует ГВФ, её гораздо легче удастся запустить в серию. Не теряя времени, Харламов вызвал к себе Туполева и дал указание о проработке пассажирского варианта МБР-2. Андрей Николаевич воспринял это распоряжение спокойно, только сказал Бериеву: "Я тебе выделю на эту работу конструкторов, машина твоя, так ты ею сам и занимайся".</w:t>
      </w:r>
    </w:p>
    <w:p w14:paraId="7CF4B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Бериев в первую очередь принялся за полную переработку чертежей и эскизов, по которым строился опытный образец. Документация была в неупорядоченном состоянии и не годилась для серийного производства. Пассажирский вариант гидросамолёта имел минимальные отличия от морского разведчика. Основные доработки касались внутренней компоновки лодки, где в бывшей кабине стрелка-радиста установили сиденья для пассажиров, а вместо турели сделали входной люк. Планировалось, что пассажирский вариант будет серийно строиться на заводе № 31 в Таганроге или заводе № 45 в Севастополе (12003).</w:t>
      </w:r>
    </w:p>
    <w:p w14:paraId="5273CD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98E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КО приняла решение о производстве 3000 самолетов (9089,195).</w:t>
      </w:r>
    </w:p>
    <w:p w14:paraId="68375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871CAA"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года на С-62Б поставили настоящий комплект аппаратуры волнового управления и ис</w:t>
      </w:r>
      <w:r w:rsidRPr="00142305">
        <w:rPr>
          <w:rFonts w:ascii="Times New Roman" w:hAnsi="Times New Roman"/>
          <w:color w:val="0070C0"/>
          <w:sz w:val="16"/>
          <w:szCs w:val="16"/>
        </w:rPr>
        <w:softHyphen/>
        <w:t>пытали его на Балтике. По результатам испытаний «савойю» решили сделать основным типом самолета «волнового управления». В июле УВВС подготовило план на 1932 - 1933 гг. по созданию на всех флотах отрядов по 10 - 15 машин для радиоуправления торпедными кате</w:t>
      </w:r>
      <w:r w:rsidRPr="00142305">
        <w:rPr>
          <w:rFonts w:ascii="Times New Roman" w:hAnsi="Times New Roman"/>
          <w:color w:val="0070C0"/>
          <w:sz w:val="16"/>
          <w:szCs w:val="16"/>
        </w:rPr>
        <w:softHyphen/>
        <w:t>рами. В 1932 г. намеревались принять 16 самолетов «волнового управления», в 1933 г. - от 24 до 30. Реальные мас</w:t>
      </w:r>
      <w:r w:rsidRPr="00142305">
        <w:rPr>
          <w:rFonts w:ascii="Times New Roman" w:hAnsi="Times New Roman"/>
          <w:color w:val="0070C0"/>
          <w:sz w:val="16"/>
          <w:szCs w:val="16"/>
        </w:rPr>
        <w:softHyphen/>
        <w:t>штабы оказались существенно меньше. Всего специальной аппаратурой оборудо</w:t>
      </w:r>
      <w:r w:rsidRPr="00142305">
        <w:rPr>
          <w:rFonts w:ascii="Times New Roman" w:hAnsi="Times New Roman"/>
          <w:color w:val="0070C0"/>
          <w:sz w:val="16"/>
          <w:szCs w:val="16"/>
        </w:rPr>
        <w:softHyphen/>
        <w:t>вали до 15 С-62Б и МБР-4. Эти машины именовались С-62ВУ (или С-62БВУ) и МБР-4ВУ (24948).</w:t>
      </w:r>
    </w:p>
    <w:p w14:paraId="3263702A" w14:textId="77777777" w:rsidR="00CE5282" w:rsidRPr="00142305" w:rsidRDefault="00CE5282" w:rsidP="00CE5282">
      <w:pPr>
        <w:spacing w:after="0" w:line="240" w:lineRule="auto"/>
        <w:jc w:val="both"/>
        <w:rPr>
          <w:rFonts w:ascii="Times New Roman" w:hAnsi="Times New Roman"/>
          <w:color w:val="0070C0"/>
          <w:sz w:val="16"/>
          <w:szCs w:val="16"/>
        </w:rPr>
      </w:pPr>
    </w:p>
    <w:p w14:paraId="561C04BD" w14:textId="77777777" w:rsidR="00CE5282" w:rsidRPr="00142305" w:rsidRDefault="00CE5282" w:rsidP="00CE5282">
      <w:pPr>
        <w:shd w:val="clear" w:color="auto" w:fill="FFFFFF"/>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 первый экземпляр С-62КЭ, ОЕ-68. передали Северо-Восточной экспедиции Еще две машины из первой пятерки забрал трест «Востокзолото». Они потом эксплуатировались на трас</w:t>
      </w:r>
      <w:r w:rsidRPr="00142305">
        <w:rPr>
          <w:rFonts w:ascii="Times New Roman" w:hAnsi="Times New Roman"/>
          <w:color w:val="0070C0"/>
          <w:sz w:val="16"/>
          <w:szCs w:val="16"/>
        </w:rPr>
        <w:softHyphen/>
        <w:t xml:space="preserve">сах Якутск - Рухлево, Иркутск - Бодайбо. Иркутск - прииск Незаметный. Первую из этих лодок. ОЕ-71, списали после аварии в Киренске 27 октября 1932 г. Вторая в 1933 </w:t>
      </w:r>
      <w:bookmarkStart w:id="30" w:name="bookmark78"/>
      <w:bookmarkEnd w:id="30"/>
      <w:r w:rsidRPr="00142305">
        <w:rPr>
          <w:rFonts w:ascii="Times New Roman" w:hAnsi="Times New Roman"/>
          <w:color w:val="0070C0"/>
          <w:sz w:val="16"/>
          <w:szCs w:val="16"/>
        </w:rPr>
        <w:t xml:space="preserve">г. столкнулась на Лене с «Валем» Управления полярной авиации, но была отремонтирована. Наконец, 15 августа 1933 </w:t>
      </w:r>
      <w:bookmarkStart w:id="31" w:name="bookmark79"/>
      <w:bookmarkEnd w:id="31"/>
      <w:r w:rsidRPr="00142305">
        <w:rPr>
          <w:rFonts w:ascii="Times New Roman" w:hAnsi="Times New Roman"/>
          <w:color w:val="0070C0"/>
          <w:sz w:val="16"/>
          <w:szCs w:val="16"/>
        </w:rPr>
        <w:t>г этот самолет, ОЕ-67. разбили окон</w:t>
      </w:r>
      <w:r w:rsidRPr="00142305">
        <w:rPr>
          <w:rFonts w:ascii="Times New Roman" w:hAnsi="Times New Roman"/>
          <w:color w:val="0070C0"/>
          <w:sz w:val="16"/>
          <w:szCs w:val="16"/>
        </w:rPr>
        <w:softHyphen/>
        <w:t>чательно.</w:t>
      </w:r>
    </w:p>
    <w:p w14:paraId="0BEEB81B"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Гражданский воздушный флот также хотел закупить партию МБР-4. Но для того чтобы использовать их как грузовые и почтовые, требовалось внести в конс</w:t>
      </w:r>
      <w:r w:rsidRPr="00142305">
        <w:rPr>
          <w:rFonts w:ascii="Times New Roman" w:hAnsi="Times New Roman"/>
          <w:color w:val="0070C0"/>
          <w:sz w:val="16"/>
          <w:szCs w:val="16"/>
        </w:rPr>
        <w:softHyphen/>
        <w:t>трукцию некоторые изменения. Их сфор</w:t>
      </w:r>
      <w:r w:rsidRPr="00142305">
        <w:rPr>
          <w:rFonts w:ascii="Times New Roman" w:hAnsi="Times New Roman"/>
          <w:color w:val="0070C0"/>
          <w:sz w:val="16"/>
          <w:szCs w:val="16"/>
        </w:rPr>
        <w:softHyphen/>
        <w:t>мулировали в технических требованиях ГВФ Завод вполне справедливо хотел получить за доработку машин деньги, оформив создание новой модификации договором, но руководство ГУ ГВФ не соглашалось. Так и препирались, пока МБР-4 не сняли с производства (24948).</w:t>
      </w:r>
    </w:p>
    <w:p w14:paraId="6019976F" w14:textId="77777777" w:rsidR="00CE5282" w:rsidRPr="00142305" w:rsidRDefault="00CE5282" w:rsidP="00CE5282">
      <w:pPr>
        <w:spacing w:after="0" w:line="240" w:lineRule="auto"/>
        <w:jc w:val="both"/>
        <w:rPr>
          <w:rFonts w:ascii="Times New Roman" w:hAnsi="Times New Roman"/>
          <w:color w:val="0070C0"/>
          <w:sz w:val="16"/>
          <w:szCs w:val="16"/>
        </w:rPr>
      </w:pPr>
    </w:p>
    <w:p w14:paraId="50D35CEF"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 ОЕ-68 из числа С-62КЭ, которые признали непригодными для использования в строевых частях, передали Северо-восточной экспедиции. Летом она уже работала в Арктике. Ещё две машины первой пятерки (ОЕ-67 и ОЕ-71) забрал трест «Востокзолото». Они потом эксплуатировались на трассах Якутск – Рухлево, Иркутск – Бодайбо, Иркутск – прииск Незаметный. Две оставшиеся лодки, ОЕ-70 и ОЕ-73, в июле перегнали в Севастополь для использования в учебных целях. Впоследствии они оказались в Ейской школе лётчиков (25184).</w:t>
      </w:r>
    </w:p>
    <w:p w14:paraId="57A10DF8" w14:textId="77777777" w:rsidR="00CE5282" w:rsidRPr="00142305" w:rsidRDefault="00CE5282" w:rsidP="00CE5282">
      <w:pPr>
        <w:spacing w:after="0" w:line="240" w:lineRule="auto"/>
        <w:jc w:val="both"/>
        <w:rPr>
          <w:rFonts w:ascii="Times New Roman" w:hAnsi="Times New Roman"/>
          <w:color w:val="0070C0"/>
          <w:sz w:val="16"/>
          <w:szCs w:val="16"/>
        </w:rPr>
      </w:pPr>
    </w:p>
    <w:p w14:paraId="6AA99BBD"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 в 4-м отделе НИИ ВВС в Севастополе повторили эксперимент по прак</w:t>
      </w:r>
      <w:r w:rsidRPr="00142305">
        <w:rPr>
          <w:rFonts w:ascii="Times New Roman" w:hAnsi="Times New Roman"/>
          <w:color w:val="0070C0"/>
          <w:sz w:val="16"/>
          <w:szCs w:val="16"/>
        </w:rPr>
        <w:softHyphen/>
        <w:t>тическому отстрелу вооружения С-62Б в воздухе. Теперь монтировалась пушка Эрликон S. С прицелом «Ле Приер» и боезапасом она весила 138,9 кг. За семь полётов сделали 51 выстрел. На этот раз пользовались боевыми снарядами – бронебойными, осколочными, зажигательными, картечью. Деформации отмечено не было, но пользоваться пушкой оказалось очень неудобно. Для перезарядки ствол нужно было задирать до отказа вверх – иначе стрелок не мог дотянуться до магазина. Время поворота пушечной установки на тот же угол оказалось в 4–5 раз больше, чем у спарки ДА-2. Чтобы стрелять ниже горизонта, летнабу приходилось вставать на сиденье ногами. Сама пушка часто отказывала после первого же выстрела.</w:t>
      </w:r>
    </w:p>
    <w:p w14:paraId="07C891FB"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на всех пушечных «савойях» смонтировали пулемётные турели, присланные как запасные, и эксплуатировали уже с ними (25184).</w:t>
      </w:r>
    </w:p>
    <w:p w14:paraId="34950860" w14:textId="77777777" w:rsidR="00CE5282" w:rsidRPr="00142305" w:rsidRDefault="00CE5282" w:rsidP="00CE5282">
      <w:pPr>
        <w:spacing w:after="0" w:line="240" w:lineRule="auto"/>
        <w:jc w:val="both"/>
        <w:rPr>
          <w:rFonts w:ascii="Times New Roman" w:hAnsi="Times New Roman"/>
          <w:color w:val="0070C0"/>
          <w:sz w:val="16"/>
          <w:szCs w:val="16"/>
        </w:rPr>
      </w:pPr>
    </w:p>
    <w:p w14:paraId="2B7638A3"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мая 1932 г. все АНТ-9 из Московского управления стали передавать на опыт</w:t>
      </w:r>
      <w:r w:rsidRPr="00142305">
        <w:rPr>
          <w:rFonts w:ascii="Times New Roman" w:hAnsi="Times New Roman"/>
          <w:color w:val="0070C0"/>
          <w:sz w:val="16"/>
          <w:szCs w:val="16"/>
        </w:rPr>
        <w:softHyphen/>
        <w:t>ный завод НИИ ГВФ для установки М-17. Туда же вскоре пос</w:t>
      </w:r>
      <w:r w:rsidRPr="00142305">
        <w:rPr>
          <w:rFonts w:ascii="Times New Roman" w:hAnsi="Times New Roman"/>
          <w:color w:val="0070C0"/>
          <w:sz w:val="16"/>
          <w:szCs w:val="16"/>
        </w:rPr>
        <w:softHyphen/>
        <w:t>тупили 18 машин, законсервированных на Центральном аэродроме, а затем еще десять прямо с завода № 22.</w:t>
      </w:r>
    </w:p>
    <w:p w14:paraId="7167A0B3"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согласно пятилетнему плану, ГВФ полагались 28 АНТ-9, но фактически не получили ни одного; производство их прекратили.</w:t>
      </w:r>
    </w:p>
    <w:p w14:paraId="2F8CEAEA"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вернулись к ситуации, некогда предложенной в письме Алксниса Ксандрову - гражданская авиация должна сама строить для себя самолеты. После годичных дискуссий пришли к решению, что предприятия ГВФ достроят машины, не законченные заводом № 31. Граждан</w:t>
      </w:r>
      <w:r w:rsidRPr="00142305">
        <w:rPr>
          <w:rFonts w:ascii="Times New Roman" w:hAnsi="Times New Roman"/>
          <w:color w:val="0070C0"/>
          <w:sz w:val="16"/>
          <w:szCs w:val="16"/>
        </w:rPr>
        <w:softHyphen/>
        <w:t>ской авиации передали задел на 32 само</w:t>
      </w:r>
      <w:r w:rsidRPr="00142305">
        <w:rPr>
          <w:rFonts w:ascii="Times New Roman" w:hAnsi="Times New Roman"/>
          <w:color w:val="0070C0"/>
          <w:sz w:val="16"/>
          <w:szCs w:val="16"/>
        </w:rPr>
        <w:softHyphen/>
        <w:t>лета. находившихся в Таганроге.</w:t>
      </w:r>
    </w:p>
    <w:p w14:paraId="4C1CDE76" w14:textId="179E884C"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у ГУ ГВФ имелась сеть небольших заводов, не только чинивших, но и выпускавших самолеты, моторы и запасные части к ним. Планировали, что в 1934 г. восемь АНТ-9 в двухмоторном варианте завершат на заводе № 84 в Хим</w:t>
      </w:r>
      <w:r w:rsidRPr="00142305">
        <w:rPr>
          <w:rFonts w:ascii="Times New Roman" w:hAnsi="Times New Roman"/>
          <w:color w:val="0070C0"/>
          <w:sz w:val="16"/>
          <w:szCs w:val="16"/>
        </w:rPr>
        <w:softHyphen/>
        <w:t>ках и 24 - на опытном заводе. Последний успел наполовину собрать одну машину, когда получил новое задание - переде</w:t>
      </w:r>
      <w:r w:rsidRPr="00142305">
        <w:rPr>
          <w:rFonts w:ascii="Times New Roman" w:hAnsi="Times New Roman"/>
          <w:color w:val="0070C0"/>
          <w:sz w:val="16"/>
          <w:szCs w:val="16"/>
        </w:rPr>
        <w:softHyphen/>
        <w:t>лывать пассажирские самолеты К-5 под двигатели М-17</w:t>
      </w:r>
      <w:r w:rsidR="00DD74E1">
        <w:rPr>
          <w:rFonts w:ascii="Times New Roman" w:hAnsi="Times New Roman"/>
          <w:color w:val="0070C0"/>
          <w:sz w:val="16"/>
          <w:szCs w:val="16"/>
        </w:rPr>
        <w:t xml:space="preserve"> </w:t>
      </w:r>
      <w:r w:rsidRPr="00142305">
        <w:rPr>
          <w:rFonts w:ascii="Times New Roman" w:hAnsi="Times New Roman"/>
          <w:color w:val="0070C0"/>
          <w:sz w:val="16"/>
          <w:szCs w:val="16"/>
        </w:rPr>
        <w:t>(24949).</w:t>
      </w:r>
    </w:p>
    <w:p w14:paraId="0A8F2B57" w14:textId="77777777" w:rsidR="00CE5282" w:rsidRPr="00142305" w:rsidRDefault="00CE5282" w:rsidP="00CE5282">
      <w:pPr>
        <w:spacing w:after="0" w:line="240" w:lineRule="auto"/>
        <w:jc w:val="both"/>
        <w:rPr>
          <w:rFonts w:ascii="Times New Roman" w:hAnsi="Times New Roman"/>
          <w:color w:val="0070C0"/>
          <w:sz w:val="16"/>
          <w:szCs w:val="16"/>
        </w:rPr>
      </w:pPr>
    </w:p>
    <w:p w14:paraId="2E842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окончилась постройка автожира ЭА-2, которая началась в феврале 1931 (1017,276).</w:t>
      </w:r>
    </w:p>
    <w:p w14:paraId="1DE141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ACC04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чертежи для серии автожира А-4 (перепроектированного 2-АЭ) были переданы на Киевский завод № 43. Одновременно были переданы чертежи на завод ЦАГИ для постройки опытного образца. 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 (3849,13).</w:t>
      </w:r>
    </w:p>
    <w:p w14:paraId="2F584C7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2CD2E7C" w14:textId="77777777"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мае 1932 года представители Главного управления авиационной промышленности (ГУАП) инспектировали самолетостроительные стройки в Воронеже. По итогам анализа сложившегося положения дел начальник ГУАП П. И. Баранов 3 июня 1932 года издал приказ № 14/294, в котором, в частности, сказано, что выполнение производственного плана по заводу № 16 за первый квартал 1932 года составило 43%, а от годовой программы только 8,1%[25].</w:t>
      </w:r>
    </w:p>
    <w:p w14:paraId="047D19F3" w14:textId="77777777"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Проверяющие зафиксировали прогиб деревянных гвоздевых балок левого и правого крыла корпуса, протекание крыш, плохое качество остекления световых фонарей, установки оконных переплетов, дверей и множество других недостатков.</w:t>
      </w:r>
    </w:p>
    <w:p w14:paraId="4E593D05" w14:textId="77777777"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причинами слабого выполнения производственной программы названы неудовлетворительная организация труда на стройках, слабое внедрение социалистических форм труда и хозрасчета, низкая трудовая дисциплина, большое число прогулов, текучесть кадров, неудовлетворительные бытовые условия рабочих и инженерно-технического персонала, чему начальники работ и директора заводов уделяют недостаточно внимания[26].</w:t>
      </w:r>
    </w:p>
    <w:p w14:paraId="5086B611" w14:textId="77777777"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окончания работ на отдельных объектах были установлены очень жесткие. Окрик из Москвы возымел действие, о чем можно судить по дальнейшим событиям (24153).</w:t>
      </w:r>
    </w:p>
    <w:p w14:paraId="5B038E6E" w14:textId="77777777" w:rsidR="00C74BE3" w:rsidRPr="00E93F40" w:rsidRDefault="00C74BE3" w:rsidP="00E93F40">
      <w:pPr>
        <w:spacing w:after="0" w:line="240" w:lineRule="auto"/>
        <w:jc w:val="both"/>
        <w:rPr>
          <w:rFonts w:ascii="Times New Roman" w:hAnsi="Times New Roman"/>
          <w:color w:val="000000" w:themeColor="text1"/>
          <w:sz w:val="16"/>
          <w:szCs w:val="16"/>
        </w:rPr>
      </w:pPr>
    </w:p>
    <w:p w14:paraId="697941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мая 1932 года мотор М-34: Мощность 750 л.с., Вес 600 кг, Госиспытания прошел в ноябре 1931 года, ЦИАМ и завод № 24 - был внедрен в серийное производство на заводе № 24 (3530,70-86).</w:t>
      </w:r>
    </w:p>
    <w:p w14:paraId="6BDF0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0383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началось проектирование дизеля Н-1, хотя задание ЦИАМ получил еще в ноябре 1930 (2310,130).</w:t>
      </w:r>
    </w:p>
    <w:p w14:paraId="0CC7B5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8090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после серии экспериментов на установках ОН-1 и ОН-2 была начата проработка общей компоновки АН-1 (Н-1). В сентябре ее представили техническому совещанию ЦИАМ. Первый опытный образец изготовили летом 1933 г. в мастерских ЦИАМ. Разрабатывался в отделе нефтяных двигателей НАМ (ЦИАМ) под руко</w:t>
      </w:r>
      <w:r w:rsidRPr="00E93F40">
        <w:rPr>
          <w:rFonts w:ascii="Times New Roman" w:hAnsi="Times New Roman"/>
          <w:color w:val="000000" w:themeColor="text1"/>
          <w:sz w:val="16"/>
          <w:szCs w:val="16"/>
        </w:rPr>
        <w:softHyphen/>
        <w:t>водством А.Д. Чаромского с 1931 г. по заданию Н-1. Общая компоновка и силовая схема двигателя были аналогичны М-34. Газораспределение — че-тырехклапанное. Он проходил стендовые испытания в 1933-1934 гг. Были отмечены неу</w:t>
      </w:r>
      <w:r w:rsidRPr="00E93F40">
        <w:rPr>
          <w:rFonts w:ascii="Times New Roman" w:hAnsi="Times New Roman"/>
          <w:color w:val="000000" w:themeColor="text1"/>
          <w:sz w:val="16"/>
          <w:szCs w:val="16"/>
        </w:rPr>
        <w:softHyphen/>
        <w:t>стойчивая работа на малом газе, плохой запуск при низких температурах. 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E93F40">
        <w:rPr>
          <w:rFonts w:ascii="Times New Roman" w:hAnsi="Times New Roman"/>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3321E5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36782A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12-цилиндровый, рядный У-образный дизель, четырехтактный, водя</w:t>
      </w:r>
      <w:r w:rsidRPr="00E93F40">
        <w:rPr>
          <w:rFonts w:ascii="Times New Roman" w:hAnsi="Times New Roman"/>
          <w:color w:val="000000" w:themeColor="text1"/>
          <w:sz w:val="16"/>
          <w:szCs w:val="16"/>
        </w:rPr>
        <w:softHyphen/>
        <w:t>ного охлаждения;</w:t>
      </w:r>
    </w:p>
    <w:p w14:paraId="3B0087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61,04 л;</w:t>
      </w:r>
    </w:p>
    <w:p w14:paraId="1E59C1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745AE9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13,5;</w:t>
      </w:r>
    </w:p>
    <w:p w14:paraId="5EC30E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7C0C5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 первый опытный вариант, изготовлен летом 1933 г. Первона</w:t>
      </w:r>
      <w:r w:rsidRPr="00E93F40">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E93F40">
        <w:rPr>
          <w:rFonts w:ascii="Times New Roman" w:hAnsi="Times New Roman"/>
          <w:color w:val="000000" w:themeColor="text1"/>
          <w:sz w:val="16"/>
          <w:szCs w:val="16"/>
        </w:rPr>
        <w:softHyphen/>
        <w:t>лось начать 1 ноября 1933 г. В действительности АН-1 проходил ис-| пытания и доводку в 1933-1934 гг. М</w:t>
      </w:r>
      <w:r w:rsidR="003C38D0" w:rsidRPr="00E93F40">
        <w:rPr>
          <w:rFonts w:ascii="Times New Roman" w:hAnsi="Times New Roman"/>
          <w:color w:val="000000" w:themeColor="text1"/>
          <w:sz w:val="16"/>
          <w:szCs w:val="16"/>
        </w:rPr>
        <w:t>ощность 750/800 л.с. (фактиче</w:t>
      </w:r>
      <w:r w:rsidRPr="00E93F40">
        <w:rPr>
          <w:rFonts w:ascii="Times New Roman" w:hAnsi="Times New Roman"/>
          <w:color w:val="000000" w:themeColor="text1"/>
          <w:sz w:val="16"/>
          <w:szCs w:val="16"/>
        </w:rPr>
        <w:t>ски на испытаниях добились 814 л.с.). Вес по заданию 950 кг, позднее поднятый до 975 кг, фактически 1003 кг, после доводки и внесения</w:t>
      </w:r>
    </w:p>
    <w:p w14:paraId="7FA9CF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ряда местных усилений 1021 кг. В октябре — ноябре двигатель про</w:t>
      </w:r>
      <w:r w:rsidRPr="00E93F40">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E93F40">
        <w:rPr>
          <w:rFonts w:ascii="Times New Roman" w:hAnsi="Times New Roman"/>
          <w:color w:val="000000" w:themeColor="text1"/>
          <w:sz w:val="16"/>
          <w:szCs w:val="16"/>
        </w:rPr>
        <w:softHyphen/>
        <w:t>струкциям по удельному весу и имел большую лобовую площадь.</w:t>
      </w:r>
    </w:p>
    <w:p w14:paraId="309A9D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E93F40">
        <w:rPr>
          <w:rFonts w:ascii="Times New Roman" w:hAnsi="Times New Roman"/>
          <w:color w:val="000000" w:themeColor="text1"/>
          <w:sz w:val="16"/>
          <w:szCs w:val="16"/>
        </w:rPr>
        <w:softHyphen/>
        <w:t>ность 850/900 л.с., вес 1040 кг. Первый раз выставлялся на госиспы</w:t>
      </w:r>
      <w:r w:rsidRPr="00E93F40">
        <w:rPr>
          <w:rFonts w:ascii="Times New Roman" w:hAnsi="Times New Roman"/>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E93F40">
        <w:rPr>
          <w:rFonts w:ascii="Times New Roman" w:hAnsi="Times New Roman"/>
          <w:color w:val="000000" w:themeColor="text1"/>
          <w:sz w:val="16"/>
          <w:szCs w:val="16"/>
        </w:rPr>
        <w:softHyphen/>
        <w:t>тания закончились катастрофой).</w:t>
      </w:r>
    </w:p>
    <w:p w14:paraId="369A03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4D79E6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АН-1РТК, усовершенствованный вариант с турбонаддувом. Проекти</w:t>
      </w:r>
      <w:r w:rsidRPr="00E93F40">
        <w:rPr>
          <w:rFonts w:ascii="Times New Roman" w:hAnsi="Times New Roman"/>
          <w:color w:val="000000" w:themeColor="text1"/>
          <w:sz w:val="16"/>
          <w:szCs w:val="16"/>
        </w:rPr>
        <w:softHyphen/>
        <w:t>ровался с 1936 г. под руководством Чаромского, затем В.М. Яковле</w:t>
      </w:r>
      <w:r w:rsidRPr="00E93F40">
        <w:rPr>
          <w:rFonts w:ascii="Times New Roman" w:hAnsi="Times New Roman"/>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E93F40">
        <w:rPr>
          <w:rFonts w:ascii="Times New Roman" w:hAnsi="Times New Roman"/>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E93F40">
        <w:rPr>
          <w:rFonts w:ascii="Times New Roman" w:hAnsi="Times New Roman"/>
          <w:color w:val="000000" w:themeColor="text1"/>
          <w:sz w:val="16"/>
          <w:szCs w:val="16"/>
        </w:rPr>
        <w:softHyphen/>
        <w:t>сорами, с Э-88 и с комбинированной — два турбонагнетателя плюс ПЦН. Лучшим признали вариант с Э-88.</w:t>
      </w:r>
    </w:p>
    <w:p w14:paraId="58989C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E93F40">
        <w:rPr>
          <w:rFonts w:ascii="Times New Roman" w:hAnsi="Times New Roman"/>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71AED8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АН-1М, катерный вариант АН-1А с реверс-муфтой, без наддува и с агре</w:t>
      </w:r>
      <w:r w:rsidRPr="00E93F40">
        <w:rPr>
          <w:rFonts w:ascii="Times New Roman" w:hAnsi="Times New Roman"/>
          <w:color w:val="000000" w:themeColor="text1"/>
          <w:sz w:val="16"/>
          <w:szCs w:val="16"/>
        </w:rPr>
        <w:softHyphen/>
        <w:t>гатами от ГАМ-34. Мощность 850/950 л.с., вес 1350 кг. Создавался в кон</w:t>
      </w:r>
      <w:r w:rsidRPr="00E93F40">
        <w:rPr>
          <w:rFonts w:ascii="Times New Roman" w:hAnsi="Times New Roman"/>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E93F40">
        <w:rPr>
          <w:rFonts w:ascii="Times New Roman" w:hAnsi="Times New Roman"/>
          <w:color w:val="000000" w:themeColor="text1"/>
          <w:sz w:val="16"/>
          <w:szCs w:val="16"/>
        </w:rPr>
        <w:softHyphen/>
        <w:t>ния катерного М-50Р, строившегося серийно. Многие элементы конструк</w:t>
      </w:r>
      <w:r w:rsidRPr="00E93F40">
        <w:rPr>
          <w:rFonts w:ascii="Times New Roman" w:hAnsi="Times New Roman"/>
          <w:color w:val="000000" w:themeColor="text1"/>
          <w:sz w:val="16"/>
          <w:szCs w:val="16"/>
        </w:rPr>
        <w:softHyphen/>
        <w:t>ции АН-1 заимствовали в массовом танковом дизеле В-2.</w:t>
      </w:r>
    </w:p>
    <w:p w14:paraId="5BC12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АН-1 проходил летные испытания на самолетах РДД и ТБ-ЗД (11852).</w:t>
      </w:r>
    </w:p>
    <w:p w14:paraId="1B628C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B93C34" w14:textId="1D25D27F" w:rsidR="003C38D0" w:rsidRPr="00E93F40" w:rsidRDefault="003C38D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мае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г. на совещании в ЦАГИ известный металловед И.И. Сидорин заявил: «Дюраль — основной материал алюминиевого самолётостроения — является с технологической точки зрения идеальным материалом. Его механическая характеристика такова, что позволяет создать хорошие самолёты, причём эти самолёты строятся очень просто…Но в последнее время ввиду того, что алюминий получается из-за границы, у нас возникло сомнение — имеем ли мы право делать самолёты из алюминия, потому что всё базируется на импорте» </w:t>
      </w:r>
      <w:hyperlink r:id="rId117" w:history="1">
        <w:r w:rsidRPr="00E93F40">
          <w:rPr>
            <w:rFonts w:ascii="Times New Roman" w:eastAsia="Times New Roman" w:hAnsi="Times New Roman"/>
            <w:color w:val="000000" w:themeColor="text1"/>
            <w:sz w:val="16"/>
            <w:szCs w:val="16"/>
            <w:lang w:eastAsia="ru-RU"/>
          </w:rPr>
          <w:t>[131]</w:t>
        </w:r>
      </w:hyperlink>
      <w:r w:rsidRPr="00E93F40">
        <w:rPr>
          <w:rFonts w:ascii="Times New Roman" w:eastAsia="Times New Roman" w:hAnsi="Times New Roman"/>
          <w:color w:val="000000" w:themeColor="text1"/>
          <w:sz w:val="16"/>
          <w:szCs w:val="16"/>
          <w:lang w:eastAsia="ru-RU"/>
        </w:rPr>
        <w:t xml:space="preserve"> . Сидорина поддержал М.Н. Тухачевский, выступив с предложением о переводе строительства самолётов с дюралюминия на высокосортные стали (17489).</w:t>
      </w:r>
    </w:p>
    <w:p w14:paraId="13475037" w14:textId="77777777" w:rsidR="003C38D0" w:rsidRPr="00E93F40" w:rsidRDefault="003C38D0" w:rsidP="00E93F40">
      <w:pPr>
        <w:spacing w:after="0" w:line="240" w:lineRule="auto"/>
        <w:jc w:val="both"/>
        <w:rPr>
          <w:rFonts w:ascii="Times New Roman" w:eastAsia="Times New Roman" w:hAnsi="Times New Roman"/>
          <w:color w:val="000000" w:themeColor="text1"/>
          <w:sz w:val="16"/>
          <w:szCs w:val="16"/>
          <w:lang w:eastAsia="ru-RU"/>
        </w:rPr>
      </w:pPr>
    </w:p>
    <w:p w14:paraId="31DCF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на базу "Дирижаблестроя" в Долгопрудный приехал Умберто Нобиле с группой конструкторов и рабочих. Были построены полужесткие В-5 и В-6 (61,69).</w:t>
      </w:r>
    </w:p>
    <w:p w14:paraId="064B9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658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Умберто Нобиле прибыл в Долгопрудный вместе с группой конструкторов и рабочих (10731).</w:t>
      </w:r>
    </w:p>
    <w:p w14:paraId="5C357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F1F7E3"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мае 1932 г. Нобиле прибыл в СССР с командой опыт</w:t>
      </w:r>
      <w:r w:rsidRPr="00142305">
        <w:rPr>
          <w:rStyle w:val="aff"/>
          <w:rFonts w:ascii="Times New Roman" w:hAnsi="Times New Roman" w:cs="Times New Roman"/>
          <w:color w:val="0070C0"/>
          <w:spacing w:val="0"/>
          <w:sz w:val="16"/>
          <w:szCs w:val="16"/>
        </w:rPr>
        <w:softHyphen/>
        <w:t>ных инженеров, техников и квалифицированных рабочих. Уже через 14 месяцев с Долгопрудненской верфи сошёл первый советский опытный дирижабль В-5 объёмом 2340 кубометров. С конца апреля 1933 г. его с тали использовать для обучения пилотов и наземного персонала. А на его месте заложили второй, более мощный воздушный корабль В-6 «Осоавиахим» объёмом 18506 кубометров. Впоследствии на базе «Дирижаблестроя» возникли новые отечественные предприятия: Долгопрудненское конструкторское бюро автоматики, Центральная аэрологическая обсерватория и Химический завод тонкого органического синтеза. Генерал У. Нобиле пунктуально выполнил условия контракта и вернулся домой (25653).</w:t>
      </w:r>
    </w:p>
    <w:p w14:paraId="32BF98B5" w14:textId="77777777" w:rsidR="00CE5282" w:rsidRPr="00142305" w:rsidRDefault="00CE5282" w:rsidP="00CE5282">
      <w:pPr>
        <w:spacing w:after="0" w:line="240" w:lineRule="auto"/>
        <w:jc w:val="both"/>
        <w:rPr>
          <w:rFonts w:ascii="Times New Roman" w:hAnsi="Times New Roman"/>
          <w:color w:val="0070C0"/>
          <w:sz w:val="16"/>
          <w:szCs w:val="16"/>
        </w:rPr>
      </w:pPr>
    </w:p>
    <w:p w14:paraId="2B2CB6A1" w14:textId="77777777" w:rsidR="001C6A0B" w:rsidRPr="00E93F40" w:rsidRDefault="001C6A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в «Дирижаблестрое» была со</w:t>
      </w:r>
      <w:r w:rsidRPr="00E93F40">
        <w:rPr>
          <w:rFonts w:ascii="Times New Roman" w:hAnsi="Times New Roman"/>
          <w:color w:val="000000" w:themeColor="text1"/>
          <w:sz w:val="16"/>
          <w:szCs w:val="16"/>
        </w:rPr>
        <w:softHyphen/>
        <w:t>здана группа цельнометаллического дирижабля в составе М.М. Сакаллы, Р.А. Ададурова, Раби</w:t>
      </w:r>
      <w:r w:rsidRPr="00E93F40">
        <w:rPr>
          <w:rFonts w:ascii="Times New Roman" w:hAnsi="Times New Roman"/>
          <w:color w:val="000000" w:themeColor="text1"/>
          <w:sz w:val="16"/>
          <w:szCs w:val="16"/>
        </w:rPr>
        <w:softHyphen/>
        <w:t>нович и Я.А. Раппопорта, которой было предло</w:t>
      </w:r>
      <w:r w:rsidRPr="00E93F40">
        <w:rPr>
          <w:rFonts w:ascii="Times New Roman" w:hAnsi="Times New Roman"/>
          <w:color w:val="000000" w:themeColor="text1"/>
          <w:sz w:val="16"/>
          <w:szCs w:val="16"/>
        </w:rPr>
        <w:softHyphen/>
        <w:t>жено разработать к 1 сентября 1933 г. эскизный проект дирижабля системы К.Э. Циолковского объёмом 8000 м3. Через месяц группу цельноме</w:t>
      </w:r>
      <w:r w:rsidRPr="00E93F40">
        <w:rPr>
          <w:rFonts w:ascii="Times New Roman" w:hAnsi="Times New Roman"/>
          <w:color w:val="000000" w:themeColor="text1"/>
          <w:sz w:val="16"/>
          <w:szCs w:val="16"/>
        </w:rPr>
        <w:softHyphen/>
        <w:t>таллического дирижабля реорганизовали в сек</w:t>
      </w:r>
      <w:r w:rsidRPr="00E93F40">
        <w:rPr>
          <w:rFonts w:ascii="Times New Roman" w:hAnsi="Times New Roman"/>
          <w:color w:val="000000" w:themeColor="text1"/>
          <w:sz w:val="16"/>
          <w:szCs w:val="16"/>
        </w:rPr>
        <w:softHyphen/>
        <w:t>цию из двух групп — каркасного (с неизменяе</w:t>
      </w:r>
      <w:r w:rsidRPr="00E93F40">
        <w:rPr>
          <w:rFonts w:ascii="Times New Roman" w:hAnsi="Times New Roman"/>
          <w:color w:val="000000" w:themeColor="text1"/>
          <w:sz w:val="16"/>
          <w:szCs w:val="16"/>
        </w:rPr>
        <w:softHyphen/>
        <w:t xml:space="preserve">мой оболочкой) под руководством М.М. Сакал-лы и бескаркасного (с оболочкой переменного объёма) дирижаблей (20120). </w:t>
      </w:r>
    </w:p>
    <w:p w14:paraId="6D67055E" w14:textId="77777777" w:rsidR="001C6A0B" w:rsidRPr="00E93F40" w:rsidRDefault="001C6A0B" w:rsidP="00E93F40">
      <w:pPr>
        <w:spacing w:after="0" w:line="240" w:lineRule="auto"/>
        <w:jc w:val="both"/>
        <w:rPr>
          <w:rFonts w:ascii="Times New Roman" w:hAnsi="Times New Roman"/>
          <w:color w:val="000000" w:themeColor="text1"/>
          <w:sz w:val="16"/>
          <w:szCs w:val="16"/>
        </w:rPr>
      </w:pPr>
    </w:p>
    <w:p w14:paraId="1445E99A" w14:textId="77777777" w:rsidR="002077FF" w:rsidRPr="00E93F40" w:rsidRDefault="002077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после 14 полётов, оболочка «СССР В-1» стала настолько газопроницаемой, что её заменили на новую, более прочную, из трёхслойной материи. Новая оболочка, установ</w:t>
      </w:r>
      <w:r w:rsidRPr="00E93F40">
        <w:rPr>
          <w:rFonts w:ascii="Times New Roman" w:hAnsi="Times New Roman"/>
          <w:color w:val="000000" w:themeColor="text1"/>
          <w:sz w:val="16"/>
          <w:szCs w:val="16"/>
        </w:rPr>
        <w:softHyphen/>
        <w:t>ка электрических стартёров и некоторые другие переделки привели к значительному утяжелению корабля, весовая отдача которого снизилась до 0,38. Дирижабль получил положительный угол дифферента, устранить который удалось сдви</w:t>
      </w:r>
      <w:r w:rsidRPr="00E93F40">
        <w:rPr>
          <w:rFonts w:ascii="Times New Roman" w:hAnsi="Times New Roman"/>
          <w:color w:val="000000" w:themeColor="text1"/>
          <w:sz w:val="16"/>
          <w:szCs w:val="16"/>
        </w:rPr>
        <w:softHyphen/>
        <w:t>гом хвостового оперения на 0,5 м к носу. Это не ухудшило устойчивость и управляемость «СССР В-1».</w:t>
      </w:r>
    </w:p>
    <w:p w14:paraId="591F8705" w14:textId="77777777" w:rsidR="002077FF" w:rsidRPr="00E93F40" w:rsidRDefault="002077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Командиром корабля назначили В.Г. Гараканидзе. В экипаж вошли первый помощник И.В. Паньков, второй помощник И.Д. Ободзин</w:t>
      </w:r>
      <w:r w:rsidRPr="00E93F40">
        <w:rPr>
          <w:rFonts w:ascii="Times New Roman" w:hAnsi="Times New Roman"/>
          <w:color w:val="000000" w:themeColor="text1"/>
          <w:sz w:val="16"/>
          <w:szCs w:val="16"/>
        </w:rPr>
        <w:softHyphen/>
        <w:t>ский, бортмеханики С.Ф. Кузьмин (в августе его сменил Василевский) и Толстов, учлёты Белов, Митягина, Тупицына, Котков. В течение сентября в самостоятельные полёты выпустили И.В. Пань- кова и И.Д. Ободзинского, а также штурвалистов Белова и Митягину. Всего дирижабль выполнил 87 полётов общей продолжительностью 150 ча</w:t>
      </w:r>
      <w:r w:rsidRPr="00E93F40">
        <w:rPr>
          <w:rFonts w:ascii="Times New Roman" w:hAnsi="Times New Roman"/>
          <w:color w:val="000000" w:themeColor="text1"/>
          <w:sz w:val="16"/>
          <w:szCs w:val="16"/>
        </w:rPr>
        <w:softHyphen/>
        <w:t>сов, пройдя свыше 6000 км. Он дважды летал на Угрешский химкомбинат для освежения газа, со</w:t>
      </w:r>
      <w:r w:rsidRPr="00E93F40">
        <w:rPr>
          <w:rFonts w:ascii="Times New Roman" w:hAnsi="Times New Roman"/>
          <w:color w:val="000000" w:themeColor="text1"/>
          <w:sz w:val="16"/>
          <w:szCs w:val="16"/>
        </w:rPr>
        <w:softHyphen/>
        <w:t>вершил несколько ночных полётов с посадкой вне своих баз, а также перелёты по маршрутам Долгопрудная — Воскресенск — Дмитров — За</w:t>
      </w:r>
      <w:r w:rsidRPr="00E93F40">
        <w:rPr>
          <w:rFonts w:ascii="Times New Roman" w:hAnsi="Times New Roman"/>
          <w:color w:val="000000" w:themeColor="text1"/>
          <w:sz w:val="16"/>
          <w:szCs w:val="16"/>
        </w:rPr>
        <w:softHyphen/>
        <w:t>горск —Долгопрудная; Долгопрудная—Бронни</w:t>
      </w:r>
      <w:r w:rsidRPr="00E93F40">
        <w:rPr>
          <w:rFonts w:ascii="Times New Roman" w:hAnsi="Times New Roman"/>
          <w:color w:val="000000" w:themeColor="text1"/>
          <w:sz w:val="16"/>
          <w:szCs w:val="16"/>
        </w:rPr>
        <w:softHyphen/>
        <w:t xml:space="preserve">цы — Кунцево — Юрьев-Польский — Богородск и </w:t>
      </w:r>
      <w:r w:rsidRPr="00E93F40">
        <w:rPr>
          <w:rFonts w:ascii="Times New Roman" w:hAnsi="Times New Roman"/>
          <w:color w:val="000000" w:themeColor="text1"/>
          <w:sz w:val="16"/>
          <w:szCs w:val="16"/>
        </w:rPr>
        <w:lastRenderedPageBreak/>
        <w:t>другие. Перелёт Долгопрудная — Бронницы (77 км) при встречном ветре 18 м/с с порывами до 20 м/с «СССР В-1» выполнил за 3 ч 20 мин, причём И.Д. Ободзинскому штурвалом содрало кожу с рук, а наземная команда в пункте назна</w:t>
      </w:r>
      <w:r w:rsidRPr="00E93F40">
        <w:rPr>
          <w:rFonts w:ascii="Times New Roman" w:hAnsi="Times New Roman"/>
          <w:color w:val="000000" w:themeColor="text1"/>
          <w:sz w:val="16"/>
          <w:szCs w:val="16"/>
        </w:rPr>
        <w:softHyphen/>
        <w:t>чения перестала его ожидать, считая, что в такой ветер дирижабль вернётся на базу.</w:t>
      </w:r>
    </w:p>
    <w:p w14:paraId="298BAEFF" w14:textId="77777777" w:rsidR="002077FF" w:rsidRPr="00E93F40" w:rsidRDefault="002077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«СССР В-1» В.Г. Гараканидзе впервые в на</w:t>
      </w:r>
      <w:r w:rsidRPr="00E93F40">
        <w:rPr>
          <w:rFonts w:ascii="Times New Roman" w:hAnsi="Times New Roman"/>
          <w:color w:val="000000" w:themeColor="text1"/>
          <w:sz w:val="16"/>
          <w:szCs w:val="16"/>
        </w:rPr>
        <w:softHyphen/>
        <w:t>шей стране осуществил посадку на воду на Дол</w:t>
      </w:r>
      <w:r w:rsidRPr="00E93F40">
        <w:rPr>
          <w:rFonts w:ascii="Times New Roman" w:hAnsi="Times New Roman"/>
          <w:color w:val="000000" w:themeColor="text1"/>
          <w:sz w:val="16"/>
          <w:szCs w:val="16"/>
        </w:rPr>
        <w:softHyphen/>
        <w:t>гих прудах. После двух пробных подходов с вы</w:t>
      </w:r>
      <w:r w:rsidRPr="00E93F40">
        <w:rPr>
          <w:rFonts w:ascii="Times New Roman" w:hAnsi="Times New Roman"/>
          <w:color w:val="000000" w:themeColor="text1"/>
          <w:sz w:val="16"/>
          <w:szCs w:val="16"/>
        </w:rPr>
        <w:softHyphen/>
        <w:t>соты 75 м до 30 м с дирижабля в качестве плаву</w:t>
      </w:r>
      <w:r w:rsidRPr="00E93F40">
        <w:rPr>
          <w:rFonts w:ascii="Times New Roman" w:hAnsi="Times New Roman"/>
          <w:color w:val="000000" w:themeColor="text1"/>
          <w:sz w:val="16"/>
          <w:szCs w:val="16"/>
        </w:rPr>
        <w:softHyphen/>
        <w:t>чих якорей выпустил на поясных два ведра. Ког</w:t>
      </w:r>
      <w:r w:rsidRPr="00E93F40">
        <w:rPr>
          <w:rFonts w:ascii="Times New Roman" w:hAnsi="Times New Roman"/>
          <w:color w:val="000000" w:themeColor="text1"/>
          <w:sz w:val="16"/>
          <w:szCs w:val="16"/>
        </w:rPr>
        <w:softHyphen/>
        <w:t>да они зачерпнули воду, дирижабль подтянулся к ним и стал на посадочную подушку. В.Г. Гара</w:t>
      </w:r>
      <w:r w:rsidRPr="00E93F40">
        <w:rPr>
          <w:rFonts w:ascii="Times New Roman" w:hAnsi="Times New Roman"/>
          <w:color w:val="000000" w:themeColor="text1"/>
          <w:sz w:val="16"/>
          <w:szCs w:val="16"/>
        </w:rPr>
        <w:softHyphen/>
        <w:t>канидзе начал разработку методики посадки на воду и на снег, но вскоре его перевели команди</w:t>
      </w:r>
      <w:r w:rsidRPr="00E93F40">
        <w:rPr>
          <w:rFonts w:ascii="Times New Roman" w:hAnsi="Times New Roman"/>
          <w:color w:val="000000" w:themeColor="text1"/>
          <w:sz w:val="16"/>
          <w:szCs w:val="16"/>
        </w:rPr>
        <w:softHyphen/>
        <w:t>ром на другой дирижабль (20120).</w:t>
      </w:r>
    </w:p>
    <w:p w14:paraId="6EC540DB" w14:textId="77777777" w:rsidR="002077FF" w:rsidRPr="00E93F40" w:rsidRDefault="002077FF" w:rsidP="00E93F40">
      <w:pPr>
        <w:spacing w:after="0" w:line="240" w:lineRule="auto"/>
        <w:jc w:val="both"/>
        <w:rPr>
          <w:rFonts w:ascii="Times New Roman" w:hAnsi="Times New Roman"/>
          <w:color w:val="000000" w:themeColor="text1"/>
          <w:sz w:val="16"/>
          <w:szCs w:val="16"/>
        </w:rPr>
      </w:pPr>
    </w:p>
    <w:p w14:paraId="2055F1B2" w14:textId="77777777" w:rsidR="002077FF" w:rsidRPr="00E93F40" w:rsidRDefault="002077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К моменту выпуска первых дирижаблей был организо</w:t>
      </w:r>
      <w:r w:rsidRPr="00E93F40">
        <w:rPr>
          <w:rFonts w:ascii="Times New Roman" w:hAnsi="Times New Roman"/>
          <w:color w:val="000000" w:themeColor="text1"/>
          <w:sz w:val="16"/>
          <w:szCs w:val="16"/>
        </w:rPr>
        <w:softHyphen/>
        <w:t>ван Центральный порт дирижаблей, объединяв</w:t>
      </w:r>
      <w:r w:rsidRPr="00E93F40">
        <w:rPr>
          <w:rFonts w:ascii="Times New Roman" w:hAnsi="Times New Roman"/>
          <w:color w:val="000000" w:themeColor="text1"/>
          <w:sz w:val="16"/>
          <w:szCs w:val="16"/>
        </w:rPr>
        <w:softHyphen/>
        <w:t>ший в работе все вопросы, связанные с наземной и лётной эксплуатацией дирижаблей.</w:t>
      </w:r>
    </w:p>
    <w:p w14:paraId="1C25EEF1" w14:textId="77777777" w:rsidR="002077FF" w:rsidRPr="00E93F40" w:rsidRDefault="002077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Центральный порт реорганизова</w:t>
      </w:r>
      <w:r w:rsidRPr="00E93F40">
        <w:rPr>
          <w:rFonts w:ascii="Times New Roman" w:hAnsi="Times New Roman"/>
          <w:color w:val="000000" w:themeColor="text1"/>
          <w:sz w:val="16"/>
          <w:szCs w:val="16"/>
        </w:rPr>
        <w:softHyphen/>
        <w:t>ли в Учебно-опытную эскадру дирижаблей при сохранении объёма и содержания работ, а её ко</w:t>
      </w:r>
      <w:r w:rsidRPr="00E93F40">
        <w:rPr>
          <w:rFonts w:ascii="Times New Roman" w:hAnsi="Times New Roman"/>
          <w:color w:val="000000" w:themeColor="text1"/>
          <w:sz w:val="16"/>
          <w:szCs w:val="16"/>
        </w:rPr>
        <w:softHyphen/>
        <w:t>мандиром назначили Героя Советского Союза, участника спасения челюскинцев М.Т. Слепнёва. В октябре 1937 г. лётную и наземную службы раз</w:t>
      </w:r>
      <w:r w:rsidRPr="00E93F40">
        <w:rPr>
          <w:rFonts w:ascii="Times New Roman" w:hAnsi="Times New Roman"/>
          <w:color w:val="000000" w:themeColor="text1"/>
          <w:sz w:val="16"/>
          <w:szCs w:val="16"/>
        </w:rPr>
        <w:softHyphen/>
        <w:t>делили, после чего работы по технической экс</w:t>
      </w:r>
      <w:r w:rsidRPr="00E93F40">
        <w:rPr>
          <w:rFonts w:ascii="Times New Roman" w:hAnsi="Times New Roman"/>
          <w:color w:val="000000" w:themeColor="text1"/>
          <w:sz w:val="16"/>
          <w:szCs w:val="16"/>
        </w:rPr>
        <w:softHyphen/>
        <w:t>плуатации воздушных кораблей перешла в Мо</w:t>
      </w:r>
      <w:r w:rsidRPr="00E93F40">
        <w:rPr>
          <w:rFonts w:ascii="Times New Roman" w:hAnsi="Times New Roman"/>
          <w:color w:val="000000" w:themeColor="text1"/>
          <w:sz w:val="16"/>
          <w:szCs w:val="16"/>
        </w:rPr>
        <w:softHyphen/>
        <w:t>сковский порт дирижаблей, а в эскадре осталась только лётная эксплуатация (20120).</w:t>
      </w:r>
    </w:p>
    <w:p w14:paraId="764C4CA5" w14:textId="77777777" w:rsidR="002077FF" w:rsidRPr="00E93F40" w:rsidRDefault="002077FF" w:rsidP="00E93F40">
      <w:pPr>
        <w:spacing w:after="0" w:line="240" w:lineRule="auto"/>
        <w:jc w:val="both"/>
        <w:rPr>
          <w:rFonts w:ascii="Times New Roman" w:hAnsi="Times New Roman"/>
          <w:color w:val="000000" w:themeColor="text1"/>
          <w:sz w:val="16"/>
          <w:szCs w:val="16"/>
        </w:rPr>
      </w:pPr>
    </w:p>
    <w:p w14:paraId="2445E0E9" w14:textId="2B22E770" w:rsidR="001C6A0B" w:rsidRPr="00E93F40" w:rsidRDefault="001C6A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В мае 1932 г. в</w:t>
      </w:r>
      <w:r w:rsidR="007C1411" w:rsidRPr="00E93F40">
        <w:rPr>
          <w:rFonts w:ascii="Times New Roman" w:hAnsi="Times New Roman"/>
          <w:color w:val="000000" w:themeColor="text1"/>
          <w:sz w:val="16"/>
          <w:szCs w:val="16"/>
          <w:shd w:val="clear" w:color="auto" w:fill="FFFFFF"/>
        </w:rPr>
        <w:t xml:space="preserve"> </w:t>
      </w:r>
      <w:r w:rsidRPr="00E93F40">
        <w:rPr>
          <w:rFonts w:ascii="Times New Roman" w:hAnsi="Times New Roman"/>
          <w:color w:val="000000" w:themeColor="text1"/>
          <w:sz w:val="16"/>
          <w:szCs w:val="16"/>
          <w:shd w:val="clear" w:color="auto" w:fill="FFFFFF"/>
        </w:rPr>
        <w:t>Евпатории на 1-м парашютном сборе проводили войсковые испытания ПТ-1. Использовали 20 парашютов. Имели место два неприятных происшествия. Готовясь к прыжку с самолета Р-5, парашютист Кабанов зацепился за что-то вытяжным кольцом. Купол вывалился и стал надуваться. Кабанову удалось его смять и обратно влезть в кабину. Затем то же произошло с Фотеевым, но тот предпочел отделиться от самолета. Решение оказалось правильным, купол благополучно раскрылся (21505).</w:t>
      </w:r>
    </w:p>
    <w:p w14:paraId="27D20491" w14:textId="77777777" w:rsidR="001C6A0B" w:rsidRPr="00E93F40" w:rsidRDefault="001C6A0B" w:rsidP="00E93F40">
      <w:pPr>
        <w:spacing w:after="0" w:line="240" w:lineRule="auto"/>
        <w:jc w:val="both"/>
        <w:rPr>
          <w:rFonts w:ascii="Times New Roman" w:hAnsi="Times New Roman"/>
          <w:color w:val="000000" w:themeColor="text1"/>
          <w:sz w:val="16"/>
          <w:szCs w:val="16"/>
        </w:rPr>
      </w:pPr>
    </w:p>
    <w:p w14:paraId="0A0538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в постановлении СНК по вопросам ПВО подчеркнуто, что ПВО должна базироваться на мощном развитии ВФ, в частности истребительной авиации (505,116).</w:t>
      </w:r>
    </w:p>
    <w:p w14:paraId="055E37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82F91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D9BDDC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97C1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к сдаче был предъявлен первый из семейства транспортеров ТМ-1-14. Вскоре были готовы следующие два ТМ-1-14. Все три были объединены в батарею № 6. Командиром ее был назначен И. В. Малаховский (11454).</w:t>
      </w:r>
    </w:p>
    <w:p w14:paraId="3BED23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85F3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были начаты испытания качающейся часть 152-мм армейской пушки Б-10 для проектируемых подвижных на мехтяге береговых установок. Трехлетним (1930-1933 гг.) планом развития береговой артиллерии предполагалось изготовить 39 подвижных установок на механической тяге и сформировать из них 13 береговых батарей. Взять целиком систему Б-10 для береговой обороны было невозможно, так как угол горизонтального наведения у нее составлял всего 1,52, а поворот 15-тонной системы на гусеничном ходу силами расчета вручную был весьма долог. Это же относилось и к модификациям Б-10 сухопутным пушкам Б-30, Бр-2 и Бр-19 (3861).</w:t>
      </w:r>
    </w:p>
    <w:p w14:paraId="14E25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A226F5" w14:textId="70473739" w:rsidR="00543FD5" w:rsidRPr="00E93F40" w:rsidRDefault="00543FD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мая 1932 г. по 1936 г.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НИАПе проводились испытания пушки Б-10 с наземного станка. Пушка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вооружение не принималась, но наработки 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ней в дальнейшем были использованы в конструкции 152-мм пушек Б-30 и Бр-2. Работы по самоходной пушке СУ-БУ-10 были прекращены на ранней стадии. До изготовления серийных образцов и принятия на вооружения дело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 дошло (15132).</w:t>
      </w:r>
    </w:p>
    <w:p w14:paraId="49BD50C2" w14:textId="77777777" w:rsidR="00543FD5" w:rsidRPr="00E93F40" w:rsidRDefault="00543FD5" w:rsidP="00E93F40">
      <w:pPr>
        <w:spacing w:after="0" w:line="240" w:lineRule="auto"/>
        <w:jc w:val="both"/>
        <w:rPr>
          <w:rFonts w:ascii="Times New Roman" w:hAnsi="Times New Roman"/>
          <w:color w:val="000000" w:themeColor="text1"/>
          <w:sz w:val="16"/>
          <w:szCs w:val="16"/>
        </w:rPr>
      </w:pPr>
    </w:p>
    <w:p w14:paraId="7ECFE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были запущены в производство все рабочие чертежи 130/45-мм установки Б-13, за исключением чертежей досылателя, которые многократно менялись, что вело за собой многочисленные изменения в казеннике и затворе. Однако, еще на стадии проектирования прекратились работы по изготовлению 130-мм установок для подводных лодок и велась работа только по установкам для надводных кораблей с углом возвышения +45.</w:t>
      </w:r>
    </w:p>
    <w:p w14:paraId="09FBB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 ствол орудия состоял из кожуха, трубы и лейнера. Кожух был надет с натягом. Позже был принят ствол образца 1938 г. моноблок. Ствол по внешнему виду отличался отсутствием уступа переднего среза кожуха. Затвор поршневой двухтактный, ручного действия с обтюратором типа Банжа. Затвор открывался вправо.</w:t>
      </w:r>
    </w:p>
    <w:p w14:paraId="18F5E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Тормоз отката гидравлический веретенного типа, расположен над стволом. Накатник гидропневматический, расположен под стволом. При откате противооткатные устройства неподвижны. Все приводы установлены только ручные. Подъемный механизм имел один зубчатый сектор радиусом 915 мм, прикрепленный к люльке. Установка вращается на шаровом погоне диаметром 900 мм на 36 шарах диаметром 60 мм.</w:t>
      </w:r>
    </w:p>
    <w:p w14:paraId="2DFC5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Механизм заряжания состоял из качающегося лотка с балкой и пневматического или пружинного досылателя броскового типа. Картузный заряд закладывался вручную. Качание лотка вручную. Досылка лотка вручную. Заряжание возможно при углах возвышения от 5 до +45.</w:t>
      </w:r>
    </w:p>
    <w:p w14:paraId="4550AA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Неподвижное основание являлось опорой вращающейся части установки и служило для крепления ее к палубе корабля, оно представляло собой круглую массивную стальную отливку с фланцем и 24 отверстиями под болты.</w:t>
      </w:r>
    </w:p>
    <w:p w14:paraId="42A7FE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береговых установках неподвижное основание с помощью установочных болтов закреплялось в бетонном фундаменте или деревянном основании. Установочные болты диаметром 38 мм и длиной 1185 мм заделывались в толщу фундамента. Для этого в фундамент закладывались две опорные плиты (верхняя и нижняя) толщиной 20 мм, соединенные друг с другом 8 стяжными болтами диаметром 38 мм и длиной 1135 мм. Установочные болты пропускались через обе плиты, а сами плиты устанавливались так, чтобы концы болтов выступали над поверхностью фундамента и на них можно было надеть неподвижное основание и закрепить его гайками и контргайками (3861).</w:t>
      </w:r>
    </w:p>
    <w:p w14:paraId="41DB7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6F2B2F" w14:textId="77777777" w:rsidR="00543FD5" w:rsidRPr="00E93F40" w:rsidRDefault="00543FD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в ходе сравнительных испытаний ДОР-4 и БПК на НИАПе при больших (больше 20°) углах возвышения у ДРП-4 БМ струя выхлопных газов делала меньшую воронку, чем у БПК (15117).</w:t>
      </w:r>
    </w:p>
    <w:p w14:paraId="12D87AED" w14:textId="77777777" w:rsidR="00543FD5" w:rsidRPr="00E93F40" w:rsidRDefault="00543FD5" w:rsidP="00E93F40">
      <w:pPr>
        <w:spacing w:after="0" w:line="240" w:lineRule="auto"/>
        <w:jc w:val="both"/>
        <w:rPr>
          <w:rFonts w:ascii="Times New Roman" w:hAnsi="Times New Roman"/>
          <w:color w:val="000000" w:themeColor="text1"/>
          <w:sz w:val="16"/>
          <w:szCs w:val="16"/>
        </w:rPr>
      </w:pPr>
    </w:p>
    <w:p w14:paraId="15F08934" w14:textId="77777777" w:rsidR="00543FD5" w:rsidRPr="00E93F40" w:rsidRDefault="00543FD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на по</w:t>
      </w:r>
      <w:r w:rsidRPr="00E93F40">
        <w:rPr>
          <w:rFonts w:ascii="Times New Roman" w:hAnsi="Times New Roman"/>
          <w:color w:val="000000" w:themeColor="text1"/>
          <w:sz w:val="16"/>
          <w:szCs w:val="16"/>
        </w:rPr>
        <w:softHyphen/>
        <w:t>лигонные испытания поступили Пистолеты-пулеметы, разработанные в соответствии с новыми требованиями под 7,62-мм пистолетный патрон. Испытыва</w:t>
      </w:r>
      <w:r w:rsidRPr="00E93F40">
        <w:rPr>
          <w:rFonts w:ascii="Times New Roman" w:hAnsi="Times New Roman"/>
          <w:color w:val="000000" w:themeColor="text1"/>
          <w:sz w:val="16"/>
          <w:szCs w:val="16"/>
        </w:rPr>
        <w:softHyphen/>
        <w:t>лись образцы Ф.В. Токарева, В.А. Дегтярева, С.А. Коровина, С.А. Прилуцкого, И.Н. Колесни</w:t>
      </w:r>
      <w:r w:rsidRPr="00E93F40">
        <w:rPr>
          <w:rFonts w:ascii="Times New Roman" w:hAnsi="Times New Roman"/>
          <w:color w:val="000000" w:themeColor="text1"/>
          <w:sz w:val="16"/>
          <w:szCs w:val="16"/>
        </w:rPr>
        <w:softHyphen/>
        <w:t>кова. В заключении полигона говорилось:</w:t>
      </w:r>
      <w:r w:rsidRPr="00E93F40">
        <w:rPr>
          <w:rStyle w:val="aff5"/>
          <w:rFonts w:ascii="Times New Roman" w:eastAsia="Arial Narrow" w:hAnsi="Times New Roman" w:cs="Times New Roman"/>
          <w:i w:val="0"/>
          <w:color w:val="000000" w:themeColor="text1"/>
        </w:rPr>
        <w:t xml:space="preserve"> «Ни один из них принят быть не может»</w:t>
      </w:r>
      <w:r w:rsidRPr="00E93F40">
        <w:rPr>
          <w:rFonts w:ascii="Times New Roman" w:hAnsi="Times New Roman"/>
          <w:color w:val="000000" w:themeColor="text1"/>
          <w:sz w:val="16"/>
          <w:szCs w:val="16"/>
        </w:rPr>
        <w:t>. Но отмеча</w:t>
      </w:r>
      <w:r w:rsidRPr="00E93F40">
        <w:rPr>
          <w:rFonts w:ascii="Times New Roman" w:hAnsi="Times New Roman"/>
          <w:color w:val="000000" w:themeColor="text1"/>
          <w:sz w:val="16"/>
          <w:szCs w:val="16"/>
        </w:rPr>
        <w:softHyphen/>
        <w:t>лось, что в лучшую сторону выделялся образец Дегтярева. По ходу испытаний образцы, разу</w:t>
      </w:r>
      <w:r w:rsidRPr="00E93F40">
        <w:rPr>
          <w:rFonts w:ascii="Times New Roman" w:hAnsi="Times New Roman"/>
          <w:color w:val="000000" w:themeColor="text1"/>
          <w:sz w:val="16"/>
          <w:szCs w:val="16"/>
        </w:rPr>
        <w:softHyphen/>
        <w:t>меется, подвергались переделкам и доработ</w:t>
      </w:r>
      <w:r w:rsidRPr="00E93F40">
        <w:rPr>
          <w:rFonts w:ascii="Times New Roman" w:hAnsi="Times New Roman"/>
          <w:color w:val="000000" w:themeColor="text1"/>
          <w:sz w:val="16"/>
          <w:szCs w:val="16"/>
        </w:rPr>
        <w:softHyphen/>
        <w:t>кам. Всего в 1932-1933 гг. полигонные испы</w:t>
      </w:r>
      <w:r w:rsidRPr="00E93F40">
        <w:rPr>
          <w:rFonts w:ascii="Times New Roman" w:hAnsi="Times New Roman"/>
          <w:color w:val="000000" w:themeColor="text1"/>
          <w:sz w:val="16"/>
          <w:szCs w:val="16"/>
        </w:rPr>
        <w:softHyphen/>
        <w:t>тания проходили 14 образцов. Лучшими в ито</w:t>
      </w:r>
      <w:r w:rsidRPr="00E93F40">
        <w:rPr>
          <w:rFonts w:ascii="Times New Roman" w:hAnsi="Times New Roman"/>
          <w:color w:val="000000" w:themeColor="text1"/>
          <w:sz w:val="16"/>
          <w:szCs w:val="16"/>
        </w:rPr>
        <w:softHyphen/>
        <w:t>ге признали образцы Дегтярева и Токарева.</w:t>
      </w:r>
    </w:p>
    <w:p w14:paraId="47CC3EB8" w14:textId="77777777" w:rsidR="00543FD5" w:rsidRPr="00E93F40" w:rsidRDefault="00543FD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Пистолет-пулемет Токарева сделал 10000 выстрелов, дав 1,9% задержек, Дегтярева - 5790'выстрелов при проценте задержек 1,64. Стрельба на кучность боя проводилась оди</w:t>
      </w:r>
      <w:r w:rsidRPr="00E93F40">
        <w:rPr>
          <w:rFonts w:ascii="Times New Roman" w:hAnsi="Times New Roman"/>
          <w:color w:val="000000" w:themeColor="text1"/>
          <w:sz w:val="16"/>
          <w:szCs w:val="16"/>
        </w:rPr>
        <w:softHyphen/>
        <w:t>ночными выстрелами, короткими очередями по 2-4 выстрела и длинными по 20 выстрелов на дистанциях 100, 200, 300 и 500 м. АУ РККА в январе 1934 г. выделило образец Дегтярева как лучший по боевым и эксплуатационным ка</w:t>
      </w:r>
      <w:r w:rsidRPr="00E93F40">
        <w:rPr>
          <w:rFonts w:ascii="Times New Roman" w:hAnsi="Times New Roman"/>
          <w:color w:val="000000" w:themeColor="text1"/>
          <w:sz w:val="16"/>
          <w:szCs w:val="16"/>
        </w:rPr>
        <w:softHyphen/>
        <w:t>чествам. Среди других он выделялся меньшим темпом стрельбы (что делало оружие более управляемым), несколько большей техноло</w:t>
      </w:r>
      <w:r w:rsidRPr="00E93F40">
        <w:rPr>
          <w:rFonts w:ascii="Times New Roman" w:hAnsi="Times New Roman"/>
          <w:color w:val="000000" w:themeColor="text1"/>
          <w:sz w:val="16"/>
          <w:szCs w:val="16"/>
        </w:rPr>
        <w:softHyphen/>
        <w:t>гичностью, кучностью стрельбы, хотя послед</w:t>
      </w:r>
      <w:r w:rsidRPr="00E93F40">
        <w:rPr>
          <w:rFonts w:ascii="Times New Roman" w:hAnsi="Times New Roman"/>
          <w:color w:val="000000" w:themeColor="text1"/>
          <w:sz w:val="16"/>
          <w:szCs w:val="16"/>
        </w:rPr>
        <w:softHyphen/>
        <w:t>няя определялась, в том числе, его большей, чем у образца Токарева, массой.</w:t>
      </w:r>
    </w:p>
    <w:p w14:paraId="018F06D8" w14:textId="77777777" w:rsidR="00543FD5" w:rsidRPr="00E93F40" w:rsidRDefault="00543FD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Пистолет-пулемет Дегтярева приняли к производству и на вооружение с условием до</w:t>
      </w:r>
      <w:r w:rsidRPr="00E93F40">
        <w:rPr>
          <w:rFonts w:ascii="Times New Roman" w:hAnsi="Times New Roman"/>
          <w:color w:val="000000" w:themeColor="text1"/>
          <w:sz w:val="16"/>
          <w:szCs w:val="16"/>
        </w:rPr>
        <w:softHyphen/>
        <w:t>работки по надежности (15766).</w:t>
      </w:r>
    </w:p>
    <w:p w14:paraId="67063275" w14:textId="77777777" w:rsidR="00543FD5" w:rsidRPr="00E93F40" w:rsidRDefault="00543FD5" w:rsidP="00E93F40">
      <w:pPr>
        <w:spacing w:after="0" w:line="240" w:lineRule="auto"/>
        <w:jc w:val="both"/>
        <w:rPr>
          <w:rFonts w:ascii="Times New Roman" w:hAnsi="Times New Roman"/>
          <w:color w:val="000000" w:themeColor="text1"/>
          <w:sz w:val="16"/>
          <w:szCs w:val="16"/>
        </w:rPr>
      </w:pPr>
    </w:p>
    <w:p w14:paraId="73CA8F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когда выяснилось, что с отгрузкой орудий Б-3 (5Л) у армии есть большие, проблемы постанов</w:t>
      </w:r>
      <w:r w:rsidRPr="00E93F40">
        <w:rPr>
          <w:rFonts w:ascii="Times New Roman" w:hAnsi="Times New Roman"/>
          <w:color w:val="000000" w:themeColor="text1"/>
          <w:sz w:val="16"/>
          <w:szCs w:val="16"/>
        </w:rPr>
        <w:softHyphen/>
        <w:t>лением КО было принято решение вооружить оставшиеся танки БТ спаренной установкой двух пулеметов ДТ или ДА. Однако такие «пулеметные истребители» имели лишь условную боевую ценность, и потому постановлением КО от 4 декабря 1932 г. предписывалось вооружить 300 машин (№№ 301-600) 37-мм пушкой Гочкиса, сняв ее с танков Т-18, а начиная с 1 января 1934 г. заменить на танках БТ башни на новые, оснащенные спаренной установкой 45-мм пушки обр. 1932 г. и пулемета. Но в 1933 г. все исправные пушки Гочкиса с танков Т-18 уже были переставлены на Т-26, а для БТ таковых найдено не было. Поэтому практически все БТ-2, на долю которых не хватило Б-3, были оснащены в 1933 г. пулеметной спаркой или же остались невооруженными. Всего в 1932 г. было изготовлено 396, а в 1933-м - 224 танка БТ. В том же 1933-м указанные танки получили но</w:t>
      </w:r>
      <w:r w:rsidRPr="00E93F40">
        <w:rPr>
          <w:rFonts w:ascii="Times New Roman" w:hAnsi="Times New Roman"/>
          <w:color w:val="000000" w:themeColor="text1"/>
          <w:sz w:val="16"/>
          <w:szCs w:val="16"/>
        </w:rPr>
        <w:softHyphen/>
        <w:t>вый индекс БТ-2, так как было принято решение об освое</w:t>
      </w:r>
      <w:r w:rsidRPr="00E93F40">
        <w:rPr>
          <w:rFonts w:ascii="Times New Roman" w:hAnsi="Times New Roman"/>
          <w:color w:val="000000" w:themeColor="text1"/>
          <w:sz w:val="16"/>
          <w:szCs w:val="16"/>
        </w:rPr>
        <w:softHyphen/>
        <w:t>нии новой модификации указанного танка (10733,204).</w:t>
      </w:r>
    </w:p>
    <w:p w14:paraId="3CFE03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C6F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вышло решение правительства о постановке на 440 танках БТ вместо пушек спаренной установки ДА-2, т.к. завод 8 смог поставить лишь 190 37-мм пушек Б-3. В 1932 ХПЗ изготовил 396 БТ, в 1933 - 224 БТ-2 (3879,14).</w:t>
      </w:r>
    </w:p>
    <w:p w14:paraId="266C7B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D89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Правительством было принято решение о постановке на оставшиеся 440 танков БТ вместо пушек спаренной установки 7,62-мм пулеметов ДТ - ДА-2. Эти спаренные пулеметные установки поступили в РККА в течении IV квартала 1933 г. Причем монтаж спарки ДА-2 осуществлялся ремонтными органами войсковых частей. Танки БТ с пулеметным вооружением отдельные авторы, особенно за рубежом, ошибочно называют БТ-1. В действительности же танками БТ-1 назывались первые два закупленных опытных образца танка «Кристи» М.1940 - «Оригинал-I» и «Оригинал-II». Танки с 37-мм пушкой или спаренной пулеметной установкой ДА-2, начиная с февраля 1933 г., официально стали именоваться БТ-2 (11715).</w:t>
      </w:r>
    </w:p>
    <w:p w14:paraId="5245E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68202A"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мае 1932 года первый образец БТ с увеличенной башней (на базе БТ-2) собрали в Ленинграде (башню изготовил Ижорский завод), а затем направили сначала на завод № 8, а в июле — на ХПЗ. По пер</w:t>
      </w:r>
      <w:r w:rsidRPr="00142305">
        <w:rPr>
          <w:rFonts w:ascii="Times New Roman" w:hAnsi="Times New Roman"/>
          <w:color w:val="0070C0"/>
          <w:sz w:val="16"/>
          <w:szCs w:val="16"/>
        </w:rPr>
        <w:softHyphen/>
        <w:t>воначальному плану «10 БТ с 45-мм пушкой должны быть изготовлены в срочном порядке до начала серийного производства, во-первых, для демонст</w:t>
      </w:r>
      <w:r w:rsidRPr="00142305">
        <w:rPr>
          <w:rFonts w:ascii="Times New Roman" w:hAnsi="Times New Roman"/>
          <w:color w:val="0070C0"/>
          <w:sz w:val="16"/>
          <w:szCs w:val="16"/>
        </w:rPr>
        <w:softHyphen/>
        <w:t>рации в день Октябрьских праздников, во-вторых с целью всестороннего ис</w:t>
      </w:r>
      <w:r w:rsidRPr="00142305">
        <w:rPr>
          <w:rFonts w:ascii="Times New Roman" w:hAnsi="Times New Roman"/>
          <w:color w:val="0070C0"/>
          <w:sz w:val="16"/>
          <w:szCs w:val="16"/>
        </w:rPr>
        <w:softHyphen/>
        <w:t>пытания и внесения необходимых кор</w:t>
      </w:r>
      <w:r w:rsidRPr="00142305">
        <w:rPr>
          <w:rFonts w:ascii="Times New Roman" w:hAnsi="Times New Roman"/>
          <w:color w:val="0070C0"/>
          <w:sz w:val="16"/>
          <w:szCs w:val="16"/>
        </w:rPr>
        <w:softHyphen/>
        <w:t>ректив» (25009).</w:t>
      </w:r>
    </w:p>
    <w:p w14:paraId="1FA6DDC0" w14:textId="77777777" w:rsidR="00C7057A" w:rsidRPr="00142305" w:rsidRDefault="00C7057A" w:rsidP="00C7057A">
      <w:pPr>
        <w:spacing w:after="0" w:line="240" w:lineRule="auto"/>
        <w:jc w:val="both"/>
        <w:rPr>
          <w:rFonts w:ascii="Times New Roman" w:hAnsi="Times New Roman"/>
          <w:color w:val="0070C0"/>
          <w:sz w:val="16"/>
          <w:szCs w:val="16"/>
        </w:rPr>
      </w:pPr>
    </w:p>
    <w:p w14:paraId="1773ECCF" w14:textId="77777777" w:rsidR="00F8111C" w:rsidRPr="00E93F40" w:rsidRDefault="00F8111C"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1932-го были зафиксирова</w:t>
      </w:r>
      <w:r w:rsidRPr="00E93F40">
        <w:rPr>
          <w:rFonts w:ascii="Times New Roman" w:hAnsi="Times New Roman"/>
          <w:color w:val="000000" w:themeColor="text1"/>
          <w:sz w:val="16"/>
          <w:szCs w:val="16"/>
        </w:rPr>
        <w:softHyphen/>
        <w:t>ны внятные требова</w:t>
      </w:r>
      <w:r w:rsidRPr="00E93F40">
        <w:rPr>
          <w:rFonts w:ascii="Times New Roman" w:hAnsi="Times New Roman"/>
          <w:color w:val="000000" w:themeColor="text1"/>
          <w:sz w:val="16"/>
          <w:szCs w:val="16"/>
        </w:rPr>
        <w:softHyphen/>
        <w:t>ния к «тяжелому танку» только через полтора года. К этому времени уже изменилась сама систе</w:t>
      </w:r>
      <w:r w:rsidRPr="00E93F40">
        <w:rPr>
          <w:rFonts w:ascii="Times New Roman" w:hAnsi="Times New Roman"/>
          <w:color w:val="000000" w:themeColor="text1"/>
          <w:sz w:val="16"/>
          <w:szCs w:val="16"/>
        </w:rPr>
        <w:softHyphen/>
        <w:t>ма вооружений (19859).</w:t>
      </w:r>
    </w:p>
    <w:p w14:paraId="55508BC0" w14:textId="77777777" w:rsidR="00F8111C" w:rsidRPr="00E93F40" w:rsidRDefault="00F8111C" w:rsidP="00E93F40">
      <w:pPr>
        <w:shd w:val="clear" w:color="auto" w:fill="FFFFFF"/>
        <w:spacing w:after="0" w:line="240" w:lineRule="auto"/>
        <w:jc w:val="both"/>
        <w:rPr>
          <w:rFonts w:ascii="Times New Roman" w:hAnsi="Times New Roman"/>
          <w:color w:val="000000" w:themeColor="text1"/>
          <w:sz w:val="16"/>
          <w:szCs w:val="16"/>
        </w:rPr>
      </w:pPr>
    </w:p>
    <w:p w14:paraId="5E160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вышло постановление Правительства об установке на танк БТ радиостанции (3880,7).</w:t>
      </w:r>
    </w:p>
    <w:p w14:paraId="0D899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4700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доработку «Форда» Рожкова перепору</w:t>
      </w:r>
      <w:r w:rsidRPr="00E93F40">
        <w:rPr>
          <w:rFonts w:ascii="Times New Roman" w:hAnsi="Times New Roman"/>
          <w:color w:val="000000" w:themeColor="text1"/>
          <w:sz w:val="16"/>
          <w:szCs w:val="16"/>
        </w:rPr>
        <w:softHyphen/>
        <w:t>чили конструкторскому бюро Ижорского завода. Здесь на основе материалов по проектированию «колесных танке</w:t>
      </w:r>
      <w:r w:rsidRPr="00E93F40">
        <w:rPr>
          <w:rFonts w:ascii="Times New Roman" w:hAnsi="Times New Roman"/>
          <w:color w:val="000000" w:themeColor="text1"/>
          <w:sz w:val="16"/>
          <w:szCs w:val="16"/>
        </w:rPr>
        <w:softHyphen/>
        <w:t>ток» и Д-8/Д-12 на базе машины Рожкова спроектировали фактически новый бронеавтомобиль, который первона</w:t>
      </w:r>
      <w:r w:rsidRPr="00E93F40">
        <w:rPr>
          <w:rFonts w:ascii="Times New Roman" w:hAnsi="Times New Roman"/>
          <w:color w:val="000000" w:themeColor="text1"/>
          <w:sz w:val="16"/>
          <w:szCs w:val="16"/>
        </w:rPr>
        <w:softHyphen/>
        <w:t>чально в документах именовался как «бронированный «Форд-А» Ижорского завода». Машина получила бронекорпус новой конструкции и другую башню. Представленный на рассмотрение УММ РККА в августе 1932 года проект но</w:t>
      </w:r>
      <w:r w:rsidRPr="00E93F40">
        <w:rPr>
          <w:rFonts w:ascii="Times New Roman" w:hAnsi="Times New Roman"/>
          <w:color w:val="000000" w:themeColor="text1"/>
          <w:sz w:val="16"/>
          <w:szCs w:val="16"/>
        </w:rPr>
        <w:softHyphen/>
        <w:t>вого легкого броневика понравился военным и после не</w:t>
      </w:r>
      <w:r w:rsidRPr="00E93F40">
        <w:rPr>
          <w:rFonts w:ascii="Times New Roman" w:hAnsi="Times New Roman"/>
          <w:color w:val="000000" w:themeColor="text1"/>
          <w:sz w:val="16"/>
          <w:szCs w:val="16"/>
        </w:rPr>
        <w:softHyphen/>
        <w:t>больших доработок был рекомендован для серийного про</w:t>
      </w:r>
      <w:r w:rsidRPr="00E93F40">
        <w:rPr>
          <w:rFonts w:ascii="Times New Roman" w:hAnsi="Times New Roman"/>
          <w:color w:val="000000" w:themeColor="text1"/>
          <w:sz w:val="16"/>
          <w:szCs w:val="16"/>
        </w:rPr>
        <w:softHyphen/>
        <w:t>изводства и принятия на вооружение. Примерно в это время бронемашина в документах стала именоваться ФАЙ -«Форд-А» Ижорского завода. Иногда встречается написание ФА-И, а в документах УММ РККА этот броневик иногда назывался РБ-2 — разведывательный бронеавтомобиль (11284).</w:t>
      </w:r>
    </w:p>
    <w:p w14:paraId="28ECDC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DC3B03" w14:textId="77777777" w:rsidR="00543FD5" w:rsidRPr="00E93F40" w:rsidRDefault="00543FD5"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мае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xml:space="preserve">. доработку бронеавтомобиля «Форд-А» поручили конструкторскому бюро Ижорского завода. Здесь на его базе спроектировали фактически новый бронеавтомобиль, который первоначально в документах именовался как «бронированный «Форд-А» Ижорского завода». Машина получила бронекорпус новой конструкции и другу башню. Представленный на рассмотрение Управления моторизации и механизации (УММ РККА) в августе 1932 года проект нового легкового броневика понравился военным и после небольших доработок был рекомендован для серийного производства и принятия на вооружение. Примерно в это время бронемашина в документах стала именоваться ФАИ – «Форд-А» Ижорского завода. Производство бронеавтомобилей ФАИ на шасси «Форд-А» сначала планировалось развернуть на Ижорском заводе с января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Однако завод, загруженный танковой программой – он выпускал корпуса и башни для Т-26, БТ и Т-27, – оказался не способен развернуть выпуск броневиков (15218).</w:t>
      </w:r>
    </w:p>
    <w:p w14:paraId="18D0B676" w14:textId="77777777" w:rsidR="00543FD5" w:rsidRPr="00E93F40" w:rsidRDefault="00543FD5" w:rsidP="00E93F40">
      <w:pPr>
        <w:widowControl w:val="0"/>
        <w:spacing w:after="0" w:line="240" w:lineRule="auto"/>
        <w:jc w:val="both"/>
        <w:rPr>
          <w:rFonts w:ascii="Times New Roman" w:hAnsi="Times New Roman"/>
          <w:color w:val="000000" w:themeColor="text1"/>
          <w:sz w:val="16"/>
          <w:szCs w:val="16"/>
        </w:rPr>
      </w:pPr>
    </w:p>
    <w:p w14:paraId="19F494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на</w:t>
      </w:r>
      <w:r w:rsidRPr="00E93F40">
        <w:rPr>
          <w:rFonts w:ascii="Times New Roman" w:hAnsi="Times New Roman"/>
          <w:color w:val="000000" w:themeColor="text1"/>
          <w:sz w:val="16"/>
          <w:szCs w:val="16"/>
        </w:rPr>
        <w:softHyphen/>
        <w:t>чались хлопоты по реализации замысла по изготовлению 10 опытных мотоциклов НАТИ-А-750 и столько же об</w:t>
      </w:r>
      <w:r w:rsidRPr="00E93F40">
        <w:rPr>
          <w:rFonts w:ascii="Times New Roman" w:hAnsi="Times New Roman"/>
          <w:color w:val="000000" w:themeColor="text1"/>
          <w:sz w:val="16"/>
          <w:szCs w:val="16"/>
        </w:rPr>
        <w:softHyphen/>
        <w:t>разцов опытного автомобиля НАТИ-2, спроектированного в том же институте под руководством К.А. Шарапова, в мастерских ИОЗа, т.к. считалось, что это может помочь форсированию постройки ИжМЗ. Будущий завод стал подшефным НАТИ. Активное участие в них принимал лично П.В. Можаров. Он агитировал бывшего своего сослуживца по ИОЗу И.И. Чекмарёва, заканчивавшего в то время Промышленную академию им. Сталина в Москве, вер</w:t>
      </w:r>
      <w:r w:rsidRPr="00E93F40">
        <w:rPr>
          <w:rFonts w:ascii="Times New Roman" w:hAnsi="Times New Roman"/>
          <w:color w:val="000000" w:themeColor="text1"/>
          <w:sz w:val="16"/>
          <w:szCs w:val="16"/>
        </w:rPr>
        <w:softHyphen/>
        <w:t>нуться в Ижевск и возглавить создаваемый ИжМЗ. Поскольку средств на постройку ИжМЗ не выделили, руко</w:t>
      </w:r>
      <w:r w:rsidRPr="00E93F40">
        <w:rPr>
          <w:rFonts w:ascii="Times New Roman" w:hAnsi="Times New Roman"/>
          <w:color w:val="000000" w:themeColor="text1"/>
          <w:sz w:val="16"/>
          <w:szCs w:val="16"/>
        </w:rPr>
        <w:softHyphen/>
        <w:t>водство Исполкома УАО решило строить его методом «народной стройки» - за счёт привлечения финансов из скромного местного бюджета и строителей с окрестных предприятий. Начали с выде</w:t>
      </w:r>
      <w:r w:rsidRPr="00E93F40">
        <w:rPr>
          <w:rFonts w:ascii="Times New Roman" w:hAnsi="Times New Roman"/>
          <w:color w:val="000000" w:themeColor="text1"/>
          <w:sz w:val="16"/>
          <w:szCs w:val="16"/>
        </w:rPr>
        <w:softHyphen/>
        <w:t>ления в центре города участка площадью около 3600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xml:space="preserve"> вместе с находившимися на нём зданиями бывшей оружейной фабрики Н.И. Берзина общей площадью 1800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Предполагалось со вре</w:t>
      </w:r>
      <w:r w:rsidRPr="00E93F40">
        <w:rPr>
          <w:rFonts w:ascii="Times New Roman" w:hAnsi="Times New Roman"/>
          <w:color w:val="000000" w:themeColor="text1"/>
          <w:sz w:val="16"/>
          <w:szCs w:val="16"/>
        </w:rPr>
        <w:softHyphen/>
        <w:t>менем обеспечить ИжМЗ материалами и инструментами, изгота</w:t>
      </w:r>
      <w:r w:rsidRPr="00E93F40">
        <w:rPr>
          <w:rFonts w:ascii="Times New Roman" w:hAnsi="Times New Roman"/>
          <w:color w:val="000000" w:themeColor="text1"/>
          <w:sz w:val="16"/>
          <w:szCs w:val="16"/>
        </w:rPr>
        <w:softHyphen/>
        <w:t>вливаемыми на Ижстальзаводах, и использовать имевшиеся там лаборатории: химическую, микрографическую, испытательную и др. В распоряжение ИжМЗ передали 40 металлообрабатываю</w:t>
      </w:r>
      <w:r w:rsidRPr="00E93F40">
        <w:rPr>
          <w:rFonts w:ascii="Times New Roman" w:hAnsi="Times New Roman"/>
          <w:color w:val="000000" w:themeColor="text1"/>
          <w:sz w:val="16"/>
          <w:szCs w:val="16"/>
        </w:rPr>
        <w:softHyphen/>
        <w:t>щих станков. Исполком УАО выделил 200 тыс. р. и объявил строи</w:t>
      </w:r>
      <w:r w:rsidRPr="00E93F40">
        <w:rPr>
          <w:rFonts w:ascii="Times New Roman" w:hAnsi="Times New Roman"/>
          <w:color w:val="000000" w:themeColor="text1"/>
          <w:sz w:val="16"/>
          <w:szCs w:val="16"/>
        </w:rPr>
        <w:softHyphen/>
        <w:t>тельство внеочередным и ударным. Предполагалось, не дожида</w:t>
      </w:r>
      <w:r w:rsidRPr="00E93F40">
        <w:rPr>
          <w:rFonts w:ascii="Times New Roman" w:hAnsi="Times New Roman"/>
          <w:color w:val="000000" w:themeColor="text1"/>
          <w:sz w:val="16"/>
          <w:szCs w:val="16"/>
        </w:rPr>
        <w:softHyphen/>
        <w:t>ясь окончания строительства завода, создать опытный участок с КБ и мастерскими и начать изготовление опытных мотоциклов. Инициативу поддержали в НАТИ. Для принятия этого решения 23 апреля 1932 г. собрали президиум ЦС АВТОДОР СССР и РСФСР, на который пригласили председателя Совнархоза УАО и председателя мотосекции АВТОДОР СССР С.С. Каменева. На совещании постановили:</w:t>
      </w:r>
    </w:p>
    <w:p w14:paraId="56F49E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всемерно поддержать инициативу УАО;</w:t>
      </w:r>
    </w:p>
    <w:p w14:paraId="0179F8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ходатайствовать в Народный комиссариат тяжёлой про</w:t>
      </w:r>
      <w:r w:rsidRPr="00E93F40">
        <w:rPr>
          <w:rFonts w:ascii="Times New Roman" w:hAnsi="Times New Roman"/>
          <w:color w:val="000000" w:themeColor="text1"/>
          <w:sz w:val="16"/>
          <w:szCs w:val="16"/>
        </w:rPr>
        <w:softHyphen/>
        <w:t>мышленности (НКТП) и ВСНХ СССР о финансировании строи</w:t>
      </w:r>
      <w:r w:rsidRPr="00E93F40">
        <w:rPr>
          <w:rFonts w:ascii="Times New Roman" w:hAnsi="Times New Roman"/>
          <w:color w:val="000000" w:themeColor="text1"/>
          <w:sz w:val="16"/>
          <w:szCs w:val="16"/>
        </w:rPr>
        <w:softHyphen/>
        <w:t>тельства и обеспечении необходимыми материалами и полуфаб</w:t>
      </w:r>
      <w:r w:rsidRPr="00E93F40">
        <w:rPr>
          <w:rFonts w:ascii="Times New Roman" w:hAnsi="Times New Roman"/>
          <w:color w:val="000000" w:themeColor="text1"/>
          <w:sz w:val="16"/>
          <w:szCs w:val="16"/>
        </w:rPr>
        <w:softHyphen/>
        <w:t>рикатами;</w:t>
      </w:r>
    </w:p>
    <w:p w14:paraId="3F3D14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немедленно предоставить исполкому УАО 275 тыс. р. из средств ЦС АВТОДОР СССР;</w:t>
      </w:r>
    </w:p>
    <w:p w14:paraId="2537A4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принять шефство над ИжМЗ и согласиться на присвоение ему имени АВТОДОРа СССР [4.63].</w:t>
      </w:r>
    </w:p>
    <w:p w14:paraId="62A202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Руководство НАТИ передало заказ ИжМЗ на изготовление 10 опытных мотоциклов НАТИ-А-750 и столько же опытных автомобилей НАТИ-2. Эти работы планировали завершить в июне 1933 года [4.64]. Для оказания заводу технической помо</w:t>
      </w:r>
      <w:r w:rsidRPr="00E93F40">
        <w:rPr>
          <w:rFonts w:ascii="Times New Roman" w:hAnsi="Times New Roman"/>
          <w:color w:val="000000" w:themeColor="text1"/>
          <w:sz w:val="16"/>
          <w:szCs w:val="16"/>
        </w:rPr>
        <w:softHyphen/>
        <w:t>щи летом 1932 г. в Ижевск командировали группу сотрудников КБ и других специалистов НАТИ. Им создали хорошие условия работы и проживания. Эти действия НАТИ стимулировали ак</w:t>
      </w:r>
      <w:r w:rsidRPr="00E93F40">
        <w:rPr>
          <w:rFonts w:ascii="Times New Roman" w:hAnsi="Times New Roman"/>
          <w:color w:val="000000" w:themeColor="text1"/>
          <w:sz w:val="16"/>
          <w:szCs w:val="16"/>
        </w:rPr>
        <w:softHyphen/>
        <w:t>тивность руководства Ижевска. Демонстрируя заинтересован</w:t>
      </w:r>
      <w:r w:rsidRPr="00E93F40">
        <w:rPr>
          <w:rFonts w:ascii="Times New Roman" w:hAnsi="Times New Roman"/>
          <w:color w:val="000000" w:themeColor="text1"/>
          <w:sz w:val="16"/>
          <w:szCs w:val="16"/>
        </w:rPr>
        <w:softHyphen/>
        <w:t>ность в создании мотозавода, 23 августа на улице Красной зало</w:t>
      </w:r>
      <w:r w:rsidRPr="00E93F40">
        <w:rPr>
          <w:rFonts w:ascii="Times New Roman" w:hAnsi="Times New Roman"/>
          <w:color w:val="000000" w:themeColor="text1"/>
          <w:sz w:val="16"/>
          <w:szCs w:val="16"/>
        </w:rPr>
        <w:softHyphen/>
        <w:t>жили корпус механосборочного цеха ИжМЗ; а 4 октября 1932 г. приказом руководителя НКТП Г.К. Орджоникидзе директором ИжМЗа назначили И.И. Чекмарёва, сумевшего за последую</w:t>
      </w:r>
      <w:r w:rsidRPr="00E93F40">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E93F40">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w:t>
      </w:r>
    </w:p>
    <w:p w14:paraId="7C4D86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 не менее работа продвигалась не так быстро, как хоте</w:t>
      </w:r>
      <w:r w:rsidRPr="00E93F40">
        <w:rPr>
          <w:rFonts w:ascii="Times New Roman" w:hAnsi="Times New Roman"/>
          <w:color w:val="000000" w:themeColor="text1"/>
          <w:sz w:val="16"/>
          <w:szCs w:val="16"/>
        </w:rPr>
        <w:softHyphen/>
        <w:t>лось бы. Вместе с разработкой необходимой технической доку</w:t>
      </w:r>
      <w:r w:rsidRPr="00E93F40">
        <w:rPr>
          <w:rFonts w:ascii="Times New Roman" w:hAnsi="Times New Roman"/>
          <w:color w:val="000000" w:themeColor="text1"/>
          <w:sz w:val="16"/>
          <w:szCs w:val="16"/>
        </w:rPr>
        <w:softHyphen/>
        <w:t>ментации по «горячим чертежам» изготавливали детали, собира</w:t>
      </w:r>
      <w:r w:rsidRPr="00E93F40">
        <w:rPr>
          <w:rFonts w:ascii="Times New Roman" w:hAnsi="Times New Roman"/>
          <w:color w:val="000000" w:themeColor="text1"/>
          <w:sz w:val="16"/>
          <w:szCs w:val="16"/>
        </w:rPr>
        <w:softHyphen/>
        <w:t>ли узлы, уточняли размеры, допуски и посадки сопрягаемых дета</w:t>
      </w:r>
      <w:r w:rsidRPr="00E93F40">
        <w:rPr>
          <w:rFonts w:ascii="Times New Roman" w:hAnsi="Times New Roman"/>
          <w:color w:val="000000" w:themeColor="text1"/>
          <w:sz w:val="16"/>
          <w:szCs w:val="16"/>
        </w:rPr>
        <w:softHyphen/>
        <w:t>лей. Мотоциклы изготавливали по ходу рабочего проектирова</w:t>
      </w:r>
      <w:r w:rsidRPr="00E93F40">
        <w:rPr>
          <w:rFonts w:ascii="Times New Roman" w:hAnsi="Times New Roman"/>
          <w:color w:val="000000" w:themeColor="text1"/>
          <w:sz w:val="16"/>
          <w:szCs w:val="16"/>
        </w:rPr>
        <w:softHyphen/>
        <w:t>ния, испытывали двигатели. КП и другие узлы (11429).</w:t>
      </w:r>
    </w:p>
    <w:p w14:paraId="453787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480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вопрос разработки собственного трактора средней мощности обсуждался в Политбюро ЦК ВКП(б) и СТО. Все попытки решить проблему гусеничного трактора средней мощности малыми силами закончились неудачей. После совещания руководство Всесоюзного автотракторного объединения (ВАТО) издало приказ, обязывавший конструкторов СТЗ и НАТИ разработать трактор на безе английского тягача «Карден-Лойд», выпущенного в 1931 году фирмой «Армстронг Виккерс». Вскоре после приказа ВАТО в Сталинград прибыл первый «Карден-Лойд», его тут же разобрали. В июле конструкторы во главе с начальником КБ В. Станкевичем встали за кульманы, а в сентябре закончили компоновочные чертежи (11418).</w:t>
      </w:r>
    </w:p>
    <w:p w14:paraId="2C727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8BBD51" w14:textId="77777777" w:rsidR="00684A8A" w:rsidRPr="00E93F40" w:rsidRDefault="00684A8A" w:rsidP="00E93F40">
      <w:pPr>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Майская 1932 г. конференция в Ленинграде в своей резолюции особо подчеркивала, что одной из основных причин отставания отечественной техники связи от иностранной является «…необеспеченность необходимых темпов ее развития со стороны производства электровакуумных приборов. Имеет место разрыв между теоретическими выводами и практическими возможностями их быстрой реализации…» [Там же, л. 117] (12695).</w:t>
      </w:r>
    </w:p>
    <w:p w14:paraId="6EEA934E" w14:textId="77777777" w:rsidR="00684A8A" w:rsidRPr="00E93F40" w:rsidRDefault="00684A8A" w:rsidP="00E93F40">
      <w:pPr>
        <w:spacing w:after="0" w:line="240" w:lineRule="auto"/>
        <w:jc w:val="both"/>
        <w:rPr>
          <w:rFonts w:ascii="Times New Roman" w:eastAsia="TimesNewRoman" w:hAnsi="Times New Roman"/>
          <w:color w:val="000000" w:themeColor="text1"/>
          <w:sz w:val="16"/>
          <w:szCs w:val="16"/>
        </w:rPr>
      </w:pPr>
    </w:p>
    <w:p w14:paraId="38221118"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в конструкторском бюро Всесоюзного орудийно-арсенального объединения (КБ ВОАО) был разработан проект мотоброневагона А-34, представленный в УММ РККА в 1932-1933 годах. Судя по сохранившимся чертежам, это была двухосная машина, вооружение которой состояло из 122-мм пушки образца 1931 года (А-19) и 3 пулеметов Максима. Орудие размещалось в башне кругового вращения, имевшей довольно большой размер. В днище А-34 имелись специальные домкраты, на которые мотоброневагон мог опираться при стрельбе. Два пулемета Максима размещались в башенках, по одной в передней и задней части машины, а один выдвигался из артиллерийской башни и использовался для зенитной стрельбы. Мотобронева-гон оснащался радиостанцией. Дальнейшая детальная проработка велась в КБМ 3-38 (что это автору неизвестно) и закончилась в мае 1933 года (18626).</w:t>
      </w:r>
    </w:p>
    <w:p w14:paraId="0DF6A601" w14:textId="77777777" w:rsidR="004F6794" w:rsidRPr="00E93F40" w:rsidRDefault="004F6794" w:rsidP="00E93F40">
      <w:pPr>
        <w:spacing w:after="0" w:line="240" w:lineRule="auto"/>
        <w:jc w:val="both"/>
        <w:rPr>
          <w:rFonts w:ascii="Times New Roman" w:hAnsi="Times New Roman"/>
          <w:color w:val="000000" w:themeColor="text1"/>
          <w:sz w:val="16"/>
          <w:szCs w:val="16"/>
        </w:rPr>
      </w:pPr>
    </w:p>
    <w:p w14:paraId="4A4B3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мае 1932 г. в Ленинграде в Правлении ВЭСО была проведена конференция по 2-й технической пятилетке в области военной связи. На конференции были собраны ведущие специалисты в данной сфере, среди которых значительная часть представляла ленинградскую промышлен ность средств связи. С докладами на конференции выступили директор Радио сектора ВЭСО И.М. Халецкий, ведущие специалисты завода им. Коминтерна А.Л. Минц и Г.А. Зейтленок, ЦРЛ – М.Е. Старик, электровакуумного завода «Светлана» - С.А. Векшинский. Особенно весомым на конференции было представительство ЦРЛ (более 25% от общего количества участников, в т.ч. директор лаборатории Д.Н. Румянцев, технический директор Н.И. Дозоров, научный руководитель Н.Н. Циклинский, профессора В.П. Вологдин и Н.Д. Папалекси). Конференция высветила целый ряд проблем, которые необходимо было экстренно решать для обеспечения войск связи современной аппаратурой, сто ящей на уровне лучших мировых образцов. В обобщенном виде эти проблемы выглядели следующим образом: - низкий уровень стандартизации как радиоизделий в целом, так и от дельных деталей массового производства; - слабый уровень развития производства электровакуумных изделий, изоляционных материалов, радиоизмерительных приборов, электромашин; - нехватка производственных мощностей предприятий, что не позволяло удовлетворить потребности армии даже в количественном отношении (в 1931 г. при наличии в войсках 1351 радиостанции обеспеченность составляла всего 44% (Архив ВИМАИВиВС, ф. 61р, оп. 2, д. 1, л. 101.)). В резолюции конференции подчеркивалось, что одной из основных при чин отставания отечественной радиотехники от иностранной является «… не обеспеченность необходимых темпов ее развития со стороны производства электровакуумных приборов» (ЦГА СПб., ф. 1321, оп. 2, д. 39, л. 117.). С.А. Векшинский в своем докладе на конференции обнажил истинное положение дел в отрасли, особенно состояние научно-исследовательских ра бот. Лаборатория завода «Светлана» являлась единственным научно техническим центром страны, где в незначительном объеме велись разработки в области электронной физики. Аксиомой является то, что фундаментальные исследования физико-химических процессов лежат в основе прогресса в об ласти лампового производства. Однако лаборатория, возглавляемая </w:t>
      </w:r>
      <w:r w:rsidRPr="00E93F40">
        <w:rPr>
          <w:rFonts w:ascii="Times New Roman" w:hAnsi="Times New Roman"/>
          <w:color w:val="000000" w:themeColor="text1"/>
          <w:sz w:val="16"/>
          <w:szCs w:val="16"/>
        </w:rPr>
        <w:lastRenderedPageBreak/>
        <w:t>С.А. Век шинским, с точки зрения технического оснащения, обеспечения кадрами, организации научно- исследовательских работ была не в состоянии в полной ме ре решать стоящие перед ней задачи и не соответствовала той роли, которая ей отводилась в структуре отечественной промышленности средств связи. Имея в своем составе 112 сотрудников, лаборатория одновременно занималась разра боткой 45 типов ламп, при этом около 80% времени она была вынуждена тра тить на решение задач обеспечения текущего производства в ущерб научным разработкам. Очень остро на заводе «Светлана» стоял вопрос с качеством по ставляемых материалов, особенно после перехода на снабжение преимущест венно продукцией отечественных предприятий. Это также отвлекало силы ла боратории, т.к. ни один из поступивших на завод материалов нельзя было пус кать в производство без проведения тщательных анализов. Векшинский при вел пример, когда в составе присланного на «Светлану» никеля производства Кольчугинского завода было обнаружено 60% меди и 20% цинка. Не меньше проблем доставляло столь необходимое для вакуумного производства стекло, которое поступало на «Светлану» из четырех различных источников. Техни ческое оснащение самого завода оставляло желать лучшего, так как оно со хранилось на уровне 1923-1928 гг., когда предприятия ЭТЗСТ получали тех ническую помощь от Французской Генеральной компании. Резюмируя все сказанное, Векшинский сделал неутешительные выводы: - отставание теоретических разработок отечественных специалистов от иностранных образцов составляло от шести месяцев до одного года, однако вследствие слабой технической оснащенности процесс реализации этих разра боток в производстве значительно задерживался; в результате отставание оте чественных серийных электровакуумных изделий от иностранных достигало уже два-три года; - завод «Светлана», как головное предприятие советской электронной промышленности, в своем настоящем состоянии не способен заниматься раз работкой новых современных изделий и, тем более, не способен организовать их массовое производство (ЦГА СПб., ф. 945, оп. 3, д. 151, л. 68-95.). По результатам обсуждения доклада С.А. Векшинского конференция выработала комплекс мер, направленных на скорейшее исправление создав шегося положения в электровакуумном производстве. Правлению ВЭСО ре комендовано в кратчайшие сроки провести работы по организации на заводе «Светлана» отраслевой вакуумной лаборатории (ОВЛ), оборудованию ее со временной техникой, обеспечению подготовленными кадрами и созданию ус ловий для ликвидации отставания от иностранной техники уже в течение пер вого года второй пятилетки (ЦГА СПб., ф. 1321, оп. 2, д. 39, л. 121.). В целях решения проблемы снабжения качест венными материалами ставился вопрос о строительстве завода по производст ву специального стекла, об организации производства в СССР молибдена и тантала, широко применявшихся в производстве вакуумных изделий. Кроме этого были выработаны рекомендации по разработке конкретных типов изде лий, необходимых для дальнейшего развертывания производства радиотехни ки как общехозяйственного, так и специального назначения (ЦГА СПб., ф. 1321, оп. 2, д. 39, л. 123.). Исходя из задач, поставленных перед электрослаботочной промышлен ностью НКВМ, конференция выработала программу мероприятий для отрасли на вторую пятилетку. Речь шла, прежде всего, об уплотнении уже освоенных ДВ, СВ и КВ диапазонов, а также о создании средств связи в диапазонах УКВ, дециметровых и сантиметровых волн; переходе войсковой радиосвязи на сис тему дуплексной связи; обеспечении секретности радиопереговоров; разра ботке активных средств для создания помех связи противника; применении систем передачи изображения и аппаратуры на оптических лучах для целей военной связи; обеспечении ВМФ и ВВС современными средствами навига ции; улучшении существующих и разработка новых типов буквопечатающей аппаратуры для военной радиосвязи (ЦГА СПб., ф. 1321, оп. 2, д. 39, л. 118.). На конференции было принято решение о всестороннем развитии науч но-исследовательской базы военной радиосвязи, которая должна была, с од ной стороны, осуществлять разработку новых видов радиосредств в отрасле вых лабораториях, а с другой стороны, форсировать развитие фундаментальных научно-теоретических исследований без отрыва от промышленности. Ставилась задача организации четкого взаимодействия и распределения сфер ответственности между различными институтами и лабораториями (прежде всего ЦРЛ, ЦВИРЛ и ОРПУ завода им. Коминтерна) (ЦГА СПб., ф. 1321, оп. 2, д. 39, л. 120.) (11870).</w:t>
      </w:r>
    </w:p>
    <w:p w14:paraId="429CF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2602D5"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в Ленинграде в Правлении ВЭСО была проведена конференции по 2-й технической пятилетке в области военной связи. На конференции были собраны ведущие специалисты в данной сфере, среди которых значительная часть представляла ленинградскую промышлен</w:t>
      </w:r>
      <w:r w:rsidRPr="00E93F40">
        <w:rPr>
          <w:rFonts w:ascii="Times New Roman" w:hAnsi="Times New Roman"/>
          <w:color w:val="000000" w:themeColor="text1"/>
          <w:sz w:val="16"/>
          <w:szCs w:val="16"/>
        </w:rPr>
        <w:softHyphen/>
        <w:t>ность средств связи. С докладами на конференции выступили директор Радио</w:t>
      </w:r>
      <w:r w:rsidRPr="00E93F40">
        <w:rPr>
          <w:rFonts w:ascii="Times New Roman" w:hAnsi="Times New Roman"/>
          <w:color w:val="000000" w:themeColor="text1"/>
          <w:sz w:val="16"/>
          <w:szCs w:val="16"/>
        </w:rPr>
        <w:softHyphen/>
        <w:t>сектора ВЭСО И.М. Халецкий, ведущие специалисты завода им. Коминтерна А.Л. Минц и Г.А. Зейтленок, ЦРЛ - М.Е. Старик, электровакуумного завода «Светлана» - С.А. Векшинский. Особенно весомым на конференции было представительство ЦРЛ (более 25% от общего количества участников, в т.ч. директор лаборатории Д.Н. Румянцев, технический директор Н.И. Дозоров, научный руководитель Н.Н. Циклинский, профессора В.П. Вологдин и Н.Д. Папалекси).</w:t>
      </w:r>
    </w:p>
    <w:p w14:paraId="1C47752E"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Конференция высветила целый ряд проблем, которые необходимо было экстренно решать для обеспечения войск связи современной аппаратурой, сто</w:t>
      </w:r>
      <w:r w:rsidRPr="00E93F40">
        <w:rPr>
          <w:rFonts w:ascii="Times New Roman" w:hAnsi="Times New Roman"/>
          <w:color w:val="000000" w:themeColor="text1"/>
          <w:sz w:val="16"/>
          <w:szCs w:val="16"/>
        </w:rPr>
        <w:softHyphen/>
        <w:t>ящей на уровне лучших мировых образцов. В обобщенном виде эти проблемы выглядели следующим образом:</w:t>
      </w:r>
    </w:p>
    <w:p w14:paraId="7C672A58" w14:textId="77777777" w:rsidR="004F6794" w:rsidRPr="00E93F40" w:rsidRDefault="004F6794" w:rsidP="00E93F40">
      <w:pPr>
        <w:tabs>
          <w:tab w:val="left" w:pos="92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низкий уровень стандартизации как радиоизделий в целом, так и от</w:t>
      </w:r>
      <w:r w:rsidRPr="00E93F40">
        <w:rPr>
          <w:rFonts w:ascii="Times New Roman" w:hAnsi="Times New Roman"/>
          <w:color w:val="000000" w:themeColor="text1"/>
          <w:sz w:val="16"/>
          <w:szCs w:val="16"/>
        </w:rPr>
        <w:softHyphen/>
        <w:t>дельных деталей массового производства;</w:t>
      </w:r>
    </w:p>
    <w:p w14:paraId="1CD05A7F" w14:textId="77777777" w:rsidR="004F6794" w:rsidRPr="00E93F40" w:rsidRDefault="004F6794" w:rsidP="00E93F40">
      <w:pPr>
        <w:tabs>
          <w:tab w:val="left" w:pos="97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слабый уровень развития производства электровакуумных изделий, изоляционных материалов, радиоизмерительных приборов, электромашин;</w:t>
      </w:r>
    </w:p>
    <w:p w14:paraId="002C7C9A" w14:textId="77777777" w:rsidR="004F6794" w:rsidRPr="00E93F40" w:rsidRDefault="004F6794" w:rsidP="00E93F40">
      <w:pPr>
        <w:tabs>
          <w:tab w:val="left" w:pos="89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нехватка производственных мощностей предприятий, что не позволяло удовлетворить потребности армии даже в количественном отношении (в 1931 г. при наличии в войсках 1351 радиостанции обеспеченность составляла всего 44%).</w:t>
      </w:r>
    </w:p>
    <w:p w14:paraId="45B4D7D8"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резолюции конференции подчеркивалось, что одной из основных при</w:t>
      </w:r>
      <w:r w:rsidRPr="00E93F40">
        <w:rPr>
          <w:rFonts w:ascii="Times New Roman" w:hAnsi="Times New Roman"/>
          <w:color w:val="000000" w:themeColor="text1"/>
          <w:sz w:val="16"/>
          <w:szCs w:val="16"/>
        </w:rPr>
        <w:softHyphen/>
        <w:t>чин отставания отечественной радиотехники от иностранной является «... не</w:t>
      </w:r>
      <w:r w:rsidRPr="00E93F40">
        <w:rPr>
          <w:rFonts w:ascii="Times New Roman" w:hAnsi="Times New Roman"/>
          <w:color w:val="000000" w:themeColor="text1"/>
          <w:sz w:val="16"/>
          <w:szCs w:val="16"/>
        </w:rPr>
        <w:softHyphen/>
        <w:t>обеспеченность необходимых темпов ее развития со стороны производства электровакуумных приборов».</w:t>
      </w:r>
    </w:p>
    <w:p w14:paraId="45C94047"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 Векшинский в своем докладе на конференции обнажил истинное положение дел в отрасли, особенно состояние научно-исследовательских ра</w:t>
      </w:r>
      <w:r w:rsidRPr="00E93F40">
        <w:rPr>
          <w:rFonts w:ascii="Times New Roman" w:hAnsi="Times New Roman"/>
          <w:color w:val="000000" w:themeColor="text1"/>
          <w:sz w:val="16"/>
          <w:szCs w:val="16"/>
        </w:rPr>
        <w:softHyphen/>
        <w:t>бот. Лаборатория завода «Светлана» являлась единственным научно- техническим центром страны, где в незначительном объеме велись разработки в области электронной физики. Аксиомой является то, что фундаментальные исследования физико-химических процессов лежат в основе прогресса в об</w:t>
      </w:r>
      <w:r w:rsidRPr="00E93F40">
        <w:rPr>
          <w:rFonts w:ascii="Times New Roman" w:hAnsi="Times New Roman"/>
          <w:color w:val="000000" w:themeColor="text1"/>
          <w:sz w:val="16"/>
          <w:szCs w:val="16"/>
        </w:rPr>
        <w:softHyphen/>
        <w:t>ласти лампового производства. Однако лаборатория, возглавляемая С.А. Векшинским, с точки зрения технического оснащения, обеспечения кадрами, ор</w:t>
      </w:r>
      <w:r w:rsidRPr="00E93F40">
        <w:rPr>
          <w:rFonts w:ascii="Times New Roman" w:hAnsi="Times New Roman"/>
          <w:color w:val="000000" w:themeColor="text1"/>
          <w:sz w:val="16"/>
          <w:szCs w:val="16"/>
        </w:rPr>
        <w:softHyphen/>
        <w:t>ганизации научно- исследовательских работ была не в состоянии в полной ме</w:t>
      </w:r>
      <w:r w:rsidRPr="00E93F40">
        <w:rPr>
          <w:rFonts w:ascii="Times New Roman" w:hAnsi="Times New Roman"/>
          <w:color w:val="000000" w:themeColor="text1"/>
          <w:sz w:val="16"/>
          <w:szCs w:val="16"/>
        </w:rPr>
        <w:softHyphen/>
        <w:t>ре решать стоящие перед ней задачи и не соответствовала той роли, которая ей отводилась в структуре отечественной промышленности средств связи. Имея в своем составе 112 сотрудников, лаборатория одновременно занималась разра</w:t>
      </w:r>
      <w:r w:rsidRPr="00E93F40">
        <w:rPr>
          <w:rFonts w:ascii="Times New Roman" w:hAnsi="Times New Roman"/>
          <w:color w:val="000000" w:themeColor="text1"/>
          <w:sz w:val="16"/>
          <w:szCs w:val="16"/>
        </w:rPr>
        <w:softHyphen/>
        <w:t>боткой 45 типов ламп, при этом около 80% времени она была вынуждена тра</w:t>
      </w:r>
      <w:r w:rsidRPr="00E93F40">
        <w:rPr>
          <w:rFonts w:ascii="Times New Roman" w:hAnsi="Times New Roman"/>
          <w:color w:val="000000" w:themeColor="text1"/>
          <w:sz w:val="16"/>
          <w:szCs w:val="16"/>
        </w:rPr>
        <w:softHyphen/>
        <w:t>тить на решение задач обеспечения текущего производства в ущерб научным разработкам. Очень остро на заводе «Светлана» стоял вопрос с качеством по</w:t>
      </w:r>
      <w:r w:rsidRPr="00E93F40">
        <w:rPr>
          <w:rFonts w:ascii="Times New Roman" w:hAnsi="Times New Roman"/>
          <w:color w:val="000000" w:themeColor="text1"/>
          <w:sz w:val="16"/>
          <w:szCs w:val="16"/>
        </w:rPr>
        <w:softHyphen/>
        <w:t>ставляемых материалов, особенно после перехода на снабжение преимущест</w:t>
      </w:r>
      <w:r w:rsidRPr="00E93F40">
        <w:rPr>
          <w:rFonts w:ascii="Times New Roman" w:hAnsi="Times New Roman"/>
          <w:color w:val="000000" w:themeColor="text1"/>
          <w:sz w:val="16"/>
          <w:szCs w:val="16"/>
        </w:rPr>
        <w:softHyphen/>
        <w:t>венно продукцией отечественных предприятий. Это также отвлекало силы ла</w:t>
      </w:r>
      <w:r w:rsidRPr="00E93F40">
        <w:rPr>
          <w:rFonts w:ascii="Times New Roman" w:hAnsi="Times New Roman"/>
          <w:color w:val="000000" w:themeColor="text1"/>
          <w:sz w:val="16"/>
          <w:szCs w:val="16"/>
        </w:rPr>
        <w:softHyphen/>
        <w:t>боратории, т. к. ни один из поступивших на завод материалов нельзя было пус</w:t>
      </w:r>
      <w:r w:rsidRPr="00E93F40">
        <w:rPr>
          <w:rFonts w:ascii="Times New Roman" w:hAnsi="Times New Roman"/>
          <w:color w:val="000000" w:themeColor="text1"/>
          <w:sz w:val="16"/>
          <w:szCs w:val="16"/>
        </w:rPr>
        <w:softHyphen/>
        <w:t>кать в производство без проведения тщательных анализов. Векшинский при</w:t>
      </w:r>
      <w:r w:rsidRPr="00E93F40">
        <w:rPr>
          <w:rFonts w:ascii="Times New Roman" w:hAnsi="Times New Roman"/>
          <w:color w:val="000000" w:themeColor="text1"/>
          <w:sz w:val="16"/>
          <w:szCs w:val="16"/>
        </w:rPr>
        <w:softHyphen/>
        <w:t>вел пример, когда в составе присланного на «Светлану» никеля производства Кольчугинского завода было обнаружено 60% меди и 20% цинка. Не меньше проблем доставляло столь необходимое для вакуумного производства стекло, которое поступало на «Светлану» из четырех различных источников. Техни</w:t>
      </w:r>
      <w:r w:rsidRPr="00E93F40">
        <w:rPr>
          <w:rFonts w:ascii="Times New Roman" w:hAnsi="Times New Roman"/>
          <w:color w:val="000000" w:themeColor="text1"/>
          <w:sz w:val="16"/>
          <w:szCs w:val="16"/>
        </w:rPr>
        <w:softHyphen/>
        <w:t>ческое оснащение самого завода оставляло желать лучшего, так как оно со</w:t>
      </w:r>
      <w:r w:rsidRPr="00E93F40">
        <w:rPr>
          <w:rFonts w:ascii="Times New Roman" w:hAnsi="Times New Roman"/>
          <w:color w:val="000000" w:themeColor="text1"/>
          <w:sz w:val="16"/>
          <w:szCs w:val="16"/>
        </w:rPr>
        <w:softHyphen/>
        <w:t>хранилось на уровне 1923-1928 гг., когда предприятия ЭТЗСТ получали тех</w:t>
      </w:r>
      <w:r w:rsidRPr="00E93F40">
        <w:rPr>
          <w:rFonts w:ascii="Times New Roman" w:hAnsi="Times New Roman"/>
          <w:color w:val="000000" w:themeColor="text1"/>
          <w:sz w:val="16"/>
          <w:szCs w:val="16"/>
        </w:rPr>
        <w:softHyphen/>
        <w:t>ническую помощь от Французской Генеральной компании. Резюмируя все сказанное, Векшинский сделал неутешительные выводы:</w:t>
      </w:r>
    </w:p>
    <w:p w14:paraId="54B3BE9B" w14:textId="77777777" w:rsidR="004F6794" w:rsidRPr="00E93F40" w:rsidRDefault="004F6794" w:rsidP="00E93F40">
      <w:pPr>
        <w:tabs>
          <w:tab w:val="left" w:pos="93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отставание теоретических разработок отечественных специалистов от иностранных образцов составляло от шести месяцев до одного года, однако вследствие слабой технической оснащенности процесс реализации этих разра</w:t>
      </w:r>
      <w:r w:rsidRPr="00E93F40">
        <w:rPr>
          <w:rFonts w:ascii="Times New Roman" w:hAnsi="Times New Roman"/>
          <w:color w:val="000000" w:themeColor="text1"/>
          <w:sz w:val="16"/>
          <w:szCs w:val="16"/>
        </w:rPr>
        <w:softHyphen/>
        <w:t>боток в производстве значительно задерживался; в результате отставание оте</w:t>
      </w:r>
      <w:r w:rsidRPr="00E93F40">
        <w:rPr>
          <w:rFonts w:ascii="Times New Roman" w:hAnsi="Times New Roman"/>
          <w:color w:val="000000" w:themeColor="text1"/>
          <w:sz w:val="16"/>
          <w:szCs w:val="16"/>
        </w:rPr>
        <w:softHyphen/>
        <w:t>чественных серийных электровакуумных изделий от иностранных достигало уже два-три года;</w:t>
      </w:r>
    </w:p>
    <w:p w14:paraId="0EA41FD8" w14:textId="77777777" w:rsidR="004F6794" w:rsidRPr="00E93F40" w:rsidRDefault="004F6794" w:rsidP="00E93F40">
      <w:pPr>
        <w:tabs>
          <w:tab w:val="left" w:pos="951"/>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завод «Светлана», как головное предприятие советской электронной промышленности, в своем настоящем состоянии не способен заниматься раз</w:t>
      </w:r>
      <w:r w:rsidRPr="00E93F40">
        <w:rPr>
          <w:rFonts w:ascii="Times New Roman" w:hAnsi="Times New Roman"/>
          <w:color w:val="000000" w:themeColor="text1"/>
          <w:sz w:val="16"/>
          <w:szCs w:val="16"/>
        </w:rPr>
        <w:softHyphen/>
        <w:t>работкой новых современных изделий и, тем более, не способен организовать их массовое производство.</w:t>
      </w:r>
    </w:p>
    <w:p w14:paraId="49666BA6"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обсуждения доклада С.А. Векшинского конференция выработала комплекс мер, направленных на скорейшее исправление создав</w:t>
      </w:r>
      <w:r w:rsidRPr="00E93F40">
        <w:rPr>
          <w:rFonts w:ascii="Times New Roman" w:hAnsi="Times New Roman"/>
          <w:color w:val="000000" w:themeColor="text1"/>
          <w:sz w:val="16"/>
          <w:szCs w:val="16"/>
        </w:rPr>
        <w:softHyphen/>
        <w:t>шегося положения в электровакуумном производстве. Правлению ВЭСО ре</w:t>
      </w:r>
      <w:r w:rsidRPr="00E93F40">
        <w:rPr>
          <w:rFonts w:ascii="Times New Roman" w:hAnsi="Times New Roman"/>
          <w:color w:val="000000" w:themeColor="text1"/>
          <w:sz w:val="16"/>
          <w:szCs w:val="16"/>
        </w:rPr>
        <w:softHyphen/>
        <w:t>комендовано в кратчайшие сроки провести работы по организации на заводе «Светлана» отраслевой вакуумной лаборатории (ОВЛ), оборудованию ее со</w:t>
      </w:r>
      <w:r w:rsidRPr="00E93F40">
        <w:rPr>
          <w:rFonts w:ascii="Times New Roman" w:hAnsi="Times New Roman"/>
          <w:color w:val="000000" w:themeColor="text1"/>
          <w:sz w:val="16"/>
          <w:szCs w:val="16"/>
        </w:rPr>
        <w:softHyphen/>
        <w:t>временной техникой, обеспечению подготовленными кадрами и созданию ус</w:t>
      </w:r>
      <w:r w:rsidRPr="00E93F40">
        <w:rPr>
          <w:rFonts w:ascii="Times New Roman" w:hAnsi="Times New Roman"/>
          <w:color w:val="000000" w:themeColor="text1"/>
          <w:sz w:val="16"/>
          <w:szCs w:val="16"/>
        </w:rPr>
        <w:softHyphen/>
        <w:t>ловий для ликвидации отставания от иностранной техники уже в течение пер</w:t>
      </w:r>
      <w:r w:rsidRPr="00E93F40">
        <w:rPr>
          <w:rFonts w:ascii="Times New Roman" w:hAnsi="Times New Roman"/>
          <w:color w:val="000000" w:themeColor="text1"/>
          <w:sz w:val="16"/>
          <w:szCs w:val="16"/>
        </w:rPr>
        <w:softHyphen/>
        <w:t>вого года второй пятилетки</w:t>
      </w:r>
      <w:r w:rsidRPr="00E93F40">
        <w:rPr>
          <w:rFonts w:ascii="Times New Roman" w:hAnsi="Times New Roman"/>
          <w:color w:val="000000" w:themeColor="text1"/>
          <w:sz w:val="16"/>
          <w:szCs w:val="16"/>
          <w:vertAlign w:val="superscript"/>
        </w:rPr>
        <w:t>1</w:t>
      </w:r>
      <w:r w:rsidRPr="00E93F40">
        <w:rPr>
          <w:rFonts w:ascii="Times New Roman" w:hAnsi="Times New Roman"/>
          <w:color w:val="000000" w:themeColor="text1"/>
          <w:sz w:val="16"/>
          <w:szCs w:val="16"/>
        </w:rPr>
        <w:t>. В целях решения проблемы снабжения качест</w:t>
      </w:r>
      <w:r w:rsidRPr="00E93F40">
        <w:rPr>
          <w:rFonts w:ascii="Times New Roman" w:hAnsi="Times New Roman"/>
          <w:color w:val="000000" w:themeColor="text1"/>
          <w:sz w:val="16"/>
          <w:szCs w:val="16"/>
        </w:rPr>
        <w:softHyphen/>
        <w:t>венными материалами ставился вопрос о строительстве завода по производст</w:t>
      </w:r>
      <w:r w:rsidRPr="00E93F40">
        <w:rPr>
          <w:rFonts w:ascii="Times New Roman" w:hAnsi="Times New Roman"/>
          <w:color w:val="000000" w:themeColor="text1"/>
          <w:sz w:val="16"/>
          <w:szCs w:val="16"/>
        </w:rPr>
        <w:softHyphen/>
        <w:t>ву специального стекла, об организации производства в СССР молибдена и тантала, широко применявшихся в производстве вакуумных изделий. Кроме этого были выработаны рекомендации по разработке конкретных типов изде</w:t>
      </w:r>
      <w:r w:rsidRPr="00E93F40">
        <w:rPr>
          <w:rFonts w:ascii="Times New Roman" w:hAnsi="Times New Roman"/>
          <w:color w:val="000000" w:themeColor="text1"/>
          <w:sz w:val="16"/>
          <w:szCs w:val="16"/>
        </w:rPr>
        <w:softHyphen/>
        <w:t>лий, необходимых для дальнейшего развертывания производства радиотехни</w:t>
      </w:r>
      <w:r w:rsidRPr="00E93F40">
        <w:rPr>
          <w:rFonts w:ascii="Times New Roman" w:hAnsi="Times New Roman"/>
          <w:color w:val="000000" w:themeColor="text1"/>
          <w:sz w:val="16"/>
          <w:szCs w:val="16"/>
        </w:rPr>
        <w:softHyphen/>
        <w:t>ки как общехозяйственного, так и специального назначения.</w:t>
      </w:r>
    </w:p>
    <w:p w14:paraId="793C9266"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Исходя из задач, поставленных перед электрослаботочной промышлен</w:t>
      </w:r>
      <w:r w:rsidRPr="00E93F40">
        <w:rPr>
          <w:rFonts w:ascii="Times New Roman" w:hAnsi="Times New Roman"/>
          <w:color w:val="000000" w:themeColor="text1"/>
          <w:sz w:val="16"/>
          <w:szCs w:val="16"/>
        </w:rPr>
        <w:softHyphen/>
        <w:t>ностью НКВМ, конференция выработала программу мероприятий для отрасли на вторую пятилетку. Речь шла, прежде всего, об уплотнении уже освоенных ДВ, СВ и КВ диапазонов, а также о создании средств связи в диапазонах УКВ, дециметровых и сантиметровых волн; переходе войсковой радиосвязи на сис</w:t>
      </w:r>
      <w:r w:rsidRPr="00E93F40">
        <w:rPr>
          <w:rFonts w:ascii="Times New Roman" w:hAnsi="Times New Roman"/>
          <w:color w:val="000000" w:themeColor="text1"/>
          <w:sz w:val="16"/>
          <w:szCs w:val="16"/>
        </w:rPr>
        <w:softHyphen/>
        <w:t>тему дуплексной связи; обеспечении секретности радиопереговоров; разра</w:t>
      </w:r>
      <w:r w:rsidRPr="00E93F40">
        <w:rPr>
          <w:rFonts w:ascii="Times New Roman" w:hAnsi="Times New Roman"/>
          <w:color w:val="000000" w:themeColor="text1"/>
          <w:sz w:val="16"/>
          <w:szCs w:val="16"/>
        </w:rPr>
        <w:softHyphen/>
        <w:t>ботке активных средств для создания помех связи противника; применении систем передачи изображения и аппаратуры на оптических лучах для целей военной связи; обеспечении ВМФ и ВВС современными средствами навига</w:t>
      </w:r>
      <w:r w:rsidRPr="00E93F40">
        <w:rPr>
          <w:rFonts w:ascii="Times New Roman" w:hAnsi="Times New Roman"/>
          <w:color w:val="000000" w:themeColor="text1"/>
          <w:sz w:val="16"/>
          <w:szCs w:val="16"/>
        </w:rPr>
        <w:softHyphen/>
        <w:t>ции; улучшении существующих и разработка новых типов буквопечатающей аппаратуры для военной радиосвязи.</w:t>
      </w:r>
    </w:p>
    <w:p w14:paraId="23C93DC1"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конференции было принято решение о всестороннем развитии науч</w:t>
      </w:r>
      <w:r w:rsidRPr="00E93F40">
        <w:rPr>
          <w:rFonts w:ascii="Times New Roman" w:hAnsi="Times New Roman"/>
          <w:color w:val="000000" w:themeColor="text1"/>
          <w:sz w:val="16"/>
          <w:szCs w:val="16"/>
        </w:rPr>
        <w:softHyphen/>
        <w:t>но-исследовательской базы военной радиосвязи, которая должна была, с од</w:t>
      </w:r>
      <w:r w:rsidRPr="00E93F40">
        <w:rPr>
          <w:rFonts w:ascii="Times New Roman" w:hAnsi="Times New Roman"/>
          <w:color w:val="000000" w:themeColor="text1"/>
          <w:sz w:val="16"/>
          <w:szCs w:val="16"/>
        </w:rPr>
        <w:softHyphen/>
        <w:t>ной стороны, осуществлять разработку новых видов радиосредств в отрасле</w:t>
      </w:r>
      <w:r w:rsidRPr="00E93F40">
        <w:rPr>
          <w:rFonts w:ascii="Times New Roman" w:hAnsi="Times New Roman"/>
          <w:color w:val="000000" w:themeColor="text1"/>
          <w:sz w:val="16"/>
          <w:szCs w:val="16"/>
        </w:rPr>
        <w:softHyphen/>
        <w:t>вых лабораториях, а с другой стороны, форсировать развитие фундаменталь</w:t>
      </w:r>
      <w:r w:rsidRPr="00E93F40">
        <w:rPr>
          <w:rFonts w:ascii="Times New Roman" w:hAnsi="Times New Roman"/>
          <w:color w:val="000000" w:themeColor="text1"/>
          <w:sz w:val="16"/>
          <w:szCs w:val="16"/>
        </w:rPr>
        <w:softHyphen/>
        <w:t>ных научно-теоретических исследований без отрыва от промышленности. Ставилась задача организации четкого взаимодействия и распределения сфер ответственности между различными институтами и лабораториями (прежде всего ЦРЛ, ЦВИРЛ и ОРПУ завода им. Коминтерна) (19098).</w:t>
      </w:r>
    </w:p>
    <w:p w14:paraId="7A52E1C3" w14:textId="77777777" w:rsidR="004F6794" w:rsidRPr="00E93F40" w:rsidRDefault="004F6794" w:rsidP="00E93F40">
      <w:pPr>
        <w:spacing w:after="0" w:line="240" w:lineRule="auto"/>
        <w:jc w:val="both"/>
        <w:rPr>
          <w:rFonts w:ascii="Times New Roman" w:hAnsi="Times New Roman"/>
          <w:color w:val="000000" w:themeColor="text1"/>
          <w:sz w:val="16"/>
          <w:szCs w:val="16"/>
        </w:rPr>
      </w:pPr>
    </w:p>
    <w:p w14:paraId="44258459" w14:textId="77777777" w:rsidR="00F8111C" w:rsidRPr="00E93F40" w:rsidRDefault="00F8111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мае 1932 г., осозание руководством Народного комиссариата по военным и морским делам (НКВМ) и ВЭСО «ненормальности» положения с развитием радиотехнической отрасли стало основной причиной созыва в Ленинграде конференции «по обсуждению вопросов второй технической пятилетки в области военной связи». В резолюции конференции особо подчеркивалось, что одной из основных причин отставания отечественной радиотехники от иностранной является «…необеспеченность необходимых темпов ее развития со стороны производства электровакуумных приборов. Имеет место разрыв между теоретическими выводами и практическими возможностями их быстрой реализации...» В своем докладе на конференции С. А. Векшинский сделал неутешительные выводы: «…Отставание </w:t>
      </w:r>
      <w:r w:rsidRPr="00E93F40">
        <w:rPr>
          <w:rFonts w:ascii="Times New Roman" w:hAnsi="Times New Roman"/>
          <w:color w:val="000000" w:themeColor="text1"/>
          <w:sz w:val="16"/>
          <w:szCs w:val="16"/>
        </w:rPr>
        <w:lastRenderedPageBreak/>
        <w:t>теоретических разработок радиоламп отечественными специалистами от аналогичных иностранных образцов составляет от шести месяцев до одного года, что связано со слабой технической оснащенностью процесса реализации этих разработок в производстве. В результате отставание отечественных серийных электровакуумных приборов от иностранных достигает уже двух-трех лет. Таким образом, завод «Светлана», как головное предприятие советской электронной промышленности, в своем настоящем состоянии не способен заниматься разработкой новых современных изделий и тем более не способен организовать их массовое производство». По результатам обсуждения доклада, конференция выработала комплекс мер, направленных на скорейшее исправление создавшегося положения в электровакуумном производстве. Правлению ВЭСО было рекомендовано в кратчайшие сроки провести работы по организации на заводе «Светлана» отраслевой вакуумной лаборатории (ОВЛ), оборудованию ее современной техникой, обеспечению подготовленными кадрами и созданию условий для ликвидации отставания от иностранной техники уже в течение первого года второй пятилетки. Кроме этого, были выработаны рекомендации по разработке конкретных типов радиоламп, необходимых для дальнейшего развертывания производства радиотехники как общехозяйственного, так и специального назначения. Наличие собственной научно-исследовательской базы, однако, отнюдь не означало изоляцию от передовой иностранной научно-технической мысли. Конференция особо подчеркнула важность самого тесного взаимодействия с заграницей, получения научнотехнической помощи путем ускоренного обеспечения основных лабораторий импортными образцами, полуфабрикатами, материалами, литературой (21526).</w:t>
      </w:r>
    </w:p>
    <w:p w14:paraId="6E532CB6" w14:textId="77777777" w:rsidR="00F8111C" w:rsidRPr="00E93F40" w:rsidRDefault="00F8111C" w:rsidP="00E93F40">
      <w:pPr>
        <w:spacing w:after="0" w:line="240" w:lineRule="auto"/>
        <w:jc w:val="both"/>
        <w:rPr>
          <w:rFonts w:ascii="Times New Roman" w:hAnsi="Times New Roman"/>
          <w:color w:val="000000" w:themeColor="text1"/>
          <w:sz w:val="16"/>
          <w:szCs w:val="16"/>
        </w:rPr>
      </w:pPr>
    </w:p>
    <w:p w14:paraId="58ABE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Реввоенсовет, которому в это время Остехбюро было подчинено, заслушав отчет о его работе, отметил большие достижения Остехбюро в деле создания новых видов военной техники и вооружения, укрепления обороноспособности страны (10737).</w:t>
      </w:r>
    </w:p>
    <w:p w14:paraId="56FF81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2522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контора «Стройволокно» (6-й Государственный проектный институт (ГСПИ-6) НКОП, НКБ, Специальная государственная контора по проектированию фабрик искусственного волокна («Стройволокно») ВСНХ, Государственная проектная контора «Воивпроект», Государственный институт проектирования предприятий искусственного волокна «Гипроив», «Гипроспецхим» (ГСХ) НКТП /г. Москва/), созданная 17 декабря 1928 г. пост. Президиума ВСНХ, была преобразована в Государственную проектную контору «Воивпроект», а в 08.1931 г. - в «Гипроив». 19.03.1933г. «Гипроив» был объединен с институтом «Вохимпроект» в единый проектный институт военно-химической промышленности «Гипроспецхим», который стал генеральным проектировщиком всех заводов по производству спецхимии. В соответствии с пост. СНК № 2139-425сс от 21.12.1936г. и пр. НКОП № 05с от 29.12.1936г. «Гипроспецхим» передан из НКТП в ГУ военно-химической промышленности НКОП. По пр. НКОП № 011с от 28.01.1937г. «Гипроспецхим» переименован в 6-й ГПИ, пр. № 433 от 22.12.1937г. утвержден Устав института. В 1937г.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E93F40">
        <w:rPr>
          <w:rFonts w:ascii="Times New Roman" w:hAnsi="Times New Roman"/>
          <w:color w:val="000000" w:themeColor="text1"/>
          <w:sz w:val="16"/>
          <w:szCs w:val="16"/>
          <w:vertAlign w:val="superscript"/>
        </w:rPr>
        <w:t>132</w:t>
      </w:r>
      <w:r w:rsidRPr="00E93F40">
        <w:rPr>
          <w:rFonts w:ascii="Times New Roman" w:hAnsi="Times New Roman"/>
          <w:color w:val="000000" w:themeColor="text1"/>
          <w:sz w:val="16"/>
          <w:szCs w:val="16"/>
        </w:rPr>
        <w:t xml:space="preserve"> В 1948г. ГСПИ-6 вновь влит в состав ГССПИ-1.</w:t>
      </w:r>
    </w:p>
    <w:p w14:paraId="62A65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21C0FD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(-03.1937-06.1938г.-)- А.С. Скобелев, (11.1943г.)- Трилестник.</w:t>
      </w:r>
    </w:p>
    <w:p w14:paraId="03D431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(-05.1937-38г.-)- Лясоцкий.</w:t>
      </w:r>
    </w:p>
    <w:p w14:paraId="7E80B6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инженеры проектов: (1938г.)- Коваленко (завод № 204), Акин (завод № 144), (-09.1938г.)- Лихушин.</w:t>
      </w:r>
    </w:p>
    <w:p w14:paraId="2AF06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механического (11.1943г.)- Зимин.</w:t>
      </w:r>
      <w:r w:rsidRPr="00E93F40">
        <w:rPr>
          <w:rFonts w:ascii="Times New Roman" w:hAnsi="Times New Roman"/>
          <w:color w:val="000000" w:themeColor="text1"/>
          <w:sz w:val="16"/>
          <w:szCs w:val="16"/>
          <w:vertAlign w:val="superscript"/>
        </w:rPr>
        <w:t>132</w:t>
      </w:r>
    </w:p>
    <w:p w14:paraId="64FCA8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секторов: водоснабжения (1938г.)- Сидоров.</w:t>
      </w:r>
    </w:p>
    <w:p w14:paraId="4BC86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сектора: энергетического (1938г.)- Хотеев.</w:t>
      </w:r>
    </w:p>
    <w:p w14:paraId="619653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групп: по пироксилину (06.1938г.-)- Тарасов; по пороху (06.1938г.-)- Ауэр (11982).</w:t>
      </w:r>
    </w:p>
    <w:p w14:paraId="5F12BB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B5B4AE"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работу промышленности инспектирует Военно-морская инспекция Наркомата РКИ СССР, которая констатирует все тот же «букет» причин, мешающих нормальному развертыванию работ на предприятиях: позднее и недостаточное выделение фондов на сырье, материалы и полуфабрикаты; задержки с их поставками по уже выделенным фондам; необеспеченность стройматериалами работ по реконструкции заводов им. Кулакова, им. Козицкого, им. Коминтерна, «Электроприбор»; недостаточное выделение валютных фондов НКТП на приобретение импортного оборудования и др.51. Крайне отрицательно сказывались хронические недопоставки радиомашин предприятиями ВЭО (московский завод им. Лепсе и ленинградский «Электрик»), а также задержка с вводом в строй Саратовского завода щелочных аккумуляторов (18297)</w:t>
      </w:r>
    </w:p>
    <w:p w14:paraId="11E16E33" w14:textId="77777777" w:rsidR="004F6794" w:rsidRPr="00E93F40" w:rsidRDefault="004F6794" w:rsidP="00E93F40">
      <w:pPr>
        <w:spacing w:after="0" w:line="240" w:lineRule="auto"/>
        <w:jc w:val="both"/>
        <w:rPr>
          <w:rFonts w:ascii="Times New Roman" w:hAnsi="Times New Roman"/>
          <w:color w:val="000000" w:themeColor="text1"/>
          <w:sz w:val="16"/>
          <w:szCs w:val="16"/>
        </w:rPr>
      </w:pPr>
    </w:p>
    <w:p w14:paraId="104D5F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на заводе "Ленинская куз</w:t>
      </w:r>
      <w:r w:rsidRPr="00E93F40">
        <w:rPr>
          <w:rFonts w:ascii="Times New Roman" w:hAnsi="Times New Roman"/>
          <w:color w:val="000000" w:themeColor="text1"/>
          <w:sz w:val="16"/>
          <w:szCs w:val="16"/>
        </w:rPr>
        <w:softHyphen/>
        <w:t>ница" был спущен на воду монитор "Ударный”, а в июне 1934 г. вступил в строй (3898).</w:t>
      </w:r>
    </w:p>
    <w:p w14:paraId="0345B0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92D7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УВМС выдало заводу дополнительное ТТЗ, согласно которому длину ствола увеличили до 50 калибров, клиновой затвор заменили поршневым и ввели картузное заряжание. Большой вклад в разработку Б-13 вне­сли конструкторы КБ завода С.А.Замараев, С.А.Морозов, Б.А.Левер, В.И.Кудряшов и В.М.Розенберг. Несмотря на усилия дос­таточно сильного коллектива квалифициро­ванных специалистов, создание новой артсистемы затянулось. Изготовление тела орудия и станка раз­местили на заводе «Большевик» в первом квартале 1932 года. Все рабочие чертежи были закончены к маю того же года и запущены в производство; исключение состав­ляли чертежи досылателя, которые много­кратно менялись, что приводило к многочис­ленным изменениям в казеннике и затворе: на 1 октября 1933 года готовность системы составляла 50%, а по досылателю еще от­сутствовали чертежи. Заводские испытания опытного образца Б-13, при большой некомплектности орудия, начались лишь в апреле 1 934 года; из-за спешки они проводились по сокращенной программе. В ходе испытаний выявился це­лый ряд существенных недостатков: досылатель не отработан, низкая скорострель­ность (10 выстр./мин), малая живучесть ствола (150—200 выстрелов), сложная, часто выходившая из строя автоматика и полуавтоматика. После срыва испытаний орудие вернули на завод на доработку. Повторные испытания опытного образ­ца артсистемы проводились уже в апреле 1 935 года,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536AF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EC65BC" w14:textId="77777777" w:rsidR="00B323BF" w:rsidRPr="00951B40" w:rsidRDefault="00B323BF" w:rsidP="00B323BF">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В мае 1932 г. Научно- технический комитет ВМФ подготовил оба варианта нового катера ВУ (реданный и безреданный) и в виде эскизных проектов, после чего они были направлены в ЦАГИ на отзыв Тупо</w:t>
      </w:r>
      <w:r w:rsidRPr="00951B40">
        <w:rPr>
          <w:rStyle w:val="aff"/>
          <w:rFonts w:ascii="Times New Roman" w:hAnsi="Times New Roman" w:cs="Times New Roman"/>
          <w:color w:val="0070C0"/>
          <w:spacing w:val="0"/>
          <w:sz w:val="16"/>
          <w:szCs w:val="16"/>
        </w:rPr>
        <w:softHyphen/>
        <w:t>леву. Последний одобрил реданный вари</w:t>
      </w:r>
      <w:r w:rsidRPr="00951B40">
        <w:rPr>
          <w:rStyle w:val="aff"/>
          <w:rFonts w:ascii="Times New Roman" w:hAnsi="Times New Roman" w:cs="Times New Roman"/>
          <w:color w:val="0070C0"/>
          <w:spacing w:val="0"/>
          <w:sz w:val="16"/>
          <w:szCs w:val="16"/>
        </w:rPr>
        <w:softHyphen/>
        <w:t>ант. Проектантам удалось уложиться в водоизмещение 30 тонн, но для того, чтобы обеспечить глиссеру возможность развить 45-узловой ход, требовались три мотора мощностью по 1500 л.с. каждый. Дальше Мортехупр должен был выдать Союзверфи наряд на разработку общего проекта и постройку катеров, получивших в документах УК ВМС обозначение ВУ-45 или ТК-45 (25781).</w:t>
      </w:r>
    </w:p>
    <w:p w14:paraId="1D07962B" w14:textId="77777777" w:rsidR="00B323BF" w:rsidRPr="00951B40" w:rsidRDefault="00B323BF" w:rsidP="00B323BF">
      <w:pPr>
        <w:spacing w:after="0" w:line="240" w:lineRule="auto"/>
        <w:jc w:val="both"/>
        <w:rPr>
          <w:rStyle w:val="aff"/>
          <w:rFonts w:ascii="Times New Roman" w:hAnsi="Times New Roman" w:cs="Times New Roman"/>
          <w:color w:val="0070C0"/>
          <w:spacing w:val="0"/>
          <w:sz w:val="16"/>
          <w:szCs w:val="16"/>
        </w:rPr>
      </w:pPr>
    </w:p>
    <w:p w14:paraId="49B34BA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E69F6E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08FBD2A" w14:textId="2201B9A0"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мае 1932 года ком</w:t>
      </w:r>
      <w:r w:rsidRPr="00E93F40">
        <w:rPr>
          <w:rFonts w:ascii="Times New Roman" w:hAnsi="Times New Roman"/>
          <w:color w:val="000000" w:themeColor="text1"/>
          <w:sz w:val="16"/>
          <w:szCs w:val="16"/>
        </w:rPr>
        <w:softHyphen/>
        <w:t>брига Добролеж А.Г. (до нового назначения являлся помощником командира 11-й авиабригады) – командир 19-й авиабригады, которую сформировали для перегонки 24 ТБ-</w:t>
      </w:r>
      <w:r w:rsidR="00CE5282">
        <w:rPr>
          <w:rFonts w:ascii="Times New Roman" w:hAnsi="Times New Roman"/>
          <w:color w:val="000000" w:themeColor="text1"/>
          <w:sz w:val="16"/>
          <w:szCs w:val="16"/>
        </w:rPr>
        <w:t>3</w:t>
      </w:r>
      <w:r w:rsidRPr="00E93F40">
        <w:rPr>
          <w:rFonts w:ascii="Times New Roman" w:hAnsi="Times New Roman"/>
          <w:color w:val="000000" w:themeColor="text1"/>
          <w:sz w:val="16"/>
          <w:szCs w:val="16"/>
        </w:rPr>
        <w:t xml:space="preserve"> на ДВ, прибыл на Центральный московский аэродром (Хо</w:t>
      </w:r>
      <w:r w:rsidRPr="00E93F40">
        <w:rPr>
          <w:rFonts w:ascii="Times New Roman" w:hAnsi="Times New Roman"/>
          <w:color w:val="000000" w:themeColor="text1"/>
          <w:sz w:val="16"/>
          <w:szCs w:val="16"/>
        </w:rPr>
        <w:softHyphen/>
        <w:t>дынку) в НИИ ВВС, где прошел обучение: сначала на двухмоторном Р-6, а затем на ТБ-3. Все происхо</w:t>
      </w:r>
      <w:r w:rsidRPr="00E93F40">
        <w:rPr>
          <w:rFonts w:ascii="Times New Roman" w:hAnsi="Times New Roman"/>
          <w:color w:val="000000" w:themeColor="text1"/>
          <w:sz w:val="16"/>
          <w:szCs w:val="16"/>
        </w:rPr>
        <w:softHyphen/>
        <w:t>дило в ускоренном темпе, т.к. по первоначальным планам вылет на Дальний Восток планировался уже 25-30 мая.</w:t>
      </w:r>
    </w:p>
    <w:p w14:paraId="3558C555" w14:textId="77777777"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Следом за командиром бригады готовились и лет</w:t>
      </w:r>
      <w:r w:rsidRPr="00E93F40">
        <w:rPr>
          <w:rFonts w:ascii="Times New Roman" w:hAnsi="Times New Roman"/>
          <w:color w:val="000000" w:themeColor="text1"/>
          <w:sz w:val="16"/>
          <w:szCs w:val="16"/>
        </w:rPr>
        <w:softHyphen/>
        <w:t>чики, которые при подготовке к перелету тренирова</w:t>
      </w:r>
      <w:r w:rsidRPr="00E93F40">
        <w:rPr>
          <w:rFonts w:ascii="Times New Roman" w:hAnsi="Times New Roman"/>
          <w:color w:val="000000" w:themeColor="text1"/>
          <w:sz w:val="16"/>
          <w:szCs w:val="16"/>
        </w:rPr>
        <w:softHyphen/>
        <w:t>лись на Центральном аэродроме. Для этой цели был выделен ТБ-3 «эталон», инструктором являлся опыт</w:t>
      </w:r>
      <w:r w:rsidRPr="00E93F40">
        <w:rPr>
          <w:rFonts w:ascii="Times New Roman" w:hAnsi="Times New Roman"/>
          <w:color w:val="000000" w:themeColor="text1"/>
          <w:sz w:val="16"/>
          <w:szCs w:val="16"/>
        </w:rPr>
        <w:softHyphen/>
        <w:t>ный летчик Константин Миндер. Самолеты для заду</w:t>
      </w:r>
      <w:r w:rsidRPr="00E93F40">
        <w:rPr>
          <w:rFonts w:ascii="Times New Roman" w:hAnsi="Times New Roman"/>
          <w:color w:val="000000" w:themeColor="text1"/>
          <w:sz w:val="16"/>
          <w:szCs w:val="16"/>
        </w:rPr>
        <w:softHyphen/>
        <w:t>манного перелета поступали непосредственно с заво</w:t>
      </w:r>
      <w:r w:rsidRPr="00E93F40">
        <w:rPr>
          <w:rFonts w:ascii="Times New Roman" w:hAnsi="Times New Roman"/>
          <w:color w:val="000000" w:themeColor="text1"/>
          <w:sz w:val="16"/>
          <w:szCs w:val="16"/>
        </w:rPr>
        <w:softHyphen/>
        <w:t>да №22, часть ТБ-3 уже находилась в Воронеже на аэродроме 11-й авиабригады.</w:t>
      </w:r>
    </w:p>
    <w:p w14:paraId="299715E3" w14:textId="77777777"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отметим, что задуманный перелет протя</w:t>
      </w:r>
      <w:r w:rsidRPr="00E93F40">
        <w:rPr>
          <w:rFonts w:ascii="Times New Roman" w:hAnsi="Times New Roman"/>
          <w:color w:val="000000" w:themeColor="text1"/>
          <w:sz w:val="16"/>
          <w:szCs w:val="16"/>
        </w:rPr>
        <w:softHyphen/>
        <w:t>женностью около 7 тысяч километров являлся весьма рискованным мероприятием. В первую очередь бес</w:t>
      </w:r>
      <w:r w:rsidRPr="00E93F40">
        <w:rPr>
          <w:rFonts w:ascii="Times New Roman" w:hAnsi="Times New Roman"/>
          <w:color w:val="000000" w:themeColor="text1"/>
          <w:sz w:val="16"/>
          <w:szCs w:val="16"/>
        </w:rPr>
        <w:softHyphen/>
        <w:t>покойство вызывала надежность двигателей М-17, их качество не было столь высоким, чтобы быть стопро</w:t>
      </w:r>
      <w:r w:rsidRPr="00E93F40">
        <w:rPr>
          <w:rFonts w:ascii="Times New Roman" w:hAnsi="Times New Roman"/>
          <w:color w:val="000000" w:themeColor="text1"/>
          <w:sz w:val="16"/>
          <w:szCs w:val="16"/>
        </w:rPr>
        <w:softHyphen/>
        <w:t>центно уверенным в успехе. Тем не менее никаких сомнений в необходимости совершения этого пере</w:t>
      </w:r>
      <w:r w:rsidRPr="00E93F40">
        <w:rPr>
          <w:rFonts w:ascii="Times New Roman" w:hAnsi="Times New Roman"/>
          <w:color w:val="000000" w:themeColor="text1"/>
          <w:sz w:val="16"/>
          <w:szCs w:val="16"/>
        </w:rPr>
        <w:softHyphen/>
        <w:t>лета не наблюдалось (23378).</w:t>
      </w:r>
    </w:p>
    <w:p w14:paraId="242F6E4C" w14:textId="77777777" w:rsidR="00C74BE3" w:rsidRPr="00E93F40" w:rsidRDefault="00C74BE3" w:rsidP="00E93F40">
      <w:pPr>
        <w:spacing w:after="0" w:line="240" w:lineRule="auto"/>
        <w:jc w:val="both"/>
        <w:rPr>
          <w:rFonts w:ascii="Times New Roman" w:hAnsi="Times New Roman"/>
          <w:color w:val="000000" w:themeColor="text1"/>
          <w:sz w:val="16"/>
          <w:szCs w:val="16"/>
        </w:rPr>
      </w:pPr>
    </w:p>
    <w:p w14:paraId="2B34BB2B"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 вышел приказ Наркомвоенмора № 049 «О состоянии боевой подготовки в 13-й авиабригаде и наложении взысканий на виновных». В нем го</w:t>
      </w:r>
      <w:r w:rsidRPr="00142305">
        <w:rPr>
          <w:rFonts w:ascii="Times New Roman" w:hAnsi="Times New Roman"/>
          <w:color w:val="0070C0"/>
          <w:sz w:val="16"/>
          <w:szCs w:val="16"/>
        </w:rPr>
        <w:softHyphen/>
        <w:t>ворилось, что в 13-й авиабригаде ВВС СКВО был недовыполнен план боевой подготовки за зимний период по огневой подготовке (стрельбе и бомбометанию) и по ночному налету.</w:t>
      </w:r>
    </w:p>
    <w:p w14:paraId="20FD2508"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этом приказе отмечалось, что 13-я авиабригада боролась с аварийностью за счет снижения темпов боевой подготовки и отказа от полетов в усложненной обстановке (как видим, здесь имеет место то же, что и в 5-й авиабригаде Аста</w:t>
      </w:r>
      <w:r w:rsidRPr="00142305">
        <w:rPr>
          <w:rFonts w:ascii="Times New Roman" w:hAnsi="Times New Roman"/>
          <w:color w:val="0070C0"/>
          <w:sz w:val="16"/>
          <w:szCs w:val="16"/>
        </w:rPr>
        <w:softHyphen/>
        <w:t>хова), но это не застраховало от аварии летчика 32-й эскадрильи Гартмана. При</w:t>
      </w:r>
      <w:r w:rsidRPr="00142305">
        <w:rPr>
          <w:rFonts w:ascii="Times New Roman" w:hAnsi="Times New Roman"/>
          <w:color w:val="0070C0"/>
          <w:sz w:val="16"/>
          <w:szCs w:val="16"/>
        </w:rPr>
        <w:softHyphen/>
        <w:t>чина - неправильный расчет на посадку.</w:t>
      </w:r>
    </w:p>
    <w:p w14:paraId="2A827787"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той же 13-й бригаде из-за столкновения в воздухе самолетов произошла катастрофа, при которой погибли три человека и разбились два новых самолета Р-5. Причина - неудовлетворительная организация полетов и слабая подготовка экипажей.</w:t>
      </w:r>
    </w:p>
    <w:p w14:paraId="6A3044CA"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Нарком отстранял командира-комиссара 13-й авиабригады Федорова от за</w:t>
      </w:r>
      <w:r w:rsidRPr="00142305">
        <w:rPr>
          <w:rFonts w:ascii="Times New Roman" w:hAnsi="Times New Roman"/>
          <w:color w:val="0070C0"/>
          <w:sz w:val="16"/>
          <w:szCs w:val="16"/>
        </w:rPr>
        <w:softHyphen/>
        <w:t>нимаемой должности с использованием на другой должности, «с которой он мо</w:t>
      </w:r>
      <w:r w:rsidRPr="00142305">
        <w:rPr>
          <w:rFonts w:ascii="Times New Roman" w:hAnsi="Times New Roman"/>
          <w:color w:val="0070C0"/>
          <w:sz w:val="16"/>
          <w:szCs w:val="16"/>
        </w:rPr>
        <w:softHyphen/>
        <w:t>жет справиться». Помощнику командующего СКВО по авиации Гельферу объ</w:t>
      </w:r>
      <w:r w:rsidRPr="00142305">
        <w:rPr>
          <w:rFonts w:ascii="Times New Roman" w:hAnsi="Times New Roman"/>
          <w:color w:val="0070C0"/>
          <w:sz w:val="16"/>
          <w:szCs w:val="16"/>
        </w:rPr>
        <w:softHyphen/>
        <w:t>являлся выговор. Начальнику ВВС РККА предписывалось вести систематиче</w:t>
      </w:r>
      <w:r w:rsidRPr="00142305">
        <w:rPr>
          <w:rFonts w:ascii="Times New Roman" w:hAnsi="Times New Roman"/>
          <w:color w:val="0070C0"/>
          <w:sz w:val="16"/>
          <w:szCs w:val="16"/>
        </w:rPr>
        <w:softHyphen/>
        <w:t>ское наблюдение за состоянием дел в 13-й авиабригаде (РГВА. Ф. 4. Оп. 15а. Д. 330. Л. 35) (24968).</w:t>
      </w:r>
    </w:p>
    <w:p w14:paraId="58CBF5EA" w14:textId="77777777" w:rsidR="00CE5282" w:rsidRPr="00CE5282" w:rsidRDefault="00CE5282" w:rsidP="00CE5282">
      <w:pPr>
        <w:pStyle w:val="aff2"/>
        <w:tabs>
          <w:tab w:val="left" w:pos="594"/>
        </w:tabs>
        <w:spacing w:line="240" w:lineRule="auto"/>
        <w:rPr>
          <w:rFonts w:ascii="Times New Roman" w:hAnsi="Times New Roman" w:cs="Times New Roman"/>
          <w:i w:val="0"/>
          <w:iCs w:val="0"/>
          <w:color w:val="0070C0"/>
          <w:sz w:val="16"/>
          <w:szCs w:val="16"/>
          <w:lang w:val="ru-RU"/>
        </w:rPr>
      </w:pPr>
    </w:p>
    <w:p w14:paraId="423195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Сталин прислал Тухачевскому письмо, в котором при</w:t>
      </w:r>
      <w:r w:rsidRPr="00E93F40">
        <w:rPr>
          <w:rFonts w:ascii="Times New Roman" w:hAnsi="Times New Roman"/>
          <w:color w:val="000000" w:themeColor="text1"/>
          <w:sz w:val="16"/>
          <w:szCs w:val="16"/>
        </w:rPr>
        <w:softHyphen/>
        <w:t>знал, что он очень резко отнесся и неправильно подошел к оценке пред</w:t>
      </w:r>
      <w:r w:rsidRPr="00E93F40">
        <w:rPr>
          <w:rFonts w:ascii="Times New Roman" w:hAnsi="Times New Roman"/>
          <w:color w:val="000000" w:themeColor="text1"/>
          <w:sz w:val="16"/>
          <w:szCs w:val="16"/>
        </w:rPr>
        <w:softHyphen/>
        <w:t>ложений Тухачевского о реконструкции РККА (от 30 декабря 1930). В заключении письма Сталин приносил извинения за то, что он с большим опозданием ис</w:t>
      </w:r>
      <w:r w:rsidRPr="00E93F40">
        <w:rPr>
          <w:rFonts w:ascii="Times New Roman" w:hAnsi="Times New Roman"/>
          <w:color w:val="000000" w:themeColor="text1"/>
          <w:sz w:val="16"/>
          <w:szCs w:val="16"/>
        </w:rPr>
        <w:softHyphen/>
        <w:t>правляет свою ошибку (11504).</w:t>
      </w:r>
    </w:p>
    <w:p w14:paraId="035413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E02472" w14:textId="77777777" w:rsidR="00F8111C" w:rsidRPr="00E93F40" w:rsidRDefault="00F8111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Сталин отправил Тухачевскому письмо, где признал свою неправоту: «Ныне, спустя два года, когда некоторые неясные вопросы стали для меня более ясными я должен признать, что моя оценка была слишком резкой, а выводы моего письма – не во всем правильными» (РГАСПИ. Ф. 558. Оп. 11. Д. 447. Л. 2–3) (21522).</w:t>
      </w:r>
    </w:p>
    <w:p w14:paraId="09E30DE6" w14:textId="77777777" w:rsidR="00F8111C" w:rsidRPr="00E93F40" w:rsidRDefault="00F8111C" w:rsidP="00E93F40">
      <w:pPr>
        <w:spacing w:after="0" w:line="240" w:lineRule="auto"/>
        <w:jc w:val="both"/>
        <w:rPr>
          <w:rFonts w:ascii="Times New Roman" w:hAnsi="Times New Roman"/>
          <w:color w:val="000000" w:themeColor="text1"/>
          <w:sz w:val="16"/>
          <w:szCs w:val="16"/>
        </w:rPr>
      </w:pPr>
    </w:p>
    <w:p w14:paraId="6698D3EB" w14:textId="77777777" w:rsidR="00F8111C" w:rsidRPr="00E93F40" w:rsidRDefault="00F8111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мае 1932 г. Ворошилов направил председателю КО Молотову доклад командующего войсками Белорусского военного округа, который при переформировании в Западный фронт должен был сыграть ключевую роль в будущей войне. "Мобилизационная и оперативная готовность округа срывается, - констатировал Уборевич, - и план нельзя будет выполнить по следующим причинам:</w:t>
      </w:r>
    </w:p>
    <w:p w14:paraId="1006D463" w14:textId="77777777" w:rsidR="00F8111C" w:rsidRPr="00E93F40" w:rsidRDefault="00F8111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 Запасы угля на жел[езных] дорогах: по Западной ж. д. 32 036 тонн, по МББ ж д. 51 753 тошты, что хватает на 5-7 дней. Таким образом удастся выполнить только мобилизационные перевозки, оперативные будут сорваны.</w:t>
      </w:r>
    </w:p>
    <w:p w14:paraId="710E90A9" w14:textId="77777777" w:rsidR="00F8111C" w:rsidRPr="00E93F40" w:rsidRDefault="00F8111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 Запасы овса и муки последним распоряжением Комитета Резервов ликвидируются, т. е. овса было 126 583 тонны на территории БССР и Западной области и на территории других военных округов - 29 047, осталось 26 000 тонн, что хватит на несколько дней; муки было 29 400 тонн, осталось 7910 тонн.</w:t>
      </w:r>
    </w:p>
    <w:p w14:paraId="56D09429" w14:textId="77777777" w:rsidR="00F8111C" w:rsidRPr="00E93F40" w:rsidRDefault="00F8111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3. Запасов мяса почти никаких нет, кроме 2800 тысяч банок консервов, что обеспечивает округ примерно на три дня.</w:t>
      </w:r>
    </w:p>
    <w:p w14:paraId="1AD0D0F9" w14:textId="77777777" w:rsidR="00F8111C" w:rsidRPr="00E93F40" w:rsidRDefault="00F8111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4. Горючее &lt;...&gt;</w:t>
      </w:r>
    </w:p>
    <w:p w14:paraId="57ED9F65" w14:textId="77777777" w:rsidR="00F8111C" w:rsidRPr="00E93F40" w:rsidRDefault="00F8111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5. Исключительно слабое поступление в округ за 1 -е полугодие всех видов вооружения.</w:t>
      </w:r>
    </w:p>
    <w:p w14:paraId="5208D5B5" w14:textId="77777777" w:rsidR="00F8111C" w:rsidRPr="00E93F40" w:rsidRDefault="00F8111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итоге, если бы Вы приказали в ближайшее время отмобилизоваться, то округу через 3-5 дней нечем будет кормить людей и лошадей и план оперативных перевозок будет сорван" (Доклад Комвойсками БВО Уборевича Наркому по Военным и Moрским Делам Ворошилову "О состоянии мобилизационной готовности Белорусского Военного Округа по MP №11", 26.05.1932 // РГВА. Ф. 4. Оп. 14. Д 512. Л. 73-73 об.).</w:t>
      </w:r>
    </w:p>
    <w:p w14:paraId="37FB6FCC" w14:textId="77777777" w:rsidR="00F8111C" w:rsidRPr="00E93F40" w:rsidRDefault="00F8111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Уборевич предлагал срочно восстановить мобилизационные запасы, по крайней мере в БВО, УВО и ОКДВА, "чтобы датъ возможность (им) отмобилизоваться и тем самым прикрыть мобилизацию всей Красной Армии". Из этого предложения явствует, что положение с мобзапасами в БВО было, по сведениям Уборевича, характерно для всей армии. Действительно, по данным на декабрь 1932 г., мобилизационные запасы топлива железных дорог в целом по стране составляли 299 тыс. тонн, т. с. 12-13% потребности (30-днсв-1п.in запас). Мобзапас по нефтегопливу отсутствовал вовсе (МЕЛИЯ А. А. Мобилизационная подготовка народного хозяйства СССР. М., 2004. С. 241.) (22725).</w:t>
      </w:r>
    </w:p>
    <w:p w14:paraId="43FCC64B" w14:textId="77777777" w:rsidR="00F8111C" w:rsidRPr="00E93F40" w:rsidRDefault="00F8111C" w:rsidP="00E93F40">
      <w:pPr>
        <w:spacing w:after="0" w:line="240" w:lineRule="auto"/>
        <w:jc w:val="both"/>
        <w:rPr>
          <w:rFonts w:ascii="Times New Roman" w:hAnsi="Times New Roman"/>
          <w:color w:val="000000" w:themeColor="text1"/>
          <w:sz w:val="16"/>
          <w:szCs w:val="16"/>
        </w:rPr>
      </w:pPr>
    </w:p>
    <w:p w14:paraId="78990811"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решением Реввоенсовета в войсках вводились приемные центры. Организационно эти центры входили в штаты отдельных тяжелых радиопеленгаторных рот.</w:t>
      </w:r>
    </w:p>
    <w:p w14:paraId="21D76086"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Центры обработки сведений были включены в штаты радиоразведывательных подразделений позже. Сначала в 1933–1934 годах развертывались нештатные центры за счет использования внутренних возможностей. В это время стали апробироваться и методы обработки добываемых материалов. Примером тому может служить обработка пеленгов. Пока радиостанций было недостаточно, линии пеленгов наносились сразу на карту.</w:t>
      </w:r>
    </w:p>
    <w:p w14:paraId="5E9EC154"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число работающих в эфире станций постоянно возрастало, и линии пеленгов стали наносить на кальку, которую крепили к карте. В дальнейшем не спасала уже и калька, и прокладку пеленгов стали делать с помощью ниток. И этот «ниточный метод» просуществовал довольно долго, постоянно совершенствуясь.</w:t>
      </w:r>
    </w:p>
    <w:p w14:paraId="0B6BACC1"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Организации и развертыванию центров обработки сведений способствовала и законодательная база того времени – в 1933 году вышел первый документ под названием «Методика радиоразведки». Он обобщил и проанализировал отработанный и накопленный опыт работы.</w:t>
      </w:r>
    </w:p>
    <w:p w14:paraId="3CCF178B"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следующем году увидело свет «Наставление по радиоразведке в Красной армии», изданное Управлением начальника связи РККА. Тогда же подготовили и проект реорганизации радиоразведывательной секции военной разведки. И хотя этот проект не был принят, так как его реализация требовала увеличения численности штата Разведуправления, он внес свой вклад в дело укрепления радиоразведки.</w:t>
      </w:r>
    </w:p>
    <w:p w14:paraId="6FC70882"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нем нашел отражение новый взгляд на структуру радиоразведки. В частности, высказывалось предложение свести фронтовые и армейские средства радиоразведки в дивизионы, а радиоразведывательные корпусные средства – в роты.</w:t>
      </w:r>
    </w:p>
    <w:p w14:paraId="419E5B56"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Дивизиям предлагалось на время боевых действий придавать взвода пеленгаторов.</w:t>
      </w:r>
    </w:p>
    <w:p w14:paraId="7322D2AC"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Важен был и еще один аспект. Проект предусматривал формирование радиоразведывательных частей, которые работали бы в интересах противовоздушной обороны больших объектов, наблюдение за прорвавшимися в тыл группировками противника, а также обеспечение радиоразведкой объединений, не имеющих собственных радиоразведывательных средств.</w:t>
      </w:r>
    </w:p>
    <w:p w14:paraId="19F907EC"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Здесь следует отметить, что еще в 1931–1933 годах в планы командования РККА закладывалась, я бы сказал, прорывная задача – развертывание сети стратегических радиопеленгаторов с дальностью действия до 4000 км.</w:t>
      </w:r>
    </w:p>
    <w:p w14:paraId="01B1B0E5"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западе эти пеленгаторы планировалось разместить в Мурманске, Новгороде, на юге – в Николаеве, Батуми, на Дальнем Востоке – в Охотске и Иркутске, в Средней Азии – в Ташкенте. Так вот этот документ и возлагал ведение глубокой стратегической радиоразведки, а именно – разведки радиостанций главного командования противника, штабов фронтов и армий, крупных военно-морских и военно-воздушных баз – на стратегическую радиоразведывательную сеть командования РККА.</w:t>
      </w:r>
    </w:p>
    <w:p w14:paraId="18DBF199"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1934 году в радиоразведке было введено централизованное управление пеленгованием. Теперь приемному радиоцентру роты передавалось управление пеленгаторами всех пунктов. Передавался также командный приемник и приемники, предназначенные для ведения перехвата (12238).</w:t>
      </w:r>
    </w:p>
    <w:p w14:paraId="48D03B19" w14:textId="77777777" w:rsidR="00272919" w:rsidRPr="00E93F40" w:rsidRDefault="00272919" w:rsidP="00E93F40">
      <w:pPr>
        <w:shd w:val="clear" w:color="auto" w:fill="FFFFFF"/>
        <w:spacing w:after="0" w:line="240" w:lineRule="auto"/>
        <w:jc w:val="both"/>
        <w:rPr>
          <w:rFonts w:ascii="Times New Roman" w:hAnsi="Times New Roman"/>
          <w:color w:val="000000" w:themeColor="text1"/>
          <w:sz w:val="16"/>
          <w:szCs w:val="16"/>
        </w:rPr>
      </w:pPr>
    </w:p>
    <w:p w14:paraId="36EC1EA2" w14:textId="046B08EC" w:rsidR="00C74BE3" w:rsidRPr="00E93F40" w:rsidRDefault="00C74BE3"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B894185" w14:textId="77777777" w:rsidR="00C74BE3" w:rsidRPr="00E93F40" w:rsidRDefault="00C74BE3"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6BA36022" w14:textId="77777777"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зампредседателя ОГПУ Ягода докладывал Сталину, что в кассе ОГПУ находится ценностей на сумму 2,4 млн. золотых рублей. Всего Госбанк от ОГПУ получил 15,1 млн. золотых рублей (около 12 т золотом). Но в стране были ценности другого рода, которые не прятали в тайниках или подполье: обручальные кольца, сережки, нательные золотые крестики с цепочкой и столовое серебро. Помноженные на 160-миллионное население страны, эти нехитрые вещицы, разбросанные по шкатулкам и сервантам, могли обернуться огромным богатством. Но как изъять носимые вещи? Государству не стоит уподобляться грабителям с большой дороги. С истощением золотых резервов Госбанка и ростом валютных аппетитов у руководства СССР крепло желание забрать у населения и эти сбережения. Нашелся и способ. В голодные годы первых пятилеток ценности у населения скупили магазины Торгсина - «Всесоюзного объединения по торговле с иностранцами на территории СССР» по типу магазинов «Берёзка» в 1960—80-е годы (23485).</w:t>
      </w:r>
    </w:p>
    <w:p w14:paraId="75ABE9DD" w14:textId="77777777" w:rsidR="00C74BE3" w:rsidRPr="00E93F40" w:rsidRDefault="00C74BE3" w:rsidP="00E93F40">
      <w:pPr>
        <w:spacing w:after="0" w:line="240" w:lineRule="auto"/>
        <w:jc w:val="both"/>
        <w:rPr>
          <w:rFonts w:ascii="Times New Roman" w:hAnsi="Times New Roman"/>
          <w:color w:val="000000" w:themeColor="text1"/>
          <w:sz w:val="16"/>
          <w:szCs w:val="16"/>
        </w:rPr>
      </w:pPr>
    </w:p>
    <w:p w14:paraId="7778079E" w14:textId="1B5FF6BC"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52C93AE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E659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мае 1932 года на антикоммунистический митинг, на военно-морской базе в Сен-Мазере зашел известный парижский коммунист А. Готье. В ходе вспыхнувшей потасовки он потерял портфель с секретными документами о французских арсеналах, подводных лодках, крейсерах, авиационных заводах и т. п., правда, сам сумел скрыться (11765).</w:t>
      </w:r>
    </w:p>
    <w:p w14:paraId="7C0E4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0C30A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0B42F5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B621971" w14:textId="77777777" w:rsidR="00F8111C" w:rsidRPr="00E93F40" w:rsidRDefault="00F8111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состоялся первый полет Айти АБ-4 (20803).</w:t>
      </w:r>
    </w:p>
    <w:p w14:paraId="2D770740" w14:textId="77777777" w:rsidR="00F8111C" w:rsidRPr="00E93F40" w:rsidRDefault="00F8111C" w:rsidP="00E93F40">
      <w:pPr>
        <w:spacing w:after="0" w:line="240" w:lineRule="auto"/>
        <w:jc w:val="both"/>
        <w:rPr>
          <w:rFonts w:ascii="Times New Roman" w:hAnsi="Times New Roman"/>
          <w:color w:val="000000" w:themeColor="text1"/>
          <w:sz w:val="16"/>
          <w:szCs w:val="16"/>
        </w:rPr>
      </w:pPr>
    </w:p>
    <w:p w14:paraId="44997EA9" w14:textId="77777777" w:rsidR="00CE5282" w:rsidRPr="00142305" w:rsidRDefault="00CE5282" w:rsidP="00CE52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 под</w:t>
      </w:r>
      <w:r w:rsidRPr="00142305">
        <w:rPr>
          <w:rFonts w:ascii="Times New Roman" w:hAnsi="Times New Roman"/>
          <w:color w:val="0070C0"/>
          <w:sz w:val="16"/>
          <w:szCs w:val="16"/>
        </w:rPr>
        <w:softHyphen/>
        <w:t>нялся в воздух Фарман F.221BN5, спроектирован</w:t>
      </w:r>
      <w:r w:rsidRPr="00142305">
        <w:rPr>
          <w:rFonts w:ascii="Times New Roman" w:hAnsi="Times New Roman"/>
          <w:color w:val="0070C0"/>
          <w:sz w:val="16"/>
          <w:szCs w:val="16"/>
        </w:rPr>
        <w:softHyphen/>
        <w:t>ный под руководством М. Рока усовершенствованный вариант опытного самолета F.220-01. По ком</w:t>
      </w:r>
      <w:r w:rsidRPr="00142305">
        <w:rPr>
          <w:rFonts w:ascii="Times New Roman" w:hAnsi="Times New Roman"/>
          <w:color w:val="0070C0"/>
          <w:sz w:val="16"/>
          <w:szCs w:val="16"/>
        </w:rPr>
        <w:softHyphen/>
        <w:t>поновке он напоминал советский опытный бомбардировщик ТБ-5 - моноплан с верх</w:t>
      </w:r>
      <w:r w:rsidRPr="00142305">
        <w:rPr>
          <w:rFonts w:ascii="Times New Roman" w:hAnsi="Times New Roman"/>
          <w:color w:val="0070C0"/>
          <w:sz w:val="16"/>
          <w:szCs w:val="16"/>
        </w:rPr>
        <w:softHyphen/>
        <w:t>ним расположением крыла, подкреплен</w:t>
      </w:r>
      <w:r w:rsidRPr="00142305">
        <w:rPr>
          <w:rFonts w:ascii="Times New Roman" w:hAnsi="Times New Roman"/>
          <w:color w:val="0070C0"/>
          <w:sz w:val="16"/>
          <w:szCs w:val="16"/>
        </w:rPr>
        <w:softHyphen/>
        <w:t>ного парами подкосов, неубирающимся шасси и тандемными (один двигатель с тянущим винтом, другой - с толкающим) мотоустановками в отдельных гондолах под крылом. Французы использовали моторы воздушного охлаждения Гном-Рон 14Krsd по 800 л.с. По сравнению с ТБ-3 усовершенствованиями являлись закрытая пилотская кабина и гладкая обшивка. Но очертания французской ма</w:t>
      </w:r>
      <w:r w:rsidRPr="00142305">
        <w:rPr>
          <w:rFonts w:ascii="Times New Roman" w:hAnsi="Times New Roman"/>
          <w:color w:val="0070C0"/>
          <w:sz w:val="16"/>
          <w:szCs w:val="16"/>
        </w:rPr>
        <w:softHyphen/>
        <w:t>шины выглядели столь же угловатыми, как и у советской. На заводе в Бийянкуре построили дюжину F.221BN5. Позже изготовили 36 усовершенствованных самолетов F.222 с убирающимся шасси и восемь новых F.223. Таким образом, вся тяжелобомбардировочная авиация Фран</w:t>
      </w:r>
      <w:r w:rsidRPr="00142305">
        <w:rPr>
          <w:rFonts w:ascii="Times New Roman" w:hAnsi="Times New Roman"/>
          <w:color w:val="0070C0"/>
          <w:sz w:val="16"/>
          <w:szCs w:val="16"/>
        </w:rPr>
        <w:softHyphen/>
        <w:t>ции насчитывала чуть более полусотни машин. Они дожили до Второй мировой войны и в 1940 г. участвовали в ночных налетах на Германию и Италию, а далее служили в основном как морские дальние разведчики и транспортные самолеты. Последний «фарман» списали в 1944 г. (24938).</w:t>
      </w:r>
    </w:p>
    <w:p w14:paraId="4F9CE60C" w14:textId="77777777" w:rsidR="00CE5282" w:rsidRPr="00142305" w:rsidRDefault="00CE5282" w:rsidP="00CE5282">
      <w:pPr>
        <w:spacing w:after="0" w:line="240" w:lineRule="auto"/>
        <w:jc w:val="both"/>
        <w:rPr>
          <w:rFonts w:ascii="Times New Roman" w:hAnsi="Times New Roman"/>
          <w:color w:val="0070C0"/>
          <w:sz w:val="16"/>
          <w:szCs w:val="16"/>
        </w:rPr>
      </w:pPr>
    </w:p>
    <w:p w14:paraId="2B891C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года «Акрон» двинулся в путешествие на запад — это не связывалось с каким-то военным заданием, просто надо было показать налогоплательщикам на что потрачены их деньги. Дирижабль вылетел 8 мая из Лейкхерста в направлении еще недостроенной базы в Саннивейле. Полет, омраченный техническими неисправностями и неблагоприятными погодными условиями, проходил вдоль восточного побережья Мексиканского залива, затем через Техас, Нью-Мексико и Аризону в Калифорнию, где ZRS-4 должен был приземлиться на аэродроме Кемп Керни у Сан-Диего. На борту дирижабля находились 2 самолета XF9C-1 и N2Y-1. Обе машины перед посадкой покинули борт воздушного корабля и приземлились на аэродроме. Двухместный N2Y-1 доставил на землю штурмана «Акрона» для координации действий наземного персонала во время посадки дирижабля. Было около полудня, стояла очень жаркая погода. Из-за перерасхода топлива «Акрон» стал легче на 40 т, еще 1500 кг весили улетевшие самолеты. Все это привело к тому, что дирижабль никак не хотел опускаться. Только в 19.00 после стравливания лишнего гелия и вечернего похолодания удалось приземлить корабль. Этот случай со всей очевидностью показал, что до сих пор маневрирование [437] дирижабля на посадке является достаточно сложной задачей. К тому же подготовленность экипажа и наземных служб оставляла желать лучшего. Потери гелия были так велики, что для осуществления небольшого перелета в Саннивейл потребовалось существенно уменьшить взлетный вес дирижабля (11324).</w:t>
      </w:r>
    </w:p>
    <w:p w14:paraId="460EE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1FC3B1" w14:textId="177F599C" w:rsidR="00C74BE3" w:rsidRPr="00E93F40" w:rsidRDefault="00C74B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австриец Шмидль после кампании, рекламировавшей новый вид почтовых услуг, запустил с Шёкля, с высоты 1238 м над уровнем моря, ракету в городок Земриах (Semriach). Выпущенная под углом 65 градусов по отношению к горизонту, она пролетела 20 км (!) и доставила в запаянном металлическом контейнере 333 письма. С этого момента Шмидль в течение двух лет осуществлял регулярные запуски ракет, доставляя каждый раз сотни писем и открыток из одних населенных пунктов горного региона в другие. В марте 1933 г. он запустил двухступенчатую почтовую ракету S-1 из небольшого городка Санкт-Мартин (Sankt Martin) в Грац (Gratz). Шмидль объявил, что будет с помощью таких ракет доставлять почту на большие расстояния, например из Граца в Вену и Будапешт, и обратно. Он также хотел открыть собственную почтовую линию Любляна (в Словении) — Грац (в Австрии) — Базель (в Швецарии). В том же году советские газеты сообщили: Австрийский изобретатель Шмидль недавно перебросил «ракетную почту» (333 письма) за 20 км от места отправки. Он уже произвел расчеты для переброски почты ракетами. Скорости намечаются такие: Москва — Берлин — 11 мин., Москва — Владивосток — 35 мин., Москва — Нью-Йорк (через океан) — 1 час, Москва — Париж — 17 мин., Москва — Ленинград — 4 мин. Всего он запустил в 1931–34 гг. 24 ракеты, доставивших более 6 тысяч писем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разные населенные пункты. Но, хотя Шмидль получил широкую известность среди филателистов своими конвертами, марками и штемпелями гашения, убедить австрийскую государственную почту в преимуществах нового метода доставки корреспонденции не смог (23372).</w:t>
      </w:r>
    </w:p>
    <w:p w14:paraId="7DA31D10" w14:textId="77777777" w:rsidR="00C74BE3" w:rsidRPr="00E93F40" w:rsidRDefault="00C74BE3" w:rsidP="00E93F40">
      <w:pPr>
        <w:spacing w:after="0" w:line="240" w:lineRule="auto"/>
        <w:jc w:val="both"/>
        <w:rPr>
          <w:rFonts w:ascii="Times New Roman" w:hAnsi="Times New Roman"/>
          <w:color w:val="000000" w:themeColor="text1"/>
          <w:sz w:val="16"/>
          <w:szCs w:val="16"/>
        </w:rPr>
      </w:pPr>
    </w:p>
    <w:p w14:paraId="684E93E9"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1932 года Кристи сдал последний из семи заказанных для ар</w:t>
      </w:r>
      <w:r w:rsidRPr="00142305">
        <w:rPr>
          <w:rFonts w:ascii="Times New Roman" w:hAnsi="Times New Roman"/>
          <w:color w:val="0070C0"/>
          <w:sz w:val="16"/>
          <w:szCs w:val="16"/>
        </w:rPr>
        <w:softHyphen/>
        <w:t>мии САСШ танков. Однако после этого его отно</w:t>
      </w:r>
      <w:r w:rsidRPr="00142305">
        <w:rPr>
          <w:rFonts w:ascii="Times New Roman" w:hAnsi="Times New Roman"/>
          <w:color w:val="0070C0"/>
          <w:sz w:val="16"/>
          <w:szCs w:val="16"/>
        </w:rPr>
        <w:softHyphen/>
        <w:t>шения с американскими военными ис</w:t>
      </w:r>
      <w:r w:rsidRPr="00142305">
        <w:rPr>
          <w:rFonts w:ascii="Times New Roman" w:hAnsi="Times New Roman"/>
          <w:color w:val="0070C0"/>
          <w:sz w:val="16"/>
          <w:szCs w:val="16"/>
        </w:rPr>
        <w:softHyphen/>
        <w:t>портились — они отвергли его «летаю</w:t>
      </w:r>
      <w:r w:rsidRPr="00142305">
        <w:rPr>
          <w:rFonts w:ascii="Times New Roman" w:hAnsi="Times New Roman"/>
          <w:color w:val="0070C0"/>
          <w:sz w:val="16"/>
          <w:szCs w:val="16"/>
        </w:rPr>
        <w:softHyphen/>
        <w:t>щий» танк М.1932. Это была безбашен</w:t>
      </w:r>
      <w:r w:rsidRPr="00142305">
        <w:rPr>
          <w:rFonts w:ascii="Times New Roman" w:hAnsi="Times New Roman"/>
          <w:color w:val="0070C0"/>
          <w:sz w:val="16"/>
          <w:szCs w:val="16"/>
        </w:rPr>
        <w:softHyphen/>
        <w:t>ная, максимально облегченная машина (в ее конструкции широко использовал</w:t>
      </w:r>
      <w:r w:rsidRPr="00142305">
        <w:rPr>
          <w:rFonts w:ascii="Times New Roman" w:hAnsi="Times New Roman"/>
          <w:color w:val="0070C0"/>
          <w:sz w:val="16"/>
          <w:szCs w:val="16"/>
        </w:rPr>
        <w:softHyphen/>
        <w:t>ся дюраль), развивающая на колесном ходу скорость до 190 км/ч — по тем вре</w:t>
      </w:r>
      <w:r w:rsidRPr="00142305">
        <w:rPr>
          <w:rFonts w:ascii="Times New Roman" w:hAnsi="Times New Roman"/>
          <w:color w:val="0070C0"/>
          <w:sz w:val="16"/>
          <w:szCs w:val="16"/>
        </w:rPr>
        <w:softHyphen/>
        <w:t>менам невероятную для боевой машины. Но, несмотря на широкую рекламу и де</w:t>
      </w:r>
      <w:r w:rsidRPr="00142305">
        <w:rPr>
          <w:rFonts w:ascii="Times New Roman" w:hAnsi="Times New Roman"/>
          <w:color w:val="0070C0"/>
          <w:sz w:val="16"/>
          <w:szCs w:val="16"/>
        </w:rPr>
        <w:softHyphen/>
        <w:t>монстрации М.1932 широкому кругу лиц, американских военных танк не за</w:t>
      </w:r>
      <w:r w:rsidRPr="00142305">
        <w:rPr>
          <w:rFonts w:ascii="Times New Roman" w:hAnsi="Times New Roman"/>
          <w:color w:val="0070C0"/>
          <w:sz w:val="16"/>
          <w:szCs w:val="16"/>
        </w:rPr>
        <w:softHyphen/>
        <w:t>интересовал (25009).</w:t>
      </w:r>
    </w:p>
    <w:p w14:paraId="298D3EAB" w14:textId="77777777" w:rsidR="00C7057A" w:rsidRPr="00142305" w:rsidRDefault="00C7057A" w:rsidP="00C7057A">
      <w:pPr>
        <w:spacing w:after="0" w:line="240" w:lineRule="auto"/>
        <w:jc w:val="both"/>
        <w:rPr>
          <w:rFonts w:ascii="Times New Roman" w:hAnsi="Times New Roman"/>
          <w:color w:val="0070C0"/>
          <w:sz w:val="16"/>
          <w:szCs w:val="16"/>
        </w:rPr>
      </w:pPr>
    </w:p>
    <w:p w14:paraId="2AA9E49D" w14:textId="77777777" w:rsidR="00C7057A" w:rsidRPr="00142305" w:rsidRDefault="00C7057A" w:rsidP="00C7057A">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мае 1932 г., через 5 лет после закладки на стапеле на стапеле верфи в Шербуре и через 3 года после спуска на воду, «Cюркуф», оснащенный самолетом, вступил в строй.</w:t>
      </w:r>
    </w:p>
    <w:p w14:paraId="52B4213E"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 ограж</w:t>
      </w:r>
      <w:r w:rsidRPr="00142305">
        <w:rPr>
          <w:rStyle w:val="aff"/>
          <w:rFonts w:ascii="Times New Roman" w:hAnsi="Times New Roman" w:cs="Times New Roman"/>
          <w:color w:val="0070C0"/>
          <w:spacing w:val="0"/>
          <w:sz w:val="16"/>
          <w:szCs w:val="16"/>
        </w:rPr>
        <w:softHyphen/>
        <w:t>дением рубки установили герметичный ангар длиной 8,5 м, диаметром 2 м. Специальная шахта соединяла отсек в прочном корпусе с ангаром. Это позволяло начинать предполётную под</w:t>
      </w:r>
      <w:r w:rsidRPr="00142305">
        <w:rPr>
          <w:rStyle w:val="aff"/>
          <w:rFonts w:ascii="Times New Roman" w:hAnsi="Times New Roman" w:cs="Times New Roman"/>
          <w:color w:val="0070C0"/>
          <w:spacing w:val="0"/>
          <w:sz w:val="16"/>
          <w:szCs w:val="16"/>
        </w:rPr>
        <w:softHyphen/>
        <w:t>готовку самолёта ещё до всплытия крейсера на поверхность воды (как и на английской М-2). Самолёт выводили из ангара, раскладывали крылья и стабилизатор, сложенные вдоль фюзе</w:t>
      </w:r>
      <w:r w:rsidRPr="00142305">
        <w:rPr>
          <w:rStyle w:val="aff"/>
          <w:rFonts w:ascii="Times New Roman" w:hAnsi="Times New Roman" w:cs="Times New Roman"/>
          <w:color w:val="0070C0"/>
          <w:spacing w:val="0"/>
          <w:sz w:val="16"/>
          <w:szCs w:val="16"/>
        </w:rPr>
        <w:softHyphen/>
        <w:t>ляжа, выдвигали поплавки, прижатые к фюзеляжу снизу, пилот и наблюдатель занимали места в кабине.</w:t>
      </w:r>
    </w:p>
    <w:p w14:paraId="636C28EE" w14:textId="77777777" w:rsidR="00C7057A" w:rsidRPr="00142305" w:rsidRDefault="00C7057A" w:rsidP="00C7057A">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Крейсер, продолжая двигаться, переходил в позиционное по</w:t>
      </w:r>
      <w:r w:rsidRPr="00142305">
        <w:rPr>
          <w:rStyle w:val="aff"/>
          <w:rFonts w:ascii="Times New Roman" w:hAnsi="Times New Roman" w:cs="Times New Roman"/>
          <w:color w:val="0070C0"/>
          <w:spacing w:val="0"/>
          <w:sz w:val="16"/>
          <w:szCs w:val="16"/>
        </w:rPr>
        <w:softHyphen/>
        <w:t>ложение (погружался до уровня верхней палубы), набегающая вода смывала самолёт, и лётчик начинал разбег. Таким же спосо</w:t>
      </w:r>
      <w:r w:rsidRPr="00142305">
        <w:rPr>
          <w:rStyle w:val="aff"/>
          <w:rFonts w:ascii="Times New Roman" w:hAnsi="Times New Roman" w:cs="Times New Roman"/>
          <w:color w:val="0070C0"/>
          <w:spacing w:val="0"/>
          <w:sz w:val="16"/>
          <w:szCs w:val="16"/>
        </w:rPr>
        <w:softHyphen/>
        <w:t>бом гидроплан оказывался на палубе после посадки.</w:t>
      </w:r>
    </w:p>
    <w:p w14:paraId="476B1165" w14:textId="77777777" w:rsidR="00C7057A" w:rsidRPr="00142305" w:rsidRDefault="00C7057A" w:rsidP="00C7057A">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июле 1940 г., в связи с капитуляцией Франции, увёл корабль в Англию, где присоединился к силам Сражающейся Франции во главе с Шарлем де Голлем (25079).</w:t>
      </w:r>
    </w:p>
    <w:p w14:paraId="71872ED9" w14:textId="77777777" w:rsidR="00C7057A" w:rsidRPr="00142305" w:rsidRDefault="00C7057A" w:rsidP="00C7057A">
      <w:pPr>
        <w:spacing w:after="0" w:line="240" w:lineRule="auto"/>
        <w:jc w:val="both"/>
        <w:rPr>
          <w:rFonts w:ascii="Times New Roman" w:hAnsi="Times New Roman"/>
          <w:color w:val="0070C0"/>
          <w:sz w:val="16"/>
          <w:szCs w:val="16"/>
        </w:rPr>
      </w:pPr>
    </w:p>
    <w:p w14:paraId="1FAA3584" w14:textId="77777777" w:rsidR="00056EFC" w:rsidRPr="00E93F40" w:rsidRDefault="00056EFC" w:rsidP="00056EF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В мае 1932 г. на I Международной нефтяной конференции в Нью-Йорке английские и американские нефтяные кампании предложили СССР отказаться от самостоятельных действий на мировых нефтяных рынках. Взамен они обязались закупать у СССР по 5 млн тонн нефти ежегодно (размер советского нефтяного экспорта 1931 г.) по определенной цене в течение 10 лет. Тогда соглашение достигнуто не было. Переговоры продолжались в Нью-Йорке. 1 июня 1932 г. ПБ дало директиву советской делегации выдвинуть контрпредложения на переговорах (РГАСПИ. Ф. 17. Оп. 162. Д. 12. Л. 152, 157–158), что привело к их прекращению. 8 июня, рассмотрев телеграмму Сталина (см. документ № 107), ПБ постановило: «Во изменение прежнего решения Политбюро от 1 июня о директивах по переговорам^..], считать возможным войти в переговоры с нефтяниками на базе предложений, внесенных нефтяниками]...] Предложить НКВТоргу наметить пути для прощупывания возможности возобновления переговоров с нефтяниками и доложить о намеченных мероприятиях в ЦК в двухдневный срок» (Там же. Л. 172). Несмотря на эти усилия, соглашение с западными нефтяными кампаниями достигнуто не было (Journal of European Economic History. Vol. 17. 1988. P. 660). См. документы № 102, 104, 107, 108, 114, 131, 146, 165, 175. </w:t>
      </w:r>
      <w:r w:rsidRPr="00E93F40">
        <w:rPr>
          <w:rFonts w:ascii="Times New Roman" w:eastAsia="Times New Roman" w:hAnsi="Times New Roman"/>
          <w:color w:val="000000" w:themeColor="text1"/>
          <w:sz w:val="16"/>
          <w:szCs w:val="16"/>
          <w:vertAlign w:val="superscript"/>
          <w:lang w:eastAsia="ru-RU"/>
        </w:rPr>
        <w:t>2</w:t>
      </w:r>
      <w:r w:rsidRPr="00E93F40">
        <w:rPr>
          <w:rFonts w:ascii="Times New Roman" w:eastAsia="Times New Roman" w:hAnsi="Times New Roman"/>
          <w:color w:val="000000" w:themeColor="text1"/>
          <w:sz w:val="16"/>
          <w:szCs w:val="16"/>
          <w:lang w:eastAsia="ru-RU"/>
        </w:rPr>
        <w:t xml:space="preserve"> Номер, время и дата вписаны секретарем. Отправлена шифром 6 июня в 1 час. 59 мин. (Там же. Ф. 558. Оп. 11. Д. 77. Л. 16) (17281).</w:t>
      </w:r>
    </w:p>
    <w:p w14:paraId="5FD3B921" w14:textId="77777777" w:rsidR="00056EFC" w:rsidRPr="00E93F40" w:rsidRDefault="00056EFC" w:rsidP="00056EFC">
      <w:pPr>
        <w:shd w:val="clear" w:color="auto" w:fill="FFFFFF"/>
        <w:spacing w:after="0" w:line="240" w:lineRule="auto"/>
        <w:jc w:val="both"/>
        <w:rPr>
          <w:rFonts w:ascii="Times New Roman" w:hAnsi="Times New Roman"/>
          <w:color w:val="000000" w:themeColor="text1"/>
          <w:sz w:val="16"/>
          <w:szCs w:val="16"/>
        </w:rPr>
      </w:pPr>
    </w:p>
    <w:p w14:paraId="444519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1932 г. в Ливане ранее избранный парламент распускается, а конституция отменяется. Вновь вводится колониальная форма правления. Однако это лишь способствовало усилению национально-освободительной борьбы. Вооруженные выступления в сельской местности сочетаются с массовыми демонстрациями и забастовками в городах (3871).</w:t>
      </w:r>
    </w:p>
    <w:p w14:paraId="29E35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D6391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559D04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98C7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мае-июле 1932 г. Николай Николаевич Поликарпов сделал первые наброски будущего И-16, находясь в ЦАГИ. Предварительный вариант эскизного проекта был го</w:t>
      </w:r>
      <w:r w:rsidRPr="00E93F40">
        <w:rPr>
          <w:rFonts w:ascii="Times New Roman" w:hAnsi="Times New Roman"/>
          <w:color w:val="000000" w:themeColor="text1"/>
          <w:sz w:val="16"/>
          <w:szCs w:val="16"/>
        </w:rPr>
        <w:softHyphen/>
        <w:t>тов к концу 1932 г. Рассматривая пути снижения аэро</w:t>
      </w:r>
      <w:r w:rsidRPr="00E93F40">
        <w:rPr>
          <w:rFonts w:ascii="Times New Roman" w:hAnsi="Times New Roman"/>
          <w:color w:val="000000" w:themeColor="text1"/>
          <w:sz w:val="16"/>
          <w:szCs w:val="16"/>
        </w:rPr>
        <w:softHyphen/>
        <w:t>динамического сопротивления, он пришел к выводу о возможности создания истребителя-моноплана с мак</w:t>
      </w:r>
      <w:r w:rsidRPr="00E93F40">
        <w:rPr>
          <w:rFonts w:ascii="Times New Roman" w:hAnsi="Times New Roman"/>
          <w:color w:val="000000" w:themeColor="text1"/>
          <w:sz w:val="16"/>
          <w:szCs w:val="16"/>
        </w:rPr>
        <w:softHyphen/>
        <w:t>симальной скоростью свыше 400 км/ч. Напомним, что в 1930-1932 гг. истребители еще только достигли скоро</w:t>
      </w:r>
      <w:r w:rsidRPr="00E93F40">
        <w:rPr>
          <w:rFonts w:ascii="Times New Roman" w:hAnsi="Times New Roman"/>
          <w:color w:val="000000" w:themeColor="text1"/>
          <w:sz w:val="16"/>
          <w:szCs w:val="16"/>
        </w:rPr>
        <w:softHyphen/>
        <w:t>сти 300 км/ч (10667).</w:t>
      </w:r>
    </w:p>
    <w:p w14:paraId="3D25B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014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мае-июне 1932 Состоялись государственные испытания самолета К-5М-22 — «эталона 1932 г.» (10674).</w:t>
      </w:r>
    </w:p>
    <w:p w14:paraId="4D4EB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B929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мае-июне 1932 же года проходили госиспытания мотора М-51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(11478).</w:t>
      </w:r>
    </w:p>
    <w:p w14:paraId="5D817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2A7621"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мае-июне 1932 г. на заводе № 29 проходили госиспытания моторов М-51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(25397).</w:t>
      </w:r>
    </w:p>
    <w:p w14:paraId="1102CA80" w14:textId="77777777" w:rsidR="00C7057A" w:rsidRPr="00142305" w:rsidRDefault="00C7057A" w:rsidP="00C7057A">
      <w:pPr>
        <w:spacing w:after="0" w:line="240" w:lineRule="auto"/>
        <w:jc w:val="both"/>
        <w:rPr>
          <w:rFonts w:ascii="Times New Roman" w:hAnsi="Times New Roman"/>
          <w:color w:val="0070C0"/>
          <w:sz w:val="16"/>
          <w:szCs w:val="16"/>
        </w:rPr>
      </w:pPr>
    </w:p>
    <w:p w14:paraId="49DABB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 июне 1932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6769C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Характеристики:</w:t>
      </w:r>
    </w:p>
    <w:p w14:paraId="61134C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5-цилиндровый, звездообразный, четырехтактный, воздушного охлаж</w:t>
      </w:r>
      <w:r w:rsidRPr="00E93F40">
        <w:rPr>
          <w:rFonts w:ascii="Times New Roman" w:hAnsi="Times New Roman"/>
          <w:color w:val="000000" w:themeColor="text1"/>
          <w:sz w:val="16"/>
          <w:szCs w:val="16"/>
        </w:rPr>
        <w:softHyphen/>
        <w:t>дения, с ПЦН;</w:t>
      </w:r>
    </w:p>
    <w:p w14:paraId="3C5C3B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125/145 л.с.;</w:t>
      </w:r>
    </w:p>
    <w:p w14:paraId="395C8E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125/140 мм;</w:t>
      </w:r>
    </w:p>
    <w:p w14:paraId="2ED3E3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8,6 л;</w:t>
      </w:r>
    </w:p>
    <w:p w14:paraId="11C2CA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5,0;</w:t>
      </w:r>
    </w:p>
    <w:p w14:paraId="78D7A5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150 кг (позднее 155 кг).</w:t>
      </w:r>
    </w:p>
    <w:p w14:paraId="03F885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Известен также двигатель 1947 г. под тем же обозначением (11852).</w:t>
      </w:r>
    </w:p>
    <w:p w14:paraId="703390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FE1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мая по октябрь 1932 году на полигоне в Шиханах было выполнено 90 самолето-вылетов с использованием ВАПов (в том числе 19 - с выливанием СОВ) и сброшено 111 химических бомб. Лаборатория заражения провела за это время 26 экспериментов с БХМ, 23 опыта по заражению земли с использованием НПЗ-3 и 14 - по подрыву химических фугасов. Лаборатория вооружения за этот период израсходовала 1083 химических артснаряда калибра 76 мм, 148 снарядов калибра 107 мм, 277 снарядов калибра 122 мм и 96 снарядов калибра 152 мм (9065).</w:t>
      </w:r>
    </w:p>
    <w:p w14:paraId="18E9B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04348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E606AE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F2C2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мае-июле 1932 г. два Р-1 вместе с одним Р-5 участвовали в операциях против мятежников в Монголии. Экипажи были смешанные: русские пилоты и монгольские летнабы. Самолеты вели разведку, разбрасывали листовки и обеспечивали связь между частями монгольской армии и отрядами добровольцев. У реки Кичигин-гол разведчик обнаружил две большие банды, приготовившиеся с разных сторон к атаке на механизированный отряд. Летчики сбросили осколочные бомбы, а затем пулеметным огнем поддержали атаку мотопехоты.</w:t>
      </w:r>
    </w:p>
    <w:p w14:paraId="132D5D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Имели место еще несколько случаев бомбометания, например, по монастырю, где располагались командиры мятежников. Но эффективность их была низкой, поскольку монгольские летнабы не имели достаточного опыта.</w:t>
      </w:r>
    </w:p>
    <w:p w14:paraId="4E787C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Противник не доставлял авиаторам больших хлопот, «серая чертова птица» внушала ему суеверный ужас. Только большая банда Джамцо, бывшего военного, оказала серьезное сопротивление. Р-1 встречали залпами из винтовок, причем Джамцо выучил своих людей стрелять с нужным упреждением. Машины возвращались с пробоинами. На Р-1 пилота Иванова пуля пробила радиатор, пришлось садиться в расположении банды. Летчикам удалось убежать, а самолет бандиты сожгли. Убежали, правда, недалеко: попали в руки другой банды. Летчиков ограбили, раздели, связали и бросили в воду. На счастье, Иванова связали плохо; он выплыл сам, развязал и вытащил летнаба. На одиннадцатый день голые голодные люди встретились с монгольскими разведчиками.</w:t>
      </w:r>
    </w:p>
    <w:p w14:paraId="7F51D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Последние Р-1 эксплуатировались в Монголии как учебные самолеты до середины 1930-х годов (11923).</w:t>
      </w:r>
    </w:p>
    <w:p w14:paraId="02911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FD9A89" w14:textId="77777777" w:rsidR="00046DC2" w:rsidRPr="00E93F40" w:rsidRDefault="00046DC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F1E660A" w14:textId="77777777" w:rsidR="00046DC2" w:rsidRPr="00E93F40" w:rsidRDefault="00046DC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89A6A1" w14:textId="77777777" w:rsidR="00046DC2" w:rsidRPr="00E93F40" w:rsidRDefault="00046D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весны 1932 г. на заводе № 31 шла сборка 25 самолетов МБР-4 (21410).</w:t>
      </w:r>
    </w:p>
    <w:p w14:paraId="32CA4EEC" w14:textId="77777777" w:rsidR="00046DC2" w:rsidRPr="00E93F40" w:rsidRDefault="00046DC2" w:rsidP="00E93F40">
      <w:pPr>
        <w:spacing w:after="0" w:line="240" w:lineRule="auto"/>
        <w:jc w:val="both"/>
        <w:rPr>
          <w:rFonts w:ascii="Times New Roman" w:hAnsi="Times New Roman"/>
          <w:color w:val="000000" w:themeColor="text1"/>
          <w:sz w:val="16"/>
          <w:szCs w:val="16"/>
        </w:rPr>
      </w:pPr>
    </w:p>
    <w:p w14:paraId="1432616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BCF6AE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F4549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1931 и весной 1932 на ТБ-1 поставили 2 И-4 по системе В.С.Вахмистрова. ТБ-1 пилотировал А.И.Залевский, а И-4 - А.Ф.Анисимов и В.П.Чкалов (2782,24).</w:t>
      </w:r>
    </w:p>
    <w:p w14:paraId="702F2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270D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после первых испытаний зимой 1931-32 гг. вся система СЗ-1 подверглась значительным доработкам. С помощью ин</w:t>
      </w:r>
      <w:r w:rsidRPr="00E93F40">
        <w:rPr>
          <w:rFonts w:ascii="Times New Roman" w:hAnsi="Times New Roman"/>
          <w:color w:val="000000" w:themeColor="text1"/>
          <w:sz w:val="16"/>
          <w:szCs w:val="16"/>
        </w:rPr>
        <w:softHyphen/>
        <w:t>женеров ЦАГИ Петлякова, Беляева, Привен, Никитенко и Фомина произвели дополни</w:t>
      </w:r>
      <w:r w:rsidRPr="00E93F40">
        <w:rPr>
          <w:rFonts w:ascii="Times New Roman" w:hAnsi="Times New Roman"/>
          <w:color w:val="000000" w:themeColor="text1"/>
          <w:sz w:val="16"/>
          <w:szCs w:val="16"/>
        </w:rPr>
        <w:softHyphen/>
        <w:t>тельные расчеты прочности крыла ТБ-1 с целью повышения эффективности и надеж</w:t>
      </w:r>
      <w:r w:rsidRPr="00E93F40">
        <w:rPr>
          <w:rFonts w:ascii="Times New Roman" w:hAnsi="Times New Roman"/>
          <w:color w:val="000000" w:themeColor="text1"/>
          <w:sz w:val="16"/>
          <w:szCs w:val="16"/>
        </w:rPr>
        <w:softHyphen/>
        <w:t>ности работы соединенных самолетов. В последующем для увеличения взлетного веса СЗ-1 на основных опорах шасси ТБ-1 с внешней стороны установили по дополни</w:t>
      </w:r>
      <w:r w:rsidRPr="00E93F40">
        <w:rPr>
          <w:rFonts w:ascii="Times New Roman" w:hAnsi="Times New Roman"/>
          <w:color w:val="000000" w:themeColor="text1"/>
          <w:sz w:val="16"/>
          <w:szCs w:val="16"/>
        </w:rPr>
        <w:softHyphen/>
        <w:t>тельной амортизационной стойке от са</w:t>
      </w:r>
      <w:r w:rsidRPr="00E93F40">
        <w:rPr>
          <w:rFonts w:ascii="Times New Roman" w:hAnsi="Times New Roman"/>
          <w:color w:val="000000" w:themeColor="text1"/>
          <w:sz w:val="16"/>
          <w:szCs w:val="16"/>
        </w:rPr>
        <w:softHyphen/>
        <w:t>молета АНТ-9. Лонжерон крыла носителя в районе крепления этой стойки усилили дополнительным внутренним подкосом. Доработали также замки крепления И-4 и механизм их расцепления. Третья пирами</w:t>
      </w:r>
      <w:r w:rsidRPr="00E93F40">
        <w:rPr>
          <w:rFonts w:ascii="Times New Roman" w:hAnsi="Times New Roman"/>
          <w:color w:val="000000" w:themeColor="text1"/>
          <w:sz w:val="16"/>
          <w:szCs w:val="16"/>
        </w:rPr>
        <w:softHyphen/>
        <w:t>да, удерживавшая фюзеляж И-4, теперь шарнирно крепилась на крыле ТБ-1. После открытия замка пилот истребителя давал ручку управления от себя, задняя пирамида окончательно освобождалась и откидыва</w:t>
      </w:r>
      <w:r w:rsidRPr="00E93F40">
        <w:rPr>
          <w:rFonts w:ascii="Times New Roman" w:hAnsi="Times New Roman"/>
          <w:color w:val="000000" w:themeColor="text1"/>
          <w:sz w:val="16"/>
          <w:szCs w:val="16"/>
        </w:rPr>
        <w:softHyphen/>
        <w:t>лась назад. Затем следовало движение руч</w:t>
      </w:r>
      <w:r w:rsidRPr="00E93F40">
        <w:rPr>
          <w:rFonts w:ascii="Times New Roman" w:hAnsi="Times New Roman"/>
          <w:color w:val="000000" w:themeColor="text1"/>
          <w:sz w:val="16"/>
          <w:szCs w:val="16"/>
        </w:rPr>
        <w:softHyphen/>
        <w:t>ки управления на себя, передние замки вы</w:t>
      </w:r>
      <w:r w:rsidRPr="00E93F40">
        <w:rPr>
          <w:rFonts w:ascii="Times New Roman" w:hAnsi="Times New Roman"/>
          <w:color w:val="000000" w:themeColor="text1"/>
          <w:sz w:val="16"/>
          <w:szCs w:val="16"/>
        </w:rPr>
        <w:softHyphen/>
        <w:t>ходили из кольцевого зацепления, и само</w:t>
      </w:r>
      <w:r w:rsidRPr="00E93F40">
        <w:rPr>
          <w:rFonts w:ascii="Times New Roman" w:hAnsi="Times New Roman"/>
          <w:color w:val="000000" w:themeColor="text1"/>
          <w:sz w:val="16"/>
          <w:szCs w:val="16"/>
        </w:rPr>
        <w:softHyphen/>
        <w:t>лет отрывался от носителя.</w:t>
      </w:r>
    </w:p>
    <w:p w14:paraId="3E3695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увеличения дальности полета «са</w:t>
      </w:r>
      <w:r w:rsidRPr="00E93F40">
        <w:rPr>
          <w:rFonts w:ascii="Times New Roman" w:hAnsi="Times New Roman"/>
          <w:color w:val="000000" w:themeColor="text1"/>
          <w:sz w:val="16"/>
          <w:szCs w:val="16"/>
        </w:rPr>
        <w:softHyphen/>
        <w:t>молета-звена» в бомбоотсеке ТБ-1 устано</w:t>
      </w:r>
      <w:r w:rsidRPr="00E93F40">
        <w:rPr>
          <w:rFonts w:ascii="Times New Roman" w:hAnsi="Times New Roman"/>
          <w:color w:val="000000" w:themeColor="text1"/>
          <w:sz w:val="16"/>
          <w:szCs w:val="16"/>
        </w:rPr>
        <w:softHyphen/>
        <w:t>вили дополнительные топливные баки (два по 450 л, два по 140 л и еще два запасных бачка на 65 л). По мере расходования горю</w:t>
      </w:r>
      <w:r w:rsidRPr="00E93F40">
        <w:rPr>
          <w:rFonts w:ascii="Times New Roman" w:hAnsi="Times New Roman"/>
          <w:color w:val="000000" w:themeColor="text1"/>
          <w:sz w:val="16"/>
          <w:szCs w:val="16"/>
        </w:rPr>
        <w:softHyphen/>
        <w:t>чего в баках истребителей бортмеханик на</w:t>
      </w:r>
      <w:r w:rsidRPr="00E93F40">
        <w:rPr>
          <w:rFonts w:ascii="Times New Roman" w:hAnsi="Times New Roman"/>
          <w:color w:val="000000" w:themeColor="text1"/>
          <w:sz w:val="16"/>
          <w:szCs w:val="16"/>
        </w:rPr>
        <w:softHyphen/>
        <w:t>сосом подкачивал в них бензин из топлив</w:t>
      </w:r>
      <w:r w:rsidRPr="00E93F40">
        <w:rPr>
          <w:rFonts w:ascii="Times New Roman" w:hAnsi="Times New Roman"/>
          <w:color w:val="000000" w:themeColor="text1"/>
          <w:sz w:val="16"/>
          <w:szCs w:val="16"/>
        </w:rPr>
        <w:softHyphen/>
        <w:t>ной системы носителя. Кроме того, И-4 оборудовали двумя дополнительными мас</w:t>
      </w:r>
      <w:r w:rsidRPr="00E93F40">
        <w:rPr>
          <w:rFonts w:ascii="Times New Roman" w:hAnsi="Times New Roman"/>
          <w:color w:val="000000" w:themeColor="text1"/>
          <w:sz w:val="16"/>
          <w:szCs w:val="16"/>
        </w:rPr>
        <w:softHyphen/>
        <w:t>ляными баками по 12,5 л и указателем уров</w:t>
      </w:r>
      <w:r w:rsidRPr="00E93F40">
        <w:rPr>
          <w:rFonts w:ascii="Times New Roman" w:hAnsi="Times New Roman"/>
          <w:color w:val="000000" w:themeColor="text1"/>
          <w:sz w:val="16"/>
          <w:szCs w:val="16"/>
        </w:rPr>
        <w:softHyphen/>
        <w:t>ня топлива.</w:t>
      </w:r>
    </w:p>
    <w:p w14:paraId="4F0A59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пустого ТБ-1 после установки пи</w:t>
      </w:r>
      <w:r w:rsidRPr="00E93F40">
        <w:rPr>
          <w:rFonts w:ascii="Times New Roman" w:hAnsi="Times New Roman"/>
          <w:color w:val="000000" w:themeColor="text1"/>
          <w:sz w:val="16"/>
          <w:szCs w:val="16"/>
        </w:rPr>
        <w:softHyphen/>
        <w:t>рамид крепления истребителей, дополни</w:t>
      </w:r>
      <w:r w:rsidRPr="00E93F40">
        <w:rPr>
          <w:rFonts w:ascii="Times New Roman" w:hAnsi="Times New Roman"/>
          <w:color w:val="000000" w:themeColor="text1"/>
          <w:sz w:val="16"/>
          <w:szCs w:val="16"/>
        </w:rPr>
        <w:softHyphen/>
        <w:t>тельных баков, усиления шасси и других до</w:t>
      </w:r>
      <w:r w:rsidRPr="00E93F40">
        <w:rPr>
          <w:rFonts w:ascii="Times New Roman" w:hAnsi="Times New Roman"/>
          <w:color w:val="000000" w:themeColor="text1"/>
          <w:sz w:val="16"/>
          <w:szCs w:val="16"/>
        </w:rPr>
        <w:softHyphen/>
        <w:t>работок увеличилась на 245 кг. Однако, де</w:t>
      </w:r>
      <w:r w:rsidRPr="00E93F40">
        <w:rPr>
          <w:rFonts w:ascii="Times New Roman" w:hAnsi="Times New Roman"/>
          <w:color w:val="000000" w:themeColor="text1"/>
          <w:sz w:val="16"/>
          <w:szCs w:val="16"/>
        </w:rPr>
        <w:softHyphen/>
        <w:t>монтировав кассетные бомбодержатели Дер-9, удалось снять 68 кг, и в результате масса пустого ТБ-1 возросла на 177 кг, до</w:t>
      </w:r>
      <w:r w:rsidRPr="00E93F40">
        <w:rPr>
          <w:rFonts w:ascii="Times New Roman" w:hAnsi="Times New Roman"/>
          <w:color w:val="000000" w:themeColor="text1"/>
          <w:sz w:val="16"/>
          <w:szCs w:val="16"/>
        </w:rPr>
        <w:softHyphen/>
        <w:t>стигнув 4602 кг. Пустой И-4 стал легче на 10 кг — его масса составила 965 кг (снятые нижние крылышки дали экономию 20 кг, од</w:t>
      </w:r>
      <w:r w:rsidRPr="00E93F40">
        <w:rPr>
          <w:rFonts w:ascii="Times New Roman" w:hAnsi="Times New Roman"/>
          <w:color w:val="000000" w:themeColor="text1"/>
          <w:sz w:val="16"/>
          <w:szCs w:val="16"/>
        </w:rPr>
        <w:softHyphen/>
        <w:t>нако за счет узлов крепления и дополни</w:t>
      </w:r>
      <w:r w:rsidRPr="00E93F40">
        <w:rPr>
          <w:rFonts w:ascii="Times New Roman" w:hAnsi="Times New Roman"/>
          <w:color w:val="000000" w:themeColor="text1"/>
          <w:sz w:val="16"/>
          <w:szCs w:val="16"/>
        </w:rPr>
        <w:softHyphen/>
        <w:t>тельных маслобаков это значение сократи</w:t>
      </w:r>
      <w:r w:rsidRPr="00E93F40">
        <w:rPr>
          <w:rFonts w:ascii="Times New Roman" w:hAnsi="Times New Roman"/>
          <w:color w:val="000000" w:themeColor="text1"/>
          <w:sz w:val="16"/>
          <w:szCs w:val="16"/>
        </w:rPr>
        <w:softHyphen/>
        <w:t>лось вдвое). Нормальная полетная масса СЗ-1 составила почти 10500 кг: ТБ-1 с эки</w:t>
      </w:r>
      <w:r w:rsidRPr="00E93F40">
        <w:rPr>
          <w:rFonts w:ascii="Times New Roman" w:hAnsi="Times New Roman"/>
          <w:color w:val="000000" w:themeColor="text1"/>
          <w:sz w:val="16"/>
          <w:szCs w:val="16"/>
        </w:rPr>
        <w:softHyphen/>
        <w:t>пажем и запасом бензина — 7453 кг + два И-4 взлетной массой по 1518 кг. При увели</w:t>
      </w:r>
      <w:r w:rsidRPr="00E93F40">
        <w:rPr>
          <w:rFonts w:ascii="Times New Roman" w:hAnsi="Times New Roman"/>
          <w:color w:val="000000" w:themeColor="text1"/>
          <w:sz w:val="16"/>
          <w:szCs w:val="16"/>
        </w:rPr>
        <w:softHyphen/>
        <w:t>ченном запасе бензина 2625 кг и 1000 кг бомб максимальная полетная масса СЗ-1 достигала 12500 кг (11286).</w:t>
      </w:r>
    </w:p>
    <w:p w14:paraId="5B0FDC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595F15"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1932 г. советская авиация получила первые «на</w:t>
      </w:r>
      <w:r w:rsidRPr="00142305">
        <w:rPr>
          <w:rFonts w:ascii="Times New Roman" w:hAnsi="Times New Roman"/>
          <w:color w:val="0070C0"/>
          <w:sz w:val="16"/>
          <w:szCs w:val="16"/>
        </w:rPr>
        <w:softHyphen/>
        <w:t>стоящие» тяжелые бомбардировщики - четырехмоторные ТБ-3 (24977).</w:t>
      </w:r>
    </w:p>
    <w:p w14:paraId="22A193B4" w14:textId="77777777" w:rsidR="00C7057A" w:rsidRPr="00142305" w:rsidRDefault="00C7057A" w:rsidP="00C7057A">
      <w:pPr>
        <w:spacing w:after="0" w:line="240" w:lineRule="auto"/>
        <w:jc w:val="both"/>
        <w:rPr>
          <w:rFonts w:ascii="Times New Roman" w:hAnsi="Times New Roman"/>
          <w:color w:val="0070C0"/>
          <w:sz w:val="16"/>
          <w:szCs w:val="16"/>
        </w:rPr>
      </w:pPr>
    </w:p>
    <w:p w14:paraId="0A8611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при испытаниях ТБ-5 М.М.Громовым начался пожар, посадили, но испытания до конца не довели (92,435).</w:t>
      </w:r>
    </w:p>
    <w:p w14:paraId="54624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80AECD"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1933 года МИ-3 АНТ-21 выкатили на аэродром. В мае летчик-испыта</w:t>
      </w:r>
      <w:r w:rsidRPr="00142305">
        <w:rPr>
          <w:rFonts w:ascii="Times New Roman" w:hAnsi="Times New Roman"/>
          <w:color w:val="0070C0"/>
          <w:sz w:val="16"/>
          <w:szCs w:val="16"/>
        </w:rPr>
        <w:softHyphen/>
        <w:t>тель И.Ф. Козлов опробовал его в полете. МИ-3 стал первой советской машиной с убира</w:t>
      </w:r>
      <w:r w:rsidRPr="00142305">
        <w:rPr>
          <w:rFonts w:ascii="Times New Roman" w:hAnsi="Times New Roman"/>
          <w:color w:val="0070C0"/>
          <w:sz w:val="16"/>
          <w:szCs w:val="16"/>
        </w:rPr>
        <w:softHyphen/>
        <w:t>ющимся шасси. Вслед за ним взлетел истребитель И-14 (АНТ-31) и тоже с аналогичным шасси.</w:t>
      </w:r>
    </w:p>
    <w:p w14:paraId="2CBEC790"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Сразу после появления машины на аэродроме острословы прозвали его «Митричем».</w:t>
      </w:r>
    </w:p>
    <w:p w14:paraId="2DFAB807"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Вопреки ожиданиям, МИ-3 стал преподносить сюрпризы. То на него обрушивались вибрации оперения (типа бафтинг), то он плохо слушался рулей, то его валило на крыло. По мнению летчиков, а его облетали также К.К. Попов и Б.Л. Бухгольц, самолет требовал доработок.</w:t>
      </w:r>
    </w:p>
    <w:p w14:paraId="0672C0C9"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Прежде всего на нем увеличили с 52,1 до 59,18 площадь крыла и установили посадоч</w:t>
      </w:r>
      <w:r w:rsidRPr="00142305">
        <w:rPr>
          <w:rFonts w:ascii="Times New Roman" w:hAnsi="Times New Roman"/>
          <w:color w:val="0070C0"/>
          <w:sz w:val="16"/>
          <w:szCs w:val="16"/>
        </w:rPr>
        <w:softHyphen/>
        <w:t>ные щитки. Затем переделали оперение. Зализы крыла и полотняная обтяжка дюралевого гофра снизили коэффициент лобового сопротивления, но вибрации не устранили. А ведь к услугам Туполева были не только квалифицированные специалисты ЦАГИ, но и мощ</w:t>
      </w:r>
      <w:r w:rsidRPr="00142305">
        <w:rPr>
          <w:rFonts w:ascii="Times New Roman" w:hAnsi="Times New Roman"/>
          <w:color w:val="0070C0"/>
          <w:sz w:val="16"/>
          <w:szCs w:val="16"/>
        </w:rPr>
        <w:softHyphen/>
        <w:t>ная экспериментальная база, включая аэродинамические трубы. Не всегда и не каждый кон</w:t>
      </w:r>
      <w:r w:rsidRPr="00142305">
        <w:rPr>
          <w:rFonts w:ascii="Times New Roman" w:hAnsi="Times New Roman"/>
          <w:color w:val="0070C0"/>
          <w:sz w:val="16"/>
          <w:szCs w:val="16"/>
        </w:rPr>
        <w:softHyphen/>
        <w:t>структор в те годы мог позволить себе такое (24991).</w:t>
      </w:r>
    </w:p>
    <w:p w14:paraId="7B5A8322" w14:textId="77777777" w:rsidR="00C7057A" w:rsidRPr="00142305" w:rsidRDefault="00C7057A" w:rsidP="00C7057A">
      <w:pPr>
        <w:spacing w:after="0" w:line="240" w:lineRule="auto"/>
        <w:jc w:val="both"/>
        <w:rPr>
          <w:rFonts w:ascii="Times New Roman" w:hAnsi="Times New Roman"/>
          <w:color w:val="0070C0"/>
          <w:sz w:val="16"/>
          <w:szCs w:val="16"/>
        </w:rPr>
      </w:pPr>
    </w:p>
    <w:p w14:paraId="5A51A3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Весной 1931 года после устранения дефектов и доукомплектования ВВС приняли большую часть из двух серий Р-6, выпущенных на заводе № 22 к концу 1931, пять и десять самолетов соответственно. При этом и прошедшие приемку машины не совсем соответствовали техническим условиям ВВС. На них не было фотоаппаратов, радиостанций, кислородных приборов. Пустой вес машин значительно превышал лимиты, военные наивно рассчитывали уложиться в прибавку в 1,5% к весу опытного образца. На 1 февраля 1932 г. в ВВС числились всего четыре Р-6 - два в ЦАГИ и два в НИИ ВВС. </w:t>
      </w:r>
    </w:p>
    <w:p w14:paraId="08EBD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темпы выпуска постепенно росли. Завод сдавал по четыре-пять самолетов в месяц, в мае даже обогнав план. Моторы ставили и советские, и оригинальные немецкие. Последние были полегче и помощнее, поэтому самолеты с ними обычно использовали как командирские. Электрика и приборы тоже могли быть и отечественными, и импортными. Самолеты выпуска 1932 г. имели увеличенные маслобаки и пневмопуски на моторах. В полете они работали от бортовых баллонов, на аэродроме - от больших наземных. Первые серии Р-6 комплектовались импортными покрышками "Пальмер", а далее - советскими прямобортного типа той же ширины, но меньшего диаметра. Для эксплуатации зимой к каждому самолету придавали комплект деревянных окованных лыж.</w:t>
      </w:r>
    </w:p>
    <w:p w14:paraId="59BAE6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Серийный Р-6 стоил недешево - 253 000 рублей. Сейчас эта цифра кажется смехотворной, но тогда это были большие деньги. Истребители того времени обходились в 35 - 50 тысяч рублей, легкий бомбардировщик Р-5 - 36 тысяч, тяжелый четырехмоторный ТБ-3 - 450 тысяч.</w:t>
      </w:r>
    </w:p>
    <w:p w14:paraId="7235C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предприятие в Филях было сильно перегружено заказами на бомбардировщики, которым придавалось большее значение. Поэтому привлекли таганрогский завод № 31. Ему передали документацию и самолет-эталон.</w:t>
      </w:r>
    </w:p>
    <w:p w14:paraId="15324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Москве же производство стало сворачиваться. За все второе полугодие сдали меньше десятка машин, закончив год на 30-м самолете. Таким образом, всего завод № 22 сделал 45 Р-6. Узлы пяти машин 6-й серии отгрузили в Таганрог, где до конца 1932 г. собрали всего один "крейсер". Передача производства в другой город сильно затормозила выпуск Р-6 и привела к срыву планов перевооружения ВВС.</w:t>
      </w:r>
    </w:p>
    <w:p w14:paraId="44359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Выпущенные весной 1932 г. Р-6 поступили в части ВВС Московского военного округа. 1 мая в воздушном параде участвовали самолеты 11-й и 17-й авиабригад. По штату каждой тяжелобомбардировочной бригаде полагалась эскадрилья из дюжины "крейсеров" (12036).</w:t>
      </w:r>
    </w:p>
    <w:p w14:paraId="5801F3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36D5C6" w14:textId="77777777" w:rsidR="00354DEF" w:rsidRPr="00E93F40" w:rsidRDefault="00354DE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введена в действие Инструкция по эксплуатации самолета И-7, до того использовалась немецкая документация (24331).</w:t>
      </w:r>
    </w:p>
    <w:p w14:paraId="35B3E7AB" w14:textId="77777777" w:rsidR="00354DEF" w:rsidRPr="00E93F40" w:rsidRDefault="00354DEF" w:rsidP="00E93F40">
      <w:pPr>
        <w:spacing w:after="0" w:line="240" w:lineRule="auto"/>
        <w:jc w:val="both"/>
        <w:rPr>
          <w:rFonts w:ascii="Times New Roman" w:hAnsi="Times New Roman"/>
          <w:color w:val="000000" w:themeColor="text1"/>
          <w:sz w:val="16"/>
          <w:szCs w:val="16"/>
        </w:rPr>
      </w:pPr>
    </w:p>
    <w:p w14:paraId="5DE07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на Харьковском авиазаводе начали строить ХАИ-1 (553,143).</w:t>
      </w:r>
    </w:p>
    <w:p w14:paraId="07FC96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234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в СССР прибыли первые С-62Б и с сентября под обозначением МБР-4 машину начали делать на 31 заводе (2543,13).</w:t>
      </w:r>
    </w:p>
    <w:p w14:paraId="642027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3C1921" w14:textId="77777777" w:rsidR="00046DC2" w:rsidRPr="00E93F40" w:rsidRDefault="00046D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в Италии были приобретены первые серийные S.62.</w:t>
      </w:r>
    </w:p>
    <w:p w14:paraId="779CBDAF" w14:textId="77777777" w:rsidR="00046DC2" w:rsidRPr="00E93F40" w:rsidRDefault="00046D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сравнительных испытаний «S.62 bis» и Dornier «Wal» в 1931 г. в Севастополе было установлено, что первая машина «не уступала лодке Дорнье в дальности, превосходила ее в скорости и потолке и, проигрывая в надежности и мореходности, имела существенно меньшую стоимость (РГВА. Ф. 29. Оп. 76. Д. 927. Отчеты опытных головных серийных и летных испытаний самолета С-62 и переписке с УСС ВВС о поставке самолетов из Италии. 12.4.31-15.11.31. Л. 5.) (21410).</w:t>
      </w:r>
    </w:p>
    <w:p w14:paraId="5325D357" w14:textId="77777777" w:rsidR="00046DC2" w:rsidRPr="00E93F40" w:rsidRDefault="00046DC2" w:rsidP="00E93F40">
      <w:pPr>
        <w:spacing w:after="0" w:line="240" w:lineRule="auto"/>
        <w:jc w:val="both"/>
        <w:rPr>
          <w:rFonts w:ascii="Times New Roman" w:hAnsi="Times New Roman"/>
          <w:color w:val="000000" w:themeColor="text1"/>
          <w:sz w:val="16"/>
          <w:szCs w:val="16"/>
        </w:rPr>
      </w:pPr>
    </w:p>
    <w:p w14:paraId="6D2998AE" w14:textId="77777777" w:rsidR="00046DC2" w:rsidRPr="00E93F40" w:rsidRDefault="00046D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летающую лодку МБР-4, представлявшую собой советскую версию S.62, начали производить в Таганроге. От итальянской машины, кроме модификаций, внесенных на С-62КЭ, она отличалась дополнительными нововведениями в расположении оборудования и усилением некоторых шпангоутов (РГВА. Ф. 29. Оп. 76. Д. 1415. Отчет об испытании вооружения на самолете С-62бис. 1.1.32-30.12.32. Л. 57-59.). Итальянские материалы заменялись на их советские аналоги, так же, как и с С-62КЭ. В итоге можно было видеть, что очертания самолета больше соответствовали итальянскому прототипу, однако фюзеляж был шире и выше по причине больших габаритов турелей Тур-6, чем «Виккерс». В марте 1932 г. были проведены испытания стрелкового и бомбардировочного итальянского вооружения (РГВА. Ф. 29. Оп. 76. Д. 1415. Отчет об испытании вооружения на самолете С-62бис. 1.1.32-30.12.32. Л. 14-20.) (21410).</w:t>
      </w:r>
    </w:p>
    <w:p w14:paraId="6FD33083" w14:textId="77777777" w:rsidR="00046DC2" w:rsidRPr="00E93F40" w:rsidRDefault="00046DC2" w:rsidP="00E93F40">
      <w:pPr>
        <w:spacing w:after="0" w:line="240" w:lineRule="auto"/>
        <w:jc w:val="both"/>
        <w:rPr>
          <w:rFonts w:ascii="Times New Roman" w:hAnsi="Times New Roman"/>
          <w:color w:val="000000" w:themeColor="text1"/>
          <w:sz w:val="16"/>
          <w:szCs w:val="16"/>
        </w:rPr>
      </w:pPr>
    </w:p>
    <w:p w14:paraId="2DD2D5FF" w14:textId="77777777" w:rsidR="0011556E" w:rsidRPr="00E93F40" w:rsidRDefault="0011556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остро встал вопрос о запуске в серийное производство крайне необходимого оснащенной в основном импортными итальянскими летающими лодками Авиации ВМФ СССР морского ближнего разведчика МБР-2 разработки бригады ЦКБ Г.М. Бериева. Туполев был категорически против, утверждая, что он не будет долговечен из-за деревянно-полотняной конструкции. В то время первый опытный образец МБР-2 был только что закончен по сборке, и его испытания даже еще не начались, Заказчик потребовал продолжения всех работ по этой теме, Туполев продолжал настаивать на том, что конструкция гидросамолетов должна быть только цельнометаллической, но сам ближнего морского разведчика не предлагал (23554).</w:t>
      </w:r>
    </w:p>
    <w:p w14:paraId="0C6869E9" w14:textId="77777777" w:rsidR="0011556E" w:rsidRPr="00E93F40" w:rsidRDefault="0011556E" w:rsidP="00E93F40">
      <w:pPr>
        <w:spacing w:after="0" w:line="240" w:lineRule="auto"/>
        <w:jc w:val="both"/>
        <w:rPr>
          <w:rFonts w:ascii="Times New Roman" w:hAnsi="Times New Roman"/>
          <w:color w:val="000000" w:themeColor="text1"/>
          <w:sz w:val="16"/>
          <w:szCs w:val="16"/>
        </w:rPr>
      </w:pPr>
    </w:p>
    <w:p w14:paraId="3D388EE7"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весны 1932 г. в Таган</w:t>
      </w:r>
      <w:r w:rsidRPr="00142305">
        <w:rPr>
          <w:rFonts w:ascii="Times New Roman" w:hAnsi="Times New Roman"/>
          <w:color w:val="0070C0"/>
          <w:sz w:val="16"/>
          <w:szCs w:val="16"/>
        </w:rPr>
        <w:softHyphen/>
        <w:t>роге начали выпускать настоящие боевые самолеты МБР-4. К концу предыдущего года вся документация из Италии уже поступила, с оборудованием и вооружением более- менее определились. Но. подстраховы</w:t>
      </w:r>
      <w:r w:rsidRPr="00142305">
        <w:rPr>
          <w:rFonts w:ascii="Times New Roman" w:hAnsi="Times New Roman"/>
          <w:color w:val="0070C0"/>
          <w:sz w:val="16"/>
          <w:szCs w:val="16"/>
        </w:rPr>
        <w:softHyphen/>
        <w:t>ваясь. на заводе начали с полноразмер</w:t>
      </w:r>
      <w:r w:rsidRPr="00142305">
        <w:rPr>
          <w:rFonts w:ascii="Times New Roman" w:hAnsi="Times New Roman"/>
          <w:color w:val="0070C0"/>
          <w:sz w:val="16"/>
          <w:szCs w:val="16"/>
        </w:rPr>
        <w:softHyphen/>
        <w:t>ного макета, который в январе предста</w:t>
      </w:r>
      <w:r w:rsidRPr="00142305">
        <w:rPr>
          <w:rFonts w:ascii="Times New Roman" w:hAnsi="Times New Roman"/>
          <w:color w:val="0070C0"/>
          <w:sz w:val="16"/>
          <w:szCs w:val="16"/>
        </w:rPr>
        <w:softHyphen/>
        <w:t>вили комиссии во главе с начальником 2-го отдела УВВС К.В. Гануличем. От оригинальной «савойи», помимо из</w:t>
      </w:r>
      <w:r w:rsidRPr="00142305">
        <w:rPr>
          <w:rFonts w:ascii="Times New Roman" w:hAnsi="Times New Roman"/>
          <w:color w:val="0070C0"/>
          <w:sz w:val="16"/>
          <w:szCs w:val="16"/>
        </w:rPr>
        <w:softHyphen/>
        <w:t>менений внесенных на С-62КЭ, он от</w:t>
      </w:r>
      <w:r w:rsidRPr="00142305">
        <w:rPr>
          <w:rFonts w:ascii="Times New Roman" w:hAnsi="Times New Roman"/>
          <w:color w:val="0070C0"/>
          <w:sz w:val="16"/>
          <w:szCs w:val="16"/>
        </w:rPr>
        <w:softHyphen/>
        <w:t>личался дальнейшими изменениями в размещении оборудования и усилением некоторых шпангоутов. Вместо шести балок Дер-7 на макете появились четыре новых бомбодержателя ДОС в сочета</w:t>
      </w:r>
      <w:r w:rsidRPr="00142305">
        <w:rPr>
          <w:rFonts w:ascii="Times New Roman" w:hAnsi="Times New Roman"/>
          <w:color w:val="0070C0"/>
          <w:sz w:val="16"/>
          <w:szCs w:val="16"/>
        </w:rPr>
        <w:softHyphen/>
        <w:t>нии со сбрасывателем Сбр-9 (на С-62КЭ стояли Сбр-8). Балки были двухзамко</w:t>
      </w:r>
      <w:r w:rsidRPr="00142305">
        <w:rPr>
          <w:rFonts w:ascii="Times New Roman" w:hAnsi="Times New Roman"/>
          <w:color w:val="0070C0"/>
          <w:sz w:val="16"/>
          <w:szCs w:val="16"/>
        </w:rPr>
        <w:softHyphen/>
        <w:t>вые, позволявшие подвеску двух бомб друг за другом. Но максимальный ка</w:t>
      </w:r>
      <w:r w:rsidRPr="00142305">
        <w:rPr>
          <w:rFonts w:ascii="Times New Roman" w:hAnsi="Times New Roman"/>
          <w:color w:val="0070C0"/>
          <w:sz w:val="16"/>
          <w:szCs w:val="16"/>
        </w:rPr>
        <w:softHyphen/>
        <w:t>либр боеприпасов ограничивался 82 кг, а максимальная нагрузка - 528 кг. На каждую турель предусматривалось не 16. а 12 дисков.</w:t>
      </w:r>
    </w:p>
    <w:p w14:paraId="3DCF054A"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Контуры лодки гораздо точнее соот</w:t>
      </w:r>
      <w:r w:rsidRPr="00142305">
        <w:rPr>
          <w:rFonts w:ascii="Times New Roman" w:hAnsi="Times New Roman"/>
          <w:color w:val="0070C0"/>
          <w:sz w:val="16"/>
          <w:szCs w:val="16"/>
        </w:rPr>
        <w:softHyphen/>
        <w:t>ветствовали итальянскому прототипу, хо</w:t>
      </w:r>
      <w:r w:rsidRPr="00142305">
        <w:rPr>
          <w:rFonts w:ascii="Times New Roman" w:hAnsi="Times New Roman"/>
          <w:color w:val="0070C0"/>
          <w:sz w:val="16"/>
          <w:szCs w:val="16"/>
        </w:rPr>
        <w:softHyphen/>
        <w:t>тя фюзеляж МБР-4 все равно оставался шире и выше за счет того, что Тур-6 по габаритам превосходила турели «Вик</w:t>
      </w:r>
      <w:r w:rsidRPr="00142305">
        <w:rPr>
          <w:rFonts w:ascii="Times New Roman" w:hAnsi="Times New Roman"/>
          <w:color w:val="0070C0"/>
          <w:sz w:val="16"/>
          <w:szCs w:val="16"/>
        </w:rPr>
        <w:softHyphen/>
        <w:t>керс». Комиссия записала 42 пункта не</w:t>
      </w:r>
      <w:r w:rsidRPr="00142305">
        <w:rPr>
          <w:rFonts w:ascii="Times New Roman" w:hAnsi="Times New Roman"/>
          <w:color w:val="0070C0"/>
          <w:sz w:val="16"/>
          <w:szCs w:val="16"/>
        </w:rPr>
        <w:softHyphen/>
        <w:t>достатков. но ни один из них не являлся существенным</w:t>
      </w:r>
    </w:p>
    <w:p w14:paraId="4A0ACBC3"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и у С-62КЭ, материалы заменя</w:t>
      </w:r>
      <w:r w:rsidRPr="00142305">
        <w:rPr>
          <w:rFonts w:ascii="Times New Roman" w:hAnsi="Times New Roman"/>
          <w:color w:val="0070C0"/>
          <w:sz w:val="16"/>
          <w:szCs w:val="16"/>
        </w:rPr>
        <w:softHyphen/>
        <w:t>лись на их советские аналоги, однако, вернулись к обшивке лодки планками из красного дерева. В радиаторах вместо итальянских четырехгранных латунных трубок использовали трубки Андрэ (шес</w:t>
      </w:r>
      <w:r w:rsidRPr="00142305">
        <w:rPr>
          <w:rFonts w:ascii="Times New Roman" w:hAnsi="Times New Roman"/>
          <w:color w:val="0070C0"/>
          <w:sz w:val="16"/>
          <w:szCs w:val="16"/>
        </w:rPr>
        <w:softHyphen/>
        <w:t>тигранные) Бензобаки стояли так же, как на С-62Б. но объем их стал меньше из-за усиленной конструкции с двухрядными заклепочными швами. Передние баки имели емкость по 227 л, центральные - по 623 л, задние - по 145 л. Всего запас уменьшился на 60 л. Итальянские бен- зиномеры заменили простыми мерными стеклами. Вместо импортного огнету</w:t>
      </w:r>
      <w:r w:rsidRPr="00142305">
        <w:rPr>
          <w:rFonts w:ascii="Times New Roman" w:hAnsi="Times New Roman"/>
          <w:color w:val="0070C0"/>
          <w:sz w:val="16"/>
          <w:szCs w:val="16"/>
        </w:rPr>
        <w:softHyphen/>
        <w:t>шителя «Нокаут» применили «Тайфун» советского производства, для которого ставили вместо двух только один бал</w:t>
      </w:r>
      <w:r w:rsidRPr="00142305">
        <w:rPr>
          <w:rFonts w:ascii="Times New Roman" w:hAnsi="Times New Roman"/>
          <w:color w:val="0070C0"/>
          <w:sz w:val="16"/>
          <w:szCs w:val="16"/>
        </w:rPr>
        <w:softHyphen/>
        <w:t>лон с углекислым газом (но больший по объему). Самолеты несли советский комплект электрооборудования КОСА-3. Фара имелась всего одна, находившаяся на передней кромке центроплана верх</w:t>
      </w:r>
      <w:r w:rsidRPr="00142305">
        <w:rPr>
          <w:rFonts w:ascii="Times New Roman" w:hAnsi="Times New Roman"/>
          <w:color w:val="0070C0"/>
          <w:sz w:val="16"/>
          <w:szCs w:val="16"/>
        </w:rPr>
        <w:softHyphen/>
        <w:t>него крыла. Питание электрооборудова</w:t>
      </w:r>
      <w:r w:rsidRPr="00142305">
        <w:rPr>
          <w:rFonts w:ascii="Times New Roman" w:hAnsi="Times New Roman"/>
          <w:color w:val="0070C0"/>
          <w:sz w:val="16"/>
          <w:szCs w:val="16"/>
        </w:rPr>
        <w:softHyphen/>
        <w:t>ния осуществлялось от динамо-машины ДОМ-1, закрепленной справа на центро</w:t>
      </w:r>
      <w:r w:rsidRPr="00142305">
        <w:rPr>
          <w:rFonts w:ascii="Times New Roman" w:hAnsi="Times New Roman"/>
          <w:color w:val="0070C0"/>
          <w:sz w:val="16"/>
          <w:szCs w:val="16"/>
        </w:rPr>
        <w:softHyphen/>
        <w:t>плане. Слева симметрично располагал</w:t>
      </w:r>
      <w:r w:rsidRPr="00142305">
        <w:rPr>
          <w:rFonts w:ascii="Times New Roman" w:hAnsi="Times New Roman"/>
          <w:color w:val="0070C0"/>
          <w:sz w:val="16"/>
          <w:szCs w:val="16"/>
        </w:rPr>
        <w:softHyphen/>
        <w:t>ся генератор для радиостанции 14С-1. Последнюю ставили слева в передней кабине, как и итальянцы. В связи с этим функции радиста приобрел летнаб, а в задней кабине размещался просто стре</w:t>
      </w:r>
      <w:r w:rsidRPr="00142305">
        <w:rPr>
          <w:rFonts w:ascii="Times New Roman" w:hAnsi="Times New Roman"/>
          <w:color w:val="0070C0"/>
          <w:sz w:val="16"/>
          <w:szCs w:val="16"/>
        </w:rPr>
        <w:softHyphen/>
        <w:t>лок. Предусматривалась установка фо</w:t>
      </w:r>
      <w:r w:rsidRPr="00142305">
        <w:rPr>
          <w:rFonts w:ascii="Times New Roman" w:hAnsi="Times New Roman"/>
          <w:color w:val="0070C0"/>
          <w:sz w:val="16"/>
          <w:szCs w:val="16"/>
        </w:rPr>
        <w:softHyphen/>
        <w:t>тоаппарата АФА-13 (24948).</w:t>
      </w:r>
    </w:p>
    <w:p w14:paraId="1B37D68D" w14:textId="77777777" w:rsidR="00C7057A" w:rsidRPr="00142305" w:rsidRDefault="00C7057A" w:rsidP="00C7057A">
      <w:pPr>
        <w:spacing w:after="0" w:line="240" w:lineRule="auto"/>
        <w:jc w:val="both"/>
        <w:rPr>
          <w:rFonts w:ascii="Times New Roman" w:hAnsi="Times New Roman"/>
          <w:color w:val="0070C0"/>
          <w:sz w:val="16"/>
          <w:szCs w:val="16"/>
        </w:rPr>
      </w:pPr>
    </w:p>
    <w:p w14:paraId="4093A203"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инженеры-конструкторы А.С.Бас-Дубов и Г.М.Заславский приступили к проектированию самолетного винта с автоматически регулирующимся шагом (ВАРШ) (в полете). Проектирование и изготовление винта тянулось до апреля 1934 г. Далее, до января 1935 г. винт проходил заводские испытания на станке и необходимые доводки, выявленные в процессе испытаний. В январе 1935 г. его предъявили для дальнейших испытаний на станке. Эти испытания проходили до апреля 1935 г. и дали очень хорошие результаты. Однако, этот винт был сделан под самолет с толкающими лопастями, который тогда находился в стадии изготовления. КБ же для начала испытаний винта на самолете, приступило к изготовлению втулки с тянущимися лопастями под мотор АМ-34 в 860 л/с. Заказ был отдан на завод «Электроприбор». В январе 1936 г. винт был окончательно готов и испытан на стенде. В феврале 1936 г. на заводе № 1 винт установили на самолет Р-3эт для производства заводских летных испытаний. Испытания показали, что при работе мотора на 1600-1900 об/мин, лопасти начинают вибрировать. В результате были сделаны новые лопасти. С ними в декабре 1936 г. винт на самолете Р-3эт в НИИ ВВС прошел в заводские испытания и, пройдя 13 февраля 1937 г. государственные испытания, был принят на вооружение (12702).</w:t>
      </w:r>
    </w:p>
    <w:p w14:paraId="7ABB12EB" w14:textId="77777777" w:rsidR="00684A8A" w:rsidRPr="00E93F40" w:rsidRDefault="00684A8A" w:rsidP="00E93F40">
      <w:pPr>
        <w:spacing w:after="0" w:line="240" w:lineRule="auto"/>
        <w:jc w:val="both"/>
        <w:rPr>
          <w:rFonts w:ascii="Times New Roman" w:hAnsi="Times New Roman"/>
          <w:color w:val="000000" w:themeColor="text1"/>
          <w:sz w:val="16"/>
          <w:szCs w:val="16"/>
        </w:rPr>
      </w:pPr>
    </w:p>
    <w:p w14:paraId="75D1CC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в Москве был создан Гипронииавиапром (90,419).</w:t>
      </w:r>
    </w:p>
    <w:p w14:paraId="0CA56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D42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Ленинградское Особое КБ при Всесоюзном объединении точной индустрии (Осконбюро ВОТИ под руководством А.И.Архарова) был выдан заказ на разработку системы радиоуправления для ТБ-1. Хотели ставить на старые машины чтобы делать летающие бомбы. В качестве радиолинии использовали прибор Дедал разработки Остехбюро В.И.Бекаури и отработанном на торпедных катерах (378,104).</w:t>
      </w:r>
    </w:p>
    <w:p w14:paraId="49118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E4B96A" w14:textId="118059E5" w:rsidR="003C38D0" w:rsidRPr="00E93F40" w:rsidRDefault="003C38D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Весной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расположенное в Ленинграде Особое техническое бюро, специализирующееся на создании новых видов вооружения, получило задание на разработку оборудования для дистанционно управляемого самолёта.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Для этого предполагалось использовать списанные с вооружения как устаревшие или исчерпавшие свой ресурс машины. Их боевое применение предусматривало несколько вариантов: самолёт мог быть начинён взрывчаткой и использован как летающая бомба, мог сбросить на врага боезапас и по радиокомандам вернуться на базу, мог служить летающей мишенью для тренировок зенитной артиллерии. Инициаторами создания этого вида оружия был</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М.Н. Тухачевский и специалист по теоретической механике Г.В. Коренев, отвечающий за научно-техническое руководство работами по созданию системы управления контролируемого по радио самолёта/</w:t>
      </w:r>
    </w:p>
    <w:p w14:paraId="44A9F3D2" w14:textId="77777777" w:rsidR="003C38D0" w:rsidRPr="00E93F40" w:rsidRDefault="003C38D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Для решения задачи требовалось два устройства: автопилот, обеспечивающий полёт по заданным параметрам, и командное устройство, сообщающее автопилоту сигналы для изменения траектории.</w:t>
      </w:r>
    </w:p>
    <w:p w14:paraId="46FB90BC" w14:textId="08A4E3DC" w:rsidR="003C38D0" w:rsidRPr="00E93F40" w:rsidRDefault="003C38D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Автопилот АВП-2 был изготовлен группой Коренева осенью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Он имел два свободных гироскопа — курсовой и продольно-поперечный — и с помощью рулевых машинок с пневмоприводом мог управлять самолётом.</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 1933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АВП-2 был установлен на бомбардировщик ТБ-1 и прошёл испытания, в том числе во время 8-часового перелёта по маршруту Евпатория — Харьков — Москва в июне этого года. За штурвалом находился лётчик Б.Н. Агров, механиком по автопилоту был М.В. Соколов.</w:t>
      </w:r>
    </w:p>
    <w:p w14:paraId="3BEC6725" w14:textId="254D6747" w:rsidR="003C38D0" w:rsidRPr="00E93F40" w:rsidRDefault="003C38D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Тем временем в Особом техническом бюро под руководством академика В.Ф. Миткевича изготовили прибор «Дедал», который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были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w:t>
      </w:r>
      <w:hyperlink r:id="rId118" w:history="1">
        <w:r w:rsidRPr="00E93F40">
          <w:rPr>
            <w:rFonts w:ascii="Times New Roman" w:eastAsia="Times New Roman" w:hAnsi="Times New Roman"/>
            <w:color w:val="000000" w:themeColor="text1"/>
            <w:sz w:val="16"/>
            <w:szCs w:val="16"/>
            <w:lang w:eastAsia="ru-RU"/>
          </w:rPr>
          <w:t>[218]</w:t>
        </w:r>
      </w:hyperlink>
      <w:r w:rsidRPr="00E93F40">
        <w:rPr>
          <w:rFonts w:ascii="Times New Roman" w:eastAsia="Times New Roman" w:hAnsi="Times New Roman"/>
          <w:color w:val="000000" w:themeColor="text1"/>
          <w:sz w:val="16"/>
          <w:szCs w:val="16"/>
          <w:lang w:eastAsia="ru-RU"/>
        </w:rPr>
        <w:t xml:space="preserve"> . Дальность передачи сигнала составляла около 25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максимальная задержка реакции срабатывания — 4 секунды. При проектировании «Дедала» в Остехбюро опирались на опыт постройки управляемых по радио торпедных катеров (17489).</w:t>
      </w:r>
    </w:p>
    <w:p w14:paraId="773DD107" w14:textId="77777777" w:rsidR="003C38D0" w:rsidRPr="00E93F40" w:rsidRDefault="003C38D0" w:rsidP="00E93F40">
      <w:pPr>
        <w:spacing w:after="0" w:line="240" w:lineRule="auto"/>
        <w:jc w:val="both"/>
        <w:rPr>
          <w:rFonts w:ascii="Times New Roman" w:eastAsia="Times New Roman" w:hAnsi="Times New Roman"/>
          <w:color w:val="000000" w:themeColor="text1"/>
          <w:sz w:val="16"/>
          <w:szCs w:val="16"/>
          <w:lang w:eastAsia="ru-RU"/>
        </w:rPr>
      </w:pPr>
    </w:p>
    <w:p w14:paraId="046FE03D" w14:textId="77777777" w:rsidR="00C7057A" w:rsidRPr="00142305" w:rsidRDefault="00C7057A" w:rsidP="00C7057A">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Весной 1932 г. в д. Карпушовка Усть-Цилемского райо</w:t>
      </w:r>
      <w:r w:rsidRPr="00142305">
        <w:rPr>
          <w:rStyle w:val="aff"/>
          <w:rFonts w:ascii="Times New Roman" w:hAnsi="Times New Roman" w:cs="Times New Roman"/>
          <w:color w:val="0070C0"/>
          <w:spacing w:val="0"/>
          <w:sz w:val="16"/>
          <w:szCs w:val="16"/>
        </w:rPr>
        <w:softHyphen/>
        <w:t>на, по инициативе начальника «Ухтпечлага» Я.М. Мороза, приказом ГУЛАГа после ликвидации Соловецкой и Вишерской воздухолиний и переброски самолётов па Печору, была создана новая воздухолиния и авиабаза Особой эскадрильи «Ухтпечлага» ОГПУ.</w:t>
      </w:r>
    </w:p>
    <w:p w14:paraId="52FA396F" w14:textId="77777777" w:rsidR="00C7057A" w:rsidRPr="00142305" w:rsidRDefault="00C7057A" w:rsidP="00C7057A">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Первыми летательными аппаратами были списанные из ВВС РККА гидросамолёты </w:t>
      </w:r>
      <w:r w:rsidRPr="00142305">
        <w:rPr>
          <w:rStyle w:val="aff"/>
          <w:rFonts w:ascii="Times New Roman" w:hAnsi="Times New Roman" w:cs="Times New Roman"/>
          <w:color w:val="0070C0"/>
          <w:spacing w:val="0"/>
          <w:sz w:val="16"/>
          <w:szCs w:val="16"/>
          <w:lang w:val="en-US"/>
        </w:rPr>
        <w:t>IO</w:t>
      </w:r>
      <w:r w:rsidRPr="00142305">
        <w:rPr>
          <w:rStyle w:val="aff"/>
          <w:rFonts w:ascii="Times New Roman" w:hAnsi="Times New Roman" w:cs="Times New Roman"/>
          <w:color w:val="0070C0"/>
          <w:spacing w:val="0"/>
          <w:sz w:val="16"/>
          <w:szCs w:val="16"/>
        </w:rPr>
        <w:t>-2 (морские разведчики, «Юнкерсы»). Веспой, летом и осенью они приводнялись на поплавках на поверхность рек и озёр, а зимой поплав</w:t>
      </w:r>
      <w:r w:rsidRPr="00142305">
        <w:rPr>
          <w:rStyle w:val="aff"/>
          <w:rFonts w:ascii="Times New Roman" w:hAnsi="Times New Roman" w:cs="Times New Roman"/>
          <w:color w:val="0070C0"/>
          <w:spacing w:val="0"/>
          <w:sz w:val="16"/>
          <w:szCs w:val="16"/>
        </w:rPr>
        <w:softHyphen/>
        <w:t>ки заменяли лыжами. К концу 1931 г. в «Ухтпечлаге» было уже 4 «Юнкерса», а позже эскадрилья пополнилась самолётами других марок: 10-20, Ю-21, 10-13, К-5, У-2, Ш-2, ПР-5. Пилотировали их в основном лётчики, от</w:t>
      </w:r>
      <w:r w:rsidRPr="00142305">
        <w:rPr>
          <w:rStyle w:val="aff"/>
          <w:rFonts w:ascii="Times New Roman" w:hAnsi="Times New Roman" w:cs="Times New Roman"/>
          <w:color w:val="0070C0"/>
          <w:spacing w:val="0"/>
          <w:sz w:val="16"/>
          <w:szCs w:val="16"/>
        </w:rPr>
        <w:softHyphen/>
        <w:t>бывавшие сроки заключения. В быту и на работе пилоты и бортмеханики ничем не отличались от вольнонаёмного состава и пользовались полной свободой. Даже питание они получали по нормам ВВС. В этом отношении Особая эскадрилья была исключением и инородным телом в со</w:t>
      </w:r>
      <w:r w:rsidRPr="00142305">
        <w:rPr>
          <w:rStyle w:val="aff"/>
          <w:rFonts w:ascii="Times New Roman" w:hAnsi="Times New Roman" w:cs="Times New Roman"/>
          <w:color w:val="0070C0"/>
          <w:spacing w:val="0"/>
          <w:sz w:val="16"/>
          <w:szCs w:val="16"/>
        </w:rPr>
        <w:softHyphen/>
        <w:t>ставе ГУЛАГа.</w:t>
      </w:r>
    </w:p>
    <w:p w14:paraId="647A36C8" w14:textId="77777777" w:rsidR="00C7057A" w:rsidRPr="00142305" w:rsidRDefault="00C7057A" w:rsidP="00C7057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В штате воздухолипии (в 1936 г.) состояли 7 вольно</w:t>
      </w:r>
      <w:r w:rsidRPr="00142305">
        <w:rPr>
          <w:rStyle w:val="aff"/>
          <w:rFonts w:ascii="Times New Roman" w:hAnsi="Times New Roman" w:cs="Times New Roman"/>
          <w:color w:val="0070C0"/>
          <w:spacing w:val="0"/>
          <w:sz w:val="16"/>
          <w:szCs w:val="16"/>
        </w:rPr>
        <w:softHyphen/>
        <w:t>наёмных, 7 колонизованных и 10 заключённых, а также коменданты пунктов приёма, заправки и отправки само</w:t>
      </w:r>
      <w:r w:rsidRPr="00142305">
        <w:rPr>
          <w:rStyle w:val="aff"/>
          <w:rFonts w:ascii="Times New Roman" w:hAnsi="Times New Roman" w:cs="Times New Roman"/>
          <w:color w:val="0070C0"/>
          <w:spacing w:val="0"/>
          <w:sz w:val="16"/>
          <w:szCs w:val="16"/>
        </w:rPr>
        <w:softHyphen/>
        <w:t>лётов из Морской, Усть-Усы, Адзвавома, Усть-Ижмы, Вой, Кедрового Шора, Еджыд Кырты, Воркута-Вом, Усть-Ухты, Котласа. В этих пунктах имелись комнаты отдыха лётчиков, водогрейки, бензобазы (25653).</w:t>
      </w:r>
    </w:p>
    <w:p w14:paraId="3F94803B" w14:textId="77777777" w:rsidR="00C7057A" w:rsidRPr="00142305" w:rsidRDefault="00C7057A" w:rsidP="00C7057A">
      <w:pPr>
        <w:spacing w:after="0" w:line="240" w:lineRule="auto"/>
        <w:jc w:val="both"/>
        <w:rPr>
          <w:rFonts w:ascii="Times New Roman" w:hAnsi="Times New Roman"/>
          <w:color w:val="0070C0"/>
          <w:sz w:val="16"/>
          <w:szCs w:val="16"/>
        </w:rPr>
      </w:pPr>
    </w:p>
    <w:p w14:paraId="4ED3DBFC"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1932 г. Б.Г. Чухновский и В.С. Молоков перегнали первый из двух ЮГ-1, полученных Управлением воздушной службы (позже переименованное в Управление полярной авиации) ГУСМП из Москвы в Красноярск. Машина получила обозначение Н4. Судя по фо</w:t>
      </w:r>
      <w:r w:rsidRPr="00142305">
        <w:rPr>
          <w:rFonts w:ascii="Times New Roman" w:hAnsi="Times New Roman"/>
          <w:color w:val="0070C0"/>
          <w:sz w:val="16"/>
          <w:szCs w:val="16"/>
        </w:rPr>
        <w:softHyphen/>
        <w:t>тографиям, этот поплавковый самолет под пассажирский вариант не дорабаты</w:t>
      </w:r>
      <w:r w:rsidRPr="00142305">
        <w:rPr>
          <w:rFonts w:ascii="Times New Roman" w:hAnsi="Times New Roman"/>
          <w:color w:val="0070C0"/>
          <w:sz w:val="16"/>
          <w:szCs w:val="16"/>
        </w:rPr>
        <w:softHyphen/>
        <w:t>вался - с него просто сняли все воору</w:t>
      </w:r>
      <w:r w:rsidRPr="00142305">
        <w:rPr>
          <w:rFonts w:ascii="Times New Roman" w:hAnsi="Times New Roman"/>
          <w:color w:val="0070C0"/>
          <w:sz w:val="16"/>
          <w:szCs w:val="16"/>
        </w:rPr>
        <w:softHyphen/>
        <w:t>жение, но обе верхних турели при этом сохранили. А вот «башню В», похоже, ликвидировали за ненадобностью. Зато ввели калориферное отопление салона с использованием тепла от выхлопных газов центрального мотора. Коллектор отводил их в трубопровод по правому борту, где стоял теплообменник. На этой машине также виден дополнительный электрогенератор с ветрянкой.</w:t>
      </w:r>
    </w:p>
    <w:p w14:paraId="30AB21F9"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Молоков потом вспоминал: «Кабины для экипажа были открытыми, толь</w:t>
      </w:r>
      <w:r w:rsidRPr="00142305">
        <w:rPr>
          <w:rFonts w:ascii="Times New Roman" w:hAnsi="Times New Roman"/>
          <w:color w:val="0070C0"/>
          <w:sz w:val="16"/>
          <w:szCs w:val="16"/>
        </w:rPr>
        <w:softHyphen/>
        <w:t>ко впереди козырек из целлулоида. Налетавшая метель залепляла козы</w:t>
      </w:r>
      <w:r w:rsidRPr="00142305">
        <w:rPr>
          <w:rFonts w:ascii="Times New Roman" w:hAnsi="Times New Roman"/>
          <w:color w:val="0070C0"/>
          <w:sz w:val="16"/>
          <w:szCs w:val="16"/>
        </w:rPr>
        <w:softHyphen/>
        <w:t>рек - «дворников» для очистки тогда не было. Приходилось смотреть сбоку через борт, и тут уж метель била прямо в лицо».</w:t>
      </w:r>
    </w:p>
    <w:p w14:paraId="3043159D"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первый сезон «юнкере» летал с базы на острове Телячьем в Игарку и Дудинку. Позже он некоторое время курсировал по Енисею, доставляя пассажиров и грузы. В июле 1933 г. са</w:t>
      </w:r>
      <w:r w:rsidRPr="00142305">
        <w:rPr>
          <w:rFonts w:ascii="Times New Roman" w:hAnsi="Times New Roman"/>
          <w:color w:val="0070C0"/>
          <w:sz w:val="16"/>
          <w:szCs w:val="16"/>
        </w:rPr>
        <w:softHyphen/>
        <w:t>молет в полуразобранном виде морем доставили из Владивостока в Анадырь для участия в научной экспедиции С.В. Обручева на Чукотке. Там машину собрали и подняли в воздух. Экипаж Ф.К. Куканова на ней обследовал бас</w:t>
      </w:r>
      <w:r w:rsidRPr="00142305">
        <w:rPr>
          <w:rFonts w:ascii="Times New Roman" w:hAnsi="Times New Roman"/>
          <w:color w:val="0070C0"/>
          <w:sz w:val="16"/>
          <w:szCs w:val="16"/>
        </w:rPr>
        <w:softHyphen/>
        <w:t>сейн реки Анадырь. В том же году Н4 вывез с зимовки на мысе Северный (позже — мыс Шмидта) начальника ГУСМП О.Ю. Шмидта и начальника по</w:t>
      </w:r>
      <w:r w:rsidRPr="00142305">
        <w:rPr>
          <w:rFonts w:ascii="Times New Roman" w:hAnsi="Times New Roman"/>
          <w:color w:val="0070C0"/>
          <w:sz w:val="16"/>
          <w:szCs w:val="16"/>
        </w:rPr>
        <w:softHyphen/>
        <w:t>лярной станции П С. Буйко.</w:t>
      </w:r>
    </w:p>
    <w:p w14:paraId="18A0FECE"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«юнкере» привлекли к участию в спасательной экспедиции. Пароходы «Хабаровск», «Анадырь» и «Север» вмерзли в лед. Куканов за 13 рейсов вывез с этих судов 93 человека. 22 ноября самолет попал в снежную бурю и рухнул вниз. Машина врезалась в глубокий снег и сломала шасси, люди не пострадали. Куканова позже награди</w:t>
      </w:r>
      <w:r w:rsidRPr="00142305">
        <w:rPr>
          <w:rFonts w:ascii="Times New Roman" w:hAnsi="Times New Roman"/>
          <w:color w:val="0070C0"/>
          <w:sz w:val="16"/>
          <w:szCs w:val="16"/>
        </w:rPr>
        <w:softHyphen/>
        <w:t>ли орденом Красной Звезды.</w:t>
      </w:r>
    </w:p>
    <w:p w14:paraId="735BE559"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февраля 1934 г. эта машина, снова с экипажем Куканова, потерпела аварию близ мыса Шмидта.</w:t>
      </w:r>
    </w:p>
    <w:p w14:paraId="277A703C"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Второй ЮГ-1 полярники перекупили у Остехбюро в 1933 г., а в январе 1935 г. его продали Среднеазиатскому управле</w:t>
      </w:r>
      <w:r w:rsidRPr="00142305">
        <w:rPr>
          <w:rFonts w:ascii="Times New Roman" w:hAnsi="Times New Roman"/>
          <w:color w:val="0070C0"/>
          <w:sz w:val="16"/>
          <w:szCs w:val="16"/>
        </w:rPr>
        <w:softHyphen/>
        <w:t>нию ГВФ (24940).</w:t>
      </w:r>
    </w:p>
    <w:p w14:paraId="1F306CAA" w14:textId="77777777" w:rsidR="00053259" w:rsidRPr="00142305" w:rsidRDefault="00053259" w:rsidP="00053259">
      <w:pPr>
        <w:spacing w:after="0" w:line="240" w:lineRule="auto"/>
        <w:jc w:val="both"/>
        <w:rPr>
          <w:rFonts w:ascii="Times New Roman" w:hAnsi="Times New Roman"/>
          <w:color w:val="0070C0"/>
          <w:sz w:val="16"/>
          <w:szCs w:val="16"/>
        </w:rPr>
      </w:pPr>
    </w:p>
    <w:p w14:paraId="374B1AEE" w14:textId="77777777" w:rsidR="00046DC2" w:rsidRPr="00E93F40" w:rsidRDefault="00046D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построили первый деревянный эл</w:t>
      </w:r>
      <w:r w:rsidRPr="00E93F40">
        <w:rPr>
          <w:rFonts w:ascii="Times New Roman" w:hAnsi="Times New Roman"/>
          <w:color w:val="000000" w:themeColor="text1"/>
          <w:sz w:val="16"/>
          <w:szCs w:val="16"/>
        </w:rPr>
        <w:softHyphen/>
        <w:t>линг (длина 135 м, ширина 18 м, высота 22 м). 10 августа 1934 г. он сгорел от удара молнии, но в том же месяце вступил в строй дореволюцион</w:t>
      </w:r>
      <w:r w:rsidRPr="00E93F40">
        <w:rPr>
          <w:rFonts w:ascii="Times New Roman" w:hAnsi="Times New Roman"/>
          <w:color w:val="000000" w:themeColor="text1"/>
          <w:sz w:val="16"/>
          <w:szCs w:val="16"/>
        </w:rPr>
        <w:softHyphen/>
        <w:t>ный металлический эллинг (длина 172 м, ши</w:t>
      </w:r>
      <w:r w:rsidRPr="00E93F40">
        <w:rPr>
          <w:rFonts w:ascii="Times New Roman" w:hAnsi="Times New Roman"/>
          <w:color w:val="000000" w:themeColor="text1"/>
          <w:sz w:val="16"/>
          <w:szCs w:val="16"/>
        </w:rPr>
        <w:softHyphen/>
        <w:t>рина 31 м, высота 35 м), привезённый из Бер</w:t>
      </w:r>
      <w:r w:rsidRPr="00E93F40">
        <w:rPr>
          <w:rFonts w:ascii="Times New Roman" w:hAnsi="Times New Roman"/>
          <w:color w:val="000000" w:themeColor="text1"/>
          <w:sz w:val="16"/>
          <w:szCs w:val="16"/>
        </w:rPr>
        <w:softHyphen/>
        <w:t>дичева. К 1936 г. в «Дирижаблестрое» было три эллинга (20120).</w:t>
      </w:r>
    </w:p>
    <w:p w14:paraId="5754E584" w14:textId="77777777" w:rsidR="00046DC2" w:rsidRPr="00E93F40" w:rsidRDefault="00046DC2" w:rsidP="00E93F40">
      <w:pPr>
        <w:spacing w:after="0" w:line="240" w:lineRule="auto"/>
        <w:jc w:val="both"/>
        <w:rPr>
          <w:rFonts w:ascii="Times New Roman" w:hAnsi="Times New Roman"/>
          <w:color w:val="000000" w:themeColor="text1"/>
          <w:sz w:val="16"/>
          <w:szCs w:val="16"/>
        </w:rPr>
      </w:pPr>
    </w:p>
    <w:p w14:paraId="1988EA8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49A605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C5C635"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1932 г. на заводе № 8 начался серийный выпуск 45 мм пушки 20К, и до конца 1932 года завод № 8 собрал 510 штук, правда из этого количества во</w:t>
      </w:r>
      <w:r w:rsidRPr="00142305">
        <w:rPr>
          <w:rFonts w:ascii="Times New Roman" w:hAnsi="Times New Roman"/>
          <w:color w:val="0070C0"/>
          <w:sz w:val="16"/>
          <w:szCs w:val="16"/>
        </w:rPr>
        <w:softHyphen/>
        <w:t>енпреды приняли всего 8 (!). В 1933 году было изготовлено 2186 орудий 20К, а принято 2589 (вместе с пушками выпу</w:t>
      </w:r>
      <w:r w:rsidRPr="00142305">
        <w:rPr>
          <w:rFonts w:ascii="Times New Roman" w:hAnsi="Times New Roman"/>
          <w:color w:val="0070C0"/>
          <w:sz w:val="16"/>
          <w:szCs w:val="16"/>
        </w:rPr>
        <w:softHyphen/>
        <w:t>ска 1932 года). Однако качество танко</w:t>
      </w:r>
      <w:r w:rsidRPr="00142305">
        <w:rPr>
          <w:rFonts w:ascii="Times New Roman" w:hAnsi="Times New Roman"/>
          <w:color w:val="0070C0"/>
          <w:sz w:val="16"/>
          <w:szCs w:val="16"/>
        </w:rPr>
        <w:softHyphen/>
        <w:t>вых сорокапяток оставляло желать луч</w:t>
      </w:r>
      <w:r w:rsidRPr="00142305">
        <w:rPr>
          <w:rFonts w:ascii="Times New Roman" w:hAnsi="Times New Roman"/>
          <w:color w:val="0070C0"/>
          <w:sz w:val="16"/>
          <w:szCs w:val="16"/>
        </w:rPr>
        <w:softHyphen/>
        <w:t>шего — не работала полуавтоматика, от</w:t>
      </w:r>
      <w:r w:rsidRPr="00142305">
        <w:rPr>
          <w:rFonts w:ascii="Times New Roman" w:hAnsi="Times New Roman"/>
          <w:color w:val="0070C0"/>
          <w:sz w:val="16"/>
          <w:szCs w:val="16"/>
        </w:rPr>
        <w:softHyphen/>
        <w:t>казывали противооткатные устройства. Для устранения этих недостатков на за</w:t>
      </w:r>
      <w:r w:rsidRPr="00142305">
        <w:rPr>
          <w:rFonts w:ascii="Times New Roman" w:hAnsi="Times New Roman"/>
          <w:color w:val="0070C0"/>
          <w:sz w:val="16"/>
          <w:szCs w:val="16"/>
        </w:rPr>
        <w:softHyphen/>
        <w:t>воде № 8 20 сентября 1933 года создается Спецбюро экономического управления ОГПУ под руководством Горянова. В его состав включили ряд арестованных кон</w:t>
      </w:r>
      <w:r w:rsidRPr="00142305">
        <w:rPr>
          <w:rFonts w:ascii="Times New Roman" w:hAnsi="Times New Roman"/>
          <w:color w:val="0070C0"/>
          <w:sz w:val="16"/>
          <w:szCs w:val="16"/>
        </w:rPr>
        <w:softHyphen/>
        <w:t>структоров, которые к 1 декабря 1933 го</w:t>
      </w:r>
      <w:r w:rsidRPr="00142305">
        <w:rPr>
          <w:rFonts w:ascii="Times New Roman" w:hAnsi="Times New Roman"/>
          <w:color w:val="0070C0"/>
          <w:sz w:val="16"/>
          <w:szCs w:val="16"/>
        </w:rPr>
        <w:softHyphen/>
        <w:t>да должны были устранить недостатки не только в системе 20К, но и в противотан</w:t>
      </w:r>
      <w:r w:rsidRPr="00142305">
        <w:rPr>
          <w:rFonts w:ascii="Times New Roman" w:hAnsi="Times New Roman"/>
          <w:color w:val="0070C0"/>
          <w:sz w:val="16"/>
          <w:szCs w:val="16"/>
        </w:rPr>
        <w:softHyphen/>
        <w:t>ковой сорокапятке 19К и 76-мм зенитке 3К, которые также производились на за</w:t>
      </w:r>
      <w:r w:rsidRPr="00142305">
        <w:rPr>
          <w:rFonts w:ascii="Times New Roman" w:hAnsi="Times New Roman"/>
          <w:color w:val="0070C0"/>
          <w:sz w:val="16"/>
          <w:szCs w:val="16"/>
        </w:rPr>
        <w:softHyphen/>
        <w:t>воде № 8 (25009).</w:t>
      </w:r>
    </w:p>
    <w:p w14:paraId="4D51CFCC" w14:textId="77777777" w:rsidR="00053259" w:rsidRPr="00142305" w:rsidRDefault="00053259" w:rsidP="00053259">
      <w:pPr>
        <w:spacing w:after="0" w:line="240" w:lineRule="auto"/>
        <w:jc w:val="both"/>
        <w:rPr>
          <w:rFonts w:ascii="Times New Roman" w:hAnsi="Times New Roman"/>
          <w:color w:val="0070C0"/>
          <w:sz w:val="16"/>
          <w:szCs w:val="16"/>
        </w:rPr>
      </w:pPr>
    </w:p>
    <w:p w14:paraId="216DAF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завод «Кинап» Союзкино (Завод киноаппаратуры «Кинап», Ленинградский государственный завод киноаппаратуры «Кинап» («Л енкинап») /г. Ленинград Кондратьевский пр., 21/)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07E0BB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537944B9" w14:textId="33FC844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1942 г. завод полностью эвакуирован в города Белово (по другой информации-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Басов'</w:t>
      </w:r>
      <w:r w:rsidRPr="00E93F40">
        <w:rPr>
          <w:rFonts w:ascii="Times New Roman" w:hAnsi="Times New Roman"/>
          <w:color w:val="000000" w:themeColor="text1"/>
          <w:sz w:val="16"/>
          <w:szCs w:val="16"/>
          <w:vertAlign w:val="superscript"/>
        </w:rPr>
        <w:t>31</w:t>
      </w:r>
      <w:r w:rsidRPr="00E93F40">
        <w:rPr>
          <w:rFonts w:ascii="Times New Roman" w:hAnsi="Times New Roman"/>
          <w:color w:val="000000" w:themeColor="text1"/>
          <w:sz w:val="16"/>
          <w:szCs w:val="16"/>
        </w:rPr>
        <w:t>) и Самарканд. В 1944 г., после снятия блокады, завод начал восстанавливаться.</w:t>
      </w:r>
    </w:p>
    <w:p w14:paraId="6E4E60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4FE53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1952 г. при заводе сформировано Опытное Конструкторско-технологическое бюро (ОКТБ).</w:t>
      </w:r>
    </w:p>
    <w:p w14:paraId="28507B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32AB8454" w14:textId="182FB21F"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1960-х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выпущен комплект звукотехнического оборудования для Дворца съездов (</w:t>
      </w:r>
      <w:r w:rsidRPr="00E93F40">
        <w:rPr>
          <w:rFonts w:ascii="Times New Roman" w:hAnsi="Times New Roman"/>
          <w:color w:val="000000" w:themeColor="text1"/>
          <w:sz w:val="16"/>
          <w:szCs w:val="16"/>
          <w:lang w:val="en-US"/>
        </w:rPr>
        <w:t>P</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Кашерининов, Н.Т. Гордиенко).</w:t>
      </w:r>
    </w:p>
    <w:p w14:paraId="79005E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(1932 г.)- 300 чел.</w:t>
      </w:r>
    </w:p>
    <w:p w14:paraId="1E2B1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(1931-34 г.)- В.Ф. Сакман, (1939-40 г.)- Д.Е. Тесленко, (1945-49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Балабанович, (1950-62 г.)- С.М. Кузнецов.</w:t>
      </w:r>
    </w:p>
    <w:p w14:paraId="75919C49" w14:textId="237769BC"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(1930-е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Pr="00E93F40">
        <w:rPr>
          <w:rFonts w:ascii="Times New Roman" w:hAnsi="Times New Roman"/>
          <w:iCs/>
          <w:color w:val="000000" w:themeColor="text1"/>
          <w:sz w:val="16"/>
          <w:szCs w:val="16"/>
        </w:rPr>
        <w:t xml:space="preserve"> ИМ.</w:t>
      </w:r>
      <w:r w:rsidRPr="00E93F40">
        <w:rPr>
          <w:rFonts w:ascii="Times New Roman" w:hAnsi="Times New Roman"/>
          <w:color w:val="000000" w:themeColor="text1"/>
          <w:sz w:val="16"/>
          <w:szCs w:val="16"/>
        </w:rPr>
        <w:t xml:space="preserve"> Саенко,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w:t>
      </w:r>
      <w:r w:rsidRPr="00E93F40">
        <w:rPr>
          <w:rFonts w:ascii="Times New Roman" w:hAnsi="Times New Roman"/>
          <w:color w:val="000000" w:themeColor="text1"/>
          <w:sz w:val="16"/>
          <w:szCs w:val="16"/>
          <w:lang w:val="en-US"/>
        </w:rPr>
        <w:t>P</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Кашерининов.</w:t>
      </w:r>
    </w:p>
    <w:p w14:paraId="6E259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361DDE2" w14:textId="77777777" w:rsidR="0013569A" w:rsidRPr="00E93F40" w:rsidRDefault="0013569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Опытное Конструкторско-технологическое бюро (ОКТБ) при заводе «Кинап»</w:t>
      </w:r>
    </w:p>
    <w:p w14:paraId="4C8A0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6597E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1956 г. ОКТБ вошло в состав ОКБ-283 МАП.</w:t>
      </w:r>
    </w:p>
    <w:p w14:paraId="104A24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(-1957 г.)- А.Н. Амромин (11982).</w:t>
      </w:r>
    </w:p>
    <w:p w14:paraId="07660D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143B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после успешных испытаний СУ-4 УММ получило заказ на изготовление дивизиона (12 ору</w:t>
      </w:r>
      <w:r w:rsidRPr="00E93F40">
        <w:rPr>
          <w:rFonts w:ascii="Times New Roman" w:hAnsi="Times New Roman"/>
          <w:color w:val="000000" w:themeColor="text1"/>
          <w:sz w:val="16"/>
          <w:szCs w:val="16"/>
        </w:rPr>
        <w:softHyphen/>
        <w:t>дий), вооруженного такой матчастью. Но в производстве уже стояло зенитное орудие обр. 1915/28 гг. Поэтому летом 1932 г. было принято решение усилить шасси СУ-5 и испы</w:t>
      </w:r>
      <w:r w:rsidRPr="00E93F40">
        <w:rPr>
          <w:rFonts w:ascii="Times New Roman" w:hAnsi="Times New Roman"/>
          <w:color w:val="000000" w:themeColor="text1"/>
          <w:sz w:val="16"/>
          <w:szCs w:val="16"/>
        </w:rPr>
        <w:softHyphen/>
        <w:t>тать его с указанной пушкой (орудие обр. 1915/28 гг. имело значительно большую отдачу), а осенью заказ был отменен, так как на вооружение уже была принята 76,2-мм зенитная пушка обр. 1931 г., установить которую на тракторное шасси не представлялось возможным (11417).</w:t>
      </w:r>
    </w:p>
    <w:p w14:paraId="30341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37F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был изготовлен опытный образец СУ-5 - 76-мм зенитной пушки обр. 1915 без бронирования на тракторе Коммунар. После испытаний начали производство 12 установок, но вскоре - прекратили, т.к. основным зенитным орудием стала 76-мм пушка обр. 1931, а для этой системы тракторное шасси было слабым (4306).</w:t>
      </w:r>
    </w:p>
    <w:p w14:paraId="528A96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48F161"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1932 года на заводе «Большевик» было закончено САУ СУ-5</w:t>
      </w:r>
      <w:r w:rsidRPr="00142305">
        <w:rPr>
          <w:rFonts w:ascii="Times New Roman" w:hAnsi="Times New Roman"/>
          <w:color w:val="0070C0"/>
          <w:sz w:val="16"/>
          <w:szCs w:val="16"/>
          <w:shd w:val="clear" w:color="auto" w:fill="FFFFFF"/>
        </w:rPr>
        <w:t xml:space="preserve"> на базе </w:t>
      </w:r>
      <w:r w:rsidRPr="00142305">
        <w:rPr>
          <w:rFonts w:ascii="Times New Roman" w:hAnsi="Times New Roman"/>
          <w:color w:val="0070C0"/>
          <w:sz w:val="16"/>
          <w:szCs w:val="16"/>
        </w:rPr>
        <w:t>трактора «Коммунар» З-90 с 76,2-мм зенитной пушкой образца 1914/15 годов системы Тарновского-Лендера. Для устойчивости при стрельбе машину снабдили четырьмя откидными упорами, в то же время бронирование этой САУ не предусматривалось. Тогда же провели и ее испытания, но в серию она не пошла по целому ряду причин (25536).</w:t>
      </w:r>
    </w:p>
    <w:p w14:paraId="7060D7CC" w14:textId="77777777" w:rsidR="00053259" w:rsidRPr="00142305" w:rsidRDefault="00053259" w:rsidP="00053259">
      <w:pPr>
        <w:spacing w:after="0" w:line="240" w:lineRule="auto"/>
        <w:jc w:val="both"/>
        <w:rPr>
          <w:rFonts w:ascii="Times New Roman" w:hAnsi="Times New Roman"/>
          <w:color w:val="0070C0"/>
          <w:sz w:val="16"/>
          <w:szCs w:val="16"/>
        </w:rPr>
      </w:pPr>
    </w:p>
    <w:p w14:paraId="3215E3B8" w14:textId="77777777" w:rsidR="0011556E" w:rsidRPr="00E93F40" w:rsidRDefault="0011556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штаб РККА настаивал «на скорейшей модернизации БТ и построении опытного образца колесно</w:t>
      </w:r>
      <w:r w:rsidRPr="00E93F40">
        <w:rPr>
          <w:rFonts w:ascii="Times New Roman" w:hAnsi="Times New Roman"/>
          <w:color w:val="000000" w:themeColor="text1"/>
          <w:sz w:val="16"/>
          <w:szCs w:val="16"/>
        </w:rPr>
        <w:softHyphen/>
        <w:t>гусеничного плавающего танка по проекту ГПУ[65]. В этом же году осенью на московском заводе «Красный пролетарий» был собран первый экземпляр опытного плавающего колесно-гусеничного танка ПТ-1, разработанного под руководством Н.А. Астрова[66] (23536).</w:t>
      </w:r>
    </w:p>
    <w:p w14:paraId="0CCDD1EE" w14:textId="77777777" w:rsidR="0011556E" w:rsidRPr="00E93F40" w:rsidRDefault="0011556E" w:rsidP="00E93F40">
      <w:pPr>
        <w:spacing w:after="0" w:line="240" w:lineRule="auto"/>
        <w:jc w:val="both"/>
        <w:rPr>
          <w:rFonts w:ascii="Times New Roman" w:hAnsi="Times New Roman"/>
          <w:color w:val="000000" w:themeColor="text1"/>
          <w:sz w:val="16"/>
          <w:szCs w:val="16"/>
        </w:rPr>
      </w:pPr>
    </w:p>
    <w:p w14:paraId="29AC12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рассматривался проект по установке на танк БТ пушки Курчевского (9527,62).</w:t>
      </w:r>
    </w:p>
    <w:p w14:paraId="495EA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9E40D7"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1932 г. по возвращении с испытаний тракторов в Харьков конструкция ходовой части трактора «Коминтерн» была подвергнута пере</w:t>
      </w:r>
      <w:r w:rsidRPr="00142305">
        <w:rPr>
          <w:rFonts w:ascii="Times New Roman" w:hAnsi="Times New Roman"/>
          <w:color w:val="0070C0"/>
          <w:sz w:val="16"/>
          <w:szCs w:val="16"/>
        </w:rPr>
        <w:softHyphen/>
        <w:t>делке. Многочисленные доработки при</w:t>
      </w:r>
      <w:r w:rsidRPr="00142305">
        <w:rPr>
          <w:rFonts w:ascii="Times New Roman" w:hAnsi="Times New Roman"/>
          <w:color w:val="0070C0"/>
          <w:sz w:val="16"/>
          <w:szCs w:val="16"/>
        </w:rPr>
        <w:softHyphen/>
        <w:t>вели к серьезному пересмотру конструк</w:t>
      </w:r>
      <w:r w:rsidRPr="00142305">
        <w:rPr>
          <w:rFonts w:ascii="Times New Roman" w:hAnsi="Times New Roman"/>
          <w:color w:val="0070C0"/>
          <w:sz w:val="16"/>
          <w:szCs w:val="16"/>
        </w:rPr>
        <w:softHyphen/>
        <w:t>ции трактора. Принципиальная схема (как и основные габариты) осталась прежней, но элементы подвески решили унифи</w:t>
      </w:r>
      <w:r w:rsidRPr="00142305">
        <w:rPr>
          <w:rFonts w:ascii="Times New Roman" w:hAnsi="Times New Roman"/>
          <w:color w:val="0070C0"/>
          <w:sz w:val="16"/>
          <w:szCs w:val="16"/>
        </w:rPr>
        <w:softHyphen/>
        <w:t>цировать с аналогичными от танка Т-24. Принципиальная схема тележек БНВ, Т-24 и доработанных для «Коминтерна» была сходной, но габариты, в частности диаметр опорных катков, различались. В результате модернизации трактор по</w:t>
      </w:r>
      <w:r w:rsidRPr="00142305">
        <w:rPr>
          <w:rFonts w:ascii="Times New Roman" w:hAnsi="Times New Roman"/>
          <w:color w:val="0070C0"/>
          <w:sz w:val="16"/>
          <w:szCs w:val="16"/>
        </w:rPr>
        <w:softHyphen/>
        <w:t>лучил три тележки на борт. Мелким дора</w:t>
      </w:r>
      <w:r w:rsidRPr="00142305">
        <w:rPr>
          <w:rFonts w:ascii="Times New Roman" w:hAnsi="Times New Roman"/>
          <w:color w:val="0070C0"/>
          <w:sz w:val="16"/>
          <w:szCs w:val="16"/>
        </w:rPr>
        <w:softHyphen/>
        <w:t>боткам подверглись трансмиссия и неко</w:t>
      </w:r>
      <w:r w:rsidRPr="00142305">
        <w:rPr>
          <w:rFonts w:ascii="Times New Roman" w:hAnsi="Times New Roman"/>
          <w:color w:val="0070C0"/>
          <w:sz w:val="16"/>
          <w:szCs w:val="16"/>
        </w:rPr>
        <w:softHyphen/>
        <w:t>торые другие агрегаты. Впрочем, конструкция подвески «Коминтерна» (как и танка Т-24) оказалась сложной в из</w:t>
      </w:r>
      <w:r w:rsidRPr="00142305">
        <w:rPr>
          <w:rFonts w:ascii="Times New Roman" w:hAnsi="Times New Roman"/>
          <w:color w:val="0070C0"/>
          <w:sz w:val="16"/>
          <w:szCs w:val="16"/>
        </w:rPr>
        <w:softHyphen/>
        <w:t>готовлении и не очень надежной с малой общей прочностью (25003).</w:t>
      </w:r>
    </w:p>
    <w:p w14:paraId="0E2A7337" w14:textId="77777777" w:rsidR="00053259" w:rsidRPr="00142305" w:rsidRDefault="00053259" w:rsidP="00053259">
      <w:pPr>
        <w:spacing w:after="0" w:line="240" w:lineRule="auto"/>
        <w:jc w:val="both"/>
        <w:rPr>
          <w:rFonts w:ascii="Times New Roman" w:hAnsi="Times New Roman"/>
          <w:color w:val="0070C0"/>
          <w:sz w:val="16"/>
          <w:szCs w:val="16"/>
        </w:rPr>
      </w:pPr>
    </w:p>
    <w:p w14:paraId="66437C5B"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Весной 1932 г. в КБ завода им. Ворошилова началось проекти</w:t>
      </w:r>
      <w:r w:rsidRPr="00142305">
        <w:rPr>
          <w:rStyle w:val="aff"/>
          <w:rFonts w:ascii="Times New Roman" w:hAnsi="Times New Roman" w:cs="Times New Roman"/>
          <w:color w:val="0070C0"/>
          <w:spacing w:val="0"/>
          <w:sz w:val="16"/>
          <w:szCs w:val="16"/>
        </w:rPr>
        <w:softHyphen/>
        <w:t>рование артиллерийского тягача на шасси легкого танка Т-26. Вес тягача Т-26Т оказался 7,8 т. Серийное производство тягача началось в июле 1933 г., и до конца года было выпущено 163 Т-26Т. На ис</w:t>
      </w:r>
      <w:r w:rsidRPr="00142305">
        <w:rPr>
          <w:rStyle w:val="aff"/>
          <w:rFonts w:ascii="Times New Roman" w:hAnsi="Times New Roman" w:cs="Times New Roman"/>
          <w:color w:val="0070C0"/>
          <w:spacing w:val="0"/>
          <w:sz w:val="16"/>
          <w:szCs w:val="16"/>
        </w:rPr>
        <w:softHyphen/>
        <w:t>пытаниях тягач не мог тянуть 7-тонный груз по размытым просе</w:t>
      </w:r>
      <w:r w:rsidRPr="00142305">
        <w:rPr>
          <w:rStyle w:val="aff"/>
          <w:rFonts w:ascii="Times New Roman" w:hAnsi="Times New Roman" w:cs="Times New Roman"/>
          <w:color w:val="0070C0"/>
          <w:spacing w:val="0"/>
          <w:sz w:val="16"/>
          <w:szCs w:val="16"/>
        </w:rPr>
        <w:softHyphen/>
        <w:t>лочным дорогам. К 1июня 1941 г. в танковых частях РККА числи</w:t>
      </w:r>
      <w:r w:rsidRPr="00142305">
        <w:rPr>
          <w:rStyle w:val="aff"/>
          <w:rFonts w:ascii="Times New Roman" w:hAnsi="Times New Roman" w:cs="Times New Roman"/>
          <w:color w:val="0070C0"/>
          <w:spacing w:val="0"/>
          <w:sz w:val="16"/>
          <w:szCs w:val="16"/>
        </w:rPr>
        <w:softHyphen/>
        <w:t>лось 211 тягачей на базе танка Т-26 (25436).</w:t>
      </w:r>
    </w:p>
    <w:p w14:paraId="4606AA3E" w14:textId="77777777" w:rsidR="00053259" w:rsidRPr="00142305" w:rsidRDefault="00053259" w:rsidP="00053259">
      <w:pPr>
        <w:spacing w:after="0" w:line="240" w:lineRule="auto"/>
        <w:jc w:val="both"/>
        <w:rPr>
          <w:rFonts w:ascii="Times New Roman" w:hAnsi="Times New Roman"/>
          <w:color w:val="0070C0"/>
          <w:sz w:val="16"/>
          <w:szCs w:val="16"/>
        </w:rPr>
      </w:pPr>
    </w:p>
    <w:p w14:paraId="504C7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НИИ управления инженеров РККА на базе Т-26 был разработан проект саперного (мостового) танка СТ-26. Был изготовлен заводом им. Ворошилова. Летом-осенью проходил испытания и зимой-весной был изготовлен второй опытный образец (9527,222).</w:t>
      </w:r>
    </w:p>
    <w:p w14:paraId="2093E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8DCA09"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Весной 1932 г. аппаратурой «Мост-1», а позднее — «Река-1» и «Река-2» был оснащен двухбашенный танк Т-26. В апреле 1932 г. на Московском химполигоне проводились испытания этого танка.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(25313).</w:t>
      </w:r>
    </w:p>
    <w:p w14:paraId="458C9B41" w14:textId="77777777" w:rsidR="00053259" w:rsidRPr="00142305" w:rsidRDefault="00053259" w:rsidP="00053259">
      <w:pPr>
        <w:spacing w:after="0" w:line="240" w:lineRule="auto"/>
        <w:jc w:val="both"/>
        <w:rPr>
          <w:rFonts w:ascii="Times New Roman" w:hAnsi="Times New Roman"/>
          <w:color w:val="0070C0"/>
          <w:sz w:val="16"/>
          <w:szCs w:val="16"/>
        </w:rPr>
      </w:pPr>
    </w:p>
    <w:p w14:paraId="6635B6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Ижорский завод представил башню для только что принятого на вооружение танка-истребителя «типа Б-Т», выполненную на основе чертежей башни Т-19 для вооружения 37-мм пушкой большой мощности. Одна</w:t>
      </w:r>
      <w:r w:rsidRPr="00E93F40">
        <w:rPr>
          <w:rFonts w:ascii="Times New Roman" w:hAnsi="Times New Roman"/>
          <w:color w:val="000000" w:themeColor="text1"/>
          <w:sz w:val="16"/>
          <w:szCs w:val="16"/>
        </w:rPr>
        <w:softHyphen/>
        <w:t>ко если для Т-19 предполагалось создать башню коничес</w:t>
      </w:r>
      <w:r w:rsidRPr="00E93F40">
        <w:rPr>
          <w:rFonts w:ascii="Times New Roman" w:hAnsi="Times New Roman"/>
          <w:color w:val="000000" w:themeColor="text1"/>
          <w:sz w:val="16"/>
          <w:szCs w:val="16"/>
        </w:rPr>
        <w:softHyphen/>
        <w:t>кой формы, башня Ижорского завода была цилиндричес</w:t>
      </w:r>
      <w:r w:rsidRPr="00E93F40">
        <w:rPr>
          <w:rFonts w:ascii="Times New Roman" w:hAnsi="Times New Roman"/>
          <w:color w:val="000000" w:themeColor="text1"/>
          <w:sz w:val="16"/>
          <w:szCs w:val="16"/>
        </w:rPr>
        <w:softHyphen/>
        <w:t>кой, так как осуществлять серийно раскрой криволиней</w:t>
      </w:r>
      <w:r w:rsidRPr="00E93F40">
        <w:rPr>
          <w:rFonts w:ascii="Times New Roman" w:hAnsi="Times New Roman"/>
          <w:color w:val="000000" w:themeColor="text1"/>
          <w:sz w:val="16"/>
          <w:szCs w:val="16"/>
        </w:rPr>
        <w:softHyphen/>
        <w:t>ных броневых листов большой твердости, их гибку и под</w:t>
      </w:r>
      <w:r w:rsidRPr="00E93F40">
        <w:rPr>
          <w:rFonts w:ascii="Times New Roman" w:hAnsi="Times New Roman"/>
          <w:color w:val="000000" w:themeColor="text1"/>
          <w:sz w:val="16"/>
          <w:szCs w:val="16"/>
        </w:rPr>
        <w:softHyphen/>
        <w:t>гонку в СССР еще толком не умели. В то время в стенах Ижор</w:t>
      </w:r>
      <w:r w:rsidRPr="00E93F40">
        <w:rPr>
          <w:rFonts w:ascii="Times New Roman" w:hAnsi="Times New Roman"/>
          <w:color w:val="000000" w:themeColor="text1"/>
          <w:sz w:val="16"/>
          <w:szCs w:val="16"/>
        </w:rPr>
        <w:softHyphen/>
        <w:t>ского завода трудился гениальный изобретатель-самоучка Н. Дыренков. Он, очевидно, критиковал утвержденную конструкцию башни, предлагая взамен собственную (сва</w:t>
      </w:r>
      <w:r w:rsidRPr="00E93F40">
        <w:rPr>
          <w:rFonts w:ascii="Times New Roman" w:hAnsi="Times New Roman"/>
          <w:color w:val="000000" w:themeColor="text1"/>
          <w:sz w:val="16"/>
          <w:szCs w:val="16"/>
        </w:rPr>
        <w:softHyphen/>
        <w:t>ренную из плоских листов) (10733,210).</w:t>
      </w:r>
    </w:p>
    <w:p w14:paraId="35B898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16D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вопрос о судьбе советско-германских от</w:t>
      </w:r>
      <w:r w:rsidRPr="00E93F40">
        <w:rPr>
          <w:rFonts w:ascii="Times New Roman" w:hAnsi="Times New Roman"/>
          <w:color w:val="000000" w:themeColor="text1"/>
          <w:sz w:val="16"/>
          <w:szCs w:val="16"/>
        </w:rPr>
        <w:softHyphen/>
        <w:t>ношений в области танков был поднят на самом высоком уровне. Советские конструкторы высказали свое мнение, что с точки зрения технических особенностей школа боль</w:t>
      </w:r>
      <w:r w:rsidRPr="00E93F40">
        <w:rPr>
          <w:rFonts w:ascii="Times New Roman" w:hAnsi="Times New Roman"/>
          <w:color w:val="000000" w:themeColor="text1"/>
          <w:sz w:val="16"/>
          <w:szCs w:val="16"/>
        </w:rPr>
        <w:softHyphen/>
        <w:t>ше не может дать ничего нового. Однако заместитель на</w:t>
      </w:r>
      <w:r w:rsidRPr="00E93F40">
        <w:rPr>
          <w:rFonts w:ascii="Times New Roman" w:hAnsi="Times New Roman"/>
          <w:color w:val="000000" w:themeColor="text1"/>
          <w:sz w:val="16"/>
          <w:szCs w:val="16"/>
        </w:rPr>
        <w:softHyphen/>
        <w:t>чальника УММ по обучению И. Грязнов считал иначе:</w:t>
      </w:r>
    </w:p>
    <w:p w14:paraId="02BBF7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 3-летней работы «ТЕКО» дал возможность про</w:t>
      </w:r>
      <w:r w:rsidRPr="00E93F40">
        <w:rPr>
          <w:rFonts w:ascii="Times New Roman" w:hAnsi="Times New Roman"/>
          <w:color w:val="000000" w:themeColor="text1"/>
          <w:sz w:val="16"/>
          <w:szCs w:val="16"/>
        </w:rPr>
        <w:softHyphen/>
        <w:t>пустить через курсы в общей сложности 65 человек начсос</w:t>
      </w:r>
      <w:r w:rsidRPr="00E93F40">
        <w:rPr>
          <w:rFonts w:ascii="Times New Roman" w:hAnsi="Times New Roman"/>
          <w:color w:val="000000" w:themeColor="text1"/>
          <w:sz w:val="16"/>
          <w:szCs w:val="16"/>
        </w:rPr>
        <w:softHyphen/>
        <w:t>тава танковых и мотомеханизированных частей РККА. В числе командированных в больший процент составляют строевые командиры и преподаватели тактического цикла бронетанковых вузов и меньший процент инженерный со</w:t>
      </w:r>
      <w:r w:rsidRPr="00E93F40">
        <w:rPr>
          <w:rFonts w:ascii="Times New Roman" w:hAnsi="Times New Roman"/>
          <w:color w:val="000000" w:themeColor="text1"/>
          <w:sz w:val="16"/>
          <w:szCs w:val="16"/>
        </w:rPr>
        <w:softHyphen/>
        <w:t>став (инженеры-танкисты, инженеры-артиллеристы, ин</w:t>
      </w:r>
      <w:r w:rsidRPr="00E93F40">
        <w:rPr>
          <w:rFonts w:ascii="Times New Roman" w:hAnsi="Times New Roman"/>
          <w:color w:val="000000" w:themeColor="text1"/>
          <w:sz w:val="16"/>
          <w:szCs w:val="16"/>
        </w:rPr>
        <w:softHyphen/>
        <w:t>женерные радисты).</w:t>
      </w:r>
    </w:p>
    <w:p w14:paraId="001678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Ознакомление наших инженеров с материальной час</w:t>
      </w:r>
      <w:r w:rsidRPr="00E93F40">
        <w:rPr>
          <w:rFonts w:ascii="Times New Roman" w:hAnsi="Times New Roman"/>
          <w:color w:val="000000" w:themeColor="text1"/>
          <w:sz w:val="16"/>
          <w:szCs w:val="16"/>
        </w:rPr>
        <w:softHyphen/>
        <w:t>тью немецких боевых машин, а также изучение всех немец</w:t>
      </w:r>
      <w:r w:rsidRPr="00E93F40">
        <w:rPr>
          <w:rFonts w:ascii="Times New Roman" w:hAnsi="Times New Roman"/>
          <w:color w:val="000000" w:themeColor="text1"/>
          <w:sz w:val="16"/>
          <w:szCs w:val="16"/>
        </w:rPr>
        <w:softHyphen/>
        <w:t>ких материалов — чертежей машин и выводов про испытани</w:t>
      </w:r>
      <w:r w:rsidRPr="00E93F40">
        <w:rPr>
          <w:rFonts w:ascii="Times New Roman" w:hAnsi="Times New Roman"/>
          <w:color w:val="000000" w:themeColor="text1"/>
          <w:sz w:val="16"/>
          <w:szCs w:val="16"/>
        </w:rPr>
        <w:softHyphen/>
        <w:t>ям позволило практически использовать опыт «ТЕКО»...</w:t>
      </w:r>
    </w:p>
    <w:p w14:paraId="79150C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в целом работа «ТЕКО» до сих пор еще представляет большой практический интерес для РККА как с точки зрения чисто технической, так и тактической ...» (10733,127).</w:t>
      </w:r>
    </w:p>
    <w:p w14:paraId="378359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0C22E" w14:textId="77777777" w:rsidR="00046DC2" w:rsidRPr="00E93F40" w:rsidRDefault="00046D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в Москве стало известно о работе Дж. Кристи над конструкцией безбашенного летающего танка «М 1932», который, имея собственный планер и воздушный винт, работающий от танкового двигателя, теоретически мог совершать управляемый полет, и после приземления, сбросив планер, действовать как обычный танк. Это новое детище Кристи очень увлекло советское руководство. 27 июня 1932 г. Ворошилов обратился к Сталину: «прошу твоей поддержки о немедленном (как только модель будет доработана и представится возможность) приобретении чертежей этой модели “летающего танка”. Не беда, что танк не летает, другие данные этого танка, если верить сообщениям, столь интересны, что его приобретение не может вызывать ни малейших сомнений. Американцы все еще “преют”, и пусть их “преют”, а нам нужно покупать чертежи, ошибки не будет» (РГАСПИ. Ф. 558. Оп. 11. Д. 715. Л. 55). После недолгих переговоров Кристи согласился продать советской фирме «Амторг» свой «аэротанк М 1932» за 33 тыс. долл., и осенью 1933 г. начались его испытания в РККА. Но их результаты выявили бесполезность этой покупки (21532).</w:t>
      </w:r>
    </w:p>
    <w:p w14:paraId="28761C01" w14:textId="77777777" w:rsidR="00046DC2" w:rsidRPr="00E93F40" w:rsidRDefault="00046DC2" w:rsidP="00E93F40">
      <w:pPr>
        <w:spacing w:after="0" w:line="240" w:lineRule="auto"/>
        <w:jc w:val="both"/>
        <w:rPr>
          <w:rFonts w:ascii="Times New Roman" w:hAnsi="Times New Roman"/>
          <w:color w:val="000000" w:themeColor="text1"/>
          <w:sz w:val="16"/>
          <w:szCs w:val="16"/>
        </w:rPr>
      </w:pPr>
    </w:p>
    <w:p w14:paraId="45066D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БАД-2 («броне-авто-водо-машина») прошла испытания в окрестностях за</w:t>
      </w:r>
      <w:r w:rsidRPr="00E93F40">
        <w:rPr>
          <w:rFonts w:ascii="Times New Roman" w:hAnsi="Times New Roman"/>
          <w:color w:val="000000" w:themeColor="text1"/>
          <w:sz w:val="16"/>
          <w:szCs w:val="16"/>
        </w:rPr>
        <w:softHyphen/>
        <w:t>вода «Большевик», выявившие у нее ряд серьезных конст</w:t>
      </w:r>
      <w:r w:rsidRPr="00E93F40">
        <w:rPr>
          <w:rFonts w:ascii="Times New Roman" w:hAnsi="Times New Roman"/>
          <w:color w:val="000000" w:themeColor="text1"/>
          <w:sz w:val="16"/>
          <w:szCs w:val="16"/>
        </w:rPr>
        <w:softHyphen/>
        <w:t>руктивных недостатков. Так, из-за больших размеров корпуса управляемость на плаву оставляла желать лучшего, вход и выход из воды был возможен только при наличии пологого берега и твердого дна. На суше машина также об</w:t>
      </w:r>
      <w:r w:rsidRPr="00E93F40">
        <w:rPr>
          <w:rFonts w:ascii="Times New Roman" w:hAnsi="Times New Roman"/>
          <w:color w:val="000000" w:themeColor="text1"/>
          <w:sz w:val="16"/>
          <w:szCs w:val="16"/>
        </w:rPr>
        <w:softHyphen/>
        <w:t>ладала низкой проходимостью, а из-за неудовлетворитель</w:t>
      </w:r>
      <w:r w:rsidRPr="00E93F40">
        <w:rPr>
          <w:rFonts w:ascii="Times New Roman" w:hAnsi="Times New Roman"/>
          <w:color w:val="000000" w:themeColor="text1"/>
          <w:sz w:val="16"/>
          <w:szCs w:val="16"/>
        </w:rPr>
        <w:softHyphen/>
        <w:t>ной системы охлаждения двигатель перегревался через не</w:t>
      </w:r>
      <w:r w:rsidRPr="00E93F40">
        <w:rPr>
          <w:rFonts w:ascii="Times New Roman" w:hAnsi="Times New Roman"/>
          <w:color w:val="000000" w:themeColor="text1"/>
          <w:sz w:val="16"/>
          <w:szCs w:val="16"/>
        </w:rPr>
        <w:softHyphen/>
        <w:t>сколько километров движения. После испытаний БАД-2 модернизировали: заменили фары, ликвидировали броне</w:t>
      </w:r>
      <w:r w:rsidRPr="00E93F40">
        <w:rPr>
          <w:rFonts w:ascii="Times New Roman" w:hAnsi="Times New Roman"/>
          <w:color w:val="000000" w:themeColor="text1"/>
          <w:sz w:val="16"/>
          <w:szCs w:val="16"/>
        </w:rPr>
        <w:softHyphen/>
        <w:t>вые кожухи вентиляционных жалюзи боевого отделения (11284).</w:t>
      </w:r>
    </w:p>
    <w:p w14:paraId="22A51D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61E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года на Мариупольском заводе так и не удалось запустить производство углеродистой брони, из-за чего задание у предприятие было отнято, а его директора - товарища Дыренкова - лишили полагавшегося за иные заслуги ордена Ленина. В танковую программу вносились постоянно изменения, однако к концу 1932 года (на 1 октября) она была выполнена едва ли на треть - вместо 5150 танков было произведено реально лишь 1825 машин. Металлургические заводы планы по выпуску броневого проката в 1932 году благополучно провалили. Так, на Ижорском заводе вместо запланированных 10 спецпечей работало к концу 1932 года лишь 3, при этом брак по броне доходил до 90%. Поэтому вместо задания по изготовлению 200 корпусов для Т-26 предприятие сделало лишь 16, а по танкам БТ - 6 из 100. Проблемы с производством брони советская промышленность решала еще очень долго, и только после 1937-1938 годов ее выпуск был в целом нормализован на Мариупольском, Выксунском, Кулебакском и Ижорском металлургических заводах. При этом общий объем производства этого вида стали оставался относительно небольшим - в 1940 году было изготовлено 75 тыс. тонн броневого проката (11580).</w:t>
      </w:r>
    </w:p>
    <w:p w14:paraId="4E2000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C90E87" w14:textId="77777777" w:rsidR="004F6794" w:rsidRPr="00E93F40" w:rsidRDefault="004F67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Весной 1932 г. завершили проектирование мотоцикла А-750. Согласно техническому проекту боковая коляска должна была крепиться слева. Поэтому выхлопная труба должгна была идти по правой стороне. Мотор и коробка передач были собраны в едином блоке. Рама А-750 сваривалась из двух симметричных штампованных половин. Бензобак полутопленный между двумя верхними наклонными балками. Двигатель V-образный, с углом развала цилиндров 45о , совмещенный с трехступенчатой КПП, жёстко соединялся с нижней частью рамы. Магнето соединялось с коленвалом посредством шестерен. Левая вращающаяся ручка на руле служила для управления опереженим зажигания, а правая регулировала заслонку карбюратора. Сцепление было применено сухое, со включением рычагом на руле или ножной педалью. Привод колеса был цепной. Смазка мотора и коробки передач была циркуляционной. Маслобак вмонтировали в картер КПП. Рычаг переключения коробки передач применили автомобильного типа. Передняя вилка собиралась из двух штампованных половин. Подвеска переднего колеса была рычажной с упиравшейся в горизонтальную рессору специальной скобой, на которой крепились гасители колебаний. Глубокие крылья охватывали переднее колесо на угол порядка 150о и заднее около 210о . На верхние балки рамы установливались амортизаторы седла водителя, передняя часть которого качалась на особой петле, прикрепленной к бензобаку. Седло пассажира крепилось к верхним балкам рамы с помощью кованых скоб. Светотехника должна была включать фару с дальним и ближним светом, а также сигнальный задний фонарь. Изготовление первых опытных А-750 поручили вновь организовываемому Опытному мотоциклетному заводу им. Автодора в Ижевске — ИОМЗА. К весне 1933 г. предполагалось изготовить первые десять мотоциклов. Этот завод был создан в недостроенных и заброшенных в годы Первой мировой войны корпусах так и не вступившей в строй оружейной фабрики Берзина. Средства на реконструкцию завода были собраны обществом Автодор. К 1 февраля 1933 г. был закончен механосборочный корпус на 2600 м2 и «приспособлены для всех прочих цехов помещения старой оружейной фабрики». В отличие от Ижастальзавода, Иомза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Декаве»: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«Вато-запчасть»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Автомотовелотреста УССР имеет на 1933 г. программу лишь в 300 мотоциклов ХМЗ типа «Харлей-Дэвидсон» … и особых надежд на развитие мотоциклостроения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Зузик,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w:t>
      </w:r>
      <w:r w:rsidRPr="00E93F40">
        <w:rPr>
          <w:rFonts w:ascii="Times New Roman" w:hAnsi="Times New Roman"/>
          <w:color w:val="000000" w:themeColor="text1"/>
          <w:sz w:val="16"/>
          <w:szCs w:val="16"/>
        </w:rPr>
        <w:lastRenderedPageBreak/>
        <w:t>начале февраля 1934 г. и отправили в Кремль на выставку, посвящённую Мотоциклы НАТИ-А-750 и ИЖ-7 постройки ИОМЗА перед пробегом в открытию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Завокзальном микрорайоне, обнаружила могильную плиту со слабо видневшейся надписью. Новость быстро облетела телевизионные и печатные СМИ, попала на интернет ресурсы. Место захоронения патриарха отечественного мотоциклостроения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Наркомобщмаша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083F2FE8" w14:textId="77777777" w:rsidR="004F6794" w:rsidRPr="00E93F40" w:rsidRDefault="004F6794" w:rsidP="00E93F40">
      <w:pPr>
        <w:spacing w:after="0" w:line="240" w:lineRule="auto"/>
        <w:jc w:val="both"/>
        <w:rPr>
          <w:rFonts w:ascii="Times New Roman" w:hAnsi="Times New Roman"/>
          <w:color w:val="000000" w:themeColor="text1"/>
          <w:sz w:val="16"/>
          <w:szCs w:val="16"/>
        </w:rPr>
      </w:pPr>
    </w:p>
    <w:p w14:paraId="20FA4830" w14:textId="77777777" w:rsidR="00046DC2" w:rsidRPr="00E93F40" w:rsidRDefault="00046D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расположенное в Ленинграде Особое техническое бюро, специализировавшееся на создании новых видов вооружения, получило задание на разработку оборудования для дистанционно-управляемого самолёта. Для этого предполагалось использовать списанные с вооружения устаревшие или исчерпавшие свой ресурс самолёты. Их боевое применение предусматривало несколько вариантов: самолёт мог быть начинён взрывчаткой и использован как летающая бомба, мог сбросить на врага боезапас и по радиокомандам вернуться на базу, мог служить летающей мишенью для тренировок зенитной артиллерии. Инициаторами создания этого вида оружия были М.Н. Тухачевский и специалист по теоретической механике Г.В. Коренев, отвечавший за научно-техническое руководство работами по созданию радиоуправления. Для решения задачи требовалось два устройства: автопилот, обеспечивающий полёт по заданным параметрам, и командное устройство, сообщающее автопилоту сигналы для изменения траектории (22673).</w:t>
      </w:r>
    </w:p>
    <w:p w14:paraId="3CB0233E" w14:textId="77777777" w:rsidR="00046DC2" w:rsidRPr="00E93F40" w:rsidRDefault="00046DC2" w:rsidP="00E93F40">
      <w:pPr>
        <w:spacing w:after="0" w:line="240" w:lineRule="auto"/>
        <w:jc w:val="both"/>
        <w:rPr>
          <w:rFonts w:ascii="Times New Roman" w:hAnsi="Times New Roman"/>
          <w:color w:val="000000" w:themeColor="text1"/>
          <w:sz w:val="16"/>
          <w:szCs w:val="16"/>
        </w:rPr>
      </w:pPr>
    </w:p>
    <w:p w14:paraId="7B1D8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аппаратурой телеуправления «Мост-1», а позднее «Река-1» и «Река-2» был оснащен двухбашенный танк Т-2 (10675).</w:t>
      </w:r>
    </w:p>
    <w:p w14:paraId="3721C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289F9A" w14:textId="1EEBE3B5" w:rsidR="00671DDE" w:rsidRPr="00E93F40" w:rsidRDefault="00671DDE" w:rsidP="00E93F40">
      <w:pPr>
        <w:pStyle w:val="ae"/>
        <w:spacing w:before="0" w:after="0"/>
        <w:jc w:val="both"/>
        <w:rPr>
          <w:color w:val="000000" w:themeColor="text1"/>
          <w:sz w:val="16"/>
          <w:szCs w:val="16"/>
        </w:rPr>
      </w:pPr>
      <w:r w:rsidRPr="00E93F40">
        <w:rPr>
          <w:color w:val="000000" w:themeColor="text1"/>
          <w:sz w:val="16"/>
          <w:szCs w:val="16"/>
        </w:rPr>
        <w:t>Весной 1932</w:t>
      </w:r>
      <w:r w:rsidR="007C1411" w:rsidRPr="00E93F40">
        <w:rPr>
          <w:color w:val="000000" w:themeColor="text1"/>
          <w:sz w:val="16"/>
          <w:szCs w:val="16"/>
        </w:rPr>
        <w:t xml:space="preserve"> </w:t>
      </w:r>
      <w:r w:rsidRPr="00E93F40">
        <w:rPr>
          <w:color w:val="000000" w:themeColor="text1"/>
          <w:sz w:val="16"/>
          <w:szCs w:val="16"/>
        </w:rPr>
        <w:t>г. двухбашенный Т-26 оснастили аппаратурой телеуправления под шифром «Мост-1», позднее – аппаратурой «Река-1» и «Река-2». Испытания прошли в апреле 1932</w:t>
      </w:r>
      <w:r w:rsidR="007C1411" w:rsidRPr="00E93F40">
        <w:rPr>
          <w:color w:val="000000" w:themeColor="text1"/>
          <w:sz w:val="16"/>
          <w:szCs w:val="16"/>
        </w:rPr>
        <w:t xml:space="preserve"> </w:t>
      </w:r>
      <w:r w:rsidRPr="00E93F40">
        <w:rPr>
          <w:color w:val="000000" w:themeColor="text1"/>
          <w:sz w:val="16"/>
          <w:szCs w:val="16"/>
        </w:rPr>
        <w:t>г. на Московском химическом полигоне (в районе Кузьминки). По результатам испытаний был выдан заказ на изготовление четырех телетанков и двух танков управления (15736).</w:t>
      </w:r>
    </w:p>
    <w:p w14:paraId="7F7F9CED" w14:textId="77777777" w:rsidR="00671DDE" w:rsidRPr="00E93F40" w:rsidRDefault="00671DDE" w:rsidP="00E93F40">
      <w:pPr>
        <w:pStyle w:val="ae"/>
        <w:spacing w:before="0" w:after="0"/>
        <w:jc w:val="both"/>
        <w:rPr>
          <w:color w:val="000000" w:themeColor="text1"/>
          <w:sz w:val="16"/>
          <w:szCs w:val="16"/>
        </w:rPr>
      </w:pPr>
    </w:p>
    <w:p w14:paraId="5DB422F6" w14:textId="77777777" w:rsidR="00671DDE" w:rsidRPr="00E93F40" w:rsidRDefault="00671D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аппаратурой «Мост-1», а позднее — «Река-1» и «Река-2» был оснащен двухбашенный танк Т-26. В апреле 1932 г. на Московском химполигоне проводились испытания этого танка.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(15117).</w:t>
      </w:r>
    </w:p>
    <w:p w14:paraId="62AE22BD" w14:textId="77777777" w:rsidR="00671DDE" w:rsidRPr="00E93F40" w:rsidRDefault="00671DDE" w:rsidP="00E93F40">
      <w:pPr>
        <w:spacing w:after="0" w:line="240" w:lineRule="auto"/>
        <w:jc w:val="both"/>
        <w:rPr>
          <w:rFonts w:ascii="Times New Roman" w:hAnsi="Times New Roman"/>
          <w:color w:val="000000" w:themeColor="text1"/>
          <w:sz w:val="16"/>
          <w:szCs w:val="16"/>
        </w:rPr>
      </w:pPr>
    </w:p>
    <w:p w14:paraId="4D7791A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F1BFAE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7549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советская авиация получила первые "настоящие" тяжелые бомбардировщики - четырехмоторные ТБ-3. Их создание тоже являлось заслугой А.Н. Туполева. Задание на эту машину выдало в 1925 г. уже упоминавшееся Остехбюро. Тогда самолет назывался Т1-4РТЗ и рассматривался как специальная машина для перевозки громоздких грузов на наружной подвеске, вплоть до небольшого торпедного катера. Отсюда в проекте - высоченные широко расставленные стойки шасси. Но вскоре вмешалось Управление ВВС, которое выдало свое задание - на тяжелый дневной и ночной бомбардировщик. Проектирование самолета вели в ЦАГИ под непосредственным руководством А.Н. Туполева. Из-за большой загрузки малочисленного тогда конструкторского бюро работа растянулась надолго, и опытный образец начали строить лишь в октябре 1929 г.</w:t>
      </w:r>
    </w:p>
    <w:p w14:paraId="01818A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Туполевцы создали очень большой по тем временам цельнометаллический свободно- несущий моноплан АНТ-6 с четырьмя американскими моторами Кэртис "Конкверор". Машина унаследовала многие черты ТБ-1, но при значительном увеличении размеров. Опять использовали толстый аэродинамический профиль крыла и многолонжерон- ную конструкцию. Но высота прохода за моторами уже позволяла механику пройти пригнувшись. Шасси выглядело очень похоже на предшественника, но с колесами в человеческий рост. Значительно возросла бомбовая нагрузка. Если ТБ-1 мог увезти до 900 кг, а нормальной считалась нагрузка в 500 кг, то ТБ-3 брал от тонны до пяти в зависимости от дальности полета. На ТБ-1 подвеска рассчитывалась на бомбы АФ-82 в 82 кг - самые большие из имевшихся тогда, то ТБ-3 под фюзеляжем мог нести огромную АФ-1000 весом в тонну. Огневые точки были похожи, но их стало больше - добавились две выдвижные установки под крылом.</w:t>
      </w:r>
    </w:p>
    <w:p w14:paraId="61A9B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Ничего подобного в нашей стране до тех пор не строили. Поэтому изготовление первого АНТ-6 (или ТБ-3, как его обозначило Управление ВВС) тоже оказалось не быстрым. Первый полет состоялся 22 декабря 1930 г. Он был в основном готов к 28 сентября 1930 г. 31 октября самолет подготовили к испытаниям, но из-за ряда дефектов они начались только 22 декабря.</w:t>
      </w:r>
    </w:p>
    <w:p w14:paraId="46DE1E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полет, в котором машиной управлял экипаж М.М. Громова, чуть не закончился аварией - разболтались сектора газа, не имевшие надежной фиксации. В отчете потом написали: "Сектора ползают, механик поправляет". На испытаниях самолет не столько летал, сколько его чинили и доделывали. Но результаты впечатляли. Итогом стала высокая оценка: "Самолет по своим летным данным - вполне современный тяжелый бомбардировщик, стоящий на одном уровне с лучшими иностранными самолетами". Можно даже сказать, что испытатели поскромничали - ни одна страна мира не имела тогда боевого самолета, подобного АНТ-6.</w:t>
      </w:r>
    </w:p>
    <w:p w14:paraId="523A1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последовали доработки, американские "Конквероры" заменили на немецкие BMW VI, импортные металлические винты - на советские деревянные. Исправили ряд дефектов, выявленных ранее. С 29 апреля машина испытывалась в НИИ ВВС. Уже 1 мая ее гордо продемонстрировали в воздухе над Красной площадью, а 22 мая состоялся официальный показ бомбардировщика членам правительства на Центральном аэродроме. Сам товарищ Сталин в компании с наркомами Ворошиловым и Орджоникидзе полазил по машине и покрутил пулеметы на турелях. Затем высокие гости поглядели на короткий полет. За последний пилотов Козлова и Залевского начальник НИИ ВВС наградил "заграничными часами "Мозер" с секундомером" - очевидно, самолет произвел должное впечатление.</w:t>
      </w:r>
    </w:p>
    <w:p w14:paraId="19A526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машину еще раз подвергли испытаниям, на этот раз с полным комплектом оборудования и вооружения как эталон для серийной постройки. Испытания завершились 22 февраля. Самолет еще раз одобрили. Что ни говори, при всех недостатках он, тем не менее, превосходил все, что могли тогда выставить потенциальные противники, и ВВС хотели заполучить его поскорее и в как можно большем количестве. "Самолет ТБЗ-4М17 принят как эталон для серийной постройки в 1932 г.", - гласило официальное заключение. Путь к заводским цехам был открыт...</w:t>
      </w:r>
    </w:p>
    <w:p w14:paraId="6FC6C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Подготовку к серийному выпуску самолета начали задолго до того, как поднялся в воздух опытный АНТ-6 - настолько были очевидны перспективы машины. Сперва опасались, что отечественные предприятия не осилят столь крупную и сложную машину и предлагали передать заказ немецкой фирме "Рорбах", но, к счастью, </w:t>
      </w:r>
      <w:r w:rsidRPr="00E93F40">
        <w:rPr>
          <w:rFonts w:ascii="Times New Roman" w:hAnsi="Times New Roman"/>
          <w:color w:val="000000" w:themeColor="text1"/>
          <w:sz w:val="16"/>
          <w:szCs w:val="16"/>
        </w:rPr>
        <w:lastRenderedPageBreak/>
        <w:t>оптимисты победили. Производство организовали на заводе № 22 в Филях - предприятии, имевшем наибольший в стране опыт постройки цельнометаллических самолетов и выпускавшем в то время ТБ-1. В плане закупок новой техники для ВВС, утвержденном в феврале 1930 г., значилось, что в 1930/31 финансовом году от промышленности должны получить первые восемь ТБ-3. Позже цифру корректировали - до конца 1931 г. рассчитывали принять пять бомбардировщиков, потом только три.</w:t>
      </w:r>
    </w:p>
    <w:p w14:paraId="36F0B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и этого сделать не удалось - задерживала нехватка металла, комплектующих, неопределенность с составом и размещением оборудования и вооружения. Головной самолет завода № 22 совершил первый полет 27 февраля 1932 г. в присутствии наркома тяжелой промышленности Г.К. Орджоникидзе, которому тогда подчинялось и самолетостроение. К 28 апреля в Филях собрали первую партию из десяти машин с таким расчетом, чтобы они приняли участие в первомайском параде в Москве.</w:t>
      </w:r>
    </w:p>
    <w:p w14:paraId="4B8C9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Машины были очень "сырыми", и лишь благодаря отчаянным усилиям работников завода и НИИ ВВС их удалось вывести на парад. Экипажи состояли вперемежку из заводского персонала и военных из НИИ. В фюзеляже каждого бомбардировщика сидели техники с бидонами воды, готовые долить текущие радиаторы. Однако цель была достигнута. Парадная девятка, которой командовал А.Б. Юмашев, произвела неизгладимое впечатление на иностранных военных атташе. Впрочем, еще перед парадом ТБ-3 продемонстрировали итальянской делегации, перед которой экипажи испытателей показали такие трюки, как виражи с креном до 60 - 70 градусов и посадку с разворотом на двух моторах.</w:t>
      </w:r>
    </w:p>
    <w:p w14:paraId="6B34AD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Огромный самолет с трудом осваивался в производстве. Существовавший технологический уровень явно не соответствовал сложности ТБ-3. Отмечалась плохая подгонка частей самолета, небрежная обработка стыков, невзаимозаменяемость узлов на машинах даже одной серии, волнистость поверхности крыла. Особенно много претензий предъявлялось к сборке и нивелировке бомбардировщика. ТБ-3 из-за требования возможности перевозки по железной дороге членился на очень большое количество узлов, даже крыло разделялось не только поперек, но и вдоль. Так вот, все это собиралось с большим трудом. Например, секции крыла оказывались лежащими не в одной плоскости. Щели в соединениях зияли такие, что на зиму их заклеивали полотном, чтобы не набивался снег. О том, что происходило внутри самолета, и говорить не приходится. В самой первой "Временной полетно-эксплуатационной инструкции" по ТБ-3, выпущенной Управлением ВВС в 1932 г., перечень наиболее распространенных производственныхде- фектов занимает шесть страниц, набранных убористым шрифтом.</w:t>
      </w:r>
    </w:p>
    <w:p w14:paraId="5EE550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 не менее, из цехов выходили все новые машины. За 1-й квартал 1932 г. через военную приемку прошли 46 ТБ-3, примерно две трети плана. На этих самолетах не хватало прицелов, радиостанций, бомбодержателей, пулеметов. Самолеты сдавали "условно", под гарантийные письма завода дослать все недостающее при получении прямо в воинские части. Ну а самые неукомплектованные бомбардировщики оседали на заводском аэродроме. Поэтому реально в ВВС поступило значительно меньше машин, чем было собрано (12024).</w:t>
      </w:r>
    </w:p>
    <w:p w14:paraId="1E52CE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CA3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советская авиация получила первые "настоящие" тяжелые бомбардировщики - четырехмоторные ТБ-3. Задание на эту машину выдало в 1925 г. уже упоминавшееся Остехбюро. Тогда самолет назывался Т1-4РТЗ и рассматривался как специальная машина для перевозки громоздких грузов на наружной подвеске, вплоть до небольшого торпедного катера. Отсюда в проекте - высоченные широко расставленные стойки шасси. Но вскоре вмешалось Управление ВВС, которое выдало свое задание - на тяжелый дневной и ночной бомбардировщик. Проектирование вели в ЦАГИ под руководством А.Н. Туполева. Машина унаследовала многие черты предшественника, ТБ-1, но с увеличение масштабов. Из-за большой загрузки малочисленного тогда конструкторского бюро работа растянулась надолго, и опытный образец начали строить лишь в октябре 1929 г.</w:t>
      </w:r>
    </w:p>
    <w:p w14:paraId="0CD59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Туполевцы создали очень большой по тем временам цельнометаллический моноплан с четырьмя моторами Кэртис "Конкверор". Ничего подобного в нашей стране до тех пор не строили. Поэтому изготовление первого АНТ-6 (или ТБ-3, как его обозначило УВВС) тоже оказалось не быстрым. Первый полет состоялся 22 декабря 1930 г. Он был в основном готов к 28 сентября 1930 г. 31 октября самолет подготовили к испытаниям, но из-за ряда дефектов они начались только 22 декабря.</w:t>
      </w:r>
    </w:p>
    <w:p w14:paraId="79380D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полет, в котором машиной управлял экипаж М.М. Громова, чуть не закончился аварией - разболтались сектора газа, не имевшие надежной фиксации. В отчете потом написали: "Сектора ползают, механик поправляет". На испытаниях самолет не столько летал, сколько его чинили и доделывали. Но результаты впечатляли. Итогом стала высокая оценка: "Самолет по своим летным данным - вполне современный тяжелый бомбардировщик, стоящий на одном уровне с лучшими иностранными самолетами". Можно даже сказать, что испытатели поскромничали - ни одна страна мира не имела тогда боевого самолета, подобного АНТ-6.</w:t>
      </w:r>
    </w:p>
    <w:p w14:paraId="76683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последовали доработки, американские "Конквероры" заменили на немецкие BMW VI, импортные металлические винты - на советские деревянные. Исправили ряд дефектов, выявленных ранее. С 29 апреля машина испыты- валась в НИИ ВВС. Уже 1 мая ее гордо продемонстрировали в воздухе над Красной площадью, а 22 мая состоялся официальный показ бомбардировщика членам правительства на Центральном аэродроме. Сам товарищ Сталин в компании с Ворошиловым и Орджоникидзе полазил по машине и покрутил пулеметы на турелях. Затем высокие гости поглядели на короткий полет. За последний пилотов Козлова и Залевского начальник НИИ наградил "заграничными часами "Мозер" с секундомером" - очевидно, самолет произвел должное впечатление.</w:t>
      </w:r>
    </w:p>
    <w:p w14:paraId="1625A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машину еше раз подвергли испытаниям, на этот раз с полным комплектом оборудования и вооружения, как эталон для серийной постройки. Испытания завершились 22 февраля. Самолет еще раз одобрили. Что ни говори, при всех недостатках он, тем не менее, превосходил все, что могли тогда выставить потенциальные противники, и ВВС хотели заполучить его поскорее и в как можно большем количестве. "Самолет ТБЗ-4М17 принят как эталон для серийной постройки в 1932 г.", - гласило официальное заключение. Путь к заводским цехам был открыт...</w:t>
      </w:r>
    </w:p>
    <w:p w14:paraId="3D4B2F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Подготовку к серийному выпуску самолета начали задолго до того, как поднялся в воздух опытный АНТ-6 - настолько были очевидны перспективы машины. Сперва опасались, что отечественные предприятия не осилят столь крупную и сложную машину и предлагали передать заказ немецкой фирме "Рорбах", но, к счастью, оптимисты победили. Производство организовали на заводе № 22 в Филях - предприятии, имевшем наибольший в стране опыт постройки цельнометаллических самолетов и выпускавшем в то время ТБ-1. В плане закупок новой техники для ВВС, утвержденном в феврале 1930 г., значилось, что в 1930/31 финансовом году от промышленности должны получить первые восемь ТБ-3. Позже цифру корректировали - до конца 1931 г. рассчитывали принять пять бомбардировщиков, потом только три.</w:t>
      </w:r>
    </w:p>
    <w:p w14:paraId="085C3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и этого сделать не удалось - задерживали нехватка металла, комплектующих, неопределенность с составом и размещением оборудования и вооружения. Головной самолет завода № 22 совершил первый полет 27 февраля 1932 г. в присутствии наркома тяжелой промышленности Г. К. Орджоникидзе, которому тогда подчинялось и самолетостроение. К 28 апреля в Филях собрали первую партию из десяти машин с таким расчетом, чтобы они приняли участие в первомайском параде в Москве.</w:t>
      </w:r>
    </w:p>
    <w:p w14:paraId="542D8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Машины были очень "сырыми", и лишь благодаря отчаянным усилиям работников завода и НИИ ВВС их удалось вывести на парад. Экипажи состояли вперемежку из заводского персонала и военных из НИИ. В фюзеляже каждого бомбардировщика сидели техники с бидонами воды, готовые долить текущие радиаторы. Однако цель была достигнута. Парадная девятка, которой командовал А. Б. Юмашев, произвела неизгладимое впечатление на иностранных военных атташе. Впрочем, еще перед парадом ТБ-3 продемонстрировали итальянской делегации, перед которой экипажи испытателей показали такие трюки, как виражи с креном до 60-70 градусов и посадку с разворотом на двух моторах.</w:t>
      </w:r>
    </w:p>
    <w:p w14:paraId="722E0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Огромный самолет с трудом осваивался в производстве. Существовавший технологический уровень явно не соответствовал сложности ТБ-3. Отмечалась плохая подгонка частей самолета, небрежная обработка стыков, невзаимозаменяемость узлов на машинах даже одной серии, волнистость поверхности крыла. Особенно много претензий предъявлялось к сборке и нивелировке бомбардировщика. ТБ-3 из-за требования возможности перевозки по железной дороге членился на очень большое количество узлов, даже крыло разделялось не только поперек, но и вдоль. Так вот, все это собиралось с большим трудом. Например, секции полукрыла оказывались лежащими не в одной плоскости. Щели в соединениях зияли такие, что на зиму их заклеивали полотном, чтобы не набивался снег. О том, что происходило внутри самолета, и говорить не приходится. В самой первой "Временной полетно-эксплуатационной инструкции" по ТБ-3, выпущенной УВВС в 1932 г., перечень наиболее распространенных производственных дефектов занимает шесть страниц, набранных убористым шрифтом.</w:t>
      </w:r>
    </w:p>
    <w:p w14:paraId="6A57EA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 не менее, из цехов выходили все новые машины. За 1-й квартал 1932 г. через военную приемку прошли 46 ТБ-3, примерно две трети плана. На этих самолетах не хватало прицелов, радиостанций, бомбодержателей, пулеметов. Самолеты сдавали "условно", под гарантийные письма завода дослать все недостающее при получении прямо в воинские части. Ну а самые неукомплектованные бомбардировщики оседали на заводском аэродроме. Поэтому реально в ВВС поступило значительно меньше машин, чем было собрано.</w:t>
      </w:r>
    </w:p>
    <w:p w14:paraId="49D25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 ТБ-3 начали осваивать еще на одном предприятии - заводе № 39 в Москве. 7 декабря 1932 г. поднялась в воздух первая машина, сделанная там. За год это предприятие выпустило пять ТБ-3, а в Филях изготовили 155 самолетов. Это составляло примерно половину планового задания. Существовали еще планы строительства нового завода на Дальнем Востоке, в районе Болонь-Оджен, который должен был выпускать до 200 ТБ-3 в год. Впоследствии для этого предприятия выбрали другую площадку - в нынешнем Комсомольске-на-Амуре, но ТБ-3 там не строили.</w:t>
      </w:r>
    </w:p>
    <w:p w14:paraId="2524E0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первый опыт эксплуатации в частях, в серийные машины постепенно внесли ряд изменений. Все самолеты с конца 1932 г. имели гладкий, а не гофрированный носок крыла. Позднее на передней части фюзеляжа появились поручни, облегчающие покидание пилотской кабины с парашютом, стали перекрывать металлическими лентами щели между фюзеляжем и крылом. Со второй половины 1932 г. У ВВС требовало ввести новые поворачивающиеся подкрыльные башни, но они так и не появились. Все ТБ-3 ранних серий оснащались "штанами" - примитивными выпускными подкрыльными башнями Б-2. Свое прозвище они получили из-за того, что для ног стрелка были сделаны выступы, действительно напоминавшие металлические штаны.</w:t>
      </w:r>
    </w:p>
    <w:p w14:paraId="12C5E3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Чтобы попасть в башню, стрелок должен был проползти по проходу внутри крыла, волоча за собой парашют. Затем вместе с парашютом ему предстояло усесться на сиденье башни и выдвинуться вниз. Сидеть было неудобно, холодно и изрядно поддувало. Пулемет ДА стоял на шкворне и не имел ограничителей: при стрельбе можно было угодить по своему самолету или, еще хуже, по бомбам на наружных держателях. Эти башни признали временными до создания новых вращающихся. Но нет ничего более постоянного, чем временное. "Штаны" сохранились на серийных ТБ-3 надолго.</w:t>
      </w:r>
    </w:p>
    <w:p w14:paraId="4CAAC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Основным направлением совершенствования бомбардировщика тогда являлось увеличение дальности его полета. В первую очередь это было необходимо для условий Забайкалья и Дальнего Востока, где потенциальные цели далеко отстояли от советской границы. По просьбе командования ВВС Отдельной Краснознаменной Дальневосточной армии (ОКДВА) в ЦАГИ начали проектировать вариант ТБ-3 с форсированными моторами М-17Ф (еще не существовавшими), уменьшенным экипажем, более слабым вооружением, но с той же максимальной бомбовой нагрузкой. По расчетам, с 1000 кг бомб он должен был иметь радиус действия 1200 км против 955 км у серийных самолетов. Отдельные элементы этого проекта попробовали внедрить на экспериментальных машинах, но в целом опытный образец "дальневосточного" бомбардировщика не строился.</w:t>
      </w:r>
    </w:p>
    <w:p w14:paraId="4FDB10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Непосредственно в частях впоследствии практиковали облегчение бомбардировщиков за счет снятия подкрыльных башен, балок Дер-15 и Дер-16, а иногда и внутренних бомбовых кассет Дер-9. Это экономило до 400 кг.</w:t>
      </w:r>
    </w:p>
    <w:p w14:paraId="22230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увеличение дальности за счет ослабления бомбового вооружения сокращало боевые возможности самолета.</w:t>
      </w:r>
    </w:p>
    <w:p w14:paraId="353D3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Поэтому стали искать другие пути. В НИИ ВВС пытались "выжать" все возможное из обычного серийного бомбардировщика. Еще в 1932 г. там попробовали поднять дальность полета с полной бомбовой нагрузкой за счет увеличения разрешенного взлетного веса. Его сначала довели до 19 300 кг, а затем до 19 500 кг. Перегруженный самолет пилотировал К.П. Миндер, доказавший возможность эксплуатации машины и при столь большом весе. Правда, взлет получался затянутым, разбег занимал 680 м - для аэродромов того времени это было довольно много. После этого лимиты по взлетному весу для строевых частей пересмотрели. Для ранних серий его официально установили равным 19,5 т, для более поздних - 20 т. У "Муромца" этот показатель составлял не более 8 т (12036).</w:t>
      </w:r>
    </w:p>
    <w:p w14:paraId="07FC1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07DB63"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1932 г. выпущенные Р-6 поступили в части ВВС Московского военного округа. 1 мая в воздушном пара</w:t>
      </w:r>
      <w:r w:rsidRPr="00142305">
        <w:rPr>
          <w:rFonts w:ascii="Times New Roman" w:hAnsi="Times New Roman"/>
          <w:color w:val="0070C0"/>
          <w:sz w:val="16"/>
          <w:szCs w:val="16"/>
        </w:rPr>
        <w:softHyphen/>
        <w:t>де участвовали самолеты ll-й и 17-й авиабригад. По шта</w:t>
      </w:r>
      <w:r w:rsidRPr="00142305">
        <w:rPr>
          <w:rFonts w:ascii="Times New Roman" w:hAnsi="Times New Roman"/>
          <w:color w:val="0070C0"/>
          <w:sz w:val="16"/>
          <w:szCs w:val="16"/>
        </w:rPr>
        <w:softHyphen/>
        <w:t>ту каждой тяжелобомбардировочной бригаде полагалась эс</w:t>
      </w:r>
      <w:r w:rsidRPr="00142305">
        <w:rPr>
          <w:rFonts w:ascii="Times New Roman" w:hAnsi="Times New Roman"/>
          <w:color w:val="0070C0"/>
          <w:sz w:val="16"/>
          <w:szCs w:val="16"/>
        </w:rPr>
        <w:softHyphen/>
        <w:t>кадрилья из дюжины «крейсеров» (24977).</w:t>
      </w:r>
    </w:p>
    <w:p w14:paraId="18782A47" w14:textId="77777777" w:rsidR="00053259" w:rsidRPr="00142305" w:rsidRDefault="00053259" w:rsidP="00053259">
      <w:pPr>
        <w:spacing w:after="0" w:line="240" w:lineRule="auto"/>
        <w:jc w:val="both"/>
        <w:rPr>
          <w:rFonts w:ascii="Times New Roman" w:hAnsi="Times New Roman"/>
          <w:color w:val="0070C0"/>
          <w:sz w:val="16"/>
          <w:szCs w:val="16"/>
        </w:rPr>
      </w:pPr>
    </w:p>
    <w:p w14:paraId="6C02E6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51-ю ТБАЭ перебросили под Хабаровск и в апреле передали Морским силам Дальнего Востока, где самолеты предполагали ис</w:t>
      </w:r>
      <w:r w:rsidRPr="00E93F40">
        <w:rPr>
          <w:rFonts w:ascii="Times New Roman" w:hAnsi="Times New Roman"/>
          <w:color w:val="000000" w:themeColor="text1"/>
          <w:sz w:val="16"/>
          <w:szCs w:val="16"/>
        </w:rPr>
        <w:softHyphen/>
        <w:t>пользовать в качестве торпедоносцев. Для этой цели машины начали оборудовать тор</w:t>
      </w:r>
      <w:r w:rsidRPr="00E93F40">
        <w:rPr>
          <w:rFonts w:ascii="Times New Roman" w:hAnsi="Times New Roman"/>
          <w:color w:val="000000" w:themeColor="text1"/>
          <w:sz w:val="16"/>
          <w:szCs w:val="16"/>
        </w:rPr>
        <w:softHyphen/>
        <w:t>педными мостами, выпуск которых только осваивала промышленность. В 1933 г. отряд ТБ-1 под командованием П.И. Сучко, вхо</w:t>
      </w:r>
      <w:r w:rsidRPr="00E93F40">
        <w:rPr>
          <w:rFonts w:ascii="Times New Roman" w:hAnsi="Times New Roman"/>
          <w:color w:val="000000" w:themeColor="text1"/>
          <w:sz w:val="16"/>
          <w:szCs w:val="16"/>
        </w:rPr>
        <w:softHyphen/>
        <w:t>дивший в то время в 28-ю ТБАБ, начал осво</w:t>
      </w:r>
      <w:r w:rsidRPr="00E93F40">
        <w:rPr>
          <w:rFonts w:ascii="Times New Roman" w:hAnsi="Times New Roman"/>
          <w:color w:val="000000" w:themeColor="text1"/>
          <w:sz w:val="16"/>
          <w:szCs w:val="16"/>
        </w:rPr>
        <w:softHyphen/>
        <w:t>ение высотного торпедометания (11286).</w:t>
      </w:r>
    </w:p>
    <w:p w14:paraId="46405F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99EF94" w14:textId="77777777" w:rsidR="00446B7C" w:rsidRPr="00E93F40" w:rsidRDefault="00446B7C" w:rsidP="00E93F40">
      <w:pPr>
        <w:pStyle w:val="ae"/>
        <w:shd w:val="clear" w:color="auto" w:fill="FFFFFF"/>
        <w:spacing w:before="0" w:after="0"/>
        <w:jc w:val="both"/>
        <w:rPr>
          <w:color w:val="000000" w:themeColor="text1"/>
          <w:sz w:val="16"/>
          <w:szCs w:val="16"/>
        </w:rPr>
      </w:pPr>
      <w:r w:rsidRPr="00E93F40">
        <w:rPr>
          <w:color w:val="000000" w:themeColor="text1"/>
          <w:sz w:val="16"/>
          <w:szCs w:val="16"/>
        </w:rPr>
        <w:t>На весну 1932 года пришёлся пик карьеры Т-18, когда численность этих танков достигла 959 штук. Больше всего этих машин (141 штука) имелось во 2-м танковом полку Дальневосточного военного округа (17724).</w:t>
      </w:r>
    </w:p>
    <w:p w14:paraId="6288DAD4" w14:textId="77777777" w:rsidR="00446B7C" w:rsidRPr="00E93F40" w:rsidRDefault="00446B7C" w:rsidP="00E93F40">
      <w:pPr>
        <w:spacing w:after="0" w:line="240" w:lineRule="auto"/>
        <w:jc w:val="both"/>
        <w:rPr>
          <w:rFonts w:ascii="Times New Roman" w:eastAsia="Times New Roman" w:hAnsi="Times New Roman"/>
          <w:color w:val="000000" w:themeColor="text1"/>
          <w:sz w:val="16"/>
          <w:szCs w:val="16"/>
          <w:lang w:eastAsia="ru-RU"/>
        </w:rPr>
      </w:pPr>
    </w:p>
    <w:p w14:paraId="373FDD98" w14:textId="77777777" w:rsidR="00446B7C" w:rsidRPr="00E93F40" w:rsidRDefault="00446B7C"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Весной 1932 года примерно треть танков Т-18 находилась в учебных частях. Летом 1933 года в боевых частях числилось 485 Т-18, то есть половина от выпущенных. 16 мая 1934 года 59 Т-18 было передано военным кафедрам, а 250 танков перешло в распоряжение ОСОАВИАХИМ. Машины отслужили своё и постепенно уступали место в боевых частях более совершенным танкам (17724).</w:t>
      </w:r>
    </w:p>
    <w:p w14:paraId="2824DD3F" w14:textId="77777777" w:rsidR="00446B7C" w:rsidRPr="00E93F40" w:rsidRDefault="00446B7C" w:rsidP="00E93F40">
      <w:pPr>
        <w:spacing w:after="0" w:line="240" w:lineRule="auto"/>
        <w:jc w:val="both"/>
        <w:rPr>
          <w:rFonts w:ascii="Times New Roman" w:eastAsia="Times New Roman" w:hAnsi="Times New Roman"/>
          <w:color w:val="000000" w:themeColor="text1"/>
          <w:sz w:val="16"/>
          <w:szCs w:val="16"/>
          <w:lang w:eastAsia="ru-RU"/>
        </w:rPr>
      </w:pPr>
    </w:p>
    <w:p w14:paraId="25B38E11"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1932 г., уяснив низкое качество подготовки летчиков, в отмену сво</w:t>
      </w:r>
      <w:r w:rsidRPr="00142305">
        <w:rPr>
          <w:rFonts w:ascii="Times New Roman" w:hAnsi="Times New Roman"/>
          <w:color w:val="0070C0"/>
          <w:sz w:val="16"/>
          <w:szCs w:val="16"/>
        </w:rPr>
        <w:softHyphen/>
        <w:t>его приказа 1931 г., Начальник ВВС РККА утвердил новое положение о методи</w:t>
      </w:r>
      <w:r w:rsidRPr="00142305">
        <w:rPr>
          <w:rFonts w:ascii="Times New Roman" w:hAnsi="Times New Roman"/>
          <w:color w:val="0070C0"/>
          <w:sz w:val="16"/>
          <w:szCs w:val="16"/>
        </w:rPr>
        <w:softHyphen/>
        <w:t>ческих совещаниях учебных частей летных школ. Эти совещания организаци</w:t>
      </w:r>
      <w:r w:rsidRPr="00142305">
        <w:rPr>
          <w:rFonts w:ascii="Times New Roman" w:hAnsi="Times New Roman"/>
          <w:color w:val="0070C0"/>
          <w:sz w:val="16"/>
          <w:szCs w:val="16"/>
        </w:rPr>
        <w:softHyphen/>
        <w:t>онно состояли из всех преподавателей и руководителей школы или преподавате</w:t>
      </w:r>
      <w:r w:rsidRPr="00142305">
        <w:rPr>
          <w:rFonts w:ascii="Times New Roman" w:hAnsi="Times New Roman"/>
          <w:color w:val="0070C0"/>
          <w:sz w:val="16"/>
          <w:szCs w:val="16"/>
        </w:rPr>
        <w:softHyphen/>
        <w:t>лей и командиров определенного цикла, группы предметов или одного предмета. Методические совещания по отдельным предметам вели старшие преподаватели данных предметов. В методические совещания вводились и курсанты из расчета по одному представителю от каждого отряда. В Положении точно определялся круг обязанностей методических совещаний и порядок утверждения решений (24968).</w:t>
      </w:r>
    </w:p>
    <w:p w14:paraId="745DF3C5" w14:textId="77777777" w:rsidR="00053259" w:rsidRPr="00053259" w:rsidRDefault="00053259" w:rsidP="00053259">
      <w:pPr>
        <w:pStyle w:val="aff2"/>
        <w:tabs>
          <w:tab w:val="left" w:pos="594"/>
        </w:tabs>
        <w:spacing w:line="240" w:lineRule="auto"/>
        <w:rPr>
          <w:rFonts w:ascii="Times New Roman" w:hAnsi="Times New Roman" w:cs="Times New Roman"/>
          <w:i w:val="0"/>
          <w:iCs w:val="0"/>
          <w:color w:val="0070C0"/>
          <w:sz w:val="16"/>
          <w:szCs w:val="16"/>
          <w:lang w:val="ru-RU"/>
        </w:rPr>
      </w:pPr>
    </w:p>
    <w:p w14:paraId="2948893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EC5AA5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24F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под Пасху по инициативе И.В.С. был ликвидирован РАПП, возглавляемый племянником Я.М.Свердлова Авербахом (2844).</w:t>
      </w:r>
    </w:p>
    <w:p w14:paraId="04939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4EF7E4"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все бригады с иностранными архитекторами получили новых советских руководителей (Junghans, Kurt. Bruno Taut. 1880 — 1938. Berlin, 1970. S. 91 — 92) (11596).</w:t>
      </w:r>
    </w:p>
    <w:p w14:paraId="6C88B94C"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54397FC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CE8208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33D0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в США на аэродроме Глендейл в Калифорнии приступили к постройке опытного образца Валти V-1. Строительство - затянулось. Велось по заказу Америкен эйрлайнз и представители постоянно наблюдали (3877,17).</w:t>
      </w:r>
    </w:p>
    <w:p w14:paraId="4ED57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B0904A" w14:textId="77777777" w:rsidR="0011556E" w:rsidRPr="00E93F40" w:rsidRDefault="0011556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Весной 1932 г. в Германии начались испытания первого опытного экземпля</w:t>
      </w:r>
      <w:r w:rsidRPr="00E93F40">
        <w:rPr>
          <w:rFonts w:ascii="Times New Roman" w:hAnsi="Times New Roman"/>
          <w:color w:val="000000" w:themeColor="text1"/>
          <w:sz w:val="16"/>
          <w:szCs w:val="16"/>
        </w:rPr>
        <w:softHyphen/>
        <w:t>ра разведчика Хейнкель Не 45а и про</w:t>
      </w:r>
      <w:r w:rsidRPr="00E93F40">
        <w:rPr>
          <w:rFonts w:ascii="Times New Roman" w:hAnsi="Times New Roman"/>
          <w:color w:val="000000" w:themeColor="text1"/>
          <w:sz w:val="16"/>
          <w:szCs w:val="16"/>
        </w:rPr>
        <w:softHyphen/>
        <w:t>ходили «как по маслу». В конце года «Эрнст Хейнкель флюгцойгверке» (Ernst Heinkel Flugzeugwerke) получил контракт на производ</w:t>
      </w:r>
      <w:r w:rsidRPr="00E93F40">
        <w:rPr>
          <w:rFonts w:ascii="Times New Roman" w:hAnsi="Times New Roman"/>
          <w:color w:val="000000" w:themeColor="text1"/>
          <w:sz w:val="16"/>
          <w:szCs w:val="16"/>
        </w:rPr>
        <w:softHyphen/>
        <w:t>ство таких самолетов, а с лета 1933 г. на</w:t>
      </w:r>
      <w:r w:rsidRPr="00E93F40">
        <w:rPr>
          <w:rFonts w:ascii="Times New Roman" w:hAnsi="Times New Roman"/>
          <w:color w:val="000000" w:themeColor="text1"/>
          <w:sz w:val="16"/>
          <w:szCs w:val="16"/>
        </w:rPr>
        <w:softHyphen/>
        <w:t>чался серийный выпуск Не 45а. Они пос</w:t>
      </w:r>
      <w:r w:rsidRPr="00E93F40">
        <w:rPr>
          <w:rFonts w:ascii="Times New Roman" w:hAnsi="Times New Roman"/>
          <w:color w:val="000000" w:themeColor="text1"/>
          <w:sz w:val="16"/>
          <w:szCs w:val="16"/>
        </w:rPr>
        <w:softHyphen/>
        <w:t>тупали в Т.н. «немецкие школы воздушно</w:t>
      </w:r>
      <w:r w:rsidRPr="00E93F40">
        <w:rPr>
          <w:rFonts w:ascii="Times New Roman" w:hAnsi="Times New Roman"/>
          <w:color w:val="000000" w:themeColor="text1"/>
          <w:sz w:val="16"/>
          <w:szCs w:val="16"/>
        </w:rPr>
        <w:softHyphen/>
        <w:t>го сообщения», готовившие кадры для будущих люфтваффе. Первой получила Не 45а школа в Шлейзхейме, ставшая глав</w:t>
      </w:r>
      <w:r w:rsidRPr="00E93F40">
        <w:rPr>
          <w:rFonts w:ascii="Times New Roman" w:hAnsi="Times New Roman"/>
          <w:color w:val="000000" w:themeColor="text1"/>
          <w:sz w:val="16"/>
          <w:szCs w:val="16"/>
        </w:rPr>
        <w:softHyphen/>
        <w:t>ным центром подготовки воздушных раз</w:t>
      </w:r>
      <w:r w:rsidRPr="00E93F40">
        <w:rPr>
          <w:rFonts w:ascii="Times New Roman" w:hAnsi="Times New Roman"/>
          <w:color w:val="000000" w:themeColor="text1"/>
          <w:sz w:val="16"/>
          <w:szCs w:val="16"/>
        </w:rPr>
        <w:softHyphen/>
        <w:t>ведчиков. Все Не 45а поставлялись без вооружения, с нормальной задней каби</w:t>
      </w:r>
      <w:r w:rsidRPr="00E93F40">
        <w:rPr>
          <w:rFonts w:ascii="Times New Roman" w:hAnsi="Times New Roman"/>
          <w:color w:val="000000" w:themeColor="text1"/>
          <w:sz w:val="16"/>
          <w:szCs w:val="16"/>
        </w:rPr>
        <w:softHyphen/>
        <w:t>ной, как и полагалось самолету с гражда</w:t>
      </w:r>
      <w:r w:rsidRPr="00E93F40">
        <w:rPr>
          <w:rFonts w:ascii="Times New Roman" w:hAnsi="Times New Roman"/>
          <w:color w:val="000000" w:themeColor="text1"/>
          <w:sz w:val="16"/>
          <w:szCs w:val="16"/>
        </w:rPr>
        <w:softHyphen/>
        <w:t>нской регистрацией на борту. Но при этом под обшивкой была скрыта кольце</w:t>
      </w:r>
      <w:r w:rsidRPr="00E93F40">
        <w:rPr>
          <w:rFonts w:ascii="Times New Roman" w:hAnsi="Times New Roman"/>
          <w:color w:val="000000" w:themeColor="text1"/>
          <w:sz w:val="16"/>
          <w:szCs w:val="16"/>
        </w:rPr>
        <w:softHyphen/>
        <w:t>вая турель - для превращения самолета в боевой было достаточно снять несколько листов дюраля, установив на турель пуле</w:t>
      </w:r>
      <w:r w:rsidRPr="00E93F40">
        <w:rPr>
          <w:rFonts w:ascii="Times New Roman" w:hAnsi="Times New Roman"/>
          <w:color w:val="000000" w:themeColor="text1"/>
          <w:sz w:val="16"/>
          <w:szCs w:val="16"/>
        </w:rPr>
        <w:softHyphen/>
        <w:t>мет. Также были предусмотрены места для установки радиостанции FuG VI с пи</w:t>
      </w:r>
      <w:r w:rsidRPr="00E93F40">
        <w:rPr>
          <w:rFonts w:ascii="Times New Roman" w:hAnsi="Times New Roman"/>
          <w:color w:val="000000" w:themeColor="text1"/>
          <w:sz w:val="16"/>
          <w:szCs w:val="16"/>
        </w:rPr>
        <w:softHyphen/>
        <w:t>танием от ветряка-генератора под фюзе</w:t>
      </w:r>
      <w:r w:rsidRPr="00E93F40">
        <w:rPr>
          <w:rFonts w:ascii="Times New Roman" w:hAnsi="Times New Roman"/>
          <w:color w:val="000000" w:themeColor="text1"/>
          <w:sz w:val="16"/>
          <w:szCs w:val="16"/>
        </w:rPr>
        <w:softHyphen/>
        <w:t>ляжем и аэрофотоаппарата (за кабиной наблюдателя).</w:t>
      </w:r>
    </w:p>
    <w:p w14:paraId="669C3C99" w14:textId="77777777" w:rsidR="0011556E" w:rsidRPr="00E93F40" w:rsidRDefault="0011556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разрабатывались Не 45 и Не 46. Номинально первый из них считался дальним разведчиком, а второй - т.н. «армейским самолетом» (Armeeflugzeug), то есть ближним развед</w:t>
      </w:r>
      <w:r w:rsidRPr="00E93F40">
        <w:rPr>
          <w:rFonts w:ascii="Times New Roman" w:hAnsi="Times New Roman"/>
          <w:color w:val="000000" w:themeColor="text1"/>
          <w:sz w:val="16"/>
          <w:szCs w:val="16"/>
        </w:rPr>
        <w:softHyphen/>
        <w:t>чиком и корректировщиком. Реально же их тактико-технические характеристики были весьма близки, свидетельством че</w:t>
      </w:r>
      <w:r w:rsidRPr="00E93F40">
        <w:rPr>
          <w:rFonts w:ascii="Times New Roman" w:hAnsi="Times New Roman"/>
          <w:color w:val="000000" w:themeColor="text1"/>
          <w:sz w:val="16"/>
          <w:szCs w:val="16"/>
        </w:rPr>
        <w:softHyphen/>
        <w:t>му было совместное использование само</w:t>
      </w:r>
      <w:r w:rsidRPr="00E93F40">
        <w:rPr>
          <w:rFonts w:ascii="Times New Roman" w:hAnsi="Times New Roman"/>
          <w:color w:val="000000" w:themeColor="text1"/>
          <w:sz w:val="16"/>
          <w:szCs w:val="16"/>
        </w:rPr>
        <w:softHyphen/>
        <w:t>летов обоих типов в авиагруппах ближней разведки. Спецификации, подготовлен</w:t>
      </w:r>
      <w:r w:rsidRPr="00E93F40">
        <w:rPr>
          <w:rFonts w:ascii="Times New Roman" w:hAnsi="Times New Roman"/>
          <w:color w:val="000000" w:themeColor="text1"/>
          <w:sz w:val="16"/>
          <w:szCs w:val="16"/>
        </w:rPr>
        <w:softHyphen/>
        <w:t>ные совместно министерством обороны и министерством транспорта, исключали какую-либо «самодеятельность» конструк</w:t>
      </w:r>
      <w:r w:rsidRPr="00E93F40">
        <w:rPr>
          <w:rFonts w:ascii="Times New Roman" w:hAnsi="Times New Roman"/>
          <w:color w:val="000000" w:themeColor="text1"/>
          <w:sz w:val="16"/>
          <w:szCs w:val="16"/>
        </w:rPr>
        <w:softHyphen/>
        <w:t>торов и не требовали достижения высоких летных качеств. Главными требованиями к самолетам были легкость управления, простота обслуживания, прочность конструкции и высокая весовая отдача. В итоге, как и ожидалось, Не 45 и Не 46 оказались довольно заурядными самоле</w:t>
      </w:r>
      <w:r w:rsidRPr="00E93F40">
        <w:rPr>
          <w:rFonts w:ascii="Times New Roman" w:hAnsi="Times New Roman"/>
          <w:color w:val="000000" w:themeColor="text1"/>
          <w:sz w:val="16"/>
          <w:szCs w:val="16"/>
        </w:rPr>
        <w:softHyphen/>
        <w:t>тами с умеренными летными данными (24188).</w:t>
      </w:r>
    </w:p>
    <w:p w14:paraId="12CDB1FF" w14:textId="77777777" w:rsidR="0011556E" w:rsidRPr="00E93F40" w:rsidRDefault="0011556E" w:rsidP="00E93F40">
      <w:pPr>
        <w:spacing w:after="0" w:line="240" w:lineRule="auto"/>
        <w:jc w:val="both"/>
        <w:rPr>
          <w:rFonts w:ascii="Times New Roman" w:hAnsi="Times New Roman"/>
          <w:color w:val="000000" w:themeColor="text1"/>
          <w:sz w:val="16"/>
          <w:szCs w:val="16"/>
        </w:rPr>
      </w:pPr>
    </w:p>
    <w:p w14:paraId="6F491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весны 1932 г. по конец 1934 г. в Палестине велось строительство стратегически важного нефтепровода Киркук-Хайфаи, от бесперебойного функционирования которого зависело снабжение горючим средиземноморской эскадры британского военно-морского флота (3871).</w:t>
      </w:r>
    </w:p>
    <w:p w14:paraId="617CB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FF83F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D75EA2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A5A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 В результате испытаний самолета Р5 с разрезными крыльями ЦАГИ обязался к 1 ноября 1932 года построить второй экземпляр Р5 с разрезными крыльями, в котором должны были быть устранены дефекты, обнаруженные на первом экземпляре. Указанный самолет был построен не к 1 ноября 1932 года, а к 1 января 1933 года (3530,91).</w:t>
      </w:r>
    </w:p>
    <w:p w14:paraId="50CDE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B74C46" w14:textId="77777777" w:rsidR="0043671E" w:rsidRPr="00E93F40" w:rsidRDefault="0043671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лету 1932 г. С-62Б занял место главного морского самолета разведчика в СССР. Он не имел отличных показателей ни в скорости, ни в маневренности, однако заслужил среди летчиков репутацию прочного и надежного самолета. Недостатком было то, что плоское днище делало невозможным взлет и посадку при сильном волнении моря. А.М. Тимофеев, командир в середине 1930-х гг. речного отряда р. Уссури, писал в своих мемуарах, что в управлении С-62Б и МБР-2 различались, но в полете имели много общего, поскольку оба они очень зависели от функционирования двигателя и в случае его неполадок приводниться становилось проблематично. Тем не менее, показатели аварийности этих самолетов были низкими и зависели в большей степени от плохой подготовки летчиков и их технического состава (РГАЭ. Ф. 9527. Оп. 1. Д. 906. Годовой отчет, баланс и материал по ВосточноСибирскому Тер. Управлению ГВФ по основной деятельности. 1935.) (21410).</w:t>
      </w:r>
    </w:p>
    <w:p w14:paraId="02F5ED34" w14:textId="77777777" w:rsidR="0043671E" w:rsidRPr="00E93F40" w:rsidRDefault="0043671E" w:rsidP="00E93F40">
      <w:pPr>
        <w:spacing w:after="0" w:line="240" w:lineRule="auto"/>
        <w:jc w:val="both"/>
        <w:rPr>
          <w:rFonts w:ascii="Times New Roman" w:hAnsi="Times New Roman"/>
          <w:color w:val="000000" w:themeColor="text1"/>
          <w:sz w:val="16"/>
          <w:szCs w:val="16"/>
        </w:rPr>
      </w:pPr>
    </w:p>
    <w:p w14:paraId="32A9463D"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лету 1932 г. С-62Б стал в нашей стра</w:t>
      </w:r>
      <w:r w:rsidRPr="00142305">
        <w:rPr>
          <w:rFonts w:ascii="Times New Roman" w:hAnsi="Times New Roman"/>
          <w:color w:val="0070C0"/>
          <w:sz w:val="16"/>
          <w:szCs w:val="16"/>
        </w:rPr>
        <w:softHyphen/>
        <w:t>не основным типом морского разведчика. Это тогда была самая массовая летаю</w:t>
      </w:r>
      <w:r w:rsidRPr="00142305">
        <w:rPr>
          <w:rFonts w:ascii="Times New Roman" w:hAnsi="Times New Roman"/>
          <w:color w:val="0070C0"/>
          <w:sz w:val="16"/>
          <w:szCs w:val="16"/>
        </w:rPr>
        <w:softHyphen/>
        <w:t>щая лодка: их имелось гораздо больше, чем «Валей» или КР-1 (24948).</w:t>
      </w:r>
    </w:p>
    <w:p w14:paraId="22F8573F" w14:textId="77777777" w:rsidR="00053259" w:rsidRPr="00142305" w:rsidRDefault="00053259" w:rsidP="00053259">
      <w:pPr>
        <w:spacing w:after="0" w:line="240" w:lineRule="auto"/>
        <w:jc w:val="both"/>
        <w:rPr>
          <w:rFonts w:ascii="Times New Roman" w:hAnsi="Times New Roman"/>
          <w:color w:val="0070C0"/>
          <w:sz w:val="16"/>
          <w:szCs w:val="16"/>
        </w:rPr>
      </w:pPr>
    </w:p>
    <w:p w14:paraId="2C37D17F"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К лету 1932 г. С-62Б уже стал основным разведчиком отечественной морской авиации. На 1 января их поступило 36, а к июлю пришли все, в том числе пушечные, машины. На одной из последних в декабре 1931 г. произвели практический отстрел вооружения в воздухе. В носовой установке поставили пушку Эрликон 1. Пилоты </w:t>
      </w:r>
      <w:r w:rsidRPr="00142305">
        <w:rPr>
          <w:rFonts w:ascii="Times New Roman" w:hAnsi="Times New Roman"/>
          <w:color w:val="0070C0"/>
          <w:sz w:val="16"/>
          <w:szCs w:val="16"/>
        </w:rPr>
        <w:lastRenderedPageBreak/>
        <w:t>фирмы испытывать её в воздухе отказались, ссылаясь на то, что конструкция самолёта не выдержит стрельбы. Выручил один из прикомандированных к советской комиссии итальянских военных лётчиков, полковник Адриано Бакула, известный гонщик и рекордсмен. Полетели втроем: Бакула за штурвалом, рядом с ним советский приемщик Бертстрем (командир бригады ВВС Чёрного моря), а у пушки – второй приемщик В. С. Коннэрт (из Военно-воздушной академии). В этом составе за два дня сделали 46 выстрелов холостыми патронами в воздухе, 90 – на воде (на озере Лаго-Маджоре) и столько же на суше. Самолёт при стрельбе дергался: колебания шпангоутов и стенок доходили до 2–3 мм. Краска на переднем лонжероне и одном из шпангоутов лопнула, у турели срезало четыре крепежных болта (25184).</w:t>
      </w:r>
    </w:p>
    <w:p w14:paraId="746CC528" w14:textId="77777777" w:rsidR="00053259" w:rsidRPr="00142305" w:rsidRDefault="00053259" w:rsidP="00053259">
      <w:pPr>
        <w:spacing w:after="0" w:line="240" w:lineRule="auto"/>
        <w:jc w:val="both"/>
        <w:rPr>
          <w:rFonts w:ascii="Times New Roman" w:hAnsi="Times New Roman"/>
          <w:color w:val="0070C0"/>
          <w:sz w:val="16"/>
          <w:szCs w:val="16"/>
        </w:rPr>
      </w:pPr>
    </w:p>
    <w:p w14:paraId="2F999A37" w14:textId="77777777" w:rsidR="0043671E" w:rsidRPr="00E93F40" w:rsidRDefault="0043671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лету 1932 г. в Долгопрудной построили жи</w:t>
      </w:r>
      <w:r w:rsidRPr="00E93F40">
        <w:rPr>
          <w:rFonts w:ascii="Times New Roman" w:hAnsi="Times New Roman"/>
          <w:color w:val="000000" w:themeColor="text1"/>
          <w:sz w:val="16"/>
          <w:szCs w:val="16"/>
        </w:rPr>
        <w:softHyphen/>
        <w:t>лой городок из бараков и двухэтажных домов из прессованных из стружек плит, временные поме</w:t>
      </w:r>
      <w:r w:rsidRPr="00E93F40">
        <w:rPr>
          <w:rFonts w:ascii="Times New Roman" w:hAnsi="Times New Roman"/>
          <w:color w:val="000000" w:themeColor="text1"/>
          <w:sz w:val="16"/>
          <w:szCs w:val="16"/>
        </w:rPr>
        <w:softHyphen/>
        <w:t>щения баллонных и механических мастерских и начали строительство деревянного эллинга, рассчитанного на базирование в нём двух ди</w:t>
      </w:r>
      <w:r w:rsidRPr="00E93F40">
        <w:rPr>
          <w:rFonts w:ascii="Times New Roman" w:hAnsi="Times New Roman"/>
          <w:color w:val="000000" w:themeColor="text1"/>
          <w:sz w:val="16"/>
          <w:szCs w:val="16"/>
        </w:rPr>
        <w:softHyphen/>
        <w:t>рижаблей: одного — объёмом 9000 м3 и друго</w:t>
      </w:r>
      <w:r w:rsidRPr="00E93F40">
        <w:rPr>
          <w:rFonts w:ascii="Times New Roman" w:hAnsi="Times New Roman"/>
          <w:color w:val="000000" w:themeColor="text1"/>
          <w:sz w:val="16"/>
          <w:szCs w:val="16"/>
        </w:rPr>
        <w:softHyphen/>
        <w:t>го —объёмом 2000-3000 м3.</w:t>
      </w:r>
    </w:p>
    <w:p w14:paraId="32BDFDE9" w14:textId="77777777" w:rsidR="0043671E" w:rsidRPr="00E93F40" w:rsidRDefault="0043671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Оболочки «СССР В-2» и «СССР В-3», как и спроектированного в ЦАГИ «СССР В-1», строи</w:t>
      </w:r>
      <w:r w:rsidRPr="00E93F40">
        <w:rPr>
          <w:rFonts w:ascii="Times New Roman" w:hAnsi="Times New Roman"/>
          <w:color w:val="000000" w:themeColor="text1"/>
          <w:sz w:val="16"/>
          <w:szCs w:val="16"/>
        </w:rPr>
        <w:softHyphen/>
        <w:t>ли в Москве на заводе «Каучук». Гондолы, опере</w:t>
      </w:r>
      <w:r w:rsidRPr="00E93F40">
        <w:rPr>
          <w:rFonts w:ascii="Times New Roman" w:hAnsi="Times New Roman"/>
          <w:color w:val="000000" w:themeColor="text1"/>
          <w:sz w:val="16"/>
          <w:szCs w:val="16"/>
        </w:rPr>
        <w:softHyphen/>
        <w:t>ние, носовые усиления, клапаны и оборудование дирижаблей «СССР В-1» и «СССР В-2» изготав</w:t>
      </w:r>
      <w:r w:rsidRPr="00E93F40">
        <w:rPr>
          <w:rFonts w:ascii="Times New Roman" w:hAnsi="Times New Roman"/>
          <w:color w:val="000000" w:themeColor="text1"/>
          <w:sz w:val="16"/>
          <w:szCs w:val="16"/>
        </w:rPr>
        <w:softHyphen/>
        <w:t>ливали в ЦАГИ, а «СССР В-3» — в мастерских «Дирижаблестроя», которые вначале находились в Москве, а затем были перенесены в Долгопруд</w:t>
      </w:r>
      <w:r w:rsidRPr="00E93F40">
        <w:rPr>
          <w:rFonts w:ascii="Times New Roman" w:hAnsi="Times New Roman"/>
          <w:color w:val="000000" w:themeColor="text1"/>
          <w:sz w:val="16"/>
          <w:szCs w:val="16"/>
        </w:rPr>
        <w:softHyphen/>
        <w:t>ную. К маю 1932 г. из цехов «Дирижаблестроя» вышли три дирижабля мягкой системы — «СССР В-1», «СССР В-2» («Смольный») и «СССР В-3» («Красная звезда») (20132).</w:t>
      </w:r>
    </w:p>
    <w:p w14:paraId="3DC29A87" w14:textId="77777777" w:rsidR="0043671E" w:rsidRPr="00E93F40" w:rsidRDefault="0043671E" w:rsidP="00E93F40">
      <w:pPr>
        <w:spacing w:after="0" w:line="240" w:lineRule="auto"/>
        <w:jc w:val="both"/>
        <w:rPr>
          <w:rFonts w:ascii="Times New Roman" w:hAnsi="Times New Roman"/>
          <w:color w:val="000000" w:themeColor="text1"/>
          <w:sz w:val="16"/>
          <w:szCs w:val="16"/>
        </w:rPr>
      </w:pPr>
    </w:p>
    <w:p w14:paraId="054EEBF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FBE5D5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EB43167"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июню 1932 г. доработали серийный ТБ-1 № 690.</w:t>
      </w:r>
    </w:p>
    <w:p w14:paraId="41D836ED"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Два дополнительных бензобака подвесили в бом</w:t>
      </w:r>
      <w:r w:rsidRPr="00142305">
        <w:rPr>
          <w:rFonts w:ascii="Times New Roman" w:hAnsi="Times New Roman"/>
          <w:color w:val="0070C0"/>
          <w:sz w:val="16"/>
          <w:szCs w:val="16"/>
        </w:rPr>
        <w:softHyphen/>
        <w:t>боотсеке, еще четыре расположили в консолях. Об</w:t>
      </w:r>
      <w:r w:rsidRPr="00142305">
        <w:rPr>
          <w:rFonts w:ascii="Times New Roman" w:hAnsi="Times New Roman"/>
          <w:color w:val="0070C0"/>
          <w:sz w:val="16"/>
          <w:szCs w:val="16"/>
        </w:rPr>
        <w:softHyphen/>
        <w:t>щий запас топлива возрос с 2010 до 3570 л. В бом</w:t>
      </w:r>
      <w:r w:rsidRPr="00142305">
        <w:rPr>
          <w:rFonts w:ascii="Times New Roman" w:hAnsi="Times New Roman"/>
          <w:color w:val="0070C0"/>
          <w:sz w:val="16"/>
          <w:szCs w:val="16"/>
        </w:rPr>
        <w:softHyphen/>
        <w:t>боотсеке разместили и дополнительный маслобак, из которого масло гнали в основные баки ручным насосом-альвейером. Поскольку в полете мотоустановка теряла и воду, за правым пилотским сиденьем поя</w:t>
      </w:r>
      <w:r w:rsidRPr="00142305">
        <w:rPr>
          <w:rFonts w:ascii="Times New Roman" w:hAnsi="Times New Roman"/>
          <w:color w:val="0070C0"/>
          <w:sz w:val="16"/>
          <w:szCs w:val="16"/>
        </w:rPr>
        <w:softHyphen/>
        <w:t>вился бачок на 45 л, откуда опять же вручную можно было перекачивать воду в расширительные бачки у обоих моторов.</w:t>
      </w:r>
    </w:p>
    <w:p w14:paraId="1EBFFB44" w14:textId="77777777" w:rsidR="00053259" w:rsidRPr="00142305" w:rsidRDefault="00053259" w:rsidP="000532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июня машину передали в НИИ, и с 8 по 21 июня 1932 г. там прошли государственные испыта</w:t>
      </w:r>
      <w:r w:rsidRPr="00142305">
        <w:rPr>
          <w:rFonts w:ascii="Times New Roman" w:hAnsi="Times New Roman"/>
          <w:color w:val="0070C0"/>
          <w:sz w:val="16"/>
          <w:szCs w:val="16"/>
        </w:rPr>
        <w:softHyphen/>
        <w:t>ния самолета с дополнительными баками (25004).</w:t>
      </w:r>
    </w:p>
    <w:p w14:paraId="46171906" w14:textId="77777777" w:rsidR="00053259" w:rsidRPr="00142305" w:rsidRDefault="00053259" w:rsidP="00053259">
      <w:pPr>
        <w:spacing w:after="0" w:line="240" w:lineRule="auto"/>
        <w:jc w:val="both"/>
        <w:rPr>
          <w:rFonts w:ascii="Times New Roman" w:hAnsi="Times New Roman"/>
          <w:color w:val="0070C0"/>
          <w:sz w:val="16"/>
          <w:szCs w:val="16"/>
        </w:rPr>
      </w:pPr>
    </w:p>
    <w:p w14:paraId="05105F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июню 1932 г. были изготовлены две 65-мм пушки АПК-3. Вес системы оказался 43 кг (без боеприпасов), боекомплект 14 выстрелов. Из пушек на земле без самолета провели 10 выстрелов снарядами 2,5 кг с зарядом 0,425 кг. Средняя скорость оказалась 380 м/с вместо 500 м/с расчетной. По результатам испытаний была проведена доделка пушек, закончившаяся лишь осенью 1932 г. После переделки они получили название АПК-Збис.</w:t>
      </w:r>
    </w:p>
    <w:p w14:paraId="603EA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 И-4 (АНТ-5), находящийся на вооружении ВВС с 1930 г., был единственным цельнометаллическим самолетом такого предназначения из тех, которые выпускали советские авиазаводы. Для установки пушек Курчевского этот самолет подходил, однако АПК-4 оказалась для него слишком велика. Поэтому была спроектирована и построена уменьшенная система калибра 65 мм, получившая название АПК-3. Налицо факт, когда пушка делалась под самолет, а не наоборот. Расчет был прост: в случае удачи можно было перевооружить все имеющиеся в строевых частях самолеты И-4 пушками АПК-3. Об этом говорилось и на совещании, которое проводил начальник ВВС РККА Яков Алкснис: «… Ускорить работу по установке пушек калибра 65 мм на И-4. Если получим удовлетворительные результаты, то нужно в кратчайший срок вооружить имеющиеся самолеты И-4 этими пушками… Курчевскому доработать АПК-3, чтобы в апреле — мае 1933 г. провести госиспытания… ЦАГИ установить пушки на самолет И-4 и предъявить в НИИ ВВС” (12091).</w:t>
      </w:r>
    </w:p>
    <w:p w14:paraId="5F882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694FA9" w14:textId="77777777" w:rsidR="00671DDE" w:rsidRPr="00E93F40" w:rsidRDefault="00671D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июню 1932 г. были изготовлены две 65-мм пушки АПК-3. Вес системы оказался 43 кг (без боеприпасов), боекомплект 14 выстрелов. Из пушек на земле без самолета провели 10 выстрелов снарядами 2,6 кг с зарядом 0,425 кг. Средняя скорость оказалась 280 м/с вместо 500 м/с расчетной. По результатам испытаний была проведена доделка пушек, закончившаяся лишь осенью 1932 г. После переделки они получили название АПК-3бис.</w:t>
      </w:r>
    </w:p>
    <w:p w14:paraId="1121ADE3" w14:textId="77777777" w:rsidR="00671DDE" w:rsidRPr="00E93F40" w:rsidRDefault="00671D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двум заводам (№ 75 и Червянскому) заказали 985 65-мм пулевых шрапнелей. Позже заказали партию сегментных шрапнелей. Кроме того, было изготовлено небольшое количество 65-мм осколочных снарядов.</w:t>
      </w:r>
    </w:p>
    <w:p w14:paraId="54188660" w14:textId="77777777" w:rsidR="00671DDE" w:rsidRPr="00E93F40" w:rsidRDefault="00671D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1933 г. специальная комиссия осматривала И-4 № 1649 с установленными под верхними крыльями АПК-3бис. По внешнему виду пушки были признаны годными к стрельбе. Испытания проводились с различными по мощности зарядами, испытывалось не только орудие, но и влияние стрельбы на конструкцию самолета. Так, при использовании зарядов весом 425 г отмечалось разрушение обшивки фюзеляжа. Происходило так, что исходящие газы буквально «отсасывали» обшивку от конструкции самолета.</w:t>
      </w:r>
    </w:p>
    <w:p w14:paraId="4BE7F175" w14:textId="77777777" w:rsidR="00671DDE" w:rsidRPr="00E93F40" w:rsidRDefault="00671D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Летные испытания и воздушные стрельбы были продолжены на НИАПе. Летал летчик Сузи. 18 мая 1933 г. в 14 ч. 40 мин. местного времени при выполнении стрельбы в воздухе произошел разрыв ствола правой пушки на расстоянии 38 см от казенного среза. При осмотре после посадки на комендантском аэродроме выяснилось, что непосредственно за местом разрыва ствола к дульной части заклинен снаряд. Снаряд раздут, с отпечатками нарезов на его поверхности вблизи центрирующего утолщения. Вокруг заклинившего снаряда в стволе обнаружены остатки деревянного донышка (поддона) и нитроклетчатки от гильзы. В правом крыле обнаружена рваная дыра площадью около квадратного метра.</w:t>
      </w:r>
    </w:p>
    <w:p w14:paraId="1C26F484" w14:textId="77777777" w:rsidR="00671DDE" w:rsidRPr="00E93F40" w:rsidRDefault="00671D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разрыва в ОКБ-1 началось изготовление двух новых пушек АПК-3бис. Первая из них была закончена к июню 1933 г.,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АПК-3бис размещению не подлежит.</w:t>
      </w:r>
    </w:p>
    <w:p w14:paraId="1D7F2BB8" w14:textId="77777777" w:rsidR="00671DDE" w:rsidRPr="00E93F40" w:rsidRDefault="00671D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 И-14 (АНТ-31) известен как первенец среди новой генерации скоростных истребителей-монопланов. Создавался этот самолет, однако, под пушки Курчевского, поэтому последнего можно с определенной долей условности назвать инициатором этого нового направления (15117).</w:t>
      </w:r>
    </w:p>
    <w:p w14:paraId="32BCFB6D" w14:textId="77777777" w:rsidR="00671DDE" w:rsidRPr="00E93F40" w:rsidRDefault="00671DDE" w:rsidP="00E93F40">
      <w:pPr>
        <w:spacing w:after="0" w:line="240" w:lineRule="auto"/>
        <w:jc w:val="both"/>
        <w:rPr>
          <w:rFonts w:ascii="Times New Roman" w:hAnsi="Times New Roman"/>
          <w:color w:val="000000" w:themeColor="text1"/>
          <w:sz w:val="16"/>
          <w:szCs w:val="16"/>
        </w:rPr>
      </w:pPr>
    </w:p>
    <w:p w14:paraId="23096E4C" w14:textId="77777777" w:rsidR="00FA3F27" w:rsidRPr="00142305" w:rsidRDefault="00FA3F27" w:rsidP="00FA3F27">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 июню 1932 г. были изготовлены две 65-мм пушки АПК-3. Вес системы оказался 43 кг (без боеприпасов), боекомплект 14 выстрелов.</w:t>
      </w:r>
    </w:p>
    <w:p w14:paraId="3BD91E2B" w14:textId="77777777" w:rsidR="00FA3F27" w:rsidRPr="00142305" w:rsidRDefault="00FA3F27" w:rsidP="00FA3F2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Истребитель И-4 (АНТ-5), находящийся на вооружении ВВС с 1930 г., был единственным цельнометаллическим самолетом такого предназначения из тех, которые выпускали советские авиазаводы. Для установки пушек Курчевского этот самолет подходил, однако АПК-4 оказалась для него слишком велика. Поэтому была спроектирована и построена уменьшенная система калибра 65 мм, получившая название АПК-3.</w:t>
      </w:r>
    </w:p>
    <w:p w14:paraId="1367392E" w14:textId="77777777" w:rsidR="00FA3F27" w:rsidRPr="00142305" w:rsidRDefault="00FA3F27" w:rsidP="00FA3F27">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Налицо факт, когда пушка делалась под самолет, а не наоборот. Расчет был прост: в случае удачи можно было перевооружить все имеющиеся в строевых частях самолеты И-4 пушками АПК-3.</w:t>
      </w:r>
    </w:p>
    <w:p w14:paraId="7A096037" w14:textId="77777777" w:rsidR="00FA3F27" w:rsidRPr="00142305" w:rsidRDefault="00FA3F27" w:rsidP="00FA3F2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Об этом говорилось и на совещании, которое проводил начальник ВВС РККА Яков Алкснис: «… Ускорить работу по установке пушек калибра 65 мм на И-4. Если получим удовлетворительные результаты, то нужно в кратчайший срок вооружить имеющиеся самолеты И-4 этими пушками… Курчевскому доработать АПК-3, чтобы в апреле — мае 1933 г. провести госиспытания… ЦАГИ установить пушки на самолет И-4 и предъявить в НИИ ВВС».</w:t>
      </w:r>
    </w:p>
    <w:p w14:paraId="54BD1B42" w14:textId="77777777" w:rsidR="00FA3F27" w:rsidRPr="00142305" w:rsidRDefault="00FA3F27" w:rsidP="00FA3F2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Из пушек на земле без самолета провели 10 выстрелов снарядами 2,6 кг с зарядом 0,425 кг. Средняя скорость оказалась 280 м/с вместо 500 м/с расчетной. По результатам испытаний была проведена доделка пушек, закончившаяся лишь осенью 1932 г. После переделки они получили название АПК-3бис (25213).</w:t>
      </w:r>
    </w:p>
    <w:p w14:paraId="75CBA7C9" w14:textId="77777777" w:rsidR="00FA3F27" w:rsidRPr="00142305" w:rsidRDefault="00FA3F27" w:rsidP="00FA3F27">
      <w:pPr>
        <w:spacing w:after="0" w:line="240" w:lineRule="auto"/>
        <w:jc w:val="both"/>
        <w:rPr>
          <w:rFonts w:ascii="Times New Roman" w:hAnsi="Times New Roman"/>
          <w:color w:val="0070C0"/>
          <w:sz w:val="16"/>
          <w:szCs w:val="16"/>
        </w:rPr>
      </w:pPr>
    </w:p>
    <w:p w14:paraId="1706465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6C42A0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8C3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началась постройка АНТ-25 (514).</w:t>
      </w:r>
    </w:p>
    <w:p w14:paraId="3367B2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Закладка началась еще до того, как были закончены чертежи (554,5).</w:t>
      </w:r>
    </w:p>
    <w:p w14:paraId="2C3793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 приступили к выпуску чертежей (2072,71).</w:t>
      </w:r>
    </w:p>
    <w:p w14:paraId="6B1B7A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438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завод опытных конструкций ЦАГИ (30К ЦАГИ), вступивший в строй в январе 1932 г., приступил к изготовлению РД.</w:t>
      </w:r>
    </w:p>
    <w:p w14:paraId="72E2F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РД представлял собой цельнометаллический моноплан со значительным размахом (34.0 м) и удлинением крыла (13,4). Конструктивно крыло состояло из двух силовых лонжеронов, воспринимающих основную нагрузку, и третьего добавочного лонжерона, на котором крепились узлы навески элеронов. Обшивка крыла, как и на всех предыдущих самолетах ЦАГИ, была выполнена из гофрированного дюралюминия, с выступающими наружу полками нервюр. Бен зиновые баки общей емкостью 10230 литров разместили в пространстве между 1-м и 2-м лонжеронами отъемной части крыла.</w:t>
      </w:r>
    </w:p>
    <w:p w14:paraId="08D47D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Отъемная часть крыла в процессе сборки первого экземпляра РД-1. В пространстве между первым и вторым лонжеронами виден крыльевой топливный бак и часть купола для уборки колеса</w:t>
      </w:r>
    </w:p>
    <w:p w14:paraId="5AEC2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 при общей длине самолета 13,4 м, состоял из двух частей. Его передняя часть, выполненная заодно с центропланом, представляла ферменную конструкцию из труб и профилей. Задняя часть фюзеляжа - монокок овального сечения с гладкой дюралевой обшивкой.Горизонтальное оперение, высоко поднятое над фюзеляжем, как и крыло, имело гофрированную обшивку, рули снабжены аэродинамической компенсацией и флеттнерами.</w:t>
      </w:r>
    </w:p>
    <w:p w14:paraId="312072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оборудовали убираемым шасси, спаренные колеса которого размером 900x250 мм наполовину прятались в центроплан, а выступающая часть прикрывалась специальным обтекателем. Третью опору шасси в хвостовой части первоначально выполнили в виде мощ ного подрессоренного костыля с пяткой. На практике вместо костыля оборудовали полубаллонное колесо размером 325x200 мм в обтекателе.</w:t>
      </w:r>
    </w:p>
    <w:p w14:paraId="44DEA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Стабилизатор, обшитый гофрированными листами, закреплен на узлах вертикального оперения</w:t>
      </w:r>
    </w:p>
    <w:p w14:paraId="2D8D9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12D33B" w14:textId="77777777" w:rsidR="001E30C2" w:rsidRPr="00E93F40" w:rsidRDefault="001E30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1-го июня 1932 началось изготовление РД, который предполагалось выпустить к 1 мая 1933 года. Но его постройка затяну</w:t>
      </w:r>
      <w:r w:rsidRPr="00E93F40">
        <w:rPr>
          <w:rFonts w:ascii="Times New Roman" w:hAnsi="Times New Roman"/>
          <w:color w:val="000000" w:themeColor="text1"/>
          <w:sz w:val="16"/>
          <w:szCs w:val="16"/>
        </w:rPr>
        <w:softHyphen/>
        <w:t>лась, и первый полет машины, получив</w:t>
      </w:r>
      <w:r w:rsidRPr="00E93F40">
        <w:rPr>
          <w:rFonts w:ascii="Times New Roman" w:hAnsi="Times New Roman"/>
          <w:color w:val="000000" w:themeColor="text1"/>
          <w:sz w:val="16"/>
          <w:szCs w:val="16"/>
        </w:rPr>
        <w:softHyphen/>
        <w:t>шей еще одно обозначение АНТ-25, с дви</w:t>
      </w:r>
      <w:r w:rsidRPr="00E93F40">
        <w:rPr>
          <w:rFonts w:ascii="Times New Roman" w:hAnsi="Times New Roman"/>
          <w:color w:val="000000" w:themeColor="text1"/>
          <w:sz w:val="16"/>
          <w:szCs w:val="16"/>
        </w:rPr>
        <w:softHyphen/>
        <w:t>гателем М-34, пилотируемый Михаилом Громовым, состоялся 22 июня того же года с Центрального аэродрома столицы СССР (12725).</w:t>
      </w:r>
    </w:p>
    <w:p w14:paraId="693E47B6" w14:textId="77777777" w:rsidR="001E30C2" w:rsidRPr="00E93F40" w:rsidRDefault="001E30C2" w:rsidP="00E93F40">
      <w:pPr>
        <w:spacing w:after="0" w:line="240" w:lineRule="auto"/>
        <w:jc w:val="both"/>
        <w:rPr>
          <w:rFonts w:ascii="Times New Roman" w:hAnsi="Times New Roman"/>
          <w:color w:val="000000" w:themeColor="text1"/>
          <w:sz w:val="16"/>
          <w:szCs w:val="16"/>
        </w:rPr>
      </w:pPr>
    </w:p>
    <w:p w14:paraId="135CADC2" w14:textId="77777777" w:rsidR="0031632D" w:rsidRPr="00E93F40" w:rsidRDefault="0031632D" w:rsidP="00E93F4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 июня 1932 года началась постройка АНТ-25 №1, а уже через год, 22 июня 1933 года М.М. Громов выполнил первый полет на этой машине (21249).</w:t>
      </w:r>
    </w:p>
    <w:p w14:paraId="65829715" w14:textId="77777777" w:rsidR="0031632D" w:rsidRPr="00E93F40" w:rsidRDefault="0031632D" w:rsidP="00E93F40">
      <w:pPr>
        <w:spacing w:after="0" w:line="240" w:lineRule="auto"/>
        <w:jc w:val="both"/>
        <w:rPr>
          <w:rFonts w:ascii="Times New Roman" w:hAnsi="Times New Roman"/>
          <w:color w:val="000000" w:themeColor="text1"/>
          <w:sz w:val="16"/>
          <w:szCs w:val="16"/>
          <w:lang w:eastAsia="ru-RU" w:bidi="ru-RU"/>
        </w:rPr>
      </w:pPr>
    </w:p>
    <w:p w14:paraId="1DABCD79"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 после детальной прора</w:t>
      </w:r>
      <w:r w:rsidRPr="00E93F40">
        <w:rPr>
          <w:rFonts w:ascii="Times New Roman" w:hAnsi="Times New Roman"/>
          <w:color w:val="000000" w:themeColor="text1"/>
          <w:sz w:val="16"/>
          <w:szCs w:val="16"/>
        </w:rPr>
        <w:softHyphen/>
        <w:t>ботки конструкции, приступили к вы</w:t>
      </w:r>
      <w:r w:rsidRPr="00E93F40">
        <w:rPr>
          <w:rFonts w:ascii="Times New Roman" w:hAnsi="Times New Roman"/>
          <w:color w:val="000000" w:themeColor="text1"/>
          <w:sz w:val="16"/>
          <w:szCs w:val="16"/>
        </w:rPr>
        <w:softHyphen/>
        <w:t>пуску чертежей и постройке машины АНТ-25. Ведущим инженером по АНТ—25 был назначен П.О. Сухой, за отдельные аг</w:t>
      </w:r>
      <w:r w:rsidRPr="00E93F40">
        <w:rPr>
          <w:rFonts w:ascii="Times New Roman" w:hAnsi="Times New Roman"/>
          <w:color w:val="000000" w:themeColor="text1"/>
          <w:sz w:val="16"/>
          <w:szCs w:val="16"/>
        </w:rPr>
        <w:softHyphen/>
        <w:t>регаты отвечали: В.М. Петляков, В.Н. Бе</w:t>
      </w:r>
      <w:r w:rsidRPr="00E93F40">
        <w:rPr>
          <w:rFonts w:ascii="Times New Roman" w:hAnsi="Times New Roman"/>
          <w:color w:val="000000" w:themeColor="text1"/>
          <w:sz w:val="16"/>
          <w:szCs w:val="16"/>
        </w:rPr>
        <w:softHyphen/>
        <w:t>ляев — крыло, Н.С. Некрасов, И.С. Лебедев — консоли крыла, Н.С. Некрасов, Д.А. Ромейко-Гурко — оперение, Е.И. Погосский, К.В. Минкнер — мотооборудова</w:t>
      </w:r>
      <w:r w:rsidRPr="00E93F40">
        <w:rPr>
          <w:rFonts w:ascii="Times New Roman" w:hAnsi="Times New Roman"/>
          <w:color w:val="000000" w:themeColor="text1"/>
          <w:sz w:val="16"/>
          <w:szCs w:val="16"/>
        </w:rPr>
        <w:softHyphen/>
        <w:t>ние, Т.П. Сапрыкин, А.Г. Агладзе, Кожев</w:t>
      </w:r>
      <w:r w:rsidRPr="00E93F40">
        <w:rPr>
          <w:rFonts w:ascii="Times New Roman" w:hAnsi="Times New Roman"/>
          <w:color w:val="000000" w:themeColor="text1"/>
          <w:sz w:val="16"/>
          <w:szCs w:val="16"/>
        </w:rPr>
        <w:softHyphen/>
        <w:t>ников — шасси, Г.О. Бертош, Н.А. Фомин, Осипов — фюзеляж, И.В. Протопопов, Зу</w:t>
      </w:r>
      <w:r w:rsidRPr="00E93F40">
        <w:rPr>
          <w:rFonts w:ascii="Times New Roman" w:hAnsi="Times New Roman"/>
          <w:color w:val="000000" w:themeColor="text1"/>
          <w:sz w:val="16"/>
          <w:szCs w:val="16"/>
        </w:rPr>
        <w:softHyphen/>
        <w:t>ев — хвостовая часть фюзеляжа, А.А. Енгибарян — электро- и навигационное обо</w:t>
      </w:r>
      <w:r w:rsidRPr="00E93F40">
        <w:rPr>
          <w:rFonts w:ascii="Times New Roman" w:hAnsi="Times New Roman"/>
          <w:color w:val="000000" w:themeColor="text1"/>
          <w:sz w:val="16"/>
          <w:szCs w:val="16"/>
        </w:rPr>
        <w:softHyphen/>
        <w:t>рудование, СЛ. Белкин, А.В. Гришин — винт. К конструированию самолета подключи</w:t>
      </w:r>
      <w:r w:rsidRPr="00E93F40">
        <w:rPr>
          <w:rFonts w:ascii="Times New Roman" w:hAnsi="Times New Roman"/>
          <w:color w:val="000000" w:themeColor="text1"/>
          <w:sz w:val="16"/>
          <w:szCs w:val="16"/>
        </w:rPr>
        <w:softHyphen/>
        <w:t>ли все подразделения КБ.</w:t>
      </w:r>
    </w:p>
    <w:p w14:paraId="62F66D4D"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Создание рекордного самолета потре</w:t>
      </w:r>
      <w:r w:rsidRPr="00E93F40">
        <w:rPr>
          <w:rFonts w:ascii="Times New Roman" w:hAnsi="Times New Roman"/>
          <w:color w:val="000000" w:themeColor="text1"/>
          <w:sz w:val="16"/>
          <w:szCs w:val="16"/>
        </w:rPr>
        <w:softHyphen/>
        <w:t>бовало от конструкторов решения ряда новых задач. Для координации работ всех заинтересованных организаций был создан комитет под председательством К.Е. Воро</w:t>
      </w:r>
      <w:r w:rsidRPr="00E93F40">
        <w:rPr>
          <w:rFonts w:ascii="Times New Roman" w:hAnsi="Times New Roman"/>
          <w:color w:val="000000" w:themeColor="text1"/>
          <w:sz w:val="16"/>
          <w:szCs w:val="16"/>
        </w:rPr>
        <w:softHyphen/>
        <w:t>шилова. Впервые в СССР на Щелковском аэродроме была построена взлетная поло</w:t>
      </w:r>
      <w:r w:rsidRPr="00E93F40">
        <w:rPr>
          <w:rFonts w:ascii="Times New Roman" w:hAnsi="Times New Roman"/>
          <w:color w:val="000000" w:themeColor="text1"/>
          <w:sz w:val="16"/>
          <w:szCs w:val="16"/>
        </w:rPr>
        <w:softHyphen/>
        <w:t>са длиной 1800 м с твердым покрытием и 12-метровой горкой в ее начале. Много сложностей доставило крыло с удлинени</w:t>
      </w:r>
      <w:r w:rsidRPr="00E93F40">
        <w:rPr>
          <w:rFonts w:ascii="Times New Roman" w:hAnsi="Times New Roman"/>
          <w:color w:val="000000" w:themeColor="text1"/>
          <w:sz w:val="16"/>
          <w:szCs w:val="16"/>
        </w:rPr>
        <w:softHyphen/>
        <w:t>ем 13,1, ранее в авиационной практике не встречавшееся. Его прочность пришлось считать по специально разработанной ме</w:t>
      </w:r>
      <w:r w:rsidRPr="00E93F40">
        <w:rPr>
          <w:rFonts w:ascii="Times New Roman" w:hAnsi="Times New Roman"/>
          <w:color w:val="000000" w:themeColor="text1"/>
          <w:sz w:val="16"/>
          <w:szCs w:val="16"/>
        </w:rPr>
        <w:softHyphen/>
        <w:t>тодике. Выяснилось, что по прочностным соображениям обшивку крыла придется делать из гофрированного дюраля. И это несмотря на разгрузку, получаемую за счет расположенного в крыле топлива.</w:t>
      </w:r>
    </w:p>
    <w:p w14:paraId="22CC14B7"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теоретическим сложностям при</w:t>
      </w:r>
      <w:r w:rsidRPr="00E93F40">
        <w:rPr>
          <w:rFonts w:ascii="Times New Roman" w:hAnsi="Times New Roman"/>
          <w:color w:val="000000" w:themeColor="text1"/>
          <w:sz w:val="16"/>
          <w:szCs w:val="16"/>
        </w:rPr>
        <w:softHyphen/>
        <w:t>бавлялись и практические. Например, как из отдельных кусков труб собрать фермен</w:t>
      </w:r>
      <w:r w:rsidRPr="00E93F40">
        <w:rPr>
          <w:rFonts w:ascii="Times New Roman" w:hAnsi="Times New Roman"/>
          <w:color w:val="000000" w:themeColor="text1"/>
          <w:sz w:val="16"/>
          <w:szCs w:val="16"/>
        </w:rPr>
        <w:softHyphen/>
        <w:t>ные лонжероны крыла? Для 1932 г. задача была весьма непростой. Так вспоминал об этом ведущий конструктор И.И. Ба</w:t>
      </w:r>
      <w:r w:rsidRPr="00E93F40">
        <w:rPr>
          <w:rFonts w:ascii="Times New Roman" w:hAnsi="Times New Roman"/>
          <w:color w:val="000000" w:themeColor="text1"/>
          <w:sz w:val="16"/>
          <w:szCs w:val="16"/>
        </w:rPr>
        <w:softHyphen/>
        <w:t>ранов: «Разместить на площадях АГОСа плаз длиной 16 метров для изготовления лонжерона крыла самолета РД было просто невозможно. Решили собирать лонжероны на ЗОКе — заводе опытных конструкций. Он еще только строился, главный корпус стоял без крыши и мы приютились в южной пристройке. Кры</w:t>
      </w:r>
      <w:r w:rsidRPr="00E93F40">
        <w:rPr>
          <w:rFonts w:ascii="Times New Roman" w:hAnsi="Times New Roman"/>
          <w:color w:val="000000" w:themeColor="text1"/>
          <w:sz w:val="16"/>
          <w:szCs w:val="16"/>
        </w:rPr>
        <w:softHyphen/>
        <w:t>ша там была, но не было стекол в рамах. Спасаясь от снега и ветра, мы забили оконные рамы фанерой, а тепло поддер</w:t>
      </w:r>
      <w:r w:rsidRPr="00E93F40">
        <w:rPr>
          <w:rFonts w:ascii="Times New Roman" w:hAnsi="Times New Roman"/>
          <w:color w:val="000000" w:themeColor="text1"/>
          <w:sz w:val="16"/>
          <w:szCs w:val="16"/>
        </w:rPr>
        <w:softHyphen/>
        <w:t>живали «буржуйкой», в которой часто отжигали дюралевые заклепки.</w:t>
      </w:r>
    </w:p>
    <w:p w14:paraId="0A437FFC"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 время длинные дюралевые трубы не изготавливались, поэтому пояса лон</w:t>
      </w:r>
      <w:r w:rsidRPr="00E93F40">
        <w:rPr>
          <w:rFonts w:ascii="Times New Roman" w:hAnsi="Times New Roman"/>
          <w:color w:val="000000" w:themeColor="text1"/>
          <w:sz w:val="16"/>
          <w:szCs w:val="16"/>
        </w:rPr>
        <w:softHyphen/>
        <w:t>жеронов состояли из пяти частей. Соеди</w:t>
      </w:r>
      <w:r w:rsidRPr="00E93F40">
        <w:rPr>
          <w:rFonts w:ascii="Times New Roman" w:hAnsi="Times New Roman"/>
          <w:color w:val="000000" w:themeColor="text1"/>
          <w:sz w:val="16"/>
          <w:szCs w:val="16"/>
        </w:rPr>
        <w:softHyphen/>
        <w:t>нить их телескопически, приклепать узлы и косынки для нервюр и бензобаков ока</w:t>
      </w:r>
      <w:r w:rsidRPr="00E93F40">
        <w:rPr>
          <w:rFonts w:ascii="Times New Roman" w:hAnsi="Times New Roman"/>
          <w:color w:val="000000" w:themeColor="text1"/>
          <w:sz w:val="16"/>
          <w:szCs w:val="16"/>
        </w:rPr>
        <w:softHyphen/>
        <w:t>залось (для того времени) очень непросто. Потребовалась серьезная подготовка: помимо изготовления плаза надо было сделать поддержки (мы их называли «ля</w:t>
      </w:r>
      <w:r w:rsidRPr="00E93F40">
        <w:rPr>
          <w:rFonts w:ascii="Times New Roman" w:hAnsi="Times New Roman"/>
          <w:color w:val="000000" w:themeColor="text1"/>
          <w:sz w:val="16"/>
          <w:szCs w:val="16"/>
        </w:rPr>
        <w:softHyphen/>
        <w:t>гушками») и молотки определенного веса, в соответствии с диаметрами заклепок.</w:t>
      </w:r>
    </w:p>
    <w:p w14:paraId="5A918F4E"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того как мы собрали первый пояс лонжерона, к нам в мастерскую за</w:t>
      </w:r>
      <w:r w:rsidRPr="00E93F40">
        <w:rPr>
          <w:rFonts w:ascii="Times New Roman" w:hAnsi="Times New Roman"/>
          <w:color w:val="000000" w:themeColor="text1"/>
          <w:sz w:val="16"/>
          <w:szCs w:val="16"/>
        </w:rPr>
        <w:softHyphen/>
        <w:t>шел Туполев. Он внимательно осмотрел пояс и остался доволен — трубы были без царапин и забоин, у головок заклепок был хороший вид. Неожиданно Андрей Николаевич задал вопрос: «Хорошо ли вы расклепали заклепки внутри труб? Может, они у вас загнуты, как гвозди в кимровских кожаных сапогах?» В то время ОТК не было, мы сами контролировали качество и не допускали плохой работы. И все же пришлось приспособить пери</w:t>
      </w:r>
      <w:r w:rsidRPr="00E93F40">
        <w:rPr>
          <w:rFonts w:ascii="Times New Roman" w:hAnsi="Times New Roman"/>
          <w:color w:val="000000" w:themeColor="text1"/>
          <w:sz w:val="16"/>
          <w:szCs w:val="16"/>
        </w:rPr>
        <w:softHyphen/>
        <w:t>скопический глазок, при помощи которого на всей длине (15 метров!) мы осматривали каждую заклепку. Туполев долго рассма</w:t>
      </w:r>
      <w:r w:rsidRPr="00E93F40">
        <w:rPr>
          <w:rFonts w:ascii="Times New Roman" w:hAnsi="Times New Roman"/>
          <w:color w:val="000000" w:themeColor="text1"/>
          <w:sz w:val="16"/>
          <w:szCs w:val="16"/>
        </w:rPr>
        <w:softHyphen/>
        <w:t>тривал наши «лягушки», расспрашивал как мы подбирали и отжигали заклепки...».</w:t>
      </w:r>
    </w:p>
    <w:p w14:paraId="1D339C59"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полет самолета состоялся 22 июня 1933 года.</w:t>
      </w:r>
    </w:p>
    <w:p w14:paraId="6001C338"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Построено два экземпляра.</w:t>
      </w:r>
    </w:p>
    <w:p w14:paraId="3EAB20B9"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определенный интерес военных к этой разработке, АНТ—25 остался исключительно мирной машиной, принесшей СССР первый абсолютный рекорд дальности полета по прямой (23474).</w:t>
      </w:r>
    </w:p>
    <w:p w14:paraId="461329D4" w14:textId="77777777" w:rsidR="002E08F7" w:rsidRPr="00E93F40" w:rsidRDefault="002E08F7" w:rsidP="00E93F40">
      <w:pPr>
        <w:spacing w:after="0" w:line="240" w:lineRule="auto"/>
        <w:jc w:val="both"/>
        <w:rPr>
          <w:rFonts w:ascii="Times New Roman" w:hAnsi="Times New Roman"/>
          <w:color w:val="000000" w:themeColor="text1"/>
          <w:sz w:val="16"/>
          <w:szCs w:val="16"/>
        </w:rPr>
      </w:pPr>
    </w:p>
    <w:p w14:paraId="683894F0"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 после детальной про</w:t>
      </w:r>
      <w:r w:rsidRPr="00E93F40">
        <w:rPr>
          <w:rFonts w:ascii="Times New Roman" w:hAnsi="Times New Roman"/>
          <w:color w:val="000000" w:themeColor="text1"/>
          <w:sz w:val="16"/>
          <w:szCs w:val="16"/>
        </w:rPr>
        <w:softHyphen/>
        <w:t>работки конструкции будущего АНТ-25 конструкторская группа приступила к вы</w:t>
      </w:r>
      <w:r w:rsidRPr="00E93F40">
        <w:rPr>
          <w:rFonts w:ascii="Times New Roman" w:hAnsi="Times New Roman"/>
          <w:color w:val="000000" w:themeColor="text1"/>
          <w:sz w:val="16"/>
          <w:szCs w:val="16"/>
        </w:rPr>
        <w:softHyphen/>
        <w:t>пуску чертежей и постройке машины.</w:t>
      </w:r>
    </w:p>
    <w:p w14:paraId="5DB69CBE"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самолёта сложилась сразу и менялась только в части обору</w:t>
      </w:r>
      <w:r w:rsidRPr="00E93F40">
        <w:rPr>
          <w:rFonts w:ascii="Times New Roman" w:hAnsi="Times New Roman"/>
          <w:color w:val="000000" w:themeColor="text1"/>
          <w:sz w:val="16"/>
          <w:szCs w:val="16"/>
        </w:rPr>
        <w:softHyphen/>
        <w:t>дования, во многом нового. Так, впер</w:t>
      </w:r>
      <w:r w:rsidRPr="00E93F40">
        <w:rPr>
          <w:rFonts w:ascii="Times New Roman" w:hAnsi="Times New Roman"/>
          <w:color w:val="000000" w:themeColor="text1"/>
          <w:sz w:val="16"/>
          <w:szCs w:val="16"/>
        </w:rPr>
        <w:softHyphen/>
        <w:t>вые в СССР была предусмотрена уста</w:t>
      </w:r>
      <w:r w:rsidRPr="00E93F40">
        <w:rPr>
          <w:rFonts w:ascii="Times New Roman" w:hAnsi="Times New Roman"/>
          <w:color w:val="000000" w:themeColor="text1"/>
          <w:sz w:val="16"/>
          <w:szCs w:val="16"/>
        </w:rPr>
        <w:softHyphen/>
        <w:t>новка электрифицированного механиз</w:t>
      </w:r>
      <w:r w:rsidRPr="00E93F40">
        <w:rPr>
          <w:rFonts w:ascii="Times New Roman" w:hAnsi="Times New Roman"/>
          <w:color w:val="000000" w:themeColor="text1"/>
          <w:sz w:val="16"/>
          <w:szCs w:val="16"/>
        </w:rPr>
        <w:softHyphen/>
        <w:t>ма подъёма и выпуска шасси, закрытых фонарей кабины экипажа, использова</w:t>
      </w:r>
      <w:r w:rsidRPr="00E93F40">
        <w:rPr>
          <w:rFonts w:ascii="Times New Roman" w:hAnsi="Times New Roman"/>
          <w:color w:val="000000" w:themeColor="text1"/>
          <w:sz w:val="16"/>
          <w:szCs w:val="16"/>
        </w:rPr>
        <w:softHyphen/>
        <w:t>ние гладкой обшивки фюзеляжа, а в ра</w:t>
      </w:r>
      <w:r w:rsidRPr="00E93F40">
        <w:rPr>
          <w:rFonts w:ascii="Times New Roman" w:hAnsi="Times New Roman"/>
          <w:color w:val="000000" w:themeColor="text1"/>
          <w:sz w:val="16"/>
          <w:szCs w:val="16"/>
        </w:rPr>
        <w:softHyphen/>
        <w:t>диооборудование включена приёмо-пе</w:t>
      </w:r>
      <w:r w:rsidRPr="00E93F40">
        <w:rPr>
          <w:rFonts w:ascii="Times New Roman" w:hAnsi="Times New Roman"/>
          <w:color w:val="000000" w:themeColor="text1"/>
          <w:sz w:val="16"/>
          <w:szCs w:val="16"/>
        </w:rPr>
        <w:softHyphen/>
        <w:t>редающая радиостанция. Первый порш</w:t>
      </w:r>
      <w:r w:rsidRPr="00E93F40">
        <w:rPr>
          <w:rFonts w:ascii="Times New Roman" w:hAnsi="Times New Roman"/>
          <w:color w:val="000000" w:themeColor="text1"/>
          <w:sz w:val="16"/>
          <w:szCs w:val="16"/>
        </w:rPr>
        <w:softHyphen/>
        <w:t>невой авиационный двигатель с водяным охлаждением М-34 мощностью 750 л.с. (позже - 850 л.с.) без редуктора оказал</w:t>
      </w:r>
      <w:r w:rsidRPr="00E93F40">
        <w:rPr>
          <w:rFonts w:ascii="Times New Roman" w:hAnsi="Times New Roman"/>
          <w:color w:val="000000" w:themeColor="text1"/>
          <w:sz w:val="16"/>
          <w:szCs w:val="16"/>
        </w:rPr>
        <w:softHyphen/>
        <w:t>ся совершенно непригодным для АНТ-25, так как обеспечивал дальность только до 7200 км. Тот же двигатель, но уже с ре</w:t>
      </w:r>
      <w:r w:rsidRPr="00E93F40">
        <w:rPr>
          <w:rFonts w:ascii="Times New Roman" w:hAnsi="Times New Roman"/>
          <w:color w:val="000000" w:themeColor="text1"/>
          <w:sz w:val="16"/>
          <w:szCs w:val="16"/>
        </w:rPr>
        <w:softHyphen/>
        <w:t>дуктором - М-34Р (редукторный вариант) в 950 л.с. обеспечил в полёте дальность до 10800 км, что так же оказалось недо</w:t>
      </w:r>
      <w:r w:rsidRPr="00E93F40">
        <w:rPr>
          <w:rFonts w:ascii="Times New Roman" w:hAnsi="Times New Roman"/>
          <w:color w:val="000000" w:themeColor="text1"/>
          <w:sz w:val="16"/>
          <w:szCs w:val="16"/>
        </w:rPr>
        <w:softHyphen/>
        <w:t>статочным, поскольку самолёт не показы</w:t>
      </w:r>
      <w:r w:rsidRPr="00E93F40">
        <w:rPr>
          <w:rFonts w:ascii="Times New Roman" w:hAnsi="Times New Roman"/>
          <w:color w:val="000000" w:themeColor="text1"/>
          <w:sz w:val="16"/>
          <w:szCs w:val="16"/>
        </w:rPr>
        <w:softHyphen/>
        <w:t>вал расчётных данных в скорости и даль</w:t>
      </w:r>
      <w:r w:rsidRPr="00E93F40">
        <w:rPr>
          <w:rFonts w:ascii="Times New Roman" w:hAnsi="Times New Roman"/>
          <w:color w:val="000000" w:themeColor="text1"/>
          <w:sz w:val="16"/>
          <w:szCs w:val="16"/>
        </w:rPr>
        <w:softHyphen/>
        <w:t>ности полёта. Поэтому проработка узлов и деталей самолёта продолжалась. Изна</w:t>
      </w:r>
      <w:r w:rsidRPr="00E93F40">
        <w:rPr>
          <w:rFonts w:ascii="Times New Roman" w:hAnsi="Times New Roman"/>
          <w:color w:val="000000" w:themeColor="text1"/>
          <w:sz w:val="16"/>
          <w:szCs w:val="16"/>
        </w:rPr>
        <w:softHyphen/>
        <w:t>чально обшивку крыла (кроме зоны кес</w:t>
      </w:r>
      <w:r w:rsidRPr="00E93F40">
        <w:rPr>
          <w:rFonts w:ascii="Times New Roman" w:hAnsi="Times New Roman"/>
          <w:color w:val="000000" w:themeColor="text1"/>
          <w:sz w:val="16"/>
          <w:szCs w:val="16"/>
        </w:rPr>
        <w:softHyphen/>
        <w:t>сона) и оперение для жёсткости выпол</w:t>
      </w:r>
      <w:r w:rsidRPr="00E93F40">
        <w:rPr>
          <w:rFonts w:ascii="Times New Roman" w:hAnsi="Times New Roman"/>
          <w:color w:val="000000" w:themeColor="text1"/>
          <w:sz w:val="16"/>
          <w:szCs w:val="16"/>
        </w:rPr>
        <w:softHyphen/>
        <w:t>нили из гофрированного кольчугалюми</w:t>
      </w:r>
      <w:r w:rsidRPr="00E93F40">
        <w:rPr>
          <w:rFonts w:ascii="Times New Roman" w:hAnsi="Times New Roman"/>
          <w:color w:val="000000" w:themeColor="text1"/>
          <w:sz w:val="16"/>
          <w:szCs w:val="16"/>
        </w:rPr>
        <w:softHyphen/>
        <w:t>ния. Тогда же, для достижения расчёт</w:t>
      </w:r>
      <w:r w:rsidRPr="00E93F40">
        <w:rPr>
          <w:rFonts w:ascii="Times New Roman" w:hAnsi="Times New Roman"/>
          <w:color w:val="000000" w:themeColor="text1"/>
          <w:sz w:val="16"/>
          <w:szCs w:val="16"/>
        </w:rPr>
        <w:softHyphen/>
        <w:t>ных данных, были приняты радикальные меры по улучшению и аэродинамики са</w:t>
      </w:r>
      <w:r w:rsidRPr="00E93F40">
        <w:rPr>
          <w:rFonts w:ascii="Times New Roman" w:hAnsi="Times New Roman"/>
          <w:color w:val="000000" w:themeColor="text1"/>
          <w:sz w:val="16"/>
          <w:szCs w:val="16"/>
        </w:rPr>
        <w:softHyphen/>
        <w:t>молёта - всё крыло и оперение были об</w:t>
      </w:r>
      <w:r w:rsidRPr="00E93F40">
        <w:rPr>
          <w:rFonts w:ascii="Times New Roman" w:hAnsi="Times New Roman"/>
          <w:color w:val="000000" w:themeColor="text1"/>
          <w:sz w:val="16"/>
          <w:szCs w:val="16"/>
        </w:rPr>
        <w:softHyphen/>
        <w:t>шиты полотном (перкалью) поверх гофри</w:t>
      </w:r>
      <w:r w:rsidRPr="00E93F40">
        <w:rPr>
          <w:rFonts w:ascii="Times New Roman" w:hAnsi="Times New Roman"/>
          <w:color w:val="000000" w:themeColor="text1"/>
          <w:sz w:val="16"/>
          <w:szCs w:val="16"/>
        </w:rPr>
        <w:softHyphen/>
        <w:t>рованной обшивки, вызывавшей большое сопротивление трения воздуха, что и дало возможность достичь заданной расчёт</w:t>
      </w:r>
      <w:r w:rsidRPr="00E93F40">
        <w:rPr>
          <w:rFonts w:ascii="Times New Roman" w:hAnsi="Times New Roman"/>
          <w:color w:val="000000" w:themeColor="text1"/>
          <w:sz w:val="16"/>
          <w:szCs w:val="16"/>
        </w:rPr>
        <w:softHyphen/>
        <w:t>ной дальности полёта в 13 000 км при его продолжительности 80 часов.</w:t>
      </w:r>
    </w:p>
    <w:p w14:paraId="41A811E5"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Самолёт АНТ-25 строился по схеме трёхместного цельнометаллического низ</w:t>
      </w:r>
      <w:r w:rsidRPr="00E93F40">
        <w:rPr>
          <w:rFonts w:ascii="Times New Roman" w:hAnsi="Times New Roman"/>
          <w:color w:val="000000" w:themeColor="text1"/>
          <w:sz w:val="16"/>
          <w:szCs w:val="16"/>
        </w:rPr>
        <w:softHyphen/>
        <w:t>коплана с одним двигателем конструк</w:t>
      </w:r>
      <w:r w:rsidRPr="00E93F40">
        <w:rPr>
          <w:rFonts w:ascii="Times New Roman" w:hAnsi="Times New Roman"/>
          <w:color w:val="000000" w:themeColor="text1"/>
          <w:sz w:val="16"/>
          <w:szCs w:val="16"/>
        </w:rPr>
        <w:softHyphen/>
        <w:t>ции А.А. Микулина М-34 с крылом площа</w:t>
      </w:r>
      <w:r w:rsidRPr="00E93F40">
        <w:rPr>
          <w:rFonts w:ascii="Times New Roman" w:hAnsi="Times New Roman"/>
          <w:color w:val="000000" w:themeColor="text1"/>
          <w:sz w:val="16"/>
          <w:szCs w:val="16"/>
        </w:rPr>
        <w:softHyphen/>
        <w:t>дью 87,1 м2 и необычно большим удли</w:t>
      </w:r>
      <w:r w:rsidRPr="00E93F40">
        <w:rPr>
          <w:rFonts w:ascii="Times New Roman" w:hAnsi="Times New Roman"/>
          <w:color w:val="000000" w:themeColor="text1"/>
          <w:sz w:val="16"/>
          <w:szCs w:val="16"/>
        </w:rPr>
        <w:softHyphen/>
        <w:t>нением 13,1 м. Снижению массы и увели</w:t>
      </w:r>
      <w:r w:rsidRPr="00E93F40">
        <w:rPr>
          <w:rFonts w:ascii="Times New Roman" w:hAnsi="Times New Roman"/>
          <w:color w:val="000000" w:themeColor="text1"/>
          <w:sz w:val="16"/>
          <w:szCs w:val="16"/>
        </w:rPr>
        <w:softHyphen/>
        <w:t>чению жесткости крыла способствовала трехлонжеронная конструктивно-сило</w:t>
      </w:r>
      <w:r w:rsidRPr="00E93F40">
        <w:rPr>
          <w:rFonts w:ascii="Times New Roman" w:hAnsi="Times New Roman"/>
          <w:color w:val="000000" w:themeColor="text1"/>
          <w:sz w:val="16"/>
          <w:szCs w:val="16"/>
        </w:rPr>
        <w:softHyphen/>
        <w:t>вая схема крыла: первые два лонжерона были связаны между собой топливными баками с использованием образовавших</w:t>
      </w:r>
      <w:r w:rsidRPr="00E93F40">
        <w:rPr>
          <w:rFonts w:ascii="Times New Roman" w:hAnsi="Times New Roman"/>
          <w:color w:val="000000" w:themeColor="text1"/>
          <w:sz w:val="16"/>
          <w:szCs w:val="16"/>
        </w:rPr>
        <w:softHyphen/>
        <w:t>ся межлонжеронных отсеков под разме</w:t>
      </w:r>
      <w:r w:rsidRPr="00E93F40">
        <w:rPr>
          <w:rFonts w:ascii="Times New Roman" w:hAnsi="Times New Roman"/>
          <w:color w:val="000000" w:themeColor="text1"/>
          <w:sz w:val="16"/>
          <w:szCs w:val="16"/>
        </w:rPr>
        <w:softHyphen/>
        <w:t>щение топливных баков (длина каждого достигала 7 м), топливо из которых в по</w:t>
      </w:r>
      <w:r w:rsidRPr="00E93F40">
        <w:rPr>
          <w:rFonts w:ascii="Times New Roman" w:hAnsi="Times New Roman"/>
          <w:color w:val="000000" w:themeColor="text1"/>
          <w:sz w:val="16"/>
          <w:szCs w:val="16"/>
        </w:rPr>
        <w:softHyphen/>
        <w:t>лёте вырабатывалось по определённо</w:t>
      </w:r>
      <w:r w:rsidRPr="00E93F40">
        <w:rPr>
          <w:rFonts w:ascii="Times New Roman" w:hAnsi="Times New Roman"/>
          <w:color w:val="000000" w:themeColor="text1"/>
          <w:sz w:val="16"/>
          <w:szCs w:val="16"/>
        </w:rPr>
        <w:softHyphen/>
        <w:t>му закону. Такое техническое решение по</w:t>
      </w:r>
      <w:r w:rsidRPr="00E93F40">
        <w:rPr>
          <w:rFonts w:ascii="Times New Roman" w:hAnsi="Times New Roman"/>
          <w:color w:val="000000" w:themeColor="text1"/>
          <w:sz w:val="16"/>
          <w:szCs w:val="16"/>
        </w:rPr>
        <w:softHyphen/>
        <w:t>зволило конструкторам разгрузить кры</w:t>
      </w:r>
      <w:r w:rsidRPr="00E93F40">
        <w:rPr>
          <w:rFonts w:ascii="Times New Roman" w:hAnsi="Times New Roman"/>
          <w:color w:val="000000" w:themeColor="text1"/>
          <w:sz w:val="16"/>
          <w:szCs w:val="16"/>
        </w:rPr>
        <w:softHyphen/>
        <w:t>ло от воздушных нагрузок и значительно снизить массу конструкции крыла (уве</w:t>
      </w:r>
      <w:r w:rsidRPr="00E93F40">
        <w:rPr>
          <w:rFonts w:ascii="Times New Roman" w:hAnsi="Times New Roman"/>
          <w:color w:val="000000" w:themeColor="text1"/>
          <w:sz w:val="16"/>
          <w:szCs w:val="16"/>
        </w:rPr>
        <w:softHyphen/>
        <w:t>личить его запас прочности) и позволя</w:t>
      </w:r>
      <w:r w:rsidRPr="00E93F40">
        <w:rPr>
          <w:rFonts w:ascii="Times New Roman" w:hAnsi="Times New Roman"/>
          <w:color w:val="000000" w:themeColor="text1"/>
          <w:sz w:val="16"/>
          <w:szCs w:val="16"/>
        </w:rPr>
        <w:softHyphen/>
        <w:t>ло поднять в воздух достаточное количе</w:t>
      </w:r>
      <w:r w:rsidRPr="00E93F40">
        <w:rPr>
          <w:rFonts w:ascii="Times New Roman" w:hAnsi="Times New Roman"/>
          <w:color w:val="000000" w:themeColor="text1"/>
          <w:sz w:val="16"/>
          <w:szCs w:val="16"/>
        </w:rPr>
        <w:softHyphen/>
        <w:t>ство горючего для сверхдальнего пере</w:t>
      </w:r>
      <w:r w:rsidRPr="00E93F40">
        <w:rPr>
          <w:rFonts w:ascii="Times New Roman" w:hAnsi="Times New Roman"/>
          <w:color w:val="000000" w:themeColor="text1"/>
          <w:sz w:val="16"/>
          <w:szCs w:val="16"/>
        </w:rPr>
        <w:softHyphen/>
        <w:t>лёта (всё это уменьшало силу тяги двига</w:t>
      </w:r>
      <w:r w:rsidRPr="00E93F40">
        <w:rPr>
          <w:rFonts w:ascii="Times New Roman" w:hAnsi="Times New Roman"/>
          <w:color w:val="000000" w:themeColor="text1"/>
          <w:sz w:val="16"/>
          <w:szCs w:val="16"/>
        </w:rPr>
        <w:softHyphen/>
        <w:t>теля, а следовательно, сокращало расход горючего, что было очень важно для дли</w:t>
      </w:r>
      <w:r w:rsidRPr="00E93F40">
        <w:rPr>
          <w:rFonts w:ascii="Times New Roman" w:hAnsi="Times New Roman"/>
          <w:color w:val="000000" w:themeColor="text1"/>
          <w:sz w:val="16"/>
          <w:szCs w:val="16"/>
        </w:rPr>
        <w:softHyphen/>
        <w:t>тельных полётов). На третьем лонжероне были установлены узлы крепления эле</w:t>
      </w:r>
      <w:r w:rsidRPr="00E93F40">
        <w:rPr>
          <w:rFonts w:ascii="Times New Roman" w:hAnsi="Times New Roman"/>
          <w:color w:val="000000" w:themeColor="text1"/>
          <w:sz w:val="16"/>
          <w:szCs w:val="16"/>
        </w:rPr>
        <w:softHyphen/>
        <w:t>ронов. До АНТ-25 машин с такими узки</w:t>
      </w:r>
      <w:r w:rsidRPr="00E93F40">
        <w:rPr>
          <w:rFonts w:ascii="Times New Roman" w:hAnsi="Times New Roman"/>
          <w:color w:val="000000" w:themeColor="text1"/>
          <w:sz w:val="16"/>
          <w:szCs w:val="16"/>
        </w:rPr>
        <w:softHyphen/>
        <w:t>ми и длинными консолями в СССР ещё не существовало.</w:t>
      </w:r>
    </w:p>
    <w:p w14:paraId="67C3551B"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Передняя часть фюзеляжа была ферменной конструкции и выполня</w:t>
      </w:r>
      <w:r w:rsidRPr="00E93F40">
        <w:rPr>
          <w:rFonts w:ascii="Times New Roman" w:hAnsi="Times New Roman"/>
          <w:color w:val="000000" w:themeColor="text1"/>
          <w:sz w:val="16"/>
          <w:szCs w:val="16"/>
        </w:rPr>
        <w:softHyphen/>
        <w:t>лась за одно целое с центропланом кры</w:t>
      </w:r>
      <w:r w:rsidRPr="00E93F40">
        <w:rPr>
          <w:rFonts w:ascii="Times New Roman" w:hAnsi="Times New Roman"/>
          <w:color w:val="000000" w:themeColor="text1"/>
          <w:sz w:val="16"/>
          <w:szCs w:val="16"/>
        </w:rPr>
        <w:softHyphen/>
        <w:t>ла. К ней крепилась моторама с двига</w:t>
      </w:r>
      <w:r w:rsidRPr="00E93F40">
        <w:rPr>
          <w:rFonts w:ascii="Times New Roman" w:hAnsi="Times New Roman"/>
          <w:color w:val="000000" w:themeColor="text1"/>
          <w:sz w:val="16"/>
          <w:szCs w:val="16"/>
        </w:rPr>
        <w:softHyphen/>
        <w:t>телем М-34, отделённая от трёхместной кабины экипажа противопожарной пе</w:t>
      </w:r>
      <w:r w:rsidRPr="00E93F40">
        <w:rPr>
          <w:rFonts w:ascii="Times New Roman" w:hAnsi="Times New Roman"/>
          <w:color w:val="000000" w:themeColor="text1"/>
          <w:sz w:val="16"/>
          <w:szCs w:val="16"/>
        </w:rPr>
        <w:softHyphen/>
        <w:t>регородкой. Хвостовая часть фюзеляжа представляла собой полумонокок с ра</w:t>
      </w:r>
      <w:r w:rsidRPr="00E93F40">
        <w:rPr>
          <w:rFonts w:ascii="Times New Roman" w:hAnsi="Times New Roman"/>
          <w:color w:val="000000" w:themeColor="text1"/>
          <w:sz w:val="16"/>
          <w:szCs w:val="16"/>
        </w:rPr>
        <w:softHyphen/>
        <w:t>ботающей обшивкой. За кабиной экипа</w:t>
      </w:r>
      <w:r w:rsidRPr="00E93F40">
        <w:rPr>
          <w:rFonts w:ascii="Times New Roman" w:hAnsi="Times New Roman"/>
          <w:color w:val="000000" w:themeColor="text1"/>
          <w:sz w:val="16"/>
          <w:szCs w:val="16"/>
        </w:rPr>
        <w:softHyphen/>
        <w:t>жа, располагавшейся в передней и хво</w:t>
      </w:r>
      <w:r w:rsidRPr="00E93F40">
        <w:rPr>
          <w:rFonts w:ascii="Times New Roman" w:hAnsi="Times New Roman"/>
          <w:color w:val="000000" w:themeColor="text1"/>
          <w:sz w:val="16"/>
          <w:szCs w:val="16"/>
        </w:rPr>
        <w:softHyphen/>
        <w:t>стовой частях фюзеляжа, фюзеляж плав</w:t>
      </w:r>
      <w:r w:rsidRPr="00E93F40">
        <w:rPr>
          <w:rFonts w:ascii="Times New Roman" w:hAnsi="Times New Roman"/>
          <w:color w:val="000000" w:themeColor="text1"/>
          <w:sz w:val="16"/>
          <w:szCs w:val="16"/>
        </w:rPr>
        <w:softHyphen/>
        <w:t>но переходил в киль, на котором раз</w:t>
      </w:r>
      <w:r w:rsidRPr="00E93F40">
        <w:rPr>
          <w:rFonts w:ascii="Times New Roman" w:hAnsi="Times New Roman"/>
          <w:color w:val="000000" w:themeColor="text1"/>
          <w:sz w:val="16"/>
          <w:szCs w:val="16"/>
        </w:rPr>
        <w:softHyphen/>
        <w:t>мещался стабилизатор с изменяемым в полёте углом установки. Обшивка фю</w:t>
      </w:r>
      <w:r w:rsidRPr="00E93F40">
        <w:rPr>
          <w:rFonts w:ascii="Times New Roman" w:hAnsi="Times New Roman"/>
          <w:color w:val="000000" w:themeColor="text1"/>
          <w:sz w:val="16"/>
          <w:szCs w:val="16"/>
        </w:rPr>
        <w:softHyphen/>
        <w:t>зеляжа выполнялась гладкой, а стаби</w:t>
      </w:r>
      <w:r w:rsidRPr="00E93F40">
        <w:rPr>
          <w:rFonts w:ascii="Times New Roman" w:hAnsi="Times New Roman"/>
          <w:color w:val="000000" w:themeColor="text1"/>
          <w:sz w:val="16"/>
          <w:szCs w:val="16"/>
        </w:rPr>
        <w:softHyphen/>
        <w:t>лизаторов и руля направления гофри</w:t>
      </w:r>
      <w:r w:rsidRPr="00E93F40">
        <w:rPr>
          <w:rFonts w:ascii="Times New Roman" w:hAnsi="Times New Roman"/>
          <w:color w:val="000000" w:themeColor="text1"/>
          <w:sz w:val="16"/>
          <w:szCs w:val="16"/>
        </w:rPr>
        <w:softHyphen/>
        <w:t>рованной. Обшивка носка и части по</w:t>
      </w:r>
      <w:r w:rsidRPr="00E93F40">
        <w:rPr>
          <w:rFonts w:ascii="Times New Roman" w:hAnsi="Times New Roman"/>
          <w:color w:val="000000" w:themeColor="text1"/>
          <w:sz w:val="16"/>
          <w:szCs w:val="16"/>
        </w:rPr>
        <w:softHyphen/>
        <w:t>верхности крыла были запроектированы гофрированными. Все эти мероприятия «туполевской команды» по снижению аэродинамического сопротивления на</w:t>
      </w:r>
      <w:r w:rsidRPr="00E93F40">
        <w:rPr>
          <w:rFonts w:ascii="Times New Roman" w:hAnsi="Times New Roman"/>
          <w:color w:val="000000" w:themeColor="text1"/>
          <w:sz w:val="16"/>
          <w:szCs w:val="16"/>
        </w:rPr>
        <w:softHyphen/>
        <w:t>прямую повлияли на достижение само</w:t>
      </w:r>
      <w:r w:rsidRPr="00E93F40">
        <w:rPr>
          <w:rFonts w:ascii="Times New Roman" w:hAnsi="Times New Roman"/>
          <w:color w:val="000000" w:themeColor="text1"/>
          <w:sz w:val="16"/>
          <w:szCs w:val="16"/>
        </w:rPr>
        <w:softHyphen/>
        <w:t>лётом заданной дальности полёта.</w:t>
      </w:r>
    </w:p>
    <w:p w14:paraId="4BA4E19F"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Трёхместная машина АНТ-25 получи</w:t>
      </w:r>
      <w:r w:rsidRPr="00E93F40">
        <w:rPr>
          <w:rFonts w:ascii="Times New Roman" w:hAnsi="Times New Roman"/>
          <w:color w:val="000000" w:themeColor="text1"/>
          <w:sz w:val="16"/>
          <w:szCs w:val="16"/>
        </w:rPr>
        <w:softHyphen/>
        <w:t>ла двойное управление. Кабина отаплива</w:t>
      </w:r>
      <w:r w:rsidRPr="00E93F40">
        <w:rPr>
          <w:rFonts w:ascii="Times New Roman" w:hAnsi="Times New Roman"/>
          <w:color w:val="000000" w:themeColor="text1"/>
          <w:sz w:val="16"/>
          <w:szCs w:val="16"/>
        </w:rPr>
        <w:softHyphen/>
        <w:t>лась воздухом, нагретым отработавшими газами двигателя. На случай вынужден</w:t>
      </w:r>
      <w:r w:rsidRPr="00E93F40">
        <w:rPr>
          <w:rFonts w:ascii="Times New Roman" w:hAnsi="Times New Roman"/>
          <w:color w:val="000000" w:themeColor="text1"/>
          <w:sz w:val="16"/>
          <w:szCs w:val="16"/>
        </w:rPr>
        <w:softHyphen/>
        <w:t>ной посадки на воду, в огромных крыльях размещались прорезиненные баллоны, наполненные воздухом, что обеспечива</w:t>
      </w:r>
      <w:r w:rsidRPr="00E93F40">
        <w:rPr>
          <w:rFonts w:ascii="Times New Roman" w:hAnsi="Times New Roman"/>
          <w:color w:val="000000" w:themeColor="text1"/>
          <w:sz w:val="16"/>
          <w:szCs w:val="16"/>
        </w:rPr>
        <w:softHyphen/>
        <w:t>ло самолёту достаточную плавучесть. По</w:t>
      </w:r>
      <w:r w:rsidRPr="00E93F40">
        <w:rPr>
          <w:rFonts w:ascii="Times New Roman" w:hAnsi="Times New Roman"/>
          <w:color w:val="000000" w:themeColor="text1"/>
          <w:sz w:val="16"/>
          <w:szCs w:val="16"/>
        </w:rPr>
        <w:softHyphen/>
        <w:t>стройка АНТ-25 стала выдающимся собы</w:t>
      </w:r>
      <w:r w:rsidRPr="00E93F40">
        <w:rPr>
          <w:rFonts w:ascii="Times New Roman" w:hAnsi="Times New Roman"/>
          <w:color w:val="000000" w:themeColor="text1"/>
          <w:sz w:val="16"/>
          <w:szCs w:val="16"/>
        </w:rPr>
        <w:softHyphen/>
        <w:t>тием не только в развитии советской, но и мировой авиационной техники (24309).</w:t>
      </w:r>
    </w:p>
    <w:p w14:paraId="0F70716C" w14:textId="77777777" w:rsidR="002E08F7" w:rsidRPr="00E93F40" w:rsidRDefault="002E08F7" w:rsidP="00E93F40">
      <w:pPr>
        <w:spacing w:after="0" w:line="240" w:lineRule="auto"/>
        <w:jc w:val="both"/>
        <w:rPr>
          <w:rFonts w:ascii="Times New Roman" w:hAnsi="Times New Roman"/>
          <w:color w:val="000000" w:themeColor="text1"/>
          <w:sz w:val="16"/>
          <w:szCs w:val="16"/>
        </w:rPr>
      </w:pPr>
    </w:p>
    <w:p w14:paraId="67BBFBD9" w14:textId="77777777" w:rsidR="002E08F7" w:rsidRPr="00E93F40" w:rsidRDefault="002E08F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 начали строить первый экземпляр РД-1 и уже через год 13 июня 1933 г. его постройка с безредукторным двигателем М-34 и двухлопаст</w:t>
      </w:r>
      <w:r w:rsidRPr="00E93F40">
        <w:rPr>
          <w:rFonts w:ascii="Times New Roman" w:hAnsi="Times New Roman"/>
          <w:color w:val="000000" w:themeColor="text1"/>
          <w:sz w:val="16"/>
          <w:szCs w:val="16"/>
        </w:rPr>
        <w:softHyphen/>
        <w:t>ным винтом диаметром 4,4 м была закон</w:t>
      </w:r>
      <w:r w:rsidRPr="00E93F40">
        <w:rPr>
          <w:rFonts w:ascii="Times New Roman" w:hAnsi="Times New Roman"/>
          <w:color w:val="000000" w:themeColor="text1"/>
          <w:sz w:val="16"/>
          <w:szCs w:val="16"/>
        </w:rPr>
        <w:softHyphen/>
        <w:t>чена. 14 июня 1933 г. самолёт перевезли из Завода опытных конструкций (был со</w:t>
      </w:r>
      <w:r w:rsidRPr="00E93F40">
        <w:rPr>
          <w:rFonts w:ascii="Times New Roman" w:hAnsi="Times New Roman"/>
          <w:color w:val="000000" w:themeColor="text1"/>
          <w:sz w:val="16"/>
          <w:szCs w:val="16"/>
        </w:rPr>
        <w:softHyphen/>
        <w:t>здан в 1922 г. как производственная база для авиационного отдела ЦАГИ, возглав</w:t>
      </w:r>
      <w:r w:rsidRPr="00E93F40">
        <w:rPr>
          <w:rFonts w:ascii="Times New Roman" w:hAnsi="Times New Roman"/>
          <w:color w:val="000000" w:themeColor="text1"/>
          <w:sz w:val="16"/>
          <w:szCs w:val="16"/>
        </w:rPr>
        <w:softHyphen/>
        <w:t>ляемого А.Н. Туполевым) на аэродром От</w:t>
      </w:r>
      <w:r w:rsidRPr="00E93F40">
        <w:rPr>
          <w:rFonts w:ascii="Times New Roman" w:hAnsi="Times New Roman"/>
          <w:color w:val="000000" w:themeColor="text1"/>
          <w:sz w:val="16"/>
          <w:szCs w:val="16"/>
        </w:rPr>
        <w:softHyphen/>
        <w:t>дела Эксплуатации Лётных Испытаний и Доводок (ОЭЛИД) - Центральный аэ</w:t>
      </w:r>
      <w:r w:rsidRPr="00E93F40">
        <w:rPr>
          <w:rFonts w:ascii="Times New Roman" w:hAnsi="Times New Roman"/>
          <w:color w:val="000000" w:themeColor="text1"/>
          <w:sz w:val="16"/>
          <w:szCs w:val="16"/>
        </w:rPr>
        <w:softHyphen/>
        <w:t>родром им. М.В. Фрунзе в г. Москве. Че</w:t>
      </w:r>
      <w:r w:rsidRPr="00E93F40">
        <w:rPr>
          <w:rFonts w:ascii="Times New Roman" w:hAnsi="Times New Roman"/>
          <w:color w:val="000000" w:themeColor="text1"/>
          <w:sz w:val="16"/>
          <w:szCs w:val="16"/>
        </w:rPr>
        <w:softHyphen/>
        <w:t>рез четыре дня, 18 июня состоялась пер</w:t>
      </w:r>
      <w:r w:rsidRPr="00E93F40">
        <w:rPr>
          <w:rFonts w:ascii="Times New Roman" w:hAnsi="Times New Roman"/>
          <w:color w:val="000000" w:themeColor="text1"/>
          <w:sz w:val="16"/>
          <w:szCs w:val="16"/>
        </w:rPr>
        <w:softHyphen/>
        <w:t>вая проба двигателя, а 22 июня - и пер</w:t>
      </w:r>
      <w:r w:rsidRPr="00E93F40">
        <w:rPr>
          <w:rFonts w:ascii="Times New Roman" w:hAnsi="Times New Roman"/>
          <w:color w:val="000000" w:themeColor="text1"/>
          <w:sz w:val="16"/>
          <w:szCs w:val="16"/>
        </w:rPr>
        <w:softHyphen/>
        <w:t>вый полёт под управлением М.М. Громова. На следующий день начались полномас</w:t>
      </w:r>
      <w:r w:rsidRPr="00E93F40">
        <w:rPr>
          <w:rFonts w:ascii="Times New Roman" w:hAnsi="Times New Roman"/>
          <w:color w:val="000000" w:themeColor="text1"/>
          <w:sz w:val="16"/>
          <w:szCs w:val="16"/>
        </w:rPr>
        <w:softHyphen/>
        <w:t>штабные полёты и доводки самолёта РД-1 по программе, которые также прово</w:t>
      </w:r>
      <w:r w:rsidRPr="00E93F40">
        <w:rPr>
          <w:rFonts w:ascii="Times New Roman" w:hAnsi="Times New Roman"/>
          <w:color w:val="000000" w:themeColor="text1"/>
          <w:sz w:val="16"/>
          <w:szCs w:val="16"/>
        </w:rPr>
        <w:softHyphen/>
        <w:t>дил экипаж М.М. Громова (24309).</w:t>
      </w:r>
    </w:p>
    <w:p w14:paraId="31B995D7" w14:textId="77777777" w:rsidR="002E08F7" w:rsidRPr="00E93F40" w:rsidRDefault="002E08F7" w:rsidP="00E93F40">
      <w:pPr>
        <w:spacing w:after="0" w:line="240" w:lineRule="auto"/>
        <w:jc w:val="both"/>
        <w:rPr>
          <w:rFonts w:ascii="Times New Roman" w:hAnsi="Times New Roman"/>
          <w:color w:val="000000" w:themeColor="text1"/>
          <w:sz w:val="16"/>
          <w:szCs w:val="16"/>
        </w:rPr>
      </w:pPr>
    </w:p>
    <w:p w14:paraId="1E8704ED" w14:textId="77777777" w:rsidR="00E31149" w:rsidRPr="00142305" w:rsidRDefault="00E31149" w:rsidP="00E3114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июня 1932 г. ЗОК ЦАГИ приступил к изготовлению первого опытного образ</w:t>
      </w:r>
      <w:r w:rsidRPr="00142305">
        <w:rPr>
          <w:rFonts w:ascii="Times New Roman" w:hAnsi="Times New Roman"/>
          <w:color w:val="0070C0"/>
          <w:sz w:val="16"/>
          <w:szCs w:val="16"/>
        </w:rPr>
        <w:softHyphen/>
        <w:t>ца рекордного самолета (заказ № 7026), обозначавшегося в разных документах как АНТ-25, АНТ-25-1, РД, РД-1 или ЦАГИ-25. Эта машина должна была комп</w:t>
      </w:r>
      <w:r w:rsidRPr="00142305">
        <w:rPr>
          <w:rFonts w:ascii="Times New Roman" w:hAnsi="Times New Roman"/>
          <w:color w:val="0070C0"/>
          <w:sz w:val="16"/>
          <w:szCs w:val="16"/>
        </w:rPr>
        <w:softHyphen/>
        <w:t>лектоваться мотором М-34 без редуктора и двухлопастным винтом. Параллельно продолжалось выполнение рабочих чер</w:t>
      </w:r>
      <w:r w:rsidRPr="00142305">
        <w:rPr>
          <w:rFonts w:ascii="Times New Roman" w:hAnsi="Times New Roman"/>
          <w:color w:val="0070C0"/>
          <w:sz w:val="16"/>
          <w:szCs w:val="16"/>
        </w:rPr>
        <w:softHyphen/>
        <w:t>тежей узлов и деталей.</w:t>
      </w:r>
    </w:p>
    <w:p w14:paraId="3CD4C7D2" w14:textId="77777777" w:rsidR="00E31149" w:rsidRPr="00142305" w:rsidRDefault="00E31149" w:rsidP="00E3114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Заводу № 24 заказали специальную се</w:t>
      </w:r>
      <w:r w:rsidRPr="00142305">
        <w:rPr>
          <w:rFonts w:ascii="Times New Roman" w:hAnsi="Times New Roman"/>
          <w:color w:val="0070C0"/>
          <w:sz w:val="16"/>
          <w:szCs w:val="16"/>
        </w:rPr>
        <w:softHyphen/>
        <w:t>рию из десяти двигателей. Указывалось на необходимость «особо тщательного» их выполнения. Эти моторы именовались в документах М-34РД. Предприятие заложило серию не из десяти, а из 20 экземп</w:t>
      </w:r>
      <w:r w:rsidRPr="00142305">
        <w:rPr>
          <w:rFonts w:ascii="Times New Roman" w:hAnsi="Times New Roman"/>
          <w:color w:val="0070C0"/>
          <w:sz w:val="16"/>
          <w:szCs w:val="16"/>
        </w:rPr>
        <w:softHyphen/>
        <w:t>ляров, рассчитывая получить 15 годных и из них сдать десяток лучших.</w:t>
      </w:r>
    </w:p>
    <w:p w14:paraId="4A02A751" w14:textId="77777777" w:rsidR="00E31149" w:rsidRPr="00142305" w:rsidRDefault="00E31149" w:rsidP="00E3114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заводе не ограничились ужесточе</w:t>
      </w:r>
      <w:r w:rsidRPr="00142305">
        <w:rPr>
          <w:rFonts w:ascii="Times New Roman" w:hAnsi="Times New Roman"/>
          <w:color w:val="0070C0"/>
          <w:sz w:val="16"/>
          <w:szCs w:val="16"/>
        </w:rPr>
        <w:softHyphen/>
        <w:t>нием требований к допускам, качеству обработки поверхностей и регулировке. Двигатели оптимизировали для длитель</w:t>
      </w:r>
      <w:r w:rsidRPr="00142305">
        <w:rPr>
          <w:rFonts w:ascii="Times New Roman" w:hAnsi="Times New Roman"/>
          <w:color w:val="0070C0"/>
          <w:sz w:val="16"/>
          <w:szCs w:val="16"/>
        </w:rPr>
        <w:softHyphen/>
        <w:t>ной работы на обедненной смеси. Они получили новые всасывающие патрубки, масляные и водяные насосы, доработан</w:t>
      </w:r>
      <w:r w:rsidRPr="00142305">
        <w:rPr>
          <w:rFonts w:ascii="Times New Roman" w:hAnsi="Times New Roman"/>
          <w:color w:val="0070C0"/>
          <w:sz w:val="16"/>
          <w:szCs w:val="16"/>
        </w:rPr>
        <w:softHyphen/>
        <w:t>ные распределительные валы, усиленные шестерни приводов, вторые бензопомпы и уплотнения из более качественной ре</w:t>
      </w:r>
      <w:r w:rsidRPr="00142305">
        <w:rPr>
          <w:rFonts w:ascii="Times New Roman" w:hAnsi="Times New Roman"/>
          <w:color w:val="0070C0"/>
          <w:sz w:val="16"/>
          <w:szCs w:val="16"/>
        </w:rPr>
        <w:softHyphen/>
        <w:t>зины. ЦИАМ просил разрешить комплек</w:t>
      </w:r>
      <w:r w:rsidRPr="00142305">
        <w:rPr>
          <w:rFonts w:ascii="Times New Roman" w:hAnsi="Times New Roman"/>
          <w:color w:val="0070C0"/>
          <w:sz w:val="16"/>
          <w:szCs w:val="16"/>
        </w:rPr>
        <w:softHyphen/>
        <w:t>тацию моторов импортными агрегатами, но ГУАП запретил. Собственно, эта пар</w:t>
      </w:r>
      <w:r w:rsidRPr="00142305">
        <w:rPr>
          <w:rFonts w:ascii="Times New Roman" w:hAnsi="Times New Roman"/>
          <w:color w:val="0070C0"/>
          <w:sz w:val="16"/>
          <w:szCs w:val="16"/>
        </w:rPr>
        <w:softHyphen/>
        <w:t>тия серией не являлась, включая пять разновидностей, отличавшихся степенью сжатия и наличием или отсутствием ре</w:t>
      </w:r>
      <w:r w:rsidRPr="00142305">
        <w:rPr>
          <w:rFonts w:ascii="Times New Roman" w:hAnsi="Times New Roman"/>
          <w:color w:val="0070C0"/>
          <w:sz w:val="16"/>
          <w:szCs w:val="16"/>
        </w:rPr>
        <w:softHyphen/>
        <w:t>дуктора (24946).</w:t>
      </w:r>
    </w:p>
    <w:p w14:paraId="62D9BB12" w14:textId="77777777" w:rsidR="00E31149" w:rsidRPr="00142305" w:rsidRDefault="00E31149" w:rsidP="00E31149">
      <w:pPr>
        <w:spacing w:after="0" w:line="240" w:lineRule="auto"/>
        <w:jc w:val="both"/>
        <w:rPr>
          <w:rFonts w:ascii="Times New Roman" w:hAnsi="Times New Roman"/>
          <w:color w:val="0070C0"/>
          <w:sz w:val="16"/>
          <w:szCs w:val="16"/>
        </w:rPr>
      </w:pPr>
    </w:p>
    <w:p w14:paraId="15520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П.О.С. и А.Н.Т. подписали расчетные данные по И-14 (АНТ-31) М-38. Они были в письме Петрожицкому в Глававиапром (1102).</w:t>
      </w:r>
    </w:p>
    <w:p w14:paraId="066420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2C68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из ЦАГИ в УВВС было направлено письмо с расчетными данными АНТ-31 (И-14). Макс. Скорость - 335 км/час, потолок - 9500-10000, дальность - 500 км, 2хПВ-1с (4020,9).</w:t>
      </w:r>
    </w:p>
    <w:p w14:paraId="24A49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33537C" w14:textId="77777777" w:rsidR="002729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Другие оборонные отрасли:</w:t>
      </w:r>
    </w:p>
    <w:p w14:paraId="7E16A4F1" w14:textId="77777777" w:rsidR="00272919" w:rsidRPr="00E93F40" w:rsidRDefault="002729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5C2BD24"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 июня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102. 5. Об изготовлении брони. Постановили: не согласиться с предложением т. Орджоникидзе: после выпуска не менее 100 танков в срок, указанный т. Отсом и их всестороннего испытания, поставить вопрос в Политбюро. 9. О реконструкции Златоустовского металлургического завода (Орджоникидзе). 15. О НАТИ (Каганович). (Политбюро... Т. 2. С. 310; РГАСПИ. Ф. 17. Оп. 162. Д. 12. Л. 152) (12416).</w:t>
      </w:r>
    </w:p>
    <w:p w14:paraId="5ADEF734" w14:textId="77777777" w:rsidR="00272919" w:rsidRPr="00E93F40" w:rsidRDefault="00272919" w:rsidP="00E93F40">
      <w:pPr>
        <w:spacing w:after="0" w:line="240" w:lineRule="auto"/>
        <w:jc w:val="both"/>
        <w:rPr>
          <w:rFonts w:ascii="Times New Roman" w:hAnsi="Times New Roman"/>
          <w:color w:val="000000" w:themeColor="text1"/>
          <w:sz w:val="16"/>
          <w:szCs w:val="16"/>
          <w:u w:color="002060"/>
        </w:rPr>
      </w:pPr>
    </w:p>
    <w:p w14:paraId="50298E9D" w14:textId="77777777" w:rsidR="0031632D" w:rsidRPr="00E93F40" w:rsidRDefault="003163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июня 1932 состоялось заседание ПБ (Протокол № 102) </w:t>
      </w:r>
    </w:p>
    <w:p w14:paraId="6550EAA9" w14:textId="77777777" w:rsidR="0031632D" w:rsidRPr="00E93F40" w:rsidRDefault="003163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5.-Об изготовлении брони</w:t>
      </w:r>
    </w:p>
    <w:p w14:paraId="6C473620" w14:textId="77777777" w:rsidR="0031632D" w:rsidRPr="00E93F40" w:rsidRDefault="003163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Согласиться с предложением т. Орджоникидзе: после выпуска не менее 100 танков в срок, указанный т. Отсом и их всестороннего испытания, поставить вопрос в Политбюро.</w:t>
      </w:r>
    </w:p>
    <w:p w14:paraId="02F45693" w14:textId="77777777" w:rsidR="0031632D" w:rsidRPr="00E93F40" w:rsidRDefault="003163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тов. Орджоникидзе</w:t>
      </w:r>
    </w:p>
    <w:p w14:paraId="72A9FD12" w14:textId="77777777" w:rsidR="0031632D" w:rsidRPr="00E93F40" w:rsidRDefault="003163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 О догоговоре с фирмой "Вазаг"</w:t>
      </w:r>
    </w:p>
    <w:p w14:paraId="7E5E9A2B" w14:textId="77777777" w:rsidR="0031632D" w:rsidRPr="00E93F40" w:rsidRDefault="003163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т. Пятакова о заключении договора на новых условиях за счет контингентов НКТПрома</w:t>
      </w:r>
    </w:p>
    <w:p w14:paraId="0E4D537E" w14:textId="77777777" w:rsidR="0031632D" w:rsidRPr="00E93F40" w:rsidRDefault="003163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 Орджоникидзе (23047).</w:t>
      </w:r>
    </w:p>
    <w:p w14:paraId="4788C398" w14:textId="77777777" w:rsidR="0031632D" w:rsidRPr="00E93F40" w:rsidRDefault="0031632D" w:rsidP="00E93F40">
      <w:pPr>
        <w:spacing w:after="0" w:line="240" w:lineRule="auto"/>
        <w:jc w:val="both"/>
        <w:rPr>
          <w:rFonts w:ascii="Times New Roman" w:hAnsi="Times New Roman"/>
          <w:color w:val="000000" w:themeColor="text1"/>
          <w:sz w:val="16"/>
          <w:szCs w:val="16"/>
        </w:rPr>
      </w:pPr>
    </w:p>
    <w:p w14:paraId="7E2D9C55" w14:textId="77777777" w:rsidR="00E31149" w:rsidRPr="00142305" w:rsidRDefault="00E31149" w:rsidP="00E3114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июня по 15 июля 1932 года один из двух опытных образцов БХМ-3 на базе Т-26 – ХТ-26 про</w:t>
      </w:r>
      <w:r w:rsidRPr="00142305">
        <w:rPr>
          <w:rFonts w:ascii="Times New Roman" w:hAnsi="Times New Roman"/>
          <w:color w:val="0070C0"/>
          <w:sz w:val="16"/>
          <w:szCs w:val="16"/>
        </w:rPr>
        <w:softHyphen/>
        <w:t>ходил испытания на Военно-химическом полигоне. Испытания показали, что дальность огнеметания составила всего 35 м при рас</w:t>
      </w:r>
      <w:r w:rsidRPr="00142305">
        <w:rPr>
          <w:rFonts w:ascii="Times New Roman" w:hAnsi="Times New Roman"/>
          <w:color w:val="0070C0"/>
          <w:sz w:val="16"/>
          <w:szCs w:val="16"/>
        </w:rPr>
        <w:softHyphen/>
        <w:t>ходе огнесмеси 5 л/с. Ходовые качества машины не ухудшились по сравнению с базовым танком.</w:t>
      </w:r>
    </w:p>
    <w:p w14:paraId="36D36FD3" w14:textId="77777777" w:rsidR="00E31149" w:rsidRPr="00142305" w:rsidRDefault="00E31149" w:rsidP="00E3114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Такие характеристики признали вполне удовлет</w:t>
      </w:r>
      <w:r w:rsidRPr="00142305">
        <w:rPr>
          <w:rFonts w:ascii="Times New Roman" w:hAnsi="Times New Roman"/>
          <w:color w:val="0070C0"/>
          <w:sz w:val="16"/>
          <w:szCs w:val="16"/>
        </w:rPr>
        <w:softHyphen/>
        <w:t>ворительными, и машина поступила на вооружение под обозначением «химический танк» ХТ-26 (только позже его станут упоминать как ОТ-26, называя либо просто «огнеметным», либо «огнеметно-дымовым»)</w:t>
      </w:r>
    </w:p>
    <w:p w14:paraId="6875D0BC" w14:textId="77777777" w:rsidR="00E31149" w:rsidRPr="00142305" w:rsidRDefault="00E31149" w:rsidP="00E3114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Левая башня танка была снята, в правой установ</w:t>
      </w:r>
      <w:r w:rsidRPr="00142305">
        <w:rPr>
          <w:rFonts w:ascii="Times New Roman" w:hAnsi="Times New Roman"/>
          <w:color w:val="0070C0"/>
          <w:sz w:val="16"/>
          <w:szCs w:val="16"/>
        </w:rPr>
        <w:softHyphen/>
        <w:t>лен брандспойт огнемета КС-24 с дальностью огне- метания 35 м (при встречном ветре заметно меньше) и пулемет ДТ, лобовая бронировка башни несколько изменилась. В боевом отделении танка под люком, занявшим место левой башни, разместили остальную химическую аппаратуру, включавшую резервуар (для огнесмеси, жидкого БОВ, дегазационной жидкости), три 13,5-литровых баллона со сжатым воздухом, бен</w:t>
      </w:r>
      <w:r w:rsidRPr="00142305">
        <w:rPr>
          <w:rFonts w:ascii="Times New Roman" w:hAnsi="Times New Roman"/>
          <w:color w:val="0070C0"/>
          <w:sz w:val="16"/>
          <w:szCs w:val="16"/>
        </w:rPr>
        <w:softHyphen/>
        <w:t>зиновый бачок емкостью 0,7 л системы зажигания, а также жидкостные коммуникации, состоявшие из запорных вентилей, распределителя, гибкого шлан</w:t>
      </w:r>
      <w:r w:rsidRPr="00142305">
        <w:rPr>
          <w:rFonts w:ascii="Times New Roman" w:hAnsi="Times New Roman"/>
          <w:color w:val="0070C0"/>
          <w:sz w:val="16"/>
          <w:szCs w:val="16"/>
        </w:rPr>
        <w:softHyphen/>
        <w:t>га и полуавтоматической задвижки. Наличие гибко</w:t>
      </w:r>
      <w:r w:rsidRPr="00142305">
        <w:rPr>
          <w:rFonts w:ascii="Times New Roman" w:hAnsi="Times New Roman"/>
          <w:color w:val="0070C0"/>
          <w:sz w:val="16"/>
          <w:szCs w:val="16"/>
        </w:rPr>
        <w:softHyphen/>
        <w:t>го шланга облегчало вращение башни, однако из-за опасности скручивания шланга угол поворота башни был ограничен сектором 270°. Это исключало воз</w:t>
      </w:r>
      <w:r w:rsidRPr="00142305">
        <w:rPr>
          <w:rFonts w:ascii="Times New Roman" w:hAnsi="Times New Roman"/>
          <w:color w:val="0070C0"/>
          <w:sz w:val="16"/>
          <w:szCs w:val="16"/>
        </w:rPr>
        <w:softHyphen/>
        <w:t>можность огнеметания в сторону кормы машины, но этот сектор и без того был опасен с точки зрения по</w:t>
      </w:r>
      <w:r w:rsidRPr="00142305">
        <w:rPr>
          <w:rFonts w:ascii="Times New Roman" w:hAnsi="Times New Roman"/>
          <w:color w:val="0070C0"/>
          <w:sz w:val="16"/>
          <w:szCs w:val="16"/>
        </w:rPr>
        <w:softHyphen/>
        <w:t>жароопасности машины — стекание горящей огнес</w:t>
      </w:r>
      <w:r w:rsidRPr="00142305">
        <w:rPr>
          <w:rFonts w:ascii="Times New Roman" w:hAnsi="Times New Roman"/>
          <w:color w:val="0070C0"/>
          <w:sz w:val="16"/>
          <w:szCs w:val="16"/>
        </w:rPr>
        <w:softHyphen/>
        <w:t>меси с брандспойта на крышу моторного отделения было чревато неприятными последствиями... Наве</w:t>
      </w:r>
      <w:r w:rsidRPr="00142305">
        <w:rPr>
          <w:rFonts w:ascii="Times New Roman" w:hAnsi="Times New Roman"/>
          <w:color w:val="0070C0"/>
          <w:sz w:val="16"/>
          <w:szCs w:val="16"/>
        </w:rPr>
        <w:softHyphen/>
        <w:t>дение брандспойта осуществлялось плечевым упо</w:t>
      </w:r>
      <w:r w:rsidRPr="00142305">
        <w:rPr>
          <w:rFonts w:ascii="Times New Roman" w:hAnsi="Times New Roman"/>
          <w:color w:val="0070C0"/>
          <w:sz w:val="16"/>
          <w:szCs w:val="16"/>
        </w:rPr>
        <w:softHyphen/>
        <w:t>ром по типу пулемета ДТ в пределах сектора до 20° в горизонтальной плоскости (без поворота башни) и от -10° до +10° в вертикальной плоскости.</w:t>
      </w:r>
    </w:p>
    <w:p w14:paraId="0AD5A965" w14:textId="77777777" w:rsidR="00E31149" w:rsidRPr="00142305" w:rsidRDefault="00E31149" w:rsidP="00E3114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Запаса огнесмеси (смесь мазута и керосина) хва</w:t>
      </w:r>
      <w:r w:rsidRPr="00142305">
        <w:rPr>
          <w:rFonts w:ascii="Times New Roman" w:hAnsi="Times New Roman"/>
          <w:color w:val="0070C0"/>
          <w:sz w:val="16"/>
          <w:szCs w:val="16"/>
        </w:rPr>
        <w:softHyphen/>
        <w:t>тало на 70 выстрелов. Давление в баллонах — 150 атм, рабочее давление — 12 атм (12 кг/см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За один секундный выстрел выбрасывалось до 5 л огнесме- си. Для поджигания огнесмеси на выходе из бранд</w:t>
      </w:r>
      <w:r w:rsidRPr="00142305">
        <w:rPr>
          <w:rFonts w:ascii="Times New Roman" w:hAnsi="Times New Roman"/>
          <w:color w:val="0070C0"/>
          <w:sz w:val="16"/>
          <w:szCs w:val="16"/>
        </w:rPr>
        <w:softHyphen/>
        <w:t>спойта использовался факел горящего бензина, для воспламенения бензина служила электрическая за</w:t>
      </w:r>
      <w:r w:rsidRPr="00142305">
        <w:rPr>
          <w:rFonts w:ascii="Times New Roman" w:hAnsi="Times New Roman"/>
          <w:color w:val="0070C0"/>
          <w:sz w:val="16"/>
          <w:szCs w:val="16"/>
        </w:rPr>
        <w:softHyphen/>
        <w:t>пальная свеча. Для заражения местности могли ис</w:t>
      </w:r>
      <w:r w:rsidRPr="00142305">
        <w:rPr>
          <w:rFonts w:ascii="Times New Roman" w:hAnsi="Times New Roman"/>
          <w:color w:val="0070C0"/>
          <w:sz w:val="16"/>
          <w:szCs w:val="16"/>
        </w:rPr>
        <w:softHyphen/>
        <w:t>пользоваться отравляющие вещества стойкого или нестойкого типа, для дегазации — вода или мыльная жидкость. Для слива остатков смесей из 400-литро</w:t>
      </w:r>
      <w:r w:rsidRPr="00142305">
        <w:rPr>
          <w:rFonts w:ascii="Times New Roman" w:hAnsi="Times New Roman"/>
          <w:color w:val="0070C0"/>
          <w:sz w:val="16"/>
          <w:szCs w:val="16"/>
        </w:rPr>
        <w:softHyphen/>
        <w:t>вого бака имелся специальный патрубок, располо</w:t>
      </w:r>
      <w:r w:rsidRPr="00142305">
        <w:rPr>
          <w:rFonts w:ascii="Times New Roman" w:hAnsi="Times New Roman"/>
          <w:color w:val="0070C0"/>
          <w:sz w:val="16"/>
          <w:szCs w:val="16"/>
        </w:rPr>
        <w:softHyphen/>
        <w:t>женный у самого днища на правом борту между теле</w:t>
      </w:r>
      <w:r w:rsidRPr="00142305">
        <w:rPr>
          <w:rFonts w:ascii="Times New Roman" w:hAnsi="Times New Roman"/>
          <w:color w:val="0070C0"/>
          <w:sz w:val="16"/>
          <w:szCs w:val="16"/>
        </w:rPr>
        <w:softHyphen/>
        <w:t>жками подвески. Патрубок был изготовлен таким образом, чтобы слив веществ из бака велся под днище танка, без попаданий на гусеницу. Танк оснащался системой дымопуска для постановки дымовых завес с использованием дымообразующей смеси типа S-III или S-IV. Насадок дымопуска монтировался на корме.</w:t>
      </w:r>
    </w:p>
    <w:p w14:paraId="41D04D26" w14:textId="77777777" w:rsidR="00E31149" w:rsidRPr="00142305" w:rsidRDefault="00E31149" w:rsidP="00E3114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Серийное производство ХТ-26 было организовано в Ленинграде, на заводе № 174 им. К. Е. Ворошилова. ХТ-26 стал первым серийным огнеметным танком, по</w:t>
      </w:r>
      <w:r w:rsidRPr="00142305">
        <w:rPr>
          <w:rFonts w:ascii="Times New Roman" w:hAnsi="Times New Roman"/>
          <w:color w:val="0070C0"/>
          <w:sz w:val="16"/>
          <w:szCs w:val="16"/>
        </w:rPr>
        <w:softHyphen/>
        <w:t>зволил отработать ряд конструктивных решений, раз</w:t>
      </w:r>
      <w:r w:rsidRPr="00142305">
        <w:rPr>
          <w:rFonts w:ascii="Times New Roman" w:hAnsi="Times New Roman"/>
          <w:color w:val="0070C0"/>
          <w:sz w:val="16"/>
          <w:szCs w:val="16"/>
        </w:rPr>
        <w:softHyphen/>
        <w:t>вернуть подготовку экипажей в войсках. Однако сама машина вызвала ряд нареканий. После 1937 года остававшиеся на службе ХТ-26 модифицировались установкой огнеметной аппаратуры от ХТ-130 (25021).</w:t>
      </w:r>
    </w:p>
    <w:p w14:paraId="6F2C9341" w14:textId="77777777" w:rsidR="00E31149" w:rsidRPr="00142305" w:rsidRDefault="00E31149" w:rsidP="00E31149">
      <w:pPr>
        <w:spacing w:after="0" w:line="240" w:lineRule="auto"/>
        <w:jc w:val="both"/>
        <w:rPr>
          <w:rFonts w:ascii="Times New Roman" w:hAnsi="Times New Roman"/>
          <w:color w:val="0070C0"/>
          <w:sz w:val="16"/>
          <w:szCs w:val="16"/>
        </w:rPr>
      </w:pPr>
    </w:p>
    <w:p w14:paraId="2915404A" w14:textId="71EE67F5" w:rsidR="009203B3" w:rsidRPr="00E93F40" w:rsidRDefault="009203B3" w:rsidP="009203B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2F50184C" w14:textId="77777777" w:rsidR="009203B3" w:rsidRPr="00E93F40" w:rsidRDefault="009203B3" w:rsidP="009203B3">
      <w:pPr>
        <w:autoSpaceDE w:val="0"/>
        <w:autoSpaceDN w:val="0"/>
        <w:adjustRightInd w:val="0"/>
        <w:spacing w:after="0" w:line="240" w:lineRule="auto"/>
        <w:jc w:val="both"/>
        <w:rPr>
          <w:rFonts w:ascii="Times New Roman" w:hAnsi="Times New Roman"/>
          <w:color w:val="000000" w:themeColor="text1"/>
          <w:sz w:val="16"/>
          <w:szCs w:val="16"/>
        </w:rPr>
      </w:pPr>
    </w:p>
    <w:p w14:paraId="428C4FE4" w14:textId="77777777" w:rsidR="009203B3" w:rsidRPr="00142305" w:rsidRDefault="009203B3" w:rsidP="009203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 июня 1930 года сеть школ</w:t>
      </w:r>
    </w:p>
    <w:tbl>
      <w:tblPr>
        <w:tblOverlap w:val="never"/>
        <w:tblW w:w="0" w:type="auto"/>
        <w:tblLayout w:type="fixed"/>
        <w:tblCellMar>
          <w:left w:w="10" w:type="dxa"/>
          <w:right w:w="10" w:type="dxa"/>
        </w:tblCellMar>
        <w:tblLook w:val="0000" w:firstRow="0" w:lastRow="0" w:firstColumn="0" w:lastColumn="0" w:noHBand="0" w:noVBand="0"/>
      </w:tblPr>
      <w:tblGrid>
        <w:gridCol w:w="979"/>
        <w:gridCol w:w="950"/>
        <w:gridCol w:w="1490"/>
        <w:gridCol w:w="1375"/>
        <w:gridCol w:w="576"/>
        <w:gridCol w:w="1019"/>
      </w:tblGrid>
      <w:tr w:rsidR="009203B3" w:rsidRPr="00142305" w14:paraId="0A4F364D" w14:textId="77777777" w:rsidTr="009203B3">
        <w:trPr>
          <w:trHeight w:hRule="exact" w:val="607"/>
        </w:trPr>
        <w:tc>
          <w:tcPr>
            <w:tcW w:w="979" w:type="dxa"/>
            <w:tcBorders>
              <w:top w:val="single" w:sz="4" w:space="0" w:color="auto"/>
              <w:left w:val="single" w:sz="4" w:space="0" w:color="auto"/>
            </w:tcBorders>
            <w:shd w:val="clear" w:color="auto" w:fill="FFFFFF"/>
            <w:vAlign w:val="bottom"/>
          </w:tcPr>
          <w:p w14:paraId="1BE1AB8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w:t>
            </w:r>
          </w:p>
          <w:p w14:paraId="3B7E41BF"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w:t>
            </w:r>
          </w:p>
        </w:tc>
        <w:tc>
          <w:tcPr>
            <w:tcW w:w="950" w:type="dxa"/>
            <w:tcBorders>
              <w:top w:val="single" w:sz="4" w:space="0" w:color="auto"/>
              <w:left w:val="single" w:sz="4" w:space="0" w:color="auto"/>
            </w:tcBorders>
            <w:shd w:val="clear" w:color="auto" w:fill="FFFFFF"/>
            <w:vAlign w:val="bottom"/>
          </w:tcPr>
          <w:p w14:paraId="75ACFED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Какие курсы имеют</w:t>
            </w:r>
          </w:p>
        </w:tc>
        <w:tc>
          <w:tcPr>
            <w:tcW w:w="1490" w:type="dxa"/>
            <w:tcBorders>
              <w:top w:val="single" w:sz="4" w:space="0" w:color="auto"/>
              <w:left w:val="single" w:sz="4" w:space="0" w:color="auto"/>
            </w:tcBorders>
            <w:shd w:val="clear" w:color="auto" w:fill="FFFFFF"/>
            <w:vAlign w:val="bottom"/>
          </w:tcPr>
          <w:p w14:paraId="08B9A91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 выпускаемых специалистов</w:t>
            </w:r>
          </w:p>
        </w:tc>
        <w:tc>
          <w:tcPr>
            <w:tcW w:w="1375" w:type="dxa"/>
            <w:tcBorders>
              <w:top w:val="single" w:sz="4" w:space="0" w:color="auto"/>
              <w:left w:val="single" w:sz="4" w:space="0" w:color="auto"/>
            </w:tcBorders>
            <w:shd w:val="clear" w:color="auto" w:fill="FFFFFF"/>
            <w:vAlign w:val="bottom"/>
          </w:tcPr>
          <w:p w14:paraId="5598C4AD"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Кем комплектуются</w:t>
            </w:r>
          </w:p>
        </w:tc>
        <w:tc>
          <w:tcPr>
            <w:tcW w:w="576" w:type="dxa"/>
            <w:tcBorders>
              <w:top w:val="single" w:sz="4" w:space="0" w:color="auto"/>
              <w:left w:val="single" w:sz="4" w:space="0" w:color="auto"/>
            </w:tcBorders>
            <w:shd w:val="clear" w:color="auto" w:fill="FFFFFF"/>
            <w:vAlign w:val="bottom"/>
          </w:tcPr>
          <w:p w14:paraId="60BDFB36"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Сроки обучения</w:t>
            </w:r>
          </w:p>
        </w:tc>
        <w:tc>
          <w:tcPr>
            <w:tcW w:w="1019" w:type="dxa"/>
            <w:tcBorders>
              <w:top w:val="single" w:sz="4" w:space="0" w:color="auto"/>
              <w:left w:val="single" w:sz="4" w:space="0" w:color="auto"/>
              <w:right w:val="single" w:sz="4" w:space="0" w:color="auto"/>
            </w:tcBorders>
            <w:shd w:val="clear" w:color="auto" w:fill="FFFFFF"/>
            <w:vAlign w:val="bottom"/>
          </w:tcPr>
          <w:p w14:paraId="735B22B4"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Примечание</w:t>
            </w:r>
          </w:p>
        </w:tc>
      </w:tr>
      <w:tr w:rsidR="009203B3" w:rsidRPr="00142305" w14:paraId="51756C01" w14:textId="77777777" w:rsidTr="009203B3">
        <w:trPr>
          <w:trHeight w:hRule="exact" w:val="997"/>
        </w:trPr>
        <w:tc>
          <w:tcPr>
            <w:tcW w:w="979" w:type="dxa"/>
            <w:tcBorders>
              <w:top w:val="single" w:sz="4" w:space="0" w:color="auto"/>
              <w:left w:val="single" w:sz="4" w:space="0" w:color="auto"/>
            </w:tcBorders>
            <w:shd w:val="clear" w:color="auto" w:fill="FFFFFF"/>
            <w:vAlign w:val="center"/>
          </w:tcPr>
          <w:p w14:paraId="1BE2D276"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w:t>
            </w:r>
            <w:r w:rsidRPr="00142305">
              <w:rPr>
                <w:rFonts w:ascii="Times New Roman" w:hAnsi="Times New Roman" w:cs="Times New Roman"/>
                <w:color w:val="0070C0"/>
                <w:sz w:val="16"/>
                <w:szCs w:val="16"/>
              </w:rPr>
              <w:softHyphen/>
              <w:t>теоретическая школа летчиков (Ленинград)</w:t>
            </w:r>
          </w:p>
        </w:tc>
        <w:tc>
          <w:tcPr>
            <w:tcW w:w="950" w:type="dxa"/>
            <w:tcBorders>
              <w:top w:val="single" w:sz="4" w:space="0" w:color="auto"/>
              <w:left w:val="single" w:sz="4" w:space="0" w:color="auto"/>
            </w:tcBorders>
            <w:shd w:val="clear" w:color="auto" w:fill="FFFFFF"/>
            <w:vAlign w:val="center"/>
          </w:tcPr>
          <w:p w14:paraId="67B0ABF7"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Курсы сухопутных летчиков, 2) Курсы морлетов</w:t>
            </w:r>
          </w:p>
        </w:tc>
        <w:tc>
          <w:tcPr>
            <w:tcW w:w="1490" w:type="dxa"/>
            <w:tcBorders>
              <w:top w:val="single" w:sz="4" w:space="0" w:color="auto"/>
              <w:left w:val="single" w:sz="4" w:space="0" w:color="auto"/>
            </w:tcBorders>
            <w:shd w:val="clear" w:color="auto" w:fill="FFFFFF"/>
            <w:vAlign w:val="center"/>
          </w:tcPr>
          <w:p w14:paraId="7FC21E49"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Ученики-летчики для сухопутных летных школ, ученики-летчики для Морской школы летчиков</w:t>
            </w:r>
          </w:p>
        </w:tc>
        <w:tc>
          <w:tcPr>
            <w:tcW w:w="1375" w:type="dxa"/>
            <w:tcBorders>
              <w:top w:val="single" w:sz="4" w:space="0" w:color="auto"/>
              <w:left w:val="single" w:sz="4" w:space="0" w:color="auto"/>
            </w:tcBorders>
            <w:shd w:val="clear" w:color="auto" w:fill="FFFFFF"/>
            <w:vAlign w:val="center"/>
          </w:tcPr>
          <w:p w14:paraId="5510C483"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7F4FC84D"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p w14:paraId="32C435B3"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Краснофлотцами</w:t>
            </w:r>
          </w:p>
          <w:p w14:paraId="2C4CD41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tc>
        <w:tc>
          <w:tcPr>
            <w:tcW w:w="576" w:type="dxa"/>
            <w:tcBorders>
              <w:top w:val="single" w:sz="4" w:space="0" w:color="auto"/>
              <w:left w:val="single" w:sz="4" w:space="0" w:color="auto"/>
            </w:tcBorders>
            <w:shd w:val="clear" w:color="auto" w:fill="FFFFFF"/>
            <w:vAlign w:val="center"/>
          </w:tcPr>
          <w:p w14:paraId="1A715BD0"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09DBEBCB"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3 м.</w:t>
            </w:r>
          </w:p>
        </w:tc>
        <w:tc>
          <w:tcPr>
            <w:tcW w:w="1019" w:type="dxa"/>
            <w:tcBorders>
              <w:top w:val="single" w:sz="4" w:space="0" w:color="auto"/>
              <w:left w:val="single" w:sz="4" w:space="0" w:color="auto"/>
              <w:right w:val="single" w:sz="4" w:space="0" w:color="auto"/>
            </w:tcBorders>
            <w:shd w:val="clear" w:color="auto" w:fill="FFFFFF"/>
          </w:tcPr>
          <w:p w14:paraId="54F18B2F" w14:textId="77777777" w:rsidR="009203B3" w:rsidRPr="00142305" w:rsidRDefault="009203B3" w:rsidP="00DC550A">
            <w:pPr>
              <w:spacing w:after="0" w:line="240" w:lineRule="auto"/>
              <w:jc w:val="both"/>
              <w:rPr>
                <w:rFonts w:ascii="Times New Roman" w:hAnsi="Times New Roman"/>
                <w:color w:val="0070C0"/>
                <w:sz w:val="16"/>
                <w:szCs w:val="16"/>
              </w:rPr>
            </w:pPr>
          </w:p>
        </w:tc>
      </w:tr>
      <w:tr w:rsidR="009203B3" w:rsidRPr="00142305" w14:paraId="1D0B5148" w14:textId="77777777" w:rsidTr="009203B3">
        <w:trPr>
          <w:trHeight w:hRule="exact" w:val="983"/>
        </w:trPr>
        <w:tc>
          <w:tcPr>
            <w:tcW w:w="979" w:type="dxa"/>
            <w:tcBorders>
              <w:top w:val="single" w:sz="4" w:space="0" w:color="auto"/>
              <w:left w:val="single" w:sz="4" w:space="0" w:color="auto"/>
            </w:tcBorders>
            <w:shd w:val="clear" w:color="auto" w:fill="FFFFFF"/>
            <w:vAlign w:val="center"/>
          </w:tcPr>
          <w:p w14:paraId="20BD4BB7"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1-я</w:t>
            </w:r>
          </w:p>
          <w:p w14:paraId="190E6DCB"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летчиков (Севастополь)</w:t>
            </w:r>
          </w:p>
        </w:tc>
        <w:tc>
          <w:tcPr>
            <w:tcW w:w="950" w:type="dxa"/>
            <w:tcBorders>
              <w:top w:val="single" w:sz="4" w:space="0" w:color="auto"/>
              <w:left w:val="single" w:sz="4" w:space="0" w:color="auto"/>
            </w:tcBorders>
            <w:shd w:val="clear" w:color="auto" w:fill="FFFFFF"/>
            <w:vAlign w:val="center"/>
          </w:tcPr>
          <w:p w14:paraId="5996D511"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сухопутных летчиков</w:t>
            </w:r>
          </w:p>
        </w:tc>
        <w:tc>
          <w:tcPr>
            <w:tcW w:w="1490" w:type="dxa"/>
            <w:tcBorders>
              <w:top w:val="single" w:sz="4" w:space="0" w:color="auto"/>
              <w:left w:val="single" w:sz="4" w:space="0" w:color="auto"/>
            </w:tcBorders>
            <w:shd w:val="clear" w:color="auto" w:fill="FFFFFF"/>
            <w:vAlign w:val="center"/>
          </w:tcPr>
          <w:p w14:paraId="0A78E29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w:t>
            </w:r>
          </w:p>
        </w:tc>
        <w:tc>
          <w:tcPr>
            <w:tcW w:w="1375" w:type="dxa"/>
            <w:tcBorders>
              <w:top w:val="single" w:sz="4" w:space="0" w:color="auto"/>
              <w:left w:val="single" w:sz="4" w:space="0" w:color="auto"/>
            </w:tcBorders>
            <w:shd w:val="clear" w:color="auto" w:fill="FFFFFF"/>
            <w:vAlign w:val="center"/>
          </w:tcPr>
          <w:p w14:paraId="5A99868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Окончившими</w:t>
            </w:r>
          </w:p>
          <w:p w14:paraId="4ECAFAC7"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ВТШЛ</w:t>
            </w:r>
          </w:p>
        </w:tc>
        <w:tc>
          <w:tcPr>
            <w:tcW w:w="576" w:type="dxa"/>
            <w:tcBorders>
              <w:top w:val="single" w:sz="4" w:space="0" w:color="auto"/>
              <w:left w:val="single" w:sz="4" w:space="0" w:color="auto"/>
            </w:tcBorders>
            <w:shd w:val="clear" w:color="auto" w:fill="FFFFFF"/>
            <w:vAlign w:val="center"/>
          </w:tcPr>
          <w:p w14:paraId="5C03894B"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tc>
        <w:tc>
          <w:tcPr>
            <w:tcW w:w="1019" w:type="dxa"/>
            <w:tcBorders>
              <w:top w:val="single" w:sz="4" w:space="0" w:color="auto"/>
              <w:left w:val="single" w:sz="4" w:space="0" w:color="auto"/>
              <w:right w:val="single" w:sz="4" w:space="0" w:color="auto"/>
            </w:tcBorders>
            <w:shd w:val="clear" w:color="auto" w:fill="FFFFFF"/>
            <w:vAlign w:val="bottom"/>
          </w:tcPr>
          <w:p w14:paraId="0EB6FCC2"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 01.07.30 г. переводится на положение школы военных пилотов со сроком обучения 1 г.</w:t>
            </w:r>
          </w:p>
        </w:tc>
      </w:tr>
      <w:tr w:rsidR="009203B3" w:rsidRPr="00142305" w14:paraId="6DDF1AB2" w14:textId="77777777" w:rsidTr="009203B3">
        <w:trPr>
          <w:trHeight w:hRule="exact" w:val="997"/>
        </w:trPr>
        <w:tc>
          <w:tcPr>
            <w:tcW w:w="979" w:type="dxa"/>
            <w:tcBorders>
              <w:top w:val="single" w:sz="4" w:space="0" w:color="auto"/>
              <w:left w:val="single" w:sz="4" w:space="0" w:color="auto"/>
            </w:tcBorders>
            <w:shd w:val="clear" w:color="auto" w:fill="FFFFFF"/>
            <w:vAlign w:val="bottom"/>
          </w:tcPr>
          <w:p w14:paraId="5639F07A"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2-я</w:t>
            </w:r>
          </w:p>
          <w:p w14:paraId="07CB5071"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летчиков (Борисоглебск)</w:t>
            </w:r>
          </w:p>
        </w:tc>
        <w:tc>
          <w:tcPr>
            <w:tcW w:w="950" w:type="dxa"/>
            <w:tcBorders>
              <w:top w:val="single" w:sz="4" w:space="0" w:color="auto"/>
              <w:left w:val="single" w:sz="4" w:space="0" w:color="auto"/>
            </w:tcBorders>
            <w:shd w:val="clear" w:color="auto" w:fill="FFFFFF"/>
            <w:vAlign w:val="center"/>
          </w:tcPr>
          <w:p w14:paraId="1DD9A38B"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сухопутных летчиков</w:t>
            </w:r>
          </w:p>
        </w:tc>
        <w:tc>
          <w:tcPr>
            <w:tcW w:w="1490" w:type="dxa"/>
            <w:tcBorders>
              <w:top w:val="single" w:sz="4" w:space="0" w:color="auto"/>
              <w:left w:val="single" w:sz="4" w:space="0" w:color="auto"/>
            </w:tcBorders>
            <w:shd w:val="clear" w:color="auto" w:fill="FFFFFF"/>
            <w:vAlign w:val="center"/>
          </w:tcPr>
          <w:p w14:paraId="4163D095"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w:t>
            </w:r>
          </w:p>
        </w:tc>
        <w:tc>
          <w:tcPr>
            <w:tcW w:w="1375" w:type="dxa"/>
            <w:tcBorders>
              <w:top w:val="single" w:sz="4" w:space="0" w:color="auto"/>
              <w:left w:val="single" w:sz="4" w:space="0" w:color="auto"/>
            </w:tcBorders>
            <w:shd w:val="clear" w:color="auto" w:fill="FFFFFF"/>
            <w:vAlign w:val="center"/>
          </w:tcPr>
          <w:p w14:paraId="2D45A9BD"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Окончившими ВТШЛ</w:t>
            </w:r>
          </w:p>
        </w:tc>
        <w:tc>
          <w:tcPr>
            <w:tcW w:w="576" w:type="dxa"/>
            <w:tcBorders>
              <w:top w:val="single" w:sz="4" w:space="0" w:color="auto"/>
              <w:left w:val="single" w:sz="4" w:space="0" w:color="auto"/>
            </w:tcBorders>
            <w:shd w:val="clear" w:color="auto" w:fill="FFFFFF"/>
            <w:vAlign w:val="center"/>
          </w:tcPr>
          <w:p w14:paraId="648D87AF"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tc>
        <w:tc>
          <w:tcPr>
            <w:tcW w:w="1019" w:type="dxa"/>
            <w:tcBorders>
              <w:top w:val="single" w:sz="4" w:space="0" w:color="auto"/>
              <w:left w:val="single" w:sz="4" w:space="0" w:color="auto"/>
              <w:right w:val="single" w:sz="4" w:space="0" w:color="auto"/>
            </w:tcBorders>
            <w:shd w:val="clear" w:color="auto" w:fill="FFFFFF"/>
          </w:tcPr>
          <w:p w14:paraId="249B1E1E"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 01.07.30 г. новый прием: 192 курсанта будут проходить обучение по ЦИТ со сроком обучения 1 г.</w:t>
            </w:r>
          </w:p>
        </w:tc>
      </w:tr>
      <w:tr w:rsidR="009203B3" w:rsidRPr="00142305" w14:paraId="1564B898" w14:textId="77777777" w:rsidTr="009203B3">
        <w:trPr>
          <w:trHeight w:hRule="exact" w:val="1564"/>
        </w:trPr>
        <w:tc>
          <w:tcPr>
            <w:tcW w:w="979" w:type="dxa"/>
            <w:tcBorders>
              <w:top w:val="single" w:sz="4" w:space="0" w:color="auto"/>
              <w:left w:val="single" w:sz="4" w:space="0" w:color="auto"/>
            </w:tcBorders>
            <w:shd w:val="clear" w:color="auto" w:fill="FFFFFF"/>
            <w:vAlign w:val="center"/>
          </w:tcPr>
          <w:p w14:paraId="2310088A"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3-я Военная школа летчиков и летчиков- наблюдателей (Оренбург)</w:t>
            </w:r>
          </w:p>
        </w:tc>
        <w:tc>
          <w:tcPr>
            <w:tcW w:w="950" w:type="dxa"/>
            <w:tcBorders>
              <w:top w:val="single" w:sz="4" w:space="0" w:color="auto"/>
              <w:left w:val="single" w:sz="4" w:space="0" w:color="auto"/>
            </w:tcBorders>
            <w:shd w:val="clear" w:color="auto" w:fill="FFFFFF"/>
            <w:vAlign w:val="bottom"/>
          </w:tcPr>
          <w:p w14:paraId="392462EF"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Курсы сухопут. летчиков 2) Курсы летнабов</w:t>
            </w:r>
          </w:p>
          <w:p w14:paraId="43F44BA2" w14:textId="77777777" w:rsidR="009203B3" w:rsidRPr="00142305" w:rsidRDefault="009203B3" w:rsidP="00DC550A">
            <w:pPr>
              <w:pStyle w:val="afff3"/>
              <w:numPr>
                <w:ilvl w:val="0"/>
                <w:numId w:val="6"/>
              </w:numPr>
              <w:tabs>
                <w:tab w:val="left" w:pos="119"/>
              </w:tabs>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инстр-в по</w:t>
            </w:r>
          </w:p>
          <w:p w14:paraId="0E06536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вооружению</w:t>
            </w:r>
          </w:p>
          <w:p w14:paraId="23BA702F" w14:textId="77777777" w:rsidR="009203B3" w:rsidRPr="00142305" w:rsidRDefault="009203B3" w:rsidP="00DC550A">
            <w:pPr>
              <w:pStyle w:val="afff3"/>
              <w:numPr>
                <w:ilvl w:val="0"/>
                <w:numId w:val="6"/>
              </w:numPr>
              <w:tabs>
                <w:tab w:val="left" w:pos="119"/>
              </w:tabs>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техников по вооружению</w:t>
            </w:r>
          </w:p>
        </w:tc>
        <w:tc>
          <w:tcPr>
            <w:tcW w:w="1490" w:type="dxa"/>
            <w:tcBorders>
              <w:top w:val="single" w:sz="4" w:space="0" w:color="auto"/>
              <w:left w:val="single" w:sz="4" w:space="0" w:color="auto"/>
            </w:tcBorders>
            <w:shd w:val="clear" w:color="auto" w:fill="FFFFFF"/>
            <w:vAlign w:val="center"/>
          </w:tcPr>
          <w:p w14:paraId="426E85C7"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Летчики</w:t>
            </w:r>
          </w:p>
          <w:p w14:paraId="250F00CE"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Летчики-наблюдатели</w:t>
            </w:r>
          </w:p>
          <w:p w14:paraId="4B9EACB0"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Инструкторы по вооружению</w:t>
            </w:r>
          </w:p>
          <w:p w14:paraId="2153AB37"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Техники по вооружению</w:t>
            </w:r>
          </w:p>
        </w:tc>
        <w:tc>
          <w:tcPr>
            <w:tcW w:w="1375" w:type="dxa"/>
            <w:tcBorders>
              <w:top w:val="single" w:sz="4" w:space="0" w:color="auto"/>
              <w:left w:val="single" w:sz="4" w:space="0" w:color="auto"/>
            </w:tcBorders>
            <w:shd w:val="clear" w:color="auto" w:fill="FFFFFF"/>
            <w:vAlign w:val="center"/>
          </w:tcPr>
          <w:p w14:paraId="21DC1734"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Окончившими курс летчиков ОШЛАТ</w:t>
            </w:r>
          </w:p>
          <w:p w14:paraId="1372DE8A"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Командирами РККА</w:t>
            </w:r>
          </w:p>
          <w:p w14:paraId="38D013E6"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Летнабами строевых.авиачастей</w:t>
            </w:r>
          </w:p>
          <w:p w14:paraId="21982823" w14:textId="77777777" w:rsidR="009203B3" w:rsidRPr="00142305" w:rsidRDefault="009203B3" w:rsidP="00DC550A">
            <w:pPr>
              <w:pStyle w:val="afff3"/>
              <w:ind w:left="16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Военнослужащими, знакомыми с оружием</w:t>
            </w:r>
          </w:p>
        </w:tc>
        <w:tc>
          <w:tcPr>
            <w:tcW w:w="576" w:type="dxa"/>
            <w:tcBorders>
              <w:top w:val="single" w:sz="4" w:space="0" w:color="auto"/>
              <w:left w:val="single" w:sz="4" w:space="0" w:color="auto"/>
            </w:tcBorders>
            <w:shd w:val="clear" w:color="auto" w:fill="FFFFFF"/>
            <w:vAlign w:val="center"/>
          </w:tcPr>
          <w:p w14:paraId="6548886D"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2AA6A2E7"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p w14:paraId="55C44192"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 м.</w:t>
            </w:r>
          </w:p>
          <w:p w14:paraId="65146D15"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tc>
        <w:tc>
          <w:tcPr>
            <w:tcW w:w="1019" w:type="dxa"/>
            <w:tcBorders>
              <w:top w:val="single" w:sz="4" w:space="0" w:color="auto"/>
              <w:left w:val="single" w:sz="4" w:space="0" w:color="auto"/>
              <w:right w:val="single" w:sz="4" w:space="0" w:color="auto"/>
            </w:tcBorders>
            <w:shd w:val="clear" w:color="auto" w:fill="FFFFFF"/>
            <w:vAlign w:val="bottom"/>
          </w:tcPr>
          <w:p w14:paraId="5BA99FCF"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Командиры РККА проходят предварительную стажировку при частях ВВС продолжитель</w:t>
            </w:r>
            <w:r w:rsidRPr="00142305">
              <w:rPr>
                <w:rFonts w:ascii="Times New Roman" w:hAnsi="Times New Roman" w:cs="Times New Roman"/>
                <w:color w:val="0070C0"/>
                <w:sz w:val="16"/>
                <w:szCs w:val="16"/>
              </w:rPr>
              <w:softHyphen/>
              <w:t>ностью в 3 месяца</w:t>
            </w:r>
          </w:p>
        </w:tc>
      </w:tr>
      <w:tr w:rsidR="009203B3" w:rsidRPr="00142305" w14:paraId="41D4CEA8" w14:textId="77777777" w:rsidTr="009203B3">
        <w:trPr>
          <w:trHeight w:hRule="exact" w:val="994"/>
        </w:trPr>
        <w:tc>
          <w:tcPr>
            <w:tcW w:w="979" w:type="dxa"/>
            <w:tcBorders>
              <w:top w:val="single" w:sz="4" w:space="0" w:color="auto"/>
              <w:left w:val="single" w:sz="4" w:space="0" w:color="auto"/>
            </w:tcBorders>
            <w:shd w:val="clear" w:color="auto" w:fill="FFFFFF"/>
            <w:vAlign w:val="center"/>
          </w:tcPr>
          <w:p w14:paraId="540A6460"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1-я</w:t>
            </w:r>
          </w:p>
          <w:p w14:paraId="2DB9A9D1"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летчиков (Сталинград)</w:t>
            </w:r>
          </w:p>
        </w:tc>
        <w:tc>
          <w:tcPr>
            <w:tcW w:w="950" w:type="dxa"/>
            <w:tcBorders>
              <w:top w:val="single" w:sz="4" w:space="0" w:color="auto"/>
              <w:left w:val="single" w:sz="4" w:space="0" w:color="auto"/>
            </w:tcBorders>
            <w:shd w:val="clear" w:color="auto" w:fill="FFFFFF"/>
            <w:vAlign w:val="center"/>
          </w:tcPr>
          <w:p w14:paraId="46B482D4"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Теоретический и летный курс сухопутных летчиков</w:t>
            </w:r>
          </w:p>
        </w:tc>
        <w:tc>
          <w:tcPr>
            <w:tcW w:w="1490" w:type="dxa"/>
            <w:tcBorders>
              <w:top w:val="single" w:sz="4" w:space="0" w:color="auto"/>
              <w:left w:val="single" w:sz="4" w:space="0" w:color="auto"/>
            </w:tcBorders>
            <w:shd w:val="clear" w:color="auto" w:fill="FFFFFF"/>
            <w:vAlign w:val="center"/>
          </w:tcPr>
          <w:p w14:paraId="160BD8EF"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w:t>
            </w:r>
          </w:p>
        </w:tc>
        <w:tc>
          <w:tcPr>
            <w:tcW w:w="1375" w:type="dxa"/>
            <w:tcBorders>
              <w:top w:val="single" w:sz="4" w:space="0" w:color="auto"/>
              <w:left w:val="single" w:sz="4" w:space="0" w:color="auto"/>
            </w:tcBorders>
            <w:shd w:val="clear" w:color="auto" w:fill="FFFFFF"/>
            <w:vAlign w:val="center"/>
          </w:tcPr>
          <w:p w14:paraId="5F8DFB19"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64E6E9B6"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tc>
        <w:tc>
          <w:tcPr>
            <w:tcW w:w="576" w:type="dxa"/>
            <w:tcBorders>
              <w:top w:val="single" w:sz="4" w:space="0" w:color="auto"/>
              <w:left w:val="single" w:sz="4" w:space="0" w:color="auto"/>
            </w:tcBorders>
            <w:shd w:val="clear" w:color="auto" w:fill="FFFFFF"/>
            <w:vAlign w:val="bottom"/>
          </w:tcPr>
          <w:p w14:paraId="09A0E015"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Теоретич. курс 1 г. 6 м., летный курс 1 г.</w:t>
            </w:r>
          </w:p>
        </w:tc>
        <w:tc>
          <w:tcPr>
            <w:tcW w:w="1019" w:type="dxa"/>
            <w:tcBorders>
              <w:top w:val="single" w:sz="4" w:space="0" w:color="auto"/>
              <w:left w:val="single" w:sz="4" w:space="0" w:color="auto"/>
              <w:right w:val="single" w:sz="4" w:space="0" w:color="auto"/>
            </w:tcBorders>
            <w:shd w:val="clear" w:color="auto" w:fill="FFFFFF"/>
            <w:vAlign w:val="bottom"/>
          </w:tcPr>
          <w:p w14:paraId="7BC14DDB"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начала работу с 01.01.30 г. В наст, время имеются только курсанты теор. курса. С 01.01.31 г. начнется летное обучение. 1-й выпуск - 01.01.32 г.</w:t>
            </w:r>
          </w:p>
        </w:tc>
      </w:tr>
      <w:tr w:rsidR="009203B3" w:rsidRPr="00142305" w14:paraId="400CA36A" w14:textId="77777777" w:rsidTr="009203B3">
        <w:trPr>
          <w:trHeight w:hRule="exact" w:val="1137"/>
        </w:trPr>
        <w:tc>
          <w:tcPr>
            <w:tcW w:w="979" w:type="dxa"/>
            <w:tcBorders>
              <w:top w:val="single" w:sz="4" w:space="0" w:color="auto"/>
              <w:left w:val="single" w:sz="4" w:space="0" w:color="auto"/>
            </w:tcBorders>
            <w:shd w:val="clear" w:color="auto" w:fill="FFFFFF"/>
            <w:vAlign w:val="bottom"/>
          </w:tcPr>
          <w:p w14:paraId="1C08E5DD"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морских летчиков (Севастополь)</w:t>
            </w:r>
          </w:p>
        </w:tc>
        <w:tc>
          <w:tcPr>
            <w:tcW w:w="950" w:type="dxa"/>
            <w:tcBorders>
              <w:top w:val="single" w:sz="4" w:space="0" w:color="auto"/>
              <w:left w:val="single" w:sz="4" w:space="0" w:color="auto"/>
            </w:tcBorders>
            <w:shd w:val="clear" w:color="auto" w:fill="FFFFFF"/>
            <w:vAlign w:val="bottom"/>
          </w:tcPr>
          <w:p w14:paraId="1C67192B" w14:textId="77777777" w:rsidR="009203B3" w:rsidRPr="00142305" w:rsidRDefault="009203B3" w:rsidP="00DC550A">
            <w:pPr>
              <w:pStyle w:val="afff3"/>
              <w:numPr>
                <w:ilvl w:val="0"/>
                <w:numId w:val="7"/>
              </w:numPr>
              <w:tabs>
                <w:tab w:val="left" w:pos="130"/>
              </w:tabs>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морлетов,</w:t>
            </w:r>
          </w:p>
          <w:p w14:paraId="3A3D3DD8" w14:textId="77777777" w:rsidR="009203B3" w:rsidRPr="00142305" w:rsidRDefault="009203B3" w:rsidP="00DC550A">
            <w:pPr>
              <w:pStyle w:val="afff3"/>
              <w:numPr>
                <w:ilvl w:val="0"/>
                <w:numId w:val="7"/>
              </w:numPr>
              <w:tabs>
                <w:tab w:val="left" w:pos="202"/>
              </w:tabs>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морлетнабов</w:t>
            </w:r>
          </w:p>
        </w:tc>
        <w:tc>
          <w:tcPr>
            <w:tcW w:w="1490" w:type="dxa"/>
            <w:tcBorders>
              <w:top w:val="single" w:sz="4" w:space="0" w:color="auto"/>
              <w:left w:val="single" w:sz="4" w:space="0" w:color="auto"/>
            </w:tcBorders>
            <w:shd w:val="clear" w:color="auto" w:fill="FFFFFF"/>
            <w:vAlign w:val="bottom"/>
          </w:tcPr>
          <w:p w14:paraId="5A7A5C49"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Морлеты, морлетнабы</w:t>
            </w:r>
          </w:p>
        </w:tc>
        <w:tc>
          <w:tcPr>
            <w:tcW w:w="1375" w:type="dxa"/>
            <w:tcBorders>
              <w:top w:val="single" w:sz="4" w:space="0" w:color="auto"/>
              <w:left w:val="single" w:sz="4" w:space="0" w:color="auto"/>
            </w:tcBorders>
            <w:shd w:val="clear" w:color="auto" w:fill="FFFFFF"/>
            <w:vAlign w:val="bottom"/>
          </w:tcPr>
          <w:p w14:paraId="23334E0A"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Окончившими морское отделение ВТШЛ 2) Командирами РККФ</w:t>
            </w:r>
          </w:p>
        </w:tc>
        <w:tc>
          <w:tcPr>
            <w:tcW w:w="576" w:type="dxa"/>
            <w:tcBorders>
              <w:top w:val="single" w:sz="4" w:space="0" w:color="auto"/>
              <w:left w:val="single" w:sz="4" w:space="0" w:color="auto"/>
            </w:tcBorders>
            <w:shd w:val="clear" w:color="auto" w:fill="FFFFFF"/>
            <w:vAlign w:val="bottom"/>
          </w:tcPr>
          <w:p w14:paraId="0245903B"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p w14:paraId="41BADC8F"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tc>
        <w:tc>
          <w:tcPr>
            <w:tcW w:w="1019" w:type="dxa"/>
            <w:tcBorders>
              <w:top w:val="single" w:sz="4" w:space="0" w:color="auto"/>
              <w:left w:val="single" w:sz="4" w:space="0" w:color="auto"/>
              <w:right w:val="single" w:sz="4" w:space="0" w:color="auto"/>
            </w:tcBorders>
            <w:shd w:val="clear" w:color="auto" w:fill="FFFFFF"/>
            <w:vAlign w:val="bottom"/>
          </w:tcPr>
          <w:p w14:paraId="38AC2B79"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Командиры РККФ проходят предварительную стажировку при частях ВВС морей продолжитель</w:t>
            </w:r>
            <w:r w:rsidRPr="00142305">
              <w:rPr>
                <w:rFonts w:ascii="Times New Roman" w:hAnsi="Times New Roman" w:cs="Times New Roman"/>
                <w:color w:val="0070C0"/>
                <w:sz w:val="16"/>
                <w:szCs w:val="16"/>
              </w:rPr>
              <w:softHyphen/>
              <w:t>ностью в 3 месяца</w:t>
            </w:r>
          </w:p>
        </w:tc>
      </w:tr>
      <w:tr w:rsidR="009203B3" w:rsidRPr="00142305" w14:paraId="55DF30B6" w14:textId="77777777" w:rsidTr="009203B3">
        <w:trPr>
          <w:trHeight w:hRule="exact" w:val="1281"/>
        </w:trPr>
        <w:tc>
          <w:tcPr>
            <w:tcW w:w="979" w:type="dxa"/>
            <w:tcBorders>
              <w:top w:val="single" w:sz="4" w:space="0" w:color="auto"/>
              <w:left w:val="single" w:sz="4" w:space="0" w:color="auto"/>
            </w:tcBorders>
            <w:shd w:val="clear" w:color="auto" w:fill="FFFFFF"/>
            <w:vAlign w:val="bottom"/>
          </w:tcPr>
          <w:p w14:paraId="3FE5E6E9"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Школа военных пилотов (Одесса)</w:t>
            </w:r>
          </w:p>
        </w:tc>
        <w:tc>
          <w:tcPr>
            <w:tcW w:w="950" w:type="dxa"/>
            <w:tcBorders>
              <w:top w:val="single" w:sz="4" w:space="0" w:color="auto"/>
              <w:left w:val="single" w:sz="4" w:space="0" w:color="auto"/>
            </w:tcBorders>
            <w:shd w:val="clear" w:color="auto" w:fill="FFFFFF"/>
            <w:vAlign w:val="bottom"/>
          </w:tcPr>
          <w:p w14:paraId="71D8447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военных пилотов</w:t>
            </w:r>
          </w:p>
        </w:tc>
        <w:tc>
          <w:tcPr>
            <w:tcW w:w="1490" w:type="dxa"/>
            <w:tcBorders>
              <w:top w:val="single" w:sz="4" w:space="0" w:color="auto"/>
              <w:left w:val="single" w:sz="4" w:space="0" w:color="auto"/>
            </w:tcBorders>
            <w:shd w:val="clear" w:color="auto" w:fill="FFFFFF"/>
            <w:vAlign w:val="bottom"/>
          </w:tcPr>
          <w:p w14:paraId="10C7A8E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Военные пилоты</w:t>
            </w:r>
          </w:p>
        </w:tc>
        <w:tc>
          <w:tcPr>
            <w:tcW w:w="1375" w:type="dxa"/>
            <w:tcBorders>
              <w:top w:val="single" w:sz="4" w:space="0" w:color="auto"/>
              <w:left w:val="single" w:sz="4" w:space="0" w:color="auto"/>
            </w:tcBorders>
            <w:shd w:val="clear" w:color="auto" w:fill="FFFFFF"/>
            <w:vAlign w:val="bottom"/>
          </w:tcPr>
          <w:p w14:paraId="56A782C1"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Красноармейцами срочной службы</w:t>
            </w:r>
          </w:p>
          <w:p w14:paraId="735001F9"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Окончившими граждан, школы авиации</w:t>
            </w:r>
          </w:p>
        </w:tc>
        <w:tc>
          <w:tcPr>
            <w:tcW w:w="576" w:type="dxa"/>
            <w:tcBorders>
              <w:top w:val="single" w:sz="4" w:space="0" w:color="auto"/>
              <w:left w:val="single" w:sz="4" w:space="0" w:color="auto"/>
            </w:tcBorders>
            <w:shd w:val="clear" w:color="auto" w:fill="FFFFFF"/>
            <w:vAlign w:val="bottom"/>
          </w:tcPr>
          <w:p w14:paraId="5F68A1D2"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tc>
        <w:tc>
          <w:tcPr>
            <w:tcW w:w="1019" w:type="dxa"/>
            <w:tcBorders>
              <w:top w:val="single" w:sz="4" w:space="0" w:color="auto"/>
              <w:left w:val="single" w:sz="4" w:space="0" w:color="auto"/>
              <w:right w:val="single" w:sz="4" w:space="0" w:color="auto"/>
            </w:tcBorders>
            <w:shd w:val="clear" w:color="auto" w:fill="FFFFFF"/>
          </w:tcPr>
          <w:p w14:paraId="4C14D293" w14:textId="77777777" w:rsidR="009203B3" w:rsidRPr="00142305" w:rsidRDefault="009203B3" w:rsidP="00DC550A">
            <w:pPr>
              <w:spacing w:after="0" w:line="240" w:lineRule="auto"/>
              <w:jc w:val="both"/>
              <w:rPr>
                <w:rFonts w:ascii="Times New Roman" w:hAnsi="Times New Roman"/>
                <w:color w:val="0070C0"/>
                <w:sz w:val="16"/>
                <w:szCs w:val="16"/>
              </w:rPr>
            </w:pPr>
          </w:p>
        </w:tc>
      </w:tr>
      <w:tr w:rsidR="009203B3" w:rsidRPr="00142305" w14:paraId="505A2AD7" w14:textId="77777777" w:rsidTr="009203B3">
        <w:trPr>
          <w:trHeight w:hRule="exact" w:val="1128"/>
        </w:trPr>
        <w:tc>
          <w:tcPr>
            <w:tcW w:w="979" w:type="dxa"/>
            <w:tcBorders>
              <w:top w:val="single" w:sz="4" w:space="0" w:color="auto"/>
              <w:left w:val="single" w:sz="4" w:space="0" w:color="auto"/>
            </w:tcBorders>
            <w:shd w:val="clear" w:color="auto" w:fill="FFFFFF"/>
            <w:vAlign w:val="center"/>
          </w:tcPr>
          <w:p w14:paraId="6E5C91C1"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Военно-техническая школа ВВС (Ленинград)</w:t>
            </w:r>
          </w:p>
        </w:tc>
        <w:tc>
          <w:tcPr>
            <w:tcW w:w="950" w:type="dxa"/>
            <w:tcBorders>
              <w:top w:val="single" w:sz="4" w:space="0" w:color="auto"/>
              <w:left w:val="single" w:sz="4" w:space="0" w:color="auto"/>
            </w:tcBorders>
            <w:shd w:val="clear" w:color="auto" w:fill="FFFFFF"/>
            <w:vAlign w:val="bottom"/>
          </w:tcPr>
          <w:p w14:paraId="70507892"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Курсы младших авиатехников</w:t>
            </w:r>
          </w:p>
        </w:tc>
        <w:tc>
          <w:tcPr>
            <w:tcW w:w="1490" w:type="dxa"/>
            <w:tcBorders>
              <w:top w:val="single" w:sz="4" w:space="0" w:color="auto"/>
              <w:left w:val="single" w:sz="4" w:space="0" w:color="auto"/>
            </w:tcBorders>
            <w:shd w:val="clear" w:color="auto" w:fill="FFFFFF"/>
            <w:vAlign w:val="bottom"/>
          </w:tcPr>
          <w:p w14:paraId="5A2E62C3"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Авиатехники</w:t>
            </w:r>
          </w:p>
        </w:tc>
        <w:tc>
          <w:tcPr>
            <w:tcW w:w="1375" w:type="dxa"/>
            <w:tcBorders>
              <w:top w:val="single" w:sz="4" w:space="0" w:color="auto"/>
              <w:left w:val="single" w:sz="4" w:space="0" w:color="auto"/>
            </w:tcBorders>
            <w:shd w:val="clear" w:color="auto" w:fill="FFFFFF"/>
            <w:vAlign w:val="bottom"/>
          </w:tcPr>
          <w:p w14:paraId="408FB811"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64954D39"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tc>
        <w:tc>
          <w:tcPr>
            <w:tcW w:w="576" w:type="dxa"/>
            <w:tcBorders>
              <w:top w:val="single" w:sz="4" w:space="0" w:color="auto"/>
              <w:left w:val="single" w:sz="4" w:space="0" w:color="auto"/>
            </w:tcBorders>
            <w:shd w:val="clear" w:color="auto" w:fill="FFFFFF"/>
            <w:vAlign w:val="center"/>
          </w:tcPr>
          <w:p w14:paraId="4EC076DF"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г.</w:t>
            </w:r>
          </w:p>
        </w:tc>
        <w:tc>
          <w:tcPr>
            <w:tcW w:w="1019" w:type="dxa"/>
            <w:tcBorders>
              <w:top w:val="single" w:sz="4" w:space="0" w:color="auto"/>
              <w:left w:val="single" w:sz="4" w:space="0" w:color="auto"/>
              <w:right w:val="single" w:sz="4" w:space="0" w:color="auto"/>
            </w:tcBorders>
            <w:shd w:val="clear" w:color="auto" w:fill="FFFFFF"/>
          </w:tcPr>
          <w:p w14:paraId="489D29D2" w14:textId="77777777" w:rsidR="009203B3" w:rsidRPr="00142305" w:rsidRDefault="009203B3" w:rsidP="00DC550A">
            <w:pPr>
              <w:spacing w:after="0" w:line="240" w:lineRule="auto"/>
              <w:jc w:val="both"/>
              <w:rPr>
                <w:rFonts w:ascii="Times New Roman" w:hAnsi="Times New Roman"/>
                <w:color w:val="0070C0"/>
                <w:sz w:val="16"/>
                <w:szCs w:val="16"/>
              </w:rPr>
            </w:pPr>
          </w:p>
        </w:tc>
      </w:tr>
      <w:tr w:rsidR="009203B3" w:rsidRPr="00142305" w14:paraId="18BB4A13" w14:textId="77777777" w:rsidTr="009203B3">
        <w:trPr>
          <w:trHeight w:hRule="exact" w:val="1286"/>
        </w:trPr>
        <w:tc>
          <w:tcPr>
            <w:tcW w:w="979" w:type="dxa"/>
            <w:tcBorders>
              <w:top w:val="single" w:sz="4" w:space="0" w:color="auto"/>
              <w:left w:val="single" w:sz="4" w:space="0" w:color="auto"/>
            </w:tcBorders>
            <w:shd w:val="clear" w:color="auto" w:fill="FFFFFF"/>
            <w:vAlign w:val="bottom"/>
          </w:tcPr>
          <w:p w14:paraId="2E2A53DF"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Объединенная военная школа летчиков и авиатехников (Вольск)</w:t>
            </w:r>
          </w:p>
        </w:tc>
        <w:tc>
          <w:tcPr>
            <w:tcW w:w="950" w:type="dxa"/>
            <w:tcBorders>
              <w:top w:val="single" w:sz="4" w:space="0" w:color="auto"/>
              <w:left w:val="single" w:sz="4" w:space="0" w:color="auto"/>
            </w:tcBorders>
            <w:shd w:val="clear" w:color="auto" w:fill="FFFFFF"/>
            <w:vAlign w:val="bottom"/>
          </w:tcPr>
          <w:p w14:paraId="28E05CB8"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Курсы сухопутных летчиков</w:t>
            </w:r>
          </w:p>
          <w:p w14:paraId="4251B5FE"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Курсы младших авиатехников</w:t>
            </w:r>
          </w:p>
        </w:tc>
        <w:tc>
          <w:tcPr>
            <w:tcW w:w="1490" w:type="dxa"/>
            <w:tcBorders>
              <w:top w:val="single" w:sz="4" w:space="0" w:color="auto"/>
              <w:left w:val="single" w:sz="4" w:space="0" w:color="auto"/>
            </w:tcBorders>
            <w:shd w:val="clear" w:color="auto" w:fill="FFFFFF"/>
            <w:vAlign w:val="bottom"/>
          </w:tcPr>
          <w:p w14:paraId="53BF9F20"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Ученики-летчики</w:t>
            </w:r>
          </w:p>
          <w:p w14:paraId="79485DE5"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Авиатехники</w:t>
            </w:r>
          </w:p>
        </w:tc>
        <w:tc>
          <w:tcPr>
            <w:tcW w:w="1375" w:type="dxa"/>
            <w:tcBorders>
              <w:top w:val="single" w:sz="4" w:space="0" w:color="auto"/>
              <w:left w:val="single" w:sz="4" w:space="0" w:color="auto"/>
            </w:tcBorders>
            <w:shd w:val="clear" w:color="auto" w:fill="FFFFFF"/>
            <w:vAlign w:val="bottom"/>
          </w:tcPr>
          <w:p w14:paraId="68472123"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0BCF1ACD"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p w14:paraId="2343F135"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008943B7"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tc>
        <w:tc>
          <w:tcPr>
            <w:tcW w:w="576" w:type="dxa"/>
            <w:tcBorders>
              <w:top w:val="single" w:sz="4" w:space="0" w:color="auto"/>
              <w:left w:val="single" w:sz="4" w:space="0" w:color="auto"/>
            </w:tcBorders>
            <w:shd w:val="clear" w:color="auto" w:fill="FFFFFF"/>
            <w:vAlign w:val="bottom"/>
          </w:tcPr>
          <w:p w14:paraId="2CF78592"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2ECBED76"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г.</w:t>
            </w:r>
          </w:p>
        </w:tc>
        <w:tc>
          <w:tcPr>
            <w:tcW w:w="1019" w:type="dxa"/>
            <w:tcBorders>
              <w:top w:val="single" w:sz="4" w:space="0" w:color="auto"/>
              <w:left w:val="single" w:sz="4" w:space="0" w:color="auto"/>
              <w:right w:val="single" w:sz="4" w:space="0" w:color="auto"/>
            </w:tcBorders>
            <w:shd w:val="clear" w:color="auto" w:fill="FFFFFF"/>
          </w:tcPr>
          <w:p w14:paraId="6061886B" w14:textId="77777777" w:rsidR="009203B3" w:rsidRPr="00142305" w:rsidRDefault="009203B3" w:rsidP="00DC550A">
            <w:pPr>
              <w:spacing w:after="0" w:line="240" w:lineRule="auto"/>
              <w:jc w:val="both"/>
              <w:rPr>
                <w:rFonts w:ascii="Times New Roman" w:hAnsi="Times New Roman"/>
                <w:color w:val="0070C0"/>
                <w:sz w:val="16"/>
                <w:szCs w:val="16"/>
              </w:rPr>
            </w:pPr>
          </w:p>
        </w:tc>
      </w:tr>
      <w:tr w:rsidR="009203B3" w:rsidRPr="00142305" w14:paraId="1ED1DBD9" w14:textId="77777777" w:rsidTr="009203B3">
        <w:trPr>
          <w:trHeight w:hRule="exact" w:val="1263"/>
        </w:trPr>
        <w:tc>
          <w:tcPr>
            <w:tcW w:w="979" w:type="dxa"/>
            <w:tcBorders>
              <w:top w:val="single" w:sz="4" w:space="0" w:color="auto"/>
              <w:left w:val="single" w:sz="4" w:space="0" w:color="auto"/>
            </w:tcBorders>
            <w:shd w:val="clear" w:color="auto" w:fill="FFFFFF"/>
            <w:vAlign w:val="bottom"/>
          </w:tcPr>
          <w:p w14:paraId="64158AED"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спецслужб ВВС (Москва)</w:t>
            </w:r>
          </w:p>
        </w:tc>
        <w:tc>
          <w:tcPr>
            <w:tcW w:w="950" w:type="dxa"/>
            <w:tcBorders>
              <w:top w:val="single" w:sz="4" w:space="0" w:color="auto"/>
              <w:left w:val="single" w:sz="4" w:space="0" w:color="auto"/>
            </w:tcBorders>
            <w:shd w:val="clear" w:color="auto" w:fill="FFFFFF"/>
            <w:vAlign w:val="bottom"/>
          </w:tcPr>
          <w:p w14:paraId="297F7FA3"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Курсы инструкторов спецслужб 2) Курсы техников спецслужб</w:t>
            </w:r>
          </w:p>
        </w:tc>
        <w:tc>
          <w:tcPr>
            <w:tcW w:w="1490" w:type="dxa"/>
            <w:tcBorders>
              <w:top w:val="single" w:sz="4" w:space="0" w:color="auto"/>
              <w:left w:val="single" w:sz="4" w:space="0" w:color="auto"/>
            </w:tcBorders>
            <w:shd w:val="clear" w:color="auto" w:fill="FFFFFF"/>
          </w:tcPr>
          <w:p w14:paraId="1B506C61"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Инструкторы по фото, аэронавигации, радио для строевых частей ВВС 2) Фотограмметрией»! фотолаборанты, радиотехники и др.</w:t>
            </w:r>
          </w:p>
        </w:tc>
        <w:tc>
          <w:tcPr>
            <w:tcW w:w="1375" w:type="dxa"/>
            <w:tcBorders>
              <w:top w:val="single" w:sz="4" w:space="0" w:color="auto"/>
              <w:left w:val="single" w:sz="4" w:space="0" w:color="auto"/>
            </w:tcBorders>
            <w:shd w:val="clear" w:color="auto" w:fill="FFFFFF"/>
            <w:vAlign w:val="bottom"/>
          </w:tcPr>
          <w:p w14:paraId="775A88BF"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Летнабами</w:t>
            </w:r>
          </w:p>
          <w:p w14:paraId="673CFA79"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2961F429"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tc>
        <w:tc>
          <w:tcPr>
            <w:tcW w:w="576" w:type="dxa"/>
            <w:tcBorders>
              <w:top w:val="single" w:sz="4" w:space="0" w:color="auto"/>
              <w:left w:val="single" w:sz="4" w:space="0" w:color="auto"/>
            </w:tcBorders>
            <w:shd w:val="clear" w:color="auto" w:fill="FFFFFF"/>
            <w:vAlign w:val="bottom"/>
          </w:tcPr>
          <w:p w14:paraId="2DE09A91"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 м.</w:t>
            </w:r>
          </w:p>
          <w:p w14:paraId="1C968611"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55A20866"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p w14:paraId="4429232C"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79371AF5"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г.</w:t>
            </w:r>
          </w:p>
        </w:tc>
        <w:tc>
          <w:tcPr>
            <w:tcW w:w="1019" w:type="dxa"/>
            <w:tcBorders>
              <w:top w:val="single" w:sz="4" w:space="0" w:color="auto"/>
              <w:left w:val="single" w:sz="4" w:space="0" w:color="auto"/>
              <w:right w:val="single" w:sz="4" w:space="0" w:color="auto"/>
            </w:tcBorders>
            <w:shd w:val="clear" w:color="auto" w:fill="FFFFFF"/>
          </w:tcPr>
          <w:p w14:paraId="52123040" w14:textId="77777777" w:rsidR="009203B3" w:rsidRPr="00142305" w:rsidRDefault="009203B3" w:rsidP="00DC550A">
            <w:pPr>
              <w:spacing w:after="0" w:line="240" w:lineRule="auto"/>
              <w:jc w:val="both"/>
              <w:rPr>
                <w:rFonts w:ascii="Times New Roman" w:hAnsi="Times New Roman"/>
                <w:color w:val="0070C0"/>
                <w:sz w:val="16"/>
                <w:szCs w:val="16"/>
              </w:rPr>
            </w:pPr>
          </w:p>
        </w:tc>
      </w:tr>
      <w:tr w:rsidR="009203B3" w:rsidRPr="00142305" w14:paraId="630EC8C3" w14:textId="77777777" w:rsidTr="009203B3">
        <w:trPr>
          <w:trHeight w:hRule="exact" w:val="979"/>
        </w:trPr>
        <w:tc>
          <w:tcPr>
            <w:tcW w:w="979" w:type="dxa"/>
            <w:tcBorders>
              <w:top w:val="single" w:sz="4" w:space="0" w:color="auto"/>
              <w:left w:val="single" w:sz="4" w:space="0" w:color="auto"/>
              <w:bottom w:val="single" w:sz="4" w:space="0" w:color="auto"/>
            </w:tcBorders>
            <w:shd w:val="clear" w:color="auto" w:fill="CCD7DE"/>
            <w:vAlign w:val="bottom"/>
          </w:tcPr>
          <w:p w14:paraId="73EBCA14" w14:textId="77777777" w:rsidR="009203B3" w:rsidRPr="00142305" w:rsidRDefault="009203B3"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82-й МВО (Серпухов)</w:t>
            </w:r>
          </w:p>
          <w:p w14:paraId="37B44E96" w14:textId="77777777" w:rsidR="009203B3" w:rsidRPr="00142305" w:rsidRDefault="009203B3"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й У ВО (Киев)</w:t>
            </w:r>
          </w:p>
          <w:p w14:paraId="1B37AAEF" w14:textId="77777777" w:rsidR="009203B3" w:rsidRPr="00142305" w:rsidRDefault="009203B3"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83-й БВО (Смоленск)</w:t>
            </w:r>
          </w:p>
          <w:p w14:paraId="41A54F84" w14:textId="77777777" w:rsidR="009203B3" w:rsidRPr="00142305" w:rsidRDefault="009203B3" w:rsidP="00DC550A">
            <w:pPr>
              <w:pStyle w:val="afff3"/>
              <w:numPr>
                <w:ilvl w:val="0"/>
                <w:numId w:val="8"/>
              </w:numPr>
              <w:tabs>
                <w:tab w:val="left" w:pos="122"/>
              </w:tabs>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й ЛВО (Красногв.)</w:t>
            </w:r>
          </w:p>
        </w:tc>
        <w:tc>
          <w:tcPr>
            <w:tcW w:w="950" w:type="dxa"/>
            <w:tcBorders>
              <w:top w:val="single" w:sz="4" w:space="0" w:color="auto"/>
              <w:left w:val="single" w:sz="4" w:space="0" w:color="auto"/>
              <w:bottom w:val="single" w:sz="4" w:space="0" w:color="auto"/>
            </w:tcBorders>
            <w:shd w:val="clear" w:color="auto" w:fill="FFFFFF"/>
            <w:vAlign w:val="center"/>
          </w:tcPr>
          <w:p w14:paraId="7DE859BC"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военных пилотов</w:t>
            </w:r>
          </w:p>
        </w:tc>
        <w:tc>
          <w:tcPr>
            <w:tcW w:w="1490" w:type="dxa"/>
            <w:tcBorders>
              <w:top w:val="single" w:sz="4" w:space="0" w:color="auto"/>
              <w:left w:val="single" w:sz="4" w:space="0" w:color="auto"/>
              <w:bottom w:val="single" w:sz="4" w:space="0" w:color="auto"/>
            </w:tcBorders>
            <w:shd w:val="clear" w:color="auto" w:fill="FFFFFF"/>
            <w:vAlign w:val="bottom"/>
          </w:tcPr>
          <w:p w14:paraId="55C778E2" w14:textId="77777777" w:rsidR="009203B3" w:rsidRPr="00142305" w:rsidRDefault="009203B3" w:rsidP="00DC550A">
            <w:pPr>
              <w:pStyle w:val="afff3"/>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Военные пилоты</w:t>
            </w:r>
          </w:p>
        </w:tc>
        <w:tc>
          <w:tcPr>
            <w:tcW w:w="1375" w:type="dxa"/>
            <w:tcBorders>
              <w:top w:val="single" w:sz="4" w:space="0" w:color="auto"/>
              <w:left w:val="single" w:sz="4" w:space="0" w:color="auto"/>
              <w:bottom w:val="single" w:sz="4" w:space="0" w:color="auto"/>
            </w:tcBorders>
            <w:shd w:val="clear" w:color="auto" w:fill="FFFFFF"/>
          </w:tcPr>
          <w:p w14:paraId="60754C0B" w14:textId="77777777" w:rsidR="009203B3" w:rsidRPr="00142305" w:rsidRDefault="009203B3" w:rsidP="00DC550A">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bottom w:val="single" w:sz="4" w:space="0" w:color="auto"/>
            </w:tcBorders>
            <w:shd w:val="clear" w:color="auto" w:fill="FFFFFF"/>
          </w:tcPr>
          <w:p w14:paraId="0EF328F3" w14:textId="77777777" w:rsidR="009203B3" w:rsidRPr="00142305" w:rsidRDefault="009203B3" w:rsidP="00DC550A">
            <w:pPr>
              <w:spacing w:after="0" w:line="240" w:lineRule="auto"/>
              <w:jc w:val="both"/>
              <w:rPr>
                <w:rFonts w:ascii="Times New Roman" w:hAnsi="Times New Roman"/>
                <w:color w:val="0070C0"/>
                <w:sz w:val="16"/>
                <w:szCs w:val="16"/>
              </w:rPr>
            </w:pPr>
          </w:p>
        </w:tc>
        <w:tc>
          <w:tcPr>
            <w:tcW w:w="1019" w:type="dxa"/>
            <w:tcBorders>
              <w:top w:val="single" w:sz="4" w:space="0" w:color="auto"/>
              <w:left w:val="single" w:sz="4" w:space="0" w:color="auto"/>
              <w:bottom w:val="single" w:sz="4" w:space="0" w:color="auto"/>
              <w:right w:val="single" w:sz="4" w:space="0" w:color="auto"/>
            </w:tcBorders>
            <w:shd w:val="clear" w:color="auto" w:fill="FFFFFF"/>
          </w:tcPr>
          <w:p w14:paraId="2176BBC9" w14:textId="77777777" w:rsidR="009203B3" w:rsidRPr="00142305" w:rsidRDefault="009203B3" w:rsidP="00DC550A">
            <w:pPr>
              <w:spacing w:after="0" w:line="240" w:lineRule="auto"/>
              <w:jc w:val="both"/>
              <w:rPr>
                <w:rFonts w:ascii="Times New Roman" w:hAnsi="Times New Roman"/>
                <w:color w:val="0070C0"/>
                <w:sz w:val="16"/>
                <w:szCs w:val="16"/>
              </w:rPr>
            </w:pPr>
          </w:p>
        </w:tc>
      </w:tr>
    </w:tbl>
    <w:p w14:paraId="4938CA44" w14:textId="77777777" w:rsidR="009203B3" w:rsidRPr="00142305" w:rsidRDefault="009203B3" w:rsidP="009203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(24968).</w:t>
      </w:r>
    </w:p>
    <w:p w14:paraId="22B45BFC" w14:textId="77777777" w:rsidR="009203B3" w:rsidRPr="00142305" w:rsidRDefault="009203B3" w:rsidP="009203B3">
      <w:pPr>
        <w:pStyle w:val="aff2"/>
        <w:tabs>
          <w:tab w:val="left" w:pos="594"/>
        </w:tabs>
        <w:spacing w:line="240" w:lineRule="auto"/>
        <w:rPr>
          <w:rFonts w:ascii="Times New Roman" w:hAnsi="Times New Roman" w:cs="Times New Roman"/>
          <w:i w:val="0"/>
          <w:iCs w:val="0"/>
          <w:color w:val="0070C0"/>
          <w:sz w:val="16"/>
          <w:szCs w:val="16"/>
        </w:rPr>
      </w:pPr>
    </w:p>
    <w:p w14:paraId="36BE59A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F828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3844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СНК СССР постановлением № 859 предписал «немедленно приступить к сооружению водного канала Волга-Москва, утвердив Дмитровский вариант направления этого канала», с тем чтобы закончить все работы «к ноябрю месяцу 1934 года», «строительство канала отнести к особому списку крупных индустриальных строек; обязать Наркомтруд СССР отвести строительству районы для вербовки рабочей силы; разрешить использовать на строительстве части рабочей силы, техперсонала и оборудования, освобождающихся от работ на строительстве Беломорско-Балтийского канала» (7560).</w:t>
      </w:r>
    </w:p>
    <w:p w14:paraId="42AAD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408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вышло постановление СНК СССР о строительстве канала Москва-Волга с привлечением заключенных (11437).</w:t>
      </w:r>
    </w:p>
    <w:p w14:paraId="7DA6B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C8850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7A305F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E86BB0" w14:textId="77777777" w:rsidR="00032976" w:rsidRPr="00E93F40" w:rsidRDefault="000329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 июня 1932 г. вышли обновленные ТТТ ВВС к серийному самолету ТШ-2 М-17, которые предусматривали установку двух син</w:t>
      </w:r>
      <w:r w:rsidRPr="00E93F40">
        <w:rPr>
          <w:rFonts w:ascii="Times New Roman" w:hAnsi="Times New Roman"/>
          <w:color w:val="000000" w:themeColor="text1"/>
          <w:sz w:val="16"/>
          <w:szCs w:val="16"/>
          <w:lang w:eastAsia="ru-RU" w:bidi="ru-RU"/>
        </w:rPr>
        <w:softHyphen/>
        <w:t>хронных пулеметов ПВ-1, 8 пулеметов ПВ-1 в двух батареях под крылом, спарки пулеметов ДА-2 (600 патронов в 10 дис</w:t>
      </w:r>
      <w:r w:rsidRPr="00E93F40">
        <w:rPr>
          <w:rFonts w:ascii="Times New Roman" w:hAnsi="Times New Roman"/>
          <w:color w:val="000000" w:themeColor="text1"/>
          <w:sz w:val="16"/>
          <w:szCs w:val="16"/>
          <w:lang w:eastAsia="ru-RU" w:bidi="ru-RU"/>
        </w:rPr>
        <w:softHyphen/>
        <w:t>ках) на турели в кабине летнаба, и четы</w:t>
      </w:r>
      <w:r w:rsidRPr="00E93F40">
        <w:rPr>
          <w:rFonts w:ascii="Times New Roman" w:hAnsi="Times New Roman"/>
          <w:color w:val="000000" w:themeColor="text1"/>
          <w:sz w:val="16"/>
          <w:szCs w:val="16"/>
          <w:lang w:eastAsia="ru-RU" w:bidi="ru-RU"/>
        </w:rPr>
        <w:softHyphen/>
        <w:t>рех бомбодержателей Дер-6бис.</w:t>
      </w:r>
    </w:p>
    <w:p w14:paraId="4A77EE11" w14:textId="77777777" w:rsidR="00032976" w:rsidRPr="00E93F40" w:rsidRDefault="000329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Пристрелка крыльевых пулеметов вы</w:t>
      </w:r>
      <w:r w:rsidRPr="00E93F40">
        <w:rPr>
          <w:rFonts w:ascii="Times New Roman" w:hAnsi="Times New Roman"/>
          <w:color w:val="000000" w:themeColor="text1"/>
          <w:sz w:val="16"/>
          <w:szCs w:val="16"/>
          <w:lang w:eastAsia="ru-RU" w:bidi="ru-RU"/>
        </w:rPr>
        <w:softHyphen/>
        <w:t>полнялась из расчета поражения целей на дистанции 800 м при высоте боевого при</w:t>
      </w:r>
      <w:r w:rsidRPr="00E93F40">
        <w:rPr>
          <w:rFonts w:ascii="Times New Roman" w:hAnsi="Times New Roman"/>
          <w:color w:val="000000" w:themeColor="text1"/>
          <w:sz w:val="16"/>
          <w:szCs w:val="16"/>
          <w:lang w:eastAsia="ru-RU" w:bidi="ru-RU"/>
        </w:rPr>
        <w:softHyphen/>
        <w:t>менения 35 м. При этом веер-раствор со</w:t>
      </w:r>
      <w:r w:rsidRPr="00E93F40">
        <w:rPr>
          <w:rFonts w:ascii="Times New Roman" w:hAnsi="Times New Roman"/>
          <w:color w:val="000000" w:themeColor="text1"/>
          <w:sz w:val="16"/>
          <w:szCs w:val="16"/>
          <w:lang w:eastAsia="ru-RU" w:bidi="ru-RU"/>
        </w:rPr>
        <w:softHyphen/>
        <w:t>ставлял 50 м, угол наклона стволов вниз - 2°. Синхронные пулеметы ПВ-1 пристре</w:t>
      </w:r>
      <w:r w:rsidRPr="00E93F40">
        <w:rPr>
          <w:rFonts w:ascii="Times New Roman" w:hAnsi="Times New Roman"/>
          <w:color w:val="000000" w:themeColor="text1"/>
          <w:sz w:val="16"/>
          <w:szCs w:val="16"/>
          <w:lang w:eastAsia="ru-RU" w:bidi="ru-RU"/>
        </w:rPr>
        <w:softHyphen/>
        <w:t>ливались на дистанцию 400 м, турельные ДА-2 - на 600 м.</w:t>
      </w:r>
    </w:p>
    <w:p w14:paraId="75F4E5AD" w14:textId="77777777" w:rsidR="00032976" w:rsidRPr="00E93F40" w:rsidRDefault="00032976"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На держатели Дер-6бис допускалась подвеска бомб калибра до 100 кг или вы- ливных авиаприборов типа ВАП-4 для от</w:t>
      </w:r>
      <w:r w:rsidRPr="00E93F40">
        <w:rPr>
          <w:rFonts w:ascii="Times New Roman" w:hAnsi="Times New Roman"/>
          <w:color w:val="000000" w:themeColor="text1"/>
          <w:sz w:val="16"/>
          <w:szCs w:val="16"/>
          <w:lang w:eastAsia="ru-RU" w:bidi="ru-RU"/>
        </w:rPr>
        <w:softHyphen/>
        <w:t>равляющих и зажигательных веществ (21062).</w:t>
      </w:r>
    </w:p>
    <w:p w14:paraId="4F1C2671" w14:textId="77777777" w:rsidR="00032976" w:rsidRPr="00E93F40" w:rsidRDefault="00032976" w:rsidP="00E93F40">
      <w:pPr>
        <w:spacing w:after="0" w:line="240" w:lineRule="auto"/>
        <w:jc w:val="both"/>
        <w:rPr>
          <w:rFonts w:ascii="Times New Roman" w:hAnsi="Times New Roman"/>
          <w:color w:val="000000" w:themeColor="text1"/>
          <w:sz w:val="16"/>
          <w:szCs w:val="16"/>
        </w:rPr>
      </w:pPr>
    </w:p>
    <w:p w14:paraId="34290B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июня 1932 года зам. начальника ВВС Меженинов писал письмо N 038404 председателю РВС.</w:t>
      </w:r>
    </w:p>
    <w:p w14:paraId="25A773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ходе производства самолетов ТБ-3 на заводе N 22.</w:t>
      </w:r>
    </w:p>
    <w:p w14:paraId="24192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Докладываю о ходе производства самолетов ТБ-3 на заводе N 22 по состоянию на 1 апреля 1932 года.</w:t>
      </w:r>
    </w:p>
    <w:p w14:paraId="73415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подготовляемых к дальнему перелету самолетах NN с 1 по 12 при испытательных полетах перед первомайским парадом, при участи на самом параде и при осмотре военным представителем УВВС было обнаружено большое количество дефектов, наличие коих исключает возможность дальнего перелета этих машин и нормальную их эксплуатацию до устранения замеченных дефектов.</w:t>
      </w:r>
    </w:p>
    <w:p w14:paraId="2DBC0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NN 13 по 30.</w:t>
      </w:r>
    </w:p>
    <w:p w14:paraId="20D3BE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с NN 13 по 20 и 22 по 23 находятся на заводском аэродроме, остальные в сборочном цеху завода. Самолет N 21 принят военным представителем и передается ЦАГИ для установки на нем моторов М-34 (3027).</w:t>
      </w:r>
    </w:p>
    <w:p w14:paraId="763D4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17E5C4"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июня 1932 К.Р. Золотарев отправил в Москву нач. Авиапрома Мухину подробный доклад о положение на строительстве, в котором сообщалось, что место выбранное под строительство завода № 126 имеет высокую вероятность затопления осенними паводками. </w:t>
      </w:r>
    </w:p>
    <w:p w14:paraId="5AD645A0"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Однако, несмотря на все данные о высокой вероятности затопления этой площадки, строительство и складирование необходимых грузов осуществлялось без учета этого фактора. В результате в сентябре небывалый на Амуре паводок нанес большой урон стройке. Материальные ресурсы строительных объектов на промплощадке, в том числе, котлован главного корпуса и аэродром, — все оказалось затопленным. Из 570 га, отведенных под стройку, 390, т.е. 70% всей площади оказалось под водой. </w:t>
      </w:r>
    </w:p>
    <w:p w14:paraId="6939F885" w14:textId="77777777" w:rsidR="00272919" w:rsidRPr="00E93F40" w:rsidRDefault="0027291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стройке срочно была создана экспедиция под руководством инженера Л. Кравцова, которая в короткий срок нашла новое место для строительства в 4-5 км от прежней стройки. На ней вновь развернулись работы по корчевке тайги и осушению болот (12211).</w:t>
      </w:r>
    </w:p>
    <w:p w14:paraId="6FFFE7A5" w14:textId="77777777" w:rsidR="00272919" w:rsidRPr="00E93F40" w:rsidRDefault="00272919" w:rsidP="00E93F40">
      <w:pPr>
        <w:spacing w:after="0" w:line="240" w:lineRule="auto"/>
        <w:jc w:val="both"/>
        <w:rPr>
          <w:rFonts w:ascii="Times New Roman" w:hAnsi="Times New Roman"/>
          <w:color w:val="000000" w:themeColor="text1"/>
          <w:sz w:val="16"/>
          <w:szCs w:val="16"/>
        </w:rPr>
      </w:pPr>
    </w:p>
    <w:p w14:paraId="54BEEB91" w14:textId="77777777" w:rsidR="00032976" w:rsidRPr="00E93F40" w:rsidRDefault="000329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июня 1932 опросом членов ПБ</w:t>
      </w:r>
    </w:p>
    <w:p w14:paraId="3B5FF850" w14:textId="77777777" w:rsidR="00032976" w:rsidRPr="00E93F40" w:rsidRDefault="000329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47/1.- О_карбюраторах, магнето и помпах.</w:t>
      </w:r>
    </w:p>
    <w:p w14:paraId="6BC5D859" w14:textId="77777777" w:rsidR="00032976" w:rsidRPr="00E93F40" w:rsidRDefault="000329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Санкционировать произведенные Комитетом Ре</w:t>
      </w:r>
      <w:r w:rsidRPr="00E93F40">
        <w:rPr>
          <w:rFonts w:ascii="Times New Roman" w:hAnsi="Times New Roman"/>
          <w:color w:val="000000" w:themeColor="text1"/>
          <w:sz w:val="16"/>
          <w:szCs w:val="16"/>
        </w:rPr>
        <w:softHyphen/>
        <w:t>зервов выдачи из специального резерва для выполнения апрельской и майской программ Главиваппому: карбюра</w:t>
      </w:r>
      <w:r w:rsidRPr="00E93F40">
        <w:rPr>
          <w:rFonts w:ascii="Times New Roman" w:hAnsi="Times New Roman"/>
          <w:color w:val="000000" w:themeColor="text1"/>
          <w:sz w:val="16"/>
          <w:szCs w:val="16"/>
        </w:rPr>
        <w:softHyphen/>
        <w:t>торов 139 комплектов, бензопомп 311 компл., магнето 150 комплектов.</w:t>
      </w:r>
    </w:p>
    <w:p w14:paraId="2009AC85" w14:textId="77777777" w:rsidR="00032976" w:rsidRPr="00E93F40" w:rsidRDefault="000329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разрешить Комитету Резервов дополнительно вы</w:t>
      </w:r>
      <w:r w:rsidRPr="00E93F40">
        <w:rPr>
          <w:rFonts w:ascii="Times New Roman" w:hAnsi="Times New Roman"/>
          <w:color w:val="000000" w:themeColor="text1"/>
          <w:sz w:val="16"/>
          <w:szCs w:val="16"/>
        </w:rPr>
        <w:softHyphen/>
        <w:t>дать для выполнения июньской программы Глававиапрому: карбюраторов 122 компл., бензопомп 109 компл. и магне</w:t>
      </w:r>
      <w:r w:rsidRPr="00E93F40">
        <w:rPr>
          <w:rFonts w:ascii="Times New Roman" w:hAnsi="Times New Roman"/>
          <w:color w:val="000000" w:themeColor="text1"/>
          <w:sz w:val="16"/>
          <w:szCs w:val="16"/>
        </w:rPr>
        <w:softHyphen/>
        <w:t>то 5-ти цилиндровых - 181 компл., магнето 9-ти цилин</w:t>
      </w:r>
      <w:r w:rsidRPr="00E93F40">
        <w:rPr>
          <w:rFonts w:ascii="Times New Roman" w:hAnsi="Times New Roman"/>
          <w:color w:val="000000" w:themeColor="text1"/>
          <w:sz w:val="16"/>
          <w:szCs w:val="16"/>
        </w:rPr>
        <w:softHyphen/>
        <w:t>дровых - 52 компл.</w:t>
      </w:r>
    </w:p>
    <w:p w14:paraId="2E2C2A3B" w14:textId="77777777" w:rsidR="00032976" w:rsidRPr="00E93F40" w:rsidRDefault="000329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Обязать НаркомтяжпреЙ обеспечить выполнение заводами Наркомтяжпрома июньской программы по выпус</w:t>
      </w:r>
      <w:r w:rsidRPr="00E93F40">
        <w:rPr>
          <w:rFonts w:ascii="Times New Roman" w:hAnsi="Times New Roman"/>
          <w:color w:val="000000" w:themeColor="text1"/>
          <w:sz w:val="16"/>
          <w:szCs w:val="16"/>
        </w:rPr>
        <w:softHyphen/>
        <w:t>ку помп, магнето и карбюраторов.</w:t>
      </w:r>
    </w:p>
    <w:p w14:paraId="6F5CF0F3" w14:textId="77777777" w:rsidR="00032976" w:rsidRPr="00E93F40" w:rsidRDefault="000329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Орджоникидзе; Комитету Резервов - т. Зибраку.</w:t>
      </w:r>
    </w:p>
    <w:p w14:paraId="5B947A1C" w14:textId="77777777" w:rsidR="00032976" w:rsidRPr="00E93F40" w:rsidRDefault="000329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июня 1932 состоялся первый полет RWD-6 (20803).</w:t>
      </w:r>
    </w:p>
    <w:p w14:paraId="6A1D6A4C" w14:textId="77777777" w:rsidR="00032976" w:rsidRPr="00E93F40" w:rsidRDefault="00032976" w:rsidP="00E93F40">
      <w:pPr>
        <w:spacing w:after="0" w:line="240" w:lineRule="auto"/>
        <w:jc w:val="both"/>
        <w:rPr>
          <w:rFonts w:ascii="Times New Roman" w:hAnsi="Times New Roman"/>
          <w:color w:val="000000" w:themeColor="text1"/>
          <w:sz w:val="16"/>
          <w:szCs w:val="16"/>
        </w:rPr>
      </w:pPr>
    </w:p>
    <w:p w14:paraId="4766A34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792717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18F0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июня 1932 Нач. ЦАГИ Харламовым было созвано специальное совещание с представителями Глававиапрома, на котором выяснилось следующее:</w:t>
      </w:r>
    </w:p>
    <w:p w14:paraId="4FCB5C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правильного решения вопроса в выборе материа</w:t>
      </w:r>
      <w:r w:rsidRPr="00E93F40">
        <w:rPr>
          <w:rFonts w:ascii="Times New Roman" w:hAnsi="Times New Roman"/>
          <w:color w:val="000000" w:themeColor="text1"/>
          <w:sz w:val="16"/>
          <w:szCs w:val="16"/>
        </w:rPr>
        <w:softHyphen/>
        <w:t>ла для самолета, необходимо получить от Глававиапрома указания о типах и количестве самолетов данного типа, которые должны быть построены в ближайшие годы 2-й пятилет ки.</w:t>
      </w:r>
    </w:p>
    <w:p w14:paraId="47969D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 Ориентировочные данные по годам развития о мощности сырьевой базы по основным материалам: стали, хромо-молибденовым трубам, нержавеющей стали, дюраля, электрон и дерево. Эти сведения необходимы, т.к. мощность сырьевой базы влияет на выбор материала для самолета.</w:t>
      </w:r>
    </w:p>
    <w:p w14:paraId="78152A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Указание о заводах, на которых будет строиться данный тип самолета, т.к. прикрепление самолета заранее к тому или другому заводу, влияет на выбор конструкции и материал самолета.</w:t>
      </w:r>
    </w:p>
    <w:p w14:paraId="5F05FA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того, что в настоящий момент мы пускаем в раз</w:t>
      </w:r>
      <w:r w:rsidRPr="00E93F40">
        <w:rPr>
          <w:rFonts w:ascii="Times New Roman" w:hAnsi="Times New Roman"/>
          <w:color w:val="000000" w:themeColor="text1"/>
          <w:sz w:val="16"/>
          <w:szCs w:val="16"/>
        </w:rPr>
        <w:softHyphen/>
        <w:t>работку самолеты плана 1932 года, просимые сведения долж</w:t>
      </w:r>
      <w:r w:rsidRPr="00E93F40">
        <w:rPr>
          <w:rFonts w:ascii="Times New Roman" w:hAnsi="Times New Roman"/>
          <w:color w:val="000000" w:themeColor="text1"/>
          <w:sz w:val="16"/>
          <w:szCs w:val="16"/>
        </w:rPr>
        <w:softHyphen/>
        <w:t>ны быть даны нам в самый кратчайший срок.</w:t>
      </w:r>
    </w:p>
    <w:p w14:paraId="0373C1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ЦГАОР. ф. 147с, оп. 15, д. 72, л. 193 (1026,153).</w:t>
      </w:r>
    </w:p>
    <w:p w14:paraId="0ADF81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37252E" w14:textId="77777777"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июня 1932 года итогам анализа сложившегося положения дел со строительством воронежских авиационных заводов, начальник ГУАП П. И. Баранов издал приказ № 14/294, в котором, в частности, сказано, что выполнение производственного плана по заводу № 16 за первый квартал 1932 года составило 43%, а от годовой программы только 8,1%.</w:t>
      </w:r>
    </w:p>
    <w:p w14:paraId="649A2BA7" w14:textId="77777777"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Проверяющие зафиксировали прогиб деревянных гвоздевых балок левого и правого крыла корпуса, протекание крыш, плохое качество остекления световых фонарей, установки оконных переплетов, дверей и множество других недостатков.</w:t>
      </w:r>
    </w:p>
    <w:p w14:paraId="09898CA0" w14:textId="77777777"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причинами слабого выполнения производственной программы названы неудовлетворительная организация труда на стройках, слабое внедрение социалистических форм труда и хозрасчета, низкая трудовая дисциплина, большое число прогулов, текучесть кадров, неудовлетворительные бытовые условия рабочих и инженерно-технического персонала, чему начальники работ и директора заводов уделяют недостаточно внимания.</w:t>
      </w:r>
    </w:p>
    <w:p w14:paraId="7CE47943" w14:textId="77777777"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окончания работ на отдельных объектах были установлены очень жесткие. Окрик из Москвы возымел действие, о чем можно судить по дальнейшим событиям (24153).</w:t>
      </w:r>
    </w:p>
    <w:p w14:paraId="640D06CF" w14:textId="77777777" w:rsidR="00910501" w:rsidRPr="00E93F40" w:rsidRDefault="00910501" w:rsidP="00E93F40">
      <w:pPr>
        <w:spacing w:after="0" w:line="240" w:lineRule="auto"/>
        <w:jc w:val="both"/>
        <w:rPr>
          <w:rFonts w:ascii="Times New Roman" w:hAnsi="Times New Roman"/>
          <w:color w:val="000000" w:themeColor="text1"/>
          <w:sz w:val="16"/>
          <w:szCs w:val="16"/>
        </w:rPr>
      </w:pPr>
    </w:p>
    <w:p w14:paraId="672E7E9F" w14:textId="77777777" w:rsidR="001C0CAF" w:rsidRPr="00E93F40" w:rsidRDefault="001C0CA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DBC7685" w14:textId="77777777" w:rsidR="001C0CAF" w:rsidRPr="00E93F40" w:rsidRDefault="001C0CA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1BC793" w14:textId="77777777" w:rsidR="001C0CAF" w:rsidRPr="00E93F40" w:rsidRDefault="001C0CAF"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 июня 1932 года</w:t>
      </w:r>
      <w:r w:rsidRPr="00E93F40">
        <w:rPr>
          <w:rFonts w:ascii="Times New Roman" w:hAnsi="Times New Roman"/>
          <w:color w:val="000000" w:themeColor="text1"/>
          <w:sz w:val="16"/>
          <w:szCs w:val="16"/>
        </w:rPr>
        <w:t xml:space="preserve"> приказом по Наркомату внешней торговли СССР от 3 июня 1932 года на основании постановления СНК СССР «Об утверждении устава Всесоюзной торговой палаты» на базе Всесоюзно-Западной торговой палаты и Всесоюзно-Российской торговой палаты создана Всесоюзная торговая палата (17267).</w:t>
      </w:r>
    </w:p>
    <w:p w14:paraId="3EC42499" w14:textId="77777777" w:rsidR="001C0CAF" w:rsidRPr="00E93F40" w:rsidRDefault="001C0CAF" w:rsidP="00E93F40">
      <w:pPr>
        <w:spacing w:after="0" w:line="240" w:lineRule="auto"/>
        <w:jc w:val="both"/>
        <w:rPr>
          <w:rFonts w:ascii="Times New Roman" w:hAnsi="Times New Roman"/>
          <w:color w:val="000000" w:themeColor="text1"/>
          <w:sz w:val="16"/>
          <w:szCs w:val="16"/>
        </w:rPr>
      </w:pPr>
    </w:p>
    <w:p w14:paraId="05BCE564" w14:textId="77777777" w:rsidR="001C0CAF" w:rsidRPr="00E93F40" w:rsidRDefault="001C0CAF"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3AB8DEB5" w14:textId="77777777" w:rsidR="001C0CAF" w:rsidRPr="00E93F40" w:rsidRDefault="001C0CAF" w:rsidP="00E93F40">
      <w:pPr>
        <w:spacing w:after="0" w:line="240" w:lineRule="auto"/>
        <w:jc w:val="both"/>
        <w:rPr>
          <w:rFonts w:ascii="Times New Roman" w:hAnsi="Times New Roman"/>
          <w:i/>
          <w:iCs/>
          <w:color w:val="000000" w:themeColor="text1"/>
          <w:sz w:val="16"/>
          <w:szCs w:val="16"/>
        </w:rPr>
      </w:pPr>
    </w:p>
    <w:p w14:paraId="61449421" w14:textId="2E327985" w:rsidR="001C0CAF" w:rsidRPr="00E93F40" w:rsidRDefault="001C0CA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июня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полёт польского спортивного самолёта RWD 6. Он был построен командой RWD Станислава Рогальского, Станислава Вигуры и Ежи Джевецкого в мастерских Студенческого механического клуба Варшавского технологического университета. Был победителем международного конкурса туристических самолётов Challenge 1932. Построено всего три экземпляра (22472).</w:t>
      </w:r>
    </w:p>
    <w:p w14:paraId="1EF38FAE" w14:textId="77777777" w:rsidR="001C0CAF" w:rsidRPr="00E93F40" w:rsidRDefault="001C0CAF" w:rsidP="00E93F40">
      <w:pPr>
        <w:spacing w:after="0" w:line="240" w:lineRule="auto"/>
        <w:jc w:val="both"/>
        <w:rPr>
          <w:rFonts w:ascii="Times New Roman" w:hAnsi="Times New Roman"/>
          <w:color w:val="000000" w:themeColor="text1"/>
          <w:sz w:val="16"/>
          <w:szCs w:val="16"/>
        </w:rPr>
      </w:pPr>
    </w:p>
    <w:p w14:paraId="3B71973C" w14:textId="77777777" w:rsidR="00482B8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FC3AE38" w14:textId="77777777" w:rsidR="00482B8E" w:rsidRPr="00E93F40" w:rsidRDefault="00482B8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FF5084"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июня 1932 г. Ильин как начальник ГДЛ писал Зав. конторой Ленват'а</w:t>
      </w:r>
    </w:p>
    <w:p w14:paraId="3DC0BE4E"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разрешения на систематический отпуск жидкого кислорода в количестве до 500 кг/месяц необходимого ГДЛ для проведения работ сугубо оборонного значения, выполняемых по заданию Тухачевского…» (12702).</w:t>
      </w:r>
    </w:p>
    <w:p w14:paraId="265194D3" w14:textId="77777777" w:rsidR="00684A8A" w:rsidRPr="00E93F40" w:rsidRDefault="00684A8A" w:rsidP="00E93F40">
      <w:pPr>
        <w:spacing w:after="0" w:line="240" w:lineRule="auto"/>
        <w:jc w:val="both"/>
        <w:rPr>
          <w:rFonts w:ascii="Times New Roman" w:hAnsi="Times New Roman"/>
          <w:color w:val="000000" w:themeColor="text1"/>
          <w:sz w:val="16"/>
          <w:szCs w:val="16"/>
        </w:rPr>
      </w:pPr>
    </w:p>
    <w:p w14:paraId="3119AEDE" w14:textId="77777777" w:rsidR="0027291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1563637" w14:textId="77777777" w:rsidR="00272919" w:rsidRPr="00E93F40" w:rsidRDefault="0027291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36AC555" w14:textId="49B38452" w:rsidR="00272919" w:rsidRPr="00E93F40" w:rsidRDefault="00272919" w:rsidP="00E93F40">
      <w:pPr>
        <w:pStyle w:val="rtejustify"/>
        <w:spacing w:before="0" w:after="0"/>
        <w:rPr>
          <w:color w:val="000000" w:themeColor="text1"/>
          <w:sz w:val="16"/>
          <w:szCs w:val="16"/>
        </w:rPr>
      </w:pPr>
      <w:r w:rsidRPr="00E93F40">
        <w:rPr>
          <w:rStyle w:val="af0"/>
          <w:i w:val="0"/>
          <w:color w:val="000000" w:themeColor="text1"/>
          <w:sz w:val="16"/>
          <w:szCs w:val="16"/>
        </w:rPr>
        <w:t>4</w:t>
      </w:r>
      <w:r w:rsidR="007C1411" w:rsidRPr="00E93F40">
        <w:rPr>
          <w:rStyle w:val="af0"/>
          <w:i w:val="0"/>
          <w:color w:val="000000" w:themeColor="text1"/>
          <w:sz w:val="16"/>
          <w:szCs w:val="16"/>
        </w:rPr>
        <w:t xml:space="preserve"> </w:t>
      </w:r>
      <w:r w:rsidRPr="00E93F40">
        <w:rPr>
          <w:rStyle w:val="af0"/>
          <w:i w:val="0"/>
          <w:color w:val="000000" w:themeColor="text1"/>
          <w:sz w:val="16"/>
          <w:szCs w:val="16"/>
        </w:rPr>
        <w:t>июня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16.</w:t>
      </w:r>
      <w:r w:rsidRPr="00E93F40">
        <w:rPr>
          <w:color w:val="000000" w:themeColor="text1"/>
          <w:sz w:val="16"/>
          <w:szCs w:val="16"/>
        </w:rPr>
        <w:t xml:space="preserve"> 4.</w:t>
      </w:r>
      <w:r w:rsidR="007C1411" w:rsidRPr="00E93F40">
        <w:rPr>
          <w:color w:val="000000" w:themeColor="text1"/>
          <w:sz w:val="16"/>
          <w:szCs w:val="16"/>
        </w:rPr>
        <w:t xml:space="preserve"> </w:t>
      </w:r>
      <w:r w:rsidRPr="00E93F40">
        <w:rPr>
          <w:color w:val="000000" w:themeColor="text1"/>
          <w:sz w:val="16"/>
          <w:szCs w:val="16"/>
        </w:rPr>
        <w:t>Ввод на вооружение новых образцов по управлению начальника вооружений. (Тухачевский). 5.</w:t>
      </w:r>
      <w:r w:rsidR="007C1411" w:rsidRPr="00E93F40">
        <w:rPr>
          <w:color w:val="000000" w:themeColor="text1"/>
          <w:sz w:val="16"/>
          <w:szCs w:val="16"/>
        </w:rPr>
        <w:t xml:space="preserve"> </w:t>
      </w:r>
      <w:r w:rsidRPr="00E93F40">
        <w:rPr>
          <w:color w:val="000000" w:themeColor="text1"/>
          <w:sz w:val="16"/>
          <w:szCs w:val="16"/>
        </w:rPr>
        <w:t>Ввод на вооружение прибора Х</w:t>
      </w:r>
      <w:r w:rsidRPr="00E93F40">
        <w:rPr>
          <w:color w:val="000000" w:themeColor="text1"/>
          <w:sz w:val="16"/>
          <w:szCs w:val="16"/>
        </w:rPr>
        <w:noBreakHyphen/>
        <w:t>8 и других приборов торпедно-минного вооружения ВМС РККА. (Лудри). 11.</w:t>
      </w:r>
      <w:r w:rsidR="007C1411" w:rsidRPr="00E93F40">
        <w:rPr>
          <w:color w:val="000000" w:themeColor="text1"/>
          <w:sz w:val="16"/>
          <w:szCs w:val="16"/>
        </w:rPr>
        <w:t xml:space="preserve"> </w:t>
      </w:r>
      <w:r w:rsidRPr="00E93F40">
        <w:rPr>
          <w:color w:val="000000" w:themeColor="text1"/>
          <w:sz w:val="16"/>
          <w:szCs w:val="16"/>
        </w:rPr>
        <w:t>О кооперированном производстве моторов и самолетов. (Малиновский). 14.</w:t>
      </w:r>
      <w:r w:rsidR="007C1411" w:rsidRPr="00E93F40">
        <w:rPr>
          <w:color w:val="000000" w:themeColor="text1"/>
          <w:sz w:val="16"/>
          <w:szCs w:val="16"/>
        </w:rPr>
        <w:t xml:space="preserve"> </w:t>
      </w:r>
      <w:r w:rsidRPr="00E93F40">
        <w:rPr>
          <w:color w:val="000000" w:themeColor="text1"/>
          <w:sz w:val="16"/>
          <w:szCs w:val="16"/>
        </w:rPr>
        <w:t>О развертывании работ по ОВ. (Фишман).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275</w:t>
      </w:r>
      <w:r w:rsidRPr="00E93F40">
        <w:rPr>
          <w:color w:val="000000" w:themeColor="text1"/>
          <w:sz w:val="16"/>
          <w:szCs w:val="16"/>
        </w:rPr>
        <w:noBreakHyphen/>
        <w:t>276, 276</w:t>
      </w:r>
      <w:r w:rsidRPr="00E93F40">
        <w:rPr>
          <w:color w:val="000000" w:themeColor="text1"/>
          <w:sz w:val="16"/>
          <w:szCs w:val="16"/>
        </w:rPr>
        <w:noBreakHyphen/>
        <w:t>277) (12342).</w:t>
      </w:r>
    </w:p>
    <w:p w14:paraId="52211031" w14:textId="77777777" w:rsidR="00272919" w:rsidRPr="00E93F40" w:rsidRDefault="00272919" w:rsidP="00E93F40">
      <w:pPr>
        <w:pStyle w:val="rtejustify"/>
        <w:spacing w:before="0" w:after="0"/>
        <w:rPr>
          <w:color w:val="000000" w:themeColor="text1"/>
          <w:sz w:val="16"/>
          <w:szCs w:val="16"/>
        </w:rPr>
      </w:pPr>
    </w:p>
    <w:p w14:paraId="5976F81F" w14:textId="77777777" w:rsidR="00755B5A"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4419B2AD" w14:textId="77777777" w:rsidR="00755B5A" w:rsidRPr="00E93F40" w:rsidRDefault="00755B5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E86287"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4 июня 1932 было письмо И.В.С. Кагановичу</w:t>
      </w:r>
    </w:p>
    <w:p w14:paraId="76189A0D"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4/VI 32 г. </w:t>
      </w:r>
      <w:r w:rsidRPr="00E93F40">
        <w:rPr>
          <w:rFonts w:ascii="Times New Roman" w:eastAsia="Times New Roman" w:hAnsi="Times New Roman"/>
          <w:iCs/>
          <w:color w:val="000000" w:themeColor="text1"/>
          <w:sz w:val="16"/>
          <w:szCs w:val="16"/>
          <w:lang w:eastAsia="ru-RU"/>
        </w:rPr>
        <w:t>Сочи</w:t>
      </w:r>
      <w:r w:rsidRPr="00E93F40">
        <w:rPr>
          <w:rFonts w:ascii="Times New Roman" w:eastAsia="Times New Roman" w:hAnsi="Times New Roman"/>
          <w:color w:val="000000" w:themeColor="text1"/>
          <w:sz w:val="16"/>
          <w:szCs w:val="16"/>
          <w:lang w:eastAsia="ru-RU"/>
        </w:rPr>
        <w:t>.</w:t>
      </w:r>
    </w:p>
    <w:p w14:paraId="28DAC9BA"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Здравствуйте, т. Каганович!</w:t>
      </w:r>
    </w:p>
    <w:p w14:paraId="6C79B8B6"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(Для </w:t>
      </w:r>
      <w:r w:rsidRPr="00E93F40">
        <w:rPr>
          <w:rFonts w:ascii="Times New Roman" w:eastAsia="Times New Roman" w:hAnsi="Times New Roman"/>
          <w:iCs/>
          <w:color w:val="000000" w:themeColor="text1"/>
          <w:sz w:val="16"/>
          <w:szCs w:val="16"/>
          <w:lang w:eastAsia="ru-RU"/>
        </w:rPr>
        <w:t>членов</w:t>
      </w:r>
      <w:r w:rsidRPr="00E93F40">
        <w:rPr>
          <w:rFonts w:ascii="Times New Roman" w:eastAsia="Times New Roman" w:hAnsi="Times New Roman"/>
          <w:color w:val="000000" w:themeColor="text1"/>
          <w:sz w:val="16"/>
          <w:szCs w:val="16"/>
          <w:lang w:eastAsia="ru-RU"/>
        </w:rPr>
        <w:t xml:space="preserve"> ПБ).</w:t>
      </w:r>
    </w:p>
    <w:p w14:paraId="14B01DA6"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1). Мой ответ о Монголии, должно быть, уже получили. Самое бы лучшее – обойтись без ввода войск. Нельзя смешивать Монголию с Казахстаном или Бурятией. Главное – надо заставить монгольское правительство </w:t>
      </w:r>
      <w:r w:rsidRPr="00E93F40">
        <w:rPr>
          <w:rFonts w:ascii="Times New Roman" w:eastAsia="Times New Roman" w:hAnsi="Times New Roman"/>
          <w:iCs/>
          <w:color w:val="000000" w:themeColor="text1"/>
          <w:sz w:val="16"/>
          <w:szCs w:val="16"/>
          <w:lang w:eastAsia="ru-RU"/>
        </w:rPr>
        <w:t>изменить политический курс в корне.</w:t>
      </w:r>
      <w:r w:rsidRPr="00E93F40">
        <w:rPr>
          <w:rFonts w:ascii="Times New Roman" w:eastAsia="Times New Roman" w:hAnsi="Times New Roman"/>
          <w:color w:val="000000" w:themeColor="text1"/>
          <w:sz w:val="16"/>
          <w:szCs w:val="16"/>
          <w:lang w:eastAsia="ru-RU"/>
        </w:rPr>
        <w:t xml:space="preserve"> Надо </w:t>
      </w:r>
      <w:r w:rsidRPr="00E93F40">
        <w:rPr>
          <w:rFonts w:ascii="Times New Roman" w:eastAsia="Times New Roman" w:hAnsi="Times New Roman"/>
          <w:iCs/>
          <w:color w:val="000000" w:themeColor="text1"/>
          <w:sz w:val="16"/>
          <w:szCs w:val="16"/>
          <w:lang w:eastAsia="ru-RU"/>
        </w:rPr>
        <w:t>оттеснить</w:t>
      </w:r>
      <w:r w:rsidRPr="00E93F40">
        <w:rPr>
          <w:rFonts w:ascii="Times New Roman" w:eastAsia="Times New Roman" w:hAnsi="Times New Roman"/>
          <w:color w:val="000000" w:themeColor="text1"/>
          <w:sz w:val="16"/>
          <w:szCs w:val="16"/>
          <w:lang w:eastAsia="ru-RU"/>
        </w:rPr>
        <w:t xml:space="preserve"> (временно) “леваков” и выдвинуть вместо них на места министров и руководителей ЦК Монголии людей, </w:t>
      </w:r>
      <w:r w:rsidRPr="00E93F40">
        <w:rPr>
          <w:rFonts w:ascii="Times New Roman" w:eastAsia="Times New Roman" w:hAnsi="Times New Roman"/>
          <w:iCs/>
          <w:color w:val="000000" w:themeColor="text1"/>
          <w:sz w:val="16"/>
          <w:szCs w:val="16"/>
          <w:lang w:eastAsia="ru-RU"/>
        </w:rPr>
        <w:t>способных проводить новый курс,</w:t>
      </w:r>
      <w:r w:rsidRPr="00E93F40">
        <w:rPr>
          <w:rFonts w:ascii="Times New Roman" w:eastAsia="Times New Roman" w:hAnsi="Times New Roman"/>
          <w:color w:val="000000" w:themeColor="text1"/>
          <w:sz w:val="16"/>
          <w:szCs w:val="16"/>
          <w:lang w:eastAsia="ru-RU"/>
        </w:rPr>
        <w:t xml:space="preserve"> т.е. </w:t>
      </w:r>
      <w:r w:rsidRPr="00E93F40">
        <w:rPr>
          <w:rFonts w:ascii="Times New Roman" w:eastAsia="Times New Roman" w:hAnsi="Times New Roman"/>
          <w:iCs/>
          <w:color w:val="000000" w:themeColor="text1"/>
          <w:sz w:val="16"/>
          <w:szCs w:val="16"/>
          <w:lang w:eastAsia="ru-RU"/>
        </w:rPr>
        <w:t>нашу политику.</w:t>
      </w:r>
      <w:r w:rsidRPr="00E93F40">
        <w:rPr>
          <w:rFonts w:ascii="Times New Roman" w:eastAsia="Times New Roman" w:hAnsi="Times New Roman"/>
          <w:color w:val="000000" w:themeColor="text1"/>
          <w:sz w:val="16"/>
          <w:szCs w:val="16"/>
          <w:lang w:eastAsia="ru-RU"/>
        </w:rPr>
        <w:t xml:space="preserve"> Из “леваков” нужно сохранить на постах лишь наиболее способных и рассудительных (с точки зрения нашей политики), сохранивших авторитет среди монгольских масс. </w:t>
      </w:r>
      <w:r w:rsidRPr="00E93F40">
        <w:rPr>
          <w:rFonts w:ascii="Times New Roman" w:eastAsia="Times New Roman" w:hAnsi="Times New Roman"/>
          <w:iCs/>
          <w:color w:val="000000" w:themeColor="text1"/>
          <w:sz w:val="16"/>
          <w:szCs w:val="16"/>
          <w:lang w:eastAsia="ru-RU"/>
        </w:rPr>
        <w:t>Обновленное</w:t>
      </w:r>
      <w:r w:rsidRPr="00E93F40">
        <w:rPr>
          <w:rFonts w:ascii="Times New Roman" w:eastAsia="Times New Roman" w:hAnsi="Times New Roman"/>
          <w:color w:val="000000" w:themeColor="text1"/>
          <w:sz w:val="16"/>
          <w:szCs w:val="16"/>
          <w:lang w:eastAsia="ru-RU"/>
        </w:rPr>
        <w:t xml:space="preserve"> монгольское правительство должно объявить </w:t>
      </w:r>
      <w:r w:rsidRPr="00E93F40">
        <w:rPr>
          <w:rFonts w:ascii="Times New Roman" w:eastAsia="Times New Roman" w:hAnsi="Times New Roman"/>
          <w:iCs/>
          <w:color w:val="000000" w:themeColor="text1"/>
          <w:sz w:val="16"/>
          <w:szCs w:val="16"/>
          <w:lang w:eastAsia="ru-RU"/>
        </w:rPr>
        <w:t>всенародно,</w:t>
      </w:r>
      <w:r w:rsidRPr="00E93F40">
        <w:rPr>
          <w:rFonts w:ascii="Times New Roman" w:eastAsia="Times New Roman" w:hAnsi="Times New Roman"/>
          <w:color w:val="000000" w:themeColor="text1"/>
          <w:sz w:val="16"/>
          <w:szCs w:val="16"/>
          <w:lang w:eastAsia="ru-RU"/>
        </w:rPr>
        <w:t xml:space="preserve"> что в области </w:t>
      </w:r>
      <w:r w:rsidRPr="00E93F40">
        <w:rPr>
          <w:rFonts w:ascii="Times New Roman" w:eastAsia="Times New Roman" w:hAnsi="Times New Roman"/>
          <w:iCs/>
          <w:color w:val="000000" w:themeColor="text1"/>
          <w:sz w:val="16"/>
          <w:szCs w:val="16"/>
          <w:lang w:eastAsia="ru-RU"/>
        </w:rPr>
        <w:t>внутренней</w:t>
      </w:r>
      <w:r w:rsidRPr="00E93F40">
        <w:rPr>
          <w:rFonts w:ascii="Times New Roman" w:eastAsia="Times New Roman" w:hAnsi="Times New Roman"/>
          <w:color w:val="000000" w:themeColor="text1"/>
          <w:sz w:val="16"/>
          <w:szCs w:val="16"/>
          <w:lang w:eastAsia="ru-RU"/>
        </w:rPr>
        <w:t xml:space="preserve"> политики допущены </w:t>
      </w:r>
      <w:r w:rsidRPr="00E93F40">
        <w:rPr>
          <w:rFonts w:ascii="Times New Roman" w:eastAsia="Times New Roman" w:hAnsi="Times New Roman"/>
          <w:iCs/>
          <w:color w:val="000000" w:themeColor="text1"/>
          <w:sz w:val="16"/>
          <w:szCs w:val="16"/>
          <w:lang w:eastAsia="ru-RU"/>
        </w:rPr>
        <w:t>ошибки</w:t>
      </w:r>
      <w:r w:rsidRPr="00E93F40">
        <w:rPr>
          <w:rFonts w:ascii="Times New Roman" w:eastAsia="Times New Roman" w:hAnsi="Times New Roman"/>
          <w:color w:val="000000" w:themeColor="text1"/>
          <w:sz w:val="16"/>
          <w:szCs w:val="16"/>
          <w:lang w:eastAsia="ru-RU"/>
        </w:rPr>
        <w:t xml:space="preserve"> (хозяйство, религия и т.п.) и что эти ошибки будут немедля исправлены. Оно должно объявить, что </w:t>
      </w:r>
      <w:r w:rsidRPr="00E93F40">
        <w:rPr>
          <w:rFonts w:ascii="Times New Roman" w:eastAsia="Times New Roman" w:hAnsi="Times New Roman"/>
          <w:iCs/>
          <w:color w:val="000000" w:themeColor="text1"/>
          <w:sz w:val="16"/>
          <w:szCs w:val="16"/>
          <w:lang w:eastAsia="ru-RU"/>
        </w:rPr>
        <w:t>главари</w:t>
      </w:r>
      <w:r w:rsidRPr="00E93F40">
        <w:rPr>
          <w:rFonts w:ascii="Times New Roman" w:eastAsia="Times New Roman" w:hAnsi="Times New Roman"/>
          <w:color w:val="000000" w:themeColor="text1"/>
          <w:sz w:val="16"/>
          <w:szCs w:val="16"/>
          <w:lang w:eastAsia="ru-RU"/>
        </w:rPr>
        <w:t xml:space="preserve"> повстанцев являются агентами китайских и, особенно, японских империалистов, стремящихся лишить Монголию свободы и независимости, что оно будет ввиду этого вести с ними непримиримую борьбу до полного их уничтожения. Оно должно объявить </w:t>
      </w:r>
      <w:r w:rsidRPr="00E93F40">
        <w:rPr>
          <w:rFonts w:ascii="Times New Roman" w:eastAsia="Times New Roman" w:hAnsi="Times New Roman"/>
          <w:iCs/>
          <w:color w:val="000000" w:themeColor="text1"/>
          <w:sz w:val="16"/>
          <w:szCs w:val="16"/>
          <w:lang w:eastAsia="ru-RU"/>
        </w:rPr>
        <w:t>амнистию</w:t>
      </w:r>
      <w:r w:rsidRPr="00E93F40">
        <w:rPr>
          <w:rFonts w:ascii="Times New Roman" w:eastAsia="Times New Roman" w:hAnsi="Times New Roman"/>
          <w:color w:val="000000" w:themeColor="text1"/>
          <w:sz w:val="16"/>
          <w:szCs w:val="16"/>
          <w:lang w:eastAsia="ru-RU"/>
        </w:rPr>
        <w:t xml:space="preserve"> всем </w:t>
      </w:r>
      <w:r w:rsidRPr="00E93F40">
        <w:rPr>
          <w:rFonts w:ascii="Times New Roman" w:eastAsia="Times New Roman" w:hAnsi="Times New Roman"/>
          <w:iCs/>
          <w:color w:val="000000" w:themeColor="text1"/>
          <w:sz w:val="16"/>
          <w:szCs w:val="16"/>
          <w:lang w:eastAsia="ru-RU"/>
        </w:rPr>
        <w:t>рядовым</w:t>
      </w:r>
      <w:r w:rsidRPr="00E93F40">
        <w:rPr>
          <w:rFonts w:ascii="Times New Roman" w:eastAsia="Times New Roman" w:hAnsi="Times New Roman"/>
          <w:color w:val="000000" w:themeColor="text1"/>
          <w:sz w:val="16"/>
          <w:szCs w:val="16"/>
          <w:lang w:eastAsia="ru-RU"/>
        </w:rPr>
        <w:t xml:space="preserve"> повстанцам, сдающим правительству оружие и изъявляющим покорность. Все это, как и изменение в составе правительства, нужно проделать через </w:t>
      </w:r>
      <w:r w:rsidRPr="00E93F40">
        <w:rPr>
          <w:rFonts w:ascii="Times New Roman" w:eastAsia="Times New Roman" w:hAnsi="Times New Roman"/>
          <w:iCs/>
          <w:color w:val="000000" w:themeColor="text1"/>
          <w:sz w:val="16"/>
          <w:szCs w:val="16"/>
          <w:lang w:eastAsia="ru-RU"/>
        </w:rPr>
        <w:t>хурулдан,</w:t>
      </w:r>
      <w:r w:rsidRPr="00E93F40">
        <w:rPr>
          <w:rFonts w:ascii="Times New Roman" w:eastAsia="Times New Roman" w:hAnsi="Times New Roman"/>
          <w:color w:val="000000" w:themeColor="text1"/>
          <w:sz w:val="16"/>
          <w:szCs w:val="16"/>
          <w:lang w:eastAsia="ru-RU"/>
        </w:rPr>
        <w:t xml:space="preserve"> срочный созыв которого нужно подготовить </w:t>
      </w:r>
      <w:r w:rsidRPr="00E93F40">
        <w:rPr>
          <w:rFonts w:ascii="Times New Roman" w:eastAsia="Times New Roman" w:hAnsi="Times New Roman"/>
          <w:iCs/>
          <w:color w:val="000000" w:themeColor="text1"/>
          <w:sz w:val="16"/>
          <w:szCs w:val="16"/>
          <w:lang w:eastAsia="ru-RU"/>
        </w:rPr>
        <w:t>тщательно</w:t>
      </w:r>
      <w:r w:rsidRPr="00E93F40">
        <w:rPr>
          <w:rFonts w:ascii="Times New Roman" w:eastAsia="Times New Roman" w:hAnsi="Times New Roman"/>
          <w:color w:val="000000" w:themeColor="text1"/>
          <w:sz w:val="16"/>
          <w:szCs w:val="16"/>
          <w:lang w:eastAsia="ru-RU"/>
        </w:rPr>
        <w:t xml:space="preserve"> и </w:t>
      </w:r>
      <w:r w:rsidRPr="00E93F40">
        <w:rPr>
          <w:rFonts w:ascii="Times New Roman" w:eastAsia="Times New Roman" w:hAnsi="Times New Roman"/>
          <w:iCs/>
          <w:color w:val="000000" w:themeColor="text1"/>
          <w:sz w:val="16"/>
          <w:szCs w:val="16"/>
          <w:lang w:eastAsia="ru-RU"/>
        </w:rPr>
        <w:t>разумно.</w:t>
      </w:r>
    </w:p>
    <w:p w14:paraId="436E22C6"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этом теперь главное, а не ввод войск.</w:t>
      </w:r>
    </w:p>
    <w:p w14:paraId="7338EBFB"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Конечно, </w:t>
      </w:r>
      <w:r w:rsidRPr="00E93F40">
        <w:rPr>
          <w:rFonts w:ascii="Times New Roman" w:eastAsia="Times New Roman" w:hAnsi="Times New Roman"/>
          <w:iCs/>
          <w:color w:val="000000" w:themeColor="text1"/>
          <w:sz w:val="16"/>
          <w:szCs w:val="16"/>
          <w:lang w:eastAsia="ru-RU"/>
        </w:rPr>
        <w:t>если</w:t>
      </w:r>
      <w:r w:rsidRPr="00E93F40">
        <w:rPr>
          <w:rFonts w:ascii="Times New Roman" w:eastAsia="Times New Roman" w:hAnsi="Times New Roman"/>
          <w:color w:val="000000" w:themeColor="text1"/>
          <w:sz w:val="16"/>
          <w:szCs w:val="16"/>
          <w:lang w:eastAsia="ru-RU"/>
        </w:rPr>
        <w:t xml:space="preserve"> положение в Урге безнадежно (в чем я сомневаюсь, так как сообщения Охтина считаю необъективными), можно пойти на ввод бурят-монгольских частей, но на эту штуку, как </w:t>
      </w:r>
      <w:r w:rsidRPr="00E93F40">
        <w:rPr>
          <w:rFonts w:ascii="Times New Roman" w:eastAsia="Times New Roman" w:hAnsi="Times New Roman"/>
          <w:iCs/>
          <w:color w:val="000000" w:themeColor="text1"/>
          <w:sz w:val="16"/>
          <w:szCs w:val="16"/>
          <w:lang w:eastAsia="ru-RU"/>
        </w:rPr>
        <w:t>временную</w:t>
      </w:r>
      <w:r w:rsidRPr="00E93F40">
        <w:rPr>
          <w:rFonts w:ascii="Times New Roman" w:eastAsia="Times New Roman" w:hAnsi="Times New Roman"/>
          <w:color w:val="000000" w:themeColor="text1"/>
          <w:sz w:val="16"/>
          <w:szCs w:val="16"/>
          <w:lang w:eastAsia="ru-RU"/>
        </w:rPr>
        <w:t xml:space="preserve"> меру, </w:t>
      </w:r>
      <w:bookmarkStart w:id="32" w:name="xvii_464"/>
      <w:bookmarkEnd w:id="32"/>
      <w:r w:rsidRPr="00E93F40">
        <w:rPr>
          <w:rFonts w:ascii="Times New Roman" w:eastAsia="Times New Roman" w:hAnsi="Times New Roman"/>
          <w:color w:val="000000" w:themeColor="text1"/>
          <w:sz w:val="16"/>
          <w:szCs w:val="16"/>
          <w:lang w:eastAsia="ru-RU"/>
        </w:rPr>
        <w:t xml:space="preserve">можно пойти лишь </w:t>
      </w:r>
      <w:r w:rsidRPr="00E93F40">
        <w:rPr>
          <w:rFonts w:ascii="Times New Roman" w:eastAsia="Times New Roman" w:hAnsi="Times New Roman"/>
          <w:iCs/>
          <w:color w:val="000000" w:themeColor="text1"/>
          <w:sz w:val="16"/>
          <w:szCs w:val="16"/>
          <w:lang w:eastAsia="ru-RU"/>
        </w:rPr>
        <w:t>в самом крайнем случае,</w:t>
      </w:r>
      <w:r w:rsidRPr="00E93F40">
        <w:rPr>
          <w:rFonts w:ascii="Times New Roman" w:eastAsia="Times New Roman" w:hAnsi="Times New Roman"/>
          <w:color w:val="000000" w:themeColor="text1"/>
          <w:sz w:val="16"/>
          <w:szCs w:val="16"/>
          <w:lang w:eastAsia="ru-RU"/>
        </w:rPr>
        <w:t xml:space="preserve"> имея при этом в виду, что ввод войск есть </w:t>
      </w:r>
      <w:r w:rsidRPr="00E93F40">
        <w:rPr>
          <w:rFonts w:ascii="Times New Roman" w:eastAsia="Times New Roman" w:hAnsi="Times New Roman"/>
          <w:iCs/>
          <w:color w:val="000000" w:themeColor="text1"/>
          <w:sz w:val="16"/>
          <w:szCs w:val="16"/>
          <w:lang w:eastAsia="ru-RU"/>
        </w:rPr>
        <w:t>второстепенная</w:t>
      </w:r>
      <w:r w:rsidRPr="00E93F40">
        <w:rPr>
          <w:rFonts w:ascii="Times New Roman" w:eastAsia="Times New Roman" w:hAnsi="Times New Roman"/>
          <w:color w:val="000000" w:themeColor="text1"/>
          <w:sz w:val="16"/>
          <w:szCs w:val="16"/>
          <w:lang w:eastAsia="ru-RU"/>
        </w:rPr>
        <w:t xml:space="preserve"> и </w:t>
      </w:r>
      <w:r w:rsidRPr="00E93F40">
        <w:rPr>
          <w:rFonts w:ascii="Times New Roman" w:eastAsia="Times New Roman" w:hAnsi="Times New Roman"/>
          <w:iCs/>
          <w:color w:val="000000" w:themeColor="text1"/>
          <w:sz w:val="16"/>
          <w:szCs w:val="16"/>
          <w:lang w:eastAsia="ru-RU"/>
        </w:rPr>
        <w:t>дополнительная</w:t>
      </w:r>
      <w:r w:rsidRPr="00E93F40">
        <w:rPr>
          <w:rFonts w:ascii="Times New Roman" w:eastAsia="Times New Roman" w:hAnsi="Times New Roman"/>
          <w:color w:val="000000" w:themeColor="text1"/>
          <w:sz w:val="16"/>
          <w:szCs w:val="16"/>
          <w:lang w:eastAsia="ru-RU"/>
        </w:rPr>
        <w:t xml:space="preserve"> мера к </w:t>
      </w:r>
      <w:r w:rsidRPr="00E93F40">
        <w:rPr>
          <w:rFonts w:ascii="Times New Roman" w:eastAsia="Times New Roman" w:hAnsi="Times New Roman"/>
          <w:iCs/>
          <w:color w:val="000000" w:themeColor="text1"/>
          <w:sz w:val="16"/>
          <w:szCs w:val="16"/>
          <w:lang w:eastAsia="ru-RU"/>
        </w:rPr>
        <w:t>главной</w:t>
      </w:r>
      <w:r w:rsidRPr="00E93F40">
        <w:rPr>
          <w:rFonts w:ascii="Times New Roman" w:eastAsia="Times New Roman" w:hAnsi="Times New Roman"/>
          <w:color w:val="000000" w:themeColor="text1"/>
          <w:sz w:val="16"/>
          <w:szCs w:val="16"/>
          <w:lang w:eastAsia="ru-RU"/>
        </w:rPr>
        <w:t xml:space="preserve"> мере – к изменению политического курса.</w:t>
      </w:r>
    </w:p>
    <w:p w14:paraId="69C1E528"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2). Все, что я видел и слышал за последние дни (а я видел и слышал немало) – говорит о том, что </w:t>
      </w:r>
      <w:r w:rsidRPr="00E93F40">
        <w:rPr>
          <w:rFonts w:ascii="Times New Roman" w:eastAsia="Times New Roman" w:hAnsi="Times New Roman"/>
          <w:iCs/>
          <w:color w:val="000000" w:themeColor="text1"/>
          <w:sz w:val="16"/>
          <w:szCs w:val="16"/>
          <w:lang w:eastAsia="ru-RU"/>
        </w:rPr>
        <w:t>главное</w:t>
      </w:r>
      <w:r w:rsidRPr="00E93F40">
        <w:rPr>
          <w:rFonts w:ascii="Times New Roman" w:eastAsia="Times New Roman" w:hAnsi="Times New Roman"/>
          <w:color w:val="000000" w:themeColor="text1"/>
          <w:sz w:val="16"/>
          <w:szCs w:val="16"/>
          <w:lang w:eastAsia="ru-RU"/>
        </w:rPr>
        <w:t xml:space="preserve"> сейчас в области взаимоотношений между городом и деревней – </w:t>
      </w:r>
      <w:r w:rsidRPr="00E93F40">
        <w:rPr>
          <w:rFonts w:ascii="Times New Roman" w:eastAsia="Times New Roman" w:hAnsi="Times New Roman"/>
          <w:iCs/>
          <w:color w:val="000000" w:themeColor="text1"/>
          <w:sz w:val="16"/>
          <w:szCs w:val="16"/>
          <w:lang w:eastAsia="ru-RU"/>
        </w:rPr>
        <w:t>ширпотреб.</w:t>
      </w:r>
      <w:r w:rsidRPr="00E93F40">
        <w:rPr>
          <w:rFonts w:ascii="Times New Roman" w:eastAsia="Times New Roman" w:hAnsi="Times New Roman"/>
          <w:color w:val="000000" w:themeColor="text1"/>
          <w:sz w:val="16"/>
          <w:szCs w:val="16"/>
          <w:lang w:eastAsia="ru-RU"/>
        </w:rPr>
        <w:t xml:space="preserve"> Сельхозпродукты </w:t>
      </w:r>
      <w:r w:rsidRPr="00E93F40">
        <w:rPr>
          <w:rFonts w:ascii="Times New Roman" w:eastAsia="Times New Roman" w:hAnsi="Times New Roman"/>
          <w:iCs/>
          <w:color w:val="000000" w:themeColor="text1"/>
          <w:sz w:val="16"/>
          <w:szCs w:val="16"/>
          <w:lang w:eastAsia="ru-RU"/>
        </w:rPr>
        <w:t>будут</w:t>
      </w:r>
      <w:r w:rsidRPr="00E93F40">
        <w:rPr>
          <w:rFonts w:ascii="Times New Roman" w:eastAsia="Times New Roman" w:hAnsi="Times New Roman"/>
          <w:color w:val="000000" w:themeColor="text1"/>
          <w:sz w:val="16"/>
          <w:szCs w:val="16"/>
          <w:lang w:eastAsia="ru-RU"/>
        </w:rPr>
        <w:t xml:space="preserve">. Не хватает товаров. Налегайте на ширпотреб, налегайте вовсю, не останавливаясь перед тем, чтобы обделить временно </w:t>
      </w:r>
      <w:r w:rsidRPr="00E93F40">
        <w:rPr>
          <w:rFonts w:ascii="Times New Roman" w:eastAsia="Times New Roman" w:hAnsi="Times New Roman"/>
          <w:iCs/>
          <w:color w:val="000000" w:themeColor="text1"/>
          <w:sz w:val="16"/>
          <w:szCs w:val="16"/>
          <w:lang w:eastAsia="ru-RU"/>
        </w:rPr>
        <w:t>наркоматы</w:t>
      </w:r>
      <w:r w:rsidRPr="00E93F40">
        <w:rPr>
          <w:rFonts w:ascii="Times New Roman" w:eastAsia="Times New Roman" w:hAnsi="Times New Roman"/>
          <w:color w:val="000000" w:themeColor="text1"/>
          <w:sz w:val="16"/>
          <w:szCs w:val="16"/>
          <w:lang w:eastAsia="ru-RU"/>
        </w:rPr>
        <w:t xml:space="preserve"> и (в известной части) </w:t>
      </w:r>
      <w:r w:rsidRPr="00E93F40">
        <w:rPr>
          <w:rFonts w:ascii="Times New Roman" w:eastAsia="Times New Roman" w:hAnsi="Times New Roman"/>
          <w:iCs/>
          <w:color w:val="000000" w:themeColor="text1"/>
          <w:sz w:val="16"/>
          <w:szCs w:val="16"/>
          <w:lang w:eastAsia="ru-RU"/>
        </w:rPr>
        <w:t>города</w:t>
      </w:r>
      <w:r w:rsidRPr="00E93F40">
        <w:rPr>
          <w:rFonts w:ascii="Times New Roman" w:eastAsia="Times New Roman" w:hAnsi="Times New Roman"/>
          <w:color w:val="000000" w:themeColor="text1"/>
          <w:sz w:val="16"/>
          <w:szCs w:val="16"/>
          <w:lang w:eastAsia="ru-RU"/>
        </w:rPr>
        <w:t xml:space="preserve"> в пользу деревни.</w:t>
      </w:r>
    </w:p>
    <w:p w14:paraId="4E811BCD"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3). Обратите внимание на Эйзенштейна, старающегося через Горького, Киршона и некоторых </w:t>
      </w:r>
      <w:r w:rsidRPr="00E93F40">
        <w:rPr>
          <w:rFonts w:ascii="Times New Roman" w:eastAsia="Times New Roman" w:hAnsi="Times New Roman"/>
          <w:iCs/>
          <w:color w:val="000000" w:themeColor="text1"/>
          <w:sz w:val="16"/>
          <w:szCs w:val="16"/>
          <w:lang w:eastAsia="ru-RU"/>
        </w:rPr>
        <w:t>комсомольцев</w:t>
      </w:r>
      <w:r w:rsidRPr="00E93F40">
        <w:rPr>
          <w:rFonts w:ascii="Times New Roman" w:eastAsia="Times New Roman" w:hAnsi="Times New Roman"/>
          <w:color w:val="000000" w:themeColor="text1"/>
          <w:sz w:val="16"/>
          <w:szCs w:val="16"/>
          <w:lang w:eastAsia="ru-RU"/>
        </w:rPr>
        <w:t xml:space="preserve"> пролезть вновь в </w:t>
      </w:r>
      <w:r w:rsidRPr="00E93F40">
        <w:rPr>
          <w:rFonts w:ascii="Times New Roman" w:eastAsia="Times New Roman" w:hAnsi="Times New Roman"/>
          <w:iCs/>
          <w:color w:val="000000" w:themeColor="text1"/>
          <w:sz w:val="16"/>
          <w:szCs w:val="16"/>
          <w:lang w:eastAsia="ru-RU"/>
        </w:rPr>
        <w:t>главные</w:t>
      </w:r>
      <w:r w:rsidRPr="00E93F40">
        <w:rPr>
          <w:rFonts w:ascii="Times New Roman" w:eastAsia="Times New Roman" w:hAnsi="Times New Roman"/>
          <w:color w:val="000000" w:themeColor="text1"/>
          <w:sz w:val="16"/>
          <w:szCs w:val="16"/>
          <w:lang w:eastAsia="ru-RU"/>
        </w:rPr>
        <w:t xml:space="preserve"> кинооператоры СССР. Если он благодаря ротозейству культпропа, добьется своей цели, то его победа будет выглядеть как премия всем будущим (и настоящим) дезертирам. Предупредите ЦКмол.</w:t>
      </w:r>
    </w:p>
    <w:p w14:paraId="4A14735E"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Ну, пока все. Я здоров. Привет!</w:t>
      </w:r>
    </w:p>
    <w:p w14:paraId="0D9ACC92"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iCs/>
          <w:color w:val="000000" w:themeColor="text1"/>
          <w:sz w:val="16"/>
          <w:szCs w:val="16"/>
          <w:lang w:eastAsia="ru-RU"/>
        </w:rPr>
        <w:t>И. Сталин</w:t>
      </w:r>
      <w:r w:rsidRPr="00E93F40">
        <w:rPr>
          <w:rFonts w:ascii="Times New Roman" w:eastAsia="Times New Roman" w:hAnsi="Times New Roman"/>
          <w:color w:val="000000" w:themeColor="text1"/>
          <w:sz w:val="16"/>
          <w:szCs w:val="16"/>
          <w:lang w:eastAsia="ru-RU"/>
        </w:rPr>
        <w:t>.</w:t>
      </w:r>
    </w:p>
    <w:p w14:paraId="06A6B457"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Р.S. Поторопитесь с отъездом Элиавы в Монголию.</w:t>
      </w:r>
    </w:p>
    <w:tbl>
      <w:tblPr>
        <w:tblW w:w="5000" w:type="pct"/>
        <w:tblCellSpacing w:w="0" w:type="dxa"/>
        <w:tblCellMar>
          <w:top w:w="15" w:type="dxa"/>
          <w:left w:w="15" w:type="dxa"/>
          <w:bottom w:w="15" w:type="dxa"/>
          <w:right w:w="15" w:type="dxa"/>
        </w:tblCellMar>
        <w:tblLook w:val="04A0" w:firstRow="1" w:lastRow="0" w:firstColumn="1" w:lastColumn="0" w:noHBand="0" w:noVBand="1"/>
      </w:tblPr>
      <w:tblGrid>
        <w:gridCol w:w="11338"/>
      </w:tblGrid>
      <w:tr w:rsidR="009D12BD" w:rsidRPr="00E93F40" w14:paraId="0655C886" w14:textId="77777777" w:rsidTr="00755B5A">
        <w:trPr>
          <w:tblCellSpacing w:w="0" w:type="dxa"/>
        </w:trPr>
        <w:tc>
          <w:tcPr>
            <w:tcW w:w="5000" w:type="pct"/>
            <w:hideMark/>
          </w:tcPr>
          <w:p w14:paraId="44612308"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iCs/>
                <w:color w:val="000000" w:themeColor="text1"/>
                <w:sz w:val="16"/>
                <w:szCs w:val="16"/>
                <w:lang w:eastAsia="ru-RU"/>
              </w:rPr>
              <w:t>Сталин и Каганович. Переписка.</w:t>
            </w:r>
          </w:p>
          <w:p w14:paraId="5D89B0F0" w14:textId="77777777" w:rsidR="00755B5A" w:rsidRPr="00E93F40" w:rsidRDefault="00755B5A"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iCs/>
                <w:color w:val="000000" w:themeColor="text1"/>
                <w:sz w:val="16"/>
                <w:szCs w:val="16"/>
                <w:lang w:eastAsia="ru-RU"/>
              </w:rPr>
              <w:t>1931–1936 гг. С. 136–137 (17265).</w:t>
            </w:r>
          </w:p>
        </w:tc>
      </w:tr>
    </w:tbl>
    <w:p w14:paraId="23FA6E49" w14:textId="77777777" w:rsidR="00755B5A" w:rsidRPr="00E93F40" w:rsidRDefault="00755B5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65A36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B3BCD0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34D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июня 1932 Э.Эрио вторично стал президентом Франции (3907,173).</w:t>
      </w:r>
    </w:p>
    <w:p w14:paraId="7634E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C6A15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июня 1932 восставшими в Чили провозглашена социалистическая республика (4962).</w:t>
      </w:r>
    </w:p>
    <w:p w14:paraId="4A29B85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92B57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049068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C8C308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5 по 21 июня 1932 в НИИ ВВС состоялось гос. испытание ТБ-1 на дальность (6778).</w:t>
      </w:r>
    </w:p>
    <w:p w14:paraId="392E697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90931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5 или 8 по 21 июня 1932 года проходили испытания самолета ТБ1 № 690 с добавочными баками с 2-мя моторами М17 (6772).</w:t>
      </w:r>
    </w:p>
    <w:p w14:paraId="7968585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3311B9C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 – Рязанов</w:t>
      </w:r>
    </w:p>
    <w:p w14:paraId="4A11D04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 Стефановский</w:t>
      </w:r>
    </w:p>
    <w:p w14:paraId="28710A3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Цель испытаний</w:t>
      </w:r>
    </w:p>
    <w:p w14:paraId="13A1BD9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максимальную дальность.</w:t>
      </w:r>
    </w:p>
    <w:p w14:paraId="3EF2387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особенности взлета и пилотажа.</w:t>
      </w:r>
    </w:p>
    <w:p w14:paraId="6D6E2B4A"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Проработать вопрос о расходе горючего.</w:t>
      </w:r>
    </w:p>
    <w:p w14:paraId="367F96D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получен от ЦАГИ 5 июня 1932 года</w:t>
      </w:r>
    </w:p>
    <w:p w14:paraId="57CA91B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 – 8 июня 1932 года</w:t>
      </w:r>
    </w:p>
    <w:p w14:paraId="1146057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окончено – 21 июня 1932 года</w:t>
      </w:r>
    </w:p>
    <w:p w14:paraId="464D294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14 календарных дней, из коих:</w:t>
      </w:r>
    </w:p>
    <w:p w14:paraId="1934A03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летал – 7 дней</w:t>
      </w:r>
    </w:p>
    <w:p w14:paraId="12F2622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налетал в течении 7 дней 32 часа 53 минуты.</w:t>
      </w:r>
    </w:p>
    <w:p w14:paraId="77AB35C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отличие от типового ТБ1 на самолете установлены 4 дополнительных бензобака.</w:t>
      </w:r>
    </w:p>
    <w:p w14:paraId="7E3BBA9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471E07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июня 1932 года с целью проверки расчетов расхода топлива и тренировки экипажа был успешно выполнен перелет Монино – Воронеж – Москва (6778).</w:t>
      </w:r>
    </w:p>
    <w:p w14:paraId="2FBDE6B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48C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июня 1933 г, за 17 дней до первого полета РД-1 были проведены окончательные монтажи перед отправкой самолета РД на аэродром. Есть снимок. Отстыкованные крылья позволяют рассмотреть конструкцию элементов шасси (11941).</w:t>
      </w:r>
    </w:p>
    <w:p w14:paraId="396E1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683E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14, 15 июня и 20, 21, 22, 29, 31 мая 1932 г. после всех проведенных доработок «Самолет-Звено-1» проходил к Госиспыта</w:t>
      </w:r>
      <w:r w:rsidRPr="00E93F40">
        <w:rPr>
          <w:rFonts w:ascii="Times New Roman" w:hAnsi="Times New Roman"/>
          <w:color w:val="000000" w:themeColor="text1"/>
          <w:sz w:val="16"/>
          <w:szCs w:val="16"/>
        </w:rPr>
        <w:softHyphen/>
        <w:t>ния. Было выполнено 9 испытательных и контрольных полетов с отцепкой истреби</w:t>
      </w:r>
      <w:r w:rsidRPr="00E93F40">
        <w:rPr>
          <w:rFonts w:ascii="Times New Roman" w:hAnsi="Times New Roman"/>
          <w:color w:val="000000" w:themeColor="text1"/>
          <w:sz w:val="16"/>
          <w:szCs w:val="16"/>
        </w:rPr>
        <w:softHyphen/>
        <w:t>телей в воздухе. На 10 июня запланировали перелет по маршруту Монино-Киев-Мони-но с максимальным полетным весом. По плану, ТБ-1 должен был прилететь в район Киева, выпустить истребители, сбросить 1000 кг бомб и вернуться в Монино. Однако сильный встречный ветер заставил произ</w:t>
      </w:r>
      <w:r w:rsidRPr="00E93F40">
        <w:rPr>
          <w:rFonts w:ascii="Times New Roman" w:hAnsi="Times New Roman"/>
          <w:color w:val="000000" w:themeColor="text1"/>
          <w:sz w:val="16"/>
          <w:szCs w:val="16"/>
        </w:rPr>
        <w:softHyphen/>
        <w:t>вести расцепку в районе Брянска. Впрочем, это не повлияло на положительный отзыв об испытаниях (11286).</w:t>
      </w:r>
    </w:p>
    <w:p w14:paraId="4A3312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544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июня 1932 П.И.Б. выступая на заседании 5 Пленума ЦК Союза работников автотракторной и авиационной промышленности (РАТАП), обсуждавшим планы 2 пятилетки. "...создать винт с переменным шагом, создать новые типы авиадвигателей: роторные, паросиловые установки, газотурбины, реактивные двигатели, электродвигатели, которые будут применяться в авиации" (371,54).</w:t>
      </w:r>
    </w:p>
    <w:p w14:paraId="512A5D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530092" w14:textId="77777777" w:rsidR="0087389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849DCE5" w14:textId="77777777" w:rsidR="0087389B" w:rsidRPr="00E93F40" w:rsidRDefault="0087389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22A61A" w14:textId="77777777" w:rsidR="001C0CAF" w:rsidRPr="00E93F40" w:rsidRDefault="001C0CA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июня 1932 опросом членов ПБ</w:t>
      </w:r>
    </w:p>
    <w:p w14:paraId="214B0831" w14:textId="77777777" w:rsidR="001C0CAF" w:rsidRPr="00E93F40" w:rsidRDefault="001C0CA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53/7.- Предложение т. Сталина</w:t>
      </w:r>
    </w:p>
    <w:p w14:paraId="568603FC" w14:textId="77777777" w:rsidR="001C0CAF" w:rsidRPr="00E93F40" w:rsidRDefault="001C0CA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т. Кагановича членом Комиссии Обороны в качестве заместители тов. Сталина.</w:t>
      </w:r>
    </w:p>
    <w:p w14:paraId="6E53BF9F" w14:textId="77777777" w:rsidR="001C0CAF" w:rsidRPr="00E93F40" w:rsidRDefault="001C0CA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т.т. Кагановичу, Молотову</w:t>
      </w:r>
    </w:p>
    <w:p w14:paraId="1DEB383D" w14:textId="77777777" w:rsidR="001C0CAF" w:rsidRPr="00E93F40" w:rsidRDefault="001C0CA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июня 1932 состоялось заседание ПБ (Протокол № 103) (22948).</w:t>
      </w:r>
    </w:p>
    <w:p w14:paraId="63D95134" w14:textId="77777777" w:rsidR="001C0CAF" w:rsidRPr="00E93F40" w:rsidRDefault="001C0CAF" w:rsidP="00E93F40">
      <w:pPr>
        <w:spacing w:after="0" w:line="240" w:lineRule="auto"/>
        <w:jc w:val="both"/>
        <w:rPr>
          <w:rFonts w:ascii="Times New Roman" w:hAnsi="Times New Roman"/>
          <w:color w:val="000000" w:themeColor="text1"/>
          <w:sz w:val="16"/>
          <w:szCs w:val="16"/>
        </w:rPr>
      </w:pPr>
    </w:p>
    <w:p w14:paraId="54AC20B2"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5 июня 1932 </w:t>
      </w:r>
      <w:r w:rsidRPr="00E93F40">
        <w:rPr>
          <w:rFonts w:ascii="Times New Roman" w:hAnsi="Times New Roman"/>
          <w:color w:val="000000" w:themeColor="text1"/>
          <w:sz w:val="16"/>
          <w:szCs w:val="16"/>
        </w:rPr>
        <w:t>Политбюро ЦК ЬКП(б) приняло постановления: о строительстве в Свердловске Уралэлектромашкомбината в составе четырех заводов, о реконструкции Златоустовского металлургического завода (12265).</w:t>
      </w:r>
    </w:p>
    <w:p w14:paraId="6A6F2EE5"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ЦИК и СНК приняли постановление «О государственном внутреннем займе четвертого завершающего года пятилетки (третьем выпуске государственного внутреннего займа «Пятилетка в четыре года»)» (12265).</w:t>
      </w:r>
    </w:p>
    <w:p w14:paraId="4666E60D" w14:textId="0EBD25BC" w:rsidR="0087389B"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749458E9"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5 июня 1932 </w:t>
      </w:r>
      <w:r w:rsidRPr="00E93F40">
        <w:rPr>
          <w:rFonts w:ascii="Times New Roman" w:hAnsi="Times New Roman"/>
          <w:color w:val="000000" w:themeColor="text1"/>
          <w:sz w:val="16"/>
          <w:szCs w:val="16"/>
        </w:rPr>
        <w:t>Политбюро ЦК ВКП (б) одобрило предложение Наркомтяжпрома об организации производства цельнокатаных труб (12265).</w:t>
      </w:r>
    </w:p>
    <w:p w14:paraId="7A23DAD4" w14:textId="5E3AF338" w:rsidR="0087389B"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4C8EDE57"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5 июня 1932. Постановление СНК СССР № 911/207сс о передаче ОГПУ школы среднего начсостава ПВО промышленности (ГА РФ. Ф. Р?8418. Оп. 28. Д. 146. Л. 93) (12415).</w:t>
      </w:r>
    </w:p>
    <w:p w14:paraId="1FF49C07"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p>
    <w:p w14:paraId="1FE4C841" w14:textId="67FC6703" w:rsidR="00326370" w:rsidRPr="00E93F40" w:rsidRDefault="00326370" w:rsidP="00326370">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26E316EB" w14:textId="77777777" w:rsidR="00326370" w:rsidRPr="00E93F40" w:rsidRDefault="00326370" w:rsidP="00326370">
      <w:pPr>
        <w:autoSpaceDE w:val="0"/>
        <w:autoSpaceDN w:val="0"/>
        <w:adjustRightInd w:val="0"/>
        <w:spacing w:after="0" w:line="240" w:lineRule="auto"/>
        <w:jc w:val="both"/>
        <w:rPr>
          <w:rFonts w:ascii="Times New Roman" w:hAnsi="Times New Roman"/>
          <w:iCs/>
          <w:color w:val="000000" w:themeColor="text1"/>
          <w:sz w:val="16"/>
          <w:szCs w:val="16"/>
        </w:rPr>
      </w:pPr>
    </w:p>
    <w:p w14:paraId="7BEF68BE" w14:textId="77777777" w:rsidR="00326370" w:rsidRPr="00326370" w:rsidRDefault="00326370" w:rsidP="00326370">
      <w:pPr>
        <w:pStyle w:val="aff2"/>
        <w:tabs>
          <w:tab w:val="left" w:pos="594"/>
        </w:tabs>
        <w:spacing w:line="240" w:lineRule="auto"/>
        <w:rPr>
          <w:rFonts w:ascii="Times New Roman" w:hAnsi="Times New Roman" w:cs="Times New Roman"/>
          <w:i w:val="0"/>
          <w:iCs w:val="0"/>
          <w:color w:val="0070C0"/>
          <w:sz w:val="16"/>
          <w:szCs w:val="16"/>
          <w:lang w:val="ru-RU"/>
        </w:rPr>
      </w:pPr>
      <w:r w:rsidRPr="00326370">
        <w:rPr>
          <w:rFonts w:ascii="Times New Roman" w:hAnsi="Times New Roman" w:cs="Times New Roman"/>
          <w:i w:val="0"/>
          <w:iCs w:val="0"/>
          <w:color w:val="0070C0"/>
          <w:sz w:val="16"/>
          <w:szCs w:val="16"/>
          <w:lang w:val="ru-RU"/>
        </w:rPr>
        <w:t>С 5 по 20 июня 1932 г. потерпели аварии и катастрофы 11 боевых самолетов, погибли 30 чле</w:t>
      </w:r>
      <w:r w:rsidRPr="00326370">
        <w:rPr>
          <w:rFonts w:ascii="Times New Roman" w:hAnsi="Times New Roman" w:cs="Times New Roman"/>
          <w:i w:val="0"/>
          <w:iCs w:val="0"/>
          <w:color w:val="0070C0"/>
          <w:sz w:val="16"/>
          <w:szCs w:val="16"/>
          <w:lang w:val="ru-RU"/>
        </w:rPr>
        <w:softHyphen/>
        <w:t>нов экипажей. Хотя значительная аварийность в авиации и не была особой ново</w:t>
      </w:r>
      <w:r w:rsidRPr="00326370">
        <w:rPr>
          <w:rFonts w:ascii="Times New Roman" w:hAnsi="Times New Roman" w:cs="Times New Roman"/>
          <w:i w:val="0"/>
          <w:iCs w:val="0"/>
          <w:color w:val="0070C0"/>
          <w:sz w:val="16"/>
          <w:szCs w:val="16"/>
          <w:lang w:val="ru-RU"/>
        </w:rPr>
        <w:softHyphen/>
        <w:t>стью, ситуацию сочли чрезвычайной, и за решение проблемы взялись руководители страны во главе со Сталиным (24968).</w:t>
      </w:r>
    </w:p>
    <w:p w14:paraId="2A924606" w14:textId="77777777" w:rsidR="00326370" w:rsidRPr="00326370" w:rsidRDefault="00326370" w:rsidP="00326370">
      <w:pPr>
        <w:pStyle w:val="aff2"/>
        <w:tabs>
          <w:tab w:val="left" w:pos="594"/>
        </w:tabs>
        <w:spacing w:line="240" w:lineRule="auto"/>
        <w:rPr>
          <w:rFonts w:ascii="Times New Roman" w:hAnsi="Times New Roman" w:cs="Times New Roman"/>
          <w:i w:val="0"/>
          <w:iCs w:val="0"/>
          <w:color w:val="0070C0"/>
          <w:sz w:val="16"/>
          <w:szCs w:val="16"/>
          <w:lang w:val="ru-RU"/>
        </w:rPr>
      </w:pPr>
    </w:p>
    <w:p w14:paraId="06128C0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1092364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38AD1D" w14:textId="77777777" w:rsidR="0013569A" w:rsidRPr="00E93F40" w:rsidRDefault="0013569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июня 1932 года Телеграмма Л.М. Кагановичу, В.М. Молотову, К.Е. Ворошилову, Г.К. Орджоникидзе</w:t>
      </w:r>
    </w:p>
    <w:p w14:paraId="1D560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Москва. ЦК ВКП. </w:t>
      </w:r>
      <w:r w:rsidRPr="00E93F40">
        <w:rPr>
          <w:rFonts w:ascii="Times New Roman" w:hAnsi="Times New Roman"/>
          <w:iCs/>
          <w:color w:val="000000" w:themeColor="text1"/>
          <w:sz w:val="16"/>
          <w:szCs w:val="16"/>
        </w:rPr>
        <w:t>Поскребышеву</w:t>
      </w:r>
      <w:r w:rsidRPr="00E93F40">
        <w:rPr>
          <w:rFonts w:ascii="Times New Roman" w:hAnsi="Times New Roman"/>
          <w:color w:val="000000" w:themeColor="text1"/>
          <w:sz w:val="16"/>
          <w:szCs w:val="16"/>
        </w:rPr>
        <w:t>.</w:t>
      </w:r>
    </w:p>
    <w:p w14:paraId="083BB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Кагановича, Молотова, Ворошилова, Орджоникидзе.</w:t>
      </w:r>
    </w:p>
    <w:p w14:paraId="76B53A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Советую все десять самолетов или часть из них объявить монгольскими по всем правилам формальности. Для этого заключить договор с монгольским правительством о том, что самолеты куплены им в СССР в начале 1931 года по такой-то цене и за них уплачена такая-то часть стоимости тогда-то, а другая часть будет уплачена тогда-то.</w:t>
      </w:r>
    </w:p>
    <w:p w14:paraId="219926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Сталин</w:t>
      </w:r>
      <w:r w:rsidRPr="00E93F40">
        <w:rPr>
          <w:rFonts w:ascii="Times New Roman" w:hAnsi="Times New Roman"/>
          <w:color w:val="000000" w:themeColor="text1"/>
          <w:sz w:val="16"/>
          <w:szCs w:val="16"/>
        </w:rPr>
        <w:t>.</w:t>
      </w:r>
    </w:p>
    <w:p w14:paraId="0B6E0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Сталин и Каганович. Переписка. 1931–1936 гг. С. 138–139.</w:t>
      </w:r>
    </w:p>
    <w:p w14:paraId="16753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РГАСПИ. Ф. 558. Оп. 11. Д. 77. Л. 8 (11868).</w:t>
      </w:r>
    </w:p>
    <w:p w14:paraId="29D51A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57CD82" w14:textId="77777777" w:rsidR="0013569A" w:rsidRPr="00E93F40" w:rsidRDefault="0013569A" w:rsidP="00E93F40">
      <w:pPr>
        <w:pStyle w:val="rtecenter"/>
        <w:spacing w:before="0" w:after="0"/>
        <w:jc w:val="both"/>
        <w:rPr>
          <w:color w:val="000000" w:themeColor="text1"/>
          <w:sz w:val="16"/>
          <w:szCs w:val="16"/>
        </w:rPr>
      </w:pPr>
      <w:r w:rsidRPr="00E93F40">
        <w:rPr>
          <w:bCs/>
          <w:color w:val="000000" w:themeColor="text1"/>
          <w:sz w:val="16"/>
          <w:szCs w:val="16"/>
        </w:rPr>
        <w:t>5 июня 1932 г. Сталин — Кагановичу, Молотову, Ворошилову, Орджоникидзе</w:t>
      </w:r>
    </w:p>
    <w:p w14:paraId="1673E18D" w14:textId="77777777" w:rsidR="0087389B" w:rsidRPr="00E93F40" w:rsidRDefault="0087389B" w:rsidP="00E93F40">
      <w:pPr>
        <w:pStyle w:val="rtecenter"/>
        <w:spacing w:before="0" w:after="0"/>
        <w:jc w:val="both"/>
        <w:rPr>
          <w:color w:val="000000" w:themeColor="text1"/>
          <w:sz w:val="16"/>
          <w:szCs w:val="16"/>
        </w:rPr>
      </w:pPr>
      <w:r w:rsidRPr="00E93F40">
        <w:rPr>
          <w:color w:val="000000" w:themeColor="text1"/>
          <w:sz w:val="16"/>
          <w:szCs w:val="16"/>
        </w:rPr>
        <w:t xml:space="preserve">Москва. ЦК ВКП. </w:t>
      </w:r>
      <w:r w:rsidRPr="00E93F40">
        <w:rPr>
          <w:color w:val="000000" w:themeColor="text1"/>
          <w:sz w:val="16"/>
          <w:szCs w:val="16"/>
          <w:u w:val="single"/>
        </w:rPr>
        <w:t>Поскребышеву</w:t>
      </w:r>
      <w:r w:rsidRPr="00E93F40">
        <w:rPr>
          <w:color w:val="000000" w:themeColor="text1"/>
          <w:sz w:val="16"/>
          <w:szCs w:val="16"/>
        </w:rPr>
        <w:t>.</w:t>
      </w:r>
    </w:p>
    <w:p w14:paraId="76A0924B" w14:textId="77777777" w:rsidR="0087389B" w:rsidRPr="00E93F40" w:rsidRDefault="0087389B" w:rsidP="00E93F40">
      <w:pPr>
        <w:pStyle w:val="rtecenter"/>
        <w:spacing w:before="0" w:after="0"/>
        <w:jc w:val="both"/>
        <w:rPr>
          <w:color w:val="000000" w:themeColor="text1"/>
          <w:sz w:val="16"/>
          <w:szCs w:val="16"/>
        </w:rPr>
      </w:pPr>
      <w:r w:rsidRPr="00E93F40">
        <w:rPr>
          <w:color w:val="000000" w:themeColor="text1"/>
          <w:sz w:val="16"/>
          <w:szCs w:val="16"/>
        </w:rPr>
        <w:t>Для Кагановича, Молотова, Ворошилова, Орджоникидзе.</w:t>
      </w:r>
    </w:p>
    <w:p w14:paraId="091950AB"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Советую все десять самолетов или часть из них объявить монгольскими по всем правилам формальности. Для этого заключить договор с Монгольским правительством о том, что самолеты куплены им в СССР в начале 1931 года по такой-то цене и за них уплачена такая-то часть стоимости тогда-то, а другая часть будет уплачена тогда-то</w:t>
      </w:r>
      <w:r w:rsidRPr="00E93F40">
        <w:rPr>
          <w:color w:val="000000" w:themeColor="text1"/>
          <w:sz w:val="16"/>
          <w:szCs w:val="16"/>
          <w:vertAlign w:val="superscript"/>
        </w:rPr>
        <w:t>1</w:t>
      </w:r>
      <w:r w:rsidRPr="00E93F40">
        <w:rPr>
          <w:color w:val="000000" w:themeColor="text1"/>
          <w:sz w:val="16"/>
          <w:szCs w:val="16"/>
        </w:rPr>
        <w:t>.</w:t>
      </w:r>
    </w:p>
    <w:p w14:paraId="2B3868B2"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Сталин.</w:t>
      </w:r>
    </w:p>
    <w:p w14:paraId="2E152D76"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5.</w:t>
      </w:r>
    </w:p>
    <w:p w14:paraId="7D7DD590"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15 час.</w:t>
      </w:r>
    </w:p>
    <w:p w14:paraId="5F770360"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5/VI.32 г.</w:t>
      </w:r>
      <w:r w:rsidRPr="00E93F40">
        <w:rPr>
          <w:color w:val="000000" w:themeColor="text1"/>
          <w:sz w:val="16"/>
          <w:szCs w:val="16"/>
          <w:vertAlign w:val="superscript"/>
        </w:rPr>
        <w:t>1</w:t>
      </w:r>
    </w:p>
    <w:p w14:paraId="73C962B2"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 xml:space="preserve"> Номер, время и дата вписаны секретарем. Отправлена шифром из Сочи 5 июня в 17 час. 15 мин., на телеграмме имеется помета: «Правильно. Ворошилов. Орджоникидзе» (РГАСПИ. Ф. 558. Оп. 11. Д. 77. Л. 7). В тот же день ПБ поручило Ворошилову и Карахану в 2-х дневный срок оформить договор на самолеты на условиях, изложенных в телеграмме Сталина (Там же. Ф. 17. Оп. 162. Д. 12. Л. 175).</w:t>
      </w:r>
    </w:p>
    <w:p w14:paraId="0FDC4B4A"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558. Оп. 11. Д. 77. Л. 8. Автограф. </w:t>
      </w:r>
    </w:p>
    <w:p w14:paraId="11411CD8"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Сталин и Каганович. Переписка. 1931–1936 гг. Москва: (РОССПЭН), 2001 Стр. 138-139 (12328).</w:t>
      </w:r>
    </w:p>
    <w:p w14:paraId="09FC3E79" w14:textId="77777777" w:rsidR="0087389B" w:rsidRPr="00E93F40" w:rsidRDefault="0087389B" w:rsidP="00E93F40">
      <w:pPr>
        <w:spacing w:after="0" w:line="240" w:lineRule="auto"/>
        <w:jc w:val="both"/>
        <w:rPr>
          <w:rFonts w:ascii="Times New Roman" w:hAnsi="Times New Roman"/>
          <w:color w:val="000000" w:themeColor="text1"/>
          <w:sz w:val="16"/>
          <w:szCs w:val="16"/>
        </w:rPr>
      </w:pPr>
    </w:p>
    <w:p w14:paraId="2CF55DA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C17BF1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0BB2C0" w14:textId="77777777" w:rsidR="0013569A" w:rsidRPr="00E93F40" w:rsidRDefault="0013569A"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6 июня</w:t>
      </w:r>
      <w:r w:rsidRPr="00E93F40">
        <w:rPr>
          <w:rFonts w:ascii="Times New Roman" w:hAnsi="Times New Roman"/>
          <w:color w:val="000000" w:themeColor="text1"/>
          <w:sz w:val="16"/>
          <w:szCs w:val="16"/>
        </w:rPr>
        <w:t xml:space="preserve"> в 1932 году поднялся в воздух английский транспортный самолет </w:t>
      </w:r>
      <w:hyperlink r:id="rId119" w:tgtFrame="_blank" w:history="1">
        <w:r w:rsidRPr="00E93F40">
          <w:rPr>
            <w:rFonts w:ascii="Times New Roman" w:hAnsi="Times New Roman"/>
            <w:color w:val="000000" w:themeColor="text1"/>
            <w:sz w:val="16"/>
            <w:szCs w:val="16"/>
          </w:rPr>
          <w:t xml:space="preserve">«A.W.15» </w:t>
        </w:r>
      </w:hyperlink>
      <w:r w:rsidRPr="00E93F40">
        <w:rPr>
          <w:rFonts w:ascii="Times New Roman" w:hAnsi="Times New Roman"/>
          <w:color w:val="000000" w:themeColor="text1"/>
          <w:sz w:val="16"/>
          <w:szCs w:val="16"/>
        </w:rPr>
        <w:t>(регистрационный код «G-ABPI»)</w:t>
      </w:r>
    </w:p>
    <w:p w14:paraId="59D522DA" w14:textId="77777777" w:rsidR="0013569A" w:rsidRPr="00E93F40" w:rsidRDefault="0013569A" w:rsidP="00E93F40">
      <w:pPr>
        <w:spacing w:after="0" w:line="240" w:lineRule="auto"/>
        <w:jc w:val="both"/>
        <w:rPr>
          <w:rFonts w:ascii="Times New Roman" w:hAnsi="Times New Roman"/>
          <w:color w:val="000000" w:themeColor="text1"/>
          <w:sz w:val="16"/>
          <w:szCs w:val="16"/>
        </w:rPr>
      </w:pPr>
    </w:p>
    <w:p w14:paraId="164255D8"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июня 1932 состоялся первый полет Армстронг Уитворт Аталанта (20803).</w:t>
      </w:r>
    </w:p>
    <w:p w14:paraId="09E4036F" w14:textId="77777777" w:rsidR="00114321" w:rsidRPr="00E93F40" w:rsidRDefault="00114321" w:rsidP="00E93F40">
      <w:pPr>
        <w:spacing w:after="0" w:line="240" w:lineRule="auto"/>
        <w:jc w:val="both"/>
        <w:rPr>
          <w:rFonts w:ascii="Times New Roman" w:hAnsi="Times New Roman"/>
          <w:color w:val="000000" w:themeColor="text1"/>
          <w:sz w:val="16"/>
          <w:szCs w:val="16"/>
        </w:rPr>
      </w:pPr>
    </w:p>
    <w:p w14:paraId="0B646323" w14:textId="681C68D4"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июня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Поднялся в воздух английский транспортный самолёт A.W.15 (регистрационный код G-ABPI). 11 июля A.W.15 получил вертификат лётной годности. Авиакомпания Imperial Airways в том же году заказало 8 самолётов и получило их к апрелю 1933 года (22649).</w:t>
      </w:r>
    </w:p>
    <w:p w14:paraId="253BF6D4" w14:textId="77777777" w:rsidR="00114321" w:rsidRPr="00E93F40" w:rsidRDefault="00114321" w:rsidP="00E93F40">
      <w:pPr>
        <w:spacing w:after="0" w:line="240" w:lineRule="auto"/>
        <w:jc w:val="both"/>
        <w:rPr>
          <w:rFonts w:ascii="Times New Roman" w:hAnsi="Times New Roman"/>
          <w:color w:val="000000" w:themeColor="text1"/>
          <w:sz w:val="16"/>
          <w:szCs w:val="16"/>
        </w:rPr>
      </w:pPr>
    </w:p>
    <w:p w14:paraId="0878F6F0" w14:textId="6E227539"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июня 1932 года — первый полёт авиалайнера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Armstrong Whitworth AW.15 Atalanta. /Великобритания/.</w:t>
      </w:r>
    </w:p>
    <w:p w14:paraId="23A61973" w14:textId="06C67610"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 году авиакомпания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Imperial Airways</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сформулировала требования к авиалайнеру для своих африканских маршрутов. Он должен был перевозить 9 пассажиров + 3 членов экипажа со скоростью 185 км/ч на расстояние в 640 — 960 км без дозаправки. Ответом на эти требования и стал самолёт от компании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Armstrong Whitworth Aircraft.</w:t>
      </w:r>
    </w:p>
    <w:p w14:paraId="362B1676" w14:textId="7580233F"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AW.15 представлял собой 4-хмоторный высокоплан смешанной конструкции (стальной каркас, фанерная и полотняная обшивки). Требования удалось превзойти — Atalanta брала на борт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пассажиров (правда, Imperial Airways ограничила их число до 9 на индийских и до 11 на африканских маршрутов) и без дозаправки пролетал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w:t>
      </w:r>
    </w:p>
    <w:p w14:paraId="2E0983DC" w14:textId="05B0D4BB"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было построено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авиалайнеров. Они также эксплуатировались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BOAC, Indian Trans-Continental Airways</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Wilson Airways. Во время Второй мировой войны три AW.15 переделали в патрульные и транспортные самолёты. Последний борт списали в 1944 году (22300).</w:t>
      </w:r>
    </w:p>
    <w:p w14:paraId="3E146457" w14:textId="77777777" w:rsidR="00114321" w:rsidRPr="00E93F40" w:rsidRDefault="00114321" w:rsidP="00E93F40">
      <w:pPr>
        <w:spacing w:after="0" w:line="240" w:lineRule="auto"/>
        <w:jc w:val="both"/>
        <w:rPr>
          <w:rFonts w:ascii="Times New Roman" w:hAnsi="Times New Roman"/>
          <w:color w:val="000000" w:themeColor="text1"/>
          <w:sz w:val="16"/>
          <w:szCs w:val="16"/>
        </w:rPr>
      </w:pPr>
    </w:p>
    <w:p w14:paraId="60A6D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июня 1932 г. в Париже открылось международное совещание по пересмотру «плана Дауэса». Председательствовал на нем американский финансист О. Юнг. Принятый в июне 1929г. «план Юнга» предусматривал выплату Германией репараций в размере 113,9 млрд. марок на протяжении 59 лет, причем в течение 37 лет по 2 млрд. марок. По Сравнению с «планом Дауэса» размер ежегодных взносов был снижен на 20% (План Юнга и Гаагская конференция 1929—1930 гг. Документы и материалы. М., 1931.). Одновременно был решен вопрос о выводе союзных войск из Рейнской зоны, и 30 июня 1930 г. последние французские войска покинули Майнц. «План Юнга» вступил в силу в июне 1930 г.,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C14F5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2CAAB8" w14:textId="0C5C9F45" w:rsidR="00BC4A5C" w:rsidRPr="00E93F40" w:rsidRDefault="00BC4A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июня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Париже открылось международного совещания по пересмотру «плана Дауэса». Председательствовал на нем американский финансист О. Юнг. Принятый в июне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«план Юнга» предусматривал выплату Германией репараций в размере 113,9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млрд. марок на протяжении 59 лет, причем в течение 37 лет по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млрд. марок. По Сравнению с «планом Дауэса» размер ежегодных взносов был снижен на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Одновременно был решен вопрос о выводе союзных войск из Рейнской зоны, и 30 июня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последние французские войска покинули Майнц (18265).</w:t>
      </w:r>
    </w:p>
    <w:p w14:paraId="0B9E3248" w14:textId="77777777" w:rsidR="00BC4A5C" w:rsidRPr="00E93F40" w:rsidRDefault="00BC4A5C" w:rsidP="00E93F40">
      <w:pPr>
        <w:spacing w:after="0" w:line="240" w:lineRule="auto"/>
        <w:jc w:val="both"/>
        <w:rPr>
          <w:rFonts w:ascii="Times New Roman" w:hAnsi="Times New Roman"/>
          <w:color w:val="000000" w:themeColor="text1"/>
          <w:sz w:val="16"/>
          <w:szCs w:val="16"/>
        </w:rPr>
      </w:pPr>
    </w:p>
    <w:p w14:paraId="4EFBBB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июня 1932 был госпереворот в Чили, который закончился 18 июня и президентом стал социалист (3907,172).</w:t>
      </w:r>
    </w:p>
    <w:p w14:paraId="2A434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48E6C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июня 1932 в США начался самый длинный в истории танцевальный марафон, длившийся 4152,5 часа (до 30 ноября) (4962).</w:t>
      </w:r>
    </w:p>
    <w:p w14:paraId="14C9364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43C9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D05AE9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08D8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июня 1932 ШКАС демонстрировался К.Е.Ворошилову в присутствии представителя Ружтреста И.А.Глотова, авторов, Пономарева, представляющего ВВС (86,231).</w:t>
      </w:r>
    </w:p>
    <w:p w14:paraId="34782E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есть стандартная рекламная компания, так как потом демонстрировали в тире 1-го Дома Реввоенсовета (86,231).</w:t>
      </w:r>
    </w:p>
    <w:p w14:paraId="01AF3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C38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первых числах июня 1932 г. пулемет ШКАС был представлен наркому обороны К.Е. Ворошилову. Присутствовавший при этом предста</w:t>
      </w:r>
      <w:r w:rsidRPr="00E93F40">
        <w:rPr>
          <w:rFonts w:ascii="Times New Roman" w:hAnsi="Times New Roman"/>
          <w:color w:val="000000" w:themeColor="text1"/>
          <w:sz w:val="16"/>
          <w:szCs w:val="16"/>
        </w:rPr>
        <w:softHyphen/>
        <w:t>витель Ружтреста И.А. Глотов в своих воспоминаниях пишет: «На демонстрации пулемета объяснения давали В.Г. Шпитальный и И.А. Комарицкий, а также представитель ВВС тов. Пономарев. По окончании демонстрации пулемета мною, по предварительно</w:t>
      </w:r>
      <w:r w:rsidRPr="00E93F40">
        <w:rPr>
          <w:rFonts w:ascii="Times New Roman" w:hAnsi="Times New Roman"/>
          <w:color w:val="000000" w:themeColor="text1"/>
          <w:sz w:val="16"/>
          <w:szCs w:val="16"/>
        </w:rPr>
        <w:softHyphen/>
        <w:t>му согласованию с изобретателями, было предложено испытать его стрельбой в местном тире 1 -го Дома Реввоенсовета, на что К.Е. Во</w:t>
      </w:r>
      <w:r w:rsidRPr="00E93F40">
        <w:rPr>
          <w:rFonts w:ascii="Times New Roman" w:hAnsi="Times New Roman"/>
          <w:color w:val="000000" w:themeColor="text1"/>
          <w:sz w:val="16"/>
          <w:szCs w:val="16"/>
        </w:rPr>
        <w:softHyphen/>
        <w:t>рошилов дал свое согласие. С некоторым вполне понятным волне</w:t>
      </w:r>
      <w:r w:rsidRPr="00E93F40">
        <w:rPr>
          <w:rFonts w:ascii="Times New Roman" w:hAnsi="Times New Roman"/>
          <w:color w:val="000000" w:themeColor="text1"/>
          <w:sz w:val="16"/>
          <w:szCs w:val="16"/>
        </w:rPr>
        <w:softHyphen/>
        <w:t>нием встал за пулемет И.А. Комарицкий, и открытая по команде наркома обороны стрельба, казалось, слилась в один мощный шквал выстрелов... Все механизмы пулемета ШКАС действовали при стрельбе безотказно... Такой результат внепланового испыта</w:t>
      </w:r>
      <w:r w:rsidRPr="00E93F40">
        <w:rPr>
          <w:rFonts w:ascii="Times New Roman" w:hAnsi="Times New Roman"/>
          <w:color w:val="000000" w:themeColor="text1"/>
          <w:sz w:val="16"/>
          <w:szCs w:val="16"/>
        </w:rPr>
        <w:softHyphen/>
        <w:t>ния пулемета вызвал одобрение у К.Е. Ворошилова. Он поздравил изобретателей с достигнутым успехом...» (10695).</w:t>
      </w:r>
    </w:p>
    <w:p w14:paraId="1C319F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AEB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первых числах июня 1932 г. пулемет ШКАС был представлен К. Е. Ворошилову. Присутствовавший при этом представи-тель Ружтреста И. А. Глотов в своих воспоминаниях пишет: «На демонстрации пулемета объяснения давали В. Г. Шпитальный и И. А. Комарицкий, а также представитель ВВС тов. Пономарев. По окончании демонстрации пулемета мною, по предварительному согласованию с изобретателями, было предложено испытать его стрельбой в местном тире 1-го Дома Реввоенсовета, на что К. Е. Ворошилов дал свое согласие. С некоторым вполне понятным волнением встал за пулемет И. А. Комарицкий, и открытая по команде наркома обороны стрельба, казалось, слилась в один мощный шквал выстрелов... Все механизмы пулемета ШКАС действовали при стрельбе безотказно... Такой результат внепланового испытания пулемета вызвал одобрение у К. Е. Ворошилова. Он поздравил изобретателей с достигнутым успехом...» (11316)</w:t>
      </w:r>
    </w:p>
    <w:p w14:paraId="689044A6" w14:textId="564223D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CD272A"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июня 1932-го ШКАС продемонстрировали наркомвоенмору К.Е. Ворошилову. Присутствовавший при этом предста</w:t>
      </w:r>
      <w:r w:rsidRPr="00142305">
        <w:rPr>
          <w:rFonts w:ascii="Times New Roman" w:hAnsi="Times New Roman"/>
          <w:color w:val="0070C0"/>
          <w:sz w:val="16"/>
          <w:szCs w:val="16"/>
        </w:rPr>
        <w:softHyphen/>
        <w:t>витель «Оружпултреста» И. Глотов впоследствии воспо</w:t>
      </w:r>
      <w:r w:rsidRPr="00142305">
        <w:rPr>
          <w:rFonts w:ascii="Times New Roman" w:hAnsi="Times New Roman"/>
          <w:color w:val="0070C0"/>
          <w:sz w:val="16"/>
          <w:szCs w:val="16"/>
        </w:rPr>
        <w:softHyphen/>
        <w:t>минал: «На демонстрации пулемета объяснения давали Шпитальный и Комарицкий, а также представитель ВВС Пономарев. По окончании демонстрации пулемета мною, по предварительному согласованию с изобрета</w:t>
      </w:r>
      <w:r w:rsidRPr="00142305">
        <w:rPr>
          <w:rFonts w:ascii="Times New Roman" w:hAnsi="Times New Roman"/>
          <w:color w:val="0070C0"/>
          <w:sz w:val="16"/>
          <w:szCs w:val="16"/>
        </w:rPr>
        <w:softHyphen/>
        <w:t>телями, было предложено испытать его в местном тире, на что Ворошилов дал свое согласие. С некоторым вполне понятным волнением встал за пулемет Комарицкий, и открытая по команде наркома обороны стрельба, казалось, слилась в один мощный шквал выстрелов... Все механизмы пулемета ШКАС действовали при стрельбе безотказно. Такой результат внепла</w:t>
      </w:r>
      <w:r w:rsidRPr="00142305">
        <w:rPr>
          <w:rFonts w:ascii="Times New Roman" w:hAnsi="Times New Roman"/>
          <w:color w:val="0070C0"/>
          <w:sz w:val="16"/>
          <w:szCs w:val="16"/>
        </w:rPr>
        <w:softHyphen/>
        <w:t>нового испытания пулемета вызвал одобрение Ворошилова.</w:t>
      </w:r>
    </w:p>
    <w:p w14:paraId="6B643F50"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Он поздравил изобрета</w:t>
      </w:r>
      <w:r w:rsidRPr="00142305">
        <w:rPr>
          <w:rFonts w:ascii="Times New Roman" w:hAnsi="Times New Roman"/>
          <w:color w:val="0070C0"/>
          <w:sz w:val="16"/>
          <w:szCs w:val="16"/>
        </w:rPr>
        <w:softHyphen/>
        <w:t>телей с достигнутым успехом.» (24933).</w:t>
      </w:r>
    </w:p>
    <w:p w14:paraId="7FDDBDB8" w14:textId="77777777" w:rsidR="00326370" w:rsidRPr="00142305" w:rsidRDefault="00326370" w:rsidP="00326370">
      <w:pPr>
        <w:spacing w:after="0" w:line="240" w:lineRule="auto"/>
        <w:jc w:val="both"/>
        <w:rPr>
          <w:rFonts w:ascii="Times New Roman" w:hAnsi="Times New Roman"/>
          <w:color w:val="0070C0"/>
          <w:sz w:val="16"/>
          <w:szCs w:val="16"/>
        </w:rPr>
      </w:pPr>
    </w:p>
    <w:p w14:paraId="78C43E24"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июня 1932-го Шпитальный, Комарицкий и представитель ВВС Пономарев продемонстрировали пулемет наркомвоенмору К. Е. Ворошилову.</w:t>
      </w:r>
    </w:p>
    <w:p w14:paraId="1B90E67D"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Присутствовавший при этом представитель Оружпултреста И. Глотов впоследствии воспоминал:</w:t>
      </w:r>
    </w:p>
    <w:p w14:paraId="20E7032F"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демонстрации пулемета объяснения давали Шпитальный и Комарицкий, а также представитель ВВС Пономарев. По окончании демонстрации пулемета мною, по предварительному согласованию с изобретателями, было предложено испытать его в местном тире, на что Ворошилов дал свое согласие. С некоторым вполне понятным волнением встал за пулемет Комарицкий, и открытая по команде наркома обороны стрельба, казалось, слилась в один мощный шквал выстрелов… Все механизмы пулемета ШКАС действовали при стрельбе безотказно… Такой результат внепланового испытания пулемета вызвал одобрение Ворошилова. Он поздравил изобретателей с достигнутым успехом…» (25380).</w:t>
      </w:r>
    </w:p>
    <w:p w14:paraId="5971D746" w14:textId="77777777" w:rsidR="00326370" w:rsidRPr="00142305" w:rsidRDefault="00326370" w:rsidP="00326370">
      <w:pPr>
        <w:spacing w:after="0" w:line="240" w:lineRule="auto"/>
        <w:jc w:val="both"/>
        <w:rPr>
          <w:rFonts w:ascii="Times New Roman" w:hAnsi="Times New Roman"/>
          <w:color w:val="0070C0"/>
          <w:sz w:val="16"/>
          <w:szCs w:val="16"/>
        </w:rPr>
      </w:pPr>
    </w:p>
    <w:p w14:paraId="4265D874" w14:textId="5207CFEB" w:rsidR="00114321" w:rsidRPr="00E93F40" w:rsidRDefault="00114321"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6E979C3F" w14:textId="77777777" w:rsidR="00114321" w:rsidRPr="00E93F40" w:rsidRDefault="00114321"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5B28BA0D" w14:textId="179EE213" w:rsidR="00114321" w:rsidRPr="00E93F40" w:rsidRDefault="0011432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начале июня 1932 г. Реввоенсоветом было утверждено МР-11, которое предусматривало развертывание большего числа соединений, чем то, которое намечалось годом ранее для MP-10 (на периоде до 1 мая 1932 г.): 144 стрелковые дивизии (вместо 140) и 14 кавдивизий (вместо 12). В связи с невыполнением авиационной и танковой программ численность в них средств пришлось, напротив, уменьшить: танков и танкеток разных типов - с 2580 до 2444 (из них средних танков - 54), а самолетов - с 2460 до 1923. Ранее планировавшееся число полков РГК осталось без изменений. Боевой состав сухопутных и воздушных сил (без запасных частей) составил 3 450 000, морских сил - 76</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250. Этот уровень существенно превосходил планировавшийся в начале 1931 г. на конец пятилетки (3 277 000 в действующей армии) (См.: Численность личного состава РККА военного времени на конец пятилетки по проекту [март(?), 1931 г.] // РГВА Ф. 40442. On. 1. Д 375. Л. 17.) и, по всей вероятности, означал, что общая численность личного состава военного времени устанавливалась с превышением 4,5 млн человек. К моменту завершения периода действия МР-11 эти установки не удалось подкрепить реальными ресурсами, и в руководстве НКВМ, как само собой разумеющееся, признавалось, что "мобрасписания № 11 как такового фактически не существует". Это положение явилось важным аргументом для введения в действие MP-15 (22725).</w:t>
      </w:r>
    </w:p>
    <w:p w14:paraId="44766A2D" w14:textId="77777777" w:rsidR="00114321" w:rsidRPr="00E93F40" w:rsidRDefault="00114321" w:rsidP="00E93F40">
      <w:pPr>
        <w:spacing w:after="0" w:line="240" w:lineRule="auto"/>
        <w:jc w:val="both"/>
        <w:rPr>
          <w:rFonts w:ascii="Times New Roman" w:hAnsi="Times New Roman"/>
          <w:color w:val="000000" w:themeColor="text1"/>
          <w:sz w:val="16"/>
          <w:szCs w:val="16"/>
        </w:rPr>
      </w:pPr>
    </w:p>
    <w:p w14:paraId="01A6706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9328F3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3ADC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июня 1932 года начальник ВВС Алкснис писал письмо N 038411 председателю РВС.</w:t>
      </w:r>
    </w:p>
    <w:p w14:paraId="4BEABB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073627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7 июня с.г.</w:t>
      </w:r>
    </w:p>
    <w:p w14:paraId="438A3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6 передается в НИИ для серийных испытаний с доработкой и оставлением его в качестве эталона на 1932 год (3027).</w:t>
      </w:r>
    </w:p>
    <w:p w14:paraId="28D54D84" w14:textId="3F6B83B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A8F7D9" w14:textId="70709FC2" w:rsidR="00114321" w:rsidRPr="00E93F40" w:rsidRDefault="00114321"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lastRenderedPageBreak/>
        <w:t>За рубежом:</w:t>
      </w:r>
    </w:p>
    <w:p w14:paraId="275C498E" w14:textId="77777777" w:rsidR="00114321" w:rsidRPr="00E93F40" w:rsidRDefault="00114321"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091F7322" w14:textId="6905EE7D"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июня 1932 г. Небель получил секретное предписание: с оборудованием и специалистами прибыть на артиллерийский полигон Куммерсдорф, расположенный в 27 км южнее Берлина. Демонстрационный пуск назначили на 22 июня. Армейский полигон произвел на группу Небеля сильное впечатление: помимо большого стенда для испытаний ракетных двигателей здесь находился комплекс сооружений 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новейшим оборудованием. Имелась даже сеть кинокамер, фиксировавших траектории летящих ракет. Пуск ракеты состоялся в назначенное время. Она поднялась на высоту около 1100 м, после чего перешла в горизонтальный полет со снижением и упала в трех километрах от места старта; парашют не раскрылся, ракета разбилась. На дальнобойность это не было похоже. А ведь Небель обещал, что ракета достигнет высоты 3000 м, пролетит 10 километров и совершит мягкую посадку на парашюте. Более того, он не смог ответить на конкретные вопросы о том, какие приборы и как должны управлять полётом, о расходе топлива на различных дистанциях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тому подобные. Военные сделали вывод, что не способен вести серьёзную работу. Для этого требовались, помимо энтузиазма, серьезные научные знания и выдающиеся организаторские способности (23372).</w:t>
      </w:r>
    </w:p>
    <w:p w14:paraId="1690935B" w14:textId="77777777" w:rsidR="00910501" w:rsidRPr="00E93F40" w:rsidRDefault="00910501" w:rsidP="00E93F40">
      <w:pPr>
        <w:spacing w:after="0" w:line="240" w:lineRule="auto"/>
        <w:jc w:val="both"/>
        <w:rPr>
          <w:rFonts w:ascii="Times New Roman" w:hAnsi="Times New Roman"/>
          <w:color w:val="000000" w:themeColor="text1"/>
          <w:sz w:val="16"/>
          <w:szCs w:val="16"/>
        </w:rPr>
      </w:pPr>
    </w:p>
    <w:p w14:paraId="60D467BC"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июня 1932 основана компания Misr Airlines, которая позже станет EgyptAir. Он начнет полеты в июле 1933 года (20803).</w:t>
      </w:r>
    </w:p>
    <w:p w14:paraId="4F9C928E" w14:textId="77777777" w:rsidR="00114321" w:rsidRPr="00E93F40" w:rsidRDefault="00114321" w:rsidP="00E93F40">
      <w:pPr>
        <w:spacing w:after="0" w:line="240" w:lineRule="auto"/>
        <w:jc w:val="both"/>
        <w:rPr>
          <w:rFonts w:ascii="Times New Roman" w:hAnsi="Times New Roman"/>
          <w:color w:val="000000" w:themeColor="text1"/>
          <w:sz w:val="16"/>
          <w:szCs w:val="16"/>
        </w:rPr>
      </w:pPr>
    </w:p>
    <w:p w14:paraId="1A0B9C9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A832C5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47E2A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8 по 21 июня 1932 в НИИ ВВС проходили испытания самолета ТБ1 № 690 с добавочными баками с 2-мя моторами М17</w:t>
      </w:r>
    </w:p>
    <w:p w14:paraId="51CE5E6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Отчет по испытаниям самолета ТБ1 № 690 с добавочными баками с 2-мя моторами М17</w:t>
      </w:r>
    </w:p>
    <w:p w14:paraId="75098C4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0A579CB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 – Рязанов</w:t>
      </w:r>
    </w:p>
    <w:p w14:paraId="5E2319E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 Стефановский</w:t>
      </w:r>
    </w:p>
    <w:p w14:paraId="03A67AF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испытаний</w:t>
      </w:r>
    </w:p>
    <w:p w14:paraId="24C7C506"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максимальную дальность.</w:t>
      </w:r>
    </w:p>
    <w:p w14:paraId="1EDE3D9D"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особенности взлета и пилотажа.</w:t>
      </w:r>
    </w:p>
    <w:p w14:paraId="4EEE7FFC"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Проработать вопрос о расходе горючего.</w:t>
      </w:r>
    </w:p>
    <w:p w14:paraId="2EB0B91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получен от ЦАГИ – 5 июня 1932 года</w:t>
      </w:r>
    </w:p>
    <w:p w14:paraId="4CBA942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 – 8 июня 1932 года</w:t>
      </w:r>
    </w:p>
    <w:p w14:paraId="2CD3923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закончено – 21 июня 1932 года</w:t>
      </w:r>
    </w:p>
    <w:p w14:paraId="4B9CF1D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испытания затрачено 14 календарных дней</w:t>
      </w:r>
    </w:p>
    <w:p w14:paraId="5EF799B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летал 7 дней.</w:t>
      </w:r>
    </w:p>
    <w:p w14:paraId="5BD16AB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налетал 32 часа 53 минуты.</w:t>
      </w:r>
    </w:p>
    <w:p w14:paraId="0BF872E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Конструктивные отличия от типового ТБ1</w:t>
      </w:r>
    </w:p>
    <w:p w14:paraId="555DFCF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самолете установлены 4 дополнительных бензиновых бака, из них 2 бака в бомбовом отсеке фюзеляжа и по одному баку в концевой части крыльев.</w:t>
      </w:r>
    </w:p>
    <w:p w14:paraId="11BF384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же бомбовом отсеке установлен дополнительный маслобак. Использование этого бака в зимних условиях невозможно.</w:t>
      </w:r>
    </w:p>
    <w:p w14:paraId="6FDF92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Перелет Монино-Воронеж-Москва</w:t>
      </w:r>
    </w:p>
    <w:p w14:paraId="6F1372D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Перелет был предпринят с целью проверки расчетов расхода топлива и тренировки экипажа и был успешно выполнен 18 июня 1932 года.</w:t>
      </w:r>
    </w:p>
    <w:p w14:paraId="5829BAE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Перелет Монино-Киев-Москва. 21 июня 1932 года.</w:t>
      </w:r>
    </w:p>
    <w:p w14:paraId="53F3580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3984DBE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Считать необходимым для увеличения дальности полета самолета ТБ1-2М17 снабдить часть самолетов, находящихся в строю добавочными баками (6960).</w:t>
      </w:r>
    </w:p>
    <w:p w14:paraId="38F54B8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FDB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июня 1932 закончились испытания принятого с завода N 1 самолета И5 N 4420 с мотором М22 N 9110, винт N 40442 завода N 28 Н=2,1 Д=2,8 по выяснению причин вибрации, которые проходили с 29 мая 1932.</w:t>
      </w:r>
    </w:p>
    <w:p w14:paraId="3971C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5DCB87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летчик Степанченок</w:t>
      </w:r>
    </w:p>
    <w:p w14:paraId="641B2D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1 отдела Осипенко</w:t>
      </w:r>
    </w:p>
    <w:p w14:paraId="01B99A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3 отдела Пуня</w:t>
      </w:r>
    </w:p>
    <w:p w14:paraId="48715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Ход испытания</w:t>
      </w:r>
    </w:p>
    <w:p w14:paraId="4055B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принятый от зав. N 1 28 мая 1932 года в 17 час.</w:t>
      </w:r>
    </w:p>
    <w:p w14:paraId="3269D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календарных дней на испытание - 11</w:t>
      </w:r>
    </w:p>
    <w:p w14:paraId="213D86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них:</w:t>
      </w:r>
    </w:p>
    <w:p w14:paraId="504F5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испытывался в воздухе - 3 летных дня</w:t>
      </w:r>
    </w:p>
    <w:p w14:paraId="0FE85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Летный и технический состав снят для участия в воздушном параде - 1 день</w:t>
      </w:r>
    </w:p>
    <w:p w14:paraId="5FF3BE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Сделано посадок - 11</w:t>
      </w:r>
    </w:p>
    <w:p w14:paraId="24D5E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продолжительность полетов в воздухе - 3 часа 43 мин. (3025).</w:t>
      </w:r>
    </w:p>
    <w:p w14:paraId="3C67F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7CB20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 считает тряску на самолете И5 N 4420 - М22 N 9110 устраненной и работу мотора в данное время нормальной. Самолет сдать в завод N 1 для передачи его в эксплуатацию. (3025,35-42).</w:t>
      </w:r>
    </w:p>
    <w:p w14:paraId="552035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F7EF8D"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8 по 21 июня 1932 г. в НИИ ВВС прошли государственные испыта</w:t>
      </w:r>
      <w:r w:rsidRPr="00142305">
        <w:rPr>
          <w:rFonts w:ascii="Times New Roman" w:hAnsi="Times New Roman"/>
          <w:color w:val="0070C0"/>
          <w:sz w:val="16"/>
          <w:szCs w:val="16"/>
        </w:rPr>
        <w:softHyphen/>
        <w:t>ния самолета ТБ-1 с дополнительными баками.</w:t>
      </w:r>
    </w:p>
    <w:p w14:paraId="0BADCAC5"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Заявленной дальности в 2000 км летчики достигли, но попут</w:t>
      </w:r>
      <w:r w:rsidRPr="00142305">
        <w:rPr>
          <w:rFonts w:ascii="Times New Roman" w:hAnsi="Times New Roman"/>
          <w:color w:val="0070C0"/>
          <w:sz w:val="16"/>
          <w:szCs w:val="16"/>
        </w:rPr>
        <w:softHyphen/>
        <w:t>но выявили и немало проблем. Полетный вес достиг 8800 кг - намного больше расчетного, хотя для облег</w:t>
      </w:r>
      <w:r w:rsidRPr="00142305">
        <w:rPr>
          <w:rFonts w:ascii="Times New Roman" w:hAnsi="Times New Roman"/>
          <w:color w:val="0070C0"/>
          <w:sz w:val="16"/>
          <w:szCs w:val="16"/>
        </w:rPr>
        <w:softHyphen/>
        <w:t>чения сняли одну турель Тур-6 и внутренние кассеты Дер-9. Взлетать с таким весом удавалось при сущест</w:t>
      </w:r>
      <w:r w:rsidRPr="00142305">
        <w:rPr>
          <w:rFonts w:ascii="Times New Roman" w:hAnsi="Times New Roman"/>
          <w:color w:val="0070C0"/>
          <w:sz w:val="16"/>
          <w:szCs w:val="16"/>
        </w:rPr>
        <w:softHyphen/>
        <w:t>венно увеличивавшемся разбеге, а вот сесть при необ</w:t>
      </w:r>
      <w:r w:rsidRPr="00142305">
        <w:rPr>
          <w:rFonts w:ascii="Times New Roman" w:hAnsi="Times New Roman"/>
          <w:color w:val="0070C0"/>
          <w:sz w:val="16"/>
          <w:szCs w:val="16"/>
        </w:rPr>
        <w:softHyphen/>
        <w:t>ходимости было нелегко, поскольку шасси такой на</w:t>
      </w:r>
      <w:r w:rsidRPr="00142305">
        <w:rPr>
          <w:rFonts w:ascii="Times New Roman" w:hAnsi="Times New Roman"/>
          <w:color w:val="0070C0"/>
          <w:sz w:val="16"/>
          <w:szCs w:val="16"/>
        </w:rPr>
        <w:softHyphen/>
        <w:t>грузки не выдерживало. Конструкторы предусмотрели аварийный слив горючего из баков в бомбоотсеке, но клапаны выглядели столь ненадежными, что восполь</w:t>
      </w:r>
      <w:r w:rsidRPr="00142305">
        <w:rPr>
          <w:rFonts w:ascii="Times New Roman" w:hAnsi="Times New Roman"/>
          <w:color w:val="0070C0"/>
          <w:sz w:val="16"/>
          <w:szCs w:val="16"/>
        </w:rPr>
        <w:softHyphen/>
        <w:t>зоваться ими побоялись.</w:t>
      </w:r>
    </w:p>
    <w:p w14:paraId="25489EA4"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Дополнительные масляный и водяной баки в полете сильно охлаждались. Зимой, при низких температурах, их содержимое могло замерзнуть. Каждый бак имел свою заливную горловину. Только бензин требовалось залить в 14 отдельных емкостей, что существенно затя</w:t>
      </w:r>
      <w:r w:rsidRPr="00142305">
        <w:rPr>
          <w:rFonts w:ascii="Times New Roman" w:hAnsi="Times New Roman"/>
          <w:color w:val="0070C0"/>
          <w:sz w:val="16"/>
          <w:szCs w:val="16"/>
        </w:rPr>
        <w:softHyphen/>
        <w:t>гивало заправку.</w:t>
      </w:r>
    </w:p>
    <w:p w14:paraId="6DFAC075"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Тем не менее, конструкцию в целом одобрили. Ма</w:t>
      </w:r>
      <w:r w:rsidRPr="00142305">
        <w:rPr>
          <w:rFonts w:ascii="Times New Roman" w:hAnsi="Times New Roman"/>
          <w:color w:val="0070C0"/>
          <w:sz w:val="16"/>
          <w:szCs w:val="16"/>
        </w:rPr>
        <w:softHyphen/>
        <w:t>шина зав. № 690 18 июня совершила беспосадочный пе</w:t>
      </w:r>
      <w:r w:rsidRPr="00142305">
        <w:rPr>
          <w:rFonts w:ascii="Times New Roman" w:hAnsi="Times New Roman"/>
          <w:color w:val="0070C0"/>
          <w:sz w:val="16"/>
          <w:szCs w:val="16"/>
        </w:rPr>
        <w:softHyphen/>
        <w:t>релет Монино - Воронеж - Москва (800 км). Самолет вылетел с Монинского аэродрома в 4 ч 15 мин, набрал высоту 2200 м, на этой высоте прилетел в Воронеж, и вернулся в Москву. За 6 час 43 мин ТБ-1 покрыл рассто</w:t>
      </w:r>
      <w:r w:rsidRPr="00142305">
        <w:rPr>
          <w:rFonts w:ascii="Times New Roman" w:hAnsi="Times New Roman"/>
          <w:color w:val="0070C0"/>
          <w:sz w:val="16"/>
          <w:szCs w:val="16"/>
        </w:rPr>
        <w:softHyphen/>
        <w:t>яние 956 км со средней скоростью 144 км/час.</w:t>
      </w:r>
    </w:p>
    <w:p w14:paraId="47B64243"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июня состоялся беспосадочный перелет Монино - Киев - Москва (1557 км) за 10 час 41 мин со средней скоростью 138 км/час. При этом на полигоне в районе Киева летчики сбросили 500 кг бомб.</w:t>
      </w:r>
    </w:p>
    <w:p w14:paraId="3618E4A0"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испытания самолета с полетным весом 8790 кг, провели сравнительные испытания самолета с раз</w:t>
      </w:r>
      <w:r w:rsidRPr="00142305">
        <w:rPr>
          <w:rFonts w:ascii="Times New Roman" w:hAnsi="Times New Roman"/>
          <w:color w:val="0070C0"/>
          <w:sz w:val="16"/>
          <w:szCs w:val="16"/>
        </w:rPr>
        <w:softHyphen/>
        <w:t>личными полетными весами на скороподъемность, ско</w:t>
      </w:r>
      <w:r w:rsidRPr="00142305">
        <w:rPr>
          <w:rFonts w:ascii="Times New Roman" w:hAnsi="Times New Roman"/>
          <w:color w:val="0070C0"/>
          <w:sz w:val="16"/>
          <w:szCs w:val="16"/>
        </w:rPr>
        <w:softHyphen/>
        <w:t>рость по высотам, потолок и разбег.</w:t>
      </w:r>
    </w:p>
    <w:p w14:paraId="74079142"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основании испытаний сделали заключение, что:</w:t>
      </w:r>
    </w:p>
    <w:p w14:paraId="615C8796"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 Установка добавочных бензобаков при G=8800 кг и при </w:t>
      </w:r>
      <w:r w:rsidRPr="00142305">
        <w:rPr>
          <w:rFonts w:ascii="Times New Roman" w:hAnsi="Times New Roman"/>
          <w:smallCaps/>
          <w:color w:val="0070C0"/>
          <w:sz w:val="16"/>
          <w:szCs w:val="16"/>
        </w:rPr>
        <w:t>G</w:t>
      </w:r>
      <w:r w:rsidRPr="00142305">
        <w:rPr>
          <w:rFonts w:ascii="Times New Roman" w:hAnsi="Times New Roman"/>
          <w:smallCaps/>
          <w:color w:val="0070C0"/>
          <w:sz w:val="16"/>
          <w:szCs w:val="16"/>
          <w:vertAlign w:val="subscript"/>
        </w:rPr>
        <w:t>6om6</w:t>
      </w:r>
      <w:r w:rsidRPr="00142305">
        <w:rPr>
          <w:rFonts w:ascii="Times New Roman" w:hAnsi="Times New Roman"/>
          <w:smallCaps/>
          <w:color w:val="0070C0"/>
          <w:sz w:val="16"/>
          <w:szCs w:val="16"/>
        </w:rPr>
        <w:t>=500</w:t>
      </w:r>
      <w:r w:rsidRPr="00142305">
        <w:rPr>
          <w:rFonts w:ascii="Times New Roman" w:hAnsi="Times New Roman"/>
          <w:color w:val="0070C0"/>
          <w:sz w:val="16"/>
          <w:szCs w:val="16"/>
        </w:rPr>
        <w:t xml:space="preserve"> кг увеличивает тактический радиус действия ТБ-1 до 750-800 км.</w:t>
      </w:r>
    </w:p>
    <w:p w14:paraId="35CA7403" w14:textId="77777777" w:rsidR="00326370" w:rsidRPr="00142305" w:rsidRDefault="00326370" w:rsidP="00326370">
      <w:pPr>
        <w:widowControl w:val="0"/>
        <w:tabs>
          <w:tab w:val="left" w:pos="639"/>
        </w:tabs>
        <w:spacing w:after="0" w:line="240" w:lineRule="auto"/>
        <w:jc w:val="both"/>
        <w:rPr>
          <w:rFonts w:ascii="Times New Roman" w:hAnsi="Times New Roman"/>
          <w:color w:val="0070C0"/>
          <w:sz w:val="16"/>
          <w:szCs w:val="16"/>
        </w:rPr>
      </w:pPr>
      <w:bookmarkStart w:id="33" w:name="bookmark218"/>
      <w:bookmarkEnd w:id="33"/>
      <w:r w:rsidRPr="00142305">
        <w:rPr>
          <w:rFonts w:ascii="Times New Roman" w:hAnsi="Times New Roman"/>
          <w:color w:val="0070C0"/>
          <w:sz w:val="16"/>
          <w:szCs w:val="16"/>
        </w:rPr>
        <w:t>2. При хороших аэродромах возможна эксплуатация ТБ-1 при G=8900 кг.</w:t>
      </w:r>
    </w:p>
    <w:p w14:paraId="32D16DDC" w14:textId="77777777" w:rsidR="00326370" w:rsidRPr="00142305" w:rsidRDefault="00326370" w:rsidP="00326370">
      <w:pPr>
        <w:widowControl w:val="0"/>
        <w:tabs>
          <w:tab w:val="left" w:pos="644"/>
        </w:tabs>
        <w:spacing w:after="0" w:line="240" w:lineRule="auto"/>
        <w:jc w:val="both"/>
        <w:rPr>
          <w:rFonts w:ascii="Times New Roman" w:hAnsi="Times New Roman"/>
          <w:color w:val="0070C0"/>
          <w:sz w:val="16"/>
          <w:szCs w:val="16"/>
        </w:rPr>
      </w:pPr>
      <w:bookmarkStart w:id="34" w:name="bookmark219"/>
      <w:bookmarkEnd w:id="34"/>
      <w:r w:rsidRPr="00142305">
        <w:rPr>
          <w:rFonts w:ascii="Times New Roman" w:hAnsi="Times New Roman"/>
          <w:color w:val="0070C0"/>
          <w:sz w:val="16"/>
          <w:szCs w:val="16"/>
        </w:rPr>
        <w:t>3. Необходимо снабдить часть самолетов, находя</w:t>
      </w:r>
      <w:r w:rsidRPr="00142305">
        <w:rPr>
          <w:rFonts w:ascii="Times New Roman" w:hAnsi="Times New Roman"/>
          <w:color w:val="0070C0"/>
          <w:sz w:val="16"/>
          <w:szCs w:val="16"/>
        </w:rPr>
        <w:softHyphen/>
        <w:t>щихся в строю, добавочными бензиновыми баками».</w:t>
      </w:r>
    </w:p>
    <w:p w14:paraId="27705170"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ВВС заказали комплекты дополнительных баков, а самолеты с ними решили переоборудовать отечествен</w:t>
      </w:r>
      <w:r w:rsidRPr="00142305">
        <w:rPr>
          <w:rFonts w:ascii="Times New Roman" w:hAnsi="Times New Roman"/>
          <w:color w:val="0070C0"/>
          <w:sz w:val="16"/>
          <w:szCs w:val="16"/>
        </w:rPr>
        <w:softHyphen/>
        <w:t>ными колесами больших размеров (1350x300 мм). ТБ-1 с дополнительными баками имели продолжительность полета 10-11 часов.</w:t>
      </w:r>
    </w:p>
    <w:p w14:paraId="1AF0F83A" w14:textId="77777777" w:rsidR="00326370" w:rsidRPr="00142305" w:rsidRDefault="00326370" w:rsidP="0032637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Дальнейшего увеличения дальности рассчитывали достичь путем облегчения машины и уменьшения со</w:t>
      </w:r>
      <w:r w:rsidRPr="00142305">
        <w:rPr>
          <w:rFonts w:ascii="Times New Roman" w:hAnsi="Times New Roman"/>
          <w:color w:val="0070C0"/>
          <w:sz w:val="16"/>
          <w:szCs w:val="16"/>
        </w:rPr>
        <w:softHyphen/>
        <w:t>става экипажа (25004).</w:t>
      </w:r>
    </w:p>
    <w:p w14:paraId="296F87F0" w14:textId="77777777" w:rsidR="00326370" w:rsidRPr="00142305" w:rsidRDefault="00326370" w:rsidP="00326370">
      <w:pPr>
        <w:spacing w:after="0" w:line="240" w:lineRule="auto"/>
        <w:jc w:val="both"/>
        <w:rPr>
          <w:rFonts w:ascii="Times New Roman" w:hAnsi="Times New Roman"/>
          <w:color w:val="0070C0"/>
          <w:sz w:val="16"/>
          <w:szCs w:val="16"/>
        </w:rPr>
      </w:pPr>
    </w:p>
    <w:p w14:paraId="4FB40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июня 1932 прошли первые испытания мотопланера РП-1 (БИЧ-11). Первый полет на планере БИЧ-11 С.П.К. совершил 22 февраля 1932. Двигатель Цандера опаздывал БИЧ-11 переделали в ракетоплан РП-1, закрыли кабину колпаком, установили гаргрот и сделали надпись ГИРД справа и ГИРД РП-1 слева. Чтобы не терять время поставили импортный двухцилиндровый мотор Скорпион 25 нр. Из-за большого трения лыжного шасси о землю потребовался механический старт. мотор не тянул (2544,60).</w:t>
      </w:r>
    </w:p>
    <w:p w14:paraId="49119E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FC27AB" w14:textId="63C6CA60" w:rsidR="007E6A6C" w:rsidRPr="00E93F40" w:rsidRDefault="007E6A6C" w:rsidP="00E93F40">
      <w:pPr>
        <w:spacing w:after="0" w:line="240" w:lineRule="auto"/>
        <w:jc w:val="both"/>
        <w:rPr>
          <w:rFonts w:ascii="Times New Roman" w:hAnsi="Times New Roman"/>
          <w:color w:val="000000" w:themeColor="text1"/>
          <w:sz w:val="16"/>
          <w:szCs w:val="16"/>
        </w:rPr>
      </w:pPr>
      <w:r w:rsidRPr="00E93F40">
        <w:rPr>
          <w:rFonts w:ascii="Times New Roman" w:eastAsia="Times New Roman" w:hAnsi="Times New Roman"/>
          <w:color w:val="000000" w:themeColor="text1"/>
          <w:sz w:val="16"/>
          <w:szCs w:val="16"/>
          <w:lang w:eastAsia="ru-RU"/>
        </w:rPr>
        <w:lastRenderedPageBreak/>
        <w:t>8 июня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прошли первые испытания мотопланера. Из-за большого трения лыжи о землю (РП-1 так же, как и БИЧ-11, имел лыжное шасси) для взлёта требовалась помощь находившихся на аэродроме людей. В полёте двигатель не держал оборотов, и тяга винта все время менялась. Так как ось винта проходила выше центра тяжести самолёта, изменения оборотов вели к продольной раскачке. «В моменты, когда мотор сдавал, самолёт имел тенденцию идти на хвост, а когда мотор забирал — идти на нос»,</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говорится в отчёте</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С.П. Королёва </w:t>
      </w:r>
      <w:hyperlink r:id="rId120" w:history="1">
        <w:r w:rsidRPr="00E93F40">
          <w:rPr>
            <w:rFonts w:ascii="Times New Roman" w:eastAsia="Times New Roman" w:hAnsi="Times New Roman"/>
            <w:color w:val="000000" w:themeColor="text1"/>
            <w:sz w:val="16"/>
            <w:szCs w:val="16"/>
            <w:lang w:eastAsia="ru-RU"/>
          </w:rPr>
          <w:t>[261]</w:t>
        </w:r>
      </w:hyperlink>
      <w:r w:rsidRPr="00E93F40">
        <w:rPr>
          <w:rFonts w:ascii="Times New Roman" w:hAnsi="Times New Roman"/>
          <w:color w:val="000000" w:themeColor="text1"/>
          <w:sz w:val="16"/>
          <w:szCs w:val="16"/>
        </w:rPr>
        <w:t>.</w:t>
      </w:r>
    </w:p>
    <w:p w14:paraId="3B8A978C" w14:textId="7C3824BB"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Сначала планер переоборудовали в ракетоплан РП-1. Кабину закрыли прозрачным колпаком, за ней установили обтекатель ЖРД, смонтировали агрегаты топливной системы. Двигатель должен был размещаться за кабиной пилота, а баки (один с бензином и два с жидким кислородом)</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в центроплане крыла. Там же находился баллон с сжатым азотом, предназначенным для подачи топливных компонентов в камеру сгорания. Такая система топливопитания, называющаяся вытеснительной, являлась наиболее простой в создании и использовании. Однако она получалась тяжёлой из-за необходимости рассчитывать баки, трубопроводы, соединения на довольно высокое давление — 6–8</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атм. Требовалась также тщательная сборка и пригонка всех частей топливной системы в производстве и обеспечение её герметичности в эксплуатации.</w:t>
      </w:r>
    </w:p>
    <w:p w14:paraId="4EE4BA30" w14:textId="77777777"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Для поддержания низких температур жидкого кислорода и азота баки были выполнены в виде сосудов Дюара с двойными стенками, пространство между которыми заполнялось углекислотой. Каждый из баков поместили в дюралюминиевый кожух, отделявший его от конструкции ракетоплана. Крыло в местах установки топливных ёмкостей усилили стальной окантовкой.</w:t>
      </w:r>
    </w:p>
    <w:p w14:paraId="37C7A598" w14:textId="77777777"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Выступавшие за верхний контур крыла горловины баков закрыли легкосъёмными обтекателями.</w:t>
      </w:r>
    </w:p>
    <w:p w14:paraId="0128901D" w14:textId="77777777"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Управление силовой установкой в кабине включало в себя краны открытия клапанов баков и регулирования подачи смеси, включатель зажигания. Приборами контроля работы двигателя были манометры кислорода, топлива и азота, а также манометр, замерявший давление в камере сгорания. Регулировать тягу в полёте предполагалось изменением давления подачи топливных компонентов.</w:t>
      </w:r>
    </w:p>
    <w:p w14:paraId="0C2D5E7D" w14:textId="6388E4DC"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Стендовые испытания двигателем ОР-2 выявили его ненадёжность: из-за неустойчивости горения топливной смеси и прогаров деталей конструкции ЖРД мог работать максимум девять секунд.</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Начались многочисленные доработки.</w:t>
      </w:r>
    </w:p>
    <w:p w14:paraId="438E8C7F" w14:textId="1EEB2A3E"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Двигателя всё не было. Чтобы не терять времени, РП-1 решили испытать с обычным поршневым мотором с толкающим винтом, тяга которого должна была в какой-то степени имитировать действие реактивной струи. Для опытов Осоавиахим предоставил Королёву импортный двухцилиндровый</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«Скорпион». Двигатель был старый, сбоил и недодавал мощности (17489).</w:t>
      </w:r>
    </w:p>
    <w:p w14:paraId="4EB0B41F" w14:textId="77777777"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p>
    <w:p w14:paraId="412A2F6B" w14:textId="77777777"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июня 1932 г. испытали РП-1 – переоборудованный планер БИЧ-11.</w:t>
      </w:r>
    </w:p>
    <w:p w14:paraId="0A69FB42" w14:textId="77777777"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КабинуБИЧ-11 закрыли прозрачным колпаком, за ней установили гаргрот-обтекатель ЖРД, смонтировали агрегаты топливной системы. Чтобы не терять времени, РП-1 решили испытать с обычным поршневым мотором с толкающим винтом, тяга которого должна была в какой-то степени имитировать действие реактивной струи. Для опытов Осоавиахим предоставил Королеву импортный двухцилиндровый "Скорпион". Двигатель был отнюдь не новый, и развиваемая им мощность составляла не более 25 л.с.</w:t>
      </w:r>
    </w:p>
    <w:p w14:paraId="1ED8CF39" w14:textId="77777777"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Из-за большого трения лыжи о землю (РП-1, так же, как БИЧ-11, имел лыжное шасси) для взлета требовалась помощь находившихся на аэродроме людей. В полете двигатель "не держал оборотов", и тяга винта все время менялась. Так как ось винта проходила заметно выше центра тяжести самолета, изменения оборотов вели к продольной раскачке машины. "В моменты, когда мотор сдавал, самолет имел тенденцию идти на хвост, а когда мотор забирал — идти на нос", — говорится в отчете С.П.Королева (24253).</w:t>
      </w:r>
    </w:p>
    <w:p w14:paraId="7E9272AE" w14:textId="77777777" w:rsidR="00910501" w:rsidRPr="00E93F40" w:rsidRDefault="00910501" w:rsidP="00E93F40">
      <w:pPr>
        <w:spacing w:after="0" w:line="240" w:lineRule="auto"/>
        <w:jc w:val="both"/>
        <w:rPr>
          <w:rFonts w:ascii="Times New Roman" w:hAnsi="Times New Roman"/>
          <w:color w:val="000000" w:themeColor="text1"/>
          <w:sz w:val="16"/>
          <w:szCs w:val="16"/>
        </w:rPr>
      </w:pPr>
    </w:p>
    <w:p w14:paraId="6BFAF2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июня 1932 С.Ф.Валк - военинженер Научно-испытательного минно-торпедного института (НИМТИ) в Ленинграде докладывал начальнику ВМС о варианте доставки боевого заряда на дальнее расстояние с помощью самолета и подвесной автоматической планирующей торпеды (ПТ), летящей до 20 км. Наведение - инфракрасное, бесшумно. Рассматривалась комиссией УМС РККА и дали добро. Дали обозначения: ДПТ - дальнобойная план-торпеда - 30-50 км и ЛТДД (летающая торпеда дальнего действия) - 100-200 км. Реализация проекта началась в 1933. Включили в пятилетний план. Автоматы сделали в Осконбюро (затем КБ-21), а Леноблсовет Осоавиахима сделал планер в 1934. Заказ промышленности дали в 1935 - ОКБ завода 23, а система наведения (шифр Квант) - НИИ-10. - А.Ф.Шорин (154,16).</w:t>
      </w:r>
    </w:p>
    <w:p w14:paraId="15347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похожим проектом в 1934 вышли Р.Г.Ниренберг и В.С.Вахмистров, предложившие аэроторпеды, наводящиеся акустическим пеленгатором (154,15).</w:t>
      </w:r>
    </w:p>
    <w:p w14:paraId="1843D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0D148B" w14:textId="77777777" w:rsidR="0087389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6DA0D75" w14:textId="77777777" w:rsidR="0087389B" w:rsidRPr="00E93F40" w:rsidRDefault="0087389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643302D"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8 июня по 17 июля 1932 года в ходе испытаний на полигоне трех 76-мм систем обр. 1931 г. (№ 1,2 и 3) получены результаты: </w:t>
      </w:r>
    </w:p>
    <w:p w14:paraId="5A9BECB0"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дальность стрельбы снарядом черт. 3222-14732м при угле 45°; </w:t>
      </w:r>
    </w:p>
    <w:p w14:paraId="2AD3FA93"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во всех системах отмечено вдавливание зеркала клина внутрь, что влечет отказ полуавтоматики вследствие выпучивания дна гильзы; </w:t>
      </w:r>
    </w:p>
    <w:p w14:paraId="21409CB1"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полуавтоматика работала неудовлетворительно, так: </w:t>
      </w:r>
    </w:p>
    <w:p w14:paraId="46C7EA1F"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у пушки № 1 полуавтоматика сработала в 19% из 830 выстрелов; </w:t>
      </w:r>
    </w:p>
    <w:p w14:paraId="7E6D8D76"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у пушки № 2 полуавтоматика сработала в 30% из 180 выстрелов; </w:t>
      </w:r>
    </w:p>
    <w:p w14:paraId="4BD8DEC7"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у пушки № 3 полуавтоматика сработала в 58% из 694 выстрелов; </w:t>
      </w:r>
    </w:p>
    <w:p w14:paraId="59E75C52"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при стрельбе под углом свыше 83° происходил удар коробкой полуавтоматики о цилиндр уравновешивающего механизма, а по тактико-техническим данным требуется +85°. </w:t>
      </w:r>
    </w:p>
    <w:p w14:paraId="1BCDA270"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Двухколесная повозка для этой пушки ЗУ-29 была разработана Брянским заводом им. Кирова. Было отмечено, что при движении по пересеченной местности ЗУ-29 неустойчива. </w:t>
      </w:r>
    </w:p>
    <w:p w14:paraId="3ADD64B3"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году пушка 3-К была принята на вооружение под названием "76-мм зенитная пушка обр. 1931 г." (заводской индекс 3-К). </w:t>
      </w:r>
    </w:p>
    <w:p w14:paraId="5A6D01D7"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Кроме повозок ЗУ-29, 76-мм зенитная пушка обр. 1931 г. устанавливалась на тумбовых установках бронепоездов. В начале августа 1936 года с завода № 8 на НИАП были доставлены 3 опытных лейнера с нарезкой Юлина к 76-мм зенитным пушкам обр. 1931 г. В середине августа начались их испытания. </w:t>
      </w:r>
    </w:p>
    <w:p w14:paraId="22EC74A4"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644381C1"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лейнерами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0CD5C293"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Система 3-К снята с производства 1 января 1940 года. </w:t>
      </w:r>
    </w:p>
    <w:p w14:paraId="7F9645BC"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42FE3050"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вооружении были следующие стволы 76-мм зенитных пушек обр. 1931 г.: </w:t>
      </w:r>
    </w:p>
    <w:p w14:paraId="2C904002"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ствол с трубой, скрепленной кожухом, без лейнера; </w:t>
      </w:r>
    </w:p>
    <w:p w14:paraId="34F4697D"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ствол с трубой, скрепленной кожухом, с лейнером; </w:t>
      </w:r>
    </w:p>
    <w:p w14:paraId="1F7FB54E"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ствол-моноблок (однослойный ствол без кожуха) с лейнером. </w:t>
      </w:r>
    </w:p>
    <w:p w14:paraId="015B4376" w14:textId="77777777" w:rsidR="00283176" w:rsidRPr="00E93F40" w:rsidRDefault="002831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 всех типов стволов навинтной казенник и вертикальный клиновой затвор. Полуавтоматика затвора полуинерционного типа. </w:t>
      </w:r>
    </w:p>
    <w:p w14:paraId="2537BC58" w14:textId="77777777" w:rsidR="00283176" w:rsidRPr="00E93F40" w:rsidRDefault="00283176" w:rsidP="00E93F40">
      <w:pPr>
        <w:autoSpaceDE w:val="0"/>
        <w:autoSpaceDN w:val="0"/>
        <w:adjustRightInd w:val="0"/>
        <w:spacing w:after="0" w:line="240" w:lineRule="auto"/>
        <w:jc w:val="both"/>
        <w:rPr>
          <w:rFonts w:ascii="Times New Roman" w:hAnsi="Times New Roman"/>
          <w:color w:val="000000" w:themeColor="text1"/>
          <w:sz w:val="16"/>
          <w:szCs w:val="16"/>
        </w:rPr>
      </w:pPr>
    </w:p>
    <w:p w14:paraId="37B335C2"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июня 1932 состоялось заседание ПБ (Протокол № 103) </w:t>
      </w:r>
    </w:p>
    <w:p w14:paraId="712235C8"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 качественных сталях.</w:t>
      </w:r>
    </w:p>
    <w:p w14:paraId="48762AF3"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(т.Розенгольц).</w:t>
      </w:r>
    </w:p>
    <w:p w14:paraId="785A7854"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изменение постановления Политбюро от 16.У.32 г., увеличение контингентов по качественным сталям на 10 млн. рублей произвести за счет сокращения по прокату на 7 мил. руб. и за счет сокращения по оборудованию на 3 мил. руб.</w:t>
      </w:r>
    </w:p>
    <w:p w14:paraId="41C7165E"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Орджоникидзе.</w:t>
      </w:r>
    </w:p>
    <w:p w14:paraId="0DB1E4B3"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О договоре с фирой_Ансальдо</w:t>
      </w:r>
    </w:p>
    <w:p w14:paraId="7C9F649D"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т.Орджоникидзе о подписании договора.</w:t>
      </w:r>
    </w:p>
    <w:p w14:paraId="09E3E714"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почлана: т. Орджоникидзе.</w:t>
      </w:r>
    </w:p>
    <w:p w14:paraId="0724B07A"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"Рейнцеталле".</w:t>
      </w:r>
    </w:p>
    <w:p w14:paraId="2592F35E"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(т.Орджоникидзе).</w:t>
      </w:r>
    </w:p>
    <w:p w14:paraId="118F15B9"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Передать вопрос в комиссию Обороны.</w:t>
      </w:r>
    </w:p>
    <w:p w14:paraId="39411301"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т.т. Ворошилову, Базилевичу.</w:t>
      </w:r>
    </w:p>
    <w:p w14:paraId="1082DB11"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 договоре с фирмой "Симорфигио Италиано" и "Уайтхед".</w:t>
      </w:r>
    </w:p>
    <w:p w14:paraId="071ADC84"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Ворошилов).</w:t>
      </w:r>
    </w:p>
    <w:p w14:paraId="2C8A766B"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Разрешить командировку в Италию т.т. Малыше</w:t>
      </w:r>
      <w:r w:rsidRPr="00E93F40">
        <w:rPr>
          <w:rFonts w:ascii="Times New Roman" w:hAnsi="Times New Roman"/>
          <w:color w:val="000000" w:themeColor="text1"/>
          <w:sz w:val="16"/>
          <w:szCs w:val="16"/>
        </w:rPr>
        <w:softHyphen/>
        <w:t>ву И. Г. и Давидкину Ф.М.</w:t>
      </w:r>
    </w:p>
    <w:p w14:paraId="56ED9EC4"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б) Рассмотрите вопроса по существу заказов НКВМора в Италию передать в Комиссию Обороны.</w:t>
      </w:r>
    </w:p>
    <w:p w14:paraId="74F0B25F"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Базилевичу - все; Артузову - п."а".</w:t>
      </w:r>
    </w:p>
    <w:p w14:paraId="50F7D94D"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июня 1932 опросом членов ПБ</w:t>
      </w:r>
    </w:p>
    <w:p w14:paraId="4F58434D"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47/1.- О_карбюраторах, магнето и помпах.</w:t>
      </w:r>
    </w:p>
    <w:p w14:paraId="081AC322"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Санкционировать произведенные Комитетом Ре</w:t>
      </w:r>
      <w:r w:rsidRPr="00E93F40">
        <w:rPr>
          <w:rFonts w:ascii="Times New Roman" w:hAnsi="Times New Roman"/>
          <w:color w:val="000000" w:themeColor="text1"/>
          <w:sz w:val="16"/>
          <w:szCs w:val="16"/>
        </w:rPr>
        <w:softHyphen/>
        <w:t>зервов выдачи из специального резерва для выполнения апрельской и майской программ Главиваппому: карбюра</w:t>
      </w:r>
      <w:r w:rsidRPr="00E93F40">
        <w:rPr>
          <w:rFonts w:ascii="Times New Roman" w:hAnsi="Times New Roman"/>
          <w:color w:val="000000" w:themeColor="text1"/>
          <w:sz w:val="16"/>
          <w:szCs w:val="16"/>
        </w:rPr>
        <w:softHyphen/>
        <w:t>торов 139 комплектов, бензопомп 311 компл., магнето 150 комплектов.</w:t>
      </w:r>
    </w:p>
    <w:p w14:paraId="05BCA0E2"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разрешить Комитету Резервов дополнительно вы</w:t>
      </w:r>
      <w:r w:rsidRPr="00E93F40">
        <w:rPr>
          <w:rFonts w:ascii="Times New Roman" w:hAnsi="Times New Roman"/>
          <w:color w:val="000000" w:themeColor="text1"/>
          <w:sz w:val="16"/>
          <w:szCs w:val="16"/>
        </w:rPr>
        <w:softHyphen/>
        <w:t>дать для выполнения июньской программы Глававиапрому: карбюраторов 122 компл., бензопомп 109 компл. и магне</w:t>
      </w:r>
      <w:r w:rsidRPr="00E93F40">
        <w:rPr>
          <w:rFonts w:ascii="Times New Roman" w:hAnsi="Times New Roman"/>
          <w:color w:val="000000" w:themeColor="text1"/>
          <w:sz w:val="16"/>
          <w:szCs w:val="16"/>
        </w:rPr>
        <w:softHyphen/>
        <w:t>то 5-ти цилиндровых - 181 компл., магнето 9-ти цилин</w:t>
      </w:r>
      <w:r w:rsidRPr="00E93F40">
        <w:rPr>
          <w:rFonts w:ascii="Times New Roman" w:hAnsi="Times New Roman"/>
          <w:color w:val="000000" w:themeColor="text1"/>
          <w:sz w:val="16"/>
          <w:szCs w:val="16"/>
        </w:rPr>
        <w:softHyphen/>
        <w:t>дровых - 52 компл.</w:t>
      </w:r>
    </w:p>
    <w:p w14:paraId="3074B40D"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Обязать НаркомтяжпреЙ обеспечить выполнение заводами Наркомтяжпрома июньской программы по выпус</w:t>
      </w:r>
      <w:r w:rsidRPr="00E93F40">
        <w:rPr>
          <w:rFonts w:ascii="Times New Roman" w:hAnsi="Times New Roman"/>
          <w:color w:val="000000" w:themeColor="text1"/>
          <w:sz w:val="16"/>
          <w:szCs w:val="16"/>
        </w:rPr>
        <w:softHyphen/>
        <w:t>ку помп, магнето и карбюраторов.</w:t>
      </w:r>
    </w:p>
    <w:p w14:paraId="082C282C"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Орджоникидзе; Комитету Резервов - т. Зибраку.</w:t>
      </w:r>
    </w:p>
    <w:p w14:paraId="210DE479"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июня 1932 опросом членов ПБ</w:t>
      </w:r>
    </w:p>
    <w:p w14:paraId="2D02AA2F"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53/7.- Предложение т. Сталина</w:t>
      </w:r>
    </w:p>
    <w:p w14:paraId="5A4797B4" w14:textId="77777777" w:rsidR="00114321" w:rsidRPr="00E93F40" w:rsidRDefault="0011432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т. Кагановича членом Комиссии Обороны в качестве заместители тов. Сталина.</w:t>
      </w:r>
    </w:p>
    <w:p w14:paraId="0793AAF0" w14:textId="77777777" w:rsidR="00114321" w:rsidRPr="00E93F40" w:rsidRDefault="00114321" w:rsidP="00E93F40">
      <w:pPr>
        <w:spacing w:after="0" w:line="240" w:lineRule="auto"/>
        <w:jc w:val="both"/>
        <w:rPr>
          <w:rFonts w:ascii="Times New Roman" w:hAnsi="Times New Roman"/>
          <w:color w:val="000000" w:themeColor="text1"/>
          <w:sz w:val="16"/>
          <w:szCs w:val="16"/>
        </w:rPr>
      </w:pPr>
      <w:bookmarkStart w:id="35" w:name="bookmark10"/>
      <w:r w:rsidRPr="00E93F40">
        <w:rPr>
          <w:rFonts w:ascii="Times New Roman" w:hAnsi="Times New Roman"/>
          <w:color w:val="000000" w:themeColor="text1"/>
          <w:sz w:val="16"/>
          <w:szCs w:val="16"/>
        </w:rPr>
        <w:t>Выписка .послана:</w:t>
      </w:r>
      <w:bookmarkEnd w:id="35"/>
      <w:r w:rsidRPr="00E93F40">
        <w:rPr>
          <w:rFonts w:ascii="Times New Roman" w:hAnsi="Times New Roman"/>
          <w:color w:val="000000" w:themeColor="text1"/>
          <w:sz w:val="16"/>
          <w:szCs w:val="16"/>
        </w:rPr>
        <w:t xml:space="preserve"> т.т. Кагановичу, Молотову (22948).</w:t>
      </w:r>
    </w:p>
    <w:p w14:paraId="471164CC" w14:textId="77777777" w:rsidR="00114321" w:rsidRPr="00E93F40" w:rsidRDefault="00114321" w:rsidP="00E93F40">
      <w:pPr>
        <w:spacing w:after="0" w:line="240" w:lineRule="auto"/>
        <w:jc w:val="both"/>
        <w:rPr>
          <w:rFonts w:ascii="Times New Roman" w:hAnsi="Times New Roman"/>
          <w:color w:val="000000" w:themeColor="text1"/>
          <w:sz w:val="16"/>
          <w:szCs w:val="16"/>
        </w:rPr>
      </w:pPr>
    </w:p>
    <w:p w14:paraId="66413177"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8 июня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103. 9. Предложения о реконструкции Златоустовского металлургического завода (ПБ от 1 июня 1932 г., пр № 102, п. 9) (Орджоникидзе, Гуревич). 32. О посылке сведений о военном бюджете (Ворошилов). — ОП. 34. О металлургической базе в Восточной Сибири (ПБ от 8 марта 1932 г., пр. № 91, п. 146). 35. О постройке судостроительного завода в районе Архангельска (ПБ от 23 марта 1932 г., пр. № 93, п. 29в). Опросом членов ПБ: от 6 июня. 73/27. Вопросы Комиссии обороны. — ОП. Постановили: а) принять предложение Комиссии обороны об определении размера импорта на 1932 г. на организацию танковой базы на Сталинградском тракторном заводе в 3 млн. руб.; б) для обеспечения утвержденной программы по производству артсистем заводом «Новое Сормово» определить размер дополнительного импорта НКТП в З млн. руб. с выдачей заказа в 1932 г. (Политбюро... Т. 2. С. 313, 314, 315; РГАСПИ. Ф. 17. Оп. 162. Д. 12. Л. 176) (12416).</w:t>
      </w:r>
    </w:p>
    <w:p w14:paraId="6E13A218" w14:textId="39FAB436" w:rsidR="0087389B" w:rsidRPr="00E93F40" w:rsidRDefault="0087389B" w:rsidP="00E93F40">
      <w:pPr>
        <w:spacing w:after="0" w:line="240" w:lineRule="auto"/>
        <w:jc w:val="both"/>
        <w:rPr>
          <w:rFonts w:ascii="Times New Roman" w:hAnsi="Times New Roman"/>
          <w:color w:val="000000" w:themeColor="text1"/>
          <w:sz w:val="16"/>
          <w:szCs w:val="16"/>
          <w:u w:color="002060"/>
        </w:rPr>
      </w:pPr>
    </w:p>
    <w:p w14:paraId="61E0517C" w14:textId="19ACA7B9" w:rsidR="00114321" w:rsidRPr="00E93F40" w:rsidRDefault="00114321" w:rsidP="00E93F40">
      <w:pPr>
        <w:spacing w:after="0" w:line="240" w:lineRule="auto"/>
        <w:jc w:val="both"/>
        <w:rPr>
          <w:rFonts w:ascii="Times New Roman" w:hAnsi="Times New Roman"/>
          <w:i/>
          <w:iCs/>
          <w:color w:val="000000" w:themeColor="text1"/>
          <w:sz w:val="16"/>
          <w:szCs w:val="16"/>
          <w:u w:color="002060"/>
        </w:rPr>
      </w:pPr>
      <w:r w:rsidRPr="00E93F40">
        <w:rPr>
          <w:rFonts w:ascii="Times New Roman" w:hAnsi="Times New Roman"/>
          <w:i/>
          <w:iCs/>
          <w:color w:val="000000" w:themeColor="text1"/>
          <w:sz w:val="16"/>
          <w:szCs w:val="16"/>
          <w:u w:color="002060"/>
        </w:rPr>
        <w:t>Армия:</w:t>
      </w:r>
    </w:p>
    <w:p w14:paraId="04C61A89" w14:textId="77777777" w:rsidR="00114321" w:rsidRPr="00E93F40" w:rsidRDefault="00114321" w:rsidP="00E93F40">
      <w:pPr>
        <w:spacing w:after="0" w:line="240" w:lineRule="auto"/>
        <w:jc w:val="both"/>
        <w:rPr>
          <w:rFonts w:ascii="Times New Roman" w:hAnsi="Times New Roman"/>
          <w:i/>
          <w:iCs/>
          <w:color w:val="000000" w:themeColor="text1"/>
          <w:sz w:val="16"/>
          <w:szCs w:val="16"/>
          <w:u w:color="002060"/>
        </w:rPr>
      </w:pPr>
    </w:p>
    <w:p w14:paraId="0EBC277D" w14:textId="77777777" w:rsidR="00114321" w:rsidRPr="00E93F40" w:rsidRDefault="0011432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8 июня 1932 г. Ворошилов представил председателю Совнаркома Молотову, председателю Госплана Куйбышеву и наркому тяжелой промышленности Орджоникидзе доклад "Об основных моментах строительства Красной Армии во вторую пятилетку" ("ориентировочная заявка"). В отличие от 1928 г., когда подготовка соответствующего пятилетнего плана была возложена на Правительственную комиссию, и в соответствии с практикой, сложившейся с осени 1930 г., эта роль теперь принадлежала самому Наркомату по военным и морским делам, докладывавшему свои предложения СНК и КО СССР.</w:t>
      </w:r>
    </w:p>
    <w:p w14:paraId="6343A2A7" w14:textId="77777777" w:rsidR="00114321" w:rsidRPr="00E93F40" w:rsidRDefault="0011432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За пятилетие к 1938 г. мобилизационные запасы НКВМ предлагал увеличить до 70 млн артвыстрелов и 4,5 млрд винтпатронов - цифры, сопоставимые с подачей года войны, намеченной в предложениях комиссии Ворошилова пятью годами ранее (В документе начальника Штаба РККА Егорова "Состав РККА по развертыванию во 2-й пятилетке и материальное оснащение ее", также датированном 8 июня, вооруженные силы в 1938 г. должны были располагать еще большим объемом боеприпасов - 75 млн снарядов и 5,8 млрд патронов (SAMUELSON L. Op. cit. P. 206)). Развертываемые по мобилизации производственные мощности к концу второй пятилетки требовалось иметь в расчете на производство 250 млн снарядов и 18-20 млрд патронов.</w:t>
      </w:r>
    </w:p>
    <w:p w14:paraId="34C3BC02" w14:textId="77777777" w:rsidR="00114321" w:rsidRPr="00E93F40" w:rsidRDefault="0011432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Одновременно с докладом Ворошилова Штаб РККА подготовил оценку "потребностей на развертывание" РККА по мобилизации. Заявка военных на подачу в год войны на 1938 г. возрастала по сравнению с 1933 г. по самолетам с 10 400 до 32 000, авиабомбам - с 62 тыс. т до 400 тыс. т, танкам - с 11 000 до 40 000, танкеткам - с 9000 до 20 000, артиллерийским системам всех видов - с 28 800 до 84 500, пулеметам - со 164 000 до 338 500. Подачу года войны следовало довести в 1938 г. до уровня 74 тыс. самолетов, 203 тыс. авиамоторов, 85 тыс. танков, 40 тыс. танкеток, 86 тыс. артиллерийских орудий и т.д. (22725).</w:t>
      </w:r>
    </w:p>
    <w:p w14:paraId="54105C50" w14:textId="77777777" w:rsidR="00114321" w:rsidRPr="00E93F40" w:rsidRDefault="00114321" w:rsidP="00E93F40">
      <w:pPr>
        <w:spacing w:after="0" w:line="240" w:lineRule="auto"/>
        <w:jc w:val="both"/>
        <w:rPr>
          <w:rFonts w:ascii="Times New Roman" w:hAnsi="Times New Roman"/>
          <w:color w:val="000000" w:themeColor="text1"/>
          <w:sz w:val="16"/>
          <w:szCs w:val="16"/>
        </w:rPr>
      </w:pPr>
    </w:p>
    <w:p w14:paraId="023E5E9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DC09C7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3EE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июня 1932 Когана, как начальник строительства, выпустил приказ № 105 по МКС, объявившим «новую схему деления Строительства канала Москва-Волга на строительные участки»:</w:t>
      </w:r>
    </w:p>
    <w:p w14:paraId="75E90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УЧАСТОК - Савелово-Федоровка; контора этого участка временно помещается в Савелове.</w:t>
      </w:r>
    </w:p>
    <w:p w14:paraId="083B9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ВТОРОЙ УЧАСТОК - От 0 до 18 километра; контора в с. Иванцово.</w:t>
      </w:r>
    </w:p>
    <w:p w14:paraId="7029D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ТРЕТИЙ УЧАСТОК - От 19 до 35 километра; контора в с. Запрудня.</w:t>
      </w:r>
    </w:p>
    <w:p w14:paraId="0F77A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ЧЕТВЕРТЫЙ УЧАСТОК - От 36 до 55 километра; контора в г. Дмитрове (7560).</w:t>
      </w:r>
    </w:p>
    <w:p w14:paraId="7C1710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ПЯТЫЙ УЧАСТОК - От 56 до 69 километра; контора в Влахернской.</w:t>
      </w:r>
    </w:p>
    <w:p w14:paraId="1BF13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ШЕСТОЙ УЧАСТОК - От 70 до 80 километра; контора в Икше.</w:t>
      </w:r>
    </w:p>
    <w:p w14:paraId="0F5F3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СЕДЬМОЙ УЧАСТОК - От 81 до 97 километра; контора в с. Драчево.</w:t>
      </w:r>
    </w:p>
    <w:p w14:paraId="52EC3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ВОСЬМОЙ УЧАСТОК - Ведает постройкой плотины на р. Клязьме у д. Пирогово и плотины у г. Мытищи; контора этого участка помещается в г. Мытищи (7560).</w:t>
      </w:r>
    </w:p>
    <w:p w14:paraId="4BB035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ДЕВЯТЫЙ УЧАСТОК - От 98 до 110 километра; контора в с. Хлебниково (7560).</w:t>
      </w:r>
    </w:p>
    <w:p w14:paraId="41F17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ДЕСЯТЫЙ УЧАСТОК - От 111 до 120 километра; контора в с. Химках (7560).</w:t>
      </w:r>
    </w:p>
    <w:p w14:paraId="675010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ОДИННАДЦАТЫЙ УЧАСТОК - От 121 до 127 километра; контора в с. Иванькове (или Покровском-Стрешневе).</w:t>
      </w:r>
    </w:p>
    <w:p w14:paraId="05975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ДВЕНАДЦАТЫЙ УЧАСТОК - Сооружение на р. Москве, у с. Троице-Лыково, с конторой на месте работ.</w:t>
      </w:r>
    </w:p>
    <w:p w14:paraId="19E5D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ТРИНАДЦАТЫЙ УЧАСТОК - Сооружение на р. Москве, у с. Шелепихи, с конторой на месте работ.</w:t>
      </w:r>
    </w:p>
    <w:p w14:paraId="22B56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ЧЕТЫРНАДЦАТЫЙ УЧАСТОК - Сооружение на р. Москве, у с. Перервы, с конторой на месте работ».</w:t>
      </w:r>
    </w:p>
    <w:p w14:paraId="25062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Этим же приказом помощнику главного инженера - начальнику работ К. К. Радецкому «с подчиненным ему аппаратом» предписывалось к 15 июня «выехать для постоянной работы в г. Дмитров» (7560).</w:t>
      </w:r>
    </w:p>
    <w:p w14:paraId="783A0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86D11D"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8 июня</w:t>
      </w:r>
      <w:r w:rsidRPr="00E93F40">
        <w:rPr>
          <w:rFonts w:ascii="Times New Roman" w:hAnsi="Times New Roman"/>
          <w:color w:val="000000" w:themeColor="text1"/>
          <w:sz w:val="16"/>
          <w:szCs w:val="16"/>
        </w:rPr>
        <w:t xml:space="preserve"> в 1932 году на Урало-Кузбасской сессии Академии Наук СССР академик И.М.Губкин выдвинул идею разведки нефти в Западной Сибири (14916).</w:t>
      </w:r>
    </w:p>
    <w:p w14:paraId="23112D03" w14:textId="77777777" w:rsidR="00925EF1" w:rsidRPr="00E93F40" w:rsidRDefault="00925EF1" w:rsidP="00E93F40">
      <w:pPr>
        <w:spacing w:after="0" w:line="240" w:lineRule="auto"/>
        <w:jc w:val="both"/>
        <w:rPr>
          <w:rFonts w:ascii="Times New Roman" w:hAnsi="Times New Roman"/>
          <w:color w:val="000000" w:themeColor="text1"/>
          <w:sz w:val="16"/>
          <w:szCs w:val="16"/>
        </w:rPr>
      </w:pPr>
    </w:p>
    <w:p w14:paraId="64F8A00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11F575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66DD6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июня 1932 года начальник НИИ ВВС Бузанов писал письмо № 171сс начальнику ВВС Алкснису:</w:t>
      </w:r>
    </w:p>
    <w:p w14:paraId="7747A93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заводских испытаний вооружения самолета «ЗЕТ» (пушка Курчевского) показывают, что данное оружие для применения к авиации еще не закончило своей разработки. В то же время решением РВС и правительства заказана серия самолета.</w:t>
      </w:r>
    </w:p>
    <w:p w14:paraId="133411D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вооружения Газодинамической лаборатории на самолете И4 показывают, что в основном это оружие в отношении простоты, легкости, мощности, дальности, прицельности, безопасности и надежности имеет значительные преимущества перед пушкой Курчевского.</w:t>
      </w:r>
    </w:p>
    <w:p w14:paraId="4F9DB4B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Поэтому полагал бы необходимым для сравнения вооружения «ЗЕТ» с пушкой Курчевского и вооружением Газодинамической лаборатории оборудовать один самолет «ЗЕТ» на 39-м заводе реактивными пушками Газодинамической лаборатории. Полагаю, что можно провести данную работу в течение месячного срока, т.е. до 20 июля 1932 года.</w:t>
      </w:r>
    </w:p>
    <w:p w14:paraId="702B504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случае, если вооружение И4 по габаритам без особых затруднений можно приспособить к самолету «ЗЕТ» – вооружение «ЗЕТ» можно произвести в течение 3-4 дней (6778, 74).</w:t>
      </w:r>
    </w:p>
    <w:p w14:paraId="48B3DF0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7F052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EF5703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8DE3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июня 1932 И.В.С. поинтересовался с К.Е.В. успехами выполнения программы оборонной промышленности. Несколько дней спустя, получив ответ К.Е.В., пислал: “По части танков и авиации, видимо, промышленность не сумела еще, как следует, перевооружиться применительно к новым (аншим) заданиям. Ничего! Будем нажимать и помогать ей - приспособится. Все дело в том, чтобы держать известные отрасли промышленности (г. образом военной) под постоянным контролем. Приспособятся и будут выполнять программу, если не на все 100%, то на 80-90%. Разве это мало?” (9089,158).</w:t>
      </w:r>
    </w:p>
    <w:p w14:paraId="0FC510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1A7A70" w14:textId="77777777" w:rsidR="0011602B" w:rsidRPr="00E93F40" w:rsidRDefault="0011602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июня 1932 г.</w:t>
      </w:r>
    </w:p>
    <w:p w14:paraId="1FD8010B" w14:textId="77777777" w:rsidR="0011602B" w:rsidRPr="00E93F40" w:rsidRDefault="0011602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В. Сталин — К. Е. Ворошилову</w:t>
      </w:r>
    </w:p>
    <w:p w14:paraId="3CACBB45" w14:textId="77777777" w:rsidR="0011602B" w:rsidRPr="00E93F40" w:rsidRDefault="0011602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Здравствуй Клим!</w:t>
      </w:r>
    </w:p>
    <w:p w14:paraId="4999095A" w14:textId="77777777" w:rsidR="0011602B" w:rsidRPr="00E93F40" w:rsidRDefault="0011602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Как дела? Подают ли наши промышленники по плану танки, аэропланы, противотанковые орудия? Выполнена ли майская порция. Посланы ли бомбовозы на восток? Куда именно и сколько?</w:t>
      </w:r>
    </w:p>
    <w:p w14:paraId="0F089FE2" w14:textId="77777777" w:rsidR="0011602B" w:rsidRPr="00E93F40" w:rsidRDefault="0011602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Поездка по Волге была интересная, скажу больше — прекрасная.</w:t>
      </w:r>
    </w:p>
    <w:p w14:paraId="58EA60F0" w14:textId="77777777" w:rsidR="0011602B" w:rsidRPr="00E93F40" w:rsidRDefault="0011602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Хорошая река Волга, черт меня побери...</w:t>
      </w:r>
    </w:p>
    <w:p w14:paraId="3295CE1A" w14:textId="77777777" w:rsidR="0011602B" w:rsidRPr="00E93F40" w:rsidRDefault="0011602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Ну, всего. Привет!</w:t>
      </w:r>
    </w:p>
    <w:p w14:paraId="3810790A" w14:textId="77777777" w:rsidR="0011602B" w:rsidRPr="00E93F40" w:rsidRDefault="0011602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Твой И. Сталин (19420).</w:t>
      </w:r>
    </w:p>
    <w:p w14:paraId="6B0033F2" w14:textId="77777777" w:rsidR="0011602B" w:rsidRPr="00E93F40" w:rsidRDefault="0011602B" w:rsidP="00E93F40">
      <w:pPr>
        <w:spacing w:after="0" w:line="240" w:lineRule="auto"/>
        <w:jc w:val="both"/>
        <w:rPr>
          <w:rFonts w:ascii="Times New Roman" w:hAnsi="Times New Roman"/>
          <w:color w:val="000000" w:themeColor="text1"/>
          <w:sz w:val="16"/>
          <w:szCs w:val="16"/>
        </w:rPr>
      </w:pPr>
    </w:p>
    <w:p w14:paraId="1625B7BF" w14:textId="77777777" w:rsidR="00925EF1"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006E7B7" w14:textId="77777777" w:rsidR="00925EF1" w:rsidRPr="00E93F40" w:rsidRDefault="00925EF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F41C56"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9 июня</w:t>
      </w:r>
      <w:r w:rsidRPr="00E93F40">
        <w:rPr>
          <w:rFonts w:ascii="Times New Roman" w:hAnsi="Times New Roman"/>
          <w:color w:val="000000" w:themeColor="text1"/>
          <w:sz w:val="16"/>
          <w:szCs w:val="16"/>
        </w:rPr>
        <w:t xml:space="preserve"> в 1932 году принимается решение о начале изыскательских работ по строительству дамбы, защищающей Ленинград от наводнений (14917).</w:t>
      </w:r>
    </w:p>
    <w:p w14:paraId="26F00CAD" w14:textId="77777777" w:rsidR="00925EF1" w:rsidRPr="00E93F40" w:rsidRDefault="00925EF1" w:rsidP="00E93F40">
      <w:pPr>
        <w:spacing w:after="0" w:line="240" w:lineRule="auto"/>
        <w:jc w:val="both"/>
        <w:rPr>
          <w:rFonts w:ascii="Times New Roman" w:hAnsi="Times New Roman"/>
          <w:color w:val="000000" w:themeColor="text1"/>
          <w:sz w:val="16"/>
          <w:szCs w:val="16"/>
        </w:rPr>
      </w:pPr>
    </w:p>
    <w:p w14:paraId="6222FED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398896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DD01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июня 1932 года зам. начальника 3 отдела НИИ ВВС писал письмо N ОС/207с в 8 сектор 3 управления ВВС, заводу 81, военной приемке завода N 1 в сопровождение Отчета об испытании принятого с завода N 1 самолета И5 N 4420 с мотором М22 N 9110, винт N 40442 завода N 28 Н=2,1 Д=2,8 по выяснению причин вибрации (3025).</w:t>
      </w:r>
    </w:p>
    <w:p w14:paraId="6288A8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2FA92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летчик Степанченок</w:t>
      </w:r>
    </w:p>
    <w:p w14:paraId="0851C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1 отдела Осипенко</w:t>
      </w:r>
    </w:p>
    <w:p w14:paraId="456DF1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3 отдела Пуня</w:t>
      </w:r>
    </w:p>
    <w:p w14:paraId="25E24B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Ход испытания</w:t>
      </w:r>
    </w:p>
    <w:p w14:paraId="758944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принятый от зав. N 1 28 мая 1932 года в 17 час.</w:t>
      </w:r>
    </w:p>
    <w:p w14:paraId="2E1BB9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 29 мая 1932 года</w:t>
      </w:r>
    </w:p>
    <w:p w14:paraId="78A91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окончено 8 июня 1932 года</w:t>
      </w:r>
    </w:p>
    <w:p w14:paraId="09015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календарных дней на испытание - 11</w:t>
      </w:r>
    </w:p>
    <w:p w14:paraId="136BE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них:</w:t>
      </w:r>
    </w:p>
    <w:p w14:paraId="2C84C3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испытывался в воздухе - 3 летных дня</w:t>
      </w:r>
    </w:p>
    <w:p w14:paraId="7C45DC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Летный и технический состав снят для участия в воздушном параде - 1 день</w:t>
      </w:r>
    </w:p>
    <w:p w14:paraId="1F293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Сделано посадок - 11</w:t>
      </w:r>
    </w:p>
    <w:p w14:paraId="0B5BEA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продолжительность полетов в воздухе - 3 часа 43 мин.</w:t>
      </w:r>
    </w:p>
    <w:p w14:paraId="6035F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115A80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 считает тряску на самолете И5 N 4420 - М22 N 9110 устраненной и работу мотора в данное время нормальной. Самолет сдать в завод N 1 для передачи его в эксплуатацию. (3025,35-42).</w:t>
      </w:r>
    </w:p>
    <w:p w14:paraId="580C2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5A93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 июня 1932 запланировали перелет «Самолета-Звено-1» по маршруту Монино-Киев-Монино с максимальным полетным весом. По плану, ТБ-1 должен был прилететь в район Киева, выпустить истребители, сбросить 1000 кг бомб и вернуться в Монино. Однако сильный встречный ветер заставил произ</w:t>
      </w:r>
      <w:r w:rsidRPr="00E93F40">
        <w:rPr>
          <w:rFonts w:ascii="Times New Roman" w:hAnsi="Times New Roman"/>
          <w:color w:val="000000" w:themeColor="text1"/>
          <w:sz w:val="16"/>
          <w:szCs w:val="16"/>
        </w:rPr>
        <w:softHyphen/>
        <w:t>вести расцепку в районе Брянска. Впрочем, это не повлияло на положительный отзыв об испытаниях (11286).</w:t>
      </w:r>
    </w:p>
    <w:p w14:paraId="5EE7E0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9D60F5"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 июня 1932 был запланирован перелет по мар</w:t>
      </w:r>
      <w:r w:rsidRPr="00E93F40">
        <w:rPr>
          <w:rFonts w:ascii="Times New Roman" w:hAnsi="Times New Roman"/>
          <w:color w:val="000000" w:themeColor="text1"/>
          <w:sz w:val="16"/>
          <w:szCs w:val="16"/>
        </w:rPr>
        <w:softHyphen/>
        <w:t>шруту Монино— Киев— Монино с полетным весом 12500 кг. По плану ТБ-1 должен был до</w:t>
      </w:r>
      <w:r w:rsidRPr="00E93F40">
        <w:rPr>
          <w:rFonts w:ascii="Times New Roman" w:hAnsi="Times New Roman"/>
          <w:color w:val="000000" w:themeColor="text1"/>
          <w:sz w:val="16"/>
          <w:szCs w:val="16"/>
        </w:rPr>
        <w:softHyphen/>
        <w:t>лететь до Киева, выпустить истребители, сбро</w:t>
      </w:r>
      <w:r w:rsidRPr="00E93F40">
        <w:rPr>
          <w:rFonts w:ascii="Times New Roman" w:hAnsi="Times New Roman"/>
          <w:color w:val="000000" w:themeColor="text1"/>
          <w:sz w:val="16"/>
          <w:szCs w:val="16"/>
        </w:rPr>
        <w:softHyphen/>
        <w:t>сить 1000 кг бомб и вернуться в Монино. Одна</w:t>
      </w:r>
      <w:r w:rsidRPr="00E93F40">
        <w:rPr>
          <w:rFonts w:ascii="Times New Roman" w:hAnsi="Times New Roman"/>
          <w:color w:val="000000" w:themeColor="text1"/>
          <w:sz w:val="16"/>
          <w:szCs w:val="16"/>
        </w:rPr>
        <w:softHyphen/>
        <w:t>ко сильный встречный ветер и недостаток го</w:t>
      </w:r>
      <w:r w:rsidRPr="00E93F40">
        <w:rPr>
          <w:rFonts w:ascii="Times New Roman" w:hAnsi="Times New Roman"/>
          <w:color w:val="000000" w:themeColor="text1"/>
          <w:sz w:val="16"/>
          <w:szCs w:val="16"/>
        </w:rPr>
        <w:softHyphen/>
        <w:t>рючего заставил произвести расцепку в районе Брянска. Впрочем, это не повлияло на поло</w:t>
      </w:r>
      <w:r w:rsidRPr="00E93F40">
        <w:rPr>
          <w:rFonts w:ascii="Times New Roman" w:hAnsi="Times New Roman"/>
          <w:color w:val="000000" w:themeColor="text1"/>
          <w:sz w:val="16"/>
          <w:szCs w:val="16"/>
        </w:rPr>
        <w:softHyphen/>
        <w:t>жительный отзыв о проведенных испытаниях. На их заключительном этапе, 14 июня провели отцепку только одного из двух истребителей. Носитель ТБ-1 с одним закрепленным И-4 со</w:t>
      </w:r>
      <w:r w:rsidRPr="00E93F40">
        <w:rPr>
          <w:rFonts w:ascii="Times New Roman" w:hAnsi="Times New Roman"/>
          <w:color w:val="000000" w:themeColor="text1"/>
          <w:sz w:val="16"/>
          <w:szCs w:val="16"/>
        </w:rPr>
        <w:softHyphen/>
        <w:t>хранял устойчивость и мог продолжать прямо</w:t>
      </w:r>
      <w:r w:rsidRPr="00E93F40">
        <w:rPr>
          <w:rFonts w:ascii="Times New Roman" w:hAnsi="Times New Roman"/>
          <w:color w:val="000000" w:themeColor="text1"/>
          <w:sz w:val="16"/>
          <w:szCs w:val="16"/>
        </w:rPr>
        <w:softHyphen/>
        <w:t>линейный полет (12295).</w:t>
      </w:r>
    </w:p>
    <w:p w14:paraId="309D362D" w14:textId="77777777" w:rsidR="0087389B" w:rsidRPr="00E93F40" w:rsidRDefault="0087389B" w:rsidP="00E93F40">
      <w:pPr>
        <w:spacing w:after="0" w:line="240" w:lineRule="auto"/>
        <w:jc w:val="both"/>
        <w:rPr>
          <w:rFonts w:ascii="Times New Roman" w:hAnsi="Times New Roman"/>
          <w:color w:val="000000" w:themeColor="text1"/>
          <w:sz w:val="16"/>
          <w:szCs w:val="16"/>
        </w:rPr>
      </w:pPr>
    </w:p>
    <w:p w14:paraId="1A342568" w14:textId="68B94F1A"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 10 июня 1932 был намечен дальний перелёт самолёта-звена. ТБ-1 с двумя истребителями должен был стартовать в Монино, прилететь в Киев, отделить самолёты, сбросить на полигоне 1000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бомб и вернуться в Монино без промежуточных посадок. Баки всех трёх машин заправили до отказа, вес «звена»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составил 12 500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Но из-за сильного встречного ветра топлива хватило только до Брянска. Там самолёты приземлились. После заправки ТБ-1 продолжил полёт до Киева, а истребители вернулись в Монино.</w:t>
      </w:r>
    </w:p>
    <w:p w14:paraId="5D8BC994" w14:textId="77777777"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целом Государственные испытания сочли успешными. Рекомендовалось построить эскадрилью самолётов «Звено-1» для войсковых испытаний, перейти к опытам с бомбардировщиками ТБ-3 и истребителями И-5, разработать конструкцию и произвести опыты перелива горючего в истребители в полете в составе «Звена» (17489).</w:t>
      </w:r>
    </w:p>
    <w:p w14:paraId="56C11D33" w14:textId="77777777"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p>
    <w:p w14:paraId="531BEB34" w14:textId="77777777" w:rsidR="007252FB" w:rsidRPr="00E93F40" w:rsidRDefault="007252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 июня 1932 был запла</w:t>
      </w:r>
      <w:r w:rsidRPr="00E93F40">
        <w:rPr>
          <w:rFonts w:ascii="Times New Roman" w:hAnsi="Times New Roman"/>
          <w:color w:val="000000" w:themeColor="text1"/>
          <w:sz w:val="16"/>
          <w:szCs w:val="16"/>
        </w:rPr>
        <w:softHyphen/>
        <w:t>нирован перелет по маршруту Монино - Киев - Монино с полетным весом 12 500 кг. По плану ТБ-1 должен был до</w:t>
      </w:r>
      <w:r w:rsidRPr="00E93F40">
        <w:rPr>
          <w:rFonts w:ascii="Times New Roman" w:hAnsi="Times New Roman"/>
          <w:color w:val="000000" w:themeColor="text1"/>
          <w:sz w:val="16"/>
          <w:szCs w:val="16"/>
        </w:rPr>
        <w:softHyphen/>
        <w:t>лететь до Киева, выпустить истребители, сбросить 1000 кг бомб и вернуться в Монино. Однако сильный встречный ве</w:t>
      </w:r>
      <w:r w:rsidRPr="00E93F40">
        <w:rPr>
          <w:rFonts w:ascii="Times New Roman" w:hAnsi="Times New Roman"/>
          <w:color w:val="000000" w:themeColor="text1"/>
          <w:sz w:val="16"/>
          <w:szCs w:val="16"/>
        </w:rPr>
        <w:softHyphen/>
        <w:t>тер и недостаток горючего заставил произвести расцеп</w:t>
      </w:r>
      <w:r w:rsidRPr="00E93F40">
        <w:rPr>
          <w:rFonts w:ascii="Times New Roman" w:hAnsi="Times New Roman"/>
          <w:color w:val="000000" w:themeColor="text1"/>
          <w:sz w:val="16"/>
          <w:szCs w:val="16"/>
        </w:rPr>
        <w:softHyphen/>
        <w:t>ку в районе Брянска. Впрочем, это не повлияло на поло</w:t>
      </w:r>
      <w:r w:rsidRPr="00E93F40">
        <w:rPr>
          <w:rFonts w:ascii="Times New Roman" w:hAnsi="Times New Roman"/>
          <w:color w:val="000000" w:themeColor="text1"/>
          <w:sz w:val="16"/>
          <w:szCs w:val="16"/>
        </w:rPr>
        <w:softHyphen/>
        <w:t>жительный отзыв о проведенных испытаниях (20345).</w:t>
      </w:r>
    </w:p>
    <w:p w14:paraId="711B1AF4" w14:textId="77777777" w:rsidR="007252FB" w:rsidRPr="00E93F40" w:rsidRDefault="007252FB" w:rsidP="00E93F40">
      <w:pPr>
        <w:spacing w:after="0" w:line="240" w:lineRule="auto"/>
        <w:jc w:val="both"/>
        <w:rPr>
          <w:rFonts w:ascii="Times New Roman" w:hAnsi="Times New Roman"/>
          <w:color w:val="000000" w:themeColor="text1"/>
          <w:sz w:val="16"/>
          <w:szCs w:val="16"/>
        </w:rPr>
      </w:pPr>
    </w:p>
    <w:p w14:paraId="37E60684" w14:textId="4E0C53D9" w:rsidR="007252FB" w:rsidRPr="00E93F40" w:rsidRDefault="007252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 июня 1932 года был запланирован перелёт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СЗ-1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район Киева. Пройдя без посадки 1275 км, воздушный авианосец в ходе демонстративного налёта должен был выпустить истребители, сбросить на полигон 1000 кг бомб и вернуться в Монино. Однако непогода помешала полностью выполнить полётное задание. Сильный встречный ветер заставил экипаж произвести расцепку в районе Брянска, что, впрочем, не повлияло на положительный отзыв о проведённых испытаниях (21535).</w:t>
      </w:r>
    </w:p>
    <w:p w14:paraId="0E94C3CF" w14:textId="77777777" w:rsidR="007252FB" w:rsidRPr="00E93F40" w:rsidRDefault="007252FB" w:rsidP="00E93F40">
      <w:pPr>
        <w:spacing w:after="0" w:line="240" w:lineRule="auto"/>
        <w:jc w:val="both"/>
        <w:rPr>
          <w:rFonts w:ascii="Times New Roman" w:hAnsi="Times New Roman"/>
          <w:color w:val="000000" w:themeColor="text1"/>
          <w:sz w:val="16"/>
          <w:szCs w:val="16"/>
        </w:rPr>
      </w:pPr>
    </w:p>
    <w:p w14:paraId="66D7D2A1" w14:textId="77777777"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 июня 1932 г. был запланирован перелет «Самолета-Звено-1» по маршруту Монино-Киев-Монино с полетным весом 12 500 кг. По плану ТБ-1 должен был долететь до Ки</w:t>
      </w:r>
      <w:r w:rsidRPr="00E93F40">
        <w:rPr>
          <w:rFonts w:ascii="Times New Roman" w:hAnsi="Times New Roman"/>
          <w:color w:val="000000" w:themeColor="text1"/>
          <w:sz w:val="16"/>
          <w:szCs w:val="16"/>
        </w:rPr>
        <w:softHyphen/>
        <w:t>ева, выпустить истребители, сбросить 1000 кг бомб и вернуться в Монино. Однако сильный встречный ве</w:t>
      </w:r>
      <w:r w:rsidRPr="00E93F40">
        <w:rPr>
          <w:rFonts w:ascii="Times New Roman" w:hAnsi="Times New Roman"/>
          <w:color w:val="000000" w:themeColor="text1"/>
          <w:sz w:val="16"/>
          <w:szCs w:val="16"/>
        </w:rPr>
        <w:softHyphen/>
        <w:t>тер и недостаток горючего заставили произвести рас</w:t>
      </w:r>
      <w:r w:rsidRPr="00E93F40">
        <w:rPr>
          <w:rFonts w:ascii="Times New Roman" w:hAnsi="Times New Roman"/>
          <w:color w:val="000000" w:themeColor="text1"/>
          <w:sz w:val="16"/>
          <w:szCs w:val="16"/>
        </w:rPr>
        <w:softHyphen/>
        <w:t>цепку в районе Брянска. Впрочем, это не повлияло на положительный отзыв о проведенных испытаниях. На их заключительном этапе, 14 июня, провели отцепку только одного из двух истребителей. Носитель ТБ-1 с одним закрепленным И-4 сохранял устойчивость и мог продолжать прямолинейный полет. (3, 4)</w:t>
      </w:r>
    </w:p>
    <w:p w14:paraId="00B869DF" w14:textId="77777777" w:rsidR="00910501" w:rsidRPr="00E93F40" w:rsidRDefault="0091050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показали надежность работы всех ме</w:t>
      </w:r>
      <w:r w:rsidRPr="00E93F40">
        <w:rPr>
          <w:rFonts w:ascii="Times New Roman" w:hAnsi="Times New Roman"/>
          <w:color w:val="000000" w:themeColor="text1"/>
          <w:sz w:val="16"/>
          <w:szCs w:val="16"/>
        </w:rPr>
        <w:softHyphen/>
        <w:t>ханизмов, за все время не было ни одного случая не</w:t>
      </w:r>
      <w:r w:rsidRPr="00E93F40">
        <w:rPr>
          <w:rFonts w:ascii="Times New Roman" w:hAnsi="Times New Roman"/>
          <w:color w:val="000000" w:themeColor="text1"/>
          <w:sz w:val="16"/>
          <w:szCs w:val="16"/>
        </w:rPr>
        <w:softHyphen/>
        <w:t>исправности. В отчете по испытаниям СЗ-1 говори</w:t>
      </w:r>
      <w:r w:rsidRPr="00E93F40">
        <w:rPr>
          <w:rFonts w:ascii="Times New Roman" w:hAnsi="Times New Roman"/>
          <w:color w:val="000000" w:themeColor="text1"/>
          <w:sz w:val="16"/>
          <w:szCs w:val="16"/>
        </w:rPr>
        <w:softHyphen/>
        <w:t>лось, что положительным результатом создания «самолета-звена» является возможность истребитель</w:t>
      </w:r>
      <w:r w:rsidRPr="00E93F40">
        <w:rPr>
          <w:rFonts w:ascii="Times New Roman" w:hAnsi="Times New Roman"/>
          <w:color w:val="000000" w:themeColor="text1"/>
          <w:sz w:val="16"/>
          <w:szCs w:val="16"/>
        </w:rPr>
        <w:softHyphen/>
        <w:t>ного охранения при действиях тяжелого бомбарди</w:t>
      </w:r>
      <w:r w:rsidRPr="00E93F40">
        <w:rPr>
          <w:rFonts w:ascii="Times New Roman" w:hAnsi="Times New Roman"/>
          <w:color w:val="000000" w:themeColor="text1"/>
          <w:sz w:val="16"/>
          <w:szCs w:val="16"/>
        </w:rPr>
        <w:softHyphen/>
        <w:t>ровщика в глубоком тылу противника. Овладение управлением СЗ-1 не требует от летчиков высокой квалификации. Использование избыточной мощнос</w:t>
      </w:r>
      <w:r w:rsidRPr="00E93F40">
        <w:rPr>
          <w:rFonts w:ascii="Times New Roman" w:hAnsi="Times New Roman"/>
          <w:color w:val="000000" w:themeColor="text1"/>
          <w:sz w:val="16"/>
          <w:szCs w:val="16"/>
        </w:rPr>
        <w:softHyphen/>
        <w:t>ти истребителей облегчает взлет тяжело нагруженно</w:t>
      </w:r>
      <w:r w:rsidRPr="00E93F40">
        <w:rPr>
          <w:rFonts w:ascii="Times New Roman" w:hAnsi="Times New Roman"/>
          <w:color w:val="000000" w:themeColor="text1"/>
          <w:sz w:val="16"/>
          <w:szCs w:val="16"/>
        </w:rPr>
        <w:softHyphen/>
        <w:t>го бомбардировщика с аэродрома. По сравнению с обычным ТБ-1, система СЗ-1 имеет значительные преимущества. При одинаковой нагрузке потолок увеличивается на 500-600 метров, длина разбега уменьшается на 150-200 м. Создание СЗ-1 оценива</w:t>
      </w:r>
      <w:r w:rsidRPr="00E93F40">
        <w:rPr>
          <w:rFonts w:ascii="Times New Roman" w:hAnsi="Times New Roman"/>
          <w:color w:val="000000" w:themeColor="text1"/>
          <w:sz w:val="16"/>
          <w:szCs w:val="16"/>
        </w:rPr>
        <w:softHyphen/>
        <w:t>лось как значительное достижение, для оценки так</w:t>
      </w:r>
      <w:r w:rsidRPr="00E93F40">
        <w:rPr>
          <w:rFonts w:ascii="Times New Roman" w:hAnsi="Times New Roman"/>
          <w:color w:val="000000" w:themeColor="text1"/>
          <w:sz w:val="16"/>
          <w:szCs w:val="16"/>
        </w:rPr>
        <w:softHyphen/>
        <w:t>тических и эксплуатационных особенностей звена предлагалось построить эскадрилью таких самолетов. Далее предлагалось произвести установку на ТБ-1 двух истребителей И-5, а затем приступить к опытам по переливу горючего с ТБ-1 и ТБ-3 на И-4 и И-5 (23378).</w:t>
      </w:r>
    </w:p>
    <w:p w14:paraId="3DC23B65" w14:textId="77777777" w:rsidR="00910501" w:rsidRPr="00E93F40" w:rsidRDefault="00910501" w:rsidP="00E93F40">
      <w:pPr>
        <w:spacing w:after="0" w:line="240" w:lineRule="auto"/>
        <w:jc w:val="both"/>
        <w:rPr>
          <w:rFonts w:ascii="Times New Roman" w:hAnsi="Times New Roman"/>
          <w:color w:val="000000" w:themeColor="text1"/>
          <w:sz w:val="16"/>
          <w:szCs w:val="16"/>
        </w:rPr>
      </w:pPr>
    </w:p>
    <w:p w14:paraId="77F9C5F8" w14:textId="45158F79" w:rsidR="00F57C9C" w:rsidRPr="00142305" w:rsidRDefault="00F57C9C" w:rsidP="00F57C9C">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10 июня 1932 г. был запланирован перелёт звена СЗ-1 по маршруту Монино</w:t>
      </w:r>
      <w:r>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rPr>
        <w:t>Киев</w:t>
      </w:r>
      <w:r>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rPr>
        <w:t xml:space="preserve"> Монино. По плану ТБ-1 должен был долететь до Киева, выпустить истребители, сбросить 1000 кг бомб и вернуться в Монино. Однако сильный встречный ветер и недостаток горючего заставили произвести расцепку в районе Брянска. Впро</w:t>
      </w:r>
      <w:r w:rsidRPr="00142305">
        <w:rPr>
          <w:rStyle w:val="aff"/>
          <w:rFonts w:ascii="Times New Roman" w:hAnsi="Times New Roman" w:cs="Times New Roman"/>
          <w:color w:val="0070C0"/>
          <w:spacing w:val="0"/>
          <w:sz w:val="16"/>
          <w:szCs w:val="16"/>
        </w:rPr>
        <w:softHyphen/>
        <w:t>чем, это не повлияло на положительный отзыв о проведённых испытаниях (25618).</w:t>
      </w:r>
    </w:p>
    <w:p w14:paraId="442CB60D" w14:textId="77777777" w:rsidR="00F57C9C" w:rsidRPr="00142305" w:rsidRDefault="00F57C9C" w:rsidP="00F57C9C">
      <w:pPr>
        <w:spacing w:after="0" w:line="240" w:lineRule="auto"/>
        <w:jc w:val="both"/>
        <w:rPr>
          <w:rStyle w:val="aff"/>
          <w:rFonts w:ascii="Times New Roman" w:hAnsi="Times New Roman" w:cs="Times New Roman"/>
          <w:color w:val="0070C0"/>
          <w:spacing w:val="0"/>
          <w:sz w:val="16"/>
          <w:szCs w:val="16"/>
        </w:rPr>
      </w:pPr>
    </w:p>
    <w:p w14:paraId="498A1B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июня 1932 С.П.К. представил на конкурс самолет из электрона "Высокий путь" двухбалочной схемы (105,123).</w:t>
      </w:r>
    </w:p>
    <w:p w14:paraId="5248F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372C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июня 1932 был завершен проект самолета из сплава "электрон". Представлен на конкурс (см.: 10 сентября 1931 г.) под девизом "Высокий путь" (см. Приложение 1) (АМЖ, ф. 5300, № 13) (10676).</w:t>
      </w:r>
    </w:p>
    <w:p w14:paraId="06B27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7BC3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июня 1932 Н.М.Харламов писал П.И.Б. о том, что вновь проектируемые по плану самолеты 1932-1933 предполагается строить частью дюралевыми, частью стальными и смешанной конструкции (1026,153).</w:t>
      </w:r>
    </w:p>
    <w:p w14:paraId="32199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C489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июня 1932 года Нач. ЦАГИ Харламов писал писбмо № 1523с НАЧАЛЬНИКУ ГЛАВАВИАПРОМА тов. БАРАНОВУ, Копия: Начальнику ПТЭС т. Патрожицкому, Сект. Снабженияя Баланковичу., Самлетостроит. Трест т Малахову</w:t>
      </w:r>
    </w:p>
    <w:p w14:paraId="00E224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Вновь проектируемые по плану 1932-33 года самолеты предполагается строить частью дюралевые, частью стальные и смешанной конструкции. Дня уточнения вопроса материала, который должен быть применен в каждом самолете, 3-го июня мною было созвано специальное совещание с представителями Глававиапрома, на котором выяснилось следующее:</w:t>
      </w:r>
    </w:p>
    <w:p w14:paraId="7EA262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правильного решения вопроса в выборе материа</w:t>
      </w:r>
      <w:r w:rsidRPr="00E93F40">
        <w:rPr>
          <w:rFonts w:ascii="Times New Roman" w:hAnsi="Times New Roman"/>
          <w:color w:val="000000" w:themeColor="text1"/>
          <w:sz w:val="16"/>
          <w:szCs w:val="16"/>
        </w:rPr>
        <w:softHyphen/>
        <w:t>ла для самолета, необходимо получить от Глававиапрома указания о типах и количестве самолетов данного типа, которые должны быть построены в ближайшие годы 2-й пятилет ки.</w:t>
      </w:r>
    </w:p>
    <w:p w14:paraId="36AC00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Ориентировочные данные по годам развития о мощности сырьевой базы по основным материалам: стали, хромо-молибденовым трубам, нержавеющей стали, дюраля, электрон и дерево. Эти сведения необходимы, т.к. мощность сырьевой базы влияет на выбор материала для самолета.</w:t>
      </w:r>
    </w:p>
    <w:p w14:paraId="7F9C6A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Указание о заводах, на которых будет строиться данный тип самолета, т.к. прикрепление самолета заранее к тому или другому заводу, влияет на выбор конструкции и материал самолета.</w:t>
      </w:r>
    </w:p>
    <w:p w14:paraId="2EB419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того, что в настоящий момент мы пускаем в раз</w:t>
      </w:r>
      <w:r w:rsidRPr="00E93F40">
        <w:rPr>
          <w:rFonts w:ascii="Times New Roman" w:hAnsi="Times New Roman"/>
          <w:color w:val="000000" w:themeColor="text1"/>
          <w:sz w:val="16"/>
          <w:szCs w:val="16"/>
        </w:rPr>
        <w:softHyphen/>
        <w:t>работку самолеты плана 1932 года, просимые сведения долж</w:t>
      </w:r>
      <w:r w:rsidRPr="00E93F40">
        <w:rPr>
          <w:rFonts w:ascii="Times New Roman" w:hAnsi="Times New Roman"/>
          <w:color w:val="000000" w:themeColor="text1"/>
          <w:sz w:val="16"/>
          <w:szCs w:val="16"/>
        </w:rPr>
        <w:softHyphen/>
        <w:t>ны быть даны нам в самый кратчайший срок.</w:t>
      </w:r>
    </w:p>
    <w:p w14:paraId="4E4704E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ЦГАОР. ф. 147с, оп. 15, д. 72, л. 193 (1026,153).</w:t>
      </w:r>
    </w:p>
    <w:p w14:paraId="159327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EB6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июня 1932 закончились дополнительные испытания высокой торпеды 10/15, которые начались с 5 мая 1932 и шли до тех пор, когда ЧФ отобрал корабли. За это время смогли выполнить только один из семи запланированных сбросов торпед, но вышло неудачно, так как главный парашют не сработал и торпеда разбилась о воду. Испытания продолжили в Октябре 1932 (1966,10).</w:t>
      </w:r>
    </w:p>
    <w:p w14:paraId="6BC11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A402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июня 1932 вышли решение ПТЭС ГУАПа (№ 187/13172/к-14, № 1051/48483 и № 1059/48483) о строительстве завода (будущего № 124) в г. Казани. Первоначальная мощность завода определялась следующими цифрами:</w:t>
      </w:r>
    </w:p>
    <w:p w14:paraId="53F276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самолетостроительный завод № 124 с программой выпуска машин типа:</w:t>
      </w:r>
    </w:p>
    <w:p w14:paraId="17BA82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ТБ-4 - 600 штук в год</w:t>
      </w:r>
    </w:p>
    <w:p w14:paraId="691CC2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ТБ-6 - 200</w:t>
      </w:r>
    </w:p>
    <w:p w14:paraId="0F638F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или по принятому Авиапромом эквиваленту по машине ТБ-3 - 2400 машин в год</w:t>
      </w:r>
    </w:p>
    <w:p w14:paraId="79803D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Моторостроительный завод - 25000 моторов в год</w:t>
      </w:r>
    </w:p>
    <w:p w14:paraId="47C439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ТЭЦ мощностью 150000 КВт</w:t>
      </w:r>
    </w:p>
    <w:p w14:paraId="4DD93A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Жилстроительство - на 350 тыс. жителей</w:t>
      </w:r>
    </w:p>
    <w:p w14:paraId="21A987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E93F40">
        <w:rPr>
          <w:rFonts w:ascii="Times New Roman" w:hAnsi="Times New Roman"/>
          <w:color w:val="000000" w:themeColor="text1"/>
          <w:sz w:val="16"/>
          <w:szCs w:val="16"/>
        </w:rPr>
        <w:t xml:space="preserve">д) Водозабор </w:t>
      </w:r>
      <w:r w:rsidRPr="00E93F40">
        <w:rPr>
          <w:rFonts w:ascii="Times New Roman" w:hAnsi="Times New Roman"/>
          <w:smallCaps/>
          <w:color w:val="000000" w:themeColor="text1"/>
          <w:sz w:val="16"/>
          <w:szCs w:val="16"/>
        </w:rPr>
        <w:t>(10504,77).</w:t>
      </w:r>
    </w:p>
    <w:p w14:paraId="7FB583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718D3C9C" w14:textId="77777777" w:rsidR="00925EF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25B2C46" w14:textId="77777777" w:rsidR="00925EF1" w:rsidRPr="00E93F40" w:rsidRDefault="00925EF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BE6029"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10 июня</w:t>
      </w:r>
      <w:r w:rsidRPr="00E93F40">
        <w:rPr>
          <w:rFonts w:ascii="Times New Roman" w:hAnsi="Times New Roman"/>
          <w:color w:val="000000" w:themeColor="text1"/>
          <w:sz w:val="16"/>
          <w:szCs w:val="16"/>
        </w:rPr>
        <w:t xml:space="preserve"> в 1932 году совершил первый полет </w:t>
      </w:r>
      <w:hyperlink r:id="rId121" w:tgtFrame="_blank" w:history="1">
        <w:r w:rsidRPr="00E93F40">
          <w:rPr>
            <w:rFonts w:ascii="Times New Roman" w:hAnsi="Times New Roman"/>
            <w:color w:val="000000" w:themeColor="text1"/>
            <w:sz w:val="16"/>
            <w:szCs w:val="16"/>
          </w:rPr>
          <w:t xml:space="preserve">«СА.15С» «Biplane». </w:t>
        </w:r>
      </w:hyperlink>
      <w:r w:rsidRPr="00E93F40">
        <w:rPr>
          <w:rFonts w:ascii="Times New Roman" w:hAnsi="Times New Roman"/>
          <w:color w:val="000000" w:themeColor="text1"/>
          <w:sz w:val="16"/>
          <w:szCs w:val="16"/>
        </w:rPr>
        <w:t>С лета 1933 года «СА.15С» «Biplane» проходил интенсивные испытания в НИЦ в Мартлешем-Хит. Предполагалось, что «СА.15С» «Biplane» будет использоваться авиакомпанией "Imperial Airways" в Африке, но авиаперевозчик отказался. «Biplane» был пущен на слом в начале 1934 года (14918).</w:t>
      </w:r>
    </w:p>
    <w:p w14:paraId="387BB97F" w14:textId="77777777" w:rsidR="00925EF1" w:rsidRPr="00E93F40" w:rsidRDefault="00925EF1" w:rsidP="00E93F40">
      <w:pPr>
        <w:spacing w:after="0" w:line="240" w:lineRule="auto"/>
        <w:jc w:val="both"/>
        <w:rPr>
          <w:rFonts w:ascii="Times New Roman" w:hAnsi="Times New Roman"/>
          <w:color w:val="000000" w:themeColor="text1"/>
          <w:sz w:val="16"/>
          <w:szCs w:val="16"/>
        </w:rPr>
      </w:pPr>
    </w:p>
    <w:p w14:paraId="7D88043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617A6D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467C0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июня 1932 года выписка из протокола № 15 КО</w:t>
      </w:r>
    </w:p>
    <w:p w14:paraId="0B50AB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1. Авиация:</w:t>
      </w:r>
    </w:p>
    <w:p w14:paraId="30DB54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Опытное строительство по авиации.</w:t>
      </w:r>
    </w:p>
    <w:p w14:paraId="69477B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План заказов промышленности на 1933 год по всем видам материальной части.</w:t>
      </w:r>
    </w:p>
    <w:p w14:paraId="7666C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Ориентировочный план всех видов авиастроительства на 1933 год и дополнительные мероприятия по 1932 году для обеспечения оргмероприятий первого периода 1933 года (7429, 78).</w:t>
      </w:r>
    </w:p>
    <w:p w14:paraId="5EE257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35BE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июня 1932 года была подготовлена выписка из протокола № 15 КО</w:t>
      </w:r>
    </w:p>
    <w:p w14:paraId="24D40DA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Авиация.</w:t>
      </w:r>
    </w:p>
    <w:p w14:paraId="761BE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Опытное строительство по авиации.</w:t>
      </w:r>
    </w:p>
    <w:p w14:paraId="2877CA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План заказов промышленности на 1933 год по всем видам материальной части.</w:t>
      </w:r>
    </w:p>
    <w:p w14:paraId="16A32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Ориентировочный план всех видов авиационного строительства на 1933 год и дополнительные мероприятия по 1932 году для обеспечения оргмероприятий первого периода 1933 года.</w:t>
      </w:r>
    </w:p>
    <w:p w14:paraId="0CF91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Заслушать на следующем заседании (3530,6).</w:t>
      </w:r>
    </w:p>
    <w:p w14:paraId="4B670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07B053"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июня 1932 на Казмашстрой прибыла группа иностранных специалистов в количестве 95 человек. И это были не только инженеры. Механики, арматурщики, бетонщики и даже плотники и столяры. Инициаторы Авиастроя замахнулись на строительство грандиозного авиационного завода заводов, а основная масса строителей была крестьянами, не имевшими строительных специальностей, и их нужно было учить строить промышленные предприятия. Среди иностранных специалистов были коммунисты. Они организовали свою партячейку.</w:t>
      </w:r>
    </w:p>
    <w:p w14:paraId="52043AE4"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в Караваево произошли два события. В бывшем доме купца Фролова открылась первая на стройке поликлиника. А вскоре в бывшем доме меховщика Дикушина открылись детские ясли. Так было положено начало новому социальному устройству жизни села Караваево. В августе открыли первый универмаг. Да не простой. Товары там могли приобрести только ударники труда. Надо ли говорить о том, что рабочие строго следили за тем, чтобы в этом магазине товары действительно приобретали те люди, которые заслужили право быть ударниками!</w:t>
      </w:r>
    </w:p>
    <w:p w14:paraId="07541566" w14:textId="11E27BB2"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Энтузиазма строителям Казмашстроя было не занимать. Среди них были настоящие герои, рекордсмены. В сентябре 1932 г. здесь был установлен мировой рекорд по выемке грунта 1 землекопом. Максим Казик побил мировой рекорд, установленный на Днепрогэсе - 26 кубометров за смену. Казик вынул 30 кубометров за неполные 8 часов своей рабочей смены. А сменная норма для землекопа была 4,5 кубометра. Максим Казик не был богатырем. Обычный человек, чуть выше среднего роста. Но обладал смекалкой:</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удобства работы он изготовил несколько лопат и применял их в зависимости от условий работы.</w:t>
      </w:r>
    </w:p>
    <w:p w14:paraId="3FC591FE" w14:textId="56B19932"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Рабочих рук стройке надо было много. Проблема жилья, даже временного, встала перед стройкой в полный рост. И ферма крупного рогатого скота, что находилась недалеко от стройки, была быстро переделана в бараки. Бараки строились повсеместно. Но их тоже не хватало. Зимой 1932-1933 г. в бараках проживало 5 тыс. строителей.</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(24156). </w:t>
      </w:r>
    </w:p>
    <w:p w14:paraId="197E8FFF" w14:textId="77777777" w:rsidR="00E13DFF" w:rsidRPr="00E93F40" w:rsidRDefault="00E13DFF" w:rsidP="00E93F40">
      <w:pPr>
        <w:spacing w:after="0" w:line="240" w:lineRule="auto"/>
        <w:jc w:val="both"/>
        <w:rPr>
          <w:rFonts w:ascii="Times New Roman" w:hAnsi="Times New Roman"/>
          <w:color w:val="000000" w:themeColor="text1"/>
          <w:sz w:val="16"/>
          <w:szCs w:val="16"/>
        </w:rPr>
      </w:pPr>
    </w:p>
    <w:p w14:paraId="4A91F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июня 1932 г. в г. Кунцеве Московской обл. приказом Наркомата лесной промышленности СССР был создан Центральный научно-исследовательский институт механической обработки дерева. В 1933 г. переведен в г. Химки Московской обл. В 1941 - 1943 гг. институт находился в эвакуации в г. Тавде Свердловской обл. В 1957 г. институт переименован в Центральный научно-исследовательский институт механической обработки древесины (ЦНИИМОД). В 1958 г. был переведен в г. Архангельск (12102).</w:t>
      </w:r>
    </w:p>
    <w:p w14:paraId="5DEFC39D" w14:textId="77777777" w:rsidR="00925EF1" w:rsidRPr="00E93F40" w:rsidRDefault="00925EF1" w:rsidP="00E93F40">
      <w:pPr>
        <w:autoSpaceDE w:val="0"/>
        <w:autoSpaceDN w:val="0"/>
        <w:adjustRightInd w:val="0"/>
        <w:spacing w:after="0" w:line="240" w:lineRule="auto"/>
        <w:jc w:val="both"/>
        <w:rPr>
          <w:rFonts w:ascii="Times New Roman" w:hAnsi="Times New Roman"/>
          <w:color w:val="000000" w:themeColor="text1"/>
          <w:sz w:val="16"/>
          <w:szCs w:val="16"/>
        </w:rPr>
      </w:pPr>
    </w:p>
    <w:p w14:paraId="52305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июня 1932 г. в г. Кунцеве Московской обл. приказом Наркомата лесной промышленности СССР Центральный научно-исследовательский лесохимический институт. Переведен в 1938 г. в г. Химки Московской обл., в 1957 г. - в г. Горький. Распоряжением Совета Министров РСФСР от 5 июня 1959 г. институт был переименован в Центральный научно-исследовательский и проектный лесохимический институт (ЦНИЛХИ) (12102).</w:t>
      </w:r>
    </w:p>
    <w:p w14:paraId="234BCAF7" w14:textId="77777777" w:rsidR="00925EF1" w:rsidRPr="00E93F40" w:rsidRDefault="00925EF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B62E90" w14:textId="77777777" w:rsidR="0087389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1251311" w14:textId="77777777" w:rsidR="0087389B" w:rsidRPr="00E93F40" w:rsidRDefault="0087389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595B53"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11 июня 1932. Постановление СТО СССР и Комиссии обороны № 684/208сс об отнесении срока окончания постройки 10 коротковолновых радиостанций (ГА РФ. Ф. Р?8418. Оп. 28. Д. 1а. Л. 281) (12415).</w:t>
      </w:r>
    </w:p>
    <w:p w14:paraId="6D116B6C"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685/209сс о перенесении сроков готовности танковых батальонов ОКДВА с июня на июль-август 1932 г. (ГА РФ. Ф. Р?8418. Оп. 28. Д. 1а. Л. 283) (12415).</w:t>
      </w:r>
    </w:p>
    <w:p w14:paraId="5052FA21"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686/210сс о доассигновании НКТП 4 624 480 руб. на содержание военно-промышленных факультетов (ГА РФ. Ф. Р?8418. Оп. 28. Д. 1а. Л. 284) (12415).</w:t>
      </w:r>
    </w:p>
    <w:p w14:paraId="1A52B369"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1059/КО о перестройке нефтеналивных судов (ГА РФ. Ф. Р?8418. Оп. 28. Д. 25а. Л. 15) (12415).</w:t>
      </w:r>
    </w:p>
    <w:p w14:paraId="71B97A70"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p>
    <w:p w14:paraId="739B1CD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Жизнь и внутренняя политика:</w:t>
      </w:r>
    </w:p>
    <w:p w14:paraId="20AE2B3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BC9E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июня 1932 Запись в дневнике венгерского писателя М.Залка: "Украина, несмотря на нормальный урожай, обречена на голод... Это - трагедия" (10687).</w:t>
      </w:r>
    </w:p>
    <w:p w14:paraId="632C5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2F988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AFB3D3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36886CD" w14:textId="77777777" w:rsidR="00925EF1" w:rsidRPr="00E93F40" w:rsidRDefault="00925EF1"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июня 1932 года И.В.С.писал письмо Л.М. Кагановичу</w:t>
      </w:r>
    </w:p>
    <w:p w14:paraId="0C085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Здравствуйте, </w:t>
      </w:r>
      <w:r w:rsidRPr="00E93F40">
        <w:rPr>
          <w:rFonts w:ascii="Times New Roman" w:hAnsi="Times New Roman"/>
          <w:iCs/>
          <w:color w:val="000000" w:themeColor="text1"/>
          <w:sz w:val="16"/>
          <w:szCs w:val="16"/>
        </w:rPr>
        <w:t>т. Каганович</w:t>
      </w:r>
      <w:r w:rsidRPr="00E93F40">
        <w:rPr>
          <w:rFonts w:ascii="Times New Roman" w:hAnsi="Times New Roman"/>
          <w:color w:val="000000" w:themeColor="text1"/>
          <w:sz w:val="16"/>
          <w:szCs w:val="16"/>
        </w:rPr>
        <w:t>!</w:t>
      </w:r>
    </w:p>
    <w:p w14:paraId="361ED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Почему не публикуются </w:t>
      </w:r>
      <w:r w:rsidRPr="00E93F40">
        <w:rPr>
          <w:rFonts w:ascii="Times New Roman" w:hAnsi="Times New Roman"/>
          <w:iCs/>
          <w:color w:val="000000" w:themeColor="text1"/>
          <w:sz w:val="16"/>
          <w:szCs w:val="16"/>
        </w:rPr>
        <w:t>ежедневные</w:t>
      </w:r>
      <w:r w:rsidRPr="00E93F40">
        <w:rPr>
          <w:rFonts w:ascii="Times New Roman" w:hAnsi="Times New Roman"/>
          <w:color w:val="000000" w:themeColor="text1"/>
          <w:sz w:val="16"/>
          <w:szCs w:val="16"/>
        </w:rPr>
        <w:t xml:space="preserve"> сводки по “АМО” и “Автозаводу”? Кого вы щадите, — бюрократов? Неужели интересы бюрократов стоят выше интересов дела? Дожили до такого позора…</w:t>
      </w:r>
    </w:p>
    <w:p w14:paraId="575D2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Почему </w:t>
      </w:r>
      <w:r w:rsidRPr="00E93F40">
        <w:rPr>
          <w:rFonts w:ascii="Times New Roman" w:hAnsi="Times New Roman"/>
          <w:iCs/>
          <w:color w:val="000000" w:themeColor="text1"/>
          <w:sz w:val="16"/>
          <w:szCs w:val="16"/>
        </w:rPr>
        <w:t>пало</w:t>
      </w:r>
      <w:r w:rsidRPr="00E93F40">
        <w:rPr>
          <w:rFonts w:ascii="Times New Roman" w:hAnsi="Times New Roman"/>
          <w:color w:val="000000" w:themeColor="text1"/>
          <w:sz w:val="16"/>
          <w:szCs w:val="16"/>
        </w:rPr>
        <w:t xml:space="preserve"> производство тракторов на Сталинградском тракторном? Получили орден Ленина и успокоились? И ЦК может терпеть такое безобразие!..</w:t>
      </w:r>
    </w:p>
    <w:p w14:paraId="2C977A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Как обстоит дело с выполнением плана производства танков, аэропланов и моторов к ним, танковых и противотанковых пушек? Майский план выполнен или нет? Каковы перспективы июньского плана?</w:t>
      </w:r>
    </w:p>
    <w:p w14:paraId="4A4E4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Когда думаете созвать пленум ЦК? Хорошо бы созвать к 1-2-му августа.</w:t>
      </w:r>
    </w:p>
    <w:p w14:paraId="387B0D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Только что получил Ваше письмо от 9 /VI. Отвечаю:</w:t>
      </w:r>
    </w:p>
    <w:p w14:paraId="63AF3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По ширпотребу. По решению ЦК мы должны иметь не только квартальные, но и </w:t>
      </w:r>
      <w:r w:rsidRPr="00E93F40">
        <w:rPr>
          <w:rFonts w:ascii="Times New Roman" w:hAnsi="Times New Roman"/>
          <w:iCs/>
          <w:color w:val="000000" w:themeColor="text1"/>
          <w:sz w:val="16"/>
          <w:szCs w:val="16"/>
        </w:rPr>
        <w:t>месячные</w:t>
      </w:r>
      <w:r w:rsidRPr="00E93F40">
        <w:rPr>
          <w:rFonts w:ascii="Times New Roman" w:hAnsi="Times New Roman"/>
          <w:color w:val="000000" w:themeColor="text1"/>
          <w:sz w:val="16"/>
          <w:szCs w:val="16"/>
        </w:rPr>
        <w:t xml:space="preserve"> планы завоза для рынка, — это во-первых, и затем во-вторых, мы должны определенный процент </w:t>
      </w:r>
      <w:r w:rsidRPr="00E93F40">
        <w:rPr>
          <w:rFonts w:ascii="Times New Roman" w:hAnsi="Times New Roman"/>
          <w:iCs/>
          <w:color w:val="000000" w:themeColor="text1"/>
          <w:sz w:val="16"/>
          <w:szCs w:val="16"/>
        </w:rPr>
        <w:t>всей</w:t>
      </w:r>
      <w:r w:rsidRPr="00E93F40">
        <w:rPr>
          <w:rFonts w:ascii="Times New Roman" w:hAnsi="Times New Roman"/>
          <w:color w:val="000000" w:themeColor="text1"/>
          <w:sz w:val="16"/>
          <w:szCs w:val="16"/>
        </w:rPr>
        <w:t xml:space="preserve"> суммы продукции </w:t>
      </w:r>
      <w:r w:rsidRPr="00E93F40">
        <w:rPr>
          <w:rFonts w:ascii="Times New Roman" w:hAnsi="Times New Roman"/>
          <w:iCs/>
          <w:color w:val="000000" w:themeColor="text1"/>
          <w:sz w:val="16"/>
          <w:szCs w:val="16"/>
        </w:rPr>
        <w:t>отгружать</w:t>
      </w:r>
      <w:r w:rsidRPr="00E93F40">
        <w:rPr>
          <w:rFonts w:ascii="Times New Roman" w:hAnsi="Times New Roman"/>
          <w:color w:val="000000" w:themeColor="text1"/>
          <w:sz w:val="16"/>
          <w:szCs w:val="16"/>
        </w:rPr>
        <w:t xml:space="preserve"> для рынка (и деревни), и </w:t>
      </w:r>
      <w:r w:rsidRPr="00E93F40">
        <w:rPr>
          <w:rFonts w:ascii="Times New Roman" w:hAnsi="Times New Roman"/>
          <w:iCs/>
          <w:color w:val="000000" w:themeColor="text1"/>
          <w:sz w:val="16"/>
          <w:szCs w:val="16"/>
        </w:rPr>
        <w:t>только остатки</w:t>
      </w:r>
      <w:r w:rsidRPr="00E93F40">
        <w:rPr>
          <w:rFonts w:ascii="Times New Roman" w:hAnsi="Times New Roman"/>
          <w:color w:val="000000" w:themeColor="text1"/>
          <w:sz w:val="16"/>
          <w:szCs w:val="16"/>
        </w:rPr>
        <w:t xml:space="preserve"> отдавать </w:t>
      </w:r>
      <w:r w:rsidRPr="00E93F40">
        <w:rPr>
          <w:rFonts w:ascii="Times New Roman" w:hAnsi="Times New Roman"/>
          <w:iCs/>
          <w:color w:val="000000" w:themeColor="text1"/>
          <w:sz w:val="16"/>
          <w:szCs w:val="16"/>
        </w:rPr>
        <w:t>нерыночным</w:t>
      </w:r>
      <w:r w:rsidRPr="00E93F40">
        <w:rPr>
          <w:rFonts w:ascii="Times New Roman" w:hAnsi="Times New Roman"/>
          <w:color w:val="000000" w:themeColor="text1"/>
          <w:sz w:val="16"/>
          <w:szCs w:val="16"/>
        </w:rPr>
        <w:t xml:space="preserve"> потребителям. Куда девались эти решения? Почему не выполняются? Если Вы действительно добиваетесь правды, напишите мне — сколько%% всей продукции по известным отраслям отдается на рынок (по месяцам!), или должно отдаваться на рынок (по месяцам!) и сколько нерыночным потребителям. Ну-ка, попробуйте!</w:t>
      </w:r>
    </w:p>
    <w:p w14:paraId="533D1F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Что касается Центросоюза, то ссылаться на его слабость нечего: его слабость — вещь общеизвестная. Комиссия ПБ по ширпотребу создана для того, чтобы Центросоюзом руководили Вы и Постышев. В этом смысл создания комиссии. Отныне ссылка на слабость Центросоюза будет (должна!) расцениваться как слабость Кагановича и Постышева. </w:t>
      </w:r>
      <w:r w:rsidRPr="00E93F40">
        <w:rPr>
          <w:rFonts w:ascii="Times New Roman" w:hAnsi="Times New Roman"/>
          <w:iCs/>
          <w:color w:val="000000" w:themeColor="text1"/>
          <w:sz w:val="16"/>
          <w:szCs w:val="16"/>
        </w:rPr>
        <w:t>Очередная задача состоит в том. чтобы в мае. июне и июле послать максимум ширпотребных товаров</w:t>
      </w:r>
      <w:r w:rsidRPr="00E93F40">
        <w:rPr>
          <w:rFonts w:ascii="Times New Roman" w:hAnsi="Times New Roman"/>
          <w:color w:val="000000" w:themeColor="text1"/>
          <w:sz w:val="16"/>
          <w:szCs w:val="16"/>
        </w:rPr>
        <w:t xml:space="preserve"> в </w:t>
      </w:r>
      <w:r w:rsidRPr="00E93F40">
        <w:rPr>
          <w:rFonts w:ascii="Times New Roman" w:hAnsi="Times New Roman"/>
          <w:iCs/>
          <w:color w:val="000000" w:themeColor="text1"/>
          <w:sz w:val="16"/>
          <w:szCs w:val="16"/>
        </w:rPr>
        <w:t>хлебные, сахарные</w:t>
      </w:r>
      <w:r w:rsidRPr="00E93F40">
        <w:rPr>
          <w:rFonts w:ascii="Times New Roman" w:hAnsi="Times New Roman"/>
          <w:color w:val="000000" w:themeColor="text1"/>
          <w:sz w:val="16"/>
          <w:szCs w:val="16"/>
        </w:rPr>
        <w:t xml:space="preserve"> (свекловичные) и </w:t>
      </w:r>
      <w:r w:rsidRPr="00E93F40">
        <w:rPr>
          <w:rFonts w:ascii="Times New Roman" w:hAnsi="Times New Roman"/>
          <w:iCs/>
          <w:color w:val="000000" w:themeColor="text1"/>
          <w:sz w:val="16"/>
          <w:szCs w:val="16"/>
        </w:rPr>
        <w:t>хлопковые</w:t>
      </w:r>
      <w:r w:rsidRPr="00E93F40">
        <w:rPr>
          <w:rFonts w:ascii="Times New Roman" w:hAnsi="Times New Roman"/>
          <w:color w:val="000000" w:themeColor="text1"/>
          <w:sz w:val="16"/>
          <w:szCs w:val="16"/>
        </w:rPr>
        <w:t xml:space="preserve"> области — </w:t>
      </w:r>
      <w:r w:rsidRPr="00E93F40">
        <w:rPr>
          <w:rFonts w:ascii="Times New Roman" w:hAnsi="Times New Roman"/>
          <w:iCs/>
          <w:color w:val="000000" w:themeColor="text1"/>
          <w:sz w:val="16"/>
          <w:szCs w:val="16"/>
        </w:rPr>
        <w:t>в расчете,</w:t>
      </w:r>
      <w:r w:rsidRPr="00E93F40">
        <w:rPr>
          <w:rFonts w:ascii="Times New Roman" w:hAnsi="Times New Roman"/>
          <w:color w:val="000000" w:themeColor="text1"/>
          <w:sz w:val="16"/>
          <w:szCs w:val="16"/>
        </w:rPr>
        <w:t xml:space="preserve"> что </w:t>
      </w:r>
      <w:r w:rsidRPr="00E93F40">
        <w:rPr>
          <w:rFonts w:ascii="Times New Roman" w:hAnsi="Times New Roman"/>
          <w:iCs/>
          <w:color w:val="000000" w:themeColor="text1"/>
          <w:sz w:val="16"/>
          <w:szCs w:val="16"/>
        </w:rPr>
        <w:t>товар будет на месте</w:t>
      </w:r>
      <w:r w:rsidRPr="00E93F40">
        <w:rPr>
          <w:rFonts w:ascii="Times New Roman" w:hAnsi="Times New Roman"/>
          <w:color w:val="000000" w:themeColor="text1"/>
          <w:sz w:val="16"/>
          <w:szCs w:val="16"/>
        </w:rPr>
        <w:t xml:space="preserve"> уже в </w:t>
      </w:r>
      <w:r w:rsidRPr="00E93F40">
        <w:rPr>
          <w:rFonts w:ascii="Times New Roman" w:hAnsi="Times New Roman"/>
          <w:iCs/>
          <w:color w:val="000000" w:themeColor="text1"/>
          <w:sz w:val="16"/>
          <w:szCs w:val="16"/>
        </w:rPr>
        <w:t>июле</w:t>
      </w:r>
      <w:r w:rsidRPr="00E93F40">
        <w:rPr>
          <w:rFonts w:ascii="Times New Roman" w:hAnsi="Times New Roman"/>
          <w:color w:val="000000" w:themeColor="text1"/>
          <w:sz w:val="16"/>
          <w:szCs w:val="16"/>
        </w:rPr>
        <w:t xml:space="preserve"> и </w:t>
      </w:r>
      <w:r w:rsidRPr="00E93F40">
        <w:rPr>
          <w:rFonts w:ascii="Times New Roman" w:hAnsi="Times New Roman"/>
          <w:iCs/>
          <w:color w:val="000000" w:themeColor="text1"/>
          <w:sz w:val="16"/>
          <w:szCs w:val="16"/>
        </w:rPr>
        <w:t>августе.</w:t>
      </w:r>
      <w:r w:rsidRPr="00E93F40">
        <w:rPr>
          <w:rFonts w:ascii="Times New Roman" w:hAnsi="Times New Roman"/>
          <w:color w:val="000000" w:themeColor="text1"/>
          <w:sz w:val="16"/>
          <w:szCs w:val="16"/>
        </w:rPr>
        <w:t xml:space="preserve"> Если это не будет сделано, то комиссия заслуживает того, чтобы быть похороненной заживо. Ну, пока все.</w:t>
      </w:r>
    </w:p>
    <w:p w14:paraId="6AF4AF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Привет.</w:t>
      </w:r>
    </w:p>
    <w:p w14:paraId="47F3F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И. Сталин</w:t>
      </w:r>
      <w:r w:rsidRPr="00E93F40">
        <w:rPr>
          <w:rFonts w:ascii="Times New Roman" w:hAnsi="Times New Roman"/>
          <w:color w:val="000000" w:themeColor="text1"/>
          <w:sz w:val="16"/>
          <w:szCs w:val="16"/>
        </w:rPr>
        <w:t>.</w:t>
      </w:r>
    </w:p>
    <w:p w14:paraId="74B2D6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Сталин и Каганович. Переписка. 1931–1936 гг. С. 161–162.</w:t>
      </w:r>
    </w:p>
    <w:p w14:paraId="0BCCA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РГАСПИ Ф. 81. Оп. 3. Д. 100. Л. 120–124 (11868).</w:t>
      </w:r>
    </w:p>
    <w:p w14:paraId="453603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1A80F0" w14:textId="77777777" w:rsidR="009E1ED0" w:rsidRPr="00E93F40" w:rsidRDefault="009E1ED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июня 1933 г. в торжественной обстановке был заложен первый камень судостроительного завода в Комсомольске на Амуре. Этот день стали считать днем рождения города. Спустя всего 5 лет (!!!), 12 июня 1938 года было заложено первое судно, а в ноябре на воду сошел корабль.</w:t>
      </w:r>
    </w:p>
    <w:p w14:paraId="16D15CA5" w14:textId="77777777" w:rsidR="009E1ED0" w:rsidRPr="00E93F40" w:rsidRDefault="009E1ED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Несколько позже, 18 июля 1934 г. состоялась закладка еще одного индустриального гиганта -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w:t>
      </w:r>
      <w:r w:rsidRPr="00E93F40">
        <w:rPr>
          <w:rFonts w:ascii="Times New Roman" w:hAnsi="Times New Roman"/>
          <w:color w:val="000000" w:themeColor="text1"/>
          <w:sz w:val="16"/>
          <w:szCs w:val="16"/>
        </w:rPr>
        <w:br/>
        <w:t>В тридцатые годы в городе было начато строительство заводов «Амурсталь» и «Амурлитмаш», завода по производству свинцовых стартовых аккумуляторов и др. Большинство из них дали первую продукцию в суровом 1942 г. и внесли весомый вклад в разгром немецко-фашистских захватчиков и их союзников на западном фронте, японских милитаристов на Дальнем Востоке (21176).</w:t>
      </w:r>
    </w:p>
    <w:p w14:paraId="78DBD72B" w14:textId="77777777" w:rsidR="009E1ED0" w:rsidRPr="00E93F40" w:rsidRDefault="009E1ED0" w:rsidP="00E93F40">
      <w:pPr>
        <w:spacing w:after="0" w:line="240" w:lineRule="auto"/>
        <w:jc w:val="both"/>
        <w:rPr>
          <w:rFonts w:ascii="Times New Roman" w:eastAsia="TimesNewRomanPSMT" w:hAnsi="Times New Roman"/>
          <w:color w:val="000000" w:themeColor="text1"/>
          <w:sz w:val="16"/>
          <w:szCs w:val="16"/>
        </w:rPr>
      </w:pPr>
    </w:p>
    <w:p w14:paraId="586E4B37" w14:textId="77777777" w:rsidR="00B323BF" w:rsidRPr="00E93F40" w:rsidRDefault="00B323BF" w:rsidP="00B323BF">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A48613D" w14:textId="77777777" w:rsidR="00B323BF" w:rsidRPr="00E93F40" w:rsidRDefault="00B323BF" w:rsidP="00B323BF">
      <w:pPr>
        <w:autoSpaceDE w:val="0"/>
        <w:autoSpaceDN w:val="0"/>
        <w:adjustRightInd w:val="0"/>
        <w:spacing w:after="0" w:line="240" w:lineRule="auto"/>
        <w:jc w:val="both"/>
        <w:rPr>
          <w:rFonts w:ascii="Times New Roman" w:hAnsi="Times New Roman"/>
          <w:iCs/>
          <w:color w:val="000000" w:themeColor="text1"/>
          <w:sz w:val="16"/>
          <w:szCs w:val="16"/>
        </w:rPr>
      </w:pPr>
    </w:p>
    <w:p w14:paraId="382E6471" w14:textId="77777777" w:rsidR="00B323BF" w:rsidRPr="00951B40" w:rsidRDefault="00B323BF" w:rsidP="00B323BF">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13 июня 1932 г. вышло решении заместителя наморси И.М. Лудри: «Техупру в двухдневный срок представить проект доклада РВС Союза и представления в правительство о положении с реализа</w:t>
      </w:r>
      <w:r w:rsidRPr="00951B40">
        <w:rPr>
          <w:rStyle w:val="aff"/>
          <w:rFonts w:ascii="Times New Roman" w:hAnsi="Times New Roman" w:cs="Times New Roman"/>
          <w:color w:val="0070C0"/>
          <w:spacing w:val="0"/>
          <w:sz w:val="16"/>
          <w:szCs w:val="16"/>
        </w:rPr>
        <w:softHyphen/>
        <w:t xml:space="preserve">цией постановления СТО от 11.5.32 г. в части обеспечения подачи в 1933 году моторов мощностью 1500 </w:t>
      </w:r>
      <w:r w:rsidRPr="00951B40">
        <w:rPr>
          <w:rStyle w:val="aff"/>
          <w:rFonts w:ascii="Times New Roman" w:hAnsi="Times New Roman" w:cs="Times New Roman"/>
          <w:color w:val="0070C0"/>
          <w:spacing w:val="0"/>
          <w:sz w:val="16"/>
          <w:szCs w:val="16"/>
          <w:lang w:val="en-US"/>
        </w:rPr>
        <w:t>HP</w:t>
      </w:r>
      <w:r w:rsidRPr="00951B40">
        <w:rPr>
          <w:rStyle w:val="aff"/>
          <w:rFonts w:ascii="Times New Roman" w:hAnsi="Times New Roman" w:cs="Times New Roman"/>
          <w:color w:val="0070C0"/>
          <w:spacing w:val="0"/>
          <w:sz w:val="16"/>
          <w:szCs w:val="16"/>
        </w:rPr>
        <w:t>. Техупру принять меры к скорейшему выяснению марки и данных моторов, кои будут по</w:t>
      </w:r>
      <w:r w:rsidRPr="00951B40">
        <w:rPr>
          <w:rStyle w:val="aff"/>
          <w:rFonts w:ascii="Times New Roman" w:hAnsi="Times New Roman" w:cs="Times New Roman"/>
          <w:color w:val="0070C0"/>
          <w:spacing w:val="0"/>
          <w:sz w:val="16"/>
          <w:szCs w:val="16"/>
        </w:rPr>
        <w:softHyphen/>
        <w:t>ставлены на этих катерах». Однако моторы подобной мощности советские конструкторы не смогли освоить еще на протяжении длительного времени, и ни</w:t>
      </w:r>
      <w:r w:rsidRPr="00951B40">
        <w:rPr>
          <w:rStyle w:val="aff"/>
          <w:rFonts w:ascii="Times New Roman" w:hAnsi="Times New Roman" w:cs="Times New Roman"/>
          <w:color w:val="0070C0"/>
          <w:spacing w:val="0"/>
          <w:sz w:val="16"/>
          <w:szCs w:val="16"/>
        </w:rPr>
        <w:softHyphen/>
        <w:t>какие обращения в РВС или даже прави</w:t>
      </w:r>
      <w:r w:rsidRPr="00951B40">
        <w:rPr>
          <w:rStyle w:val="aff"/>
          <w:rFonts w:ascii="Times New Roman" w:hAnsi="Times New Roman" w:cs="Times New Roman"/>
          <w:color w:val="0070C0"/>
          <w:spacing w:val="0"/>
          <w:sz w:val="16"/>
          <w:szCs w:val="16"/>
        </w:rPr>
        <w:softHyphen/>
        <w:t>тельство не могли этого изменить (25781).</w:t>
      </w:r>
    </w:p>
    <w:p w14:paraId="66D0103A" w14:textId="77777777" w:rsidR="00B323BF" w:rsidRPr="00951B40" w:rsidRDefault="00B323BF" w:rsidP="00B323BF">
      <w:pPr>
        <w:spacing w:after="0" w:line="240" w:lineRule="auto"/>
        <w:jc w:val="both"/>
        <w:rPr>
          <w:rStyle w:val="aff"/>
          <w:rFonts w:ascii="Times New Roman" w:hAnsi="Times New Roman" w:cs="Times New Roman"/>
          <w:color w:val="0070C0"/>
          <w:spacing w:val="0"/>
          <w:sz w:val="16"/>
          <w:szCs w:val="16"/>
        </w:rPr>
      </w:pPr>
    </w:p>
    <w:p w14:paraId="441FC8D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267AB2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1DD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июня 1932 в Лозанне между Францией и Англией был подписан договор о дружбе (3907,173).</w:t>
      </w:r>
    </w:p>
    <w:p w14:paraId="4AD955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9FB08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F4413B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B54A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июня 1932 на заключительном этапе Госиспыта</w:t>
      </w:r>
      <w:r w:rsidRPr="00E93F40">
        <w:rPr>
          <w:rFonts w:ascii="Times New Roman" w:hAnsi="Times New Roman"/>
          <w:color w:val="000000" w:themeColor="text1"/>
          <w:sz w:val="16"/>
          <w:szCs w:val="16"/>
        </w:rPr>
        <w:softHyphen/>
        <w:t>ний произвели отцепку одного из двух истребителей. В целом, эти испытания продемонстрировали высокую надежность всех механизмов (не выявлено ни одной не</w:t>
      </w:r>
      <w:r w:rsidRPr="00E93F40">
        <w:rPr>
          <w:rFonts w:ascii="Times New Roman" w:hAnsi="Times New Roman"/>
          <w:color w:val="000000" w:themeColor="text1"/>
          <w:sz w:val="16"/>
          <w:szCs w:val="16"/>
        </w:rPr>
        <w:softHyphen/>
        <w:t>исправности). Был отмечен и другой нема</w:t>
      </w:r>
      <w:r w:rsidRPr="00E93F40">
        <w:rPr>
          <w:rFonts w:ascii="Times New Roman" w:hAnsi="Times New Roman"/>
          <w:color w:val="000000" w:themeColor="text1"/>
          <w:sz w:val="16"/>
          <w:szCs w:val="16"/>
        </w:rPr>
        <w:softHyphen/>
        <w:t>ловажный факт: «Необходимые навыки для пользования СЗ-1 не требуют высокой квалификации». Как и рассчитывал Вахмист</w:t>
      </w:r>
      <w:r w:rsidRPr="00E93F40">
        <w:rPr>
          <w:rFonts w:ascii="Times New Roman" w:hAnsi="Times New Roman"/>
          <w:color w:val="000000" w:themeColor="text1"/>
          <w:sz w:val="16"/>
          <w:szCs w:val="16"/>
        </w:rPr>
        <w:softHyphen/>
        <w:t>ров, наличие истребителей позволило СЗ-1 продемонстрировать перед обычным ТБ-1 преимущества в ряде летных характерис</w:t>
      </w:r>
      <w:r w:rsidRPr="00E93F40">
        <w:rPr>
          <w:rFonts w:ascii="Times New Roman" w:hAnsi="Times New Roman"/>
          <w:color w:val="000000" w:themeColor="text1"/>
          <w:sz w:val="16"/>
          <w:szCs w:val="16"/>
        </w:rPr>
        <w:softHyphen/>
        <w:t>тик. Например, при одинаковой нагрузке потолок увеличился на 500-600 м, длина разбега уменьшилась на 150-200 м. Но са</w:t>
      </w:r>
      <w:r w:rsidRPr="00E93F40">
        <w:rPr>
          <w:rFonts w:ascii="Times New Roman" w:hAnsi="Times New Roman"/>
          <w:color w:val="000000" w:themeColor="text1"/>
          <w:sz w:val="16"/>
          <w:szCs w:val="16"/>
        </w:rPr>
        <w:softHyphen/>
        <w:t>мым главным для Вахмистрова стало то, что положительную оценку получило самое главное качество системы — применение истребительного охранения при действиях тяжелого бомбардировщика в глубоком ты</w:t>
      </w:r>
      <w:r w:rsidRPr="00E93F40">
        <w:rPr>
          <w:rFonts w:ascii="Times New Roman" w:hAnsi="Times New Roman"/>
          <w:color w:val="000000" w:themeColor="text1"/>
          <w:sz w:val="16"/>
          <w:szCs w:val="16"/>
        </w:rPr>
        <w:softHyphen/>
        <w:t>лу противника. Военные испытатели посчи</w:t>
      </w:r>
      <w:r w:rsidRPr="00E93F40">
        <w:rPr>
          <w:rFonts w:ascii="Times New Roman" w:hAnsi="Times New Roman"/>
          <w:color w:val="000000" w:themeColor="text1"/>
          <w:sz w:val="16"/>
          <w:szCs w:val="16"/>
        </w:rPr>
        <w:softHyphen/>
        <w:t>тали «самолет-звено» значительным дости</w:t>
      </w:r>
      <w:r w:rsidRPr="00E93F40">
        <w:rPr>
          <w:rFonts w:ascii="Times New Roman" w:hAnsi="Times New Roman"/>
          <w:color w:val="000000" w:themeColor="text1"/>
          <w:sz w:val="16"/>
          <w:szCs w:val="16"/>
        </w:rPr>
        <w:softHyphen/>
        <w:t>жением, и для оценки его тактических и экс</w:t>
      </w:r>
      <w:r w:rsidRPr="00E93F40">
        <w:rPr>
          <w:rFonts w:ascii="Times New Roman" w:hAnsi="Times New Roman"/>
          <w:color w:val="000000" w:themeColor="text1"/>
          <w:sz w:val="16"/>
          <w:szCs w:val="16"/>
        </w:rPr>
        <w:softHyphen/>
        <w:t>плуатационных особенностей предлагали построить эскадрилью СЗ-1 (11286).</w:t>
      </w:r>
    </w:p>
    <w:p w14:paraId="72EB22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63EFD" w14:textId="77777777" w:rsidR="00B06A5E" w:rsidRPr="00E93F40" w:rsidRDefault="00B06A5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июня 1932 на их заклю</w:t>
      </w:r>
      <w:r w:rsidRPr="00E93F40">
        <w:rPr>
          <w:rFonts w:ascii="Times New Roman" w:hAnsi="Times New Roman"/>
          <w:color w:val="000000" w:themeColor="text1"/>
          <w:sz w:val="16"/>
          <w:szCs w:val="16"/>
        </w:rPr>
        <w:softHyphen/>
        <w:t>чительном этапе госиспытаний провели отцепку только одного из двух истребителей. Носитель ТБ-1 с одним закреп</w:t>
      </w:r>
      <w:r w:rsidRPr="00E93F40">
        <w:rPr>
          <w:rFonts w:ascii="Times New Roman" w:hAnsi="Times New Roman"/>
          <w:color w:val="000000" w:themeColor="text1"/>
          <w:sz w:val="16"/>
          <w:szCs w:val="16"/>
        </w:rPr>
        <w:softHyphen/>
        <w:t>ленным И-4 сохранял устойчивость и мог продолжать пря</w:t>
      </w:r>
      <w:r w:rsidRPr="00E93F40">
        <w:rPr>
          <w:rFonts w:ascii="Times New Roman" w:hAnsi="Times New Roman"/>
          <w:color w:val="000000" w:themeColor="text1"/>
          <w:sz w:val="16"/>
          <w:szCs w:val="16"/>
        </w:rPr>
        <w:softHyphen/>
        <w:t>молинейный полет.</w:t>
      </w:r>
    </w:p>
    <w:p w14:paraId="269B6A6B" w14:textId="77777777" w:rsidR="00B06A5E" w:rsidRPr="00E93F40" w:rsidRDefault="00B06A5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показали надежность работы всех механиз</w:t>
      </w:r>
      <w:r w:rsidRPr="00E93F40">
        <w:rPr>
          <w:rFonts w:ascii="Times New Roman" w:hAnsi="Times New Roman"/>
          <w:color w:val="000000" w:themeColor="text1"/>
          <w:sz w:val="16"/>
          <w:szCs w:val="16"/>
        </w:rPr>
        <w:softHyphen/>
        <w:t>мов, за все время не было ни одного случая неисправ</w:t>
      </w:r>
      <w:r w:rsidRPr="00E93F40">
        <w:rPr>
          <w:rFonts w:ascii="Times New Roman" w:hAnsi="Times New Roman"/>
          <w:color w:val="000000" w:themeColor="text1"/>
          <w:sz w:val="16"/>
          <w:szCs w:val="16"/>
        </w:rPr>
        <w:softHyphen/>
        <w:t>ности. В отчете по испытаниям СЗ-1 говорилось, что по</w:t>
      </w:r>
      <w:r w:rsidRPr="00E93F40">
        <w:rPr>
          <w:rFonts w:ascii="Times New Roman" w:hAnsi="Times New Roman"/>
          <w:color w:val="000000" w:themeColor="text1"/>
          <w:sz w:val="16"/>
          <w:szCs w:val="16"/>
        </w:rPr>
        <w:softHyphen/>
        <w:t>ложительным результатом создания «амолета-звена» яв</w:t>
      </w:r>
      <w:r w:rsidRPr="00E93F40">
        <w:rPr>
          <w:rFonts w:ascii="Times New Roman" w:hAnsi="Times New Roman"/>
          <w:color w:val="000000" w:themeColor="text1"/>
          <w:sz w:val="16"/>
          <w:szCs w:val="16"/>
        </w:rPr>
        <w:softHyphen/>
        <w:t>ляется возможность истребительного охранения при действиях тяжелого бомбардировщика в глубоком тылу противника. Овладение управлением СЗ-1 не требует от летчиков высокой квалификации. Использование избы</w:t>
      </w:r>
      <w:r w:rsidRPr="00E93F40">
        <w:rPr>
          <w:rFonts w:ascii="Times New Roman" w:hAnsi="Times New Roman"/>
          <w:color w:val="000000" w:themeColor="text1"/>
          <w:sz w:val="16"/>
          <w:szCs w:val="16"/>
        </w:rPr>
        <w:softHyphen/>
        <w:t>точной мощности истребителей облегчает взлет тяжело на</w:t>
      </w:r>
      <w:r w:rsidRPr="00E93F40">
        <w:rPr>
          <w:rFonts w:ascii="Times New Roman" w:hAnsi="Times New Roman"/>
          <w:color w:val="000000" w:themeColor="text1"/>
          <w:sz w:val="16"/>
          <w:szCs w:val="16"/>
        </w:rPr>
        <w:softHyphen/>
        <w:t>груженного бомбардировщика с аэродрома (20345).</w:t>
      </w:r>
    </w:p>
    <w:p w14:paraId="334E641D" w14:textId="77777777" w:rsidR="00B06A5E" w:rsidRPr="00E93F40" w:rsidRDefault="00B06A5E" w:rsidP="00E93F40">
      <w:pPr>
        <w:spacing w:after="0" w:line="240" w:lineRule="auto"/>
        <w:jc w:val="both"/>
        <w:rPr>
          <w:rFonts w:ascii="Times New Roman" w:hAnsi="Times New Roman"/>
          <w:color w:val="000000" w:themeColor="text1"/>
          <w:sz w:val="16"/>
          <w:szCs w:val="16"/>
        </w:rPr>
      </w:pPr>
    </w:p>
    <w:p w14:paraId="419DEC2A"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июня 1932 провели отцепку только одного из двух истребителей. Носитель ТБ-1 с одним закрепленным И-4 со</w:t>
      </w:r>
      <w:r w:rsidRPr="00E93F40">
        <w:rPr>
          <w:rFonts w:ascii="Times New Roman" w:hAnsi="Times New Roman"/>
          <w:color w:val="000000" w:themeColor="text1"/>
          <w:sz w:val="16"/>
          <w:szCs w:val="16"/>
        </w:rPr>
        <w:softHyphen/>
        <w:t>хранял устойчивость и мог продолжать прямо</w:t>
      </w:r>
      <w:r w:rsidRPr="00E93F40">
        <w:rPr>
          <w:rFonts w:ascii="Times New Roman" w:hAnsi="Times New Roman"/>
          <w:color w:val="000000" w:themeColor="text1"/>
          <w:sz w:val="16"/>
          <w:szCs w:val="16"/>
        </w:rPr>
        <w:softHyphen/>
        <w:t>линейный полет (12295).</w:t>
      </w:r>
    </w:p>
    <w:p w14:paraId="6279CC6A" w14:textId="77777777" w:rsidR="0087389B" w:rsidRPr="00E93F40" w:rsidRDefault="0087389B" w:rsidP="00E93F40">
      <w:pPr>
        <w:spacing w:after="0" w:line="240" w:lineRule="auto"/>
        <w:jc w:val="both"/>
        <w:rPr>
          <w:rFonts w:ascii="Times New Roman" w:hAnsi="Times New Roman"/>
          <w:color w:val="000000" w:themeColor="text1"/>
          <w:sz w:val="16"/>
          <w:szCs w:val="16"/>
        </w:rPr>
      </w:pPr>
    </w:p>
    <w:p w14:paraId="5566C23F" w14:textId="4E45C142" w:rsidR="00B06A5E" w:rsidRPr="00E93F40" w:rsidRDefault="00B06A5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июня 1832 вышел приказ ГУАП об организации технической инспекции, извращающий постановление СТО о реорганизации технического контроля на заводах Авиапромышленности от 16 мая 1932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(23061).</w:t>
      </w:r>
    </w:p>
    <w:p w14:paraId="6236BCC8" w14:textId="77777777" w:rsidR="00B06A5E" w:rsidRPr="00E93F40" w:rsidRDefault="00B06A5E" w:rsidP="00E93F40">
      <w:pPr>
        <w:spacing w:after="0" w:line="240" w:lineRule="auto"/>
        <w:jc w:val="both"/>
        <w:rPr>
          <w:rFonts w:ascii="Times New Roman" w:hAnsi="Times New Roman"/>
          <w:color w:val="000000" w:themeColor="text1"/>
          <w:sz w:val="16"/>
          <w:szCs w:val="16"/>
        </w:rPr>
      </w:pPr>
    </w:p>
    <w:p w14:paraId="51CD9DCC"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июня 1932 на заключительном этапе госиспытаний «Самолета-Звено-1» провели отцепку только одного из двух истребителей. Носитель ТБ-1 с одним закрепленным И-4 сохранял устойчивость и мог продолжать прямолинейный полет. (3, 4)</w:t>
      </w:r>
    </w:p>
    <w:p w14:paraId="582B7D90"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показали надежность работы всех ме</w:t>
      </w:r>
      <w:r w:rsidRPr="00E93F40">
        <w:rPr>
          <w:rFonts w:ascii="Times New Roman" w:hAnsi="Times New Roman"/>
          <w:color w:val="000000" w:themeColor="text1"/>
          <w:sz w:val="16"/>
          <w:szCs w:val="16"/>
        </w:rPr>
        <w:softHyphen/>
        <w:t>ханизмов, за все время не было ни одного случая не</w:t>
      </w:r>
      <w:r w:rsidRPr="00E93F40">
        <w:rPr>
          <w:rFonts w:ascii="Times New Roman" w:hAnsi="Times New Roman"/>
          <w:color w:val="000000" w:themeColor="text1"/>
          <w:sz w:val="16"/>
          <w:szCs w:val="16"/>
        </w:rPr>
        <w:softHyphen/>
        <w:t>исправности. В отчете по испытаниям СЗ-1 говори</w:t>
      </w:r>
      <w:r w:rsidRPr="00E93F40">
        <w:rPr>
          <w:rFonts w:ascii="Times New Roman" w:hAnsi="Times New Roman"/>
          <w:color w:val="000000" w:themeColor="text1"/>
          <w:sz w:val="16"/>
          <w:szCs w:val="16"/>
        </w:rPr>
        <w:softHyphen/>
        <w:t>лось, что положительным результатом создания «самолета-звена» является возможность истребитель</w:t>
      </w:r>
      <w:r w:rsidRPr="00E93F40">
        <w:rPr>
          <w:rFonts w:ascii="Times New Roman" w:hAnsi="Times New Roman"/>
          <w:color w:val="000000" w:themeColor="text1"/>
          <w:sz w:val="16"/>
          <w:szCs w:val="16"/>
        </w:rPr>
        <w:softHyphen/>
        <w:t>ного охранения при действиях тяжелого бомбарди</w:t>
      </w:r>
      <w:r w:rsidRPr="00E93F40">
        <w:rPr>
          <w:rFonts w:ascii="Times New Roman" w:hAnsi="Times New Roman"/>
          <w:color w:val="000000" w:themeColor="text1"/>
          <w:sz w:val="16"/>
          <w:szCs w:val="16"/>
        </w:rPr>
        <w:softHyphen/>
        <w:t>ровщика в глубоком тылу противника. Овладение управлением СЗ-1 не требует от летчиков высокой квалификации. Использование избыточной мощнос</w:t>
      </w:r>
      <w:r w:rsidRPr="00E93F40">
        <w:rPr>
          <w:rFonts w:ascii="Times New Roman" w:hAnsi="Times New Roman"/>
          <w:color w:val="000000" w:themeColor="text1"/>
          <w:sz w:val="16"/>
          <w:szCs w:val="16"/>
        </w:rPr>
        <w:softHyphen/>
        <w:t>ти истребителей облегчает взлет тяжело нагруженно</w:t>
      </w:r>
      <w:r w:rsidRPr="00E93F40">
        <w:rPr>
          <w:rFonts w:ascii="Times New Roman" w:hAnsi="Times New Roman"/>
          <w:color w:val="000000" w:themeColor="text1"/>
          <w:sz w:val="16"/>
          <w:szCs w:val="16"/>
        </w:rPr>
        <w:softHyphen/>
        <w:t>го бомбардировщика с аэродрома. По сравнению с обычным ТБ-1, система СЗ-1 имеет значительные преимущества. При одинаковой нагрузке потолок увеличивается на 500-600 метров, длина разбега уменьшается на 150-200 м. Создание СЗ-1 оценива</w:t>
      </w:r>
      <w:r w:rsidRPr="00E93F40">
        <w:rPr>
          <w:rFonts w:ascii="Times New Roman" w:hAnsi="Times New Roman"/>
          <w:color w:val="000000" w:themeColor="text1"/>
          <w:sz w:val="16"/>
          <w:szCs w:val="16"/>
        </w:rPr>
        <w:softHyphen/>
        <w:t>лось как значительное достижение, для оценки так</w:t>
      </w:r>
      <w:r w:rsidRPr="00E93F40">
        <w:rPr>
          <w:rFonts w:ascii="Times New Roman" w:hAnsi="Times New Roman"/>
          <w:color w:val="000000" w:themeColor="text1"/>
          <w:sz w:val="16"/>
          <w:szCs w:val="16"/>
        </w:rPr>
        <w:softHyphen/>
        <w:t>тических и эксплуатационных особенностей звена предлагалось построить эскадрилью таких самолетов. Далее предлагалось произвести установку на ТБ-1 двух истребителей И-5, а затем приступить к опытам по переливу горючего с ТБ-1 и ТБ-3 на И-4 и И-5 (23378).</w:t>
      </w:r>
    </w:p>
    <w:p w14:paraId="177CF114" w14:textId="77777777" w:rsidR="00E13DFF" w:rsidRPr="00E93F40" w:rsidRDefault="00E13DFF" w:rsidP="00E93F40">
      <w:pPr>
        <w:spacing w:after="0" w:line="240" w:lineRule="auto"/>
        <w:jc w:val="both"/>
        <w:rPr>
          <w:rFonts w:ascii="Times New Roman" w:hAnsi="Times New Roman"/>
          <w:color w:val="000000" w:themeColor="text1"/>
          <w:sz w:val="16"/>
          <w:szCs w:val="16"/>
        </w:rPr>
      </w:pPr>
    </w:p>
    <w:p w14:paraId="75A3F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июня 1932 в Москву из Ленинграда прибыл У.Нобиле, получивший предложение возглавить дирижаблестроение, и на следующий день встретился с ВОГВФ (1228,7).</w:t>
      </w:r>
    </w:p>
    <w:p w14:paraId="2D7294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BEB134" w14:textId="77777777" w:rsidR="0087389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1A0D122" w14:textId="77777777" w:rsidR="0087389B" w:rsidRPr="00E93F40" w:rsidRDefault="0087389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183FCDD"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июня 1932 г. — Доклад начальника ВМС РККА В. М. Орлова наркому по военным и морским делам СССР и председателю Реввоенсовета СССР К. Е. Ворошилову о выполнении промышленностью заказов УВМС на 10 июня 1932 г.</w:t>
      </w:r>
    </w:p>
    <w:p w14:paraId="7F887955"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31A3A3EC"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Судостроение</w:t>
      </w:r>
    </w:p>
    <w:p w14:paraId="6DD459E4" w14:textId="47C100F4"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п/л типа «Щука» для ДВ. Отправка первой лодки с Балтзавода произведена только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с опозданием на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дней против генер[ального] плана, причем лодка пошла в меньшем проценте готовности, чем предусматривалось планом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 эшелон с лодкой прошел благополучно Омск). Отправка второй лодки намечена на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 и третьей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 Сроки отправки остальных не установлены ввиду отсутствия окончательного решения о пункте достройки.</w:t>
      </w:r>
    </w:p>
    <w:p w14:paraId="068972C6"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происходящей задержкой в отправке корпусов лодок Союзверфью пересмотрен (в сторону увеличения) объем работ, подлежащих выполнению в Ленинграде. Этот объем предусматривает большую готовность установки изделий и дельных вещей корпуса, чем это требовалось генпланом постройки: так должны быть установлены приводы кингстонов и рулей, входные люки и двери, часть арматуры систем и пр. Это мероприятие, конечно, будет, способствовать существенному ускорению монтажных работ на Д[альнем] Востоке.</w:t>
      </w:r>
    </w:p>
    <w:p w14:paraId="6204BB9E" w14:textId="05A0BD0A"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лодок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будут готовы к отправке в указанном увеличенном объеме готовности. Положение с бесплановостью и некомплектностью выпуска арматуры остается без перемен.</w:t>
      </w:r>
    </w:p>
    <w:p w14:paraId="6A9E843F"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Коломенскому заводу и «Русскому дизелю» отставание от плана еще более увеличивается. Причиной прорыва является большой брак литья, недоброкачественная механич[еская] обработка деталей, плохое снабжение заводов материалами и слабая организация производства.</w:t>
      </w:r>
    </w:p>
    <w:p w14:paraId="5E445BA6" w14:textId="677390B4"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вспомогат[ельным] механизмам под явной угрозой срыва сроков изготовления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турбокомпрессоры на Северной Верфи: «Красный Путиловец» не выполняет распоряжения т.</w:t>
      </w:r>
      <w:r w:rsidR="007C1411" w:rsidRPr="00E93F40">
        <w:rPr>
          <w:rFonts w:ascii="Times New Roman" w:hAnsi="Times New Roman"/>
          <w:color w:val="000000" w:themeColor="text1"/>
          <w:sz w:val="16"/>
          <w:szCs w:val="16"/>
        </w:rPr>
        <w:t xml:space="preserve"> </w:t>
      </w:r>
      <w:hyperlink r:id="rId122" w:history="1">
        <w:r w:rsidRPr="00E93F40">
          <w:rPr>
            <w:rStyle w:val="a5"/>
            <w:rFonts w:ascii="Times New Roman" w:hAnsi="Times New Roman"/>
            <w:color w:val="000000" w:themeColor="text1"/>
            <w:sz w:val="16"/>
            <w:szCs w:val="16"/>
            <w:u w:val="none"/>
          </w:rPr>
          <w:t>Павлуновского</w:t>
        </w:r>
      </w:hyperlink>
      <w:r w:rsidRPr="00E93F40">
        <w:rPr>
          <w:rFonts w:ascii="Times New Roman" w:hAnsi="Times New Roman"/>
          <w:color w:val="000000" w:themeColor="text1"/>
          <w:sz w:val="16"/>
          <w:szCs w:val="16"/>
        </w:rPr>
        <w:t xml:space="preserve"> (от 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128</w:t>
      </w:r>
      <w:r w:rsidRPr="00E93F40">
        <w:rPr>
          <w:rFonts w:ascii="Times New Roman" w:hAnsi="Times New Roman"/>
          <w:color w:val="000000" w:themeColor="text1"/>
          <w:sz w:val="16"/>
          <w:szCs w:val="16"/>
        </w:rPr>
        <w:noBreakHyphen/>
        <w:t>сс) и не приступает до сих пор к поковке валов и дисков для этих механизмов. Изготовление остальных вспомогательных механизмов, хотя и идет с опозданием против сроков (помпы «Рато», поршневые помпы, подшипники Митчелла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но большого опасения не вызывают.</w:t>
      </w:r>
    </w:p>
    <w:p w14:paraId="7F7CC552" w14:textId="62D63BF3"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Остается совершенно неудовлетворительным положение с воздухохранителями на заводе 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Либкнехта. Прокатанные Мариупольским заводом заготовки (трубы) оказались не отвечающими техническим условиям по своим механическим качествам. НКТП не принимает достаточно энергичных мер к понуждению южных заводов форсировать этот заказ.</w:t>
      </w:r>
    </w:p>
    <w:p w14:paraId="70AAC8B5" w14:textId="2740A252"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Срываются сроки заводом 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Маркса: по изготовлению минных компрессоров завод не сдал еще ни одного компрессора против намеченных майским планом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неудовлетворительны также темпы завода по изготовлению торпедных аппаратов и боевых клапанов (брак литья и медленной обработки).</w:t>
      </w:r>
    </w:p>
    <w:p w14:paraId="62E2B393" w14:textId="2A575EE6"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Изготовление и подача электротехнического оборудования и изделий продолжает идти удовлетворительно и возникает даже опасение о недостатке, из-за задержки отправки корпусов и монтажа их на ДВ, свободных складских площадей для хранения готовой продукции (аккумуляторы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2E0FF6EE" w14:textId="5F491248"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 перископами на заводах ВООМПа остается неудовлетворительным: майская программа выполнена на 17%, необходимого темпа на заводе ГАЗ не создано, несмотря на категорический приказ зам. наркома т[яжелой] промышленности]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Павлуновского о работе в три смены.</w:t>
      </w:r>
    </w:p>
    <w:p w14:paraId="3580CAD9" w14:textId="6A29C273"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Подводные лодки VI серии²*, 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Бюро по проектированию на НГЗ работы развернуло удовлетворительно. Корпусная сталь из-за границы отгружается вместо конца апреля лишь в середине июня, что позволит заложить лодки лишь в начале июля. Планировка всей постройки, утвержденная наркомом тяжелой промышленности, не соответствует заданиям правительства и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только в лучшем случае возможно ожидать сдачи на ДВ 3</w:t>
      </w:r>
      <w:r w:rsidRPr="00E93F40">
        <w:rPr>
          <w:rFonts w:ascii="Times New Roman" w:hAnsi="Times New Roman"/>
          <w:color w:val="000000" w:themeColor="text1"/>
          <w:sz w:val="16"/>
          <w:szCs w:val="16"/>
        </w:rPr>
        <w:noBreakHyphen/>
        <w:t>х ед., а все остальные лодки смогут вступить в строй лишь весной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28F2BE20" w14:textId="59A76D61"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Подводные лодки VII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серии,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Приступлено лишь к выпуску корпусных чертежей с учетом требований, предъявленных УВМС к этой серии судов. Размещение заказов по заводам-контрагентам не произведено. Заготовка корпусного материала, поковок, отливок производится лишь Балтзаводом на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судна. Конкретного плана работ судостроительные заводы еще не разработали, что угрожает невыполнением сроков подачи весной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или во всяком случае создаст неизбежную горячку с выпуском судов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намеченные сроки.</w:t>
      </w:r>
    </w:p>
    <w:p w14:paraId="03749C8F" w14:textId="2530D84A"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Подводные лодки II и III серии на Балтводе. Головные суда обеих серий «Ленинец»³* и «Щука» намечены к вводу в док лишь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 со сроком докования до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суток. Темп достройки остальных судов неудовлетворителен из-за намечающегося срыва сроков докования судов, и имеются вполне определенные опасения за неподачу в текущем году последних судов обеих серий.</w:t>
      </w:r>
    </w:p>
    <w:p w14:paraId="2BA6BFA4"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Подводные лодки II серии на НГЗ. Первая подлодка «Гарибальдиец» намечена к подаче на заводские испытания в конце июня. Работы по остальным ведутся недостаточным темпом (последняя «Чартист» еще не спущена на воду): для «Чартиста» Коломзаводом еще не поданы главные дизели.</w:t>
      </w:r>
    </w:p>
    <w:p w14:paraId="3712B811" w14:textId="2D65B1C6"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Подводные лодки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серии. Работа на этих лодках, за исключением гребных валов и баллеров рулей, в мае по-прежнему не производилась ни в цехах, ни на стапелях. Общий проект Союзверфью до сего времени мне не доложен. Вопрос о запасах прочности конструкций корпуса после консультации акад.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Крылова будет разрешен изготовлением и испытанием опытного отсека около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42C3492" w14:textId="0C2E174D"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Эсминцы типа «Ленинград». Положение в основном остается без перемен. Отсутствие корпусной стали явно срывает установленный срок закладки кораблей. С импорта поступили лишь лопаточный материал, обода зубчатых передач и котельные трубки. Находятся в пути отгруженные с завода «Баррикады» болванки для поковки роторов на одну турбину. Приказы НКТП в отношении легированных поковок и стального литья заводами «Красный Путиловец» и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Ленина не выполняются.</w:t>
      </w:r>
    </w:p>
    <w:p w14:paraId="0EE9C16C" w14:textId="7BA1827D"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Сторсуда 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серии. Постройка корпусов продолжается нормально. По-прежнему основные затруднения в постройке: неподаче поковок роторов турбин («Большевик»), цельнокованых ободов зубчатых передач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Дзержинского) и легированных поковок («Красный Путиловец»); заводы не выполняют изданного НКТП приказа.</w:t>
      </w:r>
    </w:p>
    <w:p w14:paraId="38AE13CB" w14:textId="76E8E8C8"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Линкор «Октябрьская революция». Корабль подготавливается к выходу на ходовые испытания около 15</w:t>
      </w:r>
      <w:r w:rsidRPr="00E93F40">
        <w:rPr>
          <w:rFonts w:ascii="Times New Roman" w:hAnsi="Times New Roman"/>
          <w:color w:val="000000" w:themeColor="text1"/>
          <w:sz w:val="16"/>
          <w:szCs w:val="16"/>
        </w:rPr>
        <w:noBreakHyphen/>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 Работы ведутся достаточно напряженным темпом. Отмечаю игнорирование Ленинградским торговым портом своевременного предупреждения УВМС о подготовке ледокола для отбуксирования линкора в Кронштадт; ледокол «Трувор» ЛТП был поставлен в ремонт с разборкой механизмов и только при нажиме областкома ВКП(б) обязали ЛТП ввести в строй указанный ледокол.</w:t>
      </w:r>
    </w:p>
    <w:p w14:paraId="093A1822" w14:textId="1E70D44F"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Торпедные катера. В кампанию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спланирована сдача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катеров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серии, шести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серии и шести 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серии. Подача задерживается изготовлением гребных валов и винтов, коими не обеспечены полностью IV и 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серии и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катеров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серии. Чрезвычайно медленно идет изготовление первых образцов моторов ГМ</w:t>
      </w:r>
      <w:r w:rsidRPr="00E93F40">
        <w:rPr>
          <w:rFonts w:ascii="Times New Roman" w:hAnsi="Times New Roman"/>
          <w:color w:val="000000" w:themeColor="text1"/>
          <w:sz w:val="16"/>
          <w:szCs w:val="16"/>
        </w:rPr>
        <w:noBreakHyphen/>
        <w:t>34 для последующих серий торпедных катеров, что ставит под угрозу обеспеченность дальнейшего строительства торпедных катеров в конце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4BC8B79"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Вооружение</w:t>
      </w:r>
    </w:p>
    <w:p w14:paraId="203F6080" w14:textId="5094729C"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Заказ на 356</w:t>
      </w:r>
      <w:r w:rsidRPr="00E93F40">
        <w:rPr>
          <w:rFonts w:ascii="Times New Roman" w:hAnsi="Times New Roman"/>
          <w:color w:val="000000" w:themeColor="text1"/>
          <w:sz w:val="16"/>
          <w:szCs w:val="16"/>
        </w:rPr>
        <w:noBreakHyphen/>
        <w:t>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к[алибра] железнодорожные установки</w:t>
      </w:r>
    </w:p>
    <w:p w14:paraId="3A65C32D" w14:textId="4C99A7B1"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6 установок со сроками: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Первая установка собрана. Заводские испытания механизмов произведены в период 11</w:t>
      </w:r>
      <w:r w:rsidRPr="00E93F40">
        <w:rPr>
          <w:rFonts w:ascii="Times New Roman" w:hAnsi="Times New Roman"/>
          <w:color w:val="000000" w:themeColor="text1"/>
          <w:sz w:val="16"/>
          <w:szCs w:val="16"/>
        </w:rPr>
        <w:noBreakHyphen/>
        <w:t>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Результаты удовлетворительные. Отстрел системы на полигоне закончен, результаты удовлетворительны. Ведется подготовка постоянной позиции. Испытания на позиции намечены в июле.</w:t>
      </w:r>
    </w:p>
    <w:p w14:paraId="6CFD636C" w14:textId="09E174BB"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остальным транспортерам отмечается отставание в поставке поковок и литья. Надлежало подать: «Красный Путиловец»</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 компл[екта] крупных поковок, изготовлено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 завод Ленина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 комплекта стальных отливок, изготовлено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 завод Сталина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стальных отливок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 изготовлено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 на Лен[инградском] мет[аллическом] заводе отстает сборка главной балки и лафета для 2</w:t>
      </w:r>
      <w:r w:rsidRPr="00E93F40">
        <w:rPr>
          <w:rFonts w:ascii="Times New Roman" w:hAnsi="Times New Roman"/>
          <w:color w:val="000000" w:themeColor="text1"/>
          <w:sz w:val="16"/>
          <w:szCs w:val="16"/>
        </w:rPr>
        <w:noBreakHyphen/>
        <w:t>й установки.</w:t>
      </w:r>
    </w:p>
    <w:p w14:paraId="4FDC0A6A"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отмечалось в предыдущем докладе. Харьковский электромеханический завод все время запаздывает в поставке заказанного оборудования. Показательным примером служит только что испытанная первая установка, для которой до сих пор не получены генератор силовой станции и моторы для компрессора, что задерживает полную готовность системы. Качество поставляемой ХЭМЗом продукции неудовлетворительно.</w:t>
      </w:r>
    </w:p>
    <w:p w14:paraId="478858CD"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Задерживается изготовление вагонов под погреба. Необходимо распоряжение НКПСу подать десять 50</w:t>
      </w:r>
      <w:r w:rsidRPr="00E93F40">
        <w:rPr>
          <w:rFonts w:ascii="Times New Roman" w:hAnsi="Times New Roman"/>
          <w:color w:val="000000" w:themeColor="text1"/>
          <w:sz w:val="16"/>
          <w:szCs w:val="16"/>
        </w:rPr>
        <w:noBreakHyphen/>
        <w:t>тонных четырехосных вагонов на Пролетарский завод для переделки их по уже имеемым образцам. К изготовлению брони для вагонов-погребов Ижорским заводом еще не приступлено.</w:t>
      </w:r>
    </w:p>
    <w:p w14:paraId="54C39793" w14:textId="6CDBA1E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Заказ на 305</w:t>
      </w:r>
      <w:r w:rsidRPr="00E93F40">
        <w:rPr>
          <w:rFonts w:ascii="Times New Roman" w:hAnsi="Times New Roman"/>
          <w:color w:val="000000" w:themeColor="text1"/>
          <w:sz w:val="16"/>
          <w:szCs w:val="16"/>
        </w:rPr>
        <w:noBreakHyphen/>
        <w:t>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[калибра] железнодорожные установки</w:t>
      </w:r>
    </w:p>
    <w:p w14:paraId="6E9AB9D7" w14:textId="41A3BD0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 изготовлению транспортеров НГЗ еще не приступлено. На заводе ведется проработка технологического процесса, но слишком медленно. Качающиеся части на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установок на НГЗ поданы. Группа инженера </w:t>
      </w:r>
      <w:hyperlink r:id="rId123" w:history="1">
        <w:r w:rsidRPr="00E93F40">
          <w:rPr>
            <w:rStyle w:val="a5"/>
            <w:rFonts w:ascii="Times New Roman" w:hAnsi="Times New Roman"/>
            <w:color w:val="000000" w:themeColor="text1"/>
            <w:sz w:val="16"/>
            <w:szCs w:val="16"/>
            <w:u w:val="none"/>
          </w:rPr>
          <w:t>Дукельского</w:t>
        </w:r>
      </w:hyperlink>
      <w:r w:rsidRPr="00E93F40">
        <w:rPr>
          <w:rFonts w:ascii="Times New Roman" w:hAnsi="Times New Roman"/>
          <w:color w:val="000000" w:themeColor="text1"/>
          <w:sz w:val="16"/>
          <w:szCs w:val="16"/>
        </w:rPr>
        <w:t xml:space="preserve"> еще на завод не переехала. Сроки НГЗ не выдерживаются.</w:t>
      </w:r>
    </w:p>
    <w:p w14:paraId="40D86C56" w14:textId="682E3DCC"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Заказ на переделку и монтаж двух,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 305</w:t>
      </w:r>
      <w:r w:rsidRPr="00E93F40">
        <w:rPr>
          <w:rFonts w:ascii="Times New Roman" w:hAnsi="Times New Roman"/>
          <w:color w:val="000000" w:themeColor="text1"/>
          <w:sz w:val="16"/>
          <w:szCs w:val="16"/>
        </w:rPr>
        <w:noBreakHyphen/>
        <w:t>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к[алибра] башен для б[ереговой] о[бороны]</w:t>
      </w:r>
    </w:p>
    <w:p w14:paraId="49C0E334" w14:textId="75AF4D1C"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Демонтаж башен л/к «Фрунзе» выполнен на 95%. Работы задерживаются Ижорским заводом по разборке брони. Заказ на изготовление броневой защиты башен Ижорским заводом принят, но фактически работы еще не начались. Срок поставки неподвижной брони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может быть сорван. Поставка электрооборудования к срокам по-прежнему вызывает сомнения. Необходимые для монтажа башен краны берутся с бат[ареи]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35 Черного моря и форта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 Балтморя, к работам по разборке кранов для перевозки приступлено.</w:t>
      </w:r>
    </w:p>
    <w:p w14:paraId="07D91211"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4. 180</w:t>
      </w:r>
      <w:r w:rsidRPr="00E93F40">
        <w:rPr>
          <w:rFonts w:ascii="Times New Roman" w:hAnsi="Times New Roman"/>
          <w:color w:val="000000" w:themeColor="text1"/>
          <w:sz w:val="16"/>
          <w:szCs w:val="16"/>
        </w:rPr>
        <w:noBreakHyphen/>
        <w:t>мм железнодорожные транспортеры</w:t>
      </w:r>
    </w:p>
    <w:p w14:paraId="2D96D74A" w14:textId="49E48B15"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сроки.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Разработка проекта закончена. Ведется разработка рабочих чертежей и заготовка материала на ЛМЗ, но сроки готовности под угрозой срыва. К работам на НГЗ не приступлено. НКТП не обеспечил выполнение данного заказа на заводах промышленности.</w:t>
      </w:r>
    </w:p>
    <w:p w14:paraId="0ECE05CE"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5. 180</w:t>
      </w:r>
      <w:r w:rsidRPr="00E93F40">
        <w:rPr>
          <w:rFonts w:ascii="Times New Roman" w:hAnsi="Times New Roman"/>
          <w:color w:val="000000" w:themeColor="text1"/>
          <w:sz w:val="16"/>
          <w:szCs w:val="16"/>
        </w:rPr>
        <w:noBreakHyphen/>
        <w:t>мм открытые установки</w:t>
      </w:r>
    </w:p>
    <w:p w14:paraId="10C17419" w14:textId="0EDA7600"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Изготовление орудийных тел на заводе «Большевик» продолжает отставать от плана. Должно было быть термически обработано: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труб, выполнено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 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цилиндров, выполнено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 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кожухов, выполнено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w:t>
      </w:r>
    </w:p>
    <w:p w14:paraId="688FA8C3" w14:textId="626A351F"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Казенников по плану подлежало отлить, отковать и отжечь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не выполнено ни одного. Только в мае месяце НКТП дано приказание Ижорскому заводу к изготовлению поковок для казенников. То же и по изготовлению качающихся частей: надлежало по плану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секторов, изготовлено 0. К изготовлению электрооборудования для 180</w:t>
      </w:r>
      <w:r w:rsidRPr="00E93F40">
        <w:rPr>
          <w:rFonts w:ascii="Times New Roman" w:hAnsi="Times New Roman"/>
          <w:color w:val="000000" w:themeColor="text1"/>
          <w:sz w:val="16"/>
          <w:szCs w:val="16"/>
        </w:rPr>
        <w:noBreakHyphen/>
        <w:t>мм батарей не приступлено. ВЭО работы не начаты.</w:t>
      </w:r>
    </w:p>
    <w:p w14:paraId="6A4A3E31" w14:textId="42DBB65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6-дюймовая/47 [калибра] артиллерия на мех[анической] тяге</w:t>
      </w:r>
    </w:p>
    <w:p w14:paraId="3D40D995" w14:textId="7C0E370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66 систем. Сроки: 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Заказ промышленностью не принят до получения опытного образца, изготовленного на заводе «Большевик». Орудие в мае подано на отстрел и в настоящее время проходит испытание на полигоне, также приступлено к изготовлению опытного лафета, срок готовности намечается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7BE805A9" w14:textId="084E92F9"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130 [мм]/45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[калибра] морские системы</w:t>
      </w:r>
    </w:p>
    <w:p w14:paraId="0F2E311D" w14:textId="1E8AF959"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21 система. Сроки: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сентября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будет подано 7 систем, остальные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середине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сомнений заказ не вызывает.</w:t>
      </w:r>
    </w:p>
    <w:p w14:paraId="7A1EDDCE" w14:textId="2E98C979"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100 [мм]/50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[калибра] зенитные системы</w:t>
      </w:r>
    </w:p>
    <w:p w14:paraId="0D30117D" w14:textId="5A13C0D5"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6 систем. Сроки: 2 образца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Заводом «Большевик» сроки не выдерживаются. НКТП предложил ВОАО подать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системы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81BA063" w14:textId="2A518F48"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76[мм]/55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[калибра] зенитные системы</w:t>
      </w:r>
    </w:p>
    <w:p w14:paraId="26E49D61" w14:textId="2C37F28D"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152 системы. Срок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Заявка передана АУ, заказ выполняется заводом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Существующая мощность завода не удовлетворяет потребности РККА в целом. Проект тумбы для установки на кораблях указанной системы закончен на заводе «Большевик», но еще не передан заводу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w:t>
      </w:r>
    </w:p>
    <w:p w14:paraId="2B765A8C" w14:textId="121B8CB3"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45</w:t>
      </w:r>
      <w:r w:rsidRPr="00E93F40">
        <w:rPr>
          <w:rFonts w:ascii="Times New Roman" w:hAnsi="Times New Roman"/>
          <w:color w:val="000000" w:themeColor="text1"/>
          <w:sz w:val="16"/>
          <w:szCs w:val="16"/>
        </w:rPr>
        <w:noBreakHyphen/>
        <w:t>мм и 37</w:t>
      </w:r>
      <w:r w:rsidRPr="00E93F40">
        <w:rPr>
          <w:rFonts w:ascii="Times New Roman" w:hAnsi="Times New Roman"/>
          <w:color w:val="000000" w:themeColor="text1"/>
          <w:sz w:val="16"/>
          <w:szCs w:val="16"/>
        </w:rPr>
        <w:noBreakHyphen/>
        <w:t>мм полуавтоматы</w:t>
      </w:r>
    </w:p>
    <w:p w14:paraId="767C6B32" w14:textId="6F44439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37</w:t>
      </w:r>
      <w:r w:rsidRPr="00E93F40">
        <w:rPr>
          <w:rFonts w:ascii="Times New Roman" w:hAnsi="Times New Roman"/>
          <w:color w:val="000000" w:themeColor="text1"/>
          <w:sz w:val="16"/>
          <w:szCs w:val="16"/>
        </w:rPr>
        <w:noBreakHyphen/>
        <w:t>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17, 45</w:t>
      </w:r>
      <w:r w:rsidRPr="00E93F40">
        <w:rPr>
          <w:rFonts w:ascii="Times New Roman" w:hAnsi="Times New Roman"/>
          <w:color w:val="000000" w:themeColor="text1"/>
          <w:sz w:val="16"/>
          <w:szCs w:val="16"/>
        </w:rPr>
        <w:noBreakHyphen/>
        <w:t>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60. Срок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по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все системы. Начало подачи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заводами «Большевик» 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не будут выдержаны. НКТП дал приказание ВОАО выдержать сроки, обеспечивающие вступление в строй подводных лодок.</w:t>
      </w:r>
    </w:p>
    <w:p w14:paraId="1E29622A"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11. 37</w:t>
      </w:r>
      <w:r w:rsidRPr="00E93F40">
        <w:rPr>
          <w:rFonts w:ascii="Times New Roman" w:hAnsi="Times New Roman"/>
          <w:color w:val="000000" w:themeColor="text1"/>
          <w:sz w:val="16"/>
          <w:szCs w:val="16"/>
        </w:rPr>
        <w:noBreakHyphen/>
        <w:t>мм автоматы</w:t>
      </w:r>
    </w:p>
    <w:p w14:paraId="34A7A89F" w14:textId="03EBAD90"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Сроки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1932-1933 гг. Получение автоматов зависит от готовности опытных образцов АУ, Образец в настоящее время проходит только заводское испытание.</w:t>
      </w:r>
    </w:p>
    <w:p w14:paraId="1EFC9A8E"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Броня</w:t>
      </w:r>
    </w:p>
    <w:p w14:paraId="5BC1F54D" w14:textId="54982EAE"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Требуется около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Назначение: башенные, железнодорожные и открытые установки, рубки, командные посты и прикрытие элеваторных шахт. Заказ на всю броню выдан Ижорскому заводу. Завод договора па изготовление брони не заключил и только теперь согласно категорическому приказанию НКТП приступил к согласованию договора. Частично завод приступил к выполнению заказа. Сроки не выдерживаются. Необходимо НКТП форсировать пуск Мариупольского завода.</w:t>
      </w:r>
    </w:p>
    <w:p w14:paraId="3AEC8242"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Снарядное производство</w:t>
      </w:r>
    </w:p>
    <w:p w14:paraId="1E4DFE69" w14:textId="008253D3"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356</w:t>
      </w:r>
      <w:r w:rsidRPr="00E93F40">
        <w:rPr>
          <w:rFonts w:ascii="Times New Roman" w:hAnsi="Times New Roman"/>
          <w:color w:val="000000" w:themeColor="text1"/>
          <w:sz w:val="16"/>
          <w:szCs w:val="16"/>
        </w:rPr>
        <w:noBreakHyphen/>
        <w:t>мм бронебойные и фугасные снаряды. Требуется 420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фугасных, 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бронебойных. Фугасные снаряды изготовляет завод «Профинтерн». Изготовление на заводе начато впервые после 1914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Бронебойные снаряды по распоряжению НКТП приняты заводом «Большевик», но с доделкой готовых поковок, которые являются заготовкой военного времени. Качество самих заготовок вызывает сомнение, и снаряды будут проверяться стрельбой на полигоне в конце июня, после чего и будет решен вопрос об их годности;</w:t>
      </w:r>
    </w:p>
    <w:p w14:paraId="3125D338" w14:textId="3704AF3E"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305</w:t>
      </w:r>
      <w:r w:rsidRPr="00E93F40">
        <w:rPr>
          <w:rFonts w:ascii="Times New Roman" w:hAnsi="Times New Roman"/>
          <w:color w:val="000000" w:themeColor="text1"/>
          <w:sz w:val="16"/>
          <w:szCs w:val="16"/>
        </w:rPr>
        <w:noBreakHyphen/>
        <w:t>мм фугасные и бронебойные снаряды. Требуется: фугасных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900, бронебойных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460. Бронебойные снаряды изготовляет завод «Большевик». По плану должно быть подано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заготовок, но еще ничего не подано. Фугасные снаряды изготовляет завод «Профинтерн», сроки приняты;</w:t>
      </w:r>
    </w:p>
    <w:p w14:paraId="1324D35A" w14:textId="3622F178"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180</w:t>
      </w:r>
      <w:r w:rsidRPr="00E93F40">
        <w:rPr>
          <w:rFonts w:ascii="Times New Roman" w:hAnsi="Times New Roman"/>
          <w:color w:val="000000" w:themeColor="text1"/>
          <w:sz w:val="16"/>
          <w:szCs w:val="16"/>
        </w:rPr>
        <w:noBreakHyphen/>
        <w:t>мм фугасные и бронебойные снаряды. Требуется: фугасных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бронебойных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практич[еских]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Срок 1932</w:t>
      </w:r>
      <w:r w:rsidRPr="00E93F40">
        <w:rPr>
          <w:rFonts w:ascii="Times New Roman" w:hAnsi="Times New Roman"/>
          <w:color w:val="000000" w:themeColor="text1"/>
          <w:sz w:val="16"/>
          <w:szCs w:val="16"/>
        </w:rPr>
        <w:noBreakHyphen/>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Бронебойные снаряды приняты заводом «Большевик». По плану должно быть подано 400 заготовок, подано же 225. Фугасные снаряды по распоряжению НКТП должен изготовлять завод «Верхняя Тура», договор представлен, но завод выполняет такие снаряды впервые и есть опасения за срыв сроков;</w:t>
      </w:r>
    </w:p>
    <w:p w14:paraId="06CCEC88" w14:textId="2D1802BC"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w:t>
      </w:r>
      <w:r w:rsidRPr="00E93F40">
        <w:rPr>
          <w:rFonts w:ascii="Times New Roman" w:hAnsi="Times New Roman"/>
          <w:color w:val="000000" w:themeColor="text1"/>
          <w:sz w:val="16"/>
          <w:szCs w:val="16"/>
        </w:rPr>
        <w:noBreakHyphen/>
        <w:t>дюймовые фугасные снаряды. Требуется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Срок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Заказ размещен: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заводе «Профинтерн» и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63. Срок не вызывает сомнений;</w:t>
      </w:r>
    </w:p>
    <w:p w14:paraId="7E9ABFCB" w14:textId="1C9237CC"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130</w:t>
      </w:r>
      <w:r w:rsidRPr="00E93F40">
        <w:rPr>
          <w:rFonts w:ascii="Times New Roman" w:hAnsi="Times New Roman"/>
          <w:color w:val="000000" w:themeColor="text1"/>
          <w:sz w:val="16"/>
          <w:szCs w:val="16"/>
        </w:rPr>
        <w:noBreakHyphen/>
        <w:t>мм и 120</w:t>
      </w:r>
      <w:r w:rsidRPr="00E93F40">
        <w:rPr>
          <w:rFonts w:ascii="Times New Roman" w:hAnsi="Times New Roman"/>
          <w:color w:val="000000" w:themeColor="text1"/>
          <w:sz w:val="16"/>
          <w:szCs w:val="16"/>
        </w:rPr>
        <w:noBreakHyphen/>
        <w:t>мм снаряды. НКТП выделил два завода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Азовско-Черноморский и «Коминтерн», но заводы изготовляют впервые и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едва ли могут начать валовое производство;</w:t>
      </w:r>
    </w:p>
    <w:p w14:paraId="11BCDD43" w14:textId="512844AA"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остальным калибрам состояние заказов удовлетворительное.</w:t>
      </w:r>
    </w:p>
    <w:p w14:paraId="15811967"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Порох, взрывчатые вещества, взрыватели и трубки</w:t>
      </w:r>
    </w:p>
    <w:p w14:paraId="14B83187" w14:textId="3E9C1072"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порох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состояние заказа удовлетворительное;</w:t>
      </w:r>
    </w:p>
    <w:p w14:paraId="7950C8DA" w14:textId="017C417F"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тротил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заказ принят, но мощности заводов недостаточны. Выполнение идет с недоделом до 40%;</w:t>
      </w:r>
    </w:p>
    <w:p w14:paraId="2B3657F8" w14:textId="0DA75A69"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снаряжение снарядов и мин принято полностью, вызывают сомнение сроки снаряжения, так как намечено снятие с заказа УВМС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тротила;</w:t>
      </w:r>
    </w:p>
    <w:p w14:paraId="5ED999D6" w14:textId="33A27091"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взрыватели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заказы на корпуса размещены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42, «Фридриха Энгельса» и «Прогресс». Производство заводами освоено (на заводе «Прогресс» раньше был большой брак). Снаряжение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заводах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 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 Производство не освоено,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 не могут добиться получения капсюлей (преждевременные разрывы). С заводом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 поданные взрыватели на испытание такового не выдержали. Положение катастрофическое, так как имеемые на вооружении взрыватели приходят в негодность и отказывают в действии. Налаживание изготовления взрывателей тянется уже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w:t>
      </w:r>
    </w:p>
    <w:p w14:paraId="5CEF914A" w14:textId="1BF15B05"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трубки (воспламенительные и дистанционные). По 19</w:t>
      </w:r>
      <w:r w:rsidRPr="00E93F40">
        <w:rPr>
          <w:rFonts w:ascii="Times New Roman" w:hAnsi="Times New Roman"/>
          <w:color w:val="000000" w:themeColor="text1"/>
          <w:sz w:val="16"/>
          <w:szCs w:val="16"/>
        </w:rPr>
        <w:noBreakHyphen/>
        <w:t>секундной трубке предъявлена только опытная партия. Валовой сдачи еще нет. В остальном изготовление идет нормально.</w:t>
      </w:r>
    </w:p>
    <w:p w14:paraId="6DA5A8F5"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Приборы управления артогнем</w:t>
      </w:r>
    </w:p>
    <w:p w14:paraId="074FC07C"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Закончены разработкой схемы расположения приборов и схемы стрельбы для 356</w:t>
      </w:r>
      <w:r w:rsidRPr="00E93F40">
        <w:rPr>
          <w:rFonts w:ascii="Times New Roman" w:hAnsi="Times New Roman"/>
          <w:color w:val="000000" w:themeColor="text1"/>
          <w:sz w:val="16"/>
          <w:szCs w:val="16"/>
        </w:rPr>
        <w:noBreakHyphen/>
        <w:t>мм, 305</w:t>
      </w:r>
      <w:r w:rsidRPr="00E93F40">
        <w:rPr>
          <w:rFonts w:ascii="Times New Roman" w:hAnsi="Times New Roman"/>
          <w:color w:val="000000" w:themeColor="text1"/>
          <w:sz w:val="16"/>
          <w:szCs w:val="16"/>
        </w:rPr>
        <w:noBreakHyphen/>
        <w:t>мм железнодорожных и 180</w:t>
      </w:r>
      <w:r w:rsidRPr="00E93F40">
        <w:rPr>
          <w:rFonts w:ascii="Times New Roman" w:hAnsi="Times New Roman"/>
          <w:color w:val="000000" w:themeColor="text1"/>
          <w:sz w:val="16"/>
          <w:szCs w:val="16"/>
        </w:rPr>
        <w:noBreakHyphen/>
        <w:t>мм откр[ытых] батарей, по 305</w:t>
      </w:r>
      <w:r w:rsidRPr="00E93F40">
        <w:rPr>
          <w:rFonts w:ascii="Times New Roman" w:hAnsi="Times New Roman"/>
          <w:color w:val="000000" w:themeColor="text1"/>
          <w:sz w:val="16"/>
          <w:szCs w:val="16"/>
        </w:rPr>
        <w:noBreakHyphen/>
        <w:t>мм баш[енным] и 180</w:t>
      </w:r>
      <w:r w:rsidRPr="00E93F40">
        <w:rPr>
          <w:rFonts w:ascii="Times New Roman" w:hAnsi="Times New Roman"/>
          <w:color w:val="000000" w:themeColor="text1"/>
          <w:sz w:val="16"/>
          <w:szCs w:val="16"/>
        </w:rPr>
        <w:noBreakHyphen/>
        <w:t>мм железнодорожным батареям в разработке. Приборы ТАД и КАД пущены и производство, по опытным приборам ГБД и АПК ведутся проектные работы. Сроки завод обязуется выполнить при условии получения им импортного оборудования, материалами и инструментом.</w:t>
      </w:r>
    </w:p>
    <w:p w14:paraId="199803BB" w14:textId="6974FCE4"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передать группу специалистов из ВООМПа (</w:t>
      </w:r>
      <w:hyperlink r:id="rId124" w:history="1">
        <w:r w:rsidRPr="00E93F40">
          <w:rPr>
            <w:rStyle w:val="a5"/>
            <w:rFonts w:ascii="Times New Roman" w:hAnsi="Times New Roman"/>
            <w:color w:val="000000" w:themeColor="text1"/>
            <w:sz w:val="16"/>
            <w:szCs w:val="16"/>
            <w:u w:val="none"/>
          </w:rPr>
          <w:t>Перепелкин</w:t>
        </w:r>
      </w:hyperlink>
      <w:r w:rsidRPr="00E93F40">
        <w:rPr>
          <w:rFonts w:ascii="Times New Roman" w:hAnsi="Times New Roman"/>
          <w:color w:val="000000" w:themeColor="text1"/>
          <w:sz w:val="16"/>
          <w:szCs w:val="16"/>
        </w:rPr>
        <w:t xml:space="preserve">, </w:t>
      </w:r>
      <w:hyperlink r:id="rId125" w:history="1">
        <w:r w:rsidRPr="00E93F40">
          <w:rPr>
            <w:rStyle w:val="a5"/>
            <w:rFonts w:ascii="Times New Roman" w:hAnsi="Times New Roman"/>
            <w:color w:val="000000" w:themeColor="text1"/>
            <w:sz w:val="16"/>
            <w:szCs w:val="16"/>
            <w:u w:val="none"/>
          </w:rPr>
          <w:t>Чехович</w:t>
        </w:r>
      </w:hyperlink>
      <w:r w:rsidRPr="00E93F40">
        <w:rPr>
          <w:rFonts w:ascii="Times New Roman" w:hAnsi="Times New Roman"/>
          <w:color w:val="000000" w:themeColor="text1"/>
          <w:sz w:val="16"/>
          <w:szCs w:val="16"/>
        </w:rPr>
        <w:t xml:space="preserve">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 на завод «Электроприбор»;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приступить немедленно к постройке нового завода изготовления морских ПУАО, ЦН навигационных приборов и гироскопии.</w:t>
      </w:r>
    </w:p>
    <w:p w14:paraId="77D3D6A0" w14:textId="276AA2C2"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Оптика</w:t>
      </w:r>
    </w:p>
    <w:p w14:paraId="14DDB316" w14:textId="31AFB784"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Дальномеры ВООМПом приняты: 8</w:t>
      </w:r>
      <w:r w:rsidRPr="00E93F40">
        <w:rPr>
          <w:rFonts w:ascii="Times New Roman" w:hAnsi="Times New Roman"/>
          <w:color w:val="000000" w:themeColor="text1"/>
          <w:sz w:val="16"/>
          <w:szCs w:val="16"/>
        </w:rPr>
        <w:noBreakHyphen/>
        <w:t>метр[овые] стереодальномеры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6</w:t>
      </w:r>
      <w:r w:rsidRPr="00E93F40">
        <w:rPr>
          <w:rFonts w:ascii="Times New Roman" w:hAnsi="Times New Roman"/>
          <w:color w:val="000000" w:themeColor="text1"/>
          <w:sz w:val="16"/>
          <w:szCs w:val="16"/>
        </w:rPr>
        <w:noBreakHyphen/>
        <w:t>метр[овые] стереодальномеры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4</w:t>
      </w:r>
      <w:r w:rsidRPr="00E93F40">
        <w:rPr>
          <w:rFonts w:ascii="Times New Roman" w:hAnsi="Times New Roman"/>
          <w:color w:val="000000" w:themeColor="text1"/>
          <w:sz w:val="16"/>
          <w:szCs w:val="16"/>
        </w:rPr>
        <w:noBreakHyphen/>
        <w:t>метр[овые] стереодальномеры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3</w:t>
      </w:r>
      <w:r w:rsidRPr="00E93F40">
        <w:rPr>
          <w:rFonts w:ascii="Times New Roman" w:hAnsi="Times New Roman"/>
          <w:color w:val="000000" w:themeColor="text1"/>
          <w:sz w:val="16"/>
          <w:szCs w:val="16"/>
        </w:rPr>
        <w:noBreakHyphen/>
        <w:t>метр[овые] стереодальномеры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1932</w:t>
      </w:r>
      <w:r w:rsidRPr="00E93F40">
        <w:rPr>
          <w:rFonts w:ascii="Times New Roman" w:hAnsi="Times New Roman"/>
          <w:color w:val="000000" w:themeColor="text1"/>
          <w:sz w:val="16"/>
          <w:szCs w:val="16"/>
        </w:rPr>
        <w:noBreakHyphen/>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1,5</w:t>
      </w:r>
      <w:r w:rsidRPr="00E93F40">
        <w:rPr>
          <w:rFonts w:ascii="Times New Roman" w:hAnsi="Times New Roman"/>
          <w:color w:val="000000" w:themeColor="text1"/>
          <w:sz w:val="16"/>
          <w:szCs w:val="16"/>
        </w:rPr>
        <w:noBreakHyphen/>
        <w:t>метр[овые] стереодальномеры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82C0951" w14:textId="0FD5D946"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Правительственного задания по дальномерам ВООМП не принял. По перископам подводных лодок принимает только 60 вместо 74. Прицелы и перископы для батарей б[ереговой] о[бороны] и железнодорожной арт[иллерии]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изготовляются лишь опытные образцы.</w:t>
      </w:r>
    </w:p>
    <w:p w14:paraId="6C6E3659" w14:textId="1951788B"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 оптической промышленностью остается по-прежнему неудовлетворительно. Все вступающие в строй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единицы остаются без прицелов. Необходимы срочные мероприятия не только по расширению существующих заводов, но и по немедленной постройке нового завода с привлечением иностранной техпомощи.</w:t>
      </w:r>
    </w:p>
    <w:p w14:paraId="5B27F0F0" w14:textId="0268FD8F"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Торпеды</w:t>
      </w:r>
    </w:p>
    <w:p w14:paraId="265303BA" w14:textId="4FA2DC31"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Заказано заводу «Двигатель» 364 21</w:t>
      </w:r>
      <w:r w:rsidRPr="00E93F40">
        <w:rPr>
          <w:rFonts w:ascii="Times New Roman" w:hAnsi="Times New Roman"/>
          <w:color w:val="000000" w:themeColor="text1"/>
          <w:sz w:val="16"/>
          <w:szCs w:val="16"/>
        </w:rPr>
        <w:noBreakHyphen/>
        <w:t>дюймовые торпеды.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 должно быть сдано 85 торпед, сдано 58 торпед. Основные причины задержки: неподача заводом «Большевик» резервуарных болванок, отсутствие литья и поковок, гребных винтов и неподача листового материала для оболочек кормовых частей торпед.</w:t>
      </w:r>
    </w:p>
    <w:p w14:paraId="59C2B68F" w14:textId="40976FD1"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Приказанием зам.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наркомтяжпрома т.</w:t>
      </w:r>
      <w:r w:rsidR="007C1411" w:rsidRPr="00E93F40">
        <w:rPr>
          <w:rFonts w:ascii="Times New Roman" w:hAnsi="Times New Roman"/>
          <w:color w:val="000000" w:themeColor="text1"/>
          <w:sz w:val="16"/>
          <w:szCs w:val="16"/>
        </w:rPr>
        <w:t xml:space="preserve"> </w:t>
      </w:r>
      <w:hyperlink r:id="rId126" w:history="1">
        <w:r w:rsidRPr="00E93F40">
          <w:rPr>
            <w:rStyle w:val="a5"/>
            <w:rFonts w:ascii="Times New Roman" w:hAnsi="Times New Roman"/>
            <w:color w:val="000000" w:themeColor="text1"/>
            <w:sz w:val="16"/>
            <w:szCs w:val="16"/>
            <w:u w:val="none"/>
          </w:rPr>
          <w:t>Павлуновского</w:t>
        </w:r>
      </w:hyperlink>
      <w:r w:rsidRPr="00E93F40">
        <w:rPr>
          <w:rFonts w:ascii="Times New Roman" w:hAnsi="Times New Roman"/>
          <w:color w:val="000000" w:themeColor="text1"/>
          <w:sz w:val="16"/>
          <w:szCs w:val="16"/>
        </w:rPr>
        <w:t xml:space="preserve"> ВОАО должно быть в мае месяце подано заводу «Двигатель» 25 резервуарных болванок, изготовленных манесмановским способом, но это приказание ВОАО не выполнило, и срок оттянут на июнь.</w:t>
      </w:r>
    </w:p>
    <w:p w14:paraId="1DE26A70" w14:textId="5C8DE11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B.</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Вопрос с применением сварных винтов для торпед до сих пор не разрешен.</w:t>
      </w:r>
    </w:p>
    <w:p w14:paraId="121A000A" w14:textId="27851569"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НКТП принять более решительные меры к подаче полуфабрикатов и резервуаров на завод «Двигатель» для покрытия недодела за апрель и май, а также немедленно приступить к прокатке манесмановским способом 25 резервуаров со сдачей [на завод] «Двигатель» не позже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w:t>
      </w:r>
    </w:p>
    <w:p w14:paraId="0A803FB3"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Мины</w:t>
      </w:r>
    </w:p>
    <w:p w14:paraId="7518751D" w14:textId="19D36966"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 сих пор завод Марти в Ленинграде, несмотря на приказание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Павлуновского, не подтвердил принятие заказа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100 мин ПЛТ, 800 минных защитников, 550 приборов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«X»,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 «Вомиза». Завод устанавливает срок сдачи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вместо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Причина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плохое снабжение завода материалами.</w:t>
      </w:r>
    </w:p>
    <w:p w14:paraId="4651D77D" w14:textId="2E4A98FE"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Харьковский завод СУВЭО так же не подтвердил принятие заказа на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минных приборов дли мин обр[азца] 1926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Необходимо, чтобы НКТП, отдавая приказы об исполнении заказов, обеспечивал заводы материалами.</w:t>
      </w:r>
    </w:p>
    <w:p w14:paraId="4CC4BD49" w14:textId="59EB200E"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B.</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 «Вомиза» сдачей задерживаются из-за отказа Наркомлегпрома в предоставлении парусины для изготовления парашютов этих мин. Требуется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полубелой парусины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 Необходимо Наркомлегпрому немедленно выделить фонды на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парусины заводу Марти и заводу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Ворошилова.</w:t>
      </w:r>
    </w:p>
    <w:p w14:paraId="329E826C" w14:textId="0BA13C93"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Заводами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Марти и «Карл Маркс» не поданы в срок:</w:t>
      </w:r>
    </w:p>
    <w:p w14:paraId="05FE281A" w14:textId="240B2D44"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Марти.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Патронов особого назначения для минных защитников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должно быть сдано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подано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Мины ПЛТ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должно быть сдано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подано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w:t>
      </w:r>
    </w:p>
    <w:p w14:paraId="02553023" w14:textId="01877B15"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завод «Карл Маркс».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Минные механизмы и ударные приборы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должно быть сдано 400 ком[плектов], подано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w:t>
      </w:r>
    </w:p>
    <w:p w14:paraId="19245528"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Радиовооружение и связь</w:t>
      </w:r>
    </w:p>
    <w:p w14:paraId="21E399FB" w14:textId="0799C60A"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Вооружение подлодок длинноволновыми и коротковолновыми рациями: а)</w:t>
      </w:r>
      <w:r w:rsidR="007C1411" w:rsidRPr="00E93F40">
        <w:rPr>
          <w:color w:val="000000" w:themeColor="text1"/>
          <w:sz w:val="16"/>
          <w:szCs w:val="16"/>
        </w:rPr>
        <w:t xml:space="preserve"> </w:t>
      </w:r>
      <w:r w:rsidRPr="00E93F40">
        <w:rPr>
          <w:color w:val="000000" w:themeColor="text1"/>
          <w:sz w:val="16"/>
          <w:szCs w:val="16"/>
        </w:rPr>
        <w:t>длинноволновые передатчики т[ипа] «Шквал</w:t>
      </w:r>
      <w:r w:rsidR="007C1411" w:rsidRPr="00E93F40">
        <w:rPr>
          <w:color w:val="000000" w:themeColor="text1"/>
          <w:sz w:val="16"/>
          <w:szCs w:val="16"/>
        </w:rPr>
        <w:t xml:space="preserve"> </w:t>
      </w:r>
      <w:r w:rsidRPr="00E93F40">
        <w:rPr>
          <w:color w:val="000000" w:themeColor="text1"/>
          <w:sz w:val="16"/>
          <w:szCs w:val="16"/>
        </w:rPr>
        <w:t>А» на подлодки т[ипа] «Ленинец» и «Щука» Балт[ийского] и Черного морей к ходовым испытаниям установлены не будут, так как первые два передатчика идут для береговой обороны ДВ, а следующая партия (12</w:t>
      </w:r>
      <w:r w:rsidR="007C1411" w:rsidRPr="00E93F40">
        <w:rPr>
          <w:color w:val="000000" w:themeColor="text1"/>
          <w:sz w:val="16"/>
          <w:szCs w:val="16"/>
        </w:rPr>
        <w:t xml:space="preserve"> </w:t>
      </w:r>
      <w:r w:rsidRPr="00E93F40">
        <w:rPr>
          <w:color w:val="000000" w:themeColor="text1"/>
          <w:sz w:val="16"/>
          <w:szCs w:val="16"/>
        </w:rPr>
        <w:t>комплектов) для подлодок ДВ. Плановые сроки первых двух комплектов заводом не выдержаны: вместо июня ожидаются в июле. Причина</w:t>
      </w:r>
      <w:r w:rsidR="007C1411" w:rsidRPr="00E93F40">
        <w:rPr>
          <w:color w:val="000000" w:themeColor="text1"/>
          <w:sz w:val="16"/>
          <w:szCs w:val="16"/>
        </w:rPr>
        <w:t xml:space="preserve"> </w:t>
      </w:r>
      <w:r w:rsidRPr="00E93F40">
        <w:rPr>
          <w:color w:val="000000" w:themeColor="text1"/>
          <w:sz w:val="16"/>
          <w:szCs w:val="16"/>
        </w:rPr>
        <w:t>— необеспеченность завода «Коминтерн» необходимыми и своевременными фондами на материалы. Срыва срока последующей серии пока не наблюдается, но потребуется своевременное снабжение материалами и оборудованием; б)</w:t>
      </w:r>
      <w:r w:rsidR="007C1411" w:rsidRPr="00E93F40">
        <w:rPr>
          <w:color w:val="000000" w:themeColor="text1"/>
          <w:sz w:val="16"/>
          <w:szCs w:val="16"/>
        </w:rPr>
        <w:t xml:space="preserve"> </w:t>
      </w:r>
      <w:r w:rsidRPr="00E93F40">
        <w:rPr>
          <w:color w:val="000000" w:themeColor="text1"/>
          <w:sz w:val="16"/>
          <w:szCs w:val="16"/>
        </w:rPr>
        <w:t>коротковолновые передатчики типа «Мираж</w:t>
      </w:r>
      <w:r w:rsidR="007C1411" w:rsidRPr="00E93F40">
        <w:rPr>
          <w:color w:val="000000" w:themeColor="text1"/>
          <w:sz w:val="16"/>
          <w:szCs w:val="16"/>
        </w:rPr>
        <w:t xml:space="preserve"> </w:t>
      </w:r>
      <w:r w:rsidRPr="00E93F40">
        <w:rPr>
          <w:color w:val="000000" w:themeColor="text1"/>
          <w:sz w:val="16"/>
          <w:szCs w:val="16"/>
        </w:rPr>
        <w:t>И» в количестве 30</w:t>
      </w:r>
      <w:r w:rsidR="007C1411" w:rsidRPr="00E93F40">
        <w:rPr>
          <w:color w:val="000000" w:themeColor="text1"/>
          <w:sz w:val="16"/>
          <w:szCs w:val="16"/>
        </w:rPr>
        <w:t xml:space="preserve"> </w:t>
      </w:r>
      <w:r w:rsidRPr="00E93F40">
        <w:rPr>
          <w:color w:val="000000" w:themeColor="text1"/>
          <w:sz w:val="16"/>
          <w:szCs w:val="16"/>
        </w:rPr>
        <w:t>шт. опоздали, причина задержки</w:t>
      </w:r>
      <w:r w:rsidR="007C1411" w:rsidRPr="00E93F40">
        <w:rPr>
          <w:color w:val="000000" w:themeColor="text1"/>
          <w:sz w:val="16"/>
          <w:szCs w:val="16"/>
        </w:rPr>
        <w:t xml:space="preserve"> </w:t>
      </w:r>
      <w:r w:rsidRPr="00E93F40">
        <w:rPr>
          <w:color w:val="000000" w:themeColor="text1"/>
          <w:sz w:val="16"/>
          <w:szCs w:val="16"/>
        </w:rPr>
        <w:t>— та же. На ходовые испытания, а также до готовности раций современного вооружения будут устанавливаться ламповые передатчики типа РЛ0,2, изготовляемые мастерскими Кронпорта, образца 1923</w:t>
      </w:r>
      <w:r w:rsidR="007C1411" w:rsidRPr="00E93F40">
        <w:rPr>
          <w:color w:val="000000" w:themeColor="text1"/>
          <w:sz w:val="16"/>
          <w:szCs w:val="16"/>
        </w:rPr>
        <w:t xml:space="preserve"> </w:t>
      </w:r>
      <w:r w:rsidRPr="00E93F40">
        <w:rPr>
          <w:color w:val="000000" w:themeColor="text1"/>
          <w:sz w:val="16"/>
          <w:szCs w:val="16"/>
        </w:rPr>
        <w:t>г., уже устаревшие.</w:t>
      </w:r>
    </w:p>
    <w:p w14:paraId="3396F060" w14:textId="7EA5304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Вооружение сторожевых кораблей: а)</w:t>
      </w:r>
      <w:r w:rsidR="007C1411" w:rsidRPr="00E93F40">
        <w:rPr>
          <w:color w:val="000000" w:themeColor="text1"/>
          <w:sz w:val="16"/>
          <w:szCs w:val="16"/>
        </w:rPr>
        <w:t xml:space="preserve"> </w:t>
      </w:r>
      <w:r w:rsidRPr="00E93F40">
        <w:rPr>
          <w:color w:val="000000" w:themeColor="text1"/>
          <w:sz w:val="16"/>
          <w:szCs w:val="16"/>
        </w:rPr>
        <w:t>рации типа «Шторм</w:t>
      </w:r>
      <w:r w:rsidR="007C1411" w:rsidRPr="00E93F40">
        <w:rPr>
          <w:color w:val="000000" w:themeColor="text1"/>
          <w:sz w:val="16"/>
          <w:szCs w:val="16"/>
        </w:rPr>
        <w:t xml:space="preserve"> </w:t>
      </w:r>
      <w:r w:rsidRPr="00E93F40">
        <w:rPr>
          <w:color w:val="000000" w:themeColor="text1"/>
          <w:sz w:val="16"/>
          <w:szCs w:val="16"/>
        </w:rPr>
        <w:t>Б» приняты на заводе Козицкого с опозданием от 2 до 3</w:t>
      </w:r>
      <w:r w:rsidR="007C1411" w:rsidRPr="00E93F40">
        <w:rPr>
          <w:color w:val="000000" w:themeColor="text1"/>
          <w:sz w:val="16"/>
          <w:szCs w:val="16"/>
        </w:rPr>
        <w:t xml:space="preserve"> </w:t>
      </w:r>
      <w:r w:rsidRPr="00E93F40">
        <w:rPr>
          <w:color w:val="000000" w:themeColor="text1"/>
          <w:sz w:val="16"/>
          <w:szCs w:val="16"/>
        </w:rPr>
        <w:t>месяцев. В настоящее время ведется установка на трех кораблях Балтийского моря. Для обеспечения временной связью установлены рации типа РЛ0,2. Для сторожевых кораблей Черного моря рации приняты на заводе и в ближайшие дни будут отправлены для установки. Всего принято на заводе Козицкого 9</w:t>
      </w:r>
      <w:r w:rsidR="007C1411" w:rsidRPr="00E93F40">
        <w:rPr>
          <w:color w:val="000000" w:themeColor="text1"/>
          <w:sz w:val="16"/>
          <w:szCs w:val="16"/>
        </w:rPr>
        <w:t xml:space="preserve"> </w:t>
      </w:r>
      <w:r w:rsidRPr="00E93F40">
        <w:rPr>
          <w:color w:val="000000" w:themeColor="text1"/>
          <w:sz w:val="16"/>
          <w:szCs w:val="16"/>
        </w:rPr>
        <w:t>комплектов вместо</w:t>
      </w:r>
      <w:r w:rsidR="007C1411" w:rsidRPr="00E93F40">
        <w:rPr>
          <w:color w:val="000000" w:themeColor="text1"/>
          <w:sz w:val="16"/>
          <w:szCs w:val="16"/>
        </w:rPr>
        <w:t xml:space="preserve"> </w:t>
      </w:r>
      <w:r w:rsidRPr="00E93F40">
        <w:rPr>
          <w:color w:val="000000" w:themeColor="text1"/>
          <w:sz w:val="16"/>
          <w:szCs w:val="16"/>
        </w:rPr>
        <w:t>17. Монтажные работы на кораблях и береговых пунктах задерживаются из-за отсутствия кабеля; б)</w:t>
      </w:r>
      <w:r w:rsidR="007C1411" w:rsidRPr="00E93F40">
        <w:rPr>
          <w:color w:val="000000" w:themeColor="text1"/>
          <w:sz w:val="16"/>
          <w:szCs w:val="16"/>
        </w:rPr>
        <w:t xml:space="preserve"> </w:t>
      </w:r>
      <w:r w:rsidRPr="00E93F40">
        <w:rPr>
          <w:color w:val="000000" w:themeColor="text1"/>
          <w:sz w:val="16"/>
          <w:szCs w:val="16"/>
        </w:rPr>
        <w:t>пеленгаторы типа «Штиль» установлены, но не сданы.</w:t>
      </w:r>
    </w:p>
    <w:p w14:paraId="40906393" w14:textId="7CE80680"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Перевооружение эсминцев длинноволновыми рациями. Радиостанция типа «Шторм</w:t>
      </w:r>
      <w:r w:rsidR="007C1411" w:rsidRPr="00E93F40">
        <w:rPr>
          <w:color w:val="000000" w:themeColor="text1"/>
          <w:sz w:val="16"/>
          <w:szCs w:val="16"/>
        </w:rPr>
        <w:t xml:space="preserve"> </w:t>
      </w:r>
      <w:r w:rsidRPr="00E93F40">
        <w:rPr>
          <w:color w:val="000000" w:themeColor="text1"/>
          <w:sz w:val="16"/>
          <w:szCs w:val="16"/>
        </w:rPr>
        <w:t>В» должны были подаваться заводом Козицкого параллельно с рациями типа «Шторм</w:t>
      </w:r>
      <w:r w:rsidR="007C1411" w:rsidRPr="00E93F40">
        <w:rPr>
          <w:color w:val="000000" w:themeColor="text1"/>
          <w:sz w:val="16"/>
          <w:szCs w:val="16"/>
        </w:rPr>
        <w:t xml:space="preserve"> </w:t>
      </w:r>
      <w:r w:rsidRPr="00E93F40">
        <w:rPr>
          <w:color w:val="000000" w:themeColor="text1"/>
          <w:sz w:val="16"/>
          <w:szCs w:val="16"/>
        </w:rPr>
        <w:t>Б». Срок подачи раций «Шторм</w:t>
      </w:r>
      <w:r w:rsidR="007C1411" w:rsidRPr="00E93F40">
        <w:rPr>
          <w:color w:val="000000" w:themeColor="text1"/>
          <w:sz w:val="16"/>
          <w:szCs w:val="16"/>
        </w:rPr>
        <w:t xml:space="preserve"> </w:t>
      </w:r>
      <w:r w:rsidRPr="00E93F40">
        <w:rPr>
          <w:color w:val="000000" w:themeColor="text1"/>
          <w:sz w:val="16"/>
          <w:szCs w:val="16"/>
        </w:rPr>
        <w:t>В» запаздывает от 2 до 3</w:t>
      </w:r>
      <w:r w:rsidR="007C1411" w:rsidRPr="00E93F40">
        <w:rPr>
          <w:color w:val="000000" w:themeColor="text1"/>
          <w:sz w:val="16"/>
          <w:szCs w:val="16"/>
        </w:rPr>
        <w:t xml:space="preserve"> </w:t>
      </w:r>
      <w:r w:rsidRPr="00E93F40">
        <w:rPr>
          <w:color w:val="000000" w:themeColor="text1"/>
          <w:sz w:val="16"/>
          <w:szCs w:val="16"/>
        </w:rPr>
        <w:t>месяцев. К 15</w:t>
      </w:r>
      <w:r w:rsidR="007C1411" w:rsidRPr="00E93F40">
        <w:rPr>
          <w:color w:val="000000" w:themeColor="text1"/>
          <w:sz w:val="16"/>
          <w:szCs w:val="16"/>
        </w:rPr>
        <w:t xml:space="preserve"> </w:t>
      </w:r>
      <w:r w:rsidRPr="00E93F40">
        <w:rPr>
          <w:color w:val="000000" w:themeColor="text1"/>
          <w:sz w:val="16"/>
          <w:szCs w:val="16"/>
        </w:rPr>
        <w:t>мая промышленность предъявила 1</w:t>
      </w:r>
      <w:r w:rsidR="007C1411" w:rsidRPr="00E93F40">
        <w:rPr>
          <w:color w:val="000000" w:themeColor="text1"/>
          <w:sz w:val="16"/>
          <w:szCs w:val="16"/>
        </w:rPr>
        <w:t xml:space="preserve"> </w:t>
      </w:r>
      <w:r w:rsidRPr="00E93F40">
        <w:rPr>
          <w:color w:val="000000" w:themeColor="text1"/>
          <w:sz w:val="16"/>
          <w:szCs w:val="16"/>
        </w:rPr>
        <w:t>комплект.</w:t>
      </w:r>
    </w:p>
    <w:p w14:paraId="7E48C9ED" w14:textId="06FBB7CE"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Вооружение торпедных катеров. Подача с завода «Коминтерн» 33</w:t>
      </w:r>
      <w:r w:rsidR="007C1411" w:rsidRPr="00E93F40">
        <w:rPr>
          <w:color w:val="000000" w:themeColor="text1"/>
          <w:sz w:val="16"/>
          <w:szCs w:val="16"/>
        </w:rPr>
        <w:t xml:space="preserve"> </w:t>
      </w:r>
      <w:r w:rsidRPr="00E93F40">
        <w:rPr>
          <w:color w:val="000000" w:themeColor="text1"/>
          <w:sz w:val="16"/>
          <w:szCs w:val="16"/>
        </w:rPr>
        <w:t>комплектов раций типа «Зарница» опоздала относительно плана на 1</w:t>
      </w:r>
      <w:r w:rsidR="007C1411" w:rsidRPr="00E93F40">
        <w:rPr>
          <w:color w:val="000000" w:themeColor="text1"/>
          <w:sz w:val="16"/>
          <w:szCs w:val="16"/>
        </w:rPr>
        <w:t xml:space="preserve"> </w:t>
      </w:r>
      <w:r w:rsidRPr="00E93F40">
        <w:rPr>
          <w:color w:val="000000" w:themeColor="text1"/>
          <w:sz w:val="16"/>
          <w:szCs w:val="16"/>
        </w:rPr>
        <w:t>месяц. Предъявлено к сдаче лишь 10</w:t>
      </w:r>
      <w:r w:rsidR="007C1411" w:rsidRPr="00E93F40">
        <w:rPr>
          <w:color w:val="000000" w:themeColor="text1"/>
          <w:sz w:val="16"/>
          <w:szCs w:val="16"/>
        </w:rPr>
        <w:t xml:space="preserve"> </w:t>
      </w:r>
      <w:r w:rsidRPr="00E93F40">
        <w:rPr>
          <w:color w:val="000000" w:themeColor="text1"/>
          <w:sz w:val="16"/>
          <w:szCs w:val="16"/>
        </w:rPr>
        <w:t>комплектов. Задержка отразилась на своевременной отправке раций для постов СниС ДВ и БО. Причина</w:t>
      </w:r>
      <w:r w:rsidR="007C1411" w:rsidRPr="00E93F40">
        <w:rPr>
          <w:color w:val="000000" w:themeColor="text1"/>
          <w:sz w:val="16"/>
          <w:szCs w:val="16"/>
        </w:rPr>
        <w:t xml:space="preserve"> </w:t>
      </w:r>
      <w:r w:rsidRPr="00E93F40">
        <w:rPr>
          <w:color w:val="000000" w:themeColor="text1"/>
          <w:sz w:val="16"/>
          <w:szCs w:val="16"/>
        </w:rPr>
        <w:t>— недостаточный технический контроль завода и недоброкачественность материала. Заказ на заводе «Украинрадио» не выполнен.</w:t>
      </w:r>
    </w:p>
    <w:p w14:paraId="49778CE5" w14:textId="613BB5F8"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Вооружение всех надводных кораблей УКВ. Партия в 20</w:t>
      </w:r>
      <w:r w:rsidR="007C1411" w:rsidRPr="00E93F40">
        <w:rPr>
          <w:color w:val="000000" w:themeColor="text1"/>
          <w:sz w:val="16"/>
          <w:szCs w:val="16"/>
        </w:rPr>
        <w:t xml:space="preserve"> </w:t>
      </w:r>
      <w:r w:rsidRPr="00E93F40">
        <w:rPr>
          <w:color w:val="000000" w:themeColor="text1"/>
          <w:sz w:val="16"/>
          <w:szCs w:val="16"/>
        </w:rPr>
        <w:t>шт. с завода «Коминтерн» опаздывает на 1</w:t>
      </w:r>
      <w:r w:rsidRPr="00E93F40">
        <w:rPr>
          <w:color w:val="000000" w:themeColor="text1"/>
          <w:sz w:val="16"/>
          <w:szCs w:val="16"/>
        </w:rPr>
        <w:noBreakHyphen/>
        <w:t>1,5</w:t>
      </w:r>
      <w:r w:rsidR="007C1411" w:rsidRPr="00E93F40">
        <w:rPr>
          <w:color w:val="000000" w:themeColor="text1"/>
          <w:sz w:val="16"/>
          <w:szCs w:val="16"/>
        </w:rPr>
        <w:t xml:space="preserve"> </w:t>
      </w:r>
      <w:r w:rsidRPr="00E93F40">
        <w:rPr>
          <w:color w:val="000000" w:themeColor="text1"/>
          <w:sz w:val="16"/>
          <w:szCs w:val="16"/>
        </w:rPr>
        <w:t>месяца.</w:t>
      </w:r>
    </w:p>
    <w:p w14:paraId="0A651A84" w14:textId="760E0173"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Укомплектование радиоустановок машинами, щелочными аккумуляторными батареями: а)</w:t>
      </w:r>
      <w:r w:rsidR="007C1411" w:rsidRPr="00E93F40">
        <w:rPr>
          <w:color w:val="000000" w:themeColor="text1"/>
          <w:sz w:val="16"/>
          <w:szCs w:val="16"/>
        </w:rPr>
        <w:t xml:space="preserve"> </w:t>
      </w:r>
      <w:r w:rsidRPr="00E93F40">
        <w:rPr>
          <w:color w:val="000000" w:themeColor="text1"/>
          <w:sz w:val="16"/>
          <w:szCs w:val="16"/>
        </w:rPr>
        <w:t>подачи образцов высоковольтных машин заводами ВЭО («Электросила» и завод «Динамо») нет. Срыв серийного производства высоковольтных машин А, В и С к моменту готовности радиостанций привел к простою на заводе им.</w:t>
      </w:r>
      <w:r w:rsidR="007C1411" w:rsidRPr="00E93F40">
        <w:rPr>
          <w:color w:val="000000" w:themeColor="text1"/>
          <w:sz w:val="16"/>
          <w:szCs w:val="16"/>
        </w:rPr>
        <w:t xml:space="preserve"> </w:t>
      </w:r>
      <w:r w:rsidRPr="00E93F40">
        <w:rPr>
          <w:color w:val="000000" w:themeColor="text1"/>
          <w:sz w:val="16"/>
          <w:szCs w:val="16"/>
        </w:rPr>
        <w:t>Козицкого, так как не на чем испытывать радиоустановки; б)</w:t>
      </w:r>
      <w:r w:rsidR="007C1411" w:rsidRPr="00E93F40">
        <w:rPr>
          <w:color w:val="000000" w:themeColor="text1"/>
          <w:sz w:val="16"/>
          <w:szCs w:val="16"/>
        </w:rPr>
        <w:t xml:space="preserve"> </w:t>
      </w:r>
      <w:r w:rsidRPr="00E93F40">
        <w:rPr>
          <w:color w:val="000000" w:themeColor="text1"/>
          <w:sz w:val="16"/>
          <w:szCs w:val="16"/>
        </w:rPr>
        <w:t>подачи щелочных аккумуляторных батарей для радиостанций нет. Потребность в таковых</w:t>
      </w:r>
      <w:r w:rsidR="007C1411" w:rsidRPr="00E93F40">
        <w:rPr>
          <w:color w:val="000000" w:themeColor="text1"/>
          <w:sz w:val="16"/>
          <w:szCs w:val="16"/>
        </w:rPr>
        <w:t xml:space="preserve"> </w:t>
      </w:r>
      <w:r w:rsidRPr="00E93F40">
        <w:rPr>
          <w:color w:val="000000" w:themeColor="text1"/>
          <w:sz w:val="16"/>
          <w:szCs w:val="16"/>
        </w:rPr>
        <w:t>— со II</w:t>
      </w:r>
      <w:r w:rsidR="007C1411" w:rsidRPr="00E93F40">
        <w:rPr>
          <w:color w:val="000000" w:themeColor="text1"/>
          <w:sz w:val="16"/>
          <w:szCs w:val="16"/>
        </w:rPr>
        <w:t xml:space="preserve"> </w:t>
      </w:r>
      <w:r w:rsidRPr="00E93F40">
        <w:rPr>
          <w:color w:val="000000" w:themeColor="text1"/>
          <w:sz w:val="16"/>
          <w:szCs w:val="16"/>
        </w:rPr>
        <w:t>квартала, поставка нашего производства ожидается лишь в IV</w:t>
      </w:r>
      <w:r w:rsidR="007C1411" w:rsidRPr="00E93F40">
        <w:rPr>
          <w:color w:val="000000" w:themeColor="text1"/>
          <w:sz w:val="16"/>
          <w:szCs w:val="16"/>
        </w:rPr>
        <w:t xml:space="preserve"> </w:t>
      </w:r>
      <w:r w:rsidRPr="00E93F40">
        <w:rPr>
          <w:color w:val="000000" w:themeColor="text1"/>
          <w:sz w:val="16"/>
          <w:szCs w:val="16"/>
        </w:rPr>
        <w:t>квартале, импорт ограничен.</w:t>
      </w:r>
    </w:p>
    <w:p w14:paraId="63B6EDF4" w14:textId="20B70146"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Монтаж радиоустановок и гидроакустической аппаратуры: а)</w:t>
      </w:r>
      <w:r w:rsidR="007C1411" w:rsidRPr="00E93F40">
        <w:rPr>
          <w:color w:val="000000" w:themeColor="text1"/>
          <w:sz w:val="16"/>
          <w:szCs w:val="16"/>
        </w:rPr>
        <w:t xml:space="preserve"> </w:t>
      </w:r>
      <w:r w:rsidRPr="00E93F40">
        <w:rPr>
          <w:color w:val="000000" w:themeColor="text1"/>
          <w:sz w:val="16"/>
          <w:szCs w:val="16"/>
        </w:rPr>
        <w:t>завод «Коминтерн» недостаточно обеспечивается монтажно-установочным материалом. Отпускаемые фонды недостаточны и поступление их идет с опозданием; б)</w:t>
      </w:r>
      <w:r w:rsidR="007C1411" w:rsidRPr="00E93F40">
        <w:rPr>
          <w:color w:val="000000" w:themeColor="text1"/>
          <w:sz w:val="16"/>
          <w:szCs w:val="16"/>
        </w:rPr>
        <w:t xml:space="preserve"> </w:t>
      </w:r>
      <w:r w:rsidRPr="00E93F40">
        <w:rPr>
          <w:color w:val="000000" w:themeColor="text1"/>
          <w:sz w:val="16"/>
          <w:szCs w:val="16"/>
        </w:rPr>
        <w:t>вопрос размещения отливок для гидроакустической аппаратуры разрешен положительно, монтажные работы импортной аппаратуры идут удовлетворительно.</w:t>
      </w:r>
    </w:p>
    <w:p w14:paraId="7BD385B9" w14:textId="7786D5C6"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8.</w:t>
      </w:r>
      <w:r w:rsidR="007C1411" w:rsidRPr="00E93F40">
        <w:rPr>
          <w:color w:val="000000" w:themeColor="text1"/>
          <w:sz w:val="16"/>
          <w:szCs w:val="16"/>
        </w:rPr>
        <w:t xml:space="preserve"> </w:t>
      </w:r>
      <w:r w:rsidRPr="00E93F40">
        <w:rPr>
          <w:color w:val="000000" w:themeColor="text1"/>
          <w:sz w:val="16"/>
          <w:szCs w:val="16"/>
        </w:rPr>
        <w:t>Выполнение заказов проволочной и телефонно-телеграфной аппаратуры: а)</w:t>
      </w:r>
      <w:r w:rsidR="007C1411" w:rsidRPr="00E93F40">
        <w:rPr>
          <w:color w:val="000000" w:themeColor="text1"/>
          <w:sz w:val="16"/>
          <w:szCs w:val="16"/>
        </w:rPr>
        <w:t xml:space="preserve"> </w:t>
      </w:r>
      <w:r w:rsidRPr="00E93F40">
        <w:rPr>
          <w:color w:val="000000" w:themeColor="text1"/>
          <w:sz w:val="16"/>
          <w:szCs w:val="16"/>
        </w:rPr>
        <w:t>заказ на 580</w:t>
      </w:r>
      <w:r w:rsidR="007C1411" w:rsidRPr="00E93F40">
        <w:rPr>
          <w:color w:val="000000" w:themeColor="text1"/>
          <w:sz w:val="16"/>
          <w:szCs w:val="16"/>
        </w:rPr>
        <w:t xml:space="preserve"> </w:t>
      </w:r>
      <w:r w:rsidRPr="00E93F40">
        <w:rPr>
          <w:color w:val="000000" w:themeColor="text1"/>
          <w:sz w:val="16"/>
          <w:szCs w:val="16"/>
        </w:rPr>
        <w:t>т железной оцинкованной проволоки и 75</w:t>
      </w:r>
      <w:r w:rsidR="007C1411" w:rsidRPr="00E93F40">
        <w:rPr>
          <w:color w:val="000000" w:themeColor="text1"/>
          <w:sz w:val="16"/>
          <w:szCs w:val="16"/>
        </w:rPr>
        <w:t xml:space="preserve"> </w:t>
      </w:r>
      <w:r w:rsidRPr="00E93F40">
        <w:rPr>
          <w:color w:val="000000" w:themeColor="text1"/>
          <w:sz w:val="16"/>
          <w:szCs w:val="16"/>
        </w:rPr>
        <w:t>тыс. крючьев не размещен по заводам. Все фонды переданы УСКА; б)</w:t>
      </w:r>
      <w:r w:rsidR="007C1411" w:rsidRPr="00E93F40">
        <w:rPr>
          <w:color w:val="000000" w:themeColor="text1"/>
          <w:sz w:val="16"/>
          <w:szCs w:val="16"/>
        </w:rPr>
        <w:t xml:space="preserve"> </w:t>
      </w:r>
      <w:r w:rsidRPr="00E93F40">
        <w:rPr>
          <w:color w:val="000000" w:themeColor="text1"/>
          <w:sz w:val="16"/>
          <w:szCs w:val="16"/>
        </w:rPr>
        <w:t>заказ на телефонно-телеграфную аппаратуру ВЭСО не принят, так как все фонды переданы УСКА; в)</w:t>
      </w:r>
      <w:r w:rsidR="007C1411" w:rsidRPr="00E93F40">
        <w:rPr>
          <w:color w:val="000000" w:themeColor="text1"/>
          <w:sz w:val="16"/>
          <w:szCs w:val="16"/>
        </w:rPr>
        <w:t xml:space="preserve"> </w:t>
      </w:r>
      <w:r w:rsidRPr="00E93F40">
        <w:rPr>
          <w:color w:val="000000" w:themeColor="text1"/>
          <w:sz w:val="16"/>
          <w:szCs w:val="16"/>
        </w:rPr>
        <w:t>заказ «Союздизелю» на двигатели внутреннего горения типа А</w:t>
      </w:r>
      <w:r w:rsidRPr="00E93F40">
        <w:rPr>
          <w:color w:val="000000" w:themeColor="text1"/>
          <w:sz w:val="16"/>
          <w:szCs w:val="16"/>
        </w:rPr>
        <w:noBreakHyphen/>
        <w:t>3</w:t>
      </w:r>
      <w:r w:rsidR="007C1411" w:rsidRPr="00E93F40">
        <w:rPr>
          <w:color w:val="000000" w:themeColor="text1"/>
          <w:sz w:val="16"/>
          <w:szCs w:val="16"/>
        </w:rPr>
        <w:t xml:space="preserve"> </w:t>
      </w:r>
      <w:r w:rsidRPr="00E93F40">
        <w:rPr>
          <w:color w:val="000000" w:themeColor="text1"/>
          <w:sz w:val="16"/>
          <w:szCs w:val="16"/>
        </w:rPr>
        <w:t>— 90</w:t>
      </w:r>
      <w:r w:rsidR="007C1411" w:rsidRPr="00E93F40">
        <w:rPr>
          <w:color w:val="000000" w:themeColor="text1"/>
          <w:sz w:val="16"/>
          <w:szCs w:val="16"/>
        </w:rPr>
        <w:t xml:space="preserve"> </w:t>
      </w:r>
      <w:r w:rsidRPr="00E93F40">
        <w:rPr>
          <w:color w:val="000000" w:themeColor="text1"/>
          <w:sz w:val="16"/>
          <w:szCs w:val="16"/>
        </w:rPr>
        <w:t>шт., БК</w:t>
      </w:r>
      <w:r w:rsidRPr="00E93F40">
        <w:rPr>
          <w:color w:val="000000" w:themeColor="text1"/>
          <w:sz w:val="16"/>
          <w:szCs w:val="16"/>
        </w:rPr>
        <w:noBreakHyphen/>
        <w:t>38</w:t>
      </w:r>
      <w:r w:rsidR="007C1411" w:rsidRPr="00E93F40">
        <w:rPr>
          <w:color w:val="000000" w:themeColor="text1"/>
          <w:sz w:val="16"/>
          <w:szCs w:val="16"/>
        </w:rPr>
        <w:t xml:space="preserve"> </w:t>
      </w:r>
      <w:r w:rsidRPr="00E93F40">
        <w:rPr>
          <w:color w:val="000000" w:themeColor="text1"/>
          <w:sz w:val="16"/>
          <w:szCs w:val="16"/>
        </w:rPr>
        <w:t>(140</w:t>
      </w:r>
      <w:r w:rsidR="007C1411" w:rsidRPr="00E93F40">
        <w:rPr>
          <w:color w:val="000000" w:themeColor="text1"/>
          <w:sz w:val="16"/>
          <w:szCs w:val="16"/>
        </w:rPr>
        <w:t xml:space="preserve"> </w:t>
      </w:r>
      <w:r w:rsidRPr="00E93F40">
        <w:rPr>
          <w:color w:val="000000" w:themeColor="text1"/>
          <w:sz w:val="16"/>
          <w:szCs w:val="16"/>
        </w:rPr>
        <w:t>НР)</w:t>
      </w:r>
      <w:r w:rsidR="007C1411" w:rsidRPr="00E93F40">
        <w:rPr>
          <w:color w:val="000000" w:themeColor="text1"/>
          <w:sz w:val="16"/>
          <w:szCs w:val="16"/>
        </w:rPr>
        <w:t xml:space="preserve"> </w:t>
      </w:r>
      <w:r w:rsidRPr="00E93F40">
        <w:rPr>
          <w:color w:val="000000" w:themeColor="text1"/>
          <w:sz w:val="16"/>
          <w:szCs w:val="16"/>
        </w:rPr>
        <w:t>— 18</w:t>
      </w:r>
      <w:r w:rsidR="007C1411" w:rsidRPr="00E93F40">
        <w:rPr>
          <w:color w:val="000000" w:themeColor="text1"/>
          <w:sz w:val="16"/>
          <w:szCs w:val="16"/>
        </w:rPr>
        <w:t xml:space="preserve"> </w:t>
      </w:r>
      <w:r w:rsidRPr="00E93F40">
        <w:rPr>
          <w:color w:val="000000" w:themeColor="text1"/>
          <w:sz w:val="16"/>
          <w:szCs w:val="16"/>
        </w:rPr>
        <w:t>шт., дизели Дейц</w:t>
      </w:r>
      <w:r w:rsidR="007C1411" w:rsidRPr="00E93F40">
        <w:rPr>
          <w:color w:val="000000" w:themeColor="text1"/>
          <w:sz w:val="16"/>
          <w:szCs w:val="16"/>
        </w:rPr>
        <w:t xml:space="preserve"> </w:t>
      </w:r>
      <w:r w:rsidRPr="00E93F40">
        <w:rPr>
          <w:color w:val="000000" w:themeColor="text1"/>
          <w:sz w:val="16"/>
          <w:szCs w:val="16"/>
        </w:rPr>
        <w:t>(50</w:t>
      </w:r>
      <w:r w:rsidR="007C1411" w:rsidRPr="00E93F40">
        <w:rPr>
          <w:color w:val="000000" w:themeColor="text1"/>
          <w:sz w:val="16"/>
          <w:szCs w:val="16"/>
        </w:rPr>
        <w:t xml:space="preserve"> </w:t>
      </w:r>
      <w:r w:rsidRPr="00E93F40">
        <w:rPr>
          <w:color w:val="000000" w:themeColor="text1"/>
          <w:sz w:val="16"/>
          <w:szCs w:val="16"/>
        </w:rPr>
        <w:t>НР)</w:t>
      </w:r>
      <w:r w:rsidR="007C1411" w:rsidRPr="00E93F40">
        <w:rPr>
          <w:color w:val="000000" w:themeColor="text1"/>
          <w:sz w:val="16"/>
          <w:szCs w:val="16"/>
        </w:rPr>
        <w:t xml:space="preserve"> </w:t>
      </w:r>
      <w:r w:rsidRPr="00E93F40">
        <w:rPr>
          <w:color w:val="000000" w:themeColor="text1"/>
          <w:sz w:val="16"/>
          <w:szCs w:val="16"/>
        </w:rPr>
        <w:t>— 16</w:t>
      </w:r>
      <w:r w:rsidR="007C1411" w:rsidRPr="00E93F40">
        <w:rPr>
          <w:color w:val="000000" w:themeColor="text1"/>
          <w:sz w:val="16"/>
          <w:szCs w:val="16"/>
        </w:rPr>
        <w:t xml:space="preserve"> </w:t>
      </w:r>
      <w:r w:rsidRPr="00E93F40">
        <w:rPr>
          <w:color w:val="000000" w:themeColor="text1"/>
          <w:sz w:val="16"/>
          <w:szCs w:val="16"/>
        </w:rPr>
        <w:t>шт., нефтяные двигатели завода «Возрождение» (24</w:t>
      </w:r>
      <w:r w:rsidR="007C1411" w:rsidRPr="00E93F40">
        <w:rPr>
          <w:color w:val="000000" w:themeColor="text1"/>
          <w:sz w:val="16"/>
          <w:szCs w:val="16"/>
        </w:rPr>
        <w:t xml:space="preserve"> </w:t>
      </w:r>
      <w:r w:rsidRPr="00E93F40">
        <w:rPr>
          <w:color w:val="000000" w:themeColor="text1"/>
          <w:sz w:val="16"/>
          <w:szCs w:val="16"/>
        </w:rPr>
        <w:t>НР)</w:t>
      </w:r>
      <w:r w:rsidR="007C1411" w:rsidRPr="00E93F40">
        <w:rPr>
          <w:color w:val="000000" w:themeColor="text1"/>
          <w:sz w:val="16"/>
          <w:szCs w:val="16"/>
        </w:rPr>
        <w:t xml:space="preserve"> </w:t>
      </w:r>
      <w:r w:rsidRPr="00E93F40">
        <w:rPr>
          <w:color w:val="000000" w:themeColor="text1"/>
          <w:sz w:val="16"/>
          <w:szCs w:val="16"/>
        </w:rPr>
        <w:t>— 16</w:t>
      </w:r>
      <w:r w:rsidR="007C1411" w:rsidRPr="00E93F40">
        <w:rPr>
          <w:color w:val="000000" w:themeColor="text1"/>
          <w:sz w:val="16"/>
          <w:szCs w:val="16"/>
        </w:rPr>
        <w:t xml:space="preserve"> </w:t>
      </w:r>
      <w:r w:rsidRPr="00E93F40">
        <w:rPr>
          <w:color w:val="000000" w:themeColor="text1"/>
          <w:sz w:val="16"/>
          <w:szCs w:val="16"/>
        </w:rPr>
        <w:t>[шт.] до сего времени по заводам не размещены. Наметился прорыв; г)</w:t>
      </w:r>
      <w:r w:rsidR="007C1411" w:rsidRPr="00E93F40">
        <w:rPr>
          <w:color w:val="000000" w:themeColor="text1"/>
          <w:sz w:val="16"/>
          <w:szCs w:val="16"/>
        </w:rPr>
        <w:t xml:space="preserve"> </w:t>
      </w:r>
      <w:r w:rsidRPr="00E93F40">
        <w:rPr>
          <w:color w:val="000000" w:themeColor="text1"/>
          <w:sz w:val="16"/>
          <w:szCs w:val="16"/>
        </w:rPr>
        <w:t>заказ на аппараты Тремля не принят Промсвязью ввиду загрузки мощности заводов по заказам Наркомсвязи; д)</w:t>
      </w:r>
      <w:r w:rsidR="007C1411" w:rsidRPr="00E93F40">
        <w:rPr>
          <w:color w:val="000000" w:themeColor="text1"/>
          <w:sz w:val="16"/>
          <w:szCs w:val="16"/>
        </w:rPr>
        <w:t xml:space="preserve"> </w:t>
      </w:r>
      <w:r w:rsidRPr="00E93F40">
        <w:rPr>
          <w:color w:val="000000" w:themeColor="text1"/>
          <w:sz w:val="16"/>
          <w:szCs w:val="16"/>
        </w:rPr>
        <w:t>сорвана подача на Морские силы пистолей с боезапасом, заказанных через Артуправление; подача намечалась с 1</w:t>
      </w:r>
      <w:r w:rsidR="007C1411" w:rsidRPr="00E93F40">
        <w:rPr>
          <w:color w:val="000000" w:themeColor="text1"/>
          <w:sz w:val="16"/>
          <w:szCs w:val="16"/>
        </w:rPr>
        <w:t xml:space="preserve"> </w:t>
      </w:r>
      <w:r w:rsidRPr="00E93F40">
        <w:rPr>
          <w:color w:val="000000" w:themeColor="text1"/>
          <w:sz w:val="16"/>
          <w:szCs w:val="16"/>
        </w:rPr>
        <w:t>мая.</w:t>
      </w:r>
    </w:p>
    <w:p w14:paraId="7CBE1379" w14:textId="2BB0C4C8"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Необходимо: а)</w:t>
      </w:r>
      <w:r w:rsidR="007C1411" w:rsidRPr="00E93F40">
        <w:rPr>
          <w:color w:val="000000" w:themeColor="text1"/>
          <w:sz w:val="16"/>
          <w:szCs w:val="16"/>
        </w:rPr>
        <w:t xml:space="preserve"> </w:t>
      </w:r>
      <w:r w:rsidRPr="00E93F40">
        <w:rPr>
          <w:color w:val="000000" w:themeColor="text1"/>
          <w:sz w:val="16"/>
          <w:szCs w:val="16"/>
        </w:rPr>
        <w:t>НКТП обеспечить ВЭСО и Укрточмаш для удовлетворения заводов «Коминтерн», Козицкого и «Украинрадио» своевременным получением фондов на материалы и отпуском средств на расширение производственных площадей; б)</w:t>
      </w:r>
      <w:r w:rsidR="007C1411" w:rsidRPr="00E93F40">
        <w:rPr>
          <w:color w:val="000000" w:themeColor="text1"/>
          <w:sz w:val="16"/>
          <w:szCs w:val="16"/>
        </w:rPr>
        <w:t xml:space="preserve"> </w:t>
      </w:r>
      <w:r w:rsidRPr="00E93F40">
        <w:rPr>
          <w:color w:val="000000" w:themeColor="text1"/>
          <w:sz w:val="16"/>
          <w:szCs w:val="16"/>
        </w:rPr>
        <w:t>НКТП форсировать серийное производство высоковольтных машин типа</w:t>
      </w:r>
      <w:r w:rsidR="007C1411" w:rsidRPr="00E93F40">
        <w:rPr>
          <w:color w:val="000000" w:themeColor="text1"/>
          <w:sz w:val="16"/>
          <w:szCs w:val="16"/>
        </w:rPr>
        <w:t xml:space="preserve"> </w:t>
      </w:r>
      <w:r w:rsidRPr="00E93F40">
        <w:rPr>
          <w:color w:val="000000" w:themeColor="text1"/>
          <w:sz w:val="16"/>
          <w:szCs w:val="16"/>
        </w:rPr>
        <w:t>А, Б и С в необходимом количестве по срокам готовности радиостанций на заводах ВЭСО, обеспечив подачу к 15</w:t>
      </w:r>
      <w:r w:rsidR="007C1411" w:rsidRPr="00E93F40">
        <w:rPr>
          <w:color w:val="000000" w:themeColor="text1"/>
          <w:sz w:val="16"/>
          <w:szCs w:val="16"/>
        </w:rPr>
        <w:t xml:space="preserve"> </w:t>
      </w:r>
      <w:r w:rsidRPr="00E93F40">
        <w:rPr>
          <w:color w:val="000000" w:themeColor="text1"/>
          <w:sz w:val="16"/>
          <w:szCs w:val="16"/>
        </w:rPr>
        <w:t>августа с.</w:t>
      </w:r>
      <w:r w:rsidR="007C1411" w:rsidRPr="00E93F40">
        <w:rPr>
          <w:color w:val="000000" w:themeColor="text1"/>
          <w:sz w:val="16"/>
          <w:szCs w:val="16"/>
        </w:rPr>
        <w:t xml:space="preserve"> </w:t>
      </w:r>
      <w:r w:rsidRPr="00E93F40">
        <w:rPr>
          <w:color w:val="000000" w:themeColor="text1"/>
          <w:sz w:val="16"/>
          <w:szCs w:val="16"/>
        </w:rPr>
        <w:t>г.; в)</w:t>
      </w:r>
      <w:r w:rsidR="007C1411" w:rsidRPr="00E93F40">
        <w:rPr>
          <w:color w:val="000000" w:themeColor="text1"/>
          <w:sz w:val="16"/>
          <w:szCs w:val="16"/>
        </w:rPr>
        <w:t xml:space="preserve"> </w:t>
      </w:r>
      <w:r w:rsidRPr="00E93F40">
        <w:rPr>
          <w:color w:val="000000" w:themeColor="text1"/>
          <w:sz w:val="16"/>
          <w:szCs w:val="16"/>
        </w:rPr>
        <w:t>НКТП обеспечить ВЭСО и Укрточмаш фондами по кабельным изделиям для монтажа радиостанций, а ВЭО необходимым контингентом на импорт щелочных батарей, а также форсировать производство таковых на Саратовском заводе, со сроком подачи в III</w:t>
      </w:r>
      <w:r w:rsidR="007C1411" w:rsidRPr="00E93F40">
        <w:rPr>
          <w:color w:val="000000" w:themeColor="text1"/>
          <w:sz w:val="16"/>
          <w:szCs w:val="16"/>
        </w:rPr>
        <w:t xml:space="preserve"> </w:t>
      </w:r>
      <w:r w:rsidRPr="00E93F40">
        <w:rPr>
          <w:color w:val="000000" w:themeColor="text1"/>
          <w:sz w:val="16"/>
          <w:szCs w:val="16"/>
        </w:rPr>
        <w:t>квартале; г)</w:t>
      </w:r>
      <w:r w:rsidR="007C1411" w:rsidRPr="00E93F40">
        <w:rPr>
          <w:color w:val="000000" w:themeColor="text1"/>
          <w:sz w:val="16"/>
          <w:szCs w:val="16"/>
        </w:rPr>
        <w:t xml:space="preserve"> </w:t>
      </w:r>
      <w:r w:rsidRPr="00E93F40">
        <w:rPr>
          <w:color w:val="000000" w:themeColor="text1"/>
          <w:sz w:val="16"/>
          <w:szCs w:val="16"/>
        </w:rPr>
        <w:t>НКТП в декадный срок разместить по заводам заказ на двигатели внутреннего горения, аппараты Тремля и телефонно-телеграфную аппаратуру, обеспечив требуемые сроки поставки для УВМС.</w:t>
      </w:r>
    </w:p>
    <w:p w14:paraId="22FE002C" w14:textId="5EFC0BF2" w:rsidR="0087389B" w:rsidRPr="00E93F40" w:rsidRDefault="0087389B"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Начальник Военно-морских сил РККА </w:t>
      </w:r>
      <w:hyperlink r:id="rId127" w:history="1">
        <w:r w:rsidRPr="00E93F40">
          <w:rPr>
            <w:rStyle w:val="af0"/>
            <w:i w:val="0"/>
            <w:color w:val="000000" w:themeColor="text1"/>
            <w:sz w:val="16"/>
            <w:szCs w:val="16"/>
          </w:rPr>
          <w:t>Вл.</w:t>
        </w:r>
        <w:r w:rsidR="007C1411" w:rsidRPr="00E93F40">
          <w:rPr>
            <w:rStyle w:val="af0"/>
            <w:i w:val="0"/>
            <w:color w:val="000000" w:themeColor="text1"/>
            <w:sz w:val="16"/>
            <w:szCs w:val="16"/>
          </w:rPr>
          <w:t xml:space="preserve"> </w:t>
        </w:r>
        <w:r w:rsidRPr="00E93F40">
          <w:rPr>
            <w:rStyle w:val="af0"/>
            <w:i w:val="0"/>
            <w:color w:val="000000" w:themeColor="text1"/>
            <w:sz w:val="16"/>
            <w:szCs w:val="16"/>
          </w:rPr>
          <w:t>Орлов</w:t>
        </w:r>
      </w:hyperlink>
    </w:p>
    <w:p w14:paraId="05594B2A" w14:textId="77777777" w:rsidR="0087389B" w:rsidRPr="00E93F40" w:rsidRDefault="0087389B"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4DA5400E" w14:textId="25C58D98"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Публикуемая копия доклада направлена в Комиссию обороны.</w:t>
      </w:r>
    </w:p>
    <w:p w14:paraId="579742F5" w14:textId="601C0CCD"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Работа по созданию малых подводных лодок для специфических условий Балтийского моря была начата по инициативе Морского управления Штаба РККА в мае 1930</w:t>
      </w:r>
      <w:r w:rsidR="007C1411" w:rsidRPr="00E93F40">
        <w:rPr>
          <w:color w:val="000000" w:themeColor="text1"/>
          <w:sz w:val="16"/>
          <w:szCs w:val="16"/>
        </w:rPr>
        <w:t xml:space="preserve"> </w:t>
      </w:r>
      <w:r w:rsidRPr="00E93F40">
        <w:rPr>
          <w:color w:val="000000" w:themeColor="text1"/>
          <w:sz w:val="16"/>
          <w:szCs w:val="16"/>
        </w:rPr>
        <w:t>г. Техническое бюро №</w:t>
      </w:r>
      <w:r w:rsidR="007C1411" w:rsidRPr="00E93F40">
        <w:rPr>
          <w:color w:val="000000" w:themeColor="text1"/>
          <w:sz w:val="16"/>
          <w:szCs w:val="16"/>
        </w:rPr>
        <w:t xml:space="preserve"> </w:t>
      </w:r>
      <w:r w:rsidRPr="00E93F40">
        <w:rPr>
          <w:color w:val="000000" w:themeColor="text1"/>
          <w:sz w:val="16"/>
          <w:szCs w:val="16"/>
        </w:rPr>
        <w:t>4 под руководством А.</w:t>
      </w:r>
      <w:r w:rsidR="007C1411" w:rsidRPr="00E93F40">
        <w:rPr>
          <w:color w:val="000000" w:themeColor="text1"/>
          <w:sz w:val="16"/>
          <w:szCs w:val="16"/>
        </w:rPr>
        <w:t xml:space="preserve"> </w:t>
      </w:r>
      <w:r w:rsidRPr="00E93F40">
        <w:rPr>
          <w:color w:val="000000" w:themeColor="text1"/>
          <w:sz w:val="16"/>
          <w:szCs w:val="16"/>
        </w:rPr>
        <w:t>Н.</w:t>
      </w:r>
      <w:r w:rsidR="007C1411" w:rsidRPr="00E93F40">
        <w:rPr>
          <w:color w:val="000000" w:themeColor="text1"/>
          <w:sz w:val="16"/>
          <w:szCs w:val="16"/>
        </w:rPr>
        <w:t xml:space="preserve"> </w:t>
      </w:r>
      <w:r w:rsidRPr="00E93F40">
        <w:rPr>
          <w:color w:val="000000" w:themeColor="text1"/>
          <w:sz w:val="16"/>
          <w:szCs w:val="16"/>
        </w:rPr>
        <w:t>Асафова разработало эскизный проект лодки к марту 1932</w:t>
      </w:r>
      <w:r w:rsidR="007C1411" w:rsidRPr="00E93F40">
        <w:rPr>
          <w:color w:val="000000" w:themeColor="text1"/>
          <w:sz w:val="16"/>
          <w:szCs w:val="16"/>
        </w:rPr>
        <w:t xml:space="preserve"> </w:t>
      </w:r>
      <w:r w:rsidRPr="00E93F40">
        <w:rPr>
          <w:color w:val="000000" w:themeColor="text1"/>
          <w:sz w:val="16"/>
          <w:szCs w:val="16"/>
        </w:rPr>
        <w:t>г. 20</w:t>
      </w:r>
      <w:r w:rsidR="007C1411" w:rsidRPr="00E93F40">
        <w:rPr>
          <w:color w:val="000000" w:themeColor="text1"/>
          <w:sz w:val="16"/>
          <w:szCs w:val="16"/>
        </w:rPr>
        <w:t xml:space="preserve"> </w:t>
      </w:r>
      <w:r w:rsidRPr="00E93F40">
        <w:rPr>
          <w:color w:val="000000" w:themeColor="text1"/>
          <w:sz w:val="16"/>
          <w:szCs w:val="16"/>
        </w:rPr>
        <w:t>марта проект был утвержден в Реввоенсовете СССР. Постройка и составление общего проекта подводной лодки VI</w:t>
      </w:r>
      <w:r w:rsidR="007C1411" w:rsidRPr="00E93F40">
        <w:rPr>
          <w:color w:val="000000" w:themeColor="text1"/>
          <w:sz w:val="16"/>
          <w:szCs w:val="16"/>
        </w:rPr>
        <w:t xml:space="preserve"> </w:t>
      </w:r>
      <w:r w:rsidRPr="00E93F40">
        <w:rPr>
          <w:color w:val="000000" w:themeColor="text1"/>
          <w:sz w:val="16"/>
          <w:szCs w:val="16"/>
        </w:rPr>
        <w:t>серии были возложены на Николаевский завод им.</w:t>
      </w:r>
      <w:r w:rsidR="007C1411" w:rsidRPr="00E93F40">
        <w:rPr>
          <w:color w:val="000000" w:themeColor="text1"/>
          <w:sz w:val="16"/>
          <w:szCs w:val="16"/>
        </w:rPr>
        <w:t xml:space="preserve"> </w:t>
      </w:r>
      <w:r w:rsidRPr="00E93F40">
        <w:rPr>
          <w:color w:val="000000" w:themeColor="text1"/>
          <w:sz w:val="16"/>
          <w:szCs w:val="16"/>
        </w:rPr>
        <w:t>А.</w:t>
      </w:r>
      <w:r w:rsidR="007C1411" w:rsidRPr="00E93F40">
        <w:rPr>
          <w:color w:val="000000" w:themeColor="text1"/>
          <w:sz w:val="16"/>
          <w:szCs w:val="16"/>
        </w:rPr>
        <w:t xml:space="preserve"> </w:t>
      </w:r>
      <w:r w:rsidRPr="00E93F40">
        <w:rPr>
          <w:color w:val="000000" w:themeColor="text1"/>
          <w:sz w:val="16"/>
          <w:szCs w:val="16"/>
        </w:rPr>
        <w:t>Марти. На этом заводе осенью 1932</w:t>
      </w:r>
      <w:r w:rsidR="007C1411" w:rsidRPr="00E93F40">
        <w:rPr>
          <w:color w:val="000000" w:themeColor="text1"/>
          <w:sz w:val="16"/>
          <w:szCs w:val="16"/>
        </w:rPr>
        <w:t xml:space="preserve"> </w:t>
      </w:r>
      <w:r w:rsidRPr="00E93F40">
        <w:rPr>
          <w:color w:val="000000" w:themeColor="text1"/>
          <w:sz w:val="16"/>
          <w:szCs w:val="16"/>
        </w:rPr>
        <w:t>г. было заложено и до июля 1935</w:t>
      </w:r>
      <w:r w:rsidR="007C1411" w:rsidRPr="00E93F40">
        <w:rPr>
          <w:color w:val="000000" w:themeColor="text1"/>
          <w:sz w:val="16"/>
          <w:szCs w:val="16"/>
        </w:rPr>
        <w:t xml:space="preserve"> </w:t>
      </w:r>
      <w:r w:rsidRPr="00E93F40">
        <w:rPr>
          <w:color w:val="000000" w:themeColor="text1"/>
          <w:sz w:val="16"/>
          <w:szCs w:val="16"/>
        </w:rPr>
        <w:t>г. построено 20</w:t>
      </w:r>
      <w:r w:rsidR="007C1411" w:rsidRPr="00E93F40">
        <w:rPr>
          <w:color w:val="000000" w:themeColor="text1"/>
          <w:sz w:val="16"/>
          <w:szCs w:val="16"/>
        </w:rPr>
        <w:t xml:space="preserve"> </w:t>
      </w:r>
      <w:r w:rsidRPr="00E93F40">
        <w:rPr>
          <w:color w:val="000000" w:themeColor="text1"/>
          <w:sz w:val="16"/>
          <w:szCs w:val="16"/>
        </w:rPr>
        <w:t>лодок.</w:t>
      </w:r>
    </w:p>
    <w:p w14:paraId="60F0A418" w14:textId="7063504C"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Вторую серию из шести подводных лодок программы судостроения 1926</w:t>
      </w:r>
      <w:r w:rsidR="007C1411" w:rsidRPr="00E93F40">
        <w:rPr>
          <w:color w:val="000000" w:themeColor="text1"/>
          <w:sz w:val="16"/>
          <w:szCs w:val="16"/>
        </w:rPr>
        <w:t xml:space="preserve"> </w:t>
      </w:r>
      <w:r w:rsidRPr="00E93F40">
        <w:rPr>
          <w:color w:val="000000" w:themeColor="text1"/>
          <w:sz w:val="16"/>
          <w:szCs w:val="16"/>
        </w:rPr>
        <w:t>г. должны были составить новые подводные минные заградители. Технический проект разрабатывался в 1928-1929 гг. в техническом бюро под руководством Б.</w:t>
      </w:r>
      <w:r w:rsidR="007C1411" w:rsidRPr="00E93F40">
        <w:rPr>
          <w:color w:val="000000" w:themeColor="text1"/>
          <w:sz w:val="16"/>
          <w:szCs w:val="16"/>
        </w:rPr>
        <w:t xml:space="preserve"> </w:t>
      </w:r>
      <w:r w:rsidRPr="00E93F40">
        <w:rPr>
          <w:color w:val="000000" w:themeColor="text1"/>
          <w:sz w:val="16"/>
          <w:szCs w:val="16"/>
        </w:rPr>
        <w:t>М.</w:t>
      </w:r>
      <w:r w:rsidR="007C1411" w:rsidRPr="00E93F40">
        <w:rPr>
          <w:color w:val="000000" w:themeColor="text1"/>
          <w:sz w:val="16"/>
          <w:szCs w:val="16"/>
        </w:rPr>
        <w:t xml:space="preserve"> </w:t>
      </w:r>
      <w:r w:rsidRPr="00E93F40">
        <w:rPr>
          <w:color w:val="000000" w:themeColor="text1"/>
          <w:sz w:val="16"/>
          <w:szCs w:val="16"/>
        </w:rPr>
        <w:t>Малинина. Первые подводные лодки «Ленинец», «Марксист» (с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«Сталинец») и «Большевик» (с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«Фрунзовец») были заложены на Балтийском заводе 6</w:t>
      </w:r>
      <w:r w:rsidR="007C1411" w:rsidRPr="00E93F40">
        <w:rPr>
          <w:color w:val="000000" w:themeColor="text1"/>
          <w:sz w:val="16"/>
          <w:szCs w:val="16"/>
        </w:rPr>
        <w:t xml:space="preserve"> </w:t>
      </w:r>
      <w:r w:rsidRPr="00E93F40">
        <w:rPr>
          <w:color w:val="000000" w:themeColor="text1"/>
          <w:sz w:val="16"/>
          <w:szCs w:val="16"/>
        </w:rPr>
        <w:t>сентября 1929</w:t>
      </w:r>
      <w:r w:rsidR="007C1411" w:rsidRPr="00E93F40">
        <w:rPr>
          <w:color w:val="000000" w:themeColor="text1"/>
          <w:sz w:val="16"/>
          <w:szCs w:val="16"/>
        </w:rPr>
        <w:t xml:space="preserve"> </w:t>
      </w:r>
      <w:r w:rsidRPr="00E93F40">
        <w:rPr>
          <w:color w:val="000000" w:themeColor="text1"/>
          <w:sz w:val="16"/>
          <w:szCs w:val="16"/>
        </w:rPr>
        <w:t>г. В марте-апреле 1930</w:t>
      </w:r>
      <w:r w:rsidR="007C1411" w:rsidRPr="00E93F40">
        <w:rPr>
          <w:color w:val="000000" w:themeColor="text1"/>
          <w:sz w:val="16"/>
          <w:szCs w:val="16"/>
        </w:rPr>
        <w:t xml:space="preserve"> </w:t>
      </w:r>
      <w:r w:rsidRPr="00E93F40">
        <w:rPr>
          <w:color w:val="000000" w:themeColor="text1"/>
          <w:sz w:val="16"/>
          <w:szCs w:val="16"/>
        </w:rPr>
        <w:t>г. на заводе им.</w:t>
      </w:r>
      <w:r w:rsidR="007C1411" w:rsidRPr="00E93F40">
        <w:rPr>
          <w:color w:val="000000" w:themeColor="text1"/>
          <w:sz w:val="16"/>
          <w:szCs w:val="16"/>
        </w:rPr>
        <w:t xml:space="preserve"> </w:t>
      </w:r>
      <w:r w:rsidRPr="00E93F40">
        <w:rPr>
          <w:color w:val="000000" w:themeColor="text1"/>
          <w:sz w:val="16"/>
          <w:szCs w:val="16"/>
        </w:rPr>
        <w:t>Марти заложили однотипные лодки «Гарибальдиец», «Чартист» и «Карбонарий». Головная лодка «Ленинец» была спущена на воду 28</w:t>
      </w:r>
      <w:r w:rsidR="007C1411" w:rsidRPr="00E93F40">
        <w:rPr>
          <w:color w:val="000000" w:themeColor="text1"/>
          <w:sz w:val="16"/>
          <w:szCs w:val="16"/>
        </w:rPr>
        <w:t xml:space="preserve"> </w:t>
      </w:r>
      <w:r w:rsidRPr="00E93F40">
        <w:rPr>
          <w:color w:val="000000" w:themeColor="text1"/>
          <w:sz w:val="16"/>
          <w:szCs w:val="16"/>
        </w:rPr>
        <w:t>февраля 1931</w:t>
      </w:r>
      <w:r w:rsidR="007C1411" w:rsidRPr="00E93F40">
        <w:rPr>
          <w:color w:val="000000" w:themeColor="text1"/>
          <w:sz w:val="16"/>
          <w:szCs w:val="16"/>
        </w:rPr>
        <w:t xml:space="preserve"> </w:t>
      </w:r>
      <w:r w:rsidRPr="00E93F40">
        <w:rPr>
          <w:color w:val="000000" w:themeColor="text1"/>
          <w:sz w:val="16"/>
          <w:szCs w:val="16"/>
        </w:rPr>
        <w:t>г. и вступила в строй 22</w:t>
      </w:r>
      <w:r w:rsidR="007C1411" w:rsidRPr="00E93F40">
        <w:rPr>
          <w:color w:val="000000" w:themeColor="text1"/>
          <w:sz w:val="16"/>
          <w:szCs w:val="16"/>
        </w:rPr>
        <w:t xml:space="preserve"> </w:t>
      </w:r>
      <w:r w:rsidRPr="00E93F40">
        <w:rPr>
          <w:color w:val="000000" w:themeColor="text1"/>
          <w:sz w:val="16"/>
          <w:szCs w:val="16"/>
        </w:rPr>
        <w:t>октября 1933</w:t>
      </w:r>
      <w:r w:rsidR="007C1411" w:rsidRPr="00E93F40">
        <w:rPr>
          <w:color w:val="000000" w:themeColor="text1"/>
          <w:sz w:val="16"/>
          <w:szCs w:val="16"/>
        </w:rPr>
        <w:t xml:space="preserve"> </w:t>
      </w:r>
      <w:r w:rsidRPr="00E93F40">
        <w:rPr>
          <w:color w:val="000000" w:themeColor="text1"/>
          <w:sz w:val="16"/>
          <w:szCs w:val="16"/>
        </w:rPr>
        <w:t>г.</w:t>
      </w:r>
    </w:p>
    <w:p w14:paraId="0AD40690" w14:textId="77777777" w:rsidR="0087389B" w:rsidRPr="00E93F40" w:rsidRDefault="0087389B" w:rsidP="00E93F40">
      <w:pPr>
        <w:pStyle w:val="ae"/>
        <w:spacing w:before="0" w:after="0"/>
        <w:jc w:val="both"/>
        <w:rPr>
          <w:color w:val="000000" w:themeColor="text1"/>
          <w:sz w:val="16"/>
          <w:szCs w:val="16"/>
        </w:rPr>
      </w:pPr>
      <w:r w:rsidRPr="00E93F40">
        <w:rPr>
          <w:color w:val="000000" w:themeColor="text1"/>
          <w:sz w:val="16"/>
          <w:szCs w:val="16"/>
        </w:rPr>
        <w:t>ГА РФ. Ф. Р-8418. Оп. 5. Д. 72. Л. 8—25. Заверенная копия.</w:t>
      </w:r>
    </w:p>
    <w:p w14:paraId="030C6DA0" w14:textId="50E94E23"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5. Д. 72. Л. 8—25. Заверенная копия. </w:t>
      </w:r>
    </w:p>
    <w:p w14:paraId="0ED64628" w14:textId="19F49925"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674-681 (12563).</w:t>
      </w:r>
    </w:p>
    <w:p w14:paraId="4D4E1465" w14:textId="77777777" w:rsidR="0087389B" w:rsidRPr="00E93F40" w:rsidRDefault="0087389B" w:rsidP="00E93F40">
      <w:pPr>
        <w:spacing w:after="0" w:line="240" w:lineRule="auto"/>
        <w:jc w:val="both"/>
        <w:rPr>
          <w:rFonts w:ascii="Times New Roman" w:hAnsi="Times New Roman"/>
          <w:color w:val="000000" w:themeColor="text1"/>
          <w:sz w:val="16"/>
          <w:szCs w:val="16"/>
        </w:rPr>
      </w:pPr>
    </w:p>
    <w:p w14:paraId="47714972" w14:textId="23AF354F"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14 июня 1932 закончились госиспытания нового звена, которые шли с 20 мая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За это время было сделано 11 полётов общей продолжительностью 23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ч 50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 В них участвовала та же команда: лётчики Залевский, Анисимов, Чкалов, бортинженеры</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Вахмистров и Морозов; не было только провинившегося при первом вылете лётчика Шарапова.</w:t>
      </w:r>
    </w:p>
    <w:p w14:paraId="601B83B0" w14:textId="04758922"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Так как «звену» нужно было летать на большие расстояния, с полной загрузкой, шасси ТБ-1 с наружной стороны усилили амортизационной стойкой от самолёта АНТ-9, а лонжерон в месте присоединения стойки укрепили добавочным подкосом. Был увеличен размер колёс. В бомбоотсеке установили дополнительные баки на 1250 литров бензина. Предполагалось, что с помощью ручного насоса бортмеханик будет подкачивать топливо в истребители. Внешние бензопроводы носителя и несомых самолётов соединялись через резиновую вставку, которая при взлёте И-4</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легко разъединялась. На практике перелива бензина из ТБ-1 в И-4 не проводили; возможно, система перекачки даже не была смонтирована.</w:t>
      </w:r>
    </w:p>
    <w:p w14:paraId="1A97D8A6" w14:textId="0F6726E5"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ходе полётов были замерены характеристики составного самолёта «Звено-1» при различном взлётном весе и сделан вывод, что система ТБ-1 + 2 И-4 при всех работающих моторах позволяет увеличить потолок на 500–600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м и сократить длину разбега по сравнению с одиночным ТБ-1 </w:t>
      </w:r>
      <w:hyperlink r:id="rId128" w:history="1">
        <w:r w:rsidRPr="00E93F40">
          <w:rPr>
            <w:rFonts w:ascii="Times New Roman" w:eastAsia="Times New Roman" w:hAnsi="Times New Roman"/>
            <w:color w:val="000000" w:themeColor="text1"/>
            <w:sz w:val="16"/>
            <w:szCs w:val="16"/>
            <w:lang w:eastAsia="ru-RU"/>
          </w:rPr>
          <w:t>[78]</w:t>
        </w:r>
      </w:hyperlink>
      <w:r w:rsidRPr="00E93F40">
        <w:rPr>
          <w:rFonts w:ascii="Times New Roman" w:eastAsia="Times New Roman" w:hAnsi="Times New Roman"/>
          <w:color w:val="000000" w:themeColor="text1"/>
          <w:sz w:val="16"/>
          <w:szCs w:val="16"/>
          <w:lang w:eastAsia="ru-RU"/>
        </w:rPr>
        <w:t xml:space="preserve"> .</w:t>
      </w:r>
    </w:p>
    <w:p w14:paraId="4E5F0663" w14:textId="0D59AD41"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один из дней состоялся полёт с отделением одного И-4 на высоте 1000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 Опыт прошёл успешно, нарушений устойчивости и управляемости ТБ-1 с одним самолётом на крыле не наблюдалось. Но перед посадкой второй истребитель также стартовал в полёт.</w:t>
      </w:r>
    </w:p>
    <w:p w14:paraId="2E84D2A4" w14:textId="1B495019"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 10 июня был намечен дальний перелёт самолёта-звена. ТБ-1 с двумя истребителями должен был стартовать в Монино, прилететь в Киев, отделить самолёты, сбросить на полигоне 1000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бомб и вернуться в Монино без промежуточных посадок. Баки всех трёх машин заправили до отказа, вес «звена»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составил 12 500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Но из-за сильного встречного ветра топлива хватило только до Брянска. Там самолёты приземлились. После заправки ТБ-1 продолжил полёт до Киева, а истребители вернулись в Монино.</w:t>
      </w:r>
    </w:p>
    <w:p w14:paraId="3891ACC7" w14:textId="77777777"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целом Государственные испытания сочли успешными. Рекомендовалось построить эскадрилью самолётов «Звено-1» для войсковых испытаний, перейти к опытам с бомбардировщиками ТБ-3 и истребителями И-5, разработать конструкцию и произвести опыты перелива горючего в истребители в полете в составе «Звена».</w:t>
      </w:r>
    </w:p>
    <w:p w14:paraId="479E27E8" w14:textId="26EB0532"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Новым шеф-пилотом самолёта-носителя «звеньев» стал лётчик-испытатель НИИ ВВС Пётр Михайлович Стефановский, оставивший интересные мемуары об этих экспериментах. Однажды ему пришлось сажать «Звено-1» с истребителями на крыле. В тот день намечался обычный полёт на отработку техники взлёта с крыла. Но лётчик истребителя В.К. Коккинаки, на рассчитав силу, оборвал трос расцепления замка задней опоры и не смог отделится от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ТБ-1. Так как посадка с одним самолётом на крыле была опасна из-за несимметричной конфигурации «звена», Пётр Михайлович запретил взлёт лётчику второго И-4 И.Ф. Гроздю, уже отсоединившему задний замок, пошёл на снижение и плавно коснулся земли. Казалось бы, всё позади. Но тут чуть не случилось непоправимое. Стефановский пишет: «Самолёт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Иустина (Гроздя)</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не сорвался ли он с плоскости? Глянул в его сторону и обмер. Истребитель повис на задней треноге крепления и раскачивается. Вверху в такт ему болтается лётчик. Одним словом — цирк Вахмистрова.</w:t>
      </w:r>
    </w:p>
    <w:p w14:paraId="196DD26A" w14:textId="41E4269B"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первую очередь освободили Гроздя. Обняли, расцеловали. Как-никак он больше всех натерпелся страху. А могло быть и хуже. Дело в том, что на пробеге, когда руль глубины из-за потери скорости потерял эффективность, истребитель, хвост которого не был закреплен, начал сползать с плоскости бомбардировщика. Задняя ферма крепления, наклонившись под углом тридцать градусов, прорвала фюзеляж И-4 и уперлась в спинку сиденья лётчика.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Нос истребителя неестественно задрался. Будь при посадке толчок посильнее, самолёт Гроздя сорвался бы» </w:t>
      </w:r>
      <w:hyperlink r:id="rId129" w:history="1">
        <w:r w:rsidRPr="00E93F40">
          <w:rPr>
            <w:rFonts w:ascii="Times New Roman" w:eastAsia="Times New Roman" w:hAnsi="Times New Roman"/>
            <w:color w:val="000000" w:themeColor="text1"/>
            <w:sz w:val="16"/>
            <w:szCs w:val="16"/>
            <w:lang w:eastAsia="ru-RU"/>
          </w:rPr>
          <w:t>[79]</w:t>
        </w:r>
      </w:hyperlink>
      <w:r w:rsidRPr="00E93F40">
        <w:rPr>
          <w:rFonts w:ascii="Times New Roman" w:eastAsia="Times New Roman" w:hAnsi="Times New Roman"/>
          <w:color w:val="000000" w:themeColor="text1"/>
          <w:sz w:val="16"/>
          <w:szCs w:val="16"/>
          <w:lang w:eastAsia="ru-RU"/>
        </w:rPr>
        <w:t xml:space="preserve"> (17489).</w:t>
      </w:r>
    </w:p>
    <w:p w14:paraId="252DEBE6" w14:textId="77777777" w:rsidR="007E6A6C" w:rsidRPr="00E93F40" w:rsidRDefault="007E6A6C" w:rsidP="00E93F40">
      <w:pPr>
        <w:spacing w:after="0" w:line="240" w:lineRule="auto"/>
        <w:jc w:val="both"/>
        <w:rPr>
          <w:rFonts w:ascii="Times New Roman" w:eastAsia="Times New Roman" w:hAnsi="Times New Roman"/>
          <w:color w:val="000000" w:themeColor="text1"/>
          <w:sz w:val="16"/>
          <w:szCs w:val="16"/>
          <w:lang w:eastAsia="ru-RU"/>
        </w:rPr>
      </w:pPr>
    </w:p>
    <w:p w14:paraId="3FD21BF6" w14:textId="78D7B435" w:rsidR="00F57C9C" w:rsidRPr="00142305" w:rsidRDefault="00F57C9C" w:rsidP="00F57C9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14 июня 1932 г. на СЗ-1 провели отцепку только одного из двух истре</w:t>
      </w:r>
      <w:r w:rsidRPr="00142305">
        <w:rPr>
          <w:rStyle w:val="aff"/>
          <w:rFonts w:ascii="Times New Roman" w:hAnsi="Times New Roman" w:cs="Times New Roman"/>
          <w:color w:val="0070C0"/>
          <w:spacing w:val="0"/>
          <w:sz w:val="16"/>
          <w:szCs w:val="16"/>
        </w:rPr>
        <w:softHyphen/>
        <w:t>бителей. С одним закреплённым истребителем ТБ-1 сохранял устойчивость и мог продолжать прямолинейный полёт</w:t>
      </w:r>
      <w:r>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rPr>
        <w:t>(25618).</w:t>
      </w:r>
    </w:p>
    <w:p w14:paraId="7A8790D8" w14:textId="77777777" w:rsidR="00F57C9C" w:rsidRPr="00F57C9C" w:rsidRDefault="00F57C9C" w:rsidP="00F57C9C">
      <w:pPr>
        <w:pStyle w:val="aff2"/>
        <w:tabs>
          <w:tab w:val="left" w:pos="594"/>
        </w:tabs>
        <w:spacing w:line="240" w:lineRule="auto"/>
        <w:rPr>
          <w:rFonts w:ascii="Times New Roman" w:hAnsi="Times New Roman" w:cs="Times New Roman"/>
          <w:i w:val="0"/>
          <w:iCs w:val="0"/>
          <w:color w:val="0070C0"/>
          <w:sz w:val="16"/>
          <w:szCs w:val="16"/>
          <w:lang w:val="ru-RU"/>
        </w:rPr>
      </w:pPr>
    </w:p>
    <w:p w14:paraId="6DBFA3A7" w14:textId="77777777" w:rsidR="00BC4A5C" w:rsidRPr="00E93F40" w:rsidRDefault="00BC4A5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BF63A59" w14:textId="77777777" w:rsidR="00BC4A5C" w:rsidRPr="00E93F40" w:rsidRDefault="00BC4A5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294BC3" w14:textId="77777777" w:rsidR="00BC4A5C" w:rsidRPr="00E93F40" w:rsidRDefault="00BC4A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июня 1931 г. представители Остехбюро и НИПС подписали протокол об успешном испытании гидроакустической системы обнаружения барьерного типа с приемом информации с надводного корабля (18667).</w:t>
      </w:r>
    </w:p>
    <w:p w14:paraId="2B4C532E" w14:textId="77777777" w:rsidR="00BC4A5C" w:rsidRPr="00E93F40" w:rsidRDefault="00BC4A5C" w:rsidP="00E93F40">
      <w:pPr>
        <w:spacing w:after="0" w:line="240" w:lineRule="auto"/>
        <w:jc w:val="both"/>
        <w:rPr>
          <w:rFonts w:ascii="Times New Roman" w:hAnsi="Times New Roman"/>
          <w:color w:val="000000" w:themeColor="text1"/>
          <w:sz w:val="16"/>
          <w:szCs w:val="16"/>
        </w:rPr>
      </w:pPr>
    </w:p>
    <w:p w14:paraId="2A1FCF4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1606A4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ADB08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июня 1932 г. В войсках ОГПУ сформированы части противовоздушной обороны (10303).</w:t>
      </w:r>
    </w:p>
    <w:p w14:paraId="0FD0D3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40953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DA9655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6A11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закончились летные испытания самолета "Звено 3-1" С.3.1. (ТБ1-2И4), которые проходили с 19 мая 1932.</w:t>
      </w:r>
    </w:p>
    <w:p w14:paraId="6CB4E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730780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Летчики: Залевский, Анисимов, Чкалов</w:t>
      </w:r>
    </w:p>
    <w:p w14:paraId="01CBE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Летнабы: Вахмистров, Морозов</w:t>
      </w:r>
    </w:p>
    <w:p w14:paraId="06C8C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 Куликов</w:t>
      </w:r>
    </w:p>
    <w:p w14:paraId="5F53C4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2B990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 с целью определения полетно-эксплуатационных данных и выявления надежности действия всех механизмов.</w:t>
      </w:r>
    </w:p>
    <w:p w14:paraId="27F7F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Объект испытаний</w:t>
      </w:r>
    </w:p>
    <w:p w14:paraId="7016A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ТБ1 N 651 с моторами М-17 NN 2632 и 2638 по 500х600 НР.</w:t>
      </w:r>
    </w:p>
    <w:p w14:paraId="311F7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Винты сист. ЦАГИ.</w:t>
      </w:r>
    </w:p>
    <w:p w14:paraId="1EBF55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И4 NN 1651 и 1655 с моторами ЮVI NN 42074 и 42053 по 480 НР.</w:t>
      </w:r>
    </w:p>
    <w:p w14:paraId="2D40AB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Винты завода N 28.</w:t>
      </w:r>
    </w:p>
    <w:p w14:paraId="24F991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 самолета</w:t>
      </w:r>
    </w:p>
    <w:p w14:paraId="154DE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_3-1_ может быть использован по 3-м основным назначениям:</w:t>
      </w:r>
    </w:p>
    <w:p w14:paraId="6834D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Бомбардирование глубокого тыла противника под охраной своих истребителей. В этом случае при полете к цели И-4 питаются горючим из ТБ1, а обратно отцепившись летят на своем горючем.</w:t>
      </w:r>
    </w:p>
    <w:p w14:paraId="4F65E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Помощь тяжело груженному бомбардировщику при подъеме с аэродрома когда мощности своих моторов у него для этого не хватает. Доставив бомбардировщика на определенную высоту, истребители отцепляются и уходят на свой аэродром.</w:t>
      </w:r>
    </w:p>
    <w:p w14:paraId="13378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потолка тяжелого бомбардировщика при переходе им линии фронта и защиты его от истребителей и противника в ближнем тылу. В этом случае 3-1 (Звено) летит в ближний тыл противника на глубину радиуса действия И4, а дальше продолжает полет один (изолированно), истребители же возвращаются на свой аэродром.</w:t>
      </w:r>
    </w:p>
    <w:p w14:paraId="53B5D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45BED6FF" w14:textId="77777777">
        <w:tc>
          <w:tcPr>
            <w:tcW w:w="5636" w:type="dxa"/>
          </w:tcPr>
          <w:p w14:paraId="0137FC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года</w:t>
            </w:r>
          </w:p>
        </w:tc>
        <w:tc>
          <w:tcPr>
            <w:tcW w:w="5636" w:type="dxa"/>
          </w:tcPr>
          <w:p w14:paraId="5BDCE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начало испытаний</w:t>
            </w:r>
          </w:p>
        </w:tc>
      </w:tr>
      <w:tr w:rsidR="00DA227A" w:rsidRPr="00E93F40" w14:paraId="43D1CAA8" w14:textId="77777777">
        <w:tc>
          <w:tcPr>
            <w:tcW w:w="5636" w:type="dxa"/>
          </w:tcPr>
          <w:p w14:paraId="454AC4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20-22 мая 1932 года</w:t>
            </w:r>
          </w:p>
        </w:tc>
        <w:tc>
          <w:tcPr>
            <w:tcW w:w="5636" w:type="dxa"/>
          </w:tcPr>
          <w:p w14:paraId="60700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и полеты по программе</w:t>
            </w:r>
          </w:p>
        </w:tc>
      </w:tr>
      <w:tr w:rsidR="00DA227A" w:rsidRPr="00E93F40" w14:paraId="11093FEE" w14:textId="77777777">
        <w:tc>
          <w:tcPr>
            <w:tcW w:w="5636" w:type="dxa"/>
          </w:tcPr>
          <w:p w14:paraId="62587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мая - 15 июня 1932 года</w:t>
            </w:r>
          </w:p>
        </w:tc>
        <w:tc>
          <w:tcPr>
            <w:tcW w:w="5636" w:type="dxa"/>
          </w:tcPr>
          <w:p w14:paraId="774E47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находился в ЦАГИ для установки новой схемы питания</w:t>
            </w:r>
          </w:p>
        </w:tc>
      </w:tr>
      <w:tr w:rsidR="00DA227A" w:rsidRPr="00E93F40" w14:paraId="5CD17CCF" w14:textId="77777777">
        <w:tc>
          <w:tcPr>
            <w:tcW w:w="5636" w:type="dxa"/>
          </w:tcPr>
          <w:p w14:paraId="2AE63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года</w:t>
            </w:r>
          </w:p>
        </w:tc>
        <w:tc>
          <w:tcPr>
            <w:tcW w:w="5636" w:type="dxa"/>
          </w:tcPr>
          <w:p w14:paraId="5DFA0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закончены</w:t>
            </w:r>
          </w:p>
        </w:tc>
      </w:tr>
    </w:tbl>
    <w:p w14:paraId="6BADF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находился на испытании 28 календарных дней.</w:t>
      </w:r>
    </w:p>
    <w:p w14:paraId="0C54F6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 11 полетов, налетано 23 часа 50 мин.</w:t>
      </w:r>
    </w:p>
    <w:p w14:paraId="328DF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0B2D3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Построить эскадрилью самолетов 3-1 для выявления тактико-эксплуатационных свойств этого самолета в строю.</w:t>
      </w:r>
    </w:p>
    <w:p w14:paraId="612E5D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конструкцию и произвести опытную установку на самолете ТБ3 3-х самолетов И-6 и на ТБ1 двух самолетов И-5.</w:t>
      </w:r>
    </w:p>
    <w:p w14:paraId="4AC3B2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конструкцию и произвести опытную работу с проливом горючего с самолетов ТБ1 и ТБ3 на И4 и И5.</w:t>
      </w:r>
    </w:p>
    <w:p w14:paraId="5091D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работы произвести под руководством инженера Вахмистрова, выделив для этого основную группу производившую работу по самолету _3-1_, а именно: из НИИ инженера Морозова В.В., из ЦАГИ инженера Привен Д.Л., конструктора Емельянова и рабочего Полякова И.</w:t>
      </w:r>
    </w:p>
    <w:p w14:paraId="0532D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Конструирование и производство указанных работ считать наиболее удобным производить на заводе БНК.</w:t>
      </w:r>
    </w:p>
    <w:p w14:paraId="0BC79C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 опытного строительства во 2-ю пятилетку включить постройку специального 2-х местного истребителя для _Звена_ и самолета - тягача для улучшения подъема тяжелых самолетов (3822,4-44).</w:t>
      </w:r>
    </w:p>
    <w:p w14:paraId="03BA0F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E393F3"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15 июня</w:t>
      </w:r>
      <w:r w:rsidRPr="00E93F40">
        <w:rPr>
          <w:rFonts w:ascii="Times New Roman" w:hAnsi="Times New Roman"/>
          <w:color w:val="000000" w:themeColor="text1"/>
          <w:sz w:val="16"/>
          <w:szCs w:val="16"/>
        </w:rPr>
        <w:t xml:space="preserve"> в 1932 году образовано ОАО "Производственно-конструкторское предприятие "Респиратор" - cерийное предприятие по профилю кислородного авиаприборостроения. Существующее положение предприятия, на рынке определено его научно-техническим потенциалом, который включает в себя более 200 высоко квалифицированных инженеров, конструкторов, технологов, испытателей, исследователей и программистов. В составе предприятия функционируют: ОКБ "Респиратор", занимающееся длительное время НИР и ОКР по авиационной тематике, лаборатория макетных образцов (ЛМО) и лабораторно испытательный комплекс (ЛИК), включающий в себя лабораторию по испытаниям надежности изделий и систем, центральную заводскую лабораторию (ЦЗЛ) и центральную измерительную лабораторию (ЦИЛ), а также подразделения сервисного обслуживания и ремонта. ОАО "ПКП"Респиратор" является ведущим производителем на Российском рынке средств индивидуальной защиты органов дыхания: весь спектр отечественных дыхательных аппаратов, предназначенных для индивидуальной защиты органов дыхания и зрения человека; разработка и изготовление новых изделий для различных сфер применения: авиация, военно-морской флот, торговый, рыбопромысловый флот, медицина катастроф, водолазные и спасательные работы, и др; агрегаты и системы, обеспечивающие жизнедеятельность экипажей и спасение пассажиров для всех типов самолетов; изделия для подводного плавания, начиная с простейшего снаряжения пловца-ныряльщика до профессиональных аквалангов и индивидуальных дыхательных аппаратов различного назначения; поверочные контрольные установки; аппараты для защиты органов дыхания и зрения при работе спасателей и пожарных в токсичной и задымленной среде; дыхательная медицинская техника; ингаляторы кислорода, наркозные аппараты, кислородные станции; воздушные, кислородные вентили и редукторы, вентили для водорода, как для транспортных, так и для малолитражных баллонов; противопылевые маски, маски для пескоструйных работ, шумозащитные наушники и многое другое (14923).</w:t>
      </w:r>
    </w:p>
    <w:p w14:paraId="1CAF89C7" w14:textId="77777777" w:rsidR="00925EF1" w:rsidRPr="00E93F40" w:rsidRDefault="00925EF1" w:rsidP="00E93F40">
      <w:pPr>
        <w:spacing w:after="0" w:line="240" w:lineRule="auto"/>
        <w:jc w:val="both"/>
        <w:rPr>
          <w:rFonts w:ascii="Times New Roman" w:hAnsi="Times New Roman"/>
          <w:color w:val="000000" w:themeColor="text1"/>
          <w:sz w:val="16"/>
          <w:szCs w:val="16"/>
        </w:rPr>
      </w:pPr>
    </w:p>
    <w:p w14:paraId="154549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закончились госиспытания после всех проведенных доработок «Самолета-Звено-1», которые проходили с 20 мая. Было выполнено 9 испытательных и контрольных полетов с отцепкой истреби</w:t>
      </w:r>
      <w:r w:rsidRPr="00E93F40">
        <w:rPr>
          <w:rFonts w:ascii="Times New Roman" w:hAnsi="Times New Roman"/>
          <w:color w:val="000000" w:themeColor="text1"/>
          <w:sz w:val="16"/>
          <w:szCs w:val="16"/>
        </w:rPr>
        <w:softHyphen/>
        <w:t>телей в воздухе. На 10 июня запланировали перелет по маршруту Монино-Киев-Мони-но с максимальным полетным весом. По плану, ТБ-1 должен был прилететь в район Киева, выпустить истребители, сбросить 1000 кг бомб и вернуться в Монино. Однако сильный встречный ветер заставил произ</w:t>
      </w:r>
      <w:r w:rsidRPr="00E93F40">
        <w:rPr>
          <w:rFonts w:ascii="Times New Roman" w:hAnsi="Times New Roman"/>
          <w:color w:val="000000" w:themeColor="text1"/>
          <w:sz w:val="16"/>
          <w:szCs w:val="16"/>
        </w:rPr>
        <w:softHyphen/>
        <w:t>вести расцепку в районе Брянска. Впрочем, это не повлияло на положительный отзыв об испытаниях (11286).</w:t>
      </w:r>
    </w:p>
    <w:p w14:paraId="1E12FC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5D98F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6C1B4F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491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 приказом Государственного Всесоюзного треста "Союзазот" Народного комиссариата тяжелой промышленности СССР был создан Государственный институт по проектированию азотно-туковых заводов и комбинатов "Гипроазот", который вместе с Государственным научно-исследовательским институтом азота (ГИА), созданным на основании постановления ВСНХ СССР от 15 марта 1931 г., 21 апреля 1943 г. распоряжения Совета Народных Комиссаров СССР и приказом Народного Комиссариата химической промышленности от 29 апреля 1943 г. стал Государственным научно-исследовательским и проектным институтом (ГИАП). В 1959 г. институт был переименован в Государственный научно-исследовательский и проектный институт азотной промышленности и продуктов органического синтеза (ГИАП). Указом Президиума Верховного Совета СССР от 17 февраля 1976 г. он был награжден орденом Трудового Красного Знамени. Распоряжением Госкомимущества РФ от 17 января 1994 г. институт был преобразован в Акционерное общество открытого типа "Научно-исследовательский и проектный институт азотной промышленности и продуктов органического синтеза" (АООТ "ГИАП"), которое в соответствии с уставом, зарегистрированным Московской регистрационной палатой 17 февраля 1994 г., было переименовано в Открытое акционерное общество "Научно-исследовательский и проектный институт азотной промышленности и продуктов органического синтеза" (ОАО "ГИАП").</w:t>
      </w:r>
    </w:p>
    <w:p w14:paraId="0F8719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EAC1F5"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15 июня 1932 </w:t>
      </w:r>
      <w:r w:rsidRPr="00E93F40">
        <w:rPr>
          <w:rFonts w:ascii="Times New Roman" w:hAnsi="Times New Roman"/>
          <w:color w:val="000000" w:themeColor="text1"/>
          <w:sz w:val="16"/>
          <w:szCs w:val="16"/>
        </w:rPr>
        <w:t>СНК принял постановление «О Всесоюзном комитете по стандартизации при СТО» (12265).</w:t>
      </w:r>
    </w:p>
    <w:p w14:paraId="651FB684" w14:textId="57F9A19D" w:rsidR="0087389B"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 </w:t>
      </w:r>
    </w:p>
    <w:p w14:paraId="2E4FFEAE" w14:textId="508B5428" w:rsidR="00B06A5E" w:rsidRPr="00E93F40" w:rsidRDefault="00B06A5E"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293FF33B" w14:textId="77777777" w:rsidR="00B06A5E" w:rsidRPr="00E93F40" w:rsidRDefault="00B06A5E" w:rsidP="00E93F40">
      <w:pPr>
        <w:spacing w:after="0" w:line="240" w:lineRule="auto"/>
        <w:jc w:val="both"/>
        <w:rPr>
          <w:rFonts w:ascii="Times New Roman" w:hAnsi="Times New Roman"/>
          <w:i/>
          <w:iCs/>
          <w:color w:val="000000" w:themeColor="text1"/>
          <w:sz w:val="16"/>
          <w:szCs w:val="16"/>
        </w:rPr>
      </w:pPr>
    </w:p>
    <w:p w14:paraId="789CF91D" w14:textId="77777777" w:rsidR="00B06A5E" w:rsidRPr="00E93F40" w:rsidRDefault="00B06A5E"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15 июня 1932 г. после утверждения мобилизационного расписания РВСС, заслушав доклад начальника Организационного управления Штаба Зиновьева, постановил "штатную численность РККА на 1.1.33 г. установить в 1 084 000 человек и представить в 5-дневный срок на утверждение КО". Ориентировочная численность РККА на 1 января 1934 г. была определена с минимальным увеличением в размере 1 100 000 человек (Постановление РВС СССР, 15.06.1932 // РГВА Ф. 4. Оп. 18. Д 22. Л. 347) (22725).</w:t>
      </w:r>
    </w:p>
    <w:p w14:paraId="390DCE0A" w14:textId="77777777" w:rsidR="00B06A5E" w:rsidRPr="00E93F40" w:rsidRDefault="00B06A5E" w:rsidP="00E93F40">
      <w:pPr>
        <w:spacing w:after="0" w:line="240" w:lineRule="auto"/>
        <w:jc w:val="both"/>
        <w:rPr>
          <w:rFonts w:ascii="Times New Roman" w:hAnsi="Times New Roman"/>
          <w:color w:val="000000" w:themeColor="text1"/>
          <w:sz w:val="16"/>
          <w:szCs w:val="16"/>
        </w:rPr>
      </w:pPr>
    </w:p>
    <w:p w14:paraId="0CA9C23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78B9C4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F73EC2" w14:textId="4511DD5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 Пятаков достиг рамочного соглашения о поставках, расширявших «соглашение Пятакова» от 14 апреля 1931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(Rosenfeld Gunter. Op. cit. .S. 419.). 17 января 1933 г. был подписан советско-германский протокол об увеличении экспорта СССР в Германию и предоставления ему кредитов под закупки оборудования. 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 (в млн. марок) (Архив НКВТ СССР, ф. Особый сектор, on. 6066, д. 233, л. 129, огп)</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573"/>
        <w:gridCol w:w="3223"/>
        <w:gridCol w:w="3091"/>
        <w:gridCol w:w="1633"/>
        <w:gridCol w:w="838"/>
      </w:tblGrid>
      <w:tr w:rsidR="00DA227A" w:rsidRPr="00E93F40" w14:paraId="495C3867" w14:textId="77777777">
        <w:tc>
          <w:tcPr>
            <w:tcW w:w="573" w:type="dxa"/>
            <w:tcBorders>
              <w:top w:val="single" w:sz="12" w:space="0" w:color="000000"/>
            </w:tcBorders>
          </w:tcPr>
          <w:p w14:paraId="352F9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Годы</w:t>
            </w:r>
          </w:p>
        </w:tc>
        <w:tc>
          <w:tcPr>
            <w:tcW w:w="3223" w:type="dxa"/>
            <w:tcBorders>
              <w:top w:val="single" w:sz="12" w:space="0" w:color="000000"/>
            </w:tcBorders>
          </w:tcPr>
          <w:p w14:paraId="7E0F7C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Экспорт СССР в Германию </w:t>
            </w:r>
          </w:p>
        </w:tc>
        <w:tc>
          <w:tcPr>
            <w:tcW w:w="3091" w:type="dxa"/>
            <w:tcBorders>
              <w:top w:val="single" w:sz="12" w:space="0" w:color="000000"/>
            </w:tcBorders>
          </w:tcPr>
          <w:p w14:paraId="331DF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Импорт СССР из Германии</w:t>
            </w:r>
          </w:p>
        </w:tc>
        <w:tc>
          <w:tcPr>
            <w:tcW w:w="1633" w:type="dxa"/>
            <w:tcBorders>
              <w:top w:val="single" w:sz="12" w:space="0" w:color="000000"/>
            </w:tcBorders>
          </w:tcPr>
          <w:p w14:paraId="1F4AB8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Товарооборот</w:t>
            </w:r>
          </w:p>
        </w:tc>
        <w:tc>
          <w:tcPr>
            <w:tcW w:w="838" w:type="dxa"/>
            <w:tcBorders>
              <w:top w:val="single" w:sz="12" w:space="0" w:color="000000"/>
            </w:tcBorders>
          </w:tcPr>
          <w:p w14:paraId="1087EB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Сальдо</w:t>
            </w:r>
          </w:p>
        </w:tc>
      </w:tr>
      <w:tr w:rsidR="00DA227A" w:rsidRPr="00E93F40" w14:paraId="3F7BE0E2" w14:textId="77777777">
        <w:tc>
          <w:tcPr>
            <w:tcW w:w="573" w:type="dxa"/>
          </w:tcPr>
          <w:p w14:paraId="71ECB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3223" w:type="dxa"/>
          </w:tcPr>
          <w:p w14:paraId="208575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425,7</w:t>
            </w:r>
          </w:p>
        </w:tc>
        <w:tc>
          <w:tcPr>
            <w:tcW w:w="3091" w:type="dxa"/>
          </w:tcPr>
          <w:p w14:paraId="3AE79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353,9</w:t>
            </w:r>
          </w:p>
        </w:tc>
        <w:tc>
          <w:tcPr>
            <w:tcW w:w="1633" w:type="dxa"/>
          </w:tcPr>
          <w:p w14:paraId="627490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779,6</w:t>
            </w:r>
          </w:p>
        </w:tc>
        <w:tc>
          <w:tcPr>
            <w:tcW w:w="838" w:type="dxa"/>
          </w:tcPr>
          <w:p w14:paraId="2CCC9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+71,8</w:t>
            </w:r>
          </w:p>
        </w:tc>
      </w:tr>
      <w:tr w:rsidR="00DA227A" w:rsidRPr="00E93F40" w14:paraId="5E84B205" w14:textId="77777777">
        <w:tc>
          <w:tcPr>
            <w:tcW w:w="573" w:type="dxa"/>
          </w:tcPr>
          <w:p w14:paraId="0E6F2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3223" w:type="dxa"/>
          </w:tcPr>
          <w:p w14:paraId="5888B8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436,3</w:t>
            </w:r>
          </w:p>
        </w:tc>
        <w:tc>
          <w:tcPr>
            <w:tcW w:w="3091" w:type="dxa"/>
          </w:tcPr>
          <w:p w14:paraId="100C2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430,6</w:t>
            </w:r>
          </w:p>
        </w:tc>
        <w:tc>
          <w:tcPr>
            <w:tcW w:w="1633" w:type="dxa"/>
          </w:tcPr>
          <w:p w14:paraId="3E6BD7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866,9</w:t>
            </w:r>
          </w:p>
        </w:tc>
        <w:tc>
          <w:tcPr>
            <w:tcW w:w="838" w:type="dxa"/>
          </w:tcPr>
          <w:p w14:paraId="4A3E99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p>
        </w:tc>
      </w:tr>
      <w:tr w:rsidR="00DA227A" w:rsidRPr="00E93F40" w14:paraId="45D4FEA4" w14:textId="77777777">
        <w:tc>
          <w:tcPr>
            <w:tcW w:w="573" w:type="dxa"/>
          </w:tcPr>
          <w:p w14:paraId="23AE44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23" w:type="dxa"/>
          </w:tcPr>
          <w:p w14:paraId="6F8314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303,5</w:t>
            </w:r>
          </w:p>
        </w:tc>
        <w:tc>
          <w:tcPr>
            <w:tcW w:w="3091" w:type="dxa"/>
          </w:tcPr>
          <w:p w14:paraId="12B2D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762,7</w:t>
            </w:r>
          </w:p>
        </w:tc>
        <w:tc>
          <w:tcPr>
            <w:tcW w:w="1633" w:type="dxa"/>
          </w:tcPr>
          <w:p w14:paraId="71E2EF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1066,2</w:t>
            </w:r>
          </w:p>
        </w:tc>
        <w:tc>
          <w:tcPr>
            <w:tcW w:w="838" w:type="dxa"/>
          </w:tcPr>
          <w:p w14:paraId="2A1D6C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-499,2</w:t>
            </w:r>
          </w:p>
        </w:tc>
      </w:tr>
      <w:tr w:rsidR="00DA227A" w:rsidRPr="00E93F40" w14:paraId="5C73A5E9" w14:textId="77777777">
        <w:tc>
          <w:tcPr>
            <w:tcW w:w="573" w:type="dxa"/>
          </w:tcPr>
          <w:p w14:paraId="1739B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23" w:type="dxa"/>
          </w:tcPr>
          <w:p w14:paraId="1BE6FE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270,9</w:t>
            </w:r>
          </w:p>
        </w:tc>
        <w:tc>
          <w:tcPr>
            <w:tcW w:w="3091" w:type="dxa"/>
          </w:tcPr>
          <w:p w14:paraId="07C0EE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625,8</w:t>
            </w:r>
          </w:p>
        </w:tc>
        <w:tc>
          <w:tcPr>
            <w:tcW w:w="1633" w:type="dxa"/>
          </w:tcPr>
          <w:p w14:paraId="0F858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896,7</w:t>
            </w:r>
          </w:p>
        </w:tc>
        <w:tc>
          <w:tcPr>
            <w:tcW w:w="838" w:type="dxa"/>
          </w:tcPr>
          <w:p w14:paraId="10F32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-354,9</w:t>
            </w:r>
          </w:p>
        </w:tc>
      </w:tr>
      <w:tr w:rsidR="00DA227A" w:rsidRPr="00E93F40" w14:paraId="423A111D" w14:textId="77777777">
        <w:tc>
          <w:tcPr>
            <w:tcW w:w="573" w:type="dxa"/>
          </w:tcPr>
          <w:p w14:paraId="5BB0C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3223" w:type="dxa"/>
          </w:tcPr>
          <w:p w14:paraId="26F27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194,1</w:t>
            </w:r>
          </w:p>
        </w:tc>
        <w:tc>
          <w:tcPr>
            <w:tcW w:w="3091" w:type="dxa"/>
          </w:tcPr>
          <w:p w14:paraId="3E4288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282,2</w:t>
            </w:r>
          </w:p>
        </w:tc>
        <w:tc>
          <w:tcPr>
            <w:tcW w:w="1633" w:type="dxa"/>
          </w:tcPr>
          <w:p w14:paraId="196AD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476,3</w:t>
            </w:r>
          </w:p>
        </w:tc>
        <w:tc>
          <w:tcPr>
            <w:tcW w:w="838" w:type="dxa"/>
          </w:tcPr>
          <w:p w14:paraId="32C171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-88,1</w:t>
            </w:r>
          </w:p>
        </w:tc>
      </w:tr>
      <w:tr w:rsidR="00DA227A" w:rsidRPr="00E93F40" w14:paraId="5E3FA115" w14:textId="77777777">
        <w:tc>
          <w:tcPr>
            <w:tcW w:w="573" w:type="dxa"/>
            <w:tcBorders>
              <w:bottom w:val="single" w:sz="12" w:space="0" w:color="000000"/>
            </w:tcBorders>
          </w:tcPr>
          <w:p w14:paraId="48AF5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w:t>
            </w:r>
          </w:p>
        </w:tc>
        <w:tc>
          <w:tcPr>
            <w:tcW w:w="3223" w:type="dxa"/>
            <w:tcBorders>
              <w:bottom w:val="single" w:sz="12" w:space="0" w:color="000000"/>
            </w:tcBorders>
          </w:tcPr>
          <w:p w14:paraId="0A0D61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233,0</w:t>
            </w:r>
          </w:p>
        </w:tc>
        <w:tc>
          <w:tcPr>
            <w:tcW w:w="3091" w:type="dxa"/>
            <w:tcBorders>
              <w:bottom w:val="single" w:sz="12" w:space="0" w:color="000000"/>
            </w:tcBorders>
          </w:tcPr>
          <w:p w14:paraId="3E627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63,31</w:t>
            </w:r>
          </w:p>
        </w:tc>
        <w:tc>
          <w:tcPr>
            <w:tcW w:w="1633" w:type="dxa"/>
            <w:tcBorders>
              <w:bottom w:val="single" w:sz="12" w:space="0" w:color="000000"/>
            </w:tcBorders>
          </w:tcPr>
          <w:p w14:paraId="6248F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286,31</w:t>
            </w:r>
          </w:p>
        </w:tc>
        <w:tc>
          <w:tcPr>
            <w:tcW w:w="838" w:type="dxa"/>
            <w:tcBorders>
              <w:bottom w:val="single" w:sz="12" w:space="0" w:color="000000"/>
            </w:tcBorders>
          </w:tcPr>
          <w:p w14:paraId="24800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+159,7</w:t>
            </w:r>
          </w:p>
        </w:tc>
      </w:tr>
    </w:tbl>
    <w:p w14:paraId="4A138C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(11784).</w:t>
      </w:r>
    </w:p>
    <w:p w14:paraId="6B0A9D3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3DA15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464661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AD8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атакой боливийских войск на позиции парагвайцев в спорном пограничном конфликте Чако-Бореаль началась чакская война между Боливией и Парагваем (3907,173).</w:t>
      </w:r>
    </w:p>
    <w:p w14:paraId="0D99D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6331E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27DAE4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949BD5"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16 июня [1932 г.] Каганович — Сталину</w:t>
      </w:r>
    </w:p>
    <w:p w14:paraId="322B2EBE"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16/VI</w:t>
      </w:r>
    </w:p>
    <w:p w14:paraId="3DAD0C4F"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Здравствуйте, дорогой т. Оралин!</w:t>
      </w:r>
    </w:p>
    <w:p w14:paraId="32BE1202"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w:t>
      </w:r>
    </w:p>
    <w:p w14:paraId="40C5B25D"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2) Теперь по вопросу о том, как обстоит дело с выполнением программы по аэропланам, танкам, моторам и т.д. Вся программа по самолетам на пять м[есяцев] 1000 штук. Выполнено 957, т.е. 96%. За май программа 264, выполнено 225 штук, т.е. 85%. За пять м[есяцев] произведено 426 разведчиков против плана 400, т.е. 106%. Выполнение июньского плана будет не хуже майского. За май программа 90, выполнено </w:t>
      </w:r>
      <w:r w:rsidRPr="00E93F40">
        <w:rPr>
          <w:rFonts w:ascii="Times New Roman" w:eastAsia="Times New Roman" w:hAnsi="Times New Roman"/>
          <w:color w:val="000000" w:themeColor="text1"/>
          <w:sz w:val="16"/>
          <w:szCs w:val="16"/>
          <w:u w:val="single"/>
          <w:lang w:eastAsia="ru-RU"/>
        </w:rPr>
        <w:t>100</w:t>
      </w:r>
      <w:r w:rsidRPr="00E93F40">
        <w:rPr>
          <w:rFonts w:ascii="Times New Roman" w:eastAsia="Times New Roman" w:hAnsi="Times New Roman"/>
          <w:color w:val="000000" w:themeColor="text1"/>
          <w:sz w:val="16"/>
          <w:szCs w:val="16"/>
          <w:lang w:eastAsia="ru-RU"/>
        </w:rPr>
        <w:t>. Хуже дело обстоит с истребителями. Программа за пять месяцев 116 самолетов, а выполнено 58, т.е. 50%. Программа на май 46, выполнено 22. Объясняют тем, что новые конструкции еще не привились в производстве, но это надо проверить, чем я и займусь в ближайшие дни. По ТБ-3 пятимесячная программа в 30 самолетов выполнена. Произведено 31, но, к сожалению, сдано только 5 шт[ук). 26 готовых самолетов не могут быть сданы из-за плохой конструкции радиатора (дает течь) и из-за отсутствия вооружения. Вооружением занимались мало, хотя в свое [время] и тяжпромовцы и военные отрицали это на Комиссии обороны, когда этот вопрос был поставлен. Сейчас для производства вооружения (бомбодержатели и т.п.) прикреплен Московский авиационный завод № 20.</w:t>
      </w:r>
    </w:p>
    <w:p w14:paraId="7B58793E"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u w:val="single"/>
          <w:lang w:eastAsia="ru-RU"/>
        </w:rPr>
        <w:t>По моторам</w:t>
      </w:r>
      <w:r w:rsidRPr="00E93F40">
        <w:rPr>
          <w:rFonts w:ascii="Times New Roman" w:eastAsia="Times New Roman" w:hAnsi="Times New Roman"/>
          <w:color w:val="000000" w:themeColor="text1"/>
          <w:sz w:val="16"/>
          <w:szCs w:val="16"/>
          <w:lang w:eastAsia="ru-RU"/>
        </w:rPr>
        <w:t xml:space="preserve"> дело обстоит лучше. За 5 месяцев произведено 1970 моторов против программы 1777, т.е. 111%. Майская программа выполнена на 97% — 398 моторов, против 410 плана. Новый мотор М-34 почти подготовлен для пуска серийного производства в июле месяце. Это хорошо, надо будет только добиться, чтобы серийное производство действительно пошло.</w:t>
      </w:r>
    </w:p>
    <w:p w14:paraId="0C30291A"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u w:val="single"/>
          <w:lang w:eastAsia="ru-RU"/>
        </w:rPr>
        <w:t>По танкам</w:t>
      </w:r>
      <w:r w:rsidRPr="00E93F40">
        <w:rPr>
          <w:rFonts w:ascii="Times New Roman" w:eastAsia="Times New Roman" w:hAnsi="Times New Roman"/>
          <w:color w:val="000000" w:themeColor="text1"/>
          <w:sz w:val="16"/>
          <w:szCs w:val="16"/>
          <w:lang w:eastAsia="ru-RU"/>
        </w:rPr>
        <w:t xml:space="preserve"> дело обстоит хуже. Танк Т-26 — майская программа 200 шт[ук], выполнено 69. Кристи — программа 120, выполнено 30 — хотя не сдано еще ни одного. По танкеткам майский план 250, выполнено 109 штук, при этом Нижегородский завод не дал ни одной машины. Не налажено еще массовое производство брони и ряда других частей, например, магнето и т.д. Видимо, надо будет заслушать отчет в Комиссии обороны. Что касается производства танковых и противотанковых </w:t>
      </w:r>
      <w:r w:rsidRPr="00E93F40">
        <w:rPr>
          <w:rFonts w:ascii="Times New Roman" w:eastAsia="Times New Roman" w:hAnsi="Times New Roman"/>
          <w:color w:val="000000" w:themeColor="text1"/>
          <w:sz w:val="16"/>
          <w:szCs w:val="16"/>
          <w:u w:val="single"/>
          <w:lang w:eastAsia="ru-RU"/>
        </w:rPr>
        <w:t>пушек</w:t>
      </w:r>
      <w:r w:rsidRPr="00E93F40">
        <w:rPr>
          <w:rFonts w:ascii="Times New Roman" w:eastAsia="Times New Roman" w:hAnsi="Times New Roman"/>
          <w:color w:val="000000" w:themeColor="text1"/>
          <w:sz w:val="16"/>
          <w:szCs w:val="16"/>
          <w:lang w:eastAsia="ru-RU"/>
        </w:rPr>
        <w:t>, то по имеющимся у меня неполным сведениям из производившихся до сих пор 37-мм пушек за 5 месяцев произведено 200 шт[ук] из программы в 1000.</w:t>
      </w:r>
    </w:p>
    <w:p w14:paraId="2EA57B60"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45-мм пушки, принятые сейчас на вооружение, пока еще ничего не выпущено, ожидается выпуск только в июле.</w:t>
      </w:r>
    </w:p>
    <w:p w14:paraId="1D7ADCCE"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Посылаю Вам записку Агранова об опытных работах Курчевского, в этой записке вскрывается невнимательное отношение военного ведомства и треста. Поскольку я недостаточно знаком с этим делом, я не могу судить, насколько эта записка во всем правильна, но она заслуживает того, чтобы этот вопрос специально обсудить на Комиссии обороны, несмотря на то, что это не всем понравится.</w:t>
      </w:r>
    </w:p>
    <w:p w14:paraId="0D7596E4"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6) Был у нас на ПБ спорный вопрос о Петровском заводе: строить его или нет. ПБ признало необходимым] строить</w:t>
      </w:r>
      <w:r w:rsidRPr="00E93F40">
        <w:rPr>
          <w:rFonts w:ascii="Times New Roman" w:eastAsia="Times New Roman" w:hAnsi="Times New Roman"/>
          <w:color w:val="000000" w:themeColor="text1"/>
          <w:sz w:val="16"/>
          <w:szCs w:val="16"/>
          <w:vertAlign w:val="superscript"/>
          <w:lang w:eastAsia="ru-RU"/>
        </w:rPr>
        <w:t>8</w:t>
      </w:r>
      <w:r w:rsidRPr="00E93F40">
        <w:rPr>
          <w:rFonts w:ascii="Times New Roman" w:eastAsia="Times New Roman" w:hAnsi="Times New Roman"/>
          <w:color w:val="000000" w:themeColor="text1"/>
          <w:sz w:val="16"/>
          <w:szCs w:val="16"/>
          <w:lang w:eastAsia="ru-RU"/>
        </w:rPr>
        <w:t>.</w:t>
      </w:r>
    </w:p>
    <w:p w14:paraId="732A6A50"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7) Посылаю Вам заявление группы инженеров-коммунистов Нижегородского автозавода, в котором они подводят базу под необходимость замены Дыбеца. Насколько это целесообразно, сомневаюсь.</w:t>
      </w:r>
    </w:p>
    <w:p w14:paraId="3D3D75D3"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…Ну на этом кончу, а то и так затянул. Всего хорошего.</w:t>
      </w:r>
    </w:p>
    <w:p w14:paraId="79DDF5BE"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Ваш Л.Каганович.</w:t>
      </w:r>
    </w:p>
    <w:p w14:paraId="53296EE9"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iCs/>
          <w:color w:val="000000" w:themeColor="text1"/>
          <w:sz w:val="16"/>
          <w:szCs w:val="16"/>
          <w:lang w:eastAsia="ru-RU"/>
        </w:rPr>
        <w:t>Ф. 558. On. 11. Д. 740. Л. 53–63. Автограф.</w:t>
      </w:r>
    </w:p>
    <w:p w14:paraId="7790C844"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vertAlign w:val="superscript"/>
          <w:lang w:eastAsia="ru-RU"/>
        </w:rPr>
        <w:t>8</w:t>
      </w:r>
      <w:r w:rsidRPr="00E93F40">
        <w:rPr>
          <w:rFonts w:ascii="Times New Roman" w:eastAsia="Times New Roman" w:hAnsi="Times New Roman"/>
          <w:color w:val="000000" w:themeColor="text1"/>
          <w:sz w:val="16"/>
          <w:szCs w:val="16"/>
          <w:lang w:eastAsia="ru-RU"/>
        </w:rPr>
        <w:t xml:space="preserve"> На заседании ПБ 16 июня 1932 г. было решено построить Петровский завод производительностью 60 тысяч тонн чугуна (Там же. Д. 888. Л. 2).</w:t>
      </w:r>
    </w:p>
    <w:p w14:paraId="085FE0ED" w14:textId="77777777" w:rsidR="00311329" w:rsidRPr="00E93F40" w:rsidRDefault="0031132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vertAlign w:val="superscript"/>
          <w:lang w:eastAsia="ru-RU"/>
        </w:rPr>
        <w:t>9</w:t>
      </w:r>
      <w:r w:rsidRPr="00E93F40">
        <w:rPr>
          <w:rFonts w:ascii="Times New Roman" w:eastAsia="Times New Roman" w:hAnsi="Times New Roman"/>
          <w:color w:val="000000" w:themeColor="text1"/>
          <w:sz w:val="16"/>
          <w:szCs w:val="16"/>
          <w:lang w:eastAsia="ru-RU"/>
        </w:rPr>
        <w:t xml:space="preserve"> Решение о Нижегородском автозаводе было принято ПБ 20 сентября 1932 г. после возвращения Сталина из отпуска. С.СДыбец был освобожден от обязанностей директора завода. ПБ обязало Н.И.Ежова, Н.М.Анцеловича и ААЖданова выработать конкретно на месте все необходимые мероприятия для улучшения продовольственного положения рабочих завода и доложить в ЦК в срочном порядке (Там же. Д. 901. Л. 6) (17281).</w:t>
      </w:r>
    </w:p>
    <w:p w14:paraId="6144A043" w14:textId="77777777" w:rsidR="00311329" w:rsidRPr="00E93F40" w:rsidRDefault="0031132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AFEA6E"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июня 1932 г.</w:t>
      </w:r>
    </w:p>
    <w:p w14:paraId="7BC15B8B"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Гражданин США Барлоу обратился к советскому правительству с предложением передать в СССР свое изобретение — новый самолет, комбинацию истребителя и бомбардировщика. По предложению Сталина, Барлоу был приглашен в Москву. 16 июня 1932 г. ПБ возложило наблюдение за организацией приема Барлоу и выяснение всех вопросов, связанных с его предложением, на Пятакова, Тухачевского и Логановского (РГАСПИ. Ф. 17. Оп. 3. Д. 13. Л. 33).</w:t>
      </w:r>
    </w:p>
    <w:p w14:paraId="43E1DEAE"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СССР Барлоу вел долгие переговоры, которые закончились безрезультатно:</w:t>
      </w:r>
    </w:p>
    <w:p w14:paraId="4B28845D"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Барлоу отказался предоставлять чертежи, но делал политические предложения, связанные с предвыборной кампанией в США, которые были отвергнуты (20830).</w:t>
      </w:r>
    </w:p>
    <w:p w14:paraId="6C6AC4BD" w14:textId="77777777" w:rsidR="00852071" w:rsidRPr="00E93F40" w:rsidRDefault="00852071" w:rsidP="00E93F40">
      <w:pPr>
        <w:spacing w:after="0" w:line="240" w:lineRule="auto"/>
        <w:jc w:val="both"/>
        <w:rPr>
          <w:rFonts w:ascii="Times New Roman" w:hAnsi="Times New Roman"/>
          <w:color w:val="000000" w:themeColor="text1"/>
          <w:sz w:val="16"/>
          <w:szCs w:val="16"/>
        </w:rPr>
      </w:pPr>
    </w:p>
    <w:p w14:paraId="20C5251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июня 1932 г. на ЦА был сформирован авиаотряд им. газеты "Правда" для доставки матриц газеты в Ленинград, Харьков, Севастополь и Пятигорск (6395).</w:t>
      </w:r>
    </w:p>
    <w:p w14:paraId="462C119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AC60F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711C98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BBE532"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июня 1932 состоялось заседание ПБ (Протокол № 104) </w:t>
      </w:r>
    </w:p>
    <w:p w14:paraId="0E548DCD"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июня 1932 опросом членов ПБ</w:t>
      </w:r>
    </w:p>
    <w:p w14:paraId="5CD0B4C2"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80/22.- О заводе «Баррикада»</w:t>
      </w:r>
    </w:p>
    <w:p w14:paraId="4DB354A9"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общий размер требующегося импорта в пределах не более 4 млн. руб. при том условии, что платежи по договорам начать не ранее 1934 года.</w:t>
      </w:r>
    </w:p>
    <w:p w14:paraId="73C3BD98"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Молотову, Орджоникидзе, Розенгольцу.</w:t>
      </w:r>
    </w:p>
    <w:p w14:paraId="374D6721"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81/23.- Проект постановления .СТО о закупке в Италии инженерных механизмов.</w:t>
      </w:r>
    </w:p>
    <w:p w14:paraId="2F7A4105"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следующее постановление СТО:</w:t>
      </w:r>
    </w:p>
    <w:p w14:paraId="001D231A"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Разрешить НКВМ закупить в Италии инженерных ме</w:t>
      </w:r>
      <w:r w:rsidRPr="00E93F40">
        <w:rPr>
          <w:rFonts w:ascii="Times New Roman" w:hAnsi="Times New Roman"/>
          <w:color w:val="000000" w:themeColor="text1"/>
          <w:sz w:val="16"/>
          <w:szCs w:val="16"/>
        </w:rPr>
        <w:softHyphen/>
        <w:t>ханизмов на 200.000 рублей.</w:t>
      </w:r>
    </w:p>
    <w:p w14:paraId="78D85E74" w14:textId="77777777" w:rsidR="00852071" w:rsidRPr="00E93F40" w:rsidRDefault="008520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Молотову, Розенгольцу (23049).</w:t>
      </w:r>
    </w:p>
    <w:p w14:paraId="1FAC8952" w14:textId="77777777" w:rsidR="00852071" w:rsidRPr="00E93F40" w:rsidRDefault="00852071" w:rsidP="00E93F40">
      <w:pPr>
        <w:spacing w:after="0" w:line="240" w:lineRule="auto"/>
        <w:jc w:val="both"/>
        <w:rPr>
          <w:rFonts w:ascii="Times New Roman" w:hAnsi="Times New Roman"/>
          <w:color w:val="000000" w:themeColor="text1"/>
          <w:sz w:val="16"/>
          <w:szCs w:val="16"/>
        </w:rPr>
      </w:pPr>
    </w:p>
    <w:p w14:paraId="706C8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июня 1932 года Л.М. Каганович пишет И.В.С.: “… Посылаю Вам записку Агранова об опытных работах Курчевского, в этой записке вскрывается невнимательное отношение военного ведомства и треста. Поскольку я недостаточно знаком с этим делом, я не могу судить, насколько эта записка во всем правильна, но она заслуживает того, чтобы этот вопрос специально обсудить на Комиссии обороны, несмотря на то, что это не всем понравится…”. В своих предположениях Каганович оказался прав. 23 июня он сообщает: “… Об истребителях, о танках, о Курчевском и пушках обсудили на последнем заседании Комиссии Обороны. Пришлось ругаться, особенно по танкам и Курчевскому. Надо ждать перелома в июле”.</w:t>
      </w:r>
    </w:p>
    <w:p w14:paraId="0F735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Маханов И.А. — в 1932 году начальник конструкторского бюро Кировского завода в Ленинграде. Занимался разработкой 76 мм универсальных, полууниверсальных дивизионных зенитных пушек. См. также: Письмо К.Е. Ворошилову 30 июля 1932 года.</w:t>
      </w:r>
    </w:p>
    <w:p w14:paraId="56F15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Курчевский Леонид Васильевич (1890–1937) — с 1911 по 1914 год учился на естественном отделении физико-математического факультета Московского университета. В 1915 году работает лаборантом Педагогического института имени П.Г. Шелапутина. С января 1916 по декабрь 1918 заведует конструкторским бюро Московского военно-промышленного комитета. В 1918–1920 годах является заведующим лабораторией комитета по делам изобретений ВСНХ, одновременно с 1919 года работает в автосекции транспортного отдела этого же комитета. С мая 1921 по май 1922 — в Комиссии особых опытов по звуковой разведке (КОМЗВУК). В 1924-м создал первый прототип динамо-реактивного орудия, в том же году арестован по обвинению в растрате государственных денег. В 1925 осужден судебной коллегией ОГПУ и сослан на Соловки.</w:t>
      </w:r>
    </w:p>
    <w:p w14:paraId="03482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Благодаря ходатайству Г.К. Орджоникидзе и М.Н. Тухачевского в 1930 году Л.В. Курчевский был освобожден из заключения и назначен главным конструктором ОКБ 1 ГАУ, которое находилось на заводе № 8 (Подлипки). Здесь ему поручают создание безоткатной пушки для вооружения самолетов, противотанкового ружья и батальонной пушки для стрелковых подразделений. Первые опытные образцы пушек проходили испытания в 1932 году.</w:t>
      </w:r>
    </w:p>
    <w:p w14:paraId="010BB0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создание новых типов артиллерийского вооружения Курчевский в 1933 году награжден орденом Красной Звезды (11868).</w:t>
      </w:r>
    </w:p>
    <w:p w14:paraId="387EA4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683BC3"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июня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104. 27. О реконструкции Уральских металлургических заводов (Орджоникидзе). Опросом членов ПБ: от 9 июня 1932 г. 60/2. Об олове и цинке. — ОП; от 16 июня. 80/22. О заводе «Баррикады». — ОП. (Политбюро... Т. 2. С. 317, 318, 319) (12416).</w:t>
      </w:r>
    </w:p>
    <w:p w14:paraId="52C9AC03"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p>
    <w:p w14:paraId="1DD8D8D1" w14:textId="77777777" w:rsidR="00925EF1" w:rsidRPr="00E93F40" w:rsidRDefault="00925EF1" w:rsidP="00E93F40">
      <w:pPr>
        <w:pStyle w:val="rtejustify"/>
        <w:spacing w:before="0" w:after="0"/>
        <w:rPr>
          <w:color w:val="000000" w:themeColor="text1"/>
          <w:sz w:val="16"/>
          <w:szCs w:val="16"/>
        </w:rPr>
      </w:pPr>
      <w:r w:rsidRPr="00E93F40">
        <w:rPr>
          <w:bCs/>
          <w:color w:val="000000" w:themeColor="text1"/>
          <w:sz w:val="16"/>
          <w:szCs w:val="16"/>
        </w:rPr>
        <w:t>16 июня [1932 г.] Каганович — Сталину</w:t>
      </w:r>
    </w:p>
    <w:p w14:paraId="230288B8"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16/VI</w:t>
      </w:r>
    </w:p>
    <w:p w14:paraId="3343B690" w14:textId="77777777" w:rsidR="0087389B" w:rsidRPr="00E93F40" w:rsidRDefault="0087389B" w:rsidP="00E93F40">
      <w:pPr>
        <w:pStyle w:val="rtecenter"/>
        <w:spacing w:before="0" w:after="0"/>
        <w:jc w:val="both"/>
        <w:rPr>
          <w:color w:val="000000" w:themeColor="text1"/>
          <w:sz w:val="16"/>
          <w:szCs w:val="16"/>
        </w:rPr>
      </w:pPr>
      <w:r w:rsidRPr="00E93F40">
        <w:rPr>
          <w:color w:val="000000" w:themeColor="text1"/>
          <w:sz w:val="16"/>
          <w:szCs w:val="16"/>
        </w:rPr>
        <w:t>Здравствуйте, дорогой т. Сталин!</w:t>
      </w:r>
    </w:p>
    <w:p w14:paraId="47BF833C"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1) Прежде всего даю Вам отчет о ширпотребе. Должен предварительно отметить, что невнимание к этому вопросу выразилось и в том, что учет поставлен безобразно и потребовался большой нажим, чтобы получить более или менее сносные данные по 12 промтоварам. Начну с а) хлопчатобумажных тканей. (Этот вопрос мы специально рассмотрели с особой конкретностью.)</w:t>
      </w:r>
    </w:p>
    <w:p w14:paraId="191A753B"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Программа, представленная Наркомлегпромом на III квартал, составляла 311 млн против 336 м[лн руб.] во II-м квартале (все в отпускных ценах). Мы считаем, что всемерно налечь на мобилизацию ресурсов хлопковых, котониных, чтобы не допускать сокращения, дискутируется еще вопрос об обменной операции с заграничным хлопком, но мы вопрос не решили окончательно, запросим Вас.</w:t>
      </w:r>
    </w:p>
    <w:p w14:paraId="27102982"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Но главное в использовании хлопчатобумажных тканей. В этом отношении мы приняли крутые меры. Прежде всего, в отношении оставшихся 15 дней II-го квартала мы предложили отгружать все селу, пока не будет отгружен квартальный план в 64 млн руб., т.е. к отгруженному за апрель-май 15 мил. дать за 15 дней июня на 49 мил. рубл. хл|опчато]бум(ажных] тканей, кроме того из коммерческих фондов в июне селу должно быть отгружено не менее 50%, то есть не менее 15 миллионов рублей.</w:t>
      </w:r>
    </w:p>
    <w:p w14:paraId="3215283C"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На III-й квартал нами установлен следующий план использования хлопчатобумажных тканей: </w:t>
      </w:r>
      <w:r w:rsidRPr="00E93F40">
        <w:rPr>
          <w:color w:val="000000" w:themeColor="text1"/>
          <w:sz w:val="16"/>
          <w:szCs w:val="16"/>
          <w:u w:val="single"/>
        </w:rPr>
        <w:t>на внерыночное потребление</w:t>
      </w:r>
      <w:r w:rsidRPr="00E93F40">
        <w:rPr>
          <w:color w:val="000000" w:themeColor="text1"/>
          <w:sz w:val="16"/>
          <w:szCs w:val="16"/>
        </w:rPr>
        <w:t xml:space="preserve"> — 129. мил. руб. в III квартале против 177 во II-м кв.; из этих 129 мил. р. на швейную промышленность отпускается 87 мил. р. (мы пошли сознательно на сокращение швейной промышленности со 120 мил. р. во II кв. до 87 мил. р. в III квартале, чтобы побольше мануфактуры двинуть на село). Из них на спецзаказы военного ведомства вместо 18 м.р. во II-м кв. — 12 м.р. в III кв.; промпотребление вместо 10 м. во II квартале 8 м. в III квартале и т.д. </w:t>
      </w:r>
      <w:r w:rsidRPr="00E93F40">
        <w:rPr>
          <w:color w:val="000000" w:themeColor="text1"/>
          <w:sz w:val="16"/>
          <w:szCs w:val="16"/>
          <w:u w:val="single"/>
        </w:rPr>
        <w:t>На рынок 206</w:t>
      </w:r>
      <w:r w:rsidRPr="00E93F40">
        <w:rPr>
          <w:color w:val="000000" w:themeColor="text1"/>
          <w:sz w:val="16"/>
          <w:szCs w:val="16"/>
        </w:rPr>
        <w:t xml:space="preserve"> м. в III кв. против 159 м. во II кв.; из этих 206 м. на село направляется 170 м. рублей, т.е. 82% от всего рыночного фонда и 50,6% от всего товарного фонда.</w:t>
      </w:r>
    </w:p>
    <w:p w14:paraId="70B54EA0"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Для того, чтобы добиться крутого перелома, мы постановили в июле весь рыночный фонд по хлопчатобумажным тканям отправлять только в деревню, что составит 57 млн руб.</w:t>
      </w:r>
    </w:p>
    <w:p w14:paraId="76963F3E"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Вчера вечером просматривали весь план распределения всех остальных 11 товаров, в результате мы определили следующий план.</w:t>
      </w:r>
    </w:p>
    <w:p w14:paraId="7D0515BF"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б) </w:t>
      </w:r>
      <w:r w:rsidRPr="00E93F40">
        <w:rPr>
          <w:color w:val="000000" w:themeColor="text1"/>
          <w:sz w:val="16"/>
          <w:szCs w:val="16"/>
          <w:u w:val="single"/>
        </w:rPr>
        <w:t>Нитки</w:t>
      </w:r>
      <w:r w:rsidRPr="00E93F40">
        <w:rPr>
          <w:color w:val="000000" w:themeColor="text1"/>
          <w:sz w:val="16"/>
          <w:szCs w:val="16"/>
        </w:rPr>
        <w:t xml:space="preserve"> — из производимых на 20 мил. рубл. на </w:t>
      </w:r>
      <w:r w:rsidRPr="00E93F40">
        <w:rPr>
          <w:color w:val="000000" w:themeColor="text1"/>
          <w:sz w:val="16"/>
          <w:szCs w:val="16"/>
          <w:u w:val="single"/>
        </w:rPr>
        <w:t>внерыночное</w:t>
      </w:r>
      <w:r w:rsidRPr="00E93F40">
        <w:rPr>
          <w:color w:val="000000" w:themeColor="text1"/>
          <w:sz w:val="16"/>
          <w:szCs w:val="16"/>
        </w:rPr>
        <w:t xml:space="preserve"> потребление 4,5 мил. руб. в III-м кв. против 9 мил. во II-м кв.; на </w:t>
      </w:r>
      <w:r w:rsidRPr="00E93F40">
        <w:rPr>
          <w:color w:val="000000" w:themeColor="text1"/>
          <w:sz w:val="16"/>
          <w:szCs w:val="16"/>
          <w:u w:val="single"/>
        </w:rPr>
        <w:t>рынок</w:t>
      </w:r>
      <w:r w:rsidRPr="00E93F40">
        <w:rPr>
          <w:color w:val="000000" w:themeColor="text1"/>
          <w:sz w:val="16"/>
          <w:szCs w:val="16"/>
        </w:rPr>
        <w:t xml:space="preserve"> — 15 м. против 11м. руб. во II-м кв. Из 15 м. — на село 9,9 м.р.</w:t>
      </w:r>
    </w:p>
    <w:p w14:paraId="472033B4"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в) </w:t>
      </w:r>
      <w:r w:rsidRPr="00E93F40">
        <w:rPr>
          <w:color w:val="000000" w:themeColor="text1"/>
          <w:sz w:val="16"/>
          <w:szCs w:val="16"/>
          <w:u w:val="single"/>
        </w:rPr>
        <w:t>Шерстяные ткани</w:t>
      </w:r>
      <w:r w:rsidRPr="00E93F40">
        <w:rPr>
          <w:color w:val="000000" w:themeColor="text1"/>
          <w:sz w:val="16"/>
          <w:szCs w:val="16"/>
        </w:rPr>
        <w:t xml:space="preserve"> — план товарной продукции 105 м.р. в III кв. против 77,8 м. руб. во II-м кв.; из них — на внерьшочное потребление (в т.ч. главное — швейная промышленность) 56,7 м.р. в III-м кв. против 72,8 м.р. во II-м кв.; на рьшок </w:t>
      </w:r>
      <w:r w:rsidRPr="00E93F40">
        <w:rPr>
          <w:color w:val="000000" w:themeColor="text1"/>
          <w:sz w:val="16"/>
          <w:szCs w:val="16"/>
          <w:u w:val="single"/>
        </w:rPr>
        <w:t>48.3</w:t>
      </w:r>
      <w:r w:rsidRPr="00E93F40">
        <w:rPr>
          <w:color w:val="000000" w:themeColor="text1"/>
          <w:sz w:val="16"/>
          <w:szCs w:val="16"/>
        </w:rPr>
        <w:t xml:space="preserve"> м.р. в III-м кв. против 5 м.р. во II-м кв. , а из 48,3 м.р. — 37,8 м.р. на село, т.е. 87% от рыночной продукции идет на село.</w:t>
      </w:r>
    </w:p>
    <w:p w14:paraId="396C48D9"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г) Платки — план товарной продукции в III-м кв. 22,4 м.р. против 19,2 м.р. во II-м кв.; из них на внерыночное потребление ничего и почти все (за исключением 1 мил. на целевой завоз) идет на село.</w:t>
      </w:r>
    </w:p>
    <w:p w14:paraId="0A33791D"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д) </w:t>
      </w:r>
      <w:r w:rsidRPr="00E93F40">
        <w:rPr>
          <w:color w:val="000000" w:themeColor="text1"/>
          <w:sz w:val="16"/>
          <w:szCs w:val="16"/>
          <w:u w:val="single"/>
        </w:rPr>
        <w:t>Швейные изделия</w:t>
      </w:r>
      <w:r w:rsidRPr="00E93F40">
        <w:rPr>
          <w:color w:val="000000" w:themeColor="text1"/>
          <w:sz w:val="16"/>
          <w:szCs w:val="16"/>
        </w:rPr>
        <w:t xml:space="preserve"> — план товарной продукции в III-м кв. 306 м.р. против 357 м.р. во II-м кв.; из них — на внерьшочное потребление 6,6 м.р. в III-м кв. против 7,5 м.р. во II-м кв.; на рьшок 300 м.р. в III-м кв., из них на 129 м.р. на село (сокращение швейной промышленности в связи с сокращением отпуска хлопчатобумажных тканей точно еще не установлено).</w:t>
      </w:r>
    </w:p>
    <w:p w14:paraId="73B9FD90"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е) </w:t>
      </w:r>
      <w:r w:rsidRPr="00E93F40">
        <w:rPr>
          <w:color w:val="000000" w:themeColor="text1"/>
          <w:sz w:val="16"/>
          <w:szCs w:val="16"/>
          <w:u w:val="single"/>
        </w:rPr>
        <w:t>Обувь</w:t>
      </w:r>
      <w:r w:rsidRPr="00E93F40">
        <w:rPr>
          <w:color w:val="000000" w:themeColor="text1"/>
          <w:sz w:val="16"/>
          <w:szCs w:val="16"/>
        </w:rPr>
        <w:t xml:space="preserve"> — план товарной продукции </w:t>
      </w:r>
      <w:r w:rsidRPr="00E93F40">
        <w:rPr>
          <w:color w:val="000000" w:themeColor="text1"/>
          <w:sz w:val="16"/>
          <w:szCs w:val="16"/>
          <w:u w:val="single"/>
        </w:rPr>
        <w:t>219</w:t>
      </w:r>
      <w:r w:rsidRPr="00E93F40">
        <w:rPr>
          <w:color w:val="000000" w:themeColor="text1"/>
          <w:sz w:val="16"/>
          <w:szCs w:val="16"/>
        </w:rPr>
        <w:t xml:space="preserve"> м.р. в III кв. против 169 м.р. во II-м кв.; из них — на внерыночное потребление 13,9 м. руб. в III-м кв.; на рынок 206 м. руб. в III-м кв. против 157,1 м.р. во II-м кв. Из них на село 109 м. руб., т.е. 50% общей товарной продукции и 69% от рыночной.</w:t>
      </w:r>
    </w:p>
    <w:p w14:paraId="414167B6"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ж) </w:t>
      </w:r>
      <w:r w:rsidRPr="00E93F40">
        <w:rPr>
          <w:color w:val="000000" w:themeColor="text1"/>
          <w:sz w:val="16"/>
          <w:szCs w:val="16"/>
          <w:u w:val="single"/>
        </w:rPr>
        <w:t>Резиновая обувь</w:t>
      </w:r>
      <w:r w:rsidRPr="00E93F40">
        <w:rPr>
          <w:color w:val="000000" w:themeColor="text1"/>
          <w:sz w:val="16"/>
          <w:szCs w:val="16"/>
        </w:rPr>
        <w:t xml:space="preserve"> (галоши) — план товарной продукции 78,7 м.р. против 55,7 м. руб. во П-м квартале; из них — на внерыночное потребление 4,7 м.р. в Ш-м кв. против 6 м.р. во II-м кв.; на рынок 74 м.р. в Ш-м кв. против 49,7 м.р. во Н-м кв. Из них на село 29 м.р.</w:t>
      </w:r>
    </w:p>
    <w:p w14:paraId="05348843"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з) </w:t>
      </w:r>
      <w:r w:rsidRPr="00E93F40">
        <w:rPr>
          <w:color w:val="000000" w:themeColor="text1"/>
          <w:sz w:val="16"/>
          <w:szCs w:val="16"/>
          <w:u w:val="single"/>
        </w:rPr>
        <w:t>Махорка</w:t>
      </w:r>
      <w:r w:rsidRPr="00E93F40">
        <w:rPr>
          <w:color w:val="000000" w:themeColor="text1"/>
          <w:sz w:val="16"/>
          <w:szCs w:val="16"/>
        </w:rPr>
        <w:t xml:space="preserve"> — план товарной продукции 27,4 м.р. против 30,9 м.р. во П-м кв.; из них — на внерыночное потребление ничего не даем, на село 58% — 16 мил. руб.</w:t>
      </w:r>
    </w:p>
    <w:p w14:paraId="4B5C2F55"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и) </w:t>
      </w:r>
      <w:r w:rsidRPr="00E93F40">
        <w:rPr>
          <w:color w:val="000000" w:themeColor="text1"/>
          <w:sz w:val="16"/>
          <w:szCs w:val="16"/>
          <w:u w:val="single"/>
        </w:rPr>
        <w:t>Мыло хозяйственное</w:t>
      </w:r>
      <w:r w:rsidRPr="00E93F40">
        <w:rPr>
          <w:color w:val="000000" w:themeColor="text1"/>
          <w:sz w:val="16"/>
          <w:szCs w:val="16"/>
        </w:rPr>
        <w:t xml:space="preserve"> — план 31 м.р. против 38 м.р. во П-м кв.; из них на рынок 28 м. руб., а на село 14 м.р., т.е. 50% рыночной продукции.</w:t>
      </w:r>
    </w:p>
    <w:p w14:paraId="2A90A42D"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к) </w:t>
      </w:r>
      <w:r w:rsidRPr="00E93F40">
        <w:rPr>
          <w:color w:val="000000" w:themeColor="text1"/>
          <w:sz w:val="16"/>
          <w:szCs w:val="16"/>
          <w:u w:val="single"/>
        </w:rPr>
        <w:t>Мыло туалетное</w:t>
      </w:r>
      <w:r w:rsidRPr="00E93F40">
        <w:rPr>
          <w:color w:val="000000" w:themeColor="text1"/>
          <w:sz w:val="16"/>
          <w:szCs w:val="16"/>
        </w:rPr>
        <w:t xml:space="preserve"> — план производства в Ш-м кв. 7 м.р. против 22 м.р. во Н-м кв. (жиров не хватает); из них — на внерьшочное потребление ничего, а на село 2 м. руб.</w:t>
      </w:r>
    </w:p>
    <w:p w14:paraId="09F71317"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л) </w:t>
      </w:r>
      <w:r w:rsidRPr="00E93F40">
        <w:rPr>
          <w:color w:val="000000" w:themeColor="text1"/>
          <w:sz w:val="16"/>
          <w:szCs w:val="16"/>
          <w:u w:val="single"/>
        </w:rPr>
        <w:t>Трикотаж</w:t>
      </w:r>
      <w:r w:rsidRPr="00E93F40">
        <w:rPr>
          <w:color w:val="000000" w:themeColor="text1"/>
          <w:sz w:val="16"/>
          <w:szCs w:val="16"/>
        </w:rPr>
        <w:t xml:space="preserve"> — план товарной продукции 145,8 м.р. в Ш кв. против 112,9 м. руб. во П-м кв.; из них — на внерьшочное потребление 5,5 м.р. в Ш-м кв. против 7,1 мил.р. во И-м кв.; на рынок 140,3 м.р. в Ш-м кв., из них на село 62,3 м.р.</w:t>
      </w:r>
    </w:p>
    <w:p w14:paraId="66A40A6E"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м) </w:t>
      </w:r>
      <w:r w:rsidRPr="00E93F40">
        <w:rPr>
          <w:color w:val="000000" w:themeColor="text1"/>
          <w:sz w:val="16"/>
          <w:szCs w:val="16"/>
          <w:u w:val="single"/>
        </w:rPr>
        <w:t>Папиросы</w:t>
      </w:r>
      <w:r w:rsidRPr="00E93F40">
        <w:rPr>
          <w:color w:val="000000" w:themeColor="text1"/>
          <w:sz w:val="16"/>
          <w:szCs w:val="16"/>
        </w:rPr>
        <w:t xml:space="preserve"> — план товарной продукции 199,2 м.р. в Ш кв. против 174 м.р. во П-м кв.; из них — на внерьшочное потребление 1 м. руб., на рынок 198 м. руб. </w:t>
      </w:r>
      <w:r w:rsidRPr="00E93F40">
        <w:rPr>
          <w:color w:val="000000" w:themeColor="text1"/>
          <w:sz w:val="16"/>
          <w:szCs w:val="16"/>
          <w:u w:val="single"/>
        </w:rPr>
        <w:t>против</w:t>
      </w:r>
      <w:r w:rsidRPr="00E93F40">
        <w:rPr>
          <w:color w:val="000000" w:themeColor="text1"/>
          <w:sz w:val="16"/>
          <w:szCs w:val="16"/>
        </w:rPr>
        <w:t xml:space="preserve"> 173,8 м.р. во II-м кв. Из них на село 61,1 м.р.</w:t>
      </w:r>
    </w:p>
    <w:p w14:paraId="3E311D31"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Из этой общей товарной продукции примерно в l,5 миллиарда рублей внерыночный фонд составляет 226,9 м.р.</w:t>
      </w:r>
    </w:p>
    <w:p w14:paraId="7D39A49C"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Из рыночного фонда в 1м[лрд] 300 млн р. 340 млн составляет коммерческий фонд, из которого на 130 млн р. идет на село, 176 млн р. в город, а остальные 33 млн р. на целевые назначения (лес, золото, пушнина, путина). Кроме этих коммерческих на село идет на 500 млн руб. товаров против отгруженного во II-м кв. 192 млн руб. Кроме того, на село идет по целевым назначениям (хлопок, свекла, табак) на 117 м. рублей. Тут у нас были споры за сокращение этих целевых завозов, эта цифра и получилась в результате сокращения.</w:t>
      </w:r>
    </w:p>
    <w:p w14:paraId="276CDD46"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Таким образом, по сравнению с планом II-го кв. мы имеем увеличение на рынке в целом на 18%, а по сравнению с фактической отгрузкой 1-го кв. на </w:t>
      </w:r>
      <w:r w:rsidRPr="00E93F40">
        <w:rPr>
          <w:color w:val="000000" w:themeColor="text1"/>
          <w:sz w:val="16"/>
          <w:szCs w:val="16"/>
          <w:u w:val="single"/>
        </w:rPr>
        <w:t>62%</w:t>
      </w:r>
      <w:r w:rsidRPr="00E93F40">
        <w:rPr>
          <w:color w:val="000000" w:themeColor="text1"/>
          <w:sz w:val="16"/>
          <w:szCs w:val="16"/>
        </w:rPr>
        <w:t>. По селу (вместе с коммерческими) мы имеем увеличение по сравнению со II-м кв. на 162%, а по сравнению с фактической отгрузкой в 3,5 раза больше.</w:t>
      </w:r>
    </w:p>
    <w:p w14:paraId="16718FCA"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К сожалению, по ряду других товаров мы не могли рассмотреть конкретно потому, что нет даже точного учета, до сих пор они не были даже в поле зрения распределения. Это такие товары как: металлоизделия, силикаты, галантерея, деревянные изделия, скорняжные и кожевенные изделия и пр. Даже по таким крупным товарам, как соль, керосин, спички и т.д. нет точного учета и плана использования.</w:t>
      </w:r>
    </w:p>
    <w:p w14:paraId="1DA5E531"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Мы дали задание срочно составить хотя бы приблизительный план, чтобы можно было обеспечить интересы деревни.</w:t>
      </w:r>
    </w:p>
    <w:p w14:paraId="0056541C"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Кроме этого, остается еще распределение таких продтоваров, как селедки, кондитерские изделия, растительное масло, сахар и т.п.</w:t>
      </w:r>
    </w:p>
    <w:p w14:paraId="0AE55858"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По этим товарам придется в ближайшие дни рассмотреть план и обеспечить увеличение для села. Но самое главное, т. Сталин, это обеспечить выполнение этого плана — то, что Вы все время подчеркиваете, чтобы эти товары действительно попали в деревню не позже июля-августа и, наконец, чтобы в областных базах и в районах эти товары, направлялись бы действительно для колхозников и крестьян. Постышев сейчас берется специально за это дело. Мы посылаем сейчас в области и на базы 50 крупных работников для проверки на месте и обеспечения проведения наших решений. Мы сейчас всю работу подкомиссии разбили по группам товаров, привлекли ряд новых людей и будем толкать это дело, но должен Вам прямо сказать, т. Сталин, что я не ожидал встретить такую неповоротливость и даже беспомощность советского аппарата в проведении такой важнейшей политической директивы ЦК. Сидят люди в наркоматах, создан специальный Комитет фондов, в нем ряд </w:t>
      </w:r>
      <w:r w:rsidRPr="00E93F40">
        <w:rPr>
          <w:color w:val="000000" w:themeColor="text1"/>
          <w:sz w:val="16"/>
          <w:szCs w:val="16"/>
        </w:rPr>
        <w:lastRenderedPageBreak/>
        <w:t>ответственных работников, а настоящего дела, чтобы взяли и повернули, нет. Поэтому то, что должны были бы делать существующие органы — приходится делать ЦК. Подумать бы надо над улучшением работы этих органов</w:t>
      </w:r>
      <w:r w:rsidRPr="00E93F40">
        <w:rPr>
          <w:color w:val="000000" w:themeColor="text1"/>
          <w:sz w:val="16"/>
          <w:szCs w:val="16"/>
          <w:vertAlign w:val="superscript"/>
        </w:rPr>
        <w:t>1</w:t>
      </w:r>
      <w:r w:rsidRPr="00E93F40">
        <w:rPr>
          <w:color w:val="000000" w:themeColor="text1"/>
          <w:sz w:val="16"/>
          <w:szCs w:val="16"/>
        </w:rPr>
        <w:t>.</w:t>
      </w:r>
    </w:p>
    <w:p w14:paraId="1B7AD4DB"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2) Теперь по вопросу о том, как обстоит дело с выполнением программы по аэропланам, танкам, моторам и т.д. Вся программа по самолетам на пять м[есяцев] 1000 штук. Выполнено 957, т.е. 96%. За май программа 264, выполнено 225 штук, т.е. 85%. За пять м[есяцев] произведено 426 разведчиков против плана 400, т.е. 106%. Выполнение июньского плана будет не хуже майского. За май программа 90, выполнено </w:t>
      </w:r>
      <w:r w:rsidRPr="00E93F40">
        <w:rPr>
          <w:color w:val="000000" w:themeColor="text1"/>
          <w:sz w:val="16"/>
          <w:szCs w:val="16"/>
          <w:u w:val="single"/>
        </w:rPr>
        <w:t>100</w:t>
      </w:r>
      <w:r w:rsidRPr="00E93F40">
        <w:rPr>
          <w:color w:val="000000" w:themeColor="text1"/>
          <w:sz w:val="16"/>
          <w:szCs w:val="16"/>
        </w:rPr>
        <w:t>. Хуже дело обстоит с истребителями. Программа за пять месяцев 116 самолетов, а выполнено 58, т.е. 50%. Программа на май 46, выполнено 22. Объясняют тем, что новые конструкции еще не привились в производстве, но это надо проверить, чем я и займусь в ближайшие дни. По ТБ-3 пятимесячная программа в 30 самолетов выполнена. Произведено 31, но, к сожалению, сдано только 5 шт[ук]. 26 готовых самолетов не могут быть сданы из-за плохой конструкции радиатора (дает течь) и из-за отсутствия вооружения. Вооружением занимались мало, хотя в свое [время] и тяжпромовцы и военные отрицали это на Комиссии обороны, когда этот вопрос был поставлен. Сейчас для производства вооружения (бомбодержатели и т.п.) прикреплен Московский авиационный завод № 20.</w:t>
      </w:r>
    </w:p>
    <w:p w14:paraId="52448FD8"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u w:val="single"/>
        </w:rPr>
        <w:t>По моторам</w:t>
      </w:r>
      <w:r w:rsidRPr="00E93F40">
        <w:rPr>
          <w:color w:val="000000" w:themeColor="text1"/>
          <w:sz w:val="16"/>
          <w:szCs w:val="16"/>
        </w:rPr>
        <w:t xml:space="preserve"> дело обстоит лучше. За 5 месяцев произведено 1970 моторов против программы 1777, т.е. 111%. Майская программа выполнена на 97% — 398 моторов, против 410 плана. Новый мотор М-34 почти подготовлен для пуска серийного производства в июле месяце. Это хорошо, надо будет только добиться, чтобы серийное производство действительно пошло.</w:t>
      </w:r>
    </w:p>
    <w:p w14:paraId="2B4F2833"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u w:val="single"/>
        </w:rPr>
        <w:t>По танкам</w:t>
      </w:r>
      <w:r w:rsidRPr="00E93F40">
        <w:rPr>
          <w:color w:val="000000" w:themeColor="text1"/>
          <w:sz w:val="16"/>
          <w:szCs w:val="16"/>
        </w:rPr>
        <w:t xml:space="preserve"> дело обстоит хуже. Танк Т-26 — майская программа 200 шт[ук], выполнено 69. Кристи — программа 120, выполнено 30 — хотя не сдано еще ни одного. По танкеткам майский план 250, выполнено 109 штук, при этом Нижегородский завод не дал ни одной машины. Не налажено еще массовое производство брони и ряда других частей, например магнето и т.д. Видимо, надо будет заслушать отчет в Комиссии обороны. Что касается производства танковых и противотанковых </w:t>
      </w:r>
      <w:r w:rsidRPr="00E93F40">
        <w:rPr>
          <w:color w:val="000000" w:themeColor="text1"/>
          <w:sz w:val="16"/>
          <w:szCs w:val="16"/>
          <w:u w:val="single"/>
        </w:rPr>
        <w:t>пушек</w:t>
      </w:r>
      <w:r w:rsidRPr="00E93F40">
        <w:rPr>
          <w:color w:val="000000" w:themeColor="text1"/>
          <w:sz w:val="16"/>
          <w:szCs w:val="16"/>
        </w:rPr>
        <w:t>, то по имеющимся у меня неполным сведениям из производившихся до сих пор 37-мм пушек за 5 месяцев произведено 200 шт[ук] из программы в 1000.</w:t>
      </w:r>
    </w:p>
    <w:p w14:paraId="16C5FCB4"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45-мм пушки, принятые сейчас на вооружение, пока еще ничего не выпущено, ожидается выпуск только в июле.</w:t>
      </w:r>
    </w:p>
    <w:p w14:paraId="447C4681"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Посылаю Вам записку Агранова</w:t>
      </w:r>
      <w:r w:rsidRPr="00E93F40">
        <w:rPr>
          <w:color w:val="000000" w:themeColor="text1"/>
          <w:sz w:val="16"/>
          <w:szCs w:val="16"/>
          <w:vertAlign w:val="superscript"/>
        </w:rPr>
        <w:t>2</w:t>
      </w:r>
      <w:r w:rsidRPr="00E93F40">
        <w:rPr>
          <w:color w:val="000000" w:themeColor="text1"/>
          <w:sz w:val="16"/>
          <w:szCs w:val="16"/>
        </w:rPr>
        <w:t xml:space="preserve"> об опытных работах Курчевского, в этой записке вскрывается невнимательное отношение военного ведомства и треста. Поскольку я недостаточно знаком с этим делом, я не могу судить, насколько эта записка во всем правильна, но она заслуживает того, чтобы этот вопрос специально обсудить на Комиссии обороны, несмотря на то, что это не всем понравится.</w:t>
      </w:r>
    </w:p>
    <w:p w14:paraId="6EA996C8"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3) Вызывали мы на комиссию по </w:t>
      </w:r>
      <w:r w:rsidRPr="00E93F40">
        <w:rPr>
          <w:color w:val="000000" w:themeColor="text1"/>
          <w:sz w:val="16"/>
          <w:szCs w:val="16"/>
          <w:u w:val="single"/>
        </w:rPr>
        <w:t>свекле</w:t>
      </w:r>
      <w:r w:rsidRPr="00E93F40">
        <w:rPr>
          <w:color w:val="000000" w:themeColor="text1"/>
          <w:sz w:val="16"/>
          <w:szCs w:val="16"/>
        </w:rPr>
        <w:t xml:space="preserve"> товарищей с мест. Предъявили они нам преувеличенные требования. Мы их урезали. Разработали короткое, деловое постановление. По заявлению всех товарищей с мест оно будет иметь большое значение для стимулирования обработки и уборки свеклы. Посылаю Вам это постановление</w:t>
      </w:r>
      <w:r w:rsidRPr="00E93F40">
        <w:rPr>
          <w:color w:val="000000" w:themeColor="text1"/>
          <w:sz w:val="16"/>
          <w:szCs w:val="16"/>
          <w:vertAlign w:val="superscript"/>
        </w:rPr>
        <w:t>3</w:t>
      </w:r>
      <w:r w:rsidRPr="00E93F40">
        <w:rPr>
          <w:color w:val="000000" w:themeColor="text1"/>
          <w:sz w:val="16"/>
          <w:szCs w:val="16"/>
        </w:rPr>
        <w:t>. Очень прошу, если у Вас не будет больших поправок, сообщить Ваше мнение телеграфно, чтобы скорее издать.</w:t>
      </w:r>
    </w:p>
    <w:p w14:paraId="7B0A6147"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4) В результате работы комиссии по уборочной кампании мы пока приняли одну часть постановления о материальном обеспечении уборочной кампании</w:t>
      </w:r>
      <w:r w:rsidRPr="00E93F40">
        <w:rPr>
          <w:color w:val="000000" w:themeColor="text1"/>
          <w:sz w:val="16"/>
          <w:szCs w:val="16"/>
          <w:vertAlign w:val="superscript"/>
        </w:rPr>
        <w:t>4</w:t>
      </w:r>
      <w:r w:rsidRPr="00E93F40">
        <w:rPr>
          <w:color w:val="000000" w:themeColor="text1"/>
          <w:sz w:val="16"/>
          <w:szCs w:val="16"/>
        </w:rPr>
        <w:t>, но кроме этого сейчас вырабатывается проект постановления ЦК или ЦК и СНК об организации уборочной кампании</w:t>
      </w:r>
      <w:r w:rsidRPr="00E93F40">
        <w:rPr>
          <w:color w:val="000000" w:themeColor="text1"/>
          <w:sz w:val="16"/>
          <w:szCs w:val="16"/>
          <w:vertAlign w:val="superscript"/>
        </w:rPr>
        <w:t>5</w:t>
      </w:r>
      <w:r w:rsidRPr="00E93F40">
        <w:rPr>
          <w:color w:val="000000" w:themeColor="text1"/>
          <w:sz w:val="16"/>
          <w:szCs w:val="16"/>
        </w:rPr>
        <w:t>. Так как этот документ будет иметь большое значение, мы его Вам пошлем до принятия. Уборочная кампания этого года будет особенно нелегкой, в особенности на Украине. К сожалению, Украина пока совершенно не готовится к ней, а там мы стоим перед опасностью преждевременной, стихийной и не организованной уборки и расхищения хлеба с полей. Чубарю мы об этом говорили, но дело, конечно, не в Чубаре, а в своевременной мобилизации всей организации, а Косиор молчит.</w:t>
      </w:r>
    </w:p>
    <w:p w14:paraId="5842CCEA"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5) Обсуждали мы вопрос о пленуме ЦК. Наметили созыв пленума на 5 августа. Порядка дня окончательно не установили, решили посоветоваться с Вами. Намечаются у нас следующие вопросы: 1) доклады наркоматов легкой, тяжелой, лесной, снабовской промышленности и Центросоюза о расширении производства предметов широкого потребления и о развертывании советской колхозной торговли, 2) отчет НКЛеса, 3) о черной металлургии, 4) и в качестве возможных вопросов назывались отчет зерносовхозов и 5) о хлебозаготовительной кампании. Из этих названных 5-ти вопросов надо бы выбрать три вопроса. Прошу Вас сообщить свое мнение либо телеграфно, либо в письме.</w:t>
      </w:r>
    </w:p>
    <w:p w14:paraId="15BC0B0C"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6) Был у нас на ПБ спорный вопрос о Петровском заводе: строить его или нет. ПБ признало необходимым] строить</w:t>
      </w:r>
      <w:r w:rsidRPr="00E93F40">
        <w:rPr>
          <w:color w:val="000000" w:themeColor="text1"/>
          <w:sz w:val="16"/>
          <w:szCs w:val="16"/>
          <w:vertAlign w:val="superscript"/>
        </w:rPr>
        <w:t>6</w:t>
      </w:r>
      <w:r w:rsidRPr="00E93F40">
        <w:rPr>
          <w:color w:val="000000" w:themeColor="text1"/>
          <w:sz w:val="16"/>
          <w:szCs w:val="16"/>
        </w:rPr>
        <w:t>.</w:t>
      </w:r>
    </w:p>
    <w:p w14:paraId="6A007D42"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7) Посылаю Вам заявление группы инженеров-коммунистов Нижегородского автозавода, в котором они подводят базу под необходимость замены Дыбеца. Насколько это целесообразно, сомневаюсь</w:t>
      </w:r>
      <w:r w:rsidRPr="00E93F40">
        <w:rPr>
          <w:color w:val="000000" w:themeColor="text1"/>
          <w:sz w:val="16"/>
          <w:szCs w:val="16"/>
          <w:vertAlign w:val="superscript"/>
        </w:rPr>
        <w:t>7</w:t>
      </w:r>
      <w:r w:rsidRPr="00E93F40">
        <w:rPr>
          <w:color w:val="000000" w:themeColor="text1"/>
          <w:sz w:val="16"/>
          <w:szCs w:val="16"/>
        </w:rPr>
        <w:t>.</w:t>
      </w:r>
    </w:p>
    <w:p w14:paraId="2FD24C22"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8) Был у нас на ПБ еще один своеобразный спорный вопрос, о школе ЦИКа. Наркомвоенмор решил реорганизовать эту школу, по существу, в школу переподготовки комсостава, близкую к военной академии. Тов. Ворошилов на ПБ даже предопределял необходимость соединения с военной академией. Мы усомнились в целесообразности этой реорганизации, ибо тогда теряется смысл школы в </w:t>
      </w:r>
      <w:r w:rsidRPr="00E93F40">
        <w:rPr>
          <w:color w:val="000000" w:themeColor="text1"/>
          <w:sz w:val="16"/>
          <w:szCs w:val="16"/>
          <w:u w:val="single"/>
        </w:rPr>
        <w:t>Кремле</w:t>
      </w:r>
      <w:r w:rsidRPr="00E93F40">
        <w:rPr>
          <w:color w:val="000000" w:themeColor="text1"/>
          <w:sz w:val="16"/>
          <w:szCs w:val="16"/>
        </w:rPr>
        <w:t xml:space="preserve"> как военной силы, несущей караульную службу и т.д., ибо новый состав слушателей повышенного типа не сможет и не будет выполнять эти функции. Это будут просто военные студенты, и хотя это будет более проверенный личный состав, но общения непроверенных из внешнего мира с ними будет больше, чем в нынешней школе и т.д.</w:t>
      </w:r>
    </w:p>
    <w:p w14:paraId="31BF7132"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Тов. Ворошилов сообщил, что приказ им уже отдан. Мы, однако, вопрос отложили до следующего заседания, поручив РВС разослать дополнительную справку. Прошу Вас сообщить мне Ваши соображения по этому вопросу. Ну на этом кончу, а то и так затянул. Всего хорошего.</w:t>
      </w:r>
    </w:p>
    <w:p w14:paraId="18665186"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Ваш Л.Каганович.</w:t>
      </w:r>
    </w:p>
    <w:p w14:paraId="28524AA9"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 xml:space="preserve"> В марте 1932 г. Комитет цен при СТО был преобразован в Комитет товарных фондов и регулирования торговли при СТО, в его состав входили Молотов (председатель), Микоян, Квиринг Э.И., Хлоплянкин М.И. и др. Задачами Комитета были: определение товарных фондов широкого потребления для городского и сельского рынков, для экспорта, а также для других целевых назначений и утверждение по представлению Наркомснаба планов распределения товарных фондов по торгующим системам; проверка исполнения установленных планов ведомствами и торгующими организациями и др. (РГАСПИ. Ф. 17. Оп. 3. Д. 877. Л. 5; Д. 878. Л. 23).</w:t>
      </w:r>
    </w:p>
    <w:p w14:paraId="78070C15"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 xml:space="preserve"> Записка Я.САгранова отсутствует.</w:t>
      </w:r>
    </w:p>
    <w:p w14:paraId="416787E7"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 xml:space="preserve"> 8 июня 1932 г. ПБ заслушало вопрос «О стимулировании посевов свеклы». Комиссии под руководством Кагановича было поручено в двухдневный срок внести проект предложений (Там же. Д. 887. Л. 6).</w:t>
      </w:r>
    </w:p>
    <w:p w14:paraId="3BD56F93"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 xml:space="preserve"> Комиссия по уборочной кампании под председательством Молотова была создана решением ПБ 7 июня 1932 г. (Там же. Д. 887. Л. 9). 16 июня 1932 г. ПБ приняло постановление «О материальном снабжении уборочной кампании 1932 г.» (Там же. Д. 888. Л. 8, 23).</w:t>
      </w:r>
    </w:p>
    <w:p w14:paraId="06263F42"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5</w:t>
      </w:r>
      <w:r w:rsidRPr="00E93F40">
        <w:rPr>
          <w:color w:val="000000" w:themeColor="text1"/>
          <w:sz w:val="16"/>
          <w:szCs w:val="16"/>
        </w:rPr>
        <w:t xml:space="preserve"> Вопрос об уборочной кампании должен был рассматриваться на заседании ПБ 23 июня 1932 г., но был перенесен на 28 июня. Затем ПБ решило вопрос об уборочной кампании обсудить на совещании по хлебозаготовкам (Там же. Д. 890. Л. 8).</w:t>
      </w:r>
    </w:p>
    <w:p w14:paraId="04558D30"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6</w:t>
      </w:r>
      <w:r w:rsidRPr="00E93F40">
        <w:rPr>
          <w:color w:val="000000" w:themeColor="text1"/>
          <w:sz w:val="16"/>
          <w:szCs w:val="16"/>
        </w:rPr>
        <w:t xml:space="preserve"> На заседании ПБ 16 июня 1932 г. было решено построить Петровский завод производительностью 60 тысяч тонн чугуна (Там же. Д. 888. Л. 2).</w:t>
      </w:r>
    </w:p>
    <w:p w14:paraId="6116257B"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7</w:t>
      </w:r>
      <w:r w:rsidRPr="00E93F40">
        <w:rPr>
          <w:color w:val="000000" w:themeColor="text1"/>
          <w:sz w:val="16"/>
          <w:szCs w:val="16"/>
        </w:rPr>
        <w:t xml:space="preserve"> Решение о Нижегородском автозаводе было принято ПБ 20 сентября 1932 г. после возвращения Сталина из отпуска. С.С. Дыбец был освобожден от обязанностей директора завода. ПБ обязало Н.И.Ежова, Н.М.Анцеловича и А.А. Жданова выработать конкретно на месте все необходимые мероприятия для улучшения продовольственного положения рабочих завода и доложить в ЦК в срочном порядке (Там же. Д. 901. Л. 6)</w:t>
      </w:r>
    </w:p>
    <w:p w14:paraId="29A8BE9F"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558. Oп. 11. Д. 740. Л. 53–63. Автограф. </w:t>
      </w:r>
    </w:p>
    <w:p w14:paraId="49A5928F"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Сталин и Каганович. Переписка. 1931–1936 гг. Москва: (РОССПЭН), 2001 Стр. 170-174 (12349).</w:t>
      </w:r>
    </w:p>
    <w:p w14:paraId="6FF445A6"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p>
    <w:p w14:paraId="0920D902"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16 июня 1932 </w:t>
      </w:r>
      <w:r w:rsidRPr="00E93F40">
        <w:rPr>
          <w:rFonts w:ascii="Times New Roman" w:hAnsi="Times New Roman"/>
          <w:color w:val="000000" w:themeColor="text1"/>
          <w:sz w:val="16"/>
          <w:szCs w:val="16"/>
        </w:rPr>
        <w:t>Политбюро ЦК ВКП (б) приняло решение о необходимости строительства Петровского металлургического завода; одобрило проект решения СТО о сроках окончания строительства нефтепровода Каспий - Орск и нефтеперегонных заводов (12265).</w:t>
      </w:r>
    </w:p>
    <w:p w14:paraId="4C31E430" w14:textId="5DF44FDA" w:rsidR="0087389B"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310BE3B3" w14:textId="77777777" w:rsidR="00925EF1"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02B10D6" w14:textId="77777777" w:rsidR="00925EF1" w:rsidRPr="00E93F40" w:rsidRDefault="00925EF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31AE2A"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16 июня</w:t>
      </w:r>
      <w:r w:rsidRPr="00E93F40">
        <w:rPr>
          <w:rFonts w:ascii="Times New Roman" w:hAnsi="Times New Roman"/>
          <w:color w:val="000000" w:themeColor="text1"/>
          <w:sz w:val="16"/>
          <w:szCs w:val="16"/>
        </w:rPr>
        <w:t xml:space="preserve"> в 1932 году Постановление Совета Народных Комиссаров СССР о введении с целью более рационального использования светлой части суток декретного времени (поясное время плюс один час). Таким образом, время данного часового пояса в России отличается от всемирного времени на номер часового пояса (в часах) плюс один час (в летний период - два часа) (14924).</w:t>
      </w:r>
    </w:p>
    <w:p w14:paraId="2FF38BF4" w14:textId="77777777" w:rsidR="00925EF1" w:rsidRPr="00E93F40" w:rsidRDefault="00925EF1" w:rsidP="00E93F40">
      <w:pPr>
        <w:spacing w:after="0" w:line="240" w:lineRule="auto"/>
        <w:jc w:val="both"/>
        <w:rPr>
          <w:rFonts w:ascii="Times New Roman" w:hAnsi="Times New Roman"/>
          <w:color w:val="000000" w:themeColor="text1"/>
          <w:sz w:val="16"/>
          <w:szCs w:val="16"/>
        </w:rPr>
      </w:pPr>
    </w:p>
    <w:p w14:paraId="2D4CCB8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628191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573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июня 1932 правительство фон Паппена сняло запрет на войска штурмовиков (2100). Запрет действовал с апреля 1932 (3907,173).</w:t>
      </w:r>
    </w:p>
    <w:p w14:paraId="5C3991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A1C5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июня по 9 июля 1932 была международная конференция в Лозанне по вопросу о германских репарациях (2443,406) и согласовали окончательную сумму в 3 млрд. Рейхсмарок (3907,173).</w:t>
      </w:r>
    </w:p>
    <w:p w14:paraId="04212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174192"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16 июня</w:t>
      </w:r>
      <w:r w:rsidRPr="00E93F40">
        <w:rPr>
          <w:rFonts w:ascii="Times New Roman" w:hAnsi="Times New Roman"/>
          <w:color w:val="000000" w:themeColor="text1"/>
          <w:sz w:val="16"/>
          <w:szCs w:val="16"/>
        </w:rPr>
        <w:t xml:space="preserve"> в 1932 году в Лозанне началась конференция стран-победительниц в I Мировой Войне, на которой было принято решение о прекращении выплат Германией репараций после погашения последнего транша в 3 миллиарда рейхсмарок (14924).</w:t>
      </w:r>
    </w:p>
    <w:p w14:paraId="7F3B3FD3" w14:textId="77777777" w:rsidR="00925EF1" w:rsidRPr="00E93F40" w:rsidRDefault="00925EF1" w:rsidP="00E93F40">
      <w:pPr>
        <w:spacing w:after="0" w:line="240" w:lineRule="auto"/>
        <w:jc w:val="both"/>
        <w:rPr>
          <w:rFonts w:ascii="Times New Roman" w:hAnsi="Times New Roman"/>
          <w:color w:val="000000" w:themeColor="text1"/>
          <w:sz w:val="16"/>
          <w:szCs w:val="16"/>
        </w:rPr>
      </w:pPr>
    </w:p>
    <w:p w14:paraId="1F0C6D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июня 1932 был реакционный переворот в Чили (2443,406).</w:t>
      </w:r>
    </w:p>
    <w:p w14:paraId="3AE1E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C309C8" w14:textId="77777777" w:rsidR="00684A8A"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Авиапромышленность:</w:t>
      </w:r>
    </w:p>
    <w:p w14:paraId="035AF0D6" w14:textId="77777777" w:rsidR="00684A8A" w:rsidRPr="00E93F40" w:rsidRDefault="00684A8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D5F78A"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июня 1932 г. был доклад начальника 3-го сектора Отдела военных изобретений Техштаба Начальника вооружений РККА Макаренко</w:t>
      </w:r>
    </w:p>
    <w:p w14:paraId="75865301"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Вооружений РККА</w:t>
      </w:r>
    </w:p>
    <w:p w14:paraId="3D2B4074"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Ефимову Н.А.</w:t>
      </w:r>
    </w:p>
    <w:p w14:paraId="3F547BFB"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состоянии финансово-хозяйственной деятельности КБ и лабораторий ОВИ НВ РККА</w:t>
      </w:r>
    </w:p>
    <w:p w14:paraId="27251DDB"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...Газодинамическая лаборатория.</w:t>
      </w:r>
    </w:p>
    <w:p w14:paraId="55F733F2"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Обследование финансово-хозяйственной деятельности ГДЛ показало, что этому участку работы не уделяется никакого внимания. Финансовое хозяйство найдено в неудовлетворительном состоянии. Расходование кредитов производится безобразно, без всяких планов. Бережного отношения к расходованию кредитов в ГДЛ нет. Практикуется закупка материалов и инструментов на частном рынке. Имеет место получение из кассы тов. Ильиным по распискам, без указаний на какой предмет. Имеет место доплата нач-кам секторов ежемесячно по 200-300 руб. под видом выполнения той или иной работы.</w:t>
      </w:r>
    </w:p>
    <w:p w14:paraId="0790BF82"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Плана заготовки материалов нет. Материалы заготавливаются от случая к случаю. Состояние учета неудовлетворительно. По существующему учету судить о фактических затратах на ту или иную работу не представляется возможным. Учет себестоимости тем, разрабатываемых Лабораторией, совершенно отсутствует. Совершенно не чувствуется руководство со стороны Нач-ка ГДЛ т. Ильина.</w:t>
      </w:r>
    </w:p>
    <w:p w14:paraId="570F839D"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обследования доложены Начальнику Техштаба НВ РККА и согласно его указаниям составлен проект приказа Нач-ка Вооружений РККА с практическими указаниями по упорядочению хозяйственной деятельности ГДЛ. Приказ до сего времени не подписан.</w:t>
      </w:r>
    </w:p>
    <w:p w14:paraId="09391061"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Нач-к 3 сектора ОВИ ТШ НВ РККА</w:t>
      </w:r>
    </w:p>
    <w:p w14:paraId="6D3613C1"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Макаренко 17 июня 1932 г.» (12702).</w:t>
      </w:r>
    </w:p>
    <w:p w14:paraId="4EA0CDFF" w14:textId="77777777" w:rsidR="00684A8A" w:rsidRPr="00E93F40" w:rsidRDefault="00684A8A" w:rsidP="00E93F40">
      <w:pPr>
        <w:spacing w:after="0" w:line="240" w:lineRule="auto"/>
        <w:jc w:val="both"/>
        <w:rPr>
          <w:rFonts w:ascii="Times New Roman" w:hAnsi="Times New Roman"/>
          <w:color w:val="000000" w:themeColor="text1"/>
          <w:sz w:val="16"/>
          <w:szCs w:val="16"/>
        </w:rPr>
      </w:pPr>
    </w:p>
    <w:p w14:paraId="0A0B854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704E63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0165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июня 1931 г. вышел ПРИКАЗ УММ ОБ ОРГАНИЗАЦИИ НАУЧНО-ИССЛЕДОВАТЕЛЬСКИХ РАБОТ НА НИИ АБТ ПОЛИГОНЕ № 23/3</w:t>
      </w:r>
    </w:p>
    <w:p w14:paraId="5AAAAF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Москва</w:t>
      </w:r>
    </w:p>
    <w:p w14:paraId="61236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Заслушав доклад начальника Научно-испытательного автоброне-танкового полигона УММ I состоявшемся 15 июня совещании совместно с начальствующим составом 2 управления и НТК</w:t>
      </w:r>
    </w:p>
    <w:p w14:paraId="25D39A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Приказываю:</w:t>
      </w:r>
    </w:p>
    <w:p w14:paraId="41CADC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повседневного и непосредственного руководства подчинить начальника Научно-испытательного автобронетанкового полигона УММ моему помощнику т. Г. Бокису.</w:t>
      </w:r>
    </w:p>
    <w:p w14:paraId="1E821E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Председателю НТК УММ закрепить за каждой станцией и лабораторией персонально председптелей секций НТК, возложив на них ответственность за идейно-техническое руководство, для че-едседателям секций составить самостоятельный план опытов и исследовательских работ. Пред</w:t>
      </w:r>
      <w:r w:rsidRPr="00E93F40">
        <w:rPr>
          <w:rFonts w:ascii="Times New Roman" w:hAnsi="Times New Roman"/>
          <w:color w:val="000000" w:themeColor="text1"/>
          <w:sz w:val="16"/>
          <w:szCs w:val="16"/>
        </w:rPr>
        <w:softHyphen/>
        <w:t>ателю НТК УММ совместно с начальником Полигона обобщить вышеуказанные планы, доложить моему помощнику и представить на утверждение мне.</w:t>
      </w:r>
    </w:p>
    <w:p w14:paraId="00C928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План исследовательских работ, испытаний и разного научного порядка изысканий должен опираться не только на существующую базу полигона, но и на все другие промышленные учрежде-, работающие с УММ.</w:t>
      </w:r>
    </w:p>
    <w:p w14:paraId="401EEA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Начальнику 2 управления УММ т. Бокису выдать начальнику Полигона 50000 руб. на оборудование и 100000 руб. на постройку танкодрома, который должен являться образцом для всех частей РККА.</w:t>
      </w:r>
    </w:p>
    <w:p w14:paraId="7D21B0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Ответственность за комплектование Полигона личным командным составом и техперсоналом возлагаю на начальника 2 управления УММ т. Бокиса и председателя НТК т. Лебедева.</w:t>
      </w:r>
    </w:p>
    <w:p w14:paraId="107B47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Начальнику 2 управления УММ принять соответствующие меры к ускорению строительства игона, исходя из расчета закончить строительство к 1 ноября 1932 г.</w:t>
      </w:r>
    </w:p>
    <w:p w14:paraId="6471FE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Придать Полигону мехбатальон трехротного состава и караульную роту. В штате предусмотреть специально огневое дело.</w:t>
      </w:r>
    </w:p>
    <w:p w14:paraId="043EF1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Начальнику Военной академии механизации и моторизации РККА составить проект и обеспечить техническое руководство по оборудованию Полигона.</w:t>
      </w:r>
    </w:p>
    <w:p w14:paraId="7DC5FD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Для проверки работы Полигона и выявления всех существующих ненормальностей назначаю нспекцию в составе: председателя т. Стельмашко и членов тт. Азбукина и Буракова.</w:t>
      </w:r>
    </w:p>
    <w:p w14:paraId="2FA294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Председателю НТК УММ совместно со всеми членами ежемесячно заслушивать доклады на-яика Полигона, на которых обязаны присутствовать инженерно-технические работники Поли-а. Начальнику Полигона участвовать на всех научно-испытательных и исследовательских работах, проводимых на полигонах и заводах научно-техническим комитетом УММ.</w:t>
      </w:r>
    </w:p>
    <w:p w14:paraId="0B2599C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Председателю НТК УММ немедленно выделить образцы всех новых машин в распоряжение вчальника Полигона. В дальнейшем обязываю все первые образцы выходящих с заводов машин пе</w:t>
      </w:r>
      <w:r w:rsidRPr="00E93F40">
        <w:rPr>
          <w:rFonts w:ascii="Times New Roman" w:hAnsi="Times New Roman"/>
          <w:color w:val="000000" w:themeColor="text1"/>
          <w:sz w:val="16"/>
          <w:szCs w:val="16"/>
        </w:rPr>
        <w:softHyphen/>
        <w:t>вать для испытания в распоряжение начальника Полигона.</w:t>
      </w:r>
    </w:p>
    <w:p w14:paraId="3C8942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Председателю НТК выписать специальную иностранную литературу, потребную для Поли</w:t>
      </w:r>
      <w:r w:rsidRPr="00E93F40">
        <w:rPr>
          <w:rFonts w:ascii="Times New Roman" w:hAnsi="Times New Roman"/>
          <w:color w:val="000000" w:themeColor="text1"/>
          <w:sz w:val="16"/>
          <w:szCs w:val="16"/>
        </w:rPr>
        <w:softHyphen/>
        <w:t>на, из имеющихся у него средств.</w:t>
      </w:r>
    </w:p>
    <w:p w14:paraId="78BFA5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Не позднее 1 июля 1932 г. отправить в г. Казань на курсы ОСОАВИАХИМа начальника Полигона с его инженерно-техническими работниками сроком на пять дней.</w:t>
      </w:r>
    </w:p>
    <w:p w14:paraId="6B2CFE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Управления по механизации и моторизации РККА</w:t>
      </w:r>
    </w:p>
    <w:p w14:paraId="383CC4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Халепский</w:t>
      </w:r>
    </w:p>
    <w:p w14:paraId="0E43C8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2. Д. 100. Л. 7. Подлинник (11210).</w:t>
      </w:r>
    </w:p>
    <w:p w14:paraId="595F0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4DB0C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883753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635B92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 21 июня 1932 в рамках гос. испытаний ТБ1 № 690 с добавочными баками с 2-мя моторами М17 были выполнены перелеты Монино-Воронеж-Москва и Монино-Киев-Москва (6960).</w:t>
      </w:r>
    </w:p>
    <w:p w14:paraId="560C905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93F0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CC3D3F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FA6D40A" w14:textId="5885561B" w:rsidR="00FC0C68" w:rsidRPr="00E93F40" w:rsidRDefault="00FC0C68" w:rsidP="00E93F40">
      <w:pPr>
        <w:spacing w:after="0" w:line="240" w:lineRule="auto"/>
        <w:jc w:val="both"/>
        <w:rPr>
          <w:rFonts w:ascii="Times New Roman" w:hAnsi="Times New Roman"/>
          <w:color w:val="000000" w:themeColor="text1"/>
          <w:sz w:val="16"/>
          <w:szCs w:val="16"/>
          <w:lang w:eastAsia="ru-RU"/>
        </w:rPr>
      </w:pPr>
      <w:r w:rsidRPr="00E93F40">
        <w:rPr>
          <w:rFonts w:ascii="Times New Roman" w:hAnsi="Times New Roman"/>
          <w:color w:val="000000" w:themeColor="text1"/>
          <w:sz w:val="16"/>
          <w:szCs w:val="16"/>
        </w:rPr>
        <w:t>18 июня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Сталин писал из Сочи Кагановичу и Молотову (для членов Политбюро ЦК) о том, что хотя ЦК ВКП(б) и СНК СССР приняли постановление о некотором сокращении плана хлебозаготовок, но до села сниженный план доводить не надо; необходимо использовать разницу между первоначальным планом, который должнен выполняться на местах, и сокращенным планом «исключительно для стимулирования посевной работы». Сталин вынужден был признать, что главная ошибка хлебозаготовительной кампании 1931 г., особенно на Украине и Урале,-- в том, что план хлебозаготовок был разверстан по районам и колхозам «механически без учета положения в каждом отдельном колхозе». «В результате этого... получилась вопиющая несообразность, в силу которой на Украине, несмотря на неплохой урожай, ряд урожайных районов оказался в состоянии разорения и голода, а на Урале обком лишил себя возможности оказать помощь неурожайным районам за счет урожайных районов области».</w:t>
      </w:r>
    </w:p>
    <w:p w14:paraId="2E21577B" w14:textId="77777777" w:rsidR="00FC0C68" w:rsidRPr="00E93F40" w:rsidRDefault="00FC0C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Дабы не «повторять ошибок истекшего года», Сталин предложил... «допустить надбавку к плану в 4—5%, чтобы создать тем самым возможность перекрытия неизбежных ошибок в учете и выполнить самый план во что бы то ни стало».</w:t>
      </w:r>
    </w:p>
    <w:p w14:paraId="5025C6F9" w14:textId="11B8E3BA" w:rsidR="00FC0C68" w:rsidRPr="00E93F40" w:rsidRDefault="00FC0C68"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обсуждения вопросов хлебозаготовительной кампании</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Сталин предложил не позднее 26-27 июня созвать совещание секретарей партии и председателей исполкомов Советов (Совнаркомов) Украины, Северного Кавказа, ЦЧО, Нижней и Средней Волги, Урала, Казахстана, Западной Сибири, а также Белоруссии, Московской, Западной областей, Нижегородского края, Татарии и Башкирии «по вопросам организации хлебозаготовок и безусловному выполнению плана хлебозаготовок»^. На основе письма Сталина и совещания 1 июля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ЦК ВКП(б) принял постановление «Об организации хлебозаготовительной кампании</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(17254).</w:t>
      </w:r>
    </w:p>
    <w:p w14:paraId="544F2EA0" w14:textId="77777777" w:rsidR="00FC0C68" w:rsidRPr="00E93F40" w:rsidRDefault="00FC0C68" w:rsidP="00E93F40">
      <w:pPr>
        <w:autoSpaceDE w:val="0"/>
        <w:autoSpaceDN w:val="0"/>
        <w:adjustRightInd w:val="0"/>
        <w:spacing w:after="0" w:line="240" w:lineRule="auto"/>
        <w:jc w:val="both"/>
        <w:rPr>
          <w:rFonts w:ascii="Times New Roman" w:hAnsi="Times New Roman"/>
          <w:color w:val="000000" w:themeColor="text1"/>
          <w:sz w:val="16"/>
          <w:szCs w:val="16"/>
        </w:rPr>
      </w:pPr>
    </w:p>
    <w:p w14:paraId="7CBC86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18 и 24 июня 1932. Из протокола заседания Политбюро № 104, 1932 г.</w:t>
      </w:r>
    </w:p>
    <w:p w14:paraId="6789FF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поездке артистов МХАТ-1 за границу </w:t>
      </w:r>
    </w:p>
    <w:p w14:paraId="342D7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Разрешить выезд за границу врача вместе с артистом Станиславским. </w:t>
      </w:r>
    </w:p>
    <w:p w14:paraId="4E6B4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Выдать на поездку артистов МХАТ за границу валюту согласно существующей норме (11652).</w:t>
      </w:r>
    </w:p>
    <w:p w14:paraId="05658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3A25E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5CCC21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3EE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18 июня 1932 г. во Франции совершил первый полет новый истребитель-моноплан Девуатин В-500С1 с мо</w:t>
      </w:r>
      <w:r w:rsidRPr="00E93F40">
        <w:rPr>
          <w:rFonts w:ascii="Times New Roman" w:hAnsi="Times New Roman"/>
          <w:color w:val="000000" w:themeColor="text1"/>
          <w:sz w:val="16"/>
          <w:szCs w:val="16"/>
        </w:rPr>
        <w:softHyphen/>
        <w:t>тором Испано-Сюиза Н5-12 мощностью 500 л.с., несколько позже - его модификация О-501 с мотором Н8-12Х и пушкой калибра 20 мм. К этому времени во Франции уже завершилась разработка более мощных моторов Испано-Сюиза Н5-12 и Н5-12 с пушкой. Их конструкция, характеристики ши</w:t>
      </w:r>
      <w:r w:rsidRPr="00E93F40">
        <w:rPr>
          <w:rFonts w:ascii="Times New Roman" w:hAnsi="Times New Roman"/>
          <w:color w:val="000000" w:themeColor="text1"/>
          <w:sz w:val="16"/>
          <w:szCs w:val="16"/>
        </w:rPr>
        <w:softHyphen/>
        <w:t>роко обсуждались на страницах мировой авиационной печати (10667).</w:t>
      </w:r>
    </w:p>
    <w:p w14:paraId="385F17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B6631A" w14:textId="77777777" w:rsidR="005D4088" w:rsidRPr="00E93F40" w:rsidRDefault="005D408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июня 1932 состоялся первый полет Dewoitine D.500 (20803).</w:t>
      </w:r>
    </w:p>
    <w:p w14:paraId="7C04C917" w14:textId="77777777" w:rsidR="005D4088" w:rsidRPr="00E93F40" w:rsidRDefault="005D4088" w:rsidP="00E93F40">
      <w:pPr>
        <w:spacing w:after="0" w:line="240" w:lineRule="auto"/>
        <w:jc w:val="both"/>
        <w:rPr>
          <w:rFonts w:ascii="Times New Roman" w:hAnsi="Times New Roman"/>
          <w:color w:val="000000" w:themeColor="text1"/>
          <w:sz w:val="16"/>
          <w:szCs w:val="16"/>
        </w:rPr>
      </w:pPr>
    </w:p>
    <w:p w14:paraId="3319AED6"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18 июня</w:t>
      </w:r>
      <w:r w:rsidRPr="00E93F40">
        <w:rPr>
          <w:rFonts w:ascii="Times New Roman" w:hAnsi="Times New Roman"/>
          <w:color w:val="000000" w:themeColor="text1"/>
          <w:sz w:val="16"/>
          <w:szCs w:val="16"/>
        </w:rPr>
        <w:t xml:space="preserve"> в 1932 году первый прототип французского многоцелевого ударного самолета F.420 разбился из-за пожара начавшегося из-за неполадок в двигателе. Экипаж, состоящий из пилота Андрэ Салэль и механика Роже Робина не смог покинуть самолет из-за размеров запасного люка, не позволяющего протиснутся человеку, с надетым парашютом. Они оба погибли (14926).</w:t>
      </w:r>
    </w:p>
    <w:p w14:paraId="7B55288C" w14:textId="77777777" w:rsidR="00925EF1" w:rsidRPr="00E93F40" w:rsidRDefault="00925EF1" w:rsidP="00E93F40">
      <w:pPr>
        <w:spacing w:after="0" w:line="240" w:lineRule="auto"/>
        <w:jc w:val="both"/>
        <w:rPr>
          <w:rFonts w:ascii="Times New Roman" w:hAnsi="Times New Roman"/>
          <w:color w:val="000000" w:themeColor="text1"/>
          <w:sz w:val="16"/>
          <w:szCs w:val="16"/>
        </w:rPr>
      </w:pPr>
    </w:p>
    <w:p w14:paraId="0D0176C7"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18 июня</w:t>
      </w:r>
      <w:r w:rsidRPr="00E93F40">
        <w:rPr>
          <w:rFonts w:ascii="Times New Roman" w:hAnsi="Times New Roman"/>
          <w:color w:val="000000" w:themeColor="text1"/>
          <w:sz w:val="16"/>
          <w:szCs w:val="16"/>
        </w:rPr>
        <w:t xml:space="preserve"> в 1932 году первый полет опытного образца французского истребителя-моноплана </w:t>
      </w:r>
      <w:hyperlink r:id="rId130" w:tgtFrame="_blank" w:history="1">
        <w:r w:rsidRPr="00E93F40">
          <w:rPr>
            <w:rFonts w:ascii="Times New Roman" w:hAnsi="Times New Roman"/>
            <w:color w:val="000000" w:themeColor="text1"/>
            <w:sz w:val="16"/>
            <w:szCs w:val="16"/>
          </w:rPr>
          <w:t>«Дэвуатин D-500» (14926).</w:t>
        </w:r>
      </w:hyperlink>
    </w:p>
    <w:p w14:paraId="0C3663C6" w14:textId="77777777" w:rsidR="00925EF1" w:rsidRPr="00E93F40" w:rsidRDefault="00925EF1" w:rsidP="00E93F40">
      <w:pPr>
        <w:spacing w:after="0" w:line="240" w:lineRule="auto"/>
        <w:jc w:val="both"/>
        <w:rPr>
          <w:rFonts w:ascii="Times New Roman" w:hAnsi="Times New Roman"/>
          <w:color w:val="000000" w:themeColor="text1"/>
          <w:sz w:val="16"/>
          <w:szCs w:val="16"/>
        </w:rPr>
      </w:pPr>
    </w:p>
    <w:p w14:paraId="1D9E4E3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июня 1932 в Италии казнены два человека, обвиненных в попытке убить Муссолини (4962).</w:t>
      </w:r>
    </w:p>
    <w:p w14:paraId="5D2C538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8E167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июня 1932 в Женеве состоялась первая международная конференция национальных баскетбольных ассоциаций, принявшая решение о создании Международной федерации баскетбола (ФИБА) (4962).</w:t>
      </w:r>
    </w:p>
    <w:p w14:paraId="4E00058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0FE6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F8BD67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B027A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июня 1932 года начальник НИИ ВВС Бузанов писал письмо № 170сс начальнику ВВС Алкснису (6778):</w:t>
      </w:r>
    </w:p>
    <w:p w14:paraId="0AED9B3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вопросы, поставленные Вами в записке от 2 июня 1932 года докладываю:</w:t>
      </w:r>
    </w:p>
    <w:p w14:paraId="58676DC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Создание тяжелого бомбардировщика с пушечным, тяжелопулеметным и бомбовым вооружением, имеющим назначение нарушение построения боевых порядков нормального бомбардировщика – не считаю необходимым.</w:t>
      </w:r>
    </w:p>
    <w:p w14:paraId="12EA85D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истребительная авиация может быть вооружена мощными артиллерийскими средствами, ввиде вооружения ГДЛ, допускающего применение не только нормальных, но и тяжелых калибров, допускающих ведение и одиночного и залпового огня на дистанциях до 2-3 км.</w:t>
      </w:r>
    </w:p>
    <w:p w14:paraId="4A1D653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э</w:t>
      </w:r>
    </w:p>
    <w:p w14:paraId="64BFEBB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Тим полагаю, что при наличиии таких средств нарушение строя бомбардировщиков легко может быть осуществлено истребителями на дальних дистанциях с тем, что после нарушения строя те же истребители могут атаковать и пулеметным огнем.</w:t>
      </w:r>
    </w:p>
    <w:p w14:paraId="31C24F9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Многоместные истребители и крейсера, которые в такой же мере легко могут быть вооружены пушками ГДЛ, являются также серьезной угрозой для тяжелых бомбардировщиков.</w:t>
      </w:r>
    </w:p>
    <w:p w14:paraId="0674A06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отдельных случаях даже разведчики типа Р5, несущие 10 реактивных зарядов, в серьезных количествах уже превращаются в действительное средство для нападения на строй тяжелых бомбардировщиков.</w:t>
      </w:r>
    </w:p>
    <w:p w14:paraId="433AB15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появлением пушечного и особого вида вооружения (типа ГДЛ) сейчас возникает во всей остроте вопрос об оборонительном пушечном вооружении тяжелых бомбардировщиков.</w:t>
      </w:r>
    </w:p>
    <w:p w14:paraId="3DB21E3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анализе всех современных средств, могущих составлять пушечное вооружение, приходится констатировать непригодность такого вооружения, как мелкокалиберная пушка не только 20, но и 37 мм. Как в наземных войсках легкая артиллерия не может вести дуэльного состязания с артиллерией тяжелой, так и в воздушном бою калибры 82, 132 и 240 несомненно будут всегда иметь перевес над 20 и 37 мм калибрами.</w:t>
      </w:r>
    </w:p>
    <w:p w14:paraId="753ED68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Благодаря простоте и легкости вооружения ГДЛ я полагаю, что это вооружение может быть использовано также и в качестве оборонительного для тяжелых бомбардировщиков. Одним словом, вооружение ГДЛ в виде реактивных снарядов имеет большое и очевидное преимущество перед всеми остальными видами пушечного вооружения и все наши устремления, полагаю, надо направить именно сюда.</w:t>
      </w:r>
    </w:p>
    <w:p w14:paraId="06B83CF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сейчас считал бы необходимым поставить вопрос перед РВС и Правительством о переоборудовании одного из пороховых заводов специально для изготовления медленно горящих порохов для вооружения ГДЛ. Тем самым ускорить выпуск валовой продукции нового вида вооружения.</w:t>
      </w:r>
    </w:p>
    <w:p w14:paraId="65071CB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конструкторам требуется срочное задание на приспособление ГДЛ в качестве оборонительного вооружения на тяжелых самолетах, а также задание для конструктивного разрешения вопроса о нескольких снарядах для одной направляющей.</w:t>
      </w:r>
    </w:p>
    <w:p w14:paraId="5CE50AD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Разрешение вопросов с вооружением ГДЛ в порядке опытного уже в основном разрешено. Разрешение вопроса о вооружении в массовом производстве дает нам сильное и внезапное для возможных противников оружие. В этом мое глубокое убеждение (6778, 73).</w:t>
      </w:r>
    </w:p>
    <w:p w14:paraId="59DDD80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B69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июня 1932 на ЦА было совещание по вопросу облегчения конструкции ТБ-3 (АНТ-6) и от ЦАГИ были А.Н.Т., А.А.А., В.М.П. (1077,125).</w:t>
      </w:r>
    </w:p>
    <w:p w14:paraId="2EE1D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3BD1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июня 1932 в Троицын день Пред. ЦКК ВКП(б) Я.Э.Рудзутак, которому А.С.Я. послал записку о развитии легкой авиации, заинтересовался “исполкомовским” АИР-5 и пригласил на дачу в район Горок у Николиной Горы. А.С.Я. и механик Демещкевич разложили белое полотнище и развели костер на краю заливного лужка. Около полудня прилетел Пионтковский. Я.Э.Рудзутак вместе с А.С.Я. сели в кабину и Пионтковский продемонстрировал машину в воздухе (3971,6).</w:t>
      </w:r>
    </w:p>
    <w:p w14:paraId="53D01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это было в середине октября 1933 в связи с выселением с завода</w:t>
      </w:r>
    </w:p>
    <w:p w14:paraId="70C73CF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7A0554" w14:textId="77777777" w:rsidR="00BC4A5C" w:rsidRPr="00E93F40" w:rsidRDefault="00BC4A5C"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19 июня 1932 г. в выходной день Яковлев и механик Демешкевич прибыли на Николину гору осмотрели площадку выложили там белые полотнища посадочного знака и развели сигнальный костер, который также указывал дымом направление ветра. Около полудня показался прилетевший с Центрального аэродрома АИР-5, пилотируемый Ю.И. Пионтковским. Он низко прошел над дачей Рудзутака, описал круг и сел на лугу. Нарком осмотрел самолет, забрался в кабину и высказал желание полетать. АИР-5 поднялся в воздух, Пионтковский покатал Рудзутака над окрестностями. «Настоящий воздушный автомобиль», - сказал нарком. После посадки на луг прискакали жившие по соседству К.Е. Ворошилов и А.И. Микоян, тоже заинтересовавшиеся самолетом (19099).</w:t>
      </w:r>
    </w:p>
    <w:p w14:paraId="322B3345" w14:textId="77777777" w:rsidR="00BC4A5C" w:rsidRPr="00E93F40" w:rsidRDefault="00BC4A5C" w:rsidP="00E93F40">
      <w:pPr>
        <w:pStyle w:val="a8"/>
        <w:jc w:val="both"/>
        <w:rPr>
          <w:rFonts w:ascii="Times New Roman" w:hAnsi="Times New Roman" w:cs="Times New Roman"/>
          <w:color w:val="000000" w:themeColor="text1"/>
        </w:rPr>
      </w:pPr>
    </w:p>
    <w:p w14:paraId="3E5AAA0B" w14:textId="77777777" w:rsidR="00925EF1" w:rsidRPr="00E93F40" w:rsidRDefault="00925EF1"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 xml:space="preserve">19 июня </w:t>
      </w:r>
      <w:r w:rsidRPr="00E93F40">
        <w:rPr>
          <w:rFonts w:ascii="Times New Roman" w:hAnsi="Times New Roman"/>
          <w:color w:val="000000" w:themeColor="text1"/>
          <w:sz w:val="16"/>
          <w:szCs w:val="16"/>
        </w:rPr>
        <w:t xml:space="preserve">в 1932 году первый полет авиетки </w:t>
      </w:r>
      <w:hyperlink r:id="rId131" w:tgtFrame="_blank" w:history="1">
        <w:r w:rsidRPr="00E93F40">
          <w:rPr>
            <w:rFonts w:ascii="Times New Roman" w:hAnsi="Times New Roman"/>
            <w:color w:val="000000" w:themeColor="text1"/>
            <w:sz w:val="16"/>
            <w:szCs w:val="16"/>
          </w:rPr>
          <w:t>«АИР-5» (14927).</w:t>
        </w:r>
      </w:hyperlink>
    </w:p>
    <w:p w14:paraId="373A48E1" w14:textId="70FAF93B" w:rsidR="00925EF1" w:rsidRPr="00E93F40" w:rsidRDefault="00925EF1" w:rsidP="00E93F40">
      <w:pPr>
        <w:spacing w:after="0" w:line="240" w:lineRule="auto"/>
        <w:jc w:val="both"/>
        <w:rPr>
          <w:rFonts w:ascii="Times New Roman" w:hAnsi="Times New Roman"/>
          <w:bCs/>
          <w:color w:val="000000" w:themeColor="text1"/>
          <w:sz w:val="16"/>
          <w:szCs w:val="16"/>
        </w:rPr>
      </w:pPr>
    </w:p>
    <w:p w14:paraId="673852B4" w14:textId="00F8BA61" w:rsidR="00071DC6" w:rsidRPr="00E93F40" w:rsidRDefault="00071DC6" w:rsidP="00E93F40">
      <w:pPr>
        <w:spacing w:after="0" w:line="240" w:lineRule="auto"/>
        <w:jc w:val="both"/>
        <w:rPr>
          <w:rFonts w:ascii="Times New Roman" w:hAnsi="Times New Roman"/>
          <w:bCs/>
          <w:i/>
          <w:iCs/>
          <w:color w:val="000000" w:themeColor="text1"/>
          <w:sz w:val="16"/>
          <w:szCs w:val="16"/>
        </w:rPr>
      </w:pPr>
      <w:r w:rsidRPr="00E93F40">
        <w:rPr>
          <w:rFonts w:ascii="Times New Roman" w:hAnsi="Times New Roman"/>
          <w:bCs/>
          <w:i/>
          <w:iCs/>
          <w:color w:val="000000" w:themeColor="text1"/>
          <w:sz w:val="16"/>
          <w:szCs w:val="16"/>
        </w:rPr>
        <w:t>Армия:</w:t>
      </w:r>
    </w:p>
    <w:p w14:paraId="32819100" w14:textId="77777777" w:rsidR="00071DC6" w:rsidRPr="00E93F40" w:rsidRDefault="00071DC6" w:rsidP="00E93F40">
      <w:pPr>
        <w:spacing w:after="0" w:line="240" w:lineRule="auto"/>
        <w:jc w:val="both"/>
        <w:rPr>
          <w:rFonts w:ascii="Times New Roman" w:hAnsi="Times New Roman"/>
          <w:bCs/>
          <w:color w:val="000000" w:themeColor="text1"/>
          <w:sz w:val="16"/>
          <w:szCs w:val="16"/>
        </w:rPr>
      </w:pPr>
    </w:p>
    <w:p w14:paraId="742BDD31" w14:textId="77777777" w:rsidR="00071DC6" w:rsidRPr="00E93F40" w:rsidRDefault="00071D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июня 1932 г. приказом ОГПУ в Ташкенте был сформиро</w:t>
      </w:r>
      <w:r w:rsidRPr="00E93F40">
        <w:rPr>
          <w:rFonts w:ascii="Times New Roman" w:hAnsi="Times New Roman"/>
          <w:color w:val="000000" w:themeColor="text1"/>
          <w:sz w:val="16"/>
          <w:szCs w:val="16"/>
        </w:rPr>
        <w:softHyphen/>
        <w:t>ван 1-й отдельный авиаотряд погранвойск в Средней Азии Первым командиром авиаот</w:t>
      </w:r>
      <w:r w:rsidRPr="00E93F40">
        <w:rPr>
          <w:rFonts w:ascii="Times New Roman" w:hAnsi="Times New Roman"/>
          <w:color w:val="000000" w:themeColor="text1"/>
          <w:sz w:val="16"/>
          <w:szCs w:val="16"/>
        </w:rPr>
        <w:softHyphen/>
        <w:t>ряда стал Н. Заборский. На вооружении стояли только отечественные самоле</w:t>
      </w:r>
      <w:r w:rsidRPr="00E93F40">
        <w:rPr>
          <w:rFonts w:ascii="Times New Roman" w:hAnsi="Times New Roman"/>
          <w:color w:val="000000" w:themeColor="text1"/>
          <w:sz w:val="16"/>
          <w:szCs w:val="16"/>
        </w:rPr>
        <w:softHyphen/>
        <w:t>ты Р-1, Р-3, Р-5 и По-2. Отдельные звенья авиаотряда в составе 2—3 самолетов постоянно осуществляли перелеты из Ташкента в Ош, Фергану, Ходжент и другие пункты для ведения оперативной работы, совершали облеты и фотогра</w:t>
      </w:r>
      <w:r w:rsidRPr="00E93F40">
        <w:rPr>
          <w:rFonts w:ascii="Times New Roman" w:hAnsi="Times New Roman"/>
          <w:color w:val="000000" w:themeColor="text1"/>
          <w:sz w:val="16"/>
          <w:szCs w:val="16"/>
        </w:rPr>
        <w:softHyphen/>
        <w:t>фирование участков границы, участвовали в охране целого ряда объектов (20402).</w:t>
      </w:r>
    </w:p>
    <w:p w14:paraId="51D1A041" w14:textId="77777777" w:rsidR="00071DC6" w:rsidRPr="00E93F40" w:rsidRDefault="00071D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1937 г. в соответствие с приказом НКВД СССР от 1-й Ташкент</w:t>
      </w:r>
      <w:r w:rsidRPr="00E93F40">
        <w:rPr>
          <w:rFonts w:ascii="Times New Roman" w:hAnsi="Times New Roman"/>
          <w:color w:val="000000" w:themeColor="text1"/>
          <w:sz w:val="16"/>
          <w:szCs w:val="16"/>
        </w:rPr>
        <w:softHyphen/>
        <w:t>ский авиаотряд был реорганизован в 3-й авиаотряд отдельного базирования и организационно вошел в состав 4-й отдельной авиаэскадрильи г. Мары Турк</w:t>
      </w:r>
      <w:r w:rsidRPr="00E93F40">
        <w:rPr>
          <w:rFonts w:ascii="Times New Roman" w:hAnsi="Times New Roman"/>
          <w:color w:val="000000" w:themeColor="text1"/>
          <w:sz w:val="16"/>
          <w:szCs w:val="16"/>
        </w:rPr>
        <w:softHyphen/>
        <w:t>менской ССР. 13 сентября 1938 г. Ташкентский авиаотряд вновь стал само</w:t>
      </w:r>
      <w:r w:rsidRPr="00E93F40">
        <w:rPr>
          <w:rFonts w:ascii="Times New Roman" w:hAnsi="Times New Roman"/>
          <w:color w:val="000000" w:themeColor="text1"/>
          <w:sz w:val="16"/>
          <w:szCs w:val="16"/>
        </w:rPr>
        <w:softHyphen/>
        <w:t>стоятельной частью с наименованием: «1-й отдельный авиационный отряд пограничных и внутренних войск Среднеазиатского пограничного округа НКВД». Приказом НКВД СССР от 9 августа 1939 г. отряд опять подвергся ре</w:t>
      </w:r>
      <w:r w:rsidRPr="00E93F40">
        <w:rPr>
          <w:rFonts w:ascii="Times New Roman" w:hAnsi="Times New Roman"/>
          <w:color w:val="000000" w:themeColor="text1"/>
          <w:sz w:val="16"/>
          <w:szCs w:val="16"/>
        </w:rPr>
        <w:softHyphen/>
        <w:t>организации в 8-ю отдельную авиационную эскадрилью погранвойск. В таком качестве он просуществовал в Ташкенте вплоть до расформирования в соот</w:t>
      </w:r>
      <w:r w:rsidRPr="00E93F40">
        <w:rPr>
          <w:rFonts w:ascii="Times New Roman" w:hAnsi="Times New Roman"/>
          <w:color w:val="000000" w:themeColor="text1"/>
          <w:sz w:val="16"/>
          <w:szCs w:val="16"/>
        </w:rPr>
        <w:softHyphen/>
        <w:t>ветствии с приказом МГБ СССР от 25 июля 1950 г. (20402)</w:t>
      </w:r>
    </w:p>
    <w:p w14:paraId="71FDB667" w14:textId="77777777" w:rsidR="00071DC6" w:rsidRPr="00E93F40" w:rsidRDefault="00071D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апреля 1932 г. в Ташкенте при</w:t>
      </w:r>
      <w:r w:rsidRPr="00E93F40">
        <w:rPr>
          <w:rFonts w:ascii="Times New Roman" w:hAnsi="Times New Roman"/>
          <w:color w:val="000000" w:themeColor="text1"/>
          <w:sz w:val="16"/>
          <w:szCs w:val="16"/>
        </w:rPr>
        <w:softHyphen/>
        <w:t>казом ОГПУ был сформирован 2-й отдельный авиаотряд погранвойск для содействия сухопутным пограничным частям в охране государственной границы в Средней Азии. 11 октября 1933 г. отряд передислоцировался сначала в Ашхабад, а затем 8 мая 1934 г. на посто</w:t>
      </w:r>
      <w:r w:rsidRPr="00E93F40">
        <w:rPr>
          <w:rFonts w:ascii="Times New Roman" w:hAnsi="Times New Roman"/>
          <w:color w:val="000000" w:themeColor="text1"/>
          <w:sz w:val="16"/>
          <w:szCs w:val="16"/>
        </w:rPr>
        <w:softHyphen/>
        <w:t>янное место дислокации в г. Мары (тогда — г. Мерв). Приказом НКВД СССР от 1 февраля 1937 г. авиаотряд был переформирован в 4-ю отдельную авиацион</w:t>
      </w:r>
      <w:r w:rsidRPr="00E93F40">
        <w:rPr>
          <w:rFonts w:ascii="Times New Roman" w:hAnsi="Times New Roman"/>
          <w:color w:val="000000" w:themeColor="text1"/>
          <w:sz w:val="16"/>
          <w:szCs w:val="16"/>
        </w:rPr>
        <w:softHyphen/>
        <w:t>ную эскадрилью Погранвойск НКВД СССР. Эта дата и зафиксирована в фор</w:t>
      </w:r>
      <w:r w:rsidRPr="00E93F40">
        <w:rPr>
          <w:rFonts w:ascii="Times New Roman" w:hAnsi="Times New Roman"/>
          <w:color w:val="000000" w:themeColor="text1"/>
          <w:sz w:val="16"/>
          <w:szCs w:val="16"/>
        </w:rPr>
        <w:softHyphen/>
        <w:t>муляре части как официальный день рождения Марыйской отдельной авиа</w:t>
      </w:r>
      <w:r w:rsidRPr="00E93F40">
        <w:rPr>
          <w:rFonts w:ascii="Times New Roman" w:hAnsi="Times New Roman"/>
          <w:color w:val="000000" w:themeColor="text1"/>
          <w:sz w:val="16"/>
          <w:szCs w:val="16"/>
        </w:rPr>
        <w:softHyphen/>
        <w:t>эскадрильи погранвойск (20402).</w:t>
      </w:r>
    </w:p>
    <w:p w14:paraId="2D4B70A0" w14:textId="77777777" w:rsidR="00071DC6" w:rsidRPr="00E93F40" w:rsidRDefault="00071DC6" w:rsidP="00E93F40">
      <w:pPr>
        <w:spacing w:after="0" w:line="240" w:lineRule="auto"/>
        <w:jc w:val="both"/>
        <w:rPr>
          <w:rFonts w:ascii="Times New Roman" w:hAnsi="Times New Roman"/>
          <w:color w:val="000000" w:themeColor="text1"/>
          <w:sz w:val="16"/>
          <w:szCs w:val="16"/>
        </w:rPr>
      </w:pPr>
    </w:p>
    <w:p w14:paraId="520AB44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FB21D9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3B7573" w14:textId="03A1A860" w:rsidR="00071DC6" w:rsidRPr="00E93F40" w:rsidRDefault="00071DC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июня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Первый полёт опытного образца французского истребителя-моноплана Девуатин D-500. В ноябре 1933 г. французское правительство приняло решение принять истребитель Девуатина на вооружение, причём строить параллельно два варианта - пулемётный как D.500 и пушечный как D.501. На серийных самолётах изменили конструкцию моторамы и переместили некоторые щели и воздухозаборники на капоте. Первый серийный D.500 взлетел с заводского аэродрома в Тулузе 29 ноября 1934 г. Всего заводы выпустили 360 истребителей семейства D.500/ 501/510, довольно много по меркам 30-х годов. "Девуатины" стали самыми массовыми истребителями французских ВВС в середине 30-х, составляя около 80% парка. На них летали шесть эскадр. Однако, уже с 1936-37 годов эти самолёты стали отставать </w:t>
      </w:r>
      <w:r w:rsidRPr="00E93F40">
        <w:rPr>
          <w:rFonts w:ascii="Times New Roman" w:hAnsi="Times New Roman"/>
          <w:color w:val="000000" w:themeColor="text1"/>
          <w:sz w:val="16"/>
          <w:szCs w:val="16"/>
        </w:rPr>
        <w:lastRenderedPageBreak/>
        <w:t>от уровня стремительно развивавшейся истребительной авиации. В небе появились истребители так называемой "новой волны", с закрытыми кабинами, убирающимся шасси и совсем иной тактикой боя (22457).</w:t>
      </w:r>
    </w:p>
    <w:p w14:paraId="0A1594AC" w14:textId="77777777" w:rsidR="00071DC6" w:rsidRPr="00E93F40" w:rsidRDefault="00071DC6" w:rsidP="00E93F40">
      <w:pPr>
        <w:spacing w:after="0" w:line="240" w:lineRule="auto"/>
        <w:jc w:val="both"/>
        <w:rPr>
          <w:rFonts w:ascii="Times New Roman" w:hAnsi="Times New Roman"/>
          <w:color w:val="000000" w:themeColor="text1"/>
          <w:sz w:val="16"/>
          <w:szCs w:val="16"/>
        </w:rPr>
      </w:pPr>
    </w:p>
    <w:p w14:paraId="6F2727D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июня 1932 в Австрии запрещена нацистская партия (4962).</w:t>
      </w:r>
    </w:p>
    <w:p w14:paraId="4C303D3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AA612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июня 1932 Франция гарантировала Л. Троцкому предоставление политического убежища (4962).</w:t>
      </w:r>
    </w:p>
    <w:p w14:paraId="305D985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A9272E" w14:textId="77777777" w:rsidR="0087389B"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150DBB1" w14:textId="77777777" w:rsidR="0087389B" w:rsidRPr="00E93F40" w:rsidRDefault="0087389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08CFD2" w14:textId="73DE4B2F" w:rsidR="0087389B" w:rsidRPr="00E93F40" w:rsidRDefault="0087389B" w:rsidP="00E93F40">
      <w:pPr>
        <w:pStyle w:val="rtejustify"/>
        <w:spacing w:before="0" w:after="0"/>
        <w:rPr>
          <w:color w:val="000000" w:themeColor="text1"/>
          <w:sz w:val="16"/>
          <w:szCs w:val="16"/>
        </w:rPr>
      </w:pPr>
      <w:r w:rsidRPr="00E93F40">
        <w:rPr>
          <w:rStyle w:val="af0"/>
          <w:i w:val="0"/>
          <w:color w:val="000000" w:themeColor="text1"/>
          <w:sz w:val="16"/>
          <w:szCs w:val="16"/>
        </w:rPr>
        <w:t>20</w:t>
      </w:r>
      <w:r w:rsidR="007C1411" w:rsidRPr="00E93F40">
        <w:rPr>
          <w:rStyle w:val="af0"/>
          <w:i w:val="0"/>
          <w:color w:val="000000" w:themeColor="text1"/>
          <w:sz w:val="16"/>
          <w:szCs w:val="16"/>
        </w:rPr>
        <w:t xml:space="preserve"> </w:t>
      </w:r>
      <w:r w:rsidRPr="00E93F40">
        <w:rPr>
          <w:rStyle w:val="af0"/>
          <w:i w:val="0"/>
          <w:color w:val="000000" w:themeColor="text1"/>
          <w:sz w:val="16"/>
          <w:szCs w:val="16"/>
        </w:rPr>
        <w:t>июня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17.</w:t>
      </w:r>
      <w:r w:rsidRPr="00E93F40">
        <w:rPr>
          <w:color w:val="000000" w:themeColor="text1"/>
          <w:sz w:val="16"/>
          <w:szCs w:val="16"/>
        </w:rPr>
        <w:t xml:space="preserve"> 5.</w:t>
      </w:r>
      <w:r w:rsidR="007C1411" w:rsidRPr="00E93F40">
        <w:rPr>
          <w:color w:val="000000" w:themeColor="text1"/>
          <w:sz w:val="16"/>
          <w:szCs w:val="16"/>
        </w:rPr>
        <w:t xml:space="preserve"> </w:t>
      </w:r>
      <w:r w:rsidRPr="00E93F40">
        <w:rPr>
          <w:color w:val="000000" w:themeColor="text1"/>
          <w:sz w:val="16"/>
          <w:szCs w:val="16"/>
        </w:rPr>
        <w:t>О работах инженера Курчевского. (Ефимов, Курчевский). 6.</w:t>
      </w:r>
      <w:r w:rsidR="007C1411" w:rsidRPr="00E93F40">
        <w:rPr>
          <w:color w:val="000000" w:themeColor="text1"/>
          <w:sz w:val="16"/>
          <w:szCs w:val="16"/>
        </w:rPr>
        <w:t xml:space="preserve"> </w:t>
      </w:r>
      <w:r w:rsidRPr="00E93F40">
        <w:rPr>
          <w:color w:val="000000" w:themeColor="text1"/>
          <w:sz w:val="16"/>
          <w:szCs w:val="16"/>
        </w:rPr>
        <w:t>О работах инженера Ниренберга. (Ефимов). 11.</w:t>
      </w:r>
      <w:r w:rsidR="007C1411" w:rsidRPr="00E93F40">
        <w:rPr>
          <w:color w:val="000000" w:themeColor="text1"/>
          <w:sz w:val="16"/>
          <w:szCs w:val="16"/>
        </w:rPr>
        <w:t xml:space="preserve"> </w:t>
      </w:r>
      <w:r w:rsidRPr="00E93F40">
        <w:rPr>
          <w:color w:val="000000" w:themeColor="text1"/>
          <w:sz w:val="16"/>
          <w:szCs w:val="16"/>
        </w:rPr>
        <w:t>О работах инженера Шпитального. (Ефимов).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337, 338) (12342).</w:t>
      </w:r>
    </w:p>
    <w:p w14:paraId="0B197FD0" w14:textId="77777777" w:rsidR="0087389B" w:rsidRPr="00E93F40" w:rsidRDefault="0087389B" w:rsidP="00E93F40">
      <w:pPr>
        <w:pStyle w:val="rtejustify"/>
        <w:spacing w:before="0" w:after="0"/>
        <w:rPr>
          <w:color w:val="000000" w:themeColor="text1"/>
          <w:sz w:val="16"/>
          <w:szCs w:val="16"/>
        </w:rPr>
      </w:pPr>
    </w:p>
    <w:p w14:paraId="6C48FDD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73F128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B75E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июня 1932 г. управляющий Всесоюзным автотракторным объединением (ВАТО) - отдельного наркомата еще не существовало - С. С. Дьяконов на совещании директоров заводов автотракторной промышленности заявил, что перед Путиловским заводом в Ленинграде стоит крупнейшая задача - стать создателями советского "Бьюика". Сегодня, может быть, нам покажется странным, что и в официальных документах, и на страницах газет, да и на плакатах и лозунгах тоже встречались такие выражения: "Есть первый советский "Форд", "Начат серийный выпуск "Автокаров", "Даешь советский "Бьюик". Это диктовалось не отсутствием патриотизма. Мы гордились тем, что самую передовую и самую сложную зарубежную технику наши заводы не только могут делать, но в состоянии ее освоить очень быстро и изготовлять по качеству не хуже иностранных фирм. Но прежде чем С. С. Дьяконов поставил задачу создания советского "Бьюика", произошли события, предопределившие решение, принятое в ВАТО. "Красный путиловец" (с 1934 г. "Кировский завод"), к 1932 г. свернул производство устаревших колесных тракторов "Фордзон-Путиловец". И тогда группа специалистов завода во главе с его техническим директором М. Л. Тер-Асатуровым выдвинула идею на освободившихся площадях тракторного отдела организовать выпуск представительских легковых автомобилей. Первоначальный замысел по тем временам был грандиозным - 20 тыс. машин в год. Директор "Красного путиловца" К. М. Отс поддержал начинание и получил разрешение Нарком-тяжпрома, которому тогда подчинялся завод, изготовить к 1 мая 1933 г. опытную партию из десяти таких машин. Прототипом автомобиля, получившего наименование "Ленинград-1" (или Л-1), стал американский "Бьюик-32-90" модели 1932 г. Это была весьма совершенная и сложная (5450 деталей) машина. Среди ее конструктивных особенностей-синхронизаторы третьей и второй передач, гаситель крутильных колебаний коленчатого вала, вакуумный усилитель в приводе сцепления, вакуумный усилитель в приводе тормозов. О трудностях решения технических задач, стоявших перед коллективом "Красного путиловца", да и всей автомобильной промышленности страны, можно судить по такому факту, что диафрагменный бензиновый насос считался сложным в освоении объектом, как и карданные шарниры типа "Спайсер". Здесь же предстояло изготовить очень сложные сдвоенные карбюраторы с автоматической регулировкой подачи воздуха, управляющий шторками радиатора термостат, рычажные гидравлические амортизаторы с дистанционной (с места водителя) регулировкой их сопротивления. Добавим сюда радиатор системы смазки, воздушный фильтр, сложные в изготовлении коленчатый вал и блок восьми-цилиндрового двигателя. Выполнение чертежей взял на себя ленинградский институт "ЛенгипроВАТО" силами группы специалистов под руководством профессора Л. В. Клименко. В нее вошли также и инженеры "Красного путиловца". Проектные работы они начали в конце октября 1932 г., а уже в марте 1933 г.- сборку машин. Все их делали были изготовлены в СССР - или на "Красном путиловце", или на других предприятиях. "Красный Путиловец-Л1" с кузовом лимузин 1933 г. Первое шасси, еще без кузова, сборщики сдали 24 апреля. На пробную поездку его вывел М. Л. Тер-Асатуров. На первомайскую демонстрацию краснопутиловцы направили шесть автомобилей Л-1 с кузовами лимузин, окрашенными в черный цвет с обивкой салона из серого репса. Эти же шесть машин 19 мая 1933 г.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легковых автомобилей. Позже приказом Наркомтяжпрома работы по автомобилям на "Красном пути 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путилов-цем"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(12098).</w:t>
      </w:r>
    </w:p>
    <w:p w14:paraId="6AC44A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5EB5FC"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июня 1932 года на совещании директоров Всесоюзного Автотракторного объединения (ВАТО) управляющий объединением С.С. Дьяконов поставил перед ленинградским Путиловским заводом задачу - создать советский представительский автомобиль. Нельзя сказать, чтобы это задание было для «Красного Путиловца» неожиданным. К началу 1932 года завод свернул производство устаревших тракторов «Фордзон-Путиловец», и группа специалистов завода во главе с техническим директором М.Л. Тер-Асатуровым выступила с инициативой освоить выпуск «легкового флагмана» на освободившихся мощностях. Первоначальные планы заводчан предусматривали ежегодный выпуск целых двадцати тысяч автомобилей (!), и это притом, что гораздо более дешевый ГАЗ-А строился в среднем в количестве 13,5 тыс. штук в год.</w:t>
      </w:r>
    </w:p>
    <w:p w14:paraId="57782DFB" w14:textId="77777777" w:rsidR="00925EF1" w:rsidRPr="00E93F40" w:rsidRDefault="00925E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«Красного Путиловца» К. М. Отс поддержал начинание и получил разрешение Наркомата тяжелой промышленности, которому тогда подчинялся завод, изготовить к 1 мая 1933 г. опытную партию из десяти таких машин. В свете того, что опыта проектирования подобного автомобиля, да и вообще, какого-либо другого автомобиля, у «Красного Путиловца» не было, решение воспроизвести подходящий зарубежный образец выглядит совершенно естественно. В то время для обслуживания верхушки государственного аппарата эксплуатировалось немало импортных представительских автомобилей, в массе своей американского происхождения. Неудивительно, что и за прототип первого советского лимузина был принят роскошный американский Buick модели «32-90» 1932-го модельного года в исполнении «шестиоконный седан». По легенде, наличие именно такого служебного автомобиля приписывается по разным источникам М.Л. Тер-Асатурову или даже самому С.М. Кирову, что якобы сыграло решающее значение. Для своих лет этот автомобиль считался верхом совершенства. И как следствие, был чрезвычайно труден для воспроизведения новорожденной советской автопромышленностью. Поэтому лозунги в печати той эпохи «даешь советский бюик!» (в литературе тех лет писалось именно так, с маленькой буквы и без мягкого знака) вовсе не были космополитическими, а выражали гордость за освоение выпуска отечественной промышленностью в самые короткие сроки передовых образцов техники (15591).</w:t>
      </w:r>
    </w:p>
    <w:p w14:paraId="3888E12F" w14:textId="77777777" w:rsidR="00925EF1" w:rsidRPr="00E93F40" w:rsidRDefault="00925EF1" w:rsidP="00E93F40">
      <w:pPr>
        <w:spacing w:after="0" w:line="240" w:lineRule="auto"/>
        <w:jc w:val="both"/>
        <w:rPr>
          <w:rFonts w:ascii="Times New Roman" w:hAnsi="Times New Roman"/>
          <w:color w:val="000000" w:themeColor="text1"/>
          <w:sz w:val="16"/>
          <w:szCs w:val="16"/>
        </w:rPr>
      </w:pPr>
    </w:p>
    <w:p w14:paraId="76338A3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24B088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93BA4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 21 июня 1932 в рамках гос. испытаний ТБ1 № 690 с добавочными баками с 2-мя моторами М17 были выполнены перелеты Монино-Воронеж-Москва и Монино-Киев-Москва (6960).</w:t>
      </w:r>
    </w:p>
    <w:p w14:paraId="555EF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E39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А.А.Колосов вместе с Я.И.Алкснисом, Лусисом и Лопацким на ТБ-1 под автопилотом АВП-1 слетали по маршруту Москва - Нижний Новгород - Москва (6:15) и Я.И.Алкснис решился заказать (серия на Метроне), а Р.Г.Ниренберг получил ОКЗ (390,125).</w:t>
      </w:r>
    </w:p>
    <w:p w14:paraId="557AB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A2760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в НИИ ВВС закончились испытания самолета ТБ1 № 690 с добавочными баками с 2-мя моторами М17, которые проходили с 8 июня 1932.</w:t>
      </w:r>
    </w:p>
    <w:p w14:paraId="5396BDB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Отчет по испытаниям самолета ТБ1 № 690 с добавочными баками с 2-мя моторами М17</w:t>
      </w:r>
    </w:p>
    <w:p w14:paraId="58F8E0C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5ED4478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 – Рязанов</w:t>
      </w:r>
    </w:p>
    <w:p w14:paraId="10C9BF7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 Стефановский</w:t>
      </w:r>
    </w:p>
    <w:p w14:paraId="26C330D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испытаний</w:t>
      </w:r>
    </w:p>
    <w:p w14:paraId="2936790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максимальную дальность.</w:t>
      </w:r>
    </w:p>
    <w:p w14:paraId="29CF081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особенности взлета и пилотажа.</w:t>
      </w:r>
    </w:p>
    <w:p w14:paraId="0675694B"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Проработать вопрос о расходе горючего.</w:t>
      </w:r>
    </w:p>
    <w:p w14:paraId="6155120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получен от ЦАГИ – 5 июня 1932 года</w:t>
      </w:r>
    </w:p>
    <w:p w14:paraId="17A2523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 – 8 июня 1932 года</w:t>
      </w:r>
    </w:p>
    <w:p w14:paraId="4938EB7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закончено – 21 июня 1932 года</w:t>
      </w:r>
    </w:p>
    <w:p w14:paraId="27AED64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испытания затрачено 14 календарных дней</w:t>
      </w:r>
    </w:p>
    <w:p w14:paraId="795F40A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летал 7 дней.</w:t>
      </w:r>
    </w:p>
    <w:p w14:paraId="56401ED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налетал 32 часа 53 минуты.</w:t>
      </w:r>
    </w:p>
    <w:p w14:paraId="74ECAFD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Конструктивные отличия от типового ТБ1</w:t>
      </w:r>
    </w:p>
    <w:p w14:paraId="3721D33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самолете установлены 4 дополнительных бензиновых бака, из них 2 бака в бомбовом отсеке фюзеляжа и по одному баку в концевой части крыльев.</w:t>
      </w:r>
    </w:p>
    <w:p w14:paraId="27B0F39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том же бомбовом отсеке установлен дополнительный маслобак. Использование этого бака в зимних условиях невозможно.</w:t>
      </w:r>
    </w:p>
    <w:p w14:paraId="4A7CF4E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Перелет Монино-Воронеж-Москва</w:t>
      </w:r>
    </w:p>
    <w:p w14:paraId="36CC9CC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Перелет был предпринят с целью проверки расчетов расхода топлива и тренировки экипажа и был успешно выполнен 18 июня 1932 года.</w:t>
      </w:r>
    </w:p>
    <w:p w14:paraId="62A7947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Перелет Монино-Киев-Москва. 21 июня 1932 года.</w:t>
      </w:r>
    </w:p>
    <w:p w14:paraId="51F6D9E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0612D38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Считать необходимым для увеличения дальности полета самолета ТБ1-2М17 снабдить часть самолетов, находящихся в строю добавочными баками (6960).</w:t>
      </w:r>
    </w:p>
    <w:p w14:paraId="1B4AB77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6E2C8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в НИИ ВВС закончилось гос. испытание ТБ-1 на дальность, которое проходило с 21 июня 1932 (6778).</w:t>
      </w:r>
    </w:p>
    <w:p w14:paraId="49ADE82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07FE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года закончились испытания самолета ТБ1 № 690 с добавочными баками с 2-мя моторами М17, которые проходили с 5 или 8 июля 1932 (6772).</w:t>
      </w:r>
    </w:p>
    <w:p w14:paraId="2127A94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09967D1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 – Рязанов</w:t>
      </w:r>
    </w:p>
    <w:p w14:paraId="6D4887F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 Стефановский</w:t>
      </w:r>
    </w:p>
    <w:p w14:paraId="129598B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испытаний</w:t>
      </w:r>
    </w:p>
    <w:p w14:paraId="1010EAD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максимальную дальность.</w:t>
      </w:r>
    </w:p>
    <w:p w14:paraId="740D2632"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особенности взлета и пилотажа.</w:t>
      </w:r>
    </w:p>
    <w:p w14:paraId="377F36F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Проработать вопрос о расходе горючего.</w:t>
      </w:r>
    </w:p>
    <w:p w14:paraId="266B68E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получен от ЦАГИ 5 июня 1932 года</w:t>
      </w:r>
    </w:p>
    <w:p w14:paraId="01A37BD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 – 8 июня 1932 года</w:t>
      </w:r>
    </w:p>
    <w:p w14:paraId="77D1F95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окончено – 21 июня 1932 года</w:t>
      </w:r>
    </w:p>
    <w:p w14:paraId="4D572E1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14 календарных дней, из коих:</w:t>
      </w:r>
    </w:p>
    <w:p w14:paraId="2490D3B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летал – 7 дней</w:t>
      </w:r>
    </w:p>
    <w:p w14:paraId="6316203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налетал в течении 7 дней 32 часа 53 минуты.</w:t>
      </w:r>
    </w:p>
    <w:p w14:paraId="62DFB66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отличие от типового ТБ1 на самолете установлены 4 дополнительных бензобака.</w:t>
      </w:r>
    </w:p>
    <w:p w14:paraId="3B664D8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EB8733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июня 1932 года с целью проверки расчетов расхода топлива и тренировки экипажа был успешно выполнен перелет Монино – Воронеж – Москва.</w:t>
      </w:r>
    </w:p>
    <w:p w14:paraId="652973B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года – перелет Монино – Киев – Москва (6772).</w:t>
      </w:r>
    </w:p>
    <w:p w14:paraId="02488EF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26E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(3 марта - 390,124) 1932 закончились летные испытания первого советского автопилота АВП-1 на ТБ-1, которые начались 8 февраля 1932 (237,163).</w:t>
      </w:r>
    </w:p>
    <w:p w14:paraId="56762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994EB3" w14:textId="77777777" w:rsidR="00F57C9C" w:rsidRPr="00142305" w:rsidRDefault="00F57C9C" w:rsidP="00F57C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июня 1932 г. после устранения дефектов АВП-1 эки</w:t>
      </w:r>
      <w:r w:rsidRPr="00142305">
        <w:rPr>
          <w:rFonts w:ascii="Times New Roman" w:hAnsi="Times New Roman"/>
          <w:color w:val="0070C0"/>
          <w:sz w:val="16"/>
          <w:szCs w:val="16"/>
        </w:rPr>
        <w:softHyphen/>
        <w:t>паж в составе А.А. Колосова, Я.И. Алксниса, Лугиса, Лопицкого совершил на ТБ-1 полет с работающим автопилотом продолжительностью 6 час 15 мин по маршруту Моск</w:t>
      </w:r>
      <w:r w:rsidRPr="00142305">
        <w:rPr>
          <w:rFonts w:ascii="Times New Roman" w:hAnsi="Times New Roman"/>
          <w:color w:val="0070C0"/>
          <w:sz w:val="16"/>
          <w:szCs w:val="16"/>
        </w:rPr>
        <w:softHyphen/>
        <w:t>ва - Нижний Новгород – Москва (25004).</w:t>
      </w:r>
    </w:p>
    <w:p w14:paraId="7F6D1359" w14:textId="77777777" w:rsidR="00F57C9C" w:rsidRPr="00142305" w:rsidRDefault="00F57C9C" w:rsidP="00F57C9C">
      <w:pPr>
        <w:spacing w:after="0" w:line="240" w:lineRule="auto"/>
        <w:jc w:val="both"/>
        <w:rPr>
          <w:rFonts w:ascii="Times New Roman" w:hAnsi="Times New Roman"/>
          <w:color w:val="0070C0"/>
          <w:sz w:val="16"/>
          <w:szCs w:val="16"/>
        </w:rPr>
      </w:pPr>
    </w:p>
    <w:p w14:paraId="0E006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года начальник ВВС Алкснис писал письмо N 38/0874 председателю РВС.</w:t>
      </w:r>
    </w:p>
    <w:p w14:paraId="41BC3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6D75D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21 июня 1932 года.</w:t>
      </w:r>
    </w:p>
    <w:p w14:paraId="5D3C9F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завод N 22, согласно постановления СТО от 2 марта с.г. обязан сдать НКВМору до 1 июля с.г. 50 ТБ-3, что не будет выполнено, в лучшем случае будет сдано не более 30 самолетов.</w:t>
      </w:r>
    </w:p>
    <w:p w14:paraId="79AFF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заводу N 39.</w:t>
      </w:r>
    </w:p>
    <w:p w14:paraId="6F91E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должен сдать всего 40 самолетов ТБ-3 в течение III квартала 1932 года, начиная с августа. Завод предполагает первую машину выпустить в июле, но вероятно это не будет выполнено.</w:t>
      </w:r>
    </w:p>
    <w:p w14:paraId="4A931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заводу N 18.</w:t>
      </w:r>
    </w:p>
    <w:p w14:paraId="092D2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должен всего выпустить в последнем квартале текущего года 10 самолетов ТБ-3 (3027).</w:t>
      </w:r>
    </w:p>
    <w:p w14:paraId="24339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7F0F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вышел ПРИКАЗ По Главному управлению Авиационной промышленности № 16/333</w:t>
      </w:r>
    </w:p>
    <w:p w14:paraId="0470FE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определения состояния самолета ТВ5-4 Юпитер 6 и для выяснения дальнейшего его назначения, соста</w:t>
      </w:r>
      <w:r w:rsidRPr="00E93F40">
        <w:rPr>
          <w:rFonts w:ascii="Times New Roman" w:hAnsi="Times New Roman"/>
          <w:color w:val="000000" w:themeColor="text1"/>
          <w:sz w:val="16"/>
          <w:szCs w:val="16"/>
        </w:rPr>
        <w:softHyphen/>
        <w:t>вить смешанную Комиссию под председательством Зам. Директора завода № 22 Чернышева.</w:t>
      </w:r>
    </w:p>
    <w:p w14:paraId="7DCD1A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 комиссии включить:</w:t>
      </w:r>
    </w:p>
    <w:p w14:paraId="4070D6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з-да № 39 конструктора инж. Григоровича Д.П. и инж. Рафаелянц А.</w:t>
      </w:r>
    </w:p>
    <w:p w14:paraId="43E5D8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ЦАГИ - Конструкторского отдела - инж.Синькова</w:t>
      </w:r>
    </w:p>
    <w:p w14:paraId="63A1C3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Экспериментально-Аэроди</w:t>
      </w:r>
      <w:r w:rsidRPr="00E93F40">
        <w:rPr>
          <w:rFonts w:ascii="Times New Roman" w:hAnsi="Times New Roman"/>
          <w:color w:val="000000" w:themeColor="text1"/>
          <w:sz w:val="16"/>
          <w:szCs w:val="16"/>
        </w:rPr>
        <w:softHyphen/>
        <w:t>намического отдела - инж.Чесалова</w:t>
      </w:r>
    </w:p>
    <w:p w14:paraId="4FC7B1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Директора з-да ЦАГИ инж. Осипова.</w:t>
      </w:r>
    </w:p>
    <w:p w14:paraId="3B0316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Включить в Комиссию представителя НИИ по указа</w:t>
      </w:r>
      <w:r w:rsidRPr="00E93F40">
        <w:rPr>
          <w:rFonts w:ascii="Times New Roman" w:hAnsi="Times New Roman"/>
          <w:color w:val="000000" w:themeColor="text1"/>
          <w:sz w:val="16"/>
          <w:szCs w:val="16"/>
        </w:rPr>
        <w:softHyphen/>
        <w:t>нию начальника НИИ.</w:t>
      </w:r>
    </w:p>
    <w:p w14:paraId="008577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Комиссии в 5-Дневный срок просмотреть весь мате</w:t>
      </w:r>
      <w:r w:rsidRPr="00E93F40">
        <w:rPr>
          <w:rFonts w:ascii="Times New Roman" w:hAnsi="Times New Roman"/>
          <w:color w:val="000000" w:themeColor="text1"/>
          <w:sz w:val="16"/>
          <w:szCs w:val="16"/>
        </w:rPr>
        <w:softHyphen/>
        <w:t>риал /относящийся к постройке и испытанию данного са-| молета и дать мне свое заключение.</w:t>
      </w:r>
    </w:p>
    <w:p w14:paraId="1B3C52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Глававиапром"а /Баранов/</w:t>
      </w:r>
    </w:p>
    <w:p w14:paraId="743D7A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ЦГАОР. ф. 147с, оп. 15, д. 69, л. 25 (1026,153).</w:t>
      </w:r>
    </w:p>
    <w:p w14:paraId="758A39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B0A56" w14:textId="77777777" w:rsidR="00717422" w:rsidRPr="00E93F40" w:rsidRDefault="00717422" w:rsidP="00E93F40">
      <w:pPr>
        <w:pStyle w:val="rtejustify"/>
        <w:spacing w:before="0" w:after="0"/>
        <w:rPr>
          <w:color w:val="000000" w:themeColor="text1"/>
          <w:sz w:val="16"/>
          <w:szCs w:val="16"/>
        </w:rPr>
      </w:pPr>
      <w:r w:rsidRPr="00E93F40">
        <w:rPr>
          <w:bCs/>
          <w:color w:val="000000" w:themeColor="text1"/>
          <w:sz w:val="16"/>
          <w:szCs w:val="16"/>
        </w:rPr>
        <w:t>21-24 июня 1932 г. — Письмо К. Е. Ворошилова И. В. Сталину в Сочи о выполнении авиационной, танковой и артиллерийской программ и ответ И. В. Сталина</w:t>
      </w:r>
    </w:p>
    <w:p w14:paraId="3828557E"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Дорогой Коба, здравствуй!</w:t>
      </w:r>
    </w:p>
    <w:p w14:paraId="7E648ADA" w14:textId="77B28E7C"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Как отдыхаешь, каково самочувствие? О нас, в главном и важном, ты знаешь все. Могу только еще и еще раз сказать</w:t>
      </w:r>
      <w:r w:rsidR="007C1411" w:rsidRPr="00E93F40">
        <w:rPr>
          <w:color w:val="000000" w:themeColor="text1"/>
          <w:sz w:val="16"/>
          <w:szCs w:val="16"/>
        </w:rPr>
        <w:t xml:space="preserve"> </w:t>
      </w:r>
      <w:r w:rsidRPr="00E93F40">
        <w:rPr>
          <w:color w:val="000000" w:themeColor="text1"/>
          <w:sz w:val="16"/>
          <w:szCs w:val="16"/>
        </w:rPr>
        <w:t>— работаем; больше, пожалуй, «корпим» и «потеем» над работой, чем действительно работаем. Заседаем (не [в] виде жалобы) безбожно, дико много и ...¹* подолгу. Жаль, что нет с Сочи (не понимаю почему) связи «вертушкой», все же можно было бы почаще сноситься непосредственно, а не посредством переписки. Не сомневаюсь, что телефон с Сочи во многом помог бы в наших «трудных обстоятельствах». Как идут дела, ты спрашиваешь. Право, не хотелось бы тебе говорить всей правды. Ты должен отдохнуть, во всяком случае, и хорошо было бы тебе отвлечься от всяких «деловых настроений». Однако и скрывать (умалчивать) от тебя истинное положение вещей не нахожу возможным.</w:t>
      </w:r>
    </w:p>
    <w:p w14:paraId="722FC35B" w14:textId="03BB906D"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О ТБ</w:t>
      </w:r>
      <w:r w:rsidRPr="00E93F40">
        <w:rPr>
          <w:color w:val="000000" w:themeColor="text1"/>
          <w:sz w:val="16"/>
          <w:szCs w:val="16"/>
        </w:rPr>
        <w:noBreakHyphen/>
        <w:t>3. До сих пор в составе этих самолетов ни одной эскадрильи, даже отряда на ДВ мы не смогли отправить. Заводы работают по изготовлению этого самолета неплохо, но недочетов, «неполадок» и разных дефектов такая масса, что только 4</w:t>
      </w:r>
      <w:r w:rsidR="007C1411" w:rsidRPr="00E93F40">
        <w:rPr>
          <w:color w:val="000000" w:themeColor="text1"/>
          <w:sz w:val="16"/>
          <w:szCs w:val="16"/>
        </w:rPr>
        <w:t xml:space="preserve"> </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самолета приняты, и то на поверку оказалось</w:t>
      </w:r>
      <w:r w:rsidR="007C1411" w:rsidRPr="00E93F40">
        <w:rPr>
          <w:color w:val="000000" w:themeColor="text1"/>
          <w:sz w:val="16"/>
          <w:szCs w:val="16"/>
        </w:rPr>
        <w:t xml:space="preserve"> </w:t>
      </w:r>
      <w:r w:rsidRPr="00E93F40">
        <w:rPr>
          <w:color w:val="000000" w:themeColor="text1"/>
          <w:sz w:val="16"/>
          <w:szCs w:val="16"/>
        </w:rPr>
        <w:t>— приняты условно, так как радиаторы все еще не заменены, а без этого самолеты для длительной работы не годны.</w:t>
      </w:r>
    </w:p>
    <w:p w14:paraId="2D666522" w14:textId="193E79D4"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 xml:space="preserve">Танковая программа выполняется с большой «натугой». Майское задание пр[омышленно]стью не выполнено. И пр[омышленно]сть, и наши приемщики думают, что дела поправятся, но </w:t>
      </w:r>
      <w:hyperlink r:id="rId132" w:history="1">
        <w:r w:rsidRPr="00E93F40">
          <w:rPr>
            <w:color w:val="000000" w:themeColor="text1"/>
            <w:sz w:val="16"/>
            <w:szCs w:val="16"/>
          </w:rPr>
          <w:t>Халепский</w:t>
        </w:r>
      </w:hyperlink>
      <w:r w:rsidRPr="00E93F40">
        <w:rPr>
          <w:color w:val="000000" w:themeColor="text1"/>
          <w:sz w:val="16"/>
          <w:szCs w:val="16"/>
        </w:rPr>
        <w:t xml:space="preserve"> настроен пессимистически. До сих пор в танкостроении главным тормозом была броня. Теперь, уверяет </w:t>
      </w:r>
      <w:hyperlink r:id="rId133" w:history="1">
        <w:r w:rsidRPr="00E93F40">
          <w:rPr>
            <w:color w:val="000000" w:themeColor="text1"/>
            <w:sz w:val="16"/>
            <w:szCs w:val="16"/>
          </w:rPr>
          <w:t>Павлуновский</w:t>
        </w:r>
      </w:hyperlink>
      <w:r w:rsidRPr="00E93F40">
        <w:rPr>
          <w:color w:val="000000" w:themeColor="text1"/>
          <w:sz w:val="16"/>
          <w:szCs w:val="16"/>
        </w:rPr>
        <w:t>, эта задача решена и Путиловским, и Мариупольским заводами, давшими марганцово-кремнистую (соверш[енно] новый вид) броню, по утверждению того же Павл[уновс]кого, выдержавшую самые жесткие испытания.</w:t>
      </w:r>
    </w:p>
    <w:p w14:paraId="4C42928E"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Халепский докладывает, что в данное время лимитирует не только броня, но и целый ряд отдельных деталей механообработки. И </w:t>
      </w:r>
      <w:hyperlink r:id="rId134" w:history="1">
        <w:r w:rsidRPr="00E93F40">
          <w:rPr>
            <w:color w:val="000000" w:themeColor="text1"/>
            <w:sz w:val="16"/>
            <w:szCs w:val="16"/>
          </w:rPr>
          <w:t>Серго</w:t>
        </w:r>
      </w:hyperlink>
      <w:r w:rsidRPr="00E93F40">
        <w:rPr>
          <w:color w:val="000000" w:themeColor="text1"/>
          <w:sz w:val="16"/>
          <w:szCs w:val="16"/>
        </w:rPr>
        <w:t>, и другие его работники нажимают на заводы, но пока дела все еще неважны.</w:t>
      </w:r>
    </w:p>
    <w:p w14:paraId="30FD3D2F" w14:textId="510B37CF"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Выполнение артиллерийской программы идет так же неважно, особенно плохо все еще с мелкокалиберными системами. И совсем скверно со снарядами. «Меры», как принято выражаться, «принимаются» для устранения дефектов.</w:t>
      </w:r>
    </w:p>
    <w:p w14:paraId="7E21079E" w14:textId="037B3F4E"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Неважно, чтобы не сказать архискверно, идет строительство и, к сожалению, не только казарм и складов, но и оборонительных сооружений. Причинами являются: нехватка стройматериалов, малочисленность транспорта на стройках, недостаток рабочей силы, слабость (часто полное отсутствие) инженерно-технического персонала и</w:t>
      </w:r>
      <w:r w:rsidR="007C1411" w:rsidRPr="00E93F40">
        <w:rPr>
          <w:color w:val="000000" w:themeColor="text1"/>
          <w:sz w:val="16"/>
          <w:szCs w:val="16"/>
        </w:rPr>
        <w:t xml:space="preserve"> </w:t>
      </w:r>
      <w:r w:rsidRPr="00E93F40">
        <w:rPr>
          <w:color w:val="000000" w:themeColor="text1"/>
          <w:sz w:val="16"/>
          <w:szCs w:val="16"/>
        </w:rPr>
        <w:t>пр.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п.</w:t>
      </w:r>
    </w:p>
    <w:p w14:paraId="542E268B"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Здесь уже я сам нажимаю, где и как могу, но задача велика и решается с трудом и плохо. Вот сколько неприятных вещей и все за один раз.</w:t>
      </w:r>
    </w:p>
    <w:p w14:paraId="09897CF0" w14:textId="2FDB5E26"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5. Но... и это не все, к нашему несчастью. Я сейчас буквально места не нахожу себе вследствие аварий в воздушном флоте. Не проходит дня, чтобы не получились сведения об авариях и даже тягчайших катастрофах с человеческими жертвами то в одном, то в другом округе. Достаточно указать, что только с 5</w:t>
      </w:r>
      <w:r w:rsidR="007C1411" w:rsidRPr="00E93F40">
        <w:rPr>
          <w:color w:val="000000" w:themeColor="text1"/>
          <w:sz w:val="16"/>
          <w:szCs w:val="16"/>
        </w:rPr>
        <w:t xml:space="preserve"> </w:t>
      </w:r>
      <w:r w:rsidRPr="00E93F40">
        <w:rPr>
          <w:color w:val="000000" w:themeColor="text1"/>
          <w:sz w:val="16"/>
          <w:szCs w:val="16"/>
        </w:rPr>
        <w:t>июня по 20</w:t>
      </w:r>
      <w:r w:rsidR="007C1411" w:rsidRPr="00E93F40">
        <w:rPr>
          <w:color w:val="000000" w:themeColor="text1"/>
          <w:sz w:val="16"/>
          <w:szCs w:val="16"/>
        </w:rPr>
        <w:t xml:space="preserve"> </w:t>
      </w:r>
      <w:r w:rsidRPr="00E93F40">
        <w:rPr>
          <w:color w:val="000000" w:themeColor="text1"/>
          <w:sz w:val="16"/>
          <w:szCs w:val="16"/>
        </w:rPr>
        <w:t>июня разбито 11</w:t>
      </w:r>
      <w:r w:rsidR="007C1411" w:rsidRPr="00E93F40">
        <w:rPr>
          <w:color w:val="000000" w:themeColor="text1"/>
          <w:sz w:val="16"/>
          <w:szCs w:val="16"/>
        </w:rPr>
        <w:t xml:space="preserve"> </w:t>
      </w:r>
      <w:r w:rsidRPr="00E93F40">
        <w:rPr>
          <w:color w:val="000000" w:themeColor="text1"/>
          <w:sz w:val="16"/>
          <w:szCs w:val="16"/>
        </w:rPr>
        <w:t>самолетов, из них 5</w:t>
      </w:r>
      <w:r w:rsidR="007C1411" w:rsidRPr="00E93F40">
        <w:rPr>
          <w:color w:val="000000" w:themeColor="text1"/>
          <w:sz w:val="16"/>
          <w:szCs w:val="16"/>
        </w:rPr>
        <w:t xml:space="preserve"> </w:t>
      </w:r>
      <w:r w:rsidRPr="00E93F40">
        <w:rPr>
          <w:color w:val="000000" w:themeColor="text1"/>
          <w:sz w:val="16"/>
          <w:szCs w:val="16"/>
        </w:rPr>
        <w:t>тяжелых (2</w:t>
      </w:r>
      <w:r w:rsidR="007C1411" w:rsidRPr="00E93F40">
        <w:rPr>
          <w:color w:val="000000" w:themeColor="text1"/>
          <w:sz w:val="16"/>
          <w:szCs w:val="16"/>
        </w:rPr>
        <w:t xml:space="preserve"> </w:t>
      </w:r>
      <w:r w:rsidRPr="00E93F40">
        <w:rPr>
          <w:color w:val="000000" w:themeColor="text1"/>
          <w:sz w:val="16"/>
          <w:szCs w:val="16"/>
        </w:rPr>
        <w:t>морских «Савойя» и 3</w:t>
      </w:r>
      <w:r w:rsidR="007C1411" w:rsidRPr="00E93F40">
        <w:rPr>
          <w:color w:val="000000" w:themeColor="text1"/>
          <w:sz w:val="16"/>
          <w:szCs w:val="16"/>
        </w:rPr>
        <w:t xml:space="preserve"> </w:t>
      </w:r>
      <w:r w:rsidRPr="00E93F40">
        <w:rPr>
          <w:color w:val="000000" w:themeColor="text1"/>
          <w:sz w:val="16"/>
          <w:szCs w:val="16"/>
        </w:rPr>
        <w:t>шт. ТБ</w:t>
      </w:r>
      <w:r w:rsidRPr="00E93F40">
        <w:rPr>
          <w:color w:val="000000" w:themeColor="text1"/>
          <w:sz w:val="16"/>
          <w:szCs w:val="16"/>
        </w:rPr>
        <w:noBreakHyphen/>
        <w:t>1) и погибло 30</w:t>
      </w:r>
      <w:r w:rsidR="007C1411" w:rsidRPr="00E93F40">
        <w:rPr>
          <w:color w:val="000000" w:themeColor="text1"/>
          <w:sz w:val="16"/>
          <w:szCs w:val="16"/>
        </w:rPr>
        <w:t xml:space="preserve"> </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чел.</w:t>
      </w:r>
    </w:p>
    <w:p w14:paraId="7A8ABFE0" w14:textId="4288EBF1"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июня вблизи Владивостока гидроплан «Савойя</w:t>
      </w:r>
      <w:r w:rsidR="007C1411" w:rsidRPr="00E93F40">
        <w:rPr>
          <w:color w:val="000000" w:themeColor="text1"/>
          <w:sz w:val="16"/>
          <w:szCs w:val="16"/>
        </w:rPr>
        <w:t xml:space="preserve"> </w:t>
      </w:r>
      <w:r w:rsidRPr="00E93F40">
        <w:rPr>
          <w:color w:val="000000" w:themeColor="text1"/>
          <w:sz w:val="16"/>
          <w:szCs w:val="16"/>
        </w:rPr>
        <w:t>62²*» с экипажем в 4</w:t>
      </w:r>
      <w:r w:rsidR="007C1411" w:rsidRPr="00E93F40">
        <w:rPr>
          <w:color w:val="000000" w:themeColor="text1"/>
          <w:sz w:val="16"/>
          <w:szCs w:val="16"/>
        </w:rPr>
        <w:t xml:space="preserve"> </w:t>
      </w:r>
      <w:r w:rsidRPr="00E93F40">
        <w:rPr>
          <w:color w:val="000000" w:themeColor="text1"/>
          <w:sz w:val="16"/>
          <w:szCs w:val="16"/>
        </w:rPr>
        <w:t>чел. по невыясненной причине упал с небольшой высоты в воду и утонул. Того же числа на Балтике такой же самолет и с экипажем 4</w:t>
      </w:r>
      <w:r w:rsidR="007C1411" w:rsidRPr="00E93F40">
        <w:rPr>
          <w:color w:val="000000" w:themeColor="text1"/>
          <w:sz w:val="16"/>
          <w:szCs w:val="16"/>
        </w:rPr>
        <w:t xml:space="preserve"> </w:t>
      </w:r>
      <w:r w:rsidRPr="00E93F40">
        <w:rPr>
          <w:color w:val="000000" w:themeColor="text1"/>
          <w:sz w:val="16"/>
          <w:szCs w:val="16"/>
        </w:rPr>
        <w:t>чел. вследствие неправильного полета (низко над водой) ударился об воду и разбился, весь экипаж погиб. 11</w:t>
      </w:r>
      <w:r w:rsidR="007C1411" w:rsidRPr="00E93F40">
        <w:rPr>
          <w:color w:val="000000" w:themeColor="text1"/>
          <w:sz w:val="16"/>
          <w:szCs w:val="16"/>
        </w:rPr>
        <w:t xml:space="preserve"> </w:t>
      </w:r>
      <w:r w:rsidRPr="00E93F40">
        <w:rPr>
          <w:color w:val="000000" w:themeColor="text1"/>
          <w:sz w:val="16"/>
          <w:szCs w:val="16"/>
        </w:rPr>
        <w:t>июня в Ленинграде в воздухе столкнулись два самолета ТБ</w:t>
      </w:r>
      <w:r w:rsidRPr="00E93F40">
        <w:rPr>
          <w:color w:val="000000" w:themeColor="text1"/>
          <w:sz w:val="16"/>
          <w:szCs w:val="16"/>
        </w:rPr>
        <w:noBreakHyphen/>
        <w:t>1. Из 9</w:t>
      </w:r>
      <w:r w:rsidR="007C1411" w:rsidRPr="00E93F40">
        <w:rPr>
          <w:color w:val="000000" w:themeColor="text1"/>
          <w:sz w:val="16"/>
          <w:szCs w:val="16"/>
        </w:rPr>
        <w:t xml:space="preserve"> </w:t>
      </w:r>
      <w:r w:rsidRPr="00E93F40">
        <w:rPr>
          <w:color w:val="000000" w:themeColor="text1"/>
          <w:sz w:val="16"/>
          <w:szCs w:val="16"/>
        </w:rPr>
        <w:t>чел. только 1, выброшенный ударом из самолета, спасся на парашюте, 8</w:t>
      </w:r>
      <w:r w:rsidR="007C1411" w:rsidRPr="00E93F40">
        <w:rPr>
          <w:color w:val="000000" w:themeColor="text1"/>
          <w:sz w:val="16"/>
          <w:szCs w:val="16"/>
        </w:rPr>
        <w:t xml:space="preserve"> </w:t>
      </w:r>
      <w:r w:rsidRPr="00E93F40">
        <w:rPr>
          <w:color w:val="000000" w:themeColor="text1"/>
          <w:sz w:val="16"/>
          <w:szCs w:val="16"/>
        </w:rPr>
        <w:t xml:space="preserve">чел. погибли. В тот же день в </w:t>
      </w:r>
      <w:r w:rsidRPr="00E93F40">
        <w:rPr>
          <w:color w:val="000000" w:themeColor="text1"/>
          <w:sz w:val="16"/>
          <w:szCs w:val="16"/>
        </w:rPr>
        <w:lastRenderedPageBreak/>
        <w:t>Витебске (БВО) ночью столкнулись два самолета Р</w:t>
      </w:r>
      <w:r w:rsidRPr="00E93F40">
        <w:rPr>
          <w:color w:val="000000" w:themeColor="text1"/>
          <w:sz w:val="16"/>
          <w:szCs w:val="16"/>
        </w:rPr>
        <w:noBreakHyphen/>
        <w:t>5, погибли 4</w:t>
      </w:r>
      <w:r w:rsidR="007C1411" w:rsidRPr="00E93F40">
        <w:rPr>
          <w:color w:val="000000" w:themeColor="text1"/>
          <w:sz w:val="16"/>
          <w:szCs w:val="16"/>
        </w:rPr>
        <w:t xml:space="preserve"> </w:t>
      </w:r>
      <w:r w:rsidRPr="00E93F40">
        <w:rPr>
          <w:color w:val="000000" w:themeColor="text1"/>
          <w:sz w:val="16"/>
          <w:szCs w:val="16"/>
        </w:rPr>
        <w:t>чел. И, наконец, 20</w:t>
      </w:r>
      <w:r w:rsidR="007C1411" w:rsidRPr="00E93F40">
        <w:rPr>
          <w:color w:val="000000" w:themeColor="text1"/>
          <w:sz w:val="16"/>
          <w:szCs w:val="16"/>
        </w:rPr>
        <w:t xml:space="preserve"> </w:t>
      </w:r>
      <w:r w:rsidRPr="00E93F40">
        <w:rPr>
          <w:color w:val="000000" w:themeColor="text1"/>
          <w:sz w:val="16"/>
          <w:szCs w:val="16"/>
        </w:rPr>
        <w:t>июня близ Москвы ночью по еще не выясненной причине самолет ТБ</w:t>
      </w:r>
      <w:r w:rsidRPr="00E93F40">
        <w:rPr>
          <w:color w:val="000000" w:themeColor="text1"/>
          <w:sz w:val="16"/>
          <w:szCs w:val="16"/>
        </w:rPr>
        <w:noBreakHyphen/>
        <w:t>1 с экипажем в 7</w:t>
      </w:r>
      <w:r w:rsidR="007C1411" w:rsidRPr="00E93F40">
        <w:rPr>
          <w:color w:val="000000" w:themeColor="text1"/>
          <w:sz w:val="16"/>
          <w:szCs w:val="16"/>
        </w:rPr>
        <w:t xml:space="preserve"> </w:t>
      </w:r>
      <w:r w:rsidRPr="00E93F40">
        <w:rPr>
          <w:color w:val="000000" w:themeColor="text1"/>
          <w:sz w:val="16"/>
          <w:szCs w:val="16"/>
        </w:rPr>
        <w:t>чел. упал на землю, загорелся, и все 7</w:t>
      </w:r>
      <w:r w:rsidR="007C1411" w:rsidRPr="00E93F40">
        <w:rPr>
          <w:color w:val="000000" w:themeColor="text1"/>
          <w:sz w:val="16"/>
          <w:szCs w:val="16"/>
        </w:rPr>
        <w:t xml:space="preserve"> </w:t>
      </w:r>
      <w:r w:rsidRPr="00E93F40">
        <w:rPr>
          <w:color w:val="000000" w:themeColor="text1"/>
          <w:sz w:val="16"/>
          <w:szCs w:val="16"/>
        </w:rPr>
        <w:t>чел. погибли.</w:t>
      </w:r>
    </w:p>
    <w:p w14:paraId="37EFF986" w14:textId="66A0A23E"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Я сознаю все безобразие с моей стороны</w:t>
      </w:r>
      <w:r w:rsidR="007C1411" w:rsidRPr="00E93F40">
        <w:rPr>
          <w:color w:val="000000" w:themeColor="text1"/>
          <w:sz w:val="16"/>
          <w:szCs w:val="16"/>
        </w:rPr>
        <w:t xml:space="preserve"> </w:t>
      </w:r>
      <w:r w:rsidRPr="00E93F40">
        <w:rPr>
          <w:color w:val="000000" w:themeColor="text1"/>
          <w:sz w:val="16"/>
          <w:szCs w:val="16"/>
        </w:rPr>
        <w:t>— злоупотреблять возможностью писать тебе столь тяжкие вещи и во время отдыха, в котором ты так нуждаешься, но ты, надеюсь, поймешь мое состояние и извинишь мне. Мною назначена специальная комиссия, которая выезжала в Ленинград и Витебск, а теперь выехала на место вчерашней катастрофы. Я уже заслушал доклад комиссии по первым двум катастрофам, созывал РВС. И теперь, как и два года тому назад, основной причиной аварий и катастроф является отсутствие строгой четкой дисциплины в В[оенно-]в[оздушном] флоте.</w:t>
      </w:r>
    </w:p>
    <w:p w14:paraId="0C445AFB" w14:textId="0A2DB095"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Кадры летного и технического состава разрослись, укомплектовываются хотя и нашим, надежным политически составом, но чрезвычайно молодым, малоопытным, что естественно, а главное, по-настоящему недисциплинированным. Залихватские замашки, бравирование своими летными подвигами (воздушное хулиганство, которое, к моему стыду, я допустил 1</w:t>
      </w:r>
      <w:r w:rsidR="007C1411" w:rsidRPr="00E93F40">
        <w:rPr>
          <w:color w:val="000000" w:themeColor="text1"/>
          <w:sz w:val="16"/>
          <w:szCs w:val="16"/>
        </w:rPr>
        <w:t xml:space="preserve"> </w:t>
      </w:r>
      <w:r w:rsidRPr="00E93F40">
        <w:rPr>
          <w:color w:val="000000" w:themeColor="text1"/>
          <w:sz w:val="16"/>
          <w:szCs w:val="16"/>
        </w:rPr>
        <w:t>мая даже над Кр[асной] площадью</w:t>
      </w:r>
      <w:r w:rsidR="007C1411" w:rsidRPr="00E93F40">
        <w:rPr>
          <w:color w:val="000000" w:themeColor="text1"/>
          <w:sz w:val="16"/>
          <w:szCs w:val="16"/>
        </w:rPr>
        <w:t xml:space="preserve"> </w:t>
      </w:r>
      <w:r w:rsidRPr="00E93F40">
        <w:rPr>
          <w:color w:val="000000" w:themeColor="text1"/>
          <w:sz w:val="16"/>
          <w:szCs w:val="16"/>
        </w:rPr>
        <w:t>— 5 самолетов), не встречающее жестокой борьбы со стороны начальства; малоавторитетность молодого начсостава, плохая работа политорганов и парторганизаций</w:t>
      </w:r>
      <w:r w:rsidR="007C1411" w:rsidRPr="00E93F40">
        <w:rPr>
          <w:color w:val="000000" w:themeColor="text1"/>
          <w:sz w:val="16"/>
          <w:szCs w:val="16"/>
        </w:rPr>
        <w:t xml:space="preserve"> </w:t>
      </w:r>
      <w:r w:rsidRPr="00E93F40">
        <w:rPr>
          <w:color w:val="000000" w:themeColor="text1"/>
          <w:sz w:val="16"/>
          <w:szCs w:val="16"/>
        </w:rPr>
        <w:t>— вот основные источники, откуда проистекают наши несчастья.</w:t>
      </w:r>
    </w:p>
    <w:p w14:paraId="356305BB" w14:textId="305B2224"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Я запретил всем эскадрильям и бригадам, у которых за последние месяцы были катастрофы какие бы то ни было полеты впредь до особого распоряжения. Приказал всем этим частям отсортировать весь малоопытный, не натренированный летный состав для доработки его в специальных условиях, очиститься (выгнать) весь ненадежный (политически) и хулиганствующий элемент, проверить еще раз специальную подготовку и знание практически дела технического] состава и</w:t>
      </w:r>
      <w:r w:rsidR="007C1411" w:rsidRPr="00E93F40">
        <w:rPr>
          <w:color w:val="000000" w:themeColor="text1"/>
          <w:sz w:val="16"/>
          <w:szCs w:val="16"/>
        </w:rPr>
        <w:t xml:space="preserve"> </w:t>
      </w:r>
      <w:r w:rsidRPr="00E93F40">
        <w:rPr>
          <w:color w:val="000000" w:themeColor="text1"/>
          <w:sz w:val="16"/>
          <w:szCs w:val="16"/>
        </w:rPr>
        <w:t>пр.</w:t>
      </w:r>
    </w:p>
    <w:p w14:paraId="32DFB9C4"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Уже просил ПБ заслушать мой доклад и помочь мне в деле подтягивания парторганизаций и политаппарата. Думаю выгнать несколько «заслуженных», но совершенно недисциплинированных воздушных начальников, которые сознательно и часто нарушают все приказы и уставы РККА.</w:t>
      </w:r>
    </w:p>
    <w:p w14:paraId="4BE65E15"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Хочу в приказе ударить по РВС округов, которые такому делу, как воздушный флот, уделяют очень мало внимания. Кроме всего прочего, приказал подробно и тщательно проверить план технической и боевой подготовки воздушных сил, с целью его рационализации и приспособления к уровню нашего «народа» и целый длинный ряд других мер.</w:t>
      </w:r>
    </w:p>
    <w:p w14:paraId="5FB42936" w14:textId="41115F0C"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hyperlink r:id="rId135" w:history="1">
        <w:r w:rsidRPr="00E93F40">
          <w:rPr>
            <w:color w:val="000000" w:themeColor="text1"/>
            <w:sz w:val="16"/>
            <w:szCs w:val="16"/>
          </w:rPr>
          <w:t>Венцов</w:t>
        </w:r>
      </w:hyperlink>
      <w:r w:rsidRPr="00E93F40">
        <w:rPr>
          <w:color w:val="000000" w:themeColor="text1"/>
          <w:sz w:val="16"/>
          <w:szCs w:val="16"/>
        </w:rPr>
        <w:t xml:space="preserve"> в Москве. Сделал ему внушение и дали (ПБ) директиву в духе твоего письма. На днях он едет снова в Женеву.</w:t>
      </w:r>
    </w:p>
    <w:p w14:paraId="1D9DF7CD" w14:textId="664D2125"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Барлоу вызван в Москву. На днях ждем ответа.</w:t>
      </w:r>
    </w:p>
    <w:p w14:paraId="50383EA0" w14:textId="47EBEA25"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8.</w:t>
      </w:r>
      <w:r w:rsidR="007C1411" w:rsidRPr="00E93F40">
        <w:rPr>
          <w:color w:val="000000" w:themeColor="text1"/>
          <w:sz w:val="16"/>
          <w:szCs w:val="16"/>
        </w:rPr>
        <w:t xml:space="preserve"> </w:t>
      </w:r>
      <w:r w:rsidRPr="00E93F40">
        <w:rPr>
          <w:color w:val="000000" w:themeColor="text1"/>
          <w:sz w:val="16"/>
          <w:szCs w:val="16"/>
        </w:rPr>
        <w:t>Пару слов о наших достижениях</w:t>
      </w:r>
      <w:r w:rsidR="007C1411" w:rsidRPr="00E93F40">
        <w:rPr>
          <w:color w:val="000000" w:themeColor="text1"/>
          <w:sz w:val="16"/>
          <w:szCs w:val="16"/>
        </w:rPr>
        <w:t xml:space="preserve"> </w:t>
      </w:r>
      <w:r w:rsidRPr="00E93F40">
        <w:rPr>
          <w:color w:val="000000" w:themeColor="text1"/>
          <w:sz w:val="16"/>
          <w:szCs w:val="16"/>
        </w:rPr>
        <w:t>— есть и они, к счастью. Уже давно группа наших летчиков и техников работала над вопросами использования тяжелых самолетов (пока ТБ</w:t>
      </w:r>
      <w:r w:rsidRPr="00E93F40">
        <w:rPr>
          <w:color w:val="000000" w:themeColor="text1"/>
          <w:sz w:val="16"/>
          <w:szCs w:val="16"/>
        </w:rPr>
        <w:noBreakHyphen/>
        <w:t>1) как авиаматку, несущую на себе собственную воздушную охрану. Теперь эта задача разрешена. Десяток дней тому назад один ТБ</w:t>
      </w:r>
      <w:r w:rsidRPr="00E93F40">
        <w:rPr>
          <w:color w:val="000000" w:themeColor="text1"/>
          <w:sz w:val="16"/>
          <w:szCs w:val="16"/>
        </w:rPr>
        <w:noBreakHyphen/>
        <w:t>1 с двумя истребителями И</w:t>
      </w:r>
      <w:r w:rsidRPr="00E93F40">
        <w:rPr>
          <w:color w:val="000000" w:themeColor="text1"/>
          <w:sz w:val="16"/>
          <w:szCs w:val="16"/>
        </w:rPr>
        <w:noBreakHyphen/>
        <w:t>3, прикрепленных к плоскостям ТБ</w:t>
      </w:r>
      <w:r w:rsidRPr="00E93F40">
        <w:rPr>
          <w:color w:val="000000" w:themeColor="text1"/>
          <w:sz w:val="16"/>
          <w:szCs w:val="16"/>
        </w:rPr>
        <w:noBreakHyphen/>
        <w:t>1, с двойной (почти) нагрузкой горючего и 1</w:t>
      </w:r>
      <w:r w:rsidR="007C1411" w:rsidRPr="00E93F40">
        <w:rPr>
          <w:color w:val="000000" w:themeColor="text1"/>
          <w:sz w:val="16"/>
          <w:szCs w:val="16"/>
        </w:rPr>
        <w:t xml:space="preserve"> </w:t>
      </w:r>
      <w:r w:rsidRPr="00E93F40">
        <w:rPr>
          <w:color w:val="000000" w:themeColor="text1"/>
          <w:sz w:val="16"/>
          <w:szCs w:val="16"/>
        </w:rPr>
        <w:t>т другого груза (балласт) из Москвы отправился в Киев (расстояние, равное Минск—Варшава) и над Киевским аэродромом был сброшен балласт (1</w:t>
      </w:r>
      <w:r w:rsidR="007C1411" w:rsidRPr="00E93F40">
        <w:rPr>
          <w:color w:val="000000" w:themeColor="text1"/>
          <w:sz w:val="16"/>
          <w:szCs w:val="16"/>
        </w:rPr>
        <w:t xml:space="preserve"> </w:t>
      </w:r>
      <w:r w:rsidRPr="00E93F40">
        <w:rPr>
          <w:color w:val="000000" w:themeColor="text1"/>
          <w:sz w:val="16"/>
          <w:szCs w:val="16"/>
        </w:rPr>
        <w:t>т), а истребители, снявшись со своей авиаматки, прикрывали ее отход. Все три самолета уже порознь, без посадки долетели до Брянска и благополучно там сели и, добавив бензин, вернулись в тот же день в Москву. Если бы в Киеве не задержали целых 45</w:t>
      </w:r>
      <w:r w:rsidR="007C1411" w:rsidRPr="00E93F40">
        <w:rPr>
          <w:color w:val="000000" w:themeColor="text1"/>
          <w:sz w:val="16"/>
          <w:szCs w:val="16"/>
        </w:rPr>
        <w:t xml:space="preserve"> </w:t>
      </w:r>
      <w:r w:rsidRPr="00E93F40">
        <w:rPr>
          <w:color w:val="000000" w:themeColor="text1"/>
          <w:sz w:val="16"/>
          <w:szCs w:val="16"/>
        </w:rPr>
        <w:t>мин лишних над аэродромом, самолеты покрыли бы расстояние Москва</w:t>
      </w:r>
      <w:r w:rsidR="007C1411" w:rsidRPr="00E93F40">
        <w:rPr>
          <w:color w:val="000000" w:themeColor="text1"/>
          <w:sz w:val="16"/>
          <w:szCs w:val="16"/>
        </w:rPr>
        <w:t xml:space="preserve"> </w:t>
      </w:r>
      <w:r w:rsidRPr="00E93F40">
        <w:rPr>
          <w:color w:val="000000" w:themeColor="text1"/>
          <w:sz w:val="16"/>
          <w:szCs w:val="16"/>
        </w:rPr>
        <w:t>— Киев туда и обратно без посадки.</w:t>
      </w:r>
    </w:p>
    <w:p w14:paraId="18C76116"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Теперь же работники добиваются решения задачи посадки истребит[елей] на авиаматку в воздухе и утверждают, что добьются положительных результатов. Я полагаю, что так и будет. Если могут самолеты в воздухе сниматься со своих мест на несущем самолете, очевидно, можно добиться и посадки их на эти места.</w:t>
      </w:r>
    </w:p>
    <w:p w14:paraId="33E43E1E"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Да, в полете все три самолета (моторы) находятся в действии, и если истребители израсходуют свой бензин, они могут снабжаться из запасов «матки».</w:t>
      </w:r>
    </w:p>
    <w:p w14:paraId="562FD66B" w14:textId="676D538E"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Уж несколько лет инженер Нюрнберг работает над проблемой «воздушной стабилизации», т.</w:t>
      </w:r>
      <w:r w:rsidR="007C1411" w:rsidRPr="00E93F40">
        <w:rPr>
          <w:color w:val="000000" w:themeColor="text1"/>
          <w:sz w:val="16"/>
          <w:szCs w:val="16"/>
        </w:rPr>
        <w:t xml:space="preserve"> </w:t>
      </w:r>
      <w:r w:rsidRPr="00E93F40">
        <w:rPr>
          <w:color w:val="000000" w:themeColor="text1"/>
          <w:sz w:val="16"/>
          <w:szCs w:val="16"/>
        </w:rPr>
        <w:t xml:space="preserve">е. такого аппарата, который мог бы удерживать самолет в определенном курсовом направлении. Недавно </w:t>
      </w:r>
      <w:hyperlink r:id="rId136" w:history="1">
        <w:r w:rsidRPr="00E93F40">
          <w:rPr>
            <w:color w:val="000000" w:themeColor="text1"/>
            <w:sz w:val="16"/>
            <w:szCs w:val="16"/>
          </w:rPr>
          <w:t>Алкснис</w:t>
        </w:r>
      </w:hyperlink>
      <w:r w:rsidRPr="00E93F40">
        <w:rPr>
          <w:color w:val="000000" w:themeColor="text1"/>
          <w:sz w:val="16"/>
          <w:szCs w:val="16"/>
        </w:rPr>
        <w:t xml:space="preserve"> лично испытал такой прибор и утверждает, что стабилизатор действует прекрасно. Летчик берет опред[еленный] курс, включает аппарат (стабилизатор), и самолет уже сам может лететь без всякого вмешательства летчика. Такой прибор есть в Италии, и мы решили его приобрести для нескольких эскадрилий, теперь этого делать не следует.</w:t>
      </w:r>
    </w:p>
    <w:p w14:paraId="0441B8B1" w14:textId="3EA463CD"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10³*. На днях РВС присутствовал при испытании стрельбой автопулемета инженера </w:t>
      </w:r>
      <w:hyperlink r:id="rId137" w:history="1">
        <w:r w:rsidRPr="00E93F40">
          <w:rPr>
            <w:color w:val="000000" w:themeColor="text1"/>
            <w:sz w:val="16"/>
            <w:szCs w:val="16"/>
          </w:rPr>
          <w:t>Шпитального</w:t>
        </w:r>
      </w:hyperlink>
      <w:r w:rsidRPr="00E93F40">
        <w:rPr>
          <w:color w:val="000000" w:themeColor="text1"/>
          <w:sz w:val="16"/>
          <w:szCs w:val="16"/>
        </w:rPr>
        <w:t>. Пулемет оригинальной конструкции, дающий в минуту 2</w:t>
      </w:r>
      <w:r w:rsidR="007C1411" w:rsidRPr="00E93F40">
        <w:rPr>
          <w:color w:val="000000" w:themeColor="text1"/>
          <w:sz w:val="16"/>
          <w:szCs w:val="16"/>
        </w:rPr>
        <w:t xml:space="preserve"> </w:t>
      </w:r>
      <w:r w:rsidRPr="00E93F40">
        <w:rPr>
          <w:color w:val="000000" w:themeColor="text1"/>
          <w:sz w:val="16"/>
          <w:szCs w:val="16"/>
        </w:rPr>
        <w:t>тыс. выстрелов, самые лучшие заграничные пулеметы</w:t>
      </w:r>
      <w:r w:rsidR="007C1411" w:rsidRPr="00E93F40">
        <w:rPr>
          <w:color w:val="000000" w:themeColor="text1"/>
          <w:sz w:val="16"/>
          <w:szCs w:val="16"/>
        </w:rPr>
        <w:t xml:space="preserve"> </w:t>
      </w:r>
      <w:r w:rsidRPr="00E93F40">
        <w:rPr>
          <w:color w:val="000000" w:themeColor="text1"/>
          <w:sz w:val="16"/>
          <w:szCs w:val="16"/>
        </w:rPr>
        <w:t>— не больше 1—1.1</w:t>
      </w:r>
      <w:r w:rsidR="007C1411" w:rsidRPr="00E93F40">
        <w:rPr>
          <w:color w:val="000000" w:themeColor="text1"/>
          <w:sz w:val="16"/>
          <w:szCs w:val="16"/>
        </w:rPr>
        <w:t xml:space="preserve"> </w:t>
      </w:r>
      <w:r w:rsidRPr="00E93F40">
        <w:rPr>
          <w:color w:val="000000" w:themeColor="text1"/>
          <w:sz w:val="16"/>
          <w:szCs w:val="16"/>
        </w:rPr>
        <w:t>тыс. выстр[елов]. Пулемет сделан прекрасно и работает безотказно.</w:t>
      </w:r>
    </w:p>
    <w:p w14:paraId="68570E67" w14:textId="59B63FC3"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11.</w:t>
      </w:r>
      <w:r w:rsidR="007C1411" w:rsidRPr="00E93F40">
        <w:rPr>
          <w:color w:val="000000" w:themeColor="text1"/>
          <w:sz w:val="16"/>
          <w:szCs w:val="16"/>
        </w:rPr>
        <w:t xml:space="preserve"> </w:t>
      </w:r>
      <w:r w:rsidRPr="00E93F40">
        <w:rPr>
          <w:color w:val="000000" w:themeColor="text1"/>
          <w:sz w:val="16"/>
          <w:szCs w:val="16"/>
        </w:rPr>
        <w:t>Есть и другие менее важные, но все же нужные достижения в области конструкций и приспособлений в военном деле.</w:t>
      </w:r>
    </w:p>
    <w:p w14:paraId="6ED076C8" w14:textId="21D5D169"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12.</w:t>
      </w:r>
      <w:r w:rsidR="007C1411" w:rsidRPr="00E93F40">
        <w:rPr>
          <w:color w:val="000000" w:themeColor="text1"/>
          <w:sz w:val="16"/>
          <w:szCs w:val="16"/>
        </w:rPr>
        <w:t xml:space="preserve"> </w:t>
      </w:r>
      <w:r w:rsidRPr="00E93F40">
        <w:rPr>
          <w:color w:val="000000" w:themeColor="text1"/>
          <w:sz w:val="16"/>
          <w:szCs w:val="16"/>
        </w:rPr>
        <w:t>Последний вопрос. Я тебе как-то говорил, и мне казалось, что ты не возражал против некоторой реорганизации школы ВЦИК. Я эту реорганизацию начал осуществлять, т.</w:t>
      </w:r>
      <w:r w:rsidR="007C1411" w:rsidRPr="00E93F40">
        <w:rPr>
          <w:color w:val="000000" w:themeColor="text1"/>
          <w:sz w:val="16"/>
          <w:szCs w:val="16"/>
        </w:rPr>
        <w:t xml:space="preserve"> </w:t>
      </w:r>
      <w:r w:rsidRPr="00E93F40">
        <w:rPr>
          <w:color w:val="000000" w:themeColor="text1"/>
          <w:sz w:val="16"/>
          <w:szCs w:val="16"/>
        </w:rPr>
        <w:t>е. уже набрано 500</w:t>
      </w:r>
      <w:r w:rsidR="007C1411" w:rsidRPr="00E93F40">
        <w:rPr>
          <w:color w:val="000000" w:themeColor="text1"/>
          <w:sz w:val="16"/>
          <w:szCs w:val="16"/>
        </w:rPr>
        <w:t xml:space="preserve"> </w:t>
      </w:r>
      <w:r w:rsidRPr="00E93F40">
        <w:rPr>
          <w:color w:val="000000" w:themeColor="text1"/>
          <w:sz w:val="16"/>
          <w:szCs w:val="16"/>
        </w:rPr>
        <w:t xml:space="preserve">чел. курсантов, и вдруг ПБ усумнилось в правильности этой меры, а вернее, просто считает неправильной эту реорганизацию. Особенно яро нападает на меня </w:t>
      </w:r>
      <w:hyperlink r:id="rId138" w:history="1">
        <w:r w:rsidRPr="00E93F40">
          <w:rPr>
            <w:color w:val="000000" w:themeColor="text1"/>
            <w:sz w:val="16"/>
            <w:szCs w:val="16"/>
          </w:rPr>
          <w:t>Калинин</w:t>
        </w:r>
      </w:hyperlink>
      <w:r w:rsidRPr="00E93F40">
        <w:rPr>
          <w:color w:val="000000" w:themeColor="text1"/>
          <w:sz w:val="16"/>
          <w:szCs w:val="16"/>
        </w:rPr>
        <w:t>. Мотивы, школа повышенного типа, где курсант не из красноармейцев и комсомола, а уже средний командир, такая школа не целиком отвечает той задаче, которая возлагается на Кремлевскую школу. И далее</w:t>
      </w:r>
      <w:r w:rsidR="007C1411" w:rsidRPr="00E93F40">
        <w:rPr>
          <w:color w:val="000000" w:themeColor="text1"/>
          <w:sz w:val="16"/>
          <w:szCs w:val="16"/>
        </w:rPr>
        <w:t xml:space="preserve"> </w:t>
      </w:r>
      <w:r w:rsidRPr="00E93F40">
        <w:rPr>
          <w:color w:val="000000" w:themeColor="text1"/>
          <w:sz w:val="16"/>
          <w:szCs w:val="16"/>
        </w:rPr>
        <w:t>— мы не можем держать курсантов (командиров) в таком же режиме, как обыкновенных курсантов. Они будут общаться больше с внешним миром и</w:t>
      </w:r>
      <w:r w:rsidR="007C1411" w:rsidRPr="00E93F40">
        <w:rPr>
          <w:color w:val="000000" w:themeColor="text1"/>
          <w:sz w:val="16"/>
          <w:szCs w:val="16"/>
        </w:rPr>
        <w:t xml:space="preserve"> </w:t>
      </w:r>
      <w:r w:rsidRPr="00E93F40">
        <w:rPr>
          <w:color w:val="000000" w:themeColor="text1"/>
          <w:sz w:val="16"/>
          <w:szCs w:val="16"/>
        </w:rPr>
        <w:t>пр.</w:t>
      </w:r>
    </w:p>
    <w:p w14:paraId="4E69D00A"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Мои доводы, что эта школа (кремлевская) теперь будет крепче во всех отношениях, что дисциплина в школе будет не слабее, а крепче, не воздействовали, и дело пока не решено, но почти предрешено, а именно, иметь в Кремле такую школу, какой она была и раньше. Я не знаю, как выйти из создавшегося положения. Сознаю свою вину, что я раньше предварительно и формально не поставил вопрос на ПБ, но частным порядком я говорил со многими, и никто (очевидно, не понимали и не хотели понимать) не возражал. Прости, пожалуйста, что отнял у тебя столько времени, а также за сумбурность письма, пишу крайне утомленный.</w:t>
      </w:r>
    </w:p>
    <w:p w14:paraId="4C5EF35D" w14:textId="77777777" w:rsidR="0087389B" w:rsidRPr="00E93F40" w:rsidRDefault="0087389B"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Крепко жму руку, твой </w:t>
      </w:r>
      <w:hyperlink r:id="rId139" w:history="1">
        <w:r w:rsidRPr="00E93F40">
          <w:rPr>
            <w:rStyle w:val="af0"/>
            <w:i w:val="0"/>
            <w:color w:val="000000" w:themeColor="text1"/>
            <w:sz w:val="16"/>
            <w:szCs w:val="16"/>
          </w:rPr>
          <w:t>Ворошилов</w:t>
        </w:r>
      </w:hyperlink>
    </w:p>
    <w:p w14:paraId="71AB078E" w14:textId="274E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Р.</w:t>
      </w:r>
      <w:r w:rsidR="007C1411" w:rsidRPr="00E93F40">
        <w:rPr>
          <w:color w:val="000000" w:themeColor="text1"/>
          <w:sz w:val="16"/>
          <w:szCs w:val="16"/>
        </w:rPr>
        <w:t xml:space="preserve"> </w:t>
      </w:r>
      <w:r w:rsidRPr="00E93F40">
        <w:rPr>
          <w:color w:val="000000" w:themeColor="text1"/>
          <w:sz w:val="16"/>
          <w:szCs w:val="16"/>
        </w:rPr>
        <w:t>С. Если бы ты захотел и я тебе не помешал бы, я с удовольствием приехал к тебе на 2</w:t>
      </w:r>
      <w:r w:rsidRPr="00E93F40">
        <w:rPr>
          <w:color w:val="000000" w:themeColor="text1"/>
          <w:sz w:val="16"/>
          <w:szCs w:val="16"/>
        </w:rPr>
        <w:noBreakHyphen/>
        <w:t>3</w:t>
      </w:r>
      <w:r w:rsidR="007C1411" w:rsidRPr="00E93F40">
        <w:rPr>
          <w:color w:val="000000" w:themeColor="text1"/>
          <w:sz w:val="16"/>
          <w:szCs w:val="16"/>
        </w:rPr>
        <w:t xml:space="preserve"> </w:t>
      </w:r>
      <w:r w:rsidRPr="00E93F40">
        <w:rPr>
          <w:color w:val="000000" w:themeColor="text1"/>
          <w:sz w:val="16"/>
          <w:szCs w:val="16"/>
        </w:rPr>
        <w:t>дня. Хотелось бы поговорить и заодно в вагоне (может быть) отоспаться, так как уже давно не сплю нормально. В[орошилов].</w:t>
      </w:r>
    </w:p>
    <w:p w14:paraId="494DCB72"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Направляю самые краткие сведения о производстве танков и ТБ</w:t>
      </w:r>
      <w:r w:rsidRPr="00E93F40">
        <w:rPr>
          <w:color w:val="000000" w:themeColor="text1"/>
          <w:sz w:val="16"/>
          <w:szCs w:val="16"/>
        </w:rPr>
        <w:noBreakHyphen/>
        <w:t>3, а также мое письмо в ЦК о Кремлевской школе⁴*.</w:t>
      </w:r>
    </w:p>
    <w:p w14:paraId="4882ADCE" w14:textId="77777777" w:rsidR="0087389B" w:rsidRPr="00E93F40" w:rsidRDefault="0087389B" w:rsidP="00E93F40">
      <w:pPr>
        <w:pStyle w:val="ae"/>
        <w:spacing w:before="0" w:after="0"/>
        <w:jc w:val="both"/>
        <w:rPr>
          <w:color w:val="000000" w:themeColor="text1"/>
          <w:sz w:val="16"/>
          <w:szCs w:val="16"/>
        </w:rPr>
      </w:pPr>
      <w:r w:rsidRPr="00E93F40">
        <w:rPr>
          <w:color w:val="000000" w:themeColor="text1"/>
          <w:sz w:val="16"/>
          <w:szCs w:val="16"/>
        </w:rPr>
        <w:t>РГАСПИ. Ф. 74. Оп. 2. Д. 37. Л. 49—51. Копия.</w:t>
      </w:r>
    </w:p>
    <w:p w14:paraId="5852860F" w14:textId="055EBE58" w:rsidR="00717422" w:rsidRPr="00E93F40" w:rsidRDefault="00717422" w:rsidP="00E93F40">
      <w:pPr>
        <w:pStyle w:val="rteright"/>
        <w:spacing w:before="0" w:after="0"/>
        <w:jc w:val="both"/>
        <w:rPr>
          <w:rStyle w:val="af0"/>
          <w:i w:val="0"/>
          <w:color w:val="000000" w:themeColor="text1"/>
          <w:sz w:val="16"/>
          <w:szCs w:val="16"/>
        </w:rPr>
      </w:pPr>
      <w:r w:rsidRPr="00E93F40">
        <w:rPr>
          <w:color w:val="000000" w:themeColor="text1"/>
          <w:sz w:val="16"/>
          <w:szCs w:val="16"/>
        </w:rPr>
        <w:t>Ответ И.</w:t>
      </w:r>
      <w:r w:rsidR="007C1411" w:rsidRPr="00E93F40">
        <w:rPr>
          <w:color w:val="000000" w:themeColor="text1"/>
          <w:sz w:val="16"/>
          <w:szCs w:val="16"/>
        </w:rPr>
        <w:t xml:space="preserve"> </w:t>
      </w:r>
      <w:r w:rsidRPr="00E93F40">
        <w:rPr>
          <w:color w:val="000000" w:themeColor="text1"/>
          <w:sz w:val="16"/>
          <w:szCs w:val="16"/>
        </w:rPr>
        <w:t>В.</w:t>
      </w:r>
      <w:r w:rsidR="007C1411" w:rsidRPr="00E93F40">
        <w:rPr>
          <w:color w:val="000000" w:themeColor="text1"/>
          <w:sz w:val="16"/>
          <w:szCs w:val="16"/>
        </w:rPr>
        <w:t xml:space="preserve"> </w:t>
      </w:r>
      <w:r w:rsidRPr="00E93F40">
        <w:rPr>
          <w:color w:val="000000" w:themeColor="text1"/>
          <w:sz w:val="16"/>
          <w:szCs w:val="16"/>
        </w:rPr>
        <w:t>Сталина</w:t>
      </w:r>
    </w:p>
    <w:p w14:paraId="70EDDF90" w14:textId="2E84EBCE" w:rsidR="0087389B" w:rsidRPr="00E93F40" w:rsidRDefault="0087389B" w:rsidP="00E93F40">
      <w:pPr>
        <w:pStyle w:val="rteright"/>
        <w:spacing w:before="0" w:after="0"/>
        <w:jc w:val="both"/>
        <w:rPr>
          <w:color w:val="000000" w:themeColor="text1"/>
          <w:sz w:val="16"/>
          <w:szCs w:val="16"/>
        </w:rPr>
      </w:pPr>
      <w:r w:rsidRPr="00E93F40">
        <w:rPr>
          <w:rStyle w:val="af0"/>
          <w:i w:val="0"/>
          <w:color w:val="000000" w:themeColor="text1"/>
          <w:sz w:val="16"/>
          <w:szCs w:val="16"/>
        </w:rPr>
        <w:t>24</w:t>
      </w:r>
      <w:r w:rsidR="007C1411" w:rsidRPr="00E93F40">
        <w:rPr>
          <w:rStyle w:val="af0"/>
          <w:i w:val="0"/>
          <w:color w:val="000000" w:themeColor="text1"/>
          <w:sz w:val="16"/>
          <w:szCs w:val="16"/>
        </w:rPr>
        <w:t xml:space="preserve"> </w:t>
      </w:r>
      <w:r w:rsidRPr="00E93F40">
        <w:rPr>
          <w:rStyle w:val="af0"/>
          <w:i w:val="0"/>
          <w:color w:val="000000" w:themeColor="text1"/>
          <w:sz w:val="16"/>
          <w:szCs w:val="16"/>
        </w:rPr>
        <w:t>июня 1932</w:t>
      </w:r>
      <w:r w:rsidR="007C1411" w:rsidRPr="00E93F40">
        <w:rPr>
          <w:rStyle w:val="af0"/>
          <w:i w:val="0"/>
          <w:color w:val="000000" w:themeColor="text1"/>
          <w:sz w:val="16"/>
          <w:szCs w:val="16"/>
        </w:rPr>
        <w:t xml:space="preserve"> </w:t>
      </w:r>
      <w:r w:rsidRPr="00E93F40">
        <w:rPr>
          <w:rStyle w:val="af0"/>
          <w:i w:val="0"/>
          <w:color w:val="000000" w:themeColor="text1"/>
          <w:sz w:val="16"/>
          <w:szCs w:val="16"/>
        </w:rPr>
        <w:t>г.</w:t>
      </w:r>
    </w:p>
    <w:p w14:paraId="70A689A7" w14:textId="77777777" w:rsidR="0087389B" w:rsidRPr="00E93F40" w:rsidRDefault="0087389B" w:rsidP="00E93F40">
      <w:pPr>
        <w:pStyle w:val="ae"/>
        <w:spacing w:before="0" w:after="0"/>
        <w:jc w:val="both"/>
        <w:rPr>
          <w:color w:val="000000" w:themeColor="text1"/>
          <w:sz w:val="16"/>
          <w:szCs w:val="16"/>
        </w:rPr>
      </w:pPr>
      <w:r w:rsidRPr="00E93F40">
        <w:rPr>
          <w:color w:val="000000" w:themeColor="text1"/>
          <w:sz w:val="16"/>
          <w:szCs w:val="16"/>
        </w:rPr>
        <w:t>Здравствуй, Клим!</w:t>
      </w:r>
    </w:p>
    <w:p w14:paraId="3FFBACB3" w14:textId="77777777" w:rsidR="0087389B" w:rsidRPr="00E93F40" w:rsidRDefault="0087389B" w:rsidP="00E93F40">
      <w:pPr>
        <w:pStyle w:val="ae"/>
        <w:spacing w:before="0" w:after="0"/>
        <w:jc w:val="both"/>
        <w:rPr>
          <w:color w:val="000000" w:themeColor="text1"/>
          <w:sz w:val="16"/>
          <w:szCs w:val="16"/>
        </w:rPr>
      </w:pPr>
      <w:r w:rsidRPr="00E93F40">
        <w:rPr>
          <w:color w:val="000000" w:themeColor="text1"/>
          <w:sz w:val="16"/>
          <w:szCs w:val="16"/>
        </w:rPr>
        <w:t>Письмо получил.</w:t>
      </w:r>
    </w:p>
    <w:p w14:paraId="351D318F" w14:textId="111378CE"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По части танков и авиации, видимо, промышленность не сумела еще как следует перевооружиться применительно к новым (нашим) заданиям. Ничего! Будем нажимать и помогать ей</w:t>
      </w:r>
      <w:r w:rsidR="007C1411" w:rsidRPr="00E93F40">
        <w:rPr>
          <w:color w:val="000000" w:themeColor="text1"/>
          <w:sz w:val="16"/>
          <w:szCs w:val="16"/>
        </w:rPr>
        <w:t xml:space="preserve"> </w:t>
      </w:r>
      <w:r w:rsidRPr="00E93F40">
        <w:rPr>
          <w:color w:val="000000" w:themeColor="text1"/>
          <w:sz w:val="16"/>
          <w:szCs w:val="16"/>
        </w:rPr>
        <w:t>— приспособится. Все дело в том, чтобы держать известные отрасли промышленности (гл[авным] обр[азом] военной) под постоянным контролем. Приспособятся и будут выполнять программу, если не на все 100%, то на 80</w:t>
      </w:r>
      <w:r w:rsidRPr="00E93F40">
        <w:rPr>
          <w:color w:val="000000" w:themeColor="text1"/>
          <w:sz w:val="16"/>
          <w:szCs w:val="16"/>
        </w:rPr>
        <w:noBreakHyphen/>
        <w:t>90</w:t>
      </w:r>
      <w:r w:rsidRPr="00E93F40">
        <w:rPr>
          <w:rStyle w:val="af0"/>
          <w:i w:val="0"/>
          <w:color w:val="000000" w:themeColor="text1"/>
          <w:sz w:val="16"/>
          <w:szCs w:val="16"/>
        </w:rPr>
        <w:t xml:space="preserve">%. </w:t>
      </w:r>
      <w:r w:rsidRPr="00E93F40">
        <w:rPr>
          <w:color w:val="000000" w:themeColor="text1"/>
          <w:sz w:val="16"/>
          <w:szCs w:val="16"/>
        </w:rPr>
        <w:t>Разве этого мало?</w:t>
      </w:r>
    </w:p>
    <w:p w14:paraId="3C030F52" w14:textId="0011F9E4"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Самое тревожное</w:t>
      </w:r>
      <w:r w:rsidR="007C1411" w:rsidRPr="00E93F40">
        <w:rPr>
          <w:color w:val="000000" w:themeColor="text1"/>
          <w:sz w:val="16"/>
          <w:szCs w:val="16"/>
        </w:rPr>
        <w:t xml:space="preserve"> </w:t>
      </w:r>
      <w:r w:rsidRPr="00E93F40">
        <w:rPr>
          <w:color w:val="000000" w:themeColor="text1"/>
          <w:sz w:val="16"/>
          <w:szCs w:val="16"/>
        </w:rPr>
        <w:t>— аварии и гибель наших летчиков. Гибель самолетов не так страшна (черт с ними!), как гибель живых людей, летчиков. Живые люди</w:t>
      </w:r>
      <w:r w:rsidR="007C1411" w:rsidRPr="00E93F40">
        <w:rPr>
          <w:color w:val="000000" w:themeColor="text1"/>
          <w:sz w:val="16"/>
          <w:szCs w:val="16"/>
        </w:rPr>
        <w:t xml:space="preserve"> </w:t>
      </w:r>
      <w:r w:rsidRPr="00E93F40">
        <w:rPr>
          <w:color w:val="000000" w:themeColor="text1"/>
          <w:sz w:val="16"/>
          <w:szCs w:val="16"/>
        </w:rPr>
        <w:t>— самое ценное и самое важное во всем нашем деле, особенно в авиации. Не следует ли, помимо всего прочего, создать при командующих округами специальную должность заместителя командующего по авиации, возложив на этих заместителей непосредственную ответственность за состояние авиадела в округе, что, конечно, не должно освобождать</w:t>
      </w:r>
      <w:r w:rsidR="007C1411" w:rsidRPr="00E93F40">
        <w:rPr>
          <w:color w:val="000000" w:themeColor="text1"/>
          <w:sz w:val="16"/>
          <w:szCs w:val="16"/>
        </w:rPr>
        <w:t xml:space="preserve"> </w:t>
      </w:r>
      <w:r w:rsidRPr="00E93F40">
        <w:rPr>
          <w:color w:val="000000" w:themeColor="text1"/>
          <w:sz w:val="16"/>
          <w:szCs w:val="16"/>
        </w:rPr>
        <w:t>— ни в малейшей степени!</w:t>
      </w:r>
      <w:r w:rsidR="007C1411" w:rsidRPr="00E93F40">
        <w:rPr>
          <w:color w:val="000000" w:themeColor="text1"/>
          <w:sz w:val="16"/>
          <w:szCs w:val="16"/>
        </w:rPr>
        <w:t xml:space="preserve"> </w:t>
      </w:r>
      <w:r w:rsidRPr="00E93F40">
        <w:rPr>
          <w:color w:val="000000" w:themeColor="text1"/>
          <w:sz w:val="16"/>
          <w:szCs w:val="16"/>
        </w:rPr>
        <w:t>— командующего от ответственности за авиадело в округе. Я думаю, что следует.</w:t>
      </w:r>
    </w:p>
    <w:p w14:paraId="5C6F847E" w14:textId="08A8EFA8"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 xml:space="preserve">Как обстоит дело с пушкой </w:t>
      </w:r>
      <w:hyperlink r:id="rId140" w:history="1">
        <w:r w:rsidRPr="00E93F40">
          <w:rPr>
            <w:color w:val="000000" w:themeColor="text1"/>
            <w:sz w:val="16"/>
            <w:szCs w:val="16"/>
          </w:rPr>
          <w:t>Маханова</w:t>
        </w:r>
      </w:hyperlink>
      <w:r w:rsidRPr="00E93F40">
        <w:rPr>
          <w:color w:val="000000" w:themeColor="text1"/>
          <w:sz w:val="16"/>
          <w:szCs w:val="16"/>
        </w:rPr>
        <w:t>? Очень важная штука, а дело тормозится почему-то.</w:t>
      </w:r>
    </w:p>
    <w:p w14:paraId="3D3ACF75" w14:textId="0BA3CD41"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Обрати, ради бога, внимание на записку т.</w:t>
      </w:r>
      <w:r w:rsidR="007C1411" w:rsidRPr="00E93F40">
        <w:rPr>
          <w:color w:val="000000" w:themeColor="text1"/>
          <w:sz w:val="16"/>
          <w:szCs w:val="16"/>
        </w:rPr>
        <w:t xml:space="preserve"> </w:t>
      </w:r>
      <w:hyperlink r:id="rId141" w:history="1">
        <w:r w:rsidRPr="00E93F40">
          <w:rPr>
            <w:color w:val="000000" w:themeColor="text1"/>
            <w:sz w:val="16"/>
            <w:szCs w:val="16"/>
          </w:rPr>
          <w:t>Агранова</w:t>
        </w:r>
      </w:hyperlink>
      <w:r w:rsidRPr="00E93F40">
        <w:rPr>
          <w:color w:val="000000" w:themeColor="text1"/>
          <w:sz w:val="16"/>
          <w:szCs w:val="16"/>
        </w:rPr>
        <w:t xml:space="preserve"> насчет </w:t>
      </w:r>
      <w:hyperlink r:id="rId142" w:history="1">
        <w:r w:rsidRPr="00E93F40">
          <w:rPr>
            <w:color w:val="000000" w:themeColor="text1"/>
            <w:sz w:val="16"/>
            <w:szCs w:val="16"/>
          </w:rPr>
          <w:t>Курчевского</w:t>
        </w:r>
      </w:hyperlink>
      <w:r w:rsidRPr="00E93F40">
        <w:rPr>
          <w:color w:val="000000" w:themeColor="text1"/>
          <w:sz w:val="16"/>
          <w:szCs w:val="16"/>
        </w:rPr>
        <w:t xml:space="preserve"> дело очень важное.</w:t>
      </w:r>
    </w:p>
    <w:p w14:paraId="143594BF" w14:textId="4DBB51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hyperlink r:id="rId143" w:history="1">
        <w:r w:rsidRPr="00E93F40">
          <w:rPr>
            <w:color w:val="000000" w:themeColor="text1"/>
            <w:sz w:val="16"/>
            <w:szCs w:val="16"/>
          </w:rPr>
          <w:t>Шеко</w:t>
        </w:r>
      </w:hyperlink>
      <w:r w:rsidRPr="00E93F40">
        <w:rPr>
          <w:color w:val="000000" w:themeColor="text1"/>
          <w:sz w:val="16"/>
          <w:szCs w:val="16"/>
        </w:rPr>
        <w:t xml:space="preserve"> вертится в Монголии неплохо. Что же, дай бог.</w:t>
      </w:r>
    </w:p>
    <w:p w14:paraId="669823AC" w14:textId="4487964A"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Буду очень рад, если позволит тебе время заехать в Сочи.</w:t>
      </w:r>
    </w:p>
    <w:p w14:paraId="759D77D7"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Привет!</w:t>
      </w:r>
    </w:p>
    <w:p w14:paraId="350B64B3" w14:textId="52E41E6C" w:rsidR="0087389B" w:rsidRPr="00E93F40" w:rsidRDefault="0087389B"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Твой </w:t>
      </w:r>
      <w:hyperlink r:id="rId144" w:history="1">
        <w:r w:rsidRPr="00E93F40">
          <w:rPr>
            <w:rStyle w:val="af0"/>
            <w:i w:val="0"/>
            <w:color w:val="000000" w:themeColor="text1"/>
            <w:sz w:val="16"/>
            <w:szCs w:val="16"/>
          </w:rPr>
          <w:t>И.</w:t>
        </w:r>
        <w:r w:rsidR="007C1411" w:rsidRPr="00E93F40">
          <w:rPr>
            <w:rStyle w:val="af0"/>
            <w:i w:val="0"/>
            <w:color w:val="000000" w:themeColor="text1"/>
            <w:sz w:val="16"/>
            <w:szCs w:val="16"/>
          </w:rPr>
          <w:t xml:space="preserve"> </w:t>
        </w:r>
        <w:r w:rsidRPr="00E93F40">
          <w:rPr>
            <w:rStyle w:val="af0"/>
            <w:i w:val="0"/>
            <w:color w:val="000000" w:themeColor="text1"/>
            <w:sz w:val="16"/>
            <w:szCs w:val="16"/>
          </w:rPr>
          <w:t>Сталин</w:t>
        </w:r>
      </w:hyperlink>
    </w:p>
    <w:p w14:paraId="1122E898" w14:textId="77777777" w:rsidR="0087389B" w:rsidRPr="00E93F40" w:rsidRDefault="0087389B"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0341C03A" w14:textId="24E5E111"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Здесь и далее отточия документа.</w:t>
      </w:r>
    </w:p>
    <w:p w14:paraId="0C781C9B" w14:textId="46C0497F"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Сверху ручкой приписана буква “в” с неразборчивой цифрой.</w:t>
      </w:r>
    </w:p>
    <w:p w14:paraId="76EE2E3D" w14:textId="2BAF2F1F"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В документе нумерация нарушена.</w:t>
      </w:r>
    </w:p>
    <w:p w14:paraId="2A70D961" w14:textId="3BBE6A0B"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Приложения не публикуются.</w:t>
      </w:r>
    </w:p>
    <w:p w14:paraId="46503947"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РГАСПИ. Ф. 74. Оп. 2. Д. 38. Л. 68-71. Подлинник.</w:t>
      </w:r>
    </w:p>
    <w:p w14:paraId="0EB226DF" w14:textId="259EA7FD"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РГАСПИ. Ф. 74. Оп. 2. Д. 37. Л. 49—51. Копия.; РГАСПИ. Ф. 74. Оп. 2. Д. 38. Л. 68-71. Подлинник. </w:t>
      </w:r>
    </w:p>
    <w:p w14:paraId="6389F6D3" w14:textId="489996BC"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682-685 (12564).</w:t>
      </w:r>
    </w:p>
    <w:p w14:paraId="3ECEF73C" w14:textId="77777777" w:rsidR="0087389B" w:rsidRPr="00E93F40" w:rsidRDefault="0087389B" w:rsidP="00E93F40">
      <w:pPr>
        <w:spacing w:after="0" w:line="240" w:lineRule="auto"/>
        <w:jc w:val="both"/>
        <w:rPr>
          <w:rFonts w:ascii="Times New Roman" w:hAnsi="Times New Roman"/>
          <w:color w:val="000000" w:themeColor="text1"/>
          <w:sz w:val="16"/>
          <w:szCs w:val="16"/>
        </w:rPr>
      </w:pPr>
    </w:p>
    <w:p w14:paraId="24EF98E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года – перелет Монино – Киев – Москва (6772).</w:t>
      </w:r>
    </w:p>
    <w:p w14:paraId="16CABE0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8C4A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закончилось гос. испытание на дальность Р-5-М17, которое проходило с 14 мая 1932 (6778).</w:t>
      </w:r>
    </w:p>
    <w:p w14:paraId="4ECDC1D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9145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21 июня 1932 г. ДВ СССР-Н2 вылетел в первый рейс вниз по Енисею до Норильска, имея на борту, кроме экипажа, 7 пассажиров. В 1932 самолет принял экипаж А.Д.Алексеева (командир самолета): 2-й пилот - М.И.Козлов, 1-й бортмеханик - Г.Т.Побежимов, 2-й бортмеханик - А.П.Алексеев (впоследствии снят с должности и заменен Я.Е.Толеутовым.) и летчик-наблюдатель - Н.К.Жуков. Базируясь на Норильск, выполнил ряд полетов на Дудинку и Хатангу. Возвращение в Красноярск с грузом пушнины состоялось 3 июля. Уже на следующий день экипаж получил приказ вылететь на облет тайги с лесниками для определения качества леса. Алексеев был категорически против, т.к. сомневался в надежной работе двигателей: "Недоверие к нашим моторам, которые старого выпуска, перебирались в мастерских </w:t>
      </w:r>
      <w:r w:rsidRPr="00E93F40">
        <w:rPr>
          <w:rFonts w:ascii="Times New Roman" w:hAnsi="Times New Roman"/>
          <w:color w:val="000000" w:themeColor="text1"/>
          <w:sz w:val="16"/>
          <w:szCs w:val="16"/>
        </w:rPr>
        <w:lastRenderedPageBreak/>
        <w:t>Дерулюфта. У носового мотора заменили коленчатый вал, поставлен новый, из числа забракованных в 1929 г.". В результате СССР-Н2 все-таки отправили на осмотр лесов. Летали вдоль Енисея и Подка- менной Тунгуски, забираясь в сторону более чем на сотню километров. 10 июля предполагаемая неприятность все-таки произошла, в 86 км от Енисея вышел из строя передний двигатель. С большими трудностями на одном моторе дотянули до устья Подкаменной Тунгуски, где с ходу приводнились. 16 июля на буксире у пассажирского парохода "Спартак" прибыли в Красноярск. Уже на следующий день приступили к смене моторов, а 22-го июля машину опробовали в воздухе. Следующим заданием сезона стало проведение ледовой разведки в Карском море. Положение осложнялось отсутствием рации, затерявшейся где-то на железной дороге. Алексеев решил, тем не менее, вылетать и 25 июля СССР- Н2 стартовал по направлению на Диксон (11970).</w:t>
      </w:r>
    </w:p>
    <w:p w14:paraId="4E2E5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DAD72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5D7C3F5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95E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года Ворошилов в письме Сталину сообщал: “Я сейчас буквально места не нахожу себе вследствие аварий в Воздушном флоте. Не проходит дня, чтобы не получились сведения об авариях и даже тягчайших катастрофах с человеческими жертвами то в одном, то в другом округе. Достаточно указать, что только с 5/VI по 20/VI разбито 11 самолетов … и погибло 30(!!) человек… Кадры летного и технического состава разрослись, укомплектовываются хотя и нашим, надежным политически, составом, но чрезвычайно молодым, малоопытным (что естественно), а главное, по-настоящему не дисциплинированным. Залихватские замашки, бравирование своими летными подвигами… не встречающее жестокой борьбы со стороны начальства; малая авторитетность молодого начсостава, плохая работа политорганов и парторганизаций, вот основные источники, откуда проистекают наши несчастья … Уже просил ПБ заслушать мой доклад и помочь мне в деле подтягивания парторганизаций и политаппарата. Думаю выгнать несколько “заслуженных”, но совершенно недисциплинированных воздушных начальников, которые сознательно и часто нарушают все приказы и уставы РККА”. Получив ответ Сталина (см.: Письмо К.Е. Ворошилову 24 июня 1932 года), Ворошилов направил Сталину шифровку: “Сочи. Сталину. Письмо получил. Полностью согласен оценкой личного состава авиации, подготовку и воспитание которого всегда считал труднейшим делом. В аварийности меня больше всего мучает именно это нелепое безрассудное уничтожение лучших людей. Вчера выслал тебе мой проект постановления ЦК об аварийности. В нем круто завернуто относительно установления авиации жесточайшей дисциплины, что необходимо прежде всего для сбережения живых людей. Чтобы не смазывать внутренних недостатков авиации, намеренно опустил недостатки промышленности — качество продукции, отсутствие связи на самолетах, отсутствие парашютов, тормозных колес, специальных приспособлений для устойчивости самолета в воздухе и т. д. После твоего письма пришла мысль — не стоит ли и об этом записать так же крепко, хотя и кратко, как и о дисциплине. Относительно помкомвойск по авиации — мысль твою считаю правильной, особенно принимая во внимание предстоящую организацию воздушных корпусов и армий. Сейчас нас имеется начальник воздушных сил округа со своим штабом — его и можно было бы переименовать в помкомвойск по авиации. Думаю, что создание специальных инспекторов непосредственно в авиабригадах и усиление авиаинспекции людьми значительно облегчит задачу руководства авиацией. Жду ответа по существу проекта. 28.VI 32 г. К. Ворошилов”. 3 июля 1932 года ПБ утвердило предложенный Ворошиловым проект постановления ЦК и СНК “Об аварийности в частях ВВС РККА”, окончательная редакция оформлена 5 июля. В числе прочих мер в нем было реализовано предложение Сталина о введении должности помощников командующих округами по ВВС (11868).</w:t>
      </w:r>
    </w:p>
    <w:p w14:paraId="4C89CE3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B85D35"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 xml:space="preserve">21 июня 1932 г. Ворошилов в письме Сталину сообщал: «Я сейчас буквально места не нахожу себе вследствие аварий в Воздушном флоте. Не проходит дня, чтобы не получились сведения об авариях и даже тягчайших катастрофах с человеческими жертвами то в одном, то в другом округе. Достаточно указать, что только с 5/VI по 20/VI разбито 11 самолетов[...] и погибло 30(!!!) чел[овек][...] Кадры летного и техническ[ого] состава разрослись, укомплектовываются хотя и нашим, надежным политически, составом, но чрезвычайно молодым, мало опытным (что естественно), а главное, по-настоящему недисциплинированным. Залихватские замашки, бравирование своими летными подвигами[...], не встречающее жестокой борьбы со стороны начальства; малая авторитетность молодого начсостава, плохая работа политорганов и парторганизаций, вот основные источники, откуда проистекают наши несчастья[...] Уже просил ПБ заслушать мой доклад и помочь мне в деле подтягивания парторганизаций и политаппарата. Думаю выгнать несколько «заслуженных», но совершенно недисциплинированных воздушных начальников, которые сознательно и часто нарушают все приказы и уставы РККА» (РГАСПИ. Ф. 74. Оп. 2. Д. 37. Л. 49, 50; Советское руководство. Переписка. 1928–1941 гг. М-, 1999. С. 177–178). В ответ Сталин писал Ворошилову 24 июня: «Самое тревожное — аварии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Не следует ли — помимо всего прочего — создать при командующих округами специальную должность </w:t>
      </w:r>
      <w:r w:rsidRPr="00E93F40">
        <w:rPr>
          <w:color w:val="000000" w:themeColor="text1"/>
          <w:sz w:val="16"/>
          <w:szCs w:val="16"/>
          <w:u w:val="single"/>
        </w:rPr>
        <w:t xml:space="preserve">заместителя </w:t>
      </w:r>
      <w:r w:rsidRPr="00E93F40">
        <w:rPr>
          <w:color w:val="000000" w:themeColor="text1"/>
          <w:sz w:val="16"/>
          <w:szCs w:val="16"/>
        </w:rPr>
        <w:t xml:space="preserve">командующего по авиации, возложив на этих заместителей </w:t>
      </w:r>
      <w:r w:rsidRPr="00E93F40">
        <w:rPr>
          <w:color w:val="000000" w:themeColor="text1"/>
          <w:sz w:val="16"/>
          <w:szCs w:val="16"/>
          <w:u w:val="single"/>
        </w:rPr>
        <w:t>непосредственную</w:t>
      </w:r>
      <w:r w:rsidRPr="00E93F40">
        <w:rPr>
          <w:color w:val="000000" w:themeColor="text1"/>
          <w:sz w:val="16"/>
          <w:szCs w:val="16"/>
        </w:rPr>
        <w:t xml:space="preserve"> ответственность за состояние авиадела в округе, что, конечно, не должно освобождать — ни в </w:t>
      </w:r>
      <w:r w:rsidRPr="00E93F40">
        <w:rPr>
          <w:color w:val="000000" w:themeColor="text1"/>
          <w:sz w:val="16"/>
          <w:szCs w:val="16"/>
          <w:u w:val="single"/>
        </w:rPr>
        <w:t>малейшей степени!</w:t>
      </w:r>
      <w:r w:rsidRPr="00E93F40">
        <w:rPr>
          <w:color w:val="000000" w:themeColor="text1"/>
          <w:sz w:val="16"/>
          <w:szCs w:val="16"/>
        </w:rPr>
        <w:t xml:space="preserve"> — командующего от ответственности за авиадело в округе. Я думаю, что следует» (Там же. Д. 38. Л. 69, 70; Советское руководство. С. 180–181). В ответ на это письмо Ворошилов направил Сталину шифровку: «Сочи. Сталину. Письмо получил. Полностью согласен оценкой личного состава авиации, подготовку и воспитание которого всегда считал труднейшим делом. В аварийности меня больше всего мучает именно это нелепое безрассудное уничтожение лучших людей. Вчера выслали тебе мой проект постановления ЦК об аварийности. В нем круто завернуто относительно установления авиации жесточайшей дисциплины, что необходимо прежде всего для сбережения живых людей. Чтобы не смазывать внутренних недостатков авиации намеренно опустил недостатки промышленности — качество продукции, отсутствие связи на самолетах, отсутствие парашютов, тормазных колес, специальных приспособлений для устойчивости самолета в воздухе и т.д. После твоего письма пришла мысль — не стоит ли и об этом записать также крепко, хотя и кратко, как и о дисциплине. Относительно помкомвойск по авиации — мысль твою считаю правильной, особенно принимая во внимание предстоящую организацию воздушных корпусов и армий. Сейчас у нас имеется начальник воздушных сил округа [со] своим штабом — его и можно было бы переименовать в помкомвойск по авиации. Думаю, что создание специальных инспекторов непосредственно в авиабригадах и усиление авиаинспекции людьми, значительно облегчит задачу руководства авиацией. Жду ответа по существу проекта. 28.VI — 32 г. К.Ворошилов» (Там же. Ф. 558. Оп. 11. Д. 77. Л. 121).</w:t>
      </w:r>
    </w:p>
    <w:p w14:paraId="04DCB391"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3 июля 1932 г. ПБ утвердило предложенный Ворошиловым проект постановления ЦК и СНК «Об аварийности в частях ВВС РККА», окончательная редакция оформлена 5 июля (см. документ Ms 181). В числе прочих мер в нем было реализовано предложение Сталина о введении должности помощников командующих округами по ВВС (Отечественные архивы. 1995. № 6. С. 32–39. Публикация В. Н. Шепелева).</w:t>
      </w:r>
    </w:p>
    <w:p w14:paraId="21E17813"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 xml:space="preserve"> Номер и дата вписаны секретарем. В тот же день отправлена шифром из Сочи в 16 час. 35 мин. (РГАСПИ. Ф. 558. Оп. П. Д. 77. Л. 119).</w:t>
      </w:r>
    </w:p>
    <w:p w14:paraId="61C845CB"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558. Oп. 11. Д. 77. Л. 120. Автограф. </w:t>
      </w:r>
    </w:p>
    <w:p w14:paraId="5B2A753B"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Сталин и Каганович. Переписка. 1931–1936 гг. Москва: (РОССПЭН), 2001 Стр. 203-204 (12326).</w:t>
      </w:r>
    </w:p>
    <w:p w14:paraId="06E03546" w14:textId="77777777" w:rsidR="0087389B" w:rsidRPr="00E93F40" w:rsidRDefault="0087389B" w:rsidP="00E93F40">
      <w:pPr>
        <w:spacing w:after="0" w:line="240" w:lineRule="auto"/>
        <w:jc w:val="both"/>
        <w:rPr>
          <w:rFonts w:ascii="Times New Roman" w:hAnsi="Times New Roman"/>
          <w:color w:val="000000" w:themeColor="text1"/>
          <w:sz w:val="16"/>
          <w:szCs w:val="16"/>
        </w:rPr>
      </w:pPr>
    </w:p>
    <w:p w14:paraId="626873ED" w14:textId="77777777" w:rsidR="00BC4A5C" w:rsidRPr="00E93F40" w:rsidRDefault="00BC4A5C" w:rsidP="00E93F40">
      <w:pPr>
        <w:pStyle w:val="ae"/>
        <w:shd w:val="clear" w:color="auto" w:fill="FFFFFF"/>
        <w:spacing w:before="0" w:after="0"/>
        <w:jc w:val="both"/>
        <w:rPr>
          <w:color w:val="000000" w:themeColor="text1"/>
          <w:sz w:val="16"/>
          <w:szCs w:val="16"/>
        </w:rPr>
      </w:pPr>
      <w:r w:rsidRPr="00E93F40">
        <w:rPr>
          <w:color w:val="000000" w:themeColor="text1"/>
          <w:sz w:val="16"/>
          <w:szCs w:val="16"/>
        </w:rPr>
        <w:t>21 июня 1932 г. К. Е. Ворошилов в письме И. В. Сталину сообщал: «Плохо с артиллерийской программой но особенно скверно со снарядами» (19154).</w:t>
      </w:r>
    </w:p>
    <w:p w14:paraId="5C343F76" w14:textId="77777777" w:rsidR="00BC4A5C" w:rsidRPr="00E93F40" w:rsidRDefault="00BC4A5C" w:rsidP="00E93F40">
      <w:pPr>
        <w:pStyle w:val="ae"/>
        <w:shd w:val="clear" w:color="auto" w:fill="FFFFFF"/>
        <w:spacing w:before="0" w:after="0"/>
        <w:jc w:val="both"/>
        <w:rPr>
          <w:color w:val="000000" w:themeColor="text1"/>
          <w:sz w:val="16"/>
          <w:szCs w:val="16"/>
        </w:rPr>
      </w:pPr>
    </w:p>
    <w:p w14:paraId="5B736F14" w14:textId="77777777" w:rsidR="00BC4A5C" w:rsidRPr="00E93F40" w:rsidRDefault="00BC4A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г. в письме Сталину наркома НКВМ Во</w:t>
      </w:r>
      <w:r w:rsidRPr="00E93F40">
        <w:rPr>
          <w:rFonts w:ascii="Times New Roman" w:hAnsi="Times New Roman"/>
          <w:color w:val="000000" w:themeColor="text1"/>
          <w:sz w:val="16"/>
          <w:szCs w:val="16"/>
        </w:rPr>
        <w:softHyphen/>
        <w:t>рошилова говорилось об “истинном положении вещей”. В нем Ворошилов указывает на ряд “провалов” в программе производства вооруже</w:t>
      </w:r>
      <w:r w:rsidRPr="00E93F40">
        <w:rPr>
          <w:rFonts w:ascii="Times New Roman" w:hAnsi="Times New Roman"/>
          <w:color w:val="000000" w:themeColor="text1"/>
          <w:sz w:val="16"/>
          <w:szCs w:val="16"/>
        </w:rPr>
        <w:softHyphen/>
        <w:t>ний: “ТБ-3 не создано ни одной эскадрильи, и на Дальний Восток не смогли ничего отправить... Танковая программа выполняется с большой натугой... Приемщики принимают с условием, что де</w:t>
      </w:r>
      <w:r w:rsidRPr="00E93F40">
        <w:rPr>
          <w:rFonts w:ascii="Times New Roman" w:hAnsi="Times New Roman"/>
          <w:color w:val="000000" w:themeColor="text1"/>
          <w:sz w:val="16"/>
          <w:szCs w:val="16"/>
        </w:rPr>
        <w:softHyphen/>
        <w:t>ла поправятся, но Халепский настроен пессимистически... Глав</w:t>
      </w:r>
      <w:r w:rsidRPr="00E93F40">
        <w:rPr>
          <w:rFonts w:ascii="Times New Roman" w:hAnsi="Times New Roman"/>
          <w:color w:val="000000" w:themeColor="text1"/>
          <w:sz w:val="16"/>
          <w:szCs w:val="16"/>
        </w:rPr>
        <w:softHyphen/>
        <w:t>ные проблемы - тормоз и броня. Павлуновский уверяет, что Ма</w:t>
      </w:r>
      <w:r w:rsidRPr="00E93F40">
        <w:rPr>
          <w:rFonts w:ascii="Times New Roman" w:hAnsi="Times New Roman"/>
          <w:color w:val="000000" w:themeColor="text1"/>
          <w:sz w:val="16"/>
          <w:szCs w:val="16"/>
        </w:rPr>
        <w:softHyphen/>
        <w:t>риупольский и Путиловский заводы дадут марганцево-кремние[193]вую броню. Но помимо этого есть много других деталей механо</w:t>
      </w:r>
      <w:r w:rsidRPr="00E93F40">
        <w:rPr>
          <w:rFonts w:ascii="Times New Roman" w:hAnsi="Times New Roman"/>
          <w:color w:val="000000" w:themeColor="text1"/>
          <w:sz w:val="16"/>
          <w:szCs w:val="16"/>
        </w:rPr>
        <w:softHyphen/>
        <w:t>обработки... Серго [Орджоникидзе] нажимает на заводы, но дела неважные... Плохо с артиллерийской программой, особенно с мелкокалиберными системами, но особенно скверно со снаряда</w:t>
      </w:r>
      <w:r w:rsidRPr="00E93F40">
        <w:rPr>
          <w:rFonts w:ascii="Times New Roman" w:hAnsi="Times New Roman"/>
          <w:color w:val="000000" w:themeColor="text1"/>
          <w:sz w:val="16"/>
          <w:szCs w:val="16"/>
        </w:rPr>
        <w:softHyphen/>
        <w:t>ми. Что касается строительства, то архискверно, не только ка</w:t>
      </w:r>
      <w:r w:rsidRPr="00E93F40">
        <w:rPr>
          <w:rFonts w:ascii="Times New Roman" w:hAnsi="Times New Roman"/>
          <w:color w:val="000000" w:themeColor="text1"/>
          <w:sz w:val="16"/>
          <w:szCs w:val="16"/>
        </w:rPr>
        <w:softHyphen/>
        <w:t>зарм и складов, но и оборонительных сооружений. Везде недос</w:t>
      </w:r>
      <w:r w:rsidRPr="00E93F40">
        <w:rPr>
          <w:rFonts w:ascii="Times New Roman" w:hAnsi="Times New Roman"/>
          <w:color w:val="000000" w:themeColor="text1"/>
          <w:sz w:val="16"/>
          <w:szCs w:val="16"/>
        </w:rPr>
        <w:softHyphen/>
        <w:t>таток стройматериалов, отсутствие транспорта, отсутствие рабо</w:t>
      </w:r>
      <w:r w:rsidRPr="00E93F40">
        <w:rPr>
          <w:rFonts w:ascii="Times New Roman" w:hAnsi="Times New Roman"/>
          <w:color w:val="000000" w:themeColor="text1"/>
          <w:sz w:val="16"/>
          <w:szCs w:val="16"/>
        </w:rPr>
        <w:softHyphen/>
        <w:t>чих и ИТР и так до бесконечности. Но и это еще не все...”</w:t>
      </w:r>
    </w:p>
    <w:p w14:paraId="76792A9A" w14:textId="77777777" w:rsidR="00BC4A5C" w:rsidRPr="00E93F40" w:rsidRDefault="00BC4A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Далее Ворошилов сообщал Сталину об авариях в воздушном флоте с человеческими жертвами. Только с 5 по 20 июня разби</w:t>
      </w:r>
      <w:r w:rsidRPr="00E93F40">
        <w:rPr>
          <w:rFonts w:ascii="Times New Roman" w:hAnsi="Times New Roman"/>
          <w:color w:val="000000" w:themeColor="text1"/>
          <w:sz w:val="16"/>
          <w:szCs w:val="16"/>
        </w:rPr>
        <w:softHyphen/>
        <w:t>лось 11 самолетов: 5 тяжелых, 2 морских, гидроплан “Савойя” и 3 ТБ-1. Погибло 30 человек. Главную причину Ворошилов видел в неправильной организации полетов, отсутствии дисциплины: “летчики молодые, неопытные, склонные к залихватским замаш</w:t>
      </w:r>
      <w:r w:rsidRPr="00E93F40">
        <w:rPr>
          <w:rFonts w:ascii="Times New Roman" w:hAnsi="Times New Roman"/>
          <w:color w:val="000000" w:themeColor="text1"/>
          <w:sz w:val="16"/>
          <w:szCs w:val="16"/>
        </w:rPr>
        <w:softHyphen/>
        <w:t>кам, бравированию, воздушному хулиганству”, подобному тому, как 1 мая 1932 г. во время воздушного парада над Красной пло</w:t>
      </w:r>
      <w:r w:rsidRPr="00E93F40">
        <w:rPr>
          <w:rFonts w:ascii="Times New Roman" w:hAnsi="Times New Roman"/>
          <w:color w:val="000000" w:themeColor="text1"/>
          <w:sz w:val="16"/>
          <w:szCs w:val="16"/>
        </w:rPr>
        <w:softHyphen/>
        <w:t>щадью</w:t>
      </w:r>
      <w:bookmarkStart w:id="36" w:name="_ednref77"/>
      <w:r w:rsidRPr="00E93F40">
        <w:rPr>
          <w:rFonts w:ascii="Times New Roman" w:hAnsi="Times New Roman"/>
          <w:color w:val="000000" w:themeColor="text1"/>
          <w:sz w:val="16"/>
          <w:szCs w:val="16"/>
        </w:rPr>
        <w:t>.</w:t>
      </w:r>
    </w:p>
    <w:p w14:paraId="21645C12" w14:textId="77777777" w:rsidR="00BC4A5C" w:rsidRPr="00E93F40" w:rsidRDefault="00BC4A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своем ответе на приведенное выше письмо Ворошилова И.В.С. писал: “Будем нажимать. Будут выполняться програм</w:t>
      </w:r>
      <w:r w:rsidRPr="00E93F40">
        <w:rPr>
          <w:rFonts w:ascii="Times New Roman" w:hAnsi="Times New Roman"/>
          <w:color w:val="000000" w:themeColor="text1"/>
          <w:sz w:val="16"/>
          <w:szCs w:val="16"/>
        </w:rPr>
        <w:softHyphen/>
        <w:t>мы если не на все 100, то на 80-90%. Разве этого мало? Гибель са</w:t>
      </w:r>
      <w:r w:rsidRPr="00E93F40">
        <w:rPr>
          <w:rFonts w:ascii="Times New Roman" w:hAnsi="Times New Roman"/>
          <w:color w:val="000000" w:themeColor="text1"/>
          <w:sz w:val="16"/>
          <w:szCs w:val="16"/>
        </w:rPr>
        <w:softHyphen/>
        <w:t>молетов не так страшна, черт с ними. Жалко летчиков” (18393)</w:t>
      </w:r>
      <w:bookmarkEnd w:id="36"/>
      <w:r w:rsidRPr="00E93F40">
        <w:rPr>
          <w:rFonts w:ascii="Times New Roman" w:hAnsi="Times New Roman"/>
          <w:color w:val="000000" w:themeColor="text1"/>
          <w:sz w:val="16"/>
          <w:szCs w:val="16"/>
        </w:rPr>
        <w:t>.</w:t>
      </w:r>
    </w:p>
    <w:p w14:paraId="222CD769" w14:textId="2BA2FDC6" w:rsidR="00BC4A5C" w:rsidRPr="00E93F40" w:rsidRDefault="00BC4A5C" w:rsidP="00E93F40">
      <w:pPr>
        <w:spacing w:after="0" w:line="240" w:lineRule="auto"/>
        <w:jc w:val="both"/>
        <w:rPr>
          <w:rFonts w:ascii="Times New Roman" w:hAnsi="Times New Roman"/>
          <w:color w:val="000000" w:themeColor="text1"/>
          <w:sz w:val="16"/>
          <w:szCs w:val="16"/>
        </w:rPr>
      </w:pPr>
    </w:p>
    <w:p w14:paraId="34E59EE9" w14:textId="77777777" w:rsidR="00F57C9C" w:rsidRPr="00142305" w:rsidRDefault="00F57C9C" w:rsidP="00F57C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июня 1932 года Нарком по военным и морским делам СССР К. Е. Ворошилов писал отдыхавшему в Сочи Сталину «Я сейчас буквально места не нахожу себе вследствие аварий в воздушном флоте, Не проходит дня, чтобы не полу</w:t>
      </w:r>
      <w:r w:rsidRPr="00142305">
        <w:rPr>
          <w:rFonts w:ascii="Times New Roman" w:hAnsi="Times New Roman"/>
          <w:color w:val="0070C0"/>
          <w:sz w:val="16"/>
          <w:szCs w:val="16"/>
        </w:rPr>
        <w:softHyphen/>
        <w:t>чились сведения об авариях и даже тягчайших катастрофах с человеческими жерт</w:t>
      </w:r>
      <w:r w:rsidRPr="00142305">
        <w:rPr>
          <w:rFonts w:ascii="Times New Roman" w:hAnsi="Times New Roman"/>
          <w:color w:val="0070C0"/>
          <w:sz w:val="16"/>
          <w:szCs w:val="16"/>
        </w:rPr>
        <w:softHyphen/>
        <w:t>вами то в одном, то в другом округе... 5 июня вблизи Владивостока гидроплан «Са</w:t>
      </w:r>
      <w:r w:rsidRPr="00142305">
        <w:rPr>
          <w:rFonts w:ascii="Times New Roman" w:hAnsi="Times New Roman"/>
          <w:color w:val="0070C0"/>
          <w:sz w:val="16"/>
          <w:szCs w:val="16"/>
        </w:rPr>
        <w:softHyphen/>
        <w:t>войя 62» с экипажем в 4 чел. по невыясненной причине упал с небольшой высоты в воду и утонул. Того же числа на Балтике такой же самолет и с экипажем 4 чел. вследствие неправильного полета (низко над водой) ударился об воду и разбился, весь экипаж погиб. 11 июня в Ленинграде в воздухе столкнулись два самолета ТБ- 1. Из 9 чел. только 1, выброшенный ударом из самолета, спасся на парашюте, 8 чел. погибли. В тот же день в Витебске (БВО) ночью столкнулись два самолета Р-5, по</w:t>
      </w:r>
      <w:r w:rsidRPr="00142305">
        <w:rPr>
          <w:rFonts w:ascii="Times New Roman" w:hAnsi="Times New Roman"/>
          <w:color w:val="0070C0"/>
          <w:sz w:val="16"/>
          <w:szCs w:val="16"/>
        </w:rPr>
        <w:softHyphen/>
        <w:t>гибли 4 чел. И, наконец, 20 июня близ Москвы ночью по еще невыясненной при</w:t>
      </w:r>
      <w:r w:rsidRPr="00142305">
        <w:rPr>
          <w:rFonts w:ascii="Times New Roman" w:hAnsi="Times New Roman"/>
          <w:color w:val="0070C0"/>
          <w:sz w:val="16"/>
          <w:szCs w:val="16"/>
        </w:rPr>
        <w:softHyphen/>
        <w:t>чине самолет ТБ-1 с экипажем в 7 чел. упал на землю, загорелся, и все 7 чел. по</w:t>
      </w:r>
      <w:r w:rsidRPr="00142305">
        <w:rPr>
          <w:rFonts w:ascii="Times New Roman" w:hAnsi="Times New Roman"/>
          <w:color w:val="0070C0"/>
          <w:sz w:val="16"/>
          <w:szCs w:val="16"/>
        </w:rPr>
        <w:softHyphen/>
        <w:t>гибли».</w:t>
      </w:r>
    </w:p>
    <w:p w14:paraId="680E17E6" w14:textId="77777777" w:rsidR="00F57C9C" w:rsidRPr="00142305" w:rsidRDefault="00F57C9C" w:rsidP="00F57C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 сознаю, - писал Ворошилов Сталину, - все безобразие с моей стороны - злоупотреблять возможностью писать тебе столь тяжкие вещи и во время отдыха, в котором ты так нуждаешься, но ты, надеюсь, поймешь мое состояние и извинишь меня. Мною назначена специальная комиссия, которая выезжала в Ленинград и Ви</w:t>
      </w:r>
      <w:r w:rsidRPr="00142305">
        <w:rPr>
          <w:rFonts w:ascii="Times New Roman" w:hAnsi="Times New Roman"/>
          <w:color w:val="0070C0"/>
          <w:sz w:val="16"/>
          <w:szCs w:val="16"/>
        </w:rPr>
        <w:softHyphen/>
        <w:t>тебск, а теперь выехала на место вчерашней катастрофы. Я уже заслушал доклад комиссии по первым двум катастрофам, созывал РВС».</w:t>
      </w:r>
    </w:p>
    <w:p w14:paraId="7FB7C8CA" w14:textId="77777777" w:rsidR="00F57C9C" w:rsidRPr="00142305" w:rsidRDefault="00F57C9C" w:rsidP="00F57C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«И теперь, как и два года тому назад, основной причиной аварий и катастроф является отсутствие строгой четкой дисциплины... Кадры летного и технического состава разрослись, укомплектовываются хотя и нашим, надежным политически со</w:t>
      </w:r>
      <w:r w:rsidRPr="00142305">
        <w:rPr>
          <w:rFonts w:ascii="Times New Roman" w:hAnsi="Times New Roman"/>
          <w:color w:val="0070C0"/>
          <w:sz w:val="16"/>
          <w:szCs w:val="16"/>
        </w:rPr>
        <w:softHyphen/>
        <w:t>ставом, но чрезвычайно молодым, малоопытным, что естественно, а главное, по- настоящему недисциплинированным... Малоавторитетность молодого начсостава, плохая работа политорганов и парторганизаций - вот основные источники, откуда проистекают наши несчастья... Думаю, выгнать несколько «заслуженных», но со</w:t>
      </w:r>
      <w:r w:rsidRPr="00142305">
        <w:rPr>
          <w:rFonts w:ascii="Times New Roman" w:hAnsi="Times New Roman"/>
          <w:color w:val="0070C0"/>
          <w:sz w:val="16"/>
          <w:szCs w:val="16"/>
        </w:rPr>
        <w:softHyphen/>
        <w:t>вершенно недисциплинированных воздушных начальников, которые сознательно и часто нарушают все приказы и уставы РККА. Хочу в приказе ударить по РВС окру</w:t>
      </w:r>
      <w:r w:rsidRPr="00142305">
        <w:rPr>
          <w:rFonts w:ascii="Times New Roman" w:hAnsi="Times New Roman"/>
          <w:color w:val="0070C0"/>
          <w:sz w:val="16"/>
          <w:szCs w:val="16"/>
        </w:rPr>
        <w:softHyphen/>
        <w:t>гов, которые такому делу, как воздушный флот, уделяют очень мало внимания. Кроме всего прочего, приказал подробно и тщательно проверить план технической и боевой подготовки Воздушных сил, с целью его рационализации и приспособле</w:t>
      </w:r>
      <w:r w:rsidRPr="00142305">
        <w:rPr>
          <w:rFonts w:ascii="Times New Roman" w:hAnsi="Times New Roman"/>
          <w:color w:val="0070C0"/>
          <w:sz w:val="16"/>
          <w:szCs w:val="16"/>
        </w:rPr>
        <w:softHyphen/>
        <w:t>ния к уровню нашего «народа» и целый длинный ряд других мер» (24968).</w:t>
      </w:r>
    </w:p>
    <w:p w14:paraId="489EDF59" w14:textId="77777777" w:rsidR="00F57C9C" w:rsidRPr="004B5160" w:rsidRDefault="00F57C9C" w:rsidP="00F57C9C">
      <w:pPr>
        <w:pStyle w:val="aff2"/>
        <w:tabs>
          <w:tab w:val="left" w:pos="594"/>
        </w:tabs>
        <w:spacing w:line="240" w:lineRule="auto"/>
        <w:rPr>
          <w:rFonts w:ascii="Times New Roman" w:hAnsi="Times New Roman" w:cs="Times New Roman"/>
          <w:i w:val="0"/>
          <w:iCs w:val="0"/>
          <w:color w:val="0070C0"/>
          <w:sz w:val="16"/>
          <w:szCs w:val="16"/>
          <w:lang w:val="ru-RU"/>
        </w:rPr>
      </w:pPr>
    </w:p>
    <w:p w14:paraId="26EE603C" w14:textId="00E06C3E" w:rsidR="00785BE0" w:rsidRPr="00E93F40" w:rsidRDefault="00785BE0"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Внешняя политика:</w:t>
      </w:r>
    </w:p>
    <w:p w14:paraId="5B6FB7C2" w14:textId="77777777" w:rsidR="00785BE0" w:rsidRPr="00E93F40" w:rsidRDefault="00785BE0" w:rsidP="00E93F40">
      <w:pPr>
        <w:spacing w:after="0" w:line="240" w:lineRule="auto"/>
        <w:jc w:val="both"/>
        <w:rPr>
          <w:rFonts w:ascii="Times New Roman" w:hAnsi="Times New Roman"/>
          <w:i/>
          <w:iCs/>
          <w:color w:val="000000" w:themeColor="text1"/>
          <w:sz w:val="16"/>
          <w:szCs w:val="16"/>
        </w:rPr>
      </w:pPr>
    </w:p>
    <w:p w14:paraId="766CBF95"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г.</w:t>
      </w:r>
    </w:p>
    <w:p w14:paraId="44FEA3DA"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Телеграмма И.В. Сталина Л.М. Кагановичу и В.М. Молотову о беседе с У. Ланкастером относительно условий получения кредитов в США</w:t>
      </w:r>
    </w:p>
    <w:p w14:paraId="77E0AB3F"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П3919</w:t>
      </w:r>
      <w:r w:rsidRPr="00E93F40">
        <w:rPr>
          <w:rFonts w:ascii="Times New Roman" w:hAnsi="Times New Roman"/>
          <w:color w:val="000000" w:themeColor="text1"/>
          <w:sz w:val="16"/>
          <w:szCs w:val="16"/>
        </w:rPr>
        <w:tab/>
        <w:t>21 июня 1932 г.</w:t>
      </w:r>
    </w:p>
    <w:p w14:paraId="011693EA"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Строго секретно</w:t>
      </w:r>
    </w:p>
    <w:p w14:paraId="5A352D95"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«Особой папки»</w:t>
      </w:r>
    </w:p>
    <w:p w14:paraId="45228219"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 ЦК ВКП(б) - тт. Кагановичу, Молотову</w:t>
      </w:r>
    </w:p>
    <w:p w14:paraId="57E5DDA2"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Беседу с Ланкастером читал. По-моему, мы должны стараться получаемый кредит, который Ланкастер считает кредитом для обслуживания наших заказов в Америке, превратить фактически в заем, максимально свободный от обязательств. В связи с этим надо заявить Ланкастеру, что при получении 50 миллионов долларов на 8 лет из 7 процентов годовых, плюс 5 процентов добавочных мы можем использовать для заказов в Америке максимум 5-7% суммы кредита. Это, конечно, не понравится ему. Но тогда надо заявить ему, что мы могли бы использовать на заказы в Америке 15-20% суммы кредита, если получим 100 миллионов долларов сроком на 10 лет и при обязательном снижении добавочного процента с пяти до трех. На этом надо стоять крепко и посмотреть, как будет реагировать Ланкастер.</w:t>
      </w:r>
    </w:p>
    <w:p w14:paraId="287486EA"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Теперь ясно, что главная забота Ланкастера - это размер заказов в Америке. По этому месту надо и бить его.</w:t>
      </w:r>
    </w:p>
    <w:p w14:paraId="19688A8A"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Сталин</w:t>
      </w:r>
    </w:p>
    <w:p w14:paraId="5A978734" w14:textId="77777777" w:rsidR="00785BE0" w:rsidRPr="00E93F40" w:rsidRDefault="00785B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 3. On. 66. Д. 290. Л. 108. Заверенная копия (20862).</w:t>
      </w:r>
    </w:p>
    <w:p w14:paraId="022AC324" w14:textId="77777777" w:rsidR="00785BE0" w:rsidRPr="00E93F40" w:rsidRDefault="00785BE0" w:rsidP="00E93F40">
      <w:pPr>
        <w:spacing w:after="0" w:line="240" w:lineRule="auto"/>
        <w:jc w:val="both"/>
        <w:rPr>
          <w:rFonts w:ascii="Times New Roman" w:hAnsi="Times New Roman"/>
          <w:color w:val="000000" w:themeColor="text1"/>
          <w:sz w:val="16"/>
          <w:szCs w:val="16"/>
        </w:rPr>
      </w:pPr>
    </w:p>
    <w:p w14:paraId="2D50ABD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ADC2E2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E30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1933 года РД-1 под управлением М.М.Громова впервые поднялся в воздух. Еще на начальном этапе проектирования самолета было решено, что испытывать его станет шеф-пилот ЦАГИ М.М.Громов. По высказыванию Михаила Михайловича, следить за созданием АНТ-25 он начал с момента появления его общего вида, выполненного Борисом Кондорским. В соответствии с рекомендациями Громова скомпоновали кабину экипажа, в передней части которой находился первый пилот, за ним в центре кабины оборудовали место штурмана. Кресло второго пилота с дублирующим управлением и полным комплектом пилотажных приборов разместили в кормовой части кабины. Для обеспечения взлета рекордного самолета с максимальным полетным весом на аэродроме НИИ ВВС в Щелково построили специальную наклонную взлетную полосу, которую в просторечии обычно называли "горкой". При общей длине 1800 м превышение начального участка над конечным участком разбега составляло 12 метров. Однако начали испытательные полеты новой машины на Центральном аэродроме Москвы. Последующие испытательные старты показали, что с решением организовать рекордный полет явно поторопились. РД-1 с двигателем М-34 без редуктора и деревянным винтом фиксированного шага для рекордных достижений определенно не годился (11941).</w:t>
      </w:r>
    </w:p>
    <w:p w14:paraId="0F27F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9023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года выписка из протокола № 16 КО</w:t>
      </w:r>
    </w:p>
    <w:p w14:paraId="56C0D5C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Авиация.</w:t>
      </w:r>
    </w:p>
    <w:p w14:paraId="3ED54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ТБ-3.</w:t>
      </w:r>
    </w:p>
    <w:p w14:paraId="16F2D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программы. Принять к сведению заявление Орджоникидзе и Баранова о том, что к 1 июля 1932 года будет сдано 25 ТБ-3, к 1 августа 1932 года – все недоданное по программе первого полугодия и целиком выполнена июльская программа.</w:t>
      </w:r>
    </w:p>
    <w:p w14:paraId="7DB0C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Истребители.</w:t>
      </w:r>
    </w:p>
    <w:p w14:paraId="013042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наличия отставания в выполнении программы по истребителям, особенно И-7, предложить Глававиапрому направить все силы на то, чтобы обеспечить выполнение программы в кратчайший срок.</w:t>
      </w:r>
    </w:p>
    <w:p w14:paraId="338418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 выполнении постановления КО от 7 декабря 1931 года о постройке 20 самолетов-перехватчиков.</w:t>
      </w:r>
    </w:p>
    <w:p w14:paraId="6DBA1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Подтвердить прежнее решение КО и предложить НКТП выполнить его в кратчайший срок.</w:t>
      </w:r>
    </w:p>
    <w:p w14:paraId="16218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 пушках системы Курчевского.</w:t>
      </w:r>
    </w:p>
    <w:p w14:paraId="1FFFE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Оставить в силе заказ на 350 пушек, предложив НКТП всемерно ускорить выполнение его. НКВМору произвести всесторонние войсковые испытания и о результатах доложить КО в трех месячный срок.</w:t>
      </w:r>
    </w:p>
    <w:p w14:paraId="36FA1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к сведению сообщение Ворошилова о том, что работы Курчевского взяты НКВМором под особое наблюдение для оказания ему содействия в работе.</w:t>
      </w:r>
    </w:p>
    <w:p w14:paraId="33E944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Опытное строительство по авиации.</w:t>
      </w:r>
    </w:p>
    <w:p w14:paraId="170638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заказов промышленности на 1933 год.</w:t>
      </w:r>
    </w:p>
    <w:p w14:paraId="64A214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дополнительном строительстве по авиации в 1932 году для обеспечения оргмероприятий первого периода 1933 года.</w:t>
      </w:r>
    </w:p>
    <w:p w14:paraId="38E75C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комиссии в составе Орджоникидзе, Ворошилова, Тухачевского, Павлуновского, Баранова, Алксниса рассмотреть предвартельно эти вопросы и предложения представить в КО.</w:t>
      </w:r>
    </w:p>
    <w:p w14:paraId="1EDA8C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1 июля 1932 года. Созыв за Орджоникидзе (7429, 79-80).</w:t>
      </w:r>
    </w:p>
    <w:p w14:paraId="414CBA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1E1CEB9" w14:textId="77777777" w:rsidR="00E13DFF" w:rsidRPr="00E93F40" w:rsidRDefault="00E13DFF" w:rsidP="00E93F40">
      <w:pPr>
        <w:spacing w:after="0" w:line="240" w:lineRule="auto"/>
        <w:jc w:val="both"/>
        <w:rPr>
          <w:rFonts w:ascii="Times New Roman" w:hAnsi="Times New Roman"/>
          <w:color w:val="000000" w:themeColor="text1"/>
          <w:sz w:val="16"/>
          <w:szCs w:val="16"/>
        </w:rPr>
      </w:pPr>
      <w:bookmarkStart w:id="37" w:name="_Hlk153196429"/>
      <w:r w:rsidRPr="00E93F40">
        <w:rPr>
          <w:rFonts w:ascii="Times New Roman" w:hAnsi="Times New Roman"/>
          <w:color w:val="000000" w:themeColor="text1"/>
          <w:sz w:val="16"/>
          <w:szCs w:val="16"/>
        </w:rPr>
        <w:t>22 июня 1932 г. на совещании КО (протокол №16) отмечено: «Ввиду наличия отставания в выполнении программы по истребителям, особенно И-7, предложить Глававиапрому направить все силы на то, чтобы обеспечить выполнение программы в кратчайший срок» (24331).</w:t>
      </w:r>
    </w:p>
    <w:p w14:paraId="1EC43739" w14:textId="77777777" w:rsidR="00E13DFF" w:rsidRPr="00E93F40" w:rsidRDefault="00E13DFF" w:rsidP="00E93F40">
      <w:pPr>
        <w:spacing w:after="0" w:line="240" w:lineRule="auto"/>
        <w:jc w:val="both"/>
        <w:rPr>
          <w:rFonts w:ascii="Times New Roman" w:hAnsi="Times New Roman"/>
          <w:color w:val="000000" w:themeColor="text1"/>
          <w:sz w:val="16"/>
          <w:szCs w:val="16"/>
        </w:rPr>
      </w:pPr>
    </w:p>
    <w:bookmarkEnd w:id="37"/>
    <w:p w14:paraId="3799D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вышел приказ N 16/333 по ГУАП о создании смешанной комиссии под председательством зам. директора завода 22 Чернышева для определения состояния самолета ТБ5-Юпитер 6. Включили Д.П.Г. и А.Рафаэлянца. Хотели сделать за 5 дней (1026,155).</w:t>
      </w:r>
    </w:p>
    <w:p w14:paraId="23EFD7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238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года была подготовлена выписка из протокола № 16 КО</w:t>
      </w:r>
    </w:p>
    <w:p w14:paraId="4523737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Авиация.</w:t>
      </w:r>
    </w:p>
    <w:p w14:paraId="7C112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Опытное строительство по авиации.</w:t>
      </w:r>
    </w:p>
    <w:p w14:paraId="38BF6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заказов промышленности на 1933 год.</w:t>
      </w:r>
    </w:p>
    <w:p w14:paraId="22FB2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дополнительном строительстве по авиации в 1932 году для обеспечения оргмероприятий первого периода 1933 года.</w:t>
      </w:r>
    </w:p>
    <w:p w14:paraId="187AB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Комиссии в составе Орджоникиджзе, Ворошилова, Тухачевского, Павлуновского, Баранова, Алксниса рассмотреть предварительно эти вопросы и предложения представить в КО.</w:t>
      </w:r>
    </w:p>
    <w:p w14:paraId="37D3D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1 июля. Созыв за Орджоникидзе (3530,5).</w:t>
      </w:r>
    </w:p>
    <w:p w14:paraId="540CCD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343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года постановление РВС</w:t>
      </w:r>
    </w:p>
    <w:p w14:paraId="103AB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работах инженера Ниренберга"</w:t>
      </w:r>
    </w:p>
    <w:p w14:paraId="37B3A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Отмечая большие достижения инженера Ниренберга в конструировании прибора трех стабилизаций для ТБ-1 РВС постановляет:</w:t>
      </w:r>
    </w:p>
    <w:p w14:paraId="026F31F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Реорганизовать группу инженера Ниренберга, работающую на заводе МЕТРОН в конструкторсоке бюро при начальнике вооружений РККА, поставив перед ним следующие очередные задачи:</w:t>
      </w:r>
    </w:p>
    <w:p w14:paraId="7EDCB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доработать в двухдекадный срок прибор трех стабилизаций и дать рабочие чертежи для серийного производства;</w:t>
      </w:r>
    </w:p>
    <w:p w14:paraId="746B5E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совместно с Управлением связи РККА и Остехбюро дооборудовать прибор трех стабилизаций телемеханическим управлением, с окончанием испытаний комплексного прибора не позднее 1 сентября 1932 года;</w:t>
      </w:r>
    </w:p>
    <w:p w14:paraId="5627D8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сконструировать прибор для автоматического взлета и посадки и</w:t>
      </w:r>
    </w:p>
    <w:p w14:paraId="519E9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сконструировать прибор для радиоуправления самолетов.</w:t>
      </w:r>
    </w:p>
    <w:p w14:paraId="4CA3EA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испытаний перечисленных в п.п. "в" и "г" конструкций для ТБ-1 с целью ввода их на вооружение – не позднее сентября 1932 года.</w:t>
      </w:r>
    </w:p>
    <w:p w14:paraId="4757E6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Последующей задачей бюро инженера Ниренберга – считать конструирование приборов трех стабилизаций с автоматическим взлетом и посадкой и радиоуправлением для ТБ-3, И-4 и Р-5.</w:t>
      </w:r>
    </w:p>
    <w:p w14:paraId="123DD84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вооружений РККА укомплектовать бюро инженера Ниренберга квалифицированными инженерно-техническими и конструкторским составом в числе 15 человек и выделить для бюро необходимое станочное оборудование. (Срок – две декады).</w:t>
      </w:r>
    </w:p>
    <w:p w14:paraId="69A00B0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УВВС выделить для размещения бюро и практических работ на аэродроме при НИИ УВВС достаточное помещение (не менее четырех комнат) и обеспечить работы самолетами. (Срок – 1 декада).</w:t>
      </w:r>
    </w:p>
    <w:p w14:paraId="3BD37AC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УММ РККА предоставить для обслуживания инженера Ниренберга легковую машину.</w:t>
      </w:r>
    </w:p>
    <w:p w14:paraId="3B194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Управления делами НКВМ обеспечить инженера Ниренберга в Москве квартирой в обмен на Ленинградскую квартиру.</w:t>
      </w:r>
    </w:p>
    <w:p w14:paraId="5444666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заслуги инженера Ниренберга в деле укрепления боевой мощи Красной Армии, выдать ему денежную премию в размере 25 тысяч рублей и возбудить перед Правительством ходатайство о награждении его орденом "Красной Звезды".</w:t>
      </w:r>
    </w:p>
    <w:p w14:paraId="5F1975F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вооружений РККА при обследовании деятельности НТК, институтов и изобретательской работы, особо внимательно расследовать причины задержки в работах инженера Ниренберга и доложить о них РВСС одновременно с результатами всего обследования (7431, 71).</w:t>
      </w:r>
    </w:p>
    <w:p w14:paraId="6ECFDB9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72960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года постановление РВС</w:t>
      </w:r>
    </w:p>
    <w:p w14:paraId="4975F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работах инженера Шпитального"</w:t>
      </w:r>
    </w:p>
    <w:p w14:paraId="4CFBE6B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Отмечая успешное окончание разработки и постройки 7,62 мм сверхскорострельного авиапулемета инженера Шпитального, дающего при безотказной стрельбе до 2000 выстрелов в минуту.</w:t>
      </w:r>
    </w:p>
    <w:p w14:paraId="76CFC6A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начальнику ГАУ РККА:</w:t>
      </w:r>
    </w:p>
    <w:p w14:paraId="1C043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закончить все испытания пулемета в месячный срок и к 15 июля 1932 года представить его на вооружение;</w:t>
      </w:r>
    </w:p>
    <w:p w14:paraId="69AD7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немедленно выдать заказ промышленности на 100 пулеметов системы Шпитального с изготовлением их в 1932 году;</w:t>
      </w:r>
    </w:p>
    <w:p w14:paraId="3FBAA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 месячный срок совместно сначальником ВВС проработать вопрос о плане внедрения пулеметов Шпитального на боевые самолеты и предложения ввести на утверждение РВСС.</w:t>
      </w:r>
    </w:p>
    <w:p w14:paraId="75BD5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основе этой проработки к 1 августа 1932 года определить заказ по этим пулеметам на 1933 год.</w:t>
      </w:r>
    </w:p>
    <w:p w14:paraId="7C57F45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следующую программу дальнейших работ инженера Шпитального:</w:t>
      </w:r>
    </w:p>
    <w:p w14:paraId="5545D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доработка 12,7 мм авиапулемета с темпом стрельбы до 700 выстрелов в минуту;</w:t>
      </w:r>
    </w:p>
    <w:p w14:paraId="73736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разработка и построение опытного образца 37 мм автоматической самолетной пушки с темпом стрельбы (в зависимости от длины патрона) от 100 до 1000 выстрелов в минуту;</w:t>
      </w:r>
    </w:p>
    <w:p w14:paraId="2D575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разработка и построение опытного образца 45 мм автоматической противотанковой и зенитной пушки с темпом стрельбы, зависящим от длины патрона;</w:t>
      </w:r>
    </w:p>
    <w:p w14:paraId="0B2634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разработка и построение опытного образца 7,62 мм авиапулемета с темпом стрельбы до 6000 выстрелов в минуту;</w:t>
      </w:r>
    </w:p>
    <w:p w14:paraId="53AEA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ряд других работ по пушечным и пулеметным установкам на самолеты.</w:t>
      </w:r>
    </w:p>
    <w:p w14:paraId="6F13E86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Придавая исключительное значение конструкциям Шпитального, развертывание работ по ним произвести в возможно кратчайшие сроки.</w:t>
      </w:r>
    </w:p>
    <w:p w14:paraId="69C76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этого:</w:t>
      </w:r>
    </w:p>
    <w:p w14:paraId="226B0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Конструкторское бюро инженера Шпитального подчинить непосредственно наачльнику ГАУ Ефимову;</w:t>
      </w:r>
    </w:p>
    <w:p w14:paraId="7E8D9D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обеспечить необходимые материально-бытовые условия для работников конструкторского бюро инженера Шпитального (ответственность за начальником ГАУ и начальником Управления делами);</w:t>
      </w:r>
    </w:p>
    <w:p w14:paraId="19D1C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немедленно (в течение двух декад) оборудовать мастерскую инженера Шпитального необходимым станками и оборудованием (ответственность за начальником ГАУ).</w:t>
      </w:r>
    </w:p>
    <w:p w14:paraId="2068EB9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Внести это постановление на утверждение КО и просить о награждении инженера Шпитального орденом Ленина, а его ближайшего сотрудника техника Комарницкого – орденом "Красной Звезды" (7431, 72).</w:t>
      </w:r>
    </w:p>
    <w:p w14:paraId="7422456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1CDB3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г. Реввоенсовет СССР принял специальное поста</w:t>
      </w:r>
      <w:r w:rsidRPr="00E93F40">
        <w:rPr>
          <w:rFonts w:ascii="Times New Roman" w:hAnsi="Times New Roman"/>
          <w:color w:val="000000" w:themeColor="text1"/>
          <w:sz w:val="16"/>
          <w:szCs w:val="16"/>
        </w:rPr>
        <w:softHyphen/>
        <w:t>новление «О работах инженера Шпитального». В постановлении говорилось: «1. Отметить успешное окончание разработки и по</w:t>
      </w:r>
      <w:r w:rsidRPr="00E93F40">
        <w:rPr>
          <w:rFonts w:ascii="Times New Roman" w:hAnsi="Times New Roman"/>
          <w:color w:val="000000" w:themeColor="text1"/>
          <w:sz w:val="16"/>
          <w:szCs w:val="16"/>
        </w:rPr>
        <w:softHyphen/>
        <w:t>стройки 7,62-мм сверхскорострельного авиапулемета инж. Шпи</w:t>
      </w:r>
      <w:r w:rsidRPr="00E93F40">
        <w:rPr>
          <w:rFonts w:ascii="Times New Roman" w:hAnsi="Times New Roman"/>
          <w:color w:val="000000" w:themeColor="text1"/>
          <w:sz w:val="16"/>
          <w:szCs w:val="16"/>
        </w:rPr>
        <w:softHyphen/>
        <w:t>тального, дающего при безотказной стрельбе до 2000 выстрелов в минуту. 2. Предложить начальнику ГАУ РККА: а) закончить все испытания пулемета в месячный срок и к 15 июля представить его на вооружение; б) немедленно выдать заказ промышленности на 100 пулеметов системы Шпитального с изготовлением их в 1932 г.; в) в месячный срок совместно с начальником ВВС РККА проработать вопрос о плане внедрения пулеметов Шпитального на боевые самолеты и предложения внести на утверждение РВСС» (10695).</w:t>
      </w:r>
    </w:p>
    <w:p w14:paraId="2B634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B76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г. Реввоенсовет СССР принял специальное постановление «О работах инженера Шпитального». В постановлении говорилось:</w:t>
      </w:r>
    </w:p>
    <w:p w14:paraId="66842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Отметить успешное окончание разработки и постройки 7,62-мм сверх-скорострельного авиапулемета инж. Шпитального, дающего при безотказной стрельбе до 2000 выстрелов в минуту.</w:t>
      </w:r>
    </w:p>
    <w:p w14:paraId="773F4F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Предложить начальнику ГАУ РККА:</w:t>
      </w:r>
    </w:p>
    <w:p w14:paraId="52CC5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закончить все испытания пулемета в месячный срок и к 15/VII представить его на вооружение;</w:t>
      </w:r>
    </w:p>
    <w:p w14:paraId="033273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немедленно выдать заказ промышленности на 100 пулеметов системы Шпитального с изготовлением их в 1932 г.;</w:t>
      </w:r>
    </w:p>
    <w:p w14:paraId="41790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 месячный срок совместно с начальником ВВС РККА проработать вопрос о плане внед-рения пулеметов Шпитального на боевые самолеты и пред-ложения внести на утверждение РВСС.</w:t>
      </w:r>
    </w:p>
    <w:p w14:paraId="5BBAB6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Придавая исключительное значение конструкции инж. Шдитального, разdертывание работ по ним произвести в возможно кратчай-шие сроки» (ВИМАИВС, СО, д. 675, л. 76. ) (11316).</w:t>
      </w:r>
    </w:p>
    <w:p w14:paraId="24FAC8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F21D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года постановление РВС</w:t>
      </w:r>
    </w:p>
    <w:p w14:paraId="3A5C9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работах инженера Курчевского"</w:t>
      </w:r>
    </w:p>
    <w:p w14:paraId="0D929433"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происшедший в течение последних месяцев значительный сдвиг в развертывании работ по орудиям Курчевского (создание конструкторской и производственной базы) – работы эти еще не могут считаться правильно организованными.</w:t>
      </w:r>
    </w:p>
    <w:p w14:paraId="4B4C2DB0"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Горомадным пробелом в развертывании работ по системам Курчевского продолжает оставаться отсутствие разработанной научно-теоретической базы, основанной и проверенной на научно поставленных опытах. Вследствие этого проектирование и расчет систем ведутся кустарно, что и приводит к недопустимому (на целые годы) затягиванию их окончательной доработки.</w:t>
      </w:r>
    </w:p>
    <w:p w14:paraId="44818584"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Вторым и крупнейшим недостатком в работах Курчевского является отсутствие систематического и твердого руководства, вследствие чего нет твердой очереди по важности в производимых работах, нет наблюдения за сроками, нет никакого продуманного плана, нет правильного распределения работ в самом бюро, что послужило причиной ряда ненормальных взаимоотношений внутри бюро.</w:t>
      </w:r>
    </w:p>
    <w:p w14:paraId="37EBE4DB"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Придавая большое значение системам Курчевского, в первую очередь, как орудиям пехоты и авиации, РВСС приказывает:</w:t>
      </w:r>
    </w:p>
    <w:p w14:paraId="6FB77F7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ГАУ Ефимову взять под свое личное руководство конструкторское бюро Курчевского;</w:t>
      </w:r>
    </w:p>
    <w:p w14:paraId="6DA21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Возложить на Ефимова обязанность планирования конструкторских и научно-опытных работ по системам Курчевского.</w:t>
      </w:r>
    </w:p>
    <w:p w14:paraId="7F564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Ефимову немедленно разработать план научно-опытных и теоретических работ по системам ДРП и привлечь к их скорейшей проработке научные силы НТУ ГАУ, Артиллерийской академии и Артиллерийского института. Основные теоретические вопросы, связанные с системами Курчевского, должны получить разрешение в текущем году.</w:t>
      </w:r>
    </w:p>
    <w:p w14:paraId="2CAB98B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Организовать немедленно при бюро Курчевского специальный баллистический сектор. Организовать для него же специальный полигон и оборудовать его баллистическими приборами.</w:t>
      </w:r>
    </w:p>
    <w:p w14:paraId="4E0F7C2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наиболее быстрого проведения опытных работ и полигонных и войсковых испытаний, а также для расширения научно-теоретической базы развернуть в НТУ ГАУ специальный отдел по новым средствам вооружения и, в первую очередь по системам Курчевского. Отдел подчинить непосредственно начальнику НТУ Железнякову и возложить на него персонально ответственность за эти работы.</w:t>
      </w:r>
    </w:p>
    <w:p w14:paraId="431BAB4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ВВС немедленно организовать в ЦАГИ и ВВА специальные сектора по использованию на самолетах орудий Курчевского.</w:t>
      </w:r>
    </w:p>
    <w:p w14:paraId="1787AAD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Всемерно форсировать доработку и испытание уже изготовленных образцов Курчевского и под персональную ответственность Ефимова закончить таковые в течение июня-июля 1932 года и представить к вводу на вооружение:</w:t>
      </w:r>
    </w:p>
    <w:p w14:paraId="4AB13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 мм авиационную пушку на самолете " " (АПК-4).</w:t>
      </w:r>
    </w:p>
    <w:p w14:paraId="0ADEB3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 мм авиационную пушку на самолете "И-4" (АПК-3).</w:t>
      </w:r>
    </w:p>
    <w:p w14:paraId="1CA495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 мм противотанковое оружие</w:t>
      </w:r>
    </w:p>
    <w:p w14:paraId="711909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 мм батальонную БПК</w:t>
      </w:r>
    </w:p>
    <w:p w14:paraId="68905F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 тому сроку закончить баллистические испытания 305 мм мортиры.</w:t>
      </w:r>
    </w:p>
    <w:p w14:paraId="05B0A10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Ввести в систему вооружения стрелковых частей РККА 37 мм противотанковое ружье ДРП системы Курчевского.</w:t>
      </w:r>
    </w:p>
    <w:p w14:paraId="641ECD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Добиться в нынешнем году изготовления промышленностью не менее 325 ружей с начальной скоростью 530 м в секунду при снаряде весом 0,5 кг.</w:t>
      </w:r>
    </w:p>
    <w:p w14:paraId="0CBAE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ГАУ в месячный срок закончить окончательную разработку ружья усиленной мощности с начальной скоростью 550 м/сек. при снаряде весом 0,6 кг и представить ко вводу на вооружение.</w:t>
      </w:r>
    </w:p>
    <w:p w14:paraId="78613A1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представлением этих систем на вооружение ГАУ представить все соображения по производственной базе и, в первую очередь по порохам для зарядов Курчевского.</w:t>
      </w:r>
    </w:p>
    <w:p w14:paraId="44FF0B6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того, что в течение длительного времени 76 мм пушки АПК не могут быть использованы на самолете И-12 вследствие конструктивной негтовности самолета к полетам, Алкснису лично в пятидневный срок дать окончательное заключение о возможности испытания пушки АПК-4 на этом самолете.</w:t>
      </w:r>
    </w:p>
    <w:p w14:paraId="07664AE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 опытных работ бюро Курчевского ГАУ и УВВС дополнительно вставить: приспособление авиапушек Курчевского к основным самолетам ВВС – ТБ1, ТБ3 и Р6.</w:t>
      </w:r>
    </w:p>
    <w:p w14:paraId="7A549F3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Курчевскому в текущем году закончить постройку и испытание 76 мм самолетной пушки с начальной скоростью 600-900 м/сек.</w:t>
      </w:r>
    </w:p>
    <w:p w14:paraId="1B6CE14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принятия окончательного решения по ротной мортире, Ефимову немедленно выдать ВОАО заказ на изготовление в 2-3 месячный срок партию 76 мм мортир ЛМК в количестве не менее 20 штук. Просить Будняка обеспечить своевременное изготовление этих мортир.</w:t>
      </w:r>
    </w:p>
    <w:p w14:paraId="3B0AB0E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Просить Орджоникидзе приказать немедленно реализовать имеющееся решение о передаче СНОРЗу станков для организации специальной мастерской по изготовлению снарядов к системам Курчевского.</w:t>
      </w:r>
    </w:p>
    <w:p w14:paraId="2431D83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ГАУ разработать мероприятия, обеспечивающие секретность работ по системам Курчевского как при испытаниях, так и в войсках.</w:t>
      </w:r>
    </w:p>
    <w:p w14:paraId="2740ED0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Тухачевскому переговорить с Рудзутаком об отмене постановления НК РКИ ЦКК от 17 июня 1932 года (№-36-14), о передаче Курчевского с конструкторским бюро из ведения НКВМ в подчинение ВОАО.</w:t>
      </w:r>
    </w:p>
    <w:p w14:paraId="00D21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отказе поставить вопрос в КО (7431, 73).</w:t>
      </w:r>
    </w:p>
    <w:p w14:paraId="178C1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AF3C10" w14:textId="77777777" w:rsidR="004B5160" w:rsidRPr="004B5160" w:rsidRDefault="004B5160" w:rsidP="004B5160">
      <w:pPr>
        <w:pStyle w:val="aff2"/>
        <w:tabs>
          <w:tab w:val="left" w:pos="594"/>
        </w:tabs>
        <w:spacing w:line="240" w:lineRule="auto"/>
        <w:rPr>
          <w:rFonts w:ascii="Times New Roman" w:hAnsi="Times New Roman" w:cs="Times New Roman"/>
          <w:i w:val="0"/>
          <w:iCs w:val="0"/>
          <w:color w:val="0070C0"/>
          <w:sz w:val="16"/>
          <w:szCs w:val="16"/>
          <w:lang w:val="ru-RU"/>
        </w:rPr>
      </w:pPr>
      <w:r w:rsidRPr="004B5160">
        <w:rPr>
          <w:rFonts w:ascii="Times New Roman" w:hAnsi="Times New Roman" w:cs="Times New Roman"/>
          <w:i w:val="0"/>
          <w:iCs w:val="0"/>
          <w:color w:val="0070C0"/>
          <w:sz w:val="16"/>
          <w:szCs w:val="16"/>
          <w:lang w:val="ru-RU"/>
        </w:rPr>
        <w:t>22 июня 1932 г. появилось постановление Реввоенсовета СССР «О работе инженера Шпитального», в котором начальнику АУ РККА предлагалось:</w:t>
      </w:r>
    </w:p>
    <w:p w14:paraId="0CA038C3" w14:textId="77777777" w:rsidR="004B5160" w:rsidRPr="004B5160" w:rsidRDefault="004B5160" w:rsidP="004B5160">
      <w:pPr>
        <w:pStyle w:val="aff2"/>
        <w:tabs>
          <w:tab w:val="left" w:pos="594"/>
        </w:tabs>
        <w:spacing w:line="240" w:lineRule="auto"/>
        <w:rPr>
          <w:rFonts w:ascii="Times New Roman" w:hAnsi="Times New Roman" w:cs="Times New Roman"/>
          <w:i w:val="0"/>
          <w:iCs w:val="0"/>
          <w:color w:val="0070C0"/>
          <w:sz w:val="16"/>
          <w:szCs w:val="16"/>
          <w:lang w:val="ru-RU"/>
        </w:rPr>
      </w:pPr>
      <w:r w:rsidRPr="004B5160">
        <w:rPr>
          <w:rFonts w:ascii="Times New Roman" w:hAnsi="Times New Roman" w:cs="Times New Roman"/>
          <w:i w:val="0"/>
          <w:iCs w:val="0"/>
          <w:color w:val="0070C0"/>
          <w:sz w:val="16"/>
          <w:szCs w:val="16"/>
          <w:lang w:val="ru-RU"/>
        </w:rPr>
        <w:t>«…а) закончить все испытания пулемета в месячный срок и к 15/</w:t>
      </w:r>
      <w:r w:rsidRPr="00142305">
        <w:rPr>
          <w:rFonts w:ascii="Times New Roman" w:hAnsi="Times New Roman" w:cs="Times New Roman"/>
          <w:i w:val="0"/>
          <w:iCs w:val="0"/>
          <w:color w:val="0070C0"/>
          <w:sz w:val="16"/>
          <w:szCs w:val="16"/>
        </w:rPr>
        <w:t>VII</w:t>
      </w:r>
      <w:r w:rsidRPr="004B5160">
        <w:rPr>
          <w:rFonts w:ascii="Times New Roman" w:hAnsi="Times New Roman" w:cs="Times New Roman"/>
          <w:i w:val="0"/>
          <w:iCs w:val="0"/>
          <w:color w:val="0070C0"/>
          <w:sz w:val="16"/>
          <w:szCs w:val="16"/>
          <w:lang w:val="ru-RU"/>
        </w:rPr>
        <w:t xml:space="preserve"> представить его на вооружение;</w:t>
      </w:r>
    </w:p>
    <w:p w14:paraId="79AE498F" w14:textId="77777777" w:rsidR="004B5160" w:rsidRPr="004B5160" w:rsidRDefault="004B5160" w:rsidP="004B5160">
      <w:pPr>
        <w:pStyle w:val="aff2"/>
        <w:tabs>
          <w:tab w:val="left" w:pos="594"/>
        </w:tabs>
        <w:spacing w:line="240" w:lineRule="auto"/>
        <w:rPr>
          <w:rFonts w:ascii="Times New Roman" w:hAnsi="Times New Roman" w:cs="Times New Roman"/>
          <w:i w:val="0"/>
          <w:iCs w:val="0"/>
          <w:color w:val="0070C0"/>
          <w:sz w:val="16"/>
          <w:szCs w:val="16"/>
          <w:lang w:val="ru-RU"/>
        </w:rPr>
      </w:pPr>
      <w:r w:rsidRPr="004B5160">
        <w:rPr>
          <w:rFonts w:ascii="Times New Roman" w:hAnsi="Times New Roman" w:cs="Times New Roman"/>
          <w:i w:val="0"/>
          <w:iCs w:val="0"/>
          <w:color w:val="0070C0"/>
          <w:sz w:val="16"/>
          <w:szCs w:val="16"/>
          <w:lang w:val="ru-RU"/>
        </w:rPr>
        <w:t>б) немедленно выдать заказ промышленности на 100 пулеметов системы Шпитального с изготовлением их в 1932 г.;</w:t>
      </w:r>
    </w:p>
    <w:p w14:paraId="2E48E00C" w14:textId="77777777" w:rsidR="004B5160" w:rsidRPr="004B5160" w:rsidRDefault="004B5160" w:rsidP="004B5160">
      <w:pPr>
        <w:pStyle w:val="aff2"/>
        <w:tabs>
          <w:tab w:val="left" w:pos="594"/>
        </w:tabs>
        <w:spacing w:line="240" w:lineRule="auto"/>
        <w:rPr>
          <w:rFonts w:ascii="Times New Roman" w:hAnsi="Times New Roman" w:cs="Times New Roman"/>
          <w:i w:val="0"/>
          <w:iCs w:val="0"/>
          <w:color w:val="0070C0"/>
          <w:sz w:val="16"/>
          <w:szCs w:val="16"/>
          <w:lang w:val="ru-RU"/>
        </w:rPr>
      </w:pPr>
      <w:r w:rsidRPr="004B5160">
        <w:rPr>
          <w:rFonts w:ascii="Times New Roman" w:hAnsi="Times New Roman" w:cs="Times New Roman"/>
          <w:i w:val="0"/>
          <w:iCs w:val="0"/>
          <w:color w:val="0070C0"/>
          <w:sz w:val="16"/>
          <w:szCs w:val="16"/>
          <w:lang w:val="ru-RU"/>
        </w:rPr>
        <w:t>в) в месячный срок совместно с начальником ВВС РККА проработать вопрос о плане внедрения пулеметов Шпитального на боевые самолеты и внести на утверждение РВСС» (25380).</w:t>
      </w:r>
    </w:p>
    <w:p w14:paraId="3CC7F1D2" w14:textId="77777777" w:rsidR="004B5160" w:rsidRPr="004B5160" w:rsidRDefault="004B5160" w:rsidP="004B5160">
      <w:pPr>
        <w:pStyle w:val="aff2"/>
        <w:tabs>
          <w:tab w:val="left" w:pos="594"/>
        </w:tabs>
        <w:spacing w:line="240" w:lineRule="auto"/>
        <w:rPr>
          <w:rFonts w:ascii="Times New Roman" w:hAnsi="Times New Roman" w:cs="Times New Roman"/>
          <w:i w:val="0"/>
          <w:iCs w:val="0"/>
          <w:color w:val="0070C0"/>
          <w:sz w:val="16"/>
          <w:szCs w:val="16"/>
          <w:lang w:val="ru-RU"/>
        </w:rPr>
      </w:pPr>
    </w:p>
    <w:p w14:paraId="73B7D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была дана экспертная оценка Техсоветом ГИРД работ ЛенГИРД по разработке образцов РТ (ААН, р. 4, оп. 14, № 230, л. 14) (10676).</w:t>
      </w:r>
    </w:p>
    <w:p w14:paraId="6EBDD1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21AE4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E2841F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78A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22 июня по 31 июля 1932 года из мортир 203-мм мортиры "Ж" завода "Красный Путиловец", которая по устранении неисправностей мортира вновь была направлена на НИАП, было сделано 153 выстрела. Предполагалось получить начальную скорость 310 м/с для снаряда весом 81,1 кг и заряда весом 32,5 кг. По данным испытаний на НИАПе в июне-июле 1932 года комиссия не сделала никаких выводов (о принятии мортиры) (3861).</w:t>
      </w:r>
    </w:p>
    <w:p w14:paraId="15173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A60751" w14:textId="77777777" w:rsidR="00717422" w:rsidRPr="00E93F40" w:rsidRDefault="0071742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22 июня по 31 июля 1932 г. из 203-мм мортиры Красного Путиловца сделали еще 153 выстрела. Стрельба велась снарядами весом 81 кг при полном заряде, начальная скорость составляла 260 м/с, а дальность — около 5 км.</w:t>
      </w:r>
    </w:p>
    <w:p w14:paraId="3D73917B" w14:textId="77777777" w:rsidR="00717422" w:rsidRPr="00E93F40" w:rsidRDefault="0071742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15A0FA79" w14:textId="77777777" w:rsidR="00717422" w:rsidRPr="00E93F40" w:rsidRDefault="00717422" w:rsidP="00E93F40">
      <w:pPr>
        <w:spacing w:after="0" w:line="240" w:lineRule="auto"/>
        <w:jc w:val="both"/>
        <w:rPr>
          <w:rFonts w:ascii="Times New Roman" w:hAnsi="Times New Roman"/>
          <w:color w:val="000000" w:themeColor="text1"/>
          <w:sz w:val="16"/>
          <w:szCs w:val="16"/>
        </w:rPr>
      </w:pPr>
    </w:p>
    <w:p w14:paraId="185A42C9" w14:textId="461457E2" w:rsidR="004B5160" w:rsidRPr="00142305" w:rsidRDefault="004B5160" w:rsidP="004B516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22 июня по 31 июля 1932 г. из 203-мм корпусной мортиры «Ж», разработанной КБ завода «Красный путиловец»</w:t>
      </w:r>
      <w:r w:rsidR="00DD74E1">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rPr>
        <w:t>сделали еще 153 выстрела. Стрельба велась снарядами весом 81 кг при полном заряде, начальная скорость составляла 260 м/с, а дальность — около 5 км.</w:t>
      </w:r>
    </w:p>
    <w:p w14:paraId="59C0CC1F" w14:textId="77777777" w:rsidR="004B5160" w:rsidRPr="00142305" w:rsidRDefault="004B5160" w:rsidP="004B516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 д. (25283).</w:t>
      </w:r>
    </w:p>
    <w:p w14:paraId="54639674" w14:textId="77777777" w:rsidR="004B5160" w:rsidRPr="00142305" w:rsidRDefault="004B5160" w:rsidP="004B5160">
      <w:pPr>
        <w:spacing w:after="0" w:line="240" w:lineRule="auto"/>
        <w:jc w:val="both"/>
        <w:rPr>
          <w:rFonts w:ascii="Times New Roman" w:hAnsi="Times New Roman"/>
          <w:color w:val="0070C0"/>
          <w:sz w:val="16"/>
          <w:szCs w:val="16"/>
        </w:rPr>
      </w:pPr>
    </w:p>
    <w:p w14:paraId="5BB59E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года постановление РВС</w:t>
      </w:r>
    </w:p>
    <w:p w14:paraId="619A8D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работах инженера Ниренберга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"YANDEX_1"</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w:t>
      </w:r>
    </w:p>
    <w:p w14:paraId="014164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Последующей задачей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"YANDEX_0"</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бюро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"YANDEX_2"</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инженера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"YANDEX_1"</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Ниренберга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"YANDEX_3"</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считать конструирование приборов трех стабилизаций с автоматическим взлетом и посадкой и радиоуправлением для ТБ-3, И-4 и Р-5.</w:t>
      </w:r>
    </w:p>
    <w:p w14:paraId="44BD3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2.Начальнику вооружений РККА укомплектовать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"YANDEX_2"</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бюро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"YANDEX_4"</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инженера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"YANDEX_3"</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Ниренберга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"YANDEX_5"</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квалифицированными инженерно-техническими и конструкторским составом в числе 15 человек и выделить для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"YANDEX_4"</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бюро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"YANDEX_6"</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необходимое станочное оборудование. (Срок – две декады).</w:t>
      </w:r>
    </w:p>
    <w:p w14:paraId="291EE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3.Начальнику УВВС выделить для размещения бюро и практических работ на аэродроме при НИИ УВВС достаточное помещение (не менее четырех комнат) и обеспечить работы самолетами. (Срок – 1 декада).</w:t>
      </w:r>
    </w:p>
    <w:p w14:paraId="21FF77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4.Начальнику УММ РККА предоставить для обслуживания инженера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"YANDEX_5"</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Ниренберга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"YANDEX_7"</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легковую машину.</w:t>
      </w:r>
    </w:p>
    <w:p w14:paraId="60AB0C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Начальнику Управления делами НКВМ обеспечить инженера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"YANDEX_6"</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 xml:space="preserve">Ниренберга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"YANDEX_8"</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в Москве квартирой в обмен на Ленинградскую квартиру.</w:t>
      </w:r>
    </w:p>
    <w:p w14:paraId="1D0CC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5.учитывая заслуги инженера </w:t>
      </w:r>
      <w:r w:rsidR="00BE0373" w:rsidRPr="00E93F40">
        <w:rPr>
          <w:rFonts w:ascii="Times New Roman" w:hAnsi="Times New Roman"/>
          <w:color w:val="000000" w:themeColor="text1"/>
          <w:sz w:val="16"/>
          <w:szCs w:val="16"/>
        </w:rPr>
        <w:fldChar w:fldCharType="begin"/>
      </w:r>
      <w:r w:rsidRPr="00E93F40">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"YANDEX_7"</w:instrText>
      </w:r>
      <w:r w:rsidR="00966116" w:rsidRPr="00E93F40">
        <w:rPr>
          <w:rFonts w:ascii="Times New Roman" w:hAnsi="Times New Roman"/>
          <w:color w:val="000000" w:themeColor="text1"/>
          <w:sz w:val="16"/>
          <w:szCs w:val="16"/>
        </w:rPr>
        <w:instrText xml:space="preserve"> \* MERGEFORMAT </w:instrText>
      </w:r>
      <w:r w:rsidR="00BE0373" w:rsidRPr="00E93F40">
        <w:rPr>
          <w:rFonts w:ascii="Times New Roman" w:hAnsi="Times New Roman"/>
          <w:color w:val="000000" w:themeColor="text1"/>
          <w:sz w:val="16"/>
          <w:szCs w:val="16"/>
        </w:rPr>
        <w:fldChar w:fldCharType="end"/>
      </w:r>
      <w:r w:rsidRPr="00E93F40">
        <w:rPr>
          <w:rFonts w:ascii="Times New Roman" w:hAnsi="Times New Roman"/>
          <w:color w:val="000000" w:themeColor="text1"/>
          <w:sz w:val="16"/>
          <w:szCs w:val="16"/>
        </w:rPr>
        <w:t>Ниренберга в деле укрепления боевой мощи Красной Армии, выдать ему денежную премию в размере 25 тысяч рублей и возбудить перед Правительством ходатайство о награждении его орденом "Красной Звезды" (11885).</w:t>
      </w:r>
    </w:p>
    <w:p w14:paraId="0E066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A3DAA9" w14:textId="77777777" w:rsidR="004A5F26" w:rsidRPr="00E93F40" w:rsidRDefault="004A5F26"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bCs/>
          <w:color w:val="000000" w:themeColor="text1"/>
          <w:sz w:val="16"/>
          <w:szCs w:val="16"/>
        </w:rPr>
        <w:t>22 июня 1932 г. — Постановление Комиссии обороны «Авиационный пулемет системы Шпитального»</w:t>
      </w:r>
    </w:p>
    <w:p w14:paraId="54085558"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p w14:paraId="5EBEE38A" w14:textId="1A07AB7E"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Принять к сведению сообщение НКВМ о том, что 7,62</w:t>
      </w:r>
      <w:r w:rsidRPr="00E93F40">
        <w:rPr>
          <w:color w:val="000000" w:themeColor="text1"/>
          <w:sz w:val="16"/>
          <w:szCs w:val="16"/>
        </w:rPr>
        <w:noBreakHyphen/>
        <w:t xml:space="preserve">мм авиационный пулемет системы </w:t>
      </w:r>
      <w:hyperlink r:id="rId145" w:history="1">
        <w:r w:rsidRPr="00E93F40">
          <w:rPr>
            <w:color w:val="000000" w:themeColor="text1"/>
            <w:sz w:val="16"/>
            <w:szCs w:val="16"/>
          </w:rPr>
          <w:t>Шпитального</w:t>
        </w:r>
      </w:hyperlink>
      <w:r w:rsidRPr="00E93F40">
        <w:rPr>
          <w:color w:val="000000" w:themeColor="text1"/>
          <w:sz w:val="16"/>
          <w:szCs w:val="16"/>
        </w:rPr>
        <w:t xml:space="preserve"> и </w:t>
      </w:r>
      <w:hyperlink r:id="rId146" w:history="1">
        <w:r w:rsidRPr="00E93F40">
          <w:rPr>
            <w:color w:val="000000" w:themeColor="text1"/>
            <w:sz w:val="16"/>
            <w:szCs w:val="16"/>
          </w:rPr>
          <w:t>Комарицкого</w:t>
        </w:r>
      </w:hyperlink>
      <w:r w:rsidRPr="00E93F40">
        <w:rPr>
          <w:color w:val="000000" w:themeColor="text1"/>
          <w:sz w:val="16"/>
          <w:szCs w:val="16"/>
        </w:rPr>
        <w:t xml:space="preserve"> со скорострельностью 2</w:t>
      </w:r>
      <w:r w:rsidR="007C1411" w:rsidRPr="00E93F40">
        <w:rPr>
          <w:color w:val="000000" w:themeColor="text1"/>
          <w:sz w:val="16"/>
          <w:szCs w:val="16"/>
        </w:rPr>
        <w:t xml:space="preserve"> </w:t>
      </w:r>
      <w:r w:rsidRPr="00E93F40">
        <w:rPr>
          <w:color w:val="000000" w:themeColor="text1"/>
          <w:sz w:val="16"/>
          <w:szCs w:val="16"/>
        </w:rPr>
        <w:t>тыс. выстрелов в минуту прошел испытания с положительным результатом и что данная конструкция является исключительным достижением в технике автоматического оружия.</w:t>
      </w:r>
    </w:p>
    <w:p w14:paraId="5C2C056A" w14:textId="32013642"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Обязать Оружейно-пулеметный трест немедленно приступить к подготовке производства этих пулеметов и в 1932</w:t>
      </w:r>
      <w:r w:rsidR="007C1411" w:rsidRPr="00E93F40">
        <w:rPr>
          <w:color w:val="000000" w:themeColor="text1"/>
          <w:sz w:val="16"/>
          <w:szCs w:val="16"/>
        </w:rPr>
        <w:t xml:space="preserve"> </w:t>
      </w:r>
      <w:r w:rsidRPr="00E93F40">
        <w:rPr>
          <w:color w:val="000000" w:themeColor="text1"/>
          <w:sz w:val="16"/>
          <w:szCs w:val="16"/>
        </w:rPr>
        <w:t>г. сдать партию в 100</w:t>
      </w:r>
      <w:r w:rsidR="007C1411" w:rsidRPr="00E93F40">
        <w:rPr>
          <w:color w:val="000000" w:themeColor="text1"/>
          <w:sz w:val="16"/>
          <w:szCs w:val="16"/>
        </w:rPr>
        <w:t xml:space="preserve"> </w:t>
      </w:r>
      <w:r w:rsidRPr="00E93F40">
        <w:rPr>
          <w:color w:val="000000" w:themeColor="text1"/>
          <w:sz w:val="16"/>
          <w:szCs w:val="16"/>
        </w:rPr>
        <w:t>шт.</w:t>
      </w:r>
    </w:p>
    <w:p w14:paraId="1FD89D02" w14:textId="347C6383"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Под личную ответственность т.</w:t>
      </w:r>
      <w:r w:rsidR="007C1411" w:rsidRPr="00E93F40">
        <w:rPr>
          <w:color w:val="000000" w:themeColor="text1"/>
          <w:sz w:val="16"/>
          <w:szCs w:val="16"/>
        </w:rPr>
        <w:t xml:space="preserve"> </w:t>
      </w:r>
      <w:hyperlink r:id="rId147" w:history="1">
        <w:r w:rsidRPr="00E93F40">
          <w:rPr>
            <w:color w:val="000000" w:themeColor="text1"/>
            <w:sz w:val="16"/>
            <w:szCs w:val="16"/>
          </w:rPr>
          <w:t>Кагановича</w:t>
        </w:r>
        <w:r w:rsidR="007C1411" w:rsidRPr="00E93F40">
          <w:rPr>
            <w:color w:val="000000" w:themeColor="text1"/>
            <w:sz w:val="16"/>
            <w:szCs w:val="16"/>
          </w:rPr>
          <w:t xml:space="preserve"> </w:t>
        </w:r>
        <w:r w:rsidRPr="00E93F40">
          <w:rPr>
            <w:color w:val="000000" w:themeColor="text1"/>
            <w:sz w:val="16"/>
            <w:szCs w:val="16"/>
          </w:rPr>
          <w:t>М</w:t>
        </w:r>
      </w:hyperlink>
      <w:r w:rsidRPr="00E93F40">
        <w:rPr>
          <w:color w:val="000000" w:themeColor="text1"/>
          <w:sz w:val="16"/>
          <w:szCs w:val="16"/>
        </w:rPr>
        <w:t>. (НКТП) обеспечить оборудованием мастерскую Шпитального для быстрого развертывания дальнейшей программы работ (по крупнокалиберным пулеметам и автоматическим пушкам).</w:t>
      </w:r>
    </w:p>
    <w:p w14:paraId="540C25F9" w14:textId="5E04AF0C"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Возложить на т.</w:t>
      </w:r>
      <w:r w:rsidR="007C1411" w:rsidRPr="00E93F40">
        <w:rPr>
          <w:color w:val="000000" w:themeColor="text1"/>
          <w:sz w:val="16"/>
          <w:szCs w:val="16"/>
        </w:rPr>
        <w:t xml:space="preserve"> </w:t>
      </w:r>
      <w:hyperlink r:id="rId148" w:history="1">
        <w:r w:rsidRPr="00E93F40">
          <w:rPr>
            <w:color w:val="000000" w:themeColor="text1"/>
            <w:sz w:val="16"/>
            <w:szCs w:val="16"/>
          </w:rPr>
          <w:t>Мартиновича</w:t>
        </w:r>
      </w:hyperlink>
      <w:r w:rsidRPr="00E93F40">
        <w:rPr>
          <w:color w:val="000000" w:themeColor="text1"/>
          <w:sz w:val="16"/>
          <w:szCs w:val="16"/>
        </w:rPr>
        <w:t xml:space="preserve"> ответственность за размещение на заводах и выполнение в кратчайшие сроки заказов на отдельные детали, связанные с выполнением дальнейших опытных работ конструкторского бюро Шпитального.</w:t>
      </w:r>
    </w:p>
    <w:p w14:paraId="7119AFE6" w14:textId="75CE1578"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Учитывая исключительные заслуги в деле укрепления технической мощи РККА, наградить конструктора Шпитального орденом Ленина и конструктора Комарицкого орденом «Красная Звезда».</w:t>
      </w:r>
    </w:p>
    <w:p w14:paraId="017E00B9" w14:textId="77777777" w:rsidR="0087389B" w:rsidRPr="00E93F40" w:rsidRDefault="0087389B"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Примечание</w:t>
      </w:r>
      <w:r w:rsidRPr="00E93F40">
        <w:rPr>
          <w:color w:val="000000" w:themeColor="text1"/>
          <w:sz w:val="16"/>
          <w:szCs w:val="16"/>
        </w:rPr>
        <w:t>:</w:t>
      </w:r>
    </w:p>
    <w:p w14:paraId="59EE578D" w14:textId="5C8E3A68"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rStyle w:val="af0"/>
          <w:i w:val="0"/>
          <w:color w:val="000000" w:themeColor="text1"/>
          <w:sz w:val="16"/>
          <w:szCs w:val="16"/>
        </w:rPr>
        <w:t>Пулемет ШКАС</w:t>
      </w:r>
      <w:r w:rsidRPr="00E93F40">
        <w:rPr>
          <w:color w:val="000000" w:themeColor="text1"/>
          <w:sz w:val="16"/>
          <w:szCs w:val="16"/>
        </w:rPr>
        <w:t xml:space="preserve"> (Шпитальный</w:t>
      </w:r>
      <w:r w:rsidR="007C1411" w:rsidRPr="00E93F40">
        <w:rPr>
          <w:color w:val="000000" w:themeColor="text1"/>
          <w:sz w:val="16"/>
          <w:szCs w:val="16"/>
        </w:rPr>
        <w:t xml:space="preserve"> </w:t>
      </w:r>
      <w:r w:rsidRPr="00E93F40">
        <w:rPr>
          <w:color w:val="000000" w:themeColor="text1"/>
          <w:sz w:val="16"/>
          <w:szCs w:val="16"/>
        </w:rPr>
        <w:t>— Комарицкий авиационный скорострельный) калибра 7,62</w:t>
      </w:r>
      <w:r w:rsidR="007C1411" w:rsidRPr="00E93F40">
        <w:rPr>
          <w:color w:val="000000" w:themeColor="text1"/>
          <w:sz w:val="16"/>
          <w:szCs w:val="16"/>
        </w:rPr>
        <w:t xml:space="preserve"> </w:t>
      </w:r>
      <w:r w:rsidRPr="00E93F40">
        <w:rPr>
          <w:color w:val="000000" w:themeColor="text1"/>
          <w:sz w:val="16"/>
          <w:szCs w:val="16"/>
        </w:rPr>
        <w:t>мм был создан в 1930</w:t>
      </w:r>
      <w:r w:rsidR="007C1411" w:rsidRPr="00E93F40">
        <w:rPr>
          <w:color w:val="000000" w:themeColor="text1"/>
          <w:sz w:val="16"/>
          <w:szCs w:val="16"/>
        </w:rPr>
        <w:t xml:space="preserve"> </w:t>
      </w:r>
      <w:r w:rsidRPr="00E93F40">
        <w:rPr>
          <w:color w:val="000000" w:themeColor="text1"/>
          <w:sz w:val="16"/>
          <w:szCs w:val="16"/>
        </w:rPr>
        <w:t>г. Пулемет по скорострельности (1800</w:t>
      </w:r>
      <w:r w:rsidR="007C1411" w:rsidRPr="00E93F40">
        <w:rPr>
          <w:color w:val="000000" w:themeColor="text1"/>
          <w:sz w:val="16"/>
          <w:szCs w:val="16"/>
        </w:rPr>
        <w:t xml:space="preserve"> </w:t>
      </w:r>
      <w:r w:rsidRPr="00E93F40">
        <w:rPr>
          <w:color w:val="000000" w:themeColor="text1"/>
          <w:sz w:val="16"/>
          <w:szCs w:val="16"/>
        </w:rPr>
        <w:t>выстрелов в минуту) значительно превосходил все известные образцы авиационного стрелкового оружия. В дальнейшем скорострельность пулемета была доведена до 3</w:t>
      </w:r>
      <w:r w:rsidR="007C1411" w:rsidRPr="00E93F40">
        <w:rPr>
          <w:color w:val="000000" w:themeColor="text1"/>
          <w:sz w:val="16"/>
          <w:szCs w:val="16"/>
        </w:rPr>
        <w:t xml:space="preserve"> </w:t>
      </w:r>
      <w:r w:rsidRPr="00E93F40">
        <w:rPr>
          <w:color w:val="000000" w:themeColor="text1"/>
          <w:sz w:val="16"/>
          <w:szCs w:val="16"/>
        </w:rPr>
        <w:t>тыс. выстрелов в минуту. Пулемет был принят на вооружение в 1932</w:t>
      </w:r>
      <w:r w:rsidR="007C1411" w:rsidRPr="00E93F40">
        <w:rPr>
          <w:color w:val="000000" w:themeColor="text1"/>
          <w:sz w:val="16"/>
          <w:szCs w:val="16"/>
        </w:rPr>
        <w:t xml:space="preserve"> </w:t>
      </w:r>
      <w:r w:rsidRPr="00E93F40">
        <w:rPr>
          <w:color w:val="000000" w:themeColor="text1"/>
          <w:sz w:val="16"/>
          <w:szCs w:val="16"/>
        </w:rPr>
        <w:t>г.</w:t>
      </w:r>
    </w:p>
    <w:p w14:paraId="27A1ABB8" w14:textId="3A25282A" w:rsidR="0087389B" w:rsidRPr="00E93F40" w:rsidRDefault="0087389B" w:rsidP="00E93F40">
      <w:pPr>
        <w:pStyle w:val="ae"/>
        <w:spacing w:before="0" w:after="0"/>
        <w:jc w:val="both"/>
        <w:rPr>
          <w:color w:val="000000" w:themeColor="text1"/>
          <w:sz w:val="16"/>
          <w:szCs w:val="16"/>
        </w:rPr>
      </w:pPr>
      <w:r w:rsidRPr="00E93F40">
        <w:rPr>
          <w:color w:val="000000" w:themeColor="text1"/>
          <w:sz w:val="16"/>
          <w:szCs w:val="16"/>
        </w:rPr>
        <w:t>ГА</w:t>
      </w:r>
      <w:r w:rsidR="007C1411" w:rsidRPr="00E93F40">
        <w:rPr>
          <w:color w:val="000000" w:themeColor="text1"/>
          <w:sz w:val="16"/>
          <w:szCs w:val="16"/>
        </w:rPr>
        <w:t xml:space="preserve"> </w:t>
      </w:r>
      <w:r w:rsidRPr="00E93F40">
        <w:rPr>
          <w:color w:val="000000" w:themeColor="text1"/>
          <w:sz w:val="16"/>
          <w:szCs w:val="16"/>
        </w:rPr>
        <w:t>РФ. Ф.</w:t>
      </w:r>
      <w:r w:rsidR="007C1411" w:rsidRPr="00E93F40">
        <w:rPr>
          <w:color w:val="000000" w:themeColor="text1"/>
          <w:sz w:val="16"/>
          <w:szCs w:val="16"/>
        </w:rPr>
        <w:t xml:space="preserve"> </w:t>
      </w:r>
      <w:r w:rsidRPr="00E93F40">
        <w:rPr>
          <w:color w:val="000000" w:themeColor="text1"/>
          <w:sz w:val="16"/>
          <w:szCs w:val="16"/>
        </w:rPr>
        <w:t>Р-8418. Оп.</w:t>
      </w:r>
      <w:r w:rsidR="007C1411" w:rsidRPr="00E93F40">
        <w:rPr>
          <w:color w:val="000000" w:themeColor="text1"/>
          <w:sz w:val="16"/>
          <w:szCs w:val="16"/>
        </w:rPr>
        <w:t xml:space="preserve"> </w:t>
      </w:r>
      <w:r w:rsidRPr="00E93F40">
        <w:rPr>
          <w:color w:val="000000" w:themeColor="text1"/>
          <w:sz w:val="16"/>
          <w:szCs w:val="16"/>
        </w:rPr>
        <w:t>6.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4. Копия.</w:t>
      </w:r>
    </w:p>
    <w:p w14:paraId="00457B94" w14:textId="37E6965B"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22 Л. 4. Копия. </w:t>
      </w:r>
    </w:p>
    <w:p w14:paraId="04A2860E" w14:textId="6C482380"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686 (12566).</w:t>
      </w:r>
    </w:p>
    <w:p w14:paraId="69FD7DC8" w14:textId="77777777" w:rsidR="0087389B" w:rsidRPr="00E93F40" w:rsidRDefault="0087389B" w:rsidP="00E93F40">
      <w:pPr>
        <w:spacing w:after="0" w:line="240" w:lineRule="auto"/>
        <w:jc w:val="both"/>
        <w:rPr>
          <w:rFonts w:ascii="Times New Roman" w:hAnsi="Times New Roman"/>
          <w:color w:val="000000" w:themeColor="text1"/>
          <w:sz w:val="16"/>
          <w:szCs w:val="16"/>
        </w:rPr>
      </w:pPr>
    </w:p>
    <w:p w14:paraId="3CCF60CC" w14:textId="77777777" w:rsidR="004A5F26" w:rsidRPr="00E93F40" w:rsidRDefault="004A5F26"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bCs/>
          <w:color w:val="000000" w:themeColor="text1"/>
          <w:sz w:val="16"/>
          <w:szCs w:val="16"/>
        </w:rPr>
        <w:t>22 июня 1932 г. — Выписка из протокола № 16 Комиссии обороны «О выполнении программы по танкам»</w:t>
      </w:r>
    </w:p>
    <w:p w14:paraId="7AC13E75" w14:textId="77777777"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p w14:paraId="6286123A"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lastRenderedPageBreak/>
        <w:t>Признать, что выполнение танковой программы идет совершенно неудовлетворительно, в особенности по броне и по танку БТ («Кристи»). Особо неудовлетворительна работа кооперированных заводов по танку БТ.</w:t>
      </w:r>
    </w:p>
    <w:p w14:paraId="4C76217F"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Обязать НКТП под личную ответственность директоров заводов Владимирова, Свистуна, Сыркина, Дыбеца, Иванова, Алексеева, Белова добиться решительного перелома в течение июля месяца с тем, чтобы обеспечить выполнение утвержденной программы.</w:t>
      </w:r>
    </w:p>
    <w:p w14:paraId="6AEFEA96" w14:textId="7777777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Предупредить директоров заводов, что невыполнение программы будет рассматриваться как нарушение ответственейшей директивы правительства со всеми вытекающими отсюда последствиями.</w:t>
      </w:r>
    </w:p>
    <w:p w14:paraId="11077A73" w14:textId="27F43870"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Во изменение постановления КО от 19</w:t>
      </w:r>
      <w:r w:rsidR="007C1411" w:rsidRPr="00E93F40">
        <w:rPr>
          <w:color w:val="000000" w:themeColor="text1"/>
          <w:sz w:val="16"/>
          <w:szCs w:val="16"/>
        </w:rPr>
        <w:t xml:space="preserve"> </w:t>
      </w:r>
      <w:r w:rsidRPr="00E93F40">
        <w:rPr>
          <w:color w:val="000000" w:themeColor="text1"/>
          <w:sz w:val="16"/>
          <w:szCs w:val="16"/>
        </w:rPr>
        <w:t>марта 1932</w:t>
      </w:r>
      <w:r w:rsidR="007C1411" w:rsidRPr="00E93F40">
        <w:rPr>
          <w:color w:val="000000" w:themeColor="text1"/>
          <w:sz w:val="16"/>
          <w:szCs w:val="16"/>
        </w:rPr>
        <w:t xml:space="preserve"> </w:t>
      </w:r>
      <w:r w:rsidRPr="00E93F40">
        <w:rPr>
          <w:color w:val="000000" w:themeColor="text1"/>
          <w:sz w:val="16"/>
          <w:szCs w:val="16"/>
        </w:rPr>
        <w:t>г. производство углеродистой брони на Мариупольском заводе прекратить, перенеся все работы по технологическому процессу изготовления в Институт металлов с обеспечением содействия т.</w:t>
      </w:r>
      <w:r w:rsidR="007C1411" w:rsidRPr="00E93F40">
        <w:rPr>
          <w:color w:val="000000" w:themeColor="text1"/>
          <w:sz w:val="16"/>
          <w:szCs w:val="16"/>
        </w:rPr>
        <w:t xml:space="preserve"> </w:t>
      </w:r>
      <w:hyperlink r:id="rId149" w:history="1">
        <w:r w:rsidRPr="00E93F40">
          <w:rPr>
            <w:color w:val="000000" w:themeColor="text1"/>
            <w:sz w:val="16"/>
            <w:szCs w:val="16"/>
          </w:rPr>
          <w:t>Дыренкову</w:t>
        </w:r>
      </w:hyperlink>
      <w:r w:rsidRPr="00E93F40">
        <w:rPr>
          <w:color w:val="000000" w:themeColor="text1"/>
          <w:sz w:val="16"/>
          <w:szCs w:val="16"/>
        </w:rPr>
        <w:t xml:space="preserve"> в этих опытах.</w:t>
      </w:r>
    </w:p>
    <w:p w14:paraId="66F14E4A" w14:textId="4A0118A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Обязать НКТП под личную ответственность т.</w:t>
      </w:r>
      <w:r w:rsidR="007C1411" w:rsidRPr="00E93F40">
        <w:rPr>
          <w:color w:val="000000" w:themeColor="text1"/>
          <w:sz w:val="16"/>
          <w:szCs w:val="16"/>
        </w:rPr>
        <w:t xml:space="preserve"> </w:t>
      </w:r>
      <w:r w:rsidRPr="00E93F40">
        <w:rPr>
          <w:color w:val="000000" w:themeColor="text1"/>
          <w:sz w:val="16"/>
          <w:szCs w:val="16"/>
        </w:rPr>
        <w:t>Точинского в кратчайший срок поставить на Мариупольском заводе массовое производство марганцовистой брони.</w:t>
      </w:r>
    </w:p>
    <w:p w14:paraId="525555C8" w14:textId="334CF1E7"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О результатах доложить КО 19</w:t>
      </w:r>
      <w:r w:rsidR="007C1411" w:rsidRPr="00E93F40">
        <w:rPr>
          <w:color w:val="000000" w:themeColor="text1"/>
          <w:sz w:val="16"/>
          <w:szCs w:val="16"/>
        </w:rPr>
        <w:t xml:space="preserve"> </w:t>
      </w:r>
      <w:r w:rsidRPr="00E93F40">
        <w:rPr>
          <w:color w:val="000000" w:themeColor="text1"/>
          <w:sz w:val="16"/>
          <w:szCs w:val="16"/>
        </w:rPr>
        <w:t>июля с.</w:t>
      </w:r>
      <w:r w:rsidR="007C1411" w:rsidRPr="00E93F40">
        <w:rPr>
          <w:color w:val="000000" w:themeColor="text1"/>
          <w:sz w:val="16"/>
          <w:szCs w:val="16"/>
        </w:rPr>
        <w:t xml:space="preserve"> </w:t>
      </w:r>
      <w:r w:rsidRPr="00E93F40">
        <w:rPr>
          <w:color w:val="000000" w:themeColor="text1"/>
          <w:sz w:val="16"/>
          <w:szCs w:val="16"/>
        </w:rPr>
        <w:t>г.</w:t>
      </w:r>
    </w:p>
    <w:p w14:paraId="2EC8BEE3" w14:textId="27D0FB9D" w:rsidR="0087389B" w:rsidRPr="00E93F40" w:rsidRDefault="0087389B" w:rsidP="00E93F40">
      <w:pPr>
        <w:pStyle w:val="rtejustify"/>
        <w:spacing w:before="0" w:after="0"/>
        <w:rPr>
          <w:color w:val="000000" w:themeColor="text1"/>
          <w:sz w:val="16"/>
          <w:szCs w:val="16"/>
        </w:rPr>
      </w:pPr>
      <w:r w:rsidRPr="00E93F40">
        <w:rPr>
          <w:color w:val="000000" w:themeColor="text1"/>
          <w:sz w:val="16"/>
          <w:szCs w:val="16"/>
        </w:rPr>
        <w:t>Выполнение заказа по запчастям считать столь же важным, как и по танкам. Не сданные запчасти по программе первого полугодия сдать к 15</w:t>
      </w:r>
      <w:r w:rsidR="007C1411" w:rsidRPr="00E93F40">
        <w:rPr>
          <w:color w:val="000000" w:themeColor="text1"/>
          <w:sz w:val="16"/>
          <w:szCs w:val="16"/>
        </w:rPr>
        <w:t xml:space="preserve"> </w:t>
      </w:r>
      <w:r w:rsidRPr="00E93F40">
        <w:rPr>
          <w:color w:val="000000" w:themeColor="text1"/>
          <w:sz w:val="16"/>
          <w:szCs w:val="16"/>
        </w:rPr>
        <w:t>июля с.</w:t>
      </w:r>
      <w:r w:rsidR="007C1411" w:rsidRPr="00E93F40">
        <w:rPr>
          <w:color w:val="000000" w:themeColor="text1"/>
          <w:sz w:val="16"/>
          <w:szCs w:val="16"/>
        </w:rPr>
        <w:t xml:space="preserve"> </w:t>
      </w:r>
      <w:r w:rsidRPr="00E93F40">
        <w:rPr>
          <w:color w:val="000000" w:themeColor="text1"/>
          <w:sz w:val="16"/>
          <w:szCs w:val="16"/>
        </w:rPr>
        <w:t>г.</w:t>
      </w:r>
    </w:p>
    <w:p w14:paraId="664FCD26" w14:textId="77777777" w:rsidR="0087389B" w:rsidRPr="00E93F40" w:rsidRDefault="0087389B" w:rsidP="00E93F40">
      <w:pPr>
        <w:pStyle w:val="ae"/>
        <w:spacing w:before="0" w:after="0"/>
        <w:jc w:val="both"/>
        <w:rPr>
          <w:color w:val="000000" w:themeColor="text1"/>
          <w:sz w:val="16"/>
          <w:szCs w:val="16"/>
        </w:rPr>
      </w:pPr>
      <w:r w:rsidRPr="00E93F40">
        <w:rPr>
          <w:rStyle w:val="af0"/>
          <w:i w:val="0"/>
          <w:color w:val="000000" w:themeColor="text1"/>
          <w:sz w:val="16"/>
          <w:szCs w:val="16"/>
        </w:rPr>
        <w:t>Галактионов</w:t>
      </w:r>
    </w:p>
    <w:p w14:paraId="1E7E1DF9" w14:textId="2A074FBA" w:rsidR="0087389B" w:rsidRPr="00E93F40" w:rsidRDefault="0087389B" w:rsidP="00E93F40">
      <w:pPr>
        <w:pStyle w:val="ae"/>
        <w:spacing w:before="0" w:after="0"/>
        <w:jc w:val="both"/>
        <w:rPr>
          <w:color w:val="000000" w:themeColor="text1"/>
          <w:sz w:val="16"/>
          <w:szCs w:val="16"/>
        </w:rPr>
      </w:pPr>
      <w:r w:rsidRPr="00E93F40">
        <w:rPr>
          <w:color w:val="000000" w:themeColor="text1"/>
          <w:sz w:val="16"/>
          <w:szCs w:val="16"/>
        </w:rPr>
        <w:t>ГА РФ. Ф. Р-8418. Оп. 6. Д. 55. Л. 3—З</w:t>
      </w:r>
      <w:r w:rsidR="007C1411" w:rsidRPr="00E93F40">
        <w:rPr>
          <w:color w:val="000000" w:themeColor="text1"/>
          <w:sz w:val="16"/>
          <w:szCs w:val="16"/>
        </w:rPr>
        <w:t xml:space="preserve"> </w:t>
      </w:r>
      <w:r w:rsidRPr="00E93F40">
        <w:rPr>
          <w:color w:val="000000" w:themeColor="text1"/>
          <w:sz w:val="16"/>
          <w:szCs w:val="16"/>
        </w:rPr>
        <w:t>об. Копия.</w:t>
      </w:r>
    </w:p>
    <w:p w14:paraId="675093E6" w14:textId="59D8508A"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55. Л. 3—З об. Копия. </w:t>
      </w:r>
    </w:p>
    <w:p w14:paraId="1946D279" w14:textId="61A3D6D9" w:rsidR="0087389B" w:rsidRPr="00E93F40" w:rsidRDefault="0087389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685-686 (12565).</w:t>
      </w:r>
    </w:p>
    <w:p w14:paraId="4D051F5B" w14:textId="77777777" w:rsidR="0087389B" w:rsidRPr="00E93F40" w:rsidRDefault="0087389B" w:rsidP="00E93F40">
      <w:pPr>
        <w:spacing w:after="0" w:line="240" w:lineRule="auto"/>
        <w:jc w:val="both"/>
        <w:rPr>
          <w:rFonts w:ascii="Times New Roman" w:hAnsi="Times New Roman"/>
          <w:color w:val="000000" w:themeColor="text1"/>
          <w:sz w:val="16"/>
          <w:szCs w:val="16"/>
        </w:rPr>
      </w:pPr>
    </w:p>
    <w:p w14:paraId="5890D720"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22 июня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749/220сс о постройке 12 подводных лодок для Дальнего Востока (ГА РФ. Ф. Р?8418. Оп. 28. Д. 1а. Л. 285) (12415).</w:t>
      </w:r>
    </w:p>
    <w:p w14:paraId="4799C423" w14:textId="77777777" w:rsidR="0087389B" w:rsidRPr="00E93F40" w:rsidRDefault="0087389B" w:rsidP="00E93F40">
      <w:pPr>
        <w:spacing w:after="0" w:line="240" w:lineRule="auto"/>
        <w:jc w:val="both"/>
        <w:rPr>
          <w:rFonts w:ascii="Times New Roman" w:hAnsi="Times New Roman"/>
          <w:color w:val="000000" w:themeColor="text1"/>
          <w:sz w:val="16"/>
          <w:szCs w:val="16"/>
          <w:u w:color="002060"/>
        </w:rPr>
      </w:pPr>
    </w:p>
    <w:p w14:paraId="71064090" w14:textId="77777777" w:rsidR="004A5F26"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7E7C9F4" w14:textId="77777777" w:rsidR="004A5F26" w:rsidRPr="00E93F40" w:rsidRDefault="004A5F2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3B5003" w14:textId="77777777" w:rsidR="004A5F26" w:rsidRPr="00E93F40" w:rsidRDefault="004A5F2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22 июня</w:t>
      </w:r>
      <w:r w:rsidRPr="00E93F40">
        <w:rPr>
          <w:rFonts w:ascii="Times New Roman" w:hAnsi="Times New Roman"/>
          <w:color w:val="000000" w:themeColor="text1"/>
          <w:sz w:val="16"/>
          <w:szCs w:val="16"/>
        </w:rPr>
        <w:t xml:space="preserve"> в 1932 году катастрофа второго прототипа «Р-8/II» с двигателем «Lorraine» «12H» польского истребителя «PZL P-8» (14930).</w:t>
      </w:r>
    </w:p>
    <w:p w14:paraId="287949AD" w14:textId="77777777" w:rsidR="004A5F26" w:rsidRPr="00E93F40" w:rsidRDefault="004A5F26" w:rsidP="00E93F40">
      <w:pPr>
        <w:spacing w:after="0" w:line="240" w:lineRule="auto"/>
        <w:jc w:val="both"/>
        <w:rPr>
          <w:rFonts w:ascii="Times New Roman" w:hAnsi="Times New Roman"/>
          <w:color w:val="000000" w:themeColor="text1"/>
          <w:sz w:val="16"/>
          <w:szCs w:val="16"/>
        </w:rPr>
      </w:pPr>
    </w:p>
    <w:p w14:paraId="1BDBBF82" w14:textId="5ECE6A7A"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июня 1932 г. на Куммерсдорфском полигоне, расположенным в 27 км южнее Берлина, состоялся пуск ракеты Небель. Она поднялась на высоту около 1100 м, после чего перешла в горизонтальный полет со снижением и упала в трех километрах от места старта; парашют не раскрылся, ракета разбилась. Небель обещал, что ракета достигнет высоты 3000 м, пролетит 10 километров и совершит мягкую посадку на парашюте. Более того, он не смог ответить на конкретные вопросы о том, какие приборы и как должны управлять полётом, о расходе топлива на различных дистанциях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тому подобные. Военные сделали вывод, что Небель не способен вести серьёзную работу. Для этого требовались, помимо энтузиазма, серьезные научные знания и выдающиеся организаторские способности (23372).</w:t>
      </w:r>
    </w:p>
    <w:p w14:paraId="584E9D64" w14:textId="77777777" w:rsidR="00E13DFF" w:rsidRPr="00E93F40" w:rsidRDefault="00E13DFF" w:rsidP="00E93F40">
      <w:pPr>
        <w:spacing w:after="0" w:line="240" w:lineRule="auto"/>
        <w:jc w:val="both"/>
        <w:rPr>
          <w:rFonts w:ascii="Times New Roman" w:hAnsi="Times New Roman"/>
          <w:color w:val="000000" w:themeColor="text1"/>
          <w:sz w:val="16"/>
          <w:szCs w:val="16"/>
        </w:rPr>
      </w:pPr>
    </w:p>
    <w:p w14:paraId="500C295E"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22 июня 1932 года, то есть до постройки прототипа появился эскизный проект легкого танка с казематным вариантом с 20-мм автоматической пушкой. Но уже 28 июня началось обсуждение варианта вооружения Kleinetraktor двумя пулемётами, установленными во вращающейся башне. Вот именно такое вооружение и захотел иметь на Kleinetraktor Лутц.</w:t>
      </w:r>
    </w:p>
    <w:p w14:paraId="7D9BEBD6"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w:t>
      </w:r>
    </w:p>
    <w:p w14:paraId="61B37823"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На деле машины с серийными номерами 8001–8005 никакого вооружения вообще не получили. Это была скорее установочная партия шасси, выпущенная в июле-августе 1933 года по цене 37800 рейхсмарок за штуку. При этом машины имели целый ряд отличий от опытного образца «малого трактора». По итогам испытаний был увеличен диаметр ленивца, на надмоторной плите появились характерные «уши» воздухозаборников. На машине использовался более мощный мотор Krupp M 302, который имел мощность 56 лошадиных сил, а при 2600 об/мин – 60 лошадиных сил.</w:t>
      </w:r>
    </w:p>
    <w:p w14:paraId="3D14B93F"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Опытный образец изготовлялся из неброневой стали, но уже в июне 1933 года прошёл испытания обстрелом первый корпус, выполненный из полноценной брони. Поскольку в ходе испытаний имели место два пробития 7,9-мм тяжёлыми пулями, толщина брони машины была увеличена с 8 до 13 мм.</w:t>
      </w:r>
    </w:p>
    <w:p w14:paraId="5F137A41"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 xml:space="preserve">Выпущенные шасси использовались в качестве испытательных стендов. На них отрабатывались различные технические решения. Кстати говоря, именно на Kleintraktor должны были испытать торсионную подвеску разработки Porsche K.G. По ряду причин это мероприятие не случилось, и в итоге первым танком с торсионной подвеской стал шведский </w:t>
      </w:r>
      <w:hyperlink r:id="rId150" w:history="1">
        <w:r w:rsidRPr="00E93F40">
          <w:rPr>
            <w:rStyle w:val="a5"/>
            <w:rFonts w:eastAsiaTheme="majorEastAsia"/>
            <w:color w:val="000000" w:themeColor="text1"/>
            <w:sz w:val="16"/>
            <w:szCs w:val="16"/>
            <w:u w:val="none"/>
          </w:rPr>
          <w:t>Landsverk L-60</w:t>
        </w:r>
      </w:hyperlink>
      <w:r w:rsidRPr="00E93F40">
        <w:rPr>
          <w:rStyle w:val="a5"/>
          <w:rFonts w:eastAsiaTheme="majorEastAsia"/>
          <w:color w:val="000000" w:themeColor="text1"/>
          <w:sz w:val="16"/>
          <w:szCs w:val="16"/>
          <w:u w:val="none"/>
        </w:rPr>
        <w:t xml:space="preserve"> (17463)</w:t>
      </w:r>
      <w:r w:rsidRPr="00E93F40">
        <w:rPr>
          <w:color w:val="000000" w:themeColor="text1"/>
          <w:sz w:val="16"/>
          <w:szCs w:val="16"/>
        </w:rPr>
        <w:t>.</w:t>
      </w:r>
    </w:p>
    <w:p w14:paraId="0945FDB0" w14:textId="77777777" w:rsidR="008F7CC1" w:rsidRPr="00E93F40" w:rsidRDefault="008F7CC1" w:rsidP="00E93F40">
      <w:pPr>
        <w:spacing w:after="0" w:line="240" w:lineRule="auto"/>
        <w:jc w:val="both"/>
        <w:rPr>
          <w:rFonts w:ascii="Times New Roman" w:hAnsi="Times New Roman"/>
          <w:color w:val="000000" w:themeColor="text1"/>
          <w:sz w:val="16"/>
          <w:szCs w:val="16"/>
        </w:rPr>
      </w:pPr>
    </w:p>
    <w:p w14:paraId="5D21F5E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AE32B6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060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июня 1932 года врид нач. 3 управления УВВС Константинов писал письмо зам. нач. Глававиапрома Григорьеву и нач. 1 отдела НИИ ВВС.</w:t>
      </w:r>
    </w:p>
    <w:p w14:paraId="1978B8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Ваш N А141/48317.</w:t>
      </w:r>
    </w:p>
    <w:p w14:paraId="473E9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этом направляю минимум технических условий для сдачи с-тов ТШ-2 серийной продукции и сообщаю что:</w:t>
      </w:r>
    </w:p>
    <w:p w14:paraId="470B71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Продолжительность пребывания самолета ТШ-2 в воздухе без посадки в соответствии с основными требованиями к тяжелым штурмовикам.</w:t>
      </w:r>
    </w:p>
    <w:p w14:paraId="1D1E8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Соотношение выпускаемых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2680CA4A" w14:textId="77777777">
        <w:tc>
          <w:tcPr>
            <w:tcW w:w="5636" w:type="dxa"/>
          </w:tcPr>
          <w:p w14:paraId="37D8D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под гранатницу</w:t>
            </w:r>
          </w:p>
        </w:tc>
        <w:tc>
          <w:tcPr>
            <w:tcW w:w="5636" w:type="dxa"/>
          </w:tcPr>
          <w:p w14:paraId="141937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самолетов</w:t>
            </w:r>
          </w:p>
        </w:tc>
      </w:tr>
      <w:tr w:rsidR="00DA227A" w:rsidRPr="00E93F40" w14:paraId="328C3CB8" w14:textId="77777777">
        <w:tc>
          <w:tcPr>
            <w:tcW w:w="5636" w:type="dxa"/>
          </w:tcPr>
          <w:p w14:paraId="35DD4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под пульбатарею</w:t>
            </w:r>
          </w:p>
        </w:tc>
        <w:tc>
          <w:tcPr>
            <w:tcW w:w="5636" w:type="dxa"/>
          </w:tcPr>
          <w:p w14:paraId="058AA2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w:t>
            </w:r>
          </w:p>
        </w:tc>
      </w:tr>
      <w:tr w:rsidR="00DA227A" w:rsidRPr="00E93F40" w14:paraId="7C67B230" w14:textId="77777777">
        <w:tc>
          <w:tcPr>
            <w:tcW w:w="5636" w:type="dxa"/>
          </w:tcPr>
          <w:p w14:paraId="49022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 бомбодержатели</w:t>
            </w:r>
          </w:p>
        </w:tc>
        <w:tc>
          <w:tcPr>
            <w:tcW w:w="5636" w:type="dxa"/>
          </w:tcPr>
          <w:p w14:paraId="73541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w:t>
            </w:r>
          </w:p>
        </w:tc>
      </w:tr>
      <w:tr w:rsidR="00DA227A" w:rsidRPr="00E93F40" w14:paraId="1EE49C13" w14:textId="77777777">
        <w:tc>
          <w:tcPr>
            <w:tcW w:w="5636" w:type="dxa"/>
          </w:tcPr>
          <w:p w14:paraId="312BD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под гранатницу и</w:t>
            </w:r>
          </w:p>
        </w:tc>
        <w:tc>
          <w:tcPr>
            <w:tcW w:w="5636" w:type="dxa"/>
          </w:tcPr>
          <w:p w14:paraId="7AA173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81729D" w14:textId="77777777">
        <w:tc>
          <w:tcPr>
            <w:tcW w:w="5636" w:type="dxa"/>
          </w:tcPr>
          <w:p w14:paraId="43445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пульбатарею</w:t>
            </w:r>
          </w:p>
        </w:tc>
        <w:tc>
          <w:tcPr>
            <w:tcW w:w="5636" w:type="dxa"/>
          </w:tcPr>
          <w:p w14:paraId="2ED70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w:t>
            </w:r>
          </w:p>
        </w:tc>
      </w:tr>
      <w:tr w:rsidR="00DA227A" w:rsidRPr="00E93F40" w14:paraId="5146107E" w14:textId="77777777">
        <w:tc>
          <w:tcPr>
            <w:tcW w:w="5636" w:type="dxa"/>
          </w:tcPr>
          <w:p w14:paraId="23169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под пульбатарею и</w:t>
            </w:r>
          </w:p>
        </w:tc>
        <w:tc>
          <w:tcPr>
            <w:tcW w:w="5636" w:type="dxa"/>
          </w:tcPr>
          <w:p w14:paraId="35E5F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CFE7EC" w14:textId="77777777">
        <w:tc>
          <w:tcPr>
            <w:tcW w:w="5636" w:type="dxa"/>
          </w:tcPr>
          <w:p w14:paraId="07F38B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бомбодержатели</w:t>
            </w:r>
          </w:p>
        </w:tc>
        <w:tc>
          <w:tcPr>
            <w:tcW w:w="5636" w:type="dxa"/>
          </w:tcPr>
          <w:p w14:paraId="254597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w:t>
            </w:r>
          </w:p>
        </w:tc>
      </w:tr>
      <w:tr w:rsidR="009D12BD" w:rsidRPr="00E93F40" w14:paraId="66E3C6E8" w14:textId="77777777">
        <w:tc>
          <w:tcPr>
            <w:tcW w:w="5636" w:type="dxa"/>
          </w:tcPr>
          <w:p w14:paraId="38013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5636" w:type="dxa"/>
          </w:tcPr>
          <w:p w14:paraId="22B723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 самолетов (2994,5).</w:t>
            </w:r>
          </w:p>
        </w:tc>
      </w:tr>
    </w:tbl>
    <w:p w14:paraId="4B528EA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380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июня 1932 года письмо пом. дир. завода по технич. части Шекунову и ст. представителю ВВС Штавеману.</w:t>
      </w:r>
    </w:p>
    <w:p w14:paraId="36928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 эталоне самолета Z.</w:t>
      </w:r>
    </w:p>
    <w:p w14:paraId="2DF1D7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Вследствие ряда причин постройка самолета Z идущая со значительным опозданием против первоначальных соображений, происходит тем не менее в условиях незаконченности, ни летных ни специальных испытаний (отсутствие моторов, неготовность и недоработанность вооружения). Поэтому окончательное суждение об эталоне можно будет иметь только после окончания всех этих испытаний.</w:t>
      </w:r>
    </w:p>
    <w:p w14:paraId="31D5C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Поэтому в настоящее время мы можем говорить только об эталоне первой серии, построенной до полетных испытаний как заводских, так и в НИИ.</w:t>
      </w:r>
    </w:p>
    <w:p w14:paraId="71555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этой точки зрения под эталоном можно понимать серийную машину Z (N 6 или N 7) июньского выпуска, полностью вооруженную как нормальным, так и специальным оборудованием и вооружением со следующими дополнениями:</w:t>
      </w:r>
    </w:p>
    <w:p w14:paraId="71986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 конструкцию эталона Z должны быть внесены улучшения, принятые для эталона И5...., а также устранены дефекты, установленные НИИ...</w:t>
      </w:r>
    </w:p>
    <w:p w14:paraId="7F8834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эти улучшения и дополнения не носят принципиального характера и не влияют ни на основную конструкцию, ни на вес, ни на боевую, ни полетную характеристику самолета (3009).</w:t>
      </w:r>
    </w:p>
    <w:p w14:paraId="274F7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AE99D0" w14:textId="77777777" w:rsidR="00D47DDD" w:rsidRPr="00E93F40" w:rsidRDefault="00D47D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23 июня</w:t>
      </w:r>
      <w:r w:rsidRPr="00E93F40">
        <w:rPr>
          <w:rFonts w:ascii="Times New Roman" w:hAnsi="Times New Roman"/>
          <w:color w:val="000000" w:themeColor="text1"/>
          <w:sz w:val="16"/>
          <w:szCs w:val="16"/>
        </w:rPr>
        <w:t xml:space="preserve"> в 1932 году создание в городе Химки авиаремонтного завода №84, ныне ТАПОиЧ в Ташкенте, Узбекистан (14931).</w:t>
      </w:r>
    </w:p>
    <w:p w14:paraId="1E4F9CBA" w14:textId="77777777" w:rsidR="00D47DDD" w:rsidRPr="00E93F40" w:rsidRDefault="00D47DDD" w:rsidP="00E93F40">
      <w:pPr>
        <w:spacing w:after="0" w:line="240" w:lineRule="auto"/>
        <w:jc w:val="both"/>
        <w:rPr>
          <w:rFonts w:ascii="Times New Roman" w:hAnsi="Times New Roman"/>
          <w:color w:val="000000" w:themeColor="text1"/>
          <w:sz w:val="16"/>
          <w:szCs w:val="16"/>
        </w:rPr>
      </w:pPr>
    </w:p>
    <w:p w14:paraId="6F3C4F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июня 1932 г. был образован Ремонтный завод № 84 и начал строиться в подмосковных Химках. Частично введён в строй в 1936 г. в составе самолетостроительного треста ГУАП НКТП. В 12.1936 г. передан из ГУАП НКТП в ведение 1ГУ НКОП (и на 12.1938 г.).</w:t>
      </w:r>
    </w:p>
    <w:p w14:paraId="77B2A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СТО от 26.12.1936 г. и приказом от 10.01.1937 г. заводу поручено освоение производства самолета «Дуглас» ДС-3. Для этого в 03.1937 г. сформировано серийное КБ (СКБ) под руководством В.М. Мясшцева, подчинявшееся непосредственно гл. инженеру завода. Первый ПС-84, собранный из американских деталей, выпущен к 7.11.1938 г., первые 4 серийные ПС-84 - к 06.1939 г. В 1939 г. проектная мощность завода составляла 500 ПС-84 в год. До эвакуации выпущено 64 машины.</w:t>
      </w:r>
    </w:p>
    <w:p w14:paraId="1B7E6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1936-38 г. на заводе работало КБ Н.Н. Поликарпова.</w:t>
      </w:r>
    </w:p>
    <w:p w14:paraId="5C4AE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1937-1940 г. на заводе располагалось КБ В.Ф. Болховитинова (построено 2 экземпляра опытного бомбардировщика «С» в 1939-40 г.).</w:t>
      </w:r>
    </w:p>
    <w:p w14:paraId="3FD88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1938-39 г. на заводе базировалось ОКБ В.И. Левкова (в 1937 г. завод был производственной базой ОТБ МАИ Левкова). По приказу НКСП от 11.03.1939 г. Левков назначен начальником/гл. конструктором самостоятельного ЦКБ-1 с производственной базой - заводом № 445 НКСП.</w:t>
      </w:r>
    </w:p>
    <w:p w14:paraId="70597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Приказом № 0032 от 8.02.1937 г. заводу предписано к 1.06.1937 г. сдать в эксплуатацию сборочную, а к I.10.1937 г. - западную часть главного корпуса; пр. № 303с от 7.08.1938 г. - сдать к 20.08.1938 г. под монтаж 1-ю очередь главного корпуса. На 1940 г. завод еще не был полностью достроен.</w:t>
      </w:r>
    </w:p>
    <w:p w14:paraId="33CFE1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1941 г. ряд конструкторов переведен для укрепления нового ОКБ завода № 472 НКАП.</w:t>
      </w:r>
    </w:p>
    <w:p w14:paraId="491172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262сс от 22.03.1941 г. завод передан в ЮГУ НКАП.</w:t>
      </w:r>
    </w:p>
    <w:p w14:paraId="3D5AE69D" w14:textId="0305D96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производства на 1941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300 ПС-84.</w:t>
      </w:r>
    </w:p>
    <w:p w14:paraId="634DEB6D" w14:textId="5CB5857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началом войны планировалось эвакуировать завод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Чкалов и объединить с заводом № 47 НКАП. Однако в конце 1941 г. завод № 84 ЮГУ НКАП был эвакуирован в Ташкент, где разместился на двух территориях- на площадке ремонтных мастерских ГУ ГВФ и складов ВВС. Здесь в его состав влит завод № 478 НКАП.</w:t>
      </w:r>
    </w:p>
    <w:p w14:paraId="3F4D9E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Химках после эвакуации завода продолжена сборка самолетов из имевшегося задела. С 10.1941 г. на площадке эвакуированного завода в Химках началась организация самолетных ремонтных мастерских № 84 при Ремотделе НКАП. Начальником назначен М.С. Водичкин. Далее по приказу № 4с от 2.01.1942 г. на этом месте началась организация самолетостроительного завода № 165 при ЮГУ НКАП, директором которого назначен М.С. Водичкин. Однако, приказом № 30с от 11.01.1942 г. это решение было отменено, и новым начальником Ремонтных мастерских назначен Н.Н. Леонтьев. По приказу № 239с от 30.03.1942 г. на старом месте основан Ремонтный завод при Главремуправлении НКАП для ремонта самолетов Пе-2, ДБ-3, СБ, ТБ-3, ПС-84. В 04.1942 г. он переименован в завод № 456 НКАП.</w:t>
      </w:r>
    </w:p>
    <w:p w14:paraId="1FD97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новом месте выпуск ПС-84 возобновлен уже в 01.1942 г. 24.02.1942 г. вышло постановление ГКО № 1340 об увеличении выпуска самолетов ПС-84 на заводе № 84, пост. ГКО № 2512 от 13.11.1942 г. заводу утвержден ежемесячный план - 20 Ли-2. До конца войны в Ташкенте выпущено, по разным сведениям, 2362-2500 машин. По пр. НКАП № 174 от 27.04.1945 г. завод с 1.05.1945 г. переведен на выпуск только пассажирского Ли-2П и грузового Ли-2 Г. Производство прекращено в соответствии с ПСМ № 947-407 от 1.04.1953 г.</w:t>
      </w:r>
    </w:p>
    <w:p w14:paraId="743B7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2929C09A" w14:textId="7CA8D3B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располагался на двух площадках: старой (СКО, заготовительные и механические цеха) и новой (сборочные цеха, лаборатории, ЛИС).</w:t>
      </w:r>
    </w:p>
    <w:p w14:paraId="41CE9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2D2DB4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СМ СССР № 713-342 от 26.06.1957 г. передан в ведение СНХ Узбекской ССР.</w:t>
      </w:r>
    </w:p>
    <w:p w14:paraId="4D813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 373-184 от 4.04.1957 г. на заводе начато освоение производства Ан-8 с двигателями АИ-20Д.</w:t>
      </w:r>
    </w:p>
    <w:p w14:paraId="721604CD" w14:textId="579228CC"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организовано представительство ОКБ на заводе № 84, руководитель- И. Г. Ермохин.</w:t>
      </w:r>
    </w:p>
    <w:p w14:paraId="51C311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438529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приказом МАП № 119 от 10.06.1965 г. на заводе начался выпуск Ан-22.</w:t>
      </w:r>
    </w:p>
    <w:p w14:paraId="66927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1973 г. на базе завода создано ТАПОиЧ.</w:t>
      </w:r>
    </w:p>
    <w:p w14:paraId="1CD84379" w14:textId="6E4D757F"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2FA12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54779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2007 г. планировалось вхождение ТАПОиЧ в </w:t>
      </w:r>
      <w:r w:rsidRPr="00E93F40">
        <w:rPr>
          <w:rFonts w:ascii="Times New Roman" w:hAnsi="Times New Roman"/>
          <w:color w:val="000000" w:themeColor="text1"/>
          <w:sz w:val="16"/>
          <w:szCs w:val="16"/>
          <w:lang w:val="en-US"/>
        </w:rPr>
        <w:t>OAK</w:t>
      </w:r>
      <w:r w:rsidRPr="00E93F40">
        <w:rPr>
          <w:rFonts w:ascii="Times New Roman" w:hAnsi="Times New Roman"/>
          <w:color w:val="000000" w:themeColor="text1"/>
          <w:sz w:val="16"/>
          <w:szCs w:val="16"/>
        </w:rPr>
        <w:t>.</w:t>
      </w:r>
    </w:p>
    <w:p w14:paraId="0B1E80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(11.1940 г.)- 477 металлорежущих станков.</w:t>
      </w:r>
    </w:p>
    <w:p w14:paraId="2C2674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(1980-е)- около 50 тыс. чел., (2005 г.)~ 12.000 чел.</w:t>
      </w:r>
    </w:p>
    <w:p w14:paraId="5A538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(-01-4.07.1937 г.)- Ф.П. Мурашев (снят), (3.08.1937-2.02.1938 г.)- С.И. Савышев, (2.02-08.1938 г.-)- П.И. Осипенко, (1939-47 г.)-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Ярунин, (1947 г.-)- А.Н. Рудин, Кабишев, (1969-73 г.)- В.Н. Сивец. Гендиректор (1973-84 г.)- В.Н. Сивец, (1996-11.2006 г.)- В.П. Кучеров.</w:t>
      </w:r>
    </w:p>
    <w:p w14:paraId="52AE9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(27.05-20.08.1937 г.)- С.И. Беляйкин, (06.1937 г.)- А.Р. Рубенчик, (-10.1940 г.)- А.П. Бугров, (12.1940 г.-)- Б.П. Лисунов.</w:t>
      </w:r>
    </w:p>
    <w:p w14:paraId="1010C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6E642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(-06-15.12.1937 г.)- А.Р. Рубенчик, (12.1940-46 г.)- Б.П. Лисунов.</w:t>
      </w:r>
    </w:p>
    <w:p w14:paraId="13E605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(05(07). 1936-37</w:t>
      </w:r>
      <w:r w:rsidRPr="00E93F40">
        <w:rPr>
          <w:rFonts w:ascii="Times New Roman" w:hAnsi="Times New Roman"/>
          <w:color w:val="000000" w:themeColor="text1"/>
          <w:sz w:val="16"/>
          <w:szCs w:val="16"/>
          <w:lang w:val="en-US"/>
        </w:rPr>
        <w:t>r</w:t>
      </w:r>
      <w:r w:rsidRPr="00E93F40">
        <w:rPr>
          <w:rFonts w:ascii="Times New Roman" w:hAnsi="Times New Roman"/>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7A690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Начальшки отделов: ОКС и.о. (1938 г.)- Дьяков; АХО (1938 г.)- Дорофеев. Начальник УКС (08.2938 г.)- Белозеров.</w:t>
      </w:r>
    </w:p>
    <w:p w14:paraId="29D00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отдела: ОТК (07.1943 г.-)- М.И. Гудков.</w:t>
      </w:r>
    </w:p>
    <w:p w14:paraId="2CC47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отделений: гошово-шаблонного (-04.1938 г.)- Козлов.</w:t>
      </w:r>
    </w:p>
    <w:p w14:paraId="08A41D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Комендант завода (-16.07.1938 г.)- Самочкин (снят).</w:t>
      </w:r>
    </w:p>
    <w:p w14:paraId="1B1E4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Летчики-испытатели: (1996 г.)- В.И. Свиридов.</w:t>
      </w:r>
    </w:p>
    <w:p w14:paraId="73893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 самолеты:</w:t>
      </w:r>
      <w:r w:rsidRPr="00E93F40">
        <w:rPr>
          <w:rFonts w:ascii="Times New Roman" w:hAnsi="Times New Roman"/>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E93F40">
        <w:rPr>
          <w:rFonts w:ascii="Times New Roman" w:hAnsi="Times New Roman"/>
          <w:color w:val="000000" w:themeColor="text1"/>
          <w:sz w:val="16"/>
          <w:szCs w:val="16"/>
          <w:vertAlign w:val="superscript"/>
        </w:rPr>
        <w:t>69</w:t>
      </w:r>
    </w:p>
    <w:p w14:paraId="722EA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Заводской номер:</w:t>
      </w:r>
      <w:r w:rsidRPr="00E93F40">
        <w:rPr>
          <w:rFonts w:ascii="Times New Roman" w:hAnsi="Times New Roman"/>
          <w:color w:val="000000" w:themeColor="text1"/>
          <w:sz w:val="16"/>
          <w:szCs w:val="16"/>
        </w:rPr>
        <w:t xml:space="preserve"> в 1958-59 г. был семизначным: 5340110-</w:t>
      </w:r>
      <w:r w:rsidRPr="00E93F40">
        <w:rPr>
          <w:rFonts w:ascii="Times New Roman" w:hAnsi="Times New Roman"/>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самолет а в серии).</w:t>
      </w:r>
      <w:r w:rsidRPr="00E93F40">
        <w:rPr>
          <w:rFonts w:ascii="Times New Roman" w:hAnsi="Times New Roman"/>
          <w:color w:val="000000" w:themeColor="text1"/>
          <w:sz w:val="16"/>
          <w:szCs w:val="16"/>
        </w:rPr>
        <w:t xml:space="preserve"> С 1960 г. номер (для Ан-8) буквенно-цифровой:</w:t>
      </w:r>
      <w:r w:rsidRPr="00E93F40">
        <w:rPr>
          <w:rFonts w:ascii="Times New Roman" w:hAnsi="Times New Roman"/>
          <w:iCs/>
          <w:color w:val="000000" w:themeColor="text1"/>
          <w:sz w:val="16"/>
          <w:szCs w:val="16"/>
        </w:rPr>
        <w:t xml:space="preserve"> 1-я цифра (0 </w:t>
      </w:r>
      <w:r w:rsidRPr="00E93F40">
        <w:rPr>
          <w:rFonts w:ascii="Times New Roman" w:hAnsi="Times New Roman"/>
          <w:iCs/>
          <w:color w:val="000000" w:themeColor="text1"/>
          <w:sz w:val="16"/>
          <w:szCs w:val="16"/>
          <w:lang w:val="en-US"/>
        </w:rPr>
        <w:t>wiul</w:t>
      </w:r>
      <w:r w:rsidRPr="00E93F40">
        <w:rPr>
          <w:rFonts w:ascii="Times New Roman" w:hAnsi="Times New Roman"/>
          <w:iCs/>
          <w:color w:val="000000" w:themeColor="text1"/>
          <w:sz w:val="16"/>
          <w:szCs w:val="16"/>
        </w:rPr>
        <w:t>)- год выпуска, затем буква обозначала серию (А-Ж-для машин 1960 г., 3-К-для машин 1961 г.). Для</w:t>
      </w:r>
      <w:r w:rsidRPr="00E93F40">
        <w:rPr>
          <w:rFonts w:ascii="Times New Roman" w:hAnsi="Times New Roman"/>
          <w:color w:val="000000" w:themeColor="text1"/>
          <w:sz w:val="16"/>
          <w:szCs w:val="16"/>
        </w:rPr>
        <w:t xml:space="preserve"> Ан-12 до 06.1973 г. номер был восьмизначным:</w:t>
      </w:r>
      <w:r w:rsidRPr="00E93F40">
        <w:rPr>
          <w:rFonts w:ascii="Times New Roman" w:hAnsi="Times New Roman"/>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самолет а в серии).</w:t>
      </w:r>
      <w:r w:rsidRPr="00E93F40">
        <w:rPr>
          <w:rFonts w:ascii="Times New Roman" w:hAnsi="Times New Roman"/>
          <w:color w:val="000000" w:themeColor="text1"/>
          <w:sz w:val="16"/>
          <w:szCs w:val="16"/>
        </w:rPr>
        <w:t xml:space="preserve"> С 06.1973 г. заводской номер- девятизначный: 053483311-</w:t>
      </w:r>
      <w:r w:rsidRPr="00E93F40">
        <w:rPr>
          <w:rFonts w:ascii="Times New Roman" w:hAnsi="Times New Roman"/>
          <w:iCs/>
          <w:color w:val="000000" w:themeColor="text1"/>
          <w:sz w:val="16"/>
          <w:szCs w:val="16"/>
        </w:rPr>
        <w:t xml:space="preserve"> первые 4 цифры сохранили свое значение, остальные- не имели смысла (но первой была 8) (11982).</w:t>
      </w:r>
    </w:p>
    <w:p w14:paraId="033FD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0746A6" w14:textId="77777777" w:rsidR="00D47DDD" w:rsidRPr="00E93F40" w:rsidRDefault="00D47D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июня 1932 г. Протокол ПБ № 105 п.103/45: О выставке самолетов в Англии. Решено командировать на выставку от НКВМора Сергеева и Аузана (15902).</w:t>
      </w:r>
    </w:p>
    <w:p w14:paraId="092E15CB" w14:textId="77777777" w:rsidR="00D47DDD" w:rsidRPr="00E93F40" w:rsidRDefault="00D47DDD" w:rsidP="00E93F40">
      <w:pPr>
        <w:spacing w:after="0" w:line="240" w:lineRule="auto"/>
        <w:jc w:val="both"/>
        <w:rPr>
          <w:rFonts w:ascii="Times New Roman" w:hAnsi="Times New Roman"/>
          <w:color w:val="000000" w:themeColor="text1"/>
          <w:sz w:val="16"/>
          <w:szCs w:val="16"/>
        </w:rPr>
      </w:pPr>
    </w:p>
    <w:p w14:paraId="779EB58C"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23 июня 1932 состоялось заседание ПБ (Протокол № 105) </w:t>
      </w:r>
    </w:p>
    <w:p w14:paraId="1EA7BA0A"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 О помещении в печати обращения Правления «Доброфлота» о добровольных вхносах на расширение мореходной .деятельности</w:t>
      </w:r>
    </w:p>
    <w:p w14:paraId="2398E6FA"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Розенгольц)</w:t>
      </w:r>
    </w:p>
    <w:p w14:paraId="3BE1DA64"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возражать против опубликования в "Экономической Жизни" обращения Правления "Доброфлота" к советской обшественности о добровольных взносах на расширение мореходной деятельности "Доброфлота”, согласовав его текст с HKВТ и НКИД.</w:t>
      </w:r>
    </w:p>
    <w:p w14:paraId="6283F270"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Крестинскому.</w:t>
      </w:r>
    </w:p>
    <w:p w14:paraId="7AF890CB"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июня 1932 опросом членов ПБ</w:t>
      </w:r>
    </w:p>
    <w:p w14:paraId="2CD7C158"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106/48.- Вопросы КО.</w:t>
      </w:r>
    </w:p>
    <w:p w14:paraId="6C2121B6"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Заказ на моторы Либерти в Америке дополни</w:t>
      </w:r>
      <w:r w:rsidRPr="00E93F40">
        <w:rPr>
          <w:rFonts w:ascii="Times New Roman" w:hAnsi="Times New Roman"/>
          <w:color w:val="000000" w:themeColor="text1"/>
          <w:sz w:val="16"/>
          <w:szCs w:val="16"/>
        </w:rPr>
        <w:softHyphen/>
        <w:t>тельно увеличить на 700 моторов.</w:t>
      </w:r>
    </w:p>
    <w:p w14:paraId="4E172DAA"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Рассылка не указана</w:t>
      </w:r>
    </w:p>
    <w:p w14:paraId="6A3FB7FC"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124/65.- О Kapбюраторах для Глававиапрома.</w:t>
      </w:r>
    </w:p>
    <w:p w14:paraId="29822799"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Разбронировать и выдать Глававиапрому 228 комплек</w:t>
      </w:r>
      <w:r w:rsidRPr="00E93F40">
        <w:rPr>
          <w:rFonts w:ascii="Times New Roman" w:hAnsi="Times New Roman"/>
          <w:color w:val="000000" w:themeColor="text1"/>
          <w:sz w:val="16"/>
          <w:szCs w:val="16"/>
        </w:rPr>
        <w:softHyphen/>
        <w:t>тов карбюгатооов "60-ДС" и 290 помп "AМ" с тем, что обязать т. Баранова восстановить резерв карбюраторов в количестве 228 комплектов к 1.IX.32 г.</w:t>
      </w:r>
    </w:p>
    <w:p w14:paraId="0135E563"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Ягоде, Баранову (23050).</w:t>
      </w:r>
    </w:p>
    <w:p w14:paraId="0BADC16A" w14:textId="77777777" w:rsidR="00EB5050" w:rsidRPr="00E93F40" w:rsidRDefault="00EB5050" w:rsidP="00E93F40">
      <w:pPr>
        <w:spacing w:after="0" w:line="240" w:lineRule="auto"/>
        <w:jc w:val="both"/>
        <w:rPr>
          <w:rFonts w:ascii="Times New Roman" w:hAnsi="Times New Roman"/>
          <w:color w:val="000000" w:themeColor="text1"/>
          <w:sz w:val="16"/>
          <w:szCs w:val="16"/>
        </w:rPr>
      </w:pPr>
    </w:p>
    <w:p w14:paraId="23E1A6B3"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июня 1932 г.</w:t>
      </w:r>
    </w:p>
    <w:p w14:paraId="22C4DFEF"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Политбюро ЦК ВКП(б)</w:t>
      </w:r>
    </w:p>
    <w:p w14:paraId="75CF86CF"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«Вопросы К[омитета] о[бороны]»* 2*</w:t>
      </w:r>
    </w:p>
    <w:p w14:paraId="3573B77C"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П105/106/48-опр.</w:t>
      </w:r>
      <w:r w:rsidRPr="00E93F40">
        <w:rPr>
          <w:rFonts w:ascii="Times New Roman" w:hAnsi="Times New Roman"/>
          <w:color w:val="000000" w:themeColor="text1"/>
          <w:sz w:val="16"/>
          <w:szCs w:val="16"/>
        </w:rPr>
        <w:tab/>
        <w:t>23 июня 1932 г.</w:t>
      </w:r>
    </w:p>
    <w:p w14:paraId="3352F115"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Строго секретно</w:t>
      </w:r>
    </w:p>
    <w:p w14:paraId="0FF76EBA"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«Особой папки»</w:t>
      </w:r>
    </w:p>
    <w:p w14:paraId="225F7C9C"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106/48. б) Заказ на моторы «Либерти» в Америке дополнительно увеличить на 700 моторов.</w:t>
      </w:r>
    </w:p>
    <w:p w14:paraId="443C3880"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Секретарь ЦК</w:t>
      </w:r>
    </w:p>
    <w:p w14:paraId="55505972"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 3. Оп. 66. Д. 343. Л. 54. Копия.</w:t>
      </w:r>
    </w:p>
    <w:p w14:paraId="0684472E"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Копии направлены А.А. Андрееву, К.Е. Ворошилову, М.И. Калинину, А.И. Микояну, В.М. Молотову, Г.К. Орджоникидзе, П.П. Постышеву.</w:t>
      </w:r>
    </w:p>
    <w:p w14:paraId="1BAB5E3E"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Принято опросом членов Политбюро ЦК ВКП(б) 23 июня 1932 г. Выписка из протокола № 105 заседания Политбюро ЦК ВКП(б) 23 июня 1932 г., п. 106/48.</w:t>
      </w:r>
    </w:p>
    <w:p w14:paraId="184B42A6" w14:textId="77777777" w:rsidR="00EB5050" w:rsidRPr="00E93F40" w:rsidRDefault="00EB50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Направлена К.Е. Ворошилову (20862).</w:t>
      </w:r>
    </w:p>
    <w:p w14:paraId="1A4890C8" w14:textId="77777777" w:rsidR="00EB5050" w:rsidRPr="00E93F40" w:rsidRDefault="00EB5050" w:rsidP="00E93F40">
      <w:pPr>
        <w:spacing w:after="0" w:line="240" w:lineRule="auto"/>
        <w:jc w:val="both"/>
        <w:rPr>
          <w:rFonts w:ascii="Times New Roman" w:hAnsi="Times New Roman"/>
          <w:color w:val="000000" w:themeColor="text1"/>
          <w:sz w:val="16"/>
          <w:szCs w:val="16"/>
        </w:rPr>
      </w:pPr>
    </w:p>
    <w:p w14:paraId="4806BBC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55F840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582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июня 1932 Л.М.Каганович сообщает И.В.С.: “… Об истребителях, о танках, о Курчевском и пушках обсудили на последнем заседании Комиссии Обороны. Пришлось ругаться, особенно по танкам и Курчевскому. Надо ждать перелома в июле”.</w:t>
      </w:r>
    </w:p>
    <w:p w14:paraId="5CE00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Маханов И.А. — в 1932 году начальник конструкторского бюро Кировского завода в Ленинграде. Занимался разработкой 76 мм универсальных, полууниверсальных дивизионных зенитных пушек. См. также: Письмо К.Е. Ворошилову 30 июля 1932 года.</w:t>
      </w:r>
    </w:p>
    <w:p w14:paraId="19BC89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Курчевский Леонид Васильевич (1890–1937) — с 1911 по 1914 год учился на естественном отделении физико-математического факультета Московского университета. В 1915 году работает лаборантом Педагогического института имени П.Г. Шелапутина. С января 1916 по декабрь 1918 заведует конструкторским бюро Московского военно-промышленного комитета. В 1918–1920 годах является заведующим лабораторией комитета по делам изобретений ВСНХ, одновременно с 1919 года работает в автосекции транспортного отдела этого же комитета. С мая 1921 по май 1922 — в Комиссии особых опытов по звуковой разведке (КОМЗВУК). В 1924-м создал первый прототип динамо-реактивного орудия, в том же году арестован по обвинению в растрате государственных денег. В 1925 осужден судебной коллегией ОГПУ и сослан на Соловки.</w:t>
      </w:r>
    </w:p>
    <w:p w14:paraId="70F53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Благодаря ходатайству Г.К. Орджоникидзе и М.Н. Тухачевского в 1930 году Л.В. Курчевский был освобожден из заключения и назначен главным конструктором ОКБ 1 ГАУ, которое находилось на заводе № 8 (Подлипки). Здесь ему поручают создание безоткатной пушки для вооружения самолетов, противотанкового ружья и батальонной пушки для стрелковых подразделений. Первые опытные образцы пушек проходили испытания в 1932 году.</w:t>
      </w:r>
    </w:p>
    <w:p w14:paraId="0AC53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создание новых типов артиллерийского вооружения Курчевский в 1933 году награжден орденом Красной Звезды (11868).</w:t>
      </w:r>
    </w:p>
    <w:p w14:paraId="4BFEF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858171" w14:textId="77777777" w:rsidR="001E5E4A" w:rsidRPr="00E93F40" w:rsidRDefault="001E5E4A" w:rsidP="00E93F40">
      <w:pPr>
        <w:pStyle w:val="rtejustify"/>
        <w:spacing w:before="0" w:after="0"/>
        <w:rPr>
          <w:color w:val="000000" w:themeColor="text1"/>
          <w:sz w:val="16"/>
          <w:szCs w:val="16"/>
        </w:rPr>
      </w:pPr>
      <w:r w:rsidRPr="00E93F40">
        <w:rPr>
          <w:bCs/>
          <w:color w:val="000000" w:themeColor="text1"/>
          <w:sz w:val="16"/>
          <w:szCs w:val="16"/>
        </w:rPr>
        <w:t>23 июня [1932 г.] Каганович — Сталину</w:t>
      </w:r>
    </w:p>
    <w:p w14:paraId="6CC39541"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rPr>
        <w:t>23/VI</w:t>
      </w:r>
    </w:p>
    <w:p w14:paraId="2641CA36" w14:textId="77777777" w:rsidR="001E5E4A" w:rsidRPr="00E93F40" w:rsidRDefault="001E5E4A" w:rsidP="00E93F40">
      <w:pPr>
        <w:pStyle w:val="rtecenter"/>
        <w:spacing w:before="0" w:after="0"/>
        <w:jc w:val="both"/>
        <w:rPr>
          <w:color w:val="000000" w:themeColor="text1"/>
          <w:sz w:val="16"/>
          <w:szCs w:val="16"/>
        </w:rPr>
      </w:pPr>
      <w:r w:rsidRPr="00E93F40">
        <w:rPr>
          <w:color w:val="000000" w:themeColor="text1"/>
          <w:sz w:val="16"/>
          <w:szCs w:val="16"/>
        </w:rPr>
        <w:t>Здравствуйте, т. Сталин!</w:t>
      </w:r>
    </w:p>
    <w:p w14:paraId="44F74D2A"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rPr>
        <w:t>…6) Отложили мы предложение о переводе «Красного Путиловца» на производство «бюиков». Дело в том, что Яковлев доказывает, что с моторами для комбайнов обстоит плохо как в этом году, так и на будущий год, поэтому мы выделили комиссию, а тем временем я надеюсь получить Ваше мнение по этому вопросу, я знаю, что Вы высказывались за это, но кажется не для этого года.</w:t>
      </w:r>
    </w:p>
    <w:p w14:paraId="5E580C0A"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rPr>
        <w:t>7) Об истребителях, о танках, о Курчевском и пушках обсудили на последнем заседании Ком[иссии] Обороны. Пришлось ругаться, особенно по танкам и Курчевскому. Надо ждать перелома в июле.</w:t>
      </w:r>
    </w:p>
    <w:p w14:paraId="72D2B5EB"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rPr>
        <w:t>8) По нефти мы посылаем Рабиновича и Рябовола за границу для возобновления переговоров на основе последних установок. Посылаю Вам записку Рябовола-Рабиновича и Вейцера</w:t>
      </w:r>
      <w:r w:rsidRPr="00E93F40">
        <w:rPr>
          <w:color w:val="000000" w:themeColor="text1"/>
          <w:sz w:val="16"/>
          <w:szCs w:val="16"/>
          <w:vertAlign w:val="superscript"/>
        </w:rPr>
        <w:t>2</w:t>
      </w:r>
      <w:r w:rsidRPr="00E93F40">
        <w:rPr>
          <w:color w:val="000000" w:themeColor="text1"/>
          <w:sz w:val="16"/>
          <w:szCs w:val="16"/>
        </w:rPr>
        <w:t>.</w:t>
      </w:r>
    </w:p>
    <w:p w14:paraId="1899F3DB"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rPr>
        <w:t>9) Литвинов ничего не сообщает. Сегодня есть сообщение, что он выступил с приветствиями по адресу обращения Гувера</w:t>
      </w:r>
      <w:r w:rsidRPr="00E93F40">
        <w:rPr>
          <w:color w:val="000000" w:themeColor="text1"/>
          <w:sz w:val="16"/>
          <w:szCs w:val="16"/>
          <w:vertAlign w:val="superscript"/>
        </w:rPr>
        <w:t>3</w:t>
      </w:r>
      <w:r w:rsidRPr="00E93F40">
        <w:rPr>
          <w:color w:val="000000" w:themeColor="text1"/>
          <w:sz w:val="16"/>
          <w:szCs w:val="16"/>
        </w:rPr>
        <w:t xml:space="preserve">. Придется его запросить, что у него там делается и </w:t>
      </w:r>
      <w:r w:rsidRPr="00E93F40">
        <w:rPr>
          <w:color w:val="000000" w:themeColor="text1"/>
          <w:sz w:val="16"/>
          <w:szCs w:val="16"/>
          <w:u w:val="single"/>
        </w:rPr>
        <w:t>почему он не запросил перед своим выступлением</w:t>
      </w:r>
      <w:r w:rsidRPr="00E93F40">
        <w:rPr>
          <w:color w:val="000000" w:themeColor="text1"/>
          <w:sz w:val="16"/>
          <w:szCs w:val="16"/>
        </w:rPr>
        <w:t>, как только он попадает в круг министров и премьеров, так он теряет равновесие и забывает, что у нас не буржуазный парламентаризм, а большевистское руководство.</w:t>
      </w:r>
    </w:p>
    <w:p w14:paraId="652CD938"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rPr>
        <w:t>10) Трояновский делает глупости. Несмотря на запрещение, он ведет разговоры с Фудживарой о выкупе японцами КВЖД и об отказе японцев от японских рыболовных прав и т.д., думаем послать ему резкую телеграмму, чтобы он прекратил эти разговоры.</w:t>
      </w:r>
    </w:p>
    <w:p w14:paraId="0496302F"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rPr>
        <w:t>Ну на этом кончу. Привет. Ваш Л.Каганович.</w:t>
      </w:r>
    </w:p>
    <w:p w14:paraId="10C331B3"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rPr>
        <w:t>P. S. M. Горький обратился в ЦК с просьбой разрешить Бабелю выехать за границу на короткий срок. Несмотря на то, что я передал, что мы сомневаемся в целесообразности этого, от него мне звонят каждый день. Видимо, Горький это принимает с некоторой остротой. Зная, что Вы в таких случаях относитесь с особой чуткостью к нему, я Вам об этом сообщаю и спрашиваю, как быть. Л.Каганович.</w:t>
      </w:r>
    </w:p>
    <w:p w14:paraId="2B566377" w14:textId="77777777" w:rsidR="001E5E4A" w:rsidRPr="00E93F40" w:rsidRDefault="001E5E4A" w:rsidP="00E93F40">
      <w:pPr>
        <w:pStyle w:val="rtejustify"/>
        <w:spacing w:before="0" w:after="0"/>
        <w:rPr>
          <w:color w:val="000000" w:themeColor="text1"/>
          <w:sz w:val="16"/>
          <w:szCs w:val="16"/>
        </w:rPr>
      </w:pPr>
      <w:r w:rsidRPr="00E93F40">
        <w:rPr>
          <w:rStyle w:val="af0"/>
          <w:i w:val="0"/>
          <w:color w:val="000000" w:themeColor="text1"/>
          <w:sz w:val="16"/>
          <w:szCs w:val="16"/>
        </w:rPr>
        <w:t>____________________</w:t>
      </w:r>
    </w:p>
    <w:p w14:paraId="2C3291FE"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 xml:space="preserve"> Записка отсутствует. См. документ № 99. 23 июня ПБ разрешило Розенгольцу командировать в ближайшие дни Рабиновича и Рябовола для возобновления переговоров о нефтяном соглашении (Там же. Оп. 162. Д. 12. Л. 191).</w:t>
      </w:r>
    </w:p>
    <w:p w14:paraId="2B1774DF"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 xml:space="preserve"> 22 июня 1932 г. на заседании Генеральной комиссии Конференции по сокращению и ограничению вооружений были оглашены предложения президента США Гувера о сокращении вооружений. Советская делегация выступила в поддержку плана Гувера (ДВП. Т. XV. С. 776, 777).</w:t>
      </w:r>
    </w:p>
    <w:p w14:paraId="3DEB604F" w14:textId="77777777" w:rsidR="001E5E4A" w:rsidRPr="00E93F40" w:rsidRDefault="001E5E4A" w:rsidP="00E93F40">
      <w:pPr>
        <w:pStyle w:val="rtejustify"/>
        <w:spacing w:before="0" w:after="0"/>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 xml:space="preserve"> 21 июня заведующий Оргинструкторским отделом ЦК Ж.И.Меерзон направил секретарям ЦК Сталину, Кагановичу и Постышеву записку «О фактах групповщины в Закавказской парторганизации». В ней говорилось, что 10 июня 1932 г. Бюро ЦК компартии Грузии разбирало вопрос о групповой работе Марии Орахелашвили и других, «которые путем распространения ложных слухов пытались противопоставить ЦК Грузии Заккрайкому и дискредитировать отдельных руководителей ЦК и Тифлисского комитета (в частности, тов. Берия)». Мария Орахелашвили получила выговор и была освобождена от занимаемой должности. 23 июня 1932 г. Ярославский направил заявление М. Орахелашвили Кагановичу (РГАСПИ. Ф. 17. Оп. 120. Д. 82. Л. 88, 117).</w:t>
      </w:r>
    </w:p>
    <w:p w14:paraId="09DA939D" w14:textId="77777777" w:rsidR="001E5E4A" w:rsidRPr="00E93F40" w:rsidRDefault="001E5E4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558. Oп. 11. Д. 740. Л. 76–81. Автограф. </w:t>
      </w:r>
    </w:p>
    <w:p w14:paraId="215DAA81" w14:textId="77777777" w:rsidR="001E5E4A" w:rsidRPr="00E93F40" w:rsidRDefault="001E5E4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Сталин и Каганович. Переписка. 1931–1936 гг. Москва: (РОССПЭН), 2001 Стр. 188-190 (12340).</w:t>
      </w:r>
    </w:p>
    <w:p w14:paraId="2162E0BF" w14:textId="77777777" w:rsidR="001E5E4A" w:rsidRPr="00E93F40" w:rsidRDefault="001E5E4A" w:rsidP="00E93F40">
      <w:pPr>
        <w:pStyle w:val="rtejustify"/>
        <w:spacing w:before="0" w:after="0"/>
        <w:rPr>
          <w:color w:val="000000" w:themeColor="text1"/>
          <w:sz w:val="16"/>
          <w:szCs w:val="16"/>
        </w:rPr>
      </w:pPr>
    </w:p>
    <w:p w14:paraId="6954B69B" w14:textId="77777777" w:rsidR="001E5E4A" w:rsidRPr="00E93F40" w:rsidRDefault="001E5E4A"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июня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105. 23. О постройке судостроительного завода в районе Архангельска (ПБ от 23 марта 1932 г., пр. № 93, п. 29в). 24. О металлургической базе в Восточной Сибири (ПБ от 8 марта 1932 г., пр. № 91, п. 146). Решения ПБ от 20 июня 1932 г. 75/35. О бронепоездах КВЖД (Карахан). — ОП. Опросом членов ПБ от 23 июня 1932 г. 106/48. Вопросы Комиссии обороны. Постановили: б) заказ на моторы «Либерти» в Америке дополнительно увеличить на 700 моторов. 123/65. О карбюраторах для Глававиапрома. — ОП. Постановили: разбронировать и выдать Глававиапрому 228 комплектов карбюраторов «60?ДС» и 290 помп «АМ» с тем, чтобы обязать т. Баранова восстановить резерв карбюраторов в количестве 228 комплектов к 1 сентября 1932 г. (Политбюро... Т. 2. С. 320, 321, 322, 323; РГАСПИ. Ф. 17. Оп. 162. Д. 12. Л. 196, 197) (12416).</w:t>
      </w:r>
    </w:p>
    <w:p w14:paraId="71EE537D" w14:textId="77777777" w:rsidR="001E5E4A" w:rsidRPr="00E93F40" w:rsidRDefault="001E5E4A" w:rsidP="00E93F40">
      <w:pPr>
        <w:spacing w:after="0" w:line="240" w:lineRule="auto"/>
        <w:jc w:val="both"/>
        <w:rPr>
          <w:rFonts w:ascii="Times New Roman" w:hAnsi="Times New Roman"/>
          <w:color w:val="000000" w:themeColor="text1"/>
          <w:sz w:val="16"/>
          <w:szCs w:val="16"/>
          <w:u w:color="002060"/>
        </w:rPr>
      </w:pPr>
    </w:p>
    <w:p w14:paraId="5F05D3ED" w14:textId="77777777" w:rsidR="00DC020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DA00C20"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FE3071" w14:textId="30FA44B6"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23 июня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Каганович-Сталину: </w:t>
      </w:r>
      <w:r w:rsidRPr="00E93F40">
        <w:rPr>
          <w:rFonts w:ascii="Times New Roman" w:eastAsia="Times New Roman" w:hAnsi="Times New Roman"/>
          <w:iCs/>
          <w:color w:val="000000" w:themeColor="text1"/>
          <w:sz w:val="16"/>
          <w:szCs w:val="16"/>
          <w:lang w:eastAsia="ru-RU"/>
        </w:rPr>
        <w:t>«Внешторг</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включил в экспортно-импортный план</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III</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кв[артала] вывоз 60 мил. пуд]ов] зерновых и кроме этого завоз в порты сверх этого 50 м[лн]. пуд[ов] для залога и продажи в октябре. Годовой план экспорта из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32 г. он предлагает довести до 4 млн. тонн. Мы этот вопрос пока не решили. Конечно, вывозить обязательно необходимо немедленно и надо дать отпор настроениям, сложившимся на почве некоторых затруднений последних пару месяцев, что не надо-де вывозить, но</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вопрос</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сколько вывезти в</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IIIквартале, думаю, что цифру</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Внешторга</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немного сократить придется. Прошу Вас сообщить Ваше мнение»</w:t>
      </w:r>
      <w:r w:rsidRPr="00E93F40">
        <w:rPr>
          <w:rFonts w:ascii="Times New Roman" w:eastAsia="Times New Roman" w:hAnsi="Times New Roman"/>
          <w:color w:val="000000" w:themeColor="text1"/>
          <w:sz w:val="16"/>
          <w:szCs w:val="16"/>
          <w:lang w:eastAsia="ru-RU"/>
        </w:rPr>
        <w:t>.</w:t>
      </w:r>
    </w:p>
    <w:p w14:paraId="559552F7" w14:textId="172EDD45"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26 июня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Ответ Сталина: </w:t>
      </w:r>
      <w:r w:rsidRPr="00E93F40">
        <w:rPr>
          <w:rFonts w:ascii="Times New Roman" w:eastAsia="Times New Roman" w:hAnsi="Times New Roman"/>
          <w:iCs/>
          <w:color w:val="000000" w:themeColor="text1"/>
          <w:sz w:val="16"/>
          <w:szCs w:val="16"/>
          <w:lang w:eastAsia="ru-RU"/>
        </w:rPr>
        <w:t xml:space="preserve">«По экспорту хлеба предлагаю </w:t>
      </w:r>
      <w:r w:rsidRPr="00E93F40">
        <w:rPr>
          <w:rFonts w:ascii="Times New Roman" w:eastAsia="Times New Roman" w:hAnsi="Times New Roman"/>
          <w:iCs/>
          <w:color w:val="000000" w:themeColor="text1"/>
          <w:sz w:val="16"/>
          <w:szCs w:val="16"/>
          <w:u w:val="single"/>
          <w:lang w:eastAsia="ru-RU"/>
        </w:rPr>
        <w:t>серьезно</w:t>
      </w:r>
      <w:r w:rsidRPr="00E93F40">
        <w:rPr>
          <w:rFonts w:ascii="Times New Roman" w:eastAsia="Times New Roman" w:hAnsi="Times New Roman"/>
          <w:iCs/>
          <w:color w:val="000000" w:themeColor="text1"/>
          <w:sz w:val="16"/>
          <w:szCs w:val="16"/>
          <w:lang w:eastAsia="ru-RU"/>
        </w:rPr>
        <w:t xml:space="preserve"> сократить план</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Розенгольца</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(для</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III</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квартала)».</w:t>
      </w:r>
    </w:p>
    <w:p w14:paraId="5C9CA791" w14:textId="4C6F127A"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16 июля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Политбюро утвердило экспорт хлеба в</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III</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квартале в размере 31,5 млн. пуд (включая и бобовые), 20 млн. пудов для варранта и 10 млн. пуд.</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переходящих остатков, всего 61,5 млн. пуд. Также принято решение, «</w:t>
      </w:r>
      <w:r w:rsidRPr="00E93F40">
        <w:rPr>
          <w:rFonts w:ascii="Times New Roman" w:eastAsia="Times New Roman" w:hAnsi="Times New Roman"/>
          <w:iCs/>
          <w:color w:val="000000" w:themeColor="text1"/>
          <w:sz w:val="16"/>
          <w:szCs w:val="16"/>
          <w:lang w:eastAsia="ru-RU"/>
        </w:rPr>
        <w:t>разрешить</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НКВТ</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по мере необходимости использовать метод продажи в порядке срочных сделок на бирже (фьючерсы) пшеницы в целях страхования цен. Объем таких продаж определить не свыше 200 тыс. тонн</w:t>
      </w:r>
      <w:r w:rsidRPr="00E93F40">
        <w:rPr>
          <w:rFonts w:ascii="Times New Roman" w:eastAsia="Times New Roman" w:hAnsi="Times New Roman"/>
          <w:color w:val="000000" w:themeColor="text1"/>
          <w:sz w:val="16"/>
          <w:szCs w:val="16"/>
          <w:lang w:eastAsia="ru-RU"/>
        </w:rPr>
        <w:t>».</w:t>
      </w:r>
    </w:p>
    <w:p w14:paraId="00D55DB7" w14:textId="07C5BB35"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сентября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Принятие нового плана хлебозаготовок 21,6 млн. т., и хлебофуражного баланса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-1933 гг.</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После неоднократных переносов, наконец то были определены и размеры экспорта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в 2,7 млн. т.</w:t>
      </w:r>
    </w:p>
    <w:p w14:paraId="1478E882" w14:textId="0AAC91FC"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20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о сокращении экспорта хлеба из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с 2,7 млн. до 2,46 млн. т.</w:t>
      </w:r>
    </w:p>
    <w:p w14:paraId="7D7C9173" w14:textId="7DE96ADA"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23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Постановление ЦК:</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Произведенное уменьшение экспортного плана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 15 млн. пудов распространить полностью на пшеницу</w:t>
      </w:r>
      <w:r w:rsidRPr="00E93F40">
        <w:rPr>
          <w:rFonts w:ascii="Times New Roman" w:eastAsia="Times New Roman" w:hAnsi="Times New Roman"/>
          <w:color w:val="000000" w:themeColor="text1"/>
          <w:sz w:val="16"/>
          <w:szCs w:val="16"/>
          <w:lang w:eastAsia="ru-RU"/>
        </w:rPr>
        <w:t>».</w:t>
      </w:r>
    </w:p>
    <w:p w14:paraId="2EE4E665" w14:textId="32E5FCBE"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Комзаг</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E93F40">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и</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продкультур</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после 1 января»</w:t>
      </w:r>
      <w:r w:rsidRPr="00E93F40">
        <w:rPr>
          <w:rFonts w:ascii="Times New Roman" w:eastAsia="Times New Roman" w:hAnsi="Times New Roman"/>
          <w:color w:val="000000" w:themeColor="text1"/>
          <w:sz w:val="16"/>
          <w:szCs w:val="16"/>
          <w:lang w:eastAsia="ru-RU"/>
        </w:rPr>
        <w:t>.</w:t>
      </w:r>
    </w:p>
    <w:p w14:paraId="1E678B6F" w14:textId="0A6BCE6F"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Политбюро</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E93F40">
        <w:rPr>
          <w:rFonts w:ascii="Times New Roman" w:eastAsia="Times New Roman" w:hAnsi="Times New Roman"/>
          <w:color w:val="000000" w:themeColor="text1"/>
          <w:sz w:val="16"/>
          <w:szCs w:val="16"/>
          <w:lang w:eastAsia="ru-RU"/>
        </w:rPr>
        <w:t>» и</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E93F40">
        <w:rPr>
          <w:rFonts w:ascii="Times New Roman" w:eastAsia="Times New Roman" w:hAnsi="Times New Roman"/>
          <w:color w:val="000000" w:themeColor="text1"/>
          <w:sz w:val="16"/>
          <w:szCs w:val="16"/>
          <w:lang w:eastAsia="ru-RU"/>
        </w:rPr>
        <w:t>».</w:t>
      </w:r>
    </w:p>
    <w:p w14:paraId="055CD388" w14:textId="05C77A97"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xml:space="preserve">31 марта 1933 г. – </w:t>
      </w:r>
      <w:r w:rsidRPr="00E93F40">
        <w:rPr>
          <w:rFonts w:ascii="Times New Roman" w:eastAsia="Times New Roman" w:hAnsi="Times New Roman"/>
          <w:color w:val="000000" w:themeColor="text1"/>
          <w:sz w:val="16"/>
          <w:szCs w:val="16"/>
          <w:lang w:eastAsia="ru-RU"/>
        </w:rPr>
        <w:t>Принято решение: «</w:t>
      </w:r>
      <w:r w:rsidRPr="00E93F40">
        <w:rPr>
          <w:rFonts w:ascii="Times New Roman" w:eastAsia="Times New Roman" w:hAnsi="Times New Roman"/>
          <w:iCs/>
          <w:color w:val="000000" w:themeColor="text1"/>
          <w:sz w:val="16"/>
          <w:szCs w:val="16"/>
          <w:lang w:eastAsia="ru-RU"/>
        </w:rPr>
        <w:t>Прекратить экспорт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начиная с 1-4-1933» (12257).</w:t>
      </w:r>
    </w:p>
    <w:p w14:paraId="552BB058"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18F2B1" w14:textId="77777777" w:rsidR="00D47DDD"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0233828" w14:textId="77777777" w:rsidR="00D47DDD" w:rsidRPr="00E93F40" w:rsidRDefault="00D47DD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2E37CA" w14:textId="77777777" w:rsidR="00D47DDD" w:rsidRPr="00E93F40" w:rsidRDefault="00D47D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23 июня</w:t>
      </w:r>
      <w:r w:rsidRPr="00E93F40">
        <w:rPr>
          <w:rFonts w:ascii="Times New Roman" w:hAnsi="Times New Roman"/>
          <w:color w:val="000000" w:themeColor="text1"/>
          <w:sz w:val="16"/>
          <w:szCs w:val="16"/>
        </w:rPr>
        <w:t xml:space="preserve"> в 1932 году состоялся первый полет летающей лодки </w:t>
      </w:r>
      <w:hyperlink r:id="rId151" w:tgtFrame="_blank" w:history="1">
        <w:r w:rsidRPr="00E93F40">
          <w:rPr>
            <w:rFonts w:ascii="Times New Roman" w:hAnsi="Times New Roman"/>
            <w:color w:val="000000" w:themeColor="text1"/>
            <w:sz w:val="16"/>
            <w:szCs w:val="16"/>
          </w:rPr>
          <w:t xml:space="preserve">«Do.12». </w:t>
        </w:r>
      </w:hyperlink>
      <w:r w:rsidRPr="00E93F40">
        <w:rPr>
          <w:rFonts w:ascii="Times New Roman" w:hAnsi="Times New Roman"/>
          <w:color w:val="000000" w:themeColor="text1"/>
          <w:sz w:val="16"/>
          <w:szCs w:val="16"/>
        </w:rPr>
        <w:t>Летающая лодка «Do.12» была разработана конструктором Клодом Дорнье на базе легких летающих лодок «Dornier» «Do.A» «Libelle I» и II (поэтому часто ее называли «Libelle III»). Лодка представляла собой цельнометаллический высокоплан с трапециевидными крыльями. Первоначально Do.12 был оборудован двигателем «Argus» «As-10» мощностью 220 л.с., который в последствии сменили на «Gnome-Rhone» «5Ke» «Titan» мощностью 317 л.с (14931).</w:t>
      </w:r>
    </w:p>
    <w:p w14:paraId="621F1161" w14:textId="77777777" w:rsidR="00D47DDD" w:rsidRPr="00E93F40" w:rsidRDefault="00D47DDD" w:rsidP="00E93F40">
      <w:pPr>
        <w:spacing w:after="0" w:line="240" w:lineRule="auto"/>
        <w:jc w:val="both"/>
        <w:rPr>
          <w:rFonts w:ascii="Times New Roman" w:hAnsi="Times New Roman"/>
          <w:color w:val="000000" w:themeColor="text1"/>
          <w:sz w:val="16"/>
          <w:szCs w:val="16"/>
        </w:rPr>
      </w:pPr>
    </w:p>
    <w:p w14:paraId="738996A1" w14:textId="77777777" w:rsidR="00B70DF0" w:rsidRPr="00E93F40" w:rsidRDefault="00B70DF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июня 1932 состоялся первый полет Дорнье До 12 (20803).</w:t>
      </w:r>
    </w:p>
    <w:p w14:paraId="00648AB0" w14:textId="77777777" w:rsidR="00B70DF0" w:rsidRPr="00E93F40" w:rsidRDefault="00B70DF0" w:rsidP="00E93F40">
      <w:pPr>
        <w:spacing w:after="0" w:line="240" w:lineRule="auto"/>
        <w:jc w:val="both"/>
        <w:rPr>
          <w:rFonts w:ascii="Times New Roman" w:hAnsi="Times New Roman"/>
          <w:color w:val="000000" w:themeColor="text1"/>
          <w:sz w:val="16"/>
          <w:szCs w:val="16"/>
        </w:rPr>
      </w:pPr>
    </w:p>
    <w:p w14:paraId="2C294081" w14:textId="09D8BD6C" w:rsidR="00B70DF0" w:rsidRPr="00E93F40" w:rsidRDefault="00B70DF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июня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Состоялся первый полет летающей лодки Do.12. Летающая лодка Do.12 была разработана конструктором Клодом Дорнье на базе легких летающих лодок Dornier Do.A Libelle I и II (поэтому часто ее называли Libelle III). Лодка представляла собой цельнометаллический высокоплан с трапециевидными крыльями. Первоначально Do.12 был оборудован двигателем Argus As-10 мощностью 220 л.с., который в последствии сменили на Gnome-Rhone 5Ke Titan мощностью 317 л.с. (22452).</w:t>
      </w:r>
    </w:p>
    <w:p w14:paraId="459C620A" w14:textId="77777777" w:rsidR="00B70DF0" w:rsidRPr="00E93F40" w:rsidRDefault="00B70DF0" w:rsidP="00E93F40">
      <w:pPr>
        <w:spacing w:after="0" w:line="240" w:lineRule="auto"/>
        <w:jc w:val="both"/>
        <w:rPr>
          <w:rFonts w:ascii="Times New Roman" w:hAnsi="Times New Roman"/>
          <w:color w:val="000000" w:themeColor="text1"/>
          <w:sz w:val="16"/>
          <w:szCs w:val="16"/>
        </w:rPr>
      </w:pPr>
    </w:p>
    <w:p w14:paraId="4FF1FD4E" w14:textId="77777777" w:rsidR="00B70DF0" w:rsidRPr="00E93F40" w:rsidRDefault="00B70DF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18F6BC3" w14:textId="77777777" w:rsidR="00B70DF0" w:rsidRPr="00E93F40" w:rsidRDefault="00B70DF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64A745" w14:textId="77777777" w:rsidR="00D47DDD" w:rsidRPr="00E93F40" w:rsidRDefault="00D47D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24 июня</w:t>
      </w:r>
      <w:r w:rsidRPr="00E93F40">
        <w:rPr>
          <w:rFonts w:ascii="Times New Roman" w:hAnsi="Times New Roman"/>
          <w:color w:val="000000" w:themeColor="text1"/>
          <w:sz w:val="16"/>
          <w:szCs w:val="16"/>
        </w:rPr>
        <w:t xml:space="preserve"> в 1932 году на посадочную площадку аэропорта "Шоссейная" (ныне "Пулково") приземлились первые два самолета из Москвы, сдан в эксплуатацию аэродром «Шоссейная» и основан ленинградский отряд «Аэрофлота». С 2006 г. в составе ГТК «Россия» (14932).</w:t>
      </w:r>
    </w:p>
    <w:p w14:paraId="3271FADA"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p>
    <w:p w14:paraId="03899F69" w14:textId="77777777" w:rsidR="00B70DF0" w:rsidRPr="00E93F40" w:rsidRDefault="00B70DF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июня 1932 в Советском Союзе вступает в строй Аэропорт Шоссейный (будущий Аэропорт Пулково). Его первый рейс - самолет с пассажирами и почтой - прибывает ближе к вечеру после двухчасового перелета из Москвы (20803).</w:t>
      </w:r>
    </w:p>
    <w:p w14:paraId="51B527E8" w14:textId="77777777" w:rsidR="00B70DF0" w:rsidRPr="00E93F40" w:rsidRDefault="00B70DF0" w:rsidP="00E93F40">
      <w:pPr>
        <w:spacing w:after="0" w:line="240" w:lineRule="auto"/>
        <w:jc w:val="both"/>
        <w:rPr>
          <w:rFonts w:ascii="Times New Roman" w:hAnsi="Times New Roman"/>
          <w:color w:val="000000" w:themeColor="text1"/>
          <w:sz w:val="16"/>
          <w:szCs w:val="16"/>
        </w:rPr>
      </w:pPr>
    </w:p>
    <w:p w14:paraId="59B14F8A"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июня 1932 на посадочную площадку аэропорта "Шоссейная" (ныне "Пулково") приземлились первые два самолета из Москвы. Начало эксплуатации аэропорта (10739).</w:t>
      </w:r>
    </w:p>
    <w:p w14:paraId="024552E1" w14:textId="77777777" w:rsidR="001E5E4A" w:rsidRPr="00E93F40" w:rsidRDefault="001E5E4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AECF226" w14:textId="77777777" w:rsidR="001E5E4A"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F1279FD" w14:textId="77777777" w:rsidR="001E5E4A" w:rsidRPr="00E93F40" w:rsidRDefault="001E5E4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DED094"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июня 1932 года И.В.С. пишет письмо К.Е. Ворошилову</w:t>
      </w:r>
    </w:p>
    <w:p w14:paraId="08F4864D"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Здравствуй, Клим!</w:t>
      </w:r>
    </w:p>
    <w:p w14:paraId="27D0E4DB"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Письмо получил.</w:t>
      </w:r>
    </w:p>
    <w:p w14:paraId="13E877D5"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По части танков и авиации, видимо, промышленность не сумела еще, как следует, перевооружиться применительно к новым (нашим) заданиям. Ничего! Будем нажимать и помогать ей, — приспособится. Все дело в том, чтобы держать известные отрасли промышленности (главным образом военной) под </w:t>
      </w:r>
      <w:r w:rsidRPr="00E93F40">
        <w:rPr>
          <w:rFonts w:ascii="Times New Roman" w:hAnsi="Times New Roman"/>
          <w:iCs/>
          <w:color w:val="000000" w:themeColor="text1"/>
          <w:sz w:val="16"/>
          <w:szCs w:val="16"/>
        </w:rPr>
        <w:t>постоянным</w:t>
      </w:r>
      <w:r w:rsidRPr="00E93F40">
        <w:rPr>
          <w:rFonts w:ascii="Times New Roman" w:hAnsi="Times New Roman"/>
          <w:color w:val="000000" w:themeColor="text1"/>
          <w:sz w:val="16"/>
          <w:szCs w:val="16"/>
        </w:rPr>
        <w:t xml:space="preserve"> контролем. Приспособятся и будут выполнять программу, если не на все 100%, то на 80–90%. Разве этого мало?</w:t>
      </w:r>
    </w:p>
    <w:p w14:paraId="5849EACA"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w:t>
      </w:r>
      <w:r w:rsidRPr="00E93F40">
        <w:rPr>
          <w:rFonts w:ascii="Times New Roman" w:hAnsi="Times New Roman"/>
          <w:iCs/>
          <w:color w:val="000000" w:themeColor="text1"/>
          <w:sz w:val="16"/>
          <w:szCs w:val="16"/>
        </w:rPr>
        <w:t>Самое тревожное — аварии</w:t>
      </w:r>
      <w:r w:rsidRPr="00E93F40">
        <w:rPr>
          <w:rFonts w:ascii="Times New Roman" w:hAnsi="Times New Roman"/>
          <w:color w:val="000000" w:themeColor="text1"/>
          <w:sz w:val="16"/>
          <w:szCs w:val="16"/>
        </w:rPr>
        <w:t xml:space="preserve">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Не следует ли — помимо всего прочего — создать при командующих округами специальную должность </w:t>
      </w:r>
      <w:r w:rsidRPr="00E93F40">
        <w:rPr>
          <w:rFonts w:ascii="Times New Roman" w:hAnsi="Times New Roman"/>
          <w:iCs/>
          <w:color w:val="000000" w:themeColor="text1"/>
          <w:sz w:val="16"/>
          <w:szCs w:val="16"/>
        </w:rPr>
        <w:t>заместителя</w:t>
      </w:r>
      <w:r w:rsidRPr="00E93F40">
        <w:rPr>
          <w:rFonts w:ascii="Times New Roman" w:hAnsi="Times New Roman"/>
          <w:color w:val="000000" w:themeColor="text1"/>
          <w:sz w:val="16"/>
          <w:szCs w:val="16"/>
        </w:rPr>
        <w:t xml:space="preserve"> командующего </w:t>
      </w:r>
      <w:r w:rsidRPr="00E93F40">
        <w:rPr>
          <w:rFonts w:ascii="Times New Roman" w:hAnsi="Times New Roman"/>
          <w:iCs/>
          <w:color w:val="000000" w:themeColor="text1"/>
          <w:sz w:val="16"/>
          <w:szCs w:val="16"/>
        </w:rPr>
        <w:t>по авиации</w:t>
      </w:r>
      <w:r w:rsidRPr="00E93F40">
        <w:rPr>
          <w:rFonts w:ascii="Times New Roman" w:hAnsi="Times New Roman"/>
          <w:color w:val="000000" w:themeColor="text1"/>
          <w:sz w:val="16"/>
          <w:szCs w:val="16"/>
        </w:rPr>
        <w:t xml:space="preserve">, возложив на этих заместителей </w:t>
      </w:r>
      <w:r w:rsidRPr="00E93F40">
        <w:rPr>
          <w:rFonts w:ascii="Times New Roman" w:hAnsi="Times New Roman"/>
          <w:iCs/>
          <w:color w:val="000000" w:themeColor="text1"/>
          <w:sz w:val="16"/>
          <w:szCs w:val="16"/>
        </w:rPr>
        <w:t>непосредственную</w:t>
      </w:r>
      <w:r w:rsidRPr="00E93F40">
        <w:rPr>
          <w:rFonts w:ascii="Times New Roman" w:hAnsi="Times New Roman"/>
          <w:color w:val="000000" w:themeColor="text1"/>
          <w:sz w:val="16"/>
          <w:szCs w:val="16"/>
        </w:rPr>
        <w:t xml:space="preserve"> ответственность за состояние авиадела в округе, что, конечно, не должно освобождать — </w:t>
      </w:r>
      <w:r w:rsidRPr="00E93F40">
        <w:rPr>
          <w:rFonts w:ascii="Times New Roman" w:hAnsi="Times New Roman"/>
          <w:iCs/>
          <w:color w:val="000000" w:themeColor="text1"/>
          <w:sz w:val="16"/>
          <w:szCs w:val="16"/>
        </w:rPr>
        <w:t>ни в малейшей степени!</w:t>
      </w:r>
      <w:r w:rsidRPr="00E93F40">
        <w:rPr>
          <w:rFonts w:ascii="Times New Roman" w:hAnsi="Times New Roman"/>
          <w:color w:val="000000" w:themeColor="text1"/>
          <w:sz w:val="16"/>
          <w:szCs w:val="16"/>
        </w:rPr>
        <w:t xml:space="preserve"> — командующего от ответственности за авиадело в округе. Я думаю, что следует.</w:t>
      </w:r>
    </w:p>
    <w:p w14:paraId="26C11B01"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Как обстоит дело с пушкой Маханова? Очень важная штука, а дело тормозится почему-то.</w:t>
      </w:r>
    </w:p>
    <w:p w14:paraId="5935C41D"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Обрати, ради бога, внимание на записку т. Агранова насчет Курчевского. Дело очень важное.</w:t>
      </w:r>
    </w:p>
    <w:p w14:paraId="7EB162B3"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Щеко вертится в Монголии неплохо. Что же, дай бог.</w:t>
      </w:r>
    </w:p>
    <w:p w14:paraId="762468E1"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Буду очень рад, если позволит тебе время заехать в Сочи.</w:t>
      </w:r>
    </w:p>
    <w:p w14:paraId="6DD889AE"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Привет!</w:t>
      </w:r>
    </w:p>
    <w:p w14:paraId="2726C17D"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Твой </w:t>
      </w:r>
      <w:r w:rsidRPr="00E93F40">
        <w:rPr>
          <w:rFonts w:ascii="Times New Roman" w:hAnsi="Times New Roman"/>
          <w:iCs/>
          <w:color w:val="000000" w:themeColor="text1"/>
          <w:sz w:val="16"/>
          <w:szCs w:val="16"/>
        </w:rPr>
        <w:t>И. Сталин</w:t>
      </w:r>
      <w:r w:rsidRPr="00E93F40">
        <w:rPr>
          <w:rFonts w:ascii="Times New Roman" w:hAnsi="Times New Roman"/>
          <w:color w:val="000000" w:themeColor="text1"/>
          <w:sz w:val="16"/>
          <w:szCs w:val="16"/>
        </w:rPr>
        <w:t>.</w:t>
      </w:r>
    </w:p>
    <w:p w14:paraId="14D993D5"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24/VI 32</w:t>
      </w:r>
    </w:p>
    <w:p w14:paraId="7A09076D"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Советское руководство. Переписка. 1928–1941. С. 180–181.</w:t>
      </w:r>
    </w:p>
    <w:p w14:paraId="476ED184"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РГАСПИ Ф. 74. Оп. 2. Д. 38. Л. 68–71 (11868).</w:t>
      </w:r>
    </w:p>
    <w:p w14:paraId="0168849B" w14:textId="77777777" w:rsidR="001E5E4A" w:rsidRPr="00E93F40" w:rsidRDefault="001E5E4A" w:rsidP="00E93F40">
      <w:pPr>
        <w:autoSpaceDE w:val="0"/>
        <w:autoSpaceDN w:val="0"/>
        <w:adjustRightInd w:val="0"/>
        <w:spacing w:after="0" w:line="240" w:lineRule="auto"/>
        <w:jc w:val="both"/>
        <w:rPr>
          <w:rFonts w:ascii="Times New Roman" w:hAnsi="Times New Roman"/>
          <w:color w:val="000000" w:themeColor="text1"/>
          <w:sz w:val="16"/>
          <w:szCs w:val="16"/>
        </w:rPr>
      </w:pPr>
    </w:p>
    <w:p w14:paraId="084CEF5D" w14:textId="77777777" w:rsidR="001C5A72" w:rsidRPr="00142305" w:rsidRDefault="001C5A72" w:rsidP="001C5A7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24 июня 1932 г. в письме К.Е. Ворошилову от И.В. Сталин отмечал сле</w:t>
      </w:r>
      <w:r w:rsidRPr="00142305">
        <w:rPr>
          <w:rStyle w:val="aff"/>
          <w:rFonts w:ascii="Times New Roman" w:hAnsi="Times New Roman" w:cs="Times New Roman"/>
          <w:color w:val="0070C0"/>
          <w:spacing w:val="0"/>
          <w:sz w:val="16"/>
          <w:szCs w:val="16"/>
        </w:rPr>
        <w:softHyphen/>
        <w:t xml:space="preserve">дующее: «По части танков и авиации, видимо, промышленность не сумела еще как следует вооружиться и приспособиться применительно к новым (нашим) заданиям. Ничего! Будем нажимать и помогать ей, - приспособится. Все дело в том, чтобы держать известные отрасли промышленности (гл[авным] обр[азом] военной) под </w:t>
      </w:r>
      <w:r w:rsidRPr="00142305">
        <w:rPr>
          <w:rStyle w:val="aff"/>
          <w:rFonts w:ascii="Times New Roman" w:hAnsi="Times New Roman" w:cs="Times New Roman"/>
          <w:color w:val="0070C0"/>
          <w:spacing w:val="0"/>
          <w:sz w:val="16"/>
          <w:szCs w:val="16"/>
          <w:u w:val="single"/>
        </w:rPr>
        <w:t>постоянным</w:t>
      </w:r>
      <w:r w:rsidRPr="00142305">
        <w:rPr>
          <w:rStyle w:val="aff"/>
          <w:rFonts w:ascii="Times New Roman" w:hAnsi="Times New Roman" w:cs="Times New Roman"/>
          <w:color w:val="0070C0"/>
          <w:spacing w:val="0"/>
          <w:sz w:val="16"/>
          <w:szCs w:val="16"/>
        </w:rPr>
        <w:t xml:space="preserve"> контролем. Приспособятся и будут выполнять про</w:t>
      </w:r>
      <w:r w:rsidRPr="00142305">
        <w:rPr>
          <w:rStyle w:val="aff"/>
          <w:rFonts w:ascii="Times New Roman" w:hAnsi="Times New Roman" w:cs="Times New Roman"/>
          <w:color w:val="0070C0"/>
          <w:spacing w:val="0"/>
          <w:sz w:val="16"/>
          <w:szCs w:val="16"/>
        </w:rPr>
        <w:softHyphen/>
        <w:t>грамму, если не на все 100, то на 80-90%. Разве этого мало?» (</w:t>
      </w:r>
      <w:r w:rsidRPr="001C5A72">
        <w:rPr>
          <w:rStyle w:val="aff3"/>
          <w:rFonts w:ascii="Times New Roman" w:hAnsi="Times New Roman" w:cs="Times New Roman"/>
          <w:i w:val="0"/>
          <w:iCs w:val="0"/>
          <w:color w:val="0070C0"/>
          <w:sz w:val="16"/>
          <w:szCs w:val="16"/>
          <w:lang w:val="ru-RU"/>
        </w:rPr>
        <w:t>Цит. по: Кен О.Н. Мобилизационное планирование и политические решения (конец 1920 - середина 1930-х годов). СПб, 2002. С. 211. Впервые в научный оборот фрагмент этого доку</w:t>
      </w:r>
      <w:r w:rsidRPr="001C5A72">
        <w:rPr>
          <w:rStyle w:val="aff3"/>
          <w:rFonts w:ascii="Times New Roman" w:hAnsi="Times New Roman" w:cs="Times New Roman"/>
          <w:i w:val="0"/>
          <w:iCs w:val="0"/>
          <w:color w:val="0070C0"/>
          <w:sz w:val="16"/>
          <w:szCs w:val="16"/>
          <w:lang w:val="ru-RU"/>
        </w:rPr>
        <w:softHyphen/>
        <w:t>мента ввел Л. Самуэльсон со следующей ссылкой: РГЛСПИ. Ф.74. Оп.2. Д.38. Л.72. (см. Са</w:t>
      </w:r>
      <w:r w:rsidRPr="001C5A72">
        <w:rPr>
          <w:rStyle w:val="aff3"/>
          <w:rFonts w:ascii="Times New Roman" w:hAnsi="Times New Roman" w:cs="Times New Roman"/>
          <w:i w:val="0"/>
          <w:iCs w:val="0"/>
          <w:color w:val="0070C0"/>
          <w:sz w:val="16"/>
          <w:szCs w:val="16"/>
          <w:lang w:val="ru-RU"/>
        </w:rPr>
        <w:softHyphen/>
        <w:t>муэльсон Л. Красный колосс: Становление военно-промышленного комплекса СССР, 1921</w:t>
      </w:r>
      <w:r w:rsidRPr="001C5A72">
        <w:rPr>
          <w:rStyle w:val="aff3"/>
          <w:rFonts w:ascii="Times New Roman" w:hAnsi="Times New Roman" w:cs="Times New Roman"/>
          <w:i w:val="0"/>
          <w:iCs w:val="0"/>
          <w:color w:val="0070C0"/>
          <w:sz w:val="16"/>
          <w:szCs w:val="16"/>
          <w:lang w:val="ru-RU"/>
        </w:rPr>
        <w:softHyphen/>
        <w:t xml:space="preserve">1941 / Пер. с англ. М., 2001. С. 158). О.Н. Кен дал уточненный вариант этого текста (ссылка на РГАСПИ. Ф. 74. Оп. 72. Д. 38. Л. 68). М.Ю. Мухин в своей монографии также цитирует этот фрагмент со ссылкой на Л. Самуэльсона (см. </w:t>
      </w:r>
      <w:r w:rsidRPr="00142305">
        <w:rPr>
          <w:rStyle w:val="aff3"/>
          <w:rFonts w:ascii="Times New Roman" w:hAnsi="Times New Roman" w:cs="Times New Roman"/>
          <w:i w:val="0"/>
          <w:iCs w:val="0"/>
          <w:color w:val="0070C0"/>
          <w:sz w:val="16"/>
          <w:szCs w:val="16"/>
        </w:rPr>
        <w:t xml:space="preserve">Мухин М.Ю. Авиапромышленность СССР в 1921-1941 годах. </w:t>
      </w:r>
      <w:r w:rsidRPr="001C5A72">
        <w:rPr>
          <w:rStyle w:val="aff3"/>
          <w:rFonts w:ascii="Times New Roman" w:hAnsi="Times New Roman" w:cs="Times New Roman"/>
          <w:i w:val="0"/>
          <w:iCs w:val="0"/>
          <w:color w:val="0070C0"/>
          <w:sz w:val="16"/>
          <w:szCs w:val="16"/>
          <w:lang w:val="ru-RU"/>
        </w:rPr>
        <w:t>М., 2006. С. 114, 187). Однако, эта же цитата приводится в монографии И.В. Быстровой почему-то без каких-либо ссылок на предшественников (см. Быстрова И.В.</w:t>
      </w:r>
      <w:r w:rsidRPr="00142305">
        <w:rPr>
          <w:rStyle w:val="aff"/>
          <w:rFonts w:ascii="Times New Roman" w:hAnsi="Times New Roman" w:cs="Times New Roman"/>
          <w:color w:val="0070C0"/>
          <w:spacing w:val="0"/>
          <w:sz w:val="16"/>
          <w:szCs w:val="16"/>
        </w:rPr>
        <w:t>).</w:t>
      </w:r>
    </w:p>
    <w:p w14:paraId="0A877E95" w14:textId="77777777" w:rsidR="001C5A72" w:rsidRPr="00142305" w:rsidRDefault="001C5A72" w:rsidP="001C5A72">
      <w:pPr>
        <w:spacing w:after="0" w:line="240" w:lineRule="auto"/>
        <w:jc w:val="both"/>
        <w:rPr>
          <w:rFonts w:ascii="Times New Roman" w:hAnsi="Times New Roman"/>
          <w:color w:val="0070C0"/>
          <w:sz w:val="16"/>
          <w:szCs w:val="16"/>
        </w:rPr>
      </w:pPr>
    </w:p>
    <w:p w14:paraId="0B0FCBA9" w14:textId="77777777" w:rsidR="001C5A72" w:rsidRPr="00142305" w:rsidRDefault="001C5A72" w:rsidP="001C5A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июня 1932 г. Сталин писал в ответ К.Е.В. в ответ на письмо от 21 июня: «Самое тревожное - аварии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(24968).</w:t>
      </w:r>
    </w:p>
    <w:p w14:paraId="7804C857" w14:textId="77777777" w:rsidR="001C5A72" w:rsidRPr="001C5A72" w:rsidRDefault="001C5A72" w:rsidP="001C5A72">
      <w:pPr>
        <w:pStyle w:val="aff2"/>
        <w:tabs>
          <w:tab w:val="left" w:pos="594"/>
        </w:tabs>
        <w:spacing w:line="240" w:lineRule="auto"/>
        <w:rPr>
          <w:rFonts w:ascii="Times New Roman" w:hAnsi="Times New Roman" w:cs="Times New Roman"/>
          <w:i w:val="0"/>
          <w:iCs w:val="0"/>
          <w:color w:val="0070C0"/>
          <w:sz w:val="16"/>
          <w:szCs w:val="16"/>
          <w:lang w:val="ru-RU"/>
        </w:rPr>
      </w:pPr>
    </w:p>
    <w:p w14:paraId="21B3E502" w14:textId="77777777" w:rsidR="009B6E65"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0D654823" w14:textId="77777777" w:rsidR="009B6E65" w:rsidRPr="00E93F40" w:rsidRDefault="009B6E6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18D0D7F"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rPr>
        <w:t xml:space="preserve">24 июня 1932 в ответ Сталин писал Ворошилову: «Самое тревожное — аварии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Не следует ли — помимо всего прочего — создать при командующих округами специальную должность </w:t>
      </w:r>
      <w:r w:rsidRPr="00E93F40">
        <w:rPr>
          <w:color w:val="000000" w:themeColor="text1"/>
          <w:sz w:val="16"/>
          <w:szCs w:val="16"/>
          <w:u w:val="single"/>
        </w:rPr>
        <w:t xml:space="preserve">заместителя </w:t>
      </w:r>
      <w:r w:rsidRPr="00E93F40">
        <w:rPr>
          <w:color w:val="000000" w:themeColor="text1"/>
          <w:sz w:val="16"/>
          <w:szCs w:val="16"/>
        </w:rPr>
        <w:t xml:space="preserve">командующего по авиации, возложив на этих заместителей </w:t>
      </w:r>
      <w:r w:rsidRPr="00E93F40">
        <w:rPr>
          <w:color w:val="000000" w:themeColor="text1"/>
          <w:sz w:val="16"/>
          <w:szCs w:val="16"/>
          <w:u w:val="single"/>
        </w:rPr>
        <w:t>непосредственную</w:t>
      </w:r>
      <w:r w:rsidRPr="00E93F40">
        <w:rPr>
          <w:color w:val="000000" w:themeColor="text1"/>
          <w:sz w:val="16"/>
          <w:szCs w:val="16"/>
        </w:rPr>
        <w:t xml:space="preserve"> ответственность за состояние авиадела в округе, что, конечно, не должно освобождать — ни в </w:t>
      </w:r>
      <w:r w:rsidRPr="00E93F40">
        <w:rPr>
          <w:color w:val="000000" w:themeColor="text1"/>
          <w:sz w:val="16"/>
          <w:szCs w:val="16"/>
          <w:u w:val="single"/>
        </w:rPr>
        <w:t>малейшей степени!</w:t>
      </w:r>
      <w:r w:rsidRPr="00E93F40">
        <w:rPr>
          <w:color w:val="000000" w:themeColor="text1"/>
          <w:sz w:val="16"/>
          <w:szCs w:val="16"/>
        </w:rPr>
        <w:t xml:space="preserve"> — командующего от ответственности за авиадело в округе. Я думаю, что следует» (Там же. Д. 38. Л. 69, 70; Советское руководство. С. 180–181). В ответ на это письмо Ворошилов направил Сталину шифровку: «Сочи. Сталину. Письмо получил. Полностью согласен оценкой личного состава авиации, подготовку и воспитание которого всегда считал труднейшим делом. В аварийности меня больше всего мучает именно это нелепое безрассудное уничтожение лучших людей. Вчера выслали тебе мой проект постановления ЦК об аварийности. В нем круто завернуто относительно установления авиации жесточайшей дисциплины, что необходимо прежде всего для сбережения живых людей. Чтобы не смазывать внутренних недостатков авиации намеренно опустил недостатки промышленности — качество продукции, отсутствие связи на самолетах, отсутствие парашютов, тормазных колес, специальных приспособлений для устойчивости самолета в воздухе и т.д. После твоего письма пришла мысль — не стоит ли и об этом записать также крепко, хотя и кратко, как и о дисциплине. Относительно помкомвойск по авиации — мысль твою считаю правильной, особенно принимая во внимание предстоящую организацию воздушных корпусов и армий. Сейчас у нас имеется начальник воздушных сил округа [со] своим штабом — его и можно было бы переименовать в помкомвойск по авиации. Думаю, что создание специальных инспекторов непосредственно в авиабригадах и усиление авиаинспекции людьми, значительно облегчит задачу руководства авиацией. Жду ответа по существу проекта. 28.VI — 32 г. К.Ворошилов» (Там же. Ф. 558. Оп. 11. Д. 77. Л. 121).</w:t>
      </w:r>
    </w:p>
    <w:p w14:paraId="1B4B6165"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rPr>
        <w:t>3 июля 1932 г. ПБ утвердило предложенный Ворошиловым проект постановления ЦК и СНК «Об аварийности в частях ВВС РККА», окончательная редакция оформлена 5 июля (см. документ Ms 181). В числе прочих мер в нем было реализовано предложение Сталина о введении должности помощников командующих округами по ВВС (Отечественные архивы. 1995. № 6. С. 32–39. Публикация В. Н. Шепелева).</w:t>
      </w:r>
    </w:p>
    <w:p w14:paraId="35E42DE2"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 xml:space="preserve"> Номер и дата вписаны секретарем. В тот же день отправлена шифром из Сочи в 16 час. 35 мин. (РГАСПИ. Ф. 558. Оп. П. Д. 77. Л. 119).</w:t>
      </w:r>
    </w:p>
    <w:p w14:paraId="0DC0F7B1" w14:textId="77777777" w:rsidR="009B6E65" w:rsidRPr="00E93F40" w:rsidRDefault="009B6E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558. Oп. 11. Д. 77. Л. 120. Автограф. </w:t>
      </w:r>
    </w:p>
    <w:p w14:paraId="3EEB0ACE" w14:textId="77777777" w:rsidR="009B6E65" w:rsidRPr="00E93F40" w:rsidRDefault="009B6E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Сталин и Каганович. Переписка. 1931–1936 гг. Москва: (РОССПЭН), 2001 Стр. 203-204 (12326).</w:t>
      </w:r>
    </w:p>
    <w:p w14:paraId="5A0A61F1" w14:textId="77777777" w:rsidR="009B6E65" w:rsidRPr="00E93F40" w:rsidRDefault="009B6E65" w:rsidP="00E93F40">
      <w:pPr>
        <w:spacing w:after="0" w:line="240" w:lineRule="auto"/>
        <w:jc w:val="both"/>
        <w:rPr>
          <w:rFonts w:ascii="Times New Roman" w:hAnsi="Times New Roman"/>
          <w:color w:val="000000" w:themeColor="text1"/>
          <w:sz w:val="16"/>
          <w:szCs w:val="16"/>
        </w:rPr>
      </w:pPr>
    </w:p>
    <w:p w14:paraId="5B5C43F9" w14:textId="77777777" w:rsidR="001E5E4A"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DA89719" w14:textId="77777777" w:rsidR="001E5E4A" w:rsidRPr="00E93F40" w:rsidRDefault="001E5E4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B98CA6" w14:textId="7AFAE003" w:rsidR="001E5E4A" w:rsidRPr="00E93F40" w:rsidRDefault="001E5E4A"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bCs/>
          <w:color w:val="000000" w:themeColor="text1"/>
          <w:sz w:val="16"/>
          <w:szCs w:val="16"/>
        </w:rPr>
        <w:t>24 июня</w:t>
      </w:r>
      <w:r w:rsidR="00DD74E1">
        <w:rPr>
          <w:rFonts w:ascii="Times New Roman" w:hAnsi="Times New Roman"/>
          <w:bCs/>
          <w:color w:val="000000" w:themeColor="text1"/>
          <w:sz w:val="16"/>
          <w:szCs w:val="16"/>
        </w:rPr>
        <w:t xml:space="preserve"> </w:t>
      </w:r>
      <w:r w:rsidR="007C1411" w:rsidRPr="00E93F40">
        <w:rPr>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1932</w:t>
      </w:r>
      <w:r w:rsidR="00DD74E1">
        <w:rPr>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года</w:t>
      </w:r>
      <w:r w:rsidRPr="00E93F40">
        <w:rPr>
          <w:rFonts w:ascii="Times New Roman" w:hAnsi="Times New Roman"/>
          <w:color w:val="000000" w:themeColor="text1"/>
          <w:sz w:val="16"/>
          <w:szCs w:val="16"/>
        </w:rPr>
        <w:t xml:space="preserve"> Торговая палата США опубликовала Меморандум, в котором предлагалось изменить политику в отношении торговли с СССР. Представитель деловых кругов США Т. Морган выразил неудовлетворенность отсутствием американского посла и торгового атташе в Москве, что отрицательно сказывалось на информации о возможностях советского рынка. В том же месяце на заседании 200 промышленников и банкиров Американо-русской торговой палаты было высказано пожелание быстрее рассмотреть вопрос об установлении нормальных отношений с СССР и использовании русского рынка для американских товаров (17267).</w:t>
      </w:r>
    </w:p>
    <w:p w14:paraId="34558BCE" w14:textId="77777777" w:rsidR="001E5E4A" w:rsidRPr="00E93F40" w:rsidRDefault="001E5E4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0E12CF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986AC0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E81D65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июня 1932 в Таиланде свергнута абсолютная монархия (4962).</w:t>
      </w:r>
    </w:p>
    <w:p w14:paraId="0608ACF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E1103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6390C6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9E1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июня 1</w:t>
      </w:r>
      <w:r w:rsidR="00D47DDD" w:rsidRPr="00E93F40">
        <w:rPr>
          <w:rFonts w:ascii="Times New Roman" w:hAnsi="Times New Roman"/>
          <w:color w:val="000000" w:themeColor="text1"/>
          <w:sz w:val="16"/>
          <w:szCs w:val="16"/>
        </w:rPr>
        <w:t>9</w:t>
      </w:r>
      <w:r w:rsidRPr="00E93F40">
        <w:rPr>
          <w:rFonts w:ascii="Times New Roman" w:hAnsi="Times New Roman"/>
          <w:color w:val="000000" w:themeColor="text1"/>
          <w:sz w:val="16"/>
          <w:szCs w:val="16"/>
        </w:rPr>
        <w:t>32 вышло постановление ЦИК и СНК О революционной законности, которое осудило раскулачивание, повысило роль суда и прокуратуры и поставило задачу вести классовую борьбу в рамках законности (3908,338).</w:t>
      </w:r>
    </w:p>
    <w:p w14:paraId="1DA2D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8D1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июня 1932 г. ЦИК и СНК СССР приняли постановление "О революционной законности", в котором указывается на необходимость "привлекать к строгой ответственности должностных лиц во всех случаях нарушения прав трудящихся, в особенности в случаях незаконных арестов, обысков, конфискаций или изъятия имущества и пр., и налагать на виновных строгие меры взыскания" (10303).</w:t>
      </w:r>
    </w:p>
    <w:p w14:paraId="3F39B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46B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июня 1932 в пробное плавание вышла первая в СССР китобойная база Алеут (3960, 248).</w:t>
      </w:r>
    </w:p>
    <w:p w14:paraId="69E53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93034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14F0D02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6EEF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июня 1932 подписан акт о ненападении между СССР и Польшей (4962).</w:t>
      </w:r>
    </w:p>
    <w:p w14:paraId="3BEB4CC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FB4D6" w14:textId="77777777" w:rsidR="00B70DF0" w:rsidRPr="00E93F40" w:rsidRDefault="00B70DF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4992D44" w14:textId="77777777" w:rsidR="00B70DF0" w:rsidRPr="00E93F40" w:rsidRDefault="00B70DF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93B3695" w14:textId="77777777" w:rsidR="00B70DF0" w:rsidRPr="00E93F40" w:rsidRDefault="00B70DF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июня 1932 состоялся первый полет Фарман Ф.1000 (20803).</w:t>
      </w:r>
    </w:p>
    <w:p w14:paraId="1FA9D3B0" w14:textId="77777777" w:rsidR="00B70DF0" w:rsidRPr="00E93F40" w:rsidRDefault="00B70DF0" w:rsidP="00E93F40">
      <w:pPr>
        <w:spacing w:after="0" w:line="240" w:lineRule="auto"/>
        <w:jc w:val="both"/>
        <w:rPr>
          <w:rFonts w:ascii="Times New Roman" w:hAnsi="Times New Roman"/>
          <w:color w:val="000000" w:themeColor="text1"/>
          <w:sz w:val="16"/>
          <w:szCs w:val="16"/>
        </w:rPr>
      </w:pPr>
    </w:p>
    <w:p w14:paraId="4CEC3F2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E40DB5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2AAC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июня 1932 состоялись гос. испытания эталона К-5М-22, которые проходили с 23 мая 1932. Комиссия НИИ ГВФ не приняла, так как оказалась мала полезная нагрузка. К.А.К. - плюнул (70,172).</w:t>
      </w:r>
    </w:p>
    <w:p w14:paraId="351C6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B317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июня 1932 начались летные испытания вертолета 1-ЭА А.М.Черемухина (273,298).</w:t>
      </w:r>
    </w:p>
    <w:p w14:paraId="7AA08F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BACEBD" w14:textId="77777777" w:rsidR="00B70DF0" w:rsidRPr="00E93F40" w:rsidRDefault="00B70DF0"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26 июня 1932 вышел</w:t>
      </w:r>
    </w:p>
    <w:p w14:paraId="2A99FBE8" w14:textId="77777777" w:rsidR="00B70DF0" w:rsidRPr="00E93F40" w:rsidRDefault="00B70DF0" w:rsidP="00E93F40">
      <w:pPr>
        <w:pStyle w:val="28"/>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Приказ №174 по заводу 21 им. тов. Енукидзе от 28.06.1932 года.</w:t>
      </w:r>
    </w:p>
    <w:p w14:paraId="7061C58D" w14:textId="77777777" w:rsidR="00B70DF0" w:rsidRPr="00E93F40" w:rsidRDefault="00B70DF0" w:rsidP="00E93F40">
      <w:pPr>
        <w:pStyle w:val="28"/>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Укрепляя обороноспособность СССР, моему заместителю т Мицкевичу предлагаю предъявить к сдаче 29.06 головной самолет и оформить таковую 30.06. По согласованию с заводскими партийными и общественными организациями 30 июня назначается для массового гулянья, посвященному выпуску самолета.</w:t>
      </w:r>
    </w:p>
    <w:p w14:paraId="71E49CFE" w14:textId="77777777" w:rsidR="00B70DF0" w:rsidRPr="00E93F40" w:rsidRDefault="00B70DF0" w:rsidP="00E93F40">
      <w:pPr>
        <w:pStyle w:val="28"/>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В связи с этим приказываю:</w:t>
      </w:r>
    </w:p>
    <w:p w14:paraId="6A67B654" w14:textId="77777777" w:rsidR="00B70DF0" w:rsidRPr="00E93F40" w:rsidRDefault="00B70DF0" w:rsidP="00E93F40">
      <w:pPr>
        <w:pStyle w:val="28"/>
        <w:widowControl w:val="0"/>
        <w:shd w:val="clear" w:color="auto" w:fill="auto"/>
        <w:tabs>
          <w:tab w:val="left" w:pos="1960"/>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1. Ответственным руководителем по соблюдению порядка на Аэродроме считать командира отряда ВО ОГПУ т. Коновалова.</w:t>
      </w:r>
    </w:p>
    <w:p w14:paraId="27CAB0AC" w14:textId="77777777" w:rsidR="00B70DF0" w:rsidRPr="00E93F40" w:rsidRDefault="00B70DF0" w:rsidP="00E93F40">
      <w:pPr>
        <w:pStyle w:val="28"/>
        <w:widowControl w:val="0"/>
        <w:shd w:val="clear" w:color="auto" w:fill="auto"/>
        <w:tabs>
          <w:tab w:val="left" w:pos="2311"/>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2. Ответственным руководителем по рабочей площадке Аэродрома назначаю начальника Аэродрома т. Ефремова</w:t>
      </w:r>
    </w:p>
    <w:p w14:paraId="25E88F80" w14:textId="77777777" w:rsidR="00B70DF0" w:rsidRPr="00E93F40" w:rsidRDefault="00B70DF0" w:rsidP="00E93F40">
      <w:pPr>
        <w:pStyle w:val="28"/>
        <w:widowControl w:val="0"/>
        <w:shd w:val="clear" w:color="auto" w:fill="auto"/>
        <w:tabs>
          <w:tab w:val="left" w:pos="2311"/>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3. Начальнику Аэродрома тов. Ефремову назначить дежурного по аэродрому.</w:t>
      </w:r>
    </w:p>
    <w:p w14:paraId="65D5F33F" w14:textId="77777777" w:rsidR="00B70DF0" w:rsidRPr="00E93F40" w:rsidRDefault="00B70DF0" w:rsidP="00E93F40">
      <w:pPr>
        <w:pStyle w:val="28"/>
        <w:widowControl w:val="0"/>
        <w:shd w:val="clear" w:color="auto" w:fill="auto"/>
        <w:tabs>
          <w:tab w:val="left" w:pos="2311"/>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4. Командиру отряда ВО ОГПУ т. Коновалову, начальнику ВПК тов Лагуткину и начальнику Аэродрома тов. Ефремову по договоренности с начальником спецотдела тов. Клейменовым установить к 28.06 перечень необходимых мероприятий.</w:t>
      </w:r>
    </w:p>
    <w:p w14:paraId="5BE1983E" w14:textId="77777777" w:rsidR="00B70DF0" w:rsidRPr="00E93F40" w:rsidRDefault="00B70DF0" w:rsidP="00E93F40">
      <w:pPr>
        <w:pStyle w:val="28"/>
        <w:widowControl w:val="0"/>
        <w:shd w:val="clear" w:color="auto" w:fill="auto"/>
        <w:tabs>
          <w:tab w:val="left" w:pos="2311"/>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5. Начальнику Аэродрома обеспечить во время полетов дежурство двух врачей.</w:t>
      </w:r>
    </w:p>
    <w:p w14:paraId="789A72FD" w14:textId="77777777" w:rsidR="00B70DF0" w:rsidRPr="00E93F40" w:rsidRDefault="00B70DF0" w:rsidP="00E93F40">
      <w:pPr>
        <w:pStyle w:val="28"/>
        <w:widowControl w:val="0"/>
        <w:shd w:val="clear" w:color="auto" w:fill="auto"/>
        <w:tabs>
          <w:tab w:val="left" w:pos="2311"/>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6. Легковые машины № 04-80 и № 07-78 с 10 часов утра и до конца полетов находится на Аэродроме в полном распоряжении начальника Аэродрома тов. Ефремова.</w:t>
      </w:r>
    </w:p>
    <w:p w14:paraId="583A4666" w14:textId="77777777" w:rsidR="00B70DF0" w:rsidRPr="00E93F40" w:rsidRDefault="00B70DF0" w:rsidP="00E93F40">
      <w:pPr>
        <w:pStyle w:val="28"/>
        <w:widowControl w:val="0"/>
        <w:shd w:val="clear" w:color="auto" w:fill="auto"/>
        <w:tabs>
          <w:tab w:val="left" w:pos="2311"/>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7. Начальнику Аэродрома тов. Ефремову 30 06 'организовать полеты ударников и ИТР по особым билетам (20 человек).</w:t>
      </w:r>
    </w:p>
    <w:p w14:paraId="4EABA5E0" w14:textId="77777777" w:rsidR="00B70DF0" w:rsidRPr="00E93F40" w:rsidRDefault="00B70DF0" w:rsidP="00E93F40">
      <w:pPr>
        <w:pStyle w:val="28"/>
        <w:widowControl w:val="0"/>
        <w:shd w:val="clear" w:color="auto" w:fill="auto"/>
        <w:tabs>
          <w:tab w:val="left" w:pos="2370"/>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8. Выдать безвозвратно 1000 рублей в распоряжение \ культсектора завкома на расходы, связанные с кулыпобслуживанием массового гулянья.</w:t>
      </w:r>
    </w:p>
    <w:p w14:paraId="2A074EA7" w14:textId="77777777" w:rsidR="00B70DF0" w:rsidRPr="00E93F40" w:rsidRDefault="00B70DF0" w:rsidP="00E93F40">
      <w:pPr>
        <w:pStyle w:val="28"/>
        <w:widowControl w:val="0"/>
        <w:shd w:val="clear" w:color="auto" w:fill="auto"/>
        <w:tabs>
          <w:tab w:val="left" w:pos="2311"/>
        </w:tabs>
        <w:spacing w:before="0" w:line="240" w:lineRule="auto"/>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eastAsia="ru-RU" w:bidi="ru-RU"/>
        </w:rPr>
        <w:t>9. Начальнику транспортного отдела т Обнорскому организовать транспорт по расписанию, предусмотренному планом массовки.</w:t>
      </w:r>
    </w:p>
    <w:p w14:paraId="7561330F" w14:textId="77777777" w:rsidR="00B70DF0" w:rsidRPr="00E93F40" w:rsidRDefault="00B70DF0"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noProof/>
          <w:color w:val="000000" w:themeColor="text1"/>
          <w:sz w:val="16"/>
          <w:szCs w:val="16"/>
        </w:rPr>
        <mc:AlternateContent>
          <mc:Choice Requires="wps">
            <w:drawing>
              <wp:anchor distT="0" distB="0" distL="114300" distR="114300" simplePos="0" relativeHeight="251659264" behindDoc="0" locked="0" layoutInCell="1" allowOverlap="1" wp14:anchorId="28BD4BFA" wp14:editId="011872D1">
                <wp:simplePos x="0" y="0"/>
                <wp:positionH relativeFrom="page">
                  <wp:posOffset>16078835</wp:posOffset>
                </wp:positionH>
                <wp:positionV relativeFrom="margin">
                  <wp:posOffset>558800</wp:posOffset>
                </wp:positionV>
                <wp:extent cx="6762750" cy="18180050"/>
                <wp:effectExtent l="0" t="0" r="0" b="0"/>
                <wp:wrapSquare wrapText="bothSides"/>
                <wp:docPr id="138" name="Shape 138"/>
                <wp:cNvGraphicFramePr/>
                <a:graphic xmlns:a="http://schemas.openxmlformats.org/drawingml/2006/main">
                  <a:graphicData uri="http://schemas.microsoft.com/office/word/2010/wordprocessingShape">
                    <wps:wsp>
                      <wps:cNvSpPr txBox="1"/>
                      <wps:spPr>
                        <a:xfrm>
                          <a:off x="0" y="0"/>
                          <a:ext cx="6762750" cy="18180050"/>
                        </a:xfrm>
                        <a:prstGeom prst="rect">
                          <a:avLst/>
                        </a:prstGeom>
                        <a:noFill/>
                      </wps:spPr>
                      <wps:txbx>
                        <w:txbxContent>
                          <w:p w14:paraId="34F638DA" w14:textId="77777777" w:rsidR="00B70DF0" w:rsidRDefault="00B70DF0" w:rsidP="00B70DF0">
                            <w:pPr>
                              <w:spacing w:line="283" w:lineRule="auto"/>
                              <w:jc w:val="center"/>
                            </w:pPr>
                            <w:r>
                              <w:rPr>
                                <w:color w:val="000000"/>
                                <w:lang w:eastAsia="ru-RU" w:bidi="ru-RU"/>
                              </w:rPr>
                              <w:t>- на самолет 2 ЮЗ - 4.12.1932 г.</w:t>
                            </w:r>
                          </w:p>
                          <w:p w14:paraId="64EFC97A" w14:textId="77777777" w:rsidR="00B70DF0" w:rsidRDefault="00B70DF0" w:rsidP="00B70DF0">
                            <w:pPr>
                              <w:spacing w:line="283" w:lineRule="auto"/>
                              <w:ind w:firstLine="1180"/>
                            </w:pPr>
                            <w:r>
                              <w:rPr>
                                <w:color w:val="000000"/>
                                <w:lang w:eastAsia="ru-RU" w:bidi="ru-RU"/>
                              </w:rPr>
                              <w:t>Ряд источников говорит о Ю самолетах И-5, выпущенных заводом №21 в 1932 году. Но скорее всего это количество самолетов, выведенных из сборки на аэродром. А военпредами было принято и У ВВС оплачено всего три самолета, что подтверждается архивными документами</w:t>
                            </w:r>
                          </w:p>
                          <w:p w14:paraId="5E1135B2" w14:textId="77777777" w:rsidR="00B70DF0" w:rsidRDefault="00B70DF0" w:rsidP="00B70DF0">
                            <w:pPr>
                              <w:spacing w:line="283" w:lineRule="auto"/>
                              <w:ind w:firstLine="1180"/>
                            </w:pPr>
                            <w:r>
                              <w:rPr>
                                <w:color w:val="000000"/>
                                <w:lang w:eastAsia="ru-RU" w:bidi="ru-RU"/>
                              </w:rPr>
                              <w:t>Военное представительство на заводе почти весь 1932 год существовало только в одном лице - старшем военпреде Гаврииле Васильевиче Жукове. Он имел большой опыт в организации военного контроля. Летать стал еще в 1915 году на Комендантском аэродроме Петербурга. Участвовал в боях первой мировой войны. В годы гражданской войны исполнял обязанности начальника авиаармии.</w:t>
                            </w:r>
                          </w:p>
                          <w:p w14:paraId="5545C87A" w14:textId="77777777" w:rsidR="00B70DF0" w:rsidRDefault="00B70DF0" w:rsidP="00B70DF0">
                            <w:pPr>
                              <w:spacing w:line="283" w:lineRule="auto"/>
                              <w:ind w:firstLine="1180"/>
                            </w:pPr>
                            <w:r>
                              <w:rPr>
                                <w:color w:val="000000"/>
                                <w:lang w:eastAsia="ru-RU" w:bidi="ru-RU"/>
                              </w:rPr>
                              <w:t xml:space="preserve">В конце </w:t>
                            </w:r>
                            <w:r>
                              <w:rPr>
                                <w:color w:val="000000"/>
                                <w:lang w:val="en-US" w:bidi="en-US"/>
                              </w:rPr>
                              <w:t>I</w:t>
                            </w:r>
                            <w:r w:rsidRPr="00C8108D">
                              <w:rPr>
                                <w:color w:val="000000"/>
                                <w:lang w:bidi="en-US"/>
                              </w:rPr>
                              <w:t xml:space="preserve">932 </w:t>
                            </w:r>
                            <w:r>
                              <w:rPr>
                                <w:color w:val="000000"/>
                                <w:lang w:eastAsia="ru-RU" w:bidi="ru-RU"/>
                              </w:rPr>
                              <w:t xml:space="preserve">года штаты военной приемки были увеличены и военпреды стали контролировать все цеха, в том числе и сборочный вместе с аэродромом. Старшим группы военпредов в сборке был назначен Иван Адамович Кабане. Он прошел службу от рядового солдата еще в царской армии до помощника командира авиапарка по технической части. В военной приемке вплоть до 1934 года не имелось своего летчика- испытателя, и эту' работу выполнял летчик- сдатчик завода Жуков, а потом и другие. В конце </w:t>
                            </w:r>
                            <w:r>
                              <w:rPr>
                                <w:color w:val="000000"/>
                                <w:lang w:val="en-US" w:bidi="en-US"/>
                              </w:rPr>
                              <w:t>I</w:t>
                            </w:r>
                            <w:r w:rsidRPr="00C8108D">
                              <w:rPr>
                                <w:color w:val="000000"/>
                                <w:lang w:bidi="en-US"/>
                              </w:rPr>
                              <w:t xml:space="preserve">932 </w:t>
                            </w:r>
                            <w:r>
                              <w:rPr>
                                <w:color w:val="000000"/>
                                <w:lang w:eastAsia="ru-RU" w:bidi="ru-RU"/>
                              </w:rPr>
                              <w:t>года после провала заводом годового плана по выпуску самолетов начальник сборочного цеха Н.В. Красненьков как не справившийся со своей работой был снят с должности, и цех возглавил начальник аэродромной мастерской А.П. Ефремов. Помощником начальника сборочного цеха по</w:t>
                            </w:r>
                          </w:p>
                        </w:txbxContent>
                      </wps:txbx>
                      <wps:bodyPr lIns="0" tIns="0" rIns="0" bIns="0"/>
                    </wps:wsp>
                  </a:graphicData>
                </a:graphic>
              </wp:anchor>
            </w:drawing>
          </mc:Choice>
          <mc:Fallback>
            <w:pict>
              <v:shapetype w14:anchorId="28BD4BFA" id="_x0000_t202" coordsize="21600,21600" o:spt="202" path="m,l,21600r21600,l21600,xe">
                <v:stroke joinstyle="miter"/>
                <v:path gradientshapeok="t" o:connecttype="rect"/>
              </v:shapetype>
              <v:shape id="Shape 138" o:spid="_x0000_s1026" type="#_x0000_t202" style="position:absolute;left:0;text-align:left;margin-left:1266.05pt;margin-top:44pt;width:532.5pt;height:1431.5pt;z-index:251659264;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" filled="f" stroked="f">
                <v:textbox inset="0,0,0,0">
                  <w:txbxContent>
                    <w:p w14:paraId="34F638DA" w14:textId="77777777" w:rsidR="00B70DF0" w:rsidRDefault="00B70DF0" w:rsidP="00B70DF0">
                      <w:pPr>
                        <w:spacing w:line="283" w:lineRule="auto"/>
                        <w:jc w:val="center"/>
                      </w:pPr>
                      <w:r>
                        <w:rPr>
                          <w:color w:val="000000"/>
                          <w:lang w:eastAsia="ru-RU" w:bidi="ru-RU"/>
                        </w:rPr>
                        <w:t>- на самолет 2 ЮЗ - 4.12.1932 г.</w:t>
                      </w:r>
                    </w:p>
                    <w:p w14:paraId="64EFC97A" w14:textId="77777777" w:rsidR="00B70DF0" w:rsidRDefault="00B70DF0" w:rsidP="00B70DF0">
                      <w:pPr>
                        <w:spacing w:line="283" w:lineRule="auto"/>
                        <w:ind w:firstLine="1180"/>
                      </w:pPr>
                      <w:r>
                        <w:rPr>
                          <w:color w:val="000000"/>
                          <w:lang w:eastAsia="ru-RU" w:bidi="ru-RU"/>
                        </w:rPr>
                        <w:t>Ряд источников говорит о Ю самолетах И-5, выпущенных заводом №21 в 1932 году. Но скорее всего это количество самолетов, выведенных из сборки на аэродром. А военпредами было принято и У ВВС оплачено всего три самолета, что подтверждается архивными документами</w:t>
                      </w:r>
                    </w:p>
                    <w:p w14:paraId="5E1135B2" w14:textId="77777777" w:rsidR="00B70DF0" w:rsidRDefault="00B70DF0" w:rsidP="00B70DF0">
                      <w:pPr>
                        <w:spacing w:line="283" w:lineRule="auto"/>
                        <w:ind w:firstLine="1180"/>
                      </w:pPr>
                      <w:r>
                        <w:rPr>
                          <w:color w:val="000000"/>
                          <w:lang w:eastAsia="ru-RU" w:bidi="ru-RU"/>
                        </w:rPr>
                        <w:t>Военное представительство на заводе почти весь 1932 год существовало только в одном лице - старшем военпреде Гаврииле Васильевиче Жукове. Он имел большой опыт в организации военного контроля. Летать стал еще в 1915 году на Комендантском аэродроме Петербурга. Участвовал в боях первой мировой войны. В годы гражданской войны исполнял обязанности начальника авиаармии.</w:t>
                      </w:r>
                    </w:p>
                    <w:p w14:paraId="5545C87A" w14:textId="77777777" w:rsidR="00B70DF0" w:rsidRDefault="00B70DF0" w:rsidP="00B70DF0">
                      <w:pPr>
                        <w:spacing w:line="283" w:lineRule="auto"/>
                        <w:ind w:firstLine="1180"/>
                      </w:pPr>
                      <w:r>
                        <w:rPr>
                          <w:color w:val="000000"/>
                          <w:lang w:eastAsia="ru-RU" w:bidi="ru-RU"/>
                        </w:rPr>
                        <w:t xml:space="preserve">В конце </w:t>
                      </w:r>
                      <w:r>
                        <w:rPr>
                          <w:color w:val="000000"/>
                          <w:lang w:val="en-US" w:bidi="en-US"/>
                        </w:rPr>
                        <w:t>I</w:t>
                      </w:r>
                      <w:r w:rsidRPr="00C8108D">
                        <w:rPr>
                          <w:color w:val="000000"/>
                          <w:lang w:bidi="en-US"/>
                        </w:rPr>
                        <w:t xml:space="preserve">932 </w:t>
                      </w:r>
                      <w:r>
                        <w:rPr>
                          <w:color w:val="000000"/>
                          <w:lang w:eastAsia="ru-RU" w:bidi="ru-RU"/>
                        </w:rPr>
                        <w:t xml:space="preserve">года штаты военной приемки были увеличены и военпреды стали контролировать все цеха, в том числе и сборочный вместе с аэродромом. Старшим группы военпредов в сборке был назначен Иван Адамович Кабане. Он прошел службу от рядового солдата еще в царской армии до помощника командира авиапарка по технической части. В военной приемке вплоть до 1934 года не имелось своего летчика- испытателя, и эту' работу выполнял летчик- сдатчик завода Жуков, а потом и другие. В конце </w:t>
                      </w:r>
                      <w:r>
                        <w:rPr>
                          <w:color w:val="000000"/>
                          <w:lang w:val="en-US" w:bidi="en-US"/>
                        </w:rPr>
                        <w:t>I</w:t>
                      </w:r>
                      <w:r w:rsidRPr="00C8108D">
                        <w:rPr>
                          <w:color w:val="000000"/>
                          <w:lang w:bidi="en-US"/>
                        </w:rPr>
                        <w:t xml:space="preserve">932 </w:t>
                      </w:r>
                      <w:r>
                        <w:rPr>
                          <w:color w:val="000000"/>
                          <w:lang w:eastAsia="ru-RU" w:bidi="ru-RU"/>
                        </w:rPr>
                        <w:t>года после провала заводом годового плана по выпуску самолетов начальник сборочного цеха Н.В. Красненьков как не справившийся со своей работой был снят с должности, и цех возглавил начальник аэродромной мастерской А.П. Ефремов. Помощником начальника сборочного цеха по</w:t>
                      </w:r>
                    </w:p>
                  </w:txbxContent>
                </v:textbox>
                <w10:wrap type="square" anchorx="page" anchory="margin"/>
              </v:shape>
            </w:pict>
          </mc:Fallback>
        </mc:AlternateContent>
      </w:r>
      <w:r w:rsidRPr="00E93F40">
        <w:rPr>
          <w:rFonts w:ascii="Times New Roman" w:hAnsi="Times New Roman"/>
          <w:color w:val="000000" w:themeColor="text1"/>
          <w:sz w:val="16"/>
          <w:szCs w:val="16"/>
          <w:lang w:eastAsia="ru-RU" w:bidi="ru-RU"/>
        </w:rPr>
        <w:t>Директор завода Безруков (21100).</w:t>
      </w:r>
    </w:p>
    <w:p w14:paraId="2CF0B0D9" w14:textId="77777777" w:rsidR="00B70DF0" w:rsidRPr="00E93F40" w:rsidRDefault="00B70DF0" w:rsidP="00E93F40">
      <w:pPr>
        <w:spacing w:after="0" w:line="240" w:lineRule="auto"/>
        <w:jc w:val="both"/>
        <w:rPr>
          <w:rFonts w:ascii="Times New Roman" w:hAnsi="Times New Roman"/>
          <w:color w:val="000000" w:themeColor="text1"/>
          <w:sz w:val="16"/>
          <w:szCs w:val="16"/>
          <w:lang w:eastAsia="ru-RU" w:bidi="ru-RU"/>
        </w:rPr>
      </w:pPr>
    </w:p>
    <w:p w14:paraId="7CA69167" w14:textId="77777777" w:rsidR="00D47DD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D25162E" w14:textId="77777777" w:rsidR="00D47DDD" w:rsidRPr="00E93F40" w:rsidRDefault="00D47DD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D09CA2" w14:textId="77777777" w:rsidR="00D47DDD" w:rsidRPr="00E93F40" w:rsidRDefault="00D47D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июня 1932 года был готов первый серийный мотоброневагон Д-2 Дыренкова (15624).</w:t>
      </w:r>
    </w:p>
    <w:p w14:paraId="0815B5FE" w14:textId="77777777" w:rsidR="00D47DDD" w:rsidRPr="00E93F40" w:rsidRDefault="00D47DDD" w:rsidP="00E93F40">
      <w:pPr>
        <w:spacing w:after="0" w:line="240" w:lineRule="auto"/>
        <w:jc w:val="both"/>
        <w:rPr>
          <w:rFonts w:ascii="Times New Roman" w:hAnsi="Times New Roman"/>
          <w:color w:val="000000" w:themeColor="text1"/>
          <w:sz w:val="16"/>
          <w:szCs w:val="16"/>
        </w:rPr>
      </w:pPr>
    </w:p>
    <w:p w14:paraId="43F37B29" w14:textId="77777777"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июня 1932 года первый серийный Д-2 был готов - сдать 1-2 вагона к празднику Первомая - завод № 1 выдержать их не смог -. 5 июля начальник УММ РККА И. Халепский подписал приказ о проведении заводских испытаний Д-2, которые прошли 17 июля «на перегоне завод № 1 - ст. Люблино - ст. Замоскворечье - ст. Царицыно». Однако в самом начале пробега у мотоброневагона вышла из коробка перемены передач, и его вернули на ремонт.</w:t>
      </w:r>
    </w:p>
    <w:p w14:paraId="6EC89BF9" w14:textId="78AF714A"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Внешне серийный вариант Д-2 напоминал сильно увеличенный в размерах опытный образец. Корпус сваривался из 10-16 мм бронелистов, что позволило снизить его массу и удешевить производство. В центре корпуса размещалась довольно большая рубка для командира, радиста и водителя, в стенках которой имелось</w:t>
      </w:r>
      <w:r w:rsidR="007C1411" w:rsidRPr="00E93F40">
        <w:rPr>
          <w:rFonts w:ascii="Times New Roman" w:hAnsi="Times New Roman"/>
          <w:color w:val="000000" w:themeColor="text1"/>
          <w:sz w:val="16"/>
          <w:szCs w:val="16"/>
        </w:rPr>
        <w:t xml:space="preserve"> </w:t>
      </w:r>
    </w:p>
    <w:p w14:paraId="2114959F" w14:textId="1C9B1AD9"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люков со смотровыми щелями и дверь для выхода на крышу. Четыре двери в бортах корпуса служили для посадки экипажа. В центре рамы, к которой крепился корпус, находился автомобильный двигатель «Геркулес» YXC мощностью 93 л.с. и коробка перемены передач Д-35. В отличие от опытного образца на серийных мото-броневагонах Д-2 коробка Д-35 снабжалась дисково-сцепной муфтой конструкции Дырен-кова, обеспечивавшей более плавное переключение передач, а управление вагоном было двойным - механическим и гидравлическим. Все эти нововведения позволили значительно облегчить управление мотоброневагоном, но их надежность оставляла желать лучшего.</w:t>
      </w:r>
      <w:r w:rsidR="007C1411" w:rsidRPr="00E93F40">
        <w:rPr>
          <w:rFonts w:ascii="Times New Roman" w:hAnsi="Times New Roman"/>
          <w:color w:val="000000" w:themeColor="text1"/>
          <w:sz w:val="16"/>
          <w:szCs w:val="16"/>
        </w:rPr>
        <w:t xml:space="preserve"> </w:t>
      </w:r>
    </w:p>
    <w:p w14:paraId="2DBCB979" w14:textId="125BC182"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серийного варианта Д-2 состояло из двух 7б,2-мм пушек образца 1902 года в башнях, четырех бортовых Максимов, двух ДТ (в башнях) и зенитной спаренной установки Максимов на крыше одной из орудийных башен.</w:t>
      </w:r>
      <w:r w:rsidR="007C1411" w:rsidRPr="00E93F40">
        <w:rPr>
          <w:rFonts w:ascii="Times New Roman" w:hAnsi="Times New Roman"/>
          <w:color w:val="000000" w:themeColor="text1"/>
          <w:sz w:val="16"/>
          <w:szCs w:val="16"/>
        </w:rPr>
        <w:t xml:space="preserve"> </w:t>
      </w:r>
    </w:p>
    <w:p w14:paraId="3C242016" w14:textId="77777777"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отличие от опытного образца Д-2, серийные оборудовались радиостанцией 5 АК с рамочной антенной на крыше рубки (18626).</w:t>
      </w:r>
    </w:p>
    <w:p w14:paraId="50EFD09F" w14:textId="77777777" w:rsidR="007C6B55" w:rsidRPr="00E93F40" w:rsidRDefault="007C6B55" w:rsidP="00E93F40">
      <w:pPr>
        <w:spacing w:after="0" w:line="240" w:lineRule="auto"/>
        <w:jc w:val="both"/>
        <w:rPr>
          <w:rFonts w:ascii="Times New Roman" w:hAnsi="Times New Roman"/>
          <w:color w:val="000000" w:themeColor="text1"/>
          <w:sz w:val="16"/>
          <w:szCs w:val="16"/>
        </w:rPr>
      </w:pPr>
    </w:p>
    <w:p w14:paraId="537FDAF5" w14:textId="77777777" w:rsidR="001C5A72" w:rsidRPr="00142305" w:rsidRDefault="001C5A72" w:rsidP="001C5A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июня 1932 года, несмотря на заявленные сроки, сдать 1-2 вагона к празднику Первомая — на заводе № 1 был готов первый серийный мотоброневагон Д-2 Дыренкова (25568).</w:t>
      </w:r>
    </w:p>
    <w:p w14:paraId="6AFFC77D" w14:textId="77777777" w:rsidR="001C5A72" w:rsidRPr="00385829" w:rsidRDefault="001C5A72" w:rsidP="001C5A72">
      <w:pPr>
        <w:pStyle w:val="aff2"/>
        <w:tabs>
          <w:tab w:val="left" w:pos="594"/>
        </w:tabs>
        <w:spacing w:line="240" w:lineRule="auto"/>
        <w:rPr>
          <w:rFonts w:ascii="Times New Roman" w:hAnsi="Times New Roman" w:cs="Times New Roman"/>
          <w:i w:val="0"/>
          <w:iCs w:val="0"/>
          <w:color w:val="0070C0"/>
          <w:sz w:val="16"/>
          <w:szCs w:val="16"/>
          <w:lang w:val="ru-RU"/>
        </w:rPr>
      </w:pPr>
    </w:p>
    <w:p w14:paraId="1B233B6E" w14:textId="77777777" w:rsidR="00D47DDD"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1ABB25E" w14:textId="77777777" w:rsidR="00D47DDD" w:rsidRPr="00E93F40" w:rsidRDefault="00D47DD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E69DF6" w14:textId="5C4C14C7" w:rsidR="00D47DDD" w:rsidRPr="00E93F40" w:rsidRDefault="00D47DD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26 июня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Ответ Сталина на письмо от </w:t>
      </w:r>
      <w:r w:rsidRPr="00E93F40">
        <w:rPr>
          <w:rFonts w:ascii="Times New Roman" w:eastAsia="Times New Roman" w:hAnsi="Times New Roman"/>
          <w:bCs/>
          <w:color w:val="000000" w:themeColor="text1"/>
          <w:sz w:val="16"/>
          <w:szCs w:val="16"/>
          <w:lang w:eastAsia="ru-RU"/>
        </w:rPr>
        <w:t>23 июня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Каганович-Сталину: </w:t>
      </w:r>
      <w:r w:rsidRPr="00E93F40">
        <w:rPr>
          <w:rFonts w:ascii="Times New Roman" w:eastAsia="Times New Roman" w:hAnsi="Times New Roman"/>
          <w:iCs/>
          <w:color w:val="000000" w:themeColor="text1"/>
          <w:sz w:val="16"/>
          <w:szCs w:val="16"/>
          <w:lang w:eastAsia="ru-RU"/>
        </w:rPr>
        <w:t>«Внешторг</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включил в экспортно-импортный план</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III</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кв[артала] вывоз 60 мил. пуд]ов] зерновых и кроме этого завоз в порты сверх этого 50 м[лн]. пуд[ов] для залога и продажи в октябре. Годовой план экспорта из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32 г. он предлагает довести до 4 млн. тонн. Мы этот вопрос пока не решили. Конечно, вывозить обязательно необходимо немедленно и надо дать отпор настроениям, сложившимся на почве некоторых затруднений последних пару месяцев, что не надо-де вывозить, но</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вопрос</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сколько вывезти в</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IIIквартале, думаю, что цифру</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Внешторга</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немного сократить придется. Прошу Вас сообщить Ваше мнение»</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 xml:space="preserve">«По экспорту хлеба предлагаю </w:t>
      </w:r>
      <w:r w:rsidRPr="00E93F40">
        <w:rPr>
          <w:rFonts w:ascii="Times New Roman" w:eastAsia="Times New Roman" w:hAnsi="Times New Roman"/>
          <w:iCs/>
          <w:color w:val="000000" w:themeColor="text1"/>
          <w:sz w:val="16"/>
          <w:szCs w:val="16"/>
          <w:u w:val="single"/>
          <w:lang w:eastAsia="ru-RU"/>
        </w:rPr>
        <w:t>серьезно</w:t>
      </w:r>
      <w:r w:rsidRPr="00E93F40">
        <w:rPr>
          <w:rFonts w:ascii="Times New Roman" w:eastAsia="Times New Roman" w:hAnsi="Times New Roman"/>
          <w:iCs/>
          <w:color w:val="000000" w:themeColor="text1"/>
          <w:sz w:val="16"/>
          <w:szCs w:val="16"/>
          <w:lang w:eastAsia="ru-RU"/>
        </w:rPr>
        <w:t xml:space="preserve"> сократить план</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Розенгольца</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(для</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III</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квартала)».</w:t>
      </w:r>
    </w:p>
    <w:p w14:paraId="0446A9BB" w14:textId="61D02F1A" w:rsidR="00D47DDD" w:rsidRPr="00E93F40" w:rsidRDefault="00D47DD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16 июля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Политбюро утвердило экспорт хлеба в</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III</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квартале в размере 31,5 млн. пуд (включая и бобовые), 20 млн. пудов для варранта и 10 млн. пуд.</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переходящих остатков, всего 61,5 млн. пуд. Также принято решение, «</w:t>
      </w:r>
      <w:r w:rsidRPr="00E93F40">
        <w:rPr>
          <w:rFonts w:ascii="Times New Roman" w:eastAsia="Times New Roman" w:hAnsi="Times New Roman"/>
          <w:iCs/>
          <w:color w:val="000000" w:themeColor="text1"/>
          <w:sz w:val="16"/>
          <w:szCs w:val="16"/>
          <w:lang w:eastAsia="ru-RU"/>
        </w:rPr>
        <w:t>разрешить</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НКВТ</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по мере необходимости использовать метод продажи в порядке срочных сделок на бирже (фьючерсы) пшеницы в целях страхования цен. Объем таких продаж определить не свыше 200 тыс. тонн</w:t>
      </w:r>
      <w:r w:rsidRPr="00E93F40">
        <w:rPr>
          <w:rFonts w:ascii="Times New Roman" w:eastAsia="Times New Roman" w:hAnsi="Times New Roman"/>
          <w:color w:val="000000" w:themeColor="text1"/>
          <w:sz w:val="16"/>
          <w:szCs w:val="16"/>
          <w:lang w:eastAsia="ru-RU"/>
        </w:rPr>
        <w:t>».</w:t>
      </w:r>
    </w:p>
    <w:p w14:paraId="25EA29BA" w14:textId="2AE97EF2" w:rsidR="00D47DDD" w:rsidRPr="00E93F40" w:rsidRDefault="00D47DD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lastRenderedPageBreak/>
        <w:t>9 сентября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Принятие нового плана хлебозаготовок 21,6 млн. т., и хлебофуражного баланса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-1933 гг.</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После неоднократных переносов, наконец то были определены и размеры экспорта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в 2,7 млн. т.</w:t>
      </w:r>
    </w:p>
    <w:p w14:paraId="234F804A" w14:textId="2E16B79C" w:rsidR="00D47DDD" w:rsidRPr="00E93F40" w:rsidRDefault="00D47DD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20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о сокращении экспорта хлеба из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с 2,7 млн. до 2,46 млн. т.</w:t>
      </w:r>
    </w:p>
    <w:p w14:paraId="3BF967CE" w14:textId="0F3B0B06" w:rsidR="00D47DDD" w:rsidRPr="00E93F40" w:rsidRDefault="00D47DD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23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Постановление ЦК:</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Произведенное уменьшение экспортного плана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 15 млн. пудов распространить полностью на пшеницу</w:t>
      </w:r>
      <w:r w:rsidRPr="00E93F40">
        <w:rPr>
          <w:rFonts w:ascii="Times New Roman" w:eastAsia="Times New Roman" w:hAnsi="Times New Roman"/>
          <w:color w:val="000000" w:themeColor="text1"/>
          <w:sz w:val="16"/>
          <w:szCs w:val="16"/>
          <w:lang w:eastAsia="ru-RU"/>
        </w:rPr>
        <w:t>».</w:t>
      </w:r>
    </w:p>
    <w:p w14:paraId="6A102A44" w14:textId="6B3643E0" w:rsidR="00D47DDD" w:rsidRPr="00E93F40" w:rsidRDefault="00D47DD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Комзаг</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E93F40">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и</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продкультур</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после 1 января»</w:t>
      </w:r>
      <w:r w:rsidRPr="00E93F40">
        <w:rPr>
          <w:rFonts w:ascii="Times New Roman" w:eastAsia="Times New Roman" w:hAnsi="Times New Roman"/>
          <w:color w:val="000000" w:themeColor="text1"/>
          <w:sz w:val="16"/>
          <w:szCs w:val="16"/>
          <w:lang w:eastAsia="ru-RU"/>
        </w:rPr>
        <w:t>.</w:t>
      </w:r>
    </w:p>
    <w:p w14:paraId="09326A24" w14:textId="1EE7856F" w:rsidR="00D47DDD" w:rsidRPr="00E93F40" w:rsidRDefault="00D47DD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Политбюро</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E93F40">
        <w:rPr>
          <w:rFonts w:ascii="Times New Roman" w:eastAsia="Times New Roman" w:hAnsi="Times New Roman"/>
          <w:color w:val="000000" w:themeColor="text1"/>
          <w:sz w:val="16"/>
          <w:szCs w:val="16"/>
          <w:lang w:eastAsia="ru-RU"/>
        </w:rPr>
        <w:t>» и</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E93F40">
        <w:rPr>
          <w:rFonts w:ascii="Times New Roman" w:eastAsia="Times New Roman" w:hAnsi="Times New Roman"/>
          <w:color w:val="000000" w:themeColor="text1"/>
          <w:sz w:val="16"/>
          <w:szCs w:val="16"/>
          <w:lang w:eastAsia="ru-RU"/>
        </w:rPr>
        <w:t>».</w:t>
      </w:r>
    </w:p>
    <w:p w14:paraId="6E1EAF15" w14:textId="33E5EDAF" w:rsidR="00D47DDD" w:rsidRPr="00E93F40" w:rsidRDefault="00D47DD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xml:space="preserve">31 марта 1933 г. – </w:t>
      </w:r>
      <w:r w:rsidRPr="00E93F40">
        <w:rPr>
          <w:rFonts w:ascii="Times New Roman" w:eastAsia="Times New Roman" w:hAnsi="Times New Roman"/>
          <w:color w:val="000000" w:themeColor="text1"/>
          <w:sz w:val="16"/>
          <w:szCs w:val="16"/>
          <w:lang w:eastAsia="ru-RU"/>
        </w:rPr>
        <w:t>Принято решение: «</w:t>
      </w:r>
      <w:r w:rsidRPr="00E93F40">
        <w:rPr>
          <w:rFonts w:ascii="Times New Roman" w:eastAsia="Times New Roman" w:hAnsi="Times New Roman"/>
          <w:iCs/>
          <w:color w:val="000000" w:themeColor="text1"/>
          <w:sz w:val="16"/>
          <w:szCs w:val="16"/>
          <w:lang w:eastAsia="ru-RU"/>
        </w:rPr>
        <w:t>Прекратить экспорт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начиная с 1-4-1933» (12257).</w:t>
      </w:r>
    </w:p>
    <w:p w14:paraId="2A2FA7D3" w14:textId="77777777" w:rsidR="00D47DDD" w:rsidRPr="00E93F40" w:rsidRDefault="00D47DD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146126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83D07E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6621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июня (28 - 62,691) (29 - 80,45) 1932 был образован ЦИАМ (71,243). В него кроме подразделений ОАМ/ИАМ и отделов НАМИ вошел моторостроительный завод 24 и другие организации (80,7). Есть мнение, что в конце 30 (80,417). Директором стал И.И.Побережский - бывший директор завода 24 (80,45).</w:t>
      </w:r>
    </w:p>
    <w:p w14:paraId="6128FA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ЦИАМ появился еще в августе 1930</w:t>
      </w:r>
    </w:p>
    <w:p w14:paraId="7C1CB66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336C59" w14:textId="77777777" w:rsidR="004642A1" w:rsidRPr="00E93F40" w:rsidRDefault="004642A1"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5D04F8D" w14:textId="77777777" w:rsidR="004642A1" w:rsidRPr="00E93F40" w:rsidRDefault="004642A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24AD08" w14:textId="77777777" w:rsidR="004642A1" w:rsidRPr="00E93F40" w:rsidRDefault="004642A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июня 1932 г. Ворошилов обратился к Сталину: «прошу твоей поддержки о немедленном (как только модель будет доработана и представится возможность) приобретении чертежей этой модели “летающего танка”. Не беда, что танк не летает, другие данные этого танка, если верить сообщениям, столь интересны, что его приобретение не может вызывать ни малейших сомнений. Американцы все еще “преют”, и пусть их “преют”, а нам нужно покупать чертежи, ошибки не будет» (РГАСПИ. Ф. 558. Оп. 11. Д. 715. Л. 55). После недолгих переговоров Кристи согласился продать советской фирме «Амторг» свой «аэротанк М 1932» за 33 тыс. долл., и осенью 1933 г. начались его испытания в РККА. Но их результаты выявили бесполезность этой покупки (21532).</w:t>
      </w:r>
    </w:p>
    <w:p w14:paraId="300EBAE3" w14:textId="77777777" w:rsidR="004642A1" w:rsidRPr="00E93F40" w:rsidRDefault="004642A1" w:rsidP="00E93F40">
      <w:pPr>
        <w:spacing w:after="0" w:line="240" w:lineRule="auto"/>
        <w:jc w:val="both"/>
        <w:rPr>
          <w:rFonts w:ascii="Times New Roman" w:hAnsi="Times New Roman"/>
          <w:color w:val="000000" w:themeColor="text1"/>
          <w:sz w:val="16"/>
          <w:szCs w:val="16"/>
        </w:rPr>
      </w:pPr>
    </w:p>
    <w:p w14:paraId="748DDF0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1B24BD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143C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июня 1932 г., спустя чуть более трех недель после назначения Папена райхсканцлером и через три дня после подписания в Москве протокола о бессрочном продлении Берлинского договора, состоялась беседа Хинчука со Шляйхером. Вот как сообщал о встрече советский полпред в Москву: «Виделся со Шляйхером, встретил меня тепло, утверждая, что нам нечего опасаться, новый кабинет весь стоит на почве сохранения военных, торговых, дружественных отношений с СССР (слова «политических» не произнес). Нет ни одного разумного человека не только в кабинете, но и во всей Германии, который не понимал бы этого. На мой вопрос о западной ориентации некоторых членов кабинета, в том числе фон Папена, заявил, что эта ориентация имеет в основном лишь репарационные задачи, финансовое и хозяйственное облегчение Германии; при этом составе Гермпра сумеет больше идти навстречу СССР &lt;...&gt; Он заявил, что знает, что и наци стоят за сохранение отношений с СССР» (АВП РФ, ф. 059, on. 1, п. 138, д. 1053, л. 111.). В развернутом отчете об этой беседе Хинчук записал: «Шляйхер немедленно заявил мне, что мне беспокоиться нечего. Я, вероятно, знаком с его весьма хорошим отношением к СССР. Такое же отношение и у Гаммерштейна (Хаммерштайн-Экворд.). Он может от имени рейхсвера уверить меня в весьма дружественных отношениях последнего к СССР» (ДВП СССР, т. XV, с. 390.). Таким образом, все вроде бы оставалось по-старому. И действительно, несмотря на усиление антисоветской кампании в прессе (особенно усердствовала газета нацистов, «Ангрифф»), обыски полицией советских генконсульства в Кенигсберге и консульства в Штеттине, несмотря на аресты и преследования отдельных сотрудников советских учреждений в Германии, кампанию против советского аграрного и пушного демпинга и о неплатежеспособности СССР, сотрудничество по военной линии шло своим чередом. И более того, по приглашению Шляйхера на крупные осенние маневры 1932 г. прибыла представительная делегация во главе с Тухачевским, которого по завершении маневров принял президент Гинденбург. В ходе переговоров Тухачевского с представителями германского генералитета в которой раз обыгрывалась тема Польши. И это не был просто ритуальный маневр — именно в 1932 г. Тухачевский разработал подробный план операции по разгрому Польши, в котором предусматривал нанесение «ударов тяжелой авиации по району Варшавы» (РГВА, ф. 33987, оп. 3, д. 400, л. 14-29.). Если учесть подписанный 25 июля 1931 г. по инициативе СССР советско-польский пакт о ненападении, то следует признать, что разработка такого рода планов вещь сама по себе весьма примечательная. Приход Шляйхера к власти оживил ожидания Москвы относительно улучшения всего комплекса советско-германских отношений. Шляйхер предпринимал отчаянные усилия, чтобы удержаться у власти. Он пытался заручиться поддержкой сначала национал-социалистов, затем СДПГ, потом снова НСДАП. Но тщетно. Свою идею привлечь НСДАП к правительственной ответственности с тем, чтобы показать ее неспособность управлять страной, реализовать он так и не смог (11784).</w:t>
      </w:r>
    </w:p>
    <w:p w14:paraId="135E8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BB85D8" w14:textId="7DAA2870"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июня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спустя чуть более трех недель после назначения Папена райхсканцлером и через три дня после подписания в Москве протокола о бессрочном продлении Берлинского договора, состоялась беседа Хинчука со Шляйхером.</w:t>
      </w:r>
    </w:p>
    <w:p w14:paraId="310A8111" w14:textId="77777777"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Вот как сообщал о встрече советский полпред в Москву:</w:t>
      </w:r>
    </w:p>
    <w:p w14:paraId="7B063B98" w14:textId="043F1C3B"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«Виделся со Шляйхером, встретил меня тепло, утверждая, что нам нечего опасаться, новый кабинет весь стоит на почве сохранения военных, торговых, дружественных отношений с СССР (слова «политических» не произнес). Нет ни одного разумного человека не только в кабинете, но и во всей Германии, который не понимал бы этого. На мой вопрос о западной ориентации некоторых членов кабинета, в том числе фон Папена, заявил, что эта ориентация имеет в основном лишь репарационные задачи, финансовое и хозяйственное облегчение Германии; при этом составе Гермпра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сумеет больше идти навстречу СССР &lt;…&gt; Он заявил, что знает, что и наци стоят за сохранение отношений с СССР».</w:t>
      </w:r>
    </w:p>
    <w:p w14:paraId="39292EEE" w14:textId="77777777"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развернутом отчете об этой беседе Хинчук записал:</w:t>
      </w:r>
    </w:p>
    <w:p w14:paraId="7BFA2BE9" w14:textId="77777777"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«Шляйхер немедленно заявил мне, что мне беспокоиться нечего. Я, вероятно, знаком с его весьма хорошим отношением к СССР. Такое же отношение и у Гаммерштейна. Он может от имени рейхсвера уверить меня в весьма дружественных отношениях последнего к СССР» (16269).</w:t>
      </w:r>
    </w:p>
    <w:p w14:paraId="4773867A" w14:textId="77777777" w:rsidR="007C6B55" w:rsidRPr="00E93F40" w:rsidRDefault="007C6B55" w:rsidP="00E93F40">
      <w:pPr>
        <w:spacing w:after="0" w:line="240" w:lineRule="auto"/>
        <w:jc w:val="both"/>
        <w:rPr>
          <w:rFonts w:ascii="Times New Roman" w:hAnsi="Times New Roman"/>
          <w:color w:val="000000" w:themeColor="text1"/>
          <w:sz w:val="16"/>
          <w:szCs w:val="16"/>
        </w:rPr>
      </w:pPr>
    </w:p>
    <w:p w14:paraId="35FAC17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FDD1FE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1E2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июня 1932 года ст. военпред завода N 1 писал письмо N 386с начальнику 8 сектора. При сем препровождаю ведомость серийных самолетов и последовательность их испытания в 1932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DA227A" w:rsidRPr="00E93F40" w14:paraId="61E33A27" w14:textId="77777777">
        <w:tc>
          <w:tcPr>
            <w:tcW w:w="2254" w:type="dxa"/>
          </w:tcPr>
          <w:p w14:paraId="4E10EC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NN по NN</w:t>
            </w:r>
          </w:p>
        </w:tc>
        <w:tc>
          <w:tcPr>
            <w:tcW w:w="2254" w:type="dxa"/>
          </w:tcPr>
          <w:p w14:paraId="7A56BA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 сер. сам.</w:t>
            </w:r>
          </w:p>
        </w:tc>
        <w:tc>
          <w:tcPr>
            <w:tcW w:w="2254" w:type="dxa"/>
          </w:tcPr>
          <w:p w14:paraId="6C45F7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Начало испыт.</w:t>
            </w:r>
          </w:p>
        </w:tc>
        <w:tc>
          <w:tcPr>
            <w:tcW w:w="2254" w:type="dxa"/>
          </w:tcPr>
          <w:p w14:paraId="5328D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Конец испыт.</w:t>
            </w:r>
          </w:p>
        </w:tc>
      </w:tr>
      <w:tr w:rsidR="00DA227A" w:rsidRPr="00E93F40" w14:paraId="25218984" w14:textId="77777777">
        <w:tc>
          <w:tcPr>
            <w:tcW w:w="2254" w:type="dxa"/>
          </w:tcPr>
          <w:p w14:paraId="653AE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4601-4750</w:t>
            </w:r>
          </w:p>
        </w:tc>
        <w:tc>
          <w:tcPr>
            <w:tcW w:w="2254" w:type="dxa"/>
          </w:tcPr>
          <w:p w14:paraId="1F103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4704</w:t>
            </w:r>
          </w:p>
        </w:tc>
        <w:tc>
          <w:tcPr>
            <w:tcW w:w="2254" w:type="dxa"/>
          </w:tcPr>
          <w:p w14:paraId="4D1E45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24.10.31</w:t>
            </w:r>
          </w:p>
        </w:tc>
        <w:tc>
          <w:tcPr>
            <w:tcW w:w="2254" w:type="dxa"/>
          </w:tcPr>
          <w:p w14:paraId="1D6E2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5.12.31</w:t>
            </w:r>
          </w:p>
        </w:tc>
      </w:tr>
      <w:tr w:rsidR="00DA227A" w:rsidRPr="00E93F40" w14:paraId="62394F4B" w14:textId="77777777">
        <w:tc>
          <w:tcPr>
            <w:tcW w:w="2254" w:type="dxa"/>
          </w:tcPr>
          <w:p w14:paraId="12A54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4751-4900</w:t>
            </w:r>
          </w:p>
        </w:tc>
        <w:tc>
          <w:tcPr>
            <w:tcW w:w="2254" w:type="dxa"/>
          </w:tcPr>
          <w:p w14:paraId="68D94B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4777</w:t>
            </w:r>
          </w:p>
        </w:tc>
        <w:tc>
          <w:tcPr>
            <w:tcW w:w="2254" w:type="dxa"/>
          </w:tcPr>
          <w:p w14:paraId="732AC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8.12.31</w:t>
            </w:r>
          </w:p>
        </w:tc>
        <w:tc>
          <w:tcPr>
            <w:tcW w:w="2254" w:type="dxa"/>
          </w:tcPr>
          <w:p w14:paraId="4BC511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23.02.32</w:t>
            </w:r>
          </w:p>
        </w:tc>
      </w:tr>
      <w:tr w:rsidR="00DA227A" w:rsidRPr="00E93F40" w14:paraId="128B00C3" w14:textId="77777777">
        <w:tc>
          <w:tcPr>
            <w:tcW w:w="2254" w:type="dxa"/>
          </w:tcPr>
          <w:p w14:paraId="4BA3D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4901-5050</w:t>
            </w:r>
          </w:p>
        </w:tc>
        <w:tc>
          <w:tcPr>
            <w:tcW w:w="2254" w:type="dxa"/>
          </w:tcPr>
          <w:p w14:paraId="67780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5006</w:t>
            </w:r>
          </w:p>
        </w:tc>
        <w:tc>
          <w:tcPr>
            <w:tcW w:w="2254" w:type="dxa"/>
          </w:tcPr>
          <w:p w14:paraId="031331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12.03.32</w:t>
            </w:r>
          </w:p>
        </w:tc>
        <w:tc>
          <w:tcPr>
            <w:tcW w:w="2254" w:type="dxa"/>
          </w:tcPr>
          <w:p w14:paraId="125CF0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29.03.32</w:t>
            </w:r>
          </w:p>
        </w:tc>
      </w:tr>
      <w:tr w:rsidR="00DA227A" w:rsidRPr="00E93F40" w14:paraId="578156E2" w14:textId="77777777">
        <w:tc>
          <w:tcPr>
            <w:tcW w:w="2254" w:type="dxa"/>
          </w:tcPr>
          <w:p w14:paraId="79A8FB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5051-5200</w:t>
            </w:r>
          </w:p>
        </w:tc>
        <w:tc>
          <w:tcPr>
            <w:tcW w:w="2254" w:type="dxa"/>
          </w:tcPr>
          <w:p w14:paraId="62C077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5239</w:t>
            </w:r>
          </w:p>
        </w:tc>
        <w:tc>
          <w:tcPr>
            <w:tcW w:w="2254" w:type="dxa"/>
          </w:tcPr>
          <w:p w14:paraId="0CA609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10.06.32</w:t>
            </w:r>
          </w:p>
        </w:tc>
        <w:tc>
          <w:tcPr>
            <w:tcW w:w="2254" w:type="dxa"/>
          </w:tcPr>
          <w:p w14:paraId="58C9F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20.06.32</w:t>
            </w:r>
          </w:p>
        </w:tc>
      </w:tr>
      <w:tr w:rsidR="00DA227A" w:rsidRPr="00E93F40" w14:paraId="41C808B5" w14:textId="77777777">
        <w:tc>
          <w:tcPr>
            <w:tcW w:w="2254" w:type="dxa"/>
          </w:tcPr>
          <w:p w14:paraId="17EF10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5201-5350</w:t>
            </w:r>
          </w:p>
        </w:tc>
        <w:tc>
          <w:tcPr>
            <w:tcW w:w="2254" w:type="dxa"/>
          </w:tcPr>
          <w:p w14:paraId="4954A2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5284</w:t>
            </w:r>
          </w:p>
        </w:tc>
        <w:tc>
          <w:tcPr>
            <w:tcW w:w="2254" w:type="dxa"/>
          </w:tcPr>
          <w:p w14:paraId="4EED9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27.06.32</w:t>
            </w:r>
          </w:p>
        </w:tc>
        <w:tc>
          <w:tcPr>
            <w:tcW w:w="2254" w:type="dxa"/>
          </w:tcPr>
          <w:p w14:paraId="0BD9E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5.07.32</w:t>
            </w:r>
          </w:p>
        </w:tc>
      </w:tr>
      <w:tr w:rsidR="00DA227A" w:rsidRPr="00E93F40" w14:paraId="6103772B" w14:textId="77777777">
        <w:tc>
          <w:tcPr>
            <w:tcW w:w="2254" w:type="dxa"/>
          </w:tcPr>
          <w:p w14:paraId="3202E3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5351-5500</w:t>
            </w:r>
          </w:p>
        </w:tc>
        <w:tc>
          <w:tcPr>
            <w:tcW w:w="2254" w:type="dxa"/>
          </w:tcPr>
          <w:p w14:paraId="33CED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5425</w:t>
            </w:r>
          </w:p>
        </w:tc>
        <w:tc>
          <w:tcPr>
            <w:tcW w:w="2254" w:type="dxa"/>
          </w:tcPr>
          <w:p w14:paraId="208D2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25.07.32</w:t>
            </w:r>
          </w:p>
        </w:tc>
        <w:tc>
          <w:tcPr>
            <w:tcW w:w="2254" w:type="dxa"/>
          </w:tcPr>
          <w:p w14:paraId="62B8A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10.08.32</w:t>
            </w:r>
          </w:p>
        </w:tc>
      </w:tr>
      <w:tr w:rsidR="00DA227A" w:rsidRPr="00E93F40" w14:paraId="582CB567" w14:textId="77777777">
        <w:tc>
          <w:tcPr>
            <w:tcW w:w="2254" w:type="dxa"/>
          </w:tcPr>
          <w:p w14:paraId="5CFFA8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5501-5650</w:t>
            </w:r>
          </w:p>
        </w:tc>
        <w:tc>
          <w:tcPr>
            <w:tcW w:w="2254" w:type="dxa"/>
          </w:tcPr>
          <w:p w14:paraId="56FD93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5550</w:t>
            </w:r>
          </w:p>
        </w:tc>
        <w:tc>
          <w:tcPr>
            <w:tcW w:w="2254" w:type="dxa"/>
          </w:tcPr>
          <w:p w14:paraId="590419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15.09.32</w:t>
            </w:r>
          </w:p>
        </w:tc>
        <w:tc>
          <w:tcPr>
            <w:tcW w:w="2254" w:type="dxa"/>
          </w:tcPr>
          <w:p w14:paraId="0D4CD8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25.09.32</w:t>
            </w:r>
          </w:p>
        </w:tc>
      </w:tr>
      <w:tr w:rsidR="00DA227A" w:rsidRPr="00E93F40" w14:paraId="7F658A60" w14:textId="77777777">
        <w:tc>
          <w:tcPr>
            <w:tcW w:w="2254" w:type="dxa"/>
          </w:tcPr>
          <w:p w14:paraId="46380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5651-5800</w:t>
            </w:r>
          </w:p>
        </w:tc>
        <w:tc>
          <w:tcPr>
            <w:tcW w:w="2254" w:type="dxa"/>
          </w:tcPr>
          <w:p w14:paraId="6F899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5670</w:t>
            </w:r>
          </w:p>
        </w:tc>
        <w:tc>
          <w:tcPr>
            <w:tcW w:w="2254" w:type="dxa"/>
          </w:tcPr>
          <w:p w14:paraId="0B7FAA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10.10.32</w:t>
            </w:r>
          </w:p>
        </w:tc>
        <w:tc>
          <w:tcPr>
            <w:tcW w:w="2254" w:type="dxa"/>
          </w:tcPr>
          <w:p w14:paraId="3BC7E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20.10.32</w:t>
            </w:r>
          </w:p>
        </w:tc>
      </w:tr>
      <w:tr w:rsidR="00DA227A" w:rsidRPr="00E93F40" w14:paraId="0EF002C5" w14:textId="77777777">
        <w:tc>
          <w:tcPr>
            <w:tcW w:w="2254" w:type="dxa"/>
          </w:tcPr>
          <w:p w14:paraId="757A7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5801-5950</w:t>
            </w:r>
          </w:p>
        </w:tc>
        <w:tc>
          <w:tcPr>
            <w:tcW w:w="2254" w:type="dxa"/>
          </w:tcPr>
          <w:p w14:paraId="759881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5830</w:t>
            </w:r>
          </w:p>
        </w:tc>
        <w:tc>
          <w:tcPr>
            <w:tcW w:w="2254" w:type="dxa"/>
          </w:tcPr>
          <w:p w14:paraId="76A593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15.11.32</w:t>
            </w:r>
          </w:p>
        </w:tc>
        <w:tc>
          <w:tcPr>
            <w:tcW w:w="2254" w:type="dxa"/>
          </w:tcPr>
          <w:p w14:paraId="492AE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25.11.32</w:t>
            </w:r>
          </w:p>
        </w:tc>
      </w:tr>
      <w:tr w:rsidR="009D12BD" w:rsidRPr="00E93F40" w14:paraId="05F17A2E" w14:textId="77777777">
        <w:tc>
          <w:tcPr>
            <w:tcW w:w="2254" w:type="dxa"/>
          </w:tcPr>
          <w:p w14:paraId="28A70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5951-60..1</w:t>
            </w:r>
          </w:p>
        </w:tc>
        <w:tc>
          <w:tcPr>
            <w:tcW w:w="2254" w:type="dxa"/>
          </w:tcPr>
          <w:p w14:paraId="2B4A7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5965</w:t>
            </w:r>
          </w:p>
        </w:tc>
        <w:tc>
          <w:tcPr>
            <w:tcW w:w="2254" w:type="dxa"/>
          </w:tcPr>
          <w:p w14:paraId="62A4F7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20.12.32</w:t>
            </w:r>
          </w:p>
        </w:tc>
        <w:tc>
          <w:tcPr>
            <w:tcW w:w="2254" w:type="dxa"/>
          </w:tcPr>
          <w:p w14:paraId="6DAFA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30.12.32 (3064,163-164).</w:t>
            </w:r>
          </w:p>
        </w:tc>
      </w:tr>
    </w:tbl>
    <w:p w14:paraId="1BE8D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AFA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июня 1932 состоялась Конференция по авиа-авто и мотостроению НТУ ВСНХ (322).</w:t>
      </w:r>
    </w:p>
    <w:p w14:paraId="434CE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82D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28 июня 1932 г. по приказу НКТП № 435 образовался ВИАМ на базе отдела испытаний авиационных материалов ЦАГИ. На институт возложены задачи: изучение авиационных материалов, сырьевых баз; изыскание новых материалов и внедрение их в производство; разработка технологических процессов по производству и применению материалов. Была образована лаборатория общего металловедения, коррозии металлов и их защиты. В нее вошли отделы: авиалеса, экспериментальной металлургии, цветных металлов, черных металлов, химико-технологический и химико-аналитический.</w:t>
      </w:r>
    </w:p>
    <w:p w14:paraId="2C6789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 концу 1932 г. была разработана и внедрена в производство конструкционная сталь «хромансиль» 30ХГСА (И.И. Сидорин, Г.В. Акимов). Создана авиационная броня (С.Т. Кишкин, Н.М. Скляров). Перед войной создана дельта-древесина. </w:t>
      </w:r>
    </w:p>
    <w:p w14:paraId="1B203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годы ВОВ: мягкие фибровые баки; маскировочные лакокрасочные покрытия (В.В. Чеботаревский); наплавочные сплавы для клапанов авиадвигателей (А.Т. Туманов, В.П. Гречин, Г.В. Акимов, А.А. Киселев).</w:t>
      </w:r>
    </w:p>
    <w:p w14:paraId="3F04A1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1942 г. в институт переданы из ОКБ завода № 294 НКАП экспериментальные работы по крупноблочному прессованию пластмасс. </w:t>
      </w:r>
    </w:p>
    <w:p w14:paraId="2FA5C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107с от 22.02.1943 г. в состав ВИАМ была передана группа «ПМ» завода № 464 под руководством Д.А. Михайлова по созданию агрегатов и деталей из пластмасс.</w:t>
      </w:r>
    </w:p>
    <w:p w14:paraId="068FD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186с от 5.04.1945 г. в ведение ВИАМ передан опытный завод № 225 НКАП. По приказу № 309с от 20.05.1946 г. в помещениях завода № 225 сформирована специальная лаборатория кремний-органической химии в составе ВИАМ для упорядочения работ по неметаллическим авиационным материалам. Директор/ гл. конструктор завода П.В. Гулянский от своих обязанностей освобожден, продолжил работу в ВИАМ, а затем возглавлял отдел пластмасс на ММЗ «Авангард».</w:t>
      </w:r>
    </w:p>
    <w:p w14:paraId="57172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189с от 3.04.1946 г. в подчинение ВИАМ из состава завода № 65 выделено два цеха с оборудованием для организации экспериментально-технологической базы.</w:t>
      </w:r>
    </w:p>
    <w:p w14:paraId="2D6C5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1945 г. ВИАМ- в ведении 7ГУ НКАП.</w:t>
      </w:r>
    </w:p>
    <w:p w14:paraId="30297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1946 г. принимало участие в разработке промышленного уран-графитового реактора для Комбината № 817.</w:t>
      </w:r>
    </w:p>
    <w:p w14:paraId="4261A7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постановлением СМ СССР № 3864-1617сс от 1950 г. и приказом № 739с от 16.09.1950 г. (или в 1946 г.) из состава ВИАМ выделился самостоятельный Завод № 666 МАП в системе 17ГУ МАП.</w:t>
      </w:r>
    </w:p>
    <w:p w14:paraId="3755E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1948-55 г.: созданы литейные (С.Т. Кишкин) и деформируемые жаропрочные никелевые сплавы (Ф.Ф. Химушин, К.И. Терехов, Е.Ф. Трусов, Д.Е. Лифшиц, М.Я. Львовский); титановые сплавы (С.Г. Глазунов, К.К. Ясинский, Е.И. Морозов, Е.А. Борисова).</w:t>
      </w:r>
    </w:p>
    <w:p w14:paraId="750A3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1955-75 г. создан и внедрен в производство класс специальных кислотостойких сталей для ракетной техники.</w:t>
      </w:r>
    </w:p>
    <w:p w14:paraId="2435F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1960-е г. имелась лаборатория № 9 (резиновые изделия).</w:t>
      </w:r>
    </w:p>
    <w:p w14:paraId="45411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1960-е г. под руководством Я.М. Потака созданы высокопрочные нержавеющие стали ВНС-2, ВНС-4, ВНС-5 для МиГ-25. </w:t>
      </w:r>
    </w:p>
    <w:p w14:paraId="6CB20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1960-80-е г. разработаны коррозиестойкие и жаропрочные сплавы для литья крупногабаритных изделий РКТ. </w:t>
      </w:r>
    </w:p>
    <w:p w14:paraId="05208D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1970-2000 г. создана лаборатория полимерных композиционных материалов.</w:t>
      </w:r>
    </w:p>
    <w:p w14:paraId="4CDA13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1972-95 г. создана лаборатория защитных технологических и жаростойких эмалей. Разработаны основы создания керамических, углеродкерамических и стеклокерамических композиционных материалов. </w:t>
      </w:r>
    </w:p>
    <w:p w14:paraId="652AD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1973-87 г. разработан комплекс материалов (волокна, теплозащита, клеи, углеродные материалы, ЛКП) и средств неразрушающего контроля для МКК «Буран».</w:t>
      </w:r>
    </w:p>
    <w:p w14:paraId="38556E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Разработана технология высокоградиентного литья монокристаллических лопаток, созданы высокожаропрочные сплавы с повышенным содержанием рения для ГТД (Е.Н. Каблов, И.М. Демонис, С.А. Мубояджян, И.Л. Светлов, В.А. Николаев, А.С. Пахомов, В.В. Герасимов).</w:t>
      </w:r>
    </w:p>
    <w:p w14:paraId="40900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Разработано более 100 пожаробезопасных материалов для интерьера всех пассажирских ЛА. </w:t>
      </w:r>
    </w:p>
    <w:p w14:paraId="71499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1980-2000 г. реализована концепция создания интеллектуальных и адаптирующихся полимерных композитов (из адаптирующегося углепластика выполнено крыло С-37).</w:t>
      </w:r>
    </w:p>
    <w:p w14:paraId="3018D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Постановлением правительства № 247 от 29.03.1994 г. ВИАМ присвоен статус ГНЦ. </w:t>
      </w:r>
    </w:p>
    <w:p w14:paraId="44F14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2000 г.- ОКР «Монокристалл» по разработке монокристаллических турбинных лопаток с транспирационным охлаждением для ГТД.</w:t>
      </w:r>
    </w:p>
    <w:p w14:paraId="7831F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внедрение в промышленность новых материалов.</w:t>
      </w:r>
    </w:p>
    <w:p w14:paraId="2EE096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Имеется экспериментальная производственная база, где выпускаются опытные партии материалов: клеев, связующих, жаропрочных, алюминиевых сплавов. Имеется свой Испытательный Центр. В 2002 г. был открыт «НИЦ высокоградиентной технологии литья монокристаллических лопаток ГТД им. С.Т. Кишкина».</w:t>
      </w:r>
    </w:p>
    <w:p w14:paraId="79053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58395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Численность персонала (2002 г.)- 1600 чел.КР-6/02 </w:t>
      </w:r>
    </w:p>
    <w:p w14:paraId="2A6B0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Работали: академики и член-корреспонденты АН СССР А.А. Бочвар, П.А. Дерягин, К.А. Андрианов. В.А. Добаткин, Я.И. Френкель, Н.Н. Давиденков, (2002 г.)- академик И.Н. Фридляндер.</w:t>
      </w:r>
    </w:p>
    <w:p w14:paraId="6678A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(1938-50 г.; 1955-76 г.)- А.Т. Туманов.</w:t>
      </w:r>
    </w:p>
    <w:p w14:paraId="3D187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(1946 г.)- А.В. Акимов,92 (1976-96 г.)- Р.Е. Шалин (затем- советник Гендиректора). Гендиректор (1996-98 г.-)- Е.Н. Каблов.49 </w:t>
      </w:r>
    </w:p>
    <w:p w14:paraId="6FE47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по научной работе (1938-76 г.)- С.Т. Кишкин (с 1980 г.- советник директора по научной работе); (1947-)- Б.В. Ерофеев, (1947-)- Р.С. Амбарцумян, (1956)-Корнеев, (1974-76 г.)- Р.Е. Шалин.</w:t>
      </w:r>
    </w:p>
    <w:p w14:paraId="2BFA6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(1980-е г.)- Б.В. Перов. Зам. гендиректора: по научной работе (1988-97 г.)- Е.Н. Каблов; (2002 г.)- В. Минаков.</w:t>
      </w:r>
    </w:p>
    <w:p w14:paraId="3F821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ВИАМ (Всесоюзный институт авиационных материалов ) НКТП, НКАП, ГНЦ «Всероссийский научно-исследовательский институт авиационных материалов» Минэкономики, Р-6209 </w:t>
      </w:r>
    </w:p>
    <w:p w14:paraId="7BB732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107005 г.Москва, ул. Радио, 17 тел. 267-62-81; пр. Будённого, 25А (10776).</w:t>
      </w:r>
    </w:p>
    <w:p w14:paraId="3E27D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BD70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июня 1932 вышел приказ НКТП (Г.К.Орджоникидзе) об образовании в составе ГУАП ВИАМ (85,321).</w:t>
      </w:r>
    </w:p>
    <w:p w14:paraId="70855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Считается, что вскоре С.Т.Кишкин и Н.М.Скляров - создали броню (66,145).</w:t>
      </w:r>
    </w:p>
    <w:p w14:paraId="4670F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DECEA8" w14:textId="77777777" w:rsidR="00D47DDD" w:rsidRPr="00E93F40" w:rsidRDefault="00D47D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28 июня</w:t>
      </w:r>
      <w:r w:rsidRPr="00E93F40">
        <w:rPr>
          <w:rFonts w:ascii="Times New Roman" w:hAnsi="Times New Roman"/>
          <w:color w:val="000000" w:themeColor="text1"/>
          <w:sz w:val="16"/>
          <w:szCs w:val="16"/>
        </w:rPr>
        <w:t xml:space="preserve"> в 1932 году на базе отдела авиационных испытаний ЦАГИ приказом № 435 по Наркомату тяжелой промышленности СССР в Москве образован Всесоюзный (ныне Всероссийский) научно-исследовательский институт авиационных материалов (ныне ФГУП "Всероссийский институт авиационных материалов" — Государственный научный центр Российской Федерации). В приказе отмечалось: "На ВИАМ возложить: изучение авиационных материалов, изучение сырьевых баз, изыскание новых материалов и внедрение их в производство самолетов и моторов, разработку технологических процессов по производству и применению материалов и полуфабрикатов в моторо-, самолето-, дирижабле- и авиаприборостроении". ФГУП "Всероссийский научно-исследовательский институт авиационных материалов" (ВИАМ) - крупнейшее материаловедческое предприятие, разрабатывает материалы, определяющие облик изделий авиакосмической техники. 96% материалов, применяемых в авиационной технике, разработаны в ВИАМ. В 1994 г. ВИАМ присвоен статус Государственного научного центра Российской Федерации (14936).</w:t>
      </w:r>
    </w:p>
    <w:p w14:paraId="7FAAFD29" w14:textId="77777777" w:rsidR="00D47DDD" w:rsidRPr="00E93F40" w:rsidRDefault="00D47DDD" w:rsidP="00E93F40">
      <w:pPr>
        <w:spacing w:after="0" w:line="240" w:lineRule="auto"/>
        <w:jc w:val="both"/>
        <w:rPr>
          <w:rFonts w:ascii="Times New Roman" w:hAnsi="Times New Roman"/>
          <w:color w:val="000000" w:themeColor="text1"/>
          <w:sz w:val="16"/>
          <w:szCs w:val="16"/>
        </w:rPr>
      </w:pPr>
    </w:p>
    <w:p w14:paraId="5DBF1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июня 1932-го года приказом №435 по Народному комиссариату тяжелой промышленности СССР образован Всесоюзный (ныне Всероссийский) научно-исследовательский институт авиационных материалов. В Приказе отмечалось: "На ВИАМ возложить: изучение авиационных материалов, изучение сырьевых баз, изыскание новых материалов и внедрение их в производство самолетов и моторов, разработку технологических процессов по производству и применению материалов и полуфабрикатов в моторо-, самолето-, дирижабле- и авиаприборостроении..." (9493,8).</w:t>
      </w:r>
    </w:p>
    <w:p w14:paraId="05FFA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E97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июня 1932 года начальник НИИ ВВС Бузанов писал письмо N 180сс начальнику ВВС Алкснису.</w:t>
      </w:r>
    </w:p>
    <w:p w14:paraId="2AB9FC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препровождается сводка испытания самолета Звено 3-1 для утверждения.</w:t>
      </w:r>
    </w:p>
    <w:p w14:paraId="3C08D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Сводка Результатов гос. испытаний "Самолета-Звено 1" С.3.1. (ТБ1-2И4).</w:t>
      </w:r>
    </w:p>
    <w:p w14:paraId="3A2FA9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519101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Летчики: Залевский, Анисимов, Чкалов</w:t>
      </w:r>
    </w:p>
    <w:p w14:paraId="42FDD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Летнабы: Вахмистров, Морозов</w:t>
      </w:r>
    </w:p>
    <w:p w14:paraId="1E5C4E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 Куликов</w:t>
      </w:r>
    </w:p>
    <w:p w14:paraId="564EE7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2C1B82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 испытания с целью определения полетно-эксплуатационных данных и выявления надежности действия всех механизмов.</w:t>
      </w:r>
    </w:p>
    <w:p w14:paraId="36763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Объект испытаний</w:t>
      </w:r>
    </w:p>
    <w:p w14:paraId="6FF57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ТБ1 N 651 с моторами М-17 NN 2632 и 2638 по 500х600 НР.</w:t>
      </w:r>
    </w:p>
    <w:p w14:paraId="369299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Винты сист. ЦАГИ.</w:t>
      </w:r>
    </w:p>
    <w:p w14:paraId="31293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И4 NN 1651 и 1655 с моторами ЮVI NN 42074 и 42053 по 480 НР.</w:t>
      </w:r>
    </w:p>
    <w:p w14:paraId="15160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Винты завода N 28.</w:t>
      </w:r>
    </w:p>
    <w:p w14:paraId="08BEBB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 самолета</w:t>
      </w:r>
    </w:p>
    <w:p w14:paraId="1828A5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Самолет _3-1_ может быть использован по 3-м основным назначениям:</w:t>
      </w:r>
    </w:p>
    <w:p w14:paraId="6A5F3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Бомбардирование глубокого тыла противника под охраной своих истребителей. В этом случае при полете к цели И-4 питаются горючим из ТБ1, а обратно отцепившись летят на своем горючем.</w:t>
      </w:r>
    </w:p>
    <w:p w14:paraId="60F01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Помощь тяжело груженному бомбардировщику при подъеме с аэродрома когда мощности своих моторов у него для этого не хватает. Доставив бомбардировщика на определенную высоту, истребители отцепляются и уходят на свой аэродром.</w:t>
      </w:r>
    </w:p>
    <w:p w14:paraId="76A45C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потолка тяжелого бомбардировщика при переходе им линии фронта и защиты его от истребителей и противника в ближнем тылу. В этом случае 3-1 (Звено) летит в ближний тыл противника на глубину радиуса действия И4, а дальше продолжает полет один (изолированно), истребители же возвращаются на свой аэродром.</w:t>
      </w:r>
    </w:p>
    <w:p w14:paraId="1A768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25D055C9" w14:textId="77777777">
        <w:tc>
          <w:tcPr>
            <w:tcW w:w="5636" w:type="dxa"/>
          </w:tcPr>
          <w:p w14:paraId="50C74C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мая 1932 года</w:t>
            </w:r>
          </w:p>
        </w:tc>
        <w:tc>
          <w:tcPr>
            <w:tcW w:w="5636" w:type="dxa"/>
          </w:tcPr>
          <w:p w14:paraId="08D9C7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начало испытаний</w:t>
            </w:r>
          </w:p>
        </w:tc>
      </w:tr>
      <w:tr w:rsidR="00DA227A" w:rsidRPr="00E93F40" w14:paraId="22F695DB" w14:textId="77777777">
        <w:tc>
          <w:tcPr>
            <w:tcW w:w="5636" w:type="dxa"/>
          </w:tcPr>
          <w:p w14:paraId="4477B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20-22 мая 1932 года</w:t>
            </w:r>
          </w:p>
        </w:tc>
        <w:tc>
          <w:tcPr>
            <w:tcW w:w="5636" w:type="dxa"/>
          </w:tcPr>
          <w:p w14:paraId="3F75B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и полеты по программе</w:t>
            </w:r>
          </w:p>
        </w:tc>
      </w:tr>
      <w:tr w:rsidR="00DA227A" w:rsidRPr="00E93F40" w14:paraId="794CEE3D" w14:textId="77777777">
        <w:tc>
          <w:tcPr>
            <w:tcW w:w="5636" w:type="dxa"/>
          </w:tcPr>
          <w:p w14:paraId="68DFCA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мая - 15 июня 1932 года</w:t>
            </w:r>
          </w:p>
        </w:tc>
        <w:tc>
          <w:tcPr>
            <w:tcW w:w="5636" w:type="dxa"/>
          </w:tcPr>
          <w:p w14:paraId="6C5AFA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находился в ЦАГИ для установки новой схемы питания</w:t>
            </w:r>
          </w:p>
        </w:tc>
      </w:tr>
      <w:tr w:rsidR="00DA227A" w:rsidRPr="00E93F40" w14:paraId="14488A01" w14:textId="77777777">
        <w:tc>
          <w:tcPr>
            <w:tcW w:w="5636" w:type="dxa"/>
          </w:tcPr>
          <w:p w14:paraId="175C83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года</w:t>
            </w:r>
          </w:p>
        </w:tc>
        <w:tc>
          <w:tcPr>
            <w:tcW w:w="5636" w:type="dxa"/>
          </w:tcPr>
          <w:p w14:paraId="5330D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закончены</w:t>
            </w:r>
          </w:p>
        </w:tc>
      </w:tr>
    </w:tbl>
    <w:p w14:paraId="3DE313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находился на испытании 28 календарных дней.</w:t>
      </w:r>
    </w:p>
    <w:p w14:paraId="4B764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 11 полетов, налетано 23 часа 50 мин.</w:t>
      </w:r>
    </w:p>
    <w:p w14:paraId="14DA8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1F5CB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Построить эскадрилью самолетов 3-1 для выявления тактико-эксплуатационных свойств этого самолета в строю.</w:t>
      </w:r>
    </w:p>
    <w:p w14:paraId="4422F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конструкцию и произвести опытную установку на самолете ТБ3 3-х самолетов И-6 и на ТБ1 двух самолетов И-5.</w:t>
      </w:r>
    </w:p>
    <w:p w14:paraId="0B9A1B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конструкцию и произвести опытную работу с проливом горючего с самолетов ТБ1 и ТБ3 на И4 и И5.</w:t>
      </w:r>
    </w:p>
    <w:p w14:paraId="321601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работы произвести под руководством инженера Вахмистрова, выделив для этого основную группу производившую работу по самолету _3-1_, а именно: из НИИ инженера Морозова В.В., из ЦАГИ инженера Привен Д.Л., конструктора Емельянова и рабочего Полякова И.</w:t>
      </w:r>
    </w:p>
    <w:p w14:paraId="113EFC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Конструирование и производство указанных работ считать наиболее удобным производить на заводе БНК.</w:t>
      </w:r>
    </w:p>
    <w:p w14:paraId="386D0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 план опытного строительства во 2-ю пятилетку включить постройку специального 2-х местного истребителя для _Звена_ и самолета - тягача для улучшения подъема тяжелых самолетов (3822,4-44).</w:t>
      </w:r>
    </w:p>
    <w:p w14:paraId="48FFF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3A3AFA" w14:textId="77777777" w:rsidR="008F7CC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AF54151" w14:textId="77777777" w:rsidR="008F7CC1" w:rsidRPr="00E93F40" w:rsidRDefault="008F7CC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D7989D"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28 июня 1932 началось обсуждение варианта вооружения Kleinetraktor двумя пулемётами, установленными во вращающейся башне. Вот именно такое вооружение и захотел иметь на Kleinetraktor Лутц.</w:t>
      </w:r>
    </w:p>
    <w:p w14:paraId="0306B739"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w:t>
      </w:r>
    </w:p>
    <w:p w14:paraId="33AFC6AC"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На деле машины с серийными номерами 8001–8005 никакого вооружения вообще не получили. Это была скорее установочная партия шасси, выпущенная в июле-августе 1933 года по цене 37800 рейхсмарок за штуку. При этом машины имели целый ряд отличий от опытного образца «малого трактора». По итогам испытаний был увеличен диаметр ленивца, на надмоторной плите появились характерные «уши» воздухозаборников. На машине использовался более мощный мотор Krupp M 302, который имел мощность 56 лошадиных сил, а при 2600 об/мин – 60 лошадиных сил.</w:t>
      </w:r>
    </w:p>
    <w:p w14:paraId="79657A77"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Опытный образец изготовлялся из неброневой стали, но уже в июне 1933 года прошёл испытания обстрелом первый корпус, выполненный из полноценной брони. Поскольку в ходе испытаний имели место два пробития 7,9-мм тяжёлыми пулями, толщина брони машины была увеличена с 8 до 13 мм.</w:t>
      </w:r>
    </w:p>
    <w:p w14:paraId="45183119" w14:textId="77777777" w:rsidR="008F7CC1" w:rsidRPr="00E93F40" w:rsidRDefault="008F7CC1" w:rsidP="00E93F40">
      <w:pPr>
        <w:pStyle w:val="ae"/>
        <w:shd w:val="clear" w:color="auto" w:fill="FFFFFF"/>
        <w:spacing w:before="0" w:after="0"/>
        <w:jc w:val="both"/>
        <w:rPr>
          <w:color w:val="000000" w:themeColor="text1"/>
          <w:sz w:val="16"/>
          <w:szCs w:val="16"/>
        </w:rPr>
      </w:pPr>
      <w:r w:rsidRPr="00E93F40">
        <w:rPr>
          <w:color w:val="000000" w:themeColor="text1"/>
          <w:sz w:val="16"/>
          <w:szCs w:val="16"/>
        </w:rPr>
        <w:t xml:space="preserve">Выпущенные шасси использовались в качестве испытательных стендов. На них отрабатывались различные технические решения. Кстати говоря, именно на Kleintraktor должны были испытать торсионную подвеску разработки Porsche K.G. По ряду причин это мероприятие не случилось, и в итоге первым танком с торсионной подвеской стал шведский </w:t>
      </w:r>
      <w:hyperlink r:id="rId152" w:history="1">
        <w:r w:rsidRPr="00E93F40">
          <w:rPr>
            <w:rStyle w:val="a5"/>
            <w:rFonts w:eastAsiaTheme="majorEastAsia"/>
            <w:color w:val="000000" w:themeColor="text1"/>
            <w:sz w:val="16"/>
            <w:szCs w:val="16"/>
            <w:u w:val="none"/>
          </w:rPr>
          <w:t>Landsverk L-60</w:t>
        </w:r>
      </w:hyperlink>
      <w:r w:rsidRPr="00E93F40">
        <w:rPr>
          <w:rStyle w:val="a5"/>
          <w:rFonts w:eastAsiaTheme="majorEastAsia"/>
          <w:color w:val="000000" w:themeColor="text1"/>
          <w:sz w:val="16"/>
          <w:szCs w:val="16"/>
          <w:u w:val="none"/>
        </w:rPr>
        <w:t xml:space="preserve"> (17463)</w:t>
      </w:r>
      <w:r w:rsidRPr="00E93F40">
        <w:rPr>
          <w:color w:val="000000" w:themeColor="text1"/>
          <w:sz w:val="16"/>
          <w:szCs w:val="16"/>
        </w:rPr>
        <w:t>.</w:t>
      </w:r>
    </w:p>
    <w:p w14:paraId="4C206E50" w14:textId="77777777" w:rsidR="008F7CC1" w:rsidRPr="00E93F40" w:rsidRDefault="008F7CC1" w:rsidP="00E93F40">
      <w:pPr>
        <w:spacing w:after="0" w:line="240" w:lineRule="auto"/>
        <w:jc w:val="both"/>
        <w:rPr>
          <w:rFonts w:ascii="Times New Roman" w:hAnsi="Times New Roman"/>
          <w:color w:val="000000" w:themeColor="text1"/>
          <w:sz w:val="16"/>
          <w:szCs w:val="16"/>
        </w:rPr>
      </w:pPr>
    </w:p>
    <w:p w14:paraId="64B4A2B9"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июня 1932 г. Flugkapitan Вилли Польте одержал победу на 3-х международных Альпийских авиационных соревнованиях в Цюрихе на первом Ju-52/3m се (Werk Nr. 4013), который изначально строился как трехмоторный. Машину получила авиакомпания DLH, здесь он получил собственное имя «BOELCKE». Регистрационный номер этого самолета D-2201 вскоре был заменен на D-ADOM в связи с общей сменой системы регистрации воздушных судов Германии (четырехзначные номера заменялись четырехзначными буквенными кодами). На Ju-52/3m се стояли 9-цилиндровые звездообразные моторы воздушного охлаждения BMW «Хорнет-А» мощностью по 525 л.с. Эти двигатели являлись нелицензионными копиями моторов Пратт-энд-Уитни «Хорнет». По бортам фюзеляжа имелось по семь окон, а в задней части по левому борту — небольшая дверь (24200).</w:t>
      </w:r>
    </w:p>
    <w:p w14:paraId="00D373A5" w14:textId="77777777" w:rsidR="00E13DFF" w:rsidRPr="00E93F40" w:rsidRDefault="00E13DFF" w:rsidP="00E93F40">
      <w:pPr>
        <w:spacing w:after="0" w:line="240" w:lineRule="auto"/>
        <w:jc w:val="both"/>
        <w:rPr>
          <w:rFonts w:ascii="Times New Roman" w:hAnsi="Times New Roman"/>
          <w:color w:val="000000" w:themeColor="text1"/>
          <w:sz w:val="16"/>
          <w:szCs w:val="16"/>
        </w:rPr>
      </w:pPr>
    </w:p>
    <w:p w14:paraId="1334D1E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C6622E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71ABE54" w14:textId="77777777" w:rsidR="00E4344E" w:rsidRPr="00E93F40" w:rsidRDefault="00E4344E"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29 июня 1932 г. са</w:t>
      </w:r>
      <w:r w:rsidRPr="00E93F40">
        <w:rPr>
          <w:rFonts w:ascii="Times New Roman" w:hAnsi="Times New Roman"/>
          <w:color w:val="000000" w:themeColor="text1"/>
          <w:sz w:val="16"/>
          <w:szCs w:val="16"/>
          <w:lang w:eastAsia="ru-RU" w:bidi="ru-RU"/>
        </w:rPr>
        <w:softHyphen/>
        <w:t>молет ТШ-2 М-17 был передан в НИИ ВВС для произ</w:t>
      </w:r>
      <w:r w:rsidRPr="00E93F40">
        <w:rPr>
          <w:rFonts w:ascii="Times New Roman" w:hAnsi="Times New Roman"/>
          <w:color w:val="000000" w:themeColor="text1"/>
          <w:sz w:val="16"/>
          <w:szCs w:val="16"/>
          <w:lang w:eastAsia="ru-RU" w:bidi="ru-RU"/>
        </w:rPr>
        <w:softHyphen/>
        <w:t>водства государственных испытаний. Од</w:t>
      </w:r>
      <w:r w:rsidRPr="00E93F40">
        <w:rPr>
          <w:rFonts w:ascii="Times New Roman" w:hAnsi="Times New Roman"/>
          <w:color w:val="000000" w:themeColor="text1"/>
          <w:sz w:val="16"/>
          <w:szCs w:val="16"/>
          <w:lang w:eastAsia="ru-RU" w:bidi="ru-RU"/>
        </w:rPr>
        <w:softHyphen/>
        <w:t>нако военные не смогли принять штурмо</w:t>
      </w:r>
      <w:r w:rsidRPr="00E93F40">
        <w:rPr>
          <w:rFonts w:ascii="Times New Roman" w:hAnsi="Times New Roman"/>
          <w:color w:val="000000" w:themeColor="text1"/>
          <w:sz w:val="16"/>
          <w:szCs w:val="16"/>
          <w:lang w:eastAsia="ru-RU" w:bidi="ru-RU"/>
        </w:rPr>
        <w:softHyphen/>
        <w:t>вик в качестве эталона для серии, так как «мотор перегревается, гликоль и масло - на пределе, соединения текут». К тому же установленный на самолете мотор поряд</w:t>
      </w:r>
      <w:r w:rsidRPr="00E93F40">
        <w:rPr>
          <w:rFonts w:ascii="Times New Roman" w:hAnsi="Times New Roman"/>
          <w:color w:val="000000" w:themeColor="text1"/>
          <w:sz w:val="16"/>
          <w:szCs w:val="16"/>
          <w:lang w:eastAsia="ru-RU" w:bidi="ru-RU"/>
        </w:rPr>
        <w:softHyphen/>
        <w:t>ком износился. В середине июля самолет возвратили в ЦАГИ для замены мотора, устранения дефектов и доработок по во</w:t>
      </w:r>
      <w:r w:rsidRPr="00E93F40">
        <w:rPr>
          <w:rFonts w:ascii="Times New Roman" w:hAnsi="Times New Roman"/>
          <w:color w:val="000000" w:themeColor="text1"/>
          <w:sz w:val="16"/>
          <w:szCs w:val="16"/>
          <w:lang w:eastAsia="ru-RU" w:bidi="ru-RU"/>
        </w:rPr>
        <w:softHyphen/>
        <w:t>оружению (21062).</w:t>
      </w:r>
    </w:p>
    <w:p w14:paraId="38048351" w14:textId="77777777" w:rsidR="00E4344E" w:rsidRPr="00E93F40" w:rsidRDefault="00E4344E" w:rsidP="00E93F40">
      <w:pPr>
        <w:spacing w:after="0" w:line="240" w:lineRule="auto"/>
        <w:jc w:val="both"/>
        <w:rPr>
          <w:rFonts w:ascii="Times New Roman" w:hAnsi="Times New Roman"/>
          <w:color w:val="000000" w:themeColor="text1"/>
          <w:sz w:val="16"/>
          <w:szCs w:val="16"/>
        </w:rPr>
      </w:pPr>
    </w:p>
    <w:p w14:paraId="2556AFEC" w14:textId="77777777" w:rsidR="00D47DDD" w:rsidRPr="00E93F40" w:rsidRDefault="00D47DDD" w:rsidP="00E93F40">
      <w:pPr>
        <w:pStyle w:val="rtecenter"/>
        <w:spacing w:before="0" w:after="0"/>
        <w:jc w:val="both"/>
        <w:rPr>
          <w:color w:val="000000" w:themeColor="text1"/>
          <w:sz w:val="16"/>
          <w:szCs w:val="16"/>
        </w:rPr>
      </w:pPr>
      <w:r w:rsidRPr="00E93F40">
        <w:rPr>
          <w:bCs/>
          <w:color w:val="000000" w:themeColor="text1"/>
          <w:sz w:val="16"/>
          <w:szCs w:val="16"/>
        </w:rPr>
        <w:t>29 июня 1932 г. Сталин — Ворошилову, Кагановичу</w:t>
      </w:r>
    </w:p>
    <w:p w14:paraId="09A7B1B3" w14:textId="77777777" w:rsidR="009B6E65" w:rsidRPr="00E93F40" w:rsidRDefault="009B6E65" w:rsidP="00E93F40">
      <w:pPr>
        <w:pStyle w:val="rtecenter"/>
        <w:spacing w:before="0" w:after="0"/>
        <w:jc w:val="both"/>
        <w:rPr>
          <w:color w:val="000000" w:themeColor="text1"/>
          <w:sz w:val="16"/>
          <w:szCs w:val="16"/>
        </w:rPr>
      </w:pPr>
      <w:r w:rsidRPr="00E93F40">
        <w:rPr>
          <w:color w:val="000000" w:themeColor="text1"/>
          <w:sz w:val="16"/>
          <w:szCs w:val="16"/>
        </w:rPr>
        <w:t>Ворошилову.</w:t>
      </w:r>
    </w:p>
    <w:p w14:paraId="0158E604" w14:textId="77777777" w:rsidR="009B6E65" w:rsidRPr="00E93F40" w:rsidRDefault="009B6E65" w:rsidP="00E93F40">
      <w:pPr>
        <w:pStyle w:val="rtecenter"/>
        <w:spacing w:before="0" w:after="0"/>
        <w:jc w:val="both"/>
        <w:rPr>
          <w:color w:val="000000" w:themeColor="text1"/>
          <w:sz w:val="16"/>
          <w:szCs w:val="16"/>
        </w:rPr>
      </w:pPr>
      <w:r w:rsidRPr="00E93F40">
        <w:rPr>
          <w:color w:val="000000" w:themeColor="text1"/>
          <w:sz w:val="16"/>
          <w:szCs w:val="16"/>
        </w:rPr>
        <w:t>Копия. Кагановичу.</w:t>
      </w:r>
    </w:p>
    <w:p w14:paraId="4A7CCD97"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rPr>
        <w:t>HP 26. Вопрос о качестве самолетов нельзя смазывать, его надо выставить выпукло наряду с вопросом о внутренних недостатках самой авиации. Надо поторопиться с созданием института замкомвойск или помкомвойск, — это подымет удельный вес авиации в округе и усилит контроль над ней. Институт специнспекторов по авиации абсолютно необходим. Твой проект хорош, но он должен быть издан от имени Совнаркома и ЦК, а не только ЦК. Если вздумаешь приехать в Сочи, захвати рельефную десятиверстную карту Дальнего Востока и план создания баз на побережье для нашего военного флота.</w:t>
      </w:r>
    </w:p>
    <w:p w14:paraId="30E80528"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rPr>
        <w:t>Сталин</w:t>
      </w:r>
      <w:r w:rsidRPr="00E93F40">
        <w:rPr>
          <w:color w:val="000000" w:themeColor="text1"/>
          <w:sz w:val="16"/>
          <w:szCs w:val="16"/>
          <w:vertAlign w:val="superscript"/>
        </w:rPr>
        <w:t>1</w:t>
      </w:r>
      <w:r w:rsidRPr="00E93F40">
        <w:rPr>
          <w:color w:val="000000" w:themeColor="text1"/>
          <w:sz w:val="16"/>
          <w:szCs w:val="16"/>
        </w:rPr>
        <w:t>.</w:t>
      </w:r>
    </w:p>
    <w:p w14:paraId="501A92AB"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rPr>
        <w:t>№37</w:t>
      </w:r>
    </w:p>
    <w:p w14:paraId="26797A5F"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rPr>
        <w:t>29/VI. 32 г.</w:t>
      </w:r>
      <w:r w:rsidRPr="00E93F40">
        <w:rPr>
          <w:color w:val="000000" w:themeColor="text1"/>
          <w:sz w:val="16"/>
          <w:szCs w:val="16"/>
          <w:vertAlign w:val="superscript"/>
        </w:rPr>
        <w:t>2</w:t>
      </w:r>
    </w:p>
    <w:p w14:paraId="1D585698"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 xml:space="preserve"> 21 июня 1932 г. Ворошилов в письме Сталину сообщал: «Я сейчас буквально места не нахожу себе вследствие аварий в Воздушном флоте. Не проходит дня, чтобы не получились сведения об авариях и даже тягчайших катастрофах с человеческими жертвами то в одном, то в другом округе. Достаточно указать, что только с 5/VI по 20/VI разбито 11 самолетов[...] и погибло 30(!!!) чел[овек][...] Кадры летного и техническ[ого] состава разрослись, укомплектовываются хотя и нашим, надежным политически, составом, но чрезвычайно молодым, мало опытным (что естественно), а главное, по-настоящему недисциплинированным. Залихватские замашки, бравирование своими летными подвигами[...], не встречающее жестокой борьбы со стороны начальства; малая авторитетность молодого начсостава, плохая работа политорганов и парторганизаций, вот основные источники, откуда проистекают наши несчастья[...] Уже просил ПБ заслушать мой доклад и помочь мне в деле подтягивания парторганизаций и политаппарата. Думаю выгнать несколько «заслуженных», но совершенно недисциплинированных воздушных начальников, которые сознательно и часто нарушают все приказы и уставы РККА» (РГАСПИ. Ф. 74. Оп. 2. Д. 37. Л. 49, 50; Советское руководство. Переписка. 1928–1941 гг. М-, 1999. С. 177–178). В ответ Сталин писал Ворошилову 24 июня: «Самое тревожное — аварии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Не следует ли — помимо всего прочего — создать при командующих округами специальную должность </w:t>
      </w:r>
      <w:r w:rsidRPr="00E93F40">
        <w:rPr>
          <w:color w:val="000000" w:themeColor="text1"/>
          <w:sz w:val="16"/>
          <w:szCs w:val="16"/>
          <w:u w:val="single"/>
        </w:rPr>
        <w:t xml:space="preserve">заместителя </w:t>
      </w:r>
      <w:r w:rsidRPr="00E93F40">
        <w:rPr>
          <w:color w:val="000000" w:themeColor="text1"/>
          <w:sz w:val="16"/>
          <w:szCs w:val="16"/>
        </w:rPr>
        <w:t xml:space="preserve">командующего по авиации, возложив на этих заместителей </w:t>
      </w:r>
      <w:r w:rsidRPr="00E93F40">
        <w:rPr>
          <w:color w:val="000000" w:themeColor="text1"/>
          <w:sz w:val="16"/>
          <w:szCs w:val="16"/>
          <w:u w:val="single"/>
        </w:rPr>
        <w:t>непосредственную</w:t>
      </w:r>
      <w:r w:rsidRPr="00E93F40">
        <w:rPr>
          <w:color w:val="000000" w:themeColor="text1"/>
          <w:sz w:val="16"/>
          <w:szCs w:val="16"/>
        </w:rPr>
        <w:t xml:space="preserve"> ответственность за состояние авиадела в округе, что, конечно, не должно освобождать — ни в </w:t>
      </w:r>
      <w:r w:rsidRPr="00E93F40">
        <w:rPr>
          <w:color w:val="000000" w:themeColor="text1"/>
          <w:sz w:val="16"/>
          <w:szCs w:val="16"/>
          <w:u w:val="single"/>
        </w:rPr>
        <w:t>малейшей степени!</w:t>
      </w:r>
      <w:r w:rsidRPr="00E93F40">
        <w:rPr>
          <w:color w:val="000000" w:themeColor="text1"/>
          <w:sz w:val="16"/>
          <w:szCs w:val="16"/>
        </w:rPr>
        <w:t xml:space="preserve"> — командующего от ответственности за авиадело в округе. Я думаю, что следует» (Там же. Д. 38. Л. 69, 70; Советское руководство. С. 180–181). В ответ на это письмо Ворошилов направил Сталину шифровку: «Сочи. Сталину. Письмо получил. Полностью согласен оценкой личного состава авиации, подготовку и воспитание которого всегда считал труднейшим делом. В аварийности меня больше всего мучает именно это нелепое безрассудное уничтожение лучших людей. Вчера выслали тебе мой проект постановления ЦК об аварийности. В нем круто завернуто относительно установления авиации жесточайшей дисциплины, что необходимо прежде всего для сбережения живых людей. Чтобы не смазывать внутренних недостатков авиации намеренно опустил недостатки промышленности — качество продукции, отсутствие связи на самолетах, отсутствие парашютов, тормазных колес, специальных приспособлений для устойчивости самолета в воздухе и т.д. После твоего письма пришла мысль — не стоит ли и об этом записать также крепко, хотя и кратко, как и о дисциплине. Относительно помкомвойск по авиации — мысль твою считаю правильной, особенно принимая во внимание предстоящую организацию воздушных корпусов и армий. Сейчас у нас имеется начальник воздушных сил округа [со] своим штабом — его и можно было бы </w:t>
      </w:r>
      <w:r w:rsidRPr="00E93F40">
        <w:rPr>
          <w:color w:val="000000" w:themeColor="text1"/>
          <w:sz w:val="16"/>
          <w:szCs w:val="16"/>
        </w:rPr>
        <w:lastRenderedPageBreak/>
        <w:t>переименовать в помкомвойск по авиации. Думаю, что создание специальных инспекторов непосредственно в авиабригадах и усиление авиаинспекции людьми, значительно облегчит задачу руководства авиацией. Жду ответа по существу проекта. 28.VI — 32 г. К.Ворошилов» (Там же. Ф. 558. Оп. 11. Д. 77. Л. 121).</w:t>
      </w:r>
    </w:p>
    <w:p w14:paraId="60FED504"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rPr>
        <w:t>3 июля 1932 г. ПБ утвердило предложенный Ворошиловым проект постановления ЦК и СНК «Об аварийности в частях ВВС РККА», окончательная редакция оформлена 5 июля (см. документ Ms 181). В числе прочих мер в нем было реализовано предложение Сталина о введении должности помощников командующих округами по ВВС (Отечественные архивы. 1995. № 6. С. 32–39. Публикация В. Н. Шепелева).</w:t>
      </w:r>
    </w:p>
    <w:p w14:paraId="2B3EE574" w14:textId="77777777" w:rsidR="009B6E65" w:rsidRPr="00E93F40" w:rsidRDefault="009B6E65"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 xml:space="preserve"> Номер и дата вписаны секретарем. В тот же день отправлена шифром из Сочи в 16 час. 35 мин. (РГАСПИ. Ф. 558. Оп. П. Д. 77. Л. 119).</w:t>
      </w:r>
    </w:p>
    <w:p w14:paraId="26F5554E" w14:textId="77777777" w:rsidR="009B6E65" w:rsidRPr="00E93F40" w:rsidRDefault="009B6E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558. Oп. 11. Д. 77. Л. 120. Автограф. </w:t>
      </w:r>
    </w:p>
    <w:p w14:paraId="2CD653B9" w14:textId="77777777" w:rsidR="009B6E65" w:rsidRPr="00E93F40" w:rsidRDefault="009B6E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Сталин и Каганович. Переписка. 1931–1936 гг. Москва: (РОССПЭН), 2001 Стр. 203-204 (12326).</w:t>
      </w:r>
    </w:p>
    <w:p w14:paraId="3556B780" w14:textId="77777777" w:rsidR="009B6E65" w:rsidRPr="00E93F40" w:rsidRDefault="009B6E65" w:rsidP="00E93F40">
      <w:pPr>
        <w:spacing w:after="0" w:line="240" w:lineRule="auto"/>
        <w:jc w:val="both"/>
        <w:rPr>
          <w:rFonts w:ascii="Times New Roman" w:hAnsi="Times New Roman"/>
          <w:color w:val="000000" w:themeColor="text1"/>
          <w:sz w:val="16"/>
          <w:szCs w:val="16"/>
        </w:rPr>
      </w:pPr>
    </w:p>
    <w:p w14:paraId="5ACA74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29 июня 1932 года приказом по Народному комиссариату тяжелой промышленности № 435 Институт авиационного моторостроения был переименован в Центральный институт авиационного моторостроения - ЦИАМ (12057). </w:t>
      </w:r>
    </w:p>
    <w:p w14:paraId="23E16C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F996F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7206BF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DA1F4B" w14:textId="77777777" w:rsidR="00D47DDD" w:rsidRPr="00E93F40" w:rsidRDefault="00D47DDD"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29 июня 1932 года была Телеграмма К.Е. Ворошилову:</w:t>
      </w:r>
    </w:p>
    <w:p w14:paraId="37EF6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Ворошилову.</w:t>
      </w:r>
    </w:p>
    <w:p w14:paraId="77622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Копия. Кагановичу.</w:t>
      </w:r>
    </w:p>
    <w:p w14:paraId="0C656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о качестве самолетов нельзя смазывать, его надо выставить выпукло наряду с вопросом о внутренних недостатках самой авиации. Надо поторопиться с созданием института замкомвойск или помкомвойск, — это подымет удельный вес авиации в округе и усилит контроль над ней. Институт специнспекторов по авиации абсолютно необходим. Твой проект хорош, но он должен быть издан от имени Совнаркома и ЦК, а не только ЦК. Если вздумаешь приехать в Сочи, захвати рельефную десятиверстную карту Дальнего Востока и план создания баз на побережье для нашего военного флота.</w:t>
      </w:r>
    </w:p>
    <w:p w14:paraId="284124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Сталин</w:t>
      </w:r>
      <w:r w:rsidRPr="00E93F40">
        <w:rPr>
          <w:rFonts w:ascii="Times New Roman" w:hAnsi="Times New Roman"/>
          <w:color w:val="000000" w:themeColor="text1"/>
          <w:sz w:val="16"/>
          <w:szCs w:val="16"/>
        </w:rPr>
        <w:t>.</w:t>
      </w:r>
    </w:p>
    <w:p w14:paraId="66200B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Сталин и Каганович. Переписка. 1931–1936 гг. С. 203.</w:t>
      </w:r>
    </w:p>
    <w:p w14:paraId="7662F8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РГАСПИ. Ф. 558. Оп. 11. Д. 77. Л. 120 (11868).</w:t>
      </w:r>
    </w:p>
    <w:p w14:paraId="4DD82DFE" w14:textId="0D8E0D5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A1DD61" w14:textId="024CA2E0" w:rsidR="005427D7" w:rsidRPr="00E93F40" w:rsidRDefault="005427D7"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29ACC731" w14:textId="77777777" w:rsidR="005427D7" w:rsidRPr="00E93F40" w:rsidRDefault="005427D7"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7B492B54" w14:textId="77777777" w:rsidR="005427D7" w:rsidRPr="00E93F40" w:rsidRDefault="005427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июня 1932 истребитель Curtiss F9C Sparrowhawk впервые подцепился к дирижаблю ВМС США « Акрон» (ZRS-4) (20803).</w:t>
      </w:r>
    </w:p>
    <w:p w14:paraId="41101E91" w14:textId="77777777" w:rsidR="005427D7" w:rsidRPr="00E93F40" w:rsidRDefault="005427D7" w:rsidP="00E93F40">
      <w:pPr>
        <w:spacing w:after="0" w:line="240" w:lineRule="auto"/>
        <w:jc w:val="both"/>
        <w:rPr>
          <w:rFonts w:ascii="Times New Roman" w:hAnsi="Times New Roman"/>
          <w:color w:val="000000" w:themeColor="text1"/>
          <w:sz w:val="16"/>
          <w:szCs w:val="16"/>
        </w:rPr>
      </w:pPr>
    </w:p>
    <w:p w14:paraId="79693A1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4E790B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A804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июня 1932 года в Севастополе при Морск. испытательной станции НИИ ВВС закончились государственные испытания опытного гидросамолета МБР-2 УТЕ=7, которые проходили с 31 мая 1932 (3043).</w:t>
      </w:r>
    </w:p>
    <w:p w14:paraId="12D15A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нормальных гос. испытаний НИИ ВВС объявленная в приказе по НИИ N 44/140 от 26.05.32 г.</w:t>
      </w:r>
    </w:p>
    <w:p w14:paraId="048CA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проходит испытания в 2-х вариантах:</w:t>
      </w:r>
    </w:p>
    <w:p w14:paraId="2277A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вариант морской базовый разведчик без бомбовой нагрузки и бомбового снаряжения.</w:t>
      </w:r>
    </w:p>
    <w:p w14:paraId="633AC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2-й вариант - разведчик с бомбовой нагрузкой 500 кг и бомбовым снаряжением.</w:t>
      </w:r>
    </w:p>
    <w:p w14:paraId="603C18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заключении испытаний - определение предельной максимальной нагрузки поднимаемой самолетом.</w:t>
      </w:r>
    </w:p>
    <w:p w14:paraId="7C913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Даты:</w:t>
      </w:r>
    </w:p>
    <w:p w14:paraId="6A73D2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постройке принят 1931</w:t>
      </w:r>
    </w:p>
    <w:p w14:paraId="78646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 плана</w:t>
      </w:r>
    </w:p>
    <w:p w14:paraId="3F8058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предъявлен 25 мая 1932 года в МИС НИИ ВВС</w:t>
      </w:r>
    </w:p>
    <w:p w14:paraId="39CCF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с 3 мая 1932 г. по 24 мая 1932 г.</w:t>
      </w:r>
    </w:p>
    <w:p w14:paraId="06FA1B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 на гос. испытания 31 мая 1932 г.</w:t>
      </w:r>
    </w:p>
    <w:p w14:paraId="43F38C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закончены 30 июня 1932 г. (3043).</w:t>
      </w:r>
    </w:p>
    <w:p w14:paraId="715E7A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5080F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МБР2 может быть представлен на вооружение ВВС (3043).</w:t>
      </w:r>
    </w:p>
    <w:p w14:paraId="7E222D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4951F7"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июня 1932 опросом членов ПБ</w:t>
      </w:r>
    </w:p>
    <w:p w14:paraId="63DA355D"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84/47.- О предложениях т.т. Кагановича, Молотова, Ворошилова</w:t>
      </w:r>
    </w:p>
    <w:p w14:paraId="453E194F"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расследований причин последних самолетных катастроф, в первую очередь причин последней катастро</w:t>
      </w:r>
      <w:r w:rsidRPr="00E93F40">
        <w:rPr>
          <w:rFonts w:ascii="Times New Roman" w:hAnsi="Times New Roman"/>
          <w:color w:val="000000" w:themeColor="text1"/>
          <w:sz w:val="16"/>
          <w:szCs w:val="16"/>
        </w:rPr>
        <w:softHyphen/>
        <w:t>фы ПВЗ (происпедшей 29 июня около деревни Митино) соз</w:t>
      </w:r>
      <w:r w:rsidRPr="00E93F40">
        <w:rPr>
          <w:rFonts w:ascii="Times New Roman" w:hAnsi="Times New Roman"/>
          <w:color w:val="000000" w:themeColor="text1"/>
          <w:sz w:val="16"/>
          <w:szCs w:val="16"/>
        </w:rPr>
        <w:softHyphen/>
        <w:t>дать комиссию в составе т.т. Постышева (пред.), Ягоды, Антипова и Гольцмана.</w:t>
      </w:r>
    </w:p>
    <w:p w14:paraId="7A5DD472"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Комиссии немедленно приступить к работе н до</w:t>
      </w:r>
      <w:r w:rsidRPr="00E93F40">
        <w:rPr>
          <w:rFonts w:ascii="Times New Roman" w:hAnsi="Times New Roman"/>
          <w:color w:val="000000" w:themeColor="text1"/>
          <w:sz w:val="16"/>
          <w:szCs w:val="16"/>
        </w:rPr>
        <w:softHyphen/>
        <w:t>ложить о результатах расследования катастофы ПВЗ в двухдневный срок.</w:t>
      </w:r>
    </w:p>
    <w:p w14:paraId="7CAC1711"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Комиссию оформить в советском порядке, как правительственную комиссию.</w:t>
      </w:r>
    </w:p>
    <w:p w14:paraId="70FDD88A"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Постышеву, Ягоде, Антипову, Гольцману, Керженцеву</w:t>
      </w:r>
    </w:p>
    <w:p w14:paraId="55691F97"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состоялось заседание ПБ (Протокол № 106) (23051).</w:t>
      </w:r>
    </w:p>
    <w:p w14:paraId="3CEDCEA1" w14:textId="77777777" w:rsidR="00320D07" w:rsidRPr="00E93F40" w:rsidRDefault="00320D07" w:rsidP="00E93F40">
      <w:pPr>
        <w:spacing w:after="0" w:line="240" w:lineRule="auto"/>
        <w:jc w:val="both"/>
        <w:rPr>
          <w:rFonts w:ascii="Times New Roman" w:hAnsi="Times New Roman"/>
          <w:color w:val="000000" w:themeColor="text1"/>
          <w:sz w:val="16"/>
          <w:szCs w:val="16"/>
        </w:rPr>
      </w:pPr>
    </w:p>
    <w:p w14:paraId="1EFCEC6A" w14:textId="09C9D7A8" w:rsidR="00320D07" w:rsidRPr="00E93F40" w:rsidRDefault="00320D07" w:rsidP="00E93F40">
      <w:pPr>
        <w:spacing w:after="0" w:line="240" w:lineRule="auto"/>
        <w:jc w:val="both"/>
        <w:rPr>
          <w:rFonts w:ascii="Times New Roman" w:hAnsi="Times New Roman"/>
          <w:bCs/>
          <w:i/>
          <w:iCs/>
          <w:color w:val="000000" w:themeColor="text1"/>
          <w:sz w:val="16"/>
          <w:szCs w:val="16"/>
        </w:rPr>
      </w:pPr>
      <w:r w:rsidRPr="00E93F40">
        <w:rPr>
          <w:rFonts w:ascii="Times New Roman" w:hAnsi="Times New Roman"/>
          <w:bCs/>
          <w:i/>
          <w:iCs/>
          <w:color w:val="000000" w:themeColor="text1"/>
          <w:sz w:val="16"/>
          <w:szCs w:val="16"/>
        </w:rPr>
        <w:t>За рубежом:</w:t>
      </w:r>
    </w:p>
    <w:p w14:paraId="56F6D189" w14:textId="77777777" w:rsidR="00320D07" w:rsidRPr="00E93F40" w:rsidRDefault="00320D07" w:rsidP="00E93F40">
      <w:pPr>
        <w:spacing w:after="0" w:line="240" w:lineRule="auto"/>
        <w:jc w:val="both"/>
        <w:rPr>
          <w:rFonts w:ascii="Times New Roman" w:hAnsi="Times New Roman"/>
          <w:bCs/>
          <w:i/>
          <w:iCs/>
          <w:color w:val="000000" w:themeColor="text1"/>
          <w:sz w:val="16"/>
          <w:szCs w:val="16"/>
        </w:rPr>
      </w:pPr>
    </w:p>
    <w:p w14:paraId="00475B80" w14:textId="68065BA6" w:rsidR="00D47DDD" w:rsidRPr="00E93F40" w:rsidRDefault="00D47D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30 июня</w:t>
      </w:r>
      <w:r w:rsidRPr="00E93F40">
        <w:rPr>
          <w:rFonts w:ascii="Times New Roman" w:hAnsi="Times New Roman"/>
          <w:color w:val="000000" w:themeColor="text1"/>
          <w:sz w:val="16"/>
          <w:szCs w:val="16"/>
        </w:rPr>
        <w:t xml:space="preserve"> в 1932 году состоялся первый полёт трёхмоторного авиалайнера </w:t>
      </w:r>
      <w:hyperlink r:id="rId153" w:tgtFrame="_blank" w:history="1">
        <w:r w:rsidRPr="00E93F40">
          <w:rPr>
            <w:rFonts w:ascii="Times New Roman" w:hAnsi="Times New Roman"/>
            <w:color w:val="000000" w:themeColor="text1"/>
            <w:sz w:val="16"/>
            <w:szCs w:val="16"/>
          </w:rPr>
          <w:t xml:space="preserve">«Fokker F.XVIII», </w:t>
        </w:r>
      </w:hyperlink>
      <w:r w:rsidRPr="00E93F40">
        <w:rPr>
          <w:rFonts w:ascii="Times New Roman" w:hAnsi="Times New Roman"/>
          <w:color w:val="000000" w:themeColor="text1"/>
          <w:sz w:val="16"/>
          <w:szCs w:val="16"/>
        </w:rPr>
        <w:t>прославившегося рекордными перелётами. В 1930е фирма «Fokker» начала сдавать позиции. В то время как другие разрабатывали авиалайнеры нового поколения, голландцы продолжали возиться со схемой «Fokker F.VII/3m». На его базе возникли более крупные модели «F.IX», «F.XII», «F.XVIII». Несмотря на улучшение характеристик, они уступали и «Junkers» «Ju52/3m» и новым американским лайнерам. Не вызвав особого интереса у авиакомпаний, эти самолёты, в отличие от «F.VII/3m», были выпущены всего лишь в нескольких экземплярах. Тем не менее, они оставили заметный след в истории гражданской авиации. Особенно «F.XVIII», который прославился рекордными достижениями на дальних маршрутах (14938).</w:t>
      </w:r>
    </w:p>
    <w:p w14:paraId="4C8DDEB1" w14:textId="77777777" w:rsidR="00D47DDD" w:rsidRPr="00E93F40" w:rsidRDefault="00D47DDD" w:rsidP="00E93F40">
      <w:pPr>
        <w:spacing w:after="0" w:line="240" w:lineRule="auto"/>
        <w:jc w:val="both"/>
        <w:rPr>
          <w:rFonts w:ascii="Times New Roman" w:hAnsi="Times New Roman"/>
          <w:color w:val="000000" w:themeColor="text1"/>
          <w:sz w:val="16"/>
          <w:szCs w:val="16"/>
        </w:rPr>
      </w:pPr>
    </w:p>
    <w:p w14:paraId="79A5180C" w14:textId="77777777" w:rsidR="00D47DDD" w:rsidRPr="00E93F40" w:rsidRDefault="00D47D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30 июня</w:t>
      </w:r>
      <w:r w:rsidRPr="00E93F40">
        <w:rPr>
          <w:rFonts w:ascii="Times New Roman" w:hAnsi="Times New Roman"/>
          <w:color w:val="000000" w:themeColor="text1"/>
          <w:sz w:val="16"/>
          <w:szCs w:val="16"/>
        </w:rPr>
        <w:t xml:space="preserve"> в 1932 году совершила свой первый полет транспортная летающая лодка</w:t>
      </w:r>
      <w:hyperlink r:id="rId154" w:tgtFrame="_blank" w:history="1">
        <w:r w:rsidRPr="00E93F40">
          <w:rPr>
            <w:rFonts w:ascii="Times New Roman" w:hAnsi="Times New Roman"/>
            <w:color w:val="000000" w:themeColor="text1"/>
            <w:sz w:val="16"/>
            <w:szCs w:val="16"/>
          </w:rPr>
          <w:t xml:space="preserve"> «S.14» «Sarafand». </w:t>
        </w:r>
      </w:hyperlink>
      <w:r w:rsidRPr="00E93F40">
        <w:rPr>
          <w:rFonts w:ascii="Times New Roman" w:hAnsi="Times New Roman"/>
          <w:color w:val="000000" w:themeColor="text1"/>
          <w:sz w:val="16"/>
          <w:szCs w:val="16"/>
        </w:rPr>
        <w:t>«S.14» «Sarafand2 - транспортная летающая лодка, разработанная английской фирмой Shorts. Следующим, еще большим вариантом, после летающей лодки «Short» «S.11» «Valetta» стал «Short» «S.14» «Sarafand». Он был дальней летающей лодкой с размахом крыла 36,58 м, оснащенной шестью двигателями «Rolls-Royce» «Buzzard» мощностью 815 л.с., которые были установлены тандемными парами (14938).</w:t>
      </w:r>
    </w:p>
    <w:p w14:paraId="4D98743A" w14:textId="77777777" w:rsidR="00D47DDD" w:rsidRPr="00E93F40" w:rsidRDefault="00D47DDD" w:rsidP="00E93F40">
      <w:pPr>
        <w:spacing w:after="0" w:line="240" w:lineRule="auto"/>
        <w:jc w:val="both"/>
        <w:rPr>
          <w:rFonts w:ascii="Times New Roman" w:hAnsi="Times New Roman"/>
          <w:color w:val="000000" w:themeColor="text1"/>
          <w:sz w:val="16"/>
          <w:szCs w:val="16"/>
        </w:rPr>
      </w:pPr>
    </w:p>
    <w:p w14:paraId="6CAFB640" w14:textId="77777777" w:rsidR="00D47DDD" w:rsidRPr="00E93F40" w:rsidRDefault="00D47DDD"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30 июня</w:t>
      </w:r>
      <w:r w:rsidRPr="00E93F40">
        <w:rPr>
          <w:rFonts w:ascii="Times New Roman" w:hAnsi="Times New Roman"/>
          <w:color w:val="000000" w:themeColor="text1"/>
          <w:sz w:val="16"/>
          <w:szCs w:val="16"/>
        </w:rPr>
        <w:t xml:space="preserve"> в 1932 году ВМФ США подписал с фирмой «Curtiss» контракт на разработку нового двухместного палубного истребителя-моноплана </w:t>
      </w:r>
      <w:hyperlink r:id="rId155" w:tgtFrame="_blank" w:history="1">
        <w:r w:rsidRPr="00E93F40">
          <w:rPr>
            <w:rFonts w:ascii="Times New Roman" w:hAnsi="Times New Roman"/>
            <w:color w:val="000000" w:themeColor="text1"/>
            <w:sz w:val="16"/>
            <w:szCs w:val="16"/>
          </w:rPr>
          <w:t xml:space="preserve">«XF12C-1» </w:t>
        </w:r>
      </w:hyperlink>
      <w:r w:rsidRPr="00E93F40">
        <w:rPr>
          <w:rFonts w:ascii="Times New Roman" w:hAnsi="Times New Roman"/>
          <w:color w:val="000000" w:themeColor="text1"/>
          <w:sz w:val="16"/>
          <w:szCs w:val="16"/>
        </w:rPr>
        <w:t>с двухрядным двигателем «R1510-92» мощностью 625 л.с. фирмы «Wright»- цельнометаллического, с закрытой кабиной экипажа, убирающимся шасси и высокорасположенным крылом типа "парасоль". В истории американской палубной авиации разведчик-бомбардировщик фирмы «Curtiss» «SB2C» «Helldiver» занимает особое место, он стал последним палубным самолетом-бипланом в морской авиации США (14938).</w:t>
      </w:r>
    </w:p>
    <w:p w14:paraId="2BEFA5A5" w14:textId="77777777" w:rsidR="00D47DDD" w:rsidRPr="00E93F40" w:rsidRDefault="00D47DDD" w:rsidP="00E93F40">
      <w:pPr>
        <w:spacing w:after="0" w:line="240" w:lineRule="auto"/>
        <w:jc w:val="both"/>
        <w:rPr>
          <w:rFonts w:ascii="Times New Roman" w:hAnsi="Times New Roman"/>
          <w:color w:val="000000" w:themeColor="text1"/>
          <w:sz w:val="16"/>
          <w:szCs w:val="16"/>
        </w:rPr>
      </w:pPr>
    </w:p>
    <w:p w14:paraId="23B2701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F83620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544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июня 1932 ТШ-М-17 1-й эталон был сдан в НИИ ВВС. Было отмечено плохое охлаждение мотора, закипание гликоля и др. неполадки. За изношенностью данного мотора, НИИ вынужден был машину вернуть в ЦАГИ (середина июля) для замены мотора и установки стрелкового вооружения (2314,21).</w:t>
      </w:r>
    </w:p>
    <w:p w14:paraId="42F79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1EA05E"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конце июня 1932 года Первый собранный на заводе № 21 самолет И-5 №2101 (21 -номер завода, 01-порядковый номер самолета) был выведен из сборочного цеха на аэродром. Такой способ нумерации самолетов был введен немного позже в июле 1932 года по требованию 3-гоуправления ВВС. Он позволял определить завод- изготовитель при выпуске одинаковых самолетов разными заводами. А до этого первый заводской самолет И-5 проходил под номером 1501.</w:t>
      </w:r>
    </w:p>
    <w:p w14:paraId="02FAE236" w14:textId="77777777" w:rsidR="00320D07" w:rsidRPr="00E93F40" w:rsidRDefault="00320D07"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 xml:space="preserve">К проведению летных испытаний на аэродроме шла большая подготовительная работа. А.П. Ефремовым подготовлено «Временное положение об аэродроме завода №21», которое было утверждено 14 июня. Облет и оформление первого самолета намечались на 30 июня. Руководство завода, профсоюз и партийная организация </w:t>
      </w:r>
      <w:r w:rsidRPr="00E93F40">
        <w:rPr>
          <w:rFonts w:ascii="Times New Roman" w:hAnsi="Times New Roman"/>
          <w:color w:val="000000" w:themeColor="text1"/>
          <w:sz w:val="16"/>
          <w:szCs w:val="16"/>
          <w:lang w:eastAsia="ru-RU" w:bidi="ru-RU"/>
        </w:rPr>
        <w:lastRenderedPageBreak/>
        <w:t xml:space="preserve">решили отметить этот день как праздник, посвященный выпуску самолета. На аэродроме были организованы все торжества. Ответственным был назначен А.П. Ефремов. По особым билетам было решено организовать полеты лучших работников. Организация праздников на заводском аэродроме вошла в традицию. В последующие годы празднование Дня авиации проходило всегда на заводском аэродроме. С катанием передовиков на самолетах, полетами </w:t>
      </w:r>
    </w:p>
    <w:p w14:paraId="6DC4DD99"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планеристов, летчиков заводского аэроклуба и прыжками парашютистов.</w:t>
      </w:r>
    </w:p>
    <w:p w14:paraId="34762854" w14:textId="77777777" w:rsidR="00320D07" w:rsidRPr="00E93F40" w:rsidRDefault="00320D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Однако первый серийный заводской самолет И-5 №2101 был испытан в воздухе только в августе. Спешка, неготовность приозводства привели к тому, что при осмотре военпредом самолета перед выпуском в воздух были обнаружены оставленные ключи и оправки (21100).</w:t>
      </w:r>
    </w:p>
    <w:p w14:paraId="33F5DEBB" w14:textId="77777777" w:rsidR="00320D07" w:rsidRPr="00E93F40" w:rsidRDefault="00320D07" w:rsidP="00E93F40">
      <w:pPr>
        <w:spacing w:after="0" w:line="240" w:lineRule="auto"/>
        <w:jc w:val="both"/>
        <w:rPr>
          <w:rFonts w:ascii="Times New Roman" w:hAnsi="Times New Roman"/>
          <w:color w:val="000000" w:themeColor="text1"/>
          <w:sz w:val="16"/>
          <w:szCs w:val="16"/>
          <w:lang w:eastAsia="ru-RU" w:bidi="ru-RU"/>
        </w:rPr>
      </w:pPr>
    </w:p>
    <w:p w14:paraId="3016F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июня 1932 г. в ГУАПе прошло совещание по вопросу сроков представления самолетов-эталонов. В отношении И-14 постановили, что при условии выхода к 1 августа 1932 г. мотора М-38, постройку и испытания самолета вести по утвержденному ранее графику с выходом эталона к 15 мая 1933 г.</w:t>
      </w:r>
    </w:p>
    <w:p w14:paraId="7CD39F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М-38 конструкции Ф.В.Концевича имел большой диаметр цилиндра (160 мм) и представлял собой девятицилиндровый звездообразный мотор с редуктором и прибором центрального наддува, по современной терминологии - компрессором с приводом от самой силовой установки. Он создавался с 1930 г. на заводе им. М.В.Фрунзе, а затем его передали в ЦИАМ, где испытали два опытных образца. Параметры оказались намного хуже заявленных в проекте - взлетная мощность составила 575 л.с. против 600 л.с. по ТЗ, а масса на 50 кг превысила заявленную (400 кг). Работы по нему прекратили в 1933 г. Вопрос с силовой установкой для нового истребителя требовал срочного решения (12037).</w:t>
      </w:r>
    </w:p>
    <w:p w14:paraId="5DAD5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F7288C" w14:textId="77777777" w:rsidR="00980CC9" w:rsidRPr="00E93F40" w:rsidRDefault="00980CC9"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BDB5163" w14:textId="77777777" w:rsidR="00980CC9" w:rsidRPr="00E93F40" w:rsidRDefault="00980CC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A9BA3C" w14:textId="77777777" w:rsidR="00980CC9" w:rsidRPr="00E93F40" w:rsidRDefault="00980CC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июня 1932 г. высшее советское руководство наблюдало демонстрацию первых советских танков-амфибий Т-33 и Т-41, в ходе которой оба танка форсировали водную преграду, а затем «атаковали укрепления противника»( РГАСПИ. Ф. 74. Оп. 2. Д. 106. Л. 84–85). Явно пребывая в восторге от увиденного, нарком по военным и морским делам К.Е. Ворошилов обратился к Сталину: «Коба! Я думаю, что на [19]33 г. нужно заказать… дополнительно к нашей танковой программе. (Плюс 2 тыс. 3-тон. амфибии)» (РГАСПИ. Ф. 74. Оп. 2. Д. 37. Л. 75) (21522).</w:t>
      </w:r>
    </w:p>
    <w:p w14:paraId="5D5A7326" w14:textId="77777777" w:rsidR="00980CC9" w:rsidRPr="00E93F40" w:rsidRDefault="00980CC9" w:rsidP="00E93F40">
      <w:pPr>
        <w:spacing w:after="0" w:line="240" w:lineRule="auto"/>
        <w:jc w:val="both"/>
        <w:rPr>
          <w:rFonts w:ascii="Times New Roman" w:hAnsi="Times New Roman"/>
          <w:color w:val="000000" w:themeColor="text1"/>
          <w:sz w:val="16"/>
          <w:szCs w:val="16"/>
        </w:rPr>
      </w:pPr>
    </w:p>
    <w:p w14:paraId="5DA85B1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EBC25E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05E10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года был утвержден Отчет по испытаниям самолета ТБ1 № 690 с добавочными баками с 2-мя моторами М17 (6772).</w:t>
      </w:r>
    </w:p>
    <w:p w14:paraId="0395F36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2AA6881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 – Рязанов</w:t>
      </w:r>
    </w:p>
    <w:p w14:paraId="51BE8DA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 Стефановский</w:t>
      </w:r>
    </w:p>
    <w:p w14:paraId="164D103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испытаний</w:t>
      </w:r>
    </w:p>
    <w:p w14:paraId="2573F1F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максимальную дальность.</w:t>
      </w:r>
    </w:p>
    <w:p w14:paraId="6C15438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Выявить особенности взлета и пилотажа.</w:t>
      </w:r>
    </w:p>
    <w:p w14:paraId="06CB720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Проработать вопрос о расходе горючего.</w:t>
      </w:r>
    </w:p>
    <w:p w14:paraId="45E11E1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получен от ЦАГИ 5 июня 1932 года</w:t>
      </w:r>
    </w:p>
    <w:p w14:paraId="684BA1F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 – 8 июня 1932 года</w:t>
      </w:r>
    </w:p>
    <w:p w14:paraId="389112C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окончено – 21 июня 1932 года</w:t>
      </w:r>
    </w:p>
    <w:p w14:paraId="308AA09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14 календарных дней, из коих:</w:t>
      </w:r>
    </w:p>
    <w:p w14:paraId="5140304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летал – 7 дней</w:t>
      </w:r>
    </w:p>
    <w:p w14:paraId="2687EE3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налетал в течении 7 дней 32 часа 53 минуты.</w:t>
      </w:r>
    </w:p>
    <w:p w14:paraId="47CA0A6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отличие от типового ТБ1 на самолете установлены 4 дополнительных бензобака.</w:t>
      </w:r>
    </w:p>
    <w:p w14:paraId="2CFDA5C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9CE6C8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июня 1932 года с целью проверки расчетов расхода топлива и тренировки экипажа был успешно выполнен перелет Монино – Воронеж – Москва.</w:t>
      </w:r>
    </w:p>
    <w:p w14:paraId="1F268D0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июня 1932 года – перелет Монино – Киев – Москва (6772).</w:t>
      </w:r>
    </w:p>
    <w:p w14:paraId="24FDF7E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1D0E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на серийный ТБ-1 N 609 по заданию УВВС поставили дополнительные баки - четыре бензиновых и по одному для воды и масла, что увеличило радиус до 750-800 км с 500 кг бомб. Решили оснастить все (346,17).</w:t>
      </w:r>
    </w:p>
    <w:p w14:paraId="7BC2F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EAD2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ТБ-1 № 690 проходил испытания в НИИ ВВС. На машине ставилась задача увеличить радиус действия самолета с нагрузкой в 500 кг бомб до 1000 км. На первом этапе его довели до 800 км. Два дополнительных бензобака подвесили в бомбоотсеке, еще четыре расположили в консолях. Общий запас топлива возрос с 2010 до 3570 л. В бомбоотсеке разместили и дополнительный маслобак, из которого масло гнали в основные баки ручным насосом-альвейером. Поскольку в полете мотоустановка теряла и воду, за правым пилотским сиденьем появился бачок на 45 л, откуда опять же вручную можно было перекачать воду в расширительные бачки у обоих моторов. Заявленной дальности летчики достигли, но попутно выявили и немало проблем. Полетный вес достиг 8800 кг - намного больше расчетного, хотя для облегчения сняли одну турель Тур-6 и внутренние кассеты Дер-9. Взлететь с таким весом можно было, лишь увеличивался разбег, а вот сесть, если вдруг понадобится, нелегко. Шасси такой нагрузки не выдержало бы. Конструкторы предусмотрели аварийный слив горючего из баков в бомбоотсеке, но клапаны выглядели столь ненадежными, что воспользоваться ими побоялись.</w:t>
      </w:r>
    </w:p>
    <w:p w14:paraId="4B9AA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Дополнительные масляный и водяной баки в полете сильно охлаждались. Зимой, при низких температурах, их содержимое могло замерзнуть.</w:t>
      </w:r>
    </w:p>
    <w:p w14:paraId="07CF0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Каждый бак имел свою заливную горловину. Только бензин требовалось залить в 14 отдельных емкостей. Это существенно затягивало заправку.</w:t>
      </w:r>
    </w:p>
    <w:p w14:paraId="2CC2D6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 не менее, конструкцию в целом одобрили. Машина № 690 совершила сначала беспосадочный перелет Мони- но - Воронеж - Москва (800 км), а затем Монино - Киев - Москва (1557 км), при этом на полигоне в районе Киева летчики сбросили 500 кг бомб. ВВС заказали комплекты дополнительных баков, а самолеты с ними решили переоборудовать отечественными колесами больших размеров (1350x300 мм). ТБ-1 с дополнительными баками имели продолжительность полета 10 - 11 ч.</w:t>
      </w:r>
    </w:p>
    <w:p w14:paraId="49A98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Дальнейшего увеличения дальности рассчитывали достичь путем облегчения машины и уменьшения состава экипажа (12001).</w:t>
      </w:r>
    </w:p>
    <w:p w14:paraId="08D95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073E2F"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на серийном самолете ТБ-1 (№690) по заданию УВВС устано</w:t>
      </w:r>
      <w:r w:rsidRPr="00E93F40">
        <w:rPr>
          <w:rFonts w:ascii="Times New Roman" w:hAnsi="Times New Roman"/>
          <w:color w:val="000000" w:themeColor="text1"/>
          <w:sz w:val="16"/>
          <w:szCs w:val="16"/>
        </w:rPr>
        <w:softHyphen/>
        <w:t>вили дополнительные баки: четыре бен</w:t>
      </w:r>
      <w:r w:rsidRPr="00E93F40">
        <w:rPr>
          <w:rFonts w:ascii="Times New Roman" w:hAnsi="Times New Roman"/>
          <w:color w:val="000000" w:themeColor="text1"/>
          <w:sz w:val="16"/>
          <w:szCs w:val="16"/>
        </w:rPr>
        <w:softHyphen/>
        <w:t>зиновых (1157 кг), один — для масла и один — для воды. Испытания показали, что установка дополнительных емкостей при взлетной массе 8800 кг (включая 500 кг бомб) позволяет увеличить такти</w:t>
      </w:r>
      <w:r w:rsidRPr="00E93F40">
        <w:rPr>
          <w:rFonts w:ascii="Times New Roman" w:hAnsi="Times New Roman"/>
          <w:color w:val="000000" w:themeColor="text1"/>
          <w:sz w:val="16"/>
          <w:szCs w:val="16"/>
        </w:rPr>
        <w:softHyphen/>
        <w:t>ческий радиус действия машины до 750—800 км. В итоге решили оснастить часть машин дополнительными баками (23474).</w:t>
      </w:r>
    </w:p>
    <w:p w14:paraId="77E98C07" w14:textId="77777777" w:rsidR="00E13DFF" w:rsidRPr="00E93F40" w:rsidRDefault="00E13DFF" w:rsidP="00E93F40">
      <w:pPr>
        <w:spacing w:after="0" w:line="240" w:lineRule="auto"/>
        <w:jc w:val="both"/>
        <w:rPr>
          <w:rFonts w:ascii="Times New Roman" w:hAnsi="Times New Roman"/>
          <w:color w:val="000000" w:themeColor="text1"/>
          <w:sz w:val="16"/>
          <w:szCs w:val="16"/>
        </w:rPr>
      </w:pPr>
    </w:p>
    <w:p w14:paraId="15C9A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был первый взлет на ТБ-1 с ускорителями. Ставили шесть, соединенных 12 мм трубами.</w:t>
      </w:r>
    </w:p>
    <w:p w14:paraId="736433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1A57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был готов проект РД и в июле начали его постройку (92,486).</w:t>
      </w:r>
    </w:p>
    <w:p w14:paraId="1BACFA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в июле 1932 был закончен проект РД, хотя постройка началась еще в июне (932,4).</w:t>
      </w:r>
    </w:p>
    <w:p w14:paraId="5608E4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3C9D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Р-5 М-34 поднялся в воздух, хотя по плану предполагалось в октябре. Желаемого улучшения лётных данных на испытаниях не получили. В документах Реввоенсовета указано: "...требуется полная переделка машины в сторону уменьшения веса конструкции..." Решением этой задачи занялось опытно-конструкторское бюро завода № 1 во главе с Д.С. Марковым. Основную работу вели А.А. Скарбов и Алексеев. Новый самолёт сначала именовался Р5-М34Н, а позже P-Z (Р-Зет). К октябрю 1934 г. чертежи нового варианта мотоустановки были готовы, заканчивалась переработка крыла и оперения. Началась постройка полноразмерного макета самолёта (11995).</w:t>
      </w:r>
    </w:p>
    <w:p w14:paraId="66807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6C13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года выставили новый образец Р-5 с большим подфюзеляжным баком из листовой стали, вмещавшим 550 л бензина. Его запас горючего делал затею с дозаправкой почти бессмысленной. Этот вариант и использовался в экспериментах с заправкой ТБ-1. При установке дополнительных внутренних баков (за приборной доской - 126 л, под педалями пилота - 215 л, под его сиденьем - 110 л) переоборудованный разведчик мог слить в баки бомбардировщика в обшей сложности до 1040 л топлива. Это давало ТБ-1 лишних четыре часа полета. Весь комплект добавочного оборудования танкера весил около 120 кг, что было несколько многовато - сказалось слишком широкое применение стали и меди. За счет дополнительного сопротивления бака скорость заправщика уменьшалась на 6 км/ч.</w:t>
      </w:r>
    </w:p>
    <w:p w14:paraId="153F2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Дальнейшие опыты проводили уже с четырехмоторным ТБ-3. Он мог увезти гораздо больше горючего и заправить несколько самолетов один за другим.</w:t>
      </w:r>
    </w:p>
    <w:p w14:paraId="32EAE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1933 г. Р-5, спроектированный в середине 20-х годов, уже порядком устарел. Мировое самолетостроение быстро прогрессировало, а наш разведчик изменился мало. Постановлением комиссии Реввоенсовета СССР от 28 апреля 1933 г., на котором председательствовал А.И. Егоров, совершенствование самого массового самолета РККА было отнесено к числу первоочередных работ.</w:t>
      </w:r>
    </w:p>
    <w:p w14:paraId="79234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58CF5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9A3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года выставили новый образец Р-5 с большим подфюзеляжным баком из листовой стали, вмещавшим 550 л бензина. Вместе с дополнительными внутренними баками и частью внутренних переоборудованный разведчик теперь мог слить в ТБ-1 до 1040 л топлива. Это давало бомбардировщику дополнительно четыре часа полета.</w:t>
      </w:r>
    </w:p>
    <w:p w14:paraId="28C304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комплект добавочного оборудования весил около 120 кг, что было несколько многовато - сказалось слишком широкое применение стали и меди. За счет дополнительного сопротивления бака скорость "бензиноносца" уменьшалась на 6 км/ч. Но этот вариант оказался вполне работоспособен, что подтвердили летные испытания.</w:t>
      </w:r>
    </w:p>
    <w:p w14:paraId="5C865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Сначала с Р-5 пробовали заправлять другой такой же биплан. Технология оставалась той же, что и ранее. Затем для экспериментов выделили ТБ-1 № 648. На нем сделали приемную горловину с "пауком" магистралей, раздающих принимаемый бензин в баки бомбардировщика. Она располагалась впереди средней турели. В июне-июле 1932 г. провели испытания пары - заправщик Р-5 и заправляемый самолет ТБ-1. Коней шланга болтался на ветру, угрожая людям и машине ударом тяжелого грузила. На ловлю "груши" стали ставить двух техников, которые располагались в средней и задней стрелковых точках. Но трудности казались вполне преодолимыми. Как и ранее, начали с тренировки в подсоединении шланга, затем стали переливать воду, отсоединив на обеих машинах часть баков от общей системы. Наконец, перешли на бензин. В отчете НИИ ВВС записали: "Испытания выявили сравнительную легкость переливки горючего в воздухе из самолета Р-5 в самолет ТБ-1 при натренированности личного состава". Ставилась задача с помощью пополнения запаса горючего в воздухе довести продолжительность полета бомбардировщика до 25 часов, что уже казалось пределом для возможностей экипажа.</w:t>
      </w:r>
    </w:p>
    <w:p w14:paraId="283B70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век ТБ-1 оказался недолог. Всего два года - и в производстве его сменил четырехмоторный гигант ТБ-3, который стал строиться в гораздо больших количествах. Для него тоже проблема увеличения радиуса действия стояла очень остро, поскольку соединениям этих машин предстояло решать стратегические задачи, в том числе по нанесению ударов по целям в глубоком тылу противника (12036).</w:t>
      </w:r>
    </w:p>
    <w:p w14:paraId="0B554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A7C365" w14:textId="77777777" w:rsidR="00385829" w:rsidRPr="00142305" w:rsidRDefault="00385829" w:rsidP="003858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1932 года выставили новый образец Р-5 топливо-заправщика с большим подфюзеляжным баком из листовой стали, вме</w:t>
      </w:r>
      <w:r w:rsidRPr="00142305">
        <w:rPr>
          <w:rFonts w:ascii="Times New Roman" w:hAnsi="Times New Roman"/>
          <w:color w:val="0070C0"/>
          <w:sz w:val="16"/>
          <w:szCs w:val="16"/>
        </w:rPr>
        <w:softHyphen/>
        <w:t>щавшим 550 л бензина. Вместе с дополнительными внутрен</w:t>
      </w:r>
      <w:r w:rsidRPr="00142305">
        <w:rPr>
          <w:rFonts w:ascii="Times New Roman" w:hAnsi="Times New Roman"/>
          <w:color w:val="0070C0"/>
          <w:sz w:val="16"/>
          <w:szCs w:val="16"/>
        </w:rPr>
        <w:softHyphen/>
        <w:t>ними баками и частью внутренних переоборудованный раз</w:t>
      </w:r>
      <w:r w:rsidRPr="00142305">
        <w:rPr>
          <w:rFonts w:ascii="Times New Roman" w:hAnsi="Times New Roman"/>
          <w:color w:val="0070C0"/>
          <w:sz w:val="16"/>
          <w:szCs w:val="16"/>
        </w:rPr>
        <w:softHyphen/>
        <w:t>ведчик теперь мог слить в ТБ-1 до 1040 л топлива. Это давало бомбардировщику дополнительно четыре часа полета.</w:t>
      </w:r>
    </w:p>
    <w:p w14:paraId="52FFC525" w14:textId="77777777" w:rsidR="00385829" w:rsidRPr="00142305" w:rsidRDefault="00385829" w:rsidP="003858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Весь комплект добавочного оборудования весил около 120 кг, что было несколько многовато — сказалось слишком широкое применение стали и меди. За счет дополнительно</w:t>
      </w:r>
      <w:r w:rsidRPr="00142305">
        <w:rPr>
          <w:rFonts w:ascii="Times New Roman" w:hAnsi="Times New Roman"/>
          <w:color w:val="0070C0"/>
          <w:sz w:val="16"/>
          <w:szCs w:val="16"/>
        </w:rPr>
        <w:softHyphen/>
        <w:t>го сопротивления бака скорость «бензиноносца» уменьша</w:t>
      </w:r>
      <w:r w:rsidRPr="00142305">
        <w:rPr>
          <w:rFonts w:ascii="Times New Roman" w:hAnsi="Times New Roman"/>
          <w:color w:val="0070C0"/>
          <w:sz w:val="16"/>
          <w:szCs w:val="16"/>
        </w:rPr>
        <w:softHyphen/>
        <w:t>лась на 6 км/ч. Но этот вариант оказался вполне работоспо</w:t>
      </w:r>
      <w:r w:rsidRPr="00142305">
        <w:rPr>
          <w:rFonts w:ascii="Times New Roman" w:hAnsi="Times New Roman"/>
          <w:color w:val="0070C0"/>
          <w:sz w:val="16"/>
          <w:szCs w:val="16"/>
        </w:rPr>
        <w:softHyphen/>
        <w:t>собен, что подтвердили летные испытания.</w:t>
      </w:r>
    </w:p>
    <w:p w14:paraId="393AF2E9" w14:textId="77777777" w:rsidR="00385829" w:rsidRPr="00142305" w:rsidRDefault="00385829" w:rsidP="003858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Сначала с Р-5 пробовали заправлять другой такой же биплан. Технология оставалась той же, что и ранее. Затем для экспериментов выделили ТБ-1 № 648. На нем сделали приемную горловину с «пауком» магистралей, раздающих принимаемый бензин в баки бомбардировщика. Она рас</w:t>
      </w:r>
      <w:r w:rsidRPr="00142305">
        <w:rPr>
          <w:rFonts w:ascii="Times New Roman" w:hAnsi="Times New Roman"/>
          <w:color w:val="0070C0"/>
          <w:sz w:val="16"/>
          <w:szCs w:val="16"/>
        </w:rPr>
        <w:softHyphen/>
        <w:t>полагалась впереди средней турели (24977).</w:t>
      </w:r>
    </w:p>
    <w:p w14:paraId="25859FA6" w14:textId="77777777" w:rsidR="00385829" w:rsidRPr="00142305" w:rsidRDefault="00385829" w:rsidP="00385829">
      <w:pPr>
        <w:spacing w:after="0" w:line="240" w:lineRule="auto"/>
        <w:jc w:val="both"/>
        <w:rPr>
          <w:rFonts w:ascii="Times New Roman" w:hAnsi="Times New Roman"/>
          <w:color w:val="0070C0"/>
          <w:sz w:val="16"/>
          <w:szCs w:val="16"/>
        </w:rPr>
      </w:pPr>
    </w:p>
    <w:p w14:paraId="124A7654" w14:textId="77777777" w:rsidR="00385829" w:rsidRPr="00142305" w:rsidRDefault="00385829" w:rsidP="003858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1932 того же года выставили новый обра</w:t>
      </w:r>
      <w:r w:rsidRPr="00142305">
        <w:rPr>
          <w:rFonts w:ascii="Times New Roman" w:hAnsi="Times New Roman"/>
          <w:color w:val="0070C0"/>
          <w:sz w:val="16"/>
          <w:szCs w:val="16"/>
        </w:rPr>
        <w:softHyphen/>
        <w:t>зец Р-5 с большим подфюзеляжным баком из листовой стали, вмещавшим 550 л бензина. Этот вариант и использовал</w:t>
      </w:r>
      <w:r w:rsidRPr="00142305">
        <w:rPr>
          <w:rFonts w:ascii="Times New Roman" w:hAnsi="Times New Roman"/>
          <w:color w:val="0070C0"/>
          <w:sz w:val="16"/>
          <w:szCs w:val="16"/>
        </w:rPr>
        <w:softHyphen/>
        <w:t>ся в экспериментах с заправкой ТБ-1. При установке до</w:t>
      </w:r>
      <w:r w:rsidRPr="00142305">
        <w:rPr>
          <w:rFonts w:ascii="Times New Roman" w:hAnsi="Times New Roman"/>
          <w:color w:val="0070C0"/>
          <w:sz w:val="16"/>
          <w:szCs w:val="16"/>
        </w:rPr>
        <w:softHyphen/>
        <w:t>полнительных внутренних баков (за приборной доской - 126 л, под педалями пилота — 215 л, под его сиденьем — 110 л) переоборудованный разведчик мог слить в баки бом</w:t>
      </w:r>
      <w:r w:rsidRPr="00142305">
        <w:rPr>
          <w:rFonts w:ascii="Times New Roman" w:hAnsi="Times New Roman"/>
          <w:color w:val="0070C0"/>
          <w:sz w:val="16"/>
          <w:szCs w:val="16"/>
        </w:rPr>
        <w:softHyphen/>
        <w:t>бардировщика в общей сложности до 1040 л топлива. Это давало ТБ-1 лишних четыре часа полета. Весь комплект добавочного оборудования танкера весил около 120 кг, что было несколько многовато — сказалось слишком ши</w:t>
      </w:r>
      <w:r w:rsidRPr="00142305">
        <w:rPr>
          <w:rFonts w:ascii="Times New Roman" w:hAnsi="Times New Roman"/>
          <w:color w:val="0070C0"/>
          <w:sz w:val="16"/>
          <w:szCs w:val="16"/>
        </w:rPr>
        <w:softHyphen/>
        <w:t>рокое применение стали и меди. За счет дополнительно</w:t>
      </w:r>
      <w:r w:rsidRPr="00142305">
        <w:rPr>
          <w:rFonts w:ascii="Times New Roman" w:hAnsi="Times New Roman"/>
          <w:color w:val="0070C0"/>
          <w:sz w:val="16"/>
          <w:szCs w:val="16"/>
        </w:rPr>
        <w:softHyphen/>
        <w:t>го сопротивления бака скорость заправщика уменьшалась на 6 км/ч. Дальнейшие опыты проводили уже с четырехмоторным ТБ-3. Он мог увезти гораздо больше горючего и заправить несколько самолетов один за другим (24990).</w:t>
      </w:r>
    </w:p>
    <w:p w14:paraId="4DAA31E2" w14:textId="77777777" w:rsidR="00385829" w:rsidRPr="00142305" w:rsidRDefault="00385829" w:rsidP="00385829">
      <w:pPr>
        <w:spacing w:after="0" w:line="240" w:lineRule="auto"/>
        <w:jc w:val="both"/>
        <w:rPr>
          <w:rFonts w:ascii="Times New Roman" w:hAnsi="Times New Roman"/>
          <w:color w:val="0070C0"/>
          <w:sz w:val="16"/>
          <w:szCs w:val="16"/>
        </w:rPr>
      </w:pPr>
    </w:p>
    <w:p w14:paraId="6AD95868"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запланировали постро</w:t>
      </w:r>
      <w:r w:rsidRPr="00E93F40">
        <w:rPr>
          <w:rFonts w:ascii="Times New Roman" w:hAnsi="Times New Roman"/>
          <w:color w:val="000000" w:themeColor="text1"/>
          <w:sz w:val="16"/>
          <w:szCs w:val="16"/>
        </w:rPr>
        <w:softHyphen/>
        <w:t>ить макет пассажирского варианта самоле</w:t>
      </w:r>
      <w:r w:rsidRPr="00E93F40">
        <w:rPr>
          <w:rFonts w:ascii="Times New Roman" w:hAnsi="Times New Roman"/>
          <w:color w:val="000000" w:themeColor="text1"/>
          <w:sz w:val="16"/>
          <w:szCs w:val="16"/>
        </w:rPr>
        <w:softHyphen/>
        <w:t>та АНТ— 16. При этом целый ряд агрегатов брали без изменения с ТБ—4. В конце то</w:t>
      </w:r>
      <w:r w:rsidRPr="00E93F40">
        <w:rPr>
          <w:rFonts w:ascii="Times New Roman" w:hAnsi="Times New Roman"/>
          <w:color w:val="000000" w:themeColor="text1"/>
          <w:sz w:val="16"/>
          <w:szCs w:val="16"/>
        </w:rPr>
        <w:softHyphen/>
        <w:t>го же года решался вопрос о постановке пассажирского АНТ—16 в серию на заво</w:t>
      </w:r>
      <w:r w:rsidRPr="00E93F40">
        <w:rPr>
          <w:rFonts w:ascii="Times New Roman" w:hAnsi="Times New Roman"/>
          <w:color w:val="000000" w:themeColor="text1"/>
          <w:sz w:val="16"/>
          <w:szCs w:val="16"/>
        </w:rPr>
        <w:softHyphen/>
        <w:t>де № 22. Документы о дальнейшей судьбе проекта пока не найдены (23474).</w:t>
      </w:r>
    </w:p>
    <w:p w14:paraId="2F21714A" w14:textId="77777777" w:rsidR="00E13DFF" w:rsidRPr="00E93F40" w:rsidRDefault="00E13DFF" w:rsidP="00E93F40">
      <w:pPr>
        <w:spacing w:after="0" w:line="240" w:lineRule="auto"/>
        <w:jc w:val="both"/>
        <w:rPr>
          <w:rFonts w:ascii="Times New Roman" w:hAnsi="Times New Roman"/>
          <w:color w:val="000000" w:themeColor="text1"/>
          <w:sz w:val="16"/>
          <w:szCs w:val="16"/>
        </w:rPr>
      </w:pPr>
    </w:p>
    <w:p w14:paraId="623DA2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для дублера И-12 начали изготовление двух АПК-10 с улучшенной баллистикой - снаряд 4.5 кг, заряд 1.1 кг, начальная скорость - 400 м/с, вес пушки - 85 кг (3996, 98).</w:t>
      </w:r>
    </w:p>
    <w:p w14:paraId="719E2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BAF6E1" w14:textId="77777777" w:rsidR="00385829" w:rsidRPr="00E93F40" w:rsidRDefault="00385829" w:rsidP="00385829">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был закончен Первый экземпляр АПК-4. Автоматика АПК-4 работала из рук вон плохо. Поэтому Курчевский переделал ее, а пушка получила название АПК4бис. В 1933 г. 40 пушек АПК-4 были переделаны в ОКБ-1 на АПК-4бис.</w:t>
      </w:r>
    </w:p>
    <w:p w14:paraId="2C9DF8B8" w14:textId="77777777" w:rsidR="00385829" w:rsidRPr="00E93F40" w:rsidRDefault="00385829" w:rsidP="00385829">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1934 г. заводу № 7 было заказано 100 пушек АПК4бис. Трубы и сопла по-прежнему делал завод «Большевик». К концу года было собрано 28 систем и создан задел на 75 систем. Но ни одна из собранных пушек заводские испытания не выдержала. Курчевский вновь изменил чертежи. Новый вариант получил название АПК-4М. 28 собранных систем были отправлены на завод № 38 на переделку.</w:t>
      </w:r>
    </w:p>
    <w:p w14:paraId="435B82BC" w14:textId="77777777" w:rsidR="00385829" w:rsidRPr="00E93F40" w:rsidRDefault="00385829" w:rsidP="00385829">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с заводом № 7 к производству АПК-4 Орджоникидзе и Павлуновский решили привлечь и горьковский завод № 92. Однако руководство завода без энтузиазма отнеслось к работам над ДРП и предпочитало им заказы по дивизионным пушкам. На 1932 г. заводу № 92 заказали 16 АПК-4, но до конца года он не сдал ни одной. На следующий год заводу заказали еще 50 штук АПК-4. Но руководство завода добилось снятия заказа и так и не сдало ни одной пушки. В 1934 г. начальство заставило завод № 92 делать хотя бы заготовки труб для АПК-4. В 1935 г. он должен был изготовить 350 труб для завода № 8, но тут горьковчане постарались и изготовили 370 труб (12091).</w:t>
      </w:r>
    </w:p>
    <w:p w14:paraId="28B3429C" w14:textId="77777777" w:rsidR="00385829" w:rsidRPr="00E93F40" w:rsidRDefault="00385829" w:rsidP="00385829">
      <w:pPr>
        <w:autoSpaceDE w:val="0"/>
        <w:autoSpaceDN w:val="0"/>
        <w:adjustRightInd w:val="0"/>
        <w:spacing w:after="0" w:line="240" w:lineRule="auto"/>
        <w:jc w:val="both"/>
        <w:rPr>
          <w:rFonts w:ascii="Times New Roman" w:hAnsi="Times New Roman"/>
          <w:color w:val="000000" w:themeColor="text1"/>
          <w:sz w:val="16"/>
          <w:szCs w:val="16"/>
        </w:rPr>
      </w:pPr>
    </w:p>
    <w:p w14:paraId="000F2C20" w14:textId="77777777" w:rsidR="00385829" w:rsidRPr="00E93F40" w:rsidRDefault="00385829" w:rsidP="00385829">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для самолета И-12 (дублера) началось изготовление двух пушек АПК-10 с улучшенной баллистикой. Вес снаряда — 4,5 кг, заряд — 1,1 кг ПКО, начальная скорость — 400 м/с. Вес пушки — 85 кг. По плану они должны были быть закончены в сентябре 1932 г. Но тут возникли сложности с самолетом-носителем.</w:t>
      </w:r>
    </w:p>
    <w:p w14:paraId="611C65BF" w14:textId="77777777" w:rsidR="00385829" w:rsidRPr="00E93F40" w:rsidRDefault="00385829" w:rsidP="00385829">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 некоторое время спустя был отремонтирован и совершил еще ряд полетов. Всего, до последнего старта 28 сентября 1932 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19782AFB" w14:textId="77777777" w:rsidR="00385829" w:rsidRPr="00E93F40" w:rsidRDefault="00385829" w:rsidP="00385829">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(12091).</w:t>
      </w:r>
    </w:p>
    <w:p w14:paraId="32159116" w14:textId="77777777" w:rsidR="00385829" w:rsidRPr="00E93F40" w:rsidRDefault="00385829" w:rsidP="00385829">
      <w:pPr>
        <w:autoSpaceDE w:val="0"/>
        <w:autoSpaceDN w:val="0"/>
        <w:adjustRightInd w:val="0"/>
        <w:spacing w:after="0" w:line="240" w:lineRule="auto"/>
        <w:jc w:val="both"/>
        <w:rPr>
          <w:rFonts w:ascii="Times New Roman" w:hAnsi="Times New Roman"/>
          <w:color w:val="000000" w:themeColor="text1"/>
          <w:sz w:val="16"/>
          <w:szCs w:val="16"/>
        </w:rPr>
      </w:pPr>
    </w:p>
    <w:p w14:paraId="006BD1C9" w14:textId="77777777" w:rsidR="00385829" w:rsidRPr="00142305" w:rsidRDefault="00385829" w:rsidP="00385829">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июне 1932 г. для И-12 (дублера) началось изготовление двух пушек АПК-10 с улучшенной баллистикой. Вес снаряда 4,5 кг, заряд — 1,1 кг ПКО, начальная скорость 400 м/с. Вес пушки 85 кг. По плану они должны были быть закончены в сентябре 1932 г. Но тут возникли сложности с самолетом-носителем. И-12 некоторое время спустя был отремонтирован и совершил еще ряд полетов (25213).</w:t>
      </w:r>
    </w:p>
    <w:p w14:paraId="435BC8DD" w14:textId="77777777" w:rsidR="00385829" w:rsidRPr="00142305" w:rsidRDefault="00385829" w:rsidP="00385829">
      <w:pPr>
        <w:spacing w:after="0" w:line="240" w:lineRule="auto"/>
        <w:jc w:val="both"/>
        <w:rPr>
          <w:rStyle w:val="aff"/>
          <w:rFonts w:ascii="Times New Roman" w:hAnsi="Times New Roman" w:cs="Times New Roman"/>
          <w:color w:val="0070C0"/>
          <w:spacing w:val="0"/>
          <w:sz w:val="16"/>
          <w:szCs w:val="16"/>
        </w:rPr>
      </w:pPr>
    </w:p>
    <w:p w14:paraId="5A90DD2D" w14:textId="77777777" w:rsidR="007C6B55" w:rsidRPr="00E93F40" w:rsidRDefault="007C6B55"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В июне 1932 г. ходе испытаний Звена провели учебный налет на Киев со сбросом 1000 кг бомб на полигоне (19100).</w:t>
      </w:r>
    </w:p>
    <w:p w14:paraId="0281EB62" w14:textId="77777777" w:rsidR="007C6B55" w:rsidRPr="00E93F40" w:rsidRDefault="007C6B55" w:rsidP="00E93F40">
      <w:pPr>
        <w:pStyle w:val="a8"/>
        <w:jc w:val="both"/>
        <w:rPr>
          <w:rFonts w:ascii="Times New Roman" w:hAnsi="Times New Roman" w:cs="Times New Roman"/>
          <w:color w:val="000000" w:themeColor="text1"/>
        </w:rPr>
      </w:pPr>
    </w:p>
    <w:p w14:paraId="4D2FA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июня 1932 г. в Италии приступила к работе комиссия под руководством инженера И.Я.Филипповича Для наблюдения за постройкой машин Савойя S.55 для СССР В первую очередь следовало уточнить предъявляемые к самолетам требования. А в отношении последних полной ясности не было. Сначала речь шла о чисто гражданском применении итальянских летающих лодок - перевозке людей и грузов на больших реках и в приморских районах (5486,3).</w:t>
      </w:r>
    </w:p>
    <w:p w14:paraId="39470C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C4F938" w14:textId="77777777" w:rsidR="00B52AFA" w:rsidRPr="00E93F40" w:rsidRDefault="00B52A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июне 1932 г. в Италию прибыла следующая советская комиссия под руководством инженера И.Я. Филипповича (РГВА. Ф. 29. Оп. 49. Д. 28. Предложения иностранных фирм и отдельных лиц на изготовление и поставку авиационной техники. 1.07.1932-31.12.1932.). Она должна была контролировать все промежуточные этапы изготовления заказанных машин С.55. Работа осложнялась тем, что отсутствовала ясность в характеристиках, которые должен был иметь самолет. В начале предполагалось только гражданское использование гидросамолета для грузопассажирских перевозок на больших реках и в прибрежных районах морей. Однако РККА был нужен самолет двойного назначения. При условии сохранения пассажирского салона должна была предусматриваться установка пулеметной турели и бомбодержателей по советским эскизам. Это было необходимо, т.к. как в военное время гидросамолеты должны были использоваться в качестве морских бомбардировщиков. Они предназначались для Дальневосточного управления, т.е. в соответствии с планом мобилизации они включались в ВВС Морских Сил Дальнего Востока. Вооружение на этих самолетах устанавливалось то же, что и на машинах, заказанных Румынией. Приобретаемые в Италии самолеты должны были обладать всеми последними улучшениями, принятыми для S.55X, в том числе несколько видоизмененными контурами лодок, закрытой пилотской кабиной и </w:t>
      </w:r>
      <w:r w:rsidRPr="00E93F40">
        <w:rPr>
          <w:rFonts w:ascii="Times New Roman" w:hAnsi="Times New Roman"/>
          <w:color w:val="000000" w:themeColor="text1"/>
          <w:sz w:val="16"/>
          <w:szCs w:val="16"/>
        </w:rPr>
        <w:lastRenderedPageBreak/>
        <w:t>мощными двигателями ASSO 750 мощностью 880/940 л.с. Такие же двигатели устанавливались и на уже приобретенных в Италии S.62bis. При этом пассажирский салон должен был быть оборудован по пассажирской версии – т.е. как на S.55P. Поэтому итальянские источники рассматривают самолеты советского заказа как S.55P. Для того чтобы S.55 мог летать в любое время года, итальянскую фирму попросили изготовить «фальшивый» съемный зимний редан (для защиты днища) и прочное лыжное шасси. Это должно было быть осуществлено путем постановки пяти лыж - четырех основных и одной малой в хвостовой части. Но в итоге проект остался на бумаге: ни один самолет, заказанный Советским Союзом, не был укомплектован лыжами.</w:t>
      </w:r>
    </w:p>
    <w:p w14:paraId="0199AC25" w14:textId="77777777" w:rsidR="00B52AFA" w:rsidRPr="00E93F40" w:rsidRDefault="00B52A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итоге Гражданский воздушный флот получил небольшую партию из 5 самолетов S.55 и использовал их в течение нескольких лет. Адаптация самолета для его использования в местах с холодным климатом была проведена с большой осторожностью. До этого времени машина летала в основном в теплом климате, и в результате не было необходимости, например, в полном сливе воды из системы охлаждения двигателя. Теперь же число сливных кранов было увеличено, а имеющиеся были заменены другими большего проходного сечения. Кабина летчиков была оснащена электрическим отоплением, в то время как пассажирский салон – печами беспламенного горения. Следуя примеру S.55X, пилотская кабина была полностью закрытой (21410).</w:t>
      </w:r>
    </w:p>
    <w:p w14:paraId="7F6DAFE6" w14:textId="77777777" w:rsidR="00B52AFA" w:rsidRPr="00E93F40" w:rsidRDefault="00B52AFA" w:rsidP="00E93F40">
      <w:pPr>
        <w:spacing w:after="0" w:line="240" w:lineRule="auto"/>
        <w:jc w:val="both"/>
        <w:rPr>
          <w:rFonts w:ascii="Times New Roman" w:hAnsi="Times New Roman"/>
          <w:color w:val="000000" w:themeColor="text1"/>
          <w:sz w:val="16"/>
          <w:szCs w:val="16"/>
        </w:rPr>
      </w:pPr>
    </w:p>
    <w:p w14:paraId="60877E2C" w14:textId="77777777" w:rsidR="00385829" w:rsidRPr="00142305" w:rsidRDefault="00385829" w:rsidP="003858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июня 1932 г. в Италии приступила к работе для наблюдения за постройкой машин S.55 из СССР в Италию комиссия под руководством инженера И.Я. Филип</w:t>
      </w:r>
      <w:r w:rsidRPr="00142305">
        <w:rPr>
          <w:rFonts w:ascii="Times New Roman" w:hAnsi="Times New Roman"/>
          <w:color w:val="0070C0"/>
          <w:sz w:val="16"/>
          <w:szCs w:val="16"/>
        </w:rPr>
        <w:softHyphen/>
        <w:t>повича В первую очередь, следовало уточнить предъявляемые к самолетам требования. А в отношении последних полной ясности не было. Сначала речь шла о чисто гражданском применении итальянских летающих лодок - пере</w:t>
      </w:r>
      <w:r w:rsidRPr="00142305">
        <w:rPr>
          <w:rFonts w:ascii="Times New Roman" w:hAnsi="Times New Roman"/>
          <w:color w:val="0070C0"/>
          <w:sz w:val="16"/>
          <w:szCs w:val="16"/>
        </w:rPr>
        <w:softHyphen/>
        <w:t>возке людей и грузов по большим ре</w:t>
      </w:r>
      <w:r w:rsidRPr="00142305">
        <w:rPr>
          <w:rFonts w:ascii="Times New Roman" w:hAnsi="Times New Roman"/>
          <w:color w:val="0070C0"/>
          <w:sz w:val="16"/>
          <w:szCs w:val="16"/>
        </w:rPr>
        <w:softHyphen/>
        <w:t>кам и в приморских районах. Но уже 16 июля из Москвы поступила депеша, требовавшая от Филипповича изменить выданное фирме задание и добиваться превращения «савой» в самолеты двой</w:t>
      </w:r>
      <w:r w:rsidRPr="00142305">
        <w:rPr>
          <w:rFonts w:ascii="Times New Roman" w:hAnsi="Times New Roman"/>
          <w:color w:val="0070C0"/>
          <w:sz w:val="16"/>
          <w:szCs w:val="16"/>
        </w:rPr>
        <w:softHyphen/>
        <w:t>ного назначения. Сохраняя пассажирс</w:t>
      </w:r>
      <w:r w:rsidRPr="00142305">
        <w:rPr>
          <w:rFonts w:ascii="Times New Roman" w:hAnsi="Times New Roman"/>
          <w:color w:val="0070C0"/>
          <w:sz w:val="16"/>
          <w:szCs w:val="16"/>
        </w:rPr>
        <w:softHyphen/>
        <w:t>кие салоны, лодки теперь должны были предусматривать установку пулеметных турелей и бомбодержателей по эскизам, присланным из СССР. Это требовалось потому, что в военное время лодки ГВФ собирались использовать как морские бомбардировщики. Поскольку самолеты предназначались для Приморья, то по мобилизационному плану должны были включаться в состав ВВС Морских сил Дальнего Востока (МСДВ), превратив</w:t>
      </w:r>
      <w:r w:rsidRPr="00142305">
        <w:rPr>
          <w:rFonts w:ascii="Times New Roman" w:hAnsi="Times New Roman"/>
          <w:color w:val="0070C0"/>
          <w:sz w:val="16"/>
          <w:szCs w:val="16"/>
        </w:rPr>
        <w:softHyphen/>
        <w:t>шихся позже в Тихоокеанский флот (24944).</w:t>
      </w:r>
    </w:p>
    <w:p w14:paraId="49005040" w14:textId="77777777" w:rsidR="00385829" w:rsidRPr="00142305" w:rsidRDefault="00385829" w:rsidP="00385829">
      <w:pPr>
        <w:spacing w:after="0" w:line="240" w:lineRule="auto"/>
        <w:jc w:val="both"/>
        <w:rPr>
          <w:rFonts w:ascii="Times New Roman" w:hAnsi="Times New Roman"/>
          <w:color w:val="0070C0"/>
          <w:sz w:val="16"/>
          <w:szCs w:val="16"/>
        </w:rPr>
      </w:pPr>
    </w:p>
    <w:p w14:paraId="75BED4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первый серийный мотор М-34, изготовленный на заводе № 24, № 2001, установили на доработан</w:t>
      </w:r>
      <w:r w:rsidRPr="00E93F40">
        <w:rPr>
          <w:rFonts w:ascii="Times New Roman" w:hAnsi="Times New Roman"/>
          <w:color w:val="000000" w:themeColor="text1"/>
          <w:sz w:val="16"/>
          <w:szCs w:val="16"/>
        </w:rPr>
        <w:softHyphen/>
        <w:t>ный в ЦАГИ биплан Р-5, на котором провели летные испытания. Первые серии М-34 комплекто</w:t>
      </w:r>
      <w:r w:rsidRPr="00E93F40">
        <w:rPr>
          <w:rFonts w:ascii="Times New Roman" w:hAnsi="Times New Roman"/>
          <w:color w:val="000000" w:themeColor="text1"/>
          <w:sz w:val="16"/>
          <w:szCs w:val="16"/>
        </w:rPr>
        <w:softHyphen/>
        <w:t>вались французскими карбюратора</w:t>
      </w:r>
      <w:r w:rsidRPr="00E93F40">
        <w:rPr>
          <w:rFonts w:ascii="Times New Roman" w:hAnsi="Times New Roman"/>
          <w:color w:val="000000" w:themeColor="text1"/>
          <w:sz w:val="16"/>
          <w:szCs w:val="16"/>
        </w:rPr>
        <w:softHyphen/>
        <w:t>ми «Зенит 90Р». Серийный мотор оказался примерно на 60 кг тяже</w:t>
      </w:r>
      <w:r w:rsidRPr="00E93F40">
        <w:rPr>
          <w:rFonts w:ascii="Times New Roman" w:hAnsi="Times New Roman"/>
          <w:color w:val="000000" w:themeColor="text1"/>
          <w:sz w:val="16"/>
          <w:szCs w:val="16"/>
        </w:rPr>
        <w:softHyphen/>
        <w:t>лее М-17, вес которого был зало</w:t>
      </w:r>
      <w:r w:rsidRPr="00E93F40">
        <w:rPr>
          <w:rFonts w:ascii="Times New Roman" w:hAnsi="Times New Roman"/>
          <w:color w:val="000000" w:themeColor="text1"/>
          <w:sz w:val="16"/>
          <w:szCs w:val="16"/>
        </w:rPr>
        <w:softHyphen/>
        <w:t>жен в задание (550 кг), а максималь</w:t>
      </w:r>
      <w:r w:rsidRPr="00E93F40">
        <w:rPr>
          <w:rFonts w:ascii="Times New Roman" w:hAnsi="Times New Roman"/>
          <w:color w:val="000000" w:themeColor="text1"/>
          <w:sz w:val="16"/>
          <w:szCs w:val="16"/>
        </w:rPr>
        <w:softHyphen/>
        <w:t>ная мощность - на 100 л.с. меньше требуемой (800 л.с. вместо 900 л.с.). В результате удельная мощность ока</w:t>
      </w:r>
      <w:r w:rsidRPr="00E93F40">
        <w:rPr>
          <w:rFonts w:ascii="Times New Roman" w:hAnsi="Times New Roman"/>
          <w:color w:val="000000" w:themeColor="text1"/>
          <w:sz w:val="16"/>
          <w:szCs w:val="16"/>
        </w:rPr>
        <w:softHyphen/>
        <w:t>залась примерно той же, что и у «немца». Расход бензина и масла, по мировым стандартам, был вели</w:t>
      </w:r>
      <w:r w:rsidRPr="00E93F40">
        <w:rPr>
          <w:rFonts w:ascii="Times New Roman" w:hAnsi="Times New Roman"/>
          <w:color w:val="000000" w:themeColor="text1"/>
          <w:sz w:val="16"/>
          <w:szCs w:val="16"/>
        </w:rPr>
        <w:softHyphen/>
        <w:t>коват. А посадочные места не соот</w:t>
      </w:r>
      <w:r w:rsidRPr="00E93F40">
        <w:rPr>
          <w:rFonts w:ascii="Times New Roman" w:hAnsi="Times New Roman"/>
          <w:color w:val="000000" w:themeColor="text1"/>
          <w:sz w:val="16"/>
          <w:szCs w:val="16"/>
        </w:rPr>
        <w:softHyphen/>
        <w:t>ветствовали "не только немецкому двигателю, но и полноразмерным макетам, которые ИАМ рассылал самолетостроителям. Значит, заме</w:t>
      </w:r>
      <w:r w:rsidRPr="00E93F40">
        <w:rPr>
          <w:rFonts w:ascii="Times New Roman" w:hAnsi="Times New Roman"/>
          <w:color w:val="000000" w:themeColor="text1"/>
          <w:sz w:val="16"/>
          <w:szCs w:val="16"/>
        </w:rPr>
        <w:softHyphen/>
        <w:t>на М-17 на М-34 получалась доволь</w:t>
      </w:r>
      <w:r w:rsidRPr="00E93F40">
        <w:rPr>
          <w:rFonts w:ascii="Times New Roman" w:hAnsi="Times New Roman"/>
          <w:color w:val="000000" w:themeColor="text1"/>
          <w:sz w:val="16"/>
          <w:szCs w:val="16"/>
        </w:rPr>
        <w:softHyphen/>
        <w:t>но хлопотной. В производстве М-34 оказался и сложнее, и дороже пред</w:t>
      </w:r>
      <w:r w:rsidRPr="00E93F40">
        <w:rPr>
          <w:rFonts w:ascii="Times New Roman" w:hAnsi="Times New Roman"/>
          <w:color w:val="000000" w:themeColor="text1"/>
          <w:sz w:val="16"/>
          <w:szCs w:val="16"/>
        </w:rPr>
        <w:softHyphen/>
        <w:t>шественника. Первые моторы даже не пытались сдавать военным. Дело в том, что технические условия писали на за</w:t>
      </w:r>
      <w:r w:rsidRPr="00E93F40">
        <w:rPr>
          <w:rFonts w:ascii="Times New Roman" w:hAnsi="Times New Roman"/>
          <w:color w:val="000000" w:themeColor="text1"/>
          <w:sz w:val="16"/>
          <w:szCs w:val="16"/>
        </w:rPr>
        <w:softHyphen/>
        <w:t>воде, и в УВВС их отправили только в декабре 1932 г. А утвердили их только 19 мая следующего года, ког</w:t>
      </w:r>
      <w:r w:rsidRPr="00E93F40">
        <w:rPr>
          <w:rFonts w:ascii="Times New Roman" w:hAnsi="Times New Roman"/>
          <w:color w:val="000000" w:themeColor="text1"/>
          <w:sz w:val="16"/>
          <w:szCs w:val="16"/>
        </w:rPr>
        <w:softHyphen/>
        <w:t>да М-34 уже шли из цехов сотнями! (11848).</w:t>
      </w:r>
    </w:p>
    <w:p w14:paraId="34DC59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5D36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года НИИ ВВС закончил работы по устройству, установке и испытанию "Самолета Звена" ("З-1"), сконструированного инженером НИИ ВВС Вахмистровым В.С., которые проводились с декабря 1931 года.</w:t>
      </w:r>
    </w:p>
    <w:p w14:paraId="06F908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"З-1" представляет собой соединение двух истребителей И-4 с тяжелым бомбардировщиком ТБ1. Самолеты И-4 устанавливаются на крыльях ТБ1 в специальных замках и могут быть отцеплены в воздухе особым сбрасывателем.</w:t>
      </w:r>
    </w:p>
    <w:p w14:paraId="1AD86D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взлете и в полете моторы всех трех самолетов работают и таким образом получается один целый 4-моторный самолет. Питание горючим истребителей в полете производится из баков бомбардировщика.</w:t>
      </w:r>
    </w:p>
    <w:p w14:paraId="7BFED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Эта комбинация представляет следующие основные выгоды:</w:t>
      </w:r>
    </w:p>
    <w:p w14:paraId="7A3687E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истребителей увеличивают мощность бомбардировщика, а следовательно и его грузоподъемность, скороподъемность, потолок и скорость.</w:t>
      </w:r>
    </w:p>
    <w:p w14:paraId="190965A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 истребителей увеличивается в два раза, так как по пути к цели они питаются горючим из баков бомбардировщика.</w:t>
      </w:r>
    </w:p>
    <w:p w14:paraId="188D16A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Бомбардировщик в глубоком тылу противника имеет свою истребительную охрану, а не только при прохождении полосы фронта.</w:t>
      </w:r>
    </w:p>
    <w:p w14:paraId="77A9CDF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показали, что эксплуатация самолета "З-1" как в зимних, так и в летних условиях особых трудностей не представляет ни в подготовке к полету, ни в самом полете.</w:t>
      </w:r>
    </w:p>
    <w:p w14:paraId="485069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Сравнительные данные изолированного ТБ-1 и его же с двумя И-4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1160"/>
        <w:gridCol w:w="1160"/>
        <w:gridCol w:w="1160"/>
        <w:gridCol w:w="1160"/>
        <w:gridCol w:w="1160"/>
        <w:gridCol w:w="1160"/>
        <w:gridCol w:w="1160"/>
        <w:gridCol w:w="1160"/>
        <w:gridCol w:w="1160"/>
      </w:tblGrid>
      <w:tr w:rsidR="00DA227A" w:rsidRPr="00E93F40" w14:paraId="6B0A1928" w14:textId="77777777">
        <w:tc>
          <w:tcPr>
            <w:tcW w:w="1160" w:type="dxa"/>
          </w:tcPr>
          <w:p w14:paraId="4FE2D6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1160" w:type="dxa"/>
          </w:tcPr>
          <w:p w14:paraId="4C5292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пустого</w:t>
            </w:r>
          </w:p>
        </w:tc>
        <w:tc>
          <w:tcPr>
            <w:tcW w:w="1160" w:type="dxa"/>
          </w:tcPr>
          <w:p w14:paraId="16CCED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Полная нагрузка ТБ1</w:t>
            </w:r>
          </w:p>
        </w:tc>
        <w:tc>
          <w:tcPr>
            <w:tcW w:w="1160" w:type="dxa"/>
          </w:tcPr>
          <w:p w14:paraId="4EC730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бомб</w:t>
            </w:r>
          </w:p>
        </w:tc>
        <w:tc>
          <w:tcPr>
            <w:tcW w:w="1160" w:type="dxa"/>
          </w:tcPr>
          <w:p w14:paraId="4AA94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самолетов</w:t>
            </w:r>
          </w:p>
          <w:p w14:paraId="5B5115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И-4</w:t>
            </w:r>
          </w:p>
        </w:tc>
        <w:tc>
          <w:tcPr>
            <w:tcW w:w="1160" w:type="dxa"/>
          </w:tcPr>
          <w:p w14:paraId="50B86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разбега</w:t>
            </w:r>
          </w:p>
        </w:tc>
        <w:tc>
          <w:tcPr>
            <w:tcW w:w="1160" w:type="dxa"/>
          </w:tcPr>
          <w:p w14:paraId="4D1FDA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Максимальн. скорость </w:t>
            </w:r>
          </w:p>
        </w:tc>
        <w:tc>
          <w:tcPr>
            <w:tcW w:w="1160" w:type="dxa"/>
          </w:tcPr>
          <w:p w14:paraId="59FB56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Подъем на 3000 м</w:t>
            </w:r>
          </w:p>
        </w:tc>
        <w:tc>
          <w:tcPr>
            <w:tcW w:w="1160" w:type="dxa"/>
          </w:tcPr>
          <w:p w14:paraId="1A36C7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c>
          <w:tcPr>
            <w:tcW w:w="1160" w:type="dxa"/>
          </w:tcPr>
          <w:p w14:paraId="42986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w:t>
            </w:r>
          </w:p>
        </w:tc>
      </w:tr>
      <w:tr w:rsidR="00DA227A" w:rsidRPr="00E93F40" w14:paraId="5FD50347" w14:textId="77777777">
        <w:tc>
          <w:tcPr>
            <w:tcW w:w="1160" w:type="dxa"/>
          </w:tcPr>
          <w:p w14:paraId="7D741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w:t>
            </w:r>
          </w:p>
        </w:tc>
        <w:tc>
          <w:tcPr>
            <w:tcW w:w="1160" w:type="dxa"/>
          </w:tcPr>
          <w:p w14:paraId="6942A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4525</w:t>
            </w:r>
          </w:p>
        </w:tc>
        <w:tc>
          <w:tcPr>
            <w:tcW w:w="1160" w:type="dxa"/>
          </w:tcPr>
          <w:p w14:paraId="3C90D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2285</w:t>
            </w:r>
          </w:p>
        </w:tc>
        <w:tc>
          <w:tcPr>
            <w:tcW w:w="1160" w:type="dxa"/>
          </w:tcPr>
          <w:p w14:paraId="1C14EA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1160" w:type="dxa"/>
          </w:tcPr>
          <w:p w14:paraId="696432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60" w:type="dxa"/>
          </w:tcPr>
          <w:p w14:paraId="44040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160" w:type="dxa"/>
          </w:tcPr>
          <w:p w14:paraId="6AB45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211</w:t>
            </w:r>
          </w:p>
        </w:tc>
        <w:tc>
          <w:tcPr>
            <w:tcW w:w="1160" w:type="dxa"/>
          </w:tcPr>
          <w:p w14:paraId="22A49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w:t>
            </w:r>
          </w:p>
        </w:tc>
        <w:tc>
          <w:tcPr>
            <w:tcW w:w="1160" w:type="dxa"/>
          </w:tcPr>
          <w:p w14:paraId="1ED334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4800</w:t>
            </w:r>
          </w:p>
        </w:tc>
        <w:tc>
          <w:tcPr>
            <w:tcW w:w="1160" w:type="dxa"/>
          </w:tcPr>
          <w:p w14:paraId="279A2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r>
      <w:tr w:rsidR="00DA227A" w:rsidRPr="00E93F40" w14:paraId="0D0F2706" w14:textId="77777777">
        <w:tc>
          <w:tcPr>
            <w:tcW w:w="1160" w:type="dxa"/>
          </w:tcPr>
          <w:p w14:paraId="09EBB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326C0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4525</w:t>
            </w:r>
          </w:p>
        </w:tc>
        <w:tc>
          <w:tcPr>
            <w:tcW w:w="1160" w:type="dxa"/>
          </w:tcPr>
          <w:p w14:paraId="7531F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3400</w:t>
            </w:r>
          </w:p>
        </w:tc>
        <w:tc>
          <w:tcPr>
            <w:tcW w:w="1160" w:type="dxa"/>
          </w:tcPr>
          <w:p w14:paraId="19EB9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1160" w:type="dxa"/>
          </w:tcPr>
          <w:p w14:paraId="7E380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60" w:type="dxa"/>
          </w:tcPr>
          <w:p w14:paraId="45E66E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160" w:type="dxa"/>
          </w:tcPr>
          <w:p w14:paraId="34289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160" w:type="dxa"/>
          </w:tcPr>
          <w:p w14:paraId="14350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38,1</w:t>
            </w:r>
          </w:p>
        </w:tc>
        <w:tc>
          <w:tcPr>
            <w:tcW w:w="1160" w:type="dxa"/>
          </w:tcPr>
          <w:p w14:paraId="5254A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3790</w:t>
            </w:r>
          </w:p>
        </w:tc>
        <w:tc>
          <w:tcPr>
            <w:tcW w:w="1160" w:type="dxa"/>
          </w:tcPr>
          <w:p w14:paraId="15B99E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1E3070E5" w14:textId="77777777">
        <w:tc>
          <w:tcPr>
            <w:tcW w:w="1160" w:type="dxa"/>
          </w:tcPr>
          <w:p w14:paraId="1958DC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"З-1"</w:t>
            </w:r>
          </w:p>
          <w:p w14:paraId="0106A9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ТБ1+2И-4</w:t>
            </w:r>
          </w:p>
        </w:tc>
        <w:tc>
          <w:tcPr>
            <w:tcW w:w="1160" w:type="dxa"/>
          </w:tcPr>
          <w:p w14:paraId="77B34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6532</w:t>
            </w:r>
          </w:p>
        </w:tc>
        <w:tc>
          <w:tcPr>
            <w:tcW w:w="1160" w:type="dxa"/>
          </w:tcPr>
          <w:p w14:paraId="33EB02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3968</w:t>
            </w:r>
          </w:p>
        </w:tc>
        <w:tc>
          <w:tcPr>
            <w:tcW w:w="1160" w:type="dxa"/>
          </w:tcPr>
          <w:p w14:paraId="59D58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1160" w:type="dxa"/>
          </w:tcPr>
          <w:p w14:paraId="6EB74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1450</w:t>
            </w:r>
          </w:p>
        </w:tc>
        <w:tc>
          <w:tcPr>
            <w:tcW w:w="1160" w:type="dxa"/>
          </w:tcPr>
          <w:p w14:paraId="07B94A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c>
          <w:tcPr>
            <w:tcW w:w="1160" w:type="dxa"/>
          </w:tcPr>
          <w:p w14:paraId="6A667D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c>
          <w:tcPr>
            <w:tcW w:w="1160" w:type="dxa"/>
          </w:tcPr>
          <w:p w14:paraId="78E83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24,6</w:t>
            </w:r>
          </w:p>
        </w:tc>
        <w:tc>
          <w:tcPr>
            <w:tcW w:w="1160" w:type="dxa"/>
          </w:tcPr>
          <w:p w14:paraId="0017A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4630</w:t>
            </w:r>
          </w:p>
        </w:tc>
        <w:tc>
          <w:tcPr>
            <w:tcW w:w="1160" w:type="dxa"/>
          </w:tcPr>
          <w:p w14:paraId="25829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DA227A" w:rsidRPr="00E93F40" w14:paraId="36592F58" w14:textId="77777777">
        <w:tc>
          <w:tcPr>
            <w:tcW w:w="1160" w:type="dxa"/>
          </w:tcPr>
          <w:p w14:paraId="4367D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0D4E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6532</w:t>
            </w:r>
          </w:p>
        </w:tc>
        <w:tc>
          <w:tcPr>
            <w:tcW w:w="1160" w:type="dxa"/>
          </w:tcPr>
          <w:p w14:paraId="024AA8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5968</w:t>
            </w:r>
          </w:p>
        </w:tc>
        <w:tc>
          <w:tcPr>
            <w:tcW w:w="1160" w:type="dxa"/>
          </w:tcPr>
          <w:p w14:paraId="052A0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1160" w:type="dxa"/>
          </w:tcPr>
          <w:p w14:paraId="38910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1450</w:t>
            </w:r>
          </w:p>
        </w:tc>
        <w:tc>
          <w:tcPr>
            <w:tcW w:w="1160" w:type="dxa"/>
          </w:tcPr>
          <w:p w14:paraId="2E96C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w:t>
            </w:r>
          </w:p>
        </w:tc>
        <w:tc>
          <w:tcPr>
            <w:tcW w:w="1160" w:type="dxa"/>
          </w:tcPr>
          <w:p w14:paraId="6952B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60" w:type="dxa"/>
          </w:tcPr>
          <w:p w14:paraId="25B059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60" w:type="dxa"/>
          </w:tcPr>
          <w:p w14:paraId="79534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60" w:type="dxa"/>
          </w:tcPr>
          <w:p w14:paraId="0A749A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bl>
    <w:p w14:paraId="167A1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периоде испытаний был произведен демонстративный налет на Киев, где сброшено 1000 кг бомб, при этом пройдено без посадки 1275 км.</w:t>
      </w:r>
    </w:p>
    <w:p w14:paraId="64F52B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полного выявления эксплуатационных свойств самолета "З-1" в настоящее время изготовляется войсковая серия этих установок в количестве 6 штук для широких войсковых испытаний и отработки тактики и боевого применения.</w:t>
      </w:r>
    </w:p>
    <w:p w14:paraId="2C8A1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Дальнейшие работы инженера Вахмистрова по конструированию перенести на самолет ТБ-3, на котором спроектированы два типа установок "З-2" – установка з-х самолетов И-5 сверху на крыльях ТБ3 и "З-3" – 2-х самолетов "Z" снизу под крыльями ТБ3, таким образом на ТБ3 может быть одновременно установлено 5 истребителей. Проектирование этих двух установок (сверху и снизу) закончено и они изготовляются на заводе ЦАГИ.</w:t>
      </w:r>
    </w:p>
    <w:p w14:paraId="494E2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Расчетные данные самолета ТБ-3 с тремя самолетами "И-5" по сравнению с изолированным ТБ3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0"/>
        <w:gridCol w:w="1450"/>
        <w:gridCol w:w="1450"/>
        <w:gridCol w:w="1450"/>
        <w:gridCol w:w="1450"/>
        <w:gridCol w:w="1450"/>
        <w:gridCol w:w="1450"/>
        <w:gridCol w:w="1450"/>
      </w:tblGrid>
      <w:tr w:rsidR="00DA227A" w:rsidRPr="00E93F40" w14:paraId="2AEDE1F4" w14:textId="77777777">
        <w:tc>
          <w:tcPr>
            <w:tcW w:w="1450" w:type="dxa"/>
          </w:tcPr>
          <w:p w14:paraId="56266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1450" w:type="dxa"/>
          </w:tcPr>
          <w:p w14:paraId="1B4BA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Полетный вес</w:t>
            </w:r>
          </w:p>
        </w:tc>
        <w:tc>
          <w:tcPr>
            <w:tcW w:w="1450" w:type="dxa"/>
          </w:tcPr>
          <w:p w14:paraId="406E3E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w:t>
            </w:r>
          </w:p>
        </w:tc>
        <w:tc>
          <w:tcPr>
            <w:tcW w:w="1450" w:type="dxa"/>
          </w:tcPr>
          <w:p w14:paraId="605D8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скорость у земли</w:t>
            </w:r>
          </w:p>
        </w:tc>
        <w:tc>
          <w:tcPr>
            <w:tcW w:w="1450" w:type="dxa"/>
          </w:tcPr>
          <w:p w14:paraId="7E863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скорость на 3000 м</w:t>
            </w:r>
          </w:p>
        </w:tc>
        <w:tc>
          <w:tcPr>
            <w:tcW w:w="1450" w:type="dxa"/>
          </w:tcPr>
          <w:p w14:paraId="7D2F6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Скороподъемн. на 1000 м </w:t>
            </w:r>
          </w:p>
        </w:tc>
        <w:tc>
          <w:tcPr>
            <w:tcW w:w="1450" w:type="dxa"/>
          </w:tcPr>
          <w:p w14:paraId="1DEFF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 на 3000 м</w:t>
            </w:r>
          </w:p>
        </w:tc>
        <w:tc>
          <w:tcPr>
            <w:tcW w:w="1450" w:type="dxa"/>
          </w:tcPr>
          <w:p w14:paraId="1B266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r>
      <w:tr w:rsidR="00DA227A" w:rsidRPr="00E93F40" w14:paraId="56813007" w14:textId="77777777">
        <w:tc>
          <w:tcPr>
            <w:tcW w:w="1450" w:type="dxa"/>
          </w:tcPr>
          <w:p w14:paraId="03021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1450" w:type="dxa"/>
          </w:tcPr>
          <w:p w14:paraId="01A38E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17200</w:t>
            </w:r>
          </w:p>
        </w:tc>
        <w:tc>
          <w:tcPr>
            <w:tcW w:w="1450" w:type="dxa"/>
          </w:tcPr>
          <w:p w14:paraId="7A9FD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1450" w:type="dxa"/>
          </w:tcPr>
          <w:p w14:paraId="615BF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198</w:t>
            </w:r>
          </w:p>
        </w:tc>
        <w:tc>
          <w:tcPr>
            <w:tcW w:w="1450" w:type="dxa"/>
          </w:tcPr>
          <w:p w14:paraId="206671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166</w:t>
            </w:r>
          </w:p>
        </w:tc>
        <w:tc>
          <w:tcPr>
            <w:tcW w:w="1450" w:type="dxa"/>
          </w:tcPr>
          <w:p w14:paraId="151FFE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9,40</w:t>
            </w:r>
          </w:p>
        </w:tc>
        <w:tc>
          <w:tcPr>
            <w:tcW w:w="1450" w:type="dxa"/>
          </w:tcPr>
          <w:p w14:paraId="07849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46,5</w:t>
            </w:r>
          </w:p>
        </w:tc>
        <w:tc>
          <w:tcPr>
            <w:tcW w:w="1450" w:type="dxa"/>
          </w:tcPr>
          <w:p w14:paraId="04629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3700</w:t>
            </w:r>
          </w:p>
        </w:tc>
      </w:tr>
      <w:tr w:rsidR="00DA227A" w:rsidRPr="00E93F40" w14:paraId="6237FDFC" w14:textId="77777777">
        <w:tc>
          <w:tcPr>
            <w:tcW w:w="1450" w:type="dxa"/>
          </w:tcPr>
          <w:p w14:paraId="351C5C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"З-2"</w:t>
            </w:r>
          </w:p>
          <w:p w14:paraId="1C195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ТБ3+3И5</w:t>
            </w:r>
          </w:p>
        </w:tc>
        <w:tc>
          <w:tcPr>
            <w:tcW w:w="1450" w:type="dxa"/>
          </w:tcPr>
          <w:p w14:paraId="12CD0E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21250</w:t>
            </w:r>
          </w:p>
        </w:tc>
        <w:tc>
          <w:tcPr>
            <w:tcW w:w="1450" w:type="dxa"/>
          </w:tcPr>
          <w:p w14:paraId="5FBB7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8200</w:t>
            </w:r>
          </w:p>
        </w:tc>
        <w:tc>
          <w:tcPr>
            <w:tcW w:w="1450" w:type="dxa"/>
          </w:tcPr>
          <w:p w14:paraId="369E16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w:t>
            </w:r>
          </w:p>
        </w:tc>
        <w:tc>
          <w:tcPr>
            <w:tcW w:w="1450" w:type="dxa"/>
          </w:tcPr>
          <w:p w14:paraId="69CB96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174</w:t>
            </w:r>
          </w:p>
        </w:tc>
        <w:tc>
          <w:tcPr>
            <w:tcW w:w="1450" w:type="dxa"/>
          </w:tcPr>
          <w:p w14:paraId="426B64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4,93</w:t>
            </w:r>
          </w:p>
        </w:tc>
        <w:tc>
          <w:tcPr>
            <w:tcW w:w="1450" w:type="dxa"/>
          </w:tcPr>
          <w:p w14:paraId="2D009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24,17</w:t>
            </w:r>
          </w:p>
        </w:tc>
        <w:tc>
          <w:tcPr>
            <w:tcW w:w="1450" w:type="dxa"/>
          </w:tcPr>
          <w:p w14:paraId="09F049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4800</w:t>
            </w:r>
          </w:p>
        </w:tc>
      </w:tr>
    </w:tbl>
    <w:p w14:paraId="19179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(7439, 201-203).</w:t>
      </w:r>
    </w:p>
    <w:p w14:paraId="39909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5E6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июня 1932 г. изготовили три опытных образца М-48, из которых только один был полностью собран и проходил стендовые испытания. Мотор сочли настолько удачным, что в 1934 г. его отправили на выставку в Париж. Авиаконструкторам поручили использовать этот двигатель в проектах новых самолетов. Его, например, закладывали в проект разведчика ЦКБ-9. В 1935 г. М-48 проходил летные испытания на учебном самолете У-3, который, однако, в серию не запустили (11478).</w:t>
      </w:r>
    </w:p>
    <w:p w14:paraId="13697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CE3A77" w14:textId="77777777" w:rsidR="00385829" w:rsidRPr="00142305" w:rsidRDefault="00385829" w:rsidP="003858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июня 1932 г. на заводе № 29 в Запорожье изготовили три опытных образца М-48, из которых только один был полностью собран и проходил стендовые испытания. Мотор сочли настолько удачным, что в 1934 г. его отправили на выставку в Париж. Авиаконструкторам поручили использовать этот двигатель в проектах новых самолетов. Его, например, закладывали в проект разведчика ЦКБ-9. В 1935 г. М-48 проходил летные испытания на учебном самолете У-3, который, однако, в серию не запустили.</w:t>
      </w:r>
    </w:p>
    <w:p w14:paraId="49A5E94E" w14:textId="77777777" w:rsidR="00385829" w:rsidRPr="00142305" w:rsidRDefault="00385829" w:rsidP="003858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Практически параллельно с М-48 делали маленький трехцилиндровый М-50 (3М-11). В нем тоже использовались узлы и агрегаты М-11В, причем спроектировали два варианта: с цилиндрами от М-11В и оригинальными (25397).</w:t>
      </w:r>
    </w:p>
    <w:p w14:paraId="7CF43BC2" w14:textId="77777777" w:rsidR="00385829" w:rsidRPr="00142305" w:rsidRDefault="00385829" w:rsidP="00385829">
      <w:pPr>
        <w:spacing w:after="0" w:line="240" w:lineRule="auto"/>
        <w:jc w:val="both"/>
        <w:rPr>
          <w:rFonts w:ascii="Times New Roman" w:hAnsi="Times New Roman"/>
          <w:color w:val="0070C0"/>
          <w:sz w:val="16"/>
          <w:szCs w:val="16"/>
        </w:rPr>
      </w:pPr>
    </w:p>
    <w:p w14:paraId="164E448B" w14:textId="77777777" w:rsidR="00FD1168" w:rsidRPr="00E93F40" w:rsidRDefault="00FD1168" w:rsidP="00FD1168">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53A84F87" w14:textId="77777777" w:rsidR="00FD1168" w:rsidRPr="00E93F40" w:rsidRDefault="00FD1168" w:rsidP="00FD1168">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7AFFCF5F" w14:textId="77777777" w:rsidR="00FD1168" w:rsidRPr="00E93F40" w:rsidRDefault="00FD1168" w:rsidP="00FD1168">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42C36DD7" w14:textId="77777777" w:rsidR="00FD1168" w:rsidRPr="00E93F40" w:rsidRDefault="00FD1168" w:rsidP="00FD1168">
      <w:pPr>
        <w:autoSpaceDE w:val="0"/>
        <w:autoSpaceDN w:val="0"/>
        <w:adjustRightInd w:val="0"/>
        <w:spacing w:after="0" w:line="240" w:lineRule="auto"/>
        <w:jc w:val="both"/>
        <w:rPr>
          <w:rFonts w:ascii="Times New Roman" w:hAnsi="Times New Roman"/>
          <w:color w:val="000000" w:themeColor="text1"/>
          <w:sz w:val="16"/>
          <w:szCs w:val="16"/>
        </w:rPr>
      </w:pPr>
    </w:p>
    <w:p w14:paraId="5E59B489"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июне 1932 г. приказом наркома тяжелой промышленности Г.К. Орджоникидзе в составе ГУАП был создан Всесоюзный научно-исследовательский институт авиационных материалов на базе Отдела испытаний авиационных материалов ЦАГИ. Ему также отходил опытный завод №25, который до этого находился в непосредственном подчинении ЦАГИ (25126).</w:t>
      </w:r>
    </w:p>
    <w:p w14:paraId="326FC709" w14:textId="77777777" w:rsidR="00FD1168" w:rsidRPr="00142305" w:rsidRDefault="00FD1168" w:rsidP="00FD1168">
      <w:pPr>
        <w:spacing w:after="0" w:line="240" w:lineRule="auto"/>
        <w:jc w:val="both"/>
        <w:rPr>
          <w:rFonts w:ascii="Times New Roman" w:hAnsi="Times New Roman"/>
          <w:color w:val="0070C0"/>
          <w:sz w:val="16"/>
          <w:szCs w:val="16"/>
        </w:rPr>
      </w:pPr>
    </w:p>
    <w:p w14:paraId="64E5F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года были начаты строительно-подготовительные работы по строительству Каширского электровозного завода, но выполнены в этом году в незначительном объеме.</w:t>
      </w:r>
    </w:p>
    <w:p w14:paraId="66894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Строительная площадка была перенесена ближе к ст. Ступино, в 12 км северо-западнее Каширы.</w:t>
      </w:r>
    </w:p>
    <w:p w14:paraId="3AF6F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Окончательное утверждение Правительством генерального плана и генеральной сметы Каширского электровозного завода состоялось 13 сентября 1935 года (Постановление СТО № 572).</w:t>
      </w:r>
    </w:p>
    <w:p w14:paraId="2FCC9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пуска электровозного завода был установлен на начало 1936 года.</w:t>
      </w:r>
    </w:p>
    <w:p w14:paraId="5807FD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основании решения Правительства, приказом НКТП от 3 марта 1936 года за № 46с было предложено:</w:t>
      </w:r>
    </w:p>
    <w:p w14:paraId="459032C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Строительную площадку Каширского электровозного завода передать из ведения Главэнергопрома в Глававиапром.</w:t>
      </w:r>
    </w:p>
    <w:p w14:paraId="47F7D8A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Глававиапрому развернуть на базе стройплощадки элеткровозного завода строительство нового авиационного комбината, в первую очередь – завода винтов переменного шага и самопусков.</w:t>
      </w:r>
    </w:p>
    <w:p w14:paraId="0A3F3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этом же заводе организовать производство мелких паровых турбин от 1 до 3 тыс. киловатт.</w:t>
      </w:r>
    </w:p>
    <w:p w14:paraId="372873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Этим же приказом строительству авиакомбината было присвоено наименование «Комбинат № 150» (9504).</w:t>
      </w:r>
    </w:p>
    <w:p w14:paraId="25E21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1EDD60"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гирдовцы переехали в постоянное помещение в подвале дома № 19 на Садово-Спасской улице. Рассказывают, что, приходя по утрам в этот полутемный сырой подвал, Цандер неизменно начинал свой рабочий день гром</w:t>
      </w:r>
      <w:r w:rsidRPr="00E93F40">
        <w:rPr>
          <w:rFonts w:ascii="Times New Roman" w:hAnsi="Times New Roman"/>
          <w:color w:val="000000" w:themeColor="text1"/>
          <w:sz w:val="16"/>
          <w:szCs w:val="16"/>
        </w:rPr>
        <w:softHyphen/>
        <w:t>ким и восторженным возгласом:</w:t>
      </w:r>
    </w:p>
    <w:p w14:paraId="451F5FA7"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Вперед, на Марс!</w:t>
      </w:r>
    </w:p>
    <w:p w14:paraId="5FA550D9"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Вскоре в ГИРД поступили В.П.Ветчинкин, А.И.Полярный, Л.С.Душкин, Н.И.Ефремов, Е.С.Щетинков, В.С.Зуев, В.Н. Гал</w:t>
      </w:r>
      <w:r w:rsidRPr="00E93F40">
        <w:rPr>
          <w:rFonts w:ascii="Times New Roman" w:hAnsi="Times New Roman"/>
          <w:color w:val="000000" w:themeColor="text1"/>
          <w:sz w:val="16"/>
          <w:szCs w:val="16"/>
        </w:rPr>
        <w:softHyphen/>
        <w:t>ковский, Е.К.Мошкин, И.А.Меркулов и другие. В сентябре 1932 года в честь 75-летия со дня рождения К.Э.Циолковского был создан Технический совет. Руководителем Техсовета Цен</w:t>
      </w:r>
      <w:r w:rsidRPr="00E93F40">
        <w:rPr>
          <w:rFonts w:ascii="Times New Roman" w:hAnsi="Times New Roman"/>
          <w:color w:val="000000" w:themeColor="text1"/>
          <w:sz w:val="16"/>
          <w:szCs w:val="16"/>
        </w:rPr>
        <w:softHyphen/>
        <w:t>тральной группы ГИРДа стал Цандер. Техсовет определил три основных направления работы.</w:t>
      </w:r>
    </w:p>
    <w:p w14:paraId="641B8419"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 направлением стали исследования и разработка летательных аппаратов различных типов - небольших ракет и пилотируемых ракетопланов, сочетающих в себе баллистиче</w:t>
      </w:r>
      <w:r w:rsidRPr="00E93F40">
        <w:rPr>
          <w:rFonts w:ascii="Times New Roman" w:hAnsi="Times New Roman"/>
          <w:color w:val="000000" w:themeColor="text1"/>
          <w:sz w:val="16"/>
          <w:szCs w:val="16"/>
        </w:rPr>
        <w:softHyphen/>
        <w:t>ские качества ракеты и аэродинамические свойства самолета.</w:t>
      </w:r>
    </w:p>
    <w:p w14:paraId="0EA7A92C"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Второе направление - исследования и разработки дви</w:t>
      </w:r>
      <w:r w:rsidRPr="00E93F40">
        <w:rPr>
          <w:rFonts w:ascii="Times New Roman" w:hAnsi="Times New Roman"/>
          <w:color w:val="000000" w:themeColor="text1"/>
          <w:sz w:val="16"/>
          <w:szCs w:val="16"/>
        </w:rPr>
        <w:softHyphen/>
        <w:t>гателей для различных летательных аппаратов. С первых ша</w:t>
      </w:r>
      <w:r w:rsidRPr="00E93F40">
        <w:rPr>
          <w:rFonts w:ascii="Times New Roman" w:hAnsi="Times New Roman"/>
          <w:color w:val="000000" w:themeColor="text1"/>
          <w:sz w:val="16"/>
          <w:szCs w:val="16"/>
        </w:rPr>
        <w:softHyphen/>
        <w:t>гов решено было заниматься созданием жидкостных ракетных двигателей, воздушно-реактивных двигателей и двигателей, преобразующих солнечную энергию в энергию активной или реактивной силы. С целью создания в кратчайшие сроки пер</w:t>
      </w:r>
      <w:r w:rsidRPr="00E93F40">
        <w:rPr>
          <w:rFonts w:ascii="Times New Roman" w:hAnsi="Times New Roman"/>
          <w:color w:val="000000" w:themeColor="text1"/>
          <w:sz w:val="16"/>
          <w:szCs w:val="16"/>
        </w:rPr>
        <w:softHyphen/>
        <w:t>вой ракеты был разработан двигатель на гибридном топливе.</w:t>
      </w:r>
    </w:p>
    <w:p w14:paraId="5111BAA6"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Третье направление - выбор наиболее оптимальных видов топлива для летательных аппаратов. Цандер отдавал предпочте</w:t>
      </w:r>
      <w:r w:rsidRPr="00E93F40">
        <w:rPr>
          <w:rFonts w:ascii="Times New Roman" w:hAnsi="Times New Roman"/>
          <w:color w:val="000000" w:themeColor="text1"/>
          <w:sz w:val="16"/>
          <w:szCs w:val="16"/>
        </w:rPr>
        <w:softHyphen/>
        <w:t>ние топливу на основе жидкого кислорода как обеспечивающего наибольшее тепловыделение. В перспективе предполагалось ис</w:t>
      </w:r>
      <w:r w:rsidRPr="00E93F40">
        <w:rPr>
          <w:rFonts w:ascii="Times New Roman" w:hAnsi="Times New Roman"/>
          <w:color w:val="000000" w:themeColor="text1"/>
          <w:sz w:val="16"/>
          <w:szCs w:val="16"/>
        </w:rPr>
        <w:softHyphen/>
        <w:t>пользование жидкого водорода и металлических добавок.</w:t>
      </w:r>
    </w:p>
    <w:p w14:paraId="30325EF4"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реализации этих направлений в ГИРДе были образо</w:t>
      </w:r>
      <w:r w:rsidRPr="00E93F40">
        <w:rPr>
          <w:rFonts w:ascii="Times New Roman" w:hAnsi="Times New Roman"/>
          <w:color w:val="000000" w:themeColor="text1"/>
          <w:sz w:val="16"/>
          <w:szCs w:val="16"/>
        </w:rPr>
        <w:softHyphen/>
        <w:t>ваны четыре отдела: научно-исследовательский и опытно-экс</w:t>
      </w:r>
      <w:r w:rsidRPr="00E93F40">
        <w:rPr>
          <w:rFonts w:ascii="Times New Roman" w:hAnsi="Times New Roman"/>
          <w:color w:val="000000" w:themeColor="text1"/>
          <w:sz w:val="16"/>
          <w:szCs w:val="16"/>
        </w:rPr>
        <w:softHyphen/>
        <w:t>периментальный, административно управленческий, оргмас- совый (пропаганда и учеба), производственный (строительство опытных конструкций). Главную роль играл первый отдел, со</w:t>
      </w:r>
      <w:r w:rsidRPr="00E93F40">
        <w:rPr>
          <w:rFonts w:ascii="Times New Roman" w:hAnsi="Times New Roman"/>
          <w:color w:val="000000" w:themeColor="text1"/>
          <w:sz w:val="16"/>
          <w:szCs w:val="16"/>
        </w:rPr>
        <w:softHyphen/>
        <w:t>стоявший из четырех бригад.</w:t>
      </w:r>
    </w:p>
    <w:p w14:paraId="177178A8" w14:textId="77777777" w:rsidR="00E13DFF" w:rsidRPr="00E93F40" w:rsidRDefault="00E13D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Первую бригаду возглавил Ф.А.Цандер. Здесь под его ру</w:t>
      </w:r>
      <w:r w:rsidRPr="00E93F40">
        <w:rPr>
          <w:rFonts w:ascii="Times New Roman" w:hAnsi="Times New Roman"/>
          <w:color w:val="000000" w:themeColor="text1"/>
          <w:sz w:val="16"/>
          <w:szCs w:val="16"/>
        </w:rPr>
        <w:softHyphen/>
        <w:t>ководством занимались созданием ракет и ракетных двигате</w:t>
      </w:r>
      <w:r w:rsidRPr="00E93F40">
        <w:rPr>
          <w:rFonts w:ascii="Times New Roman" w:hAnsi="Times New Roman"/>
          <w:color w:val="000000" w:themeColor="text1"/>
          <w:sz w:val="16"/>
          <w:szCs w:val="16"/>
        </w:rPr>
        <w:softHyphen/>
        <w:t>лей. Были разработаны двигатели OP-1, ОР-2, 0-10. Здесь под руководством Цандера были созданы первые ракеты ГИРД-Х, ГИРД-07 и другие (23510).</w:t>
      </w:r>
    </w:p>
    <w:p w14:paraId="772E797A" w14:textId="77777777" w:rsidR="00E13DFF" w:rsidRPr="00E93F40" w:rsidRDefault="00E13DFF" w:rsidP="00E93F40">
      <w:pPr>
        <w:spacing w:after="0" w:line="240" w:lineRule="auto"/>
        <w:jc w:val="both"/>
        <w:rPr>
          <w:rFonts w:ascii="Times New Roman" w:hAnsi="Times New Roman"/>
          <w:color w:val="000000" w:themeColor="text1"/>
          <w:sz w:val="16"/>
          <w:szCs w:val="16"/>
        </w:rPr>
      </w:pPr>
    </w:p>
    <w:p w14:paraId="6E64BD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состоялось успешное испытание РС-82 с И-4 (85,475) по наземным целям В том же году начали делать для Р-5 в т.ч. и для 132 мм (177,156).</w:t>
      </w:r>
    </w:p>
    <w:p w14:paraId="29B90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Присутствовал М.Н.Тухачевский (346,23).</w:t>
      </w:r>
    </w:p>
    <w:p w14:paraId="398E4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 и в Германии и в СССР РС предназначались для применения в химической войне и поэтому низкая кучность рассматривалась в качестве преимущества (3815).</w:t>
      </w:r>
    </w:p>
    <w:p w14:paraId="224AF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ADCB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ленинградский з-д № 7 (Арсенал, ЗИФ), получивший 28 декабря 1931 заказ на 44 пушки АПК-4 со сроком сдачи 1 июля 1932, сдал первую пушку. Все 40 сдали только в 1933 как АПК-4бис. Ствол и поковки делал з-д Большевик, автоматику и самолетное оборудование - з-д № 39. К концу года смогли сделать и сдать только 4 (3996, 90).</w:t>
      </w:r>
    </w:p>
    <w:p w14:paraId="166A47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390861" w14:textId="77777777" w:rsidR="00125EB9" w:rsidRPr="00E93F40" w:rsidRDefault="00125EB9" w:rsidP="00E93F40">
      <w:pPr>
        <w:pStyle w:val="a3"/>
        <w:rPr>
          <w:color w:val="000000" w:themeColor="text1"/>
          <w:lang w:val="ru-RU"/>
        </w:rPr>
      </w:pPr>
      <w:r w:rsidRPr="00E93F40">
        <w:rPr>
          <w:color w:val="000000" w:themeColor="text1"/>
          <w:lang w:val="ru-RU"/>
        </w:rPr>
        <w:t>В июне 1932 г. в ходе испытаний Звена про</w:t>
      </w:r>
      <w:r w:rsidRPr="00E93F40">
        <w:rPr>
          <w:color w:val="000000" w:themeColor="text1"/>
          <w:lang w:val="ru-RU"/>
        </w:rPr>
        <w:softHyphen/>
        <w:t>вели учебный налет на Киев со сбросом 1000 кг бомб на полигоне.</w:t>
      </w:r>
    </w:p>
    <w:p w14:paraId="550316DA" w14:textId="77777777"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hAnsi="Times New Roman"/>
          <w:color w:val="000000" w:themeColor="text1"/>
          <w:sz w:val="16"/>
          <w:szCs w:val="16"/>
        </w:rPr>
        <w:t>НИИ ВВС дал заключение о том, что полеты на «авианосце» и его истреби</w:t>
      </w:r>
      <w:r w:rsidRPr="00E93F40">
        <w:rPr>
          <w:rFonts w:ascii="Times New Roman" w:hAnsi="Times New Roman"/>
          <w:color w:val="000000" w:themeColor="text1"/>
          <w:sz w:val="16"/>
          <w:szCs w:val="16"/>
        </w:rPr>
        <w:softHyphen/>
        <w:t>телях доступны для летчиков средней квалификации. Наверху приняли реше</w:t>
      </w:r>
      <w:r w:rsidRPr="00E93F40">
        <w:rPr>
          <w:rFonts w:ascii="Times New Roman" w:hAnsi="Times New Roman"/>
          <w:color w:val="000000" w:themeColor="text1"/>
          <w:sz w:val="16"/>
          <w:szCs w:val="16"/>
        </w:rPr>
        <w:softHyphen/>
        <w:t>ние о выпуске небольшой серии СЗВ для войсковых испытаний (17741).</w:t>
      </w:r>
    </w:p>
    <w:p w14:paraId="72908A13" w14:textId="77777777"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p>
    <w:p w14:paraId="2E0DF5C9" w14:textId="0C8927F1"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июне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начались опыты с ракетными ускорителями на ТБ-1. В докладе о состоянии работ по опытному моторо- и самолётостроению на 1 января 1933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г. сказано: «Проведенные испытания в текущем году дали положительные результаты по ускорению взлёта… Со стороны ГДЛ ставится вопрос экспериментирования отдельно хвостовой части самолёта на выявление причин, вызывающих деформацию фюзеляжа от действия ракет… Самолёт находится в ремонте» </w:t>
      </w:r>
      <w:hyperlink r:id="rId156" w:history="1">
        <w:r w:rsidRPr="00E93F40">
          <w:rPr>
            <w:rFonts w:ascii="Times New Roman" w:eastAsia="Times New Roman" w:hAnsi="Times New Roman"/>
            <w:color w:val="000000" w:themeColor="text1"/>
            <w:sz w:val="16"/>
            <w:szCs w:val="16"/>
            <w:lang w:eastAsia="ru-RU"/>
          </w:rPr>
          <w:t>[65]</w:t>
        </w:r>
      </w:hyperlink>
      <w:r w:rsidRPr="00E93F40">
        <w:rPr>
          <w:rFonts w:ascii="Times New Roman" w:eastAsia="Times New Roman" w:hAnsi="Times New Roman"/>
          <w:color w:val="000000" w:themeColor="text1"/>
          <w:sz w:val="16"/>
          <w:szCs w:val="16"/>
          <w:lang w:eastAsia="ru-RU"/>
        </w:rPr>
        <w:t xml:space="preserve"> .</w:t>
      </w:r>
    </w:p>
    <w:p w14:paraId="689AF5A9" w14:textId="6F165585"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После успешных испытаний У-1 было решено проверить эффективность пороховых ракет при взлёте бомбардировщиков ТБ-1 с двумя моторами М-17.</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Самолёт для экспериментов выделил Ленинградский военный округ. Так как весил бомбардировщик почти в 10 раз больше, чем У-1, на самолёте установили шесть ускорителей: четыре под крылом и два на крыле. Включение ускорителей осуществлялось с помощью кнопки на штурвале. Воспламенение заряда происходило через гальванические трубки, входившие в сопло ракеты. Как в экспериментах с У-1, ракеты соединялись 12-мм металлическими трубками дублирующей системой огневой связи, которая заставляла все ракеты работать одинаково.</w:t>
      </w:r>
    </w:p>
    <w:p w14:paraId="1BCF45D7" w14:textId="788FC040"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Чтобы уменьшить воздействие реактивной струи на хвостовое оперение, в 1933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79B6FCBA" w14:textId="6288EE0B"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Испытания велись с 11 июля по 7 августа 1933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при различном взлётном весе ТБ-1. Самолёт пилотировал лётчик-испытатель Н.П. Благин, в качестве наблюдающих летали инженеры ГДЛ Дудаков и Ширяев. Было проведено семь взлётов, из них пять — с ускорителями. Каждый ускоритель был рассчитан на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15 шашек пироксилино-тротилового пороха. На подготовку полёта (заряжание ракет, проверка цепи зажигания и др.) уходило от часа до полутора.</w:t>
      </w:r>
    </w:p>
    <w:p w14:paraId="7C0A718A" w14:textId="77777777"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дневнике испытаний сообщалось:</w:t>
      </w:r>
    </w:p>
    <w:p w14:paraId="37B2B2A5" w14:textId="77777777"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11 июля — два взлёта без запуска ускорителей.</w:t>
      </w:r>
    </w:p>
    <w:p w14:paraId="5D7C32FD" w14:textId="77777777"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00BD05F5" w14:textId="77777777"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21, 22 июля — взлёты с полным зарядом.</w:t>
      </w:r>
    </w:p>
    <w:p w14:paraId="6E9A26A6" w14:textId="215AF830"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7 августа — взлёт с ускорителями с увеличенным до 8</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т полётном весе самолёта (сверх программы, по указанию начальника ВВС Алксниса) </w:t>
      </w:r>
      <w:hyperlink r:id="rId157" w:history="1">
        <w:r w:rsidRPr="00E93F40">
          <w:rPr>
            <w:rFonts w:ascii="Times New Roman" w:eastAsia="Times New Roman" w:hAnsi="Times New Roman"/>
            <w:color w:val="000000" w:themeColor="text1"/>
            <w:sz w:val="16"/>
            <w:szCs w:val="16"/>
            <w:lang w:eastAsia="ru-RU"/>
          </w:rPr>
          <w:t>[66]</w:t>
        </w:r>
      </w:hyperlink>
      <w:r w:rsidRPr="00E93F40">
        <w:rPr>
          <w:rFonts w:ascii="Times New Roman" w:eastAsia="Times New Roman" w:hAnsi="Times New Roman"/>
          <w:color w:val="000000" w:themeColor="text1"/>
          <w:sz w:val="16"/>
          <w:szCs w:val="16"/>
          <w:lang w:eastAsia="ru-RU"/>
        </w:rPr>
        <w:t xml:space="preserve"> .</w:t>
      </w:r>
    </w:p>
    <w:p w14:paraId="2AC99350" w14:textId="77777777"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12251D63" w14:textId="48365E20"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октябре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м/с. Грохоча на всю округу и изрыгая длинные языки пламени, тяжёлые бомбардировщики взлетали легко, как истребители (17489).</w:t>
      </w:r>
    </w:p>
    <w:p w14:paraId="34E510B8" w14:textId="77777777" w:rsidR="00125EB9" w:rsidRPr="00E93F40" w:rsidRDefault="00125EB9" w:rsidP="00E93F40">
      <w:pPr>
        <w:spacing w:after="0" w:line="240" w:lineRule="auto"/>
        <w:jc w:val="both"/>
        <w:rPr>
          <w:rFonts w:ascii="Times New Roman" w:eastAsia="Times New Roman" w:hAnsi="Times New Roman"/>
          <w:color w:val="000000" w:themeColor="text1"/>
          <w:sz w:val="16"/>
          <w:szCs w:val="16"/>
          <w:lang w:eastAsia="ru-RU"/>
        </w:rPr>
      </w:pPr>
    </w:p>
    <w:p w14:paraId="52BF2D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июню 1932 изготовили две 65-мм пушки АПК-3 весом 43 кг с магазином на 14 выстрелов по 2.5 кг (заряд - 0.425 кг). На земле сделали 10 выстрелов. Скрость - 380 вместо 500 м/с расчетной. Доделывали до осени и назвали АПК-3бис (3996, 100).</w:t>
      </w:r>
    </w:p>
    <w:p w14:paraId="0B48F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246F30" w14:textId="77777777" w:rsidR="009B6E65" w:rsidRPr="00E93F40" w:rsidRDefault="009B6E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когда Гроховский только высказал идею ТБ-3 с классическими пушками, тогдашний начальник НИИ ВВС Бузанов в письме к начальнику ВВС РККА Я.И. Алкснису доказывал, что Р-5 с подвеской восьми-десяти реактивных сна</w:t>
      </w:r>
      <w:r w:rsidRPr="00E93F40">
        <w:rPr>
          <w:rFonts w:ascii="Times New Roman" w:hAnsi="Times New Roman"/>
          <w:color w:val="000000" w:themeColor="text1"/>
          <w:sz w:val="16"/>
          <w:szCs w:val="16"/>
        </w:rPr>
        <w:softHyphen/>
        <w:t>рядов может сделать то же самое, что и Г-52, но при этом обойдется вшестеро дешевле, а обладая лучшей маневренностью и меньшими размерами, сам окажется менее уязвимым (12613).</w:t>
      </w:r>
    </w:p>
    <w:p w14:paraId="0FCA2E8D" w14:textId="77777777" w:rsidR="009B6E65" w:rsidRPr="00E93F40" w:rsidRDefault="009B6E65" w:rsidP="00E93F40">
      <w:pPr>
        <w:spacing w:after="0" w:line="240" w:lineRule="auto"/>
        <w:jc w:val="both"/>
        <w:rPr>
          <w:rFonts w:ascii="Times New Roman" w:hAnsi="Times New Roman"/>
          <w:color w:val="000000" w:themeColor="text1"/>
          <w:sz w:val="16"/>
          <w:szCs w:val="16"/>
        </w:rPr>
      </w:pPr>
    </w:p>
    <w:p w14:paraId="5A688D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когда Гроховский только высказал идею вооружения ТБ-3 76 мм пушками, однако тогдашний начальник НИИ ВВС Бузанов в письме к Алкснису доказывал, что Р-5 с подвеской восьми-десяти реактивных снарядов может сделать то же самое и при этом обойдется вшестеро дешевле, а обладая лучшей маневренностью и меньшими размерами, сам окажется менее уязвимым. Позже альтернативой стали динамореактивные (безоткатные) пушки, монтируемые на истребителях (9807).</w:t>
      </w:r>
    </w:p>
    <w:p w14:paraId="78168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69F9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когда Гроховский только высказал идею оснащения самолетов крупнокалиберными пушками, тогдашний начальник НИИ ВВС Бузанов в письме к Алкснису доказывал, что Р-5 с подвеской восьми-десяти реактивных снарядов может сделать то же самое и при этом обойдется вшестеро дешевле, а обладая лучшей маневренностью и меньшими размерами, сам окажется менее уязвимым. Работу Гроховского закрыли. Ни одного серийного Г-52 не построили (12036).</w:t>
      </w:r>
    </w:p>
    <w:p w14:paraId="06A1F1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144673" w14:textId="77777777" w:rsidR="00385829" w:rsidRPr="00142305" w:rsidRDefault="00385829" w:rsidP="003858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1932 г., когда Гроховский только высказал идею вооружения обычными пушками ТБ-3, тогдашний начальник НИИ ВВС Бузанов в пись</w:t>
      </w:r>
      <w:r w:rsidRPr="00142305">
        <w:rPr>
          <w:rFonts w:ascii="Times New Roman" w:hAnsi="Times New Roman"/>
          <w:color w:val="0070C0"/>
          <w:sz w:val="16"/>
          <w:szCs w:val="16"/>
        </w:rPr>
        <w:softHyphen/>
        <w:t>ме к Алкснису доказывал, что Р-5 с подвеской восьми-де</w:t>
      </w:r>
      <w:r w:rsidRPr="00142305">
        <w:rPr>
          <w:rFonts w:ascii="Times New Roman" w:hAnsi="Times New Roman"/>
          <w:color w:val="0070C0"/>
          <w:sz w:val="16"/>
          <w:szCs w:val="16"/>
        </w:rPr>
        <w:softHyphen/>
        <w:t>сяти реактивных снарядов может сделать то же самое и при этом обойдется вшестеро дешевле, а обладая лучшей ма</w:t>
      </w:r>
      <w:r w:rsidRPr="00142305">
        <w:rPr>
          <w:rFonts w:ascii="Times New Roman" w:hAnsi="Times New Roman"/>
          <w:color w:val="0070C0"/>
          <w:sz w:val="16"/>
          <w:szCs w:val="16"/>
        </w:rPr>
        <w:softHyphen/>
        <w:t>невренностью и меньшими размерами, сам окажется менее уязвимым (24977).</w:t>
      </w:r>
    </w:p>
    <w:p w14:paraId="0DDFAF3A" w14:textId="77777777" w:rsidR="00385829" w:rsidRPr="00142305" w:rsidRDefault="00385829" w:rsidP="00385829">
      <w:pPr>
        <w:spacing w:after="0" w:line="240" w:lineRule="auto"/>
        <w:jc w:val="both"/>
        <w:rPr>
          <w:rFonts w:ascii="Times New Roman" w:hAnsi="Times New Roman"/>
          <w:color w:val="0070C0"/>
          <w:sz w:val="16"/>
          <w:szCs w:val="16"/>
        </w:rPr>
      </w:pPr>
    </w:p>
    <w:p w14:paraId="05D34CB7" w14:textId="1E80FC9A" w:rsidR="00385829" w:rsidRPr="00142305" w:rsidRDefault="00385829" w:rsidP="003858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1932 г., ког</w:t>
      </w:r>
      <w:r w:rsidRPr="00142305">
        <w:rPr>
          <w:rFonts w:ascii="Times New Roman" w:hAnsi="Times New Roman"/>
          <w:color w:val="0070C0"/>
          <w:sz w:val="16"/>
          <w:szCs w:val="16"/>
        </w:rPr>
        <w:softHyphen/>
        <w:t>да Гроховский только высказал идею оснащения ТБ-3 пушками, начальник НИИ ВВС Н.В. Бузанов в письме к Алкснису доказывал, что Р-5 с подвеской восьми-десяти реактивных снарядов может сделать то же самое и при этом обойдется вшестеро дешевле, а обладая лучшей маневренностью и меньшими размерами, сам окажется менее уязвимым. Позже альтернативой стали динамореактивные (безоткатные) пушки, монтируемые на ис</w:t>
      </w:r>
      <w:r w:rsidRPr="00142305">
        <w:rPr>
          <w:rFonts w:ascii="Times New Roman" w:hAnsi="Times New Roman"/>
          <w:color w:val="0070C0"/>
          <w:sz w:val="16"/>
          <w:szCs w:val="16"/>
        </w:rPr>
        <w:softHyphen/>
        <w:t>требителях. Работу Гроховского закрыли, ни одного серийного Г-52 не построили (</w:t>
      </w:r>
      <w:r>
        <w:rPr>
          <w:rFonts w:ascii="Times New Roman" w:hAnsi="Times New Roman"/>
          <w:color w:val="0070C0"/>
          <w:sz w:val="16"/>
          <w:szCs w:val="16"/>
        </w:rPr>
        <w:t>2</w:t>
      </w:r>
      <w:r w:rsidRPr="00142305">
        <w:rPr>
          <w:rFonts w:ascii="Times New Roman" w:hAnsi="Times New Roman"/>
          <w:color w:val="0070C0"/>
          <w:sz w:val="16"/>
          <w:szCs w:val="16"/>
        </w:rPr>
        <w:t>4937).</w:t>
      </w:r>
    </w:p>
    <w:p w14:paraId="1632B73D" w14:textId="77777777" w:rsidR="00385829" w:rsidRPr="00142305" w:rsidRDefault="00385829" w:rsidP="00385829">
      <w:pPr>
        <w:spacing w:after="0" w:line="240" w:lineRule="auto"/>
        <w:jc w:val="both"/>
        <w:rPr>
          <w:rFonts w:ascii="Times New Roman" w:hAnsi="Times New Roman"/>
          <w:color w:val="0070C0"/>
          <w:sz w:val="16"/>
          <w:szCs w:val="16"/>
        </w:rPr>
      </w:pPr>
    </w:p>
    <w:p w14:paraId="0E6CB8C0" w14:textId="77777777" w:rsidR="00B52AFA" w:rsidRPr="00E93F40" w:rsidRDefault="00B52A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В.М. Молотов своим распоряжением учредил рабочую комиссию № 1103 для решения вопроса о создании РНИИ под председательством секретаря ЦИК и СНК И.А. Акулова. В комиссию входили: И.П. Павлуновский, М.Н. Тухачевский, Н.И. Бухарин. В июле 1932 г. в комиссию дополнительно включили Л.М. Кагановича и К.Е. Ворошилова (22685)</w:t>
      </w:r>
    </w:p>
    <w:p w14:paraId="7BF848AE" w14:textId="77777777" w:rsidR="00B52AFA" w:rsidRPr="00E93F40" w:rsidRDefault="00B52AFA" w:rsidP="00E93F40">
      <w:pPr>
        <w:spacing w:after="0" w:line="240" w:lineRule="auto"/>
        <w:jc w:val="both"/>
        <w:rPr>
          <w:rFonts w:ascii="Times New Roman" w:hAnsi="Times New Roman"/>
          <w:color w:val="000000" w:themeColor="text1"/>
          <w:sz w:val="16"/>
          <w:szCs w:val="16"/>
        </w:rPr>
      </w:pPr>
    </w:p>
    <w:p w14:paraId="0DC1C535" w14:textId="2AD94E0F" w:rsidR="007B1D3C" w:rsidRPr="00E93F40" w:rsidRDefault="00FD1168" w:rsidP="00E93F40">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w:t>
      </w:r>
      <w:r w:rsidR="00F773A6" w:rsidRPr="00E93F40">
        <w:rPr>
          <w:rFonts w:ascii="Times New Roman" w:hAnsi="Times New Roman"/>
          <w:i/>
          <w:iCs/>
          <w:color w:val="000000" w:themeColor="text1"/>
          <w:sz w:val="16"/>
          <w:szCs w:val="16"/>
        </w:rPr>
        <w:t>Другие оборонные отрасли:</w:t>
      </w:r>
    </w:p>
    <w:p w14:paraId="5DB734A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6CD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года на НИАПе были произведены сравнительные испытания двух 45-мм пушек обр. 1932 г. Одна их пушек имела горизонтальный клиновой затвор, а вторая - вертикальный. По результатам испытаний было отдано предпочтение вертикальному затвору. Кстати, у обеих пушек не работала полуавтоматика (3861).</w:t>
      </w:r>
    </w:p>
    <w:p w14:paraId="630401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AFFD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года для получения технической помощи в производстве лейнеров был заключен договор с итальянской фирмой "Ансальдо". Согласно договору "Ансальдо" изготовила и смонтировала на "Большевике" автофрежекторную установку для изготовления лейнеров калибра 76-203 мм. В 1933 году там было начато изготовление первого лейнера. В июне 1934 года оно закончилось и лейнер отправился на НИАП. После его испытаний было принято решение об изготовлении всех 180-мм пушек Б-1-П с лейнерами. Но большинство изготовленных к 1935 году установок было уже со скрепленными стволами, а из лейнированных орудий ни одно так и не было сдано (3861).</w:t>
      </w:r>
    </w:p>
    <w:p w14:paraId="1999A2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C12817" w14:textId="77777777" w:rsidR="00FD1168" w:rsidRPr="00142305" w:rsidRDefault="00FD1168" w:rsidP="00FD1168">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июне 1932 г. на заводе № 7 был закончен первый экземпляр АПК-4 Курчевского. К концу 1932 г. заводу № 7 удалось изготовить 44 пушки, а сдать заказчику только 4. Остальные 40 пушек были сданы в 1933 г.</w:t>
      </w:r>
    </w:p>
    <w:p w14:paraId="562BD458"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Автоматика АПК-4 работала из рук вон плохо. Поэтому Курчевский переделал ее, а пушка получила название АПК-4бис. В 1933 г. 40 пушек АПК-4 были переделаны в ОКБ-1 на АПК-4бис (25213).</w:t>
      </w:r>
    </w:p>
    <w:p w14:paraId="6A7E1393" w14:textId="77777777" w:rsidR="00FD1168" w:rsidRPr="00142305" w:rsidRDefault="00FD1168" w:rsidP="00FD1168">
      <w:pPr>
        <w:spacing w:after="0" w:line="240" w:lineRule="auto"/>
        <w:jc w:val="both"/>
        <w:rPr>
          <w:rFonts w:ascii="Times New Roman" w:hAnsi="Times New Roman"/>
          <w:color w:val="0070C0"/>
          <w:sz w:val="16"/>
          <w:szCs w:val="16"/>
        </w:rPr>
      </w:pPr>
    </w:p>
    <w:p w14:paraId="01C1E5EB"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июне 1932 г. началось изготовление опытного образца 100-мм корабельной ДРП для установки на малых речных канонерских лодках, подводных лодках и мобилизованных судах речного форта. Вес снаряда 100-мм пушки 16 кг, начальная скорость 550 м/с.</w:t>
      </w:r>
    </w:p>
    <w:p w14:paraId="069E10FC"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плану в 1932 г. предполагалось изготовить сто 100-мм ДРП. Их предполагалось установить на канонерских лодках ГВИУ, тральщиках, подводных лодках и мобилизованных судах речного флота.</w:t>
      </w:r>
    </w:p>
    <w:p w14:paraId="78FE5841"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весе снаряда 16 кг начальная скорость составляла 550 м/с.</w:t>
      </w:r>
    </w:p>
    <w:p w14:paraId="508CBC19"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100-мм ДРП были испытаны на Тихом океане на тральщиках «Патрокл» и «Пластун» (25213).</w:t>
      </w:r>
    </w:p>
    <w:p w14:paraId="4218FDCC" w14:textId="77777777" w:rsidR="00FD1168" w:rsidRPr="00142305" w:rsidRDefault="00FD1168" w:rsidP="00FD1168">
      <w:pPr>
        <w:spacing w:after="0" w:line="240" w:lineRule="auto"/>
        <w:jc w:val="both"/>
        <w:rPr>
          <w:rFonts w:ascii="Times New Roman" w:hAnsi="Times New Roman"/>
          <w:color w:val="0070C0"/>
          <w:sz w:val="16"/>
          <w:szCs w:val="16"/>
        </w:rPr>
      </w:pPr>
    </w:p>
    <w:p w14:paraId="35F05E70" w14:textId="283E590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КБ ХПЗ под руководством А.О.Фирсова был разработан колесно-гусеничный танк БТ-4 (9527,99).</w:t>
      </w:r>
    </w:p>
    <w:p w14:paraId="6163B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30D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завод Большевик изготовил опытный образец танка Т-28 (9527,134).</w:t>
      </w:r>
    </w:p>
    <w:p w14:paraId="7187C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BE6A55" w14:textId="208298C3" w:rsidR="004A1B3F" w:rsidRPr="00E93F40" w:rsidRDefault="004A1B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1932 танк Т-28 прошёл всего 62 км, однако, руководство страны и армии проявляло к танку большой интерес. 28 июля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он был продемонстрирован партийному руководству Ленинграда во главе с С. М. Кировым. В целом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танк произвёл благоприятное впечатление (15132).</w:t>
      </w:r>
    </w:p>
    <w:p w14:paraId="2401F774" w14:textId="77777777" w:rsidR="004A1B3F" w:rsidRPr="00E93F40" w:rsidRDefault="004A1B3F" w:rsidP="00E93F40">
      <w:pPr>
        <w:spacing w:after="0" w:line="240" w:lineRule="auto"/>
        <w:jc w:val="both"/>
        <w:rPr>
          <w:rFonts w:ascii="Times New Roman" w:hAnsi="Times New Roman"/>
          <w:color w:val="000000" w:themeColor="text1"/>
          <w:sz w:val="16"/>
          <w:szCs w:val="16"/>
        </w:rPr>
      </w:pPr>
    </w:p>
    <w:p w14:paraId="44A96963" w14:textId="77777777" w:rsidR="00032565" w:rsidRPr="00E93F40" w:rsidRDefault="000325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К.Е. Ворошилов сообщал И.В. Сталину, что в части развития танкостроения дела идут «с большой “натугой”». Основными тормозами работы были броня и «целый ряд отдельных деталей механообработки». По его словам, «пока дела все еще неважны»[73] (23536).</w:t>
      </w:r>
    </w:p>
    <w:p w14:paraId="323CE2BE" w14:textId="77777777" w:rsidR="00032565" w:rsidRPr="00E93F40" w:rsidRDefault="00032565" w:rsidP="00E93F40">
      <w:pPr>
        <w:spacing w:after="0" w:line="240" w:lineRule="auto"/>
        <w:jc w:val="both"/>
        <w:rPr>
          <w:rFonts w:ascii="Times New Roman" w:hAnsi="Times New Roman"/>
          <w:color w:val="000000" w:themeColor="text1"/>
          <w:sz w:val="16"/>
          <w:szCs w:val="16"/>
        </w:rPr>
      </w:pPr>
    </w:p>
    <w:p w14:paraId="7A7ED5EF" w14:textId="77777777" w:rsidR="004A1B3F" w:rsidRPr="00E93F40" w:rsidRDefault="004A1B3F"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июня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xml:space="preserve">. автосборочный завод № 1 ГАЗ стал считаться самостоятельной единицей в отношении работ по танкеткам, финансово независимой от ГАЗа, что, впрочем, ничего не изменило в положении дел. Низкое качество деталей, требовавшее непрерывной доводки, срывало конвейерную сборку Т-27: план за 3-й квартал был выполнен на 4%. Завод из Подольска за весь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поставил только 84 бронекорпуса, в итоге было выпущено всего 53 танкетки, а принято военпредом 50 из них. Однако срыв плана в то время не был большой редкостью. Кроме того, в горьковских полуторках армия нуждалась сильнее, чем в машинах Т-27. Основным поставщиком танкеток для Красной Армии стал подмосковный завод им. Орджоникидзе. Всего РККА получила 3300 Т-27. Т-27 представляла собой, по мнению будущего маршала М.Н. Тухачевского, «латника ХХ века», которые должны были заполнить поле боя будущего. Двухместная бронированная машина собиралась из катаных броневых листов толщиной 6-</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10 мм</w:t>
        </w:r>
      </w:smartTag>
      <w:r w:rsidRPr="00E93F40">
        <w:rPr>
          <w:rFonts w:ascii="Times New Roman" w:hAnsi="Times New Roman"/>
          <w:color w:val="000000" w:themeColor="text1"/>
          <w:sz w:val="16"/>
          <w:szCs w:val="16"/>
        </w:rPr>
        <w:t xml:space="preserve"> на уголковом каркасе болтами и заклепками. Правда, на машинах последнего года выпуска уже применялась электросварка. Вооружением Т-27 был 7,62-мм пулемет ДТ. На танкетках первого года выпуска он устанавливался на специальном лафете, обеспечивающем вертикальное наведение пулемета и связанном с педалью подъема специальным сектором. На танкетках последующих выпусков установка ДТ производилась в специальном фланце, обеспечивавшем более удобное наведение пулемета как по вертикали, так и по горизонтали, а также лучшую защиту стрелка от пуль и осколков. Двигатель четырехтактный четырехцилиндровый «Форд-АА» («ГАЗ-АА») жидкостного охлаждения мощностью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40 л</w:t>
        </w:r>
      </w:smartTag>
      <w:r w:rsidRPr="00E93F40">
        <w:rPr>
          <w:rFonts w:ascii="Times New Roman" w:hAnsi="Times New Roman"/>
          <w:color w:val="000000" w:themeColor="text1"/>
          <w:sz w:val="16"/>
          <w:szCs w:val="16"/>
        </w:rPr>
        <w:t xml:space="preserve">.с. с карбюратором типа «Форд-Зенит». Производство танкеток на ГАЗе продолжалось. Заводоуправление специально просило Наркомтяжпром письмом от 13 апреля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1933 г</w:t>
        </w:r>
      </w:smartTag>
      <w:r w:rsidRPr="00E93F40">
        <w:rPr>
          <w:rFonts w:ascii="Times New Roman" w:hAnsi="Times New Roman"/>
          <w:color w:val="000000" w:themeColor="text1"/>
          <w:sz w:val="16"/>
          <w:szCs w:val="16"/>
        </w:rPr>
        <w:t>. отменить посещение завода иностранцами, «так как до 3-го квартала будет сборка танкеток» и «нежелательно, чтобы это могли увидеть иностранные экскурсанты и делегации». Нижегородцы внесли в конструкцию танкеток важные изменения, главными из которых была замена импортных моторов и коробок передач на «газовские». Была повышена надежность машины в целом. Всего армия получила 3295 танкеток Т-27, которые быстро превратились в учебные машины, так как их реальные боевые возможности оказались чрезвычайно низкими (15218).</w:t>
      </w:r>
    </w:p>
    <w:p w14:paraId="6EE23163" w14:textId="77777777" w:rsidR="004A1B3F" w:rsidRPr="00E93F40" w:rsidRDefault="004A1B3F" w:rsidP="00E93F40">
      <w:pPr>
        <w:widowControl w:val="0"/>
        <w:spacing w:after="0" w:line="240" w:lineRule="auto"/>
        <w:jc w:val="both"/>
        <w:rPr>
          <w:rFonts w:ascii="Times New Roman" w:hAnsi="Times New Roman"/>
          <w:color w:val="000000" w:themeColor="text1"/>
          <w:sz w:val="16"/>
          <w:szCs w:val="16"/>
        </w:rPr>
      </w:pPr>
    </w:p>
    <w:p w14:paraId="768D9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адъюнкт ВАММ Г.Е.Шмидт предложил первый проект химического танка на базе Т-26 (1000 л). Реализовали в металле летом 1932 (9527,179).</w:t>
      </w:r>
    </w:p>
    <w:p w14:paraId="3143CB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DA478D"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1932 года были отправлены в СССР первые из заказанных во</w:t>
      </w:r>
      <w:r w:rsidRPr="00142305">
        <w:rPr>
          <w:rFonts w:ascii="Times New Roman" w:hAnsi="Times New Roman"/>
          <w:color w:val="0070C0"/>
          <w:sz w:val="16"/>
          <w:szCs w:val="16"/>
        </w:rPr>
        <w:softHyphen/>
        <w:t xml:space="preserve">сьми амфибий </w:t>
      </w:r>
      <w:r w:rsidRPr="00142305">
        <w:rPr>
          <w:rFonts w:ascii="Times New Roman" w:hAnsi="Times New Roman"/>
          <w:color w:val="0070C0"/>
          <w:sz w:val="16"/>
          <w:szCs w:val="16"/>
          <w:lang w:val="en-US"/>
        </w:rPr>
        <w:t>Vickers</w:t>
      </w:r>
      <w:r w:rsidRPr="00142305">
        <w:rPr>
          <w:rFonts w:ascii="Times New Roman" w:hAnsi="Times New Roman"/>
          <w:color w:val="0070C0"/>
          <w:sz w:val="16"/>
          <w:szCs w:val="16"/>
        </w:rPr>
        <w:t>-</w:t>
      </w:r>
      <w:r w:rsidRPr="00142305">
        <w:rPr>
          <w:rFonts w:ascii="Times New Roman" w:hAnsi="Times New Roman"/>
          <w:color w:val="0070C0"/>
          <w:sz w:val="16"/>
          <w:szCs w:val="16"/>
          <w:lang w:val="en-US"/>
        </w:rPr>
        <w:t>Carden</w:t>
      </w:r>
      <w:r w:rsidRPr="00142305">
        <w:rPr>
          <w:rFonts w:ascii="Times New Roman" w:hAnsi="Times New Roman"/>
          <w:color w:val="0070C0"/>
          <w:sz w:val="16"/>
          <w:szCs w:val="16"/>
        </w:rPr>
        <w:t>-</w:t>
      </w:r>
      <w:r w:rsidRPr="00142305">
        <w:rPr>
          <w:rFonts w:ascii="Times New Roman" w:hAnsi="Times New Roman"/>
          <w:color w:val="0070C0"/>
          <w:sz w:val="16"/>
          <w:szCs w:val="16"/>
          <w:lang w:val="en-US"/>
        </w:rPr>
        <w:t>Loyd</w:t>
      </w:r>
      <w:r w:rsidRPr="00142305">
        <w:rPr>
          <w:rFonts w:ascii="Times New Roman" w:hAnsi="Times New Roman"/>
          <w:color w:val="0070C0"/>
          <w:sz w:val="16"/>
          <w:szCs w:val="16"/>
        </w:rPr>
        <w:t>, а последние машины прибыли 22 октября того же года (25019).</w:t>
      </w:r>
    </w:p>
    <w:p w14:paraId="23F7EBE7" w14:textId="77777777" w:rsidR="00FD1168" w:rsidRPr="00142305" w:rsidRDefault="00FD1168" w:rsidP="00FD1168">
      <w:pPr>
        <w:spacing w:after="0" w:line="240" w:lineRule="auto"/>
        <w:jc w:val="both"/>
        <w:rPr>
          <w:rFonts w:ascii="Times New Roman" w:hAnsi="Times New Roman"/>
          <w:color w:val="0070C0"/>
          <w:sz w:val="16"/>
          <w:szCs w:val="16"/>
        </w:rPr>
      </w:pPr>
    </w:p>
    <w:p w14:paraId="10D682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июню 1932 года ситуация в цехах СТЗ была такова:</w:t>
      </w:r>
    </w:p>
    <w:p w14:paraId="10649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сталелитейный цех №2 - из-за дрязг между руководством завода и НКТП (наркомат тяжелой промышленности) не был решен вопрос с импортом;</w:t>
      </w:r>
    </w:p>
    <w:p w14:paraId="7D622D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опытный цех (сборочный) достраивался;</w:t>
      </w:r>
    </w:p>
    <w:p w14:paraId="3A88C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сталелитейный цех №1 - начаты опыты по цветному и чугунному литью.</w:t>
      </w:r>
    </w:p>
    <w:p w14:paraId="2C0F6D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Самый оптимистичный прогноз (ВМТО) говорил о выпуске танков лишь с января 1933 года. Однако, как не сложно догадаться, прогноз не сбылся. В постановлении Нижне-Волжского крайисполкома ВКП (б) от 15 июля 1933 года прямо говорились, что цеха не были готовы и к середине 1933 года. </w:t>
      </w:r>
    </w:p>
    <w:p w14:paraId="66F3C7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w:t>
      </w:r>
    </w:p>
    <w:p w14:paraId="314239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54A8E5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8C3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июне 1932 после совещания ПБ руководство Всесоюзного автотракторного объединения (ВАТО) издало приказ, обязывавший конструкторов СТЗ и НАТИ разработать трактор на безе английского тягача «Карден-Лойд», выпущенного в 1931 году фирмой «Армстронг Виккерс». Вскоре после приказа ВАТО в Сталинград прибыл первый «Карден-Лойд», его тут же разобрали. В июле конструкторы во главе с начальником КБ В. Станкевичем встали за кульманы, а в сентябре закончили компоновочные чертежи (11418).</w:t>
      </w:r>
    </w:p>
    <w:p w14:paraId="141AC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B5778E" w14:textId="77777777" w:rsidR="007C6B55" w:rsidRPr="00E93F40" w:rsidRDefault="007C6B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для исправления положения в деле снабжения военных заказов Госплан СССР приравнивает предприятия ВЭСО в данном отношении к предприятиям военной промышленности. Военно-морской инспекции НК РКИ поручается наблюдение за снабжением заводов материалами и оборудованием (18297).</w:t>
      </w:r>
    </w:p>
    <w:p w14:paraId="66B87586" w14:textId="77777777" w:rsidR="007C6B55" w:rsidRPr="00E93F40" w:rsidRDefault="007C6B55" w:rsidP="00E93F40">
      <w:pPr>
        <w:spacing w:after="0" w:line="240" w:lineRule="auto"/>
        <w:jc w:val="both"/>
        <w:rPr>
          <w:rFonts w:ascii="Times New Roman" w:hAnsi="Times New Roman"/>
          <w:color w:val="000000" w:themeColor="text1"/>
          <w:sz w:val="16"/>
          <w:szCs w:val="16"/>
        </w:rPr>
      </w:pPr>
    </w:p>
    <w:p w14:paraId="4D8187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прожекторный отдел Электрокомбината преобразован в самостоятельный Московский прожекторный завод. С 1934 г. завод специализировался на выпуске зенитных прожекторных станций, корабельных прожекторов, крупных прожекторов заливающего света, гражданских прожекторов и станций.</w:t>
      </w:r>
    </w:p>
    <w:p w14:paraId="7D4928D3" w14:textId="10FA45F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644, Московский прожекторный завод им. Кагановича, Завод «Электроагрегат», п/я 109, ОАО «Электроагрегат» /г. Москва;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Новосибирск/ /630015</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Новосибирск ул. Планетная, 30 тел. 79-73-01/</w:t>
      </w:r>
    </w:p>
    <w:p w14:paraId="7AB02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Часть завода (20%) эвакуирована в Йошкар-Олу на площадку завода № 297 (первый эшелон прибыл 21.09.1941 г.), где на ее базе 4.11.1941 г. создан завод № 298. В 12.1941 г. после начала войны основная часть завода (80%) эвакуирована в Новосибирск, в северо-восточную его часть, где продолжила действовать под прежним номером. Пост. ГКО № 1295сс от 16.02.1942 г. заводу поручено изготовить мастерские для танковых бригад: в 02.1942 г. 30 шт. типа «А» и 30 - типа «Б»; в 03.1942 г. 40 - типа «А» и 45 - типа «Б»; в 04.1942 г. 23 - типа «А» и 28 - типа «Б».</w:t>
      </w:r>
    </w:p>
    <w:p w14:paraId="52A17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старом месте в Москве был создан завод № 686.</w:t>
      </w:r>
    </w:p>
    <w:p w14:paraId="16D3FF85" w14:textId="6C40EBC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 заводе создано КБ по разработке электроагрегатов. Начато производство передвижных электростанций и электроагрегатов, 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освоен выпуск нового поколения изделий. В 1974 г. начато производство аэродромных передвижных агрегатов зарядных баз.</w:t>
      </w:r>
    </w:p>
    <w:p w14:paraId="5DFE5C65" w14:textId="1B482DB9"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 в ведении Управления электротехнической промышленности Западно-Сибирского СНХ.</w:t>
      </w:r>
      <w:r w:rsidRPr="00E93F40">
        <w:rPr>
          <w:rFonts w:ascii="Times New Roman" w:hAnsi="Times New Roman"/>
          <w:color w:val="000000" w:themeColor="text1"/>
          <w:sz w:val="16"/>
          <w:szCs w:val="16"/>
          <w:vertAlign w:val="superscript"/>
        </w:rPr>
        <w:t>80</w:t>
      </w:r>
    </w:p>
    <w:p w14:paraId="022B6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1978 г. создан опытно-экспериментальный завод.</w:t>
      </w:r>
    </w:p>
    <w:p w14:paraId="565BBAD2" w14:textId="375F679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1979 г. освоены электростанции мощностью 60 кВт, аэродромные агрегаты следующего поколения. В 1980-е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освоен выпуск систем управления технологическим оборудованием и аэродромная преобразовательная техника. В 1990-е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выпускались новые поколения зарядных устройств и баз, системы управления горно</w:t>
      </w:r>
      <w:r w:rsidRPr="00E93F40">
        <w:rPr>
          <w:rFonts w:ascii="Times New Roman" w:hAnsi="Times New Roman"/>
          <w:color w:val="000000" w:themeColor="text1"/>
          <w:sz w:val="16"/>
          <w:szCs w:val="16"/>
        </w:rPr>
        <w:softHyphen/>
        <w:t>шахтным оборудованием, передвижные сварочные агрегаты.</w:t>
      </w:r>
    </w:p>
    <w:p w14:paraId="181AD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1993 г. предприятие акционировано и преобразовано в ОАО.</w:t>
      </w:r>
    </w:p>
    <w:p w14:paraId="59613DAA" w14:textId="0429BDF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(2000-е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дизельные и бензиновые электростанции; аэродромные передвижные электроагрегаты; зарядные устройства и базы для всех типов аккумуляторов МО, МЧС, МВД, ФСБ, Центробанка и народного хозяйства.</w:t>
      </w:r>
    </w:p>
    <w:p w14:paraId="02878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территории (2000-е)- 21 га; производственная (2000-е)-136 тыс.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23FD1D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(2002 г.)- 2000 чел.</w:t>
      </w:r>
    </w:p>
    <w:p w14:paraId="40546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(07.1938 г.)- Эстрин. Гендиректор (2002 г.)- В.М. Пахомов.</w:t>
      </w:r>
    </w:p>
    <w:p w14:paraId="01C36F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(2002 г.)- А.В. Бахтин.</w:t>
      </w:r>
    </w:p>
    <w:p w14:paraId="41A0C2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производства (-1941 г.)- В.Н. Трифонов.</w:t>
      </w:r>
    </w:p>
    <w:p w14:paraId="4F4423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ОКС (1939 г.-)- В.Н. Трифонов.</w:t>
      </w:r>
    </w:p>
    <w:p w14:paraId="042199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E93F40">
        <w:rPr>
          <w:rFonts w:ascii="Times New Roman" w:hAnsi="Times New Roman"/>
          <w:color w:val="000000" w:themeColor="text1"/>
          <w:sz w:val="16"/>
          <w:szCs w:val="16"/>
        </w:rPr>
        <w:t>Производство (2002 г.): аэродромные передвижные электроагрегаты АПА-80, АПА-100, преобразователь АПЭА-100; передвижные зарядные базы, бензиновые сврочные аппараты; устройства гарантированного питания для АТС; тензометрические весы; дистилляционные аппараты (11982).</w:t>
      </w:r>
    </w:p>
    <w:p w14:paraId="1801FC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334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и в августе 1933 г. задание на "амурский" бронекатер уточнялось В результате бьши конкретизированы типы башен (от танка Т-28) и моторов (ГАМ-34). Скорость полного хода на стоячей воде по заданию 21,6 уз (38 км/ч), дальность плавания 500 миль (876 км). Катер предназначался для тактической развед</w:t>
      </w:r>
      <w:r w:rsidRPr="00E93F40">
        <w:rPr>
          <w:rFonts w:ascii="Times New Roman" w:hAnsi="Times New Roman"/>
          <w:color w:val="000000" w:themeColor="text1"/>
          <w:sz w:val="16"/>
          <w:szCs w:val="16"/>
        </w:rPr>
        <w:softHyphen/>
        <w:t>ки речнь1х сил противника, действия по тылам и флангам сухопут</w:t>
      </w:r>
      <w:r w:rsidRPr="00E93F40">
        <w:rPr>
          <w:rFonts w:ascii="Times New Roman" w:hAnsi="Times New Roman"/>
          <w:color w:val="000000" w:themeColor="text1"/>
          <w:sz w:val="16"/>
          <w:szCs w:val="16"/>
        </w:rPr>
        <w:softHyphen/>
        <w:t>ных войск, для переброски и обеспечения действий разведгрупп и подрывных партий. Проект "амурского" бронекатера, получивший номер 1124, разрабатывался ленинградским Речсудопроектом, которым ру</w:t>
      </w:r>
      <w:r w:rsidRPr="00E93F40">
        <w:rPr>
          <w:rFonts w:ascii="Times New Roman" w:hAnsi="Times New Roman"/>
          <w:color w:val="000000" w:themeColor="text1"/>
          <w:sz w:val="16"/>
          <w:szCs w:val="16"/>
        </w:rPr>
        <w:softHyphen/>
        <w:t>ководил инженера-кораблестроителя Ю. Ю. Бенуа в 1933— 1934 гг.</w:t>
      </w:r>
    </w:p>
    <w:p w14:paraId="0D90B0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уменьшения осадки корпусу бронектера была придана большая полнота образований, обеспеченная прямостенными бор</w:t>
      </w:r>
      <w:r w:rsidRPr="00E93F40">
        <w:rPr>
          <w:rFonts w:ascii="Times New Roman" w:hAnsi="Times New Roman"/>
          <w:color w:val="000000" w:themeColor="text1"/>
          <w:sz w:val="16"/>
          <w:szCs w:val="16"/>
        </w:rPr>
        <w:softHyphen/>
        <w:t>тами с небольшими радиусами скруглений у скул и плоским дни</w:t>
      </w:r>
      <w:r w:rsidRPr="00E93F40">
        <w:rPr>
          <w:rFonts w:ascii="Times New Roman" w:hAnsi="Times New Roman"/>
          <w:color w:val="000000" w:themeColor="text1"/>
          <w:sz w:val="16"/>
          <w:szCs w:val="16"/>
        </w:rPr>
        <w:softHyphen/>
        <w:t>щем с открытыми тоннелями гребных валов. В отработке обво</w:t>
      </w:r>
      <w:r w:rsidRPr="00E93F40">
        <w:rPr>
          <w:rFonts w:ascii="Times New Roman" w:hAnsi="Times New Roman"/>
          <w:color w:val="000000" w:themeColor="text1"/>
          <w:sz w:val="16"/>
          <w:szCs w:val="16"/>
        </w:rPr>
        <w:softHyphen/>
        <w:t>дов пр. 1124 видную роль сыграл сотрудник Опытового бассейна НИВК Н. С. Вольдин, специализировавшийся на модельнь1х испы</w:t>
      </w:r>
      <w:r w:rsidRPr="00E93F40">
        <w:rPr>
          <w:rFonts w:ascii="Times New Roman" w:hAnsi="Times New Roman"/>
          <w:color w:val="000000" w:themeColor="text1"/>
          <w:sz w:val="16"/>
          <w:szCs w:val="16"/>
        </w:rPr>
        <w:softHyphen/>
        <w:t>таниях быстроходных катеров.</w:t>
      </w:r>
    </w:p>
    <w:p w14:paraId="02DE2B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Корпус с поперечной системой набора подразделялся водонеп</w:t>
      </w:r>
      <w:r w:rsidRPr="00E93F40">
        <w:rPr>
          <w:rFonts w:ascii="Times New Roman" w:hAnsi="Times New Roman"/>
          <w:color w:val="000000" w:themeColor="text1"/>
          <w:sz w:val="16"/>
          <w:szCs w:val="16"/>
        </w:rPr>
        <w:softHyphen/>
        <w:t>роницаемыми переборками на десять отсеков, для внутреннего со</w:t>
      </w:r>
      <w:r w:rsidRPr="00E93F40">
        <w:rPr>
          <w:rFonts w:ascii="Times New Roman" w:hAnsi="Times New Roman"/>
          <w:color w:val="000000" w:themeColor="text1"/>
          <w:sz w:val="16"/>
          <w:szCs w:val="16"/>
        </w:rPr>
        <w:softHyphen/>
        <w:t>общения между которыми в переборках предусматривались люки. Конструкция его бьша смешанной: броневая часть выполнялась клепаной, небронированная — сварной</w:t>
      </w:r>
      <w:r w:rsidRPr="00E93F40">
        <w:rPr>
          <w:rFonts w:ascii="Times New Roman" w:hAnsi="Times New Roman"/>
          <w:color w:val="000000" w:themeColor="text1"/>
          <w:sz w:val="16"/>
          <w:szCs w:val="16"/>
          <w:vertAlign w:val="superscript"/>
        </w:rPr>
        <w:t>1</w:t>
      </w:r>
      <w:r w:rsidRPr="00E93F40">
        <w:rPr>
          <w:rFonts w:ascii="Times New Roman" w:hAnsi="Times New Roman"/>
          <w:color w:val="000000" w:themeColor="text1"/>
          <w:sz w:val="16"/>
          <w:szCs w:val="16"/>
        </w:rPr>
        <w:t>. При этом все детали сварных конструкций соединялись встык. Набор к броне прикле</w:t>
      </w:r>
      <w:r w:rsidRPr="00E93F40">
        <w:rPr>
          <w:rFonts w:ascii="Times New Roman" w:hAnsi="Times New Roman"/>
          <w:color w:val="000000" w:themeColor="text1"/>
          <w:sz w:val="16"/>
          <w:szCs w:val="16"/>
        </w:rPr>
        <w:softHyphen/>
        <w:t>пывался, а к обшивке вне цитадели — приваривался. Среднюю часть корпуса занимала бронированная цитадель, в которой разме</w:t>
      </w:r>
      <w:r w:rsidRPr="00E93F40">
        <w:rPr>
          <w:rFonts w:ascii="Times New Roman" w:hAnsi="Times New Roman"/>
          <w:color w:val="000000" w:themeColor="text1"/>
          <w:sz w:val="16"/>
          <w:szCs w:val="16"/>
        </w:rPr>
        <w:softHyphen/>
        <w:t>щались подбашенные отсеки, моторное отделение, топливные баки и радиорубка. В районе топливного отсека защита имела двойную толщину — два броневых листа склепывались между собой. Бро</w:t>
      </w:r>
      <w:r w:rsidRPr="00E93F40">
        <w:rPr>
          <w:rFonts w:ascii="Times New Roman" w:hAnsi="Times New Roman"/>
          <w:color w:val="000000" w:themeColor="text1"/>
          <w:sz w:val="16"/>
          <w:szCs w:val="16"/>
        </w:rPr>
        <w:softHyphen/>
        <w:t>невые листы служили также палубным настилом и бортовой обшивкой, опускаясь на 200 мм ниже ватерлинии. Таким об</w:t>
      </w:r>
      <w:r w:rsidRPr="00E93F40">
        <w:rPr>
          <w:rFonts w:ascii="Times New Roman" w:hAnsi="Times New Roman"/>
          <w:color w:val="000000" w:themeColor="text1"/>
          <w:sz w:val="16"/>
          <w:szCs w:val="16"/>
        </w:rPr>
        <w:softHyphen/>
        <w:t>разом, броня участвовала в обеспечении общей прочности кор</w:t>
      </w:r>
      <w:r w:rsidRPr="00E93F40">
        <w:rPr>
          <w:rFonts w:ascii="Times New Roman" w:hAnsi="Times New Roman"/>
          <w:color w:val="000000" w:themeColor="text1"/>
          <w:sz w:val="16"/>
          <w:szCs w:val="16"/>
        </w:rPr>
        <w:softHyphen/>
        <w:t>пуса.</w:t>
      </w:r>
    </w:p>
    <w:p w14:paraId="204850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Жилые помещения получили вынужденно уменьшенные габа</w:t>
      </w:r>
      <w:r w:rsidRPr="00E93F40">
        <w:rPr>
          <w:rFonts w:ascii="Times New Roman" w:hAnsi="Times New Roman"/>
          <w:color w:val="000000" w:themeColor="text1"/>
          <w:sz w:val="16"/>
          <w:szCs w:val="16"/>
        </w:rPr>
        <w:softHyphen/>
        <w:t>риты — высоту в свету всего 1,55 м и естественную вентиляцию. В то же время проектировщикам удалось оборудовать их водяным отоплением, а также снабдить другими элементарными удобства</w:t>
      </w:r>
      <w:r w:rsidRPr="00E93F40">
        <w:rPr>
          <w:rFonts w:ascii="Times New Roman" w:hAnsi="Times New Roman"/>
          <w:color w:val="000000" w:themeColor="text1"/>
          <w:sz w:val="16"/>
          <w:szCs w:val="16"/>
        </w:rPr>
        <w:softHyphen/>
        <w:t>ми, в том числе естественным освещением через иллюминаторы. ГКП размещался в бронированной рубке, оборудованной перего</w:t>
      </w:r>
      <w:r w:rsidRPr="00E93F40">
        <w:rPr>
          <w:rFonts w:ascii="Times New Roman" w:hAnsi="Times New Roman"/>
          <w:color w:val="000000" w:themeColor="text1"/>
          <w:sz w:val="16"/>
          <w:szCs w:val="16"/>
        </w:rPr>
        <w:softHyphen/>
        <w:t>ворными трубами и машинным телеграфом.</w:t>
      </w:r>
    </w:p>
    <w:p w14:paraId="113BC5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Рубка бьша расположена непосредственно над бензоцистерной емкостью 4 т. Для предотвращения взрыва паров бензина приме</w:t>
      </w:r>
      <w:r w:rsidRPr="00E93F40">
        <w:rPr>
          <w:rFonts w:ascii="Times New Roman" w:hAnsi="Times New Roman"/>
          <w:color w:val="000000" w:themeColor="text1"/>
          <w:sz w:val="16"/>
          <w:szCs w:val="16"/>
        </w:rPr>
        <w:softHyphen/>
        <w:t>нялась оригинальная система заполнения бензобаков отработав</w:t>
      </w:r>
      <w:r w:rsidRPr="00E93F40">
        <w:rPr>
          <w:rFonts w:ascii="Times New Roman" w:hAnsi="Times New Roman"/>
          <w:color w:val="000000" w:themeColor="text1"/>
          <w:sz w:val="16"/>
          <w:szCs w:val="16"/>
        </w:rPr>
        <w:softHyphen/>
        <w:t>шими газами катерных двигателей инженера Шатерникова. Систе</w:t>
      </w:r>
      <w:r w:rsidRPr="00E93F40">
        <w:rPr>
          <w:rFonts w:ascii="Times New Roman" w:hAnsi="Times New Roman"/>
          <w:color w:val="000000" w:themeColor="text1"/>
          <w:sz w:val="16"/>
          <w:szCs w:val="16"/>
        </w:rPr>
        <w:softHyphen/>
        <w:t>ма включала конденсатор, из которого газы поступали в разделен</w:t>
      </w:r>
      <w:r w:rsidRPr="00E93F40">
        <w:rPr>
          <w:rFonts w:ascii="Times New Roman" w:hAnsi="Times New Roman"/>
          <w:color w:val="000000" w:themeColor="text1"/>
          <w:sz w:val="16"/>
          <w:szCs w:val="16"/>
        </w:rPr>
        <w:softHyphen/>
        <w:t>ный на семь отсеков бензобак и далее в газоотводную трубу с под</w:t>
      </w:r>
      <w:r w:rsidRPr="00E93F40">
        <w:rPr>
          <w:rFonts w:ascii="Times New Roman" w:hAnsi="Times New Roman"/>
          <w:color w:val="000000" w:themeColor="text1"/>
          <w:sz w:val="16"/>
          <w:szCs w:val="16"/>
        </w:rPr>
        <w:softHyphen/>
        <w:t>водным выхлопом (для снижения шумности).</w:t>
      </w:r>
    </w:p>
    <w:p w14:paraId="3D0362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типа ГАМ-34, аналогичные установленным на торпед</w:t>
      </w:r>
      <w:r w:rsidRPr="00E93F40">
        <w:rPr>
          <w:rFonts w:ascii="Times New Roman" w:hAnsi="Times New Roman"/>
          <w:color w:val="000000" w:themeColor="text1"/>
          <w:sz w:val="16"/>
          <w:szCs w:val="16"/>
        </w:rPr>
        <w:softHyphen/>
        <w:t>ных катерах типа Г-5, охлаждались по замкнутому циклу: заборт</w:t>
      </w:r>
      <w:r w:rsidRPr="00E93F40">
        <w:rPr>
          <w:rFonts w:ascii="Times New Roman" w:hAnsi="Times New Roman"/>
          <w:color w:val="000000" w:themeColor="text1"/>
          <w:sz w:val="16"/>
          <w:szCs w:val="16"/>
        </w:rPr>
        <w:softHyphen/>
        <w:t>ная вода самотеком поступала в специальные водомасляные радиа</w:t>
      </w:r>
      <w:r w:rsidRPr="00E93F40">
        <w:rPr>
          <w:rFonts w:ascii="Times New Roman" w:hAnsi="Times New Roman"/>
          <w:color w:val="000000" w:themeColor="text1"/>
          <w:sz w:val="16"/>
          <w:szCs w:val="16"/>
        </w:rPr>
        <w:softHyphen/>
        <w:t>торы охлаждения. Машинное отделение оборудовалось углекислот-ной станцией пожаротушения (3898).</w:t>
      </w:r>
    </w:p>
    <w:p w14:paraId="45EF8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F6D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началось изготовление опытного образца 100-мм ДРП. Однако вскоре Курчевский забросил этот проект, и до корабельных испытаний дело не дошло (12091).</w:t>
      </w:r>
    </w:p>
    <w:p w14:paraId="69982D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12ADB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D9F5BD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93F5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в Белорусском округе произошли две катастрофы подряд. В одном случае крыло разломилось в воздухе. Нарком Ворошилов направил в округ комиссию. Оказалось, что личный состав настолько уверен в надежности Р-5, что напрочь игнорирует эксплуатационные ограничения. Взлетную массу доводили до 3800 кг (при предписанной 2640 кг), пытались использовать самолет как пикирующий бомбардировщик и даже как тяжелый истребитель, выполняя горки, глубокие виражи, бочки и даже петли, категорически запрещенные. И самолет все это терпел! (11936).</w:t>
      </w:r>
    </w:p>
    <w:p w14:paraId="784FE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BA3B4A"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1932 г. в Белорусском округе произошли две ка</w:t>
      </w:r>
      <w:r w:rsidRPr="00142305">
        <w:rPr>
          <w:rFonts w:ascii="Times New Roman" w:hAnsi="Times New Roman"/>
          <w:color w:val="0070C0"/>
          <w:sz w:val="16"/>
          <w:szCs w:val="16"/>
        </w:rPr>
        <w:softHyphen/>
        <w:t>тастрофы подряд. В одном случае крыло разломилось в воздухе. Нарком К.Е. Ворошилов направил вокруг комис</w:t>
      </w:r>
      <w:r w:rsidRPr="00142305">
        <w:rPr>
          <w:rFonts w:ascii="Times New Roman" w:hAnsi="Times New Roman"/>
          <w:color w:val="0070C0"/>
          <w:sz w:val="16"/>
          <w:szCs w:val="16"/>
        </w:rPr>
        <w:softHyphen/>
        <w:t>сию. И оказалось, что личный состав настолько уверен в надежности Р-5, что напрочь игнорирует ограничения, за</w:t>
      </w:r>
      <w:r w:rsidRPr="00142305">
        <w:rPr>
          <w:rFonts w:ascii="Times New Roman" w:hAnsi="Times New Roman"/>
          <w:color w:val="0070C0"/>
          <w:sz w:val="16"/>
          <w:szCs w:val="16"/>
        </w:rPr>
        <w:softHyphen/>
        <w:t>писанные в инструкции по эксплуатации. Взлетный вес доводили до 3800 кг (при предписанном 2640 кг), пыта</w:t>
      </w:r>
      <w:r w:rsidRPr="00142305">
        <w:rPr>
          <w:rFonts w:ascii="Times New Roman" w:hAnsi="Times New Roman"/>
          <w:color w:val="0070C0"/>
          <w:sz w:val="16"/>
          <w:szCs w:val="16"/>
        </w:rPr>
        <w:softHyphen/>
        <w:t>лись использовать самолет как пикирующий бомбарди</w:t>
      </w:r>
      <w:r w:rsidRPr="00142305">
        <w:rPr>
          <w:rFonts w:ascii="Times New Roman" w:hAnsi="Times New Roman"/>
          <w:color w:val="0070C0"/>
          <w:sz w:val="16"/>
          <w:szCs w:val="16"/>
        </w:rPr>
        <w:softHyphen/>
        <w:t>ровщик и даже как тяжелый истребитель, выполняя гор</w:t>
      </w:r>
      <w:r w:rsidRPr="00142305">
        <w:rPr>
          <w:rFonts w:ascii="Times New Roman" w:hAnsi="Times New Roman"/>
          <w:color w:val="0070C0"/>
          <w:sz w:val="16"/>
          <w:szCs w:val="16"/>
        </w:rPr>
        <w:softHyphen/>
        <w:t>ки, глубокие виражи, двойные перевороты («бочки») и да</w:t>
      </w:r>
      <w:r w:rsidRPr="00142305">
        <w:rPr>
          <w:rFonts w:ascii="Times New Roman" w:hAnsi="Times New Roman"/>
          <w:color w:val="0070C0"/>
          <w:sz w:val="16"/>
          <w:szCs w:val="16"/>
        </w:rPr>
        <w:softHyphen/>
        <w:t>же петли, категорически запрещенные в строевых частях. И самолет все это терпел! (24990).</w:t>
      </w:r>
    </w:p>
    <w:p w14:paraId="54813A68" w14:textId="77777777" w:rsidR="00FD1168" w:rsidRPr="00142305" w:rsidRDefault="00FD1168" w:rsidP="00FD1168">
      <w:pPr>
        <w:spacing w:after="0" w:line="240" w:lineRule="auto"/>
        <w:jc w:val="both"/>
        <w:rPr>
          <w:rFonts w:ascii="Times New Roman" w:hAnsi="Times New Roman"/>
          <w:color w:val="0070C0"/>
          <w:sz w:val="16"/>
          <w:szCs w:val="16"/>
        </w:rPr>
      </w:pPr>
    </w:p>
    <w:p w14:paraId="7CAA8E48"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1932 г. вышел приказ Нарковвоенмора № 058 «Об объявлении вы</w:t>
      </w:r>
      <w:r w:rsidRPr="00142305">
        <w:rPr>
          <w:rFonts w:ascii="Times New Roman" w:hAnsi="Times New Roman"/>
          <w:color w:val="0070C0"/>
          <w:sz w:val="16"/>
          <w:szCs w:val="16"/>
        </w:rPr>
        <w:softHyphen/>
        <w:t>говора комвойсками МВО т. Корку, члену РВС МВО т. Векличеву и начальнику ВВС МВО т. Чернобровкину». В приказе указывалось, что в Воронеже (11 авиа</w:t>
      </w:r>
      <w:r w:rsidRPr="00142305">
        <w:rPr>
          <w:rFonts w:ascii="Times New Roman" w:hAnsi="Times New Roman"/>
          <w:color w:val="0070C0"/>
          <w:sz w:val="16"/>
          <w:szCs w:val="16"/>
        </w:rPr>
        <w:softHyphen/>
        <w:t>бригада) были выпущены в ночной полет четыре самолета, из которых экипажи трех самолетов были совершенно не натренированы в ночных полетах. Поэтому, попав в туман, они растерялись и при посадке разбили два самолета.</w:t>
      </w:r>
    </w:p>
    <w:p w14:paraId="36214C94"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Начальнику ВВС МВО Чернобровкину за выпуск в ночной полет неподго</w:t>
      </w:r>
      <w:r w:rsidRPr="00142305">
        <w:rPr>
          <w:rFonts w:ascii="Times New Roman" w:hAnsi="Times New Roman"/>
          <w:color w:val="0070C0"/>
          <w:sz w:val="16"/>
          <w:szCs w:val="16"/>
        </w:rPr>
        <w:softHyphen/>
        <w:t>товленных пилотов объявлялся строгий выговор. Выговор Корку и Векличеву объявлялся в связи с тем, что вверенные им авиачасти не выполняют неоднократ</w:t>
      </w:r>
      <w:r w:rsidRPr="00142305">
        <w:rPr>
          <w:rFonts w:ascii="Times New Roman" w:hAnsi="Times New Roman"/>
          <w:color w:val="0070C0"/>
          <w:sz w:val="16"/>
          <w:szCs w:val="16"/>
        </w:rPr>
        <w:softHyphen/>
        <w:t>ных приказов Наркомвоенмора по соблюдению строгой последовательности в боевой подготовке (РГВА. Ф. 4. Оп. 15а. Д. 330. Л. 37) (24968).</w:t>
      </w:r>
    </w:p>
    <w:p w14:paraId="36839D50" w14:textId="77777777" w:rsidR="00FD1168" w:rsidRPr="00FD1168" w:rsidRDefault="00FD1168" w:rsidP="00FD1168">
      <w:pPr>
        <w:pStyle w:val="aff2"/>
        <w:tabs>
          <w:tab w:val="left" w:pos="594"/>
        </w:tabs>
        <w:spacing w:line="240" w:lineRule="auto"/>
        <w:rPr>
          <w:rFonts w:ascii="Times New Roman" w:hAnsi="Times New Roman" w:cs="Times New Roman"/>
          <w:i w:val="0"/>
          <w:iCs w:val="0"/>
          <w:color w:val="0070C0"/>
          <w:sz w:val="16"/>
          <w:szCs w:val="16"/>
          <w:lang w:val="ru-RU"/>
        </w:rPr>
      </w:pPr>
    </w:p>
    <w:p w14:paraId="7236CDD7" w14:textId="77777777" w:rsidR="00FD1168" w:rsidRPr="00142305" w:rsidRDefault="00FD1168" w:rsidP="00FD1168">
      <w:pPr>
        <w:pStyle w:val="aff2"/>
        <w:tabs>
          <w:tab w:val="left" w:pos="684"/>
        </w:tabs>
        <w:spacing w:line="240" w:lineRule="auto"/>
        <w:rPr>
          <w:rFonts w:ascii="Times New Roman" w:hAnsi="Times New Roman" w:cs="Times New Roman"/>
          <w:i w:val="0"/>
          <w:iCs w:val="0"/>
          <w:color w:val="0070C0"/>
          <w:sz w:val="16"/>
          <w:szCs w:val="16"/>
        </w:rPr>
      </w:pPr>
      <w:r w:rsidRPr="00FD1168">
        <w:rPr>
          <w:rFonts w:ascii="Times New Roman" w:hAnsi="Times New Roman" w:cs="Times New Roman"/>
          <w:i w:val="0"/>
          <w:iCs w:val="0"/>
          <w:color w:val="0070C0"/>
          <w:sz w:val="16"/>
          <w:szCs w:val="16"/>
          <w:lang w:val="ru-RU"/>
        </w:rPr>
        <w:t>В июне 1932 г. в соответствии с решением РВС и Комиссии обороны при СНК СССР от 21 мая 1932 г. на базе электротехнического факультета Военно-технической академии была создана Военная электротехническая академия (с 25 апреля 1933 г. - Воен</w:t>
      </w:r>
      <w:r w:rsidRPr="00FD1168">
        <w:rPr>
          <w:rFonts w:ascii="Times New Roman" w:hAnsi="Times New Roman" w:cs="Times New Roman"/>
          <w:i w:val="0"/>
          <w:iCs w:val="0"/>
          <w:color w:val="0070C0"/>
          <w:sz w:val="16"/>
          <w:szCs w:val="16"/>
          <w:lang w:val="ru-RU"/>
        </w:rPr>
        <w:softHyphen/>
        <w:t xml:space="preserve">ная электротехническая академия им. С. М. Буденного) которая стала готовить, в том числе и инженеров-электромехаников для ВВС (Иовлев А., Черемных А. Развитие военно-учебных заведений в 1929-1937 гт. //ВИЖ. - 1980.-№ </w:t>
      </w:r>
      <w:r w:rsidRPr="00142305">
        <w:rPr>
          <w:rFonts w:ascii="Times New Roman" w:hAnsi="Times New Roman" w:cs="Times New Roman"/>
          <w:i w:val="0"/>
          <w:iCs w:val="0"/>
          <w:color w:val="0070C0"/>
          <w:sz w:val="16"/>
          <w:szCs w:val="16"/>
        </w:rPr>
        <w:t>7.-С. 72) (24968).</w:t>
      </w:r>
    </w:p>
    <w:p w14:paraId="3B83B1C2" w14:textId="77777777" w:rsidR="00FD1168" w:rsidRPr="00142305" w:rsidRDefault="00FD1168" w:rsidP="00FD1168">
      <w:pPr>
        <w:pStyle w:val="aff2"/>
        <w:tabs>
          <w:tab w:val="left" w:pos="594"/>
        </w:tabs>
        <w:spacing w:line="240" w:lineRule="auto"/>
        <w:rPr>
          <w:rFonts w:ascii="Times New Roman" w:hAnsi="Times New Roman" w:cs="Times New Roman"/>
          <w:i w:val="0"/>
          <w:iCs w:val="0"/>
          <w:color w:val="0070C0"/>
          <w:sz w:val="16"/>
          <w:szCs w:val="16"/>
        </w:rPr>
      </w:pPr>
    </w:p>
    <w:p w14:paraId="2C39CBC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04B74B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C9B8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для строительства Центрального музея техники и Всесоюзной постоянной выставки техники был отведен участок площадью около 120 га в Хамовниках вдоль берега Москвы-реки, напротив Центрального парка культуры и отдыха (границами являлись Крымский мост, линия Окружной железной дороги и улица Большие Кочки) (9872).</w:t>
      </w:r>
    </w:p>
    <w:p w14:paraId="3AB6B6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86F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Июнь 1932 г. Главное управление рабоче-крестьянской милиции при СНК РСФСР утверждает новое положение "Об участковом инспекторе в сельской местности", согласно которому на них возлагается работа "по обеспечению революционного порядка и общественной безопасности и по борьбе с уголовной преступностью на территории обслуживаемого участка" (10303).</w:t>
      </w:r>
    </w:p>
    <w:p w14:paraId="6BAD2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188F81" w14:textId="77777777" w:rsidR="004B7065" w:rsidRPr="00E93F40" w:rsidRDefault="004B7065"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shd w:val="clear" w:color="auto" w:fill="FFFFFF"/>
        </w:rPr>
        <w:t>С июня 1932 года по постановлению Госкомцен при Совете труда и обороны в продажу поступила пшеничная водка, стоившая в полтора раза дороже прежней. «5 миллиардов мы имеем доходу от водки — или 17% всех доходных поступлений», — разъяснял в 1932 году суть «новой линии» в питейном вопросе высокопоставленный чиновник Наркомата финансов. С этого времени страна под руководством партии особенно ударно начала крепко подсаживаться на водку (19803).</w:t>
      </w:r>
    </w:p>
    <w:p w14:paraId="0546327D" w14:textId="77777777" w:rsidR="004B7065" w:rsidRPr="00E93F40" w:rsidRDefault="004B7065" w:rsidP="00E93F40">
      <w:pPr>
        <w:pStyle w:val="ae"/>
        <w:shd w:val="clear" w:color="auto" w:fill="FFFFFF"/>
        <w:spacing w:before="0" w:after="0"/>
        <w:jc w:val="both"/>
        <w:textAlignment w:val="baseline"/>
        <w:rPr>
          <w:color w:val="000000" w:themeColor="text1"/>
          <w:sz w:val="16"/>
          <w:szCs w:val="16"/>
        </w:rPr>
      </w:pPr>
    </w:p>
    <w:p w14:paraId="710BAB2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7B26E9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491B93" w14:textId="2044D79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Пятаков вновь приехал в Германию. 15 июня 1932 г. он достиг рамочного соглашения о поставках, расширявших «соглашение Пятакова» от 14 апреля 1931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(Rosenfeld Gunter. Op. cit. .S. 419.). 17 января 1933 г. был подписан советско-германский протокол об увеличении экспорта СССР в Германию и предоставления ему кредитов под закупки оборудования. 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 (в млн. марок) (Архив НКВТ СССР, ф. Особый сектор, on. 6066, д. 233, л. 129, огп)</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573"/>
        <w:gridCol w:w="3223"/>
        <w:gridCol w:w="3091"/>
        <w:gridCol w:w="1633"/>
        <w:gridCol w:w="838"/>
      </w:tblGrid>
      <w:tr w:rsidR="00DA227A" w:rsidRPr="00E93F40" w14:paraId="21F4FA2B" w14:textId="77777777">
        <w:tc>
          <w:tcPr>
            <w:tcW w:w="573" w:type="dxa"/>
            <w:tcBorders>
              <w:top w:val="single" w:sz="12" w:space="0" w:color="000000"/>
            </w:tcBorders>
          </w:tcPr>
          <w:p w14:paraId="66B3C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Годы</w:t>
            </w:r>
          </w:p>
        </w:tc>
        <w:tc>
          <w:tcPr>
            <w:tcW w:w="3223" w:type="dxa"/>
            <w:tcBorders>
              <w:top w:val="single" w:sz="12" w:space="0" w:color="000000"/>
            </w:tcBorders>
          </w:tcPr>
          <w:p w14:paraId="19098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Экспорт СССР в Германию </w:t>
            </w:r>
          </w:p>
        </w:tc>
        <w:tc>
          <w:tcPr>
            <w:tcW w:w="3091" w:type="dxa"/>
            <w:tcBorders>
              <w:top w:val="single" w:sz="12" w:space="0" w:color="000000"/>
            </w:tcBorders>
          </w:tcPr>
          <w:p w14:paraId="1EB99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Импорт СССР из Германии</w:t>
            </w:r>
          </w:p>
        </w:tc>
        <w:tc>
          <w:tcPr>
            <w:tcW w:w="1633" w:type="dxa"/>
            <w:tcBorders>
              <w:top w:val="single" w:sz="12" w:space="0" w:color="000000"/>
            </w:tcBorders>
          </w:tcPr>
          <w:p w14:paraId="51253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Товарооборот</w:t>
            </w:r>
          </w:p>
        </w:tc>
        <w:tc>
          <w:tcPr>
            <w:tcW w:w="838" w:type="dxa"/>
            <w:tcBorders>
              <w:top w:val="single" w:sz="12" w:space="0" w:color="000000"/>
            </w:tcBorders>
          </w:tcPr>
          <w:p w14:paraId="1C4F1C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Сальдо</w:t>
            </w:r>
          </w:p>
        </w:tc>
      </w:tr>
      <w:tr w:rsidR="00DA227A" w:rsidRPr="00E93F40" w14:paraId="0A17E156" w14:textId="77777777">
        <w:tc>
          <w:tcPr>
            <w:tcW w:w="573" w:type="dxa"/>
          </w:tcPr>
          <w:p w14:paraId="4E2E0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3223" w:type="dxa"/>
          </w:tcPr>
          <w:p w14:paraId="55F71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425,7</w:t>
            </w:r>
          </w:p>
        </w:tc>
        <w:tc>
          <w:tcPr>
            <w:tcW w:w="3091" w:type="dxa"/>
          </w:tcPr>
          <w:p w14:paraId="03AEA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353,9</w:t>
            </w:r>
          </w:p>
        </w:tc>
        <w:tc>
          <w:tcPr>
            <w:tcW w:w="1633" w:type="dxa"/>
          </w:tcPr>
          <w:p w14:paraId="5F908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779,6</w:t>
            </w:r>
          </w:p>
        </w:tc>
        <w:tc>
          <w:tcPr>
            <w:tcW w:w="838" w:type="dxa"/>
          </w:tcPr>
          <w:p w14:paraId="45F95A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+71,8</w:t>
            </w:r>
          </w:p>
        </w:tc>
      </w:tr>
      <w:tr w:rsidR="00DA227A" w:rsidRPr="00E93F40" w14:paraId="4DF9996E" w14:textId="77777777">
        <w:tc>
          <w:tcPr>
            <w:tcW w:w="573" w:type="dxa"/>
          </w:tcPr>
          <w:p w14:paraId="512C4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3223" w:type="dxa"/>
          </w:tcPr>
          <w:p w14:paraId="2BD9B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436,3</w:t>
            </w:r>
          </w:p>
        </w:tc>
        <w:tc>
          <w:tcPr>
            <w:tcW w:w="3091" w:type="dxa"/>
          </w:tcPr>
          <w:p w14:paraId="59D83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430,6</w:t>
            </w:r>
          </w:p>
        </w:tc>
        <w:tc>
          <w:tcPr>
            <w:tcW w:w="1633" w:type="dxa"/>
          </w:tcPr>
          <w:p w14:paraId="57BA4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866,9</w:t>
            </w:r>
          </w:p>
        </w:tc>
        <w:tc>
          <w:tcPr>
            <w:tcW w:w="838" w:type="dxa"/>
          </w:tcPr>
          <w:p w14:paraId="1F5D00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p>
        </w:tc>
      </w:tr>
      <w:tr w:rsidR="00DA227A" w:rsidRPr="00E93F40" w14:paraId="231EE96B" w14:textId="77777777">
        <w:tc>
          <w:tcPr>
            <w:tcW w:w="573" w:type="dxa"/>
          </w:tcPr>
          <w:p w14:paraId="7B7FEB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23" w:type="dxa"/>
          </w:tcPr>
          <w:p w14:paraId="756DE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303,5</w:t>
            </w:r>
          </w:p>
        </w:tc>
        <w:tc>
          <w:tcPr>
            <w:tcW w:w="3091" w:type="dxa"/>
          </w:tcPr>
          <w:p w14:paraId="14F05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762,7</w:t>
            </w:r>
          </w:p>
        </w:tc>
        <w:tc>
          <w:tcPr>
            <w:tcW w:w="1633" w:type="dxa"/>
          </w:tcPr>
          <w:p w14:paraId="62946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1066,2</w:t>
            </w:r>
          </w:p>
        </w:tc>
        <w:tc>
          <w:tcPr>
            <w:tcW w:w="838" w:type="dxa"/>
          </w:tcPr>
          <w:p w14:paraId="72C8F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-499,2</w:t>
            </w:r>
          </w:p>
        </w:tc>
      </w:tr>
      <w:tr w:rsidR="00DA227A" w:rsidRPr="00E93F40" w14:paraId="0C7B5FA4" w14:textId="77777777">
        <w:tc>
          <w:tcPr>
            <w:tcW w:w="573" w:type="dxa"/>
          </w:tcPr>
          <w:p w14:paraId="73ED6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23" w:type="dxa"/>
          </w:tcPr>
          <w:p w14:paraId="76BC0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270,9</w:t>
            </w:r>
          </w:p>
        </w:tc>
        <w:tc>
          <w:tcPr>
            <w:tcW w:w="3091" w:type="dxa"/>
          </w:tcPr>
          <w:p w14:paraId="27715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625,8</w:t>
            </w:r>
          </w:p>
        </w:tc>
        <w:tc>
          <w:tcPr>
            <w:tcW w:w="1633" w:type="dxa"/>
          </w:tcPr>
          <w:p w14:paraId="41486E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896,7</w:t>
            </w:r>
          </w:p>
        </w:tc>
        <w:tc>
          <w:tcPr>
            <w:tcW w:w="838" w:type="dxa"/>
          </w:tcPr>
          <w:p w14:paraId="12C436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-354,9</w:t>
            </w:r>
          </w:p>
        </w:tc>
      </w:tr>
      <w:tr w:rsidR="00DA227A" w:rsidRPr="00E93F40" w14:paraId="5C8DF06E" w14:textId="77777777">
        <w:tc>
          <w:tcPr>
            <w:tcW w:w="573" w:type="dxa"/>
          </w:tcPr>
          <w:p w14:paraId="7410C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3223" w:type="dxa"/>
          </w:tcPr>
          <w:p w14:paraId="427AB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194,1</w:t>
            </w:r>
          </w:p>
        </w:tc>
        <w:tc>
          <w:tcPr>
            <w:tcW w:w="3091" w:type="dxa"/>
          </w:tcPr>
          <w:p w14:paraId="78672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282,2</w:t>
            </w:r>
          </w:p>
        </w:tc>
        <w:tc>
          <w:tcPr>
            <w:tcW w:w="1633" w:type="dxa"/>
          </w:tcPr>
          <w:p w14:paraId="27528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476,3</w:t>
            </w:r>
          </w:p>
        </w:tc>
        <w:tc>
          <w:tcPr>
            <w:tcW w:w="838" w:type="dxa"/>
          </w:tcPr>
          <w:p w14:paraId="2349A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-88,1</w:t>
            </w:r>
          </w:p>
        </w:tc>
      </w:tr>
      <w:tr w:rsidR="00DA227A" w:rsidRPr="00E93F40" w14:paraId="5CF299B8" w14:textId="77777777">
        <w:tc>
          <w:tcPr>
            <w:tcW w:w="573" w:type="dxa"/>
            <w:tcBorders>
              <w:bottom w:val="single" w:sz="12" w:space="0" w:color="000000"/>
            </w:tcBorders>
          </w:tcPr>
          <w:p w14:paraId="4C4D85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w:t>
            </w:r>
          </w:p>
        </w:tc>
        <w:tc>
          <w:tcPr>
            <w:tcW w:w="3223" w:type="dxa"/>
            <w:tcBorders>
              <w:bottom w:val="single" w:sz="12" w:space="0" w:color="000000"/>
            </w:tcBorders>
          </w:tcPr>
          <w:p w14:paraId="550D1B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233,0</w:t>
            </w:r>
          </w:p>
        </w:tc>
        <w:tc>
          <w:tcPr>
            <w:tcW w:w="3091" w:type="dxa"/>
            <w:tcBorders>
              <w:bottom w:val="single" w:sz="12" w:space="0" w:color="000000"/>
            </w:tcBorders>
          </w:tcPr>
          <w:p w14:paraId="72E120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63,31</w:t>
            </w:r>
          </w:p>
        </w:tc>
        <w:tc>
          <w:tcPr>
            <w:tcW w:w="1633" w:type="dxa"/>
            <w:tcBorders>
              <w:bottom w:val="single" w:sz="12" w:space="0" w:color="000000"/>
            </w:tcBorders>
          </w:tcPr>
          <w:p w14:paraId="41976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286,31</w:t>
            </w:r>
          </w:p>
        </w:tc>
        <w:tc>
          <w:tcPr>
            <w:tcW w:w="838" w:type="dxa"/>
            <w:tcBorders>
              <w:bottom w:val="single" w:sz="12" w:space="0" w:color="000000"/>
            </w:tcBorders>
          </w:tcPr>
          <w:p w14:paraId="67525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+159,7</w:t>
            </w:r>
          </w:p>
        </w:tc>
      </w:tr>
    </w:tbl>
    <w:p w14:paraId="61FFFC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(11784).</w:t>
      </w:r>
    </w:p>
    <w:p w14:paraId="348FB0C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7DC57F" w14:textId="3FA0B965"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Пятаков вновь приехал в Германию. 15 июня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он достиг рамочного соглашения о поставках, расширявших «соглашение Пятакова» от 14 апреля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17 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подписан советско-германский протокол об увеличении экспорта СССР в Германию и предоставления ему кредитов под закупки оборудования. 25 февраля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w:t>
      </w:r>
    </w:p>
    <w:p w14:paraId="7F0E4EA2" w14:textId="77777777"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млн. марок) </w:t>
      </w:r>
    </w:p>
    <w:p w14:paraId="62EB9137" w14:textId="77777777"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Годы / Экспорт СССР в Германию / Импорт СССР из Германии / Товарооборот / Сальдо</w:t>
      </w:r>
    </w:p>
    <w:p w14:paraId="022EC845" w14:textId="77777777"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 425,7 353,9 779,6 +71,8</w:t>
      </w:r>
    </w:p>
    <w:p w14:paraId="57C5B803" w14:textId="77777777"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 436,3 430,6 866,9 +5,7</w:t>
      </w:r>
    </w:p>
    <w:p w14:paraId="573126BA" w14:textId="77777777"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303,5 762,7 1066,2 -499,2</w:t>
      </w:r>
    </w:p>
    <w:p w14:paraId="13A7A409" w14:textId="77777777"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270,9 625,8 896,7 -354,9</w:t>
      </w:r>
    </w:p>
    <w:p w14:paraId="214CA76B" w14:textId="77777777"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194,1 282,2 476,3 -88,1</w:t>
      </w:r>
    </w:p>
    <w:p w14:paraId="14BF658D" w14:textId="77777777"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 233,0 63,3 1286,31 +159,7 (18265).</w:t>
      </w:r>
    </w:p>
    <w:p w14:paraId="0DA7961C" w14:textId="77777777" w:rsidR="004B7065" w:rsidRPr="00E93F40" w:rsidRDefault="004B7065" w:rsidP="00E93F40">
      <w:pPr>
        <w:spacing w:after="0" w:line="240" w:lineRule="auto"/>
        <w:jc w:val="both"/>
        <w:rPr>
          <w:rFonts w:ascii="Times New Roman" w:hAnsi="Times New Roman"/>
          <w:color w:val="000000" w:themeColor="text1"/>
          <w:sz w:val="16"/>
          <w:szCs w:val="16"/>
        </w:rPr>
      </w:pPr>
    </w:p>
    <w:p w14:paraId="71367960" w14:textId="77777777" w:rsidR="001C0DBD" w:rsidRPr="00E93F40" w:rsidRDefault="001C0DB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июне 1932 г. в Москву прибыл и провел в СССР шесть недель известный американский банкир В.Ланкастер - директор Нэшнл Сити Бэнк оф Нью-Йорк — держателя значительной части долговых бумаг царского правительства, по которым отказались платить большевики. Долгое время этот банк являлся одним из источников враждебного отношения к идее признания СССР. Но в 1932 г., после консультаций в Государственном департаменте, у банка, видимо, появились серьезные надежды получить часть своих денег, увязывая этот вопрос с соглашением о признании. Согласно информации, представленной Сталину, Ланкастер на первой встрече с советскими представителями В.И.Межлауком и Г.И.Андрейчиным проинформировал их, что перед отъездом в Москву он встречался со своим старым другом Стимсоном. Стимсон (вопреки своей публичной позиции) неофициально посоветовал Ланкастеру сообщить в Москве, что если советское правительство в какой-либо форме поднимет вопрос о возобновлении дипломатических отношений с США, это не встретит «грубый отказ». Ланкастер заявил советским представителям, что после президентских выборов подобные шаги со стороны СССР будут восприняты благоприятно, если он откажется от коммунистической пропаганды и выразит готовность обсуждать урегулирование проблемы долгов. Это заявление свидетельствовало, что признание станет в повестку дня даже в том случае, если на выборах победит Гувер. Сталин воспринимал визит Ланкастера очень серьезно, как свидетельство новых американских подходов в отношении к СССР. 9 июня Сталин сформулировал предложения по урегулированию проблемы царских долгов, которые можно было сделать Ланкастеру в обмен на существенные кредиты или займы. Однако поскольку Ланкастер получил инструкции соглашаться только на незначительный заем, Сталин отверг его предложения, как неприемлемые. Переговоры вскоре прервались, и в 3 середине июля Ланкастер покинул СССР. Но всего через несколько недель в Москву приехал американский предприниматель полковник Купер. Несмотря на то, что требование Купера о встрече со всем Политбюро во главе со Сталиным было отклонено, Сталин требовал вежливо и внимательно принять американца. Двери для переговоров о признании и кредитах должны были оставаться приоткрытыми (17281).</w:t>
      </w:r>
    </w:p>
    <w:p w14:paraId="51DB4379" w14:textId="77777777" w:rsidR="001C0DBD" w:rsidRPr="00E93F40" w:rsidRDefault="001C0DB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B84C8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05BB8A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E0E5E69" w14:textId="77777777" w:rsidR="00B52AFA" w:rsidRPr="00E93F40" w:rsidRDefault="00B52A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состоялся первый полет Potez 430, прототип семейства Potez 43 (20803).</w:t>
      </w:r>
    </w:p>
    <w:p w14:paraId="28489553" w14:textId="77777777" w:rsidR="00B52AFA" w:rsidRPr="00E93F40" w:rsidRDefault="00B52AFA" w:rsidP="00E93F40">
      <w:pPr>
        <w:spacing w:after="0" w:line="240" w:lineRule="auto"/>
        <w:jc w:val="both"/>
        <w:rPr>
          <w:rFonts w:ascii="Times New Roman" w:hAnsi="Times New Roman"/>
          <w:color w:val="000000" w:themeColor="text1"/>
          <w:sz w:val="16"/>
          <w:szCs w:val="16"/>
        </w:rPr>
      </w:pPr>
    </w:p>
    <w:p w14:paraId="49C76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в Германии Франц фон Паппен сформировал непартийный кабинет магнатов (3907,173).</w:t>
      </w:r>
    </w:p>
    <w:p w14:paraId="028FE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D9503F" w14:textId="74139BB2" w:rsidR="004B7065" w:rsidRPr="00E93F40" w:rsidRDefault="004B70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когда срок моратория истекал, в Лозанне открылась последняя конференция по репарационному вопросу, которая окончательно аннулировала репарации. Вслед за этим в 1932–1933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все страны — европейские должники США отказались оплачивать Соединенным Штатам военные долги (18265).</w:t>
      </w:r>
    </w:p>
    <w:p w14:paraId="5CE877B9" w14:textId="77777777" w:rsidR="004B7065" w:rsidRPr="00E93F40" w:rsidRDefault="004B7065" w:rsidP="00E93F40">
      <w:pPr>
        <w:spacing w:after="0" w:line="240" w:lineRule="auto"/>
        <w:jc w:val="both"/>
        <w:rPr>
          <w:rFonts w:ascii="Times New Roman" w:hAnsi="Times New Roman"/>
          <w:color w:val="000000" w:themeColor="text1"/>
          <w:sz w:val="16"/>
          <w:szCs w:val="16"/>
        </w:rPr>
      </w:pPr>
    </w:p>
    <w:p w14:paraId="5D45E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началась боливийско-парагвайская война, которая шла до 28 октября 1935 (2443,406).</w:t>
      </w:r>
    </w:p>
    <w:p w14:paraId="5DE9A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A1D4B6" w14:textId="77777777" w:rsidR="00032565" w:rsidRPr="00E93F40" w:rsidRDefault="000325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г. президент Боливии Даниель Саламнса Уреу объявил войну Парагваю.</w:t>
      </w:r>
    </w:p>
    <w:p w14:paraId="3C6A241B" w14:textId="77777777" w:rsidR="00032565" w:rsidRPr="00E93F40" w:rsidRDefault="000325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Суровый и малонаселенный район Гран-Чако ограничен рекой Парагвай на востоке и Андами на западе. В 1928 г. кампания Стандарт Ойл нашла здесь нефть, после чего права на Гран-Чако предъявила Боливия, с чем не согласился Парагвай. Первые спорадические вооруженные столкновения между Боливией и Парагваем в этом районе имели место уже в 1928 г. </w:t>
      </w:r>
    </w:p>
    <w:p w14:paraId="4EF7FF6B" w14:textId="77777777" w:rsidR="00032565" w:rsidRPr="00E93F40" w:rsidRDefault="000325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боях приняли участие три самолета Ju-52/3m авиакомпании Lloyd Aereo Boliviano. Первый из этих самолетов (Werk Nr. 4008) прибыл в Боливию в октябре 1932 г., здесь он получил регистрационный номер СВ-17 и собственное имя «JUAN DEL VALLE». Две другие машины прибыли из Германии в 1933 г., самолет Werk Nr. 4009 получил регистрационный номер СВ-18 и собственное имя «HUANUNI», а самолет Werk Nr. 4018 — собственное имя «CHOROLQUE» без регистрационного гражданского номера.</w:t>
      </w:r>
    </w:p>
    <w:p w14:paraId="1B0E7D05" w14:textId="77777777" w:rsidR="00032565" w:rsidRPr="00E93F40" w:rsidRDefault="000325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Большинство летчиков и техников были или немцами, или боливийцами немецкого происхождения. Прочная конструкция самолетов Юнкерс идеально подошла для эксплуатации машин с неровных плохо подготовленных посадочных площадок в Андах. Самолеты дважды в день совершали рейсы между Фортин-Муноз и Вилла-</w:t>
      </w:r>
      <w:r w:rsidRPr="00E93F40">
        <w:rPr>
          <w:rFonts w:ascii="Times New Roman" w:hAnsi="Times New Roman"/>
          <w:color w:val="000000" w:themeColor="text1"/>
          <w:sz w:val="16"/>
          <w:szCs w:val="16"/>
        </w:rPr>
        <w:lastRenderedPageBreak/>
        <w:t>Монтес. Аэродром Вилла-Монтес находился в Гран-Чако. Транспортники доставляли в район боевых действий вооружение, боеприпасы, пищу и снаряжение, а назад забирали раненых. Ju-52/3m работали в Гран-Чако с конца 1932 г. до конца 1933 г.</w:t>
      </w:r>
    </w:p>
    <w:p w14:paraId="15DEF7CB" w14:textId="77777777" w:rsidR="00032565" w:rsidRPr="00E93F40" w:rsidRDefault="000325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Разность дневной и ночной температуры воздуха в Андах достигала 40 (С за сутки, из-за этого вечером техникам приходилось сливать масло с самолетов, чтобы не допустить его замерзания ночью. Тем не мене утром маслосистему все равно приходилось прогревать открытым пламенем. Из-за отсутствия насосов и бензоцистерн самолеты заправлялись вручную, это процесс занимал порой восемь часов.</w:t>
      </w:r>
    </w:p>
    <w:p w14:paraId="25D4EB75" w14:textId="77777777" w:rsidR="00032565" w:rsidRPr="00E93F40" w:rsidRDefault="000325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Лига Наций наложила эмбарго на поставки оружия Боливии и Парагваю. Война закончилась в 1935 г., но в 1934 г. по причине нехватки запасных частей далеко не всегда все три машины могли подняться в небо. Всего за три года войны три Юнкерса перевезли порядка 40 000 боливийских солдат, более 4850 т грузов без единого инцидента. Перемирие между Боливией и Парагваем было подписано 14 июня 1935 г. Жертвами этой кровавой войны стали более 100 000 человек с обеих сторон, а экономика обоих государств оказалась на грани краха. Между тем, еще в 1932 г. было установлено, что запасы нефти в Гран-Чако весьма незначительно.</w:t>
      </w:r>
    </w:p>
    <w:p w14:paraId="7459B0A2" w14:textId="77777777" w:rsidR="00032565" w:rsidRPr="00E93F40" w:rsidRDefault="000325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самолеты вернули авиакомпании LAB. Все они разбились в летных происшествиях: 17 января 1936 г. — «CHOROLQUE», 15 декабря 1937 г. — «HUANUNI», 3 ноября 1940 г. — «JUAN DEL VALLE» (24200).</w:t>
      </w:r>
    </w:p>
    <w:p w14:paraId="2FDA1B7B" w14:textId="77777777" w:rsidR="00032565" w:rsidRPr="00E93F40" w:rsidRDefault="00032565" w:rsidP="00E93F40">
      <w:pPr>
        <w:spacing w:after="0" w:line="240" w:lineRule="auto"/>
        <w:jc w:val="both"/>
        <w:rPr>
          <w:rFonts w:ascii="Times New Roman" w:hAnsi="Times New Roman"/>
          <w:color w:val="000000" w:themeColor="text1"/>
          <w:sz w:val="16"/>
          <w:szCs w:val="16"/>
        </w:rPr>
      </w:pPr>
    </w:p>
    <w:p w14:paraId="67B48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1932 в Сиаме (Таиланде) под руководством юриста Фаномионга была провозглашена конституционная монархия и конституцию приняли в декабре (3907,173).</w:t>
      </w:r>
    </w:p>
    <w:p w14:paraId="1470F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FDF64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5DDBC7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93D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июне-июле 1932 с Р-5 заправляли бомбардировщик ТБ-1 и, наконец, ТБ-3 (в сентябре - ноябре 1933 г.).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 Однако система работала. Сначала пробовали переливать воду, затем перешли на бензин. Для использования Р-5 в качестве танкера, естественно, потребовалось увеличить запас горючего на борту. В апреле 1932 г. попробовали подвесить дополнительные баки под крылом. Однако баки и магистрали текли, проводить испытания даже не рискнули. В июне выставили образец с большим подфю- зеляжным баком из стали, вмещавшим 550 л. Этот вариант использовали для заправки ТБ-1. При установке дополнительных внутренних баков, как на машинах для дальних перелетов, "бензиновоз" мог слить в бомбардировщик до 1040 л топлива. Весь комплект оборудования танкера весил около 120 кг. За счет дополнительного сопротивления бака скорость заправщика уменьшалась на 6 км/ч. (11836).</w:t>
      </w:r>
    </w:p>
    <w:p w14:paraId="519E86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9CC1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 июле 1932 г. провели серию экспериментов по заправке специально оборудованного ТБ-1 № 648. Дозаправкой бомбардировщика в полете занималась в НИИ ВВС группа под руководством А.К. Запанованного. Схема была простой. Танкер ("бензиновоз") - биплан Р-5 с дополнительными баками. Он нес шланг, намотанный на ручную лебедку и имевший на свободном конце груз (так называемую "грушу"). Лебедку устанавливали на месте фотоаппарата. Летнаб или механик на заправляемом самолете руками ловил конец шланга и помещал его в приемную воронку Испытания прошли в целом успешно, если не считать того, что ловля "груши" оказалась делом нелегким и опасным. Конец шланга болтался в воздухе, и можно было запросто получить по голове трехкилограммовой гирей. Два стрелка с трудом удерживали шланг, бьющийся на ветру.</w:t>
      </w:r>
    </w:p>
    <w:p w14:paraId="1DB4D2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система работала. Сначала пробовали переливать воду, затем перешли на бензин. В отчете оптимистично написали: "Испытания выявили сравнительную легкость переливки горючего в воздухе из самолета Р-5 в самолет ТБ-1 при натренированности личного состава". Это давало бомбардировщику лишних 4 ч полета. Позднее в качестве танкера применяли второй ТБ-1.</w:t>
      </w:r>
    </w:p>
    <w:p w14:paraId="3CFA8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Любое увеличение веса затрудняло взлет перегруженной машины. Старт пытались облегчить применением ракетных ускорителей, в документах именовавшихся "газовым агрегатом". Разрабатывала их Газодинамическая лаборатория (ГДЛ) в Ленинграде. Шесть пороховых ускорителей монтировались группами по три на верхней поверхности крыла. В крыло заделали дюралюминиевые фермы, передававшие нагрузку на узлы крепления шасси. Сопла были развернуты так, что струи шли выше горизонтального оперения и под небольшим углом к фюзеляжу - конструкторы боялись повреждения обшивки. Воспламенялись ракеты электрозапалом, а камеры одного блока соединялись огневыми трубками (12001).</w:t>
      </w:r>
    </w:p>
    <w:p w14:paraId="7262DA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712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июне-июле 1932 г. провели испытания пары - заправщик Р-5 и заправляемый самолет ТБ-1. Конец шланга болтался на ветру, угрожая людям и машине ударом тяжелого грузила. На ловлю "груши" стали ставить двух техников, которые располагались в средней и задней стрелковых точках. Но трудности казались вполне преодолимыми. Как и ранее, начали с тренировки в подсоединении шланга, затем стали переливать воду, отсоединив на обеих машинах часть баков от общей системы. Наконец, перешли на бензин. В отчете НИИ ВВС записали: "Испытания выявили сравнительную легкость переливки горючего в воздухе из самолета Р-5 в самолет ТБ-1 при натренированности личного состава". Ставилась задача с помощью пополнения запаса горючего в воздухе довести продолжительность полета бомбардировщика до 25 часов, что уже казалось пределом для возможностей экипажа.</w:t>
      </w:r>
    </w:p>
    <w:p w14:paraId="723F2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век ТБ-1 оказался недолог. Всего два года - и в производстве его сменил четырехмоторный гигант ТБ-3, который стал строиться в гораздо больших количествах. Для него тоже проблема увеличения радиуса действия стояла очень остро, поскольку соединениям этих машин предстояло решать стратегические задачи, в том числе по нанесению ударов по целям в глубоком тылу противника (12036).</w:t>
      </w:r>
    </w:p>
    <w:p w14:paraId="7C247D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E2576B"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июне-июле 1932 г. провели испытания пары - заправщик Р-5 и заправляемый самолет ТБ-I. Конец шланга болтался на ветру, угрожая людям и машине ударом тяжелого грузила. На ловлю «гру</w:t>
      </w:r>
      <w:r w:rsidRPr="00142305">
        <w:rPr>
          <w:rFonts w:ascii="Times New Roman" w:hAnsi="Times New Roman"/>
          <w:color w:val="0070C0"/>
          <w:sz w:val="16"/>
          <w:szCs w:val="16"/>
        </w:rPr>
        <w:softHyphen/>
        <w:t>ши» стали ставить двух техников, которые располагались в средней и задней стрелковых точках. Но трудности казались вполне преодолимыми. Как и ранее, начали с тренировки в подсоединении шланга, затем стали переливать воду, от</w:t>
      </w:r>
      <w:r w:rsidRPr="00142305">
        <w:rPr>
          <w:rFonts w:ascii="Times New Roman" w:hAnsi="Times New Roman"/>
          <w:color w:val="0070C0"/>
          <w:sz w:val="16"/>
          <w:szCs w:val="16"/>
        </w:rPr>
        <w:softHyphen/>
        <w:t>соединив на обеих машинах часть баков от общей системы. Наконец, перешли на бензин. В отчете НИИ ВВС записали: «Испытания выявили сравнительную легкость переливки горючего в воздухе из самолета Р-5 в самолет ТБ-1 при на</w:t>
      </w:r>
      <w:r w:rsidRPr="00142305">
        <w:rPr>
          <w:rFonts w:ascii="Times New Roman" w:hAnsi="Times New Roman"/>
          <w:color w:val="0070C0"/>
          <w:sz w:val="16"/>
          <w:szCs w:val="16"/>
        </w:rPr>
        <w:softHyphen/>
        <w:t>тренированности личного состава». Ставилась задача с по</w:t>
      </w:r>
      <w:r w:rsidRPr="00142305">
        <w:rPr>
          <w:rFonts w:ascii="Times New Roman" w:hAnsi="Times New Roman"/>
          <w:color w:val="0070C0"/>
          <w:sz w:val="16"/>
          <w:szCs w:val="16"/>
        </w:rPr>
        <w:softHyphen/>
        <w:t>мощью пополнения запаса горючего в воздухе довести про</w:t>
      </w:r>
      <w:r w:rsidRPr="00142305">
        <w:rPr>
          <w:rFonts w:ascii="Times New Roman" w:hAnsi="Times New Roman"/>
          <w:color w:val="0070C0"/>
          <w:sz w:val="16"/>
          <w:szCs w:val="16"/>
        </w:rPr>
        <w:softHyphen/>
        <w:t>должительность полета бомбардировщика до 25 часов, что уже казалось пределом для возможностей экипажа (24977).</w:t>
      </w:r>
    </w:p>
    <w:p w14:paraId="57405CBE" w14:textId="77777777" w:rsidR="00FD1168" w:rsidRPr="00142305" w:rsidRDefault="00FD1168" w:rsidP="00FD1168">
      <w:pPr>
        <w:spacing w:after="0" w:line="240" w:lineRule="auto"/>
        <w:jc w:val="both"/>
        <w:rPr>
          <w:rFonts w:ascii="Times New Roman" w:hAnsi="Times New Roman"/>
          <w:color w:val="0070C0"/>
          <w:sz w:val="16"/>
          <w:szCs w:val="16"/>
        </w:rPr>
      </w:pPr>
    </w:p>
    <w:p w14:paraId="5B32B9B1"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июне-июле 1932 г. провели серию экспериментов по заправке специально оборудованного ТБ-1 № 648. Испытания прошли в целом успешно, если не считать того, что ловля «груши» оказалась делом нелегким и опасным. Конец шланга болтался в воздухе, и можно было запросто получить по голове трехкилограммовой гирей. Два стрелка с трудом удерживали бьющийся на ветру шланг.</w:t>
      </w:r>
    </w:p>
    <w:p w14:paraId="440A9EE1"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Тем не менее система работала. Сначала про</w:t>
      </w:r>
      <w:r w:rsidRPr="00142305">
        <w:rPr>
          <w:rFonts w:ascii="Times New Roman" w:hAnsi="Times New Roman"/>
          <w:color w:val="0070C0"/>
          <w:sz w:val="16"/>
          <w:szCs w:val="16"/>
        </w:rPr>
        <w:softHyphen/>
        <w:t>бовали переливать воду, затем перешли на бензин. В 1933-1935 гг. военный инженер А.К. Запанованный и летчик И. Белозеров проводили такие эксперименты, совершенствуя технику дозаправки. При этом ТБ-1 при необходимости выполнял роль и танкера, и заправляе</w:t>
      </w:r>
      <w:r w:rsidRPr="00142305">
        <w:rPr>
          <w:rFonts w:ascii="Times New Roman" w:hAnsi="Times New Roman"/>
          <w:color w:val="0070C0"/>
          <w:sz w:val="16"/>
          <w:szCs w:val="16"/>
        </w:rPr>
        <w:softHyphen/>
        <w:t>мого самолета. В отчете оптимистично написали: «Ис</w:t>
      </w:r>
      <w:r w:rsidRPr="00142305">
        <w:rPr>
          <w:rFonts w:ascii="Times New Roman" w:hAnsi="Times New Roman"/>
          <w:color w:val="0070C0"/>
          <w:sz w:val="16"/>
          <w:szCs w:val="16"/>
        </w:rPr>
        <w:softHyphen/>
        <w:t>пытания выявили сравнительную легкость переливки горючего в воздухе из самолета Р-5 в самолет ТБ-1 при натренированности личного состава». Это давало бом</w:t>
      </w:r>
      <w:r w:rsidRPr="00142305">
        <w:rPr>
          <w:rFonts w:ascii="Times New Roman" w:hAnsi="Times New Roman"/>
          <w:color w:val="0070C0"/>
          <w:sz w:val="16"/>
          <w:szCs w:val="16"/>
        </w:rPr>
        <w:softHyphen/>
        <w:t>бардировщику лишних 4 часа полета (25004).</w:t>
      </w:r>
    </w:p>
    <w:p w14:paraId="667E06F0" w14:textId="77777777" w:rsidR="00FD1168" w:rsidRPr="00142305" w:rsidRDefault="00FD1168" w:rsidP="00FD1168">
      <w:pPr>
        <w:spacing w:after="0" w:line="240" w:lineRule="auto"/>
        <w:jc w:val="both"/>
        <w:rPr>
          <w:rFonts w:ascii="Times New Roman" w:hAnsi="Times New Roman"/>
          <w:color w:val="0070C0"/>
          <w:sz w:val="16"/>
          <w:szCs w:val="16"/>
        </w:rPr>
      </w:pPr>
    </w:p>
    <w:p w14:paraId="1EDC83E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CBC139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48A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июне-июле 1932 года по данным испытаний на НИАПе 203-мм мортиры "Ж" комиссия не сделала никаких выводов (о принятии мортиры) (3861).</w:t>
      </w:r>
    </w:p>
    <w:p w14:paraId="4CEDD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C00B1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475D21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0A5F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лета 1932 г. про</w:t>
      </w:r>
      <w:r w:rsidRPr="00E93F40">
        <w:rPr>
          <w:rFonts w:ascii="Times New Roman" w:hAnsi="Times New Roman"/>
          <w:color w:val="000000" w:themeColor="text1"/>
          <w:sz w:val="16"/>
          <w:szCs w:val="16"/>
        </w:rPr>
        <w:softHyphen/>
        <w:t>изошла первая встреча Микулина со Сталиным, кото</w:t>
      </w:r>
      <w:r w:rsidRPr="00E93F40">
        <w:rPr>
          <w:rFonts w:ascii="Times New Roman" w:hAnsi="Times New Roman"/>
          <w:color w:val="000000" w:themeColor="text1"/>
          <w:sz w:val="16"/>
          <w:szCs w:val="16"/>
        </w:rPr>
        <w:softHyphen/>
        <w:t>рая оказала впоследствии ог</w:t>
      </w:r>
      <w:r w:rsidRPr="00E93F40">
        <w:rPr>
          <w:rFonts w:ascii="Times New Roman" w:hAnsi="Times New Roman"/>
          <w:color w:val="000000" w:themeColor="text1"/>
          <w:sz w:val="16"/>
          <w:szCs w:val="16"/>
        </w:rPr>
        <w:softHyphen/>
        <w:t>ромное воздействие на кон</w:t>
      </w:r>
      <w:r w:rsidRPr="00E93F40">
        <w:rPr>
          <w:rFonts w:ascii="Times New Roman" w:hAnsi="Times New Roman"/>
          <w:color w:val="000000" w:themeColor="text1"/>
          <w:sz w:val="16"/>
          <w:szCs w:val="16"/>
        </w:rPr>
        <w:softHyphen/>
        <w:t>структорскую деятельность Александра Александровича. Это случилось на Центральном аэродроме им. Фрунзе (прежде это место называлось Ходынским полем), где проходили летные испы</w:t>
      </w:r>
      <w:r w:rsidRPr="00E93F40">
        <w:rPr>
          <w:rFonts w:ascii="Times New Roman" w:hAnsi="Times New Roman"/>
          <w:color w:val="000000" w:themeColor="text1"/>
          <w:sz w:val="16"/>
          <w:szCs w:val="16"/>
        </w:rPr>
        <w:softHyphen/>
        <w:t>тания мотора М-34 на поликарновском Р-5. Кроме Поликарпова и директора завода на Центральный аэродром приехали несколько на</w:t>
      </w:r>
      <w:r w:rsidRPr="00E93F40">
        <w:rPr>
          <w:rFonts w:ascii="Times New Roman" w:hAnsi="Times New Roman"/>
          <w:color w:val="000000" w:themeColor="text1"/>
          <w:sz w:val="16"/>
          <w:szCs w:val="16"/>
        </w:rPr>
        <w:softHyphen/>
        <w:t>чальников цехов завода им. Фрунзе. Самого Микулнна на Ходынку вызвали прямо с заводских испытаний, куда он примчался на своем мотоцикле. Буквально следом за ним на поле въехал большой чер</w:t>
      </w:r>
      <w:r w:rsidRPr="00E93F40">
        <w:rPr>
          <w:rFonts w:ascii="Times New Roman" w:hAnsi="Times New Roman"/>
          <w:color w:val="000000" w:themeColor="text1"/>
          <w:sz w:val="16"/>
          <w:szCs w:val="16"/>
        </w:rPr>
        <w:softHyphen/>
        <w:t>ный лимузин, из которого вышли П.И. Баранов, К.Е. Ворошилов и И.В. Сталин. После полетов самолета Сталин и Ворошилов подошли к разработчикам и изготовителям самолета и двигателя и поздрави</w:t>
      </w:r>
      <w:r w:rsidRPr="00E93F40">
        <w:rPr>
          <w:rFonts w:ascii="Times New Roman" w:hAnsi="Times New Roman"/>
          <w:color w:val="000000" w:themeColor="text1"/>
          <w:sz w:val="16"/>
          <w:szCs w:val="16"/>
        </w:rPr>
        <w:softHyphen/>
        <w:t>ли их с важным успехом (10781).</w:t>
      </w:r>
    </w:p>
    <w:p w14:paraId="340B11D2" w14:textId="6F0B9969"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093207" w14:textId="165EC8EE" w:rsidR="00B52AFA" w:rsidRPr="00E93F40" w:rsidRDefault="00B52AFA" w:rsidP="00E93F40">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60A51A53" w14:textId="77777777" w:rsidR="00B52AFA" w:rsidRPr="00E93F40" w:rsidRDefault="00B52AFA" w:rsidP="00E93F40">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65E83193" w14:textId="77777777" w:rsidR="00B52AFA" w:rsidRPr="00E93F40" w:rsidRDefault="00B52AF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Конец лета 1932 состоялся первый полет Фокке-Вульф Fw 44 (20803).</w:t>
      </w:r>
    </w:p>
    <w:p w14:paraId="17C2D428" w14:textId="77777777" w:rsidR="00B52AFA" w:rsidRPr="00E93F40" w:rsidRDefault="00B52AFA" w:rsidP="00E93F40">
      <w:pPr>
        <w:spacing w:after="0" w:line="240" w:lineRule="auto"/>
        <w:jc w:val="both"/>
        <w:rPr>
          <w:rFonts w:ascii="Times New Roman" w:hAnsi="Times New Roman"/>
          <w:color w:val="000000" w:themeColor="text1"/>
          <w:sz w:val="16"/>
          <w:szCs w:val="16"/>
        </w:rPr>
      </w:pPr>
    </w:p>
    <w:p w14:paraId="27B77BE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5194C3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BB490D" w14:textId="77777777" w:rsidR="00B57906" w:rsidRPr="00E93F40" w:rsidRDefault="00B579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lastRenderedPageBreak/>
        <w:t>До лета 1932 г. испытывался самолет ШОН (штурмовик особого назначения, №23 по плану ЦКБ) с частичным бронирова</w:t>
      </w:r>
      <w:r w:rsidRPr="00E93F40">
        <w:rPr>
          <w:rFonts w:ascii="Times New Roman" w:hAnsi="Times New Roman"/>
          <w:color w:val="000000" w:themeColor="text1"/>
          <w:sz w:val="16"/>
          <w:szCs w:val="16"/>
          <w:lang w:eastAsia="ru-RU" w:bidi="ru-RU"/>
        </w:rPr>
        <w:softHyphen/>
        <w:t>нием (только снизу) мотора и кабин лет</w:t>
      </w:r>
      <w:r w:rsidRPr="00E93F40">
        <w:rPr>
          <w:rFonts w:ascii="Times New Roman" w:hAnsi="Times New Roman"/>
          <w:color w:val="000000" w:themeColor="text1"/>
          <w:sz w:val="16"/>
          <w:szCs w:val="16"/>
          <w:lang w:eastAsia="ru-RU" w:bidi="ru-RU"/>
        </w:rPr>
        <w:softHyphen/>
        <w:t>чика и летнаба и с мотором БМВ-6. Полеты показали, что при темпе</w:t>
      </w:r>
      <w:r w:rsidRPr="00E93F40">
        <w:rPr>
          <w:rFonts w:ascii="Times New Roman" w:hAnsi="Times New Roman"/>
          <w:color w:val="000000" w:themeColor="text1"/>
          <w:sz w:val="16"/>
          <w:szCs w:val="16"/>
          <w:lang w:eastAsia="ru-RU" w:bidi="ru-RU"/>
        </w:rPr>
        <w:softHyphen/>
        <w:t>ратуре окружающего воздуха +21°С вода в системе охлаждения закипала. Темпера</w:t>
      </w:r>
      <w:r w:rsidRPr="00E93F40">
        <w:rPr>
          <w:rFonts w:ascii="Times New Roman" w:hAnsi="Times New Roman"/>
          <w:color w:val="000000" w:themeColor="text1"/>
          <w:sz w:val="16"/>
          <w:szCs w:val="16"/>
          <w:lang w:eastAsia="ru-RU" w:bidi="ru-RU"/>
        </w:rPr>
        <w:softHyphen/>
        <w:t>тура масла также была высокой. Перешли на этиленгликолевое охлаждение, с кото</w:t>
      </w:r>
      <w:r w:rsidRPr="00E93F40">
        <w:rPr>
          <w:rFonts w:ascii="Times New Roman" w:hAnsi="Times New Roman"/>
          <w:color w:val="000000" w:themeColor="text1"/>
          <w:sz w:val="16"/>
          <w:szCs w:val="16"/>
          <w:lang w:eastAsia="ru-RU" w:bidi="ru-RU"/>
        </w:rPr>
        <w:softHyphen/>
        <w:t>рым, собственно, так долго и возились.</w:t>
      </w:r>
    </w:p>
    <w:p w14:paraId="25EE45BA" w14:textId="77777777" w:rsidR="00B57906" w:rsidRPr="00E93F40" w:rsidRDefault="00B57906"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Несмотря на положительную общую оценку летных данных, в серию ШОН не запускался, так как эксплуатационные ха</w:t>
      </w:r>
      <w:r w:rsidRPr="00E93F40">
        <w:rPr>
          <w:rFonts w:ascii="Times New Roman" w:hAnsi="Times New Roman"/>
          <w:color w:val="000000" w:themeColor="text1"/>
          <w:sz w:val="16"/>
          <w:szCs w:val="16"/>
          <w:lang w:eastAsia="ru-RU" w:bidi="ru-RU"/>
        </w:rPr>
        <w:softHyphen/>
        <w:t>рактеристики системы охлаждения на ос</w:t>
      </w:r>
      <w:r w:rsidRPr="00E93F40">
        <w:rPr>
          <w:rFonts w:ascii="Times New Roman" w:hAnsi="Times New Roman"/>
          <w:color w:val="000000" w:themeColor="text1"/>
          <w:sz w:val="16"/>
          <w:szCs w:val="16"/>
          <w:lang w:eastAsia="ru-RU" w:bidi="ru-RU"/>
        </w:rPr>
        <w:softHyphen/>
        <w:t>нове этиленгликоля оставляли желать много лучшего, да и надобность в само</w:t>
      </w:r>
      <w:r w:rsidRPr="00E93F40">
        <w:rPr>
          <w:rFonts w:ascii="Times New Roman" w:hAnsi="Times New Roman"/>
          <w:color w:val="000000" w:themeColor="text1"/>
          <w:sz w:val="16"/>
          <w:szCs w:val="16"/>
          <w:lang w:eastAsia="ru-RU" w:bidi="ru-RU"/>
        </w:rPr>
        <w:softHyphen/>
        <w:t>лете уже прошла. От создания авианосцев отказались, а для применения с сухопут</w:t>
      </w:r>
      <w:r w:rsidRPr="00E93F40">
        <w:rPr>
          <w:rFonts w:ascii="Times New Roman" w:hAnsi="Times New Roman"/>
          <w:color w:val="000000" w:themeColor="text1"/>
          <w:sz w:val="16"/>
          <w:szCs w:val="16"/>
          <w:lang w:eastAsia="ru-RU" w:bidi="ru-RU"/>
        </w:rPr>
        <w:softHyphen/>
        <w:t>ных аэродромов вполне годились штур</w:t>
      </w:r>
      <w:r w:rsidRPr="00E93F40">
        <w:rPr>
          <w:rFonts w:ascii="Times New Roman" w:hAnsi="Times New Roman"/>
          <w:color w:val="000000" w:themeColor="text1"/>
          <w:sz w:val="16"/>
          <w:szCs w:val="16"/>
          <w:lang w:eastAsia="ru-RU" w:bidi="ru-RU"/>
        </w:rPr>
        <w:softHyphen/>
        <w:t>мовики-монопланы, имевшие лучшие лет</w:t>
      </w:r>
      <w:r w:rsidRPr="00E93F40">
        <w:rPr>
          <w:rFonts w:ascii="Times New Roman" w:hAnsi="Times New Roman"/>
          <w:color w:val="000000" w:themeColor="text1"/>
          <w:sz w:val="16"/>
          <w:szCs w:val="16"/>
          <w:lang w:eastAsia="ru-RU" w:bidi="ru-RU"/>
        </w:rPr>
        <w:softHyphen/>
        <w:t>ные данные (21062).</w:t>
      </w:r>
    </w:p>
    <w:p w14:paraId="40F5A76B" w14:textId="77777777" w:rsidR="00B57906" w:rsidRPr="00E93F40" w:rsidRDefault="00B57906" w:rsidP="00E93F40">
      <w:pPr>
        <w:spacing w:after="0" w:line="240" w:lineRule="auto"/>
        <w:jc w:val="both"/>
        <w:rPr>
          <w:rFonts w:ascii="Times New Roman" w:hAnsi="Times New Roman"/>
          <w:color w:val="000000" w:themeColor="text1"/>
          <w:sz w:val="16"/>
          <w:szCs w:val="16"/>
        </w:rPr>
      </w:pPr>
    </w:p>
    <w:p w14:paraId="67F7C295"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испытали ШОН (92,420).</w:t>
      </w:r>
    </w:p>
    <w:p w14:paraId="26F0BC33"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p>
    <w:p w14:paraId="7C70C3D8"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закончились испытания легкого одномоторного (BMW-6) двухместного штурмовика ШОН (штурмовик особого назначения, № 23 по плану ЦКБ) с частичным бронированием (только снизу) мотора и кабины летчика, которые проходили с 1 апреля 1931 г. Машина была разработана в ЦКБ параллельно работам по ТШ-2 на базе штурмовика ЛШ-1. В создании ШОН, кроме Н. Н. Поликарпова и С. А. Кочеригина, принимал участие Д. П. Григорович.</w:t>
      </w:r>
    </w:p>
    <w:p w14:paraId="0D163513"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Предполагалось, что этим штурмовиком будут вооружаться также и авиагруппы перспективных советских авианосцев, проектирование которых велось в это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27FEDA44"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ШОН состояло из счетверенной качающейся установки пулеметов ПВ-1, установленной в полу кабины стрелка, для стрельбы под углом впред-вниз и назад, и 400 кг авиабомб. Оборонительное вооружение включало один пулемет для стрельбы назад.</w:t>
      </w:r>
    </w:p>
    <w:p w14:paraId="77083DAA"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получилась довольно простой и дешевой в производстве. Сварная моторама крепилась к фюзеляжу на четырех болтах.</w:t>
      </w:r>
    </w:p>
    <w:p w14:paraId="1232903B"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 выполнялся из сварных углеродистых труб с поперечными проволочными растяжками и от кабины до конца фюзеляжа покрывался полотном.</w:t>
      </w:r>
    </w:p>
    <w:p w14:paraId="38D3E972"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крыльев деревянная, двухлонжеронная с полотняной обшивкой. Для удобства транспортировки и размещения самолета на палубе авианосца крылья отворачивались назад. Были внесены изменения и в конструкцию шасси.</w:t>
      </w:r>
    </w:p>
    <w:p w14:paraId="34AF953A"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Первые же полеты показали, что при температуре окружающего воздуха 21°С вода в системе охлаждения закипала. Завод перешел на этиленгликолевое охлаждение. Температура масла тоже была высокой.</w:t>
      </w:r>
    </w:p>
    <w:p w14:paraId="4EFCB19A"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оценка летных характеристик была положительной, однако в серию ШОН запущен не был, так как надобность в нем уже прошла - от создания авианосцев отказались, а для применения с сухопутных аэродромов вполне годились штурмовики-монопланы, имевшие лучшие скоростные качества (9649).</w:t>
      </w:r>
    </w:p>
    <w:p w14:paraId="4F36517D" w14:textId="77777777" w:rsidR="00B57906" w:rsidRPr="00E93F40" w:rsidRDefault="00B57906" w:rsidP="00E93F40">
      <w:pPr>
        <w:autoSpaceDE w:val="0"/>
        <w:autoSpaceDN w:val="0"/>
        <w:adjustRightInd w:val="0"/>
        <w:spacing w:after="0" w:line="240" w:lineRule="auto"/>
        <w:jc w:val="both"/>
        <w:rPr>
          <w:rFonts w:ascii="Times New Roman" w:hAnsi="Times New Roman"/>
          <w:color w:val="000000" w:themeColor="text1"/>
          <w:sz w:val="16"/>
          <w:szCs w:val="16"/>
        </w:rPr>
      </w:pPr>
    </w:p>
    <w:p w14:paraId="6A7ACB7A"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огромный самолет ТБ-3 с трудом осваи</w:t>
      </w:r>
      <w:r w:rsidRPr="00142305">
        <w:rPr>
          <w:rFonts w:ascii="Times New Roman" w:hAnsi="Times New Roman"/>
          <w:color w:val="0070C0"/>
          <w:sz w:val="16"/>
          <w:szCs w:val="16"/>
        </w:rPr>
        <w:softHyphen/>
        <w:t>вался в производстве Существовавший технологический уровень явно не соот</w:t>
      </w:r>
      <w:r w:rsidRPr="00142305">
        <w:rPr>
          <w:rFonts w:ascii="Times New Roman" w:hAnsi="Times New Roman"/>
          <w:color w:val="0070C0"/>
          <w:sz w:val="16"/>
          <w:szCs w:val="16"/>
        </w:rPr>
        <w:softHyphen/>
        <w:t>ветствовал сложности ТБ-3. Так, кронш</w:t>
      </w:r>
      <w:r w:rsidRPr="00142305">
        <w:rPr>
          <w:rFonts w:ascii="Times New Roman" w:hAnsi="Times New Roman"/>
          <w:color w:val="0070C0"/>
          <w:sz w:val="16"/>
          <w:szCs w:val="16"/>
        </w:rPr>
        <w:softHyphen/>
        <w:t>тейны крепления частей крыла делали «по месту», а стыковочные болты были нестандартны по длине и диаметру. Отме</w:t>
      </w:r>
      <w:r w:rsidRPr="00142305">
        <w:rPr>
          <w:rFonts w:ascii="Times New Roman" w:hAnsi="Times New Roman"/>
          <w:color w:val="0070C0"/>
          <w:sz w:val="16"/>
          <w:szCs w:val="16"/>
        </w:rPr>
        <w:softHyphen/>
        <w:t>чалась плохая подгонка частей самолета, небрежная обработка стыков, невзаимозаменяемость узлов даже на машинах одной серии, волнистость поверхности крыла Особенно много претензий предъявляли к сборке и нивелировке бомбардировщика. Из-за требования возможности перевозки по железной дороге ТБ-3 членился на очень большое количество узлов, даже крыло разделялось не только поперек, но и вдоль. Так вот, все это собиралось с большим трудом. Например, секции полу</w:t>
      </w:r>
      <w:r w:rsidRPr="00142305">
        <w:rPr>
          <w:rFonts w:ascii="Times New Roman" w:hAnsi="Times New Roman"/>
          <w:color w:val="0070C0"/>
          <w:sz w:val="16"/>
          <w:szCs w:val="16"/>
        </w:rPr>
        <w:softHyphen/>
        <w:t>крыла оказывались лежащими не в одной плоскости. Щели в соединениях зияли та</w:t>
      </w:r>
      <w:r w:rsidRPr="00142305">
        <w:rPr>
          <w:rFonts w:ascii="Times New Roman" w:hAnsi="Times New Roman"/>
          <w:color w:val="0070C0"/>
          <w:sz w:val="16"/>
          <w:szCs w:val="16"/>
        </w:rPr>
        <w:softHyphen/>
        <w:t>кие, что на зиму их заклеивали полотном, чтобы не набивался снег. О том, что про</w:t>
      </w:r>
      <w:r w:rsidRPr="00142305">
        <w:rPr>
          <w:rFonts w:ascii="Times New Roman" w:hAnsi="Times New Roman"/>
          <w:color w:val="0070C0"/>
          <w:sz w:val="16"/>
          <w:szCs w:val="16"/>
        </w:rPr>
        <w:softHyphen/>
        <w:t>исходило внутри самолета, и говорить не приходится. В самой первой «Временной полетно-эксплоатационной инструкции», выпущенной УВВС в 1932 г., перечень на</w:t>
      </w:r>
      <w:r w:rsidRPr="00142305">
        <w:rPr>
          <w:rFonts w:ascii="Times New Roman" w:hAnsi="Times New Roman"/>
          <w:color w:val="0070C0"/>
          <w:sz w:val="16"/>
          <w:szCs w:val="16"/>
        </w:rPr>
        <w:softHyphen/>
        <w:t>иболее распространенных производствен</w:t>
      </w:r>
      <w:r w:rsidRPr="00142305">
        <w:rPr>
          <w:rFonts w:ascii="Times New Roman" w:hAnsi="Times New Roman"/>
          <w:color w:val="0070C0"/>
          <w:sz w:val="16"/>
          <w:szCs w:val="16"/>
        </w:rPr>
        <w:softHyphen/>
        <w:t>ных дефектов занимал шесть страниц, набранных убористым шрифтом (24937).</w:t>
      </w:r>
    </w:p>
    <w:p w14:paraId="03DCE5CF" w14:textId="77777777" w:rsidR="00FD1168" w:rsidRPr="00142305" w:rsidRDefault="00FD1168" w:rsidP="00FD1168">
      <w:pPr>
        <w:spacing w:after="0" w:line="240" w:lineRule="auto"/>
        <w:jc w:val="both"/>
        <w:rPr>
          <w:rFonts w:ascii="Times New Roman" w:hAnsi="Times New Roman"/>
          <w:color w:val="0070C0"/>
          <w:sz w:val="16"/>
          <w:szCs w:val="16"/>
        </w:rPr>
      </w:pPr>
    </w:p>
    <w:p w14:paraId="1C9135FF"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серийное производство Р—6 завод №22 после выпуска 45 машин (пяти се</w:t>
      </w:r>
      <w:r w:rsidRPr="00E93F40">
        <w:rPr>
          <w:rFonts w:ascii="Times New Roman" w:hAnsi="Times New Roman"/>
          <w:color w:val="000000" w:themeColor="text1"/>
          <w:sz w:val="16"/>
          <w:szCs w:val="16"/>
        </w:rPr>
        <w:softHyphen/>
        <w:t>рий) передал заводу № 31 в Таганроге. Туда же отправили агрегаты пяти машин 6-й серии, а в августе 1932 г. — и самолет-эта</w:t>
      </w:r>
      <w:r w:rsidRPr="00E93F40">
        <w:rPr>
          <w:rFonts w:ascii="Times New Roman" w:hAnsi="Times New Roman"/>
          <w:color w:val="000000" w:themeColor="text1"/>
          <w:sz w:val="16"/>
          <w:szCs w:val="16"/>
        </w:rPr>
        <w:softHyphen/>
        <w:t>лон №2201.</w:t>
      </w:r>
    </w:p>
    <w:p w14:paraId="09D134A2"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Вторую серийную машину (№ 2202) в Таганроге поставили на поплавки типа Short. Она прошла испытания и могла применяться в качестве:</w:t>
      </w:r>
    </w:p>
    <w:p w14:paraId="39DCD8C9"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многоместного истребителя с мас</w:t>
      </w:r>
      <w:r w:rsidRPr="00E93F40">
        <w:rPr>
          <w:rFonts w:ascii="Times New Roman" w:hAnsi="Times New Roman"/>
          <w:color w:val="000000" w:themeColor="text1"/>
          <w:sz w:val="16"/>
          <w:szCs w:val="16"/>
        </w:rPr>
        <w:softHyphen/>
        <w:t>сой полезной нагрузки 1770 кг,</w:t>
      </w:r>
    </w:p>
    <w:p w14:paraId="687557C1"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дальнего разведчика с массой по</w:t>
      </w:r>
      <w:r w:rsidRPr="00E93F40">
        <w:rPr>
          <w:rFonts w:ascii="Times New Roman" w:hAnsi="Times New Roman"/>
          <w:color w:val="000000" w:themeColor="text1"/>
          <w:sz w:val="16"/>
          <w:szCs w:val="16"/>
        </w:rPr>
        <w:softHyphen/>
        <w:t>лезной нагрузки 2860 кг.</w:t>
      </w:r>
    </w:p>
    <w:p w14:paraId="78B484EA"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испытаний поплавко</w:t>
      </w:r>
      <w:r w:rsidRPr="00E93F40">
        <w:rPr>
          <w:rFonts w:ascii="Times New Roman" w:hAnsi="Times New Roman"/>
          <w:color w:val="000000" w:themeColor="text1"/>
          <w:sz w:val="16"/>
          <w:szCs w:val="16"/>
        </w:rPr>
        <w:softHyphen/>
        <w:t>вого варианта НИИ ВВС пришел к выводу, что по своим летным качествам самолет значительно превосходит все стоящие на вооружении машины и может использо</w:t>
      </w:r>
      <w:r w:rsidRPr="00E93F40">
        <w:rPr>
          <w:rFonts w:ascii="Times New Roman" w:hAnsi="Times New Roman"/>
          <w:color w:val="000000" w:themeColor="text1"/>
          <w:sz w:val="16"/>
          <w:szCs w:val="16"/>
        </w:rPr>
        <w:softHyphen/>
        <w:t>ваться в качестве:</w:t>
      </w:r>
    </w:p>
    <w:p w14:paraId="405C043D"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воздушного крейсера,</w:t>
      </w:r>
    </w:p>
    <w:p w14:paraId="251B5C1F"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дальнего разведчика,</w:t>
      </w:r>
    </w:p>
    <w:p w14:paraId="25A9E170"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бомбардировщика,</w:t>
      </w:r>
    </w:p>
    <w:p w14:paraId="013A46CE"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торпедоносца.</w:t>
      </w:r>
    </w:p>
    <w:p w14:paraId="33BAFA65"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Поплавковый вариант получил обо</w:t>
      </w:r>
      <w:r w:rsidRPr="00E93F40">
        <w:rPr>
          <w:rFonts w:ascii="Times New Roman" w:hAnsi="Times New Roman"/>
          <w:color w:val="000000" w:themeColor="text1"/>
          <w:sz w:val="16"/>
          <w:szCs w:val="16"/>
        </w:rPr>
        <w:softHyphen/>
        <w:t>значение МР—6 и выпускался без опуска</w:t>
      </w:r>
      <w:r w:rsidRPr="00E93F40">
        <w:rPr>
          <w:rFonts w:ascii="Times New Roman" w:hAnsi="Times New Roman"/>
          <w:color w:val="000000" w:themeColor="text1"/>
          <w:sz w:val="16"/>
          <w:szCs w:val="16"/>
        </w:rPr>
        <w:softHyphen/>
        <w:t>ющейся подфюзеляжной башни.</w:t>
      </w:r>
    </w:p>
    <w:p w14:paraId="2724B8F4"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производство МР—6 в Таган</w:t>
      </w:r>
      <w:r w:rsidRPr="00E93F40">
        <w:rPr>
          <w:rFonts w:ascii="Times New Roman" w:hAnsi="Times New Roman"/>
          <w:color w:val="000000" w:themeColor="text1"/>
          <w:sz w:val="16"/>
          <w:szCs w:val="16"/>
        </w:rPr>
        <w:softHyphen/>
        <w:t>роге было прекращено, и машину снова стали выпускать в Москве. Под обозна</w:t>
      </w:r>
      <w:r w:rsidRPr="00E93F40">
        <w:rPr>
          <w:rFonts w:ascii="Times New Roman" w:hAnsi="Times New Roman"/>
          <w:color w:val="000000" w:themeColor="text1"/>
          <w:sz w:val="16"/>
          <w:szCs w:val="16"/>
        </w:rPr>
        <w:softHyphen/>
        <w:t>чением КР—6 2М—17 (крейсер) она вы</w:t>
      </w:r>
      <w:r w:rsidRPr="00E93F40">
        <w:rPr>
          <w:rFonts w:ascii="Times New Roman" w:hAnsi="Times New Roman"/>
          <w:color w:val="000000" w:themeColor="text1"/>
          <w:sz w:val="16"/>
          <w:szCs w:val="16"/>
        </w:rPr>
        <w:softHyphen/>
        <w:t>пускалась в 1934—1936 гг. в сухопутном варианте. Кроме заводов №22 и №31, серийная постройка Р—6 началась на за</w:t>
      </w:r>
      <w:r w:rsidRPr="00E93F40">
        <w:rPr>
          <w:rFonts w:ascii="Times New Roman" w:hAnsi="Times New Roman"/>
          <w:color w:val="000000" w:themeColor="text1"/>
          <w:sz w:val="16"/>
          <w:szCs w:val="16"/>
        </w:rPr>
        <w:softHyphen/>
        <w:t>воде №126 в Комсомольске-на-Амуре. Первый самолет там был выпущен к пра</w:t>
      </w:r>
      <w:r w:rsidRPr="00E93F40">
        <w:rPr>
          <w:rFonts w:ascii="Times New Roman" w:hAnsi="Times New Roman"/>
          <w:color w:val="000000" w:themeColor="text1"/>
          <w:sz w:val="16"/>
          <w:szCs w:val="16"/>
        </w:rPr>
        <w:softHyphen/>
        <w:t>зднику — 1 мая 1936 г. Всего дальневос</w:t>
      </w:r>
      <w:r w:rsidRPr="00E93F40">
        <w:rPr>
          <w:rFonts w:ascii="Times New Roman" w:hAnsi="Times New Roman"/>
          <w:color w:val="000000" w:themeColor="text1"/>
          <w:sz w:val="16"/>
          <w:szCs w:val="16"/>
        </w:rPr>
        <w:softHyphen/>
        <w:t>точное предприятие сдало 20 самолетов (23474).</w:t>
      </w:r>
    </w:p>
    <w:p w14:paraId="46D839D3" w14:textId="77777777" w:rsidR="001F79EA" w:rsidRPr="00E93F40" w:rsidRDefault="001F79EA" w:rsidP="00E93F40">
      <w:pPr>
        <w:spacing w:after="0" w:line="240" w:lineRule="auto"/>
        <w:jc w:val="both"/>
        <w:rPr>
          <w:rFonts w:ascii="Times New Roman" w:hAnsi="Times New Roman"/>
          <w:color w:val="000000" w:themeColor="text1"/>
          <w:sz w:val="16"/>
          <w:szCs w:val="16"/>
        </w:rPr>
      </w:pPr>
    </w:p>
    <w:p w14:paraId="412E184E" w14:textId="5FC787EB"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для выявления причины срыва потока с крыла Р-6 и ее устранения были проведены широкомасштабные летные исследования трех самолетов Р-6. На одном из них вся корневая поверхность крыла была очищена от надстроек, способных возмутить обтекающий крыло поток. На другом самолете на участке крыла между бортом фюзеляжа и гондолой двигателей был установлен предкрылок, а на третьем — профилированный закрылок, причем между задней кромкой крыла и верхней поверхностью закрылка, доходившего до элерона, имелась щель.</w:t>
      </w:r>
      <w:r>
        <w:rPr>
          <w:rFonts w:ascii="Times New Roman" w:hAnsi="Times New Roman"/>
          <w:color w:val="0070C0"/>
          <w:sz w:val="16"/>
          <w:szCs w:val="16"/>
        </w:rPr>
        <w:t xml:space="preserve"> </w:t>
      </w:r>
      <w:r w:rsidRPr="00142305">
        <w:rPr>
          <w:rFonts w:ascii="Times New Roman" w:hAnsi="Times New Roman"/>
          <w:color w:val="0070C0"/>
          <w:sz w:val="16"/>
          <w:szCs w:val="16"/>
        </w:rPr>
        <w:t>Наибольший эффект, связанный с полным устранением вибраций на всех режимах полета, был получен на самолете с закрылком (23241).</w:t>
      </w:r>
    </w:p>
    <w:p w14:paraId="206748C5" w14:textId="77777777" w:rsidR="00FD1168" w:rsidRPr="00142305" w:rsidRDefault="00FD1168" w:rsidP="00FD1168">
      <w:pPr>
        <w:spacing w:after="0" w:line="240" w:lineRule="auto"/>
        <w:jc w:val="both"/>
        <w:rPr>
          <w:rFonts w:ascii="Times New Roman" w:hAnsi="Times New Roman"/>
          <w:color w:val="0070C0"/>
          <w:sz w:val="16"/>
          <w:szCs w:val="16"/>
        </w:rPr>
      </w:pPr>
    </w:p>
    <w:p w14:paraId="768DF1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в 252-й авиабригаде в Гомеле по инициативе комбрига А.А. Туржанского и инженера Павлова доработали один Р-5, смонтировав дополнительные неподвижные пулеметы ПВ-1 сверху нижнего крыла (по два с каждой стороны). Испытывал машину сам Туржанский. С одного захода пулеметным огнем удалось поразить до половины мишеней, причем в некоторых было по 4-5 пробоин. После демонстрации штурмовика представителю УВВС А.В. Хрипину последовало распоряжение отправить его в Москву (11936).</w:t>
      </w:r>
    </w:p>
    <w:p w14:paraId="3E760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E53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в 252-й авиабригаде в Гомеле по инициативе комбрига А.А. Туржанского и инженера Павлова доработали один Р-5, смонтировав дополнительные неподвижные пулеметы над нижним крылом. За основу при этом взяли установку, сделанную ранее для самолета Р-1. С каждой стороны стояла пара ПВ-1 под обшим обтекателем. Таким образом, вперед стреляли пять пулеметов одновременно.</w:t>
      </w:r>
    </w:p>
    <w:p w14:paraId="03DC8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Испытывал машину сам Туржанский. На полигоне установили мишени, изображавшие колонну пехоты на марше. С одного захода пулеметным огнем удалось поразить до половины мишеней, причем в некоторых было до четырех-пяти пробоин. После демонстрации штурмовика представителю УВВС А. В. Хрипину последовало распоряжение отправить его в Москву для ознакомления.</w:t>
      </w:r>
    </w:p>
    <w:p w14:paraId="3DF86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бригаде модернизировали и бомбовое вооружение Р-5. Под бомбодержателями закрепили дополнительные балочки с ухватами, увеличивавшие количество подвешиваемых бомб до 30. Механизм сбрасывания усложнился, а усилие возросло, но зато появилась весьма важная для штурмовика возможность нести много бомб мелкого калибра.</w:t>
      </w:r>
    </w:p>
    <w:p w14:paraId="7D630E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проходил испытания в НИИ ВВС с 25 октября по 8 декабря 1932 г. Конструкция в целом одобрили, но испытатели высказали ряд замечаний. В частности, имелись сомнения в достаточной прочности нижнего крыла. Машина дорабатывалась в мастерских НИИ ВВС под руководством инженера Бобовникова. Количество замков бомбодержателей увеличили с исходных 30 до 40. Нормальная бомбовая нагрузка штурмовика Р-5Ш составляла 320 кг, максимальная - 400 кг (40 штук АО-10). Использование боеприпасов калибром более 100 кг не предусматривалось.</w:t>
      </w:r>
    </w:p>
    <w:p w14:paraId="5C34CE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вооружите все наши штурмовые части полностью пулеметными батареями по образцу (способу) Туржанского - Павлова... "</w:t>
      </w:r>
    </w:p>
    <w:p w14:paraId="70D8E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февралю 1933 г., конечно, не успели. Лишь в начале года удалось договориться с промышленностью о выпуске 220 комплектов для переделки обычных Р-5 в штурмовики. Завод № 1 обязался сдать десять эталонных Р-5Ш, которые должны были стать образцами для мастерских ВВС. Исходный же опытный образец после внесения изменений продемонстрировали на московском Центральном аэродроме комиссии Реввоенсовета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 (12034).</w:t>
      </w:r>
    </w:p>
    <w:p w14:paraId="4CA26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99357F"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опытный образец поплавкового самолета Р-5, который поспешно забрали, пре</w:t>
      </w:r>
      <w:r w:rsidRPr="00142305">
        <w:rPr>
          <w:rFonts w:ascii="Times New Roman" w:hAnsi="Times New Roman"/>
          <w:color w:val="0070C0"/>
          <w:sz w:val="16"/>
          <w:szCs w:val="16"/>
        </w:rPr>
        <w:softHyphen/>
        <w:t>рвав испытания, участвовал в Северо- Восточной экспедиции. Базировалась машина на пароходе «Сучан», пилотировал ее А.М. Бердник. В августе этот са</w:t>
      </w:r>
      <w:r w:rsidRPr="00142305">
        <w:rPr>
          <w:rFonts w:ascii="Times New Roman" w:hAnsi="Times New Roman"/>
          <w:color w:val="0070C0"/>
          <w:sz w:val="16"/>
          <w:szCs w:val="16"/>
        </w:rPr>
        <w:softHyphen/>
        <w:t xml:space="preserve">молет помог выбраться из льдов каравану судов с рабочими «Дальстроя». </w:t>
      </w:r>
      <w:r w:rsidRPr="00142305">
        <w:rPr>
          <w:rFonts w:ascii="Times New Roman" w:hAnsi="Times New Roman"/>
          <w:color w:val="0070C0"/>
          <w:sz w:val="16"/>
          <w:szCs w:val="16"/>
        </w:rPr>
        <w:lastRenderedPageBreak/>
        <w:t>Бердник посадил во вторую кабину капитана А.П. Бочека. По данным их разведки восемь судов вышли на чистую воду. В следующем году на этой машине, полу</w:t>
      </w:r>
      <w:r w:rsidRPr="00142305">
        <w:rPr>
          <w:rFonts w:ascii="Times New Roman" w:hAnsi="Times New Roman"/>
          <w:color w:val="0070C0"/>
          <w:sz w:val="16"/>
          <w:szCs w:val="16"/>
        </w:rPr>
        <w:softHyphen/>
        <w:t>чившей бортовой номер «Н7», вывозили пушнину с отда</w:t>
      </w:r>
      <w:r w:rsidRPr="00142305">
        <w:rPr>
          <w:rFonts w:ascii="Times New Roman" w:hAnsi="Times New Roman"/>
          <w:color w:val="0070C0"/>
          <w:sz w:val="16"/>
          <w:szCs w:val="16"/>
        </w:rPr>
        <w:softHyphen/>
        <w:t>ленных факторий, проводили картографическую съемку устья Лены, обследовали зимовки на мысе Челюскина (24990).</w:t>
      </w:r>
    </w:p>
    <w:p w14:paraId="7DA63BA0" w14:textId="77777777" w:rsidR="00FD1168" w:rsidRPr="00142305" w:rsidRDefault="00FD1168" w:rsidP="00FD1168">
      <w:pPr>
        <w:spacing w:after="0" w:line="240" w:lineRule="auto"/>
        <w:jc w:val="both"/>
        <w:rPr>
          <w:rFonts w:ascii="Times New Roman" w:hAnsi="Times New Roman"/>
          <w:color w:val="0070C0"/>
          <w:sz w:val="16"/>
          <w:szCs w:val="16"/>
        </w:rPr>
      </w:pPr>
    </w:p>
    <w:p w14:paraId="068256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На испытаниях самолета ТБ-1 № 690, на котором уста</w:t>
      </w:r>
      <w:r w:rsidRPr="00E93F40">
        <w:rPr>
          <w:rFonts w:ascii="Times New Roman" w:hAnsi="Times New Roman"/>
          <w:color w:val="000000" w:themeColor="text1"/>
          <w:sz w:val="16"/>
          <w:szCs w:val="16"/>
        </w:rPr>
        <w:softHyphen/>
        <w:t>новили в бомбоотсеке 2 дополнительных бака и еще 4 — в крыле общей емкостью 1570 л., в НИИ ВВС выяснилось, что радиус действия воз</w:t>
      </w:r>
      <w:r w:rsidRPr="00E93F40">
        <w:rPr>
          <w:rFonts w:ascii="Times New Roman" w:hAnsi="Times New Roman"/>
          <w:color w:val="000000" w:themeColor="text1"/>
          <w:sz w:val="16"/>
          <w:szCs w:val="16"/>
        </w:rPr>
        <w:softHyphen/>
        <w:t>рос до 800 км, а продолжительность беспо</w:t>
      </w:r>
      <w:r w:rsidRPr="00E93F40">
        <w:rPr>
          <w:rFonts w:ascii="Times New Roman" w:hAnsi="Times New Roman"/>
          <w:color w:val="000000" w:themeColor="text1"/>
          <w:sz w:val="16"/>
          <w:szCs w:val="16"/>
        </w:rPr>
        <w:softHyphen/>
        <w:t>садочного полета превысила 10 ч. Успех подтвердили перелетами из Москвы в Во</w:t>
      </w:r>
      <w:r w:rsidRPr="00E93F40">
        <w:rPr>
          <w:rFonts w:ascii="Times New Roman" w:hAnsi="Times New Roman"/>
          <w:color w:val="000000" w:themeColor="text1"/>
          <w:sz w:val="16"/>
          <w:szCs w:val="16"/>
        </w:rPr>
        <w:softHyphen/>
        <w:t>ронеж и обратно, а также в Киев и обратно. Управление ВВС пожелало в последующем увеличить радиус действия самолета до 1200 км. Одним из вариантов решения проблемы являлась дозаправка бомбарди</w:t>
      </w:r>
      <w:r w:rsidRPr="00E93F40">
        <w:rPr>
          <w:rFonts w:ascii="Times New Roman" w:hAnsi="Times New Roman"/>
          <w:color w:val="000000" w:themeColor="text1"/>
          <w:sz w:val="16"/>
          <w:szCs w:val="16"/>
        </w:rPr>
        <w:softHyphen/>
        <w:t>ровщика в воздухе. Летом 1932 г. на специ</w:t>
      </w:r>
      <w:r w:rsidRPr="00E93F40">
        <w:rPr>
          <w:rFonts w:ascii="Times New Roman" w:hAnsi="Times New Roman"/>
          <w:color w:val="000000" w:themeColor="text1"/>
          <w:sz w:val="16"/>
          <w:szCs w:val="16"/>
        </w:rPr>
        <w:softHyphen/>
        <w:t>ально подготовленный ТБ-1 № 648 с само</w:t>
      </w:r>
      <w:r w:rsidRPr="00E93F40">
        <w:rPr>
          <w:rFonts w:ascii="Times New Roman" w:hAnsi="Times New Roman"/>
          <w:color w:val="000000" w:themeColor="text1"/>
          <w:sz w:val="16"/>
          <w:szCs w:val="16"/>
        </w:rPr>
        <w:softHyphen/>
        <w:t>лета-танкера Р-5 произвели несколько опытных перекачек бензина во время поле</w:t>
      </w:r>
      <w:r w:rsidRPr="00E93F40">
        <w:rPr>
          <w:rFonts w:ascii="Times New Roman" w:hAnsi="Times New Roman"/>
          <w:color w:val="000000" w:themeColor="text1"/>
          <w:sz w:val="16"/>
          <w:szCs w:val="16"/>
        </w:rPr>
        <w:softHyphen/>
        <w:t>та. Позднее ТБ-1 использовали и в качестве заправщика. Хотя весь процесс происходил достаточно примитивно, и установка шлан</w:t>
      </w:r>
      <w:r w:rsidRPr="00E93F40">
        <w:rPr>
          <w:rFonts w:ascii="Times New Roman" w:hAnsi="Times New Roman"/>
          <w:color w:val="000000" w:themeColor="text1"/>
          <w:sz w:val="16"/>
          <w:szCs w:val="16"/>
        </w:rPr>
        <w:softHyphen/>
        <w:t>га в заправочную горловину осуществля</w:t>
      </w:r>
      <w:r w:rsidRPr="00E93F40">
        <w:rPr>
          <w:rFonts w:ascii="Times New Roman" w:hAnsi="Times New Roman"/>
          <w:color w:val="000000" w:themeColor="text1"/>
          <w:sz w:val="16"/>
          <w:szCs w:val="16"/>
        </w:rPr>
        <w:softHyphen/>
        <w:t>лась вручную, цель была достигнута. Время полета увеличивалось примерно на 4 ч, а радиус действия составил около 1200 км.</w:t>
      </w:r>
    </w:p>
    <w:p w14:paraId="5131AE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ходе доработок вооружения под фю</w:t>
      </w:r>
      <w:r w:rsidRPr="00E93F40">
        <w:rPr>
          <w:rFonts w:ascii="Times New Roman" w:hAnsi="Times New Roman"/>
          <w:color w:val="000000" w:themeColor="text1"/>
          <w:sz w:val="16"/>
          <w:szCs w:val="16"/>
        </w:rPr>
        <w:softHyphen/>
        <w:t>зеляжем ТБ-1 оборудовали бомбодержате</w:t>
      </w:r>
      <w:r w:rsidRPr="00E93F40">
        <w:rPr>
          <w:rFonts w:ascii="Times New Roman" w:hAnsi="Times New Roman"/>
          <w:color w:val="000000" w:themeColor="text1"/>
          <w:sz w:val="16"/>
          <w:szCs w:val="16"/>
        </w:rPr>
        <w:softHyphen/>
        <w:t>ли Дер-13. На них можно было подвесить 4 бомбы ФАБ-250, ротативные контейнеры с мелкими бомбами или другие габаритные грузы. В период увлечения динамореактив-ными пушками (ДРП) пытались вооружить ими и ТБ-1. Для этого проводили опыты по установке 76-мм ДРП в бомбоотсеке и 37-мм ДРП в кормовой турели для обороны задней полусферы.</w:t>
      </w:r>
    </w:p>
    <w:p w14:paraId="79FD8B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Принимал участие ТБ-1 в эксперимен</w:t>
      </w:r>
      <w:r w:rsidRPr="00E93F40">
        <w:rPr>
          <w:rFonts w:ascii="Times New Roman" w:hAnsi="Times New Roman"/>
          <w:color w:val="000000" w:themeColor="text1"/>
          <w:sz w:val="16"/>
          <w:szCs w:val="16"/>
        </w:rPr>
        <w:softHyphen/>
        <w:t>тах конструктора Щербакова по высотной буксировке. Для достижения стратосферы при помощи планеров Щербаков предло</w:t>
      </w:r>
      <w:r w:rsidRPr="00E93F40">
        <w:rPr>
          <w:rFonts w:ascii="Times New Roman" w:hAnsi="Times New Roman"/>
          <w:color w:val="000000" w:themeColor="text1"/>
          <w:sz w:val="16"/>
          <w:szCs w:val="16"/>
        </w:rPr>
        <w:softHyphen/>
        <w:t>жил использовать метод «цепочки», когда один за другим буксируется несколько планеров, и каждый последующий летит выше предыдущего. Для отработки этого способа Щербаков использовал 2 планера конструк</w:t>
      </w:r>
      <w:r w:rsidRPr="00E93F40">
        <w:rPr>
          <w:rFonts w:ascii="Times New Roman" w:hAnsi="Times New Roman"/>
          <w:color w:val="000000" w:themeColor="text1"/>
          <w:sz w:val="16"/>
          <w:szCs w:val="16"/>
        </w:rPr>
        <w:softHyphen/>
        <w:t>ции В.К. Грибовского — Г-14 и Г-9. Первым за буксировщиком ТБ-1 шел двухместный и более тяжелый Г-14, за ним — одноместный Г-9. Такая «цепочка» выполнила много поле</w:t>
      </w:r>
      <w:r w:rsidRPr="00E93F40">
        <w:rPr>
          <w:rFonts w:ascii="Times New Roman" w:hAnsi="Times New Roman"/>
          <w:color w:val="000000" w:themeColor="text1"/>
          <w:sz w:val="16"/>
          <w:szCs w:val="16"/>
        </w:rPr>
        <w:softHyphen/>
        <w:t>тов. В начале апреля 1936 г. зафиксировали следующие результаты: ТБ-1 летел на вы</w:t>
      </w:r>
      <w:r w:rsidRPr="00E93F40">
        <w:rPr>
          <w:rFonts w:ascii="Times New Roman" w:hAnsi="Times New Roman"/>
          <w:color w:val="000000" w:themeColor="text1"/>
          <w:sz w:val="16"/>
          <w:szCs w:val="16"/>
        </w:rPr>
        <w:softHyphen/>
        <w:t>соте 5000 м, Г-14 (пилот Г.М. Венслав) — на 6000 м, а замыкающий Г-9 (пилот В.В. Шев</w:t>
      </w:r>
      <w:r w:rsidRPr="00E93F40">
        <w:rPr>
          <w:rFonts w:ascii="Times New Roman" w:hAnsi="Times New Roman"/>
          <w:color w:val="000000" w:themeColor="text1"/>
          <w:sz w:val="16"/>
          <w:szCs w:val="16"/>
        </w:rPr>
        <w:softHyphen/>
        <w:t>ченко) — на 7000 м. В 1938-39 гг. при помо</w:t>
      </w:r>
      <w:r w:rsidRPr="00E93F40">
        <w:rPr>
          <w:rFonts w:ascii="Times New Roman" w:hAnsi="Times New Roman"/>
          <w:color w:val="000000" w:themeColor="text1"/>
          <w:sz w:val="16"/>
          <w:szCs w:val="16"/>
        </w:rPr>
        <w:softHyphen/>
        <w:t>щи одного ТБ-1 в Осоавиахиме поднимали в воздух 9 и даже 11 (!) планеров Г-9 (11286).</w:t>
      </w:r>
    </w:p>
    <w:p w14:paraId="0EEBE9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571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был готов предварительный проект Д-1 или Г-1, а к декабрю 1932 завершили более 80% чертежей.</w:t>
      </w:r>
    </w:p>
    <w:p w14:paraId="269F4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техническому заданию самолет Д-1 был многоцелевым. Но в отличие от ТБ-3, ТБ-4 и ТБ-6, у которых на первый план выходили функции бомбардировщика, в первую очередь он являлся военно-транспортным. Причем упор делался не на снабжение фронта и не на быструю переброску войск, а на десантные операции. Д-1 предназначался для высадки больших воздушных парашютных и посадочных десантов. Отсюда и буква "Д" в обозначении - "десантный". Его, конечно, могли использовать и для перевозки людей и грузов к фронту, а также для их "доставки... в районы восстания в расположении противника". Д-1 должен был нести 180 - 200 человек или 25 т груза. Отсюда сразу следовал ряд его конструктивных особенностей - большие свободные объемы внутри крыла, возможность наружной подвески громоздкой техники.</w:t>
      </w:r>
    </w:p>
    <w:p w14:paraId="489A2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должен был также использоваться в роли тяжелого ночного бомбардировщика с бомбовой нагрузкой 15 т. Оборонительное вооружение складывалось из трех пушек, четырех крупнокалиберных и 10 обычных пулеметов. Задание требовало максимальной скорости 250 км/ч на высоте 3000 м, практического потолка, равного 4500 м, и дальности полета с 15 т бомб - 2000 км. Самолет по заданию предполагалось оснастить десятью моторами М-34ФРН.</w:t>
      </w:r>
    </w:p>
    <w:p w14:paraId="5DC980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проектировался в конструкторском бюро Военно-воздушной академии им. Жуковского под руководством С. Козлова. Его заместителем был В. Болховитинов. Там машина получила обозначение Г-1 (от "гигант" или "грузовой" - трудно сказать).</w:t>
      </w:r>
    </w:p>
    <w:p w14:paraId="1662D6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проекту Г-1 имел схему, близкую к "летающему крылу". Толстое двухлонжеронное крыло имело трапециевидную в плане форму. Максимальная хорда равнялась 15 м, а размах превышал 60 м. Между ферменными лонжеронами проходил технический коридор, по которому в полный рост могли ходить члены экипажа. Внутри крыла предусматривалось искусственное и естественное (через окна в верхней поверхности) освещение.</w:t>
      </w:r>
    </w:p>
    <w:p w14:paraId="68D6D8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заданные двигатели отсутствовали, пришлось взять другие, менее мощные и увеличить их количество. Машина имела очень оригинальную мотоустановку. Двенадцать моторов стояли шестью парами, носок к носку, у передней кромки крыла. Каждая пара работала на один редуктор, который через угловую передачу вращал длинный вал, идущий наверх. Там на высоких стойках располагались вторые угловые редукторы, приводившие во вращение воздушные винты. Винты были двухлопастные стальные диаметром 4,5 м. Для обслуживания верхнего редуктора на стойку монтировалась съемная лестница. Механик мог выйти на крыло через один из люков в потолке.</w:t>
      </w:r>
    </w:p>
    <w:p w14:paraId="152B4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Доступ к двигателям обеспечивался как изнутри крыла, так и снаружи. Часть носка крыла выполнялась откидной. Секции откидывались, превращаясь в рабочие платформы. Для замены мотора он выдвигался в технический коридор, на потолке которого имелась двигающаяся по рельсам таль. В полу коридора у каждой мотоустановки предусматривался люк для опускания двигателя вниз.</w:t>
      </w:r>
    </w:p>
    <w:p w14:paraId="3967C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Бензобаки находились там же, в крыле, но отделялись от двигателей противопожарными перегородками. Всего их имелось 24. Запас горючего был очень велик - 24 т, поскольку расчетная продолжительность полета превышала 20 часов. Все баки выполнялись съемными; они монтировались через люки в нижней поверхности крыла. Баки одного крыла соединялись общей магистралью с приемной горловиной под крылом. Бензин туда подавался от заправщика с мощным насосом под давлением; по расчетам, полная заправка самолета должна была занимать четыре часа. Каждый двигатель имел свой маслобак, всего их было 12 - в общей сложности на 2,5 т масла.</w:t>
      </w:r>
    </w:p>
    <w:p w14:paraId="5D9D77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Фюзеляжа, как такового, не существовало. По оси машины из носка крыла "вырастала" гондола, где размещались пилоты, штурманы и некоторые другие члены экипажа. Назад от крыла шли две массивные хвостовые балки, соединенные сзади стабилизатором. Килей было два - на каждой балке свой.</w:t>
      </w:r>
    </w:p>
    <w:p w14:paraId="7D06CC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Рули должны были управляться при помощи гидравлических или электромеханических бустеров. Надо уточнить: вторые в СССР уже имелись, но были ненадежны, а первых вообще не существовало.</w:t>
      </w:r>
    </w:p>
    <w:p w14:paraId="08EA96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у Г-1 выполнялось четырехточечным: две основные опоры и два костыля. Основные опоры были четырехколесными, но колеса стояли парами, каждая пара со своей стойкой и своими подкосами вбок и назад. Стойки наверху соединялись рычажной системой, передававшей усилие общему амортизатору, упрятанному внутрь крыла.</w:t>
      </w:r>
    </w:p>
    <w:p w14:paraId="2A9228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Десантники и грузы размещались в центроплане. При погрузке их поднимали наверх специальные платформы- лифты. Эти же платформы использовались при выброске парашютистов. Самолет мог перевозить пехотинцев со снаряжением и вооружением, парашютистов-десантников, стрелковое оружие и пулеметы, инструмент, взрывчатые вещества, боеприпасы, продовольствие, горючее и масло в различной таре, артиллерийские орудия различного калибра и назначения (включая зенитные), легкие танки, танкетки, легковые и грузовые автомобили, бронемашины. Можно было также вывозить раненых. В качестве танкеров четыре-пять Г-1 могли обеспечить бензином ВВС целой армии из бригады бомбардировщиков ТБ-1, трех бригад разведчиков Р-5, трех бригад истребителей и двух эскадрилий "крейсеров" Р-6. Прорабатывался вариант "танкера сопровождения", способного проводить дозаправку самолетов в воздухе. Один такой самолет мог заправить более двух эскадрилий Р-6.</w:t>
      </w:r>
    </w:p>
    <w:p w14:paraId="441E2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Г-1 в зависимости от выполняемого задания мог варьироваться от девяти до 18 человек. Был и более развернутый вариант штата. Его состав и названия должностей были ближе к небольшому военному кораблю, нежели к самолету. На борту имелись освобожденный от прочих обязанностей командир, два пилота, два штурмана, главный механик, четыре инженера и пять техников, главный артиллерист, два бортмеханика-моториста, радист и от пяти до девяти стрелков. Весь экипаж, кроме кормовых стрелков, поднимался по стремянкам в люки моторных коридоров, откуда расходился по рабочим местам. На земле одну гигантскую машину должны были обслуживать 69 человек.</w:t>
      </w:r>
    </w:p>
    <w:p w14:paraId="54E17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Внутренняя связь между членами экипажа обеспечивалась переговорным устройством (внутренним телефоном) на 12 абонентов, пневмопочтой, сигнализацией цветными лампочками и сиреной. У главного артиллериста и командира самолета кроме этого имелось электрическое устройство, аналогичное корабельному машинному телеграфу. Его репитеры стояли на всех боевых постах. Вращающаяся стрелка указывала направление стрельбы. С помощью этого устройства можно было отдать команду на сосредоточение огня в определенном направлении. В кабине командира монтировалось панно сигнализации, показывающее состояние различных систем. Связь между самолетами в группе обеспечивалась по радио, пуском цветных ракет и... вымпелами, как на кораблях!</w:t>
      </w:r>
    </w:p>
    <w:p w14:paraId="68A364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Огневые точки располагались в самом носу центральной гондолы, в передних оконечностях хвостовых балок, проходящих под крылом и немного выдающихся за его переднюю кромку, сверху на консолях, сверху посередине хвостовых балок и в самых их концах, за стабилизатором. В носу и на концах хвостовых балок монтировались пушки, в остальных установках - пулеметы. Управление огнем осуществлялось из двух рубок: передней - командира и задней - старшего артиллериста. В документе "Перспективы боевого применения Г-1", датированном 27 октября 1932 г., указывается: "Несомненно, однако, что противник не рискнет... на бой одиночного самолета с кораблем Г-1, ибо этот самолет наверняка будет сбит". Конструкторы считали, что гигантский самолет сможет отразить атаку до девяти истребителей одновременно, успешно ведя бой с любым количеством противников, которое было бы меньше, чем число огневых точек.</w:t>
      </w:r>
    </w:p>
    <w:p w14:paraId="5F62F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Г-1, защищаясь, мог пустить в ход не только пушки и пулеметы. В хвосте располагались "баллоны самообороны", разбрызгивавшие отравляющие вещества. Из специальных отсеков выбрасывались небольшие бомбочки с дистанционными взрывателями - прообраз будущих авиационных фанат. И, наконец, Г-1 мог поставить за собой дымовую завесу, для чего имелся специальный бак на две тонны смеси. Смесь могла быть как обычной С-4, так и ядовитой.</w:t>
      </w:r>
    </w:p>
    <w:p w14:paraId="73708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качестве бомбардировщика Г-1 имел максимальную нагрузку 25 т, нормальную 15 т - как ТБ-6 (АНТ-26). Максимальная дальность с 5000 кг бомб по расчетам составляла 2200 км. Самые большие бомбы, которые можно было использовать, - ФАБ-2000. Предусматривалась и подвеска одноразовых бомбовых кассет РРАБ. Как </w:t>
      </w:r>
      <w:r w:rsidRPr="00E93F40">
        <w:rPr>
          <w:rFonts w:ascii="Times New Roman" w:hAnsi="Times New Roman"/>
          <w:color w:val="000000" w:themeColor="text1"/>
          <w:sz w:val="16"/>
          <w:szCs w:val="16"/>
        </w:rPr>
        <w:lastRenderedPageBreak/>
        <w:t>бомбардировщик Г-1 был эквивалентен сразу десяти ТБ-3. Вместо бомб можно было взять химические выливные приборы с общим весом отравляющих веществ до 20 т. Суммарный нормальный взлетный вес Г-1 определялся примерно в 40 т (12036).</w:t>
      </w:r>
    </w:p>
    <w:p w14:paraId="4041F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17B4E9"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был готов предварительный проект Д-1 или Г-1, а к декабрю завершили более 80% чертежей.</w:t>
      </w:r>
    </w:p>
    <w:p w14:paraId="508426D6"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техническому заданию самолет Д-I был многоцеле</w:t>
      </w:r>
      <w:r w:rsidRPr="00142305">
        <w:rPr>
          <w:rFonts w:ascii="Times New Roman" w:hAnsi="Times New Roman"/>
          <w:color w:val="0070C0"/>
          <w:sz w:val="16"/>
          <w:szCs w:val="16"/>
        </w:rPr>
        <w:softHyphen/>
        <w:t>вым. Но в отличие от ТБ-3, ТБ-4 и ТБ-6, у которых на первый план выходили функции бомбардировщика, в первую очередь он являлся военно-транспортным. Причем упор делался не на снабжение фронта и не на быструю переброску войск, а на десантные операции. Д-I предназначался для высадки боль</w:t>
      </w:r>
      <w:r w:rsidRPr="00142305">
        <w:rPr>
          <w:rFonts w:ascii="Times New Roman" w:hAnsi="Times New Roman"/>
          <w:color w:val="0070C0"/>
          <w:sz w:val="16"/>
          <w:szCs w:val="16"/>
        </w:rPr>
        <w:softHyphen/>
        <w:t>ших воздушных парашютных и посадочных десантов. Отсюда и буква «Д» в обозначении — «десантный». Его, конечно, мог</w:t>
      </w:r>
      <w:r w:rsidRPr="00142305">
        <w:rPr>
          <w:rFonts w:ascii="Times New Roman" w:hAnsi="Times New Roman"/>
          <w:color w:val="0070C0"/>
          <w:sz w:val="16"/>
          <w:szCs w:val="16"/>
        </w:rPr>
        <w:softHyphen/>
        <w:t xml:space="preserve">ли использовать и для перевозки людей и грузов к фронту, а также для их «доставки... </w:t>
      </w:r>
      <w:r w:rsidRPr="00142305">
        <w:rPr>
          <w:rFonts w:ascii="Times New Roman" w:hAnsi="Times New Roman"/>
          <w:smallCaps/>
          <w:color w:val="0070C0"/>
          <w:sz w:val="16"/>
          <w:szCs w:val="16"/>
        </w:rPr>
        <w:t>в</w:t>
      </w:r>
      <w:r w:rsidRPr="00142305">
        <w:rPr>
          <w:rFonts w:ascii="Times New Roman" w:hAnsi="Times New Roman"/>
          <w:color w:val="0070C0"/>
          <w:sz w:val="16"/>
          <w:szCs w:val="16"/>
        </w:rPr>
        <w:t xml:space="preserve"> районы восстания в расположении противника». Д -1 должен был нести 180 — 200 человек или 25 т груза. Осюда сразу следовал ряд его конструктивных особен</w:t>
      </w:r>
      <w:r w:rsidRPr="00142305">
        <w:rPr>
          <w:rFonts w:ascii="Times New Roman" w:hAnsi="Times New Roman"/>
          <w:color w:val="0070C0"/>
          <w:sz w:val="16"/>
          <w:szCs w:val="16"/>
        </w:rPr>
        <w:softHyphen/>
        <w:t>ностей — большие свободные объемы внутри крыла, возмож</w:t>
      </w:r>
      <w:r w:rsidRPr="00142305">
        <w:rPr>
          <w:rFonts w:ascii="Times New Roman" w:hAnsi="Times New Roman"/>
          <w:color w:val="0070C0"/>
          <w:sz w:val="16"/>
          <w:szCs w:val="16"/>
        </w:rPr>
        <w:softHyphen/>
        <w:t>ность наружной подвески громоздкой техники.</w:t>
      </w:r>
    </w:p>
    <w:p w14:paraId="78D2B190"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должен был также использоваться в роли тяже</w:t>
      </w:r>
      <w:r w:rsidRPr="00142305">
        <w:rPr>
          <w:rFonts w:ascii="Times New Roman" w:hAnsi="Times New Roman"/>
          <w:color w:val="0070C0"/>
          <w:sz w:val="16"/>
          <w:szCs w:val="16"/>
        </w:rPr>
        <w:softHyphen/>
        <w:t>лого ночного бомбардировщика с бомбовой нагрузкой 15 т. Оборонительное вооружение складывалось из трех пушек, четырех крупнокалиберных и 10 обычных пулеметов. Зада</w:t>
      </w:r>
      <w:r w:rsidRPr="00142305">
        <w:rPr>
          <w:rFonts w:ascii="Times New Roman" w:hAnsi="Times New Roman"/>
          <w:color w:val="0070C0"/>
          <w:sz w:val="16"/>
          <w:szCs w:val="16"/>
        </w:rPr>
        <w:softHyphen/>
        <w:t xml:space="preserve">ние требовало максимальной скорости 250 км/ч на высоте 3000 м, практического потолка, равного 4500 м, и дальности полета с 15т бомб — 2000 </w:t>
      </w:r>
      <w:r w:rsidRPr="00142305">
        <w:rPr>
          <w:rFonts w:ascii="Times New Roman" w:hAnsi="Times New Roman"/>
          <w:smallCaps/>
          <w:color w:val="0070C0"/>
          <w:sz w:val="16"/>
          <w:szCs w:val="16"/>
        </w:rPr>
        <w:t>км.</w:t>
      </w:r>
      <w:r w:rsidRPr="00142305">
        <w:rPr>
          <w:rFonts w:ascii="Times New Roman" w:hAnsi="Times New Roman"/>
          <w:color w:val="0070C0"/>
          <w:sz w:val="16"/>
          <w:szCs w:val="16"/>
        </w:rPr>
        <w:t xml:space="preserve"> Самолет по заданию предпола</w:t>
      </w:r>
      <w:r w:rsidRPr="00142305">
        <w:rPr>
          <w:rFonts w:ascii="Times New Roman" w:hAnsi="Times New Roman"/>
          <w:color w:val="0070C0"/>
          <w:sz w:val="16"/>
          <w:szCs w:val="16"/>
        </w:rPr>
        <w:softHyphen/>
        <w:t>галось оснастить десятью моторами М-34ФРН.</w:t>
      </w:r>
    </w:p>
    <w:p w14:paraId="45F2C8A3"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проектировался в конструкторском бюро Воен</w:t>
      </w:r>
      <w:r w:rsidRPr="00142305">
        <w:rPr>
          <w:rFonts w:ascii="Times New Roman" w:hAnsi="Times New Roman"/>
          <w:color w:val="0070C0"/>
          <w:sz w:val="16"/>
          <w:szCs w:val="16"/>
        </w:rPr>
        <w:softHyphen/>
        <w:t>но-воздушной академии им. Жуковского под руководством С. Козлова. Его заместителем был В. Болховитинов. Там машина получила обозначение Г -1 (от «гигант» или «грузо</w:t>
      </w:r>
      <w:r w:rsidRPr="00142305">
        <w:rPr>
          <w:rFonts w:ascii="Times New Roman" w:hAnsi="Times New Roman"/>
          <w:color w:val="0070C0"/>
          <w:sz w:val="16"/>
          <w:szCs w:val="16"/>
        </w:rPr>
        <w:softHyphen/>
        <w:t>вой» — трудно сказать) (24977).</w:t>
      </w:r>
    </w:p>
    <w:p w14:paraId="0E0801A4" w14:textId="77777777" w:rsidR="00FD1168" w:rsidRPr="00142305" w:rsidRDefault="00FD1168" w:rsidP="00FD1168">
      <w:pPr>
        <w:spacing w:after="0" w:line="240" w:lineRule="auto"/>
        <w:jc w:val="both"/>
        <w:rPr>
          <w:rFonts w:ascii="Times New Roman" w:hAnsi="Times New Roman"/>
          <w:color w:val="0070C0"/>
          <w:sz w:val="16"/>
          <w:szCs w:val="16"/>
        </w:rPr>
      </w:pPr>
    </w:p>
    <w:p w14:paraId="3DC32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начали разработку И-12бис (АНТ-23бис) по той же схеме, но несколько увеличенный в размере. Постройка задержалась из-за неудовлетворительных результатов испытания первой машины. Поэтому-то Бауманская организация ВЛКСМ и взяла шефство в 1933 и машина получила название Бауманский комсомолец (2693,15).</w:t>
      </w:r>
    </w:p>
    <w:p w14:paraId="031A0E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8926C9" w14:textId="77777777"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на заводе № 22 началась постройка И-12бис (АНТ-23 № 2, «дублер», «Бауманский комсомолец») 2-й опытный.</w:t>
      </w:r>
    </w:p>
    <w:p w14:paraId="34A1EFFF" w14:textId="77777777"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сентябрь 1932 г. были собраны крыло, гондола фюзеляжа и оперение.</w:t>
      </w:r>
    </w:p>
    <w:p w14:paraId="4380D098" w14:textId="748EB6F1"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апрелю 1933 г. была получена с завода № 8 пушка АПК-10, но только одна.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Работы шли медленно, и в 1933 г. над самолетом взяла шефство комсомольская организация Бауманского р-на Москвы. Поэтому самолет получил наименование «Бауманский комсомолец».</w:t>
      </w:r>
    </w:p>
    <w:p w14:paraId="3FCF3195" w14:textId="77777777"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РВС СССР № 3022 от 17.07.33 г. срок сдачи самолета на ГИ был сдвинут на более поздний.</w:t>
      </w:r>
    </w:p>
    <w:p w14:paraId="0AADFD38" w14:textId="77777777"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01.11.33 г. готовность самолета составляла 77,4%.</w:t>
      </w:r>
    </w:p>
    <w:p w14:paraId="4FD809E3" w14:textId="77777777"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01.12.33 г. готовность самолета составляла 84,9%.</w:t>
      </w:r>
    </w:p>
    <w:p w14:paraId="2E001A50" w14:textId="77777777"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эти данные очевидно были необъективны.</w:t>
      </w:r>
    </w:p>
    <w:p w14:paraId="54FE4887" w14:textId="77777777"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январь 1934 г. фактически были закончены работы: по консолям крыла; монтажу хвостовых балок; оперению (сборка агрегатов и общая сборка, стыковка с хвостовыми балками); по установке моторов. Не были закончены работы: по сборке центроплана (при этом к нему уже были пристыкованы консоли); по монтажу стоек шасси; по монтажу управления (находились на начальном этапе); по монтажу оборудования (находились на начальном этапе) (23136).</w:t>
      </w:r>
    </w:p>
    <w:p w14:paraId="3A31383D" w14:textId="77777777" w:rsidR="00FF7599" w:rsidRPr="00E93F40" w:rsidRDefault="00FF7599" w:rsidP="00E93F40">
      <w:pPr>
        <w:spacing w:after="0" w:line="240" w:lineRule="auto"/>
        <w:jc w:val="both"/>
        <w:rPr>
          <w:rFonts w:ascii="Times New Roman" w:hAnsi="Times New Roman"/>
          <w:color w:val="000000" w:themeColor="text1"/>
          <w:sz w:val="16"/>
          <w:szCs w:val="16"/>
          <w:lang w:eastAsia="ru-RU" w:bidi="ru-RU"/>
        </w:rPr>
      </w:pPr>
    </w:p>
    <w:p w14:paraId="19A44F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И.В.С. смотрел И-5 на Центральном аэродроме. По В.К.Коккинаки - узнав про 280 км/ч - сказал - ничего, но надо 400 (74,87).</w:t>
      </w:r>
    </w:p>
    <w:p w14:paraId="4F79C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77BBEF" w14:textId="77777777" w:rsidR="00B57906" w:rsidRPr="00E93F40" w:rsidRDefault="00B579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Летом 1932 для изготовления первых двух серий (50 и 70 машин соответственно) самолетов И-5 на заводе № 21 использовались 113 фюзеляжей, центропланов и хвостовых частей, изготовленных заводом №1. Этот задел частично дорабатывался до уровня эталона, самолета №4298, изготовленного и переданного заводом № 1 на испытания в НИИ ВВС. Последующие 73 самолета эталоном должны считать самолет №4298 с доработкой по чертежам бюро внедрения ЦАГИ, с учетом результатов испытаний.</w:t>
      </w:r>
    </w:p>
    <w:p w14:paraId="4F7174DF" w14:textId="77777777" w:rsidR="00B57906" w:rsidRPr="00E93F40" w:rsidRDefault="00B5790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Для подготовки завода к производству из Москвы был получен образец самолета И-5. Постоянно ощущался голод по рабочим чертежам из Москвы, откуда шла масса уточнений. Московский завод №1 передал в Нижний Новгород много некондиционных агрегатов, из-за чего ГУАП своим распоряжением был вынужден снять с производства 45% такого задела. Для приемки деталей, агрегатов задела и чертежей еше в 1931 году была организована московская контора завода №21, которую возглавлял помощник технического директора Бородач. Технико</w:t>
      </w:r>
      <w:r w:rsidRPr="00E93F40">
        <w:rPr>
          <w:rFonts w:ascii="Times New Roman" w:hAnsi="Times New Roman"/>
          <w:color w:val="000000" w:themeColor="text1"/>
          <w:sz w:val="16"/>
          <w:szCs w:val="16"/>
          <w:lang w:eastAsia="ru-RU" w:bidi="ru-RU"/>
        </w:rPr>
        <w:softHyphen/>
        <w:t>конструкторский отдел, который также располагался в Москве, возглавлял инженер К.А. Виганд.</w:t>
      </w:r>
    </w:p>
    <w:p w14:paraId="4E9D7FEE" w14:textId="77777777" w:rsidR="00B57906" w:rsidRPr="00E93F40" w:rsidRDefault="00B57906"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Несмотря на использование готового задела, сборка первых самолетов шла с большим трудом. Причин тому было много. Нередко детали запускались большими партиями без учета последних уточнений рабочих чертежей. В цехах не было шаблонов и калибров. Детали подгонялись индивидуально. ЦАГИ (21100).</w:t>
      </w:r>
    </w:p>
    <w:p w14:paraId="0B419D0A" w14:textId="77777777" w:rsidR="00B57906" w:rsidRPr="00E93F40" w:rsidRDefault="00B57906" w:rsidP="00E93F40">
      <w:pPr>
        <w:spacing w:after="0" w:line="240" w:lineRule="auto"/>
        <w:jc w:val="both"/>
        <w:rPr>
          <w:rFonts w:ascii="Times New Roman" w:hAnsi="Times New Roman"/>
          <w:color w:val="000000" w:themeColor="text1"/>
          <w:sz w:val="16"/>
          <w:szCs w:val="16"/>
          <w:lang w:eastAsia="ru-RU" w:bidi="ru-RU"/>
        </w:rPr>
      </w:pPr>
    </w:p>
    <w:p w14:paraId="40BF1388"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Летом 1932 г. по инициативе Н.Н. По</w:t>
      </w:r>
      <w:r w:rsidRPr="00142305">
        <w:rPr>
          <w:rStyle w:val="aff"/>
          <w:rFonts w:ascii="Times New Roman" w:hAnsi="Times New Roman" w:cs="Times New Roman"/>
          <w:color w:val="0070C0"/>
          <w:spacing w:val="0"/>
          <w:sz w:val="16"/>
          <w:szCs w:val="16"/>
        </w:rPr>
        <w:softHyphen/>
        <w:t>ликарпова, работавшего тогда в Цент</w:t>
      </w:r>
      <w:r w:rsidRPr="00142305">
        <w:rPr>
          <w:rStyle w:val="aff"/>
          <w:rFonts w:ascii="Times New Roman" w:hAnsi="Times New Roman" w:cs="Times New Roman"/>
          <w:color w:val="0070C0"/>
          <w:spacing w:val="0"/>
          <w:sz w:val="16"/>
          <w:szCs w:val="16"/>
        </w:rPr>
        <w:softHyphen/>
        <w:t>ральном конструкторском бюро, началась разработка перспективного истребите</w:t>
      </w:r>
      <w:r w:rsidRPr="00142305">
        <w:rPr>
          <w:rStyle w:val="aff"/>
          <w:rFonts w:ascii="Times New Roman" w:hAnsi="Times New Roman" w:cs="Times New Roman"/>
          <w:color w:val="0070C0"/>
          <w:spacing w:val="0"/>
          <w:sz w:val="16"/>
          <w:szCs w:val="16"/>
        </w:rPr>
        <w:softHyphen/>
        <w:t>ля-моноплана ЦКБ-12 с убирающимся шасси. В мае следующего года ВВС подтвердили свою заинтересованность в машине и выдали Поликарпову соот</w:t>
      </w:r>
      <w:r w:rsidRPr="00142305">
        <w:rPr>
          <w:rStyle w:val="aff"/>
          <w:rFonts w:ascii="Times New Roman" w:hAnsi="Times New Roman" w:cs="Times New Roman"/>
          <w:color w:val="0070C0"/>
          <w:spacing w:val="0"/>
          <w:sz w:val="16"/>
          <w:szCs w:val="16"/>
        </w:rPr>
        <w:softHyphen/>
        <w:t>ветствующее задание. Спустя полгода заказчик утвердил макет самолёта, и в том же месяце Совет Труда и Обороны (СТО) СССР принял решение о запуске его под обозначением И-16 в серийное производство (25721).</w:t>
      </w:r>
    </w:p>
    <w:p w14:paraId="7D5D2FCE" w14:textId="77777777" w:rsidR="00FD1168" w:rsidRPr="00142305" w:rsidRDefault="00FD1168" w:rsidP="00FD1168">
      <w:pPr>
        <w:spacing w:after="0" w:line="240" w:lineRule="auto"/>
        <w:jc w:val="both"/>
        <w:rPr>
          <w:rStyle w:val="aff"/>
          <w:rFonts w:ascii="Times New Roman" w:hAnsi="Times New Roman" w:cs="Times New Roman"/>
          <w:color w:val="0070C0"/>
          <w:spacing w:val="0"/>
          <w:sz w:val="16"/>
          <w:szCs w:val="16"/>
        </w:rPr>
      </w:pPr>
    </w:p>
    <w:p w14:paraId="0D1B0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коллектив А.С.Я. выделили на 39 заводе в группу легкой авиации, но в октябре 1933 директор завода потребовал от А.С.Я очистить территорию (3971,6).</w:t>
      </w:r>
    </w:p>
    <w:p w14:paraId="61CF3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58B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испытали К-5 К.А.К. в варианте бомбардировщика, но не удовлетворил военных (70,175).</w:t>
      </w:r>
    </w:p>
    <w:p w14:paraId="17E87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656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планы руководства ВВС в отно</w:t>
      </w:r>
      <w:r w:rsidRPr="00E93F40">
        <w:rPr>
          <w:rFonts w:ascii="Times New Roman" w:hAnsi="Times New Roman"/>
          <w:color w:val="000000" w:themeColor="text1"/>
          <w:sz w:val="16"/>
          <w:szCs w:val="16"/>
        </w:rPr>
        <w:softHyphen/>
        <w:t>шении использования У-2 изменились. Теперь «воору</w:t>
      </w:r>
      <w:r w:rsidRPr="00E93F40">
        <w:rPr>
          <w:rFonts w:ascii="Times New Roman" w:hAnsi="Times New Roman"/>
          <w:color w:val="000000" w:themeColor="text1"/>
          <w:sz w:val="16"/>
          <w:szCs w:val="16"/>
        </w:rPr>
        <w:softHyphen/>
        <w:t>женный» вариант У-2 решили применять в качестве переходного самолета для первоначального ознакомле</w:t>
      </w:r>
      <w:r w:rsidRPr="00E93F40">
        <w:rPr>
          <w:rFonts w:ascii="Times New Roman" w:hAnsi="Times New Roman"/>
          <w:color w:val="000000" w:themeColor="text1"/>
          <w:sz w:val="16"/>
          <w:szCs w:val="16"/>
        </w:rPr>
        <w:softHyphen/>
        <w:t>ния курсантов с основами бомбометания и стрельбы в воздухе. Используемые ранее для этой цели в училищах разведчики Р-1 были изношены и в начале 30-х годов уже списывались (10667).</w:t>
      </w:r>
    </w:p>
    <w:p w14:paraId="69D70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7C2D9B"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планы руководства ВВС в отношении использования У-2 в ВВС изменились. Теперь «вооруженный» вариант У-2 было решено применять в качестве переходного самолета для первоначального ознакомления курсантов с основами бомбометания и стрельбы в воздухе. Используемые ранее для этой цели в училищах разведчики Р-1 были изношены и в начале 30-х гг. уже списывались. О действительном боевом применении машины всерьез тогда никто не думал (25035).</w:t>
      </w:r>
    </w:p>
    <w:p w14:paraId="46EE78D6" w14:textId="77777777" w:rsidR="00FD1168" w:rsidRPr="00142305" w:rsidRDefault="00FD1168" w:rsidP="00FD1168">
      <w:pPr>
        <w:spacing w:after="0" w:line="240" w:lineRule="auto"/>
        <w:jc w:val="both"/>
        <w:rPr>
          <w:rFonts w:ascii="Times New Roman" w:hAnsi="Times New Roman"/>
          <w:color w:val="0070C0"/>
          <w:sz w:val="16"/>
          <w:szCs w:val="16"/>
        </w:rPr>
      </w:pPr>
    </w:p>
    <w:p w14:paraId="789704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лета 1932 г. началось проектирование нового варианта У-2ВС (или ВС). В первоначальный проект были введены изменения. От кольца Тауненда и бака в цент</w:t>
      </w:r>
      <w:r w:rsidRPr="00E93F40">
        <w:rPr>
          <w:rFonts w:ascii="Times New Roman" w:hAnsi="Times New Roman"/>
          <w:color w:val="000000" w:themeColor="text1"/>
          <w:sz w:val="16"/>
          <w:szCs w:val="16"/>
        </w:rPr>
        <w:softHyphen/>
        <w:t>роплане отказались, немного понизили высоту кольца турели относительно строительной оси, установили синхронный пулемет и бомбардировочное вооружение. Постройка завершилась в конце 1932 г. и тогда же нача</w:t>
      </w:r>
      <w:r w:rsidRPr="00E93F40">
        <w:rPr>
          <w:rFonts w:ascii="Times New Roman" w:hAnsi="Times New Roman"/>
          <w:color w:val="000000" w:themeColor="text1"/>
          <w:sz w:val="16"/>
          <w:szCs w:val="16"/>
        </w:rPr>
        <w:softHyphen/>
        <w:t>лись сначала заводские испытания, а затем государст</w:t>
      </w:r>
      <w:r w:rsidRPr="00E93F40">
        <w:rPr>
          <w:rFonts w:ascii="Times New Roman" w:hAnsi="Times New Roman"/>
          <w:color w:val="000000" w:themeColor="text1"/>
          <w:sz w:val="16"/>
          <w:szCs w:val="16"/>
        </w:rPr>
        <w:softHyphen/>
        <w:t>венные. Акт испытаний в НИИ утвердил в марте 1933 г. начальник ВВС РККА Я.И.Алкснис, который в приказе обязал начальника штаба ВВС перенести часть боевой подготовки с Р-1 и Р-5 на У-2ВС.</w:t>
      </w:r>
    </w:p>
    <w:p w14:paraId="548BDF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Перечень основных отличий У-2ВС от У-2:</w:t>
      </w:r>
    </w:p>
    <w:p w14:paraId="150FC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На левом борту вблизи передней кабины установ</w:t>
      </w:r>
      <w:r w:rsidRPr="00E93F40">
        <w:rPr>
          <w:rFonts w:ascii="Times New Roman" w:hAnsi="Times New Roman"/>
          <w:color w:val="000000" w:themeColor="text1"/>
          <w:sz w:val="16"/>
          <w:szCs w:val="16"/>
        </w:rPr>
        <w:softHyphen/>
        <w:t>лен пулемет ПВ-1 с синхронизатором.</w:t>
      </w:r>
    </w:p>
    <w:p w14:paraId="18F779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 борту прорезаны окна для ввода ленты в пуле</w:t>
      </w:r>
      <w:r w:rsidRPr="00E93F40">
        <w:rPr>
          <w:rFonts w:ascii="Times New Roman" w:hAnsi="Times New Roman"/>
          <w:color w:val="000000" w:themeColor="text1"/>
          <w:sz w:val="16"/>
          <w:szCs w:val="16"/>
        </w:rPr>
        <w:softHyphen/>
        <w:t>мет, кожуха для сбора гильз и звеньев, для втулки под</w:t>
      </w:r>
      <w:r w:rsidRPr="00E93F40">
        <w:rPr>
          <w:rFonts w:ascii="Times New Roman" w:hAnsi="Times New Roman"/>
          <w:color w:val="000000" w:themeColor="text1"/>
          <w:sz w:val="16"/>
          <w:szCs w:val="16"/>
        </w:rPr>
        <w:softHyphen/>
        <w:t>вода троса к гашетке.</w:t>
      </w:r>
    </w:p>
    <w:p w14:paraId="68F0BC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 козырьке кабины со смещением влево установ</w:t>
      </w:r>
      <w:r w:rsidRPr="00E93F40">
        <w:rPr>
          <w:rFonts w:ascii="Times New Roman" w:hAnsi="Times New Roman"/>
          <w:color w:val="000000" w:themeColor="text1"/>
          <w:sz w:val="16"/>
          <w:szCs w:val="16"/>
        </w:rPr>
        <w:softHyphen/>
        <w:t>лен прицел,</w:t>
      </w:r>
    </w:p>
    <w:p w14:paraId="768F29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 передней кабине на левом борту установлены па</w:t>
      </w:r>
      <w:r w:rsidRPr="00E93F40">
        <w:rPr>
          <w:rFonts w:ascii="Times New Roman" w:hAnsi="Times New Roman"/>
          <w:color w:val="000000" w:themeColor="text1"/>
          <w:sz w:val="16"/>
          <w:szCs w:val="16"/>
        </w:rPr>
        <w:softHyphen/>
        <w:t>тронный ящик и ящик для сбора звеньев и гильз.</w:t>
      </w:r>
    </w:p>
    <w:p w14:paraId="6D3BBD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 задней кабине установлена турель с пулеметом.</w:t>
      </w:r>
    </w:p>
    <w:p w14:paraId="27ED5E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На борту задней кабины размещены кассеты для крепления пулеметных дисков.</w:t>
      </w:r>
    </w:p>
    <w:p w14:paraId="586180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Установлен бомбардировочный прицел НВ-5бис.</w:t>
      </w:r>
    </w:p>
    <w:p w14:paraId="2F81F2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доработки привели к увеличению веса на 140 кг, скороподъемность снизилась на 2%, потолок - до 2160 м, устойчивость и управляемость не изменились. Максимальная скорость уменьшилась до 137 км/ч у зем</w:t>
      </w:r>
      <w:r w:rsidRPr="00E93F40">
        <w:rPr>
          <w:rFonts w:ascii="Times New Roman" w:hAnsi="Times New Roman"/>
          <w:color w:val="000000" w:themeColor="text1"/>
          <w:sz w:val="16"/>
          <w:szCs w:val="16"/>
        </w:rPr>
        <w:softHyphen/>
        <w:t>ли (у исходного У-2 она составляла 152-158 км/ч). Раз</w:t>
      </w:r>
      <w:r w:rsidRPr="00E93F40">
        <w:rPr>
          <w:rFonts w:ascii="Times New Roman" w:hAnsi="Times New Roman"/>
          <w:color w:val="000000" w:themeColor="text1"/>
          <w:sz w:val="16"/>
          <w:szCs w:val="16"/>
        </w:rPr>
        <w:softHyphen/>
        <w:t>бег возрос до 180 м, пробег - до 120 м. По сделанным оценкам ориентировочная годовая экономия при использовании У-2ВС равнялась 1412 тыс. рублей (10667).</w:t>
      </w:r>
    </w:p>
    <w:p w14:paraId="27416E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170AFF"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лета 1932 г. началось проектирование нового варианта У-2ВС или ВС. В первоначальный проект были введены изменения. От кольца Тауненда и бака в центроплане отказались, немного понизили высоту кольца турели относительно строительной оси, установили синхронный пулемет и бомбардировочное вооружение. Постройка завершилась в конце 1932 г., и тогда же начались сначала заводские испытания, а затем государственные. В серии в задней кабине пулеметы устанавливались как на турель, так и на шкворень.</w:t>
      </w:r>
    </w:p>
    <w:p w14:paraId="610DC7FA"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Серийно строились ВС эталон 1933 г., эталон 1936 г. Часть машин оснащалась тормозными колесами (они обозначались как ВТС). Всего за 1933–1936 гг. построено 744 ВС и ВТС. Самолет полностью оправдал себя, и опыт его постройки пригодился позже, в годы Великой Отечественной войны (25035).</w:t>
      </w:r>
    </w:p>
    <w:p w14:paraId="68BDBF06" w14:textId="77777777" w:rsidR="00FD1168" w:rsidRPr="00142305" w:rsidRDefault="00FD1168" w:rsidP="00FD1168">
      <w:pPr>
        <w:spacing w:after="0" w:line="240" w:lineRule="auto"/>
        <w:jc w:val="both"/>
        <w:rPr>
          <w:rFonts w:ascii="Times New Roman" w:hAnsi="Times New Roman"/>
          <w:color w:val="0070C0"/>
          <w:sz w:val="16"/>
          <w:szCs w:val="16"/>
        </w:rPr>
      </w:pPr>
    </w:p>
    <w:p w14:paraId="143BAEDC" w14:textId="77777777" w:rsidR="009B6E65" w:rsidRPr="00E93F40" w:rsidRDefault="009B6E65"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lastRenderedPageBreak/>
        <w:t>Летом 1932 г. на участке Москвы-реки, там, где сейчас находится Центральный парк культуры и отдыха (ЦПКО) провели основ</w:t>
      </w:r>
      <w:r w:rsidRPr="00E93F40">
        <w:rPr>
          <w:rFonts w:ascii="Times New Roman" w:cs="Times New Roman"/>
          <w:color w:val="000000" w:themeColor="text1"/>
          <w:sz w:val="16"/>
          <w:szCs w:val="16"/>
        </w:rPr>
        <w:softHyphen/>
        <w:t>ные испытания МР-5.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E93F40">
        <w:rPr>
          <w:rFonts w:ascii="Times New Roman" w:cs="Times New Roman"/>
          <w:color w:val="000000" w:themeColor="text1"/>
          <w:sz w:val="16"/>
          <w:szCs w:val="16"/>
        </w:rPr>
        <w:softHyphen/>
        <w:t>де в Таганроге уже серийно строили лицензионную летающую лодку ита</w:t>
      </w:r>
      <w:r w:rsidRPr="00E93F40">
        <w:rPr>
          <w:rFonts w:ascii="Times New Roman" w:cs="Times New Roman"/>
          <w:color w:val="000000" w:themeColor="text1"/>
          <w:sz w:val="16"/>
          <w:szCs w:val="16"/>
        </w:rPr>
        <w:softHyphen/>
        <w:t>льянской конструкции Савойя С-62, которая в ВВС РККА получила обо</w:t>
      </w:r>
      <w:r w:rsidRPr="00E93F40">
        <w:rPr>
          <w:rFonts w:ascii="Times New Roman" w:cs="Times New Roman"/>
          <w:color w:val="000000" w:themeColor="text1"/>
          <w:sz w:val="16"/>
          <w:szCs w:val="16"/>
        </w:rPr>
        <w:softHyphen/>
        <w:t>значение МР-4 (12609).</w:t>
      </w:r>
    </w:p>
    <w:p w14:paraId="50AFDCE7" w14:textId="77777777" w:rsidR="009B6E65" w:rsidRPr="00E93F40" w:rsidRDefault="009B6E65" w:rsidP="00E93F40">
      <w:pPr>
        <w:pStyle w:val="45"/>
        <w:shd w:val="clear" w:color="auto" w:fill="auto"/>
        <w:spacing w:before="0" w:line="240" w:lineRule="auto"/>
        <w:jc w:val="both"/>
        <w:rPr>
          <w:rFonts w:ascii="Times New Roman" w:cs="Times New Roman"/>
          <w:color w:val="000000" w:themeColor="text1"/>
          <w:sz w:val="16"/>
          <w:szCs w:val="16"/>
        </w:rPr>
      </w:pPr>
    </w:p>
    <w:p w14:paraId="05BA5F7D" w14:textId="36784131" w:rsidR="00772A04" w:rsidRPr="00E93F40" w:rsidRDefault="00772A04"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До лета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продолжались переделки самолёта БИЧ-7. Они оказались весьма существенными: сконструировали новое шасси, вместо вертикальных рулей на концах крыла установили один руль направления, как на БИЧ-3, центральные секции закрылков превратили в рули высоты, а внешние стали действовать в основном как элероны (я пишу «в основном», так как при взятии ручки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«на себя» они, так же, как рули высоты, отклонялись вверх), кабину летчика и пассажира закрыли застеклённым фонарём. Модифицированная машина получила обозначение БИЧ-7А.</w:t>
      </w:r>
    </w:p>
    <w:p w14:paraId="59EE0285" w14:textId="30EE60C6" w:rsidR="00772A04" w:rsidRPr="00E93F40" w:rsidRDefault="00772A04"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июле самолет вывели на аэродром. При пробежке подломилось шасси, и первый вылет на БИЧ-7А состоялся только в сентябре. 19 октября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начались официальные испытания. Пилотировал самолёт И.И. Благин, вместо пассажира на заднее сидение клали груз весом 80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Полёт продолжался 25 минут. Пилотажные характеристики, по сравнению с БИЧ 7, были заметно лучше. После ряда регулировок самолёт стал устойчив в горизонтальном полете, нормально управлялся, мог делать виражи с креном до 60°. Максимальная скорость и скороподъёмность оказались больше, чем у учебного У-2 с таким же по мощности двигателем. Несколько разочаровала весовая отдача машины в 30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от «бесхвостки» ожидали большего: 40–45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 </w:t>
      </w:r>
      <w:hyperlink r:id="rId158" w:history="1">
        <w:r w:rsidRPr="00E93F40">
          <w:rPr>
            <w:rFonts w:ascii="Times New Roman" w:eastAsia="Times New Roman" w:hAnsi="Times New Roman"/>
            <w:color w:val="000000" w:themeColor="text1"/>
            <w:sz w:val="16"/>
            <w:szCs w:val="16"/>
            <w:lang w:eastAsia="ru-RU"/>
          </w:rPr>
          <w:t>[48]</w:t>
        </w:r>
      </w:hyperlink>
      <w:r w:rsidRPr="00E93F40">
        <w:rPr>
          <w:rFonts w:ascii="Times New Roman" w:eastAsia="Times New Roman" w:hAnsi="Times New Roman"/>
          <w:color w:val="000000" w:themeColor="text1"/>
          <w:sz w:val="16"/>
          <w:szCs w:val="16"/>
          <w:lang w:eastAsia="ru-RU"/>
        </w:rPr>
        <w:t xml:space="preserve"> .</w:t>
      </w:r>
    </w:p>
    <w:p w14:paraId="1AE3866E" w14:textId="77777777" w:rsidR="00772A04" w:rsidRPr="00E93F40" w:rsidRDefault="00772A04"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Выполнению полного цикла испытаний помешал плохой двигатель. Трёхцилиндровый «Люцифер» на больших оборотах так сильно вибрировал, что в конструкции моторамы появились трещины и полёты прекратили (17489).</w:t>
      </w:r>
    </w:p>
    <w:p w14:paraId="25A8E2D5" w14:textId="77777777" w:rsidR="00772A04" w:rsidRPr="00E93F40" w:rsidRDefault="00772A04" w:rsidP="00E93F40">
      <w:pPr>
        <w:spacing w:after="0" w:line="240" w:lineRule="auto"/>
        <w:jc w:val="both"/>
        <w:rPr>
          <w:rFonts w:ascii="Times New Roman" w:eastAsia="Times New Roman" w:hAnsi="Times New Roman"/>
          <w:color w:val="000000" w:themeColor="text1"/>
          <w:sz w:val="16"/>
          <w:szCs w:val="16"/>
          <w:lang w:eastAsia="ru-RU"/>
        </w:rPr>
      </w:pPr>
    </w:p>
    <w:p w14:paraId="5B12DA0C" w14:textId="77777777" w:rsidR="004B7065" w:rsidRPr="00E93F40" w:rsidRDefault="004B7065"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Летом 1932 г. АИР-5 проходил опытную эксплуатацию в гражданской авиации. Предположительно, именно в это время он получил новое регистрационное обозначение - N757. Новая машина заслужила прекрасные отзывы. Начальник Главного управления ГВФ А.З. Гольцман написал: «...4-местный пассажирский самолет АИР-5... в опытной эксплуатации оказался вполне подходящим для серийного производства». Приказом ГУ ГВФ от 28 июля 1932 г. Яковлева наградили премией в 1500 рублей.</w:t>
      </w:r>
    </w:p>
    <w:p w14:paraId="7D43E1F0" w14:textId="77777777" w:rsidR="004B7065" w:rsidRPr="00E93F40" w:rsidRDefault="004B7065"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Планировали развернуть серийное производство АИР-5 с мотором М-48. Стоимость одной машины оценивали в 15 000 рублей. Эти самолеты намеревались закупить для местных воздушных линий ГВФ, а также для нужд Осоавиахима. Последний рассчитывал приобрести сначала 30 самолетов, а затем еще 20.</w:t>
      </w:r>
    </w:p>
    <w:p w14:paraId="303F9D63" w14:textId="77777777" w:rsidR="004B7065" w:rsidRPr="00E93F40" w:rsidRDefault="004B7065"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Довольно долгое время маленький коллектив Яковлева существовал чуть ли не на общественных началах. Работу в нем вели в свободное от основных занятий время. Конструктор обратился за помощью к весьма влиятельному тогда человеку- Я.Э. Рудзутаку, члену Политбюро, наркому Рабоче-крестьянской инспекции и председателю Центральной контрольной комиссии ВКП(б). Яковлева вызвали в Кремль, где он рассказал о своих конструкциях. В частности, упоминался «воздушный автомобиль» АИР-5, якобы способный сесть на любой лужайке. Рудзутак заинтересовался и решил проверить это на практике, предложив приземлиться возле его дачи на Николиной горе. Там имелся заливной лужок подходящих размеров. Конструктор пообещал доставить туда самолет.</w:t>
      </w:r>
    </w:p>
    <w:p w14:paraId="1385B9B5" w14:textId="77777777" w:rsidR="004B7065" w:rsidRPr="00E93F40" w:rsidRDefault="004B7065"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В выходной день Яковлев и механик Демешкевич прибыли на Николину гору осмотрели площадку выложили там белые полотнища посадочного знака и развели сигнальный костер, который также указывал дымом направление ветра. Около полудня показался прилетевший с Центрального аэродрома АИР-5, пилотируемый Ю.И. Пионтковским. Он низко прошел над дачей Рудзутака, описал круг и сел на лугу. Нарком осмотрел самолет, забрался в кабину и высказал желание полетать. АИР-5 поднялся в воздух, Пионтковский покатал Рудзутака над окрестностями. «Настоящий воздушный автомобиль», - сказал нарком. После посадки на луг прискакали жившие по соседству К.Е. Ворошилов и А.И. Микоян, тоже заинтересовавшиеся самолетом. Точная дата этого события неизвестна, но на основании свидетельств очевидцев предполагают что полет имел место 19 июня 1932 г. (19099).</w:t>
      </w:r>
    </w:p>
    <w:p w14:paraId="0C3206F6" w14:textId="77777777" w:rsidR="004B7065" w:rsidRPr="00E93F40" w:rsidRDefault="004B7065" w:rsidP="00E93F40">
      <w:pPr>
        <w:pStyle w:val="a8"/>
        <w:jc w:val="both"/>
        <w:rPr>
          <w:rFonts w:ascii="Times New Roman" w:hAnsi="Times New Roman" w:cs="Times New Roman"/>
          <w:color w:val="000000" w:themeColor="text1"/>
        </w:rPr>
      </w:pPr>
    </w:p>
    <w:p w14:paraId="35A5AA1A"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АИР-5 проходил опытную эксплуатацию в гражданской авиации. Предположительно, именно в это вре</w:t>
      </w:r>
      <w:r w:rsidRPr="00142305">
        <w:rPr>
          <w:rFonts w:ascii="Times New Roman" w:hAnsi="Times New Roman"/>
          <w:color w:val="0070C0"/>
          <w:sz w:val="16"/>
          <w:szCs w:val="16"/>
        </w:rPr>
        <w:softHyphen/>
        <w:t>мя он получил новое регистрационное обозначение - N757. Новая машина за</w:t>
      </w:r>
      <w:r w:rsidRPr="00142305">
        <w:rPr>
          <w:rFonts w:ascii="Times New Roman" w:hAnsi="Times New Roman"/>
          <w:color w:val="0070C0"/>
          <w:sz w:val="16"/>
          <w:szCs w:val="16"/>
        </w:rPr>
        <w:softHyphen/>
        <w:t>служила прекрасные отзывы. Начальник Главного управления ГВФ А.З. Гольцман написал: «...4-местный пассажирский са</w:t>
      </w:r>
      <w:r w:rsidRPr="00142305">
        <w:rPr>
          <w:rFonts w:ascii="Times New Roman" w:hAnsi="Times New Roman"/>
          <w:color w:val="0070C0"/>
          <w:sz w:val="16"/>
          <w:szCs w:val="16"/>
        </w:rPr>
        <w:softHyphen/>
        <w:t>молет АИР-5... в опытной эксплуатации оказался вполне подходящим для серий</w:t>
      </w:r>
      <w:r w:rsidRPr="00142305">
        <w:rPr>
          <w:rFonts w:ascii="Times New Roman" w:hAnsi="Times New Roman"/>
          <w:color w:val="0070C0"/>
          <w:sz w:val="16"/>
          <w:szCs w:val="16"/>
        </w:rPr>
        <w:softHyphen/>
        <w:t>ного производства». Приказом ГУ ГВФ от 28 июля 1932 г. Яковлева наградили премией в 1500 рублей.</w:t>
      </w:r>
    </w:p>
    <w:p w14:paraId="2F7B7ED0"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Планировали развернуть серийное производство АИР-5 с мотором М-48. Стоимость одной машины оценивали в 15 000 рублей. Эти самолеты намерева</w:t>
      </w:r>
      <w:r w:rsidRPr="00142305">
        <w:rPr>
          <w:rFonts w:ascii="Times New Roman" w:hAnsi="Times New Roman"/>
          <w:color w:val="0070C0"/>
          <w:sz w:val="16"/>
          <w:szCs w:val="16"/>
        </w:rPr>
        <w:softHyphen/>
        <w:t>лись закупить для местных воздушных линий ГВФ, а также для нужд Осоавиахима. Последний рассчитывал приобрести сначала 30 самолетов, а затем еще 20.</w:t>
      </w:r>
    </w:p>
    <w:p w14:paraId="2FBCC376"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Довольно долгое время маленький кол</w:t>
      </w:r>
      <w:r w:rsidRPr="00142305">
        <w:rPr>
          <w:rFonts w:ascii="Times New Roman" w:hAnsi="Times New Roman"/>
          <w:color w:val="0070C0"/>
          <w:sz w:val="16"/>
          <w:szCs w:val="16"/>
        </w:rPr>
        <w:softHyphen/>
        <w:t>лектив Яковлева существовал чуть ли не на общественных началах. Работу в нем вели в свободное от основных занятий время. Конструктор обратился за помо</w:t>
      </w:r>
      <w:r w:rsidRPr="00142305">
        <w:rPr>
          <w:rFonts w:ascii="Times New Roman" w:hAnsi="Times New Roman"/>
          <w:color w:val="0070C0"/>
          <w:sz w:val="16"/>
          <w:szCs w:val="16"/>
        </w:rPr>
        <w:softHyphen/>
        <w:t>щью к весьма влиятельному тогда чело</w:t>
      </w:r>
      <w:r w:rsidRPr="00142305">
        <w:rPr>
          <w:rFonts w:ascii="Times New Roman" w:hAnsi="Times New Roman"/>
          <w:color w:val="0070C0"/>
          <w:sz w:val="16"/>
          <w:szCs w:val="16"/>
        </w:rPr>
        <w:softHyphen/>
        <w:t>веку- Я.Э. Рудзутаку, члену Политбюро, наркому Рабоче-крестьянской инспекции и председателю Центральной контроль</w:t>
      </w:r>
      <w:r w:rsidRPr="00142305">
        <w:rPr>
          <w:rFonts w:ascii="Times New Roman" w:hAnsi="Times New Roman"/>
          <w:color w:val="0070C0"/>
          <w:sz w:val="16"/>
          <w:szCs w:val="16"/>
        </w:rPr>
        <w:softHyphen/>
        <w:t>ной комиссии ВКП(б). Яковлева вызвали в Кремль, где он рассказал о своих конс трукциях. В частности, упоминался «воз</w:t>
      </w:r>
      <w:r w:rsidRPr="00142305">
        <w:rPr>
          <w:rFonts w:ascii="Times New Roman" w:hAnsi="Times New Roman"/>
          <w:color w:val="0070C0"/>
          <w:sz w:val="16"/>
          <w:szCs w:val="16"/>
        </w:rPr>
        <w:softHyphen/>
        <w:t>душный автомобиль» АИР-5, якобы спо</w:t>
      </w:r>
      <w:r w:rsidRPr="00142305">
        <w:rPr>
          <w:rFonts w:ascii="Times New Roman" w:hAnsi="Times New Roman"/>
          <w:color w:val="0070C0"/>
          <w:sz w:val="16"/>
          <w:szCs w:val="16"/>
        </w:rPr>
        <w:softHyphen/>
        <w:t>собный сесть на любой лужайке. Рудзутак заинтересовался и решил проверить это на практике, предложив приземлиться возле его дачи на Николиной горе. Там имелся заливной лужок подходящих раз</w:t>
      </w:r>
      <w:r w:rsidRPr="00142305">
        <w:rPr>
          <w:rFonts w:ascii="Times New Roman" w:hAnsi="Times New Roman"/>
          <w:color w:val="0070C0"/>
          <w:sz w:val="16"/>
          <w:szCs w:val="16"/>
        </w:rPr>
        <w:softHyphen/>
        <w:t>меров. Конструктор пообещал доставить туда самолет.</w:t>
      </w:r>
    </w:p>
    <w:p w14:paraId="77A34DCC"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выходной день Яковлев и механик Демешкевич прибыли на Николину го</w:t>
      </w:r>
      <w:r w:rsidRPr="00142305">
        <w:rPr>
          <w:rFonts w:ascii="Times New Roman" w:hAnsi="Times New Roman"/>
          <w:color w:val="0070C0"/>
          <w:sz w:val="16"/>
          <w:szCs w:val="16"/>
        </w:rPr>
        <w:softHyphen/>
        <w:t>ру, осмотрели площадку, выложили там белые полотнища посадочного знака и развели сигнальный костер, который так</w:t>
      </w:r>
      <w:r w:rsidRPr="00142305">
        <w:rPr>
          <w:rFonts w:ascii="Times New Roman" w:hAnsi="Times New Roman"/>
          <w:color w:val="0070C0"/>
          <w:sz w:val="16"/>
          <w:szCs w:val="16"/>
        </w:rPr>
        <w:softHyphen/>
        <w:t>же указывал дымом направление ветра. Около полудня показался прилетевший с Центрального аэродрома АИР-5, пило</w:t>
      </w:r>
      <w:r w:rsidRPr="00142305">
        <w:rPr>
          <w:rFonts w:ascii="Times New Roman" w:hAnsi="Times New Roman"/>
          <w:color w:val="0070C0"/>
          <w:sz w:val="16"/>
          <w:szCs w:val="16"/>
        </w:rPr>
        <w:softHyphen/>
        <w:t>тируемый Ю.И. Пионтковским. Он низко прошел над дачей Рудзутака, описал круг и сел на лугу. Нарком осмотрел самолет, забрался в кабину и высказал желание полетать. АИР-5 поднялся в воздух, Пи</w:t>
      </w:r>
      <w:r w:rsidRPr="00142305">
        <w:rPr>
          <w:rFonts w:ascii="Times New Roman" w:hAnsi="Times New Roman"/>
          <w:color w:val="0070C0"/>
          <w:sz w:val="16"/>
          <w:szCs w:val="16"/>
        </w:rPr>
        <w:softHyphen/>
        <w:t>онтковский покатал Рудзутака над ок</w:t>
      </w:r>
      <w:r w:rsidRPr="00142305">
        <w:rPr>
          <w:rFonts w:ascii="Times New Roman" w:hAnsi="Times New Roman"/>
          <w:color w:val="0070C0"/>
          <w:sz w:val="16"/>
          <w:szCs w:val="16"/>
        </w:rPr>
        <w:softHyphen/>
        <w:t>рестностями. «Настоящий воздушный автомобиль», - сказал нарком. После посадки на луг прискакали жившие по соседству К.Е. Ворошилов и А.И. Мико</w:t>
      </w:r>
      <w:r w:rsidRPr="00142305">
        <w:rPr>
          <w:rFonts w:ascii="Times New Roman" w:hAnsi="Times New Roman"/>
          <w:color w:val="0070C0"/>
          <w:sz w:val="16"/>
          <w:szCs w:val="16"/>
        </w:rPr>
        <w:softHyphen/>
        <w:t>ян, тоже заинтересовавшиеся самолетом. Точная дата этого события неизвестна, но на основании свидетельств очевид</w:t>
      </w:r>
      <w:r w:rsidRPr="00142305">
        <w:rPr>
          <w:rFonts w:ascii="Times New Roman" w:hAnsi="Times New Roman"/>
          <w:color w:val="0070C0"/>
          <w:sz w:val="16"/>
          <w:szCs w:val="16"/>
        </w:rPr>
        <w:softHyphen/>
        <w:t>цев предполагают что полет имел место 19 июня 1932 г. (24945).</w:t>
      </w:r>
    </w:p>
    <w:p w14:paraId="4EEC7356" w14:textId="77777777" w:rsidR="00FD1168" w:rsidRPr="00142305" w:rsidRDefault="00FD1168" w:rsidP="00FD1168">
      <w:pPr>
        <w:spacing w:after="0" w:line="240" w:lineRule="auto"/>
        <w:jc w:val="both"/>
        <w:rPr>
          <w:rFonts w:ascii="Times New Roman" w:hAnsi="Times New Roman"/>
          <w:color w:val="0070C0"/>
          <w:sz w:val="16"/>
          <w:szCs w:val="16"/>
        </w:rPr>
      </w:pPr>
    </w:p>
    <w:p w14:paraId="7641B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года в НИИ самолетостроения ГВФ (ныне ГОСНИИ ГА) и в экспериментально-аэродинамическом отделе ЦАГИ впервые в СССР была начата исследовательская работа по "открылкам", или "щиткам-закрылкам" (подкрыльные щитки). Для летных исследований выбрали один из самолетов АИР-4, который получил обозначение Э-31.</w:t>
      </w:r>
    </w:p>
    <w:p w14:paraId="51888A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Вначале щитки были изучены А. К. Мартыновым и Н. И. Дружининым на модели самолета в аэродинамической трубе. Продувки подтвердили, что щитки позволяют уменьшить скорость взлета и длину разбега, и особенно посадочную скорость и пробег. В крейсерском полете щитки, убранные в выемки в хвостовых оконечностях нервюр, не ухудшали профиль крыла, а следовательно, и его характеристики.</w:t>
      </w:r>
    </w:p>
    <w:p w14:paraId="7E252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Основная трудность заключалась в обеспечении поперечной устойчивости и поперечного управления, так как для большей эффективности щитков они занимали всю заднюю кромку крыла, не оставляя места для элеронов. После ряда опытов было найдено решение: применить концевые плавающие элероны. Это элементы с симметричным профилем, свободно подвешенные на оси, параллельно размаху крыла и имеющие форму концов крыла. Поворот элеронов в противоположные стороны на ±15 градусов создавал необходимый момент крена. После выполнения требуемой эволюции, когда момент исчезает, элероны возвращаются в состояние свободного плавания и качаются подобно флюгеру с отклонением до 65 градусов вверх и 35 градусов вниз, в зависимости от срыва струй на крыле. Их эффективность сохранялась на всех углах атаки и режимах полета, вплоть до почти полной потери скорости на посадке. Из осторожности были выбраны элероны в 16% площади крыла, т. е. довольно большие и тяжелые.</w:t>
      </w:r>
    </w:p>
    <w:p w14:paraId="72AE76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Новое крыло АИР-4 спроектировали Б. Н. Заливацкий и Л. М. Шехтер, сотрудники НИИС ГВФ. Там же крыло переделали и установили на самолет.</w:t>
      </w:r>
    </w:p>
    <w:p w14:paraId="2A0876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предупреждения перекосов и заклинивания щитки были выполнены в виде четырех отдельных секций, подвешенных на трубчатых кронштейнах и отклонявшихся до 60 градусов червячным механизмом, соединенным с небольшим штурвалом на левой стороне пилотской кабины. Щитки имели лонжерон и нервюры из нержавеющей стали "Энерж-6" на электросварке и фанерную обшивку. Конструктивное выполнение щитков отличалось простотой, но зато усилие, необходимое для приведения их в движение, было весьма значительным. Для полного их раскрытия усилий летчика не хватало.</w:t>
      </w:r>
    </w:p>
    <w:p w14:paraId="21B1C3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Элероны были деревянной конструкции и обтягивались полотном. Управление элеронами состояло из трех качалок, соединенных жесткими тягами, и тросовой передачи. Оно монтировалось на заднем лонжероне центроплана внутри хвостовых отсеков нервюр. Недостатком плавающих элеронов были сложность привода и увеличение веса крыла на 5-8% (11981).</w:t>
      </w:r>
    </w:p>
    <w:p w14:paraId="3B9A4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C32B3B"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года в НИИ ГВФ совместно с экспериментально-аэродинамическим отделом ЦАГИ началась исследователь</w:t>
      </w:r>
      <w:r w:rsidRPr="00142305">
        <w:rPr>
          <w:rFonts w:ascii="Times New Roman" w:hAnsi="Times New Roman"/>
          <w:color w:val="0070C0"/>
          <w:sz w:val="16"/>
          <w:szCs w:val="16"/>
        </w:rPr>
        <w:softHyphen/>
        <w:t>ская работа по механизированному крылу. Для летных испытаний выделили самолет А.С. Яковлева АИР-4 СССР-311, получивший новое обозначение Э-31. Для него в НИИ ГВФ спроектировали и изготовили новое крыло, на задней кромке которого установили четырех</w:t>
      </w:r>
      <w:r w:rsidRPr="00142305">
        <w:rPr>
          <w:rFonts w:ascii="Times New Roman" w:hAnsi="Times New Roman"/>
          <w:color w:val="0070C0"/>
          <w:sz w:val="16"/>
          <w:szCs w:val="16"/>
        </w:rPr>
        <w:softHyphen/>
        <w:t>секционные посадочные щитки, отклоняемые при помощи червячного механизма на угол до 60°. Тогда такие щитки называли «открылка</w:t>
      </w:r>
      <w:r w:rsidRPr="00142305">
        <w:rPr>
          <w:rFonts w:ascii="Times New Roman" w:hAnsi="Times New Roman"/>
          <w:color w:val="0070C0"/>
          <w:sz w:val="16"/>
          <w:szCs w:val="16"/>
        </w:rPr>
        <w:softHyphen/>
        <w:t>ми» или «щитками-закрылками». Так как они занимали всю заднюю кромку крыла, и для обычных элеронов не оставалось места, на Э-31 применили так называемые «концевые плавающие элероны». Это были рулевые поверхности с симметричным профилем, имеющие в плане форму законцовок крыла. Необходимый момент крена создавал пово</w:t>
      </w:r>
      <w:r w:rsidRPr="00142305">
        <w:rPr>
          <w:rFonts w:ascii="Times New Roman" w:hAnsi="Times New Roman"/>
          <w:color w:val="0070C0"/>
          <w:sz w:val="16"/>
          <w:szCs w:val="16"/>
        </w:rPr>
        <w:softHyphen/>
        <w:t>рот концевых элеронов в противоположные стороны на угол до +15°. В полете по прямой самоустанавливались по потоку по</w:t>
      </w:r>
      <w:r w:rsidRPr="00142305">
        <w:rPr>
          <w:rFonts w:ascii="Times New Roman" w:hAnsi="Times New Roman"/>
          <w:color w:val="0070C0"/>
          <w:sz w:val="16"/>
          <w:szCs w:val="16"/>
        </w:rPr>
        <w:softHyphen/>
        <w:t>добно флюгерам (24929).</w:t>
      </w:r>
    </w:p>
    <w:p w14:paraId="495E3F57" w14:textId="77777777" w:rsidR="00FD1168" w:rsidRPr="00142305" w:rsidRDefault="00FD1168" w:rsidP="00FD1168">
      <w:pPr>
        <w:spacing w:after="0" w:line="240" w:lineRule="auto"/>
        <w:jc w:val="both"/>
        <w:rPr>
          <w:rFonts w:ascii="Times New Roman" w:hAnsi="Times New Roman"/>
          <w:color w:val="0070C0"/>
          <w:sz w:val="16"/>
          <w:szCs w:val="16"/>
        </w:rPr>
      </w:pPr>
    </w:p>
    <w:p w14:paraId="28AA8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Летом 1932 г. закончили Г-63. Он был рассчитан на 17 мест, включая пилота, и 500 кг груза. Десантники располагались лежа в толстом крыле. Носок крыла перед ними был из целлулоида, прозрачный; на земле он откидывался. Таскал Г-63 на испытаниях Р-5, планер пилотировал В.А. Степанченок. Вместо десантников в крыло </w:t>
      </w:r>
      <w:r w:rsidRPr="00E93F40">
        <w:rPr>
          <w:rFonts w:ascii="Times New Roman" w:hAnsi="Times New Roman"/>
          <w:color w:val="000000" w:themeColor="text1"/>
          <w:sz w:val="16"/>
          <w:szCs w:val="16"/>
        </w:rPr>
        <w:lastRenderedPageBreak/>
        <w:t>загрузили дюжину мешков с песком. Тянуть огромный планер было нелегко, температура воды в двигателе подходила к предельной. При первом полете перед посадкой трос не отцепился, но Степанченку удалось рывком его порвать. Но неприятности на этом не закончились. Трос, волочившийся за планером, зацепился за дымовую грубу, но аварии не произошло - держался он слабо и легко сполз с трубы.</w:t>
      </w:r>
    </w:p>
    <w:p w14:paraId="302DC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Развитием Г-63 стал планер "Яков Алкснис" (ЯА), отличавшийся расширенной пилотской кабиной с двойным управлением и усиленным шасси. Интересно, что проектом предусматривался вариант планера-ночного бомбардировщика, несущего 2000 кг бомб и вооруженного двумя пулеметами ШКАС. На испытаниях в первом же полете ЯА потянул буксировщик вверх. От рывка самолет потерял управление. Затем трос оборвался, но Р-5 уже находился в беспорядочном падении. Летчику Дубровскому удалось выйти из него уже у самой земли. Ни Г-63, ни ЯА не были приняты на вооружение.</w:t>
      </w:r>
    </w:p>
    <w:p w14:paraId="68052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проекту Г-49 Р-5 должен был буксировать небольшой мягкий дирижабль. Однако никаких экспериментов в этом направлении не проводилось (12034).</w:t>
      </w:r>
    </w:p>
    <w:p w14:paraId="27ADD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DDE6AD"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у Гроховского под руководством Б. Д. Урлапова построили первый десантный планер, названный Г-63. Он был рассчитан на 17 мест, включая пилота, плюс 500 кг груза. Десантники располагались лежа в толстом крыле. Таскал планер на испытаниях в Гатчине биплан Р-5, сам по себе способный перевезти не более 4-5 человек. Это был первый десантный планер в мире.</w:t>
      </w:r>
    </w:p>
    <w:p w14:paraId="70E72D0C"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Позднее Г-63 переделали в мотопланер Г-31. На нем стоял собственный мотор М-11Г, а позднее более мощный американский "Циклон". Мотопланеру буксировщик требовался только для взлета, а дальше он летел "своим ходом" (25356). </w:t>
      </w:r>
    </w:p>
    <w:p w14:paraId="6FB81A05" w14:textId="77777777" w:rsidR="00FD1168" w:rsidRPr="00142305" w:rsidRDefault="00FD1168" w:rsidP="00FD1168">
      <w:pPr>
        <w:spacing w:after="0" w:line="240" w:lineRule="auto"/>
        <w:jc w:val="both"/>
        <w:rPr>
          <w:rFonts w:ascii="Times New Roman" w:hAnsi="Times New Roman"/>
          <w:color w:val="0070C0"/>
          <w:sz w:val="16"/>
          <w:szCs w:val="16"/>
        </w:rPr>
      </w:pPr>
    </w:p>
    <w:p w14:paraId="76F8B53D"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за Р-5 буксировали планер Г-63 Экспериментального института НКТП. Он был рассчитан на 17 мест, включая пилота, и 500 кг груза. Десантники располагались лежа в толстом крыле. Носок крыла перед ними был из целлулоида, прозрачный; на земле он откидывался. Таскал Г-63 на испытаниях Р-5, планер пилотировал В.А. Степанченок. Вместо десантни</w:t>
      </w:r>
      <w:r w:rsidRPr="00142305">
        <w:rPr>
          <w:rFonts w:ascii="Times New Roman" w:hAnsi="Times New Roman"/>
          <w:color w:val="0070C0"/>
          <w:sz w:val="16"/>
          <w:szCs w:val="16"/>
        </w:rPr>
        <w:softHyphen/>
        <w:t>ков в крыло загрузили дюжину мешков с песком. Тянуть огромный планер было нелегко, температура воды в дви</w:t>
      </w:r>
      <w:r w:rsidRPr="00142305">
        <w:rPr>
          <w:rFonts w:ascii="Times New Roman" w:hAnsi="Times New Roman"/>
          <w:color w:val="0070C0"/>
          <w:sz w:val="16"/>
          <w:szCs w:val="16"/>
        </w:rPr>
        <w:softHyphen/>
        <w:t>гателе подходила к предельной. При первом полете перед посадкой трос не отцепился, но Степанченку удалось рыв</w:t>
      </w:r>
      <w:r w:rsidRPr="00142305">
        <w:rPr>
          <w:rFonts w:ascii="Times New Roman" w:hAnsi="Times New Roman"/>
          <w:color w:val="0070C0"/>
          <w:sz w:val="16"/>
          <w:szCs w:val="16"/>
        </w:rPr>
        <w:softHyphen/>
        <w:t>ком его порвать. Но неприятности на этом не закончились. Трос, волочившийся за планером, зацепился за дымовую трубу, но аварии не произошло — держался он слабо и лег</w:t>
      </w:r>
      <w:r w:rsidRPr="00142305">
        <w:rPr>
          <w:rFonts w:ascii="Times New Roman" w:hAnsi="Times New Roman"/>
          <w:color w:val="0070C0"/>
          <w:sz w:val="16"/>
          <w:szCs w:val="16"/>
        </w:rPr>
        <w:softHyphen/>
        <w:t>ко сполз с трубы.</w:t>
      </w:r>
    </w:p>
    <w:p w14:paraId="3E4DED9B"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Развитием Г-63 стал планер «Яков Алкснис» (ЯА), от</w:t>
      </w:r>
      <w:r w:rsidRPr="00142305">
        <w:rPr>
          <w:rFonts w:ascii="Times New Roman" w:hAnsi="Times New Roman"/>
          <w:color w:val="0070C0"/>
          <w:sz w:val="16"/>
          <w:szCs w:val="16"/>
        </w:rPr>
        <w:softHyphen/>
        <w:t>личавшийся расширенной пилотской кабиной с двойным управлением и усиленным шасси. Интересно, что проек</w:t>
      </w:r>
      <w:r w:rsidRPr="00142305">
        <w:rPr>
          <w:rFonts w:ascii="Times New Roman" w:hAnsi="Times New Roman"/>
          <w:color w:val="0070C0"/>
          <w:sz w:val="16"/>
          <w:szCs w:val="16"/>
        </w:rPr>
        <w:softHyphen/>
        <w:t>том предусматривался вариант планера-ночного бомбар</w:t>
      </w:r>
      <w:r w:rsidRPr="00142305">
        <w:rPr>
          <w:rFonts w:ascii="Times New Roman" w:hAnsi="Times New Roman"/>
          <w:color w:val="0070C0"/>
          <w:sz w:val="16"/>
          <w:szCs w:val="16"/>
        </w:rPr>
        <w:softHyphen/>
        <w:t>дировщика, несущего 2000 кг бомб и вооруженного дву</w:t>
      </w:r>
      <w:r w:rsidRPr="00142305">
        <w:rPr>
          <w:rFonts w:ascii="Times New Roman" w:hAnsi="Times New Roman"/>
          <w:color w:val="0070C0"/>
          <w:sz w:val="16"/>
          <w:szCs w:val="16"/>
        </w:rPr>
        <w:softHyphen/>
        <w:t>мя пулеметами ШКАС. На испытаниях в первом же поле</w:t>
      </w:r>
      <w:r w:rsidRPr="00142305">
        <w:rPr>
          <w:rFonts w:ascii="Times New Roman" w:hAnsi="Times New Roman"/>
          <w:color w:val="0070C0"/>
          <w:sz w:val="16"/>
          <w:szCs w:val="16"/>
        </w:rPr>
        <w:softHyphen/>
        <w:t>те ЯА потянул буксировщик вверх. От рывка самолет по</w:t>
      </w:r>
      <w:r w:rsidRPr="00142305">
        <w:rPr>
          <w:rFonts w:ascii="Times New Roman" w:hAnsi="Times New Roman"/>
          <w:color w:val="0070C0"/>
          <w:sz w:val="16"/>
          <w:szCs w:val="16"/>
        </w:rPr>
        <w:softHyphen/>
        <w:t>терял управление. Затем трос оборвался, но Р-5 уже нахо</w:t>
      </w:r>
      <w:r w:rsidRPr="00142305">
        <w:rPr>
          <w:rFonts w:ascii="Times New Roman" w:hAnsi="Times New Roman"/>
          <w:color w:val="0070C0"/>
          <w:sz w:val="16"/>
          <w:szCs w:val="16"/>
        </w:rPr>
        <w:softHyphen/>
        <w:t>дился в беспорядочном падении. Летчику Дубровскому удалось выйти из него уже у самой земли. Ни Г-63, ни ЯА не были приняты на вооружение (24990).</w:t>
      </w:r>
    </w:p>
    <w:p w14:paraId="4EA1244E" w14:textId="77777777" w:rsidR="00FD1168" w:rsidRPr="00142305" w:rsidRDefault="00FD1168" w:rsidP="00FD1168">
      <w:pPr>
        <w:spacing w:after="0" w:line="240" w:lineRule="auto"/>
        <w:jc w:val="both"/>
        <w:rPr>
          <w:rFonts w:ascii="Times New Roman" w:hAnsi="Times New Roman"/>
          <w:color w:val="0070C0"/>
          <w:sz w:val="16"/>
          <w:szCs w:val="16"/>
        </w:rPr>
      </w:pPr>
    </w:p>
    <w:p w14:paraId="52529F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были подготовлены выборки из журнала испытаний аппарата 1-ЭА (геликоптера) (3532).</w:t>
      </w:r>
    </w:p>
    <w:p w14:paraId="46C5E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5E85A7"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Летом 1932 г. старший инженер-конструктор Секции Особых Конструкций ЦАГИ Николай Ильич Камов в «Объяснительной записке к заявке и предложению» писал:</w:t>
      </w:r>
    </w:p>
    <w:p w14:paraId="353A1CC1"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 xml:space="preserve">«Известная схема летающего </w:t>
      </w:r>
      <w:hyperlink r:id="rId159" w:tgtFrame="_blank" w:history="1">
        <w:r w:rsidRPr="00E93F40">
          <w:rPr>
            <w:rStyle w:val="a5"/>
            <w:rFonts w:eastAsia="Times New Roman"/>
            <w:iCs/>
            <w:color w:val="000000" w:themeColor="text1"/>
            <w:sz w:val="16"/>
            <w:szCs w:val="16"/>
          </w:rPr>
          <w:t>танк</w:t>
        </w:r>
      </w:hyperlink>
      <w:r w:rsidRPr="00E93F40">
        <w:rPr>
          <w:iCs/>
          <w:color w:val="000000" w:themeColor="text1"/>
          <w:sz w:val="16"/>
          <w:szCs w:val="16"/>
        </w:rPr>
        <w:t xml:space="preserve">а конструктора Кристи — </w:t>
      </w:r>
      <w:hyperlink r:id="rId160" w:tgtFrame="_blank" w:history="1">
        <w:r w:rsidRPr="00E93F40">
          <w:rPr>
            <w:rStyle w:val="a5"/>
            <w:rFonts w:eastAsia="Times New Roman"/>
            <w:iCs/>
            <w:color w:val="000000" w:themeColor="text1"/>
            <w:sz w:val="16"/>
            <w:szCs w:val="16"/>
          </w:rPr>
          <w:t>танк</w:t>
        </w:r>
      </w:hyperlink>
      <w:r w:rsidRPr="00E93F40">
        <w:rPr>
          <w:iCs/>
          <w:color w:val="000000" w:themeColor="text1"/>
          <w:sz w:val="16"/>
          <w:szCs w:val="16"/>
        </w:rPr>
        <w:t>а, снабженного крыльями, складывающимися при посадке, обладает, на мой взгляд, следующими недостатками:</w:t>
      </w:r>
    </w:p>
    <w:p w14:paraId="116DDDBA"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 Взлетная и посадочная скорость должна быть 90 — 100 км/ч, т. е. требуются большие посадочные площадки, т. е. необходимость пользоваться избранными районами.</w:t>
      </w:r>
    </w:p>
    <w:p w14:paraId="3EDFD23B"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2) Сложенные крылья занимают большой габарит и требуют остановки и внешней работы обслуживающего персонала.</w:t>
      </w:r>
    </w:p>
    <w:p w14:paraId="2B90FAF9"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3) Работа гусениц на больших скоростях требует очень тонкого конструктивного оформления, что понижает ее сопротивление огню.</w:t>
      </w:r>
    </w:p>
    <w:p w14:paraId="73F8FE9E"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 xml:space="preserve">Значительную выгоду представило бы снабжение </w:t>
      </w:r>
      <w:hyperlink r:id="rId161" w:tgtFrame="_blank" w:history="1">
        <w:r w:rsidRPr="00E93F40">
          <w:rPr>
            <w:rStyle w:val="a5"/>
            <w:rFonts w:eastAsia="Times New Roman"/>
            <w:iCs/>
            <w:color w:val="000000" w:themeColor="text1"/>
            <w:sz w:val="16"/>
            <w:szCs w:val="16"/>
          </w:rPr>
          <w:t>танк</w:t>
        </w:r>
      </w:hyperlink>
      <w:r w:rsidRPr="00E93F40">
        <w:rPr>
          <w:iCs/>
          <w:color w:val="000000" w:themeColor="text1"/>
          <w:sz w:val="16"/>
          <w:szCs w:val="16"/>
        </w:rPr>
        <w:t>а геликоптерным винтом, которые мог бы вытаскивать машину из любого «колодца» — полянки окруженной лесом и др. рода пересеченной местности.»</w:t>
      </w:r>
    </w:p>
    <w:p w14:paraId="324CDD46" w14:textId="7021D3C9"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 xml:space="preserve">Формулируя идею создания своего летающего </w:t>
      </w:r>
      <w:hyperlink r:id="rId162" w:tgtFrame="_blank" w:history="1">
        <w:r w:rsidRPr="00E93F40">
          <w:rPr>
            <w:rStyle w:val="a5"/>
            <w:rFonts w:eastAsia="Times New Roman"/>
            <w:color w:val="000000" w:themeColor="text1"/>
            <w:sz w:val="16"/>
            <w:szCs w:val="16"/>
          </w:rPr>
          <w:t>танк</w:t>
        </w:r>
      </w:hyperlink>
      <w:r w:rsidRPr="00E93F40">
        <w:rPr>
          <w:color w:val="000000" w:themeColor="text1"/>
          <w:sz w:val="16"/>
          <w:szCs w:val="16"/>
        </w:rPr>
        <w:t xml:space="preserve">а-вертолёта, Н.И. Камов отмечал, что геликоптерная схема требует наличия сложного механизма перекоса, рулевых винтов и обладает большой площадью поражения. Заметно лучшей в этом плане была схема автожира, но снабжать </w:t>
      </w:r>
      <w:hyperlink r:id="rId163" w:tgtFrame="_blank" w:history="1">
        <w:r w:rsidRPr="00E93F40">
          <w:rPr>
            <w:rStyle w:val="a5"/>
            <w:rFonts w:eastAsia="Times New Roman"/>
            <w:color w:val="000000" w:themeColor="text1"/>
            <w:sz w:val="16"/>
            <w:szCs w:val="16"/>
          </w:rPr>
          <w:t>танк</w:t>
        </w:r>
      </w:hyperlink>
      <w:r w:rsidR="00DD74E1">
        <w:rPr>
          <w:color w:val="000000" w:themeColor="text1"/>
          <w:sz w:val="16"/>
          <w:szCs w:val="16"/>
        </w:rPr>
        <w:t xml:space="preserve"> </w:t>
      </w:r>
      <w:r w:rsidRPr="00E93F40">
        <w:rPr>
          <w:iCs/>
          <w:color w:val="000000" w:themeColor="text1"/>
          <w:sz w:val="16"/>
          <w:szCs w:val="16"/>
        </w:rPr>
        <w:t>«подкрыльями... и оперением — считал конструктор — не годится — нужна бескрылая схема.»</w:t>
      </w:r>
    </w:p>
    <w:p w14:paraId="49D1933B"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Полётный вес разрабатываемого летательного аппарата был принят в 4000-4500 иг, а в качестве силовой установки был выбран самый мощный из имевшихся тогда отечественных рядных двигателей жидкостного охлаждения того времени М-34, развивавший на взлетном режиме до 850 л.с. Надо заметить, что Александр Микулин, являвшийся создателем двигателя М-34, не без основания рассчитывал уже в ближайшее время повысить мощность своего детища до 1000-1200 л.с. Это, с одной стороны, гарантировало довольно приличную тяговооружённость, а, с другой — позволяло впоследствии усилить бронирование или вооружение вертолёта.</w:t>
      </w:r>
    </w:p>
    <w:p w14:paraId="080A1F3F"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Корпус машины обтекаемой формы предполагалось сваривать из броневых листов толщиной 5-8 мм. Это позволяло обойтись без внутреннего силового набора и давало известную экономию массы. Переходная часть корпуса (назвать её фюзеляжем всё-таки не поворачивается язык. — Прим. Авт. статьи) приближается к несущему крыльевому профилю. Гусеницы располагались, как тогда говорили, «с большим разносом» в 3-5 м, что обеспечивало значительную устойчивость летательному аппарату при передвижении и посадке на пересечённую местность. Толкающий воздушный винт был выбран с целью упрощения ведения огня в передней полусфере и по условиям наименьшей поражаемости.</w:t>
      </w:r>
    </w:p>
    <w:p w14:paraId="075D5B14"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Несущий винт</w:t>
      </w:r>
    </w:p>
    <w:p w14:paraId="237BC1AB"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«трехлопастный, свободнонесущии, нержавеющей стали и трубой из хромомолибдена (или цельноэлектронной) — с минимальным риском поражения пулеметным огнем. Лопасти могут быть сложены назад и собраны вновь из внутреннего помещения...</w:t>
      </w:r>
    </w:p>
    <w:p w14:paraId="5DC187D3"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...Механизм передачи энергии, рассчитай на муфту у толкающего воздушного винта (устанавливающегося вертикально на земле), на муфту и редуктор для раскручивания ротора (механический запуск), муфту у горизонтальных валов к гусеницам».</w:t>
      </w:r>
    </w:p>
    <w:p w14:paraId="64848729"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Приняв повышенную нагрузку на единицу площади несущего винта (12,7-13 кг/м²) Н.И.Камов получил сравнительно небольшой (даже по сегодняшним меркам) диаметр винта составлявший всего 20 метров, расчётная вертикальная скорость снижения составляла 5,9 м/с. Расчёты показывали, что посадочная скорость будет составлять всего около 20 км/ч, а пробег составит лишь около 5 м! Разбег (по неровной поверхности) должен был не превышать 50 м, расчетная скорость отрыва составляла 50 км/ч, минимальная эволютивная — чуть более 40 км/ч, а крейсерская — 150 км/ч.</w:t>
      </w:r>
    </w:p>
    <w:p w14:paraId="4B42241C"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Помимо потрясавших воображение лётных характеристик (нельзя забывать, что речь шла о полностью бронированной машине!), в числе несомненных достоинств были отмечены ещё два:</w:t>
      </w:r>
    </w:p>
    <w:p w14:paraId="43701572"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«6) Не боится остановки тянущего винта.</w:t>
      </w:r>
    </w:p>
    <w:p w14:paraId="3DF396FF"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7) Не имеет громоздких крыльев и горизонтального оперения...»</w:t>
      </w:r>
    </w:p>
    <w:p w14:paraId="44F493A5"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 xml:space="preserve">Изюминкой всей конструкции была, без сомнения, шаровая кольцевая втулка вертолета, позволявшая строить </w:t>
      </w:r>
      <w:r w:rsidRPr="00E93F40">
        <w:rPr>
          <w:iCs/>
          <w:color w:val="000000" w:themeColor="text1"/>
          <w:sz w:val="16"/>
          <w:szCs w:val="16"/>
        </w:rPr>
        <w:t xml:space="preserve">«Вертолеты большого тоннажа от 5 (тонн) и выше с башенными и турельными установками на втулке и... </w:t>
      </w:r>
      <w:hyperlink r:id="rId164" w:tgtFrame="_blank" w:history="1">
        <w:r w:rsidRPr="00E93F40">
          <w:rPr>
            <w:rStyle w:val="a5"/>
            <w:rFonts w:eastAsia="Times New Roman"/>
            <w:iCs/>
            <w:color w:val="000000" w:themeColor="text1"/>
            <w:sz w:val="16"/>
            <w:szCs w:val="16"/>
            <w:u w:val="none"/>
          </w:rPr>
          <w:t>танк</w:t>
        </w:r>
      </w:hyperlink>
      <w:r w:rsidRPr="00E93F40">
        <w:rPr>
          <w:iCs/>
          <w:color w:val="000000" w:themeColor="text1"/>
          <w:sz w:val="16"/>
          <w:szCs w:val="16"/>
        </w:rPr>
        <w:t>и-вертолеты с тем же расположением вооружения.»</w:t>
      </w:r>
    </w:p>
    <w:p w14:paraId="75D10711"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Шаровая кольцевая втулка соединяла в себе управляемую втулку ротора, которая позволяла отказаться в конструкции вертолёта от крыльев и горизонтального оперения и к тому же являлась основой башни для спаренной пулеметной установкой или же установки малокалиберной автоматической пушки.</w:t>
      </w:r>
    </w:p>
    <w:p w14:paraId="6F09071E"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Устройство кольцевой шаровой втулки было следующим. Неподвижное кольцо имело наружную поверхность, на которой в два ряда располагались подшипники, образовывающие кольцо шаровой поверхности.</w:t>
      </w:r>
    </w:p>
    <w:p w14:paraId="4862F220"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Неподвижное кольцо имеет два фланца, из которых верхний служил лафетом для установки оружия, а нижний — для крепления к основной конструкции. Нижний фланец имел четыре прореза: два в плоскости продольной оси машины и столько же — в плоскости перпендикулярной первой. В этих прорезах двигались направляющие для роликов управления, снабженные винтами для тросов управления.</w:t>
      </w:r>
    </w:p>
    <w:p w14:paraId="16EF8294"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Внешняя часть втулки — собственно кольцевая втулка, имела внутреннюю поверхность, которая могла менять свое угловое положение, скользя по двум рядам шариков; внизу имеется фланец и внешний венчик для механического привода. Фланец служит для движения по нему четырёх роликов управления. Таким образом, поворачивая ручку, пилот мог накренить аппарат как в продольном, так и в поперечном направлении, т. е. заставить её пикировать, кабрировать и выполнять развороты с потерей или набором высоты.</w:t>
      </w:r>
    </w:p>
    <w:p w14:paraId="7D713025"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Втулка снабжалась ограничителями как горизонтальными, так и вертикальными, а также приспособлением для складывания лопастей. Отказавшись от несущих плоскостей с элеронами и горизонтального оперения, Н.И. Камов надеялся позже избавиться и от ещё одного «рудимента» летательных аппаратов — вертикального оперения. Одним из основных рабочих вариантов было использование несимметричной тяги.</w:t>
      </w:r>
    </w:p>
    <w:p w14:paraId="7A50E71C"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Хотя во многих отношениях проект был проработан весьма основательно, отсутствие опыта проектирования гусеничной техники вызвало появление в тексте докладной записки довольно забавных описаний одно из которых приводится ниже.</w:t>
      </w:r>
    </w:p>
    <w:p w14:paraId="0CBF1E20"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«Гусеницы снабжены спарен, маслянными подвесками (стойками) которые делают гусеницы активными стойками нормального самолетного масляного шасси.» (12727).</w:t>
      </w:r>
    </w:p>
    <w:p w14:paraId="1AF37C55" w14:textId="77777777" w:rsidR="001E30C2" w:rsidRPr="00E93F40" w:rsidRDefault="001E30C2" w:rsidP="00E93F40">
      <w:pPr>
        <w:pStyle w:val="ae"/>
        <w:shd w:val="clear" w:color="auto" w:fill="FFFFFF"/>
        <w:spacing w:before="0" w:after="0"/>
        <w:jc w:val="both"/>
        <w:rPr>
          <w:iCs/>
          <w:color w:val="000000" w:themeColor="text1"/>
          <w:sz w:val="16"/>
          <w:szCs w:val="16"/>
        </w:rPr>
      </w:pPr>
    </w:p>
    <w:p w14:paraId="09F580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Летом 1932 года завод «Красный Октябрь» полностью освоил ремонт авиационных моторов, поставляя их на авиапредприятия Ленинграда и в авиационные части. Завод же № 47 стал все больше привлекаться к выполнению специальных заданий. Так, 16 апреля 1932го от управления ВВС Ленинградского военного округа поступил заказ на изготовление планера особого назначения. В этом же месяце были проведены сложный ремонт и дооборудование специального самолета для </w:t>
      </w:r>
      <w:r w:rsidRPr="00E93F40">
        <w:rPr>
          <w:rFonts w:ascii="Times New Roman" w:hAnsi="Times New Roman"/>
          <w:color w:val="000000" w:themeColor="text1"/>
          <w:sz w:val="16"/>
          <w:szCs w:val="16"/>
        </w:rPr>
        <w:lastRenderedPageBreak/>
        <w:t>проведения аэрофотосъемки местности (Там же. Д. 108. Л. 53.). Вместе с тем здесь продолжался и серийный выпуск самолетов Р-1, Р-5, И-5, У-2 и ТБ-1. Так, в 1934-м за девять месяцев было произведено девяносто два Р-1 (при плане девяносто), четыре Р-5, шестьдесят шесть У-2 (104,8 проц. плана) и два ТБ-1. После этого была начата планомерная подготовка к передаче этого авиационного завода в иное ведомство. В ноябре 1934 года в соответствии с приказом наркома тяжелой промышленности предприятие переподчинили Экспериментальному институту РККА, определив для него статус опытного завода (Там же. Л. 5.) (11176).</w:t>
      </w:r>
    </w:p>
    <w:p w14:paraId="2A3D5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C1A3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опытный образец поплавкового Р-5а участвовал в Северо-Восточной экспедиции, базируясь на пароходе "Сучан". В августе этот самолет помог вырваться из льдов каравану судов с рабочими "Дальстроя". В следующем году на нем вывозили пушнину с отдаленных факторий, производили съемку устья Лены, обследовали зимовки на м. Челюскина (11936).</w:t>
      </w:r>
    </w:p>
    <w:p w14:paraId="35BC1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70A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первый Р-5, попавший на Север, участвовал в Северо- Восточной экспедиции. Базировалась машина на пароходе "Сучан", пилотировал ее A.M. Бердник. Первым Р-5, попавшим на север, стал опытный образец поплавкового самолета, который поспешно забрали, прервав испытания. В августе этот самолет помог выбраться из льдов каравану судов с рабочими "Дальстроя". Бердник посадил во вторую кабину капитана А.П. Бочека. Поданным их разведки восемь судов вышли на чистую воду. В следующем году на этой машине, получившей бортовой номер "Н7", вывозили пушнину с отдаленных факторий, проводили картографическую съемку устья Лены, обследовали зимовки на мысе Челюскина.</w:t>
      </w:r>
    </w:p>
    <w:p w14:paraId="595FB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сезон 1934 г. полярники имели уже два новых, серийных, МР-5 - "Н25" и "Н27". Полярная авиация начала получать и обычные П-5 на колесах. Осенью 1934 г. отряд И.Л. Павленко стал первым подразделением ГВФ, постоянно размещенным на Чукотке. Три П-5 доставил на мыс Нава- рин пароход "Хабаровск". Там, где не было другого транспорта, кроме собачьих упряжек, П-5 возили всё. Известен даже случай, когда в декабре 1936 г. М.Н. Каминский доставил в район Амгуэмы сборный домик для метеостанции. Панели и балки привязывали к фюзеляжу снаружи (12034).</w:t>
      </w:r>
    </w:p>
    <w:p w14:paraId="4815E4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F38F1B" w14:textId="77777777" w:rsidR="006B5B51" w:rsidRPr="00E93F40" w:rsidRDefault="006B5B51"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шесть 82-мм ракетных установок ГДЛ, установленных на самолете И-4, испытывались в присутствии заместителя наркома по военным и морским делам М.Н.Тухачевского. В последующие годы продолжалась доводка снарядов этого калибра, а также калибра 132-мм, для вооружения самолета Р-5. Стрельба с самолета реактивными снарядами калибром до 132-мм в 1932-1933 гг. дала вполне благоприятные результаты в части отсутствия воздействия струи на самолет. Опыты показали, что лучшую устойчивость имеют оперенные снаряды.</w:t>
      </w:r>
    </w:p>
    <w:p w14:paraId="3CC5BDC0" w14:textId="77777777" w:rsidR="006B5B51" w:rsidRPr="00E93F40" w:rsidRDefault="006B5B51"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в ГДЛ разрабатывались снаряды калибром 60-мм. 165-мм, 240-мм, 245-мм, 400-мм - для миномета (15252).</w:t>
      </w:r>
    </w:p>
    <w:p w14:paraId="090D3868" w14:textId="77777777" w:rsidR="006B5B51" w:rsidRPr="00E93F40" w:rsidRDefault="006B5B51" w:rsidP="00E93F40">
      <w:pPr>
        <w:shd w:val="clear" w:color="auto" w:fill="FFFFFF"/>
        <w:spacing w:after="0" w:line="240" w:lineRule="auto"/>
        <w:jc w:val="both"/>
        <w:rPr>
          <w:rFonts w:ascii="Times New Roman" w:hAnsi="Times New Roman"/>
          <w:color w:val="000000" w:themeColor="text1"/>
          <w:sz w:val="16"/>
          <w:szCs w:val="16"/>
        </w:rPr>
      </w:pPr>
    </w:p>
    <w:p w14:paraId="5B39B676"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старший инженер-конструктор Секции Особых Конструкций ЦАГИ Н.И. Камов в «Объяснительной записке к заявке и предложению» писал:</w:t>
      </w:r>
    </w:p>
    <w:p w14:paraId="5019AE0C"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«Известная схема летающего </w:t>
      </w:r>
      <w:hyperlink r:id="rId165"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 конструктора Кристи — </w:t>
      </w:r>
      <w:hyperlink r:id="rId166"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снабженного крыльями, складывающимися при посадке, обладает, на мой взгляд, следующими недостатками:</w:t>
      </w:r>
    </w:p>
    <w:p w14:paraId="0436F2C1"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Взлетная и посадочная скорость должна быть 90 — 100 км/ч, т. е. требуются большие посадочные площадки, т. е. необходимость пользоваться избранными районами.</w:t>
      </w:r>
    </w:p>
    <w:p w14:paraId="4B0B9B46"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Сложенные крылья занимают большой габарит и требуют остановки и внешней работы обслуживающего персонала.</w:t>
      </w:r>
    </w:p>
    <w:p w14:paraId="17509902"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Работа гусениц на больших скоростях требует очень тонкого конструктивного оформления, что понижает ее сопротивление огню.</w:t>
      </w:r>
    </w:p>
    <w:p w14:paraId="0A0AADA2"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Значительную выгоду представило бы снабжение </w:t>
      </w:r>
      <w:hyperlink r:id="rId167"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геликоптерным винтом, которые мог бы вытаскивать машину из любого «колодца» — полянки окруженной лесом и др. рода пересеченной местности.».</w:t>
      </w:r>
    </w:p>
    <w:p w14:paraId="56B3D367"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Формулируя идею создания своего летающего </w:t>
      </w:r>
      <w:hyperlink r:id="rId168"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а-вертолёта, Н.И. Камов отмечал, что геликоптерная схема требует наличия сложного механизма перекоса, рулевых винтов и обладает большой площадью поражения. Заметно лучшей в этом плане была схема автожира, но снабжать </w:t>
      </w:r>
      <w:hyperlink r:id="rId169"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 «подкрыльями... и оперением — считал конструктор — не годится — нужна бескрылая схема.»</w:t>
      </w:r>
    </w:p>
    <w:p w14:paraId="4BC1EF0F"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Полётный вес разрабатываемого летательного аппарата был принят в 4000-4500 иг, а в качестве силовой установки был выбран самый мощный из имевшихся тогда отечественных рядных двигателей жидкостного охлаждения того времени М-34, развивавший на взлетном режиме до 850 л.с. Надо заметить, что Александр Микулин, являвшийся создателем двигателя М-34, не без основания рассчитывал уже в ближайшее время повысить мощность своего детища до 1000-1200 л.с. Это, с одной стороны, гарантировало довольно приличную тяговооружённость, а, с другой — позволяло впоследствии усилить бронирование или вооружение вертолёта.</w:t>
      </w:r>
    </w:p>
    <w:p w14:paraId="69FCE7B7"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Корпус машины обтекаемой формы предполагалось сваривать из броневых листов толщиной 5-8 мм. Это позволяло обойтись без внутреннего силового набора и давало известную экономию массы. Переходная часть корпуса (назвать её фюзеляжем всё-таки не поворачивается язык. — Прим. Авт. статьи) приближается к несущему крыльевому профилю. Гусеницы располагались, как тогда говорили, «с большим разносом» в 3-5 м, что обеспечивало значительную устойчивость летательному аппарату при передвижении и посадке на пересечённую местность. Толкающий воздушный винт был выбран с целью упрощения ведения огня в передней полусфере и по условиям наименьшей поражаемости.</w:t>
      </w:r>
    </w:p>
    <w:p w14:paraId="26524C72"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Несущий винт «трехлопастный, свободнонесущии, нержавеющей стали и трубой из хромомолибдена (или цельноэлектронной) — с минимальным риском поражения пулеметным огнем. Лопасти могут быть сложены назад и собраны вновь из внутреннего помещения...</w:t>
      </w:r>
    </w:p>
    <w:p w14:paraId="3E4B79A5"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...Механизм передачи энергии, рассчитай на муфту у толкающего воздушного винта (устанавливающегося вертикально на земле), на муфту и редуктор для раскручивания ротора (механический запуск), муфту у горизонтальных валов к гусеницам».</w:t>
      </w:r>
    </w:p>
    <w:p w14:paraId="70868CAD"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Приняв повышенную нагрузку на единицу площади несущего винта (12,7-13 кг/м²) Н.И.Камов получил сравнительно небольшой (даже по сегодняшним меркам) диаметр винта составлявший всего 20 метров, расчётная вертикальная скорость снижения составляла 5,9 м/с. Расчёты показывали, что посадочная скорость будет составлять всего около 20 км/ч, а пробег составит лишь около 5 м! Разбег (по неровной поверхности) должен был не превышать 50 м, расчетная скорость отрыва составляла 50 км/ч, минимальная эволютивная — чуть более 40 км/ч, а крейсерская — 150 км/ч.</w:t>
      </w:r>
    </w:p>
    <w:p w14:paraId="74CFAB9A"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Помимо потрясавших воображение лётных характеристик (нельзя забывать, что речь шла о полностью бронированной машине!), в числе несомненных достоинств были отмечены ещё два:</w:t>
      </w:r>
    </w:p>
    <w:p w14:paraId="5DF71C5E"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Не боится остановки тянущего винта.</w:t>
      </w:r>
    </w:p>
    <w:p w14:paraId="6C0831DD"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Не имеет громоздких крыльев и горизонтального оперения...»</w:t>
      </w:r>
    </w:p>
    <w:p w14:paraId="116DE4D2"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Изюминкой всей конструкции была, без сомнения, шаровая кольцевая втулка вертолета, позволявшая строить</w:t>
      </w:r>
    </w:p>
    <w:p w14:paraId="3FF017BE"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«Вертолеты большого тоннажа от 5 (тонн — Прим. Авт. статьи) и выше с башенными и турельными установками на втулке и... </w:t>
      </w:r>
      <w:hyperlink r:id="rId170"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и-вертолеты с тега же расположением вооружения.»</w:t>
      </w:r>
    </w:p>
    <w:p w14:paraId="78CBAA7D"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Шаровая кольцевая втулка соединяла в себе управляемую втулку ротора, которая позволяла отказаться в конструкции вертолёта от крыльев и горизонтального оперения и к тому же являлась основой башни для спаренной пулеметной установкой или же установки малокалиберной автоматической пушки.</w:t>
      </w:r>
    </w:p>
    <w:p w14:paraId="38586EC7"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Устройство кольцевой шаровой втулки было следующим. Неподвижное кольцо имело наружную поверхность, на которой в два ряда располагались подшипники, образовывающие кольцо шаровой поверхности.</w:t>
      </w:r>
    </w:p>
    <w:p w14:paraId="339E9B64"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Неподвижное кольцо имеет два фланца, из которых верхний служил лафетом для установки оружия, а нижний — для крепления к основной конструкции. Нижний фланец имел четыре прореза: два в плоскости продольной оси машины и столько же — в плоскости перпендикулярной первой. В этих прорезах двигались направляющие для роликов управления, снабженные винтами для тросов управления.</w:t>
      </w:r>
    </w:p>
    <w:p w14:paraId="66BC0FA9"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Внешняя часть втулки — собственно кольцевая втулка, имела внутреннюю поверхность, которая могла менять свое угловое положение, скользя по двум рядам шариков; внизу имеется фланец и внешний венчик для механического привода. Фланец служит для движения по нему четырёх роликов управления. Таким образом, поворачивая ручку, пилот мог накренить аппарат как в продольном, так и в поперечном направлении, т. е. заставить её пикировать, кабрировать и выполнять развороты с потерей или набором высоты.</w:t>
      </w:r>
    </w:p>
    <w:p w14:paraId="57B1B969"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Втулка снабжалась ограничителями как горизонтальными, так и вертикальными, а также приспособлением для складывания лопастей. Отказавшись от несущих плоскостей с элеронами и горизонтального оперения, Н.И. Камов надеялся позже избавиться и от ещё одного «рудимента» летательных аппаратов — вертикального оперения. Одним из основных рабочих вариантов было использование несимметричной тяги.</w:t>
      </w:r>
    </w:p>
    <w:p w14:paraId="5822C404"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во многих отношениях проект был проработан весьма основательно, отсутствие опыта проектирования гусеничной техники вызвало появление в тексте докладной записки довольно забавных описаний одно из которых приводится ниже.</w:t>
      </w:r>
    </w:p>
    <w:p w14:paraId="48C6A33F"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«Гусеницы снабжены спарен. маслянными подвесками (стойками) которые делают гусеницы активными стойками нормального самолетного масляного шасси.» (15540).</w:t>
      </w:r>
    </w:p>
    <w:p w14:paraId="077180E8" w14:textId="77777777" w:rsidR="006B5B51" w:rsidRPr="00E93F40" w:rsidRDefault="006B5B51" w:rsidP="00E93F40">
      <w:pPr>
        <w:spacing w:after="0" w:line="240" w:lineRule="auto"/>
        <w:jc w:val="both"/>
        <w:rPr>
          <w:rFonts w:ascii="Times New Roman" w:hAnsi="Times New Roman"/>
          <w:color w:val="000000" w:themeColor="text1"/>
          <w:sz w:val="16"/>
          <w:szCs w:val="16"/>
        </w:rPr>
      </w:pPr>
    </w:p>
    <w:p w14:paraId="7E75CDF1" w14:textId="77777777" w:rsidR="00BA7147" w:rsidRPr="00E93F40" w:rsidRDefault="00BA714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года начальником ГУАП П.И. Барановым было утверждено «Типовое положение об отделе технического контроля на предприятиях Глававиапрома». Оно предусматривало наличие в службе ОТК «...подразделения испытаний и технической сдачи готовых изделий», на которое возлагались:</w:t>
      </w:r>
    </w:p>
    <w:p w14:paraId="086A872C" w14:textId="77777777" w:rsidR="00BA7147" w:rsidRPr="00E93F40" w:rsidRDefault="00BA7147" w:rsidP="00E93F40">
      <w:pPr>
        <w:widowControl w:val="0"/>
        <w:tabs>
          <w:tab w:val="left" w:pos="1405"/>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изделий;</w:t>
      </w:r>
    </w:p>
    <w:p w14:paraId="79D056C2" w14:textId="77777777" w:rsidR="00BA7147" w:rsidRPr="00E93F40" w:rsidRDefault="00BA7147" w:rsidP="00E93F40">
      <w:pPr>
        <w:widowControl w:val="0"/>
        <w:tabs>
          <w:tab w:val="left" w:pos="1405"/>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окраска и отделка готовых изделий;</w:t>
      </w:r>
    </w:p>
    <w:p w14:paraId="489D3E06" w14:textId="77777777" w:rsidR="00BA7147" w:rsidRPr="00E93F40" w:rsidRDefault="00BA7147" w:rsidP="00E93F40">
      <w:pPr>
        <w:widowControl w:val="0"/>
        <w:tabs>
          <w:tab w:val="left" w:pos="1375"/>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выдача окончательного заключения о соответствии изготовленной продукции условиям договора;</w:t>
      </w:r>
    </w:p>
    <w:p w14:paraId="5361353C" w14:textId="77777777" w:rsidR="00BA7147" w:rsidRPr="00E93F40" w:rsidRDefault="00BA7147" w:rsidP="00E93F40">
      <w:pPr>
        <w:widowControl w:val="0"/>
        <w:tabs>
          <w:tab w:val="left" w:pos="1395"/>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сдача готовых изделий заказчику.</w:t>
      </w:r>
    </w:p>
    <w:p w14:paraId="53441C75" w14:textId="77777777" w:rsidR="00BA7147" w:rsidRPr="00E93F40" w:rsidRDefault="00BA714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Этот документ требовал подчинения аппарату ОТК контрольно-испытательных станций заводов (21100).</w:t>
      </w:r>
    </w:p>
    <w:p w14:paraId="7704904A" w14:textId="77777777" w:rsidR="00BA7147" w:rsidRPr="00E93F40" w:rsidRDefault="00BA7147" w:rsidP="00E93F40">
      <w:pPr>
        <w:spacing w:after="0" w:line="240" w:lineRule="auto"/>
        <w:jc w:val="both"/>
        <w:rPr>
          <w:rFonts w:ascii="Times New Roman" w:hAnsi="Times New Roman"/>
          <w:color w:val="000000" w:themeColor="text1"/>
          <w:sz w:val="16"/>
          <w:szCs w:val="16"/>
        </w:rPr>
      </w:pPr>
    </w:p>
    <w:p w14:paraId="02969C07" w14:textId="77777777"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после испытательных полётов «СССР В-3» получил приказ вылететь из Ленин</w:t>
      </w:r>
      <w:r w:rsidRPr="00E93F40">
        <w:rPr>
          <w:rFonts w:ascii="Times New Roman" w:hAnsi="Times New Roman"/>
          <w:color w:val="000000" w:themeColor="text1"/>
          <w:sz w:val="16"/>
          <w:szCs w:val="16"/>
        </w:rPr>
        <w:softHyphen/>
        <w:t>града в Москву. Приёмочная комиссия, признав неправильным положение хвостового опере</w:t>
      </w:r>
      <w:r w:rsidRPr="00E93F40">
        <w:rPr>
          <w:rFonts w:ascii="Times New Roman" w:hAnsi="Times New Roman"/>
          <w:color w:val="000000" w:themeColor="text1"/>
          <w:sz w:val="16"/>
          <w:szCs w:val="16"/>
        </w:rPr>
        <w:softHyphen/>
        <w:t>ния, лететь не советовала. Для изучения вопроса на месте в Ленинград выехал У. Нобиле, кото</w:t>
      </w:r>
      <w:r w:rsidRPr="00E93F40">
        <w:rPr>
          <w:rFonts w:ascii="Times New Roman" w:hAnsi="Times New Roman"/>
          <w:color w:val="000000" w:themeColor="text1"/>
          <w:sz w:val="16"/>
          <w:szCs w:val="16"/>
        </w:rPr>
        <w:softHyphen/>
        <w:t>рый подтвердил правильность принятого распо</w:t>
      </w:r>
      <w:r w:rsidRPr="00E93F40">
        <w:rPr>
          <w:rFonts w:ascii="Times New Roman" w:hAnsi="Times New Roman"/>
          <w:color w:val="000000" w:themeColor="text1"/>
          <w:sz w:val="16"/>
          <w:szCs w:val="16"/>
        </w:rPr>
        <w:softHyphen/>
        <w:t>ложения хвостового оперения и вызвался лететь на дирижабле (20120).</w:t>
      </w:r>
    </w:p>
    <w:p w14:paraId="66EC6533" w14:textId="77777777" w:rsidR="00FF7599" w:rsidRPr="00E93F40" w:rsidRDefault="00FF7599" w:rsidP="00E93F40">
      <w:pPr>
        <w:spacing w:after="0" w:line="240" w:lineRule="auto"/>
        <w:jc w:val="both"/>
        <w:rPr>
          <w:rFonts w:ascii="Times New Roman" w:hAnsi="Times New Roman"/>
          <w:color w:val="000000" w:themeColor="text1"/>
          <w:sz w:val="16"/>
          <w:szCs w:val="16"/>
        </w:rPr>
      </w:pPr>
    </w:p>
    <w:p w14:paraId="15F33943" w14:textId="77777777" w:rsidR="00FF7599" w:rsidRPr="00E93F40" w:rsidRDefault="00FF75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(по сведениям В.П. Глушко) сотрудники Московской ГИРД: СП. Королев, его тогдашний заместитель Е.С Параев, Ф.А. Цандер, М.К. Тихонравов, Ю.А. Победоносцев - съездили в Ленинград и лично ознакомились с разработками ГДЛ. (По сведениям Я.К. Голованова эта встреча произошла ранней весной, ездил один Королев, а в марте приехали в Москву представители ГДЛ). С.П. Королева заинтересовали двигатели В.П. Глушко и пороховые ускорители для самолетов В.И. Дудакова. Интерес был вызван тем, что работа его собственного отдела по РП-1 пока не продвинулась ни на шаг. Двигатель Цандера ОР-2 при испытаниях давал сбои, а сама бесхвостка БИЧ-11 вообще не хотела летать ни с каким мотором. По договору от 18 ноября 1931 г. ракетоплан должен был взлететь к концу января 1932 г. Но пошел 1933 г. и в Тематическом задании № 1 по оборонному изобретательству на этот год под грифом «Не подлежит оглашению» в разделе VIII «Авиация и планеризм» под пунктом № 72 опять читаем: «Реактивный планер - для подъема на ровном месте, обеспечивающий безаварийность и продолжительность полета, отсутствие разрушающих сил, влияющих на планер при полете» (ГА РФ. Фонд Р-8355. Опись 1. Дело № 686. Л. 48 об) (22685).</w:t>
      </w:r>
    </w:p>
    <w:p w14:paraId="2EE880C1" w14:textId="77777777" w:rsidR="00FF7599" w:rsidRPr="00E93F40" w:rsidRDefault="00FF7599" w:rsidP="00E93F40">
      <w:pPr>
        <w:spacing w:after="0" w:line="240" w:lineRule="auto"/>
        <w:jc w:val="both"/>
        <w:rPr>
          <w:rFonts w:ascii="Times New Roman" w:hAnsi="Times New Roman"/>
          <w:color w:val="000000" w:themeColor="text1"/>
          <w:sz w:val="16"/>
          <w:szCs w:val="16"/>
        </w:rPr>
      </w:pPr>
    </w:p>
    <w:p w14:paraId="286AE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1932г ГДЛ посетили сотрудники ГИРД из Москвы во главе с С.П.Королевым (11330).</w:t>
      </w:r>
    </w:p>
    <w:p w14:paraId="29792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ED199B" w14:textId="77777777" w:rsidR="0046155A" w:rsidRPr="00E93F40" w:rsidRDefault="0046155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Я.М. Терентьев, в 1932-1935 гг. занимавший должность начальника отдела изобретений и рационализации в системе РККА, а затем и.о. начальника Управления Военных Изобретений при Начальнике вооружений РККА (УВИ НВ РККА), посетил ГИРД. «Впервые я видел, - докладывал он Тухачевскому, - чтобы в мирное время научно-исследовательская группа работала в подвале, при плохом электрическом освещении, на земляном полу. Но, не смотря на бедность «базы» мне были показаны качественно выполненные детали ракеты. Оказывается, молодежь, работающая на предприятиях (имеется в виду основная работа), брала с собой подготовленные в ГИРД чертежи и после работы делала их на своих рабочих местах, и потом эти ответственные элементы конструкции приносили сюда, в «сборочный» цех» (22685).</w:t>
      </w:r>
    </w:p>
    <w:p w14:paraId="5CFBFD3D" w14:textId="77777777" w:rsidR="0046155A" w:rsidRPr="00E93F40" w:rsidRDefault="0046155A" w:rsidP="00E93F40">
      <w:pPr>
        <w:spacing w:after="0" w:line="240" w:lineRule="auto"/>
        <w:jc w:val="both"/>
        <w:rPr>
          <w:rFonts w:ascii="Times New Roman" w:hAnsi="Times New Roman"/>
          <w:color w:val="000000" w:themeColor="text1"/>
          <w:sz w:val="16"/>
          <w:szCs w:val="16"/>
        </w:rPr>
      </w:pPr>
    </w:p>
    <w:p w14:paraId="4A2EF443" w14:textId="77777777" w:rsidR="0046155A" w:rsidRPr="00E93F40" w:rsidRDefault="0046155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посдле визита Я.М. Терентьева в ГИРД, когда он, шокированный нищетой конструкторской организации, поразился результатам ее работы, особенно по сравнению с обласканной ГДЛ, для выполнения заказов которой подключали промышленность. Вот выводы, к которым пришел Я.М. Терентьев после посещения ГИРД и с которыми пошел докладывать Начальнику вооружений РККА М.Н. Тухачевскому:</w:t>
      </w:r>
    </w:p>
    <w:p w14:paraId="065D9CCA" w14:textId="77777777" w:rsidR="0046155A" w:rsidRPr="00E93F40" w:rsidRDefault="0046155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проекту Ф.А. Цандера уже создан реактивный двигатель, прошедший испытания и подтвердивший теоретические выводы конструктора.</w:t>
      </w:r>
    </w:p>
    <w:p w14:paraId="50549AD1" w14:textId="77777777" w:rsidR="0046155A" w:rsidRPr="00E93F40" w:rsidRDefault="0046155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Инженеры С.П. Королев, М.К. Тихонравов, М.А. Кисенко имеют свои проекты ракетных двигателей и ракет.</w:t>
      </w:r>
    </w:p>
    <w:p w14:paraId="58C42EEC" w14:textId="77777777" w:rsidR="0046155A" w:rsidRPr="00E93F40" w:rsidRDefault="0046155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 отдельным разработкам деталей реактивных двигателей, в частности жидкостных, коллектив ТИР Да имеет оригинальные (по сравнению с ГДЛ) решения».</w:t>
      </w:r>
    </w:p>
    <w:p w14:paraId="7948FC42" w14:textId="77777777" w:rsidR="0046155A" w:rsidRPr="00E93F40" w:rsidRDefault="0046155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основании этого доклада М.Н. Тухачевский решил оказать помощь Московской ГИРД, видимо тогда же он задумывает объединить ГДЛ и ГИРД в одну организацию (22685).</w:t>
      </w:r>
    </w:p>
    <w:p w14:paraId="000258BB" w14:textId="77777777" w:rsidR="0046155A" w:rsidRPr="00E93F40" w:rsidRDefault="0046155A" w:rsidP="00E93F40">
      <w:pPr>
        <w:spacing w:after="0" w:line="240" w:lineRule="auto"/>
        <w:jc w:val="both"/>
        <w:rPr>
          <w:rFonts w:ascii="Times New Roman" w:hAnsi="Times New Roman"/>
          <w:color w:val="000000" w:themeColor="text1"/>
          <w:sz w:val="16"/>
          <w:szCs w:val="16"/>
        </w:rPr>
      </w:pPr>
    </w:p>
    <w:p w14:paraId="331A727D" w14:textId="50F1678E"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в присутствии М.Н. Тухачевского с И—4, на котором</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над верхним крылом серийного са</w:t>
      </w:r>
      <w:r w:rsidRPr="00E93F40">
        <w:rPr>
          <w:rFonts w:ascii="Times New Roman" w:hAnsi="Times New Roman"/>
          <w:color w:val="000000" w:themeColor="text1"/>
          <w:sz w:val="16"/>
          <w:szCs w:val="16"/>
        </w:rPr>
        <w:softHyphen/>
        <w:t>молета в Газодинамической лаборатории (ГДЛ) установили шесть пусковых уста</w:t>
      </w:r>
      <w:r w:rsidRPr="00E93F40">
        <w:rPr>
          <w:rFonts w:ascii="Times New Roman" w:hAnsi="Times New Roman"/>
          <w:color w:val="000000" w:themeColor="text1"/>
          <w:sz w:val="16"/>
          <w:szCs w:val="16"/>
        </w:rPr>
        <w:softHyphen/>
        <w:t>новок для «реактивных снарядов диамет</w:t>
      </w:r>
      <w:r w:rsidRPr="00E93F40">
        <w:rPr>
          <w:rFonts w:ascii="Times New Roman" w:hAnsi="Times New Roman"/>
          <w:color w:val="000000" w:themeColor="text1"/>
          <w:sz w:val="16"/>
          <w:szCs w:val="16"/>
        </w:rPr>
        <w:softHyphen/>
        <w:t>ром 82 мм» впер</w:t>
      </w:r>
      <w:r w:rsidRPr="00E93F40">
        <w:rPr>
          <w:rFonts w:ascii="Times New Roman" w:hAnsi="Times New Roman"/>
          <w:color w:val="000000" w:themeColor="text1"/>
          <w:sz w:val="16"/>
          <w:szCs w:val="16"/>
        </w:rPr>
        <w:softHyphen/>
        <w:t>вые провели официальные стрельбы в воздухе (23474).</w:t>
      </w:r>
    </w:p>
    <w:p w14:paraId="18A6EB52" w14:textId="77777777" w:rsidR="001F79EA" w:rsidRPr="00E93F40" w:rsidRDefault="001F79EA" w:rsidP="00E93F40">
      <w:pPr>
        <w:spacing w:after="0" w:line="240" w:lineRule="auto"/>
        <w:jc w:val="both"/>
        <w:rPr>
          <w:rFonts w:ascii="Times New Roman" w:hAnsi="Times New Roman"/>
          <w:color w:val="000000" w:themeColor="text1"/>
          <w:sz w:val="16"/>
          <w:szCs w:val="16"/>
        </w:rPr>
      </w:pPr>
    </w:p>
    <w:p w14:paraId="569E6E52"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года летчик С.И.Му</w:t>
      </w:r>
      <w:r w:rsidRPr="00E93F40">
        <w:rPr>
          <w:rFonts w:ascii="Times New Roman" w:hAnsi="Times New Roman"/>
          <w:color w:val="000000" w:themeColor="text1"/>
          <w:sz w:val="16"/>
          <w:szCs w:val="16"/>
        </w:rPr>
        <w:softHyphen/>
        <w:t>хин провел первые официальные стрельбы РС.</w:t>
      </w:r>
    </w:p>
    <w:p w14:paraId="16FB2F36"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И-4 оснасти</w:t>
      </w:r>
      <w:r w:rsidRPr="00E93F40">
        <w:rPr>
          <w:rFonts w:ascii="Times New Roman" w:hAnsi="Times New Roman"/>
          <w:color w:val="000000" w:themeColor="text1"/>
          <w:sz w:val="16"/>
          <w:szCs w:val="16"/>
        </w:rPr>
        <w:softHyphen/>
        <w:t>ли пусковой уста</w:t>
      </w:r>
      <w:r w:rsidRPr="00E93F40">
        <w:rPr>
          <w:rFonts w:ascii="Times New Roman" w:hAnsi="Times New Roman"/>
          <w:color w:val="000000" w:themeColor="text1"/>
          <w:sz w:val="16"/>
          <w:szCs w:val="16"/>
        </w:rPr>
        <w:softHyphen/>
        <w:t>новкой из шести труб для турборе</w:t>
      </w:r>
      <w:r w:rsidRPr="00E93F40">
        <w:rPr>
          <w:rFonts w:ascii="Times New Roman" w:hAnsi="Times New Roman"/>
          <w:color w:val="000000" w:themeColor="text1"/>
          <w:sz w:val="16"/>
          <w:szCs w:val="16"/>
        </w:rPr>
        <w:softHyphen/>
        <w:t>активных снарядов калибра 82 милли</w:t>
      </w:r>
      <w:r w:rsidRPr="00E93F40">
        <w:rPr>
          <w:rFonts w:ascii="Times New Roman" w:hAnsi="Times New Roman"/>
          <w:color w:val="000000" w:themeColor="text1"/>
          <w:sz w:val="16"/>
          <w:szCs w:val="16"/>
        </w:rPr>
        <w:softHyphen/>
        <w:t>метра, испытания которых уже были проведены на У-1.</w:t>
      </w:r>
    </w:p>
    <w:p w14:paraId="3D4EE1EA"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стрельбах присутствовал М.Н.Ту</w:t>
      </w:r>
      <w:r w:rsidRPr="00E93F40">
        <w:rPr>
          <w:rFonts w:ascii="Times New Roman" w:hAnsi="Times New Roman"/>
          <w:color w:val="000000" w:themeColor="text1"/>
          <w:sz w:val="16"/>
          <w:szCs w:val="16"/>
        </w:rPr>
        <w:softHyphen/>
        <w:t>хачевский. Результаты стрельб были весьма скромными.</w:t>
      </w:r>
    </w:p>
    <w:p w14:paraId="163DA9CC"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вооружения Р-5 был разработан оперенный реактив</w:t>
      </w:r>
      <w:r w:rsidRPr="00E93F40">
        <w:rPr>
          <w:rFonts w:ascii="Times New Roman" w:hAnsi="Times New Roman"/>
          <w:color w:val="000000" w:themeColor="text1"/>
          <w:sz w:val="16"/>
          <w:szCs w:val="16"/>
        </w:rPr>
        <w:softHyphen/>
        <w:t>ный снаряд калибра 132 миллиметра и пусковое устройство с салазками. Вскоре выяснилось, что для легкого разведчика снаряд слишком тяжел, и Р-5 заменили сред</w:t>
      </w:r>
      <w:r w:rsidRPr="00E93F40">
        <w:rPr>
          <w:rFonts w:ascii="Times New Roman" w:hAnsi="Times New Roman"/>
          <w:color w:val="000000" w:themeColor="text1"/>
          <w:sz w:val="16"/>
          <w:szCs w:val="16"/>
        </w:rPr>
        <w:softHyphen/>
        <w:t>ним бомбардировщи</w:t>
      </w:r>
      <w:r w:rsidRPr="00E93F40">
        <w:rPr>
          <w:rFonts w:ascii="Times New Roman" w:hAnsi="Times New Roman"/>
          <w:color w:val="000000" w:themeColor="text1"/>
          <w:sz w:val="16"/>
          <w:szCs w:val="16"/>
        </w:rPr>
        <w:softHyphen/>
        <w:t>ком СБ. Для тяжелого бомбардировщика ТБ-1 был разработан мощный реактивный снаряд РС-245 кали</w:t>
      </w:r>
      <w:r w:rsidRPr="00E93F40">
        <w:rPr>
          <w:rFonts w:ascii="Times New Roman" w:hAnsi="Times New Roman"/>
          <w:color w:val="000000" w:themeColor="text1"/>
          <w:sz w:val="16"/>
          <w:szCs w:val="16"/>
        </w:rPr>
        <w:softHyphen/>
        <w:t>бра 245 миллиметров.</w:t>
      </w:r>
    </w:p>
    <w:p w14:paraId="56A7BE24"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Отработка и лет</w:t>
      </w:r>
      <w:r w:rsidRPr="00E93F40">
        <w:rPr>
          <w:rFonts w:ascii="Times New Roman" w:hAnsi="Times New Roman"/>
          <w:color w:val="000000" w:themeColor="text1"/>
          <w:sz w:val="16"/>
          <w:szCs w:val="16"/>
        </w:rPr>
        <w:softHyphen/>
        <w:t>ные испытания по</w:t>
      </w:r>
      <w:r w:rsidRPr="00E93F40">
        <w:rPr>
          <w:rFonts w:ascii="Times New Roman" w:hAnsi="Times New Roman"/>
          <w:color w:val="000000" w:themeColor="text1"/>
          <w:sz w:val="16"/>
          <w:szCs w:val="16"/>
        </w:rPr>
        <w:softHyphen/>
        <w:t>требовали большого количества снарядов, начиненных огромным количеством порохо</w:t>
      </w:r>
      <w:r w:rsidRPr="00E93F40">
        <w:rPr>
          <w:rFonts w:ascii="Times New Roman" w:hAnsi="Times New Roman"/>
          <w:color w:val="000000" w:themeColor="text1"/>
          <w:sz w:val="16"/>
          <w:szCs w:val="16"/>
        </w:rPr>
        <w:softHyphen/>
        <w:t>вых шашек. Опытное производство задохну</w:t>
      </w:r>
      <w:r w:rsidRPr="00E93F40">
        <w:rPr>
          <w:rFonts w:ascii="Times New Roman" w:hAnsi="Times New Roman"/>
          <w:color w:val="000000" w:themeColor="text1"/>
          <w:sz w:val="16"/>
          <w:szCs w:val="16"/>
        </w:rPr>
        <w:softHyphen/>
        <w:t>лось. Сложный, про</w:t>
      </w:r>
      <w:r w:rsidRPr="00E93F40">
        <w:rPr>
          <w:rFonts w:ascii="Times New Roman" w:hAnsi="Times New Roman"/>
          <w:color w:val="000000" w:themeColor="text1"/>
          <w:sz w:val="16"/>
          <w:szCs w:val="16"/>
        </w:rPr>
        <w:softHyphen/>
        <w:t>должительный по времени цикл изготовления пироксилин-тротилового пороха и за</w:t>
      </w:r>
      <w:r w:rsidRPr="00E93F40">
        <w:rPr>
          <w:rFonts w:ascii="Times New Roman" w:hAnsi="Times New Roman"/>
          <w:color w:val="000000" w:themeColor="text1"/>
          <w:sz w:val="16"/>
          <w:szCs w:val="16"/>
        </w:rPr>
        <w:softHyphen/>
        <w:t>рядов не позволял по</w:t>
      </w:r>
      <w:r w:rsidRPr="00E93F40">
        <w:rPr>
          <w:rFonts w:ascii="Times New Roman" w:hAnsi="Times New Roman"/>
          <w:color w:val="000000" w:themeColor="text1"/>
          <w:sz w:val="16"/>
          <w:szCs w:val="16"/>
        </w:rPr>
        <w:softHyphen/>
        <w:t>лучать необходимое количество шашек в нужное время. Сро</w:t>
      </w:r>
      <w:r w:rsidRPr="00E93F40">
        <w:rPr>
          <w:rFonts w:ascii="Times New Roman" w:hAnsi="Times New Roman"/>
          <w:color w:val="000000" w:themeColor="text1"/>
          <w:sz w:val="16"/>
          <w:szCs w:val="16"/>
        </w:rPr>
        <w:softHyphen/>
        <w:t>ки поставок снарядов и испытаний срыва</w:t>
      </w:r>
      <w:r w:rsidRPr="00E93F40">
        <w:rPr>
          <w:rFonts w:ascii="Times New Roman" w:hAnsi="Times New Roman"/>
          <w:color w:val="000000" w:themeColor="text1"/>
          <w:sz w:val="16"/>
          <w:szCs w:val="16"/>
        </w:rPr>
        <w:softHyphen/>
        <w:t>лись. Стало ясно, что пироксилин-тротило- вый порох не годится для боевых снарядов, да и над самой их конструкцией и над конструкцией пусковой установки следует еще немало порабо</w:t>
      </w:r>
      <w:r w:rsidRPr="00E93F40">
        <w:rPr>
          <w:rFonts w:ascii="Times New Roman" w:hAnsi="Times New Roman"/>
          <w:color w:val="000000" w:themeColor="text1"/>
          <w:sz w:val="16"/>
          <w:szCs w:val="16"/>
        </w:rPr>
        <w:softHyphen/>
        <w:t>тать. В конце 1932 года испытания пороховых снарядов были приостановлены. На поиски новых решений ушло время-(23510).</w:t>
      </w:r>
    </w:p>
    <w:p w14:paraId="7C364C68" w14:textId="77777777" w:rsidR="001F79EA" w:rsidRPr="00E93F40" w:rsidRDefault="001F79EA" w:rsidP="00E93F40">
      <w:pPr>
        <w:spacing w:after="0" w:line="240" w:lineRule="auto"/>
        <w:jc w:val="both"/>
        <w:rPr>
          <w:rFonts w:ascii="Times New Roman" w:hAnsi="Times New Roman"/>
          <w:color w:val="000000" w:themeColor="text1"/>
          <w:sz w:val="16"/>
          <w:szCs w:val="16"/>
        </w:rPr>
      </w:pPr>
    </w:p>
    <w:p w14:paraId="28C4A20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A87CC7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BCC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в ходе заводских испытаний 152-мм полковой мортиры на шасси трехосного автомобиля Курчевский при весе снаряда 24 кг и заряда 6 кг пороха Г2–48 была получена начальная скорость 400 м/с.</w:t>
      </w:r>
    </w:p>
    <w:p w14:paraId="730D9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152-мм ДРП Курчевского на заводе № 73 в 1932–1933 гг. было изготовлено 2500 фугасных снарядов чертежа 4637 и 1000 лафетопробных снарядов, специально сконструированных для нее. Отметим, что 152-мм снаряд весом 24 кг очень легкий для такого калибра. Для сравнения: 122-мм гаубичный снаряд имел вес 22 кг, а 152-мм гаубичный снаряд весил 40–43 кг.</w:t>
      </w:r>
    </w:p>
    <w:p w14:paraId="6A9BC9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25–26 марта 1933 г. на полигоне «Выстрел» в Кунцеве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758E6A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Данные установки </w:t>
      </w:r>
    </w:p>
    <w:p w14:paraId="73A033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152,4</w:t>
      </w:r>
    </w:p>
    <w:p w14:paraId="63D6A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без сопла, мм/клб — 5090/33,5</w:t>
      </w:r>
    </w:p>
    <w:p w14:paraId="3C82D3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сопла, мм — 1750</w:t>
      </w:r>
    </w:p>
    <w:p w14:paraId="01E651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ВН, град — ?5; +35</w:t>
      </w:r>
    </w:p>
    <w:p w14:paraId="7BCC4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ГН, град — 270</w:t>
      </w:r>
    </w:p>
    <w:p w14:paraId="660796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ствола с тумбой, кг — 750 (по др. источникам 850)</w:t>
      </w:r>
    </w:p>
    <w:p w14:paraId="4C21B3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Возимый боекомплект, выстр — 20</w:t>
      </w:r>
    </w:p>
    <w:p w14:paraId="43E3A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 чел — 2–3</w:t>
      </w:r>
    </w:p>
    <w:p w14:paraId="0EFCD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снаряда, кг — 24</w:t>
      </w:r>
    </w:p>
    <w:p w14:paraId="1603B9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Начальная скорость, м/с — 450</w:t>
      </w:r>
    </w:p>
    <w:p w14:paraId="27F21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предельная, м — 8500</w:t>
      </w:r>
    </w:p>
    <w:p w14:paraId="0CC3D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Скорострельность — 4 выстрела за 45–60 с.</w:t>
      </w:r>
    </w:p>
    <w:p w14:paraId="5095F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испытаний комиссия отметила, что:</w:t>
      </w:r>
    </w:p>
    <w:p w14:paraId="23C9D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Стрельба должна вестись исключительно с места.</w:t>
      </w:r>
    </w:p>
    <w:p w14:paraId="121A3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Платформа при стрельбе неустойчива, требуются упоры в грунт.</w:t>
      </w:r>
    </w:p>
    <w:p w14:paraId="1227C0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1A107D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05A244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и другие проекты 152-мм ДРП Курчевского, но ни одна из них не поступила ни на вооружение, ни в серийное производство (12091).</w:t>
      </w:r>
    </w:p>
    <w:p w14:paraId="3D389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A2FF04" w14:textId="77777777" w:rsidR="0041096C" w:rsidRPr="00142305" w:rsidRDefault="0041096C" w:rsidP="0041096C">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Летом 1932 г. в ходе заводских испытаний 152-мм полковой мортиры на шасси трехосного автомобиля «Форд» Курчевского, при весе снаряда 24 кг и заряда 6 кг пороха была получена начальная скорость 400 м/с.</w:t>
      </w:r>
    </w:p>
    <w:p w14:paraId="181E19D1"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152-мм ДРП Курчевского на заводе № 73 в 1932–1933 гг. было изготовлено 2500 фугасных снарядов чертежа 4637 и 1000 лафетопробных снарядов, специально сконструированных для нее. Отметим, что 152-мм снаряд весом 24 кг — очень легкий для такого калибра. Для сравнения: 122-мм гаубичный снаряд имел вес 22 кг, а 152-мм гаубичный снаряд весил 40–43 кг (25213).</w:t>
      </w:r>
    </w:p>
    <w:p w14:paraId="55D126D7" w14:textId="77777777" w:rsidR="0041096C" w:rsidRPr="00142305" w:rsidRDefault="0041096C" w:rsidP="0041096C">
      <w:pPr>
        <w:spacing w:after="0" w:line="240" w:lineRule="auto"/>
        <w:jc w:val="both"/>
        <w:rPr>
          <w:rFonts w:ascii="Times New Roman" w:hAnsi="Times New Roman"/>
          <w:color w:val="0070C0"/>
          <w:sz w:val="16"/>
          <w:szCs w:val="16"/>
        </w:rPr>
      </w:pPr>
    </w:p>
    <w:p w14:paraId="400832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Летом 1932 в СССР прибыл летающий танк Кристи, который был тайно приобретен за 20 тыс. долл. (Госдеп запретил), испытывался и осенью был продемонстрирован в Харькове на параде (наверное 7 ноября) (2118).</w:t>
      </w:r>
    </w:p>
    <w:p w14:paraId="1577E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E57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был готов первоначальный проект танка БТ-5 с 45-мм пушкой. Для установки новой башни планировали удлинить корпус в районе башни на 225 мм. Проект отвергли, т.к. не хотели ломать производство (3880,3).</w:t>
      </w:r>
    </w:p>
    <w:p w14:paraId="04382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48A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Кристи ещё однажды сотрудничал с УММ РККА и продал представителям СССР «летающий танк» M1932 за $20000. Этот безбашенный танк предполагалось крепить на наружной подвеске к самолёту и транспортировать по воздуху, отсюда и наименование «летающий». На этот раз сделка была нелегальной (Госдеп не дал «добро» на вывоз машины за пределы США), поэтому официально Амторг к ней не причастен, но организационное содействие его сотрудников несомненно. Хотелось бы отметить, что это - единственный достоверный факт сотрудничества американских предпринимателей с Амторгом вопреки запрету администрации США. Все остальные торговые операции были совершенно легальны. М1932 был доставлен в Советский Союз и под названием БТ-32 прошёл ряд испытаний. По некоторым сведениям эта машина однажды даже участвовала в параде в Харькове, но на вооружение не принималась (5745, 37).</w:t>
      </w:r>
    </w:p>
    <w:p w14:paraId="4F45B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F27ADF" w14:textId="77777777" w:rsidR="00E42EBC" w:rsidRPr="00E93F40" w:rsidRDefault="00E42EB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Летом 1932 года двух Rheinmetall Leichttraktor, которые с июня 1930 испытывались в Казани, возвратились в Германию. Испытания совмещались с обучением личного состава. В общей сложности танк №39 прошёл 1865 километров, а танк №40 – 1735. По ходу испытаний выяснилось, что резинометаллические гусеницы, разработанные Книпкампом, имеют массу недостатков. Один из этих недостатков заключался в том, что менять такую гусеничную ленту было очень сложно. Расположение ведущих колёс сзади тоже было признано не самым удачным решением, поскольку оно часто становилось причиной сброса гусениц. Были претензии и к конструкции подвески.</w:t>
      </w:r>
    </w:p>
    <w:p w14:paraId="31608B3D" w14:textId="77777777" w:rsidR="00E42EBC" w:rsidRPr="00E93F40" w:rsidRDefault="00E42EB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Имелись у танка проблемы и другого характера. Дело в том, что командир совмещал свои прямые функции с обязанностями заряжающего, причём как пушки, так и пулемёта. В виду наличия системы охлаждения пулемёт занимал много места, да и короб его ленты был немаленький. В результате в распоряжении у командира оставалось совсем немного места. Общий вывод оказался простым и бесхитростным: командир должен не совмещать должности, а заниматься своим делом. Вот только увеличить экипаж танка до 5 человек и добавить в конструкцию Rheinmetall Leichttraktor командирскую башенку с имевшейся башней было нереально.</w:t>
      </w:r>
    </w:p>
    <w:p w14:paraId="5FCA6EE9" w14:textId="77777777" w:rsidR="00E42EBC" w:rsidRPr="00E93F40" w:rsidRDefault="00E42EB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Советские специалисты, имевшие доступ к немецким танкам, считали Leichttraktor машиной скорее устаревшей. Это мнение вполне справедливо, поскольку к 1932 году СССР приобрела лицензию на </w:t>
      </w:r>
      <w:hyperlink r:id="rId171" w:history="1">
        <w:r w:rsidRPr="00E93F40">
          <w:rPr>
            <w:rFonts w:ascii="Times New Roman" w:eastAsia="Times New Roman" w:hAnsi="Times New Roman"/>
            <w:color w:val="000000" w:themeColor="text1"/>
            <w:sz w:val="16"/>
            <w:szCs w:val="16"/>
            <w:lang w:eastAsia="ru-RU"/>
          </w:rPr>
          <w:t>танк Кристи</w:t>
        </w:r>
      </w:hyperlink>
      <w:r w:rsidRPr="00E93F40">
        <w:rPr>
          <w:rFonts w:ascii="Times New Roman" w:eastAsia="Times New Roman" w:hAnsi="Times New Roman"/>
          <w:color w:val="000000" w:themeColor="text1"/>
          <w:sz w:val="16"/>
          <w:szCs w:val="16"/>
          <w:lang w:eastAsia="ru-RU"/>
        </w:rPr>
        <w:t xml:space="preserve"> и Vickers Mk.E, которые послужили базой для танков БТ и Т-26. Вместе с тем, немецкие машины обладали внушительным количеством технических новинок, которые советские инженеры не преминули скопировать. Для начала, с Leichttraktor позаимствовали спаренную установку орудия и пулемёта. Если в МС-1 и БТ-2 пушка с пулемётом стояли отдельно, то в БТ-5 и Т-26 с двухместной башней и 45-мм пушкой была использована спаренная установка. Понравились советским специалистам и перископические прицелы, которые также появились на советских танках с 1933 года. Позаимствовали у немцев и электроспуск пушек и пулемётов. Приглянулись советским инженерам немецкие радиостанции и сварные корпуса. Одним словом, немецкий лёгкий танк оказал немалое влияние на советское танкостроение.</w:t>
      </w:r>
    </w:p>
    <w:p w14:paraId="740DD2FB" w14:textId="77777777" w:rsidR="00E42EBC" w:rsidRPr="00E93F40" w:rsidRDefault="00E42EB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установлены гусеницы из цельнометаллических траков. Заодно были заменены опорные катки. В корме появился дополнительный воздухозаборник. Поручневую антенну, а вместе с ней и надгусеничные полки, удлинили, а по бортам корпуса появились дополнительные топливные баки.</w:t>
      </w:r>
    </w:p>
    <w:p w14:paraId="5163EE6E" w14:textId="77777777" w:rsidR="00E42EBC" w:rsidRPr="00E93F40" w:rsidRDefault="00E42EB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Впрочем, это было лишь начало. В 1933 году один из танков получил новую ходовую часть, представлявшую собой вариацию на тему свечной подвески Кристи. Танк получил по 4 опорных катка большого диаметра на борт, а также по 3 поддерживающих. Также были заменены ведущие колёса и ленивцы. Эти наработки были использованы при проектировании ходовой части нового </w:t>
      </w:r>
      <w:hyperlink r:id="rId172" w:history="1">
        <w:r w:rsidRPr="00E93F40">
          <w:rPr>
            <w:rFonts w:ascii="Times New Roman" w:eastAsia="Times New Roman" w:hAnsi="Times New Roman"/>
            <w:color w:val="000000" w:themeColor="text1"/>
            <w:sz w:val="16"/>
            <w:szCs w:val="16"/>
            <w:lang w:eastAsia="ru-RU"/>
          </w:rPr>
          <w:t>среднего танка Z.W</w:t>
        </w:r>
      </w:hyperlink>
      <w:r w:rsidRPr="00E93F40">
        <w:rPr>
          <w:rFonts w:ascii="Times New Roman" w:eastAsia="Times New Roman" w:hAnsi="Times New Roman"/>
          <w:color w:val="000000" w:themeColor="text1"/>
          <w:sz w:val="16"/>
          <w:szCs w:val="16"/>
          <w:lang w:eastAsia="ru-RU"/>
        </w:rPr>
        <w:t>.</w:t>
      </w:r>
    </w:p>
    <w:p w14:paraId="01BEC68F" w14:textId="77777777" w:rsidR="00E42EBC" w:rsidRPr="00E93F40" w:rsidRDefault="00E42EB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Подвергся переделке и «самоходный лафет» Rh L.Tr. Sfl. Испытания показали, что из него получилась скорее ухудшенная версия танка, чем полноценная самоходная артиллерийская установка. По этой причине машину переделали в самоходную лабораторию, на которой испытывалась новая ходовая часть. Представляла она собой подобие свечной подвески Кристи, но вместо катков большого диаметра в ней с каждого борта были установлены по 8 опорных катков малого диаметра, сгруппированных в тележки по два катка на каждую свечу. В этой машине были заменены траки, ведущие колёса и ленивцы. Испытания показали, что такая ходовая часть уступает системе с катками большого диаметра (17654).</w:t>
      </w:r>
    </w:p>
    <w:p w14:paraId="0ED41233" w14:textId="77777777" w:rsidR="00E42EBC" w:rsidRPr="00E93F40" w:rsidRDefault="00E42EBC" w:rsidP="00E93F40">
      <w:pPr>
        <w:spacing w:after="0" w:line="240" w:lineRule="auto"/>
        <w:jc w:val="both"/>
        <w:rPr>
          <w:rFonts w:ascii="Times New Roman" w:eastAsia="Times New Roman" w:hAnsi="Times New Roman"/>
          <w:color w:val="000000" w:themeColor="text1"/>
          <w:sz w:val="16"/>
          <w:szCs w:val="16"/>
          <w:lang w:eastAsia="ru-RU"/>
        </w:rPr>
      </w:pPr>
    </w:p>
    <w:p w14:paraId="78CAF57C" w14:textId="7ABBF9B6" w:rsidR="00BA4F36" w:rsidRPr="00E93F40" w:rsidRDefault="00BA4F3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тактических занятиях в ТЕКО с использованием трех танковых взводов РККА участвовало 100 человек. Тогда в Казани с инспекцией находился куратор школы, начальник инспекции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 генерал О. Лутц, его сопровождал знаменитый впоследствии X. Гудериан. В период (1929–1931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(18265).</w:t>
      </w:r>
    </w:p>
    <w:p w14:paraId="1D38876A" w14:textId="77777777" w:rsidR="00BA4F36" w:rsidRPr="00E93F40" w:rsidRDefault="00BA4F36" w:rsidP="00E93F40">
      <w:pPr>
        <w:spacing w:after="0" w:line="240" w:lineRule="auto"/>
        <w:jc w:val="both"/>
        <w:rPr>
          <w:rFonts w:ascii="Times New Roman" w:hAnsi="Times New Roman"/>
          <w:color w:val="000000" w:themeColor="text1"/>
          <w:sz w:val="16"/>
          <w:szCs w:val="16"/>
        </w:rPr>
      </w:pPr>
    </w:p>
    <w:p w14:paraId="1CAFC0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прошел полигонные испытания на НИХП ХКУКС РККА построенный в декабре 1931 опытный образец огнеметной танкетки ОТ-27/ХТ-27 (БХМ-4), разработанной КБ склада № 136 под руководством К.И.Лебедева. Была принята на вооружения. Делали на заводе № 2 ВАТО, будущем заводе № 37 и выпустили 187 (9527,182).</w:t>
      </w:r>
    </w:p>
    <w:p w14:paraId="1D7CB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AA8C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был принят на вооружение прошедший полигонные испытания на НИХП огнеметный танк ОТ-26 / ХТ-26 (БХМ-3), разработанный КБ-2 завода им. Ворошилова (№ 174) на базе двухбашенного Т-32. До 1935 выпустили 602 танка и применяли на Халхин-Голе и Карельском перешейке (9527,183).</w:t>
      </w:r>
    </w:p>
    <w:p w14:paraId="0AE07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1F2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ао результатам испытаний САУ СУ-1 был разработан проект усовершенствованного образца. В металле не появился, т.к. выпустили Т-26-4 (9527,270).</w:t>
      </w:r>
    </w:p>
    <w:p w14:paraId="26075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E74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проект улучшенной САУ был принят, но изготовление машины отменено ввиду принятия решения о вооружении аналогичной артсистемой танка Т-26 с боль</w:t>
      </w:r>
      <w:r w:rsidRPr="00E93F40">
        <w:rPr>
          <w:rFonts w:ascii="Times New Roman" w:hAnsi="Times New Roman"/>
          <w:color w:val="000000" w:themeColor="text1"/>
          <w:sz w:val="16"/>
          <w:szCs w:val="16"/>
        </w:rPr>
        <w:softHyphen/>
        <w:t>шой вращающейся башней (11417).</w:t>
      </w:r>
    </w:p>
    <w:p w14:paraId="7CDD3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44B15A"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года улучшенный проект СУ-1 был принят, но в работу не пошел. Предпочтение было отдано артиллерийскому варианту танка «Виккерс» – Т-26-4 с увеличенной башней и тем же орудием, что и у СУ-1, который в то время проходил полигонные испытания. Однако в результате и он в серию запущен не был (25645).</w:t>
      </w:r>
    </w:p>
    <w:p w14:paraId="40549004" w14:textId="77777777" w:rsidR="0041096C" w:rsidRPr="00142305" w:rsidRDefault="0041096C" w:rsidP="0041096C">
      <w:pPr>
        <w:spacing w:after="0" w:line="240" w:lineRule="auto"/>
        <w:jc w:val="both"/>
        <w:rPr>
          <w:rFonts w:ascii="Times New Roman" w:hAnsi="Times New Roman"/>
          <w:color w:val="0070C0"/>
          <w:sz w:val="16"/>
          <w:szCs w:val="16"/>
        </w:rPr>
      </w:pPr>
    </w:p>
    <w:p w14:paraId="28D179E5"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в Подмосковье состоялись испытания двух танкеток Т-27 (№131/2 и №160/4), построенных на автомобильном заводе в Нижнем Новгороде (НАЗ). Испытания длились с 27 июня по 31 июля 1932 г. и сопровождались «длительными перерывами из-за ряда дефектов, имевшихся у машин и требующих ремонта».</w:t>
      </w:r>
    </w:p>
    <w:p w14:paraId="073E110C"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Испытатели зафиксировали и устранили следующие недостатки:</w:t>
      </w:r>
    </w:p>
    <w:p w14:paraId="7320BE71"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Требовалась подтяжка болтов всех агрегатов машины.</w:t>
      </w:r>
    </w:p>
    <w:p w14:paraId="4A36E106"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Постановка сети электрооборудования (не было проводки).</w:t>
      </w:r>
    </w:p>
    <w:p w14:paraId="36637347"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Течь бензинопроводов, поплавков карбюратора, а также у горловины бака, благодаря неверно вызженному отверстию в броне-крыше (смещение отверстия для горловин).</w:t>
      </w:r>
    </w:p>
    <w:p w14:paraId="204A4B4E"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Требовалась правка тяги к рычагу скоростей, так как, ввиду ее неправильной выгнутости, шестерни не включались. Произведена правка тормозных тяг.</w:t>
      </w:r>
    </w:p>
    <w:p w14:paraId="5D37A103"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В процессе испытания были частые явления пробивки масла через прокладки соединения картера и коробки скоростей, а также среза шпильки, крепящей тягу муфты сцепления к валику ножной педали.</w:t>
      </w:r>
    </w:p>
    <w:p w14:paraId="3A28DA57"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Качество выполнения всей конструкции недостаточное и желает много лучшего по сравнению со старыми выпусками машин Т-27 (например з-д №2)».</w:t>
      </w:r>
    </w:p>
    <w:p w14:paraId="4C4D04CF"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Помимо качества изготовления, у нижегородских Т-27 имелись и конструктивные особенности, главными из которых были пулеметная установка без бронировки и тормоза автомобильного типа «Форд-АА».</w:t>
      </w:r>
    </w:p>
    <w:p w14:paraId="41BE64CC"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 у Т-27 завода №2 тормозной барабан был отлит зацело с ведущим колесом, тогда как у танкетки выпуска НАЗ тормозные барабаны и ведущие колеса отливались отдельно и соединялись пятью гайками на болтах, ввернутых во фланец втулки, которая насаживалась на шпонку полуосей. Тормоза нижегородской Т-27 можно было регулировать изменением длины тяг, а также уравнительным кулачком тормоза.</w:t>
      </w:r>
    </w:p>
    <w:p w14:paraId="402DB9A8"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Танкетка №131/2 была снята с испытаний как</w:t>
      </w:r>
    </w:p>
    <w:p w14:paraId="353829D0"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«требующая длительного ремонта»,</w:t>
      </w:r>
    </w:p>
    <w:p w14:paraId="46A8EADA"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испытания проводились на Т-27 №160/4. Для сравнительных испытаний были задействованы танкетки №452 и №1906 постройки завода N92,</w:t>
      </w:r>
    </w:p>
    <w:p w14:paraId="59468250"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«причем с тормозными накладками не американского пр-ва».</w:t>
      </w:r>
    </w:p>
    <w:p w14:paraId="01021E18"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Т-27 №160/4 прошла обкатку пробегом в 150 км по шоссе и 50 км по проселку. Для определения эффективности тормозов танкетку подвергли испытаниям пробегом по проселочным дорогам и шоссе, а также на проселке. Работа тормозов проверялась на подъемах, спусках и косогорах, была определена поворотливость машины. При торможении на третьей скорости тормозной путь Т-27 №160/4 составил 12,5 м, а у Т-27 №1906 завода №2 — 14 м.</w:t>
      </w:r>
    </w:p>
    <w:p w14:paraId="494928D4"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По результатам испытаний было составлено заключение, согласно которому эффективность работы тормозов Т-27 выпуска НАЗ оказалась выше, чем тормозов Т-27 завода №2. Для постановки тормозов на производство рекомендовалось провести дополнительные испытания с колодками и накладками советского производства. В1932-1933 гг. в Горьком собрали 406 танкеток, однако вопрос о том, сколько из них оснащались тормозами отечественного производства, а сколько импортного, остается дискуссионным (25560).</w:t>
      </w:r>
    </w:p>
    <w:p w14:paraId="16B02A01" w14:textId="77777777" w:rsidR="0041096C" w:rsidRPr="00142305" w:rsidRDefault="0041096C" w:rsidP="0041096C">
      <w:pPr>
        <w:spacing w:after="0" w:line="240" w:lineRule="auto"/>
        <w:jc w:val="both"/>
        <w:rPr>
          <w:rFonts w:ascii="Times New Roman" w:hAnsi="Times New Roman"/>
          <w:color w:val="0070C0"/>
          <w:sz w:val="16"/>
          <w:szCs w:val="16"/>
        </w:rPr>
      </w:pPr>
    </w:p>
    <w:p w14:paraId="4D1271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года стало очевидным, что дизель «ПГЕ» не может быть изготовлен своевременно и его не успеют собрать к монтажу на танк, так как на редкость упрямый его конструктор Борис Александрович Витт не пожелал учесть советы и опасения других дизелистов. Он пренебрег так-шсе советом Н.Н.Боброва, рекомендации которого конструкторы прини</w:t>
      </w:r>
      <w:r w:rsidRPr="00E93F40">
        <w:rPr>
          <w:rFonts w:ascii="Times New Roman" w:hAnsi="Times New Roman"/>
          <w:color w:val="000000" w:themeColor="text1"/>
          <w:sz w:val="16"/>
          <w:szCs w:val="16"/>
        </w:rPr>
        <w:softHyphen/>
        <w:t>мали безоговорочно.</w:t>
      </w:r>
    </w:p>
    <w:p w14:paraId="579CB7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ни на что, Витт выдал в работу чертежи блока цилиндров с передачей момента к двум кулачковым валам, расположенным в головке блока, посредством гитары из цилиндрических шестерен, даже без сохра</w:t>
      </w:r>
      <w:r w:rsidRPr="00E93F40">
        <w:rPr>
          <w:rFonts w:ascii="Times New Roman" w:hAnsi="Times New Roman"/>
          <w:color w:val="000000" w:themeColor="text1"/>
          <w:sz w:val="16"/>
          <w:szCs w:val="16"/>
        </w:rPr>
        <w:softHyphen/>
        <w:t>нения места для упругой муфты. Ошибка была серьезной «закладкой», так как устранение ее требовало новой отливки блоков цилиндров наиболее сложной и трудоемкой детали двигателя. Дальше эта ошибка только усугублялась, так как Витт решил, что гитара просто недостаточно прочна, но дело было не в ее прочности, а в крутильных колебаниях переднего конца Коленчатого вала, разрушавших гитару за несколько часов. Это случилось так быстро, что даже снять на стенде характеристик «ПГЕ» не удалось.</w:t>
      </w:r>
    </w:p>
    <w:p w14:paraId="3232B7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из затеи «ПГЕ», схемно очень похожего на дви</w:t>
      </w:r>
      <w:r w:rsidRPr="00E93F40">
        <w:rPr>
          <w:rFonts w:ascii="Times New Roman" w:hAnsi="Times New Roman"/>
          <w:color w:val="000000" w:themeColor="text1"/>
          <w:sz w:val="16"/>
          <w:szCs w:val="16"/>
        </w:rPr>
        <w:softHyphen/>
        <w:t>гатель АТТБ, разрабатывавшегося Н.Н.Бобровым, ничего дельного не по</w:t>
      </w:r>
      <w:r w:rsidRPr="00E93F40">
        <w:rPr>
          <w:rFonts w:ascii="Times New Roman" w:hAnsi="Times New Roman"/>
          <w:color w:val="000000" w:themeColor="text1"/>
          <w:sz w:val="16"/>
          <w:szCs w:val="16"/>
        </w:rPr>
        <w:softHyphen/>
        <w:t>лучилось. Хотя работы над ним продолжались до середины 1934 года, когда ТО ЭКУ ОГПУ было ликвидировано. Поэтому как только дизель «ПГЕ» вышел из строя, Астрову приказали на танк ПТ-1 поставить авиационный двигатель М-17Т мощностью в 500 л.с. и «не морочить голову дизелями ни себе, ни людям», имея в виду Ягоду, Прокофьева и Вунштейна (11504).</w:t>
      </w:r>
    </w:p>
    <w:p w14:paraId="5EA694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F88F21"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Том</w:t>
      </w:r>
      <w:r w:rsidRPr="00142305">
        <w:rPr>
          <w:rFonts w:ascii="Times New Roman" w:hAnsi="Times New Roman"/>
          <w:color w:val="0070C0"/>
          <w:sz w:val="16"/>
          <w:szCs w:val="16"/>
        </w:rPr>
        <w:softHyphen/>
        <w:t>сон сообщал руководству: «При досмотре последних транспортов Опытной группы я встретился со следующим фактом. В описи предметов, упакованных в ящиках, значится упакованным только один предмет, а, вскрывая ящик, обнаруживаешь там еще несколь</w:t>
      </w:r>
      <w:r w:rsidRPr="00142305">
        <w:rPr>
          <w:rFonts w:ascii="Times New Roman" w:hAnsi="Times New Roman"/>
          <w:color w:val="0070C0"/>
          <w:sz w:val="16"/>
          <w:szCs w:val="16"/>
        </w:rPr>
        <w:softHyphen/>
        <w:t>ко приборов, не поименованных в описи. Так, например: в одном ящике Опытной группы значилась только турель, а на самом деле там был кроме турели один фотопулемет нового образца и коробка с новыми образцами патронов».</w:t>
      </w:r>
    </w:p>
    <w:p w14:paraId="1A97B22B"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Поведение германской стороны вызывало растущее раздраже</w:t>
      </w:r>
      <w:r w:rsidRPr="00142305">
        <w:rPr>
          <w:rFonts w:ascii="Times New Roman" w:hAnsi="Times New Roman"/>
          <w:color w:val="0070C0"/>
          <w:sz w:val="16"/>
          <w:szCs w:val="16"/>
        </w:rPr>
        <w:softHyphen/>
        <w:t>ние советского руководства. «Опыт, воспринимаемый от «друзей», особенно в 32 году, не является столь значительными, чтобы [его] можно было противопоставлять нашим материальным затратам на станцию. Существование станции в Липецке выгоднее для немец</w:t>
      </w:r>
      <w:r w:rsidRPr="00142305">
        <w:rPr>
          <w:rFonts w:ascii="Times New Roman" w:hAnsi="Times New Roman"/>
          <w:color w:val="0070C0"/>
          <w:sz w:val="16"/>
          <w:szCs w:val="16"/>
        </w:rPr>
        <w:softHyphen/>
        <w:t>кой стороны, нежели для нас», — писал Алкснис. Тем не менее, «Вифупаль» проработал еще год (25025).</w:t>
      </w:r>
    </w:p>
    <w:p w14:paraId="489AD28B" w14:textId="77777777" w:rsidR="0041096C" w:rsidRPr="00142305" w:rsidRDefault="0041096C" w:rsidP="0041096C">
      <w:pPr>
        <w:spacing w:after="0" w:line="240" w:lineRule="auto"/>
        <w:jc w:val="both"/>
        <w:rPr>
          <w:rFonts w:ascii="Times New Roman" w:hAnsi="Times New Roman"/>
          <w:color w:val="0070C0"/>
          <w:sz w:val="16"/>
          <w:szCs w:val="16"/>
        </w:rPr>
      </w:pPr>
    </w:p>
    <w:p w14:paraId="768BFDCD"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Летом 1932 г. в Ленинградском военном округе был сформирован специальный танковый отряд № 4, целью которого стало изучение боевых возможностей телеуправляемых танков. Танки прибыли в расположение отряда только в конце 1932 г., но не на всех танках аппаратура управления работала нормально. С января 1933 г. в районе Красного Села начались испытания танков на местности (25213).</w:t>
      </w:r>
    </w:p>
    <w:p w14:paraId="7394A378" w14:textId="77777777" w:rsidR="0041096C" w:rsidRPr="00142305" w:rsidRDefault="0041096C" w:rsidP="0041096C">
      <w:pPr>
        <w:spacing w:after="0" w:line="240" w:lineRule="auto"/>
        <w:jc w:val="both"/>
        <w:rPr>
          <w:rFonts w:ascii="Times New Roman" w:hAnsi="Times New Roman"/>
          <w:color w:val="0070C0"/>
          <w:sz w:val="16"/>
          <w:szCs w:val="16"/>
        </w:rPr>
      </w:pPr>
    </w:p>
    <w:p w14:paraId="378C3309" w14:textId="77777777" w:rsidR="00BA4F36" w:rsidRPr="00E93F40" w:rsidRDefault="00BA4F3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года был готов проект тяжелого однобашенного мотоброневагона Д-6 (18626).</w:t>
      </w:r>
    </w:p>
    <w:p w14:paraId="188EC3B4" w14:textId="77777777" w:rsidR="00BA4F36" w:rsidRPr="00E93F40" w:rsidRDefault="00BA4F36" w:rsidP="00E93F40">
      <w:pPr>
        <w:spacing w:after="0" w:line="240" w:lineRule="auto"/>
        <w:jc w:val="both"/>
        <w:rPr>
          <w:rFonts w:ascii="Times New Roman" w:hAnsi="Times New Roman"/>
          <w:color w:val="000000" w:themeColor="text1"/>
          <w:sz w:val="16"/>
          <w:szCs w:val="16"/>
        </w:rPr>
      </w:pPr>
    </w:p>
    <w:p w14:paraId="09CA5C21"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Летом 1932 года мастерские склада № 60 разработали проект модернизированной тяжелой бронеплощадки. На ней предполагалось улучшить боеукладку, провести электрическое освещение и паровое отопление, установить новые оптические приборы, телефонную связь, световую сигнализацию для передачи команд, ввести укладки необходимого инструмента, запасных частей, подрывного и химического имущества (</w:t>
      </w:r>
      <w:r w:rsidRPr="0041096C">
        <w:rPr>
          <w:rStyle w:val="aff3"/>
          <w:rFonts w:ascii="Times New Roman" w:hAnsi="Times New Roman" w:cs="Times New Roman"/>
          <w:i w:val="0"/>
          <w:iCs w:val="0"/>
          <w:color w:val="0070C0"/>
          <w:sz w:val="16"/>
          <w:szCs w:val="16"/>
          <w:lang w:val="ru-RU"/>
        </w:rPr>
        <w:t>РГВА. Ф. 31811. Оп. 2. Д. 287. Л. 17-19.</w:t>
      </w:r>
      <w:r w:rsidRPr="00142305">
        <w:rPr>
          <w:rStyle w:val="aff"/>
          <w:rFonts w:ascii="Times New Roman" w:hAnsi="Times New Roman" w:cs="Times New Roman"/>
          <w:color w:val="0070C0"/>
          <w:spacing w:val="0"/>
          <w:sz w:val="16"/>
          <w:szCs w:val="16"/>
        </w:rPr>
        <w:t>). Проект получил одобрение УММ РККА, и в начале 1933 года были изготовлены две таких бронеплощадки и бронепаровоз, которые включили в состав модернизированного тяжелого бронепоезда. Средства для его постройки были собраны «бывшими красногвардейцами и красными партизанами комиссии при Харьковском горсовете и Сталинградском землячестве». Состав, названный «Клим Ворошилов», 23 февраля 1933 года постановлением РВС СССР в торжественной обстановке был передан отдельному полку бронепоездов.</w:t>
      </w:r>
    </w:p>
    <w:p w14:paraId="333D016E"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Модернизированный тяжелый бронепоезд прошел испытания стрельбой и пробегом на участке Брянск – станция Снежитская. В выводах по результатам испытаний говорилось: «В основном все элементы дополнительной модернизации отвечают своему назначению, повышают боеспособность бронепоезда и обеспечивают лучшее управление и обслуживание последнего…</w:t>
      </w:r>
    </w:p>
    <w:p w14:paraId="466CAF94"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Считать необходимым все вновь введенные элементы модернизации включить в перечень модернизации легких и тяжелых бронепоездов для выполнения их на всех бронеплощадках и бронепаровозах, выпущенных в 1933 году» (25635).</w:t>
      </w:r>
    </w:p>
    <w:p w14:paraId="529899B4" w14:textId="77777777" w:rsidR="0041096C" w:rsidRPr="00142305" w:rsidRDefault="0041096C" w:rsidP="0041096C">
      <w:pPr>
        <w:spacing w:after="0" w:line="240" w:lineRule="auto"/>
        <w:jc w:val="both"/>
        <w:rPr>
          <w:rFonts w:ascii="Times New Roman" w:hAnsi="Times New Roman"/>
          <w:color w:val="0070C0"/>
          <w:sz w:val="16"/>
          <w:szCs w:val="16"/>
        </w:rPr>
      </w:pPr>
    </w:p>
    <w:p w14:paraId="37F685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для оказания строящемуся в Ижевске мотоциклетному заводу Автодора технической помо</w:t>
      </w:r>
      <w:r w:rsidRPr="00E93F40">
        <w:rPr>
          <w:rFonts w:ascii="Times New Roman" w:hAnsi="Times New Roman"/>
          <w:color w:val="000000" w:themeColor="text1"/>
          <w:sz w:val="16"/>
          <w:szCs w:val="16"/>
        </w:rPr>
        <w:softHyphen/>
        <w:t>щи в Ижевск командировали группу сотрудников КБ и других специалистов НАТИ. Им создали хорошие условия работы и проживания. Эти действия НАТИ стимулировали ак</w:t>
      </w:r>
      <w:r w:rsidRPr="00E93F40">
        <w:rPr>
          <w:rFonts w:ascii="Times New Roman" w:hAnsi="Times New Roman"/>
          <w:color w:val="000000" w:themeColor="text1"/>
          <w:sz w:val="16"/>
          <w:szCs w:val="16"/>
        </w:rPr>
        <w:softHyphen/>
        <w:t>тивность руководства Ижевска. Демонстрируя заинтересован</w:t>
      </w:r>
      <w:r w:rsidRPr="00E93F40">
        <w:rPr>
          <w:rFonts w:ascii="Times New Roman" w:hAnsi="Times New Roman"/>
          <w:color w:val="000000" w:themeColor="text1"/>
          <w:sz w:val="16"/>
          <w:szCs w:val="16"/>
        </w:rPr>
        <w:softHyphen/>
        <w:t>ность в создании мотозавода, 23 августа на улице Красной зало</w:t>
      </w:r>
      <w:r w:rsidRPr="00E93F40">
        <w:rPr>
          <w:rFonts w:ascii="Times New Roman" w:hAnsi="Times New Roman"/>
          <w:color w:val="000000" w:themeColor="text1"/>
          <w:sz w:val="16"/>
          <w:szCs w:val="16"/>
        </w:rPr>
        <w:softHyphen/>
        <w:t>жили корпус механосборочного цеха ИжМЗ; а 4 октября 1932 г. приказом руководителя НКТП Г.К. Орджоникидзе директором ИжМЗа назначили И.И. Чекмарёва, сумевшего за последую</w:t>
      </w:r>
      <w:r w:rsidRPr="00E93F40">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E93F40">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 Тем не менее работа продвигалась не так быстро, как хоте</w:t>
      </w:r>
      <w:r w:rsidRPr="00E93F40">
        <w:rPr>
          <w:rFonts w:ascii="Times New Roman" w:hAnsi="Times New Roman"/>
          <w:color w:val="000000" w:themeColor="text1"/>
          <w:sz w:val="16"/>
          <w:szCs w:val="16"/>
        </w:rPr>
        <w:softHyphen/>
        <w:t>лось бы. Вместе с разработкой необходимой технической доку</w:t>
      </w:r>
      <w:r w:rsidRPr="00E93F40">
        <w:rPr>
          <w:rFonts w:ascii="Times New Roman" w:hAnsi="Times New Roman"/>
          <w:color w:val="000000" w:themeColor="text1"/>
          <w:sz w:val="16"/>
          <w:szCs w:val="16"/>
        </w:rPr>
        <w:softHyphen/>
        <w:t>ментации по «горячим чертежам» изготавливали детали, собира</w:t>
      </w:r>
      <w:r w:rsidRPr="00E93F40">
        <w:rPr>
          <w:rFonts w:ascii="Times New Roman" w:hAnsi="Times New Roman"/>
          <w:color w:val="000000" w:themeColor="text1"/>
          <w:sz w:val="16"/>
          <w:szCs w:val="16"/>
        </w:rPr>
        <w:softHyphen/>
        <w:t>ли узлы, уточняли размеры, допуски и посадки сопрягаемых дета</w:t>
      </w:r>
      <w:r w:rsidRPr="00E93F40">
        <w:rPr>
          <w:rFonts w:ascii="Times New Roman" w:hAnsi="Times New Roman"/>
          <w:color w:val="000000" w:themeColor="text1"/>
          <w:sz w:val="16"/>
          <w:szCs w:val="16"/>
        </w:rPr>
        <w:softHyphen/>
        <w:t>лей. Мотоциклы изготавливали по ходу рабочего проектирова</w:t>
      </w:r>
      <w:r w:rsidRPr="00E93F40">
        <w:rPr>
          <w:rFonts w:ascii="Times New Roman" w:hAnsi="Times New Roman"/>
          <w:color w:val="000000" w:themeColor="text1"/>
          <w:sz w:val="16"/>
          <w:szCs w:val="16"/>
        </w:rPr>
        <w:softHyphen/>
        <w:t>ния, испытывали двигатели. КП и другие узлы (11429).</w:t>
      </w:r>
    </w:p>
    <w:p w14:paraId="07644A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8D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материалы эс</w:t>
      </w:r>
      <w:r w:rsidRPr="00E93F40">
        <w:rPr>
          <w:rFonts w:ascii="Times New Roman" w:hAnsi="Times New Roman"/>
          <w:color w:val="000000" w:themeColor="text1"/>
          <w:sz w:val="16"/>
          <w:szCs w:val="16"/>
        </w:rPr>
        <w:softHyphen/>
        <w:t>кизного проекта эсминца для Балтийского и черного морей из ликвидируемого НТК пе</w:t>
      </w:r>
      <w:r w:rsidRPr="00E93F40">
        <w:rPr>
          <w:rFonts w:ascii="Times New Roman" w:hAnsi="Times New Roman"/>
          <w:color w:val="000000" w:themeColor="text1"/>
          <w:sz w:val="16"/>
          <w:szCs w:val="16"/>
        </w:rPr>
        <w:softHyphen/>
        <w:t>редали в ЦКБС-1, где дальнейшую его раз</w:t>
      </w:r>
      <w:r w:rsidRPr="00E93F40">
        <w:rPr>
          <w:rFonts w:ascii="Times New Roman" w:hAnsi="Times New Roman"/>
          <w:color w:val="000000" w:themeColor="text1"/>
          <w:sz w:val="16"/>
          <w:szCs w:val="16"/>
        </w:rPr>
        <w:softHyphen/>
        <w:t>работку возглавил инженер-кораблестрои</w:t>
      </w:r>
      <w:r w:rsidRPr="00E93F40">
        <w:rPr>
          <w:rFonts w:ascii="Times New Roman" w:hAnsi="Times New Roman"/>
          <w:color w:val="000000" w:themeColor="text1"/>
          <w:sz w:val="16"/>
          <w:szCs w:val="16"/>
        </w:rPr>
        <w:softHyphen/>
        <w:t>тель П. О. Трахтенберг под общим руковод</w:t>
      </w:r>
      <w:r w:rsidRPr="00E93F40">
        <w:rPr>
          <w:rFonts w:ascii="Times New Roman" w:hAnsi="Times New Roman"/>
          <w:color w:val="000000" w:themeColor="text1"/>
          <w:sz w:val="16"/>
          <w:szCs w:val="16"/>
        </w:rPr>
        <w:softHyphen/>
        <w:t>ством главного инженера В. А. Никитина (3898).</w:t>
      </w:r>
    </w:p>
    <w:p w14:paraId="5BA73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5444F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3E608C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EA8BDB" w14:textId="77777777"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Летом 1932 года начальник Штаба РККА А.И. Егоров представил Реввоенсовету тезисы о новых оперативнотактических возможностях, появившихся в связи с технической реконструкцией Красной Армии. Из раздела «Воздушный флот»:</w:t>
      </w:r>
    </w:p>
    <w:p w14:paraId="13045629" w14:textId="5E7BAB41"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«1.</w:t>
      </w:r>
      <w:r w:rsidR="007C1411" w:rsidRPr="00E93F40">
        <w:rPr>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Наш воздушный флот подошел вплотную к новому этапу своего развития, который на основе возрастающего боевого значения требует новых отправных установок в использовании как отдельных видов авиации, так и ВВС в целом.</w:t>
      </w:r>
    </w:p>
    <w:p w14:paraId="286A1147" w14:textId="633136F8"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2.</w:t>
      </w:r>
      <w:r w:rsidR="007C1411" w:rsidRPr="00E93F40">
        <w:rPr>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В первый период войны вся наличная боевая авиация (в том числе морская и войсковая) массируется для самостоятельных действий по осуществлению господства в воздухе, дезорганизации тыла, срыва мобилизации, сосредоточения армии и уничтожения морских сил противника.</w:t>
      </w:r>
    </w:p>
    <w:p w14:paraId="082594FB" w14:textId="77777777"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Основные принципы боевого использования массированной авиации должны преследовать решение военно-воздушными силами РККА следующих задач:</w:t>
      </w:r>
    </w:p>
    <w:p w14:paraId="24D11FE7" w14:textId="69F2F81F"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а)</w:t>
      </w:r>
      <w:r w:rsidR="007C1411" w:rsidRPr="00E93F40">
        <w:rPr>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иметь господство в воздухе как для нападения, так и для непосредственной защиты территории Союза, и особенно важнейших в экономическом, политическом и военном отношении областей, районов и центров.</w:t>
      </w:r>
    </w:p>
    <w:p w14:paraId="05C195AC" w14:textId="271ED8B3"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б)</w:t>
      </w:r>
      <w:r w:rsidR="007C1411" w:rsidRPr="00E93F40">
        <w:rPr>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В случае нападения на СССР какой-либо из капиталистических держав или блока таких государств сорвать в корне мобилизацию и сосредоточение их армии и нарушить хозяйственно-экономическую жизнь целых областей и в первую голову в отношении производства военного значения.</w:t>
      </w:r>
    </w:p>
    <w:p w14:paraId="6E97962A" w14:textId="7CBE9922"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в)</w:t>
      </w:r>
      <w:r w:rsidR="007C1411" w:rsidRPr="00E93F40">
        <w:rPr>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Разбить и уничтожить во взаимодействии с морскими силами любой флот противника, который будет действовать в водных бассейнах морей, прилегающих к Советскому Союзу.</w:t>
      </w:r>
    </w:p>
    <w:p w14:paraId="4868A951" w14:textId="6F27FA9B"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г)</w:t>
      </w:r>
      <w:r w:rsidR="007C1411" w:rsidRPr="00E93F40">
        <w:rPr>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Выбросить авиамотодесант в наиболее революционных районах для организации и развития вооруженной борьбы в тылу противника и на выгодных в оперативном отношении участках территории противника».</w:t>
      </w:r>
    </w:p>
    <w:p w14:paraId="72345D2B" w14:textId="281CEC70"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3.</w:t>
      </w:r>
      <w:r w:rsidR="007C1411" w:rsidRPr="00E93F40">
        <w:rPr>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В процессе войны вся боевая легкая авиация переходит в подчинение полевого командования армий и фронтов и взаимодействует с полевыми войсками. Боевая тяжелая авиация, как правило, остается в руках Главного командования для решения самостоятельных задач, как воздушный флот дальнего действия, для работы против политических и экономических баз противника».</w:t>
      </w:r>
    </w:p>
    <w:p w14:paraId="5DE7252B" w14:textId="77777777"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Авиация должна применяться массированно, неожиданно для противника, решительно, в тесном взаимодействии всех родов между собой.</w:t>
      </w:r>
    </w:p>
    <w:p w14:paraId="0789C7DA" w14:textId="77777777" w:rsidR="009B6E65" w:rsidRPr="00E93F40" w:rsidRDefault="009B6E65"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Эти положения были отражены в разработанной Штабом РККА инструкции «Временные указания по ведению глубокого боя» (12623).</w:t>
      </w:r>
    </w:p>
    <w:p w14:paraId="4BC4B8E2" w14:textId="77777777" w:rsidR="009B6E65" w:rsidRPr="00E93F40" w:rsidRDefault="009B6E65" w:rsidP="00E93F40">
      <w:pPr>
        <w:spacing w:after="0" w:line="240" w:lineRule="auto"/>
        <w:jc w:val="both"/>
        <w:rPr>
          <w:rFonts w:ascii="Times New Roman" w:hAnsi="Times New Roman"/>
          <w:color w:val="000000" w:themeColor="text1"/>
          <w:sz w:val="16"/>
          <w:szCs w:val="16"/>
          <w:u w:color="002060"/>
        </w:rPr>
      </w:pPr>
    </w:p>
    <w:p w14:paraId="40681674" w14:textId="77777777" w:rsidR="00FD1168" w:rsidRPr="00142305" w:rsidRDefault="00FD1168" w:rsidP="00FD116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Летом 1932 года Начальник Штаба А. И. Егоров произвёл оценку потребности Красной Армии на мобилизационное развёртывание. Его расчёты представляют интерес, по</w:t>
      </w:r>
      <w:r w:rsidRPr="00142305">
        <w:rPr>
          <w:rStyle w:val="aff"/>
          <w:rFonts w:ascii="Times New Roman" w:hAnsi="Times New Roman" w:cs="Times New Roman"/>
          <w:color w:val="0070C0"/>
          <w:spacing w:val="0"/>
          <w:sz w:val="16"/>
          <w:szCs w:val="16"/>
        </w:rPr>
        <w:softHyphen/>
        <w:t>скольку, будучи сделаны до захвата нацистами власти в Германии, предусмат</w:t>
      </w:r>
      <w:r w:rsidRPr="00142305">
        <w:rPr>
          <w:rStyle w:val="aff"/>
          <w:rFonts w:ascii="Times New Roman" w:hAnsi="Times New Roman" w:cs="Times New Roman"/>
          <w:color w:val="0070C0"/>
          <w:spacing w:val="0"/>
          <w:sz w:val="16"/>
          <w:szCs w:val="16"/>
        </w:rPr>
        <w:softHyphen/>
        <w:t>ривали огромное наращивание военно-воздушных сил. Численность их развёр</w:t>
      </w:r>
      <w:r w:rsidRPr="00142305">
        <w:rPr>
          <w:rStyle w:val="aff"/>
          <w:rFonts w:ascii="Times New Roman" w:hAnsi="Times New Roman" w:cs="Times New Roman"/>
          <w:color w:val="0070C0"/>
          <w:spacing w:val="0"/>
          <w:sz w:val="16"/>
          <w:szCs w:val="16"/>
        </w:rPr>
        <w:softHyphen/>
        <w:t>тывания была установлена на уровне 32000 самолетов, включая 5800 истреби</w:t>
      </w:r>
      <w:r w:rsidRPr="00142305">
        <w:rPr>
          <w:rStyle w:val="aff"/>
          <w:rFonts w:ascii="Times New Roman" w:hAnsi="Times New Roman" w:cs="Times New Roman"/>
          <w:color w:val="0070C0"/>
          <w:spacing w:val="0"/>
          <w:sz w:val="16"/>
          <w:szCs w:val="16"/>
        </w:rPr>
        <w:softHyphen/>
        <w:t>телей, 8000 тяжёлых и 9500 лёгких бомбардировщиков и штурмовых самоле</w:t>
      </w:r>
      <w:r w:rsidRPr="00142305">
        <w:rPr>
          <w:rStyle w:val="aff"/>
          <w:rFonts w:ascii="Times New Roman" w:hAnsi="Times New Roman" w:cs="Times New Roman"/>
          <w:color w:val="0070C0"/>
          <w:spacing w:val="0"/>
          <w:sz w:val="16"/>
          <w:szCs w:val="16"/>
        </w:rPr>
        <w:softHyphen/>
        <w:t>тов. Цифры производства на год войны были ещё выше, учитывая рассчитан</w:t>
      </w:r>
      <w:r w:rsidRPr="00142305">
        <w:rPr>
          <w:rStyle w:val="aff"/>
          <w:rFonts w:ascii="Times New Roman" w:hAnsi="Times New Roman" w:cs="Times New Roman"/>
          <w:color w:val="0070C0"/>
          <w:spacing w:val="0"/>
          <w:sz w:val="16"/>
          <w:szCs w:val="16"/>
        </w:rPr>
        <w:softHyphen/>
        <w:t xml:space="preserve">ные вплоть до 1938 г. уровни потерь для различных видов вооружённых сил. Тем не менее, </w:t>
      </w:r>
      <w:r w:rsidRPr="00142305">
        <w:rPr>
          <w:rStyle w:val="aff"/>
          <w:rFonts w:ascii="Times New Roman" w:hAnsi="Times New Roman" w:cs="Times New Roman"/>
          <w:color w:val="0070C0"/>
          <w:spacing w:val="0"/>
          <w:sz w:val="16"/>
          <w:szCs w:val="16"/>
        </w:rPr>
        <w:lastRenderedPageBreak/>
        <w:t>планом второй пятилетки не предусматривалось перевооруже</w:t>
      </w:r>
      <w:r w:rsidRPr="00142305">
        <w:rPr>
          <w:rStyle w:val="aff"/>
          <w:rFonts w:ascii="Times New Roman" w:hAnsi="Times New Roman" w:cs="Times New Roman"/>
          <w:color w:val="0070C0"/>
          <w:spacing w:val="0"/>
          <w:sz w:val="16"/>
          <w:szCs w:val="16"/>
        </w:rPr>
        <w:softHyphen/>
        <w:t>ния, понимаемого как массированное оснащение армии новым оружием. Ожи</w:t>
      </w:r>
      <w:r w:rsidRPr="00142305">
        <w:rPr>
          <w:rStyle w:val="aff"/>
          <w:rFonts w:ascii="Times New Roman" w:hAnsi="Times New Roman" w:cs="Times New Roman"/>
          <w:color w:val="0070C0"/>
          <w:spacing w:val="0"/>
          <w:sz w:val="16"/>
          <w:szCs w:val="16"/>
        </w:rPr>
        <w:softHyphen/>
        <w:t>далось, что на протяжении всего планового периода закупки авиации останутся на относительно стабильном уровне (</w:t>
      </w:r>
      <w:r w:rsidRPr="00FD1168">
        <w:rPr>
          <w:rStyle w:val="aff3"/>
          <w:rFonts w:ascii="Times New Roman" w:hAnsi="Times New Roman" w:cs="Times New Roman"/>
          <w:i w:val="0"/>
          <w:iCs w:val="0"/>
          <w:color w:val="0070C0"/>
          <w:sz w:val="16"/>
          <w:szCs w:val="16"/>
          <w:lang w:val="ru-RU"/>
        </w:rPr>
        <w:t>Самуэльсон Л. Красный колосс: Становление военно-промышленного комплекса СССР, 1921-1941 / Пер. с англ. М., 2001. С.186, 188, 203.</w:t>
      </w:r>
      <w:r w:rsidRPr="00142305">
        <w:rPr>
          <w:rStyle w:val="aff"/>
          <w:rFonts w:ascii="Times New Roman" w:hAnsi="Times New Roman" w:cs="Times New Roman"/>
          <w:color w:val="0070C0"/>
          <w:spacing w:val="0"/>
          <w:sz w:val="16"/>
          <w:szCs w:val="16"/>
        </w:rPr>
        <w:t>) (25647).</w:t>
      </w:r>
    </w:p>
    <w:p w14:paraId="74324092" w14:textId="77777777" w:rsidR="00FD1168" w:rsidRPr="00142305" w:rsidRDefault="00FD1168" w:rsidP="00FD1168">
      <w:pPr>
        <w:spacing w:after="0" w:line="240" w:lineRule="auto"/>
        <w:jc w:val="both"/>
        <w:rPr>
          <w:rFonts w:ascii="Times New Roman" w:hAnsi="Times New Roman"/>
          <w:color w:val="0070C0"/>
          <w:sz w:val="16"/>
          <w:szCs w:val="16"/>
        </w:rPr>
      </w:pPr>
    </w:p>
    <w:p w14:paraId="74DB962A"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поближе к Тихому океану решили перевести еще несколько эскадрилий из Центральной России. Однако главным событием летнего сезона должна была стать перегонка 24 самолетов ТБ-3 (две эскад</w:t>
      </w:r>
      <w:r w:rsidRPr="00E93F40">
        <w:rPr>
          <w:rFonts w:ascii="Times New Roman" w:hAnsi="Times New Roman"/>
          <w:color w:val="000000" w:themeColor="text1"/>
          <w:sz w:val="16"/>
          <w:szCs w:val="16"/>
        </w:rPr>
        <w:softHyphen/>
        <w:t>рильи) вновь сформированной 19-й тяжелой бомбардировочной авиабригады (тбаб). Задуманная понача</w:t>
      </w:r>
      <w:r w:rsidRPr="00E93F40">
        <w:rPr>
          <w:rFonts w:ascii="Times New Roman" w:hAnsi="Times New Roman"/>
          <w:color w:val="000000" w:themeColor="text1"/>
          <w:sz w:val="16"/>
          <w:szCs w:val="16"/>
        </w:rPr>
        <w:softHyphen/>
        <w:t>лу перевозка по железной дороге представлялась чрезвычайно сложной и долгой, поэтому выбран был все-таки перелет группы самолетов. Для решения задуманного планировалось не позд</w:t>
      </w:r>
      <w:r w:rsidRPr="00E93F40">
        <w:rPr>
          <w:rFonts w:ascii="Times New Roman" w:hAnsi="Times New Roman"/>
          <w:color w:val="000000" w:themeColor="text1"/>
          <w:sz w:val="16"/>
          <w:szCs w:val="16"/>
        </w:rPr>
        <w:softHyphen/>
        <w:t>нее августа 1932 г. создать одну тяжелую бомбарди</w:t>
      </w:r>
      <w:r w:rsidRPr="00E93F40">
        <w:rPr>
          <w:rFonts w:ascii="Times New Roman" w:hAnsi="Times New Roman"/>
          <w:color w:val="000000" w:themeColor="text1"/>
          <w:sz w:val="16"/>
          <w:szCs w:val="16"/>
        </w:rPr>
        <w:softHyphen/>
        <w:t>ровочную авиабригаду для ОКДВА в составе двух эс</w:t>
      </w:r>
      <w:r w:rsidRPr="00E93F40">
        <w:rPr>
          <w:rFonts w:ascii="Times New Roman" w:hAnsi="Times New Roman"/>
          <w:color w:val="000000" w:themeColor="text1"/>
          <w:sz w:val="16"/>
          <w:szCs w:val="16"/>
        </w:rPr>
        <w:softHyphen/>
        <w:t>кадрилий ТБ-1 и двух эскадрилий ТБ-3.</w:t>
      </w:r>
    </w:p>
    <w:p w14:paraId="271CBBD3"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Вот именно для перегонки ТБ-3 создали 19-ю авиабригаду, командовать которой назначили ком</w:t>
      </w:r>
      <w:r w:rsidRPr="00E93F40">
        <w:rPr>
          <w:rFonts w:ascii="Times New Roman" w:hAnsi="Times New Roman"/>
          <w:color w:val="000000" w:themeColor="text1"/>
          <w:sz w:val="16"/>
          <w:szCs w:val="16"/>
        </w:rPr>
        <w:softHyphen/>
        <w:t>брига Добролеж А.Г. (до нового назначения являлся помощником командира 11-й авиабригады). После получения назначения Добролеж в мае 1932 года прибыл на Центральный московский аэродром (Хо</w:t>
      </w:r>
      <w:r w:rsidRPr="00E93F40">
        <w:rPr>
          <w:rFonts w:ascii="Times New Roman" w:hAnsi="Times New Roman"/>
          <w:color w:val="000000" w:themeColor="text1"/>
          <w:sz w:val="16"/>
          <w:szCs w:val="16"/>
        </w:rPr>
        <w:softHyphen/>
        <w:t>дынку) в НИИ ВВС, где прошел обучение: сначала на двухмоторном Р-6, а затем на ТБ-3. Все происхо</w:t>
      </w:r>
      <w:r w:rsidRPr="00E93F40">
        <w:rPr>
          <w:rFonts w:ascii="Times New Roman" w:hAnsi="Times New Roman"/>
          <w:color w:val="000000" w:themeColor="text1"/>
          <w:sz w:val="16"/>
          <w:szCs w:val="16"/>
        </w:rPr>
        <w:softHyphen/>
        <w:t>дило в ускоренном темпе, т.к. по первоначальным планам вылет на Дальний Восток планировался уже 25-30 мая.</w:t>
      </w:r>
    </w:p>
    <w:p w14:paraId="145E5D27"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Следом за командиром бригады готовились и лет</w:t>
      </w:r>
      <w:r w:rsidRPr="00E93F40">
        <w:rPr>
          <w:rFonts w:ascii="Times New Roman" w:hAnsi="Times New Roman"/>
          <w:color w:val="000000" w:themeColor="text1"/>
          <w:sz w:val="16"/>
          <w:szCs w:val="16"/>
        </w:rPr>
        <w:softHyphen/>
        <w:t>чики, которые при подготовке к перелету тренирова</w:t>
      </w:r>
      <w:r w:rsidRPr="00E93F40">
        <w:rPr>
          <w:rFonts w:ascii="Times New Roman" w:hAnsi="Times New Roman"/>
          <w:color w:val="000000" w:themeColor="text1"/>
          <w:sz w:val="16"/>
          <w:szCs w:val="16"/>
        </w:rPr>
        <w:softHyphen/>
        <w:t>лись на Центральном аэродроме. Для этой цели был выделен ТБ-3 «эталон», инструктором являлся опыт</w:t>
      </w:r>
      <w:r w:rsidRPr="00E93F40">
        <w:rPr>
          <w:rFonts w:ascii="Times New Roman" w:hAnsi="Times New Roman"/>
          <w:color w:val="000000" w:themeColor="text1"/>
          <w:sz w:val="16"/>
          <w:szCs w:val="16"/>
        </w:rPr>
        <w:softHyphen/>
        <w:t>ный летчик Константин Миндер. Самолеты для заду</w:t>
      </w:r>
      <w:r w:rsidRPr="00E93F40">
        <w:rPr>
          <w:rFonts w:ascii="Times New Roman" w:hAnsi="Times New Roman"/>
          <w:color w:val="000000" w:themeColor="text1"/>
          <w:sz w:val="16"/>
          <w:szCs w:val="16"/>
        </w:rPr>
        <w:softHyphen/>
        <w:t>манного перелета поступали непосредственно с заво</w:t>
      </w:r>
      <w:r w:rsidRPr="00E93F40">
        <w:rPr>
          <w:rFonts w:ascii="Times New Roman" w:hAnsi="Times New Roman"/>
          <w:color w:val="000000" w:themeColor="text1"/>
          <w:sz w:val="16"/>
          <w:szCs w:val="16"/>
        </w:rPr>
        <w:softHyphen/>
        <w:t>да №22, часть ТБ-3 уже находилась в Воронеже на аэродроме 11-й авиабригады.</w:t>
      </w:r>
    </w:p>
    <w:p w14:paraId="0328704C"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отметим, что задуманный перелет протя</w:t>
      </w:r>
      <w:r w:rsidRPr="00E93F40">
        <w:rPr>
          <w:rFonts w:ascii="Times New Roman" w:hAnsi="Times New Roman"/>
          <w:color w:val="000000" w:themeColor="text1"/>
          <w:sz w:val="16"/>
          <w:szCs w:val="16"/>
        </w:rPr>
        <w:softHyphen/>
        <w:t>женностью около 7 тысяч километров являлся весьма рискованным мероприятием. В первую очередь бес</w:t>
      </w:r>
      <w:r w:rsidRPr="00E93F40">
        <w:rPr>
          <w:rFonts w:ascii="Times New Roman" w:hAnsi="Times New Roman"/>
          <w:color w:val="000000" w:themeColor="text1"/>
          <w:sz w:val="16"/>
          <w:szCs w:val="16"/>
        </w:rPr>
        <w:softHyphen/>
        <w:t>покойство вызывала надежность двигателей М-17, их качество не было столь высоким, чтобы быть стопро</w:t>
      </w:r>
      <w:r w:rsidRPr="00E93F40">
        <w:rPr>
          <w:rFonts w:ascii="Times New Roman" w:hAnsi="Times New Roman"/>
          <w:color w:val="000000" w:themeColor="text1"/>
          <w:sz w:val="16"/>
          <w:szCs w:val="16"/>
        </w:rPr>
        <w:softHyphen/>
        <w:t>центно уверенным в успехе. Тем не менее никаких сомнений в необходимости совершения этого пере</w:t>
      </w:r>
      <w:r w:rsidRPr="00E93F40">
        <w:rPr>
          <w:rFonts w:ascii="Times New Roman" w:hAnsi="Times New Roman"/>
          <w:color w:val="000000" w:themeColor="text1"/>
          <w:sz w:val="16"/>
          <w:szCs w:val="16"/>
        </w:rPr>
        <w:softHyphen/>
        <w:t>лета не наблюдалось (23378).</w:t>
      </w:r>
    </w:p>
    <w:p w14:paraId="4168BFE4" w14:textId="77777777" w:rsidR="001F79EA" w:rsidRPr="00E93F40" w:rsidRDefault="001F79EA" w:rsidP="00E93F40">
      <w:pPr>
        <w:spacing w:after="0" w:line="240" w:lineRule="auto"/>
        <w:jc w:val="both"/>
        <w:rPr>
          <w:rFonts w:ascii="Times New Roman" w:hAnsi="Times New Roman"/>
          <w:color w:val="000000" w:themeColor="text1"/>
          <w:sz w:val="16"/>
          <w:szCs w:val="16"/>
        </w:rPr>
      </w:pPr>
    </w:p>
    <w:p w14:paraId="54F58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в Ленинградском военном округе был сфор</w:t>
      </w:r>
      <w:r w:rsidRPr="00E93F40">
        <w:rPr>
          <w:rFonts w:ascii="Times New Roman" w:hAnsi="Times New Roman"/>
          <w:color w:val="000000" w:themeColor="text1"/>
          <w:sz w:val="16"/>
          <w:szCs w:val="16"/>
        </w:rPr>
        <w:softHyphen/>
        <w:t>мирован специальный танковый отряд № 4, целью которого стало изучение боевых возможностей телеуправляемых тан</w:t>
      </w:r>
      <w:r w:rsidRPr="00E93F40">
        <w:rPr>
          <w:rFonts w:ascii="Times New Roman" w:hAnsi="Times New Roman"/>
          <w:color w:val="000000" w:themeColor="text1"/>
          <w:sz w:val="16"/>
          <w:szCs w:val="16"/>
        </w:rPr>
        <w:softHyphen/>
        <w:t>ков. Танки прибыли в расположение отряда только в конце 1932 г., но не на всех танках аппаратура управления работа</w:t>
      </w:r>
      <w:r w:rsidRPr="00E93F40">
        <w:rPr>
          <w:rFonts w:ascii="Times New Roman" w:hAnsi="Times New Roman"/>
          <w:color w:val="000000" w:themeColor="text1"/>
          <w:sz w:val="16"/>
          <w:szCs w:val="16"/>
        </w:rPr>
        <w:softHyphen/>
        <w:t>ла нормально. С января 1933 г. в районе Красного Села на</w:t>
      </w:r>
      <w:r w:rsidRPr="00E93F40">
        <w:rPr>
          <w:rFonts w:ascii="Times New Roman" w:hAnsi="Times New Roman"/>
          <w:color w:val="000000" w:themeColor="text1"/>
          <w:sz w:val="16"/>
          <w:szCs w:val="16"/>
        </w:rPr>
        <w:softHyphen/>
        <w:t>чались испытания танков на местности (10675).</w:t>
      </w:r>
    </w:p>
    <w:p w14:paraId="69ABB8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DA851E" w14:textId="77777777" w:rsidR="006B5B51" w:rsidRPr="00E93F40" w:rsidRDefault="006B5B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в Ленинградском военном округе сформировали специальный танковый отряд №4 для исследования возможностей телетанков. В конце 1932 г. отряд получил танки: как выяснилось, далеко не на всех машинах аппаратура работала надежно. В январе 1933 г. начались испытания на местности. В январе и октябре отряд провел широкомасштабные учения с использованием различных типов телетанков. По их результатам наиболее совершенным был признан телетанк на основе Т-26 (хотя он и был самым дорогим), и в конце 1933 г. были выработаны требования к танкам «телемеханической группы». Их реализовали уже на однобашенной модификации танка, благо однобашенные Т-26 пошли в серийное производство в том же 1933 г. (15722).</w:t>
      </w:r>
    </w:p>
    <w:p w14:paraId="0931D008" w14:textId="77777777" w:rsidR="006B5B51" w:rsidRPr="00E93F40" w:rsidRDefault="006B5B51" w:rsidP="00E93F40">
      <w:pPr>
        <w:spacing w:after="0" w:line="240" w:lineRule="auto"/>
        <w:jc w:val="both"/>
        <w:rPr>
          <w:rFonts w:ascii="Times New Roman" w:hAnsi="Times New Roman"/>
          <w:color w:val="000000" w:themeColor="text1"/>
          <w:sz w:val="16"/>
          <w:szCs w:val="16"/>
        </w:rPr>
      </w:pPr>
    </w:p>
    <w:p w14:paraId="302268BC"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1932 г., Я. И. Алкснис проверил Ейскую авиашколу, а также 8-ю (со времени предыдущей проверки этой школы прошло девять месяцев) и 11 -ю [Ворошиловоград, ныне Луганск] школы пилотов. Начальника Ейской школы Н. Н. Бажанова он лично проверил в ходе полета на знание штурманского дела. В про</w:t>
      </w:r>
      <w:r w:rsidRPr="00142305">
        <w:rPr>
          <w:rFonts w:ascii="Times New Roman" w:hAnsi="Times New Roman"/>
          <w:color w:val="0070C0"/>
          <w:sz w:val="16"/>
          <w:szCs w:val="16"/>
        </w:rPr>
        <w:softHyphen/>
        <w:t xml:space="preserve">верке Ейской школы участвовал и Предреввоенсовета. Он произвел осмотр этой школы (24968). </w:t>
      </w:r>
    </w:p>
    <w:p w14:paraId="3318CF09" w14:textId="77777777" w:rsidR="0041096C" w:rsidRPr="00142305" w:rsidRDefault="0041096C" w:rsidP="0041096C">
      <w:pPr>
        <w:spacing w:after="0" w:line="240" w:lineRule="auto"/>
        <w:jc w:val="both"/>
        <w:rPr>
          <w:rFonts w:ascii="Times New Roman" w:hAnsi="Times New Roman"/>
          <w:color w:val="0070C0"/>
          <w:sz w:val="16"/>
          <w:szCs w:val="16"/>
        </w:rPr>
      </w:pPr>
    </w:p>
    <w:p w14:paraId="57066765" w14:textId="77777777" w:rsidR="00D45048"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BB97924" w14:textId="77777777" w:rsidR="00D45048" w:rsidRPr="00E93F40" w:rsidRDefault="00D4504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691FB1" w14:textId="77777777" w:rsidR="00D45048" w:rsidRPr="00E93F40" w:rsidRDefault="00D4504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было дело Рютина. Рютин и 17 его единомышленников направили в ЦК письмо с требованием сместить генсека. Все исключены из партии. Не арестованы и тем более не убиты (12629).</w:t>
      </w:r>
    </w:p>
    <w:p w14:paraId="2CF172F6" w14:textId="77777777" w:rsidR="00D45048" w:rsidRPr="00E93F40" w:rsidRDefault="00D4504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5D420E8" w14:textId="77777777" w:rsidR="00BA4F36" w:rsidRPr="00E93F40" w:rsidRDefault="00BA4F3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пока работы продвигались ни шатко ни валко, комиссии экспертов в составе советских, немецких, французских и английских специалистов подготовили свои заключения. Обнародованные в августе 1932 г. отзывы резко различались между собой и отражали преференции иностранных фирм в практике строительства метрополитена: немецкая комиссия (Сименс-Бауюнион) отдавала предпочтение берлинскому способу. Для сохранения уличного движения котлованы предлагалось перекрывать, а линии городских коммуникаций подвешивать на опорах. Против технологии глубокого залегания немцы приводили аргументы, что такое метро обойдется дороже при строительстве и эксплуатации, является технически сложным в геологических условиях Москвы и, кроме того, окажется неудобным для пассажиров. Французская комиссия в составе инженеров Шарпантье, Виар, Анри и Леле из фирмы «Густав Томсон» (Gustav Thomson) также отвергла принцип глубокого залегания, став на сторону парижского и берлинского метода неглубокойпроходки. Английские эксперты (консультант Андерсон, директор Пик) высказалась за комбинацию щитового метода и открытого способа строительства. Они предлагали проложить глубокую линию между Сокольниками и библиотекой Ленина с использованием 10 импортированных из Англии горнопроходческих щитов, а далее в направлении Крымской пл. постепенно перейти к открытому способу строительства на небольшой глубине{440}.Комбинированное решение предлагала также советская комиссия экспертов под председательством академика Губкина: между пл. Свердлова и Дворцом Советов трасса метро проходит на большой глубине, затем постепенно поднимается к поверхности, линии от Дворца Советов и до Крымской пл. и на Арбатском радиусе сооружаются открытым способом{441}.По поводу участка между Сокольниками и пл. Свердлова советская комиссия не высказала мнения, поскольку решением Политбюро от 23 мая 1932 г. здесь уже была намечена линия глубокого залегания.</w:t>
      </w:r>
    </w:p>
    <w:p w14:paraId="75FF4071" w14:textId="264EAB29" w:rsidR="00BA4F36"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BA4F36" w:rsidRPr="00E93F40">
        <w:rPr>
          <w:rFonts w:ascii="Times New Roman" w:hAnsi="Times New Roman"/>
          <w:color w:val="000000" w:themeColor="text1"/>
          <w:sz w:val="16"/>
          <w:szCs w:val="16"/>
        </w:rPr>
        <w:t xml:space="preserve"> По поводу схемы линий метрополитена французская комиссия не решилась высказать свое мнение{442}.Английские и немецкие эксперты одобрили ее и предложили небольшие дополнения{443}.Советская же комиссия потребовала существенных исправлений: запроектированную на юго-востоке Москвы промышленную зону требовалось связать не только с центром, но и с районами проживания рабочей силы. Необходима также была кольцевая линия, которая должна была проходить по Садовому кольцу и соединять некоторые крупные предприятия (заводы «Серп и Молот», АМО-ЗиС) и Парк культуры и отдыха им. Горького{444} (18299).</w:t>
      </w:r>
    </w:p>
    <w:p w14:paraId="5C5818EC" w14:textId="77777777" w:rsidR="00BA4F36" w:rsidRPr="00E93F40" w:rsidRDefault="00BA4F36" w:rsidP="00E93F40">
      <w:pPr>
        <w:spacing w:after="0" w:line="240" w:lineRule="auto"/>
        <w:jc w:val="both"/>
        <w:rPr>
          <w:rFonts w:ascii="Times New Roman" w:hAnsi="Times New Roman"/>
          <w:color w:val="000000" w:themeColor="text1"/>
          <w:sz w:val="16"/>
          <w:szCs w:val="16"/>
        </w:rPr>
      </w:pPr>
    </w:p>
    <w:p w14:paraId="7A2E7760" w14:textId="6C5B5C98" w:rsidR="0041096C" w:rsidRPr="00E93F40" w:rsidRDefault="0041096C" w:rsidP="0041096C">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Внешняя политика</w:t>
      </w:r>
      <w:r w:rsidRPr="00E93F40">
        <w:rPr>
          <w:rFonts w:ascii="Times New Roman" w:hAnsi="Times New Roman"/>
          <w:i/>
          <w:iCs/>
          <w:color w:val="000000" w:themeColor="text1"/>
          <w:sz w:val="16"/>
          <w:szCs w:val="16"/>
        </w:rPr>
        <w:t>:</w:t>
      </w:r>
    </w:p>
    <w:p w14:paraId="63A68F51" w14:textId="77777777" w:rsidR="0041096C" w:rsidRPr="00E93F40" w:rsidRDefault="0041096C" w:rsidP="0041096C">
      <w:pPr>
        <w:autoSpaceDE w:val="0"/>
        <w:autoSpaceDN w:val="0"/>
        <w:adjustRightInd w:val="0"/>
        <w:spacing w:after="0" w:line="240" w:lineRule="auto"/>
        <w:jc w:val="both"/>
        <w:rPr>
          <w:rFonts w:ascii="Times New Roman" w:hAnsi="Times New Roman"/>
          <w:iCs/>
          <w:color w:val="000000" w:themeColor="text1"/>
          <w:sz w:val="16"/>
          <w:szCs w:val="16"/>
        </w:rPr>
      </w:pPr>
    </w:p>
    <w:p w14:paraId="552A1057"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Летом 1932 г. началась ре</w:t>
      </w:r>
      <w:r w:rsidRPr="00142305">
        <w:rPr>
          <w:rStyle w:val="aff"/>
          <w:rFonts w:ascii="Times New Roman" w:hAnsi="Times New Roman" w:cs="Times New Roman"/>
          <w:color w:val="0070C0"/>
          <w:spacing w:val="0"/>
          <w:sz w:val="16"/>
          <w:szCs w:val="16"/>
        </w:rPr>
        <w:softHyphen/>
        <w:t>ализация протокола о 8‑мил</w:t>
      </w:r>
      <w:r w:rsidRPr="00142305">
        <w:rPr>
          <w:rStyle w:val="aff"/>
          <w:rFonts w:ascii="Times New Roman" w:hAnsi="Times New Roman" w:cs="Times New Roman"/>
          <w:color w:val="0070C0"/>
          <w:spacing w:val="0"/>
          <w:sz w:val="16"/>
          <w:szCs w:val="16"/>
        </w:rPr>
        <w:softHyphen/>
        <w:t>лионном кредите СССР Турции (подписание итогового протокола состоялось лишь 21 января 1934 г.), ког</w:t>
      </w:r>
      <w:r w:rsidRPr="00142305">
        <w:rPr>
          <w:rStyle w:val="aff"/>
          <w:rFonts w:ascii="Times New Roman" w:hAnsi="Times New Roman" w:cs="Times New Roman"/>
          <w:color w:val="0070C0"/>
          <w:spacing w:val="0"/>
          <w:sz w:val="16"/>
          <w:szCs w:val="16"/>
        </w:rPr>
        <w:softHyphen/>
        <w:t>да в порт Стамбул прибыл советский пароход «Ленинград» с первой партией автомобиль</w:t>
      </w:r>
      <w:r w:rsidRPr="00142305">
        <w:rPr>
          <w:rStyle w:val="aff"/>
          <w:rFonts w:ascii="Times New Roman" w:hAnsi="Times New Roman" w:cs="Times New Roman"/>
          <w:color w:val="0070C0"/>
          <w:spacing w:val="0"/>
          <w:sz w:val="16"/>
          <w:szCs w:val="16"/>
        </w:rPr>
        <w:softHyphen/>
        <w:t xml:space="preserve">ной и бронетанковой техники: двумя легкими двухбашенными танками Т‑26 (по документам – </w:t>
      </w:r>
      <w:r w:rsidRPr="00142305">
        <w:rPr>
          <w:rStyle w:val="aff"/>
          <w:rFonts w:ascii="Times New Roman" w:eastAsia="Segoe UI" w:hAnsi="Times New Roman" w:cs="Times New Roman"/>
          <w:color w:val="0070C0"/>
          <w:spacing w:val="0"/>
          <w:sz w:val="16"/>
          <w:szCs w:val="16"/>
        </w:rPr>
        <w:t>«Виккерс»</w:t>
      </w:r>
      <w:r w:rsidRPr="00142305">
        <w:rPr>
          <w:rStyle w:val="aff"/>
          <w:rFonts w:ascii="Times New Roman" w:hAnsi="Times New Roman" w:cs="Times New Roman"/>
          <w:color w:val="0070C0"/>
          <w:spacing w:val="0"/>
          <w:sz w:val="16"/>
          <w:szCs w:val="16"/>
        </w:rPr>
        <w:t>), двумя танкетками Т‑27, двумя грузовыми автомобилями АМО‑3, а также с грузом сельхозтехники.</w:t>
      </w:r>
    </w:p>
    <w:p w14:paraId="49C1AF06"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Вместе с ними прибыли и первые совет</w:t>
      </w:r>
      <w:r w:rsidRPr="00142305">
        <w:rPr>
          <w:rStyle w:val="aff"/>
          <w:rFonts w:ascii="Times New Roman" w:hAnsi="Times New Roman" w:cs="Times New Roman"/>
          <w:color w:val="0070C0"/>
          <w:spacing w:val="0"/>
          <w:sz w:val="16"/>
          <w:szCs w:val="16"/>
        </w:rPr>
        <w:softHyphen/>
        <w:t>ские военные инструкторы во главе с коман</w:t>
      </w:r>
      <w:r w:rsidRPr="00142305">
        <w:rPr>
          <w:rStyle w:val="aff"/>
          <w:rFonts w:ascii="Times New Roman" w:hAnsi="Times New Roman" w:cs="Times New Roman"/>
          <w:color w:val="0070C0"/>
          <w:spacing w:val="0"/>
          <w:sz w:val="16"/>
          <w:szCs w:val="16"/>
        </w:rPr>
        <w:softHyphen/>
        <w:t>диром роты 3‑го отдельного танкового пол</w:t>
      </w:r>
      <w:r w:rsidRPr="00142305">
        <w:rPr>
          <w:rStyle w:val="aff"/>
          <w:rFonts w:ascii="Times New Roman" w:hAnsi="Times New Roman" w:cs="Times New Roman"/>
          <w:color w:val="0070C0"/>
          <w:spacing w:val="0"/>
          <w:sz w:val="16"/>
          <w:szCs w:val="16"/>
        </w:rPr>
        <w:softHyphen/>
        <w:t>ка МВО Филиппом Федоровичем Петренко (г. Рязань, Октябрьский городок). Впоследствии он еще много раз посещал Турцию в рамках военно‑технических мероприятий двух стран (25103).</w:t>
      </w:r>
    </w:p>
    <w:p w14:paraId="266455B8" w14:textId="77777777" w:rsidR="0041096C" w:rsidRPr="00142305" w:rsidRDefault="0041096C" w:rsidP="0041096C">
      <w:pPr>
        <w:spacing w:after="0" w:line="240" w:lineRule="auto"/>
        <w:jc w:val="both"/>
        <w:rPr>
          <w:rFonts w:ascii="Times New Roman" w:hAnsi="Times New Roman"/>
          <w:color w:val="0070C0"/>
          <w:sz w:val="16"/>
          <w:szCs w:val="16"/>
        </w:rPr>
      </w:pPr>
    </w:p>
    <w:p w14:paraId="3AC108E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A7F405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5EAC70"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Летом 1932 г. первые из трехмоторных Ju-52/3m de отправили заказчику — боливийской авиакомпании Lloyd Aero Boliviano (LAB). Коммерческая эксплуатация самолетов Ju-52/3m de началась в октябре 1932 г. </w:t>
      </w:r>
    </w:p>
    <w:p w14:paraId="450A2439"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Боливийская авиакомпания LAB получила третий Ju-52/3m de (Werk. Nr. 4018), его эксплуатация началась 17 сентября 1932 г. Самолет получил в Боливии собственное имя «CHOROLOQUE». Самолет имел по семь прямоугольных окон в правом и левом бортах фюзеляжа. В верхней части фюзеляжа, сразу за кабиной летчиков, имелись вентиляционные отверстия, большинство Ju-52 имели вентиляционные отверстия в кормовой части фюзеляжа. «CHOROLOQUE» разбился в результате летного происшествия 17 января 1936 г.</w:t>
      </w:r>
    </w:p>
    <w:p w14:paraId="311C68E3"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 за LAB три Ju-52/3m заказали ВВС Колумбии (Fuerza Aerea Colombiana). Эти машины (Werk. Nr. 4010 — 4012) также были переделаны из одномоторных Ju-52. Колумбийские самолеты стали первыми Ju-52/3m, принявшими участие в боевых действиях. 31 августа 1932 г. перуанские войска оккупировали стратегически важный порт Летиция, расположенный в верховьях Амазонки. Этот район Амазонии являлся предметом территориального спора между Перу и Колумбией. В ответ на действия перуанцев президент Колумбии Энрике Олайя Геррера направил к Петиции армейские подразделения при поддержке трех самолетов Ju-52/3m. В июле 1933 г. контроль Колумбии над спорным районом закрепила Лига Наций (24200).</w:t>
      </w:r>
    </w:p>
    <w:p w14:paraId="29F09F90" w14:textId="77777777" w:rsidR="001F79EA" w:rsidRPr="00E93F40" w:rsidRDefault="001F79EA" w:rsidP="00E93F40">
      <w:pPr>
        <w:spacing w:after="0" w:line="240" w:lineRule="auto"/>
        <w:jc w:val="both"/>
        <w:rPr>
          <w:rFonts w:ascii="Times New Roman" w:hAnsi="Times New Roman"/>
          <w:color w:val="000000" w:themeColor="text1"/>
          <w:sz w:val="16"/>
          <w:szCs w:val="16"/>
        </w:rPr>
      </w:pPr>
    </w:p>
    <w:p w14:paraId="0F261BA7" w14:textId="2717F4D2"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лета 1932 до сентября 1934 гг. Годдард не жил в Розуэлле в связи с временным прекращением финансирования из-за всеобщей депрессии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экономике. Эти два года он снова работал в университете Кларка. Грант от Смитсоновского института позволил ему продолжить лабораторные испытания гироскопов, методов сварки легких металлов, поршневых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центробежных топливных насосов, 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также совершенствовать камеры сгорания (23372). </w:t>
      </w:r>
    </w:p>
    <w:p w14:paraId="43FF7BF5" w14:textId="77777777" w:rsidR="001F79EA" w:rsidRPr="00E93F40" w:rsidRDefault="001F79EA" w:rsidP="00E93F40">
      <w:pPr>
        <w:spacing w:after="0" w:line="240" w:lineRule="auto"/>
        <w:jc w:val="both"/>
        <w:rPr>
          <w:rFonts w:ascii="Times New Roman" w:hAnsi="Times New Roman"/>
          <w:color w:val="000000" w:themeColor="text1"/>
          <w:sz w:val="16"/>
          <w:szCs w:val="16"/>
        </w:rPr>
      </w:pPr>
    </w:p>
    <w:p w14:paraId="1ED4FD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лета 1932 г. поворот к реформам наметился во Франции. К власти возвратились радикал-социалисты во главе с Эдуардом Эррио. Радикально-социалистическая партия формировала кабинеты до 1936 г. Она стремилась стабилизировать экономическое положение путем умеренных преобразований (3871).</w:t>
      </w:r>
    </w:p>
    <w:p w14:paraId="6C07A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78656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Другие оборонные отрасли:</w:t>
      </w:r>
    </w:p>
    <w:p w14:paraId="31D80A8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8197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Летом-осенью 1932 проходил испытания саперный (мостовой) танк СТ-26, который был разработан весной 1932 НИИ управления инженеров РККА на базе Т-26 и изготовлен заводом им. Ворошилова. Зимой-весной был изготовлен второй опытный образец (9527,222).</w:t>
      </w:r>
    </w:p>
    <w:p w14:paraId="132DC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DA99A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344B7B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48B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первой половине 1932 года 5 203-мм гаубицы обр. 1929 г., изготовленных в 1931 году, прошли полигонные испытания на НИАПе. В ходе испытаний были отмечены набросы вперед, перекосы люлек и отказы инерционных предохранителей. Поэтому было решено упрочить лафеты гаубиц обр. 1929 г (3861).</w:t>
      </w:r>
    </w:p>
    <w:p w14:paraId="46670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669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первой половине 1932 АВТОДОР, заключивший договор с заводом Красный Октябрь о поставках 4 тыс. экземпляров Л-300, выплатил в дополнение к 1 млн р., перечисленных в сентябре 1931 - ещё около 2 млн р. Руко</w:t>
      </w:r>
      <w:r w:rsidRPr="00E93F40">
        <w:rPr>
          <w:rFonts w:ascii="Times New Roman" w:hAnsi="Times New Roman"/>
          <w:color w:val="000000" w:themeColor="text1"/>
          <w:sz w:val="16"/>
          <w:szCs w:val="16"/>
        </w:rPr>
        <w:softHyphen/>
        <w:t>водство завода «Красный Октябрь» обязалось поставлять опла</w:t>
      </w:r>
      <w:r w:rsidRPr="00E93F40">
        <w:rPr>
          <w:rFonts w:ascii="Times New Roman" w:hAnsi="Times New Roman"/>
          <w:color w:val="000000" w:themeColor="text1"/>
          <w:sz w:val="16"/>
          <w:szCs w:val="16"/>
        </w:rPr>
        <w:softHyphen/>
        <w:t>ченные мотоциклы в 1932-1933 гг. [4.48]. Заверение заместителя председателя ВСХВ СССР А.П. Мед</w:t>
      </w:r>
      <w:r w:rsidRPr="00E93F40">
        <w:rPr>
          <w:rFonts w:ascii="Times New Roman" w:hAnsi="Times New Roman"/>
          <w:color w:val="000000" w:themeColor="text1"/>
          <w:sz w:val="16"/>
          <w:szCs w:val="16"/>
        </w:rPr>
        <w:softHyphen/>
        <w:t>ведева об интенсификации производства мотоциклов и выпуске на заводах «Красный Октябрь» и ХАЗ в 1932 г. 10 тыс. этих ма</w:t>
      </w:r>
      <w:r w:rsidRPr="00E93F40">
        <w:rPr>
          <w:rFonts w:ascii="Times New Roman" w:hAnsi="Times New Roman"/>
          <w:color w:val="000000" w:themeColor="text1"/>
          <w:sz w:val="16"/>
          <w:szCs w:val="16"/>
        </w:rPr>
        <w:softHyphen/>
        <w:t>шин [4.46] не соответствовало действительности. На ХАЗе не предполагалось развёртывать серийное производство мотоцик</w:t>
      </w:r>
      <w:r w:rsidRPr="00E93F40">
        <w:rPr>
          <w:rFonts w:ascii="Times New Roman" w:hAnsi="Times New Roman"/>
          <w:color w:val="000000" w:themeColor="text1"/>
          <w:sz w:val="16"/>
          <w:szCs w:val="16"/>
        </w:rPr>
        <w:softHyphen/>
        <w:t>лов, поскольку не было финансирования, а на заводе «Красный Октябрь» выпуск Л-300 «заморозили» ещё в 1931 г. в связи с ос</w:t>
      </w:r>
      <w:r w:rsidRPr="00E93F40">
        <w:rPr>
          <w:rFonts w:ascii="Times New Roman" w:hAnsi="Times New Roman"/>
          <w:color w:val="000000" w:themeColor="text1"/>
          <w:sz w:val="16"/>
          <w:szCs w:val="16"/>
        </w:rPr>
        <w:softHyphen/>
        <w:t>воением изготовления агрегатов для танков Т-26 [4.22]. Поскольку для выпуска изделий к танкам Т-26 заводу требо</w:t>
      </w:r>
      <w:r w:rsidRPr="00E93F40">
        <w:rPr>
          <w:rFonts w:ascii="Times New Roman" w:hAnsi="Times New Roman"/>
          <w:color w:val="000000" w:themeColor="text1"/>
          <w:sz w:val="16"/>
          <w:szCs w:val="16"/>
        </w:rPr>
        <w:softHyphen/>
        <w:t>валось сосредоточить производственные ресурсы, на эту темати</w:t>
      </w:r>
      <w:r w:rsidRPr="00E93F40">
        <w:rPr>
          <w:rFonts w:ascii="Times New Roman" w:hAnsi="Times New Roman"/>
          <w:color w:val="000000" w:themeColor="text1"/>
          <w:sz w:val="16"/>
          <w:szCs w:val="16"/>
        </w:rPr>
        <w:softHyphen/>
        <w:t>ку пришлось переводить лучшие кадры, привлекая их из многих подразделений, в том числе из Мотобюро [4.22]. С 1935 года в вы</w:t>
      </w:r>
      <w:r w:rsidRPr="00E93F40">
        <w:rPr>
          <w:rFonts w:ascii="Times New Roman" w:hAnsi="Times New Roman"/>
          <w:color w:val="000000" w:themeColor="text1"/>
          <w:sz w:val="16"/>
          <w:szCs w:val="16"/>
        </w:rPr>
        <w:softHyphen/>
        <w:t>пуске мотоциклов Л-300 завод «ПРОМЕТ» участия не принимал, поэтому его переименовали в «Красный Октябрь» (11429).</w:t>
      </w:r>
    </w:p>
    <w:p w14:paraId="4D92EA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349AD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52418E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7BB5BD" w14:textId="77777777" w:rsidR="001F79EA" w:rsidRPr="00E93F40" w:rsidRDefault="001F79E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 г. специально для проектирования маневренного истребителя ЦКБ-3 (И-15) создана отдельная бригада, которую возглавил Поликарпов. Тем самым уже практиковавшийся ЦКБ-39 по факту объектовый принцип организации работ был введен хотя бы для одной темы и де-юре. Однако по др. данным в то время это было всего лишь подразделение бригады №2, хотя и обособленное, а положение отдельной 5-й бригады оно заняло только в 1934 г. с переводом бригады морских самолетов Г.М. Бериева на завод №31 (23554).</w:t>
      </w:r>
    </w:p>
    <w:p w14:paraId="53F82000" w14:textId="77777777" w:rsidR="001F79EA" w:rsidRPr="00E93F40" w:rsidRDefault="001F79EA" w:rsidP="00E93F40">
      <w:pPr>
        <w:spacing w:after="0" w:line="240" w:lineRule="auto"/>
        <w:jc w:val="both"/>
        <w:rPr>
          <w:rFonts w:ascii="Times New Roman" w:hAnsi="Times New Roman"/>
          <w:color w:val="000000" w:themeColor="text1"/>
          <w:sz w:val="16"/>
          <w:szCs w:val="16"/>
        </w:rPr>
      </w:pPr>
    </w:p>
    <w:p w14:paraId="65826563"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середины 1932 года ручную бензиновую помпу типа «Альвеер» на Ш-2 за</w:t>
      </w:r>
      <w:r w:rsidRPr="00142305">
        <w:rPr>
          <w:rFonts w:ascii="Times New Roman" w:hAnsi="Times New Roman"/>
          <w:color w:val="0070C0"/>
          <w:sz w:val="16"/>
          <w:szCs w:val="16"/>
        </w:rPr>
        <w:softHyphen/>
        <w:t>менили на насос конструкции Агеева. В 1933 г., кроме новых лыж, в комп</w:t>
      </w:r>
      <w:r w:rsidRPr="00142305">
        <w:rPr>
          <w:rFonts w:ascii="Times New Roman" w:hAnsi="Times New Roman"/>
          <w:color w:val="0070C0"/>
          <w:sz w:val="16"/>
          <w:szCs w:val="16"/>
        </w:rPr>
        <w:softHyphen/>
        <w:t>лектацию самолёта включили огнетуши</w:t>
      </w:r>
      <w:r w:rsidRPr="00142305">
        <w:rPr>
          <w:rFonts w:ascii="Times New Roman" w:hAnsi="Times New Roman"/>
          <w:color w:val="0070C0"/>
          <w:sz w:val="16"/>
          <w:szCs w:val="16"/>
        </w:rPr>
        <w:softHyphen/>
        <w:t>тель «Тайфун». На последних 50 экземплярах Ш-2 выпуска 1933 г. упростили мотораму, упразднив её средний узел. Всего за год на заводе № 31 изготовили 200 машин (24952).</w:t>
      </w:r>
    </w:p>
    <w:p w14:paraId="56787AA7" w14:textId="77777777" w:rsidR="0041096C" w:rsidRPr="00142305" w:rsidRDefault="0041096C" w:rsidP="0041096C">
      <w:pPr>
        <w:spacing w:after="0" w:line="240" w:lineRule="auto"/>
        <w:jc w:val="both"/>
        <w:rPr>
          <w:rFonts w:ascii="Times New Roman" w:hAnsi="Times New Roman"/>
          <w:color w:val="0070C0"/>
          <w:sz w:val="16"/>
          <w:szCs w:val="16"/>
        </w:rPr>
      </w:pPr>
    </w:p>
    <w:p w14:paraId="7F75C3D1" w14:textId="77777777" w:rsidR="00C86BDE" w:rsidRPr="00E93F40" w:rsidRDefault="00C86B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 г. закончились переделки самолета БИЧ-7. Они были весьма существенны: сконструировали новое шасси, вместо вертикальных рулей на концах крыла установили один руль направления, как на БИЧ-3, центральные секции закрылков превратили в рули высоты, а внешние стали действовать, в основном, как элероны (я пишу "в основном", так как при взятии ручки "на себя" они, так же, как рули высоты, отклонялись вверх), кабину летчика и пассажира закрыли застекленным фонарем. Модифицированная машина получила обозначение БИЧ-7А (24253).</w:t>
      </w:r>
    </w:p>
    <w:p w14:paraId="63E61293" w14:textId="77777777" w:rsidR="00C86BDE" w:rsidRPr="00E93F40" w:rsidRDefault="00C86BDE" w:rsidP="00E93F40">
      <w:pPr>
        <w:spacing w:after="0" w:line="240" w:lineRule="auto"/>
        <w:jc w:val="both"/>
        <w:rPr>
          <w:rFonts w:ascii="Times New Roman" w:hAnsi="Times New Roman"/>
          <w:color w:val="000000" w:themeColor="text1"/>
          <w:sz w:val="16"/>
          <w:szCs w:val="16"/>
        </w:rPr>
      </w:pPr>
    </w:p>
    <w:p w14:paraId="44DBE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 года все ранее имевшиеся производства разных объектов были свернуты и завод начал специализироваться в основном по карбюраторам.</w:t>
      </w:r>
    </w:p>
    <w:p w14:paraId="4284BC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Организованный в начале 1934 года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Кортков.</w:t>
      </w:r>
    </w:p>
    <w:p w14:paraId="794E9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с развитием работ опытного карбюраторостроения шла интенсификация серийных работ по оснащению карбюраторами новых моторов. 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5673C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32E87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 Журбенко</w:t>
      </w:r>
    </w:p>
    <w:p w14:paraId="1B1E2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Пермь, п/я 3</w:t>
      </w:r>
    </w:p>
    <w:p w14:paraId="6EA80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Производственный профиль- завод топливных авиационных агрегатов (9823).</w:t>
      </w:r>
    </w:p>
    <w:p w14:paraId="3F0524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791E11" w14:textId="77777777" w:rsidR="0015295F" w:rsidRPr="00E93F40" w:rsidRDefault="0015295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середине 1932 году фабрика № 1 Мостекстильшвейсоюза была перебазирована в Тушино, где заняла территорию ситценабивной фабрики и подчинена Наркомату легкой промышленности. Теперь это был парашютный завод № 1 НКЛП СССР, директором которого был назначен М.А. Савицкий, в связи с чем, как отмечено в его личном деле, он был зачислен в резерв РККА (ЦАМО. Ф. 100000. Д. 274226. Л. 30). В том году завод произвел 12.035 различных парашютов, и с этого времени парашюты подобного типа наша страна больше не импортировала. Намеченные в постановлении СНК рубежи по производству парашютов в 1932 году были достигнуты (21402).</w:t>
      </w:r>
    </w:p>
    <w:p w14:paraId="6C8337A2" w14:textId="77777777" w:rsidR="0015295F" w:rsidRPr="00E93F40" w:rsidRDefault="0015295F" w:rsidP="00E93F40">
      <w:pPr>
        <w:spacing w:after="0" w:line="240" w:lineRule="auto"/>
        <w:jc w:val="both"/>
        <w:rPr>
          <w:rFonts w:ascii="Times New Roman" w:hAnsi="Times New Roman"/>
          <w:color w:val="000000" w:themeColor="text1"/>
          <w:sz w:val="16"/>
          <w:szCs w:val="16"/>
        </w:rPr>
      </w:pPr>
    </w:p>
    <w:p w14:paraId="434C01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 г. усилиями специанистов ГДЛ пусковыми установками трубчатого типа для демонстрационной стрель</w:t>
      </w:r>
      <w:r w:rsidRPr="00E93F40">
        <w:rPr>
          <w:rFonts w:ascii="Times New Roman" w:hAnsi="Times New Roman"/>
          <w:color w:val="000000" w:themeColor="text1"/>
          <w:sz w:val="16"/>
          <w:szCs w:val="16"/>
        </w:rPr>
        <w:softHyphen/>
        <w:t>бы невращающимися ракетными снарядами РС-82 «с оперением из 16 крыльев, не выступающим за калибр снаряда», оборудовали самолет У-2. Считается, что к 1932 г. ГДЛ располагала уже целым «отделом приме</w:t>
      </w:r>
      <w:r w:rsidRPr="00E93F40">
        <w:rPr>
          <w:rFonts w:ascii="Times New Roman" w:hAnsi="Times New Roman"/>
          <w:color w:val="000000" w:themeColor="text1"/>
          <w:sz w:val="16"/>
          <w:szCs w:val="16"/>
        </w:rPr>
        <w:softHyphen/>
        <w:t>нения ракет в авиации», который сначала возглавлял В.И.Худяков. Поз</w:t>
      </w:r>
      <w:r w:rsidRPr="00E93F40">
        <w:rPr>
          <w:rFonts w:ascii="Times New Roman" w:hAnsi="Times New Roman"/>
          <w:color w:val="000000" w:themeColor="text1"/>
          <w:sz w:val="16"/>
          <w:szCs w:val="16"/>
        </w:rPr>
        <w:softHyphen/>
        <w:t>же на этом посту его сменил В.И.Дудаков. По структуре ГДЛ сфера дея тельности «авиационного отдела» ограничивалась разработкой самолет</w:t>
      </w:r>
      <w:r w:rsidRPr="00E93F40">
        <w:rPr>
          <w:rFonts w:ascii="Times New Roman" w:hAnsi="Times New Roman"/>
          <w:color w:val="000000" w:themeColor="text1"/>
          <w:sz w:val="16"/>
          <w:szCs w:val="16"/>
        </w:rPr>
        <w:softHyphen/>
        <w:t>ных пусковых установок. По аналогии, для стрельбы снарядами РС-132 использовали самолет Р-5. Осенью этого года на показе нового оружия в действии присутствовал и М.Н.Тухачевский. Для воздушной стрельбы на полигоне АН И И использовали самолеты, базировавшиеся на Комендантском аэродроме в пригороде Ленинграда. По неподтвержденным пока данным, участвовавший в демонстрации этих РС, пилот старший лейтенант Н.И.Благин предложил доработать конст</w:t>
      </w:r>
      <w:r w:rsidRPr="00E93F40">
        <w:rPr>
          <w:rFonts w:ascii="Times New Roman" w:hAnsi="Times New Roman"/>
          <w:color w:val="000000" w:themeColor="text1"/>
          <w:sz w:val="16"/>
          <w:szCs w:val="16"/>
        </w:rPr>
        <w:softHyphen/>
        <w:t>рукцию снарядов таким образом, чтобы и на пассивном участке траекто</w:t>
      </w:r>
      <w:r w:rsidRPr="00E93F40">
        <w:rPr>
          <w:rFonts w:ascii="Times New Roman" w:hAnsi="Times New Roman"/>
          <w:color w:val="000000" w:themeColor="text1"/>
          <w:sz w:val="16"/>
          <w:szCs w:val="16"/>
        </w:rPr>
        <w:softHyphen/>
        <w:t>рии создавать им дополнительный вращающий момент вокруг продоль</w:t>
      </w:r>
      <w:r w:rsidRPr="00E93F40">
        <w:rPr>
          <w:rFonts w:ascii="Times New Roman" w:hAnsi="Times New Roman"/>
          <w:color w:val="000000" w:themeColor="text1"/>
          <w:sz w:val="16"/>
          <w:szCs w:val="16"/>
        </w:rPr>
        <w:softHyphen/>
        <w:t>ной оси аэродинамическим способом. Для этого все законцовки крыльев стабилизатора (скорее всего, речь идет о РС-82 с многоперым стабилиза</w:t>
      </w:r>
      <w:r w:rsidRPr="00E93F40">
        <w:rPr>
          <w:rFonts w:ascii="Times New Roman" w:hAnsi="Times New Roman"/>
          <w:color w:val="000000" w:themeColor="text1"/>
          <w:sz w:val="16"/>
          <w:szCs w:val="16"/>
        </w:rPr>
        <w:softHyphen/>
        <w:t>тором конструкции В.А.Артемьева) слегка выгнули в одну сторону, и по</w:t>
      </w:r>
      <w:r w:rsidRPr="00E93F40">
        <w:rPr>
          <w:rFonts w:ascii="Times New Roman" w:hAnsi="Times New Roman"/>
          <w:color w:val="000000" w:themeColor="text1"/>
          <w:sz w:val="16"/>
          <w:szCs w:val="16"/>
        </w:rPr>
        <w:softHyphen/>
        <w:t>ложительный результат на данном этапе исследований не замедлил ска</w:t>
      </w:r>
      <w:r w:rsidRPr="00E93F40">
        <w:rPr>
          <w:rFonts w:ascii="Times New Roman" w:hAnsi="Times New Roman"/>
          <w:color w:val="000000" w:themeColor="text1"/>
          <w:sz w:val="16"/>
          <w:szCs w:val="16"/>
        </w:rPr>
        <w:softHyphen/>
        <w:t>заться. В ГДЛ данное новшество окрестили «оперением Благина». Применительно же к боеприпасам, в архивных документах в этот пе</w:t>
      </w:r>
      <w:r w:rsidRPr="00E93F40">
        <w:rPr>
          <w:rFonts w:ascii="Times New Roman" w:hAnsi="Times New Roman"/>
          <w:color w:val="000000" w:themeColor="text1"/>
          <w:sz w:val="16"/>
          <w:szCs w:val="16"/>
        </w:rPr>
        <w:softHyphen/>
        <w:t>риод чаше встречаются фамилии начальников первого отдела (констру</w:t>
      </w:r>
      <w:r w:rsidRPr="00E93F40">
        <w:rPr>
          <w:rFonts w:ascii="Times New Roman" w:hAnsi="Times New Roman"/>
          <w:color w:val="000000" w:themeColor="text1"/>
          <w:sz w:val="16"/>
          <w:szCs w:val="16"/>
        </w:rPr>
        <w:softHyphen/>
        <w:t>ирование ракетных снарядов для всех родов войск) В.А.Артемьева, Ф.Н.Пойды и Л.Э.Шварца. Они последовательно сменяли друг друга на этом посту практически в течение года. По результатам демонстрацион</w:t>
      </w:r>
      <w:r w:rsidRPr="00E93F40">
        <w:rPr>
          <w:rFonts w:ascii="Times New Roman" w:hAnsi="Times New Roman"/>
          <w:color w:val="000000" w:themeColor="text1"/>
          <w:sz w:val="16"/>
          <w:szCs w:val="16"/>
        </w:rPr>
        <w:softHyphen/>
        <w:t>ных стрельб в воздухе конструкторы ГДЛ получили одобрение начальни</w:t>
      </w:r>
      <w:r w:rsidRPr="00E93F40">
        <w:rPr>
          <w:rFonts w:ascii="Times New Roman" w:hAnsi="Times New Roman"/>
          <w:color w:val="000000" w:themeColor="text1"/>
          <w:sz w:val="16"/>
          <w:szCs w:val="16"/>
        </w:rPr>
        <w:softHyphen/>
        <w:t>ка вооружений РККА (11402).</w:t>
      </w:r>
    </w:p>
    <w:p w14:paraId="55D778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3C075D" w14:textId="77777777" w:rsidR="007B1D3C" w:rsidRPr="00E93F40" w:rsidRDefault="00F773A6" w:rsidP="00E93F4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7F368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FF08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 немецкая фирма «Даймлер-Бенц» предложила проект 76мм дивизионного или полкового самоходного орудия поддержки. В начале 1930 с целью привлечения иност</w:t>
      </w:r>
      <w:r w:rsidRPr="00E93F40">
        <w:rPr>
          <w:rFonts w:ascii="Times New Roman" w:hAnsi="Times New Roman"/>
          <w:color w:val="000000" w:themeColor="text1"/>
          <w:sz w:val="16"/>
          <w:szCs w:val="16"/>
        </w:rPr>
        <w:softHyphen/>
        <w:t>ранных специалистов и изучения передового опыта пред</w:t>
      </w:r>
      <w:r w:rsidRPr="00E93F40">
        <w:rPr>
          <w:rFonts w:ascii="Times New Roman" w:hAnsi="Times New Roman"/>
          <w:color w:val="000000" w:themeColor="text1"/>
          <w:sz w:val="16"/>
          <w:szCs w:val="16"/>
        </w:rPr>
        <w:softHyphen/>
        <w:t>седатель НТК УММ Лебедев выдвинул аналогичные ТТГ на рассмотрение специальной советско-германской Техни</w:t>
      </w:r>
      <w:r w:rsidRPr="00E93F40">
        <w:rPr>
          <w:rFonts w:ascii="Times New Roman" w:hAnsi="Times New Roman"/>
          <w:color w:val="000000" w:themeColor="text1"/>
          <w:sz w:val="16"/>
          <w:szCs w:val="16"/>
        </w:rPr>
        <w:softHyphen/>
        <w:t>ческой комиссии (ТЕКО). К этому времени испытания отечественной версии указанной САУ, уже закончились. Кроме того, цена, затребованная немцами, примерно втрое превысила предварительно оговоренную. К тому же в СССР уже было принято решение о принятии на вооружение нового легкого танка Т-26, родившегося из бри</w:t>
      </w:r>
      <w:r w:rsidRPr="00E93F40">
        <w:rPr>
          <w:rFonts w:ascii="Times New Roman" w:hAnsi="Times New Roman"/>
          <w:color w:val="000000" w:themeColor="text1"/>
          <w:sz w:val="16"/>
          <w:szCs w:val="16"/>
        </w:rPr>
        <w:softHyphen/>
        <w:t>танского «Виккерс 6-тонный», на базе которого и было ре</w:t>
      </w:r>
      <w:r w:rsidRPr="00E93F40">
        <w:rPr>
          <w:rFonts w:ascii="Times New Roman" w:hAnsi="Times New Roman"/>
          <w:color w:val="000000" w:themeColor="text1"/>
          <w:sz w:val="16"/>
          <w:szCs w:val="16"/>
        </w:rPr>
        <w:softHyphen/>
        <w:t>шено проектировать САУ своими силами:</w:t>
      </w:r>
    </w:p>
    <w:p w14:paraId="6A8613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«...Поскольку немецкая сторона задерживает с пред'яв-лением результатов проэктирования и вновь просит увели</w:t>
      </w:r>
      <w:r w:rsidRPr="00E93F40">
        <w:rPr>
          <w:rFonts w:ascii="Times New Roman" w:hAnsi="Times New Roman"/>
          <w:iCs/>
          <w:color w:val="000000" w:themeColor="text1"/>
          <w:sz w:val="16"/>
          <w:szCs w:val="16"/>
        </w:rPr>
        <w:softHyphen/>
        <w:t>чить размер оплаты заказа, прошу вас разрешить заводу про-должение работ по созданию 76-мм самоходной бронирован</w:t>
      </w:r>
      <w:r w:rsidRPr="00E93F40">
        <w:rPr>
          <w:rFonts w:ascii="Times New Roman" w:hAnsi="Times New Roman"/>
          <w:iCs/>
          <w:color w:val="000000" w:themeColor="text1"/>
          <w:sz w:val="16"/>
          <w:szCs w:val="16"/>
        </w:rPr>
        <w:softHyphen/>
        <w:t>ной пушки на шасси танка В-26... Симский».</w:t>
      </w:r>
    </w:p>
    <w:p w14:paraId="34B8A7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Сделка не состоялась, но немецкая разработка не про</w:t>
      </w:r>
      <w:r w:rsidRPr="00E93F40">
        <w:rPr>
          <w:rFonts w:ascii="Times New Roman" w:hAnsi="Times New Roman"/>
          <w:color w:val="000000" w:themeColor="text1"/>
          <w:sz w:val="16"/>
          <w:szCs w:val="16"/>
        </w:rPr>
        <w:softHyphen/>
        <w:t>пала втуне. В 1937 г. она появилась на свет, дав старт самым популярным в Германии в 1940-е гг. штурмовым орудиям (11417).</w:t>
      </w:r>
    </w:p>
    <w:p w14:paraId="2B0458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C903B6" w14:textId="77777777" w:rsidR="001E30C2" w:rsidRPr="00E93F40" w:rsidRDefault="001E30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середины 1932 г. на Мо</w:t>
      </w:r>
      <w:r w:rsidRPr="00E93F40">
        <w:rPr>
          <w:rFonts w:ascii="Times New Roman" w:hAnsi="Times New Roman"/>
          <w:color w:val="000000" w:themeColor="text1"/>
          <w:sz w:val="16"/>
          <w:szCs w:val="16"/>
        </w:rPr>
        <w:softHyphen/>
        <w:t>сковском железнодорожном ремонтном заводе (Можерез) собрали около 60 легких бронеавтомобилей Д-8, который был разработан в 1931 г. под руко</w:t>
      </w:r>
      <w:r w:rsidRPr="00E93F40">
        <w:rPr>
          <w:rFonts w:ascii="Times New Roman" w:hAnsi="Times New Roman"/>
          <w:color w:val="000000" w:themeColor="text1"/>
          <w:sz w:val="16"/>
          <w:szCs w:val="16"/>
        </w:rPr>
        <w:softHyphen/>
        <w:t>водством Николая Ивановича Дыренкова, включая вариант Д-12. Однако уже тогда было ясно, что боевые возможности Д-8 весьма ограничены из-за ряда серьезных конструктивных недостатков, таких как теснота броневого корпуса и ограниченные углы обстрела из пулеметов (до 15° от продольной оси машины). Вскоре эти бронеавтомобили начали выводить из боевого со</w:t>
      </w:r>
      <w:r w:rsidRPr="00E93F40">
        <w:rPr>
          <w:rFonts w:ascii="Times New Roman" w:hAnsi="Times New Roman"/>
          <w:color w:val="000000" w:themeColor="text1"/>
          <w:sz w:val="16"/>
          <w:szCs w:val="16"/>
        </w:rPr>
        <w:softHyphen/>
        <w:t>става и передавать для ознакомления в учебные заведения. Тогда же изучалась возможность применения Д-8 в качестве легких бронедрезин для бронепоездов, тем более что разработка специальных железнодо</w:t>
      </w:r>
      <w:r w:rsidRPr="00E93F40">
        <w:rPr>
          <w:rFonts w:ascii="Times New Roman" w:hAnsi="Times New Roman"/>
          <w:color w:val="000000" w:themeColor="text1"/>
          <w:sz w:val="16"/>
          <w:szCs w:val="16"/>
        </w:rPr>
        <w:softHyphen/>
        <w:t>рожных дрезин задерживалась.</w:t>
      </w:r>
    </w:p>
    <w:p w14:paraId="1AA03430" w14:textId="77777777" w:rsidR="001E30C2" w:rsidRPr="00E93F40" w:rsidRDefault="001E30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 замыслу, легкая бронедрезина, вооруженная пулеметами, мог</w:t>
      </w:r>
      <w:r w:rsidRPr="00E93F40">
        <w:rPr>
          <w:rFonts w:ascii="Times New Roman" w:hAnsi="Times New Roman"/>
          <w:color w:val="000000" w:themeColor="text1"/>
          <w:sz w:val="16"/>
          <w:szCs w:val="16"/>
        </w:rPr>
        <w:softHyphen/>
        <w:t>ла быть снята с железнодорожного пути силами экипажа и продолжить движение на грунтовых дорогах, выполняя функции разведывательной и связной машины. Опытный образец легкой броневой дрезины на базе бронеавтомобиля Д-8 (по документам тех лет - «брдл», «бр.д.л.» или «брдл-1») изготовили на заводе Можерез в середине 1933 г. (12737)</w:t>
      </w:r>
    </w:p>
    <w:p w14:paraId="0EFECB77" w14:textId="77777777" w:rsidR="001E30C2" w:rsidRPr="00E93F40" w:rsidRDefault="001E30C2" w:rsidP="00E93F40">
      <w:pPr>
        <w:spacing w:after="0" w:line="240" w:lineRule="auto"/>
        <w:jc w:val="both"/>
        <w:rPr>
          <w:rFonts w:ascii="Times New Roman" w:hAnsi="Times New Roman"/>
          <w:color w:val="000000" w:themeColor="text1"/>
          <w:sz w:val="16"/>
          <w:szCs w:val="16"/>
        </w:rPr>
      </w:pPr>
    </w:p>
    <w:p w14:paraId="3561D541"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середины 1932 г. на Московском железнодорожном ремонтном заводе (Можерез) собрали около 60 легких бронеавтомобилей Д-8 был разработан в 1931 г. под руководством Николая Ивановича Дыренкова, включая вариант Д-12. Однако уже тогда было ясно, что боевые возможности Д-8 весьма ограничены из-за ряда серьезных конструктивных недостатков, таких как теснота броневого корпуса и ограниченные углы обстрела из пулеметов (до 15° от продольной оси машины). Вскоре эти бронеавтомобили начали выводить из боевого состава и передавать для ознакомления в учебные заведения. Тогда же изучалась возможность применения Д-8 в качестве легких бронедрезин для бронепоездов, тем более что разработка специальных железнодорожных дрезин задерживалась (25574).</w:t>
      </w:r>
    </w:p>
    <w:p w14:paraId="053EEEB7" w14:textId="77777777" w:rsidR="0041096C" w:rsidRPr="00142305" w:rsidRDefault="0041096C" w:rsidP="0041096C">
      <w:pPr>
        <w:spacing w:after="0" w:line="240" w:lineRule="auto"/>
        <w:jc w:val="both"/>
        <w:rPr>
          <w:rFonts w:ascii="Times New Roman" w:hAnsi="Times New Roman"/>
          <w:color w:val="0070C0"/>
          <w:sz w:val="16"/>
          <w:szCs w:val="16"/>
        </w:rPr>
      </w:pPr>
    </w:p>
    <w:p w14:paraId="53A8969F" w14:textId="77777777" w:rsidR="00C86BDE" w:rsidRPr="00E93F40" w:rsidRDefault="00C86BD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 г. серийное производство отечественного плавающего танка под индексом Т-37 началось в Москве на заводе № 2 Всесоюзного автотракторного объединения (впоследствии завод № 37 им. Орджоникидзе)[57]. В 1932 г. готовиться к производству плавающего танка получил задание Горьковский автомобильный завод (ГАЗ)[58] (23536).</w:t>
      </w:r>
    </w:p>
    <w:p w14:paraId="05A724B6" w14:textId="77777777" w:rsidR="00C86BDE" w:rsidRPr="00E93F40" w:rsidRDefault="00C86BDE" w:rsidP="00E93F40">
      <w:pPr>
        <w:spacing w:after="0" w:line="240" w:lineRule="auto"/>
        <w:jc w:val="both"/>
        <w:rPr>
          <w:rFonts w:ascii="Times New Roman" w:hAnsi="Times New Roman"/>
          <w:color w:val="000000" w:themeColor="text1"/>
          <w:sz w:val="16"/>
          <w:szCs w:val="16"/>
        </w:rPr>
      </w:pPr>
    </w:p>
    <w:p w14:paraId="5FD04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1932г. Завод № 3 Треста техники безопасности (Завод № 856 НКМВ, Завод № 3 Треста техники безопасности, Завод «Кислородных приборов» НКМВ, Завод кислородных приборов «Респиратор» ММиП, АООТ «Респиратор», ОАО «Производственно-конструкторское предприятие (ПКП) «Респиратор», А-3439 /г. Орехово-Зуево «Респиратор» (1948г.)/ /142602 г. Орехово-Зуево Московской обл., ул. Гагарина, 1 тел. 2-70-54/), созданный в 1932г. на базе отбельно-красильной фабрики И.Н. Зимина, имевшей на тот момент три цеха: ситце-печатный, опальный, красильный и около 700 чел. рабочих, выпустил первую продукцию - приборы для горно-спасательной службы угольной промышленности. В числе первых специалистов завода были А.Л. Сарычей, Н.И. Крайнов. Первые годы завод выпускал около 8 наименований аппаратов и приборов. До войны предприятие называли заводом кислородных приборов.</w:t>
      </w:r>
    </w:p>
    <w:p w14:paraId="54251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1941г. завод был эвакуирован в Барнаул (вероятно, послужил основой для завода № 839 НКМВ).</w:t>
      </w:r>
    </w:p>
    <w:p w14:paraId="2F1E9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01.1942г. оборудование завода реэвакуировано на старое место, на его базе организован новый завод «Кислородных приборов». В соответствии с пост. СНК № 837-430сс от 3.06.1942г. и приказом НКМВ № 250с от 7.07.1942г. завод «Кислородных приборов» НКМВ переименован в завод № 856 в ведении 5ГУ.</w:t>
      </w:r>
    </w:p>
    <w:p w14:paraId="44C91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Выпускал стабилизаторы для мин. Затем был освоен выпуск подрывных машинок, авиационных кислородных приборов, аэродромных кислородно-заправочных станций.</w:t>
      </w:r>
    </w:p>
    <w:p w14:paraId="7168B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1947-48г. Завод кислородных приборов «Респиратор» - в ведении Главлаборприбора ММиП. Имел наименование А-3439 (1983г.).</w:t>
      </w:r>
    </w:p>
    <w:p w14:paraId="58464C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предприятия (1947г.) цехи: основные: гальванический, медницкий, автоматный, механический, станкостроительный, № 1, № 2, термостатный; вспомогательные: ремонтно-механический, экспериментальный, инструментальный, электроцех.</w:t>
      </w:r>
    </w:p>
    <w:p w14:paraId="1BEBD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417FF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Производство авиационного бортового кислородного оборудования. Поставщик агрегатов кислородной системы для создаваемого регионального самолета </w:t>
      </w:r>
      <w:r w:rsidRPr="00E93F40">
        <w:rPr>
          <w:rFonts w:ascii="Times New Roman" w:hAnsi="Times New Roman"/>
          <w:color w:val="000000" w:themeColor="text1"/>
          <w:sz w:val="16"/>
          <w:szCs w:val="16"/>
          <w:lang w:val="en-US"/>
        </w:rPr>
        <w:t>RRJ</w:t>
      </w:r>
      <w:r w:rsidRPr="00E93F40">
        <w:rPr>
          <w:rFonts w:ascii="Times New Roman" w:hAnsi="Times New Roman"/>
          <w:color w:val="000000" w:themeColor="text1"/>
          <w:sz w:val="16"/>
          <w:szCs w:val="16"/>
        </w:rPr>
        <w:t xml:space="preserve"> (2003г.).</w:t>
      </w:r>
    </w:p>
    <w:p w14:paraId="64D6F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(1939г.)- 321 ед., (1946г.)- 498 ед., (1947г.)- 514 ед.</w:t>
      </w:r>
    </w:p>
    <w:p w14:paraId="24E7F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территории (1947г.)- 3,14 га; застройки (1947г.)- 11632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производственная (1939г.)- 6432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(1946г.)- 11630 м, (1947г.)- 11696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716ABF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(1932г.)- 65 чел., (1937г.)- 585 чел., (1939г.)- 1437 чел., (1946г.)- 1503 чел., (1947г.)- 1525 чел.</w:t>
      </w:r>
    </w:p>
    <w:p w14:paraId="273AC9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(07.1942г.)- Попов, (1948г.)- Жуков.</w:t>
      </w:r>
    </w:p>
    <w:p w14:paraId="154CCD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(1948г.)- Адамов.</w:t>
      </w:r>
    </w:p>
    <w:p w14:paraId="3E646A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 кислородные приборы:</w:t>
      </w:r>
      <w:r w:rsidRPr="00E93F40">
        <w:rPr>
          <w:rFonts w:ascii="Times New Roman" w:hAnsi="Times New Roman"/>
          <w:color w:val="000000" w:themeColor="text1"/>
          <w:sz w:val="16"/>
          <w:szCs w:val="16"/>
        </w:rPr>
        <w:t xml:space="preserve"> авиационный КПА-Збис (ВОВ), ИПА-3, КП-14, -16, -17, парашютный КП-15 (1947); индивидуальный спасательный аппарат ИСАМ-48 (1947); маска КМ-35; кислородно-изолирующий противогаз КИП-5 (-1942-47-); кислородные насосы КН-2, КН-3 (1942), антифризное оборудование А-45, кислородный вентиль КВБ-46 (1947); машинка подрывная ПМ-1, ПМ-2 (ВОВ); лабораторная мельница ШМ, установка для взбалтывания УВВ, лабораторная мешалка М-1, ручная центрифуга ЦР-2, КИП-5, термостат ТР-1 (1947).</w:t>
      </w:r>
      <w:r w:rsidRPr="00E93F40">
        <w:rPr>
          <w:rFonts w:ascii="Times New Roman" w:hAnsi="Times New Roman"/>
          <w:color w:val="000000" w:themeColor="text1"/>
          <w:sz w:val="16"/>
          <w:szCs w:val="16"/>
          <w:vertAlign w:val="superscript"/>
        </w:rPr>
        <w:t>129</w:t>
      </w:r>
    </w:p>
    <w:p w14:paraId="2D5A9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Орехово-Зуевское КБ кислородного оборудования, ОАО «КАМПО» /142602 г. Орехово-Зуево Московской обл. ул. Гагарина, 1 тел. 12-60-37/</w:t>
      </w:r>
    </w:p>
    <w:p w14:paraId="084D3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в 1953г. для проведения НИОКР в области систем жизнеобеспечения.</w:t>
      </w:r>
    </w:p>
    <w:p w14:paraId="150360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Разработаны: первый советский акваланг АВМ-1; образцы кислородно-дыхательной аппаратуры для всех типов самолетов, для индивидуальных систем жизнеобеспечения (в т.ч. для выхода в открытый космос); профессиональная водолазная дыхательная аппаратура, снаряжение для ВМФ; аварийно-спасательная и пожарная дыхательная аппаратура.</w:t>
      </w:r>
    </w:p>
    <w:p w14:paraId="3D974D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1993г. Орехово-Зуевское КБ кислородного оборудования преобразовано в ОАО «КАМПО». По решению правительства № 22-р от 9.01.2004г. вошло в перечень стратегических предприятий. В 2005г. входило в состав НПЦ «Технокомплекс».</w:t>
      </w:r>
    </w:p>
    <w:p w14:paraId="708142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(2005г.)- А.Ю. Кулик.</w:t>
      </w:r>
    </w:p>
    <w:p w14:paraId="29DD6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Создано:</w:t>
      </w:r>
      <w:r w:rsidRPr="00E93F40">
        <w:rPr>
          <w:rFonts w:ascii="Times New Roman" w:hAnsi="Times New Roman"/>
          <w:color w:val="000000" w:themeColor="text1"/>
          <w:sz w:val="16"/>
          <w:szCs w:val="16"/>
        </w:rPr>
        <w:t xml:space="preserve"> акваланг АВМ-1; изолирующий противогаз для пожарных КИП-8, аппараты пожарного АП-93К, АП-96М; воздушно-дыхательные аппараты: АП «Север» для ВМФ, АП-2000 (2000-е); снаряжение: глубоководное водолазное СВГ-200, СЖВ-1; спасательное для экипажей ПЛ ССП; кислородная станция КИС-2; авиационная дыхательная аппаратура КП-52М, КП-98, КДА-15, АПД-1; контрольная установка КУ-9В, комплекс испытательного оборудования КИО-1 (2000-е); медицинский кислородный ингалятор КИ-5 (11982).</w:t>
      </w:r>
      <w:r w:rsidRPr="00E93F40">
        <w:rPr>
          <w:rFonts w:ascii="Times New Roman" w:hAnsi="Times New Roman"/>
          <w:color w:val="000000" w:themeColor="text1"/>
          <w:sz w:val="16"/>
          <w:szCs w:val="16"/>
          <w:vertAlign w:val="superscript"/>
        </w:rPr>
        <w:t>101</w:t>
      </w:r>
    </w:p>
    <w:p w14:paraId="2F072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75B74C" w14:textId="77777777" w:rsidR="007B1D3C" w:rsidRPr="00E93F40" w:rsidRDefault="00F049B2" w:rsidP="00E93F4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205A3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2623F20"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сере</w:t>
      </w:r>
      <w:r w:rsidRPr="00142305">
        <w:rPr>
          <w:rFonts w:ascii="Times New Roman" w:hAnsi="Times New Roman"/>
          <w:color w:val="0070C0"/>
          <w:sz w:val="16"/>
          <w:szCs w:val="16"/>
        </w:rPr>
        <w:softHyphen/>
        <w:t>дины 1932 г. большая часть С-62Б и МБР-4 сосредотачивалась на Даль</w:t>
      </w:r>
      <w:r w:rsidRPr="00142305">
        <w:rPr>
          <w:rFonts w:ascii="Times New Roman" w:hAnsi="Times New Roman"/>
          <w:color w:val="0070C0"/>
          <w:sz w:val="16"/>
          <w:szCs w:val="16"/>
        </w:rPr>
        <w:softHyphen/>
        <w:t>нем Востоке - в авиации ОКДВА и МСДВ. В июле в Океанскую прибыла из Сева</w:t>
      </w:r>
      <w:r w:rsidRPr="00142305">
        <w:rPr>
          <w:rFonts w:ascii="Times New Roman" w:hAnsi="Times New Roman"/>
          <w:color w:val="0070C0"/>
          <w:sz w:val="16"/>
          <w:szCs w:val="16"/>
        </w:rPr>
        <w:softHyphen/>
        <w:t>стополя 8-я эскадрилья (бывшая 111-я, 12 С-62Б). Но ее путь лежал дальше - на Камчатку. Экипажи прошли специальную подготовку в навигации в открытом море, совершили много тренировочных поле</w:t>
      </w:r>
      <w:r w:rsidRPr="00142305">
        <w:rPr>
          <w:rFonts w:ascii="Times New Roman" w:hAnsi="Times New Roman"/>
          <w:color w:val="0070C0"/>
          <w:sz w:val="16"/>
          <w:szCs w:val="16"/>
        </w:rPr>
        <w:softHyphen/>
        <w:t>тов. 25 августа самолеты двинулись в путь. Маршрут пролегал через Красную Речку, Николаевск-на-Амуре и Большерецк. 9 сентября 11 «савой» прибыли в Петропавловск; одну машину разбили при посадке на гидробазе Красная Реч</w:t>
      </w:r>
      <w:r w:rsidRPr="00142305">
        <w:rPr>
          <w:rFonts w:ascii="Times New Roman" w:hAnsi="Times New Roman"/>
          <w:color w:val="0070C0"/>
          <w:sz w:val="16"/>
          <w:szCs w:val="16"/>
        </w:rPr>
        <w:softHyphen/>
        <w:t>ка. В Красной Речке дислоцировалась 12-я речная эскадрилья, развернутая из 68-го отряда; она тоже имела 12 С-62Б. По плану развития военной авиации на Дальнем Востоке предполагалось попол</w:t>
      </w:r>
      <w:r w:rsidRPr="00142305">
        <w:rPr>
          <w:rFonts w:ascii="Times New Roman" w:hAnsi="Times New Roman"/>
          <w:color w:val="0070C0"/>
          <w:sz w:val="16"/>
          <w:szCs w:val="16"/>
        </w:rPr>
        <w:softHyphen/>
        <w:t>нить состав ВВС МСДВ 31-й эскадрильей в Океанской. Амурская флотилия должна была получить 69-й речной отряд (де</w:t>
      </w:r>
      <w:r w:rsidRPr="00142305">
        <w:rPr>
          <w:rFonts w:ascii="Times New Roman" w:hAnsi="Times New Roman"/>
          <w:color w:val="0070C0"/>
          <w:sz w:val="16"/>
          <w:szCs w:val="16"/>
        </w:rPr>
        <w:softHyphen/>
        <w:t>сять машин). Последний действительно сформировали и укомплектовали «савойями».</w:t>
      </w:r>
    </w:p>
    <w:p w14:paraId="3E1CB32C"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втором месте по количеству италь</w:t>
      </w:r>
      <w:r w:rsidRPr="00142305">
        <w:rPr>
          <w:rFonts w:ascii="Times New Roman" w:hAnsi="Times New Roman"/>
          <w:color w:val="0070C0"/>
          <w:sz w:val="16"/>
          <w:szCs w:val="16"/>
        </w:rPr>
        <w:softHyphen/>
        <w:t>янских лодок в 1933 г. стоял Черномор</w:t>
      </w:r>
      <w:r w:rsidRPr="00142305">
        <w:rPr>
          <w:rFonts w:ascii="Times New Roman" w:hAnsi="Times New Roman"/>
          <w:color w:val="0070C0"/>
          <w:sz w:val="16"/>
          <w:szCs w:val="16"/>
        </w:rPr>
        <w:softHyphen/>
        <w:t>ский флот: там МБР-4 и С-62Б бази</w:t>
      </w:r>
      <w:r w:rsidRPr="00142305">
        <w:rPr>
          <w:rFonts w:ascii="Times New Roman" w:hAnsi="Times New Roman"/>
          <w:color w:val="0070C0"/>
          <w:sz w:val="16"/>
          <w:szCs w:val="16"/>
        </w:rPr>
        <w:softHyphen/>
        <w:t>ровались в Севастополе и Николаеве. Полностью ими укомплектовали 11-ю эскадрилью (12 машин), 65-й отряд (де</w:t>
      </w:r>
      <w:r w:rsidRPr="00142305">
        <w:rPr>
          <w:rFonts w:ascii="Times New Roman" w:hAnsi="Times New Roman"/>
          <w:color w:val="0070C0"/>
          <w:sz w:val="16"/>
          <w:szCs w:val="16"/>
        </w:rPr>
        <w:softHyphen/>
        <w:t>сять) и 2-й отряд волнового управления (шесть). 124-я эскадрилья находилась в стадии перевооружения и имела четыре поплавковых ТБ-1 а и восемь МБР-4.</w:t>
      </w:r>
    </w:p>
    <w:p w14:paraId="6E128542"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Балтике этих машин числилось сравнительно немного - только в 62-м отряде в Гребном порту в Ленинграде и 1-м отряде волнового управления (24948).</w:t>
      </w:r>
    </w:p>
    <w:p w14:paraId="578F32DB" w14:textId="77777777" w:rsidR="0041096C" w:rsidRPr="00142305" w:rsidRDefault="0041096C" w:rsidP="0041096C">
      <w:pPr>
        <w:spacing w:after="0" w:line="240" w:lineRule="auto"/>
        <w:jc w:val="both"/>
        <w:rPr>
          <w:rFonts w:ascii="Times New Roman" w:hAnsi="Times New Roman"/>
          <w:color w:val="0070C0"/>
          <w:sz w:val="16"/>
          <w:szCs w:val="16"/>
        </w:rPr>
      </w:pPr>
    </w:p>
    <w:p w14:paraId="4D574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 г. постановлением Реввоенсовета сформировали уже первые боевые подразделения торпедоносной авиации. Все они создавались на базе уже существующих эскадрилий. В их число вошли 121-я морская тяжелобомбардировочная эскадрилья (тбаэ) на Балтике (бывшая 62-я; по штату - 12 ТБ-1 а), отряд в составе 124-й морской тбаэ на Черном море (бывшая 63-я; 4 ТБ-1 а) и 1-я тбаэ (позднее именовалась 70-й и 109-й тяжелой) в составе Морских сил Дальнего Востока (12 ТБ-1 на колесах). В марте того же года эскадрилья, тогда еще имевшая 51-й номер, была переброшена в Хабаровск из Московского военного округа. Реально к декабрю 1932 г. ВВС РККА имели в общей сложности 11 самолетов, оснащенных для подвески торпед и мин: четыре на Черном море, столько же на Балтике и три на Дальнем Востоке. Для них на складах лежало 27 боевых торпед и четыре мины (12002).</w:t>
      </w:r>
    </w:p>
    <w:p w14:paraId="28BBA1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1C54AB" w14:textId="77777777" w:rsidR="007B1D3C" w:rsidRPr="00E93F40" w:rsidRDefault="00F773A6" w:rsidP="00E93F4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6E8EB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0A07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1932 г. Байкало-Амурскую магистраль строили всего 2500 чел. – десятая часть от требуемого минимума. Набрать людей на западе СССР и доставить их на строительство Байкало-Амурской магистрали было делом нелегким. Вербовка «организована прямо-таки преступно, – писал С.В. Мрачковский. – Плохо снабжаемые в дорогу и в дороге, лишенные питания на остановочных пунктах, рабочие либо разбегались в пути, либо… прибывали на строительство в неработоспособном состоянии» (11545).</w:t>
      </w:r>
    </w:p>
    <w:p w14:paraId="0722CF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8F4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середине 1932 г., когда нереальность поставленной задачи строительства БАМ становилась все более очевидной, стала активно обсуждаться идея свертывания строительства. Однако в октябре 1932 г. был найден иной путь выхода из сложившейся ситуации – передача сооружения Байкало-Амурской дороги из подчинения НКПС в ведение Объединенного государственного политического управления при СНК СССР (ОГПУ). Именно такой подход был подготовлен апрельскими решениями СНК СССР, подключившими к обеспечению БАМа рабочей силой три организации – Наркомат путей сообщения, Наркомат труда и ОГПУ. Расчет был </w:t>
      </w:r>
      <w:r w:rsidRPr="00E93F40">
        <w:rPr>
          <w:rFonts w:ascii="Times New Roman" w:hAnsi="Times New Roman"/>
          <w:color w:val="000000" w:themeColor="text1"/>
          <w:sz w:val="16"/>
          <w:szCs w:val="16"/>
        </w:rPr>
        <w:lastRenderedPageBreak/>
        <w:t>верным. Количество заключенных в исправительно-трудовых лагерях ОГПУ постоянно увеличивалось: в 1930 г. – 175 тыс., в 1933 г. – 334.300 чел. В 1934 г. ГУЛАГ насчитывал 510.307 чел., из них около четверти заключенных находилось в БАМЛАГе.</w:t>
      </w:r>
    </w:p>
    <w:p w14:paraId="5DEAA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БАМЛАГ представлял собой огромнейшее образование. В 1933 г. он вел строительство головного участка железной дороги от ст. Тахтамыгда до Тынды. Были проведены большие вспомогательные работы по обеспечению жилищно-коммунального фонда рабочего населения, по освоению территории. И все-таки БАМЛАГу не удалось выполнить решение бюро Далькрайкома ВКП(б) от 13 июня 1933 г. – завершить строительство головного участка БАМа к 1 января 1934 г. Лишь к 20-й годовщине Октября было открыто движение поездов на участке Бам – Тында. Подневольный труд истощенных, не обеспеченных самым необходимым заключенные оказался вопреки прогнозам «прорабов от НКВД» малоэффективным. А условия жизни в БАМЛАГ были поистине нечеловеческими. Об этом свидетельствуют, например, сохранившиеся заметки начальника управления НКВД СССР по Дальневосточному краю Т.Д. Дерибаса, побывавшего в августе 1934 г. на сооружении тракта: «Первое, что бросается в глаза, – это совершенно нечеловеческие условия труда, совершенно неслыханная нищета, убожество, как материально-бытового обеспечения, так и технического снабжения. Корчевку мелкого кустарника, пней люди вели голыми руками и босыми ногами, и без рубашек, в одних трусах, без единой рукавицы, без постельных принадлежностей и еще во многих местах без кипяченой воды» (11545).</w:t>
      </w:r>
    </w:p>
    <w:p w14:paraId="0E7F6E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B79EBD" w14:textId="0403D155" w:rsidR="0041096C" w:rsidRPr="00E93F40" w:rsidRDefault="0041096C" w:rsidP="0041096C">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E93F40">
        <w:rPr>
          <w:rFonts w:ascii="Times New Roman" w:hAnsi="Times New Roman"/>
          <w:i/>
          <w:iCs/>
          <w:color w:val="000000" w:themeColor="text1"/>
          <w:sz w:val="16"/>
          <w:szCs w:val="16"/>
        </w:rPr>
        <w:t>:</w:t>
      </w:r>
    </w:p>
    <w:p w14:paraId="3E5172BB" w14:textId="77777777" w:rsidR="0041096C" w:rsidRPr="00E93F40" w:rsidRDefault="0041096C" w:rsidP="0041096C">
      <w:pPr>
        <w:autoSpaceDE w:val="0"/>
        <w:autoSpaceDN w:val="0"/>
        <w:adjustRightInd w:val="0"/>
        <w:spacing w:after="0" w:line="240" w:lineRule="auto"/>
        <w:jc w:val="both"/>
        <w:rPr>
          <w:rFonts w:ascii="Times New Roman" w:hAnsi="Times New Roman"/>
          <w:iCs/>
          <w:color w:val="000000" w:themeColor="text1"/>
          <w:sz w:val="16"/>
          <w:szCs w:val="16"/>
        </w:rPr>
      </w:pPr>
    </w:p>
    <w:p w14:paraId="57C4532B"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1932 года Рене Кузине встретился с новым директором компании Aeropostale господином Дотри (Dautry) и предложил ему использовать Couzinet 70, зарегистрированный как F-AMBV, для перевозки почты, а также оплатить все экс</w:t>
      </w:r>
      <w:r w:rsidRPr="00142305">
        <w:rPr>
          <w:rFonts w:ascii="Times New Roman" w:hAnsi="Times New Roman"/>
          <w:color w:val="0070C0"/>
          <w:sz w:val="16"/>
          <w:szCs w:val="16"/>
        </w:rPr>
        <w:softHyphen/>
        <w:t>плуатационные расходы за двойное (туда и обратно) экспериментальное пересечение Южной Атлантики. При этом Кузине хотел, чтобы перелет был совершен Жаном Мер- мозом. Генеральный секретарь компании Aeropostale Эльбронер (Helbronner) орга</w:t>
      </w:r>
      <w:r w:rsidRPr="00142305">
        <w:rPr>
          <w:rFonts w:ascii="Times New Roman" w:hAnsi="Times New Roman"/>
          <w:color w:val="0070C0"/>
          <w:sz w:val="16"/>
          <w:szCs w:val="16"/>
        </w:rPr>
        <w:softHyphen/>
        <w:t>низовал встречу Кузине и Мермоза. Это знакомство быстро переросло в крепкую дружбу.</w:t>
      </w:r>
    </w:p>
    <w:p w14:paraId="21B76FC4"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Новый самолет обладал теми харак</w:t>
      </w:r>
      <w:r w:rsidRPr="00142305">
        <w:rPr>
          <w:rFonts w:ascii="Times New Roman" w:hAnsi="Times New Roman"/>
          <w:color w:val="0070C0"/>
          <w:sz w:val="16"/>
          <w:szCs w:val="16"/>
        </w:rPr>
        <w:softHyphen/>
        <w:t>теристиками, о которых мечтал Мермоз: крейсерская скорость свыше 200 км/ч, дальность полета свыше 3 200 км и до</w:t>
      </w:r>
      <w:r w:rsidRPr="00142305">
        <w:rPr>
          <w:rFonts w:ascii="Times New Roman" w:hAnsi="Times New Roman"/>
          <w:color w:val="0070C0"/>
          <w:sz w:val="16"/>
          <w:szCs w:val="16"/>
        </w:rPr>
        <w:softHyphen/>
        <w:t>ступ к навесному оборудованию всех трех двигателей. Без самолета Кузине Мермоз не видел другой возможности сохранить трансокеанскую авиалинию Дакар - Наталь. В свою очередь, без Мермоза и его славы Кузине не имел шансов увидеть триумф созданного им самолета (24916).</w:t>
      </w:r>
    </w:p>
    <w:p w14:paraId="15476F33" w14:textId="77777777" w:rsidR="0041096C" w:rsidRPr="00142305" w:rsidRDefault="0041096C" w:rsidP="0041096C">
      <w:pPr>
        <w:spacing w:after="0" w:line="240" w:lineRule="auto"/>
        <w:jc w:val="both"/>
        <w:rPr>
          <w:rFonts w:ascii="Times New Roman" w:hAnsi="Times New Roman"/>
          <w:color w:val="0070C0"/>
          <w:sz w:val="16"/>
          <w:szCs w:val="16"/>
        </w:rPr>
      </w:pPr>
    </w:p>
    <w:p w14:paraId="791C3ACB" w14:textId="77777777" w:rsidR="0041096C" w:rsidRPr="00E93F40" w:rsidRDefault="0041096C" w:rsidP="0041096C">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B086718" w14:textId="77777777" w:rsidR="0041096C" w:rsidRPr="00E93F40" w:rsidRDefault="0041096C" w:rsidP="0041096C">
      <w:pPr>
        <w:autoSpaceDE w:val="0"/>
        <w:autoSpaceDN w:val="0"/>
        <w:adjustRightInd w:val="0"/>
        <w:spacing w:after="0" w:line="240" w:lineRule="auto"/>
        <w:jc w:val="both"/>
        <w:rPr>
          <w:rFonts w:ascii="Times New Roman" w:hAnsi="Times New Roman"/>
          <w:iCs/>
          <w:color w:val="000000" w:themeColor="text1"/>
          <w:sz w:val="16"/>
          <w:szCs w:val="16"/>
        </w:rPr>
      </w:pPr>
    </w:p>
    <w:p w14:paraId="2AEB7EB2"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первой половине 1932 г. года завершили поставку АНТ-9 в ВВС, сдав один самолет. Военные принимали только с «рай</w:t>
      </w:r>
      <w:r w:rsidRPr="00142305">
        <w:rPr>
          <w:rFonts w:ascii="Times New Roman" w:hAnsi="Times New Roman"/>
          <w:color w:val="0070C0"/>
          <w:sz w:val="16"/>
          <w:szCs w:val="16"/>
        </w:rPr>
        <w:softHyphen/>
        <w:t>тами». От АНТ-9 заказа ВО ГВФ они конструктивно ничем не отличались. Далее все самолеты собирали только для гражданской авиации. Всего до конца го</w:t>
      </w:r>
      <w:r w:rsidRPr="00142305">
        <w:rPr>
          <w:rFonts w:ascii="Times New Roman" w:hAnsi="Times New Roman"/>
          <w:color w:val="0070C0"/>
          <w:sz w:val="16"/>
          <w:szCs w:val="16"/>
        </w:rPr>
        <w:softHyphen/>
        <w:t>да изготовили 27 экземпляров и на этом выпуск на заводе № 22 прекратили - тре</w:t>
      </w:r>
      <w:r w:rsidRPr="00142305">
        <w:rPr>
          <w:rFonts w:ascii="Times New Roman" w:hAnsi="Times New Roman"/>
          <w:color w:val="0070C0"/>
          <w:sz w:val="16"/>
          <w:szCs w:val="16"/>
        </w:rPr>
        <w:softHyphen/>
        <w:t>бовалось наращивать производство четы</w:t>
      </w:r>
      <w:r w:rsidRPr="00142305">
        <w:rPr>
          <w:rFonts w:ascii="Times New Roman" w:hAnsi="Times New Roman"/>
          <w:color w:val="0070C0"/>
          <w:sz w:val="16"/>
          <w:szCs w:val="16"/>
        </w:rPr>
        <w:softHyphen/>
        <w:t>рехмоторных бомбардировщиков ТБ-3.</w:t>
      </w:r>
    </w:p>
    <w:p w14:paraId="27684623" w14:textId="77777777" w:rsidR="0041096C" w:rsidRPr="00142305" w:rsidRDefault="0041096C" w:rsidP="004109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Производство АНТ-9 перенесли на за</w:t>
      </w:r>
      <w:r w:rsidRPr="00142305">
        <w:rPr>
          <w:rFonts w:ascii="Times New Roman" w:hAnsi="Times New Roman"/>
          <w:color w:val="0070C0"/>
          <w:sz w:val="16"/>
          <w:szCs w:val="16"/>
        </w:rPr>
        <w:softHyphen/>
        <w:t>вод № 31 в Таганроге; туда перевезли весь задел из Филей. На заводе № 31 осваи</w:t>
      </w:r>
      <w:r w:rsidRPr="00142305">
        <w:rPr>
          <w:rFonts w:ascii="Times New Roman" w:hAnsi="Times New Roman"/>
          <w:color w:val="0070C0"/>
          <w:sz w:val="16"/>
          <w:szCs w:val="16"/>
        </w:rPr>
        <w:softHyphen/>
        <w:t>вали тогда одновременно пять типов ма</w:t>
      </w:r>
      <w:r w:rsidRPr="00142305">
        <w:rPr>
          <w:rFonts w:ascii="Times New Roman" w:hAnsi="Times New Roman"/>
          <w:color w:val="0070C0"/>
          <w:sz w:val="16"/>
          <w:szCs w:val="16"/>
        </w:rPr>
        <w:softHyphen/>
        <w:t>шин, причем туполевский самолет являлся из них наиболее сложным. Более того, это была первая цельнометаллическая машина, которую строили в Таганроге. Сначала предполагалось, что весь вы</w:t>
      </w:r>
      <w:r w:rsidRPr="00142305">
        <w:rPr>
          <w:rFonts w:ascii="Times New Roman" w:hAnsi="Times New Roman"/>
          <w:color w:val="0070C0"/>
          <w:sz w:val="16"/>
          <w:szCs w:val="16"/>
        </w:rPr>
        <w:softHyphen/>
        <w:t>пуск завода № 31 уйдет ВВС. Но уже в конце августа 1932 г. заказчик отказался принимать самолеты с моторами М-26. За 1932 г. в Таганроге собрали пять АНТ-9, а затем работу свернули. В дальнейшем на этом предприятии стали специализиро</w:t>
      </w:r>
      <w:r w:rsidRPr="00142305">
        <w:rPr>
          <w:rFonts w:ascii="Times New Roman" w:hAnsi="Times New Roman"/>
          <w:color w:val="0070C0"/>
          <w:sz w:val="16"/>
          <w:szCs w:val="16"/>
        </w:rPr>
        <w:softHyphen/>
        <w:t>ваться на технике для морской авиации. Но мало иметь желание получить новые самолеты, надо, чтобы кто-то взялся их изготовить. А все самолетостроительные заводы страны входили в перегруженный заказами Авиатрест, который наотрез от</w:t>
      </w:r>
      <w:r w:rsidRPr="00142305">
        <w:rPr>
          <w:rFonts w:ascii="Times New Roman" w:hAnsi="Times New Roman"/>
          <w:color w:val="0070C0"/>
          <w:sz w:val="16"/>
          <w:szCs w:val="16"/>
        </w:rPr>
        <w:softHyphen/>
        <w:t>казывался выпускать АНТ-9 (24949).</w:t>
      </w:r>
    </w:p>
    <w:p w14:paraId="66576D87" w14:textId="77777777" w:rsidR="0041096C" w:rsidRPr="00142305" w:rsidRDefault="0041096C" w:rsidP="0041096C">
      <w:pPr>
        <w:spacing w:after="0" w:line="240" w:lineRule="auto"/>
        <w:jc w:val="both"/>
        <w:rPr>
          <w:rFonts w:ascii="Times New Roman" w:hAnsi="Times New Roman"/>
          <w:color w:val="0070C0"/>
          <w:sz w:val="16"/>
          <w:szCs w:val="16"/>
        </w:rPr>
      </w:pPr>
    </w:p>
    <w:p w14:paraId="0EC7274D" w14:textId="1339687D" w:rsidR="00E02366" w:rsidRDefault="00E02366" w:rsidP="00E93F40">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Аомия:</w:t>
      </w:r>
    </w:p>
    <w:p w14:paraId="4AB7CC32" w14:textId="77777777" w:rsidR="00E02366" w:rsidRDefault="00E02366"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29207B00" w14:textId="77777777" w:rsidR="00E02366" w:rsidRPr="00142305" w:rsidRDefault="00E02366" w:rsidP="00E0236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первой половине 1932 г. значительное внимание было уделено организации службы воздушного наблюдения, оповещения и связи (ВНОС) — свыше 70 основных и вспомогательных постов двумя полукольцами развернули с севера на юг на удалении до 300 и до 100 км от Москвы. На основе доклада начальника пункта П ВО столицы Н. В. Щеглова Военный совет МВО обратился к наркому обороны К. Е. Ворошилову с просьбой усилить оборону путем увеличения активных средств ПВО. В течение следующего года столице был определен штатный состав из 77 истребителей (ранее их в системе противовоздушной обороны не имелось вовсе), 66 зенитных орудий, 108 зенитных пулеметов, 36 прожекторных станций. Количество постов ВНОС доводилось до 157 (25130).</w:t>
      </w:r>
    </w:p>
    <w:p w14:paraId="5E1B8AB6" w14:textId="77777777" w:rsidR="00E02366" w:rsidRPr="00142305" w:rsidRDefault="00E02366" w:rsidP="00E02366">
      <w:pPr>
        <w:spacing w:after="0" w:line="240" w:lineRule="auto"/>
        <w:jc w:val="both"/>
        <w:rPr>
          <w:rFonts w:ascii="Times New Roman" w:hAnsi="Times New Roman"/>
          <w:color w:val="0070C0"/>
          <w:sz w:val="16"/>
          <w:szCs w:val="16"/>
        </w:rPr>
      </w:pPr>
    </w:p>
    <w:p w14:paraId="49C90F46" w14:textId="093B805B"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15BC18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1B39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июлю 1932 в СССР прибыли все 50 заказанных итальянских лл S.62 и последние 10 на передней турели имели пушку Эрликон 20 мм. Оказались неудобными и их заменили на пулеметы (2446,41).</w:t>
      </w:r>
    </w:p>
    <w:p w14:paraId="4787E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FC6F3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643C5D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0A4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состоялось заседание комиссии по рассмотрению плана опытного моторостроения и самолетостроения (351). Решили план опытного моторостроения утвердить, но уточнить сроки по ФЭД. По плану опытного самолетостроения констатировали разногласия по N 6 К1 3М-34 по сроку и N 8 ЛР М-34 по скорости. В остальном утвердили. Приняли проект постановления КО Союза ССР по опытному моторо-самолетостроению. Разногласия были по возражению С.А.Меженинова по поводу откомандирования работников Военведа в ЦАГИ и предоставления в распоряжение ЦАГИ части территории на Ходынском Аэродроме, принадлежащих Артскладу и Константиновской бухты в Севастополе (351).</w:t>
      </w:r>
    </w:p>
    <w:p w14:paraId="737F0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проекту постановления КО важно, что в области самолетостроения приоритеты установили следующие:</w:t>
      </w:r>
    </w:p>
    <w:p w14:paraId="6B3908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создание типов вполне современных истребителей одно и многоместных,</w:t>
      </w:r>
    </w:p>
    <w:p w14:paraId="05F72B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формирование работ по постройке образцов тяжелого бомбардировщика (ТБ4),</w:t>
      </w:r>
    </w:p>
    <w:p w14:paraId="764E7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создание типов морских лодочных самолетов (МК1, МДР и др.) (351).</w:t>
      </w:r>
    </w:p>
    <w:p w14:paraId="3C125C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области моторостроения:</w:t>
      </w:r>
    </w:p>
    <w:p w14:paraId="27672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3C6DAE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создание типов истребительных моторов М-38 воздушного охлаждения и М-32 водяного охлаждения;</w:t>
      </w:r>
    </w:p>
    <w:p w14:paraId="56BF9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мощных двигателей;</w:t>
      </w:r>
    </w:p>
    <w:p w14:paraId="0E268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 мощным бензиновым - первоочередная задача постройка М-44;</w:t>
      </w:r>
    </w:p>
    <w:p w14:paraId="76788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обязать ОКБ продолжить работы по ФЭД (351).</w:t>
      </w:r>
    </w:p>
    <w:p w14:paraId="08B97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F0C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 был подготовлен:</w:t>
      </w:r>
    </w:p>
    <w:p w14:paraId="063D0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заседания комиссии по рассмотрению плана опытного моторо и самолетостроения</w:t>
      </w:r>
    </w:p>
    <w:p w14:paraId="6F4400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Присутствовали:</w:t>
      </w:r>
    </w:p>
    <w:p w14:paraId="1ECEFC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Баранов, Алкснис, Меженинов, Алмазов, Харламов, Туполев, Горощенко, Побережский, Беляевский, Надашкевич, Берг, Мошкевич</w:t>
      </w:r>
    </w:p>
    <w:p w14:paraId="05BF5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w:t>
      </w:r>
    </w:p>
    <w:p w14:paraId="18BBAB0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моторо и самолетостроения.</w:t>
      </w:r>
    </w:p>
    <w:p w14:paraId="729D85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w:t>
      </w:r>
    </w:p>
    <w:p w14:paraId="2023349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моторостроения утвердить полностью.</w:t>
      </w:r>
    </w:p>
    <w:p w14:paraId="01A61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окончательном утверждении сроков выпуска мотора ФЭД вызвать представителя ОКБ.</w:t>
      </w:r>
    </w:p>
    <w:p w14:paraId="5C29E20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опытного самолетостроения констатировать следующие разногласия:</w:t>
      </w:r>
    </w:p>
    <w:p w14:paraId="4DD218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 6 – К1 2М-34: срок ГУАПа – 1 марта 1934 года; срок ВВС – 1 июля ….</w:t>
      </w:r>
    </w:p>
    <w:p w14:paraId="0FF5E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 8 ЛР М-34: скорость ГУАПа – 300-310 км/час; скорость ВВС – 350-3…</w:t>
      </w:r>
    </w:p>
    <w:p w14:paraId="681883C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остальном план утвердить.</w:t>
      </w:r>
    </w:p>
    <w:p w14:paraId="0F83EB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w:t>
      </w:r>
    </w:p>
    <w:p w14:paraId="52FE578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постановления КО по опытному моторо-самолетостроению.</w:t>
      </w:r>
    </w:p>
    <w:p w14:paraId="0271E3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w:t>
      </w:r>
    </w:p>
    <w:p w14:paraId="663E6F3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Констатировать следующие разногласия:</w:t>
      </w:r>
    </w:p>
    <w:p w14:paraId="043E89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Меженинов возражает против оставления в проекте п.п. 3 – об откомандировании работников Военведа в ЦАГИ; п.п. 8 – о предоставлении в распоряжение ЦАГИ части территории на Ходынском аэродроме, принадлежащей Артскладу, Константиновской бухты в Севастополе.</w:t>
      </w:r>
    </w:p>
    <w:p w14:paraId="6E3EF36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остальном проект принимается.</w:t>
      </w:r>
    </w:p>
    <w:p w14:paraId="000BFB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(Председатель Баранов) (3530,32).</w:t>
      </w:r>
    </w:p>
    <w:p w14:paraId="66ABE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 УВВС по моторам на 1932-33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1"/>
        <w:gridCol w:w="931"/>
        <w:gridCol w:w="850"/>
        <w:gridCol w:w="851"/>
        <w:gridCol w:w="850"/>
        <w:gridCol w:w="851"/>
        <w:gridCol w:w="850"/>
        <w:gridCol w:w="1985"/>
        <w:gridCol w:w="1134"/>
      </w:tblGrid>
      <w:tr w:rsidR="00DA227A" w:rsidRPr="00E93F40" w14:paraId="1D2760B2" w14:textId="77777777">
        <w:tc>
          <w:tcPr>
            <w:tcW w:w="1871" w:type="dxa"/>
          </w:tcPr>
          <w:p w14:paraId="6BCEFE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Марка мотора</w:t>
            </w:r>
          </w:p>
        </w:tc>
        <w:tc>
          <w:tcPr>
            <w:tcW w:w="931" w:type="dxa"/>
          </w:tcPr>
          <w:p w14:paraId="7F01E6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850" w:type="dxa"/>
          </w:tcPr>
          <w:p w14:paraId="0700C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851" w:type="dxa"/>
          </w:tcPr>
          <w:p w14:paraId="4489C7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850" w:type="dxa"/>
          </w:tcPr>
          <w:p w14:paraId="74B499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851" w:type="dxa"/>
          </w:tcPr>
          <w:p w14:paraId="4F7E56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Расход горючего</w:t>
            </w:r>
          </w:p>
        </w:tc>
        <w:tc>
          <w:tcPr>
            <w:tcW w:w="850" w:type="dxa"/>
          </w:tcPr>
          <w:p w14:paraId="3CBCA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час. между переборками</w:t>
            </w:r>
          </w:p>
        </w:tc>
        <w:tc>
          <w:tcPr>
            <w:tcW w:w="1985" w:type="dxa"/>
          </w:tcPr>
          <w:p w14:paraId="2D954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выхода на государственные и заводские испытания</w:t>
            </w:r>
          </w:p>
        </w:tc>
        <w:tc>
          <w:tcPr>
            <w:tcW w:w="1134" w:type="dxa"/>
          </w:tcPr>
          <w:p w14:paraId="52763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Исполнитель</w:t>
            </w:r>
          </w:p>
        </w:tc>
      </w:tr>
      <w:tr w:rsidR="00DA227A" w:rsidRPr="00E93F40" w14:paraId="675F4451" w14:textId="77777777">
        <w:tc>
          <w:tcPr>
            <w:tcW w:w="1871" w:type="dxa"/>
          </w:tcPr>
          <w:p w14:paraId="0AB55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Бензиновые моторы.</w:t>
            </w:r>
          </w:p>
        </w:tc>
        <w:tc>
          <w:tcPr>
            <w:tcW w:w="931" w:type="dxa"/>
          </w:tcPr>
          <w:p w14:paraId="69951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EB2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FF5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C96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6079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3333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EDE08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6FF9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4FBEC2" w14:textId="77777777">
        <w:tc>
          <w:tcPr>
            <w:tcW w:w="1871" w:type="dxa"/>
          </w:tcPr>
          <w:p w14:paraId="4CCCD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ФЭД (с нагнетателем)</w:t>
            </w:r>
          </w:p>
        </w:tc>
        <w:tc>
          <w:tcPr>
            <w:tcW w:w="931" w:type="dxa"/>
          </w:tcPr>
          <w:p w14:paraId="68879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34DFF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1100-1200</w:t>
            </w:r>
          </w:p>
        </w:tc>
        <w:tc>
          <w:tcPr>
            <w:tcW w:w="851" w:type="dxa"/>
          </w:tcPr>
          <w:p w14:paraId="0F4BE8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850" w:type="dxa"/>
          </w:tcPr>
          <w:p w14:paraId="6E2B7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851" w:type="dxa"/>
          </w:tcPr>
          <w:p w14:paraId="1439D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0ADCDA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55A98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 – государственные</w:t>
            </w:r>
          </w:p>
        </w:tc>
        <w:tc>
          <w:tcPr>
            <w:tcW w:w="1134" w:type="dxa"/>
          </w:tcPr>
          <w:p w14:paraId="64D8A5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r>
      <w:tr w:rsidR="00DA227A" w:rsidRPr="00E93F40" w14:paraId="336139E7" w14:textId="77777777">
        <w:tc>
          <w:tcPr>
            <w:tcW w:w="1871" w:type="dxa"/>
          </w:tcPr>
          <w:p w14:paraId="1C5609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 (с нагнетателем)</w:t>
            </w:r>
          </w:p>
        </w:tc>
        <w:tc>
          <w:tcPr>
            <w:tcW w:w="931" w:type="dxa"/>
          </w:tcPr>
          <w:p w14:paraId="2BA7B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5C425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788C7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409D7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745E3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5DD590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6527CF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года – государственные</w:t>
            </w:r>
          </w:p>
        </w:tc>
        <w:tc>
          <w:tcPr>
            <w:tcW w:w="1134" w:type="dxa"/>
          </w:tcPr>
          <w:p w14:paraId="43587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5085E20A" w14:textId="77777777">
        <w:tc>
          <w:tcPr>
            <w:tcW w:w="1871" w:type="dxa"/>
          </w:tcPr>
          <w:p w14:paraId="33F726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 (с редуктором)</w:t>
            </w:r>
          </w:p>
        </w:tc>
        <w:tc>
          <w:tcPr>
            <w:tcW w:w="931" w:type="dxa"/>
          </w:tcPr>
          <w:p w14:paraId="2B82CB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53C1EE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51EF6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68B8B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112A1F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w:t>
            </w:r>
          </w:p>
        </w:tc>
        <w:tc>
          <w:tcPr>
            <w:tcW w:w="850" w:type="dxa"/>
          </w:tcPr>
          <w:p w14:paraId="1810B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54B2F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сентября 1932 года – заводские, 15 ноября 1932 года – государственные</w:t>
            </w:r>
          </w:p>
        </w:tc>
        <w:tc>
          <w:tcPr>
            <w:tcW w:w="1134" w:type="dxa"/>
          </w:tcPr>
          <w:p w14:paraId="70218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398E2079" w14:textId="77777777">
        <w:tc>
          <w:tcPr>
            <w:tcW w:w="1871" w:type="dxa"/>
          </w:tcPr>
          <w:p w14:paraId="3B3D8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 РН</w:t>
            </w:r>
          </w:p>
        </w:tc>
        <w:tc>
          <w:tcPr>
            <w:tcW w:w="931" w:type="dxa"/>
          </w:tcPr>
          <w:p w14:paraId="43550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31202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3AAC89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08334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w:t>
            </w:r>
          </w:p>
        </w:tc>
        <w:tc>
          <w:tcPr>
            <w:tcW w:w="851" w:type="dxa"/>
          </w:tcPr>
          <w:p w14:paraId="331B94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4411D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7AEEA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w:t>
            </w:r>
          </w:p>
        </w:tc>
        <w:tc>
          <w:tcPr>
            <w:tcW w:w="1134" w:type="dxa"/>
          </w:tcPr>
          <w:p w14:paraId="3090A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B45EDC2" w14:textId="77777777">
        <w:tc>
          <w:tcPr>
            <w:tcW w:w="1871" w:type="dxa"/>
          </w:tcPr>
          <w:p w14:paraId="1C8098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 (с электр. кар.)</w:t>
            </w:r>
          </w:p>
        </w:tc>
        <w:tc>
          <w:tcPr>
            <w:tcW w:w="931" w:type="dxa"/>
          </w:tcPr>
          <w:p w14:paraId="0C645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0A7D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43218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793CB8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w:t>
            </w:r>
          </w:p>
        </w:tc>
        <w:tc>
          <w:tcPr>
            <w:tcW w:w="851" w:type="dxa"/>
          </w:tcPr>
          <w:p w14:paraId="298449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530604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28EA8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 государственные</w:t>
            </w:r>
          </w:p>
        </w:tc>
        <w:tc>
          <w:tcPr>
            <w:tcW w:w="1134" w:type="dxa"/>
          </w:tcPr>
          <w:p w14:paraId="49213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C49332F" w14:textId="77777777">
        <w:tc>
          <w:tcPr>
            <w:tcW w:w="1871" w:type="dxa"/>
          </w:tcPr>
          <w:p w14:paraId="64BED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 (с реверсом)</w:t>
            </w:r>
          </w:p>
        </w:tc>
        <w:tc>
          <w:tcPr>
            <w:tcW w:w="931" w:type="dxa"/>
          </w:tcPr>
          <w:p w14:paraId="08FD8E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23D8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0E146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40B77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w:t>
            </w:r>
          </w:p>
        </w:tc>
        <w:tc>
          <w:tcPr>
            <w:tcW w:w="851" w:type="dxa"/>
          </w:tcPr>
          <w:p w14:paraId="5A1024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38427F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6A2507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 – государственные</w:t>
            </w:r>
          </w:p>
        </w:tc>
        <w:tc>
          <w:tcPr>
            <w:tcW w:w="1134" w:type="dxa"/>
          </w:tcPr>
          <w:p w14:paraId="29938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49C6F3EB" w14:textId="77777777">
        <w:tc>
          <w:tcPr>
            <w:tcW w:w="1871" w:type="dxa"/>
          </w:tcPr>
          <w:p w14:paraId="3F3D4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(с нагнетателем)</w:t>
            </w:r>
          </w:p>
        </w:tc>
        <w:tc>
          <w:tcPr>
            <w:tcW w:w="931" w:type="dxa"/>
          </w:tcPr>
          <w:p w14:paraId="2D235E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40DCDE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7456D8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42BBAD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851" w:type="dxa"/>
          </w:tcPr>
          <w:p w14:paraId="34F8A7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42382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7FAEC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 – государственные</w:t>
            </w:r>
          </w:p>
        </w:tc>
        <w:tc>
          <w:tcPr>
            <w:tcW w:w="1134" w:type="dxa"/>
          </w:tcPr>
          <w:p w14:paraId="6F9BD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743EFFA" w14:textId="77777777">
        <w:tc>
          <w:tcPr>
            <w:tcW w:w="1871" w:type="dxa"/>
          </w:tcPr>
          <w:p w14:paraId="70884E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(с нагнетателем и редуктором)</w:t>
            </w:r>
          </w:p>
        </w:tc>
        <w:tc>
          <w:tcPr>
            <w:tcW w:w="931" w:type="dxa"/>
          </w:tcPr>
          <w:p w14:paraId="3825F2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22E36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09BE48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63FC76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430</w:t>
            </w:r>
          </w:p>
        </w:tc>
        <w:tc>
          <w:tcPr>
            <w:tcW w:w="851" w:type="dxa"/>
          </w:tcPr>
          <w:p w14:paraId="67565C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77191F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19D0B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 – заводские</w:t>
            </w:r>
          </w:p>
        </w:tc>
        <w:tc>
          <w:tcPr>
            <w:tcW w:w="1134" w:type="dxa"/>
          </w:tcPr>
          <w:p w14:paraId="77CD3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32206E65" w14:textId="77777777">
        <w:tc>
          <w:tcPr>
            <w:tcW w:w="1871" w:type="dxa"/>
          </w:tcPr>
          <w:p w14:paraId="245A1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М35 (с нагнетателем и редуктором)</w:t>
            </w:r>
          </w:p>
        </w:tc>
        <w:tc>
          <w:tcPr>
            <w:tcW w:w="931" w:type="dxa"/>
          </w:tcPr>
          <w:p w14:paraId="2E64F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73020B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1500-1800</w:t>
            </w:r>
          </w:p>
        </w:tc>
        <w:tc>
          <w:tcPr>
            <w:tcW w:w="851" w:type="dxa"/>
          </w:tcPr>
          <w:p w14:paraId="308BC5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7D1A8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851" w:type="dxa"/>
          </w:tcPr>
          <w:p w14:paraId="7CFE5A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44F2A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985" w:type="dxa"/>
          </w:tcPr>
          <w:p w14:paraId="2D29E3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1933 года – заводские</w:t>
            </w:r>
          </w:p>
        </w:tc>
        <w:tc>
          <w:tcPr>
            <w:tcW w:w="1134" w:type="dxa"/>
          </w:tcPr>
          <w:p w14:paraId="3B0B0D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51E25EFC" w14:textId="77777777">
        <w:tc>
          <w:tcPr>
            <w:tcW w:w="1871" w:type="dxa"/>
          </w:tcPr>
          <w:p w14:paraId="2137E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 (с нагнетателем и редуктором)</w:t>
            </w:r>
          </w:p>
        </w:tc>
        <w:tc>
          <w:tcPr>
            <w:tcW w:w="931" w:type="dxa"/>
          </w:tcPr>
          <w:p w14:paraId="78241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1B8C11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6784E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6F945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851" w:type="dxa"/>
          </w:tcPr>
          <w:p w14:paraId="29C22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197779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17742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 – государственные</w:t>
            </w:r>
          </w:p>
        </w:tc>
        <w:tc>
          <w:tcPr>
            <w:tcW w:w="1134" w:type="dxa"/>
          </w:tcPr>
          <w:p w14:paraId="5F015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2E00C9BA" w14:textId="77777777">
        <w:tc>
          <w:tcPr>
            <w:tcW w:w="1871" w:type="dxa"/>
          </w:tcPr>
          <w:p w14:paraId="7462D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М44 (с нагнетателем)</w:t>
            </w:r>
          </w:p>
        </w:tc>
        <w:tc>
          <w:tcPr>
            <w:tcW w:w="931" w:type="dxa"/>
          </w:tcPr>
          <w:p w14:paraId="0FDC9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1BC1D2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51" w:type="dxa"/>
          </w:tcPr>
          <w:p w14:paraId="75AF0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50" w:type="dxa"/>
          </w:tcPr>
          <w:p w14:paraId="57591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51" w:type="dxa"/>
          </w:tcPr>
          <w:p w14:paraId="106104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75092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985" w:type="dxa"/>
          </w:tcPr>
          <w:p w14:paraId="7A8A9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1933 года – заводские, 1 июля 1933 года – государственные</w:t>
            </w:r>
          </w:p>
        </w:tc>
        <w:tc>
          <w:tcPr>
            <w:tcW w:w="1134" w:type="dxa"/>
          </w:tcPr>
          <w:p w14:paraId="31BCA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470F3C1A" w14:textId="77777777">
        <w:tc>
          <w:tcPr>
            <w:tcW w:w="1871" w:type="dxa"/>
          </w:tcPr>
          <w:p w14:paraId="6F47A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w:t>
            </w:r>
          </w:p>
        </w:tc>
        <w:tc>
          <w:tcPr>
            <w:tcW w:w="931" w:type="dxa"/>
          </w:tcPr>
          <w:p w14:paraId="2A7560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74153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350-400</w:t>
            </w:r>
          </w:p>
        </w:tc>
        <w:tc>
          <w:tcPr>
            <w:tcW w:w="851" w:type="dxa"/>
          </w:tcPr>
          <w:p w14:paraId="6CDA84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1623C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51" w:type="dxa"/>
          </w:tcPr>
          <w:p w14:paraId="76DD7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c>
          <w:tcPr>
            <w:tcW w:w="850" w:type="dxa"/>
          </w:tcPr>
          <w:p w14:paraId="2870B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985" w:type="dxa"/>
          </w:tcPr>
          <w:p w14:paraId="066321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 – государственные</w:t>
            </w:r>
          </w:p>
        </w:tc>
        <w:tc>
          <w:tcPr>
            <w:tcW w:w="1134" w:type="dxa"/>
          </w:tcPr>
          <w:p w14:paraId="2414A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404A5609" w14:textId="77777777">
        <w:tc>
          <w:tcPr>
            <w:tcW w:w="1871" w:type="dxa"/>
          </w:tcPr>
          <w:p w14:paraId="2E8180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М54 (форсированный М34)</w:t>
            </w:r>
          </w:p>
        </w:tc>
        <w:tc>
          <w:tcPr>
            <w:tcW w:w="931" w:type="dxa"/>
          </w:tcPr>
          <w:p w14:paraId="3939B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759B4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851" w:type="dxa"/>
          </w:tcPr>
          <w:p w14:paraId="62416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036C74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72AE0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1A9406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3BD58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w:t>
            </w:r>
          </w:p>
        </w:tc>
        <w:tc>
          <w:tcPr>
            <w:tcW w:w="1134" w:type="dxa"/>
          </w:tcPr>
          <w:p w14:paraId="0A9CE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7F7B8BDE" w14:textId="77777777">
        <w:tc>
          <w:tcPr>
            <w:tcW w:w="1871" w:type="dxa"/>
          </w:tcPr>
          <w:p w14:paraId="7ED373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М55 (перевернутый М34)</w:t>
            </w:r>
          </w:p>
        </w:tc>
        <w:tc>
          <w:tcPr>
            <w:tcW w:w="931" w:type="dxa"/>
          </w:tcPr>
          <w:p w14:paraId="10FA6D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723806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6A684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3D74B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421BE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42734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150 </w:t>
            </w:r>
          </w:p>
        </w:tc>
        <w:tc>
          <w:tcPr>
            <w:tcW w:w="1985" w:type="dxa"/>
          </w:tcPr>
          <w:p w14:paraId="5AF59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Август-октябрь 1933 года – заводские</w:t>
            </w:r>
          </w:p>
        </w:tc>
        <w:tc>
          <w:tcPr>
            <w:tcW w:w="1134" w:type="dxa"/>
          </w:tcPr>
          <w:p w14:paraId="1A0CF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705562A3" w14:textId="77777777">
        <w:tc>
          <w:tcPr>
            <w:tcW w:w="1871" w:type="dxa"/>
          </w:tcPr>
          <w:p w14:paraId="41B1B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М48</w:t>
            </w:r>
          </w:p>
        </w:tc>
        <w:tc>
          <w:tcPr>
            <w:tcW w:w="931" w:type="dxa"/>
          </w:tcPr>
          <w:p w14:paraId="5AEA1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62673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w:t>
            </w:r>
          </w:p>
        </w:tc>
        <w:tc>
          <w:tcPr>
            <w:tcW w:w="851" w:type="dxa"/>
          </w:tcPr>
          <w:p w14:paraId="2BBED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53D35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851" w:type="dxa"/>
          </w:tcPr>
          <w:p w14:paraId="6D98E9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1E4C00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64C0F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августа 1932 года </w:t>
            </w:r>
          </w:p>
        </w:tc>
        <w:tc>
          <w:tcPr>
            <w:tcW w:w="1134" w:type="dxa"/>
          </w:tcPr>
          <w:p w14:paraId="5A89B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29</w:t>
            </w:r>
          </w:p>
        </w:tc>
      </w:tr>
      <w:tr w:rsidR="00DA227A" w:rsidRPr="00E93F40" w14:paraId="226DD0AF" w14:textId="77777777">
        <w:tc>
          <w:tcPr>
            <w:tcW w:w="1871" w:type="dxa"/>
          </w:tcPr>
          <w:p w14:paraId="16B60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М51</w:t>
            </w:r>
          </w:p>
        </w:tc>
        <w:tc>
          <w:tcPr>
            <w:tcW w:w="931" w:type="dxa"/>
          </w:tcPr>
          <w:p w14:paraId="5FA94C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7CEE9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851" w:type="dxa"/>
          </w:tcPr>
          <w:p w14:paraId="6952B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263E2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w:t>
            </w:r>
          </w:p>
        </w:tc>
        <w:tc>
          <w:tcPr>
            <w:tcW w:w="851" w:type="dxa"/>
          </w:tcPr>
          <w:p w14:paraId="3917E7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6508D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1E96F7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c>
          <w:tcPr>
            <w:tcW w:w="1134" w:type="dxa"/>
          </w:tcPr>
          <w:p w14:paraId="20A62F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29</w:t>
            </w:r>
          </w:p>
        </w:tc>
      </w:tr>
      <w:tr w:rsidR="00DA227A" w:rsidRPr="00E93F40" w14:paraId="62DCEE94" w14:textId="77777777">
        <w:tc>
          <w:tcPr>
            <w:tcW w:w="1871" w:type="dxa"/>
          </w:tcPr>
          <w:p w14:paraId="69EB8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Нефтяные моторы.</w:t>
            </w:r>
          </w:p>
        </w:tc>
        <w:tc>
          <w:tcPr>
            <w:tcW w:w="931" w:type="dxa"/>
          </w:tcPr>
          <w:p w14:paraId="0BBB9B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7413D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EBB1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FB6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F6D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86E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DEB0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FA0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80C784" w14:textId="77777777">
        <w:tc>
          <w:tcPr>
            <w:tcW w:w="1871" w:type="dxa"/>
          </w:tcPr>
          <w:p w14:paraId="50B99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 (четырехтактный)</w:t>
            </w:r>
          </w:p>
        </w:tc>
        <w:tc>
          <w:tcPr>
            <w:tcW w:w="931" w:type="dxa"/>
          </w:tcPr>
          <w:p w14:paraId="7B308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F83F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55C97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2C2400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c>
          <w:tcPr>
            <w:tcW w:w="851" w:type="dxa"/>
          </w:tcPr>
          <w:p w14:paraId="7C2723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047C45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2E7461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марта 1933 года –государственные </w:t>
            </w:r>
          </w:p>
        </w:tc>
        <w:tc>
          <w:tcPr>
            <w:tcW w:w="1134" w:type="dxa"/>
          </w:tcPr>
          <w:p w14:paraId="41C75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65825749" w14:textId="77777777">
        <w:tc>
          <w:tcPr>
            <w:tcW w:w="1871" w:type="dxa"/>
          </w:tcPr>
          <w:p w14:paraId="4272D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Н2 (четырехтактный)</w:t>
            </w:r>
          </w:p>
        </w:tc>
        <w:tc>
          <w:tcPr>
            <w:tcW w:w="931" w:type="dxa"/>
          </w:tcPr>
          <w:p w14:paraId="4BAB7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B815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51" w:type="dxa"/>
          </w:tcPr>
          <w:p w14:paraId="7D37D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62C285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851" w:type="dxa"/>
          </w:tcPr>
          <w:p w14:paraId="5B893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3973B8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27821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 –государственные</w:t>
            </w:r>
          </w:p>
        </w:tc>
        <w:tc>
          <w:tcPr>
            <w:tcW w:w="1134" w:type="dxa"/>
          </w:tcPr>
          <w:p w14:paraId="4605B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ВНИДИ</w:t>
            </w:r>
          </w:p>
        </w:tc>
      </w:tr>
      <w:tr w:rsidR="00DA227A" w:rsidRPr="00E93F40" w14:paraId="14E7A231" w14:textId="77777777">
        <w:tc>
          <w:tcPr>
            <w:tcW w:w="1871" w:type="dxa"/>
          </w:tcPr>
          <w:p w14:paraId="545B8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 (четырехтактный)</w:t>
            </w:r>
          </w:p>
        </w:tc>
        <w:tc>
          <w:tcPr>
            <w:tcW w:w="931" w:type="dxa"/>
          </w:tcPr>
          <w:p w14:paraId="565132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402F3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003A21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51122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851" w:type="dxa"/>
          </w:tcPr>
          <w:p w14:paraId="3F7F2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0D224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763DB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 –государственные</w:t>
            </w:r>
          </w:p>
        </w:tc>
        <w:tc>
          <w:tcPr>
            <w:tcW w:w="1134" w:type="dxa"/>
          </w:tcPr>
          <w:p w14:paraId="390BC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УкрИДВС</w:t>
            </w:r>
          </w:p>
        </w:tc>
      </w:tr>
      <w:tr w:rsidR="00DA227A" w:rsidRPr="00E93F40" w14:paraId="620B7F19" w14:textId="77777777">
        <w:tc>
          <w:tcPr>
            <w:tcW w:w="1871" w:type="dxa"/>
          </w:tcPr>
          <w:p w14:paraId="1545E1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Н4 (двухтактный)</w:t>
            </w:r>
          </w:p>
        </w:tc>
        <w:tc>
          <w:tcPr>
            <w:tcW w:w="931" w:type="dxa"/>
          </w:tcPr>
          <w:p w14:paraId="34F84C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34935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500-600</w:t>
            </w:r>
          </w:p>
        </w:tc>
        <w:tc>
          <w:tcPr>
            <w:tcW w:w="851" w:type="dxa"/>
          </w:tcPr>
          <w:p w14:paraId="14C514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67BE3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500-600</w:t>
            </w:r>
          </w:p>
        </w:tc>
        <w:tc>
          <w:tcPr>
            <w:tcW w:w="851" w:type="dxa"/>
          </w:tcPr>
          <w:p w14:paraId="06B998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192D5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7B2B7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 –государственные</w:t>
            </w:r>
          </w:p>
        </w:tc>
        <w:tc>
          <w:tcPr>
            <w:tcW w:w="1134" w:type="dxa"/>
          </w:tcPr>
          <w:p w14:paraId="4ECE7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w:t>
            </w:r>
          </w:p>
        </w:tc>
      </w:tr>
      <w:tr w:rsidR="00DA227A" w:rsidRPr="00E93F40" w14:paraId="303F134B" w14:textId="77777777">
        <w:tc>
          <w:tcPr>
            <w:tcW w:w="1871" w:type="dxa"/>
          </w:tcPr>
          <w:p w14:paraId="6E17D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Н5 (двухтактный)</w:t>
            </w:r>
          </w:p>
        </w:tc>
        <w:tc>
          <w:tcPr>
            <w:tcW w:w="931" w:type="dxa"/>
          </w:tcPr>
          <w:p w14:paraId="233D14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79399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51" w:type="dxa"/>
          </w:tcPr>
          <w:p w14:paraId="317599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078A3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51" w:type="dxa"/>
          </w:tcPr>
          <w:p w14:paraId="5BAA0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24926C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204C9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 заводские</w:t>
            </w:r>
          </w:p>
        </w:tc>
        <w:tc>
          <w:tcPr>
            <w:tcW w:w="1134" w:type="dxa"/>
          </w:tcPr>
          <w:p w14:paraId="34515B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r>
      <w:tr w:rsidR="009D12BD" w:rsidRPr="00E93F40" w14:paraId="2CB4EFF2" w14:textId="77777777">
        <w:tc>
          <w:tcPr>
            <w:tcW w:w="1871" w:type="dxa"/>
          </w:tcPr>
          <w:p w14:paraId="7ED3F9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Н6 (двухтактный)</w:t>
            </w:r>
          </w:p>
        </w:tc>
        <w:tc>
          <w:tcPr>
            <w:tcW w:w="931" w:type="dxa"/>
          </w:tcPr>
          <w:p w14:paraId="25152B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3839A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1678F5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396D6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w:t>
            </w:r>
          </w:p>
        </w:tc>
        <w:tc>
          <w:tcPr>
            <w:tcW w:w="851" w:type="dxa"/>
          </w:tcPr>
          <w:p w14:paraId="366623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180-200</w:t>
            </w:r>
          </w:p>
        </w:tc>
        <w:tc>
          <w:tcPr>
            <w:tcW w:w="850" w:type="dxa"/>
          </w:tcPr>
          <w:p w14:paraId="07602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0FF0E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 – заводские</w:t>
            </w:r>
          </w:p>
        </w:tc>
        <w:tc>
          <w:tcPr>
            <w:tcW w:w="1134" w:type="dxa"/>
          </w:tcPr>
          <w:p w14:paraId="28E678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r>
    </w:tbl>
    <w:p w14:paraId="3465D5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172"/>
        <w:gridCol w:w="1134"/>
        <w:gridCol w:w="1701"/>
        <w:gridCol w:w="2410"/>
      </w:tblGrid>
      <w:tr w:rsidR="00DA227A" w:rsidRPr="00E93F40" w14:paraId="2ACE9C4E" w14:textId="77777777">
        <w:tc>
          <w:tcPr>
            <w:tcW w:w="1878" w:type="dxa"/>
          </w:tcPr>
          <w:p w14:paraId="41BB9C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двигателя или агрегата</w:t>
            </w:r>
          </w:p>
        </w:tc>
        <w:tc>
          <w:tcPr>
            <w:tcW w:w="1878" w:type="dxa"/>
          </w:tcPr>
          <w:p w14:paraId="557D8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1172" w:type="dxa"/>
          </w:tcPr>
          <w:p w14:paraId="4AD2AD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1134" w:type="dxa"/>
          </w:tcPr>
          <w:p w14:paraId="0F5948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1701" w:type="dxa"/>
          </w:tcPr>
          <w:p w14:paraId="6F507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выхода на госиспытания</w:t>
            </w:r>
          </w:p>
        </w:tc>
        <w:tc>
          <w:tcPr>
            <w:tcW w:w="2410" w:type="dxa"/>
          </w:tcPr>
          <w:p w14:paraId="7C282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Исполнитель</w:t>
            </w:r>
          </w:p>
        </w:tc>
      </w:tr>
      <w:tr w:rsidR="00DA227A" w:rsidRPr="00E93F40" w14:paraId="79E8440E" w14:textId="77777777">
        <w:tc>
          <w:tcPr>
            <w:tcW w:w="1878" w:type="dxa"/>
          </w:tcPr>
          <w:p w14:paraId="534F27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 переменного шага</w:t>
            </w:r>
          </w:p>
        </w:tc>
        <w:tc>
          <w:tcPr>
            <w:tcW w:w="1878" w:type="dxa"/>
          </w:tcPr>
          <w:p w14:paraId="1EA507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72" w:type="dxa"/>
          </w:tcPr>
          <w:p w14:paraId="3C226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34" w:type="dxa"/>
          </w:tcPr>
          <w:p w14:paraId="0F1D6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Pr>
          <w:p w14:paraId="768511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c>
          <w:tcPr>
            <w:tcW w:w="2410" w:type="dxa"/>
          </w:tcPr>
          <w:p w14:paraId="69F86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7C58E5BD" w14:textId="77777777">
        <w:tc>
          <w:tcPr>
            <w:tcW w:w="1878" w:type="dxa"/>
          </w:tcPr>
          <w:p w14:paraId="5E87C3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Газовая турбина</w:t>
            </w:r>
          </w:p>
        </w:tc>
        <w:tc>
          <w:tcPr>
            <w:tcW w:w="1878" w:type="dxa"/>
          </w:tcPr>
          <w:p w14:paraId="195D1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500-1000</w:t>
            </w:r>
          </w:p>
        </w:tc>
        <w:tc>
          <w:tcPr>
            <w:tcW w:w="1172" w:type="dxa"/>
          </w:tcPr>
          <w:p w14:paraId="22AB1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6000-8000</w:t>
            </w:r>
          </w:p>
        </w:tc>
        <w:tc>
          <w:tcPr>
            <w:tcW w:w="1134" w:type="dxa"/>
          </w:tcPr>
          <w:p w14:paraId="191B3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400-800</w:t>
            </w:r>
          </w:p>
        </w:tc>
        <w:tc>
          <w:tcPr>
            <w:tcW w:w="1701" w:type="dxa"/>
          </w:tcPr>
          <w:p w14:paraId="44146A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c>
          <w:tcPr>
            <w:tcW w:w="2410" w:type="dxa"/>
          </w:tcPr>
          <w:p w14:paraId="5E444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Теплотехнический институт</w:t>
            </w:r>
          </w:p>
        </w:tc>
      </w:tr>
      <w:tr w:rsidR="00DA227A" w:rsidRPr="00E93F40" w14:paraId="7627138F" w14:textId="77777777">
        <w:tc>
          <w:tcPr>
            <w:tcW w:w="1878" w:type="dxa"/>
          </w:tcPr>
          <w:p w14:paraId="797284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Паровая турбина</w:t>
            </w:r>
          </w:p>
        </w:tc>
        <w:tc>
          <w:tcPr>
            <w:tcW w:w="1878" w:type="dxa"/>
          </w:tcPr>
          <w:p w14:paraId="393F4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1172" w:type="dxa"/>
          </w:tcPr>
          <w:p w14:paraId="4B8AF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1134" w:type="dxa"/>
          </w:tcPr>
          <w:p w14:paraId="2C776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1701" w:type="dxa"/>
          </w:tcPr>
          <w:p w14:paraId="7AD44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2410" w:type="dxa"/>
          </w:tcPr>
          <w:p w14:paraId="3D260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НИИ ВОГВФ и ОКБ </w:t>
            </w:r>
          </w:p>
        </w:tc>
      </w:tr>
      <w:tr w:rsidR="00DA227A" w:rsidRPr="00E93F40" w14:paraId="228D2A65" w14:textId="77777777">
        <w:tc>
          <w:tcPr>
            <w:tcW w:w="1878" w:type="dxa"/>
          </w:tcPr>
          <w:p w14:paraId="54264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Бесклапан. двигатель</w:t>
            </w:r>
          </w:p>
        </w:tc>
        <w:tc>
          <w:tcPr>
            <w:tcW w:w="1878" w:type="dxa"/>
          </w:tcPr>
          <w:p w14:paraId="5C9237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90/165</w:t>
            </w:r>
          </w:p>
        </w:tc>
        <w:tc>
          <w:tcPr>
            <w:tcW w:w="1172" w:type="dxa"/>
          </w:tcPr>
          <w:p w14:paraId="70557B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34" w:type="dxa"/>
          </w:tcPr>
          <w:p w14:paraId="1A6C0E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Pr>
          <w:p w14:paraId="3E6CE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c>
          <w:tcPr>
            <w:tcW w:w="2410" w:type="dxa"/>
          </w:tcPr>
          <w:p w14:paraId="7301AE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ВВА – ИАМ</w:t>
            </w:r>
          </w:p>
        </w:tc>
      </w:tr>
      <w:tr w:rsidR="00DA227A" w:rsidRPr="00E93F40" w14:paraId="68AB8857" w14:textId="77777777">
        <w:tc>
          <w:tcPr>
            <w:tcW w:w="1878" w:type="dxa"/>
          </w:tcPr>
          <w:p w14:paraId="1CA03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двигатель</w:t>
            </w:r>
          </w:p>
        </w:tc>
        <w:tc>
          <w:tcPr>
            <w:tcW w:w="1878" w:type="dxa"/>
          </w:tcPr>
          <w:p w14:paraId="4891C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Исследовательская работа </w:t>
            </w:r>
          </w:p>
        </w:tc>
        <w:tc>
          <w:tcPr>
            <w:tcW w:w="1172" w:type="dxa"/>
          </w:tcPr>
          <w:p w14:paraId="1CDF40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BC990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EBC0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4DC3B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15F933" w14:textId="77777777">
        <w:tc>
          <w:tcPr>
            <w:tcW w:w="1878" w:type="dxa"/>
          </w:tcPr>
          <w:p w14:paraId="179A6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Исследовательская работа</w:t>
            </w:r>
          </w:p>
        </w:tc>
        <w:tc>
          <w:tcPr>
            <w:tcW w:w="1878" w:type="dxa"/>
          </w:tcPr>
          <w:p w14:paraId="18FED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области электродвигателя</w:t>
            </w:r>
          </w:p>
        </w:tc>
        <w:tc>
          <w:tcPr>
            <w:tcW w:w="1172" w:type="dxa"/>
          </w:tcPr>
          <w:p w14:paraId="04390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2AD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59B8D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4B8381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7A51EA" w14:textId="77777777">
        <w:tc>
          <w:tcPr>
            <w:tcW w:w="1878" w:type="dxa"/>
          </w:tcPr>
          <w:p w14:paraId="5905C7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Исследовательская работа </w:t>
            </w:r>
          </w:p>
        </w:tc>
        <w:tc>
          <w:tcPr>
            <w:tcW w:w="1878" w:type="dxa"/>
          </w:tcPr>
          <w:p w14:paraId="4DC1BA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бензиновым двигателям с механич. впрыскив. топлива </w:t>
            </w:r>
          </w:p>
        </w:tc>
        <w:tc>
          <w:tcPr>
            <w:tcW w:w="1172" w:type="dxa"/>
          </w:tcPr>
          <w:p w14:paraId="1C20A3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36D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1ADD2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34662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bl>
    <w:p w14:paraId="68A55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 по самолетам на 1932-1934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670"/>
        <w:gridCol w:w="720"/>
        <w:gridCol w:w="878"/>
        <w:gridCol w:w="732"/>
        <w:gridCol w:w="789"/>
        <w:gridCol w:w="708"/>
        <w:gridCol w:w="709"/>
        <w:gridCol w:w="851"/>
        <w:gridCol w:w="708"/>
        <w:gridCol w:w="851"/>
        <w:gridCol w:w="1276"/>
      </w:tblGrid>
      <w:tr w:rsidR="00DA227A" w:rsidRPr="00E93F40" w14:paraId="07D46482" w14:textId="77777777">
        <w:tc>
          <w:tcPr>
            <w:tcW w:w="1281" w:type="dxa"/>
          </w:tcPr>
          <w:p w14:paraId="29281D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самолета с указанием использования по линии ГВФ</w:t>
            </w:r>
          </w:p>
        </w:tc>
        <w:tc>
          <w:tcPr>
            <w:tcW w:w="670" w:type="dxa"/>
          </w:tcPr>
          <w:p w14:paraId="02EDE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предъяв. на госисп.</w:t>
            </w:r>
          </w:p>
        </w:tc>
        <w:tc>
          <w:tcPr>
            <w:tcW w:w="720" w:type="dxa"/>
          </w:tcPr>
          <w:p w14:paraId="7C5C9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w:t>
            </w:r>
          </w:p>
        </w:tc>
        <w:tc>
          <w:tcPr>
            <w:tcW w:w="878" w:type="dxa"/>
          </w:tcPr>
          <w:p w14:paraId="075E7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 скорость/ на высоте примен./ время подъема на высоту примен.</w:t>
            </w:r>
          </w:p>
        </w:tc>
        <w:tc>
          <w:tcPr>
            <w:tcW w:w="732" w:type="dxa"/>
          </w:tcPr>
          <w:p w14:paraId="4DE279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 потолок</w:t>
            </w:r>
          </w:p>
        </w:tc>
        <w:tc>
          <w:tcPr>
            <w:tcW w:w="789" w:type="dxa"/>
          </w:tcPr>
          <w:p w14:paraId="04547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 скорость</w:t>
            </w:r>
          </w:p>
        </w:tc>
        <w:tc>
          <w:tcPr>
            <w:tcW w:w="708" w:type="dxa"/>
          </w:tcPr>
          <w:p w14:paraId="3760A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 радиус при перегруз.</w:t>
            </w:r>
          </w:p>
        </w:tc>
        <w:tc>
          <w:tcPr>
            <w:tcW w:w="709" w:type="dxa"/>
          </w:tcPr>
          <w:p w14:paraId="111BB6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 сбрасыв. груз/ сбрасыв. груз при перегруз.</w:t>
            </w:r>
          </w:p>
        </w:tc>
        <w:tc>
          <w:tcPr>
            <w:tcW w:w="851" w:type="dxa"/>
          </w:tcPr>
          <w:p w14:paraId="6F2F1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708" w:type="dxa"/>
          </w:tcPr>
          <w:p w14:paraId="7CDDD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w:t>
            </w:r>
          </w:p>
        </w:tc>
        <w:tc>
          <w:tcPr>
            <w:tcW w:w="851" w:type="dxa"/>
          </w:tcPr>
          <w:p w14:paraId="6639BB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 заменяет при выходе</w:t>
            </w:r>
          </w:p>
        </w:tc>
        <w:tc>
          <w:tcPr>
            <w:tcW w:w="1276" w:type="dxa"/>
          </w:tcPr>
          <w:p w14:paraId="4FC9B2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003BB3E1" w14:textId="77777777">
        <w:tc>
          <w:tcPr>
            <w:tcW w:w="1281" w:type="dxa"/>
          </w:tcPr>
          <w:p w14:paraId="7A207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c>
        <w:tc>
          <w:tcPr>
            <w:tcW w:w="670" w:type="dxa"/>
          </w:tcPr>
          <w:p w14:paraId="4B90CD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D186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7CCCF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5F014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4F04F1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BB26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6AF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2580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BA5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E077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E4961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0BF530C" w14:textId="77777777">
        <w:tc>
          <w:tcPr>
            <w:tcW w:w="1281" w:type="dxa"/>
          </w:tcPr>
          <w:p w14:paraId="0D705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Тяжелый бомбардир., он же пассажирск. </w:t>
            </w:r>
            <w:r w:rsidRPr="00E93F40">
              <w:rPr>
                <w:rFonts w:ascii="Times New Roman" w:hAnsi="Times New Roman"/>
                <w:color w:val="000000" w:themeColor="text1"/>
                <w:sz w:val="16"/>
                <w:szCs w:val="16"/>
              </w:rPr>
              <w:lastRenderedPageBreak/>
              <w:t>грузовой (ТБ6-М44 или нефтяной)</w:t>
            </w:r>
          </w:p>
        </w:tc>
        <w:tc>
          <w:tcPr>
            <w:tcW w:w="670" w:type="dxa"/>
          </w:tcPr>
          <w:p w14:paraId="2ABB5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1 декабр. </w:t>
            </w:r>
            <w:r w:rsidRPr="00E93F40">
              <w:rPr>
                <w:rFonts w:ascii="Times New Roman" w:hAnsi="Times New Roman"/>
                <w:color w:val="000000" w:themeColor="text1"/>
                <w:sz w:val="16"/>
                <w:szCs w:val="16"/>
              </w:rPr>
              <w:lastRenderedPageBreak/>
              <w:t>1934 г. выход на аэродром</w:t>
            </w:r>
          </w:p>
        </w:tc>
        <w:tc>
          <w:tcPr>
            <w:tcW w:w="720" w:type="dxa"/>
          </w:tcPr>
          <w:p w14:paraId="7102E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5000</w:t>
            </w:r>
          </w:p>
        </w:tc>
        <w:tc>
          <w:tcPr>
            <w:tcW w:w="878" w:type="dxa"/>
          </w:tcPr>
          <w:p w14:paraId="17378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32" w:type="dxa"/>
          </w:tcPr>
          <w:p w14:paraId="480A5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789" w:type="dxa"/>
          </w:tcPr>
          <w:p w14:paraId="4FA8FB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708" w:type="dxa"/>
          </w:tcPr>
          <w:p w14:paraId="20B80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 2000</w:t>
            </w:r>
          </w:p>
        </w:tc>
        <w:tc>
          <w:tcPr>
            <w:tcW w:w="709" w:type="dxa"/>
          </w:tcPr>
          <w:p w14:paraId="4E6FDF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851" w:type="dxa"/>
          </w:tcPr>
          <w:p w14:paraId="34E3C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пулемет и пушки</w:t>
            </w:r>
          </w:p>
          <w:p w14:paraId="21ECEE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Калибры бомб – 250, 500, 1000, 2000</w:t>
            </w:r>
          </w:p>
        </w:tc>
        <w:tc>
          <w:tcPr>
            <w:tcW w:w="708" w:type="dxa"/>
          </w:tcPr>
          <w:p w14:paraId="197F7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Сталь</w:t>
            </w:r>
          </w:p>
        </w:tc>
        <w:tc>
          <w:tcPr>
            <w:tcW w:w="851" w:type="dxa"/>
          </w:tcPr>
          <w:p w14:paraId="4ABD7A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К7</w:t>
            </w:r>
          </w:p>
        </w:tc>
        <w:tc>
          <w:tcPr>
            <w:tcW w:w="1276" w:type="dxa"/>
          </w:tcPr>
          <w:p w14:paraId="621668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F7E213" w14:textId="77777777">
        <w:tc>
          <w:tcPr>
            <w:tcW w:w="1281" w:type="dxa"/>
          </w:tcPr>
          <w:p w14:paraId="16E1A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десантный, он же тяжелый грузовой (Д1-10М34)</w:t>
            </w:r>
          </w:p>
        </w:tc>
        <w:tc>
          <w:tcPr>
            <w:tcW w:w="670" w:type="dxa"/>
          </w:tcPr>
          <w:p w14:paraId="6AC16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720" w:type="dxa"/>
          </w:tcPr>
          <w:p w14:paraId="187E1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8" w:type="dxa"/>
          </w:tcPr>
          <w:p w14:paraId="38F19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732" w:type="dxa"/>
          </w:tcPr>
          <w:p w14:paraId="2875F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89" w:type="dxa"/>
          </w:tcPr>
          <w:p w14:paraId="50970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708" w:type="dxa"/>
          </w:tcPr>
          <w:p w14:paraId="4D90C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709" w:type="dxa"/>
          </w:tcPr>
          <w:p w14:paraId="4532F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851" w:type="dxa"/>
          </w:tcPr>
          <w:p w14:paraId="50547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52E48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24DDC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A4743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ведет ВВА ВВС</w:t>
            </w:r>
          </w:p>
        </w:tc>
      </w:tr>
      <w:tr w:rsidR="00DA227A" w:rsidRPr="00E93F40" w14:paraId="34EA33D3" w14:textId="77777777">
        <w:tc>
          <w:tcPr>
            <w:tcW w:w="1281" w:type="dxa"/>
          </w:tcPr>
          <w:p w14:paraId="22A8C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 оп. (ТБ4-6М34)</w:t>
            </w:r>
          </w:p>
        </w:tc>
        <w:tc>
          <w:tcPr>
            <w:tcW w:w="670" w:type="dxa"/>
          </w:tcPr>
          <w:p w14:paraId="4030CD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 выход на аэродром</w:t>
            </w:r>
          </w:p>
        </w:tc>
        <w:tc>
          <w:tcPr>
            <w:tcW w:w="720" w:type="dxa"/>
          </w:tcPr>
          <w:p w14:paraId="2B407B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8" w:type="dxa"/>
          </w:tcPr>
          <w:p w14:paraId="63D3B0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732" w:type="dxa"/>
          </w:tcPr>
          <w:p w14:paraId="4B38F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789" w:type="dxa"/>
          </w:tcPr>
          <w:p w14:paraId="64C1B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763D1E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709" w:type="dxa"/>
          </w:tcPr>
          <w:p w14:paraId="21D82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851" w:type="dxa"/>
          </w:tcPr>
          <w:p w14:paraId="7C801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w:t>
            </w:r>
          </w:p>
          <w:p w14:paraId="57FE4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w:t>
            </w:r>
          </w:p>
        </w:tc>
        <w:tc>
          <w:tcPr>
            <w:tcW w:w="708" w:type="dxa"/>
          </w:tcPr>
          <w:p w14:paraId="50134D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0F8B0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1276" w:type="dxa"/>
          </w:tcPr>
          <w:p w14:paraId="62D23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Перенести из плана № 1</w:t>
            </w:r>
          </w:p>
        </w:tc>
      </w:tr>
      <w:tr w:rsidR="00DA227A" w:rsidRPr="00E93F40" w14:paraId="4EA6C23C" w14:textId="77777777">
        <w:tc>
          <w:tcPr>
            <w:tcW w:w="1281" w:type="dxa"/>
          </w:tcPr>
          <w:p w14:paraId="17D2E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 ТБ4 (головной дюралевый 6М34Р)</w:t>
            </w:r>
          </w:p>
        </w:tc>
        <w:tc>
          <w:tcPr>
            <w:tcW w:w="670" w:type="dxa"/>
          </w:tcPr>
          <w:p w14:paraId="1227F2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720" w:type="dxa"/>
          </w:tcPr>
          <w:p w14:paraId="219E2C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8" w:type="dxa"/>
          </w:tcPr>
          <w:p w14:paraId="4C2BB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732" w:type="dxa"/>
          </w:tcPr>
          <w:p w14:paraId="44E98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789" w:type="dxa"/>
          </w:tcPr>
          <w:p w14:paraId="4D1585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4DA53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709" w:type="dxa"/>
          </w:tcPr>
          <w:p w14:paraId="569E69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851" w:type="dxa"/>
          </w:tcPr>
          <w:p w14:paraId="164847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 2 пушки</w:t>
            </w:r>
          </w:p>
          <w:p w14:paraId="6DDE2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w:t>
            </w:r>
          </w:p>
        </w:tc>
        <w:tc>
          <w:tcPr>
            <w:tcW w:w="708" w:type="dxa"/>
          </w:tcPr>
          <w:p w14:paraId="7F623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Дюоаль</w:t>
            </w:r>
          </w:p>
        </w:tc>
        <w:tc>
          <w:tcPr>
            <w:tcW w:w="851" w:type="dxa"/>
          </w:tcPr>
          <w:p w14:paraId="752B58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1276" w:type="dxa"/>
          </w:tcPr>
          <w:p w14:paraId="1AFBF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14478B" w14:textId="77777777">
        <w:tc>
          <w:tcPr>
            <w:tcW w:w="1281" w:type="dxa"/>
          </w:tcPr>
          <w:p w14:paraId="6E7653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химический боевик, он же самолет для перевозки горючего и пассажирский (Х1-2М34)</w:t>
            </w:r>
          </w:p>
        </w:tc>
        <w:tc>
          <w:tcPr>
            <w:tcW w:w="670" w:type="dxa"/>
          </w:tcPr>
          <w:p w14:paraId="4C630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 г.</w:t>
            </w:r>
          </w:p>
        </w:tc>
        <w:tc>
          <w:tcPr>
            <w:tcW w:w="720" w:type="dxa"/>
          </w:tcPr>
          <w:p w14:paraId="0E63AC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78" w:type="dxa"/>
          </w:tcPr>
          <w:p w14:paraId="20E29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32" w:type="dxa"/>
          </w:tcPr>
          <w:p w14:paraId="311D9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89" w:type="dxa"/>
          </w:tcPr>
          <w:p w14:paraId="58530A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708" w:type="dxa"/>
          </w:tcPr>
          <w:p w14:paraId="04B90B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450/600</w:t>
            </w:r>
          </w:p>
        </w:tc>
        <w:tc>
          <w:tcPr>
            <w:tcW w:w="709" w:type="dxa"/>
          </w:tcPr>
          <w:p w14:paraId="4A059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3000</w:t>
            </w:r>
          </w:p>
        </w:tc>
        <w:tc>
          <w:tcPr>
            <w:tcW w:w="851" w:type="dxa"/>
          </w:tcPr>
          <w:p w14:paraId="54B43D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Легк. и тяж. пулеметы </w:t>
            </w:r>
          </w:p>
        </w:tc>
        <w:tc>
          <w:tcPr>
            <w:tcW w:w="708" w:type="dxa"/>
          </w:tcPr>
          <w:p w14:paraId="21B56C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4803B2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1276" w:type="dxa"/>
          </w:tcPr>
          <w:p w14:paraId="50E84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проектирует и строит НИИ ГУГВФ</w:t>
            </w:r>
          </w:p>
        </w:tc>
      </w:tr>
      <w:tr w:rsidR="00DA227A" w:rsidRPr="00E93F40" w14:paraId="5D7E845B" w14:textId="77777777">
        <w:tc>
          <w:tcPr>
            <w:tcW w:w="1281" w:type="dxa"/>
          </w:tcPr>
          <w:p w14:paraId="1A0985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Крейсерский сухопутный средний бомбардиров. или дальний разведчик (К1-2М34)</w:t>
            </w:r>
          </w:p>
        </w:tc>
        <w:tc>
          <w:tcPr>
            <w:tcW w:w="670" w:type="dxa"/>
          </w:tcPr>
          <w:p w14:paraId="7A5AF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 1933 г.</w:t>
            </w:r>
          </w:p>
        </w:tc>
        <w:tc>
          <w:tcPr>
            <w:tcW w:w="720" w:type="dxa"/>
          </w:tcPr>
          <w:p w14:paraId="0E658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78" w:type="dxa"/>
          </w:tcPr>
          <w:p w14:paraId="69397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270-300/ 5000/-</w:t>
            </w:r>
          </w:p>
        </w:tc>
        <w:tc>
          <w:tcPr>
            <w:tcW w:w="732" w:type="dxa"/>
          </w:tcPr>
          <w:p w14:paraId="5D5287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89" w:type="dxa"/>
          </w:tcPr>
          <w:p w14:paraId="42266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708" w:type="dxa"/>
          </w:tcPr>
          <w:p w14:paraId="55FC3B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600-1000/-</w:t>
            </w:r>
          </w:p>
        </w:tc>
        <w:tc>
          <w:tcPr>
            <w:tcW w:w="709" w:type="dxa"/>
          </w:tcPr>
          <w:p w14:paraId="4884CE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p w14:paraId="29F345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CFEE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Тяж. и легк. пулеметы </w:t>
            </w:r>
          </w:p>
          <w:p w14:paraId="67FA6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250, гирлянды</w:t>
            </w:r>
          </w:p>
        </w:tc>
        <w:tc>
          <w:tcPr>
            <w:tcW w:w="708" w:type="dxa"/>
          </w:tcPr>
          <w:p w14:paraId="0C99D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 или дюраль</w:t>
            </w:r>
          </w:p>
        </w:tc>
        <w:tc>
          <w:tcPr>
            <w:tcW w:w="851" w:type="dxa"/>
          </w:tcPr>
          <w:p w14:paraId="045C5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1276" w:type="dxa"/>
          </w:tcPr>
          <w:p w14:paraId="65112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462153" w14:textId="77777777">
        <w:tc>
          <w:tcPr>
            <w:tcW w:w="1281" w:type="dxa"/>
          </w:tcPr>
          <w:p w14:paraId="59A87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Многоместный истребитель (МИ3-2М34)</w:t>
            </w:r>
          </w:p>
        </w:tc>
        <w:tc>
          <w:tcPr>
            <w:tcW w:w="670" w:type="dxa"/>
          </w:tcPr>
          <w:p w14:paraId="2E7E73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 выход на аэродром</w:t>
            </w:r>
          </w:p>
        </w:tc>
        <w:tc>
          <w:tcPr>
            <w:tcW w:w="720" w:type="dxa"/>
          </w:tcPr>
          <w:p w14:paraId="44233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8" w:type="dxa"/>
          </w:tcPr>
          <w:p w14:paraId="155AE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300/5000/15-18</w:t>
            </w:r>
          </w:p>
        </w:tc>
        <w:tc>
          <w:tcPr>
            <w:tcW w:w="732" w:type="dxa"/>
          </w:tcPr>
          <w:p w14:paraId="5BAA0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789" w:type="dxa"/>
          </w:tcPr>
          <w:p w14:paraId="251CE1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600FF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709" w:type="dxa"/>
          </w:tcPr>
          <w:p w14:paraId="5F4A2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3A295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пулемет.</w:t>
            </w:r>
          </w:p>
          <w:p w14:paraId="5E8F2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ав. пушка </w:t>
            </w:r>
          </w:p>
        </w:tc>
        <w:tc>
          <w:tcPr>
            <w:tcW w:w="708" w:type="dxa"/>
          </w:tcPr>
          <w:p w14:paraId="35473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851" w:type="dxa"/>
          </w:tcPr>
          <w:p w14:paraId="0826D0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41B9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Перенесено из плана №..</w:t>
            </w:r>
          </w:p>
          <w:p w14:paraId="427B9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Со Штабом РККА согласовано уменьшение радиуса с 1000 до 500 км</w:t>
            </w:r>
          </w:p>
        </w:tc>
      </w:tr>
      <w:tr w:rsidR="00DA227A" w:rsidRPr="00E93F40" w14:paraId="50288AE1" w14:textId="77777777">
        <w:tc>
          <w:tcPr>
            <w:tcW w:w="1281" w:type="dxa"/>
          </w:tcPr>
          <w:p w14:paraId="0F792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 пушечный (ДИП-2М34)</w:t>
            </w:r>
          </w:p>
        </w:tc>
        <w:tc>
          <w:tcPr>
            <w:tcW w:w="670" w:type="dxa"/>
          </w:tcPr>
          <w:p w14:paraId="3594EA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 1933 г.</w:t>
            </w:r>
          </w:p>
        </w:tc>
        <w:tc>
          <w:tcPr>
            <w:tcW w:w="720" w:type="dxa"/>
          </w:tcPr>
          <w:p w14:paraId="2CEC43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78" w:type="dxa"/>
          </w:tcPr>
          <w:p w14:paraId="7EEAC3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325/5000/15-18</w:t>
            </w:r>
          </w:p>
        </w:tc>
        <w:tc>
          <w:tcPr>
            <w:tcW w:w="732" w:type="dxa"/>
          </w:tcPr>
          <w:p w14:paraId="0F4C0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1000-8000</w:t>
            </w:r>
          </w:p>
        </w:tc>
        <w:tc>
          <w:tcPr>
            <w:tcW w:w="789" w:type="dxa"/>
          </w:tcPr>
          <w:p w14:paraId="73415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2CC0D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709" w:type="dxa"/>
          </w:tcPr>
          <w:p w14:paraId="7C2DBE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01E1A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483A6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03BD15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07EAA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BB91B9" w14:textId="77777777">
        <w:tc>
          <w:tcPr>
            <w:tcW w:w="1281" w:type="dxa"/>
          </w:tcPr>
          <w:p w14:paraId="3E64A8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 разведчик (ЛР М34)</w:t>
            </w:r>
          </w:p>
        </w:tc>
        <w:tc>
          <w:tcPr>
            <w:tcW w:w="670" w:type="dxa"/>
          </w:tcPr>
          <w:p w14:paraId="36923A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 г. выход на аэродром</w:t>
            </w:r>
          </w:p>
        </w:tc>
        <w:tc>
          <w:tcPr>
            <w:tcW w:w="720" w:type="dxa"/>
          </w:tcPr>
          <w:p w14:paraId="22D08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78" w:type="dxa"/>
          </w:tcPr>
          <w:p w14:paraId="34D06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300/310/9</w:t>
            </w:r>
          </w:p>
        </w:tc>
        <w:tc>
          <w:tcPr>
            <w:tcW w:w="732" w:type="dxa"/>
          </w:tcPr>
          <w:p w14:paraId="3B2AB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789" w:type="dxa"/>
          </w:tcPr>
          <w:p w14:paraId="71F0E8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420DF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400/700</w:t>
            </w:r>
          </w:p>
        </w:tc>
        <w:tc>
          <w:tcPr>
            <w:tcW w:w="709" w:type="dxa"/>
          </w:tcPr>
          <w:p w14:paraId="2D3F3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-/500 </w:t>
            </w:r>
          </w:p>
        </w:tc>
        <w:tc>
          <w:tcPr>
            <w:tcW w:w="851" w:type="dxa"/>
          </w:tcPr>
          <w:p w14:paraId="6DD33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 или тяжелый пулем.</w:t>
            </w:r>
          </w:p>
          <w:p w14:paraId="5BE8A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100, 250</w:t>
            </w:r>
          </w:p>
        </w:tc>
        <w:tc>
          <w:tcPr>
            <w:tcW w:w="708" w:type="dxa"/>
          </w:tcPr>
          <w:p w14:paraId="08963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06A28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851" w:type="dxa"/>
          </w:tcPr>
          <w:p w14:paraId="2497A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1276" w:type="dxa"/>
          </w:tcPr>
          <w:p w14:paraId="69741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4837AE" w14:textId="77777777">
        <w:tc>
          <w:tcPr>
            <w:tcW w:w="1281" w:type="dxa"/>
          </w:tcPr>
          <w:p w14:paraId="27D220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 истребитель (ДИП М34 или М38)</w:t>
            </w:r>
          </w:p>
        </w:tc>
        <w:tc>
          <w:tcPr>
            <w:tcW w:w="670" w:type="dxa"/>
          </w:tcPr>
          <w:p w14:paraId="4346F3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720" w:type="dxa"/>
          </w:tcPr>
          <w:p w14:paraId="140009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78" w:type="dxa"/>
          </w:tcPr>
          <w:p w14:paraId="607FD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350/375/9</w:t>
            </w:r>
          </w:p>
        </w:tc>
        <w:tc>
          <w:tcPr>
            <w:tcW w:w="732" w:type="dxa"/>
          </w:tcPr>
          <w:p w14:paraId="23824A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789" w:type="dxa"/>
          </w:tcPr>
          <w:p w14:paraId="586B9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708" w:type="dxa"/>
          </w:tcPr>
          <w:p w14:paraId="32FD8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400/700</w:t>
            </w:r>
          </w:p>
        </w:tc>
        <w:tc>
          <w:tcPr>
            <w:tcW w:w="709" w:type="dxa"/>
          </w:tcPr>
          <w:p w14:paraId="4389C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-/500 </w:t>
            </w:r>
          </w:p>
        </w:tc>
        <w:tc>
          <w:tcPr>
            <w:tcW w:w="851" w:type="dxa"/>
          </w:tcPr>
          <w:p w14:paraId="18E2A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тяжелых и 2 легких пулемта</w:t>
            </w:r>
          </w:p>
        </w:tc>
        <w:tc>
          <w:tcPr>
            <w:tcW w:w="708" w:type="dxa"/>
          </w:tcPr>
          <w:p w14:paraId="4A0241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8DAA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CC7A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3CDE14" w14:textId="77777777">
        <w:tc>
          <w:tcPr>
            <w:tcW w:w="1281" w:type="dxa"/>
          </w:tcPr>
          <w:p w14:paraId="778CDB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 (И13-М32)</w:t>
            </w:r>
          </w:p>
        </w:tc>
        <w:tc>
          <w:tcPr>
            <w:tcW w:w="670" w:type="dxa"/>
          </w:tcPr>
          <w:p w14:paraId="71D7A1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1933 г.</w:t>
            </w:r>
          </w:p>
        </w:tc>
        <w:tc>
          <w:tcPr>
            <w:tcW w:w="720" w:type="dxa"/>
          </w:tcPr>
          <w:p w14:paraId="785F8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878" w:type="dxa"/>
          </w:tcPr>
          <w:p w14:paraId="03114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350-400/5000/7-8</w:t>
            </w:r>
          </w:p>
        </w:tc>
        <w:tc>
          <w:tcPr>
            <w:tcW w:w="732" w:type="dxa"/>
          </w:tcPr>
          <w:p w14:paraId="4960B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789" w:type="dxa"/>
          </w:tcPr>
          <w:p w14:paraId="1E6D6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656AA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709" w:type="dxa"/>
          </w:tcPr>
          <w:p w14:paraId="47BC9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851" w:type="dxa"/>
          </w:tcPr>
          <w:p w14:paraId="29170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 пулеметы</w:t>
            </w:r>
          </w:p>
          <w:p w14:paraId="7451E8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4х10</w:t>
            </w:r>
          </w:p>
        </w:tc>
        <w:tc>
          <w:tcPr>
            <w:tcW w:w="708" w:type="dxa"/>
          </w:tcPr>
          <w:p w14:paraId="05464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746FD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012A7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w:t>
            </w:r>
          </w:p>
        </w:tc>
        <w:tc>
          <w:tcPr>
            <w:tcW w:w="1276" w:type="dxa"/>
          </w:tcPr>
          <w:p w14:paraId="562C3D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73B6D9" w14:textId="77777777">
        <w:tc>
          <w:tcPr>
            <w:tcW w:w="1281" w:type="dxa"/>
          </w:tcPr>
          <w:p w14:paraId="0C2091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 истребитель (И14-М38)</w:t>
            </w:r>
          </w:p>
        </w:tc>
        <w:tc>
          <w:tcPr>
            <w:tcW w:w="670" w:type="dxa"/>
          </w:tcPr>
          <w:p w14:paraId="586801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 1933 г.</w:t>
            </w:r>
          </w:p>
        </w:tc>
        <w:tc>
          <w:tcPr>
            <w:tcW w:w="720" w:type="dxa"/>
          </w:tcPr>
          <w:p w14:paraId="2916E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878" w:type="dxa"/>
          </w:tcPr>
          <w:p w14:paraId="6E298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340-400/5000/7-8</w:t>
            </w:r>
          </w:p>
        </w:tc>
        <w:tc>
          <w:tcPr>
            <w:tcW w:w="732" w:type="dxa"/>
          </w:tcPr>
          <w:p w14:paraId="49A1A2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9000-10000</w:t>
            </w:r>
          </w:p>
        </w:tc>
        <w:tc>
          <w:tcPr>
            <w:tcW w:w="789" w:type="dxa"/>
          </w:tcPr>
          <w:p w14:paraId="58DD9A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708" w:type="dxa"/>
          </w:tcPr>
          <w:p w14:paraId="48784C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09" w:type="dxa"/>
          </w:tcPr>
          <w:p w14:paraId="4A1FE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43F65F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p w14:paraId="5DCB1E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4х10</w:t>
            </w:r>
          </w:p>
        </w:tc>
        <w:tc>
          <w:tcPr>
            <w:tcW w:w="708" w:type="dxa"/>
          </w:tcPr>
          <w:p w14:paraId="544DB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Сварные трубы</w:t>
            </w:r>
          </w:p>
          <w:p w14:paraId="45B1E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53EEC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1276" w:type="dxa"/>
          </w:tcPr>
          <w:p w14:paraId="0A24FF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BC339D" w14:textId="77777777">
        <w:tc>
          <w:tcPr>
            <w:tcW w:w="1281" w:type="dxa"/>
          </w:tcPr>
          <w:p w14:paraId="1A3A7D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 самолет, он же химический (ВС2-2М52)</w:t>
            </w:r>
          </w:p>
        </w:tc>
        <w:tc>
          <w:tcPr>
            <w:tcW w:w="670" w:type="dxa"/>
          </w:tcPr>
          <w:p w14:paraId="50F5E2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июля 1933 г. </w:t>
            </w:r>
            <w:r w:rsidRPr="00E93F40">
              <w:rPr>
                <w:rFonts w:ascii="Times New Roman" w:hAnsi="Times New Roman"/>
                <w:color w:val="000000" w:themeColor="text1"/>
                <w:sz w:val="16"/>
                <w:szCs w:val="16"/>
              </w:rPr>
              <w:lastRenderedPageBreak/>
              <w:t>выход на аэродром</w:t>
            </w:r>
          </w:p>
        </w:tc>
        <w:tc>
          <w:tcPr>
            <w:tcW w:w="720" w:type="dxa"/>
          </w:tcPr>
          <w:p w14:paraId="03F936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3000</w:t>
            </w:r>
          </w:p>
        </w:tc>
        <w:tc>
          <w:tcPr>
            <w:tcW w:w="878" w:type="dxa"/>
          </w:tcPr>
          <w:p w14:paraId="0AA86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250/-/12</w:t>
            </w:r>
          </w:p>
        </w:tc>
        <w:tc>
          <w:tcPr>
            <w:tcW w:w="732" w:type="dxa"/>
          </w:tcPr>
          <w:p w14:paraId="7A891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89" w:type="dxa"/>
          </w:tcPr>
          <w:p w14:paraId="778F58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w:t>
            </w:r>
          </w:p>
        </w:tc>
        <w:tc>
          <w:tcPr>
            <w:tcW w:w="708" w:type="dxa"/>
          </w:tcPr>
          <w:p w14:paraId="515377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350/600</w:t>
            </w:r>
          </w:p>
        </w:tc>
        <w:tc>
          <w:tcPr>
            <w:tcW w:w="709" w:type="dxa"/>
          </w:tcPr>
          <w:p w14:paraId="0A10F0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851" w:type="dxa"/>
          </w:tcPr>
          <w:p w14:paraId="46E7B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p w14:paraId="4362E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Калибры бомб – </w:t>
            </w:r>
            <w:r w:rsidRPr="00E93F40">
              <w:rPr>
                <w:rFonts w:ascii="Times New Roman" w:hAnsi="Times New Roman"/>
                <w:color w:val="000000" w:themeColor="text1"/>
                <w:sz w:val="16"/>
                <w:szCs w:val="16"/>
              </w:rPr>
              <w:lastRenderedPageBreak/>
              <w:t>10, 50, 100</w:t>
            </w:r>
          </w:p>
        </w:tc>
        <w:tc>
          <w:tcPr>
            <w:tcW w:w="708" w:type="dxa"/>
          </w:tcPr>
          <w:p w14:paraId="4532D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Сварные трубы</w:t>
            </w:r>
          </w:p>
          <w:p w14:paraId="4BBBA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Деревян. </w:t>
            </w:r>
          </w:p>
        </w:tc>
        <w:tc>
          <w:tcPr>
            <w:tcW w:w="851" w:type="dxa"/>
          </w:tcPr>
          <w:p w14:paraId="78DCF4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Р5</w:t>
            </w:r>
          </w:p>
          <w:p w14:paraId="4F8FF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К5</w:t>
            </w:r>
          </w:p>
        </w:tc>
        <w:tc>
          <w:tcPr>
            <w:tcW w:w="1276" w:type="dxa"/>
          </w:tcPr>
          <w:p w14:paraId="60948B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Вместо Р9 из плана № 1</w:t>
            </w:r>
          </w:p>
        </w:tc>
      </w:tr>
      <w:tr w:rsidR="00DA227A" w:rsidRPr="00E93F40" w14:paraId="1D2C9BF9" w14:textId="77777777">
        <w:tc>
          <w:tcPr>
            <w:tcW w:w="1281" w:type="dxa"/>
          </w:tcPr>
          <w:p w14:paraId="7814EF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Переходный для школ , он же корпусной разведчик (самолет местной авиации) (П3-М52)</w:t>
            </w:r>
          </w:p>
        </w:tc>
        <w:tc>
          <w:tcPr>
            <w:tcW w:w="670" w:type="dxa"/>
          </w:tcPr>
          <w:p w14:paraId="562FC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720" w:type="dxa"/>
          </w:tcPr>
          <w:p w14:paraId="01105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78" w:type="dxa"/>
          </w:tcPr>
          <w:p w14:paraId="6B31D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732" w:type="dxa"/>
          </w:tcPr>
          <w:p w14:paraId="7211B1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89" w:type="dxa"/>
          </w:tcPr>
          <w:p w14:paraId="2BC9E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708" w:type="dxa"/>
          </w:tcPr>
          <w:p w14:paraId="7CBDF7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709" w:type="dxa"/>
          </w:tcPr>
          <w:p w14:paraId="1EC66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3BA3D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708" w:type="dxa"/>
          </w:tcPr>
          <w:p w14:paraId="17503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851" w:type="dxa"/>
          </w:tcPr>
          <w:p w14:paraId="7C30C3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75CB8E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постройка ведется ВТУЗом ГУГВФ</w:t>
            </w:r>
          </w:p>
        </w:tc>
      </w:tr>
      <w:tr w:rsidR="00DA227A" w:rsidRPr="00E93F40" w14:paraId="7A436134" w14:textId="77777777">
        <w:tc>
          <w:tcPr>
            <w:tcW w:w="1281" w:type="dxa"/>
          </w:tcPr>
          <w:p w14:paraId="53686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Учебный самолет, он же связи и сопровождения (для туризма, спорта, легкий санитарный, местной авиации) (У3-М48) (модификация У2-М11)</w:t>
            </w:r>
          </w:p>
        </w:tc>
        <w:tc>
          <w:tcPr>
            <w:tcW w:w="670" w:type="dxa"/>
          </w:tcPr>
          <w:p w14:paraId="67C34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 1933 г.</w:t>
            </w:r>
          </w:p>
        </w:tc>
        <w:tc>
          <w:tcPr>
            <w:tcW w:w="720" w:type="dxa"/>
          </w:tcPr>
          <w:p w14:paraId="491A2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78" w:type="dxa"/>
          </w:tcPr>
          <w:p w14:paraId="0C005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732" w:type="dxa"/>
          </w:tcPr>
          <w:p w14:paraId="0344A7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89" w:type="dxa"/>
          </w:tcPr>
          <w:p w14:paraId="7BEBC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708" w:type="dxa"/>
          </w:tcPr>
          <w:p w14:paraId="1FDA8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709" w:type="dxa"/>
          </w:tcPr>
          <w:p w14:paraId="1CB193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63621D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 фото или радио</w:t>
            </w:r>
          </w:p>
        </w:tc>
        <w:tc>
          <w:tcPr>
            <w:tcW w:w="708" w:type="dxa"/>
          </w:tcPr>
          <w:p w14:paraId="4623E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w:t>
            </w:r>
          </w:p>
        </w:tc>
        <w:tc>
          <w:tcPr>
            <w:tcW w:w="851" w:type="dxa"/>
          </w:tcPr>
          <w:p w14:paraId="6B26D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1276" w:type="dxa"/>
          </w:tcPr>
          <w:p w14:paraId="4BA0FE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постройка ведется ВТУЗом ГУГВФ</w:t>
            </w:r>
          </w:p>
        </w:tc>
      </w:tr>
      <w:tr w:rsidR="00DA227A" w:rsidRPr="00E93F40" w14:paraId="473C1A5F" w14:textId="77777777">
        <w:tc>
          <w:tcPr>
            <w:tcW w:w="1281" w:type="dxa"/>
          </w:tcPr>
          <w:p w14:paraId="05F500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крейсер он же морской бомбардиров. торпедоносец (МК1-6М34 РН)</w:t>
            </w:r>
          </w:p>
        </w:tc>
        <w:tc>
          <w:tcPr>
            <w:tcW w:w="670" w:type="dxa"/>
          </w:tcPr>
          <w:p w14:paraId="232D7F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 1933 г.</w:t>
            </w:r>
          </w:p>
        </w:tc>
        <w:tc>
          <w:tcPr>
            <w:tcW w:w="720" w:type="dxa"/>
          </w:tcPr>
          <w:p w14:paraId="237140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8" w:type="dxa"/>
          </w:tcPr>
          <w:p w14:paraId="4AB39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215-230/4000/-</w:t>
            </w:r>
          </w:p>
        </w:tc>
        <w:tc>
          <w:tcPr>
            <w:tcW w:w="732" w:type="dxa"/>
          </w:tcPr>
          <w:p w14:paraId="664897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89" w:type="dxa"/>
          </w:tcPr>
          <w:p w14:paraId="09F868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708" w:type="dxa"/>
          </w:tcPr>
          <w:p w14:paraId="19BC0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750/1200</w:t>
            </w:r>
          </w:p>
        </w:tc>
        <w:tc>
          <w:tcPr>
            <w:tcW w:w="709" w:type="dxa"/>
          </w:tcPr>
          <w:p w14:paraId="5DC23A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500-1800 сообразно варианту применения/ 3500</w:t>
            </w:r>
          </w:p>
        </w:tc>
        <w:tc>
          <w:tcPr>
            <w:tcW w:w="851" w:type="dxa"/>
          </w:tcPr>
          <w:p w14:paraId="7F3D6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Военное снаряжение 1850 кг </w:t>
            </w:r>
          </w:p>
          <w:p w14:paraId="710AD9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перегрузке 2230 кг</w:t>
            </w:r>
          </w:p>
          <w:p w14:paraId="485544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 торпед 1800</w:t>
            </w:r>
          </w:p>
          <w:p w14:paraId="0A22C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Варианты бом-к, торпедонос.</w:t>
            </w:r>
          </w:p>
        </w:tc>
        <w:tc>
          <w:tcPr>
            <w:tcW w:w="708" w:type="dxa"/>
          </w:tcPr>
          <w:p w14:paraId="7385F5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751E2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211BE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строительст. принят Постановл. РВС от 5 августа 1931 года</w:t>
            </w:r>
          </w:p>
        </w:tc>
      </w:tr>
      <w:tr w:rsidR="00DA227A" w:rsidRPr="00E93F40" w14:paraId="6E6C9EA9" w14:textId="77777777">
        <w:tc>
          <w:tcPr>
            <w:tcW w:w="1281" w:type="dxa"/>
          </w:tcPr>
          <w:p w14:paraId="67CC9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дальний разведчик (МДР3 бис 3М34)</w:t>
            </w:r>
          </w:p>
        </w:tc>
        <w:tc>
          <w:tcPr>
            <w:tcW w:w="670" w:type="dxa"/>
          </w:tcPr>
          <w:p w14:paraId="2E160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DD111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7885E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42FBB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4E250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E1F4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EFF9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45D8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8847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584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A06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устанавлив. РВС и согласовыв. Глававиапромом</w:t>
            </w:r>
          </w:p>
        </w:tc>
      </w:tr>
      <w:tr w:rsidR="00DA227A" w:rsidRPr="00E93F40" w14:paraId="4BD538D5" w14:textId="77777777">
        <w:tc>
          <w:tcPr>
            <w:tcW w:w="1281" w:type="dxa"/>
          </w:tcPr>
          <w:p w14:paraId="580FB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Морской ближний разведчик «ФМФИБИЯ» (МБР5)</w:t>
            </w:r>
          </w:p>
        </w:tc>
        <w:tc>
          <w:tcPr>
            <w:tcW w:w="670" w:type="dxa"/>
          </w:tcPr>
          <w:p w14:paraId="6EA350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1933 г.</w:t>
            </w:r>
          </w:p>
        </w:tc>
        <w:tc>
          <w:tcPr>
            <w:tcW w:w="720" w:type="dxa"/>
          </w:tcPr>
          <w:p w14:paraId="0A543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78" w:type="dxa"/>
          </w:tcPr>
          <w:p w14:paraId="5C3B7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732" w:type="dxa"/>
          </w:tcPr>
          <w:p w14:paraId="70B589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789" w:type="dxa"/>
          </w:tcPr>
          <w:p w14:paraId="7F578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708" w:type="dxa"/>
          </w:tcPr>
          <w:p w14:paraId="5C97DD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500/800</w:t>
            </w:r>
          </w:p>
        </w:tc>
        <w:tc>
          <w:tcPr>
            <w:tcW w:w="709" w:type="dxa"/>
          </w:tcPr>
          <w:p w14:paraId="490BC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100/600</w:t>
            </w:r>
          </w:p>
        </w:tc>
        <w:tc>
          <w:tcPr>
            <w:tcW w:w="851" w:type="dxa"/>
          </w:tcPr>
          <w:p w14:paraId="63546D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пулем.</w:t>
            </w:r>
          </w:p>
          <w:p w14:paraId="38F43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10, 50, 100</w:t>
            </w:r>
          </w:p>
        </w:tc>
        <w:tc>
          <w:tcPr>
            <w:tcW w:w="708" w:type="dxa"/>
          </w:tcPr>
          <w:p w14:paraId="0AF83C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851" w:type="dxa"/>
          </w:tcPr>
          <w:p w14:paraId="7029C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w:t>
            </w:r>
          </w:p>
        </w:tc>
        <w:tc>
          <w:tcPr>
            <w:tcW w:w="1276" w:type="dxa"/>
          </w:tcPr>
          <w:p w14:paraId="0EBEE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ведет НИИ ГУГВФ</w:t>
            </w:r>
          </w:p>
        </w:tc>
      </w:tr>
      <w:tr w:rsidR="00DA227A" w:rsidRPr="00E93F40" w14:paraId="0CD1CEC0" w14:textId="77777777">
        <w:tc>
          <w:tcPr>
            <w:tcW w:w="1281" w:type="dxa"/>
          </w:tcPr>
          <w:p w14:paraId="4DF22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Тяжелый бомбовоз (К7-7М34)</w:t>
            </w:r>
          </w:p>
        </w:tc>
        <w:tc>
          <w:tcPr>
            <w:tcW w:w="670" w:type="dxa"/>
          </w:tcPr>
          <w:p w14:paraId="5ECD4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 выход на аэродром</w:t>
            </w:r>
          </w:p>
        </w:tc>
        <w:tc>
          <w:tcPr>
            <w:tcW w:w="720" w:type="dxa"/>
          </w:tcPr>
          <w:p w14:paraId="03846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8" w:type="dxa"/>
          </w:tcPr>
          <w:p w14:paraId="0A2C2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w:t>
            </w:r>
          </w:p>
        </w:tc>
        <w:tc>
          <w:tcPr>
            <w:tcW w:w="732" w:type="dxa"/>
          </w:tcPr>
          <w:p w14:paraId="5B57EF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3650</w:t>
            </w:r>
          </w:p>
        </w:tc>
        <w:tc>
          <w:tcPr>
            <w:tcW w:w="789" w:type="dxa"/>
          </w:tcPr>
          <w:p w14:paraId="57815E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190DC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709" w:type="dxa"/>
          </w:tcPr>
          <w:p w14:paraId="4039C9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03E6FA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пулем. и пушки</w:t>
            </w:r>
          </w:p>
          <w:p w14:paraId="4F1FC5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 – 250, 500, 1000</w:t>
            </w:r>
          </w:p>
        </w:tc>
        <w:tc>
          <w:tcPr>
            <w:tcW w:w="708" w:type="dxa"/>
          </w:tcPr>
          <w:p w14:paraId="10DA9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851" w:type="dxa"/>
          </w:tcPr>
          <w:p w14:paraId="2C4C04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7B65D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ГРОСС</w:t>
            </w:r>
          </w:p>
        </w:tc>
      </w:tr>
      <w:tr w:rsidR="00DA227A" w:rsidRPr="00E93F40" w14:paraId="6BC336EF" w14:textId="77777777">
        <w:tc>
          <w:tcPr>
            <w:tcW w:w="1281" w:type="dxa"/>
          </w:tcPr>
          <w:p w14:paraId="67F55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 самолет, он же рекордный на высоту</w:t>
            </w:r>
          </w:p>
        </w:tc>
        <w:tc>
          <w:tcPr>
            <w:tcW w:w="670" w:type="dxa"/>
          </w:tcPr>
          <w:p w14:paraId="4965F0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1933 г.</w:t>
            </w:r>
          </w:p>
        </w:tc>
        <w:tc>
          <w:tcPr>
            <w:tcW w:w="720" w:type="dxa"/>
          </w:tcPr>
          <w:p w14:paraId="66C0F2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10000-12000</w:t>
            </w:r>
          </w:p>
        </w:tc>
        <w:tc>
          <w:tcPr>
            <w:tcW w:w="878" w:type="dxa"/>
          </w:tcPr>
          <w:p w14:paraId="133040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32" w:type="dxa"/>
          </w:tcPr>
          <w:p w14:paraId="3D1DA8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789" w:type="dxa"/>
          </w:tcPr>
          <w:p w14:paraId="35D7D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B06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14F1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923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FDFF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517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48ACC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3C59D9" w14:textId="77777777">
        <w:tc>
          <w:tcPr>
            <w:tcW w:w="1281" w:type="dxa"/>
          </w:tcPr>
          <w:p w14:paraId="3B1F6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на дальность</w:t>
            </w:r>
          </w:p>
        </w:tc>
        <w:tc>
          <w:tcPr>
            <w:tcW w:w="670" w:type="dxa"/>
          </w:tcPr>
          <w:p w14:paraId="3EB41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Август 1932 г.</w:t>
            </w:r>
          </w:p>
        </w:tc>
        <w:tc>
          <w:tcPr>
            <w:tcW w:w="720" w:type="dxa"/>
          </w:tcPr>
          <w:p w14:paraId="1F2BF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753618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374C6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0869D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0BE3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7B77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A4D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3A30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CFE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21EF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3FFC9B" w14:textId="77777777">
        <w:tc>
          <w:tcPr>
            <w:tcW w:w="1281" w:type="dxa"/>
          </w:tcPr>
          <w:p w14:paraId="5E4F9C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летающее крыло (парабола 2М11 Черановского)</w:t>
            </w:r>
          </w:p>
        </w:tc>
        <w:tc>
          <w:tcPr>
            <w:tcW w:w="670" w:type="dxa"/>
          </w:tcPr>
          <w:p w14:paraId="2F374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 1933 г.</w:t>
            </w:r>
          </w:p>
        </w:tc>
        <w:tc>
          <w:tcPr>
            <w:tcW w:w="720" w:type="dxa"/>
          </w:tcPr>
          <w:p w14:paraId="76AB3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210D9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2AD14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64F71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6FC2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0FF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CB6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A92D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392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B25B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FDCE9A" w14:textId="77777777">
        <w:tc>
          <w:tcPr>
            <w:tcW w:w="1281" w:type="dxa"/>
          </w:tcPr>
          <w:p w14:paraId="0ECA76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особым типом разрезных крыльев (системы Кричевского)</w:t>
            </w:r>
          </w:p>
        </w:tc>
        <w:tc>
          <w:tcPr>
            <w:tcW w:w="670" w:type="dxa"/>
          </w:tcPr>
          <w:p w14:paraId="08334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 1932 г.</w:t>
            </w:r>
          </w:p>
        </w:tc>
        <w:tc>
          <w:tcPr>
            <w:tcW w:w="720" w:type="dxa"/>
          </w:tcPr>
          <w:p w14:paraId="32DAD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0FD96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275EC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20F12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EEE1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5044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5A92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AA6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DDD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B375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711F9C" w14:textId="77777777">
        <w:tc>
          <w:tcPr>
            <w:tcW w:w="1281" w:type="dxa"/>
          </w:tcPr>
          <w:p w14:paraId="77EBD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 (ВГ2)</w:t>
            </w:r>
          </w:p>
        </w:tc>
        <w:tc>
          <w:tcPr>
            <w:tcW w:w="670" w:type="dxa"/>
          </w:tcPr>
          <w:p w14:paraId="2DC80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июля </w:t>
            </w:r>
            <w:r w:rsidRPr="00E93F40">
              <w:rPr>
                <w:rFonts w:ascii="Times New Roman" w:hAnsi="Times New Roman"/>
                <w:color w:val="000000" w:themeColor="text1"/>
                <w:sz w:val="16"/>
                <w:szCs w:val="16"/>
              </w:rPr>
              <w:lastRenderedPageBreak/>
              <w:t>1932 г.</w:t>
            </w:r>
          </w:p>
        </w:tc>
        <w:tc>
          <w:tcPr>
            <w:tcW w:w="720" w:type="dxa"/>
          </w:tcPr>
          <w:p w14:paraId="6D70E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209B3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7E7DBD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38CC2F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C550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AF9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E438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A49F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42FE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F34D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924028" w14:textId="77777777">
        <w:tc>
          <w:tcPr>
            <w:tcW w:w="1281" w:type="dxa"/>
          </w:tcPr>
          <w:p w14:paraId="23D65E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М11</w:t>
            </w:r>
          </w:p>
        </w:tc>
        <w:tc>
          <w:tcPr>
            <w:tcW w:w="670" w:type="dxa"/>
          </w:tcPr>
          <w:p w14:paraId="71F0F1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w:t>
            </w:r>
          </w:p>
        </w:tc>
        <w:tc>
          <w:tcPr>
            <w:tcW w:w="720" w:type="dxa"/>
          </w:tcPr>
          <w:p w14:paraId="437E2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59AF0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A1919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1FEAB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C3D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69C41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953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F196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6A2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94B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A5801C" w14:textId="77777777">
        <w:tc>
          <w:tcPr>
            <w:tcW w:w="1281" w:type="dxa"/>
          </w:tcPr>
          <w:p w14:paraId="4EB41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М22</w:t>
            </w:r>
          </w:p>
        </w:tc>
        <w:tc>
          <w:tcPr>
            <w:tcW w:w="670" w:type="dxa"/>
          </w:tcPr>
          <w:p w14:paraId="6E9C0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720" w:type="dxa"/>
          </w:tcPr>
          <w:p w14:paraId="71C1D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34BF5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B740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1C3798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BDEDA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79B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9DA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D563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69E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B162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B75048" w14:textId="77777777">
        <w:tc>
          <w:tcPr>
            <w:tcW w:w="1281" w:type="dxa"/>
          </w:tcPr>
          <w:p w14:paraId="1730AC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реактивным двигателем</w:t>
            </w:r>
          </w:p>
        </w:tc>
        <w:tc>
          <w:tcPr>
            <w:tcW w:w="670" w:type="dxa"/>
          </w:tcPr>
          <w:p w14:paraId="414389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7061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1ED1E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760BAD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38FD0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F4B2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F264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196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8F9A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397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39770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Работу ведет Гидродинамическая лаборатория</w:t>
            </w:r>
          </w:p>
        </w:tc>
      </w:tr>
      <w:tr w:rsidR="00DA227A" w:rsidRPr="00E93F40" w14:paraId="2313B597" w14:textId="77777777">
        <w:tc>
          <w:tcPr>
            <w:tcW w:w="1281" w:type="dxa"/>
          </w:tcPr>
          <w:p w14:paraId="7A8F9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раздвижными крыльями (У3 бис М48)</w:t>
            </w:r>
          </w:p>
        </w:tc>
        <w:tc>
          <w:tcPr>
            <w:tcW w:w="670" w:type="dxa"/>
          </w:tcPr>
          <w:p w14:paraId="728F3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w:t>
            </w:r>
          </w:p>
        </w:tc>
        <w:tc>
          <w:tcPr>
            <w:tcW w:w="720" w:type="dxa"/>
          </w:tcPr>
          <w:p w14:paraId="7B2F64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78" w:type="dxa"/>
          </w:tcPr>
          <w:p w14:paraId="642E7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732" w:type="dxa"/>
          </w:tcPr>
          <w:p w14:paraId="6601C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789" w:type="dxa"/>
          </w:tcPr>
          <w:p w14:paraId="6E595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c>
          <w:tcPr>
            <w:tcW w:w="708" w:type="dxa"/>
          </w:tcPr>
          <w:p w14:paraId="73C60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709" w:type="dxa"/>
          </w:tcPr>
          <w:p w14:paraId="0EE1F7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0DD3B7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Легк. пулем. </w:t>
            </w:r>
          </w:p>
        </w:tc>
        <w:tc>
          <w:tcPr>
            <w:tcW w:w="708" w:type="dxa"/>
          </w:tcPr>
          <w:p w14:paraId="0E3E76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851" w:type="dxa"/>
          </w:tcPr>
          <w:p w14:paraId="0D4E6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149E97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 и постройку ведет ВТУЗ ГУГВФа</w:t>
            </w:r>
          </w:p>
        </w:tc>
      </w:tr>
      <w:tr w:rsidR="00DA227A" w:rsidRPr="00E93F40" w14:paraId="5F88F533" w14:textId="77777777">
        <w:tc>
          <w:tcPr>
            <w:tcW w:w="1281" w:type="dxa"/>
          </w:tcPr>
          <w:p w14:paraId="462A2C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нефтяным двигателем Паккард</w:t>
            </w:r>
          </w:p>
        </w:tc>
        <w:tc>
          <w:tcPr>
            <w:tcW w:w="670" w:type="dxa"/>
          </w:tcPr>
          <w:p w14:paraId="5AF96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07D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21D5D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488E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3230E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8791D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964E1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304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D0A06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9828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C5A4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мотора производит ГУГВФ</w:t>
            </w:r>
          </w:p>
        </w:tc>
      </w:tr>
      <w:tr w:rsidR="00DA227A" w:rsidRPr="00E93F40" w14:paraId="36553CFB" w14:textId="77777777">
        <w:tc>
          <w:tcPr>
            <w:tcW w:w="1281" w:type="dxa"/>
          </w:tcPr>
          <w:p w14:paraId="24338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подлодок (СПЛ)</w:t>
            </w:r>
          </w:p>
        </w:tc>
        <w:tc>
          <w:tcPr>
            <w:tcW w:w="670" w:type="dxa"/>
          </w:tcPr>
          <w:p w14:paraId="67060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w:t>
            </w:r>
          </w:p>
        </w:tc>
        <w:tc>
          <w:tcPr>
            <w:tcW w:w="720" w:type="dxa"/>
          </w:tcPr>
          <w:p w14:paraId="6D3B3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12B42E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57908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2F3E44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C4D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6D3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2FE8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7E6FB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565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2E97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устанавлив. особо.</w:t>
            </w:r>
          </w:p>
          <w:p w14:paraId="425AF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проектиров. и постр. находит УВВС.</w:t>
            </w:r>
          </w:p>
        </w:tc>
      </w:tr>
      <w:tr w:rsidR="00DA227A" w:rsidRPr="00E93F40" w14:paraId="3CD95DF3" w14:textId="77777777">
        <w:tc>
          <w:tcPr>
            <w:tcW w:w="1281" w:type="dxa"/>
          </w:tcPr>
          <w:p w14:paraId="7F114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Особой группы</w:t>
            </w:r>
          </w:p>
        </w:tc>
        <w:tc>
          <w:tcPr>
            <w:tcW w:w="670" w:type="dxa"/>
          </w:tcPr>
          <w:p w14:paraId="54F46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1ED5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1D043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45BD2B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054DAB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FA81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2BFE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C07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B8904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7F9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9602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554A5E" w14:textId="77777777">
        <w:tc>
          <w:tcPr>
            <w:tcW w:w="1281" w:type="dxa"/>
          </w:tcPr>
          <w:p w14:paraId="79F61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«Таран» (ТА1)</w:t>
            </w:r>
          </w:p>
        </w:tc>
        <w:tc>
          <w:tcPr>
            <w:tcW w:w="670" w:type="dxa"/>
          </w:tcPr>
          <w:p w14:paraId="715353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20" w:type="dxa"/>
          </w:tcPr>
          <w:p w14:paraId="24AB8E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78" w:type="dxa"/>
          </w:tcPr>
          <w:p w14:paraId="648A0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400/-/6</w:t>
            </w:r>
          </w:p>
        </w:tc>
        <w:tc>
          <w:tcPr>
            <w:tcW w:w="732" w:type="dxa"/>
          </w:tcPr>
          <w:p w14:paraId="1D36E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789" w:type="dxa"/>
          </w:tcPr>
          <w:p w14:paraId="5EDA1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8" w:type="dxa"/>
          </w:tcPr>
          <w:p w14:paraId="6F0BB2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w:t>
            </w:r>
          </w:p>
        </w:tc>
        <w:tc>
          <w:tcPr>
            <w:tcW w:w="709" w:type="dxa"/>
          </w:tcPr>
          <w:p w14:paraId="2ECA7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851" w:type="dxa"/>
          </w:tcPr>
          <w:p w14:paraId="288AA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ЗАМы</w:t>
            </w:r>
          </w:p>
        </w:tc>
        <w:tc>
          <w:tcPr>
            <w:tcW w:w="708" w:type="dxa"/>
          </w:tcPr>
          <w:p w14:paraId="698707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7C384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164E4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6712D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p w14:paraId="5A11316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«Особой группы» строятся в порядке особой засекреченности, не проходя обычных путей разработки и утверждения требований и макетов.</w:t>
      </w:r>
    </w:p>
    <w:p w14:paraId="60A23F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этой группы проходят специальные испытания и быть введенными на вооружение ВВС в мирное время не предполагаются.</w:t>
      </w:r>
    </w:p>
    <w:p w14:paraId="4B7C11D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71C52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3969"/>
        <w:gridCol w:w="4394"/>
      </w:tblGrid>
      <w:tr w:rsidR="00DA227A" w:rsidRPr="00E93F40" w14:paraId="3D3E643D" w14:textId="77777777">
        <w:tc>
          <w:tcPr>
            <w:tcW w:w="1384" w:type="dxa"/>
          </w:tcPr>
          <w:p w14:paraId="3274F0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3969" w:type="dxa"/>
          </w:tcPr>
          <w:p w14:paraId="4B3A7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модификации</w:t>
            </w:r>
          </w:p>
        </w:tc>
        <w:tc>
          <w:tcPr>
            <w:tcW w:w="4394" w:type="dxa"/>
          </w:tcPr>
          <w:p w14:paraId="1CC143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r>
      <w:tr w:rsidR="00DA227A" w:rsidRPr="00E93F40" w14:paraId="26FF2777" w14:textId="77777777">
        <w:tc>
          <w:tcPr>
            <w:tcW w:w="1384" w:type="dxa"/>
          </w:tcPr>
          <w:p w14:paraId="1D985E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3969" w:type="dxa"/>
          </w:tcPr>
          <w:p w14:paraId="796EA6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моторов М34</w:t>
            </w:r>
          </w:p>
        </w:tc>
        <w:tc>
          <w:tcPr>
            <w:tcW w:w="4394" w:type="dxa"/>
          </w:tcPr>
          <w:p w14:paraId="24E602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 выход на аэродром</w:t>
            </w:r>
          </w:p>
        </w:tc>
      </w:tr>
      <w:tr w:rsidR="00DA227A" w:rsidRPr="00E93F40" w14:paraId="3FF6B590" w14:textId="77777777">
        <w:tc>
          <w:tcPr>
            <w:tcW w:w="1384" w:type="dxa"/>
          </w:tcPr>
          <w:p w14:paraId="2599BF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ТШ3-М34</w:t>
            </w:r>
          </w:p>
        </w:tc>
        <w:tc>
          <w:tcPr>
            <w:tcW w:w="3969" w:type="dxa"/>
          </w:tcPr>
          <w:p w14:paraId="164D84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w:t>
            </w:r>
          </w:p>
        </w:tc>
        <w:tc>
          <w:tcPr>
            <w:tcW w:w="4394" w:type="dxa"/>
          </w:tcPr>
          <w:p w14:paraId="36DC64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 Данные и срок уточнить с ВВС.</w:t>
            </w:r>
          </w:p>
        </w:tc>
      </w:tr>
      <w:tr w:rsidR="00DA227A" w:rsidRPr="00E93F40" w14:paraId="28015948" w14:textId="77777777">
        <w:tc>
          <w:tcPr>
            <w:tcW w:w="1384" w:type="dxa"/>
          </w:tcPr>
          <w:p w14:paraId="76A03E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3969" w:type="dxa"/>
          </w:tcPr>
          <w:p w14:paraId="7C90C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Замена мотора М17 на мотор М34</w:t>
            </w:r>
          </w:p>
        </w:tc>
        <w:tc>
          <w:tcPr>
            <w:tcW w:w="4394" w:type="dxa"/>
          </w:tcPr>
          <w:p w14:paraId="5871F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года. Заводские испытания. Испытания мотора М34.</w:t>
            </w:r>
          </w:p>
        </w:tc>
      </w:tr>
      <w:tr w:rsidR="00DA227A" w:rsidRPr="00E93F40" w14:paraId="56D501F6" w14:textId="77777777">
        <w:tc>
          <w:tcPr>
            <w:tcW w:w="1384" w:type="dxa"/>
          </w:tcPr>
          <w:p w14:paraId="56CAE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Р5-М34</w:t>
            </w:r>
          </w:p>
        </w:tc>
        <w:tc>
          <w:tcPr>
            <w:tcW w:w="3969" w:type="dxa"/>
          </w:tcPr>
          <w:p w14:paraId="420D1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эталона машины</w:t>
            </w:r>
          </w:p>
        </w:tc>
        <w:tc>
          <w:tcPr>
            <w:tcW w:w="4394" w:type="dxa"/>
          </w:tcPr>
          <w:p w14:paraId="0ABEDA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октября 1932 года. Заводские испытания.</w:t>
            </w:r>
          </w:p>
        </w:tc>
      </w:tr>
      <w:tr w:rsidR="00DA227A" w:rsidRPr="00E93F40" w14:paraId="2BAE4BF0" w14:textId="77777777">
        <w:tc>
          <w:tcPr>
            <w:tcW w:w="1384" w:type="dxa"/>
          </w:tcPr>
          <w:p w14:paraId="44B927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3969" w:type="dxa"/>
          </w:tcPr>
          <w:p w14:paraId="0E204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тормозного шасси и тормозных колес.</w:t>
            </w:r>
          </w:p>
        </w:tc>
        <w:tc>
          <w:tcPr>
            <w:tcW w:w="4394" w:type="dxa"/>
          </w:tcPr>
          <w:p w14:paraId="07323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 Заводские испытания.</w:t>
            </w:r>
          </w:p>
        </w:tc>
      </w:tr>
      <w:tr w:rsidR="00DA227A" w:rsidRPr="00E93F40" w14:paraId="6059164C" w14:textId="77777777">
        <w:tc>
          <w:tcPr>
            <w:tcW w:w="1384" w:type="dxa"/>
          </w:tcPr>
          <w:p w14:paraId="58A3F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 бис</w:t>
            </w:r>
          </w:p>
        </w:tc>
        <w:tc>
          <w:tcPr>
            <w:tcW w:w="3969" w:type="dxa"/>
          </w:tcPr>
          <w:p w14:paraId="25A0B5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w:t>
            </w:r>
          </w:p>
        </w:tc>
        <w:tc>
          <w:tcPr>
            <w:tcW w:w="4394" w:type="dxa"/>
          </w:tcPr>
          <w:p w14:paraId="215BF8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w:t>
            </w:r>
          </w:p>
        </w:tc>
      </w:tr>
      <w:tr w:rsidR="00DA227A" w:rsidRPr="00E93F40" w14:paraId="0B49FB49" w14:textId="77777777">
        <w:tc>
          <w:tcPr>
            <w:tcW w:w="1384" w:type="dxa"/>
          </w:tcPr>
          <w:p w14:paraId="54B94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И12-2М22</w:t>
            </w:r>
          </w:p>
        </w:tc>
        <w:tc>
          <w:tcPr>
            <w:tcW w:w="3969" w:type="dxa"/>
          </w:tcPr>
          <w:p w14:paraId="63BCB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второго модифицированного экземпляра</w:t>
            </w:r>
          </w:p>
        </w:tc>
        <w:tc>
          <w:tcPr>
            <w:tcW w:w="4394" w:type="dxa"/>
          </w:tcPr>
          <w:p w14:paraId="5AF1D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w:t>
            </w:r>
          </w:p>
        </w:tc>
      </w:tr>
      <w:tr w:rsidR="00DA227A" w:rsidRPr="00E93F40" w14:paraId="40003A3B" w14:textId="77777777">
        <w:tc>
          <w:tcPr>
            <w:tcW w:w="1384" w:type="dxa"/>
          </w:tcPr>
          <w:p w14:paraId="3039C4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3969" w:type="dxa"/>
          </w:tcPr>
          <w:p w14:paraId="33244C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4394" w:type="dxa"/>
          </w:tcPr>
          <w:p w14:paraId="128629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r>
      <w:tr w:rsidR="00DA227A" w:rsidRPr="00E93F40" w14:paraId="241BC1A1" w14:textId="77777777">
        <w:tc>
          <w:tcPr>
            <w:tcW w:w="1384" w:type="dxa"/>
          </w:tcPr>
          <w:p w14:paraId="63C6B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3969" w:type="dxa"/>
          </w:tcPr>
          <w:p w14:paraId="5AAB8C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4394" w:type="dxa"/>
          </w:tcPr>
          <w:p w14:paraId="02417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r>
      <w:tr w:rsidR="00DA227A" w:rsidRPr="00E93F40" w14:paraId="02D25582" w14:textId="77777777">
        <w:tc>
          <w:tcPr>
            <w:tcW w:w="1384" w:type="dxa"/>
          </w:tcPr>
          <w:p w14:paraId="57DFF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3969" w:type="dxa"/>
          </w:tcPr>
          <w:p w14:paraId="46FAE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 для химцелей</w:t>
            </w:r>
          </w:p>
        </w:tc>
        <w:tc>
          <w:tcPr>
            <w:tcW w:w="4394" w:type="dxa"/>
          </w:tcPr>
          <w:p w14:paraId="22932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w:t>
            </w:r>
          </w:p>
        </w:tc>
      </w:tr>
      <w:tr w:rsidR="00DA227A" w:rsidRPr="00E93F40" w14:paraId="075BD302" w14:textId="77777777">
        <w:tc>
          <w:tcPr>
            <w:tcW w:w="1384" w:type="dxa"/>
          </w:tcPr>
          <w:p w14:paraId="5A270A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3969" w:type="dxa"/>
          </w:tcPr>
          <w:p w14:paraId="26B7C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на поплавки</w:t>
            </w:r>
          </w:p>
        </w:tc>
        <w:tc>
          <w:tcPr>
            <w:tcW w:w="4394" w:type="dxa"/>
          </w:tcPr>
          <w:p w14:paraId="737C6C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 Заводские испытания.</w:t>
            </w:r>
          </w:p>
        </w:tc>
      </w:tr>
    </w:tbl>
    <w:p w14:paraId="68BA9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(3530,33-38).</w:t>
      </w:r>
    </w:p>
    <w:p w14:paraId="5990D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E975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июля 1932 г. в гражданской авиации было уже 24 П-5 (в том числе 10 в школах). Постепенно поставки нарастали, а аварийность была небольшой, и на 1 октября 1935 г. насчитывалось уже 603 машины. Большая час1ь П-5 эксплуатировалась как почтовые и грузовые самолеты.</w:t>
      </w:r>
    </w:p>
    <w:p w14:paraId="08443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3C5E9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1331C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78AE7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5955F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5D0A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июля 1932 г. в гражданской авиации было уже 24 Р-5 без вооружения (в том числе 10 в летных школах). Это было гораздо меньше, чем хотело руководство отрасли: только в 1931/32 финансовом году оно рассчитывало приобрести 68 самолетов. Но приоритет отдавался заказам ВВС. Первоначально в ГВФ передавали обычные военные машины, но без вооружения и спецоборудованпя. Постепенно парк самолетов рос, потому что убыль от аварий была небольшая: четыре машины в 1931 г., столько же в следующем (12034).</w:t>
      </w:r>
    </w:p>
    <w:p w14:paraId="795AA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457A71"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июля 1932 г. в гражданской авиации было уже 24 Р-5 без вооружения (в том числе 10 в летных школах). Это было гораздо меньше, чем хотело руководство отрас</w:t>
      </w:r>
      <w:r w:rsidRPr="00142305">
        <w:rPr>
          <w:rFonts w:ascii="Times New Roman" w:hAnsi="Times New Roman"/>
          <w:color w:val="0070C0"/>
          <w:sz w:val="16"/>
          <w:szCs w:val="16"/>
        </w:rPr>
        <w:softHyphen/>
        <w:t>ли: только в 1931/32 финансовом году оно рассчитывало приобрести 68 самолетов. Но приоритет отдавался зака</w:t>
      </w:r>
      <w:r w:rsidRPr="00142305">
        <w:rPr>
          <w:rFonts w:ascii="Times New Roman" w:hAnsi="Times New Roman"/>
          <w:color w:val="0070C0"/>
          <w:sz w:val="16"/>
          <w:szCs w:val="16"/>
        </w:rPr>
        <w:softHyphen/>
        <w:t>зам ВВС. Первоначально в ГВФ передавали обычные во</w:t>
      </w:r>
      <w:r w:rsidRPr="00142305">
        <w:rPr>
          <w:rFonts w:ascii="Times New Roman" w:hAnsi="Times New Roman"/>
          <w:color w:val="0070C0"/>
          <w:sz w:val="16"/>
          <w:szCs w:val="16"/>
        </w:rPr>
        <w:softHyphen/>
        <w:t>енные машины, но без вооружения и спецоборудования. Постепенно парк самолетов рос, потому что убыль от ава</w:t>
      </w:r>
      <w:r w:rsidRPr="00142305">
        <w:rPr>
          <w:rFonts w:ascii="Times New Roman" w:hAnsi="Times New Roman"/>
          <w:color w:val="0070C0"/>
          <w:sz w:val="16"/>
          <w:szCs w:val="16"/>
        </w:rPr>
        <w:softHyphen/>
        <w:t>рий была небольшая: четыре машины в 1931 г., столько же в следующем (24990).</w:t>
      </w:r>
    </w:p>
    <w:p w14:paraId="06772AEE" w14:textId="77777777" w:rsidR="003F4A45" w:rsidRPr="00142305" w:rsidRDefault="003F4A45" w:rsidP="003F4A45">
      <w:pPr>
        <w:spacing w:after="0" w:line="240" w:lineRule="auto"/>
        <w:jc w:val="both"/>
        <w:rPr>
          <w:rFonts w:ascii="Times New Roman" w:hAnsi="Times New Roman"/>
          <w:color w:val="0070C0"/>
          <w:sz w:val="16"/>
          <w:szCs w:val="16"/>
        </w:rPr>
      </w:pPr>
    </w:p>
    <w:p w14:paraId="67CA9803" w14:textId="77777777" w:rsidR="00546AF4" w:rsidRPr="00E93F40" w:rsidRDefault="00546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июля 1932 состоялось заседание ПБ (Протокол № 106) </w:t>
      </w:r>
    </w:p>
    <w:p w14:paraId="623692CA" w14:textId="77777777" w:rsidR="00546AF4" w:rsidRPr="00E93F40" w:rsidRDefault="00546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июня 1932 опросом членов ПБ</w:t>
      </w:r>
    </w:p>
    <w:p w14:paraId="62AA3835" w14:textId="77777777" w:rsidR="00546AF4" w:rsidRPr="00E93F40" w:rsidRDefault="00546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84/47.- О предложениях т.т. Кагановича, Молотова, Ворошилова</w:t>
      </w:r>
    </w:p>
    <w:p w14:paraId="373B2784" w14:textId="77777777" w:rsidR="00546AF4" w:rsidRPr="00E93F40" w:rsidRDefault="00546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расследований причин последних самолетных катастроф, в первую очередь причин последней катастро</w:t>
      </w:r>
      <w:r w:rsidRPr="00E93F40">
        <w:rPr>
          <w:rFonts w:ascii="Times New Roman" w:hAnsi="Times New Roman"/>
          <w:color w:val="000000" w:themeColor="text1"/>
          <w:sz w:val="16"/>
          <w:szCs w:val="16"/>
        </w:rPr>
        <w:softHyphen/>
        <w:t>фы ПВЗ (происпедшей 29 июня около деревни Митино) соз</w:t>
      </w:r>
      <w:r w:rsidRPr="00E93F40">
        <w:rPr>
          <w:rFonts w:ascii="Times New Roman" w:hAnsi="Times New Roman"/>
          <w:color w:val="000000" w:themeColor="text1"/>
          <w:sz w:val="16"/>
          <w:szCs w:val="16"/>
        </w:rPr>
        <w:softHyphen/>
        <w:t>дать комиссию в составе т.т. Постышева (пред.), Ягоды, Антипова и Гольцмана.</w:t>
      </w:r>
    </w:p>
    <w:p w14:paraId="7367B9C2" w14:textId="77777777" w:rsidR="00546AF4" w:rsidRPr="00E93F40" w:rsidRDefault="00546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Комиссии немедленно приступить к работе н до</w:t>
      </w:r>
      <w:r w:rsidRPr="00E93F40">
        <w:rPr>
          <w:rFonts w:ascii="Times New Roman" w:hAnsi="Times New Roman"/>
          <w:color w:val="000000" w:themeColor="text1"/>
          <w:sz w:val="16"/>
          <w:szCs w:val="16"/>
        </w:rPr>
        <w:softHyphen/>
        <w:t>ложить о результатах расследования катастофы ПВЗ в двухдневный срок.</w:t>
      </w:r>
    </w:p>
    <w:p w14:paraId="6D4E3A44" w14:textId="77777777" w:rsidR="00546AF4" w:rsidRPr="00E93F40" w:rsidRDefault="00546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Комиссию оформить в советском порядке, как правительственную комиссию.</w:t>
      </w:r>
    </w:p>
    <w:p w14:paraId="6D1E2708" w14:textId="77777777" w:rsidR="00546AF4" w:rsidRPr="00E93F40" w:rsidRDefault="00546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Постышеву, Ягоде, Антипову, Гольцману, Керженцеву (23051).</w:t>
      </w:r>
    </w:p>
    <w:p w14:paraId="38CC4023" w14:textId="77777777" w:rsidR="00546AF4" w:rsidRPr="00E93F40" w:rsidRDefault="00546AF4" w:rsidP="00E93F40">
      <w:pPr>
        <w:spacing w:after="0" w:line="240" w:lineRule="auto"/>
        <w:jc w:val="both"/>
        <w:rPr>
          <w:rFonts w:ascii="Times New Roman" w:hAnsi="Times New Roman"/>
          <w:color w:val="000000" w:themeColor="text1"/>
          <w:sz w:val="16"/>
          <w:szCs w:val="16"/>
        </w:rPr>
      </w:pPr>
    </w:p>
    <w:p w14:paraId="2712DE0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9DBE24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38542D8" w14:textId="77777777" w:rsidR="00AC0F3E" w:rsidRPr="00E93F40" w:rsidRDefault="00AC0F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июля 1932 ОАО выполнило толь</w:t>
      </w:r>
      <w:r w:rsidRPr="00E93F40">
        <w:rPr>
          <w:rFonts w:ascii="Times New Roman" w:hAnsi="Times New Roman"/>
          <w:color w:val="000000" w:themeColor="text1"/>
          <w:sz w:val="16"/>
          <w:szCs w:val="16"/>
        </w:rPr>
        <w:softHyphen/>
        <w:t>ко 51,5% плана и 25,2% годовой программы, Вохимтрест, вскоре преобразованный в объединение (ВХО), - соответственно 63 и 25,4%. Несколько лучше обстояло дело в Ружобъединении: 85,6 и 34,9%, в Патрубвзрыве: 85,6 и 30,4%, в Глававиапроме - 82,6 и 32,3%</w:t>
      </w:r>
      <w:bookmarkStart w:id="38" w:name="_ednref72"/>
      <w:r w:rsidRPr="00E93F40">
        <w:rPr>
          <w:rFonts w:ascii="Times New Roman" w:hAnsi="Times New Roman"/>
          <w:color w:val="000000" w:themeColor="text1"/>
          <w:sz w:val="16"/>
          <w:szCs w:val="16"/>
        </w:rPr>
        <w:t xml:space="preserve"> (18393)</w:t>
      </w:r>
      <w:bookmarkEnd w:id="38"/>
      <w:r w:rsidRPr="00E93F40">
        <w:rPr>
          <w:rFonts w:ascii="Times New Roman" w:hAnsi="Times New Roman"/>
          <w:color w:val="000000" w:themeColor="text1"/>
          <w:sz w:val="16"/>
          <w:szCs w:val="16"/>
        </w:rPr>
        <w:t>.</w:t>
      </w:r>
    </w:p>
    <w:p w14:paraId="4A622C03" w14:textId="77777777" w:rsidR="00AC0F3E" w:rsidRPr="00E93F40" w:rsidRDefault="00AC0F3E" w:rsidP="00E93F40">
      <w:pPr>
        <w:spacing w:after="0" w:line="240" w:lineRule="auto"/>
        <w:jc w:val="both"/>
        <w:rPr>
          <w:rFonts w:ascii="Times New Roman" w:hAnsi="Times New Roman"/>
          <w:color w:val="000000" w:themeColor="text1"/>
          <w:sz w:val="16"/>
          <w:szCs w:val="16"/>
        </w:rPr>
      </w:pPr>
    </w:p>
    <w:p w14:paraId="333F5D3C"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106. 18а. О металлургической базе в Восточной Сибири (ПБ от 8 марта 1932 г., пр. № 91, п. 146). 32. Об аварийности в частях ВВС РККА (Ворошилов). — ОП. Опросом членов ПБ от 29 июня 1932 г. 80/39. О поставке хлеба военведу. — ОП. (Политбюро... Т. 2. С. 324, 325) (12416).</w:t>
      </w:r>
    </w:p>
    <w:p w14:paraId="20E8A116"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018BF1B9" w14:textId="77777777" w:rsidR="00546AF4" w:rsidRPr="00E93F40" w:rsidRDefault="00546AF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 Ворошилов сообщил вождю о готовности нового образца для демонстрации: «Коба! Ты хотел посмотреть новый танк «Кристи». Халепский, получив от меня указание быть готовым, не дает мне покоя – добивается знать, когда мы будем смотреть танк»( РГАСПИ. Ф. 74. Оп. 2. Д. 37. Л. 52) (21522).</w:t>
      </w:r>
    </w:p>
    <w:p w14:paraId="70C4FE1A" w14:textId="77777777" w:rsidR="00546AF4" w:rsidRPr="00E93F40" w:rsidRDefault="00546AF4" w:rsidP="00E93F40">
      <w:pPr>
        <w:spacing w:after="0" w:line="240" w:lineRule="auto"/>
        <w:jc w:val="both"/>
        <w:rPr>
          <w:rFonts w:ascii="Times New Roman" w:hAnsi="Times New Roman"/>
          <w:color w:val="000000" w:themeColor="text1"/>
          <w:sz w:val="16"/>
          <w:szCs w:val="16"/>
        </w:rPr>
      </w:pPr>
    </w:p>
    <w:p w14:paraId="17789E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1932 г. считается днем образования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12.06.1933 г. заложен первый камень первого цеха завода. Начальником строительства был сначала Н. Г. Оксман, затем- И. Жданов. Строил трест Дальстрой, в 1936 г. для ускорения строительства сформирован военно-строительный корпус численностью 15.000 чел. В 07.1934 г. построена электростанция. Первая очередь завода вступила в строй 1.07.1936 г.,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09567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565A98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E93F40">
        <w:rPr>
          <w:rFonts w:ascii="Times New Roman" w:hAnsi="Times New Roman"/>
          <w:color w:val="000000" w:themeColor="text1"/>
          <w:sz w:val="16"/>
          <w:szCs w:val="16"/>
          <w:vertAlign w:val="superscript"/>
        </w:rPr>
        <w:t>139</w:t>
      </w:r>
      <w:r w:rsidRPr="00E93F40">
        <w:rPr>
          <w:rFonts w:ascii="Times New Roman" w:hAnsi="Times New Roman"/>
          <w:color w:val="000000" w:themeColor="text1"/>
          <w:sz w:val="16"/>
          <w:szCs w:val="16"/>
        </w:rPr>
        <w:t>, в 05.1937 г. - в ведении 2ГУ. Пр. № 14 от 16.01.1938 г. утвержден Устав завода. В 02.1939 г. передан из 2ГУ НКОП в ведение ЗГУ НКСП.</w:t>
      </w:r>
    </w:p>
    <w:p w14:paraId="6C8614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249сс от 17.07.1938 г. заводу предписано заложить два крейсера типа «Максим Горький».</w:t>
      </w:r>
    </w:p>
    <w:p w14:paraId="6EDFF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203AA9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годы ВОВ сюда эвакуирована часть заводов № 103, № 189, № 194 и № 638 НКСП.</w:t>
      </w:r>
    </w:p>
    <w:p w14:paraId="0575B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ГКО № 2710 от 6.01.1943 г. крейсер «Калинин» пр. 26бис постройки завода передан в состав ВМФ.</w:t>
      </w:r>
    </w:p>
    <w:p w14:paraId="0FBC9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50C3C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продолжено строительство завода. В 1953 г. завершено строительство группы доков Б.</w:t>
      </w:r>
    </w:p>
    <w:p w14:paraId="00D04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52243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1960-61 г. начаты работы по созданию сдаточной базы завода в пос. Большой Камень недалеко от завода «Звезда» (вероято, далее это - завод «Восток»).</w:t>
      </w:r>
    </w:p>
    <w:p w14:paraId="51CC5B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27CE0A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Выпускал также изделия судового и общего машиностроения, мостовые опоры, резервуары, насосы, плуги.</w:t>
      </w:r>
    </w:p>
    <w:p w14:paraId="266BC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2005 г. всего построено 396 судов: 194 военных (в т.ч. 41 дизельная и 56 АЛЛ), 202- гражданских.</w:t>
      </w:r>
      <w:r w:rsidRPr="00E93F40">
        <w:rPr>
          <w:rFonts w:ascii="Times New Roman" w:hAnsi="Times New Roman"/>
          <w:color w:val="000000" w:themeColor="text1"/>
          <w:sz w:val="16"/>
          <w:szCs w:val="16"/>
          <w:vertAlign w:val="superscript"/>
        </w:rPr>
        <w:t>101</w:t>
      </w:r>
    </w:p>
    <w:p w14:paraId="0F5AF2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 филиал (2004-08 г.)- завод «Восток» ( г. Большой Камень).</w:t>
      </w:r>
    </w:p>
    <w:p w14:paraId="2F2233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(1937 г.)- 3664 чел., (1.01.1946 г.)- 7800 чел.</w:t>
      </w:r>
    </w:p>
    <w:p w14:paraId="4E279E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(1936-3.08.1937 г.)- И.М. Жданов (репрессирован), (3.08.1937-41 г.-)- А.Л. Токарев.</w:t>
      </w:r>
      <w:r w:rsidRPr="00E93F40">
        <w:rPr>
          <w:rFonts w:ascii="Times New Roman" w:hAnsi="Times New Roman"/>
          <w:color w:val="000000" w:themeColor="text1"/>
          <w:sz w:val="16"/>
          <w:szCs w:val="16"/>
          <w:vertAlign w:val="superscript"/>
        </w:rPr>
        <w:t>61</w:t>
      </w:r>
      <w:r w:rsidRPr="00E93F40">
        <w:rPr>
          <w:rFonts w:ascii="Times New Roman" w:hAnsi="Times New Roman"/>
          <w:color w:val="000000" w:themeColor="text1"/>
          <w:sz w:val="16"/>
          <w:szCs w:val="16"/>
        </w:rPr>
        <w:t xml:space="preserve"> Гендиректор (1990-е-06.2005; 12.02.2009 г.-)- Н. Повзык, (06.2005-12.02.2009 г.)- А.И. Адаменя.</w:t>
      </w:r>
    </w:p>
    <w:p w14:paraId="60EACC07" w14:textId="79BA93A2"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строительства (1932 г.-)- Н. Г. Оксман. Зам. директора (29.03.1936 г.-)- П. Г. Гойнкис. Зам. гендиректора: по производству (2008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Васильев; (-06.2005 г.)- А.И. Адаменя.</w:t>
      </w:r>
    </w:p>
    <w:p w14:paraId="2AA21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(29.03.1936-9.05.1938 г.-)- П. Г. Гойнкис; и.о. (-1938 г.)- З. Г. Сгибнев; В.Ф. Ивочкин, (2008 г.)- А. Меринов.</w:t>
      </w:r>
    </w:p>
    <w:p w14:paraId="27BA7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 2 (13.12.1935 г.-)- К.Ф. Терлецкий.</w:t>
      </w:r>
    </w:p>
    <w:p w14:paraId="36E696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цеха: № 19 (2008 г.)- В. Стародубов.</w:t>
      </w:r>
    </w:p>
    <w:p w14:paraId="4716A6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УКС (02.1937 г.)- Я.П. Варенцов.</w:t>
      </w:r>
    </w:p>
    <w:p w14:paraId="4AF1A3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ППО (02.1938 г.)- З. Г. Сгибнев.</w:t>
      </w:r>
    </w:p>
    <w:p w14:paraId="3322E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строители: (1938-42 г.-)- А.З. Голданд (пр. 26бис). Строители кораблей: (12.1935 г.-)- К.Ф. Терлецкий (пр. 38бис), (1930-е)- В.Ф. Ивочкин (пр. 38бис).</w:t>
      </w:r>
    </w:p>
    <w:p w14:paraId="5C8AD3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Уполномоченный завода во Владивостоке (1.09.1938 г.-)- З. Г. Сгибнев.</w:t>
      </w:r>
    </w:p>
    <w:p w14:paraId="54E25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Производство: ПЛ. сборка лодок завода им. Марта Л-11 (зак. 284, 05.1935-38), Л-12 (зак.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(зак.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ЗОбис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«Амгуема»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E93F40">
        <w:rPr>
          <w:rFonts w:ascii="Times New Roman" w:hAnsi="Times New Roman"/>
          <w:color w:val="000000" w:themeColor="text1"/>
          <w:sz w:val="16"/>
          <w:szCs w:val="16"/>
          <w:lang w:val="en-US"/>
        </w:rPr>
        <w:t>UT</w:t>
      </w:r>
      <w:r w:rsidRPr="00E93F40">
        <w:rPr>
          <w:rFonts w:ascii="Times New Roman" w:hAnsi="Times New Roman"/>
          <w:color w:val="000000" w:themeColor="text1"/>
          <w:sz w:val="16"/>
          <w:szCs w:val="16"/>
        </w:rPr>
        <w:t>-722 для Вьетнама (2000- е); танкер-химовоз для Германии (2000-е)- 4; единственное в мире судно сейсморазведки пр. 3383 «Сагар Самикша» для Индии (2006); буксир-кантовщик пр. 01710 «Вагис»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0A2453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капремонт: ПЛ: типа «Щ» (-1944)- 9, типа «М» (-1944)- 4</w:t>
      </w:r>
      <w:r w:rsidRPr="00E93F40">
        <w:rPr>
          <w:rFonts w:ascii="Times New Roman" w:hAnsi="Times New Roman"/>
          <w:color w:val="000000" w:themeColor="text1"/>
          <w:sz w:val="16"/>
          <w:szCs w:val="16"/>
          <w:vertAlign w:val="superscript"/>
        </w:rPr>
        <w:t>90</w:t>
      </w:r>
      <w:r w:rsidRPr="00E93F40">
        <w:rPr>
          <w:rFonts w:ascii="Times New Roman" w:hAnsi="Times New Roman"/>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2EA77D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«Восток», ОАО «Завод судового оборудования «Восток»</w:t>
      </w:r>
    </w:p>
    <w:p w14:paraId="6A83B9ED" w14:textId="7EB2463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/692804</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Большой Камень Приморского кр. ул. Колхозная, 1Б/</w:t>
      </w:r>
    </w:p>
    <w:p w14:paraId="5A80B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1734D1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Филиал АСЗ, достроечная база (2004-08 г.).</w:t>
      </w:r>
    </w:p>
    <w:p w14:paraId="6066C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Переоборудование АПЛ К-55, К-178 пр. 658 в пр. 658Т (торпедная) (1970-е).</w:t>
      </w:r>
    </w:p>
    <w:p w14:paraId="60F0E013" w14:textId="5DBF8D7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(-2008-09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Вагин.</w:t>
      </w:r>
    </w:p>
    <w:p w14:paraId="13D127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сдаточно-монтажного (1975 г.-)- Л. Г. Мещеряков (11982).</w:t>
      </w:r>
    </w:p>
    <w:p w14:paraId="59F370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20556B" w14:textId="200D91B0" w:rsidR="003F4A45" w:rsidRPr="00E93F40" w:rsidRDefault="003F4A45" w:rsidP="003F4A45">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6C79D3F8" w14:textId="77777777" w:rsidR="003F4A45" w:rsidRPr="00E93F40" w:rsidRDefault="003F4A45" w:rsidP="003F4A45">
      <w:pPr>
        <w:autoSpaceDE w:val="0"/>
        <w:autoSpaceDN w:val="0"/>
        <w:adjustRightInd w:val="0"/>
        <w:spacing w:after="0" w:line="240" w:lineRule="auto"/>
        <w:jc w:val="both"/>
        <w:rPr>
          <w:rFonts w:ascii="Times New Roman" w:hAnsi="Times New Roman"/>
          <w:iCs/>
          <w:color w:val="000000" w:themeColor="text1"/>
          <w:sz w:val="16"/>
          <w:szCs w:val="16"/>
        </w:rPr>
      </w:pPr>
    </w:p>
    <w:p w14:paraId="4EF1B15B"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июля 1932 г. в составе ВВС имелось 17 ДВ. Но реальной силы они в это время не представляли, поскольку по большей части были небоеспособны. Вот каковы результа</w:t>
      </w:r>
      <w:r w:rsidRPr="00142305">
        <w:rPr>
          <w:rFonts w:ascii="Times New Roman" w:hAnsi="Times New Roman"/>
          <w:color w:val="0070C0"/>
          <w:sz w:val="16"/>
          <w:szCs w:val="16"/>
        </w:rPr>
        <w:softHyphen/>
        <w:t>ты проверки вооруженных «Валями» частей летом 1932 г.</w:t>
      </w:r>
    </w:p>
    <w:p w14:paraId="292DC4CE"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63-й эскадрилье насчитывалось семь машин, но исправных - три. Две застряли на заводе № 45 в ходе модернизации, а еще две стояли в ангаре. Из числа последних одну ремонтировали после вынужденной посадки, вторую частично переклепывали и красили заново. Осматривавшая «Вали» комиссия отстранила от полетов еще один самолет, найдя несколько дефектов.</w:t>
      </w:r>
    </w:p>
    <w:p w14:paraId="5BE3D705"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60-й эскадрилье положение оказалось еще хуже. Из восьми лодок числились бое</w:t>
      </w:r>
      <w:r w:rsidRPr="00142305">
        <w:rPr>
          <w:rFonts w:ascii="Times New Roman" w:hAnsi="Times New Roman"/>
          <w:color w:val="0070C0"/>
          <w:sz w:val="16"/>
          <w:szCs w:val="16"/>
        </w:rPr>
        <w:softHyphen/>
        <w:t>способными две. Из оставшихся три нахо</w:t>
      </w:r>
      <w:r w:rsidRPr="00142305">
        <w:rPr>
          <w:rFonts w:ascii="Times New Roman" w:hAnsi="Times New Roman"/>
          <w:color w:val="0070C0"/>
          <w:sz w:val="16"/>
          <w:szCs w:val="16"/>
        </w:rPr>
        <w:softHyphen/>
        <w:t>дились в Севастополе на заводе, еще три - ремонтировались в своем ангаре; при этом один «Валь» чинили, устраняя недоделки после модернизации. Комиссия распоря</w:t>
      </w:r>
      <w:r w:rsidRPr="00142305">
        <w:rPr>
          <w:rFonts w:ascii="Times New Roman" w:hAnsi="Times New Roman"/>
          <w:color w:val="0070C0"/>
          <w:sz w:val="16"/>
          <w:szCs w:val="16"/>
        </w:rPr>
        <w:softHyphen/>
        <w:t>дилась поднять считавшиеся исправными ДВ в воздух. Взлетел только один, второй вернулся со старта из-за перебоев передне</w:t>
      </w:r>
      <w:r w:rsidRPr="00142305">
        <w:rPr>
          <w:rFonts w:ascii="Times New Roman" w:hAnsi="Times New Roman"/>
          <w:color w:val="0070C0"/>
          <w:sz w:val="16"/>
          <w:szCs w:val="16"/>
        </w:rPr>
        <w:softHyphen/>
        <w:t>го мотора. Общий вывод - обе эскадрильи «практически небоеспособны».</w:t>
      </w:r>
    </w:p>
    <w:p w14:paraId="4EBCBFE5"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Постепенно старые летающие лодки пе</w:t>
      </w:r>
      <w:r w:rsidRPr="00142305">
        <w:rPr>
          <w:rFonts w:ascii="Times New Roman" w:hAnsi="Times New Roman"/>
          <w:color w:val="0070C0"/>
          <w:sz w:val="16"/>
          <w:szCs w:val="16"/>
        </w:rPr>
        <w:softHyphen/>
        <w:t>редавали в авиацию ГУСМП. Один «Валь» отдали в мае 1933 г., следующий - в январе 1934 г. (24950).</w:t>
      </w:r>
    </w:p>
    <w:p w14:paraId="3A1A8F4E" w14:textId="77777777" w:rsidR="003F4A45" w:rsidRPr="00142305" w:rsidRDefault="003F4A45" w:rsidP="003F4A45">
      <w:pPr>
        <w:spacing w:after="0" w:line="240" w:lineRule="auto"/>
        <w:jc w:val="both"/>
        <w:rPr>
          <w:rFonts w:ascii="Times New Roman" w:hAnsi="Times New Roman"/>
          <w:color w:val="0070C0"/>
          <w:sz w:val="16"/>
          <w:szCs w:val="16"/>
        </w:rPr>
      </w:pPr>
    </w:p>
    <w:p w14:paraId="6B252F38" w14:textId="77777777" w:rsidR="002C36D8"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C91627F" w14:textId="77777777" w:rsidR="002C36D8" w:rsidRPr="00E93F40" w:rsidRDefault="002C36D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7C4C06"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 июля</w:t>
      </w:r>
      <w:r w:rsidRPr="00E93F40">
        <w:rPr>
          <w:rFonts w:ascii="Times New Roman" w:hAnsi="Times New Roman"/>
          <w:color w:val="000000" w:themeColor="text1"/>
          <w:sz w:val="16"/>
          <w:szCs w:val="16"/>
        </w:rPr>
        <w:t xml:space="preserve"> в 1932 году на базе морской авиации в Аннакосте состоялась демонстрация второго прототипа </w:t>
      </w:r>
      <w:hyperlink r:id="rId173" w:tgtFrame="_blank" w:history="1">
        <w:r w:rsidRPr="00E93F40">
          <w:rPr>
            <w:rFonts w:ascii="Times New Roman" w:hAnsi="Times New Roman"/>
            <w:color w:val="000000" w:themeColor="text1"/>
            <w:sz w:val="16"/>
            <w:szCs w:val="16"/>
          </w:rPr>
          <w:t xml:space="preserve">«Boeing» «P-26» «Peashooter» </w:t>
        </w:r>
      </w:hyperlink>
      <w:r w:rsidRPr="00E93F40">
        <w:rPr>
          <w:rFonts w:ascii="Times New Roman" w:hAnsi="Times New Roman"/>
          <w:color w:val="000000" w:themeColor="text1"/>
          <w:sz w:val="16"/>
          <w:szCs w:val="16"/>
        </w:rPr>
        <w:t>морякам. Очевидно, «Боинг2 надеялся, что, как и в случае с «Р-12», флот закажет себе палубный вариант истребителя. После этого показа самолет перегнали в Райт Филд для проведения испытаний на прочность. Больше он в воздух не поднимался (14939).</w:t>
      </w:r>
    </w:p>
    <w:p w14:paraId="7B7D4A42" w14:textId="77777777" w:rsidR="002C36D8" w:rsidRPr="00E93F40" w:rsidRDefault="002C36D8" w:rsidP="00E93F40">
      <w:pPr>
        <w:spacing w:after="0" w:line="240" w:lineRule="auto"/>
        <w:jc w:val="both"/>
        <w:rPr>
          <w:rFonts w:ascii="Times New Roman" w:hAnsi="Times New Roman"/>
          <w:color w:val="000000" w:themeColor="text1"/>
          <w:sz w:val="16"/>
          <w:szCs w:val="16"/>
        </w:rPr>
      </w:pPr>
    </w:p>
    <w:p w14:paraId="1096BC2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1BC75C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5FF8F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года зам. начальника ВВС Меженинов писал письмо N 38/01037 председателю РВС.</w:t>
      </w:r>
    </w:p>
    <w:p w14:paraId="283179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0D044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 июля 1932 года.</w:t>
      </w:r>
    </w:p>
    <w:p w14:paraId="784B7F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6 был принят военным ведомством и передан НИИ ВВС для испытания как головная машина; при катастрофе 29 июня этот самолет погиб (3027).</w:t>
      </w:r>
    </w:p>
    <w:p w14:paraId="03726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DB0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начались испытания мотора М-48 для учебных самолетов и автожира ЦАГИ и 50 часовое испытание окончилось 7 июля (2310,130).</w:t>
      </w:r>
    </w:p>
    <w:p w14:paraId="0966C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1AE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был подготовлен проект постановления комиссии обороны Союза по опытному самолето- и моторостроению (351).</w:t>
      </w:r>
    </w:p>
    <w:p w14:paraId="121232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3A8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года. С.Орджоникидзе подготовил Проект постановления комиссии обороны Союза ССР по опытному самолето- и моторостроению.</w:t>
      </w:r>
    </w:p>
    <w:p w14:paraId="627D6B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Предлагаемый план по опытному самолето-моторостроению утвердить.</w:t>
      </w:r>
    </w:p>
    <w:p w14:paraId="00990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Первоочередными задачами опытного строительства считать:</w:t>
      </w:r>
    </w:p>
    <w:p w14:paraId="09AC3A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моторостроению:</w:t>
      </w:r>
    </w:p>
    <w:p w14:paraId="2F567A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2398A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Создание типов истребительных моторов М-38 воздушного охлаждения и особенно М-32 водяного охлаждения.</w:t>
      </w:r>
    </w:p>
    <w:p w14:paraId="32DA9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мощных авиадизелей.</w:t>
      </w:r>
    </w:p>
    <w:p w14:paraId="07B25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5F429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Обязать особое конструкторское бюро продолжать работу по , представив этот мотор на государственные испытания к 1 сентября с.г.</w:t>
      </w:r>
    </w:p>
    <w:p w14:paraId="1882F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 связи с особым значением М-44 в плане опытного строительства, откомандировать в ЦИАМ: из ОКБ - Стечкина, Добрынина, Суслова и из Наркомтяжпрома Серенсена, Пивовара, Петрова, Кирсанова.</w:t>
      </w:r>
    </w:p>
    <w:p w14:paraId="745DBB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4AFA4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Создание типов вполне современных истребителей одно-двух и многоместных.</w:t>
      </w:r>
    </w:p>
    <w:p w14:paraId="7E219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Форсирование работ по постройке образцов тяжелого бомбардировщика (ТБ4).</w:t>
      </w:r>
    </w:p>
    <w:p w14:paraId="69572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морских лодочных самолетов (МК1 МБР2....и др.)</w:t>
      </w:r>
    </w:p>
    <w:p w14:paraId="4F404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Для усиления опытных организаций предложить Наркомвоенмору немедленно откомандировать в распоряжение ЦАГИ инженеров: Ганулича, Куликова, Квитко, Кравцова, Петрова, Филина, Евстигнеева, Фрадкина, а также инженеров-артиллеристов - десять чел., инженеров-химиков - 5 чел. военно-морских корабельных инженеров - десять чел., инженеров-химиков 5 чел., военно-морских корабельных инженеров десять чел., инженеров электротехников - три чел., инженеров по радио - два чел., техников-специалистов по вооружению - пятнадцать чел., по фотооборудованию - три чел., по радиооборудованию три чел., по электрооборудованию пять чел., по навигационному оборудованию - два чел., летчиков - 5 чел.</w:t>
      </w:r>
    </w:p>
    <w:p w14:paraId="700601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НКТП обеспечить выполнение плана выделением необходимого импортного и отечественного оборудования, материалами и денежными средствами.</w:t>
      </w:r>
    </w:p>
    <w:p w14:paraId="316DDF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Вменить в обязанность ГУГВФ организовать в своих конструкторских бюро работу по переконструированию военных самолетов для нужд гражданского воздушного флота и производить переделки их на своих предприятиях.</w:t>
      </w:r>
    </w:p>
    <w:p w14:paraId="5F180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Работников ЦАГИ и ЦИАМ"а приравнять к военнопроизводственникам и всех подлежащих призыву на дальнейшую военную службу оставить в ЦАГИ и ЦИАМ"е.</w:t>
      </w:r>
    </w:p>
    <w:p w14:paraId="39054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Для развертывания отдела эксплуатации летных испытаний и морской базы ЦАГИ обязать Наркомвоенмор отвести:</w:t>
      </w:r>
    </w:p>
    <w:p w14:paraId="1AFB5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Ходынском аэродроме в Москве часть территории принадлежащей артотделу.</w:t>
      </w:r>
    </w:p>
    <w:p w14:paraId="364D1D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Передать в ЦАГИ Константиновскую бухту в Севастополе</w:t>
      </w:r>
    </w:p>
    <w:p w14:paraId="475EF1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ПС Против 3 и 7 пуектов возражает Военвед (351).</w:t>
      </w:r>
    </w:p>
    <w:p w14:paraId="205DE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789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года. С.Орджоникидзе подготовил Проект постановления комиссии обороны Союза ССР по опытному самолето- и моторостроению.</w:t>
      </w:r>
    </w:p>
    <w:p w14:paraId="046E0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Предлагаемый план по опытному самолето-моторостроению утвердить.</w:t>
      </w:r>
    </w:p>
    <w:p w14:paraId="0B87A1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Первоочередными задачами опытного строительства считать:</w:t>
      </w:r>
    </w:p>
    <w:p w14:paraId="6D3A7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моторостроению:</w:t>
      </w:r>
    </w:p>
    <w:p w14:paraId="76380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5E256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Создание типов истребительных моторов М-38 воздушного охлаждения и особенно М-32 водяного охлаждения.</w:t>
      </w:r>
    </w:p>
    <w:p w14:paraId="5BC18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мощных авиадизелей.</w:t>
      </w:r>
    </w:p>
    <w:p w14:paraId="2AB3B9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4BE5ED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Обязать особое конструкторское бюро продолжать работу по , представив этот мотор на государственные испытания к 1 сентября с.г.</w:t>
      </w:r>
    </w:p>
    <w:p w14:paraId="4EE07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 связи с особым значением М-44 в плане опытного строительства, откомандировать в ЦИАМ: из ОКБ - Стечкина, Добрынина, Суслова и из Наркомтяжпрома Серенсена, Пивовара, Петрова, Кирсанова.</w:t>
      </w:r>
    </w:p>
    <w:p w14:paraId="13932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10A12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Создание типов вполне современных истребителей одно-двух и многоместных.</w:t>
      </w:r>
    </w:p>
    <w:p w14:paraId="12154A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Форсирование работ по постройке образцов тяжелого бомбардировщика (ТБ4).</w:t>
      </w:r>
    </w:p>
    <w:p w14:paraId="55CED1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морских лодочных самолетов (МК1 МБР2....</w:t>
      </w:r>
    </w:p>
    <w:p w14:paraId="7A58F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Для усиления опытных организаций предложить Наркомвоенмору немедленно откомандировать в распоряжение ЦАГИ инженеров: Ганулича, Куликова, Квитко, Кравцова, Петрова, Филина, Евстигнеева, Фрадкина, а также инженеров-артиллеристов - десять чел., инженеров-химиков - 5 чел. военно-морских корабельных инженеров - десять чел., инженеров-химиков 5 чел., военно-морских корабельных инженеров десять чел., инженеров электротехников - три чел., инженеров по радио </w:t>
      </w:r>
      <w:r w:rsidRPr="00E93F40">
        <w:rPr>
          <w:rFonts w:ascii="Times New Roman" w:hAnsi="Times New Roman"/>
          <w:color w:val="000000" w:themeColor="text1"/>
          <w:sz w:val="16"/>
          <w:szCs w:val="16"/>
        </w:rPr>
        <w:lastRenderedPageBreak/>
        <w:t>- два чел., техников-специалистов по вооружению - пятнадцать чел., по фотооборудованию - три чел., по радиооборудованию три чел., по электрооборудованию пять чел., по навигационному оборудованию - два чел., летчиков - 5 чел.</w:t>
      </w:r>
    </w:p>
    <w:p w14:paraId="40FF0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НКТП обеспечить выполнение плана выделением необходимого импортного и отечественного оборудования, материалами и денежными средствами.</w:t>
      </w:r>
    </w:p>
    <w:p w14:paraId="13C23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Вменить в обязанность ГУГВФ организовать в своих конструкторских бюро работу по переконструированию военных самолетов для нужд гражданского воздушного флота и производить переделки их на своих предприятиях.</w:t>
      </w:r>
    </w:p>
    <w:p w14:paraId="1D4A7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Работников ЦАГИ и ЦИАМ"а приравнять к военнопроизводственникам и всех подлежащих призыву на дальнейшую военную службу оставить в ЦАГИ и ЦИАМ"е.</w:t>
      </w:r>
    </w:p>
    <w:p w14:paraId="4BDB11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Для развертывания отдела эксплуатации летных испытаний и морской базы ЦАГИ обязать Наркомвоенмор отвести:</w:t>
      </w:r>
    </w:p>
    <w:p w14:paraId="2E423B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Ходынском аэродроме в Москве часть территории принадлежащей артотделу.</w:t>
      </w:r>
    </w:p>
    <w:p w14:paraId="3DED5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Передать в ЦАГИ Константиновскую бухту в Севастополе (2286,125).</w:t>
      </w:r>
    </w:p>
    <w:p w14:paraId="560FA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3050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был подготовлен План опытного строительства УВВС РККА по моторам на 1932-1933 (351).</w:t>
      </w:r>
    </w:p>
    <w:p w14:paraId="027D2D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 УВВС по моторам на 1932-33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1"/>
        <w:gridCol w:w="931"/>
        <w:gridCol w:w="850"/>
        <w:gridCol w:w="851"/>
        <w:gridCol w:w="850"/>
        <w:gridCol w:w="851"/>
        <w:gridCol w:w="850"/>
        <w:gridCol w:w="1985"/>
        <w:gridCol w:w="1417"/>
      </w:tblGrid>
      <w:tr w:rsidR="00DA227A" w:rsidRPr="00E93F40" w14:paraId="7A1855E8" w14:textId="77777777">
        <w:tc>
          <w:tcPr>
            <w:tcW w:w="1871" w:type="dxa"/>
          </w:tcPr>
          <w:p w14:paraId="1747EC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Марка мотора</w:t>
            </w:r>
          </w:p>
        </w:tc>
        <w:tc>
          <w:tcPr>
            <w:tcW w:w="931" w:type="dxa"/>
          </w:tcPr>
          <w:p w14:paraId="3D4528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Охлаждение</w:t>
            </w:r>
          </w:p>
        </w:tc>
        <w:tc>
          <w:tcPr>
            <w:tcW w:w="850" w:type="dxa"/>
          </w:tcPr>
          <w:p w14:paraId="21260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851" w:type="dxa"/>
          </w:tcPr>
          <w:p w14:paraId="4A0B0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850" w:type="dxa"/>
          </w:tcPr>
          <w:p w14:paraId="24AF31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851" w:type="dxa"/>
          </w:tcPr>
          <w:p w14:paraId="6FF837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Расход горючего</w:t>
            </w:r>
          </w:p>
        </w:tc>
        <w:tc>
          <w:tcPr>
            <w:tcW w:w="850" w:type="dxa"/>
          </w:tcPr>
          <w:p w14:paraId="20689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час. между переборками</w:t>
            </w:r>
          </w:p>
        </w:tc>
        <w:tc>
          <w:tcPr>
            <w:tcW w:w="1985" w:type="dxa"/>
          </w:tcPr>
          <w:p w14:paraId="689CF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выхода на государственные и заводские испытания</w:t>
            </w:r>
          </w:p>
        </w:tc>
        <w:tc>
          <w:tcPr>
            <w:tcW w:w="1417" w:type="dxa"/>
          </w:tcPr>
          <w:p w14:paraId="67B3DC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Исполнитель</w:t>
            </w:r>
          </w:p>
        </w:tc>
      </w:tr>
      <w:tr w:rsidR="00DA227A" w:rsidRPr="00E93F40" w14:paraId="48168681" w14:textId="77777777">
        <w:tc>
          <w:tcPr>
            <w:tcW w:w="1871" w:type="dxa"/>
          </w:tcPr>
          <w:p w14:paraId="12A4A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Бензиновые моторы.</w:t>
            </w:r>
          </w:p>
        </w:tc>
        <w:tc>
          <w:tcPr>
            <w:tcW w:w="931" w:type="dxa"/>
          </w:tcPr>
          <w:p w14:paraId="5261AC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2C2F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37F8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3BC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8C6F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BABB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6B76F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62BC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416EE2" w14:textId="77777777">
        <w:tc>
          <w:tcPr>
            <w:tcW w:w="1871" w:type="dxa"/>
          </w:tcPr>
          <w:p w14:paraId="2332D6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ФЭД (с нагнетателем)</w:t>
            </w:r>
          </w:p>
        </w:tc>
        <w:tc>
          <w:tcPr>
            <w:tcW w:w="931" w:type="dxa"/>
          </w:tcPr>
          <w:p w14:paraId="704CC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4BCC5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1100-1200</w:t>
            </w:r>
          </w:p>
        </w:tc>
        <w:tc>
          <w:tcPr>
            <w:tcW w:w="851" w:type="dxa"/>
          </w:tcPr>
          <w:p w14:paraId="78B899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850" w:type="dxa"/>
          </w:tcPr>
          <w:p w14:paraId="5CDFC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851" w:type="dxa"/>
          </w:tcPr>
          <w:p w14:paraId="0EFDE1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3CCB18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56753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 – государственные</w:t>
            </w:r>
          </w:p>
        </w:tc>
        <w:tc>
          <w:tcPr>
            <w:tcW w:w="1417" w:type="dxa"/>
          </w:tcPr>
          <w:p w14:paraId="6A4AB6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r>
      <w:tr w:rsidR="00DA227A" w:rsidRPr="00E93F40" w14:paraId="5EBD58C8" w14:textId="77777777">
        <w:tc>
          <w:tcPr>
            <w:tcW w:w="1871" w:type="dxa"/>
          </w:tcPr>
          <w:p w14:paraId="1C47C1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 (с нагнетателем)</w:t>
            </w:r>
          </w:p>
        </w:tc>
        <w:tc>
          <w:tcPr>
            <w:tcW w:w="931" w:type="dxa"/>
          </w:tcPr>
          <w:p w14:paraId="07C5C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497986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561EC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76ABCE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381F9E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30073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209EF0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июня 1932 года – государственные</w:t>
            </w:r>
          </w:p>
        </w:tc>
        <w:tc>
          <w:tcPr>
            <w:tcW w:w="1417" w:type="dxa"/>
          </w:tcPr>
          <w:p w14:paraId="0C7AD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3EE321F" w14:textId="77777777">
        <w:tc>
          <w:tcPr>
            <w:tcW w:w="1871" w:type="dxa"/>
          </w:tcPr>
          <w:p w14:paraId="2103E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 (с редуктором)</w:t>
            </w:r>
          </w:p>
        </w:tc>
        <w:tc>
          <w:tcPr>
            <w:tcW w:w="931" w:type="dxa"/>
          </w:tcPr>
          <w:p w14:paraId="2D8CC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DA10A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7609D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71B644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78804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w:t>
            </w:r>
          </w:p>
        </w:tc>
        <w:tc>
          <w:tcPr>
            <w:tcW w:w="850" w:type="dxa"/>
          </w:tcPr>
          <w:p w14:paraId="6D0E96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63B0C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сентября 1932 года – заводские, 15 ноября 1932 года – государственные</w:t>
            </w:r>
          </w:p>
        </w:tc>
        <w:tc>
          <w:tcPr>
            <w:tcW w:w="1417" w:type="dxa"/>
          </w:tcPr>
          <w:p w14:paraId="1061D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5F94079" w14:textId="77777777">
        <w:tc>
          <w:tcPr>
            <w:tcW w:w="1871" w:type="dxa"/>
          </w:tcPr>
          <w:p w14:paraId="34059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 РН</w:t>
            </w:r>
          </w:p>
        </w:tc>
        <w:tc>
          <w:tcPr>
            <w:tcW w:w="931" w:type="dxa"/>
          </w:tcPr>
          <w:p w14:paraId="556C3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344DEF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2CE626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146C2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w:t>
            </w:r>
          </w:p>
        </w:tc>
        <w:tc>
          <w:tcPr>
            <w:tcW w:w="851" w:type="dxa"/>
          </w:tcPr>
          <w:p w14:paraId="1563C9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302D85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5D668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w:t>
            </w:r>
          </w:p>
        </w:tc>
        <w:tc>
          <w:tcPr>
            <w:tcW w:w="1417" w:type="dxa"/>
          </w:tcPr>
          <w:p w14:paraId="42536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296FE60F" w14:textId="77777777">
        <w:tc>
          <w:tcPr>
            <w:tcW w:w="1871" w:type="dxa"/>
          </w:tcPr>
          <w:p w14:paraId="162B1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 (с электр. кар.)</w:t>
            </w:r>
          </w:p>
        </w:tc>
        <w:tc>
          <w:tcPr>
            <w:tcW w:w="931" w:type="dxa"/>
          </w:tcPr>
          <w:p w14:paraId="0EB6CB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15A6EF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404F8D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46FEB8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w:t>
            </w:r>
          </w:p>
        </w:tc>
        <w:tc>
          <w:tcPr>
            <w:tcW w:w="851" w:type="dxa"/>
          </w:tcPr>
          <w:p w14:paraId="34FDA7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021CD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281E2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 государственные</w:t>
            </w:r>
          </w:p>
        </w:tc>
        <w:tc>
          <w:tcPr>
            <w:tcW w:w="1417" w:type="dxa"/>
          </w:tcPr>
          <w:p w14:paraId="28AA5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980CA06" w14:textId="77777777">
        <w:tc>
          <w:tcPr>
            <w:tcW w:w="1871" w:type="dxa"/>
          </w:tcPr>
          <w:p w14:paraId="44D9A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 (с реверсом)</w:t>
            </w:r>
          </w:p>
        </w:tc>
        <w:tc>
          <w:tcPr>
            <w:tcW w:w="931" w:type="dxa"/>
          </w:tcPr>
          <w:p w14:paraId="6CA037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597689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33783A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265C4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w:t>
            </w:r>
          </w:p>
        </w:tc>
        <w:tc>
          <w:tcPr>
            <w:tcW w:w="851" w:type="dxa"/>
          </w:tcPr>
          <w:p w14:paraId="3C6C98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2D18B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28A425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 – государственные</w:t>
            </w:r>
          </w:p>
        </w:tc>
        <w:tc>
          <w:tcPr>
            <w:tcW w:w="1417" w:type="dxa"/>
          </w:tcPr>
          <w:p w14:paraId="3C476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38F05DE" w14:textId="77777777">
        <w:tc>
          <w:tcPr>
            <w:tcW w:w="1871" w:type="dxa"/>
          </w:tcPr>
          <w:p w14:paraId="7CD31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(с нагнетателем)</w:t>
            </w:r>
          </w:p>
        </w:tc>
        <w:tc>
          <w:tcPr>
            <w:tcW w:w="931" w:type="dxa"/>
          </w:tcPr>
          <w:p w14:paraId="48406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6A030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12578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442A88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851" w:type="dxa"/>
          </w:tcPr>
          <w:p w14:paraId="2ED31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73E8DF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47C170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 – государственные</w:t>
            </w:r>
          </w:p>
        </w:tc>
        <w:tc>
          <w:tcPr>
            <w:tcW w:w="1417" w:type="dxa"/>
          </w:tcPr>
          <w:p w14:paraId="62F95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7F130DD0" w14:textId="77777777">
        <w:tc>
          <w:tcPr>
            <w:tcW w:w="1871" w:type="dxa"/>
          </w:tcPr>
          <w:p w14:paraId="70E0C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(с нагнетателем и редуктором)</w:t>
            </w:r>
          </w:p>
        </w:tc>
        <w:tc>
          <w:tcPr>
            <w:tcW w:w="931" w:type="dxa"/>
          </w:tcPr>
          <w:p w14:paraId="7ADB5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4CD5D8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42D24E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191D2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430</w:t>
            </w:r>
          </w:p>
        </w:tc>
        <w:tc>
          <w:tcPr>
            <w:tcW w:w="851" w:type="dxa"/>
          </w:tcPr>
          <w:p w14:paraId="0D92DD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56388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50A9F4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 – заводские</w:t>
            </w:r>
          </w:p>
        </w:tc>
        <w:tc>
          <w:tcPr>
            <w:tcW w:w="1417" w:type="dxa"/>
          </w:tcPr>
          <w:p w14:paraId="2311D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E28166E" w14:textId="77777777">
        <w:tc>
          <w:tcPr>
            <w:tcW w:w="1871" w:type="dxa"/>
          </w:tcPr>
          <w:p w14:paraId="1905E0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М35 (с нагнетателем и редуктором)</w:t>
            </w:r>
          </w:p>
        </w:tc>
        <w:tc>
          <w:tcPr>
            <w:tcW w:w="931" w:type="dxa"/>
          </w:tcPr>
          <w:p w14:paraId="1170E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3441C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1500-1800</w:t>
            </w:r>
          </w:p>
        </w:tc>
        <w:tc>
          <w:tcPr>
            <w:tcW w:w="851" w:type="dxa"/>
          </w:tcPr>
          <w:p w14:paraId="5BC81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2619E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851" w:type="dxa"/>
          </w:tcPr>
          <w:p w14:paraId="4BDE37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26FE5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985" w:type="dxa"/>
          </w:tcPr>
          <w:p w14:paraId="0628D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1933 года – заводские</w:t>
            </w:r>
          </w:p>
        </w:tc>
        <w:tc>
          <w:tcPr>
            <w:tcW w:w="1417" w:type="dxa"/>
          </w:tcPr>
          <w:p w14:paraId="690C7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3F5DE5F4" w14:textId="77777777">
        <w:tc>
          <w:tcPr>
            <w:tcW w:w="1871" w:type="dxa"/>
          </w:tcPr>
          <w:p w14:paraId="02F14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 (с нагнетателем и редуктором)</w:t>
            </w:r>
          </w:p>
        </w:tc>
        <w:tc>
          <w:tcPr>
            <w:tcW w:w="931" w:type="dxa"/>
          </w:tcPr>
          <w:p w14:paraId="7CC46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168A9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5DD46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37D35A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851" w:type="dxa"/>
          </w:tcPr>
          <w:p w14:paraId="4248D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7E8864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51908D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 – государственные</w:t>
            </w:r>
          </w:p>
        </w:tc>
        <w:tc>
          <w:tcPr>
            <w:tcW w:w="1417" w:type="dxa"/>
          </w:tcPr>
          <w:p w14:paraId="3187B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2A584BBA" w14:textId="77777777">
        <w:tc>
          <w:tcPr>
            <w:tcW w:w="1871" w:type="dxa"/>
          </w:tcPr>
          <w:p w14:paraId="104BA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М44 (с нагнетателем)</w:t>
            </w:r>
          </w:p>
        </w:tc>
        <w:tc>
          <w:tcPr>
            <w:tcW w:w="931" w:type="dxa"/>
          </w:tcPr>
          <w:p w14:paraId="41983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07B60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51" w:type="dxa"/>
          </w:tcPr>
          <w:p w14:paraId="6E902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850" w:type="dxa"/>
          </w:tcPr>
          <w:p w14:paraId="2A527A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851" w:type="dxa"/>
          </w:tcPr>
          <w:p w14:paraId="393DB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10E0A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985" w:type="dxa"/>
          </w:tcPr>
          <w:p w14:paraId="14CB89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1933 года – заводские, 1 июля 1933 года – государственные</w:t>
            </w:r>
          </w:p>
        </w:tc>
        <w:tc>
          <w:tcPr>
            <w:tcW w:w="1417" w:type="dxa"/>
          </w:tcPr>
          <w:p w14:paraId="5F6E6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21E3DCC3" w14:textId="77777777">
        <w:tc>
          <w:tcPr>
            <w:tcW w:w="1871" w:type="dxa"/>
          </w:tcPr>
          <w:p w14:paraId="185DF7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w:t>
            </w:r>
          </w:p>
        </w:tc>
        <w:tc>
          <w:tcPr>
            <w:tcW w:w="931" w:type="dxa"/>
          </w:tcPr>
          <w:p w14:paraId="67E48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4538E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350-400</w:t>
            </w:r>
          </w:p>
        </w:tc>
        <w:tc>
          <w:tcPr>
            <w:tcW w:w="851" w:type="dxa"/>
          </w:tcPr>
          <w:p w14:paraId="33276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0A31B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851" w:type="dxa"/>
          </w:tcPr>
          <w:p w14:paraId="31281E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c>
          <w:tcPr>
            <w:tcW w:w="850" w:type="dxa"/>
          </w:tcPr>
          <w:p w14:paraId="6B2B58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1985" w:type="dxa"/>
          </w:tcPr>
          <w:p w14:paraId="78E2D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 – государственные</w:t>
            </w:r>
          </w:p>
        </w:tc>
        <w:tc>
          <w:tcPr>
            <w:tcW w:w="1417" w:type="dxa"/>
          </w:tcPr>
          <w:p w14:paraId="30CC1F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13135269" w14:textId="77777777">
        <w:tc>
          <w:tcPr>
            <w:tcW w:w="1871" w:type="dxa"/>
          </w:tcPr>
          <w:p w14:paraId="3D98E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М54 (форсированный М34)</w:t>
            </w:r>
          </w:p>
        </w:tc>
        <w:tc>
          <w:tcPr>
            <w:tcW w:w="931" w:type="dxa"/>
          </w:tcPr>
          <w:p w14:paraId="2E922B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38A97F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851" w:type="dxa"/>
          </w:tcPr>
          <w:p w14:paraId="59884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5B3DB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696EDE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5D6BDF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985" w:type="dxa"/>
          </w:tcPr>
          <w:p w14:paraId="0E778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w:t>
            </w:r>
          </w:p>
        </w:tc>
        <w:tc>
          <w:tcPr>
            <w:tcW w:w="1417" w:type="dxa"/>
          </w:tcPr>
          <w:p w14:paraId="1A1AD9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05F3FCBB" w14:textId="77777777">
        <w:tc>
          <w:tcPr>
            <w:tcW w:w="1871" w:type="dxa"/>
          </w:tcPr>
          <w:p w14:paraId="674D4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М55 (перевернутый М34)</w:t>
            </w:r>
          </w:p>
        </w:tc>
        <w:tc>
          <w:tcPr>
            <w:tcW w:w="931" w:type="dxa"/>
          </w:tcPr>
          <w:p w14:paraId="19DBEC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251070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51" w:type="dxa"/>
          </w:tcPr>
          <w:p w14:paraId="02A61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39295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01FB08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850" w:type="dxa"/>
          </w:tcPr>
          <w:p w14:paraId="16764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150 </w:t>
            </w:r>
          </w:p>
        </w:tc>
        <w:tc>
          <w:tcPr>
            <w:tcW w:w="1985" w:type="dxa"/>
          </w:tcPr>
          <w:p w14:paraId="518DB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Август-октябрь 1933 года – заводские</w:t>
            </w:r>
          </w:p>
        </w:tc>
        <w:tc>
          <w:tcPr>
            <w:tcW w:w="1417" w:type="dxa"/>
          </w:tcPr>
          <w:p w14:paraId="44C64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002D11A6" w14:textId="77777777">
        <w:tc>
          <w:tcPr>
            <w:tcW w:w="1871" w:type="dxa"/>
          </w:tcPr>
          <w:p w14:paraId="7C335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М48</w:t>
            </w:r>
          </w:p>
        </w:tc>
        <w:tc>
          <w:tcPr>
            <w:tcW w:w="931" w:type="dxa"/>
          </w:tcPr>
          <w:p w14:paraId="57A12B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5D1A5F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w:t>
            </w:r>
          </w:p>
        </w:tc>
        <w:tc>
          <w:tcPr>
            <w:tcW w:w="851" w:type="dxa"/>
          </w:tcPr>
          <w:p w14:paraId="57C78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1D5F4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851" w:type="dxa"/>
          </w:tcPr>
          <w:p w14:paraId="6C2F0E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64524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4476D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августа 1932 года </w:t>
            </w:r>
          </w:p>
        </w:tc>
        <w:tc>
          <w:tcPr>
            <w:tcW w:w="1417" w:type="dxa"/>
          </w:tcPr>
          <w:p w14:paraId="1DCA9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29</w:t>
            </w:r>
          </w:p>
        </w:tc>
      </w:tr>
      <w:tr w:rsidR="00DA227A" w:rsidRPr="00E93F40" w14:paraId="62058563" w14:textId="77777777">
        <w:tc>
          <w:tcPr>
            <w:tcW w:w="1871" w:type="dxa"/>
          </w:tcPr>
          <w:p w14:paraId="5C0AB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М51</w:t>
            </w:r>
          </w:p>
        </w:tc>
        <w:tc>
          <w:tcPr>
            <w:tcW w:w="931" w:type="dxa"/>
          </w:tcPr>
          <w:p w14:paraId="236D2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2E3E3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851" w:type="dxa"/>
          </w:tcPr>
          <w:p w14:paraId="251F14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3450A5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w:t>
            </w:r>
          </w:p>
        </w:tc>
        <w:tc>
          <w:tcPr>
            <w:tcW w:w="851" w:type="dxa"/>
          </w:tcPr>
          <w:p w14:paraId="14DE0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850" w:type="dxa"/>
          </w:tcPr>
          <w:p w14:paraId="25FE20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985" w:type="dxa"/>
          </w:tcPr>
          <w:p w14:paraId="21361B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 года</w:t>
            </w:r>
          </w:p>
        </w:tc>
        <w:tc>
          <w:tcPr>
            <w:tcW w:w="1417" w:type="dxa"/>
          </w:tcPr>
          <w:p w14:paraId="33D73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29</w:t>
            </w:r>
          </w:p>
        </w:tc>
      </w:tr>
      <w:tr w:rsidR="00DA227A" w:rsidRPr="00E93F40" w14:paraId="4F7AF8F4" w14:textId="77777777">
        <w:tc>
          <w:tcPr>
            <w:tcW w:w="1871" w:type="dxa"/>
          </w:tcPr>
          <w:p w14:paraId="08DB08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Нефтяные моторы.</w:t>
            </w:r>
          </w:p>
        </w:tc>
        <w:tc>
          <w:tcPr>
            <w:tcW w:w="931" w:type="dxa"/>
          </w:tcPr>
          <w:p w14:paraId="55F402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D0D5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5D5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BAE8C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4178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4B94D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3D37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19FEE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8B7649" w14:textId="77777777">
        <w:tc>
          <w:tcPr>
            <w:tcW w:w="1871" w:type="dxa"/>
          </w:tcPr>
          <w:p w14:paraId="3BAD7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 (четырехтактный)</w:t>
            </w:r>
          </w:p>
        </w:tc>
        <w:tc>
          <w:tcPr>
            <w:tcW w:w="931" w:type="dxa"/>
          </w:tcPr>
          <w:p w14:paraId="09038A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67F4D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851" w:type="dxa"/>
          </w:tcPr>
          <w:p w14:paraId="37B9C6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0" w:type="dxa"/>
          </w:tcPr>
          <w:p w14:paraId="6CEFA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c>
          <w:tcPr>
            <w:tcW w:w="851" w:type="dxa"/>
          </w:tcPr>
          <w:p w14:paraId="4048A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3D4FA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331F2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марта 1933 года –государственные </w:t>
            </w:r>
          </w:p>
        </w:tc>
        <w:tc>
          <w:tcPr>
            <w:tcW w:w="1417" w:type="dxa"/>
          </w:tcPr>
          <w:p w14:paraId="4C1E89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66C1646A" w14:textId="77777777">
        <w:tc>
          <w:tcPr>
            <w:tcW w:w="1871" w:type="dxa"/>
          </w:tcPr>
          <w:p w14:paraId="6345BE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Н2 (четырехтактный)</w:t>
            </w:r>
          </w:p>
        </w:tc>
        <w:tc>
          <w:tcPr>
            <w:tcW w:w="931" w:type="dxa"/>
          </w:tcPr>
          <w:p w14:paraId="059FF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65C67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851" w:type="dxa"/>
          </w:tcPr>
          <w:p w14:paraId="08F0E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1BE56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851" w:type="dxa"/>
          </w:tcPr>
          <w:p w14:paraId="4BA8B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21E266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057C9E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 –государственные</w:t>
            </w:r>
          </w:p>
        </w:tc>
        <w:tc>
          <w:tcPr>
            <w:tcW w:w="1417" w:type="dxa"/>
          </w:tcPr>
          <w:p w14:paraId="18D96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ВНИДИ</w:t>
            </w:r>
          </w:p>
        </w:tc>
      </w:tr>
      <w:tr w:rsidR="00DA227A" w:rsidRPr="00E93F40" w14:paraId="5598C7F8" w14:textId="77777777">
        <w:tc>
          <w:tcPr>
            <w:tcW w:w="1871" w:type="dxa"/>
          </w:tcPr>
          <w:p w14:paraId="24363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 (четырехтактный)</w:t>
            </w:r>
          </w:p>
        </w:tc>
        <w:tc>
          <w:tcPr>
            <w:tcW w:w="931" w:type="dxa"/>
          </w:tcPr>
          <w:p w14:paraId="4E36F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2E9FE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46B25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50" w:type="dxa"/>
          </w:tcPr>
          <w:p w14:paraId="41E967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851" w:type="dxa"/>
          </w:tcPr>
          <w:p w14:paraId="32431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536CB7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0CB7A6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 –государственные</w:t>
            </w:r>
          </w:p>
        </w:tc>
        <w:tc>
          <w:tcPr>
            <w:tcW w:w="1417" w:type="dxa"/>
          </w:tcPr>
          <w:p w14:paraId="7C86AC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УкрИДВС</w:t>
            </w:r>
          </w:p>
        </w:tc>
      </w:tr>
      <w:tr w:rsidR="00DA227A" w:rsidRPr="00E93F40" w14:paraId="24A12268" w14:textId="77777777">
        <w:tc>
          <w:tcPr>
            <w:tcW w:w="1871" w:type="dxa"/>
          </w:tcPr>
          <w:p w14:paraId="613C53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Н4 (двухтактный)</w:t>
            </w:r>
          </w:p>
        </w:tc>
        <w:tc>
          <w:tcPr>
            <w:tcW w:w="931" w:type="dxa"/>
          </w:tcPr>
          <w:p w14:paraId="624DF1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632D23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500-600</w:t>
            </w:r>
          </w:p>
        </w:tc>
        <w:tc>
          <w:tcPr>
            <w:tcW w:w="851" w:type="dxa"/>
          </w:tcPr>
          <w:p w14:paraId="55B40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76E205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500-600</w:t>
            </w:r>
          </w:p>
        </w:tc>
        <w:tc>
          <w:tcPr>
            <w:tcW w:w="851" w:type="dxa"/>
          </w:tcPr>
          <w:p w14:paraId="57F92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0D8DF6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1A31F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года –государственные</w:t>
            </w:r>
          </w:p>
        </w:tc>
        <w:tc>
          <w:tcPr>
            <w:tcW w:w="1417" w:type="dxa"/>
          </w:tcPr>
          <w:p w14:paraId="0A882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w:t>
            </w:r>
          </w:p>
        </w:tc>
      </w:tr>
      <w:tr w:rsidR="00DA227A" w:rsidRPr="00E93F40" w14:paraId="28EA2BB1" w14:textId="77777777">
        <w:tc>
          <w:tcPr>
            <w:tcW w:w="1871" w:type="dxa"/>
          </w:tcPr>
          <w:p w14:paraId="54B1AE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Н5 (двухтактный)</w:t>
            </w:r>
          </w:p>
        </w:tc>
        <w:tc>
          <w:tcPr>
            <w:tcW w:w="931" w:type="dxa"/>
          </w:tcPr>
          <w:p w14:paraId="3F9158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Водяное</w:t>
            </w:r>
          </w:p>
        </w:tc>
        <w:tc>
          <w:tcPr>
            <w:tcW w:w="850" w:type="dxa"/>
          </w:tcPr>
          <w:p w14:paraId="45FBFC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51" w:type="dxa"/>
          </w:tcPr>
          <w:p w14:paraId="6F17D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014D6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851" w:type="dxa"/>
          </w:tcPr>
          <w:p w14:paraId="10E156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180-190</w:t>
            </w:r>
          </w:p>
        </w:tc>
        <w:tc>
          <w:tcPr>
            <w:tcW w:w="850" w:type="dxa"/>
          </w:tcPr>
          <w:p w14:paraId="2FC39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7CB7C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 заводские</w:t>
            </w:r>
          </w:p>
        </w:tc>
        <w:tc>
          <w:tcPr>
            <w:tcW w:w="1417" w:type="dxa"/>
          </w:tcPr>
          <w:p w14:paraId="3115B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r>
      <w:tr w:rsidR="009D12BD" w:rsidRPr="00E93F40" w14:paraId="4D80DE70" w14:textId="77777777">
        <w:tc>
          <w:tcPr>
            <w:tcW w:w="1871" w:type="dxa"/>
          </w:tcPr>
          <w:p w14:paraId="3A9AE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Н6 (двухтактный)</w:t>
            </w:r>
          </w:p>
        </w:tc>
        <w:tc>
          <w:tcPr>
            <w:tcW w:w="931" w:type="dxa"/>
          </w:tcPr>
          <w:p w14:paraId="64A2D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Воздушное</w:t>
            </w:r>
          </w:p>
        </w:tc>
        <w:tc>
          <w:tcPr>
            <w:tcW w:w="850" w:type="dxa"/>
          </w:tcPr>
          <w:p w14:paraId="5636E7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51" w:type="dxa"/>
          </w:tcPr>
          <w:p w14:paraId="1357F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850" w:type="dxa"/>
          </w:tcPr>
          <w:p w14:paraId="30E3C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w:t>
            </w:r>
          </w:p>
        </w:tc>
        <w:tc>
          <w:tcPr>
            <w:tcW w:w="851" w:type="dxa"/>
          </w:tcPr>
          <w:p w14:paraId="2C6A3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180-200</w:t>
            </w:r>
          </w:p>
        </w:tc>
        <w:tc>
          <w:tcPr>
            <w:tcW w:w="850" w:type="dxa"/>
          </w:tcPr>
          <w:p w14:paraId="023DCF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985" w:type="dxa"/>
          </w:tcPr>
          <w:p w14:paraId="183E2E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 – заводские</w:t>
            </w:r>
          </w:p>
        </w:tc>
        <w:tc>
          <w:tcPr>
            <w:tcW w:w="1417" w:type="dxa"/>
          </w:tcPr>
          <w:p w14:paraId="247C3E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r>
    </w:tbl>
    <w:p w14:paraId="63E24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172"/>
        <w:gridCol w:w="1134"/>
        <w:gridCol w:w="1701"/>
        <w:gridCol w:w="2693"/>
      </w:tblGrid>
      <w:tr w:rsidR="00DA227A" w:rsidRPr="00E93F40" w14:paraId="5040FAC8" w14:textId="77777777">
        <w:tc>
          <w:tcPr>
            <w:tcW w:w="1878" w:type="dxa"/>
          </w:tcPr>
          <w:p w14:paraId="7A69F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двигателя или агрегата</w:t>
            </w:r>
          </w:p>
        </w:tc>
        <w:tc>
          <w:tcPr>
            <w:tcW w:w="1878" w:type="dxa"/>
          </w:tcPr>
          <w:p w14:paraId="4EE9D3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1172" w:type="dxa"/>
          </w:tcPr>
          <w:p w14:paraId="7B6E3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Высотность</w:t>
            </w:r>
          </w:p>
        </w:tc>
        <w:tc>
          <w:tcPr>
            <w:tcW w:w="1134" w:type="dxa"/>
          </w:tcPr>
          <w:p w14:paraId="4DB547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1701" w:type="dxa"/>
          </w:tcPr>
          <w:p w14:paraId="3E928B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выхода на госиспытания</w:t>
            </w:r>
          </w:p>
        </w:tc>
        <w:tc>
          <w:tcPr>
            <w:tcW w:w="2693" w:type="dxa"/>
          </w:tcPr>
          <w:p w14:paraId="16EE55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Исполнитель</w:t>
            </w:r>
          </w:p>
        </w:tc>
      </w:tr>
      <w:tr w:rsidR="00DA227A" w:rsidRPr="00E93F40" w14:paraId="73C927B1" w14:textId="77777777">
        <w:tc>
          <w:tcPr>
            <w:tcW w:w="1878" w:type="dxa"/>
          </w:tcPr>
          <w:p w14:paraId="67E1B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 переменного шага</w:t>
            </w:r>
          </w:p>
        </w:tc>
        <w:tc>
          <w:tcPr>
            <w:tcW w:w="1878" w:type="dxa"/>
          </w:tcPr>
          <w:p w14:paraId="58B23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72" w:type="dxa"/>
          </w:tcPr>
          <w:p w14:paraId="477A9B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134" w:type="dxa"/>
          </w:tcPr>
          <w:p w14:paraId="45B0A2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Pr>
          <w:p w14:paraId="2463CC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c>
          <w:tcPr>
            <w:tcW w:w="2693" w:type="dxa"/>
          </w:tcPr>
          <w:p w14:paraId="23AB0A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r w:rsidR="00DA227A" w:rsidRPr="00E93F40" w14:paraId="598CD18C" w14:textId="77777777">
        <w:tc>
          <w:tcPr>
            <w:tcW w:w="1878" w:type="dxa"/>
          </w:tcPr>
          <w:p w14:paraId="0704A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Газовая турбина</w:t>
            </w:r>
          </w:p>
        </w:tc>
        <w:tc>
          <w:tcPr>
            <w:tcW w:w="1878" w:type="dxa"/>
          </w:tcPr>
          <w:p w14:paraId="57D5C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500-1000</w:t>
            </w:r>
          </w:p>
        </w:tc>
        <w:tc>
          <w:tcPr>
            <w:tcW w:w="1172" w:type="dxa"/>
          </w:tcPr>
          <w:p w14:paraId="40427A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6000-8000</w:t>
            </w:r>
          </w:p>
        </w:tc>
        <w:tc>
          <w:tcPr>
            <w:tcW w:w="1134" w:type="dxa"/>
          </w:tcPr>
          <w:p w14:paraId="51539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400-800</w:t>
            </w:r>
          </w:p>
        </w:tc>
        <w:tc>
          <w:tcPr>
            <w:tcW w:w="1701" w:type="dxa"/>
          </w:tcPr>
          <w:p w14:paraId="0F967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w:t>
            </w:r>
          </w:p>
        </w:tc>
        <w:tc>
          <w:tcPr>
            <w:tcW w:w="2693" w:type="dxa"/>
          </w:tcPr>
          <w:p w14:paraId="1BAD11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Теплотехнический институт</w:t>
            </w:r>
          </w:p>
        </w:tc>
      </w:tr>
      <w:tr w:rsidR="00DA227A" w:rsidRPr="00E93F40" w14:paraId="1AEDAB28" w14:textId="77777777">
        <w:tc>
          <w:tcPr>
            <w:tcW w:w="1878" w:type="dxa"/>
          </w:tcPr>
          <w:p w14:paraId="0A4FD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Паровая турбина</w:t>
            </w:r>
          </w:p>
        </w:tc>
        <w:tc>
          <w:tcPr>
            <w:tcW w:w="1878" w:type="dxa"/>
          </w:tcPr>
          <w:p w14:paraId="345E9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1172" w:type="dxa"/>
          </w:tcPr>
          <w:p w14:paraId="2C062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1134" w:type="dxa"/>
          </w:tcPr>
          <w:p w14:paraId="02FD1C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1701" w:type="dxa"/>
          </w:tcPr>
          <w:p w14:paraId="434DAC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1932 года</w:t>
            </w:r>
          </w:p>
        </w:tc>
        <w:tc>
          <w:tcPr>
            <w:tcW w:w="2693" w:type="dxa"/>
          </w:tcPr>
          <w:p w14:paraId="15EF5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НИИ ВОГВФ и ОКБ </w:t>
            </w:r>
          </w:p>
        </w:tc>
      </w:tr>
      <w:tr w:rsidR="00DA227A" w:rsidRPr="00E93F40" w14:paraId="44029CF5" w14:textId="77777777">
        <w:tc>
          <w:tcPr>
            <w:tcW w:w="1878" w:type="dxa"/>
          </w:tcPr>
          <w:p w14:paraId="2ACBE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Бесклапан. двигатель</w:t>
            </w:r>
          </w:p>
        </w:tc>
        <w:tc>
          <w:tcPr>
            <w:tcW w:w="1878" w:type="dxa"/>
          </w:tcPr>
          <w:p w14:paraId="6C6DD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90/165</w:t>
            </w:r>
          </w:p>
        </w:tc>
        <w:tc>
          <w:tcPr>
            <w:tcW w:w="1172" w:type="dxa"/>
          </w:tcPr>
          <w:p w14:paraId="4D46F7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34" w:type="dxa"/>
          </w:tcPr>
          <w:p w14:paraId="36902E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Pr>
          <w:p w14:paraId="5457A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c>
          <w:tcPr>
            <w:tcW w:w="2693" w:type="dxa"/>
          </w:tcPr>
          <w:p w14:paraId="4290B1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ВВА – ИАМ</w:t>
            </w:r>
          </w:p>
        </w:tc>
      </w:tr>
      <w:tr w:rsidR="00DA227A" w:rsidRPr="00E93F40" w14:paraId="15FBDED9" w14:textId="77777777">
        <w:tc>
          <w:tcPr>
            <w:tcW w:w="1878" w:type="dxa"/>
          </w:tcPr>
          <w:p w14:paraId="334C2A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двигатель</w:t>
            </w:r>
          </w:p>
        </w:tc>
        <w:tc>
          <w:tcPr>
            <w:tcW w:w="1878" w:type="dxa"/>
          </w:tcPr>
          <w:p w14:paraId="0C03D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Исследовательская работа </w:t>
            </w:r>
          </w:p>
        </w:tc>
        <w:tc>
          <w:tcPr>
            <w:tcW w:w="1172" w:type="dxa"/>
          </w:tcPr>
          <w:p w14:paraId="0B1A0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0E61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67DE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782A9D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F1A90E" w14:textId="77777777">
        <w:tc>
          <w:tcPr>
            <w:tcW w:w="1878" w:type="dxa"/>
          </w:tcPr>
          <w:p w14:paraId="7AA0E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Исследовательская работа</w:t>
            </w:r>
          </w:p>
        </w:tc>
        <w:tc>
          <w:tcPr>
            <w:tcW w:w="1878" w:type="dxa"/>
          </w:tcPr>
          <w:p w14:paraId="09634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области электродвигателя</w:t>
            </w:r>
          </w:p>
        </w:tc>
        <w:tc>
          <w:tcPr>
            <w:tcW w:w="1172" w:type="dxa"/>
          </w:tcPr>
          <w:p w14:paraId="40358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FFB1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F4BB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6CB51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9A73E0" w14:textId="77777777">
        <w:tc>
          <w:tcPr>
            <w:tcW w:w="1878" w:type="dxa"/>
          </w:tcPr>
          <w:p w14:paraId="61EF5A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Исследовательская работа </w:t>
            </w:r>
          </w:p>
        </w:tc>
        <w:tc>
          <w:tcPr>
            <w:tcW w:w="1878" w:type="dxa"/>
          </w:tcPr>
          <w:p w14:paraId="36718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бензиновым двигателям с механич. впрыскив. топлива </w:t>
            </w:r>
          </w:p>
        </w:tc>
        <w:tc>
          <w:tcPr>
            <w:tcW w:w="1172" w:type="dxa"/>
          </w:tcPr>
          <w:p w14:paraId="3D1E0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511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538E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22938D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ИАМ</w:t>
            </w:r>
          </w:p>
        </w:tc>
      </w:tr>
    </w:tbl>
    <w:p w14:paraId="6D5C0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 по самолетам на 1932-1934 гг.</w:t>
      </w:r>
    </w:p>
    <w:p w14:paraId="7F1FD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опытного строительства по самолетам на 1932-1934 гг. (351)</w:t>
      </w:r>
    </w:p>
    <w:p w14:paraId="047940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709"/>
        <w:gridCol w:w="867"/>
        <w:gridCol w:w="868"/>
        <w:gridCol w:w="871"/>
        <w:gridCol w:w="865"/>
        <w:gridCol w:w="684"/>
        <w:gridCol w:w="925"/>
        <w:gridCol w:w="694"/>
        <w:gridCol w:w="589"/>
        <w:gridCol w:w="866"/>
      </w:tblGrid>
      <w:tr w:rsidR="00DA227A" w:rsidRPr="00E93F40" w14:paraId="1DD27295" w14:textId="77777777">
        <w:tc>
          <w:tcPr>
            <w:tcW w:w="1668" w:type="dxa"/>
          </w:tcPr>
          <w:p w14:paraId="3AA534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Наименование самолета с указанием использования по линии ГВФ</w:t>
            </w:r>
          </w:p>
        </w:tc>
        <w:tc>
          <w:tcPr>
            <w:tcW w:w="850" w:type="dxa"/>
          </w:tcPr>
          <w:p w14:paraId="6EDEBA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Литерное обозначение</w:t>
            </w:r>
          </w:p>
        </w:tc>
        <w:tc>
          <w:tcPr>
            <w:tcW w:w="709" w:type="dxa"/>
          </w:tcPr>
          <w:p w14:paraId="71A0DF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 госиспытания</w:t>
            </w:r>
          </w:p>
        </w:tc>
        <w:tc>
          <w:tcPr>
            <w:tcW w:w="867" w:type="dxa"/>
          </w:tcPr>
          <w:p w14:paraId="43BC36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применения/потолок/время подъема</w:t>
            </w:r>
          </w:p>
        </w:tc>
        <w:tc>
          <w:tcPr>
            <w:tcW w:w="868" w:type="dxa"/>
          </w:tcPr>
          <w:p w14:paraId="2682F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Горизонт. скорость на высоте применения</w:t>
            </w:r>
          </w:p>
        </w:tc>
        <w:tc>
          <w:tcPr>
            <w:tcW w:w="871" w:type="dxa"/>
          </w:tcPr>
          <w:p w14:paraId="097E9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w:t>
            </w:r>
          </w:p>
        </w:tc>
        <w:tc>
          <w:tcPr>
            <w:tcW w:w="865" w:type="dxa"/>
          </w:tcPr>
          <w:p w14:paraId="583CE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действия/перегрузка</w:t>
            </w:r>
          </w:p>
        </w:tc>
        <w:tc>
          <w:tcPr>
            <w:tcW w:w="684" w:type="dxa"/>
          </w:tcPr>
          <w:p w14:paraId="3438F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Сбрасываемый груз норм./перегрузка</w:t>
            </w:r>
          </w:p>
        </w:tc>
        <w:tc>
          <w:tcPr>
            <w:tcW w:w="925" w:type="dxa"/>
          </w:tcPr>
          <w:p w14:paraId="093AA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стрелковое/бомбовое</w:t>
            </w:r>
          </w:p>
        </w:tc>
        <w:tc>
          <w:tcPr>
            <w:tcW w:w="694" w:type="dxa"/>
          </w:tcPr>
          <w:p w14:paraId="29FBFA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w:t>
            </w:r>
          </w:p>
        </w:tc>
        <w:tc>
          <w:tcPr>
            <w:tcW w:w="589" w:type="dxa"/>
          </w:tcPr>
          <w:p w14:paraId="42D11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заменяет</w:t>
            </w:r>
          </w:p>
        </w:tc>
        <w:tc>
          <w:tcPr>
            <w:tcW w:w="866" w:type="dxa"/>
          </w:tcPr>
          <w:p w14:paraId="696334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Примечания</w:t>
            </w:r>
          </w:p>
        </w:tc>
      </w:tr>
      <w:tr w:rsidR="00DA227A" w:rsidRPr="00E93F40" w14:paraId="3D373B8D" w14:textId="77777777">
        <w:tc>
          <w:tcPr>
            <w:tcW w:w="1668" w:type="dxa"/>
          </w:tcPr>
          <w:p w14:paraId="2D828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Опытные:</w:t>
            </w:r>
          </w:p>
        </w:tc>
        <w:tc>
          <w:tcPr>
            <w:tcW w:w="850" w:type="dxa"/>
          </w:tcPr>
          <w:p w14:paraId="0471C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C42D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A3B26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A3ED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384D6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C4E09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28CA94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EB93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2FE9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B054F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5D165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EBA2C7" w14:textId="77777777">
        <w:tc>
          <w:tcPr>
            <w:tcW w:w="1668" w:type="dxa"/>
          </w:tcPr>
          <w:p w14:paraId="0AF45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Тяжелый бомбардировщик (он же пас. и груз.)</w:t>
            </w:r>
          </w:p>
        </w:tc>
        <w:tc>
          <w:tcPr>
            <w:tcW w:w="850" w:type="dxa"/>
          </w:tcPr>
          <w:p w14:paraId="5B42B4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ТБ6-М44 или нефт.</w:t>
            </w:r>
          </w:p>
        </w:tc>
        <w:tc>
          <w:tcPr>
            <w:tcW w:w="709" w:type="dxa"/>
          </w:tcPr>
          <w:p w14:paraId="290A0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1.12.34</w:t>
            </w:r>
          </w:p>
        </w:tc>
        <w:tc>
          <w:tcPr>
            <w:tcW w:w="867" w:type="dxa"/>
          </w:tcPr>
          <w:p w14:paraId="004AF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5000/7000/-</w:t>
            </w:r>
          </w:p>
        </w:tc>
        <w:tc>
          <w:tcPr>
            <w:tcW w:w="868" w:type="dxa"/>
          </w:tcPr>
          <w:p w14:paraId="567D30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871" w:type="dxa"/>
          </w:tcPr>
          <w:p w14:paraId="1BB5C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865" w:type="dxa"/>
          </w:tcPr>
          <w:p w14:paraId="28671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1500/2000</w:t>
            </w:r>
          </w:p>
        </w:tc>
        <w:tc>
          <w:tcPr>
            <w:tcW w:w="684" w:type="dxa"/>
          </w:tcPr>
          <w:p w14:paraId="1532E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925" w:type="dxa"/>
          </w:tcPr>
          <w:p w14:paraId="5C809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пул. и пушки/ 250,500, 1000, 2000</w:t>
            </w:r>
          </w:p>
        </w:tc>
        <w:tc>
          <w:tcPr>
            <w:tcW w:w="694" w:type="dxa"/>
          </w:tcPr>
          <w:p w14:paraId="4BA16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0B2C89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ТБ4-К7</w:t>
            </w:r>
          </w:p>
        </w:tc>
        <w:tc>
          <w:tcPr>
            <w:tcW w:w="866" w:type="dxa"/>
          </w:tcPr>
          <w:p w14:paraId="46B605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4882DD" w14:textId="77777777">
        <w:tc>
          <w:tcPr>
            <w:tcW w:w="1668" w:type="dxa"/>
          </w:tcPr>
          <w:p w14:paraId="1DD07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Тяжелый десантный (он же тяж. Груз.)</w:t>
            </w:r>
          </w:p>
        </w:tc>
        <w:tc>
          <w:tcPr>
            <w:tcW w:w="850" w:type="dxa"/>
          </w:tcPr>
          <w:p w14:paraId="62C52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Д1-10М34</w:t>
            </w:r>
          </w:p>
        </w:tc>
        <w:tc>
          <w:tcPr>
            <w:tcW w:w="709" w:type="dxa"/>
          </w:tcPr>
          <w:p w14:paraId="3FD838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1.6.33</w:t>
            </w:r>
          </w:p>
        </w:tc>
        <w:tc>
          <w:tcPr>
            <w:tcW w:w="867" w:type="dxa"/>
          </w:tcPr>
          <w:p w14:paraId="65061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68" w:type="dxa"/>
          </w:tcPr>
          <w:p w14:paraId="3602D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871" w:type="dxa"/>
          </w:tcPr>
          <w:p w14:paraId="257726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865" w:type="dxa"/>
          </w:tcPr>
          <w:p w14:paraId="6706B4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684" w:type="dxa"/>
          </w:tcPr>
          <w:p w14:paraId="074AE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925" w:type="dxa"/>
          </w:tcPr>
          <w:p w14:paraId="60B26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94" w:type="dxa"/>
          </w:tcPr>
          <w:p w14:paraId="376AEB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1BD360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6" w:type="dxa"/>
          </w:tcPr>
          <w:p w14:paraId="1720E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 И строит. ведет ВА ВВС РККА</w:t>
            </w:r>
          </w:p>
        </w:tc>
      </w:tr>
      <w:tr w:rsidR="00DA227A" w:rsidRPr="00E93F40" w14:paraId="6CC4E78A" w14:textId="77777777">
        <w:tc>
          <w:tcPr>
            <w:tcW w:w="1668" w:type="dxa"/>
          </w:tcPr>
          <w:p w14:paraId="29D14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Тяжелый бомбовоз</w:t>
            </w:r>
          </w:p>
        </w:tc>
        <w:tc>
          <w:tcPr>
            <w:tcW w:w="850" w:type="dxa"/>
          </w:tcPr>
          <w:p w14:paraId="5CD84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w:t>
            </w:r>
          </w:p>
        </w:tc>
        <w:tc>
          <w:tcPr>
            <w:tcW w:w="709" w:type="dxa"/>
          </w:tcPr>
          <w:p w14:paraId="6F3435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1.11.32 на аэродром</w:t>
            </w:r>
          </w:p>
        </w:tc>
        <w:tc>
          <w:tcPr>
            <w:tcW w:w="867" w:type="dxa"/>
          </w:tcPr>
          <w:p w14:paraId="40EDE2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868" w:type="dxa"/>
          </w:tcPr>
          <w:p w14:paraId="0124A6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871" w:type="dxa"/>
          </w:tcPr>
          <w:p w14:paraId="7609E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741DC5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684" w:type="dxa"/>
          </w:tcPr>
          <w:p w14:paraId="352C7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25" w:type="dxa"/>
          </w:tcPr>
          <w:p w14:paraId="06E513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 2 пуш./ 250,500, 1000</w:t>
            </w:r>
          </w:p>
        </w:tc>
        <w:tc>
          <w:tcPr>
            <w:tcW w:w="694" w:type="dxa"/>
          </w:tcPr>
          <w:p w14:paraId="1D29E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589" w:type="dxa"/>
          </w:tcPr>
          <w:p w14:paraId="6A8DE8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866" w:type="dxa"/>
          </w:tcPr>
          <w:p w14:paraId="61148F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 из плана № 1</w:t>
            </w:r>
          </w:p>
        </w:tc>
      </w:tr>
      <w:tr w:rsidR="00DA227A" w:rsidRPr="00E93F40" w14:paraId="5C6AA0E6" w14:textId="77777777">
        <w:tc>
          <w:tcPr>
            <w:tcW w:w="1668" w:type="dxa"/>
          </w:tcPr>
          <w:p w14:paraId="58F39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Тяжелый бомбовоз</w:t>
            </w:r>
          </w:p>
        </w:tc>
        <w:tc>
          <w:tcPr>
            <w:tcW w:w="850" w:type="dxa"/>
          </w:tcPr>
          <w:p w14:paraId="14C9E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Головной дюраль 6М34</w:t>
            </w:r>
          </w:p>
        </w:tc>
        <w:tc>
          <w:tcPr>
            <w:tcW w:w="709" w:type="dxa"/>
          </w:tcPr>
          <w:p w14:paraId="204FF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1.6.33</w:t>
            </w:r>
          </w:p>
        </w:tc>
        <w:tc>
          <w:tcPr>
            <w:tcW w:w="867" w:type="dxa"/>
          </w:tcPr>
          <w:p w14:paraId="36FAB6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4B42E5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871" w:type="dxa"/>
          </w:tcPr>
          <w:p w14:paraId="605EF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3729A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684" w:type="dxa"/>
          </w:tcPr>
          <w:p w14:paraId="5508D7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25" w:type="dxa"/>
          </w:tcPr>
          <w:p w14:paraId="4F3EB6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 2 пуш./ 250,500, 1000</w:t>
            </w:r>
          </w:p>
        </w:tc>
        <w:tc>
          <w:tcPr>
            <w:tcW w:w="694" w:type="dxa"/>
          </w:tcPr>
          <w:p w14:paraId="33F26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589" w:type="dxa"/>
          </w:tcPr>
          <w:p w14:paraId="75815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866" w:type="dxa"/>
          </w:tcPr>
          <w:p w14:paraId="7EE619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74142D" w14:textId="77777777">
        <w:tc>
          <w:tcPr>
            <w:tcW w:w="1668" w:type="dxa"/>
          </w:tcPr>
          <w:p w14:paraId="01AB6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Тяж. хим. боевик (для горючего и пассажирский)</w:t>
            </w:r>
          </w:p>
        </w:tc>
        <w:tc>
          <w:tcPr>
            <w:tcW w:w="850" w:type="dxa"/>
          </w:tcPr>
          <w:p w14:paraId="28C84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Х1-2М34</w:t>
            </w:r>
          </w:p>
        </w:tc>
        <w:tc>
          <w:tcPr>
            <w:tcW w:w="709" w:type="dxa"/>
          </w:tcPr>
          <w:p w14:paraId="26291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1.8.33</w:t>
            </w:r>
          </w:p>
        </w:tc>
        <w:tc>
          <w:tcPr>
            <w:tcW w:w="867" w:type="dxa"/>
          </w:tcPr>
          <w:p w14:paraId="1139C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71216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871" w:type="dxa"/>
          </w:tcPr>
          <w:p w14:paraId="28DC3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865" w:type="dxa"/>
          </w:tcPr>
          <w:p w14:paraId="22EED4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450/600</w:t>
            </w:r>
          </w:p>
        </w:tc>
        <w:tc>
          <w:tcPr>
            <w:tcW w:w="684" w:type="dxa"/>
          </w:tcPr>
          <w:p w14:paraId="3F4ED4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2000/3000</w:t>
            </w:r>
          </w:p>
        </w:tc>
        <w:tc>
          <w:tcPr>
            <w:tcW w:w="925" w:type="dxa"/>
          </w:tcPr>
          <w:p w14:paraId="4E396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 и тяжелые пулеметы</w:t>
            </w:r>
          </w:p>
        </w:tc>
        <w:tc>
          <w:tcPr>
            <w:tcW w:w="694" w:type="dxa"/>
          </w:tcPr>
          <w:p w14:paraId="0C3D4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252B1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866" w:type="dxa"/>
          </w:tcPr>
          <w:p w14:paraId="0030F0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проектируется и строится НИИ ГВФ</w:t>
            </w:r>
          </w:p>
        </w:tc>
      </w:tr>
      <w:tr w:rsidR="00DA227A" w:rsidRPr="00E93F40" w14:paraId="4CCFF855" w14:textId="77777777">
        <w:tc>
          <w:tcPr>
            <w:tcW w:w="1668" w:type="dxa"/>
          </w:tcPr>
          <w:p w14:paraId="3036F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Крейсер сухоп., средн. бомб. дальн. разведч.</w:t>
            </w:r>
          </w:p>
        </w:tc>
        <w:tc>
          <w:tcPr>
            <w:tcW w:w="850" w:type="dxa"/>
          </w:tcPr>
          <w:p w14:paraId="489224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К1-2М34</w:t>
            </w:r>
          </w:p>
        </w:tc>
        <w:tc>
          <w:tcPr>
            <w:tcW w:w="709" w:type="dxa"/>
          </w:tcPr>
          <w:p w14:paraId="29A18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1.3.34</w:t>
            </w:r>
          </w:p>
        </w:tc>
        <w:tc>
          <w:tcPr>
            <w:tcW w:w="867" w:type="dxa"/>
          </w:tcPr>
          <w:p w14:paraId="34E95C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868" w:type="dxa"/>
          </w:tcPr>
          <w:p w14:paraId="77812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871" w:type="dxa"/>
          </w:tcPr>
          <w:p w14:paraId="31AAC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865" w:type="dxa"/>
          </w:tcPr>
          <w:p w14:paraId="0023BA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1000/1250</w:t>
            </w:r>
          </w:p>
        </w:tc>
        <w:tc>
          <w:tcPr>
            <w:tcW w:w="684" w:type="dxa"/>
          </w:tcPr>
          <w:p w14:paraId="75B83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25" w:type="dxa"/>
          </w:tcPr>
          <w:p w14:paraId="37A01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и легк. пул./10, 50, 250, Гирлянды</w:t>
            </w:r>
          </w:p>
        </w:tc>
        <w:tc>
          <w:tcPr>
            <w:tcW w:w="694" w:type="dxa"/>
          </w:tcPr>
          <w:p w14:paraId="14E11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Сталь/дюраль</w:t>
            </w:r>
          </w:p>
        </w:tc>
        <w:tc>
          <w:tcPr>
            <w:tcW w:w="589" w:type="dxa"/>
          </w:tcPr>
          <w:p w14:paraId="1AF113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866" w:type="dxa"/>
          </w:tcPr>
          <w:p w14:paraId="2D951E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440126" w14:textId="77777777">
        <w:tc>
          <w:tcPr>
            <w:tcW w:w="1668" w:type="dxa"/>
          </w:tcPr>
          <w:p w14:paraId="6176C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Многоместный истребитель</w:t>
            </w:r>
          </w:p>
        </w:tc>
        <w:tc>
          <w:tcPr>
            <w:tcW w:w="850" w:type="dxa"/>
          </w:tcPr>
          <w:p w14:paraId="240AB8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МИ3-2М34Н</w:t>
            </w:r>
          </w:p>
        </w:tc>
        <w:tc>
          <w:tcPr>
            <w:tcW w:w="709" w:type="dxa"/>
          </w:tcPr>
          <w:p w14:paraId="4A59F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1.1.33</w:t>
            </w:r>
          </w:p>
        </w:tc>
        <w:tc>
          <w:tcPr>
            <w:tcW w:w="867" w:type="dxa"/>
          </w:tcPr>
          <w:p w14:paraId="77C07A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5000/7000-8000/15-18</w:t>
            </w:r>
          </w:p>
        </w:tc>
        <w:tc>
          <w:tcPr>
            <w:tcW w:w="868" w:type="dxa"/>
          </w:tcPr>
          <w:p w14:paraId="2E2165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871" w:type="dxa"/>
          </w:tcPr>
          <w:p w14:paraId="52434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7B372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684" w:type="dxa"/>
          </w:tcPr>
          <w:p w14:paraId="0CE8A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55716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 1 пушка</w:t>
            </w:r>
          </w:p>
        </w:tc>
        <w:tc>
          <w:tcPr>
            <w:tcW w:w="694" w:type="dxa"/>
          </w:tcPr>
          <w:p w14:paraId="7A4DE0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589" w:type="dxa"/>
          </w:tcPr>
          <w:p w14:paraId="18A36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6" w:type="dxa"/>
          </w:tcPr>
          <w:p w14:paraId="4EC20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Перенесен из плана № 1</w:t>
            </w:r>
          </w:p>
          <w:p w14:paraId="0459E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штабом РККА согласовано уменьшение радиуса до 500 км</w:t>
            </w:r>
          </w:p>
        </w:tc>
      </w:tr>
      <w:tr w:rsidR="00DA227A" w:rsidRPr="00E93F40" w14:paraId="2A5D6EA0" w14:textId="77777777">
        <w:tc>
          <w:tcPr>
            <w:tcW w:w="1668" w:type="dxa"/>
          </w:tcPr>
          <w:p w14:paraId="56ECD2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Двухместный истребитель пуш.</w:t>
            </w:r>
          </w:p>
        </w:tc>
        <w:tc>
          <w:tcPr>
            <w:tcW w:w="850" w:type="dxa"/>
          </w:tcPr>
          <w:p w14:paraId="56501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ДИП1-М34Н</w:t>
            </w:r>
          </w:p>
        </w:tc>
        <w:tc>
          <w:tcPr>
            <w:tcW w:w="709" w:type="dxa"/>
          </w:tcPr>
          <w:p w14:paraId="5A032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1.10.33</w:t>
            </w:r>
          </w:p>
        </w:tc>
        <w:tc>
          <w:tcPr>
            <w:tcW w:w="867" w:type="dxa"/>
          </w:tcPr>
          <w:p w14:paraId="4704A2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5000/8000/15-18</w:t>
            </w:r>
          </w:p>
        </w:tc>
        <w:tc>
          <w:tcPr>
            <w:tcW w:w="868" w:type="dxa"/>
          </w:tcPr>
          <w:p w14:paraId="17DEC3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325/5000</w:t>
            </w:r>
          </w:p>
        </w:tc>
        <w:tc>
          <w:tcPr>
            <w:tcW w:w="871" w:type="dxa"/>
          </w:tcPr>
          <w:p w14:paraId="580AE2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865" w:type="dxa"/>
          </w:tcPr>
          <w:p w14:paraId="34A1E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684" w:type="dxa"/>
          </w:tcPr>
          <w:p w14:paraId="417A8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5EAB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94" w:type="dxa"/>
          </w:tcPr>
          <w:p w14:paraId="67C4AC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589" w:type="dxa"/>
          </w:tcPr>
          <w:p w14:paraId="7F091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6" w:type="dxa"/>
          </w:tcPr>
          <w:p w14:paraId="1A1EC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9E94FDB" w14:textId="77777777">
        <w:tc>
          <w:tcPr>
            <w:tcW w:w="1668" w:type="dxa"/>
          </w:tcPr>
          <w:p w14:paraId="5D69C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Легкий разведчик</w:t>
            </w:r>
          </w:p>
        </w:tc>
        <w:tc>
          <w:tcPr>
            <w:tcW w:w="850" w:type="dxa"/>
          </w:tcPr>
          <w:p w14:paraId="3DA40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ЛР-М34Н</w:t>
            </w:r>
          </w:p>
        </w:tc>
        <w:tc>
          <w:tcPr>
            <w:tcW w:w="709" w:type="dxa"/>
          </w:tcPr>
          <w:p w14:paraId="58344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1.3.33 на аэродром</w:t>
            </w:r>
          </w:p>
        </w:tc>
        <w:tc>
          <w:tcPr>
            <w:tcW w:w="867" w:type="dxa"/>
          </w:tcPr>
          <w:p w14:paraId="68D94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5000/9000/9</w:t>
            </w:r>
          </w:p>
        </w:tc>
        <w:tc>
          <w:tcPr>
            <w:tcW w:w="868" w:type="dxa"/>
          </w:tcPr>
          <w:p w14:paraId="727728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375/5000</w:t>
            </w:r>
          </w:p>
        </w:tc>
        <w:tc>
          <w:tcPr>
            <w:tcW w:w="871" w:type="dxa"/>
          </w:tcPr>
          <w:p w14:paraId="60563E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5" w:type="dxa"/>
          </w:tcPr>
          <w:p w14:paraId="67A8A6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400/700</w:t>
            </w:r>
          </w:p>
        </w:tc>
        <w:tc>
          <w:tcPr>
            <w:tcW w:w="684" w:type="dxa"/>
          </w:tcPr>
          <w:p w14:paraId="4BFB8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25" w:type="dxa"/>
          </w:tcPr>
          <w:p w14:paraId="0BA31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или тяж. пул./10,, 100, 250</w:t>
            </w:r>
          </w:p>
        </w:tc>
        <w:tc>
          <w:tcPr>
            <w:tcW w:w="694" w:type="dxa"/>
          </w:tcPr>
          <w:p w14:paraId="0A2C9B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6C610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ДИ4-Р5</w:t>
            </w:r>
          </w:p>
        </w:tc>
        <w:tc>
          <w:tcPr>
            <w:tcW w:w="866" w:type="dxa"/>
          </w:tcPr>
          <w:p w14:paraId="6218BB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сам. Типа ДИ6 дает ГУ ГВФ</w:t>
            </w:r>
          </w:p>
        </w:tc>
      </w:tr>
      <w:tr w:rsidR="00DA227A" w:rsidRPr="00E93F40" w14:paraId="77D43154" w14:textId="77777777">
        <w:tc>
          <w:tcPr>
            <w:tcW w:w="1668" w:type="dxa"/>
          </w:tcPr>
          <w:p w14:paraId="36A981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Одноместный истреб. /скоростной/</w:t>
            </w:r>
          </w:p>
        </w:tc>
        <w:tc>
          <w:tcPr>
            <w:tcW w:w="850" w:type="dxa"/>
          </w:tcPr>
          <w:p w14:paraId="1FCA2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И13-М32</w:t>
            </w:r>
          </w:p>
        </w:tc>
        <w:tc>
          <w:tcPr>
            <w:tcW w:w="709" w:type="dxa"/>
          </w:tcPr>
          <w:p w14:paraId="28F47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1.6.33</w:t>
            </w:r>
          </w:p>
        </w:tc>
        <w:tc>
          <w:tcPr>
            <w:tcW w:w="867" w:type="dxa"/>
          </w:tcPr>
          <w:p w14:paraId="4652D1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6000/80000-9000/7-8 на 5000</w:t>
            </w:r>
          </w:p>
        </w:tc>
        <w:tc>
          <w:tcPr>
            <w:tcW w:w="868" w:type="dxa"/>
          </w:tcPr>
          <w:p w14:paraId="723AE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350-420/5000</w:t>
            </w:r>
          </w:p>
        </w:tc>
        <w:tc>
          <w:tcPr>
            <w:tcW w:w="871" w:type="dxa"/>
          </w:tcPr>
          <w:p w14:paraId="59C243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5" w:type="dxa"/>
          </w:tcPr>
          <w:p w14:paraId="0C95A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684" w:type="dxa"/>
          </w:tcPr>
          <w:p w14:paraId="64530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925" w:type="dxa"/>
          </w:tcPr>
          <w:p w14:paraId="5FF53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 или пушки ДРП/4х10</w:t>
            </w:r>
          </w:p>
        </w:tc>
        <w:tc>
          <w:tcPr>
            <w:tcW w:w="694" w:type="dxa"/>
          </w:tcPr>
          <w:p w14:paraId="5D931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6FC4A5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w:t>
            </w:r>
          </w:p>
        </w:tc>
        <w:tc>
          <w:tcPr>
            <w:tcW w:w="866" w:type="dxa"/>
          </w:tcPr>
          <w:p w14:paraId="661CBE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FDFF4F" w14:textId="77777777">
        <w:tc>
          <w:tcPr>
            <w:tcW w:w="1668" w:type="dxa"/>
          </w:tcPr>
          <w:p w14:paraId="227551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Одноместный истреб. /скороподъемный - маневренный/</w:t>
            </w:r>
          </w:p>
        </w:tc>
        <w:tc>
          <w:tcPr>
            <w:tcW w:w="850" w:type="dxa"/>
          </w:tcPr>
          <w:p w14:paraId="09B39B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И14-М38</w:t>
            </w:r>
          </w:p>
        </w:tc>
        <w:tc>
          <w:tcPr>
            <w:tcW w:w="709" w:type="dxa"/>
          </w:tcPr>
          <w:p w14:paraId="4A6F7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15.3.33</w:t>
            </w:r>
          </w:p>
        </w:tc>
        <w:tc>
          <w:tcPr>
            <w:tcW w:w="867" w:type="dxa"/>
          </w:tcPr>
          <w:p w14:paraId="305AB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6000/9000-10000/7-8 на 5000</w:t>
            </w:r>
          </w:p>
        </w:tc>
        <w:tc>
          <w:tcPr>
            <w:tcW w:w="868" w:type="dxa"/>
          </w:tcPr>
          <w:p w14:paraId="2470E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450-400/5000</w:t>
            </w:r>
          </w:p>
        </w:tc>
        <w:tc>
          <w:tcPr>
            <w:tcW w:w="871" w:type="dxa"/>
          </w:tcPr>
          <w:p w14:paraId="1A1F0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90-100</w:t>
            </w:r>
          </w:p>
        </w:tc>
        <w:tc>
          <w:tcPr>
            <w:tcW w:w="865" w:type="dxa"/>
          </w:tcPr>
          <w:p w14:paraId="3284E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684" w:type="dxa"/>
          </w:tcPr>
          <w:p w14:paraId="2F4171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925" w:type="dxa"/>
          </w:tcPr>
          <w:p w14:paraId="7CBD91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 или пушки ДРП/4х10</w:t>
            </w:r>
          </w:p>
        </w:tc>
        <w:tc>
          <w:tcPr>
            <w:tcW w:w="694" w:type="dxa"/>
          </w:tcPr>
          <w:p w14:paraId="0F7D2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5076D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866" w:type="dxa"/>
          </w:tcPr>
          <w:p w14:paraId="7B749E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444B43" w14:textId="77777777">
        <w:tc>
          <w:tcPr>
            <w:tcW w:w="1668" w:type="dxa"/>
          </w:tcPr>
          <w:p w14:paraId="023860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Войсковой самолет, легк. хим. боевик, (сам. борьбы с вред.) с/х и лесов, фотосъем, санит. пас.</w:t>
            </w:r>
          </w:p>
        </w:tc>
        <w:tc>
          <w:tcPr>
            <w:tcW w:w="850" w:type="dxa"/>
          </w:tcPr>
          <w:p w14:paraId="47E94F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ВC2-2М52</w:t>
            </w:r>
          </w:p>
        </w:tc>
        <w:tc>
          <w:tcPr>
            <w:tcW w:w="709" w:type="dxa"/>
          </w:tcPr>
          <w:p w14:paraId="5CA6A6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1.7.33</w:t>
            </w:r>
          </w:p>
        </w:tc>
        <w:tc>
          <w:tcPr>
            <w:tcW w:w="867" w:type="dxa"/>
          </w:tcPr>
          <w:p w14:paraId="005888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3000/-/12</w:t>
            </w:r>
          </w:p>
        </w:tc>
        <w:tc>
          <w:tcPr>
            <w:tcW w:w="868" w:type="dxa"/>
          </w:tcPr>
          <w:p w14:paraId="5F7540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871" w:type="dxa"/>
          </w:tcPr>
          <w:p w14:paraId="30322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865" w:type="dxa"/>
          </w:tcPr>
          <w:p w14:paraId="0ED72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350/600</w:t>
            </w:r>
          </w:p>
        </w:tc>
        <w:tc>
          <w:tcPr>
            <w:tcW w:w="684" w:type="dxa"/>
          </w:tcPr>
          <w:p w14:paraId="6F470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w:t>
            </w:r>
          </w:p>
        </w:tc>
        <w:tc>
          <w:tcPr>
            <w:tcW w:w="925" w:type="dxa"/>
          </w:tcPr>
          <w:p w14:paraId="12F72D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пул./10, 50, 100</w:t>
            </w:r>
          </w:p>
        </w:tc>
        <w:tc>
          <w:tcPr>
            <w:tcW w:w="694" w:type="dxa"/>
          </w:tcPr>
          <w:p w14:paraId="2F99D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589" w:type="dxa"/>
          </w:tcPr>
          <w:p w14:paraId="3B1B55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К5</w:t>
            </w:r>
          </w:p>
        </w:tc>
        <w:tc>
          <w:tcPr>
            <w:tcW w:w="866" w:type="dxa"/>
          </w:tcPr>
          <w:p w14:paraId="22B65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Вместо Р9 из плана № 1 </w:t>
            </w:r>
          </w:p>
        </w:tc>
      </w:tr>
      <w:tr w:rsidR="00DA227A" w:rsidRPr="00E93F40" w14:paraId="0A6613A2" w14:textId="77777777">
        <w:tc>
          <w:tcPr>
            <w:tcW w:w="1668" w:type="dxa"/>
          </w:tcPr>
          <w:p w14:paraId="22081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Переходн. для школ и корп. разв., (самолет местн. авиации)</w:t>
            </w:r>
          </w:p>
        </w:tc>
        <w:tc>
          <w:tcPr>
            <w:tcW w:w="850" w:type="dxa"/>
          </w:tcPr>
          <w:p w14:paraId="2AC20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П3-М52</w:t>
            </w:r>
          </w:p>
        </w:tc>
        <w:tc>
          <w:tcPr>
            <w:tcW w:w="709" w:type="dxa"/>
          </w:tcPr>
          <w:p w14:paraId="710022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w:t>
            </w:r>
          </w:p>
        </w:tc>
        <w:tc>
          <w:tcPr>
            <w:tcW w:w="867" w:type="dxa"/>
          </w:tcPr>
          <w:p w14:paraId="2D26EE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3000/5000/-</w:t>
            </w:r>
          </w:p>
        </w:tc>
        <w:tc>
          <w:tcPr>
            <w:tcW w:w="868" w:type="dxa"/>
          </w:tcPr>
          <w:p w14:paraId="49A77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871" w:type="dxa"/>
          </w:tcPr>
          <w:p w14:paraId="381CC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70-80</w:t>
            </w:r>
          </w:p>
        </w:tc>
        <w:tc>
          <w:tcPr>
            <w:tcW w:w="865" w:type="dxa"/>
          </w:tcPr>
          <w:p w14:paraId="4444B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684" w:type="dxa"/>
          </w:tcPr>
          <w:p w14:paraId="1AFDA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100038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w:t>
            </w:r>
          </w:p>
        </w:tc>
        <w:tc>
          <w:tcPr>
            <w:tcW w:w="694" w:type="dxa"/>
          </w:tcPr>
          <w:p w14:paraId="739119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208DE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6" w:type="dxa"/>
          </w:tcPr>
          <w:p w14:paraId="7EA491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и постройку ведет ВТУЗ ГУГВФ</w:t>
            </w:r>
          </w:p>
        </w:tc>
      </w:tr>
      <w:tr w:rsidR="00DA227A" w:rsidRPr="00E93F40" w14:paraId="72C6BDA1" w14:textId="77777777">
        <w:tc>
          <w:tcPr>
            <w:tcW w:w="1668" w:type="dxa"/>
          </w:tcPr>
          <w:p w14:paraId="090BE2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Учебный сам., связи и сопров. (туризм, спорт, легк. санит., местн. авиация)</w:t>
            </w:r>
          </w:p>
        </w:tc>
        <w:tc>
          <w:tcPr>
            <w:tcW w:w="850" w:type="dxa"/>
          </w:tcPr>
          <w:p w14:paraId="27F2A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У3-М48</w:t>
            </w:r>
          </w:p>
        </w:tc>
        <w:tc>
          <w:tcPr>
            <w:tcW w:w="709" w:type="dxa"/>
          </w:tcPr>
          <w:p w14:paraId="227C7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1.3.33</w:t>
            </w:r>
          </w:p>
        </w:tc>
        <w:tc>
          <w:tcPr>
            <w:tcW w:w="867" w:type="dxa"/>
          </w:tcPr>
          <w:p w14:paraId="1B420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1000/5000/-</w:t>
            </w:r>
          </w:p>
        </w:tc>
        <w:tc>
          <w:tcPr>
            <w:tcW w:w="868" w:type="dxa"/>
          </w:tcPr>
          <w:p w14:paraId="4EBA2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180/1000</w:t>
            </w:r>
          </w:p>
        </w:tc>
        <w:tc>
          <w:tcPr>
            <w:tcW w:w="871" w:type="dxa"/>
          </w:tcPr>
          <w:p w14:paraId="56B86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50-60</w:t>
            </w:r>
          </w:p>
        </w:tc>
        <w:tc>
          <w:tcPr>
            <w:tcW w:w="865" w:type="dxa"/>
          </w:tcPr>
          <w:p w14:paraId="7AAD4B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684" w:type="dxa"/>
          </w:tcPr>
          <w:p w14:paraId="652EB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4B311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 фото или радио</w:t>
            </w:r>
          </w:p>
        </w:tc>
        <w:tc>
          <w:tcPr>
            <w:tcW w:w="694" w:type="dxa"/>
          </w:tcPr>
          <w:p w14:paraId="369ED0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05AD9E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866" w:type="dxa"/>
          </w:tcPr>
          <w:p w14:paraId="70A13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Проектирование и постройку ведет </w:t>
            </w:r>
            <w:r w:rsidRPr="00E93F40">
              <w:rPr>
                <w:rFonts w:ascii="Times New Roman" w:hAnsi="Times New Roman"/>
                <w:color w:val="000000" w:themeColor="text1"/>
                <w:sz w:val="16"/>
                <w:szCs w:val="16"/>
              </w:rPr>
              <w:lastRenderedPageBreak/>
              <w:t>ВТУЗ ГУГВФ</w:t>
            </w:r>
          </w:p>
        </w:tc>
      </w:tr>
      <w:tr w:rsidR="00DA227A" w:rsidRPr="00E93F40" w14:paraId="36FC03E4" w14:textId="77777777">
        <w:tc>
          <w:tcPr>
            <w:tcW w:w="1668" w:type="dxa"/>
          </w:tcPr>
          <w:p w14:paraId="4D65CA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15. Морской крейсер (см. Примечание) он же бомб. И торпедоносец</w:t>
            </w:r>
          </w:p>
        </w:tc>
        <w:tc>
          <w:tcPr>
            <w:tcW w:w="850" w:type="dxa"/>
          </w:tcPr>
          <w:p w14:paraId="5519D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МК1-6М34РН</w:t>
            </w:r>
          </w:p>
        </w:tc>
        <w:tc>
          <w:tcPr>
            <w:tcW w:w="709" w:type="dxa"/>
          </w:tcPr>
          <w:p w14:paraId="5C066C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1.12.33 </w:t>
            </w:r>
          </w:p>
        </w:tc>
        <w:tc>
          <w:tcPr>
            <w:tcW w:w="867" w:type="dxa"/>
          </w:tcPr>
          <w:p w14:paraId="7D79A0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68" w:type="dxa"/>
          </w:tcPr>
          <w:p w14:paraId="3E0A9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215-230/4000</w:t>
            </w:r>
          </w:p>
        </w:tc>
        <w:tc>
          <w:tcPr>
            <w:tcW w:w="871" w:type="dxa"/>
          </w:tcPr>
          <w:p w14:paraId="376FA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865" w:type="dxa"/>
          </w:tcPr>
          <w:p w14:paraId="50F7CF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750/1200</w:t>
            </w:r>
          </w:p>
        </w:tc>
        <w:tc>
          <w:tcPr>
            <w:tcW w:w="684" w:type="dxa"/>
          </w:tcPr>
          <w:p w14:paraId="4DD83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Бомб. 2400/0</w:t>
            </w:r>
          </w:p>
          <w:p w14:paraId="7A2F67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Бомб. 735/6100 при 6хМ34РН</w:t>
            </w:r>
          </w:p>
        </w:tc>
        <w:tc>
          <w:tcPr>
            <w:tcW w:w="925" w:type="dxa"/>
          </w:tcPr>
          <w:p w14:paraId="07986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военное снаряжение на 1850/2230 кг/250, 500, 1000, торпед 1800.</w:t>
            </w:r>
          </w:p>
          <w:p w14:paraId="7C320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 бомб, торпедоносец</w:t>
            </w:r>
          </w:p>
        </w:tc>
        <w:tc>
          <w:tcPr>
            <w:tcW w:w="694" w:type="dxa"/>
          </w:tcPr>
          <w:p w14:paraId="25391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9FF24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Предусматривается как военный и как пассажирский вариант</w:t>
            </w:r>
          </w:p>
        </w:tc>
        <w:tc>
          <w:tcPr>
            <w:tcW w:w="866" w:type="dxa"/>
          </w:tcPr>
          <w:p w14:paraId="6C1685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строит. принят Пост. РВС от 5/УШ-31</w:t>
            </w:r>
          </w:p>
        </w:tc>
      </w:tr>
      <w:tr w:rsidR="00DA227A" w:rsidRPr="00E93F40" w14:paraId="20E2CDD5" w14:textId="77777777">
        <w:tc>
          <w:tcPr>
            <w:tcW w:w="1668" w:type="dxa"/>
          </w:tcPr>
          <w:p w14:paraId="7D2E21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Морской дальний разведчик</w:t>
            </w:r>
          </w:p>
        </w:tc>
        <w:tc>
          <w:tcPr>
            <w:tcW w:w="850" w:type="dxa"/>
          </w:tcPr>
          <w:p w14:paraId="6DC87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МДР3бис-3М34</w:t>
            </w:r>
          </w:p>
        </w:tc>
        <w:tc>
          <w:tcPr>
            <w:tcW w:w="7938" w:type="dxa"/>
            <w:gridSpan w:val="10"/>
          </w:tcPr>
          <w:p w14:paraId="3E7EC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устанавливаются РВС и согласовываются ГУАП</w:t>
            </w:r>
          </w:p>
        </w:tc>
      </w:tr>
      <w:tr w:rsidR="00DA227A" w:rsidRPr="00E93F40" w14:paraId="326BF1E0" w14:textId="77777777">
        <w:tc>
          <w:tcPr>
            <w:tcW w:w="1668" w:type="dxa"/>
          </w:tcPr>
          <w:p w14:paraId="37FF3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Морской бл. Разведчик “Амфибия”</w:t>
            </w:r>
          </w:p>
        </w:tc>
        <w:tc>
          <w:tcPr>
            <w:tcW w:w="850" w:type="dxa"/>
          </w:tcPr>
          <w:p w14:paraId="5405F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МБР5</w:t>
            </w:r>
          </w:p>
        </w:tc>
        <w:tc>
          <w:tcPr>
            <w:tcW w:w="709" w:type="dxa"/>
          </w:tcPr>
          <w:p w14:paraId="034488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1.8.33</w:t>
            </w:r>
          </w:p>
        </w:tc>
        <w:tc>
          <w:tcPr>
            <w:tcW w:w="867" w:type="dxa"/>
          </w:tcPr>
          <w:p w14:paraId="7729B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3000/6000</w:t>
            </w:r>
          </w:p>
        </w:tc>
        <w:tc>
          <w:tcPr>
            <w:tcW w:w="868" w:type="dxa"/>
          </w:tcPr>
          <w:p w14:paraId="1789BA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300/3000</w:t>
            </w:r>
          </w:p>
        </w:tc>
        <w:tc>
          <w:tcPr>
            <w:tcW w:w="871" w:type="dxa"/>
          </w:tcPr>
          <w:p w14:paraId="19B583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865" w:type="dxa"/>
          </w:tcPr>
          <w:p w14:paraId="638218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500/800</w:t>
            </w:r>
          </w:p>
        </w:tc>
        <w:tc>
          <w:tcPr>
            <w:tcW w:w="684" w:type="dxa"/>
          </w:tcPr>
          <w:p w14:paraId="10F466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100/600</w:t>
            </w:r>
          </w:p>
        </w:tc>
        <w:tc>
          <w:tcPr>
            <w:tcW w:w="925" w:type="dxa"/>
          </w:tcPr>
          <w:p w14:paraId="0B1DC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 пул./10, 50, 100</w:t>
            </w:r>
          </w:p>
        </w:tc>
        <w:tc>
          <w:tcPr>
            <w:tcW w:w="694" w:type="dxa"/>
          </w:tcPr>
          <w:p w14:paraId="0FA3B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162AE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С62б</w:t>
            </w:r>
          </w:p>
        </w:tc>
        <w:tc>
          <w:tcPr>
            <w:tcW w:w="866" w:type="dxa"/>
          </w:tcPr>
          <w:p w14:paraId="07CF2F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и постройка ведется НИИ ГУ ГВФ</w:t>
            </w:r>
          </w:p>
        </w:tc>
      </w:tr>
      <w:tr w:rsidR="00DA227A" w:rsidRPr="00E93F40" w14:paraId="4E98EBFC" w14:textId="77777777">
        <w:tc>
          <w:tcPr>
            <w:tcW w:w="1668" w:type="dxa"/>
          </w:tcPr>
          <w:p w14:paraId="722AE7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Тяжелый бомбовоз</w:t>
            </w:r>
          </w:p>
        </w:tc>
        <w:tc>
          <w:tcPr>
            <w:tcW w:w="850" w:type="dxa"/>
          </w:tcPr>
          <w:p w14:paraId="730E8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К7-7М34</w:t>
            </w:r>
          </w:p>
        </w:tc>
        <w:tc>
          <w:tcPr>
            <w:tcW w:w="709" w:type="dxa"/>
          </w:tcPr>
          <w:p w14:paraId="0EE4D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 выход на аэродром</w:t>
            </w:r>
          </w:p>
        </w:tc>
        <w:tc>
          <w:tcPr>
            <w:tcW w:w="867" w:type="dxa"/>
          </w:tcPr>
          <w:p w14:paraId="7D47C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868" w:type="dxa"/>
          </w:tcPr>
          <w:p w14:paraId="44B28E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213/5000</w:t>
            </w:r>
          </w:p>
        </w:tc>
        <w:tc>
          <w:tcPr>
            <w:tcW w:w="871" w:type="dxa"/>
          </w:tcPr>
          <w:p w14:paraId="10FF9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37EB6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2000/2800</w:t>
            </w:r>
          </w:p>
        </w:tc>
        <w:tc>
          <w:tcPr>
            <w:tcW w:w="684" w:type="dxa"/>
          </w:tcPr>
          <w:p w14:paraId="5C63E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0817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 и тяжелые пулем., 250, 500, 1000</w:t>
            </w:r>
          </w:p>
        </w:tc>
        <w:tc>
          <w:tcPr>
            <w:tcW w:w="694" w:type="dxa"/>
          </w:tcPr>
          <w:p w14:paraId="02417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w:t>
            </w:r>
          </w:p>
        </w:tc>
        <w:tc>
          <w:tcPr>
            <w:tcW w:w="589" w:type="dxa"/>
          </w:tcPr>
          <w:p w14:paraId="25A9B5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6" w:type="dxa"/>
          </w:tcPr>
          <w:p w14:paraId="7AB00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ГРОСС</w:t>
            </w:r>
          </w:p>
        </w:tc>
      </w:tr>
      <w:tr w:rsidR="00DA227A" w:rsidRPr="00E93F40" w14:paraId="3274B86F" w14:textId="77777777">
        <w:tc>
          <w:tcPr>
            <w:tcW w:w="1668" w:type="dxa"/>
          </w:tcPr>
          <w:p w14:paraId="5BA1F3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Экпериментальные</w:t>
            </w:r>
          </w:p>
        </w:tc>
        <w:tc>
          <w:tcPr>
            <w:tcW w:w="850" w:type="dxa"/>
          </w:tcPr>
          <w:p w14:paraId="6F034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342A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B57E9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69D1C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544F3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EFCC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423087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AC46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3C0B42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70D5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4D88B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A46331" w14:textId="77777777">
        <w:tc>
          <w:tcPr>
            <w:tcW w:w="1668" w:type="dxa"/>
          </w:tcPr>
          <w:p w14:paraId="42D44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Высотный самолет, он же рекордный на высоту</w:t>
            </w:r>
          </w:p>
        </w:tc>
        <w:tc>
          <w:tcPr>
            <w:tcW w:w="850" w:type="dxa"/>
          </w:tcPr>
          <w:p w14:paraId="6412B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3E33A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867" w:type="dxa"/>
          </w:tcPr>
          <w:p w14:paraId="5F890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10000-12000/15000</w:t>
            </w:r>
          </w:p>
        </w:tc>
        <w:tc>
          <w:tcPr>
            <w:tcW w:w="868" w:type="dxa"/>
          </w:tcPr>
          <w:p w14:paraId="2606B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1" w:type="dxa"/>
          </w:tcPr>
          <w:p w14:paraId="6B9C15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5DF53C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84" w:type="dxa"/>
          </w:tcPr>
          <w:p w14:paraId="241F5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6103C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94" w:type="dxa"/>
          </w:tcPr>
          <w:p w14:paraId="682778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589" w:type="dxa"/>
          </w:tcPr>
          <w:p w14:paraId="4D5154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6" w:type="dxa"/>
          </w:tcPr>
          <w:p w14:paraId="4430A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EF48362" w14:textId="77777777">
        <w:tc>
          <w:tcPr>
            <w:tcW w:w="1668" w:type="dxa"/>
          </w:tcPr>
          <w:p w14:paraId="757DF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Рекордный на дальность</w:t>
            </w:r>
          </w:p>
        </w:tc>
        <w:tc>
          <w:tcPr>
            <w:tcW w:w="850" w:type="dxa"/>
          </w:tcPr>
          <w:p w14:paraId="7D7237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709" w:type="dxa"/>
          </w:tcPr>
          <w:p w14:paraId="21D14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8.32</w:t>
            </w:r>
          </w:p>
        </w:tc>
        <w:tc>
          <w:tcPr>
            <w:tcW w:w="867" w:type="dxa"/>
          </w:tcPr>
          <w:p w14:paraId="74E171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8" w:type="dxa"/>
          </w:tcPr>
          <w:p w14:paraId="07D89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1" w:type="dxa"/>
          </w:tcPr>
          <w:p w14:paraId="1B408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5" w:type="dxa"/>
          </w:tcPr>
          <w:p w14:paraId="1541A5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84" w:type="dxa"/>
          </w:tcPr>
          <w:p w14:paraId="12893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35D40B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94" w:type="dxa"/>
          </w:tcPr>
          <w:p w14:paraId="22CF43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589" w:type="dxa"/>
          </w:tcPr>
          <w:p w14:paraId="04635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6" w:type="dxa"/>
          </w:tcPr>
          <w:p w14:paraId="72EFA7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533BB192" w14:textId="77777777">
        <w:tc>
          <w:tcPr>
            <w:tcW w:w="1668" w:type="dxa"/>
          </w:tcPr>
          <w:p w14:paraId="356136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Самолет летающее крыло (парабола Черановского)</w:t>
            </w:r>
          </w:p>
        </w:tc>
        <w:tc>
          <w:tcPr>
            <w:tcW w:w="850" w:type="dxa"/>
          </w:tcPr>
          <w:p w14:paraId="6D6DB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Парабола 2М11</w:t>
            </w:r>
          </w:p>
        </w:tc>
        <w:tc>
          <w:tcPr>
            <w:tcW w:w="709" w:type="dxa"/>
          </w:tcPr>
          <w:p w14:paraId="25AD1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1.10.33</w:t>
            </w:r>
          </w:p>
        </w:tc>
        <w:tc>
          <w:tcPr>
            <w:tcW w:w="867" w:type="dxa"/>
          </w:tcPr>
          <w:p w14:paraId="7CE00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A14F9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51B9F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60FD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82F3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6337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4EE69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7EB60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9483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1296197" w14:textId="77777777">
        <w:tc>
          <w:tcPr>
            <w:tcW w:w="1668" w:type="dxa"/>
          </w:tcPr>
          <w:p w14:paraId="34181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Самолет с особым типом разрезных крыльев (системы Кричевского)</w:t>
            </w:r>
          </w:p>
        </w:tc>
        <w:tc>
          <w:tcPr>
            <w:tcW w:w="850" w:type="dxa"/>
          </w:tcPr>
          <w:p w14:paraId="1C3D4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FA0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1.12.32</w:t>
            </w:r>
          </w:p>
        </w:tc>
        <w:tc>
          <w:tcPr>
            <w:tcW w:w="867" w:type="dxa"/>
          </w:tcPr>
          <w:p w14:paraId="7197F6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DD4C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165FE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980D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E5DC6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E8D2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7D737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671D2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79F9B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A220AE" w14:textId="77777777">
        <w:tc>
          <w:tcPr>
            <w:tcW w:w="1668" w:type="dxa"/>
          </w:tcPr>
          <w:p w14:paraId="3B91AE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Геликоптер </w:t>
            </w:r>
          </w:p>
        </w:tc>
        <w:tc>
          <w:tcPr>
            <w:tcW w:w="850" w:type="dxa"/>
          </w:tcPr>
          <w:p w14:paraId="5ED9A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ВГ2</w:t>
            </w:r>
          </w:p>
        </w:tc>
        <w:tc>
          <w:tcPr>
            <w:tcW w:w="709" w:type="dxa"/>
          </w:tcPr>
          <w:p w14:paraId="5F487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1.7.32</w:t>
            </w:r>
          </w:p>
        </w:tc>
        <w:tc>
          <w:tcPr>
            <w:tcW w:w="867" w:type="dxa"/>
          </w:tcPr>
          <w:p w14:paraId="7AFBB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5EAB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39371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10AC85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457991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3CBE7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06B8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592FA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146F01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FE44A7" w14:textId="77777777">
        <w:tc>
          <w:tcPr>
            <w:tcW w:w="1668" w:type="dxa"/>
          </w:tcPr>
          <w:p w14:paraId="43CC5A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М11</w:t>
            </w:r>
          </w:p>
        </w:tc>
        <w:tc>
          <w:tcPr>
            <w:tcW w:w="850" w:type="dxa"/>
          </w:tcPr>
          <w:p w14:paraId="11A95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83BA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1.11.32</w:t>
            </w:r>
          </w:p>
        </w:tc>
        <w:tc>
          <w:tcPr>
            <w:tcW w:w="867" w:type="dxa"/>
          </w:tcPr>
          <w:p w14:paraId="1417E7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40CE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2E204C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282AAD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83C4B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C224C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AE17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55E63E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CF5D5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216DFC" w14:textId="77777777">
        <w:tc>
          <w:tcPr>
            <w:tcW w:w="1668" w:type="dxa"/>
          </w:tcPr>
          <w:p w14:paraId="1E9CA9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М22</w:t>
            </w:r>
          </w:p>
        </w:tc>
        <w:tc>
          <w:tcPr>
            <w:tcW w:w="850" w:type="dxa"/>
          </w:tcPr>
          <w:p w14:paraId="7B24AC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FAA5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1.1.33</w:t>
            </w:r>
          </w:p>
        </w:tc>
        <w:tc>
          <w:tcPr>
            <w:tcW w:w="867" w:type="dxa"/>
          </w:tcPr>
          <w:p w14:paraId="52BE7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FA369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6B037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E9317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6BF896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AB1F3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7E7C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71A5E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41D10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D453827" w14:textId="77777777">
        <w:tc>
          <w:tcPr>
            <w:tcW w:w="1668" w:type="dxa"/>
          </w:tcPr>
          <w:p w14:paraId="1F853F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реактивным двигателем</w:t>
            </w:r>
          </w:p>
        </w:tc>
        <w:tc>
          <w:tcPr>
            <w:tcW w:w="8788" w:type="dxa"/>
            <w:gridSpan w:val="11"/>
          </w:tcPr>
          <w:p w14:paraId="55E5D5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Работу ведет газо-динамическая лаборатория</w:t>
            </w:r>
          </w:p>
        </w:tc>
      </w:tr>
      <w:tr w:rsidR="00DA227A" w:rsidRPr="00E93F40" w14:paraId="1F07EFC0" w14:textId="77777777">
        <w:tc>
          <w:tcPr>
            <w:tcW w:w="1668" w:type="dxa"/>
          </w:tcPr>
          <w:p w14:paraId="13882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раздвижными крыльями</w:t>
            </w:r>
          </w:p>
        </w:tc>
        <w:tc>
          <w:tcPr>
            <w:tcW w:w="850" w:type="dxa"/>
          </w:tcPr>
          <w:p w14:paraId="6A1F04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У3бис-М48</w:t>
            </w:r>
          </w:p>
        </w:tc>
        <w:tc>
          <w:tcPr>
            <w:tcW w:w="709" w:type="dxa"/>
          </w:tcPr>
          <w:p w14:paraId="430F0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1.5.33</w:t>
            </w:r>
          </w:p>
        </w:tc>
        <w:tc>
          <w:tcPr>
            <w:tcW w:w="867" w:type="dxa"/>
          </w:tcPr>
          <w:p w14:paraId="32B384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1000/5000</w:t>
            </w:r>
          </w:p>
        </w:tc>
        <w:tc>
          <w:tcPr>
            <w:tcW w:w="868" w:type="dxa"/>
          </w:tcPr>
          <w:p w14:paraId="2BFA9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180/1000</w:t>
            </w:r>
          </w:p>
        </w:tc>
        <w:tc>
          <w:tcPr>
            <w:tcW w:w="871" w:type="dxa"/>
          </w:tcPr>
          <w:p w14:paraId="4763C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c>
          <w:tcPr>
            <w:tcW w:w="865" w:type="dxa"/>
          </w:tcPr>
          <w:p w14:paraId="58F72C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360/400</w:t>
            </w:r>
          </w:p>
        </w:tc>
        <w:tc>
          <w:tcPr>
            <w:tcW w:w="684" w:type="dxa"/>
          </w:tcPr>
          <w:p w14:paraId="1D6F16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25" w:type="dxa"/>
          </w:tcPr>
          <w:p w14:paraId="49B957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694" w:type="dxa"/>
          </w:tcPr>
          <w:p w14:paraId="6662B8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c>
          <w:tcPr>
            <w:tcW w:w="589" w:type="dxa"/>
          </w:tcPr>
          <w:p w14:paraId="743F0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6" w:type="dxa"/>
          </w:tcPr>
          <w:p w14:paraId="30FAC2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и постройку ведет ВТУЗ ГУГВФ</w:t>
            </w:r>
          </w:p>
        </w:tc>
      </w:tr>
      <w:tr w:rsidR="00DA227A" w:rsidRPr="00E93F40" w14:paraId="558965B1" w14:textId="77777777">
        <w:tc>
          <w:tcPr>
            <w:tcW w:w="1668" w:type="dxa"/>
          </w:tcPr>
          <w:p w14:paraId="0E856A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 нефтяным двигателем Паккард</w:t>
            </w:r>
          </w:p>
        </w:tc>
        <w:tc>
          <w:tcPr>
            <w:tcW w:w="8788" w:type="dxa"/>
            <w:gridSpan w:val="11"/>
          </w:tcPr>
          <w:p w14:paraId="2F61C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мотора производится ГУ ГВФ</w:t>
            </w:r>
          </w:p>
        </w:tc>
      </w:tr>
      <w:tr w:rsidR="00DA227A" w:rsidRPr="00E93F40" w14:paraId="007099B8" w14:textId="77777777">
        <w:tc>
          <w:tcPr>
            <w:tcW w:w="1668" w:type="dxa"/>
          </w:tcPr>
          <w:p w14:paraId="130F2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подлодки</w:t>
            </w:r>
          </w:p>
        </w:tc>
        <w:tc>
          <w:tcPr>
            <w:tcW w:w="850" w:type="dxa"/>
          </w:tcPr>
          <w:p w14:paraId="480AF5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СПЛ</w:t>
            </w:r>
          </w:p>
        </w:tc>
        <w:tc>
          <w:tcPr>
            <w:tcW w:w="709" w:type="dxa"/>
          </w:tcPr>
          <w:p w14:paraId="678B0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1.1.33</w:t>
            </w:r>
          </w:p>
        </w:tc>
        <w:tc>
          <w:tcPr>
            <w:tcW w:w="7229" w:type="dxa"/>
            <w:gridSpan w:val="9"/>
          </w:tcPr>
          <w:p w14:paraId="5B0F99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устанавливаются особо, исполнителя проектирования и постройки находит УВВС</w:t>
            </w:r>
          </w:p>
        </w:tc>
      </w:tr>
      <w:tr w:rsidR="00DA227A" w:rsidRPr="00E93F40" w14:paraId="5F5C8BDB" w14:textId="77777777">
        <w:tc>
          <w:tcPr>
            <w:tcW w:w="1668" w:type="dxa"/>
          </w:tcPr>
          <w:p w14:paraId="7AC5C8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Особой группы</w:t>
            </w:r>
          </w:p>
        </w:tc>
        <w:tc>
          <w:tcPr>
            <w:tcW w:w="850" w:type="dxa"/>
          </w:tcPr>
          <w:p w14:paraId="109EAB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23D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4B23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4C5F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18AC22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1EA91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726B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4105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018621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1C28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00A8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FE7493" w14:textId="77777777">
        <w:tc>
          <w:tcPr>
            <w:tcW w:w="1668" w:type="dxa"/>
          </w:tcPr>
          <w:p w14:paraId="7C6E4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«Таран» </w:t>
            </w:r>
          </w:p>
        </w:tc>
        <w:tc>
          <w:tcPr>
            <w:tcW w:w="850" w:type="dxa"/>
          </w:tcPr>
          <w:p w14:paraId="2E202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ТА1</w:t>
            </w:r>
          </w:p>
        </w:tc>
        <w:tc>
          <w:tcPr>
            <w:tcW w:w="709" w:type="dxa"/>
          </w:tcPr>
          <w:p w14:paraId="225A8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67" w:type="dxa"/>
          </w:tcPr>
          <w:p w14:paraId="05F055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5000/7-8000/6</w:t>
            </w:r>
          </w:p>
        </w:tc>
        <w:tc>
          <w:tcPr>
            <w:tcW w:w="868" w:type="dxa"/>
          </w:tcPr>
          <w:p w14:paraId="70057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400/5000</w:t>
            </w:r>
          </w:p>
        </w:tc>
        <w:tc>
          <w:tcPr>
            <w:tcW w:w="871" w:type="dxa"/>
          </w:tcPr>
          <w:p w14:paraId="1DC78E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BA5F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w:t>
            </w:r>
          </w:p>
        </w:tc>
        <w:tc>
          <w:tcPr>
            <w:tcW w:w="684" w:type="dxa"/>
          </w:tcPr>
          <w:p w14:paraId="79D20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A9599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8219B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C699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9C8D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34CB1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p w14:paraId="6EA889C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«Особой группы» строятся в порядке особой засекреченности, не проходя обычных путей разработки и утверждения требований и макетов.</w:t>
      </w:r>
    </w:p>
    <w:p w14:paraId="52B9C6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этой группы проходят специальные испытания и быть введенными на вооружение ВВС в мирное время не предполагаются.</w:t>
      </w:r>
    </w:p>
    <w:p w14:paraId="3C049D7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1818EB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3119"/>
        <w:gridCol w:w="3126"/>
        <w:gridCol w:w="2827"/>
      </w:tblGrid>
      <w:tr w:rsidR="00DA227A" w:rsidRPr="00E93F40" w14:paraId="52DC4E5E" w14:textId="77777777">
        <w:tc>
          <w:tcPr>
            <w:tcW w:w="1384" w:type="dxa"/>
          </w:tcPr>
          <w:p w14:paraId="0F075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3119" w:type="dxa"/>
          </w:tcPr>
          <w:p w14:paraId="28A0E5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модификации</w:t>
            </w:r>
          </w:p>
        </w:tc>
        <w:tc>
          <w:tcPr>
            <w:tcW w:w="3126" w:type="dxa"/>
          </w:tcPr>
          <w:p w14:paraId="3F9DA9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2827" w:type="dxa"/>
          </w:tcPr>
          <w:p w14:paraId="1E879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Примечания</w:t>
            </w:r>
          </w:p>
        </w:tc>
      </w:tr>
      <w:tr w:rsidR="00DA227A" w:rsidRPr="00E93F40" w14:paraId="526BAA6F" w14:textId="77777777">
        <w:tc>
          <w:tcPr>
            <w:tcW w:w="1384" w:type="dxa"/>
          </w:tcPr>
          <w:p w14:paraId="68B73B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3119" w:type="dxa"/>
          </w:tcPr>
          <w:p w14:paraId="5880B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моторов М34</w:t>
            </w:r>
          </w:p>
        </w:tc>
        <w:tc>
          <w:tcPr>
            <w:tcW w:w="3126" w:type="dxa"/>
          </w:tcPr>
          <w:p w14:paraId="5E077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 выход на аэродром</w:t>
            </w:r>
          </w:p>
        </w:tc>
        <w:tc>
          <w:tcPr>
            <w:tcW w:w="2827" w:type="dxa"/>
          </w:tcPr>
          <w:p w14:paraId="5EB7F6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DFE509" w14:textId="77777777">
        <w:tc>
          <w:tcPr>
            <w:tcW w:w="1384" w:type="dxa"/>
          </w:tcPr>
          <w:p w14:paraId="077643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ТШ3-М34</w:t>
            </w:r>
          </w:p>
        </w:tc>
        <w:tc>
          <w:tcPr>
            <w:tcW w:w="3119" w:type="dxa"/>
          </w:tcPr>
          <w:p w14:paraId="5F1619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w:t>
            </w:r>
          </w:p>
        </w:tc>
        <w:tc>
          <w:tcPr>
            <w:tcW w:w="3126" w:type="dxa"/>
          </w:tcPr>
          <w:p w14:paraId="6DCDC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 1933 года.</w:t>
            </w:r>
          </w:p>
        </w:tc>
        <w:tc>
          <w:tcPr>
            <w:tcW w:w="2827" w:type="dxa"/>
          </w:tcPr>
          <w:p w14:paraId="0B531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и срок уточнить с ВВС.</w:t>
            </w:r>
          </w:p>
        </w:tc>
      </w:tr>
      <w:tr w:rsidR="00DA227A" w:rsidRPr="00E93F40" w14:paraId="52525350" w14:textId="77777777">
        <w:tc>
          <w:tcPr>
            <w:tcW w:w="1384" w:type="dxa"/>
          </w:tcPr>
          <w:p w14:paraId="046236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3119" w:type="dxa"/>
          </w:tcPr>
          <w:p w14:paraId="46DC46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Замена мотора М17 на мотор М34</w:t>
            </w:r>
          </w:p>
        </w:tc>
        <w:tc>
          <w:tcPr>
            <w:tcW w:w="3126" w:type="dxa"/>
          </w:tcPr>
          <w:p w14:paraId="0B799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июля 1932 года. Заводские испытания. </w:t>
            </w:r>
          </w:p>
        </w:tc>
        <w:tc>
          <w:tcPr>
            <w:tcW w:w="2827" w:type="dxa"/>
          </w:tcPr>
          <w:p w14:paraId="520985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мотора М34.</w:t>
            </w:r>
          </w:p>
        </w:tc>
      </w:tr>
      <w:tr w:rsidR="00DA227A" w:rsidRPr="00E93F40" w14:paraId="1D5E7A99" w14:textId="77777777">
        <w:tc>
          <w:tcPr>
            <w:tcW w:w="1384" w:type="dxa"/>
          </w:tcPr>
          <w:p w14:paraId="3B531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Р5-М34</w:t>
            </w:r>
          </w:p>
        </w:tc>
        <w:tc>
          <w:tcPr>
            <w:tcW w:w="3119" w:type="dxa"/>
          </w:tcPr>
          <w:p w14:paraId="7D4771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эталона машины</w:t>
            </w:r>
          </w:p>
        </w:tc>
        <w:tc>
          <w:tcPr>
            <w:tcW w:w="3126" w:type="dxa"/>
          </w:tcPr>
          <w:p w14:paraId="38DB5D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октября 1932 года. Заводские испытания.</w:t>
            </w:r>
          </w:p>
        </w:tc>
        <w:tc>
          <w:tcPr>
            <w:tcW w:w="2827" w:type="dxa"/>
          </w:tcPr>
          <w:p w14:paraId="52944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F26E32" w14:textId="77777777">
        <w:tc>
          <w:tcPr>
            <w:tcW w:w="1384" w:type="dxa"/>
          </w:tcPr>
          <w:p w14:paraId="4C91FF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3119" w:type="dxa"/>
          </w:tcPr>
          <w:p w14:paraId="180382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тормозного шасси и тормозных колес.</w:t>
            </w:r>
          </w:p>
        </w:tc>
        <w:tc>
          <w:tcPr>
            <w:tcW w:w="3126" w:type="dxa"/>
          </w:tcPr>
          <w:p w14:paraId="59B820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 Заводские испытания.</w:t>
            </w:r>
          </w:p>
        </w:tc>
        <w:tc>
          <w:tcPr>
            <w:tcW w:w="2827" w:type="dxa"/>
          </w:tcPr>
          <w:p w14:paraId="07C3B4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1E81EC" w14:textId="77777777">
        <w:tc>
          <w:tcPr>
            <w:tcW w:w="1384" w:type="dxa"/>
          </w:tcPr>
          <w:p w14:paraId="647A60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 бис</w:t>
            </w:r>
          </w:p>
        </w:tc>
        <w:tc>
          <w:tcPr>
            <w:tcW w:w="3119" w:type="dxa"/>
          </w:tcPr>
          <w:p w14:paraId="45CF8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М34</w:t>
            </w:r>
          </w:p>
        </w:tc>
        <w:tc>
          <w:tcPr>
            <w:tcW w:w="3126" w:type="dxa"/>
          </w:tcPr>
          <w:p w14:paraId="4694D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января 1933 года</w:t>
            </w:r>
          </w:p>
        </w:tc>
        <w:tc>
          <w:tcPr>
            <w:tcW w:w="2827" w:type="dxa"/>
          </w:tcPr>
          <w:p w14:paraId="585D4B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4F9383" w14:textId="77777777">
        <w:tc>
          <w:tcPr>
            <w:tcW w:w="1384" w:type="dxa"/>
          </w:tcPr>
          <w:p w14:paraId="436AF0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И12-2М22</w:t>
            </w:r>
          </w:p>
        </w:tc>
        <w:tc>
          <w:tcPr>
            <w:tcW w:w="3119" w:type="dxa"/>
          </w:tcPr>
          <w:p w14:paraId="78865C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второго модифицированного экземпляра</w:t>
            </w:r>
          </w:p>
        </w:tc>
        <w:tc>
          <w:tcPr>
            <w:tcW w:w="3126" w:type="dxa"/>
          </w:tcPr>
          <w:p w14:paraId="558B6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w:t>
            </w:r>
          </w:p>
        </w:tc>
        <w:tc>
          <w:tcPr>
            <w:tcW w:w="2827" w:type="dxa"/>
          </w:tcPr>
          <w:p w14:paraId="5F0797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49807A" w14:textId="77777777">
        <w:tc>
          <w:tcPr>
            <w:tcW w:w="1384" w:type="dxa"/>
          </w:tcPr>
          <w:p w14:paraId="24DAD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3119" w:type="dxa"/>
          </w:tcPr>
          <w:p w14:paraId="7A1C7F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3126" w:type="dxa"/>
          </w:tcPr>
          <w:p w14:paraId="32516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c>
          <w:tcPr>
            <w:tcW w:w="2827" w:type="dxa"/>
          </w:tcPr>
          <w:p w14:paraId="7929F2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53B0B8" w14:textId="77777777">
        <w:tc>
          <w:tcPr>
            <w:tcW w:w="1384" w:type="dxa"/>
          </w:tcPr>
          <w:p w14:paraId="73D2AF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3119" w:type="dxa"/>
          </w:tcPr>
          <w:p w14:paraId="74B4B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 баков</w:t>
            </w:r>
          </w:p>
        </w:tc>
        <w:tc>
          <w:tcPr>
            <w:tcW w:w="3126" w:type="dxa"/>
          </w:tcPr>
          <w:p w14:paraId="54214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 года</w:t>
            </w:r>
          </w:p>
        </w:tc>
        <w:tc>
          <w:tcPr>
            <w:tcW w:w="2827" w:type="dxa"/>
          </w:tcPr>
          <w:p w14:paraId="1AA4D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AF1EC2C" w14:textId="77777777">
        <w:tc>
          <w:tcPr>
            <w:tcW w:w="1384" w:type="dxa"/>
          </w:tcPr>
          <w:p w14:paraId="65AF5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3119" w:type="dxa"/>
          </w:tcPr>
          <w:p w14:paraId="11EB49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 для химцелей</w:t>
            </w:r>
          </w:p>
        </w:tc>
        <w:tc>
          <w:tcPr>
            <w:tcW w:w="3126" w:type="dxa"/>
          </w:tcPr>
          <w:p w14:paraId="0A73C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w:t>
            </w:r>
          </w:p>
        </w:tc>
        <w:tc>
          <w:tcPr>
            <w:tcW w:w="2827" w:type="dxa"/>
          </w:tcPr>
          <w:p w14:paraId="16EB4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A0129F" w14:textId="77777777">
        <w:tc>
          <w:tcPr>
            <w:tcW w:w="1384" w:type="dxa"/>
          </w:tcPr>
          <w:p w14:paraId="0DFE2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Р6-2М17</w:t>
            </w:r>
          </w:p>
        </w:tc>
        <w:tc>
          <w:tcPr>
            <w:tcW w:w="3119" w:type="dxa"/>
          </w:tcPr>
          <w:p w14:paraId="6AA9A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на поплавки</w:t>
            </w:r>
          </w:p>
        </w:tc>
        <w:tc>
          <w:tcPr>
            <w:tcW w:w="3126" w:type="dxa"/>
          </w:tcPr>
          <w:p w14:paraId="0ABAD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 Заводские испытания.</w:t>
            </w:r>
          </w:p>
        </w:tc>
        <w:tc>
          <w:tcPr>
            <w:tcW w:w="2827" w:type="dxa"/>
          </w:tcPr>
          <w:p w14:paraId="3DD73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68F70C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(351).</w:t>
      </w:r>
    </w:p>
    <w:p w14:paraId="68B0AA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8D4D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года начальник НТОС Алмазов писал письмо № 0-86/6259сс в секретариат СТО Даргольц</w:t>
      </w:r>
    </w:p>
    <w:p w14:paraId="33DC6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препровождаю 2 экз. плана опытного строительства по самолетам и моторам на 1932-34 гг., одновременно сообщаю, что просимые Вами еще 4 экз. будут досланы дополнительно (3530,28)</w:t>
      </w:r>
    </w:p>
    <w:p w14:paraId="2A667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Комиссии обороны по опытному самолето и моторостроению</w:t>
      </w:r>
    </w:p>
    <w:p w14:paraId="373E081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Прилагаемый план по опытному самолето-моторостроению утвердить.</w:t>
      </w:r>
    </w:p>
    <w:p w14:paraId="61C93DE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Первоочередными задачами опытного строительства считать:</w:t>
      </w:r>
    </w:p>
    <w:p w14:paraId="0059E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моторостроению:</w:t>
      </w:r>
    </w:p>
    <w:p w14:paraId="13673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доводки и развитие М-34 (редуктор, нагнетатель, реверс, однорядный, облегченный);</w:t>
      </w:r>
    </w:p>
    <w:p w14:paraId="79D90A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создание типов истребительных моторов М-38 воздушного охлаждения, и особенно М-32 – водяного охлаждения;</w:t>
      </w:r>
    </w:p>
    <w:p w14:paraId="16857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мощных авиадизелей;</w:t>
      </w:r>
    </w:p>
    <w:p w14:paraId="19072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42A3DD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обязать ОКБ продолжать работу по ФЭБу, представив этот мотор на госиспытания к 1 сентября 1932 года;</w:t>
      </w:r>
    </w:p>
    <w:p w14:paraId="237D60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 связи с особым внесением М-44 в план опытного строительства, откомандировать в ЦИАМ: из ОКБ – Стечкина, Добрынина, Суслова и из Наркомтяжпрома Серенсена, Пивовара, Петрова, Кирсанова.</w:t>
      </w:r>
    </w:p>
    <w:p w14:paraId="1BF9D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5BDF2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1B5CDA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форсирование работ по постройке образцов тяжелого бомбардировщика (ТБ-4);</w:t>
      </w:r>
    </w:p>
    <w:p w14:paraId="5436B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морских лодочных самолетов (МК1, МДР3 и др.).</w:t>
      </w:r>
    </w:p>
    <w:p w14:paraId="51EBD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[Для усиления опытных организаций предложить Наркомвоенмору немедленно откомандировать в распоряжение ЦАГИ инженеров: Ганулича, Волковойнова, Куликова, Квитко, Кравцова, Петрова, Филина, Евстегнеева, Фрадкина, а также инженеров-артиллеристов – десять человек, инженеров-химиков – 5 человек, военно-морских корабельных инженеров – десять человек, инженеров-электротехников – 3 человека, инженеров по радио – два человека, техников-специалистов по вооружению – пятнадцать человек, по фотооборудованию – три человека, по радиооборудованию – 3 человека, по электрооборудованию – пять человек, по навигационному оборудованию – два человека, летчиков – 5 человек.]</w:t>
      </w:r>
    </w:p>
    <w:p w14:paraId="5EE14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НКТП обеспечить выполнение плана выделением необходимого импортного и отечественного оборудования, материалами и денежными средствами.</w:t>
      </w:r>
    </w:p>
    <w:p w14:paraId="03807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Вменить в обязанность ГУГВФ организовать в своих конструкторских бюро работу по переконструированию военных самолетов для нужд ГВФ и производить переделки их на своих предприятиях.</w:t>
      </w:r>
    </w:p>
    <w:p w14:paraId="71748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Работников ЦАГИ и ЦИАМа прировнять к военнопроизводственникам и всех подлежащих призыву на действительную военную службу оставить в ЦАГИ и ЦИАМе.</w:t>
      </w:r>
    </w:p>
    <w:p w14:paraId="1F38C8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Для развертывания отдела эксплуатации летных испытаний и морской базы ЦАГИ обязать Наркомвоенмор отвести:</w:t>
      </w:r>
    </w:p>
    <w:p w14:paraId="60825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Ходынском аэродроме в Москве часть территории, принадлежащей Артскладу к 1-му октября 1932 года;</w:t>
      </w:r>
    </w:p>
    <w:p w14:paraId="03BC4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Орлову (УВМС) обеспечить ЦАГИ возможность производства опытов и испытаний на море в Севастополе (3530,29-31).</w:t>
      </w:r>
    </w:p>
    <w:p w14:paraId="6A38A6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52F10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AF5C96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3C33C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создана Донецкая область со столицей в Артемовске (4962).</w:t>
      </w:r>
    </w:p>
    <w:p w14:paraId="1A9C597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07507" w14:textId="77777777" w:rsidR="002C36D8"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7368F19" w14:textId="77777777" w:rsidR="002C36D8" w:rsidRPr="00E93F40" w:rsidRDefault="002C36D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31C67CE"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г. в Урумчи произошла серьёзная авария, лишь по счастливой случайно</w:t>
      </w:r>
      <w:r w:rsidRPr="00E93F40">
        <w:rPr>
          <w:rFonts w:ascii="Times New Roman" w:hAnsi="Times New Roman"/>
          <w:color w:val="000000" w:themeColor="text1"/>
          <w:sz w:val="16"/>
          <w:szCs w:val="16"/>
        </w:rPr>
        <w:softHyphen/>
        <w:t>сти не окончившаяся катастрофой. Лётчик Назаров с техником Сергеевым вовремя тре</w:t>
      </w:r>
      <w:r w:rsidRPr="00E93F40">
        <w:rPr>
          <w:rFonts w:ascii="Times New Roman" w:hAnsi="Times New Roman"/>
          <w:color w:val="000000" w:themeColor="text1"/>
          <w:sz w:val="16"/>
          <w:szCs w:val="16"/>
        </w:rPr>
        <w:softHyphen/>
        <w:t>нировочных полётов над городом левым крылом зацепил за дерево, сбил верхушку и повредил полукоробку, перебив лонжероны плоскостей. Далее, сбивая ветви впереди стоящих деревьев, Р-1 перешёл в левый штопор, сделал полвитка, упал на землю, пробив при этом мотором крышу фанзы и сломал два дерева. Волынченко докладывал: «Самолёт разбит и ремонту не подлежит. Экипаж получил лёгкие ранения... Мотор тре</w:t>
      </w:r>
      <w:r w:rsidRPr="00E93F40">
        <w:rPr>
          <w:rFonts w:ascii="Times New Roman" w:hAnsi="Times New Roman"/>
          <w:color w:val="000000" w:themeColor="text1"/>
          <w:sz w:val="16"/>
          <w:szCs w:val="16"/>
        </w:rPr>
        <w:softHyphen/>
        <w:t>бует ремонта». Ошибкой явилось то, что Назаров «не учёл превышения местности над аэ</w:t>
      </w:r>
      <w:r w:rsidRPr="00E93F40">
        <w:rPr>
          <w:rFonts w:ascii="Times New Roman" w:hAnsi="Times New Roman"/>
          <w:color w:val="000000" w:themeColor="text1"/>
          <w:sz w:val="16"/>
          <w:szCs w:val="16"/>
        </w:rPr>
        <w:softHyphen/>
        <w:t>родромом, доверившись показанию альтиметра (аэродром ниже места аварии на 25 м)».</w:t>
      </w:r>
    </w:p>
    <w:p w14:paraId="23C72CBE"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день аварии Волынченко находился в служебной командировке по осмотру аэро</w:t>
      </w:r>
      <w:r w:rsidRPr="00E93F40">
        <w:rPr>
          <w:rFonts w:ascii="Times New Roman" w:hAnsi="Times New Roman"/>
          <w:color w:val="000000" w:themeColor="text1"/>
          <w:sz w:val="16"/>
          <w:szCs w:val="16"/>
        </w:rPr>
        <w:softHyphen/>
        <w:t>дромов по линии Чугучак — Урумчи. К рапорту он приложил два фото и планы проме</w:t>
      </w:r>
      <w:r w:rsidRPr="00E93F40">
        <w:rPr>
          <w:rFonts w:ascii="Times New Roman" w:hAnsi="Times New Roman"/>
          <w:color w:val="000000" w:themeColor="text1"/>
          <w:sz w:val="16"/>
          <w:szCs w:val="16"/>
        </w:rPr>
        <w:softHyphen/>
        <w:t>жуточных аэродромов, по которым вскоре в Китай должны были прилететь новые самолёты из СССР. В авиашколе летать было уже не на чём (15802).</w:t>
      </w:r>
    </w:p>
    <w:p w14:paraId="2B0C45DF" w14:textId="77777777" w:rsidR="002C36D8" w:rsidRPr="00E93F40" w:rsidRDefault="002C36D8" w:rsidP="00E93F40">
      <w:pPr>
        <w:spacing w:after="0" w:line="240" w:lineRule="auto"/>
        <w:jc w:val="both"/>
        <w:rPr>
          <w:rFonts w:ascii="Times New Roman" w:hAnsi="Times New Roman"/>
          <w:color w:val="000000" w:themeColor="text1"/>
          <w:sz w:val="16"/>
          <w:szCs w:val="16"/>
        </w:rPr>
      </w:pPr>
    </w:p>
    <w:p w14:paraId="10E1557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F98FE8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B68D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немецкая ракета Mirak II достигла высоты 200 футов и в результате успешных испытаний военное ведомство Германии формализировало ракетную программу, назначив капитана-доктора Walter Dornberger директором исследовательского полигона в Кумерсдорфе (3125).</w:t>
      </w:r>
    </w:p>
    <w:p w14:paraId="1FD6A7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F1E6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1932 во время выдвижения своей кандидатуры Ф.Д.Р. впервые употребил термин "Новый курс" (3481).</w:t>
      </w:r>
    </w:p>
    <w:p w14:paraId="43313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6FC9C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59C1DA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2B3589"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 июля</w:t>
      </w:r>
      <w:r w:rsidRPr="00E93F40">
        <w:rPr>
          <w:rFonts w:ascii="Times New Roman" w:hAnsi="Times New Roman"/>
          <w:color w:val="000000" w:themeColor="text1"/>
          <w:sz w:val="16"/>
          <w:szCs w:val="16"/>
        </w:rPr>
        <w:t xml:space="preserve"> в 1932 году при выполнении испытательного полета «Р-5» на штопор погиб летчик-испытатель Огородников Сергей Константинович. Этот полет он выполнял вместе с Ю.А.Победоносцевым. Когда стало очевидно, что самолет из штопора не вывести – дал команду инженеру покинуть самолет с парашютом. Сам летчик разбился. Работал летчиком-инструктором на Центральном аэродроме (город Москва). Среди его учеников был будущий известный полярный летчик П.Г.Головин (14941).</w:t>
      </w:r>
    </w:p>
    <w:p w14:paraId="21B1B1BF" w14:textId="77777777" w:rsidR="002C36D8" w:rsidRPr="00E93F40" w:rsidRDefault="002C36D8" w:rsidP="00E93F40">
      <w:pPr>
        <w:spacing w:after="0" w:line="240" w:lineRule="auto"/>
        <w:jc w:val="both"/>
        <w:rPr>
          <w:rFonts w:ascii="Times New Roman" w:hAnsi="Times New Roman"/>
          <w:color w:val="000000" w:themeColor="text1"/>
          <w:sz w:val="16"/>
          <w:szCs w:val="16"/>
        </w:rPr>
      </w:pPr>
    </w:p>
    <w:p w14:paraId="38FCB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июля 1932 года начальник ВВС Алкснис писал письмо № 3732/сс в КО Молотову</w:t>
      </w:r>
    </w:p>
    <w:p w14:paraId="5150D3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Представленный Комиссией Орджоникидзе план опытного строительства по моторам и самолетам на 1932/34 гг. и проект постановления по этому плану не согласованы с Наркомвоенмором в нижеследующих частях:</w:t>
      </w:r>
    </w:p>
    <w:p w14:paraId="24C0FB8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опытного строительства самолетов:</w:t>
      </w:r>
    </w:p>
    <w:p w14:paraId="1A7D14C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Вместо легкого разведчика (см. п. 9 плана по самолетам) Управление ВВС настаивает на включение в план 2-местного истребителя под М-34 с нагнетателем с выходом на госиспытания не позже марта 1933 года.</w:t>
      </w:r>
    </w:p>
    <w:p w14:paraId="4B93B1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Мы по сей день не имеем ни одного 2-местного истребителя на вооружении, а ЦАГИ продолжает по-прежнему отказываться от выполнения важнейшего и решающего самолета в группе истребительной авиации, несмотря на исключительную нужду в нем ВВС и несмотря на то, что КО неоднократно подчеркивала необходимость наличия в составе ВВС 2-местного истребителя.</w:t>
      </w:r>
    </w:p>
    <w:p w14:paraId="7C1C8B9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Глававиапром категорически отказался от постройки на своих предприятиях и от включения в план мощного мотодессантного самолета Г-1, спроектированного ВВА и рассчитанного на подъем сбрасываемых грузов 15 тонн при радиусе действия 800 км. Самолет уже спроектирован и может быть пущен в производство, но нет базы для его постройки.</w:t>
      </w:r>
    </w:p>
    <w:p w14:paraId="6E23D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По проекту постановления:</w:t>
      </w:r>
    </w:p>
    <w:p w14:paraId="708EA8B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Наркомвоенмор не может согласиться с пунктом 3 проекта постановления, предлагающего о немедленно откомандировать в распоряжение ЦАГИ 9-ти инженеров-самолетчиков и большого количества инженеров и техников по другим специальностям, летчиков и летнабов, ибо откомандирование этих инженеров из состава ВВС равносильно разрушению руководства ……… эксплуатацией. Требовать откомандирования перечисленных инженеров равносильно тому, чтобы военное ведомство потребовало откомандирования из ЦАГИ Туполева, Погосского, остального инженерно-технического состава.</w:t>
      </w:r>
    </w:p>
    <w:p w14:paraId="2BEA78A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Наркомвоенмор также не может согласиться с пунктом, предлагающим отдать ЦАГИ территорию артсклада в Москве Центрального аэродрома и в Севастополе территорию Константиновской бухты занятой под Морской отдел НИИ ВВС, ибо передача этих территорий равносильна тому, что ликвидировать находящиеся там крайне необходимые военные учреждения, имеющие не меньше значения, чем те учреждения которые намечает строить на этих территориях ЦАГИ (3530,39).</w:t>
      </w:r>
    </w:p>
    <w:p w14:paraId="5D22625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B24C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июля 1932 состоялось возвращение в Красноярск ДВ СССР-Н2 с грузом пушнины. Уже на следующий день экипаж получил приказ вылететь на облет тайги с лесниками для определения качества леса. Алексеев был категорически против, т.к. сомневался в надежной работе двигателей: "Недоверие к нашим моторам, которые старого выпуска, перебирались в мастерских Дерулюфта. У носового мотора заменили коленчатый вал, поставлен новый, из числа забракованных в 1929 г.". В результате СССР-Н2 все-таки отправили на осмотр лесов. Летали вдоль Енисея и Подка- менной Тунгуски, забираясь в сторону более чем на сотню километров. 10 июля предполагаемая неприятность все-таки произошла, в 86 км от Енисея вышел из строя передний двигатель. С большими трудностями на одном моторе дотянули до устья Подкаменной Тунгуски, где с ходу приводнились. 16 июля на буксире у пассажирского парохода "Спартак" прибыли в Красноярск. Уже на следующий день приступили к смене моторов, а 22-го июля машину опробовали в воздухе. Следующим заданием сезона стало проведение ледовой разведки в Карском море. Положение осложнялось отсутствием рации, затерявшейся где-то на железной дороге. Алексеев решил, тем не менее, вылетать и 25 июля СССР- Н2 стартовал по направлению на Диксон (11970).</w:t>
      </w:r>
    </w:p>
    <w:p w14:paraId="1CA4BA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DD843D"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июля 1932 опросом членов ПБ</w:t>
      </w:r>
    </w:p>
    <w:p w14:paraId="7826CE7B"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 аварийности в частях ВВС РККА</w:t>
      </w:r>
    </w:p>
    <w:p w14:paraId="03CC38FA"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Ворошилов).</w:t>
      </w:r>
    </w:p>
    <w:p w14:paraId="4CB27EB3"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Предложенный т.Ворошиловым проект постановления утвердить. Окончательную редакцию поручить т.т. Ворошилову, Молотову и Кагановичу.</w:t>
      </w:r>
    </w:p>
    <w:p w14:paraId="76B3757C"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Считая, что качество выпускаемой авиапродукции все еще отстает от технических требований; предложтьб НКТП в 2-декадный срок выработать план мероприятий, обеспечи</w:t>
      </w:r>
      <w:r w:rsidRPr="00E93F40">
        <w:rPr>
          <w:rFonts w:ascii="Times New Roman" w:hAnsi="Times New Roman"/>
          <w:color w:val="000000" w:themeColor="text1"/>
          <w:sz w:val="16"/>
          <w:szCs w:val="16"/>
        </w:rPr>
        <w:softHyphen/>
        <w:t>вающий ликвидацию всех недочетов и решительное улучшение продукции авиапромышленности и доложить Комиссии Обороны.</w:t>
      </w:r>
    </w:p>
    <w:p w14:paraId="5DAF1BCB"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Поручить комиссии т. Постышева закончить работу комиссии в 2-декадный срок и доложить Комиссии Обороны.</w:t>
      </w:r>
    </w:p>
    <w:p w14:paraId="21CA1D6E"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p>
    <w:p w14:paraId="61D7C0E7"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 З-рс пр. ПБ № 107.</w:t>
      </w:r>
    </w:p>
    <w:p w14:paraId="2D1043BF"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ОКОНЧАТЕЛЬНАЯ РЕДАКЦИЯ.</w:t>
      </w:r>
    </w:p>
    <w:p w14:paraId="6403CA74"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 АВАРИЙНОСТИ В ЧАСТЯХ ВВС РККА".</w:t>
      </w:r>
    </w:p>
    <w:p w14:paraId="007ABCB4"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7FA602D4"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Два года тому назад (летом 1930г.) Реввоенсовет Союза поставил перед ВВС РККА во всем об"еме вопрос о борьбе с аварийностью, которая в то время приняла чрезвычайно большие размеры, угрожая дальнейшему развитию ВВС РККА. Произведя об</w:t>
      </w:r>
      <w:r w:rsidRPr="00E93F40">
        <w:rPr>
          <w:rFonts w:ascii="Times New Roman" w:hAnsi="Times New Roman"/>
          <w:color w:val="000000" w:themeColor="text1"/>
          <w:sz w:val="16"/>
          <w:szCs w:val="16"/>
        </w:rPr>
        <w:softHyphen/>
        <w:t>следование большинства авиачастей и соединений, Реввоенсовет Союза в своем приказе № 0012 исчерпывающе установил причины аварийности и дал конкретные и подсобные указания по борьбе с нею и сведению ее до возможного минимума. Основной причиной аварийности являлось отсутствие должной воинской дисциплины в частях ВВС и неорганизованность как учебной, так и эксплуата</w:t>
      </w:r>
      <w:r w:rsidRPr="00E93F40">
        <w:rPr>
          <w:rFonts w:ascii="Times New Roman" w:hAnsi="Times New Roman"/>
          <w:color w:val="000000" w:themeColor="text1"/>
          <w:sz w:val="16"/>
          <w:szCs w:val="16"/>
        </w:rPr>
        <w:softHyphen/>
        <w:t>ционной работы, при слабом знании личным, составом материальной части авиации.</w:t>
      </w:r>
    </w:p>
    <w:p w14:paraId="1EC77D20"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 0012 привел к некоторым положительным результатам. На протяжении 1 1/2 лет, части ВВС, не снижая, а повышая и усложняя свою боевую подготовку, заметным успехом овладели новой материальной частью и добились некоторого снижения аварийности.</w:t>
      </w:r>
    </w:p>
    <w:p w14:paraId="6617E840"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начиная с зимнего периода 1932г., в частях ВВС вновь обнаружились тревожные признаки ослабления руководства и дисциплины, выразившиеся в усилении аварий и, особенно, ката</w:t>
      </w:r>
      <w:r w:rsidRPr="00E93F40">
        <w:rPr>
          <w:rFonts w:ascii="Times New Roman" w:hAnsi="Times New Roman"/>
          <w:color w:val="000000" w:themeColor="text1"/>
          <w:sz w:val="16"/>
          <w:szCs w:val="16"/>
        </w:rPr>
        <w:softHyphen/>
        <w:t>строф. Реввоенсовет Союза, после личного вызова командования наиболее аварийных авиачастей и об"единений, на совещании с которыми были вскрыты причини усилившейся аварийности и наме</w:t>
      </w:r>
      <w:r w:rsidRPr="00E93F40">
        <w:rPr>
          <w:rFonts w:ascii="Times New Roman" w:hAnsi="Times New Roman"/>
          <w:color w:val="000000" w:themeColor="text1"/>
          <w:sz w:val="16"/>
          <w:szCs w:val="16"/>
        </w:rPr>
        <w:softHyphen/>
        <w:t>чены пути борьбы с ней, вторым своим приказом № 016 (март 1932г.) потребовал неуклонного проведения в жизнь указаний, предусмот</w:t>
      </w:r>
      <w:r w:rsidRPr="00E93F40">
        <w:rPr>
          <w:rFonts w:ascii="Times New Roman" w:hAnsi="Times New Roman"/>
          <w:color w:val="000000" w:themeColor="text1"/>
          <w:sz w:val="16"/>
          <w:szCs w:val="16"/>
        </w:rPr>
        <w:softHyphen/>
        <w:t>ренных ранее приказом 0012, установления строжайшей воинской дисциплины и прекращения вредного перескакивания к более слож</w:t>
      </w:r>
      <w:r w:rsidRPr="00E93F40">
        <w:rPr>
          <w:rFonts w:ascii="Times New Roman" w:hAnsi="Times New Roman"/>
          <w:color w:val="000000" w:themeColor="text1"/>
          <w:sz w:val="16"/>
          <w:szCs w:val="16"/>
        </w:rPr>
        <w:softHyphen/>
        <w:t>ным упражнениям, минуя простейшие.</w:t>
      </w:r>
    </w:p>
    <w:p w14:paraId="3E35BEDC"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все это, за летний период текущего учебного года аварийность в частях ВВС приняла исключительно угрожаю</w:t>
      </w:r>
      <w:r w:rsidRPr="00E93F40">
        <w:rPr>
          <w:rFonts w:ascii="Times New Roman" w:hAnsi="Times New Roman"/>
          <w:color w:val="000000" w:themeColor="text1"/>
          <w:sz w:val="16"/>
          <w:szCs w:val="16"/>
        </w:rPr>
        <w:softHyphen/>
        <w:t>щие размеры. В начале июня, в течение буквально несколько дней, произошел ряд небывало тяжелых по своей обстановке и последствиям катастроф. За время с 1-го апреля по 23-е июня с.г. в частях ВВС произошло 136 аварий, в том числе 23 ката</w:t>
      </w:r>
      <w:r w:rsidRPr="00E93F40">
        <w:rPr>
          <w:rFonts w:ascii="Times New Roman" w:hAnsi="Times New Roman"/>
          <w:color w:val="000000" w:themeColor="text1"/>
          <w:sz w:val="16"/>
          <w:szCs w:val="16"/>
        </w:rPr>
        <w:softHyphen/>
        <w:t>строфы против 89 аварий и 5 катастроф за тот же . период прошлого года (увеличение аварий на 53%,катастроф на 360%). 3 результате этих происшествий погибло 50 человек летного состава и совершенно разбито 42 самолета, из них 6 тяжелых). За один день 11-го июня произошло 2 столкновения в воздухе (Балтморе и БВО), погибло 12 человек и уничтожено 4 самолета, из них 2 тяжелых.</w:t>
      </w:r>
    </w:p>
    <w:p w14:paraId="2EE7CF12"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Исследование, произведенное по наиболее тяжелым катастрофам специальными комиссиями РВС Союза, установило:</w:t>
      </w:r>
    </w:p>
    <w:p w14:paraId="0DFFB484"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Катастрофа в 62 эскадрильи 4-й авиабригад ВВС Балтморя произошла при столкновении 2-х ко раблей, выполняв</w:t>
      </w:r>
      <w:r w:rsidRPr="00E93F40">
        <w:rPr>
          <w:rFonts w:ascii="Times New Roman" w:hAnsi="Times New Roman"/>
          <w:color w:val="000000" w:themeColor="text1"/>
          <w:sz w:val="16"/>
          <w:szCs w:val="16"/>
        </w:rPr>
        <w:softHyphen/>
        <w:t>ших групповой полёт в общем составе шести кораблей. Командир эскадрильи т. Вернигород вместе с командиром неотдельного от</w:t>
      </w:r>
      <w:r w:rsidRPr="00E93F40">
        <w:rPr>
          <w:rFonts w:ascii="Times New Roman" w:hAnsi="Times New Roman"/>
          <w:color w:val="000000" w:themeColor="text1"/>
          <w:sz w:val="16"/>
          <w:szCs w:val="16"/>
        </w:rPr>
        <w:softHyphen/>
        <w:t>ряда т. Котиковым вышли из общего строя, бросив своих ведомых в воздухе и предоставив молодым неопытным командирам осталь</w:t>
      </w:r>
      <w:r w:rsidRPr="00E93F40">
        <w:rPr>
          <w:rFonts w:ascii="Times New Roman" w:hAnsi="Times New Roman"/>
          <w:color w:val="000000" w:themeColor="text1"/>
          <w:sz w:val="16"/>
          <w:szCs w:val="16"/>
        </w:rPr>
        <w:softHyphen/>
        <w:t>ных 4-х кораблей, под командованием одного из них, принять новое перестроение, к чему они не были подготовлены. Вследствие этого во время перестроения ведущий правофланговой пары наскочил на замыкающего левофланговой пары. В результате оба корабля упали с высоты 1.300 метров и разбились. 8 человек экипажа погибли, спасся только один выброшенный из самолета командир корабля т. Новиков, благодаря наличию парашюта. Осталь</w:t>
      </w:r>
      <w:r w:rsidRPr="00E93F40">
        <w:rPr>
          <w:rFonts w:ascii="Times New Roman" w:hAnsi="Times New Roman"/>
          <w:color w:val="000000" w:themeColor="text1"/>
          <w:sz w:val="16"/>
          <w:szCs w:val="16"/>
        </w:rPr>
        <w:softHyphen/>
        <w:t>ной экипаж, за исключением погибшего командира корабля т.Трусо</w:t>
      </w:r>
      <w:r w:rsidRPr="00E93F40">
        <w:rPr>
          <w:rFonts w:ascii="Times New Roman" w:hAnsi="Times New Roman"/>
          <w:color w:val="000000" w:themeColor="text1"/>
          <w:sz w:val="16"/>
          <w:szCs w:val="16"/>
        </w:rPr>
        <w:softHyphen/>
        <w:t>ва, парашютов не имел. В катастрофе прямым непосредственным виновником является командование 62-й эскадрильи (командир Вернигород, комиссар Гуркин). Командир эскадрильи, усложняя по своей инициативе задание, не проверил усвоение каждым экипажем этого задания, и, в частности, не проверил как усвоено это задание ведущим командиром корабля т.Преображенским.</w:t>
      </w:r>
    </w:p>
    <w:p w14:paraId="25BCF0AA"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Всеми этими своими действиями командование эскадрильи нарушило прямые требования наставления по полетной службе (ст. 262) и приказа РВСС 016 1932 года, запрещающего перескаки</w:t>
      </w:r>
      <w:r w:rsidRPr="00E93F40">
        <w:rPr>
          <w:rFonts w:ascii="Times New Roman" w:hAnsi="Times New Roman"/>
          <w:color w:val="000000" w:themeColor="text1"/>
          <w:sz w:val="16"/>
          <w:szCs w:val="16"/>
        </w:rPr>
        <w:softHyphen/>
        <w:t>вание через промежуточные ступени подготовки. За это командо</w:t>
      </w:r>
      <w:r w:rsidRPr="00E93F40">
        <w:rPr>
          <w:rFonts w:ascii="Times New Roman" w:hAnsi="Times New Roman"/>
          <w:color w:val="000000" w:themeColor="text1"/>
          <w:sz w:val="16"/>
          <w:szCs w:val="16"/>
        </w:rPr>
        <w:softHyphen/>
        <w:t>вание 62-Й эскадрильи подлежит преданию суду и наказанию по всей строгости революционных законов.</w:t>
      </w:r>
    </w:p>
    <w:p w14:paraId="5C6972E3"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Катастрофа в 62-м_отд. авиаотряде_4-й авиабригады РВС Балтморя произошла вследствие того, что летчик Демидов, вопреки установленным правилам, самочинно выполнял на самолете Савойя - 62 бреющий полёт в штормовую погоду и, сделав горку над баржей, не успел вырвать машины из крутого снижения и врезался в воду. 4 человека экипажа погибли, самолет был уничто</w:t>
      </w:r>
      <w:r w:rsidRPr="00E93F40">
        <w:rPr>
          <w:rFonts w:ascii="Times New Roman" w:hAnsi="Times New Roman"/>
          <w:color w:val="000000" w:themeColor="text1"/>
          <w:sz w:val="16"/>
          <w:szCs w:val="16"/>
        </w:rPr>
        <w:softHyphen/>
        <w:t>жен. Поступок погибшего Демидова является одним из ярких примеров воздушного хулиганства.</w:t>
      </w:r>
    </w:p>
    <w:p w14:paraId="54695318"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Прямым виновником происшедшей катастрофы, помимо погибшего Демидова, является командование 62-го отряда в лице командира отряда - т. Петрова и комиссара отряда т. Карпенко не вытравивших воздушного хулиганства среди подчиненного летного состава и не установивших во вверенной им части строжайшей воинской дисцип</w:t>
      </w:r>
      <w:r w:rsidRPr="00E93F40">
        <w:rPr>
          <w:rFonts w:ascii="Times New Roman" w:hAnsi="Times New Roman"/>
          <w:color w:val="000000" w:themeColor="text1"/>
          <w:sz w:val="16"/>
          <w:szCs w:val="16"/>
        </w:rPr>
        <w:softHyphen/>
        <w:t>лины. За эти проступки оба названных командира подлежат поеданию суду и наказанию по всей строгости революционных законов.</w:t>
      </w:r>
    </w:p>
    <w:p w14:paraId="67A59762"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обе эти катастрофы несут ответственность также: РВС Балтморя (т.т. Викторов,: Галлер, Гришин), начальник ВВС Балтморя т. Никифоров и командование 4-й авиабригады (командир т. Бирбуц, помполит- т. Морозов) - за слабое и никуда негодное руковод</w:t>
      </w:r>
      <w:r w:rsidRPr="00E93F40">
        <w:rPr>
          <w:rFonts w:ascii="Times New Roman" w:hAnsi="Times New Roman"/>
          <w:color w:val="000000" w:themeColor="text1"/>
          <w:sz w:val="16"/>
          <w:szCs w:val="16"/>
        </w:rPr>
        <w:softHyphen/>
        <w:t>ство подчиненными им авиачастям к соединениями, за что все они подлежат строжайшему дисциплинарному взысканию.</w:t>
      </w:r>
    </w:p>
    <w:p w14:paraId="56AD785F"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Катастрофа в 43 эскадрильи 2-й авиабригады ЗВС БВО произошла при столкновении двух самолетов во время ночного полета при выполнении отрядами эскадрильи сложного учебного комплекса. Экипажи самолетов не были подготовлены к выполнению этого задания.</w:t>
      </w:r>
    </w:p>
    <w:p w14:paraId="57EFB252"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со старыми летчиками, вопреки приказам РВС Союза, в сложный полет были выпущены молодые неподготовленные пило</w:t>
      </w:r>
      <w:r w:rsidRPr="00E93F40">
        <w:rPr>
          <w:rFonts w:ascii="Times New Roman" w:hAnsi="Times New Roman"/>
          <w:color w:val="000000" w:themeColor="text1"/>
          <w:sz w:val="16"/>
          <w:szCs w:val="16"/>
        </w:rPr>
        <w:softHyphen/>
        <w:t>ты, прибывшие в часть в феврале 1932 г. Вместе с ними были посланы в этот полет столь' же молодые и неопытные стрелки-бомбардиры и стажеры-летнабы, только еще начавшие выполнять стрелковые упражнения в дневное время. Эта катастрофа явилась прямим следствием нарушения начальником ВВС Белорусского военного округа т. Кушаковым и подчиненными ему командирами четких и конкретных указаний РВС Союза о последовательном прохождении этапов боевой подготовки. Будучи лично недисцип</w:t>
      </w:r>
      <w:r w:rsidRPr="00E93F40">
        <w:rPr>
          <w:rFonts w:ascii="Times New Roman" w:hAnsi="Times New Roman"/>
          <w:color w:val="000000" w:themeColor="text1"/>
          <w:sz w:val="16"/>
          <w:szCs w:val="16"/>
        </w:rPr>
        <w:softHyphen/>
        <w:t>линированным командиром и не будучи во время призванным к порядку РВС БВО, т. Кушаков своим руководством способствовал не выполнению, а нарушению приказов РВС Союза. За катастро</w:t>
      </w:r>
      <w:r w:rsidRPr="00E93F40">
        <w:rPr>
          <w:rFonts w:ascii="Times New Roman" w:hAnsi="Times New Roman"/>
          <w:color w:val="000000" w:themeColor="text1"/>
          <w:sz w:val="16"/>
          <w:szCs w:val="16"/>
        </w:rPr>
        <w:softHyphen/>
        <w:t>фу в первую очередь ответственны командир-комиссар 43-й эскадрильи т. Бочкарев и командование 2-й авиабригада (коман</w:t>
      </w:r>
      <w:r w:rsidRPr="00E93F40">
        <w:rPr>
          <w:rFonts w:ascii="Times New Roman" w:hAnsi="Times New Roman"/>
          <w:color w:val="000000" w:themeColor="text1"/>
          <w:sz w:val="16"/>
          <w:szCs w:val="16"/>
        </w:rPr>
        <w:softHyphen/>
        <w:t>дир т. Смушкевич, помполит т. Кузнецов),</w:t>
      </w:r>
    </w:p>
    <w:p w14:paraId="2198DD84"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это все указанные командиры, включая РВС БВО и началь</w:t>
      </w:r>
      <w:r w:rsidRPr="00E93F40">
        <w:rPr>
          <w:rFonts w:ascii="Times New Roman" w:hAnsi="Times New Roman"/>
          <w:color w:val="000000" w:themeColor="text1"/>
          <w:sz w:val="16"/>
          <w:szCs w:val="16"/>
        </w:rPr>
        <w:softHyphen/>
        <w:t>ника ВВС БВО, подлежат строжайшим дисциплинарным взысканиям,</w:t>
      </w:r>
    </w:p>
    <w:p w14:paraId="0076CFBF"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Две аварии самолетов_Р-1_в_ 28-м отдельном авиаотряде 11-й авиабригады BBC РККА произошли при выполнении группового ночного полета, назначенного командиром отряда т. Морозовым по собственному усмотрению и вопреки приказанию командования авиабригады. Тов. Морозов допустил совершенно невозможный в Красной Армии проступок - преднамеренно скрыл свое решение выполнить ночной внеаэродромный полет целым отрядом от коман</w:t>
      </w:r>
      <w:r w:rsidRPr="00E93F40">
        <w:rPr>
          <w:rFonts w:ascii="Times New Roman" w:hAnsi="Times New Roman"/>
          <w:color w:val="000000" w:themeColor="text1"/>
          <w:sz w:val="16"/>
          <w:szCs w:val="16"/>
        </w:rPr>
        <w:softHyphen/>
        <w:t>дира 11-й авиабригады и, не обращая внимания на явно неблагоолучные метеорологические условия, повел отряд на необорудо</w:t>
      </w:r>
      <w:r w:rsidRPr="00E93F40">
        <w:rPr>
          <w:rFonts w:ascii="Times New Roman" w:hAnsi="Times New Roman"/>
          <w:color w:val="000000" w:themeColor="text1"/>
          <w:sz w:val="16"/>
          <w:szCs w:val="16"/>
        </w:rPr>
        <w:softHyphen/>
        <w:t>ванных для ночного полета машинах. Подбор экипажей в этом полете, носил явно преступный характер: на двух самолетах с молодыми и неопытными пилотами на места летнабов были взяты без ведома командира отряда заведующий складом и младший авиа</w:t>
      </w:r>
      <w:r w:rsidRPr="00E93F40">
        <w:rPr>
          <w:rFonts w:ascii="Times New Roman" w:hAnsi="Times New Roman"/>
          <w:color w:val="000000" w:themeColor="text1"/>
          <w:sz w:val="16"/>
          <w:szCs w:val="16"/>
        </w:rPr>
        <w:softHyphen/>
        <w:t>техник. Начальник штаба отряда т. Глухов, имея достаточные све</w:t>
      </w:r>
      <w:r w:rsidRPr="00E93F40">
        <w:rPr>
          <w:rFonts w:ascii="Times New Roman" w:hAnsi="Times New Roman"/>
          <w:color w:val="000000" w:themeColor="text1"/>
          <w:sz w:val="16"/>
          <w:szCs w:val="16"/>
        </w:rPr>
        <w:softHyphen/>
        <w:t>дения о нахождении на пути маршрута отряда грозовой тучи, не сумел добиться своим докладом отмены ночного полета и со своей стороны не проверил состав экипажей. В результате прямого нарушения установленных требований и правил полетной службы и преступной неорганизованности, командир отряда, попав со своими летчиками в грозовую тучу, растерял свой отряд. Предо</w:t>
      </w:r>
      <w:r w:rsidRPr="00E93F40">
        <w:rPr>
          <w:rFonts w:ascii="Times New Roman" w:hAnsi="Times New Roman"/>
          <w:color w:val="000000" w:themeColor="text1"/>
          <w:sz w:val="16"/>
          <w:szCs w:val="16"/>
        </w:rPr>
        <w:softHyphen/>
        <w:t>ставленные самим себе экипажи, потеряв ориентировку, после дол</w:t>
      </w:r>
      <w:r w:rsidRPr="00E93F40">
        <w:rPr>
          <w:rFonts w:ascii="Times New Roman" w:hAnsi="Times New Roman"/>
          <w:color w:val="000000" w:themeColor="text1"/>
          <w:sz w:val="16"/>
          <w:szCs w:val="16"/>
        </w:rPr>
        <w:softHyphen/>
        <w:t>гого блуждания вынужденно садились в различных местах. При вынужденных посадках были разбиты две машины, и по счастливой случайности этот полет не закончился человеческими жертвами. Непосредственным виновником происшедших аварий является коман</w:t>
      </w:r>
      <w:r w:rsidRPr="00E93F40">
        <w:rPr>
          <w:rFonts w:ascii="Times New Roman" w:hAnsi="Times New Roman"/>
          <w:color w:val="000000" w:themeColor="text1"/>
          <w:sz w:val="16"/>
          <w:szCs w:val="16"/>
        </w:rPr>
        <w:softHyphen/>
        <w:t>дир 28-го отряда тов. Морозов, нарушивший не только все уста</w:t>
      </w:r>
      <w:r w:rsidRPr="00E93F40">
        <w:rPr>
          <w:rFonts w:ascii="Times New Roman" w:hAnsi="Times New Roman"/>
          <w:color w:val="000000" w:themeColor="text1"/>
          <w:sz w:val="16"/>
          <w:szCs w:val="16"/>
        </w:rPr>
        <w:softHyphen/>
        <w:t>новленные правила по выполнению ночных полетов и последователь</w:t>
      </w:r>
      <w:r w:rsidRPr="00E93F40">
        <w:rPr>
          <w:rFonts w:ascii="Times New Roman" w:hAnsi="Times New Roman"/>
          <w:color w:val="000000" w:themeColor="text1"/>
          <w:sz w:val="16"/>
          <w:szCs w:val="16"/>
        </w:rPr>
        <w:softHyphen/>
        <w:t>ной подготовке частей, но и сознательно скрывший от командования</w:t>
      </w:r>
    </w:p>
    <w:p w14:paraId="690C8E1A"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11-й авиабригады свое решение выполнить внеаэродромный ночной полет. Вторым главным виновником является мл. инженер 28-го отряда т. Селявко, допустивший выпуск з ночной полет техни</w:t>
      </w:r>
      <w:r w:rsidRPr="00E93F40">
        <w:rPr>
          <w:rFonts w:ascii="Times New Roman" w:hAnsi="Times New Roman"/>
          <w:color w:val="000000" w:themeColor="text1"/>
          <w:sz w:val="16"/>
          <w:szCs w:val="16"/>
        </w:rPr>
        <w:softHyphen/>
        <w:t xml:space="preserve">чески неподготовленных самолетов без исправно действующего освещения. Оба указанные командира подлежат поеданию суду и </w:t>
      </w:r>
      <w:r w:rsidRPr="00E93F40">
        <w:rPr>
          <w:rFonts w:ascii="Times New Roman" w:hAnsi="Times New Roman"/>
          <w:color w:val="000000" w:themeColor="text1"/>
          <w:sz w:val="16"/>
          <w:szCs w:val="16"/>
        </w:rPr>
        <w:lastRenderedPageBreak/>
        <w:t>наказанию по веек строгости революционных законов. Ответствен</w:t>
      </w:r>
      <w:r w:rsidRPr="00E93F40">
        <w:rPr>
          <w:rFonts w:ascii="Times New Roman" w:hAnsi="Times New Roman"/>
          <w:color w:val="000000" w:themeColor="text1"/>
          <w:sz w:val="16"/>
          <w:szCs w:val="16"/>
        </w:rPr>
        <w:softHyphen/>
        <w:t>ность за эту аварию несет также командование 11-й авиабригады (командир т. Карклин, помполит т. Руков), не организовавшие конт</w:t>
      </w:r>
      <w:r w:rsidRPr="00E93F40">
        <w:rPr>
          <w:rFonts w:ascii="Times New Roman" w:hAnsi="Times New Roman"/>
          <w:color w:val="000000" w:themeColor="text1"/>
          <w:sz w:val="16"/>
          <w:szCs w:val="16"/>
        </w:rPr>
        <w:softHyphen/>
        <w:t>роля и наблюдения за работой подчиненных им авиачастей, за что оба они подлежат строжайшему дисциплинарному взысканию.</w:t>
      </w:r>
    </w:p>
    <w:p w14:paraId="21B472BC"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6.Катастрофа в 67-й эскадрильи 17 авиабригады МВО про</w:t>
      </w:r>
      <w:r w:rsidRPr="00E93F40">
        <w:rPr>
          <w:rFonts w:ascii="Times New Roman" w:hAnsi="Times New Roman"/>
          <w:color w:val="000000" w:themeColor="text1"/>
          <w:sz w:val="16"/>
          <w:szCs w:val="16"/>
        </w:rPr>
        <w:softHyphen/>
        <w:t>изошла во время ночного полета "ТБ-1" для выполнения комплексно</w:t>
      </w:r>
      <w:r w:rsidRPr="00E93F40">
        <w:rPr>
          <w:rFonts w:ascii="Times New Roman" w:hAnsi="Times New Roman"/>
          <w:color w:val="000000" w:themeColor="text1"/>
          <w:sz w:val="16"/>
          <w:szCs w:val="16"/>
        </w:rPr>
        <w:softHyphen/>
        <w:t>го задания. Командир корабля летчик т. Бурмистров, не пристроившись к прочим самолетам эскадрильи продолжал полет по соб</w:t>
      </w:r>
      <w:r w:rsidRPr="00E93F40">
        <w:rPr>
          <w:rFonts w:ascii="Times New Roman" w:hAnsi="Times New Roman"/>
          <w:color w:val="000000" w:themeColor="text1"/>
          <w:sz w:val="16"/>
          <w:szCs w:val="16"/>
        </w:rPr>
        <w:softHyphen/>
        <w:t>ственному усмотрению и, снизившись до высоты 200-300 метров, потерял скорость. Самолет перешел в падение на крыло, а затем в отвесное пикирование и врезался в землю. 7 человек экипажа и самолет сгорели. Действительные причины катастрофы устано</w:t>
      </w:r>
      <w:r w:rsidRPr="00E93F40">
        <w:rPr>
          <w:rFonts w:ascii="Times New Roman" w:hAnsi="Times New Roman"/>
          <w:color w:val="000000" w:themeColor="text1"/>
          <w:sz w:val="16"/>
          <w:szCs w:val="16"/>
        </w:rPr>
        <w:softHyphen/>
        <w:t>вить не удалось вследствие гибели всего экипажа. Но произве</w:t>
      </w:r>
      <w:r w:rsidRPr="00E93F40">
        <w:rPr>
          <w:rFonts w:ascii="Times New Roman" w:hAnsi="Times New Roman"/>
          <w:color w:val="000000" w:themeColor="text1"/>
          <w:sz w:val="16"/>
          <w:szCs w:val="16"/>
        </w:rPr>
        <w:softHyphen/>
        <w:t>денное расследование выяснило, что погибший командир корабля летчик Бурмистров отличался явной недисциплинированностью и многократно нарушал уставные правила во время полета, что не находило должного отпора и воздействия со стороны старших начальников. По имеющимся на тов. Бурмистрова аттестациям он ни в коем случае не мог быть назначен командиром корабля.</w:t>
      </w:r>
    </w:p>
    <w:p w14:paraId="22A25BD5"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Непосредственным виновником катастрофы, помимо погибшего тов. Бурмистрова, является командир 37-й эскадрильи т. Журавлев, бывший помполит т. Кобякин и командир отряда т. Абухов, которые знали о несоответствии Бурмистрова требованиям службы в рядах BBC РККА не приняли мер по его исправлению или удалению из эскадрильи. Тов. Абухов кроме того виновен в том, что он послал в воздух непроверенный экипаж и растерял свой отряд в воздухе. За это они подлежат преданию суду и наказанию по всей строго</w:t>
      </w:r>
      <w:r w:rsidRPr="00E93F40">
        <w:rPr>
          <w:rFonts w:ascii="Times New Roman" w:hAnsi="Times New Roman"/>
          <w:color w:val="000000" w:themeColor="text1"/>
          <w:sz w:val="16"/>
          <w:szCs w:val="16"/>
        </w:rPr>
        <w:softHyphen/>
        <w:t>сти революционных законов.</w:t>
      </w:r>
    </w:p>
    <w:p w14:paraId="49A9C36F"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Ответственность за эту катастрофу несет также командова</w:t>
      </w:r>
      <w:r w:rsidRPr="00E93F40">
        <w:rPr>
          <w:rFonts w:ascii="Times New Roman" w:hAnsi="Times New Roman"/>
          <w:color w:val="000000" w:themeColor="text1"/>
          <w:sz w:val="16"/>
          <w:szCs w:val="16"/>
        </w:rPr>
        <w:softHyphen/>
        <w:t>ние 17-й авиабригады (командир т. Маслов и помполит т. Гусев), не изучившие подчиненный им летный состав тяжелых кораблей и допустившие ночные групповые полеты неподготовленных экипажей.</w:t>
      </w:r>
    </w:p>
    <w:p w14:paraId="10BB56FD"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обе последние аварки и катастрофу несет ответственность РВС МВО и начальник ВВС ИВО т. Чернобровкин,не организовавшие твердого руководства подчиненными им воздушными силами. Тов. Чернобровкин виновен еще в том, что он самовольно увеличил нормы летной работы.</w:t>
      </w:r>
    </w:p>
    <w:p w14:paraId="7E04DD55"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указанные командиры подлежат строжайшему дисципли</w:t>
      </w:r>
      <w:r w:rsidRPr="00E93F40">
        <w:rPr>
          <w:rFonts w:ascii="Times New Roman" w:hAnsi="Times New Roman"/>
          <w:color w:val="000000" w:themeColor="text1"/>
          <w:sz w:val="16"/>
          <w:szCs w:val="16"/>
        </w:rPr>
        <w:softHyphen/>
        <w:t>нарному взысканию.</w:t>
      </w:r>
    </w:p>
    <w:p w14:paraId="1BABF347"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Все перечисленные аварий и катастрофы, а также и другие ранее имевшие место и не менее безобразное по обстановке и последствиями по тщательному изучению причин, свидетельст</w:t>
      </w:r>
      <w:r w:rsidRPr="00E93F40">
        <w:rPr>
          <w:rFonts w:ascii="Times New Roman" w:hAnsi="Times New Roman"/>
          <w:color w:val="000000" w:themeColor="text1"/>
          <w:sz w:val="16"/>
          <w:szCs w:val="16"/>
        </w:rPr>
        <w:softHyphen/>
        <w:t>вуют о недопустимом ослаблении воинской дисциплины в частях ВВС РККА, о преступном нарушении всех приказов в том числе и РВС Союза о неудовлетворительности работы над воспитанием личного состава авиачастей, особенно со стороны РВС округов, об отсутствии планомерной и последовательной учебно-боевой подготовки, плохой организации и аэродромной службы и пр. Наряду с этим по-прежнему в Военно-Воздушных силах отмечается недостаток технических средств, обеспечивающих безопасность: отсутствует связь между самолетами (даже тяжелыми в воздухе и с землей, связь на самолете между командирами экипажа, отсутствие достаточного количества парашютов, отсутствие усо</w:t>
      </w:r>
      <w:r w:rsidRPr="00E93F40">
        <w:rPr>
          <w:rFonts w:ascii="Times New Roman" w:hAnsi="Times New Roman"/>
          <w:color w:val="000000" w:themeColor="text1"/>
          <w:sz w:val="16"/>
          <w:szCs w:val="16"/>
        </w:rPr>
        <w:softHyphen/>
        <w:t>вершенствованных приспособлений на самолетах, облегчающих пилотаж и управление самолетом на земле</w:t>
      </w:r>
    </w:p>
    <w:p w14:paraId="2EA0A5C3" w14:textId="63A72B52"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Руководство ВВС РККА. в лице начальника ВВС тов. Алксниса и его заместителей-т.т. Наумова и т. Меженинова, еще не справилось со стоящими перед ними ответственными задачами, несмотря на имеющиеся указания РВС Союза. Тов. Алкснис допустил полную ошибку, издав совершенно неправильный приказ 046 об итогах зимней учебы, в котором неуверенно и неверно расхвалил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поставил в пример работу ВВС Белорусского военного округа, где и г зимний период и раньше имели место случаи прямого нарушения приказов РВС Союза и самого начальника ВВС РККА. Этим самым т. Алкснис не способствовал пресечению угрожающих явлений, а наоборот увеличил возможность повторения таковых и в других округах.'</w:t>
      </w:r>
    </w:p>
    <w:p w14:paraId="640401CE"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все это руководство ВВС РККА - тов. Алкснис, Наумов и Меженинов - подлежат строжайшему дисциплинарному взысканию.</w:t>
      </w:r>
    </w:p>
    <w:p w14:paraId="08C61F1F"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Политоргана и парторганизации ВВС не обеспечили строжай</w:t>
      </w:r>
      <w:r w:rsidRPr="00E93F40">
        <w:rPr>
          <w:rFonts w:ascii="Times New Roman" w:hAnsi="Times New Roman"/>
          <w:color w:val="000000" w:themeColor="text1"/>
          <w:sz w:val="16"/>
          <w:szCs w:val="16"/>
        </w:rPr>
        <w:softHyphen/>
        <w:t>шую воинскую дисциплину и беспощадную борьбу с аварийностью, не воспитали членов партии, комсомольцев й беспартийных в духе требований приказов и наставлений РВС, Союза. Работа полит</w:t>
      </w:r>
      <w:r w:rsidRPr="00E93F40">
        <w:rPr>
          <w:rFonts w:ascii="Times New Roman" w:hAnsi="Times New Roman"/>
          <w:color w:val="000000" w:themeColor="text1"/>
          <w:sz w:val="16"/>
          <w:szCs w:val="16"/>
        </w:rPr>
        <w:softHyphen/>
        <w:t>органов и парторганизаций в частях и соединениях ВВС была неудовлетворительной, за что ответственность несет прежде всего Политическое. Управление РККА.</w:t>
      </w:r>
    </w:p>
    <w:p w14:paraId="33A48F3A"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 целях искоренения всех безобразных явлений из частей ВВС РККА,приводящих к ослаблению воздушней обороны СССР, установления в них твердой воинской дисциплины и порядка, и на этой основе - предупреждения аварийности, ЦК ВКП (б) постановляет:</w:t>
      </w:r>
    </w:p>
    <w:p w14:paraId="4B1768EE"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Указать РВС Союза, что он не сумел об“единить и довести до конца вполне исчерпывающие свои указания по борьбе с аварийностью и тем самым не уничтожил в корне всех болез</w:t>
      </w:r>
      <w:r w:rsidRPr="00E93F40">
        <w:rPr>
          <w:rFonts w:ascii="Times New Roman" w:hAnsi="Times New Roman"/>
          <w:color w:val="000000" w:themeColor="text1"/>
          <w:sz w:val="16"/>
          <w:szCs w:val="16"/>
        </w:rPr>
        <w:softHyphen/>
        <w:t>ненных явлений , в первую очередь, недисциплинированность в ча</w:t>
      </w:r>
      <w:r w:rsidRPr="00E93F40">
        <w:rPr>
          <w:rFonts w:ascii="Times New Roman" w:hAnsi="Times New Roman"/>
          <w:color w:val="000000" w:themeColor="text1"/>
          <w:sz w:val="16"/>
          <w:szCs w:val="16"/>
        </w:rPr>
        <w:softHyphen/>
        <w:t>стях ВВС - основной и главной причины аварийности и катаст</w:t>
      </w:r>
      <w:r w:rsidRPr="00E93F40">
        <w:rPr>
          <w:rFonts w:ascii="Times New Roman" w:hAnsi="Times New Roman"/>
          <w:color w:val="000000" w:themeColor="text1"/>
          <w:sz w:val="16"/>
          <w:szCs w:val="16"/>
        </w:rPr>
        <w:softHyphen/>
        <w:t>роф ВВСил.</w:t>
      </w:r>
    </w:p>
    <w:p w14:paraId="5C214987"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 систематическое неисполнение приказов РВС СССР, за нарушение элементарной воинской, летной дисциплины, за отсутствие во вверенных им частях надлежащей организации боевой подготовки, воспитания и руководства подчиненными,т.е. за преступное бездействие и недопустимое отношение к испол</w:t>
      </w:r>
      <w:r w:rsidRPr="00E93F40">
        <w:rPr>
          <w:rFonts w:ascii="Times New Roman" w:hAnsi="Times New Roman"/>
          <w:color w:val="000000" w:themeColor="text1"/>
          <w:sz w:val="16"/>
          <w:szCs w:val="16"/>
        </w:rPr>
        <w:softHyphen/>
        <w:t>нению служебных обязанностей, приведшее к крупным катастро</w:t>
      </w:r>
      <w:r w:rsidRPr="00E93F40">
        <w:rPr>
          <w:rFonts w:ascii="Times New Roman" w:hAnsi="Times New Roman"/>
          <w:color w:val="000000" w:themeColor="text1"/>
          <w:sz w:val="16"/>
          <w:szCs w:val="16"/>
        </w:rPr>
        <w:softHyphen/>
        <w:t>фам и авариям в 4, 11 и 17 авиабригадах,-отстранить от занимае</w:t>
      </w:r>
      <w:r w:rsidRPr="00E93F40">
        <w:rPr>
          <w:rFonts w:ascii="Times New Roman" w:hAnsi="Times New Roman"/>
          <w:color w:val="000000" w:themeColor="text1"/>
          <w:sz w:val="16"/>
          <w:szCs w:val="16"/>
        </w:rPr>
        <w:softHyphen/>
        <w:t>мых должностей, предать суду Военного революционного трибунала:</w:t>
      </w:r>
    </w:p>
    <w:p w14:paraId="040E9C6F"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62 авиаэскадрильи – ВЕРНИГОРОДА</w:t>
      </w:r>
    </w:p>
    <w:p w14:paraId="3F940060"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Военного комиссара той же эскадрильи – ГУРКИНА</w:t>
      </w:r>
    </w:p>
    <w:p w14:paraId="2BDF499A"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62 отдельн. авиаотряда- ПЕТРОВА</w:t>
      </w:r>
    </w:p>
    <w:p w14:paraId="301773E9"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Военного комиссара того же отряда – КАРПЕНКО</w:t>
      </w:r>
    </w:p>
    <w:p w14:paraId="0EC678C1"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Командира-комиссара 87 эскадрильи – КУРАВЛЕВА</w:t>
      </w:r>
    </w:p>
    <w:p w14:paraId="6F13460C"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Быв. помполита той же эскадрильи – КОБЯКИНА</w:t>
      </w:r>
    </w:p>
    <w:p w14:paraId="51733491"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неотд. отряда той же эскадрильи – АБУХОВА</w:t>
      </w:r>
    </w:p>
    <w:p w14:paraId="4BB48268"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28 отдельного авиаотряда – МОРОЗОВА</w:t>
      </w:r>
    </w:p>
    <w:p w14:paraId="66FBA08D"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Врид.инженера того же отряда - СЕЛЯВКО</w:t>
      </w:r>
    </w:p>
    <w:p w14:paraId="5E4B3A15"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Об"явить строгий выговор начальнику ВВС РККА тов. Алкснису и его заместителям т.т. Наумову и Неженинову за то, что они, имея исчерпывающие указания РВС Союза, при наличии угрожаю</w:t>
      </w:r>
      <w:r w:rsidRPr="00E93F40">
        <w:rPr>
          <w:rFonts w:ascii="Times New Roman" w:hAnsi="Times New Roman"/>
          <w:color w:val="000000" w:themeColor="text1"/>
          <w:sz w:val="16"/>
          <w:szCs w:val="16"/>
        </w:rPr>
        <w:softHyphen/>
        <w:t>щего роста аварийности, не приняли всех зависящих от них мер по борьбе с аварийностью путем систематического и конкретного руководства боевой подготовкой ВВС, путем систематической воспитательной работы над личным составом, путчем решительного пресечения малейших нарушений дисциплины, и вследствие этого не обеспечили точного выполнения приказов РВС Союза нижестоящими командными инстанциями, соединениями и частями ВВС РККА. Тов.Алкснису этот строгий выговор об"явить еще и за то, что он издал совершенно неправильный приказ 046 об итогах зимней учебы ВВС.</w:t>
      </w:r>
    </w:p>
    <w:p w14:paraId="070010F2"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РВС БВО т. Уборевичу и т. Аронштаму,что они не пресекли в корне неправильной линии руководства воз</w:t>
      </w:r>
      <w:r w:rsidRPr="00E93F40">
        <w:rPr>
          <w:rFonts w:ascii="Times New Roman" w:hAnsi="Times New Roman"/>
          <w:color w:val="000000" w:themeColor="text1"/>
          <w:sz w:val="16"/>
          <w:szCs w:val="16"/>
        </w:rPr>
        <w:softHyphen/>
        <w:t>душными силами со стороны нач. ВВС БВО т. Кушакова и вместо того, чтобы провести в жизнь все требования приказов РВС Союза по планомерному и последовательному обучению авиачастей, способ</w:t>
      </w:r>
      <w:r w:rsidRPr="00E93F40">
        <w:rPr>
          <w:rFonts w:ascii="Times New Roman" w:hAnsi="Times New Roman"/>
          <w:color w:val="000000" w:themeColor="text1"/>
          <w:sz w:val="16"/>
          <w:szCs w:val="16"/>
        </w:rPr>
        <w:softHyphen/>
        <w:t>ствовал вредному форсированию темпов боевой подготовки с мо</w:t>
      </w:r>
      <w:r w:rsidRPr="00E93F40">
        <w:rPr>
          <w:rFonts w:ascii="Times New Roman" w:hAnsi="Times New Roman"/>
          <w:color w:val="000000" w:themeColor="text1"/>
          <w:sz w:val="16"/>
          <w:szCs w:val="16"/>
        </w:rPr>
        <w:softHyphen/>
        <w:t>лодым и неподготовленным личным составом, этим самым вселяя своим подчиненным командирам недопустимую мысль о возможности нарушения или искривления приказов РВС Союза.</w:t>
      </w:r>
    </w:p>
    <w:p w14:paraId="2896DB2C"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РВС МСБМ (т.т. Викторову, Галлеру и Гри</w:t>
      </w:r>
      <w:r w:rsidRPr="00E93F40">
        <w:rPr>
          <w:rFonts w:ascii="Times New Roman" w:hAnsi="Times New Roman"/>
          <w:color w:val="000000" w:themeColor="text1"/>
          <w:sz w:val="16"/>
          <w:szCs w:val="16"/>
        </w:rPr>
        <w:softHyphen/>
        <w:t>шину) отсутствие руководства боевой подготовкой и внимания к материально-бытовому положению частей ВВС Балтморя, вопреки и в нарушение прямых указаний РВСС.</w:t>
      </w:r>
    </w:p>
    <w:p w14:paraId="3E62F6DC"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РВС МВО (т.т. Корку и Векличеву) от</w:t>
      </w:r>
      <w:r w:rsidRPr="00E93F40">
        <w:rPr>
          <w:rFonts w:ascii="Times New Roman" w:hAnsi="Times New Roman"/>
          <w:color w:val="000000" w:themeColor="text1"/>
          <w:sz w:val="16"/>
          <w:szCs w:val="16"/>
        </w:rPr>
        <w:softHyphen/>
        <w:t>сутствие должного внимания к боевой подготовке подчиненных им воздушных сил, особенно к вновь сформированной тяжелой 17-й авиабригаде, и за допущение начальником ВВС ИВО тов. Чернобровкиным повышенной нормы работы авиачастей.</w:t>
      </w:r>
    </w:p>
    <w:p w14:paraId="75A52186"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Отстранить от занимаемой должности начальника ВВС БВО тов. Кушанова со снижением в должности за сознательное нару</w:t>
      </w:r>
      <w:r w:rsidRPr="00E93F40">
        <w:rPr>
          <w:rFonts w:ascii="Times New Roman" w:hAnsi="Times New Roman"/>
          <w:color w:val="000000" w:themeColor="text1"/>
          <w:sz w:val="16"/>
          <w:szCs w:val="16"/>
        </w:rPr>
        <w:softHyphen/>
        <w:t>шение основных требований приказов РВС Союза и личную неди</w:t>
      </w:r>
      <w:r w:rsidRPr="00E93F40">
        <w:rPr>
          <w:rFonts w:ascii="Times New Roman" w:hAnsi="Times New Roman"/>
          <w:color w:val="000000" w:themeColor="text1"/>
          <w:sz w:val="16"/>
          <w:szCs w:val="16"/>
        </w:rPr>
        <w:softHyphen/>
        <w:t>сциплинированность. Предупредить т.Кушакова, что за повторе</w:t>
      </w:r>
      <w:r w:rsidRPr="00E93F40">
        <w:rPr>
          <w:rFonts w:ascii="Times New Roman" w:hAnsi="Times New Roman"/>
          <w:color w:val="000000" w:themeColor="text1"/>
          <w:sz w:val="16"/>
          <w:szCs w:val="16"/>
        </w:rPr>
        <w:softHyphen/>
        <w:t>ние случаев недисциплинированности он будет исключен из рядов ВКП (6).</w:t>
      </w:r>
    </w:p>
    <w:p w14:paraId="5B03F615"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0б"явить строгий выговор с предупреждением начальнику ВВС МВО т. Чернобровкину за самовольное повышение нормы летной работы, невнимательность к подбору летного состава и отсутвие жеского конкретного руководства боевой подготовкой под</w:t>
      </w:r>
      <w:r w:rsidRPr="00E93F40">
        <w:rPr>
          <w:rFonts w:ascii="Times New Roman" w:hAnsi="Times New Roman"/>
          <w:color w:val="000000" w:themeColor="text1"/>
          <w:sz w:val="16"/>
          <w:szCs w:val="16"/>
        </w:rPr>
        <w:softHyphen/>
        <w:t>чиненных ему авиачастей.</w:t>
      </w:r>
    </w:p>
    <w:p w14:paraId="42046CC1"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РВС Союза по отношению к остальным командирам авиачастей, виновным в последних авариях и катастрофах, наложить строжайшие дисциплинарные взыскания.</w:t>
      </w:r>
    </w:p>
    <w:p w14:paraId="3ECCFBE2"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Главнейшей задачей РВС Союза, РВС округов и командо</w:t>
      </w:r>
      <w:r w:rsidRPr="00E93F40">
        <w:rPr>
          <w:rFonts w:ascii="Times New Roman" w:hAnsi="Times New Roman"/>
          <w:color w:val="000000" w:themeColor="text1"/>
          <w:sz w:val="16"/>
          <w:szCs w:val="16"/>
        </w:rPr>
        <w:softHyphen/>
        <w:t>вания ВВС всех степеней является - немедленно и раз навсегда искоренить имеющиеся безобразия в авиачастях и положить на</w:t>
      </w:r>
      <w:r w:rsidRPr="00E93F40">
        <w:rPr>
          <w:rFonts w:ascii="Times New Roman" w:hAnsi="Times New Roman"/>
          <w:color w:val="000000" w:themeColor="text1"/>
          <w:sz w:val="16"/>
          <w:szCs w:val="16"/>
        </w:rPr>
        <w:softHyphen/>
        <w:t>чало установлению в них строжайшей воинской дисциплины, твер</w:t>
      </w:r>
      <w:r w:rsidRPr="00E93F40">
        <w:rPr>
          <w:rFonts w:ascii="Times New Roman" w:hAnsi="Times New Roman"/>
          <w:color w:val="000000" w:themeColor="text1"/>
          <w:sz w:val="16"/>
          <w:szCs w:val="16"/>
        </w:rPr>
        <w:softHyphen/>
        <w:t>дого распорядка внутренней службы и точного соблюдения уста</w:t>
      </w:r>
      <w:r w:rsidRPr="00E93F40">
        <w:rPr>
          <w:rFonts w:ascii="Times New Roman" w:hAnsi="Times New Roman"/>
          <w:color w:val="000000" w:themeColor="text1"/>
          <w:sz w:val="16"/>
          <w:szCs w:val="16"/>
        </w:rPr>
        <w:softHyphen/>
        <w:t>новленных в Квасной армии уставных требований. Без строжайшей воинской дисциплин:: невозможно ни существование, ни успешная боевая работа такого сложнейшего рода войск, каким является воздушный флот.</w:t>
      </w:r>
    </w:p>
    <w:p w14:paraId="58E7E9C9"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РВС Союза немедленно отстранять от должности, изгонять из рядов ВВС РККА и предавать суду Реввоентрибунала командиров ВВС всех степеней, которые будут допускать во вве</w:t>
      </w:r>
      <w:r w:rsidRPr="00E93F40">
        <w:rPr>
          <w:rFonts w:ascii="Times New Roman" w:hAnsi="Times New Roman"/>
          <w:color w:val="000000" w:themeColor="text1"/>
          <w:sz w:val="16"/>
          <w:szCs w:val="16"/>
        </w:rPr>
        <w:softHyphen/>
        <w:t>ренных им частях разболтанность, расхлябанность',внешнюю не</w:t>
      </w:r>
      <w:r w:rsidRPr="00E93F40">
        <w:rPr>
          <w:rFonts w:ascii="Times New Roman" w:hAnsi="Times New Roman"/>
          <w:color w:val="000000" w:themeColor="text1"/>
          <w:sz w:val="16"/>
          <w:szCs w:val="16"/>
        </w:rPr>
        <w:softHyphen/>
        <w:t>опрятность, панибратство, ложный демократизм и падение воин</w:t>
      </w:r>
      <w:r w:rsidRPr="00E93F40">
        <w:rPr>
          <w:rFonts w:ascii="Times New Roman" w:hAnsi="Times New Roman"/>
          <w:color w:val="000000" w:themeColor="text1"/>
          <w:sz w:val="16"/>
          <w:szCs w:val="16"/>
        </w:rPr>
        <w:softHyphen/>
        <w:t>ской дисциплины.</w:t>
      </w:r>
    </w:p>
    <w:p w14:paraId="5400B84F"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перерабатываемый Реввоенсоветом дисциплинарный устав • внести повышение мер взыскания за недисциплинированность в частях ВВС РККА.</w:t>
      </w:r>
    </w:p>
    <w:p w14:paraId="3AAB84F1"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Предложить Реввоенсовету Союза немедленно реоргани</w:t>
      </w:r>
      <w:r w:rsidRPr="00E93F40">
        <w:rPr>
          <w:rFonts w:ascii="Times New Roman" w:hAnsi="Times New Roman"/>
          <w:color w:val="000000" w:themeColor="text1"/>
          <w:sz w:val="16"/>
          <w:szCs w:val="16"/>
        </w:rPr>
        <w:softHyphen/>
        <w:t>зовать Управление ВВС РККА в целях усиления оперативно-учеб</w:t>
      </w:r>
      <w:r w:rsidRPr="00E93F40">
        <w:rPr>
          <w:rFonts w:ascii="Times New Roman" w:hAnsi="Times New Roman"/>
          <w:color w:val="000000" w:themeColor="text1"/>
          <w:sz w:val="16"/>
          <w:szCs w:val="16"/>
        </w:rPr>
        <w:softHyphen/>
        <w:t>ного руководства боевыми частями, крупными соединениями ВВС, ВУЗ”ами, тыловыми органами и капитальным строительством. В этих же целях соответственно увеличить штат Инспекции ВВС РККА и ввести при начальнике ВВС РККА штат порученцев для непосредственных и повседневных сношений с подчиненными ему частями и для усиления живого инструктирования и проверки выполнения учебной и боевой подготовки в частях ВВС РККА.</w:t>
      </w:r>
    </w:p>
    <w:p w14:paraId="6117EE03"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решительного улучшения руководства военно-воз</w:t>
      </w:r>
      <w:r w:rsidRPr="00E93F40">
        <w:rPr>
          <w:rFonts w:ascii="Times New Roman" w:hAnsi="Times New Roman"/>
          <w:color w:val="000000" w:themeColor="text1"/>
          <w:sz w:val="16"/>
          <w:szCs w:val="16"/>
        </w:rPr>
        <w:softHyphen/>
        <w:t>душными силами в округах, ввести в Лии, БВО, МВО, УВО, СКВО, ' ПРИВО, ОКДВА и морях - Балтийска’.! и Черном,- специально долж</w:t>
      </w:r>
      <w:r w:rsidRPr="00E93F40">
        <w:rPr>
          <w:rFonts w:ascii="Times New Roman" w:hAnsi="Times New Roman"/>
          <w:color w:val="000000" w:themeColor="text1"/>
          <w:sz w:val="16"/>
          <w:szCs w:val="16"/>
        </w:rPr>
        <w:softHyphen/>
        <w:t>ность помощников командующими войсками'по ВВС.</w:t>
      </w:r>
    </w:p>
    <w:p w14:paraId="6E12C879"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Установить в каждой авиабригаде должность специального инспектора, подчиненного непосредственно Инспектору ВВС РККА, с функциями всестороннего наблюдения и контроля за установлением строжайшей воинской дисциплины, за руководст- . эом боевой подготовкой частей бригады, за воспитанием лично</w:t>
      </w:r>
      <w:r w:rsidRPr="00E93F40">
        <w:rPr>
          <w:rFonts w:ascii="Times New Roman" w:hAnsi="Times New Roman"/>
          <w:color w:val="000000" w:themeColor="text1"/>
          <w:sz w:val="16"/>
          <w:szCs w:val="16"/>
        </w:rPr>
        <w:softHyphen/>
        <w:t>го состава и соблюдения установленного внутреннего распоряд</w:t>
      </w:r>
      <w:r w:rsidRPr="00E93F40">
        <w:rPr>
          <w:rFonts w:ascii="Times New Roman" w:hAnsi="Times New Roman"/>
          <w:color w:val="000000" w:themeColor="text1"/>
          <w:sz w:val="16"/>
          <w:szCs w:val="16"/>
        </w:rPr>
        <w:softHyphen/>
        <w:t>ка. Предоставить инспектору бригады право непосредственного сношения с РБС округов с инспектором ВВС РККА, а в случае надобности и с РВС Союза.</w:t>
      </w:r>
    </w:p>
    <w:p w14:paraId="61A1AC90"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целью усиления политического руководства ввести в ПУСКР”ах специальные сектора по работе в авиации, а в эскад</w:t>
      </w:r>
      <w:r w:rsidRPr="00E93F40">
        <w:rPr>
          <w:rFonts w:ascii="Times New Roman" w:hAnsi="Times New Roman"/>
          <w:color w:val="000000" w:themeColor="text1"/>
          <w:sz w:val="16"/>
          <w:szCs w:val="16"/>
        </w:rPr>
        <w:softHyphen/>
        <w:t>рильях - штатную должность ответственных секретарей.</w:t>
      </w:r>
    </w:p>
    <w:p w14:paraId="1265EBA7"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Потребовать от парторганизации и политорганов ВВС РККА жесточайшей борьбы за дисциплину и коренного улучшения воспитательной работы среди летнего и технического состава</w:t>
      </w:r>
    </w:p>
    <w:p w14:paraId="6B0E2940"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Предупредить, что бездеятельность парторганизации и по- литоргагз ВВС в деле укрепления дисциплины и борьбы с ава</w:t>
      </w:r>
      <w:r w:rsidRPr="00E93F40">
        <w:rPr>
          <w:rFonts w:ascii="Times New Roman" w:hAnsi="Times New Roman"/>
          <w:color w:val="000000" w:themeColor="text1"/>
          <w:sz w:val="16"/>
          <w:szCs w:val="16"/>
        </w:rPr>
        <w:softHyphen/>
        <w:t>рийностью поставит каждого ответственного партполитработника этих организаций вне рядов партии,</w:t>
      </w:r>
    </w:p>
    <w:p w14:paraId="19517650"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Потребовать от ЦК ВЛКСМ решительного усиления воспи</w:t>
      </w:r>
      <w:r w:rsidRPr="00E93F40">
        <w:rPr>
          <w:rFonts w:ascii="Times New Roman" w:hAnsi="Times New Roman"/>
          <w:color w:val="000000" w:themeColor="text1"/>
          <w:sz w:val="16"/>
          <w:szCs w:val="16"/>
        </w:rPr>
        <w:softHyphen/>
        <w:t>тательной работы среди комсомольцев ВВС РККА/ особенно по внедрению железной дисциплины сведи комсомольцев ВВС РККА.</w:t>
      </w:r>
    </w:p>
    <w:p w14:paraId="65348A7D"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Предложить Реввоенсовету Союза отменить приказ нач. ВВС РККА Об итогах зимней учебы.</w:t>
      </w:r>
    </w:p>
    <w:p w14:paraId="2BB1DCCA"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Реввоенсовету Союза к 1.УП пересмотреть все свои указа</w:t>
      </w:r>
      <w:r w:rsidRPr="00E93F40">
        <w:rPr>
          <w:rFonts w:ascii="Times New Roman" w:hAnsi="Times New Roman"/>
          <w:color w:val="000000" w:themeColor="text1"/>
          <w:sz w:val="16"/>
          <w:szCs w:val="16"/>
        </w:rPr>
        <w:softHyphen/>
        <w:t>ния на летний период и приказы Начальника ВВС РККА и началь</w:t>
      </w:r>
      <w:r w:rsidRPr="00E93F40">
        <w:rPr>
          <w:rFonts w:ascii="Times New Roman" w:hAnsi="Times New Roman"/>
          <w:color w:val="000000" w:themeColor="text1"/>
          <w:sz w:val="16"/>
          <w:szCs w:val="16"/>
        </w:rPr>
        <w:softHyphen/>
        <w:t>ников ВВС округов, армий и морей и внести в них все необхо</w:t>
      </w:r>
      <w:r w:rsidRPr="00E93F40">
        <w:rPr>
          <w:rFonts w:ascii="Times New Roman" w:hAnsi="Times New Roman"/>
          <w:color w:val="000000" w:themeColor="text1"/>
          <w:sz w:val="16"/>
          <w:szCs w:val="16"/>
        </w:rPr>
        <w:softHyphen/>
        <w:t>димые коррективы для обеспечения последовательности и посте</w:t>
      </w:r>
      <w:r w:rsidRPr="00E93F40">
        <w:rPr>
          <w:rFonts w:ascii="Times New Roman" w:hAnsi="Times New Roman"/>
          <w:color w:val="000000" w:themeColor="text1"/>
          <w:sz w:val="16"/>
          <w:szCs w:val="16"/>
        </w:rPr>
        <w:softHyphen/>
        <w:t>пенности в боевой подготовке ВВС РККА, без снижения постав</w:t>
      </w:r>
      <w:r w:rsidRPr="00E93F40">
        <w:rPr>
          <w:rFonts w:ascii="Times New Roman" w:hAnsi="Times New Roman"/>
          <w:color w:val="000000" w:themeColor="text1"/>
          <w:sz w:val="16"/>
          <w:szCs w:val="16"/>
        </w:rPr>
        <w:softHyphen/>
        <w:t>ленных РВС Союза задач на 1932 г., путем лучшей планомерности я организованности занятий.</w:t>
      </w:r>
    </w:p>
    <w:p w14:paraId="61700321"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Предложить РВС Союза в 2-декадный срок пересмотреть состав командиров авиаэскадрилий и отдельных авиаотрядов, для замены несоответствующих и отбора достойных кандидатов на эти должности. Одновременно отобрать необходимое количество общевойсковых командиров для переподготовки их на должности командиров отдельных частей ВВС. В тот же срок пересмотреть состав командиров тяжелых кораблей.</w:t>
      </w:r>
    </w:p>
    <w:p w14:paraId="2134E959"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Впредь в аттестационных выводах летного состава отмечать пригодность аттестуемых командиров к службе в том или ином роде авиации, выдвигая наиболее выдающихся, дисциплинирован</w:t>
      </w:r>
      <w:r w:rsidRPr="00E93F40">
        <w:rPr>
          <w:rFonts w:ascii="Times New Roman" w:hAnsi="Times New Roman"/>
          <w:color w:val="000000" w:themeColor="text1"/>
          <w:sz w:val="16"/>
          <w:szCs w:val="16"/>
        </w:rPr>
        <w:softHyphen/>
        <w:t>ных и подготовленных командиров к службе в частях тяжелой авиации.</w:t>
      </w:r>
    </w:p>
    <w:p w14:paraId="05E8C571"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на будущее время, под строжайшей ответствен</w:t>
      </w:r>
      <w:r w:rsidRPr="00E93F40">
        <w:rPr>
          <w:rFonts w:ascii="Times New Roman" w:hAnsi="Times New Roman"/>
          <w:color w:val="000000" w:themeColor="text1"/>
          <w:sz w:val="16"/>
          <w:szCs w:val="16"/>
        </w:rPr>
        <w:softHyphen/>
        <w:t>ностью командиров всей степеней, чтобы при назначении на ту или другую должность обязательно учитывалась предыдущая ат</w:t>
      </w:r>
      <w:r w:rsidRPr="00E93F40">
        <w:rPr>
          <w:rFonts w:ascii="Times New Roman" w:hAnsi="Times New Roman"/>
          <w:color w:val="000000" w:themeColor="text1"/>
          <w:sz w:val="16"/>
          <w:szCs w:val="16"/>
        </w:rPr>
        <w:softHyphen/>
        <w:t>тестация назначаемого, В случае назначения по несоответствию с аттестацией должен нести строжайшую ответственность тот ко</w:t>
      </w:r>
      <w:r w:rsidRPr="00E93F40">
        <w:rPr>
          <w:rFonts w:ascii="Times New Roman" w:hAnsi="Times New Roman"/>
          <w:color w:val="000000" w:themeColor="text1"/>
          <w:sz w:val="16"/>
          <w:szCs w:val="16"/>
        </w:rPr>
        <w:softHyphen/>
        <w:t>мандир, который допустил это назначение.</w:t>
      </w:r>
    </w:p>
    <w:p w14:paraId="4DEB25D0"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В виду того, что согласно решения ЦК ВКП(б) от 16.У1 1932 г. (постановление ЦК ВКП(б) об упорядочении практики наз</w:t>
      </w:r>
      <w:r w:rsidRPr="00E93F40">
        <w:rPr>
          <w:rFonts w:ascii="Times New Roman" w:hAnsi="Times New Roman"/>
          <w:color w:val="000000" w:themeColor="text1"/>
          <w:sz w:val="16"/>
          <w:szCs w:val="16"/>
        </w:rPr>
        <w:softHyphen/>
        <w:t>начения и аттестования комсостава) летные школы должны комп</w:t>
      </w:r>
      <w:r w:rsidRPr="00E93F40">
        <w:rPr>
          <w:rFonts w:ascii="Times New Roman" w:hAnsi="Times New Roman"/>
          <w:color w:val="000000" w:themeColor="text1"/>
          <w:sz w:val="16"/>
          <w:szCs w:val="16"/>
        </w:rPr>
        <w:softHyphen/>
        <w:t>лектоваться исключительно коммунистами или абсолютно прове</w:t>
      </w:r>
      <w:r w:rsidRPr="00E93F40">
        <w:rPr>
          <w:rFonts w:ascii="Times New Roman" w:hAnsi="Times New Roman"/>
          <w:color w:val="000000" w:themeColor="text1"/>
          <w:sz w:val="16"/>
          <w:szCs w:val="16"/>
        </w:rPr>
        <w:softHyphen/>
        <w:t>ренными беспартийными рабочими, предложить секретарям всех обл. (край) и нац. парткомитетсв при отборе в летние школы, лично руководить этим важнейшим делом и посылать в летные школы только таких коммунистов, которые отвечают повыше ним требованиям в отношении физической и моральной устойчивости и личной дисциплинированности.</w:t>
      </w:r>
    </w:p>
    <w:p w14:paraId="51168B61"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РВС Союза строго следить за правильным отбором в Военно-воздушные школы физически пригодного контингента, для чего улучшить работу специальных медицинских комиссий по психофизи</w:t>
      </w:r>
      <w:r w:rsidRPr="00E93F40">
        <w:rPr>
          <w:rFonts w:ascii="Times New Roman" w:hAnsi="Times New Roman"/>
          <w:color w:val="000000" w:themeColor="text1"/>
          <w:sz w:val="16"/>
          <w:szCs w:val="16"/>
        </w:rPr>
        <w:softHyphen/>
        <w:t>ческому осмотру поступающих в школы кандидатов.</w:t>
      </w:r>
    </w:p>
    <w:p w14:paraId="68EDFAE0"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Предложить НКЛегпрому под личную ответственность т. Любимова, развернуть производство парашютов на имеющейся фабрике, чтобы обеспечить парашютами летный состав всей истре</w:t>
      </w:r>
      <w:r w:rsidRPr="00E93F40">
        <w:rPr>
          <w:rFonts w:ascii="Times New Roman" w:hAnsi="Times New Roman"/>
          <w:color w:val="000000" w:themeColor="text1"/>
          <w:sz w:val="16"/>
          <w:szCs w:val="16"/>
        </w:rPr>
        <w:softHyphen/>
        <w:t>бительной и тяжелой бомбардировочной авиации не позднее 15-го августа с/г (ПЛ1-200 штук, ПН2-800 штук) и весь прочий летный состав не позднее 15 сентября с/г (ПЛ1-1521, ПН2-1575).</w:t>
      </w:r>
    </w:p>
    <w:p w14:paraId="0CBE6022"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Предложить Реввоенсовету и НКТяжпрому форсировать изготовление радиостанций по связи самолетов в воздухе меж</w:t>
      </w:r>
      <w:r w:rsidRPr="00E93F40">
        <w:rPr>
          <w:rFonts w:ascii="Times New Roman" w:hAnsi="Times New Roman"/>
          <w:color w:val="000000" w:themeColor="text1"/>
          <w:sz w:val="16"/>
          <w:szCs w:val="16"/>
        </w:rPr>
        <w:softHyphen/>
        <w:t>ду собой и с землей.</w:t>
      </w:r>
    </w:p>
    <w:p w14:paraId="7E7ABC62"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что с 1.1-1933 г. ни один тяжелый самолет не может пойти в полет без наличия на борту исправно дей</w:t>
      </w:r>
      <w:r w:rsidRPr="00E93F40">
        <w:rPr>
          <w:rFonts w:ascii="Times New Roman" w:hAnsi="Times New Roman"/>
          <w:color w:val="000000" w:themeColor="text1"/>
          <w:sz w:val="16"/>
          <w:szCs w:val="16"/>
        </w:rPr>
        <w:softHyphen/>
        <w:t>ствующей рации.</w:t>
      </w:r>
    </w:p>
    <w:p w14:paraId="4599F91B"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каждого тяжелого самолета считать необходимым в самый кратчайший срок разработку и установку внутренней связи, безотказно действующей в любых условиях.</w:t>
      </w:r>
    </w:p>
    <w:p w14:paraId="3EF6643D"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Конкретные мероприятия по этому пункту, в том числе и о стабилизаторах, разрезных крыльях, тормозных колесах и проч., заслушать на ближайшем заседании K.О.</w:t>
      </w:r>
    </w:p>
    <w:p w14:paraId="0D70536D"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Предложить Реввоенсовету провести немедленно все остальные мероприятия для улучшения внутреннего поряд</w:t>
      </w:r>
      <w:r w:rsidRPr="00E93F40">
        <w:rPr>
          <w:rFonts w:ascii="Times New Roman" w:hAnsi="Times New Roman"/>
          <w:color w:val="000000" w:themeColor="text1"/>
          <w:sz w:val="16"/>
          <w:szCs w:val="16"/>
        </w:rPr>
        <w:softHyphen/>
        <w:t>ка и боевей подготовки ВВС РККА.</w:t>
      </w:r>
    </w:p>
    <w:p w14:paraId="293D3937"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Запретить всем организациям СССР, связанным с авиацией, принимать на службу летчиков, техников и инже</w:t>
      </w:r>
      <w:r w:rsidRPr="00E93F40">
        <w:rPr>
          <w:rFonts w:ascii="Times New Roman" w:hAnsi="Times New Roman"/>
          <w:color w:val="000000" w:themeColor="text1"/>
          <w:sz w:val="16"/>
          <w:szCs w:val="16"/>
        </w:rPr>
        <w:softHyphen/>
        <w:t>неров, уволенных из ВВС РККА по порочащим их обстоятельст</w:t>
      </w:r>
      <w:r w:rsidRPr="00E93F40">
        <w:rPr>
          <w:rFonts w:ascii="Times New Roman" w:hAnsi="Times New Roman"/>
          <w:color w:val="000000" w:themeColor="text1"/>
          <w:sz w:val="16"/>
          <w:szCs w:val="16"/>
        </w:rPr>
        <w:softHyphen/>
        <w:t>вам (недисциплинированность, воздушное хулиганство, поли</w:t>
      </w:r>
      <w:r w:rsidRPr="00E93F40">
        <w:rPr>
          <w:rFonts w:ascii="Times New Roman" w:hAnsi="Times New Roman"/>
          <w:color w:val="000000" w:themeColor="text1"/>
          <w:sz w:val="16"/>
          <w:szCs w:val="16"/>
        </w:rPr>
        <w:softHyphen/>
        <w:t>тико-моральное разложение или неустойчивость, пьянство и т.д.), СНК СССР издать по этому поводу закон и опреде</w:t>
      </w:r>
      <w:r w:rsidRPr="00E93F40">
        <w:rPr>
          <w:rFonts w:ascii="Times New Roman" w:hAnsi="Times New Roman"/>
          <w:color w:val="000000" w:themeColor="text1"/>
          <w:sz w:val="16"/>
          <w:szCs w:val="16"/>
        </w:rPr>
        <w:softHyphen/>
        <w:t>лить порядок его неуклонного применения .</w:t>
      </w:r>
    </w:p>
    <w:p w14:paraId="2CC8CACC"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Секретарь ЦК ВКП(б) И.СТАЛИН.</w:t>
      </w:r>
    </w:p>
    <w:p w14:paraId="2E18C974"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СНК СССР - В.МОЛОТОВ (СКРЯБИН).</w:t>
      </w:r>
    </w:p>
    <w:p w14:paraId="07F53CB6"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Молотову, Кагановичу - все; т. Орджоникидзе - п. "б" и "в"; т. Постышеву - п."в"</w:t>
      </w:r>
    </w:p>
    <w:p w14:paraId="6626D63A" w14:textId="77777777" w:rsidR="007F0B24" w:rsidRPr="00E93F40" w:rsidRDefault="007F0B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июля 1932 состоялось заседание ПБ (Протокол № 107) (23052).</w:t>
      </w:r>
    </w:p>
    <w:p w14:paraId="7AF54D2D" w14:textId="77777777" w:rsidR="007F0B24" w:rsidRPr="00E93F40" w:rsidRDefault="007F0B24" w:rsidP="00E93F40">
      <w:pPr>
        <w:spacing w:after="0" w:line="240" w:lineRule="auto"/>
        <w:jc w:val="both"/>
        <w:rPr>
          <w:rFonts w:ascii="Times New Roman" w:hAnsi="Times New Roman"/>
          <w:color w:val="000000" w:themeColor="text1"/>
          <w:sz w:val="16"/>
          <w:szCs w:val="16"/>
        </w:rPr>
      </w:pPr>
    </w:p>
    <w:p w14:paraId="769F357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4D3251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43D8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 постановлением СТО постройка ТБ-4 была объявлена первоочередной. М-34 продолжали мучительно доводить, более мощные двигатели серии ФЭД в октябре 1931 г. только начали делать в опытных образцах. Все сроки прошли. При этом, однако, срок готовности сдвинули на I ноября. Главное управление авиационной промышленности (ГУАП) Наркомтяжпрома возражало, говоря, что этот срок нереален. Оно заявляло о возможности выставить самолет на испытания к I января 1933 г. Но и эта дата оказалась неосуществимой - лишь в декабре 1932 г. на завод пришли долгожданные моторы.</w:t>
      </w:r>
    </w:p>
    <w:p w14:paraId="1CDE0F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0E043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десяти.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52817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4C9F4E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Если бы этот фантастический план сбылся, в руках Сталина оказалась бы невиданная воздушная мощь. Почти триста огромных машин, по шесть тонн бомб на каждой! (12024).</w:t>
      </w:r>
    </w:p>
    <w:p w14:paraId="169ECA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C26A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 постановлением СТО постройка ТБ-4 была объявлена первоочередной. Срок готовности сдвинули на 1 ноября. Главное управление авиационной промышленности (ГУАП) Наркомтяжпрома возражало, говоря, что этот срок нереален. Оно заявляло о возможности выставить самолет на испытания к 1 января 1933 г. Но и эта дата оказалась неосуществимой - лишь в декабре 1932 г. на завод пришли долгожданные моторы.</w:t>
      </w:r>
    </w:p>
    <w:p w14:paraId="118025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7C2CA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10.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5796CD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4F44F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(12036).</w:t>
      </w:r>
    </w:p>
    <w:p w14:paraId="242D7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A8E1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года к постройке был принят по плану вооруженный самолет Р6 2М17 (3899).</w:t>
      </w:r>
    </w:p>
    <w:p w14:paraId="0CE30A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0BA7D5"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июля 1932 г. Комиссия Обороны при Совете Народных Комиссаров (СНК) СССР утвердила план работ по опытному самолёто- и моторостроению на 1932-1934 гг. По плану бригаде № 3 КОСОС ЦАГИ надлежало спроектировать, построить и передать на государственные испытания ряд самолётов, одним из которых стал </w:t>
      </w:r>
      <w:r w:rsidRPr="00E93F40">
        <w:rPr>
          <w:rFonts w:ascii="Times New Roman" w:hAnsi="Times New Roman"/>
          <w:color w:val="000000" w:themeColor="text1"/>
          <w:sz w:val="16"/>
          <w:szCs w:val="16"/>
        </w:rPr>
        <w:lastRenderedPageBreak/>
        <w:t>двухместный истребитель пушечный ДИП 2М-34 — к 1 октября 1933 г. В июле бригада П.О. Сухого приступила к предварительным изысканиям по проекту ДИП 2М-34 (15823).</w:t>
      </w:r>
    </w:p>
    <w:p w14:paraId="43329E00" w14:textId="77777777" w:rsidR="002C36D8" w:rsidRPr="00E93F40" w:rsidRDefault="002C36D8" w:rsidP="00E93F40">
      <w:pPr>
        <w:spacing w:after="0" w:line="240" w:lineRule="auto"/>
        <w:jc w:val="both"/>
        <w:rPr>
          <w:rFonts w:ascii="Times New Roman" w:hAnsi="Times New Roman"/>
          <w:color w:val="000000" w:themeColor="text1"/>
          <w:sz w:val="16"/>
          <w:szCs w:val="16"/>
        </w:rPr>
      </w:pPr>
    </w:p>
    <w:p w14:paraId="07E43727"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4 июля 1932 года Постановлением Комиссии Обороны был утвержден план опытного самолето- и моторостроения на 1932-34 г.г. и обозначены первоочередные задачи опытного строительства, среди которых значились:</w:t>
      </w:r>
    </w:p>
    <w:p w14:paraId="59247BC7"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 – создание типов истребительских моторов М-38 воздушного охлаждения и особенно М-32 водяного охлаждения;</w:t>
      </w:r>
    </w:p>
    <w:p w14:paraId="67AD6C5D"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 – создание типов вполне современных истребителей одно-, двух и многоместных;…»</w:t>
      </w:r>
    </w:p>
    <w:p w14:paraId="03231B48"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Планом намечалась постройка пяти типов истребителей, из которых четыре цельнометаллических – включались в план ЦАГИ. Бригаде №3 KОCОC, возглавляемой П. О. Сухим, поручались три машины: ДИП 2М-34, И-13 М-32, И-14 М-38.</w:t>
      </w:r>
    </w:p>
    <w:p w14:paraId="74DA576B"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Истребитель И-13 предназначался для замены истребителя И-7 и должен был иметь следующие данные:</w:t>
      </w:r>
    </w:p>
    <w:p w14:paraId="7758A1E6"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 Высота применения – 6000 м</w:t>
      </w:r>
    </w:p>
    <w:p w14:paraId="1E47F968"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 Горизонтальная скорость на высоте 5000 м – 350-400 км/ч</w:t>
      </w:r>
    </w:p>
    <w:p w14:paraId="4A37C034"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 Время подъема на высоту 5000 м – 7-8 мин</w:t>
      </w:r>
    </w:p>
    <w:p w14:paraId="57D57849"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 Практический потолок – 8000-9000 м</w:t>
      </w:r>
    </w:p>
    <w:p w14:paraId="337469DA"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 Посадочная скорость – 90-100 км/ч</w:t>
      </w:r>
    </w:p>
    <w:p w14:paraId="140DA82A"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 Радиус действия – 300 км</w:t>
      </w:r>
    </w:p>
    <w:p w14:paraId="6AF9102C"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 Вооружение – легкие пулеметы</w:t>
      </w:r>
    </w:p>
    <w:p w14:paraId="6FEE5BAC"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 Калибры бомб – 4 по 10 кг</w:t>
      </w:r>
    </w:p>
    <w:p w14:paraId="263FC0B5"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 Передача на государственные испытания – 1 июня 1933 г.</w:t>
      </w:r>
    </w:p>
    <w:p w14:paraId="76D0B6E4"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Приступая к проектированию самолета И-13 (АНТ-32, заказ 7163), решили взять за основу истребитель И-8, основательно его доработав (19177).</w:t>
      </w:r>
    </w:p>
    <w:p w14:paraId="4005528C" w14:textId="77777777" w:rsidR="00AC0F3E" w:rsidRPr="00E93F40" w:rsidRDefault="00AC0F3E" w:rsidP="00E93F40">
      <w:pPr>
        <w:pStyle w:val="ae"/>
        <w:shd w:val="clear" w:color="auto" w:fill="FFFFFF"/>
        <w:spacing w:before="0" w:after="0"/>
        <w:jc w:val="both"/>
        <w:textAlignment w:val="baseline"/>
        <w:rPr>
          <w:color w:val="000000" w:themeColor="text1"/>
          <w:sz w:val="16"/>
          <w:szCs w:val="16"/>
        </w:rPr>
      </w:pPr>
    </w:p>
    <w:p w14:paraId="273C994E"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4 июля</w:t>
      </w:r>
      <w:r w:rsidRPr="00E93F40">
        <w:rPr>
          <w:rFonts w:ascii="Times New Roman" w:hAnsi="Times New Roman"/>
          <w:color w:val="000000" w:themeColor="text1"/>
          <w:sz w:val="16"/>
          <w:szCs w:val="16"/>
        </w:rPr>
        <w:t xml:space="preserve"> в 1932 году Советом Труда и Обороны утвержден план опытного строительства ВВС, по которому создание самолета-разведчика </w:t>
      </w:r>
      <w:hyperlink r:id="rId174" w:tgtFrame="_blank" w:history="1">
        <w:r w:rsidRPr="00E93F40">
          <w:rPr>
            <w:rFonts w:ascii="Times New Roman" w:hAnsi="Times New Roman"/>
            <w:color w:val="000000" w:themeColor="text1"/>
            <w:sz w:val="16"/>
            <w:szCs w:val="16"/>
          </w:rPr>
          <w:t xml:space="preserve">«ЛР» </w:t>
        </w:r>
      </w:hyperlink>
      <w:r w:rsidRPr="00E93F40">
        <w:rPr>
          <w:rFonts w:ascii="Times New Roman" w:hAnsi="Times New Roman"/>
          <w:color w:val="000000" w:themeColor="text1"/>
          <w:sz w:val="16"/>
          <w:szCs w:val="16"/>
        </w:rPr>
        <w:t>на замену «Р-5» с летно-техническими данными, удовлетворяющими возросшим требованиям, поручалось конструкторскому коллективу С.А.Кочеригина, входившему в Центральное конструкторское бюро имени В.Р.Менжинского на заводе № 39. Выполненный по классической схеме одномоторного двухместного полутораплана смешанной конструкции и с таким же, как у «Р-5» стрелковым вооружением, самолет «ЛР» («ЦКБ-1») благодаря мощному мотору («М-34», 750 л.с.), меньшим геометрическим размерам и меньшей полетной массе имел лучшие летно-технические данные не только по сравнению с самолетом «Р-5», но и с современным ему истребителем «И-5» (14942).</w:t>
      </w:r>
    </w:p>
    <w:p w14:paraId="5AD21402" w14:textId="77777777" w:rsidR="002C36D8" w:rsidRPr="00E93F40" w:rsidRDefault="002C36D8" w:rsidP="00E93F40">
      <w:pPr>
        <w:spacing w:after="0" w:line="240" w:lineRule="auto"/>
        <w:jc w:val="both"/>
        <w:rPr>
          <w:rFonts w:ascii="Times New Roman" w:hAnsi="Times New Roman"/>
          <w:color w:val="000000" w:themeColor="text1"/>
          <w:sz w:val="16"/>
          <w:szCs w:val="16"/>
        </w:rPr>
      </w:pPr>
    </w:p>
    <w:p w14:paraId="7C05D271" w14:textId="77777777" w:rsidR="003521B0" w:rsidRPr="00E93F40" w:rsidRDefault="003521B0"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 Правительством был утверждён план опытного строительства самолётов, включавший задание Главному управлению авиационной промышленности (ГУАП) построить стратосферный самолёт (СС) [РГАЭ Ф. 8328 оп. 1 д. 702 лл. 13-15]. Согласно одному из вариантов технических требований на высотный самолёт, его рабочая высота полёта определялась в 15000 м, максимальная скорость – в 350 км/ч, дальность полёта – в 1500 км. При использовании для «специальных» целей самолёт должен был нести оборонительное вооружение. Решено было проводить работу по созданию высотного самолёта параллельно в двух организациях – ЦАГИ и БНК. В ЦАГИ было решено взять за основу строившийся параллельно новый самолёт – РД (АНТ-25). Он имел крыло большого размаха и удлинения, что и требуется для высотного самолёта. Название СС со временем сменилось на БОК-1. Как и РД, СС проектировался под тогда ещё новый двигатель М-34. Что касается БНК, то там работа над проектом высотного самолёта была поручена С.А.Лавочкину. Самолёт, получивший обозначение БНК4 (БНК-4), проектировался полностью заново. Согласно данным, приведённым в докладе начальника Глававиапрома П.И.Баранова предположительно от октября 1932 г. [РГАЭ Ф. 8328 оп. 1 д. 702 лл. 21-25], это был цельнометаллический низкоплан двухбалочной схемы с фюзеляжной гондолой. Между балками располагалось горизонтальное оперение, посередине которого стоял одиночный киль с рулём направления. В задней части фюзеляжной гондолы располагался мотор с толкающим винтом. Как и на самолёте СС, на БНК-4 предусматривалась герметическая кабина регенерационного типа, которая оснащалась кислородными баллонами для питания воздухом, а также поглотителями углекислоты по типу применявшихся на подводных лодках. Допускался вариант с наддувом кабины от компрессора мотора. Размещение этой «хорошо освещённой» (т.е. с достаточным остеклением) кабины в носовой части фюзеляжа обеспечивало хороший обзор. Экипаж из двух человек размещался в тандем. Герметичная кабина из высокопрочной стали представляла собой набор шпангоутов и стрингеров, к которым на электросварке крепилась обшивка из стальных листов. В этом заключалось отличие от концепции СС с его вкладной гермокабиной. Выводы управления самолётом и мотором через стенки кабины осуществлялись посредством воздушных цилиндров, поддерживаемых под постоянным давлением благодаря компрессору, работавшему от ветрянки, расположенной под кабиной. Первоначально проект БНК-4 разрабатывался под двигатель М-17 мощностью 500 л.с. с двухступенчатым центробежным нагнетателем, приводимым в действие паровой турбиной. Источником пара должен был служить паровой котёл, работающий от системы охлаждения двигателя, а также от подогрева выхлопными газами. Избыток этих газов при включении второй ступени нагнетателя (на высоте свыше 6500 м) работал непосредственно на турбину. Верхняя обшивка цельнометаллического крыла выполнялась двойной для конденсации выходящего из турбины пара. Металлический воздушный винт постоянного шага диаметром 4 м имел гидравлический привод от мотора. Был сделан выбор в пользу винта с переменной скоростью вращения, для которого требовалось разработать коробку передач. В дальнейшем мог быть установлен винт изменяемого шага. Самолёт имел неубираемое шасси с широкой колеёй и тормозными колёсами. Расчётные характеристики: площадь крыла – 45 м2 , полётный вес – 2300 кг, мощность двигателя 500 л.с., максимальная скорость на высоте 12.000 м – 400 км/ч, теоретический потолок – 14500 м, продолжительность полёта – 2 часа. Позднее проект был переработан под двигатель М-34 в сочетании с использованием турбокомпрессора, работающего от выхлопных газов, с соответствующим изменением характеристик самолёта (об этом ниже) (19876).</w:t>
      </w:r>
    </w:p>
    <w:p w14:paraId="06672F84" w14:textId="77777777" w:rsidR="003521B0" w:rsidRPr="00E93F40" w:rsidRDefault="003521B0" w:rsidP="00E93F40">
      <w:pPr>
        <w:shd w:val="clear" w:color="auto" w:fill="FFFFFF"/>
        <w:spacing w:after="0" w:line="240" w:lineRule="auto"/>
        <w:jc w:val="both"/>
        <w:rPr>
          <w:rFonts w:ascii="Times New Roman" w:hAnsi="Times New Roman"/>
          <w:color w:val="000000" w:themeColor="text1"/>
          <w:sz w:val="16"/>
          <w:szCs w:val="16"/>
        </w:rPr>
      </w:pPr>
    </w:p>
    <w:p w14:paraId="3E690946" w14:textId="77777777" w:rsidR="0028738B" w:rsidRPr="00E93F40" w:rsidRDefault="0028738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года Советом Труда и Обороны был утвержден план опытного строительства ВВС, предусматривающий создание самолета-разведчика ЛР на замену Р-5 с летно-техническими данными, удовлетворяющими возросшим требованиям. Работа поручалась конструкторскому коллективу С.А.Кочеригина, входившему в Центральное конструкторское бюро имени В.Р.Менжинского на заводе № 39 (24250).</w:t>
      </w:r>
    </w:p>
    <w:p w14:paraId="5E95A735" w14:textId="77777777" w:rsidR="0028738B" w:rsidRPr="00E93F40" w:rsidRDefault="0028738B" w:rsidP="00E93F40">
      <w:pPr>
        <w:spacing w:after="0" w:line="240" w:lineRule="auto"/>
        <w:jc w:val="both"/>
        <w:rPr>
          <w:rFonts w:ascii="Times New Roman" w:hAnsi="Times New Roman"/>
          <w:color w:val="000000" w:themeColor="text1"/>
          <w:sz w:val="16"/>
          <w:szCs w:val="16"/>
        </w:rPr>
      </w:pPr>
    </w:p>
    <w:p w14:paraId="3F96952C" w14:textId="77777777" w:rsidR="003521B0" w:rsidRPr="00E93F40" w:rsidRDefault="003521B0"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года Постановлением СТО ЦАГИ поручалась разработка истребителей И13-М32, И14-М38 и ДИП-2М34 со сроками выхода на испытания 1 июня, 15 марта и 1 октября 1933года. ДИП планировалось осна</w:t>
      </w:r>
      <w:r w:rsidRPr="00E93F40">
        <w:rPr>
          <w:rFonts w:ascii="Times New Roman" w:hAnsi="Times New Roman"/>
          <w:color w:val="000000" w:themeColor="text1"/>
          <w:sz w:val="16"/>
          <w:szCs w:val="16"/>
        </w:rPr>
        <w:softHyphen/>
        <w:t>стить крупнокалиберной АПК-8, для одномест</w:t>
      </w:r>
      <w:r w:rsidRPr="00E93F40">
        <w:rPr>
          <w:rFonts w:ascii="Times New Roman" w:hAnsi="Times New Roman"/>
          <w:color w:val="000000" w:themeColor="text1"/>
          <w:sz w:val="16"/>
          <w:szCs w:val="16"/>
        </w:rPr>
        <w:softHyphen/>
        <w:t>ных истребителей рассматривались варианты установки «легких» ДРП калибром 37-45 мм или пулеметного вооружения. Работы по И-13 прекратили через год, а сроки по ДИП и И-14 по ряду причин были сорваны.</w:t>
      </w:r>
    </w:p>
    <w:p w14:paraId="0EE597FF" w14:textId="77777777" w:rsidR="003521B0" w:rsidRPr="00E93F40" w:rsidRDefault="003521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ИП-1 или какой-либо другой одномотор</w:t>
      </w:r>
      <w:r w:rsidRPr="00E93F40">
        <w:rPr>
          <w:rFonts w:ascii="Times New Roman" w:hAnsi="Times New Roman"/>
          <w:color w:val="000000" w:themeColor="text1"/>
          <w:sz w:val="16"/>
          <w:szCs w:val="16"/>
        </w:rPr>
        <w:softHyphen/>
        <w:t>ный истребитель с пушками калибром 76 мм в плане отсутствовал. Не было такой машины и в следующем, откорректированном по поста</w:t>
      </w:r>
      <w:r w:rsidRPr="00E93F40">
        <w:rPr>
          <w:rFonts w:ascii="Times New Roman" w:hAnsi="Times New Roman"/>
          <w:color w:val="000000" w:themeColor="text1"/>
          <w:sz w:val="16"/>
          <w:szCs w:val="16"/>
        </w:rPr>
        <w:softHyphen/>
        <w:t>новлению Реввоенсовета от 17 июля 1933 года, плане опытного самолетостроения.</w:t>
      </w:r>
    </w:p>
    <w:p w14:paraId="1904D167" w14:textId="77777777" w:rsidR="003521B0" w:rsidRPr="00E93F40" w:rsidRDefault="003521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Упор только на ЦАГИ вызывает, мягко говоря, недоумение, тем более, что Дмитрий Павлович Григорович активно продолжал работать по тематике самолетов с ДРП (19933).</w:t>
      </w:r>
    </w:p>
    <w:p w14:paraId="68E225FF" w14:textId="77777777" w:rsidR="003521B0" w:rsidRPr="00E93F40" w:rsidRDefault="003521B0" w:rsidP="00E93F40">
      <w:pPr>
        <w:spacing w:after="0" w:line="240" w:lineRule="auto"/>
        <w:jc w:val="both"/>
        <w:rPr>
          <w:rFonts w:ascii="Times New Roman" w:hAnsi="Times New Roman"/>
          <w:color w:val="000000" w:themeColor="text1"/>
          <w:sz w:val="16"/>
          <w:szCs w:val="16"/>
        </w:rPr>
      </w:pPr>
    </w:p>
    <w:p w14:paraId="46D88FB6" w14:textId="5E19823D" w:rsidR="003521B0" w:rsidRPr="00E93F40" w:rsidRDefault="003521B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 xml:space="preserve">4 июля 1932 КО рассматривала влпрос </w:t>
      </w:r>
      <w:r w:rsidR="003F4A45">
        <w:rPr>
          <w:rFonts w:ascii="Times New Roman" w:hAnsi="Times New Roman"/>
          <w:color w:val="000000" w:themeColor="text1"/>
          <w:sz w:val="16"/>
          <w:szCs w:val="16"/>
          <w:shd w:val="clear" w:color="auto" w:fill="FFFFFF"/>
        </w:rPr>
        <w:t>п</w:t>
      </w:r>
      <w:r w:rsidRPr="00E93F40">
        <w:rPr>
          <w:rFonts w:ascii="Times New Roman" w:hAnsi="Times New Roman"/>
          <w:color w:val="000000" w:themeColor="text1"/>
          <w:sz w:val="16"/>
          <w:szCs w:val="16"/>
          <w:shd w:val="clear" w:color="auto" w:fill="FFFFFF"/>
        </w:rPr>
        <w:t>о опытному самолето- и моторостроению (от 4.7.1932 г.); (№ 1170/ко от 5.7.1932 г.) (21563).</w:t>
      </w:r>
    </w:p>
    <w:p w14:paraId="7D0E1E6B" w14:textId="77777777" w:rsidR="003521B0" w:rsidRPr="00E93F40" w:rsidRDefault="003521B0" w:rsidP="00E93F40">
      <w:pPr>
        <w:spacing w:after="0" w:line="240" w:lineRule="auto"/>
        <w:jc w:val="both"/>
        <w:rPr>
          <w:rFonts w:ascii="Times New Roman" w:hAnsi="Times New Roman"/>
          <w:color w:val="000000" w:themeColor="text1"/>
          <w:sz w:val="16"/>
          <w:szCs w:val="16"/>
        </w:rPr>
      </w:pPr>
    </w:p>
    <w:p w14:paraId="4856864A" w14:textId="77777777" w:rsidR="002C36D8" w:rsidRPr="00E93F40" w:rsidRDefault="002C36D8" w:rsidP="00E93F40">
      <w:pPr>
        <w:tabs>
          <w:tab w:val="left" w:pos="5171"/>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 Планом опытного самолёто- и моторостроения на 1932-34 гг., утверждённым поста</w:t>
      </w:r>
      <w:r w:rsidRPr="00E93F40">
        <w:rPr>
          <w:rFonts w:ascii="Times New Roman" w:hAnsi="Times New Roman"/>
          <w:color w:val="000000" w:themeColor="text1"/>
          <w:sz w:val="16"/>
          <w:szCs w:val="16"/>
        </w:rPr>
        <w:softHyphen/>
        <w:t>новлением Комиссией Обороны, также предусматривалось создание истребителя с мотором воздушного охлаждения М-38, предназначенного для замены устаревшего истребителя И-5.</w:t>
      </w:r>
    </w:p>
    <w:p w14:paraId="3A6A9E7F" w14:textId="77777777" w:rsidR="002C36D8" w:rsidRPr="00E93F40" w:rsidRDefault="002C36D8" w:rsidP="00E93F40">
      <w:pPr>
        <w:tabs>
          <w:tab w:val="left" w:pos="5171"/>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должен был иметь следующие данные:</w:t>
      </w:r>
    </w:p>
    <w:p w14:paraId="274F5145" w14:textId="77777777" w:rsidR="002C36D8" w:rsidRPr="00E93F40" w:rsidRDefault="002C36D8" w:rsidP="00E93F40">
      <w:pPr>
        <w:tabs>
          <w:tab w:val="left" w:pos="5171"/>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применения</w:t>
      </w:r>
      <w:r w:rsidRPr="00E93F40">
        <w:rPr>
          <w:rFonts w:ascii="Times New Roman" w:hAnsi="Times New Roman"/>
          <w:color w:val="000000" w:themeColor="text1"/>
          <w:sz w:val="16"/>
          <w:szCs w:val="16"/>
        </w:rPr>
        <w:tab/>
        <w:t>— 6000 м</w:t>
      </w:r>
    </w:p>
    <w:p w14:paraId="28ED8375" w14:textId="77777777" w:rsidR="002C36D8" w:rsidRPr="00E93F40" w:rsidRDefault="002C36D8" w:rsidP="00E93F40">
      <w:pPr>
        <w:tabs>
          <w:tab w:val="left" w:pos="499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Горизонтальная скорость на высоте 5000 м</w:t>
      </w:r>
      <w:r w:rsidRPr="00E93F40">
        <w:rPr>
          <w:rFonts w:ascii="Times New Roman" w:hAnsi="Times New Roman"/>
          <w:color w:val="000000" w:themeColor="text1"/>
          <w:sz w:val="16"/>
          <w:szCs w:val="16"/>
        </w:rPr>
        <w:tab/>
        <w:t>— 340-400 км/ч</w:t>
      </w:r>
    </w:p>
    <w:p w14:paraId="3AD8EC9B" w14:textId="77777777" w:rsidR="002C36D8" w:rsidRPr="00E93F40" w:rsidRDefault="002C36D8" w:rsidP="00E93F40">
      <w:pPr>
        <w:tabs>
          <w:tab w:val="left" w:pos="499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подъёма на высоту 5000 м</w:t>
      </w:r>
      <w:r w:rsidRPr="00E93F40">
        <w:rPr>
          <w:rFonts w:ascii="Times New Roman" w:hAnsi="Times New Roman"/>
          <w:color w:val="000000" w:themeColor="text1"/>
          <w:sz w:val="16"/>
          <w:szCs w:val="16"/>
        </w:rPr>
        <w:tab/>
        <w:t>— 7-8 мин</w:t>
      </w:r>
    </w:p>
    <w:p w14:paraId="2EF9CCA1" w14:textId="77777777" w:rsidR="002C36D8" w:rsidRPr="00E93F40" w:rsidRDefault="002C36D8" w:rsidP="00E93F40">
      <w:pPr>
        <w:tabs>
          <w:tab w:val="left" w:pos="499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w:t>
      </w:r>
      <w:r w:rsidRPr="00E93F40">
        <w:rPr>
          <w:rFonts w:ascii="Times New Roman" w:hAnsi="Times New Roman"/>
          <w:color w:val="000000" w:themeColor="text1"/>
          <w:sz w:val="16"/>
          <w:szCs w:val="16"/>
        </w:rPr>
        <w:tab/>
        <w:t>— 9000-10000 м</w:t>
      </w:r>
    </w:p>
    <w:p w14:paraId="402BF98E" w14:textId="77777777" w:rsidR="002C36D8" w:rsidRPr="00E93F40" w:rsidRDefault="002C36D8" w:rsidP="00E93F40">
      <w:pPr>
        <w:tabs>
          <w:tab w:val="left" w:pos="499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w:t>
      </w:r>
      <w:r w:rsidRPr="00E93F40">
        <w:rPr>
          <w:rFonts w:ascii="Times New Roman" w:hAnsi="Times New Roman"/>
          <w:color w:val="000000" w:themeColor="text1"/>
          <w:sz w:val="16"/>
          <w:szCs w:val="16"/>
        </w:rPr>
        <w:tab/>
        <w:t>— 90-100 км/ч</w:t>
      </w:r>
    </w:p>
    <w:p w14:paraId="721197D9" w14:textId="77777777" w:rsidR="002C36D8" w:rsidRPr="00E93F40" w:rsidRDefault="002C36D8" w:rsidP="00E93F40">
      <w:pPr>
        <w:tabs>
          <w:tab w:val="left" w:pos="499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w:t>
      </w:r>
      <w:r w:rsidRPr="00E93F40">
        <w:rPr>
          <w:rFonts w:ascii="Times New Roman" w:hAnsi="Times New Roman"/>
          <w:color w:val="000000" w:themeColor="text1"/>
          <w:sz w:val="16"/>
          <w:szCs w:val="16"/>
        </w:rPr>
        <w:tab/>
        <w:t>— 250 км</w:t>
      </w:r>
    </w:p>
    <w:p w14:paraId="27FB42D0" w14:textId="77777777" w:rsidR="002C36D8" w:rsidRPr="00E93F40" w:rsidRDefault="002C36D8" w:rsidP="00E93F40">
      <w:pPr>
        <w:tabs>
          <w:tab w:val="left" w:pos="499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r w:rsidRPr="00E93F40">
        <w:rPr>
          <w:rFonts w:ascii="Times New Roman" w:hAnsi="Times New Roman"/>
          <w:color w:val="000000" w:themeColor="text1"/>
          <w:sz w:val="16"/>
          <w:szCs w:val="16"/>
        </w:rPr>
        <w:tab/>
        <w:t>— лёгкие пулемёты</w:t>
      </w:r>
    </w:p>
    <w:p w14:paraId="6D3EFD73" w14:textId="77777777" w:rsidR="002C36D8" w:rsidRPr="00E93F40" w:rsidRDefault="002C36D8" w:rsidP="00E93F40">
      <w:pPr>
        <w:tabs>
          <w:tab w:val="left" w:pos="499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Калибры бомб</w:t>
      </w:r>
      <w:r w:rsidRPr="00E93F40">
        <w:rPr>
          <w:rFonts w:ascii="Times New Roman" w:hAnsi="Times New Roman"/>
          <w:color w:val="000000" w:themeColor="text1"/>
          <w:sz w:val="16"/>
          <w:szCs w:val="16"/>
        </w:rPr>
        <w:tab/>
        <w:t>— 4 по 10 кг</w:t>
      </w:r>
    </w:p>
    <w:p w14:paraId="248E2774" w14:textId="77777777" w:rsidR="002C36D8" w:rsidRPr="00E93F40" w:rsidRDefault="002C36D8" w:rsidP="00E93F40">
      <w:pPr>
        <w:tabs>
          <w:tab w:val="left" w:pos="499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w:t>
      </w:r>
      <w:r w:rsidRPr="00E93F40">
        <w:rPr>
          <w:rFonts w:ascii="Times New Roman" w:hAnsi="Times New Roman"/>
          <w:color w:val="000000" w:themeColor="text1"/>
          <w:sz w:val="16"/>
          <w:szCs w:val="16"/>
        </w:rPr>
        <w:tab/>
        <w:t>— сварные трубы, сталь</w:t>
      </w:r>
    </w:p>
    <w:p w14:paraId="7C8C5E96" w14:textId="77777777" w:rsidR="002C36D8" w:rsidRPr="00E93F40" w:rsidRDefault="002C36D8" w:rsidP="00E93F40">
      <w:pPr>
        <w:tabs>
          <w:tab w:val="left" w:pos="499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Передача на государственные испытания</w:t>
      </w:r>
      <w:r w:rsidRPr="00E93F40">
        <w:rPr>
          <w:rFonts w:ascii="Times New Roman" w:hAnsi="Times New Roman"/>
          <w:color w:val="000000" w:themeColor="text1"/>
          <w:sz w:val="16"/>
          <w:szCs w:val="16"/>
        </w:rPr>
        <w:tab/>
        <w:t>— 15 марта 1933 г.</w:t>
      </w:r>
    </w:p>
    <w:p w14:paraId="30158B57" w14:textId="77777777" w:rsidR="002C36D8" w:rsidRPr="00E93F40" w:rsidRDefault="002C36D8" w:rsidP="00E93F40">
      <w:pPr>
        <w:spacing w:after="0" w:line="240" w:lineRule="auto"/>
        <w:jc w:val="both"/>
        <w:rPr>
          <w:rFonts w:ascii="Times New Roman" w:hAnsi="Times New Roman"/>
          <w:color w:val="000000" w:themeColor="text1"/>
          <w:sz w:val="16"/>
          <w:szCs w:val="16"/>
        </w:rPr>
      </w:pPr>
    </w:p>
    <w:p w14:paraId="20FE6169"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июля 1932 года КО утвердило план опытного строительства, причем, в своем по</w:t>
      </w:r>
      <w:r w:rsidRPr="00142305">
        <w:rPr>
          <w:rStyle w:val="aff"/>
          <w:rFonts w:ascii="Times New Roman" w:hAnsi="Times New Roman" w:cs="Times New Roman"/>
          <w:color w:val="0070C0"/>
          <w:spacing w:val="0"/>
          <w:sz w:val="16"/>
          <w:szCs w:val="16"/>
        </w:rPr>
        <w:softHyphen/>
        <w:t>становлении особо подчеркнуло, что перво</w:t>
      </w:r>
      <w:r w:rsidRPr="00142305">
        <w:rPr>
          <w:rStyle w:val="aff"/>
          <w:rFonts w:ascii="Times New Roman" w:hAnsi="Times New Roman" w:cs="Times New Roman"/>
          <w:color w:val="0070C0"/>
          <w:spacing w:val="0"/>
          <w:sz w:val="16"/>
          <w:szCs w:val="16"/>
        </w:rPr>
        <w:softHyphen/>
        <w:t>очередной задачей при осуществлении плана опытного самолетостроения считать "соз</w:t>
      </w:r>
      <w:r w:rsidRPr="00142305">
        <w:rPr>
          <w:rStyle w:val="aff"/>
          <w:rFonts w:ascii="Times New Roman" w:hAnsi="Times New Roman" w:cs="Times New Roman"/>
          <w:color w:val="0070C0"/>
          <w:spacing w:val="0"/>
          <w:sz w:val="16"/>
          <w:szCs w:val="16"/>
        </w:rPr>
        <w:softHyphen/>
        <w:t>дание типов вполне современных истребите</w:t>
      </w:r>
      <w:r w:rsidRPr="00142305">
        <w:rPr>
          <w:rStyle w:val="aff"/>
          <w:rFonts w:ascii="Times New Roman" w:hAnsi="Times New Roman" w:cs="Times New Roman"/>
          <w:color w:val="0070C0"/>
          <w:spacing w:val="0"/>
          <w:sz w:val="16"/>
          <w:szCs w:val="16"/>
        </w:rPr>
        <w:softHyphen/>
        <w:t>лей одноместных. Двухместных и многомест</w:t>
      </w:r>
      <w:r w:rsidRPr="00142305">
        <w:rPr>
          <w:rStyle w:val="aff"/>
          <w:rFonts w:ascii="Times New Roman" w:hAnsi="Times New Roman" w:cs="Times New Roman"/>
          <w:color w:val="0070C0"/>
          <w:spacing w:val="0"/>
          <w:sz w:val="16"/>
          <w:szCs w:val="16"/>
        </w:rPr>
        <w:softHyphen/>
        <w:t>ных". Это план опытного строительства, утвержденный КО, обязывал НКТПром скон</w:t>
      </w:r>
      <w:r w:rsidRPr="00142305">
        <w:rPr>
          <w:rStyle w:val="aff"/>
          <w:rFonts w:ascii="Times New Roman" w:hAnsi="Times New Roman" w:cs="Times New Roman"/>
          <w:color w:val="0070C0"/>
          <w:spacing w:val="0"/>
          <w:sz w:val="16"/>
          <w:szCs w:val="16"/>
        </w:rPr>
        <w:softHyphen/>
        <w:t>струировать, построить и предъявить на госиспытания:</w:t>
      </w:r>
    </w:p>
    <w:p w14:paraId="59EBB1F0" w14:textId="77777777" w:rsidR="003F4A45" w:rsidRPr="00142305" w:rsidRDefault="003F4A45" w:rsidP="003F4A45">
      <w:pPr>
        <w:widowControl w:val="0"/>
        <w:tabs>
          <w:tab w:val="left" w:pos="505"/>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а) одноместный истребитель И-13 к 1 июня 1933 года со скоростью 350-400 км/час на высоте 5000 м с подъемом на эту высоту в 7-8 минут, вооруженный 4 легкими пулемета</w:t>
      </w:r>
      <w:r w:rsidRPr="00142305">
        <w:rPr>
          <w:rStyle w:val="aff"/>
          <w:rFonts w:ascii="Times New Roman" w:hAnsi="Times New Roman" w:cs="Times New Roman"/>
          <w:color w:val="0070C0"/>
          <w:spacing w:val="0"/>
          <w:sz w:val="16"/>
          <w:szCs w:val="16"/>
        </w:rPr>
        <w:softHyphen/>
        <w:t>ми;</w:t>
      </w:r>
    </w:p>
    <w:p w14:paraId="42163840" w14:textId="77777777" w:rsidR="003F4A45" w:rsidRPr="00142305" w:rsidRDefault="003F4A45" w:rsidP="003F4A45">
      <w:pPr>
        <w:widowControl w:val="0"/>
        <w:tabs>
          <w:tab w:val="left" w:pos="505"/>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 одноместный истребитель И-14 к 15 марта 1933 года со скоростью 340-400 км/час на высоте 5000 м с подъемом на эту высоту в 7-8 минут, вооруженный 4 легкими пулемета</w:t>
      </w:r>
      <w:r w:rsidRPr="00142305">
        <w:rPr>
          <w:rStyle w:val="aff"/>
          <w:rFonts w:ascii="Times New Roman" w:hAnsi="Times New Roman" w:cs="Times New Roman"/>
          <w:color w:val="0070C0"/>
          <w:spacing w:val="0"/>
          <w:sz w:val="16"/>
          <w:szCs w:val="16"/>
        </w:rPr>
        <w:softHyphen/>
        <w:t>ми;</w:t>
      </w:r>
    </w:p>
    <w:p w14:paraId="6978D6F3" w14:textId="77777777" w:rsidR="003F4A45" w:rsidRPr="00142305" w:rsidRDefault="003F4A45" w:rsidP="003F4A45">
      <w:pPr>
        <w:widowControl w:val="0"/>
        <w:tabs>
          <w:tab w:val="left" w:pos="505"/>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двухместный истребитель ДИ-6 к 1 июня 1933 года со скоростью 350-375 км/час с подъемом на высоту 5000 м в 9 минут, воору</w:t>
      </w:r>
      <w:r w:rsidRPr="00142305">
        <w:rPr>
          <w:rStyle w:val="aff"/>
          <w:rFonts w:ascii="Times New Roman" w:hAnsi="Times New Roman" w:cs="Times New Roman"/>
          <w:color w:val="0070C0"/>
          <w:spacing w:val="0"/>
          <w:sz w:val="16"/>
          <w:szCs w:val="16"/>
        </w:rPr>
        <w:softHyphen/>
        <w:t>женный двумя тяжелыми и двумя легкими пу</w:t>
      </w:r>
      <w:r w:rsidRPr="00142305">
        <w:rPr>
          <w:rStyle w:val="aff"/>
          <w:rFonts w:ascii="Times New Roman" w:hAnsi="Times New Roman" w:cs="Times New Roman"/>
          <w:color w:val="0070C0"/>
          <w:spacing w:val="0"/>
          <w:sz w:val="16"/>
          <w:szCs w:val="16"/>
        </w:rPr>
        <w:softHyphen/>
        <w:t>леметами;</w:t>
      </w:r>
    </w:p>
    <w:p w14:paraId="5BDB111A" w14:textId="77777777" w:rsidR="003F4A45" w:rsidRPr="00142305" w:rsidRDefault="003F4A45" w:rsidP="003F4A45">
      <w:pPr>
        <w:widowControl w:val="0"/>
        <w:tabs>
          <w:tab w:val="left" w:pos="495"/>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г) двухместный истребитель пушечный ДИП под 2 М34 к 1 октября 1933 года со скоро</w:t>
      </w:r>
      <w:r w:rsidRPr="00142305">
        <w:rPr>
          <w:rStyle w:val="aff"/>
          <w:rFonts w:ascii="Times New Roman" w:hAnsi="Times New Roman" w:cs="Times New Roman"/>
          <w:color w:val="0070C0"/>
          <w:spacing w:val="0"/>
          <w:sz w:val="16"/>
          <w:szCs w:val="16"/>
        </w:rPr>
        <w:softHyphen/>
        <w:t>стью 325 км/час на высоте 5000 м с подъемом на эту высоту в 15-18 минут;</w:t>
      </w:r>
    </w:p>
    <w:p w14:paraId="7E2BF0B4" w14:textId="77777777" w:rsidR="003F4A45" w:rsidRPr="00142305" w:rsidRDefault="003F4A45" w:rsidP="003F4A45">
      <w:pPr>
        <w:widowControl w:val="0"/>
        <w:tabs>
          <w:tab w:val="left" w:pos="500"/>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 многоместный истребитель МИ3 под 2 М34 к 1 января 1934 года со скоростью 300 км/час на 5000 м и подъемом на эту высоту в 15-18 минут, вооруженный 6 пулеметами и 1 автоматической пушкой.</w:t>
      </w:r>
    </w:p>
    <w:p w14:paraId="76BE168F" w14:textId="77777777" w:rsidR="003F4A45" w:rsidRPr="00142305" w:rsidRDefault="003F4A45" w:rsidP="003F4A4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Несмотря на всю категоричность этого решения, ни один из перечисленных типов са</w:t>
      </w:r>
      <w:r w:rsidRPr="00142305">
        <w:rPr>
          <w:rStyle w:val="aff"/>
          <w:rFonts w:ascii="Times New Roman" w:hAnsi="Times New Roman" w:cs="Times New Roman"/>
          <w:color w:val="0070C0"/>
          <w:spacing w:val="0"/>
          <w:sz w:val="16"/>
          <w:szCs w:val="16"/>
        </w:rPr>
        <w:softHyphen/>
        <w:t>молетов истребителей на госиспытания не предъявлен, кроме И-14, который поступил в конце декабря 1933 года вместо 15 марта 1933 года и то под английский мотор Бри</w:t>
      </w:r>
      <w:r w:rsidRPr="00142305">
        <w:rPr>
          <w:rStyle w:val="aff"/>
          <w:rFonts w:ascii="Times New Roman" w:hAnsi="Times New Roman" w:cs="Times New Roman"/>
          <w:color w:val="0070C0"/>
          <w:spacing w:val="0"/>
          <w:sz w:val="16"/>
          <w:szCs w:val="16"/>
        </w:rPr>
        <w:softHyphen/>
        <w:t>столь-Юпитер, имеющийся во всем Союзе в одном экземпляре (25519).</w:t>
      </w:r>
    </w:p>
    <w:p w14:paraId="75745ED0" w14:textId="77777777" w:rsidR="003F4A45" w:rsidRPr="00142305" w:rsidRDefault="003F4A45" w:rsidP="003F4A45">
      <w:pPr>
        <w:spacing w:after="0" w:line="240" w:lineRule="auto"/>
        <w:jc w:val="both"/>
        <w:rPr>
          <w:rFonts w:ascii="Times New Roman" w:hAnsi="Times New Roman"/>
          <w:color w:val="0070C0"/>
          <w:sz w:val="16"/>
          <w:szCs w:val="16"/>
        </w:rPr>
      </w:pPr>
    </w:p>
    <w:p w14:paraId="0C663CF0"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июля 1932 г. правительство утвердило план работ по опытному строительству самолетов на 1932–1933 гг. Перед ЦАГИ были поставлены задачи по созданию новых образцов тяжелых бомбардировщиков, одноместных и многоместных истребителей и других типов самолетов.</w:t>
      </w:r>
    </w:p>
    <w:p w14:paraId="493C81E7"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плану бригаде № 3 КОСОС надлежало спроектировать, построить и передать на госиспытания: истребитель И-14 М-38, или АНТ-31, к 15 марта 1933 года; истребитель И-13 М-32, или АНТ-32, к 1 июня 1933 г.; двухместный пушечный истребитель ДИП 2М-34, или АНТ-29, к 1 октября 1933 г. В качестве дополнительного задания переходил доставшийся по «наследству» от В.Н. Чернышева, недостроенный истребитель И-12бис 2М-22, или АНТ-23 «Бауманский комсомолец» (25667).</w:t>
      </w:r>
    </w:p>
    <w:p w14:paraId="31505608" w14:textId="77777777" w:rsidR="003F4A45" w:rsidRPr="00142305" w:rsidRDefault="003F4A45" w:rsidP="003F4A45">
      <w:pPr>
        <w:spacing w:after="0" w:line="240" w:lineRule="auto"/>
        <w:jc w:val="both"/>
        <w:rPr>
          <w:rFonts w:ascii="Times New Roman" w:hAnsi="Times New Roman"/>
          <w:color w:val="0070C0"/>
          <w:sz w:val="16"/>
          <w:szCs w:val="16"/>
        </w:rPr>
      </w:pPr>
    </w:p>
    <w:p w14:paraId="2793344F" w14:textId="77777777" w:rsidR="003F4A45" w:rsidRPr="00142305" w:rsidRDefault="003F4A45" w:rsidP="003F4A4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4 июля 1932 года был утвер</w:t>
      </w:r>
      <w:r w:rsidRPr="00142305">
        <w:rPr>
          <w:rStyle w:val="aff"/>
          <w:rFonts w:ascii="Times New Roman" w:hAnsi="Times New Roman" w:cs="Times New Roman"/>
          <w:color w:val="0070C0"/>
          <w:spacing w:val="0"/>
          <w:sz w:val="16"/>
          <w:szCs w:val="16"/>
        </w:rPr>
        <w:softHyphen/>
        <w:t>жден скромный перечень перспективных истребителей, включенных в план опытного моторо- и само</w:t>
      </w:r>
      <w:r w:rsidRPr="00142305">
        <w:rPr>
          <w:rStyle w:val="aff"/>
          <w:rFonts w:ascii="Times New Roman" w:hAnsi="Times New Roman" w:cs="Times New Roman"/>
          <w:color w:val="0070C0"/>
          <w:spacing w:val="0"/>
          <w:sz w:val="16"/>
          <w:szCs w:val="16"/>
        </w:rPr>
        <w:softHyphen/>
        <w:t>летостроения на 1932-34 годы. По сути, в нем присутствовали только два самолета – И-14 и И-15, по три разных типа моторов – «Бристоль-Меркюр, Райт-Циклон» и отече</w:t>
      </w:r>
      <w:r w:rsidRPr="00142305">
        <w:rPr>
          <w:rStyle w:val="aff"/>
          <w:rFonts w:ascii="Times New Roman" w:hAnsi="Times New Roman" w:cs="Times New Roman"/>
          <w:color w:val="0070C0"/>
          <w:spacing w:val="0"/>
          <w:sz w:val="16"/>
          <w:szCs w:val="16"/>
        </w:rPr>
        <w:softHyphen/>
        <w:t>ственный М-58. Николай Николаевич и его бригада № 2 ЦКБ-39 отвечала за создание И- 15. Нумерацию проектов в новой реинкарнации ЦКБ начали с единицы, индекс ЦКБ-1 получил разведчик ЛР С.А. Кочеригина. И-15 имел шифр ЦКБ-3. Постройка первого опыт</w:t>
      </w:r>
      <w:r w:rsidRPr="00142305">
        <w:rPr>
          <w:rStyle w:val="aff"/>
          <w:rFonts w:ascii="Times New Roman" w:hAnsi="Times New Roman" w:cs="Times New Roman"/>
          <w:color w:val="0070C0"/>
          <w:spacing w:val="0"/>
          <w:sz w:val="16"/>
          <w:szCs w:val="16"/>
        </w:rPr>
        <w:softHyphen/>
        <w:t>ного образца завершилась в начале октября 1933 года, и 23 октября В.П. Чкалов совер</w:t>
      </w:r>
      <w:r w:rsidRPr="00142305">
        <w:rPr>
          <w:rStyle w:val="aff"/>
          <w:rFonts w:ascii="Times New Roman" w:hAnsi="Times New Roman" w:cs="Times New Roman"/>
          <w:color w:val="0070C0"/>
          <w:spacing w:val="0"/>
          <w:sz w:val="16"/>
          <w:szCs w:val="16"/>
        </w:rPr>
        <w:softHyphen/>
        <w:t>шил на истребителе первый полет.</w:t>
      </w:r>
    </w:p>
    <w:p w14:paraId="554A888C" w14:textId="77777777" w:rsidR="003F4A45" w:rsidRPr="00142305" w:rsidRDefault="003F4A45" w:rsidP="003F4A4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Н.Н. Поликарпов был достаточно хорошо знаком с проектом И-14 Туполева-Сухого и во многом не разделял заложенные в нем идеи и технические решения. Им в инициативном порядке была начата разработка проекта истребителя-моноплана под внутризавод</w:t>
      </w:r>
      <w:r w:rsidRPr="00142305">
        <w:rPr>
          <w:rStyle w:val="aff"/>
          <w:rFonts w:ascii="Times New Roman" w:hAnsi="Times New Roman" w:cs="Times New Roman"/>
          <w:color w:val="0070C0"/>
          <w:spacing w:val="0"/>
          <w:sz w:val="16"/>
          <w:szCs w:val="16"/>
        </w:rPr>
        <w:softHyphen/>
        <w:t xml:space="preserve">ским кодом ЦКБ-12, получившего у военных обозначение И-16. Самолет проектировали под американский мотор «Райт-Циклон»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(25519).</w:t>
      </w:r>
    </w:p>
    <w:p w14:paraId="27655880" w14:textId="77777777" w:rsidR="003F4A45" w:rsidRPr="00142305" w:rsidRDefault="003F4A45" w:rsidP="003F4A45">
      <w:pPr>
        <w:spacing w:after="0" w:line="240" w:lineRule="auto"/>
        <w:jc w:val="both"/>
        <w:rPr>
          <w:rStyle w:val="aff"/>
          <w:rFonts w:ascii="Times New Roman" w:hAnsi="Times New Roman" w:cs="Times New Roman"/>
          <w:color w:val="0070C0"/>
          <w:spacing w:val="0"/>
          <w:sz w:val="16"/>
          <w:szCs w:val="16"/>
        </w:rPr>
      </w:pPr>
    </w:p>
    <w:p w14:paraId="65B47E52" w14:textId="77777777" w:rsidR="003F4A45" w:rsidRPr="00E93F40" w:rsidRDefault="003F4A45" w:rsidP="003F4A45">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года Совет Труда и Обороны поручил проектирование и строительство войскового самолета коллективу Харьковского авиационного завода опытного и серийного самолетостроения (ХАЗОСС) во главе с директором и главным конструктором К. А. Калининым. Предполагалось, что ВС-2 сможет длительное время находиться во фронтовом небе и выполнять функции легкого бомбардировщика, войскового разведчика, корректировщика, фотосъемщика, а если нужно, то и транспортно-санитарного самолета. Максимальная скорость машины должна была составлять 250 км/ч на высоте 3000 м, радиус действия 350 км, бомбовая нагрузка 300 кг (15552).</w:t>
      </w:r>
    </w:p>
    <w:p w14:paraId="585EFFBB" w14:textId="77777777" w:rsidR="003F4A45" w:rsidRPr="00E93F40" w:rsidRDefault="003F4A45" w:rsidP="003F4A45">
      <w:pPr>
        <w:spacing w:after="0" w:line="240" w:lineRule="auto"/>
        <w:jc w:val="both"/>
        <w:rPr>
          <w:rFonts w:ascii="Times New Roman" w:hAnsi="Times New Roman"/>
          <w:color w:val="000000" w:themeColor="text1"/>
          <w:sz w:val="16"/>
          <w:szCs w:val="16"/>
        </w:rPr>
      </w:pPr>
    </w:p>
    <w:p w14:paraId="2771F9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"войсковой самолет" - многоцелевой - под индексом ВС-2 был включен СТО в план опытного самолетостроения. Поручено ХАЗОС и стал К-12 Функции легкого (в т.ч. химического) бомбардировщика, войскового разведчика, корректировщика, фотосъемщика, транспортно-санитарной машины (70,257).</w:t>
      </w:r>
    </w:p>
    <w:p w14:paraId="5A6CF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КО от 4.07.32 г. по опытному самолето-моторостроению.</w:t>
      </w:r>
    </w:p>
    <w:p w14:paraId="21C9A4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Доводка и развитие М34 (редуктор, нагнетатель, реверс, однорядный, облегченный) (3082).</w:t>
      </w:r>
    </w:p>
    <w:p w14:paraId="4FACF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 гос. испытания мотора М34 с редуктором по плану 15.11.32 г. и на заводские испытания - 15.09.32 г.</w:t>
      </w:r>
    </w:p>
    <w:p w14:paraId="390347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построен, прошел 100-часовое заводское испытание. Будет предъявлен на гос. испытания в апреле 1933 г.</w:t>
      </w:r>
    </w:p>
    <w:p w14:paraId="4DD08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на гос. испытание мотора М34 с нагнетателем по плану - 15.06.1932 г</w:t>
      </w:r>
    </w:p>
    <w:p w14:paraId="5444A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построен и поставлен на заводские испытания 22.07.32 г. (3082).</w:t>
      </w:r>
    </w:p>
    <w:p w14:paraId="6848AC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FD0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В проектной части ХАЗОСС начаты работы над конструкторской документацией самолета К-12 (10674).</w:t>
      </w:r>
    </w:p>
    <w:p w14:paraId="75023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83B7DF" w14:textId="79DD9429" w:rsidR="009C4227" w:rsidRPr="00E93F40" w:rsidRDefault="009C422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4 июля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вышло постановление Комитета Обороны по Созданию самолёта, получившего обозначение СС («стратосферный самолёт»), а позднее БОК-1.Так как конструктивные требования к высотным и дальним самолётам близки (большой размах крыла, невысокая нагрузка на крыло, хорошее аэродинамическое качество), по схеме СС был похож на строящийся в ЦАГИ моноплан «Рекорд дальности» (АНТ-25), но имел меньшие размеры. Принципиальными новшествами являлось применение гермокабины и высотной силовой установки. По предварительным оценкам, при моторе М-34 с двухступенчатым нагнетателем конструкции Центрального института авиационного моторостроения (ЦИАМ) самолёт должен был иметь потолок 16</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максимальную скорость на этой высоте 300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 дальность полёта— 1100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Срок готовности — 4-й квартал 1933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(17489).</w:t>
      </w:r>
    </w:p>
    <w:p w14:paraId="0831E71E" w14:textId="77777777" w:rsidR="009C4227" w:rsidRPr="00E93F40" w:rsidRDefault="009C4227" w:rsidP="00E93F40">
      <w:pPr>
        <w:spacing w:after="0" w:line="240" w:lineRule="auto"/>
        <w:jc w:val="both"/>
        <w:rPr>
          <w:rFonts w:ascii="Times New Roman" w:eastAsia="Times New Roman" w:hAnsi="Times New Roman"/>
          <w:color w:val="000000" w:themeColor="text1"/>
          <w:sz w:val="16"/>
          <w:szCs w:val="16"/>
          <w:lang w:eastAsia="ru-RU"/>
        </w:rPr>
      </w:pPr>
    </w:p>
    <w:p w14:paraId="7D7C1C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И.П.Фортиков из ГИРД писал Циолковскому "наши опытные работы по самолету-ракетоплану ГИРД-РП-1 подходят к концу. Конструкция самолета бесхвостого типа (треугольник) инж. Б.И.Черановского закончена и испытана в качестве плана на обыкновенном авиационном моторе. Показатели блестящие. РД Ф.В.Цандера ныне в работе" (352,18).</w:t>
      </w:r>
    </w:p>
    <w:p w14:paraId="1D51BF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30DF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года постановление комиссии обороны</w:t>
      </w:r>
    </w:p>
    <w:p w14:paraId="41ED8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опытному самолето- и моторостроению</w:t>
      </w:r>
    </w:p>
    <w:p w14:paraId="50F947F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прилагаемый план по опытному самолето- моторостроению утвердить.</w:t>
      </w:r>
    </w:p>
    <w:p w14:paraId="064A18C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Первоочередными задачами опытного строительства считать:</w:t>
      </w:r>
    </w:p>
    <w:p w14:paraId="63A59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моторостроению:</w:t>
      </w:r>
    </w:p>
    <w:p w14:paraId="6200E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589D61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создание типов истребительных моторов М-38 воздушного охлаждения и особенные М-32 – водяного охлаждения;</w:t>
      </w:r>
    </w:p>
    <w:p w14:paraId="28AC3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мощных авиадизелей;</w:t>
      </w:r>
    </w:p>
    <w:p w14:paraId="72F1B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3D61B6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обязать особое конструкторское бюро продолжать работу по ФЭДу, представив этот мотор на госиспытания к 1 сентября 1932 года;</w:t>
      </w:r>
    </w:p>
    <w:p w14:paraId="6893D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 связи с особым значением М-44, в плане опытного строительства, откомандировать в ЦИАМ: из ОКБ – Стечкина, Добрынина, Суслова и из НКТПрома – Серенсена, Пивоварова, Петрова, Кирсанова.</w:t>
      </w:r>
    </w:p>
    <w:p w14:paraId="09A321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525A6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создание типов вполне современных истребителей одно- двухместных;</w:t>
      </w:r>
    </w:p>
    <w:p w14:paraId="70A572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форсирование работ по постройке образцов тяжелого бомбардировщика (ТБ-4);</w:t>
      </w:r>
    </w:p>
    <w:p w14:paraId="16204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морских лодочных самолетов (МК1, МДР3 и др.).</w:t>
      </w:r>
    </w:p>
    <w:p w14:paraId="6F116E2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Признавая необходимой передачу НКВМором квалифицированных специалистов для усиления ЦАГИ, поручить Ворошилову и Баранову составить список передаваемых в НКТП специалистов.</w:t>
      </w:r>
    </w:p>
    <w:p w14:paraId="0ABAB91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НКТП обеспечить выполнение плана, выделением необходимого импортного и отечественного оборудования, материалами и денежными средствами.</w:t>
      </w:r>
    </w:p>
    <w:p w14:paraId="385A62F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Вменить в обязанность ГУГВФ организовать в своих конструкторских бюро работу по переконструированию военных самолетов для нужд гражданского воздушного флота и производить переделки их на своих предприятиях.</w:t>
      </w:r>
    </w:p>
    <w:p w14:paraId="7E939AD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Работников ЦАГИ и ЦИАМа приравнять к военнопроизводственникам и всех подлежащих призыву на действительную службу оставить в ЦАГИ и ЦИАМе.</w:t>
      </w:r>
    </w:p>
    <w:p w14:paraId="7FA8D0C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развертывания отдела эксплуатации летных испытаний и морской базы ЦАГИ обязать НКВМ отвести:</w:t>
      </w:r>
    </w:p>
    <w:p w14:paraId="0A5F0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Ходынском аэродроме в Москве часть территории, принадлежащей Артскладу – к 1 октября 1932 года;</w:t>
      </w:r>
    </w:p>
    <w:p w14:paraId="7B3910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Орлову (УВМС), обеспечить ЦАГИ возможность производства опытов и испытаний на море в Севастополе (7429, 82-83).</w:t>
      </w:r>
    </w:p>
    <w:p w14:paraId="574A3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A4B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года Постановление Комиссии обороны по опытному самолето- и моторостроению</w:t>
      </w:r>
    </w:p>
    <w:p w14:paraId="4D5505D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Предлагаемый план по опытному самолето- и моторостроению утвердить.</w:t>
      </w:r>
    </w:p>
    <w:p w14:paraId="51CD4B7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Первоочередными задачами опытного строительства считать:</w:t>
      </w:r>
    </w:p>
    <w:p w14:paraId="4BD3F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 моторостроению:</w:t>
      </w:r>
    </w:p>
    <w:p w14:paraId="1D6E07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21344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создание типов истребительных моторов М-38 воздушного охлаждения и особенно М-32 водяного охлаждения;</w:t>
      </w:r>
    </w:p>
    <w:p w14:paraId="6C94E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мощных авиадизелей;</w:t>
      </w:r>
    </w:p>
    <w:p w14:paraId="26685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0B271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обязать Особое КБ продолжать работу по ФЭДу, представив этот мотор на гос. испытания к 1 сентября 1932 года;</w:t>
      </w:r>
    </w:p>
    <w:p w14:paraId="760CA6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 связи с особым значением М-44 в плане опытного строительства откомандировать из ОКБ в ЦИАМ Стечкина, Добрынина, Суслова и из НКТП – Серенсена, Пивоварова, Петрова, Кирсанова.</w:t>
      </w:r>
    </w:p>
    <w:p w14:paraId="5E65A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7C3ACB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76A2F3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форсирование работ по постройке образцов тяжелого бомбардировщика (ТБ-4);</w:t>
      </w:r>
    </w:p>
    <w:p w14:paraId="64661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морских лодочных самолетов (МК1, МДР3 и др.).</w:t>
      </w:r>
    </w:p>
    <w:p w14:paraId="3BCE78F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Признавая необходимой передачу НКВМором квалифицированных специалистов для усиления ЦАГИ, поручить Ворошилову и Баранову составить список передаваемых в НКТП специалистов.</w:t>
      </w:r>
    </w:p>
    <w:p w14:paraId="7B02C7A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НКТП обеспечить выполнение плана выделением необходимого импортного и отечественного оборудования, материалами и денежными средствами.</w:t>
      </w:r>
    </w:p>
    <w:p w14:paraId="34B27FE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Вменить в обязанность ГУГВФ организовать в своих КБ работу по переконструированию военных самолетов для нужд гражданского воздушного флота и производить переделки их на своих предприятиях.</w:t>
      </w:r>
    </w:p>
    <w:p w14:paraId="3EE09A5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Работников ЦАГИ и ЦИАМа приравнять к военнопроизводственникам и всех подлежащих к призыву на военную службу оставить в ЦАГИ и ЦИАМе.</w:t>
      </w:r>
    </w:p>
    <w:p w14:paraId="498E50B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развертывания отдела эксплуатации летных испытаний и морской базы ЦАГИ обязать НКВМ отвести:</w:t>
      </w:r>
    </w:p>
    <w:p w14:paraId="73BAD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Ходынском аэродроме в Москве часть территории, принадлежащей артскладу к 1 октября 1932 года;</w:t>
      </w:r>
    </w:p>
    <w:p w14:paraId="614AB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Орлову (УВМС) обеспечить ЦАГИ возможность производства опытов и испытаний на море в Севастополе (7417, 8).</w:t>
      </w:r>
    </w:p>
    <w:p w14:paraId="0B08D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CE18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Правительство рассмотрело план опытного самолето-моторостроения и свои постановлением внесло в проект некоторые изменения (351).</w:t>
      </w:r>
    </w:p>
    <w:p w14:paraId="398F08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42D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Правительство утвердило план опытного моторо- и самолетостроения (2305).</w:t>
      </w:r>
    </w:p>
    <w:p w14:paraId="036F96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опытного строительства на 1932-1934 (по плану, утвержденному М.Н.Тухачевским, доработанным и принятым Правительством 4 июля 1932)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701"/>
        <w:gridCol w:w="1046"/>
        <w:gridCol w:w="1476"/>
        <w:gridCol w:w="1197"/>
        <w:gridCol w:w="2096"/>
      </w:tblGrid>
      <w:tr w:rsidR="00DA227A" w:rsidRPr="00E93F40" w14:paraId="5497DD09" w14:textId="77777777">
        <w:tc>
          <w:tcPr>
            <w:tcW w:w="3085" w:type="dxa"/>
          </w:tcPr>
          <w:p w14:paraId="6AFBC2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1701" w:type="dxa"/>
          </w:tcPr>
          <w:p w14:paraId="5757F7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w:t>
            </w:r>
          </w:p>
        </w:tc>
        <w:tc>
          <w:tcPr>
            <w:tcW w:w="1046" w:type="dxa"/>
          </w:tcPr>
          <w:p w14:paraId="64CE2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1476" w:type="dxa"/>
          </w:tcPr>
          <w:p w14:paraId="54A397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w:t>
            </w:r>
          </w:p>
        </w:tc>
        <w:tc>
          <w:tcPr>
            <w:tcW w:w="1197" w:type="dxa"/>
          </w:tcPr>
          <w:p w14:paraId="230A3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Заменяет</w:t>
            </w:r>
          </w:p>
        </w:tc>
        <w:tc>
          <w:tcPr>
            <w:tcW w:w="2096" w:type="dxa"/>
          </w:tcPr>
          <w:p w14:paraId="5919F9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Примечания</w:t>
            </w:r>
          </w:p>
        </w:tc>
      </w:tr>
      <w:tr w:rsidR="00DA227A" w:rsidRPr="00E93F40" w14:paraId="6F43B52A" w14:textId="77777777">
        <w:tc>
          <w:tcPr>
            <w:tcW w:w="3085" w:type="dxa"/>
          </w:tcPr>
          <w:p w14:paraId="61078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плановые:</w:t>
            </w:r>
          </w:p>
        </w:tc>
        <w:tc>
          <w:tcPr>
            <w:tcW w:w="1701" w:type="dxa"/>
          </w:tcPr>
          <w:p w14:paraId="79D49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6ADCDF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366A2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1859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D58B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23E08B" w14:textId="77777777">
        <w:tc>
          <w:tcPr>
            <w:tcW w:w="3085" w:type="dxa"/>
          </w:tcPr>
          <w:p w14:paraId="138A0C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Тяжелый бомбовоз</w:t>
            </w:r>
          </w:p>
        </w:tc>
        <w:tc>
          <w:tcPr>
            <w:tcW w:w="1701" w:type="dxa"/>
          </w:tcPr>
          <w:p w14:paraId="321B3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 Оп.</w:t>
            </w:r>
          </w:p>
        </w:tc>
        <w:tc>
          <w:tcPr>
            <w:tcW w:w="1046" w:type="dxa"/>
          </w:tcPr>
          <w:p w14:paraId="59D58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01.11.1932</w:t>
            </w:r>
          </w:p>
        </w:tc>
        <w:tc>
          <w:tcPr>
            <w:tcW w:w="1476" w:type="dxa"/>
          </w:tcPr>
          <w:p w14:paraId="6F5B3A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1197" w:type="dxa"/>
          </w:tcPr>
          <w:p w14:paraId="19F02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2096" w:type="dxa"/>
          </w:tcPr>
          <w:p w14:paraId="2D837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w:t>
            </w:r>
          </w:p>
        </w:tc>
      </w:tr>
      <w:tr w:rsidR="00DA227A" w:rsidRPr="00E93F40" w14:paraId="56868C4D" w14:textId="77777777">
        <w:tc>
          <w:tcPr>
            <w:tcW w:w="3085" w:type="dxa"/>
          </w:tcPr>
          <w:p w14:paraId="2669FD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B36A7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0AC97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15.05.1933</w:t>
            </w:r>
          </w:p>
        </w:tc>
        <w:tc>
          <w:tcPr>
            <w:tcW w:w="1476" w:type="dxa"/>
          </w:tcPr>
          <w:p w14:paraId="6E272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EF3D8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BD85D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12245E" w14:textId="77777777">
        <w:tc>
          <w:tcPr>
            <w:tcW w:w="3085" w:type="dxa"/>
          </w:tcPr>
          <w:p w14:paraId="02C13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Тяжелый бомбовоз</w:t>
            </w:r>
          </w:p>
        </w:tc>
        <w:tc>
          <w:tcPr>
            <w:tcW w:w="1701" w:type="dxa"/>
          </w:tcPr>
          <w:p w14:paraId="49BFC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 Гол.</w:t>
            </w:r>
          </w:p>
        </w:tc>
        <w:tc>
          <w:tcPr>
            <w:tcW w:w="1046" w:type="dxa"/>
          </w:tcPr>
          <w:p w14:paraId="5DEE3A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01.06.1933</w:t>
            </w:r>
          </w:p>
        </w:tc>
        <w:tc>
          <w:tcPr>
            <w:tcW w:w="1476" w:type="dxa"/>
          </w:tcPr>
          <w:p w14:paraId="174ED0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1197" w:type="dxa"/>
          </w:tcPr>
          <w:p w14:paraId="458F5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2096" w:type="dxa"/>
          </w:tcPr>
          <w:p w14:paraId="28310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плана</w:t>
            </w:r>
          </w:p>
        </w:tc>
      </w:tr>
      <w:tr w:rsidR="00DA227A" w:rsidRPr="00E93F40" w14:paraId="41DAEC4C" w14:textId="77777777">
        <w:tc>
          <w:tcPr>
            <w:tcW w:w="3085" w:type="dxa"/>
          </w:tcPr>
          <w:p w14:paraId="5F0A1B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1CB8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187DE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15.11.1933</w:t>
            </w:r>
          </w:p>
        </w:tc>
        <w:tc>
          <w:tcPr>
            <w:tcW w:w="1476" w:type="dxa"/>
          </w:tcPr>
          <w:p w14:paraId="32520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FE3A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2C8D3F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37C00D" w14:textId="77777777">
        <w:tc>
          <w:tcPr>
            <w:tcW w:w="3085" w:type="dxa"/>
          </w:tcPr>
          <w:p w14:paraId="06A80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701" w:type="dxa"/>
          </w:tcPr>
          <w:p w14:paraId="763EB5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ТБ3-4М34РН</w:t>
            </w:r>
          </w:p>
        </w:tc>
        <w:tc>
          <w:tcPr>
            <w:tcW w:w="1046" w:type="dxa"/>
          </w:tcPr>
          <w:p w14:paraId="5EBC8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01.10.1934</w:t>
            </w:r>
          </w:p>
        </w:tc>
        <w:tc>
          <w:tcPr>
            <w:tcW w:w="1476" w:type="dxa"/>
          </w:tcPr>
          <w:p w14:paraId="0087E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8CCE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683D6A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11BBB9" w14:textId="77777777">
        <w:tc>
          <w:tcPr>
            <w:tcW w:w="3085" w:type="dxa"/>
          </w:tcPr>
          <w:p w14:paraId="50CF6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Многоместный истребитель</w:t>
            </w:r>
          </w:p>
        </w:tc>
        <w:tc>
          <w:tcPr>
            <w:tcW w:w="1701" w:type="dxa"/>
          </w:tcPr>
          <w:p w14:paraId="402E9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 Оп.</w:t>
            </w:r>
          </w:p>
        </w:tc>
        <w:tc>
          <w:tcPr>
            <w:tcW w:w="1046" w:type="dxa"/>
          </w:tcPr>
          <w:p w14:paraId="574D3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01.01.1933</w:t>
            </w:r>
          </w:p>
        </w:tc>
        <w:tc>
          <w:tcPr>
            <w:tcW w:w="1476" w:type="dxa"/>
          </w:tcPr>
          <w:p w14:paraId="47804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Дюраль</w:t>
            </w:r>
          </w:p>
        </w:tc>
        <w:tc>
          <w:tcPr>
            <w:tcW w:w="1197" w:type="dxa"/>
          </w:tcPr>
          <w:p w14:paraId="203388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2096" w:type="dxa"/>
          </w:tcPr>
          <w:p w14:paraId="740D66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Согласовали</w:t>
            </w:r>
          </w:p>
        </w:tc>
      </w:tr>
      <w:tr w:rsidR="00DA227A" w:rsidRPr="00E93F40" w14:paraId="52C83D17" w14:textId="77777777">
        <w:tc>
          <w:tcPr>
            <w:tcW w:w="3085" w:type="dxa"/>
          </w:tcPr>
          <w:p w14:paraId="605B7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F657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61BB71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01.09.1933</w:t>
            </w:r>
          </w:p>
        </w:tc>
        <w:tc>
          <w:tcPr>
            <w:tcW w:w="1476" w:type="dxa"/>
          </w:tcPr>
          <w:p w14:paraId="6F06B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0B76A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770F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Ш РККА</w:t>
            </w:r>
          </w:p>
        </w:tc>
      </w:tr>
      <w:tr w:rsidR="00DA227A" w:rsidRPr="00E93F40" w14:paraId="0487BBD6" w14:textId="77777777">
        <w:tc>
          <w:tcPr>
            <w:tcW w:w="3085" w:type="dxa"/>
          </w:tcPr>
          <w:p w14:paraId="66DC7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1F07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712C8E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5573F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D6A84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5A583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снижение ра-</w:t>
            </w:r>
          </w:p>
        </w:tc>
      </w:tr>
      <w:tr w:rsidR="00DA227A" w:rsidRPr="00E93F40" w14:paraId="1A8EFCEE" w14:textId="77777777">
        <w:tc>
          <w:tcPr>
            <w:tcW w:w="3085" w:type="dxa"/>
          </w:tcPr>
          <w:p w14:paraId="663DB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959EC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39E42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01712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CABF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B3D52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диуса до 500</w:t>
            </w:r>
          </w:p>
        </w:tc>
      </w:tr>
      <w:tr w:rsidR="00DA227A" w:rsidRPr="00E93F40" w14:paraId="07FFAC1C" w14:textId="77777777">
        <w:tc>
          <w:tcPr>
            <w:tcW w:w="3085" w:type="dxa"/>
          </w:tcPr>
          <w:p w14:paraId="7A8A0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701" w:type="dxa"/>
          </w:tcPr>
          <w:p w14:paraId="1BA92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МК-6М34Р</w:t>
            </w:r>
          </w:p>
        </w:tc>
        <w:tc>
          <w:tcPr>
            <w:tcW w:w="1046" w:type="dxa"/>
          </w:tcPr>
          <w:p w14:paraId="4294C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01.12.1933</w:t>
            </w:r>
          </w:p>
        </w:tc>
        <w:tc>
          <w:tcPr>
            <w:tcW w:w="1476" w:type="dxa"/>
          </w:tcPr>
          <w:p w14:paraId="61EAC1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60DC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59E02B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506D05" w14:textId="77777777">
        <w:tc>
          <w:tcPr>
            <w:tcW w:w="3085" w:type="dxa"/>
          </w:tcPr>
          <w:p w14:paraId="767A54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DF8A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5713E8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01.08.1934</w:t>
            </w:r>
          </w:p>
        </w:tc>
        <w:tc>
          <w:tcPr>
            <w:tcW w:w="1476" w:type="dxa"/>
          </w:tcPr>
          <w:p w14:paraId="31BAF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DD5F5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4314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557F55" w14:textId="77777777">
        <w:tc>
          <w:tcPr>
            <w:tcW w:w="3085" w:type="dxa"/>
          </w:tcPr>
          <w:p w14:paraId="757329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701" w:type="dxa"/>
          </w:tcPr>
          <w:p w14:paraId="5E0F5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МДР4-3М34Р</w:t>
            </w:r>
          </w:p>
        </w:tc>
        <w:tc>
          <w:tcPr>
            <w:tcW w:w="1046" w:type="dxa"/>
          </w:tcPr>
          <w:p w14:paraId="0DBD4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01.07.1934</w:t>
            </w:r>
          </w:p>
        </w:tc>
        <w:tc>
          <w:tcPr>
            <w:tcW w:w="1476" w:type="dxa"/>
          </w:tcPr>
          <w:p w14:paraId="326970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1202E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35BE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D36040" w14:textId="77777777">
        <w:tc>
          <w:tcPr>
            <w:tcW w:w="3085" w:type="dxa"/>
          </w:tcPr>
          <w:p w14:paraId="1302B4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Легкий разведчик</w:t>
            </w:r>
          </w:p>
        </w:tc>
        <w:tc>
          <w:tcPr>
            <w:tcW w:w="1701" w:type="dxa"/>
          </w:tcPr>
          <w:p w14:paraId="69CF8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ЛР-М34</w:t>
            </w:r>
          </w:p>
        </w:tc>
        <w:tc>
          <w:tcPr>
            <w:tcW w:w="1046" w:type="dxa"/>
          </w:tcPr>
          <w:p w14:paraId="58D5D8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01.03.1933</w:t>
            </w:r>
          </w:p>
        </w:tc>
        <w:tc>
          <w:tcPr>
            <w:tcW w:w="1476" w:type="dxa"/>
          </w:tcPr>
          <w:p w14:paraId="1ED05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1197" w:type="dxa"/>
          </w:tcPr>
          <w:p w14:paraId="3AAB3A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 Р5</w:t>
            </w:r>
          </w:p>
        </w:tc>
        <w:tc>
          <w:tcPr>
            <w:tcW w:w="2096" w:type="dxa"/>
          </w:tcPr>
          <w:p w14:paraId="55F875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Аналог делает</w:t>
            </w:r>
          </w:p>
        </w:tc>
      </w:tr>
      <w:tr w:rsidR="00DA227A" w:rsidRPr="00E93F40" w14:paraId="5BF4F7EF" w14:textId="77777777">
        <w:tc>
          <w:tcPr>
            <w:tcW w:w="3085" w:type="dxa"/>
          </w:tcPr>
          <w:p w14:paraId="43203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6A915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5FAA8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01.09.1933</w:t>
            </w:r>
          </w:p>
        </w:tc>
        <w:tc>
          <w:tcPr>
            <w:tcW w:w="1476" w:type="dxa"/>
          </w:tcPr>
          <w:p w14:paraId="2D0D6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78985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71D03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ГВФ</w:t>
            </w:r>
          </w:p>
        </w:tc>
      </w:tr>
      <w:tr w:rsidR="00DA227A" w:rsidRPr="00E93F40" w14:paraId="38360D32" w14:textId="77777777">
        <w:tc>
          <w:tcPr>
            <w:tcW w:w="3085" w:type="dxa"/>
          </w:tcPr>
          <w:p w14:paraId="5FD871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701" w:type="dxa"/>
          </w:tcPr>
          <w:p w14:paraId="0D75E8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ТШ3-М34</w:t>
            </w:r>
          </w:p>
        </w:tc>
        <w:tc>
          <w:tcPr>
            <w:tcW w:w="1046" w:type="dxa"/>
          </w:tcPr>
          <w:p w14:paraId="7F6FC0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01.07.1933</w:t>
            </w:r>
          </w:p>
        </w:tc>
        <w:tc>
          <w:tcPr>
            <w:tcW w:w="1476" w:type="dxa"/>
          </w:tcPr>
          <w:p w14:paraId="7D41A6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AA694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39EA5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CB006B" w14:textId="77777777">
        <w:tc>
          <w:tcPr>
            <w:tcW w:w="3085" w:type="dxa"/>
          </w:tcPr>
          <w:p w14:paraId="0CA51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378E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40152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01.09.1933</w:t>
            </w:r>
          </w:p>
        </w:tc>
        <w:tc>
          <w:tcPr>
            <w:tcW w:w="1476" w:type="dxa"/>
          </w:tcPr>
          <w:p w14:paraId="06B877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DC98B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67F1DD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162D98" w14:textId="77777777">
        <w:tc>
          <w:tcPr>
            <w:tcW w:w="3085" w:type="dxa"/>
          </w:tcPr>
          <w:p w14:paraId="3ADBD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Одноместный истреб.</w:t>
            </w:r>
          </w:p>
        </w:tc>
        <w:tc>
          <w:tcPr>
            <w:tcW w:w="1701" w:type="dxa"/>
          </w:tcPr>
          <w:p w14:paraId="1E5EE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И14-БМ</w:t>
            </w:r>
          </w:p>
        </w:tc>
        <w:tc>
          <w:tcPr>
            <w:tcW w:w="1046" w:type="dxa"/>
          </w:tcPr>
          <w:p w14:paraId="3A746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01.03.1933</w:t>
            </w:r>
          </w:p>
        </w:tc>
        <w:tc>
          <w:tcPr>
            <w:tcW w:w="1476" w:type="dxa"/>
          </w:tcPr>
          <w:p w14:paraId="1FDF2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1197" w:type="dxa"/>
          </w:tcPr>
          <w:p w14:paraId="4E09E3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2096" w:type="dxa"/>
          </w:tcPr>
          <w:p w14:paraId="6C6D02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D56AE0" w14:textId="77777777">
        <w:tc>
          <w:tcPr>
            <w:tcW w:w="3085" w:type="dxa"/>
          </w:tcPr>
          <w:p w14:paraId="46DFD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(скоропод./маневр.)</w:t>
            </w:r>
          </w:p>
        </w:tc>
        <w:tc>
          <w:tcPr>
            <w:tcW w:w="1701" w:type="dxa"/>
          </w:tcPr>
          <w:p w14:paraId="156712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2E45BD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44928B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15.07.1933</w:t>
            </w:r>
          </w:p>
        </w:tc>
        <w:tc>
          <w:tcPr>
            <w:tcW w:w="1197" w:type="dxa"/>
          </w:tcPr>
          <w:p w14:paraId="44F5E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288B4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FF8796" w14:textId="77777777">
        <w:tc>
          <w:tcPr>
            <w:tcW w:w="3085" w:type="dxa"/>
          </w:tcPr>
          <w:p w14:paraId="5071BD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Одноместный истреб.</w:t>
            </w:r>
          </w:p>
        </w:tc>
        <w:tc>
          <w:tcPr>
            <w:tcW w:w="1701" w:type="dxa"/>
          </w:tcPr>
          <w:p w14:paraId="36905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И14-РЦ</w:t>
            </w:r>
          </w:p>
        </w:tc>
        <w:tc>
          <w:tcPr>
            <w:tcW w:w="1046" w:type="dxa"/>
          </w:tcPr>
          <w:p w14:paraId="5AE37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01.03.1933</w:t>
            </w:r>
          </w:p>
        </w:tc>
        <w:tc>
          <w:tcPr>
            <w:tcW w:w="1476" w:type="dxa"/>
          </w:tcPr>
          <w:p w14:paraId="64679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трубы/дер.</w:t>
            </w:r>
          </w:p>
        </w:tc>
        <w:tc>
          <w:tcPr>
            <w:tcW w:w="1197" w:type="dxa"/>
          </w:tcPr>
          <w:p w14:paraId="76263C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2096" w:type="dxa"/>
          </w:tcPr>
          <w:p w14:paraId="33E03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8CA3C2" w14:textId="77777777">
        <w:tc>
          <w:tcPr>
            <w:tcW w:w="3085" w:type="dxa"/>
          </w:tcPr>
          <w:p w14:paraId="55015D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(скоропод./маневр.)</w:t>
            </w:r>
          </w:p>
        </w:tc>
        <w:tc>
          <w:tcPr>
            <w:tcW w:w="1701" w:type="dxa"/>
          </w:tcPr>
          <w:p w14:paraId="306B34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1BD4D0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01.02.1934</w:t>
            </w:r>
          </w:p>
        </w:tc>
        <w:tc>
          <w:tcPr>
            <w:tcW w:w="1476" w:type="dxa"/>
          </w:tcPr>
          <w:p w14:paraId="4E49AB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B394D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606D1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533416" w14:textId="77777777">
        <w:tc>
          <w:tcPr>
            <w:tcW w:w="3085" w:type="dxa"/>
          </w:tcPr>
          <w:p w14:paraId="32733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1701" w:type="dxa"/>
          </w:tcPr>
          <w:p w14:paraId="091869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И15-РЦ</w:t>
            </w:r>
          </w:p>
        </w:tc>
        <w:tc>
          <w:tcPr>
            <w:tcW w:w="1046" w:type="dxa"/>
          </w:tcPr>
          <w:p w14:paraId="08A0B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01.12.1933</w:t>
            </w:r>
          </w:p>
        </w:tc>
        <w:tc>
          <w:tcPr>
            <w:tcW w:w="1476" w:type="dxa"/>
          </w:tcPr>
          <w:p w14:paraId="17C63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AA8AB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23CC6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A2E32D" w14:textId="77777777">
        <w:tc>
          <w:tcPr>
            <w:tcW w:w="3085" w:type="dxa"/>
          </w:tcPr>
          <w:p w14:paraId="5A0212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1701" w:type="dxa"/>
          </w:tcPr>
          <w:p w14:paraId="1C933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И15-М58</w:t>
            </w:r>
          </w:p>
        </w:tc>
        <w:tc>
          <w:tcPr>
            <w:tcW w:w="1046" w:type="dxa"/>
          </w:tcPr>
          <w:p w14:paraId="56133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через 6 мес. послу получения моторов</w:t>
            </w:r>
          </w:p>
        </w:tc>
        <w:tc>
          <w:tcPr>
            <w:tcW w:w="1476" w:type="dxa"/>
          </w:tcPr>
          <w:p w14:paraId="39E83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1C829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5A0129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36E977" w14:textId="77777777">
        <w:tc>
          <w:tcPr>
            <w:tcW w:w="3085" w:type="dxa"/>
          </w:tcPr>
          <w:p w14:paraId="78F22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1701" w:type="dxa"/>
          </w:tcPr>
          <w:p w14:paraId="7D8D4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С62-М34</w:t>
            </w:r>
          </w:p>
        </w:tc>
        <w:tc>
          <w:tcPr>
            <w:tcW w:w="1046" w:type="dxa"/>
          </w:tcPr>
          <w:p w14:paraId="2F8A9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01.01.1933</w:t>
            </w:r>
          </w:p>
        </w:tc>
        <w:tc>
          <w:tcPr>
            <w:tcW w:w="1476" w:type="dxa"/>
          </w:tcPr>
          <w:p w14:paraId="74169F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2E7AC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2CD332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865F6D" w14:textId="77777777">
        <w:tc>
          <w:tcPr>
            <w:tcW w:w="3085" w:type="dxa"/>
          </w:tcPr>
          <w:p w14:paraId="7EA74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42D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65D9F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01.08.1933</w:t>
            </w:r>
          </w:p>
        </w:tc>
        <w:tc>
          <w:tcPr>
            <w:tcW w:w="1476" w:type="dxa"/>
          </w:tcPr>
          <w:p w14:paraId="75F07C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5F6F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0EF7D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C32C7C" w14:textId="77777777">
        <w:tc>
          <w:tcPr>
            <w:tcW w:w="3085" w:type="dxa"/>
          </w:tcPr>
          <w:p w14:paraId="1F07CD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w:t>
            </w:r>
          </w:p>
        </w:tc>
        <w:tc>
          <w:tcPr>
            <w:tcW w:w="1701" w:type="dxa"/>
          </w:tcPr>
          <w:p w14:paraId="095A5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69A46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63C360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9553A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35A7F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8661F3B" w14:textId="77777777">
        <w:tc>
          <w:tcPr>
            <w:tcW w:w="3085" w:type="dxa"/>
          </w:tcPr>
          <w:p w14:paraId="658E3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701" w:type="dxa"/>
          </w:tcPr>
          <w:p w14:paraId="1B49D8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ДИП-2М34</w:t>
            </w:r>
          </w:p>
        </w:tc>
        <w:tc>
          <w:tcPr>
            <w:tcW w:w="1046" w:type="dxa"/>
          </w:tcPr>
          <w:p w14:paraId="7B02E7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01.10.1933</w:t>
            </w:r>
          </w:p>
        </w:tc>
        <w:tc>
          <w:tcPr>
            <w:tcW w:w="1476" w:type="dxa"/>
          </w:tcPr>
          <w:p w14:paraId="397A4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2682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067C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B2B284" w14:textId="77777777">
        <w:tc>
          <w:tcPr>
            <w:tcW w:w="3085" w:type="dxa"/>
          </w:tcPr>
          <w:p w14:paraId="00C913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701" w:type="dxa"/>
          </w:tcPr>
          <w:p w14:paraId="3CFE9D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СК-2М32</w:t>
            </w:r>
          </w:p>
        </w:tc>
        <w:tc>
          <w:tcPr>
            <w:tcW w:w="1046" w:type="dxa"/>
          </w:tcPr>
          <w:p w14:paraId="0EE08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01.10.1933</w:t>
            </w:r>
          </w:p>
        </w:tc>
        <w:tc>
          <w:tcPr>
            <w:tcW w:w="1476" w:type="dxa"/>
          </w:tcPr>
          <w:p w14:paraId="55F16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82282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F05C7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00E6039" w14:textId="77777777">
        <w:tc>
          <w:tcPr>
            <w:tcW w:w="3085" w:type="dxa"/>
          </w:tcPr>
          <w:p w14:paraId="01773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701" w:type="dxa"/>
          </w:tcPr>
          <w:p w14:paraId="554DC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ДИ6</w:t>
            </w:r>
          </w:p>
        </w:tc>
        <w:tc>
          <w:tcPr>
            <w:tcW w:w="1046" w:type="dxa"/>
          </w:tcPr>
          <w:p w14:paraId="233814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01.06.1933</w:t>
            </w:r>
          </w:p>
        </w:tc>
        <w:tc>
          <w:tcPr>
            <w:tcW w:w="1476" w:type="dxa"/>
          </w:tcPr>
          <w:p w14:paraId="39804D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A35C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CE1DD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1BFFCB" w14:textId="77777777">
        <w:tc>
          <w:tcPr>
            <w:tcW w:w="3085" w:type="dxa"/>
          </w:tcPr>
          <w:p w14:paraId="128E2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701" w:type="dxa"/>
          </w:tcPr>
          <w:p w14:paraId="71EF19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ВС-2М22</w:t>
            </w:r>
          </w:p>
        </w:tc>
        <w:tc>
          <w:tcPr>
            <w:tcW w:w="1046" w:type="dxa"/>
          </w:tcPr>
          <w:p w14:paraId="7CBE7D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01.07.1933</w:t>
            </w:r>
          </w:p>
        </w:tc>
        <w:tc>
          <w:tcPr>
            <w:tcW w:w="1476" w:type="dxa"/>
          </w:tcPr>
          <w:p w14:paraId="32D72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33FA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3C2A26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A1607E" w14:textId="77777777">
        <w:tc>
          <w:tcPr>
            <w:tcW w:w="3085" w:type="dxa"/>
          </w:tcPr>
          <w:p w14:paraId="2530D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701" w:type="dxa"/>
          </w:tcPr>
          <w:p w14:paraId="5E242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К7-7М34</w:t>
            </w:r>
          </w:p>
        </w:tc>
        <w:tc>
          <w:tcPr>
            <w:tcW w:w="1046" w:type="dxa"/>
          </w:tcPr>
          <w:p w14:paraId="2CF2D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01.05.1933</w:t>
            </w:r>
          </w:p>
        </w:tc>
        <w:tc>
          <w:tcPr>
            <w:tcW w:w="1476" w:type="dxa"/>
          </w:tcPr>
          <w:p w14:paraId="7B0B8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571A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741A36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6A0489" w14:textId="77777777">
        <w:tc>
          <w:tcPr>
            <w:tcW w:w="3085" w:type="dxa"/>
          </w:tcPr>
          <w:p w14:paraId="45FF9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w:t>
            </w:r>
          </w:p>
        </w:tc>
        <w:tc>
          <w:tcPr>
            <w:tcW w:w="1701" w:type="dxa"/>
          </w:tcPr>
          <w:p w14:paraId="7863B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Стат. самол. М34</w:t>
            </w:r>
          </w:p>
        </w:tc>
        <w:tc>
          <w:tcPr>
            <w:tcW w:w="1046" w:type="dxa"/>
          </w:tcPr>
          <w:p w14:paraId="24F01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01.04.1933</w:t>
            </w:r>
          </w:p>
        </w:tc>
        <w:tc>
          <w:tcPr>
            <w:tcW w:w="1476" w:type="dxa"/>
          </w:tcPr>
          <w:p w14:paraId="2937D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D483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37BD18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9E6B65" w14:textId="77777777">
        <w:tc>
          <w:tcPr>
            <w:tcW w:w="3085" w:type="dxa"/>
          </w:tcPr>
          <w:p w14:paraId="3A3CF6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1701" w:type="dxa"/>
          </w:tcPr>
          <w:p w14:paraId="4FD21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 крыло 2М11</w:t>
            </w:r>
          </w:p>
        </w:tc>
        <w:tc>
          <w:tcPr>
            <w:tcW w:w="1046" w:type="dxa"/>
          </w:tcPr>
          <w:p w14:paraId="4A462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01.10.1933</w:t>
            </w:r>
          </w:p>
        </w:tc>
        <w:tc>
          <w:tcPr>
            <w:tcW w:w="1476" w:type="dxa"/>
          </w:tcPr>
          <w:p w14:paraId="7FDC2B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3C70A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7C4A2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EA09EA" w14:textId="77777777">
        <w:tc>
          <w:tcPr>
            <w:tcW w:w="3085" w:type="dxa"/>
          </w:tcPr>
          <w:p w14:paraId="218AFB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701" w:type="dxa"/>
          </w:tcPr>
          <w:p w14:paraId="6BD1C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 кр. Крич.</w:t>
            </w:r>
          </w:p>
        </w:tc>
        <w:tc>
          <w:tcPr>
            <w:tcW w:w="1046" w:type="dxa"/>
          </w:tcPr>
          <w:p w14:paraId="6A78E0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01.12.1932</w:t>
            </w:r>
          </w:p>
        </w:tc>
        <w:tc>
          <w:tcPr>
            <w:tcW w:w="1476" w:type="dxa"/>
          </w:tcPr>
          <w:p w14:paraId="3A49F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432B2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6969C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D5875A1" w14:textId="77777777">
        <w:tc>
          <w:tcPr>
            <w:tcW w:w="3085" w:type="dxa"/>
          </w:tcPr>
          <w:p w14:paraId="428B0C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1701" w:type="dxa"/>
          </w:tcPr>
          <w:p w14:paraId="6B6AA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w:t>
            </w:r>
          </w:p>
        </w:tc>
        <w:tc>
          <w:tcPr>
            <w:tcW w:w="1046" w:type="dxa"/>
          </w:tcPr>
          <w:p w14:paraId="758416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01.12.1934</w:t>
            </w:r>
          </w:p>
        </w:tc>
        <w:tc>
          <w:tcPr>
            <w:tcW w:w="1476" w:type="dxa"/>
          </w:tcPr>
          <w:p w14:paraId="676DD3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B4C7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3F968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C16592" w14:textId="77777777">
        <w:tc>
          <w:tcPr>
            <w:tcW w:w="3085" w:type="dxa"/>
          </w:tcPr>
          <w:p w14:paraId="15A56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701" w:type="dxa"/>
          </w:tcPr>
          <w:p w14:paraId="05235D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 ВГ2</w:t>
            </w:r>
          </w:p>
        </w:tc>
        <w:tc>
          <w:tcPr>
            <w:tcW w:w="1046" w:type="dxa"/>
          </w:tcPr>
          <w:p w14:paraId="38CA8C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01.07.1932</w:t>
            </w:r>
          </w:p>
        </w:tc>
        <w:tc>
          <w:tcPr>
            <w:tcW w:w="1476" w:type="dxa"/>
          </w:tcPr>
          <w:p w14:paraId="4D753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4F2ED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6953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EFA1D2" w14:textId="77777777">
        <w:tc>
          <w:tcPr>
            <w:tcW w:w="3085" w:type="dxa"/>
          </w:tcPr>
          <w:p w14:paraId="3A629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1701" w:type="dxa"/>
          </w:tcPr>
          <w:p w14:paraId="73999A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М22</w:t>
            </w:r>
          </w:p>
        </w:tc>
        <w:tc>
          <w:tcPr>
            <w:tcW w:w="1046" w:type="dxa"/>
          </w:tcPr>
          <w:p w14:paraId="66C41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01.01.1933</w:t>
            </w:r>
          </w:p>
        </w:tc>
        <w:tc>
          <w:tcPr>
            <w:tcW w:w="1476" w:type="dxa"/>
          </w:tcPr>
          <w:p w14:paraId="0B27C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F841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5A149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1E1FE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Интересно, что нет АНТ-20, Р7 (АНТ-10), ДИ4, Ш2, ДИ3, ТОМ, ТШ1, ТБ-7 (ЦАГИ), ШОН, МУ3, ХАИ-1</w:t>
      </w:r>
    </w:p>
    <w:p w14:paraId="4839D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есть с ТБ-7, который был задуман якобы в 1931, что то не вяжется.</w:t>
      </w:r>
    </w:p>
    <w:p w14:paraId="6DC26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4 июля 1932 вышло постановление Правительства (СТО) по плану опытного самолето-моторостроения (1025,42).</w:t>
      </w:r>
    </w:p>
    <w:p w14:paraId="57214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правильнее (2310,143).</w:t>
      </w:r>
    </w:p>
    <w:p w14:paraId="321A0E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9BDA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СТО утвердил план опытного строительства (3903).</w:t>
      </w:r>
    </w:p>
    <w:p w14:paraId="721E3A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A44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года было подготовлено постановление КО по опытному самолето и моторостроению</w:t>
      </w:r>
    </w:p>
    <w:p w14:paraId="152EAC6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Прилагаемый план по опытному самолето-моторостроению утвердить.</w:t>
      </w:r>
    </w:p>
    <w:p w14:paraId="3A99897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Первоочередными задачами опытного строительства считать:</w:t>
      </w:r>
    </w:p>
    <w:p w14:paraId="2F3C9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моторостроению:</w:t>
      </w:r>
    </w:p>
    <w:p w14:paraId="420477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доводка и развитие М-34 (редуктор, нагетатель, реверс, однорядный, облегченный);</w:t>
      </w:r>
    </w:p>
    <w:p w14:paraId="406328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создание типов истребительных моторов М-38 воздушного охлаждения и особенные М-32 – водяного охлаждения;</w:t>
      </w:r>
    </w:p>
    <w:p w14:paraId="37263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мощных авиадизелей;</w:t>
      </w:r>
    </w:p>
    <w:p w14:paraId="50B18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4597C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обязать Особое конструкторское бюро продолжить работу по ФЭДу, представив этот мотор на госиспытания к 1 сентября 1932 года;</w:t>
      </w:r>
    </w:p>
    <w:p w14:paraId="69B5CF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 связи с особым значением М-44, в плане опытного строительства откомандировать в ЦИАМ: из ОКБ – Стечкина, Добрынина, Суслова и из НКТПрома – Серенсена, Пивоварова, Петрова, Кирсанова.</w:t>
      </w:r>
    </w:p>
    <w:p w14:paraId="7EE373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76D0B7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40096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форсирование работ по постройке образцов тяжелого бомбардировщика (ТБ-4);</w:t>
      </w:r>
    </w:p>
    <w:p w14:paraId="4483A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создание типов морских лодочных самолетов (МК1, МДР3 и др.).</w:t>
      </w:r>
    </w:p>
    <w:p w14:paraId="097AFEA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Признавая необходимой передачу НКВМором квалифицированных специалистов для усиления ЦАГИ, поручить Ворошилову и Баранову составить список передаваемых в НКТПром специалистов.</w:t>
      </w:r>
    </w:p>
    <w:p w14:paraId="4E88648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НКТП обеспечить выполнение плана выделением необходимого импортного и отечественного оборудования, материалами и денежными средствами.</w:t>
      </w:r>
    </w:p>
    <w:p w14:paraId="61862FD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Вменить в обязанность ГУГВФ организовать в своих конструкторских бюро работу по переконструированию военных самолетов для нужд ГВФ и производить переделки их на своих предприятиях.</w:t>
      </w:r>
    </w:p>
    <w:p w14:paraId="73E5406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Работников ЦАГИ и ЦИАМа прировнять к военнопроизводственникам и всех подлежащих призыву на действительную службу оставить в ЦАГИ и ЦИАМе.</w:t>
      </w:r>
    </w:p>
    <w:p w14:paraId="3CE4F40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развертывания отдела эксплуатации летных испытаний и морской базы ЦАГИ обязать НКВМ отвести:</w:t>
      </w:r>
    </w:p>
    <w:p w14:paraId="3672A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Ходынском аэродроме в Москве часть территории, принадлежащей Артскладу к 1-му октября 1932 года;</w:t>
      </w:r>
    </w:p>
    <w:p w14:paraId="66CB7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Орлову (УВМС) обеспечить ЦАГИ возможность производства опытов и испытаний на море в Севастополе (3530,1-2).</w:t>
      </w:r>
    </w:p>
    <w:p w14:paraId="270FEA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B0C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НТОС Наркомавиапрома представил ЦАГИ изменениями к плану опытного моторо- и самолетостроения (351).</w:t>
      </w:r>
    </w:p>
    <w:p w14:paraId="1FD1E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75ABCB" w14:textId="77777777" w:rsidR="008328E0" w:rsidRPr="00E93F40" w:rsidRDefault="008328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г. правительство утвердило план работ по опытному строительству самолетов на 1932—1933 гг. Перед ЦАГИ были поставлены задачи по созданию новых образцов тяжелых бомбардировщиков, одноместных и многоместных истребителей и других типов самолетов.</w:t>
      </w:r>
    </w:p>
    <w:p w14:paraId="644C5D3E" w14:textId="77777777" w:rsidR="008328E0" w:rsidRPr="00E93F40" w:rsidRDefault="008328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бригаде № 3 КОСОС надлежало спроектировать, построить и передать на госиспытания: истребитель И-14 М-38, или АНТ-31 к 15 марта 1933 года; истребитель И-13 М-32, или АНТ-32 к 1 июня 1933 г.; двухместный пушечный истребитель ДИП 2М-34, или АНТ-29 к 1 октября 1933 г. В качестве дополнительного задания переходил доставшийся по «наследству» от В.Н. Чернышева, недостроенный истребитель И-12бис 2М-22, или АНТ-23 «Бауманский комсомолец».</w:t>
      </w:r>
    </w:p>
    <w:p w14:paraId="60A1ECD6" w14:textId="77777777" w:rsidR="008328E0" w:rsidRPr="00E93F40" w:rsidRDefault="008328E0" w:rsidP="00E93F40">
      <w:pPr>
        <w:pStyle w:val="ae"/>
        <w:spacing w:before="0" w:after="0"/>
        <w:jc w:val="both"/>
        <w:rPr>
          <w:color w:val="000000" w:themeColor="text1"/>
          <w:sz w:val="16"/>
          <w:szCs w:val="16"/>
        </w:rPr>
      </w:pPr>
      <w:r w:rsidRPr="00E93F40">
        <w:rPr>
          <w:rStyle w:val="mfonta10"/>
          <w:color w:val="000000" w:themeColor="text1"/>
          <w:sz w:val="16"/>
          <w:szCs w:val="16"/>
        </w:rPr>
        <w:t>По постановлению правительства истребитель И-14 имел только стрелковое вооружение (два пулемета ПВ-1), но в процессе проектирования по требованию УВВС РККА в состав вооружения включили две пушки АПК-11. Поскольку в данном варианте ухудшались маневренные характеристики самолета, приняли решение параллельно с ним проектировать маневренный истребитель И-14а со стрелковым вооружением. Эта работа была поручена Н.Н. Поликарпову. В начале декабря комиссия под председательством Начальника УВВС РККА Я.И. Алксниса ознакомилась с макетами истребителей И-14 и И-14а и постановила: И-14а переименовать в И-15; из-за неготовности отечественных моторов М-32 и М-38 опытные образцы И-14 и И-15 строить с моторами Bristol Mercury или Wright Cyclone; самолет И-14 рассматривать как перехватчик, в связи с чем основным требованием считать достижение максимальной скорости; самолет И-15 проектировать и строить как высокоманевренный истребитель, основными требованиями считать достижение высокой маневренности и хорошей скороподъемности.</w:t>
      </w:r>
    </w:p>
    <w:p w14:paraId="3F07BB5D" w14:textId="77777777" w:rsidR="008328E0" w:rsidRPr="00E93F40" w:rsidRDefault="008328E0" w:rsidP="00E93F40">
      <w:pPr>
        <w:pStyle w:val="ae"/>
        <w:spacing w:before="0" w:after="0"/>
        <w:jc w:val="both"/>
        <w:rPr>
          <w:rStyle w:val="mfonta10"/>
          <w:color w:val="000000" w:themeColor="text1"/>
          <w:sz w:val="16"/>
          <w:szCs w:val="16"/>
        </w:rPr>
      </w:pPr>
      <w:r w:rsidRPr="00E93F40">
        <w:rPr>
          <w:rStyle w:val="mfonta10"/>
          <w:color w:val="000000" w:themeColor="text1"/>
          <w:sz w:val="16"/>
          <w:szCs w:val="16"/>
        </w:rPr>
        <w:t>Для проектирования и постройки истребителя И-15 в КОСОС была образована бригада № 5 Н.Н. Поликарпова. В январе 1933 г., в связи с организацией на заводе № 39 им. В.Р. Менжинского нового конструкторского бюро (ЦКБ) под руководством С.В. Ильюшина, в него из КОСОС перевели несколько бригад, в том числе и бригаду Н.Н. Поликарпова (12230).</w:t>
      </w:r>
    </w:p>
    <w:p w14:paraId="26ABAEA9" w14:textId="77777777" w:rsidR="008328E0" w:rsidRPr="00E93F40" w:rsidRDefault="008328E0" w:rsidP="00E93F40">
      <w:pPr>
        <w:pStyle w:val="ae"/>
        <w:spacing w:before="0" w:after="0"/>
        <w:jc w:val="both"/>
        <w:rPr>
          <w:color w:val="000000" w:themeColor="text1"/>
          <w:sz w:val="16"/>
          <w:szCs w:val="16"/>
        </w:rPr>
      </w:pPr>
    </w:p>
    <w:p w14:paraId="23585500" w14:textId="77777777" w:rsidR="002C36D8" w:rsidRPr="00E93F40" w:rsidRDefault="002C36D8" w:rsidP="00E93F40">
      <w:pPr>
        <w:pStyle w:val="rtejustify"/>
        <w:spacing w:before="0" w:after="0"/>
        <w:rPr>
          <w:color w:val="000000" w:themeColor="text1"/>
          <w:sz w:val="16"/>
          <w:szCs w:val="16"/>
        </w:rPr>
      </w:pPr>
      <w:r w:rsidRPr="00E93F40">
        <w:rPr>
          <w:bCs/>
          <w:color w:val="000000" w:themeColor="text1"/>
          <w:sz w:val="16"/>
          <w:szCs w:val="16"/>
        </w:rPr>
        <w:t>4 июля 1932 г. Каганович — Сталину</w:t>
      </w:r>
    </w:p>
    <w:p w14:paraId="0EC19F0B"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Шифровка.</w:t>
      </w:r>
    </w:p>
    <w:p w14:paraId="34FF2BC2"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Вх. № 36.</w:t>
      </w:r>
    </w:p>
    <w:p w14:paraId="3C3E853F" w14:textId="77777777" w:rsidR="008328E0" w:rsidRPr="00E93F40" w:rsidRDefault="008328E0" w:rsidP="00E93F40">
      <w:pPr>
        <w:pStyle w:val="rtecenter"/>
        <w:spacing w:before="0" w:after="0"/>
        <w:jc w:val="both"/>
        <w:rPr>
          <w:color w:val="000000" w:themeColor="text1"/>
          <w:sz w:val="16"/>
          <w:szCs w:val="16"/>
        </w:rPr>
      </w:pPr>
      <w:r w:rsidRPr="00E93F40">
        <w:rPr>
          <w:color w:val="000000" w:themeColor="text1"/>
          <w:sz w:val="16"/>
          <w:szCs w:val="16"/>
        </w:rPr>
        <w:t>Тов. Сталину.</w:t>
      </w:r>
    </w:p>
    <w:p w14:paraId="458A9E93"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Политбюро приняло постановление об аварийности воздушного флота. В текст, который прочитан вами, внесены поправки чисто редакционного характера. Согласно вашего указания включили пункт о помкомвойск округов по авиации. Кроме того, приняли следующее особое постановление о качестве авиапродукции, которое не включаем в текст постановления.</w:t>
      </w:r>
    </w:p>
    <w:p w14:paraId="71F23B53"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«Считая, что качество выпускаемой авиапродукции все еще отстает от технических требований, предложить Наркомтяжпрому в двухдекадный срок выработать план мероприятий, обеспечивающий ликвидацию всех недочетов и решительное улучшение продукции авиапромышленности и доложить Комиссии обороны».</w:t>
      </w:r>
    </w:p>
    <w:p w14:paraId="74DADBC1"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Мы решили выпустить постановление от имени ЦК и СНК за подписью вашей и Молотова.</w:t>
      </w:r>
    </w:p>
    <w:p w14:paraId="0B2D7E04"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Прошу телеграфировать ваше мнение</w:t>
      </w:r>
      <w:r w:rsidRPr="00E93F40">
        <w:rPr>
          <w:color w:val="000000" w:themeColor="text1"/>
          <w:sz w:val="16"/>
          <w:szCs w:val="16"/>
          <w:vertAlign w:val="superscript"/>
        </w:rPr>
        <w:t>1</w:t>
      </w:r>
      <w:r w:rsidRPr="00E93F40">
        <w:rPr>
          <w:color w:val="000000" w:themeColor="text1"/>
          <w:sz w:val="16"/>
          <w:szCs w:val="16"/>
        </w:rPr>
        <w:t>. HP 36.</w:t>
      </w:r>
    </w:p>
    <w:p w14:paraId="6B481F84"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Каганович.</w:t>
      </w:r>
    </w:p>
    <w:p w14:paraId="48EDF068"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4/VII-32 г.</w:t>
      </w:r>
    </w:p>
    <w:p w14:paraId="6B2C9D85" w14:textId="77777777" w:rsidR="008328E0" w:rsidRPr="00E93F40" w:rsidRDefault="008328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558. Oп. 11. Д. 78. Л. 8. Подлинник. Машинопись. </w:t>
      </w:r>
    </w:p>
    <w:p w14:paraId="29A3EC0E" w14:textId="77777777" w:rsidR="008328E0" w:rsidRPr="00E93F40" w:rsidRDefault="008328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Сталин и Каганович. Переписка. 1931–1936 гг. Москва: (РОССПЭН), 2001 Стр. 216-217 (12363).</w:t>
      </w:r>
    </w:p>
    <w:p w14:paraId="10A3AEEE"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727A8B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ЦС ОХА издает приказ о концентрации всей деятельности в области изучения и применения реактивных двигателей в ГИРД. Начальником ГИРД "в общественном порядке" с 1 мая 1932 г. назначен СПК (Там же, № 218а, л. 5) (10676).</w:t>
      </w:r>
    </w:p>
    <w:p w14:paraId="6250DD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5FC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июля 1932 экипаж ДВ СССР-Н2 получил приказ вылететь на облет тайги с лесниками для определения качества леса. Алексеев был категорически против, т.к. сомневался в надежной работе двигателей: "Недоверие к нашим моторам, которые старого выпуска, перебирались в мастерских Дерулюфта. У носового мотора заменили коленчатый вал, поставлен новый, из числа забракованных в 1929 г.". В результате СССР-Н2 все-таки отправили на осмотр лесов. Летали вдоль Енисея и Подка- менной Тунгуски, забираясь в сторону более чем на сотню километров. 10 июля предполагаемая неприятность все-таки произошла, в 86 км от Енисея вышел из строя передний двигатель. С большими трудностями на одном моторе дотянули до устья Подкаменной Тунгуски, где с ходу приводнились. 16 июля на буксире у пассажирского парохода "Спартак" прибыли в Красноярск. Уже на следующий день приступили к смене моторов, а 22-го июля машину опробовали в воздухе. Следующим заданием сезона стало проведение ледовой разведки в Карском море. Положение осложнялось отсутствием рации, затерявшейся где-то на железной дороге. Алексеев решил, тем не менее, вылетать и 25 июля СССР- Н2 стартовал по направлению на Диксон (11970).</w:t>
      </w:r>
    </w:p>
    <w:p w14:paraId="1D7A59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B75C4D" w14:textId="77777777" w:rsidR="008328E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A5CFD99" w14:textId="77777777" w:rsidR="008328E0" w:rsidRPr="00E93F40" w:rsidRDefault="008328E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79815E"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4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775/229сс по ОВ, ДВ и сырью для них (ГА РФ. Ф. Р?8418. Оп. 28. Д. 1а. Л. 287?291) (12415).</w:t>
      </w:r>
    </w:p>
    <w:p w14:paraId="4C64C21F"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776/230сс по порохам, взрывчатым веществам, снаряжению и сырьевой базе для них (ГА РФ. Ф. Р?8418. Оп. 28. Д. 1а. Л. 293?299) (12415).</w:t>
      </w:r>
    </w:p>
    <w:p w14:paraId="50780A55"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01507D3D" w14:textId="77777777" w:rsidR="002C0905" w:rsidRPr="00E93F40" w:rsidRDefault="002C090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4 по 20 июля 1932 проходил испытательный про</w:t>
      </w:r>
      <w:r w:rsidRPr="00E93F40">
        <w:rPr>
          <w:rFonts w:ascii="Times New Roman" w:hAnsi="Times New Roman"/>
          <w:color w:val="000000" w:themeColor="text1"/>
          <w:sz w:val="16"/>
          <w:szCs w:val="16"/>
        </w:rPr>
        <w:softHyphen/>
        <w:t>бег с целью изучения в дорожных условиях качества автомобилей, выпускаемых Горьковским заводом, по маршруту Горький - Москва - Ленинград - Псков - Невель - Смоленск - Москва - Горький. Испытыва</w:t>
      </w:r>
      <w:r w:rsidRPr="00E93F40">
        <w:rPr>
          <w:rFonts w:ascii="Times New Roman" w:hAnsi="Times New Roman"/>
          <w:color w:val="000000" w:themeColor="text1"/>
          <w:sz w:val="16"/>
          <w:szCs w:val="16"/>
        </w:rPr>
        <w:softHyphen/>
        <w:t>лись 10 автомобилей: 5 стандартных (1,5 т), один трехосный конструкции НАТИ с фордовским двигателем (22518).</w:t>
      </w:r>
    </w:p>
    <w:p w14:paraId="07E148A8" w14:textId="77777777" w:rsidR="002C0905" w:rsidRPr="00E93F40" w:rsidRDefault="002C0905" w:rsidP="00E93F40">
      <w:pPr>
        <w:spacing w:after="0" w:line="240" w:lineRule="auto"/>
        <w:jc w:val="both"/>
        <w:rPr>
          <w:rFonts w:ascii="Times New Roman" w:hAnsi="Times New Roman"/>
          <w:color w:val="000000" w:themeColor="text1"/>
          <w:sz w:val="16"/>
          <w:szCs w:val="16"/>
        </w:rPr>
      </w:pPr>
    </w:p>
    <w:p w14:paraId="28314E6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698772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1F77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июля 1932 г. Ф. фон Папен, сменил Брюнинга на посту канцлера Германии и сразу же предложил французам «германо-франко-польский союз для захвата Украины» (Heinrich Bruning. Memoiren. Stuttgart, 1970. S. 616.). В дни завершения работы Лозаннской конференции в июле 1932 г. Папен предложил Франции сотрудничество генштабов двух стран с целью образования затем антисоветского фронта. Параллельно французы усилили дипломатический натиск и на Москву, предложив ей 20 апреля 1931 г.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w:t>
      </w:r>
      <w:r w:rsidRPr="00E93F40">
        <w:rPr>
          <w:rFonts w:ascii="Times New Roman" w:hAnsi="Times New Roman"/>
          <w:color w:val="000000" w:themeColor="text1"/>
          <w:sz w:val="16"/>
          <w:szCs w:val="16"/>
        </w:rPr>
        <w:lastRenderedPageBreak/>
        <w:t>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2C41A1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E8C68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9161F4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0BBFEE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июля 1932 года АГОСом представил в НТК эскизный проект ТШ1 (6925).</w:t>
      </w:r>
    </w:p>
    <w:p w14:paraId="672FB32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F88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июля 1932 А.М.Черемухин демонстрировал в Ухтомке вертолет 1-ЭА в полете Я.И.Алкснису, 28 июля в 4:28 утра - М.Н.Тухачевскому, а 14 августа достигли 600 м. М.Н.Тухачевский предложил малую серию, но Изаксон - отказался, сказал, что это отвлечет. Есть кинохроника (391,30).</w:t>
      </w:r>
    </w:p>
    <w:p w14:paraId="782A6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828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5 июля по 11 сентября 1932 в НИИ ВВС состоялись испытания винтов различных диаметров на И5 N 4302 с кольцевым капотом (1041).</w:t>
      </w:r>
    </w:p>
    <w:p w14:paraId="40B97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14E8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июля 1932 Постановлением ЦК ВКП(б) и Совнаркома (п. 11-ым) предложено НКЛегкпрому под личную ответственность Любимова развернуть производство парашютов на имеющейся фабрике, чтобы обеспечить парашютами летный состав всей истребительной и тяжелобомбардировочной авиации не позднее 15 августа с.г. (ПЛ-200; ПН-2-800) и весь прочий летный состав не позднее 15 сентября с.г. (ПЛ-1521 и ПН-1575) (3045,278).</w:t>
      </w:r>
    </w:p>
    <w:p w14:paraId="6817D3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597F67"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июля 1932 г. заместитель К.Е. Ворошилова и Председатель комиссии № 1103 И.А. Акулов представил В.М. Молотову Проект постановления об организации РНИИ (22685).</w:t>
      </w:r>
    </w:p>
    <w:p w14:paraId="3E7940B9" w14:textId="77777777" w:rsidR="003A7E44" w:rsidRPr="00E93F40" w:rsidRDefault="003A7E44" w:rsidP="00E93F40">
      <w:pPr>
        <w:spacing w:after="0" w:line="240" w:lineRule="auto"/>
        <w:jc w:val="both"/>
        <w:rPr>
          <w:rFonts w:ascii="Times New Roman" w:hAnsi="Times New Roman"/>
          <w:color w:val="000000" w:themeColor="text1"/>
          <w:sz w:val="16"/>
          <w:szCs w:val="16"/>
        </w:rPr>
      </w:pPr>
    </w:p>
    <w:p w14:paraId="752A1FAF" w14:textId="77777777" w:rsidR="002C36D8"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C0E6EB0" w14:textId="77777777" w:rsidR="002C36D8" w:rsidRPr="00E93F40" w:rsidRDefault="002C36D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B9485B"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июля 1932 начальник УММ РККА И. Халепский подписал приказ о проведении заводских испытаний Д-2, которые прошли 17 июля «на перегоне завод № 1 - ст. Люблино - ст. Замоскворечье - ст. Царицыно».</w:t>
      </w:r>
    </w:p>
    <w:p w14:paraId="5F198C9F"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в самом начале пробега у мотоброневагона вышла из коробка перемены передач, и его вернули на ремонт. 14 сентября 1932 года завод № 1 провел испытания Д-2 с дисково-сцепной муфтой, «предложенной тов. Дыренковым и уже устанавливаемой в качестве типовой для всех 60-ти Д-2».</w:t>
      </w:r>
    </w:p>
    <w:p w14:paraId="72348720"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после 4 км пробега пришлось прекратить испытания из-за «отказа в работе дисково-сцепной муфты, гидравлического и ручного управления» (15624).</w:t>
      </w:r>
    </w:p>
    <w:p w14:paraId="6430DA59" w14:textId="77777777" w:rsidR="002C36D8" w:rsidRPr="00E93F40" w:rsidRDefault="002C36D8" w:rsidP="00E93F40">
      <w:pPr>
        <w:spacing w:after="0" w:line="240" w:lineRule="auto"/>
        <w:jc w:val="both"/>
        <w:rPr>
          <w:rFonts w:ascii="Times New Roman" w:hAnsi="Times New Roman"/>
          <w:color w:val="000000" w:themeColor="text1"/>
          <w:sz w:val="16"/>
          <w:szCs w:val="16"/>
        </w:rPr>
      </w:pPr>
    </w:p>
    <w:p w14:paraId="41356EC2" w14:textId="77777777" w:rsidR="00AC0F3E" w:rsidRPr="00E93F40" w:rsidRDefault="00AC0F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июля 1932 начальник УММ РККА И. Халепский подписал приказ о проведении заводских испытаний Д-2, которые прошли 17 июля «на перегоне завод № 1 - ст. Люблино - ст. Замоскворечье - ст. Царицыно». Однако в самом начале пробега у мотоброневагона вышла из коробка перемены передач, и его вернули на ремонт (18626).</w:t>
      </w:r>
    </w:p>
    <w:p w14:paraId="39E6EDEE" w14:textId="77777777" w:rsidR="00AC0F3E" w:rsidRPr="00E93F40" w:rsidRDefault="00AC0F3E" w:rsidP="00E93F40">
      <w:pPr>
        <w:spacing w:after="0" w:line="240" w:lineRule="auto"/>
        <w:jc w:val="both"/>
        <w:rPr>
          <w:rFonts w:ascii="Times New Roman" w:hAnsi="Times New Roman"/>
          <w:color w:val="000000" w:themeColor="text1"/>
          <w:sz w:val="16"/>
          <w:szCs w:val="16"/>
        </w:rPr>
      </w:pPr>
    </w:p>
    <w:p w14:paraId="4BCD3269"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июля 1932 г. начальник УММ РККА И. Халепский подписал приказ о проведении заводских испытаний Д-2, которые прошли 17 июля «на перегоне завод № 1 — ст. Люблино — ст. Замоскворечье — ст. Царицыно».</w:t>
      </w:r>
    </w:p>
    <w:p w14:paraId="1A13C35C"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в самом начале пробега у мотоброневагона вышла из коробка перемены передач, и его вернули на ремонт. 14 сентября 1932 года завод № 1 провел испытания Д-2 с дисково-сцепной муфтой,</w:t>
      </w:r>
    </w:p>
    <w:p w14:paraId="033A5267"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«предложенной тов. Дыренковым и уже устанавливаемой в качестве типовой для всех 60-ти Д-2». </w:t>
      </w:r>
    </w:p>
    <w:p w14:paraId="6F77F2CF"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после 4 км пробега пришлось прекратить испытания из-за </w:t>
      </w:r>
    </w:p>
    <w:p w14:paraId="67AAF4A6"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«отказа в работе дисково-сцепной муфты, гидравлического и ручного управления».</w:t>
      </w:r>
    </w:p>
    <w:p w14:paraId="2478620B"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Внешне серийный вариант Д-2 напоминал сильно увеличенный в размерах опытный образец. Корпус сваривался из 10-16 мм бронели-стов, что позволило снизить его массу и удешевить производство. В центре корпуса размещалась довольно большая рубка для командира, радиста и водителя, в стенках которой имелось 1 люков со смотровыми щелями и дверь для выхода на крышу Четыре двери в бортах корпуса служили для посадки экипажа. В центре рамы, к которой крепился корпус, находился автомобильный двигатель «Геркулес» YXC мощностью 93 л.с и коробка перемены передач Д-35. В отличие от опытного образца на серийных мото-броневагонах Д-2 коробка Д-35 снабжалась дисково-сцепной муфтой конструкции Дыренкова, обеспечивавшей более плавное переключение передач, а управление вагоном было двойным — механическим и гидравлическим. Все эти нововведения позволили значительно облегчить управление мотоброневагоном, но их надежность оставляла желать лучшего (25568).</w:t>
      </w:r>
    </w:p>
    <w:p w14:paraId="3955FC64" w14:textId="77777777" w:rsidR="003F4A45" w:rsidRPr="00142305" w:rsidRDefault="003F4A45" w:rsidP="003F4A45">
      <w:pPr>
        <w:spacing w:after="0" w:line="240" w:lineRule="auto"/>
        <w:jc w:val="both"/>
        <w:rPr>
          <w:rFonts w:ascii="Times New Roman" w:hAnsi="Times New Roman"/>
          <w:color w:val="0070C0"/>
          <w:sz w:val="16"/>
          <w:szCs w:val="16"/>
        </w:rPr>
      </w:pPr>
    </w:p>
    <w:p w14:paraId="6B429B0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543288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767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июля 1932 вышли постановления ЦК ВКП(б) и СНК "Об аварийности в частях ВВС РККА". Была высокой и решили лучше кормить и возить, но потребовали дисциплины (66,191).</w:t>
      </w:r>
    </w:p>
    <w:p w14:paraId="58E41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Потом было соответствующее постановление ЦК ВКП(б) "О политико-воспитательной работе с летным составом" (66,191).</w:t>
      </w:r>
    </w:p>
    <w:p w14:paraId="404A58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C15137"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июля 1932 г. в Постановлении ЦК ВКП (б) и СНК Союза «Об аварий</w:t>
      </w:r>
      <w:r w:rsidRPr="00142305">
        <w:rPr>
          <w:rFonts w:ascii="Times New Roman" w:hAnsi="Times New Roman"/>
          <w:color w:val="0070C0"/>
          <w:sz w:val="16"/>
          <w:szCs w:val="16"/>
        </w:rPr>
        <w:softHyphen/>
        <w:t>ности в частях ВВС РККА», сыгравшем важную роль в их строительстве, были рассмотрены, кроме аварийности, и другие проблемы, имевшиеся в то время в военной авиации. Не обошло Постановление вниманием и авиапромышлен</w:t>
      </w:r>
      <w:r w:rsidRPr="00142305">
        <w:rPr>
          <w:rFonts w:ascii="Times New Roman" w:hAnsi="Times New Roman"/>
          <w:color w:val="0070C0"/>
          <w:sz w:val="16"/>
          <w:szCs w:val="16"/>
        </w:rPr>
        <w:softHyphen/>
        <w:t>ность, а также другие отрасли народного хозяйства, связанные с ВВС.</w:t>
      </w:r>
    </w:p>
    <w:p w14:paraId="025575B0"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Постановлении ЦК ВКП (б) и СНК СССР отмечалось: «Основной при</w:t>
      </w:r>
      <w:r w:rsidRPr="00142305">
        <w:rPr>
          <w:rFonts w:ascii="Times New Roman" w:hAnsi="Times New Roman"/>
          <w:color w:val="0070C0"/>
          <w:sz w:val="16"/>
          <w:szCs w:val="16"/>
        </w:rPr>
        <w:softHyphen/>
        <w:t>чиной аварийности являлось отсутствие должной воинской дисциплины в частях ВВС и неорганизованность как учебной, так и эксплуатационной работы, при слабом знании личным составом материальной части авиации. РВС СССР два года назад летом 1930 г. рассматривал аварийность в ВВС РККА. Вроде снизи</w:t>
      </w:r>
      <w:r w:rsidRPr="00142305">
        <w:rPr>
          <w:rFonts w:ascii="Times New Roman" w:hAnsi="Times New Roman"/>
          <w:color w:val="0070C0"/>
          <w:sz w:val="16"/>
          <w:szCs w:val="16"/>
        </w:rPr>
        <w:softHyphen/>
        <w:t>лась. Теперь - снова! И это, несмотря на приказ от 16 марта (опечатка в тексте, правильно - 5 марта] 1932 г. За время с 1 апреля по 23 июня с. г. в частях ВВС произошло 136 аварий, в том числе 23 катастрофы против 89 аварий и 5 ката</w:t>
      </w:r>
      <w:r w:rsidRPr="00142305">
        <w:rPr>
          <w:rFonts w:ascii="Times New Roman" w:hAnsi="Times New Roman"/>
          <w:color w:val="0070C0"/>
          <w:sz w:val="16"/>
          <w:szCs w:val="16"/>
        </w:rPr>
        <w:softHyphen/>
        <w:t>строф за тот же период прошлого года (увеличение аварий на 53%, катастроф - на 360%). В результате этих происшествий погибло 50 человек летногосостава и совершенно разбито 42 самолета (из них 6 тяжелых). За один день 11 июня произошло 2 столкновения в воздухе (Балтморе и БВО), погибло 12 человек и уничтожено 4 самолета, из них 2 тяжелых» (Авиация и космонавтика. - 2007. - № 2 (март-апрель). - С. 26-29).</w:t>
      </w:r>
    </w:p>
    <w:p w14:paraId="23909816"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перечисления ряда катастроф ЦК ВКП (б) и СНК СССР обвиняли ВВС в недопустимом ослаблении воинской дисциплины в частях ВВС РККА, в преступном нарушении всех приказов и пр.</w:t>
      </w:r>
    </w:p>
    <w:p w14:paraId="7D2751D7"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Далее высшее руководство страны обращало внимание авиаконструкторов и руководителей Наркомата тяжелой промышленности (НКТП) по авиационной промышленности, что практически на всех советских самолетах отсутствуют все виды радиосвязи: между самолетами (даже тяжелыми) в воздухе, самолета с «землей» и телефонная связь между членами экипажа, не хватает парашютов, нет средств автоматизации полета и средств, облегчающих руление на земле.</w:t>
      </w:r>
    </w:p>
    <w:p w14:paraId="687BB1BE"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Постановлении говорилось также, что Начальник ВВС Алкснис и его за</w:t>
      </w:r>
      <w:r w:rsidRPr="00142305">
        <w:rPr>
          <w:rFonts w:ascii="Times New Roman" w:hAnsi="Times New Roman"/>
          <w:color w:val="0070C0"/>
          <w:sz w:val="16"/>
          <w:szCs w:val="16"/>
        </w:rPr>
        <w:softHyphen/>
        <w:t>местители Наумов и Меженинов еще не справились со стоящими перед ними от</w:t>
      </w:r>
      <w:r w:rsidRPr="00142305">
        <w:rPr>
          <w:rFonts w:ascii="Times New Roman" w:hAnsi="Times New Roman"/>
          <w:color w:val="0070C0"/>
          <w:sz w:val="16"/>
          <w:szCs w:val="16"/>
        </w:rPr>
        <w:softHyphen/>
        <w:t>ветственными задачами по руководству ВВС. Алкснис допустил прямую ошибку, издав «совершенно неправильный приказ» № 046 об итогах учебы в 1931 г., в котором неумеренно и неверно расхвалил и поставил в пример работу ВВС Белорусского военного округа. В связи с этим предлагалось Реввоенсовету Союза отменить вышеназванный приказ.</w:t>
      </w:r>
    </w:p>
    <w:p w14:paraId="6C5EC3FA"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целях решительного улучшения руководства ВВС в округах, предписы</w:t>
      </w:r>
      <w:r w:rsidRPr="00142305">
        <w:rPr>
          <w:rFonts w:ascii="Times New Roman" w:hAnsi="Times New Roman"/>
          <w:color w:val="0070C0"/>
          <w:sz w:val="16"/>
          <w:szCs w:val="16"/>
        </w:rPr>
        <w:softHyphen/>
        <w:t>валось ввести в ЛВО, БВО, МВО, УВО, СКВО, ПРИВО, ОКДВА и «морях» Бал</w:t>
      </w:r>
      <w:r w:rsidRPr="00142305">
        <w:rPr>
          <w:rFonts w:ascii="Times New Roman" w:hAnsi="Times New Roman"/>
          <w:color w:val="0070C0"/>
          <w:sz w:val="16"/>
          <w:szCs w:val="16"/>
        </w:rPr>
        <w:softHyphen/>
        <w:t>тийском и Черном - специальную должность помощников командующих вой</w:t>
      </w:r>
      <w:r w:rsidRPr="00142305">
        <w:rPr>
          <w:rFonts w:ascii="Times New Roman" w:hAnsi="Times New Roman"/>
          <w:color w:val="0070C0"/>
          <w:sz w:val="16"/>
          <w:szCs w:val="16"/>
        </w:rPr>
        <w:softHyphen/>
        <w:t>сками по ВВС. Через несколько лет эта должность стала называться: начальник ВВС военного округа.</w:t>
      </w:r>
    </w:p>
    <w:p w14:paraId="0A9134A0"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каждой бригаде указывалось на необходимость иметь должность специ</w:t>
      </w:r>
      <w:r w:rsidRPr="00142305">
        <w:rPr>
          <w:rFonts w:ascii="Times New Roman" w:hAnsi="Times New Roman"/>
          <w:color w:val="0070C0"/>
          <w:sz w:val="16"/>
          <w:szCs w:val="16"/>
        </w:rPr>
        <w:softHyphen/>
        <w:t>ального инспектора, подчиненного непосредственно инспектору ВВС РККА, с функциями всестороннего наблюдения и контроля за установлением строжай</w:t>
      </w:r>
      <w:r w:rsidRPr="00142305">
        <w:rPr>
          <w:rFonts w:ascii="Times New Roman" w:hAnsi="Times New Roman"/>
          <w:color w:val="0070C0"/>
          <w:sz w:val="16"/>
          <w:szCs w:val="16"/>
        </w:rPr>
        <w:softHyphen/>
        <w:t>шей воинской дисциплины, за руководством боевой подготовкой частей бри</w:t>
      </w:r>
      <w:r w:rsidRPr="00142305">
        <w:rPr>
          <w:rFonts w:ascii="Times New Roman" w:hAnsi="Times New Roman"/>
          <w:color w:val="0070C0"/>
          <w:sz w:val="16"/>
          <w:szCs w:val="16"/>
        </w:rPr>
        <w:softHyphen/>
        <w:t xml:space="preserve">гады, за воспитанием </w:t>
      </w:r>
      <w:r w:rsidRPr="00142305">
        <w:rPr>
          <w:rFonts w:ascii="Times New Roman" w:hAnsi="Times New Roman"/>
          <w:color w:val="0070C0"/>
          <w:sz w:val="16"/>
          <w:szCs w:val="16"/>
        </w:rPr>
        <w:lastRenderedPageBreak/>
        <w:t>личного состава и соблюдением установленного внутрен</w:t>
      </w:r>
      <w:r w:rsidRPr="00142305">
        <w:rPr>
          <w:rFonts w:ascii="Times New Roman" w:hAnsi="Times New Roman"/>
          <w:color w:val="0070C0"/>
          <w:sz w:val="16"/>
          <w:szCs w:val="16"/>
        </w:rPr>
        <w:softHyphen/>
        <w:t>него распорядка. Предоставить инспектору бригады право непосредственного сношения с РВС округов и с инспектором ВВС РККА, а в случае надобности - и с РВС СССР.</w:t>
      </w:r>
    </w:p>
    <w:p w14:paraId="7F9C99B0"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целью усиления политического руководства предписывалось ввести в по</w:t>
      </w:r>
      <w:r w:rsidRPr="00142305">
        <w:rPr>
          <w:rFonts w:ascii="Times New Roman" w:hAnsi="Times New Roman"/>
          <w:color w:val="0070C0"/>
          <w:sz w:val="16"/>
          <w:szCs w:val="16"/>
        </w:rPr>
        <w:softHyphen/>
        <w:t>литуправлениях округов специальные сектора по работе в авиации, а в эскадрильях - штатную должность ответственных секретарей парторганизаций.</w:t>
      </w:r>
    </w:p>
    <w:p w14:paraId="35C104A7"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Постановление требовало от парторганизаций и политорганов ВВС РККА жесточайшей борьбы за дисциплину и коренного улучшения воспитательной ра</w:t>
      </w:r>
      <w:r w:rsidRPr="00142305">
        <w:rPr>
          <w:rFonts w:ascii="Times New Roman" w:hAnsi="Times New Roman"/>
          <w:color w:val="0070C0"/>
          <w:sz w:val="16"/>
          <w:szCs w:val="16"/>
        </w:rPr>
        <w:softHyphen/>
        <w:t>боты среди летного и технического состава ВВС. Оно предупреждало, что без</w:t>
      </w:r>
      <w:r w:rsidRPr="00142305">
        <w:rPr>
          <w:rFonts w:ascii="Times New Roman" w:hAnsi="Times New Roman"/>
          <w:color w:val="0070C0"/>
          <w:sz w:val="16"/>
          <w:szCs w:val="16"/>
        </w:rPr>
        <w:softHyphen/>
        <w:t>деятельность парторганизаций и политорганов ВВС в деле укрепления дисци</w:t>
      </w:r>
      <w:r w:rsidRPr="00142305">
        <w:rPr>
          <w:rFonts w:ascii="Times New Roman" w:hAnsi="Times New Roman"/>
          <w:color w:val="0070C0"/>
          <w:sz w:val="16"/>
          <w:szCs w:val="16"/>
        </w:rPr>
        <w:softHyphen/>
        <w:t>плины и борьбы с аварийностью поставит каждого ответственного партполитработника этих организаций вне рядов партии.</w:t>
      </w:r>
    </w:p>
    <w:p w14:paraId="48DC3D21"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следствие, для руководства партийно-политической работой в низо</w:t>
      </w:r>
      <w:r w:rsidRPr="00142305">
        <w:rPr>
          <w:rFonts w:ascii="Times New Roman" w:hAnsi="Times New Roman"/>
          <w:color w:val="0070C0"/>
          <w:sz w:val="16"/>
          <w:szCs w:val="16"/>
        </w:rPr>
        <w:softHyphen/>
        <w:t>вых звеньях, с 15 мая 1933 г. вводились в действие новые штаты, согласно кото</w:t>
      </w:r>
      <w:r w:rsidRPr="00142305">
        <w:rPr>
          <w:rFonts w:ascii="Times New Roman" w:hAnsi="Times New Roman"/>
          <w:color w:val="0070C0"/>
          <w:sz w:val="16"/>
          <w:szCs w:val="16"/>
        </w:rPr>
        <w:softHyphen/>
        <w:t>рым в составе Политуправления РККА образовывался отдел по руководству по</w:t>
      </w:r>
      <w:r w:rsidRPr="00142305">
        <w:rPr>
          <w:rFonts w:ascii="Times New Roman" w:hAnsi="Times New Roman"/>
          <w:color w:val="0070C0"/>
          <w:sz w:val="16"/>
          <w:szCs w:val="16"/>
        </w:rPr>
        <w:softHyphen/>
        <w:t>литической работой в ВВС.</w:t>
      </w:r>
    </w:p>
    <w:p w14:paraId="4421F940"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Центральному комитету ВЛКСМ указывалось на необходимость реши</w:t>
      </w:r>
      <w:r w:rsidRPr="00142305">
        <w:rPr>
          <w:rFonts w:ascii="Times New Roman" w:hAnsi="Times New Roman"/>
          <w:color w:val="0070C0"/>
          <w:sz w:val="16"/>
          <w:szCs w:val="16"/>
        </w:rPr>
        <w:softHyphen/>
        <w:t>тельно усилить воспитательную работу среди комсомольцев ВВС РККА, осо</w:t>
      </w:r>
      <w:r w:rsidRPr="00142305">
        <w:rPr>
          <w:rFonts w:ascii="Times New Roman" w:hAnsi="Times New Roman"/>
          <w:color w:val="0070C0"/>
          <w:sz w:val="16"/>
          <w:szCs w:val="16"/>
        </w:rPr>
        <w:softHyphen/>
        <w:t>бенно по внедрению в их ряды железной дисциплины.</w:t>
      </w:r>
    </w:p>
    <w:p w14:paraId="6663D30E"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РВС предписывалось пересмотреть все свои указания на летний период и приказы начальников ВВС РККА и ВВС округов, армий и «морей» и внести в них все необходимые коррективы для обеспечения последовательности и посте</w:t>
      </w:r>
      <w:r w:rsidRPr="00142305">
        <w:rPr>
          <w:rFonts w:ascii="Times New Roman" w:hAnsi="Times New Roman"/>
          <w:color w:val="0070C0"/>
          <w:sz w:val="16"/>
          <w:szCs w:val="16"/>
        </w:rPr>
        <w:softHyphen/>
        <w:t>пенности в боевой подготовке ВВС РККА за счет лучшей планомерности и ор</w:t>
      </w:r>
      <w:r w:rsidRPr="00142305">
        <w:rPr>
          <w:rFonts w:ascii="Times New Roman" w:hAnsi="Times New Roman"/>
          <w:color w:val="0070C0"/>
          <w:sz w:val="16"/>
          <w:szCs w:val="16"/>
        </w:rPr>
        <w:softHyphen/>
        <w:t>ганизованности занятий и без снижения поставленных задач на 1932 г.</w:t>
      </w:r>
    </w:p>
    <w:p w14:paraId="1EA4B2E1"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РВС Союза должен был пересмотреть в течение 20 дней состав командиров авиаэскадрилий и отдельных авиаотрядов, для замены несоответствующих и от</w:t>
      </w:r>
      <w:r w:rsidRPr="00142305">
        <w:rPr>
          <w:rFonts w:ascii="Times New Roman" w:hAnsi="Times New Roman"/>
          <w:color w:val="0070C0"/>
          <w:sz w:val="16"/>
          <w:szCs w:val="16"/>
        </w:rPr>
        <w:softHyphen/>
        <w:t>бора достойных кандидатов на эти должности. В этот же срок пересмотреть со</w:t>
      </w:r>
      <w:r w:rsidRPr="00142305">
        <w:rPr>
          <w:rFonts w:ascii="Times New Roman" w:hAnsi="Times New Roman"/>
          <w:color w:val="0070C0"/>
          <w:sz w:val="16"/>
          <w:szCs w:val="16"/>
        </w:rPr>
        <w:softHyphen/>
        <w:t>став командиров тяжелых кораблей.</w:t>
      </w:r>
    </w:p>
    <w:p w14:paraId="2F6F1FB5"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Впредь в аттестационных выводах летного состава требовалось отмечать пригодность аттестуемых командиров к службе в том или ином роде авиации, выдвигая наиболее выдающихся, дисциплинированных и подготовленных ко</w:t>
      </w:r>
      <w:r w:rsidRPr="00142305">
        <w:rPr>
          <w:rFonts w:ascii="Times New Roman" w:hAnsi="Times New Roman"/>
          <w:color w:val="0070C0"/>
          <w:sz w:val="16"/>
          <w:szCs w:val="16"/>
        </w:rPr>
        <w:softHyphen/>
        <w:t>мандиров к службе в частях тяжелой авиации.</w:t>
      </w:r>
    </w:p>
    <w:p w14:paraId="55201E8C"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Постановление требовало установить порядок, чтобы при назначении на должность обязательно учитывалась предыдущая аттестация назначаемого. Ко</w:t>
      </w:r>
      <w:r w:rsidRPr="00142305">
        <w:rPr>
          <w:rFonts w:ascii="Times New Roman" w:hAnsi="Times New Roman"/>
          <w:color w:val="0070C0"/>
          <w:sz w:val="16"/>
          <w:szCs w:val="16"/>
        </w:rPr>
        <w:softHyphen/>
        <w:t>мандир, допустивший назначение без соответствия с аттестацией, должен был нести за это строжайшую ответственность.</w:t>
      </w:r>
    </w:p>
    <w:p w14:paraId="4C40B8C0"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Далее приводим цитату из Постановления, относящуюся к легкой про</w:t>
      </w:r>
      <w:r w:rsidRPr="00142305">
        <w:rPr>
          <w:rFonts w:ascii="Times New Roman" w:hAnsi="Times New Roman"/>
          <w:color w:val="0070C0"/>
          <w:sz w:val="16"/>
          <w:szCs w:val="16"/>
        </w:rPr>
        <w:softHyphen/>
        <w:t>мышленности: «Предложить НК легкой промышленности под личную ответственность т. Любимова (Нарком легкой промышленности СССР в 1932 1937 гг. ) развернуть производство парашютов на соответ</w:t>
      </w:r>
      <w:r w:rsidRPr="00142305">
        <w:rPr>
          <w:rFonts w:ascii="Times New Roman" w:hAnsi="Times New Roman"/>
          <w:color w:val="0070C0"/>
          <w:sz w:val="16"/>
          <w:szCs w:val="16"/>
        </w:rPr>
        <w:softHyphen/>
        <w:t>ствующей фабрике с тем, чтобы до 15 августа 1932 г. выпустить парашюты типа ПЛ-1 в количестве 200 шт. и - ПН - 800 шт. - для летного состава истребитель</w:t>
      </w:r>
      <w:r w:rsidRPr="00142305">
        <w:rPr>
          <w:rFonts w:ascii="Times New Roman" w:hAnsi="Times New Roman"/>
          <w:color w:val="0070C0"/>
          <w:sz w:val="16"/>
          <w:szCs w:val="16"/>
        </w:rPr>
        <w:softHyphen/>
        <w:t>ной и тяжелой бомбардировочной авиации. Весь остальной летный состав обес</w:t>
      </w:r>
      <w:r w:rsidRPr="00142305">
        <w:rPr>
          <w:rFonts w:ascii="Times New Roman" w:hAnsi="Times New Roman"/>
          <w:color w:val="0070C0"/>
          <w:sz w:val="16"/>
          <w:szCs w:val="16"/>
        </w:rPr>
        <w:softHyphen/>
        <w:t>печить парашютами ПЛ-1 - 1 521 шт. и ПН-2 - 1 575 шт., выпустив их не позднее 15 сентября 1932 года».</w:t>
      </w:r>
    </w:p>
    <w:p w14:paraId="69FC7A0F"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Далее предлагалось РВС и НК тяжелой промышленности форсировать из</w:t>
      </w:r>
      <w:r w:rsidRPr="00142305">
        <w:rPr>
          <w:rFonts w:ascii="Times New Roman" w:hAnsi="Times New Roman"/>
          <w:color w:val="0070C0"/>
          <w:sz w:val="16"/>
          <w:szCs w:val="16"/>
        </w:rPr>
        <w:softHyphen/>
        <w:t>готовление радиостанций для межсамолетной связи в воздухе и между самоле</w:t>
      </w:r>
      <w:r w:rsidRPr="00142305">
        <w:rPr>
          <w:rFonts w:ascii="Times New Roman" w:hAnsi="Times New Roman"/>
          <w:color w:val="0070C0"/>
          <w:sz w:val="16"/>
          <w:szCs w:val="16"/>
        </w:rPr>
        <w:softHyphen/>
        <w:t>тами и землей. Указывалось на необходимость установить, что с 1 января 1933 г. ни один тяжелый самолет не может пойти в полет без наличия на борту исправно действующей рации. Для каждого тяжелого самолета считать необходимым в са</w:t>
      </w:r>
      <w:r w:rsidRPr="00142305">
        <w:rPr>
          <w:rFonts w:ascii="Times New Roman" w:hAnsi="Times New Roman"/>
          <w:color w:val="0070C0"/>
          <w:sz w:val="16"/>
          <w:szCs w:val="16"/>
        </w:rPr>
        <w:softHyphen/>
        <w:t>мый кратчайший срок осуществить разработку и установку внутренней связи, безотказно действующей в любых условиях. Конкретные мероприятия по этому пункту, в том числе и о стабилизаторах, «разрезных» крыльях, тормозных коле</w:t>
      </w:r>
      <w:r w:rsidRPr="00142305">
        <w:rPr>
          <w:rFonts w:ascii="Times New Roman" w:hAnsi="Times New Roman"/>
          <w:color w:val="0070C0"/>
          <w:sz w:val="16"/>
          <w:szCs w:val="16"/>
        </w:rPr>
        <w:softHyphen/>
        <w:t>сах и прочее заслушать на ближайшем заседании Комитета обороны.</w:t>
      </w:r>
    </w:p>
    <w:p w14:paraId="15E38943"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Постановление требовало «запретить всем организациям СССР, связан</w:t>
      </w:r>
      <w:r w:rsidRPr="00142305">
        <w:rPr>
          <w:rFonts w:ascii="Times New Roman" w:hAnsi="Times New Roman"/>
          <w:color w:val="0070C0"/>
          <w:sz w:val="16"/>
          <w:szCs w:val="16"/>
        </w:rPr>
        <w:softHyphen/>
        <w:t>ным с авиацией, принимать на службу летчиков, техников и инженеров, уволен</w:t>
      </w:r>
      <w:r w:rsidRPr="00142305">
        <w:rPr>
          <w:rFonts w:ascii="Times New Roman" w:hAnsi="Times New Roman"/>
          <w:color w:val="0070C0"/>
          <w:sz w:val="16"/>
          <w:szCs w:val="16"/>
        </w:rPr>
        <w:softHyphen/>
        <w:t>ных из ВВС РККА по порочащим их обстоятельствам (недисциплинирован</w:t>
      </w:r>
      <w:r w:rsidRPr="00142305">
        <w:rPr>
          <w:rFonts w:ascii="Times New Roman" w:hAnsi="Times New Roman"/>
          <w:color w:val="0070C0"/>
          <w:sz w:val="16"/>
          <w:szCs w:val="16"/>
        </w:rPr>
        <w:softHyphen/>
        <w:t>ность, воздушное хулиганство, политико-моральное разложение или неустойчи</w:t>
      </w:r>
      <w:r w:rsidRPr="00142305">
        <w:rPr>
          <w:rFonts w:ascii="Times New Roman" w:hAnsi="Times New Roman"/>
          <w:color w:val="0070C0"/>
          <w:sz w:val="16"/>
          <w:szCs w:val="16"/>
        </w:rPr>
        <w:softHyphen/>
        <w:t>вость, пьянство и т. д.). СНК СССР предписывалось издать по этому поводу за</w:t>
      </w:r>
      <w:r w:rsidRPr="00142305">
        <w:rPr>
          <w:rFonts w:ascii="Times New Roman" w:hAnsi="Times New Roman"/>
          <w:color w:val="0070C0"/>
          <w:sz w:val="16"/>
          <w:szCs w:val="16"/>
        </w:rPr>
        <w:softHyphen/>
        <w:t>кон и определить порядок его неуклонного применения».</w:t>
      </w:r>
    </w:p>
    <w:p w14:paraId="551593D3"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Реввоенсовету СССР этим Постановлением было предписано немедленно реорганизовать Управление ВВС РККА в целях усиления оперативно-учебного руководства боевыми частями, крупными соединениями ВВС, вузами, тыло</w:t>
      </w:r>
      <w:r w:rsidRPr="00142305">
        <w:rPr>
          <w:rFonts w:ascii="Times New Roman" w:hAnsi="Times New Roman"/>
          <w:color w:val="0070C0"/>
          <w:sz w:val="16"/>
          <w:szCs w:val="16"/>
        </w:rPr>
        <w:softHyphen/>
        <w:t>выми органами и капитальным строительством. Для этого: увеличить штат Ин</w:t>
      </w:r>
      <w:r w:rsidRPr="00142305">
        <w:rPr>
          <w:rFonts w:ascii="Times New Roman" w:hAnsi="Times New Roman"/>
          <w:color w:val="0070C0"/>
          <w:sz w:val="16"/>
          <w:szCs w:val="16"/>
        </w:rPr>
        <w:softHyphen/>
        <w:t>спекции ВВС РККА и ввести при Начальнике ВВС РККА штат порученцев для непосредственных и повседневных сношений с подчиненными ему частями и для усиления живого инструктирования и проверки выполнения учебной и бое</w:t>
      </w:r>
      <w:r w:rsidRPr="00142305">
        <w:rPr>
          <w:rFonts w:ascii="Times New Roman" w:hAnsi="Times New Roman"/>
          <w:color w:val="0070C0"/>
          <w:sz w:val="16"/>
          <w:szCs w:val="16"/>
        </w:rPr>
        <w:softHyphen/>
        <w:t>вой подготовки в частях ВВС РККА (24968).</w:t>
      </w:r>
    </w:p>
    <w:p w14:paraId="37D4E03E" w14:textId="77777777" w:rsidR="003F4A45" w:rsidRPr="003F4A45" w:rsidRDefault="003F4A45" w:rsidP="003F4A45">
      <w:pPr>
        <w:pStyle w:val="aff2"/>
        <w:tabs>
          <w:tab w:val="left" w:pos="594"/>
        </w:tabs>
        <w:spacing w:line="240" w:lineRule="auto"/>
        <w:rPr>
          <w:rFonts w:ascii="Times New Roman" w:hAnsi="Times New Roman" w:cs="Times New Roman"/>
          <w:i w:val="0"/>
          <w:iCs w:val="0"/>
          <w:color w:val="0070C0"/>
          <w:sz w:val="16"/>
          <w:szCs w:val="16"/>
          <w:lang w:val="ru-RU"/>
        </w:rPr>
      </w:pPr>
    </w:p>
    <w:p w14:paraId="7F2CB3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июля 1932 ЦК ВКП(б) одобрил меры по укреплению политорганов и партполитаппарата ВВС (505,119).</w:t>
      </w:r>
    </w:p>
    <w:p w14:paraId="7101C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3C6B6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7F0FEE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6F851C"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5 июля</w:t>
      </w:r>
      <w:r w:rsidRPr="00E93F40">
        <w:rPr>
          <w:rFonts w:ascii="Times New Roman" w:hAnsi="Times New Roman"/>
          <w:color w:val="000000" w:themeColor="text1"/>
          <w:sz w:val="16"/>
          <w:szCs w:val="16"/>
        </w:rPr>
        <w:t xml:space="preserve"> в 1932 году приступили к испытаниям на штопор английского истребителя </w:t>
      </w:r>
      <w:hyperlink r:id="rId175" w:tgtFrame="_blank" w:history="1">
        <w:r w:rsidRPr="00E93F40">
          <w:rPr>
            <w:rFonts w:ascii="Times New Roman" w:hAnsi="Times New Roman"/>
            <w:color w:val="000000" w:themeColor="text1"/>
            <w:sz w:val="16"/>
            <w:szCs w:val="16"/>
          </w:rPr>
          <w:t xml:space="preserve">«Vickers Jockey». </w:t>
        </w:r>
      </w:hyperlink>
      <w:r w:rsidRPr="00E93F40">
        <w:rPr>
          <w:rFonts w:ascii="Times New Roman" w:hAnsi="Times New Roman"/>
          <w:color w:val="000000" w:themeColor="text1"/>
          <w:sz w:val="16"/>
          <w:szCs w:val="16"/>
        </w:rPr>
        <w:t>Сначала испытатель лейтенант Паркер выполнил пять левых витков, из которых истребитель вышел нормально, после этого он начал выполнять витки в правую сторону. Неожиданно самолет перешел в плоский штопор, выйти из которого не удалось, и Паркеру пришлось воспользоваться парашютом. Несмотря на изучение обломков истребителя комиссией из представителей фирмы и министерства авиации, а также последующие испытания модели самолета в масштабе 1/22 в штопорных трубах Национальной физической лаборатории, истинные причины катастрофы установить так и не удалось, а все работы по "Жокею" были прекращены (14943).</w:t>
      </w:r>
    </w:p>
    <w:p w14:paraId="28526EEC" w14:textId="77777777" w:rsidR="002C36D8" w:rsidRPr="00E93F40" w:rsidRDefault="002C36D8" w:rsidP="00E93F40">
      <w:pPr>
        <w:spacing w:after="0" w:line="240" w:lineRule="auto"/>
        <w:jc w:val="both"/>
        <w:rPr>
          <w:rFonts w:ascii="Times New Roman" w:hAnsi="Times New Roman"/>
          <w:color w:val="000000" w:themeColor="text1"/>
          <w:sz w:val="16"/>
          <w:szCs w:val="16"/>
        </w:rPr>
      </w:pPr>
    </w:p>
    <w:p w14:paraId="7D760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июля 1932 Антониу ди Оливейра Салазар стал премьер-министром Португалии (3186) и был им до 1968 (3481).</w:t>
      </w:r>
    </w:p>
    <w:p w14:paraId="3524A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2B451E" w14:textId="77777777" w:rsidR="002A4AA5"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9078456" w14:textId="77777777" w:rsidR="002A4AA5" w:rsidRPr="00E93F40" w:rsidRDefault="002A4AA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6CBB6C" w14:textId="77777777" w:rsidR="002A4AA5" w:rsidRPr="00E93F40" w:rsidRDefault="002A4AA5"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6 июля 1932 г. для Украины Постановлением Совнаркома СССР и ЦК ВКП(б) план хлебозаготовок из урожая 1932 года был установлен на уровне 356 млн. пудов (5,7 млн т). 22 октября 1932 года план заготовок был снижен еще на 70 млн пудов. В ноябре 1932 года, когда стало ясно, что урожай получили очень низкий, план заготовок снизили еще раз. Например, для Северного Кавказа план был снижен со 2,18 млн т. до 1,55 млн т. 14 января 1933 г ЦК КП(б)У принял постановление, в котором еще раз снизил план - на 29,4 млн. пудов (0,47 млн т). После официального завершения заготовок 5 февраля 1933 года первый секретарь ЦК КП(б)У С.В.Косиор в своем докладе указал, что суммарный план для колхозов и единоличников был оказывается снижен с 356 млн. пудов (5,7 млн т) до 218 млн. пудов (3,5 млн т). Это косвенно подтверждается председателем Совета по изучению продуктивных сил Украины А.Г.Шлихтером в его речи на 17-м съезде ВКП(б) [99, 100].</w:t>
      </w:r>
    </w:p>
    <w:p w14:paraId="265EF275" w14:textId="77777777" w:rsidR="002A4AA5" w:rsidRPr="00E93F40" w:rsidRDefault="002A4AA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eastAsia="Times New Roman" w:hAnsi="Times New Roman"/>
          <w:color w:val="000000" w:themeColor="text1"/>
          <w:sz w:val="16"/>
          <w:szCs w:val="16"/>
          <w:lang w:eastAsia="ru-RU"/>
        </w:rPr>
        <w:t>Таким образом, первоначальный план хлебозаготовок по СССР к январю 1933 г. "был снижен на 17% до 17,045 млн т". Всего государство из урожая 1932 года до 1 июля 1933 года "забрало" у украинских крестьян не более 248 млн. пудов (4 млн. т) зерна. Тем не менее возник голод. Действуя, по сути вслепую, Сталин тем не менее пошел навстречу крестьянам (17264).</w:t>
      </w:r>
    </w:p>
    <w:p w14:paraId="23882C47" w14:textId="77777777" w:rsidR="002A4AA5" w:rsidRPr="00E93F40" w:rsidRDefault="002A4AA5" w:rsidP="00E93F40">
      <w:pPr>
        <w:autoSpaceDE w:val="0"/>
        <w:autoSpaceDN w:val="0"/>
        <w:adjustRightInd w:val="0"/>
        <w:spacing w:after="0" w:line="240" w:lineRule="auto"/>
        <w:jc w:val="both"/>
        <w:rPr>
          <w:rFonts w:ascii="Times New Roman" w:hAnsi="Times New Roman"/>
          <w:color w:val="000000" w:themeColor="text1"/>
          <w:sz w:val="16"/>
          <w:szCs w:val="16"/>
        </w:rPr>
      </w:pPr>
    </w:p>
    <w:p w14:paraId="42EBA795" w14:textId="77777777" w:rsidR="003A7E44" w:rsidRPr="00E93F40" w:rsidRDefault="003A7E44"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588E029" w14:textId="77777777" w:rsidR="003A7E44" w:rsidRPr="00E93F40" w:rsidRDefault="003A7E4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A8FFBB6" w14:textId="77777777" w:rsidR="003A7E44" w:rsidRPr="00E93F40" w:rsidRDefault="003A7E44"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июля 1932 г. испытания на НИАПе 107-мм осколочно-химической мины из сталистого чугуна, разработанной группой «Д» по заказу ВОХИМУ, на который был выдан опытный заказ, показали неудовлетворительные результаты, после чего группа «Д» приступила к разработке нового проекта (20074).</w:t>
      </w:r>
    </w:p>
    <w:p w14:paraId="60B8673B" w14:textId="77777777" w:rsidR="003A7E44" w:rsidRPr="00E93F40" w:rsidRDefault="003A7E44" w:rsidP="00E93F40">
      <w:pPr>
        <w:spacing w:after="0" w:line="240" w:lineRule="auto"/>
        <w:jc w:val="both"/>
        <w:rPr>
          <w:rFonts w:ascii="Times New Roman" w:hAnsi="Times New Roman"/>
          <w:color w:val="000000" w:themeColor="text1"/>
          <w:sz w:val="16"/>
          <w:szCs w:val="16"/>
        </w:rPr>
      </w:pPr>
    </w:p>
    <w:p w14:paraId="14C84526" w14:textId="77777777" w:rsidR="005E34C3" w:rsidRPr="00E93F40" w:rsidRDefault="005E34C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июля 1932 г. в Ленинграде в Опытном конструкторско-машиностроительном отделе (далее – ОКМО) завода им. К.Е. Ворошилова (в феврале 1932 г. танковое производство и ОКМО завода «Большевик» было выделено в самостоятельный завод им. К.Е. Ворошилова) была завершена сборка первого опытного образца дизеля ПГЕ ТО ЭКУ ОГПУ (24856).</w:t>
      </w:r>
    </w:p>
    <w:p w14:paraId="62117621" w14:textId="77777777" w:rsidR="005E34C3" w:rsidRPr="00E93F40" w:rsidRDefault="005E34C3" w:rsidP="00E93F40">
      <w:pPr>
        <w:spacing w:after="0" w:line="240" w:lineRule="auto"/>
        <w:jc w:val="both"/>
        <w:rPr>
          <w:rFonts w:ascii="Times New Roman" w:hAnsi="Times New Roman"/>
          <w:color w:val="000000" w:themeColor="text1"/>
          <w:sz w:val="16"/>
          <w:szCs w:val="16"/>
        </w:rPr>
      </w:pPr>
    </w:p>
    <w:p w14:paraId="00243C29"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июля 1932 года танк Т-41, спроектированный под руко</w:t>
      </w:r>
      <w:r w:rsidRPr="00142305">
        <w:rPr>
          <w:rFonts w:ascii="Times New Roman" w:hAnsi="Times New Roman"/>
          <w:color w:val="0070C0"/>
          <w:sz w:val="16"/>
          <w:szCs w:val="16"/>
        </w:rPr>
        <w:softHyphen/>
        <w:t>водством Н. Козырева на 2-м заводе Всесоюз</w:t>
      </w:r>
      <w:r w:rsidRPr="00142305">
        <w:rPr>
          <w:rFonts w:ascii="Times New Roman" w:hAnsi="Times New Roman"/>
          <w:color w:val="0070C0"/>
          <w:sz w:val="16"/>
          <w:szCs w:val="16"/>
        </w:rPr>
        <w:softHyphen/>
        <w:t>ного автотракторного объединения (ВАТО) в Москве, поступил на испытания. Танк имел клепано-сварной корпус, собранный на металлических угол</w:t>
      </w:r>
      <w:r w:rsidRPr="00142305">
        <w:rPr>
          <w:rFonts w:ascii="Times New Roman" w:hAnsi="Times New Roman"/>
          <w:color w:val="0070C0"/>
          <w:sz w:val="16"/>
          <w:szCs w:val="16"/>
        </w:rPr>
        <w:softHyphen/>
        <w:t>ках. Для герметизации стыков между бро</w:t>
      </w:r>
      <w:r w:rsidRPr="00142305">
        <w:rPr>
          <w:rFonts w:ascii="Times New Roman" w:hAnsi="Times New Roman"/>
          <w:color w:val="0070C0"/>
          <w:sz w:val="16"/>
          <w:szCs w:val="16"/>
        </w:rPr>
        <w:softHyphen/>
        <w:t>невыми листами в нижней части корпуса устанавливались резиновые прокладки. На крыше корпуса, на шариковом погоне, ус</w:t>
      </w:r>
      <w:r w:rsidRPr="00142305">
        <w:rPr>
          <w:rFonts w:ascii="Times New Roman" w:hAnsi="Times New Roman"/>
          <w:color w:val="0070C0"/>
          <w:sz w:val="16"/>
          <w:szCs w:val="16"/>
        </w:rPr>
        <w:softHyphen/>
        <w:t>танавливалась башня, смещенная к право</w:t>
      </w:r>
      <w:r w:rsidRPr="00142305">
        <w:rPr>
          <w:rFonts w:ascii="Times New Roman" w:hAnsi="Times New Roman"/>
          <w:color w:val="0070C0"/>
          <w:sz w:val="16"/>
          <w:szCs w:val="16"/>
        </w:rPr>
        <w:softHyphen/>
        <w:t>му борту. Ее поворот осуществлялся вручную при помощи специальных рукояток.</w:t>
      </w:r>
    </w:p>
    <w:p w14:paraId="09248EDF" w14:textId="77777777" w:rsidR="003F4A45" w:rsidRPr="003F4A45" w:rsidRDefault="003F4A45" w:rsidP="003F4A45">
      <w:pPr>
        <w:pStyle w:val="aff2"/>
        <w:tabs>
          <w:tab w:val="left" w:pos="594"/>
        </w:tabs>
        <w:spacing w:line="240" w:lineRule="auto"/>
        <w:rPr>
          <w:rFonts w:ascii="Times New Roman" w:hAnsi="Times New Roman" w:cs="Times New Roman"/>
          <w:i w:val="0"/>
          <w:iCs w:val="0"/>
          <w:color w:val="0070C0"/>
          <w:sz w:val="16"/>
          <w:szCs w:val="16"/>
          <w:lang w:val="ru-RU"/>
        </w:rPr>
      </w:pPr>
      <w:r w:rsidRPr="003F4A45">
        <w:rPr>
          <w:rFonts w:ascii="Times New Roman" w:hAnsi="Times New Roman" w:cs="Times New Roman"/>
          <w:i w:val="0"/>
          <w:iCs w:val="0"/>
          <w:color w:val="0070C0"/>
          <w:sz w:val="16"/>
          <w:szCs w:val="16"/>
          <w:lang w:val="ru-RU"/>
        </w:rPr>
        <w:t>Вооружение Т-41 состояло из 7,62-мм пу</w:t>
      </w:r>
      <w:r w:rsidRPr="003F4A45">
        <w:rPr>
          <w:rFonts w:ascii="Times New Roman" w:hAnsi="Times New Roman" w:cs="Times New Roman"/>
          <w:i w:val="0"/>
          <w:iCs w:val="0"/>
          <w:color w:val="0070C0"/>
          <w:sz w:val="16"/>
          <w:szCs w:val="16"/>
          <w:lang w:val="ru-RU"/>
        </w:rPr>
        <w:softHyphen/>
        <w:t>лемета ДТ, установленного в полукруглом вращающемся броневом щитке в лобовом листе башни. Для крепления пулемета в ос</w:t>
      </w:r>
      <w:r w:rsidRPr="003F4A45">
        <w:rPr>
          <w:rFonts w:ascii="Times New Roman" w:hAnsi="Times New Roman" w:cs="Times New Roman"/>
          <w:i w:val="0"/>
          <w:iCs w:val="0"/>
          <w:color w:val="0070C0"/>
          <w:sz w:val="16"/>
          <w:szCs w:val="16"/>
          <w:lang w:val="ru-RU"/>
        </w:rPr>
        <w:softHyphen/>
        <w:t>новании щитка имелся специальный хомут. Такая установка оказалась довольно громозд</w:t>
      </w:r>
      <w:r w:rsidRPr="003F4A45">
        <w:rPr>
          <w:rFonts w:ascii="Times New Roman" w:hAnsi="Times New Roman" w:cs="Times New Roman"/>
          <w:i w:val="0"/>
          <w:iCs w:val="0"/>
          <w:color w:val="0070C0"/>
          <w:sz w:val="16"/>
          <w:szCs w:val="16"/>
          <w:lang w:val="ru-RU"/>
        </w:rPr>
        <w:softHyphen/>
        <w:t>кой и сложной, а углы обстрела пулемета (без поворота башни) составляли всего 33 градуса по горизонту и 24 градуса по вертикали (25019).</w:t>
      </w:r>
    </w:p>
    <w:p w14:paraId="5A89A74D" w14:textId="77777777" w:rsidR="003F4A45" w:rsidRPr="003F4A45" w:rsidRDefault="003F4A45" w:rsidP="003F4A45">
      <w:pPr>
        <w:pStyle w:val="aff2"/>
        <w:tabs>
          <w:tab w:val="left" w:pos="594"/>
        </w:tabs>
        <w:spacing w:line="240" w:lineRule="auto"/>
        <w:rPr>
          <w:rFonts w:ascii="Times New Roman" w:hAnsi="Times New Roman" w:cs="Times New Roman"/>
          <w:i w:val="0"/>
          <w:iCs w:val="0"/>
          <w:color w:val="0070C0"/>
          <w:sz w:val="16"/>
          <w:szCs w:val="16"/>
          <w:lang w:val="ru-RU"/>
        </w:rPr>
      </w:pPr>
    </w:p>
    <w:p w14:paraId="3A1754F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C246CC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6D62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июля 1932 года нач. 1 отдела НИИ ВВС Горощенко писал письмо N ОС/250с в 8-й сектор 3-го Упр. ВВС.</w:t>
      </w:r>
    </w:p>
    <w:p w14:paraId="5B69F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Препровождаю при сем перечень предметов вооружения на самолете ТШ-2....</w:t>
      </w:r>
    </w:p>
    <w:p w14:paraId="0B736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перечень предметов вооружения и оборудования с-та ТШ-2-М-17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915"/>
        <w:gridCol w:w="1915"/>
        <w:gridCol w:w="3259"/>
      </w:tblGrid>
      <w:tr w:rsidR="00DA227A" w:rsidRPr="00E93F40" w14:paraId="0269544E" w14:textId="77777777">
        <w:tc>
          <w:tcPr>
            <w:tcW w:w="3510" w:type="dxa"/>
          </w:tcPr>
          <w:p w14:paraId="6530B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w:t>
            </w:r>
          </w:p>
        </w:tc>
        <w:tc>
          <w:tcPr>
            <w:tcW w:w="1915" w:type="dxa"/>
          </w:tcPr>
          <w:p w14:paraId="19787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Кол-во</w:t>
            </w:r>
          </w:p>
        </w:tc>
        <w:tc>
          <w:tcPr>
            <w:tcW w:w="1915" w:type="dxa"/>
          </w:tcPr>
          <w:p w14:paraId="3E74D6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 поставляет</w:t>
            </w:r>
          </w:p>
        </w:tc>
        <w:tc>
          <w:tcPr>
            <w:tcW w:w="3259" w:type="dxa"/>
          </w:tcPr>
          <w:p w14:paraId="234E00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4A094CA4" w14:textId="77777777">
        <w:tc>
          <w:tcPr>
            <w:tcW w:w="3510" w:type="dxa"/>
          </w:tcPr>
          <w:p w14:paraId="1DD3F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Пульустановка д/стрельбы через</w:t>
            </w:r>
          </w:p>
        </w:tc>
        <w:tc>
          <w:tcPr>
            <w:tcW w:w="1915" w:type="dxa"/>
          </w:tcPr>
          <w:p w14:paraId="66B5B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49EF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40FD2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FBA65B" w14:textId="77777777">
        <w:tc>
          <w:tcPr>
            <w:tcW w:w="3510" w:type="dxa"/>
          </w:tcPr>
          <w:p w14:paraId="61CE0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винт</w:t>
            </w:r>
          </w:p>
        </w:tc>
        <w:tc>
          <w:tcPr>
            <w:tcW w:w="1915" w:type="dxa"/>
          </w:tcPr>
          <w:p w14:paraId="37F8C3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D68F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E1AE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434C24" w14:textId="77777777">
        <w:tc>
          <w:tcPr>
            <w:tcW w:w="3510" w:type="dxa"/>
          </w:tcPr>
          <w:p w14:paraId="1629A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Пулеметов ПВ1</w:t>
            </w:r>
          </w:p>
        </w:tc>
        <w:tc>
          <w:tcPr>
            <w:tcW w:w="1915" w:type="dxa"/>
          </w:tcPr>
          <w:p w14:paraId="57D61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915" w:type="dxa"/>
          </w:tcPr>
          <w:p w14:paraId="4C7861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УВВС</w:t>
            </w:r>
          </w:p>
        </w:tc>
        <w:tc>
          <w:tcPr>
            <w:tcW w:w="3259" w:type="dxa"/>
          </w:tcPr>
          <w:p w14:paraId="413DF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Один с правым и один с</w:t>
            </w:r>
          </w:p>
        </w:tc>
      </w:tr>
      <w:tr w:rsidR="00DA227A" w:rsidRPr="00E93F40" w14:paraId="51094AF2" w14:textId="77777777">
        <w:tc>
          <w:tcPr>
            <w:tcW w:w="3510" w:type="dxa"/>
          </w:tcPr>
          <w:p w14:paraId="30CCA3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5AAFA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B5D4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45C27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левым приемником.</w:t>
            </w:r>
          </w:p>
        </w:tc>
      </w:tr>
      <w:tr w:rsidR="00DA227A" w:rsidRPr="00E93F40" w14:paraId="0E6BBC00" w14:textId="77777777">
        <w:tc>
          <w:tcPr>
            <w:tcW w:w="3510" w:type="dxa"/>
          </w:tcPr>
          <w:p w14:paraId="6C8D1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Пулеметная установка</w:t>
            </w:r>
          </w:p>
        </w:tc>
        <w:tc>
          <w:tcPr>
            <w:tcW w:w="1915" w:type="dxa"/>
          </w:tcPr>
          <w:p w14:paraId="7BCB9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8AF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0A5232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304D91" w14:textId="77777777">
        <w:tc>
          <w:tcPr>
            <w:tcW w:w="3510" w:type="dxa"/>
          </w:tcPr>
          <w:p w14:paraId="56180A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наблюдателя</w:t>
            </w:r>
          </w:p>
        </w:tc>
        <w:tc>
          <w:tcPr>
            <w:tcW w:w="1915" w:type="dxa"/>
          </w:tcPr>
          <w:p w14:paraId="7348E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F5DF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621F0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44AEE9" w14:textId="77777777">
        <w:tc>
          <w:tcPr>
            <w:tcW w:w="3510" w:type="dxa"/>
          </w:tcPr>
          <w:p w14:paraId="671C9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Турелей ТУР-7 с облегчающим</w:t>
            </w:r>
          </w:p>
        </w:tc>
        <w:tc>
          <w:tcPr>
            <w:tcW w:w="1915" w:type="dxa"/>
          </w:tcPr>
          <w:p w14:paraId="4EEF0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2118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36091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CED5D5" w14:textId="77777777">
        <w:tc>
          <w:tcPr>
            <w:tcW w:w="3510" w:type="dxa"/>
          </w:tcPr>
          <w:p w14:paraId="63F6E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вращение приспособлением</w:t>
            </w:r>
          </w:p>
        </w:tc>
        <w:tc>
          <w:tcPr>
            <w:tcW w:w="1915" w:type="dxa"/>
          </w:tcPr>
          <w:p w14:paraId="1308AE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915" w:type="dxa"/>
          </w:tcPr>
          <w:p w14:paraId="4F2808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ГУАП</w:t>
            </w:r>
          </w:p>
        </w:tc>
        <w:tc>
          <w:tcPr>
            <w:tcW w:w="3259" w:type="dxa"/>
          </w:tcPr>
          <w:p w14:paraId="4DEB6D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F2ADED" w14:textId="77777777">
        <w:tc>
          <w:tcPr>
            <w:tcW w:w="3510" w:type="dxa"/>
          </w:tcPr>
          <w:p w14:paraId="28EE38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Сдвоенных пулеметов ДА на</w:t>
            </w:r>
          </w:p>
        </w:tc>
        <w:tc>
          <w:tcPr>
            <w:tcW w:w="1915" w:type="dxa"/>
          </w:tcPr>
          <w:p w14:paraId="5605E3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B067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02C56C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853C43" w14:textId="77777777">
        <w:tc>
          <w:tcPr>
            <w:tcW w:w="3510" w:type="dxa"/>
          </w:tcPr>
          <w:p w14:paraId="7B0747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шкворне с мушкой, флюгером и</w:t>
            </w:r>
          </w:p>
        </w:tc>
        <w:tc>
          <w:tcPr>
            <w:tcW w:w="1915" w:type="dxa"/>
          </w:tcPr>
          <w:p w14:paraId="615481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1E97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7440F1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0C8304" w14:textId="77777777">
        <w:tc>
          <w:tcPr>
            <w:tcW w:w="3510" w:type="dxa"/>
          </w:tcPr>
          <w:p w14:paraId="6465D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кольцом и мешками д/стрелян.</w:t>
            </w:r>
          </w:p>
        </w:tc>
        <w:tc>
          <w:tcPr>
            <w:tcW w:w="1915" w:type="dxa"/>
          </w:tcPr>
          <w:p w14:paraId="33099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1F4AF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73066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A5AB93" w14:textId="77777777">
        <w:tc>
          <w:tcPr>
            <w:tcW w:w="3510" w:type="dxa"/>
          </w:tcPr>
          <w:p w14:paraId="160B27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гильз</w:t>
            </w:r>
          </w:p>
        </w:tc>
        <w:tc>
          <w:tcPr>
            <w:tcW w:w="1915" w:type="dxa"/>
          </w:tcPr>
          <w:p w14:paraId="44FD7E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ком.</w:t>
            </w:r>
          </w:p>
        </w:tc>
        <w:tc>
          <w:tcPr>
            <w:tcW w:w="1915" w:type="dxa"/>
          </w:tcPr>
          <w:p w14:paraId="4BE02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УВВС</w:t>
            </w:r>
          </w:p>
        </w:tc>
        <w:tc>
          <w:tcPr>
            <w:tcW w:w="3259" w:type="dxa"/>
          </w:tcPr>
          <w:p w14:paraId="711AD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49D507" w14:textId="77777777">
        <w:tc>
          <w:tcPr>
            <w:tcW w:w="3510" w:type="dxa"/>
          </w:tcPr>
          <w:p w14:paraId="47B40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Аэронавигационное оборудование</w:t>
            </w:r>
          </w:p>
        </w:tc>
        <w:tc>
          <w:tcPr>
            <w:tcW w:w="1915" w:type="dxa"/>
          </w:tcPr>
          <w:p w14:paraId="600415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7CC5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64AB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8799C5" w14:textId="77777777">
        <w:tc>
          <w:tcPr>
            <w:tcW w:w="3510" w:type="dxa"/>
          </w:tcPr>
          <w:p w14:paraId="6A7E4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пилота</w:t>
            </w:r>
          </w:p>
        </w:tc>
        <w:tc>
          <w:tcPr>
            <w:tcW w:w="1915" w:type="dxa"/>
          </w:tcPr>
          <w:p w14:paraId="08B37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7B7C0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0F6C51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3210D2" w14:textId="77777777">
        <w:tc>
          <w:tcPr>
            <w:tcW w:w="3510" w:type="dxa"/>
          </w:tcPr>
          <w:p w14:paraId="7222E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Аэронавигационное оборудование</w:t>
            </w:r>
          </w:p>
        </w:tc>
        <w:tc>
          <w:tcPr>
            <w:tcW w:w="1915" w:type="dxa"/>
          </w:tcPr>
          <w:p w14:paraId="4126D5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9DAF7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3044D1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3CD1E73" w14:textId="77777777">
        <w:tc>
          <w:tcPr>
            <w:tcW w:w="3510" w:type="dxa"/>
          </w:tcPr>
          <w:p w14:paraId="2ABC3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наблюдателя</w:t>
            </w:r>
          </w:p>
        </w:tc>
        <w:tc>
          <w:tcPr>
            <w:tcW w:w="1915" w:type="dxa"/>
          </w:tcPr>
          <w:p w14:paraId="1186DA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D73A1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58183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34E77C" w14:textId="77777777">
        <w:tc>
          <w:tcPr>
            <w:tcW w:w="3510" w:type="dxa"/>
          </w:tcPr>
          <w:p w14:paraId="5F160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Приборы контролирующие работу</w:t>
            </w:r>
          </w:p>
        </w:tc>
        <w:tc>
          <w:tcPr>
            <w:tcW w:w="1915" w:type="dxa"/>
          </w:tcPr>
          <w:p w14:paraId="6A798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26AE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6952F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D27AF0" w14:textId="77777777">
        <w:tc>
          <w:tcPr>
            <w:tcW w:w="3510" w:type="dxa"/>
          </w:tcPr>
          <w:p w14:paraId="1BA148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 и системы питания горючим</w:t>
            </w:r>
          </w:p>
        </w:tc>
        <w:tc>
          <w:tcPr>
            <w:tcW w:w="1915" w:type="dxa"/>
          </w:tcPr>
          <w:p w14:paraId="155BC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D5418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E4C6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858A9E" w14:textId="77777777">
        <w:tc>
          <w:tcPr>
            <w:tcW w:w="3510" w:type="dxa"/>
          </w:tcPr>
          <w:p w14:paraId="6CC332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смазочным</w:t>
            </w:r>
          </w:p>
        </w:tc>
        <w:tc>
          <w:tcPr>
            <w:tcW w:w="1915" w:type="dxa"/>
          </w:tcPr>
          <w:p w14:paraId="176B1B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2FBE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632AF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434E2F" w14:textId="77777777">
        <w:tc>
          <w:tcPr>
            <w:tcW w:w="3510" w:type="dxa"/>
          </w:tcPr>
          <w:p w14:paraId="6B23AA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Радиооборудование</w:t>
            </w:r>
          </w:p>
        </w:tc>
        <w:tc>
          <w:tcPr>
            <w:tcW w:w="1915" w:type="dxa"/>
          </w:tcPr>
          <w:p w14:paraId="524E58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2B01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5828F4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3F50EA" w14:textId="77777777">
        <w:tc>
          <w:tcPr>
            <w:tcW w:w="3510" w:type="dxa"/>
          </w:tcPr>
          <w:p w14:paraId="4F1B3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Оборудование д/ночных полетов</w:t>
            </w:r>
          </w:p>
        </w:tc>
        <w:tc>
          <w:tcPr>
            <w:tcW w:w="1915" w:type="dxa"/>
          </w:tcPr>
          <w:p w14:paraId="630ED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A5E3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B7088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4B447E" w14:textId="77777777">
        <w:tc>
          <w:tcPr>
            <w:tcW w:w="3510" w:type="dxa"/>
          </w:tcPr>
          <w:p w14:paraId="630FF7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Вспомогательное оборудование</w:t>
            </w:r>
          </w:p>
        </w:tc>
        <w:tc>
          <w:tcPr>
            <w:tcW w:w="1915" w:type="dxa"/>
          </w:tcPr>
          <w:p w14:paraId="7698A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A5F8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D33E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4023BE" w14:textId="77777777">
        <w:tc>
          <w:tcPr>
            <w:tcW w:w="3510" w:type="dxa"/>
          </w:tcPr>
          <w:p w14:paraId="648F75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Специальное вооружение ТШ-2</w:t>
            </w:r>
          </w:p>
        </w:tc>
        <w:tc>
          <w:tcPr>
            <w:tcW w:w="1915" w:type="dxa"/>
          </w:tcPr>
          <w:p w14:paraId="6EAB20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617D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4B9E6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1FE46D" w14:textId="77777777">
        <w:tc>
          <w:tcPr>
            <w:tcW w:w="3510" w:type="dxa"/>
          </w:tcPr>
          <w:p w14:paraId="35A7F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Крыльевые пулеметные батареи</w:t>
            </w:r>
          </w:p>
        </w:tc>
        <w:tc>
          <w:tcPr>
            <w:tcW w:w="1915" w:type="dxa"/>
          </w:tcPr>
          <w:p w14:paraId="0730DB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86B5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49E318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B1BF0A" w14:textId="77777777">
        <w:tc>
          <w:tcPr>
            <w:tcW w:w="3510" w:type="dxa"/>
          </w:tcPr>
          <w:p w14:paraId="6A8AF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Пулеметов ПВ1</w:t>
            </w:r>
          </w:p>
        </w:tc>
        <w:tc>
          <w:tcPr>
            <w:tcW w:w="1915" w:type="dxa"/>
          </w:tcPr>
          <w:p w14:paraId="70BF60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915" w:type="dxa"/>
          </w:tcPr>
          <w:p w14:paraId="78E58A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УВВС</w:t>
            </w:r>
          </w:p>
        </w:tc>
        <w:tc>
          <w:tcPr>
            <w:tcW w:w="3259" w:type="dxa"/>
          </w:tcPr>
          <w:p w14:paraId="190325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Четыре с правым и четыре с</w:t>
            </w:r>
          </w:p>
        </w:tc>
      </w:tr>
      <w:tr w:rsidR="00DA227A" w:rsidRPr="00E93F40" w14:paraId="4CCB51A5" w14:textId="77777777">
        <w:tc>
          <w:tcPr>
            <w:tcW w:w="3510" w:type="dxa"/>
          </w:tcPr>
          <w:p w14:paraId="45FAA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D2BF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A894D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 N 39</w:t>
            </w:r>
          </w:p>
        </w:tc>
        <w:tc>
          <w:tcPr>
            <w:tcW w:w="3259" w:type="dxa"/>
          </w:tcPr>
          <w:p w14:paraId="607A3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левыми приемниками</w:t>
            </w:r>
          </w:p>
        </w:tc>
      </w:tr>
      <w:tr w:rsidR="00DA227A" w:rsidRPr="00E93F40" w14:paraId="62DE0583" w14:textId="77777777">
        <w:tc>
          <w:tcPr>
            <w:tcW w:w="3510" w:type="dxa"/>
          </w:tcPr>
          <w:p w14:paraId="2F081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вариант бомбардировочного</w:t>
            </w:r>
          </w:p>
        </w:tc>
        <w:tc>
          <w:tcPr>
            <w:tcW w:w="1915" w:type="dxa"/>
          </w:tcPr>
          <w:p w14:paraId="6448E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B931E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360B1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EA5058" w14:textId="77777777">
        <w:tc>
          <w:tcPr>
            <w:tcW w:w="3510" w:type="dxa"/>
          </w:tcPr>
          <w:p w14:paraId="7A864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вооружения сам. ТШ-2</w:t>
            </w:r>
          </w:p>
        </w:tc>
        <w:tc>
          <w:tcPr>
            <w:tcW w:w="1915" w:type="dxa"/>
          </w:tcPr>
          <w:p w14:paraId="0D544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55925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780F9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803674" w14:textId="77777777">
        <w:tc>
          <w:tcPr>
            <w:tcW w:w="3510" w:type="dxa"/>
          </w:tcPr>
          <w:p w14:paraId="7D18F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Бомбодержателей дер-6 бис</w:t>
            </w:r>
          </w:p>
        </w:tc>
        <w:tc>
          <w:tcPr>
            <w:tcW w:w="1915" w:type="dxa"/>
          </w:tcPr>
          <w:p w14:paraId="416E2C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915" w:type="dxa"/>
          </w:tcPr>
          <w:p w14:paraId="3A9B7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ГУАП</w:t>
            </w:r>
          </w:p>
        </w:tc>
        <w:tc>
          <w:tcPr>
            <w:tcW w:w="3259" w:type="dxa"/>
          </w:tcPr>
          <w:p w14:paraId="799BCF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BBDC4F" w14:textId="77777777">
        <w:tc>
          <w:tcPr>
            <w:tcW w:w="3510" w:type="dxa"/>
          </w:tcPr>
          <w:p w14:paraId="76B5D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Химическое вооружение ТШ-2</w:t>
            </w:r>
          </w:p>
        </w:tc>
        <w:tc>
          <w:tcPr>
            <w:tcW w:w="1915" w:type="dxa"/>
          </w:tcPr>
          <w:p w14:paraId="39D9F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B2A1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80A3C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5D7A36" w14:textId="77777777">
        <w:tc>
          <w:tcPr>
            <w:tcW w:w="3510" w:type="dxa"/>
          </w:tcPr>
          <w:p w14:paraId="50FFB8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Приборов ВАП4 (полных</w:t>
            </w:r>
          </w:p>
        </w:tc>
        <w:tc>
          <w:tcPr>
            <w:tcW w:w="1915" w:type="dxa"/>
          </w:tcPr>
          <w:p w14:paraId="7D669A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44D1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7D2FD7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E93F40" w14:paraId="7EF71AF9" w14:textId="77777777">
        <w:tc>
          <w:tcPr>
            <w:tcW w:w="3510" w:type="dxa"/>
          </w:tcPr>
          <w:p w14:paraId="302646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комплектов</w:t>
            </w:r>
          </w:p>
        </w:tc>
        <w:tc>
          <w:tcPr>
            <w:tcW w:w="1915" w:type="dxa"/>
          </w:tcPr>
          <w:p w14:paraId="4769AC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915" w:type="dxa"/>
          </w:tcPr>
          <w:p w14:paraId="3BF870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ВОХИМУ (2994,7-10).</w:t>
            </w:r>
          </w:p>
        </w:tc>
        <w:tc>
          <w:tcPr>
            <w:tcW w:w="3259" w:type="dxa"/>
          </w:tcPr>
          <w:p w14:paraId="44FB7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68D2C8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65B4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июля 1932 закончилось 50 часовое испытания мотора М-48 для учебных самолетов и автожира ЦАГИ (2310,130).</w:t>
      </w:r>
    </w:p>
    <w:p w14:paraId="4DDD9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C3A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июля 1932 Глававиапром разослал письмо в ЦАГИ, ЦИАМ, ПТЭС, СПИ и начальникам самолетного и моторного треста о том, что при рассмотрении плана опытного самолето-моторостроения постановлением Правительства от 4 июля 1932 были внесены изменения (1025,42).</w:t>
      </w:r>
    </w:p>
    <w:p w14:paraId="14980F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A96F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июля 1931 года с аэродрома небольшого городка Урень Нижегородской области впервые в истории нашей страны специально для целей авиапатрулирования лесов поднялся маленький самолёт-биплан По-2. Продолжительность первого полета составила 1 час 33 мин. Эту дату принято считать рождением Авиалесоохраны.</w:t>
      </w:r>
    </w:p>
    <w:p w14:paraId="072ACD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на заре развития русской авиации (1915-1916гг.) летчики, выполнявшие полеты над лесами, наблюдали лесные пожары и выступали пропагандистами организованного патрулирования лесной территории. Но, к сожалению, вследствие тяжелейшего экономического положения в стране в 20-х годах не представилось возможным начать эти работы в государственном масштабе. Для осуществления замыслов весной 1931 года начались подготовительные работы. Группа энтузиастов, инженеров лесного хозяйства Самойлович Г.Г., Румянцев С.П. и Стадницкий Г.В., по инициативе Союзлеспрома, проходят летную подготовку в школе Осавиахима и организуют первую авиационную экспедицию в период с 1 июня по 1 сентября 1931 года. Руководителем этой экспедиции назначается Г. Г. Самойлович, впоследствии доктор наук, профессор, заведующий кафедрой применения авиации в лесном хозяйстве Ленинградской лесотехнической академии.</w:t>
      </w:r>
    </w:p>
    <w:p w14:paraId="100DD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7 июля по 11 августа состоялись опытные полеты с целью установления возможности определения места лесного пожара с летящего самолета. За время работы экспедиции на охраняемой территории площадью 1,5 млн. га было обнаружено 14 лесных пожаров, налет составил 40 часов Сообщения о лесных пожарах сбрасывались с помощью вымпелов в ближайшие к пожару населенные пункты для передачи затем в леспромхозы. На основе полученных результатов было установлено, что место пожара определяется с достаточной для практики тех времен степенью точности, ошибки колебались от 0,2 до 3 км.</w:t>
      </w:r>
    </w:p>
    <w:p w14:paraId="7E2D92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работ экспедиции были одобрены Главлеспромом, который признал практически возможным и хозяйственно целесообразным включить авиаобслуживание в систему мер противопожарной охраны лесов СССР.</w:t>
      </w:r>
    </w:p>
    <w:p w14:paraId="35561E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Опытные работы по применению авиации на охране лесов и для решения различных нужд лесного хозяйства были продолжены с 1932 по 1935 г.г. в Карелии, Ленинградской области, на Среднем Урале, в Коми АССР. Полеты проводились на самолетах По-2 разных модификаций, а также самолетах-амфибиях Ш-2. В результате опытных работ была подтверждена необходимость образования новой профессии - лесной летчик-наблюдатель.</w:t>
      </w:r>
    </w:p>
    <w:p w14:paraId="43E2F7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этот же период проявляется активность ученых в комплексном использовании авиации. В 1932 г. в Шатурском районе Московской области под руководством Симского A.M. проводятся опыты по аэросеву лесных семян и тушению пожаров с воздуха химическими бомбами и путем слива растворов химиката с самолета, а также авиационное опыление лесов против сибирского шелкопряда (12072).</w:t>
      </w:r>
    </w:p>
    <w:p w14:paraId="753E2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50E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июля 1932 Д.Маттерн прилетел на территорию СССР в Борисов на Локхид Вега НР869Е, а 10 были в Москве в Национале (542).</w:t>
      </w:r>
    </w:p>
    <w:p w14:paraId="76CB90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7FC019" w14:textId="77777777" w:rsidR="008328E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1F96A02" w14:textId="77777777" w:rsidR="008328E0" w:rsidRPr="00E93F40" w:rsidRDefault="008328E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6489FF"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С 7 июля 1932 года Ковровский завод именуется «Инструментальный завод № 2 им. К.О. Киркижа».</w:t>
      </w:r>
    </w:p>
    <w:p w14:paraId="340EC91D"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В 1932:</w:t>
      </w:r>
    </w:p>
    <w:p w14:paraId="36463055"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Началось производство малой серии 12,7-мм крупнокалиберного пулемета системы Дегтярева, получившего наименование ДК (Дегтярев крупнокалиберный). Пулемет имел питание из барабанного магазина на 30 патронов, разработанного А.С. Кладовым.</w:t>
      </w:r>
    </w:p>
    <w:p w14:paraId="3DB8FBB4"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Первым сборщиком пулеметов ДК был слесарь-отладчик А.И. Голышев.</w:t>
      </w:r>
    </w:p>
    <w:p w14:paraId="7C9D0586"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Повторные полигонные испытания винтовок, которые подтвердили преимущества винтовки Симонова.</w:t>
      </w:r>
    </w:p>
    <w:p w14:paraId="2EE9DD6B"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Изготовлен второй образец пулемета ДАК-32 по схеме ДК с приемником конструкции Шпагина.</w:t>
      </w:r>
    </w:p>
    <w:p w14:paraId="5CE00F89"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В.А.Дегтярев разработал новый образец пистолета-пулемета со свободным затвором.</w:t>
      </w:r>
    </w:p>
    <w:p w14:paraId="1AC0E76B"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И.Н.Колесников разработал образец пистолета-пулемета. Его автоматика основывалась на принципе полусвободного запирания, применявшегося и в других его конструкциях.</w:t>
      </w:r>
    </w:p>
    <w:p w14:paraId="757AB5E1"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Начало государственных сравнительных испытаний различных образцов пистолетов-пулеметов систем Дегтярева, Токарева, Коровина, Прилуцкого, Колесникова под 7,62-мм пистолетный патрон.</w:t>
      </w:r>
    </w:p>
    <w:p w14:paraId="7FA079E9"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Продолжается производство «бендиксов». Из Коврова автомобилестроители получили свыше 320000 добротных и надежных изделий.</w:t>
      </w:r>
    </w:p>
    <w:p w14:paraId="4A71E58B" w14:textId="77777777" w:rsidR="008328E0" w:rsidRPr="00E93F40" w:rsidRDefault="008328E0" w:rsidP="00E93F40">
      <w:pPr>
        <w:pStyle w:val="ae"/>
        <w:spacing w:before="0" w:after="0"/>
        <w:jc w:val="both"/>
        <w:rPr>
          <w:color w:val="000000" w:themeColor="text1"/>
          <w:sz w:val="16"/>
          <w:szCs w:val="16"/>
        </w:rPr>
      </w:pPr>
      <w:r w:rsidRPr="00E93F40">
        <w:rPr>
          <w:color w:val="000000" w:themeColor="text1"/>
          <w:sz w:val="16"/>
          <w:szCs w:val="16"/>
        </w:rPr>
        <w:t>Переходящее Красное Знамя за победу во Всесоюзном конкурсе хозрасчетных предприятий 21 мая заводу вручал председатель ЦК ВСРМ К.О. Киркиж. В своем выступлении он особое внимание уделил вопросам рабочего снабжения, укрепления хозрасчета в бригадах. 23 мая К.О. Киркиж выехал на автомашине из Коврова в Москву. На 37-м километре от города произошла автомобильная катастрофа. В результате полученных ранений 24 мая К.О. Киркиж скончался в больнице г. Владимира (12221)..</w:t>
      </w:r>
    </w:p>
    <w:p w14:paraId="0E7FCFC1" w14:textId="77777777" w:rsidR="002C36D8" w:rsidRPr="00E93F40" w:rsidRDefault="002C36D8" w:rsidP="00E93F40">
      <w:pPr>
        <w:pStyle w:val="rtecenter"/>
        <w:spacing w:before="0" w:after="0"/>
        <w:jc w:val="both"/>
        <w:rPr>
          <w:bCs/>
          <w:color w:val="000000" w:themeColor="text1"/>
          <w:sz w:val="16"/>
          <w:szCs w:val="16"/>
        </w:rPr>
      </w:pPr>
    </w:p>
    <w:p w14:paraId="5851D2D0" w14:textId="77777777" w:rsidR="002C36D8" w:rsidRPr="00E93F40" w:rsidRDefault="002C36D8" w:rsidP="00E93F40">
      <w:pPr>
        <w:pStyle w:val="rtecenter"/>
        <w:spacing w:before="0" w:after="0"/>
        <w:jc w:val="both"/>
        <w:rPr>
          <w:color w:val="000000" w:themeColor="text1"/>
          <w:sz w:val="16"/>
          <w:szCs w:val="16"/>
          <w:u w:val="single"/>
        </w:rPr>
      </w:pPr>
      <w:r w:rsidRPr="00E93F40">
        <w:rPr>
          <w:bCs/>
          <w:color w:val="000000" w:themeColor="text1"/>
          <w:sz w:val="16"/>
          <w:szCs w:val="16"/>
        </w:rPr>
        <w:t>7 июля 1932 г. Сталин — Молотову, Орджоникидзе, Кагановичу</w:t>
      </w:r>
    </w:p>
    <w:p w14:paraId="56115C23" w14:textId="77777777" w:rsidR="008328E0" w:rsidRPr="00E93F40" w:rsidRDefault="008328E0" w:rsidP="00E93F40">
      <w:pPr>
        <w:pStyle w:val="rtecenter"/>
        <w:spacing w:before="0" w:after="0"/>
        <w:jc w:val="both"/>
        <w:rPr>
          <w:color w:val="000000" w:themeColor="text1"/>
          <w:sz w:val="16"/>
          <w:szCs w:val="16"/>
        </w:rPr>
      </w:pPr>
      <w:r w:rsidRPr="00E93F40">
        <w:rPr>
          <w:color w:val="000000" w:themeColor="text1"/>
          <w:sz w:val="16"/>
          <w:szCs w:val="16"/>
          <w:u w:val="single"/>
        </w:rPr>
        <w:t>Молотову. Орджоникидзе. Кагановичу</w:t>
      </w:r>
      <w:r w:rsidRPr="00E93F40">
        <w:rPr>
          <w:color w:val="000000" w:themeColor="text1"/>
          <w:sz w:val="16"/>
          <w:szCs w:val="16"/>
        </w:rPr>
        <w:t>.</w:t>
      </w:r>
    </w:p>
    <w:p w14:paraId="73089E1A"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lastRenderedPageBreak/>
        <w:t>Узнал из бумаг, что техническая помощь по цветному литью еще не куплена. Считаю это преступлением против партии и рабочего класса. Без цветного литья у нас не будет ни электропромышленности, ни авиации, ни вообще машиностроения. Надо немедля и обязательно купить техпомощь в Италии или Германии, или Америке, или у самого дьявола, но купить обязательно. Без полного освоения цветного литья невозможно двигаться вперед. Просьба сообщить, какие срочные меры думаете принять, чтобы ликвидировать этот прорыв</w:t>
      </w:r>
      <w:r w:rsidRPr="00E93F40">
        <w:rPr>
          <w:color w:val="000000" w:themeColor="text1"/>
          <w:sz w:val="16"/>
          <w:szCs w:val="16"/>
          <w:vertAlign w:val="superscript"/>
        </w:rPr>
        <w:t>1</w:t>
      </w:r>
      <w:r w:rsidRPr="00E93F40">
        <w:rPr>
          <w:color w:val="000000" w:themeColor="text1"/>
          <w:sz w:val="16"/>
          <w:szCs w:val="16"/>
        </w:rPr>
        <w:t>.</w:t>
      </w:r>
    </w:p>
    <w:p w14:paraId="2CA64129"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Сталин</w:t>
      </w:r>
      <w:r w:rsidRPr="00E93F40">
        <w:rPr>
          <w:color w:val="000000" w:themeColor="text1"/>
          <w:sz w:val="16"/>
          <w:szCs w:val="16"/>
          <w:vertAlign w:val="superscript"/>
        </w:rPr>
        <w:t>2</w:t>
      </w:r>
      <w:r w:rsidRPr="00E93F40">
        <w:rPr>
          <w:color w:val="000000" w:themeColor="text1"/>
          <w:sz w:val="16"/>
          <w:szCs w:val="16"/>
        </w:rPr>
        <w:t>.</w:t>
      </w:r>
    </w:p>
    <w:p w14:paraId="011E8329"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№49</w:t>
      </w:r>
    </w:p>
    <w:p w14:paraId="0A9A7764" w14:textId="77777777" w:rsidR="008328E0" w:rsidRPr="00E93F40" w:rsidRDefault="008328E0" w:rsidP="00E93F40">
      <w:pPr>
        <w:pStyle w:val="rtejustify"/>
        <w:spacing w:before="0" w:after="0"/>
        <w:rPr>
          <w:color w:val="000000" w:themeColor="text1"/>
          <w:sz w:val="16"/>
          <w:szCs w:val="16"/>
        </w:rPr>
      </w:pPr>
      <w:r w:rsidRPr="00E93F40">
        <w:rPr>
          <w:color w:val="000000" w:themeColor="text1"/>
          <w:sz w:val="16"/>
          <w:szCs w:val="16"/>
        </w:rPr>
        <w:t>7/VII. 32 г.</w:t>
      </w:r>
    </w:p>
    <w:p w14:paraId="62E2F358" w14:textId="77777777" w:rsidR="008328E0" w:rsidRPr="00E93F40" w:rsidRDefault="008328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558. Оп. П. Д. 78. Л. 20. Автограф. </w:t>
      </w:r>
    </w:p>
    <w:p w14:paraId="379E6F44" w14:textId="77777777" w:rsidR="008328E0" w:rsidRPr="00E93F40" w:rsidRDefault="008328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Сталин и Каганович. Переписка. 1931–1936 гг. Москва: (РОССПЭН), 2001 Стр. 219-220 (12362).</w:t>
      </w:r>
    </w:p>
    <w:p w14:paraId="541F6243"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53098705"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7 июля</w:t>
      </w:r>
      <w:r w:rsidRPr="00E93F40">
        <w:rPr>
          <w:rFonts w:ascii="Times New Roman" w:hAnsi="Times New Roman"/>
          <w:color w:val="000000" w:themeColor="text1"/>
          <w:sz w:val="16"/>
          <w:szCs w:val="16"/>
        </w:rPr>
        <w:t xml:space="preserve"> в 1932 году на Ярославском заводе синтетического каучука (теперь — АО "СК — Премьер") получен первый в мире искусственный каучук. Строительство завода СК-1 было одним из крупных объектов Первой пятилетки в Ярославской области. Целью строительства завода была замена закупаемого за границей натурального каучука синтетическим. В 1926 году ленинградский профессор С.В.Лебедев выиграл всесоюзный конкурс на разработку методов получения синтетического каучука, предложив изготавливать его из пищевого спирта, а тот из картофеля. Поскольку крупнейшим в стране производителем картофеля считалась Ярославская губерния, завод решили строить в Ярославле. Каучук был нужен для производства автопокрышек, поэтому завод стали строить рядом с другим объектом Первой пятилетки — Резино-асбестовым комбинатом. Строительство началось летом 1931 года. В годы Второй пятилетки после долгих поисков был найден оптимальный вариант технологического процесса — производство каучука возросло за год в четыре раза, снизилась себестоимость, увеличились прибыли (14945).</w:t>
      </w:r>
    </w:p>
    <w:p w14:paraId="2F8DAD20" w14:textId="77777777" w:rsidR="00625E0E" w:rsidRPr="00E93F40" w:rsidRDefault="00625E0E" w:rsidP="00E93F40">
      <w:pPr>
        <w:spacing w:after="0" w:line="240" w:lineRule="auto"/>
        <w:jc w:val="both"/>
        <w:rPr>
          <w:rFonts w:ascii="Times New Roman" w:hAnsi="Times New Roman"/>
          <w:color w:val="000000" w:themeColor="text1"/>
          <w:sz w:val="16"/>
          <w:szCs w:val="16"/>
        </w:rPr>
      </w:pPr>
    </w:p>
    <w:p w14:paraId="69376416" w14:textId="69A4E56C" w:rsidR="00AC0F3E" w:rsidRPr="00E93F40" w:rsidRDefault="00AC0F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 часов из полимеризатора был выгружен первый блок промышленного синтетического каучука на СК-1. В этот же день в театре им. Волкова состоялось торжественное собрание коллектива строителей и эксплуатационников завода, посвященное пуску завода. После доклада начальника строительства и директора завода Л.Т. Стрежа, на собрании выступил С.В. Лебедев (18298).</w:t>
      </w:r>
    </w:p>
    <w:p w14:paraId="0D079A6E" w14:textId="77777777" w:rsidR="00AC0F3E" w:rsidRPr="00E93F40" w:rsidRDefault="00AC0F3E" w:rsidP="00E93F40">
      <w:pPr>
        <w:spacing w:after="0" w:line="240" w:lineRule="auto"/>
        <w:jc w:val="both"/>
        <w:rPr>
          <w:rFonts w:ascii="Times New Roman" w:hAnsi="Times New Roman"/>
          <w:color w:val="000000" w:themeColor="text1"/>
          <w:sz w:val="16"/>
          <w:szCs w:val="16"/>
        </w:rPr>
      </w:pPr>
    </w:p>
    <w:p w14:paraId="77BC19CA" w14:textId="77777777" w:rsidR="00AC0F3E" w:rsidRPr="00E93F40" w:rsidRDefault="00AC0F3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июля 1932 г. в торжественной обстановке завод был пущен СК-1 (18301).</w:t>
      </w:r>
    </w:p>
    <w:p w14:paraId="0636648E" w14:textId="77777777" w:rsidR="00AC0F3E" w:rsidRPr="00E93F40" w:rsidRDefault="00AC0F3E" w:rsidP="00E93F40">
      <w:pPr>
        <w:spacing w:after="0" w:line="240" w:lineRule="auto"/>
        <w:jc w:val="both"/>
        <w:rPr>
          <w:rFonts w:ascii="Times New Roman" w:hAnsi="Times New Roman"/>
          <w:color w:val="000000" w:themeColor="text1"/>
          <w:sz w:val="16"/>
          <w:szCs w:val="16"/>
        </w:rPr>
      </w:pPr>
    </w:p>
    <w:p w14:paraId="6FBC4CF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5E16E1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49DB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июля 1932 в Ленинградском НИИ молочной промышленности разработана технология пр-ва сухого молока (3960, 264).</w:t>
      </w:r>
    </w:p>
    <w:p w14:paraId="307C40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D59036" w14:textId="77777777" w:rsidR="002C36D8"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10A35D9" w14:textId="77777777" w:rsidR="002C36D8" w:rsidRPr="00E93F40" w:rsidRDefault="002C36D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C06B38" w14:textId="77777777" w:rsidR="002C36D8" w:rsidRPr="00E93F40" w:rsidRDefault="002C36D8"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7 июля</w:t>
      </w:r>
      <w:r w:rsidRPr="00E93F40">
        <w:rPr>
          <w:rFonts w:ascii="Times New Roman" w:hAnsi="Times New Roman"/>
          <w:color w:val="000000" w:themeColor="text1"/>
          <w:sz w:val="16"/>
          <w:szCs w:val="16"/>
        </w:rPr>
        <w:t xml:space="preserve"> в 1932 году подводная лодка «Промети» выходит в море для проведения испытаний. На ее борту находятся 48 членов команды и 23 заводских специалиста. Непосредственно перед аварией лодка идет в надводном положении в 7 милях от мыса Леви (недалеко от Шербура). На ходовом мостике и палубе лодки находятся вахтенный офицер, инженер - ответственный представитель верфи и восемь матросов. Оба люка прочной рубки (верхний и нижний), палубные, а также переборочные люки и люки внутри прочного корпуса открыты. Для снижения волновой нагрузки на обшивку легкого корпуса лодка идет на воздушных подушках в системах балласта, т.е. с открытыми кингстонами, но закрытыми клапанами вентиляции цистерн. Около полудня вахтенный офицер отдает команду застопорить гребные электродвигатели и запустить дизели. В момент включения гидравлических муфт дизелей, вероятно, самопроизвольно открылись клапаны вентиляции, которые также имели гидравлический привод. При этом начинается интенсивное заполнение балластных цистерн (кингстоны были открыты), и лодка менее чем за минуту уходит под воду. Командир приказывает всем спустится в отсеки и задраить люки. Однако выполнить приказ успевают только 3 матроса, которые погибнут, как и остальные 60 человек. Командир, вахтенный офицер, инженер и 5 матросов оказываются на поверхности и приблизительно через час будут спасены рыболовным судном (кроме утонувшего инженера) (14945).</w:t>
      </w:r>
    </w:p>
    <w:p w14:paraId="13DE35B0" w14:textId="77777777" w:rsidR="002C36D8" w:rsidRPr="00E93F40" w:rsidRDefault="002C36D8" w:rsidP="00E93F40">
      <w:pPr>
        <w:spacing w:after="0" w:line="240" w:lineRule="auto"/>
        <w:jc w:val="both"/>
        <w:rPr>
          <w:rFonts w:ascii="Times New Roman" w:hAnsi="Times New Roman"/>
          <w:color w:val="000000" w:themeColor="text1"/>
          <w:sz w:val="16"/>
          <w:szCs w:val="16"/>
        </w:rPr>
      </w:pPr>
    </w:p>
    <w:p w14:paraId="6BA9FC96" w14:textId="77777777" w:rsidR="003A7E44" w:rsidRPr="00E93F40" w:rsidRDefault="003A7E44"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7 июля 1932 года американские летчики Джеймс Маттерн (James Joseph «Jimmie» Mattern) и Беннет Гриффин (Bennett Griffin) на самолете «Локхид Вега» (Lockheed Vega) с собственным именем «Век прогресса» (The Century of Progress), которые 5 июля вылетели с нью-йоркского аэродрома Беннет Филд в скоростной кругосветный перелет, в 16.42 (по Гринвичу) приземлились в Берлине, а уже через два часа летчики стартовали в Москву. В ночном полете американцы слегка заблудились и отклонились от трассы на 70 км южнее, а когда в 4 часа утра, выйдя на Борисов (в 60 км северо-восточнее Минска), установили свое местонахождение, решили просто приземлиться и отдохнуть. Выбранная ими для посадки лужайка оказалась торфяными разработками. При пробеге самолет увяз колесами в торфяном поле и скапотировал. «Век прогресса» был серьезно поврежден, но летчики отделались «легким испугом».</w:t>
      </w:r>
    </w:p>
    <w:p w14:paraId="734C09B0"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Уже 10 июля Маттерн и Гриффин поселились в московской гостинице «Националь», а 14 июля с твердым намерением повторить перелет выехали на родину (21438).</w:t>
      </w:r>
    </w:p>
    <w:p w14:paraId="471CA73D" w14:textId="77777777" w:rsidR="003A7E44" w:rsidRPr="00E93F40" w:rsidRDefault="003A7E44" w:rsidP="00E93F40">
      <w:pPr>
        <w:spacing w:after="0" w:line="240" w:lineRule="auto"/>
        <w:jc w:val="both"/>
        <w:rPr>
          <w:rFonts w:ascii="Times New Roman" w:hAnsi="Times New Roman"/>
          <w:color w:val="000000" w:themeColor="text1"/>
          <w:sz w:val="16"/>
          <w:szCs w:val="16"/>
        </w:rPr>
      </w:pPr>
    </w:p>
    <w:p w14:paraId="4EBE66F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982181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E3A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 года была подготовлена Сводка результатов государственных испытаний опытного гидросамолета МБР-2 УТЕ=7,3 произведенных в Севастополе при Морск. испытательной станции НИИ ВВС, которые проходили с 31 мая 1932 года по 30 июня 1932 года (3043).</w:t>
      </w:r>
    </w:p>
    <w:p w14:paraId="4F2364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 года.</w:t>
      </w:r>
    </w:p>
    <w:p w14:paraId="1BC16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Сводка</w:t>
      </w:r>
    </w:p>
    <w:p w14:paraId="64F12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результатов государственных испытаний</w:t>
      </w:r>
    </w:p>
    <w:p w14:paraId="1377DD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опытного гидросамолета МБР-2 УТЕ=7,3</w:t>
      </w:r>
    </w:p>
    <w:p w14:paraId="786A2C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произведенных в Севастополе при Морск.</w:t>
      </w:r>
    </w:p>
    <w:p w14:paraId="1C362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испытательной станции НИИ ВВС</w:t>
      </w:r>
    </w:p>
    <w:p w14:paraId="653D52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31 мая 1932 года по 30 июня 1932 года</w:t>
      </w:r>
    </w:p>
    <w:p w14:paraId="7C926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18AFF1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Снятие летно-тактических характеристик самолетов для оценки возможности принятия данного типа на вооружение ВВС.</w:t>
      </w:r>
    </w:p>
    <w:p w14:paraId="30C33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нормальных гос. испытаний НИИ ВВС объявленная в приказе по НИИ N 44/140 от 26.05.32 г.</w:t>
      </w:r>
    </w:p>
    <w:p w14:paraId="4BEAD1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проходит испытания в 2-х вариантах:</w:t>
      </w:r>
    </w:p>
    <w:p w14:paraId="0A7B6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вариант морской базовый разведчик без бомбовой нагрузки и бомбового снаряжения.</w:t>
      </w:r>
    </w:p>
    <w:p w14:paraId="3A4D8D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2-й вариант - разведчик с бомбовой нагрузкой 500 кг и бомбовым снаряжением.</w:t>
      </w:r>
    </w:p>
    <w:p w14:paraId="4C2A8C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заключении испытаний - определение предельной максимальной нагрузки поднимаемой самолетом.</w:t>
      </w:r>
    </w:p>
    <w:p w14:paraId="1769D3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Даты:</w:t>
      </w:r>
    </w:p>
    <w:p w14:paraId="51E93B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постройке принят 1931</w:t>
      </w:r>
    </w:p>
    <w:p w14:paraId="7BAEDA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 плана</w:t>
      </w:r>
    </w:p>
    <w:p w14:paraId="7DF7F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предъявлен 25 мая 1932 года в МИС НИИ ВВС</w:t>
      </w:r>
    </w:p>
    <w:p w14:paraId="2D44A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с 3 мая 1932 г. по 24 мая 1932 г.</w:t>
      </w:r>
    </w:p>
    <w:p w14:paraId="3D7419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 на гос. испытания 31 мая 1932 г.</w:t>
      </w:r>
    </w:p>
    <w:p w14:paraId="2A0FB8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закончены 30 июня 1932 г.</w:t>
      </w:r>
    </w:p>
    <w:p w14:paraId="382302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321DA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МБР2 может быть представлен на вооружение ВВС (3043).</w:t>
      </w:r>
    </w:p>
    <w:p w14:paraId="37AEF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B69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 Н.М.Х., А.Н.Т. и В.М.П. была подписана докладная об изменении веса ТБ-3 (АНТ-6) (1077,125).</w:t>
      </w:r>
    </w:p>
    <w:p w14:paraId="70323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365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 появилось Письмо НТОС Наркомавиапрома N 86/3265 в ЦАГИ с изменениями к плану опытного моторо и самолетостроения от 4 июля 1932. Подписал Машкевич (351).</w:t>
      </w:r>
    </w:p>
    <w:p w14:paraId="08F6B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Там ЦАГИ все же пообещали специалистов и дали место на Ходынке и возможность производства опытов в Севастополе. По плану моторостроения срок по дизелю ФЭД передвинули с 1 июля 1932 на 1 сентября 1932. По плану самолетостроения для К1 2М-34 срок передвинули с 1 марта 1934 на 1 октября 1933, ввели 10 позицию ДИП-М34 или М38 или М? со сроком 01.04.1933, в экспериментальном высотном самолете передвинули срок с 01.09.33 на 01.04.33 (351).</w:t>
      </w:r>
    </w:p>
    <w:p w14:paraId="7BF72A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 ВРИД Нач. НТОС Машкевич писал письмо № 86/3265:</w:t>
      </w:r>
    </w:p>
    <w:p w14:paraId="5428B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Нач. ЦАГИ тов. Харламову</w:t>
      </w:r>
    </w:p>
    <w:p w14:paraId="39A9C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ЦИАМ тов. Побережскому</w:t>
      </w:r>
    </w:p>
    <w:p w14:paraId="41319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ПТОС тов. Петровицкому</w:t>
      </w:r>
    </w:p>
    <w:p w14:paraId="25B98C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СПИ тов. Наумову</w:t>
      </w:r>
    </w:p>
    <w:p w14:paraId="5A5651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Самолетного треста тов. Малахову</w:t>
      </w:r>
    </w:p>
    <w:p w14:paraId="3C71B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Моторного треста тов. Михайлову</w:t>
      </w:r>
    </w:p>
    <w:p w14:paraId="71BDC6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рассмотрении плана опытного самолето-моторостроения постановлением Правительства от 4 июля 1932 им одобрены в проетк следующие изменения:</w:t>
      </w:r>
    </w:p>
    <w:p w14:paraId="1866B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проекту постановления</w:t>
      </w:r>
    </w:p>
    <w:p w14:paraId="384FC7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67AA1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Вместо п. 3: Признавая необходимой передачу НКВМором квалифицированных специалистов для усиления ЦАГИ, поручить тов. Ворошилову и тов. Баранову составить список передаваемых в НКТП специалистов.</w:t>
      </w:r>
    </w:p>
    <w:p w14:paraId="02E8ED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 7....отвести:</w:t>
      </w:r>
    </w:p>
    <w:p w14:paraId="3CDD8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Ходынском аэродроме в Москве часть территории, принадлежащей Артскладу - к 1 октября 1932 г.”</w:t>
      </w:r>
    </w:p>
    <w:p w14:paraId="1A6EE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т. Орлову /УВМС/ обеспечить ЦАГИ возможностью производства опытов и испытаний на море в Севастополе</w:t>
      </w:r>
    </w:p>
    <w:p w14:paraId="2AF9CC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Моторостроения</w:t>
      </w:r>
    </w:p>
    <w:p w14:paraId="4C32A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 № 1 Срок ФЭД /с нагнетателем/ вместо 1.7.-32 г. поставлен 1.9-32 г.</w:t>
      </w:r>
    </w:p>
    <w:p w14:paraId="4F41E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Самолетостроения</w:t>
      </w:r>
    </w:p>
    <w:p w14:paraId="2E1394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Добавлено 10-й позицией ДИП-М34 илм М-26 или М-? Сроком 1.6.-33 г. с данными: высота применения - 5000, скорость - 360/375 к/ч, посадочная скорость - 90 к/ч, радиус действия - 400 км, радиус действия при перегрузке - 700 км, сбрасываемый груз при перегрузке - 500 кг, вооружение - 2 тяжелых и 2 легких пулемета</w:t>
      </w:r>
    </w:p>
    <w:p w14:paraId="4032F1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вставлен в план без всяких оговорок, следовательно, согласно примечания № 2, должен проектироваться и строиться ГУАПом</w:t>
      </w:r>
    </w:p>
    <w:p w14:paraId="7D70E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экспериментальных самолетах изменен срок высотного самолета вместо 1.9-33 поставлен 1.4.-33 г. (351,15).</w:t>
      </w:r>
    </w:p>
    <w:p w14:paraId="6FDE40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65CD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 ВРИД Нач. НТОС Машкевич направил в ЦАГИ, ЦИАМ, ПТЭС, СПИ, Нач. Самолетного треста и Нач. моторного треста изменения, внесенные Правительством в план опытного самолето и моторостроения 4 июля 1932 (2286,126).</w:t>
      </w:r>
    </w:p>
    <w:p w14:paraId="28784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Затронул:</w:t>
      </w:r>
    </w:p>
    <w:p w14:paraId="2A8CE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моторостроению:</w:t>
      </w:r>
    </w:p>
    <w:p w14:paraId="7A5D14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ФЭД - вместо 01.07. - 01.09.32</w:t>
      </w:r>
    </w:p>
    <w:p w14:paraId="5FE87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самолетостроению:</w:t>
      </w:r>
    </w:p>
    <w:p w14:paraId="737115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 2М-34 вместо 01.03. - 01.10.33</w:t>
      </w:r>
    </w:p>
    <w:p w14:paraId="54649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Добавлено 10 позицией:</w:t>
      </w:r>
    </w:p>
    <w:p w14:paraId="3299E7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 М-34 или М-38 или М-32 со сроком 01.06.33</w:t>
      </w:r>
    </w:p>
    <w:p w14:paraId="55603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Изменено по высотному самолету - вместо 01.09.33 - 01.04.33 (2286,126).</w:t>
      </w:r>
    </w:p>
    <w:p w14:paraId="67E35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43DB27" w14:textId="77777777" w:rsidR="00625E0E"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13B1673" w14:textId="77777777" w:rsidR="00625E0E" w:rsidRPr="00E93F40" w:rsidRDefault="00625E0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2D904DA"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 года инженер КММО - Комиссии Морских Минных Опытов - С.Ф. Валк направил докладную записку Начальнику Военно-Морских сил РККА Орлову В.М., в которой изложил свои соображения по разработке нового вида минного оружия мощного разрушительного действия, которое удовлетворяло бы следующим требованиям:</w:t>
      </w:r>
    </w:p>
    <w:p w14:paraId="0A9C1F8D" w14:textId="77777777" w:rsidR="00625E0E" w:rsidRPr="00E93F40" w:rsidRDefault="00625E0E" w:rsidP="00E93F40">
      <w:pPr>
        <w:tabs>
          <w:tab w:val="left" w:pos="53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Эффективность действия при одиночном попадании.</w:t>
      </w:r>
    </w:p>
    <w:p w14:paraId="22731D8C" w14:textId="77777777" w:rsidR="00625E0E" w:rsidRPr="00E93F40" w:rsidRDefault="00625E0E" w:rsidP="00E93F40">
      <w:pPr>
        <w:tabs>
          <w:tab w:val="left" w:pos="575"/>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Дальность пуска близкая к средним артсистемам, порядка 10 миль при возможно малом мёртвом времени.</w:t>
      </w:r>
    </w:p>
    <w:p w14:paraId="3541359D" w14:textId="77777777" w:rsidR="00625E0E" w:rsidRPr="00E93F40" w:rsidRDefault="00625E0E" w:rsidP="00E93F40">
      <w:pPr>
        <w:tabs>
          <w:tab w:val="left" w:pos="55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Рассеивание продольное и боковое по возможности не превышающее 1%.</w:t>
      </w:r>
    </w:p>
    <w:p w14:paraId="21B292E4" w14:textId="77777777" w:rsidR="00625E0E" w:rsidRPr="00E93F40" w:rsidRDefault="00625E0E" w:rsidP="00E93F40">
      <w:pPr>
        <w:tabs>
          <w:tab w:val="left" w:pos="55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Отсутствие необходимости определения аргументов движения цели и стреляющего.</w:t>
      </w:r>
    </w:p>
    <w:p w14:paraId="5AB9F9E9"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Далее в документе дано следующее описание:</w:t>
      </w:r>
      <w:r w:rsidRPr="00E93F40">
        <w:rPr>
          <w:rStyle w:val="aff5"/>
          <w:rFonts w:ascii="Times New Roman" w:eastAsia="Arial Unicode MS" w:hAnsi="Times New Roman" w:cs="Times New Roman"/>
          <w:i w:val="0"/>
          <w:color w:val="000000" w:themeColor="text1"/>
        </w:rPr>
        <w:t xml:space="preserve"> «Взрыв происходит в подводной части </w:t>
      </w:r>
      <w:r w:rsidRPr="00E93F40">
        <w:rPr>
          <w:rFonts w:ascii="Times New Roman" w:hAnsi="Times New Roman"/>
          <w:color w:val="000000" w:themeColor="text1"/>
          <w:sz w:val="16"/>
          <w:szCs w:val="16"/>
        </w:rPr>
        <w:t>корабля как в случае применения обычной торпеды, но основную часть пути, наиболее длинную, торпеда, наподобие летательного снаряда, проходит не под водой, а по воздуху».</w:t>
      </w:r>
    </w:p>
    <w:p w14:paraId="2BB54B9E"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 предлагал снабдить корпус торпеды несущими крыльями или самовра</w:t>
      </w:r>
      <w:r w:rsidRPr="00E93F40">
        <w:rPr>
          <w:rFonts w:ascii="Times New Roman" w:hAnsi="Times New Roman"/>
          <w:color w:val="000000" w:themeColor="text1"/>
          <w:sz w:val="16"/>
          <w:szCs w:val="16"/>
        </w:rPr>
        <w:softHyphen/>
        <w:t xml:space="preserve">щающимся ротором наподобие автожира, разработанного впоследствии конструктором </w:t>
      </w:r>
      <w:r w:rsidRPr="00E93F40">
        <w:rPr>
          <w:rStyle w:val="aff7"/>
          <w:rFonts w:ascii="Times New Roman" w:hAnsi="Times New Roman" w:cs="Times New Roman"/>
          <w:b w:val="0"/>
          <w:color w:val="000000" w:themeColor="text1"/>
          <w:spacing w:val="0"/>
          <w:sz w:val="16"/>
          <w:szCs w:val="16"/>
        </w:rPr>
        <w:t>Н.И.</w:t>
      </w:r>
      <w:r w:rsidRPr="00E93F40">
        <w:rPr>
          <w:rFonts w:ascii="Times New Roman" w:hAnsi="Times New Roman"/>
          <w:color w:val="000000" w:themeColor="text1"/>
          <w:sz w:val="16"/>
          <w:szCs w:val="16"/>
        </w:rPr>
        <w:t xml:space="preserve"> Камовым по программе «ТОС», получившей шифр «ВТК» (Воздушная Торпеда Камова). Предполагалась установка ракетных движителей: одного для прохождения воздушного пути порядка 15-20 км, другого, в случае проектирования чисто ракетной торпеды, для преодо</w:t>
      </w:r>
      <w:r w:rsidRPr="00E93F40">
        <w:rPr>
          <w:rFonts w:ascii="Times New Roman" w:hAnsi="Times New Roman"/>
          <w:color w:val="000000" w:themeColor="text1"/>
          <w:sz w:val="16"/>
          <w:szCs w:val="16"/>
        </w:rPr>
        <w:softHyphen/>
        <w:t>ления подводного отрезка длиной 200-500 метров.</w:t>
      </w:r>
    </w:p>
    <w:p w14:paraId="6522BC6B"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ведения торпеды по траектории должны были использоваться невидимые лучи от инфракрасного прожектора.</w:t>
      </w:r>
    </w:p>
    <w:p w14:paraId="00A354C7"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Далее С.Ф. Валк обращал внимание, что оружие разработано им самостоятельно, а в настоящей записке приведены только основные сочетания методов и схем.</w:t>
      </w:r>
    </w:p>
    <w:p w14:paraId="14F80C18"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С.Ф. Валк сообщил, что в это же время в Ленинградском Электрофизическом институте был экспериментально разработан метод управления инфракрасным лучом посредством оптической системы.</w:t>
      </w:r>
    </w:p>
    <w:p w14:paraId="0AF4B83C"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Мощность авиаторпеды была достаточна для поражения крупных надводных кораблей </w:t>
      </w:r>
      <w:r w:rsidRPr="00E93F40">
        <w:rPr>
          <w:rStyle w:val="aff7"/>
          <w:rFonts w:ascii="Times New Roman" w:hAnsi="Times New Roman" w:cs="Times New Roman"/>
          <w:b w:val="0"/>
          <w:color w:val="000000" w:themeColor="text1"/>
          <w:spacing w:val="0"/>
          <w:sz w:val="16"/>
          <w:szCs w:val="16"/>
        </w:rPr>
        <w:t>и</w:t>
      </w:r>
      <w:r w:rsidRPr="00E93F40">
        <w:rPr>
          <w:rFonts w:ascii="Times New Roman" w:hAnsi="Times New Roman"/>
          <w:color w:val="000000" w:themeColor="text1"/>
          <w:sz w:val="16"/>
          <w:szCs w:val="16"/>
        </w:rPr>
        <w:t xml:space="preserve"> даже сооружений военно-морских баз (15845).</w:t>
      </w:r>
    </w:p>
    <w:p w14:paraId="694C87A9" w14:textId="77777777" w:rsidR="00625E0E" w:rsidRPr="00E93F40" w:rsidRDefault="00625E0E" w:rsidP="00E93F40">
      <w:pPr>
        <w:spacing w:after="0" w:line="240" w:lineRule="auto"/>
        <w:jc w:val="both"/>
        <w:rPr>
          <w:rFonts w:ascii="Times New Roman" w:hAnsi="Times New Roman"/>
          <w:color w:val="000000" w:themeColor="text1"/>
          <w:sz w:val="16"/>
          <w:szCs w:val="16"/>
        </w:rPr>
      </w:pPr>
    </w:p>
    <w:p w14:paraId="0F971F89" w14:textId="77777777" w:rsidR="003A7E44" w:rsidRPr="00E93F40" w:rsidRDefault="003A7E44"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3A18956" w14:textId="77777777" w:rsidR="003A7E44" w:rsidRPr="00E93F40" w:rsidRDefault="003A7E4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EFDBB3F"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 состоялся первый полет Супермарин Скапа (20803).</w:t>
      </w:r>
    </w:p>
    <w:p w14:paraId="17055B72" w14:textId="77777777" w:rsidR="003A7E44" w:rsidRPr="00E93F40" w:rsidRDefault="003A7E44" w:rsidP="00E93F40">
      <w:pPr>
        <w:spacing w:after="0" w:line="240" w:lineRule="auto"/>
        <w:jc w:val="both"/>
        <w:rPr>
          <w:rFonts w:ascii="Times New Roman" w:hAnsi="Times New Roman"/>
          <w:color w:val="000000" w:themeColor="text1"/>
          <w:sz w:val="16"/>
          <w:szCs w:val="16"/>
        </w:rPr>
      </w:pPr>
    </w:p>
    <w:p w14:paraId="4391EC1F" w14:textId="4EEAD788"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 года — первый полёт лёгкого многоцелевого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Percival Gull. /Англия/</w:t>
      </w:r>
    </w:p>
    <w:p w14:paraId="501C3495" w14:textId="045468E0"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известный австралийский лётчик и авиаконструктор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Эдгар Персиваль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основал в Англии компанию Percival Aircraft Co. Первым проектом компании стал Gull («Чайка»). Самолёт разработал сам Персиваль под впечатлением от моноплана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Hendy 302, который он пилотировал ранее.</w:t>
      </w:r>
    </w:p>
    <w:p w14:paraId="651A115E" w14:textId="78A070C4"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Percival Gull представлял собой низкоплан, построенный в основном из дерева с полотняной обшивкой. Консоли крыла могли быть сложены для хранения. Самолёт мог перевозить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пассажиров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пилота. Двигатель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Cirrus Hermes</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позволял развить скорость до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 Полного бака топлива хватало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полёта.</w:t>
      </w:r>
    </w:p>
    <w:p w14:paraId="341929CD" w14:textId="60A1A243"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выпустили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единиц Percival Gull. Самолёт хорошо покупался частными владельцами, ценящими скорость и комфорт. Он также добился успеха в авиагонках и дальних полётах. На сегодня в мире сохранилось два Percival Gull в лётном состоянии (22300).</w:t>
      </w:r>
    </w:p>
    <w:p w14:paraId="44657178" w14:textId="77777777" w:rsidR="003A7E44" w:rsidRPr="00E93F40" w:rsidRDefault="003A7E44" w:rsidP="00E93F40">
      <w:pPr>
        <w:spacing w:after="0" w:line="240" w:lineRule="auto"/>
        <w:jc w:val="both"/>
        <w:rPr>
          <w:rFonts w:ascii="Times New Roman" w:hAnsi="Times New Roman"/>
          <w:color w:val="000000" w:themeColor="text1"/>
          <w:sz w:val="16"/>
          <w:szCs w:val="16"/>
        </w:rPr>
      </w:pPr>
    </w:p>
    <w:p w14:paraId="37FD46E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A951E3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B54D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июля 1932 года начальник ВВС Алкснис писал письмо N 38/011041 председателю РВС.</w:t>
      </w:r>
    </w:p>
    <w:p w14:paraId="676CA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4EA9F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9 июля 1932 года.</w:t>
      </w:r>
    </w:p>
    <w:p w14:paraId="6A459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2 принятый ранее условно, в настоящее время передан ЦАГИ для установки помп "ХОРНЕТ" (3027).</w:t>
      </w:r>
    </w:p>
    <w:p w14:paraId="0AF62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133C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июля 1932 был подписан План работ самолетной группы на 3 кв. 1932 (исходящий № 86/6269с от 10 июля, входящий № ПТ/4303 от 10 июля)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DA227A" w:rsidRPr="00E93F40" w14:paraId="64ACD971" w14:textId="77777777">
        <w:tc>
          <w:tcPr>
            <w:tcW w:w="2242" w:type="dxa"/>
            <w:tcBorders>
              <w:top w:val="single" w:sz="12" w:space="0" w:color="auto"/>
            </w:tcBorders>
          </w:tcPr>
          <w:p w14:paraId="1D1316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работ</w:t>
            </w:r>
          </w:p>
        </w:tc>
        <w:tc>
          <w:tcPr>
            <w:tcW w:w="2242" w:type="dxa"/>
            <w:tcBorders>
              <w:top w:val="single" w:sz="12" w:space="0" w:color="auto"/>
            </w:tcBorders>
          </w:tcPr>
          <w:p w14:paraId="00438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выполнения</w:t>
            </w:r>
          </w:p>
        </w:tc>
        <w:tc>
          <w:tcPr>
            <w:tcW w:w="2242" w:type="dxa"/>
            <w:tcBorders>
              <w:top w:val="single" w:sz="12" w:space="0" w:color="auto"/>
            </w:tcBorders>
          </w:tcPr>
          <w:p w14:paraId="3924A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Документация исполнения</w:t>
            </w:r>
          </w:p>
        </w:tc>
        <w:tc>
          <w:tcPr>
            <w:tcW w:w="2242" w:type="dxa"/>
            <w:tcBorders>
              <w:top w:val="single" w:sz="12" w:space="0" w:color="auto"/>
            </w:tcBorders>
          </w:tcPr>
          <w:p w14:paraId="4F42C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Дальнейшее направление</w:t>
            </w:r>
          </w:p>
        </w:tc>
        <w:tc>
          <w:tcPr>
            <w:tcW w:w="2242" w:type="dxa"/>
            <w:tcBorders>
              <w:top w:val="single" w:sz="12" w:space="0" w:color="auto"/>
            </w:tcBorders>
          </w:tcPr>
          <w:p w14:paraId="50E7B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Ответственные исполнители</w:t>
            </w:r>
          </w:p>
        </w:tc>
      </w:tr>
      <w:tr w:rsidR="00DA227A" w:rsidRPr="00E93F40" w14:paraId="1EA0A832" w14:textId="77777777">
        <w:tc>
          <w:tcPr>
            <w:tcW w:w="2242" w:type="dxa"/>
          </w:tcPr>
          <w:p w14:paraId="561EC3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Наблюдение, учет и контроль работ ЦАГИ, ХАЗ по внеедрению самолетов (постройка и исполнение эталонов, изготовление с конструкторских чертежей(</w:t>
            </w:r>
          </w:p>
        </w:tc>
        <w:tc>
          <w:tcPr>
            <w:tcW w:w="2242" w:type="dxa"/>
          </w:tcPr>
          <w:p w14:paraId="75394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112AA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341916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41817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Целиков, Гольдман</w:t>
            </w:r>
          </w:p>
        </w:tc>
      </w:tr>
      <w:tr w:rsidR="00DA227A" w:rsidRPr="00E93F40" w14:paraId="676609BC" w14:textId="77777777">
        <w:tc>
          <w:tcPr>
            <w:tcW w:w="2242" w:type="dxa"/>
          </w:tcPr>
          <w:p w14:paraId="14615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РД</w:t>
            </w:r>
          </w:p>
        </w:tc>
        <w:tc>
          <w:tcPr>
            <w:tcW w:w="2242" w:type="dxa"/>
          </w:tcPr>
          <w:p w14:paraId="746B1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август</w:t>
            </w:r>
          </w:p>
        </w:tc>
        <w:tc>
          <w:tcPr>
            <w:tcW w:w="2242" w:type="dxa"/>
          </w:tcPr>
          <w:p w14:paraId="4A9F86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4FCE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5CAFD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689DB9" w14:textId="77777777">
        <w:tc>
          <w:tcPr>
            <w:tcW w:w="2242" w:type="dxa"/>
          </w:tcPr>
          <w:p w14:paraId="50905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Р5-М34</w:t>
            </w:r>
          </w:p>
        </w:tc>
        <w:tc>
          <w:tcPr>
            <w:tcW w:w="2242" w:type="dxa"/>
          </w:tcPr>
          <w:p w14:paraId="4CBE9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июль</w:t>
            </w:r>
          </w:p>
        </w:tc>
        <w:tc>
          <w:tcPr>
            <w:tcW w:w="2242" w:type="dxa"/>
          </w:tcPr>
          <w:p w14:paraId="46B18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4E24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6FBBC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216160" w14:textId="77777777">
        <w:tc>
          <w:tcPr>
            <w:tcW w:w="2242" w:type="dxa"/>
          </w:tcPr>
          <w:p w14:paraId="1277A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Р5-М34 тормозные колеса</w:t>
            </w:r>
          </w:p>
        </w:tc>
        <w:tc>
          <w:tcPr>
            <w:tcW w:w="2242" w:type="dxa"/>
          </w:tcPr>
          <w:p w14:paraId="1408CE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август</w:t>
            </w:r>
          </w:p>
        </w:tc>
        <w:tc>
          <w:tcPr>
            <w:tcW w:w="2242" w:type="dxa"/>
          </w:tcPr>
          <w:p w14:paraId="30F035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A36C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1D50B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F58DF0" w14:textId="77777777">
        <w:tc>
          <w:tcPr>
            <w:tcW w:w="2242" w:type="dxa"/>
          </w:tcPr>
          <w:p w14:paraId="3CA166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Р6-2хМ-17 на поплавках</w:t>
            </w:r>
          </w:p>
        </w:tc>
        <w:tc>
          <w:tcPr>
            <w:tcW w:w="2242" w:type="dxa"/>
          </w:tcPr>
          <w:p w14:paraId="16D61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сентябрь</w:t>
            </w:r>
          </w:p>
        </w:tc>
        <w:tc>
          <w:tcPr>
            <w:tcW w:w="2242" w:type="dxa"/>
          </w:tcPr>
          <w:p w14:paraId="2DF1D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2267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9E4E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E1BDD9" w14:textId="77777777">
        <w:tc>
          <w:tcPr>
            <w:tcW w:w="2242" w:type="dxa"/>
          </w:tcPr>
          <w:p w14:paraId="6352F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Наблюдение, учет и контроль за проектированием и постройкой опытных экземпляров</w:t>
            </w:r>
          </w:p>
        </w:tc>
        <w:tc>
          <w:tcPr>
            <w:tcW w:w="2242" w:type="dxa"/>
          </w:tcPr>
          <w:p w14:paraId="0033A8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квартал</w:t>
            </w:r>
          </w:p>
        </w:tc>
        <w:tc>
          <w:tcPr>
            <w:tcW w:w="2242" w:type="dxa"/>
          </w:tcPr>
          <w:p w14:paraId="58D68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396526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7881E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Целиков, Гольдман</w:t>
            </w:r>
          </w:p>
        </w:tc>
      </w:tr>
      <w:tr w:rsidR="00DA227A" w:rsidRPr="00E93F40" w14:paraId="44FC776C" w14:textId="77777777">
        <w:tc>
          <w:tcPr>
            <w:tcW w:w="2242" w:type="dxa"/>
          </w:tcPr>
          <w:p w14:paraId="543CE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ДБ-4</w:t>
            </w:r>
          </w:p>
        </w:tc>
        <w:tc>
          <w:tcPr>
            <w:tcW w:w="2242" w:type="dxa"/>
          </w:tcPr>
          <w:p w14:paraId="407F4F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F1F4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D94FC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79C5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0D33E3" w14:textId="77777777">
        <w:tc>
          <w:tcPr>
            <w:tcW w:w="2242" w:type="dxa"/>
          </w:tcPr>
          <w:p w14:paraId="247E5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“разрезное крыло” Кричевского</w:t>
            </w:r>
          </w:p>
        </w:tc>
        <w:tc>
          <w:tcPr>
            <w:tcW w:w="2242" w:type="dxa"/>
          </w:tcPr>
          <w:p w14:paraId="1D4544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569C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51B10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A55C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DC2A4B" w14:textId="77777777">
        <w:tc>
          <w:tcPr>
            <w:tcW w:w="2242" w:type="dxa"/>
          </w:tcPr>
          <w:p w14:paraId="7D8C3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w:t>
            </w:r>
          </w:p>
        </w:tc>
        <w:tc>
          <w:tcPr>
            <w:tcW w:w="2242" w:type="dxa"/>
          </w:tcPr>
          <w:p w14:paraId="080CB8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B1223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1F99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F70C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AD56C8" w14:textId="77777777">
        <w:tc>
          <w:tcPr>
            <w:tcW w:w="2242" w:type="dxa"/>
          </w:tcPr>
          <w:p w14:paraId="7D4F4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ТБ3-4М34</w:t>
            </w:r>
          </w:p>
        </w:tc>
        <w:tc>
          <w:tcPr>
            <w:tcW w:w="2242" w:type="dxa"/>
          </w:tcPr>
          <w:p w14:paraId="665EC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CF50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F8CE9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BF25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008ABF" w14:textId="77777777">
        <w:tc>
          <w:tcPr>
            <w:tcW w:w="2242" w:type="dxa"/>
          </w:tcPr>
          <w:p w14:paraId="26E70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Р5-М34 эталон</w:t>
            </w:r>
          </w:p>
        </w:tc>
        <w:tc>
          <w:tcPr>
            <w:tcW w:w="2242" w:type="dxa"/>
          </w:tcPr>
          <w:p w14:paraId="07824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AE01E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2FAE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DEB2B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96D049" w14:textId="77777777">
        <w:tc>
          <w:tcPr>
            <w:tcW w:w="2242" w:type="dxa"/>
          </w:tcPr>
          <w:p w14:paraId="49D79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И12-М22 2 экз.</w:t>
            </w:r>
          </w:p>
        </w:tc>
        <w:tc>
          <w:tcPr>
            <w:tcW w:w="2242" w:type="dxa"/>
          </w:tcPr>
          <w:p w14:paraId="6F39F3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D5037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9654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C6011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134A58" w14:textId="77777777">
        <w:tc>
          <w:tcPr>
            <w:tcW w:w="2242" w:type="dxa"/>
          </w:tcPr>
          <w:p w14:paraId="40C18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С62-М-34</w:t>
            </w:r>
          </w:p>
        </w:tc>
        <w:tc>
          <w:tcPr>
            <w:tcW w:w="2242" w:type="dxa"/>
          </w:tcPr>
          <w:p w14:paraId="5C7C5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89B11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FF4FB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4711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3E5783" w14:textId="77777777">
        <w:tc>
          <w:tcPr>
            <w:tcW w:w="2242" w:type="dxa"/>
          </w:tcPr>
          <w:p w14:paraId="0917C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Наблюдение, учет и контроль работ ЦАГИ по опытным металлическим винтам, лыжам и тормозным колесам</w:t>
            </w:r>
          </w:p>
        </w:tc>
        <w:tc>
          <w:tcPr>
            <w:tcW w:w="2242" w:type="dxa"/>
          </w:tcPr>
          <w:p w14:paraId="701E16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квартал</w:t>
            </w:r>
          </w:p>
        </w:tc>
        <w:tc>
          <w:tcPr>
            <w:tcW w:w="2242" w:type="dxa"/>
          </w:tcPr>
          <w:p w14:paraId="4D584A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4F229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7D569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Целиков, Гольдман</w:t>
            </w:r>
          </w:p>
        </w:tc>
      </w:tr>
      <w:tr w:rsidR="00DA227A" w:rsidRPr="00E93F40" w14:paraId="190B0B98" w14:textId="77777777">
        <w:tc>
          <w:tcPr>
            <w:tcW w:w="2242" w:type="dxa"/>
          </w:tcPr>
          <w:p w14:paraId="15B032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Изготовление чертежей лопастей и втулок М-34</w:t>
            </w:r>
          </w:p>
        </w:tc>
        <w:tc>
          <w:tcPr>
            <w:tcW w:w="2242" w:type="dxa"/>
          </w:tcPr>
          <w:p w14:paraId="2380D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17F4A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B5FF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AA077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1CBBA4" w14:textId="77777777">
        <w:tc>
          <w:tcPr>
            <w:tcW w:w="2242" w:type="dxa"/>
          </w:tcPr>
          <w:p w14:paraId="57C89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Изготовление чертежей тормозных колес</w:t>
            </w:r>
          </w:p>
        </w:tc>
        <w:tc>
          <w:tcPr>
            <w:tcW w:w="2242" w:type="dxa"/>
          </w:tcPr>
          <w:p w14:paraId="450AA4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4477D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5AF0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6895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CF5F9F" w14:textId="77777777">
        <w:tc>
          <w:tcPr>
            <w:tcW w:w="2242" w:type="dxa"/>
          </w:tcPr>
          <w:p w14:paraId="2F578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Продвижение заказов ЦАГИ по тормозным колесам</w:t>
            </w:r>
          </w:p>
        </w:tc>
        <w:tc>
          <w:tcPr>
            <w:tcW w:w="2242" w:type="dxa"/>
          </w:tcPr>
          <w:p w14:paraId="4B49A4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328E1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258C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3DFB2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71B45E" w14:textId="77777777">
        <w:tc>
          <w:tcPr>
            <w:tcW w:w="2242" w:type="dxa"/>
          </w:tcPr>
          <w:p w14:paraId="39941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Наблюдение, учет и контроль по НИР ЦАГИ в области аэродинамики, материаловедения, гидродинамики, прочности авиаконструкций и теоретической проработки вопросов ближайшей перспективы</w:t>
            </w:r>
          </w:p>
        </w:tc>
        <w:tc>
          <w:tcPr>
            <w:tcW w:w="2242" w:type="dxa"/>
          </w:tcPr>
          <w:p w14:paraId="00D22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квартал</w:t>
            </w:r>
          </w:p>
        </w:tc>
        <w:tc>
          <w:tcPr>
            <w:tcW w:w="2242" w:type="dxa"/>
          </w:tcPr>
          <w:p w14:paraId="192AC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1A6521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34BD7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Целиков, Гольдман, Дробыш</w:t>
            </w:r>
          </w:p>
        </w:tc>
      </w:tr>
      <w:tr w:rsidR="00DA227A" w:rsidRPr="00E93F40" w14:paraId="3E6025D1" w14:textId="77777777">
        <w:tc>
          <w:tcPr>
            <w:tcW w:w="2242" w:type="dxa"/>
          </w:tcPr>
          <w:p w14:paraId="1C216A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Выявление затруднений и задержек в работе опытных организаций, приняте мер к их устранению, согласование вопросов опытного строительства с Трестами и Секторами</w:t>
            </w:r>
          </w:p>
        </w:tc>
        <w:tc>
          <w:tcPr>
            <w:tcW w:w="2242" w:type="dxa"/>
          </w:tcPr>
          <w:p w14:paraId="49056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квартал</w:t>
            </w:r>
          </w:p>
        </w:tc>
        <w:tc>
          <w:tcPr>
            <w:tcW w:w="2242" w:type="dxa"/>
          </w:tcPr>
          <w:p w14:paraId="6FF6F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70821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49DD00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Целиков, Гольдман, Дробыш</w:t>
            </w:r>
          </w:p>
        </w:tc>
      </w:tr>
      <w:tr w:rsidR="00DA227A" w:rsidRPr="00E93F40" w14:paraId="0B8017EB" w14:textId="77777777">
        <w:tc>
          <w:tcPr>
            <w:tcW w:w="2242" w:type="dxa"/>
          </w:tcPr>
          <w:p w14:paraId="099799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Участие в различных совещаниях и технических советах Трестов, Секторов, опытных и научных организаций</w:t>
            </w:r>
          </w:p>
        </w:tc>
        <w:tc>
          <w:tcPr>
            <w:tcW w:w="2242" w:type="dxa"/>
          </w:tcPr>
          <w:p w14:paraId="17D903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квартал</w:t>
            </w:r>
          </w:p>
        </w:tc>
        <w:tc>
          <w:tcPr>
            <w:tcW w:w="2242" w:type="dxa"/>
          </w:tcPr>
          <w:p w14:paraId="7B5D12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3C8D11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0AE4ED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Целиков, Гольдман, Дробыш</w:t>
            </w:r>
          </w:p>
        </w:tc>
      </w:tr>
      <w:tr w:rsidR="00DA227A" w:rsidRPr="00E93F40" w14:paraId="462F63CC" w14:textId="77777777">
        <w:tc>
          <w:tcPr>
            <w:tcW w:w="2242" w:type="dxa"/>
          </w:tcPr>
          <w:p w14:paraId="4C223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Подготовка материалов по составлению отчетов по 3-му кварталу на проведение опытных и НИО</w:t>
            </w:r>
          </w:p>
        </w:tc>
        <w:tc>
          <w:tcPr>
            <w:tcW w:w="2242" w:type="dxa"/>
          </w:tcPr>
          <w:p w14:paraId="580CB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квартал</w:t>
            </w:r>
          </w:p>
        </w:tc>
        <w:tc>
          <w:tcPr>
            <w:tcW w:w="2242" w:type="dxa"/>
          </w:tcPr>
          <w:p w14:paraId="7BA69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40FA5F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60415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Целиков, Гольдман, Дробыш</w:t>
            </w:r>
          </w:p>
        </w:tc>
      </w:tr>
      <w:tr w:rsidR="00DA227A" w:rsidRPr="00E93F40" w14:paraId="40119AE8" w14:textId="77777777">
        <w:tc>
          <w:tcPr>
            <w:tcW w:w="2242" w:type="dxa"/>
            <w:tcBorders>
              <w:bottom w:val="single" w:sz="12" w:space="0" w:color="auto"/>
            </w:tcBorders>
          </w:tcPr>
          <w:p w14:paraId="23146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Ведение текущей технической работы, переписки и дача указаний Трестам, Секторам, опытным и НИО</w:t>
            </w:r>
          </w:p>
        </w:tc>
        <w:tc>
          <w:tcPr>
            <w:tcW w:w="2242" w:type="dxa"/>
            <w:tcBorders>
              <w:bottom w:val="single" w:sz="12" w:space="0" w:color="auto"/>
            </w:tcBorders>
          </w:tcPr>
          <w:p w14:paraId="607B1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6C710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481B68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5E821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7E707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(2314,20)</w:t>
      </w:r>
    </w:p>
    <w:p w14:paraId="3C142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F9A3EB" w14:textId="77777777" w:rsidR="00625E0E" w:rsidRPr="00E93F40" w:rsidRDefault="00625E0E"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июля 1932 г. По приказу НКТП № 487 Государственная контора «Авиапроект», созданная в марте 1932, реорганизована в проектный институт «Гипроавиа». По пр. НКОП № 011с от 28.01.1937г. «Гипроавиа» переименован в 1-й ГПИ. В 02.1937г. - в ведении 1ГУ НКОП. По приказам НКАП № 174 от 6.05.1941 г. и от 22.07.1941 г. ГПИ-1 переименован в «Гипроавиапром» (1-й Государственный проектный институт (ГПИ-1) НКОП, НКАП, Государственная контора «Авиапроект» НКТП, Государственный институт по проектированию заводов авиационной промышленности «Гипроавиа» НКТП, НКОП, Государственный институт по проектированию заводов авиационной промышленности «Гипроавиапром» НКАП, МАП, Ордена Трудового Красного Знамени Государственный проектно-конструкторский я научно-исследовательский институт авиационной промышленности («ГипроНИИавиапром») МАП, п/я 3908, Г-4617, АООТ, ОАО, корпорация «ГипроНИИавиапром» /г. Москва ул. Володарского, 20 (1932-41 г.); ул. Нижняя Масловка (1941 г.); ул. Верхняя Масловка, 90 (1945г.-)/ /127083 г. Москва ул. Верхняя Масловка, 20 тел. 612-92-03/).</w:t>
      </w:r>
    </w:p>
    <w:p w14:paraId="401269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Приказом № 00116 от 28.05.1937г. институту поручено к 1.07.1937г. закончить проект расширения завода № 1; пр. № 300с от 7.08.1938г. срок окончания проекта перенесен на 15.08.1938г., пр. № 418сс от 4.11.1938г. проектирование прекращено. Приказом № 240 от 21.06.1938г. институт определен генподрядчиком </w:t>
      </w:r>
      <w:r w:rsidRPr="00E93F40">
        <w:rPr>
          <w:rFonts w:ascii="Times New Roman" w:hAnsi="Times New Roman"/>
          <w:color w:val="000000" w:themeColor="text1"/>
          <w:sz w:val="16"/>
          <w:szCs w:val="16"/>
        </w:rPr>
        <w:lastRenderedPageBreak/>
        <w:t>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1D627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1937г. организован Юго-Восточный филиал института в Воронеже.</w:t>
      </w:r>
    </w:p>
    <w:p w14:paraId="65A81A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1941 г. институт перебазирован в новые помещения на Нижней Масловке. Но после начала войны он в течение 10 дней эвакуирован в Куйбышев, Саратов, Оренбург, Янгиюль, Горький, Казань, Уфу, Ульяновск, Новосибирск, Омск, Каменск-Уральский, Свердловск, Нижний Тагил, Верхний Нейвинск, Сарапул, Рыбинск, Сызрань, Андижан, Ташкент, Пермь, Барнаул, Павлово. В 1942-44г. работники были реэвакуированы в Москву.</w:t>
      </w:r>
    </w:p>
    <w:p w14:paraId="7D1072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05.1945г. институт переехал в новое здание (в котором находился и в 2000-е г.) по ул. В. Масловка, 90.</w:t>
      </w:r>
    </w:p>
    <w:p w14:paraId="7AFC4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1947г. преобразовано в Куйбышевский филиал; СПБ-2; Сибирский филиал, созданный в 1951 г.; СПБ-6 в Казани, созданное 8.12.1941 г., 18.10.1951 г. преобразовано в Казанский филиал; Омский филиал, организованный 17.10.1959г.; Уфимский филиал, организованый 18.02.1975г.; СПБ-11 в Ульяновске, созданное в 1976г.</w:t>
      </w:r>
    </w:p>
    <w:p w14:paraId="3C3BE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имел производственную базу в Химках, в 1967г. она передана в ГС ПКБ.</w:t>
      </w:r>
    </w:p>
    <w:p w14:paraId="620AF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1957г. в институте образована группа по подготовке проекта стартовой и технической позиции создаваемой системы ПРО. В 1958г. эта группа преобразована в ОКБ наземного оборудования. В 1950-х г. создано оборудование технической позиции противоракеты В-1000 системы ПРО «А», в 1958г. группа «Гипроавиапрома» по подготовке проекта стартовой и технической позиций системы ПРО преобразована в ОКБ наземного оборудования. Далее выделилось в самостоятельное ОКБ ГАП.</w:t>
      </w:r>
    </w:p>
    <w:p w14:paraId="5B056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Разработаны проекты: для предприятий АП: сборочный корпус завода № 22 (1930-е), аэродинамическая труба Т-128 ЦАГИ, реконструкция здания КОСОС (1950-е), корпус сборочного цеха для Ту-104 завода № 135 (1955г.), здание ЛИК и производственно-лабораторный корпус № 9 для ОКБ-156, УАПК, корпус № 6 СибНИА (1960-70-е), комплекс корпусов для испытаний «Бурана» в НПО «Молния», комплекс Ц-110 в ЦИАМ, МИС завода № 19, корпус № 2 для ВАЗа, малярный корпус для Куйбышевского авиазавода, корпус № 206 для КАПО (1970-80-е), чугунолитейный корпус ВСМПО, цех точного литья ММЗ «Салют», литейный цех УМПО, сборочный корпус для ЛАПИЩ (1990-е); большое количество объектов гражданского строительства, в т.ч. Лыжного трамплина на Ленинских горах в Москве, реконструкции Пермского театра оперы и балета.</w:t>
      </w:r>
    </w:p>
    <w:p w14:paraId="78652A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находился в ведении: НКАП (-1946г.), МАП (1946-53; 1953-57; 1965-91 г.), МОП (1953г.), ГКАТ (1957-65г.). По приказу ГКАТ от 14.12.1964г. «Гипроавиапром» реорганизован в «ГипроНИИавиапром» (с 1981 г. - ордена Трудового Красного Знамени). Имел наименования: п/я 3908 (1960-66г.), Г-4617 (1966-89г.).</w:t>
      </w:r>
    </w:p>
    <w:p w14:paraId="5C1E9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1991 г. Ордена Трудового Красного Знамени ГипроНИИавиапром - в ведении Министерства промышленности. По Указу Президента РФ от 1.07.1991 г. предприятие 30.03.1993г. акционировано и преобразовано в АООТ, с 28.05.1996г. - ОАО «ГипроНИИавиапром». В 2001 г. - корпорация «ГипроНИИавиапром». По решению правительства № 22-р от 9.01.2004г. и Указу Президента РФ № 1009 от 4.08.2004г. вошло в число стратегических оборонных предприятий. В соответствии с Указом Президента РФ № 1052 от 10.07.2008г. ОАО вошло в перечень предприятий, в отношении которых ГК «Ростехнология» осуществляет единую государственную политику по созданию техники военного и гражданского назначения.</w:t>
      </w:r>
    </w:p>
    <w:p w14:paraId="1CF1A1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(2004г.): НИР, разработка проектов реконструкции предприятий, проекты газотурбинных электростанций, газоперекачивающих станций, глушителей шума.</w:t>
      </w:r>
    </w:p>
    <w:p w14:paraId="7CBB5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(1936-37г.)- Н.П. Теплов, (06.1937; -12.1937-23.05.1938г.)- В.Н. Крицман(Кришшй); и.о. (11.1937; 23.05-07.1938г.-)- С.В. Аврутин; (29.07-12.1938-; 1940 г.)- Г.И. Байдаков, (1939г.-)- И.И. Штейнберг, (1940 г.)- Г.В. Вазирян. Директор (1955-71 г.)- М.М. Тимохин, (1972-93г.)- И. Шандура. Гендиректор (1990-е)- Николаев, (-1998- 2005г.-)- В.М. Логинов, (-07.2006-09г.-)- С.Ю. Давыдкин.</w:t>
      </w:r>
    </w:p>
    <w:p w14:paraId="393736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зам. гендиректора (2001 г.)- А.Н. Панюков. Зам. директора (06.1937г.)- С.В. Аврутин. Зам. гендиректора</w:t>
      </w:r>
    </w:p>
    <w:p w14:paraId="1642E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(-2002-14.12.2005г.)- С.Ю. Давыдкин.</w:t>
      </w:r>
    </w:p>
    <w:p w14:paraId="1F9D5C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технический (2001 г.)- А.Н. Панюков; по экономике и финансам (2001 г.)- С.Ю. Давыдкин; по поставке оборудования (2001 г.)- С.Ф. Русанов.</w:t>
      </w:r>
      <w:r w:rsidRPr="00E93F40">
        <w:rPr>
          <w:rFonts w:ascii="Times New Roman" w:hAnsi="Times New Roman"/>
          <w:color w:val="000000" w:themeColor="text1"/>
          <w:sz w:val="16"/>
          <w:szCs w:val="16"/>
          <w:vertAlign w:val="superscript"/>
        </w:rPr>
        <w:t>69</w:t>
      </w:r>
    </w:p>
    <w:p w14:paraId="72EBE7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(06.1937г.)- С.В. Аврутин.</w:t>
      </w:r>
    </w:p>
    <w:p w14:paraId="5F0F4E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(2004г.)- И. Нечай.</w:t>
      </w:r>
    </w:p>
    <w:p w14:paraId="69344F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инженеры проектов: (1938г.)- И.Н. Кенебас (завод № 124), (06.1938г.)- Рубштейн (завод № 19), (7.08.1938г.-)- Д.Г. Зальцман («Саркомбайн»), (29.09.1938г.-)- М.М. Фадеев (№ 377), (07.1939г.)- Бренгауз (№ 600), (1950-е)- Н.А. Шапиро (техническая позиция В-1000), (2000-е)- В.А. Звягинцев, П. Дунаев.</w:t>
      </w:r>
    </w:p>
    <w:p w14:paraId="16E37E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генпланов (09.1938г.)- Демидов; технологического (-09.1938г.)- М.П. Зюзин; (05.1937г.)- Н.С. Берхен.</w:t>
      </w:r>
    </w:p>
    <w:p w14:paraId="3071CA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секторов: строительного (06.1938г.)- Бибер.</w:t>
      </w:r>
    </w:p>
    <w:p w14:paraId="18820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Руководитель СПБ: (1946г.)- М.А. Чикин.</w:t>
      </w:r>
    </w:p>
    <w:p w14:paraId="501A4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групп: водоснабжения (09.1938г.)- Барабанов; (1935г.-)- Е.А. Иванов.</w:t>
      </w:r>
    </w:p>
    <w:p w14:paraId="1A6720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Архитекторы: (09.1938г.)- Курочкин (№ 377).</w:t>
      </w:r>
    </w:p>
    <w:p w14:paraId="015AE4DB"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Государственный институт по проектированию специальных металлургических заводов («Гипроспецмет»)</w:t>
      </w:r>
    </w:p>
    <w:p w14:paraId="170A536B" w14:textId="77777777" w:rsidR="00625E0E" w:rsidRPr="00E93F40" w:rsidRDefault="00625E0E"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03.1931 г. из состава Московского отделения института выделена самостоятельная Государственная контора «Авиапроект» (11982).</w:t>
      </w:r>
    </w:p>
    <w:p w14:paraId="022EE9A5" w14:textId="77777777" w:rsidR="00625E0E" w:rsidRPr="00E93F40" w:rsidRDefault="00625E0E" w:rsidP="00E93F40">
      <w:pPr>
        <w:spacing w:after="0" w:line="240" w:lineRule="auto"/>
        <w:jc w:val="both"/>
        <w:rPr>
          <w:rFonts w:ascii="Times New Roman" w:hAnsi="Times New Roman"/>
          <w:color w:val="000000" w:themeColor="text1"/>
          <w:sz w:val="16"/>
          <w:szCs w:val="16"/>
        </w:rPr>
      </w:pPr>
    </w:p>
    <w:p w14:paraId="5CC61FA4"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июля в 1932 году реорганизация Государственной проектной конторы "Авиапроект" в Государственный институт по проектированию предприятий авиационной промышленности - Гипроавиа (ныне ОАО "Гипронииавиапром"). Объем проектных работ был столь велик, что возникла необходимость значительного расширения института. В 1940 г. с целью приближения проектировщиков к объектам строительства были организованы филиалы института в городах Ленинграде (ныне Санкт-Петербурге), Харькове и др. Начиная со второй половины 40-х годов в отрасли была проведена большая работа по созданию научной базы реактивной авиации, перестройке авиационной науки на новых началах. Соответственно этому строилась и деятельность института. За короткий срок институт разработал проекты принципиально новых, сложных с инженерной точки зрения объектов: ЦАГИ, ЦИАМ, КБ Туполева, КБ Ильюшина и других опытных заводов. В начале 60-х годов с целью создания задела для разработки новых современных направлений в институте были созданы научно-исследовательские лаборатории. В этой связи в 1964 г. проектный институт ГИПРОАВИА был преобразован в Государственный проектно-конструкторский и научно-исследовательский институт авиационной промышленности - ГИПРОНИИАВИАПРОМ. В последующие годы по проектам института были построены и реконструированы все самолето-, вертолето-, двигателестроительные, агрегатные и металлургические заводы авиационной промышленности бывшего СССР. Кроме проектирования объектов строительства на территории бывшего СССР, институт занимался проектированием и для зарубежных стран: Болгарии, Венгрии, Вьетнама, Египта, Индии, Кореи, Турции, Эфиопии и др. Деятельность и разработки ОАО "Гипронииавиапром" отмечены рядом наград. В 1982 году, в связи с 50-летним юбилеем, за заслуги в создании, освоении производства и эксплуатации новой авиационной техники ГИПРОНИИАВИАПРОМ Указом Президиума Верховного Совета СССР от 17 мая 1982 года награжден "Орденом Трудового Красного Знамени". ОАО "Гипронииавиапром" отмечен медалью "Факел Бирмингема" в 1995 году, "Золотой медалью" АСП Франции в 2000 году, а по итогам работы в 2000 году стал победителем конкурса "100 лучших предприятий и организаций машиностроения России XXI века", проводившимся Международным союзом машиностроителей. Разработки ОАО "Гипронииавиапром" регулярно выставляются и получают награды на международных салонах изобретений "Брюссель-Эврика" и "Женева" (14947).</w:t>
      </w:r>
    </w:p>
    <w:p w14:paraId="37B8BDB8" w14:textId="77777777" w:rsidR="00625E0E" w:rsidRPr="00E93F40" w:rsidRDefault="00625E0E" w:rsidP="00E93F40">
      <w:pPr>
        <w:spacing w:after="0" w:line="240" w:lineRule="auto"/>
        <w:jc w:val="both"/>
        <w:rPr>
          <w:rFonts w:ascii="Times New Roman" w:hAnsi="Times New Roman"/>
          <w:color w:val="000000" w:themeColor="text1"/>
          <w:sz w:val="16"/>
          <w:szCs w:val="16"/>
        </w:rPr>
      </w:pPr>
    </w:p>
    <w:p w14:paraId="342448A9" w14:textId="2C4C87F0" w:rsidR="00305C73" w:rsidRPr="00E93F40" w:rsidRDefault="00305C73"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32CFD25" w14:textId="77777777" w:rsidR="00305C73" w:rsidRPr="00E93F40" w:rsidRDefault="00305C73"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3FF83BB3"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июля 1932 г. начальник ОКМО Н.В. Барыков, начальник Бюро особых конструкций ТО ЭКУ ОГПУ Качев и начальник Планово-производственного бюро ОКМО И.А. Пятунин составили </w:t>
      </w:r>
      <w:hyperlink r:id="rId176" w:tgtFrame="_blank" w:history="1">
        <w:r w:rsidRPr="00E93F40">
          <w:rPr>
            <w:rStyle w:val="a5"/>
            <w:rFonts w:ascii="Times New Roman" w:hAnsi="Times New Roman"/>
            <w:color w:val="000000" w:themeColor="text1"/>
            <w:sz w:val="16"/>
            <w:szCs w:val="16"/>
          </w:rPr>
          <w:t>Акт</w:t>
        </w:r>
      </w:hyperlink>
      <w:r w:rsidRPr="00E93F40">
        <w:rPr>
          <w:rFonts w:ascii="Times New Roman" w:hAnsi="Times New Roman"/>
          <w:color w:val="000000" w:themeColor="text1"/>
          <w:sz w:val="16"/>
          <w:szCs w:val="16"/>
        </w:rPr>
        <w:t xml:space="preserve"> о том, что:</w:t>
      </w:r>
    </w:p>
    <w:p w14:paraId="311711E7"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основании приказа Наркомтяжа т. ОРДЖОНИКИДЗЕ за № 185/С от 13/XI 1931 г., заказа Всесоюзного Орудийно-Арсенального Объединения за № 225/531 и по наряду завода Ворошилова за № 17732 закончен сборкой первый опытный быстроходный двигатель "Дизель" 400 НР под маркой ПГЕ и предъявлен для проведения экспериментальных работ, выявления конструкции, изучения быстроходного дизель-мотора и подготовке на государственное испытание при присутствии военного представителя».</w:t>
      </w:r>
    </w:p>
    <w:p w14:paraId="5D169685"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3. Д. 51. Л. 110]</w:t>
      </w:r>
    </w:p>
    <w:p w14:paraId="469950B8"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 же время в Ленинграде в командировке в ОКМО завода им. Ворошилова находился начальник Дизельного отдела ХПЗ К.Ф. Челпан. При личной встрече с начальником Бюро особых конструкций ТО ЭКУ ОГПУ Качевым К.Ф. Челпан был проинформирован об основных характеристиках дизеля ПГЕ.</w:t>
      </w:r>
    </w:p>
    <w:p w14:paraId="02BA8BF9"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Вернувшись в Харьков, К.Ф. Челпан доложил своему руководству о результатах поездки, акцентировав внимание на полученной информации по дизелю ПГЕ (24856). </w:t>
      </w:r>
    </w:p>
    <w:p w14:paraId="49987CDD" w14:textId="77777777" w:rsidR="00305C73" w:rsidRPr="00E93F40" w:rsidRDefault="00305C73" w:rsidP="00E93F40">
      <w:pPr>
        <w:spacing w:after="0" w:line="240" w:lineRule="auto"/>
        <w:jc w:val="both"/>
        <w:rPr>
          <w:rFonts w:ascii="Times New Roman" w:hAnsi="Times New Roman"/>
          <w:color w:val="000000" w:themeColor="text1"/>
          <w:sz w:val="16"/>
          <w:szCs w:val="16"/>
        </w:rPr>
      </w:pPr>
    </w:p>
    <w:p w14:paraId="79FB06F8"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июля 1932 г.</w:t>
      </w:r>
    </w:p>
    <w:p w14:paraId="2E476363"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РГВА Фонд 31811 Опись 3 Дело 51 лист 110 </w:t>
      </w:r>
    </w:p>
    <w:p w14:paraId="03BC9A38"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 подлежит оглашению. </w:t>
      </w:r>
    </w:p>
    <w:p w14:paraId="7575143B"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июля 1932 г.</w:t>
      </w:r>
    </w:p>
    <w:p w14:paraId="27961CFD"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АКТ</w:t>
      </w:r>
    </w:p>
    <w:p w14:paraId="44E2CBA2"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Мы, нижеподписавшиеся, Нач. ОКМО тов. БАРЫКОВ, Нач. БОК Тех. Отд. ЭКУ ОГПУ тов. КАЧЕВ и Нач. П.П.В. тов. ПЯТУНИН, – составили настоящий акт о том, что на основании приказа Наркомтяжа т. ОРДЖОНИКИДЗЕ за № 185/С от 13/XI 1931 г. заказа Всесоюзного Орудийно-Арсенального Объединения за № 225/531 и по наряду завода Ворошилова за № 17732 закончен сборкой первый опытный быстроходный двигатель «Дизель» 400 НР под маркой ПГЕ и предъявлен для проведения экспериментальных работ, выявления конструкции, изучения быстроходного дизель-мотора и подготовке на государственное испытание при присутствии военного представителя.</w:t>
      </w:r>
    </w:p>
    <w:p w14:paraId="4BAAE8C2"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 ОКМО подпись (БАРЫКОВ) </w:t>
      </w:r>
    </w:p>
    <w:p w14:paraId="76B02B52"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 БОК подпись (КАЧЕВ) </w:t>
      </w:r>
    </w:p>
    <w:p w14:paraId="5F7AE89D"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ППВ подпись (ПЯТУНИН) (24871).</w:t>
      </w:r>
    </w:p>
    <w:p w14:paraId="093ACABF" w14:textId="77777777" w:rsidR="00305C73" w:rsidRPr="00E93F40" w:rsidRDefault="00305C73" w:rsidP="00E93F40">
      <w:pPr>
        <w:spacing w:after="0" w:line="240" w:lineRule="auto"/>
        <w:jc w:val="both"/>
        <w:rPr>
          <w:rFonts w:ascii="Times New Roman" w:hAnsi="Times New Roman"/>
          <w:color w:val="000000" w:themeColor="text1"/>
          <w:sz w:val="16"/>
          <w:szCs w:val="16"/>
        </w:rPr>
      </w:pPr>
    </w:p>
    <w:p w14:paraId="45531A8E" w14:textId="6F044DE3"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02E83D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84A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июля 1932 Воронежский Областной комитет ВКП(б) своим секретным решением постановил переизбрать те правления колхозов, которые "так или иначе оказались неудовлетворительными". Показателем "неудовлетворительности" явились распространившиеся факты высказываний председателей и членов правлений колхозов о невозможности выполнения плана хлебозаготовок без тяжелых последствий (10687).</w:t>
      </w:r>
    </w:p>
    <w:p w14:paraId="035ABD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191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9 и 15 июля 1932. Из протокола заседания Политбюро № 108, 1932 г.</w:t>
      </w:r>
    </w:p>
    <w:p w14:paraId="1D1C88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индивидуальных заказах платья </w:t>
      </w:r>
    </w:p>
    <w:p w14:paraId="6ABE2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решение Комитета Товарных Фондов и Регулирования Торговли при СТО от 14.VI с. г. о сокращении в 3-м квартале на 15 млн рублей пошивки по индивидуальным заказам платья и о продаже по коммерческим ценам отрезов для индивидуальных заказов на 15 млн рублей (11652).</w:t>
      </w:r>
    </w:p>
    <w:p w14:paraId="1AECD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0468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9 и 15 июля 1932. Из протокола заседания Политбюро № 108, 1932 г.</w:t>
      </w:r>
    </w:p>
    <w:p w14:paraId="2023B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постройке в Ленинградском порту памятника Ленину </w:t>
      </w:r>
    </w:p>
    <w:p w14:paraId="163DE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к сведению сообщение тов. Кирова, что постройка памятника Ленину в Ленинградском порту не связана с валютными расходами (11652).</w:t>
      </w:r>
    </w:p>
    <w:p w14:paraId="5FADE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B45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9 и 15 июля 1932. Из протокола заседания Политбюро № 108, 1932 г.</w:t>
      </w:r>
    </w:p>
    <w:p w14:paraId="7A7EC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стимулировании табаководства </w:t>
      </w:r>
    </w:p>
    <w:p w14:paraId="6CD63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Предоставить табаководам Абхазии право свободной реализации в листовом и крошеном виде 5% табаков своей продукции при условии аккуратной сдачи государству остальной продукции. </w:t>
      </w:r>
    </w:p>
    <w:p w14:paraId="70EF8C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Цену на тонну табаку самсун поднять с 1500 рублей до 2400 рублей (11652).</w:t>
      </w:r>
    </w:p>
    <w:p w14:paraId="30FAB0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5218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9 и 15 июля 1932. Из протокола заседания Политбюро № 108, 1932 г.</w:t>
      </w:r>
    </w:p>
    <w:p w14:paraId="148AB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рабочей силе для Магнитогорска </w:t>
      </w:r>
    </w:p>
    <w:p w14:paraId="294474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Народный Комиссариат Юстиции РСФСР по Главному Управлению исправительно-трудовыми учреждениями перебросить в двухдекадный срок на Магнитстрой 15 тыс. лишенных свободы осужденных к ссылке с исправительно-трудовыми работами и осужденных на срок 6 месяцев и выше к исправительно-трудовым работам без лишения свободы (11652).</w:t>
      </w:r>
    </w:p>
    <w:p w14:paraId="424764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F67E2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5651A92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D23B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9 и 15 июля 1932. Из протокола заседания Политбюро № 108, 1932 г.</w:t>
      </w:r>
    </w:p>
    <w:p w14:paraId="3D403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международных конкурсах </w:t>
      </w:r>
    </w:p>
    <w:p w14:paraId="63242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что все международные конкурсы, намеченные органами СССР и связанные с валютными платежами, могут объявляться лишь с разрешения ЦК (11652).</w:t>
      </w:r>
    </w:p>
    <w:p w14:paraId="7C7E4C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4AE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9 и 15 июля 1932. Из протокола заседания Политбюро № 108, 1932 г.</w:t>
      </w:r>
    </w:p>
    <w:p w14:paraId="199FF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поездке рабочих Мурманска в Норвегию </w:t>
      </w:r>
    </w:p>
    <w:p w14:paraId="28AF82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Категорически запретить поездку Мурманских рабочих в Норвегию для участия в антивоенном митинге (11652).</w:t>
      </w:r>
    </w:p>
    <w:p w14:paraId="7037E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F6214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9664F3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F9E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июля 1932 в Бразилии была предпринята неудачная попытка госпереворота и беспорядки продолжались до 2 октября (3907,173).</w:t>
      </w:r>
    </w:p>
    <w:p w14:paraId="635E8D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590640" w14:textId="77777777" w:rsidR="00625E0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B51A83C" w14:textId="77777777" w:rsidR="00625E0E" w:rsidRPr="00E93F40" w:rsidRDefault="00625E0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AFB740" w14:textId="6D3343C0"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июля 1932 г. Протокол ПБ № 107</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п.38: О полете АНТ-14 в Германию. (Анвельт). Решено не возражать против рейса самолета АНТ-14 в Германию (15903).</w:t>
      </w:r>
    </w:p>
    <w:p w14:paraId="3E15E798" w14:textId="77777777" w:rsidR="00625E0E" w:rsidRPr="00E93F40" w:rsidRDefault="00625E0E" w:rsidP="00E93F40">
      <w:pPr>
        <w:spacing w:after="0" w:line="240" w:lineRule="auto"/>
        <w:jc w:val="both"/>
        <w:rPr>
          <w:rFonts w:ascii="Times New Roman" w:hAnsi="Times New Roman"/>
          <w:color w:val="000000" w:themeColor="text1"/>
          <w:sz w:val="16"/>
          <w:szCs w:val="16"/>
        </w:rPr>
      </w:pPr>
    </w:p>
    <w:p w14:paraId="68D4B9C5"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июля 1932 состоялось заседание ПБ (Протокол № 107) </w:t>
      </w:r>
    </w:p>
    <w:p w14:paraId="43E79FF2"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июля 1932 опросом членов ПБ</w:t>
      </w:r>
    </w:p>
    <w:p w14:paraId="27EFD78A"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 аварийности в частях ВВС РККА</w:t>
      </w:r>
    </w:p>
    <w:p w14:paraId="372C8DB1"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Ворошилов).</w:t>
      </w:r>
    </w:p>
    <w:p w14:paraId="4344A0DC"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Предложенный т.Ворошиловым проект постановления утвердить. Окончательную редакцию поручить т.т. Ворошилову, Молотову и Кагановичу.</w:t>
      </w:r>
    </w:p>
    <w:p w14:paraId="3ADBDE6E"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Считая, что качество выпускаемой авиапродукции все еще отстает от технических требований; предложтьб НКТП в 2-декадный срок выработать план мероприятий, обеспечи</w:t>
      </w:r>
      <w:r w:rsidRPr="00E93F40">
        <w:rPr>
          <w:rFonts w:ascii="Times New Roman" w:hAnsi="Times New Roman"/>
          <w:color w:val="000000" w:themeColor="text1"/>
          <w:sz w:val="16"/>
          <w:szCs w:val="16"/>
        </w:rPr>
        <w:softHyphen/>
        <w:t>вающий ликвидацию всех недочетов и решительное улучшение продукции авиапромышленности и доложить Комиссии Обороны.</w:t>
      </w:r>
    </w:p>
    <w:p w14:paraId="1FF0F8E1"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Поручить комиссии т. Постышева закончить работу комиссии в 2-декадный срок и доложить Комиссии Обороны.</w:t>
      </w:r>
    </w:p>
    <w:p w14:paraId="7A889E2F"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p>
    <w:p w14:paraId="66297818"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 З-рс пр. ПБ № 107.</w:t>
      </w:r>
    </w:p>
    <w:p w14:paraId="5FF116D8"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ОКОНЧАТЕЛЬНАЯ РЕДАКЦИЯ.</w:t>
      </w:r>
    </w:p>
    <w:p w14:paraId="3F064C69"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 АВАРИЙНОСТИ В ЧАСТЯХ ВВС РККА".</w:t>
      </w:r>
    </w:p>
    <w:p w14:paraId="6FAE4038"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0AE289A6"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Два года тому назад (летом 1930г.) Реввоенсовет Союза поставил перед ВВС РККА во всем об"еме вопрос о борьбе с аварийностью, которая в то время приняла чрезвычайно большие размеры, угрожая дальнейшему развитию ВВС РККА. Произведя об</w:t>
      </w:r>
      <w:r w:rsidRPr="00E93F40">
        <w:rPr>
          <w:rFonts w:ascii="Times New Roman" w:hAnsi="Times New Roman"/>
          <w:color w:val="000000" w:themeColor="text1"/>
          <w:sz w:val="16"/>
          <w:szCs w:val="16"/>
        </w:rPr>
        <w:softHyphen/>
        <w:t>следование большинства авиачастей и соединений, Реввоенсовет Союза в своем приказе № 0012 исчерпывающе установил причины аварийности и дал конкретные и подсобные указания по борьбе с нею и сведению ее до возможного минимума. Основной причиной аварийности являлось отсутствие должной воинской дисциплины в частях ВВС и неорганизованность как учебной, так и эксплуата</w:t>
      </w:r>
      <w:r w:rsidRPr="00E93F40">
        <w:rPr>
          <w:rFonts w:ascii="Times New Roman" w:hAnsi="Times New Roman"/>
          <w:color w:val="000000" w:themeColor="text1"/>
          <w:sz w:val="16"/>
          <w:szCs w:val="16"/>
        </w:rPr>
        <w:softHyphen/>
        <w:t>ционной работы, при слабом знании личным, составом материальной части авиации.</w:t>
      </w:r>
    </w:p>
    <w:p w14:paraId="2FC76EF6"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 0012 привел к некоторым положительным результатам. На протяжении 1 1/2 лет, части ВВС, не снижая, а повышая и усложняя свою боевую подготовку, заметным успехом овладели новой материальной частью и добились некоторого снижения аварийности.</w:t>
      </w:r>
    </w:p>
    <w:p w14:paraId="10F89C0D"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начиная с зимнего периода 1932г., в частях ВВС вновь обнаружились тревожные признаки ослабления руководства и дисциплины, выразившиеся в усилении аварий и, особенно, ката</w:t>
      </w:r>
      <w:r w:rsidRPr="00E93F40">
        <w:rPr>
          <w:rFonts w:ascii="Times New Roman" w:hAnsi="Times New Roman"/>
          <w:color w:val="000000" w:themeColor="text1"/>
          <w:sz w:val="16"/>
          <w:szCs w:val="16"/>
        </w:rPr>
        <w:softHyphen/>
        <w:t>строф. Реввоенсовет Союза, после личного вызова командования наиболее аварийных авиачастей и об"единений, на совещании с которыми были вскрыты причини усилившейся аварийности и наме</w:t>
      </w:r>
      <w:r w:rsidRPr="00E93F40">
        <w:rPr>
          <w:rFonts w:ascii="Times New Roman" w:hAnsi="Times New Roman"/>
          <w:color w:val="000000" w:themeColor="text1"/>
          <w:sz w:val="16"/>
          <w:szCs w:val="16"/>
        </w:rPr>
        <w:softHyphen/>
        <w:t>чены пути борьбы с ней, вторым своим приказом № 016 (март 1932г.) потребовал неуклонного проведения в жизнь указаний, предусмот</w:t>
      </w:r>
      <w:r w:rsidRPr="00E93F40">
        <w:rPr>
          <w:rFonts w:ascii="Times New Roman" w:hAnsi="Times New Roman"/>
          <w:color w:val="000000" w:themeColor="text1"/>
          <w:sz w:val="16"/>
          <w:szCs w:val="16"/>
        </w:rPr>
        <w:softHyphen/>
        <w:t>ренных ранее приказом 0012, установления строжайшей воинской дисциплины и прекращения вредного перескакивания к более слож</w:t>
      </w:r>
      <w:r w:rsidRPr="00E93F40">
        <w:rPr>
          <w:rFonts w:ascii="Times New Roman" w:hAnsi="Times New Roman"/>
          <w:color w:val="000000" w:themeColor="text1"/>
          <w:sz w:val="16"/>
          <w:szCs w:val="16"/>
        </w:rPr>
        <w:softHyphen/>
        <w:t>ным упражнениям, минуя простейшие.</w:t>
      </w:r>
    </w:p>
    <w:p w14:paraId="2C87598B"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все это, за летний период текущего учебного года аварийность в частях ВВС приняла исключительно угрожаю</w:t>
      </w:r>
      <w:r w:rsidRPr="00E93F40">
        <w:rPr>
          <w:rFonts w:ascii="Times New Roman" w:hAnsi="Times New Roman"/>
          <w:color w:val="000000" w:themeColor="text1"/>
          <w:sz w:val="16"/>
          <w:szCs w:val="16"/>
        </w:rPr>
        <w:softHyphen/>
        <w:t xml:space="preserve">щие размеры. В начале июня, в течение буквально несколько дней, произошел ряд небывало тяжелых по своей обстановке и последствиям катастроф. За время с 1-го апреля по 23-е июня с.г. в частях ВВС </w:t>
      </w:r>
      <w:r w:rsidRPr="00E93F40">
        <w:rPr>
          <w:rFonts w:ascii="Times New Roman" w:hAnsi="Times New Roman"/>
          <w:color w:val="000000" w:themeColor="text1"/>
          <w:sz w:val="16"/>
          <w:szCs w:val="16"/>
        </w:rPr>
        <w:lastRenderedPageBreak/>
        <w:t>произошло 136 аварий, в том числе 23 ката</w:t>
      </w:r>
      <w:r w:rsidRPr="00E93F40">
        <w:rPr>
          <w:rFonts w:ascii="Times New Roman" w:hAnsi="Times New Roman"/>
          <w:color w:val="000000" w:themeColor="text1"/>
          <w:sz w:val="16"/>
          <w:szCs w:val="16"/>
        </w:rPr>
        <w:softHyphen/>
        <w:t>строфы против 89 аварий и 5 катастроф за тот же . период прошлого года (увеличение аварий на 53%,катастроф на 360%). 3 результате этих происшествий погибло 50 человек летного состава и совершенно разбито 42 самолета, из них 6 тяжелых). За один день 11-го июня произошло 2 столкновения в воздухе (Балтморе и БВО), погибло 12 человек и уничтожено 4 самолета, из них 2 тяжелых.</w:t>
      </w:r>
    </w:p>
    <w:p w14:paraId="5F82F386"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Исследование, произведенное по наиболее тяжелым катастрофам специальными комиссиями РВС Союза, установило:</w:t>
      </w:r>
    </w:p>
    <w:p w14:paraId="3DC54734"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Катастрофа в 62 эскадрильи 4-й авиабригад ВВС Балтморя произошла при столкновении 2-х ко раблей, выполняв</w:t>
      </w:r>
      <w:r w:rsidRPr="00E93F40">
        <w:rPr>
          <w:rFonts w:ascii="Times New Roman" w:hAnsi="Times New Roman"/>
          <w:color w:val="000000" w:themeColor="text1"/>
          <w:sz w:val="16"/>
          <w:szCs w:val="16"/>
        </w:rPr>
        <w:softHyphen/>
        <w:t>ших групповой полёт в общем составе шести кораблей. Командир эскадрильи т. Вернигород вместе с командиром неотдельного от</w:t>
      </w:r>
      <w:r w:rsidRPr="00E93F40">
        <w:rPr>
          <w:rFonts w:ascii="Times New Roman" w:hAnsi="Times New Roman"/>
          <w:color w:val="000000" w:themeColor="text1"/>
          <w:sz w:val="16"/>
          <w:szCs w:val="16"/>
        </w:rPr>
        <w:softHyphen/>
        <w:t>ряда т. Котиковым вышли из общего строя, бросив своих ведомых в воздухе и предоставив молодым неопытным командирам осталь</w:t>
      </w:r>
      <w:r w:rsidRPr="00E93F40">
        <w:rPr>
          <w:rFonts w:ascii="Times New Roman" w:hAnsi="Times New Roman"/>
          <w:color w:val="000000" w:themeColor="text1"/>
          <w:sz w:val="16"/>
          <w:szCs w:val="16"/>
        </w:rPr>
        <w:softHyphen/>
        <w:t>ных 4-х кораблей, под командованием одного из них, принять новое перестроение, к чему они не были подготовлены. Вследствие этого во время перестроения ведущий правофланговой пары наскочил на замыкающего левофланговой пары. В результате оба корабля упали с высоты 1.300 метров и разбились. 8 человек экипажа погибли, спасся только один выброшенный из самолета командир корабля т. Новиков, благодаря наличию парашюта. Осталь</w:t>
      </w:r>
      <w:r w:rsidRPr="00E93F40">
        <w:rPr>
          <w:rFonts w:ascii="Times New Roman" w:hAnsi="Times New Roman"/>
          <w:color w:val="000000" w:themeColor="text1"/>
          <w:sz w:val="16"/>
          <w:szCs w:val="16"/>
        </w:rPr>
        <w:softHyphen/>
        <w:t>ной экипаж, за исключением погибшего командира корабля т.Трусо</w:t>
      </w:r>
      <w:r w:rsidRPr="00E93F40">
        <w:rPr>
          <w:rFonts w:ascii="Times New Roman" w:hAnsi="Times New Roman"/>
          <w:color w:val="000000" w:themeColor="text1"/>
          <w:sz w:val="16"/>
          <w:szCs w:val="16"/>
        </w:rPr>
        <w:softHyphen/>
        <w:t>ва, парашютов не имел. В катастрофе прямым непосредственным виновником является командование 62-й эскадрильи (командир Вернигород, комиссар Гуркин). Командир эскадрильи, усложняя по своей инициативе задание, не проверил усвоение каждым экипажем этого задания, и, в частности, не проверил как усвоено это задание ведущим командиром корабля т.Преображенским.</w:t>
      </w:r>
    </w:p>
    <w:p w14:paraId="54496277"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Всеми этими своими действиями командование эскадрильи нарушило прямые требования наставления по полетной службе (ст. 262) и приказа РВСС 016 1932 года, запрещающего перескаки</w:t>
      </w:r>
      <w:r w:rsidRPr="00E93F40">
        <w:rPr>
          <w:rFonts w:ascii="Times New Roman" w:hAnsi="Times New Roman"/>
          <w:color w:val="000000" w:themeColor="text1"/>
          <w:sz w:val="16"/>
          <w:szCs w:val="16"/>
        </w:rPr>
        <w:softHyphen/>
        <w:t>вание через промежуточные ступени подготовки. За это командо</w:t>
      </w:r>
      <w:r w:rsidRPr="00E93F40">
        <w:rPr>
          <w:rFonts w:ascii="Times New Roman" w:hAnsi="Times New Roman"/>
          <w:color w:val="000000" w:themeColor="text1"/>
          <w:sz w:val="16"/>
          <w:szCs w:val="16"/>
        </w:rPr>
        <w:softHyphen/>
        <w:t>вание 62-Й эскадрильи подлежит преданию суду и наказанию по всей строгости революционных законов.</w:t>
      </w:r>
    </w:p>
    <w:p w14:paraId="1E536180"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Катастрофа в 62-м_отд. авиаотряде_4-й авиабригады РВС Балтморя произошла вследствие того, что летчик Демидов, вопреки установленным правилам, самочинно выполнял на самолете Савойя - 62 бреющий полёт в штормовую погоду и, сделав горку над баржей, не успел вырвать машины из крутого снижения и врезался в воду. 4 человека экипажа погибли, самолет был уничто</w:t>
      </w:r>
      <w:r w:rsidRPr="00E93F40">
        <w:rPr>
          <w:rFonts w:ascii="Times New Roman" w:hAnsi="Times New Roman"/>
          <w:color w:val="000000" w:themeColor="text1"/>
          <w:sz w:val="16"/>
          <w:szCs w:val="16"/>
        </w:rPr>
        <w:softHyphen/>
        <w:t>жен. Поступок погибшего Демидова является одним из ярких примеров воздушного хулиганства.</w:t>
      </w:r>
    </w:p>
    <w:p w14:paraId="7FD01F0C"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Прямым виновником происшедшей катастрофы, помимо погибшего Демидова, является командование 62-го отряда в лице командира отряда - т. Петрова и комиссара отряда т. Карпенко не вытравивших воздушного хулиганства среди подчиненного летного состава и не установивших во вверенной им части строжайшей воинской дисцип</w:t>
      </w:r>
      <w:r w:rsidRPr="00E93F40">
        <w:rPr>
          <w:rFonts w:ascii="Times New Roman" w:hAnsi="Times New Roman"/>
          <w:color w:val="000000" w:themeColor="text1"/>
          <w:sz w:val="16"/>
          <w:szCs w:val="16"/>
        </w:rPr>
        <w:softHyphen/>
        <w:t>лины. За эти проступки оба названных командира подлежат поеданию суду и наказанию по всей строгости революционных законов.</w:t>
      </w:r>
    </w:p>
    <w:p w14:paraId="6E440E5C"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обе эти катастрофы несут ответственность также: РВС Балтморя (т.т. Викторов,: Галлер, Гришин), начальник ВВС Балтморя т. Никифоров и командование 4-й авиабригады (командир т. Бирбуц, помполит- т. Морозов) - за слабое и никуда негодное руковод</w:t>
      </w:r>
      <w:r w:rsidRPr="00E93F40">
        <w:rPr>
          <w:rFonts w:ascii="Times New Roman" w:hAnsi="Times New Roman"/>
          <w:color w:val="000000" w:themeColor="text1"/>
          <w:sz w:val="16"/>
          <w:szCs w:val="16"/>
        </w:rPr>
        <w:softHyphen/>
        <w:t>ство подчиненными им авиачастям к соединениями, за что все они подлежат строжайшему дисциплинарному взысканию.</w:t>
      </w:r>
    </w:p>
    <w:p w14:paraId="43E7DB21"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Катастрофа в 43 эскадрильи 2-й авиабригады ЗВС БВО произошла при столкновении двух самолетов во время ночного полета при выполнении отрядами эскадрильи сложного учебного комплекса. Экипажи самолетов не были подготовлены к выполнению этого задания.</w:t>
      </w:r>
    </w:p>
    <w:p w14:paraId="30CE56A2"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со старыми летчиками, вопреки приказам РВС Союза, в сложный полет были выпущены молодые неподготовленные пило</w:t>
      </w:r>
      <w:r w:rsidRPr="00E93F40">
        <w:rPr>
          <w:rFonts w:ascii="Times New Roman" w:hAnsi="Times New Roman"/>
          <w:color w:val="000000" w:themeColor="text1"/>
          <w:sz w:val="16"/>
          <w:szCs w:val="16"/>
        </w:rPr>
        <w:softHyphen/>
        <w:t>ты, прибывшие в часть в феврале 1932 г. Вместе с ними были посланы в этот полет столь' же молодые и неопытные стрелки-бомбардиры и стажеры-летнабы, только еще начавшие выполнять стрелковые упражнения в дневное время. Эта катастрофа явилась прямим следствием нарушения начальником ВВС Белорусского военного округа т. Кушаковым и подчиненными ему командирами четких и конкретных указаний РВС Союза о последовательном прохождении этапов боевой подготовки. Будучи лично недисцип</w:t>
      </w:r>
      <w:r w:rsidRPr="00E93F40">
        <w:rPr>
          <w:rFonts w:ascii="Times New Roman" w:hAnsi="Times New Roman"/>
          <w:color w:val="000000" w:themeColor="text1"/>
          <w:sz w:val="16"/>
          <w:szCs w:val="16"/>
        </w:rPr>
        <w:softHyphen/>
        <w:t>линированным командиром и не будучи во время призванным к порядку РВС БВО, т. Кушаков своим руководством способствовал не выполнению, а нарушению приказов РВС Союза. За катастро</w:t>
      </w:r>
      <w:r w:rsidRPr="00E93F40">
        <w:rPr>
          <w:rFonts w:ascii="Times New Roman" w:hAnsi="Times New Roman"/>
          <w:color w:val="000000" w:themeColor="text1"/>
          <w:sz w:val="16"/>
          <w:szCs w:val="16"/>
        </w:rPr>
        <w:softHyphen/>
        <w:t>фу в первую очередь ответственны командир-комиссар 43-й эскадрильи т. Бочкарев и командование 2-й авиабригада (коман</w:t>
      </w:r>
      <w:r w:rsidRPr="00E93F40">
        <w:rPr>
          <w:rFonts w:ascii="Times New Roman" w:hAnsi="Times New Roman"/>
          <w:color w:val="000000" w:themeColor="text1"/>
          <w:sz w:val="16"/>
          <w:szCs w:val="16"/>
        </w:rPr>
        <w:softHyphen/>
        <w:t>дир т. Смушкевич, помполит т. Кузнецов),</w:t>
      </w:r>
    </w:p>
    <w:p w14:paraId="76DE4FED"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это все указанные командиры, включая РВС БВО и началь</w:t>
      </w:r>
      <w:r w:rsidRPr="00E93F40">
        <w:rPr>
          <w:rFonts w:ascii="Times New Roman" w:hAnsi="Times New Roman"/>
          <w:color w:val="000000" w:themeColor="text1"/>
          <w:sz w:val="16"/>
          <w:szCs w:val="16"/>
        </w:rPr>
        <w:softHyphen/>
        <w:t>ника ВВС БВО, подлежат строжайшим дисциплинарным взысканиям,</w:t>
      </w:r>
    </w:p>
    <w:p w14:paraId="49AD3773"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Две аварии самолетов_Р-1_в_ 28-м отдельном авиаотряде 11-й авиабригады BBC РККА произошли при выполнении группового ночного полета, назначенного командиром отряда т. Морозовым по собственному усмотрению и вопреки приказанию командования авиабригады. Тов. Морозов допустил совершенно невозможный в Красной Армии проступок - преднамеренно скрыл свое решение выполнить ночной внеаэродромный полет целым отрядом от коман</w:t>
      </w:r>
      <w:r w:rsidRPr="00E93F40">
        <w:rPr>
          <w:rFonts w:ascii="Times New Roman" w:hAnsi="Times New Roman"/>
          <w:color w:val="000000" w:themeColor="text1"/>
          <w:sz w:val="16"/>
          <w:szCs w:val="16"/>
        </w:rPr>
        <w:softHyphen/>
        <w:t>дира 11-й авиабригады и, не обращая внимания на явно неблагоолучные метеорологические условия, повел отряд на необорудо</w:t>
      </w:r>
      <w:r w:rsidRPr="00E93F40">
        <w:rPr>
          <w:rFonts w:ascii="Times New Roman" w:hAnsi="Times New Roman"/>
          <w:color w:val="000000" w:themeColor="text1"/>
          <w:sz w:val="16"/>
          <w:szCs w:val="16"/>
        </w:rPr>
        <w:softHyphen/>
        <w:t>ванных для ночного полета машинах. Подбор экипажей в этом полете, носил явно преступный характер: на двух самолетах с молодыми и неопытными пилотами на места летнабов были взяты без ведома командира отряда заведующий складом и младший авиа</w:t>
      </w:r>
      <w:r w:rsidRPr="00E93F40">
        <w:rPr>
          <w:rFonts w:ascii="Times New Roman" w:hAnsi="Times New Roman"/>
          <w:color w:val="000000" w:themeColor="text1"/>
          <w:sz w:val="16"/>
          <w:szCs w:val="16"/>
        </w:rPr>
        <w:softHyphen/>
        <w:t>техник. Начальник штаба отряда т. Глухов, имея достаточные све</w:t>
      </w:r>
      <w:r w:rsidRPr="00E93F40">
        <w:rPr>
          <w:rFonts w:ascii="Times New Roman" w:hAnsi="Times New Roman"/>
          <w:color w:val="000000" w:themeColor="text1"/>
          <w:sz w:val="16"/>
          <w:szCs w:val="16"/>
        </w:rPr>
        <w:softHyphen/>
        <w:t>дения о нахождении на пути маршрута отряда грозовой тучи, не сумел добиться своим докладом отмены ночного полета и со своей стороны не проверил состав экипажей. В результате прямого нарушения установленных требований и правил полетной службы и преступной неорганизованности, командир отряда, попав со своими летчиками в грозовую тучу, растерял свой отряд. Предо</w:t>
      </w:r>
      <w:r w:rsidRPr="00E93F40">
        <w:rPr>
          <w:rFonts w:ascii="Times New Roman" w:hAnsi="Times New Roman"/>
          <w:color w:val="000000" w:themeColor="text1"/>
          <w:sz w:val="16"/>
          <w:szCs w:val="16"/>
        </w:rPr>
        <w:softHyphen/>
        <w:t>ставленные самим себе экипажи, потеряв ориентировку, после дол</w:t>
      </w:r>
      <w:r w:rsidRPr="00E93F40">
        <w:rPr>
          <w:rFonts w:ascii="Times New Roman" w:hAnsi="Times New Roman"/>
          <w:color w:val="000000" w:themeColor="text1"/>
          <w:sz w:val="16"/>
          <w:szCs w:val="16"/>
        </w:rPr>
        <w:softHyphen/>
        <w:t>гого блуждания вынужденно садились в различных местах. При вынужденных посадках были разбиты две машины, и по счастливой случайности этот полет не закончился человеческими жертвами. Непосредственным виновником происшедших аварий является коман</w:t>
      </w:r>
      <w:r w:rsidRPr="00E93F40">
        <w:rPr>
          <w:rFonts w:ascii="Times New Roman" w:hAnsi="Times New Roman"/>
          <w:color w:val="000000" w:themeColor="text1"/>
          <w:sz w:val="16"/>
          <w:szCs w:val="16"/>
        </w:rPr>
        <w:softHyphen/>
        <w:t>дир 28-го отряда тов. Морозов, нарушивший не только все уста</w:t>
      </w:r>
      <w:r w:rsidRPr="00E93F40">
        <w:rPr>
          <w:rFonts w:ascii="Times New Roman" w:hAnsi="Times New Roman"/>
          <w:color w:val="000000" w:themeColor="text1"/>
          <w:sz w:val="16"/>
          <w:szCs w:val="16"/>
        </w:rPr>
        <w:softHyphen/>
        <w:t>новленные правила по выполнению ночных полетов и последователь</w:t>
      </w:r>
      <w:r w:rsidRPr="00E93F40">
        <w:rPr>
          <w:rFonts w:ascii="Times New Roman" w:hAnsi="Times New Roman"/>
          <w:color w:val="000000" w:themeColor="text1"/>
          <w:sz w:val="16"/>
          <w:szCs w:val="16"/>
        </w:rPr>
        <w:softHyphen/>
        <w:t>ной подготовке частей, но и сознательно скрывший от командования</w:t>
      </w:r>
    </w:p>
    <w:p w14:paraId="15351677"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11-й авиабригады свое решение выполнить внеаэродромный ночной полет. Вторым главным виновником является мл. инженер 28-го отряда т. Селявко, допустивший выпуск з ночной полет техни</w:t>
      </w:r>
      <w:r w:rsidRPr="00E93F40">
        <w:rPr>
          <w:rFonts w:ascii="Times New Roman" w:hAnsi="Times New Roman"/>
          <w:color w:val="000000" w:themeColor="text1"/>
          <w:sz w:val="16"/>
          <w:szCs w:val="16"/>
        </w:rPr>
        <w:softHyphen/>
        <w:t>чески неподготовленных самолетов без исправно действующего освещения. Оба указанные командира подлежат поеданию суду и наказанию по веек строгости революционных законов. Ответствен</w:t>
      </w:r>
      <w:r w:rsidRPr="00E93F40">
        <w:rPr>
          <w:rFonts w:ascii="Times New Roman" w:hAnsi="Times New Roman"/>
          <w:color w:val="000000" w:themeColor="text1"/>
          <w:sz w:val="16"/>
          <w:szCs w:val="16"/>
        </w:rPr>
        <w:softHyphen/>
        <w:t>ность за эту аварию несет также командование 11-й авиабригады (командир т. Карклин, помполит т. Руков), не организовавшие конт</w:t>
      </w:r>
      <w:r w:rsidRPr="00E93F40">
        <w:rPr>
          <w:rFonts w:ascii="Times New Roman" w:hAnsi="Times New Roman"/>
          <w:color w:val="000000" w:themeColor="text1"/>
          <w:sz w:val="16"/>
          <w:szCs w:val="16"/>
        </w:rPr>
        <w:softHyphen/>
        <w:t>роля и наблюдения за работой подчиненных им авиачастей, за что оба они подлежат строжайшему дисциплинарному взысканию.</w:t>
      </w:r>
    </w:p>
    <w:p w14:paraId="30AB84FC"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6.Катастрофа в 67-й эскадрильи 17 авиабригады МВО про</w:t>
      </w:r>
      <w:r w:rsidRPr="00E93F40">
        <w:rPr>
          <w:rFonts w:ascii="Times New Roman" w:hAnsi="Times New Roman"/>
          <w:color w:val="000000" w:themeColor="text1"/>
          <w:sz w:val="16"/>
          <w:szCs w:val="16"/>
        </w:rPr>
        <w:softHyphen/>
        <w:t>изошла во время ночного полета "ТБ-1" для выполнения комплексно</w:t>
      </w:r>
      <w:r w:rsidRPr="00E93F40">
        <w:rPr>
          <w:rFonts w:ascii="Times New Roman" w:hAnsi="Times New Roman"/>
          <w:color w:val="000000" w:themeColor="text1"/>
          <w:sz w:val="16"/>
          <w:szCs w:val="16"/>
        </w:rPr>
        <w:softHyphen/>
        <w:t>го задания. Командир корабля летчик т. Бурмистров, не пристроившись к прочим самолетам эскадрильи продолжал полет по соб</w:t>
      </w:r>
      <w:r w:rsidRPr="00E93F40">
        <w:rPr>
          <w:rFonts w:ascii="Times New Roman" w:hAnsi="Times New Roman"/>
          <w:color w:val="000000" w:themeColor="text1"/>
          <w:sz w:val="16"/>
          <w:szCs w:val="16"/>
        </w:rPr>
        <w:softHyphen/>
        <w:t>ственному усмотрению и, снизившись до высоты 200-300 метров, потерял скорость. Самолет перешел в падение на крыло, а затем в отвесное пикирование и врезался в землю. 7 человек экипажа и самолет сгорели. Действительные причины катастрофы устано</w:t>
      </w:r>
      <w:r w:rsidRPr="00E93F40">
        <w:rPr>
          <w:rFonts w:ascii="Times New Roman" w:hAnsi="Times New Roman"/>
          <w:color w:val="000000" w:themeColor="text1"/>
          <w:sz w:val="16"/>
          <w:szCs w:val="16"/>
        </w:rPr>
        <w:softHyphen/>
        <w:t>вить не удалось вследствие гибели всего экипажа. Но произве</w:t>
      </w:r>
      <w:r w:rsidRPr="00E93F40">
        <w:rPr>
          <w:rFonts w:ascii="Times New Roman" w:hAnsi="Times New Roman"/>
          <w:color w:val="000000" w:themeColor="text1"/>
          <w:sz w:val="16"/>
          <w:szCs w:val="16"/>
        </w:rPr>
        <w:softHyphen/>
        <w:t>денное расследование выяснило, что погибший командир корабля летчик Бурмистров отличался явной недисциплинированностью и многократно нарушал уставные правила во время полета, что не находило должного отпора и воздействия со стороны старших начальников. По имеющимся на тов. Бурмистрова аттестациям он ни в коем случае не мог быть назначен командиром корабля.</w:t>
      </w:r>
    </w:p>
    <w:p w14:paraId="3F198267"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Непосредственным виновником катастрофы, помимо погибшего тов. Бурмистрова, является командир 37-й эскадрильи т. Журавлев, бывший помполит т. Кобякин и командир отряда т. Абухов, которые знали о несоответствии Бурмистрова требованиям службы в рядах BBC РККА не приняли мер по его исправлению или удалению из эскадрильи. Тов. Абухов кроме того виновен в том, что он послал в воздух непроверенный экипаж и растерял свой отряд в воздухе. За это они подлежат преданию суду и наказанию по всей строго</w:t>
      </w:r>
      <w:r w:rsidRPr="00E93F40">
        <w:rPr>
          <w:rFonts w:ascii="Times New Roman" w:hAnsi="Times New Roman"/>
          <w:color w:val="000000" w:themeColor="text1"/>
          <w:sz w:val="16"/>
          <w:szCs w:val="16"/>
        </w:rPr>
        <w:softHyphen/>
        <w:t>сти революционных законов.</w:t>
      </w:r>
    </w:p>
    <w:p w14:paraId="50AC6E80"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Ответственность за эту катастрофу несет также командова</w:t>
      </w:r>
      <w:r w:rsidRPr="00E93F40">
        <w:rPr>
          <w:rFonts w:ascii="Times New Roman" w:hAnsi="Times New Roman"/>
          <w:color w:val="000000" w:themeColor="text1"/>
          <w:sz w:val="16"/>
          <w:szCs w:val="16"/>
        </w:rPr>
        <w:softHyphen/>
        <w:t>ние 17-й авиабригады (командир т. Маслов и помполит т. Гусев), не изучившие подчиненный им летный состав тяжелых кораблей и допустившие ночные групповые полеты неподготовленных экипажей.</w:t>
      </w:r>
    </w:p>
    <w:p w14:paraId="0218107A"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обе последние аварки и катастрофу несет ответственность РВС МВО и начальник ВВС ИВО т. Чернобровкин,не организовавшие твердого руководства подчиненными им воздушными силами. Тов. Чернобровкин виновен еще в том, что он самовольно увеличил нормы летной работы.</w:t>
      </w:r>
    </w:p>
    <w:p w14:paraId="703CC1FA"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указанные командиры подлежат строжайшему дисципли</w:t>
      </w:r>
      <w:r w:rsidRPr="00E93F40">
        <w:rPr>
          <w:rFonts w:ascii="Times New Roman" w:hAnsi="Times New Roman"/>
          <w:color w:val="000000" w:themeColor="text1"/>
          <w:sz w:val="16"/>
          <w:szCs w:val="16"/>
        </w:rPr>
        <w:softHyphen/>
        <w:t>нарному взысканию.</w:t>
      </w:r>
    </w:p>
    <w:p w14:paraId="65EA93B9"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Все перечисленные аварий и катастрофы, а также и другие ранее имевшие место и не менее безобразное по обстановке и последствиями по тщательному изучению причин, свидетельст</w:t>
      </w:r>
      <w:r w:rsidRPr="00E93F40">
        <w:rPr>
          <w:rFonts w:ascii="Times New Roman" w:hAnsi="Times New Roman"/>
          <w:color w:val="000000" w:themeColor="text1"/>
          <w:sz w:val="16"/>
          <w:szCs w:val="16"/>
        </w:rPr>
        <w:softHyphen/>
        <w:t>вуют о недопустимом ослаблении воинской дисциплины в частях ВВС РККА, о преступном нарушении всех приказов в том числе и РВС Союза о неудовлетворительности работы над воспитанием личного состава авиачастей, особенно со стороны РВС округов, об отсутствии планомерной и последовательной учебно-боевой подготовки, плохой организации и аэродромной службы и пр. Наряду с этим по-прежнему в Военно-Воздушных силах отмечается недостаток технических средств, обеспечивающих безопасность: отсутствует связь между самолетами (даже тяжелыми в воздухе и с землей, связь на самолете между командирами экипажа, отсутствие достаточного количества парашютов, отсутствие усо</w:t>
      </w:r>
      <w:r w:rsidRPr="00E93F40">
        <w:rPr>
          <w:rFonts w:ascii="Times New Roman" w:hAnsi="Times New Roman"/>
          <w:color w:val="000000" w:themeColor="text1"/>
          <w:sz w:val="16"/>
          <w:szCs w:val="16"/>
        </w:rPr>
        <w:softHyphen/>
        <w:t>вершенствованных приспособлений на самолетах, облегчающих пилотаж и управление самолетом на земле</w:t>
      </w:r>
    </w:p>
    <w:p w14:paraId="7332135E" w14:textId="3F5B2E13"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Руководство ВВС РККА. в лице начальника ВВС тов. Алксниса и его заместителей-т.т. Наумова и т. Меженинова, еще не справилось со стоящими перед ними ответственными задачами, несмотря на имеющиеся указания РВС Союза. Тов. Алкснис допустил полную ошибку, издав совершенно неправильный приказ 046 об итогах зимней учебы, в котором неуверенно и неверно расхвалил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поставил в пример работу ВВС Белорусского военного округа, где и г зимний период и раньше имели место случаи прямого нарушения приказов РВС Союза и самого начальника ВВС РККА. Этим самым т. Алкснис не способствовал пресечению угрожающих явлений, а наоборот увеличил возможность повторения таковых и в других округах.'</w:t>
      </w:r>
    </w:p>
    <w:p w14:paraId="631E0451"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все это руководство ВВС РККА - тов. Алкснис, Наумов и Меженинов - подлежат строжайшему дисциплинарному взысканию.</w:t>
      </w:r>
    </w:p>
    <w:p w14:paraId="11988B58"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Политоргана и парторганизации ВВС не обеспечили строжай</w:t>
      </w:r>
      <w:r w:rsidRPr="00E93F40">
        <w:rPr>
          <w:rFonts w:ascii="Times New Roman" w:hAnsi="Times New Roman"/>
          <w:color w:val="000000" w:themeColor="text1"/>
          <w:sz w:val="16"/>
          <w:szCs w:val="16"/>
        </w:rPr>
        <w:softHyphen/>
        <w:t>шую воинскую дисциплину и беспощадную борьбу с аварийностью, не воспитали членов партии, комсомольцев й беспартийных в духе требований приказов и наставлений РВС, Союза. Работа полит</w:t>
      </w:r>
      <w:r w:rsidRPr="00E93F40">
        <w:rPr>
          <w:rFonts w:ascii="Times New Roman" w:hAnsi="Times New Roman"/>
          <w:color w:val="000000" w:themeColor="text1"/>
          <w:sz w:val="16"/>
          <w:szCs w:val="16"/>
        </w:rPr>
        <w:softHyphen/>
        <w:t>органов и парторганизаций в частях и соединениях ВВС была неудовлетворительной, за что ответственность несет прежде всего Политическое. Управление РККА.</w:t>
      </w:r>
    </w:p>
    <w:p w14:paraId="2426625F"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 целях искоренения всех безобразных явлений из частей ВВС РККА,приводящих к ослаблению воздушней обороны СССР, установления в них твердой воинской дисциплины и порядка, и на этой основе - предупреждения аварийности, ЦК ВКП (б) постановляет:</w:t>
      </w:r>
    </w:p>
    <w:p w14:paraId="6F98A136"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Указать РВС Союза, что он не сумел об“единить и довести до конца вполне исчерпывающие свои указания по борьбе с аварийностью и тем самым не уничтожил в корне всех болез</w:t>
      </w:r>
      <w:r w:rsidRPr="00E93F40">
        <w:rPr>
          <w:rFonts w:ascii="Times New Roman" w:hAnsi="Times New Roman"/>
          <w:color w:val="000000" w:themeColor="text1"/>
          <w:sz w:val="16"/>
          <w:szCs w:val="16"/>
        </w:rPr>
        <w:softHyphen/>
        <w:t>ненных явлений , в первую очередь, недисциплинированность в ча</w:t>
      </w:r>
      <w:r w:rsidRPr="00E93F40">
        <w:rPr>
          <w:rFonts w:ascii="Times New Roman" w:hAnsi="Times New Roman"/>
          <w:color w:val="000000" w:themeColor="text1"/>
          <w:sz w:val="16"/>
          <w:szCs w:val="16"/>
        </w:rPr>
        <w:softHyphen/>
        <w:t>стях ВВС - основной и главной причины аварийности и катаст</w:t>
      </w:r>
      <w:r w:rsidRPr="00E93F40">
        <w:rPr>
          <w:rFonts w:ascii="Times New Roman" w:hAnsi="Times New Roman"/>
          <w:color w:val="000000" w:themeColor="text1"/>
          <w:sz w:val="16"/>
          <w:szCs w:val="16"/>
        </w:rPr>
        <w:softHyphen/>
        <w:t>роф ВВСил.</w:t>
      </w:r>
    </w:p>
    <w:p w14:paraId="4D6D987E"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 За систематическое неисполнение приказов РВС СССР, за нарушение элементарной воинской, летной дисциплины, за отсутствие во вверенных им частях надлежащей организации боевой подготовки, воспитания и руководства подчиненными,т.е. за преступное бездействие и недопустимое отношение к испол</w:t>
      </w:r>
      <w:r w:rsidRPr="00E93F40">
        <w:rPr>
          <w:rFonts w:ascii="Times New Roman" w:hAnsi="Times New Roman"/>
          <w:color w:val="000000" w:themeColor="text1"/>
          <w:sz w:val="16"/>
          <w:szCs w:val="16"/>
        </w:rPr>
        <w:softHyphen/>
        <w:t>нению служебных обязанностей, приведшее к крупным катастро</w:t>
      </w:r>
      <w:r w:rsidRPr="00E93F40">
        <w:rPr>
          <w:rFonts w:ascii="Times New Roman" w:hAnsi="Times New Roman"/>
          <w:color w:val="000000" w:themeColor="text1"/>
          <w:sz w:val="16"/>
          <w:szCs w:val="16"/>
        </w:rPr>
        <w:softHyphen/>
        <w:t>фам и авариям в 4, 11 и 17 авиабригадах,-отстранить от занимае</w:t>
      </w:r>
      <w:r w:rsidRPr="00E93F40">
        <w:rPr>
          <w:rFonts w:ascii="Times New Roman" w:hAnsi="Times New Roman"/>
          <w:color w:val="000000" w:themeColor="text1"/>
          <w:sz w:val="16"/>
          <w:szCs w:val="16"/>
        </w:rPr>
        <w:softHyphen/>
        <w:t>мых должностей, предать суду Военного революционного трибунала:</w:t>
      </w:r>
    </w:p>
    <w:p w14:paraId="007FE7A1"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62 авиаэскадрильи – ВЕРНИГОРОДА</w:t>
      </w:r>
    </w:p>
    <w:p w14:paraId="45E5B466"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Военного комиссара той же эскадрильи – ГУРКИНА</w:t>
      </w:r>
    </w:p>
    <w:p w14:paraId="18468DA4"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62 отдельн. авиаотряда- ПЕТРОВА</w:t>
      </w:r>
    </w:p>
    <w:p w14:paraId="65B490B0"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Военного комиссара того же отряда – КАРПЕНКО</w:t>
      </w:r>
    </w:p>
    <w:p w14:paraId="5B1F8E0C"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Командира-комиссара 87 эскадрильи – КУРАВЛЕВА</w:t>
      </w:r>
    </w:p>
    <w:p w14:paraId="64994197"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Быв. помполита той же эскадрильи – КОБЯКИНА</w:t>
      </w:r>
    </w:p>
    <w:p w14:paraId="667638E3"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неотд. отряда той же эскадрильи – АБУХОВА</w:t>
      </w:r>
    </w:p>
    <w:p w14:paraId="6071400B"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28 отдельного авиаотряда – МОРОЗОВА</w:t>
      </w:r>
    </w:p>
    <w:p w14:paraId="73B2CF31"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Врид.инженера того же отряда - СЕЛЯВКО</w:t>
      </w:r>
    </w:p>
    <w:p w14:paraId="2DC38BE7"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Об"явить строгий выговор начальнику ВВС РККА тов. Алкснису и его заместителям т.т. Наумову и Неженинову за то, что они, имея исчерпывающие указания РВС Союза, при наличии угрожаю</w:t>
      </w:r>
      <w:r w:rsidRPr="00E93F40">
        <w:rPr>
          <w:rFonts w:ascii="Times New Roman" w:hAnsi="Times New Roman"/>
          <w:color w:val="000000" w:themeColor="text1"/>
          <w:sz w:val="16"/>
          <w:szCs w:val="16"/>
        </w:rPr>
        <w:softHyphen/>
        <w:t>щего роста аварийности, не приняли всех зависящих от них мер по борьбе с аварийностью путем систематического и конкретного руководства боевой подготовкой ВВС, путем систематической воспитательной работы над личным составом, путчем решительного пресечения малейших нарушений дисциплины, и вследствие этого не обеспечили точного выполнения приказов РВС Союза нижестоящими командными инстанциями, соединениями и частями ВВС РККА. Тов.Алкснису этот строгий выговор об"явить еще и за то, что он издал совершенно неправильный приказ 046 об итогах зимней учебы ВВС.</w:t>
      </w:r>
    </w:p>
    <w:p w14:paraId="41DAF58F"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РВС БВО т. Уборевичу и т. Аронштаму,что они не пресекли в корне неправильной линии руководства воз</w:t>
      </w:r>
      <w:r w:rsidRPr="00E93F40">
        <w:rPr>
          <w:rFonts w:ascii="Times New Roman" w:hAnsi="Times New Roman"/>
          <w:color w:val="000000" w:themeColor="text1"/>
          <w:sz w:val="16"/>
          <w:szCs w:val="16"/>
        </w:rPr>
        <w:softHyphen/>
        <w:t>душными силами со стороны нач. ВВС БВО т. Кушакова и вместо того, чтобы провести в жизнь все требования приказов РВС Союза по планомерному и последовательному обучению авиачастей, способ</w:t>
      </w:r>
      <w:r w:rsidRPr="00E93F40">
        <w:rPr>
          <w:rFonts w:ascii="Times New Roman" w:hAnsi="Times New Roman"/>
          <w:color w:val="000000" w:themeColor="text1"/>
          <w:sz w:val="16"/>
          <w:szCs w:val="16"/>
        </w:rPr>
        <w:softHyphen/>
        <w:t>ствовал вредному форсированию темпов боевой подготовки с мо</w:t>
      </w:r>
      <w:r w:rsidRPr="00E93F40">
        <w:rPr>
          <w:rFonts w:ascii="Times New Roman" w:hAnsi="Times New Roman"/>
          <w:color w:val="000000" w:themeColor="text1"/>
          <w:sz w:val="16"/>
          <w:szCs w:val="16"/>
        </w:rPr>
        <w:softHyphen/>
        <w:t>лодым и неподготовленным личным составом, этим самым вселяя своим подчиненным командирам недопустимую мысль о возможности нарушения или искривления приказов РВС Союза.</w:t>
      </w:r>
    </w:p>
    <w:p w14:paraId="080B4439"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РВС МСБМ (т.т. Викторову, Галлеру и Гри</w:t>
      </w:r>
      <w:r w:rsidRPr="00E93F40">
        <w:rPr>
          <w:rFonts w:ascii="Times New Roman" w:hAnsi="Times New Roman"/>
          <w:color w:val="000000" w:themeColor="text1"/>
          <w:sz w:val="16"/>
          <w:szCs w:val="16"/>
        </w:rPr>
        <w:softHyphen/>
        <w:t>шину) отсутствие руководства боевой подготовкой и внимания к материально-бытовому положению частей ВВС Балтморя, вопреки и в нарушение прямых указаний РВСС.</w:t>
      </w:r>
    </w:p>
    <w:p w14:paraId="3344E6F2"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РВС МВО (т.т. Корку и Векличеву) от</w:t>
      </w:r>
      <w:r w:rsidRPr="00E93F40">
        <w:rPr>
          <w:rFonts w:ascii="Times New Roman" w:hAnsi="Times New Roman"/>
          <w:color w:val="000000" w:themeColor="text1"/>
          <w:sz w:val="16"/>
          <w:szCs w:val="16"/>
        </w:rPr>
        <w:softHyphen/>
        <w:t>сутствие должного внимания к боевой подготовке подчиненных им воздушных сил, особенно к вновь сформированной тяжелой 17-й авиабригаде, и за допущение начальником ВВС ИВО тов. Чернобровкиным повышенной нормы работы авиачастей.</w:t>
      </w:r>
    </w:p>
    <w:p w14:paraId="755C9A24"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Отстранить от занимаемой должности начальника ВВС БВО тов. Кушанова со снижением в должности за сознательное нару</w:t>
      </w:r>
      <w:r w:rsidRPr="00E93F40">
        <w:rPr>
          <w:rFonts w:ascii="Times New Roman" w:hAnsi="Times New Roman"/>
          <w:color w:val="000000" w:themeColor="text1"/>
          <w:sz w:val="16"/>
          <w:szCs w:val="16"/>
        </w:rPr>
        <w:softHyphen/>
        <w:t>шение основных требований приказов РВС Союза и личную неди</w:t>
      </w:r>
      <w:r w:rsidRPr="00E93F40">
        <w:rPr>
          <w:rFonts w:ascii="Times New Roman" w:hAnsi="Times New Roman"/>
          <w:color w:val="000000" w:themeColor="text1"/>
          <w:sz w:val="16"/>
          <w:szCs w:val="16"/>
        </w:rPr>
        <w:softHyphen/>
        <w:t>сциплинированность. Предупредить т.Кушакова, что за повторе</w:t>
      </w:r>
      <w:r w:rsidRPr="00E93F40">
        <w:rPr>
          <w:rFonts w:ascii="Times New Roman" w:hAnsi="Times New Roman"/>
          <w:color w:val="000000" w:themeColor="text1"/>
          <w:sz w:val="16"/>
          <w:szCs w:val="16"/>
        </w:rPr>
        <w:softHyphen/>
        <w:t>ние случаев недисциплинированности он будет исключен из рядов ВКП (6).</w:t>
      </w:r>
    </w:p>
    <w:p w14:paraId="7C925B2C"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0б"явить строгий выговор с предупреждением начальнику ВВС МВО т. Чернобровкину за самовольное повышение нормы летной работы, невнимательность к подбору летного состава и отсутвие жеского конкретного руководства боевой подготовкой под</w:t>
      </w:r>
      <w:r w:rsidRPr="00E93F40">
        <w:rPr>
          <w:rFonts w:ascii="Times New Roman" w:hAnsi="Times New Roman"/>
          <w:color w:val="000000" w:themeColor="text1"/>
          <w:sz w:val="16"/>
          <w:szCs w:val="16"/>
        </w:rPr>
        <w:softHyphen/>
        <w:t>чиненных ему авиачастей.</w:t>
      </w:r>
    </w:p>
    <w:p w14:paraId="15C0B02E"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РВС Союза по отношению к остальным командирам авиачастей, виновным в последних авариях и катастрофах, наложить строжайшие дисциплинарные взыскания.</w:t>
      </w:r>
    </w:p>
    <w:p w14:paraId="1C339EAB"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Главнейшей задачей РВС Союза, РВС округов и командо</w:t>
      </w:r>
      <w:r w:rsidRPr="00E93F40">
        <w:rPr>
          <w:rFonts w:ascii="Times New Roman" w:hAnsi="Times New Roman"/>
          <w:color w:val="000000" w:themeColor="text1"/>
          <w:sz w:val="16"/>
          <w:szCs w:val="16"/>
        </w:rPr>
        <w:softHyphen/>
        <w:t>вания ВВС всех степеней является - немедленно и раз навсегда искоренить имеющиеся безобразия в авиачастях и положить на</w:t>
      </w:r>
      <w:r w:rsidRPr="00E93F40">
        <w:rPr>
          <w:rFonts w:ascii="Times New Roman" w:hAnsi="Times New Roman"/>
          <w:color w:val="000000" w:themeColor="text1"/>
          <w:sz w:val="16"/>
          <w:szCs w:val="16"/>
        </w:rPr>
        <w:softHyphen/>
        <w:t>чало установлению в них строжайшей воинской дисциплины, твер</w:t>
      </w:r>
      <w:r w:rsidRPr="00E93F40">
        <w:rPr>
          <w:rFonts w:ascii="Times New Roman" w:hAnsi="Times New Roman"/>
          <w:color w:val="000000" w:themeColor="text1"/>
          <w:sz w:val="16"/>
          <w:szCs w:val="16"/>
        </w:rPr>
        <w:softHyphen/>
        <w:t>дого распорядка внутренней службы и точного соблюдения уста</w:t>
      </w:r>
      <w:r w:rsidRPr="00E93F40">
        <w:rPr>
          <w:rFonts w:ascii="Times New Roman" w:hAnsi="Times New Roman"/>
          <w:color w:val="000000" w:themeColor="text1"/>
          <w:sz w:val="16"/>
          <w:szCs w:val="16"/>
        </w:rPr>
        <w:softHyphen/>
        <w:t>новленных в Квасной армии уставных требований. Без строжайшей воинской дисциплин:: невозможно ни существование, ни успешная боевая работа такого сложнейшего рода войск, каким является воздушный флот.</w:t>
      </w:r>
    </w:p>
    <w:p w14:paraId="035AC451"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РВС Союза немедленно отстранять от должности, изгонять из рядов ВВС РККА и предавать суду Реввоентрибунала командиров ВВС всех степеней, которые будут допускать во вве</w:t>
      </w:r>
      <w:r w:rsidRPr="00E93F40">
        <w:rPr>
          <w:rFonts w:ascii="Times New Roman" w:hAnsi="Times New Roman"/>
          <w:color w:val="000000" w:themeColor="text1"/>
          <w:sz w:val="16"/>
          <w:szCs w:val="16"/>
        </w:rPr>
        <w:softHyphen/>
        <w:t>ренных им частях разболтанность, расхлябанность',внешнюю не</w:t>
      </w:r>
      <w:r w:rsidRPr="00E93F40">
        <w:rPr>
          <w:rFonts w:ascii="Times New Roman" w:hAnsi="Times New Roman"/>
          <w:color w:val="000000" w:themeColor="text1"/>
          <w:sz w:val="16"/>
          <w:szCs w:val="16"/>
        </w:rPr>
        <w:softHyphen/>
        <w:t>опрятность, панибратство, ложный демократизм и падение воин</w:t>
      </w:r>
      <w:r w:rsidRPr="00E93F40">
        <w:rPr>
          <w:rFonts w:ascii="Times New Roman" w:hAnsi="Times New Roman"/>
          <w:color w:val="000000" w:themeColor="text1"/>
          <w:sz w:val="16"/>
          <w:szCs w:val="16"/>
        </w:rPr>
        <w:softHyphen/>
        <w:t>ской дисциплины.</w:t>
      </w:r>
    </w:p>
    <w:p w14:paraId="4C2A01C3"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перерабатываемый Реввоенсоветом дисциплинарный устав • внести повышение мер взыскания за недисциплинированность в частях ВВС РККА.</w:t>
      </w:r>
    </w:p>
    <w:p w14:paraId="0292615F"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Предложить Реввоенсовету Союза немедленно реоргани</w:t>
      </w:r>
      <w:r w:rsidRPr="00E93F40">
        <w:rPr>
          <w:rFonts w:ascii="Times New Roman" w:hAnsi="Times New Roman"/>
          <w:color w:val="000000" w:themeColor="text1"/>
          <w:sz w:val="16"/>
          <w:szCs w:val="16"/>
        </w:rPr>
        <w:softHyphen/>
        <w:t>зовать Управление ВВС РККА в целях усиления оперативно-учеб</w:t>
      </w:r>
      <w:r w:rsidRPr="00E93F40">
        <w:rPr>
          <w:rFonts w:ascii="Times New Roman" w:hAnsi="Times New Roman"/>
          <w:color w:val="000000" w:themeColor="text1"/>
          <w:sz w:val="16"/>
          <w:szCs w:val="16"/>
        </w:rPr>
        <w:softHyphen/>
        <w:t>ного руководства боевыми частями, крупными соединениями ВВС, ВУЗ”ами, тыловыми органами и капитальным строительством. В этих же целях соответственно увеличить штат Инспекции ВВС РККА и ввести при начальнике ВВС РККА штат порученцев для непосредственных и повседневных сношений с подчиненными ему частями и для усиления живого инструктирования и проверки выполнения учебной и боевой подготовки в частях ВВС РККА.</w:t>
      </w:r>
    </w:p>
    <w:p w14:paraId="44AE3096"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решительного улучшения руководства военно-воз</w:t>
      </w:r>
      <w:r w:rsidRPr="00E93F40">
        <w:rPr>
          <w:rFonts w:ascii="Times New Roman" w:hAnsi="Times New Roman"/>
          <w:color w:val="000000" w:themeColor="text1"/>
          <w:sz w:val="16"/>
          <w:szCs w:val="16"/>
        </w:rPr>
        <w:softHyphen/>
        <w:t>душными силами в округах, ввести в Лии, БВО, МВО, УВО, СКВО, ' ПРИВО, ОКДВА и морях - Балтийска’.! и Черном,- специально долж</w:t>
      </w:r>
      <w:r w:rsidRPr="00E93F40">
        <w:rPr>
          <w:rFonts w:ascii="Times New Roman" w:hAnsi="Times New Roman"/>
          <w:color w:val="000000" w:themeColor="text1"/>
          <w:sz w:val="16"/>
          <w:szCs w:val="16"/>
        </w:rPr>
        <w:softHyphen/>
        <w:t>ность помощников командующими войсками'по ВВС.</w:t>
      </w:r>
    </w:p>
    <w:p w14:paraId="698AB160"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в каждой авиабригаде должность специального инспектора, подчиненного непосредственно Инспектору ВВС РККА, с функциями всестороннего наблюдения и контроля за установлением строжайшей воинской дисциплины, за руководст- . эом боевой подготовкой частей бригады, за воспитанием лично</w:t>
      </w:r>
      <w:r w:rsidRPr="00E93F40">
        <w:rPr>
          <w:rFonts w:ascii="Times New Roman" w:hAnsi="Times New Roman"/>
          <w:color w:val="000000" w:themeColor="text1"/>
          <w:sz w:val="16"/>
          <w:szCs w:val="16"/>
        </w:rPr>
        <w:softHyphen/>
        <w:t>го состава и соблюдения установленного внутреннего распоряд</w:t>
      </w:r>
      <w:r w:rsidRPr="00E93F40">
        <w:rPr>
          <w:rFonts w:ascii="Times New Roman" w:hAnsi="Times New Roman"/>
          <w:color w:val="000000" w:themeColor="text1"/>
          <w:sz w:val="16"/>
          <w:szCs w:val="16"/>
        </w:rPr>
        <w:softHyphen/>
        <w:t>ка. Предоставить инспектору бригады право непосредственного сношения с РБС округов с инспектором ВВС РККА, а в случае надобности и с РВС Союза.</w:t>
      </w:r>
    </w:p>
    <w:p w14:paraId="08C39A47"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целью усиления политического руководства ввести в ПУСКР”ах специальные сектора по работе в авиации, а в эскад</w:t>
      </w:r>
      <w:r w:rsidRPr="00E93F40">
        <w:rPr>
          <w:rFonts w:ascii="Times New Roman" w:hAnsi="Times New Roman"/>
          <w:color w:val="000000" w:themeColor="text1"/>
          <w:sz w:val="16"/>
          <w:szCs w:val="16"/>
        </w:rPr>
        <w:softHyphen/>
        <w:t>рильях - штатную должность ответственных секретарей.</w:t>
      </w:r>
    </w:p>
    <w:p w14:paraId="53024692"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Потребовать от парторганизации и политорганов ВВС РККА жесточайшей борьбы за дисциплину и коренного улучшения воспитательной работы среди летнего и технического состава</w:t>
      </w:r>
    </w:p>
    <w:p w14:paraId="195A3266"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Предупредить, что бездеятельность парторганизации и политорганов ВВС в деле укрепления дисциплины и борьбы с ава</w:t>
      </w:r>
      <w:r w:rsidRPr="00E93F40">
        <w:rPr>
          <w:rFonts w:ascii="Times New Roman" w:hAnsi="Times New Roman"/>
          <w:color w:val="000000" w:themeColor="text1"/>
          <w:sz w:val="16"/>
          <w:szCs w:val="16"/>
        </w:rPr>
        <w:softHyphen/>
        <w:t>рийностью поставит каждого ответственного партполитработника этих организаций вне рядов партии,</w:t>
      </w:r>
    </w:p>
    <w:p w14:paraId="344C20FD"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Потребовать от ЦК ВЛКСМ решительного усиления воспи</w:t>
      </w:r>
      <w:r w:rsidRPr="00E93F40">
        <w:rPr>
          <w:rFonts w:ascii="Times New Roman" w:hAnsi="Times New Roman"/>
          <w:color w:val="000000" w:themeColor="text1"/>
          <w:sz w:val="16"/>
          <w:szCs w:val="16"/>
        </w:rPr>
        <w:softHyphen/>
        <w:t>тательной работы среди комсомольцев ВВС РККА/ особенно по внедрению железной дисциплины сведи комсомольцев ВВС РККА.</w:t>
      </w:r>
    </w:p>
    <w:p w14:paraId="679A4AA5"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Предложить Реввоенсовету Союза отменить приказ нач. ВВС РККА Об итогах зимней учебы.</w:t>
      </w:r>
    </w:p>
    <w:p w14:paraId="252E99BF"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Реввоенсовету Союза к 1.УП пересмотреть все свои указа</w:t>
      </w:r>
      <w:r w:rsidRPr="00E93F40">
        <w:rPr>
          <w:rFonts w:ascii="Times New Roman" w:hAnsi="Times New Roman"/>
          <w:color w:val="000000" w:themeColor="text1"/>
          <w:sz w:val="16"/>
          <w:szCs w:val="16"/>
        </w:rPr>
        <w:softHyphen/>
        <w:t>ния на летний период и приказы Начальника ВВС РККА и началь</w:t>
      </w:r>
      <w:r w:rsidRPr="00E93F40">
        <w:rPr>
          <w:rFonts w:ascii="Times New Roman" w:hAnsi="Times New Roman"/>
          <w:color w:val="000000" w:themeColor="text1"/>
          <w:sz w:val="16"/>
          <w:szCs w:val="16"/>
        </w:rPr>
        <w:softHyphen/>
        <w:t>ников ВВС округов, армий и морей и внести в них все необхо</w:t>
      </w:r>
      <w:r w:rsidRPr="00E93F40">
        <w:rPr>
          <w:rFonts w:ascii="Times New Roman" w:hAnsi="Times New Roman"/>
          <w:color w:val="000000" w:themeColor="text1"/>
          <w:sz w:val="16"/>
          <w:szCs w:val="16"/>
        </w:rPr>
        <w:softHyphen/>
        <w:t>димые коррективы для обеспечения последовательности и посте</w:t>
      </w:r>
      <w:r w:rsidRPr="00E93F40">
        <w:rPr>
          <w:rFonts w:ascii="Times New Roman" w:hAnsi="Times New Roman"/>
          <w:color w:val="000000" w:themeColor="text1"/>
          <w:sz w:val="16"/>
          <w:szCs w:val="16"/>
        </w:rPr>
        <w:softHyphen/>
        <w:t>пенности в боевой подготовке ВВС РККА, без снижения постав</w:t>
      </w:r>
      <w:r w:rsidRPr="00E93F40">
        <w:rPr>
          <w:rFonts w:ascii="Times New Roman" w:hAnsi="Times New Roman"/>
          <w:color w:val="000000" w:themeColor="text1"/>
          <w:sz w:val="16"/>
          <w:szCs w:val="16"/>
        </w:rPr>
        <w:softHyphen/>
        <w:t>ленных РВС Союза задач на 1932 г., путем лучшей планомерности я организованности занятий.</w:t>
      </w:r>
    </w:p>
    <w:p w14:paraId="07CD0D41"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Предложить РВС Союза в 2-декадный срок пересмотреть состав командиров авиаэскадрилий и отдельных авиаотрядов, для замены несоответствующих и отбора достойных кандидатов на эти должности. Одновременно отобрать необходимое количество общевойсковых командиров для переподготовки их на должности командиров отдельных частей ВВС. В тот же срок пересмотреть состав командиров тяжелых кораблей.</w:t>
      </w:r>
    </w:p>
    <w:p w14:paraId="60823A6C"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Впредь в аттестационных выводах летного состава отмечать пригодность аттестуемых командиров к службе в том или ином роде авиации, выдвигая наиболее выдающихся, дисциплинирован</w:t>
      </w:r>
      <w:r w:rsidRPr="00E93F40">
        <w:rPr>
          <w:rFonts w:ascii="Times New Roman" w:hAnsi="Times New Roman"/>
          <w:color w:val="000000" w:themeColor="text1"/>
          <w:sz w:val="16"/>
          <w:szCs w:val="16"/>
        </w:rPr>
        <w:softHyphen/>
        <w:t>ных и подготовленных командиров к службе в частях тяжелой авиации.</w:t>
      </w:r>
    </w:p>
    <w:p w14:paraId="7F0829D5"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на будущее время, под строжайшей ответствен</w:t>
      </w:r>
      <w:r w:rsidRPr="00E93F40">
        <w:rPr>
          <w:rFonts w:ascii="Times New Roman" w:hAnsi="Times New Roman"/>
          <w:color w:val="000000" w:themeColor="text1"/>
          <w:sz w:val="16"/>
          <w:szCs w:val="16"/>
        </w:rPr>
        <w:softHyphen/>
        <w:t>ностью командиров всей степеней, чтобы при назначении на ту или другую должность обязательно учитывалась предыдущая ат</w:t>
      </w:r>
      <w:r w:rsidRPr="00E93F40">
        <w:rPr>
          <w:rFonts w:ascii="Times New Roman" w:hAnsi="Times New Roman"/>
          <w:color w:val="000000" w:themeColor="text1"/>
          <w:sz w:val="16"/>
          <w:szCs w:val="16"/>
        </w:rPr>
        <w:softHyphen/>
        <w:t>тестация назначаемого, В случае назначения по несоответствию с аттестацией должен нести строжайшую ответственность тот ко</w:t>
      </w:r>
      <w:r w:rsidRPr="00E93F40">
        <w:rPr>
          <w:rFonts w:ascii="Times New Roman" w:hAnsi="Times New Roman"/>
          <w:color w:val="000000" w:themeColor="text1"/>
          <w:sz w:val="16"/>
          <w:szCs w:val="16"/>
        </w:rPr>
        <w:softHyphen/>
        <w:t>мандир, который допустил это назначение.</w:t>
      </w:r>
    </w:p>
    <w:p w14:paraId="7739C018"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В виду того, что согласно решения ЦК ВКП(б) от 16.У1 1932 г. (постановление ЦК ВКП(б) об упорядочении практики наз</w:t>
      </w:r>
      <w:r w:rsidRPr="00E93F40">
        <w:rPr>
          <w:rFonts w:ascii="Times New Roman" w:hAnsi="Times New Roman"/>
          <w:color w:val="000000" w:themeColor="text1"/>
          <w:sz w:val="16"/>
          <w:szCs w:val="16"/>
        </w:rPr>
        <w:softHyphen/>
        <w:t>начения и аттестования комсостава) летные школы должны комп</w:t>
      </w:r>
      <w:r w:rsidRPr="00E93F40">
        <w:rPr>
          <w:rFonts w:ascii="Times New Roman" w:hAnsi="Times New Roman"/>
          <w:color w:val="000000" w:themeColor="text1"/>
          <w:sz w:val="16"/>
          <w:szCs w:val="16"/>
        </w:rPr>
        <w:softHyphen/>
        <w:t>лектоваться исключительно коммунистами или абсолютно прове</w:t>
      </w:r>
      <w:r w:rsidRPr="00E93F40">
        <w:rPr>
          <w:rFonts w:ascii="Times New Roman" w:hAnsi="Times New Roman"/>
          <w:color w:val="000000" w:themeColor="text1"/>
          <w:sz w:val="16"/>
          <w:szCs w:val="16"/>
        </w:rPr>
        <w:softHyphen/>
        <w:t>ренными беспартийными рабочими, предложить секретарям всех обл. (край) и нац. парткомитетов при отборе в летние школы, лично руководить этим важнейшим делом и посылать в летные школы только таких коммунистов, которые отвечают повыше ним требованиям в отношении физической и моральной устойчивости и личной дисциплинированности.</w:t>
      </w:r>
    </w:p>
    <w:p w14:paraId="7D8B5253"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РВС Союза строго следить за правильным отбором в Военно-воздушные школы физически пригодного контингента, для чего улучшить работу специальных медицинских комиссий по психофизи</w:t>
      </w:r>
      <w:r w:rsidRPr="00E93F40">
        <w:rPr>
          <w:rFonts w:ascii="Times New Roman" w:hAnsi="Times New Roman"/>
          <w:color w:val="000000" w:themeColor="text1"/>
          <w:sz w:val="16"/>
          <w:szCs w:val="16"/>
        </w:rPr>
        <w:softHyphen/>
        <w:t>ческому осмотру поступающих в школы кандидатов.</w:t>
      </w:r>
    </w:p>
    <w:p w14:paraId="64E232DC"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Предложить НКЛегпрому под личную ответственность т. Любимова, развернуть производство парашютов на имеющейся фабрике, чтобы обеспечить парашютами летный состав всей истре</w:t>
      </w:r>
      <w:r w:rsidRPr="00E93F40">
        <w:rPr>
          <w:rFonts w:ascii="Times New Roman" w:hAnsi="Times New Roman"/>
          <w:color w:val="000000" w:themeColor="text1"/>
          <w:sz w:val="16"/>
          <w:szCs w:val="16"/>
        </w:rPr>
        <w:softHyphen/>
        <w:t>бительной и тяжелой бомбардировочной авиации не позднее 15-го августа с/г (ПЛ1-200 штук, ПН2-800 штук) и весь прочий летный состав не позднее 15 сентября с/г (ПЛ1-1521, ПН2-1575).</w:t>
      </w:r>
    </w:p>
    <w:p w14:paraId="54C613BD"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Предложить Реввоенсовету и НКТяжпрому форсировать изготовление радиостанций по связи самолетов в воздухе меж</w:t>
      </w:r>
      <w:r w:rsidRPr="00E93F40">
        <w:rPr>
          <w:rFonts w:ascii="Times New Roman" w:hAnsi="Times New Roman"/>
          <w:color w:val="000000" w:themeColor="text1"/>
          <w:sz w:val="16"/>
          <w:szCs w:val="16"/>
        </w:rPr>
        <w:softHyphen/>
        <w:t>ду собой и с землей.</w:t>
      </w:r>
    </w:p>
    <w:p w14:paraId="4DF01020"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что с 1.1-1933 г. ни один тяжелый самолет не может пойти в полет без наличия на борту исправно дей</w:t>
      </w:r>
      <w:r w:rsidRPr="00E93F40">
        <w:rPr>
          <w:rFonts w:ascii="Times New Roman" w:hAnsi="Times New Roman"/>
          <w:color w:val="000000" w:themeColor="text1"/>
          <w:sz w:val="16"/>
          <w:szCs w:val="16"/>
        </w:rPr>
        <w:softHyphen/>
        <w:t>ствующей рации.</w:t>
      </w:r>
    </w:p>
    <w:p w14:paraId="0DA78CFF"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каждого тяжелого самолета считать необходимым в самый кратчайший срок разработку и установку внутренней связи, безотказно действующей в любых условиях.</w:t>
      </w:r>
    </w:p>
    <w:p w14:paraId="6FD8BF4B"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Конкретные мероприятия по этому пункту, в том числе и о стабилизаторах, разрезных крыльях, тормозных колесах и проч., заслушать на ближайшем заседании K.О.</w:t>
      </w:r>
    </w:p>
    <w:p w14:paraId="692F83F9"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13) Предложить Реввоенсовету провести немедленно все остальные мероприятия для улучшения внутреннего поряд</w:t>
      </w:r>
      <w:r w:rsidRPr="00E93F40">
        <w:rPr>
          <w:rFonts w:ascii="Times New Roman" w:hAnsi="Times New Roman"/>
          <w:color w:val="000000" w:themeColor="text1"/>
          <w:sz w:val="16"/>
          <w:szCs w:val="16"/>
        </w:rPr>
        <w:softHyphen/>
        <w:t>ка и боевей подготовки ВВС РККА.</w:t>
      </w:r>
    </w:p>
    <w:p w14:paraId="5EE6DEAB"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Запретить всем организациям СССР, связанным с авиацией, принимать на службу летчиков, техников и инже</w:t>
      </w:r>
      <w:r w:rsidRPr="00E93F40">
        <w:rPr>
          <w:rFonts w:ascii="Times New Roman" w:hAnsi="Times New Roman"/>
          <w:color w:val="000000" w:themeColor="text1"/>
          <w:sz w:val="16"/>
          <w:szCs w:val="16"/>
        </w:rPr>
        <w:softHyphen/>
        <w:t>неров, уволенных из ВВС РККА по порочащим их обстоятельст</w:t>
      </w:r>
      <w:r w:rsidRPr="00E93F40">
        <w:rPr>
          <w:rFonts w:ascii="Times New Roman" w:hAnsi="Times New Roman"/>
          <w:color w:val="000000" w:themeColor="text1"/>
          <w:sz w:val="16"/>
          <w:szCs w:val="16"/>
        </w:rPr>
        <w:softHyphen/>
        <w:t>вам (недисциплинированность, воздушное хулиганство, поли</w:t>
      </w:r>
      <w:r w:rsidRPr="00E93F40">
        <w:rPr>
          <w:rFonts w:ascii="Times New Roman" w:hAnsi="Times New Roman"/>
          <w:color w:val="000000" w:themeColor="text1"/>
          <w:sz w:val="16"/>
          <w:szCs w:val="16"/>
        </w:rPr>
        <w:softHyphen/>
        <w:t>тико-моральное разложение или неустойчивость, пьянство и т.д.), СНК СССР издать по этому поводу закон и опреде</w:t>
      </w:r>
      <w:r w:rsidRPr="00E93F40">
        <w:rPr>
          <w:rFonts w:ascii="Times New Roman" w:hAnsi="Times New Roman"/>
          <w:color w:val="000000" w:themeColor="text1"/>
          <w:sz w:val="16"/>
          <w:szCs w:val="16"/>
        </w:rPr>
        <w:softHyphen/>
        <w:t>лить порядок его неуклонного применения .</w:t>
      </w:r>
    </w:p>
    <w:p w14:paraId="59F91F96"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Секретарь ЦК ВКП(б) И.СТАЛИН.</w:t>
      </w:r>
    </w:p>
    <w:p w14:paraId="453D92B0"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СНК СССР - В.МОЛОТОВ(СКРЯБИН).</w:t>
      </w:r>
    </w:p>
    <w:p w14:paraId="66313191" w14:textId="77777777" w:rsidR="003A7E44" w:rsidRPr="00E93F40" w:rsidRDefault="003A7E4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Молотову, Кагановичу - все; т. Орджоникидзе - п. "б" и "в"; т. Постышеву - п."в" (23052).</w:t>
      </w:r>
    </w:p>
    <w:p w14:paraId="08477A65" w14:textId="77777777" w:rsidR="003A7E44" w:rsidRPr="00E93F40" w:rsidRDefault="003A7E44" w:rsidP="00E93F40">
      <w:pPr>
        <w:spacing w:after="0" w:line="240" w:lineRule="auto"/>
        <w:jc w:val="both"/>
        <w:rPr>
          <w:rFonts w:ascii="Times New Roman" w:hAnsi="Times New Roman"/>
          <w:color w:val="000000" w:themeColor="text1"/>
          <w:sz w:val="16"/>
          <w:szCs w:val="16"/>
        </w:rPr>
      </w:pPr>
    </w:p>
    <w:p w14:paraId="696287C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400147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1F03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июля 1932 на вооружение приняли 203 мм гаубицы Б-4, которые стали производить на заводах Большевик и Баррикады (2345,33).</w:t>
      </w:r>
    </w:p>
    <w:p w14:paraId="4AE4D4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B2BB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июля 1932 г было подготовлено письмо Начальнику 3 отдела НТУ ГАУ</w:t>
      </w:r>
    </w:p>
    <w:p w14:paraId="2EDFBD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мотоциклетной пушке Курчевского</w:t>
      </w:r>
    </w:p>
    <w:p w14:paraId="586B1C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представляю акт комисси о повреждении мо</w:t>
      </w:r>
      <w:r w:rsidRPr="00E93F40">
        <w:rPr>
          <w:rFonts w:ascii="Times New Roman" w:hAnsi="Times New Roman"/>
          <w:color w:val="000000" w:themeColor="text1"/>
          <w:sz w:val="16"/>
          <w:szCs w:val="16"/>
        </w:rPr>
        <w:softHyphen/>
        <w:t>тоциклетной пушки инж. Курчевского... Прошу вашего указания о замене сопла с воронкой</w:t>
      </w:r>
    </w:p>
    <w:p w14:paraId="2040CB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Пушка повреждена при стрельбе 27 июня 1932 г. При первом выстреле давление составляло 1480 кг/см. Несмот</w:t>
      </w:r>
      <w:r w:rsidRPr="00E93F40">
        <w:rPr>
          <w:rFonts w:ascii="Times New Roman" w:hAnsi="Times New Roman"/>
          <w:color w:val="000000" w:themeColor="text1"/>
          <w:sz w:val="16"/>
          <w:szCs w:val="16"/>
        </w:rPr>
        <w:softHyphen/>
        <w:t>ря на превышени испытания продолжены. При втором вы</w:t>
      </w:r>
      <w:r w:rsidRPr="00E93F40">
        <w:rPr>
          <w:rFonts w:ascii="Times New Roman" w:hAnsi="Times New Roman"/>
          <w:color w:val="000000" w:themeColor="text1"/>
          <w:sz w:val="16"/>
          <w:szCs w:val="16"/>
        </w:rPr>
        <w:softHyphen/>
        <w:t>стреле произошло повреждение.</w:t>
      </w:r>
    </w:p>
    <w:p w14:paraId="70B957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Заслонку с воронкой отогнуло вниз...</w:t>
      </w:r>
    </w:p>
    <w:p w14:paraId="115A18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Указанное явление произошло при отгибе бороды впе</w:t>
      </w:r>
      <w:r w:rsidRPr="00E93F40">
        <w:rPr>
          <w:rFonts w:ascii="Times New Roman" w:hAnsi="Times New Roman"/>
          <w:color w:val="000000" w:themeColor="text1"/>
          <w:sz w:val="16"/>
          <w:szCs w:val="16"/>
        </w:rPr>
        <w:softHyphen/>
        <w:t>ред, почему заслонка отогнулась вниз. Конструкционный дефект орудия, проявляющийся уже не первый раз</w:t>
      </w:r>
    </w:p>
    <w:p w14:paraId="487A28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 Данилов...(11417).</w:t>
      </w:r>
    </w:p>
    <w:p w14:paraId="1178C3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96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июля 1932 года Президиум Московского облисполкома постановил отвести земельный участок под новый артиллерийский полигон вблизи ст. Лосиностровская в районе артсклада №36 площадью 42 кв.км., однако уже 29 ноября 1932 года он отменил это решение и создание полигона на ранее отведённом месте и вообще в 50 километровой зоне вокруг Москвы запретил.</w:t>
      </w:r>
    </w:p>
    <w:p w14:paraId="74C047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Существовавшие к 1933 году артиллерийские полигоны (Ленинградский, Гроховецкий, Тоцкий и Павлоградский) находились в ведении ГАУ РККА, обслуживали в основном нужды армии и не могли справиться со всёвозрастающими объёмом испытаний промышленной продукции.</w:t>
      </w:r>
    </w:p>
    <w:p w14:paraId="0F7D45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этих условиях в 1932 - 33 годах руководством РККА и ГАУ были приняты меры по созданию в системе ГАУ РККА новых полигонов. Специально предназначенных для испытаний боеприпасов в интересах промышленности. </w:t>
      </w:r>
    </w:p>
    <w:p w14:paraId="53DC12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участок для вновь создаваемого полигона был выбран в Софринском районе Московской области, в 18 км от ст. Софрино к северу от села Путилово.</w:t>
      </w:r>
    </w:p>
    <w:p w14:paraId="3CBDA3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1933 года в село Путилово под командованием военного инженера 1 ранга В.П.Серебрякова прибыли первые сотрудники полигона: М.Ф.Тимофеев, В.Д.Иващенко, Ф.В.Колимбет, Н.А.Тураев, И.Ф.Бодров и др. Начались изыскательские и геодезические работы, затем расчистка трассы.</w:t>
      </w:r>
    </w:p>
    <w:p w14:paraId="5237E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организации полигон назывался Московским контрольно-испытательным полигоном опытно-артиллерийским полигоном. Впервые он упоминается как Софринский в постановлении СНК СССР №1917-421с от 05 сентября 1933 года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44D06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полигона – Серебряков В.П.</w:t>
      </w:r>
    </w:p>
    <w:p w14:paraId="0AE499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политрук – Турукин Г.М.</w:t>
      </w:r>
    </w:p>
    <w:p w14:paraId="7ED19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технической части - Кораблин Н.П.</w:t>
      </w:r>
    </w:p>
    <w:p w14:paraId="4A5064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АХЧ – Лазарев Д.Е.</w:t>
      </w:r>
    </w:p>
    <w:p w14:paraId="0934D6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4B1825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также Тураев Н.А, руководивший переброской имущества расформированного склада №51 к месту строительства нового полигона и Бодров И.Ф. (12071)</w:t>
      </w:r>
    </w:p>
    <w:p w14:paraId="7862D1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06323B"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10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107. 12. О постройке судостроительного завода в районе Архангельска (ПБ от 23 марта 1932 г., пр. № 93, п. 29в). 14. Об отпуске цветных металлов (ПБ от 1 июля. 1932 г., пр. № 102, п. 8, из прил. П. 17). 20. О заявках НКВМора на предметы военно-хозяйственного снабжения. 31. Просьба НКВМора и НКСнаба отменить решение ЦК о передаче части станков и стройматериалов в ведение НКПС. 32. Об оборотных средствах военной промышленности НКТП в III квартале (ПБ от 21 июня 1932 г., пр. № 105, п. 79/40) (Гринько). Решения ПБ. 46/3. Об аварийности в частях ВВС РККА. — ОП. Постановили: а) предложенный т. Ворошиловым проект постановления утвердить. Окончательную редакцию поручить т. Ворошилову, Молотову и Кагановичу; б) считая, что качество выпускаемой авиапродукции все еще отстает от технических требований, предложить НКТПрому в 2- х ?декадный срок выработать план мероприятий, обеспечивающий ликвидацию всех недочетов и решительное улучшение продукции авиапромышленности и доложить Комиссии обороны; в) поручить комиссии т. Постышева закончить работу комиссии в 2?декадный срок и доложить Комиссии обороны. (Политбюро... Т. 2. 1930?1939. С. 326, 327; РГАСПИ. Ф. 17. Оп. 162. Д. 13. Л. 12?13) (12416).</w:t>
      </w:r>
    </w:p>
    <w:p w14:paraId="42C1AE51"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1B492BB4" w14:textId="77777777" w:rsidR="00537D34" w:rsidRPr="00E93F40" w:rsidRDefault="00537D34"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11E4D70" w14:textId="77777777" w:rsidR="00537D34" w:rsidRPr="00E93F40" w:rsidRDefault="00537D3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28DB29A"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июля 1932</w:t>
      </w:r>
    </w:p>
    <w:p w14:paraId="7109B3E1" w14:textId="6C903BEB"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46/3: Об аварийности в частях ВВС РККА</w:t>
      </w:r>
    </w:p>
    <w:p w14:paraId="1C46BB32"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(Ворошилов).</w:t>
      </w:r>
    </w:p>
    <w:p w14:paraId="60883BC3" w14:textId="61C38564"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6569966F" w14:textId="11836D4D"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Предложенный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Ворошиловым проект постановления утвердить. Окончательную редакцию поручить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Ворошилову, Молотову и Кагановичу (</w:t>
      </w:r>
      <w:hyperlink r:id="rId177" w:history="1">
        <w:r w:rsidRPr="00E93F40">
          <w:rPr>
            <w:rStyle w:val="a5"/>
            <w:rFonts w:ascii="Times New Roman" w:hAnsi="Times New Roman"/>
            <w:color w:val="000000" w:themeColor="text1"/>
            <w:sz w:val="16"/>
            <w:szCs w:val="16"/>
            <w:u w:val="none"/>
          </w:rPr>
          <w:t>см.</w:t>
        </w:r>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приложение</w:t>
        </w:r>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w:t>
        </w:r>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2</w:t>
        </w:r>
        <w:r w:rsidRPr="00E93F40">
          <w:rPr>
            <w:rStyle w:val="a5"/>
            <w:rFonts w:ascii="Times New Roman" w:hAnsi="Times New Roman"/>
            <w:color w:val="000000" w:themeColor="text1"/>
            <w:sz w:val="16"/>
            <w:szCs w:val="16"/>
            <w:u w:val="none"/>
          </w:rPr>
          <w:noBreakHyphen/>
          <w:t>ОП</w:t>
        </w:r>
      </w:hyperlink>
      <w:r w:rsidRPr="00E93F40">
        <w:rPr>
          <w:rFonts w:ascii="Times New Roman" w:hAnsi="Times New Roman"/>
          <w:color w:val="000000" w:themeColor="text1"/>
          <w:sz w:val="16"/>
          <w:szCs w:val="16"/>
        </w:rPr>
        <w:t>).</w:t>
      </w:r>
    </w:p>
    <w:p w14:paraId="1EBCFE10"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Считая, что качество выпускаемой авиапродукции все еще отстает от технических требований, предложить НКТПрому в 2</w:t>
      </w:r>
      <w:r w:rsidRPr="00E93F40">
        <w:rPr>
          <w:rFonts w:ascii="Times New Roman" w:hAnsi="Times New Roman"/>
          <w:color w:val="000000" w:themeColor="text1"/>
          <w:sz w:val="16"/>
          <w:szCs w:val="16"/>
        </w:rPr>
        <w:noBreakHyphen/>
        <w:t>декадный срок выработать план мероприятий, обеспечивающий ликвидацию всех недочетов и решительное улучшение продукции авиапромышленности и доложить Комиссии Обороны.</w:t>
      </w:r>
    </w:p>
    <w:p w14:paraId="536B6834" w14:textId="266D2DE9"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Поручить комиссии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Постышева закончить работу комиссии в 2</w:t>
      </w:r>
      <w:r w:rsidRPr="00E93F40">
        <w:rPr>
          <w:rFonts w:ascii="Times New Roman" w:hAnsi="Times New Roman"/>
          <w:color w:val="000000" w:themeColor="text1"/>
          <w:sz w:val="16"/>
          <w:szCs w:val="16"/>
        </w:rPr>
        <w:noBreakHyphen/>
        <w:t>декадный срок и доложить Комиссии Обороны.</w:t>
      </w:r>
    </w:p>
    <w:p w14:paraId="5A897C2A"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676D38F6" w14:textId="65F12FDD"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Ворошилову, Молотову, Кагановичу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w:t>
      </w:r>
    </w:p>
    <w:p w14:paraId="642F302C" w14:textId="353FAF48"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Орджоникидзе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 и "в";</w:t>
      </w:r>
    </w:p>
    <w:p w14:paraId="0157FD07" w14:textId="5A091C7B"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Постышеву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п.“в”.</w:t>
      </w:r>
    </w:p>
    <w:p w14:paraId="27929E61" w14:textId="5FC3FFF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2-ОП</w:t>
      </w:r>
    </w:p>
    <w:p w14:paraId="3ED2C8DB" w14:textId="14B4F122"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46/З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107.</w:t>
      </w:r>
    </w:p>
    <w:p w14:paraId="377041D4"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Окончательная редакция.</w:t>
      </w:r>
    </w:p>
    <w:p w14:paraId="689A3017"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 аварийности в частях ВВС РККА.</w:t>
      </w:r>
    </w:p>
    <w:p w14:paraId="7E33C688" w14:textId="3D98199C"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и Совнаркома СССР.</w:t>
      </w:r>
    </w:p>
    <w:p w14:paraId="235449FE"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w:t>
      </w:r>
    </w:p>
    <w:p w14:paraId="73A74F0A" w14:textId="296EE313"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Два года тому назад (лето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Реввоенсовет Союза поставил перед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во всем объеме вопрос о борьбе с аварийностью, которая в то время приняла чрезвычайно большие размеры, угрожая дальнейшему развитию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Произведя обследование большинства авиачастей и соединений, Реввоенсовет Союза в своем приказе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0012 исчерпывающе установил причины аварийности и дал конкретные и подробные указания по борьбе с нею и сведению ее до возможного минимума. Основной причиной аварийности являлось отсутствие должной воинской дисциплины в частях ВВС и неорганизованность как учебной, так и эксплуатационной работы, при слабом знании личным составом материальной части авиации.</w:t>
      </w:r>
    </w:p>
    <w:p w14:paraId="7490348E"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 0012 привел к некоторым положительным результатам.</w:t>
      </w:r>
    </w:p>
    <w:p w14:paraId="5B3D2A97" w14:textId="03D9B344"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протяжении 1½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 части ВВС, не снижая, а повышая и усложняя свою боевую подготовку, с заметным успехом овладели новой материальной частью и добились некоторого снижения аварийности.</w:t>
      </w:r>
    </w:p>
    <w:p w14:paraId="5497B833" w14:textId="1ED07A4A"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начиная с зимнего периода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частях ВВС вновь обнаружились тревожные признаки ослабления руководства и дисциплины, выразившиеся в усилении аварий и, особенно, катастроф. Реввоенсовет Союза, после личного вызова командования наиболее аварийных авиачастей и объединений, на совещании с которыми били вскрыты причины усилившейся аварийности и намечены пути борьбы с ней, вторым своим приказом 016 (март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потребовал неуклонного проведения в </w:t>
      </w:r>
      <w:r w:rsidRPr="00E93F40">
        <w:rPr>
          <w:rFonts w:ascii="Times New Roman" w:hAnsi="Times New Roman"/>
          <w:color w:val="000000" w:themeColor="text1"/>
          <w:sz w:val="16"/>
          <w:szCs w:val="16"/>
        </w:rPr>
        <w:lastRenderedPageBreak/>
        <w:t>жизнь указаний, предусмотренных ранее приказом 0012, установления строжайшей воинской дисциплины и прекращения вредного перескакивания к более сложным упражнениям, минуя простейшие.</w:t>
      </w:r>
    </w:p>
    <w:p w14:paraId="5B825218" w14:textId="4437AA3D"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все это, за летний период текущего учебного года аварийность в частях ВВС приняла исключительно угрожающие размеры. В начале июня, в течение буквально нескольких дней, произошел ряд небывало тяжелых по своей обстановке и последствиям катастроф. За время с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по 23</w:t>
      </w:r>
      <w:r w:rsidRPr="00E93F40">
        <w:rPr>
          <w:rFonts w:ascii="Times New Roman" w:hAnsi="Times New Roman"/>
          <w:color w:val="000000" w:themeColor="text1"/>
          <w:sz w:val="16"/>
          <w:szCs w:val="16"/>
        </w:rPr>
        <w:noBreakHyphen/>
        <w:t>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частях ВВС произошло 136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аварий, в том числе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катастрофы против 89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аварий и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катастроф за тот же период прошлого года (увеличение аварий на 53%,катастроф на 360%). В результате этих происшествий погибло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 летного состава и совершенно разбито 42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самолета (из них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тяжелых). За один день 11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 произошло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столкновения в воздухе (Балтморе и БВО), погибло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 и уничтожено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самолета, из них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тяжелых.</w:t>
      </w:r>
    </w:p>
    <w:p w14:paraId="31944D31"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Расследование, произведенное по наиболее тяжелым катастрофам специальными комиссиями РВС Союза, установило:</w:t>
      </w:r>
    </w:p>
    <w:p w14:paraId="21622EEA" w14:textId="3D1DBEB8"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Катастрофа в 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эскадрильи 4-й авиабригады ВВС Балтморя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произошла при столкновении 2</w:t>
      </w:r>
      <w:r w:rsidRPr="00E93F40">
        <w:rPr>
          <w:rFonts w:ascii="Times New Roman" w:hAnsi="Times New Roman"/>
          <w:color w:val="000000" w:themeColor="text1"/>
          <w:sz w:val="16"/>
          <w:szCs w:val="16"/>
        </w:rPr>
        <w:noBreakHyphen/>
        <w:t>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кораблей ТБ</w:t>
      </w:r>
      <w:r w:rsidRPr="00E93F40">
        <w:rPr>
          <w:rFonts w:ascii="Times New Roman" w:hAnsi="Times New Roman"/>
          <w:color w:val="000000" w:themeColor="text1"/>
          <w:sz w:val="16"/>
          <w:szCs w:val="16"/>
        </w:rPr>
        <w:noBreakHyphen/>
        <w:t>1, выполнявших групповой полет в общем составе шести кораблей. Командир эскадрильи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Вернигород вместе с командиром неотдельного отряда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Котиковым вышли из общего строя, бросив своих ведомых в воздухе и предоставив молодым неопытным командирам остальных 4</w:t>
      </w:r>
      <w:r w:rsidRPr="00E93F40">
        <w:rPr>
          <w:rFonts w:ascii="Times New Roman" w:hAnsi="Times New Roman"/>
          <w:color w:val="000000" w:themeColor="text1"/>
          <w:sz w:val="16"/>
          <w:szCs w:val="16"/>
        </w:rPr>
        <w:noBreakHyphen/>
        <w:t>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кораблей, под командованием одного из них, принять новое перестроение, к чему они не были подготовлены. Вследствие этого во время перестроения ведущий правофланговой пары наскочил на замыкающего левофланговой пары. В результате оба корабля упали с высоты 1.300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 и разбились.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 экипажа погибли, спасся только один выброшенный из самолета командир корабля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Новиков, благодаря наличию парашюта. Остальной экипаж, за исключением погибшего командира корабля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Трусова, парашютов не имел. В катастрофе прямым непосредственным виновником является командование 62</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эскадрильи (командир Вернигород, комиссар Гуркин). Командир эскадрильи, усложняя по своей инициативе задание, не проверил усвоение каждым экипажем этого задания, и, в частности, не проверил как усвоено это задание ведущим командиром корабля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Преображенским.</w:t>
      </w:r>
    </w:p>
    <w:p w14:paraId="4EAE7FE1" w14:textId="1644B0E1"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Всеми этими своими действиями командование эскадрильи нарушило прямые требования наставления по полетной службе (ст.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262) и приказа РВСС 016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запрещающего перескакивание через промежуточные ступени подготовки. За это командование 62</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эскадрильи подлежит преданию суду и наказанию по всей строгости революционных законов.</w:t>
      </w:r>
    </w:p>
    <w:p w14:paraId="176CAF69" w14:textId="08473A13"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Катастрофа в 62</w:t>
      </w:r>
      <w:r w:rsidRPr="00E93F40">
        <w:rPr>
          <w:rFonts w:ascii="Times New Roman" w:hAnsi="Times New Roman"/>
          <w:color w:val="000000" w:themeColor="text1"/>
          <w:sz w:val="16"/>
          <w:szCs w:val="16"/>
        </w:rPr>
        <w:noBreakHyphen/>
        <w:t>м отдельном авиаотряде 4</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авиабригады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Балтморя произошла вследствие того, что летчик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Демидов, вопреки установленным правилам, самочинно выполнял на самолете Савойя</w:t>
      </w:r>
      <w:r w:rsidRPr="00E93F40">
        <w:rPr>
          <w:rFonts w:ascii="Times New Roman" w:hAnsi="Times New Roman"/>
          <w:color w:val="000000" w:themeColor="text1"/>
          <w:sz w:val="16"/>
          <w:szCs w:val="16"/>
        </w:rPr>
        <w:noBreakHyphen/>
        <w:t>62 бреющий полет в штормовую погоду и, сделав горку над баржей, не успел вырвать машины из крутого снижения и врезался в воду,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человека экипажа погибли, самолет был уничтожен. Поступок погибшего Демидова является одним из ярких примеров воздушного хулиганства.</w:t>
      </w:r>
    </w:p>
    <w:p w14:paraId="3F920C5C" w14:textId="4D660CE6"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Прямым виновником происшедшей катастрофы, помимо погибшего Демидова, является командование 62</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отряда в лице командира отряда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Петрова и комиссара отряда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Карпенко не вытравивших воздушного хулиганства среди подчиненного летного состава и не установивших во вверенной им части строжайшей воинской дисциплины. За эти проступки оба названных командира подлежат преданию суду и наказанию по всей строгости революционных законов.</w:t>
      </w:r>
    </w:p>
    <w:p w14:paraId="60F10E9F" w14:textId="2960A49C"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обе эти катастрофы несут ответственность также: РВС Балтморя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Викторов, Галлер, Гришин), начальник ВВС Балтморя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Никифоров и командование 4</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авиабригады (командир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Бирбуц, помполит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Морозов)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 слабое и никуда негодное руководство подчиненными им авиачастями и соединениями, за что все они подлежат строжайшему дисциплинарному взысканию.</w:t>
      </w:r>
    </w:p>
    <w:p w14:paraId="1ACAC481" w14:textId="60FA36BC"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Катастрофа в 43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эскадрильи 2</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авиабригады ВВС БВО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произошла при столкновении двух самолетов Р</w:t>
      </w:r>
      <w:r w:rsidRPr="00E93F40">
        <w:rPr>
          <w:rFonts w:ascii="Times New Roman" w:hAnsi="Times New Roman"/>
          <w:color w:val="000000" w:themeColor="text1"/>
          <w:sz w:val="16"/>
          <w:szCs w:val="16"/>
        </w:rPr>
        <w:noBreakHyphen/>
        <w:t>5 во время ночного полета при выполнении отрядами эскадрильи сложного учебного комплекса. Экипажи самолетов не были подготовлены к выполнению этого задания.</w:t>
      </w:r>
    </w:p>
    <w:p w14:paraId="6FE13B10" w14:textId="5677F241"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со старыми летчиками, вопреки приказам РВС Союза, в сложный полет были выпущены молодые неподготовленные пилоты, прибывшие в часть в феврале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Вместе с ними были посланы в этот полет столь же молодые и неопытные стрелки-бомбардиры и стажеры-летнабы, только еще начавшие выполнять стрелковые упражнения в дневное время. Эта катастрофа явилась прямым следствием нарушения начальником ВВС Белорусского военного округа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Кушановым и подчиненными ему командирами четких и конкретных указаний РВС Союза о последовательном прохождении этапов боевой подготовки. Будучи лично недисциплинированным командиром и не будучи во время призванным к порядку РВС БВО,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Кушаков своим руководством способствовал не выполнению, а нарушению приказов РВС Союза. За катастрофу в первую очередь ответственны командир-комиссар 43</w:t>
      </w:r>
      <w:r w:rsidRPr="00E93F40">
        <w:rPr>
          <w:rFonts w:ascii="Times New Roman" w:hAnsi="Times New Roman"/>
          <w:color w:val="000000" w:themeColor="text1"/>
          <w:sz w:val="16"/>
          <w:szCs w:val="16"/>
        </w:rPr>
        <w:noBreakHyphen/>
        <w:t>й эскадрильи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Бочкарев и командование 2</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авиабригады (командир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Смушкевич, помполит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Кузнецов).</w:t>
      </w:r>
    </w:p>
    <w:p w14:paraId="2EA3C97A" w14:textId="3F30288B"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все это все указанные командиры, включая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БВО и начальника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БВО, подлежат строжайшим дисциплинарным взысканиям.</w:t>
      </w:r>
    </w:p>
    <w:p w14:paraId="5C75201D" w14:textId="3DE87389"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Две аварии самолетов P</w:t>
      </w:r>
      <w:r w:rsidRPr="00E93F40">
        <w:rPr>
          <w:rFonts w:ascii="Times New Roman" w:hAnsi="Times New Roman"/>
          <w:color w:val="000000" w:themeColor="text1"/>
          <w:sz w:val="16"/>
          <w:szCs w:val="16"/>
        </w:rPr>
        <w:noBreakHyphen/>
        <w:t>1 в 26</w:t>
      </w:r>
      <w:r w:rsidRPr="00E93F40">
        <w:rPr>
          <w:rFonts w:ascii="Times New Roman" w:hAnsi="Times New Roman"/>
          <w:color w:val="000000" w:themeColor="text1"/>
          <w:sz w:val="16"/>
          <w:szCs w:val="16"/>
        </w:rPr>
        <w:noBreakHyphen/>
        <w:t>м отдельном авиаотряде 11</w:t>
      </w:r>
      <w:r w:rsidRPr="00E93F40">
        <w:rPr>
          <w:rFonts w:ascii="Times New Roman" w:hAnsi="Times New Roman"/>
          <w:color w:val="000000" w:themeColor="text1"/>
          <w:sz w:val="16"/>
          <w:szCs w:val="16"/>
        </w:rPr>
        <w:noBreakHyphen/>
        <w:t>й авиабригады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ПВО произошли при выполнении группового ночного полета, назначенного командиром отряда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Морозовым по собственному усмотрению и вопреки приказанию командования авиабригады.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Морозов допустил совершенно невозможный в Красной Армии проступок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преднамеренно скрыл свое решение выполнить ночной внеаэродромный полет целым отрядом от командира 11</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авиабригады и, не обращая внимания на явно неблагополучные метеорологические условия, повел отряд на необорудованных для ночного полета машинах. Подбор экипажей в этом полете носил явно преступный характер: на двух самолетах с молодыми и неопытными пилотами на места летнабов были взяты без ведома командира отряда заведующий складом и младший авиатехник. Начальник штаба отряда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Глухов, имея достаточные сведения о нахождении на пути маршрута отряда грозовой тучи, не сумел добиться своим докладом отмены ночного полета и со своей стороны не проверил состав экипажей. В результате прямого нарушения установленных требований и правил полетной службы и преступной неорганизованности, командир отряда, попав со своими летчиками в грозовую тучу, растерял свой отряд. Предоставленные самим себе экипажи, потеряв ориентировку, после долгого блуждания вынужденно садились в различных местах. При вынужденных посадках были разбиты две машины, и по счастливой случайности этот полет не закончился человеческими жертвами. Непосредственным виновником происшедших аварий является командир 28</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отряда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Морозов, нарушивший не только все установленные правила по выполнению ночных полетов и последовательной подготовке частей, но и сознательно скрывший от командования 11</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авиабригады свое решение выполнить внеаэродромный ночной полет. Вторым главным виновником является мл.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инженер 28</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отряда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Селявко, допустивший выпуск в ночной полет технически неподготовленных самолетов (без исправно действующего освещения). Оба указанные командира подлежат преданию суду и наказанию по всей строгости революционных законов. Ответственность за эту аварию несет также командование 11</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авиабригады (командир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Карклин, помполит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Руков), не организовавшие контроля и наблюдения за работой подчиненных им авиачастей, за что оба они подлежат строжайшему дисциплинарному взысканию.</w:t>
      </w:r>
    </w:p>
    <w:p w14:paraId="145DEDBA" w14:textId="1C48E7A6"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Катастрофа в 87</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эскадрильи 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авиабригады МВО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произошла во время ночного полета ТБ</w:t>
      </w:r>
      <w:r w:rsidRPr="00E93F40">
        <w:rPr>
          <w:rFonts w:ascii="Times New Roman" w:hAnsi="Times New Roman"/>
          <w:color w:val="000000" w:themeColor="text1"/>
          <w:sz w:val="16"/>
          <w:szCs w:val="16"/>
        </w:rPr>
        <w:noBreakHyphen/>
        <w:t>1 для выполнения комплексного задания. Командир корабля летчик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Бурмистров, не пристроившись к прочим самолетам эскадрильи продолжал полет по собственному усмотрению понизившись до высоты 200</w:t>
      </w:r>
      <w:r w:rsidRPr="00E93F40">
        <w:rPr>
          <w:rFonts w:ascii="Times New Roman" w:hAnsi="Times New Roman"/>
          <w:color w:val="000000" w:themeColor="text1"/>
          <w:sz w:val="16"/>
          <w:szCs w:val="16"/>
        </w:rPr>
        <w:noBreakHyphen/>
        <w:t>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 потерял скорость. Самолет перешел в падение на крыло, а затем в отвесное пикирование и врезался в землю.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 экипажа и самолет сгорели. Действительные причины катастрофы установить не удалось вследствие гибели всего экипажа. Но произведенное расследование выяснило, что погибший командир корабля летчик Бурмистров отличался явной недисциплинированностью и многократно нарушал уставные правила во время полета, что не находило должного отпора и воздействия со стороны старших начальников. По имеющимся на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Бурмистрова аттестациям он ни в коем случае не мог быть назначен командиром корабля.</w:t>
      </w:r>
    </w:p>
    <w:p w14:paraId="7275AF57" w14:textId="3C7FF36D"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Непосредственным виновником катастрофы, помимо погибшего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Бурмистрова, является командир 87</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эскадрильи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Журавлев, быв. его помполит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Кобякин и командир отряда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Абухов, которые знали о несоответствии Бурмистрова требованиям службы, в рядах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и не приняли мер по его исправлению или удалению из эскадрильи.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Абухов кроме того виновен в том, что он послал в воздух непроверенный экипаж и растерял свой отряд в воздухе. За это они подлежат преданию суду и наказанию по всей строгости революционных законов.</w:t>
      </w:r>
    </w:p>
    <w:p w14:paraId="27D49458" w14:textId="6ACB7D38"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Ответственность за эту катастрофу несет также командование 17</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авиабригады (командир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Маслов и помполит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Гусев), не изучившие подчиненный им летный состав тяжелых кораблей и допустившие ночные групповые полеты неподготовленных экипажей.</w:t>
      </w:r>
    </w:p>
    <w:p w14:paraId="214BB1A3" w14:textId="282E46BD"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обе последние аварии и катастрофу несет ответственность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МВО и начальник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МВО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Чернобровкич, не организовавшие твердого руководства подчиненными им воздушными силами.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Чернобровкин виновен еще в том, что он самовольно увеличил нормы летной работы.</w:t>
      </w:r>
    </w:p>
    <w:p w14:paraId="6FEA807F"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указанные командиры подлежат строжайшему дисциплинарному взысканию.</w:t>
      </w:r>
    </w:p>
    <w:p w14:paraId="12507084"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w:t>
      </w:r>
    </w:p>
    <w:p w14:paraId="32F92C7B" w14:textId="2772D45C"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Все перечисленное аварии и катастрофы, а также и другие, ранее имевшие место и не менее безобразные по обстановке и последствиями по тщательному изучению причин, свидетельствуют о недопустимом ослаблении воинской дисциплины в частях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о преступном нарушении всех приказов в том числе и РВС Союза о неудовлетворительности работы над воспитанием личного состава авиачастей, особенно со стороны РВС округов, об отсутствии планомерной к последовательной учебно-боевой подготовки, плохой организации и аэродромной службы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 Наряду с этим по-прежнему в Военно-Воздушных силах отмечается недостаток технических средств, обеспечивающих безопасность: отсутствует связь между самолетами (даже тяжелым) в воздухе и с землей, связь на самолете между командирами экипажа, отсутствие достаточного количества парашютов, отсутствие усовершенствованных приспособлений на самолетах, облегчающих пилотаж и управление самолетом на земле.</w:t>
      </w:r>
    </w:p>
    <w:p w14:paraId="1C2C2AD3" w14:textId="35AE4C39"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Руководство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в лице начальника ВВС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Алксниса и его заместителей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Наумова и Меженинова, еще не справилось со стоящими перед ними ответственными задачами, несмотря на имеющиеся указания РВС Союза.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Алкснис допустил прямую ошибку, издав совершенно неправильный приказ 046 об итогах зимней учебы, в котором неумеренно и неверно расхвалил и поставил в пример работу ВВС Белорусского военного округа, где и в зимний период и раньше имели место случаи прямого нарушения приказов РВС Союза и самого начальника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Этим самым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Алкснис не способствовал пресечению угрожающих явлений, а наоборот увеличил возможность повторения таковых и в других округах.</w:t>
      </w:r>
    </w:p>
    <w:p w14:paraId="6573A6B5" w14:textId="18CEE446"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все это руководство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Алкснис, Наумов и Кеженинов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подлежат строжайшему дисциплинарному взысканию.</w:t>
      </w:r>
    </w:p>
    <w:p w14:paraId="20CF6797"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Политорганы и парторганизации ВВС не обеспечили строжайшую воинскую дисциплину и беспощадную борьбу с аварийностью, не воспитали членов партии, комсомольцев и беспартийных в духе требований приказов и наставлений РВС Союза. Работа политорганов и парторганизаций в частях и соединениях ВВС была неудовлетворительной, за что ответственность несет прежде всего Политическое Управление РККА.</w:t>
      </w:r>
    </w:p>
    <w:p w14:paraId="4FC5CCAB" w14:textId="5286C661"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 целях искоренения всех безобразных явлений из частей ВВС РККА, приводящих к ослаблению воздушной обороны СССР, установления в них твердой воинской дисциплины и порядка, и на этой основе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предупреждения аварийности,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постановляет:</w:t>
      </w:r>
    </w:p>
    <w:p w14:paraId="72499A87" w14:textId="0CD6655E"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Указать РВС Союза, что он не сумел объединить и довести до конца вполне исчерпывающие свои указания по борьбе с аварийностью и тем самым не уничтожил в корне всех болезненных явлений, в первую очередь, недисциплинированность в частях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основной и главной причины аварийности и катастроф ВВСил.</w:t>
      </w:r>
    </w:p>
    <w:p w14:paraId="0CBA2827" w14:textId="26888DD9"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 систематическое неисполнение приказов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за нарушение элементарной воинской к летной дисциплины, за отсутствие во вверенных им частях надлежащей организации боевой подготовки, воспитания и руководства подчиненными,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за преступное бездействие и недопустимое отношение к исполнению служебных обязанностей, приведшее к крупным катастрофам и авариям в 4, 11 и 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авиабригадах,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отстранить от занимаемых должностей, предать суду Военного революционного трибунала:</w:t>
      </w:r>
    </w:p>
    <w:p w14:paraId="5CA3246D" w14:textId="76030B69"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62 авиаэскадрильи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ВЕРНИГОРОДА</w:t>
      </w:r>
    </w:p>
    <w:p w14:paraId="79B955A4" w14:textId="535449E8"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Военного комиссара той же эскадрильи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ГУРКИНА</w:t>
      </w:r>
    </w:p>
    <w:p w14:paraId="561771EF" w14:textId="73A3DBE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отдельного авиаотряда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ПЕТРОВА</w:t>
      </w:r>
    </w:p>
    <w:p w14:paraId="5C7AB351" w14:textId="35CBD426"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Военного комиссара того же отряда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КАРПЕНКО</w:t>
      </w:r>
    </w:p>
    <w:p w14:paraId="6A3E0DEE" w14:textId="09B74946"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Командира-комиссара 87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эскадрильи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ЖУРАВЛЕВА</w:t>
      </w:r>
    </w:p>
    <w:p w14:paraId="69A945B1" w14:textId="4C7DD778"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Бывшего помполита той же эскадрильи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КОБЯККНА</w:t>
      </w:r>
    </w:p>
    <w:p w14:paraId="1DE3762A" w14:textId="6ADEC851"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неотдельного отряда той же эскадрильи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АБУХОВА</w:t>
      </w:r>
    </w:p>
    <w:p w14:paraId="3A38DB16" w14:textId="3BD64782"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Командира 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отдельного авиаотряда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МОРОЗОВА</w:t>
      </w:r>
    </w:p>
    <w:p w14:paraId="3239ACD1" w14:textId="6668DCA0"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инженера того же отряда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СЕЛЯВКО</w:t>
      </w:r>
    </w:p>
    <w:p w14:paraId="69A78EE3" w14:textId="0ABAD360"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Объявить строгий выговор начальнику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Алкснису и его заместителям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Наумову и Меженинову за то, что они, имея исчерпывающие указания РВС Союза, при наличии угрожающего роста аварийности, не приняли всех зависящих от них мер по борьбе с аварийностью путем систематического и конкретного руководства боевой подготовкой ВВС, путем систематической воспитательной работы над личным составом, путем решительного пресечения малейших нарушений дисциплины, и вследствие этого не обеспечили точного выполнения приказов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Союза нижестоящими командными инстанциями, соединениями и частями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Алкснису этот строгий выговор объявить еще и за то, что он издал совершенно неправильный приказ 046 об итогах зимней учебы ВВС.</w:t>
      </w:r>
    </w:p>
    <w:p w14:paraId="5C2186CF" w14:textId="61BC7CD1"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БВО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Уборевичу 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Аронштаму), что они не пресекли в корне неправильной линии руководства воздушными силами со стороны начальнику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БВО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Кулакова и вместо того, чтобы провести в жизнь все требования приказов РВС Союза по планомерному и последовательному обучению авиачастей, способствовал вредному форсированию темпов боевой подготовки с молодым и неподготовленным личным составом, этим самым вселяя своим подчиненным командирам недопустимую мысль о возможности нарушения или искривления приказов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Союза.</w:t>
      </w:r>
    </w:p>
    <w:p w14:paraId="0D3DA611" w14:textId="1D578BF3"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МСБМ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Викторову, Галлеру и Гришину) отсутствие руководства боевой подготовкой и внимания к материально-бытовому положению частей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Балтморя, вопреки и в нарушение прямых указаний РВСС.</w:t>
      </w:r>
    </w:p>
    <w:p w14:paraId="11189F1D" w14:textId="7644E9BA"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на вид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МВО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Корку и Векличеву) отсутствие должного внимания к боевой подготовке подчиненных им воздушных сил, особенно к вновь сформированной тяжелой 17</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авиабригаде, и за допущение начальником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МВО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Чернобровкиным повышенной нормы работы авиачастей.</w:t>
      </w:r>
    </w:p>
    <w:p w14:paraId="789CD334" w14:textId="2AC839AE"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Отстранить от занимаемой должности начальника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БВО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Кушакова со снижением в должности за сознательное нарушение основных требований приказов РВС Союза и личную недисциплинированность. Предупредить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Кулакова, что за повторение случаев недисциплинированности он будет исключен из рядов ВКП(б).</w:t>
      </w:r>
    </w:p>
    <w:p w14:paraId="335F7085" w14:textId="2CE1BE78"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Объявить строгий выговор с предупреждением начальнику ВВС МВО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Чернобровкину за самовольное повышение нормы летной работы, невнимательность к подбору летного состава и отсутствие живого конкретного руководства боевой подготовкой подчиненных ему авиачастей.</w:t>
      </w:r>
    </w:p>
    <w:p w14:paraId="6F6C7741"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РВС Союза по отношению к остальным командирам авиачастей, виновным в последних авариях и катастрофах, наложить строжайшие дисциплинарные взыскания.</w:t>
      </w:r>
    </w:p>
    <w:p w14:paraId="2F27E9C2" w14:textId="2F50DB92"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Главнейшей задачей РВС Союза, РВС округов и командования ВВС всех степеней является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немедленно и раз навсегда искоренить имеющиеся безобразия в авиачастях и положить начало установлению в них строжайшей воинской дисциплины, твердого распорядка внутренней службы и точного соблюдения установленных в Красной армии уставных требований. Без строжайшей воинской дисциплины невозможно ни существование, ни успешная боевая работа такого сложнейшего рода войск, каким является воздушный флот.</w:t>
      </w:r>
    </w:p>
    <w:p w14:paraId="293F75BE" w14:textId="249CF68B"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Союза немедленно отстранять от должности, изгонять из рядов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и предавать суду Реввоентрибунала командиров ВВС всех степеней, которые будут допускать во вверенных им частях разболтанность, расхлябанность, внешнюю неопрятность, панибратство, ложный демократизм и падение воинской дисциплины.</w:t>
      </w:r>
    </w:p>
    <w:p w14:paraId="0294D1B2" w14:textId="207B1720"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перерабатываемый Реввоенсоветом дисциплинарный, устав внести повышение мер взыскания за недисциплинированность в частях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w:t>
      </w:r>
    </w:p>
    <w:p w14:paraId="223D3AB6" w14:textId="308AB441"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Предложить Реввоенсовету Союза немедленно реорганизовать Управление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в целях усиления оперативно-учебного руководства боевыми частями, крупными соединениями ВВС, ВУЗами, тыловыми органами и капитальным строительством. В этих же целях соответственно увеличить штат Инспекции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и ввести при начальнике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штат порученцев для непосредственных и повседневных сношений с подчиненными ему частями и для усиления живого инструктирования и проверки выполнения учебной и боевой подготовки в частях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w:t>
      </w:r>
    </w:p>
    <w:p w14:paraId="22020F92" w14:textId="10A20270"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решительного улучшения руководства военно-воздушными силами в округах, ввести в ЛВО, БВО, МВО, УВО, СКВО, ПРИВО, ОКДВА и морях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Балтийском и Черном,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специально должность помощников командующими войсками по ВВС.</w:t>
      </w:r>
    </w:p>
    <w:p w14:paraId="441C080A" w14:textId="70C7D080"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в каждой авиабригаде должность специального инспектора, подчиненного непосредственно Инспектору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с функциями всестороннего наблюдения и контроля за установлением строжайшей воинской дисциплины, за руководством боевой подготовкой частей бригады, за воспитанием личного состава и соблюдения установленного внутреннего распорядка. Предоставить инспектору бригады право непосредственного сношения с РВС округов и с инспектором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а в случае надобности и с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Союза.</w:t>
      </w:r>
    </w:p>
    <w:p w14:paraId="026D43B9" w14:textId="7B8C8ED3"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целью усиления политического руководства ввести в ПУОКР'ах специальные сектора по работе в авиации, а в эскадрильях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штатную должность ответственных секретарей.</w:t>
      </w:r>
    </w:p>
    <w:p w14:paraId="34CBCCC0" w14:textId="260130C2"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Потребовать от парторганизации и политорганов ВВС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жесточайшей борьбы за дисциплину и коренного улучшения воспитательной работы среди летнего и технического состава</w:t>
      </w:r>
    </w:p>
    <w:p w14:paraId="097AB29B"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Предупредить, что бездеятельность парторганизации и политорганосв ВВС в деле укрепления дисциплины и борьбы с аварийностью поставит каждого ответственного партполитработника этих организаций вне рядов партии.</w:t>
      </w:r>
    </w:p>
    <w:p w14:paraId="4322880D" w14:textId="24F5B59B"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Потребовать от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ВЛКСМ решительного усиления воспитательной работы среди комсомольцев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особенно по внедрению железной дисциплины среди комсомольцев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w:t>
      </w:r>
    </w:p>
    <w:p w14:paraId="1ECA26DA" w14:textId="4395FF52"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Предложить Реввоенсовету Союза отменить приказ начальника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046 об итогах зимней учебы.</w:t>
      </w:r>
    </w:p>
    <w:p w14:paraId="4C4141A7" w14:textId="0AF5E971"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Реввоенсовету Союза к 1.VII пересмотреть все свои указания на летний период и приказы Начальника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и начальников ВВС округов, армий и морей к внести в них все необходимые коррективы для обеспечения последовательности и постепенности в боевой подготовке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без снижения поставленных РBC</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Союза задач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путем лучшей планомерности и организованности занятий.</w:t>
      </w:r>
    </w:p>
    <w:p w14:paraId="7E806FF1"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Предложить РВС Союза в 2</w:t>
      </w:r>
      <w:r w:rsidRPr="00E93F40">
        <w:rPr>
          <w:rFonts w:ascii="Times New Roman" w:hAnsi="Times New Roman"/>
          <w:color w:val="000000" w:themeColor="text1"/>
          <w:sz w:val="16"/>
          <w:szCs w:val="16"/>
        </w:rPr>
        <w:noBreakHyphen/>
        <w:t>декадный срок пересмотреть состав командиров авиаэскадрилий и отдельных авиаотрядов, для замены несоответствующих и отбора достойных кандидатов на эти должности. Одновременно отобрать необходимое количество общевойсковых командиров для переподготовки их на должности командиров отдельных частей ВВС. В тот же срок пересмотреть состав командиров тяжелых кораблей.</w:t>
      </w:r>
    </w:p>
    <w:p w14:paraId="20536D4F"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Впредь в аттестационных выводах летного состава отмечать пригодность аттестуемых командиров к службе в том или ином роде авиации, выдвигая наиболее выдающихся, дисциплинированных и подготовленных командиров к службе в частях тяжелой авиации.</w:t>
      </w:r>
    </w:p>
    <w:p w14:paraId="3B9533CF"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на будущее время, под строжайшей ответственностью командиров всей степеней, чтобы при назначении на ту или другую должность обязательно учитывалась предыдущая аттестация назначаемого. В случае назначения по несоответствию с аттестацией должен нести строжайшую ответственность тот командир, который допустил это назначение.</w:t>
      </w:r>
    </w:p>
    <w:p w14:paraId="65F16A4F" w14:textId="745DE2FC"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В виду того, что согласно решения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16.VI.1932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(постановление ЦК ВКП(б) об упорядочении практики назначения и аттестования комсостава) летние школы должны комплектоваться исключительно коммунистами или абсолютно проверенными беспартийными рабочими, предложить секретарям всех обл.(край) и нац. парткомитетов при отборе в летные школы, лично руководить этим важнейшим делом и посылать в летные школы только таких коммунистов, которые отвечают повышенным требованиям в отношении физической и моральной устойчивости и личной дисциплинированности.</w:t>
      </w:r>
    </w:p>
    <w:p w14:paraId="798837EE"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РВС Союза строго следить за правильным отбором в Военно-воздушные школы физически пригодного контингента, для чего улучшить работу специальных медицинских комиссий по психофизическому осмотру поступающих в школы кандидатов.</w:t>
      </w:r>
    </w:p>
    <w:p w14:paraId="79D6A07D" w14:textId="041F148E"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11) Предложить НКЛегпрому под личную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Любимова, развернуть производство парашютов на имеющейся фабрике, чтобы обеспечить парашютами летный состав всей истребительной и тяжелой бомбардировочной авиации не позднее 15</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с.г. (ПЛ1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ПН2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и весь прочий летный состав не позднее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сентября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с.г. (ПЛ1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1521, ПН2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1575).</w:t>
      </w:r>
    </w:p>
    <w:p w14:paraId="39D7E581"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Предложить Реввоенсовету и НКТяжпрому форсировать изготовление радиостанций по связи самолетов в воздухе между собой и с землей.</w:t>
      </w:r>
    </w:p>
    <w:p w14:paraId="2A8C56B6" w14:textId="1A362D1C"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что с 1.I</w:t>
      </w:r>
      <w:r w:rsidRPr="00E93F40">
        <w:rPr>
          <w:rFonts w:ascii="Times New Roman" w:hAnsi="Times New Roman"/>
          <w:color w:val="000000" w:themeColor="text1"/>
          <w:sz w:val="16"/>
          <w:szCs w:val="16"/>
        </w:rPr>
        <w:noBreakHyphen/>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ни один тяжелый самолет не может пойти в полет без наличия на борту исправно действующей рации.</w:t>
      </w:r>
    </w:p>
    <w:p w14:paraId="64E75D94"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каждого тяжелого самолета считать необходимым в самый кратчайший срок разработку и установку внутренней связи, безотказно действующей в любых условиях.</w:t>
      </w:r>
    </w:p>
    <w:p w14:paraId="1AFDF253"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Конкретные мероприятия по этому пункту, в том числе и о стабилизаторах, разрезных крыльях, тормозных колесах и проч. заслушать на ближайшем заседании К.О.</w:t>
      </w:r>
    </w:p>
    <w:p w14:paraId="1B4621C9" w14:textId="1BA9D9B8"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Предложить Реввоенсовету провести немедленно все остальные мероприятия для улучшения внутреннего порядка и боевой подготовки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w:t>
      </w:r>
    </w:p>
    <w:p w14:paraId="6C8AE85E" w14:textId="13D604EC"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Запретить всем организациям СССР, связанным с авиацией, принимать на службу летчиков, техников и инженеров, уволенных из ВВС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по порочащим их обстоятельствам (недисциплинированность, воздушное хулиганство, политико-моральное разложение или неустойчивость, пьянство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СНК СССР издать по этому поводу закон и определить порядок его неуклонного применения.</w:t>
      </w:r>
    </w:p>
    <w:p w14:paraId="280161E0" w14:textId="16E0FCA8"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Секретарь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Сталин.</w:t>
      </w:r>
    </w:p>
    <w:p w14:paraId="58148E70" w14:textId="23C5DB54"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СНК СССР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Молотов (Скрябин).</w:t>
      </w:r>
    </w:p>
    <w:p w14:paraId="27A94424" w14:textId="77777777" w:rsidR="00537D34" w:rsidRPr="00E93F40" w:rsidRDefault="00537D34" w:rsidP="00E93F40">
      <w:pPr>
        <w:spacing w:after="0" w:line="240" w:lineRule="auto"/>
        <w:jc w:val="both"/>
        <w:rPr>
          <w:rFonts w:ascii="Times New Roman" w:hAnsi="Times New Roman"/>
          <w:color w:val="000000" w:themeColor="text1"/>
          <w:sz w:val="16"/>
          <w:szCs w:val="16"/>
        </w:rPr>
      </w:pPr>
    </w:p>
    <w:p w14:paraId="23A7F0A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CC8B6E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1E5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10-11 июля 1932 в Берлине в Германии прошел антифашистский конгресс единого фронта (3186).</w:t>
      </w:r>
    </w:p>
    <w:p w14:paraId="16FC2C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37D05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F40FF4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8D7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июля 1932 в ЦАГИ состоялось совещание по вопросу планирования окончания работ по выпуску опытного ТБ-4 (1077,174).</w:t>
      </w:r>
    </w:p>
    <w:p w14:paraId="6DF83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D727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июля 1932 года начальником Осконпробюро ВВС Гроховским был подан рапорт на имя Меженинова, что у него готовы для госиспытаний следующие объекты:</w:t>
      </w:r>
    </w:p>
    <w:p w14:paraId="0A074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ТСП-1 – малая</w:t>
      </w:r>
    </w:p>
    <w:p w14:paraId="53B3F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ТСП-2 – металлическая</w:t>
      </w:r>
    </w:p>
    <w:p w14:paraId="3AF26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ТСП-3 – большая с парашютом</w:t>
      </w:r>
    </w:p>
    <w:p w14:paraId="7FB4E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ударная</w:t>
      </w:r>
    </w:p>
    <w:p w14:paraId="5A0240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ударно-дистанционная</w:t>
      </w:r>
    </w:p>
    <w:p w14:paraId="237558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Кассета для сбрасывания литературы</w:t>
      </w:r>
    </w:p>
    <w:p w14:paraId="67CB0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Вертикальная агитмина</w:t>
      </w:r>
    </w:p>
    <w:p w14:paraId="71D4D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Агитпарашют</w:t>
      </w:r>
    </w:p>
    <w:p w14:paraId="0D391B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Радиотанк</w:t>
      </w:r>
    </w:p>
    <w:p w14:paraId="62E868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Межениновым было приказано закончить испытания этих объектов к 25 июля 1932 года. Однако, часть этих объектов фактически на испытание была представлена лишь 22 июля, а именно:</w:t>
      </w:r>
    </w:p>
    <w:p w14:paraId="08F96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ТСП-2</w:t>
      </w:r>
    </w:p>
    <w:p w14:paraId="62EF2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ТСП-3</w:t>
      </w:r>
    </w:p>
    <w:p w14:paraId="0BF5A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ударно-дистанционная</w:t>
      </w:r>
    </w:p>
    <w:p w14:paraId="695D0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эти бомбы (за исключением одной ударно-дистанционной) при первом же испытании не работали.</w:t>
      </w:r>
    </w:p>
    <w:p w14:paraId="3095B5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25 июля 1932 года были даны на испытания опять:</w:t>
      </w:r>
    </w:p>
    <w:p w14:paraId="7A6E58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ТСП-3</w:t>
      </w:r>
    </w:p>
    <w:p w14:paraId="76503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ударная</w:t>
      </w:r>
    </w:p>
    <w:p w14:paraId="7E989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ударно-дистанционная</w:t>
      </w:r>
    </w:p>
    <w:p w14:paraId="3EFCF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Две последние бомбы испытания выдержали, было составлено заключение, но продвижение в серию было задержано из-за непредставления Гроховским чертежей, фотографий и техусловий.</w:t>
      </w:r>
    </w:p>
    <w:p w14:paraId="093E4D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ТСП-3 до настоящего времени все еще после каждого испытания переделывается и в окончательном готовом к госиспытаниям виде не предъявлена до сего времени (7470, 335).</w:t>
      </w:r>
    </w:p>
    <w:p w14:paraId="362607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028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июля 1932 года Гроховским был подан рапорт Меженинову о готовности ряда объектов ТСП к госиспытаниям. Согласно резолюции Меженинова испытания должны были быть проведены до 25 июля 1932 года (7470, 331-334).</w:t>
      </w:r>
    </w:p>
    <w:p w14:paraId="3954B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5CEBD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1CF90F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30A5ED"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июля 1932 года Т-28 осматривали представители Управления механизации и моторизации РККА во главе с И. Халепским, а 28 июля машину продемонстрировали руководству партийной организации Ленинграда во главе с первым секретарем горкома, членом политбюро ЦК ВКП(б) С. Кировым.</w:t>
      </w:r>
    </w:p>
    <w:p w14:paraId="475A512F"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целом, новый танк произвел на вышестоящие инстанции благоприятное впечатление.</w:t>
      </w:r>
    </w:p>
    <w:p w14:paraId="6EE95AFA"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Правда, военные потребовали установить на втором опытном образце дизельный двигатель ПГЕ, разрабатываемый в опытно-конструкторском механическом отделе (ОКМО) завода им. Ворошилова, и новую башню с 76-мм орудием ПС-3 конструкции П. Сячентова (24998).</w:t>
      </w:r>
    </w:p>
    <w:p w14:paraId="09542009" w14:textId="77777777" w:rsidR="003F4A45" w:rsidRPr="00142305" w:rsidRDefault="003F4A45" w:rsidP="003F4A45">
      <w:pPr>
        <w:spacing w:after="0" w:line="240" w:lineRule="auto"/>
        <w:jc w:val="both"/>
        <w:rPr>
          <w:rFonts w:ascii="Times New Roman" w:hAnsi="Times New Roman"/>
          <w:color w:val="0070C0"/>
          <w:sz w:val="16"/>
          <w:szCs w:val="16"/>
        </w:rPr>
      </w:pPr>
    </w:p>
    <w:p w14:paraId="52F9E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июня 1932 Постановлением народного комиссариата тяжелойпромышленности № 422 утверждено строительство уральской электромашиностроительной группы заводов Уралэлектротяжмашина. Строительство возглавил А.П. Альпов - он же руководитель проекта, - организатор и опытный инженер. Сразу же развернулись подготовительные работы - вырубка леса, постройка подсобных помещений и бараков для рабочих (11254). </w:t>
      </w:r>
    </w:p>
    <w:p w14:paraId="584BA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608A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июня 1931 г. было принято постановление народного комиссариата тяжелой промышленности №422 о строительстве уральской электромашиностроительной группы заводов Уралэлектромашина. Было решено немедленно приступить к строительству в г. Свердловске уральской группы заводов в составе:</w:t>
      </w:r>
    </w:p>
    <w:p w14:paraId="5AB04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1-Турбогенераторного;</w:t>
      </w:r>
    </w:p>
    <w:p w14:paraId="374B3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2-завода гидрогенераторов и крупных машин; </w:t>
      </w:r>
    </w:p>
    <w:p w14:paraId="5C4768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3-аппаратного;</w:t>
      </w:r>
    </w:p>
    <w:p w14:paraId="3A805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4-трансформаторного.</w:t>
      </w:r>
    </w:p>
    <w:p w14:paraId="68CB5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Строительство Уралэлектромашины возглавил А. П. Альпов, - он же руководитель проекта, - талантливый организатор и инженер, имевший большой опыт (11255). </w:t>
      </w:r>
    </w:p>
    <w:p w14:paraId="5C552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1933 г. был заложен фундамент первого завода - аппаратного. В это же время создана школа ФЗУ, готовившая кадры для аппаратного производства.</w:t>
      </w:r>
    </w:p>
    <w:p w14:paraId="48E8B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июля 1934г. пущено опытное производство. Дальнейшее строительство шло параллельно с освоением продукции. Первым директором назначили А. М. Дубнера.</w:t>
      </w:r>
    </w:p>
    <w:p w14:paraId="21CE80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Поначалу конструкторы набирались опыта, заимствовали технические решения, в основном у более старых советских предприятий, у ведущих иностранных фирм. Но быстро стала создаваться и своя собственная школа конструирования. Уже в 1935 г. А. М. Мелькумов и В. А. Юдицкий создали первый оригинальный малообъемный масляный выключатель серии ВМТ (11255).</w:t>
      </w:r>
    </w:p>
    <w:p w14:paraId="0A364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1B5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июля 1932 г. приказом Наркомата лесной промышленности СССР был создан Центральный научно-исследовательский институт механизации и энергетики лесной промышленности (ЦНИИМЭ). Приказом Министерства лесной промышленности СССР от 27 июня 1964 г. он был преобразован в Центральный научно-исследовательский и проектно-конструкторский институт механизации и энергетики лесной промышленности (ЦНИИМЭ) путем объединения с Государственным институтом по проектированию новых машин для лесозаготовок и сплава (Гипролесмаш; создан 30 декабря 1953 г.). 20 мая 1982 г. награжден орденом Трудового Красного Знамени. В 1992 г. преобразован в Акционерное общество открытого типа "Центральный научно-исследовательский и проектный институт механизации и энергетики лесной промышленности (ЦНИИМЭ лесной промышленности" (АООТ "ЦНИИМЭ") (12100).</w:t>
      </w:r>
    </w:p>
    <w:p w14:paraId="1443AB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1D10D2" w14:textId="77777777" w:rsidR="00625E0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D1AF207" w14:textId="77777777" w:rsidR="00625E0E" w:rsidRPr="00E93F40" w:rsidRDefault="00625E0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C3B0B0"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11 июля в 1932 году английский транспортный самолет </w:t>
      </w:r>
      <w:hyperlink r:id="rId178" w:tgtFrame="_blank" w:history="1">
        <w:r w:rsidRPr="00E93F40">
          <w:rPr>
            <w:rFonts w:ascii="Times New Roman" w:hAnsi="Times New Roman"/>
            <w:color w:val="000000" w:themeColor="text1"/>
            <w:sz w:val="16"/>
            <w:szCs w:val="16"/>
          </w:rPr>
          <w:t xml:space="preserve">«A.W.15» </w:t>
        </w:r>
      </w:hyperlink>
      <w:r w:rsidRPr="00E93F40">
        <w:rPr>
          <w:rFonts w:ascii="Times New Roman" w:hAnsi="Times New Roman"/>
          <w:color w:val="000000" w:themeColor="text1"/>
          <w:sz w:val="16"/>
          <w:szCs w:val="16"/>
        </w:rPr>
        <w:t>(«G-ABPI») получил сертификат типа. В соответствии с техническим заданием «A.W.15» рассчитывался на перевозку 3000 фунтов (1361 кг) полезной нагрузки с крейсерской скоростью 185 км/ч. Также указывалось, что самолёт должен держать расчетную высоту полета в 9000 футов (2745 метров) при одном выключенном двигателе, а его дальность варьировалась в пределах 400-600 миль (644-966 км) в зависимости от обстоятельств. Максимальное количество пассажиров, которых самолёт мог принять на борт, не превышало 9 человек, так как основной упор делался именно на доставку почты и небольших грузов. Позднее, правда, «A.W.15» модернизировали, доведя общее количество пассажирских мест до 17 (14949).</w:t>
      </w:r>
    </w:p>
    <w:p w14:paraId="375E3EF9" w14:textId="77777777" w:rsidR="00625E0E" w:rsidRPr="00E93F40" w:rsidRDefault="00625E0E" w:rsidP="00E93F40">
      <w:pPr>
        <w:spacing w:after="0" w:line="240" w:lineRule="auto"/>
        <w:jc w:val="both"/>
        <w:rPr>
          <w:rFonts w:ascii="Times New Roman" w:hAnsi="Times New Roman"/>
          <w:color w:val="000000" w:themeColor="text1"/>
          <w:sz w:val="16"/>
          <w:szCs w:val="16"/>
        </w:rPr>
      </w:pPr>
    </w:p>
    <w:p w14:paraId="35A2A85B" w14:textId="77777777" w:rsidR="00537D34" w:rsidRPr="00E93F40" w:rsidRDefault="00537D34"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C2172FE" w14:textId="77777777" w:rsidR="00537D34" w:rsidRPr="00E93F40" w:rsidRDefault="00537D3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453C22"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июля 1932. Газета "Вечерняя Москва" сообщала: "На улицах Москвы в большом числе появились автокачки. Что это такое" От автомобиля она получила резиновый ход, от телеги - живую лошадиную силу. Лошадь, запряженная в автокачку, может перевозить вдвое больше груза, чем обычно (до трех тонн)" (18723).</w:t>
      </w:r>
    </w:p>
    <w:p w14:paraId="7D20D796" w14:textId="77777777" w:rsidR="00537D34" w:rsidRPr="00E93F40" w:rsidRDefault="00537D34" w:rsidP="00E93F40">
      <w:pPr>
        <w:spacing w:after="0" w:line="240" w:lineRule="auto"/>
        <w:jc w:val="both"/>
        <w:rPr>
          <w:rFonts w:ascii="Times New Roman" w:hAnsi="Times New Roman"/>
          <w:color w:val="000000" w:themeColor="text1"/>
          <w:sz w:val="16"/>
          <w:szCs w:val="16"/>
        </w:rPr>
      </w:pPr>
    </w:p>
    <w:p w14:paraId="6FFBA3A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3C1475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8DB4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июля 1932 вышел приказ ГУАП N 20/366 которым для достижения более высоких темпов внедрения новых самолетов в серийное производство и для обеспечения ЦАГИ большей возможности по проработки новых типов опытных самолетов Приказано:</w:t>
      </w:r>
    </w:p>
    <w:p w14:paraId="207BC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Возложить на ЦАГИ -</w:t>
      </w:r>
    </w:p>
    <w:p w14:paraId="47A357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разработку новых типов самолетов, оборудования и вооружения их по утвержденному плану;</w:t>
      </w:r>
    </w:p>
    <w:p w14:paraId="606A0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испытания, полное согласование и утверждение новых типов самолетов, доводку их до полной готовности к серийному производству;</w:t>
      </w:r>
    </w:p>
    <w:p w14:paraId="5E99F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постоянное наблюдение за качествами самолетов ЦАГИ в эксплуатацию, их дальнейшую модификацией и стандартизацией;</w:t>
      </w:r>
    </w:p>
    <w:p w14:paraId="54A409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разработку переделок серийных машин, связанных с изменением основных элементов конструкции;</w:t>
      </w:r>
    </w:p>
    <w:p w14:paraId="34177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испытания и полное согласование эталонов серийных самолетов на каждый новый операционный период (1026,156).</w:t>
      </w:r>
    </w:p>
    <w:p w14:paraId="041D3F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Возложить на самолетный трест и серийные заводы -</w:t>
      </w:r>
    </w:p>
    <w:p w14:paraId="71230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подготовку производства и внедрение в серию новых образцов по утвержденным эталонам самолетов конструкции ЦАГИ и под его техническим наблюдением;</w:t>
      </w:r>
    </w:p>
    <w:p w14:paraId="67674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разработку конструктивных изменений, удешевляющих серийное производство...;</w:t>
      </w:r>
    </w:p>
    <w:p w14:paraId="000B2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разработку и выполнение переделок машин, в случаях когда это не связано с изменением основных элементов конструкции;</w:t>
      </w:r>
    </w:p>
    <w:p w14:paraId="47C18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выполнение по согласованию с ЦАГИ переделок в том случае когда это связано с изменением основных элементов конструкции (1026,157).</w:t>
      </w:r>
    </w:p>
    <w:p w14:paraId="66F24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ЦАГИ</w:t>
      </w:r>
    </w:p>
    <w:p w14:paraId="774828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Отдел внедрения ЦАГИ расформировать;...</w:t>
      </w:r>
    </w:p>
    <w:p w14:paraId="263A1D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Представлять Самолетному тресту (серийному заводу):</w:t>
      </w:r>
    </w:p>
    <w:p w14:paraId="1E78E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конструктивные чертежи новых типов самолетов;</w:t>
      </w:r>
    </w:p>
    <w:p w14:paraId="1F80C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утвержденный эталон;</w:t>
      </w:r>
    </w:p>
    <w:p w14:paraId="29C69D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утвержденный эталон серийной машины на каждый новый операционный период;</w:t>
      </w:r>
    </w:p>
    <w:p w14:paraId="43A4E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конструктивные чертежи переделок и изменений (1026,157).</w:t>
      </w:r>
    </w:p>
    <w:p w14:paraId="2748D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Самолетному тресту</w:t>
      </w:r>
    </w:p>
    <w:p w14:paraId="3195E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создать на заводах 1, 16, 21, 22, 31 базы подготовки производства;</w:t>
      </w:r>
    </w:p>
    <w:p w14:paraId="5F2602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Pr="00E93F40">
        <w:rPr>
          <w:rFonts w:ascii="Times New Roman" w:hAnsi="Times New Roman"/>
          <w:color w:val="000000" w:themeColor="text1"/>
          <w:sz w:val="16"/>
          <w:szCs w:val="16"/>
        </w:rPr>
        <w:tab/>
        <w:t>завод 1 - для подготовки производства разведчиков деревянной и смешанной конструкции;</w:t>
      </w:r>
    </w:p>
    <w:p w14:paraId="50437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b/>
        <w:t>завод 16 - для специальных машин;</w:t>
      </w:r>
    </w:p>
    <w:p w14:paraId="47F9E5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b/>
        <w:t>завод 21 - для истребителей деревянной и смешанной конструкции;</w:t>
      </w:r>
    </w:p>
    <w:p w14:paraId="58F74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b/>
        <w:t>завод 22 - для металлических сухопутных машин;</w:t>
      </w:r>
    </w:p>
    <w:p w14:paraId="207B8B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b/>
        <w:t>завод 31 - для морских машин (1026,158).</w:t>
      </w:r>
    </w:p>
    <w:p w14:paraId="3EB585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DCF7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июля 1932 года вышел ПРИКАЗ по Главному Управлению Авиационной промышленности</w:t>
      </w:r>
    </w:p>
    <w:p w14:paraId="3C0DEF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w:t>
      </w:r>
    </w:p>
    <w:p w14:paraId="7DA0BA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достижения более высоких темпов внедрения но</w:t>
      </w:r>
      <w:r w:rsidRPr="00E93F40">
        <w:rPr>
          <w:rFonts w:ascii="Times New Roman" w:hAnsi="Times New Roman"/>
          <w:color w:val="000000" w:themeColor="text1"/>
          <w:sz w:val="16"/>
          <w:szCs w:val="16"/>
        </w:rPr>
        <w:softHyphen/>
        <w:t>вых типов самолетов всерийное производство с одной стороны, для обеспечения ЦАГИ большей возможности по про</w:t>
      </w:r>
      <w:r w:rsidRPr="00E93F40">
        <w:rPr>
          <w:rFonts w:ascii="Times New Roman" w:hAnsi="Times New Roman"/>
          <w:color w:val="000000" w:themeColor="text1"/>
          <w:sz w:val="16"/>
          <w:szCs w:val="16"/>
        </w:rPr>
        <w:softHyphen/>
        <w:t>работке новых гипов опнтннх саыолетов, предметов их обо</w:t>
      </w:r>
      <w:r w:rsidRPr="00E93F40">
        <w:rPr>
          <w:rFonts w:ascii="Times New Roman" w:hAnsi="Times New Roman"/>
          <w:color w:val="000000" w:themeColor="text1"/>
          <w:sz w:val="16"/>
          <w:szCs w:val="16"/>
        </w:rPr>
        <w:softHyphen/>
        <w:t>рудования и вооружения с другой - ПРИКАЗЫВАЮ:</w:t>
      </w:r>
    </w:p>
    <w:p w14:paraId="1A132C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Возложить на ЦАГИ -</w:t>
      </w:r>
    </w:p>
    <w:p w14:paraId="6C93E1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разработку новых типов самолетов, оборудования и вооружения их по утвержденному плану.</w:t>
      </w:r>
    </w:p>
    <w:p w14:paraId="004907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Испытание, полное согласование и утверждение новых типов самолетов, доводка их до полной пригодности к серийному производству.</w:t>
      </w:r>
    </w:p>
    <w:p w14:paraId="0CABD7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постоянное наблюдение за качествами самолетов ЦАГИ в эксплоатации, их дальнейшей модификацией и стан</w:t>
      </w:r>
      <w:r w:rsidRPr="00E93F40">
        <w:rPr>
          <w:rFonts w:ascii="Times New Roman" w:hAnsi="Times New Roman"/>
          <w:color w:val="000000" w:themeColor="text1"/>
          <w:sz w:val="16"/>
          <w:szCs w:val="16"/>
        </w:rPr>
        <w:softHyphen/>
        <w:t>дартизацией, их деталей в процессе дальнейшей серийной постройки.</w:t>
      </w:r>
    </w:p>
    <w:p w14:paraId="378826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Разработку переделов машин, связанных с изменением основных элементов конструкций.</w:t>
      </w:r>
    </w:p>
    <w:p w14:paraId="7D4CE2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Испытание и полное согласование эталонов серийных самолетов на каждый новый операционный период их се рийной постройки проводится в том случае, если в этало</w:t>
      </w:r>
      <w:r w:rsidRPr="00E93F40">
        <w:rPr>
          <w:rFonts w:ascii="Times New Roman" w:hAnsi="Times New Roman"/>
          <w:color w:val="000000" w:themeColor="text1"/>
          <w:sz w:val="16"/>
          <w:szCs w:val="16"/>
        </w:rPr>
        <w:softHyphen/>
        <w:t>ны были внесены конструктивные изменения, разработанные ЦАГИ.</w:t>
      </w:r>
    </w:p>
    <w:p w14:paraId="09A61C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Возложить на самолетный Трест и серийные заводы:</w:t>
      </w:r>
    </w:p>
    <w:p w14:paraId="449F69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Подготовку производства и внедрение в серию новых образцов самолетов по утвержденным эталонам само</w:t>
      </w:r>
      <w:r w:rsidRPr="00E93F40">
        <w:rPr>
          <w:rFonts w:ascii="Times New Roman" w:hAnsi="Times New Roman"/>
          <w:color w:val="000000" w:themeColor="text1"/>
          <w:sz w:val="16"/>
          <w:szCs w:val="16"/>
        </w:rPr>
        <w:softHyphen/>
        <w:t>летов конструкции ЦАГИ и под его техническим наблюдени</w:t>
      </w:r>
      <w:r w:rsidRPr="00E93F40">
        <w:rPr>
          <w:rFonts w:ascii="Times New Roman" w:hAnsi="Times New Roman"/>
          <w:color w:val="000000" w:themeColor="text1"/>
          <w:sz w:val="16"/>
          <w:szCs w:val="16"/>
        </w:rPr>
        <w:softHyphen/>
        <w:t>ем.</w:t>
      </w:r>
    </w:p>
    <w:p w14:paraId="32911E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разработку конструктивных изменений облегчающих, удешевляющих серийное производство деталей и самолетов в целом и ведущих к искоренению возможности "производственных дефектов".</w:t>
      </w:r>
    </w:p>
    <w:p w14:paraId="043918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разработку и выполнение переделок машин в случа</w:t>
      </w:r>
      <w:r w:rsidRPr="00E93F40">
        <w:rPr>
          <w:rFonts w:ascii="Times New Roman" w:hAnsi="Times New Roman"/>
          <w:color w:val="000000" w:themeColor="text1"/>
          <w:sz w:val="16"/>
          <w:szCs w:val="16"/>
        </w:rPr>
        <w:softHyphen/>
        <w:t>ях, когда это не связано с изменением основных элементов конструкций /удобство эксплоатации/.</w:t>
      </w:r>
    </w:p>
    <w:p w14:paraId="1D7593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выполнение по согласованию с ЦАГИ переделок в том случае, если переделки связаны с изменением основных элементов конструкции.</w:t>
      </w:r>
    </w:p>
    <w:p w14:paraId="42A47A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 А Г И.</w:t>
      </w:r>
    </w:p>
    <w:p w14:paraId="3AE983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Отдел Внедрения в серию при ЦАГИ расформировать.</w:t>
      </w:r>
    </w:p>
    <w:p w14:paraId="2B5E31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Весь штатный состав и инвентарь Отдела Внедрения передать Самолетному Тресту.</w:t>
      </w:r>
    </w:p>
    <w:p w14:paraId="57AB6A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Организовать сбор и систематизацию материалов по конструктивным недостаткам самолетов ЦАГИ, обнаруженным в аксплоатации и производстве с целью использования Дан-| ного материала, как заводом, так и ЦАГИ при выполнении эталонов серийных машин на аовые операционные периоды и при создааииновых опытных типов самолетов.</w:t>
      </w:r>
    </w:p>
    <w:p w14:paraId="6611AB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Представлять Самолетному Тресту /серийному за</w:t>
      </w:r>
      <w:r w:rsidRPr="00E93F40">
        <w:rPr>
          <w:rFonts w:ascii="Times New Roman" w:hAnsi="Times New Roman"/>
          <w:color w:val="000000" w:themeColor="text1"/>
          <w:sz w:val="16"/>
          <w:szCs w:val="16"/>
        </w:rPr>
        <w:softHyphen/>
        <w:t>воду/:</w:t>
      </w:r>
    </w:p>
    <w:p w14:paraId="4EEA61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конструктивные чертежи новых типов самолетов.</w:t>
      </w:r>
    </w:p>
    <w:p w14:paraId="10B86E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утвержденный эталон.</w:t>
      </w:r>
    </w:p>
    <w:p w14:paraId="0E81F4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утвержденный эталон серийной машины аа кавдый'" новый операционный период в том случае, если разработка конструктивного изменения была выпод йена ЦАГИ.</w:t>
      </w:r>
    </w:p>
    <w:p w14:paraId="2A8D68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Конструктивные чертежи переделок и изменений новых эталонов серийных машин в том случав, ес</w:t>
      </w:r>
      <w:r w:rsidRPr="00E93F40">
        <w:rPr>
          <w:rFonts w:ascii="Times New Roman" w:hAnsi="Times New Roman"/>
          <w:color w:val="000000" w:themeColor="text1"/>
          <w:sz w:val="16"/>
          <w:szCs w:val="16"/>
        </w:rPr>
        <w:softHyphen/>
        <w:t>ли разработка конструктивного изменения выпол</w:t>
      </w:r>
      <w:r w:rsidRPr="00E93F40">
        <w:rPr>
          <w:rFonts w:ascii="Times New Roman" w:hAnsi="Times New Roman"/>
          <w:color w:val="000000" w:themeColor="text1"/>
          <w:sz w:val="16"/>
          <w:szCs w:val="16"/>
        </w:rPr>
        <w:softHyphen/>
        <w:t>нялась ЦАГИ»</w:t>
      </w:r>
    </w:p>
    <w:p w14:paraId="0DE74C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Техническое наблюдение и консультацию по вновь внедряемым в серийное производство, а равно по изменениям, вносимым в конструкцию серийных само</w:t>
      </w:r>
      <w:r w:rsidRPr="00E93F40">
        <w:rPr>
          <w:rFonts w:ascii="Times New Roman" w:hAnsi="Times New Roman"/>
          <w:color w:val="000000" w:themeColor="text1"/>
          <w:sz w:val="16"/>
          <w:szCs w:val="16"/>
        </w:rPr>
        <w:softHyphen/>
        <w:t>летов.</w:t>
      </w:r>
    </w:p>
    <w:p w14:paraId="7D7683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САМОЛЕТНОМУ ТРЕСТУ.</w:t>
      </w:r>
    </w:p>
    <w:p w14:paraId="469E19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Создать на заводах №№ 1, 16, 21, 22, 31 базы под</w:t>
      </w:r>
      <w:r w:rsidRPr="00E93F40">
        <w:rPr>
          <w:rFonts w:ascii="Times New Roman" w:hAnsi="Times New Roman"/>
          <w:color w:val="000000" w:themeColor="text1"/>
          <w:sz w:val="16"/>
          <w:szCs w:val="16"/>
        </w:rPr>
        <w:softHyphen/>
        <w:t>готовки производства и внедрения новых типов самолетов, причем иметь в виду: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A227A" w:rsidRPr="00E93F40" w14:paraId="3F49007F" w14:textId="77777777">
        <w:tc>
          <w:tcPr>
            <w:tcW w:w="4788" w:type="dxa"/>
            <w:tcBorders>
              <w:top w:val="single" w:sz="12" w:space="0" w:color="auto"/>
            </w:tcBorders>
            <w:shd w:val="clear" w:color="auto" w:fill="FFFFFF"/>
          </w:tcPr>
          <w:p w14:paraId="3A391F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Завод № 1</w:t>
            </w:r>
          </w:p>
        </w:tc>
        <w:tc>
          <w:tcPr>
            <w:tcW w:w="4788" w:type="dxa"/>
            <w:tcBorders>
              <w:top w:val="single" w:sz="12" w:space="0" w:color="auto"/>
            </w:tcBorders>
            <w:shd w:val="clear" w:color="auto" w:fill="FFFFFF"/>
          </w:tcPr>
          <w:p w14:paraId="3C811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должен являться базой для подготовки производства по разведчик. деревян. и смешан, конструкц.</w:t>
            </w:r>
          </w:p>
        </w:tc>
      </w:tr>
      <w:tr w:rsidR="00DA227A" w:rsidRPr="00E93F40" w14:paraId="6C02E38E" w14:textId="77777777">
        <w:tc>
          <w:tcPr>
            <w:tcW w:w="4788" w:type="dxa"/>
            <w:shd w:val="clear" w:color="auto" w:fill="FFFFFF"/>
          </w:tcPr>
          <w:p w14:paraId="6EA4D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Завод № 16 </w:t>
            </w:r>
          </w:p>
        </w:tc>
        <w:tc>
          <w:tcPr>
            <w:tcW w:w="4788" w:type="dxa"/>
            <w:shd w:val="clear" w:color="auto" w:fill="FFFFFF"/>
          </w:tcPr>
          <w:p w14:paraId="444D7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должен являться для специальных машин.</w:t>
            </w:r>
          </w:p>
        </w:tc>
      </w:tr>
      <w:tr w:rsidR="00DA227A" w:rsidRPr="00E93F40" w14:paraId="514DDAA3" w14:textId="77777777">
        <w:tc>
          <w:tcPr>
            <w:tcW w:w="4788" w:type="dxa"/>
            <w:shd w:val="clear" w:color="auto" w:fill="FFFFFF"/>
          </w:tcPr>
          <w:p w14:paraId="45E0B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21</w:t>
            </w:r>
          </w:p>
        </w:tc>
        <w:tc>
          <w:tcPr>
            <w:tcW w:w="4788" w:type="dxa"/>
            <w:shd w:val="clear" w:color="auto" w:fill="FFFFFF"/>
          </w:tcPr>
          <w:p w14:paraId="59DEB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истребителей дер. и смеш. констр.</w:t>
            </w:r>
          </w:p>
        </w:tc>
      </w:tr>
      <w:tr w:rsidR="00DA227A" w:rsidRPr="00E93F40" w14:paraId="71E536F7" w14:textId="77777777">
        <w:tc>
          <w:tcPr>
            <w:tcW w:w="4788" w:type="dxa"/>
            <w:shd w:val="clear" w:color="auto" w:fill="FFFFFF"/>
          </w:tcPr>
          <w:p w14:paraId="32C98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22</w:t>
            </w:r>
          </w:p>
        </w:tc>
        <w:tc>
          <w:tcPr>
            <w:tcW w:w="4788" w:type="dxa"/>
            <w:shd w:val="clear" w:color="auto" w:fill="FFFFFF"/>
          </w:tcPr>
          <w:p w14:paraId="78410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металлических сухопутных машин</w:t>
            </w:r>
          </w:p>
        </w:tc>
      </w:tr>
      <w:tr w:rsidR="00DA227A" w:rsidRPr="00E93F40" w14:paraId="134829B4" w14:textId="77777777">
        <w:tc>
          <w:tcPr>
            <w:tcW w:w="4788" w:type="dxa"/>
            <w:tcBorders>
              <w:bottom w:val="single" w:sz="12" w:space="0" w:color="auto"/>
            </w:tcBorders>
            <w:shd w:val="clear" w:color="auto" w:fill="FFFFFF"/>
          </w:tcPr>
          <w:p w14:paraId="017A8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31</w:t>
            </w:r>
          </w:p>
        </w:tc>
        <w:tc>
          <w:tcPr>
            <w:tcW w:w="4788" w:type="dxa"/>
            <w:tcBorders>
              <w:bottom w:val="single" w:sz="12" w:space="0" w:color="auto"/>
            </w:tcBorders>
            <w:shd w:val="clear" w:color="auto" w:fill="FFFFFF"/>
          </w:tcPr>
          <w:p w14:paraId="55A0C2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морских машин</w:t>
            </w:r>
          </w:p>
        </w:tc>
      </w:tr>
    </w:tbl>
    <w:p w14:paraId="52749C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 декадный срок разработать и представить мне на утверждение типовое положение об организации отделов подготовки производства на вышеуказанных заводах, исходя из следующих основных положений:</w:t>
      </w:r>
    </w:p>
    <w:p w14:paraId="5E9C51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Завод - изготовляет все технические материалы /рабочие чертежи, технологические карты и пр., необходимые для развернутого серийного производства.</w:t>
      </w:r>
    </w:p>
    <w:p w14:paraId="2DE978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б) Завод - осуществляет выпуск первых серий машин количество которых /серий/ обеспечивает полную увязку и корректировку всего технологического процесса, приспособ! лений, рабочих чертежей и проч.</w:t>
      </w:r>
    </w:p>
    <w:p w14:paraId="70D311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Завод в случае внедрения данного типа на другом заводе - передает заводу все технические материалы, полш комплекс приспособлений и спец-инструмента, а также пред</w:t>
      </w:r>
      <w:r w:rsidRPr="00E93F40">
        <w:rPr>
          <w:rFonts w:ascii="Times New Roman" w:hAnsi="Times New Roman"/>
          <w:color w:val="000000" w:themeColor="text1"/>
          <w:sz w:val="16"/>
          <w:szCs w:val="16"/>
        </w:rPr>
        <w:softHyphen/>
        <w:t>ставляет полный инструктаж по организации внедрения ново</w:t>
      </w:r>
      <w:r w:rsidRPr="00E93F40">
        <w:rPr>
          <w:rFonts w:ascii="Times New Roman" w:hAnsi="Times New Roman"/>
          <w:color w:val="000000" w:themeColor="text1"/>
          <w:sz w:val="16"/>
          <w:szCs w:val="16"/>
        </w:rPr>
        <w:softHyphen/>
        <w:t>го типа, наладки его производства, освоения технологии.</w:t>
      </w:r>
    </w:p>
    <w:p w14:paraId="6C44A7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w:t>
      </w:r>
    </w:p>
    <w:p w14:paraId="20D05B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Приказ ввести в действие с 1-го августа с.г.</w:t>
      </w:r>
    </w:p>
    <w:p w14:paraId="7459BC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ЦАГИ закончить проработку материалов по внедрвнию И-5-М22 и ТШ-М-17 на основе существующих договоров.</w:t>
      </w:r>
    </w:p>
    <w:p w14:paraId="31963E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smallCaps/>
          <w:color w:val="000000" w:themeColor="text1"/>
          <w:sz w:val="16"/>
          <w:szCs w:val="16"/>
        </w:rPr>
        <w:t xml:space="preserve">начальник глававиапрома </w:t>
      </w:r>
      <w:r w:rsidRPr="00E93F40">
        <w:rPr>
          <w:rFonts w:ascii="Times New Roman" w:hAnsi="Times New Roman"/>
          <w:color w:val="000000" w:themeColor="text1"/>
          <w:sz w:val="16"/>
          <w:szCs w:val="16"/>
        </w:rPr>
        <w:t>БАРАНОВ</w:t>
      </w:r>
    </w:p>
    <w:p w14:paraId="6BEBA1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ЦГАОР. ф. 147с, оп. 15, д. 69, л. 30 (1026,156).</w:t>
      </w:r>
    </w:p>
    <w:p w14:paraId="499B22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690436" w14:textId="149B7296" w:rsidR="00305C73" w:rsidRPr="00E93F40" w:rsidRDefault="00305C73"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Дпуние оборонные отрасли:</w:t>
      </w:r>
    </w:p>
    <w:p w14:paraId="583E474B" w14:textId="77777777" w:rsidR="00305C73" w:rsidRPr="00E93F40" w:rsidRDefault="00305C73"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6841FF74"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июля 1932 года П. И. Баранов своим приказом дал ряд поручений ЦАГИ и самолетному тресту. Руководству треста, в частности, было поручено создать на ряде заводов базы подготовки производства и внедрения новых типов самолетов. При этом завод № 16 предназначается для строительства специальных машин и:</w:t>
      </w:r>
    </w:p>
    <w:p w14:paraId="46F204F8"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изготовляет все технические материалы (рабочие чертежи, технологические карты и пр., необходимые для развернутого серийного производства),</w:t>
      </w:r>
    </w:p>
    <w:p w14:paraId="4DB57349"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осуществляет выпуск первых серий машин, количество которых (серий) обеспечивает полную увязку и корректировку всего технологического процесса, приспособлений, рабочих чертежей и проч.,</w:t>
      </w:r>
    </w:p>
    <w:p w14:paraId="4514A584"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 случае внедрения данного типа на другом заводе – передает заводу все технические материалы, полн. комплекс приспособлений и спец. инструмента, а также представляет полный инструктаж по организации внедрения нового типа, наладки его производства, освоения технологии».</w:t>
      </w:r>
    </w:p>
    <w:p w14:paraId="441E854E" w14:textId="77777777" w:rsidR="00305C73" w:rsidRPr="00E93F40" w:rsidRDefault="00305C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планам на вторую пятилетку только штурмовиков, разведчиков и легких бомбардировщиков предполагалось построить на трех заводах свыше 17 тысяч. В духе масштабных планов эпохи дело в Воронеже затевалось серьезное. К 1 января 1933 года завод № 16 должен был построить 480 штурмовиков; через год их число должно было возрасти до 1000 и на 1 января 1935 года увеличиться еще на 800 машин (24153).</w:t>
      </w:r>
    </w:p>
    <w:p w14:paraId="61ECDEB2" w14:textId="77777777" w:rsidR="00305C73" w:rsidRPr="00E93F40" w:rsidRDefault="00305C73" w:rsidP="00E93F40">
      <w:pPr>
        <w:spacing w:after="0" w:line="240" w:lineRule="auto"/>
        <w:jc w:val="both"/>
        <w:rPr>
          <w:rFonts w:ascii="Times New Roman" w:hAnsi="Times New Roman"/>
          <w:color w:val="000000" w:themeColor="text1"/>
          <w:sz w:val="16"/>
          <w:szCs w:val="16"/>
        </w:rPr>
      </w:pPr>
    </w:p>
    <w:p w14:paraId="5F945DDB" w14:textId="5BD367B4"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9E18CE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E73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июля 1932 г. пулемет ШКАС был одобрен правительством, которое приняло решение форсировать его доработку и предъявить на государственные испытания (11316).</w:t>
      </w:r>
    </w:p>
    <w:p w14:paraId="0CD38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10A3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июля 1932 ЦС Осоавиахима своим приказом утвердил основные направления работы ГИРД (ЦГИРД). Именно в этом приказе говорится о С.П.К, который был назначен начальником ГИРД в общественном порядке (388,63).</w:t>
      </w:r>
    </w:p>
    <w:p w14:paraId="7E6C7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831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июля 1932 года вышел приказ. Приказ был длинный, со многими параграфами:</w:t>
      </w:r>
    </w:p>
    <w:p w14:paraId="19E9B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1. "Придавая большое значение в деле развития народного хозяйства и укрепления обороноспособности СССР научно-исследовательским и опытно-экспериментальным работам по изучению и применению реактивных двигателей в системе Осоавиахима, сконцентрировать всю деятельность в данной области в Группе изучения реактивного движения - ГИРД..." </w:t>
      </w:r>
    </w:p>
    <w:p w14:paraId="3662F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деятельность уже давно сконцентрировалась. </w:t>
      </w:r>
    </w:p>
    <w:p w14:paraId="0D70FA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6. "Начальником ГИРД (в общественном порядке) назначается С.П. Королев с 1 мая с.г...." (11143).</w:t>
      </w:r>
    </w:p>
    <w:p w14:paraId="42413A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60630C"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июля в 1932 году приказом Центрального совета ОСОАВИАХИМа определены задачи и структура МосГИРД как научно-исследовательской и опытно-конструкторской организации по разработке ракет и ракетных двигателей (14952).</w:t>
      </w:r>
    </w:p>
    <w:p w14:paraId="1BC4B9C0" w14:textId="77777777" w:rsidR="00625E0E" w:rsidRPr="00E93F40" w:rsidRDefault="00625E0E" w:rsidP="00E93F40">
      <w:pPr>
        <w:spacing w:after="0" w:line="240" w:lineRule="auto"/>
        <w:jc w:val="both"/>
        <w:rPr>
          <w:rFonts w:ascii="Times New Roman" w:hAnsi="Times New Roman"/>
          <w:color w:val="000000" w:themeColor="text1"/>
          <w:sz w:val="16"/>
          <w:szCs w:val="16"/>
        </w:rPr>
      </w:pPr>
    </w:p>
    <w:p w14:paraId="70305A5F" w14:textId="77777777" w:rsidR="00E62D79" w:rsidRPr="00E93F40" w:rsidRDefault="00E62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июля 1932 г. появился приказ ЦС ОСОАВИАХИМ, приведу маленький отрывок: «Придавая большое значение в деле развития народного хозяйства и укрепления обороноспособности СССР научноисследовательским и опытно-экспериментальным работам по изучению и применению реактивных двигателей в системе ОСОАВИАХИМ, сконцентрировать всю деятельность в данной области в Группе изучения реактивного движения - ГИРД... Начальником ГИРД (в общественном порядке) назначается СП . Королев с 1 мая сего года» (ГА РФ, ф. 8355, оп. 2, д. 78, Л. 32).</w:t>
      </w:r>
    </w:p>
    <w:p w14:paraId="0A07EAF9" w14:textId="77777777" w:rsidR="00E62D79" w:rsidRPr="00E93F40" w:rsidRDefault="00E62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Договор от 18 ноября 1931 г. был заключен между ОСОАВИАХИМ и лично Цандером, о ГИРД еще нет ни слова, хотя неофициально она уже существовала, и деньги 1000 руб. должен получить лично Цандер, как автор и исполнитель своей научной идеи, а не ГИРД, как организация. Официально организацией, хотя и общественной, ГИРД можно назвать только после приказа ЦС ОСОАВИАХИМ от 14 июля 1932 г. Любой организации нужен руководитель, администратор, таким начальником на общественных началах назначается Королев, за Цандером, опять таки на общественных началах, остается нигде не прописанная должность главного конструктора и главного теоретика.</w:t>
      </w:r>
    </w:p>
    <w:p w14:paraId="6CCDFAB1" w14:textId="77777777" w:rsidR="00E62D79" w:rsidRPr="00E93F40" w:rsidRDefault="00E62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Только после выхода приказа от 14 июля 1932 г. сотрудники ГИРД стали получать небольпхую зарплату. Первые сведения о зарплате появляются в документах Финансового отдела ОСОАВИАХИМ в 1933 г., когда была налажена балансовая система учета денежных и материальных средств. В первом годовом бухгалтерском отчете по деятельности экспериментальных мастерских ЦС ОСОАВИАХИМ за 1933 г. указывается среднегодовая зарплата рабочего - 202 руб., инженерно-технического работника - 324 руб., служащего - 294 руб. (Применительно к середине 1980-х гг. это соответствует 90, 120 и 100 рублям). В этом же отчете содержится первая (потом будут другие) попытка объяснить, почему не удается вписать работу мастерских в пятилетний план развития народнохозяйственного организма страны, и почему их работа вообще не подлежит какому-либо планированию. «Ввиду того, что мастерские являются экспериментальными и характер работ очень разнообразен, определить основной вид выпускаемой продукции невозможно. По той же причине невозможно установить степень выполнения производственной программы и не ведется правильный учет производства. Стандартных массовых заказов мастерские не имеют, а занимаются разными экспериментальными работами над моделями военно-оборонного значения» (22685).</w:t>
      </w:r>
    </w:p>
    <w:p w14:paraId="351746E5" w14:textId="77777777" w:rsidR="00E62D79" w:rsidRPr="00E93F40" w:rsidRDefault="00E62D79" w:rsidP="00E93F40">
      <w:pPr>
        <w:spacing w:after="0" w:line="240" w:lineRule="auto"/>
        <w:jc w:val="both"/>
        <w:rPr>
          <w:rFonts w:ascii="Times New Roman" w:hAnsi="Times New Roman"/>
          <w:color w:val="000000" w:themeColor="text1"/>
          <w:sz w:val="16"/>
          <w:szCs w:val="16"/>
        </w:rPr>
      </w:pPr>
    </w:p>
    <w:p w14:paraId="24F7727F" w14:textId="36256A5A"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июля 1932 года Центральный Совет Осоавиахима ут</w:t>
      </w:r>
      <w:r w:rsidRPr="00E93F40">
        <w:rPr>
          <w:rFonts w:ascii="Times New Roman" w:hAnsi="Times New Roman"/>
          <w:color w:val="000000" w:themeColor="text1"/>
          <w:sz w:val="16"/>
          <w:szCs w:val="16"/>
        </w:rPr>
        <w:softHyphen/>
        <w:t>вердил основные направления деятельности ГИРДа и обязал его вести все работы в тесном контакте с Управлением воен</w:t>
      </w:r>
      <w:r w:rsidRPr="00E93F40">
        <w:rPr>
          <w:rFonts w:ascii="Times New Roman" w:hAnsi="Times New Roman"/>
          <w:color w:val="000000" w:themeColor="text1"/>
          <w:sz w:val="16"/>
          <w:szCs w:val="16"/>
        </w:rPr>
        <w:softHyphen/>
        <w:t>ных изобретений Технического штаба начальника вооружений РККА. Ракетопланы для полетов в стратосферу и космос воен</w:t>
      </w:r>
      <w:r w:rsidRPr="00E93F40">
        <w:rPr>
          <w:rFonts w:ascii="Times New Roman" w:hAnsi="Times New Roman"/>
          <w:color w:val="000000" w:themeColor="text1"/>
          <w:sz w:val="16"/>
          <w:szCs w:val="16"/>
        </w:rPr>
        <w:softHyphen/>
        <w:t>ных не интересовали. Им нужны были боевые ракеты. В этих условиях Королев во главе 4 бригады</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приступил к созданию уменьшенных копий РП-1 - крылатых ракет серии 06, отработка которых велась уже в РНИИ.</w:t>
      </w:r>
    </w:p>
    <w:p w14:paraId="43F03CD7"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Будучи приверженцами единой цели - покорение челове</w:t>
      </w:r>
      <w:r w:rsidRPr="00E93F40">
        <w:rPr>
          <w:rFonts w:ascii="Times New Roman" w:hAnsi="Times New Roman"/>
          <w:color w:val="000000" w:themeColor="text1"/>
          <w:sz w:val="16"/>
          <w:szCs w:val="16"/>
        </w:rPr>
        <w:softHyphen/>
        <w:t>ком космического пространства - Королев и Цандер придер</w:t>
      </w:r>
      <w:r w:rsidRPr="00E93F40">
        <w:rPr>
          <w:rFonts w:ascii="Times New Roman" w:hAnsi="Times New Roman"/>
          <w:color w:val="000000" w:themeColor="text1"/>
          <w:sz w:val="16"/>
          <w:szCs w:val="16"/>
        </w:rPr>
        <w:softHyphen/>
        <w:t>живались различных мнений о способах ее достижения. Цандер искал пути наиболее быстрого решения проблем. Несмотря на наличие небольшой конструкторско-производственной базы и скудных материальных средств, он считал возможным в крат</w:t>
      </w:r>
      <w:r w:rsidRPr="00E93F40">
        <w:rPr>
          <w:rFonts w:ascii="Times New Roman" w:hAnsi="Times New Roman"/>
          <w:color w:val="000000" w:themeColor="text1"/>
          <w:sz w:val="16"/>
          <w:szCs w:val="16"/>
        </w:rPr>
        <w:softHyphen/>
        <w:t>чайшие сроки строительство космической ракеты и осуществле</w:t>
      </w:r>
      <w:r w:rsidRPr="00E93F40">
        <w:rPr>
          <w:rFonts w:ascii="Times New Roman" w:hAnsi="Times New Roman"/>
          <w:color w:val="000000" w:themeColor="text1"/>
          <w:sz w:val="16"/>
          <w:szCs w:val="16"/>
        </w:rPr>
        <w:softHyphen/>
        <w:t>ние полета на Марс. Будучи твердо уверенным в том, что создать летательный аппарат для полета в космос можно лишь после разработки беспилотных и пилотируемых ракетопланов для по</w:t>
      </w:r>
      <w:r w:rsidRPr="00E93F40">
        <w:rPr>
          <w:rFonts w:ascii="Times New Roman" w:hAnsi="Times New Roman"/>
          <w:color w:val="000000" w:themeColor="text1"/>
          <w:sz w:val="16"/>
          <w:szCs w:val="16"/>
        </w:rPr>
        <w:softHyphen/>
        <w:t>лета в атмосфере, а затем в стратосфере, Королев шел к цели по</w:t>
      </w:r>
      <w:r w:rsidRPr="00E93F40">
        <w:rPr>
          <w:rFonts w:ascii="Times New Roman" w:hAnsi="Times New Roman"/>
          <w:color w:val="000000" w:themeColor="text1"/>
          <w:sz w:val="16"/>
          <w:szCs w:val="16"/>
        </w:rPr>
        <w:softHyphen/>
        <w:t>степенно, фантастические проекты Цандера о полетах в межпла</w:t>
      </w:r>
      <w:r w:rsidRPr="00E93F40">
        <w:rPr>
          <w:rFonts w:ascii="Times New Roman" w:hAnsi="Times New Roman"/>
          <w:color w:val="000000" w:themeColor="text1"/>
          <w:sz w:val="16"/>
          <w:szCs w:val="16"/>
        </w:rPr>
        <w:softHyphen/>
        <w:t>нетном пространстве и исследованиях космоса не поддерживал. Цандер был более мечтателем, Королев - более прагматиком (23510).</w:t>
      </w:r>
    </w:p>
    <w:p w14:paraId="725AE19D" w14:textId="77777777" w:rsidR="008E2DB9" w:rsidRPr="00E93F40" w:rsidRDefault="008E2DB9" w:rsidP="00E93F40">
      <w:pPr>
        <w:spacing w:after="0" w:line="240" w:lineRule="auto"/>
        <w:jc w:val="both"/>
        <w:rPr>
          <w:rFonts w:ascii="Times New Roman" w:hAnsi="Times New Roman"/>
          <w:color w:val="000000" w:themeColor="text1"/>
          <w:sz w:val="16"/>
          <w:szCs w:val="16"/>
        </w:rPr>
      </w:pPr>
    </w:p>
    <w:p w14:paraId="238E3840"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июля 1932 г. президиум Осоавиахима утвердил штатное расписание МосГИРД и назначил сотрудникам небольшие оклады. С это</w:t>
      </w:r>
      <w:r w:rsidRPr="00E93F40">
        <w:rPr>
          <w:rFonts w:ascii="Times New Roman" w:hAnsi="Times New Roman"/>
          <w:color w:val="000000" w:themeColor="text1"/>
          <w:sz w:val="16"/>
          <w:szCs w:val="16"/>
        </w:rPr>
        <w:softHyphen/>
        <w:t>го момента МосГИРД состояла из 4 проектно-конструкторских бригад:</w:t>
      </w:r>
    </w:p>
    <w:p w14:paraId="2210BE9A"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1-я бригада (жидкостные двигатели для ракетопланов). В неё вошли члены группы, перешедшей из ИАМ. Руководитель Фри</w:t>
      </w:r>
      <w:r w:rsidRPr="00E93F40">
        <w:rPr>
          <w:rFonts w:ascii="Times New Roman" w:hAnsi="Times New Roman"/>
          <w:color w:val="000000" w:themeColor="text1"/>
          <w:sz w:val="16"/>
          <w:szCs w:val="16"/>
        </w:rPr>
        <w:softHyphen/>
        <w:t>дрих Артурович Цандер, инженер-технолог. Состав: старший инженер Л. К. Корнеев, инженеры А. И. Грязнов, Л. С. Душкин, А. И. Подлипаев, А. И. Полярный, А. В. Саликов, конструкторы Н. М. Вевер, Л. Н. Колбасина, Е. К. Мошкин, С. С. Смирнов.</w:t>
      </w:r>
    </w:p>
    <w:p w14:paraId="776CDB21"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бригада (баллистические ракеты с ЖРД). Руководитель Михаил Тихонравов (1900-1974), авиаконструктор. Состав: стар</w:t>
      </w:r>
      <w:r w:rsidRPr="00E93F40">
        <w:rPr>
          <w:rFonts w:ascii="Times New Roman" w:hAnsi="Times New Roman"/>
          <w:color w:val="000000" w:themeColor="text1"/>
          <w:sz w:val="16"/>
          <w:szCs w:val="16"/>
        </w:rPr>
        <w:softHyphen/>
        <w:t>ший инженер Н. И. Ефремов, инженеры Я. А. Голышев, B. C. Зуев, Ф. Л. Якайтис, конструкторы В. А. Андреев, В. Н. Галковский, З. И. Круглова, O. K. Паровина (жена М. К. Тихонравова), Н. И. Шульгина и чертёжница Е. И. Снегирёва (жена В. А. Анд</w:t>
      </w:r>
      <w:r w:rsidRPr="00E93F40">
        <w:rPr>
          <w:rFonts w:ascii="Times New Roman" w:hAnsi="Times New Roman"/>
          <w:color w:val="000000" w:themeColor="text1"/>
          <w:sz w:val="16"/>
          <w:szCs w:val="16"/>
        </w:rPr>
        <w:softHyphen/>
        <w:t>реева).</w:t>
      </w:r>
    </w:p>
    <w:p w14:paraId="261F823E"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3-я бригада (прямоточные воздушно-реактивные двигатели и газодинамические испытательные установки). Руководитель Юрий Победоносцев (1907-1973), авиаконструктор. Состав: стар</w:t>
      </w:r>
      <w:r w:rsidRPr="00E93F40">
        <w:rPr>
          <w:rFonts w:ascii="Times New Roman" w:hAnsi="Times New Roman"/>
          <w:color w:val="000000" w:themeColor="text1"/>
          <w:sz w:val="16"/>
          <w:szCs w:val="16"/>
        </w:rPr>
        <w:softHyphen/>
        <w:t>ший инженер М. С. Кисенко, инженеры Г. И. Иванов, В. Е. Лисич</w:t>
      </w:r>
      <w:r w:rsidRPr="00E93F40">
        <w:rPr>
          <w:rFonts w:ascii="Times New Roman" w:hAnsi="Times New Roman"/>
          <w:color w:val="000000" w:themeColor="text1"/>
          <w:sz w:val="16"/>
          <w:szCs w:val="16"/>
        </w:rPr>
        <w:softHyphen/>
        <w:t>кин, В. А. Тимофеев, конструкторы Л. Э. Брюккер, И. А. Меркулов, О. С. Оганесов, механики Н. Н. Краснухин, А. Б. Рязанкин.</w:t>
      </w:r>
    </w:p>
    <w:p w14:paraId="21D444BD"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4-я бригада (ракетопланы). Руководитель Сергей Королев, авиаконструктор. Состав: старший инженер Е. С. Щетинков, ин</w:t>
      </w:r>
      <w:r w:rsidRPr="00E93F40">
        <w:rPr>
          <w:rFonts w:ascii="Times New Roman" w:hAnsi="Times New Roman"/>
          <w:color w:val="000000" w:themeColor="text1"/>
          <w:sz w:val="16"/>
          <w:szCs w:val="16"/>
        </w:rPr>
        <w:softHyphen/>
        <w:t>женеры Н. А. Железников, С. А. Пивоваров, А. В. Чесалов, кон-</w:t>
      </w:r>
    </w:p>
    <w:p w14:paraId="675DD3AF"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структоры В. В. Горбунов, Г. Н. Федотов, механики A. M. Дурнов, Б. А. Пивоваров, чертёжница В. В. Иванова (Александрова).</w:t>
      </w:r>
    </w:p>
    <w:p w14:paraId="158ED64A"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Всего — 42 штатных сотрудника. В августе 1933 г., накануне создания РНИИ, их было уже 60.</w:t>
      </w:r>
    </w:p>
    <w:p w14:paraId="23BF9613"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Членами Технического совета ГИРД стали Цандер, Королев, Тихонравов, Победоносцев, Корнеев, Ефремов, Железников, Че- салов, Щетинков (23550).</w:t>
      </w:r>
    </w:p>
    <w:p w14:paraId="07ED0B6E" w14:textId="77777777" w:rsidR="008E2DB9" w:rsidRPr="00E93F40" w:rsidRDefault="008E2DB9" w:rsidP="00E93F40">
      <w:pPr>
        <w:spacing w:after="0" w:line="240" w:lineRule="auto"/>
        <w:jc w:val="both"/>
        <w:rPr>
          <w:rFonts w:ascii="Times New Roman" w:hAnsi="Times New Roman"/>
          <w:color w:val="000000" w:themeColor="text1"/>
          <w:sz w:val="16"/>
          <w:szCs w:val="16"/>
        </w:rPr>
      </w:pPr>
    </w:p>
    <w:p w14:paraId="6516ADED" w14:textId="77777777" w:rsidR="00625E0E"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21B3943" w14:textId="77777777" w:rsidR="00625E0E" w:rsidRPr="00E93F40" w:rsidRDefault="00625E0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7082D9" w14:textId="77777777" w:rsidR="00625E0E" w:rsidRPr="00E93F40" w:rsidRDefault="00625E0E"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июля 1932 автосборочный завод № 1 собрал первый Т-27. Автосборочный завод, находившийся в Канавино, некоторые авторы исторических исследований отождествляют с заводом «Гудок Октября», который автосборкой не занимался. Тем не менее эта путаница идет с начала 1930-х годов: директор автосборочного завода №1, обеспокоенный тем, что адресованные заводу грузы попадают к соседям, писал смежникам: «… С заводом «Гудок Октября» мы ничего общего не имеем». Причинами срыва плана, по мнению директора Шабаева, была «поставка комплектующих не в ущерб главному конвейеру, хотя разница в деталях, поставляемых на основную сборку и для Т-27, минимальная или ее совсем нет». Имела место кустарщина в изготовлении машин, что вело к срыву конвейерной сборки Т-27, рабочих неоднократно перебрасывали с места на место – с Опытных мастерских на сборочный завод и обратно (15218).</w:t>
      </w:r>
    </w:p>
    <w:p w14:paraId="4C58B1EC" w14:textId="77777777" w:rsidR="00625E0E" w:rsidRPr="00E93F40" w:rsidRDefault="00625E0E" w:rsidP="00E93F40">
      <w:pPr>
        <w:widowControl w:val="0"/>
        <w:spacing w:after="0" w:line="240" w:lineRule="auto"/>
        <w:jc w:val="both"/>
        <w:rPr>
          <w:rFonts w:ascii="Times New Roman" w:hAnsi="Times New Roman"/>
          <w:color w:val="000000" w:themeColor="text1"/>
          <w:sz w:val="16"/>
          <w:szCs w:val="16"/>
        </w:rPr>
      </w:pPr>
    </w:p>
    <w:p w14:paraId="01AE8494" w14:textId="77777777" w:rsidR="00625E0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F20CD14" w14:textId="77777777" w:rsidR="00625E0E" w:rsidRPr="00E93F40" w:rsidRDefault="00625E0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8682B4B"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июля в 1932 году поднялся в воздух первый самолет </w:t>
      </w:r>
      <w:hyperlink r:id="rId179" w:tgtFrame="_blank" w:history="1">
        <w:r w:rsidRPr="00E93F40">
          <w:rPr>
            <w:rFonts w:ascii="Times New Roman" w:hAnsi="Times New Roman"/>
            <w:color w:val="000000" w:themeColor="text1"/>
            <w:sz w:val="16"/>
            <w:szCs w:val="16"/>
          </w:rPr>
          <w:t xml:space="preserve">«Y1B-9A» </w:t>
        </w:r>
      </w:hyperlink>
      <w:r w:rsidRPr="00E93F40">
        <w:rPr>
          <w:rFonts w:ascii="Times New Roman" w:hAnsi="Times New Roman"/>
          <w:color w:val="000000" w:themeColor="text1"/>
          <w:sz w:val="16"/>
          <w:szCs w:val="16"/>
        </w:rPr>
        <w:t>с двигателями – «Pratt &amp; Whitney» «Hornet» с нагнетателями. Внешне этот вариант отличался от опытных самолетов измененным вертикальным оперением, а внутренне - множеством оборудования и конструктивными изменениями (14952).</w:t>
      </w:r>
    </w:p>
    <w:p w14:paraId="5F51C179" w14:textId="77777777" w:rsidR="00625E0E" w:rsidRPr="00E93F40" w:rsidRDefault="00625E0E" w:rsidP="00E93F40">
      <w:pPr>
        <w:spacing w:after="0" w:line="240" w:lineRule="auto"/>
        <w:jc w:val="both"/>
        <w:rPr>
          <w:rFonts w:ascii="Times New Roman" w:hAnsi="Times New Roman"/>
          <w:color w:val="000000" w:themeColor="text1"/>
          <w:sz w:val="16"/>
          <w:szCs w:val="16"/>
        </w:rPr>
      </w:pPr>
    </w:p>
    <w:p w14:paraId="5E782801" w14:textId="77777777" w:rsidR="00625E0E" w:rsidRPr="00E93F40" w:rsidRDefault="00625E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июля в 1932 году первый полет литовского самолета «ANBO IV» с двигателем «Wasp» в 450 л. с. Испытания прошли успешно, и его стали строить серийно. «ANBO IV» - легкий многоцелевой штурмовик, разработанный литовской фирмой </w:t>
      </w:r>
      <w:hyperlink r:id="rId180" w:tgtFrame="_blank" w:history="1">
        <w:r w:rsidRPr="00E93F40">
          <w:rPr>
            <w:rFonts w:ascii="Times New Roman" w:hAnsi="Times New Roman"/>
            <w:color w:val="000000" w:themeColor="text1"/>
            <w:sz w:val="16"/>
            <w:szCs w:val="16"/>
          </w:rPr>
          <w:t xml:space="preserve">«ANBO» </w:t>
        </w:r>
      </w:hyperlink>
      <w:r w:rsidRPr="00E93F40">
        <w:rPr>
          <w:rFonts w:ascii="Times New Roman" w:hAnsi="Times New Roman"/>
          <w:color w:val="000000" w:themeColor="text1"/>
          <w:sz w:val="16"/>
          <w:szCs w:val="16"/>
        </w:rPr>
        <w:t>на базе тренировочного самолета «ANBO III». Самолет предназначался для выполнения ударных операций и проведения разведки. Работы над самолетом велись под руководством полковника Антанаса Густайтиса (впоследствии командующего Литовским армейским авиакорпусом, расстрелянным в 1940 году после присоединения Литвы к СССР). «ANBO IV» стал самой знаменитой литовской конструкцией (14952).</w:t>
      </w:r>
    </w:p>
    <w:p w14:paraId="42A3A187" w14:textId="77777777" w:rsidR="00625E0E" w:rsidRPr="00E93F40" w:rsidRDefault="00625E0E" w:rsidP="00E93F40">
      <w:pPr>
        <w:spacing w:after="0" w:line="240" w:lineRule="auto"/>
        <w:jc w:val="both"/>
        <w:rPr>
          <w:rFonts w:ascii="Times New Roman" w:hAnsi="Times New Roman"/>
          <w:color w:val="000000" w:themeColor="text1"/>
          <w:sz w:val="16"/>
          <w:szCs w:val="16"/>
        </w:rPr>
      </w:pPr>
    </w:p>
    <w:p w14:paraId="2A8FC806" w14:textId="77777777" w:rsidR="003F4A45" w:rsidRPr="00E93F40" w:rsidRDefault="003F4A45" w:rsidP="003F4A45">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8F9689E" w14:textId="77777777" w:rsidR="003F4A45" w:rsidRPr="00E93F40" w:rsidRDefault="003F4A45" w:rsidP="003F4A45">
      <w:pPr>
        <w:autoSpaceDE w:val="0"/>
        <w:autoSpaceDN w:val="0"/>
        <w:adjustRightInd w:val="0"/>
        <w:spacing w:after="0" w:line="240" w:lineRule="auto"/>
        <w:jc w:val="both"/>
        <w:rPr>
          <w:rFonts w:ascii="Times New Roman" w:hAnsi="Times New Roman"/>
          <w:iCs/>
          <w:color w:val="000000" w:themeColor="text1"/>
          <w:sz w:val="16"/>
          <w:szCs w:val="16"/>
        </w:rPr>
      </w:pPr>
    </w:p>
    <w:p w14:paraId="65018302"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июля 1932 г. второй образец АНТ-25-2 или РД-2 объявили «ударным объек</w:t>
      </w:r>
      <w:r w:rsidRPr="00142305">
        <w:rPr>
          <w:rFonts w:ascii="Times New Roman" w:hAnsi="Times New Roman"/>
          <w:color w:val="0070C0"/>
          <w:sz w:val="16"/>
          <w:szCs w:val="16"/>
        </w:rPr>
        <w:softHyphen/>
        <w:t>том» и начали спешно достраивать. Установленный на самолете мотор М-34Р, как указывалось в документах, не относился к серии РД, а, видимо, являл</w:t>
      </w:r>
      <w:r w:rsidRPr="00142305">
        <w:rPr>
          <w:rFonts w:ascii="Times New Roman" w:hAnsi="Times New Roman"/>
          <w:color w:val="0070C0"/>
          <w:sz w:val="16"/>
          <w:szCs w:val="16"/>
        </w:rPr>
        <w:softHyphen/>
        <w:t>ся опытным образцом, предоставленным ЦИАМ (24946).</w:t>
      </w:r>
    </w:p>
    <w:p w14:paraId="060BC2F7" w14:textId="77777777" w:rsidR="003F4A45" w:rsidRPr="00142305" w:rsidRDefault="003F4A45" w:rsidP="003F4A45">
      <w:pPr>
        <w:spacing w:after="0" w:line="240" w:lineRule="auto"/>
        <w:jc w:val="both"/>
        <w:rPr>
          <w:rFonts w:ascii="Times New Roman" w:hAnsi="Times New Roman"/>
          <w:color w:val="0070C0"/>
          <w:sz w:val="16"/>
          <w:szCs w:val="16"/>
        </w:rPr>
      </w:pPr>
    </w:p>
    <w:p w14:paraId="1A7898DA" w14:textId="77777777" w:rsidR="007808C7"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F8CB0C0" w14:textId="77777777" w:rsidR="007808C7" w:rsidRPr="00E93F40" w:rsidRDefault="007808C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3656926"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[не позднее 15 июля 1932 г.] Сталин — Кагановичу, Молотову</w:t>
      </w:r>
    </w:p>
    <w:p w14:paraId="147FC7E0"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Здравствуйте, т. Каганович! (Прочтите письмо </w:t>
      </w:r>
      <w:r w:rsidRPr="00E93F40">
        <w:rPr>
          <w:rFonts w:ascii="Times New Roman" w:eastAsia="Times New Roman" w:hAnsi="Times New Roman"/>
          <w:color w:val="000000" w:themeColor="text1"/>
          <w:sz w:val="16"/>
          <w:szCs w:val="16"/>
          <w:u w:val="single"/>
          <w:lang w:eastAsia="ru-RU"/>
        </w:rPr>
        <w:t xml:space="preserve">Молотову) </w:t>
      </w:r>
      <w:r w:rsidRPr="00E93F40">
        <w:rPr>
          <w:rFonts w:ascii="Times New Roman" w:eastAsia="Times New Roman" w:hAnsi="Times New Roman"/>
          <w:color w:val="000000" w:themeColor="text1"/>
          <w:sz w:val="16"/>
          <w:szCs w:val="16"/>
          <w:lang w:eastAsia="ru-RU"/>
        </w:rPr>
        <w:t xml:space="preserve">1) Был у меня </w:t>
      </w:r>
      <w:r w:rsidRPr="00E93F40">
        <w:rPr>
          <w:rFonts w:ascii="Times New Roman" w:eastAsia="Times New Roman" w:hAnsi="Times New Roman"/>
          <w:color w:val="000000" w:themeColor="text1"/>
          <w:sz w:val="16"/>
          <w:szCs w:val="16"/>
          <w:u w:val="single"/>
          <w:lang w:eastAsia="ru-RU"/>
        </w:rPr>
        <w:t>Ворошилов</w:t>
      </w:r>
      <w:r w:rsidRPr="00E93F40">
        <w:rPr>
          <w:rFonts w:ascii="Times New Roman" w:eastAsia="Times New Roman" w:hAnsi="Times New Roman"/>
          <w:color w:val="000000" w:themeColor="text1"/>
          <w:sz w:val="16"/>
          <w:szCs w:val="16"/>
          <w:vertAlign w:val="superscript"/>
          <w:lang w:eastAsia="ru-RU"/>
        </w:rPr>
        <w:t>1</w:t>
      </w:r>
      <w:r w:rsidRPr="00E93F40">
        <w:rPr>
          <w:rFonts w:ascii="Times New Roman" w:eastAsia="Times New Roman" w:hAnsi="Times New Roman"/>
          <w:color w:val="000000" w:themeColor="text1"/>
          <w:sz w:val="16"/>
          <w:szCs w:val="16"/>
          <w:lang w:eastAsia="ru-RU"/>
        </w:rPr>
        <w:t>. Сошлись на следующих пунктах (причем решающее слово остается, конечно, за ПБ):</w:t>
      </w:r>
    </w:p>
    <w:p w14:paraId="0523939A"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а) Военны</w:t>
      </w:r>
      <w:r w:rsidRPr="00E93F40">
        <w:rPr>
          <w:rFonts w:ascii="Times New Roman" w:eastAsia="Times New Roman" w:hAnsi="Times New Roman"/>
          <w:color w:val="000000" w:themeColor="text1"/>
          <w:sz w:val="16"/>
          <w:szCs w:val="16"/>
          <w:u w:val="single"/>
          <w:lang w:eastAsia="ru-RU"/>
        </w:rPr>
        <w:t>й бюджет</w:t>
      </w:r>
      <w:r w:rsidRPr="00E93F40">
        <w:rPr>
          <w:rFonts w:ascii="Times New Roman" w:eastAsia="Times New Roman" w:hAnsi="Times New Roman"/>
          <w:color w:val="000000" w:themeColor="text1"/>
          <w:sz w:val="16"/>
          <w:szCs w:val="16"/>
          <w:lang w:eastAsia="ru-RU"/>
        </w:rPr>
        <w:t xml:space="preserve"> 1933 г. (включая все, в том числе и </w:t>
      </w:r>
      <w:r w:rsidRPr="00E93F40">
        <w:rPr>
          <w:rFonts w:ascii="Times New Roman" w:eastAsia="Times New Roman" w:hAnsi="Times New Roman"/>
          <w:color w:val="000000" w:themeColor="text1"/>
          <w:sz w:val="16"/>
          <w:szCs w:val="16"/>
          <w:u w:val="single"/>
          <w:lang w:eastAsia="ru-RU"/>
        </w:rPr>
        <w:t>увеличение жалования красноармейцам и начсоставу в 1933 г.)</w:t>
      </w:r>
      <w:r w:rsidRPr="00E93F40">
        <w:rPr>
          <w:rFonts w:ascii="Times New Roman" w:eastAsia="Times New Roman" w:hAnsi="Times New Roman"/>
          <w:color w:val="000000" w:themeColor="text1"/>
          <w:sz w:val="16"/>
          <w:szCs w:val="16"/>
          <w:lang w:eastAsia="ru-RU"/>
        </w:rPr>
        <w:t xml:space="preserve"> должен быть составлен в пределах 5–6 миллиардов руб. и лишь в случае крайней необходимости может быть доведен до 6 (шести) миллиардов. Клим напомнил мне, что я говорил месяца два назад о возможности доведения этой цифры до 7 (семи) миллиардов. Но я отвел эту ссылку, сказав, что теперь положение другое</w:t>
      </w:r>
      <w:r w:rsidRPr="00E93F40">
        <w:rPr>
          <w:rFonts w:ascii="Times New Roman" w:eastAsia="Times New Roman" w:hAnsi="Times New Roman"/>
          <w:color w:val="000000" w:themeColor="text1"/>
          <w:sz w:val="16"/>
          <w:szCs w:val="16"/>
          <w:vertAlign w:val="superscript"/>
          <w:lang w:eastAsia="ru-RU"/>
        </w:rPr>
        <w:t>2</w:t>
      </w:r>
      <w:r w:rsidRPr="00E93F40">
        <w:rPr>
          <w:rFonts w:ascii="Times New Roman" w:eastAsia="Times New Roman" w:hAnsi="Times New Roman"/>
          <w:color w:val="000000" w:themeColor="text1"/>
          <w:sz w:val="16"/>
          <w:szCs w:val="16"/>
          <w:lang w:eastAsia="ru-RU"/>
        </w:rPr>
        <w:t>.</w:t>
      </w:r>
    </w:p>
    <w:p w14:paraId="40E22967"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б) </w:t>
      </w:r>
      <w:r w:rsidRPr="00E93F40">
        <w:rPr>
          <w:rFonts w:ascii="Times New Roman" w:eastAsia="Times New Roman" w:hAnsi="Times New Roman"/>
          <w:color w:val="000000" w:themeColor="text1"/>
          <w:sz w:val="16"/>
          <w:szCs w:val="16"/>
          <w:u w:val="single"/>
          <w:lang w:eastAsia="ru-RU"/>
        </w:rPr>
        <w:t>План развертывания армии</w:t>
      </w:r>
      <w:r w:rsidRPr="00E93F40">
        <w:rPr>
          <w:rFonts w:ascii="Times New Roman" w:eastAsia="Times New Roman" w:hAnsi="Times New Roman"/>
          <w:color w:val="000000" w:themeColor="text1"/>
          <w:sz w:val="16"/>
          <w:szCs w:val="16"/>
          <w:lang w:eastAsia="ru-RU"/>
        </w:rPr>
        <w:t xml:space="preserve"> (в 1933 г.) </w:t>
      </w:r>
      <w:r w:rsidRPr="00E93F40">
        <w:rPr>
          <w:rFonts w:ascii="Times New Roman" w:eastAsia="Times New Roman" w:hAnsi="Times New Roman"/>
          <w:color w:val="000000" w:themeColor="text1"/>
          <w:sz w:val="16"/>
          <w:szCs w:val="16"/>
          <w:u w:val="single"/>
          <w:lang w:eastAsia="ru-RU"/>
        </w:rPr>
        <w:t>в случае войны</w:t>
      </w:r>
      <w:r w:rsidRPr="00E93F40">
        <w:rPr>
          <w:rFonts w:ascii="Times New Roman" w:eastAsia="Times New Roman" w:hAnsi="Times New Roman"/>
          <w:color w:val="000000" w:themeColor="text1"/>
          <w:sz w:val="16"/>
          <w:szCs w:val="16"/>
          <w:lang w:eastAsia="ru-RU"/>
        </w:rPr>
        <w:t xml:space="preserve">, представленный штабом, слишком раздут, до безобразия раздут и очень обременителен для государства. Его надо переработать и </w:t>
      </w:r>
      <w:r w:rsidRPr="00E93F40">
        <w:rPr>
          <w:rFonts w:ascii="Times New Roman" w:eastAsia="Times New Roman" w:hAnsi="Times New Roman"/>
          <w:color w:val="000000" w:themeColor="text1"/>
          <w:sz w:val="16"/>
          <w:szCs w:val="16"/>
          <w:u w:val="single"/>
          <w:lang w:eastAsia="ru-RU"/>
        </w:rPr>
        <w:t>сократить</w:t>
      </w:r>
      <w:r w:rsidRPr="00E93F40">
        <w:rPr>
          <w:rFonts w:ascii="Times New Roman" w:eastAsia="Times New Roman" w:hAnsi="Times New Roman"/>
          <w:color w:val="000000" w:themeColor="text1"/>
          <w:sz w:val="16"/>
          <w:szCs w:val="16"/>
          <w:lang w:eastAsia="ru-RU"/>
        </w:rPr>
        <w:t xml:space="preserve"> максимально.</w:t>
      </w:r>
    </w:p>
    <w:p w14:paraId="3F5B1F92"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в) </w:t>
      </w:r>
      <w:r w:rsidRPr="00E93F40">
        <w:rPr>
          <w:rFonts w:ascii="Times New Roman" w:eastAsia="Times New Roman" w:hAnsi="Times New Roman"/>
          <w:color w:val="000000" w:themeColor="text1"/>
          <w:sz w:val="16"/>
          <w:szCs w:val="16"/>
          <w:u w:val="single"/>
          <w:lang w:eastAsia="ru-RU"/>
        </w:rPr>
        <w:t>Численность армии мирного времени</w:t>
      </w:r>
      <w:r w:rsidRPr="00E93F40">
        <w:rPr>
          <w:rFonts w:ascii="Times New Roman" w:eastAsia="Times New Roman" w:hAnsi="Times New Roman"/>
          <w:color w:val="000000" w:themeColor="text1"/>
          <w:sz w:val="16"/>
          <w:szCs w:val="16"/>
          <w:lang w:eastAsia="ru-RU"/>
        </w:rPr>
        <w:t xml:space="preserve"> на 1932 год (дана по плану штаба) слишком раздута (доходит до 1 миллиона 100 тысяч душ). Штаб забывает, что </w:t>
      </w:r>
      <w:r w:rsidRPr="00E93F40">
        <w:rPr>
          <w:rFonts w:ascii="Times New Roman" w:eastAsia="Times New Roman" w:hAnsi="Times New Roman"/>
          <w:color w:val="000000" w:themeColor="text1"/>
          <w:sz w:val="16"/>
          <w:szCs w:val="16"/>
          <w:u w:val="single"/>
          <w:lang w:eastAsia="ru-RU"/>
        </w:rPr>
        <w:t>механизация</w:t>
      </w:r>
      <w:r w:rsidRPr="00E93F40">
        <w:rPr>
          <w:rFonts w:ascii="Times New Roman" w:eastAsia="Times New Roman" w:hAnsi="Times New Roman"/>
          <w:color w:val="000000" w:themeColor="text1"/>
          <w:sz w:val="16"/>
          <w:szCs w:val="16"/>
          <w:lang w:eastAsia="ru-RU"/>
        </w:rPr>
        <w:t xml:space="preserve"> армии во всех странах ведет к </w:t>
      </w:r>
      <w:r w:rsidRPr="00E93F40">
        <w:rPr>
          <w:rFonts w:ascii="Times New Roman" w:eastAsia="Times New Roman" w:hAnsi="Times New Roman"/>
          <w:color w:val="000000" w:themeColor="text1"/>
          <w:sz w:val="16"/>
          <w:szCs w:val="16"/>
          <w:u w:val="single"/>
          <w:lang w:eastAsia="ru-RU"/>
        </w:rPr>
        <w:t>сокращению</w:t>
      </w:r>
      <w:r w:rsidRPr="00E93F40">
        <w:rPr>
          <w:rFonts w:ascii="Times New Roman" w:eastAsia="Times New Roman" w:hAnsi="Times New Roman"/>
          <w:color w:val="000000" w:themeColor="text1"/>
          <w:sz w:val="16"/>
          <w:szCs w:val="16"/>
          <w:lang w:eastAsia="ru-RU"/>
        </w:rPr>
        <w:t xml:space="preserve"> ее численности. По плану штаба выходит, что механизация армии у нас должна повести к </w:t>
      </w:r>
      <w:r w:rsidRPr="00E93F40">
        <w:rPr>
          <w:rFonts w:ascii="Times New Roman" w:eastAsia="Times New Roman" w:hAnsi="Times New Roman"/>
          <w:color w:val="000000" w:themeColor="text1"/>
          <w:sz w:val="16"/>
          <w:szCs w:val="16"/>
          <w:u w:val="single"/>
          <w:lang w:eastAsia="ru-RU"/>
        </w:rPr>
        <w:t>увеличению</w:t>
      </w:r>
      <w:r w:rsidRPr="00E93F40">
        <w:rPr>
          <w:rFonts w:ascii="Times New Roman" w:eastAsia="Times New Roman" w:hAnsi="Times New Roman"/>
          <w:color w:val="000000" w:themeColor="text1"/>
          <w:sz w:val="16"/>
          <w:szCs w:val="16"/>
          <w:lang w:eastAsia="ru-RU"/>
        </w:rPr>
        <w:t xml:space="preserve"> ее численности. Абсурд, демонстрирующий беспомощность наших людей перестроить армию на базе механизации. Я понимаю, что для перестройки нужно время, нужен некий переходный период. Но тогда нужно, во-первых, определить длительность этого переходного периода, сведя его к минимуму. Во-вторых, </w:t>
      </w:r>
      <w:r w:rsidRPr="00E93F40">
        <w:rPr>
          <w:rFonts w:ascii="Times New Roman" w:eastAsia="Times New Roman" w:hAnsi="Times New Roman"/>
          <w:color w:val="000000" w:themeColor="text1"/>
          <w:sz w:val="16"/>
          <w:szCs w:val="16"/>
          <w:u w:val="single"/>
          <w:lang w:eastAsia="ru-RU"/>
        </w:rPr>
        <w:t>наряду</w:t>
      </w:r>
      <w:r w:rsidRPr="00E93F40">
        <w:rPr>
          <w:rFonts w:ascii="Times New Roman" w:eastAsia="Times New Roman" w:hAnsi="Times New Roman"/>
          <w:color w:val="000000" w:themeColor="text1"/>
          <w:sz w:val="16"/>
          <w:szCs w:val="16"/>
          <w:lang w:eastAsia="ru-RU"/>
        </w:rPr>
        <w:t xml:space="preserve"> с решением о численности нужно принять другое решение о кздщдашшх </w:t>
      </w:r>
      <w:r w:rsidRPr="00E93F40">
        <w:rPr>
          <w:rFonts w:ascii="Times New Roman" w:eastAsia="Times New Roman" w:hAnsi="Times New Roman"/>
          <w:color w:val="000000" w:themeColor="text1"/>
          <w:sz w:val="16"/>
          <w:szCs w:val="16"/>
          <w:u w:val="single"/>
          <w:lang w:eastAsia="ru-RU"/>
        </w:rPr>
        <w:t>сшках сл</w:t>
      </w:r>
      <w:r w:rsidRPr="00E93F40">
        <w:rPr>
          <w:rFonts w:ascii="Times New Roman" w:eastAsia="Times New Roman" w:hAnsi="Times New Roman"/>
          <w:color w:val="000000" w:themeColor="text1"/>
          <w:sz w:val="16"/>
          <w:szCs w:val="16"/>
          <w:lang w:eastAsia="ru-RU"/>
        </w:rPr>
        <w:t>г</w:t>
      </w:r>
      <w:r w:rsidRPr="00E93F40">
        <w:rPr>
          <w:rFonts w:ascii="Times New Roman" w:eastAsia="Times New Roman" w:hAnsi="Times New Roman"/>
          <w:color w:val="000000" w:themeColor="text1"/>
          <w:sz w:val="16"/>
          <w:szCs w:val="16"/>
          <w:u w:val="single"/>
          <w:lang w:eastAsia="ru-RU"/>
        </w:rPr>
        <w:t>кдашсщ</w:t>
      </w:r>
      <w:r w:rsidRPr="00E93F40">
        <w:rPr>
          <w:rFonts w:ascii="Times New Roman" w:eastAsia="Times New Roman" w:hAnsi="Times New Roman"/>
          <w:color w:val="000000" w:themeColor="text1"/>
          <w:sz w:val="16"/>
          <w:szCs w:val="16"/>
          <w:lang w:eastAsia="ru-RU"/>
        </w:rPr>
        <w:t>ц численности армии по мере механизации армии. Без такого параллельного решения невозможно принять проект штаба о численности на 1932 г.</w:t>
      </w:r>
    </w:p>
    <w:p w14:paraId="25D70500"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г) </w:t>
      </w:r>
      <w:r w:rsidRPr="00E93F40">
        <w:rPr>
          <w:rFonts w:ascii="Times New Roman" w:eastAsia="Times New Roman" w:hAnsi="Times New Roman"/>
          <w:color w:val="000000" w:themeColor="text1"/>
          <w:sz w:val="16"/>
          <w:szCs w:val="16"/>
          <w:u w:val="single"/>
          <w:lang w:eastAsia="ru-RU"/>
        </w:rPr>
        <w:t>Резолюция о боевой подготовке</w:t>
      </w:r>
      <w:r w:rsidRPr="00E93F40">
        <w:rPr>
          <w:rFonts w:ascii="Times New Roman" w:eastAsia="Times New Roman" w:hAnsi="Times New Roman"/>
          <w:color w:val="000000" w:themeColor="text1"/>
          <w:sz w:val="16"/>
          <w:szCs w:val="16"/>
          <w:lang w:eastAsia="ru-RU"/>
        </w:rPr>
        <w:t xml:space="preserve"> (штабное руководство, артиллерия, флот) </w:t>
      </w:r>
      <w:r w:rsidRPr="00E93F40">
        <w:rPr>
          <w:rFonts w:ascii="Times New Roman" w:eastAsia="Times New Roman" w:hAnsi="Times New Roman"/>
          <w:color w:val="000000" w:themeColor="text1"/>
          <w:sz w:val="16"/>
          <w:szCs w:val="16"/>
          <w:u w:val="single"/>
          <w:lang w:eastAsia="ru-RU"/>
        </w:rPr>
        <w:t>неконкретны</w:t>
      </w:r>
      <w:r w:rsidRPr="00E93F40">
        <w:rPr>
          <w:rFonts w:ascii="Times New Roman" w:eastAsia="Times New Roman" w:hAnsi="Times New Roman"/>
          <w:color w:val="000000" w:themeColor="text1"/>
          <w:sz w:val="16"/>
          <w:szCs w:val="16"/>
          <w:lang w:eastAsia="ru-RU"/>
        </w:rPr>
        <w:t xml:space="preserve"> и нуждаются в переработке. Резолюции надо составить так, чтобы можно было проверить их исполнение Ревсоветом </w:t>
      </w:r>
      <w:r w:rsidRPr="00E93F40">
        <w:rPr>
          <w:rFonts w:ascii="Times New Roman" w:eastAsia="Times New Roman" w:hAnsi="Times New Roman"/>
          <w:color w:val="000000" w:themeColor="text1"/>
          <w:sz w:val="16"/>
          <w:szCs w:val="16"/>
          <w:u w:val="single"/>
          <w:lang w:eastAsia="ru-RU"/>
        </w:rPr>
        <w:t>по пунктам</w:t>
      </w:r>
      <w:r w:rsidRPr="00E93F40">
        <w:rPr>
          <w:rFonts w:ascii="Times New Roman" w:eastAsia="Times New Roman" w:hAnsi="Times New Roman"/>
          <w:color w:val="000000" w:themeColor="text1"/>
          <w:sz w:val="16"/>
          <w:szCs w:val="16"/>
          <w:lang w:eastAsia="ru-RU"/>
        </w:rPr>
        <w:t xml:space="preserve">, по </w:t>
      </w:r>
      <w:r w:rsidRPr="00E93F40">
        <w:rPr>
          <w:rFonts w:ascii="Times New Roman" w:eastAsia="Times New Roman" w:hAnsi="Times New Roman"/>
          <w:color w:val="000000" w:themeColor="text1"/>
          <w:sz w:val="16"/>
          <w:szCs w:val="16"/>
          <w:u w:val="single"/>
          <w:lang w:eastAsia="ru-RU"/>
        </w:rPr>
        <w:t>конкретным</w:t>
      </w:r>
      <w:r w:rsidRPr="00E93F40">
        <w:rPr>
          <w:rFonts w:ascii="Times New Roman" w:eastAsia="Times New Roman" w:hAnsi="Times New Roman"/>
          <w:color w:val="000000" w:themeColor="text1"/>
          <w:sz w:val="16"/>
          <w:szCs w:val="16"/>
          <w:lang w:eastAsia="ru-RU"/>
        </w:rPr>
        <w:t xml:space="preserve"> пунктам (</w:t>
      </w:r>
      <w:r w:rsidRPr="00E93F40">
        <w:rPr>
          <w:rFonts w:ascii="Times New Roman" w:eastAsia="Times New Roman" w:hAnsi="Times New Roman"/>
          <w:color w:val="000000" w:themeColor="text1"/>
          <w:sz w:val="16"/>
          <w:szCs w:val="16"/>
          <w:u w:val="single"/>
          <w:lang w:eastAsia="ru-RU"/>
        </w:rPr>
        <w:t>сколько</w:t>
      </w:r>
      <w:r w:rsidRPr="00E93F40">
        <w:rPr>
          <w:rFonts w:ascii="Times New Roman" w:eastAsia="Times New Roman" w:hAnsi="Times New Roman"/>
          <w:color w:val="000000" w:themeColor="text1"/>
          <w:sz w:val="16"/>
          <w:szCs w:val="16"/>
          <w:lang w:eastAsia="ru-RU"/>
        </w:rPr>
        <w:t xml:space="preserve"> полигонов и </w:t>
      </w:r>
      <w:r w:rsidRPr="00E93F40">
        <w:rPr>
          <w:rFonts w:ascii="Times New Roman" w:eastAsia="Times New Roman" w:hAnsi="Times New Roman"/>
          <w:color w:val="000000" w:themeColor="text1"/>
          <w:sz w:val="16"/>
          <w:szCs w:val="16"/>
          <w:u w:val="single"/>
          <w:lang w:eastAsia="ru-RU"/>
        </w:rPr>
        <w:t>когда</w:t>
      </w:r>
      <w:r w:rsidRPr="00E93F40">
        <w:rPr>
          <w:rFonts w:ascii="Times New Roman" w:eastAsia="Times New Roman" w:hAnsi="Times New Roman"/>
          <w:color w:val="000000" w:themeColor="text1"/>
          <w:sz w:val="16"/>
          <w:szCs w:val="16"/>
          <w:lang w:eastAsia="ru-RU"/>
        </w:rPr>
        <w:t xml:space="preserve"> будут устроены и т.д.).</w:t>
      </w:r>
    </w:p>
    <w:p w14:paraId="44E78620"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д) Вопрос о кремлевской школе решить в духе оставления нынешнего порядка, т.е. отменить приказ Реввоенсовета</w:t>
      </w:r>
      <w:r w:rsidRPr="00E93F40">
        <w:rPr>
          <w:rFonts w:ascii="Times New Roman" w:eastAsia="Times New Roman" w:hAnsi="Times New Roman"/>
          <w:color w:val="000000" w:themeColor="text1"/>
          <w:sz w:val="16"/>
          <w:szCs w:val="16"/>
          <w:vertAlign w:val="superscript"/>
          <w:lang w:eastAsia="ru-RU"/>
        </w:rPr>
        <w:t>3</w:t>
      </w:r>
      <w:r w:rsidRPr="00E93F40">
        <w:rPr>
          <w:rFonts w:ascii="Times New Roman" w:eastAsia="Times New Roman" w:hAnsi="Times New Roman"/>
          <w:color w:val="000000" w:themeColor="text1"/>
          <w:sz w:val="16"/>
          <w:szCs w:val="16"/>
          <w:lang w:eastAsia="ru-RU"/>
        </w:rPr>
        <w:t>.</w:t>
      </w:r>
    </w:p>
    <w:p w14:paraId="01114B27"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 Дело с Украиной, как видно, обстоит неважно. Заменить Косиора можно было бы лишь Кагановичем. Других кандидатур не видно. Микоян не подходит: не только для Украины, — он не подходит даже для Наркомснаба (безрукий и неорганизованный «агитатор»). Но направлять сейчас Кагановича на Украину нельзя (нецелесообразно!): ослабим секретариат ЦК. Приходится выждать некоторое время. Что касается Чубаря, то его можно оставить пока и посмотреть, как он будет работать.</w:t>
      </w:r>
    </w:p>
    <w:p w14:paraId="0F7CBC43"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3) Посылаю вам гнуснейшую пасквиль инокорреспондента Бассехеса на советскую эконом[ическую] политику. Бассехес — корреспондент </w:t>
      </w:r>
      <w:r w:rsidRPr="00E93F40">
        <w:rPr>
          <w:rFonts w:ascii="Times New Roman" w:eastAsia="Times New Roman" w:hAnsi="Times New Roman"/>
          <w:color w:val="000000" w:themeColor="text1"/>
          <w:sz w:val="16"/>
          <w:szCs w:val="16"/>
          <w:u w:val="single"/>
          <w:lang w:eastAsia="ru-RU"/>
        </w:rPr>
        <w:t>«Neue Freie Presse»</w:t>
      </w:r>
      <w:r w:rsidRPr="00E93F40">
        <w:rPr>
          <w:rFonts w:ascii="Times New Roman" w:eastAsia="Times New Roman" w:hAnsi="Times New Roman"/>
          <w:color w:val="000000" w:themeColor="text1"/>
          <w:sz w:val="16"/>
          <w:szCs w:val="16"/>
          <w:lang w:eastAsia="ru-RU"/>
        </w:rPr>
        <w:t>. Он писал в свое время гнусно о принудительном] труде в лесной пром[ышленно]сти. Мы его хотели выгнать из СССР, но в виду раскаяния — он был оставлен в СССР</w:t>
      </w:r>
      <w:r w:rsidRPr="00E93F40">
        <w:rPr>
          <w:rFonts w:ascii="Times New Roman" w:eastAsia="Times New Roman" w:hAnsi="Times New Roman"/>
          <w:color w:val="000000" w:themeColor="text1"/>
          <w:sz w:val="16"/>
          <w:szCs w:val="16"/>
          <w:vertAlign w:val="superscript"/>
          <w:lang w:eastAsia="ru-RU"/>
        </w:rPr>
        <w:t>4</w:t>
      </w:r>
      <w:r w:rsidRPr="00E93F40">
        <w:rPr>
          <w:rFonts w:ascii="Times New Roman" w:eastAsia="Times New Roman" w:hAnsi="Times New Roman"/>
          <w:color w:val="000000" w:themeColor="text1"/>
          <w:sz w:val="16"/>
          <w:szCs w:val="16"/>
          <w:lang w:eastAsia="ru-RU"/>
        </w:rPr>
        <w:t>. Он писал потом гнусности о политике хозрасчета. Но мы, по глупости своей, прошли мимо этих гнусностей. Теперь он изощряется по поводу займа и колхозной торговли. А мы молчим, как идиоты, и терпим клевету этого щенка капиталистических лавочников. Боль-ше-ви-ки, хе-хе...</w:t>
      </w:r>
    </w:p>
    <w:p w14:paraId="3F4F0672"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Предлагаю:</w:t>
      </w:r>
    </w:p>
    <w:p w14:paraId="55B719EB"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а) облить грязью эту капиталистическую мразь на страницах «Правды» и «Известий»;</w:t>
      </w:r>
    </w:p>
    <w:p w14:paraId="6C6A2E13" w14:textId="77777777" w:rsidR="007808C7" w:rsidRPr="00E93F40" w:rsidRDefault="007808C7"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б) спустя некоторое время после этого — изгнать его из СССР</w:t>
      </w:r>
      <w:r w:rsidRPr="00E93F40">
        <w:rPr>
          <w:rFonts w:ascii="Times New Roman" w:eastAsia="Times New Roman" w:hAnsi="Times New Roman"/>
          <w:color w:val="000000" w:themeColor="text1"/>
          <w:sz w:val="16"/>
          <w:szCs w:val="16"/>
          <w:vertAlign w:val="superscript"/>
          <w:lang w:eastAsia="ru-RU"/>
        </w:rPr>
        <w:t>5</w:t>
      </w:r>
      <w:r w:rsidRPr="00E93F40">
        <w:rPr>
          <w:rFonts w:ascii="Times New Roman" w:eastAsia="Times New Roman" w:hAnsi="Times New Roman"/>
          <w:color w:val="000000" w:themeColor="text1"/>
          <w:sz w:val="16"/>
          <w:szCs w:val="16"/>
          <w:lang w:eastAsia="ru-RU"/>
        </w:rPr>
        <w:t>. Все. Привет! И.Сталин.</w:t>
      </w:r>
    </w:p>
    <w:p w14:paraId="407689B6" w14:textId="77777777" w:rsidR="0001064C" w:rsidRPr="00E93F40" w:rsidRDefault="007808C7" w:rsidP="00E93F40">
      <w:pPr>
        <w:shd w:val="clear" w:color="auto" w:fill="FFFFFF"/>
        <w:spacing w:after="0" w:line="240" w:lineRule="auto"/>
        <w:jc w:val="both"/>
        <w:rPr>
          <w:rFonts w:ascii="Times New Roman" w:eastAsia="Times New Roman" w:hAnsi="Times New Roman"/>
          <w:iCs/>
          <w:color w:val="000000" w:themeColor="text1"/>
          <w:sz w:val="16"/>
          <w:szCs w:val="16"/>
          <w:lang w:eastAsia="ru-RU"/>
        </w:rPr>
      </w:pPr>
      <w:r w:rsidRPr="00E93F40">
        <w:rPr>
          <w:rFonts w:ascii="Times New Roman" w:eastAsia="Times New Roman" w:hAnsi="Times New Roman"/>
          <w:iCs/>
          <w:color w:val="000000" w:themeColor="text1"/>
          <w:sz w:val="16"/>
          <w:szCs w:val="16"/>
          <w:lang w:eastAsia="ru-RU"/>
        </w:rPr>
        <w:t>Ф. 81. Оп. 3. Д. 99. Л. 167–174. Автограф</w:t>
      </w:r>
    </w:p>
    <w:p w14:paraId="1E8DD9DF" w14:textId="77777777" w:rsidR="007808C7" w:rsidRPr="00E93F40" w:rsidRDefault="0001064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hAnsi="Times New Roman"/>
          <w:color w:val="000000" w:themeColor="text1"/>
          <w:sz w:val="16"/>
          <w:szCs w:val="16"/>
        </w:rPr>
        <w:t xml:space="preserve">Утвержденный в конце концов военный бюджет на 1933 г. составлял 4718 млн руб. </w:t>
      </w:r>
      <w:r w:rsidRPr="00E93F40">
        <w:rPr>
          <w:rFonts w:ascii="Times New Roman" w:hAnsi="Times New Roman"/>
          <w:color w:val="000000" w:themeColor="text1"/>
          <w:sz w:val="16"/>
          <w:szCs w:val="16"/>
          <w:lang w:val="en-US"/>
        </w:rPr>
        <w:t>(</w:t>
      </w:r>
      <w:r w:rsidRPr="00E93F40">
        <w:rPr>
          <w:rFonts w:ascii="Times New Roman" w:hAnsi="Times New Roman"/>
          <w:color w:val="000000" w:themeColor="text1"/>
          <w:sz w:val="16"/>
          <w:szCs w:val="16"/>
        </w:rPr>
        <w:t>ГАРФ</w:t>
      </w:r>
      <w:r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Ф</w:t>
      </w:r>
      <w:r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lang w:val="en-US"/>
        </w:rPr>
        <w:t xml:space="preserve">-8418. </w:t>
      </w:r>
      <w:r w:rsidRPr="00E93F40">
        <w:rPr>
          <w:rFonts w:ascii="Times New Roman" w:hAnsi="Times New Roman"/>
          <w:color w:val="000000" w:themeColor="text1"/>
          <w:sz w:val="16"/>
          <w:szCs w:val="16"/>
        </w:rPr>
        <w:t>Оп</w:t>
      </w:r>
      <w:r w:rsidRPr="00E93F40">
        <w:rPr>
          <w:rFonts w:ascii="Times New Roman" w:hAnsi="Times New Roman"/>
          <w:color w:val="000000" w:themeColor="text1"/>
          <w:sz w:val="16"/>
          <w:szCs w:val="16"/>
          <w:lang w:val="en-US"/>
        </w:rPr>
        <w:t xml:space="preserve">. 8. </w:t>
      </w:r>
      <w:r w:rsidRPr="00E93F40">
        <w:rPr>
          <w:rFonts w:ascii="Times New Roman" w:hAnsi="Times New Roman"/>
          <w:color w:val="000000" w:themeColor="text1"/>
          <w:sz w:val="16"/>
          <w:szCs w:val="16"/>
        </w:rPr>
        <w:t>Д</w:t>
      </w:r>
      <w:r w:rsidRPr="00E93F40">
        <w:rPr>
          <w:rFonts w:ascii="Times New Roman" w:hAnsi="Times New Roman"/>
          <w:color w:val="000000" w:themeColor="text1"/>
          <w:sz w:val="16"/>
          <w:szCs w:val="16"/>
          <w:lang w:val="en-US"/>
        </w:rPr>
        <w:t xml:space="preserve">. 137. </w:t>
      </w:r>
      <w:r w:rsidRPr="00E93F40">
        <w:rPr>
          <w:rFonts w:ascii="Times New Roman" w:hAnsi="Times New Roman"/>
          <w:color w:val="000000" w:themeColor="text1"/>
          <w:sz w:val="16"/>
          <w:szCs w:val="16"/>
        </w:rPr>
        <w:t>Л</w:t>
      </w:r>
      <w:r w:rsidRPr="00E93F40">
        <w:rPr>
          <w:rFonts w:ascii="Times New Roman" w:hAnsi="Times New Roman"/>
          <w:color w:val="000000" w:themeColor="text1"/>
          <w:sz w:val="16"/>
          <w:szCs w:val="16"/>
          <w:lang w:val="en-US"/>
        </w:rPr>
        <w:t xml:space="preserve">. 11–12; Davies R.W. Crisis and Progress in the Soviet Economy. </w:t>
      </w:r>
      <w:r w:rsidRPr="00E93F40">
        <w:rPr>
          <w:rFonts w:ascii="Times New Roman" w:hAnsi="Times New Roman"/>
          <w:color w:val="000000" w:themeColor="text1"/>
          <w:sz w:val="16"/>
          <w:szCs w:val="16"/>
        </w:rPr>
        <w:t>P. 318)</w:t>
      </w:r>
      <w:r w:rsidR="007808C7" w:rsidRPr="00E93F40">
        <w:rPr>
          <w:rFonts w:ascii="Times New Roman" w:eastAsia="Times New Roman" w:hAnsi="Times New Roman"/>
          <w:iCs/>
          <w:color w:val="000000" w:themeColor="text1"/>
          <w:sz w:val="16"/>
          <w:szCs w:val="16"/>
          <w:lang w:eastAsia="ru-RU"/>
        </w:rPr>
        <w:t xml:space="preserve"> (15281).</w:t>
      </w:r>
    </w:p>
    <w:p w14:paraId="42EBEFD1" w14:textId="77777777" w:rsidR="007808C7" w:rsidRPr="00E93F40" w:rsidRDefault="007808C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05BFA6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3A2BE6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6E4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июля 1932 в соответствии с Женевским протоколом Австрии был обещан заем при условии, что она будет воздерживаться от аншлюса с Германией до 1952 (3907,173).</w:t>
      </w:r>
    </w:p>
    <w:p w14:paraId="534429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FF5D4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июля 1932 западные страны пообещали Австрии финансовую помощь при условии, что австрийцы будут воздерживаться от аншлюса с Германией до 1952 г. (4962).</w:t>
      </w:r>
    </w:p>
    <w:p w14:paraId="77AB97E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4CD091" w14:textId="77777777" w:rsidR="00B411DC" w:rsidRPr="00E93F40" w:rsidRDefault="00B411D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6EA41BD" w14:textId="77777777" w:rsidR="00B411DC" w:rsidRPr="00E93F40" w:rsidRDefault="00B411D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901A492" w14:textId="77777777" w:rsidR="00B411DC" w:rsidRPr="00E93F40" w:rsidRDefault="00B411D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первой половине июля 1932 Ворошилов, находясь в поездке по Северокавказскому военному округу, побывал в Сочи и познакомил Сталина с предложениями НКВМ и Штаба РККА по численности вооруженных сил и военному бюджету на 1933 г. Нарком рассчитывал на благоприятный прием, однако руководитель Комиссии обороны подверг эти предложения жесткой критике. Сталин взял назад свое обещание двухмесячной давности поддержать увеличение бюджета НКВМ до 7 млрд руб. и добился согласия Ворошилова ограничить его 5-6 млрд руб. Проект мобилизационного развертывания в 1933 г., заявил Сталин, "до безобразия раздут и очень обременителен для государства", "его надо переработать и сократить максимально."</w:t>
      </w:r>
    </w:p>
    <w:p w14:paraId="4F137817" w14:textId="77777777" w:rsidR="00B411DC" w:rsidRPr="00E93F40" w:rsidRDefault="00B411D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Особое недовольство вызвало у Сталина решение Штаба и РВСС о размерах армии мирного времени и методологии ее исчисления. Генеральный секретарь ЦК был возмущен, что его принципиальное указание в письме Тухачевскому было оставлено без внимания. Он разъяснял Ворошилову и другим членам Политбюро: "Штаб забывает, что механизация армии во всех странах ведет к сокращению ее численности. По плану штаба выходит, что механизация армии у нас должна повести к увеличению ее численности. Абсурд, демонстрирующий беспомощность наших людей перестроить армию на базе механизации".</w:t>
      </w:r>
    </w:p>
    <w:p w14:paraId="38F2D85B" w14:textId="77777777" w:rsidR="00B411DC" w:rsidRPr="00E93F40" w:rsidRDefault="00B411D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После споров с Ворошиловым был найден компромисс, о котором Сталин информировал Кагановича и Молотова: "Я понимаю, что для перестройки нужно время, нужен некий переходный период Но тогда нужно, во-первых, определить длительность этого переходного периода, сведя его к минимуму. Во-вторых, наряду с решением о численности нужно принять иное решение о календарных сроках сокращения численности армии по мере механизации армии" (Письмо Сталина Кагановичу [и Молотову], [ранее 15.07.1932] //Сталин и Каганович: Переписка, 1931-1936 / Сост. О. В. Хлевнюк и др. М., 2001. С. 224.) (22725).</w:t>
      </w:r>
    </w:p>
    <w:p w14:paraId="041F58BA" w14:textId="77777777" w:rsidR="00B411DC" w:rsidRPr="00E93F40" w:rsidRDefault="00B411DC"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0CEEA06E" w14:textId="12ACA414"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Авиапромышленность:</w:t>
      </w:r>
    </w:p>
    <w:p w14:paraId="398D620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F62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июля 1932 НИИ ВВС вернул за изношенностью мотора полученный в конце июня ТШ-М-17 1-й эталон. Было отмечено плохое охлаждение мотора, закипание гликоля и др. неполадки., НИИ вынужден был машину вернуть в ЦАГИ (середина июля) для замены мотора и установки стрелкового вооружения (2314,21).</w:t>
      </w:r>
    </w:p>
    <w:p w14:paraId="22343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4F408B" w14:textId="77777777" w:rsidR="00B411DC" w:rsidRPr="00E93F40" w:rsidRDefault="00B411DC"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 середине июля 1932 самолет ТШ-2 М-17 возвратили из НИИ ВВС в ЦАГИ для замены мотора, устранения дефектов и доработок по во</w:t>
      </w:r>
      <w:r w:rsidRPr="00E93F40">
        <w:rPr>
          <w:rFonts w:ascii="Times New Roman" w:hAnsi="Times New Roman"/>
          <w:color w:val="000000" w:themeColor="text1"/>
          <w:sz w:val="16"/>
          <w:szCs w:val="16"/>
          <w:lang w:eastAsia="ru-RU" w:bidi="ru-RU"/>
        </w:rPr>
        <w:softHyphen/>
        <w:t>оружению (21062).</w:t>
      </w:r>
    </w:p>
    <w:p w14:paraId="106BCD38" w14:textId="77777777" w:rsidR="00B411DC" w:rsidRPr="00E93F40" w:rsidRDefault="00B411DC" w:rsidP="00E93F40">
      <w:pPr>
        <w:spacing w:after="0" w:line="240" w:lineRule="auto"/>
        <w:jc w:val="both"/>
        <w:rPr>
          <w:rFonts w:ascii="Times New Roman" w:hAnsi="Times New Roman"/>
          <w:color w:val="000000" w:themeColor="text1"/>
          <w:sz w:val="16"/>
          <w:szCs w:val="16"/>
        </w:rPr>
      </w:pPr>
    </w:p>
    <w:p w14:paraId="473CFB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июля 1932 начались первые полетные испытания М-34 на Р-5. В один из полетов мотор потребовал ремонта (после вынужденной посадки) и был отправлен на завод 24. Мотор был возвращен 26 августа и установлен на самолет. После этого испытания были продолжены (2314,21).</w:t>
      </w:r>
    </w:p>
    <w:p w14:paraId="097BB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FBFA6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FC140B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DB9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июля 1932 зам. начальника ВВС Меженинов писал письмо N 38/01224 председателю РВС.</w:t>
      </w:r>
    </w:p>
    <w:p w14:paraId="6B4ADA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31A84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16 июля 1932 года.</w:t>
      </w:r>
    </w:p>
    <w:p w14:paraId="1FE6B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заводу N 22</w:t>
      </w:r>
    </w:p>
    <w:p w14:paraId="70FBD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находящихся в производстве самолетов ТБ3: самолеты NN 1, 3, 4, 5, 7, 9 и 10 - переданы в строевые части ВВС.</w:t>
      </w:r>
    </w:p>
    <w:p w14:paraId="08D8B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 8 и N 12 испытываются заводом в дальнем перелете. Самолеты сего числа улетели в Киев.</w:t>
      </w:r>
    </w:p>
    <w:p w14:paraId="7E1E37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N 11 подготавливается как эталон на 1932 год (3027).</w:t>
      </w:r>
    </w:p>
    <w:p w14:paraId="684C3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506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июля 1932 из Москвы поступила депеша, требовавшая от Филипповича изменить данное итальянцам задание и добиваться превращения машин Савойя S.55 в самолеты двойного назначения. Сохраняя пассажирские салоны, лодки теперь должны были предусматривать установку пулеметных турелей и бомбодержателей по эскизам, присланным из СССР. Это нужно было потому, что в военное время лодки ГВФ собирались использовать как морские бомбардировщики. Поскольку “Савойи» предназначались для Дальневосточного управления (ДВУ), то по мобилизационному плану они включались в состав ВВС Морских сил Дальнего Востока (МСДВ, предшествовавших созданию Тихоокеанского флота). С турелями ситуация не ясна. Никаких документов о том. где и какое стрелковое вооружение намеревались ставить, найти не удалось. Похоже, что от этой идеи со временем отказались. А вот с бомбовым вооружением возни оказалось много. Первоначально предполагалось, что в соответствии с нашими эскизами итальянцы вмонтируют в центроплан усиления-бобышки и ввернут туда болты с ушками для крепления бомбодержателей. Сами же балки. ухваты и все прочее установят в случае надобности уже в СССР. Но фирма, в целом охотно шедшая навстречу солидному заказчику, от установки болтов в заданных Москвой местах отказалась - они плохо согласовывались с силовым набором крыла. Советской комиссии пришлось согласиться с вариантом вооружения, принятым для серии S.55, строившейся для Румынии. Много внимания уделялось приспособлению «Савойи» к эксплуатации в холодном климате. До сих пор эта машина в основном летала в теплых краях и просто не было необходимости, например, в полном сливе воды из системы охлаждения моторов. Теперь количество сливных кранов увеличили, а существовавшие ранее заменили на имевшие большее проходное сечение. Предусмотрели отопление пилотской кабины (электричеством) и пассажирских салонов (беспламенными печами). Изначально у S.55 двигатели практически не капотировались - открыто стояли на мотораме. Наши представители настояли на частичном капотировании снизу, сверху и отчасти сбоку. По образцу S.55X пилотская кабина выполнялась полностью закрытой (5486,3).</w:t>
      </w:r>
    </w:p>
    <w:p w14:paraId="5A595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3D04E2"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июля 1932 г. из Москвы поступила депеша, требовавшая от Филипповича – руководителя комиссии по наблюдения за постройкой машин S.55 для СССР изменить выданное фирме SIA</w:t>
      </w:r>
      <w:r w:rsidRPr="00142305">
        <w:rPr>
          <w:rFonts w:ascii="Times New Roman" w:hAnsi="Times New Roman"/>
          <w:color w:val="0070C0"/>
          <w:sz w:val="16"/>
          <w:szCs w:val="16"/>
          <w:lang w:val="en-US"/>
        </w:rPr>
        <w:t>I</w:t>
      </w:r>
      <w:r w:rsidRPr="00142305">
        <w:rPr>
          <w:rFonts w:ascii="Times New Roman" w:hAnsi="Times New Roman"/>
          <w:color w:val="0070C0"/>
          <w:sz w:val="16"/>
          <w:szCs w:val="16"/>
        </w:rPr>
        <w:t xml:space="preserve"> задание и добиваться превращения «савой» в самолеты двой</w:t>
      </w:r>
      <w:r w:rsidRPr="00142305">
        <w:rPr>
          <w:rFonts w:ascii="Times New Roman" w:hAnsi="Times New Roman"/>
          <w:color w:val="0070C0"/>
          <w:sz w:val="16"/>
          <w:szCs w:val="16"/>
        </w:rPr>
        <w:softHyphen/>
        <w:t>ного назначения. Сохраняя пассажирс</w:t>
      </w:r>
      <w:r w:rsidRPr="00142305">
        <w:rPr>
          <w:rFonts w:ascii="Times New Roman" w:hAnsi="Times New Roman"/>
          <w:color w:val="0070C0"/>
          <w:sz w:val="16"/>
          <w:szCs w:val="16"/>
        </w:rPr>
        <w:softHyphen/>
        <w:t>кие салоны, лодки теперь должны были предусматривать установку пулеметных турелей и бомбодержателей по эскизам, присланным из СССР. Это требовалось потому, что в военное время лодки ГВФ собирались использовать как морские бомбардировщики. Поскольку самолеты предназначались для Приморья, то по мобилизационному плану должны были включаться в состав ВВС Морских сил Дальнего Востока (МСДВ), превратив</w:t>
      </w:r>
      <w:r w:rsidRPr="00142305">
        <w:rPr>
          <w:rFonts w:ascii="Times New Roman" w:hAnsi="Times New Roman"/>
          <w:color w:val="0070C0"/>
          <w:sz w:val="16"/>
          <w:szCs w:val="16"/>
        </w:rPr>
        <w:softHyphen/>
        <w:t>шихся позже в Тихоокеанский флот.</w:t>
      </w:r>
    </w:p>
    <w:p w14:paraId="6FF141F8"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турелями ситуация не ясна. Никаких документов о том, где и какое стрелковое вооружение намеревались ставить, найти не удалось. А вот с бомбовым вооружени</w:t>
      </w:r>
      <w:r w:rsidRPr="00142305">
        <w:rPr>
          <w:rFonts w:ascii="Times New Roman" w:hAnsi="Times New Roman"/>
          <w:color w:val="0070C0"/>
          <w:sz w:val="16"/>
          <w:szCs w:val="16"/>
        </w:rPr>
        <w:softHyphen/>
        <w:t>ем возни оказалось много. Первоначаль</w:t>
      </w:r>
      <w:r w:rsidRPr="00142305">
        <w:rPr>
          <w:rFonts w:ascii="Times New Roman" w:hAnsi="Times New Roman"/>
          <w:color w:val="0070C0"/>
          <w:sz w:val="16"/>
          <w:szCs w:val="16"/>
        </w:rPr>
        <w:softHyphen/>
        <w:t>но предполагалось, что в соответствии с нашими эскизами итальянцы вмонтируют в центроплан усиления-бобышки и ввер</w:t>
      </w:r>
      <w:r w:rsidRPr="00142305">
        <w:rPr>
          <w:rFonts w:ascii="Times New Roman" w:hAnsi="Times New Roman"/>
          <w:color w:val="0070C0"/>
          <w:sz w:val="16"/>
          <w:szCs w:val="16"/>
        </w:rPr>
        <w:softHyphen/>
        <w:t>нут туда болты с ушками для крепления бомбодержателей. Сами же балки, ухваты и все прочее установят в случае надоб</w:t>
      </w:r>
      <w:r w:rsidRPr="00142305">
        <w:rPr>
          <w:rFonts w:ascii="Times New Roman" w:hAnsi="Times New Roman"/>
          <w:color w:val="0070C0"/>
          <w:sz w:val="16"/>
          <w:szCs w:val="16"/>
        </w:rPr>
        <w:softHyphen/>
        <w:t>ности уже в СССР Но фирма, в целом охотно шедшая навстречу солидному за</w:t>
      </w:r>
      <w:r w:rsidRPr="00142305">
        <w:rPr>
          <w:rFonts w:ascii="Times New Roman" w:hAnsi="Times New Roman"/>
          <w:color w:val="0070C0"/>
          <w:sz w:val="16"/>
          <w:szCs w:val="16"/>
        </w:rPr>
        <w:softHyphen/>
        <w:t>казчику от установки болтов в заданных Москвой местах отказалась - они плохо согласовывались с силовым набором крыла. Советской комиссии пришлось согласиться с вариантом вооружения, принятым для серии S.55, строившейся по румынскому заказу.</w:t>
      </w:r>
    </w:p>
    <w:p w14:paraId="157CA847"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Много внимания уделялось приспособ</w:t>
      </w:r>
      <w:r w:rsidRPr="00142305">
        <w:rPr>
          <w:rFonts w:ascii="Times New Roman" w:hAnsi="Times New Roman"/>
          <w:color w:val="0070C0"/>
          <w:sz w:val="16"/>
          <w:szCs w:val="16"/>
        </w:rPr>
        <w:softHyphen/>
        <w:t>лению самолета к эксплуатации в хо</w:t>
      </w:r>
      <w:r w:rsidRPr="00142305">
        <w:rPr>
          <w:rFonts w:ascii="Times New Roman" w:hAnsi="Times New Roman"/>
          <w:color w:val="0070C0"/>
          <w:sz w:val="16"/>
          <w:szCs w:val="16"/>
        </w:rPr>
        <w:softHyphen/>
        <w:t>лодном климате. До сих пор эта машина летала в основном в теплых краях, и просто не было необходимости, напри</w:t>
      </w:r>
      <w:r w:rsidRPr="00142305">
        <w:rPr>
          <w:rFonts w:ascii="Times New Roman" w:hAnsi="Times New Roman"/>
          <w:color w:val="0070C0"/>
          <w:sz w:val="16"/>
          <w:szCs w:val="16"/>
        </w:rPr>
        <w:softHyphen/>
        <w:t>мер, в полном сливе воды из системы охлаждения моторов. Теперь количество сливных кранов увеличили, а стоявшие ранее заменили на имевшие большее проходное сечение. Предусмотрели отопление кабин: пилотской - электри</w:t>
      </w:r>
      <w:r w:rsidRPr="00142305">
        <w:rPr>
          <w:rFonts w:ascii="Times New Roman" w:hAnsi="Times New Roman"/>
          <w:color w:val="0070C0"/>
          <w:sz w:val="16"/>
          <w:szCs w:val="16"/>
        </w:rPr>
        <w:softHyphen/>
        <w:t>чеством, пассажирских-беспламенными печами. Моторы капотировались снизу, сверху и отчасти сбоку, а на первой ма</w:t>
      </w:r>
      <w:r w:rsidRPr="00142305">
        <w:rPr>
          <w:rFonts w:ascii="Times New Roman" w:hAnsi="Times New Roman"/>
          <w:color w:val="0070C0"/>
          <w:sz w:val="16"/>
          <w:szCs w:val="16"/>
        </w:rPr>
        <w:softHyphen/>
        <w:t>шине обеспечили полное капотирование со всех сторон (24944).</w:t>
      </w:r>
    </w:p>
    <w:p w14:paraId="6A5075E5" w14:textId="77777777" w:rsidR="003F4A45" w:rsidRPr="00142305" w:rsidRDefault="003F4A45" w:rsidP="003F4A45">
      <w:pPr>
        <w:spacing w:after="0" w:line="240" w:lineRule="auto"/>
        <w:jc w:val="both"/>
        <w:rPr>
          <w:rFonts w:ascii="Times New Roman" w:hAnsi="Times New Roman"/>
          <w:color w:val="0070C0"/>
          <w:sz w:val="16"/>
          <w:szCs w:val="16"/>
        </w:rPr>
      </w:pPr>
    </w:p>
    <w:p w14:paraId="30B9C181"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июля 1932 г. инженеры А.Н.Рафаэлянц и В.В.Никитин выступили с проектом «летающего танка», получившим по их инициалам название «РАФНИК» (чертежи датированы 16/7-32). Это был моноплан с размахом крыла 17,5 м и хвостовым оперением на двух балках, которое состояло из стабилизатора с рулём высоты и центрально расположенного вертикального оперения. Аппарат был снабжён собственным шасси с колеёй, равной 4 м. Перевозимый танк, не входя в силовую конструкцию, выполнял роль силовой установки. Танк подвешивался между высокими стойками шасси так, что его башня уходила в вырез в центроплане. Судя по чертежам, предполагалось использовать доработанный колёсно-гусеничный танк БТ-2, тогда только что запущенный в серию. Двигатель танка должен был обеспечивать его передвижение не только на земле, но и при перевозке по воздуху. Но для этого мощность штатного мотора М-5 – 400 л.с. – была явно недостаточной. Его решили заменить на мотор М-17, выдававший от 680 до 730 л.с. (в зависимости от степени сжатия). Двигатель приводил в движение толкающий двухлопастный винт, посаженный на удлинённый носок коленчатого вала. Баки для питания мотора топливом в полёте располагались в центроплане. Органы управления планёром были смонтированы в кабине водителя танка, который выполнял и роль пилота. По расчётам авторов проекта, скорость «летающего танка» в воздухе получалась около 150-160 км/ч. Радиус действия они оценивали в 300 км, а с перегрузкой – до 400 км. После приземления кто-то из танкистов дёргал за рычаг, и стойки шасси поворачивались вокруг шарнира заднего подкоса, уходя вперёд и вверх (стойки, снятые с замка, уходили вверх через отверстия в крыле). Танк ложился на гусеницы, в это время открывались замки, соединявшие его с планёром, и автоматически разъединялось управление. Боевая машина выезжала вперёд. Винт при этом ставился горизонтально. По замыслу конструкторов, танк после боя мог вернуться к планёру, соединиться с ним и опять полететь – на базу или на другой участок фронта. Интересно, что в сентябре 1932 г., т.е. уже после указанного выше времени представления проекта Рафаэлянца и Никитина, был составлен документ, озаглавленный «Тактико-техническая характеристика для летающего танка проектируемого тов. РАФАЛЬЯНЦ» (так в оригинале). Под документом стоит подпись Пом. Нач. НТУ УММ Бегунова (НТУ УММ – это Научно-Техническое Управление Управления Моторизации и Механизации РККА). Над заголовком надпись: УТВЕРЖДАЮ. Начальник УММ / Халепский/ «……» Сентября 1932 г. (дата и подпись не проставлены). Любопытно, что в этом документе, содержащем ориентировочные требования, в пункте «Принцип подъёмного аппарата для взлёта» указывались «нормальные крылья или автожиры», а в пункте «тип и мощность мотора» было указано «авиационных марки М-34 допускаются использования для охлаждения этилен-гликоль» (так в тексте). То есть, эти требования явно относились не только к аппарату Рафаэлянца, но и к аппарату Камова, о котором речь пойдёт ниже. Нет смысла приводить здесь другие пункты требований – они фактически нашли отражение в более позднем документе, озаглавленном «Тактикотехническая характеристика летающего танка проектируемого тов. РАФАЭЛЯНЦ по заданию НТУ УММ РККА». Документ, подписанный Врид начальника НТУ УММ РККА Свиридовым 4 декабря 1932 г., носил характер задания и содержал следующие основные положения: Летающий танк – по типу БТ Боевой вес танка со всеми приспособлениями (крылья) – 5-6 т Боевой вес самого танка при движении по земле – 3,5-4 т Максимальная скорость на колёсах – 70-80 км/ч на гусеницах – 50-60 км/ч в воздухе – 160 км/ч Максимальная высота полёта 3000 м Продолжительность выключения летательного приспособления (крыльев) – 5 мин Продолжительность одевания летательного приспособления (крыльев) 18 мин Путь пробега при посадке 400 м.</w:t>
      </w:r>
    </w:p>
    <w:p w14:paraId="614148C7"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Путь пробега при взлёте 500-600 м Мощность мотора 650 НР М-17 Броня: вертикальная 8 мм горизонтальная 6 мм дно 4 мм Вооружение 1 – 20мм автомат или пулемёт ДТ Команда 2 чел Запас горючего: при движении по дорогам на 150 км при движении в воздухе на 250 км Как можно видеть, в проекте от июля 1932 г. расчётная дальность превышала указанные выше цифры. В одной из публикаций уверждается, что «19 января 1933 года конструкторскому бюро под руководством А.Н. Рафаэлянца было выдано задание на разработку проекта полноценного летающего танка. Спустя месяц проект был готов». Если это не ошибка в дате, то речь, видимо, может идти о задании на доработанный проект. До постройки аппарата Рафаэлянца и Никитина дело не дошло (19165).</w:t>
      </w:r>
    </w:p>
    <w:p w14:paraId="2091EF1C" w14:textId="77777777" w:rsidR="00537D34" w:rsidRPr="00E93F40" w:rsidRDefault="00537D34" w:rsidP="00E93F40">
      <w:pPr>
        <w:spacing w:after="0" w:line="240" w:lineRule="auto"/>
        <w:jc w:val="both"/>
        <w:rPr>
          <w:rFonts w:ascii="Times New Roman" w:hAnsi="Times New Roman"/>
          <w:color w:val="000000" w:themeColor="text1"/>
          <w:sz w:val="16"/>
          <w:szCs w:val="16"/>
        </w:rPr>
      </w:pPr>
    </w:p>
    <w:p w14:paraId="392D47C4" w14:textId="77777777" w:rsidR="003F4A45" w:rsidRPr="00142305" w:rsidRDefault="003F4A45" w:rsidP="003F4A4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16 июля 1932 г. самолёт Чукотской воздушной экспедиции стартовал из Красноярска и через сорок дней прибыл на Чукотку.</w:t>
      </w:r>
    </w:p>
    <w:p w14:paraId="19270731" w14:textId="77777777" w:rsidR="003F4A45" w:rsidRPr="00142305" w:rsidRDefault="003F4A45" w:rsidP="003F4A4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lastRenderedPageBreak/>
        <w:t>В экспедиции приняли участие сам С.В. Обручев (орографические и гео</w:t>
      </w:r>
      <w:r w:rsidRPr="00142305">
        <w:rPr>
          <w:rStyle w:val="aff"/>
          <w:rFonts w:ascii="Times New Roman" w:hAnsi="Times New Roman" w:cs="Times New Roman"/>
          <w:color w:val="0070C0"/>
          <w:spacing w:val="0"/>
          <w:sz w:val="16"/>
          <w:szCs w:val="16"/>
        </w:rPr>
        <w:softHyphen/>
        <w:t>морфологические исследования), геодезист К.А. Салищев (картография), аэросъёмщик В.Дзюжинский, фотолаборант А. Филаматитский и завхоз И. Михайлов. В состав экипажа закреплённого самолёта Дорнье «Валь» «Н -1» вошли: командир Л.В. Негров, второй пилот Г.А. Страубе, бортмеханик Г.В. Косухин и помощник механика Б.Г. Крутский. Горючее для него было заранее завезено пароходом в Анадырь.</w:t>
      </w:r>
    </w:p>
    <w:p w14:paraId="094BA63D"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течение сентября экспедиция посетила Нутепельмен, Уэлен, Ванкарем и верховья реки Канчалан. В этот период, в связи с тяжёлой ледовой обста</w:t>
      </w:r>
      <w:r w:rsidRPr="00142305">
        <w:rPr>
          <w:rStyle w:val="aff"/>
          <w:rFonts w:ascii="Times New Roman" w:hAnsi="Times New Roman" w:cs="Times New Roman"/>
          <w:color w:val="0070C0"/>
          <w:spacing w:val="0"/>
          <w:sz w:val="16"/>
          <w:szCs w:val="16"/>
        </w:rPr>
        <w:softHyphen/>
        <w:t>новкой, возникла необходимость перебросить на о. Врангеля товары и продовольствие, которые доставил пароход «Со</w:t>
      </w:r>
      <w:r w:rsidRPr="00142305">
        <w:rPr>
          <w:rStyle w:val="aff"/>
          <w:rFonts w:ascii="Times New Roman" w:hAnsi="Times New Roman" w:cs="Times New Roman"/>
          <w:color w:val="0070C0"/>
          <w:spacing w:val="0"/>
          <w:sz w:val="16"/>
          <w:szCs w:val="16"/>
        </w:rPr>
        <w:softHyphen/>
        <w:t>вет». но не смог пробиться к берегу. Из Москвы пришла радиограмма с требованием подключить к этим работам самолёт Дорнье «Валь» Г.А. Страубе, а также - «Савойя» С-16 Е.М. Кошелева, находившийся на мысе Северном. Иной авиации на Чукотке в то время ещё не было.</w:t>
      </w:r>
    </w:p>
    <w:p w14:paraId="363537EB"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сентября оба самолёта перелетели на о. Врангеля и сделали несколько рейсов, вывозя больных зимовщиков, а обратными рейсами доставляя на их базу дефицитные соль и боеприпасы. На беседу к капитану «Совета» К.А. Дублицкому слетал и начальник острова А.И. Минеев.</w:t>
      </w:r>
    </w:p>
    <w:p w14:paraId="32AF1055"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Кроме того, самолёт экспедиции С.В. Обручева при</w:t>
      </w:r>
      <w:r w:rsidRPr="00142305">
        <w:rPr>
          <w:rStyle w:val="aff"/>
          <w:rFonts w:ascii="Times New Roman" w:hAnsi="Times New Roman" w:cs="Times New Roman"/>
          <w:color w:val="0070C0"/>
          <w:spacing w:val="0"/>
          <w:sz w:val="16"/>
          <w:szCs w:val="16"/>
        </w:rPr>
        <w:softHyphen/>
        <w:t>влекали и к выполнению санитарных рейсов, доставке депутатов на сессию Сонета в Анадырь. Тем не менее все эти нужные дела отрывали экипаж от основной задачи. Уходило короткое лето, и кончался ресурс двигателей. Учитывая, что па перелёт от Красноярска до Анадыря было потрачено 60 часов лётного времени, па возвращение в Магадан - 16 часов, а на полёт к о, Врангеля ещё 6 часов, не трудно подсчитать, сколько часов работы оставалось на нужды экспедиции. Па воздушную съёмку огромной территории Чукотки пришлось всего 20 часов. Безусловно, подобные отвлечения самолёта вызывались критически</w:t>
      </w:r>
      <w:r w:rsidRPr="00142305">
        <w:rPr>
          <w:rStyle w:val="aff"/>
          <w:rFonts w:ascii="Times New Roman" w:hAnsi="Times New Roman" w:cs="Times New Roman"/>
          <w:color w:val="0070C0"/>
          <w:spacing w:val="0"/>
          <w:sz w:val="16"/>
          <w:szCs w:val="16"/>
        </w:rPr>
        <w:softHyphen/>
        <w:t>ми ситуациями, но они ещё раз доказали необходимость базирования в Арктике, и непосредственно на Чукотском полуострове, постоянной авиагрупиы (25653).</w:t>
      </w:r>
    </w:p>
    <w:p w14:paraId="01125E2E" w14:textId="77777777" w:rsidR="003F4A45" w:rsidRPr="00142305" w:rsidRDefault="003F4A45" w:rsidP="003F4A45">
      <w:pPr>
        <w:spacing w:after="0" w:line="240" w:lineRule="auto"/>
        <w:jc w:val="both"/>
        <w:rPr>
          <w:rFonts w:ascii="Times New Roman" w:hAnsi="Times New Roman"/>
          <w:color w:val="0070C0"/>
          <w:sz w:val="16"/>
          <w:szCs w:val="16"/>
        </w:rPr>
      </w:pPr>
    </w:p>
    <w:p w14:paraId="198EBF7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4541E3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17B9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июля 1932 г. танк Т-28 был показан нач</w:t>
      </w:r>
      <w:r w:rsidRPr="00E93F40">
        <w:rPr>
          <w:rFonts w:ascii="Times New Roman" w:hAnsi="Times New Roman"/>
          <w:color w:val="000000" w:themeColor="text1"/>
          <w:sz w:val="16"/>
          <w:szCs w:val="16"/>
        </w:rPr>
        <w:softHyphen/>
        <w:t>составу УММ, а 28 июля — партийному руководству Ле</w:t>
      </w:r>
      <w:r w:rsidRPr="00E93F40">
        <w:rPr>
          <w:rFonts w:ascii="Times New Roman" w:hAnsi="Times New Roman"/>
          <w:color w:val="000000" w:themeColor="text1"/>
          <w:sz w:val="16"/>
          <w:szCs w:val="16"/>
        </w:rPr>
        <w:softHyphen/>
        <w:t>нинграда во главе с С. Кировым (10733,233).</w:t>
      </w:r>
    </w:p>
    <w:p w14:paraId="7B2B09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066E0" w14:textId="77777777" w:rsidR="00537D34" w:rsidRPr="00E93F40" w:rsidRDefault="00537D3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июля 1932 Нарком Тяжелой промышленности внес в Совет Труда и Обороны предложение № 012761 «Об освобождении Орудийно-Арсенального Объединения (по заводу «Красный Октябрь») от выполнения договоров с потребителями на поставку мотоциклов»: «Завод «Красный Октябрь», входящий в настоящее время в состав Орудийно-Арсенального Объединения, имеет с предприятиями и организациями разных ведомств девять договоров на изготовление и поставку контрагентам мотоциклов. Указанные договоры были заключены «Красным Октябрем» и трестом Ватозапчасть еще в то время, когда завод находился в ведении Ватозапчасти и изготовлял только продукцию мирного назначения. С переходом з-да «Красный Октябрь» к Орудобъединению ему были даны задания исключительно оборонного назначения, в соответствии с чем, ему пришлось коренным образом изменить свою производственную программу. Выполнение новой программы требу</w:t>
      </w:r>
      <w:r w:rsidRPr="00E93F40">
        <w:rPr>
          <w:rFonts w:ascii="Times New Roman" w:hAnsi="Times New Roman"/>
          <w:color w:val="000000" w:themeColor="text1"/>
          <w:sz w:val="16"/>
          <w:szCs w:val="16"/>
        </w:rPr>
        <w:softHyphen/>
        <w:t>ет использования всей производственной мощности завода. При таких условиях з-д «Красный Октябрь» лишился возможности выполнить договоры о поставке мотоциклов. Между тем, эти договоры содержат в себе, в отношении завода, жесткие санкции за просрочку и неисполнение принятых заводом обязательств по поставке мотоциклов и з-д должен сво им контрагентам громадные суммы по пеням, если не будет освобожден от исполнения указанных договоров. Ввиду изложенного и на основании Постановления 17 декабря 1931 г. НКТП просит издать постановление, проект которого при сем прилагается». Внесенный Наркомом проект Постановления СТО предполагал: «I/ Освободить Орудийно-Арсенальное Объединение по заводу «Красный Октябрь» от исполнения нижеследующих договоров, перешедших к Орудобъединению от Треста Ватозапчасть в порядке правопреемства: а/ треста «Ватозапчасть» с Отделом Снабжения Центрального Совета Автодора РСФСР от 22/10–1931 г. на поставку 4000 мотоциклов; 2/ з-да «Кр. Октябрь» с управлением наружного освещения г. Ленинграда от 26/1–1932 г. на поставку 6 мотоциклов; 3/ з-да «Кр. Октябрь» с управлением Пожарной Охраны Ленинграда от 23/1–32 г. на поставку 5 мотоциклов; 4/ з-да «Кр. Октябрь» с Секцией механизации Комбината Стандартного домостроения от 4/II-1932 г. на поставку 2 мотоциклов; 5/ договора з-да «Кр. Октябрь» с Ленинграджилстройтрестом от 21/II-1932 г. на поставку 4 мотоциклов; 6/ договора з-да «Кр. Октябрь» с Управлением Ленинградского трамвая от 23/1– 1932 г. на поставку 4 мотоциклов; 7/ з-да «Кр. Октябрь» с Управлением Механизации и Моторизации Кр. Армии от 26/УI-1/УII-1931 г на поставку 50 мотоциклов; 8/ з-да «Кр. Октябрь» с Управлением Ленинградской Милиции от 1/УII-1931 г. на поставку 22 мотоциклов; 9/ з-да «Кр. Октябрь» с Гос Заводом противопожарного оборудования «Прометей» от 20/1–1932 г. на поставку 4000 комплектов штамповки мотоциклетных рам; 10/ освободить Орудоб’единение и зав. «Кр. Октябрь» от уплаты какой-либо пени и неустойки, а также возмещения убытков и связанных с неисполнением или просрочкой исполнения указанных в I п. договоров». Предложение передали в Совнарком, где 17 июля постановили: «Передать вопрос на окончательное решение НКТП и Автодора». Окончательное решение по вопросу выпуска мотоцикла на деле оказалось компромиссным. «Автодор» мог через государственный арбитраж оспорить отказ НКТП от выпуска мотоциклов, но сторонам удалось прийти к соглашению, согласно которому «Красный Октябрь» формально не прекращал работы по мотоциклам, а временно их приостанавливал. На практике это привело к тому, что фактические объемы выпуска вместо многих тысяч в год составляли едва ли не десятки штук. Столь незначительные объемы выпуска не могли покрыть потребности народного хозяйства и военных в мотоциклах, поэтому, за единичными исключениями, частные владельцы мотоциклов так и не получили (19776).</w:t>
      </w:r>
    </w:p>
    <w:p w14:paraId="3947771E" w14:textId="77777777" w:rsidR="00537D34" w:rsidRPr="00E93F40" w:rsidRDefault="00537D34" w:rsidP="00E93F40">
      <w:pPr>
        <w:spacing w:after="0" w:line="240" w:lineRule="auto"/>
        <w:jc w:val="both"/>
        <w:rPr>
          <w:rFonts w:ascii="Times New Roman" w:hAnsi="Times New Roman"/>
          <w:color w:val="000000" w:themeColor="text1"/>
          <w:sz w:val="16"/>
          <w:szCs w:val="16"/>
        </w:rPr>
      </w:pPr>
    </w:p>
    <w:p w14:paraId="05B18847"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108. 24. О балансе цветных металлов (Рудзутак, Пятаков, Андреев): а) об отпуске цветных металлов (ПБ от 10 июля 1932 г., пр. № 107, п. 14). 47. О закупке судов (Боев, Рудзутак). — ОП. (Политбюро... Т. 2. С. 329, 330) (12416).</w:t>
      </w:r>
    </w:p>
    <w:p w14:paraId="06C5BF1F"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6B41CBFF" w14:textId="77777777" w:rsidR="007808C7" w:rsidRPr="00E93F40" w:rsidRDefault="007808C7"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rPr>
        <w:t>16 июля 1932 г. ПБ поручило ЮЛ.Пятакову лично проследить за тем, чтобы договоры о технической помощи по цветному литью были в 2-х дневный срок заключены и о результатах было сообщено ПБ (РГАСПИ. Ф. 17. Оп. 162. Д. 13. Л. 31). 1 августа 1932 г. ПБ заслушало И.В.Боева о договоре об оказании технической помощи по производству цветного литья с итальянской фирмой «Фиат» и приняло решение заключить договор (Там же. Л. 47) (17281).</w:t>
      </w:r>
    </w:p>
    <w:p w14:paraId="563BD744" w14:textId="77777777" w:rsidR="007808C7" w:rsidRPr="00E93F40" w:rsidRDefault="007808C7" w:rsidP="00E93F40">
      <w:pPr>
        <w:spacing w:after="0" w:line="240" w:lineRule="auto"/>
        <w:jc w:val="both"/>
        <w:rPr>
          <w:rFonts w:ascii="Times New Roman" w:hAnsi="Times New Roman"/>
          <w:color w:val="000000" w:themeColor="text1"/>
          <w:sz w:val="16"/>
          <w:szCs w:val="16"/>
          <w:u w:color="002060"/>
        </w:rPr>
      </w:pPr>
    </w:p>
    <w:p w14:paraId="5A8C0165" w14:textId="77777777" w:rsidR="00B411DC" w:rsidRPr="00E93F40" w:rsidRDefault="00B411D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июля 1932 состоялось заседание ПБ (Протокол № 108) </w:t>
      </w:r>
    </w:p>
    <w:p w14:paraId="481E618D" w14:textId="77777777" w:rsidR="00B411DC" w:rsidRPr="00E93F40" w:rsidRDefault="00B411D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10.-О германских специалистах.</w:t>
      </w:r>
    </w:p>
    <w:p w14:paraId="5091313E" w14:textId="77777777" w:rsidR="00B411DC" w:rsidRPr="00E93F40" w:rsidRDefault="00B411D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Крестинский, Пятаков).</w:t>
      </w:r>
    </w:p>
    <w:p w14:paraId="6D1AFB40" w14:textId="77777777" w:rsidR="00B411DC" w:rsidRPr="00E93F40" w:rsidRDefault="00B411D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Передать вопрос на рассмотрение комиссии в составе т.т. Рудзутака, Крестинского и Пятакова.</w:t>
      </w:r>
    </w:p>
    <w:p w14:paraId="3F25BD63" w14:textId="77777777" w:rsidR="00B411DC" w:rsidRPr="00E93F40" w:rsidRDefault="00B411D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Созыв комиссии за т.Рудзутаком.</w:t>
      </w:r>
    </w:p>
    <w:p w14:paraId="25DF519D" w14:textId="77777777" w:rsidR="00B411DC" w:rsidRPr="00E93F40" w:rsidRDefault="00B411D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Карахану, Крестинскому (23053)</w:t>
      </w:r>
    </w:p>
    <w:p w14:paraId="034AB4ED" w14:textId="77777777" w:rsidR="00B411DC" w:rsidRPr="00E93F40" w:rsidRDefault="00B411DC" w:rsidP="00E93F40">
      <w:pPr>
        <w:spacing w:after="0" w:line="240" w:lineRule="auto"/>
        <w:jc w:val="both"/>
        <w:rPr>
          <w:rFonts w:ascii="Times New Roman" w:hAnsi="Times New Roman"/>
          <w:color w:val="000000" w:themeColor="text1"/>
          <w:sz w:val="16"/>
          <w:szCs w:val="16"/>
        </w:rPr>
      </w:pPr>
    </w:p>
    <w:p w14:paraId="50BE3F9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D9B6A2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4497F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июля 1932 столица Донецкой области перенесена из Артемовска в Сталино (4962).</w:t>
      </w:r>
    </w:p>
    <w:p w14:paraId="688695E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30A6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июля 1932 Постановлением Политбюро ЦК ВКП(б) «О рабочей силе для Магнитогорска» предлагалось перебросить на Магнитострой 15 тыс. чел. из числа осужденных на срок до 3-х лет и осужденных к исправительно-трудовым работам без лишения свободы. Попытка оказалась не совсем удачной, т. к. Постановление обязывало местные власти и НКЮ обеспечить доставленную рабочую силу жильем, продовольствием, одеждой, медицинским и культурным обслуживаем наравне с вольнонаемными, что вместе с расходами на перевозку и охрану сделало труд осужденных малорентабельным.(9043).</w:t>
      </w:r>
    </w:p>
    <w:p w14:paraId="7B73BE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A5C203" w14:textId="77777777" w:rsidR="00B411DC" w:rsidRPr="00E93F40" w:rsidRDefault="00B411D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410A968" w14:textId="77777777" w:rsidR="00B411DC" w:rsidRPr="00E93F40" w:rsidRDefault="00B411D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87901F8" w14:textId="77777777" w:rsidR="00B411DC" w:rsidRPr="00E93F40" w:rsidRDefault="00B411D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июля 1932 во время рейса из Сантьяго , Чили , в международный аэропорт губернатора Франсиско Габриэлли в Мендосе, Аргентина, авиакомпания Pan American-Grace Airways (Panagra) Ford 5-AT-C Trimotor San José (регистрация NC403H) терпит крушение на чилийском Серро Эль Пломо. в Андах во время сильной метели. Погибли все девять человек на борту. Погребенные под льдом и снегом, его обломки останутся неоткрытыми до марта 1934 года (20803). </w:t>
      </w:r>
    </w:p>
    <w:p w14:paraId="154D5DF0" w14:textId="77777777" w:rsidR="00B411DC" w:rsidRPr="00E93F40" w:rsidRDefault="00B411DC" w:rsidP="00E93F40">
      <w:pPr>
        <w:spacing w:after="0" w:line="240" w:lineRule="auto"/>
        <w:jc w:val="both"/>
        <w:rPr>
          <w:rFonts w:ascii="Times New Roman" w:hAnsi="Times New Roman"/>
          <w:color w:val="000000" w:themeColor="text1"/>
          <w:sz w:val="16"/>
          <w:szCs w:val="16"/>
        </w:rPr>
      </w:pPr>
    </w:p>
    <w:p w14:paraId="754EA89D" w14:textId="77777777" w:rsidR="00B411DC" w:rsidRPr="00E93F40" w:rsidRDefault="00B411D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5A77B28" w14:textId="77777777" w:rsidR="00B411DC" w:rsidRPr="00E93F40" w:rsidRDefault="00B411D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A537F8" w14:textId="77777777" w:rsidR="00B411DC" w:rsidRPr="00E93F40" w:rsidRDefault="00B411DC"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17 июля 1932 совместным решением УВВС и ГУАП официально изменили зада</w:t>
      </w:r>
      <w:r w:rsidRPr="00E93F40">
        <w:rPr>
          <w:rFonts w:ascii="Times New Roman" w:hAnsi="Times New Roman"/>
          <w:color w:val="000000" w:themeColor="text1"/>
          <w:sz w:val="16"/>
          <w:szCs w:val="16"/>
          <w:lang w:eastAsia="ru-RU" w:bidi="ru-RU"/>
        </w:rPr>
        <w:softHyphen/>
        <w:t>ние заводу №16: теперь все самолеты ТШ-2 М-17 войсковой серии должны были сдаваться только с пулеметами и бомбодержателями. Между тем доводка первого образцо</w:t>
      </w:r>
      <w:r w:rsidRPr="00E93F40">
        <w:rPr>
          <w:rFonts w:ascii="Times New Roman" w:hAnsi="Times New Roman"/>
          <w:color w:val="000000" w:themeColor="text1"/>
          <w:sz w:val="16"/>
          <w:szCs w:val="16"/>
          <w:lang w:eastAsia="ru-RU" w:bidi="ru-RU"/>
        </w:rPr>
        <w:softHyphen/>
        <w:t>вого экземпляра ТШ-2 М-17 в очередной раз затянулась (21062).</w:t>
      </w:r>
    </w:p>
    <w:p w14:paraId="6860DE30" w14:textId="77777777" w:rsidR="00B411DC" w:rsidRPr="00E93F40" w:rsidRDefault="00B411DC" w:rsidP="00E93F40">
      <w:pPr>
        <w:spacing w:after="0" w:line="240" w:lineRule="auto"/>
        <w:jc w:val="both"/>
        <w:rPr>
          <w:rFonts w:ascii="Times New Roman" w:hAnsi="Times New Roman"/>
          <w:color w:val="000000" w:themeColor="text1"/>
          <w:sz w:val="16"/>
          <w:szCs w:val="16"/>
          <w:lang w:eastAsia="ru-RU" w:bidi="ru-RU"/>
        </w:rPr>
      </w:pPr>
    </w:p>
    <w:p w14:paraId="6738C102" w14:textId="77777777" w:rsidR="00B411DC" w:rsidRPr="00E93F40" w:rsidRDefault="00B411D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17 июля 1932 вышло постановление № 843/253сс РЗ СТО или КО (№ 1239/ко от 19.7.1932 г.) - О подготовительных работах к строительству завода № 30 (21564).</w:t>
      </w:r>
    </w:p>
    <w:p w14:paraId="0751674F" w14:textId="77777777" w:rsidR="00B411DC" w:rsidRPr="00E93F40" w:rsidRDefault="00B411DC" w:rsidP="00E93F40">
      <w:pPr>
        <w:spacing w:after="0" w:line="240" w:lineRule="auto"/>
        <w:jc w:val="both"/>
        <w:rPr>
          <w:rFonts w:ascii="Times New Roman" w:hAnsi="Times New Roman"/>
          <w:color w:val="000000" w:themeColor="text1"/>
          <w:sz w:val="16"/>
          <w:szCs w:val="16"/>
          <w:lang w:eastAsia="ru-RU" w:bidi="ru-RU"/>
        </w:rPr>
      </w:pPr>
    </w:p>
    <w:p w14:paraId="2251D893" w14:textId="77777777" w:rsidR="008328E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8EE3820" w14:textId="77777777" w:rsidR="008328E0" w:rsidRPr="00E93F40" w:rsidRDefault="008328E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0042358" w14:textId="77777777" w:rsidR="00B411DC" w:rsidRPr="00E93F40" w:rsidRDefault="00B411D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17 июля 1932 г. на встрече представителей группы «Д» и спецотдела завода «Красный Октябрь» был разработан план выхода из сложившейся ситуации. Цельнотянутые 82-мм трубы было решено получить с завода №13 (г. Брянск), который обязался доставить их в кратчайшие сроки. В связи с этим доставка опытных образцов 82-мм батальонных минометов на НИАП была запланирована в срок к 1 сентября 1932 г. Материалы для изготовления 60-мм ротного и 165-мм полкового минометов представители завода «Красный Октябрь» брали на себя обязательства подобрать на заводах «Большевик» или «Красное Сормово» (г. Горький). 200 Изготовление корпусов для 60-мм, 82-мм и 165-мм чугунных оперенных мин предполагалось осуществить все-таки на заводе «Мастяжарт» (за неимением отливок на «Красном Октябре»). После посещения Н. А. Доровлевым завода выяснилось, что ввиду недостаточного количества оборудования и необходимости выполнения большого заказа на изготовление аэробомб предприятие действительно не сможет выполнить заказ к указанному сроку. Кроме этого, были сорваны сроки поставки чугунных отливок для 165-мм мин с ВерхнеТуринского завода (Пермская обл.). В связи с этим и учитывая сроки поставки 60-мм и 82-мм систем на НИАП (к 1 сентября 1932 г.), Н. А. Доровлевым было предложено изготовить к тому же сроку: 60-мм мин — 80 шт., 82-мм мин - 80 шт., 165-мм мин - 60 шт. (каждого вида - одному варианту). Обработку остальной части заказанной партии мин в целях ускорения выполнения заказа предлагалось передать другому заводу, находящемуся в Москве.201 2 шт. 60-мм ротных и 2 шт. 82-мм батальонных минометов конструкции группы «Д» АНИИ были изготовлены заводом «Красный Октябрь» к 15 октября 1932 г. При этом из-за отсутствия нужной листовой стали опорные плиты к ним выполнены не были. К изготовлению 2 шт. опытных образцов 120-мм полковых минометов завод приступил 25 октября 1932 г. Выпуск 9 шт. 82-мм батальонных минометов (3 шт. – по заказу АУ и 5 шт. – по заказу ВОХИМУ) и 4 шт. 165-мм ПМ (2 шт. – по заказу АУ и 2 шт. – по заказу ВОХИМУ) оставался под вопросом.202 (20074)</w:t>
      </w:r>
    </w:p>
    <w:p w14:paraId="59CCA3E2" w14:textId="77777777" w:rsidR="00B411DC" w:rsidRPr="00E93F40" w:rsidRDefault="00B411DC" w:rsidP="00E93F40">
      <w:pPr>
        <w:spacing w:after="0" w:line="240" w:lineRule="auto"/>
        <w:jc w:val="both"/>
        <w:rPr>
          <w:rFonts w:ascii="Times New Roman" w:hAnsi="Times New Roman"/>
          <w:color w:val="000000" w:themeColor="text1"/>
          <w:sz w:val="16"/>
          <w:szCs w:val="16"/>
        </w:rPr>
      </w:pPr>
    </w:p>
    <w:p w14:paraId="25EBEA5C"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июля 1932 прошли заводские испытания Д-2 «на перегоне завод № 1 - ст. Люблино - ст. Замоскворечье - ст. Царицыно».</w:t>
      </w:r>
    </w:p>
    <w:p w14:paraId="668A90E1"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в самом начале пробега у мотоброневагона вышла из коробка перемены передач, и его вернули на ремонт. 14 сентября 1932 года завод № 1 провел испытания Д-2 с дисково-сцепной муфтой, «предложенной тов. Дыренковым и уже устанавливаемой в качестве типовой для всех 60-ти Д-2».</w:t>
      </w:r>
    </w:p>
    <w:p w14:paraId="6CE4F030"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после 4 км пробега пришлось прекратить испытания из-за «отказа в работе дисково-сцепной муфты, гидравлического и ручного управления» (15624).</w:t>
      </w:r>
    </w:p>
    <w:p w14:paraId="25DF4339" w14:textId="77777777" w:rsidR="00633D4B" w:rsidRPr="00E93F40" w:rsidRDefault="00633D4B" w:rsidP="00E93F40">
      <w:pPr>
        <w:spacing w:after="0" w:line="240" w:lineRule="auto"/>
        <w:jc w:val="both"/>
        <w:rPr>
          <w:rFonts w:ascii="Times New Roman" w:hAnsi="Times New Roman"/>
          <w:color w:val="000000" w:themeColor="text1"/>
          <w:sz w:val="16"/>
          <w:szCs w:val="16"/>
        </w:rPr>
      </w:pPr>
    </w:p>
    <w:p w14:paraId="2CFFAA2D"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июля 1932 г., согласно приказу начальника УММ РККА И. Халепского о проведении заводских испытаний Д-2, прошли испытания мотоброневагона Д-2 Дыренкова «на перегоне завод № 1 — ст. Люблино — ст. Замоскворечье — ст. Царицыно».</w:t>
      </w:r>
    </w:p>
    <w:p w14:paraId="673054F1"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в самом начале пробега у мотоброневагона вышла из коробка перемены передач, и его вернули на ремонт. 14 сентября 1932 года завод № 1 провел испытания Д-2 с дисково-сцепной муфтой,</w:t>
      </w:r>
    </w:p>
    <w:p w14:paraId="44377E2A"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«предложенной тов. Дыренковым и уже устанавливаемой в качестве типовой для всех 60-ти Д-2». </w:t>
      </w:r>
    </w:p>
    <w:p w14:paraId="1FEFD838"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после 4 км пробега пришлось прекратить испытания из-за </w:t>
      </w:r>
    </w:p>
    <w:p w14:paraId="4F469058"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«отказа в работе дисково-сцепной муфты, гидравлического и ручного управления».</w:t>
      </w:r>
    </w:p>
    <w:p w14:paraId="611C5C0E"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Внешне серийный вариант Д-2 напоминал сильно увеличенный в размерах опытный образец. Корпус сваривался из 10-16 мм бронели-стов, что позволило снизить его массу и удешевить производство. В центре корпуса размещалась довольно большая рубка для командира, радиста и водителя, в стенках которой имелось 1 люков со смотровыми щелями и дверь для выхода на крышу Четыре двери в бортах корпуса служили для посадки экипажа. В центре рамы, к которой крепился корпус, находился автомобильный двигатель «Геркулес» YXC мощностью 93 л.с и коробка перемены передач Д-35. В отличие от опытного образца на серийных мото-броневагонах Д-2 коробка Д-35 снабжалась дисково-сцепной муфтой конструкции Дыренкова, обеспечивавшей более плавное переключение передач, а управление вагоном было двойным — механическим и гидравлическим. Все эти нововведения позволили значительно облегчить управление мотоброневагоном, но их надежность оставляла желать лучшего (25568).</w:t>
      </w:r>
    </w:p>
    <w:p w14:paraId="180467FE" w14:textId="77777777" w:rsidR="003F4A45" w:rsidRPr="00142305" w:rsidRDefault="003F4A45" w:rsidP="003F4A45">
      <w:pPr>
        <w:spacing w:after="0" w:line="240" w:lineRule="auto"/>
        <w:jc w:val="both"/>
        <w:rPr>
          <w:rFonts w:ascii="Times New Roman" w:hAnsi="Times New Roman"/>
          <w:color w:val="0070C0"/>
          <w:sz w:val="16"/>
          <w:szCs w:val="16"/>
        </w:rPr>
      </w:pPr>
    </w:p>
    <w:p w14:paraId="012296D6"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17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841/251сс о продлении финансирования строительства нефтегазового завода в г. Сормово (ГА РФ. Ф. Р?8418. Оп. 28. Д. 1а. Л. 300) (12415).</w:t>
      </w:r>
    </w:p>
    <w:p w14:paraId="27013AE7"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842/252сс об оборотных средствах для гражданской промышленности НКТПрома по выполнению заказов для НКВМ (ГА РФ. Ф. Р?8418. Оп. 28. Д. 1а. Л. 301) (12415).</w:t>
      </w:r>
    </w:p>
    <w:p w14:paraId="753D7B5E"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843/253сс о подготовительных работах к строительству завода № 30 (ГА РФ. Ф. Р?8418. Оп. 28. Д. 1а. Л. 302) (12415).</w:t>
      </w:r>
    </w:p>
    <w:p w14:paraId="52B2CD7B"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3081C160" w14:textId="77777777" w:rsidR="00A34BF2"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CE4439B" w14:textId="77777777" w:rsidR="00A34BF2" w:rsidRPr="00E93F40" w:rsidRDefault="00A34BF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02994D" w14:textId="77777777" w:rsidR="00A34BF2" w:rsidRPr="00E93F40" w:rsidRDefault="00A34B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июля 1932</w:t>
      </w:r>
      <w:r w:rsidRPr="00E93F40">
        <w:rPr>
          <w:rFonts w:ascii="Times New Roman" w:hAnsi="Times New Roman"/>
          <w:bCs/>
          <w:color w:val="000000" w:themeColor="text1"/>
          <w:sz w:val="16"/>
          <w:szCs w:val="16"/>
        </w:rPr>
        <w:t xml:space="preserve"> вооруженные коммунисты атаковали национал-социалистическую демонстрацию в Альтоне в северной Германии, в результате чего </w:t>
      </w:r>
      <w:r w:rsidRPr="00E93F40">
        <w:rPr>
          <w:rFonts w:ascii="Times New Roman" w:hAnsi="Times New Roman"/>
          <w:bCs/>
          <w:iCs/>
          <w:color w:val="000000" w:themeColor="text1"/>
          <w:sz w:val="16"/>
          <w:szCs w:val="16"/>
        </w:rPr>
        <w:t>18</w:t>
      </w:r>
      <w:r w:rsidRPr="00E93F40">
        <w:rPr>
          <w:rFonts w:ascii="Times New Roman" w:hAnsi="Times New Roman"/>
          <w:bCs/>
          <w:color w:val="000000" w:themeColor="text1"/>
          <w:sz w:val="16"/>
          <w:szCs w:val="16"/>
        </w:rPr>
        <w:t xml:space="preserve"> человек убито. Событие становится известным как </w:t>
      </w:r>
      <w:r w:rsidRPr="00E93F40">
        <w:rPr>
          <w:rFonts w:ascii="Times New Roman" w:hAnsi="Times New Roman"/>
          <w:bCs/>
          <w:iCs/>
          <w:color w:val="000000" w:themeColor="text1"/>
          <w:sz w:val="16"/>
          <w:szCs w:val="16"/>
        </w:rPr>
        <w:t>«кровавое воскресенье в Альтоне»</w:t>
      </w:r>
      <w:r w:rsidRPr="00E93F40">
        <w:rPr>
          <w:rFonts w:ascii="Times New Roman" w:hAnsi="Times New Roman"/>
          <w:bCs/>
          <w:color w:val="000000" w:themeColor="text1"/>
          <w:sz w:val="16"/>
          <w:szCs w:val="16"/>
        </w:rPr>
        <w:t>. Возмущение немцев по поводу нападения в Альтоне ослабляет правительство Веймара и усиливает позиции национал-социалистов (нацистов). В Германии произошло и много других политических уличных боев (17325).</w:t>
      </w:r>
    </w:p>
    <w:p w14:paraId="6AC012E2" w14:textId="77777777" w:rsidR="00A34BF2" w:rsidRPr="00E93F40" w:rsidRDefault="00A34BF2" w:rsidP="00E93F40">
      <w:pPr>
        <w:spacing w:after="0" w:line="240" w:lineRule="auto"/>
        <w:jc w:val="both"/>
        <w:rPr>
          <w:rFonts w:ascii="Times New Roman" w:hAnsi="Times New Roman"/>
          <w:color w:val="000000" w:themeColor="text1"/>
          <w:sz w:val="16"/>
          <w:szCs w:val="16"/>
          <w:u w:color="002060"/>
        </w:rPr>
      </w:pPr>
    </w:p>
    <w:p w14:paraId="6F787B7E" w14:textId="19D10A06" w:rsidR="003F4A45" w:rsidRPr="00E93F40" w:rsidRDefault="003F4A45" w:rsidP="003F4A45">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7C267925" w14:textId="77777777" w:rsidR="003F4A45" w:rsidRPr="00E93F40" w:rsidRDefault="003F4A45" w:rsidP="003F4A45">
      <w:pPr>
        <w:autoSpaceDE w:val="0"/>
        <w:autoSpaceDN w:val="0"/>
        <w:adjustRightInd w:val="0"/>
        <w:spacing w:after="0" w:line="240" w:lineRule="auto"/>
        <w:jc w:val="both"/>
        <w:rPr>
          <w:rFonts w:ascii="Times New Roman" w:hAnsi="Times New Roman"/>
          <w:iCs/>
          <w:color w:val="000000" w:themeColor="text1"/>
          <w:sz w:val="16"/>
          <w:szCs w:val="16"/>
        </w:rPr>
      </w:pPr>
    </w:p>
    <w:p w14:paraId="463F4945" w14:textId="77777777" w:rsidR="003F4A45" w:rsidRPr="003F4A45" w:rsidRDefault="003F4A45" w:rsidP="003F4A45">
      <w:pPr>
        <w:pStyle w:val="aff2"/>
        <w:tabs>
          <w:tab w:val="left" w:pos="594"/>
        </w:tabs>
        <w:spacing w:line="240" w:lineRule="auto"/>
        <w:rPr>
          <w:rFonts w:ascii="Times New Roman" w:hAnsi="Times New Roman" w:cs="Times New Roman"/>
          <w:i w:val="0"/>
          <w:iCs w:val="0"/>
          <w:color w:val="0070C0"/>
          <w:sz w:val="16"/>
          <w:szCs w:val="16"/>
          <w:lang w:val="ru-RU"/>
        </w:rPr>
      </w:pPr>
      <w:r w:rsidRPr="003F4A45">
        <w:rPr>
          <w:rFonts w:ascii="Times New Roman" w:hAnsi="Times New Roman" w:cs="Times New Roman"/>
          <w:i w:val="0"/>
          <w:iCs w:val="0"/>
          <w:color w:val="0070C0"/>
          <w:sz w:val="16"/>
          <w:szCs w:val="16"/>
          <w:lang w:val="ru-RU"/>
        </w:rPr>
        <w:t>18 июля 1930 г. ОГПУ докладывало Сталину:</w:t>
      </w:r>
    </w:p>
    <w:p w14:paraId="04EAAB0B"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1928/29 год выбыло из строя вследствие аварий, пожаров и других причин 431 самолет, из них уничтожено полностью 164 самолета, т. е. 38% от общего числа выбывших.</w:t>
      </w:r>
    </w:p>
    <w:p w14:paraId="39B089B5"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9 же месяцев 1929/30 года (до 1 июля с. г.) выбыло из строя 379 самолетов, из них уничтожено полностью 154 самолета (40%).</w:t>
      </w:r>
    </w:p>
    <w:p w14:paraId="449FADE2"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Обращает особое внимание большое число погибших за 1928/29 и 1930 гг. летчиков при катастрофах: в 1928/29 г. - 61 человек; за 1930 г. (до 15 июля) - 54 человека (сюда не включены тяжело и легко раненые).</w:t>
      </w:r>
    </w:p>
    <w:p w14:paraId="3CDE9BBB"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Основными причинами такого громадного количества потерь самолетов и ги</w:t>
      </w:r>
      <w:r w:rsidRPr="00142305">
        <w:rPr>
          <w:rFonts w:ascii="Times New Roman" w:hAnsi="Times New Roman"/>
          <w:color w:val="0070C0"/>
          <w:sz w:val="16"/>
          <w:szCs w:val="16"/>
        </w:rPr>
        <w:softHyphen/>
        <w:t>бели летного состава является в первую очередь:</w:t>
      </w:r>
    </w:p>
    <w:p w14:paraId="43092C9A" w14:textId="77777777" w:rsidR="003F4A45" w:rsidRPr="00142305" w:rsidRDefault="003F4A45" w:rsidP="003F4A45">
      <w:pPr>
        <w:tabs>
          <w:tab w:val="left" w:pos="750"/>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недисциплинированность личного состава Воздушных сил.</w:t>
      </w:r>
    </w:p>
    <w:p w14:paraId="5200D75A"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Количество аварий самолетов по халатности личного состава за последние годы не только не уменьшилось, но возросло: в 1928/29 г. - 30,4% от общего числа аварий, в 1929/30 г. - 32,5%;</w:t>
      </w:r>
    </w:p>
    <w:p w14:paraId="05527582" w14:textId="77777777" w:rsidR="003F4A45" w:rsidRPr="00142305" w:rsidRDefault="003F4A45" w:rsidP="003F4A45">
      <w:pPr>
        <w:tabs>
          <w:tab w:val="left" w:pos="75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неудовлетворительный до сих пор подбор инструкторского состава в шко</w:t>
      </w:r>
      <w:r w:rsidRPr="00142305">
        <w:rPr>
          <w:rFonts w:ascii="Times New Roman" w:hAnsi="Times New Roman"/>
          <w:color w:val="0070C0"/>
          <w:sz w:val="16"/>
          <w:szCs w:val="16"/>
        </w:rPr>
        <w:softHyphen/>
        <w:t>лах, как следствие - недостаточно удовлетворительная подготовка молодых летчи</w:t>
      </w:r>
      <w:r w:rsidRPr="00142305">
        <w:rPr>
          <w:rFonts w:ascii="Times New Roman" w:hAnsi="Times New Roman"/>
          <w:color w:val="0070C0"/>
          <w:sz w:val="16"/>
          <w:szCs w:val="16"/>
        </w:rPr>
        <w:softHyphen/>
        <w:t>ков».</w:t>
      </w:r>
    </w:p>
    <w:p w14:paraId="4772BF96"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докладе ОГПУ назывались и другие причины аварий - устаревшая авиатех</w:t>
      </w:r>
      <w:r w:rsidRPr="00142305">
        <w:rPr>
          <w:rFonts w:ascii="Times New Roman" w:hAnsi="Times New Roman"/>
          <w:color w:val="0070C0"/>
          <w:sz w:val="16"/>
          <w:szCs w:val="16"/>
        </w:rPr>
        <w:softHyphen/>
        <w:t>ника, отсутствие ангаров и охраны на аэродромах. И констатировалось, что армей</w:t>
      </w:r>
      <w:r w:rsidRPr="00142305">
        <w:rPr>
          <w:rFonts w:ascii="Times New Roman" w:hAnsi="Times New Roman"/>
          <w:color w:val="0070C0"/>
          <w:sz w:val="16"/>
          <w:szCs w:val="16"/>
        </w:rPr>
        <w:softHyphen/>
        <w:t>ское руководство принимает меры для исправления положения:</w:t>
      </w:r>
    </w:p>
    <w:p w14:paraId="182CC2A6" w14:textId="77777777" w:rsidR="003F4A45" w:rsidRPr="00142305" w:rsidRDefault="003F4A45" w:rsidP="003F4A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«Вопросы аварий, мер борьбы с ними обсуждались 8 июля на специальном заседании с участием командующих и начальников воздушных сил округов, созван</w:t>
      </w:r>
      <w:r w:rsidRPr="00142305">
        <w:rPr>
          <w:rFonts w:ascii="Times New Roman" w:hAnsi="Times New Roman"/>
          <w:color w:val="0070C0"/>
          <w:sz w:val="16"/>
          <w:szCs w:val="16"/>
        </w:rPr>
        <w:softHyphen/>
        <w:t>ном тов. Ворошиловым, на каковом разработан ряд мероприятий» (24968).</w:t>
      </w:r>
    </w:p>
    <w:p w14:paraId="08341607" w14:textId="77777777" w:rsidR="003F4A45" w:rsidRPr="00142305" w:rsidRDefault="003F4A45" w:rsidP="003F4A45">
      <w:pPr>
        <w:pStyle w:val="aff2"/>
        <w:tabs>
          <w:tab w:val="left" w:pos="594"/>
        </w:tabs>
        <w:spacing w:line="240" w:lineRule="auto"/>
        <w:rPr>
          <w:rFonts w:ascii="Times New Roman" w:hAnsi="Times New Roman" w:cs="Times New Roman"/>
          <w:i w:val="0"/>
          <w:iCs w:val="0"/>
          <w:color w:val="0070C0"/>
          <w:sz w:val="16"/>
          <w:szCs w:val="16"/>
        </w:rPr>
      </w:pPr>
    </w:p>
    <w:p w14:paraId="65A1683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C286A2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57C9E3A"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июля 1932 г. в ходе перелета восьми самолётов из Аягуза в Урумчи, который состоялся в два этапа, перелетели в Вахты. По маршруту шла колонна машин — сначала звено (тройка) У-2, за</w:t>
      </w:r>
      <w:r w:rsidRPr="00E93F40">
        <w:rPr>
          <w:rFonts w:ascii="Times New Roman" w:hAnsi="Times New Roman"/>
          <w:color w:val="000000" w:themeColor="text1"/>
          <w:sz w:val="16"/>
          <w:szCs w:val="16"/>
        </w:rPr>
        <w:softHyphen/>
        <w:t>тем пара К-5 и замыкающим звено Р-1. Весь полёт проходил на высоте около 600 м. Спустя 10 дней, 28 июля, группа перелетела в Урумчи. Оба К-5 летели без посадки, У-2 и Р-1 садились в Шихо для дозаправки. Лидировал группу Волынченко, в целом перелёт прошёл без приключений, лишь один К-5 из-за проблем с мотором садился на вынуж</w:t>
      </w:r>
      <w:r w:rsidRPr="00E93F40">
        <w:rPr>
          <w:rFonts w:ascii="Times New Roman" w:hAnsi="Times New Roman"/>
          <w:color w:val="000000" w:themeColor="text1"/>
          <w:sz w:val="16"/>
          <w:szCs w:val="16"/>
        </w:rPr>
        <w:softHyphen/>
        <w:t>денную. В отчетах также отметили потерю лидером ориентировки на маршруте. В Урумчи группу ждала торжественная встреча, причем по политическим соображе</w:t>
      </w:r>
      <w:r w:rsidRPr="00E93F40">
        <w:rPr>
          <w:rFonts w:ascii="Times New Roman" w:hAnsi="Times New Roman"/>
          <w:color w:val="000000" w:themeColor="text1"/>
          <w:sz w:val="16"/>
          <w:szCs w:val="16"/>
        </w:rPr>
        <w:softHyphen/>
        <w:t>ниям советские граждане на ней не присутствовали. Прилетевших авиаторов до их отъезда в СССР поселили в консульстве (15802).</w:t>
      </w:r>
    </w:p>
    <w:p w14:paraId="08CEE4ED" w14:textId="77777777" w:rsidR="00633D4B" w:rsidRPr="00E93F40" w:rsidRDefault="00633D4B" w:rsidP="00E93F40">
      <w:pPr>
        <w:spacing w:after="0" w:line="240" w:lineRule="auto"/>
        <w:jc w:val="both"/>
        <w:rPr>
          <w:rFonts w:ascii="Times New Roman" w:hAnsi="Times New Roman"/>
          <w:color w:val="000000" w:themeColor="text1"/>
          <w:sz w:val="16"/>
          <w:szCs w:val="16"/>
        </w:rPr>
      </w:pPr>
    </w:p>
    <w:p w14:paraId="2A63C503"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июня 1932 г. во Франции совершил первый полет новый истребитель-моноплан Девуатин D-50 °C1 с мотором «Испано-Сюиза» HS-12Xbrs мощностью 500 л.с., несколько позже — его модификация D-501 с мотором HS-12Xcrs и пушкой калибра 20 мм. К этому времени во Франции уже завершилась разработка более мощных моторов «Испано-Сюиза» HS-Хbrs и HS-12Ycrs, причем последнего с возможностью установки пушки. Их конструкция, характеристики довольно широко обсуждались на страницах мировой авиационной печати. Николай Николаевич знал, что мы вели переговоры с французской стороной о покупке лицензии на производство этих моторов (25035).</w:t>
      </w:r>
    </w:p>
    <w:p w14:paraId="5089BFA8" w14:textId="77777777" w:rsidR="002A278B" w:rsidRPr="00142305" w:rsidRDefault="002A278B" w:rsidP="002A278B">
      <w:pPr>
        <w:spacing w:after="0" w:line="240" w:lineRule="auto"/>
        <w:jc w:val="both"/>
        <w:rPr>
          <w:rFonts w:ascii="Times New Roman" w:hAnsi="Times New Roman"/>
          <w:color w:val="0070C0"/>
          <w:sz w:val="16"/>
          <w:szCs w:val="16"/>
        </w:rPr>
      </w:pPr>
    </w:p>
    <w:p w14:paraId="04310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июля 1932 Турция вступила в Лигу наций (2443,407).</w:t>
      </w:r>
    </w:p>
    <w:p w14:paraId="67008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C6D7B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июля 1932 Турция стала 56-м членом Лиги Наций (4962)</w:t>
      </w:r>
      <w:r w:rsidR="00A34BF2" w:rsidRPr="00E93F40">
        <w:rPr>
          <w:rFonts w:ascii="Times New Roman" w:hAnsi="Times New Roman"/>
          <w:color w:val="000000" w:themeColor="text1"/>
          <w:sz w:val="16"/>
          <w:szCs w:val="16"/>
        </w:rPr>
        <w:t>, тем самым она первой из двух европейских стран, находящихся в изоляции (вторая СССР) эту изоляцию преодолела (17325)</w:t>
      </w:r>
      <w:r w:rsidRPr="00E93F40">
        <w:rPr>
          <w:rFonts w:ascii="Times New Roman" w:hAnsi="Times New Roman"/>
          <w:color w:val="000000" w:themeColor="text1"/>
          <w:sz w:val="16"/>
          <w:szCs w:val="16"/>
        </w:rPr>
        <w:t>.</w:t>
      </w:r>
    </w:p>
    <w:p w14:paraId="594E20E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5047A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3DAC64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F5C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июля 1932 в НИИ УВВС был сдан ТБ-3 4М-17 (2202) для испытания вооружения (2314).</w:t>
      </w:r>
    </w:p>
    <w:p w14:paraId="51663F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978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июля 1932 года. для продолжения ледовых разведок СССР-Н1 вылетел из Красноярска. В начале навигации 1932 г. машина использовалась в геологической экспедиции С.В.Обручева. Экипаж: командир Л.В.Петров, пилот Г.А.Страубе, бортмеханик В.В.Косухин и помощник бортмеханика Б.Г.Крутский - впервые осуществили перелет из Красноярска через всю Сибирь, Приамурье и Охотское море до о. Врангеля, куда доставили продовольствие и оружие общим весом 1500 кг. С Врангеля забрали 9 зимовщиков, вывезли 1010 песцовых шкурок и багаж зимовщиков весом 720 кг. Добирались с приключениями. У поселка Кежма на Ангаре сгорел один из моторов, и экипаж пошел на вынужденную посадку. Во время полета над Охотским морем лопнул дюритовый шланг в системе охлаждения заднего мотора. Чтобы спасти двигатель, пилот остановил его. Бортмеханик Крутский поднялся в мотогондолу и восстановил магистраль. Все это время самолет снижался в тумане. Пилот запустил мотор, и машина избежала новой вынужденной посадки. В начальный пункт исследовательских полетов - Анадырь, лодка прибыла 22 августа, израсходовав 70 из 100 часов моторесурса. Несмотря на это, экспедиция сумела значительно уточнить карты Чукотки. К моменту возвращения СССР-HI в Анадырь пришло время менять двигатели. Кроме того, наступила ранняя осень, начались штормы, выпал снег. Самолет закончил работу и вылетел в бухту Нагаево. При подъеме на борт парохода "Днепрострой" лопнул 30-тонный гак и самолет упал со стрелы в воду. Налет машины в этом году составил 110 часов 08 минут за 59 полетов (11970).</w:t>
      </w:r>
    </w:p>
    <w:p w14:paraId="0171A4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BD8D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июля 1932 года в 2 часа дня Изобретатель Барлоу прибыл в Москву. Он изобрел большую воздушную торпеду радиусом действия в 1000 миль плюс 150 миль резерва, управление которой и контроль над ее полетом совершается механически с места пуска торпеды. Полет торпеды во время нахождения ее в воздухе может быть изменен в любом направлении и даже она может быть возвращена обратно. Торпеда содержит в себе 19 снарядов по 300 фунтов каждый. Падение этих снарядов тоже регулируется. Каждый снаряд делится на две составные части: одна разрушительная, вторая – зажигательная. Одновременно в воздухе может быть 150 таких торпед и они могут быть сконцентрированы над одной какой-либо точкой. Скорость торпеды – 150 миль/час. Гарантия попадания определена в 85%, но этот процент может быть еще увеличен.</w:t>
      </w:r>
    </w:p>
    <w:p w14:paraId="25E12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Барлоу полагает, что против этих торпед не может быть никакого противодействия и что поэтому его изобретение имеет колоссальное значение. Над этим изобретением он работает с 1918 года и только недавно ему удалось эту задачу разрешить. Сам он по образованию инженер и в своей практике имеет много всевозможных изобретений. Он долгое время состоял инженером-консультантом при Морском министерстве Америки, изобрел несколько систем воздушных бомб, а также глубинных морских мин. Во время войны 1914-1918 гг. был инструктором по воздушной бомбардировке при Английской армии. Он показывал мне много своих изобретений, запатентованных в Америке, а также многочисленные снимки применения на практике этих изобретений. Основываясь на своем опыте и знаниях, он категорически утверждает, что его изобретение делает войну невозможной. Сам он человек в денежном отношении независимый, по убеждениям – либерал (3553,1-5).</w:t>
      </w:r>
    </w:p>
    <w:p w14:paraId="4ACFA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18962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644CA6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815B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июля 1932 года начальник ВВС Алкснис писал письмо N 38/01273 председателю РВС.</w:t>
      </w:r>
    </w:p>
    <w:p w14:paraId="051DD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производства самолетов ТБ-3 на заводе N 22.</w:t>
      </w:r>
    </w:p>
    <w:p w14:paraId="647BA8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20 июля 1932 года</w:t>
      </w:r>
    </w:p>
    <w:p w14:paraId="76F95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N 8 и 12 из перелета по маршруту Москва-Киев и обратно сего числа возвратились на заводской аэродром (3027).</w:t>
      </w:r>
    </w:p>
    <w:p w14:paraId="56F51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F83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июля 1932 года Логановский писал письмо Кагановичу, Молотову, Ворошилову</w:t>
      </w:r>
    </w:p>
    <w:p w14:paraId="34324D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Копия: Пятакову, Тухачевскому</w:t>
      </w:r>
    </w:p>
    <w:p w14:paraId="08D9F0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Изобретатель Барлоу прибыл в Москву 19 июля 1932 года в 2 часа дня. Вечером того же дня я имел с ним первую беседу.</w:t>
      </w:r>
    </w:p>
    <w:p w14:paraId="2BDE3A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своем изобретении он сообщил мне следующее: он изобрел большую воздушную торпеду радиусом действия в 1000 миль плюс 150 миль резерва, управление которой и контроль над ее полетом совершается механически с места пуска торпеды. Полет торпеды во время нахождения ее в воздухе может быть изменен в любом направлении и даже она может быть возвращена обратно. Торпеда содержит в себе 19 снарядов по 300 фунтов каждый. Падение этих снарядов тоже регулируется. Каждый снаряд делится на две составные части: одна разрушительная, вторая – зажигательная. Одновременно в воздухе может быть 150 таких торпед и они могут быть сконцентрированы над одной какой-либо точкой. Скорость торпеды – 150 миль/час. Гарантия попадания определена в 85%, но этот процент может быть еще увеличен.</w:t>
      </w:r>
    </w:p>
    <w:p w14:paraId="078438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Барлоу полагает, что против этих торпед не может быть никакого противодействия и что поэтому его изобретение имеет колоссальное значение. Над этим изобретением он работает с 1918 года и только недавно ему удалось эту задачу разрешить. Сам он по образованию инженер и в своей практике имеет много всевозможных изобретений. Он долгое время состоял инженером-консультантом при Морском министерстве Америки, изобрел несколько систем воздушных бомб, а также глубинных морских мин. Во время войны 1914-1918 гг. был инструктором по воздушной бомбардировке при Английской армии. Он показывал мне много своих изобретений, запатентованных в Америке, а также многочисленные снимки применения на практике этих изобретений. Основываясь на своем опыте и знаниях, он категорически утверждает, что его изобретение делает войну невозможной. Сам он человек в денежном отношении независимый, по убеждениям – либерал.</w:t>
      </w:r>
    </w:p>
    <w:p w14:paraId="7688A8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 использовании своего изобретения он сообщил мне следующее: как только работы по изобретению были закончены, он повел разговоры с несколькими американскими сенаторами, причем со стороны некоторых встретил поддержку. Его вызвал Гувер и предложил ему передать изобретение правительству. Барлоу дал согласие при условии, если Гувер создаст специальную сенатскую комиссию из сенаторов, рекомендованных им (Барлоу) и затем, чтобы Гувер на основе этого изобретения сделал предложение о всеобщем разоружении. Гувер отклонил это предложение и тогда Барлоу повел довольно широкую популяризацию своего изобретения в прессе, а также группа сочувствующих ему сенаторов внесла соответствующее предложение в Сенат. Во главе этой сенатской группы стоят два сенатора – Фрейзер и Бора, которых он посвятил в некоторые детали своего изобретения.</w:t>
      </w:r>
    </w:p>
    <w:p w14:paraId="73B04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добившись ничего определенного в Америке, он решил, что единственная страна, которая может использовать изобретение – это Советский Союз, поэтому он дал согласие на свой приезд в Москву и со своей стороны предлагает следующий план действий: в течение 2-3 дней он сделает соответствующие схемы и чертежи для представления их нашим специалистам. После того, как наши специалисты убедятся, что его изобретение является реальным, Советское Правительство отправит Американскому Правительству телеграмму, в которой примерно скажет, что изобретатель Барлоу находится в Союзе, что его изобретение имеет колоссальное значение для судьбы человечества и что поэтому Советское Правительство предлагает совместно с Американским Правительством предложить всем государствам полное разоружение. Барлоу не сомневается, что это предложение Гувером будет отклонено. Тогда же он пошлет от себя условленную телеграмму своим друзьям и сенатору Фрейзеру, которые на основе отказа Гувера, разоблачат лицемерие Американского Правительства и поведут сильную против него кампанию. Барлоу полагает, что в данное предвыборное время эта кампания будет иметь существенное значение и привлечет большие симпатии к СССР.</w:t>
      </w:r>
    </w:p>
    <w:p w14:paraId="4BC4B8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другой стороны, отказ Американского Правительства развяжет руки Барлоу, как американскому гражданину и тогда он считал бы возможным для себя совместно с советской делегацией выступить в Женеве и доказать, что при наличии его изобретения война становится невозможной и чтобы на этом основании Советская делегация еще раз потребовала полного разоружения. Для того, чтобы сделать такое выступление в Женеве, он должен будет повезти туда хотя бы деревянную модель этого изобретения, каковую он хочет сделать у нас, если мы дадим в его распоряжение соответствующую мастерскую на одном из авиационных заводов и необходимый кадр механиков. Закончить эту модель он может в течение 10-15 дней. Если же и эта попытка никаких реальных результатов не даст, Барлоу отдает себя в полное распоряжение Советского Правительства и передаст ему окончательно свое изобретение, которое он берется у нас осуществить.</w:t>
      </w:r>
    </w:p>
    <w:p w14:paraId="54DA7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Его изобретением сильно интересуется Рузвельт – противник Гувера на выборах и Барлоу полагает, что поднятая кампания в Америке в связи с этим изобретением разоблачит полностью Гувера и будет способствовать признанию Союза.</w:t>
      </w:r>
    </w:p>
    <w:p w14:paraId="5BB56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Барлоу привез с собою переписку с американским Сенатом и отдельными правительственными учреждениями по своему изобретению, а также много газетных вырезок из американской прессы, из которых видно, что к изобретению Барлоу проявлен в Америке большой интерес. Лично Барлоу полагает, что над таким же изобретением работают немцы и англичане. В особенности эти работы далеко продвинулись в Германии и поэтому Барлоу делает предложение, что может быть было бы лучше, если бы Советское Правительство объединилось в этом вопросе с германским для совместных согласованных выступлений в Женеве.</w:t>
      </w:r>
    </w:p>
    <w:p w14:paraId="59EE10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Окончив беседу, я заявил Барлоу, что с завтрашнего дня дам ему возможность приступить к работам над составлением чертежей, после чего он сейчас же будет связан с нашими соответствующими специалистами и затем мы вернемся к продолжению нашей беседы.</w:t>
      </w:r>
    </w:p>
    <w:p w14:paraId="1CF11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Барлоу производит очень деловое впечатление и видимо большой знаток в области механики и авиации (3553,1-5).</w:t>
      </w:r>
    </w:p>
    <w:p w14:paraId="683E01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C43A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 июля 1932 состоялись Шестые всесоюзные состязания летающих моделей (271,129).</w:t>
      </w:r>
    </w:p>
    <w:p w14:paraId="5BF285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075EE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Другие оборонные отрасли:</w:t>
      </w:r>
    </w:p>
    <w:p w14:paraId="6FCFE2E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3FEFB1"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июля 1932 года Дыренков представил начальнику УММ РККА И. Халепскому несколько проектов.</w:t>
      </w:r>
    </w:p>
    <w:p w14:paraId="50DB1FF5"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сопроводительном письме он писал:</w:t>
      </w:r>
    </w:p>
    <w:p w14:paraId="0165DEDD"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программе работ института механизации и моторизации, представленной Вам в 1931 году, были особо разработаны вопросы возможностей широкой эксплуатации военных машин в мирных условиях. Руководствуясь этими соображениями при проектировании мотоброневагона Д-2 броневые корпуса были запроектированы мною разъемными, вследствие чего, снимая верхнюю часть корпуса и башни можно на оставшейся нижней ходовой части ставить легкую железную будку и использовать ходовую часть в качестве мотовоза. При проектировании броневагона Д-6, имеющего одну башню, со 107-мм пушкой, я вынужден был перенести двигатель и механизмы передачи со средней части вагона на один конец, дабы иметь место для орудийной башни, что дает возможность использовать ходовую часть в мирной жизни в качестве пассажирской автомотрисы.</w:t>
      </w:r>
    </w:p>
    <w:p w14:paraId="3C236421"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Спроектированный мною для этой ходовой части кузов Д-31 дает возможность располагать на ней 102 пассажирских места. Машина эта была представлена Тепловозному управлению НКПС вместе с Д-45 - машиной, запроектированной в виде пассажирского 75-местного автовагона на шасси Я-5, перемещающегося по железной дороге и на резине - и получила полное одобрение.</w:t>
      </w:r>
    </w:p>
    <w:p w14:paraId="34C52766"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заставило меня обратить внимание на объединение ходовой части Д-6 и Д-2, что привело к конструкции Д-46, который обладает таким же как и Д-2 вооружением и даже с улучшенным для одной башни обстрелом, и в то же время может быть установлена на ходовой части Д-6.</w:t>
      </w:r>
    </w:p>
    <w:p w14:paraId="0A853818"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упрощения работ для размещения вооружения Д-46 используются башни Д-6, обладающие тем преимуществом, что не требуют тумбы, так как башни установлены на таком же роликовом погоне, как и башни Д-38, недавно построенные и испытанные по Вашему заданию, с той разницей, что башни Д-6 и Д-46 полностью уравновешены ввиду большего диаметра погона. Применение башен этого типа должно привести к облегчению автоброневагона по меньшей мере на 3 т.</w:t>
      </w:r>
    </w:p>
    <w:p w14:paraId="33C5A180"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для дальнейшего упрощения и удешевления, мною запроектирована новая передача Д-3 5 для ходовой части Д-6, которая предусматривает использование вместо 2-скоростной муфты и 2-скоростного реверсной передачи обыкновенной коробки передач Я-5 в комбинации с реверсивной передачей, одетой непосредственно на ось вагона, чем уменьшается количество деталей передачи на 1104 шт. и вес (примерно на 0,5 т).</w:t>
      </w:r>
    </w:p>
    <w:p w14:paraId="3FD1687E"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Доводя вышеизложенное до Вашего соображения, прошу утвердить прилагаемые при сем проекты Д-6, Д-35 и Д-46 и разрешить постройкой по одному образцу» (15624).</w:t>
      </w:r>
    </w:p>
    <w:p w14:paraId="5FA27E11" w14:textId="77777777" w:rsidR="00633D4B" w:rsidRPr="00E93F40" w:rsidRDefault="00633D4B" w:rsidP="00E93F40">
      <w:pPr>
        <w:spacing w:after="0" w:line="240" w:lineRule="auto"/>
        <w:jc w:val="both"/>
        <w:rPr>
          <w:rFonts w:ascii="Times New Roman" w:hAnsi="Times New Roman"/>
          <w:color w:val="000000" w:themeColor="text1"/>
          <w:sz w:val="16"/>
          <w:szCs w:val="16"/>
        </w:rPr>
      </w:pPr>
    </w:p>
    <w:p w14:paraId="77CB3946" w14:textId="45A472E4"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июля 1932 года Дыренкова представил начальнику УММ РККА И. Халепскому еще несколько проектов. В сопроводительном письме он писал:</w:t>
      </w:r>
      <w:r w:rsidR="007C1411" w:rsidRPr="00E93F40">
        <w:rPr>
          <w:rFonts w:ascii="Times New Roman" w:hAnsi="Times New Roman"/>
          <w:color w:val="000000" w:themeColor="text1"/>
          <w:sz w:val="16"/>
          <w:szCs w:val="16"/>
        </w:rPr>
        <w:t xml:space="preserve"> </w:t>
      </w:r>
    </w:p>
    <w:p w14:paraId="4A61303C" w14:textId="177F85CD"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программе работ института механизации и моторизации, представленной Вам в 1931 году, были особо разработаны вопросы возможностей широкой эксплуатации военных машин в мирных условиях.</w:t>
      </w:r>
      <w:r w:rsidR="007C1411" w:rsidRPr="00E93F40">
        <w:rPr>
          <w:rFonts w:ascii="Times New Roman" w:hAnsi="Times New Roman"/>
          <w:color w:val="000000" w:themeColor="text1"/>
          <w:sz w:val="16"/>
          <w:szCs w:val="16"/>
        </w:rPr>
        <w:t xml:space="preserve"> </w:t>
      </w:r>
    </w:p>
    <w:p w14:paraId="0D8446BD" w14:textId="3EA54DE6"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Руководствуясь этими соображениями при проектировании мотоброневагона Д-2 броневые корпуса были запроектированы мною разъемными, вследствие чего, снимая верхнюю часть корпуса и башни можно на оставшейся нижней ходовой части ставить легкую железную будку и использовать ходовую часть в качестве мотовоза.</w:t>
      </w:r>
      <w:r w:rsidR="007C1411" w:rsidRPr="00E93F40">
        <w:rPr>
          <w:rFonts w:ascii="Times New Roman" w:hAnsi="Times New Roman"/>
          <w:color w:val="000000" w:themeColor="text1"/>
          <w:sz w:val="16"/>
          <w:szCs w:val="16"/>
        </w:rPr>
        <w:t xml:space="preserve"> </w:t>
      </w:r>
    </w:p>
    <w:p w14:paraId="269A8B71" w14:textId="2D8D5B05"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проектировании броневагона Д-6, имеющего одну башню, со 107-мм пушкой, я вынужден был перенести двигатель и механизмы передачи со средней части вагона на один конец, дабы иметь место для орудийной башни, что дает возможность использовать ходовую часть в мирной жизни в качестве пассажирской автомотрисы.</w:t>
      </w:r>
      <w:r w:rsidR="007C1411" w:rsidRPr="00E93F40">
        <w:rPr>
          <w:rFonts w:ascii="Times New Roman" w:hAnsi="Times New Roman"/>
          <w:color w:val="000000" w:themeColor="text1"/>
          <w:sz w:val="16"/>
          <w:szCs w:val="16"/>
        </w:rPr>
        <w:t xml:space="preserve"> </w:t>
      </w:r>
    </w:p>
    <w:p w14:paraId="11E42C2B" w14:textId="78235045"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Спроектированный мною для этой ходовой части кузов Д-31 дает возможность располагать на ней 102 пассажирских места.</w:t>
      </w:r>
      <w:r w:rsidR="007C1411" w:rsidRPr="00E93F40">
        <w:rPr>
          <w:rFonts w:ascii="Times New Roman" w:hAnsi="Times New Roman"/>
          <w:color w:val="000000" w:themeColor="text1"/>
          <w:sz w:val="16"/>
          <w:szCs w:val="16"/>
        </w:rPr>
        <w:t xml:space="preserve"> </w:t>
      </w:r>
    </w:p>
    <w:p w14:paraId="797F3759" w14:textId="7EE997F3"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эта была представлена Тепловозному управлению НКПС вместе с Д-45 - машиной, запроектированной в виде пассажирского 75-местного автовагона на шасси Я-5, перемещающегося по железной дороге и на резине - и получила полное одобрение.</w:t>
      </w:r>
      <w:r w:rsidR="007C1411" w:rsidRPr="00E93F40">
        <w:rPr>
          <w:rFonts w:ascii="Times New Roman" w:hAnsi="Times New Roman"/>
          <w:color w:val="000000" w:themeColor="text1"/>
          <w:sz w:val="16"/>
          <w:szCs w:val="16"/>
        </w:rPr>
        <w:t xml:space="preserve"> </w:t>
      </w:r>
    </w:p>
    <w:p w14:paraId="207B4759" w14:textId="12726B4C"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заставило меня обратить внимание на объединение ходовой части Д-6 и Д-2, что привело к конструкции Д-46, который обладает таким же как и Д-2 вооружением и даже с улучшенным для одной башни обстрелом, и в то же время может быть установлена на ходовой части Д-6.</w:t>
      </w:r>
      <w:r w:rsidR="007C1411" w:rsidRPr="00E93F40">
        <w:rPr>
          <w:rFonts w:ascii="Times New Roman" w:hAnsi="Times New Roman"/>
          <w:color w:val="000000" w:themeColor="text1"/>
          <w:sz w:val="16"/>
          <w:szCs w:val="16"/>
        </w:rPr>
        <w:t xml:space="preserve"> </w:t>
      </w:r>
    </w:p>
    <w:p w14:paraId="346CD81B" w14:textId="53D27057"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упрощения работ для размещения вооружения Д-46 используются башни Д-6, обладающие тем преимуществом, что не требуют тумбы, так как башни установлены на таком же роликовом погоне, как и башни Д-38, недавно построенные и испытанные по Вашему заданию, с той разницей, что башни Д-6 и Д-46 полностью уравновешены ввиду большего диаметра погона.</w:t>
      </w:r>
      <w:r w:rsidR="007C1411" w:rsidRPr="00E93F40">
        <w:rPr>
          <w:rFonts w:ascii="Times New Roman" w:hAnsi="Times New Roman"/>
          <w:color w:val="000000" w:themeColor="text1"/>
          <w:sz w:val="16"/>
          <w:szCs w:val="16"/>
        </w:rPr>
        <w:t xml:space="preserve"> </w:t>
      </w:r>
    </w:p>
    <w:p w14:paraId="4EAB552E" w14:textId="08242DF6"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 башен этого типа должно привести к облегчению автоброневагона по меньшей мере на 3 т.</w:t>
      </w:r>
      <w:r w:rsidR="007C1411" w:rsidRPr="00E93F40">
        <w:rPr>
          <w:rFonts w:ascii="Times New Roman" w:hAnsi="Times New Roman"/>
          <w:color w:val="000000" w:themeColor="text1"/>
          <w:sz w:val="16"/>
          <w:szCs w:val="16"/>
        </w:rPr>
        <w:t xml:space="preserve"> </w:t>
      </w:r>
    </w:p>
    <w:p w14:paraId="1DEFA998" w14:textId="037F7D09"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для дальнейшего упрощения и удешевления, мною запроектирована новая передача Д-3 5 для ходовой части Д-6, которая предусматривает использование вместо 2-скоростной муфты и 2-скоростного реверсной передачи обыкновенной коробки передач Я-5 в комбинации с реверсивной передачей, одетой непосредственно на ось вагона, чем уменьшается количество деталей передачи на 1104 шт. и вес (примерно на 0,5 т).</w:t>
      </w:r>
      <w:r w:rsidR="007C1411" w:rsidRPr="00E93F40">
        <w:rPr>
          <w:rFonts w:ascii="Times New Roman" w:hAnsi="Times New Roman"/>
          <w:color w:val="000000" w:themeColor="text1"/>
          <w:sz w:val="16"/>
          <w:szCs w:val="16"/>
        </w:rPr>
        <w:t xml:space="preserve"> </w:t>
      </w:r>
    </w:p>
    <w:p w14:paraId="0E49E491" w14:textId="23CD5053"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Доводя вышеизложенное до Вашего соображения, прошу утвердить прилагаемые при сем проекты Д-6, Д-35 и Д-46 и разрешить постройкой по одному образцу».</w:t>
      </w:r>
      <w:r w:rsidR="007C1411" w:rsidRPr="00E93F40">
        <w:rPr>
          <w:rFonts w:ascii="Times New Roman" w:hAnsi="Times New Roman"/>
          <w:color w:val="000000" w:themeColor="text1"/>
          <w:sz w:val="16"/>
          <w:szCs w:val="16"/>
        </w:rPr>
        <w:t xml:space="preserve"> </w:t>
      </w:r>
    </w:p>
    <w:p w14:paraId="43D258EE" w14:textId="141612BA"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Военные рассмотрели предложенные проекты на заседании НТК УММ РККА 31 июля,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в результате обсуждения пришли к следующим выводам:</w:t>
      </w:r>
      <w:r w:rsidR="007C1411" w:rsidRPr="00E93F40">
        <w:rPr>
          <w:rFonts w:ascii="Times New Roman" w:hAnsi="Times New Roman"/>
          <w:color w:val="000000" w:themeColor="text1"/>
          <w:sz w:val="16"/>
          <w:szCs w:val="16"/>
        </w:rPr>
        <w:t xml:space="preserve"> </w:t>
      </w:r>
    </w:p>
    <w:p w14:paraId="77AA7C86" w14:textId="7BD7C291"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По проекту Д-6.</w:t>
      </w:r>
      <w:r w:rsidR="007C1411" w:rsidRPr="00E93F40">
        <w:rPr>
          <w:rFonts w:ascii="Times New Roman" w:hAnsi="Times New Roman"/>
          <w:color w:val="000000" w:themeColor="text1"/>
          <w:sz w:val="16"/>
          <w:szCs w:val="16"/>
        </w:rPr>
        <w:t xml:space="preserve"> </w:t>
      </w:r>
    </w:p>
    <w:p w14:paraId="62780741" w14:textId="6141D205"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Компоновка мотора, механической передачи, положение орудийной башни, конфигурация корпуса и ходовой части приемлемы. На основе эскиза должен быть составлен расчет и рабочие чертежи.</w:t>
      </w:r>
      <w:r w:rsidR="007C1411" w:rsidRPr="00E93F40">
        <w:rPr>
          <w:rFonts w:ascii="Times New Roman" w:hAnsi="Times New Roman"/>
          <w:color w:val="000000" w:themeColor="text1"/>
          <w:sz w:val="16"/>
          <w:szCs w:val="16"/>
        </w:rPr>
        <w:t xml:space="preserve"> </w:t>
      </w:r>
    </w:p>
    <w:p w14:paraId="31BB3C14" w14:textId="182B02B2"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Учитывая, что орудийная установка 107-мм пушки представляет большой интерес, мотоброневагон Д-6 должен быть построен в двух вариантах:</w:t>
      </w:r>
      <w:r w:rsidR="007C1411" w:rsidRPr="00E93F40">
        <w:rPr>
          <w:rFonts w:ascii="Times New Roman" w:hAnsi="Times New Roman"/>
          <w:color w:val="000000" w:themeColor="text1"/>
          <w:sz w:val="16"/>
          <w:szCs w:val="16"/>
        </w:rPr>
        <w:t xml:space="preserve"> </w:t>
      </w:r>
    </w:p>
    <w:p w14:paraId="76FCA194" w14:textId="0A00FBB1"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 орудийной башней конструкции т. Ды-ренкова и новой механической передачей Д-35;</w:t>
      </w:r>
      <w:r w:rsidR="007C1411" w:rsidRPr="00E93F40">
        <w:rPr>
          <w:rFonts w:ascii="Times New Roman" w:hAnsi="Times New Roman"/>
          <w:color w:val="000000" w:themeColor="text1"/>
          <w:sz w:val="16"/>
          <w:szCs w:val="16"/>
        </w:rPr>
        <w:t xml:space="preserve"> </w:t>
      </w:r>
    </w:p>
    <w:p w14:paraId="54CFB48F" w14:textId="500DFDE2"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Второй образец с карусельной установкой 107-мм орудия (Брянского типа обр.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1931 г. для тяжелых бронепоездов).</w:t>
      </w:r>
      <w:r w:rsidR="007C1411" w:rsidRPr="00E93F40">
        <w:rPr>
          <w:rFonts w:ascii="Times New Roman" w:hAnsi="Times New Roman"/>
          <w:color w:val="000000" w:themeColor="text1"/>
          <w:sz w:val="16"/>
          <w:szCs w:val="16"/>
        </w:rPr>
        <w:t xml:space="preserve"> </w:t>
      </w:r>
    </w:p>
    <w:p w14:paraId="3F4EAD4A" w14:textId="5CC1A797"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По легкому мотоброневагону Д-46.</w:t>
      </w:r>
      <w:r w:rsidR="007C1411" w:rsidRPr="00E93F40">
        <w:rPr>
          <w:rFonts w:ascii="Times New Roman" w:hAnsi="Times New Roman"/>
          <w:color w:val="000000" w:themeColor="text1"/>
          <w:sz w:val="16"/>
          <w:szCs w:val="16"/>
        </w:rPr>
        <w:t xml:space="preserve"> </w:t>
      </w:r>
    </w:p>
    <w:p w14:paraId="485AB378" w14:textId="243B2446"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Компоновка двух орудийных башен с 76 мм пушками обр. 1902 г. (одна установлена в средней части, вторая в торцевой части) допускает при всех положениях первой и второй башен ведение огня из одного (среднего) орудия на 360 град. Стрельба в сторону движения МБВ при положении при положении первого орудия над второй башней под углами склонения невозможна. Орудие второй (торцевой) башни допускает сектор обстрела не более 270 град.</w:t>
      </w:r>
      <w:r w:rsidR="007C1411" w:rsidRPr="00E93F40">
        <w:rPr>
          <w:rFonts w:ascii="Times New Roman" w:hAnsi="Times New Roman"/>
          <w:color w:val="000000" w:themeColor="text1"/>
          <w:sz w:val="16"/>
          <w:szCs w:val="16"/>
        </w:rPr>
        <w:t xml:space="preserve"> </w:t>
      </w:r>
    </w:p>
    <w:p w14:paraId="5AA3D64A" w14:textId="5CFE5B99"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w:t>
      </w:r>
      <w:r w:rsidR="007C1411" w:rsidRPr="00E93F40">
        <w:rPr>
          <w:rFonts w:ascii="Times New Roman" w:hAnsi="Times New Roman"/>
          <w:color w:val="000000" w:themeColor="text1"/>
          <w:sz w:val="16"/>
          <w:szCs w:val="16"/>
        </w:rPr>
        <w:t xml:space="preserve"> </w:t>
      </w:r>
    </w:p>
    <w:p w14:paraId="5A60AA99" w14:textId="77777777" w:rsidR="00A1189D" w:rsidRPr="00E93F40" w:rsidRDefault="00A118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легкому мотоброневагону Д-46 постройка опытного образца нецелесообразна, так как в тактическом отношении Д-46 стоит ниже МБВ Д-2» (18626).</w:t>
      </w:r>
    </w:p>
    <w:p w14:paraId="497DA7FE" w14:textId="77777777" w:rsidR="00A1189D" w:rsidRPr="00E93F40" w:rsidRDefault="00A1189D" w:rsidP="00E93F40">
      <w:pPr>
        <w:spacing w:after="0" w:line="240" w:lineRule="auto"/>
        <w:jc w:val="both"/>
        <w:rPr>
          <w:rFonts w:ascii="Times New Roman" w:hAnsi="Times New Roman"/>
          <w:color w:val="000000" w:themeColor="text1"/>
          <w:sz w:val="16"/>
          <w:szCs w:val="16"/>
        </w:rPr>
      </w:pPr>
    </w:p>
    <w:p w14:paraId="7C636B03"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июля 1932 года Дыренкова представил начальнику УММ РККА И. Халепскому несколько новых проектов мотоброневагонов. В сопроводительном письме он писал:</w:t>
      </w:r>
    </w:p>
    <w:p w14:paraId="0D0D5777"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программе работ института механизации и моторизации, представленной Вам в 1931 году, были особо разработаны вопросы возможностей широкой эксплуатации военных машин в мирных условиях. Руководствуясь этими соображениями при проектировании мотоброневагона Д-2 броневые корпуса были запроектированы мною разъемными, вследствие чего, снимая верхнюю часть корпуса и башни можно на оставшейся нижней ходовой части ставить легкую железную будку и использовать ходовую часть в качестве мотовоза. При проектировании броневагона Д-6, имеющего одну башню, со 107-мм пушкой, я вынужден был перенести двигатель и механизмы передачи со средней части вагона на один конец, дабы иметь место для орудийной башни, что дает возможность использовать ходовую часть в мирной жизни в качестве пассажирской автомотрисы.</w:t>
      </w:r>
    </w:p>
    <w:p w14:paraId="53E12FFE"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Спроектированный мною для этой ходовой части кузов Д-31 дает возможность располагать на ней 102 пассажирских места. Машина эта была представлена Тепловозному управлению НКПС вместе с Д-45 — машиной, запроектированной в виде пассажирского 75-местного автовагона на шасси Я-5, перемещающегося по железной дороге и на резине — и получила полное одобрение.</w:t>
      </w:r>
    </w:p>
    <w:p w14:paraId="00FB1338"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Это заставило меня обратить внимание на объединение ходовой части Д-6 и Д-2, что привело к конструкции Д-46, который обладает таким же как и Д-2 вооружением и даже с улучшенным для одной башни обстрелом, и в то же время может быть установлена на ходовой части Д-6.</w:t>
      </w:r>
    </w:p>
    <w:p w14:paraId="3B1D0D0E"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целях упрощения работ для размещения вооружения Д-46 используются башни Д-6, обладающие тем преимуществом, что не требуют тумбы, так как башни установлены на таком же роликовом погоне, как и башни Д-38, недавно построенные и испытанные по Вашему заданию, с той разницей, что башни Д-6 и Д-46 полностью уравновешены ввиду большего диаметра погона. Применение башен этого типа должно привести к облегчению автоброневагона по меньшей мере на 3 т.</w:t>
      </w:r>
    </w:p>
    <w:p w14:paraId="648AB763"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для дальнейшего упрощения и удешевления, мною запроектирована новая передача Д-3 5 для ходовой части Д-6, которая предусматривает использование вместо 2-скоростной муфты и 2-скоростного реверсной передачи обыкновенной коробки передач Я-5 в комбинации с реверсивной передачей, одетой непосредственно на ось вагона, чем уменьшается количество деталей передачи на 1104 шт. и вес (примерно на 0,5 т).</w:t>
      </w:r>
    </w:p>
    <w:p w14:paraId="38AA4C73"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Доводя вышеизложенное до Вашего соображения, прошу утвердить прилагаемые при сем проекты Д-6, Д-35 и Д-46 и разрешить постройкой по одному образцу».</w:t>
      </w:r>
    </w:p>
    <w:p w14:paraId="78439870"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Военные рассмотрели предложенные проекты на заседании НТК УММ РККА 31 июля (25568).</w:t>
      </w:r>
    </w:p>
    <w:p w14:paraId="543BF786" w14:textId="77777777" w:rsidR="002A278B" w:rsidRPr="00142305" w:rsidRDefault="002A278B" w:rsidP="002A278B">
      <w:pPr>
        <w:spacing w:after="0" w:line="240" w:lineRule="auto"/>
        <w:jc w:val="both"/>
        <w:rPr>
          <w:rFonts w:ascii="Times New Roman" w:hAnsi="Times New Roman"/>
          <w:color w:val="0070C0"/>
          <w:sz w:val="16"/>
          <w:szCs w:val="16"/>
        </w:rPr>
      </w:pPr>
    </w:p>
    <w:p w14:paraId="74A291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20 июля 1932 г. приказом Наркомата легкой промышленности СССР было создано Центральное проектно-конструкторское бюро для проектирования деталей машин легкого и среднего оборудования легкой промышленности. В 1933 г. оно было реорганизовано в Государственный всесоюзный трест по проектированию оборудования машин и деталей для легкой промышленности "Проектмашлегпром". В 1935 г. реорганизовано во Всесоюзную контору по проектированию машин и </w:t>
      </w:r>
      <w:r w:rsidRPr="00E93F40">
        <w:rPr>
          <w:rFonts w:ascii="Times New Roman" w:hAnsi="Times New Roman"/>
          <w:color w:val="000000" w:themeColor="text1"/>
          <w:sz w:val="16"/>
          <w:szCs w:val="16"/>
        </w:rPr>
        <w:lastRenderedPageBreak/>
        <w:t>деталей к оборудованию легкой промышленности "Проектмашлегпром". Она была переименована во Всесоюзную проектно-конструкторскую контору "Проектмашдеталь" согласно приказу Наркомата текстильной промышленности СССР от 27 марта 1939 г. Вновь реорганизована в Центральное конструкторское бюро проектирования машин и деталей легкой промышленности (ЦКБ "Проектмашдеталь") постановлением Мосгорсовнархоза от 3 июля 1959 г. Оно было переименовано в Центральное проектно-конструкторское технологическое бюро запасных частей и деталей легкого машиностроения (ЦПКТБ "Проектмашдеталь"). С 21 августа 1999 г. переименовано в Федеральное государственное унитарное предприятие "Научно-производственное предприятие "Проектмашдеталь". (ФГУП "НПП "Проектмашдеталь") (12100).</w:t>
      </w:r>
    </w:p>
    <w:p w14:paraId="1BA6F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A11D83" w14:textId="77777777" w:rsidR="008328E0"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35F6124B" w14:textId="77777777" w:rsidR="008328E0" w:rsidRPr="00E93F40" w:rsidRDefault="008328E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2889B5"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20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1250/КО о вырубке леса в пограничных районах (ГА РФ. Ф. Р?8418. Оп. 28. Д. 25а. Л. 16?18) (12415).</w:t>
      </w:r>
    </w:p>
    <w:p w14:paraId="7A37C303"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642E01CE" w14:textId="77777777" w:rsidR="00B411DC" w:rsidRPr="00E93F40" w:rsidRDefault="00B411D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4081CA4" w14:textId="77777777" w:rsidR="00B411DC" w:rsidRPr="00E93F40" w:rsidRDefault="00B411D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F0396C1" w14:textId="77777777" w:rsidR="00B411DC" w:rsidRPr="00E93F40" w:rsidRDefault="00B411D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20 июля 1932 Генеральный секретарь присоединил свой голос к настояниям Куйбышева и Молотова о сокращении инвестиционной программы. Капитальное строительство надо обязательно сократить минимум на 500-700 миллионов, - писал он Кагановичу и Молотову. - Нельзя сокращать по легкой пром[ышленнос]ти, черной металлургии, НКПС. Все остальное (даже кое-что по военному делу)... нужно обязательно сокращать вовсю" (ХЛЕВНЮК О. В. Политбюро: Механизмы политической власти в 1930-е гг., М, 1996. С. 90.). Созданная 23 июля комиссия Политбюро под председательством Куйбышева рекомендовала провести крупное (на 10%) урезание капитальных вложений в третьем квартале; 1 августа Политбюро утвердило это предложение. Оно мотивировалось диспропорцией товарной и денежной масс, однако обозначились и признаки нового продовольственного кризиса (См.: Записка Председателя Госплана СССР Куйбышева в Политбюро ЦК ВКП(б), 23-05.1932 //Трагедия советской деревни: Коллективизация и раскулачивание, 1927-1939. Т. 3. М., 2001. С. 327-374; Личное письмо Ворошилова Сталину, 26.07.1931 // Советское руководство: Переписка, 1928-1941 гг. М., 1999-С 181-183,185.) (22725).</w:t>
      </w:r>
    </w:p>
    <w:p w14:paraId="57BB50D7" w14:textId="77777777" w:rsidR="00B411DC" w:rsidRPr="00E93F40" w:rsidRDefault="00B411DC" w:rsidP="00E93F40">
      <w:pPr>
        <w:spacing w:after="0" w:line="240" w:lineRule="auto"/>
        <w:jc w:val="both"/>
        <w:rPr>
          <w:rFonts w:ascii="Times New Roman" w:hAnsi="Times New Roman"/>
          <w:color w:val="000000" w:themeColor="text1"/>
          <w:sz w:val="16"/>
          <w:szCs w:val="16"/>
        </w:rPr>
      </w:pPr>
    </w:p>
    <w:p w14:paraId="4841374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8F1D1D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0C1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июля 1932 в Пруссии Ф. Фон Паппен отправил в отставку премьер-министра прусского правительства, социал демократа (3907,173).</w:t>
      </w:r>
    </w:p>
    <w:p w14:paraId="29DE1D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1CC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НСДАП (НСДАП — транслитерация с немецкого: НСДАП — Nationalsozialistische Deutsche Arbeiterpartei (NSDAP) — Национал-социалистическая немецкая рабочая партия.)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6F8145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56D53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73F983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DC07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июля 1932 Н.М.Х., А.Н.Т. и В.М.П. была подписана докладная об изменении веса ТБ-3 (АНТ-6) (1077,125).</w:t>
      </w:r>
    </w:p>
    <w:p w14:paraId="5ADD28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617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июля 1932 был подготовлен Доклад председателю СТО Об обеспечении УВВС радиостанциями для тяжелых самолетов (3082).</w:t>
      </w:r>
    </w:p>
    <w:p w14:paraId="424F7B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40FE6A" w14:textId="77777777" w:rsidR="008328E0"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E6D1575" w14:textId="77777777" w:rsidR="008328E0" w:rsidRPr="00E93F40" w:rsidRDefault="008328E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DCE12D" w14:textId="77777777" w:rsidR="008328E0" w:rsidRPr="00E93F40" w:rsidRDefault="008328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июля 1932 г. «на основе опыта применения самолетов ВВС в борьбе с бас</w:t>
      </w:r>
      <w:r w:rsidRPr="00E93F40">
        <w:rPr>
          <w:rFonts w:ascii="Times New Roman" w:hAnsi="Times New Roman"/>
          <w:color w:val="000000" w:themeColor="text1"/>
          <w:sz w:val="16"/>
          <w:szCs w:val="16"/>
        </w:rPr>
        <w:softHyphen/>
        <w:t>мачеством в Средней Азии и Казахстане, а также вследствие необходимости технического усиления охраны государственной границы во всех регионах СССР», принимается постановление СТО № 862/258 о создании в погранич</w:t>
      </w:r>
      <w:r w:rsidRPr="00E93F40">
        <w:rPr>
          <w:rFonts w:ascii="Times New Roman" w:hAnsi="Times New Roman"/>
          <w:color w:val="000000" w:themeColor="text1"/>
          <w:sz w:val="16"/>
          <w:szCs w:val="16"/>
        </w:rPr>
        <w:softHyphen/>
        <w:t>ных войсках сухопутных и морских авиационных отрядов. Эта дата и вошла в историю как день рождения авиации пограничных войск, так как именно с об</w:t>
      </w:r>
      <w:r w:rsidRPr="00E93F40">
        <w:rPr>
          <w:rFonts w:ascii="Times New Roman" w:hAnsi="Times New Roman"/>
          <w:color w:val="000000" w:themeColor="text1"/>
          <w:sz w:val="16"/>
          <w:szCs w:val="16"/>
        </w:rPr>
        <w:softHyphen/>
        <w:t>разованием отдельных авиационных отрядов в пограничных округах в 1932 г. авиация в пограничных войсках организационно стала существовать как сис</w:t>
      </w:r>
      <w:r w:rsidRPr="00E93F40">
        <w:rPr>
          <w:rFonts w:ascii="Times New Roman" w:hAnsi="Times New Roman"/>
          <w:color w:val="000000" w:themeColor="text1"/>
          <w:sz w:val="16"/>
          <w:szCs w:val="16"/>
        </w:rPr>
        <w:softHyphen/>
        <w:t>тема (ЦАПВ ф. 14, оп. 27, д. 17, л. 34) (12299).</w:t>
      </w:r>
    </w:p>
    <w:p w14:paraId="09B7539E" w14:textId="77777777" w:rsidR="008328E0" w:rsidRPr="00E93F40" w:rsidRDefault="008328E0" w:rsidP="00E93F40">
      <w:pPr>
        <w:spacing w:after="0" w:line="240" w:lineRule="auto"/>
        <w:jc w:val="both"/>
        <w:rPr>
          <w:rFonts w:ascii="Times New Roman" w:hAnsi="Times New Roman"/>
          <w:color w:val="000000" w:themeColor="text1"/>
          <w:sz w:val="16"/>
          <w:szCs w:val="16"/>
        </w:rPr>
      </w:pPr>
    </w:p>
    <w:p w14:paraId="590F86D3" w14:textId="77777777" w:rsidR="00633D4B" w:rsidRPr="00E93F40" w:rsidRDefault="00633D4B" w:rsidP="00E93F40">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21 июля 1932 г. «на основе опыта применения самолетов ВВС в борьбе с басмачеством в Средней Азии и Казахстане, а также вследствие необходимости технического усиления охраны государственной границы во всех регионах СССР», было принято Постановление СТО № 862/258 о создании в пограничной охране шести авиационных отрядов. В ноябре этого же года первым заместителем председателя ОГПУ М.П.Фриновским был утвержден план развертывания авиачастей ГУПОиВ ОГПУ на 1932-1934 гг., в соответствии с которым авиационной инспекцией отдела вооружения ГУПОиВ ОГПУ началось формирование первых четырех отдельных авиационных отрядов, в том числе и отдельного авиаотряда на территории Беларуси, местом дислокации которого стал приграничный г. Минск (15231).</w:t>
      </w:r>
    </w:p>
    <w:p w14:paraId="43B42FDC" w14:textId="77777777" w:rsidR="00633D4B" w:rsidRPr="00E93F40" w:rsidRDefault="00633D4B" w:rsidP="00E93F40">
      <w:pPr>
        <w:pStyle w:val="27"/>
        <w:shd w:val="clear" w:color="auto" w:fill="auto"/>
        <w:spacing w:after="0" w:line="240" w:lineRule="auto"/>
        <w:ind w:firstLine="0"/>
        <w:rPr>
          <w:rFonts w:ascii="Times New Roman" w:cs="Times New Roman"/>
          <w:color w:val="000000" w:themeColor="text1"/>
          <w:spacing w:val="0"/>
        </w:rPr>
      </w:pPr>
    </w:p>
    <w:p w14:paraId="675F2A94" w14:textId="77777777" w:rsidR="002A278B" w:rsidRPr="00E93F40" w:rsidRDefault="002A278B" w:rsidP="002A278B">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июля 1932 г. «на основе опыта применения самолетов ВВС в борьбе с бас</w:t>
      </w:r>
      <w:r w:rsidRPr="00E93F40">
        <w:rPr>
          <w:rFonts w:ascii="Times New Roman" w:hAnsi="Times New Roman"/>
          <w:color w:val="000000" w:themeColor="text1"/>
          <w:sz w:val="16"/>
          <w:szCs w:val="16"/>
        </w:rPr>
        <w:softHyphen/>
        <w:t>мачеством в Средней Азии и Казахстане, а также вследствие необходимости технического усиления охраны государственной границы во всех регионах СССР», принимается постановление СТО № 862/258 о создании в погранич</w:t>
      </w:r>
      <w:r w:rsidRPr="00E93F40">
        <w:rPr>
          <w:rFonts w:ascii="Times New Roman" w:hAnsi="Times New Roman"/>
          <w:color w:val="000000" w:themeColor="text1"/>
          <w:sz w:val="16"/>
          <w:szCs w:val="16"/>
        </w:rPr>
        <w:softHyphen/>
        <w:t>ных войсках сухопутных и морских авиационных отрядов. Эта дата и вошла в историю как день рождения авиации пограничных войск, так как именно с об</w:t>
      </w:r>
      <w:r w:rsidRPr="00E93F40">
        <w:rPr>
          <w:rFonts w:ascii="Times New Roman" w:hAnsi="Times New Roman"/>
          <w:color w:val="000000" w:themeColor="text1"/>
          <w:sz w:val="16"/>
          <w:szCs w:val="16"/>
        </w:rPr>
        <w:softHyphen/>
        <w:t>разованием отдельных авиационных отрядов в пограничных округах в 1932 г. авиация в пограничных войсках организационно стала существовать как сис</w:t>
      </w:r>
      <w:r w:rsidRPr="00E93F40">
        <w:rPr>
          <w:rFonts w:ascii="Times New Roman" w:hAnsi="Times New Roman"/>
          <w:color w:val="000000" w:themeColor="text1"/>
          <w:sz w:val="16"/>
          <w:szCs w:val="16"/>
        </w:rPr>
        <w:softHyphen/>
        <w:t>тема (ЦАПВ ф. 14, оп. 27, д. 17, л. 34) (20402).</w:t>
      </w:r>
    </w:p>
    <w:p w14:paraId="48F15990" w14:textId="77777777" w:rsidR="002A278B" w:rsidRPr="00E93F40" w:rsidRDefault="002A278B" w:rsidP="002A278B">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первым заместителем председателя ОГПУ М. Фриновским был утвержден план формирования авиационных частей погранич</w:t>
      </w:r>
      <w:r w:rsidRPr="00E93F40">
        <w:rPr>
          <w:rFonts w:ascii="Times New Roman" w:hAnsi="Times New Roman"/>
          <w:color w:val="000000" w:themeColor="text1"/>
          <w:sz w:val="16"/>
          <w:szCs w:val="16"/>
        </w:rPr>
        <w:softHyphen/>
        <w:t>ных войск на 1932 — 1934 гг. В соответствии с этим планом к концу 1932 г. были сформированы первые отдельные авиаотряды в городах Алма-Ате, Тбилиси, Ташкенте, Казалинске, Мары, Харькове, Минске, а в 1933 — 1934 гг. — еще 7 авиаотрядов в городах Акмолинске, Петропавловске-Камчатском, Нагаеве, Хабаровске, Ташаузе, Владивостоке (морской авиаотряд), Ленинграде (20402).</w:t>
      </w:r>
    </w:p>
    <w:p w14:paraId="6E05D56E" w14:textId="77777777" w:rsidR="002A278B" w:rsidRPr="00E93F40" w:rsidRDefault="002A278B" w:rsidP="002A278B">
      <w:pPr>
        <w:spacing w:after="0" w:line="240" w:lineRule="auto"/>
        <w:jc w:val="both"/>
        <w:rPr>
          <w:rFonts w:ascii="Times New Roman" w:hAnsi="Times New Roman"/>
          <w:color w:val="000000" w:themeColor="text1"/>
          <w:sz w:val="16"/>
          <w:szCs w:val="16"/>
        </w:rPr>
      </w:pPr>
    </w:p>
    <w:p w14:paraId="729CD147"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июля в 1932 году Советом труда и обороны было принято постановление № 100 о создании в пограничных войсках авиационных отрядов (14959).</w:t>
      </w:r>
    </w:p>
    <w:p w14:paraId="05158024" w14:textId="77777777" w:rsidR="00633D4B" w:rsidRPr="00E93F40" w:rsidRDefault="00633D4B" w:rsidP="00E93F40">
      <w:pPr>
        <w:spacing w:after="0" w:line="240" w:lineRule="auto"/>
        <w:jc w:val="both"/>
        <w:rPr>
          <w:rFonts w:ascii="Times New Roman" w:hAnsi="Times New Roman"/>
          <w:color w:val="000000" w:themeColor="text1"/>
          <w:sz w:val="16"/>
          <w:szCs w:val="16"/>
        </w:rPr>
      </w:pPr>
    </w:p>
    <w:p w14:paraId="0D7C2973" w14:textId="77777777" w:rsidR="00B411DC" w:rsidRPr="00E93F40" w:rsidRDefault="00B411DC"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июля 1932 г. погранич</w:t>
      </w:r>
      <w:r w:rsidRPr="00E93F40">
        <w:rPr>
          <w:rFonts w:ascii="Times New Roman" w:hAnsi="Times New Roman"/>
          <w:color w:val="000000" w:themeColor="text1"/>
          <w:sz w:val="16"/>
          <w:szCs w:val="16"/>
        </w:rPr>
        <w:softHyphen/>
        <w:t>ные авиационные части были созданы офи</w:t>
      </w:r>
      <w:r w:rsidRPr="00E93F40">
        <w:rPr>
          <w:rFonts w:ascii="Times New Roman" w:hAnsi="Times New Roman"/>
          <w:color w:val="000000" w:themeColor="text1"/>
          <w:sz w:val="16"/>
          <w:szCs w:val="16"/>
        </w:rPr>
        <w:softHyphen/>
        <w:t>циально, в соответствии с Постановлением Совета труда и обороны №100. Примерно тогда же возник специальный опознаватель</w:t>
      </w:r>
      <w:r w:rsidRPr="00E93F40">
        <w:rPr>
          <w:rFonts w:ascii="Times New Roman" w:hAnsi="Times New Roman"/>
          <w:color w:val="000000" w:themeColor="text1"/>
          <w:sz w:val="16"/>
          <w:szCs w:val="16"/>
        </w:rPr>
        <w:softHyphen/>
        <w:t>ный знак пограничной авиации в виде впи</w:t>
      </w:r>
      <w:r w:rsidRPr="00E93F40">
        <w:rPr>
          <w:rFonts w:ascii="Times New Roman" w:hAnsi="Times New Roman"/>
          <w:color w:val="000000" w:themeColor="text1"/>
          <w:sz w:val="16"/>
          <w:szCs w:val="16"/>
        </w:rPr>
        <w:softHyphen/>
        <w:t>санной внутрь зеленого круга красной звез</w:t>
      </w:r>
      <w:r w:rsidRPr="00E93F40">
        <w:rPr>
          <w:rFonts w:ascii="Times New Roman" w:hAnsi="Times New Roman"/>
          <w:color w:val="000000" w:themeColor="text1"/>
          <w:sz w:val="16"/>
          <w:szCs w:val="16"/>
        </w:rPr>
        <w:softHyphen/>
        <w:t xml:space="preserve">ды. На некоторых машинах зеленый круг мог еще иметь обводку тонким белым кольцом. Любопытно, что еще в 1929 году «Фоккеры» </w:t>
      </w:r>
      <w:r w:rsidRPr="00E93F40">
        <w:rPr>
          <w:rFonts w:ascii="Times New Roman" w:hAnsi="Times New Roman"/>
          <w:color w:val="000000" w:themeColor="text1"/>
          <w:sz w:val="16"/>
          <w:szCs w:val="16"/>
          <w:lang w:val="en-US"/>
        </w:rPr>
        <w:t>D</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XI</w:t>
      </w:r>
      <w:r w:rsidRPr="00E93F40">
        <w:rPr>
          <w:rFonts w:ascii="Times New Roman" w:hAnsi="Times New Roman"/>
          <w:color w:val="000000" w:themeColor="text1"/>
          <w:sz w:val="16"/>
          <w:szCs w:val="16"/>
        </w:rPr>
        <w:t xml:space="preserve"> из 5-й истребительной эскадрильи ВВС РККА, участвовавшие в конфликте на КВЖД, имели подобные ОЗ с белым кольцом, но без зеленого фона, хотя к авиации погранвойск они вовсе не принадлежали. С 10 июля 1934 года ОГПУ, в состав которого входили погра</w:t>
      </w:r>
      <w:r w:rsidRPr="00E93F40">
        <w:rPr>
          <w:rFonts w:ascii="Times New Roman" w:hAnsi="Times New Roman"/>
          <w:color w:val="000000" w:themeColor="text1"/>
          <w:sz w:val="16"/>
          <w:szCs w:val="16"/>
        </w:rPr>
        <w:softHyphen/>
        <w:t>ничные войска, было упразднено. Руковод</w:t>
      </w:r>
      <w:r w:rsidRPr="00E93F40">
        <w:rPr>
          <w:rFonts w:ascii="Times New Roman" w:hAnsi="Times New Roman"/>
          <w:color w:val="000000" w:themeColor="text1"/>
          <w:sz w:val="16"/>
          <w:szCs w:val="16"/>
        </w:rPr>
        <w:softHyphen/>
        <w:t>ство пограничными войсками перешло к Главному управлению Пограничной и Внут</w:t>
      </w:r>
      <w:r w:rsidRPr="00E93F40">
        <w:rPr>
          <w:rFonts w:ascii="Times New Roman" w:hAnsi="Times New Roman"/>
          <w:color w:val="000000" w:themeColor="text1"/>
          <w:sz w:val="16"/>
          <w:szCs w:val="16"/>
        </w:rPr>
        <w:softHyphen/>
        <w:t>ренней охраны НКВД СССР. Возможно, с этим событием и связано скорое прекращение использования особого ОЗ самолетов погра</w:t>
      </w:r>
      <w:r w:rsidRPr="00E93F40">
        <w:rPr>
          <w:rFonts w:ascii="Times New Roman" w:hAnsi="Times New Roman"/>
          <w:color w:val="000000" w:themeColor="text1"/>
          <w:sz w:val="16"/>
          <w:szCs w:val="16"/>
        </w:rPr>
        <w:softHyphen/>
        <w:t>ничников - все известные автору снимки самолетов с ними сделаны не позднее 1935 года.</w:t>
      </w:r>
    </w:p>
    <w:p w14:paraId="6F4ED96C" w14:textId="77777777" w:rsidR="00B411DC" w:rsidRPr="00E93F40" w:rsidRDefault="00B411D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точно отказались от зеленого фона, установить пока не удалось. Возможно, дата событий в мемуарах верна, и «особые» 03 были отменены с 1937 года, а фотографии самолетов с такими ОЗ, сделанные позже 1935 года, существуют, но автору просто не попада</w:t>
      </w:r>
      <w:r w:rsidRPr="00E93F40">
        <w:rPr>
          <w:rFonts w:ascii="Times New Roman" w:hAnsi="Times New Roman"/>
          <w:color w:val="000000" w:themeColor="text1"/>
          <w:sz w:val="16"/>
          <w:szCs w:val="16"/>
        </w:rPr>
        <w:softHyphen/>
        <w:t>лись. Впрочем, как бы там ни было, с конца 1930-х годов 03 на самолетах пограничников перестали отличаться от ВВС, а самолеты полу</w:t>
      </w:r>
      <w:r w:rsidRPr="00E93F40">
        <w:rPr>
          <w:rFonts w:ascii="Times New Roman" w:hAnsi="Times New Roman"/>
          <w:color w:val="000000" w:themeColor="text1"/>
          <w:sz w:val="16"/>
          <w:szCs w:val="16"/>
        </w:rPr>
        <w:softHyphen/>
        <w:t>чили особую маркировку в виде белых полос на оперении. С1955 года на оперение самоле</w:t>
      </w:r>
      <w:r w:rsidRPr="00E93F40">
        <w:rPr>
          <w:rFonts w:ascii="Times New Roman" w:hAnsi="Times New Roman"/>
          <w:color w:val="000000" w:themeColor="text1"/>
          <w:sz w:val="16"/>
          <w:szCs w:val="16"/>
        </w:rPr>
        <w:softHyphen/>
        <w:t>тов, имеющих светлую окраску, вместо белых могли наноситься красные полосы. Такая мар</w:t>
      </w:r>
      <w:r w:rsidRPr="00E93F40">
        <w:rPr>
          <w:rFonts w:ascii="Times New Roman" w:hAnsi="Times New Roman"/>
          <w:color w:val="000000" w:themeColor="text1"/>
          <w:sz w:val="16"/>
          <w:szCs w:val="16"/>
        </w:rPr>
        <w:softHyphen/>
        <w:t>кировка авиации пограничных войск сохраня</w:t>
      </w:r>
      <w:r w:rsidRPr="00E93F40">
        <w:rPr>
          <w:rFonts w:ascii="Times New Roman" w:hAnsi="Times New Roman"/>
          <w:color w:val="000000" w:themeColor="text1"/>
          <w:sz w:val="16"/>
          <w:szCs w:val="16"/>
        </w:rPr>
        <w:softHyphen/>
        <w:t>лась до конца существования Советского Союза и продолжает использоваться в наши дни, причем, не только в Российской Федера</w:t>
      </w:r>
      <w:r w:rsidRPr="00E93F40">
        <w:rPr>
          <w:rFonts w:ascii="Times New Roman" w:hAnsi="Times New Roman"/>
          <w:color w:val="000000" w:themeColor="text1"/>
          <w:sz w:val="16"/>
          <w:szCs w:val="16"/>
        </w:rPr>
        <w:softHyphen/>
        <w:t>ции, но и ряде государств СНГ (19928).</w:t>
      </w:r>
    </w:p>
    <w:p w14:paraId="3EF7EA5D" w14:textId="77777777" w:rsidR="00B411DC" w:rsidRPr="00E93F40" w:rsidRDefault="00B411DC" w:rsidP="00E93F40">
      <w:pPr>
        <w:shd w:val="clear" w:color="auto" w:fill="FFFFFF"/>
        <w:spacing w:after="0" w:line="240" w:lineRule="auto"/>
        <w:jc w:val="both"/>
        <w:rPr>
          <w:rFonts w:ascii="Times New Roman" w:hAnsi="Times New Roman"/>
          <w:color w:val="000000" w:themeColor="text1"/>
          <w:sz w:val="16"/>
          <w:szCs w:val="16"/>
        </w:rPr>
      </w:pPr>
    </w:p>
    <w:p w14:paraId="78BD800E" w14:textId="77777777" w:rsidR="002A278B" w:rsidRPr="00142305" w:rsidRDefault="002A278B" w:rsidP="002A278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21 июля 1932 г. принимается постановление о создании в погранвойсках авиационных отрядов. Организационно они входили в состав погранокругов и контролировались авиационной инспекцией отдела вооружений ГУПВО.</w:t>
      </w:r>
    </w:p>
    <w:p w14:paraId="18E69BC3"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w:t>
      </w:r>
      <w:r w:rsidRPr="00142305">
        <w:rPr>
          <w:rStyle w:val="aff"/>
          <w:rFonts w:ascii="Times New Roman" w:hAnsi="Times New Roman" w:cs="Times New Roman"/>
          <w:color w:val="0070C0"/>
          <w:spacing w:val="0"/>
          <w:sz w:val="16"/>
          <w:szCs w:val="16"/>
        </w:rPr>
        <w:softHyphen/>
        <w:t>чале 1935 г. авиаинспекция была выведена из отдела вооружений и переимено</w:t>
      </w:r>
      <w:r w:rsidRPr="00142305">
        <w:rPr>
          <w:rStyle w:val="aff"/>
          <w:rFonts w:ascii="Times New Roman" w:hAnsi="Times New Roman" w:cs="Times New Roman"/>
          <w:color w:val="0070C0"/>
          <w:spacing w:val="0"/>
          <w:sz w:val="16"/>
          <w:szCs w:val="16"/>
        </w:rPr>
        <w:softHyphen/>
        <w:t>вана в авиационный отдел с непосредственным подчинением начальнику ГУПВО, его начальником авиаотдела был назначен комбриг М.В. Бойцов. Ком</w:t>
      </w:r>
      <w:r w:rsidRPr="00142305">
        <w:rPr>
          <w:rStyle w:val="aff"/>
          <w:rFonts w:ascii="Times New Roman" w:hAnsi="Times New Roman" w:cs="Times New Roman"/>
          <w:color w:val="0070C0"/>
          <w:spacing w:val="0"/>
          <w:sz w:val="16"/>
          <w:szCs w:val="16"/>
        </w:rPr>
        <w:softHyphen/>
        <w:t>плектование авиачастей летным и техсоставом производилось за счет выпуск</w:t>
      </w:r>
      <w:r w:rsidRPr="00142305">
        <w:rPr>
          <w:rStyle w:val="aff"/>
          <w:rFonts w:ascii="Times New Roman" w:hAnsi="Times New Roman" w:cs="Times New Roman"/>
          <w:color w:val="0070C0"/>
          <w:spacing w:val="0"/>
          <w:sz w:val="16"/>
          <w:szCs w:val="16"/>
        </w:rPr>
        <w:softHyphen/>
        <w:t>ников школ ВВС, Осоавиахима, спортивных авиашкол общества «Динамо». В 1934 г. в Харькове при 2-ой объединенной пограншколе было создано авиаци</w:t>
      </w:r>
      <w:r w:rsidRPr="00142305">
        <w:rPr>
          <w:rStyle w:val="aff"/>
          <w:rFonts w:ascii="Times New Roman" w:hAnsi="Times New Roman" w:cs="Times New Roman"/>
          <w:color w:val="0070C0"/>
          <w:spacing w:val="0"/>
          <w:sz w:val="16"/>
          <w:szCs w:val="16"/>
        </w:rPr>
        <w:softHyphen/>
        <w:t xml:space="preserve">онное отделение по </w:t>
      </w:r>
      <w:r w:rsidRPr="00142305">
        <w:rPr>
          <w:rStyle w:val="aff"/>
          <w:rFonts w:ascii="Times New Roman" w:hAnsi="Times New Roman" w:cs="Times New Roman"/>
          <w:color w:val="0070C0"/>
          <w:spacing w:val="0"/>
          <w:sz w:val="16"/>
          <w:szCs w:val="16"/>
        </w:rPr>
        <w:lastRenderedPageBreak/>
        <w:t>подготовке летчиков, штурманов, техников. В августе 1937 г. Начальником авиационного отдела был назначен полковник А.А. Разоренов (</w:t>
      </w:r>
      <w:r w:rsidRPr="002A278B">
        <w:rPr>
          <w:rStyle w:val="aff3"/>
          <w:rFonts w:ascii="Times New Roman" w:hAnsi="Times New Roman" w:cs="Times New Roman"/>
          <w:i w:val="0"/>
          <w:iCs w:val="0"/>
          <w:color w:val="0070C0"/>
          <w:sz w:val="16"/>
          <w:szCs w:val="16"/>
          <w:lang w:val="ru-RU"/>
        </w:rPr>
        <w:t>Чупров И. М., Новиков В.С. История авиации пограничных войск (1920-1990гг). М., 1997. С. 14-15,21.</w:t>
      </w:r>
      <w:r w:rsidRPr="00142305">
        <w:rPr>
          <w:rStyle w:val="aff"/>
          <w:rFonts w:ascii="Times New Roman" w:hAnsi="Times New Roman" w:cs="Times New Roman"/>
          <w:color w:val="0070C0"/>
          <w:spacing w:val="0"/>
          <w:sz w:val="16"/>
          <w:szCs w:val="16"/>
        </w:rPr>
        <w:t>).</w:t>
      </w:r>
    </w:p>
    <w:p w14:paraId="61F25949" w14:textId="77777777" w:rsidR="002A278B" w:rsidRPr="00142305" w:rsidRDefault="002A278B" w:rsidP="002A278B">
      <w:pPr>
        <w:tabs>
          <w:tab w:val="left" w:pos="4262"/>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Авиация погранвойск активно использовалась в борьбе с басмаческими бандами на южных границах СССР в 1937-1938 гг., совершив сотни боевых вы</w:t>
      </w:r>
      <w:r w:rsidRPr="00142305">
        <w:rPr>
          <w:rStyle w:val="aff"/>
          <w:rFonts w:ascii="Times New Roman" w:hAnsi="Times New Roman" w:cs="Times New Roman"/>
          <w:color w:val="0070C0"/>
          <w:spacing w:val="0"/>
          <w:sz w:val="16"/>
          <w:szCs w:val="16"/>
        </w:rPr>
        <w:softHyphen/>
        <w:t>летов во время осуществления воздушной разведки и огневой поддержки на</w:t>
      </w:r>
      <w:r w:rsidRPr="00142305">
        <w:rPr>
          <w:rStyle w:val="aff"/>
          <w:rFonts w:ascii="Times New Roman" w:hAnsi="Times New Roman" w:cs="Times New Roman"/>
          <w:color w:val="0070C0"/>
          <w:spacing w:val="0"/>
          <w:sz w:val="16"/>
          <w:szCs w:val="16"/>
        </w:rPr>
        <w:softHyphen/>
        <w:t>земных подразделений. Так, в июне 1938 г. экипажи самолетов в 80 км от Ио- лотани обнаружили банду, пытавшуюся прорваться из Туркмен-Кала в Афгани</w:t>
      </w:r>
      <w:r w:rsidRPr="00142305">
        <w:rPr>
          <w:rStyle w:val="aff"/>
          <w:rFonts w:ascii="Times New Roman" w:hAnsi="Times New Roman" w:cs="Times New Roman"/>
          <w:color w:val="0070C0"/>
          <w:spacing w:val="0"/>
          <w:sz w:val="16"/>
          <w:szCs w:val="16"/>
        </w:rPr>
        <w:softHyphen/>
        <w:t>стан и навели на нее пограничные подразделения. В ноябре 1938 г. в соответст</w:t>
      </w:r>
      <w:r w:rsidRPr="00142305">
        <w:rPr>
          <w:rStyle w:val="aff"/>
          <w:rFonts w:ascii="Times New Roman" w:hAnsi="Times New Roman" w:cs="Times New Roman"/>
          <w:color w:val="0070C0"/>
          <w:spacing w:val="0"/>
          <w:sz w:val="16"/>
          <w:szCs w:val="16"/>
        </w:rPr>
        <w:softHyphen/>
        <w:t>вии с Указом Президиума Верховного Совета СССР состоялось награждение группы из 63 человек летно-технического и красноармейского состава авиации погранвойск орденами и медалями (25647).</w:t>
      </w:r>
    </w:p>
    <w:p w14:paraId="2958305E" w14:textId="77777777" w:rsidR="002A278B" w:rsidRPr="00142305" w:rsidRDefault="002A278B" w:rsidP="002A278B">
      <w:pPr>
        <w:spacing w:after="0" w:line="240" w:lineRule="auto"/>
        <w:jc w:val="both"/>
        <w:rPr>
          <w:rFonts w:ascii="Times New Roman" w:hAnsi="Times New Roman"/>
          <w:color w:val="0070C0"/>
          <w:sz w:val="16"/>
          <w:szCs w:val="16"/>
        </w:rPr>
      </w:pPr>
    </w:p>
    <w:p w14:paraId="24E1958F" w14:textId="77777777" w:rsidR="00633D4B"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D33566D" w14:textId="77777777" w:rsidR="00633D4B" w:rsidRPr="00E93F40" w:rsidRDefault="00633D4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5879EBE"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июля в 1932 году заключается советско-польский пакт о ненападении (14959).</w:t>
      </w:r>
    </w:p>
    <w:p w14:paraId="2EE19E57" w14:textId="77777777" w:rsidR="00633D4B" w:rsidRPr="00E93F40" w:rsidRDefault="00633D4B" w:rsidP="00E93F40">
      <w:pPr>
        <w:spacing w:after="0" w:line="240" w:lineRule="auto"/>
        <w:jc w:val="both"/>
        <w:rPr>
          <w:rFonts w:ascii="Times New Roman" w:hAnsi="Times New Roman"/>
          <w:color w:val="000000" w:themeColor="text1"/>
          <w:sz w:val="16"/>
          <w:szCs w:val="16"/>
        </w:rPr>
      </w:pPr>
    </w:p>
    <w:p w14:paraId="208435BE" w14:textId="77777777" w:rsidR="00633D4B"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B0E6E1A" w14:textId="77777777" w:rsidR="00633D4B" w:rsidRPr="00E93F40" w:rsidRDefault="00633D4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A29823"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21 июля в 1932 году первый полет самолета </w:t>
      </w:r>
      <w:hyperlink r:id="rId181" w:tgtFrame="_blank" w:history="1">
        <w:r w:rsidRPr="00E93F40">
          <w:rPr>
            <w:rFonts w:ascii="Times New Roman" w:hAnsi="Times New Roman"/>
            <w:color w:val="000000" w:themeColor="text1"/>
            <w:sz w:val="16"/>
            <w:szCs w:val="16"/>
          </w:rPr>
          <w:t xml:space="preserve">«Handley Page» «H.P.43» </w:t>
        </w:r>
      </w:hyperlink>
      <w:r w:rsidRPr="00E93F40">
        <w:rPr>
          <w:rFonts w:ascii="Times New Roman" w:hAnsi="Times New Roman"/>
          <w:color w:val="000000" w:themeColor="text1"/>
          <w:sz w:val="16"/>
          <w:szCs w:val="16"/>
        </w:rPr>
        <w:t>(J9833). По спецификации C16/28 на транспортный самолет с возможностями бомбардировщика был разработан трехдвигательный самолет «Handley Page» «H.P.43». Последний представлял собой проект близкий к пассажирскому самолету «H.P.42». Главными отличиями нового самолета стала конструкция крыла и силовая установка, состоящая из трех двигателей «Bristol» «Pegasus». «H.P.43» мог перевозить до 30 солдат в полной экипировке или до двенадцати 113 кг бомб на внешней подвеске . Прототип самолета не имел оборонительного вооружения, а на серийный самолет планировалось установить один 7.7-мм пулемет «Lewis» в носовую открытую кабину, а второй такой же в верхней части фюзеляжа на турели «Scraff». Несмотря на приличные летные характеристики заказов на самолет не поступило. В последствии фюзеляж самолета использовался при создании транспортного самолета «H.P.51» ставшего прародителем бомбардировщика «Harrow» (14959).</w:t>
      </w:r>
    </w:p>
    <w:p w14:paraId="4FB35580" w14:textId="77777777" w:rsidR="00633D4B" w:rsidRPr="00E93F40" w:rsidRDefault="00633D4B" w:rsidP="00E93F40">
      <w:pPr>
        <w:spacing w:after="0" w:line="240" w:lineRule="auto"/>
        <w:jc w:val="both"/>
        <w:rPr>
          <w:rFonts w:ascii="Times New Roman" w:hAnsi="Times New Roman"/>
          <w:color w:val="000000" w:themeColor="text1"/>
          <w:sz w:val="16"/>
          <w:szCs w:val="16"/>
        </w:rPr>
      </w:pPr>
    </w:p>
    <w:p w14:paraId="6DD9147E"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июля 1932 Вольфганг фон Гронау отправляется в кругосветное путешествие на Дорнье Валь. Спустя сто одиннадцать дней это стало первым подобным путешествие на летающей лодке (20803).</w:t>
      </w:r>
    </w:p>
    <w:p w14:paraId="3BF40AA1"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1C4888D9" w14:textId="4ECC228D"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июля 1932 года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Вольфганг фон Гронау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вместе с экипажем начинают кругосветный перелёт. /Германия/</w:t>
      </w:r>
    </w:p>
    <w:p w14:paraId="25B6B5D0" w14:textId="16701178"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Фон Гронау был бывшим военным лётчиком, во время Первой мировой войны пилотировавшим летающие лодки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Императорских военно-морских сил Германии. После войны работал в лётной школе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Deutsche Verkehrsfliegerschule, где возглавлял отдел морских полётов.</w:t>
      </w:r>
    </w:p>
    <w:p w14:paraId="6D69C341" w14:textId="362CEA2B"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 году фон Гронау на летающей лодке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Dornier Wal</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совершил трансатлантический перелёт. Лётчик решает закрепить успех и начинает готовится к воздушной кругосветке. Для этого была специально подготовлена летающая лодка Dornier Wal с именем собственным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"Grönland Wal"</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(«Гренландский кит») и б/н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D-2053. В состав экипажа также вошли — второй пилот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Герт фон Рот, механик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Франц Хак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радист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Фриц Альбрехт.</w:t>
      </w:r>
    </w:p>
    <w:p w14:paraId="0D747486" w14:textId="41F8ADDA"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Стартовав из коммуны Лист (Зильт), через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дней смелые авиаторы вернулись домой, обогнув земной шар. Множество зрителей встречало их на Боденском озере. За время перелёта экипаж преодолел свыше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44 000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сделав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остановки (22300).</w:t>
      </w:r>
    </w:p>
    <w:p w14:paraId="47A6FF56"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2DE3E0B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A30EF2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2536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июля 1932 по извещен. N 1457с завода 31 был предъявлен на гос. испытания первый серийный самолет МБР-4 заводской N ОЕ75, но был отклонен воен. представителями за отсутствием вооружения, бензиномеров и неясности вопроса о центровке. Потом пытались предъявить 28 августа, 11 и 16 сентября 1932 и все время были дефекты (2996).</w:t>
      </w:r>
    </w:p>
    <w:p w14:paraId="3559B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671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 25 июля 1932 года, как указано в справке Соловьева от 28 августа 1932 года, были проведены первые госиспытания объектов ТСП. Через эти испытания пропущена была лишь часть объектов, перечисленных в заявке Гроховского (бомбы ТСП-2, ТСП-3, ударнодистанционная и ударная), причем комиссией приняты были только два последних объекта, бомбы же ТСП-2 и ТСП-3 оказались недоработанными и остаются таковыми до сего времени (7470, 331-334).</w:t>
      </w:r>
    </w:p>
    <w:p w14:paraId="62E8D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8C2F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июля 1932 года был построен и поставлен на заводские испытания М-34Р (3530,91).</w:t>
      </w:r>
    </w:p>
    <w:p w14:paraId="55197C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C5B16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43311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3298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июля 1932 г. был подписан Акт о завершении испытаний СПК на НИАП.</w:t>
      </w:r>
    </w:p>
    <w:p w14:paraId="7E1D4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Войсковые испытания СПК были проведены в московской Пролетарской стрелковой дивизии и 4-й кавалерийской дивизии, по результатам которых СП К была принята на вооружение кавалерийских и мотомеханизированных частей.</w:t>
      </w:r>
    </w:p>
    <w:p w14:paraId="44BD93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 планировалось вести серийное производство СПК на заводе № 8. В 1933 г. завод имел план на 25 СПК, но ни одной пушки не сдал.</w:t>
      </w:r>
    </w:p>
    <w:p w14:paraId="37D3C6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заводу № 7 было поручено освоить производство СПК. На 1934 г. ему заказали 10 °CПК, но вскоре с согласия заказчика систему сняли с производства «ввиду ее несовершенства». По отчету завода № 7 за 1934 т. было изготовлено всего 7 СПК.</w:t>
      </w:r>
    </w:p>
    <w:p w14:paraId="527B6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1935 г. заводу № 7 было заказано 11 °CПК, а сдано под пломбу в течение года 20. Трубы и сопла для завода № 7 изготавливал завод «Большевик».</w:t>
      </w:r>
    </w:p>
    <w:p w14:paraId="639A42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завод № 38 должен был приступить к изготовлению и монтажу 5 °CПК на автомобилях.</w:t>
      </w:r>
    </w:p>
    <w:p w14:paraId="3008E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Сколько всего было изготовлено систем — установить невозможно. Во всяком случае, к 1 ноября 1936 г. на вооружении РККА состояло 85 годных СПК. В ходе Зимней войны 1939–1940 гг. финнам удалось захватить одну установку СПК.</w:t>
      </w:r>
    </w:p>
    <w:p w14:paraId="612F52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об участии СПК или каких-либо других пушек Курчевского в Великой Отечественной войне отсутствуют (12091).</w:t>
      </w:r>
    </w:p>
    <w:p w14:paraId="6F7088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81B936"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22 июля 1932 г. был подписан Акт об испытания на НИАПе опытного образца самоходной пушки Курчевского СПК в апреле 1932 г. на полигоне «Выстрел» в Кунцево.</w:t>
      </w:r>
    </w:p>
    <w:p w14:paraId="67AB0171"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Войсковые испытания СПК были проведены в Московской Пролетарской стрелковой дивизии и 4-й кавалерийской дивизии, по результатам которых СПК была принята на вооружение кавалерийских и мотомеханизированных частей.</w:t>
      </w:r>
    </w:p>
    <w:p w14:paraId="26632811"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Первоначально планировалось вести серийное производство СПК на заводе № 8. В 1933 г. завод имел план на 25 СПК, но ни одной пушки не сдал.</w:t>
      </w:r>
    </w:p>
    <w:p w14:paraId="4504C9C0"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1934 г. заводу № 7 было поручено освоить производство СПК. На 1934 г. ему заказали 10 °CПК, но вскоре с согласия заказчика систему сняли с производства «ввиду ее несовершенства». По отчету завода № 7 за 1934 г. было изготовлено всего 7 СПК.</w:t>
      </w:r>
    </w:p>
    <w:p w14:paraId="63BC9FB8"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1935 г. заводу № 7 было заказано 11 °CПК, а сдано под пломбу в течение года 20. Трубы и сопла для завода № 7 изготавливал завод «Большевик».</w:t>
      </w:r>
    </w:p>
    <w:p w14:paraId="56482EEF"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1935 г. завод № 38 должен был приступить к изготовлению и монтажу 5 °CПК на автомобилях.</w:t>
      </w:r>
    </w:p>
    <w:p w14:paraId="2A3D5F8A"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Сколько всего было изготовлено систем — установить невозможно. Во всяком случае, к 1 ноября 1936 г. на вооружении РККА состояло 85 годных СПК. В ходе Зимней войны 1939–1940 гг. финнам удалось захватить одну установку СПК.</w:t>
      </w:r>
    </w:p>
    <w:p w14:paraId="0F870D5F"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Данные об участии СПК или каких-либо других пушек Курчевского в Великой Отечественной войне отсутствуют (25213).</w:t>
      </w:r>
    </w:p>
    <w:p w14:paraId="4B18BFFD" w14:textId="77777777" w:rsidR="002A278B" w:rsidRPr="00142305" w:rsidRDefault="002A278B" w:rsidP="002A278B">
      <w:pPr>
        <w:spacing w:after="0" w:line="240" w:lineRule="auto"/>
        <w:jc w:val="both"/>
        <w:rPr>
          <w:rFonts w:ascii="Times New Roman" w:hAnsi="Times New Roman"/>
          <w:color w:val="0070C0"/>
          <w:sz w:val="16"/>
          <w:szCs w:val="16"/>
        </w:rPr>
      </w:pPr>
    </w:p>
    <w:p w14:paraId="4B307B06"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22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863/259сс о выполнении постановления СНК СССР от 3 ноября 1931 г. за № 228/сс о строительстве нефтехранилищ для мобготовности РККА (ГА РФ. Ф. Р?8418. Оп. 28. Д. 1а. Л. 304?305) (12415).</w:t>
      </w:r>
    </w:p>
    <w:p w14:paraId="1DEC72C4"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7955AE99" w14:textId="2431A757" w:rsidR="002A278B" w:rsidRPr="00E93F40" w:rsidRDefault="002A278B" w:rsidP="002A278B">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E93F40">
        <w:rPr>
          <w:rFonts w:ascii="Times New Roman" w:hAnsi="Times New Roman"/>
          <w:i/>
          <w:iCs/>
          <w:color w:val="000000" w:themeColor="text1"/>
          <w:sz w:val="16"/>
          <w:szCs w:val="16"/>
        </w:rPr>
        <w:t>:</w:t>
      </w:r>
    </w:p>
    <w:p w14:paraId="67180D74" w14:textId="77777777" w:rsidR="002A278B" w:rsidRPr="00E93F40" w:rsidRDefault="002A278B" w:rsidP="002A278B">
      <w:pPr>
        <w:autoSpaceDE w:val="0"/>
        <w:autoSpaceDN w:val="0"/>
        <w:adjustRightInd w:val="0"/>
        <w:spacing w:after="0" w:line="240" w:lineRule="auto"/>
        <w:jc w:val="both"/>
        <w:rPr>
          <w:rFonts w:ascii="Times New Roman" w:hAnsi="Times New Roman"/>
          <w:iCs/>
          <w:color w:val="000000" w:themeColor="text1"/>
          <w:sz w:val="16"/>
          <w:szCs w:val="16"/>
        </w:rPr>
      </w:pPr>
    </w:p>
    <w:p w14:paraId="0816430C"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июля 1932 г., руководство ВВС представило Наркомвоенмору на утверждение проект нового штата № 1/106 Управления ВВС РККА (РГВА. Ф. 29. Оп. 35. Д. 34. Л. 45-47; Оп. 47. Д. 32. Л. 4), в котором были учтены все тре</w:t>
      </w:r>
      <w:r w:rsidRPr="00142305">
        <w:rPr>
          <w:rFonts w:ascii="Times New Roman" w:hAnsi="Times New Roman"/>
          <w:color w:val="0070C0"/>
          <w:sz w:val="16"/>
          <w:szCs w:val="16"/>
        </w:rPr>
        <w:softHyphen/>
        <w:t>бования Постановления от 5 июля (24968).</w:t>
      </w:r>
    </w:p>
    <w:p w14:paraId="5916D9C2"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p>
    <w:p w14:paraId="12FB9E0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9EA175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8DF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июля 1932 вышло решение Правительства, которое обязало АП:</w:t>
      </w:r>
    </w:p>
    <w:p w14:paraId="55900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выпустить в 1932 первую опытную партию тормозных колес 900х200 для Р-5 - 100 и 1350х300 для ТБ-3</w:t>
      </w:r>
    </w:p>
    <w:p w14:paraId="112579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 1933 все выпускаемые самолеты перевести на тормозные колеса (2309).</w:t>
      </w:r>
    </w:p>
    <w:p w14:paraId="65C47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2799F9" w14:textId="77777777" w:rsidR="008328E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34AB076" w14:textId="77777777" w:rsidR="008328E0" w:rsidRPr="00E93F40" w:rsidRDefault="008328E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36071E3" w14:textId="77777777"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23-29 июля 1932 г. – войсковые испытания по выявлению боевых возможностей радиофугасов типа «БЕМИ» («Б-10») (18667).</w:t>
      </w:r>
    </w:p>
    <w:p w14:paraId="35FDF532" w14:textId="77777777" w:rsidR="00245CFB" w:rsidRPr="00E93F40" w:rsidRDefault="00245CFB" w:rsidP="00E93F40">
      <w:pPr>
        <w:spacing w:after="0" w:line="240" w:lineRule="auto"/>
        <w:jc w:val="both"/>
        <w:rPr>
          <w:rFonts w:ascii="Times New Roman" w:hAnsi="Times New Roman"/>
          <w:color w:val="000000" w:themeColor="text1"/>
          <w:sz w:val="16"/>
          <w:szCs w:val="16"/>
        </w:rPr>
      </w:pPr>
    </w:p>
    <w:p w14:paraId="6AB44FEF"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109. 13. О постройке судостроительного завода в районе Архангельска (ПБ от 23 марта 1932 г., пр. № 93, п. 29в) (Пятаков). 18. О поставке лесопильных рам НКПС и НКВоенмору (ПБ от 1 июля 1932 г., пр. № 106, п. 35, из прил. п. 7 и пр. № 104, п. 54, из прил. п. 4) (Лобов, Ворошилов, Миронов). (Политбюро... Т. 2. С. 332) (12416).</w:t>
      </w:r>
    </w:p>
    <w:p w14:paraId="226B7CB0"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109B1EE4" w14:textId="77777777" w:rsidR="00633D4B" w:rsidRPr="00E93F40" w:rsidRDefault="00633D4B" w:rsidP="00E93F40">
      <w:pPr>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23 июля 1932 г. Протокол ПБ № 109 п.13: О постройке судостроительного завода в районе Архангельска. (Пятаков; ПБ от 23-3-1932 г., протокол № 93, п. 29-в). Решено утвердить постановление о постройке судостроительного завода в районе г. Архангельска (см. приложение). В приложении дано постановление Политбюро ЦК ВКП(б) от 23-7-1932 г. о постройке судостроительного завода в районе г. Архангельска для удовлетворения нужд Северного края в речном и морском судостроении (15873).</w:t>
      </w:r>
    </w:p>
    <w:p w14:paraId="29FCD816" w14:textId="77777777" w:rsidR="00633D4B" w:rsidRPr="00E93F40" w:rsidRDefault="00633D4B" w:rsidP="00E93F40">
      <w:pPr>
        <w:spacing w:after="0" w:line="240" w:lineRule="auto"/>
        <w:jc w:val="both"/>
        <w:rPr>
          <w:rFonts w:ascii="Times New Roman" w:hAnsi="Times New Roman"/>
          <w:iCs/>
          <w:color w:val="000000" w:themeColor="text1"/>
          <w:sz w:val="16"/>
          <w:szCs w:val="16"/>
        </w:rPr>
      </w:pPr>
    </w:p>
    <w:p w14:paraId="63FA93DD" w14:textId="77777777"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июля 1932</w:t>
      </w:r>
    </w:p>
    <w:p w14:paraId="1F077741" w14:textId="330F13CA"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 О постройке судостроительного завода в районе Архангельска</w:t>
      </w:r>
    </w:p>
    <w:p w14:paraId="7C76B6A7" w14:textId="37CB049D"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23.III.32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93,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29-в).</w:t>
      </w:r>
    </w:p>
    <w:p w14:paraId="714A0DCA" w14:textId="77777777"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(Пятаков).</w:t>
      </w:r>
    </w:p>
    <w:p w14:paraId="40FFF897" w14:textId="0A69693A"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постановление о постройке судостроительного завода в районе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Архангельска (</w:t>
      </w:r>
      <w:hyperlink r:id="rId182"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6</w:t>
        </w:r>
      </w:hyperlink>
      <w:r w:rsidRPr="00E93F40">
        <w:rPr>
          <w:rFonts w:ascii="Times New Roman" w:hAnsi="Times New Roman"/>
          <w:color w:val="000000" w:themeColor="text1"/>
          <w:sz w:val="16"/>
          <w:szCs w:val="16"/>
        </w:rPr>
        <w:t>).</w:t>
      </w:r>
    </w:p>
    <w:p w14:paraId="36F09C96" w14:textId="2E476C9C"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w:t>
      </w:r>
    </w:p>
    <w:p w14:paraId="47B3F744" w14:textId="6E7E625B"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109.</w:t>
      </w:r>
    </w:p>
    <w:p w14:paraId="5E21BE33" w14:textId="0B52B5EC"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23.VII.1932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4F8A83D7" w14:textId="1BFB7ACB"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постройке судостроительного завода в районе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Архангельска для удовлетворения нужд Северного края в речном и морском судостроении.</w:t>
      </w:r>
    </w:p>
    <w:p w14:paraId="0FF0BCBB" w14:textId="09205AE6"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Признать, что судоремонтной завод ‘‘Красная Кузница” (в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Архангельске) даже после реконструкции не может удовлетворить потребность морских, товаро-пассажирских, технических, вспомогательных и специальных судов.</w:t>
      </w:r>
    </w:p>
    <w:p w14:paraId="2184FB72" w14:textId="4347CC4E"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Для удовлетворения потребности Северного края (Печерская линия) в коммерческом и морском судостроении и Наркомвоенмора в специальном судостроении для Северного края, предложить НКТП приступить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к проектированию и подготовительным работам нового судостроительного завода в Архангельске, с окончанием его в конце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и рассчитанного на производительность до 30.000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стали судокорпуса в год, для чего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отпустить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миллионов рублей.</w:t>
      </w:r>
    </w:p>
    <w:p w14:paraId="05AF1005" w14:textId="20C27A88"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Принять к сведению, что судостроительные заводы Речсоюзверфи в Волжском бассейне обеспечивают Северный край необходимыми речными, буксирными и товаро-пассажирскими судами малой мощности (до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лошадиных сил).</w:t>
      </w:r>
    </w:p>
    <w:p w14:paraId="28064DDC" w14:textId="77777777"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Обязать Наркомснаб обеспечить на верфях деревянного судостроения в Северном бассейне постройку всех потребных деревянных промысловых судов.</w:t>
      </w:r>
    </w:p>
    <w:p w14:paraId="14E5B3B0" w14:textId="77777777"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Предложить Наркомводу начать в текущем году новые дноуглубительные и землечерпательные работы в районе площадки нового судо-завода.</w:t>
      </w:r>
    </w:p>
    <w:p w14:paraId="4B2B1458" w14:textId="77777777"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Приравнять строительство Архангельского судозавода к ударным стройкам особого назначения.</w:t>
      </w:r>
    </w:p>
    <w:p w14:paraId="4EB850A8" w14:textId="77777777"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(18130).</w:t>
      </w:r>
    </w:p>
    <w:p w14:paraId="0FFB0AF6" w14:textId="77777777" w:rsidR="00245CFB" w:rsidRPr="00E93F40" w:rsidRDefault="00245CFB" w:rsidP="00E93F40">
      <w:pPr>
        <w:spacing w:after="0" w:line="240" w:lineRule="auto"/>
        <w:jc w:val="both"/>
        <w:rPr>
          <w:rFonts w:ascii="Times New Roman" w:hAnsi="Times New Roman"/>
          <w:color w:val="000000" w:themeColor="text1"/>
          <w:sz w:val="16"/>
          <w:szCs w:val="16"/>
        </w:rPr>
      </w:pPr>
    </w:p>
    <w:p w14:paraId="2CE02F3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F81605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C69F45A"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23 июля 1932 состоялось заседание ПБ (Протокол № 109) </w:t>
      </w:r>
    </w:p>
    <w:p w14:paraId="37D00B05"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Об Институте Мозга</w:t>
      </w:r>
    </w:p>
    <w:p w14:paraId="43438F11"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Болотов).</w:t>
      </w:r>
    </w:p>
    <w:p w14:paraId="11D44743"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Удовлетворить просьбу Института Мозга об ассигновании 5.000 р. зол. для оборудования отделения электро-физиологи коры мозга.</w:t>
      </w:r>
    </w:p>
    <w:p w14:paraId="17BE7EC7"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направлена: т.т. Рудзутаку, Боеву, Молотову (23054).</w:t>
      </w:r>
    </w:p>
    <w:p w14:paraId="02125CEE"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115A1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июля 1932 года Приказом ОГПУ №686с утверждено «Положение о военизированной охране ИТЛ ОГПУ» (8983).</w:t>
      </w:r>
    </w:p>
    <w:p w14:paraId="47FFF0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AA57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23 и 29 июля 1932. Из протокола заседания Политбюро № 109, 1932 г.</w:t>
      </w:r>
    </w:p>
    <w:p w14:paraId="61E51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т. С. </w:t>
      </w:r>
    </w:p>
    <w:p w14:paraId="2D5B7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Продлить отпуск т. Сталину на один месяц (11652).</w:t>
      </w:r>
    </w:p>
    <w:p w14:paraId="29149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9DE7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23 и 29 июля 1932. Из протокола заседания Политбюро № 109, 1932 г.</w:t>
      </w:r>
    </w:p>
    <w:p w14:paraId="65D911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"Антиквариате" </w:t>
      </w:r>
    </w:p>
    <w:p w14:paraId="537A7D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тов. Бубнову немедленно выделить В/О "Антиквариат" из Государственного Эрмитажа картину художника Никола Пуссена "Триумф Амфитриты" для реализации ее на экспорт (11652).</w:t>
      </w:r>
    </w:p>
    <w:p w14:paraId="1D1F7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E56B5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E53AF3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74A2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23 и 29 июля 1932. Из протокола заседания Политбюро № 109, 1932 г.</w:t>
      </w:r>
    </w:p>
    <w:p w14:paraId="24841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дополнительном экспорте в 1932 г. </w:t>
      </w:r>
    </w:p>
    <w:p w14:paraId="7A1293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Удовлетворить ходатайство НКВнешторга о выделении промтоваров на 770 тыс. руб. для стимулирования экспортных заготовок: </w:t>
      </w:r>
    </w:p>
    <w:p w14:paraId="35B9B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Включить заготовки опиума и женьшеня в число стимулируемых продуктов по с. х. заготовкам в порядке бронируемых фондов. </w:t>
      </w:r>
    </w:p>
    <w:p w14:paraId="30858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Для стимулирования заготовок НКВнешторгом опиума и женьшеня предложить НКСнабу СССР выделить и забронировать в распоряжение НКВнешторга следующие фонды: хлеба — 2050 тонн, мануфактуры — на сумму 1100 тыс. руб., сапог и ичигов — на сумму 550 тыс. руб., галош — на сумму 200 тыс. руб., папирос — на сумму 30 тыс. руб., керосина — на сумму 15 тыс. руб., масла растительного — на сумму 100 тыс. руб. (11652).</w:t>
      </w:r>
    </w:p>
    <w:p w14:paraId="0D687D6D" w14:textId="0A642D3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27CB7C" w14:textId="2AAEC06B" w:rsidR="00C16959" w:rsidRPr="00E93F40" w:rsidRDefault="00C16959"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5295AB75" w14:textId="77777777" w:rsidR="00C16959" w:rsidRPr="00E93F40" w:rsidRDefault="00C16959"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323FE4FB"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июля 1932 пионер авиации Альберто Сантос-Дюмон повесился (20803).</w:t>
      </w:r>
    </w:p>
    <w:p w14:paraId="58404314"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7CA0894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5C02C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775E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июля 1932 закончились гос. испытания Р-5 М-17 с разрезными крыльями, которые проходили с 7 мая 1932 (6778).</w:t>
      </w:r>
    </w:p>
    <w:p w14:paraId="06806CD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BE1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июля 1932 Лестера П. Барлоу подготовил Заявление представителям Правительства СССР</w:t>
      </w:r>
    </w:p>
    <w:p w14:paraId="196A8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 мотивом моих переговоров с представителями СССР является желание сделать все что я могу совместно с другими для осуществления разоружения всех наций и для установления международных планов для гарантии международного мира и наилучших взаимоотношений в международных общественных и торговых вопросах.</w:t>
      </w:r>
    </w:p>
    <w:p w14:paraId="272D4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моих разговорах с Борисом Сквирским и Петром Богдановым в Соединенных Штатах я им разъяснил, что абсолютно ничего не продаю СССР и не имею никаких коммерческих интересов в моей поездке в Москву. Я здесь нахожусь как частное лицо и как таковое работаю в интересах разоружения и работаю именно в контакте с СССР, так как мое собственное правительство отказалось сделать официальное и прямое воззвание к всеобщему разоружению на Женевской конференции по разоружению. Народ Соединенных Штатов в массе своей миролюбив и болеет душой за интересы человечества, но он страдает от наличия правительства захвата, правительства лжи, правительства предательства, которое держится благодаря порочному кругу агитации и широко практикуемого запугивания. Конституционное Правительство Соединенных Штатов давно свержено. Нынешнее правительство, контролирующее Соединенные Штаты, действует под диктовку национального и международного финансового капитала, для увековечения этого контроля необходимо международное вооружение и поэтому нечего ожидать от представителей Соединенных Штатов в Женеве правильного рассуждения или эффективного действия в интересах человечества. Очевидно тоже можно сказать и про представителей большинства мировых держав участвующих в конференции.</w:t>
      </w:r>
    </w:p>
    <w:p w14:paraId="0FC8CC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Я имел много личных бесед с официальными лицами Соединенных Штатов в попытке добиться того, чтобы Соединенные Штаты заняли позицию в пользу полного всеобщего разоружения. В марте этого года обе палаты Конгресса Соединенных Штатов были внесены резолюции за создание тайной комиссии по изучению практичности тех военных планов, которые я представил бы этой комиссии. Внесение этих резолюций вызвало очень серьезную дискуссию и широкое обсуждение в прессе о том, что могли бы представлять собой эти мои секретные планы. Я получил очень много писем показывающих, что мои предложения рассматривались очень серьезно. Так как я имел репутацию лица, изобретшего многие военные приспособления определенных типов как для моего правительства, так и для других стран, в особенности воздушных бомб, не было причин не относиться серьезно к моим военным предложениям. Американское Правительство до сих пор потратило миллионы долларов на производство предметов моего изобретения.</w:t>
      </w:r>
    </w:p>
    <w:p w14:paraId="254BC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здесь прилагаю письма от вице-президента США Кертиса; от председателя палаты представителей Гарнера, ныне кандидата демократической партии на должность вице-президента; от Мексвейна – председателя Комиссии по военным делам в Палате представителей и от члена Палаты представителей Терни, который внес мои резолюции в Палату. Все эти письма относятся к внесению резолюции о создании тайной комиссии. Тут же приложено письмо от сенатора Фрейзера – вождя движения за разоружение в Сенате США и единственного должностного лица США, которому известны подробности моих нынешних военных предложений.</w:t>
      </w:r>
    </w:p>
    <w:p w14:paraId="686BEB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Моя деятельность в этом направлении в последнее время была настолько эффективна, что я был приглашен президентом Гувером для обсуждения моих предложений и имел совещание с ним 7 апреля этого года. На этом совещании я сказал президенту, что считаю что могу представить ему секретные сведения об известном наступательном оружии, которые убедили бы его, а затем и других членов Правительства США равно как и представителей других мировых держав, в безнадежности дальнейших попыток разрешения международных споров посредством вооруженной борьбы. Я сделал президенту США тоже заявление, которое я сейчас делаю представителям СССР, а именно, что единственной ценой этой информации является искреннее содействие представителей правительства для использования этих сведений в попытке достигнуть соглашения между мировыми державами о разоружении. Я предложил президенту подписать договор о том, что я отказываюсь от всех прав на денежную компенсацию. Я сказал ему, что перед тем как я раскрою перед ним карты, я должен заручиться обещанием президента США не разглашать ни перед кем без моего разрешения тех сведений, которые я ему изложу. Я также заявил, что требую обещания в случае, если мои планы для наступательной войны соответствуют тем надеждам, которые я на них возлагаю, он как президент будет наставить, чтобы эти планы были раскрыты перед всеми народами мира в Женеве для их рассмотрения, в надежде что они окажут содействие США достигнуть полного, а не частичного разоружения. Президент Гувер реагировал точно так же как я от него ожидал. Он не имел разрешения от своих хозяев давать такие обещания. В этом конечно он не сознавался, но в этом и надобности не было. Он только заявил, что ему нужен срок для того, чтобы это обдумать. Я сразу понял, что президент уклоняется от возможности выпустить действительное и действенное воззвание за разоружение.</w:t>
      </w:r>
    </w:p>
    <w:p w14:paraId="0F2FE5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Моей единственной ценой было требование честности и права правительств и народов всех стран получить те сведения, которые у меня имелись одновременно, не ставя в привилегированное положение ни одну страну, включая мою собственную. У президента не было честной отговорки или причины для отказа от моего предложения, сделанного ему в Белом Доме 7 апреля.</w:t>
      </w:r>
    </w:p>
    <w:p w14:paraId="3B858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тех пор президент Гувер предложил правительствам мира частичное сокращение вооружений на 33 1/3%. Я сомневаюсь, было ли это его предложение внесено в целях общественной справедливости. Предложение это имеет несколько тайных мотивов. Одним из них несомненно является желание приобретения лишнего материала для совей предвыборной кампании. Другая преследуемая цель – жест в сторону народов в США и в других странах, кажущийся искренним, но в действительности не искренний. Экономическое бремя, лежащее на американском народе в настоящее время колоссально и миллионы налогоплательщиков протестуют против огромных налогов на вооружение. Однако главной целью этого гуверовского предложения является желание привести к ограничению вооружений, без того чтобы самому разоружиться. Акулы крупных финансов прекрасно понимают тот великий факт, который собираюсь я использовать в моем стремлении к международному соглашению по разоружению. Основное руководящее начало для лидеров международной торговли и финансов в их желании ограничить вооружение – это боязнь того, что армейская часть правительства превратится в экономически невыносимое и страшно разрушительное не поддающееся контролю чудовище. Если увеличение расходов и разрушительного действия военных организаций не будет приостановлено они приведут к полному экономическому и социальному разрушению всех правительств, что в конце концов будет означать падение деспотического финансового контроля над правительствами. С другой стороны, полное разоружение несомненно поведет к тому же. Поэтому предложение Гувера хотя оно может быть и искренно в смысле желания ограничения вооружения, является предложением внесенным в интересах международных финансовых акул с целью обеспечения за ними контроля над большинством правительств мира.</w:t>
      </w:r>
    </w:p>
    <w:p w14:paraId="0BC3F9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желаю быть одним из тех, которые не потерпят какой бы то ни было середины между безграничным вооружением и полным разоружением. Я желаю работать с теми, которые пытаются создать соглашение между народами за полное разоружение. Если эта попытка провалится, я готов помочь некоторым народам строить неограниченное вооружение в надежде, что состязание по вооружению докажет своей дороговизной и ужасами ошибочность войны и этим принесет мировой общественный переворот, который вырвет контроль над правительствами всех народов из рук помешанных от жадности элементов, забывших всякую человечность в своей беспощадной погоне за финансовым первенством.</w:t>
      </w:r>
    </w:p>
    <w:p w14:paraId="78591C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я не принимаю коммунизм как разрешение социальной проблемы США, я искренне надеюсь и желаю ему успеха в той стране, где он сейчас подвергается такому серьезному испытанию. Трудно предугадывать будущий социальный режим в моей стране, но новый режим приближается – либеральный режим, основанный на первоначальных идеях создателей Соединенных Штатов Америки, а именно: жизнь, свобода и преследование счастья и я надеюсь что это произойдет без широкого применения насилия и кровопролития. Этой моей надеждой в большой степени объясняется мое присутствие в Москве.</w:t>
      </w:r>
    </w:p>
    <w:p w14:paraId="0DA33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моих переговорах до сих пор с представителями правительства СССР я не имею ни малейших оснований сомневаться в искренности их заявлений и выраженного ими желания всеобщего разоружения. Это великое и прекрасное желание со стороны официальных лиц Советского Союза не повторено никем из так называемых мировых держав.</w:t>
      </w:r>
    </w:p>
    <w:p w14:paraId="49FD1C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я убедился окончательно, что высоко поставленные лица в правительстве США абсолютно противятся международному разоружению, мне пришлось искать другое правительство с огромными ресурсами, как человеческими так и прочими, которое будет всячески стремиться привести к соглашению о всеобщем разоружении. Так как правительство СССР является единственным официально выразившим желание полного всеобщего разоружения, мне конечно не осталось ничего другого как обратиться к официальным представителям этого правительства в США и раскрыть перед ними свои намерения и цели. Я должен констатировать, что даже к некоторому моему удивлению я нашел немедленный отклик. Я представляю правительству США подробности практически осуществимого наступательного военного оружия, против которого, по моему мнению, нет действенной обороны. Я считаю, что огромный запас научных сведений, имеющийся у народов всего мира делает возможным применение орудий войны столь разрушительных, что если они не приведут к соглашению в полном всемирном разоружении всякое национальное и международное социальное и коммерческое доверие будет разрушено и последует общая и полная социальная и экономическая разруха.</w:t>
      </w:r>
    </w:p>
    <w:p w14:paraId="0E404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Большая война для Советского Союза в настоящее время отозвалась бы катастрофически на колоссальных индустриальных планах СССР. Я убежден, что официальные лица СССР придерживаются этого мнения. Большая война для любой великой коммерческой страны была бы не менее катастрофична.</w:t>
      </w:r>
    </w:p>
    <w:p w14:paraId="52BFA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из-за одного этого, отбрасывая все прочие факторы, я хочу работать совместно с СССР за продвижение по мере возможности дела международного соглашения о полном разоружении без всякого промедления. Я абсолютно уверен, что хорошо обдуманные и достаточно поддержанные предложения мировым державам со стороны СССР встретят почти всеобщее сочувствие со стороны основной массы граждан США равно как и основной массы других народов.</w:t>
      </w:r>
    </w:p>
    <w:p w14:paraId="1C69F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Яркие и действенные предложения со стороны СССР вызовут удивление, но они будут убедительны своей искренностью и доброжелательством; если они будут представлены с энергией и быстротой они оглушат всех оппонентов разоружения, которых в поединке можно победить, так как они действуют при очень неблагоприятных для них обстоятельствах. Нынешний мировой экономический кризис представляет возможность разбить агитаторов за вооружение и эту возможность не надо терять (3553,7-12).</w:t>
      </w:r>
    </w:p>
    <w:p w14:paraId="2882E0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DFE4E3" w14:textId="77777777" w:rsidR="00A6183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0B5CA293" w14:textId="77777777" w:rsidR="00A61830" w:rsidRPr="00E93F40" w:rsidRDefault="00A6183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D5872A" w14:textId="77777777" w:rsidR="00A61830" w:rsidRPr="00E93F40" w:rsidRDefault="00A6183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24 июля 1932, находясь на отдыхе в Сочи, Сталин вновь возвращается к хлебозаготовкам и в письме Кагановичу и Молотову подтверждает свою установку «на безусловное выполнение плана хлебозаготовок по СССР». Однако, учитывая особое положение Украины, он считает, что «придется сделать исключение для особо пострадавших районов Украины. Это необходимо не только с точки зрения справедливости, но и ввиду особого положения Украины, общей границы с Польшей и т.п.»10. Но план был настолько нереальный, что даже после некоторого снижения его не смогли выполнить.</w:t>
      </w:r>
    </w:p>
    <w:p w14:paraId="49AF4514" w14:textId="77777777" w:rsidR="00A61830" w:rsidRPr="00E93F40" w:rsidRDefault="00A6183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eastAsia="Times New Roman" w:hAnsi="Times New Roman"/>
          <w:color w:val="000000" w:themeColor="text1"/>
          <w:sz w:val="16"/>
          <w:szCs w:val="16"/>
          <w:lang w:eastAsia="ru-RU"/>
        </w:rPr>
        <w:t>Не довольствуясь прямым поступлением зерна по хлебозаготовкам, Сталин 15 августа в телеграмме Кагановичу из Сочи выражает недовольство тем, что государство «тратит сотни миллионов рублей на организацию МТС для обслуживания колхозов, а оно все еще не знает, сколько же платит ему крестьянство за услуги МТС». Поэтому он предлагает выяснить, убыточны ли МТС или прибыльны, «сколько хлеба и других продуктов получает государство от колхозов за работу МТС». «Без этого МТС из государственных предприятий, отчитывающихся перед государством, превратятся в богадельни или в средство для систематического обмана государства. Нельзя допустить, чтобы МТС работали бесконтрольно» (17254).</w:t>
      </w:r>
    </w:p>
    <w:p w14:paraId="63F9DC9E" w14:textId="77777777" w:rsidR="00A61830" w:rsidRPr="00E93F40" w:rsidRDefault="00A6183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9176C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E85D6C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8C81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июля 1932 вышло постановление СТО:</w:t>
      </w:r>
    </w:p>
    <w:p w14:paraId="7C55DD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 "б". "О тормозных колесах. Баранову и Пятакову разработать к следующему заседанию КО предложения об обеспечении выпуска в 32 г. 100 самолетов Р5 и 100 ТБ-3 с тормозными колесами" (3082).</w:t>
      </w:r>
    </w:p>
    <w:p w14:paraId="05187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"в". Считать недостаточным развитие опытных работ ГУАП по разрезным крыльям. Заслушать вопрос вновь на КО через месяц (3082).</w:t>
      </w:r>
    </w:p>
    <w:p w14:paraId="16E39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726A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и 25 июля 1932 года, как указано в справке Соловьева от 28 августа 1932 года, были проведены первые госиспытания объектов ТСП. Через эти испытания пропущена была лишь часть объектов, перечисленных в заявке Гроховского (бомбы ТСП-2, ТСП-3, ударнодистанционная и ударная), причем комиссией приняты были только два последних объекта, бомбы же ТСП-2 и ТСП-3 оказались недоработанными и остаются таковыми до сего времени (7470, 331-334).</w:t>
      </w:r>
    </w:p>
    <w:p w14:paraId="2461E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F00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июля 1932 года Логановский писал письмо Кагановичу, Молотову, Ворошилову</w:t>
      </w:r>
    </w:p>
    <w:p w14:paraId="235076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Изобретатель Барлоу сегодня заканчивает составление схем и чертежей своего изобретения. Сегодня же в 7 часов вечера он будет давать пояснения нашим специалистам. Последние выделены Пятаковым и Тухачевским.</w:t>
      </w:r>
    </w:p>
    <w:p w14:paraId="60CED0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втором моем разговоре с Барлоу, он был весьма щепетилен в вопросе определения нашего к нему отношения. Давая мне характеристику своего изобретения, он неоднократно подчеркивал, что явился к нам не как делец, стремящийся что-то подать, а как человек, ищущий союзников для осуществления всеобщего разоружения.</w:t>
      </w:r>
    </w:p>
    <w:p w14:paraId="79164D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Дабы его – как он выразился – мы могли правильно понять, он написал заявление «представителям Правительства СССР», каковое в переводе при сем прилагаю (3553,6)</w:t>
      </w:r>
    </w:p>
    <w:p w14:paraId="679AD1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Заявление Лестера П. Барлоу представителям Правительства СССР</w:t>
      </w:r>
    </w:p>
    <w:p w14:paraId="3961DB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 мотивом моих переговоров с представителями СССР является желание сделать все что я могу совместно с другими для осуществления разоружения всех наций и для установления международных планов для гарантии международного мира и наилучших взаимоотношений в международных общественных и торговых вопросах.</w:t>
      </w:r>
    </w:p>
    <w:p w14:paraId="7A1D7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моих разговорах с Борисом Сквирским и Петром Богдановым в Соединенных Штатах я им разъяснил, что абсолютно ничего не продаю СССР и не имею никаких коммерческих интересов в моей поездке в Москву. Я здесь нахожусь как частное лицо и как таковое работаю в интересах разоружения и работаю именно в контакте с СССР, так как мое собственное правительство отказалось сделать официальное и прямое воззвание к всеобщему разоружению на Женевской конференции по разоружению. Народ Соединенных Штатов в массе своей миролюбив и болеет душой за интересы человечества, но он страдает от наличия правительства захвата, правительства лжи, правительства предательства, которое держится благодаря порочному кругу агитации и широко практикуемого запугивания. Конституционное Правительство Соединенных Штатов давно свержено. Нынешнее правительство, контролирующее Соединенные Штаты, действует под диктовку национального и международного финансового капитала, для увековечения этого контроля необходимо международное вооружение и поэтому нечего ожидать от представителей Соединенных Штатов в Женеве правильного рассуждения или эффективного действия в интересах человечества. Очевидно тоже можно сказать и про представителей большинства мировых держав участвующих в конференции.</w:t>
      </w:r>
    </w:p>
    <w:p w14:paraId="585EDA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имел много личных бесед с официальными лицами Соединенных Штатов в попытке добиться того, чтобы Соединенные Штаты заняли позицию в пользу полного всеобщего разоружения. В марте этого года обе палаты Конгресса Соединенных Штатов были внесены резолюции за создание тайной комиссии по изучению практичности тех военных планов, которые я представил бы этой комиссии. Внесение этих резолюций вызвало очень серьезную дискуссию и широкое обсуждение в прессе о том, что могли бы представлять собой эти мои секретные планы. Я получил очень много писем показывающих, что мои предложения рассматривались очень серьезно. Так как я имел репутацию лица, изобретшего многие военные приспособления определенных типов как для моего правительства, так и для других стран, в особенности воздушных бомб, не было причин не относиться серьезно к моим военным предложениям. Американское Правительство до сих пор потратило миллионы долларов на производство предметов моего изобретения.</w:t>
      </w:r>
    </w:p>
    <w:p w14:paraId="49F74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здесь прилагаю письма от вице-президента США Кертиса; от председателя палаты представителей Гарнера, ныне кандидата демократической партии на должность вице-президента; от Мексвейна – председателя Комиссии по военным делам в Палате представителей и от члена Палаты представителей Терни, который внес мои резолюции в Палату. Все эти письма относятся к внесению резолюции о создании тайной комиссии. Тут же приложено письмо от сенатора Фрейзера – вождя движения за разоружение в Сенате США и единственного должностного лица США, которому известны подробности моих нынешних военных предложений.</w:t>
      </w:r>
    </w:p>
    <w:p w14:paraId="2F6CB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Моя деятельность в этом направлении в последнее время была настолько эффективна, что я был приглашен президентом Гувером для обсуждения моих предложений и имел совещание с ним 7 апреля этого года. На этом совещании я сказал президенту, что считаю что могу представить ему секретные сведения об известном наступательном оружии, которые убедили бы его, а затем и других членов Правительства США равно как и представителей других мировых держав, в безнадежности дальнейших попыток разрешения международных споров посредством вооруженной борьбы. Я сделал президенту США тоже заявление, которое я сейчас делаю представителям СССР, а именно, что единственной ценой этой информации является искреннее содействие представителей правительства для использования этих сведений в попытке достигнуть соглашения между мировыми державами о разоружении. Я предложил президенту подписать договор о том, что я отказываюсь от всех прав на денежную компенсацию. Я сказал ему, что перед тем как я раскрою перед ним карты, я должен заручиться обещанием президента США не разглашать ни перед кем без моего разрешения тех сведений, которые я ему изложу. Я также заявил, что требую обещания в случае, если мои планы для наступательной войны соответствуют тем надеждам, которые я на них возлагаю, он как президент будет наставить, чтобы эти планы были раскрыты перед всеми народами мира в Женеве для их рассмотрения, в надежде что они окажут содействие США достигнуть полного, а не частичного разоружения. Президент Гувер реагировал точно так же как я от него ожидал. Он не имел разрешения от своих хозяев давать такие обещания. В этом конечно он не сознавался, но в этом и надобности не было. Он только заявил, что ему нужен срок для того, чтобы это обдумать. Я сразу понял, что президент уклоняется от возможности выпустить действительное и действенное воззвание за разоружение.</w:t>
      </w:r>
    </w:p>
    <w:p w14:paraId="77C4D4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Моей единственной ценой было требование честности и права правительств и народов всех стран получить те сведения, которые у меня имелись одновременно, не ставя в привилегированное положение ни одну страну, включая мою собственную. У президента не было честной отговорки или причины для отказа от моего предложения, сделанного ему в Белом Доме 7 апреля.</w:t>
      </w:r>
    </w:p>
    <w:p w14:paraId="551BA8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тех пор президент Гувер предложил правительствам мира частичное сокращение вооружений на 33 1/3%. Я сомневаюсь, было ли это его предложение внесено в целях общественной справедливости. Предложение это имеет несколько тайных мотивов. Одним из них несомненно является желание приобретения лишнего материала для совей предвыборной кампании. Другая преследуемая цель – жест в сторону народов в США и в других странах, кажущийся искренним, но в действительности не искренний. Экономическое бремя, лежащее на американском народе в настоящее время колоссально и миллионы налогоплательщиков протестуют против огромных налогов на вооружение. Однако главной целью этого гуверовского предложения является желание привести к ограничению вооружений, без того чтобы самому разоружиться. Акулы крупных финансов прекрасно понимают тот великий факт, который собираюсь я использовать в моем стремлении к международному соглашению по разоружению. Основное руководящее начало для лидеров международной торговли и финансов в их желании ограничить вооружение – это боязнь того, что армейская часть правительства превратится в экономически невыносимое и страшно разрушительное не поддающееся контролю чудовище. Если увеличение расходов и разрушительного действия военных организаций не будет приостановлено они приведут к полному экономическому и социальному разрушению всех правительств, что в конце концов будет означать падение деспотического финансового контроля над правительствами. С другой стороны, полное разоружение несомненно поведет к тому же. Поэтому предложение Гувера хотя оно может быть и искренно в смысле желания ограничения вооружения, является предложением внесенным в интересах международных финансовых акул с целью обеспечения за ними контроля над большинством правительств мира.</w:t>
      </w:r>
    </w:p>
    <w:p w14:paraId="21155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желаю быть одним из тех, которые не потерпят какой бы то ни было середины между безграничным вооружением и полным разоружением. Я желаю работать с теми, которые пытаются создать соглашение между народами за полное разоружение. Если эта попытка провалится, я готов помочь некоторым народам строить неограниченное вооружение в надежде, что состязание по вооружению докажет своей дороговизной и ужасами ошибочность войны и этим принесет мировой общественный переворот, который вырвет контроль над правительствами всех народов из рук помешанных от жадности элементов, забывших всякую человечность в своей беспощадной погоне за финансовым первенством.</w:t>
      </w:r>
    </w:p>
    <w:p w14:paraId="4AA3C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я не принимаю коммунизм как разрешение социальной проблемы США, я искренне надеюсь и желаю ему успеха в той стране, где он сейчас подвергается такому серьезному испытанию. Трудно предугадывать будущий социальный режим в моей стране, но новый режим приближается – либеральный режим, основанный на первоначальных идеях создателей Соединенных Штатов Америки, а именно: жизнь, свобода и преследование счастья и я надеюсь что это произойдет без широкого применения насилия и кровопролития. Этой моей надеждой в большой степени объясняется мое присутствие в Москве.</w:t>
      </w:r>
    </w:p>
    <w:p w14:paraId="081D44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моих переговорах до сих пор с представителями правительства СССР я не имею ни малейших оснований сомневаться в искренности их заявлений и выраженного ими желания всеобщего разоружения. Это великое и прекрасное желание со стороны официальных лиц Советского Союза не повторено никем из так называемых мировых держав.</w:t>
      </w:r>
    </w:p>
    <w:p w14:paraId="65E311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Когда я убедился окончательно, что высоко поставленные лица в правительстве США абсолютно противятся международному разоружению, мне пришлось искать другое правительство с огромными ресурсами, как человеческими так и прочими, которое будет всячески стремиться привести к соглашению о всеобщем разоружении. Так как правительство СССР является единственным официально выразившим желание полного всеобщего разоружения, мне конечно не осталось ничего другого как обратиться к официальным представителям этого правительства в США и раскрыть перед ними свои намерения и цели. Я должен констатировать, что даже к некоторому моему удивлению я нашел немедленный отклик. Я представляю правительству США подробности практически осуществимого </w:t>
      </w:r>
      <w:r w:rsidRPr="00E93F40">
        <w:rPr>
          <w:rFonts w:ascii="Times New Roman" w:hAnsi="Times New Roman"/>
          <w:color w:val="000000" w:themeColor="text1"/>
          <w:sz w:val="16"/>
          <w:szCs w:val="16"/>
        </w:rPr>
        <w:lastRenderedPageBreak/>
        <w:t>наступательного военного оружия, против которого, по моему мнению, нет действенной обороны. Я считаю, что огромный запас научных сведений, имеющийся у народов всего мира делает возможным применение орудий войны столь разрушительных, что если они не приведут к соглашению в полном всемирном разоружении всякое национальное и международное социальное и коммерческое доверие будет разрушено и последует общая и полная социальная и экономическая разруха.</w:t>
      </w:r>
    </w:p>
    <w:p w14:paraId="532BE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Большая война для Советского Союза в настоящее время отозвалась бы катастрофически на колоссальных индустриальных планах СССР. Я убежден, что официальные лица СССР придерживаются этого мнения. Большая война для любой великой коммерческой страны была бы не менее катастрофична.</w:t>
      </w:r>
    </w:p>
    <w:p w14:paraId="56EB13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из-за одного этого, отбрасывая все прочие факторы, я хочу работать совместно с СССР за продвижение по мере возможности дела международного соглашения о полном разоружении без всякого промедления. Я абсолютно уверен, что хорошо обдуманные и достаточно поддержанные предложения мировым державам со стороны СССР встретят почти всеобщее сочувствие со стороны основной массы граждан США равно как и основной массы других народов.</w:t>
      </w:r>
    </w:p>
    <w:p w14:paraId="135973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Яркие и действенные предложения со стороны СССР вызовут удивление, но они будут убедительны своей искренностью и доброжелательством; если они будут представлены с энергией и быстротой они оглушат всех оппонентов разоружения, которых в поединке можно победить, так как они действуют при очень неблагоприятных для них обстоятельствах. Нынешний мировой экономический кризис представляет возможность разбить агитаторов за вооружение и эту возможность не надо терять (3553,7-12).</w:t>
      </w:r>
    </w:p>
    <w:p w14:paraId="69A9D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B581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июля 1932 С.П.К. направил в Леноблсовет ОХА договор и техническое задание на разработку образцов РТ и перевел 5 тыс.р. на выполнение работ. Конструкторские работы и расчеты должны были утверждаться Техсоветом ГИРД (Там же, № 230, л. 33) (10676).</w:t>
      </w:r>
    </w:p>
    <w:p w14:paraId="78241A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0EE2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июля 1932г Заключено соглашение с НИМТИ (Научно-ислледовательский минно-торпедный институт) на изготовление ЖРД ОРМ-52 для морских торпед. ОРМ-52 предполагалось использовать и в качестве вспомогательной силовой установки для самолета И-4 для ВВС (11330).</w:t>
      </w:r>
    </w:p>
    <w:p w14:paraId="020FB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CC9764" w14:textId="77777777" w:rsidR="008328E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6D8B643" w14:textId="77777777" w:rsidR="008328E0" w:rsidRPr="00E93F40" w:rsidRDefault="008328E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D51E80"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25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873/262сс о размещении заказа НКВМ на оборудование в военное время вагонов для подвижных учреждений РККА (ГА РФ. Ф. Р?8418. Оп. 28. Д. 1а. Л. 306?307) (12415).</w:t>
      </w:r>
    </w:p>
    <w:p w14:paraId="54FFFF7F"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 1156 СНК СССР о постройке судостроительного завода в районе г. Архангельск (ГА РФ. Ф. Р?5446. Оп. 1. Д. 69. Л. 339) (12415).</w:t>
      </w:r>
    </w:p>
    <w:p w14:paraId="7BF993A9" w14:textId="77777777" w:rsidR="008328E0" w:rsidRPr="00E93F40" w:rsidRDefault="008328E0" w:rsidP="00E93F40">
      <w:pPr>
        <w:spacing w:after="0" w:line="240" w:lineRule="auto"/>
        <w:jc w:val="both"/>
        <w:rPr>
          <w:rFonts w:ascii="Times New Roman" w:hAnsi="Times New Roman"/>
          <w:color w:val="000000" w:themeColor="text1"/>
          <w:sz w:val="16"/>
          <w:szCs w:val="16"/>
          <w:u w:color="002060"/>
        </w:rPr>
      </w:pPr>
    </w:p>
    <w:p w14:paraId="30A2A325" w14:textId="296F8CC5" w:rsidR="008328E0" w:rsidRPr="00E93F40" w:rsidRDefault="008328E0" w:rsidP="00E93F40">
      <w:pPr>
        <w:pStyle w:val="rtejustify"/>
        <w:spacing w:before="0" w:after="0"/>
        <w:rPr>
          <w:color w:val="000000" w:themeColor="text1"/>
          <w:sz w:val="16"/>
          <w:szCs w:val="16"/>
        </w:rPr>
      </w:pPr>
      <w:r w:rsidRPr="00E93F40">
        <w:rPr>
          <w:rStyle w:val="af0"/>
          <w:i w:val="0"/>
          <w:color w:val="000000" w:themeColor="text1"/>
          <w:sz w:val="16"/>
          <w:szCs w:val="16"/>
        </w:rPr>
        <w:t>25</w:t>
      </w:r>
      <w:r w:rsidR="007C1411" w:rsidRPr="00E93F40">
        <w:rPr>
          <w:rStyle w:val="af0"/>
          <w:i w:val="0"/>
          <w:color w:val="000000" w:themeColor="text1"/>
          <w:sz w:val="16"/>
          <w:szCs w:val="16"/>
        </w:rPr>
        <w:t xml:space="preserve"> </w:t>
      </w:r>
      <w:r w:rsidRPr="00E93F40">
        <w:rPr>
          <w:rStyle w:val="af0"/>
          <w:i w:val="0"/>
          <w:color w:val="000000" w:themeColor="text1"/>
          <w:sz w:val="16"/>
          <w:szCs w:val="16"/>
        </w:rPr>
        <w:t>июля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18.</w:t>
      </w:r>
      <w:r w:rsidRPr="00E93F40">
        <w:rPr>
          <w:color w:val="000000" w:themeColor="text1"/>
          <w:sz w:val="16"/>
          <w:szCs w:val="16"/>
        </w:rPr>
        <w:t xml:space="preserve"> 7.</w:t>
      </w:r>
      <w:r w:rsidR="007C1411" w:rsidRPr="00E93F40">
        <w:rPr>
          <w:color w:val="000000" w:themeColor="text1"/>
          <w:sz w:val="16"/>
          <w:szCs w:val="16"/>
        </w:rPr>
        <w:t xml:space="preserve"> </w:t>
      </w:r>
      <w:r w:rsidRPr="00E93F40">
        <w:rPr>
          <w:color w:val="000000" w:themeColor="text1"/>
          <w:sz w:val="16"/>
          <w:szCs w:val="16"/>
        </w:rPr>
        <w:t>О бюджете НКВМ на 1933</w:t>
      </w:r>
      <w:r w:rsidR="007C1411" w:rsidRPr="00E93F40">
        <w:rPr>
          <w:color w:val="000000" w:themeColor="text1"/>
          <w:sz w:val="16"/>
          <w:szCs w:val="16"/>
        </w:rPr>
        <w:t xml:space="preserve"> </w:t>
      </w:r>
      <w:r w:rsidRPr="00E93F40">
        <w:rPr>
          <w:color w:val="000000" w:themeColor="text1"/>
          <w:sz w:val="16"/>
          <w:szCs w:val="16"/>
        </w:rPr>
        <w:t>г.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354</w:t>
      </w:r>
      <w:r w:rsidRPr="00E93F40">
        <w:rPr>
          <w:color w:val="000000" w:themeColor="text1"/>
          <w:sz w:val="16"/>
          <w:szCs w:val="16"/>
        </w:rPr>
        <w:noBreakHyphen/>
        <w:t>355) (12342).</w:t>
      </w:r>
    </w:p>
    <w:p w14:paraId="6A5999E1" w14:textId="7B21E78E" w:rsidR="008328E0" w:rsidRPr="00E93F40" w:rsidRDefault="008328E0" w:rsidP="00E93F40">
      <w:pPr>
        <w:pStyle w:val="rtejustify"/>
        <w:spacing w:before="0" w:after="0"/>
        <w:rPr>
          <w:color w:val="000000" w:themeColor="text1"/>
          <w:sz w:val="16"/>
          <w:szCs w:val="16"/>
        </w:rPr>
      </w:pPr>
    </w:p>
    <w:p w14:paraId="5EBD3110" w14:textId="13C38031" w:rsidR="00C16959" w:rsidRPr="00E93F40" w:rsidRDefault="00C16959" w:rsidP="00E93F40">
      <w:pPr>
        <w:pStyle w:val="rtejustify"/>
        <w:spacing w:before="0" w:after="0"/>
        <w:rPr>
          <w:i/>
          <w:iCs/>
          <w:color w:val="000000" w:themeColor="text1"/>
          <w:sz w:val="16"/>
          <w:szCs w:val="16"/>
        </w:rPr>
      </w:pPr>
      <w:r w:rsidRPr="00E93F40">
        <w:rPr>
          <w:i/>
          <w:iCs/>
          <w:color w:val="000000" w:themeColor="text1"/>
          <w:sz w:val="16"/>
          <w:szCs w:val="16"/>
        </w:rPr>
        <w:t>Армия:</w:t>
      </w:r>
    </w:p>
    <w:p w14:paraId="55430BFD" w14:textId="77777777" w:rsidR="00C16959" w:rsidRPr="00E93F40" w:rsidRDefault="00C16959" w:rsidP="00E93F40">
      <w:pPr>
        <w:pStyle w:val="rtejustify"/>
        <w:spacing w:before="0" w:after="0"/>
        <w:rPr>
          <w:i/>
          <w:iCs/>
          <w:color w:val="000000" w:themeColor="text1"/>
          <w:sz w:val="16"/>
          <w:szCs w:val="16"/>
        </w:rPr>
      </w:pPr>
    </w:p>
    <w:p w14:paraId="33A562F0" w14:textId="77777777" w:rsidR="00C16959" w:rsidRPr="00E93F40" w:rsidRDefault="00C1695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25 июля 1932 Реввоенсовет СССР на своем заседании обсудил ориентировочные показатели мобплана и в согласии с последней директивой Сталина признал необходимым придать ему большую реалистичность.</w:t>
      </w:r>
    </w:p>
    <w:p w14:paraId="6AD16A6D" w14:textId="77777777" w:rsidR="00C16959" w:rsidRPr="00E93F40" w:rsidRDefault="00C1695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Подробные директивы по составлению нового мобилизационного расписания № 15 к 1 мая 1933 г. были даны в июне-июле 1932 г.</w:t>
      </w:r>
    </w:p>
    <w:p w14:paraId="7EECBE3F" w14:textId="77777777" w:rsidR="00C16959" w:rsidRPr="00E93F40" w:rsidRDefault="00C1695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Штабу РККА было поручено при дальнейшей проработке плана мобилизационного развертывания на 1933 г. изменить его "в сторону приближения к реальным возможностям промышленности и в соответствии с запасами материально-технических средств и подачей их от промышленности в первые месяцы войны", а также "пересмотреть все табеля вооружения и снабжения военного времени в сторону их сокращения" (Протокол № 18 заседания РВС СССР от 25.07.1932 //Там же. Л. 354). В соответствии с замыслом руководства НКВМ переход РККА на MP-15 должен был сократить сроки отмобилизования и мобилизационные перевозки, обеспечить скрытое отмобилизование (под видом учебных сборов) как отдельных частей, так и целых округов. Организационная структура и численность стрелковых и кавалерийских частей сохранялись в штатах MP-И248. Некоторые из этих задач в новом мобрасписании удалось реализовать. Расписание № 15 позволяло в течение 7 дней с момента объявления мобилизации привести в состояние готовности 562 полка (по MP-10 - 403 полка, МР-11 - 465 полков). Благодаря увеличению переменного состава территориальных частей и другим оргмероприятиям мобилизационная потребность сократилась с 3572 тыс. по варианту № 11 до 3045 тыс. человек. Общая численность РККА военного времени (с учетом тылов и запасных частей) при этом поднялась до 4 655 500 человек (Справка о насыщенности развертывания по МР-33 г. армии партийным составом // РГВА Ф. 9. Оп. 33. Д. 80. Л. 15). Количество развертываемых соединений, по всей вероятности, незначительно отличалось от плановых предположений весны-лета 1931 г. (В конце июля Ворошилов утвердил "предложенную Штабом РККА схему развертывания на 1933 г. с добавлением пяти стрелковых дивизий" для последующего внесения этого вопроса на утверждение Комиссии обороны (Постановление РВС СССР "2. О схеме развертывания на 1933 г.", 29-07.1932 // Там же. Ф. 4. Оп. 18. Д 22. Л. 379 об.). Неясно, следует ли интерпретировать это решение как увеличение числа стрелковых соединений со 144 (по MP-11) до 149 или с намеченных в 1931 г. 150 дивизий до 155. Поскольку в расписании i на 1932 г. было установлено большее число стрелковых дивизий, чем по проекту 1931 г. (140), то второе предположение выглядит более вероятным. О сроках и характере решения КО на этот счет ничего неизвестно) (22725).</w:t>
      </w:r>
    </w:p>
    <w:p w14:paraId="5B4B7165"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784A08EE" w14:textId="196F4342" w:rsidR="00C16959" w:rsidRPr="00E93F40" w:rsidRDefault="00C1695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25 июля 1932, следуя указаниям И.В.С., Ворошилов немедленно по возвращении в Москву провел через Реввоенсовет решение сократить численность РККА "на 1932 г." до 950 тыс. человек, "с тем, чтобы в 1933 г. (до 1 октября) допустить некоторое увеличение численности, но нe более, чем до 1</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000 000 человек, включая и колхозный корпус". РВСС поручал Штабy РККА, "учитывая поступление в частях (sic) технических средств, составить календарный план сокращения численности РККА с октября 1933 г. до 950 тыс. человек и в дальнейшем держать Красную армию в этой численной норме" (Протокол № 18 заседания РВС СССР от 25.07.1932 // РГВА. Ф. 4. Оп. 18. 1 22. Л. 354.). Несколькими днями позже по докладу в РВСС начальника Штаба было решено внести в КО предложение установить численность РККА на начало 1933 г. в размере 941500 человек (с увеличением к 1 октября 1933 г. до 1 млн человек) (Постановление РВС СССР "О численности РККА", 29.07.1932 // Там же., л. 379). Наконец, 14 ноября 1932 г. Комиссия обороны приняла на 1933 г. численность РККА в 885 тыс. человек, что было продублировано решением PBСС с распределением этой численности по родам войск" (22725).</w:t>
      </w:r>
    </w:p>
    <w:p w14:paraId="4B45791D"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0A714BF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77C2CE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D382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июля 1932 был подписан договор о ненападении с Польшей (1348,242) на 3 года (3908,338).</w:t>
      </w:r>
    </w:p>
    <w:p w14:paraId="1A42F1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3E26A8" w14:textId="4C6F748C"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советско-польский пакт о ненападении был подписан в Москве, а 29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0C5DC656" w14:textId="77777777"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048E99C7" w14:textId="77777777" w:rsidR="00245CFB" w:rsidRPr="00E93F40" w:rsidRDefault="00245CFB" w:rsidP="00E93F40">
      <w:pPr>
        <w:spacing w:after="0" w:line="240" w:lineRule="auto"/>
        <w:jc w:val="both"/>
        <w:rPr>
          <w:rFonts w:ascii="Times New Roman" w:hAnsi="Times New Roman"/>
          <w:color w:val="000000" w:themeColor="text1"/>
          <w:sz w:val="16"/>
          <w:szCs w:val="16"/>
        </w:rPr>
      </w:pPr>
    </w:p>
    <w:p w14:paraId="6DAE1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июля 1932 г. был подписан советско-польский пакт о ненападении,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4A48D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119C5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9A6D75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A037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июля 1932 вышло постановление СТО N 878/265сс в которых речь шла и об автопилотах (2282,13).</w:t>
      </w:r>
    </w:p>
    <w:p w14:paraId="1D8B0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личную ответственность начальника ВОТИ Немова обеспечить изготовление автопилотов инженера Ниренберг с условием передачи головной серии в количестве 24-х штук для войсковых испытаний в первой половине октября.</w:t>
      </w:r>
    </w:p>
    <w:p w14:paraId="7A0C56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8.03.33 г. заводом "Метрон" сдано 6 автопилотов.</w:t>
      </w:r>
    </w:p>
    <w:p w14:paraId="46644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6 шт. принятых - 1 смонтирован на самолет Тб-1 и произведено 3 регулировочных полета.</w:t>
      </w:r>
    </w:p>
    <w:p w14:paraId="10909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2 полета самолет управлялся автоматом без вмешательства летчика 15-20 минут.</w:t>
      </w:r>
    </w:p>
    <w:p w14:paraId="15085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1933 год генеральным договором с ВОТИ предусмотрена поставка заводом "Метрон" ВОТИ 97 автопилотов, со сроком поставок:</w:t>
      </w:r>
    </w:p>
    <w:p w14:paraId="7CE5C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II квартал 1933 года - 13 шт.</w:t>
      </w:r>
    </w:p>
    <w:p w14:paraId="1593F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III квартал 1933 года - 32 шт.</w:t>
      </w:r>
    </w:p>
    <w:p w14:paraId="67951D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IV квартал 1933 года - 52 шт.</w:t>
      </w:r>
    </w:p>
    <w:p w14:paraId="5E8F2F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тип автопилота, подлежащий серийному изготовлению пока еще не установлен, т.к. ни одна из опытных организаций еще не дала вполне законченного и испытанного образца (3082).</w:t>
      </w:r>
    </w:p>
    <w:p w14:paraId="361A9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A701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июля 1932 года состоялось совещание и была подготовлена Стенограмма доклада Барлоу в ЦАГИ</w:t>
      </w:r>
    </w:p>
    <w:p w14:paraId="05F8A1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целью моего приезда в Москву из США является не представление планов для усиления эффективности вооружения, а для представления таких планов, которые заставили бы правительства и в особенности народы разных стран понять, что мы должны договориться о полном всеобщем разоружении, что является позицией занятой представителями СССР в Женеве.</w:t>
      </w:r>
    </w:p>
    <w:p w14:paraId="2E5B0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также желаю, чтобы здесь поняли, что народ США – не правительство, а народ, почти единогласно присоединяется к желанию действительной всемирной политики разоружения, но как и СССР он понимает, что не может быть разоружения пока не будет всеобщего соглашения.</w:t>
      </w:r>
    </w:p>
    <w:p w14:paraId="76686A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меня невозможно вести работу в целях разоружения через мое собственное правительство. Я не пацифист и имею репутацию в своей стране довольно известного работоспособного милитариста, но милитариста очень сильно не желающего войны. Я вижу войну будущего таковой, какова она будет. Я знаю, что нам надо ее предотвратить до ее начала. Я несомненно говорю в интересах и выражаю желание основных масс народа моей страны. Со времени моего заявления о том, что если нужно, то я представляю то что имею Советскому правительству, многие высказали свое сочувствие и доверие ко мне заявляя, что эта единственный путь открытый мне в настоящее время.</w:t>
      </w:r>
    </w:p>
    <w:p w14:paraId="1EC5C2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Основная цель моего приезда не столько помочь СССР, сколько по Красным флагом оказать ту службу своей стране, которую я не могу оказать под своим флагом.</w:t>
      </w:r>
    </w:p>
    <w:p w14:paraId="23CA9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не спец во всех областях того дела, которое я представляю, так как оно покрывает очень большое поприще. Со времени последней войны я посвятил свое время преимущественно мирному занятию в промышленности, но я могу действовать и высказывать действенно военную точку зрения США, благодаря моей работе в последнюю войну, когда практичность моих мнений вначале подвергалась сомнению, а потом была целиком доказана. Например, в вопросе об использовании глубинных мин против подводных лодок. Я работаю свыше года с правительствами США и Англии, чтобы доказать им действенность гидростатического давления посредством глубинных мин для атаки на воде. Оба правительства подвергали сомнению мои доводы до тех пор, пока США объявили войну, когда я снова настоял на своем мнении и в конце концов глубинная мина была применена. Я был первым спроектировавшим воздушные бомбы и применившим их в войне.</w:t>
      </w:r>
    </w:p>
    <w:p w14:paraId="2F015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1914 году до начала войны я уже использовал воздушную бомбардировку во время революции в Мексике, эти бомбы были малы, так как мы не имели больших самолетов, но они доказали свою практичность и открыли путь к использованию воздушных бомб в результате чего правительство США отдало в мое распоряжение имущество арсеналов для произведения опытов воздушной бомбардировки и когда США объявили войну Германии я составил для них всю программу воздушной бомбардировки. Во время войны я продолжал совершенствовать бомбы и по моим проектам эти бомбы производились. Правительство США потратило свыше 300000000 долларов на производство бомб и прочего снаряжения, которое я спроектировал для национальной обороны. Поэтому я знаю, что они относятся ко мне серьезно, как к пионеру, предлагающему новые способы наступательной войны.</w:t>
      </w:r>
    </w:p>
    <w:p w14:paraId="60AA87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Новая война, если нам не удастся ее остановить, будет войною машин, такой войной, которой жизненные центры мира не смогут противостоять. Если есть малейшая возможность эту войну предотвратить СССР представляет такую возможность.</w:t>
      </w:r>
    </w:p>
    <w:p w14:paraId="092D3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несколько месяцев до моего отъезда в Москву в обе палаты Конгресса была внесена резолюция для составления комиссий по изучению таких тайных планов для национальной обороны, но перед тем как приступить к созданию моего орудия национальной обороны я настаивал, чтобы все данные были представлены в Женеве всем народам, чтобы дать им возможность вооружиться, если державы откажутся разоружиться. Я предложил, чтобы США сделали этот жест, чтобы показать свою искренность, так как США являются авторами пакта Келлога для всеобщего мира и отмены войны.</w:t>
      </w:r>
    </w:p>
    <w:p w14:paraId="2709C2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прошлом году США потратили на 200 млн. долларов больше на вооружение, чем любая другая страна. Американский народ не терпит лицемерия и обмана, он имеет большое самолюбие. В настоящее время мы переживаем очень серьезный кризис и я надеюсь, что мы сможем из него выйти чтобы ввергнуть страну в насилие, ноя в этом сомневаюсь; национальное доверие почти разрушено. Я надеялся, что Конгресс использует мои предложения для выражения своей доброй воли и настаивал, чтобы их предоставили в Женеву, это создало бы чувство гордости и доверия в нашем народе и в народах других стран. Конгресс уже собирался одобрить внесенные резолюции, но я настаивал на оговорке, чтобы я сам назначил членов Конгресса для этой комиссии для того, чтобы обеспечить себя от проникновения в эту комиссию ставленников нынешнего правительства, которое как я знаю противится полному разоружению. Это меня сразу противопоставило президенту, который обычно сам назначает членов комиссии и создал конфликт с членами Конгресса. Я настаивал на этом пункте и в результате был приглашен явиться к президенту один или с комиссией. Я заявил, что пойду на свидание не вместе с комиссией, а один, за исключением свидетеля, которого я с собой возьму, так как не я искал свидания с президентом, «если он хочет меня видеть он пришлет за мной». Члены Конгресса спорили с президентом по вопросу о том, можно ли пригласить меня в Белый дом ввиду моих нападений на президента в прошлом (я в прошлом году написал книгу, в которой нападал на него). Этот вопрос был обсужден и президенту было заявлено, что ввиду всеобщего интереса к моим тайным предложениям, ему нужно завоевать мое доверие, поэтому президент послал за мной, а я взял с собой свидетеля. Президент сразу оценил ту благоприятную позицию, которую я завоевал перед Конгрессом и он сказал: «похоже на то, что ваши резолюции хорошо приняты, я хотел бы знать, что вы имеете». Я ему заметил, что я счел бы большим удовольствием сразу же явиться к президенту, но я не считал что двери Белого дома открыты для людей моего рода мышления и поэтому я пошел по иному пути, но если он обещает, что возьмет то, что я имею и представит это не военным организациям и дипломатам на резиновых подошвах, а действительным народам в Женеве, перед которыми он это впервые откроет, я ему передам свое изобретение, но должен заранее заручиться его обещанием. Президент хотел пригласить военных спецов, но я это предложение отклонил. Это дело относилось не к ним, а к Министерству иностранных дел, ибо мы будем выступать за мир, а не за вооружение. Тогда он мне сделал очень странное заявление: «Поверят ли мне народы мира». Я ответил: «Вы президент США самой богатой страны в мире и они должны вам поверить, но если они вам не поверят, тогда я простой инженер, заставлю их вам поверить, на счет этого вам бояться нечего». Он тогда сказал, что хочет об этом подумать и я ушел из Белого дома. Через две недели я вернулся в Вашингтон не получив от него никаких сведений и написал письмо в японское посольство, предупреждая их, что если они будут настаивать на ввержении мира в новую войну будет приведена в действие новая военная машина огромной разрушительности и Японии с ее плотным населением и сконцентрированными жизненными центрами будет разрушена. Я не писал, что их места в Женеве, где они должны просить мира и разоружения. Я послал письмо в 4 часа дня и затем до меня дошло, что в 10 часов следующего утра это письмо было передано в Министерство иностранных дел. В этот же день я получил письмо из Белого дома с приглашением прийти на свидание к военному министру и еще одно сообщение, что все подготовлено для того, чтобы я мог продолжать свои опыты. Я это сразу расценил как попытку купить мое молчание. Ко мне прибыл нарочный из Белого дома. Я им сообщил, что не собираюсь вести переговоры о каких бы то ни было вооружениях или о проектировании таковых, пока мои планы не будут представлены в Женеве и что, если США не соглашаются с моей точкой зрения, я буду искать такую страну, которая высказывается за полное разоружение и буду действовать через нее. Конечно, СССР является единственной такой страной, поэтому я начал переговоры с представителями его в США и вот я здесь.</w:t>
      </w:r>
    </w:p>
    <w:p w14:paraId="3C762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японская интервенция в Манчжурии приняла широкие размеры и было начато нападение на Шанхай, я начал серьезно задумываться над вопросом о том, что мы находимся на краю новой большой войны, в которую неизбежно были бы втянуты большинство стран мира. Я думаю, что вы со мной согласитесь, что иногда приходится прибегать к странным путям для того, чтобы заручиться всеобщим вниманием. Я мог бы открыто рассказать о том, что у меня имеется – это было бы мимолетной сенсацией в газетах и скоро было бы забыто, поэтому я предпочел некоторую мистификацию, чтобы привлечь общественное внимание. Я хотел внимания широких кругов; не столько внимания правительства, сколько внимания народа и я могу похвастать успехом. Три волны публицистики обо мне прокатились по всему миру. Английские газеты телефонировали мне по трансатлантическому радио и добивались в течении получасовых бесед сведений о том, что я имею. Я понимал, что моя репутация в прошлом мне помогает, я тогда применил еще больше тайны, создал еще больше общественного интереса и мои последние сообщения о том, что я собираюсь вести переговоры с СССР дали мне еще большую прессу. Мне было выражено много нарицания, но и много сочувствия. Общая тенденция газет США против меня, они вероятно еще будут пытаться значительно карать меня, но это меня мало беспокоит; я хочу во что бы то ни стало разбудить общественное мнение.</w:t>
      </w:r>
    </w:p>
    <w:p w14:paraId="1AC218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 время войны я предлагал вид воздушной торпеды. Я думаю, что вы все со мной согласитесь, что мировые державы больше всего боятся возможности совершенствования воздушного нападения на жизненные центры мира. Это основной мотив, заставивший Гувера предложить сокращение вооружения на 1/3. Капиталистический контроль над мировой торговлей сосредоточен во Франции, Англии и Америке и они собираются удержать этот контроль над мировой торговлей посредством контролируемого ими вооружения. Однако они лучше всех понимают, что эта игра в вооружение накопившейся громадой научных сведений, которые </w:t>
      </w:r>
      <w:r w:rsidRPr="00E93F40">
        <w:rPr>
          <w:rFonts w:ascii="Times New Roman" w:hAnsi="Times New Roman"/>
          <w:color w:val="000000" w:themeColor="text1"/>
          <w:sz w:val="16"/>
          <w:szCs w:val="16"/>
        </w:rPr>
        <w:lastRenderedPageBreak/>
        <w:t>сейчас имеются, достигла таких страшных пределов разрушения, что она грозит превратиться в неподдающееся контролю чудовище, которое разрушит своих создателей и которая разрушит всякий кредит, если вооружения не будут ограничены. В программе ограниченного вооружения нет искренности, поэтому я так рад выступлению Литвинова за всеобщее полное разоружение. Только сумасшедший или бесчестный человек или человек ничего не понимающий может требовать частичного вооружения. Единственным лимитом вооружения являются средства и ресурсы стран. Золотой середины нет: или вооружение до зубов или никакого вооружения. Все договора доказали свою бездейственность во время войны и являются только клочками бумаги для удобства в мирное время. В прошлом году Англия в Парламенте открыто созналась в том, что распространяла лживые рассказы среди английского народа, чтобы его достаточно возбудить для боя. Сегодня такие же росказни распространяются о Советском Союзе, чтобы возбудить народы на войну с Советским Союзом.</w:t>
      </w:r>
    </w:p>
    <w:p w14:paraId="232CB0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сознаюсь, что я не коммунист, но я если я здесь пробуду еще 4-5 недель, я думаю, что в значительной степени получу вашу окраску.</w:t>
      </w:r>
    </w:p>
    <w:p w14:paraId="04877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справедлив и хочу быть справедливым. Державы понимают, что программа воздушной войны очень опасна. Япония знает, что она уязвима с воздуха; Париж и Лондон – прекрасные мишени; США приходится меньше бояться ввиду их изолированности, но все же и они достаточно боятся.</w:t>
      </w:r>
    </w:p>
    <w:p w14:paraId="5B0FA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Конец вводной части (3553,33-39).</w:t>
      </w:r>
    </w:p>
    <w:p w14:paraId="02689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99D8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июля 1932 был введен в действие первый Дисциплинарный устав ГВФ СССР (333,40).</w:t>
      </w:r>
    </w:p>
    <w:p w14:paraId="632411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CED965" w14:textId="77777777" w:rsidR="007A20C4" w:rsidRPr="00E93F40" w:rsidRDefault="007A20C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26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877/264сс об организации института телемеханики (ГА РФ. Ф. Р?8418. Оп. 28. Д. 1а. Л. 308?311) (12415).</w:t>
      </w:r>
    </w:p>
    <w:p w14:paraId="0F76E923" w14:textId="77777777" w:rsidR="007A20C4" w:rsidRPr="00E93F40" w:rsidRDefault="007A20C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878/265сс о состоянии работ по автоматическим пилотам и мероприятиям по обеспечению серийного производства этих приборов (ГА РФ. Ф. Р?8418. Оп. 28. Д. 1а. Л. 312)</w:t>
      </w:r>
    </w:p>
    <w:p w14:paraId="5FDA977D" w14:textId="77777777" w:rsidR="007A20C4" w:rsidRPr="00E93F40" w:rsidRDefault="007A20C4" w:rsidP="00E93F40">
      <w:pPr>
        <w:spacing w:after="0" w:line="240" w:lineRule="auto"/>
        <w:jc w:val="both"/>
        <w:rPr>
          <w:rFonts w:ascii="Times New Roman" w:hAnsi="Times New Roman"/>
          <w:color w:val="000000" w:themeColor="text1"/>
          <w:sz w:val="16"/>
          <w:szCs w:val="16"/>
          <w:u w:color="002060"/>
        </w:rPr>
      </w:pPr>
    </w:p>
    <w:p w14:paraId="5FF283F4" w14:textId="77777777" w:rsidR="00633D4B" w:rsidRPr="00E93F40" w:rsidRDefault="00633D4B" w:rsidP="00E93F40">
      <w:pPr>
        <w:pStyle w:val="rtejustify"/>
        <w:spacing w:before="0" w:after="0"/>
        <w:rPr>
          <w:color w:val="000000" w:themeColor="text1"/>
          <w:sz w:val="16"/>
          <w:szCs w:val="16"/>
        </w:rPr>
      </w:pPr>
      <w:r w:rsidRPr="00E93F40">
        <w:rPr>
          <w:color w:val="000000" w:themeColor="text1"/>
          <w:sz w:val="16"/>
          <w:szCs w:val="16"/>
        </w:rPr>
        <w:t>26 июля [1932 г.] Каганович — Сталину</w:t>
      </w:r>
    </w:p>
    <w:p w14:paraId="75BD16E8"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26/VII</w:t>
      </w:r>
    </w:p>
    <w:p w14:paraId="7224B85E" w14:textId="77777777" w:rsidR="007A20C4" w:rsidRPr="00E93F40" w:rsidRDefault="007A20C4" w:rsidP="00E93F40">
      <w:pPr>
        <w:pStyle w:val="rtecenter"/>
        <w:spacing w:before="0" w:after="0"/>
        <w:jc w:val="both"/>
        <w:rPr>
          <w:color w:val="000000" w:themeColor="text1"/>
          <w:sz w:val="16"/>
          <w:szCs w:val="16"/>
        </w:rPr>
      </w:pPr>
      <w:r w:rsidRPr="00E93F40">
        <w:rPr>
          <w:color w:val="000000" w:themeColor="text1"/>
          <w:sz w:val="16"/>
          <w:szCs w:val="16"/>
        </w:rPr>
        <w:t>Здравствуйте, т. Сталин!</w:t>
      </w:r>
    </w:p>
    <w:p w14:paraId="05C1D22E"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Теперь более или менее выяснилось, что собой представляет Барлоу и его изобретение: во 1-х, он прислал заявление, адресованное представителям правительства, во 2-х, он сегодня вечером уже доложил специалистам основные черты своего изобретения. Спешу сообщить вам.</w:t>
      </w:r>
    </w:p>
    <w:p w14:paraId="77A8F511"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1) Его изобретение не является таким сверхестественным и всеуничтожающим, как он сам изобразил его в прежних письмах и разговорах, на совещании он сам заявил довольно цинично — по-американски — что без рекламы ничего не продвинешь вперед. В чем же суть его изобретения? Оно идет по той же линии, по которой шли и наши и другие изобретатели (немцы и др.). Он берет бомбардировщик примерно типа нашего ТБ-3 (измененный в конструкции 1</w:t>
      </w:r>
      <w:r w:rsidRPr="00E93F40">
        <w:rPr>
          <w:rStyle w:val="af0"/>
          <w:i w:val="0"/>
          <w:color w:val="000000" w:themeColor="text1"/>
          <w:sz w:val="16"/>
          <w:szCs w:val="16"/>
        </w:rPr>
        <w:t>1/2</w:t>
      </w:r>
      <w:r w:rsidRPr="00E93F40">
        <w:rPr>
          <w:color w:val="000000" w:themeColor="text1"/>
          <w:sz w:val="16"/>
          <w:szCs w:val="16"/>
        </w:rPr>
        <w:t>-планный). Ставит на него дальний истребитель и дает на нем полет до 1000 километров расстояния. За 40–60 миль до цели он путем автоматического прибора [...]* ставит на бомбардировщике курс (на котором нет людей) и точку разрыва. Сам истребитель подымается и улетает обратно, а бомбардировщик долетает до точки, автоматически сбрасывает бомбы, рассеиваемые путем особо устроенного аппарата на расстоянии 800 метров по фронту и 1800 метров в глубину. Бомбы устроены так, что они имеют при себе небольшие фосфорные бомбы, зажигающие разрушенное. Сам бомбардировщик также разрывается. Все это ничего фантастического не представляет, а серьезная и реальная вещь. Мы посылали неофициально в качестве «специалиста» — наблюдателя т. Тухачевского на совещание (о чем Барлоу не знает) и он только что рассказывал, что сам Барлоу производит впечатление серьезного и делового американца, рассказывает только идею и ничего такого, что могло бы расскрыть его технические чертежи и т.д. Но все его политические рассуждения и его разговоры о Женеве и т.д. производят впечатление не чудачества, а авантюризма и даже провокаторства.</w:t>
      </w:r>
    </w:p>
    <w:p w14:paraId="27CE7C85"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На совещании специалистов он [...]</w:t>
      </w:r>
      <w:r w:rsidRPr="00E93F40">
        <w:rPr>
          <w:color w:val="000000" w:themeColor="text1"/>
          <w:sz w:val="16"/>
          <w:szCs w:val="16"/>
          <w:vertAlign w:val="superscript"/>
        </w:rPr>
        <w:t>1</w:t>
      </w:r>
      <w:r w:rsidRPr="00E93F40">
        <w:rPr>
          <w:color w:val="000000" w:themeColor="text1"/>
          <w:sz w:val="16"/>
          <w:szCs w:val="16"/>
        </w:rPr>
        <w:t xml:space="preserve"> говорил о предвыборной борьбе, о необходимости свалить Гувера и что советское правительство своей поддержкой ему в Женеве может помочь избранию Рузвельта и т.д. и т.п.</w:t>
      </w:r>
    </w:p>
    <w:p w14:paraId="378BD129"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С другой стороны, он на своих чертежах всюду нарисовал красные звезды и всюду начертил расстояние до Токио с соответствующими надписями и вообще все время говорил о Токио, об удобстве разрушений там и зажигании и т.д. Нам кажется, что он даже не просто и не только с предвыборными целями приехал. Возможно, здесь стремление обнадежить нас, втянуть в конфликт, получить заказы и т.д. Может быть, следует свести дело к тому, чтобы наши специалисты ему заявили, что так как он не показал технических чертежей и они не убеждены в серьезности и целесообразности дела, они не могут доложить правительству об этом. Прошу вас сообщить срочно ваше мнение как быть?</w:t>
      </w:r>
    </w:p>
    <w:p w14:paraId="09E3D961"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На этом сейчас кончу (очень поздно).</w:t>
      </w:r>
    </w:p>
    <w:p w14:paraId="05171CA8"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Привет.</w:t>
      </w:r>
    </w:p>
    <w:p w14:paraId="62B31845"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Ваш Л.Каганович</w:t>
      </w:r>
    </w:p>
    <w:p w14:paraId="0BB6F499" w14:textId="5612458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Сталин и Каганович. Переписка. 1931–1936 гг. Москва: (РОССПЭН), 2001 Стр. 247-248</w:t>
      </w:r>
    </w:p>
    <w:p w14:paraId="04D249C8" w14:textId="0C93E344"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РГАСПИ Ф. 558. Oп. 11. Д. 740. Л. 112–116. Автограф (12601).</w:t>
      </w:r>
    </w:p>
    <w:p w14:paraId="126539FA" w14:textId="77777777" w:rsidR="007A20C4" w:rsidRPr="00E93F40" w:rsidRDefault="007A20C4" w:rsidP="00E93F40">
      <w:pPr>
        <w:spacing w:after="0" w:line="240" w:lineRule="auto"/>
        <w:jc w:val="both"/>
        <w:rPr>
          <w:rFonts w:ascii="Times New Roman" w:hAnsi="Times New Roman"/>
          <w:color w:val="000000" w:themeColor="text1"/>
          <w:sz w:val="16"/>
          <w:szCs w:val="16"/>
        </w:rPr>
      </w:pPr>
    </w:p>
    <w:p w14:paraId="506DE7C3" w14:textId="77777777" w:rsidR="00245CFB" w:rsidRPr="00E93F40" w:rsidRDefault="00245CFB"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36109AB" w14:textId="77777777" w:rsidR="00245CFB" w:rsidRPr="00E93F40" w:rsidRDefault="00245CF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BCB930" w14:textId="77777777" w:rsidR="00245CFB" w:rsidRPr="00E93F40" w:rsidRDefault="00245CFB" w:rsidP="00E93F40">
      <w:pPr>
        <w:pStyle w:val="ae"/>
        <w:spacing w:before="0" w:after="0"/>
        <w:jc w:val="both"/>
        <w:rPr>
          <w:color w:val="000000" w:themeColor="text1"/>
          <w:sz w:val="16"/>
          <w:szCs w:val="16"/>
        </w:rPr>
      </w:pPr>
      <w:r w:rsidRPr="00E93F40">
        <w:rPr>
          <w:color w:val="000000" w:themeColor="text1"/>
          <w:sz w:val="16"/>
          <w:szCs w:val="16"/>
        </w:rPr>
        <w:t>26 июля 1932 года К.Е. Ворошилов в письме И.В.С. не без сожаления сообщал: «…была обстреляна зенитная 3ʺ пушка Рейнметалла. Пушка громоздка и тоже не полностью доработана, хотя стреляла сносно. 37-мм [пушка] Рейнметалла дрянь и вряд ли из неё что-либо получится… Уборевич (да и я грешным делом) покупали «кота в мешке», а немцы, видя дурачков, всучили за хорошие деньги то, что дома продать нельзя было. Как ни странно, но лучшей оказалась наша 76-мм зенитная пушка 1915/28 гг.» (19055).</w:t>
      </w:r>
    </w:p>
    <w:p w14:paraId="4F195EFF" w14:textId="77777777" w:rsidR="00245CFB" w:rsidRPr="00E93F40" w:rsidRDefault="00245CFB" w:rsidP="00E93F40">
      <w:pPr>
        <w:pStyle w:val="ae"/>
        <w:spacing w:before="0" w:after="0"/>
        <w:jc w:val="both"/>
        <w:rPr>
          <w:color w:val="000000" w:themeColor="text1"/>
          <w:sz w:val="16"/>
          <w:szCs w:val="16"/>
        </w:rPr>
      </w:pPr>
    </w:p>
    <w:p w14:paraId="1C711FE4"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июля 1932 г.</w:t>
      </w:r>
    </w:p>
    <w:p w14:paraId="3AE137B5"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Е. Ворошилов — И. В. Сталину</w:t>
      </w:r>
    </w:p>
    <w:p w14:paraId="6D22F856"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 26. VII. 32 года.</w:t>
      </w:r>
    </w:p>
    <w:p w14:paraId="719DF66C"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Дорогой Коба, здравствуй!</w:t>
      </w:r>
    </w:p>
    <w:p w14:paraId="54037EC0"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 тебе рассказывал о своих впечатлениях от виденного из окна вагона на пшеничных полях Сев. Кавказского края. На обратном пути еще раз себя проверил и уже не только через вагонное окно, но и непосредственно — на ощупь. Из Кущевки я на машине поехал через Уманскую, Староминскую и Старощербиновскую в Ейск. На протяжении всех 110 кил[ометров] видишь тяжелую картину безобразной засоренности хлебов. Правда, есть отдельные, буквально, оазисы с малой (относительно) засоренностью, но как правило, Сев[ерный] Кавказ переживает величайшее бедствие. У меня нет никаких цифр, ни обоснованных материалов, кроме личных впечатлений, но все же я смею утверждать, что в этом году только по Суеверному] К[авказу] сорняки сожрали у нас не меньше 120—150 мил. пудов, если не все 200!</w:t>
      </w:r>
    </w:p>
    <w:p w14:paraId="25226CC9"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Климатические (метеорологические) условия текущей весны и лета на С[еверном] К|авказе] были исключительно благоприятны. Мы должны были получить превосходный урожай, а получили, в лучшем случае, средний, если не хуже. Я понимаю, что «после драки кулаками не машут», но я и не ради самобичевания так много об этом говорю. Я на ПБ кратко сообщил о своих впечатлениях от Суеверного] К(авказа) и тов. Маркевич отвечал на «интерпеляцию». Я Маркевича считаю человеком умным, но какую идиотскую ахинею он нес! Было и больно и стыдно за великое дело — земледелие СССР, которое находится в руках подобного рода людей. Маркевич буквально сказал следующее: «сорняки, да, сорняки бич нашего земледелия и они существуют сотни лет у нас и с ними бороться не так просто и легко, как кажется, что же касается прорастания пшеницы подсолнухом, то при чем же тут НКЗ, разве НКЗ может уследить за каждым районом и даже участком» и все в этом духе. Ни слова о том, что НКЗ предпринималось и делается для борьбы с сорняками, ни звука о том, что НКЗ уже встревожен колоссальной «вспышкой» засоренности хлебов этого года! Выступления Маркевича вряд ли кого-нибудь удовлетворили, а меня возмутили и вывели из равновесия, хотя я и сдержался от «излияний» чувств.</w:t>
      </w:r>
    </w:p>
    <w:p w14:paraId="34B4171D"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 Ейске смотрел новую (1 год существует) авиашколу. Школа готовит гидроавиаторов, морских летнабов, авиатехников и сухопутных пилотов — всего около 2500 человек обучающихся.</w:t>
      </w:r>
    </w:p>
    <w:p w14:paraId="7BE780EF"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Невзирая на молодость школы, впечатление она производит хорошее. </w:t>
      </w:r>
    </w:p>
    <w:p w14:paraId="7B4A4303"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Аэродромы сухопутные и водные прекрасные. Народ обучающийся неплохой. Немного слабоват командный и преподавательский состав, но и он работает усердно и много, восполняя пробелы знаний и опыта.</w:t>
      </w:r>
    </w:p>
    <w:p w14:paraId="6AF9C365"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Из Ейска на эсминце «Незаможник» отправился прямо в Керчь.</w:t>
      </w:r>
    </w:p>
    <w:p w14:paraId="0AC9FCE5"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Здесь осмотрел старую (построенную в 62—64 гг.) крепость, вполне сохранившуюся, но запущенную. Тут же, в крепости стоит одна наша 6" (пушки Канэ) 4-х оруд[ийная] батарея на открытой временной установке. </w:t>
      </w:r>
    </w:p>
    <w:p w14:paraId="01F792C5"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Осмотрел склады огнеприпасов и мин. Запас снарядов и мин значителен.</w:t>
      </w:r>
    </w:p>
    <w:p w14:paraId="11C63E2D"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Защита пролива при нынешней артиллерии ненадежна. Ведутся работы (подготовительные пока) по установке 4-х оруд[ийной] батареи 7" (180 м/м с 41 кл. дальности), но работы идут безобразно вяло. Принял меры форсирования работ. Кроме указанной строящейся батареи должно быть установлено еще 2 таких же, 7" батареи. Даже </w:t>
      </w:r>
      <w:r w:rsidRPr="00E93F40">
        <w:rPr>
          <w:rFonts w:ascii="Times New Roman" w:hAnsi="Times New Roman"/>
          <w:color w:val="000000" w:themeColor="text1"/>
          <w:sz w:val="16"/>
          <w:szCs w:val="16"/>
        </w:rPr>
        <w:lastRenderedPageBreak/>
        <w:t>ныне существующие пушки целиком простреливают весь пролив — (6—7 кил[ометров]), а если будет установлена хотя бы одна 7" батарея, то будет перекрываться и значительная часть Таманского п[олу]о[строва] и значительный морской радиус.</w:t>
      </w:r>
    </w:p>
    <w:p w14:paraId="7D4BF713"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Мы имеем полную возможность прочно запереть пролив, что и сделаем еще в этом году (не запрем, разумеется, а подготовимся к этому), это тем паче необходимо сделать, что, как оказывается, весь наш флот (так заявили моряки, я еще не проверил) уже теперь, без всяких дополнительных работ, может укрываться в двух Азовских портах — Мариупольском и Бердянском. Кроме того, строится большой порт у Керчи, в Кумыш-Бурунской бухте. Мы включились в это строительство и наши интересы, как будто бы, учтены полностью, проверю.</w:t>
      </w:r>
    </w:p>
    <w:p w14:paraId="6652839E"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16. VII. с утра смотрел в Евпатории все наши артсистемы зенитного оружия. К сожалению, ничего отрадного пока сообщить не могу.</w:t>
      </w:r>
    </w:p>
    <w:p w14:paraId="06903E03"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Махановская пушка. Пушка безусловно хорошая, но она еще строится, «работается» и дорабатывается. Из этой пушки было дано несколько выстрелов по горизонту и она держала себя не дурно, хотя были значительные отклонения от установленных норм. При стрельбе же по зениту, пушка сразу отказала в работе, хотя и не по важным причинам — стали заклиниваться (застревать в патроннике) гильзы.</w:t>
      </w:r>
    </w:p>
    <w:p w14:paraId="66A7A4FF"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переход пушки с одного в другое положение (со стрельбы по наземным на стрельбу по зенитным целям и обратно) пока еще очень труден и длителен, следовательно, не отработан.</w:t>
      </w:r>
    </w:p>
    <w:p w14:paraId="4871B569"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говорит Маханов о своей пушке? Уверен, что пушка будет вполне хорошей, не хуже европейских образцов, но ему нужно еще 5-6 месяцев для работы и помощь от промышленности. У него в работе сейчас 2-й экземпляр пушки, которая, по словам М[аханова), уже не имеет недостатков 1-го экземпляра, но завод (Путиловский) безбожно тянет с производством этого второго образца. Я просил Молотова нажать на Отса для ускорения работы.</w:t>
      </w:r>
    </w:p>
    <w:p w14:paraId="4D4950C4"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Далее была отстрелена зенитная 3" пушка Рейнметалла. Пушка громоздка и тоже не полностью доработана, хотя стреляла сносно. 37 м/м Рейнметалла дрянь и вряд ли из нее что-нибудь получится. То же самое нужно сказать и о 20 м/м пулемете Рейнметалла. Обе эти системы совершенно сыры, не доделаны. Уборевич (да и я, грешным делом) покупали «кота в мешке», а немцы, видя дурачков, всучили за хорошие деньги то, что дома продать нельзя было. Как ни странно, но лучшей оказалась наша 76 м/м зенитная пушка 915/28 гг. Стреляла и неплохо и довольно быстро, до 16 выстрелов в минуту. Плохо, что она только зенитная и с низким потолком — 5-6 к[и]л[ометров] только. Была отстрелена также зенитная пушка зав[ода] Боффорс (Швеция) 4-х дюймов, купленная еще Куликом. Пушка эта безусловно хороша, но она тоже только зенитная и чрезвычайно сложна в производстве, из-за чего и не поставлена на производство. Были отстреляны строенные и учетверенные пулеметы — эти системы работали очень хорошо. Вывод — зенитной, а тем паче универсальной пушки (современной) мы еще не имеем. Нужно все сделать, чтобы Маханов поскорей дал свою универсалку.</w:t>
      </w:r>
    </w:p>
    <w:p w14:paraId="10AC3DF5"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Проезжая Украиной, наблюдал (из окна вагона) поля. Та же, правда несколько меньшая, но все же безобразная засореность хлебов.</w:t>
      </w:r>
    </w:p>
    <w:p w14:paraId="3AD18FCF"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Уборка в то время уже началась, но дело шло вяло, не споро и совсем не характеризовало горячей поры жатвы.</w:t>
      </w:r>
    </w:p>
    <w:p w14:paraId="1486CDB2" w14:textId="16916081"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Переехав из Украины в ЦЧО сразу замечаешь несколько иную, лучшую, более отрадную картину. Сено убрано, пары во многих местах,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взметаны, а там где (еще редко) начата уборка хлеба, снопы вяжутся, копнуются и вообще чувствуется всюду хозяйский, разумный подход к делу. Это радует, как бы не сглазить!</w:t>
      </w:r>
    </w:p>
    <w:p w14:paraId="128DE2CF"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Письмо уже не в меру велико, но я не могу не сказать еще пары слов об армии. Дела у нас, к сожалению, как и в других наркоматах, не совсем хороши. Вчера до поздней ночи заседал РВС, на котором подводились итоги боевой подготовки за первую половину летнего периода. </w:t>
      </w:r>
    </w:p>
    <w:p w14:paraId="6842DB11"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Наряду с некоторыми достижениями (они налицо) все еще безобразно много прорех и упущений. Вой стоит из-за людей — нет комсостава. </w:t>
      </w:r>
    </w:p>
    <w:p w14:paraId="67DAFA08"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Д[альний] В[осток] и новое формирование авиации, танков, артиллерийских и укрепрайонных частей, действительно, отвлек[ли] значительные кадры из основных войсковых соединений, да и увеличение армии тоже сказалось на разжижении основного костяка начсостава.</w:t>
      </w:r>
    </w:p>
    <w:p w14:paraId="56B70376"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беда не только в этом. Беда еще и в том, что наши командующие, почти все без исключения, не полностью охватывают всю многосложную машину военной организации. 13. VII. на Тоцком полигоне ПРИ ВО группа красноармейцев, идя на сенокос, наткнулась на неразорвавшийся снаряд и, невзирая на предупреждение старшего команды, чтобы снаряд не трогали, один из красноармейцев поднял снаряд, а затем его бросил. Снаряд разорвался. В результате 3 убитых, 7 ранено, из которых двое в тот же день умерло. Комвойск Федько сообщает, что ведется расследование и... разъяснение красноармейцам. 23/VII в районе Минска кавгруппа возвращалась с занятий, ведя лошадей в поводу. Красноармейцы наткнулись... на неразорвавшийся снаряд. И опять буквально та же история. Старший приказал красноармейцу бросить опасную игрушку и снаряд разорвался. Убито 2, ранено 7, из них двое умерло. Новое донесение, уже Тимошенко — производится расследование, ведется разъяснение.</w:t>
      </w:r>
    </w:p>
    <w:p w14:paraId="460C97B0"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таких безобразий без конца, без края!</w:t>
      </w:r>
    </w:p>
    <w:p w14:paraId="6C242243"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мой вопрос Уборевичу (присутствующему на РВС), кто должен нести ответственность за такие вещи, ответил — прежде всего командующий, комкор и нач[альник] полигона. Как будто правильно. Мною создана комиссия во главе с Гамарником. В комиссию вошли Якир, Уборевич и Белов (все были на заседании РВС), но сегодня с 10 час. Уборевич уже уехал в ранее еще разрешенный ему по болезни отпуск, не повидавшись даже с Гамарником. Вот тебе и «ответственность»!</w:t>
      </w:r>
    </w:p>
    <w:p w14:paraId="414350B0"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Наше великое горе, что мы не можем выгонять по настоящему к е[дрене] м[атери] многих сволочей. Создался какой-то иммунитет для ряда людей, которые, не имея совести, не бог весть как заботятся о порученном деле, а мер в нашем распоряжении для подтягивания этого сорта господ в[есьма] мало.</w:t>
      </w:r>
    </w:p>
    <w:p w14:paraId="4E7B3C97"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думай, что я впал в мизантропию, нет. Просто болит душа, и я не знаю, что предпринять, чтобы заставить народ по-другому, по-нашему, по-социалистическому относиться к делу, к своим обязанностям.</w:t>
      </w:r>
    </w:p>
    <w:p w14:paraId="68D03FB9"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не могу пожаловаться на тех же командующих и вообще на начсостав, что они мало и нерадиво работают. Наоборот, все работают до поту и одурения, а толку пока мало. Вчера смотрел статистику несчастных случаев в КА за 31 год и ужаснулся — 2000 ранений и 400 смертей!! В Гороховецком лагере за 2 месяца 10 самоубийств. Просмотрел все приказы и указания начсостава по поводу несчастных случаев, происшествий и т. д. и, к сожалению, не нашел больше щелочки, куда можно было втиснуть еще приказ, указание.</w:t>
      </w:r>
    </w:p>
    <w:p w14:paraId="1829985E"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уже сказано. Подробно и коротко, и длинно, и даже самым четким и крепким языком, но... думаю, что люди, прочитав такой приказ, да не только такой, приказ, в лучшем случае помнят его день-два, а потом, вращаясь в водовороте повседневщины, все забывают. Помнят только сегодняшний день, а у нас и «сегодняшний» день сплошь бывает переполненным заботами. Это не объяснение, это мысли вслух, наверное, неправильные. Я прошу извинения, что на отдыхе извожу тебя всеми этими вещами, но умалчивать, не сказать об этом, я не могу.</w:t>
      </w:r>
    </w:p>
    <w:p w14:paraId="0EC700CE"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я хочу тебя убедительно просить — нельзя ли отменить посылку Гамарника на ДВ, т. к. без него мне исключительно тяжело работать. Природа моей — нашей военной работы характерна тем, что мы имеем дело с миллионной массой живых людей, которую постоянно и подлинно надлежит ощущать, чувствовать, иначе сразу же, в том или ином виде получается неприятная, тяжелая отдача. Двое других моих замов с этой стороны (обслуживания жив[ых) людей) сов[сем] мало пригодны. Кроме того, Тухачевский должен уйти в отпуск, а Кам[енев] запарился, он ведает строительством. Можно было бы вместо Гамарника послать кого-нибудь другого, или пока совсем никого не посылать, а делами ОКДВА заняться на время отпуска Блюхера (обязательного и немедленного) ПУТНА.</w:t>
      </w:r>
    </w:p>
    <w:p w14:paraId="03768A39"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Очень прошу твоего согласия, тем паче и сам Гамарник неважно себя чувствует и поедет, разумеется, но с тяжелым чувством.</w:t>
      </w:r>
    </w:p>
    <w:p w14:paraId="75A166B3"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раз прошу прощения за испорченное настроение. Желаю всех благ, твой К. Ворошилов.</w:t>
      </w:r>
    </w:p>
    <w:p w14:paraId="4BEDD17F"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w:t>
      </w:r>
      <w:r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Ф</w:t>
      </w:r>
      <w:r w:rsidRPr="00E93F40">
        <w:rPr>
          <w:rFonts w:ascii="Times New Roman" w:hAnsi="Times New Roman"/>
          <w:color w:val="000000" w:themeColor="text1"/>
          <w:sz w:val="16"/>
          <w:szCs w:val="16"/>
          <w:lang w:val="en-US"/>
        </w:rPr>
        <w:t xml:space="preserve">. 74. On. 2. </w:t>
      </w:r>
      <w:r w:rsidRPr="00E93F40">
        <w:rPr>
          <w:rFonts w:ascii="Times New Roman" w:hAnsi="Times New Roman"/>
          <w:color w:val="000000" w:themeColor="text1"/>
          <w:sz w:val="16"/>
          <w:szCs w:val="16"/>
        </w:rPr>
        <w:t>Д</w:t>
      </w:r>
      <w:r w:rsidRPr="00E93F40">
        <w:rPr>
          <w:rFonts w:ascii="Times New Roman" w:hAnsi="Times New Roman"/>
          <w:color w:val="000000" w:themeColor="text1"/>
          <w:sz w:val="16"/>
          <w:szCs w:val="16"/>
          <w:lang w:val="en-US"/>
        </w:rPr>
        <w:t xml:space="preserve">. 37. </w:t>
      </w:r>
      <w:r w:rsidRPr="00E93F40">
        <w:rPr>
          <w:rFonts w:ascii="Times New Roman" w:hAnsi="Times New Roman"/>
          <w:color w:val="000000" w:themeColor="text1"/>
          <w:sz w:val="16"/>
          <w:szCs w:val="16"/>
        </w:rPr>
        <w:t>Л</w:t>
      </w:r>
      <w:r w:rsidRPr="00E93F40">
        <w:rPr>
          <w:rFonts w:ascii="Times New Roman" w:hAnsi="Times New Roman"/>
          <w:color w:val="000000" w:themeColor="text1"/>
          <w:sz w:val="16"/>
          <w:szCs w:val="16"/>
          <w:lang w:val="en-US"/>
        </w:rPr>
        <w:t xml:space="preserve">. 54-59. </w:t>
      </w:r>
      <w:r w:rsidRPr="00E93F40">
        <w:rPr>
          <w:rFonts w:ascii="Times New Roman" w:hAnsi="Times New Roman"/>
          <w:color w:val="000000" w:themeColor="text1"/>
          <w:sz w:val="16"/>
          <w:szCs w:val="16"/>
        </w:rPr>
        <w:t>Машинописная копия (20765).</w:t>
      </w:r>
    </w:p>
    <w:p w14:paraId="7D8AC156"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00D14D2D"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июля 1932 г.</w:t>
      </w:r>
    </w:p>
    <w:p w14:paraId="788A6C18"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РГВА Фонд 31811 Опись 3 Дело 51 лист 129 </w:t>
      </w:r>
    </w:p>
    <w:p w14:paraId="7161D020"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Секретно </w:t>
      </w:r>
    </w:p>
    <w:p w14:paraId="507A474C"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Экз. № 2</w:t>
      </w:r>
    </w:p>
    <w:p w14:paraId="7E0E0932"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01696 </w:t>
      </w:r>
    </w:p>
    <w:p w14:paraId="7B83B427"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26/VII-1932 г.</w:t>
      </w:r>
    </w:p>
    <w:p w14:paraId="06A33914"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ЗАМ. НАРКОМТЯЖПРОМА – тов. ДОЦЕНКО </w:t>
      </w:r>
    </w:p>
    <w:p w14:paraId="3ED15FF3"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УММ РККА – тов. ХАЛЕПСКОМУ </w:t>
      </w:r>
    </w:p>
    <w:p w14:paraId="015AC326"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p w14:paraId="11FD426D"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вопросу: моторов на танки БТ. </w:t>
      </w:r>
    </w:p>
    <w:p w14:paraId="3BEA1D3A"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Дизельном отделе ХПЗ ведутся работы проектного и исследовательского характера с целью замены авиационного бензинового мотора М-5 на танке БТ быстроходным дизельмотором. </w:t>
      </w:r>
    </w:p>
    <w:p w14:paraId="1F6FFFF1"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 разговора Начальника Дизельного Отдела ХПЗ тов. ЧЕЛПАНА с тов. КАЧАЕВЫМ я узнал, что дизельмотор такого же назначения спроектирован Техническим отделом (ОКБ) ОГПУ и построен в нескольких опытных образцах в Ленинграде на заводе им. ВОРОШИЛОВА. </w:t>
      </w:r>
    </w:p>
    <w:p w14:paraId="26BA95D2"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Техническая целесообразность подобного перевооружения танка, а также отсутствие производства моторов М-5, выдвигает неотложную задачу перехода на новый тип мотора и заставляет всемерно форсировать работы по созданию годного к эксплоатации на танке БТ дизельмотора. Для этого чрезвычайно важно сравнение спроектированных моторов на ХПЗ и в тех. отделе ОГПУ и выбор лучшего из этих образцов, как наиболее подходящего к условиям работы на танке и могущего, в силу изложенного, быть пущенным в производство в наиболее короткий срок. </w:t>
      </w:r>
    </w:p>
    <w:p w14:paraId="5F1267E3"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Прилагая при этом копию нашего письма Техотделу ОГПУ, прошу оказать необходимое содействие для ускорения и благоприятного разрешения вопроса о присылке на ХПЗ одного опытного образца двигателя ПГГ и необходимых материалов для проверки по машинному отделению танка. </w:t>
      </w:r>
    </w:p>
    <w:p w14:paraId="60285E0F"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1 лист.</w:t>
      </w:r>
    </w:p>
    <w:p w14:paraId="07AD4330"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ДИРЕКТОР ЗАВОДА подпись Л.С. Владимирова</w:t>
      </w:r>
    </w:p>
    <w:p w14:paraId="1CF744D5"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Отп. 3 экз. </w:t>
      </w:r>
    </w:p>
    <w:p w14:paraId="5518624A"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 Челпан </w:t>
      </w:r>
    </w:p>
    <w:p w14:paraId="237F9297"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РГВА Фонд 31811 Опись 3 Дело 51 лист 130 </w:t>
      </w:r>
    </w:p>
    <w:p w14:paraId="70277F4C"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Секретно </w:t>
      </w:r>
    </w:p>
    <w:p w14:paraId="364B7BA6"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Экз. № ___ </w:t>
      </w:r>
    </w:p>
    <w:p w14:paraId="08D35EA8"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ТЕХНИЧЕСКИЙ ОТДЕЛ ОГПУ </w:t>
      </w:r>
    </w:p>
    <w:p w14:paraId="2FE31438"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Никольская 23.</w:t>
      </w:r>
    </w:p>
    <w:p w14:paraId="358B833C"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вопросу: о танковых дизелях. </w:t>
      </w:r>
    </w:p>
    <w:p w14:paraId="443654F0"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 личных переговоров нашего Начальника Дизельного Отдела т. ЧЕЛПАНА с тов. КАЧЕВЫМ в Ленинграде 10 – 11 июля выяснилось, что Вашим Конструкторским Бюро спроектирован быстроходный Дизельмотор ПГГ по мощности, числу оборотов, габаритам и прочим показателям подходящий для установки в качестве двигателя на наш танк БТ. </w:t>
      </w:r>
    </w:p>
    <w:p w14:paraId="7365413E"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Опытные образцы этого двигателя находящиеся, частично в производстве, частично в стадии испытаний, дают Вам уверенность в том, что двигатель в продолжении ближайших 2-х, 3-х месяцев может быть доведен до степени готовности позволяющей пустить его в производство небольшими сериями и опробовать на танках. </w:t>
      </w:r>
    </w:p>
    <w:p w14:paraId="0E84E15C"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Будучи заинтересованными в замене карбюраторного двигателя БТ на дизельмотор в возможно короткий срок, просим не отказать в следующем: </w:t>
      </w:r>
    </w:p>
    <w:p w14:paraId="1AC64763"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Срочной присылке нам чертежей установочных общих видов и других материалов, позволяющих проверить возможность установки двигателя ПГГ на БТ, и необходимые для этого изменения в машинном помещении танка. </w:t>
      </w:r>
    </w:p>
    <w:p w14:paraId="43AD66F3"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Передать нам один опытный образец для испытания его в н/Дизельном цеху и в случае возможности на опытном танке. </w:t>
      </w:r>
    </w:p>
    <w:p w14:paraId="6E5344C7"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Передать нам рабочие чертежи, окончательно выверенные для постройки первой опытной серии, примерно в пять двигателей. </w:t>
      </w:r>
    </w:p>
    <w:p w14:paraId="0B827198"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Ваше принципиальное согласие и соображения по затронутым вопросам просим сообщить в возможно короткий срок. </w:t>
      </w:r>
    </w:p>
    <w:p w14:paraId="264C8BE4"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просим дать информационный материал о проектируемых у Вас двигателях и о степени готовности их к производству. Особенно интересуют нас двигатели, подходящие по производственным качествам к оборудованию н/Дизельного цеха и могущие быть приспособленным для специальных целей, как-то суда специального назначения, тепловозы, танки, трактора нашего производства и проч.</w:t>
      </w:r>
    </w:p>
    <w:p w14:paraId="619F8218"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ЗАМ. ДИРЕКТОРА и ГЛАВНЫЙ ИНЖЕНЕР: (Бондаренко) </w:t>
      </w:r>
    </w:p>
    <w:p w14:paraId="3F4EAB82"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ДИЗЕЛЬНОГО ОТДЕЛА: (Челпан)</w:t>
      </w:r>
    </w:p>
    <w:p w14:paraId="48167D6E" w14:textId="77777777" w:rsidR="008E2DB9" w:rsidRPr="00E93F40" w:rsidRDefault="008E2DB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Верно: Секретарь подпись (24872).</w:t>
      </w:r>
    </w:p>
    <w:p w14:paraId="21D6D1AF" w14:textId="77777777" w:rsidR="008E2DB9" w:rsidRPr="00E93F40" w:rsidRDefault="008E2DB9" w:rsidP="00E93F40">
      <w:pPr>
        <w:spacing w:after="0" w:line="240" w:lineRule="auto"/>
        <w:jc w:val="both"/>
        <w:rPr>
          <w:rFonts w:ascii="Times New Roman" w:hAnsi="Times New Roman"/>
          <w:color w:val="000000" w:themeColor="text1"/>
          <w:sz w:val="16"/>
          <w:szCs w:val="16"/>
        </w:rPr>
      </w:pPr>
    </w:p>
    <w:p w14:paraId="3615997B" w14:textId="627588D6" w:rsidR="00C16959" w:rsidRPr="00E93F40" w:rsidRDefault="00C1695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26 июля 1932 вышли постановления № 877/264сс и № 878/265сс РЗ СТО или КО (№ 1271/ко от 26.7.1932 г.) - Об организации Института телемеханики и</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 состоянии работ по автоматическим пилотам и мероприятиях по обеспечению серийного производства этих приборов (21564).</w:t>
      </w:r>
    </w:p>
    <w:p w14:paraId="75ADC28C"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1B5E407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9DB06C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A0681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июля 1932 у Киля налетевший шквал опрокинул научное немецкое судно «Ниобе», на котором погибло 110 человек (4962).</w:t>
      </w:r>
    </w:p>
    <w:p w14:paraId="4EC746F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F9C26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1A2BE8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734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июля 1932 года нач. тех. произв. сектора Самолетостроительного треста Леонтьев и нач. группы внедрения Гудков писали письмо N 69/659 нач. 3-го управления УВВС.</w:t>
      </w:r>
    </w:p>
    <w:p w14:paraId="719F2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Ваш N 10918/с от 23 июня.</w:t>
      </w:r>
    </w:p>
    <w:p w14:paraId="00EF65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Самолетостроительный трест ставит Вас в известность, что самолеты ТШ-2 заводом N 16 будут сдаваться со следующим вооружением: крыльевыми пулеметными батареями, бомбодержателями дер-6 и бортовыми пулеметами, два для стрельбы через винт и два на турели.</w:t>
      </w:r>
    </w:p>
    <w:p w14:paraId="7B1E6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Вышеперечисленное вооружение утверждено на совещании у нач. ВВС Алксниса от 23 апреля 1932 года.</w:t>
      </w:r>
    </w:p>
    <w:p w14:paraId="5832D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Вашем же письме указано, что ряд самолетов Вам нужно получить вооруженные гранатницами, о которых Самолетостроительный трест сведений не имеет, т.к. последней нет даже конструкций, т.о. самолеты ТШ-2 будут сдаваться без таковых. (2994,7б).</w:t>
      </w:r>
    </w:p>
    <w:p w14:paraId="318F0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B197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июля 1932 года выписка из протокола № 21 заседания СТО</w:t>
      </w:r>
    </w:p>
    <w:p w14:paraId="7600F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О моторостроении для гражданской авиации.</w:t>
      </w:r>
    </w:p>
    <w:p w14:paraId="1E2B9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СТО от 27 июня 1932 года пр. 18 п. 27).</w:t>
      </w:r>
    </w:p>
    <w:p w14:paraId="0A88C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СНК от 21 июля, пр. 13, п. 2).</w:t>
      </w:r>
    </w:p>
    <w:p w14:paraId="3B836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(Гольцман, Молотов, Пятаков).</w:t>
      </w:r>
    </w:p>
    <w:p w14:paraId="3BFE0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НКТП приступить к изготовлению в 1933 году для нужд гражданской авиации следующих систем моторов:</w:t>
      </w:r>
    </w:p>
    <w:p w14:paraId="1C34C30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М-48 и М-49 – на заводе № 29 Глававиапрома;</w:t>
      </w:r>
    </w:p>
    <w:p w14:paraId="2F2AF82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М-26 – на заводе № 19;</w:t>
      </w:r>
    </w:p>
    <w:p w14:paraId="1E7DC4E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 – на заводе № 24.</w:t>
      </w:r>
    </w:p>
    <w:p w14:paraId="59F6E31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моторов У-6 сосредоточить на будущем Нижегородском заводе.</w:t>
      </w:r>
    </w:p>
    <w:p w14:paraId="6F731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Утверждение количества и сроков выпуска моторов произвести при рассмотрении контрольных цифр на 1933 год.</w:t>
      </w:r>
    </w:p>
    <w:p w14:paraId="2E3EEB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СТО В. Молотов-Скрябин (7431, 64).</w:t>
      </w:r>
    </w:p>
    <w:p w14:paraId="3ECA27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587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июля 1932 года была подготовлена выписка из протокола № 21 заседания СТО</w:t>
      </w:r>
    </w:p>
    <w:p w14:paraId="1A2AF20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моторостроении для гражданской авиации.</w:t>
      </w:r>
    </w:p>
    <w:p w14:paraId="7C94A0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СТО от 27 июня 1932 года, пр. 18, п. 27)</w:t>
      </w:r>
    </w:p>
    <w:p w14:paraId="6CEAE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СНК от 21 июля 1932 года, пр. 13, п. 2)</w:t>
      </w:r>
    </w:p>
    <w:p w14:paraId="0B0C3F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(Гольцман, Молотов, Пятаков)</w:t>
      </w:r>
    </w:p>
    <w:p w14:paraId="6FF271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НКТП приступить к изготовлению в 1933 году для нужд гражданской авиации следующих систем моторов:</w:t>
      </w:r>
    </w:p>
    <w:p w14:paraId="43003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М-48 и М-49 – на заводе № 29 Глававиапрома</w:t>
      </w:r>
    </w:p>
    <w:p w14:paraId="79695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М-26 – на заводе № 19</w:t>
      </w:r>
    </w:p>
    <w:p w14:paraId="594E3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 – на заводе № 24</w:t>
      </w:r>
    </w:p>
    <w:p w14:paraId="29E55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моторов У-6 сосредоточить на будущем Нижегородском заводе.</w:t>
      </w:r>
    </w:p>
    <w:p w14:paraId="5F7366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Утверждение количества и сроков выпуска моторов произвести при рассмотрении контрольных цифр на 1933 год.</w:t>
      </w:r>
    </w:p>
    <w:p w14:paraId="693699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(Подпись: председатель СТО В. Молотов (Скрябин) (3530,42).</w:t>
      </w:r>
    </w:p>
    <w:p w14:paraId="6EB6D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065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июля 1932 года была подготовлена справка к № 2972</w:t>
      </w:r>
    </w:p>
    <w:p w14:paraId="272AA3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Воздушная торпеда (доклад гражданина США Барлоу в ЦАГИ 26 июля 1932 года)</w:t>
      </w:r>
    </w:p>
    <w:p w14:paraId="29D86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Вопросы и ответы по докладу</w:t>
      </w:r>
    </w:p>
    <w:p w14:paraId="6D3FF9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1</w:t>
      </w:r>
    </w:p>
    <w:p w14:paraId="4A498E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отрыве ведущего самолета от бомбовоза, покидает ли он бомбовоз сразу в трех точках или нет.</w:t>
      </w:r>
    </w:p>
    <w:p w14:paraId="02DE2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1</w:t>
      </w:r>
    </w:p>
    <w:p w14:paraId="1FFB7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 на осях колес имеются замочные механизмы с чекой. При расцеплении чека выдергивается. Одновременно с расцеплением самолетов происходит расцепление бензинопроводки и электропроводки управления жироскопами. Входное отверстие в бензиновых баках наводящего самолета закрывается автоматически.</w:t>
      </w:r>
    </w:p>
    <w:p w14:paraId="0CA44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2</w:t>
      </w:r>
    </w:p>
    <w:p w14:paraId="164D2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самолеты можно применять – обычной конструкции или строить специально.</w:t>
      </w:r>
    </w:p>
    <w:p w14:paraId="287D5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2</w:t>
      </w:r>
    </w:p>
    <w:p w14:paraId="6B9E3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Советский Союз будет вовлечен в войну сейчас, то можно будет использовать, хотя и не все, существующие самолеты, но на будущее необходимо конструировать специальные машины.</w:t>
      </w:r>
    </w:p>
    <w:p w14:paraId="30371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3</w:t>
      </w:r>
    </w:p>
    <w:p w14:paraId="4B92F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Имеются ли расчеты веса, мощности моторов и других данных.</w:t>
      </w:r>
    </w:p>
    <w:p w14:paraId="611781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3</w:t>
      </w:r>
    </w:p>
    <w:p w14:paraId="5DD36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Имеются только приближенные. Наводящий самолет будет иметь мотор мощностью 520 л.с. типа примерно «Уасп» фирмы Пратт Уитней. Самолет бомбардировщик должен боковые моторы – 2 дизеля по 700 л.с. примерно типа Юнкерса «Юма 4», а центральный мотор – 520 л.с. типа «Уасп».</w:t>
      </w:r>
    </w:p>
    <w:p w14:paraId="115948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Расчетов я никаких не производил, а над конструкцией работал в конце мировой войны, которая к настоящему времени устарела. В США о моем изобретении знают только шесть человек, из них ни один не принадлежит к военному ведомству и один только человек входит в Правительство – это сенатор Фрежер, руководитель сторонников разоружения и мой близкий друг. Кроме него об изобретении 4 инженера, работающие со мной, которые могут продолжать работу, если что-либо случится со мной и 1 журналист, которого я ознакомил с проектом в целях привлечения общественного внимания через прессу.</w:t>
      </w:r>
    </w:p>
    <w:p w14:paraId="292C3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4</w:t>
      </w:r>
    </w:p>
    <w:p w14:paraId="2178FD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Чтобы сильнее всего воздействовать, самое лучшее продемонстрировать аппарат в Женеве на полигоне. Сколько времени потребуется на постройку всего аппарата. Каким образом купить автомат Сперри, если США (Правительство) воспретило их продажу. Сколько будет стоить весь аппарат (оба самолета).</w:t>
      </w:r>
    </w:p>
    <w:p w14:paraId="39984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4</w:t>
      </w:r>
    </w:p>
    <w:p w14:paraId="20EDE2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считаю, что лучше всего было бы представить на Женевскую конференцию хорошо сделанную модель из дерева и полотна, которая давала бы общее представление о машине. Кроме модели следовало бы представить полное описание со схемами и чертежами, касающихся как конструкции аппарата, так и тематической стороны ……….</w:t>
      </w:r>
    </w:p>
    <w:p w14:paraId="610DC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Очевидно, что такая модель должна произвести впечатление. Глен Мартин – один из выдающихся инженеров США, заявил что изобретение заслуживает полного доверия в смысле практического осуществления и для доказательства не требует обязательной постройки этого аппарата. Стоимость бомбардировщика в американской валюте – 50000 долларов каждый. Что касается жироскопа, то я считаю что могу получить их вне зависимости от того позволянт ли Правительство США продавать их или нет.</w:t>
      </w:r>
    </w:p>
    <w:p w14:paraId="698AD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5</w:t>
      </w:r>
    </w:p>
    <w:p w14:paraId="0D7564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представляет Барлоу неуязвимость самолета-торпеды.</w:t>
      </w:r>
    </w:p>
    <w:p w14:paraId="6B94D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5</w:t>
      </w:r>
    </w:p>
    <w:p w14:paraId="4920C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не сказал, что ее нельзя сбить, я только сказал что она не связана с моральным состоянием экипажа. Наша главная цель состоит не в том, чтобы довести самолет, а в том чтобы сбросить бомбы. Безопасность подхода обеспечивается облачностью или темнотой. Так как в воздухе могут оказаться самолеты обороны, то мы должны применять много самолетов, чтобы противник не мог действовать сосредоточенно. Я считаю, что атака на торпеды может быть эффективной, но чтобы получить большую безопасность, я разработал план разбрасывания бомб в более короткий промежуток времени и моя воздушная торпеда производит бомбометание 30 секунд.</w:t>
      </w:r>
    </w:p>
    <w:p w14:paraId="0ACBA6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6</w:t>
      </w:r>
    </w:p>
    <w:p w14:paraId="41C5B5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каком расстоянии (наибольшем) от цели может истребитель отсоединится от бомбовоза.</w:t>
      </w:r>
    </w:p>
    <w:p w14:paraId="58E03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6</w:t>
      </w:r>
    </w:p>
    <w:p w14:paraId="2CFF7B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расстоянии 65 км от цели.</w:t>
      </w:r>
    </w:p>
    <w:p w14:paraId="602CD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7</w:t>
      </w:r>
    </w:p>
    <w:p w14:paraId="3295C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Насколько точно бомбовоз-торпеда сбрасывает в нужном месте бомбы.</w:t>
      </w:r>
    </w:p>
    <w:p w14:paraId="373DB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7</w:t>
      </w:r>
    </w:p>
    <w:p w14:paraId="56E08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нужно бомбардировать арсеналы или правительственные учреждения, то придется действовать не как воздушной торпедой, а использовать летательный аппарат в целом. Если нужно разрушить жизненные центра города вообще, то воздушная торпеда сбрасывает свои бомбы автоматически и поражает площадь. Нападение на цель должно быть одновременным и производиться десятками или даже сотнями воздушных торпед. Весьма возможно что летчики будут стремиться довести машину до цели и вернуться обратно с бомбардировщиками. В случае нападения на них самолетов обороны, наводящие машины всегда могут отсоединиться от торпеды с тем, чтобы быстро выйти из боя или, по крайней мере, чтобы занять более выгодное для защиты положение.</w:t>
      </w:r>
    </w:p>
    <w:p w14:paraId="7F1CB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8</w:t>
      </w:r>
    </w:p>
    <w:p w14:paraId="0B36C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Несет ли наводящий самолет только себя или помогает нести нагрузку бомбардировщику.</w:t>
      </w:r>
    </w:p>
    <w:p w14:paraId="4E918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8</w:t>
      </w:r>
    </w:p>
    <w:p w14:paraId="404FC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Бомбардировщик несет полностью сам себя, но мотор наводящего самолета добавляет воздушной торпеде скорость.</w:t>
      </w:r>
    </w:p>
    <w:p w14:paraId="4F6BA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9</w:t>
      </w:r>
    </w:p>
    <w:p w14:paraId="6F3B55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Какой современный истребитель может пройти 2500 км.</w:t>
      </w:r>
    </w:p>
    <w:p w14:paraId="52538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9</w:t>
      </w:r>
    </w:p>
    <w:p w14:paraId="69F7D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 один. Наводящий самолет не является строго говоря истребителем или штурмовиком, а представляет нечто среднее между этим типом и разведчиком. Она должна иметь емкость баков достаточную для полета на расстояние такое же какое имеют современные быстроходные пассажирские самолеты. Мы не представляем, что эта машина будет подобной той, которая совершила перелет через океан – 3000 км в 10 с лишним часов, а будет, может быть, машиной с еще большей скоростью и большей дальностью полета, если это потребуется.</w:t>
      </w:r>
    </w:p>
    <w:p w14:paraId="63B68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10</w:t>
      </w:r>
    </w:p>
    <w:p w14:paraId="6BC71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Чем обеспечивается защита от воздушного противника в то время, когда бомбардировщик вместо с истребителем находятся на пути к целе.</w:t>
      </w:r>
    </w:p>
    <w:p w14:paraId="4F06BE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10</w:t>
      </w:r>
    </w:p>
    <w:p w14:paraId="50D6A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Работая ночью под кровом темноты или днем скрываясь в облаках. Ночью для истребителей противника практически невозможно будет осуществить связь между земными звукоулавливателями для получения точной информации о положении торпед. Я считаю невозможным, чтобы какое-либо государство могло защитить себя от нападения зенитными орудиями и прожекторами особенно на тот случай, когда нападение с воздуха производится одновременно множеством самолетов, когда неизвестно какой из городов будет атакован. Для того, чтобы перехватить нападающие самолеты, противник должен располагать огромнейшим числом истребителей расположенных во всех важных пунктах. Эффективность атаки с воздуха множеством воздушных торпед обеспечивается тем, что противник не знает ни времени, ни места куда ему нужно сосредоточить своих истребителей для отбития атаки. Мы будем атаковать не с одного направления, а со многих и поэтому противник всегда будет находиться в невыгодном для себя положении, так как он не в состоянии определить где, когда и какое число воздушных торпед будут нападать. Кроме того, всегда возможно будет обмануть противника, производя демонстрацию и на другие цели. Чтобы не дать противнику преимущество нападать одновременно на одну или две торпеды, мы посылаем свои аппараты ночью с определенными указаниями держаться на известной высоте и атаковать цель в определенно указанное время, учтя различие в направлении ветра. Возможно, что некоторые из наших самолетов достигнут цели за несколько минут до начала атаки. В этом случае они должны сделать несколько кругов над городом, чтобы интервал между началом бомбометания и началом атаки не превышал 1-2 минут.</w:t>
      </w:r>
    </w:p>
    <w:p w14:paraId="566B7F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11</w:t>
      </w:r>
    </w:p>
    <w:p w14:paraId="74F55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Спроектирован ли такой самолет изобретателем и ясны ли для него уже сейчас все технические детали машины.</w:t>
      </w:r>
    </w:p>
    <w:p w14:paraId="03907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Ответ </w:t>
      </w:r>
    </w:p>
    <w:p w14:paraId="58C62A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Конструирование такого аппарата не является чем-либо новым и требует только наличия достаточного числа инженеров хорошо знакомых с конструкцией самолета. При разработке проекта необходимо только учитывать, чтобы расположение мортир было близко к центру тяжести как своего летательного аппарата, так и центру тяжести бомбардировщика. Кроме того, при расположении мортир придется подумать и о размещении лонжеронов нижнего крыла. Я считаю, что одна мортира может быть поставлена впереди переднего лонжерона. Необходимо также учитывать местоположение жироскопов, которые должны быть поставлены возможно ближе к центру тяжести самолета. Придется подумать также об упрочении деталей, связывающих оба самолета. Но, повторяю, все это вопросы находящиеся в пределах компетенции грамотного инженера.</w:t>
      </w:r>
    </w:p>
    <w:p w14:paraId="456AB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12</w:t>
      </w:r>
    </w:p>
    <w:p w14:paraId="29B24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считает ли Барлоу заменить фосфор более интенсивным зажигательным веществом в зажигательной бомбе.</w:t>
      </w:r>
    </w:p>
    <w:p w14:paraId="38535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w:t>
      </w:r>
    </w:p>
    <w:p w14:paraId="70ABB9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 например, термитом. Однако я считаю фосфор более подходящим, так как он самовозгорается и не требует специальных запалов, как это нужно для термита. Термит можно будет использовать в тех случаях, когда требуется поражать цели, защищенные стойким металлом, как например сталь. Хотя фосфор опасен в обращении, ноя полагаю, что он более удобен и более приемлем для употребления в зажигательных бомбах, впрочем вопрос о начинке зажигательных бомб может быть решен впоследствии, я лишь делаю предложения.</w:t>
      </w:r>
    </w:p>
    <w:p w14:paraId="06F15B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13</w:t>
      </w:r>
    </w:p>
    <w:p w14:paraId="745205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Нельзя ли вместо бомбовоза с минами отцеплять от самолета автоматически управляемый планер.</w:t>
      </w:r>
    </w:p>
    <w:p w14:paraId="09A0E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w:t>
      </w:r>
    </w:p>
    <w:p w14:paraId="7C01C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 Митчель (бывш. зам. начальника ВВС США) занимался разработкой планирующей бомбы, которая сбрасывалась с большой высоты в 25-30 км от цели. Я считаю, что такая планирующая бомба не дает ни интенсивности атаки, ни рассеивания на площади. Планирующая бомба не обладает скоростью, которую я считаю квинтесенцией атаки. Во время атаки скорость должна быть 240 км/час.</w:t>
      </w:r>
    </w:p>
    <w:p w14:paraId="6BC5A0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Вопрос 14</w:t>
      </w:r>
    </w:p>
    <w:p w14:paraId="17B1F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из отдельных объектов или устройств в предложении Барлоу практически опробовано, в частности осуществлен ли прибор управляющий автоматом Сперри после отсоединения самолетов друг от друга (наиболее деликатная часть во всем изобретении).</w:t>
      </w:r>
    </w:p>
    <w:p w14:paraId="20A0A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w:t>
      </w:r>
    </w:p>
    <w:p w14:paraId="4EF45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Никакая из отдельных деталей изобретения на таком летательном аппарате как воздушная торпеда опробована не была. Что касается работы автомата Сперри, то я имею информацию от его работников, что несколько месяцев назад они разработали жироскоп для торпед, но я считаю, что они хотели выпытать о моем изобретении и не дал им никакой информации. Работники фирмы Сперри сказали мне, что они имеют очень точный автомат для торпед, который действует на дистанцию до 500 км, но я сомневаюсь в этом, так как едва ли этот автомат сможет на таком большом расстоянии учитывать все изменения атмосферных условий. Насколько я знаю, управление автоматом после расцепления самолетов не вызывает никаких сомнений, так как известный жироскоп Сперри был испытан в полете между двумя городами Стактон и Сакроменто (расстояние около 200 км). За все время полета летчик не прикасался к прибору и автомат привел самолет точно в Сакроменто. Аналогичным образом должен работать автомат и на бомбардировщике.</w:t>
      </w:r>
    </w:p>
    <w:p w14:paraId="0F8645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15</w:t>
      </w:r>
    </w:p>
    <w:p w14:paraId="2D2EA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Какое оборудование помимо жироскопа должен иметь ведущий самолет.</w:t>
      </w:r>
    </w:p>
    <w:p w14:paraId="71705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w:t>
      </w:r>
    </w:p>
    <w:p w14:paraId="7DC9E9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Наводящий самолет не имеет жироскопов, а только распределительные щитки для управления ими. Все что имеется на наводящем самолете и остается на нем когда он улетает – это распределительный щиток и регулировочный лист. Регулировочный лист служит для отметки начала момента бомбометания. Регулировочный диск действует на автомат бомбосбрасывателя.</w:t>
      </w:r>
    </w:p>
    <w:p w14:paraId="461BD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16</w:t>
      </w:r>
    </w:p>
    <w:p w14:paraId="34FF3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случится ли того, что если мы ограничимся только моделью и выступим в Женеве имея только модель, что мы получим обратные результаты. Капиталистическая печать поднимет шум против СССР, а на деле мы будем иметь только модель, которая вряд ли убедит другие государства.</w:t>
      </w:r>
    </w:p>
    <w:p w14:paraId="3DF27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w:t>
      </w:r>
    </w:p>
    <w:p w14:paraId="1A4BA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Такой же вопрос был задан мне членами военной комиссии конгресса. Я считаю, что тогда в Женеве вас спросят, что вы сделали. Вы разработали новый вид вооружения и вы готовы уже к войне вследствие чего другие государства находятся в невыгодном по сравнению с вами положении. Для того, чтобы убедить собравшихся на конференции в нашем чистосердечии, мы должны быть в одинаковом с другими странами положении. Я считаю, что Советский Союз мог бы выступить с таким заявлением: мы приняли предложение американского инженера и представляем вам на рассмотрение его изобретения. Всякий инженер скажет вам, что оно практически осуществимо, так как отдельные его части уже применяются в воздушном флоте и новизна изобретения заключается лишь в сочетании. Мы считаем необходимым заявить здесь, что никаких экспериментов и постройки этого летательного аппарата мы не производили и находимся поэтому в равном положении со всеми другими странами. Советский Союз располагает сейчас достаточными средствами техническими и финансовыми для осуществления этого летательного аппарата, но мы предпочитаем предложить вам разоружиться вместо того, чтобы начинать постройку этих аппаратов.</w:t>
      </w:r>
    </w:p>
    <w:p w14:paraId="6394DA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считаю, что такое выступление Советского Союза на Женевской конференции произведет огромное впечатление на американский народ. Я не считаю, что выступление это сколько-нибудь убедит другие государства в необходимости разоружения, но оно должно показать народам политику обмана, проводимую их правительствами и в особенности правительством США и должно показать, что только СССР проводит политику мира.</w:t>
      </w:r>
    </w:p>
    <w:p w14:paraId="60A0D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в США ведется предвыборная кампания по выбору президента, которая закончится в ноябре. Гувер отказался от преимуществ, которые я предлагал ему, так как он не мог обещать мне сохранить в тайне суть изобретения прежде чем оно не будет объявлено на Женевской конференции. Он не мог дать этого обещания, так как другие силы управляют им и если Советский Союз смог бы привлечь внимание народа к этому, то я полностью уверен, что могу рассчитывать на поддержку демократов и Рузвельта используя это как материал для предвыборной кампании. Это помогло бы также ускорению признания СССР со стороны США. Задача состоит в том, чтобы показать народу всю бесчестную игру, которую ведет с ним его правительство.</w:t>
      </w:r>
    </w:p>
    <w:p w14:paraId="168CF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хорошо известен в некоторых штатах Востока и очень хорошо на северо-западе. Я был руководителем движения ветеранов мировой войны и объединил около 100000 их в семи штатах. Мне предлагали государственные должности. Но я предпочел остаться независимым. Я знаю, что если Советский Союз начнет совместную работу с американскими инженерами, то вне всякого сомнения это произведет огромное впечатление в США.</w:t>
      </w:r>
    </w:p>
    <w:p w14:paraId="3960D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имею вырезки из газет касающихся моих идей. Здесь вот телеграмма, в которой меня отговаривают от поездки в Москву. Все газеты наполнены статьями и заметками относительно разрушительности будущей войны в связи с моим изобретением.</w:t>
      </w:r>
    </w:p>
    <w:p w14:paraId="54765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17</w:t>
      </w:r>
    </w:p>
    <w:p w14:paraId="5AB13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Почему американское правительство отклонило постройку ваших торпед. Был ли публично объявлен какой-нибудь мотив отклонения.</w:t>
      </w:r>
    </w:p>
    <w:p w14:paraId="5CB030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w:t>
      </w:r>
    </w:p>
    <w:p w14:paraId="6E34C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Американское правительство не знает о моем проекте. К концу войны я работал вместе с Глен Мартином по постройке воздушных торпед. С тех пор я не давал никакой информации относительно торпед и теперь правительство не знает, что я предлагаю, так как я отказался сообщить о нем вследствие того, что президент не мог обещать мне сохранение тайны до Женевской конференции, но они вызвали меня в Вашингтон и предложили мне продолжать работу по проектированию.</w:t>
      </w:r>
    </w:p>
    <w:p w14:paraId="7A081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18</w:t>
      </w:r>
    </w:p>
    <w:p w14:paraId="23A17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Субсидировались ли ваши опыты правительством США.</w:t>
      </w:r>
    </w:p>
    <w:p w14:paraId="04FAD9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w:t>
      </w:r>
    </w:p>
    <w:p w14:paraId="266673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время войны мои изобретения осуществлялись за счет правительства США. Работы с торпедой начались незадолго до конца войны. Я ездил во Францию для решения вопросов об авиабомбах моей конструкции, затем был вызван спешно обратно для разработки воздушной торпеды и уже были разработаны чертежи предусматривавшие изготовление 22000 торпед, так как хотели их использовать в большом количестве, чтобы скорее окончить войну. В это время было подписано перемирие и работа остановлена (3553,40-48).</w:t>
      </w:r>
    </w:p>
    <w:p w14:paraId="436D1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5122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июля 1932 года была подготовлена справка к № 2972</w:t>
      </w:r>
    </w:p>
    <w:p w14:paraId="02A40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Воздушная торпеда дальнего действия (краткое описание)</w:t>
      </w:r>
    </w:p>
    <w:p w14:paraId="6A6444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разработке данного изобретения принимались во внимание следующие пункты:</w:t>
      </w:r>
    </w:p>
    <w:p w14:paraId="23A6DA1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Новое военное средство должно располагать возможностью для прорыва сквозь любую полосу обороны, установленную противником для отбития воздушных нападений.</w:t>
      </w:r>
    </w:p>
    <w:p w14:paraId="5308D74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Подход к цели должен быть обеспечен, не подвергая личный состав атакующего опасностям активной обороны противником.</w:t>
      </w:r>
    </w:p>
    <w:p w14:paraId="1536B5F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Постоянное сохранение управления атакующими соединениями от момента выхода до конца атаки.</w:t>
      </w:r>
    </w:p>
    <w:p w14:paraId="6EEFF7B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Нападение на цель совершается исключительно средствами автоматического управления.</w:t>
      </w:r>
    </w:p>
    <w:p w14:paraId="06FFBED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Сохранение всех выгод неожиданного подхода атакующего к цели под прикрытием темноты или облаков.</w:t>
      </w:r>
    </w:p>
    <w:p w14:paraId="1C48116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Передвижение с большой скоростью от исходной базы к цели.</w:t>
      </w:r>
    </w:p>
    <w:p w14:paraId="13D035B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Одновременные действия со многих исходных баз, удаленных друг от друга и одновременное сосредоточение нападающих сил на цель.</w:t>
      </w:r>
    </w:p>
    <w:p w14:paraId="35AAA30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Обеспечение атакующих единиц от контратак противника расположением этих единиц и необходимых для них предметов снабжения далеко внутри страны, но с сохранением обеспеченности быстрой переброски единиц и снабжения на исходные оперативные базы, расположенные вблизи границ.</w:t>
      </w:r>
    </w:p>
    <w:p w14:paraId="6E3BFCD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Материальная часть и оборудование атакующих единиц должны позволить быструю мобилизацию для сосредоточения или развертывания их на широком участке атаки.</w:t>
      </w:r>
    </w:p>
    <w:p w14:paraId="0E5F5C5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Наличие таких средств атаки, которые позволяли бы наиболее ……….. держать противника в неведении относительно вероятного пункта атаки.</w:t>
      </w:r>
    </w:p>
    <w:p w14:paraId="7B650FF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 эффективного нападения на глубоко удаленные пункты противника. Под удаленными пунктами понимаются объекты, расположенные в 1500 км и более.</w:t>
      </w:r>
    </w:p>
    <w:p w14:paraId="6F21C18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 нападения как с прямых, так и с ломаных курсов при подходе к цели.</w:t>
      </w:r>
    </w:p>
    <w:p w14:paraId="7D0A59B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 сосредоточения большого числа соединений для одновременного нападения на цель.</w:t>
      </w:r>
    </w:p>
    <w:p w14:paraId="1121B80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Уменьшение случайных опасностей для экипажей нападающей стороны в целях сокращения возможных потерь и поднятия морального состояния у личного состава.</w:t>
      </w:r>
    </w:p>
    <w:p w14:paraId="559E7F1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Средства, позволяющие сократить расходы по обучению и тренировке экипажей и сохранить в целости материальную часть. Основные технические особенности предлагаемого военного средства для наступательных военных действий заключаются в сочетании автоматически управляемого бомбардировщика и сопровождающего его истребителя. Когда оба эти самолета соединены вместе, они работают одно целое; в раздельности же они могут действовать независимо один от другого в соответствии со своими функциями.</w:t>
      </w:r>
    </w:p>
    <w:p w14:paraId="3C7EB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 управляемый бомбардировщик может быть использован в качестве бомбардировочного самолета, для чего он имеет обычные рычаги управления. Истребитель может выполнять свои функции не будучи связанным с автоматическим бомбардировщиком. Предложения изобретателя сводятся к тому, чтобы при конструировании бомбардировщиков и истребителей учитывать возможность их сочетания в одно целое, представляющее в совокупности воздушную торпеду дальнего действия.</w:t>
      </w:r>
    </w:p>
    <w:p w14:paraId="64CB4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Конструкция обоих типов самолетов должна быть такой, чтобы позволять независимое их использование в качестве бомбардировщика или истребителя или в сочетании и воздушная торпеда.</w:t>
      </w:r>
    </w:p>
    <w:p w14:paraId="647A4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действии автоматического бомбардировщика дальность его действия увеличивается примерно вдвое по сравнению с обычным бомбардировщиком. Увеличение дальности возможно благодаря тому, что бомбардировщик автоматически уничтожается сразу после выполнения им бомбардировки цели, а не возвращается назад на исходную базу.</w:t>
      </w:r>
    </w:p>
    <w:p w14:paraId="42E9F3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 который доводит бомбардировщика до цели возвращается на базу, начиная обратный путь с полностью наполненными баками, причем запаса топлива должно хватить на полет дальностью 2400 км. Способ наполнения баков истребителя в полете будет указан дальше.</w:t>
      </w:r>
    </w:p>
    <w:p w14:paraId="243961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истребитель и бомбардировщик действуют в совокупности как одно целое, они представляют триплан, снабженный 4-мя моторами, один из которых бензиновый мощностью 520 л.с., а другие три предпочтительно дизель-моторы, работающие на нефти. Два из дизель-моторов имеют мощность 700 л.с. каждый, а третий примерно 250 л.с. При раздельном использовании истребительный самолет представляет собой моноплан с бензиновым двигателем 520 л.с. Бомбардировщик представляет собой биплан с двумя моторами по сторонам и одним мотором в носу фюзеляжа. Боковые моторы-дизели по 700 л.с. о которых было сказано выше. Все бомбардировочное оборудование укрыто полностью в нижнем крыле. В нижнем крыле имеются также средства для выбрасывания бомб в стороны, а также и вниз. Такое устройство позволяет производить сбрасывание бомб с самолета тремя рядами на цель с интервалом между рядами равным примерно 400 м.</w:t>
      </w:r>
    </w:p>
    <w:p w14:paraId="484ECD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Изобретатель предполагает размещать на бомбардировщике 19 бомб весом каждая по 125 кг, что дает суммарную бомбовую нагрузку около 2500 кг. Семь бомб сбрасываются вниз и 12 (по шесть) в стороны. Бомбы могут быть химические, зажигательные или фугасные, или сочетание этих трех видов. Выбрасывание бомб в стороны производится посредством мортир с центральной пороховой камерой, так что две бомбы выбрасываются одновременно из одной мортиры в разные стороны, уравновешивая таким образом отдачу. Такой способ был широко применен для сбрасывания глубинных мин с эсминцев во время последней мировой войны. Выбрасывание бомб в стороны производится пороховым зарядом (черный порох) аналогичным образом, что и выбрасывание морских торпед.</w:t>
      </w:r>
    </w:p>
    <w:p w14:paraId="121E5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Бомбардировочный самолет оборудован как обыкновенными рычагами управления, так и автоматическими. Автоматическая система управления принята жироскопическая. Переход от простой системы управления к жироскопической производится мгновенно. Истребитель имеет обычную систему управления и приборный щиток для автоматического управления бомбардировщиком, т.е. щиток соединен электропроводкой с жироскопами последнего. Благодаря этому управление бомбардировщиком – переход с режима на режим и выполнение различных эволюций, а также и управление воздушной торпедой осуществляется с истребительного самолета, когда он связан с бомбардировщиком.</w:t>
      </w:r>
    </w:p>
    <w:p w14:paraId="3248F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 имеет две кабины для экипажа. Один человек на заднем сидении несет обязанности пулеметчика и навигатора. Истребитель имеет двойное управление и два щитка для рычагов управления с жироскопами бомбардировщика, так что любой человек из экипажа может управлять и истребителем и бомбардировщиком.</w:t>
      </w:r>
    </w:p>
    <w:p w14:paraId="332ED1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щитке расположен также регулировочный диск, разбитый на четверть, полу и целые минуты. Полный диск имеет 20 минут. Он служит для отметки срока, после которого бомбардировщик начнет действовать исключительно автоматически, будучи отсоединен от наводящего истребителя. Регулятор начинает работать в момент отсоединения и после назначенного срока приводит в действие механизм бомбосбрасывателя, который сбрасывает первую бомбу (центральную). Через 150 метров выбрасываются одновременно две боковые бомбы; этот порядок повторяется с чередованием через каждые 150 метров, пока не будут сброшены все 19 бомб.</w:t>
      </w:r>
    </w:p>
    <w:p w14:paraId="261FA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высота бомбометания примерно 200 м, то площадь поражения бомбами имеет размеры 1800х…. Кв. м. Время. Потребное для сбрасывания всех бомб, равно примерно 30 сек. или втрое меньше чем при бомбардировании с обычного бомбардировщика при тех же условиях поражения и том же числе бомб. Другими словами, период нападения на бомбардировщика сокращается втрое. Нефть идущая на питание дизель-мотора снижает эффективность стрельбы по бомбардировщику зажигательными пулями, так как взрыв бензобаков исключен, а пожар бомбардировщика от зажигания пулями не может служить препятствием для выполнения их задач.</w:t>
      </w:r>
    </w:p>
    <w:p w14:paraId="26B679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выполнения бомбардирования взрываются подрывные шашки у моторов машин и они уничтожаются, часть топлива разбрызгивается в машине и загорается. Бомбардировщик разрушенный и горящий падает на цель.</w:t>
      </w:r>
    </w:p>
    <w:p w14:paraId="41611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точно представлять, что истребитель связанный в одно целое с бомбардировщиком не является для него нагрузкой, а скорее они оба составляют один летательный аппарат. Для того, чтобы истребитель, который дальше будет обеспечен как «наводящий самолет», мог вернуться в любой момент на свою базу, он питается в совместном полете с бомбардировщиком из баков последнего, расположенных в верхнем крыле. Если после расцепления самолетов в бензобаках бомбардировщика остается топливо, то оно выжигается немедленно после расцепления, чтобы исключить опасность пожара в случае попадания в баки зажигательных пуль.</w:t>
      </w:r>
    </w:p>
    <w:p w14:paraId="4531D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рис. 1 показана схема сочетания обоих самолетов и управления ими, а также система питания топливом наводящего самолета. Наводящий самолет жестко прикреплен к верхней части бомбардировщика, он не стоит на своем шасси, а на особых подставках. Подставки связываются с выступами оси у втулки колеса посредством специального замочного механизма. Хвост наводящего самолета связан V-образной стойкой с фюзеляжем бомбардировщика. При расцеплении стойка остается на бомбардировщике. Устройство для одновременного и мгновенного расцепления обоих самолетов находится на наводящем самолете.</w:t>
      </w:r>
    </w:p>
    <w:p w14:paraId="24588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дополнение к этому имеются телескопические выдвижные устройства (№ 1) для сохранения связи контрольных щитков (№ 2) наводящего самолета и жироскопов бомбардировщика (№ 3) и аналогичное телескопическое соединение – бензопроводка (№ 1) от бака бомбардировщика (№ 4) к бензобакам (№ 5) наводящего самолета. На рисунке показано скользящее присоединение (№ 6) на верхней части телескопа (№ 1) и когда летчик отсоединяет наводящий самолет от бомбардировщика это скользящее соединение обеспечивает выключение контрольной электропроводки с жироскопов и выключение бензинопроовдки между обеими машинами.</w:t>
      </w:r>
    </w:p>
    <w:p w14:paraId="7274A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Входное отверстие в баках наводящего самолета закрывается автоматически при расцеплении.</w:t>
      </w:r>
    </w:p>
    <w:p w14:paraId="007D0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Бомбардировщик после расцепления продолжает самостоятельной свой путь управляемый автоматом, режим работы которого установлен посредством контрольного щитка наводящего самолета незадолго перед отсоединением. Иначе говоря, бомбардировщик наводится на цель и получает определенный режим для продолжения полета, чтобы поразить эту цель.</w:t>
      </w:r>
    </w:p>
    <w:p w14:paraId="57588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Питание топливом наводящего самолета для обратного полета показано под № 7. На схеме видна перепускная трубопроводка из баков наводящего самолета в бензобаки бомбардировщика и эта бензопроводка, отмеченная № 8 идет вниз по ногам шасси наводящего самолета. Небольшая ветряная помпа подает бензин из крыльевых баков бомбардировщика в бензиновые баки наводящего самолета. Эта ветрянка на схеме отмечена № 9. Нефтяные баки для трех дизель-моторов бомбардировщика показаны под № 10. Наводящий самолет несет обычные стрелковые вооружения пулеметы для стрельбы через винт и пулеметы на турели в задней кабине. Наводящий самолет оборудован средствами автоматической сигнализации позволяющие определять положение машины относительно других соседних самолетов во время полета в темноте или в облаках. Помимо этого, самолет имеет все обычные аэронавигационные приборы.</w:t>
      </w:r>
    </w:p>
    <w:p w14:paraId="7A43A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рис. 2 показан вид воздушной торпеды спереди. Утолщенная центральная часть нижнего крыла имеет в сечении профиль крыла для улучшения аэродинамических свойств. В этом центроплане укрыты бомбы для сбрасывания вниз. В крыльях нижней плоскости спрятаны мортиры с вложенными туда бомбами для выбрасывания в стороны.</w:t>
      </w:r>
    </w:p>
    <w:p w14:paraId="0F731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рис. 3 летательный аппарат показан в полете и в нем видно расположение мортир в нижнем крыле. Мортиры имеют диаметр около 300 мм и выбрасывают бомбы несколько меньшего калибра чем диаметр мортиры.</w:t>
      </w:r>
    </w:p>
    <w:p w14:paraId="4D60A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рис. 4 показан момент отделения наводящего самолета от бомбардировщика. С этого момента бомбардировщик продолжает полет по заданному курсу на цель для бомбометания в то время как наводящий самолет начинает свой обратный полет на базу.</w:t>
      </w:r>
    </w:p>
    <w:p w14:paraId="10C4BF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рис. 5 представлены 2 разреза, показывающие средство для установки наводящего самолета на бомбардировщик. На рисунке показана легкая составленная из труб рампа по которой наводящий самолет подводится к точке присоединения к бомбардировщику. Рампа изготовлена разборной и для приведения ее в готовность и для разборки достаточно двух человек. При хранении и перевозке рампа занимает мало места и переброска может быть осуществлена как на автомобиле, та и на самолете. Небольшая платформа под наводящим самолетом изготовлена также складной и благодаря небольшому весу она удобна для перевозки. Две скобки с блоками служат в качестве направляющих для буксирных тросов, эти блоки легко прикрепляются и снимаются и в полет с бомбардировщиком не берутся. Наводящий самолет затаскивается по рампе на бомбардировщик трактором или людьми. Шасси наводящего самолета при затаскивании не цепляет за рули бомбардировщика.</w:t>
      </w:r>
    </w:p>
    <w:p w14:paraId="66E3F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Вместе с этим описанием воздушной торпеды дальнего действия изобретатель представляет копию описания автоматического пилота Сперри.</w:t>
      </w:r>
    </w:p>
    <w:p w14:paraId="53839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Изобретатель указывает, что его изобретение не является единственным в подтверждение чего он представляет копию патента Юнкерса на подобные сочетания самолетов в полете. Очевидно Юнкерс не мог разработать сам свой патент вследствие запрета наложенного Версальским договором, но все же он постарался защитить свою идею патентами. Кроме того, изобретатель приводит вырезку из газеты 1927 года относительно воздушной торпеды разработанной в Англии. Содержание вырезки следующее:</w:t>
      </w:r>
    </w:p>
    <w:p w14:paraId="7AF3A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«Воздушная торпеда</w:t>
      </w:r>
    </w:p>
    <w:p w14:paraId="71846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Вашингтон 13 апреля (Универсал Сервис)</w:t>
      </w:r>
    </w:p>
    <w:p w14:paraId="002370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Воздушная торпеда разработанная англичанами как писала лондонская пресса, является подражанием конструкции американского изобретателя Барлоу согласно экспертизы артиллерийского управления. Воздушная торпеда Барлоу состоит из сочетания двух самолетов. Летчик по приближении к неприятельской цели устанавливает автоматическое управление самолетом несущим бомбовую нагрузку весом 1000 кг, затем отсоединяется от другого самолета и возвращается на свою базу. Бомбардировщик же продолжает полет по заданному курсу на заданной высоте и в течение заданного отрезка времени, пока автоматическое управление не заставит его снизиться к земле. Описание английской воздушной торпеды сходится с этим.»</w:t>
      </w:r>
    </w:p>
    <w:p w14:paraId="6AA4F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Изобретатель заявляет о своем приоритете на сочетание самолета бомбардировщика с истребителем, идея которого была представлена им в секретном порядке правительству США в 1918 году, но он сам заявляет, что идея передачи топлива с бомбардировщика наводящему самолету появилась у него позднее, точно также позднее он усовершенствовал свое изобретение превратив бомбардировочный самолет в воздушную торпеду.</w:t>
      </w:r>
    </w:p>
    <w:p w14:paraId="56BA99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Обучение экипажей работе с воздушной торпедой производится следующим образом6 на самолет бомбардировщик ставят рычаги управления и сажают туда летчика. Тренирующийся экипаж производит все необходимые действия, наводит бомбардировщик на цель, отсоединяется от него и возвращается на аэродром. Бомбардировщик продолжает путь, но вместо бомб сбрасывает дымовые шашки, после чего возвращается на аэродром управления летчиком.</w:t>
      </w:r>
    </w:p>
    <w:p w14:paraId="4F99A0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Вместе с запиской изобретатель представляет копию письма фирмы Сперри Жироскоп Ко., где указано, что фирма продает жироскопические приборы – автоматический летчик – Сперри только правительству США.</w:t>
      </w:r>
    </w:p>
    <w:p w14:paraId="53B8F9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Описания других изобретений как-то фугасных, зажигательных и химических бомб будет изложено в другой записке и там же изобретатель обещает изложить тактическую сторону воздушных торпед: ………. и способы применения (3553,49-58).</w:t>
      </w:r>
    </w:p>
    <w:p w14:paraId="7A48D1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9C32EA" w14:textId="77777777" w:rsidR="00633D4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15A1E70" w14:textId="77777777" w:rsidR="00633D4B" w:rsidRPr="00E93F40" w:rsidRDefault="00633D4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AA834D"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июля 1932 года проект специального танка СТ на шасси Т-26, который предназначался для постановки дымовых завес, заражения местности, дегазации местности, борьбы с закрепившимся противником «мощным огнеструеметанием», причем все — с использованием одной и той же аппаратуры, рассматри</w:t>
      </w:r>
      <w:r w:rsidRPr="00142305">
        <w:rPr>
          <w:rFonts w:ascii="Times New Roman" w:hAnsi="Times New Roman"/>
          <w:color w:val="0070C0"/>
          <w:sz w:val="16"/>
          <w:szCs w:val="16"/>
        </w:rPr>
        <w:softHyphen/>
        <w:t>вался в НТК УММ РККА и получил положительную оценку. Однако не удалось построить даже опытного образца. Так что проект интересен как направление поисков конструкции «химических тан</w:t>
      </w:r>
      <w:r w:rsidRPr="00142305">
        <w:rPr>
          <w:rFonts w:ascii="Times New Roman" w:hAnsi="Times New Roman"/>
          <w:color w:val="0070C0"/>
          <w:sz w:val="16"/>
          <w:szCs w:val="16"/>
        </w:rPr>
        <w:softHyphen/>
        <w:t>ков». Как видно, опыт Г. Е. Шмидта пригодился при разработке проекта ХТ-26, лучше унифицированного с серийным танком Т-26 по корпусу (25021).</w:t>
      </w:r>
    </w:p>
    <w:p w14:paraId="147C0275"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p>
    <w:p w14:paraId="394E89F3"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июля в 1932 году постановлением Президиума Челябинского горсовета была организована машинно-тракторная станция по обслуживанию колхозов техникой для обработки земли. Ныне — ОАО "Челябинский завод "Агромаш"</w:t>
      </w:r>
    </w:p>
    <w:p w14:paraId="150F1243" w14:textId="77777777" w:rsidR="00633D4B" w:rsidRPr="00E93F40" w:rsidRDefault="00633D4B" w:rsidP="00E93F40">
      <w:pPr>
        <w:spacing w:after="0" w:line="240" w:lineRule="auto"/>
        <w:jc w:val="both"/>
        <w:rPr>
          <w:rFonts w:ascii="Times New Roman" w:hAnsi="Times New Roman"/>
          <w:color w:val="000000" w:themeColor="text1"/>
          <w:sz w:val="16"/>
          <w:szCs w:val="16"/>
        </w:rPr>
      </w:pPr>
    </w:p>
    <w:p w14:paraId="7E3C45C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94E521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B011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июля 1932 из донесения начальника Управления погранохраны и войск ОГПУ Восточносибирского края Ходырева: "на китайской территории против пос.Богдановского появилась хорошо вооруженная банда в 22 чел. под руководством Фалилеева, имеющая целью грабеж колхозов на нашей стороне... Банда Моторина концентрируется в районе Хайлара, преследуя те же цели. там же (в районе Хайлара) находится банда Номоконова численностью до 200 чел., которая в ближайшее время намерена выйти в Забайкалье" (10687).</w:t>
      </w:r>
    </w:p>
    <w:p w14:paraId="09AF5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5FBA6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17EEEF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A24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июля 1932 М.Н.Тухачевский присутствовал на испытаниях вертолета ЦАГИ 1-ЭА А.М.Черемухина (63,46). Дело было в 4 утра и летал А.М.Черемухин (2666,85).</w:t>
      </w:r>
    </w:p>
    <w:p w14:paraId="14E33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BF79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июля 1932 г. А. М. Черемухин провел показательный полет ЦАГИ-1ЭА для М. Н. Тухачевского, заместителя Народного комиссара по военным и морским делам и группы специалистов наркомата. Вертолет оторвался от земли, завис на высоте 2—3 м, а за</w:t>
      </w:r>
      <w:r w:rsidRPr="00E93F40">
        <w:rPr>
          <w:rFonts w:ascii="Times New Roman" w:hAnsi="Times New Roman"/>
          <w:color w:val="000000" w:themeColor="text1"/>
          <w:sz w:val="16"/>
          <w:szCs w:val="16"/>
        </w:rPr>
        <w:softHyphen/>
        <w:t>тем 10—15 м и перешел на горизонтальный полет, одновременно увеличивая высоту полета до 30—35 м. В заключение А. М. Чере</w:t>
      </w:r>
      <w:r w:rsidRPr="00E93F40">
        <w:rPr>
          <w:rFonts w:ascii="Times New Roman" w:hAnsi="Times New Roman"/>
          <w:color w:val="000000" w:themeColor="text1"/>
          <w:sz w:val="16"/>
          <w:szCs w:val="16"/>
        </w:rPr>
        <w:softHyphen/>
        <w:t>мухин направил вертолет к центру аэродрома, завис над нанесен</w:t>
      </w:r>
      <w:r w:rsidRPr="00E93F40">
        <w:rPr>
          <w:rFonts w:ascii="Times New Roman" w:hAnsi="Times New Roman"/>
          <w:color w:val="000000" w:themeColor="text1"/>
          <w:sz w:val="16"/>
          <w:szCs w:val="16"/>
        </w:rPr>
        <w:softHyphen/>
        <w:t>ным краской на траве кругом диаметром 10—12 м, затем медленно снизился, повернул вертолет носом к наблюдавшим за полетом и плавно опустился в самом центре круга. Следует отметить, что за рубежом подобная летная демонстрация для представителей ВВС была осуществлена только через 10 лет в январе 1942 г. летчиком-испытателем Ч. Моррисом на вертолете Сикорский ХК.-4 по про</w:t>
      </w:r>
      <w:r w:rsidRPr="00E93F40">
        <w:rPr>
          <w:rFonts w:ascii="Times New Roman" w:hAnsi="Times New Roman"/>
          <w:color w:val="000000" w:themeColor="text1"/>
          <w:sz w:val="16"/>
          <w:szCs w:val="16"/>
        </w:rPr>
        <w:softHyphen/>
        <w:t>грамме, специально разработанной И. И. Сикорским, но зато была широко разрекламирована в печати как выдающееся достижение (10736).</w:t>
      </w:r>
    </w:p>
    <w:p w14:paraId="2B9A1F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BC25A6"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xml:space="preserve">28 июля 1932 г. Ворошилов, Каганович, Молотов писали Сталину </w:t>
      </w:r>
    </w:p>
    <w:p w14:paraId="16FD3A0F"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 секретно.</w:t>
      </w:r>
    </w:p>
    <w:p w14:paraId="0BA90262"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u w:val="single"/>
          <w:lang w:eastAsia="ru-RU"/>
        </w:rPr>
        <w:t>Копия.</w:t>
      </w:r>
    </w:p>
    <w:p w14:paraId="6DCD0E2A"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Сочи. Сталину.</w:t>
      </w:r>
    </w:p>
    <w:p w14:paraId="6EA553AC"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дополнение к посланному Вам материалу Барлоу посылаем заключение выделенной нами комиссии по делу Барлоу. Считаем, что заключение и предложения комиссии неприемлемы.</w:t>
      </w:r>
    </w:p>
    <w:p w14:paraId="5787D569"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Со своей стороны предлагаем:</w:t>
      </w:r>
    </w:p>
    <w:p w14:paraId="1112F497"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 Поручить Логановскому заявить Барлоу, что для нас приемлема его идея борьбы за разоружение, но для нас странно, что он смешивает это с вопросом о предвыборной кампании в Америке, тем более, что ему должно быть известно, что мы во внутренние дела других стран и в частности Америки не вмешиваемся.</w:t>
      </w:r>
    </w:p>
    <w:p w14:paraId="1F3DF75C"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 Ни в какие дальнейшие разговоры с Барлоу на политические темы не вступать, переведя все дело на рельсы большей конкретизации его изобретения и возможности его использования.</w:t>
      </w:r>
    </w:p>
    <w:p w14:paraId="2747483C"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3) Ввиду того, что в Америке известно, что Барлоу в СССР, а его политические разговоры здесь подозрительны, считаем целесообразным застраховать себя от провокации, напечатав заметку в «Вечерней Москве» о том, что «в Москву прибыл американский инженер Барлоу, нашумевший в американской прессе своим изобретением в области военной техники такой разрушительной силы, что делает ведение войны невозможным».</w:t>
      </w:r>
    </w:p>
    <w:p w14:paraId="74AAE808"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Просим сообщить Ваше мнение. № 63/1363/ш. Ворошилов, Каганович, Молотов. 28/VII-32 г.</w:t>
      </w:r>
    </w:p>
    <w:p w14:paraId="5B946A9F"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Ф. </w:t>
      </w:r>
      <w:r w:rsidRPr="00E93F40">
        <w:rPr>
          <w:rFonts w:ascii="Times New Roman" w:eastAsia="Times New Roman" w:hAnsi="Times New Roman"/>
          <w:iCs/>
          <w:color w:val="000000" w:themeColor="text1"/>
          <w:sz w:val="16"/>
          <w:szCs w:val="16"/>
          <w:lang w:eastAsia="ru-RU"/>
        </w:rPr>
        <w:t>558. On. П. Д. 78. Л. 95. Подлинник. Машинопись.</w:t>
      </w:r>
    </w:p>
    <w:p w14:paraId="67CB4F5E"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«Заключение об изобретении Барлоу.</w:t>
      </w:r>
    </w:p>
    <w:p w14:paraId="7DB0C1C8"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Изобретение Барлоу представляет собой исключительно большой интерес, позволяя осуществлять бомбардировку глубоко расположенных, недоступных в настоящее время объектов, давая большой разрушительный эффект. Основное достоинство изобретения заключается в том, что оно позволяет достигнуть значительной глубины бомбардирования при относительно небольшом полетном весе системы, что происходит вследствие того, что основной потребитель горючего бомбардировщик уничтожается у цели и для обратного полета горючее необходимо лишь для одномоторного ведущего самолета. Таким образом, для борьбы со значительно удаленными объектами, изобретение Барлоу является исключительно ценным. Обычные бомбардировщики не могут выполнить таких задач. Следовательно, по нормально удаленным целям бомбометание можно вести обычными бомбардировщиками, а по наиболее удаленным — системами Барлоу. В настоящее время борьба против жизненных центров Японии со стороны САСШ возможна, пожалуй, только методами Барлоу. В этом заключается исключительная ценность его изобретения. К недостаткам его надо отнести повышенный вывод из строя бомбардировщиков и моторов. Однако можно будет добиться удешевления этих бомбардировщиков путем уменьшения запасов их прочности и т.д. Помимо ценности изобретения в целом, крайне интересны также методы наведения бомбардировщика на цель, без риска для летчика, рассеивание бомб, конструкция самих бомб и т.п. Мотивы приезда Барлоу в Союз и предложенный им путь использования нами этого приезда еще не совсем ясен. Весьма возможно, что он преследует цель личной наживы посредством увеличения рекламы изобретения, а также хочет дать возможность своим единомышленникам в Америке использовать приезд к нам для предвыборной борьбы против Гувера (против чего не следует возражать). В первом случае свою личную заинтересованность он прикрывает пацифистскими фразами, желая этим получить «моральное право» передать изобретение нам. В учете того большого интереса, который представляет для нас изобретение Барлоу, мы должны максимально пойти навстречу настроениям Барлоу и, создав соответствующую внешнюю форму, поставить себе целью получить полностью это изобретение и привлечь Барлоу к работе над его осуществлением. Для этого мы считаем целесообразным предложить следующее: 1) Осветить в печати пацифистскую цель приезда Барлоу, дабы избежать не исключенной провокации. 2) Послать от имени ЦАГИ или Академии Наук обращение к Гуверу с приглашением поддержать предложение СССР о полном разоружении, мотивировав тем, что новейшие средства борьбы и особенно изобретение Барлоу указывают на неизбежность варварского истребления городов на неограниченной глубине территории, если не последует полного и всеобщего разоружения. 3) Указать Барлоу, что в связи с окончанием заседаний в Женеве, эти мероприятия окажутся наиболее эффективными. 4) Показать Барлоу наиболее интересные стройки и обставить его наиболее радушно и гостеприимно с тем, чтобы завязать с ним прочные связи и, по возможности, купить рабочие чертежи его изобретения. 5) Предложить ЦАГИ и ГАУ в срочном порядке осуществить в опытном образце изобретения Барлоу. Артузов, Жуков, Логановский, Тухачевский. 28.VII.32 г. № № 64/С-65/С, 1364/ш.» (Там же. Л. 96–98). 29 июля Сталин ответил согласием (Там же. Л. 92). См. также документы № 134, 209, 220, 239, 243 (17281).</w:t>
      </w:r>
    </w:p>
    <w:p w14:paraId="0107006F" w14:textId="77777777" w:rsidR="00223785" w:rsidRPr="00E93F40" w:rsidRDefault="00223785"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84F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июля 1932 года Заместитель Народного комиссара по военным и морским делам М.Н. Ту</w:t>
      </w:r>
      <w:r w:rsidRPr="00E93F40">
        <w:rPr>
          <w:rFonts w:ascii="Times New Roman" w:hAnsi="Times New Roman"/>
          <w:color w:val="000000" w:themeColor="text1"/>
          <w:sz w:val="16"/>
          <w:szCs w:val="16"/>
        </w:rPr>
        <w:softHyphen/>
        <w:t>хачевский, который также проявил интерес к испытаниям ЦАГИ 1-ЭА, вместе с группой авиационных специалистов побывал на аэродроме и Черемухин вновь демон</w:t>
      </w:r>
      <w:r w:rsidRPr="00E93F40">
        <w:rPr>
          <w:rFonts w:ascii="Times New Roman" w:hAnsi="Times New Roman"/>
          <w:color w:val="000000" w:themeColor="text1"/>
          <w:sz w:val="16"/>
          <w:szCs w:val="16"/>
        </w:rPr>
        <w:softHyphen/>
        <w:t>стрировал возможности летательного аппарата. Вертолет оторвался от зем</w:t>
      </w:r>
      <w:r w:rsidRPr="00E93F40">
        <w:rPr>
          <w:rFonts w:ascii="Times New Roman" w:hAnsi="Times New Roman"/>
          <w:color w:val="000000" w:themeColor="text1"/>
          <w:sz w:val="16"/>
          <w:szCs w:val="16"/>
        </w:rPr>
        <w:softHyphen/>
        <w:t>ли, завис на высоте 2-3 метров, затем поднялся до 10-15 м вверх и перешел на горизонтальный полет, одновремен</w:t>
      </w:r>
      <w:r w:rsidRPr="00E93F40">
        <w:rPr>
          <w:rFonts w:ascii="Times New Roman" w:hAnsi="Times New Roman"/>
          <w:color w:val="000000" w:themeColor="text1"/>
          <w:sz w:val="16"/>
          <w:szCs w:val="16"/>
        </w:rPr>
        <w:softHyphen/>
        <w:t>но увеличивая высоту полета до 30-35 м. В центре аэродрома вертолет завис над нанесенным краской на траве кру</w:t>
      </w:r>
      <w:r w:rsidRPr="00E93F40">
        <w:rPr>
          <w:rFonts w:ascii="Times New Roman" w:hAnsi="Times New Roman"/>
          <w:color w:val="000000" w:themeColor="text1"/>
          <w:sz w:val="16"/>
          <w:szCs w:val="16"/>
        </w:rPr>
        <w:softHyphen/>
        <w:t>гом диаметром 10-12 м, затем медлен</w:t>
      </w:r>
      <w:r w:rsidRPr="00E93F40">
        <w:rPr>
          <w:rFonts w:ascii="Times New Roman" w:hAnsi="Times New Roman"/>
          <w:color w:val="000000" w:themeColor="text1"/>
          <w:sz w:val="16"/>
          <w:szCs w:val="16"/>
        </w:rPr>
        <w:softHyphen/>
        <w:t>но снизился и плавно опустился в са</w:t>
      </w:r>
      <w:r w:rsidRPr="00E93F40">
        <w:rPr>
          <w:rFonts w:ascii="Times New Roman" w:hAnsi="Times New Roman"/>
          <w:color w:val="000000" w:themeColor="text1"/>
          <w:sz w:val="16"/>
          <w:szCs w:val="16"/>
        </w:rPr>
        <w:softHyphen/>
        <w:t>мом его центре (11401).</w:t>
      </w:r>
    </w:p>
    <w:p w14:paraId="4804B5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BD644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7BD6E2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937D7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июля 1932 танк Т-28 был показан партийному руководству Ле</w:t>
      </w:r>
      <w:r w:rsidRPr="00E93F40">
        <w:rPr>
          <w:rFonts w:ascii="Times New Roman" w:hAnsi="Times New Roman"/>
          <w:color w:val="000000" w:themeColor="text1"/>
          <w:sz w:val="16"/>
          <w:szCs w:val="16"/>
        </w:rPr>
        <w:softHyphen/>
        <w:t>нинграда во главе с С. Кировым (10733,233).</w:t>
      </w:r>
    </w:p>
    <w:p w14:paraId="6E4DD4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45B7E" w14:textId="638BA198"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июля 1932 г. специальная комиссия Совета Труда и Обороны, принимая решение об увеличении производственной программы по товарам широкого потребления, снова подчеркнула возможности промышленности пластических масс в этой области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Учитывая, что в Ленинграде вырабатывалось почти 60% общесоюзной продукции пластических масс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областной комитет партии предложил только что построенному заводу "Комсомольская правда" увеличить годовое задание на 1 млн. рублей. Охтинскому комбинату поручалось поставить необходимый для выработки предметов широкого потребления целлулоид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Всего в 1932 г. народное хозяйство СССР получило свыше 3 500 т пластических масс, тогда как в 1927/28 г. их было выработано менее 300 тонн. За тот же период заводы страны увеличили выпуск, изделий из пластических масс более чем в 7 раз (стоимость их соответственно возросла с 9,6 млн. руб. до 75,1 млн. руб.) (18301).</w:t>
      </w:r>
    </w:p>
    <w:p w14:paraId="6596D39A" w14:textId="33898FF1"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Примерно такими же темпами увеличивалась выработка искусственного волокна: от 200 т в 1928 г. до 2800 т в 1932 году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p>
    <w:p w14:paraId="6640AB30" w14:textId="4A249CF0"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четырех предприятиях промышленности пластмасс было занято 3162 человека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Охтинском химическом комбинате и заводе "Карболит", то есть на двух основных действующих предприятиях треста "Союзхимпластмасс", работало около 2560 человек, причем на каждые 6 - 7 рабочих приходилось по одному инженеру или технику. Партийно-комсомольская прослойка на Охтинском комбинате составляла более 50% всех работников (18301).</w:t>
      </w:r>
    </w:p>
    <w:p w14:paraId="59F42E06" w14:textId="103A38A4" w:rsidR="00245CFB" w:rsidRPr="00E93F40" w:rsidRDefault="00245C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цифра занятых в вискозной промышленности превысила 12 тыс. человек, из них 10656 приходилось на рабочих и учеников, 920 - на инженерно-технический персонал и сотрудников Научно-исследовательского института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Количество специалистов и здесь неуклонно увеличивалось (18301).</w:t>
      </w:r>
    </w:p>
    <w:p w14:paraId="07967101" w14:textId="77777777" w:rsidR="00245CFB" w:rsidRPr="00E93F40" w:rsidRDefault="00245CFB" w:rsidP="00E93F40">
      <w:pPr>
        <w:spacing w:after="0" w:line="240" w:lineRule="auto"/>
        <w:jc w:val="both"/>
        <w:rPr>
          <w:rFonts w:ascii="Times New Roman" w:hAnsi="Times New Roman"/>
          <w:color w:val="000000" w:themeColor="text1"/>
          <w:sz w:val="16"/>
          <w:szCs w:val="16"/>
        </w:rPr>
      </w:pPr>
    </w:p>
    <w:p w14:paraId="3179D827" w14:textId="77777777" w:rsidR="007A20C4" w:rsidRPr="00E93F40" w:rsidRDefault="007A20C4"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28 июля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889/268сс об обеспечении флотским мазутом морских сил Балтийского моря (ГА РФ. Ф. Р?8418. Оп. 28. Д. 1а. Л. 313?314) (12415).</w:t>
      </w:r>
    </w:p>
    <w:p w14:paraId="2A663120" w14:textId="77777777" w:rsidR="007A20C4" w:rsidRPr="00E93F40" w:rsidRDefault="007A20C4" w:rsidP="00E93F40">
      <w:pPr>
        <w:spacing w:after="0" w:line="240" w:lineRule="auto"/>
        <w:jc w:val="both"/>
        <w:rPr>
          <w:rFonts w:ascii="Times New Roman" w:hAnsi="Times New Roman"/>
          <w:color w:val="000000" w:themeColor="text1"/>
          <w:sz w:val="16"/>
          <w:szCs w:val="16"/>
          <w:u w:color="002060"/>
        </w:rPr>
      </w:pPr>
    </w:p>
    <w:p w14:paraId="2D77741D" w14:textId="77777777" w:rsidR="00633D4B" w:rsidRPr="00E93F40" w:rsidRDefault="00633D4B" w:rsidP="00E93F40">
      <w:pPr>
        <w:pStyle w:val="rtejustify"/>
        <w:spacing w:before="0" w:after="0"/>
        <w:rPr>
          <w:color w:val="000000" w:themeColor="text1"/>
          <w:sz w:val="16"/>
          <w:szCs w:val="16"/>
        </w:rPr>
      </w:pPr>
      <w:r w:rsidRPr="00E93F40">
        <w:rPr>
          <w:bCs/>
          <w:color w:val="000000" w:themeColor="text1"/>
          <w:sz w:val="16"/>
          <w:szCs w:val="16"/>
        </w:rPr>
        <w:t>28 июля 1932 г. Ворошилов, Каганович, Молотов — Сталину</w:t>
      </w:r>
    </w:p>
    <w:p w14:paraId="5AAE4E0E"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С. секретно.</w:t>
      </w:r>
    </w:p>
    <w:p w14:paraId="6BF560E6"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u w:val="single"/>
        </w:rPr>
        <w:t>Копия.</w:t>
      </w:r>
    </w:p>
    <w:p w14:paraId="3F935463"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u w:val="single"/>
        </w:rPr>
        <w:t>Шифром.</w:t>
      </w:r>
    </w:p>
    <w:p w14:paraId="1219251F" w14:textId="77777777" w:rsidR="007A20C4" w:rsidRPr="00E93F40" w:rsidRDefault="007A20C4" w:rsidP="00E93F40">
      <w:pPr>
        <w:pStyle w:val="rtecenter"/>
        <w:spacing w:before="0" w:after="0"/>
        <w:jc w:val="both"/>
        <w:rPr>
          <w:color w:val="000000" w:themeColor="text1"/>
          <w:sz w:val="16"/>
          <w:szCs w:val="16"/>
        </w:rPr>
      </w:pPr>
      <w:r w:rsidRPr="00E93F40">
        <w:rPr>
          <w:color w:val="000000" w:themeColor="text1"/>
          <w:sz w:val="16"/>
          <w:szCs w:val="16"/>
        </w:rPr>
        <w:t>Сочи. Сталину.</w:t>
      </w:r>
    </w:p>
    <w:p w14:paraId="69B1D0DA"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 дополнение к посланному Вам материалу Барлоу посылаем заключение выделенной нами комиссии по делу Барлоу</w:t>
      </w:r>
      <w:r w:rsidRPr="00E93F40">
        <w:rPr>
          <w:color w:val="000000" w:themeColor="text1"/>
          <w:sz w:val="16"/>
          <w:szCs w:val="16"/>
          <w:vertAlign w:val="superscript"/>
        </w:rPr>
        <w:t>1</w:t>
      </w:r>
      <w:r w:rsidRPr="00E93F40">
        <w:rPr>
          <w:color w:val="000000" w:themeColor="text1"/>
          <w:sz w:val="16"/>
          <w:szCs w:val="16"/>
        </w:rPr>
        <w:t>. Считаем, что заключение и предложения комиссии неприемлемы.</w:t>
      </w:r>
    </w:p>
    <w:p w14:paraId="65A63D0B"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Со своей стороны предлагаем:</w:t>
      </w:r>
    </w:p>
    <w:p w14:paraId="3580C6E2"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1) Поручить Логановскому заявить Барлоу, что для нас приемлема его идея борьбы за разоружение, но для нас странно, что он смешивает это с вопросом о предвыборной кампании в Америке, тем более, что ему должно быть известно, что мы во внутренние дела других стран и в частности Америки не вмешиваемся.</w:t>
      </w:r>
    </w:p>
    <w:p w14:paraId="285A978E"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2) Ни в какие дальнейшие разговоры с Барлоу на политические темы не вступать, переведя все дело на рельсы большей конкретизации его изобретения и возможности его использования.</w:t>
      </w:r>
    </w:p>
    <w:p w14:paraId="3674F90E"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3) Ввиду того, что в Америке известно, что Барлоу в СССР, а его политические разговоры здесь подозрительны, считаем целесообразным застраховать себя от провокации, напечатав заметку в «Вечерней Москве» о том, что «в Москву прибыл американский инженер Барлоу, нашумевший в американской прессе своим изобретением в области военной техники такой разрушительной силы, что делает ведение войны невозможным».</w:t>
      </w:r>
    </w:p>
    <w:p w14:paraId="40835917"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Просим сообщить Ваше мнение</w:t>
      </w:r>
      <w:r w:rsidRPr="00E93F40">
        <w:rPr>
          <w:color w:val="000000" w:themeColor="text1"/>
          <w:sz w:val="16"/>
          <w:szCs w:val="16"/>
          <w:vertAlign w:val="superscript"/>
        </w:rPr>
        <w:t>2</w:t>
      </w:r>
      <w:r w:rsidRPr="00E93F40">
        <w:rPr>
          <w:color w:val="000000" w:themeColor="text1"/>
          <w:sz w:val="16"/>
          <w:szCs w:val="16"/>
        </w:rPr>
        <w:t>. № 63/1363/ш.</w:t>
      </w:r>
    </w:p>
    <w:p w14:paraId="09FD9A61"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Ворошилов, Каганович, Молотов.</w:t>
      </w:r>
    </w:p>
    <w:p w14:paraId="6118389A"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28/VII-32 г.</w:t>
      </w:r>
    </w:p>
    <w:p w14:paraId="79406314"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«Заключение об изобретении Барлоу.</w:t>
      </w:r>
    </w:p>
    <w:p w14:paraId="3625EF20"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Изобретение Барлоу представляет собой исключительно большой интерес, позволяя осуществлять бомбардировку глубоко расположенных, недоступных в настоящее время объектов, давая большой разрушительный эффект. Основное достоинство изобретения заключается в том, что оно позволяет достигнуть значительной глубины бомбардирования при относительно небольшом полетном весе системы, что происходит вследствие того, что основной потребитель горючего бомбардировщик уничтожается у цели и для обратного полета горючее необходимо лишь для одномоторного ведущего самолета. Таким образом, для борьбы со значительно удаленными объектами, изобретение Барлоу является исключительно ценным. Обычные бомбардировщики не могут выполнить таких задач. Следовательно, по нормально удаленным целям бомбометание можно вести обычными бомбардировщиками, а по наиболее удаленным — системами Барлоу. В настоящее время борьба против жизненных центров Японии со стороны САСШ возможна, пожалуй, только методами Барлоу. В этом заключается исключительная ценность его изобретения. К недостаткам его надо отнести повышенный вывод из строя бомбардировщиков и моторов. Однако можно будет добиться удешевления этих бомбардировщиков путем уменьшения запасов их прочности и т.д. Помимо ценности изобретения в целом, крайне интересны также методы наведения бомбардировщика на цель, без риска для летчика, рассеивание бомб, конструкция самих бомб и т.п. Мотивы приезда Барлоу в Союз и предложенный им путь использования нами этого приезда еще не совсем ясен. Весьма возможно, что он преследует цель личной наживы посредством увеличения рекламы изобретения, а также хочет дать возможность своим единомышленникам в Америке использовать приезд к нам для предвыборной борьбы против Гувера (против чего не следует возражать). В первом случае свою личную заинтересованность он прикрывает пацифистскими фразами, желая этим получить «моральное право» передать изобретение нам. В учете того большого интереса, который представляет для нас изобретение Барлоу, мы должны максимально пойти навстречу настроениям Барлоу и, создав соответствующую внешнюю форму, поставить себе целью получить полностью это изобретение и привлечь Барлоу к работе над его осуществлением. Для этого мы считаем целесообразным предложить следующее: 1) Осветить в печати пацифистскую цель приезда Барлоу, дабы избежать не исключенной провокации. 2) Послать от имени ЦАГИ или Академии Наук обращение к Гуверу с приглашением поддержать предложение СССР о полном разоружении, мотивировав тем, что новейшие средства борьбы и особенно изобретение Барлоу указывают на неизбежность варварского истребления городов на неограниченной глубине территории, если не последует полного и всеобщего разоружения. 3) Указать Барлоу, что в связи с окончанием заседаний в Женеве, эти мероприятия окажутся наиболее эффективными. 4) Показать Барлоу наиболее интересные стройки и обставить его наиболее радушно и гостеприимно с тем, чтобы завязать с ним прочные связи и, по возможности, купить рабочие чертежи его изобретения. 5) Предложить ЦАГИ и ГАУ в срочном порядке осуществить в опытном образце изобретения Барлоу. Артузов, Жуков, Логановский, Тухачевский. 28.VII.32 г. № № 64/с-65/с, 1364/ш.» (Там же. Л. 96–98).</w:t>
      </w:r>
    </w:p>
    <w:p w14:paraId="68537803"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 xml:space="preserve"> 29 июля Сталин ответил согласием (Там же. Л. 92).</w:t>
      </w:r>
    </w:p>
    <w:p w14:paraId="652FFFA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558. Oп. П. Д. 78. Л. 95. Подлинник. Машинопись. </w:t>
      </w:r>
    </w:p>
    <w:p w14:paraId="7D7081F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Сталин и Каганович. Переписка. 1931–1936 гг. Москва: (РОССПЭН), 2001 Стр. 250-251 (12325).</w:t>
      </w:r>
    </w:p>
    <w:p w14:paraId="6036ACB5" w14:textId="77777777" w:rsidR="007A20C4" w:rsidRPr="00E93F40" w:rsidRDefault="007A20C4" w:rsidP="00E93F40">
      <w:pPr>
        <w:spacing w:after="0" w:line="240" w:lineRule="auto"/>
        <w:jc w:val="both"/>
        <w:rPr>
          <w:rFonts w:ascii="Times New Roman" w:hAnsi="Times New Roman"/>
          <w:color w:val="000000" w:themeColor="text1"/>
          <w:sz w:val="16"/>
          <w:szCs w:val="16"/>
        </w:rPr>
      </w:pPr>
    </w:p>
    <w:p w14:paraId="2C8C7CC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49C0D7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BDC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июля 1932 началось первое в истории сквозное плавание л/п «Александр Сибиряков» по СМП за одну навигацию.</w:t>
      </w:r>
    </w:p>
    <w:p w14:paraId="39B05B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28 июля 1932 л/п «А. Сибиряков» под командованием капитана В. И. Воронина вышел из Архангельска. Экспедицию возглавлял О. Ю. Шмидт. Плавание проводилось в связи с научными исследованиями по программе Второго международного полярного года. Пройдя Белое, Баренцево и Карское моря, свободные ото льда, «А. Сибиряков» впервые в истории мореплавания обошел с севера арх. Северная Земля. </w:t>
      </w:r>
    </w:p>
    <w:p w14:paraId="3DA13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августа экспедиция прибыла в б. Тикси. Пополнив запасы угля (первая бункеровка была на о. Диксон), 30 августа судно продолжило плавание на восток, к устью Колымы, взяв на буксир 2 речных парохода. В Восточно-Сибирском море судно встретило тяжелые льды и потерпело аварию — сломались все четыре лопасти гребного винта. Для их замены был создан дифферент на нос путем перемещения 400 т угля и запасов продовольствия. Через шесть суток винт был исправлен, но спустя два дня обломился конец гребного вала. «А. Сибиряков» потерял возможность самостоятельно двигаться, начался дрейф судна во льдах. Но экипаж не пал духом, и как только льды разредило, были поставлены самодельные паруса. Судно двигалось со скоростью 0,5 уз. Героические усилия сибиряковцев увенчались успехом: 1 октября «А. Сибиряков» вышел на чистую воду севернее Берингова прол. Мечта многих поколений мореходов осуществилась: Северный морской путь был пройден в одну навигацию — за 65 дней (11712).</w:t>
      </w:r>
    </w:p>
    <w:p w14:paraId="6D6989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510CE4"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28 июля 1932 «Сибиряков» вышел из Архангельска. Благополучно миновал опасный пролив Вилькицкого и обычно сложные для плавания моря Лаптевых, Восточно-Сибирское. Трудности начались только к востоку от мыса Северного (ныне — мыс Шмидта), так как капитан судна В.И. Воронин не внял рекомендации, полученной с борта ледореза «Литке», находившегося в том же районе. Предпочел идти вдоль берега, пробиваясь сквозь тяжелые льды, а не севернее, по чистой воде (20467).</w:t>
      </w:r>
    </w:p>
    <w:p w14:paraId="14687ECB"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07D4DDCF" w14:textId="77777777" w:rsidR="00C16959" w:rsidRPr="00E93F40" w:rsidRDefault="00C1695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28 июля 1932 года вышел в сквозное плавание из Архангельска во Владивосток ледокольный пароход "Александр Сибиряков", прошедший впервые в истории полярных плаваний Северный морской путь за одну навигацию. Поход "Сибирякова" стал спусковым крючком для освоения Севморпути. Этот поход был очень наукоемким: командой "Сибирякова" проведен сбор первичных данных о течениях, о температурах воды и воздуха, синоптические, геологические, гидрографические исследования. Важным итогом экспедиции стало создание межведомственной структуры по развитию Арктики — Главсевморпути. С момента ее создания, 17 декабря 1932 года, структуру возглавлял руководитель экспедиции на "Александре Сибирякове" Отто Шмидт (21176).</w:t>
      </w:r>
    </w:p>
    <w:p w14:paraId="0C4DFA30" w14:textId="77777777" w:rsidR="00C16959" w:rsidRPr="00E93F40" w:rsidRDefault="00C16959" w:rsidP="00E93F40">
      <w:pPr>
        <w:spacing w:after="0" w:line="240" w:lineRule="auto"/>
        <w:jc w:val="both"/>
        <w:rPr>
          <w:rFonts w:ascii="Times New Roman" w:hAnsi="Times New Roman"/>
          <w:color w:val="000000" w:themeColor="text1"/>
          <w:sz w:val="16"/>
          <w:szCs w:val="16"/>
        </w:rPr>
      </w:pPr>
    </w:p>
    <w:p w14:paraId="04D612EC" w14:textId="77777777" w:rsidR="00633D4B"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3A09392" w14:textId="77777777" w:rsidR="00633D4B" w:rsidRPr="00E93F40" w:rsidRDefault="00633D4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24A057A" w14:textId="77777777" w:rsidR="00633D4B" w:rsidRPr="00E93F40" w:rsidRDefault="00633D4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июля 1932 в ходе перелета восьми самолётов из Аягуза в Урумчи, который состоялся в два этапа, группа перелетела в Урумчи. Оба К-5 летели без посадки, У-2 и Р-1 садились в Шихо для дозаправки. Лидировал группу Волынченко, в целом перелёт прошёл без приключений, лишь один К-5 из-за проблем с мотором садился на вынуж</w:t>
      </w:r>
      <w:r w:rsidRPr="00E93F40">
        <w:rPr>
          <w:rFonts w:ascii="Times New Roman" w:hAnsi="Times New Roman"/>
          <w:color w:val="000000" w:themeColor="text1"/>
          <w:sz w:val="16"/>
          <w:szCs w:val="16"/>
        </w:rPr>
        <w:softHyphen/>
        <w:t>денную. В отчетах также отметили потерю лидером ориентировки на маршруте. В Урумчи группу ждала торжественная встреча, причем по политическим соображе</w:t>
      </w:r>
      <w:r w:rsidRPr="00E93F40">
        <w:rPr>
          <w:rFonts w:ascii="Times New Roman" w:hAnsi="Times New Roman"/>
          <w:color w:val="000000" w:themeColor="text1"/>
          <w:sz w:val="16"/>
          <w:szCs w:val="16"/>
        </w:rPr>
        <w:softHyphen/>
        <w:t>ниям советские граждане на ней не присутствовали. Прилетевших авиаторов до их отъезда в СССР поселили в консульстве (15802).</w:t>
      </w:r>
    </w:p>
    <w:p w14:paraId="4CC1176D" w14:textId="77777777" w:rsidR="00633D4B" w:rsidRPr="00E93F40" w:rsidRDefault="00633D4B" w:rsidP="00E93F40">
      <w:pPr>
        <w:spacing w:after="0" w:line="240" w:lineRule="auto"/>
        <w:jc w:val="both"/>
        <w:rPr>
          <w:rFonts w:ascii="Times New Roman" w:hAnsi="Times New Roman"/>
          <w:color w:val="000000" w:themeColor="text1"/>
          <w:sz w:val="16"/>
          <w:szCs w:val="16"/>
        </w:rPr>
      </w:pPr>
    </w:p>
    <w:p w14:paraId="26AC7EF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28FF02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FCA58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июля 1932 против демонстрации американских ветеранов первой мировой войны, требующих пенсию, использованы войска (4962).</w:t>
      </w:r>
    </w:p>
    <w:p w14:paraId="456780C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C3ACA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3C4620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F0B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июля 1932 г. Институт авиационных моторов (ИАМ) Приказом Наркомата тяжелой переименован в Центральный институт авиационного моторостроения (ЦИАМ). В 1933 г. институту присвоено имя П. И. Баранова, в 1945 г. - награжден орденом Ленина (12102).</w:t>
      </w:r>
    </w:p>
    <w:p w14:paraId="1071BF5D" w14:textId="77777777" w:rsidR="00B57950" w:rsidRPr="00E93F40" w:rsidRDefault="00B57950" w:rsidP="00E93F40">
      <w:pPr>
        <w:spacing w:after="0" w:line="240" w:lineRule="auto"/>
        <w:jc w:val="both"/>
        <w:rPr>
          <w:rStyle w:val="af0"/>
          <w:rFonts w:ascii="Times New Roman" w:hAnsi="Times New Roman"/>
          <w:i w:val="0"/>
          <w:color w:val="000000" w:themeColor="text1"/>
          <w:sz w:val="16"/>
          <w:szCs w:val="16"/>
        </w:rPr>
      </w:pPr>
    </w:p>
    <w:p w14:paraId="76C6FDCA" w14:textId="28124BC8"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29</w:t>
      </w:r>
      <w:r w:rsidR="007C1411" w:rsidRPr="00E93F40">
        <w:rPr>
          <w:rStyle w:val="af0"/>
          <w:rFonts w:ascii="Times New Roman" w:hAnsi="Times New Roman"/>
          <w:i w:val="0"/>
          <w:color w:val="000000" w:themeColor="text1"/>
          <w:sz w:val="16"/>
          <w:szCs w:val="16"/>
        </w:rPr>
        <w:t xml:space="preserve"> </w:t>
      </w:r>
      <w:r w:rsidRPr="00E93F40">
        <w:rPr>
          <w:rStyle w:val="af0"/>
          <w:rFonts w:ascii="Times New Roman" w:hAnsi="Times New Roman"/>
          <w:i w:val="0"/>
          <w:color w:val="000000" w:themeColor="text1"/>
          <w:sz w:val="16"/>
          <w:szCs w:val="16"/>
        </w:rPr>
        <w:t>июля 1932</w:t>
      </w:r>
      <w:r w:rsidR="007C1411" w:rsidRPr="00E93F40">
        <w:rPr>
          <w:rStyle w:val="af0"/>
          <w:rFonts w:ascii="Times New Roman" w:hAnsi="Times New Roman"/>
          <w:i w:val="0"/>
          <w:color w:val="000000" w:themeColor="text1"/>
          <w:sz w:val="16"/>
          <w:szCs w:val="16"/>
        </w:rPr>
        <w:t xml:space="preserve"> </w:t>
      </w:r>
      <w:r w:rsidRPr="00E93F40">
        <w:rPr>
          <w:rStyle w:val="af0"/>
          <w:rFonts w:ascii="Times New Roman" w:hAnsi="Times New Roman"/>
          <w:i w:val="0"/>
          <w:color w:val="000000" w:themeColor="text1"/>
          <w:sz w:val="16"/>
          <w:szCs w:val="16"/>
        </w:rPr>
        <w:t xml:space="preserve">г. </w:t>
      </w:r>
      <w:r w:rsidRPr="00E93F40">
        <w:rPr>
          <w:rFonts w:ascii="Times New Roman" w:hAnsi="Times New Roman"/>
          <w:color w:val="000000" w:themeColor="text1"/>
          <w:sz w:val="16"/>
          <w:szCs w:val="16"/>
        </w:rPr>
        <w:t>Из конъюнктурного обзора Сектора обороны Госплана СССР об итогах развития авиапромышленности СССР в первой пятилетке</w:t>
      </w:r>
    </w:p>
    <w:p w14:paraId="4B0338A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p w14:paraId="55A030E9" w14:textId="77777777" w:rsidR="00B57950" w:rsidRPr="00E93F40" w:rsidRDefault="00B57950" w:rsidP="00E93F40">
      <w:pPr>
        <w:pStyle w:val="rtejustify"/>
        <w:spacing w:before="0" w:after="0"/>
        <w:rPr>
          <w:color w:val="000000" w:themeColor="text1"/>
          <w:sz w:val="16"/>
          <w:szCs w:val="16"/>
        </w:rPr>
      </w:pPr>
      <w:r w:rsidRPr="00E93F40">
        <w:rPr>
          <w:color w:val="000000" w:themeColor="text1"/>
          <w:sz w:val="16"/>
          <w:szCs w:val="16"/>
        </w:rPr>
        <w:t>I.</w:t>
      </w:r>
    </w:p>
    <w:p w14:paraId="7D812BDD"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Промышленное производство самолетов и авиационных моторов за границей, порожденное капитализмом в его империалистической стадии, в своем развитии опиралось на мощную моторостроительную промышленность, в особенности на точное машиностроение и автопромышленность, вследствие чего авиационная промышленность передовых капиталистических стран с самого начала своего возникновения имела почти готовую мощную прослойку высококвалифицированных рабочих и инженерно-технического персонала и достаточно мощные сырьевые и прочие базы снабжения.</w:t>
      </w:r>
    </w:p>
    <w:p w14:paraId="5F7CB997" w14:textId="3C7FE165"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Иначе возникла авиационная промышленность в России. Промышленного производства самолетов и моторов в царской России не существовало. Аграрно-промышленный характер царской России, слабость и отсталость индустриальной базы были могучим препятствием к созданию авиационной промышленности в России. Это препятствие господствовавшие эксплуататорские классы не хотели и не в силах были преодолеть, поэтому, подгоняемые войной 1914</w:t>
      </w:r>
      <w:r w:rsidRPr="00E93F40">
        <w:rPr>
          <w:color w:val="000000" w:themeColor="text1"/>
          <w:sz w:val="16"/>
          <w:szCs w:val="16"/>
        </w:rPr>
        <w:noBreakHyphen/>
        <w:t>1918</w:t>
      </w:r>
      <w:r w:rsidR="007C1411" w:rsidRPr="00E93F40">
        <w:rPr>
          <w:color w:val="000000" w:themeColor="text1"/>
          <w:sz w:val="16"/>
          <w:szCs w:val="16"/>
        </w:rPr>
        <w:t xml:space="preserve"> </w:t>
      </w:r>
      <w:r w:rsidRPr="00E93F40">
        <w:rPr>
          <w:color w:val="000000" w:themeColor="text1"/>
          <w:sz w:val="16"/>
          <w:szCs w:val="16"/>
        </w:rPr>
        <w:t>гг., они создавали свою военную авиацию на основе импорта готовых изделий, создавая внутри России лишь только сборочные мастерские.</w:t>
      </w:r>
    </w:p>
    <w:p w14:paraId="4EE8BCE2"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СССР, «получивши в наследство» отсталую индустриальную базу, не «получил» ни одного самолетостроительного или моторостроительного завода. Промышленное производство самолетов и моторов в России было создано лишь только при диктатуре пролетариата; по сути дела, оно было организовано во время восстановительного периода нэпа.</w:t>
      </w:r>
    </w:p>
    <w:p w14:paraId="51A2FA93"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Следующие цифры выпуска самолетов и моторов по годам достаточно ярко показывают зарождение и рост советской авиапромышленности: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2"/>
        <w:gridCol w:w="1595"/>
        <w:gridCol w:w="1595"/>
        <w:gridCol w:w="1595"/>
        <w:gridCol w:w="1595"/>
        <w:gridCol w:w="1595"/>
        <w:gridCol w:w="1595"/>
      </w:tblGrid>
      <w:tr w:rsidR="00DA227A" w:rsidRPr="00E93F40" w14:paraId="7950624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3B66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8DDC4" w14:textId="6235DF3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1922/23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06DF6" w14:textId="68AD06F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1923/24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75454" w14:textId="44F4CFA8"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1924/25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AEBD0" w14:textId="7178745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5677A" w14:textId="48EA92E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F6FCA" w14:textId="0A865A50"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6C9D3F7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D681E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35F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B236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9B68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C34E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6764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4855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644</w:t>
            </w:r>
          </w:p>
        </w:tc>
      </w:tr>
      <w:tr w:rsidR="00DA227A" w:rsidRPr="00E93F40" w14:paraId="38EEF8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997E2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A16D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BA43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828A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C519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27C7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E026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614</w:t>
            </w:r>
          </w:p>
        </w:tc>
      </w:tr>
    </w:tbl>
    <w:p w14:paraId="42B08011"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Для понимания возникновения и развития советской авиапромышленности в этот период времени необходимо иметь в виду, во-первых, то, что советское машиностроение в восстановительный период нэпа было весьма слабым, и, во-вторых, то, что общепромышленная база была также слабой, в результате чего авиационная промышленность не была обеспечена основными материалами и основными видами сырья, только что начинала создавать свои собственные базы снабжения, в-третьих, отсутствие высокой и средней квалификации рабочей силы, подготовленной точным машиностроением и автопромышленностью; так же обстояло дело и с инженерно-техническим персоналом.</w:t>
      </w:r>
    </w:p>
    <w:p w14:paraId="082DF3BB"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Таковы те особенности организации промышленного производства самолетов и моторов, которые резко сказывались на развитии авиапромышленности во время восстановительного периода и значительно сказывались и в периоде первой пятилетки.</w:t>
      </w:r>
    </w:p>
    <w:p w14:paraId="65EC0175" w14:textId="2FB3E45E"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Общая промышленная база не удовлетворяла потребность молодой, но бурно развивающейся авиационной промышленности как основными исходными материалами, так и полуфабрикатами, и лишь только к началу первой пятилетки (в</w:t>
      </w:r>
      <w:r w:rsidR="007C1411" w:rsidRPr="00E93F40">
        <w:rPr>
          <w:color w:val="000000" w:themeColor="text1"/>
          <w:sz w:val="16"/>
          <w:szCs w:val="16"/>
        </w:rPr>
        <w:t xml:space="preserve"> </w:t>
      </w:r>
      <w:r w:rsidRPr="00E93F40">
        <w:rPr>
          <w:color w:val="000000" w:themeColor="text1"/>
          <w:sz w:val="16"/>
          <w:szCs w:val="16"/>
        </w:rPr>
        <w:t>1928/29</w:t>
      </w:r>
      <w:r w:rsidR="007C1411" w:rsidRPr="00E93F40">
        <w:rPr>
          <w:color w:val="000000" w:themeColor="text1"/>
          <w:sz w:val="16"/>
          <w:szCs w:val="16"/>
        </w:rPr>
        <w:t xml:space="preserve"> </w:t>
      </w:r>
      <w:r w:rsidRPr="00E93F40">
        <w:rPr>
          <w:color w:val="000000" w:themeColor="text1"/>
          <w:sz w:val="16"/>
          <w:szCs w:val="16"/>
        </w:rPr>
        <w:t>г.) в деле обеспечения авиационной промышленности основными материалами и полуфабрикатами наметился некоторый перелом, выразившийся в том, что промышленность организовала ряд производств, продукция которых потребляется авиационной промышленностью, как, например: коленчатые валы, радиаторы для Р</w:t>
      </w:r>
      <w:r w:rsidRPr="00E93F40">
        <w:rPr>
          <w:color w:val="000000" w:themeColor="text1"/>
          <w:sz w:val="16"/>
          <w:szCs w:val="16"/>
        </w:rPr>
        <w:noBreakHyphen/>
        <w:t>1, трубы стальные тонкие, трубы стальные овальные, колеса для самолетов, трубы алюминиевые и дюралевые, альтиметры, сталь шестигранная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д. Это, в свою очередь, соответственно отразилось на номенклатуре импорта, которая выглядела к первому году пятилетки следующим образом: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3"/>
        <w:gridCol w:w="3884"/>
        <w:gridCol w:w="3615"/>
      </w:tblGrid>
      <w:tr w:rsidR="00DA227A" w:rsidRPr="00E93F40" w14:paraId="4096AAB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0CC0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Материалы, импорт которых был прекращен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F2EC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Материалы, оставленные частично в импорте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2A87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Материалы, полн[остью] импортируемые]</w:t>
            </w:r>
          </w:p>
        </w:tc>
      </w:tr>
      <w:tr w:rsidR="00DA227A" w:rsidRPr="00E93F40" w14:paraId="65A9BE3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0DAA4" w14:textId="5393B6B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Коленчатые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0B871" w14:textId="652980F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Шарикоподшипники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0B26D" w14:textId="1D53F3C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Алюминий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чушк[овый]</w:t>
            </w:r>
          </w:p>
        </w:tc>
      </w:tr>
      <w:tr w:rsidR="00DA227A" w:rsidRPr="00E93F40" w14:paraId="7669803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3FE4E" w14:textId="1006E0B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Радиаторы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FCF81" w14:textId="150D88C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Делько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8412F" w14:textId="6C1CBDB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Олово</w:t>
            </w:r>
          </w:p>
        </w:tc>
      </w:tr>
      <w:tr w:rsidR="00DA227A" w:rsidRPr="00E93F40" w14:paraId="37CF952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67A2A7" w14:textId="47D5EE90"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Трубы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стальные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7CC31" w14:textId="4CA78F9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Трубы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1406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Свинец</w:t>
            </w:r>
          </w:p>
        </w:tc>
      </w:tr>
      <w:tr w:rsidR="00DA227A" w:rsidRPr="00E93F40" w14:paraId="3719036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995FFE" w14:textId="7F23F85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Трубы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стальные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овальные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46BE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Фибра круглая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CC54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Цинк</w:t>
            </w:r>
          </w:p>
        </w:tc>
      </w:tr>
      <w:tr w:rsidR="00DA227A" w:rsidRPr="00E93F40" w14:paraId="23AE3D9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401E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Трос стальной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A9879" w14:textId="48E88B9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Никель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165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Медь марганц[евая]</w:t>
            </w:r>
          </w:p>
        </w:tc>
      </w:tr>
      <w:tr w:rsidR="00DA227A" w:rsidRPr="00E93F40" w14:paraId="270BE29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7E450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Лак водоупорный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A7EE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Гибкие валы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30C4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Часы авиац[ионные]</w:t>
            </w:r>
          </w:p>
        </w:tc>
      </w:tr>
      <w:tr w:rsidR="00DA227A" w:rsidRPr="00E93F40" w14:paraId="209EF2B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00243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Заклепки алюминиевые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AA47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Тигли граф[итовые]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3D8C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Сирийск. асф.</w:t>
            </w:r>
          </w:p>
        </w:tc>
      </w:tr>
      <w:tr w:rsidR="00DA227A" w:rsidRPr="00E93F40" w14:paraId="6DF6686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D28D2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Колеса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E0B3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Алмазы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185C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Химпродукты</w:t>
            </w:r>
          </w:p>
        </w:tc>
      </w:tr>
      <w:tr w:rsidR="00DA227A" w:rsidRPr="00E93F40" w14:paraId="498817F3"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1119E8" w14:textId="06EF347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Трубы алюминиевые и дюралевые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B99F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Стекло триплекс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DA96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Барографы</w:t>
            </w:r>
          </w:p>
        </w:tc>
      </w:tr>
      <w:tr w:rsidR="00DA227A" w:rsidRPr="00E93F40" w14:paraId="4FEF826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0BAF14" w14:textId="39124AEC"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Проволока стальная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85807" w14:textId="03FBE54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Проволока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рояльная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5BC2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Магнето</w:t>
            </w:r>
          </w:p>
        </w:tc>
      </w:tr>
      <w:tr w:rsidR="00DA227A" w:rsidRPr="00E93F40" w14:paraId="2E55ADB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6979DD" w14:textId="481DA50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Проволока пружинная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4D6B9" w14:textId="275EDDCB"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E3CF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Медочер. крас.</w:t>
            </w:r>
          </w:p>
        </w:tc>
      </w:tr>
      <w:tr w:rsidR="00DA227A" w:rsidRPr="00E93F40" w14:paraId="034BC23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5309A" w14:textId="3B5666D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Сталь шестигранная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63A7F" w14:textId="07ACACFA"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ED69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Парашюты</w:t>
            </w:r>
          </w:p>
        </w:tc>
      </w:tr>
      <w:tr w:rsidR="00DA227A" w:rsidRPr="00E93F40" w14:paraId="40BFB4D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5892D" w14:textId="428A156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Альтиметры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C3FBE" w14:textId="6B47FEB2"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635E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Арматура</w:t>
            </w:r>
          </w:p>
        </w:tc>
      </w:tr>
      <w:tr w:rsidR="00DA227A" w:rsidRPr="00E93F40" w14:paraId="3CD78BF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89F8FF" w14:textId="3D35228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Указатели скорости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21465" w14:textId="14871E4D"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544A6" w14:textId="4C81AC99"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16B4F2EB"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15FA5" w14:textId="670B081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Лак по дюрамо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EF968" w14:textId="457EC35D"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2FB05" w14:textId="11D204B0"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2D4E842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7DDD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Лак по профилю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64AFD" w14:textId="4C6F99E0"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8321" w14:textId="70C388FB"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512CA8F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31572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Карбид кальций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8BAAC" w14:textId="5BFCC13F"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E33FA" w14:textId="15AC6B0B"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70E93FC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5B70A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Расчалка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CF3B0" w14:textId="38F23D34"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D4B95" w14:textId="0EEB56C3"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66292B8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0E5C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Масло гаргойль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AC799" w14:textId="4FC5EC70"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8120D" w14:textId="2EEF8599"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6745047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78AE3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Лак для магнето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066B2" w14:textId="2F03CEA2"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09806" w14:textId="65AA73A5"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76D8752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C8D40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Аэротермометры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AA3A5" w14:textId="02AEF8B6"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4FD5C" w14:textId="37FB0730"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1C777C8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45FD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Уклономеры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DBE4E" w14:textId="6A53A9D6"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A9233" w14:textId="7F156FE8"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6943894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F1244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Смола Эмма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8A9F3" w14:textId="7B8D0211"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CD567" w14:textId="594F4242"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7EE0B23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F6B08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Трубки латунные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FF4CE" w14:textId="36CFF7CD"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F45AD" w14:textId="4BDE1783"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353EF73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220D4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Аркады никелевые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41BCE" w14:textId="7A11056C"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BA4D3" w14:textId="6BC8658E"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3B2546C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EB42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Клей водоупорный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2E8DB" w14:textId="77AD162F"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BF07A" w14:textId="12E9CB48"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2FFB011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8D43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27. Целлулоиды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274AE" w14:textId="5A73EFF6"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33F94" w14:textId="4A40CB01"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2DEE96F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5672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Фибра листовая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446C7" w14:textId="74C29D1A"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BE575" w14:textId="6FAF8B77"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328B634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1626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Тахометры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A0FB8" w14:textId="07BE1F85"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9E60D" w14:textId="62CF91FD"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106AC51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6B88FC" w14:textId="0CA86CD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Курсодержатели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2F341" w14:textId="032F5B35"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AD7F0" w14:textId="5DA5BB60"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4243396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16DD76" w14:textId="6594239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Свечи авиационные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AF239" w14:textId="219C640A"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B665F" w14:textId="01B77FD9"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2B9198D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E1E0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 Компасы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2C4D0" w14:textId="40F416AC"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54A55" w14:textId="4F63433E"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0832CE3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2250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 Красное дерево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3A06F" w14:textId="548B7FFA"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EBE2D" w14:textId="12E4B416"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bl>
    <w:p w14:paraId="201DF637" w14:textId="4DF8195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Освоение промышленностью ряда новых производств привело к началу пятилетки не только к снятию с импорта ряда номенклатур, но и к изменению структуры в импорте. Так, значительно повысился удельный вес в импорте сырья за счет полуфабрикатов: оно в 1927/28</w:t>
      </w:r>
      <w:r w:rsidR="007C1411" w:rsidRPr="00E93F40">
        <w:rPr>
          <w:color w:val="000000" w:themeColor="text1"/>
          <w:sz w:val="16"/>
          <w:szCs w:val="16"/>
        </w:rPr>
        <w:t xml:space="preserve"> </w:t>
      </w:r>
      <w:r w:rsidRPr="00E93F40">
        <w:rPr>
          <w:color w:val="000000" w:themeColor="text1"/>
          <w:sz w:val="16"/>
          <w:szCs w:val="16"/>
        </w:rPr>
        <w:t>г. впервые составило 35% стоимости всего импорта.</w:t>
      </w:r>
    </w:p>
    <w:p w14:paraId="387B547A"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Вместе с тем приведенный перечень покупаемых за границей [материалов] говорит о том, что по целому ряду основных исходных материалов авиационная промышленность полностью оставалась в зависимости от иностранного рынка, особенно по цветным и редким металлам. Проблема снабжения авиационной промышленности в связи с организацией в СССР ряда новых производств перед первой пятилеткой нисколько не смягчилась, так как потребность обороны и развития народного хозяйства требовали от авиапромышленности исключительно быстрого роста ее производственной пропускной способности, что в свою очередь форсировало спрос авиапромышленности к народному хозяйству. Спрос на наиболее сложные и высококачественные материалы и полуфабрикаты, производство которых представляло большую трудность для н[ашей] промышленности при том ее уровне, на котором она находилась к началу первой пятилетки. Поэтому снабжение отечественным производством, особенно по поковкам, качественной стали и авиатрубам, находилось в весьма напряженном положении.</w:t>
      </w:r>
    </w:p>
    <w:p w14:paraId="6E64A482" w14:textId="60869D21"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Авиационная промышленность к моменту вступления в период первой пятилетки представляла собой слаборазвитый организм, работавший с крупнейшими неполадками, не обеспечивающий ни потребность обороны страны, ни потребность народного хозяйства. Об этом красноречиво говорит низкий уровень производственных мощностей, которым располагала авиационная промышленность. Так, например, все самолето</w:t>
      </w:r>
      <w:r w:rsidRPr="00E93F40">
        <w:rPr>
          <w:color w:val="000000" w:themeColor="text1"/>
          <w:sz w:val="16"/>
          <w:szCs w:val="16"/>
        </w:rPr>
        <w:softHyphen/>
        <w:t>строительные заводы имели пропускную мощность на 1</w:t>
      </w:r>
      <w:r w:rsidR="007C1411" w:rsidRPr="00E93F40">
        <w:rPr>
          <w:color w:val="000000" w:themeColor="text1"/>
          <w:sz w:val="16"/>
          <w:szCs w:val="16"/>
        </w:rPr>
        <w:t xml:space="preserve"> </w:t>
      </w:r>
      <w:r w:rsidRPr="00E93F40">
        <w:rPr>
          <w:color w:val="000000" w:themeColor="text1"/>
          <w:sz w:val="16"/>
          <w:szCs w:val="16"/>
        </w:rPr>
        <w:t>октября 1927</w:t>
      </w:r>
      <w:r w:rsidR="007C1411" w:rsidRPr="00E93F40">
        <w:rPr>
          <w:color w:val="000000" w:themeColor="text1"/>
          <w:sz w:val="16"/>
          <w:szCs w:val="16"/>
        </w:rPr>
        <w:t xml:space="preserve"> </w:t>
      </w:r>
      <w:r w:rsidRPr="00E93F40">
        <w:rPr>
          <w:color w:val="000000" w:themeColor="text1"/>
          <w:sz w:val="16"/>
          <w:szCs w:val="16"/>
        </w:rPr>
        <w:t>г. в одну смену на 940 самолетов в год, 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1150 самолетов в год и мобилизационную пропускную мощность за те же сроки</w:t>
      </w:r>
      <w:r w:rsidR="007C1411" w:rsidRPr="00E93F40">
        <w:rPr>
          <w:color w:val="000000" w:themeColor="text1"/>
          <w:sz w:val="16"/>
          <w:szCs w:val="16"/>
        </w:rPr>
        <w:t xml:space="preserve"> </w:t>
      </w:r>
      <w:r w:rsidRPr="00E93F40">
        <w:rPr>
          <w:color w:val="000000" w:themeColor="text1"/>
          <w:sz w:val="16"/>
          <w:szCs w:val="16"/>
        </w:rPr>
        <w:t>— 1880 и 1980. Моторостроительные заводы имели пропускную мощность в одну смену на 1</w:t>
      </w:r>
      <w:r w:rsidR="007C1411" w:rsidRPr="00E93F40">
        <w:rPr>
          <w:color w:val="000000" w:themeColor="text1"/>
          <w:sz w:val="16"/>
          <w:szCs w:val="16"/>
        </w:rPr>
        <w:t xml:space="preserve"> </w:t>
      </w:r>
      <w:r w:rsidRPr="00E93F40">
        <w:rPr>
          <w:color w:val="000000" w:themeColor="text1"/>
          <w:sz w:val="16"/>
          <w:szCs w:val="16"/>
        </w:rPr>
        <w:t>октября 1927</w:t>
      </w:r>
      <w:r w:rsidR="007C1411" w:rsidRPr="00E93F40">
        <w:rPr>
          <w:color w:val="000000" w:themeColor="text1"/>
          <w:sz w:val="16"/>
          <w:szCs w:val="16"/>
        </w:rPr>
        <w:t xml:space="preserve"> </w:t>
      </w:r>
      <w:r w:rsidRPr="00E93F40">
        <w:rPr>
          <w:color w:val="000000" w:themeColor="text1"/>
          <w:sz w:val="16"/>
          <w:szCs w:val="16"/>
        </w:rPr>
        <w:t>г. 525</w:t>
      </w:r>
      <w:r w:rsidR="007C1411" w:rsidRPr="00E93F40">
        <w:rPr>
          <w:color w:val="000000" w:themeColor="text1"/>
          <w:sz w:val="16"/>
          <w:szCs w:val="16"/>
        </w:rPr>
        <w:t xml:space="preserve"> </w:t>
      </w:r>
      <w:r w:rsidRPr="00E93F40">
        <w:rPr>
          <w:color w:val="000000" w:themeColor="text1"/>
          <w:sz w:val="16"/>
          <w:szCs w:val="16"/>
        </w:rPr>
        <w:t>моторов в год, 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916 моторов и мобилизационную мощность на те же сроки соответственно 1207 и 1981 моторов в год.</w:t>
      </w:r>
    </w:p>
    <w:p w14:paraId="2608076A" w14:textId="1C8FD423"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Такое положение ухудшалось еще тем, что наличное оборудование использовалось плохо</w:t>
      </w:r>
      <w:r w:rsidR="007C1411" w:rsidRPr="00E93F40">
        <w:rPr>
          <w:color w:val="000000" w:themeColor="text1"/>
          <w:sz w:val="16"/>
          <w:szCs w:val="16"/>
        </w:rPr>
        <w:t xml:space="preserve"> </w:t>
      </w:r>
      <w:r w:rsidRPr="00E93F40">
        <w:rPr>
          <w:color w:val="000000" w:themeColor="text1"/>
          <w:sz w:val="16"/>
          <w:szCs w:val="16"/>
        </w:rPr>
        <w:t>— это вело к большому расхождению между возможной отдачей от производственных мощностей и фактическим выпуском продукции. Так, разница между производственными мощностями и выпуском продукции составила по самолетам: в 1926/27</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325</w:t>
      </w:r>
      <w:r w:rsidR="007C1411" w:rsidRPr="00E93F40">
        <w:rPr>
          <w:color w:val="000000" w:themeColor="text1"/>
          <w:sz w:val="16"/>
          <w:szCs w:val="16"/>
        </w:rPr>
        <w:t xml:space="preserve"> </w:t>
      </w:r>
      <w:r w:rsidRPr="00E93F40">
        <w:rPr>
          <w:color w:val="000000" w:themeColor="text1"/>
          <w:sz w:val="16"/>
          <w:szCs w:val="16"/>
        </w:rPr>
        <w:t>самолетов, или 38,8 % от мощности заводов и в 1927/28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506</w:t>
      </w:r>
      <w:r w:rsidR="007C1411" w:rsidRPr="00E93F40">
        <w:rPr>
          <w:color w:val="000000" w:themeColor="text1"/>
          <w:sz w:val="16"/>
          <w:szCs w:val="16"/>
        </w:rPr>
        <w:t xml:space="preserve"> </w:t>
      </w:r>
      <w:r w:rsidRPr="00E93F40">
        <w:rPr>
          <w:color w:val="000000" w:themeColor="text1"/>
          <w:sz w:val="16"/>
          <w:szCs w:val="16"/>
        </w:rPr>
        <w:t>самолетов, или 44 % от мощности заводов; по моторам: в 1926/27</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163</w:t>
      </w:r>
      <w:r w:rsidR="007C1411" w:rsidRPr="00E93F40">
        <w:rPr>
          <w:color w:val="000000" w:themeColor="text1"/>
          <w:sz w:val="16"/>
          <w:szCs w:val="16"/>
        </w:rPr>
        <w:t xml:space="preserve"> </w:t>
      </w:r>
      <w:r w:rsidRPr="00E93F40">
        <w:rPr>
          <w:color w:val="000000" w:themeColor="text1"/>
          <w:sz w:val="16"/>
          <w:szCs w:val="16"/>
        </w:rPr>
        <w:t>мотора, или 31,1</w:t>
      </w:r>
      <w:r w:rsidRPr="00E93F40">
        <w:rPr>
          <w:rStyle w:val="af0"/>
          <w:i w:val="0"/>
          <w:color w:val="000000" w:themeColor="text1"/>
          <w:sz w:val="16"/>
          <w:szCs w:val="16"/>
        </w:rPr>
        <w:t xml:space="preserve">% </w:t>
      </w:r>
      <w:r w:rsidRPr="00E93F40">
        <w:rPr>
          <w:color w:val="000000" w:themeColor="text1"/>
          <w:sz w:val="16"/>
          <w:szCs w:val="16"/>
        </w:rPr>
        <w:t>от мощности моторостроительных заводов и в 1927/28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302</w:t>
      </w:r>
      <w:r w:rsidR="007C1411" w:rsidRPr="00E93F40">
        <w:rPr>
          <w:color w:val="000000" w:themeColor="text1"/>
          <w:sz w:val="16"/>
          <w:szCs w:val="16"/>
        </w:rPr>
        <w:t xml:space="preserve"> </w:t>
      </w:r>
      <w:r w:rsidRPr="00E93F40">
        <w:rPr>
          <w:color w:val="000000" w:themeColor="text1"/>
          <w:sz w:val="16"/>
          <w:szCs w:val="16"/>
        </w:rPr>
        <w:t>мотора, или 39,5% от мощности тех же заводов.</w:t>
      </w:r>
    </w:p>
    <w:p w14:paraId="1D112E79" w14:textId="20E03ED5"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Все это приводило к весьма низкому уровню обеспечения потребностей НКВМ, которые на военный год составляли по самолетам: в 1926/27</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2963</w:t>
      </w:r>
      <w:r w:rsidR="007C1411" w:rsidRPr="00E93F40">
        <w:rPr>
          <w:color w:val="000000" w:themeColor="text1"/>
          <w:sz w:val="16"/>
          <w:szCs w:val="16"/>
        </w:rPr>
        <w:t xml:space="preserve"> </w:t>
      </w:r>
      <w:r w:rsidRPr="00E93F40">
        <w:rPr>
          <w:color w:val="000000" w:themeColor="text1"/>
          <w:sz w:val="16"/>
          <w:szCs w:val="16"/>
        </w:rPr>
        <w:t>самолета и в 1927/28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3066</w:t>
      </w:r>
      <w:r w:rsidR="007C1411" w:rsidRPr="00E93F40">
        <w:rPr>
          <w:color w:val="000000" w:themeColor="text1"/>
          <w:sz w:val="16"/>
          <w:szCs w:val="16"/>
        </w:rPr>
        <w:t xml:space="preserve"> </w:t>
      </w:r>
      <w:r w:rsidRPr="00E93F40">
        <w:rPr>
          <w:color w:val="000000" w:themeColor="text1"/>
          <w:sz w:val="16"/>
          <w:szCs w:val="16"/>
        </w:rPr>
        <w:t>самолетов и по моторам: в 1926/27</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3062</w:t>
      </w:r>
      <w:r w:rsidR="007C1411" w:rsidRPr="00E93F40">
        <w:rPr>
          <w:color w:val="000000" w:themeColor="text1"/>
          <w:sz w:val="16"/>
          <w:szCs w:val="16"/>
        </w:rPr>
        <w:t xml:space="preserve"> </w:t>
      </w:r>
      <w:r w:rsidRPr="00E93F40">
        <w:rPr>
          <w:color w:val="000000" w:themeColor="text1"/>
          <w:sz w:val="16"/>
          <w:szCs w:val="16"/>
        </w:rPr>
        <w:t>мотора, в 1927/28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3145</w:t>
      </w:r>
      <w:r w:rsidR="007C1411" w:rsidRPr="00E93F40">
        <w:rPr>
          <w:color w:val="000000" w:themeColor="text1"/>
          <w:sz w:val="16"/>
          <w:szCs w:val="16"/>
        </w:rPr>
        <w:t xml:space="preserve"> </w:t>
      </w:r>
      <w:r w:rsidRPr="00E93F40">
        <w:rPr>
          <w:color w:val="000000" w:themeColor="text1"/>
          <w:sz w:val="16"/>
          <w:szCs w:val="16"/>
        </w:rPr>
        <w:t>моторов. При таком наличии производственных мощностей и использовании их реальность обеспечения потребностей НКВМ выражалась по самолетам: в 1926/27</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в 43,5%, в 1927/28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42,5%, а по моторам: в 1926/27</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30,5 %, в 1927/28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43%.</w:t>
      </w:r>
    </w:p>
    <w:p w14:paraId="37309DF1" w14:textId="5BE2A0D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Кроме того, авиационная промышленность выпускала некомплектную продукцию, так как соотношение между производственными мощностями моторостроительных заводов, с одной стороны, и самолетостроительных</w:t>
      </w:r>
      <w:r w:rsidR="007C1411" w:rsidRPr="00E93F40">
        <w:rPr>
          <w:color w:val="000000" w:themeColor="text1"/>
          <w:sz w:val="16"/>
          <w:szCs w:val="16"/>
        </w:rPr>
        <w:t xml:space="preserve"> </w:t>
      </w:r>
      <w:r w:rsidRPr="00E93F40">
        <w:rPr>
          <w:color w:val="000000" w:themeColor="text1"/>
          <w:sz w:val="16"/>
          <w:szCs w:val="16"/>
        </w:rPr>
        <w:t>— с другой было явно ненормальным; отсюда громадный разрыв между количеством выпускаемых самолетов и моторов, короче говоря, выпускаемые самолеты были в весьма недостаточной степени обеспечены моторами. Если соотношение производственных мощностей моторных заводов к мощностям самолетостроительных заводов давало в 1926/27</w:t>
      </w:r>
      <w:r w:rsidR="007C1411" w:rsidRPr="00E93F40">
        <w:rPr>
          <w:color w:val="000000" w:themeColor="text1"/>
          <w:sz w:val="16"/>
          <w:szCs w:val="16"/>
        </w:rPr>
        <w:t xml:space="preserve"> </w:t>
      </w:r>
      <w:r w:rsidRPr="00E93F40">
        <w:rPr>
          <w:color w:val="000000" w:themeColor="text1"/>
          <w:sz w:val="16"/>
          <w:szCs w:val="16"/>
        </w:rPr>
        <w:t>г. 0,56, в 1927/28</w:t>
      </w:r>
      <w:r w:rsidR="007C1411" w:rsidRPr="00E93F40">
        <w:rPr>
          <w:color w:val="000000" w:themeColor="text1"/>
          <w:sz w:val="16"/>
          <w:szCs w:val="16"/>
        </w:rPr>
        <w:t xml:space="preserve"> </w:t>
      </w:r>
      <w:r w:rsidRPr="00E93F40">
        <w:rPr>
          <w:color w:val="000000" w:themeColor="text1"/>
          <w:sz w:val="16"/>
          <w:szCs w:val="16"/>
        </w:rPr>
        <w:t>г. 0,79, то это обстоятельство не смогло не отразиться соответственным образом на отношении количества выпущенных моторов к количеству выпущенных самолетов. Это последнее отношение за пятилетку (с 1923/24 по 1927/28</w:t>
      </w:r>
      <w:r w:rsidR="007C1411" w:rsidRPr="00E93F40">
        <w:rPr>
          <w:color w:val="000000" w:themeColor="text1"/>
          <w:sz w:val="16"/>
          <w:szCs w:val="16"/>
        </w:rPr>
        <w:t xml:space="preserve"> </w:t>
      </w:r>
      <w:r w:rsidRPr="00E93F40">
        <w:rPr>
          <w:color w:val="000000" w:themeColor="text1"/>
          <w:sz w:val="16"/>
          <w:szCs w:val="16"/>
        </w:rPr>
        <w:t>г.) выражается в цифре 0,75; по годам же этого периода на один выпущенный самолет выпускалось моторов, в 1923/24</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0,4; в 1924/25</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0,5; в 1925/26</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 в 1926/27</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0,63; в 1927/28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0,92. Это вело к тому, что самолетный парк не был обеспечен моторами, и к необходимости обеспечения самолетов моторами через импорт.</w:t>
      </w:r>
    </w:p>
    <w:p w14:paraId="5F27F30D" w14:textId="6284C8C1"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Все же авиационная промышленность вступила в первую пятилетку, имея основного капитала 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46</w:t>
      </w:r>
      <w:r w:rsidR="007C1411" w:rsidRPr="00E93F40">
        <w:rPr>
          <w:color w:val="000000" w:themeColor="text1"/>
          <w:sz w:val="16"/>
          <w:szCs w:val="16"/>
        </w:rPr>
        <w:t xml:space="preserve"> </w:t>
      </w:r>
      <w:r w:rsidRPr="00E93F40">
        <w:rPr>
          <w:color w:val="000000" w:themeColor="text1"/>
          <w:sz w:val="16"/>
          <w:szCs w:val="16"/>
        </w:rPr>
        <w:t>959</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накопив, правда, небольшое ядро квалифицированной рабочей силы и около 1</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чел. инженерно-технического персонала, имея некоторый опыт (очень слабый) в деле конструирования самолетов и успехи в деле выпуска самолетов и моторов собственной конструкции, как АТ</w:t>
      </w:r>
      <w:r w:rsidRPr="00E93F40">
        <w:rPr>
          <w:color w:val="000000" w:themeColor="text1"/>
          <w:sz w:val="16"/>
          <w:szCs w:val="16"/>
        </w:rPr>
        <w:noBreakHyphen/>
        <w:t>3, К</w:t>
      </w:r>
      <w:r w:rsidRPr="00E93F40">
        <w:rPr>
          <w:color w:val="000000" w:themeColor="text1"/>
          <w:sz w:val="16"/>
          <w:szCs w:val="16"/>
        </w:rPr>
        <w:noBreakHyphen/>
        <w:t>1, К</w:t>
      </w:r>
      <w:r w:rsidRPr="00E93F40">
        <w:rPr>
          <w:color w:val="000000" w:themeColor="text1"/>
          <w:sz w:val="16"/>
          <w:szCs w:val="16"/>
        </w:rPr>
        <w:noBreakHyphen/>
        <w:t>3, К</w:t>
      </w:r>
      <w:r w:rsidRPr="00E93F40">
        <w:rPr>
          <w:color w:val="000000" w:themeColor="text1"/>
          <w:sz w:val="16"/>
          <w:szCs w:val="16"/>
        </w:rPr>
        <w:noBreakHyphen/>
        <w:t>4, шестиместных ПМИ, АИТ</w:t>
      </w:r>
      <w:r w:rsidRPr="00E93F40">
        <w:rPr>
          <w:color w:val="000000" w:themeColor="text1"/>
          <w:sz w:val="16"/>
          <w:szCs w:val="16"/>
        </w:rPr>
        <w:noBreakHyphen/>
        <w:t>4 и других, овладев производством ряда типов самолетов и моторов.</w:t>
      </w:r>
    </w:p>
    <w:p w14:paraId="1AA42506" w14:textId="38DA998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Учитывая оборонное и народнохозяйственное значение авиапромышленности и ее низкий уровень, рядом постановлений правительства перед авиапромышленностью были поставлены на период первой пятилетки следующие задачи: а)</w:t>
      </w:r>
      <w:r w:rsidR="007C1411" w:rsidRPr="00E93F40">
        <w:rPr>
          <w:color w:val="000000" w:themeColor="text1"/>
          <w:sz w:val="16"/>
          <w:szCs w:val="16"/>
        </w:rPr>
        <w:t xml:space="preserve"> </w:t>
      </w:r>
      <w:r w:rsidRPr="00E93F40">
        <w:rPr>
          <w:color w:val="000000" w:themeColor="text1"/>
          <w:sz w:val="16"/>
          <w:szCs w:val="16"/>
        </w:rPr>
        <w:t>довести объем производственных мощностей авиапромышленности и их использования до уровня, обеспечивающего покрытие потребностей НКВМора и значительного удовлетворения нужд гражданской авиации путем постройки новых предприятий, расширения и реконструкции существующих предприятий и доведения процента выпуска от производственных мощностей заводов по самолетам до 67%, по моторам до 83% к 1931/32</w:t>
      </w:r>
      <w:r w:rsidR="007C1411" w:rsidRPr="00E93F40">
        <w:rPr>
          <w:color w:val="000000" w:themeColor="text1"/>
          <w:sz w:val="16"/>
          <w:szCs w:val="16"/>
        </w:rPr>
        <w:t xml:space="preserve"> </w:t>
      </w:r>
      <w:r w:rsidRPr="00E93F40">
        <w:rPr>
          <w:color w:val="000000" w:themeColor="text1"/>
          <w:sz w:val="16"/>
          <w:szCs w:val="16"/>
        </w:rPr>
        <w:t>г.; б)</w:t>
      </w:r>
      <w:r w:rsidR="007C1411" w:rsidRPr="00E93F40">
        <w:rPr>
          <w:color w:val="000000" w:themeColor="text1"/>
          <w:sz w:val="16"/>
          <w:szCs w:val="16"/>
        </w:rPr>
        <w:t xml:space="preserve"> </w:t>
      </w:r>
      <w:r w:rsidRPr="00E93F40">
        <w:rPr>
          <w:color w:val="000000" w:themeColor="text1"/>
          <w:sz w:val="16"/>
          <w:szCs w:val="16"/>
        </w:rPr>
        <w:t>форсировать развитие опытного строительства и опытного дела, чрезвычайно отставшего от общего уровня развития авиапромышленности, широко используя заграничный опыт; в)</w:t>
      </w:r>
      <w:r w:rsidR="007C1411" w:rsidRPr="00E93F40">
        <w:rPr>
          <w:color w:val="000000" w:themeColor="text1"/>
          <w:sz w:val="16"/>
          <w:szCs w:val="16"/>
        </w:rPr>
        <w:t xml:space="preserve"> </w:t>
      </w:r>
      <w:r w:rsidRPr="00E93F40">
        <w:rPr>
          <w:color w:val="000000" w:themeColor="text1"/>
          <w:sz w:val="16"/>
          <w:szCs w:val="16"/>
        </w:rPr>
        <w:t>широкое развитие подготовки кадров, обеспечивающих быстрое развитие авиапромышленности; г)</w:t>
      </w:r>
      <w:r w:rsidR="007C1411" w:rsidRPr="00E93F40">
        <w:rPr>
          <w:color w:val="000000" w:themeColor="text1"/>
          <w:sz w:val="16"/>
          <w:szCs w:val="16"/>
        </w:rPr>
        <w:t xml:space="preserve"> </w:t>
      </w:r>
      <w:r w:rsidRPr="00E93F40">
        <w:rPr>
          <w:color w:val="000000" w:themeColor="text1"/>
          <w:sz w:val="16"/>
          <w:szCs w:val="16"/>
        </w:rPr>
        <w:t>развитие собственной снабженческой базы; д)</w:t>
      </w:r>
      <w:r w:rsidR="007C1411" w:rsidRPr="00E93F40">
        <w:rPr>
          <w:color w:val="000000" w:themeColor="text1"/>
          <w:sz w:val="16"/>
          <w:szCs w:val="16"/>
        </w:rPr>
        <w:t xml:space="preserve"> </w:t>
      </w:r>
      <w:r w:rsidRPr="00E93F40">
        <w:rPr>
          <w:color w:val="000000" w:themeColor="text1"/>
          <w:sz w:val="16"/>
          <w:szCs w:val="16"/>
        </w:rPr>
        <w:t>переход от кустарных методов производства к современным.</w:t>
      </w:r>
    </w:p>
    <w:p w14:paraId="262D0EDA"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 соответствии с указанными задачами и пятилетней заявкой НКВМора и гражданской авиации пятилетним планом ВАО намечалось следующее развитие авиапромышленности.</w:t>
      </w:r>
    </w:p>
    <w:p w14:paraId="299F9976" w14:textId="77777777" w:rsidR="007A20C4" w:rsidRPr="00E93F40" w:rsidRDefault="007A20C4" w:rsidP="00E93F40">
      <w:pPr>
        <w:pStyle w:val="ae"/>
        <w:spacing w:before="0" w:after="0"/>
        <w:jc w:val="both"/>
        <w:rPr>
          <w:color w:val="000000" w:themeColor="text1"/>
          <w:sz w:val="16"/>
          <w:szCs w:val="16"/>
        </w:rPr>
      </w:pPr>
      <w:r w:rsidRPr="00E93F40">
        <w:rPr>
          <w:rStyle w:val="a7"/>
          <w:b w:val="0"/>
          <w:color w:val="000000" w:themeColor="text1"/>
          <w:sz w:val="16"/>
          <w:szCs w:val="16"/>
        </w:rPr>
        <w:t>По развитию мощностей заводов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2"/>
        <w:gridCol w:w="1412"/>
        <w:gridCol w:w="1412"/>
        <w:gridCol w:w="1412"/>
        <w:gridCol w:w="1412"/>
        <w:gridCol w:w="1412"/>
      </w:tblGrid>
      <w:tr w:rsidR="00DA227A" w:rsidRPr="00E93F40" w14:paraId="52167CC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F1CA8" w14:textId="0D578E0D"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3C3D" w14:textId="2DEF678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2B685" w14:textId="355CCA5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0D54D" w14:textId="0ED9FAF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39B4D" w14:textId="646B00B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9B8E2" w14:textId="7BF68B8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45359A16" w14:textId="77777777" w:rsidTr="003F2C79">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3BD0355" w14:textId="57CE0F2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w:t>
            </w:r>
            <w:r w:rsidRPr="00E93F40">
              <w:rPr>
                <w:rStyle w:val="a7"/>
                <w:rFonts w:ascii="Times New Roman" w:hAnsi="Times New Roman"/>
                <w:b w:val="0"/>
                <w:color w:val="000000" w:themeColor="text1"/>
                <w:sz w:val="16"/>
                <w:szCs w:val="16"/>
              </w:rPr>
              <w:t>)</w:t>
            </w:r>
            <w:r w:rsidR="007C1411" w:rsidRPr="00E93F40">
              <w:rPr>
                <w:rStyle w:val="a7"/>
                <w:rFonts w:ascii="Times New Roman" w:hAnsi="Times New Roman"/>
                <w:b w:val="0"/>
                <w:color w:val="000000" w:themeColor="text1"/>
                <w:sz w:val="16"/>
                <w:szCs w:val="16"/>
              </w:rPr>
              <w:t xml:space="preserve"> </w:t>
            </w:r>
            <w:r w:rsidRPr="00E93F40">
              <w:rPr>
                <w:rStyle w:val="a7"/>
                <w:rFonts w:ascii="Times New Roman" w:hAnsi="Times New Roman"/>
                <w:b w:val="0"/>
                <w:color w:val="000000" w:themeColor="text1"/>
                <w:sz w:val="16"/>
                <w:szCs w:val="16"/>
              </w:rPr>
              <w:t>[По] самолетостроительным</w:t>
            </w:r>
          </w:p>
        </w:tc>
      </w:tr>
      <w:tr w:rsidR="00DA227A" w:rsidRPr="00E93F40" w14:paraId="19E83BA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51F66" w14:textId="7C8A939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26AF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F4B1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FBF3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86ED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1D6B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2300</w:t>
            </w:r>
          </w:p>
        </w:tc>
      </w:tr>
      <w:tr w:rsidR="00DA227A" w:rsidRPr="00E93F40" w14:paraId="5A0FA4A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51642" w14:textId="049CE03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3E2B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CEFA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BDF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19BB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EFC3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709</w:t>
            </w:r>
          </w:p>
        </w:tc>
      </w:tr>
      <w:tr w:rsidR="00DA227A" w:rsidRPr="00E93F40" w14:paraId="6A98F80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D45A2" w14:textId="3FF4C09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527F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A75C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5780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BC1B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2B93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586</w:t>
            </w:r>
          </w:p>
        </w:tc>
      </w:tr>
      <w:tr w:rsidR="00DA227A" w:rsidRPr="00E93F40" w14:paraId="2035A9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01E74" w14:textId="041D5F3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D0FE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8AB0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5DA4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47CA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E581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w:t>
            </w:r>
          </w:p>
        </w:tc>
      </w:tr>
      <w:tr w:rsidR="00DA227A" w:rsidRPr="00E93F40" w14:paraId="67AEF4A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A4CF8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C87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91CD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4A3B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8CEF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8916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232</w:t>
            </w:r>
          </w:p>
        </w:tc>
      </w:tr>
      <w:tr w:rsidR="00DA227A" w:rsidRPr="00E93F40" w14:paraId="5A290FB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EDB68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FB0B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BDA6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6DE3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899D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1774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2142</w:t>
            </w:r>
          </w:p>
        </w:tc>
      </w:tr>
      <w:tr w:rsidR="00DA227A" w:rsidRPr="00E93F40" w14:paraId="7966882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DD41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EA86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EA79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1477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E9B3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616D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579</w:t>
            </w:r>
          </w:p>
        </w:tc>
      </w:tr>
      <w:tr w:rsidR="00DA227A" w:rsidRPr="00E93F40" w14:paraId="57780C0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2F2FF" w14:textId="034693C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Мобилиз[ационная]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19F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D35C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3E29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96F0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5897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7098</w:t>
            </w:r>
          </w:p>
        </w:tc>
      </w:tr>
      <w:tr w:rsidR="00DA227A" w:rsidRPr="00E93F40" w14:paraId="7073ED2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7221F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Технич[еская] 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CD34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1EB2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76FB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5A7E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842B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7140</w:t>
            </w:r>
          </w:p>
        </w:tc>
      </w:tr>
      <w:tr w:rsidR="00DA227A" w:rsidRPr="00E93F40" w14:paraId="66795490" w14:textId="77777777" w:rsidTr="003F2C79">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A5DAB1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б) [По] моторостроит[ельным]</w:t>
            </w:r>
          </w:p>
        </w:tc>
      </w:tr>
      <w:tr w:rsidR="00DA227A" w:rsidRPr="00E93F40" w14:paraId="4A358CE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E15E4" w14:textId="2145AA85"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AB62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AC65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7DF1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5FC8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67CF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2385</w:t>
            </w:r>
          </w:p>
        </w:tc>
      </w:tr>
      <w:tr w:rsidR="00DA227A" w:rsidRPr="00E93F40" w14:paraId="654F77E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6AA9D3" w14:textId="376FD73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1B07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B6A2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E28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2B53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E37C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3350</w:t>
            </w:r>
          </w:p>
        </w:tc>
      </w:tr>
      <w:tr w:rsidR="00DA227A" w:rsidRPr="00E93F40" w14:paraId="5447112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B6ECB9" w14:textId="43CDF67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443F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FE42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1417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9C8D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A345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1725</w:t>
            </w:r>
          </w:p>
        </w:tc>
      </w:tr>
      <w:tr w:rsidR="00DA227A" w:rsidRPr="00E93F40" w14:paraId="1A8B64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6AB2D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новый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B53C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A785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7D3D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77D7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5BA5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27D2149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8BAC2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Мобилиз[ационная] 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95B2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A6CC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C4CC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9A45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26CB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9460</w:t>
            </w:r>
          </w:p>
        </w:tc>
      </w:tr>
      <w:tr w:rsidR="00DA227A" w:rsidRPr="00E93F40" w14:paraId="6705223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6C66B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Технич[еская] 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DDC2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414F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371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CD0B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ECDA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9600</w:t>
            </w:r>
          </w:p>
        </w:tc>
      </w:tr>
    </w:tbl>
    <w:p w14:paraId="4AFF676F" w14:textId="432463AB"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Такое развитие мощностей означало увеличение их по самолетам в 3,7</w:t>
      </w:r>
      <w:r w:rsidR="007C1411" w:rsidRPr="00E93F40">
        <w:rPr>
          <w:color w:val="000000" w:themeColor="text1"/>
          <w:sz w:val="16"/>
          <w:szCs w:val="16"/>
        </w:rPr>
        <w:t xml:space="preserve"> </w:t>
      </w:r>
      <w:r w:rsidRPr="00E93F40">
        <w:rPr>
          <w:color w:val="000000" w:themeColor="text1"/>
          <w:sz w:val="16"/>
          <w:szCs w:val="16"/>
        </w:rPr>
        <w:t>раза, по моторам в 4,8</w:t>
      </w:r>
      <w:r w:rsidR="007C1411" w:rsidRPr="00E93F40">
        <w:rPr>
          <w:color w:val="000000" w:themeColor="text1"/>
          <w:sz w:val="16"/>
          <w:szCs w:val="16"/>
        </w:rPr>
        <w:t xml:space="preserve"> </w:t>
      </w:r>
      <w:r w:rsidRPr="00E93F40">
        <w:rPr>
          <w:color w:val="000000" w:themeColor="text1"/>
          <w:sz w:val="16"/>
          <w:szCs w:val="16"/>
        </w:rPr>
        <w:t>раза, полностью обеспечивало пятилетнюю заявку Наркомвоенмора и с 1929/30</w:t>
      </w:r>
      <w:r w:rsidR="007C1411" w:rsidRPr="00E93F40">
        <w:rPr>
          <w:color w:val="000000" w:themeColor="text1"/>
          <w:sz w:val="16"/>
          <w:szCs w:val="16"/>
        </w:rPr>
        <w:t xml:space="preserve"> </w:t>
      </w:r>
      <w:r w:rsidRPr="00E93F40">
        <w:rPr>
          <w:color w:val="000000" w:themeColor="text1"/>
          <w:sz w:val="16"/>
          <w:szCs w:val="16"/>
        </w:rPr>
        <w:t>г. создавало перелом к правильному соотношению мотора и самолета.</w:t>
      </w:r>
    </w:p>
    <w:p w14:paraId="432FEF08" w14:textId="77777777" w:rsidR="007A20C4" w:rsidRPr="00E93F40" w:rsidRDefault="007A20C4" w:rsidP="00E93F40">
      <w:pPr>
        <w:pStyle w:val="ae"/>
        <w:spacing w:before="0" w:after="0"/>
        <w:jc w:val="both"/>
        <w:rPr>
          <w:color w:val="000000" w:themeColor="text1"/>
          <w:sz w:val="16"/>
          <w:szCs w:val="16"/>
        </w:rPr>
      </w:pPr>
      <w:r w:rsidRPr="00E93F40">
        <w:rPr>
          <w:rStyle w:val="a7"/>
          <w:b w:val="0"/>
          <w:color w:val="000000" w:themeColor="text1"/>
          <w:sz w:val="16"/>
          <w:szCs w:val="16"/>
        </w:rPr>
        <w:t>По выпуску продукции (в мирное время)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29"/>
        <w:gridCol w:w="1326"/>
        <w:gridCol w:w="1326"/>
        <w:gridCol w:w="1326"/>
        <w:gridCol w:w="1326"/>
        <w:gridCol w:w="1326"/>
        <w:gridCol w:w="1063"/>
      </w:tblGrid>
      <w:tr w:rsidR="00DA227A" w:rsidRPr="00E93F40" w14:paraId="15D7FE2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F1DA5A" w14:textId="1CF31FC3"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27D5E" w14:textId="0D165D1C"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074B5" w14:textId="1DAD116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A43CE" w14:textId="7EA7760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82003" w14:textId="301078A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0D554" w14:textId="15D11F4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4C0DF" w14:textId="369452D5"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w:t>
            </w:r>
          </w:p>
        </w:tc>
      </w:tr>
      <w:tr w:rsidR="00DA227A" w:rsidRPr="00E93F40" w14:paraId="02307DC6" w14:textId="77777777" w:rsidTr="003F2C79">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1A3F1C6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а) [По] самолетостроительным заводам</w:t>
            </w:r>
          </w:p>
        </w:tc>
      </w:tr>
      <w:tr w:rsidR="00DA227A" w:rsidRPr="00E93F40" w14:paraId="481080FB"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55C1D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УВВС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91AD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75F2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A4C1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5B79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00BC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531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13A44C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10AA8" w14:textId="207B21D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граж[данской]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290F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04DF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AD3D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DCF4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5870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AB04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B16F6C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C5E3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Осоавиахима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7C72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065E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525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DC46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3589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A57C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6E289D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0585E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E104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1085¹*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38A9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9E84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FCE1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154D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FAC5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8011²*</w:t>
            </w:r>
          </w:p>
        </w:tc>
      </w:tr>
      <w:tr w:rsidR="00DA227A" w:rsidRPr="00E93F40" w14:paraId="01B2611B" w14:textId="77777777" w:rsidTr="003F2C79">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BCE3AC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lastRenderedPageBreak/>
              <w:t>б) По моторостр[оительным] заводам</w:t>
            </w:r>
          </w:p>
        </w:tc>
      </w:tr>
      <w:tr w:rsidR="00DA227A" w:rsidRPr="00E93F40" w14:paraId="7EF8A65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43F6B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УВВС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D97C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4024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87A5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9606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4F7C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1B63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4A9C11D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1308B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граж[данской]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208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6E94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F596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48DE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51C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0F82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1D3149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64FE4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Осоавиахима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BEB3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AAB3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8275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A08D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66C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1089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E1459F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CADF2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0526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72FB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D31B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98EA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6D9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31A4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12 558</w:t>
            </w:r>
          </w:p>
        </w:tc>
      </w:tr>
    </w:tbl>
    <w:p w14:paraId="0DCBD42A" w14:textId="4A0D383D"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Таким образом намечался темп роста выпуска продукции (принимая 1927/28</w:t>
      </w:r>
      <w:r w:rsidR="007C1411" w:rsidRPr="00E93F40">
        <w:rPr>
          <w:color w:val="000000" w:themeColor="text1"/>
          <w:sz w:val="16"/>
          <w:szCs w:val="16"/>
        </w:rPr>
        <w:t xml:space="preserve"> </w:t>
      </w:r>
      <w:r w:rsidRPr="00E93F40">
        <w:rPr>
          <w:color w:val="000000" w:themeColor="text1"/>
          <w:sz w:val="16"/>
          <w:szCs w:val="16"/>
        </w:rPr>
        <w:t>г. за 100) по самолетам: 1928/29</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168,5%;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210,7%; 1930/31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210,7%; 1931/32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249,8%; 1932/33</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405,4%; по моторам (принимая 1927/28</w:t>
      </w:r>
      <w:r w:rsidR="007C1411" w:rsidRPr="00E93F40">
        <w:rPr>
          <w:color w:val="000000" w:themeColor="text1"/>
          <w:sz w:val="16"/>
          <w:szCs w:val="16"/>
        </w:rPr>
        <w:t xml:space="preserve"> </w:t>
      </w:r>
      <w:r w:rsidRPr="00E93F40">
        <w:rPr>
          <w:color w:val="000000" w:themeColor="text1"/>
          <w:sz w:val="16"/>
          <w:szCs w:val="16"/>
        </w:rPr>
        <w:t>г. за 100): 1928/29</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151,6%;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293,2%; 1930/31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380%; 1931/32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462,9%; 1932/33</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756,7%.</w:t>
      </w:r>
    </w:p>
    <w:p w14:paraId="5F96FFA9" w14:textId="64B223EA"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Однако, несмотря на быстрый рост выпуска продукции, разрыв между производственными мощностями заводов и выпуском продукции оставался большим. Так, по самолетостроительным заводам выпуск от производственных мощностей по пятилетней наметке составлял: в 1928/29</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42%, в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46%, в 1931/32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33%, в 1932/33</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28%. То же</w:t>
      </w:r>
      <w:r w:rsidR="007C1411" w:rsidRPr="00E93F40">
        <w:rPr>
          <w:color w:val="000000" w:themeColor="text1"/>
          <w:sz w:val="16"/>
          <w:szCs w:val="16"/>
        </w:rPr>
        <w:t xml:space="preserve"> </w:t>
      </w:r>
      <w:r w:rsidRPr="00E93F40">
        <w:rPr>
          <w:color w:val="000000" w:themeColor="text1"/>
          <w:sz w:val="16"/>
          <w:szCs w:val="16"/>
        </w:rPr>
        <w:t>— по моторостроительным заводам: в 1928/29</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42%, в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54%, в 1931/32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36%, в 1932/33</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49%. Мы имеем несколько лучшее положение моторостроительных заводов, чем у самолетостроительных, но все же намеченный план ВАО не ставил задачей реализовать директиву правительства о доведении использования мощностей по самолетостроительным заводам до ...%³*, по моторостроительным</w:t>
      </w:r>
      <w:r w:rsidR="007C1411" w:rsidRPr="00E93F40">
        <w:rPr>
          <w:color w:val="000000" w:themeColor="text1"/>
          <w:sz w:val="16"/>
          <w:szCs w:val="16"/>
        </w:rPr>
        <w:t xml:space="preserve"> </w:t>
      </w:r>
      <w:r w:rsidRPr="00E93F40">
        <w:rPr>
          <w:color w:val="000000" w:themeColor="text1"/>
          <w:sz w:val="16"/>
          <w:szCs w:val="16"/>
        </w:rPr>
        <w:t>— до ...% и оставляет использование мощностей, а следовательно, и основного капитала на весьма низком уровне. Для обеспечения таких мощностей и выпуска намеченной продукции объем капитальных вложений намечался следующий (в</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42"/>
        <w:gridCol w:w="1256"/>
        <w:gridCol w:w="1256"/>
        <w:gridCol w:w="1256"/>
        <w:gridCol w:w="1256"/>
        <w:gridCol w:w="1256"/>
        <w:gridCol w:w="1200"/>
      </w:tblGrid>
      <w:tr w:rsidR="00DA227A" w:rsidRPr="00E93F40" w14:paraId="4D6E265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ADD45" w14:textId="4E063BEC"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788F7" w14:textId="0383BB4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E50F6" w14:textId="4E0474D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4B021" w14:textId="41F459B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5B5C2" w14:textId="63B0D475"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AB02A" w14:textId="7AD8584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5092F" w14:textId="7E489A5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w:t>
            </w:r>
          </w:p>
        </w:tc>
      </w:tr>
      <w:tr w:rsidR="00DA227A" w:rsidRPr="00E93F40" w14:paraId="6A9F7A4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C0CDE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75CD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1D37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24 524,5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94B0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00F2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138A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8674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71 176,5</w:t>
            </w:r>
          </w:p>
        </w:tc>
      </w:tr>
      <w:tr w:rsidR="00DA227A" w:rsidRPr="00E93F40" w14:paraId="0CD6373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3651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AE98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D60F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CF55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DB55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D28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34B8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44 200</w:t>
            </w:r>
          </w:p>
        </w:tc>
      </w:tr>
      <w:tr w:rsidR="00DA227A" w:rsidRPr="00E93F40" w14:paraId="4388AC2B"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110E6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Жилстроит[ельство]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23B9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4F63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62DB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5875F" w14:textId="55B2AD3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72DF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A35A3" w14:textId="71FEFD0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645,2</w:t>
            </w:r>
          </w:p>
        </w:tc>
      </w:tr>
      <w:tr w:rsidR="00DA227A" w:rsidRPr="00E93F40" w14:paraId="428A7CB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41D47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1F50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23F7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42 116,5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AD43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66 230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B023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1BEF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FDA6" w14:textId="2E792E6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021,7</w:t>
            </w:r>
          </w:p>
        </w:tc>
      </w:tr>
      <w:tr w:rsidR="00DA227A" w:rsidRPr="00E93F40" w14:paraId="2197186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DEF675" w14:textId="71B3DCF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промстрои[тельство]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1C40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99B4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34 246,5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7CE9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48 960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E174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EF79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E74E4" w14:textId="339B8AD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376</w:t>
            </w:r>
          </w:p>
        </w:tc>
      </w:tr>
    </w:tbl>
    <w:p w14:paraId="3C9035DB" w14:textId="25FF5CF1"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 производительности труда предположено было поднять выработку рабочих, принимая 1928/29</w:t>
      </w:r>
      <w:r w:rsidR="007C1411" w:rsidRPr="00E93F40">
        <w:rPr>
          <w:color w:val="000000" w:themeColor="text1"/>
          <w:sz w:val="16"/>
          <w:szCs w:val="16"/>
        </w:rPr>
        <w:t xml:space="preserve"> </w:t>
      </w:r>
      <w:r w:rsidRPr="00E93F40">
        <w:rPr>
          <w:color w:val="000000" w:themeColor="text1"/>
          <w:sz w:val="16"/>
          <w:szCs w:val="16"/>
        </w:rPr>
        <w:t>г. за 100, в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+34, 1930/31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+54, 1931/32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+82, 1932/33</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+100. Норму расхода рабочей силы на единицу изделия в среднем намечено было снизить (1928/29</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=100): в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на 25%, 1930/31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37</w:t>
      </w:r>
      <w:r w:rsidRPr="00E93F40">
        <w:rPr>
          <w:rStyle w:val="af0"/>
          <w:i w:val="0"/>
          <w:color w:val="000000" w:themeColor="text1"/>
          <w:sz w:val="16"/>
          <w:szCs w:val="16"/>
        </w:rPr>
        <w:t xml:space="preserve">%, </w:t>
      </w:r>
      <w:r w:rsidRPr="00E93F40">
        <w:rPr>
          <w:color w:val="000000" w:themeColor="text1"/>
          <w:sz w:val="16"/>
          <w:szCs w:val="16"/>
        </w:rPr>
        <w:t>1931/32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45%, 1932/33</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50</w:t>
      </w:r>
      <w:r w:rsidR="007C1411" w:rsidRPr="00E93F40">
        <w:rPr>
          <w:color w:val="000000" w:themeColor="text1"/>
          <w:sz w:val="16"/>
          <w:szCs w:val="16"/>
        </w:rPr>
        <w:t xml:space="preserve"> </w:t>
      </w:r>
      <w:r w:rsidRPr="00E93F40">
        <w:rPr>
          <w:rStyle w:val="af0"/>
          <w:i w:val="0"/>
          <w:color w:val="000000" w:themeColor="text1"/>
          <w:sz w:val="16"/>
          <w:szCs w:val="16"/>
        </w:rPr>
        <w:t>%.</w:t>
      </w:r>
    </w:p>
    <w:p w14:paraId="036EF7DE"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Реализация этих наметок пятилетнего плана все же означала крупнейший скачок авиапромышленности, превращавший ее в крупный фактор всего народнохозяйственного организма и в один из решающих факторов обороны СССР.</w:t>
      </w:r>
    </w:p>
    <w:p w14:paraId="5327A2F0" w14:textId="77777777" w:rsidR="00B57950" w:rsidRPr="00E93F40" w:rsidRDefault="00B57950" w:rsidP="00E93F40">
      <w:pPr>
        <w:pStyle w:val="rtejustify"/>
        <w:spacing w:before="0" w:after="0"/>
        <w:rPr>
          <w:color w:val="000000" w:themeColor="text1"/>
          <w:sz w:val="16"/>
          <w:szCs w:val="16"/>
        </w:rPr>
      </w:pPr>
      <w:r w:rsidRPr="00E93F40">
        <w:rPr>
          <w:color w:val="000000" w:themeColor="text1"/>
          <w:sz w:val="16"/>
          <w:szCs w:val="16"/>
        </w:rPr>
        <w:t>II.</w:t>
      </w:r>
    </w:p>
    <w:p w14:paraId="32A2C03B" w14:textId="2C17BD4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Развитие авиапромышленности СССР в первой пятилетке привело к тому, что авиация стала одним из решающих факторов защиты СССР от нападения, быстро превращается в одно из важнейших массовых средств транспортирования и связи, и что особенно характерно для советской авиации</w:t>
      </w:r>
      <w:r w:rsidR="007C1411" w:rsidRPr="00E93F40">
        <w:rPr>
          <w:color w:val="000000" w:themeColor="text1"/>
          <w:sz w:val="16"/>
          <w:szCs w:val="16"/>
        </w:rPr>
        <w:t xml:space="preserve"> </w:t>
      </w:r>
      <w:r w:rsidRPr="00E93F40">
        <w:rPr>
          <w:color w:val="000000" w:themeColor="text1"/>
          <w:sz w:val="16"/>
          <w:szCs w:val="16"/>
        </w:rPr>
        <w:t>— это то, что она особенно быстро в связи с вступлением СССР в период социализма и завершения построения фундамента социалистической экономики становится также одним из важнейших средств труда: участие в процессах производства сельского хозяйства (посев, борьба с вредителями), аэрофотограмметрический метод разведки природных богатств, охрана лесов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д.</w:t>
      </w:r>
    </w:p>
    <w:p w14:paraId="28B5789E"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Вместе с тем авиационная промышленность имеет и крупнейшие недочеты как по линии качественного выполнения плана, так и по линии количественной. Следующие коренные факты характеризуют развитие авиапромышленности со всеми ее достижениями и недостатками:</w:t>
      </w:r>
    </w:p>
    <w:p w14:paraId="54E10F6D" w14:textId="0110D55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Действующих главнейших предприятий к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авиапромышленности имела самолетостроительных 4 (№</w:t>
      </w:r>
      <w:r w:rsidR="007C1411" w:rsidRPr="00E93F40">
        <w:rPr>
          <w:color w:val="000000" w:themeColor="text1"/>
          <w:sz w:val="16"/>
          <w:szCs w:val="16"/>
        </w:rPr>
        <w:t xml:space="preserve"> </w:t>
      </w:r>
      <w:r w:rsidRPr="00E93F40">
        <w:rPr>
          <w:color w:val="000000" w:themeColor="text1"/>
          <w:sz w:val="16"/>
          <w:szCs w:val="16"/>
        </w:rPr>
        <w:t>1, 22, 23 и 31),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действующих предприятий она имеет 5, а к 1</w:t>
      </w:r>
      <w:r w:rsidR="007C1411" w:rsidRPr="00E93F40">
        <w:rPr>
          <w:color w:val="000000" w:themeColor="text1"/>
          <w:sz w:val="16"/>
          <w:szCs w:val="16"/>
        </w:rPr>
        <w:t xml:space="preserve"> </w:t>
      </w:r>
      <w:r w:rsidRPr="00E93F40">
        <w:rPr>
          <w:color w:val="000000" w:themeColor="text1"/>
          <w:sz w:val="16"/>
          <w:szCs w:val="16"/>
        </w:rPr>
        <w:t>января 1933</w:t>
      </w:r>
      <w:r w:rsidR="007C1411" w:rsidRPr="00E93F40">
        <w:rPr>
          <w:color w:val="000000" w:themeColor="text1"/>
          <w:sz w:val="16"/>
          <w:szCs w:val="16"/>
        </w:rPr>
        <w:t xml:space="preserve"> </w:t>
      </w:r>
      <w:r w:rsidRPr="00E93F40">
        <w:rPr>
          <w:color w:val="000000" w:themeColor="text1"/>
          <w:sz w:val="16"/>
          <w:szCs w:val="16"/>
        </w:rPr>
        <w:t>г. их она будет иметь 8. Если число заводов по сравнению с началом пятилетки удвоилось, то их мощность, составляющая 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1980</w:t>
      </w:r>
      <w:r w:rsidR="007C1411" w:rsidRPr="00E93F40">
        <w:rPr>
          <w:color w:val="000000" w:themeColor="text1"/>
          <w:sz w:val="16"/>
          <w:szCs w:val="16"/>
        </w:rPr>
        <w:t xml:space="preserve"> </w:t>
      </w:r>
      <w:r w:rsidRPr="00E93F40">
        <w:rPr>
          <w:color w:val="000000" w:themeColor="text1"/>
          <w:sz w:val="16"/>
          <w:szCs w:val="16"/>
        </w:rPr>
        <w:t>самолетов, к 1</w:t>
      </w:r>
      <w:r w:rsidR="007C1411" w:rsidRPr="00E93F40">
        <w:rPr>
          <w:color w:val="000000" w:themeColor="text1"/>
          <w:sz w:val="16"/>
          <w:szCs w:val="16"/>
        </w:rPr>
        <w:t xml:space="preserve"> </w:t>
      </w:r>
      <w:r w:rsidRPr="00E93F40">
        <w:rPr>
          <w:color w:val="000000" w:themeColor="text1"/>
          <w:sz w:val="16"/>
          <w:szCs w:val="16"/>
        </w:rPr>
        <w:t>января 1933</w:t>
      </w:r>
      <w:r w:rsidR="007C1411" w:rsidRPr="00E93F40">
        <w:rPr>
          <w:color w:val="000000" w:themeColor="text1"/>
          <w:sz w:val="16"/>
          <w:szCs w:val="16"/>
        </w:rPr>
        <w:t xml:space="preserve"> </w:t>
      </w:r>
      <w:r w:rsidRPr="00E93F40">
        <w:rPr>
          <w:color w:val="000000" w:themeColor="text1"/>
          <w:sz w:val="16"/>
          <w:szCs w:val="16"/>
        </w:rPr>
        <w:t>г. дает цифру в 9,1</w:t>
      </w:r>
      <w:r w:rsidR="007C1411" w:rsidRPr="00E93F40">
        <w:rPr>
          <w:color w:val="000000" w:themeColor="text1"/>
          <w:sz w:val="16"/>
          <w:szCs w:val="16"/>
        </w:rPr>
        <w:t xml:space="preserve"> </w:t>
      </w:r>
      <w:r w:rsidRPr="00E93F40">
        <w:rPr>
          <w:color w:val="000000" w:themeColor="text1"/>
          <w:sz w:val="16"/>
          <w:szCs w:val="16"/>
        </w:rPr>
        <w:t>тыс. самолетов, т.</w:t>
      </w:r>
      <w:r w:rsidR="007C1411" w:rsidRPr="00E93F40">
        <w:rPr>
          <w:color w:val="000000" w:themeColor="text1"/>
          <w:sz w:val="16"/>
          <w:szCs w:val="16"/>
        </w:rPr>
        <w:t xml:space="preserve"> </w:t>
      </w:r>
      <w:r w:rsidRPr="00E93F40">
        <w:rPr>
          <w:color w:val="000000" w:themeColor="text1"/>
          <w:sz w:val="16"/>
          <w:szCs w:val="16"/>
        </w:rPr>
        <w:t>е. увеличение в 4,6</w:t>
      </w:r>
      <w:r w:rsidR="007C1411" w:rsidRPr="00E93F40">
        <w:rPr>
          <w:color w:val="000000" w:themeColor="text1"/>
          <w:sz w:val="16"/>
          <w:szCs w:val="16"/>
        </w:rPr>
        <w:t xml:space="preserve"> </w:t>
      </w:r>
      <w:r w:rsidRPr="00E93F40">
        <w:rPr>
          <w:color w:val="000000" w:themeColor="text1"/>
          <w:sz w:val="16"/>
          <w:szCs w:val="16"/>
        </w:rPr>
        <w:t>раза. Моторостроительных 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было 3 (№</w:t>
      </w:r>
      <w:r w:rsidR="007C1411" w:rsidRPr="00E93F40">
        <w:rPr>
          <w:color w:val="000000" w:themeColor="text1"/>
          <w:sz w:val="16"/>
          <w:szCs w:val="16"/>
        </w:rPr>
        <w:t xml:space="preserve"> </w:t>
      </w:r>
      <w:r w:rsidRPr="00E93F40">
        <w:rPr>
          <w:color w:val="000000" w:themeColor="text1"/>
          <w:sz w:val="16"/>
          <w:szCs w:val="16"/>
        </w:rPr>
        <w:t>26, 29 и 24),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те же 3, на 1</w:t>
      </w:r>
      <w:r w:rsidR="007C1411" w:rsidRPr="00E93F40">
        <w:rPr>
          <w:color w:val="000000" w:themeColor="text1"/>
          <w:sz w:val="16"/>
          <w:szCs w:val="16"/>
        </w:rPr>
        <w:t xml:space="preserve"> </w:t>
      </w:r>
      <w:r w:rsidRPr="00E93F40">
        <w:rPr>
          <w:color w:val="000000" w:themeColor="text1"/>
          <w:sz w:val="16"/>
          <w:szCs w:val="16"/>
        </w:rPr>
        <w:t>января 1933</w:t>
      </w:r>
      <w:r w:rsidR="007C1411" w:rsidRPr="00E93F40">
        <w:rPr>
          <w:color w:val="000000" w:themeColor="text1"/>
          <w:sz w:val="16"/>
          <w:szCs w:val="16"/>
        </w:rPr>
        <w:t xml:space="preserve"> </w:t>
      </w:r>
      <w:r w:rsidRPr="00E93F40">
        <w:rPr>
          <w:color w:val="000000" w:themeColor="text1"/>
          <w:sz w:val="16"/>
          <w:szCs w:val="16"/>
        </w:rPr>
        <w:t>г. будет</w:t>
      </w:r>
      <w:r w:rsidR="007C1411" w:rsidRPr="00E93F40">
        <w:rPr>
          <w:color w:val="000000" w:themeColor="text1"/>
          <w:sz w:val="16"/>
          <w:szCs w:val="16"/>
        </w:rPr>
        <w:t xml:space="preserve"> </w:t>
      </w:r>
      <w:r w:rsidRPr="00E93F40">
        <w:rPr>
          <w:color w:val="000000" w:themeColor="text1"/>
          <w:sz w:val="16"/>
          <w:szCs w:val="16"/>
        </w:rPr>
        <w:t>4. Весьма скромный рост числа моторостроительных заводов в первой пятилетке происходил наряду с чрезвычайно бурным ростом этих заводов по мощностям. Так, если моторостроительные заводы к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имели мощности в 1981</w:t>
      </w:r>
      <w:r w:rsidR="007C1411" w:rsidRPr="00E93F40">
        <w:rPr>
          <w:color w:val="000000" w:themeColor="text1"/>
          <w:sz w:val="16"/>
          <w:szCs w:val="16"/>
        </w:rPr>
        <w:t xml:space="preserve"> </w:t>
      </w:r>
      <w:r w:rsidRPr="00E93F40">
        <w:rPr>
          <w:color w:val="000000" w:themeColor="text1"/>
          <w:sz w:val="16"/>
          <w:szCs w:val="16"/>
        </w:rPr>
        <w:t>мотор, то к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они имеют мощность на 9,7</w:t>
      </w:r>
      <w:r w:rsidR="007C1411" w:rsidRPr="00E93F40">
        <w:rPr>
          <w:color w:val="000000" w:themeColor="text1"/>
          <w:sz w:val="16"/>
          <w:szCs w:val="16"/>
        </w:rPr>
        <w:t xml:space="preserve"> </w:t>
      </w:r>
      <w:r w:rsidRPr="00E93F40">
        <w:rPr>
          <w:color w:val="000000" w:themeColor="text1"/>
          <w:sz w:val="16"/>
          <w:szCs w:val="16"/>
        </w:rPr>
        <w:t>тыс. моторов, а к 1</w:t>
      </w:r>
      <w:r w:rsidR="007C1411" w:rsidRPr="00E93F40">
        <w:rPr>
          <w:color w:val="000000" w:themeColor="text1"/>
          <w:sz w:val="16"/>
          <w:szCs w:val="16"/>
        </w:rPr>
        <w:t xml:space="preserve"> </w:t>
      </w:r>
      <w:r w:rsidRPr="00E93F40">
        <w:rPr>
          <w:color w:val="000000" w:themeColor="text1"/>
          <w:sz w:val="16"/>
          <w:szCs w:val="16"/>
        </w:rPr>
        <w:t>января 1933</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на 22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моторов.</w:t>
      </w:r>
    </w:p>
    <w:p w14:paraId="5919B41E" w14:textId="4226DC90"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 подсобным предприятиям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авиапромышленность имеет заводы: №</w:t>
      </w:r>
      <w:r w:rsidR="007C1411" w:rsidRPr="00E93F40">
        <w:rPr>
          <w:color w:val="000000" w:themeColor="text1"/>
          <w:sz w:val="16"/>
          <w:szCs w:val="16"/>
        </w:rPr>
        <w:t xml:space="preserve"> </w:t>
      </w:r>
      <w:r w:rsidRPr="00E93F40">
        <w:rPr>
          <w:color w:val="000000" w:themeColor="text1"/>
          <w:sz w:val="16"/>
          <w:szCs w:val="16"/>
        </w:rPr>
        <w:t>28, производящий лыжи и винты, №</w:t>
      </w:r>
      <w:r w:rsidR="007C1411" w:rsidRPr="00E93F40">
        <w:rPr>
          <w:color w:val="000000" w:themeColor="text1"/>
          <w:sz w:val="16"/>
          <w:szCs w:val="16"/>
        </w:rPr>
        <w:t xml:space="preserve"> </w:t>
      </w:r>
      <w:r w:rsidRPr="00E93F40">
        <w:rPr>
          <w:color w:val="000000" w:themeColor="text1"/>
          <w:sz w:val="16"/>
          <w:szCs w:val="16"/>
        </w:rPr>
        <w:t>36 лакокрасочный, остальные два (33 и 20) являются новыми предприятиями, строительство которых на полную мощность еще не закончено. Оба эти предприятия (заводы №</w:t>
      </w:r>
      <w:r w:rsidR="007C1411" w:rsidRPr="00E93F40">
        <w:rPr>
          <w:color w:val="000000" w:themeColor="text1"/>
          <w:sz w:val="16"/>
          <w:szCs w:val="16"/>
        </w:rPr>
        <w:t xml:space="preserve"> </w:t>
      </w:r>
      <w:r w:rsidRPr="00E93F40">
        <w:rPr>
          <w:color w:val="000000" w:themeColor="text1"/>
          <w:sz w:val="16"/>
          <w:szCs w:val="16"/>
        </w:rPr>
        <w:t>20 и 33) представляют для авиапромышленности крупное значение, так как разгружают авиа- и мотозаводы от выработки целого ряда деталей и карбюраторов, что позволяет им сосредоточить внимание на производстве основной продукции.</w:t>
      </w:r>
    </w:p>
    <w:p w14:paraId="4A1FD5D7" w14:textId="7B5AE41C"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«Старые» заводы, т.</w:t>
      </w:r>
      <w:r w:rsidR="007C1411" w:rsidRPr="00E93F40">
        <w:rPr>
          <w:color w:val="000000" w:themeColor="text1"/>
          <w:sz w:val="16"/>
          <w:szCs w:val="16"/>
        </w:rPr>
        <w:t xml:space="preserve"> </w:t>
      </w:r>
      <w:r w:rsidRPr="00E93F40">
        <w:rPr>
          <w:color w:val="000000" w:themeColor="text1"/>
          <w:sz w:val="16"/>
          <w:szCs w:val="16"/>
        </w:rPr>
        <w:t>е. построенные и начавшие работать до 1928/29</w:t>
      </w:r>
      <w:r w:rsidR="007C1411" w:rsidRPr="00E93F40">
        <w:rPr>
          <w:color w:val="000000" w:themeColor="text1"/>
          <w:sz w:val="16"/>
          <w:szCs w:val="16"/>
        </w:rPr>
        <w:t xml:space="preserve"> </w:t>
      </w:r>
      <w:r w:rsidRPr="00E93F40">
        <w:rPr>
          <w:color w:val="000000" w:themeColor="text1"/>
          <w:sz w:val="16"/>
          <w:szCs w:val="16"/>
        </w:rPr>
        <w:t>г. как по самолетам, так и по моторам являлись на протяжении всей первой пятилетки основными поставщиками продукции, хотя лицо и содержание этих «старых» заводов коренным образом изменилось вследствие реконструкции и расширения. Так, например, один завод №</w:t>
      </w:r>
      <w:r w:rsidR="007C1411" w:rsidRPr="00E93F40">
        <w:rPr>
          <w:color w:val="000000" w:themeColor="text1"/>
          <w:sz w:val="16"/>
          <w:szCs w:val="16"/>
        </w:rPr>
        <w:t xml:space="preserve"> </w:t>
      </w:r>
      <w:r w:rsidRPr="00E93F40">
        <w:rPr>
          <w:color w:val="000000" w:themeColor="text1"/>
          <w:sz w:val="16"/>
          <w:szCs w:val="16"/>
        </w:rPr>
        <w:t>22 имеет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рабочих и служащих 10</w:t>
      </w:r>
      <w:r w:rsidR="007C1411" w:rsidRPr="00E93F40">
        <w:rPr>
          <w:color w:val="000000" w:themeColor="text1"/>
          <w:sz w:val="16"/>
          <w:szCs w:val="16"/>
        </w:rPr>
        <w:t xml:space="preserve"> </w:t>
      </w:r>
      <w:r w:rsidRPr="00E93F40">
        <w:rPr>
          <w:color w:val="000000" w:themeColor="text1"/>
          <w:sz w:val="16"/>
          <w:szCs w:val="16"/>
        </w:rPr>
        <w:t>213, т.</w:t>
      </w:r>
      <w:r w:rsidR="007C1411" w:rsidRPr="00E93F40">
        <w:rPr>
          <w:color w:val="000000" w:themeColor="text1"/>
          <w:sz w:val="16"/>
          <w:szCs w:val="16"/>
        </w:rPr>
        <w:t xml:space="preserve"> </w:t>
      </w:r>
      <w:r w:rsidRPr="00E93F40">
        <w:rPr>
          <w:color w:val="000000" w:themeColor="text1"/>
          <w:sz w:val="16"/>
          <w:szCs w:val="16"/>
        </w:rPr>
        <w:t>е. больше, чем вся авиапромышленность имела рабочих и служащих перед первой пятилеткой; примерно такое же положение с остальными «старыми» заводами.</w:t>
      </w:r>
    </w:p>
    <w:p w14:paraId="425B6502" w14:textId="03C24FE1"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 настоящее время находятся в строительстве и в периоде пуска следующие заводы, которые вступят в число действующих еще в этой пятилетке, по самолетам</w:t>
      </w:r>
      <w:r w:rsidR="007C1411" w:rsidRPr="00E93F40">
        <w:rPr>
          <w:color w:val="000000" w:themeColor="text1"/>
          <w:sz w:val="16"/>
          <w:szCs w:val="16"/>
        </w:rPr>
        <w:t xml:space="preserve"> </w:t>
      </w:r>
      <w:r w:rsidRPr="00E93F40">
        <w:rPr>
          <w:color w:val="000000" w:themeColor="text1"/>
          <w:sz w:val="16"/>
          <w:szCs w:val="16"/>
        </w:rPr>
        <w:t>— заводы №</w:t>
      </w:r>
      <w:r w:rsidR="007C1411" w:rsidRPr="00E93F40">
        <w:rPr>
          <w:color w:val="000000" w:themeColor="text1"/>
          <w:sz w:val="16"/>
          <w:szCs w:val="16"/>
        </w:rPr>
        <w:t xml:space="preserve"> </w:t>
      </w:r>
      <w:r w:rsidRPr="00E93F40">
        <w:rPr>
          <w:color w:val="000000" w:themeColor="text1"/>
          <w:sz w:val="16"/>
          <w:szCs w:val="16"/>
        </w:rPr>
        <w:t>18, 39, 21, 16; общая полная производственная мощность их будет составлять (при овладении ею) в 9</w:t>
      </w:r>
      <w:r w:rsidR="007C1411" w:rsidRPr="00E93F40">
        <w:rPr>
          <w:color w:val="000000" w:themeColor="text1"/>
          <w:sz w:val="16"/>
          <w:szCs w:val="16"/>
        </w:rPr>
        <w:t xml:space="preserve"> </w:t>
      </w:r>
      <w:r w:rsidRPr="00E93F40">
        <w:rPr>
          <w:color w:val="000000" w:themeColor="text1"/>
          <w:sz w:val="16"/>
          <w:szCs w:val="16"/>
        </w:rPr>
        <w:t>тыс. самолетов. Из этих мощностей к концу пятилетки вступят в производственный процесс на 3,7</w:t>
      </w:r>
      <w:r w:rsidR="007C1411" w:rsidRPr="00E93F40">
        <w:rPr>
          <w:color w:val="000000" w:themeColor="text1"/>
          <w:sz w:val="16"/>
          <w:szCs w:val="16"/>
        </w:rPr>
        <w:t xml:space="preserve"> </w:t>
      </w:r>
      <w:r w:rsidRPr="00E93F40">
        <w:rPr>
          <w:color w:val="000000" w:themeColor="text1"/>
          <w:sz w:val="16"/>
          <w:szCs w:val="16"/>
        </w:rPr>
        <w:t>тыс. самолетов. В таком же состоянии находится по моторам завод №</w:t>
      </w:r>
      <w:r w:rsidR="007C1411" w:rsidRPr="00E93F40">
        <w:rPr>
          <w:color w:val="000000" w:themeColor="text1"/>
          <w:sz w:val="16"/>
          <w:szCs w:val="16"/>
        </w:rPr>
        <w:t xml:space="preserve"> </w:t>
      </w:r>
      <w:r w:rsidRPr="00E93F40">
        <w:rPr>
          <w:color w:val="000000" w:themeColor="text1"/>
          <w:sz w:val="16"/>
          <w:szCs w:val="16"/>
        </w:rPr>
        <w:t>19, на котором вводятся в производство к 1</w:t>
      </w:r>
      <w:r w:rsidR="007C1411" w:rsidRPr="00E93F40">
        <w:rPr>
          <w:color w:val="000000" w:themeColor="text1"/>
          <w:sz w:val="16"/>
          <w:szCs w:val="16"/>
        </w:rPr>
        <w:t xml:space="preserve"> </w:t>
      </w:r>
      <w:r w:rsidRPr="00E93F40">
        <w:rPr>
          <w:color w:val="000000" w:themeColor="text1"/>
          <w:sz w:val="16"/>
          <w:szCs w:val="16"/>
        </w:rPr>
        <w:t>января 1933</w:t>
      </w:r>
      <w:r w:rsidR="007C1411" w:rsidRPr="00E93F40">
        <w:rPr>
          <w:color w:val="000000" w:themeColor="text1"/>
          <w:sz w:val="16"/>
          <w:szCs w:val="16"/>
        </w:rPr>
        <w:t xml:space="preserve"> </w:t>
      </w:r>
      <w:r w:rsidRPr="00E93F40">
        <w:rPr>
          <w:color w:val="000000" w:themeColor="text1"/>
          <w:sz w:val="16"/>
          <w:szCs w:val="16"/>
        </w:rPr>
        <w:t>г. мощности на 1</w:t>
      </w:r>
      <w:r w:rsidR="007C1411" w:rsidRPr="00E93F40">
        <w:rPr>
          <w:color w:val="000000" w:themeColor="text1"/>
          <w:sz w:val="16"/>
          <w:szCs w:val="16"/>
        </w:rPr>
        <w:t xml:space="preserve"> </w:t>
      </w:r>
      <w:r w:rsidRPr="00E93F40">
        <w:rPr>
          <w:color w:val="000000" w:themeColor="text1"/>
          <w:sz w:val="16"/>
          <w:szCs w:val="16"/>
        </w:rPr>
        <w:t>тыс. самолетов.</w:t>
      </w:r>
    </w:p>
    <w:p w14:paraId="473ED7A4" w14:textId="3619084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Динамика производственных мощностей и использование их.</w:t>
      </w:r>
    </w:p>
    <w:p w14:paraId="50E38738"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А. Динамика мощностей самолетостроительных заводов видна из следующей таблицы:</w:t>
      </w:r>
    </w:p>
    <w:p w14:paraId="43C7449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00"/>
        <w:gridCol w:w="1081"/>
        <w:gridCol w:w="1116"/>
        <w:gridCol w:w="1123"/>
        <w:gridCol w:w="970"/>
        <w:gridCol w:w="1081"/>
        <w:gridCol w:w="675"/>
        <w:gridCol w:w="675"/>
        <w:gridCol w:w="1126"/>
        <w:gridCol w:w="975"/>
      </w:tblGrid>
      <w:tr w:rsidR="00DA227A" w:rsidRPr="00E93F40" w14:paraId="681600B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009A2" w14:textId="58ABAD7A"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E7A71" w14:textId="0417AF6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C452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5A5A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0281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EFE4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ECB28" w14:textId="605F5BF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488B0" w14:textId="7F1AB91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C828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876E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Всего⁴*</w:t>
            </w:r>
          </w:p>
        </w:tc>
      </w:tr>
      <w:tr w:rsidR="00DA227A" w:rsidRPr="00E93F40" w14:paraId="3D8B647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2637EF" w14:textId="316204B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CA24A" w14:textId="6CF4187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AE23F" w14:textId="58CB71B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68444" w14:textId="541DF79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w:t>
            </w:r>
            <w:r w:rsidRPr="00E93F40">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D2EC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918F4" w14:textId="50B27B9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F487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BF8E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9E4D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C8A8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1750</w:t>
            </w:r>
          </w:p>
        </w:tc>
      </w:tr>
      <w:tr w:rsidR="00DA227A" w:rsidRPr="00E93F40" w14:paraId="259E4D1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98FF38" w14:textId="627BEC4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3DBB7" w14:textId="79899A78"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0C32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 Р-3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CDBC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 И-2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77AB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BA523" w14:textId="763CD5F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ADD5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A6A9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6E64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C6AE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2090</w:t>
            </w:r>
          </w:p>
        </w:tc>
      </w:tr>
      <w:tr w:rsidR="00DA227A" w:rsidRPr="00E93F40" w14:paraId="446DA97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FFC957" w14:textId="014F0E8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BD69D" w14:textId="3E6C0BD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w:t>
            </w:r>
            <w:r w:rsidRPr="00E93F40">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50DDE" w14:textId="4D344E0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w:t>
            </w:r>
            <w:r w:rsidRPr="00E93F40">
              <w:rPr>
                <w:rFonts w:ascii="Times New Roman" w:hAnsi="Times New Roman"/>
                <w:color w:val="000000" w:themeColor="text1"/>
                <w:sz w:val="16"/>
                <w:szCs w:val="16"/>
              </w:rPr>
              <w:noBreakHyphen/>
              <w:t>4</w:t>
            </w:r>
          </w:p>
          <w:p w14:paraId="79B1C667" w14:textId="4F68818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ТБ</w:t>
            </w:r>
            <w:r w:rsidRPr="00E93F40">
              <w:rPr>
                <w:rFonts w:ascii="Times New Roman" w:hAnsi="Times New Roman"/>
                <w:color w:val="000000" w:themeColor="text1"/>
                <w:sz w:val="16"/>
                <w:szCs w:val="16"/>
              </w:rPr>
              <w:noBreakHyphen/>
              <w:t>1</w:t>
            </w:r>
          </w:p>
          <w:p w14:paraId="34154592" w14:textId="21FEB40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AB819" w14:textId="138B14C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w:t>
            </w:r>
            <w:r w:rsidRPr="00E93F40">
              <w:rPr>
                <w:rFonts w:ascii="Times New Roman" w:hAnsi="Times New Roman"/>
                <w:color w:val="000000" w:themeColor="text1"/>
                <w:sz w:val="16"/>
                <w:szCs w:val="16"/>
              </w:rPr>
              <w:noBreakHyphen/>
              <w:t>1</w:t>
            </w:r>
          </w:p>
          <w:p w14:paraId="2F156A8E" w14:textId="22137EF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МУ</w:t>
            </w:r>
            <w:r w:rsidRPr="00E93F40">
              <w:rPr>
                <w:rFonts w:ascii="Times New Roman" w:hAnsi="Times New Roman"/>
                <w:color w:val="000000" w:themeColor="text1"/>
                <w:sz w:val="16"/>
                <w:szCs w:val="16"/>
              </w:rPr>
              <w:noBreakHyphen/>
              <w:t>1</w:t>
            </w:r>
          </w:p>
          <w:p w14:paraId="63A58A66" w14:textId="0759CCA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w:t>
            </w:r>
            <w:r w:rsidRPr="00E93F40">
              <w:rPr>
                <w:rFonts w:ascii="Times New Roman" w:hAnsi="Times New Roman"/>
                <w:color w:val="000000" w:themeColor="text1"/>
                <w:sz w:val="16"/>
                <w:szCs w:val="16"/>
              </w:rPr>
              <w:noBreakHyphen/>
              <w:t>2</w:t>
            </w:r>
          </w:p>
          <w:p w14:paraId="60BB4976" w14:textId="39B5E6B5"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w:t>
            </w:r>
            <w:r w:rsidRPr="00E93F40">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E2EFA" w14:textId="18E60A6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Pr="00E93F40">
              <w:rPr>
                <w:rFonts w:ascii="Times New Roman" w:hAnsi="Times New Roman"/>
                <w:color w:val="000000" w:themeColor="text1"/>
                <w:sz w:val="16"/>
                <w:szCs w:val="16"/>
              </w:rPr>
              <w:noBreakHyphen/>
              <w:t>4</w:t>
            </w:r>
          </w:p>
          <w:p w14:paraId="315CF102" w14:textId="27714525"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Pr="00E93F40">
              <w:rPr>
                <w:rFonts w:ascii="Times New Roman" w:hAnsi="Times New Roman"/>
                <w:color w:val="000000" w:themeColor="text1"/>
                <w:sz w:val="16"/>
                <w:szCs w:val="16"/>
              </w:rPr>
              <w:noBreakHyphen/>
              <w:t>5</w:t>
            </w:r>
          </w:p>
          <w:p w14:paraId="55969871" w14:textId="3E933A9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Pr="00E93F40">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3022B" w14:textId="6973E9C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6DA4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19C0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B38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2121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2758</w:t>
            </w:r>
          </w:p>
        </w:tc>
      </w:tr>
      <w:tr w:rsidR="00DA227A" w:rsidRPr="00E93F40" w14:paraId="621463F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C2123" w14:textId="06CA0BC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017CD" w14:textId="7D220AF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DF660" w14:textId="4FDB5BE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ТБ</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1B816" w14:textId="379A7B1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w:t>
            </w:r>
            <w:r w:rsidRPr="00E93F40">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FFD87" w14:textId="514E0DC8"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Pr="00E93F40">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E2692" w14:textId="7DA179F8"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A72B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F17B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CB30D" w14:textId="0F685B4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w:t>
            </w:r>
            <w:r w:rsidRPr="00E93F40">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DB3B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7490</w:t>
            </w:r>
          </w:p>
        </w:tc>
      </w:tr>
    </w:tbl>
    <w:p w14:paraId="434B2D68" w14:textId="36882978"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 то время как по пятилетнему плану к 1</w:t>
      </w:r>
      <w:r w:rsidR="007C1411" w:rsidRPr="00E93F40">
        <w:rPr>
          <w:color w:val="000000" w:themeColor="text1"/>
          <w:sz w:val="16"/>
          <w:szCs w:val="16"/>
        </w:rPr>
        <w:t xml:space="preserve"> </w:t>
      </w:r>
      <w:r w:rsidRPr="00E93F40">
        <w:rPr>
          <w:color w:val="000000" w:themeColor="text1"/>
          <w:sz w:val="16"/>
          <w:szCs w:val="16"/>
        </w:rPr>
        <w:t>октября 1933</w:t>
      </w:r>
      <w:r w:rsidR="007C1411" w:rsidRPr="00E93F40">
        <w:rPr>
          <w:color w:val="000000" w:themeColor="text1"/>
          <w:sz w:val="16"/>
          <w:szCs w:val="16"/>
        </w:rPr>
        <w:t xml:space="preserve"> </w:t>
      </w:r>
      <w:r w:rsidRPr="00E93F40">
        <w:rPr>
          <w:color w:val="000000" w:themeColor="text1"/>
          <w:sz w:val="16"/>
          <w:szCs w:val="16"/>
        </w:rPr>
        <w:t>г. авиапромышленность должна была иметь мощностей на 7140 самолетов, она к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имеет уже большие мощности. О различии между достигнутыми мощностями и намеченными по пятилетнему плану достаточно ярко говорит следующее сравнение: если при полном использовании мощностей, которые должны были быть достигнуты по пятилетней наметке ВАО к 1</w:t>
      </w:r>
      <w:r w:rsidR="007C1411" w:rsidRPr="00E93F40">
        <w:rPr>
          <w:color w:val="000000" w:themeColor="text1"/>
          <w:sz w:val="16"/>
          <w:szCs w:val="16"/>
        </w:rPr>
        <w:t xml:space="preserve"> </w:t>
      </w:r>
      <w:r w:rsidRPr="00E93F40">
        <w:rPr>
          <w:color w:val="000000" w:themeColor="text1"/>
          <w:sz w:val="16"/>
          <w:szCs w:val="16"/>
        </w:rPr>
        <w:t>октября 1933</w:t>
      </w:r>
      <w:r w:rsidR="007C1411" w:rsidRPr="00E93F40">
        <w:rPr>
          <w:color w:val="000000" w:themeColor="text1"/>
          <w:sz w:val="16"/>
          <w:szCs w:val="16"/>
        </w:rPr>
        <w:t xml:space="preserve"> </w:t>
      </w:r>
      <w:r w:rsidRPr="00E93F40">
        <w:rPr>
          <w:color w:val="000000" w:themeColor="text1"/>
          <w:sz w:val="16"/>
          <w:szCs w:val="16"/>
        </w:rPr>
        <w:t>г., вся самолетная продукция авиапромышленности могла бы дать грузоподъемность в 5,8</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при суммарной мощности винтомоторной группы в 3676,5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НР. Фактически же имеющиеся мощности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при полном их использовании дают самолетов с общей грузоподъемностью 8114</w:t>
      </w:r>
      <w:r w:rsidR="007C1411" w:rsidRPr="00E93F40">
        <w:rPr>
          <w:color w:val="000000" w:themeColor="text1"/>
          <w:sz w:val="16"/>
          <w:szCs w:val="16"/>
        </w:rPr>
        <w:t xml:space="preserve"> </w:t>
      </w:r>
      <w:r w:rsidRPr="00E93F40">
        <w:rPr>
          <w:color w:val="000000" w:themeColor="text1"/>
          <w:sz w:val="16"/>
          <w:szCs w:val="16"/>
        </w:rPr>
        <w:t>т при суммарной мощности винтомоторной группы в 4530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НР. Уже реально обеспеченные мощности, которые авиапромышленность будет иметь к концу четвертого года пятилетки, дают грузоподъемность в 15</w:t>
      </w:r>
      <w:r w:rsidR="007C1411" w:rsidRPr="00E93F40">
        <w:rPr>
          <w:color w:val="000000" w:themeColor="text1"/>
          <w:sz w:val="16"/>
          <w:szCs w:val="16"/>
        </w:rPr>
        <w:t xml:space="preserve"> </w:t>
      </w:r>
      <w:r w:rsidRPr="00E93F40">
        <w:rPr>
          <w:color w:val="000000" w:themeColor="text1"/>
          <w:sz w:val="16"/>
          <w:szCs w:val="16"/>
        </w:rPr>
        <w:t>373</w:t>
      </w:r>
      <w:r w:rsidR="007C1411" w:rsidRPr="00E93F40">
        <w:rPr>
          <w:color w:val="000000" w:themeColor="text1"/>
          <w:sz w:val="16"/>
          <w:szCs w:val="16"/>
        </w:rPr>
        <w:t xml:space="preserve"> </w:t>
      </w:r>
      <w:r w:rsidRPr="00E93F40">
        <w:rPr>
          <w:color w:val="000000" w:themeColor="text1"/>
          <w:sz w:val="16"/>
          <w:szCs w:val="16"/>
        </w:rPr>
        <w:t>т с общей мощностью винтомоторной группы в 8011</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НР, т.</w:t>
      </w:r>
      <w:r w:rsidR="007C1411" w:rsidRPr="00E93F40">
        <w:rPr>
          <w:color w:val="000000" w:themeColor="text1"/>
          <w:sz w:val="16"/>
          <w:szCs w:val="16"/>
        </w:rPr>
        <w:t xml:space="preserve"> </w:t>
      </w:r>
      <w:r w:rsidRPr="00E93F40">
        <w:rPr>
          <w:color w:val="000000" w:themeColor="text1"/>
          <w:sz w:val="16"/>
          <w:szCs w:val="16"/>
        </w:rPr>
        <w:t>е. на 10</w:t>
      </w:r>
      <w:r w:rsidR="007C1411" w:rsidRPr="00E93F40">
        <w:rPr>
          <w:color w:val="000000" w:themeColor="text1"/>
          <w:sz w:val="16"/>
          <w:szCs w:val="16"/>
        </w:rPr>
        <w:t xml:space="preserve"> </w:t>
      </w:r>
      <w:r w:rsidRPr="00E93F40">
        <w:rPr>
          <w:color w:val="000000" w:themeColor="text1"/>
          <w:sz w:val="16"/>
          <w:szCs w:val="16"/>
        </w:rPr>
        <w:t>месяцев ранее наметок пятилетки дает по сравниваемым величинам грузоподъемность почти в 5</w:t>
      </w:r>
      <w:r w:rsidR="007C1411" w:rsidRPr="00E93F40">
        <w:rPr>
          <w:color w:val="000000" w:themeColor="text1"/>
          <w:sz w:val="16"/>
          <w:szCs w:val="16"/>
        </w:rPr>
        <w:t xml:space="preserve"> </w:t>
      </w:r>
      <w:r w:rsidRPr="00E93F40">
        <w:rPr>
          <w:color w:val="000000" w:themeColor="text1"/>
          <w:sz w:val="16"/>
          <w:szCs w:val="16"/>
        </w:rPr>
        <w:t>раз большую, а мощность винтомоторной группы в 2 с лишком раза больше. Таким образом, по развитию мощностей самолетостроительных заводов мы имеем значительное перевыполнение наметок пятилетнего плана.</w:t>
      </w:r>
    </w:p>
    <w:p w14:paraId="3619B73D" w14:textId="77F34048"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Б.</w:t>
      </w:r>
      <w:r w:rsidR="007C1411" w:rsidRPr="00E93F40">
        <w:rPr>
          <w:color w:val="000000" w:themeColor="text1"/>
          <w:sz w:val="16"/>
          <w:szCs w:val="16"/>
        </w:rPr>
        <w:t xml:space="preserve"> </w:t>
      </w:r>
      <w:r w:rsidRPr="00E93F40">
        <w:rPr>
          <w:color w:val="000000" w:themeColor="text1"/>
          <w:sz w:val="16"/>
          <w:szCs w:val="16"/>
        </w:rPr>
        <w:t>Динамика производственных мощностей моторостроительных заводов показана в следующей таблице.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8"/>
        <w:gridCol w:w="2019"/>
        <w:gridCol w:w="1962"/>
        <w:gridCol w:w="1962"/>
        <w:gridCol w:w="2531"/>
      </w:tblGrid>
      <w:tr w:rsidR="00DA227A" w:rsidRPr="00E93F40" w14:paraId="4B25AC1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976B71" w14:textId="7E43253D"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17E15" w14:textId="5A099B8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EAFAA" w14:textId="5119249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5E3E6" w14:textId="4892320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4D1EA" w14:textId="2A19561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6756C3A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47BD07" w14:textId="70D62CC0"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BB691" w14:textId="3424434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D0C9" w14:textId="2E48B0F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18F74" w14:textId="4B87DD6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5</w:t>
            </w:r>
          </w:p>
          <w:p w14:paraId="3449264A" w14:textId="6B70B7A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17 252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EB3DB" w14:textId="1197D9B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15</w:t>
            </w:r>
          </w:p>
        </w:tc>
      </w:tr>
      <w:tr w:rsidR="00DA227A" w:rsidRPr="00E93F40" w14:paraId="08463AA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9BE70F" w14:textId="6F66287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BEFAF" w14:textId="3BC777E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6E01E" w14:textId="10F1883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0CD0A" w14:textId="36C21D6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6F948" w14:textId="22148BC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17</w:t>
            </w:r>
          </w:p>
        </w:tc>
      </w:tr>
      <w:tr w:rsidR="00DA227A" w:rsidRPr="00E93F40" w14:paraId="266535C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44663F" w14:textId="69999C9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2900" w14:textId="50A3404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89BA0" w14:textId="054705E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70C90" w14:textId="7033D8D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6</w:t>
            </w:r>
          </w:p>
          <w:p w14:paraId="3849B612" w14:textId="407F2C3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11 60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AAE7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М-11</w:t>
            </w:r>
          </w:p>
        </w:tc>
      </w:tr>
      <w:tr w:rsidR="00DA227A" w:rsidRPr="00E93F40" w14:paraId="5EB8800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CDB019" w14:textId="58C9CBF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9728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B1E1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D9CD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79B9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9700</w:t>
            </w:r>
          </w:p>
        </w:tc>
      </w:tr>
      <w:tr w:rsidR="00DA227A" w:rsidRPr="00E93F40" w14:paraId="0770A8F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4E277" w14:textId="2B457FE4"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пятилетнему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0D01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CBD0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D97B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2AC15" w14:textId="7C6F897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7955</w:t>
            </w:r>
          </w:p>
        </w:tc>
      </w:tr>
    </w:tbl>
    <w:p w14:paraId="080E4DEB" w14:textId="6A1F829B"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lastRenderedPageBreak/>
        <w:t>Как видно из этой таблицы, и по моторам налицо более быстрый рост мощностей заводов по сравнению с наметками пятилетнего плана, по которому мощность моторных заводов должна быть доведена в 1931/32</w:t>
      </w:r>
      <w:r w:rsidR="007C1411" w:rsidRPr="00E93F40">
        <w:rPr>
          <w:color w:val="000000" w:themeColor="text1"/>
          <w:sz w:val="16"/>
          <w:szCs w:val="16"/>
        </w:rPr>
        <w:t xml:space="preserve"> </w:t>
      </w:r>
      <w:r w:rsidRPr="00E93F40">
        <w:rPr>
          <w:color w:val="000000" w:themeColor="text1"/>
          <w:sz w:val="16"/>
          <w:szCs w:val="16"/>
        </w:rPr>
        <w:t>г. до 7955 и к 1</w:t>
      </w:r>
      <w:r w:rsidR="007C1411" w:rsidRPr="00E93F40">
        <w:rPr>
          <w:color w:val="000000" w:themeColor="text1"/>
          <w:sz w:val="16"/>
          <w:szCs w:val="16"/>
        </w:rPr>
        <w:t xml:space="preserve"> </w:t>
      </w:r>
      <w:r w:rsidRPr="00E93F40">
        <w:rPr>
          <w:color w:val="000000" w:themeColor="text1"/>
          <w:sz w:val="16"/>
          <w:szCs w:val="16"/>
        </w:rPr>
        <w:t>октября 1932/33</w:t>
      </w:r>
      <w:r w:rsidR="007C1411" w:rsidRPr="00E93F40">
        <w:rPr>
          <w:color w:val="000000" w:themeColor="text1"/>
          <w:sz w:val="16"/>
          <w:szCs w:val="16"/>
        </w:rPr>
        <w:t xml:space="preserve"> </w:t>
      </w:r>
      <w:r w:rsidRPr="00E93F40">
        <w:rPr>
          <w:color w:val="000000" w:themeColor="text1"/>
          <w:sz w:val="16"/>
          <w:szCs w:val="16"/>
        </w:rPr>
        <w:t>г. до 9140</w:t>
      </w:r>
      <w:r w:rsidR="007C1411" w:rsidRPr="00E93F40">
        <w:rPr>
          <w:color w:val="000000" w:themeColor="text1"/>
          <w:sz w:val="16"/>
          <w:szCs w:val="16"/>
        </w:rPr>
        <w:t xml:space="preserve"> </w:t>
      </w:r>
      <w:r w:rsidRPr="00E93F40">
        <w:rPr>
          <w:color w:val="000000" w:themeColor="text1"/>
          <w:sz w:val="16"/>
          <w:szCs w:val="16"/>
        </w:rPr>
        <w:t>моторов. Отсюда следует, что авиационная промышленность в целом свой пятилетний план создания мощностей перевыполнила уже к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w:t>
      </w:r>
    </w:p>
    <w:p w14:paraId="27CFE978" w14:textId="4CC8473A"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Это, безусловно, не означает, что авиационная промышленность идет вровень с потребностями народного хозяйства и НКВМора, ибо соотношение мощностей моторных заводов и самолетостроительных на протяжении почти всей пятилетки было неблагоприятным, не обеспечивающим полное использование самолетов и лишь только 1932</w:t>
      </w:r>
      <w:r w:rsidR="007C1411" w:rsidRPr="00E93F40">
        <w:rPr>
          <w:color w:val="000000" w:themeColor="text1"/>
          <w:sz w:val="16"/>
          <w:szCs w:val="16"/>
        </w:rPr>
        <w:t xml:space="preserve"> </w:t>
      </w:r>
      <w:r w:rsidRPr="00E93F40">
        <w:rPr>
          <w:color w:val="000000" w:themeColor="text1"/>
          <w:sz w:val="16"/>
          <w:szCs w:val="16"/>
        </w:rPr>
        <w:t>г. дает резкое изменение в этом отношении. Пока еще авиационная промышленность наличными мощностями все еще не обеспечивает покрытие заявок НКВМора на военное время, хотя и здесь уже имеются существенные сдвиги. Так, например, по мобплану к моменту введения МВ</w:t>
      </w:r>
      <w:r w:rsidRPr="00E93F40">
        <w:rPr>
          <w:color w:val="000000" w:themeColor="text1"/>
          <w:sz w:val="16"/>
          <w:szCs w:val="16"/>
        </w:rPr>
        <w:noBreakHyphen/>
        <w:t>10, т.</w:t>
      </w:r>
      <w:r w:rsidR="007C1411" w:rsidRPr="00E93F40">
        <w:rPr>
          <w:color w:val="000000" w:themeColor="text1"/>
          <w:sz w:val="16"/>
          <w:szCs w:val="16"/>
        </w:rPr>
        <w:t xml:space="preserve"> </w:t>
      </w:r>
      <w:r w:rsidRPr="00E93F40">
        <w:rPr>
          <w:color w:val="000000" w:themeColor="text1"/>
          <w:sz w:val="16"/>
          <w:szCs w:val="16"/>
        </w:rPr>
        <w:t>е. к 1</w:t>
      </w:r>
      <w:r w:rsidR="007C1411" w:rsidRPr="00E93F40">
        <w:rPr>
          <w:color w:val="000000" w:themeColor="text1"/>
          <w:sz w:val="16"/>
          <w:szCs w:val="16"/>
        </w:rPr>
        <w:t xml:space="preserve"> </w:t>
      </w:r>
      <w:r w:rsidRPr="00E93F40">
        <w:rPr>
          <w:color w:val="000000" w:themeColor="text1"/>
          <w:sz w:val="16"/>
          <w:szCs w:val="16"/>
        </w:rPr>
        <w:t>апреля 1932</w:t>
      </w:r>
      <w:r w:rsidR="007C1411" w:rsidRPr="00E93F40">
        <w:rPr>
          <w:color w:val="000000" w:themeColor="text1"/>
          <w:sz w:val="16"/>
          <w:szCs w:val="16"/>
        </w:rPr>
        <w:t xml:space="preserve"> </w:t>
      </w:r>
      <w:r w:rsidRPr="00E93F40">
        <w:rPr>
          <w:color w:val="000000" w:themeColor="text1"/>
          <w:sz w:val="16"/>
          <w:szCs w:val="16"/>
        </w:rPr>
        <w:t>г. самолетостроительные заводы должны были иметь мощность в 7465</w:t>
      </w:r>
      <w:r w:rsidR="007C1411" w:rsidRPr="00E93F40">
        <w:rPr>
          <w:color w:val="000000" w:themeColor="text1"/>
          <w:sz w:val="16"/>
          <w:szCs w:val="16"/>
        </w:rPr>
        <w:t xml:space="preserve"> </w:t>
      </w:r>
      <w:r w:rsidRPr="00E93F40">
        <w:rPr>
          <w:color w:val="000000" w:themeColor="text1"/>
          <w:sz w:val="16"/>
          <w:szCs w:val="16"/>
        </w:rPr>
        <w:t>самолетов и моторные на 9262</w:t>
      </w:r>
      <w:r w:rsidR="007C1411" w:rsidRPr="00E93F40">
        <w:rPr>
          <w:color w:val="000000" w:themeColor="text1"/>
          <w:sz w:val="16"/>
          <w:szCs w:val="16"/>
        </w:rPr>
        <w:t xml:space="preserve"> </w:t>
      </w:r>
      <w:r w:rsidRPr="00E93F40">
        <w:rPr>
          <w:color w:val="000000" w:themeColor="text1"/>
          <w:sz w:val="16"/>
          <w:szCs w:val="16"/>
        </w:rPr>
        <w:t>мотора, на это же время авиапромышленность имеет большие мощности и по самолетам, и по моторам. Такой факт имеет место впервые в истории авиапромышленности и говорит о том, что она быстро приближается к полному удовлетворению наличными мощностями потребностей НКВМора и на военное время. Решающим обстоятельством, определяющим отставание авиапромышленности от требований народного хозяйства и НКВМора</w:t>
      </w:r>
      <w:r w:rsidR="007C1411" w:rsidRPr="00E93F40">
        <w:rPr>
          <w:color w:val="000000" w:themeColor="text1"/>
          <w:sz w:val="16"/>
          <w:szCs w:val="16"/>
        </w:rPr>
        <w:t xml:space="preserve"> </w:t>
      </w:r>
      <w:r w:rsidRPr="00E93F40">
        <w:rPr>
          <w:color w:val="000000" w:themeColor="text1"/>
          <w:sz w:val="16"/>
          <w:szCs w:val="16"/>
        </w:rPr>
        <w:t>— это весьма неудовлетворительное использование производственных мощностей.</w:t>
      </w:r>
    </w:p>
    <w:p w14:paraId="6E3C63CD" w14:textId="39041E18"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Директива правительства о доведении отдачи от производственных мощностей по самолетам до 67% и по моторам до 83% не выполнена. Производственное оборудование по всей авиапромышленности в 1931</w:t>
      </w:r>
      <w:r w:rsidR="007C1411" w:rsidRPr="00E93F40">
        <w:rPr>
          <w:color w:val="000000" w:themeColor="text1"/>
          <w:sz w:val="16"/>
          <w:szCs w:val="16"/>
        </w:rPr>
        <w:t xml:space="preserve"> </w:t>
      </w:r>
      <w:r w:rsidRPr="00E93F40">
        <w:rPr>
          <w:color w:val="000000" w:themeColor="text1"/>
          <w:sz w:val="16"/>
          <w:szCs w:val="16"/>
        </w:rPr>
        <w:t>г. должно было дать 21</w:t>
      </w:r>
      <w:r w:rsidR="007C1411" w:rsidRPr="00E93F40">
        <w:rPr>
          <w:color w:val="000000" w:themeColor="text1"/>
          <w:sz w:val="16"/>
          <w:szCs w:val="16"/>
        </w:rPr>
        <w:t xml:space="preserve"> </w:t>
      </w:r>
      <w:r w:rsidRPr="00E93F40">
        <w:rPr>
          <w:color w:val="000000" w:themeColor="text1"/>
          <w:sz w:val="16"/>
          <w:szCs w:val="16"/>
        </w:rPr>
        <w:t>383,7</w:t>
      </w:r>
      <w:r w:rsidR="007C1411" w:rsidRPr="00E93F40">
        <w:rPr>
          <w:color w:val="000000" w:themeColor="text1"/>
          <w:sz w:val="16"/>
          <w:szCs w:val="16"/>
        </w:rPr>
        <w:t xml:space="preserve"> </w:t>
      </w:r>
      <w:r w:rsidRPr="00E93F40">
        <w:rPr>
          <w:color w:val="000000" w:themeColor="text1"/>
          <w:sz w:val="16"/>
          <w:szCs w:val="16"/>
        </w:rPr>
        <w:t>тыс. станко-часов работы, отработано же фактически 14</w:t>
      </w:r>
      <w:r w:rsidR="007C1411" w:rsidRPr="00E93F40">
        <w:rPr>
          <w:color w:val="000000" w:themeColor="text1"/>
          <w:sz w:val="16"/>
          <w:szCs w:val="16"/>
        </w:rPr>
        <w:t xml:space="preserve"> </w:t>
      </w:r>
      <w:r w:rsidRPr="00E93F40">
        <w:rPr>
          <w:color w:val="000000" w:themeColor="text1"/>
          <w:sz w:val="16"/>
          <w:szCs w:val="16"/>
        </w:rPr>
        <w:t>020,7 станко-часов, а 7363,2 станко-часа потеряно. Это значит, что оборудование было использовано лишь только на 65</w:t>
      </w:r>
      <w:r w:rsidRPr="00E93F40">
        <w:rPr>
          <w:rStyle w:val="af0"/>
          <w:i w:val="0"/>
          <w:color w:val="000000" w:themeColor="text1"/>
          <w:sz w:val="16"/>
          <w:szCs w:val="16"/>
        </w:rPr>
        <w:t>%.</w:t>
      </w:r>
      <w:r w:rsidRPr="00E93F40">
        <w:rPr>
          <w:color w:val="000000" w:themeColor="text1"/>
          <w:sz w:val="16"/>
          <w:szCs w:val="16"/>
        </w:rPr>
        <w:t xml:space="preserve"> Еще хуже обстояло дело с I</w:t>
      </w:r>
      <w:r w:rsidR="007C1411" w:rsidRPr="00E93F40">
        <w:rPr>
          <w:color w:val="000000" w:themeColor="text1"/>
          <w:sz w:val="16"/>
          <w:szCs w:val="16"/>
        </w:rPr>
        <w:t xml:space="preserve"> </w:t>
      </w:r>
      <w:r w:rsidRPr="00E93F40">
        <w:rPr>
          <w:color w:val="000000" w:themeColor="text1"/>
          <w:sz w:val="16"/>
          <w:szCs w:val="16"/>
        </w:rPr>
        <w:t>кварталом 1932</w:t>
      </w:r>
      <w:r w:rsidR="007C1411" w:rsidRPr="00E93F40">
        <w:rPr>
          <w:color w:val="000000" w:themeColor="text1"/>
          <w:sz w:val="16"/>
          <w:szCs w:val="16"/>
        </w:rPr>
        <w:t xml:space="preserve"> </w:t>
      </w:r>
      <w:r w:rsidRPr="00E93F40">
        <w:rPr>
          <w:color w:val="000000" w:themeColor="text1"/>
          <w:sz w:val="16"/>
          <w:szCs w:val="16"/>
        </w:rPr>
        <w:t>г.: находящиеся в производстве станки отработали по всему объединению 1</w:t>
      </w:r>
      <w:r w:rsidR="007C1411" w:rsidRPr="00E93F40">
        <w:rPr>
          <w:color w:val="000000" w:themeColor="text1"/>
          <w:sz w:val="16"/>
          <w:szCs w:val="16"/>
        </w:rPr>
        <w:t xml:space="preserve"> </w:t>
      </w:r>
      <w:r w:rsidRPr="00E93F40">
        <w:rPr>
          <w:color w:val="000000" w:themeColor="text1"/>
          <w:sz w:val="16"/>
          <w:szCs w:val="16"/>
        </w:rPr>
        <w:t>629</w:t>
      </w:r>
      <w:r w:rsidR="007C1411" w:rsidRPr="00E93F40">
        <w:rPr>
          <w:color w:val="000000" w:themeColor="text1"/>
          <w:sz w:val="16"/>
          <w:szCs w:val="16"/>
        </w:rPr>
        <w:t xml:space="preserve"> </w:t>
      </w:r>
      <w:r w:rsidRPr="00E93F40">
        <w:rPr>
          <w:color w:val="000000" w:themeColor="text1"/>
          <w:sz w:val="16"/>
          <w:szCs w:val="16"/>
        </w:rPr>
        <w:t>657</w:t>
      </w:r>
      <w:r w:rsidR="007C1411" w:rsidRPr="00E93F40">
        <w:rPr>
          <w:color w:val="000000" w:themeColor="text1"/>
          <w:sz w:val="16"/>
          <w:szCs w:val="16"/>
        </w:rPr>
        <w:t xml:space="preserve"> </w:t>
      </w:r>
      <w:r w:rsidRPr="00E93F40">
        <w:rPr>
          <w:color w:val="000000" w:themeColor="text1"/>
          <w:sz w:val="16"/>
          <w:szCs w:val="16"/>
        </w:rPr>
        <w:t>часов, потеряв 659</w:t>
      </w:r>
      <w:r w:rsidR="007C1411" w:rsidRPr="00E93F40">
        <w:rPr>
          <w:color w:val="000000" w:themeColor="text1"/>
          <w:sz w:val="16"/>
          <w:szCs w:val="16"/>
        </w:rPr>
        <w:t xml:space="preserve"> </w:t>
      </w:r>
      <w:r w:rsidRPr="00E93F40">
        <w:rPr>
          <w:color w:val="000000" w:themeColor="text1"/>
          <w:sz w:val="16"/>
          <w:szCs w:val="16"/>
        </w:rPr>
        <w:t>721</w:t>
      </w:r>
      <w:r w:rsidR="007C1411" w:rsidRPr="00E93F40">
        <w:rPr>
          <w:color w:val="000000" w:themeColor="text1"/>
          <w:sz w:val="16"/>
          <w:szCs w:val="16"/>
        </w:rPr>
        <w:t xml:space="preserve"> </w:t>
      </w:r>
      <w:r w:rsidRPr="00E93F40">
        <w:rPr>
          <w:color w:val="000000" w:themeColor="text1"/>
          <w:sz w:val="16"/>
          <w:szCs w:val="16"/>
        </w:rPr>
        <w:t>час. Это значит, что каждый станок в этом квартале дал 257 станко-часов работы, или 86,3 станко-часа в месяц. Все это говорит о том, что авиапромышленность, добившись значительных успехов в деле развития мощностей, ими пока еще не овладела и имеет огромный прорыв использования их, в основном зависящий от самой авиапромышленности.</w:t>
      </w:r>
    </w:p>
    <w:p w14:paraId="1DCDAD0E"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3. Основная продукция авиапромышленности.</w:t>
      </w:r>
    </w:p>
    <w:p w14:paraId="7674B60B" w14:textId="662F6D4D"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А. Пятилетним планом намечался выпуск с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по 1</w:t>
      </w:r>
      <w:r w:rsidR="007C1411" w:rsidRPr="00E93F40">
        <w:rPr>
          <w:color w:val="000000" w:themeColor="text1"/>
          <w:sz w:val="16"/>
          <w:szCs w:val="16"/>
        </w:rPr>
        <w:t xml:space="preserve"> </w:t>
      </w:r>
      <w:r w:rsidRPr="00E93F40">
        <w:rPr>
          <w:color w:val="000000" w:themeColor="text1"/>
          <w:sz w:val="16"/>
          <w:szCs w:val="16"/>
        </w:rPr>
        <w:t>октября 1933</w:t>
      </w:r>
      <w:r w:rsidR="007C1411" w:rsidRPr="00E93F40">
        <w:rPr>
          <w:color w:val="000000" w:themeColor="text1"/>
          <w:sz w:val="16"/>
          <w:szCs w:val="16"/>
        </w:rPr>
        <w:t xml:space="preserve"> </w:t>
      </w:r>
      <w:r w:rsidRPr="00E93F40">
        <w:rPr>
          <w:color w:val="000000" w:themeColor="text1"/>
          <w:sz w:val="16"/>
          <w:szCs w:val="16"/>
        </w:rPr>
        <w:t>г. (в мирное время) 8019 самолетов и 12</w:t>
      </w:r>
      <w:r w:rsidR="007C1411" w:rsidRPr="00E93F40">
        <w:rPr>
          <w:color w:val="000000" w:themeColor="text1"/>
          <w:sz w:val="16"/>
          <w:szCs w:val="16"/>
        </w:rPr>
        <w:t xml:space="preserve"> </w:t>
      </w:r>
      <w:r w:rsidRPr="00E93F40">
        <w:rPr>
          <w:color w:val="000000" w:themeColor="text1"/>
          <w:sz w:val="16"/>
          <w:szCs w:val="16"/>
        </w:rPr>
        <w:t>558 моторов и к 1</w:t>
      </w:r>
      <w:r w:rsidR="007C1411" w:rsidRPr="00E93F40">
        <w:rPr>
          <w:color w:val="000000" w:themeColor="text1"/>
          <w:sz w:val="16"/>
          <w:szCs w:val="16"/>
        </w:rPr>
        <w:t xml:space="preserve"> </w:t>
      </w:r>
      <w:r w:rsidRPr="00E93F40">
        <w:rPr>
          <w:color w:val="000000" w:themeColor="text1"/>
          <w:sz w:val="16"/>
          <w:szCs w:val="16"/>
        </w:rPr>
        <w:t>сентября 1932</w:t>
      </w:r>
      <w:r w:rsidR="007C1411" w:rsidRPr="00E93F40">
        <w:rPr>
          <w:color w:val="000000" w:themeColor="text1"/>
          <w:sz w:val="16"/>
          <w:szCs w:val="16"/>
        </w:rPr>
        <w:t xml:space="preserve"> </w:t>
      </w:r>
      <w:r w:rsidRPr="00E93F40">
        <w:rPr>
          <w:color w:val="000000" w:themeColor="text1"/>
          <w:sz w:val="16"/>
          <w:szCs w:val="16"/>
        </w:rPr>
        <w:t>г. с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самолетов 4871 и моторов 6956. Фактически же с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по 1</w:t>
      </w:r>
      <w:r w:rsidR="007C1411" w:rsidRPr="00E93F40">
        <w:rPr>
          <w:color w:val="000000" w:themeColor="text1"/>
          <w:sz w:val="16"/>
          <w:szCs w:val="16"/>
        </w:rPr>
        <w:t xml:space="preserve"> </w:t>
      </w:r>
      <w:r w:rsidRPr="00E93F40">
        <w:rPr>
          <w:color w:val="000000" w:themeColor="text1"/>
          <w:sz w:val="16"/>
          <w:szCs w:val="16"/>
        </w:rPr>
        <w:t>сентября 1932</w:t>
      </w:r>
      <w:r w:rsidR="007C1411" w:rsidRPr="00E93F40">
        <w:rPr>
          <w:color w:val="000000" w:themeColor="text1"/>
          <w:sz w:val="16"/>
          <w:szCs w:val="16"/>
        </w:rPr>
        <w:t xml:space="preserve"> </w:t>
      </w:r>
      <w:r w:rsidRPr="00E93F40">
        <w:rPr>
          <w:color w:val="000000" w:themeColor="text1"/>
          <w:sz w:val="16"/>
          <w:szCs w:val="16"/>
        </w:rPr>
        <w:t xml:space="preserve">г. выпущено самолетов 5274 и моторов 7113. Таким образом, фактический выпуск продукции идет значительно выше наметок пятилетнего плана. Это, хотя и существенный факт, но он не является решающим для оценки того, насколько авиапромышленность справляется </w:t>
      </w:r>
      <w:r w:rsidRPr="00E93F40">
        <w:rPr>
          <w:rStyle w:val="af0"/>
          <w:i w:val="0"/>
          <w:color w:val="000000" w:themeColor="text1"/>
          <w:sz w:val="16"/>
          <w:szCs w:val="16"/>
        </w:rPr>
        <w:t>с</w:t>
      </w:r>
      <w:r w:rsidRPr="00E93F40">
        <w:rPr>
          <w:color w:val="000000" w:themeColor="text1"/>
          <w:sz w:val="16"/>
          <w:szCs w:val="16"/>
        </w:rPr>
        <w:t xml:space="preserve"> поставленными перед ней задачами, так как в пятилетием плане не был учтен ряд новых возможностей для более быстрого роста авиапромышленности, поэтому решающим для оценки в вопросе выпуска является сравнение фактического выпуска с заданиями годовых контрольных цифр. Годовые планы выпуска продукции и фактический выпуск ее имеет огромное расхождение, что видно из следующих данных: выпущено от годового плана в 1928/29</w:t>
      </w:r>
      <w:r w:rsidR="007C1411" w:rsidRPr="00E93F40">
        <w:rPr>
          <w:color w:val="000000" w:themeColor="text1"/>
          <w:sz w:val="16"/>
          <w:szCs w:val="16"/>
        </w:rPr>
        <w:t xml:space="preserve"> </w:t>
      </w:r>
      <w:r w:rsidRPr="00E93F40">
        <w:rPr>
          <w:color w:val="000000" w:themeColor="text1"/>
          <w:sz w:val="16"/>
          <w:szCs w:val="16"/>
        </w:rPr>
        <w:t>г. самолетов 86%, моторов 92%; в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самолетов 91%, моторов 89%; в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самолетов 41,8%, моторов 38% и за 8 месяцев 1932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самолетов 83,5% и моторов 92,5%. Народнохозяйственное и оборонное значение этого факта ярко иллюстрируется следующим: за время с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авиапромышленность не додала стране 2672 самолета и 3057</w:t>
      </w:r>
      <w:r w:rsidR="007C1411" w:rsidRPr="00E93F40">
        <w:rPr>
          <w:color w:val="000000" w:themeColor="text1"/>
          <w:sz w:val="16"/>
          <w:szCs w:val="16"/>
        </w:rPr>
        <w:t xml:space="preserve"> </w:t>
      </w:r>
      <w:r w:rsidRPr="00E93F40">
        <w:rPr>
          <w:color w:val="000000" w:themeColor="text1"/>
          <w:sz w:val="16"/>
          <w:szCs w:val="16"/>
        </w:rPr>
        <w:t>моторов, из них в одном только 1931</w:t>
      </w:r>
      <w:r w:rsidR="007C1411" w:rsidRPr="00E93F40">
        <w:rPr>
          <w:color w:val="000000" w:themeColor="text1"/>
          <w:sz w:val="16"/>
          <w:szCs w:val="16"/>
        </w:rPr>
        <w:t xml:space="preserve"> </w:t>
      </w:r>
      <w:r w:rsidRPr="00E93F40">
        <w:rPr>
          <w:color w:val="000000" w:themeColor="text1"/>
          <w:sz w:val="16"/>
          <w:szCs w:val="16"/>
        </w:rPr>
        <w:t>г. она не додала самолетов 2045 и моторов 2731; 8</w:t>
      </w:r>
      <w:r w:rsidR="007C1411" w:rsidRPr="00E93F40">
        <w:rPr>
          <w:color w:val="000000" w:themeColor="text1"/>
          <w:sz w:val="16"/>
          <w:szCs w:val="16"/>
        </w:rPr>
        <w:t xml:space="preserve"> </w:t>
      </w:r>
      <w:r w:rsidRPr="00E93F40">
        <w:rPr>
          <w:color w:val="000000" w:themeColor="text1"/>
          <w:sz w:val="16"/>
          <w:szCs w:val="16"/>
        </w:rPr>
        <w:t>месяцев 1932</w:t>
      </w:r>
      <w:r w:rsidR="007C1411" w:rsidRPr="00E93F40">
        <w:rPr>
          <w:color w:val="000000" w:themeColor="text1"/>
          <w:sz w:val="16"/>
          <w:szCs w:val="16"/>
        </w:rPr>
        <w:t xml:space="preserve"> </w:t>
      </w:r>
      <w:r w:rsidRPr="00E93F40">
        <w:rPr>
          <w:color w:val="000000" w:themeColor="text1"/>
          <w:sz w:val="16"/>
          <w:szCs w:val="16"/>
        </w:rPr>
        <w:t>г. в этом отношении, как видно, не принесли перелома. Имея такое большое недовыполнение по выпуску продукции, авиапромышленность все же в этом отношении проделала громадный путь: дав за все предыдущее пятилетие с 1</w:t>
      </w:r>
      <w:r w:rsidR="007C1411" w:rsidRPr="00E93F40">
        <w:rPr>
          <w:color w:val="000000" w:themeColor="text1"/>
          <w:sz w:val="16"/>
          <w:szCs w:val="16"/>
        </w:rPr>
        <w:t xml:space="preserve"> </w:t>
      </w:r>
      <w:r w:rsidRPr="00E93F40">
        <w:rPr>
          <w:color w:val="000000" w:themeColor="text1"/>
          <w:sz w:val="16"/>
          <w:szCs w:val="16"/>
        </w:rPr>
        <w:t>октября 1923</w:t>
      </w:r>
      <w:r w:rsidR="007C1411" w:rsidRPr="00E93F40">
        <w:rPr>
          <w:color w:val="000000" w:themeColor="text1"/>
          <w:sz w:val="16"/>
          <w:szCs w:val="16"/>
        </w:rPr>
        <w:t xml:space="preserve"> </w:t>
      </w:r>
      <w:r w:rsidRPr="00E93F40">
        <w:rPr>
          <w:color w:val="000000" w:themeColor="text1"/>
          <w:sz w:val="16"/>
          <w:szCs w:val="16"/>
        </w:rPr>
        <w:t>г. по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2048</w:t>
      </w:r>
      <w:r w:rsidR="007C1411" w:rsidRPr="00E93F40">
        <w:rPr>
          <w:color w:val="000000" w:themeColor="text1"/>
          <w:sz w:val="16"/>
          <w:szCs w:val="16"/>
        </w:rPr>
        <w:t xml:space="preserve"> </w:t>
      </w:r>
      <w:r w:rsidRPr="00E93F40">
        <w:rPr>
          <w:color w:val="000000" w:themeColor="text1"/>
          <w:sz w:val="16"/>
          <w:szCs w:val="16"/>
        </w:rPr>
        <w:t>самолетов и 1545</w:t>
      </w:r>
      <w:r w:rsidR="007C1411" w:rsidRPr="00E93F40">
        <w:rPr>
          <w:color w:val="000000" w:themeColor="text1"/>
          <w:sz w:val="16"/>
          <w:szCs w:val="16"/>
        </w:rPr>
        <w:t xml:space="preserve"> </w:t>
      </w:r>
      <w:r w:rsidRPr="00E93F40">
        <w:rPr>
          <w:color w:val="000000" w:themeColor="text1"/>
          <w:sz w:val="16"/>
          <w:szCs w:val="16"/>
        </w:rPr>
        <w:t>моторов, она лишь только за 8</w:t>
      </w:r>
      <w:r w:rsidR="007C1411" w:rsidRPr="00E93F40">
        <w:rPr>
          <w:color w:val="000000" w:themeColor="text1"/>
          <w:sz w:val="16"/>
          <w:szCs w:val="16"/>
        </w:rPr>
        <w:t xml:space="preserve"> </w:t>
      </w:r>
      <w:r w:rsidRPr="00E93F40">
        <w:rPr>
          <w:color w:val="000000" w:themeColor="text1"/>
          <w:sz w:val="16"/>
          <w:szCs w:val="16"/>
        </w:rPr>
        <w:t>месяцев 1932</w:t>
      </w:r>
      <w:r w:rsidR="007C1411" w:rsidRPr="00E93F40">
        <w:rPr>
          <w:color w:val="000000" w:themeColor="text1"/>
          <w:sz w:val="16"/>
          <w:szCs w:val="16"/>
        </w:rPr>
        <w:t xml:space="preserve"> </w:t>
      </w:r>
      <w:r w:rsidRPr="00E93F40">
        <w:rPr>
          <w:color w:val="000000" w:themeColor="text1"/>
          <w:sz w:val="16"/>
          <w:szCs w:val="16"/>
        </w:rPr>
        <w:t>г. дала 2932</w:t>
      </w:r>
      <w:r w:rsidR="007C1411" w:rsidRPr="00E93F40">
        <w:rPr>
          <w:color w:val="000000" w:themeColor="text1"/>
          <w:sz w:val="16"/>
          <w:szCs w:val="16"/>
        </w:rPr>
        <w:t xml:space="preserve"> </w:t>
      </w:r>
      <w:r w:rsidRPr="00E93F40">
        <w:rPr>
          <w:color w:val="000000" w:themeColor="text1"/>
          <w:sz w:val="16"/>
          <w:szCs w:val="16"/>
        </w:rPr>
        <w:t>мотора и 1544</w:t>
      </w:r>
      <w:r w:rsidR="007C1411" w:rsidRPr="00E93F40">
        <w:rPr>
          <w:color w:val="000000" w:themeColor="text1"/>
          <w:sz w:val="16"/>
          <w:szCs w:val="16"/>
        </w:rPr>
        <w:t xml:space="preserve"> </w:t>
      </w:r>
      <w:r w:rsidRPr="00E93F40">
        <w:rPr>
          <w:color w:val="000000" w:themeColor="text1"/>
          <w:sz w:val="16"/>
          <w:szCs w:val="16"/>
        </w:rPr>
        <w:t>самолета.</w:t>
      </w:r>
    </w:p>
    <w:p w14:paraId="7678BA88" w14:textId="42A6E77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Б. Бичом авиапромышленности и ее потребителей являлся и пока еще является некомплектный выпуск продукции. Так, сравнивая выпуск самолетов и моторов по годам, мы получаем следующее соотношение: выпущено моторов на один самолет в 1928/29</w:t>
      </w:r>
      <w:r w:rsidR="007C1411" w:rsidRPr="00E93F40">
        <w:rPr>
          <w:color w:val="000000" w:themeColor="text1"/>
          <w:sz w:val="16"/>
          <w:szCs w:val="16"/>
        </w:rPr>
        <w:t xml:space="preserve"> </w:t>
      </w:r>
      <w:r w:rsidRPr="00E93F40">
        <w:rPr>
          <w:color w:val="000000" w:themeColor="text1"/>
          <w:sz w:val="16"/>
          <w:szCs w:val="16"/>
        </w:rPr>
        <w:t>г. 0,93; в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1,3; в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1,1 и по плану 1932</w:t>
      </w:r>
      <w:r w:rsidR="007C1411" w:rsidRPr="00E93F40">
        <w:rPr>
          <w:color w:val="000000" w:themeColor="text1"/>
          <w:sz w:val="16"/>
          <w:szCs w:val="16"/>
        </w:rPr>
        <w:t xml:space="preserve"> </w:t>
      </w:r>
      <w:r w:rsidRPr="00E93F40">
        <w:rPr>
          <w:color w:val="000000" w:themeColor="text1"/>
          <w:sz w:val="16"/>
          <w:szCs w:val="16"/>
        </w:rPr>
        <w:t>г. намечено 1,6, а за 8 месяцев 1932</w:t>
      </w:r>
      <w:r w:rsidR="007C1411" w:rsidRPr="00E93F40">
        <w:rPr>
          <w:color w:val="000000" w:themeColor="text1"/>
          <w:sz w:val="16"/>
          <w:szCs w:val="16"/>
        </w:rPr>
        <w:t xml:space="preserve"> </w:t>
      </w:r>
      <w:r w:rsidRPr="00E93F40">
        <w:rPr>
          <w:color w:val="000000" w:themeColor="text1"/>
          <w:sz w:val="16"/>
          <w:szCs w:val="16"/>
        </w:rPr>
        <w:t>г. фактически достигнуто соотношение 1,9. Достигнутое соотношение является, безусловно, крупным успехом, но оно все же недостаточно, так как не обеспечивает нормального использования самолетной продукции, особенно в связи с быстрым ростом двух- и многомоторных самолетов.</w:t>
      </w:r>
    </w:p>
    <w:p w14:paraId="1098DB09" w14:textId="4B899F4E"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Еще более остро обстояло дело с выпуском продукции подсобными производствами. Даже в 1932</w:t>
      </w:r>
      <w:r w:rsidR="007C1411" w:rsidRPr="00E93F40">
        <w:rPr>
          <w:color w:val="000000" w:themeColor="text1"/>
          <w:sz w:val="16"/>
          <w:szCs w:val="16"/>
        </w:rPr>
        <w:t xml:space="preserve"> </w:t>
      </w:r>
      <w:r w:rsidRPr="00E93F40">
        <w:rPr>
          <w:color w:val="000000" w:themeColor="text1"/>
          <w:sz w:val="16"/>
          <w:szCs w:val="16"/>
        </w:rPr>
        <w:t>г., когда подсобные производства авиапромышленности имели уже солидную производственную базу в лице заводов [№]</w:t>
      </w:r>
      <w:r w:rsidR="007C1411" w:rsidRPr="00E93F40">
        <w:rPr>
          <w:color w:val="000000" w:themeColor="text1"/>
          <w:sz w:val="16"/>
          <w:szCs w:val="16"/>
        </w:rPr>
        <w:t xml:space="preserve"> </w:t>
      </w:r>
      <w:r w:rsidRPr="00E93F40">
        <w:rPr>
          <w:color w:val="000000" w:themeColor="text1"/>
          <w:sz w:val="16"/>
          <w:szCs w:val="16"/>
        </w:rPr>
        <w:t>20 и 33, 32 и 28, выпуск этих заводов значительно отставал от выпуска продукции самолетостроительными и моторостроительными заводами. Например, 32</w:t>
      </w:r>
      <w:r w:rsidRPr="00E93F40">
        <w:rPr>
          <w:color w:val="000000" w:themeColor="text1"/>
          <w:sz w:val="16"/>
          <w:szCs w:val="16"/>
        </w:rPr>
        <w:noBreakHyphen/>
        <w:t>й завод, выпускающий вооружение, за 8</w:t>
      </w:r>
      <w:r w:rsidR="007C1411" w:rsidRPr="00E93F40">
        <w:rPr>
          <w:color w:val="000000" w:themeColor="text1"/>
          <w:sz w:val="16"/>
          <w:szCs w:val="16"/>
        </w:rPr>
        <w:t xml:space="preserve"> </w:t>
      </w:r>
      <w:r w:rsidRPr="00E93F40">
        <w:rPr>
          <w:color w:val="000000" w:themeColor="text1"/>
          <w:sz w:val="16"/>
          <w:szCs w:val="16"/>
        </w:rPr>
        <w:t>месяцев дал валовой продукции на сумму 4101,8</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вместо 6956,6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 плану на то же время, или 59,8</w:t>
      </w:r>
      <w:r w:rsidRPr="00E93F40">
        <w:rPr>
          <w:rStyle w:val="af0"/>
          <w:i w:val="0"/>
          <w:color w:val="000000" w:themeColor="text1"/>
          <w:sz w:val="16"/>
          <w:szCs w:val="16"/>
        </w:rPr>
        <w:t>%</w:t>
      </w:r>
      <w:r w:rsidRPr="00E93F40">
        <w:rPr>
          <w:color w:val="000000" w:themeColor="text1"/>
          <w:sz w:val="16"/>
          <w:szCs w:val="16"/>
        </w:rPr>
        <w:t xml:space="preserve"> плана. 20</w:t>
      </w:r>
      <w:r w:rsidRPr="00E93F40">
        <w:rPr>
          <w:color w:val="000000" w:themeColor="text1"/>
          <w:sz w:val="16"/>
          <w:szCs w:val="16"/>
        </w:rPr>
        <w:noBreakHyphen/>
        <w:t>й завод, выпускающий важные детали для самолетов и моторов, за тот же срок дал валовой продукции на 856,4</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вместо 1802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или 47,5% к плану. 33</w:t>
      </w:r>
      <w:r w:rsidRPr="00E93F40">
        <w:rPr>
          <w:color w:val="000000" w:themeColor="text1"/>
          <w:sz w:val="16"/>
          <w:szCs w:val="16"/>
        </w:rPr>
        <w:noBreakHyphen/>
        <w:t>й завод, выпускающий карбюраторы, дал соответственно на 2454,3</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вместо 3137</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или 78,3</w:t>
      </w:r>
      <w:r w:rsidRPr="00E93F40">
        <w:rPr>
          <w:rStyle w:val="af0"/>
          <w:i w:val="0"/>
          <w:color w:val="000000" w:themeColor="text1"/>
          <w:sz w:val="16"/>
          <w:szCs w:val="16"/>
        </w:rPr>
        <w:t>%.</w:t>
      </w:r>
      <w:r w:rsidRPr="00E93F40">
        <w:rPr>
          <w:color w:val="000000" w:themeColor="text1"/>
          <w:sz w:val="16"/>
          <w:szCs w:val="16"/>
        </w:rPr>
        <w:t xml:space="preserve"> И лишь только завод №</w:t>
      </w:r>
      <w:r w:rsidR="007C1411" w:rsidRPr="00E93F40">
        <w:rPr>
          <w:color w:val="000000" w:themeColor="text1"/>
          <w:sz w:val="16"/>
          <w:szCs w:val="16"/>
        </w:rPr>
        <w:t xml:space="preserve"> </w:t>
      </w:r>
      <w:r w:rsidRPr="00E93F40">
        <w:rPr>
          <w:color w:val="000000" w:themeColor="text1"/>
          <w:sz w:val="16"/>
          <w:szCs w:val="16"/>
        </w:rPr>
        <w:t>28 за это время дал продукцию (винты и лыжи) на 103</w:t>
      </w:r>
      <w:r w:rsidRPr="00E93F40">
        <w:rPr>
          <w:rStyle w:val="af0"/>
          <w:i w:val="0"/>
          <w:color w:val="000000" w:themeColor="text1"/>
          <w:sz w:val="16"/>
          <w:szCs w:val="16"/>
        </w:rPr>
        <w:t>%.</w:t>
      </w:r>
      <w:r w:rsidRPr="00E93F40">
        <w:rPr>
          <w:color w:val="000000" w:themeColor="text1"/>
          <w:sz w:val="16"/>
          <w:szCs w:val="16"/>
        </w:rPr>
        <w:t xml:space="preserve"> Такое положение соотношения продукции самолетостроительных, моторостроительных заводов и подсобных являлось и является крупнейшим препятствием в деле реализации планового выпуска и в большой мере тормозит использование уже готовой продукции.</w:t>
      </w:r>
    </w:p>
    <w:p w14:paraId="5317A3D6" w14:textId="2654F82B"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Некомплектность производства является одной из решающих причин того, что на протяжении всех лет пятилетки имеет место непрерывный рост незавершенного производства, составлявшего в ценах соответствующих лет: 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10</w:t>
      </w:r>
      <w:r w:rsidR="007C1411" w:rsidRPr="00E93F40">
        <w:rPr>
          <w:color w:val="000000" w:themeColor="text1"/>
          <w:sz w:val="16"/>
          <w:szCs w:val="16"/>
        </w:rPr>
        <w:t xml:space="preserve"> </w:t>
      </w:r>
      <w:r w:rsidRPr="00E93F40">
        <w:rPr>
          <w:color w:val="000000" w:themeColor="text1"/>
          <w:sz w:val="16"/>
          <w:szCs w:val="16"/>
        </w:rPr>
        <w:t>297,2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1</w:t>
      </w:r>
      <w:r w:rsidR="007C1411" w:rsidRPr="00E93F40">
        <w:rPr>
          <w:color w:val="000000" w:themeColor="text1"/>
          <w:sz w:val="16"/>
          <w:szCs w:val="16"/>
        </w:rPr>
        <w:t xml:space="preserve"> </w:t>
      </w:r>
      <w:r w:rsidRPr="00E93F40">
        <w:rPr>
          <w:color w:val="000000" w:themeColor="text1"/>
          <w:sz w:val="16"/>
          <w:szCs w:val="16"/>
        </w:rPr>
        <w:t>октября 1929</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11</w:t>
      </w:r>
      <w:r w:rsidR="007C1411" w:rsidRPr="00E93F40">
        <w:rPr>
          <w:color w:val="000000" w:themeColor="text1"/>
          <w:sz w:val="16"/>
          <w:szCs w:val="16"/>
        </w:rPr>
        <w:t xml:space="preserve"> </w:t>
      </w:r>
      <w:r w:rsidRPr="00E93F40">
        <w:rPr>
          <w:color w:val="000000" w:themeColor="text1"/>
          <w:sz w:val="16"/>
          <w:szCs w:val="16"/>
        </w:rPr>
        <w:t>742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на 1</w:t>
      </w:r>
      <w:r w:rsidR="007C1411" w:rsidRPr="00E93F40">
        <w:rPr>
          <w:color w:val="000000" w:themeColor="text1"/>
          <w:sz w:val="16"/>
          <w:szCs w:val="16"/>
        </w:rPr>
        <w:t xml:space="preserve"> </w:t>
      </w:r>
      <w:r w:rsidRPr="00E93F40">
        <w:rPr>
          <w:color w:val="000000" w:themeColor="text1"/>
          <w:sz w:val="16"/>
          <w:szCs w:val="16"/>
        </w:rPr>
        <w:t>октября 1930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17</w:t>
      </w:r>
      <w:r w:rsidR="007C1411" w:rsidRPr="00E93F40">
        <w:rPr>
          <w:color w:val="000000" w:themeColor="text1"/>
          <w:sz w:val="16"/>
          <w:szCs w:val="16"/>
        </w:rPr>
        <w:t xml:space="preserve"> </w:t>
      </w:r>
      <w:r w:rsidRPr="00E93F40">
        <w:rPr>
          <w:color w:val="000000" w:themeColor="text1"/>
          <w:sz w:val="16"/>
          <w:szCs w:val="16"/>
        </w:rPr>
        <w:t>237,1</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и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53</w:t>
      </w:r>
      <w:r w:rsidR="007C1411" w:rsidRPr="00E93F40">
        <w:rPr>
          <w:color w:val="000000" w:themeColor="text1"/>
          <w:sz w:val="16"/>
          <w:szCs w:val="16"/>
        </w:rPr>
        <w:t xml:space="preserve"> </w:t>
      </w:r>
      <w:r w:rsidRPr="00E93F40">
        <w:rPr>
          <w:color w:val="000000" w:themeColor="text1"/>
          <w:sz w:val="16"/>
          <w:szCs w:val="16"/>
        </w:rPr>
        <w:t>390,4</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Удельный вес этих величин в выпускаемой продукции поднялся с 29% на 1</w:t>
      </w:r>
      <w:r w:rsidR="007C1411" w:rsidRPr="00E93F40">
        <w:rPr>
          <w:color w:val="000000" w:themeColor="text1"/>
          <w:sz w:val="16"/>
          <w:szCs w:val="16"/>
        </w:rPr>
        <w:t xml:space="preserve"> </w:t>
      </w:r>
      <w:r w:rsidRPr="00E93F40">
        <w:rPr>
          <w:color w:val="000000" w:themeColor="text1"/>
          <w:sz w:val="16"/>
          <w:szCs w:val="16"/>
        </w:rPr>
        <w:t>октября 1929</w:t>
      </w:r>
      <w:r w:rsidR="007C1411" w:rsidRPr="00E93F40">
        <w:rPr>
          <w:color w:val="000000" w:themeColor="text1"/>
          <w:sz w:val="16"/>
          <w:szCs w:val="16"/>
        </w:rPr>
        <w:t xml:space="preserve"> </w:t>
      </w:r>
      <w:r w:rsidRPr="00E93F40">
        <w:rPr>
          <w:color w:val="000000" w:themeColor="text1"/>
          <w:sz w:val="16"/>
          <w:szCs w:val="16"/>
        </w:rPr>
        <w:t>г. до 34,1%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что, в свою очередь, повлекло за собой (вместе с ростом брака) уменьшение удельного веса товарной продукции в валовой, так она в стоимостном выражении составляла в 1928/29</w:t>
      </w:r>
      <w:r w:rsidR="007C1411" w:rsidRPr="00E93F40">
        <w:rPr>
          <w:color w:val="000000" w:themeColor="text1"/>
          <w:sz w:val="16"/>
          <w:szCs w:val="16"/>
        </w:rPr>
        <w:t xml:space="preserve"> </w:t>
      </w:r>
      <w:r w:rsidRPr="00E93F40">
        <w:rPr>
          <w:color w:val="000000" w:themeColor="text1"/>
          <w:sz w:val="16"/>
          <w:szCs w:val="16"/>
        </w:rPr>
        <w:t>г. 92,3%, в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75,26% и в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73,15</w:t>
      </w:r>
      <w:r w:rsidRPr="00E93F40">
        <w:rPr>
          <w:rStyle w:val="af0"/>
          <w:i w:val="0"/>
          <w:color w:val="000000" w:themeColor="text1"/>
          <w:sz w:val="16"/>
          <w:szCs w:val="16"/>
        </w:rPr>
        <w:t>%.</w:t>
      </w:r>
    </w:p>
    <w:p w14:paraId="4CF53217" w14:textId="27095A75"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w:t>
      </w:r>
      <w:r w:rsidR="007C1411" w:rsidRPr="00E93F40">
        <w:rPr>
          <w:color w:val="000000" w:themeColor="text1"/>
          <w:sz w:val="16"/>
          <w:szCs w:val="16"/>
        </w:rPr>
        <w:t xml:space="preserve"> </w:t>
      </w:r>
      <w:r w:rsidRPr="00E93F40">
        <w:rPr>
          <w:color w:val="000000" w:themeColor="text1"/>
          <w:sz w:val="16"/>
          <w:szCs w:val="16"/>
        </w:rPr>
        <w:t>Характер продукции авиапромышленности за рассматриваемое пятилетие изменился существенно. Пятилетняя наметка предусматривала следующее соотношение между типами: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61"/>
        <w:gridCol w:w="1613"/>
        <w:gridCol w:w="1612"/>
        <w:gridCol w:w="1612"/>
        <w:gridCol w:w="1612"/>
        <w:gridCol w:w="1612"/>
      </w:tblGrid>
      <w:tr w:rsidR="00DA227A" w:rsidRPr="00E93F40" w14:paraId="2A9DDFD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8F8507" w14:textId="2B6DC629"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F543B" w14:textId="1DC9208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2A7D" w14:textId="01F65ED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DA2BA" w14:textId="465A4CE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87E96" w14:textId="5167CA0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E445" w14:textId="5258B50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25A0926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A23AE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9464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A777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5463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3010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C003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51,9</w:t>
            </w:r>
          </w:p>
        </w:tc>
      </w:tr>
      <w:tr w:rsidR="00DA227A" w:rsidRPr="00E93F40" w14:paraId="76E8B8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1C2B7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B5B3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79D5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C8B7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E50A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9185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31,6</w:t>
            </w:r>
          </w:p>
        </w:tc>
      </w:tr>
      <w:tr w:rsidR="00DA227A" w:rsidRPr="00E93F40" w14:paraId="405FA1D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B6AC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C2A1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7670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7897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C75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84F8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w:t>
            </w:r>
          </w:p>
        </w:tc>
      </w:tr>
      <w:tr w:rsidR="00DA227A" w:rsidRPr="00E93F40" w14:paraId="1F33F51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0D06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8FA8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0F75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CE79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E88A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D92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1,...⁶*</w:t>
            </w:r>
          </w:p>
        </w:tc>
      </w:tr>
      <w:tr w:rsidR="00DA227A" w:rsidRPr="00E93F40" w14:paraId="2D7EE10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4DCB6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1B73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E8FA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A997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E5E3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1769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r>
      <w:tr w:rsidR="00DA227A" w:rsidRPr="00E93F40" w14:paraId="5BEFA6A3"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8BE50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C6F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7873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A2DE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EEAE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580E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bl>
    <w:p w14:paraId="13D8B14E" w14:textId="29E064E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Таким образом, предполагалось к концу пятилетки по сравнению с первым годом ее незначительное увеличение удельного веса разведывательной авиации при ее абсолютном преобладании в выпуске; незначительное снижение удельного веса истребительной авиации; почти учетверение удельного веса бомбардировочной и резкое снижение учебной авиации. Фактически мы имеем следующее соотношение между типами самолетов (выпуск 1931</w:t>
      </w:r>
      <w:r w:rsidR="007C1411" w:rsidRPr="00E93F40">
        <w:rPr>
          <w:color w:val="000000" w:themeColor="text1"/>
          <w:sz w:val="16"/>
          <w:szCs w:val="16"/>
        </w:rPr>
        <w:t xml:space="preserve"> </w:t>
      </w:r>
      <w:r w:rsidRPr="00E93F40">
        <w:rPr>
          <w:color w:val="000000" w:themeColor="text1"/>
          <w:sz w:val="16"/>
          <w:szCs w:val="16"/>
        </w:rPr>
        <w:t>г.): разведчиков</w:t>
      </w:r>
      <w:r w:rsidR="007C1411" w:rsidRPr="00E93F40">
        <w:rPr>
          <w:color w:val="000000" w:themeColor="text1"/>
          <w:sz w:val="16"/>
          <w:szCs w:val="16"/>
        </w:rPr>
        <w:t xml:space="preserve"> </w:t>
      </w:r>
      <w:r w:rsidRPr="00E93F40">
        <w:rPr>
          <w:color w:val="000000" w:themeColor="text1"/>
          <w:sz w:val="16"/>
          <w:szCs w:val="16"/>
        </w:rPr>
        <w:t>— 43,9%, истребителей</w:t>
      </w:r>
      <w:r w:rsidR="007C1411" w:rsidRPr="00E93F40">
        <w:rPr>
          <w:color w:val="000000" w:themeColor="text1"/>
          <w:sz w:val="16"/>
          <w:szCs w:val="16"/>
        </w:rPr>
        <w:t xml:space="preserve"> </w:t>
      </w:r>
      <w:r w:rsidRPr="00E93F40">
        <w:rPr>
          <w:color w:val="000000" w:themeColor="text1"/>
          <w:sz w:val="16"/>
          <w:szCs w:val="16"/>
        </w:rPr>
        <w:t>— 14,6%, бомбардировщиков</w:t>
      </w:r>
      <w:r w:rsidR="007C1411" w:rsidRPr="00E93F40">
        <w:rPr>
          <w:color w:val="000000" w:themeColor="text1"/>
          <w:sz w:val="16"/>
          <w:szCs w:val="16"/>
        </w:rPr>
        <w:t xml:space="preserve"> </w:t>
      </w:r>
      <w:r w:rsidRPr="00E93F40">
        <w:rPr>
          <w:color w:val="000000" w:themeColor="text1"/>
          <w:sz w:val="16"/>
          <w:szCs w:val="16"/>
        </w:rPr>
        <w:t>— 12,2%, транспортной</w:t>
      </w:r>
      <w:r w:rsidR="007C1411" w:rsidRPr="00E93F40">
        <w:rPr>
          <w:color w:val="000000" w:themeColor="text1"/>
          <w:sz w:val="16"/>
          <w:szCs w:val="16"/>
        </w:rPr>
        <w:t xml:space="preserve"> </w:t>
      </w:r>
      <w:r w:rsidRPr="00E93F40">
        <w:rPr>
          <w:color w:val="000000" w:themeColor="text1"/>
          <w:sz w:val="16"/>
          <w:szCs w:val="16"/>
        </w:rPr>
        <w:t>— 2,2% и учебной</w:t>
      </w:r>
      <w:r w:rsidR="007C1411" w:rsidRPr="00E93F40">
        <w:rPr>
          <w:color w:val="000000" w:themeColor="text1"/>
          <w:sz w:val="16"/>
          <w:szCs w:val="16"/>
        </w:rPr>
        <w:t xml:space="preserve"> </w:t>
      </w:r>
      <w:r w:rsidRPr="00E93F40">
        <w:rPr>
          <w:color w:val="000000" w:themeColor="text1"/>
          <w:sz w:val="16"/>
          <w:szCs w:val="16"/>
        </w:rPr>
        <w:t>— 27,1%. Обращает внимание бурный рост бомбардировочной авиации и учебной, что объясняется, с одной стороны, интересами обороны страны, предъявляющей спрос на тяжелые мощные самолеты; с другой стороны, необходимостью форсированной подготовки кадров для воздушного флота как для военного, так и для гражданского (учебная авиация).</w:t>
      </w:r>
    </w:p>
    <w:p w14:paraId="7B16BB00" w14:textId="24A92E2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Внутри указанных групп происходит бурный процесс замены одних марок самолетов другими более скоростными и мощными. Например, если в 1929</w:t>
      </w:r>
      <w:r w:rsidR="007C1411" w:rsidRPr="00E93F40">
        <w:rPr>
          <w:color w:val="000000" w:themeColor="text1"/>
          <w:sz w:val="16"/>
          <w:szCs w:val="16"/>
        </w:rPr>
        <w:t xml:space="preserve"> </w:t>
      </w:r>
      <w:r w:rsidRPr="00E93F40">
        <w:rPr>
          <w:color w:val="000000" w:themeColor="text1"/>
          <w:sz w:val="16"/>
          <w:szCs w:val="16"/>
        </w:rPr>
        <w:t>г. выпущенные самолеты для учебной авиации характеризуются самолетом У</w:t>
      </w:r>
      <w:r w:rsidRPr="00E93F40">
        <w:rPr>
          <w:color w:val="000000" w:themeColor="text1"/>
          <w:sz w:val="16"/>
          <w:szCs w:val="16"/>
        </w:rPr>
        <w:noBreakHyphen/>
        <w:t>1, имеющим 120</w:t>
      </w:r>
      <w:r w:rsidR="007C1411" w:rsidRPr="00E93F40">
        <w:rPr>
          <w:color w:val="000000" w:themeColor="text1"/>
          <w:sz w:val="16"/>
          <w:szCs w:val="16"/>
        </w:rPr>
        <w:t xml:space="preserve"> </w:t>
      </w:r>
      <w:r w:rsidRPr="00E93F40">
        <w:rPr>
          <w:color w:val="000000" w:themeColor="text1"/>
          <w:sz w:val="16"/>
          <w:szCs w:val="16"/>
        </w:rPr>
        <w:t>НР мотор и скорость в ...⁸*км/ч и ...кг грузоподъемности, то в 1931</w:t>
      </w:r>
      <w:r w:rsidR="007C1411" w:rsidRPr="00E93F40">
        <w:rPr>
          <w:color w:val="000000" w:themeColor="text1"/>
          <w:sz w:val="16"/>
          <w:szCs w:val="16"/>
        </w:rPr>
        <w:t xml:space="preserve"> </w:t>
      </w:r>
      <w:r w:rsidRPr="00E93F40">
        <w:rPr>
          <w:color w:val="000000" w:themeColor="text1"/>
          <w:sz w:val="16"/>
          <w:szCs w:val="16"/>
        </w:rPr>
        <w:t>г. учебная авиация характеризуется самолетов У</w:t>
      </w:r>
      <w:r w:rsidRPr="00E93F40">
        <w:rPr>
          <w:color w:val="000000" w:themeColor="text1"/>
          <w:sz w:val="16"/>
          <w:szCs w:val="16"/>
        </w:rPr>
        <w:noBreakHyphen/>
        <w:t>2, имеющим 165</w:t>
      </w:r>
      <w:r w:rsidR="007C1411" w:rsidRPr="00E93F40">
        <w:rPr>
          <w:color w:val="000000" w:themeColor="text1"/>
          <w:sz w:val="16"/>
          <w:szCs w:val="16"/>
        </w:rPr>
        <w:t xml:space="preserve"> </w:t>
      </w:r>
      <w:r w:rsidRPr="00E93F40">
        <w:rPr>
          <w:color w:val="000000" w:themeColor="text1"/>
          <w:sz w:val="16"/>
          <w:szCs w:val="16"/>
        </w:rPr>
        <w:t>НР мотор, среднюю скорость 111</w:t>
      </w:r>
      <w:r w:rsidR="007C1411" w:rsidRPr="00E93F40">
        <w:rPr>
          <w:color w:val="000000" w:themeColor="text1"/>
          <w:sz w:val="16"/>
          <w:szCs w:val="16"/>
        </w:rPr>
        <w:t xml:space="preserve"> </w:t>
      </w:r>
      <w:r w:rsidRPr="00E93F40">
        <w:rPr>
          <w:color w:val="000000" w:themeColor="text1"/>
          <w:sz w:val="16"/>
          <w:szCs w:val="16"/>
        </w:rPr>
        <w:t>км/ч и 255</w:t>
      </w:r>
      <w:r w:rsidR="007C1411" w:rsidRPr="00E93F40">
        <w:rPr>
          <w:color w:val="000000" w:themeColor="text1"/>
          <w:sz w:val="16"/>
          <w:szCs w:val="16"/>
        </w:rPr>
        <w:t xml:space="preserve"> </w:t>
      </w:r>
      <w:r w:rsidRPr="00E93F40">
        <w:rPr>
          <w:color w:val="000000" w:themeColor="text1"/>
          <w:sz w:val="16"/>
          <w:szCs w:val="16"/>
        </w:rPr>
        <w:t>кг грузоподъемности. Если в разведывательной авиации основным типом в 1928/29</w:t>
      </w:r>
      <w:r w:rsidR="007C1411" w:rsidRPr="00E93F40">
        <w:rPr>
          <w:color w:val="000000" w:themeColor="text1"/>
          <w:sz w:val="16"/>
          <w:szCs w:val="16"/>
        </w:rPr>
        <w:t xml:space="preserve"> </w:t>
      </w:r>
      <w:r w:rsidRPr="00E93F40">
        <w:rPr>
          <w:color w:val="000000" w:themeColor="text1"/>
          <w:sz w:val="16"/>
          <w:szCs w:val="16"/>
        </w:rPr>
        <w:t>г. был самолет Р</w:t>
      </w:r>
      <w:r w:rsidRPr="00E93F40">
        <w:rPr>
          <w:color w:val="000000" w:themeColor="text1"/>
          <w:sz w:val="16"/>
          <w:szCs w:val="16"/>
        </w:rPr>
        <w:noBreakHyphen/>
        <w:t>1, имеющий мотор в 400</w:t>
      </w:r>
      <w:r w:rsidR="007C1411" w:rsidRPr="00E93F40">
        <w:rPr>
          <w:color w:val="000000" w:themeColor="text1"/>
          <w:sz w:val="16"/>
          <w:szCs w:val="16"/>
        </w:rPr>
        <w:t xml:space="preserve"> </w:t>
      </w:r>
      <w:r w:rsidRPr="00E93F40">
        <w:rPr>
          <w:color w:val="000000" w:themeColor="text1"/>
          <w:sz w:val="16"/>
          <w:szCs w:val="16"/>
        </w:rPr>
        <w:t>НР, грузоподъемность 750</w:t>
      </w:r>
      <w:r w:rsidR="007C1411" w:rsidRPr="00E93F40">
        <w:rPr>
          <w:color w:val="000000" w:themeColor="text1"/>
          <w:sz w:val="16"/>
          <w:szCs w:val="16"/>
        </w:rPr>
        <w:t xml:space="preserve"> </w:t>
      </w:r>
      <w:r w:rsidRPr="00E93F40">
        <w:rPr>
          <w:color w:val="000000" w:themeColor="text1"/>
          <w:sz w:val="16"/>
          <w:szCs w:val="16"/>
        </w:rPr>
        <w:t>кг и среднюю скорость 155</w:t>
      </w:r>
      <w:r w:rsidR="007C1411" w:rsidRPr="00E93F40">
        <w:rPr>
          <w:color w:val="000000" w:themeColor="text1"/>
          <w:sz w:val="16"/>
          <w:szCs w:val="16"/>
        </w:rPr>
        <w:t xml:space="preserve"> </w:t>
      </w:r>
      <w:r w:rsidRPr="00E93F40">
        <w:rPr>
          <w:color w:val="000000" w:themeColor="text1"/>
          <w:sz w:val="16"/>
          <w:szCs w:val="16"/>
        </w:rPr>
        <w:t>км/ч, то в 1931</w:t>
      </w:r>
      <w:r w:rsidR="007C1411" w:rsidRPr="00E93F40">
        <w:rPr>
          <w:color w:val="000000" w:themeColor="text1"/>
          <w:sz w:val="16"/>
          <w:szCs w:val="16"/>
        </w:rPr>
        <w:t xml:space="preserve"> </w:t>
      </w:r>
      <w:r w:rsidRPr="00E93F40">
        <w:rPr>
          <w:color w:val="000000" w:themeColor="text1"/>
          <w:sz w:val="16"/>
          <w:szCs w:val="16"/>
        </w:rPr>
        <w:t>г. и 1932</w:t>
      </w:r>
      <w:r w:rsidR="007C1411" w:rsidRPr="00E93F40">
        <w:rPr>
          <w:color w:val="000000" w:themeColor="text1"/>
          <w:sz w:val="16"/>
          <w:szCs w:val="16"/>
        </w:rPr>
        <w:t xml:space="preserve"> </w:t>
      </w:r>
      <w:r w:rsidRPr="00E93F40">
        <w:rPr>
          <w:color w:val="000000" w:themeColor="text1"/>
          <w:sz w:val="16"/>
          <w:szCs w:val="16"/>
        </w:rPr>
        <w:t>г. продукция для разведывательной авиации характеризуется самолетом Р</w:t>
      </w:r>
      <w:r w:rsidRPr="00E93F40">
        <w:rPr>
          <w:color w:val="000000" w:themeColor="text1"/>
          <w:sz w:val="16"/>
          <w:szCs w:val="16"/>
        </w:rPr>
        <w:noBreakHyphen/>
        <w:t>5 и Р</w:t>
      </w:r>
      <w:r w:rsidRPr="00E93F40">
        <w:rPr>
          <w:color w:val="000000" w:themeColor="text1"/>
          <w:sz w:val="16"/>
          <w:szCs w:val="16"/>
        </w:rPr>
        <w:noBreakHyphen/>
        <w:t>6. Первый имеет один мотор в 680</w:t>
      </w:r>
      <w:r w:rsidR="007C1411" w:rsidRPr="00E93F40">
        <w:rPr>
          <w:color w:val="000000" w:themeColor="text1"/>
          <w:sz w:val="16"/>
          <w:szCs w:val="16"/>
        </w:rPr>
        <w:t xml:space="preserve"> </w:t>
      </w:r>
      <w:r w:rsidRPr="00E93F40">
        <w:rPr>
          <w:color w:val="000000" w:themeColor="text1"/>
          <w:sz w:val="16"/>
          <w:szCs w:val="16"/>
        </w:rPr>
        <w:t>НР, грузоподъемность 1134</w:t>
      </w:r>
      <w:r w:rsidR="007C1411" w:rsidRPr="00E93F40">
        <w:rPr>
          <w:color w:val="000000" w:themeColor="text1"/>
          <w:sz w:val="16"/>
          <w:szCs w:val="16"/>
        </w:rPr>
        <w:t xml:space="preserve"> </w:t>
      </w:r>
      <w:r w:rsidRPr="00E93F40">
        <w:rPr>
          <w:color w:val="000000" w:themeColor="text1"/>
          <w:sz w:val="16"/>
          <w:szCs w:val="16"/>
        </w:rPr>
        <w:t>кг и среднюю скорость в 180</w:t>
      </w:r>
      <w:r w:rsidR="007C1411" w:rsidRPr="00E93F40">
        <w:rPr>
          <w:color w:val="000000" w:themeColor="text1"/>
          <w:sz w:val="16"/>
          <w:szCs w:val="16"/>
        </w:rPr>
        <w:t xml:space="preserve"> </w:t>
      </w:r>
      <w:r w:rsidRPr="00E93F40">
        <w:rPr>
          <w:color w:val="000000" w:themeColor="text1"/>
          <w:sz w:val="16"/>
          <w:szCs w:val="16"/>
        </w:rPr>
        <w:t>км/ч, а второй самолет имеет два мотора по 500</w:t>
      </w:r>
      <w:r w:rsidRPr="00E93F40">
        <w:rPr>
          <w:color w:val="000000" w:themeColor="text1"/>
          <w:sz w:val="16"/>
          <w:szCs w:val="16"/>
        </w:rPr>
        <w:noBreakHyphen/>
        <w:t>730</w:t>
      </w:r>
      <w:r w:rsidR="007C1411" w:rsidRPr="00E93F40">
        <w:rPr>
          <w:color w:val="000000" w:themeColor="text1"/>
          <w:sz w:val="16"/>
          <w:szCs w:val="16"/>
        </w:rPr>
        <w:t xml:space="preserve"> </w:t>
      </w:r>
      <w:r w:rsidRPr="00E93F40">
        <w:rPr>
          <w:color w:val="000000" w:themeColor="text1"/>
          <w:sz w:val="16"/>
          <w:szCs w:val="16"/>
        </w:rPr>
        <w:t>НР, грузоподъемность 2230</w:t>
      </w:r>
      <w:r w:rsidR="007C1411" w:rsidRPr="00E93F40">
        <w:rPr>
          <w:color w:val="000000" w:themeColor="text1"/>
          <w:sz w:val="16"/>
          <w:szCs w:val="16"/>
        </w:rPr>
        <w:t xml:space="preserve"> </w:t>
      </w:r>
      <w:r w:rsidRPr="00E93F40">
        <w:rPr>
          <w:color w:val="000000" w:themeColor="text1"/>
          <w:sz w:val="16"/>
          <w:szCs w:val="16"/>
        </w:rPr>
        <w:t>кг и среднюю скорость в 190</w:t>
      </w:r>
      <w:r w:rsidR="007C1411" w:rsidRPr="00E93F40">
        <w:rPr>
          <w:color w:val="000000" w:themeColor="text1"/>
          <w:sz w:val="16"/>
          <w:szCs w:val="16"/>
        </w:rPr>
        <w:t xml:space="preserve"> </w:t>
      </w:r>
      <w:r w:rsidRPr="00E93F40">
        <w:rPr>
          <w:color w:val="000000" w:themeColor="text1"/>
          <w:sz w:val="16"/>
          <w:szCs w:val="16"/>
        </w:rPr>
        <w:t>км/ч. Если продукция авиапромышленности для бомбардировочной авиации в начале пятилетки характеризовалась самолетом ТБ</w:t>
      </w:r>
      <w:r w:rsidRPr="00E93F40">
        <w:rPr>
          <w:color w:val="000000" w:themeColor="text1"/>
          <w:sz w:val="16"/>
          <w:szCs w:val="16"/>
        </w:rPr>
        <w:noBreakHyphen/>
        <w:t>1, имеющим 2 мотора по 500</w:t>
      </w:r>
      <w:r w:rsidRPr="00E93F40">
        <w:rPr>
          <w:color w:val="000000" w:themeColor="text1"/>
          <w:sz w:val="16"/>
          <w:szCs w:val="16"/>
        </w:rPr>
        <w:noBreakHyphen/>
        <w:t>730</w:t>
      </w:r>
      <w:r w:rsidR="007C1411" w:rsidRPr="00E93F40">
        <w:rPr>
          <w:color w:val="000000" w:themeColor="text1"/>
          <w:sz w:val="16"/>
          <w:szCs w:val="16"/>
        </w:rPr>
        <w:t xml:space="preserve"> </w:t>
      </w:r>
      <w:r w:rsidRPr="00E93F40">
        <w:rPr>
          <w:color w:val="000000" w:themeColor="text1"/>
          <w:sz w:val="16"/>
          <w:szCs w:val="16"/>
        </w:rPr>
        <w:t>НР, грузоподъемность 2230</w:t>
      </w:r>
      <w:r w:rsidR="007C1411" w:rsidRPr="00E93F40">
        <w:rPr>
          <w:color w:val="000000" w:themeColor="text1"/>
          <w:sz w:val="16"/>
          <w:szCs w:val="16"/>
        </w:rPr>
        <w:t xml:space="preserve"> </w:t>
      </w:r>
      <w:r w:rsidRPr="00E93F40">
        <w:rPr>
          <w:color w:val="000000" w:themeColor="text1"/>
          <w:sz w:val="16"/>
          <w:szCs w:val="16"/>
        </w:rPr>
        <w:t>кг и среднюю скорость в 150</w:t>
      </w:r>
      <w:r w:rsidR="007C1411" w:rsidRPr="00E93F40">
        <w:rPr>
          <w:color w:val="000000" w:themeColor="text1"/>
          <w:sz w:val="16"/>
          <w:szCs w:val="16"/>
        </w:rPr>
        <w:t xml:space="preserve"> </w:t>
      </w:r>
      <w:r w:rsidRPr="00E93F40">
        <w:rPr>
          <w:color w:val="000000" w:themeColor="text1"/>
          <w:sz w:val="16"/>
          <w:szCs w:val="16"/>
        </w:rPr>
        <w:t>км/ч, то в 1931</w:t>
      </w:r>
      <w:r w:rsidRPr="00E93F40">
        <w:rPr>
          <w:color w:val="000000" w:themeColor="text1"/>
          <w:sz w:val="16"/>
          <w:szCs w:val="16"/>
        </w:rPr>
        <w:noBreakHyphen/>
        <w:t>1932</w:t>
      </w:r>
      <w:r w:rsidR="007C1411" w:rsidRPr="00E93F40">
        <w:rPr>
          <w:color w:val="000000" w:themeColor="text1"/>
          <w:sz w:val="16"/>
          <w:szCs w:val="16"/>
        </w:rPr>
        <w:t xml:space="preserve"> </w:t>
      </w:r>
      <w:r w:rsidRPr="00E93F40">
        <w:rPr>
          <w:color w:val="000000" w:themeColor="text1"/>
          <w:sz w:val="16"/>
          <w:szCs w:val="16"/>
        </w:rPr>
        <w:t>гг. она характеризуется самолетом ТБ</w:t>
      </w:r>
      <w:r w:rsidRPr="00E93F40">
        <w:rPr>
          <w:color w:val="000000" w:themeColor="text1"/>
          <w:sz w:val="16"/>
          <w:szCs w:val="16"/>
        </w:rPr>
        <w:noBreakHyphen/>
        <w:t>3, имеющим 4</w:t>
      </w:r>
      <w:r w:rsidR="007C1411" w:rsidRPr="00E93F40">
        <w:rPr>
          <w:color w:val="000000" w:themeColor="text1"/>
          <w:sz w:val="16"/>
          <w:szCs w:val="16"/>
        </w:rPr>
        <w:t xml:space="preserve"> </w:t>
      </w:r>
      <w:r w:rsidRPr="00E93F40">
        <w:rPr>
          <w:color w:val="000000" w:themeColor="text1"/>
          <w:sz w:val="16"/>
          <w:szCs w:val="16"/>
        </w:rPr>
        <w:t>мотора по 500</w:t>
      </w:r>
      <w:r w:rsidRPr="00E93F40">
        <w:rPr>
          <w:color w:val="000000" w:themeColor="text1"/>
          <w:sz w:val="16"/>
          <w:szCs w:val="16"/>
        </w:rPr>
        <w:noBreakHyphen/>
        <w:t>730</w:t>
      </w:r>
      <w:r w:rsidR="007C1411" w:rsidRPr="00E93F40">
        <w:rPr>
          <w:color w:val="000000" w:themeColor="text1"/>
          <w:sz w:val="16"/>
          <w:szCs w:val="16"/>
        </w:rPr>
        <w:t xml:space="preserve"> </w:t>
      </w:r>
      <w:r w:rsidRPr="00E93F40">
        <w:rPr>
          <w:color w:val="000000" w:themeColor="text1"/>
          <w:sz w:val="16"/>
          <w:szCs w:val="16"/>
        </w:rPr>
        <w:t>НР, грузоподъемность 6307</w:t>
      </w:r>
      <w:r w:rsidR="007C1411" w:rsidRPr="00E93F40">
        <w:rPr>
          <w:color w:val="000000" w:themeColor="text1"/>
          <w:sz w:val="16"/>
          <w:szCs w:val="16"/>
        </w:rPr>
        <w:t xml:space="preserve"> </w:t>
      </w:r>
      <w:r w:rsidRPr="00E93F40">
        <w:rPr>
          <w:color w:val="000000" w:themeColor="text1"/>
          <w:sz w:val="16"/>
          <w:szCs w:val="16"/>
        </w:rPr>
        <w:t>г. и среднюю скорость 160</w:t>
      </w:r>
      <w:r w:rsidR="007C1411" w:rsidRPr="00E93F40">
        <w:rPr>
          <w:color w:val="000000" w:themeColor="text1"/>
          <w:sz w:val="16"/>
          <w:szCs w:val="16"/>
        </w:rPr>
        <w:t xml:space="preserve"> </w:t>
      </w:r>
      <w:r w:rsidRPr="00E93F40">
        <w:rPr>
          <w:color w:val="000000" w:themeColor="text1"/>
          <w:sz w:val="16"/>
          <w:szCs w:val="16"/>
        </w:rPr>
        <w:t>км/ч. И уже в 1932</w:t>
      </w:r>
      <w:r w:rsidR="007C1411" w:rsidRPr="00E93F40">
        <w:rPr>
          <w:color w:val="000000" w:themeColor="text1"/>
          <w:sz w:val="16"/>
          <w:szCs w:val="16"/>
        </w:rPr>
        <w:t xml:space="preserve"> </w:t>
      </w:r>
      <w:r w:rsidRPr="00E93F40">
        <w:rPr>
          <w:color w:val="000000" w:themeColor="text1"/>
          <w:sz w:val="16"/>
          <w:szCs w:val="16"/>
        </w:rPr>
        <w:t>г. авиапромышленность пришла к серийному производству 6</w:t>
      </w:r>
      <w:r w:rsidRPr="00E93F40">
        <w:rPr>
          <w:color w:val="000000" w:themeColor="text1"/>
          <w:sz w:val="16"/>
          <w:szCs w:val="16"/>
        </w:rPr>
        <w:noBreakHyphen/>
        <w:t>моторных ТБ</w:t>
      </w:r>
      <w:r w:rsidRPr="00E93F40">
        <w:rPr>
          <w:color w:val="000000" w:themeColor="text1"/>
          <w:sz w:val="16"/>
          <w:szCs w:val="16"/>
        </w:rPr>
        <w:noBreakHyphen/>
        <w:t>4, которые имеют грузоподъемность до 17</w:t>
      </w:r>
      <w:r w:rsidR="007C1411" w:rsidRPr="00E93F40">
        <w:rPr>
          <w:color w:val="000000" w:themeColor="text1"/>
          <w:sz w:val="16"/>
          <w:szCs w:val="16"/>
        </w:rPr>
        <w:t xml:space="preserve"> </w:t>
      </w:r>
      <w:r w:rsidRPr="00E93F40">
        <w:rPr>
          <w:color w:val="000000" w:themeColor="text1"/>
          <w:sz w:val="16"/>
          <w:szCs w:val="16"/>
        </w:rPr>
        <w:t>т и среднюю скорость в 180</w:t>
      </w:r>
      <w:r w:rsidR="007C1411" w:rsidRPr="00E93F40">
        <w:rPr>
          <w:color w:val="000000" w:themeColor="text1"/>
          <w:sz w:val="16"/>
          <w:szCs w:val="16"/>
        </w:rPr>
        <w:t xml:space="preserve"> </w:t>
      </w:r>
      <w:r w:rsidRPr="00E93F40">
        <w:rPr>
          <w:color w:val="000000" w:themeColor="text1"/>
          <w:sz w:val="16"/>
          <w:szCs w:val="16"/>
        </w:rPr>
        <w:t>км/ч.</w:t>
      </w:r>
    </w:p>
    <w:p w14:paraId="3210DBA6" w14:textId="1ABFD195"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Также значительно возрастает удельный вес самолетов металлической конструкции. Так, в 1929</w:t>
      </w:r>
      <w:r w:rsidR="007C1411" w:rsidRPr="00E93F40">
        <w:rPr>
          <w:color w:val="000000" w:themeColor="text1"/>
          <w:sz w:val="16"/>
          <w:szCs w:val="16"/>
        </w:rPr>
        <w:t xml:space="preserve"> </w:t>
      </w:r>
      <w:r w:rsidRPr="00E93F40">
        <w:rPr>
          <w:color w:val="000000" w:themeColor="text1"/>
          <w:sz w:val="16"/>
          <w:szCs w:val="16"/>
        </w:rPr>
        <w:t>г. он составлял 9%, в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13,8% и 1932</w:t>
      </w:r>
      <w:r w:rsidR="007C1411" w:rsidRPr="00E93F40">
        <w:rPr>
          <w:color w:val="000000" w:themeColor="text1"/>
          <w:sz w:val="16"/>
          <w:szCs w:val="16"/>
        </w:rPr>
        <w:t xml:space="preserve"> </w:t>
      </w:r>
      <w:r w:rsidRPr="00E93F40">
        <w:rPr>
          <w:color w:val="000000" w:themeColor="text1"/>
          <w:sz w:val="16"/>
          <w:szCs w:val="16"/>
        </w:rPr>
        <w:t>г. дает дальнейший мощный толчок металлическому самолетостроению. Такой же силы процесс имеет место и по отношению к другим типам авиации. Особенно ярко иллюстрируются крупные сдвиги в характере готовой продукции удельным весом новой продукции в валовой, который в 1930</w:t>
      </w:r>
      <w:r w:rsidR="007C1411" w:rsidRPr="00E93F40">
        <w:rPr>
          <w:color w:val="000000" w:themeColor="text1"/>
          <w:sz w:val="16"/>
          <w:szCs w:val="16"/>
        </w:rPr>
        <w:t xml:space="preserve"> </w:t>
      </w:r>
      <w:r w:rsidRPr="00E93F40">
        <w:rPr>
          <w:color w:val="000000" w:themeColor="text1"/>
          <w:sz w:val="16"/>
          <w:szCs w:val="16"/>
        </w:rPr>
        <w:t>г. составлял 55%, в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42%. Этот факт, базирующийся на внушительном росте авиатехники, и является основной причиной происшедшего за пятилетие изменения в характере продукции авиапромышленности.</w:t>
      </w:r>
    </w:p>
    <w:p w14:paraId="4BC73177" w14:textId="5683802A"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Вместе с тем в качестве продукции имеют место значительные прорывы, особенно по моторам. Например, в 1928/29</w:t>
      </w:r>
      <w:r w:rsidR="007C1411" w:rsidRPr="00E93F40">
        <w:rPr>
          <w:color w:val="000000" w:themeColor="text1"/>
          <w:sz w:val="16"/>
          <w:szCs w:val="16"/>
        </w:rPr>
        <w:t xml:space="preserve"> </w:t>
      </w:r>
      <w:r w:rsidRPr="00E93F40">
        <w:rPr>
          <w:color w:val="000000" w:themeColor="text1"/>
          <w:sz w:val="16"/>
          <w:szCs w:val="16"/>
        </w:rPr>
        <w:t>г. брак по моторам составил 8,75</w:t>
      </w:r>
      <w:r w:rsidRPr="00E93F40">
        <w:rPr>
          <w:rStyle w:val="af0"/>
          <w:i w:val="0"/>
          <w:color w:val="000000" w:themeColor="text1"/>
          <w:sz w:val="16"/>
          <w:szCs w:val="16"/>
        </w:rPr>
        <w:t>%</w:t>
      </w:r>
      <w:r w:rsidRPr="00E93F40">
        <w:rPr>
          <w:color w:val="000000" w:themeColor="text1"/>
          <w:sz w:val="16"/>
          <w:szCs w:val="16"/>
        </w:rPr>
        <w:t xml:space="preserve"> от валовой продукции, а в 1931</w:t>
      </w:r>
      <w:r w:rsidR="007C1411" w:rsidRPr="00E93F40">
        <w:rPr>
          <w:color w:val="000000" w:themeColor="text1"/>
          <w:sz w:val="16"/>
          <w:szCs w:val="16"/>
        </w:rPr>
        <w:t xml:space="preserve"> </w:t>
      </w:r>
      <w:r w:rsidRPr="00E93F40">
        <w:rPr>
          <w:color w:val="000000" w:themeColor="text1"/>
          <w:sz w:val="16"/>
          <w:szCs w:val="16"/>
        </w:rPr>
        <w:t>г. брак по моторам достиг 16% от валовой продукции моторов. По всей авиапромышленности брак в 1931</w:t>
      </w:r>
      <w:r w:rsidR="007C1411" w:rsidRPr="00E93F40">
        <w:rPr>
          <w:color w:val="000000" w:themeColor="text1"/>
          <w:sz w:val="16"/>
          <w:szCs w:val="16"/>
        </w:rPr>
        <w:t xml:space="preserve"> </w:t>
      </w:r>
      <w:r w:rsidRPr="00E93F40">
        <w:rPr>
          <w:color w:val="000000" w:themeColor="text1"/>
          <w:sz w:val="16"/>
          <w:szCs w:val="16"/>
        </w:rPr>
        <w:t>г. составил сумму в 12 757</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или 8,15 % от всей валовой продукции. В 1932</w:t>
      </w:r>
      <w:r w:rsidR="007C1411" w:rsidRPr="00E93F40">
        <w:rPr>
          <w:color w:val="000000" w:themeColor="text1"/>
          <w:sz w:val="16"/>
          <w:szCs w:val="16"/>
        </w:rPr>
        <w:t xml:space="preserve"> </w:t>
      </w:r>
      <w:r w:rsidRPr="00E93F40">
        <w:rPr>
          <w:color w:val="000000" w:themeColor="text1"/>
          <w:sz w:val="16"/>
          <w:szCs w:val="16"/>
        </w:rPr>
        <w:t xml:space="preserve">г. особенно резко обстоит дело </w:t>
      </w:r>
      <w:r w:rsidRPr="00E93F40">
        <w:rPr>
          <w:rStyle w:val="af0"/>
          <w:i w:val="0"/>
          <w:color w:val="000000" w:themeColor="text1"/>
          <w:sz w:val="16"/>
          <w:szCs w:val="16"/>
        </w:rPr>
        <w:t>с</w:t>
      </w:r>
      <w:r w:rsidRPr="00E93F40">
        <w:rPr>
          <w:color w:val="000000" w:themeColor="text1"/>
          <w:sz w:val="16"/>
          <w:szCs w:val="16"/>
        </w:rPr>
        <w:t xml:space="preserve"> качеством моторов М</w:t>
      </w:r>
      <w:r w:rsidRPr="00E93F40">
        <w:rPr>
          <w:color w:val="000000" w:themeColor="text1"/>
          <w:sz w:val="16"/>
          <w:szCs w:val="16"/>
        </w:rPr>
        <w:noBreakHyphen/>
        <w:t>17, которые выбывают из строя после 57—10</w:t>
      </w:r>
      <w:r w:rsidRPr="00E93F40">
        <w:rPr>
          <w:color w:val="000000" w:themeColor="text1"/>
          <w:sz w:val="16"/>
          <w:szCs w:val="16"/>
        </w:rPr>
        <w:noBreakHyphen/>
        <w:t>часовой⁹* работы, и карбюраторами 33[</w:t>
      </w:r>
      <w:r w:rsidRPr="00E93F40">
        <w:rPr>
          <w:color w:val="000000" w:themeColor="text1"/>
          <w:sz w:val="16"/>
          <w:szCs w:val="16"/>
        </w:rPr>
        <w:noBreakHyphen/>
        <w:t>го] завода, дающего более 50% брака.</w:t>
      </w:r>
    </w:p>
    <w:p w14:paraId="33C18AFB" w14:textId="560D59C2"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В смысле технической вооруженности авиапромышленность, несомненно, за прошедшее время первого пятилетия проделала большой путь, поднявшись на более высокую ступень, что видно из следующих основных факторов: а)</w:t>
      </w:r>
      <w:r w:rsidR="007C1411" w:rsidRPr="00E93F40">
        <w:rPr>
          <w:color w:val="000000" w:themeColor="text1"/>
          <w:sz w:val="16"/>
          <w:szCs w:val="16"/>
        </w:rPr>
        <w:t xml:space="preserve"> </w:t>
      </w:r>
      <w:r w:rsidRPr="00E93F40">
        <w:rPr>
          <w:color w:val="000000" w:themeColor="text1"/>
          <w:sz w:val="16"/>
          <w:szCs w:val="16"/>
        </w:rPr>
        <w:t>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по всему ВАО было 4011</w:t>
      </w:r>
      <w:r w:rsidR="007C1411" w:rsidRPr="00E93F40">
        <w:rPr>
          <w:color w:val="000000" w:themeColor="text1"/>
          <w:sz w:val="16"/>
          <w:szCs w:val="16"/>
        </w:rPr>
        <w:t xml:space="preserve"> </w:t>
      </w:r>
      <w:r w:rsidRPr="00E93F40">
        <w:rPr>
          <w:color w:val="000000" w:themeColor="text1"/>
          <w:sz w:val="16"/>
          <w:szCs w:val="16"/>
        </w:rPr>
        <w:t>станков разных типов, в основной своей массе устаревшие, на 1</w:t>
      </w:r>
      <w:r w:rsidR="007C1411" w:rsidRPr="00E93F40">
        <w:rPr>
          <w:color w:val="000000" w:themeColor="text1"/>
          <w:sz w:val="16"/>
          <w:szCs w:val="16"/>
        </w:rPr>
        <w:t xml:space="preserve"> </w:t>
      </w:r>
      <w:r w:rsidRPr="00E93F40">
        <w:rPr>
          <w:color w:val="000000" w:themeColor="text1"/>
          <w:sz w:val="16"/>
          <w:szCs w:val="16"/>
        </w:rPr>
        <w:t>октября 1929</w:t>
      </w:r>
      <w:r w:rsidR="007C1411" w:rsidRPr="00E93F40">
        <w:rPr>
          <w:color w:val="000000" w:themeColor="text1"/>
          <w:sz w:val="16"/>
          <w:szCs w:val="16"/>
        </w:rPr>
        <w:t xml:space="preserve"> </w:t>
      </w:r>
      <w:r w:rsidRPr="00E93F40">
        <w:rPr>
          <w:color w:val="000000" w:themeColor="text1"/>
          <w:sz w:val="16"/>
          <w:szCs w:val="16"/>
        </w:rPr>
        <w:t>г. было 4062</w:t>
      </w:r>
      <w:r w:rsidR="007C1411" w:rsidRPr="00E93F40">
        <w:rPr>
          <w:color w:val="000000" w:themeColor="text1"/>
          <w:sz w:val="16"/>
          <w:szCs w:val="16"/>
        </w:rPr>
        <w:t xml:space="preserve"> </w:t>
      </w:r>
      <w:r w:rsidRPr="00E93F40">
        <w:rPr>
          <w:color w:val="000000" w:themeColor="text1"/>
          <w:sz w:val="16"/>
          <w:szCs w:val="16"/>
        </w:rPr>
        <w:t>станка, а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их уже было 6341, из них выпуска 1928</w:t>
      </w:r>
      <w:r w:rsidR="007C1411" w:rsidRPr="00E93F40">
        <w:rPr>
          <w:color w:val="000000" w:themeColor="text1"/>
          <w:sz w:val="16"/>
          <w:szCs w:val="16"/>
        </w:rPr>
        <w:t xml:space="preserve"> </w:t>
      </w:r>
      <w:r w:rsidRPr="00E93F40">
        <w:rPr>
          <w:color w:val="000000" w:themeColor="text1"/>
          <w:sz w:val="16"/>
          <w:szCs w:val="16"/>
        </w:rPr>
        <w:t>г. и после</w:t>
      </w:r>
      <w:r w:rsidR="007C1411" w:rsidRPr="00E93F40">
        <w:rPr>
          <w:color w:val="000000" w:themeColor="text1"/>
          <w:sz w:val="16"/>
          <w:szCs w:val="16"/>
        </w:rPr>
        <w:t xml:space="preserve"> </w:t>
      </w:r>
      <w:r w:rsidRPr="00E93F40">
        <w:rPr>
          <w:color w:val="000000" w:themeColor="text1"/>
          <w:sz w:val="16"/>
          <w:szCs w:val="16"/>
        </w:rPr>
        <w:t>— 4064, в том числе 1271 станок отечественного производства, или 31% всего нового оборудования, произведенного в СССР; б)</w:t>
      </w:r>
      <w:r w:rsidR="007C1411" w:rsidRPr="00E93F40">
        <w:rPr>
          <w:color w:val="000000" w:themeColor="text1"/>
          <w:sz w:val="16"/>
          <w:szCs w:val="16"/>
        </w:rPr>
        <w:t xml:space="preserve"> </w:t>
      </w:r>
      <w:r w:rsidRPr="00E93F40">
        <w:rPr>
          <w:color w:val="000000" w:themeColor="text1"/>
          <w:sz w:val="16"/>
          <w:szCs w:val="16"/>
        </w:rPr>
        <w:t>действующий основной капитал с 1</w:t>
      </w:r>
      <w:r w:rsidR="007C1411" w:rsidRPr="00E93F40">
        <w:rPr>
          <w:color w:val="000000" w:themeColor="text1"/>
          <w:sz w:val="16"/>
          <w:szCs w:val="16"/>
        </w:rPr>
        <w:t xml:space="preserve"> </w:t>
      </w:r>
      <w:r w:rsidRPr="00E93F40">
        <w:rPr>
          <w:color w:val="000000" w:themeColor="text1"/>
          <w:sz w:val="16"/>
          <w:szCs w:val="16"/>
        </w:rPr>
        <w:t>октября 1927</w:t>
      </w:r>
      <w:r w:rsidR="007C1411" w:rsidRPr="00E93F40">
        <w:rPr>
          <w:color w:val="000000" w:themeColor="text1"/>
          <w:sz w:val="16"/>
          <w:szCs w:val="16"/>
        </w:rPr>
        <w:t xml:space="preserve"> </w:t>
      </w:r>
      <w:r w:rsidRPr="00E93F40">
        <w:rPr>
          <w:color w:val="000000" w:themeColor="text1"/>
          <w:sz w:val="16"/>
          <w:szCs w:val="16"/>
        </w:rPr>
        <w:t xml:space="preserve">г., принятого за 100, </w:t>
      </w:r>
      <w:r w:rsidRPr="00E93F40">
        <w:rPr>
          <w:color w:val="000000" w:themeColor="text1"/>
          <w:sz w:val="16"/>
          <w:szCs w:val="16"/>
        </w:rPr>
        <w:lastRenderedPageBreak/>
        <w:t>к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вырос до 4035,3 при следующей динамике по годам (в</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на 1</w:t>
      </w:r>
      <w:r w:rsidR="007C1411" w:rsidRPr="00E93F40">
        <w:rPr>
          <w:color w:val="000000" w:themeColor="text1"/>
          <w:sz w:val="16"/>
          <w:szCs w:val="16"/>
        </w:rPr>
        <w:t xml:space="preserve"> </w:t>
      </w:r>
      <w:r w:rsidRPr="00E93F40">
        <w:rPr>
          <w:color w:val="000000" w:themeColor="text1"/>
          <w:sz w:val="16"/>
          <w:szCs w:val="16"/>
        </w:rPr>
        <w:t>октября 1926</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22</w:t>
      </w:r>
      <w:r w:rsidR="007C1411" w:rsidRPr="00E93F40">
        <w:rPr>
          <w:color w:val="000000" w:themeColor="text1"/>
          <w:sz w:val="16"/>
          <w:szCs w:val="16"/>
        </w:rPr>
        <w:t xml:space="preserve"> </w:t>
      </w:r>
      <w:r w:rsidRPr="00E93F40">
        <w:rPr>
          <w:color w:val="000000" w:themeColor="text1"/>
          <w:sz w:val="16"/>
          <w:szCs w:val="16"/>
        </w:rPr>
        <w:t>013; на 1</w:t>
      </w:r>
      <w:r w:rsidR="007C1411" w:rsidRPr="00E93F40">
        <w:rPr>
          <w:color w:val="000000" w:themeColor="text1"/>
          <w:sz w:val="16"/>
          <w:szCs w:val="16"/>
        </w:rPr>
        <w:t xml:space="preserve"> </w:t>
      </w:r>
      <w:r w:rsidRPr="00E93F40">
        <w:rPr>
          <w:color w:val="000000" w:themeColor="text1"/>
          <w:sz w:val="16"/>
          <w:szCs w:val="16"/>
        </w:rPr>
        <w:t>октября 1927</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34</w:t>
      </w:r>
      <w:r w:rsidR="007C1411" w:rsidRPr="00E93F40">
        <w:rPr>
          <w:color w:val="000000" w:themeColor="text1"/>
          <w:sz w:val="16"/>
          <w:szCs w:val="16"/>
        </w:rPr>
        <w:t xml:space="preserve"> </w:t>
      </w:r>
      <w:r w:rsidRPr="00E93F40">
        <w:rPr>
          <w:color w:val="000000" w:themeColor="text1"/>
          <w:sz w:val="16"/>
          <w:szCs w:val="16"/>
        </w:rPr>
        <w:t>195; 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46</w:t>
      </w:r>
      <w:r w:rsidR="007C1411" w:rsidRPr="00E93F40">
        <w:rPr>
          <w:color w:val="000000" w:themeColor="text1"/>
          <w:sz w:val="16"/>
          <w:szCs w:val="16"/>
        </w:rPr>
        <w:t xml:space="preserve"> </w:t>
      </w:r>
      <w:r w:rsidRPr="00E93F40">
        <w:rPr>
          <w:color w:val="000000" w:themeColor="text1"/>
          <w:sz w:val="16"/>
          <w:szCs w:val="16"/>
        </w:rPr>
        <w:t>959; на 1</w:t>
      </w:r>
      <w:r w:rsidR="007C1411" w:rsidRPr="00E93F40">
        <w:rPr>
          <w:color w:val="000000" w:themeColor="text1"/>
          <w:sz w:val="16"/>
          <w:szCs w:val="16"/>
        </w:rPr>
        <w:t xml:space="preserve"> </w:t>
      </w:r>
      <w:r w:rsidRPr="00E93F40">
        <w:rPr>
          <w:color w:val="000000" w:themeColor="text1"/>
          <w:sz w:val="16"/>
          <w:szCs w:val="16"/>
        </w:rPr>
        <w:t>октября 1929</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62</w:t>
      </w:r>
      <w:r w:rsidR="007C1411" w:rsidRPr="00E93F40">
        <w:rPr>
          <w:color w:val="000000" w:themeColor="text1"/>
          <w:sz w:val="16"/>
          <w:szCs w:val="16"/>
        </w:rPr>
        <w:t xml:space="preserve"> </w:t>
      </w:r>
      <w:r w:rsidRPr="00E93F40">
        <w:rPr>
          <w:color w:val="000000" w:themeColor="text1"/>
          <w:sz w:val="16"/>
          <w:szCs w:val="16"/>
        </w:rPr>
        <w:t>393; на 1</w:t>
      </w:r>
      <w:r w:rsidR="007C1411" w:rsidRPr="00E93F40">
        <w:rPr>
          <w:color w:val="000000" w:themeColor="text1"/>
          <w:sz w:val="16"/>
          <w:szCs w:val="16"/>
        </w:rPr>
        <w:t xml:space="preserve"> </w:t>
      </w:r>
      <w:r w:rsidRPr="00E93F40">
        <w:rPr>
          <w:color w:val="000000" w:themeColor="text1"/>
          <w:sz w:val="16"/>
          <w:szCs w:val="16"/>
        </w:rPr>
        <w:t>октября 1930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62</w:t>
      </w:r>
      <w:r w:rsidR="007C1411" w:rsidRPr="00E93F40">
        <w:rPr>
          <w:color w:val="000000" w:themeColor="text1"/>
          <w:sz w:val="16"/>
          <w:szCs w:val="16"/>
        </w:rPr>
        <w:t xml:space="preserve"> </w:t>
      </w:r>
      <w:r w:rsidRPr="00E93F40">
        <w:rPr>
          <w:color w:val="000000" w:themeColor="text1"/>
          <w:sz w:val="16"/>
          <w:szCs w:val="16"/>
        </w:rPr>
        <w:t>871; на 1</w:t>
      </w:r>
      <w:r w:rsidR="007C1411" w:rsidRPr="00E93F40">
        <w:rPr>
          <w:color w:val="000000" w:themeColor="text1"/>
          <w:sz w:val="16"/>
          <w:szCs w:val="16"/>
        </w:rPr>
        <w:t xml:space="preserve"> </w:t>
      </w:r>
      <w:r w:rsidRPr="00E93F40">
        <w:rPr>
          <w:color w:val="000000" w:themeColor="text1"/>
          <w:sz w:val="16"/>
          <w:szCs w:val="16"/>
        </w:rPr>
        <w:t>января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95</w:t>
      </w:r>
      <w:r w:rsidR="007C1411" w:rsidRPr="00E93F40">
        <w:rPr>
          <w:color w:val="000000" w:themeColor="text1"/>
          <w:sz w:val="16"/>
          <w:szCs w:val="16"/>
        </w:rPr>
        <w:t xml:space="preserve"> </w:t>
      </w:r>
      <w:r w:rsidRPr="00E93F40">
        <w:rPr>
          <w:color w:val="000000" w:themeColor="text1"/>
          <w:sz w:val="16"/>
          <w:szCs w:val="16"/>
        </w:rPr>
        <w:t>524,4 и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148</w:t>
      </w:r>
      <w:r w:rsidR="007C1411" w:rsidRPr="00E93F40">
        <w:rPr>
          <w:color w:val="000000" w:themeColor="text1"/>
          <w:sz w:val="16"/>
          <w:szCs w:val="16"/>
        </w:rPr>
        <w:t xml:space="preserve"> </w:t>
      </w:r>
      <w:r w:rsidRPr="00E93F40">
        <w:rPr>
          <w:color w:val="000000" w:themeColor="text1"/>
          <w:sz w:val="16"/>
          <w:szCs w:val="16"/>
        </w:rPr>
        <w:t>921. Это было достигнуто в результате следующих капиталовложений (сравниваются годовые планы и их выполнение):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38"/>
        <w:gridCol w:w="919"/>
        <w:gridCol w:w="1043"/>
        <w:gridCol w:w="817"/>
        <w:gridCol w:w="1043"/>
        <w:gridCol w:w="817"/>
        <w:gridCol w:w="1043"/>
        <w:gridCol w:w="984"/>
        <w:gridCol w:w="1256"/>
        <w:gridCol w:w="919"/>
        <w:gridCol w:w="1043"/>
      </w:tblGrid>
      <w:tr w:rsidR="00DA227A" w:rsidRPr="00E93F40" w14:paraId="1594A4C9" w14:textId="77777777" w:rsidTr="003F2C79">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2FD967A" w14:textId="04E4AE18"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82913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w:t>
            </w:r>
            <w:r w:rsidRPr="00E93F40">
              <w:rPr>
                <w:rFonts w:ascii="Times New Roman" w:hAnsi="Times New Roman"/>
                <w:color w:val="000000" w:themeColor="text1"/>
                <w:sz w:val="16"/>
                <w:szCs w:val="16"/>
              </w:rPr>
              <w:softHyphen/>
              <w:t>строительство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0B104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Оборудование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7D41E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Жилстроительство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55EBE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по кадрам</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488EA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r>
      <w:tr w:rsidR="00DA227A" w:rsidRPr="00E93F40" w14:paraId="1F69B18F" w14:textId="77777777" w:rsidTr="003F2C79">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28274E3" w14:textId="77777777" w:rsidR="007A20C4" w:rsidRPr="00E93F40" w:rsidRDefault="007A20C4"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CACEF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3349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r w:rsidRPr="00E93F40">
              <w:rPr>
                <w:rFonts w:ascii="Times New Roman" w:hAnsi="Times New Roman"/>
                <w:color w:val="000000" w:themeColor="text1"/>
                <w:sz w:val="16"/>
                <w:szCs w:val="16"/>
              </w:rPr>
              <w:softHyphen/>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5B20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B148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r w:rsidRPr="00E93F40">
              <w:rPr>
                <w:rFonts w:ascii="Times New Roman" w:hAnsi="Times New Roman"/>
                <w:color w:val="000000" w:themeColor="text1"/>
                <w:sz w:val="16"/>
                <w:szCs w:val="16"/>
              </w:rPr>
              <w:softHyphen/>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F470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5868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r w:rsidRPr="00E93F40">
              <w:rPr>
                <w:rFonts w:ascii="Times New Roman" w:hAnsi="Times New Roman"/>
                <w:color w:val="000000" w:themeColor="text1"/>
                <w:sz w:val="16"/>
                <w:szCs w:val="16"/>
              </w:rPr>
              <w:softHyphen/>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7BE5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DF7C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r w:rsidRPr="00E93F40">
              <w:rPr>
                <w:rFonts w:ascii="Times New Roman" w:hAnsi="Times New Roman"/>
                <w:color w:val="000000" w:themeColor="text1"/>
                <w:sz w:val="16"/>
                <w:szCs w:val="16"/>
              </w:rPr>
              <w:softHyphen/>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6936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1028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r w:rsidRPr="00E93F40">
              <w:rPr>
                <w:rFonts w:ascii="Times New Roman" w:hAnsi="Times New Roman"/>
                <w:color w:val="000000" w:themeColor="text1"/>
                <w:sz w:val="16"/>
                <w:szCs w:val="16"/>
              </w:rPr>
              <w:softHyphen/>
              <w:t>ически</w:t>
            </w:r>
          </w:p>
        </w:tc>
      </w:tr>
      <w:tr w:rsidR="00DA227A" w:rsidRPr="00E93F40" w14:paraId="21D9D66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CD723F" w14:textId="57538078"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4B6A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8541,9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0D1E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0861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4389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B700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512C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F625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DA1F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573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D0A8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16...¹⁰*</w:t>
            </w:r>
          </w:p>
        </w:tc>
      </w:tr>
      <w:tr w:rsidR="00DA227A" w:rsidRPr="00E93F40" w14:paraId="6539CC4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03F754" w14:textId="3DC50318"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4224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20 172,4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4436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9B98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043D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7855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34C9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D617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0152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9333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34 191,8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DC27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23 200</w:t>
            </w:r>
          </w:p>
        </w:tc>
      </w:tr>
      <w:tr w:rsidR="00DA227A" w:rsidRPr="00E93F40" w14:paraId="2CCF1F0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5FE05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Особый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D79A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13A8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7FA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39E6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B28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A094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1EF4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49F5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21A8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FCCC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10 325</w:t>
            </w:r>
          </w:p>
        </w:tc>
      </w:tr>
      <w:tr w:rsidR="00DA227A" w:rsidRPr="00E93F40" w14:paraId="43171F93"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E5D5EA" w14:textId="0F3078A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C365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88 047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D9AA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59 924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198A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35 776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954A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12DF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CFF0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18 973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1508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BAE8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3363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165 264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3357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112 877</w:t>
            </w:r>
          </w:p>
        </w:tc>
      </w:tr>
      <w:tr w:rsidR="00DA227A" w:rsidRPr="00E93F40" w14:paraId="700F8D8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3223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493B1" w14:textId="69B413F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650¹¹*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29C81" w14:textId="7FABCFE4"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AEB56" w14:textId="0014E43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658¹²*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3206D" w14:textId="1DB24D78"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045¹³*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FDBCD" w14:textId="69EF8D3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286¹⁴*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01806" w14:textId="7B8C1254"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615¹⁵*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65BC5" w14:textId="1458AE7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456¹⁶*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B7A3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7504¹⁷*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D8918" w14:textId="6F5E876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051¹⁸*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13F21" w14:textId="064D890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526</w:t>
            </w:r>
          </w:p>
        </w:tc>
      </w:tr>
    </w:tbl>
    <w:p w14:paraId="1FB6861C" w14:textId="1518CCFD"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 пятилетнему плану объем капиталовложений был намечен в размере 162</w:t>
      </w:r>
      <w:r w:rsidR="007C1411" w:rsidRPr="00E93F40">
        <w:rPr>
          <w:color w:val="000000" w:themeColor="text1"/>
          <w:sz w:val="16"/>
          <w:szCs w:val="16"/>
        </w:rPr>
        <w:t xml:space="preserve"> </w:t>
      </w:r>
      <w:r w:rsidRPr="00E93F40">
        <w:rPr>
          <w:color w:val="000000" w:themeColor="text1"/>
          <w:sz w:val="16"/>
          <w:szCs w:val="16"/>
        </w:rPr>
        <w:t>021</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на все пятилетие, а с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по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фактически реализовано 162</w:t>
      </w:r>
      <w:r w:rsidR="007C1411" w:rsidRPr="00E93F40">
        <w:rPr>
          <w:color w:val="000000" w:themeColor="text1"/>
          <w:sz w:val="16"/>
          <w:szCs w:val="16"/>
        </w:rPr>
        <w:t xml:space="preserve"> </w:t>
      </w:r>
      <w:r w:rsidRPr="00E93F40">
        <w:rPr>
          <w:color w:val="000000" w:themeColor="text1"/>
          <w:sz w:val="16"/>
          <w:szCs w:val="16"/>
        </w:rPr>
        <w:t>526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Таким образом, пятилетка в этом отношении выполнена к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w:t>
      </w:r>
    </w:p>
    <w:p w14:paraId="3843AE06" w14:textId="524F2D83"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Обращает на себя внимание следующий факт: на оборудование пятилетним планом предполагалось затратить 44,2</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и с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по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34,036</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а фактически за тот же промежуток времени реализовано 41,053</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И по строительству пятилетним планом предположено было вложить 71,176</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а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фактически реализовано 86,361</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Эти факты явились решающими в деле достижения той ступени технического вооружения авиапромышленности, которой она сейчас достигла.</w:t>
      </w:r>
    </w:p>
    <w:p w14:paraId="1777EB75" w14:textId="6483CB2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Все же приведенные данные говорят о том, что авиапромышленность не справляется с решением важнейших заданий правительства. Например, вместо того чтобы освоить 239</w:t>
      </w:r>
      <w:r w:rsidR="007C1411" w:rsidRPr="00E93F40">
        <w:rPr>
          <w:color w:val="000000" w:themeColor="text1"/>
          <w:sz w:val="16"/>
          <w:szCs w:val="16"/>
        </w:rPr>
        <w:t xml:space="preserve"> </w:t>
      </w:r>
      <w:r w:rsidRPr="00E93F40">
        <w:rPr>
          <w:color w:val="000000" w:themeColor="text1"/>
          <w:sz w:val="16"/>
          <w:szCs w:val="16"/>
        </w:rPr>
        <w:t>051</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 xml:space="preserve">руб. фактических ассигнований на капитальное строительство, авиапромышленность </w:t>
      </w:r>
      <w:r w:rsidRPr="00E93F40">
        <w:rPr>
          <w:rStyle w:val="af0"/>
          <w:i w:val="0"/>
          <w:color w:val="000000" w:themeColor="text1"/>
          <w:sz w:val="16"/>
          <w:szCs w:val="16"/>
        </w:rPr>
        <w:t>с</w:t>
      </w:r>
      <w:r w:rsidRPr="00E93F40">
        <w:rPr>
          <w:color w:val="000000" w:themeColor="text1"/>
          <w:sz w:val="16"/>
          <w:szCs w:val="16"/>
        </w:rPr>
        <w:t xml:space="preserve">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по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реализовала только 162</w:t>
      </w:r>
      <w:r w:rsidR="007C1411" w:rsidRPr="00E93F40">
        <w:rPr>
          <w:color w:val="000000" w:themeColor="text1"/>
          <w:sz w:val="16"/>
          <w:szCs w:val="16"/>
        </w:rPr>
        <w:t xml:space="preserve"> </w:t>
      </w:r>
      <w:r w:rsidRPr="00E93F40">
        <w:rPr>
          <w:color w:val="000000" w:themeColor="text1"/>
          <w:sz w:val="16"/>
          <w:szCs w:val="16"/>
        </w:rPr>
        <w:t>526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или 68%. Безусловно, такое положение задерживало и задерживает темпы технического перевооружения и является одним из решающих факторов, тормозивших выполнение годовых заданий по выпуску готовой продукции. В том же направлении действовали и действуют сейчас факты огромного удорожания строительства против плана и затягивание его во времени. Объем и значение этого факта характеризуются следующими данными (см. вставку)¹⁹*.</w:t>
      </w:r>
    </w:p>
    <w:p w14:paraId="6E90A1B8" w14:textId="2875233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Имея бурный рост основного капитала, авиапромышленность в деле его эффективности использования стоит на весьма низком уровне, о чем говорит выпуск продукции на 1</w:t>
      </w:r>
      <w:r w:rsidR="007C1411" w:rsidRPr="00E93F40">
        <w:rPr>
          <w:color w:val="000000" w:themeColor="text1"/>
          <w:sz w:val="16"/>
          <w:szCs w:val="16"/>
        </w:rPr>
        <w:t xml:space="preserve"> </w:t>
      </w:r>
      <w:r w:rsidRPr="00E93F40">
        <w:rPr>
          <w:color w:val="000000" w:themeColor="text1"/>
          <w:sz w:val="16"/>
          <w:szCs w:val="16"/>
        </w:rPr>
        <w:t>руб. основного капитала, составлявший (в</w:t>
      </w:r>
      <w:r w:rsidR="007C1411" w:rsidRPr="00E93F40">
        <w:rPr>
          <w:color w:val="000000" w:themeColor="text1"/>
          <w:sz w:val="16"/>
          <w:szCs w:val="16"/>
        </w:rPr>
        <w:t xml:space="preserve"> </w:t>
      </w:r>
      <w:r w:rsidRPr="00E93F40">
        <w:rPr>
          <w:color w:val="000000" w:themeColor="text1"/>
          <w:sz w:val="16"/>
          <w:szCs w:val="16"/>
        </w:rPr>
        <w:t>коп.):</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32"/>
        <w:gridCol w:w="1676"/>
        <w:gridCol w:w="1676"/>
        <w:gridCol w:w="1676"/>
        <w:gridCol w:w="1676"/>
        <w:gridCol w:w="1186"/>
      </w:tblGrid>
      <w:tr w:rsidR="00DA227A" w:rsidRPr="00E93F40" w14:paraId="1FA3242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91537" w14:textId="58CB006A"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FC51C" w14:textId="4EDE139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8CC1" w14:textId="6EE041D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989D3" w14:textId="2717C86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948F4" w14:textId="1671CB4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0A8A9" w14:textId="00150DD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2FCB0CF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EADF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455E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0B78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E188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0B6E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4D7E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w:t>
            </w:r>
          </w:p>
        </w:tc>
      </w:tr>
      <w:tr w:rsidR="00DA227A" w:rsidRPr="00E93F40" w14:paraId="5F90ACA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C1520" w14:textId="09DD57C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Товарная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3407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D1F3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4A40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683B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7695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tc>
      </w:tr>
    </w:tbl>
    <w:p w14:paraId="4C3C8D82" w14:textId="65C92E5C"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Лишь только 1931</w:t>
      </w:r>
      <w:r w:rsidR="007C1411" w:rsidRPr="00E93F40">
        <w:rPr>
          <w:color w:val="000000" w:themeColor="text1"/>
          <w:sz w:val="16"/>
          <w:szCs w:val="16"/>
        </w:rPr>
        <w:t xml:space="preserve"> </w:t>
      </w:r>
      <w:r w:rsidRPr="00E93F40">
        <w:rPr>
          <w:color w:val="000000" w:themeColor="text1"/>
          <w:sz w:val="16"/>
          <w:szCs w:val="16"/>
        </w:rPr>
        <w:t>г. принес сдвиг в этом отношении, когда авиапромышленность на 1</w:t>
      </w:r>
      <w:r w:rsidR="007C1411" w:rsidRPr="00E93F40">
        <w:rPr>
          <w:color w:val="000000" w:themeColor="text1"/>
          <w:sz w:val="16"/>
          <w:szCs w:val="16"/>
        </w:rPr>
        <w:t xml:space="preserve"> </w:t>
      </w:r>
      <w:r w:rsidRPr="00E93F40">
        <w:rPr>
          <w:color w:val="000000" w:themeColor="text1"/>
          <w:sz w:val="16"/>
          <w:szCs w:val="16"/>
        </w:rPr>
        <w:t>руб. основного капитала впервые стала давать по валовой продукции на 40</w:t>
      </w:r>
      <w:r w:rsidR="007C1411" w:rsidRPr="00E93F40">
        <w:rPr>
          <w:color w:val="000000" w:themeColor="text1"/>
          <w:sz w:val="16"/>
          <w:szCs w:val="16"/>
        </w:rPr>
        <w:t xml:space="preserve"> </w:t>
      </w:r>
      <w:r w:rsidRPr="00E93F40">
        <w:rPr>
          <w:color w:val="000000" w:themeColor="text1"/>
          <w:sz w:val="16"/>
          <w:szCs w:val="16"/>
        </w:rPr>
        <w:t>коп., а по товарной на 10</w:t>
      </w:r>
      <w:r w:rsidR="007C1411" w:rsidRPr="00E93F40">
        <w:rPr>
          <w:color w:val="000000" w:themeColor="text1"/>
          <w:sz w:val="16"/>
          <w:szCs w:val="16"/>
        </w:rPr>
        <w:t xml:space="preserve"> </w:t>
      </w:r>
      <w:r w:rsidRPr="00E93F40">
        <w:rPr>
          <w:color w:val="000000" w:themeColor="text1"/>
          <w:sz w:val="16"/>
          <w:szCs w:val="16"/>
        </w:rPr>
        <w:t>коп. больше, чем в 1926/27</w:t>
      </w:r>
      <w:r w:rsidR="007C1411" w:rsidRPr="00E93F40">
        <w:rPr>
          <w:color w:val="000000" w:themeColor="text1"/>
          <w:sz w:val="16"/>
          <w:szCs w:val="16"/>
        </w:rPr>
        <w:t xml:space="preserve"> </w:t>
      </w:r>
      <w:r w:rsidRPr="00E93F40">
        <w:rPr>
          <w:color w:val="000000" w:themeColor="text1"/>
          <w:sz w:val="16"/>
          <w:szCs w:val="16"/>
        </w:rPr>
        <w:t>г. Этот показатель является одним из решающих в оценке экономической деятельности предприятия, указывает на низкий уровень использования оборудования и недостаточную организованность производственного процесса.</w:t>
      </w:r>
    </w:p>
    <w:p w14:paraId="4A0DA452" w14:textId="69080DD9"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 данным экономиста Вишнева американские авиационные заводы, имеющие большие резервы производственных мощностей, дают на 1</w:t>
      </w:r>
      <w:r w:rsidR="007C1411" w:rsidRPr="00E93F40">
        <w:rPr>
          <w:color w:val="000000" w:themeColor="text1"/>
          <w:sz w:val="16"/>
          <w:szCs w:val="16"/>
        </w:rPr>
        <w:t xml:space="preserve"> </w:t>
      </w:r>
      <w:r w:rsidRPr="00E93F40">
        <w:rPr>
          <w:color w:val="000000" w:themeColor="text1"/>
          <w:sz w:val="16"/>
          <w:szCs w:val="16"/>
        </w:rPr>
        <w:t>доллар основного капитала 0,8</w:t>
      </w:r>
      <w:r w:rsidRPr="00E93F40">
        <w:rPr>
          <w:color w:val="000000" w:themeColor="text1"/>
          <w:sz w:val="16"/>
          <w:szCs w:val="16"/>
        </w:rPr>
        <w:noBreakHyphen/>
        <w:t>1</w:t>
      </w:r>
      <w:r w:rsidR="007C1411" w:rsidRPr="00E93F40">
        <w:rPr>
          <w:color w:val="000000" w:themeColor="text1"/>
          <w:sz w:val="16"/>
          <w:szCs w:val="16"/>
        </w:rPr>
        <w:t xml:space="preserve"> </w:t>
      </w:r>
      <w:r w:rsidRPr="00E93F40">
        <w:rPr>
          <w:color w:val="000000" w:themeColor="text1"/>
          <w:sz w:val="16"/>
          <w:szCs w:val="16"/>
        </w:rPr>
        <w:t>доллар валовой продукции, а в год наибольшего подъема выпуска самолетов и моторов (1929</w:t>
      </w:r>
      <w:r w:rsidR="007C1411" w:rsidRPr="00E93F40">
        <w:rPr>
          <w:color w:val="000000" w:themeColor="text1"/>
          <w:sz w:val="16"/>
          <w:szCs w:val="16"/>
        </w:rPr>
        <w:t xml:space="preserve"> </w:t>
      </w:r>
      <w:r w:rsidRPr="00E93F40">
        <w:rPr>
          <w:color w:val="000000" w:themeColor="text1"/>
          <w:sz w:val="16"/>
          <w:szCs w:val="16"/>
        </w:rPr>
        <w:t>г., когда было выпущено 6590</w:t>
      </w:r>
      <w:r w:rsidR="007C1411" w:rsidRPr="00E93F40">
        <w:rPr>
          <w:color w:val="000000" w:themeColor="text1"/>
          <w:sz w:val="16"/>
          <w:szCs w:val="16"/>
        </w:rPr>
        <w:t xml:space="preserve"> </w:t>
      </w:r>
      <w:r w:rsidRPr="00E93F40">
        <w:rPr>
          <w:color w:val="000000" w:themeColor="text1"/>
          <w:sz w:val="16"/>
          <w:szCs w:val="16"/>
        </w:rPr>
        <w:t>самолетов и 7373</w:t>
      </w:r>
      <w:r w:rsidR="007C1411" w:rsidRPr="00E93F40">
        <w:rPr>
          <w:color w:val="000000" w:themeColor="text1"/>
          <w:sz w:val="16"/>
          <w:szCs w:val="16"/>
        </w:rPr>
        <w:t xml:space="preserve"> </w:t>
      </w:r>
      <w:r w:rsidRPr="00E93F40">
        <w:rPr>
          <w:color w:val="000000" w:themeColor="text1"/>
          <w:sz w:val="16"/>
          <w:szCs w:val="16"/>
        </w:rPr>
        <w:t>мотора) некоторые американские заводы давали 10</w:t>
      </w:r>
      <w:r w:rsidR="007C1411" w:rsidRPr="00E93F40">
        <w:rPr>
          <w:color w:val="000000" w:themeColor="text1"/>
          <w:sz w:val="16"/>
          <w:szCs w:val="16"/>
        </w:rPr>
        <w:t xml:space="preserve"> </w:t>
      </w:r>
      <w:r w:rsidRPr="00E93F40">
        <w:rPr>
          <w:color w:val="000000" w:themeColor="text1"/>
          <w:sz w:val="16"/>
          <w:szCs w:val="16"/>
        </w:rPr>
        <w:t>долларов валовой продукции на 1</w:t>
      </w:r>
      <w:r w:rsidR="007C1411" w:rsidRPr="00E93F40">
        <w:rPr>
          <w:color w:val="000000" w:themeColor="text1"/>
          <w:sz w:val="16"/>
          <w:szCs w:val="16"/>
        </w:rPr>
        <w:t xml:space="preserve"> </w:t>
      </w:r>
      <w:r w:rsidRPr="00E93F40">
        <w:rPr>
          <w:color w:val="000000" w:themeColor="text1"/>
          <w:sz w:val="16"/>
          <w:szCs w:val="16"/>
        </w:rPr>
        <w:t>доллар основного капитала. Этот факт также подчеркивает недостаточно высокий уровень использования советской авиа</w:t>
      </w:r>
      <w:r w:rsidRPr="00E93F40">
        <w:rPr>
          <w:color w:val="000000" w:themeColor="text1"/>
          <w:sz w:val="16"/>
          <w:szCs w:val="16"/>
        </w:rPr>
        <w:softHyphen/>
        <w:t>промышленностью своего основного капитала.</w:t>
      </w:r>
    </w:p>
    <w:p w14:paraId="0865AD71"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5. Рабочая сила и производительность труда.</w:t>
      </w:r>
    </w:p>
    <w:p w14:paraId="3FBB7EC0" w14:textId="53E5631E"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А.</w:t>
      </w:r>
      <w:r w:rsidR="007C1411" w:rsidRPr="00E93F40">
        <w:rPr>
          <w:color w:val="000000" w:themeColor="text1"/>
          <w:sz w:val="16"/>
          <w:szCs w:val="16"/>
        </w:rPr>
        <w:t xml:space="preserve"> </w:t>
      </w:r>
      <w:r w:rsidRPr="00E93F40">
        <w:rPr>
          <w:color w:val="000000" w:themeColor="text1"/>
          <w:sz w:val="16"/>
          <w:szCs w:val="16"/>
        </w:rPr>
        <w:t>Состав рабочих и служащих за это время имел следующий рост: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57"/>
        <w:gridCol w:w="2004"/>
        <w:gridCol w:w="2004"/>
        <w:gridCol w:w="1635"/>
        <w:gridCol w:w="2004"/>
        <w:gridCol w:w="1418"/>
      </w:tblGrid>
      <w:tr w:rsidR="00DA227A" w:rsidRPr="00E93F40" w14:paraId="15B6F5A3"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A5628" w14:textId="1D94AAD9"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7FE2C" w14:textId="0245380C"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E95F5" w14:textId="414C7ACC"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BA5C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Особый</w:t>
            </w:r>
          </w:p>
          <w:p w14:paraId="7293B1F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F0F13" w14:textId="2A8CE0C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2042C" w14:textId="37136DC1"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1B722BC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FA263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7CD3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87F4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7F839" w14:textId="11B7F1F5"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A8157" w14:textId="5A7AD51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0D040" w14:textId="6A14E505"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419</w:t>
            </w:r>
          </w:p>
        </w:tc>
      </w:tr>
      <w:tr w:rsidR="00DA227A" w:rsidRPr="00E93F40" w14:paraId="1F1C3A9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07176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Служащие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087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7368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34C0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7AB5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4EE71" w14:textId="08EBC230"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727</w:t>
            </w:r>
          </w:p>
        </w:tc>
      </w:tr>
      <w:tr w:rsidR="00DA227A" w:rsidRPr="00E93F40" w14:paraId="617881C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01A9E0" w14:textId="28480F0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EAE1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ABA7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16EE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7984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0D9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5236</w:t>
            </w:r>
          </w:p>
        </w:tc>
      </w:tr>
    </w:tbl>
    <w:p w14:paraId="67173E94" w14:textId="6E0C3016"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Отсюда видно, что число рабочих дает рост в 5 с лишком раз, т.</w:t>
      </w:r>
      <w:r w:rsidR="007C1411" w:rsidRPr="00E93F40">
        <w:rPr>
          <w:color w:val="000000" w:themeColor="text1"/>
          <w:sz w:val="16"/>
          <w:szCs w:val="16"/>
        </w:rPr>
        <w:t xml:space="preserve"> </w:t>
      </w:r>
      <w:r w:rsidRPr="00E93F40">
        <w:rPr>
          <w:color w:val="000000" w:themeColor="text1"/>
          <w:sz w:val="16"/>
          <w:szCs w:val="16"/>
        </w:rPr>
        <w:t>е. более быстро, чем растет основной капитал, что в данных условиях не является нормальным, так как приводит к понижению капитало</w:t>
      </w:r>
      <w:r w:rsidRPr="00E93F40">
        <w:rPr>
          <w:color w:val="000000" w:themeColor="text1"/>
          <w:sz w:val="16"/>
          <w:szCs w:val="16"/>
        </w:rPr>
        <w:softHyphen/>
        <w:t>вооруженности труда и говорит о скрытых излишках рабсилы и о нецелесообразном ее использовании. Из приведенных данных также следует, что насыщенность и[нженерно-]т[ехническими] работниками в первый год пятилетки была более высокая, чем в 1931</w:t>
      </w:r>
      <w:r w:rsidR="007C1411" w:rsidRPr="00E93F40">
        <w:rPr>
          <w:color w:val="000000" w:themeColor="text1"/>
          <w:sz w:val="16"/>
          <w:szCs w:val="16"/>
        </w:rPr>
        <w:t xml:space="preserve"> </w:t>
      </w:r>
      <w:r w:rsidRPr="00E93F40">
        <w:rPr>
          <w:color w:val="000000" w:themeColor="text1"/>
          <w:sz w:val="16"/>
          <w:szCs w:val="16"/>
        </w:rPr>
        <w:t>г. Например, в 1928/29</w:t>
      </w:r>
      <w:r w:rsidR="007C1411" w:rsidRPr="00E93F40">
        <w:rPr>
          <w:color w:val="000000" w:themeColor="text1"/>
          <w:sz w:val="16"/>
          <w:szCs w:val="16"/>
        </w:rPr>
        <w:t xml:space="preserve"> </w:t>
      </w:r>
      <w:r w:rsidRPr="00E93F40">
        <w:rPr>
          <w:color w:val="000000" w:themeColor="text1"/>
          <w:sz w:val="16"/>
          <w:szCs w:val="16"/>
        </w:rPr>
        <w:t>г. на каждые 6 рабочих приходилось по одному и[нженерно-]т[ехническому] работнику, а в 1931</w:t>
      </w:r>
      <w:r w:rsidR="007C1411" w:rsidRPr="00E93F40">
        <w:rPr>
          <w:color w:val="000000" w:themeColor="text1"/>
          <w:sz w:val="16"/>
          <w:szCs w:val="16"/>
        </w:rPr>
        <w:t xml:space="preserve"> </w:t>
      </w:r>
      <w:r w:rsidRPr="00E93F40">
        <w:rPr>
          <w:color w:val="000000" w:themeColor="text1"/>
          <w:sz w:val="16"/>
          <w:szCs w:val="16"/>
        </w:rPr>
        <w:t>г. один и[нженерно-]т[ехнический] работник приходится на 7</w:t>
      </w:r>
      <w:r w:rsidR="007C1411" w:rsidRPr="00E93F40">
        <w:rPr>
          <w:color w:val="000000" w:themeColor="text1"/>
          <w:sz w:val="16"/>
          <w:szCs w:val="16"/>
        </w:rPr>
        <w:t xml:space="preserve"> </w:t>
      </w:r>
      <w:r w:rsidRPr="00E93F40">
        <w:rPr>
          <w:color w:val="000000" w:themeColor="text1"/>
          <w:sz w:val="16"/>
          <w:szCs w:val="16"/>
        </w:rPr>
        <w:t>рабочих.</w:t>
      </w:r>
    </w:p>
    <w:p w14:paraId="01C88FB5"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Кроме того, на протяжении всего прошедшего времени первого пятилетия имеет место значительное снижение удельного веса квалифицированной рабсилы вследствие большого роста общего числа рабочих и недостаточно организованной борьбы за поднятие квалификации нового состава рабочих. Следующие цифры, характеризующие квалифицированность рабочей силы, говорят об огромных размерах этого процесса, представляющего огромнейшую опасность для успешного развития авиапромышленности. Так, рабочих было (в процентах):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34"/>
        <w:gridCol w:w="1666"/>
        <w:gridCol w:w="1666"/>
        <w:gridCol w:w="1179"/>
        <w:gridCol w:w="2277"/>
      </w:tblGrid>
      <w:tr w:rsidR="00DA227A" w:rsidRPr="00E93F40" w14:paraId="5924829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3DC15D" w14:textId="0DAF10F0"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FBF84" w14:textId="238CEF5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2F44C" w14:textId="086D970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F1E4" w14:textId="26F0B910"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66217" w14:textId="022AA42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7B5DD0E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(ожид[ается])</w:t>
            </w:r>
          </w:p>
        </w:tc>
      </w:tr>
      <w:tr w:rsidR="00DA227A" w:rsidRPr="00E93F40" w14:paraId="635231F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1D24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Высокой квалиф[икации]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C292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3D50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10E5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F14E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2,55</w:t>
            </w:r>
          </w:p>
        </w:tc>
      </w:tr>
      <w:tr w:rsidR="00DA227A" w:rsidRPr="00E93F40" w14:paraId="190E71E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54C71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Средней квалиф[икации]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5E9A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1D65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9325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DA9F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28,85</w:t>
            </w:r>
          </w:p>
        </w:tc>
      </w:tr>
      <w:tr w:rsidR="00DA227A" w:rsidRPr="00E93F40" w14:paraId="45C8CD1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355B0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Полуквалиф[ицированных]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2E64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9027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1674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4D26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52,6</w:t>
            </w:r>
          </w:p>
        </w:tc>
      </w:tr>
      <w:tr w:rsidR="00DA227A" w:rsidRPr="00E93F40" w14:paraId="37EC80E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138C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Неквалиф[ицированных]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D394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B886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D8E7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E84E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r>
    </w:tbl>
    <w:p w14:paraId="071B2F76" w14:textId="5F043C2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Рабочие высшей и средней квалификации, составлявшие в первом году пятилетки 56,46</w:t>
      </w:r>
      <w:r w:rsidRPr="00E93F40">
        <w:rPr>
          <w:rStyle w:val="af0"/>
          <w:i w:val="0"/>
          <w:color w:val="000000" w:themeColor="text1"/>
          <w:sz w:val="16"/>
          <w:szCs w:val="16"/>
        </w:rPr>
        <w:t>%</w:t>
      </w:r>
      <w:r w:rsidRPr="00E93F40">
        <w:rPr>
          <w:color w:val="000000" w:themeColor="text1"/>
          <w:sz w:val="16"/>
          <w:szCs w:val="16"/>
        </w:rPr>
        <w:t xml:space="preserve"> от всего числа рабочих, в 1931</w:t>
      </w:r>
      <w:r w:rsidR="007C1411" w:rsidRPr="00E93F40">
        <w:rPr>
          <w:color w:val="000000" w:themeColor="text1"/>
          <w:sz w:val="16"/>
          <w:szCs w:val="16"/>
        </w:rPr>
        <w:t xml:space="preserve"> </w:t>
      </w:r>
      <w:r w:rsidRPr="00E93F40">
        <w:rPr>
          <w:color w:val="000000" w:themeColor="text1"/>
          <w:sz w:val="16"/>
          <w:szCs w:val="16"/>
        </w:rPr>
        <w:t>г. упали до 29,3%, что является одной из коренных причин невыполнения авиапромышленностью ее планов.</w:t>
      </w:r>
    </w:p>
    <w:p w14:paraId="38F88527"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Правительство не раз давало директивы о форсировании подготовки кадров. Авиапромышленность явно не справляется с задачей массового и организованного вовлечения рабочих в борьбу за овладение техникой производства и поднятие квалификации каждого рабочего.</w:t>
      </w:r>
    </w:p>
    <w:p w14:paraId="3119075B" w14:textId="16250E7E"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Наряду с огромным понижением квалифицированности рабочей силы имеет место сильная текучесть. Так, на 1931</w:t>
      </w:r>
      <w:r w:rsidR="007C1411" w:rsidRPr="00E93F40">
        <w:rPr>
          <w:color w:val="000000" w:themeColor="text1"/>
          <w:sz w:val="16"/>
          <w:szCs w:val="16"/>
        </w:rPr>
        <w:t xml:space="preserve"> </w:t>
      </w:r>
      <w:r w:rsidRPr="00E93F40">
        <w:rPr>
          <w:color w:val="000000" w:themeColor="text1"/>
          <w:sz w:val="16"/>
          <w:szCs w:val="16"/>
        </w:rPr>
        <w:t>г. она составила 60</w:t>
      </w:r>
      <w:r w:rsidRPr="00E93F40">
        <w:rPr>
          <w:rStyle w:val="af0"/>
          <w:i w:val="0"/>
          <w:color w:val="000000" w:themeColor="text1"/>
          <w:sz w:val="16"/>
          <w:szCs w:val="16"/>
        </w:rPr>
        <w:t>%</w:t>
      </w:r>
      <w:r w:rsidRPr="00E93F40">
        <w:rPr>
          <w:color w:val="000000" w:themeColor="text1"/>
          <w:sz w:val="16"/>
          <w:szCs w:val="16"/>
        </w:rPr>
        <w:t xml:space="preserve"> от всего рабочего состава ВАО, а по наиболее важным специальностям рабочих она поднимается еще выше, например: у токарей</w:t>
      </w:r>
      <w:r w:rsidR="007C1411" w:rsidRPr="00E93F40">
        <w:rPr>
          <w:color w:val="000000" w:themeColor="text1"/>
          <w:sz w:val="16"/>
          <w:szCs w:val="16"/>
        </w:rPr>
        <w:t xml:space="preserve"> </w:t>
      </w:r>
      <w:r w:rsidRPr="00E93F40">
        <w:rPr>
          <w:color w:val="000000" w:themeColor="text1"/>
          <w:sz w:val="16"/>
          <w:szCs w:val="16"/>
        </w:rPr>
        <w:t>— до 73%, у фрезеровщиков</w:t>
      </w:r>
      <w:r w:rsidR="007C1411" w:rsidRPr="00E93F40">
        <w:rPr>
          <w:color w:val="000000" w:themeColor="text1"/>
          <w:sz w:val="16"/>
          <w:szCs w:val="16"/>
        </w:rPr>
        <w:t xml:space="preserve"> </w:t>
      </w:r>
      <w:r w:rsidRPr="00E93F40">
        <w:rPr>
          <w:color w:val="000000" w:themeColor="text1"/>
          <w:sz w:val="16"/>
          <w:szCs w:val="16"/>
        </w:rPr>
        <w:t>— до 71%, у слесарей-инструментальщиков</w:t>
      </w:r>
      <w:r w:rsidR="007C1411" w:rsidRPr="00E93F40">
        <w:rPr>
          <w:color w:val="000000" w:themeColor="text1"/>
          <w:sz w:val="16"/>
          <w:szCs w:val="16"/>
        </w:rPr>
        <w:t xml:space="preserve"> </w:t>
      </w:r>
      <w:r w:rsidRPr="00E93F40">
        <w:rPr>
          <w:color w:val="000000" w:themeColor="text1"/>
          <w:sz w:val="16"/>
          <w:szCs w:val="16"/>
        </w:rPr>
        <w:t>— до 97</w:t>
      </w:r>
      <w:r w:rsidRPr="00E93F40">
        <w:rPr>
          <w:rStyle w:val="af0"/>
          <w:i w:val="0"/>
          <w:color w:val="000000" w:themeColor="text1"/>
          <w:sz w:val="16"/>
          <w:szCs w:val="16"/>
        </w:rPr>
        <w:t>%,</w:t>
      </w:r>
      <w:r w:rsidRPr="00E93F40">
        <w:rPr>
          <w:color w:val="000000" w:themeColor="text1"/>
          <w:sz w:val="16"/>
          <w:szCs w:val="16"/>
        </w:rPr>
        <w:t xml:space="preserve"> у жестянщиков</w:t>
      </w:r>
      <w:r w:rsidR="007C1411" w:rsidRPr="00E93F40">
        <w:rPr>
          <w:color w:val="000000" w:themeColor="text1"/>
          <w:sz w:val="16"/>
          <w:szCs w:val="16"/>
        </w:rPr>
        <w:t xml:space="preserve"> </w:t>
      </w:r>
      <w:r w:rsidRPr="00E93F40">
        <w:rPr>
          <w:color w:val="000000" w:themeColor="text1"/>
          <w:sz w:val="16"/>
          <w:szCs w:val="16"/>
        </w:rPr>
        <w:t>— до 64</w:t>
      </w:r>
      <w:r w:rsidRPr="00E93F40">
        <w:rPr>
          <w:rStyle w:val="af0"/>
          <w:i w:val="0"/>
          <w:color w:val="000000" w:themeColor="text1"/>
          <w:sz w:val="16"/>
          <w:szCs w:val="16"/>
        </w:rPr>
        <w:t>%.</w:t>
      </w:r>
      <w:r w:rsidRPr="00E93F40">
        <w:rPr>
          <w:color w:val="000000" w:themeColor="text1"/>
          <w:sz w:val="16"/>
          <w:szCs w:val="16"/>
        </w:rPr>
        <w:t xml:space="preserve"> Это показывает, что авиапромышленность до сих пор не сумела создать условия, уничтожающие текучесть и закрепляющие в первую голову ведущие профессии.</w:t>
      </w:r>
    </w:p>
    <w:p w14:paraId="283BEDE6" w14:textId="2B82E43D"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Также имеет место рост невыходов на работу, что является показателем слабости труд[овой] дисциплины. Например, невыходы в 1927/28</w:t>
      </w:r>
      <w:r w:rsidR="007C1411" w:rsidRPr="00E93F40">
        <w:rPr>
          <w:color w:val="000000" w:themeColor="text1"/>
          <w:sz w:val="16"/>
          <w:szCs w:val="16"/>
        </w:rPr>
        <w:t xml:space="preserve"> </w:t>
      </w:r>
      <w:r w:rsidRPr="00E93F40">
        <w:rPr>
          <w:color w:val="000000" w:themeColor="text1"/>
          <w:sz w:val="16"/>
          <w:szCs w:val="16"/>
        </w:rPr>
        <w:t>г. ко всему рабочему времени составляли 10,63 %; в 1928/29</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10,13%; в 1930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15,4</w:t>
      </w:r>
      <w:r w:rsidR="007C1411" w:rsidRPr="00E93F40">
        <w:rPr>
          <w:color w:val="000000" w:themeColor="text1"/>
          <w:sz w:val="16"/>
          <w:szCs w:val="16"/>
        </w:rPr>
        <w:t xml:space="preserve"> </w:t>
      </w:r>
      <w:r w:rsidRPr="00E93F40">
        <w:rPr>
          <w:color w:val="000000" w:themeColor="text1"/>
          <w:sz w:val="16"/>
          <w:szCs w:val="16"/>
        </w:rPr>
        <w:t>% и в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11,6%²⁰*.</w:t>
      </w:r>
    </w:p>
    <w:p w14:paraId="1E22611B" w14:textId="29A09E70"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Б.</w:t>
      </w:r>
      <w:r w:rsidR="007C1411" w:rsidRPr="00E93F40">
        <w:rPr>
          <w:color w:val="000000" w:themeColor="text1"/>
          <w:sz w:val="16"/>
          <w:szCs w:val="16"/>
        </w:rPr>
        <w:t xml:space="preserve"> </w:t>
      </w:r>
      <w:r w:rsidRPr="00E93F40">
        <w:rPr>
          <w:color w:val="000000" w:themeColor="text1"/>
          <w:sz w:val="16"/>
          <w:szCs w:val="16"/>
        </w:rPr>
        <w:t>По производительности груда имеется крупнейших прорыв, о чем говорит динамика среднегодовой выработки одного рабочего. Так, она в 1927/28</w:t>
      </w:r>
      <w:r w:rsidR="007C1411" w:rsidRPr="00E93F40">
        <w:rPr>
          <w:color w:val="000000" w:themeColor="text1"/>
          <w:sz w:val="16"/>
          <w:szCs w:val="16"/>
        </w:rPr>
        <w:t xml:space="preserve"> </w:t>
      </w:r>
      <w:r w:rsidRPr="00E93F40">
        <w:rPr>
          <w:color w:val="000000" w:themeColor="text1"/>
          <w:sz w:val="16"/>
          <w:szCs w:val="16"/>
        </w:rPr>
        <w:t>г. равнялась 5880</w:t>
      </w:r>
      <w:r w:rsidR="007C1411" w:rsidRPr="00E93F40">
        <w:rPr>
          <w:color w:val="000000" w:themeColor="text1"/>
          <w:sz w:val="16"/>
          <w:szCs w:val="16"/>
        </w:rPr>
        <w:t xml:space="preserve"> </w:t>
      </w:r>
      <w:r w:rsidRPr="00E93F40">
        <w:rPr>
          <w:color w:val="000000" w:themeColor="text1"/>
          <w:sz w:val="16"/>
          <w:szCs w:val="16"/>
        </w:rPr>
        <w:t>руб., в 1928/29</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5096</w:t>
      </w:r>
      <w:r w:rsidR="007C1411" w:rsidRPr="00E93F40">
        <w:rPr>
          <w:color w:val="000000" w:themeColor="text1"/>
          <w:sz w:val="16"/>
          <w:szCs w:val="16"/>
        </w:rPr>
        <w:t xml:space="preserve"> </w:t>
      </w:r>
      <w:r w:rsidRPr="00E93F40">
        <w:rPr>
          <w:color w:val="000000" w:themeColor="text1"/>
          <w:sz w:val="16"/>
          <w:szCs w:val="16"/>
        </w:rPr>
        <w:t>руб., в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6943</w:t>
      </w:r>
      <w:r w:rsidR="007C1411" w:rsidRPr="00E93F40">
        <w:rPr>
          <w:color w:val="000000" w:themeColor="text1"/>
          <w:sz w:val="16"/>
          <w:szCs w:val="16"/>
        </w:rPr>
        <w:t xml:space="preserve"> </w:t>
      </w:r>
      <w:r w:rsidRPr="00E93F40">
        <w:rPr>
          <w:color w:val="000000" w:themeColor="text1"/>
          <w:sz w:val="16"/>
          <w:szCs w:val="16"/>
        </w:rPr>
        <w:t>руб. и в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4301</w:t>
      </w:r>
      <w:r w:rsidR="007C1411" w:rsidRPr="00E93F40">
        <w:rPr>
          <w:color w:val="000000" w:themeColor="text1"/>
          <w:sz w:val="16"/>
          <w:szCs w:val="16"/>
        </w:rPr>
        <w:t xml:space="preserve"> </w:t>
      </w:r>
      <w:r w:rsidRPr="00E93F40">
        <w:rPr>
          <w:color w:val="000000" w:themeColor="text1"/>
          <w:sz w:val="16"/>
          <w:szCs w:val="16"/>
        </w:rPr>
        <w:t>руб.</w:t>
      </w:r>
      <w:r w:rsidR="007C1411" w:rsidRPr="00E93F40">
        <w:rPr>
          <w:color w:val="000000" w:themeColor="text1"/>
          <w:sz w:val="16"/>
          <w:szCs w:val="16"/>
        </w:rPr>
        <w:t xml:space="preserve"> </w:t>
      </w:r>
      <w:r w:rsidRPr="00E93F40">
        <w:rPr>
          <w:color w:val="000000" w:themeColor="text1"/>
          <w:sz w:val="16"/>
          <w:szCs w:val="16"/>
        </w:rPr>
        <w:t>50</w:t>
      </w:r>
      <w:r w:rsidR="007C1411" w:rsidRPr="00E93F40">
        <w:rPr>
          <w:color w:val="000000" w:themeColor="text1"/>
          <w:sz w:val="16"/>
          <w:szCs w:val="16"/>
        </w:rPr>
        <w:t xml:space="preserve"> </w:t>
      </w:r>
      <w:r w:rsidRPr="00E93F40">
        <w:rPr>
          <w:color w:val="000000" w:themeColor="text1"/>
          <w:sz w:val="16"/>
          <w:szCs w:val="16"/>
        </w:rPr>
        <w:t>коп. Выработка на одного рабочего в 1931</w:t>
      </w:r>
      <w:r w:rsidR="007C1411" w:rsidRPr="00E93F40">
        <w:rPr>
          <w:color w:val="000000" w:themeColor="text1"/>
          <w:sz w:val="16"/>
          <w:szCs w:val="16"/>
        </w:rPr>
        <w:t xml:space="preserve"> </w:t>
      </w:r>
      <w:r w:rsidRPr="00E93F40">
        <w:rPr>
          <w:color w:val="000000" w:themeColor="text1"/>
          <w:sz w:val="16"/>
          <w:szCs w:val="16"/>
        </w:rPr>
        <w:t>г. упала ниже уровня 1926/27</w:t>
      </w:r>
      <w:r w:rsidR="007C1411" w:rsidRPr="00E93F40">
        <w:rPr>
          <w:color w:val="000000" w:themeColor="text1"/>
          <w:sz w:val="16"/>
          <w:szCs w:val="16"/>
        </w:rPr>
        <w:t xml:space="preserve"> </w:t>
      </w:r>
      <w:r w:rsidRPr="00E93F40">
        <w:rPr>
          <w:color w:val="000000" w:themeColor="text1"/>
          <w:sz w:val="16"/>
          <w:szCs w:val="16"/>
        </w:rPr>
        <w:t>г., когда она равнялась сумме в 5406</w:t>
      </w:r>
      <w:r w:rsidR="007C1411" w:rsidRPr="00E93F40">
        <w:rPr>
          <w:color w:val="000000" w:themeColor="text1"/>
          <w:sz w:val="16"/>
          <w:szCs w:val="16"/>
        </w:rPr>
        <w:t xml:space="preserve"> </w:t>
      </w:r>
      <w:r w:rsidRPr="00E93F40">
        <w:rPr>
          <w:color w:val="000000" w:themeColor="text1"/>
          <w:sz w:val="16"/>
          <w:szCs w:val="16"/>
        </w:rPr>
        <w:t>руб.</w:t>
      </w:r>
    </w:p>
    <w:p w14:paraId="27F40667" w14:textId="1A8EFFB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 повторяющимся изделиям производительность груда в первые два года пятилетки значительно поднялась, а за последующее время, например, в 1930</w:t>
      </w:r>
      <w:r w:rsidR="007C1411" w:rsidRPr="00E93F40">
        <w:rPr>
          <w:color w:val="000000" w:themeColor="text1"/>
          <w:sz w:val="16"/>
          <w:szCs w:val="16"/>
        </w:rPr>
        <w:t xml:space="preserve"> </w:t>
      </w:r>
      <w:r w:rsidRPr="00E93F40">
        <w:rPr>
          <w:color w:val="000000" w:themeColor="text1"/>
          <w:sz w:val="16"/>
          <w:szCs w:val="16"/>
        </w:rPr>
        <w:t>г. дает резкое понижение по большинству самолетов, и в 1931</w:t>
      </w:r>
      <w:r w:rsidR="007C1411" w:rsidRPr="00E93F40">
        <w:rPr>
          <w:color w:val="000000" w:themeColor="text1"/>
          <w:sz w:val="16"/>
          <w:szCs w:val="16"/>
        </w:rPr>
        <w:t xml:space="preserve"> </w:t>
      </w:r>
      <w:r w:rsidRPr="00E93F40">
        <w:rPr>
          <w:color w:val="000000" w:themeColor="text1"/>
          <w:sz w:val="16"/>
          <w:szCs w:val="16"/>
        </w:rPr>
        <w:t>г. имеет место медленный подъем производительности труда, не обеспечивающий ни выполнения задания пятилетнего плана, ни, тем более, выполнения годовых планов, что видно из следующей таблицы затраты рабсилы на единицу повторяющегося изделия (в</w:t>
      </w:r>
      <w:r w:rsidR="007C1411" w:rsidRPr="00E93F40">
        <w:rPr>
          <w:color w:val="000000" w:themeColor="text1"/>
          <w:sz w:val="16"/>
          <w:szCs w:val="16"/>
        </w:rPr>
        <w:t xml:space="preserve"> </w:t>
      </w:r>
      <w:r w:rsidRPr="00E93F40">
        <w:rPr>
          <w:color w:val="000000" w:themeColor="text1"/>
          <w:sz w:val="16"/>
          <w:szCs w:val="16"/>
        </w:rPr>
        <w:t>часах):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87"/>
        <w:gridCol w:w="1027"/>
        <w:gridCol w:w="765"/>
        <w:gridCol w:w="765"/>
        <w:gridCol w:w="765"/>
        <w:gridCol w:w="765"/>
        <w:gridCol w:w="765"/>
        <w:gridCol w:w="765"/>
        <w:gridCol w:w="765"/>
        <w:gridCol w:w="765"/>
        <w:gridCol w:w="844"/>
        <w:gridCol w:w="844"/>
      </w:tblGrid>
      <w:tr w:rsidR="00DA227A" w:rsidRPr="00E93F40" w14:paraId="2FE71DE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65CBB" w14:textId="19FF2D27"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05E6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37C6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w:t>
            </w:r>
            <w:r w:rsidRPr="00E93F40">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8381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w:t>
            </w:r>
            <w:r w:rsidRPr="00E93F40">
              <w:rPr>
                <w:rFonts w:ascii="Times New Roman" w:hAnsi="Times New Roman"/>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D68F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0504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w:t>
            </w:r>
            <w:r w:rsidRPr="00E93F40">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576E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w:t>
            </w:r>
            <w:r w:rsidRPr="00E93F40">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E9EE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400B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BD6F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309A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5A3B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w:t>
            </w:r>
            <w:r w:rsidRPr="00E93F40">
              <w:rPr>
                <w:rFonts w:ascii="Times New Roman" w:hAnsi="Times New Roman"/>
                <w:color w:val="000000" w:themeColor="text1"/>
                <w:sz w:val="16"/>
                <w:szCs w:val="16"/>
              </w:rPr>
              <w:noBreakHyphen/>
              <w:t>11</w:t>
            </w:r>
          </w:p>
        </w:tc>
      </w:tr>
      <w:tr w:rsidR="00DA227A" w:rsidRPr="00E93F40" w14:paraId="6C6403E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728F51" w14:textId="1610F1D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0E7F2" w14:textId="4397829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F20B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77C6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C466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6705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0313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CD7A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934B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872F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0A00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78B3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16E23E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5E591" w14:textId="381E52A4"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4DE3E" w14:textId="232DF8B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EBFF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6956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F9A2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A2B1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4693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5955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DDD3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CD8A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F7B2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502E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72A4629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650F3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Особый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696B0" w14:textId="11447148"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BD9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A54E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7069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4BA4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C07F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99EF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36B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759B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A44F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445B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0209739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670928" w14:textId="569E60E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71654" w14:textId="2BAC88E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0635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FDDB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A937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84D8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2A28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1421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1900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E1E7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3027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1424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1545</w:t>
            </w:r>
          </w:p>
        </w:tc>
      </w:tr>
      <w:tr w:rsidR="00DA227A" w:rsidRPr="00E93F40" w14:paraId="03EEA23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A5409A" w14:textId="38110475"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C235F" w14:textId="08254979"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5D2A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FDE2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B98C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0CCC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BE65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1B7A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0810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1C15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295A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4BF6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1117</w:t>
            </w:r>
          </w:p>
        </w:tc>
      </w:tr>
    </w:tbl>
    <w:p w14:paraId="74D0DCE2" w14:textId="0239651B"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w:t>
      </w:r>
      <w:r w:rsidR="007C1411" w:rsidRPr="00E93F40">
        <w:rPr>
          <w:color w:val="000000" w:themeColor="text1"/>
          <w:sz w:val="16"/>
          <w:szCs w:val="16"/>
        </w:rPr>
        <w:t xml:space="preserve"> </w:t>
      </w:r>
      <w:r w:rsidRPr="00E93F40">
        <w:rPr>
          <w:color w:val="000000" w:themeColor="text1"/>
          <w:sz w:val="16"/>
          <w:szCs w:val="16"/>
        </w:rPr>
        <w:t>Несмотря на огромные капиталовложения и значительный рост основного капитала в авиапромышленности, мы имеем резкое снижение капиталовооруженности труда. Число рублей среднедействующего капитала приходилось на одного рабочего в 1928/29</w:t>
      </w:r>
      <w:r w:rsidR="007C1411" w:rsidRPr="00E93F40">
        <w:rPr>
          <w:color w:val="000000" w:themeColor="text1"/>
          <w:sz w:val="16"/>
          <w:szCs w:val="16"/>
        </w:rPr>
        <w:t xml:space="preserve"> </w:t>
      </w:r>
      <w:r w:rsidRPr="00E93F40">
        <w:rPr>
          <w:color w:val="000000" w:themeColor="text1"/>
          <w:sz w:val="16"/>
          <w:szCs w:val="16"/>
        </w:rPr>
        <w:t>г. 7315</w:t>
      </w:r>
      <w:r w:rsidR="007C1411" w:rsidRPr="00E93F40">
        <w:rPr>
          <w:color w:val="000000" w:themeColor="text1"/>
          <w:sz w:val="16"/>
          <w:szCs w:val="16"/>
        </w:rPr>
        <w:t xml:space="preserve"> </w:t>
      </w:r>
      <w:r w:rsidRPr="00E93F40">
        <w:rPr>
          <w:color w:val="000000" w:themeColor="text1"/>
          <w:sz w:val="16"/>
          <w:szCs w:val="16"/>
        </w:rPr>
        <w:t>руб., в особом квартале</w:t>
      </w:r>
      <w:r w:rsidR="007C1411" w:rsidRPr="00E93F40">
        <w:rPr>
          <w:color w:val="000000" w:themeColor="text1"/>
          <w:sz w:val="16"/>
          <w:szCs w:val="16"/>
        </w:rPr>
        <w:t xml:space="preserve"> </w:t>
      </w:r>
      <w:r w:rsidRPr="00E93F40">
        <w:rPr>
          <w:color w:val="000000" w:themeColor="text1"/>
          <w:sz w:val="16"/>
          <w:szCs w:val="16"/>
        </w:rPr>
        <w:t>— 4387</w:t>
      </w:r>
      <w:r w:rsidR="007C1411" w:rsidRPr="00E93F40">
        <w:rPr>
          <w:color w:val="000000" w:themeColor="text1"/>
          <w:sz w:val="16"/>
          <w:szCs w:val="16"/>
        </w:rPr>
        <w:t xml:space="preserve"> </w:t>
      </w:r>
      <w:r w:rsidRPr="00E93F40">
        <w:rPr>
          <w:color w:val="000000" w:themeColor="text1"/>
          <w:sz w:val="16"/>
          <w:szCs w:val="16"/>
        </w:rPr>
        <w:t>руб., в 1930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4776</w:t>
      </w:r>
      <w:r w:rsidR="007C1411" w:rsidRPr="00E93F40">
        <w:rPr>
          <w:color w:val="000000" w:themeColor="text1"/>
          <w:sz w:val="16"/>
          <w:szCs w:val="16"/>
        </w:rPr>
        <w:t xml:space="preserve"> </w:t>
      </w:r>
      <w:r w:rsidRPr="00E93F40">
        <w:rPr>
          <w:color w:val="000000" w:themeColor="text1"/>
          <w:sz w:val="16"/>
          <w:szCs w:val="16"/>
        </w:rPr>
        <w:t>руб., а в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3774,9</w:t>
      </w:r>
      <w:r w:rsidR="007C1411" w:rsidRPr="00E93F40">
        <w:rPr>
          <w:color w:val="000000" w:themeColor="text1"/>
          <w:sz w:val="16"/>
          <w:szCs w:val="16"/>
        </w:rPr>
        <w:t xml:space="preserve"> </w:t>
      </w:r>
      <w:r w:rsidRPr="00E93F40">
        <w:rPr>
          <w:color w:val="000000" w:themeColor="text1"/>
          <w:sz w:val="16"/>
          <w:szCs w:val="16"/>
        </w:rPr>
        <w:t>руб. Это является результатом, во-первых, медлительности в капитальном строительстве и капитальном ремонте (остаток незавершенного производства в капитальном строительстве и капитальном ремонте на конец 1930</w:t>
      </w:r>
      <w:r w:rsidR="007C1411" w:rsidRPr="00E93F40">
        <w:rPr>
          <w:color w:val="000000" w:themeColor="text1"/>
          <w:sz w:val="16"/>
          <w:szCs w:val="16"/>
        </w:rPr>
        <w:t xml:space="preserve"> </w:t>
      </w:r>
      <w:r w:rsidRPr="00E93F40">
        <w:rPr>
          <w:color w:val="000000" w:themeColor="text1"/>
          <w:sz w:val="16"/>
          <w:szCs w:val="16"/>
        </w:rPr>
        <w:t>г. составил 14</w:t>
      </w:r>
      <w:r w:rsidR="007C1411" w:rsidRPr="00E93F40">
        <w:rPr>
          <w:color w:val="000000" w:themeColor="text1"/>
          <w:sz w:val="16"/>
          <w:szCs w:val="16"/>
        </w:rPr>
        <w:t xml:space="preserve"> </w:t>
      </w:r>
      <w:r w:rsidRPr="00E93F40">
        <w:rPr>
          <w:color w:val="000000" w:themeColor="text1"/>
          <w:sz w:val="16"/>
          <w:szCs w:val="16"/>
        </w:rPr>
        <w:t>465</w:t>
      </w:r>
      <w:r w:rsidR="007C1411" w:rsidRPr="00E93F40">
        <w:rPr>
          <w:color w:val="000000" w:themeColor="text1"/>
          <w:sz w:val="16"/>
          <w:szCs w:val="16"/>
        </w:rPr>
        <w:t xml:space="preserve"> </w:t>
      </w:r>
      <w:r w:rsidRPr="00E93F40">
        <w:rPr>
          <w:color w:val="000000" w:themeColor="text1"/>
          <w:sz w:val="16"/>
          <w:szCs w:val="16"/>
        </w:rPr>
        <w:t>981</w:t>
      </w:r>
      <w:r w:rsidR="007C1411" w:rsidRPr="00E93F40">
        <w:rPr>
          <w:color w:val="000000" w:themeColor="text1"/>
          <w:sz w:val="16"/>
          <w:szCs w:val="16"/>
        </w:rPr>
        <w:t xml:space="preserve"> </w:t>
      </w:r>
      <w:r w:rsidRPr="00E93F40">
        <w:rPr>
          <w:color w:val="000000" w:themeColor="text1"/>
          <w:sz w:val="16"/>
          <w:szCs w:val="16"/>
        </w:rPr>
        <w:t>руб., а на конец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235</w:t>
      </w:r>
      <w:r w:rsidR="007C1411" w:rsidRPr="00E93F40">
        <w:rPr>
          <w:color w:val="000000" w:themeColor="text1"/>
          <w:sz w:val="16"/>
          <w:szCs w:val="16"/>
        </w:rPr>
        <w:t xml:space="preserve"> </w:t>
      </w:r>
      <w:r w:rsidRPr="00E93F40">
        <w:rPr>
          <w:color w:val="000000" w:themeColor="text1"/>
          <w:sz w:val="16"/>
          <w:szCs w:val="16"/>
        </w:rPr>
        <w:t>346</w:t>
      </w:r>
      <w:r w:rsidR="007C1411" w:rsidRPr="00E93F40">
        <w:rPr>
          <w:color w:val="000000" w:themeColor="text1"/>
          <w:sz w:val="16"/>
          <w:szCs w:val="16"/>
        </w:rPr>
        <w:t xml:space="preserve"> </w:t>
      </w:r>
      <w:r w:rsidRPr="00E93F40">
        <w:rPr>
          <w:color w:val="000000" w:themeColor="text1"/>
          <w:sz w:val="16"/>
          <w:szCs w:val="16"/>
        </w:rPr>
        <w:t>100</w:t>
      </w:r>
      <w:r w:rsidR="007C1411" w:rsidRPr="00E93F40">
        <w:rPr>
          <w:color w:val="000000" w:themeColor="text1"/>
          <w:sz w:val="16"/>
          <w:szCs w:val="16"/>
        </w:rPr>
        <w:t xml:space="preserve"> </w:t>
      </w:r>
      <w:r w:rsidRPr="00E93F40">
        <w:rPr>
          <w:color w:val="000000" w:themeColor="text1"/>
          <w:sz w:val="16"/>
          <w:szCs w:val="16"/>
        </w:rPr>
        <w:t xml:space="preserve">руб.). Во-вторых, более </w:t>
      </w:r>
      <w:r w:rsidRPr="00E93F40">
        <w:rPr>
          <w:color w:val="000000" w:themeColor="text1"/>
          <w:sz w:val="16"/>
          <w:szCs w:val="16"/>
        </w:rPr>
        <w:lastRenderedPageBreak/>
        <w:t>быстрого роста рабсилы по сравнению с ростом основного капитала. Сами по себе эти факты, безусловно, являются отрицательными, понижающими производительность труда.</w:t>
      </w:r>
    </w:p>
    <w:p w14:paraId="0BB6B4F4"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6. Себестоимость продукции.</w:t>
      </w:r>
    </w:p>
    <w:p w14:paraId="7B48A903" w14:textId="65CF5633"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А.</w:t>
      </w:r>
      <w:r w:rsidR="007C1411" w:rsidRPr="00E93F40">
        <w:rPr>
          <w:color w:val="000000" w:themeColor="text1"/>
          <w:sz w:val="16"/>
          <w:szCs w:val="16"/>
        </w:rPr>
        <w:t xml:space="preserve"> </w:t>
      </w:r>
      <w:r w:rsidRPr="00E93F40">
        <w:rPr>
          <w:color w:val="000000" w:themeColor="text1"/>
          <w:sz w:val="16"/>
          <w:szCs w:val="16"/>
        </w:rPr>
        <w:t>Прорывы в производительности труда, огромные размеры незавершенного производства, удлинение сроков и удорожание капстроительства и капремонта корреспондировало резкое недовыполнение планов снижения себестоимости продукции, о чем ярко говорят следующие данные (в процентах):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55"/>
        <w:gridCol w:w="2318"/>
        <w:gridCol w:w="2318"/>
        <w:gridCol w:w="1891"/>
        <w:gridCol w:w="1640"/>
      </w:tblGrid>
      <w:tr w:rsidR="00DA227A" w:rsidRPr="00E93F40" w14:paraId="5BE87B2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88D705" w14:textId="2DD0370A"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A943" w14:textId="47C198BC"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3765D" w14:textId="3EE4360E"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08D8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Особый</w:t>
            </w:r>
          </w:p>
          <w:p w14:paraId="28E323C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1578D" w14:textId="4F5A1CF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23C281A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9C3E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DB0B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0311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947C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29A9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w:t>
            </w:r>
          </w:p>
        </w:tc>
      </w:tr>
      <w:tr w:rsidR="00DA227A" w:rsidRPr="00E93F40" w14:paraId="2163D0C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F3DC5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91A8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B589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1EDB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8ADE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w:t>
            </w:r>
          </w:p>
        </w:tc>
      </w:tr>
    </w:tbl>
    <w:p w14:paraId="0D4D510A" w14:textId="100ED61C"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 переводе в абсолютные данные эти проценты означают, что вместо запроектированной суммы от снижения себестоимости, выражающейся в 1928/29</w:t>
      </w:r>
      <w:r w:rsidR="007C1411" w:rsidRPr="00E93F40">
        <w:rPr>
          <w:color w:val="000000" w:themeColor="text1"/>
          <w:sz w:val="16"/>
          <w:szCs w:val="16"/>
        </w:rPr>
        <w:t xml:space="preserve"> </w:t>
      </w:r>
      <w:r w:rsidRPr="00E93F40">
        <w:rPr>
          <w:color w:val="000000" w:themeColor="text1"/>
          <w:sz w:val="16"/>
          <w:szCs w:val="16"/>
        </w:rPr>
        <w:t>г. в 7611</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получено 5427,9</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в 1929/30</w:t>
      </w:r>
      <w:r w:rsidR="007C1411" w:rsidRPr="00E93F40">
        <w:rPr>
          <w:color w:val="000000" w:themeColor="text1"/>
          <w:sz w:val="16"/>
          <w:szCs w:val="16"/>
        </w:rPr>
        <w:t xml:space="preserve"> </w:t>
      </w:r>
      <w:r w:rsidRPr="00E93F40">
        <w:rPr>
          <w:color w:val="000000" w:themeColor="text1"/>
          <w:sz w:val="16"/>
          <w:szCs w:val="16"/>
        </w:rPr>
        <w:t>г. вместо 13</w:t>
      </w:r>
      <w:r w:rsidR="007C1411" w:rsidRPr="00E93F40">
        <w:rPr>
          <w:color w:val="000000" w:themeColor="text1"/>
          <w:sz w:val="16"/>
          <w:szCs w:val="16"/>
        </w:rPr>
        <w:t xml:space="preserve"> </w:t>
      </w:r>
      <w:r w:rsidRPr="00E93F40">
        <w:rPr>
          <w:color w:val="000000" w:themeColor="text1"/>
          <w:sz w:val="16"/>
          <w:szCs w:val="16"/>
        </w:rPr>
        <w:t>557,4</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получено 16</w:t>
      </w:r>
      <w:r w:rsidR="007C1411" w:rsidRPr="00E93F40">
        <w:rPr>
          <w:color w:val="000000" w:themeColor="text1"/>
          <w:sz w:val="16"/>
          <w:szCs w:val="16"/>
        </w:rPr>
        <w:t xml:space="preserve"> </w:t>
      </w:r>
      <w:r w:rsidRPr="00E93F40">
        <w:rPr>
          <w:color w:val="000000" w:themeColor="text1"/>
          <w:sz w:val="16"/>
          <w:szCs w:val="16"/>
        </w:rPr>
        <w:t>056,8</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в особом квартале вместо 4329,5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получено 3468,8</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и в 1931</w:t>
      </w:r>
      <w:r w:rsidR="007C1411" w:rsidRPr="00E93F40">
        <w:rPr>
          <w:color w:val="000000" w:themeColor="text1"/>
          <w:sz w:val="16"/>
          <w:szCs w:val="16"/>
        </w:rPr>
        <w:t xml:space="preserve"> </w:t>
      </w:r>
      <w:r w:rsidRPr="00E93F40">
        <w:rPr>
          <w:color w:val="000000" w:themeColor="text1"/>
          <w:sz w:val="16"/>
          <w:szCs w:val="16"/>
        </w:rPr>
        <w:t>г. вместо 50</w:t>
      </w:r>
      <w:r w:rsidR="007C1411" w:rsidRPr="00E93F40">
        <w:rPr>
          <w:color w:val="000000" w:themeColor="text1"/>
          <w:sz w:val="16"/>
          <w:szCs w:val="16"/>
        </w:rPr>
        <w:t xml:space="preserve"> </w:t>
      </w:r>
      <w:r w:rsidRPr="00E93F40">
        <w:rPr>
          <w:color w:val="000000" w:themeColor="text1"/>
          <w:sz w:val="16"/>
          <w:szCs w:val="16"/>
        </w:rPr>
        <w:t>130,2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получено 30</w:t>
      </w:r>
      <w:r w:rsidR="007C1411" w:rsidRPr="00E93F40">
        <w:rPr>
          <w:color w:val="000000" w:themeColor="text1"/>
          <w:sz w:val="16"/>
          <w:szCs w:val="16"/>
        </w:rPr>
        <w:t xml:space="preserve"> </w:t>
      </w:r>
      <w:r w:rsidRPr="00E93F40">
        <w:rPr>
          <w:color w:val="000000" w:themeColor="text1"/>
          <w:sz w:val="16"/>
          <w:szCs w:val="16"/>
        </w:rPr>
        <w:t>234,8</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За все время с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снижение себестоимости должно было дать 75</w:t>
      </w:r>
      <w:r w:rsidR="007C1411" w:rsidRPr="00E93F40">
        <w:rPr>
          <w:color w:val="000000" w:themeColor="text1"/>
          <w:sz w:val="16"/>
          <w:szCs w:val="16"/>
        </w:rPr>
        <w:t xml:space="preserve"> </w:t>
      </w:r>
      <w:r w:rsidRPr="00E93F40">
        <w:rPr>
          <w:color w:val="000000" w:themeColor="text1"/>
          <w:sz w:val="16"/>
          <w:szCs w:val="16"/>
        </w:rPr>
        <w:t>628,1</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получено же 55</w:t>
      </w:r>
      <w:r w:rsidR="007C1411" w:rsidRPr="00E93F40">
        <w:rPr>
          <w:color w:val="000000" w:themeColor="text1"/>
          <w:sz w:val="16"/>
          <w:szCs w:val="16"/>
        </w:rPr>
        <w:t xml:space="preserve"> </w:t>
      </w:r>
      <w:r w:rsidRPr="00E93F40">
        <w:rPr>
          <w:color w:val="000000" w:themeColor="text1"/>
          <w:sz w:val="16"/>
          <w:szCs w:val="16"/>
        </w:rPr>
        <w:t>183,3</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т.</w:t>
      </w:r>
      <w:r w:rsidR="007C1411" w:rsidRPr="00E93F40">
        <w:rPr>
          <w:color w:val="000000" w:themeColor="text1"/>
          <w:sz w:val="16"/>
          <w:szCs w:val="16"/>
        </w:rPr>
        <w:t xml:space="preserve"> </w:t>
      </w:r>
      <w:r w:rsidRPr="00E93F40">
        <w:rPr>
          <w:color w:val="000000" w:themeColor="text1"/>
          <w:sz w:val="16"/>
          <w:szCs w:val="16"/>
        </w:rPr>
        <w:t>е. потеряно на недовыполнение снижения себестоимости 20</w:t>
      </w:r>
      <w:r w:rsidR="007C1411" w:rsidRPr="00E93F40">
        <w:rPr>
          <w:color w:val="000000" w:themeColor="text1"/>
          <w:sz w:val="16"/>
          <w:szCs w:val="16"/>
        </w:rPr>
        <w:t xml:space="preserve"> </w:t>
      </w:r>
      <w:r w:rsidRPr="00E93F40">
        <w:rPr>
          <w:color w:val="000000" w:themeColor="text1"/>
          <w:sz w:val="16"/>
          <w:szCs w:val="16"/>
        </w:rPr>
        <w:t>440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 xml:space="preserve">руб. Огромное значение этой цифры характеризуется тем, что она дает </w:t>
      </w:r>
      <w:r w:rsidRPr="00E93F40">
        <w:rPr>
          <w:rFonts w:eastAsia="MS Mincho"/>
          <w:color w:val="000000" w:themeColor="text1"/>
          <w:sz w:val="16"/>
          <w:szCs w:val="16"/>
        </w:rPr>
        <w:t>⅟</w:t>
      </w:r>
      <w:r w:rsidRPr="00E93F40">
        <w:rPr>
          <w:color w:val="000000" w:themeColor="text1"/>
          <w:sz w:val="16"/>
          <w:szCs w:val="16"/>
        </w:rPr>
        <w:t>₇</w:t>
      </w:r>
      <w:r w:rsidR="007C1411" w:rsidRPr="00E93F40">
        <w:rPr>
          <w:color w:val="000000" w:themeColor="text1"/>
          <w:sz w:val="16"/>
          <w:szCs w:val="16"/>
        </w:rPr>
        <w:t xml:space="preserve"> </w:t>
      </w:r>
      <w:r w:rsidRPr="00E93F40">
        <w:rPr>
          <w:color w:val="000000" w:themeColor="text1"/>
          <w:sz w:val="16"/>
          <w:szCs w:val="16"/>
        </w:rPr>
        <w:t>часть всего основного капитала авиапромышленности на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и ⅛</w:t>
      </w:r>
      <w:r w:rsidR="007C1411" w:rsidRPr="00E93F40">
        <w:rPr>
          <w:color w:val="000000" w:themeColor="text1"/>
          <w:sz w:val="16"/>
          <w:szCs w:val="16"/>
        </w:rPr>
        <w:t xml:space="preserve"> </w:t>
      </w:r>
      <w:r w:rsidRPr="00E93F40">
        <w:rPr>
          <w:color w:val="000000" w:themeColor="text1"/>
          <w:sz w:val="16"/>
          <w:szCs w:val="16"/>
        </w:rPr>
        <w:t>часть всех капиталовложений с 1</w:t>
      </w:r>
      <w:r w:rsidR="007C1411" w:rsidRPr="00E93F40">
        <w:rPr>
          <w:color w:val="000000" w:themeColor="text1"/>
          <w:sz w:val="16"/>
          <w:szCs w:val="16"/>
        </w:rPr>
        <w:t xml:space="preserve"> </w:t>
      </w:r>
      <w:r w:rsidRPr="00E93F40">
        <w:rPr>
          <w:color w:val="000000" w:themeColor="text1"/>
          <w:sz w:val="16"/>
          <w:szCs w:val="16"/>
        </w:rPr>
        <w:t>октября 1922</w:t>
      </w:r>
      <w:r w:rsidR="007C1411" w:rsidRPr="00E93F40">
        <w:rPr>
          <w:color w:val="000000" w:themeColor="text1"/>
          <w:sz w:val="16"/>
          <w:szCs w:val="16"/>
        </w:rPr>
        <w:t xml:space="preserve"> </w:t>
      </w:r>
      <w:r w:rsidRPr="00E93F40">
        <w:rPr>
          <w:color w:val="000000" w:themeColor="text1"/>
          <w:sz w:val="16"/>
          <w:szCs w:val="16"/>
        </w:rPr>
        <w:t>г. по 1</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и тем, что один лишь только 1931</w:t>
      </w:r>
      <w:r w:rsidR="007C1411" w:rsidRPr="00E93F40">
        <w:rPr>
          <w:color w:val="000000" w:themeColor="text1"/>
          <w:sz w:val="16"/>
          <w:szCs w:val="16"/>
        </w:rPr>
        <w:t xml:space="preserve"> </w:t>
      </w:r>
      <w:r w:rsidRPr="00E93F40">
        <w:rPr>
          <w:color w:val="000000" w:themeColor="text1"/>
          <w:sz w:val="16"/>
          <w:szCs w:val="16"/>
        </w:rPr>
        <w:t>г. принес потери на недовыполнение плана по снижению себестоимости 20</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...²¹*</w:t>
      </w:r>
    </w:p>
    <w:p w14:paraId="6A2AB1F0" w14:textId="799861CF"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 xml:space="preserve">Из приведенных данных шести типов самолетов три дают удорожание себестоимости по сравнению </w:t>
      </w:r>
      <w:r w:rsidRPr="00E93F40">
        <w:rPr>
          <w:rStyle w:val="af0"/>
          <w:i w:val="0"/>
          <w:color w:val="000000" w:themeColor="text1"/>
          <w:sz w:val="16"/>
          <w:szCs w:val="16"/>
        </w:rPr>
        <w:t>с</w:t>
      </w:r>
      <w:r w:rsidRPr="00E93F40">
        <w:rPr>
          <w:color w:val="000000" w:themeColor="text1"/>
          <w:sz w:val="16"/>
          <w:szCs w:val="16"/>
        </w:rPr>
        <w:t xml:space="preserve"> 1930</w:t>
      </w:r>
      <w:r w:rsidR="007C1411" w:rsidRPr="00E93F40">
        <w:rPr>
          <w:color w:val="000000" w:themeColor="text1"/>
          <w:sz w:val="16"/>
          <w:szCs w:val="16"/>
        </w:rPr>
        <w:t xml:space="preserve"> </w:t>
      </w:r>
      <w:r w:rsidRPr="00E93F40">
        <w:rPr>
          <w:color w:val="000000" w:themeColor="text1"/>
          <w:sz w:val="16"/>
          <w:szCs w:val="16"/>
        </w:rPr>
        <w:t>г. (И</w:t>
      </w:r>
      <w:r w:rsidRPr="00E93F40">
        <w:rPr>
          <w:color w:val="000000" w:themeColor="text1"/>
          <w:sz w:val="16"/>
          <w:szCs w:val="16"/>
        </w:rPr>
        <w:noBreakHyphen/>
        <w:t>3, У</w:t>
      </w:r>
      <w:r w:rsidRPr="00E93F40">
        <w:rPr>
          <w:color w:val="000000" w:themeColor="text1"/>
          <w:sz w:val="16"/>
          <w:szCs w:val="16"/>
        </w:rPr>
        <w:noBreakHyphen/>
        <w:t>1, Р</w:t>
      </w:r>
      <w:r w:rsidRPr="00E93F40">
        <w:rPr>
          <w:color w:val="000000" w:themeColor="text1"/>
          <w:sz w:val="16"/>
          <w:szCs w:val="16"/>
        </w:rPr>
        <w:noBreakHyphen/>
        <w:t>1), а три дают снижение, но все они дают более значительную себестоимость против плана. Так, например, И</w:t>
      </w:r>
      <w:r w:rsidRPr="00E93F40">
        <w:rPr>
          <w:color w:val="000000" w:themeColor="text1"/>
          <w:sz w:val="16"/>
          <w:szCs w:val="16"/>
        </w:rPr>
        <w:noBreakHyphen/>
        <w:t>3</w:t>
      </w:r>
      <w:r w:rsidR="007C1411" w:rsidRPr="00E93F40">
        <w:rPr>
          <w:color w:val="000000" w:themeColor="text1"/>
          <w:sz w:val="16"/>
          <w:szCs w:val="16"/>
        </w:rPr>
        <w:t xml:space="preserve"> </w:t>
      </w:r>
      <w:r w:rsidRPr="00E93F40">
        <w:rPr>
          <w:color w:val="000000" w:themeColor="text1"/>
          <w:sz w:val="16"/>
          <w:szCs w:val="16"/>
        </w:rPr>
        <w:t>— на 2600</w:t>
      </w:r>
      <w:r w:rsidR="007C1411" w:rsidRPr="00E93F40">
        <w:rPr>
          <w:color w:val="000000" w:themeColor="text1"/>
          <w:sz w:val="16"/>
          <w:szCs w:val="16"/>
        </w:rPr>
        <w:t xml:space="preserve"> </w:t>
      </w:r>
      <w:r w:rsidRPr="00E93F40">
        <w:rPr>
          <w:color w:val="000000" w:themeColor="text1"/>
          <w:sz w:val="16"/>
          <w:szCs w:val="16"/>
        </w:rPr>
        <w:t>руб., ТБ</w:t>
      </w:r>
      <w:r w:rsidRPr="00E93F40">
        <w:rPr>
          <w:color w:val="000000" w:themeColor="text1"/>
          <w:sz w:val="16"/>
          <w:szCs w:val="16"/>
        </w:rPr>
        <w:noBreakHyphen/>
        <w:t>1</w:t>
      </w:r>
      <w:r w:rsidR="007C1411" w:rsidRPr="00E93F40">
        <w:rPr>
          <w:color w:val="000000" w:themeColor="text1"/>
          <w:sz w:val="16"/>
          <w:szCs w:val="16"/>
        </w:rPr>
        <w:t xml:space="preserve"> </w:t>
      </w:r>
      <w:r w:rsidRPr="00E93F40">
        <w:rPr>
          <w:color w:val="000000" w:themeColor="text1"/>
          <w:sz w:val="16"/>
          <w:szCs w:val="16"/>
        </w:rPr>
        <w:t>— на 17</w:t>
      </w:r>
      <w:r w:rsidR="007C1411" w:rsidRPr="00E93F40">
        <w:rPr>
          <w:color w:val="000000" w:themeColor="text1"/>
          <w:sz w:val="16"/>
          <w:szCs w:val="16"/>
        </w:rPr>
        <w:t xml:space="preserve"> </w:t>
      </w:r>
      <w:r w:rsidRPr="00E93F40">
        <w:rPr>
          <w:color w:val="000000" w:themeColor="text1"/>
          <w:sz w:val="16"/>
          <w:szCs w:val="16"/>
        </w:rPr>
        <w:t>758</w:t>
      </w:r>
      <w:r w:rsidR="007C1411" w:rsidRPr="00E93F40">
        <w:rPr>
          <w:color w:val="000000" w:themeColor="text1"/>
          <w:sz w:val="16"/>
          <w:szCs w:val="16"/>
        </w:rPr>
        <w:t xml:space="preserve"> </w:t>
      </w:r>
      <w:r w:rsidRPr="00E93F40">
        <w:rPr>
          <w:color w:val="000000" w:themeColor="text1"/>
          <w:sz w:val="16"/>
          <w:szCs w:val="16"/>
        </w:rPr>
        <w:t>руб., У</w:t>
      </w:r>
      <w:r w:rsidRPr="00E93F40">
        <w:rPr>
          <w:color w:val="000000" w:themeColor="text1"/>
          <w:sz w:val="16"/>
          <w:szCs w:val="16"/>
        </w:rPr>
        <w:noBreakHyphen/>
        <w:t>2</w:t>
      </w:r>
      <w:r w:rsidR="007C1411" w:rsidRPr="00E93F40">
        <w:rPr>
          <w:color w:val="000000" w:themeColor="text1"/>
          <w:sz w:val="16"/>
          <w:szCs w:val="16"/>
        </w:rPr>
        <w:t xml:space="preserve"> </w:t>
      </w:r>
      <w:r w:rsidRPr="00E93F40">
        <w:rPr>
          <w:color w:val="000000" w:themeColor="text1"/>
          <w:sz w:val="16"/>
          <w:szCs w:val="16"/>
        </w:rPr>
        <w:t>— на 2640</w:t>
      </w:r>
      <w:r w:rsidR="007C1411" w:rsidRPr="00E93F40">
        <w:rPr>
          <w:color w:val="000000" w:themeColor="text1"/>
          <w:sz w:val="16"/>
          <w:szCs w:val="16"/>
        </w:rPr>
        <w:t xml:space="preserve"> </w:t>
      </w:r>
      <w:r w:rsidRPr="00E93F40">
        <w:rPr>
          <w:color w:val="000000" w:themeColor="text1"/>
          <w:sz w:val="16"/>
          <w:szCs w:val="16"/>
        </w:rPr>
        <w:t>руб., АП</w:t>
      </w:r>
      <w:r w:rsidR="007C1411" w:rsidRPr="00E93F40">
        <w:rPr>
          <w:color w:val="000000" w:themeColor="text1"/>
          <w:sz w:val="16"/>
          <w:szCs w:val="16"/>
        </w:rPr>
        <w:t xml:space="preserve"> </w:t>
      </w:r>
      <w:r w:rsidRPr="00E93F40">
        <w:rPr>
          <w:color w:val="000000" w:themeColor="text1"/>
          <w:sz w:val="16"/>
          <w:szCs w:val="16"/>
        </w:rPr>
        <w:t>— на</w:t>
      </w:r>
      <w:r w:rsidR="007C1411" w:rsidRPr="00E93F40">
        <w:rPr>
          <w:color w:val="000000" w:themeColor="text1"/>
          <w:sz w:val="16"/>
          <w:szCs w:val="16"/>
        </w:rPr>
        <w:t xml:space="preserve"> </w:t>
      </w:r>
      <w:r w:rsidRPr="00E93F40">
        <w:rPr>
          <w:color w:val="000000" w:themeColor="text1"/>
          <w:sz w:val="16"/>
          <w:szCs w:val="16"/>
        </w:rPr>
        <w:t>ЗЗ00</w:t>
      </w:r>
      <w:r w:rsidR="007C1411" w:rsidRPr="00E93F40">
        <w:rPr>
          <w:color w:val="000000" w:themeColor="text1"/>
          <w:sz w:val="16"/>
          <w:szCs w:val="16"/>
        </w:rPr>
        <w:t xml:space="preserve"> </w:t>
      </w:r>
      <w:r w:rsidRPr="00E93F40">
        <w:rPr>
          <w:color w:val="000000" w:themeColor="text1"/>
          <w:sz w:val="16"/>
          <w:szCs w:val="16"/>
        </w:rPr>
        <w:t>руб. и Р</w:t>
      </w:r>
      <w:r w:rsidRPr="00E93F40">
        <w:rPr>
          <w:color w:val="000000" w:themeColor="text1"/>
          <w:sz w:val="16"/>
          <w:szCs w:val="16"/>
        </w:rPr>
        <w:noBreakHyphen/>
        <w:t>1</w:t>
      </w:r>
      <w:r w:rsidR="007C1411" w:rsidRPr="00E93F40">
        <w:rPr>
          <w:color w:val="000000" w:themeColor="text1"/>
          <w:sz w:val="16"/>
          <w:szCs w:val="16"/>
        </w:rPr>
        <w:t xml:space="preserve"> </w:t>
      </w:r>
      <w:r w:rsidRPr="00E93F40">
        <w:rPr>
          <w:color w:val="000000" w:themeColor="text1"/>
          <w:sz w:val="16"/>
          <w:szCs w:val="16"/>
        </w:rPr>
        <w:t>— на 4500</w:t>
      </w:r>
      <w:r w:rsidR="007C1411" w:rsidRPr="00E93F40">
        <w:rPr>
          <w:color w:val="000000" w:themeColor="text1"/>
          <w:sz w:val="16"/>
          <w:szCs w:val="16"/>
        </w:rPr>
        <w:t xml:space="preserve"> </w:t>
      </w:r>
      <w:r w:rsidRPr="00E93F40">
        <w:rPr>
          <w:color w:val="000000" w:themeColor="text1"/>
          <w:sz w:val="16"/>
          <w:szCs w:val="16"/>
        </w:rPr>
        <w:t>руб. Это удорожание против плана и против 1930</w:t>
      </w:r>
      <w:r w:rsidR="007C1411" w:rsidRPr="00E93F40">
        <w:rPr>
          <w:color w:val="000000" w:themeColor="text1"/>
          <w:sz w:val="16"/>
          <w:szCs w:val="16"/>
        </w:rPr>
        <w:t xml:space="preserve"> </w:t>
      </w:r>
      <w:r w:rsidRPr="00E93F40">
        <w:rPr>
          <w:color w:val="000000" w:themeColor="text1"/>
          <w:sz w:val="16"/>
          <w:szCs w:val="16"/>
        </w:rPr>
        <w:t>г. происходит в основном за счет увеличения накладных расходов. Так, они против плана 1931</w:t>
      </w:r>
      <w:r w:rsidR="007C1411" w:rsidRPr="00E93F40">
        <w:rPr>
          <w:color w:val="000000" w:themeColor="text1"/>
          <w:sz w:val="16"/>
          <w:szCs w:val="16"/>
        </w:rPr>
        <w:t xml:space="preserve"> </w:t>
      </w:r>
      <w:r w:rsidRPr="00E93F40">
        <w:rPr>
          <w:color w:val="000000" w:themeColor="text1"/>
          <w:sz w:val="16"/>
          <w:szCs w:val="16"/>
        </w:rPr>
        <w:t>г. возросли по И</w:t>
      </w:r>
      <w:r w:rsidRPr="00E93F40">
        <w:rPr>
          <w:color w:val="000000" w:themeColor="text1"/>
          <w:sz w:val="16"/>
          <w:szCs w:val="16"/>
        </w:rPr>
        <w:noBreakHyphen/>
        <w:t>3 на 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 ТБ</w:t>
      </w:r>
      <w:r w:rsidRPr="00E93F40">
        <w:rPr>
          <w:color w:val="000000" w:themeColor="text1"/>
          <w:sz w:val="16"/>
          <w:szCs w:val="16"/>
        </w:rPr>
        <w:noBreakHyphen/>
        <w:t>1</w:t>
      </w:r>
      <w:r w:rsidR="007C1411" w:rsidRPr="00E93F40">
        <w:rPr>
          <w:color w:val="000000" w:themeColor="text1"/>
          <w:sz w:val="16"/>
          <w:szCs w:val="16"/>
        </w:rPr>
        <w:t xml:space="preserve"> </w:t>
      </w:r>
      <w:r w:rsidRPr="00E93F40">
        <w:rPr>
          <w:color w:val="000000" w:themeColor="text1"/>
          <w:sz w:val="16"/>
          <w:szCs w:val="16"/>
        </w:rPr>
        <w:t>— на 6,307</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 У</w:t>
      </w:r>
      <w:r w:rsidRPr="00E93F40">
        <w:rPr>
          <w:color w:val="000000" w:themeColor="text1"/>
          <w:sz w:val="16"/>
          <w:szCs w:val="16"/>
        </w:rPr>
        <w:noBreakHyphen/>
        <w:t>2</w:t>
      </w:r>
      <w:r w:rsidR="007C1411" w:rsidRPr="00E93F40">
        <w:rPr>
          <w:color w:val="000000" w:themeColor="text1"/>
          <w:sz w:val="16"/>
          <w:szCs w:val="16"/>
        </w:rPr>
        <w:t xml:space="preserve"> </w:t>
      </w:r>
      <w:r w:rsidRPr="00E93F40">
        <w:rPr>
          <w:color w:val="000000" w:themeColor="text1"/>
          <w:sz w:val="16"/>
          <w:szCs w:val="16"/>
        </w:rPr>
        <w:t>— на 2,7</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по АП</w:t>
      </w:r>
      <w:r w:rsidR="007C1411" w:rsidRPr="00E93F40">
        <w:rPr>
          <w:color w:val="000000" w:themeColor="text1"/>
          <w:sz w:val="16"/>
          <w:szCs w:val="16"/>
        </w:rPr>
        <w:t xml:space="preserve"> </w:t>
      </w:r>
      <w:r w:rsidRPr="00E93F40">
        <w:rPr>
          <w:color w:val="000000" w:themeColor="text1"/>
          <w:sz w:val="16"/>
          <w:szCs w:val="16"/>
        </w:rPr>
        <w:t>— на 2</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w:t>
      </w:r>
    </w:p>
    <w:p w14:paraId="02F94511" w14:textId="01A75AEA"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 моторам мы имеем также значительное невыполнение плана в этом отношении. Так, по мотору М</w:t>
      </w:r>
      <w:r w:rsidRPr="00E93F40">
        <w:rPr>
          <w:color w:val="000000" w:themeColor="text1"/>
          <w:sz w:val="16"/>
          <w:szCs w:val="16"/>
        </w:rPr>
        <w:noBreakHyphen/>
        <w:t>17 один мотор дает удорожание себестоимости на 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а М</w:t>
      </w:r>
      <w:r w:rsidRPr="00E93F40">
        <w:rPr>
          <w:color w:val="000000" w:themeColor="text1"/>
          <w:sz w:val="16"/>
          <w:szCs w:val="16"/>
        </w:rPr>
        <w:noBreakHyphen/>
        <w:t>11</w:t>
      </w:r>
      <w:r w:rsidR="007C1411" w:rsidRPr="00E93F40">
        <w:rPr>
          <w:color w:val="000000" w:themeColor="text1"/>
          <w:sz w:val="16"/>
          <w:szCs w:val="16"/>
        </w:rPr>
        <w:t xml:space="preserve"> </w:t>
      </w:r>
      <w:r w:rsidRPr="00E93F40">
        <w:rPr>
          <w:color w:val="000000" w:themeColor="text1"/>
          <w:sz w:val="16"/>
          <w:szCs w:val="16"/>
        </w:rPr>
        <w:t>— на 1,5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 против плана.</w:t>
      </w:r>
    </w:p>
    <w:p w14:paraId="2FDB60D6" w14:textId="6DA9B566"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 отношении себестоимости продукции мы стоим далеко позади передовых капиталистических стран. Это видно из следующего примера: в то время как заводская себестоимость самолета Р</w:t>
      </w:r>
      <w:r w:rsidRPr="00E93F40">
        <w:rPr>
          <w:color w:val="000000" w:themeColor="text1"/>
          <w:sz w:val="16"/>
          <w:szCs w:val="16"/>
        </w:rPr>
        <w:noBreakHyphen/>
        <w:t>1 в 1931</w:t>
      </w:r>
      <w:r w:rsidR="007C1411" w:rsidRPr="00E93F40">
        <w:rPr>
          <w:color w:val="000000" w:themeColor="text1"/>
          <w:sz w:val="16"/>
          <w:szCs w:val="16"/>
        </w:rPr>
        <w:t xml:space="preserve"> </w:t>
      </w:r>
      <w:r w:rsidRPr="00E93F40">
        <w:rPr>
          <w:color w:val="000000" w:themeColor="text1"/>
          <w:sz w:val="16"/>
          <w:szCs w:val="16"/>
        </w:rPr>
        <w:t>г. у нас составляет 14</w:t>
      </w:r>
      <w:r w:rsidR="007C1411" w:rsidRPr="00E93F40">
        <w:rPr>
          <w:color w:val="000000" w:themeColor="text1"/>
          <w:sz w:val="16"/>
          <w:szCs w:val="16"/>
        </w:rPr>
        <w:t xml:space="preserve"> </w:t>
      </w:r>
      <w:r w:rsidRPr="00E93F40">
        <w:rPr>
          <w:color w:val="000000" w:themeColor="text1"/>
          <w:sz w:val="16"/>
          <w:szCs w:val="16"/>
        </w:rPr>
        <w:t>683</w:t>
      </w:r>
      <w:r w:rsidR="007C1411" w:rsidRPr="00E93F40">
        <w:rPr>
          <w:color w:val="000000" w:themeColor="text1"/>
          <w:sz w:val="16"/>
          <w:szCs w:val="16"/>
        </w:rPr>
        <w:t xml:space="preserve"> </w:t>
      </w:r>
      <w:r w:rsidRPr="00E93F40">
        <w:rPr>
          <w:color w:val="000000" w:themeColor="text1"/>
          <w:sz w:val="16"/>
          <w:szCs w:val="16"/>
        </w:rPr>
        <w:t>руб., за границей тот же тип самолета еще в 1927/28</w:t>
      </w:r>
      <w:r w:rsidR="007C1411" w:rsidRPr="00E93F40">
        <w:rPr>
          <w:color w:val="000000" w:themeColor="text1"/>
          <w:sz w:val="16"/>
          <w:szCs w:val="16"/>
        </w:rPr>
        <w:t xml:space="preserve"> </w:t>
      </w:r>
      <w:r w:rsidRPr="00E93F40">
        <w:rPr>
          <w:color w:val="000000" w:themeColor="text1"/>
          <w:sz w:val="16"/>
          <w:szCs w:val="16"/>
        </w:rPr>
        <w:t>г. имел рыночную цену 8,5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руб.</w:t>
      </w:r>
    </w:p>
    <w:p w14:paraId="0E1ECC69" w14:textId="563981E8"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Приведенные выше некоторые из основных фактов, характеризующие развитие советской авиапромышленности, дают право сделать вывод о том, что результатом первой пятилетки явилось создание мощной авиапромышленности, стоящей на уровне передовых капиталистических стран по характеру выпускаемой продукции и стоящей выше их уровня по величине предприятий, по использованию производственных мощностей. Например, все авиазаводы Франции имеют наличие производственных мощностей в 48</w:t>
      </w:r>
      <w:r w:rsidR="007C1411" w:rsidRPr="00E93F40">
        <w:rPr>
          <w:color w:val="000000" w:themeColor="text1"/>
          <w:sz w:val="16"/>
          <w:szCs w:val="16"/>
        </w:rPr>
        <w:t xml:space="preserve"> </w:t>
      </w:r>
      <w:r w:rsidRPr="00E93F40">
        <w:rPr>
          <w:color w:val="000000" w:themeColor="text1"/>
          <w:sz w:val="16"/>
          <w:szCs w:val="16"/>
        </w:rPr>
        <w:t>тыс. самолетов в год, а дают 3,2</w:t>
      </w:r>
      <w:r w:rsidR="007C1411" w:rsidRPr="00E93F40">
        <w:rPr>
          <w:color w:val="000000" w:themeColor="text1"/>
          <w:sz w:val="16"/>
          <w:szCs w:val="16"/>
        </w:rPr>
        <w:t xml:space="preserve"> </w:t>
      </w:r>
      <w:r w:rsidRPr="00E93F40">
        <w:rPr>
          <w:color w:val="000000" w:themeColor="text1"/>
          <w:sz w:val="16"/>
          <w:szCs w:val="16"/>
        </w:rPr>
        <w:t>тыс. самолетов в год (по данным 1931</w:t>
      </w:r>
      <w:r w:rsidR="007C1411" w:rsidRPr="00E93F40">
        <w:rPr>
          <w:color w:val="000000" w:themeColor="text1"/>
          <w:sz w:val="16"/>
          <w:szCs w:val="16"/>
        </w:rPr>
        <w:t xml:space="preserve"> </w:t>
      </w:r>
      <w:r w:rsidRPr="00E93F40">
        <w:rPr>
          <w:color w:val="000000" w:themeColor="text1"/>
          <w:sz w:val="16"/>
          <w:szCs w:val="16"/>
        </w:rPr>
        <w:t>г.), т.</w:t>
      </w:r>
      <w:r w:rsidR="007C1411" w:rsidRPr="00E93F40">
        <w:rPr>
          <w:color w:val="000000" w:themeColor="text1"/>
          <w:sz w:val="16"/>
          <w:szCs w:val="16"/>
        </w:rPr>
        <w:t xml:space="preserve"> </w:t>
      </w:r>
      <w:r w:rsidRPr="00E93F40">
        <w:rPr>
          <w:color w:val="000000" w:themeColor="text1"/>
          <w:sz w:val="16"/>
          <w:szCs w:val="16"/>
        </w:rPr>
        <w:t>е. около 7% от мощности; или американские авиазаводы, имеющие несравненно большие мощности, чем Франция, выпускают в год 2,9</w:t>
      </w:r>
      <w:r w:rsidR="007C1411" w:rsidRPr="00E93F40">
        <w:rPr>
          <w:color w:val="000000" w:themeColor="text1"/>
          <w:sz w:val="16"/>
          <w:szCs w:val="16"/>
        </w:rPr>
        <w:t xml:space="preserve"> </w:t>
      </w:r>
      <w:r w:rsidRPr="00E93F40">
        <w:rPr>
          <w:color w:val="000000" w:themeColor="text1"/>
          <w:sz w:val="16"/>
          <w:szCs w:val="16"/>
        </w:rPr>
        <w:t>тыс. самолетов (по данным 1931</w:t>
      </w:r>
      <w:r w:rsidR="007C1411" w:rsidRPr="00E93F40">
        <w:rPr>
          <w:color w:val="000000" w:themeColor="text1"/>
          <w:sz w:val="16"/>
          <w:szCs w:val="16"/>
        </w:rPr>
        <w:t xml:space="preserve"> </w:t>
      </w:r>
      <w:r w:rsidRPr="00E93F40">
        <w:rPr>
          <w:color w:val="000000" w:themeColor="text1"/>
          <w:sz w:val="16"/>
          <w:szCs w:val="16"/>
        </w:rPr>
        <w:t>г.), т.</w:t>
      </w:r>
      <w:r w:rsidR="007C1411" w:rsidRPr="00E93F40">
        <w:rPr>
          <w:color w:val="000000" w:themeColor="text1"/>
          <w:sz w:val="16"/>
          <w:szCs w:val="16"/>
        </w:rPr>
        <w:t xml:space="preserve"> </w:t>
      </w:r>
      <w:r w:rsidRPr="00E93F40">
        <w:rPr>
          <w:color w:val="000000" w:themeColor="text1"/>
          <w:sz w:val="16"/>
          <w:szCs w:val="16"/>
        </w:rPr>
        <w:t>е. дают еще меньший процент отдачи мощности.</w:t>
      </w:r>
    </w:p>
    <w:p w14:paraId="4E949A61"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 объему выпускаемой готовой продукции наша авиапромышленность быстро догоняет передовые капиталистические страны, о чем ярко говорят следующие цифры производства самолетов по годам: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7"/>
        <w:gridCol w:w="1771"/>
        <w:gridCol w:w="1771"/>
        <w:gridCol w:w="1771"/>
        <w:gridCol w:w="1771"/>
        <w:gridCol w:w="1771"/>
      </w:tblGrid>
      <w:tr w:rsidR="00DA227A" w:rsidRPr="00E93F40" w14:paraId="2CC5C44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F36AF5" w14:textId="7590CAC6"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B0C2C" w14:textId="35A3A5D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EE5A6" w14:textId="543900F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D0033" w14:textId="7EA2892A"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D77C6" w14:textId="744156F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8B933" w14:textId="7F73EA2F"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07B9AA9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0891A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922D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A642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1021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AD32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23C2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73F3C3F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1115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3AEF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D258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4C0E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F4C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312C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2717CF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0CD1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9C65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B24F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6E3E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15D8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E94D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781B59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3C1D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0DC4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E807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2D00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4BB3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E4EC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5920EF3B"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200E4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0FBB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52BE4"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9B4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EB74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9F96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243BCC4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680F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EC8C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9E2A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8B80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9719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851E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3515</w:t>
            </w:r>
          </w:p>
        </w:tc>
      </w:tr>
    </w:tbl>
    <w:p w14:paraId="2518E889" w14:textId="49C65F9C"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Выполнение плана 1932</w:t>
      </w:r>
      <w:r w:rsidR="007C1411" w:rsidRPr="00E93F40">
        <w:rPr>
          <w:color w:val="000000" w:themeColor="text1"/>
          <w:sz w:val="16"/>
          <w:szCs w:val="16"/>
        </w:rPr>
        <w:t xml:space="preserve"> </w:t>
      </w:r>
      <w:r w:rsidRPr="00E93F40">
        <w:rPr>
          <w:color w:val="000000" w:themeColor="text1"/>
          <w:sz w:val="16"/>
          <w:szCs w:val="16"/>
        </w:rPr>
        <w:t>г. по производству самолетов поставит СССР на первое место даже при стабильном положении в капиталистических странах, где в 1932</w:t>
      </w:r>
      <w:r w:rsidR="007C1411" w:rsidRPr="00E93F40">
        <w:rPr>
          <w:color w:val="000000" w:themeColor="text1"/>
          <w:sz w:val="16"/>
          <w:szCs w:val="16"/>
        </w:rPr>
        <w:t xml:space="preserve"> </w:t>
      </w:r>
      <w:r w:rsidRPr="00E93F40">
        <w:rPr>
          <w:color w:val="000000" w:themeColor="text1"/>
          <w:sz w:val="16"/>
          <w:szCs w:val="16"/>
        </w:rPr>
        <w:t>г. выпуск, как правило, имеет понижательную тенденцию. По производству моторов для самолетов картина такова: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7"/>
        <w:gridCol w:w="1771"/>
        <w:gridCol w:w="1771"/>
        <w:gridCol w:w="1771"/>
        <w:gridCol w:w="1771"/>
        <w:gridCol w:w="1771"/>
      </w:tblGrid>
      <w:tr w:rsidR="00DA227A" w:rsidRPr="00E93F40" w14:paraId="1E11FBE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9D8558" w14:textId="1CA05B8B" w:rsidR="007A20C4"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155F1" w14:textId="37298A76"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AB148" w14:textId="6A87BA9C"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FC982" w14:textId="79DF0BB2"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267F8" w14:textId="693399DD"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B47E4" w14:textId="28B8F785"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023424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F8989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1C48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C237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95236"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3D47C"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B5E0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2A6947A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595A8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1B9A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CA57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3D57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101E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30CA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160C77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EF65A2"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AAA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1A85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45CC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9626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16807"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2F5B82F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D1AC1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422E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CFB39"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E8FB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C9A2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1A95F"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50761D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D302D"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E0963"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AE90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B08D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DE7D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4A3A8"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E990CF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4127A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C2F5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1742E"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2AC1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04AEB"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6D01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w:t>
            </w:r>
          </w:p>
        </w:tc>
      </w:tr>
    </w:tbl>
    <w:p w14:paraId="1092618E" w14:textId="206564BB"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СССР вместо 6</w:t>
      </w:r>
      <w:r w:rsidRPr="00E93F40">
        <w:rPr>
          <w:color w:val="000000" w:themeColor="text1"/>
          <w:sz w:val="16"/>
          <w:szCs w:val="16"/>
        </w:rPr>
        <w:noBreakHyphen/>
        <w:t>го места, занимаемого им в 1929</w:t>
      </w:r>
      <w:r w:rsidR="007C1411" w:rsidRPr="00E93F40">
        <w:rPr>
          <w:color w:val="000000" w:themeColor="text1"/>
          <w:sz w:val="16"/>
          <w:szCs w:val="16"/>
        </w:rPr>
        <w:t xml:space="preserve"> </w:t>
      </w:r>
      <w:r w:rsidRPr="00E93F40">
        <w:rPr>
          <w:color w:val="000000" w:themeColor="text1"/>
          <w:sz w:val="16"/>
          <w:szCs w:val="16"/>
        </w:rPr>
        <w:t>г., добился в 1932</w:t>
      </w:r>
      <w:r w:rsidR="007C1411" w:rsidRPr="00E93F40">
        <w:rPr>
          <w:color w:val="000000" w:themeColor="text1"/>
          <w:sz w:val="16"/>
          <w:szCs w:val="16"/>
        </w:rPr>
        <w:t xml:space="preserve"> </w:t>
      </w:r>
      <w:r w:rsidRPr="00E93F40">
        <w:rPr>
          <w:color w:val="000000" w:themeColor="text1"/>
          <w:sz w:val="16"/>
          <w:szCs w:val="16"/>
        </w:rPr>
        <w:t>г. 4</w:t>
      </w:r>
      <w:r w:rsidRPr="00E93F40">
        <w:rPr>
          <w:color w:val="000000" w:themeColor="text1"/>
          <w:sz w:val="16"/>
          <w:szCs w:val="16"/>
        </w:rPr>
        <w:noBreakHyphen/>
        <w:t>го места и в результате 1932</w:t>
      </w:r>
      <w:r w:rsidR="007C1411" w:rsidRPr="00E93F40">
        <w:rPr>
          <w:color w:val="000000" w:themeColor="text1"/>
          <w:sz w:val="16"/>
          <w:szCs w:val="16"/>
        </w:rPr>
        <w:t xml:space="preserve"> </w:t>
      </w:r>
      <w:r w:rsidRPr="00E93F40">
        <w:rPr>
          <w:color w:val="000000" w:themeColor="text1"/>
          <w:sz w:val="16"/>
          <w:szCs w:val="16"/>
        </w:rPr>
        <w:t>года наверняка займет 2</w:t>
      </w:r>
      <w:r w:rsidRPr="00E93F40">
        <w:rPr>
          <w:color w:val="000000" w:themeColor="text1"/>
          <w:sz w:val="16"/>
          <w:szCs w:val="16"/>
        </w:rPr>
        <w:noBreakHyphen/>
        <w:t>е место после Франции, обогнав Англию и САСШ, Вместе с тем советская авиапромышленность далеко еще отстает по производительности труда, по себестоимости и по качеству подсобных производств, а также по качеству продукции моторостроительных заводов.</w:t>
      </w:r>
    </w:p>
    <w:p w14:paraId="5AB53C8E" w14:textId="7BDDB28F"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Показатели по производительности труда, по использованию производственных мощностей, по снижению себестоимости, по эффективности основного капитала говорят о наличии больших, еще неиспользованных возможностей авиапромышленности, Главная коренная причина такого положения заключается в том, что 6</w:t>
      </w:r>
      <w:r w:rsidR="007C1411" w:rsidRPr="00E93F40">
        <w:rPr>
          <w:color w:val="000000" w:themeColor="text1"/>
          <w:sz w:val="16"/>
          <w:szCs w:val="16"/>
        </w:rPr>
        <w:t xml:space="preserve"> </w:t>
      </w:r>
      <w:r w:rsidRPr="00E93F40">
        <w:rPr>
          <w:color w:val="000000" w:themeColor="text1"/>
          <w:sz w:val="16"/>
          <w:szCs w:val="16"/>
        </w:rPr>
        <w:t>условий т.</w:t>
      </w:r>
      <w:r w:rsidR="007C1411" w:rsidRPr="00E93F40">
        <w:rPr>
          <w:color w:val="000000" w:themeColor="text1"/>
          <w:sz w:val="16"/>
          <w:szCs w:val="16"/>
        </w:rPr>
        <w:t xml:space="preserve"> </w:t>
      </w:r>
      <w:r w:rsidRPr="00E93F40">
        <w:rPr>
          <w:color w:val="000000" w:themeColor="text1"/>
          <w:sz w:val="16"/>
          <w:szCs w:val="16"/>
        </w:rPr>
        <w:t>Сталина²²* осуществляются далеко недостаточно, о чем свидетельствует целый ряд фактов. Приведем некоторые из них.</w:t>
      </w:r>
    </w:p>
    <w:p w14:paraId="75E107B9" w14:textId="27DAE78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 всей авиапромышленности соцсоревнованием и ударничеством в 1931</w:t>
      </w:r>
      <w:r w:rsidR="007C1411" w:rsidRPr="00E93F40">
        <w:rPr>
          <w:color w:val="000000" w:themeColor="text1"/>
          <w:sz w:val="16"/>
          <w:szCs w:val="16"/>
        </w:rPr>
        <w:t xml:space="preserve"> </w:t>
      </w:r>
      <w:r w:rsidRPr="00E93F40">
        <w:rPr>
          <w:color w:val="000000" w:themeColor="text1"/>
          <w:sz w:val="16"/>
          <w:szCs w:val="16"/>
        </w:rPr>
        <w:t>г. было охвачено 60</w:t>
      </w:r>
      <w:r w:rsidRPr="00E93F40">
        <w:rPr>
          <w:rStyle w:val="af0"/>
          <w:i w:val="0"/>
          <w:color w:val="000000" w:themeColor="text1"/>
          <w:sz w:val="16"/>
          <w:szCs w:val="16"/>
        </w:rPr>
        <w:t>%</w:t>
      </w:r>
      <w:r w:rsidRPr="00E93F40">
        <w:rPr>
          <w:color w:val="000000" w:themeColor="text1"/>
          <w:sz w:val="16"/>
          <w:szCs w:val="16"/>
        </w:rPr>
        <w:t xml:space="preserve"> всего рабочего состава, в то время как но всей промышленности в том же году этот охват составлял 70%. Низкий уровень выработки рабочего, слабость трудовой дисциплины, имеющие место в авиапромышленности, говорят о том, что соцсоревнование и ударничество в значительной степени носят формальный характер, что парт- и профорганизации значительного числа предприятий не являются достаточными организаторами этого решающего метода работы. Ведущие профессии рабочих не закреплены (они дают самый высокий процент текучести), прогрессивная сдельщина, действительно обеспечивающая рост производительности труда, имеет очень незначительное место; например, в 1931</w:t>
      </w:r>
      <w:r w:rsidR="007C1411" w:rsidRPr="00E93F40">
        <w:rPr>
          <w:color w:val="000000" w:themeColor="text1"/>
          <w:sz w:val="16"/>
          <w:szCs w:val="16"/>
        </w:rPr>
        <w:t xml:space="preserve"> </w:t>
      </w:r>
      <w:r w:rsidRPr="00E93F40">
        <w:rPr>
          <w:color w:val="000000" w:themeColor="text1"/>
          <w:sz w:val="16"/>
          <w:szCs w:val="16"/>
        </w:rPr>
        <w:t>г. она выражается в 3,7% от всех выполненных работ. Инженерно-технические работники на предприятиях используются часто неправильно. Например, в 1931</w:t>
      </w:r>
      <w:r w:rsidR="007C1411" w:rsidRPr="00E93F40">
        <w:rPr>
          <w:color w:val="000000" w:themeColor="text1"/>
          <w:sz w:val="16"/>
          <w:szCs w:val="16"/>
        </w:rPr>
        <w:t xml:space="preserve"> </w:t>
      </w:r>
      <w:r w:rsidRPr="00E93F40">
        <w:rPr>
          <w:color w:val="000000" w:themeColor="text1"/>
          <w:sz w:val="16"/>
          <w:szCs w:val="16"/>
        </w:rPr>
        <w:t>г. на заводе №</w:t>
      </w:r>
      <w:r w:rsidR="007C1411" w:rsidRPr="00E93F40">
        <w:rPr>
          <w:color w:val="000000" w:themeColor="text1"/>
          <w:sz w:val="16"/>
          <w:szCs w:val="16"/>
        </w:rPr>
        <w:t xml:space="preserve"> </w:t>
      </w:r>
      <w:r w:rsidRPr="00E93F40">
        <w:rPr>
          <w:color w:val="000000" w:themeColor="text1"/>
          <w:sz w:val="16"/>
          <w:szCs w:val="16"/>
        </w:rPr>
        <w:t>20 из 168 ИТРовцев работало 77</w:t>
      </w:r>
      <w:r w:rsidR="007C1411" w:rsidRPr="00E93F40">
        <w:rPr>
          <w:color w:val="000000" w:themeColor="text1"/>
          <w:sz w:val="16"/>
          <w:szCs w:val="16"/>
        </w:rPr>
        <w:t xml:space="preserve"> </w:t>
      </w:r>
      <w:r w:rsidRPr="00E93F40">
        <w:rPr>
          <w:color w:val="000000" w:themeColor="text1"/>
          <w:sz w:val="16"/>
          <w:szCs w:val="16"/>
        </w:rPr>
        <w:t>чел. в главной конторе, 22 на капстроительстве (из этих 22 около половины опять-таки работало в главной конторе) и только 69 в цехах. Инструктаж в цехах поставлен скверно. Имеют место такие случаи, когда нет сменных инженеров в решающих цехах, когда планировщики имеются только в первой смене, а в остальных отсутствуют (факты взяты из материала спецбригады Октябрьского РК</w:t>
      </w:r>
      <w:r w:rsidR="007C1411" w:rsidRPr="00E93F40">
        <w:rPr>
          <w:color w:val="000000" w:themeColor="text1"/>
          <w:sz w:val="16"/>
          <w:szCs w:val="16"/>
        </w:rPr>
        <w:t xml:space="preserve"> </w:t>
      </w:r>
      <w:r w:rsidRPr="00E93F40">
        <w:rPr>
          <w:color w:val="000000" w:themeColor="text1"/>
          <w:sz w:val="16"/>
          <w:szCs w:val="16"/>
        </w:rPr>
        <w:t>ВКП(б)). Производственное планирование на предприятиях авиапромышленности поставлено из рук вон плохо.</w:t>
      </w:r>
    </w:p>
    <w:p w14:paraId="54F232E0" w14:textId="0105553C"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Весьма характерна оценка состояния и работы 29-го завода, данная правительственной комиссией в ...²³*: «В основном состояние завода в момент обследования представляется в следующем виде: а)</w:t>
      </w:r>
      <w:r w:rsidR="007C1411" w:rsidRPr="00E93F40">
        <w:rPr>
          <w:color w:val="000000" w:themeColor="text1"/>
          <w:sz w:val="16"/>
          <w:szCs w:val="16"/>
        </w:rPr>
        <w:t xml:space="preserve"> </w:t>
      </w:r>
      <w:r w:rsidRPr="00E93F40">
        <w:rPr>
          <w:color w:val="000000" w:themeColor="text1"/>
          <w:sz w:val="16"/>
          <w:szCs w:val="16"/>
        </w:rPr>
        <w:t>на заводе не чувствуется необходимого хозяйственного, административного, технического, а также парт- и профруководства; б)</w:t>
      </w:r>
      <w:r w:rsidR="007C1411" w:rsidRPr="00E93F40">
        <w:rPr>
          <w:color w:val="000000" w:themeColor="text1"/>
          <w:sz w:val="16"/>
          <w:szCs w:val="16"/>
        </w:rPr>
        <w:t xml:space="preserve"> </w:t>
      </w:r>
      <w:r w:rsidRPr="00E93F40">
        <w:rPr>
          <w:color w:val="000000" w:themeColor="text1"/>
          <w:sz w:val="16"/>
          <w:szCs w:val="16"/>
        </w:rPr>
        <w:t>при неоднократных обходах не наблюдалось сколько-нибудь заметной производственной дисциплины, формы методов соцтруда...; в)</w:t>
      </w:r>
      <w:r w:rsidR="007C1411" w:rsidRPr="00E93F40">
        <w:rPr>
          <w:color w:val="000000" w:themeColor="text1"/>
          <w:sz w:val="16"/>
          <w:szCs w:val="16"/>
        </w:rPr>
        <w:t xml:space="preserve"> </w:t>
      </w:r>
      <w:r w:rsidRPr="00E93F40">
        <w:rPr>
          <w:color w:val="000000" w:themeColor="text1"/>
          <w:sz w:val="16"/>
          <w:szCs w:val="16"/>
        </w:rPr>
        <w:t>оборудование площади используется далеко недостаточно и находится в беспорядочном состоянии; г)</w:t>
      </w:r>
      <w:r w:rsidR="007C1411" w:rsidRPr="00E93F40">
        <w:rPr>
          <w:color w:val="000000" w:themeColor="text1"/>
          <w:sz w:val="16"/>
          <w:szCs w:val="16"/>
        </w:rPr>
        <w:t xml:space="preserve"> </w:t>
      </w:r>
      <w:r w:rsidRPr="00E93F40">
        <w:rPr>
          <w:color w:val="000000" w:themeColor="text1"/>
          <w:sz w:val="16"/>
          <w:szCs w:val="16"/>
        </w:rPr>
        <w:t>внешний облик завода характеризуется крайним беспорядком, много мусора и разбросанных материалов, ненужного оборудования, брака и лома. Основными причинами невыполнения программы на фоне общего состояния завода являются: а)</w:t>
      </w:r>
      <w:r w:rsidR="007C1411" w:rsidRPr="00E93F40">
        <w:rPr>
          <w:color w:val="000000" w:themeColor="text1"/>
          <w:sz w:val="16"/>
          <w:szCs w:val="16"/>
        </w:rPr>
        <w:t xml:space="preserve"> </w:t>
      </w:r>
      <w:r w:rsidRPr="00E93F40">
        <w:rPr>
          <w:color w:val="000000" w:themeColor="text1"/>
          <w:sz w:val="16"/>
          <w:szCs w:val="16"/>
        </w:rPr>
        <w:t>отсутствие подготовки производства к выполнению программы; б)</w:t>
      </w:r>
      <w:r w:rsidR="007C1411" w:rsidRPr="00E93F40">
        <w:rPr>
          <w:color w:val="000000" w:themeColor="text1"/>
          <w:sz w:val="16"/>
          <w:szCs w:val="16"/>
        </w:rPr>
        <w:t xml:space="preserve"> </w:t>
      </w:r>
      <w:r w:rsidRPr="00E93F40">
        <w:rPr>
          <w:color w:val="000000" w:themeColor="text1"/>
          <w:sz w:val="16"/>
          <w:szCs w:val="16"/>
        </w:rPr>
        <w:t>отсутствие организации технического и общего планирования и технического руководства, неувязка между цехами; в)</w:t>
      </w:r>
      <w:r w:rsidR="007C1411" w:rsidRPr="00E93F40">
        <w:rPr>
          <w:color w:val="000000" w:themeColor="text1"/>
          <w:sz w:val="16"/>
          <w:szCs w:val="16"/>
        </w:rPr>
        <w:t xml:space="preserve"> </w:t>
      </w:r>
      <w:r w:rsidRPr="00E93F40">
        <w:rPr>
          <w:color w:val="000000" w:themeColor="text1"/>
          <w:sz w:val="16"/>
          <w:szCs w:val="16"/>
        </w:rPr>
        <w:t>отсутствие должного учета на производстве и, в частности, учета рабсилы; г)</w:t>
      </w:r>
      <w:r w:rsidR="007C1411" w:rsidRPr="00E93F40">
        <w:rPr>
          <w:color w:val="000000" w:themeColor="text1"/>
          <w:sz w:val="16"/>
          <w:szCs w:val="16"/>
        </w:rPr>
        <w:t xml:space="preserve"> </w:t>
      </w:r>
      <w:r w:rsidRPr="00E93F40">
        <w:rPr>
          <w:color w:val="000000" w:themeColor="text1"/>
          <w:sz w:val="16"/>
          <w:szCs w:val="16"/>
        </w:rPr>
        <w:t>недогрузка и большие простои оборудования; д)</w:t>
      </w:r>
      <w:r w:rsidR="007C1411" w:rsidRPr="00E93F40">
        <w:rPr>
          <w:color w:val="000000" w:themeColor="text1"/>
          <w:sz w:val="16"/>
          <w:szCs w:val="16"/>
        </w:rPr>
        <w:t xml:space="preserve"> </w:t>
      </w:r>
      <w:r w:rsidRPr="00E93F40">
        <w:rPr>
          <w:color w:val="000000" w:themeColor="text1"/>
          <w:sz w:val="16"/>
          <w:szCs w:val="16"/>
        </w:rPr>
        <w:t>небрежное, неумелое обращение с оборудованием и инструментом (поломка и порча); е)</w:t>
      </w:r>
      <w:r w:rsidR="007C1411" w:rsidRPr="00E93F40">
        <w:rPr>
          <w:color w:val="000000" w:themeColor="text1"/>
          <w:sz w:val="16"/>
          <w:szCs w:val="16"/>
        </w:rPr>
        <w:t xml:space="preserve"> </w:t>
      </w:r>
      <w:r w:rsidRPr="00E93F40">
        <w:rPr>
          <w:color w:val="000000" w:themeColor="text1"/>
          <w:sz w:val="16"/>
          <w:szCs w:val="16"/>
        </w:rPr>
        <w:t>крайне малый коэффициент сменности, а следовательно, и использования площадей и оборудования, низкая квалификация техрабсилы; ж)</w:t>
      </w:r>
      <w:r w:rsidR="007C1411" w:rsidRPr="00E93F40">
        <w:rPr>
          <w:color w:val="000000" w:themeColor="text1"/>
          <w:sz w:val="16"/>
          <w:szCs w:val="16"/>
        </w:rPr>
        <w:t xml:space="preserve"> </w:t>
      </w:r>
      <w:r w:rsidRPr="00E93F40">
        <w:rPr>
          <w:color w:val="000000" w:themeColor="text1"/>
          <w:sz w:val="16"/>
          <w:szCs w:val="16"/>
        </w:rPr>
        <w:t>неправильная расстановка сил при неудовлетворительном руководстве в цехах; з)</w:t>
      </w:r>
      <w:r w:rsidR="007C1411" w:rsidRPr="00E93F40">
        <w:rPr>
          <w:color w:val="000000" w:themeColor="text1"/>
          <w:sz w:val="16"/>
          <w:szCs w:val="16"/>
        </w:rPr>
        <w:t xml:space="preserve"> </w:t>
      </w:r>
      <w:r w:rsidRPr="00E93F40">
        <w:rPr>
          <w:color w:val="000000" w:themeColor="text1"/>
          <w:sz w:val="16"/>
          <w:szCs w:val="16"/>
        </w:rPr>
        <w:t>большой процент брака, доходящий до 30% по количеству и до 15% по стоимости; и)</w:t>
      </w:r>
      <w:r w:rsidR="007C1411" w:rsidRPr="00E93F40">
        <w:rPr>
          <w:color w:val="000000" w:themeColor="text1"/>
          <w:sz w:val="16"/>
          <w:szCs w:val="16"/>
        </w:rPr>
        <w:t xml:space="preserve"> </w:t>
      </w:r>
      <w:r w:rsidRPr="00E93F40">
        <w:rPr>
          <w:color w:val="000000" w:themeColor="text1"/>
          <w:sz w:val="16"/>
          <w:szCs w:val="16"/>
        </w:rPr>
        <w:t>чрезмерно высокие нормы расхода рабочего времени... При этом рабочая масса не мобилизована на выполнение промфинплана, встречного плана не было и до сих пор еще нет. Наряду с этим на заводе нет подлинного единоначалия, во всей системе сверху донизу наблюдается полная безответственность. Настоящего хозрасчета на заводе не проведено».</w:t>
      </w:r>
    </w:p>
    <w:p w14:paraId="6A96A027"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Все это говорит о слабости хозяйственно-технического руководства на ряде заводов. Авиапромышленность при более настойчивой борьбе с указанными здесь и выше недостатками, безусловно, не имела бы таких крупных прорывов по качественным показателям²⁴*.</w:t>
      </w:r>
    </w:p>
    <w:p w14:paraId="2F8ADDC6" w14:textId="11A0CEBD"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За период первого пятилетия авиапромышленность добилась ряда крупных достижений: 1.</w:t>
      </w:r>
      <w:r w:rsidR="007C1411" w:rsidRPr="00E93F40">
        <w:rPr>
          <w:color w:val="000000" w:themeColor="text1"/>
          <w:sz w:val="16"/>
          <w:szCs w:val="16"/>
        </w:rPr>
        <w:t xml:space="preserve"> </w:t>
      </w:r>
      <w:r w:rsidRPr="00E93F40">
        <w:rPr>
          <w:color w:val="000000" w:themeColor="text1"/>
          <w:sz w:val="16"/>
          <w:szCs w:val="16"/>
        </w:rPr>
        <w:t>Поставлен и освоен на производстве ряд вполне современных типов собственной конструкции. 2.</w:t>
      </w:r>
      <w:r w:rsidR="007C1411" w:rsidRPr="00E93F40">
        <w:rPr>
          <w:color w:val="000000" w:themeColor="text1"/>
          <w:sz w:val="16"/>
          <w:szCs w:val="16"/>
        </w:rPr>
        <w:t xml:space="preserve"> </w:t>
      </w:r>
      <w:r w:rsidRPr="00E93F40">
        <w:rPr>
          <w:color w:val="000000" w:themeColor="text1"/>
          <w:sz w:val="16"/>
          <w:szCs w:val="16"/>
        </w:rPr>
        <w:t>Постановка крупносерийного производства моторов и самолетов. 3.</w:t>
      </w:r>
      <w:r w:rsidR="007C1411" w:rsidRPr="00E93F40">
        <w:rPr>
          <w:color w:val="000000" w:themeColor="text1"/>
          <w:sz w:val="16"/>
          <w:szCs w:val="16"/>
        </w:rPr>
        <w:t xml:space="preserve"> </w:t>
      </w:r>
      <w:r w:rsidRPr="00E93F40">
        <w:rPr>
          <w:color w:val="000000" w:themeColor="text1"/>
          <w:sz w:val="16"/>
          <w:szCs w:val="16"/>
        </w:rPr>
        <w:t>Овладение производством металлического самолетостроения. 4.</w:t>
      </w:r>
      <w:r w:rsidR="007C1411" w:rsidRPr="00E93F40">
        <w:rPr>
          <w:color w:val="000000" w:themeColor="text1"/>
          <w:sz w:val="16"/>
          <w:szCs w:val="16"/>
        </w:rPr>
        <w:t xml:space="preserve"> </w:t>
      </w:r>
      <w:r w:rsidRPr="00E93F40">
        <w:rPr>
          <w:color w:val="000000" w:themeColor="text1"/>
          <w:sz w:val="16"/>
          <w:szCs w:val="16"/>
        </w:rPr>
        <w:t>Добилась существенного сдвига в отношении обеспечения самолета моторами. 5.</w:t>
      </w:r>
      <w:r w:rsidR="007C1411" w:rsidRPr="00E93F40">
        <w:rPr>
          <w:color w:val="000000" w:themeColor="text1"/>
          <w:sz w:val="16"/>
          <w:szCs w:val="16"/>
        </w:rPr>
        <w:t xml:space="preserve"> </w:t>
      </w:r>
      <w:r w:rsidRPr="00E93F40">
        <w:rPr>
          <w:color w:val="000000" w:themeColor="text1"/>
          <w:sz w:val="16"/>
          <w:szCs w:val="16"/>
        </w:rPr>
        <w:t>Создание подсобного производства, покрывающего в основном потребность в карбюраторах, колесах, расчалках, помпах, приборах зажигания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д. 6.</w:t>
      </w:r>
      <w:r w:rsidR="007C1411" w:rsidRPr="00E93F40">
        <w:rPr>
          <w:color w:val="000000" w:themeColor="text1"/>
          <w:sz w:val="16"/>
          <w:szCs w:val="16"/>
        </w:rPr>
        <w:t xml:space="preserve"> </w:t>
      </w:r>
      <w:r w:rsidRPr="00E93F40">
        <w:rPr>
          <w:color w:val="000000" w:themeColor="text1"/>
          <w:sz w:val="16"/>
          <w:szCs w:val="16"/>
        </w:rPr>
        <w:t>Значительное освобождение от импорта в результате организации целого ряда баз снабжения.</w:t>
      </w:r>
    </w:p>
    <w:p w14:paraId="7D6AB417" w14:textId="0A975308"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lastRenderedPageBreak/>
        <w:t>В то же время имеется налицо ряд крупнейших недостатков: 1.</w:t>
      </w:r>
      <w:r w:rsidR="007C1411" w:rsidRPr="00E93F40">
        <w:rPr>
          <w:color w:val="000000" w:themeColor="text1"/>
          <w:sz w:val="16"/>
          <w:szCs w:val="16"/>
        </w:rPr>
        <w:t xml:space="preserve"> </w:t>
      </w:r>
      <w:r w:rsidRPr="00E93F40">
        <w:rPr>
          <w:color w:val="000000" w:themeColor="text1"/>
          <w:sz w:val="16"/>
          <w:szCs w:val="16"/>
        </w:rPr>
        <w:t>Значительное отставание по качественным показателям. 2.</w:t>
      </w:r>
      <w:r w:rsidR="007C1411" w:rsidRPr="00E93F40">
        <w:rPr>
          <w:color w:val="000000" w:themeColor="text1"/>
          <w:sz w:val="16"/>
          <w:szCs w:val="16"/>
        </w:rPr>
        <w:t xml:space="preserve"> </w:t>
      </w:r>
      <w:r w:rsidRPr="00E93F40">
        <w:rPr>
          <w:color w:val="000000" w:themeColor="text1"/>
          <w:sz w:val="16"/>
          <w:szCs w:val="16"/>
        </w:rPr>
        <w:t>Плохая организация производства, наличие в значительной степени кустарщины, слабая механизация производства, отсутствие стандартизации и нормализации. 3.</w:t>
      </w:r>
      <w:r w:rsidR="007C1411" w:rsidRPr="00E93F40">
        <w:rPr>
          <w:color w:val="000000" w:themeColor="text1"/>
          <w:sz w:val="16"/>
          <w:szCs w:val="16"/>
        </w:rPr>
        <w:t xml:space="preserve"> </w:t>
      </w:r>
      <w:r w:rsidRPr="00E93F40">
        <w:rPr>
          <w:color w:val="000000" w:themeColor="text1"/>
          <w:sz w:val="16"/>
          <w:szCs w:val="16"/>
        </w:rPr>
        <w:t>Отсутствие на производстве усовершенствованных агрегатов по производству самопусков, масляных амортизаторов, тормозных колес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д. 4.</w:t>
      </w:r>
      <w:r w:rsidR="007C1411" w:rsidRPr="00E93F40">
        <w:rPr>
          <w:color w:val="000000" w:themeColor="text1"/>
          <w:sz w:val="16"/>
          <w:szCs w:val="16"/>
        </w:rPr>
        <w:t xml:space="preserve"> </w:t>
      </w:r>
      <w:r w:rsidRPr="00E93F40">
        <w:rPr>
          <w:color w:val="000000" w:themeColor="text1"/>
          <w:sz w:val="16"/>
          <w:szCs w:val="16"/>
        </w:rPr>
        <w:t>Базы снабжения недостаточно технически развиты и полностью не удовлетворяют ни по объему, ни по качеству, что влечет за собой необходимость выхода на импорт в сравнительно крупных размерах.</w:t>
      </w:r>
    </w:p>
    <w:p w14:paraId="018BDB48" w14:textId="7443C73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Коренной причиной указанных недостатков является отсутствие фактического хозрасчета и недостаточное осуществление всех 6 условий т.</w:t>
      </w:r>
      <w:r w:rsidR="007C1411" w:rsidRPr="00E93F40">
        <w:rPr>
          <w:color w:val="000000" w:themeColor="text1"/>
          <w:sz w:val="16"/>
          <w:szCs w:val="16"/>
        </w:rPr>
        <w:t xml:space="preserve"> </w:t>
      </w:r>
      <w:r w:rsidRPr="00E93F40">
        <w:rPr>
          <w:color w:val="000000" w:themeColor="text1"/>
          <w:sz w:val="16"/>
          <w:szCs w:val="16"/>
        </w:rPr>
        <w:t>Сталина.</w:t>
      </w:r>
    </w:p>
    <w:p w14:paraId="6D68159F" w14:textId="77777777" w:rsidR="007A20C4" w:rsidRPr="00E93F40" w:rsidRDefault="007A20C4" w:rsidP="00E93F40">
      <w:pPr>
        <w:pStyle w:val="ae"/>
        <w:spacing w:before="0" w:after="0"/>
        <w:jc w:val="both"/>
        <w:rPr>
          <w:color w:val="000000" w:themeColor="text1"/>
          <w:sz w:val="16"/>
          <w:szCs w:val="16"/>
        </w:rPr>
      </w:pPr>
      <w:r w:rsidRPr="00E93F40">
        <w:rPr>
          <w:rStyle w:val="af0"/>
          <w:i w:val="0"/>
          <w:color w:val="000000" w:themeColor="text1"/>
          <w:sz w:val="16"/>
          <w:szCs w:val="16"/>
        </w:rPr>
        <w:t>Евстигнеев</w:t>
      </w:r>
    </w:p>
    <w:p w14:paraId="4D126501" w14:textId="77777777" w:rsidR="007A20C4" w:rsidRPr="00E93F40" w:rsidRDefault="007A20C4"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55B9C07D"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 Так в тексте.</w:t>
      </w:r>
    </w:p>
    <w:p w14:paraId="521A4F2E" w14:textId="589197FA"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8019.</w:t>
      </w:r>
    </w:p>
    <w:p w14:paraId="565C7465" w14:textId="25E0CF81"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Здесь и далее в документе цифры не указаны.</w:t>
      </w:r>
    </w:p>
    <w:p w14:paraId="33EA3AFB" w14:textId="637AEE2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Колонка написана от руки.</w:t>
      </w:r>
    </w:p>
    <w:p w14:paraId="3BE5856D" w14:textId="2A2C2FEA"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2038.</w:t>
      </w:r>
    </w:p>
    <w:p w14:paraId="6F3C830E" w14:textId="63734DFD"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Текст поврежден.</w:t>
      </w:r>
    </w:p>
    <w:p w14:paraId="7F7CB5D4" w14:textId="2E0F61DF"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7</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Сумма не сходится с приведенным итогом. Число 21,4 подчеркнуто, рядом поставлен знак вопроса.</w:t>
      </w:r>
    </w:p>
    <w:p w14:paraId="6E588F0F" w14:textId="3B09ADC9"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8</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Цифры не указаны.</w:t>
      </w:r>
    </w:p>
    <w:p w14:paraId="567514D4" w14:textId="6A39D5A1"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9</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w:t>
      </w:r>
    </w:p>
    <w:p w14:paraId="64ACF5E2" w14:textId="7DBFC3F9"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10</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Текст поврежден.</w:t>
      </w:r>
    </w:p>
    <w:p w14:paraId="5A61DC61" w14:textId="652FEC36"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117</w:t>
      </w:r>
      <w:r w:rsidR="007C1411" w:rsidRPr="00E93F40">
        <w:rPr>
          <w:color w:val="000000" w:themeColor="text1"/>
          <w:sz w:val="16"/>
          <w:szCs w:val="16"/>
        </w:rPr>
        <w:t xml:space="preserve"> </w:t>
      </w:r>
      <w:r w:rsidRPr="00E93F40">
        <w:rPr>
          <w:color w:val="000000" w:themeColor="text1"/>
          <w:sz w:val="16"/>
          <w:szCs w:val="16"/>
        </w:rPr>
        <w:t>649,3.</w:t>
      </w:r>
    </w:p>
    <w:p w14:paraId="77506A0C" w14:textId="7DF3896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58</w:t>
      </w:r>
      <w:r w:rsidR="007C1411" w:rsidRPr="00E93F40">
        <w:rPr>
          <w:color w:val="000000" w:themeColor="text1"/>
          <w:sz w:val="16"/>
          <w:szCs w:val="16"/>
        </w:rPr>
        <w:t xml:space="preserve"> </w:t>
      </w:r>
      <w:r w:rsidRPr="00E93F40">
        <w:rPr>
          <w:color w:val="000000" w:themeColor="text1"/>
          <w:sz w:val="16"/>
          <w:szCs w:val="16"/>
        </w:rPr>
        <w:t>657,9.</w:t>
      </w:r>
    </w:p>
    <w:p w14:paraId="63015561" w14:textId="5A74D26B"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41</w:t>
      </w:r>
      <w:r w:rsidR="007C1411" w:rsidRPr="00E93F40">
        <w:rPr>
          <w:color w:val="000000" w:themeColor="text1"/>
          <w:sz w:val="16"/>
          <w:szCs w:val="16"/>
        </w:rPr>
        <w:t xml:space="preserve"> </w:t>
      </w:r>
      <w:r w:rsidRPr="00E93F40">
        <w:rPr>
          <w:color w:val="000000" w:themeColor="text1"/>
          <w:sz w:val="16"/>
          <w:szCs w:val="16"/>
        </w:rPr>
        <w:t>044,6.</w:t>
      </w:r>
    </w:p>
    <w:p w14:paraId="4535505E" w14:textId="0C4D4064"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42</w:t>
      </w:r>
      <w:r w:rsidR="007C1411" w:rsidRPr="00E93F40">
        <w:rPr>
          <w:color w:val="000000" w:themeColor="text1"/>
          <w:sz w:val="16"/>
          <w:szCs w:val="16"/>
        </w:rPr>
        <w:t xml:space="preserve"> </w:t>
      </w:r>
      <w:r w:rsidRPr="00E93F40">
        <w:rPr>
          <w:color w:val="000000" w:themeColor="text1"/>
          <w:sz w:val="16"/>
          <w:szCs w:val="16"/>
        </w:rPr>
        <w:t>286,5.</w:t>
      </w:r>
    </w:p>
    <w:p w14:paraId="2958EFBB" w14:textId="4817B246"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27</w:t>
      </w:r>
      <w:r w:rsidR="007C1411" w:rsidRPr="00E93F40">
        <w:rPr>
          <w:color w:val="000000" w:themeColor="text1"/>
          <w:sz w:val="16"/>
          <w:szCs w:val="16"/>
        </w:rPr>
        <w:t xml:space="preserve"> </w:t>
      </w:r>
      <w:r w:rsidRPr="00E93F40">
        <w:rPr>
          <w:color w:val="000000" w:themeColor="text1"/>
          <w:sz w:val="16"/>
          <w:szCs w:val="16"/>
        </w:rPr>
        <w:t>614,4.</w:t>
      </w:r>
    </w:p>
    <w:p w14:paraId="53F19AA5" w14:textId="26823651"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12</w:t>
      </w:r>
      <w:r w:rsidR="007C1411" w:rsidRPr="00E93F40">
        <w:rPr>
          <w:color w:val="000000" w:themeColor="text1"/>
          <w:sz w:val="16"/>
          <w:szCs w:val="16"/>
        </w:rPr>
        <w:t xml:space="preserve"> </w:t>
      </w:r>
      <w:r w:rsidRPr="00E93F40">
        <w:rPr>
          <w:color w:val="000000" w:themeColor="text1"/>
          <w:sz w:val="16"/>
          <w:szCs w:val="16"/>
        </w:rPr>
        <w:t>456,1.</w:t>
      </w:r>
    </w:p>
    <w:p w14:paraId="76C6913E" w14:textId="1B8B9FD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17</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7503.</w:t>
      </w:r>
    </w:p>
    <w:p w14:paraId="3ABEE78B" w14:textId="2CBAC24C"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18</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239</w:t>
      </w:r>
      <w:r w:rsidR="007C1411" w:rsidRPr="00E93F40">
        <w:rPr>
          <w:color w:val="000000" w:themeColor="text1"/>
          <w:sz w:val="16"/>
          <w:szCs w:val="16"/>
        </w:rPr>
        <w:t xml:space="preserve"> </w:t>
      </w:r>
      <w:r w:rsidRPr="00E93F40">
        <w:rPr>
          <w:color w:val="000000" w:themeColor="text1"/>
          <w:sz w:val="16"/>
          <w:szCs w:val="16"/>
        </w:rPr>
        <w:t>051,8.</w:t>
      </w:r>
    </w:p>
    <w:p w14:paraId="48C58840" w14:textId="491BB0DB"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19</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В деле не обнаружена.</w:t>
      </w:r>
    </w:p>
    <w:p w14:paraId="5D08E766" w14:textId="69974BAA"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20</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Написано от руки.</w:t>
      </w:r>
    </w:p>
    <w:p w14:paraId="39A22054" w14:textId="3AFD418D"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21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Опущена таблица движения себестоимости единицы изделия и ее элементов по видам продукции.</w:t>
      </w:r>
    </w:p>
    <w:p w14:paraId="1BBEFC0D" w14:textId="251817E6"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22</w:t>
      </w:r>
      <w:r w:rsidRPr="00E93F40">
        <w:rPr>
          <w:color w:val="000000" w:themeColor="text1"/>
          <w:sz w:val="16"/>
          <w:szCs w:val="16"/>
        </w:rPr>
        <w:t>*</w:t>
      </w:r>
      <w:r w:rsidR="007C1411" w:rsidRPr="00E93F40">
        <w:rPr>
          <w:color w:val="000000" w:themeColor="text1"/>
          <w:sz w:val="16"/>
          <w:szCs w:val="16"/>
        </w:rPr>
        <w:t xml:space="preserve"> </w:t>
      </w:r>
      <w:r w:rsidRPr="00E93F40">
        <w:rPr>
          <w:rStyle w:val="af0"/>
          <w:i w:val="0"/>
          <w:color w:val="000000" w:themeColor="text1"/>
          <w:sz w:val="16"/>
          <w:szCs w:val="16"/>
        </w:rPr>
        <w:t>Шесть условий Сталина.</w:t>
      </w:r>
      <w:r w:rsidRPr="00E93F40">
        <w:rPr>
          <w:color w:val="000000" w:themeColor="text1"/>
          <w:sz w:val="16"/>
          <w:szCs w:val="16"/>
        </w:rPr>
        <w:t xml:space="preserve"> Имеются в виду условия развития промышленности, выдвинутые Сталиным в речи «Новая обстановка</w:t>
      </w:r>
      <w:r w:rsidR="007C1411" w:rsidRPr="00E93F40">
        <w:rPr>
          <w:color w:val="000000" w:themeColor="text1"/>
          <w:sz w:val="16"/>
          <w:szCs w:val="16"/>
        </w:rPr>
        <w:t xml:space="preserve"> </w:t>
      </w:r>
      <w:r w:rsidRPr="00E93F40">
        <w:rPr>
          <w:color w:val="000000" w:themeColor="text1"/>
          <w:sz w:val="16"/>
          <w:szCs w:val="16"/>
        </w:rPr>
        <w:t>— новые задачи хозяйственного строительства» на совещании хозяйственников 23</w:t>
      </w:r>
      <w:r w:rsidR="007C1411" w:rsidRPr="00E93F40">
        <w:rPr>
          <w:color w:val="000000" w:themeColor="text1"/>
          <w:sz w:val="16"/>
          <w:szCs w:val="16"/>
        </w:rPr>
        <w:t xml:space="preserve"> </w:t>
      </w:r>
      <w:r w:rsidRPr="00E93F40">
        <w:rPr>
          <w:color w:val="000000" w:themeColor="text1"/>
          <w:sz w:val="16"/>
          <w:szCs w:val="16"/>
        </w:rPr>
        <w:t>июня 1931</w:t>
      </w:r>
      <w:r w:rsidR="007C1411" w:rsidRPr="00E93F40">
        <w:rPr>
          <w:color w:val="000000" w:themeColor="text1"/>
          <w:sz w:val="16"/>
          <w:szCs w:val="16"/>
        </w:rPr>
        <w:t xml:space="preserve"> </w:t>
      </w:r>
      <w:r w:rsidRPr="00E93F40">
        <w:rPr>
          <w:color w:val="000000" w:themeColor="text1"/>
          <w:sz w:val="16"/>
          <w:szCs w:val="16"/>
        </w:rPr>
        <w:t>г. Условия были следующими: 1)</w:t>
      </w:r>
      <w:r w:rsidR="007C1411" w:rsidRPr="00E93F40">
        <w:rPr>
          <w:color w:val="000000" w:themeColor="text1"/>
          <w:sz w:val="16"/>
          <w:szCs w:val="16"/>
        </w:rPr>
        <w:t xml:space="preserve"> </w:t>
      </w:r>
      <w:r w:rsidRPr="00E93F40">
        <w:rPr>
          <w:color w:val="000000" w:themeColor="text1"/>
          <w:sz w:val="16"/>
          <w:szCs w:val="16"/>
        </w:rPr>
        <w:t>организованный набор рабочей силы; 2)</w:t>
      </w:r>
      <w:r w:rsidR="007C1411" w:rsidRPr="00E93F40">
        <w:rPr>
          <w:color w:val="000000" w:themeColor="text1"/>
          <w:sz w:val="16"/>
          <w:szCs w:val="16"/>
        </w:rPr>
        <w:t xml:space="preserve"> </w:t>
      </w:r>
      <w:r w:rsidRPr="00E93F40">
        <w:rPr>
          <w:color w:val="000000" w:themeColor="text1"/>
          <w:sz w:val="16"/>
          <w:szCs w:val="16"/>
        </w:rPr>
        <w:t>правильная организация зарплаты рабочих; 3)</w:t>
      </w:r>
      <w:r w:rsidR="007C1411" w:rsidRPr="00E93F40">
        <w:rPr>
          <w:color w:val="000000" w:themeColor="text1"/>
          <w:sz w:val="16"/>
          <w:szCs w:val="16"/>
        </w:rPr>
        <w:t xml:space="preserve"> </w:t>
      </w:r>
      <w:r w:rsidRPr="00E93F40">
        <w:rPr>
          <w:color w:val="000000" w:themeColor="text1"/>
          <w:sz w:val="16"/>
          <w:szCs w:val="16"/>
        </w:rPr>
        <w:t>улучшение организации труда; 4)</w:t>
      </w:r>
      <w:r w:rsidR="007C1411" w:rsidRPr="00E93F40">
        <w:rPr>
          <w:color w:val="000000" w:themeColor="text1"/>
          <w:sz w:val="16"/>
          <w:szCs w:val="16"/>
        </w:rPr>
        <w:t xml:space="preserve"> </w:t>
      </w:r>
      <w:r w:rsidRPr="00E93F40">
        <w:rPr>
          <w:color w:val="000000" w:themeColor="text1"/>
          <w:sz w:val="16"/>
          <w:szCs w:val="16"/>
        </w:rPr>
        <w:t>создание производственно-технической интеллигенции и рабочего класса; 5)</w:t>
      </w:r>
      <w:r w:rsidR="007C1411" w:rsidRPr="00E93F40">
        <w:rPr>
          <w:color w:val="000000" w:themeColor="text1"/>
          <w:sz w:val="16"/>
          <w:szCs w:val="16"/>
        </w:rPr>
        <w:t xml:space="preserve"> </w:t>
      </w:r>
      <w:r w:rsidRPr="00E93F40">
        <w:rPr>
          <w:color w:val="000000" w:themeColor="text1"/>
          <w:sz w:val="16"/>
          <w:szCs w:val="16"/>
        </w:rPr>
        <w:t>более активное привлечение старой производственно-технической интеллигенции; 6)</w:t>
      </w:r>
      <w:r w:rsidR="007C1411" w:rsidRPr="00E93F40">
        <w:rPr>
          <w:color w:val="000000" w:themeColor="text1"/>
          <w:sz w:val="16"/>
          <w:szCs w:val="16"/>
        </w:rPr>
        <w:t xml:space="preserve"> </w:t>
      </w:r>
      <w:r w:rsidRPr="00E93F40">
        <w:rPr>
          <w:color w:val="000000" w:themeColor="text1"/>
          <w:sz w:val="16"/>
          <w:szCs w:val="16"/>
        </w:rPr>
        <w:t>внедрение хозрасчета. (Сталин</w:t>
      </w:r>
      <w:r w:rsidR="007C1411" w:rsidRPr="00E93F40">
        <w:rPr>
          <w:color w:val="000000" w:themeColor="text1"/>
          <w:sz w:val="16"/>
          <w:szCs w:val="16"/>
        </w:rPr>
        <w:t xml:space="preserve"> </w:t>
      </w:r>
      <w:r w:rsidRPr="00E93F40">
        <w:rPr>
          <w:color w:val="000000" w:themeColor="text1"/>
          <w:sz w:val="16"/>
          <w:szCs w:val="16"/>
        </w:rPr>
        <w:t>И.</w:t>
      </w:r>
      <w:r w:rsidR="007C1411" w:rsidRPr="00E93F40">
        <w:rPr>
          <w:color w:val="000000" w:themeColor="text1"/>
          <w:sz w:val="16"/>
          <w:szCs w:val="16"/>
        </w:rPr>
        <w:t xml:space="preserve"> </w:t>
      </w:r>
      <w:r w:rsidRPr="00E93F40">
        <w:rPr>
          <w:color w:val="000000" w:themeColor="text1"/>
          <w:sz w:val="16"/>
          <w:szCs w:val="16"/>
        </w:rPr>
        <w:t>В. Вопросы ленинизма. Изд.</w:t>
      </w:r>
      <w:r w:rsidR="007C1411" w:rsidRPr="00E93F40">
        <w:rPr>
          <w:color w:val="000000" w:themeColor="text1"/>
          <w:sz w:val="16"/>
          <w:szCs w:val="16"/>
        </w:rPr>
        <w:t xml:space="preserve"> </w:t>
      </w:r>
      <w:r w:rsidRPr="00E93F40">
        <w:rPr>
          <w:color w:val="000000" w:themeColor="text1"/>
          <w:sz w:val="16"/>
          <w:szCs w:val="16"/>
        </w:rPr>
        <w:t>10</w:t>
      </w:r>
      <w:r w:rsidRPr="00E93F40">
        <w:rPr>
          <w:color w:val="000000" w:themeColor="text1"/>
          <w:sz w:val="16"/>
          <w:szCs w:val="16"/>
        </w:rPr>
        <w:noBreakHyphen/>
        <w:t>е. М., Партиздат ЦК</w:t>
      </w:r>
      <w:r w:rsidR="007C1411" w:rsidRPr="00E93F40">
        <w:rPr>
          <w:color w:val="000000" w:themeColor="text1"/>
          <w:sz w:val="16"/>
          <w:szCs w:val="16"/>
        </w:rPr>
        <w:t xml:space="preserve"> </w:t>
      </w:r>
      <w:r w:rsidRPr="00E93F40">
        <w:rPr>
          <w:color w:val="000000" w:themeColor="text1"/>
          <w:sz w:val="16"/>
          <w:szCs w:val="16"/>
        </w:rPr>
        <w:t>ВКП(б), 1935. С.</w:t>
      </w:r>
      <w:r w:rsidR="007C1411" w:rsidRPr="00E93F40">
        <w:rPr>
          <w:color w:val="000000" w:themeColor="text1"/>
          <w:sz w:val="16"/>
          <w:szCs w:val="16"/>
        </w:rPr>
        <w:t xml:space="preserve"> </w:t>
      </w:r>
      <w:r w:rsidRPr="00E93F40">
        <w:rPr>
          <w:color w:val="000000" w:themeColor="text1"/>
          <w:sz w:val="16"/>
          <w:szCs w:val="16"/>
        </w:rPr>
        <w:t>448</w:t>
      </w:r>
      <w:r w:rsidRPr="00E93F40">
        <w:rPr>
          <w:color w:val="000000" w:themeColor="text1"/>
          <w:sz w:val="16"/>
          <w:szCs w:val="16"/>
        </w:rPr>
        <w:noBreakHyphen/>
        <w:t>463).</w:t>
      </w:r>
    </w:p>
    <w:p w14:paraId="08D847C8" w14:textId="0F889AC9"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23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Здесь и далее отточия документа.</w:t>
      </w:r>
    </w:p>
    <w:p w14:paraId="6C467AF3" w14:textId="4814BF11"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vertAlign w:val="superscript"/>
        </w:rPr>
        <w:t>24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 раздел о снабжении авиапромышленности.</w:t>
      </w:r>
    </w:p>
    <w:p w14:paraId="66E7BE6D" w14:textId="219B0133"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p>
    <w:p w14:paraId="63814911"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Становление оборонно-промышленного комплекса СССР (1927-1932). М. 2008, стр. 687-704.</w:t>
      </w:r>
    </w:p>
    <w:p w14:paraId="71DCF979" w14:textId="08E8EDEB"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p>
    <w:p w14:paraId="455B912A"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РГАЭ. Ф. 4372. Оп. 91. Д. 1009. Л. 85—77 об., 74 об.—73. Копия (12628).</w:t>
      </w:r>
    </w:p>
    <w:p w14:paraId="64DCDBFC" w14:textId="77777777" w:rsidR="007A20C4" w:rsidRPr="00E93F40" w:rsidRDefault="007A20C4" w:rsidP="00E93F40">
      <w:pPr>
        <w:spacing w:after="0" w:line="240" w:lineRule="auto"/>
        <w:jc w:val="both"/>
        <w:rPr>
          <w:rFonts w:ascii="Times New Roman" w:hAnsi="Times New Roman"/>
          <w:color w:val="000000" w:themeColor="text1"/>
          <w:sz w:val="16"/>
          <w:szCs w:val="16"/>
        </w:rPr>
      </w:pPr>
    </w:p>
    <w:p w14:paraId="07F049B0" w14:textId="77777777" w:rsidR="00B5795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8479112" w14:textId="77777777" w:rsidR="00B57950" w:rsidRPr="00E93F40" w:rsidRDefault="00B5795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9538DA" w14:textId="77777777" w:rsidR="00B57950" w:rsidRPr="00E93F40" w:rsidRDefault="00B579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июля в 1932 году вступил в строй действующих Московский трубный завод, первым в стране освоивший производство тонкостенных электросварочных труб (теперь — ОАО Московский трубный завод "Филит"). Завод получил первоначальное название «Красная труба». Трубы изготавливались методом печной сварки, протягиванием нагретой полосы металла (штрипса) через воронку. В конце 1930-х годов в связи с развитием автомобилестроения на заводе впервые был освоен выпуск электросварных труб. Эти трубы изготавливались на непрерывном агрегате путем подачи рулонной полосы заданной ширины, размотки рулона в потоке агрегата, формовки полосы в трубную заготовку, сварки продольных кромок заготовки методом сопротивления, калибровки трубы и разрезки ее на мерные длины в потоке агрегата. Для обеспечения производства сварных труб качественной заготовкой — лентой на заводе был построен лентопрокатный цех в составе прокатных станов дуо и кварто, печей с защитной атмосферой и агрегатов продольной резки ленты (штрипса) на полосы заданной ширины. В военное время, 1941–1945 годы, оборудование завода частично было эвакуировано на Урал, а завод выпускал продукцию для ремонта и эксплуатации военной техники, в том числе детали снарядов и мин. В послевоенные годы на заводе были установлены трубоэлектросварочные агрегаты, отечественные типа АШТ 60 и импортные американской фирмы «Йодер», а так же агрегаты продольной резки ленты взамен устаревшего оборудования печной сварки труб. В начале 1950-ых годов было освоено производство волоченых труб для карданных валов автомобилей по ГОСТ 5005 и волоченых труб малых диаметров по ГОСТ 10707 и ТУ. Для обеспечения производства таких труб на заводе были установлены волочильные станы и термические печи секционная и роликовая с защитной атмосферой. С целью расширения сортамента продукции на заводе были проведены работы по освоению производства труб из высоколегированных нержавеющих сталей методом аргонно-дуговой сварки. В начале 60-ых годов в связи с возникновением потребности в трубах для химической промышленности, на заводе был построен новый цех по производству труб из высоколегированных сталей и сплавов оснащенный трубоэлектросварочными агрегатами аргоно-дуговой сварки «10–32», «10–60», «19–102» и станами холодной прокатки, в том числе станами ХПТР «8–15» и «15–30», печью для термообработки и отделением для химической обработки труб. В 1970–1990-е годы в связи с дальнейшим развитием техники и появлением новых отраслей — потребителей труб, на заводе была проведена очередная реконструкция с установкой новых импортных трубоэлектросварочных агрегатов для производства труб из углеродистых и низколегированных сталей («10–30» с применением постоянного тока, «10–60» и «25–83» с применением токов высокой частоты), станов холодного редуцирования труб в потоке, а также трубоэлектросварочного агрегата «10–38» для сварки труб токами высокой частоты. Были приобретены два новых волочильных стана усилием 12,5 и 32 тонны, новые печи с защитной атмосферой и новое отделочное оборудование. Для производства труб из высоколегированных сталей диаметром 8–25 мм., необходимых при изготовлении трубчатых электронагревателей (ТЭН), на заводе установили и ввели в эксплуатацию четыре трубоэлектросварочных агрегата изготовленных в Японии. Был установлен новый трубоэлектросварочный агрегат «20–76» для производства труб из углеродистых сталей, оснащенный новой системой формовки и калибровки труб (ЦТА), разработанный австрийской фирмой «Фест-Альпина».Для обеспечения трубоэлектросварочных агрегатов высококачественной заготовкой установлены три новых агрегата продольной резки. Наличие современного оборудования и высококвалифицированных кадров позволило в 1999 году внедрить на заводе систему качества, предусматривающую контроль планирования и ведения производственного процесса и контроль продукции. Система качества Московского трубного завода «Филит» по представлению аудиторов германской фирмы «Тюфф-Байерн» сертифицироваа согласно международному стандарту серии ISO 9001. Техника и технология на заводе развивается динамично. Расширение сортамента, повышение качества и увеличение выпуска новых видов труб связано с очередной реконструкцией и установкой новых агрегатов (14967).</w:t>
      </w:r>
    </w:p>
    <w:p w14:paraId="63B2F0D0" w14:textId="77777777" w:rsidR="00B57950" w:rsidRPr="00E93F40" w:rsidRDefault="00B57950" w:rsidP="00E93F40">
      <w:pPr>
        <w:spacing w:after="0" w:line="240" w:lineRule="auto"/>
        <w:jc w:val="both"/>
        <w:rPr>
          <w:rFonts w:ascii="Times New Roman" w:hAnsi="Times New Roman"/>
          <w:color w:val="000000" w:themeColor="text1"/>
          <w:sz w:val="16"/>
          <w:szCs w:val="16"/>
        </w:rPr>
      </w:pPr>
    </w:p>
    <w:p w14:paraId="62CD51CC" w14:textId="77777777" w:rsidR="0035024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9C7F112" w14:textId="77777777" w:rsidR="0035024E" w:rsidRPr="00E93F40" w:rsidRDefault="0035024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6784A4F" w14:textId="77777777" w:rsidR="0035024E" w:rsidRPr="00E93F40" w:rsidRDefault="0035024E" w:rsidP="00E93F40">
      <w:pPr>
        <w:pStyle w:val="ae"/>
        <w:shd w:val="clear" w:color="auto" w:fill="FFFFFF"/>
        <w:spacing w:before="0" w:after="0"/>
        <w:jc w:val="both"/>
        <w:rPr>
          <w:color w:val="000000" w:themeColor="text1"/>
          <w:sz w:val="16"/>
          <w:szCs w:val="16"/>
        </w:rPr>
      </w:pPr>
      <w:r w:rsidRPr="00E93F40">
        <w:rPr>
          <w:color w:val="000000" w:themeColor="text1"/>
          <w:sz w:val="16"/>
          <w:szCs w:val="16"/>
        </w:rPr>
        <w:t xml:space="preserve">29 июля 1932 года состоялся показ Kleinetraktor с серийным номером 8000. Внешне машина здорово напоминала уменьшенный в размерах L.S.K. с примесью английских технологий. От большого «горба» над мотором конструкторам удалось избавиться благодаря использованию оппозитного мотора Krupp M 301, который ставился и на лёгкий армейский грузовик и </w:t>
      </w:r>
      <w:hyperlink r:id="rId183" w:history="1">
        <w:r w:rsidRPr="00E93F40">
          <w:rPr>
            <w:rStyle w:val="a5"/>
            <w:rFonts w:eastAsia="Times New Roman"/>
            <w:color w:val="000000" w:themeColor="text1"/>
            <w:sz w:val="16"/>
            <w:szCs w:val="16"/>
            <w:u w:val="none"/>
          </w:rPr>
          <w:t>артиллерийский тягач</w:t>
        </w:r>
      </w:hyperlink>
      <w:r w:rsidRPr="00E93F40">
        <w:rPr>
          <w:color w:val="000000" w:themeColor="text1"/>
          <w:sz w:val="16"/>
          <w:szCs w:val="16"/>
        </w:rPr>
        <w:t xml:space="preserve"> L2 H 43 (он же Krupp Protze). По тактико-техническим требованиям он должен был развивать мощность 60 лошадиных сил, но в реальности выдавал 52–54 лошадиные силы. Кроме того, машина получилась немного тяжелее, чем требовалось по заданию. Тем не менее, на испытаниях Kleinetraktor смог развить скорость 42 км/ч. На испытаниях в Вюнсдорфе немецкий «трактор» показал полное превосходство над тягачом Carden-Loyd. Да, конструкция всё ещё требовала доработок, но по сравнению с Leichttraktor это был однозначный успех. Первоначально Kleinetraktor рассматривался как многоцелевая машина. Предполагалось создать на общей базе машину наблюдателей, артиллерийский тягач и подвозчик боеприпасов. Впрочем, после испытаний генерал 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 (17463).</w:t>
      </w:r>
    </w:p>
    <w:p w14:paraId="4FC77B76" w14:textId="77777777" w:rsidR="0035024E" w:rsidRPr="00E93F40" w:rsidRDefault="0035024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D831A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AF516E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7C6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30 июля 1032 ДВ СССР-Н2 вылетел на первую ледовую разведку в направлении на мыс Меньшикова и мыс Пять Пальцев. В проливе Маточкин Шар экипаж заметил ледокол "Ленин", проводящий иностранное судно. Сев недалеко от ледокола, гидроплан зашел в Тюлений залив, куда вскоре подошел и катер с "Ленина", доставивший часть экипажа самолета к капитану (радиостанции на самолете не было). В "обмен" на данные разведки самолет дозаправили бензином.</w:t>
      </w:r>
    </w:p>
    <w:p w14:paraId="1AF55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Попытка произвести разведку 1 августа окончилась неудачей: пришлось вернуться через 40 минут после старта из-за невероятно сильной болтанки. Погода все ухудшалась, и капитаны кораблей не стали ждать результатов ледовых разведок. "Сибиряков" отправился дальше во Владивосток, "Ленин" решил проводить суда на восток по полынье и дальше через лед.</w:t>
      </w:r>
    </w:p>
    <w:p w14:paraId="517F7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Разыгравшийся 4 августа 11-бальный шторм мог бы стать для находившегося в Тюленьем заливе самолета СССР-Н2 последним, если бы, как отмечал Алексеев, не "запуск наших моторов в срок не больший, чем это занимает процедура на легком Форде". Через 2 дня, 6 августа, погода стала лучше и позволила встать на открытом рейде у радиостанции Маточкин Шар.</w:t>
      </w:r>
    </w:p>
    <w:p w14:paraId="221B4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августа самолет вылетел на разведку для ледокола "Ленин", однако через 40 минут полета попал в низовой туман и вынужден был подняться выше. Через просветы можно было иногда видеть состояние моря. Вскоре туман резко прекратился и через 7 часов 28 минут СССР-Н2 прибыл на о. Диксон. Несмотря на трудные условия для наблюдения, за полученные сведения экипажу объявили благодарность.</w:t>
      </w:r>
    </w:p>
    <w:p w14:paraId="0BABBC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Следующим заданием стал полет на Северную Землю. Но сначала самолет посетил Игарку, где забрал рацию (эту рацию с аварийного Р-5 и летнаба Жукова доставил Молоков на ЮГ-1 СССР-Н4) и, не монтируя ее, вылетел обратно на Диксон, куда и прибыл 15 августа.</w:t>
      </w:r>
    </w:p>
    <w:p w14:paraId="5667E3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был период штормов и эпизодические полеты. 29 августа в районе мыса Челюскин гидроплан наскочил на песчаную банку. Металлическая лодка Дорнье подтвердила свою прочность, при осмотре повреждений не обнаружили и 1 сентября вылетели на Диксон, исследуя по пути береговую черту. 11 сентября самолет выполнил полет по маршруту: Диксон - Пясина - м. Медведева - Расторгуев - о-ва Каменные - м. Двух Медведей - Диксон. Дальнейшие изыскательские полеты отменила телеграмма начальника Авиаслужбы об аварии ЮГ-1 СССР-Н4 Молокова на Пясинском озере (сломался коленвал левого мотора) (11970).</w:t>
      </w:r>
    </w:p>
    <w:p w14:paraId="6A8EC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C04D8D" w14:textId="77777777" w:rsidR="003E0F62"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36BC995" w14:textId="77777777" w:rsidR="003E0F62" w:rsidRPr="00E93F40" w:rsidRDefault="003E0F6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2104D0" w14:textId="77777777" w:rsidR="007A20C4" w:rsidRPr="00E93F40" w:rsidRDefault="007A20C4" w:rsidP="00E93F40">
      <w:pPr>
        <w:pStyle w:val="ae"/>
        <w:spacing w:before="0" w:after="0"/>
        <w:jc w:val="both"/>
        <w:rPr>
          <w:color w:val="000000" w:themeColor="text1"/>
          <w:sz w:val="16"/>
          <w:szCs w:val="16"/>
        </w:rPr>
      </w:pPr>
      <w:r w:rsidRPr="00E93F40">
        <w:rPr>
          <w:rStyle w:val="af0"/>
          <w:i w:val="0"/>
          <w:color w:val="000000" w:themeColor="text1"/>
          <w:sz w:val="16"/>
          <w:szCs w:val="16"/>
        </w:rPr>
        <w:t>30 июля 1932 г.</w:t>
      </w:r>
    </w:p>
    <w:p w14:paraId="62C2756E"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Здравствуй, Клим!</w:t>
      </w:r>
    </w:p>
    <w:p w14:paraId="591FDCF1"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Письмо от 26 июля получил.</w:t>
      </w:r>
    </w:p>
    <w:p w14:paraId="366BFD8A"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 xml:space="preserve">1. Нажимай вовсю на </w:t>
      </w:r>
      <w:hyperlink r:id="rId184" w:history="1">
        <w:r w:rsidRPr="00E93F40">
          <w:rPr>
            <w:color w:val="000000" w:themeColor="text1"/>
            <w:sz w:val="16"/>
            <w:szCs w:val="16"/>
            <w:u w:val="single"/>
          </w:rPr>
          <w:t>Маханова</w:t>
        </w:r>
      </w:hyperlink>
      <w:r w:rsidRPr="00E93F40">
        <w:rPr>
          <w:color w:val="000000" w:themeColor="text1"/>
          <w:sz w:val="16"/>
          <w:szCs w:val="16"/>
        </w:rPr>
        <w:t>: его универ[сальная] пушка нужна нам, как воздух, как вода. Заставьте путиловцев ускорить работу по пушке Маханова.</w:t>
      </w:r>
    </w:p>
    <w:p w14:paraId="67EA77DD"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 xml:space="preserve">2. Против оставления </w:t>
      </w:r>
      <w:hyperlink r:id="rId185" w:history="1">
        <w:r w:rsidRPr="00E93F40">
          <w:rPr>
            <w:color w:val="000000" w:themeColor="text1"/>
            <w:sz w:val="16"/>
            <w:szCs w:val="16"/>
            <w:u w:val="single"/>
          </w:rPr>
          <w:t>Гамарника</w:t>
        </w:r>
      </w:hyperlink>
      <w:r w:rsidRPr="00E93F40">
        <w:rPr>
          <w:color w:val="000000" w:themeColor="text1"/>
          <w:sz w:val="16"/>
          <w:szCs w:val="16"/>
        </w:rPr>
        <w:t xml:space="preserve"> в Москве не возражаю с тем, однако, чтобы </w:t>
      </w:r>
      <w:hyperlink r:id="rId186" w:history="1">
        <w:r w:rsidRPr="00E93F40">
          <w:rPr>
            <w:color w:val="000000" w:themeColor="text1"/>
            <w:sz w:val="16"/>
            <w:szCs w:val="16"/>
            <w:u w:val="single"/>
          </w:rPr>
          <w:t>Блюхер</w:t>
        </w:r>
      </w:hyperlink>
      <w:r w:rsidRPr="00E93F40">
        <w:rPr>
          <w:color w:val="000000" w:themeColor="text1"/>
          <w:sz w:val="16"/>
          <w:szCs w:val="16"/>
        </w:rPr>
        <w:t xml:space="preserve"> получил отпуск для лечения, а дело (на Дальвосте) не могло пострадать ни в какой мере.</w:t>
      </w:r>
    </w:p>
    <w:p w14:paraId="2905463C"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3. Шесть бомбовозов для Дальвоста — пустяк. Надо послать туда не менее 50</w:t>
      </w:r>
      <w:r w:rsidRPr="00E93F40">
        <w:rPr>
          <w:color w:val="000000" w:themeColor="text1"/>
          <w:sz w:val="16"/>
          <w:szCs w:val="16"/>
        </w:rPr>
        <w:noBreakHyphen/>
        <w:t>60 ТБ</w:t>
      </w:r>
      <w:r w:rsidRPr="00E93F40">
        <w:rPr>
          <w:color w:val="000000" w:themeColor="text1"/>
          <w:sz w:val="16"/>
          <w:szCs w:val="16"/>
        </w:rPr>
        <w:noBreakHyphen/>
        <w:t>3. И это сделать надо поскорее. Без этого оборона Дальвоста — пустая фраза.</w:t>
      </w:r>
    </w:p>
    <w:p w14:paraId="4A642352"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4. Насчет сорняков и плохой обработки полей на юге (не только на юге!) ты совершенно прав. Причина этого бедствия, между прочим, — плохая работа МТС. Об улучшении работы МТС думаю написать в ПБ спец[иальное] письмо. Марневич — работник хороший, но он зазнался немножко (захвалили!) и не видит прорех в работе МТС.</w:t>
      </w:r>
    </w:p>
    <w:p w14:paraId="7EABCB1D"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Привет!</w:t>
      </w:r>
    </w:p>
    <w:p w14:paraId="1F9C1EEF" w14:textId="77777777" w:rsidR="007A20C4" w:rsidRPr="00E93F40" w:rsidRDefault="007A20C4" w:rsidP="00E93F40">
      <w:pPr>
        <w:pStyle w:val="ae"/>
        <w:spacing w:before="0" w:after="0"/>
        <w:jc w:val="both"/>
        <w:rPr>
          <w:color w:val="000000" w:themeColor="text1"/>
          <w:sz w:val="16"/>
          <w:szCs w:val="16"/>
        </w:rPr>
      </w:pPr>
      <w:r w:rsidRPr="00E93F40">
        <w:rPr>
          <w:rStyle w:val="af0"/>
          <w:i w:val="0"/>
          <w:color w:val="000000" w:themeColor="text1"/>
          <w:sz w:val="16"/>
          <w:szCs w:val="16"/>
        </w:rPr>
        <w:t>Твой И. Сталин</w:t>
      </w:r>
    </w:p>
    <w:p w14:paraId="435B72FE" w14:textId="77777777" w:rsidR="007A20C4" w:rsidRPr="00E93F40" w:rsidRDefault="007A20C4" w:rsidP="00E93F40">
      <w:pPr>
        <w:pStyle w:val="rtejustify"/>
        <w:spacing w:before="0" w:after="0"/>
        <w:rPr>
          <w:color w:val="000000" w:themeColor="text1"/>
          <w:sz w:val="16"/>
          <w:szCs w:val="16"/>
        </w:rPr>
      </w:pPr>
      <w:r w:rsidRPr="00E93F40">
        <w:rPr>
          <w:color w:val="000000" w:themeColor="text1"/>
          <w:sz w:val="16"/>
          <w:szCs w:val="16"/>
        </w:rPr>
        <w:t>Пометы на документе: «Тов. Молотову и Кагановичу. Ворошилов»; «Читал. В. Молотов. Каганович. В. Куйбышев».</w:t>
      </w:r>
    </w:p>
    <w:p w14:paraId="26574EA5" w14:textId="77777777" w:rsidR="007A20C4" w:rsidRPr="00E93F40" w:rsidRDefault="007A20C4" w:rsidP="00E93F40">
      <w:pPr>
        <w:pStyle w:val="ae"/>
        <w:spacing w:before="0" w:after="0"/>
        <w:jc w:val="both"/>
        <w:rPr>
          <w:color w:val="000000" w:themeColor="text1"/>
          <w:sz w:val="16"/>
          <w:szCs w:val="16"/>
        </w:rPr>
      </w:pPr>
      <w:r w:rsidRPr="00E93F40">
        <w:rPr>
          <w:color w:val="000000" w:themeColor="text1"/>
          <w:sz w:val="16"/>
          <w:szCs w:val="16"/>
        </w:rPr>
        <w:t>РГАСПИ. Ф. 74. Оп. 2. Д. 38. Л. 76-77. Подлинник.</w:t>
      </w:r>
    </w:p>
    <w:p w14:paraId="7E70D7A5"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Архив: РГАСПИ. Ф. 74. Оп. 2. Д. 38. Л. 76-77. Подлинник. </w:t>
      </w:r>
    </w:p>
    <w:p w14:paraId="4A0DCEA0" w14:textId="77777777" w:rsidR="007A20C4" w:rsidRPr="00E93F40" w:rsidRDefault="007A2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Источник: Становление оборонно-промышленного комплекса СССР (1927-1932). М. 2008, стр. 705 (12308). </w:t>
      </w:r>
    </w:p>
    <w:p w14:paraId="0EBCA95E" w14:textId="77777777" w:rsidR="007A20C4" w:rsidRPr="00E93F40" w:rsidRDefault="007A20C4" w:rsidP="00E93F40">
      <w:pPr>
        <w:spacing w:after="0" w:line="240" w:lineRule="auto"/>
        <w:jc w:val="both"/>
        <w:rPr>
          <w:rFonts w:ascii="Times New Roman" w:hAnsi="Times New Roman"/>
          <w:color w:val="000000" w:themeColor="text1"/>
          <w:sz w:val="16"/>
          <w:szCs w:val="16"/>
          <w:u w:color="002060"/>
        </w:rPr>
      </w:pPr>
    </w:p>
    <w:p w14:paraId="7A9A872C" w14:textId="5111CD73" w:rsidR="00F56E3A" w:rsidRPr="00E93F40" w:rsidRDefault="00F56E3A"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6857617F" w14:textId="77777777" w:rsidR="00F56E3A" w:rsidRPr="00E93F40" w:rsidRDefault="00F56E3A"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7B443EAB" w14:textId="77777777" w:rsidR="00F56E3A" w:rsidRPr="00E93F40" w:rsidRDefault="00F56E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июля 1932 года 7 кораблей ТБ-3 1-го эшелона из состава 105-й эскадрильи 19-й авиабригады стартова</w:t>
      </w:r>
      <w:r w:rsidRPr="00E93F40">
        <w:rPr>
          <w:rFonts w:ascii="Times New Roman" w:hAnsi="Times New Roman"/>
          <w:color w:val="000000" w:themeColor="text1"/>
          <w:sz w:val="16"/>
          <w:szCs w:val="16"/>
        </w:rPr>
        <w:softHyphen/>
        <w:t>ли из Воронежа. Сразу после старта на командирском корабле Добролежа произошел отказ маслосистемы одного двигателя. Пришлось совершить вынужденную посадку, во время которой машина получила повреж</w:t>
      </w:r>
      <w:r w:rsidRPr="00E93F40">
        <w:rPr>
          <w:rFonts w:ascii="Times New Roman" w:hAnsi="Times New Roman"/>
          <w:color w:val="000000" w:themeColor="text1"/>
          <w:sz w:val="16"/>
          <w:szCs w:val="16"/>
        </w:rPr>
        <w:softHyphen/>
        <w:t>дения. Еще один ТБ-3 дотянул до Свердловска на трех двигателях. 2 августа из Свердловска по направлению на восток стартовали 5 кораблей. Один из них — ТБ- 3 зав. №2207 — по причине отказа двигателя совершил посадку в Кургане. Далее перелет проистекал благопо</w:t>
      </w:r>
      <w:r w:rsidRPr="00E93F40">
        <w:rPr>
          <w:rFonts w:ascii="Times New Roman" w:hAnsi="Times New Roman"/>
          <w:color w:val="000000" w:themeColor="text1"/>
          <w:sz w:val="16"/>
          <w:szCs w:val="16"/>
        </w:rPr>
        <w:softHyphen/>
        <w:t>лучно, из первой группы до аэродрома Воздвиженка (севернее Уссурийска) добрались 5 ТБ-3.</w:t>
      </w:r>
    </w:p>
    <w:p w14:paraId="042517CB" w14:textId="77777777" w:rsidR="00F56E3A" w:rsidRPr="00E93F40" w:rsidRDefault="00F56E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августа 1932 года Добролеж возглавил второй стартовавший эшелон в количестве 6 машин из со</w:t>
      </w:r>
      <w:r w:rsidRPr="00E93F40">
        <w:rPr>
          <w:rFonts w:ascii="Times New Roman" w:hAnsi="Times New Roman"/>
          <w:color w:val="000000" w:themeColor="text1"/>
          <w:sz w:val="16"/>
          <w:szCs w:val="16"/>
        </w:rPr>
        <w:softHyphen/>
        <w:t>става 106-й эскадрильи. 18 августа на восток вылете</w:t>
      </w:r>
      <w:r w:rsidRPr="00E93F40">
        <w:rPr>
          <w:rFonts w:ascii="Times New Roman" w:hAnsi="Times New Roman"/>
          <w:color w:val="000000" w:themeColor="text1"/>
          <w:sz w:val="16"/>
          <w:szCs w:val="16"/>
        </w:rPr>
        <w:softHyphen/>
        <w:t>ли еще два корабля ТБ-3, которые вел С.А.Шестаков (командир экипажа АНТ-4 «Страна Советов», сле</w:t>
      </w:r>
      <w:r w:rsidRPr="00E93F40">
        <w:rPr>
          <w:rFonts w:ascii="Times New Roman" w:hAnsi="Times New Roman"/>
          <w:color w:val="000000" w:themeColor="text1"/>
          <w:sz w:val="16"/>
          <w:szCs w:val="16"/>
        </w:rPr>
        <w:softHyphen/>
        <w:t>тавшего в Америку в 1929 году). В этой второй волне перелета также были вынужденные посадки, однако все тяжелые машины добрались до цели. В основном экипажи ругали низкое качество двигателей М-17. Тем не менее в конце августа — начале сентября 13 ТБ-3 собрались под Хабаровском. Указанное количе</w:t>
      </w:r>
      <w:r w:rsidRPr="00E93F40">
        <w:rPr>
          <w:rFonts w:ascii="Times New Roman" w:hAnsi="Times New Roman"/>
          <w:color w:val="000000" w:themeColor="text1"/>
          <w:sz w:val="16"/>
          <w:szCs w:val="16"/>
        </w:rPr>
        <w:softHyphen/>
        <w:t>ство совсем немного превышало число самолетов в одной эскадрилье. Однако это был весьма неплохой результат. Тем более что условий для прибывших са</w:t>
      </w:r>
      <w:r w:rsidRPr="00E93F40">
        <w:rPr>
          <w:rFonts w:ascii="Times New Roman" w:hAnsi="Times New Roman"/>
          <w:color w:val="000000" w:themeColor="text1"/>
          <w:sz w:val="16"/>
          <w:szCs w:val="16"/>
        </w:rPr>
        <w:softHyphen/>
        <w:t>молетов и экипажей создать не успели. Аэродромы предстоящего базирования, Воздвиженка и Спасский, на тот момент уже были полностью насыщены воин</w:t>
      </w:r>
      <w:r w:rsidRPr="00E93F40">
        <w:rPr>
          <w:rFonts w:ascii="Times New Roman" w:hAnsi="Times New Roman"/>
          <w:color w:val="000000" w:themeColor="text1"/>
          <w:sz w:val="16"/>
          <w:szCs w:val="16"/>
        </w:rPr>
        <w:softHyphen/>
        <w:t>скими частями. Аэродромное обеспечение, как это ча</w:t>
      </w:r>
      <w:r w:rsidRPr="00E93F40">
        <w:rPr>
          <w:rFonts w:ascii="Times New Roman" w:hAnsi="Times New Roman"/>
          <w:color w:val="000000" w:themeColor="text1"/>
          <w:sz w:val="16"/>
          <w:szCs w:val="16"/>
        </w:rPr>
        <w:softHyphen/>
        <w:t>сто бывает, в полной мере подготовить не удалось. В частности, про имеющиеся аэродромы говорилось, что они для тяжелых машин не подходят, ТБ-3 при выполнении рулежки проваливались, поэтому требо</w:t>
      </w:r>
      <w:r w:rsidRPr="00E93F40">
        <w:rPr>
          <w:rFonts w:ascii="Times New Roman" w:hAnsi="Times New Roman"/>
          <w:color w:val="000000" w:themeColor="text1"/>
          <w:sz w:val="16"/>
          <w:szCs w:val="16"/>
        </w:rPr>
        <w:softHyphen/>
        <w:t>вался или более плотный грунт, или специально под</w:t>
      </w:r>
      <w:r w:rsidRPr="00E93F40">
        <w:rPr>
          <w:rFonts w:ascii="Times New Roman" w:hAnsi="Times New Roman"/>
          <w:color w:val="000000" w:themeColor="text1"/>
          <w:sz w:val="16"/>
          <w:szCs w:val="16"/>
        </w:rPr>
        <w:softHyphen/>
        <w:t>готовленные рулежные и взлетные полосы.</w:t>
      </w:r>
    </w:p>
    <w:p w14:paraId="1E0E68FE" w14:textId="77777777" w:rsidR="00F56E3A" w:rsidRPr="00E93F40" w:rsidRDefault="00F56E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Одним словом, в тот год удовлетворились достиг</w:t>
      </w:r>
      <w:r w:rsidRPr="00E93F40">
        <w:rPr>
          <w:rFonts w:ascii="Times New Roman" w:hAnsi="Times New Roman"/>
          <w:color w:val="000000" w:themeColor="text1"/>
          <w:sz w:val="16"/>
          <w:szCs w:val="16"/>
        </w:rPr>
        <w:softHyphen/>
        <w:t>нутым результатом. 10 экипажей после окончания перелета вернулись в Москву, откуда до конца года надеялись перегнать остальные машины 106-й эскад</w:t>
      </w:r>
      <w:r w:rsidRPr="00E93F40">
        <w:rPr>
          <w:rFonts w:ascii="Times New Roman" w:hAnsi="Times New Roman"/>
          <w:color w:val="000000" w:themeColor="text1"/>
          <w:sz w:val="16"/>
          <w:szCs w:val="16"/>
        </w:rPr>
        <w:softHyphen/>
        <w:t>рильи и полностью 107-ю эскадрилью. Впрочем, по</w:t>
      </w:r>
      <w:r w:rsidRPr="00E93F40">
        <w:rPr>
          <w:rFonts w:ascii="Times New Roman" w:hAnsi="Times New Roman"/>
          <w:color w:val="000000" w:themeColor="text1"/>
          <w:sz w:val="16"/>
          <w:szCs w:val="16"/>
        </w:rPr>
        <w:softHyphen/>
        <w:t>годные условия на маршруте осенью становились значительно сложнее, поэтому все-таки было решено все последующие действия перенести на 1933 год. В результате на Дальнем Востоке на зимовку остались 13 ТБ-3 и 3 экипажа.</w:t>
      </w:r>
    </w:p>
    <w:p w14:paraId="29DE8C20" w14:textId="77777777" w:rsidR="00F56E3A" w:rsidRPr="00E93F40" w:rsidRDefault="00F56E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следует отметить, что к перелету ТБ-3 на Дальний Восток заметный интерес проявили япон</w:t>
      </w:r>
      <w:r w:rsidRPr="00E93F40">
        <w:rPr>
          <w:rFonts w:ascii="Times New Roman" w:hAnsi="Times New Roman"/>
          <w:color w:val="000000" w:themeColor="text1"/>
          <w:sz w:val="16"/>
          <w:szCs w:val="16"/>
        </w:rPr>
        <w:softHyphen/>
        <w:t>цы. Так как все воздушные передвижения соверша</w:t>
      </w:r>
      <w:r w:rsidRPr="00E93F40">
        <w:rPr>
          <w:rFonts w:ascii="Times New Roman" w:hAnsi="Times New Roman"/>
          <w:color w:val="000000" w:themeColor="text1"/>
          <w:sz w:val="16"/>
          <w:szCs w:val="16"/>
        </w:rPr>
        <w:softHyphen/>
        <w:t>лись вдоль Транссибирской магистрали, то самолеты можно было при желании не только увидеть, но и пересчитать. Сообщалось, что представитель япон</w:t>
      </w:r>
      <w:r w:rsidRPr="00E93F40">
        <w:rPr>
          <w:rFonts w:ascii="Times New Roman" w:hAnsi="Times New Roman"/>
          <w:color w:val="000000" w:themeColor="text1"/>
          <w:sz w:val="16"/>
          <w:szCs w:val="16"/>
        </w:rPr>
        <w:softHyphen/>
        <w:t>ского консульства приобрел билет на пассажирский самолет из Новосибирска до Омска, навстречу про</w:t>
      </w:r>
      <w:r w:rsidRPr="00E93F40">
        <w:rPr>
          <w:rFonts w:ascii="Times New Roman" w:hAnsi="Times New Roman"/>
          <w:color w:val="000000" w:themeColor="text1"/>
          <w:sz w:val="16"/>
          <w:szCs w:val="16"/>
        </w:rPr>
        <w:softHyphen/>
        <w:t>летающим ТБ-3. Уловку раскусили, поэтому в после</w:t>
      </w:r>
      <w:r w:rsidRPr="00E93F40">
        <w:rPr>
          <w:rFonts w:ascii="Times New Roman" w:hAnsi="Times New Roman"/>
          <w:color w:val="000000" w:themeColor="text1"/>
          <w:sz w:val="16"/>
          <w:szCs w:val="16"/>
        </w:rPr>
        <w:softHyphen/>
        <w:t>дующем секретность усилили — сделали так, чтобы время пролета бомбардировщиков не совпадало с расписанием полетов пассажирских самолетов.</w:t>
      </w:r>
    </w:p>
    <w:p w14:paraId="59B275C6" w14:textId="77777777" w:rsidR="00F56E3A" w:rsidRPr="00E93F40" w:rsidRDefault="00F56E3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году переброска ТБ-3 на восток продолжи</w:t>
      </w:r>
      <w:r w:rsidRPr="00E93F40">
        <w:rPr>
          <w:rFonts w:ascii="Times New Roman" w:hAnsi="Times New Roman"/>
          <w:color w:val="000000" w:themeColor="text1"/>
          <w:sz w:val="16"/>
          <w:szCs w:val="16"/>
        </w:rPr>
        <w:softHyphen/>
        <w:t>лась (23378).</w:t>
      </w:r>
    </w:p>
    <w:p w14:paraId="2E5D1814" w14:textId="77777777" w:rsidR="00F56E3A" w:rsidRPr="00E93F40" w:rsidRDefault="00F56E3A" w:rsidP="00E93F40">
      <w:pPr>
        <w:spacing w:after="0" w:line="240" w:lineRule="auto"/>
        <w:jc w:val="both"/>
        <w:rPr>
          <w:rFonts w:ascii="Times New Roman" w:hAnsi="Times New Roman"/>
          <w:color w:val="000000" w:themeColor="text1"/>
          <w:sz w:val="16"/>
          <w:szCs w:val="16"/>
        </w:rPr>
      </w:pPr>
    </w:p>
    <w:p w14:paraId="76BA3B6F" w14:textId="15408C69"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1870BA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D80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30 июля и 5 августа 1932. Из протокола заседания Политбюро № 111, 1932 г.</w:t>
      </w:r>
    </w:p>
    <w:p w14:paraId="3E199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рабочей силе для уборки в совхозах Средней Волги </w:t>
      </w:r>
    </w:p>
    <w:p w14:paraId="76CD05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Разрешить Средней Волге использование 1200 красноармейцев на уборочной работе в совхозах (11652).</w:t>
      </w:r>
    </w:p>
    <w:p w14:paraId="3251A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80C7C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77DE50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C82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июля 1932 в Лос Анжелосе открылись 10 летние Олимпийские игры - 1408 участников из 37 стран (3186).</w:t>
      </w:r>
    </w:p>
    <w:p w14:paraId="111006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E51F4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6ED1D4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89727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июля 1932 года был подготовлен</w:t>
      </w:r>
    </w:p>
    <w:p w14:paraId="40F8AC6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Отчет по испытанию самолета Р5 № 4837 с добавочными баками с мотором М-17</w:t>
      </w:r>
    </w:p>
    <w:p w14:paraId="1EFB94D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3488A06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 инженеры: Жемчужин, Кузнецов</w:t>
      </w:r>
    </w:p>
    <w:p w14:paraId="787EECD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 Скробук</w:t>
      </w:r>
    </w:p>
    <w:p w14:paraId="3850778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020743DA"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Определение максимальной дальности полета.</w:t>
      </w:r>
    </w:p>
    <w:p w14:paraId="6BC2BDB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Выявление особенностей взлета и пилотирования перегруженного самолета.</w:t>
      </w:r>
    </w:p>
    <w:p w14:paraId="28F3EB53"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Практическая проверка расхода горючего и соответствия его с расчетными данными, составленными на основании специального испытания расхода горючего.</w:t>
      </w:r>
    </w:p>
    <w:p w14:paraId="3097863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Конструктивные отличия испытанного самолета Р5 № 4837 от серийной машины</w:t>
      </w:r>
    </w:p>
    <w:p w14:paraId="400525F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Самолет Р5 № 4837 в отличие от серийного самолета имеет три добавочных бензиновых бака помещенных в фюзеляж – два из них в бомбовых отсеках фюзеляжа и один за главными баками. Для управления этими баками смонтирован трехходовой кран, укрепленный на полу в кабине летчика под левой ногой. Также установлен добавочный масляный бак (за главными бензобаками), соединенный с основным баком.</w:t>
      </w:r>
    </w:p>
    <w:p w14:paraId="208DD50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Других отличий самолет № 4837 от серийных машин не имеет.</w:t>
      </w:r>
    </w:p>
    <w:p w14:paraId="7C329A7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3C5D1CD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Считать необходимым 3 управлению ВВС дать заказ заводу № 1 на оборудование части самолетов Р5 (количество самолетов подлежит уточнению 1 управлением ВВС) добавочными баками по образцу самолета № 4837 для передачи их в строй (6965).</w:t>
      </w:r>
    </w:p>
    <w:p w14:paraId="5B28ABA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4D8141" w14:textId="77777777" w:rsidR="00D21F78"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26469D0" w14:textId="77777777" w:rsidR="00D21F78" w:rsidRPr="00E93F40" w:rsidRDefault="00D21F7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3C2A2D"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июля 1932 военные рассмотрели предложенные 20 июля Дыренковым проекты на заседании НТК УММ РККА, и в результате обсуждения пришли к следующим выводам:</w:t>
      </w:r>
    </w:p>
    <w:p w14:paraId="0C2AE37B"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По проекту Д-6.</w:t>
      </w:r>
    </w:p>
    <w:p w14:paraId="6465A512"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Компоновка мотора, механической передачи, положение орудийной башни, конфигурация корпуса и ходовой части приемлемы На основе эскиза должен быть составлен расчет и рабочие чертежи</w:t>
      </w:r>
    </w:p>
    <w:p w14:paraId="2A7A9701"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Учитывая, что орудийная установка 107-мм пушки представляет большой интерес, мотоброневагон Д-6 должен быть построен в двух вариантах:</w:t>
      </w:r>
    </w:p>
    <w:p w14:paraId="3BFFD7AE"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 орудийной башней конструкции т. Дыренкова и новой механической передачей Д-35;</w:t>
      </w:r>
    </w:p>
    <w:p w14:paraId="610211A4"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Второй образец с карусельной установкой 107-мм орудия (Брянского типа обр. 1931 г. для тяжелых бронепоездов).</w:t>
      </w:r>
    </w:p>
    <w:p w14:paraId="276B9BD8"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По легкому мотоброневагону Д-46.</w:t>
      </w:r>
    </w:p>
    <w:p w14:paraId="66466A15"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Компоновка двух орудийных башен с 76 мм пушками обр. 1902 г. (одна установлена в средней части, вторая в торцевой части) допускает при всех положениях первой и второй башен ведение огня из одного (среднего) орудия на 360 град. Стрельба в сторону движения МБВ при положении при положении первого орудия над второй башней под углами склонения невозможна. Орудие второй (торцевой) башни допускает сектор обстрела не более 270 град.</w:t>
      </w:r>
    </w:p>
    <w:p w14:paraId="3660A5CF"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w:t>
      </w:r>
    </w:p>
    <w:p w14:paraId="34C5CB8B"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легкому мотоброневагону Д-46 посг-ройка опытного образца нецелесообразна, так как в тактическом отношении Д-46 стоит ниже МБВ Д-2» (15624).</w:t>
      </w:r>
    </w:p>
    <w:p w14:paraId="231E6911" w14:textId="77777777" w:rsidR="00D21F78" w:rsidRPr="00E93F40" w:rsidRDefault="00D21F78" w:rsidP="00E93F40">
      <w:pPr>
        <w:spacing w:after="0" w:line="240" w:lineRule="auto"/>
        <w:jc w:val="both"/>
        <w:rPr>
          <w:rFonts w:ascii="Times New Roman" w:hAnsi="Times New Roman"/>
          <w:color w:val="000000" w:themeColor="text1"/>
          <w:sz w:val="16"/>
          <w:szCs w:val="16"/>
        </w:rPr>
      </w:pPr>
    </w:p>
    <w:p w14:paraId="60B17549" w14:textId="01D37CA1"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июля 1932 военные рассмотрели предложенные проекты Дыренкова на заседании НТК УММ РККА,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в результате обсуждения пришли к следующим выводам:</w:t>
      </w:r>
      <w:r w:rsidR="007C1411" w:rsidRPr="00E93F40">
        <w:rPr>
          <w:rFonts w:ascii="Times New Roman" w:hAnsi="Times New Roman"/>
          <w:color w:val="000000" w:themeColor="text1"/>
          <w:sz w:val="16"/>
          <w:szCs w:val="16"/>
        </w:rPr>
        <w:t xml:space="preserve"> </w:t>
      </w:r>
    </w:p>
    <w:p w14:paraId="12ED4FA2" w14:textId="05740D49"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По проекту Д-6.</w:t>
      </w:r>
      <w:r w:rsidR="007C1411" w:rsidRPr="00E93F40">
        <w:rPr>
          <w:rFonts w:ascii="Times New Roman" w:hAnsi="Times New Roman"/>
          <w:color w:val="000000" w:themeColor="text1"/>
          <w:sz w:val="16"/>
          <w:szCs w:val="16"/>
        </w:rPr>
        <w:t xml:space="preserve"> </w:t>
      </w:r>
    </w:p>
    <w:p w14:paraId="3514B2B9" w14:textId="1FB4FD29"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Компоновка мотора, механической передачи, положение орудийной башни, конфигурация корпуса и ходовой части приемлемы. На основе эскиза должен быть составлен расчет и рабочие чертежи.</w:t>
      </w:r>
      <w:r w:rsidR="007C1411" w:rsidRPr="00E93F40">
        <w:rPr>
          <w:rFonts w:ascii="Times New Roman" w:hAnsi="Times New Roman"/>
          <w:color w:val="000000" w:themeColor="text1"/>
          <w:sz w:val="16"/>
          <w:szCs w:val="16"/>
        </w:rPr>
        <w:t xml:space="preserve"> </w:t>
      </w:r>
    </w:p>
    <w:p w14:paraId="761937DF" w14:textId="084558E1"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Учитывая, что орудийная установка 107-мм пушки представляет большой интерес, мотоброневагон Д-6 должен быть построен в двух вариантах:</w:t>
      </w:r>
      <w:r w:rsidR="007C1411" w:rsidRPr="00E93F40">
        <w:rPr>
          <w:rFonts w:ascii="Times New Roman" w:hAnsi="Times New Roman"/>
          <w:color w:val="000000" w:themeColor="text1"/>
          <w:sz w:val="16"/>
          <w:szCs w:val="16"/>
        </w:rPr>
        <w:t xml:space="preserve"> </w:t>
      </w:r>
    </w:p>
    <w:p w14:paraId="40816FF4" w14:textId="422A064A"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 орудийной башней конструкции т. Дыренкова и новой механической передачей Д-35;</w:t>
      </w:r>
      <w:r w:rsidR="007C1411" w:rsidRPr="00E93F40">
        <w:rPr>
          <w:rFonts w:ascii="Times New Roman" w:hAnsi="Times New Roman"/>
          <w:color w:val="000000" w:themeColor="text1"/>
          <w:sz w:val="16"/>
          <w:szCs w:val="16"/>
        </w:rPr>
        <w:t xml:space="preserve"> </w:t>
      </w:r>
    </w:p>
    <w:p w14:paraId="40B0CCEA" w14:textId="3C446131"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Второй образец с карусельной установкой 107-мм орудия (Брянского типа обр.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1931 г. для тяжелых бронепоездов).</w:t>
      </w:r>
      <w:r w:rsidR="007C1411" w:rsidRPr="00E93F40">
        <w:rPr>
          <w:rFonts w:ascii="Times New Roman" w:hAnsi="Times New Roman"/>
          <w:color w:val="000000" w:themeColor="text1"/>
          <w:sz w:val="16"/>
          <w:szCs w:val="16"/>
        </w:rPr>
        <w:t xml:space="preserve"> </w:t>
      </w:r>
    </w:p>
    <w:p w14:paraId="59B20EB7" w14:textId="1E8F89EC"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По легкому мотоброневагону Д-46.</w:t>
      </w:r>
      <w:r w:rsidR="007C1411" w:rsidRPr="00E93F40">
        <w:rPr>
          <w:rFonts w:ascii="Times New Roman" w:hAnsi="Times New Roman"/>
          <w:color w:val="000000" w:themeColor="text1"/>
          <w:sz w:val="16"/>
          <w:szCs w:val="16"/>
        </w:rPr>
        <w:t xml:space="preserve"> </w:t>
      </w:r>
    </w:p>
    <w:p w14:paraId="1EEB56ED" w14:textId="4F527FF9"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Компоновка двух орудийных башен с 76 мм пушками обр. 1902 г. (одна установлена в средней части, вторая в торцевой части) допускает при всех положениях первой и второй башен ведение огня из одного (среднего) орудия на 360 град. Стрельба в сторону движения МБВ при положении при положении первого орудия над второй башней под углами склонения невозможна. Орудие второй (торцевой) башни допускает сектор обстрела не более 270 град.</w:t>
      </w:r>
      <w:r w:rsidR="007C1411" w:rsidRPr="00E93F40">
        <w:rPr>
          <w:rFonts w:ascii="Times New Roman" w:hAnsi="Times New Roman"/>
          <w:color w:val="000000" w:themeColor="text1"/>
          <w:sz w:val="16"/>
          <w:szCs w:val="16"/>
        </w:rPr>
        <w:t xml:space="preserve"> </w:t>
      </w:r>
    </w:p>
    <w:p w14:paraId="457290C6" w14:textId="60FED84B"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w:t>
      </w:r>
      <w:r w:rsidR="007C1411" w:rsidRPr="00E93F40">
        <w:rPr>
          <w:rFonts w:ascii="Times New Roman" w:hAnsi="Times New Roman"/>
          <w:color w:val="000000" w:themeColor="text1"/>
          <w:sz w:val="16"/>
          <w:szCs w:val="16"/>
        </w:rPr>
        <w:t xml:space="preserve"> </w:t>
      </w:r>
    </w:p>
    <w:p w14:paraId="5728CB21" w14:textId="77777777"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легкому мотоброневагону Д-46 постройка опытного образца нецелесообразна, так как в тактическом отношении Д-46 стоит ниже МБВ Д-2» (18626).</w:t>
      </w:r>
    </w:p>
    <w:p w14:paraId="53058A9A" w14:textId="77777777" w:rsidR="00E92E9C" w:rsidRPr="00E93F40" w:rsidRDefault="00E92E9C" w:rsidP="00E93F40">
      <w:pPr>
        <w:spacing w:after="0" w:line="240" w:lineRule="auto"/>
        <w:jc w:val="both"/>
        <w:rPr>
          <w:rFonts w:ascii="Times New Roman" w:hAnsi="Times New Roman"/>
          <w:color w:val="000000" w:themeColor="text1"/>
          <w:sz w:val="16"/>
          <w:szCs w:val="16"/>
        </w:rPr>
      </w:pPr>
    </w:p>
    <w:p w14:paraId="61402DA1"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31 июля 1932 г. на заседании НТК УММ РККА военные рассмотрели проекты мотоброневагонов, предложенные Дыоенковым, и в результате обсуждения пришли к следующим выводам:</w:t>
      </w:r>
    </w:p>
    <w:p w14:paraId="76237724"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w:t>
      </w:r>
      <w:r w:rsidRPr="00142305">
        <w:rPr>
          <w:rFonts w:ascii="Times New Roman" w:hAnsi="Times New Roman" w:cs="Times New Roman"/>
          <w:i w:val="0"/>
          <w:iCs w:val="0"/>
          <w:color w:val="0070C0"/>
          <w:sz w:val="16"/>
          <w:szCs w:val="16"/>
        </w:rPr>
        <w:t>I</w:t>
      </w:r>
      <w:r w:rsidRPr="002A278B">
        <w:rPr>
          <w:rFonts w:ascii="Times New Roman" w:hAnsi="Times New Roman" w:cs="Times New Roman"/>
          <w:i w:val="0"/>
          <w:iCs w:val="0"/>
          <w:color w:val="0070C0"/>
          <w:sz w:val="16"/>
          <w:szCs w:val="16"/>
          <w:lang w:val="ru-RU"/>
        </w:rPr>
        <w:t>. По проекту Д-6.</w:t>
      </w:r>
    </w:p>
    <w:p w14:paraId="499E915F"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1. Компоновка мотора, механической передачи, положение орудийной башни, конфигурация корпуса и ходовой части приемлемы На основе эскиза должен быть составлен расчет и рабочие чертежи</w:t>
      </w:r>
    </w:p>
    <w:p w14:paraId="633BB590"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2. Учитывая, что орудийная установка 107-мм пушки представляет большой интерес, мотоброневагон Д-6 должен быть построен в двух вариантах:</w:t>
      </w:r>
    </w:p>
    <w:p w14:paraId="04B13D2B"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а). С орудийной башней конструкции т. Дыренкова и новой механической передачей Д-35;</w:t>
      </w:r>
    </w:p>
    <w:p w14:paraId="1E8444A9"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б). Второй образец с карусельной установкой 107-мм орудия (Брянского типа обр. 1931 г. для тяжелых бронепоездов).</w:t>
      </w:r>
    </w:p>
    <w:p w14:paraId="534AB70C"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П. По легкому мотоброневагону Д-46.</w:t>
      </w:r>
    </w:p>
    <w:p w14:paraId="745D3547"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Компоновка двух орудийных башен с 76 мм пушками обр. 1902 г. (одна установлена в средней части, вторая в торцевой части) допускает при всех положениях первой и второй башен ведение огня из одного (среднего) орудия на 360 град. Стрельба в сторону движения МБВ при положении при положении первого орудия над второй башней под углами склонения невозможна. Орудие второй (торцевой) башни допускает сектор обстрела не более 270 град.</w:t>
      </w:r>
    </w:p>
    <w:p w14:paraId="36D1D08A"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Постановили:</w:t>
      </w:r>
    </w:p>
    <w:p w14:paraId="2A3A1FC4" w14:textId="411363C9"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По легкому мотоброневагону Д-46 пос</w:t>
      </w:r>
      <w:r>
        <w:rPr>
          <w:rFonts w:ascii="Times New Roman" w:hAnsi="Times New Roman" w:cs="Times New Roman"/>
          <w:i w:val="0"/>
          <w:iCs w:val="0"/>
          <w:color w:val="0070C0"/>
          <w:sz w:val="16"/>
          <w:szCs w:val="16"/>
          <w:lang w:val="ru-RU"/>
        </w:rPr>
        <w:t>т</w:t>
      </w:r>
      <w:r w:rsidRPr="002A278B">
        <w:rPr>
          <w:rFonts w:ascii="Times New Roman" w:hAnsi="Times New Roman" w:cs="Times New Roman"/>
          <w:i w:val="0"/>
          <w:iCs w:val="0"/>
          <w:color w:val="0070C0"/>
          <w:sz w:val="16"/>
          <w:szCs w:val="16"/>
          <w:lang w:val="ru-RU"/>
        </w:rPr>
        <w:t>ройка опытного образца нецелесообразна, так как в тактическом отношении Д-46 стоит ниже МБВ Д-2».</w:t>
      </w:r>
    </w:p>
    <w:p w14:paraId="12E16FAF"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Изготовление опытного образца Д-6 началось на заводе Можерез в сентябре 1932 года, и по состоянию на 21 ноября было следующим:</w:t>
      </w:r>
    </w:p>
    <w:p w14:paraId="6D863901"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«Мотоброневагон с двигателем «Геркулес» 105 л.с. (Д-6). Изготовлены верхняя и нижняя часть корпуса, корпус башни без погонов, лафета и поворотного механизма. Установлена ходовая часть с ручными тормозами, мотор «Геркулес» с коробкой скоростей Я-5 и реверсом Д-35, радиатор типа «Коммунар». Установлены глушители, трубопроводы, а также временный бензобак и временное управление броневагоном.</w:t>
      </w:r>
      <w:r w:rsidRPr="00142305">
        <w:rPr>
          <w:rFonts w:ascii="Times New Roman" w:hAnsi="Times New Roman" w:cs="Times New Roman"/>
          <w:i w:val="0"/>
          <w:iCs w:val="0"/>
          <w:color w:val="0070C0"/>
          <w:sz w:val="16"/>
          <w:szCs w:val="16"/>
        </w:rPr>
        <w:t> </w:t>
      </w:r>
    </w:p>
    <w:p w14:paraId="5145D08D"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В указанном виде система будет готова к испытанию к 10.12.32 г. Дальнейшая сборка задержана за отсутствием чертежей». К этому времени военные отказались от услуг Дыренкова, и приказом по УММ РККА от 21 ноября 1932 года № 095 опытно-конструкторское и испытательное бюро расформировывалось с 1 декабря, а весь личный состав (за исключением Дыренкова) передавался в распоряжение директора завода Можерез «для окончания работ по заданиям УММ РККА».</w:t>
      </w:r>
    </w:p>
    <w:p w14:paraId="7E5E8E5B"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r w:rsidRPr="002A278B">
        <w:rPr>
          <w:rFonts w:ascii="Times New Roman" w:hAnsi="Times New Roman" w:cs="Times New Roman"/>
          <w:i w:val="0"/>
          <w:iCs w:val="0"/>
          <w:color w:val="0070C0"/>
          <w:sz w:val="16"/>
          <w:szCs w:val="16"/>
          <w:lang w:val="ru-RU"/>
        </w:rPr>
        <w:t>В числе этих работ оказался и опытный вариант Д-6. Для ускорения его изготовления НТК УММ РККА предложил отказаться от его вооружения 107-мм орудием и установить на нем два 7б,2-мм орудия образца 1902 года в башнях, аналогичных серийным Д-2. Эти изменения в конструкцию внесли в короткие сроки, и в начале 1933 года мотоброневагон был готов (25568).</w:t>
      </w:r>
    </w:p>
    <w:p w14:paraId="0C8830CC" w14:textId="77777777" w:rsidR="002A278B" w:rsidRPr="002A278B" w:rsidRDefault="002A278B" w:rsidP="002A278B">
      <w:pPr>
        <w:pStyle w:val="aff2"/>
        <w:tabs>
          <w:tab w:val="left" w:pos="594"/>
        </w:tabs>
        <w:spacing w:line="240" w:lineRule="auto"/>
        <w:rPr>
          <w:rFonts w:ascii="Times New Roman" w:hAnsi="Times New Roman" w:cs="Times New Roman"/>
          <w:i w:val="0"/>
          <w:iCs w:val="0"/>
          <w:color w:val="0070C0"/>
          <w:sz w:val="16"/>
          <w:szCs w:val="16"/>
          <w:lang w:val="ru-RU"/>
        </w:rPr>
      </w:pPr>
    </w:p>
    <w:p w14:paraId="16A3191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A05D3A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C95A1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июля 1932 Г.Геринг стал Президентом Рейхстага</w:t>
      </w:r>
    </w:p>
    <w:p w14:paraId="33536B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- 30 августа</w:t>
      </w:r>
    </w:p>
    <w:p w14:paraId="22566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0F96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июля 1932 партия нацистов удвоила свои силы в Рейхстаге победив на выборах (2100). Коалиция фашистов и социалистов была невозможной (3907,173).</w:t>
      </w:r>
    </w:p>
    <w:p w14:paraId="5C0CF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47425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июля 1932 на выборах в Германии партия нацистов получила относительное большинство в рейхстаге (37% против 22% социалистов) (4962).</w:t>
      </w:r>
    </w:p>
    <w:p w14:paraId="60C998C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66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июля 1932 на очередных выборах в рейхстаг национал-социалисты получили 230 мандатов (социал-демократы – 133, коммунисты – 89 мандатов), став самой крупной фракцией в парламенте. Начиналась история Третьего рейха…(11688).</w:t>
      </w:r>
    </w:p>
    <w:p w14:paraId="78BA8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9643A3" w14:textId="77777777" w:rsidR="00D21F78" w:rsidRPr="00E93F40" w:rsidRDefault="00D21F7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июля в 1932 году на парламентских выборах в Германии нацистская партия завоевывает 230 мест, социал-демократы получают 133 места, центристы - 75, коммунисты - 89, Национальная народная партия - 37 и остальные партии - 44. В результате создается тупиковая ситуация, так как ни нацисты, ни социал-демократы не согласились бы войти в коалицию (14969).</w:t>
      </w:r>
    </w:p>
    <w:p w14:paraId="4AAD7D89" w14:textId="77777777" w:rsidR="00D21F78" w:rsidRPr="00E93F40" w:rsidRDefault="00D21F78" w:rsidP="00E93F40">
      <w:pPr>
        <w:spacing w:after="0" w:line="240" w:lineRule="auto"/>
        <w:jc w:val="both"/>
        <w:rPr>
          <w:rFonts w:ascii="Times New Roman" w:hAnsi="Times New Roman"/>
          <w:color w:val="000000" w:themeColor="text1"/>
          <w:sz w:val="16"/>
          <w:szCs w:val="16"/>
        </w:rPr>
      </w:pPr>
    </w:p>
    <w:p w14:paraId="7CB5C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31 июля 1932 г. выборах НСДАП (НСДАП — транслитерация с немецкого: НСДАП — Nationalsozialistische Deutsche Arbeiterpartei (NSDAP) — Национал-социалистическая немецкая рабочая партия.)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w:t>
      </w:r>
      <w:r w:rsidRPr="00E93F40">
        <w:rPr>
          <w:rFonts w:ascii="Times New Roman" w:hAnsi="Times New Roman"/>
          <w:color w:val="000000" w:themeColor="text1"/>
          <w:sz w:val="16"/>
          <w:szCs w:val="16"/>
        </w:rPr>
        <w:lastRenderedPageBreak/>
        <w:t>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64E877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3649F3" w14:textId="4AF7D2F9" w:rsidR="00E92E9C" w:rsidRPr="00E93F40" w:rsidRDefault="00E92E9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июля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новых выборах выборах НСДАП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еще больше укрепила свои позиции, получив 13,73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(18265).</w:t>
      </w:r>
    </w:p>
    <w:p w14:paraId="4EBFBBDA" w14:textId="77777777" w:rsidR="00E92E9C" w:rsidRPr="00E93F40" w:rsidRDefault="00E92E9C" w:rsidP="00E93F40">
      <w:pPr>
        <w:spacing w:after="0" w:line="240" w:lineRule="auto"/>
        <w:jc w:val="both"/>
        <w:rPr>
          <w:rFonts w:ascii="Times New Roman" w:hAnsi="Times New Roman"/>
          <w:color w:val="000000" w:themeColor="text1"/>
          <w:sz w:val="16"/>
          <w:szCs w:val="16"/>
        </w:rPr>
      </w:pPr>
    </w:p>
    <w:p w14:paraId="2C968C7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69764C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0225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июля 1932 в Нижнем Новгороде на заводе № 21, который вступил в строй в феврале, собрали первый И-5 и почти месяц его потом доделывали и переделывали, устраняя дефекты. Почти половину доставленного из Москвы задела узлов для И-5 объявили бракованной и списали. В воздух машину подняли 23 августа. Через неделю при отстреле пулемётов произошла деформация моторамы и истребитель угодил в ремонт. Этот первый И-5 сначала носил № 1501, заменённый затем на № 2101. Позже самолёты из Нижнего получали пятизначные заводские номера, обязательно начинавшиеся с цифр "21". За весь 1932 г. завод № 21 выпустил всего 10 самолётов, из которых военную приёмку прошли три (11997).</w:t>
      </w:r>
    </w:p>
    <w:p w14:paraId="025DA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4AEB5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B3330D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E5767A" w14:textId="3DC10262" w:rsidR="00A8089F" w:rsidRPr="00E93F40" w:rsidRDefault="00A808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в докладе СО Госплана в КО о выполнении полугодовой про</w:t>
      </w:r>
      <w:r w:rsidRPr="00E93F40">
        <w:rPr>
          <w:rFonts w:ascii="Times New Roman" w:hAnsi="Times New Roman"/>
          <w:color w:val="000000" w:themeColor="text1"/>
          <w:sz w:val="16"/>
          <w:szCs w:val="16"/>
        </w:rPr>
        <w:softHyphen/>
        <w:t>граммы по военной авиации и танкам отмечалось, что в них дело обстоит хуже, чем в гражданской промышленности. Если оста</w:t>
      </w:r>
      <w:r w:rsidRPr="00E93F40">
        <w:rPr>
          <w:rFonts w:ascii="Times New Roman" w:hAnsi="Times New Roman"/>
          <w:color w:val="000000" w:themeColor="text1"/>
          <w:sz w:val="16"/>
          <w:szCs w:val="16"/>
        </w:rPr>
        <w:softHyphen/>
        <w:t>вить все как есть, если выполняется 74% плана, то к концу года годовая программа будет выполнена только на 25%. Отмечались отдельные достижения, но больше говорилось о недостатках и провалах. Как слабое место называлась неравномерная подача изделий и проблема их комплектации, создававшей разрывы в выполнении планов. Из 89 важнейших номенклатур военных из</w:t>
      </w:r>
      <w:r w:rsidRPr="00E93F40">
        <w:rPr>
          <w:rFonts w:ascii="Times New Roman" w:hAnsi="Times New Roman"/>
          <w:color w:val="000000" w:themeColor="text1"/>
          <w:sz w:val="16"/>
          <w:szCs w:val="16"/>
        </w:rPr>
        <w:softHyphen/>
        <w:t>делий 38 имели выполнение ниже 50% плана, а 30 - ниже 80%. По-прежнему отмечается низкое качество, особенно авиамото</w:t>
      </w:r>
      <w:r w:rsidRPr="00E93F40">
        <w:rPr>
          <w:rFonts w:ascii="Times New Roman" w:hAnsi="Times New Roman"/>
          <w:color w:val="000000" w:themeColor="text1"/>
          <w:sz w:val="16"/>
          <w:szCs w:val="16"/>
        </w:rPr>
        <w:softHyphen/>
        <w:t>ров М-17, которые ломались через 5-10 часов работы. Летчики отказывались летать на самолетах с такими моторами. В качест</w:t>
      </w:r>
      <w:r w:rsidRPr="00E93F40">
        <w:rPr>
          <w:rFonts w:ascii="Times New Roman" w:hAnsi="Times New Roman"/>
          <w:color w:val="000000" w:themeColor="text1"/>
          <w:sz w:val="16"/>
          <w:szCs w:val="16"/>
        </w:rPr>
        <w:softHyphen/>
        <w:t>ве причины низкого качества назывались слабая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организация планирования, плохое снабжение, слабое техническое руководст</w:t>
      </w:r>
      <w:r w:rsidRPr="00E93F40">
        <w:rPr>
          <w:rFonts w:ascii="Times New Roman" w:hAnsi="Times New Roman"/>
          <w:color w:val="000000" w:themeColor="text1"/>
          <w:sz w:val="16"/>
          <w:szCs w:val="16"/>
        </w:rPr>
        <w:softHyphen/>
        <w:t>во,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тяжелое положение со специалистами и рабочей силой.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w:t>
      </w:r>
      <w:r w:rsidRPr="00E93F40">
        <w:rPr>
          <w:rFonts w:ascii="Times New Roman" w:hAnsi="Times New Roman"/>
          <w:color w:val="000000" w:themeColor="text1"/>
          <w:sz w:val="16"/>
          <w:szCs w:val="16"/>
        </w:rPr>
        <w:softHyphen/>
        <w:t>ждый месяц происходило обновление состава заводов на одну треть. В связи с этим СО взывал к НКТ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принять меры к улучше</w:t>
      </w:r>
      <w:r w:rsidRPr="00E93F40">
        <w:rPr>
          <w:rFonts w:ascii="Times New Roman" w:hAnsi="Times New Roman"/>
          <w:color w:val="000000" w:themeColor="text1"/>
          <w:sz w:val="16"/>
          <w:szCs w:val="16"/>
        </w:rPr>
        <w:softHyphen/>
        <w:t>нию оргнабора</w:t>
      </w:r>
      <w:bookmarkStart w:id="39" w:name="_ednref74"/>
      <w:r w:rsidRPr="00E93F40">
        <w:rPr>
          <w:rFonts w:ascii="Times New Roman" w:hAnsi="Times New Roman"/>
          <w:color w:val="000000" w:themeColor="text1"/>
          <w:sz w:val="16"/>
          <w:szCs w:val="16"/>
        </w:rPr>
        <w:t xml:space="preserve"> (18393</w:t>
      </w:r>
      <w:bookmarkEnd w:id="39"/>
      <w:r w:rsidRPr="00E93F40">
        <w:rPr>
          <w:rFonts w:ascii="Times New Roman" w:hAnsi="Times New Roman"/>
          <w:color w:val="000000" w:themeColor="text1"/>
          <w:sz w:val="16"/>
          <w:szCs w:val="16"/>
        </w:rPr>
        <w:t>).</w:t>
      </w:r>
    </w:p>
    <w:p w14:paraId="7EFF2685" w14:textId="77777777" w:rsidR="00A8089F" w:rsidRPr="00E93F40" w:rsidRDefault="00A8089F" w:rsidP="00E93F40">
      <w:pPr>
        <w:spacing w:after="0" w:line="240" w:lineRule="auto"/>
        <w:jc w:val="both"/>
        <w:rPr>
          <w:rFonts w:ascii="Times New Roman" w:hAnsi="Times New Roman"/>
          <w:color w:val="000000" w:themeColor="text1"/>
          <w:sz w:val="16"/>
          <w:szCs w:val="16"/>
        </w:rPr>
      </w:pPr>
    </w:p>
    <w:p w14:paraId="1D75B4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среди заданий, выданных по постановлению Совета труда и обороны, фигурировал тяжелый бомбовоз ТБ-6 с шестью моторами М-44 (мощностью по 2000 л.с.). Он стоял и в плане опытного самолетостроения на 1933-34 годы. Самолет с этим обозначением встречался в подобных документах и ранее, но, судя по записанным параметрам, речь шла о варианте ТБ-4 под четыре мотора М-35, или ФЭД. Теперь же сделали следующий шаг по "лестнице" огромных бомбовозов. От этой машины требовали максимальную скорость 250 км/ч и практический потолок в 7000 м. Максимальная бомбовая нагрузка устанавливалась в 22 000 кг, нормальная - 15 000 кг. Самолет должен был нести бомбы калибром до 2000 кг. Вооружение складывалось из четырех пушек и семи- девяти пулеметов (включая три "тяжелых" - крупнокалиберных). Самолет должен был иметь максимальную дальность до 4800 км, а с 15 т бомб - 3300 км. Машина была записана в категорию "экспериментальных" - то ли сомневались в ее необходимости, то ли в возможности построить. Однако в плане значился срок сдачи опытного образца - I декабря 1935 г. (12024)</w:t>
      </w:r>
    </w:p>
    <w:p w14:paraId="47979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FCF5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среди заданий по постановлению Совета труда и обороны, фигурировал тяжелый бомбовоз ТБ-6 с шестью моторами М-44 (мощностью по 2000 л.е.). Он стоял и в плане опытного самолетостроения на 1933-34 годы. Самолет с этим обозначением встречался в подобных документах и ранее, но, судя по записанным параметрам, речь шла о варианте ТБ-4 под четыре мотора М-35 или ФЭД. Теперь же сделали следующий шаг по "лестнице" огромных бомбовозов. От этой машины требовали максимальную скорость 250 км/ч и практический потолок в 7000 м. Максимальная бомбовая нагрузка устанавливалась в 22 000 кг, нормальная - 15 000 кг. Самолет должен был нести бомбы калибром до 2000 кг. Вооружение складывалось из четырех пушек и семи-девяти пулеметов (включая три "тяжелых" - крупнокалиберных). Самолет должен был иметь максимальную дальность до 4800 км, а с 15 т бомб - 3300 км. Машина была записана в категорию "экспериментальных" - то ли сомневались в ее необходимости, толи в возможности построить. Однако в плане значился срок сдачи опытного образца - 1 декабря 1935 г.</w:t>
      </w:r>
    </w:p>
    <w:p w14:paraId="0C756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Работу по ТБ-6 в ЦАГИ начали с октября 1932 г. Но могучий мотор М-44 так и не смогли довести до летного состояния. Требовалось искать замену. Вот так вместо шести М-44 ТБ-6, обозначенный Туполевым как АНТ-26, получил двенадцать М-34. Замена не была эквивалентной: шесть моторов по 2000 л.с. в сумме дают 12 ООО л.е., а двенадцать М-34 - почти в два раза меньше. Правда, конструкторы рассчитывали получить пока еще не существующие, но тоже записанные в планах моторы М-34ФРН. С ними потери в мощности практически компенсировались. Но с дюжиной М-34ФРН мотоустановка получалась существенно тяжелее, чем с шестью М-44, а аэродинамика ухудшалась. Положение не спасли бы и предложенные У В ВС альтернативно дизели АН-1, которых тоже пока не имелось. Пришлось пойти на уменьшение нормальной бомбовой нагрузки до 10 т и отказаться от широкого применения стали, предусмотренного в задании, но и это не помогло. Ничего не оставалось, как увеличивать площадь и так огромного крыла.</w:t>
      </w:r>
    </w:p>
    <w:p w14:paraId="0EDE2E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Восемь моторов разместили на передней кромке крыла и еще четыре - в двух тандемных установках сверху на фермах, но не над фюзеляжем, а над крылом. Размах крыла - 95 м, взлетный вес - около 70 т. Оперение выполнили трех- килевым - возможно, побоялись, что один огромный киль станет очень сложен в изготовлении и техническом обслуживании. Большой киль крепился к фюзеляжу, а два поменьше стояли на стабилизаторе примерно в трети размаха от него.</w:t>
      </w:r>
    </w:p>
    <w:p w14:paraId="7CAFC5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Туполев заложил в проект еще большую максимальную бомбовую нагрузку, чем предусматривалось заданием, - 25 ООО кг. В огромном бомбоотсеке могли подвешиваться бомбы калибром в одну и две тонны.</w:t>
      </w:r>
    </w:p>
    <w:p w14:paraId="7E3CB3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ходе проектирования в конструкцию, оборудование и вооружение самолета внесли много изменений, учитывая опыт создания ТБ-4, МГ и модернизации ТБ-3. Шасси в первоначальном виде имело огромные двухколесные теле- жки-тандем по типу ТБ-3, но без сдвига колес вбок. Оба колеса одной тележки шли по одной колее. Сбоку тележки за- крывалисыцитами, стойка тоже прикрывалась обтекателем. И хвостовое колесо тоже находилось в здоровенной алюминиевой капле. Позже самолет получил шасси по типу МГ с колесами, стоящими в тележках бок о бок. Вся стойка и верхняя часть колеса прикрывались длинным обтекателем, переходящим далее в огневую точку (нечто похожее сделали позже на ТБ-7 - Пе-8). Обтекатель хвостового колеса ликвидировали, посчитав бесполезным. И, наконец, попробовали ввести убирающееся, точнее, полуубирающееся шасси. Стойка складывалась на середине длины и ее нижняя часть поворачивалась на 90°, поднимая колеса в нишу огромного корыта обтекателя.</w:t>
      </w:r>
    </w:p>
    <w:p w14:paraId="79BD7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Меняли размеры и форму вертикального и горизонтального оперения. Руль направления то увеличивали по площади, то уменьшали. В последнем варианте средний киль вытянули вверх и сделали его законцовку округлой.</w:t>
      </w:r>
    </w:p>
    <w:p w14:paraId="754806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Модернизировали мотоустановки, стараясь сделать их более обтекаемыми. Несколько раз переделывали радиаторы, убранные в тоннели.</w:t>
      </w:r>
    </w:p>
    <w:p w14:paraId="6733A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все это несравнимо с вариациями вооружения гигантского бомбовоза. Как и у МГ, сначала упор делали на пушки РМ или "Эрликон" и пулеметы ДА, позднее вытесненные Ш КАС и Ш ВАК. В одном из первых вариантов проекта над фюзеляжем за крылом высилось сооружение, по форме подобное рубке подводной лодки, в котором располагалась одна из огневых точек. В носовой части монтировалась экранированная пушечная установка. Такую же одно время хотели разместить и в корме. Позже по типу ТБ-4 предусмотрели две открытые турели с пушками на фюзеляже и одну в корме. Огневые точки располагались и на крыльях. В отличие от проекта военного МГ их поместили не на верхнюю поверхность крыла, а выдвинули выступами из i задней и передней кромок. Установки на крыле были экранированными. Передних огневых точек во всех вариантах было две, а задних - то две, то четыре. В некоторых случаях предусматривались еще пулеметы, стреляющие из окон фюзеляжа.</w:t>
      </w:r>
    </w:p>
    <w:p w14:paraId="44EC06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Построили несколько макетов АНТ-26 для продувки в аэродинамической трубе, а затем большой макет-планер с размахом крыла 24 м (то есть примерно в четверть настоящего). Его испытывали в полете в мае 1935 г. на буксире за самолетом Р-5. Буксировал летчик В. В. Рябушкин, а пилотом планера являлся Н.П. Благин, тот, который позже врезался на И-5 в крыло "Максима Горького". В ЗОК ЦАГИ начали строить опытный образец самолета, но в том же 1935 г. прекратили, считая дальнейшую работу бесперспективной.</w:t>
      </w:r>
    </w:p>
    <w:p w14:paraId="2DBFF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Вместе с АНТ-26 канул в лету его военно-транспортный вариант АНТ-28, предназначенный для перевозки и десантирования тяжелой военной техники. Он отличался конструкцией средней части фюзеляжа и специальным оборудованием для разгрузки и погрузки. При необходимости он также мог быть использован как тяжелый бомбардировщик (12036).</w:t>
      </w:r>
    </w:p>
    <w:p w14:paraId="38277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8FEADC"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 среди заданий, выданных по постановле</w:t>
      </w:r>
      <w:r w:rsidRPr="00142305">
        <w:rPr>
          <w:rFonts w:ascii="Times New Roman" w:hAnsi="Times New Roman"/>
          <w:color w:val="0070C0"/>
          <w:sz w:val="16"/>
          <w:szCs w:val="16"/>
        </w:rPr>
        <w:softHyphen/>
        <w:t>нию Совета труда и обороны, фигурировал тяжелый бомбовоз ТБ-6 с шестью моторами М-44 (мощностью по 2000 л.с.). Он стоял и в плане опытного самолетостроения на 1933-34 годы. Самолет с этим обозначением встречался в подобных доку</w:t>
      </w:r>
      <w:r w:rsidRPr="00142305">
        <w:rPr>
          <w:rFonts w:ascii="Times New Roman" w:hAnsi="Times New Roman"/>
          <w:color w:val="0070C0"/>
          <w:sz w:val="16"/>
          <w:szCs w:val="16"/>
        </w:rPr>
        <w:softHyphen/>
        <w:t xml:space="preserve">ментах и ранее, но, судя по </w:t>
      </w:r>
      <w:r w:rsidRPr="00142305">
        <w:rPr>
          <w:rFonts w:ascii="Times New Roman" w:hAnsi="Times New Roman"/>
          <w:color w:val="0070C0"/>
          <w:sz w:val="16"/>
          <w:szCs w:val="16"/>
        </w:rPr>
        <w:lastRenderedPageBreak/>
        <w:t>записанным параметрам, речь шла о варианте ТБ-4 под четыре мотора М -35 или ФЭД. Теперь же сделали следующий шаг по «лестнице» огромных бомбовозов. От этой машины требовали максимальную скорость 250 км/ч и практический потолок в 7000 м. Максимальная бомбовая нагрузка устанавливалась в 22 000 кг, нормальная — 15 000 кг. Самолет должен был нести бомбы калибром до 2000 кг. Воо</w:t>
      </w:r>
      <w:r w:rsidRPr="00142305">
        <w:rPr>
          <w:rFonts w:ascii="Times New Roman" w:hAnsi="Times New Roman"/>
          <w:color w:val="0070C0"/>
          <w:sz w:val="16"/>
          <w:szCs w:val="16"/>
        </w:rPr>
        <w:softHyphen/>
        <w:t>ружение складывалось из четырех пушек и семи-девяти пуле</w:t>
      </w:r>
      <w:r w:rsidRPr="00142305">
        <w:rPr>
          <w:rFonts w:ascii="Times New Roman" w:hAnsi="Times New Roman"/>
          <w:color w:val="0070C0"/>
          <w:sz w:val="16"/>
          <w:szCs w:val="16"/>
        </w:rPr>
        <w:softHyphen/>
        <w:t>метов (включая три «тяжелых» - крупнокалиберных). Само</w:t>
      </w:r>
      <w:r w:rsidRPr="00142305">
        <w:rPr>
          <w:rFonts w:ascii="Times New Roman" w:hAnsi="Times New Roman"/>
          <w:color w:val="0070C0"/>
          <w:sz w:val="16"/>
          <w:szCs w:val="16"/>
        </w:rPr>
        <w:softHyphen/>
        <w:t>лет должен был иметь максимальную дальность до 4800 км, а с 15 т бомб — 3300 км. Машина была записана в категорию «экспериментальных» - то ли сомневались в ее необходимос</w:t>
      </w:r>
      <w:r w:rsidRPr="00142305">
        <w:rPr>
          <w:rFonts w:ascii="Times New Roman" w:hAnsi="Times New Roman"/>
          <w:color w:val="0070C0"/>
          <w:sz w:val="16"/>
          <w:szCs w:val="16"/>
        </w:rPr>
        <w:softHyphen/>
        <w:t>ти, то ли в возможности построить. Однако в плане значился срок сдачи опытного образца — 1 декабря 1935 г. (24977)</w:t>
      </w:r>
    </w:p>
    <w:p w14:paraId="6031CE24" w14:textId="77777777" w:rsidR="002A278B" w:rsidRPr="00142305" w:rsidRDefault="002A278B" w:rsidP="002A278B">
      <w:pPr>
        <w:spacing w:after="0" w:line="240" w:lineRule="auto"/>
        <w:jc w:val="both"/>
        <w:rPr>
          <w:rFonts w:ascii="Times New Roman" w:hAnsi="Times New Roman"/>
          <w:color w:val="0070C0"/>
          <w:sz w:val="16"/>
          <w:szCs w:val="16"/>
        </w:rPr>
      </w:pPr>
    </w:p>
    <w:p w14:paraId="7C5289C7"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на одном из трех само</w:t>
      </w:r>
      <w:r w:rsidRPr="00E93F40">
        <w:rPr>
          <w:rFonts w:ascii="Times New Roman" w:hAnsi="Times New Roman"/>
          <w:color w:val="000000" w:themeColor="text1"/>
          <w:sz w:val="16"/>
          <w:szCs w:val="16"/>
        </w:rPr>
        <w:softHyphen/>
        <w:t>летов АНТ-7 очистили центроплан крыла от надстроек, на другом — поставили пред</w:t>
      </w:r>
      <w:r w:rsidRPr="00E93F40">
        <w:rPr>
          <w:rFonts w:ascii="Times New Roman" w:hAnsi="Times New Roman"/>
          <w:color w:val="000000" w:themeColor="text1"/>
          <w:sz w:val="16"/>
          <w:szCs w:val="16"/>
        </w:rPr>
        <w:softHyphen/>
        <w:t>крылки между фюзеляжем и мотогондо</w:t>
      </w:r>
      <w:r w:rsidRPr="00E93F40">
        <w:rPr>
          <w:rFonts w:ascii="Times New Roman" w:hAnsi="Times New Roman"/>
          <w:color w:val="000000" w:themeColor="text1"/>
          <w:sz w:val="16"/>
          <w:szCs w:val="16"/>
        </w:rPr>
        <w:softHyphen/>
        <w:t>лами, а на третьем — профилированные неподвижные закрылки по всей задней кромке центроплана под углом 29 граду</w:t>
      </w:r>
      <w:r w:rsidRPr="00E93F40">
        <w:rPr>
          <w:rFonts w:ascii="Times New Roman" w:hAnsi="Times New Roman"/>
          <w:color w:val="000000" w:themeColor="text1"/>
          <w:sz w:val="16"/>
          <w:szCs w:val="16"/>
        </w:rPr>
        <w:softHyphen/>
        <w:t>сов. Как показали испытания, закрылки дали максимальный эффект. Несмотря на то что они «съедали» 7—8 км/ч скоро</w:t>
      </w:r>
      <w:r w:rsidRPr="00E93F40">
        <w:rPr>
          <w:rFonts w:ascii="Times New Roman" w:hAnsi="Times New Roman"/>
          <w:color w:val="000000" w:themeColor="text1"/>
          <w:sz w:val="16"/>
          <w:szCs w:val="16"/>
        </w:rPr>
        <w:softHyphen/>
        <w:t>сти, их установили на всех серийных са</w:t>
      </w:r>
      <w:r w:rsidRPr="00E93F40">
        <w:rPr>
          <w:rFonts w:ascii="Times New Roman" w:hAnsi="Times New Roman"/>
          <w:color w:val="000000" w:themeColor="text1"/>
          <w:sz w:val="16"/>
          <w:szCs w:val="16"/>
        </w:rPr>
        <w:softHyphen/>
        <w:t>молетах Р—6 и КР—6.</w:t>
      </w:r>
    </w:p>
    <w:p w14:paraId="057C9D6B"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решению УВВС головной самолет № 2201 надо было доработать и провести испытания для утверждения его в качестве эталона на 1932 г. (23474).</w:t>
      </w:r>
    </w:p>
    <w:p w14:paraId="18AFCABF" w14:textId="77777777" w:rsidR="008D371F" w:rsidRPr="00E93F40" w:rsidRDefault="008D371F" w:rsidP="00E93F40">
      <w:pPr>
        <w:spacing w:after="0" w:line="240" w:lineRule="auto"/>
        <w:jc w:val="both"/>
        <w:rPr>
          <w:rFonts w:ascii="Times New Roman" w:hAnsi="Times New Roman"/>
          <w:color w:val="000000" w:themeColor="text1"/>
          <w:sz w:val="16"/>
          <w:szCs w:val="16"/>
        </w:rPr>
      </w:pPr>
    </w:p>
    <w:p w14:paraId="5E0F6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были представлены техтребования к самолету Д1-10М34 (7415, 16).</w:t>
      </w:r>
    </w:p>
    <w:p w14:paraId="0F4758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98E04F"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Н.Н. Поликарпов отчитался о завершении формирования штатов подчиненного ему коллектива, но назвал его не бригадой, а группой, подчеркивая, что до конца все организационные вопросы не решены (23554).</w:t>
      </w:r>
    </w:p>
    <w:p w14:paraId="6EE21E3F" w14:textId="77777777" w:rsidR="008D371F" w:rsidRPr="00E93F40" w:rsidRDefault="008D371F" w:rsidP="00E93F40">
      <w:pPr>
        <w:spacing w:after="0" w:line="240" w:lineRule="auto"/>
        <w:jc w:val="both"/>
        <w:rPr>
          <w:rFonts w:ascii="Times New Roman" w:hAnsi="Times New Roman"/>
          <w:color w:val="000000" w:themeColor="text1"/>
          <w:sz w:val="16"/>
          <w:szCs w:val="16"/>
        </w:rPr>
      </w:pPr>
    </w:p>
    <w:p w14:paraId="3F2D929D" w14:textId="324782C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июля (167,20) 1932 Н.Н.П. считал, что он начал нормально работать в ЦКБ и, по</w:t>
      </w:r>
      <w:r w:rsidR="00775AEA">
        <w:rPr>
          <w:rFonts w:ascii="Times New Roman" w:hAnsi="Times New Roman"/>
          <w:color w:val="000000" w:themeColor="text1"/>
          <w:sz w:val="16"/>
          <w:szCs w:val="16"/>
        </w:rPr>
        <w:t>-</w:t>
      </w:r>
      <w:r w:rsidRPr="00E93F40">
        <w:rPr>
          <w:rFonts w:ascii="Times New Roman" w:hAnsi="Times New Roman"/>
          <w:color w:val="000000" w:themeColor="text1"/>
          <w:sz w:val="16"/>
          <w:szCs w:val="16"/>
        </w:rPr>
        <w:t>видимому, стал работать своей группой, которая в декабре 1932 стала бригадой.</w:t>
      </w:r>
    </w:p>
    <w:p w14:paraId="525E6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98A0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МБР-2 М-17 после заводских испытаний был сдан на гос. испытания (2314,22).</w:t>
      </w:r>
    </w:p>
    <w:p w14:paraId="7957E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46F8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июля 1932 в КОСОС ЦАГИ приступили к проектированию И-14, изготовлению моделей и постройке макета. Ви был Л.Н.Осипов (2869,23).</w:t>
      </w:r>
    </w:p>
    <w:p w14:paraId="09C64A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1C08F1"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приступили к работам по самолёту И-14, и вскоре ЦАГИ выдвинул идею установки на машину вместо двух пулемётов двух лёгких пушек ДРП. Предложение одобрил Я.И.Алкснис, но при условии принятия ЦАГИ обязательства выпустить сверх плана опытного строительства одноместный истребитель с мотором воздушного охлаждения, вооружённый лёгкими пулемётами. В ноябре макеты самолётов построили (15823).</w:t>
      </w:r>
    </w:p>
    <w:p w14:paraId="298FD128" w14:textId="77777777" w:rsidR="00E3479E" w:rsidRPr="00E93F40" w:rsidRDefault="00E3479E" w:rsidP="00E93F40">
      <w:pPr>
        <w:spacing w:after="0" w:line="240" w:lineRule="auto"/>
        <w:jc w:val="both"/>
        <w:rPr>
          <w:rFonts w:ascii="Times New Roman" w:hAnsi="Times New Roman"/>
          <w:color w:val="000000" w:themeColor="text1"/>
          <w:sz w:val="16"/>
          <w:szCs w:val="16"/>
        </w:rPr>
      </w:pPr>
    </w:p>
    <w:p w14:paraId="0D57A993" w14:textId="77777777" w:rsidR="00EA580C" w:rsidRPr="00E93F40" w:rsidRDefault="00EA580C"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В июле 1932 бригада П. О. Сухого приступила к предварительным изысканиям по проекту ДИП 2М-34 (19175).</w:t>
      </w:r>
    </w:p>
    <w:p w14:paraId="77112F29" w14:textId="77777777" w:rsidR="00EA580C" w:rsidRPr="00E93F40" w:rsidRDefault="00EA580C" w:rsidP="00E93F40">
      <w:pPr>
        <w:pStyle w:val="ae"/>
        <w:shd w:val="clear" w:color="auto" w:fill="FFFFFF"/>
        <w:spacing w:before="0" w:after="0"/>
        <w:jc w:val="both"/>
        <w:textAlignment w:val="baseline"/>
        <w:rPr>
          <w:color w:val="000000" w:themeColor="text1"/>
          <w:sz w:val="16"/>
          <w:szCs w:val="16"/>
        </w:rPr>
      </w:pPr>
    </w:p>
    <w:p w14:paraId="694B3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бригада во главе с Л.Осиповым начала проектирование и строительство макета И-14 (АНТ-31) (1454,24).</w:t>
      </w:r>
    </w:p>
    <w:p w14:paraId="04CB1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B34C19" w14:textId="77777777" w:rsidR="00EA580C" w:rsidRPr="00E93F40" w:rsidRDefault="00EA580C"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В июле 1932 года приступили к работам по самолету И-14, и через некоторое время ЦАГИ выдвинул идею установки на машину вместо двух пулеметов двух легких пушек ДРП. Предложение было одобрено начальником ВВС РККА, но при условии принятия ЦАГИ обязательства выпустить сверх плана опытного строительства одноместный истребитель с мотором воздушного охлаждения, вооруженный легкими пулеметами. В ноябре макеты самолетов были построены (19177).</w:t>
      </w:r>
    </w:p>
    <w:p w14:paraId="627B4F72" w14:textId="77777777" w:rsidR="00EA580C" w:rsidRPr="00E93F40" w:rsidRDefault="00EA580C" w:rsidP="00E93F40">
      <w:pPr>
        <w:pStyle w:val="ae"/>
        <w:shd w:val="clear" w:color="auto" w:fill="FFFFFF"/>
        <w:spacing w:before="0" w:after="0"/>
        <w:jc w:val="both"/>
        <w:textAlignment w:val="baseline"/>
        <w:rPr>
          <w:color w:val="000000" w:themeColor="text1"/>
          <w:sz w:val="16"/>
          <w:szCs w:val="16"/>
        </w:rPr>
      </w:pPr>
    </w:p>
    <w:p w14:paraId="2FA3A5B3" w14:textId="77777777" w:rsidR="00EA580C" w:rsidRPr="00E93F40" w:rsidRDefault="00EA580C"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В июле 1932 г. ЦАГИ получил заказ на проектирование серийного варианта переоборудования ТБ-1 и И-4. Речь шла именно о переоборудовании, а не о постройке новых самолетов, поскольку производство обоих типов к тому времени уже прекратили. В ноябре 1932 г. Управление ВВС запланировало сформировать в Забайкалье эскадрилью «звеньев» из шести носителей и 12 истребителей И-4. Но вскоре войсковые испытания решили перенести в Ленинградский военный округ, где в 3-й авиабригаде готовили эскадрилью с тем же штатом. Бомбардировщики брали из состава бригады, а истребители - из Воздушных сил Балтийского моря. Переделку намеревались осуществлять в Ленинграде (19100).</w:t>
      </w:r>
    </w:p>
    <w:p w14:paraId="3418A356" w14:textId="77777777" w:rsidR="00EA580C" w:rsidRPr="00E93F40" w:rsidRDefault="00EA580C" w:rsidP="00E93F40">
      <w:pPr>
        <w:pStyle w:val="a8"/>
        <w:jc w:val="both"/>
        <w:rPr>
          <w:rFonts w:ascii="Times New Roman" w:hAnsi="Times New Roman" w:cs="Times New Roman"/>
          <w:color w:val="000000" w:themeColor="text1"/>
        </w:rPr>
      </w:pPr>
    </w:p>
    <w:p w14:paraId="303EF5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проводили испытания по устранению бафтинга на АНТ-7 (Р-6) на малых скоростях в соответствии с совместным планом работ ЦАГИ, НИИ ВВС и завода 22, разработанном и утвержденным в декабре 1931. На одной из машин убрали все выступающие детали на центроплане, на втором - смонтировали предкрылки, на третьем - закрылки. закрылки - оказались самой эффективной мерой. Потом стали ставить на последних машинах 22 завода и всех 31 завода (2671,16).</w:t>
      </w:r>
    </w:p>
    <w:p w14:paraId="7A6B9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BA9F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июля 1932 велось проектирование АНТ-33 (пассажирский экспресс с подкосами) (514).</w:t>
      </w:r>
    </w:p>
    <w:p w14:paraId="6E8EE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251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на одном из трех Р-6, выбранных для исследований, очистили центроплан от надстроек, на другом - поставили предкрылки между фюзеляжем и мотогондолами, а на третьем установили профилированные неподвижные закрылки по задней кромки центроплана. Закрылки оказались наиболее перспективными и их стали ставить на серийные машины, а машина N 2201 стала эталоном (346,35).</w:t>
      </w:r>
    </w:p>
    <w:p w14:paraId="36060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7142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июля 1932 г. началась постройка макета, изготовление моделей и опытные работы по И-14 (12037).</w:t>
      </w:r>
    </w:p>
    <w:p w14:paraId="34089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433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Считается, что в июле 1932 С.В.И. предложил Н.Н.П. разработать проект истребителя-полутороплана И-14а с двигателем воздушного охлаждения (228,85).</w:t>
      </w:r>
    </w:p>
    <w:p w14:paraId="326B36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1E3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по настоянию С.В.Ильюшина Н.Н.Поликарпов был назначен заместителем П.О.Сухого - начальника истребительной бригады № 3, коллектив которой создавал первый скоростной моноплан-истребитель И-14 (АНТ-31) с убирающимся шасси. Н.Н.Поликарпов высказал ряд замечаний по проекту И-14, касающиеся применения гофрированной обшивки и неперспективного зарубежного двигателя, но понимания со стороны автора проекта, начальника КОСОС А.Н.Туполева не встретил. Свои соображения Поликарпов изложил в докладной записке на имя Ильюшина, который предложил ему проработать проекты альтернативных И-14 истребителей в вариантах моноплана и по-лутораплана. Разработку истребителя-полутораплана с неубирающимся шасси С.В.Ильюшин посчитал более важной и приоритетной темой, так как в то время был определенный технический риск в создании для И-14 убирающегося шасси с ручным приводом от летчика. Это предложение Ильюшина поддержал и Сухой, предоставивший своему заместителю возможность вести исследования компоновок перспективных истребителей с различными типами двигателей воздушного и жидкостного охлаждения. Именно тогда, летом 1932 г., на чертежной доске Н.Н.Поликарпова появились первые эскизы общих видов истребителя-полутораплана И-14а, который в декабре получил обозначение И-15, а также истребителя-моноплана И-16 с убирающимся шасси. По указанию С.В.Ильюшина группа конструкторов, работавшая над проектом самолета И-15, была собрана в отдельную конструкторскую бригаду (9528).</w:t>
      </w:r>
    </w:p>
    <w:p w14:paraId="5F932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80D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С.В.И. для подстраховки предложил Н.Н.Поликарпову разработать проект истребителя-полутораплана И-14а с двигателем воздушного охлаждения (10667).</w:t>
      </w:r>
    </w:p>
    <w:p w14:paraId="2CD7E1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04B00B"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 Ильюшину предложил Н. Н. Поликарпову разработать проект истребителя-полутораплана И-14а с двигателем воздушного охлаждения.</w:t>
      </w:r>
    </w:p>
    <w:p w14:paraId="0EE271B6"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тому времени Николай Николаевич Поликарпов провел исследования по перспективам развития истребителей, двигателей. Именно тогда на его рабочем столе появились первые расчеты и прорисовки будущих истребителей И-15, И-16, И-17. Свой анализ проблемы он оформил в виде докладной записки и направил ее руководству ЦКБ. В ней Поликарпов изложил предложения по истребителям нового поколения. Поскольку из-за отсутствия опыта и недостаточно высокой культуры производства создание новых отечественных авиамоторов затягивалось на неопределенный срок, то Николай Николаевич рекомендовал использовать двигатели «Циклон» F-3 и F-5 фирмы «Райт».</w:t>
      </w:r>
    </w:p>
    <w:p w14:paraId="2031132F" w14:textId="77777777" w:rsidR="002A278B" w:rsidRPr="00142305" w:rsidRDefault="002A278B" w:rsidP="002A27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В. Ильюшин оказался в трудном положении. Ввиду сложных отношений с руководством ЦАГИ, с А. Н. Туполевым, даже небольшой промах грозил обернуться для него крупной неприятностью или репрессией. Конструкция самолета И-14 П. О. Сухого содержала ряд технических новшеств (убираемое шасси, динамореактивные пушки и т. д.). Существовали опасения, что его доводка может затянуться. В этих условиях был крайне необходим гарантированный результат (25035).</w:t>
      </w:r>
    </w:p>
    <w:p w14:paraId="15B9B12B" w14:textId="77777777" w:rsidR="002A278B" w:rsidRPr="00142305" w:rsidRDefault="002A278B" w:rsidP="002A278B">
      <w:pPr>
        <w:spacing w:after="0" w:line="240" w:lineRule="auto"/>
        <w:jc w:val="both"/>
        <w:rPr>
          <w:rFonts w:ascii="Times New Roman" w:hAnsi="Times New Roman"/>
          <w:color w:val="0070C0"/>
          <w:sz w:val="16"/>
          <w:szCs w:val="16"/>
        </w:rPr>
      </w:pPr>
    </w:p>
    <w:p w14:paraId="70E189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года в приложении к письму N 55с был приложен Отчет</w:t>
      </w:r>
    </w:p>
    <w:p w14:paraId="1772AA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 испытании шасси самолета И5 М22</w:t>
      </w:r>
    </w:p>
    <w:p w14:paraId="25028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испытаниях сделано 36 посадок 9 летчиками НИИ и завода N 1.</w:t>
      </w:r>
    </w:p>
    <w:p w14:paraId="6CF46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77DEBE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Считать необходимым переделать все шасси на построенных самолетах И5 в частях ВВС. (3064,221-225).</w:t>
      </w:r>
    </w:p>
    <w:p w14:paraId="373FB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0606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был закончен проект РД, хотя постройка началась еще в июне (932,4).</w:t>
      </w:r>
    </w:p>
    <w:p w14:paraId="39386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339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конструктивная разработка РД в основном закончилась, а 1 июня завод опытных конструкций ЦАГИ (30К ЦАГИ), вступивший в строй в январе 1932 г., приступил к его изготовлению.</w:t>
      </w:r>
    </w:p>
    <w:p w14:paraId="0A97B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РД представлял собой цельнометаллический моноплан со значительным размахом (34.0 м) и удлинением крыла (13,4). Конструктивно крыло состояло из двух силовых лонжеронов, воспринимающих основную нагрузку, и третьего добавочного лонжерона, на котором крепились узлы навески элеронов. Обшивка крыла, как и на всех предыдущих самолетах ЦАГИ, была выполнена из гофрированного дюралюминия, с выступающими наружу полками нервюр. Бен зиновые баки общей емкостью 10230 литров разместили в пространстве между 1-м и 2-м лонжеронами отъемной части крыла.</w:t>
      </w:r>
    </w:p>
    <w:p w14:paraId="78C6B0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Отъемная часть крыла в процессе сборки первого экземпляра РД-1. В пространстве между первым и вторым лонжеронами виден крыльевой топливный бак и часть купола для уборки колеса</w:t>
      </w:r>
    </w:p>
    <w:p w14:paraId="797946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 при общей длине самолета 13,4 м, состоял из двух частей. Его передняя часть, выполненная заодно с центропланом, представляла ферменную конструкцию из труб и профилей. Задняя часть фюзеляжа - монокок овального сечения с гладкой дюралевой обшивкой.Горизонтальное оперение, высоко поднятое над фюзеляжем, как и крыло, имело гофрированную обшивку, рули снабжены аэродинамической компенсацией и флеттнерами.</w:t>
      </w:r>
    </w:p>
    <w:p w14:paraId="3C9050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оборудовали убираемым шасси, спаренные колеса которого размером 900x250 мм наполовину прятались в центроплан, а выступающая часть прикрывалась специальным обтекателем. Третью опору шасси в хвостовой части первоначально выполнили в виде мощ ного подрессоренного костыля с пяткой. На практике вместо костыля оборудовали полубаллонное колесо размером 325x200 мм в обтекателе.</w:t>
      </w:r>
    </w:p>
    <w:p w14:paraId="075C6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Стабилизатор, обшитый гофрированными листами, закреплен на узлах вертикального оперения</w:t>
      </w:r>
    </w:p>
    <w:p w14:paraId="001FD5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3C1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в ЦАГИ поступила серийная машина ТБ-3 с завода для установки М-34 (2314,22).</w:t>
      </w:r>
    </w:p>
    <w:p w14:paraId="7D0DD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6FEE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в ХАЗОС началась постройка К-7, которая закончилась к августу 1933 (2287,131).</w:t>
      </w:r>
    </w:p>
    <w:p w14:paraId="4CC00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2F0B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появился приказ Нач. ГУ ГВФ А.Гольцман о премировании А.С.Я.: “Молодой конструктор т. Яковлев сконструировал и построил ряд легких гражданских самолетов, показавших прекрасные летные качества. Особенно обращает на себя внимание 4-х местный пассажирский самолет АИР-5, который в опытной эксплуатации оказался вполне подходящим для серийного производства.</w:t>
      </w:r>
    </w:p>
    <w:p w14:paraId="10D18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Отмечая настойчивую и продолжительную работу т Яковлева в течение ряда лет, приведшую к усилению ГА несколькими типами прекрасных легких самолетов, объявляю конструктору благодарность и приказываю выдать т. Яковлеву из сумм ГУ ГВФ премию в 1500 руб.” (3971,6).</w:t>
      </w:r>
    </w:p>
    <w:p w14:paraId="50B39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DABE2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года, когда ВВС докладывал в КО план опытного строительства по самолетам и моторам, ВВС особо резко был заострен вопрос об отставании наших истребителей по своим боевым летно-тактическим данным (скорости, скороподъемности, потолкам) от вероятных противников. В результате этого КО утвердило план опытного строительства (см. постановление от 4 июля 1932 года), причем в своем постановлении особо подчеркнуло, что первоочередной задачей при осуществлении плана опытного самолетостроения считать "создание типов вполне современных истребителей одноместных. Двухместных и многоместных" (7439, 14).</w:t>
      </w:r>
    </w:p>
    <w:p w14:paraId="03BE4C5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1A90552" w14:textId="77777777" w:rsidR="004A58FD" w:rsidRPr="00142305" w:rsidRDefault="004A58FD" w:rsidP="004A58FD">
      <w:pPr>
        <w:widowControl w:val="0"/>
        <w:tabs>
          <w:tab w:val="left" w:pos="481"/>
        </w:tabs>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июле 1932 года, ВВС до</w:t>
      </w:r>
      <w:r w:rsidRPr="00142305">
        <w:rPr>
          <w:rStyle w:val="aff"/>
          <w:rFonts w:ascii="Times New Roman" w:hAnsi="Times New Roman" w:cs="Times New Roman"/>
          <w:color w:val="0070C0"/>
          <w:spacing w:val="0"/>
          <w:sz w:val="16"/>
          <w:szCs w:val="16"/>
        </w:rPr>
        <w:softHyphen/>
        <w:t>кладывали и в КО план опытного строитель</w:t>
      </w:r>
      <w:r w:rsidRPr="00142305">
        <w:rPr>
          <w:rStyle w:val="aff"/>
          <w:rFonts w:ascii="Times New Roman" w:hAnsi="Times New Roman" w:cs="Times New Roman"/>
          <w:color w:val="0070C0"/>
          <w:spacing w:val="0"/>
          <w:sz w:val="16"/>
          <w:szCs w:val="16"/>
        </w:rPr>
        <w:softHyphen/>
        <w:t>ства по самолетам и моторам, особо резко был заострен вопрос об отставании наших истребителей по своим боевым летно</w:t>
      </w:r>
      <w:r w:rsidRPr="00142305">
        <w:rPr>
          <w:rStyle w:val="aff"/>
          <w:rFonts w:ascii="Times New Roman" w:hAnsi="Times New Roman" w:cs="Times New Roman"/>
          <w:color w:val="0070C0"/>
          <w:spacing w:val="0"/>
          <w:sz w:val="16"/>
          <w:szCs w:val="16"/>
        </w:rPr>
        <w:softHyphen/>
        <w:t>тактическим данным (скорости, скороподъ</w:t>
      </w:r>
      <w:r w:rsidRPr="00142305">
        <w:rPr>
          <w:rStyle w:val="aff"/>
          <w:rFonts w:ascii="Times New Roman" w:hAnsi="Times New Roman" w:cs="Times New Roman"/>
          <w:color w:val="0070C0"/>
          <w:spacing w:val="0"/>
          <w:sz w:val="16"/>
          <w:szCs w:val="16"/>
        </w:rPr>
        <w:softHyphen/>
        <w:t>емности, потолкам) от вероятных против</w:t>
      </w:r>
      <w:r w:rsidRPr="00142305">
        <w:rPr>
          <w:rStyle w:val="aff"/>
          <w:rFonts w:ascii="Times New Roman" w:hAnsi="Times New Roman" w:cs="Times New Roman"/>
          <w:color w:val="0070C0"/>
          <w:spacing w:val="0"/>
          <w:sz w:val="16"/>
          <w:szCs w:val="16"/>
        </w:rPr>
        <w:softHyphen/>
        <w:t>ников (25519).</w:t>
      </w:r>
    </w:p>
    <w:p w14:paraId="2C3DFD65" w14:textId="77777777" w:rsidR="004A58FD" w:rsidRPr="00142305" w:rsidRDefault="004A58FD" w:rsidP="004A58FD">
      <w:pPr>
        <w:widowControl w:val="0"/>
        <w:tabs>
          <w:tab w:val="left" w:pos="481"/>
        </w:tabs>
        <w:spacing w:after="0" w:line="240" w:lineRule="auto"/>
        <w:jc w:val="both"/>
        <w:rPr>
          <w:rFonts w:ascii="Times New Roman" w:hAnsi="Times New Roman"/>
          <w:color w:val="0070C0"/>
          <w:sz w:val="16"/>
          <w:szCs w:val="16"/>
        </w:rPr>
      </w:pPr>
    </w:p>
    <w:p w14:paraId="368476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E93F40">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E93F40">
        <w:rPr>
          <w:rFonts w:ascii="Times New Roman" w:hAnsi="Times New Roman"/>
          <w:color w:val="000000" w:themeColor="text1"/>
          <w:sz w:val="16"/>
          <w:szCs w:val="16"/>
        </w:rPr>
        <w:softHyphen/>
        <w:t>кратно пытались восстановить вплоть до 1946 г., но этому мешала боль</w:t>
      </w:r>
      <w:r w:rsidRPr="00E93F40">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E93F40">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E93F40">
        <w:rPr>
          <w:rFonts w:ascii="Times New Roman" w:hAnsi="Times New Roman"/>
          <w:color w:val="000000" w:themeColor="text1"/>
          <w:sz w:val="16"/>
          <w:szCs w:val="16"/>
        </w:rPr>
        <w:softHyphen/>
        <w:t>катерах.</w:t>
      </w:r>
    </w:p>
    <w:p w14:paraId="12BC7F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6485B5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12-цилиндровый, рядный У-образный, четырехтактный, водяного охлаждения;</w:t>
      </w:r>
    </w:p>
    <w:p w14:paraId="788214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и вес в зависимости от модификации;</w:t>
      </w:r>
    </w:p>
    <w:p w14:paraId="316A41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6,0 (у всех массовых модификаций);</w:t>
      </w:r>
    </w:p>
    <w:p w14:paraId="5463D2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148C17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полный рабочий объем у ранних модификаций 45,82 л, начиная с</w:t>
      </w:r>
    </w:p>
    <w:p w14:paraId="5D5D59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ФРН — 46,66 л. М-34 выпускался в следующих модификациях:</w:t>
      </w:r>
    </w:p>
    <w:p w14:paraId="61327B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E93F40">
        <w:rPr>
          <w:rFonts w:ascii="Times New Roman" w:hAnsi="Times New Roman"/>
          <w:color w:val="000000" w:themeColor="text1"/>
          <w:sz w:val="16"/>
          <w:szCs w:val="16"/>
        </w:rPr>
        <w:softHyphen/>
        <w:t>фикация выпускалась до конца 1939 г.</w:t>
      </w:r>
    </w:p>
    <w:p w14:paraId="68B3C0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52EEE7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 малая серия М-34 с форсированием по оборотам без вне</w:t>
      </w:r>
      <w:r w:rsidRPr="00E93F40">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32397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М-34Р. редукторный вариант, вес 677 кг, 750/800 л.с. Опытный об</w:t>
      </w:r>
      <w:r w:rsidRPr="00E93F40">
        <w:rPr>
          <w:rFonts w:ascii="Times New Roman" w:hAnsi="Times New Roman"/>
          <w:color w:val="000000" w:themeColor="text1"/>
          <w:sz w:val="16"/>
          <w:szCs w:val="16"/>
        </w:rPr>
        <w:softHyphen/>
        <w:t>разец сделали в ноябре 1932 г. Государственные испытания успешно</w:t>
      </w:r>
    </w:p>
    <w:p w14:paraId="61F859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0F89CB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М-34РД (он же М-34РСп), двигатель типа М-34Р специального за</w:t>
      </w:r>
      <w:r w:rsidRPr="00E93F40">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E93F40">
        <w:rPr>
          <w:rFonts w:ascii="Times New Roman" w:hAnsi="Times New Roman"/>
          <w:color w:val="000000" w:themeColor="text1"/>
          <w:sz w:val="16"/>
          <w:szCs w:val="16"/>
        </w:rPr>
        <w:softHyphen/>
        <w:t>ляными и водяными насосами, распредвалами, конструкцией хво</w:t>
      </w:r>
      <w:r w:rsidRPr="00E93F40">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E93F40">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E93F40">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E93F40">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E93F40">
        <w:rPr>
          <w:rFonts w:ascii="Times New Roman" w:hAnsi="Times New Roman"/>
          <w:color w:val="000000" w:themeColor="text1"/>
          <w:sz w:val="16"/>
          <w:szCs w:val="16"/>
        </w:rPr>
        <w:softHyphen/>
        <w:t>дарств.</w:t>
      </w:r>
    </w:p>
    <w:p w14:paraId="345307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E93F40">
        <w:rPr>
          <w:rFonts w:ascii="Times New Roman" w:hAnsi="Times New Roman"/>
          <w:color w:val="000000" w:themeColor="text1"/>
          <w:sz w:val="16"/>
          <w:szCs w:val="16"/>
        </w:rPr>
        <w:softHyphen/>
        <w:t>рованный П.И. Орловым, А.А. Микулиным и А.Н. Данилевским, ока</w:t>
      </w:r>
      <w:r w:rsidRPr="00E93F40">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E93F40">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704C64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М-34Н с паротурбинным нагнетателем ПТК; нагнетатель ПТК спро</w:t>
      </w:r>
      <w:r w:rsidRPr="00E93F40">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3DAAE8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М-34Н с нагнетателем</w:t>
      </w:r>
    </w:p>
    <w:p w14:paraId="60AE5E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E93F40">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1C7E03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М-34РНА, редукторный с ПЦН, включал все мелкие усовер</w:t>
      </w:r>
      <w:r w:rsidRPr="00E93F40">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294D6A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E93F40">
        <w:rPr>
          <w:rFonts w:ascii="Times New Roman" w:hAnsi="Times New Roman"/>
          <w:color w:val="000000" w:themeColor="text1"/>
          <w:sz w:val="16"/>
          <w:szCs w:val="16"/>
        </w:rPr>
        <w:softHyphen/>
        <w:t>танным ПЦН, 750/820 л.с., вес 638 кг.</w:t>
      </w:r>
    </w:p>
    <w:p w14:paraId="19F61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E93F40">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E93F40">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E93F40">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E93F40">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E93F40">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E93F40">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E93F40">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E93F40">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E93F40">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E93F40">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1045CC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 для привода агрегата центрального наддува АЦН-1, сконструи</w:t>
      </w:r>
      <w:r w:rsidRPr="00E93F40">
        <w:rPr>
          <w:rFonts w:ascii="Times New Roman" w:hAnsi="Times New Roman"/>
          <w:color w:val="000000" w:themeColor="text1"/>
          <w:sz w:val="16"/>
          <w:szCs w:val="16"/>
        </w:rPr>
        <w:softHyphen/>
        <w:t>рованного под руководством С.А. Трескина в 1935 г. Проходил лет</w:t>
      </w:r>
      <w:r w:rsidRPr="00E93F40">
        <w:rPr>
          <w:rFonts w:ascii="Times New Roman" w:hAnsi="Times New Roman"/>
          <w:color w:val="000000" w:themeColor="text1"/>
          <w:sz w:val="16"/>
          <w:szCs w:val="16"/>
        </w:rPr>
        <w:softHyphen/>
        <w:t>ные испытания на ТБ-3.</w:t>
      </w:r>
    </w:p>
    <w:p w14:paraId="60C0C2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E93F40">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E93F40">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5DE12C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М-34ФРНУ, проект форсированного до 900 л.с. М-34РН с удлинен</w:t>
      </w:r>
      <w:r w:rsidRPr="00E93F40">
        <w:rPr>
          <w:rFonts w:ascii="Times New Roman" w:hAnsi="Times New Roman"/>
          <w:color w:val="000000" w:themeColor="text1"/>
          <w:sz w:val="16"/>
          <w:szCs w:val="16"/>
        </w:rPr>
        <w:softHyphen/>
        <w:t>ным валом, 1933 г.</w:t>
      </w:r>
    </w:p>
    <w:p w14:paraId="227A40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М-34ФРНА, массовая серия на базе типа ФРН с четырьмя карбюра</w:t>
      </w:r>
      <w:r w:rsidRPr="00E93F40">
        <w:rPr>
          <w:rFonts w:ascii="Times New Roman" w:hAnsi="Times New Roman"/>
          <w:color w:val="000000" w:themeColor="text1"/>
          <w:sz w:val="16"/>
          <w:szCs w:val="16"/>
        </w:rPr>
        <w:softHyphen/>
        <w:t>торами.</w:t>
      </w:r>
    </w:p>
    <w:p w14:paraId="471225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М-34ФРНБ, массовая серия на базе типа ФРН с шестью карбюрато</w:t>
      </w:r>
      <w:r w:rsidRPr="00E93F40">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E93F40">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E93F40">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E93F40">
        <w:rPr>
          <w:rFonts w:ascii="Times New Roman" w:hAnsi="Times New Roman"/>
          <w:color w:val="000000" w:themeColor="text1"/>
          <w:sz w:val="16"/>
          <w:szCs w:val="16"/>
        </w:rPr>
        <w:softHyphen/>
        <w:t>тирован с тремя вариантами редуктора и двумя типами ПЦН. Впер</w:t>
      </w:r>
      <w:r w:rsidRPr="00E93F40">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1E3FB6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E93F40">
        <w:rPr>
          <w:rFonts w:ascii="Times New Roman" w:hAnsi="Times New Roman"/>
          <w:color w:val="000000" w:themeColor="text1"/>
          <w:sz w:val="16"/>
          <w:szCs w:val="16"/>
        </w:rPr>
        <w:softHyphen/>
        <w:t>тов, удлиненный носок редуктора, усиленный коленвал с измененной схе</w:t>
      </w:r>
      <w:r w:rsidRPr="00E93F40">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0D3FC4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М-34НФ, опытный вариант с блоками от модификации ФРНВ, допол</w:t>
      </w:r>
      <w:r w:rsidRPr="00E93F40">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62659A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М-34ФРНВ-ТК, вариант предыдущего типа. Имел два турбонагнетате</w:t>
      </w:r>
      <w:r w:rsidRPr="00E93F40">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6EEC36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М-34ФРГН, подробности неизвестны.</w:t>
      </w:r>
    </w:p>
    <w:p w14:paraId="7701AF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М-34РБ, в 1938-1939 гг. переделывались из М-34РНБ путем демон</w:t>
      </w:r>
      <w:r w:rsidRPr="00E93F40">
        <w:rPr>
          <w:rFonts w:ascii="Times New Roman" w:hAnsi="Times New Roman"/>
          <w:color w:val="000000" w:themeColor="text1"/>
          <w:sz w:val="16"/>
          <w:szCs w:val="16"/>
        </w:rPr>
        <w:softHyphen/>
        <w:t>тажа ПЦН для повышения надежности и увеличения реечрса.</w:t>
      </w:r>
    </w:p>
    <w:p w14:paraId="16C30F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М-34РБ</w:t>
      </w:r>
    </w:p>
    <w:p w14:paraId="5426AC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Катерный мотор ГМ-34 (ГАМ-34)</w:t>
      </w:r>
    </w:p>
    <w:p w14:paraId="6AAD53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 двигатель для торпедных катеров с реверс-редуктором, муф</w:t>
      </w:r>
      <w:r w:rsidRPr="00E93F40">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166658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пару опытных двигателей установили на торпед</w:t>
      </w:r>
      <w:r w:rsidRPr="00E93F40">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6F65147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13CF83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E93F40">
        <w:rPr>
          <w:rFonts w:ascii="Times New Roman" w:hAnsi="Times New Roman"/>
          <w:color w:val="000000" w:themeColor="text1"/>
          <w:sz w:val="16"/>
          <w:szCs w:val="16"/>
        </w:rPr>
        <w:softHyphen/>
        <w:t>ность 1200 л.с., вес 1110 кг. Работал на бензин-спиртовой смеси. Се</w:t>
      </w:r>
      <w:r w:rsidRPr="00E93F40">
        <w:rPr>
          <w:rFonts w:ascii="Times New Roman" w:hAnsi="Times New Roman"/>
          <w:color w:val="000000" w:themeColor="text1"/>
          <w:sz w:val="16"/>
          <w:szCs w:val="16"/>
        </w:rPr>
        <w:softHyphen/>
        <w:t>рийно выпускался с августа 1939 г.</w:t>
      </w:r>
    </w:p>
    <w:p w14:paraId="1AF5D1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63840D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5BF67B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ГМ-34БТ. вариант для танков на базе катерного с измененной си</w:t>
      </w:r>
      <w:r w:rsidRPr="00E93F40">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9F74E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E93F40">
        <w:rPr>
          <w:rFonts w:ascii="Times New Roman" w:hAnsi="Times New Roman"/>
          <w:color w:val="000000" w:themeColor="text1"/>
          <w:sz w:val="16"/>
          <w:szCs w:val="16"/>
        </w:rPr>
        <w:softHyphen/>
        <w:t>строен), К-13, МК-1, «Сталь-МАИ», МИ-3. Их применение также предусма</w:t>
      </w:r>
      <w:r w:rsidRPr="00E93F40">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E93F40">
        <w:rPr>
          <w:rFonts w:ascii="Times New Roman" w:hAnsi="Times New Roman"/>
          <w:color w:val="000000" w:themeColor="text1"/>
          <w:sz w:val="16"/>
          <w:szCs w:val="16"/>
        </w:rPr>
        <w:softHyphen/>
        <w:t>ского на гусеничном ходу (на базе ТШ-2), танка-вертолета Камова.</w:t>
      </w:r>
    </w:p>
    <w:p w14:paraId="3F78EF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D8ED1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B0FBF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3D29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на заводе № 24 была изготовлена опытная серия М-34Р и в мае 1933 она прошла госиспытания, с конца 1933 М-34Р выпускались в серии и с апреля 1934 стали ставиться на ТБ-3 (9086).</w:t>
      </w:r>
    </w:p>
    <w:p w14:paraId="237C8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813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М-34Р был изготовлен опытной серией. В мае следующего года она прошла государственные испытания, а с конца года выпускалась серийно, но только в апреле 1934 г. из цехов начали выходить первые вполне годные моторы (12036).</w:t>
      </w:r>
    </w:p>
    <w:p w14:paraId="03A5C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E8356D" w14:textId="77777777" w:rsidR="004A58FD" w:rsidRPr="00142305" w:rsidRDefault="004A58FD" w:rsidP="004A58F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 опытной серией была изготовлена модификация микулинского дви</w:t>
      </w:r>
      <w:r w:rsidRPr="00142305">
        <w:rPr>
          <w:rFonts w:ascii="Times New Roman" w:hAnsi="Times New Roman"/>
          <w:color w:val="0070C0"/>
          <w:sz w:val="16"/>
          <w:szCs w:val="16"/>
        </w:rPr>
        <w:softHyphen/>
        <w:t>гателя - редукторных М-34Р. Эта В мае следующего года она прошла государственные испыта</w:t>
      </w:r>
      <w:r w:rsidRPr="00142305">
        <w:rPr>
          <w:rFonts w:ascii="Times New Roman" w:hAnsi="Times New Roman"/>
          <w:color w:val="0070C0"/>
          <w:sz w:val="16"/>
          <w:szCs w:val="16"/>
        </w:rPr>
        <w:softHyphen/>
        <w:t>ния, а с конца года выпускалась серийно, но только в апре</w:t>
      </w:r>
      <w:r w:rsidRPr="00142305">
        <w:rPr>
          <w:rFonts w:ascii="Times New Roman" w:hAnsi="Times New Roman"/>
          <w:color w:val="0070C0"/>
          <w:sz w:val="16"/>
          <w:szCs w:val="16"/>
        </w:rPr>
        <w:softHyphen/>
        <w:t>ле 1934 г. из цехов начали выходить первые вполне годные моторы (24977).</w:t>
      </w:r>
    </w:p>
    <w:p w14:paraId="22568FC2" w14:textId="77777777" w:rsidR="004A58FD" w:rsidRPr="00142305" w:rsidRDefault="004A58FD" w:rsidP="004A58FD">
      <w:pPr>
        <w:spacing w:after="0" w:line="240" w:lineRule="auto"/>
        <w:jc w:val="both"/>
        <w:rPr>
          <w:rFonts w:ascii="Times New Roman" w:hAnsi="Times New Roman"/>
          <w:color w:val="0070C0"/>
          <w:sz w:val="16"/>
          <w:szCs w:val="16"/>
        </w:rPr>
      </w:pPr>
    </w:p>
    <w:p w14:paraId="6DD5D460" w14:textId="77777777" w:rsidR="004A58FD" w:rsidRPr="00142305" w:rsidRDefault="004A58FD" w:rsidP="004A58F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 было построено 9 редукторных двигателей М-34 для доводки и испытаний. 5 мая 1933 г. двигатель М-34Р прошел государственные испытания [46]. Редуктор (рис.3.41; 3.43) состоит из пары цилиндрических шестерен, одна из которых укреплена на носке коленчатого вала. Другая, ведомая, сидит на вале винта, ось которого смещена по отношению к оси двигателя. Обод ведомой шестерни передает усилия через систему пружин для уменьшения ударной нагрузки на зубья шестерен.</w:t>
      </w:r>
    </w:p>
    <w:p w14:paraId="3F414AFB" w14:textId="77777777" w:rsidR="004A58FD" w:rsidRPr="00142305" w:rsidRDefault="004A58FD" w:rsidP="004A58F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окончания государственных испытаний самолета ТБ-3 с двигателем М-34Р самолет и двигатель были утверждены как эталон для серийного производства на 1934 г. (25039).</w:t>
      </w:r>
    </w:p>
    <w:p w14:paraId="46E64C6F" w14:textId="77777777" w:rsidR="004A58FD" w:rsidRPr="00142305" w:rsidRDefault="004A58FD" w:rsidP="004A58FD">
      <w:pPr>
        <w:spacing w:after="0" w:line="240" w:lineRule="auto"/>
        <w:jc w:val="both"/>
        <w:rPr>
          <w:rFonts w:ascii="Times New Roman" w:hAnsi="Times New Roman"/>
          <w:color w:val="0070C0"/>
          <w:sz w:val="16"/>
          <w:szCs w:val="16"/>
        </w:rPr>
      </w:pPr>
    </w:p>
    <w:p w14:paraId="0C0F2295" w14:textId="77777777" w:rsidR="004A58FD" w:rsidRPr="00142305" w:rsidRDefault="004A58FD" w:rsidP="004A58F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 уже серийный М-34 прошел летные ис</w:t>
      </w:r>
      <w:r w:rsidRPr="00142305">
        <w:rPr>
          <w:rFonts w:ascii="Times New Roman" w:hAnsi="Times New Roman"/>
          <w:color w:val="0070C0"/>
          <w:sz w:val="16"/>
          <w:szCs w:val="16"/>
        </w:rPr>
        <w:softHyphen/>
        <w:t>пытана. Но качество продукции поначалу было очень не</w:t>
      </w:r>
      <w:r w:rsidRPr="00142305">
        <w:rPr>
          <w:rFonts w:ascii="Times New Roman" w:hAnsi="Times New Roman"/>
          <w:color w:val="0070C0"/>
          <w:sz w:val="16"/>
          <w:szCs w:val="16"/>
        </w:rPr>
        <w:softHyphen/>
        <w:t>высоким, всю l-ю серию забраковали. Лишь в конце го</w:t>
      </w:r>
      <w:r w:rsidRPr="00142305">
        <w:rPr>
          <w:rFonts w:ascii="Times New Roman" w:hAnsi="Times New Roman"/>
          <w:color w:val="0070C0"/>
          <w:sz w:val="16"/>
          <w:szCs w:val="16"/>
        </w:rPr>
        <w:softHyphen/>
        <w:t>да завод стал выпускать по-настоящему годные моторы. При весе 608 кг максимальная мощность М-34 равнялась 800 л.с., номинальная — 750 л.с. (24977).</w:t>
      </w:r>
    </w:p>
    <w:p w14:paraId="3BAE62F4" w14:textId="77777777" w:rsidR="004A58FD" w:rsidRPr="00142305" w:rsidRDefault="004A58FD" w:rsidP="004A58FD">
      <w:pPr>
        <w:spacing w:after="0" w:line="240" w:lineRule="auto"/>
        <w:jc w:val="both"/>
        <w:rPr>
          <w:rFonts w:ascii="Times New Roman" w:hAnsi="Times New Roman"/>
          <w:color w:val="0070C0"/>
          <w:sz w:val="16"/>
          <w:szCs w:val="16"/>
        </w:rPr>
      </w:pPr>
    </w:p>
    <w:p w14:paraId="2C1706A7" w14:textId="77777777" w:rsidR="004A58FD" w:rsidRPr="00142305" w:rsidRDefault="004A58FD" w:rsidP="004A58FD">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июле 1932 г. опытный образец мотора М-34 установили на доработанный биплан Р-5. В этом же году началось освоение в серии нового двигателя на московском заводе № 24.</w:t>
      </w:r>
    </w:p>
    <w:p w14:paraId="0A67109C" w14:textId="77777777" w:rsidR="004A58FD" w:rsidRPr="00142305" w:rsidRDefault="004A58FD" w:rsidP="004A58FD">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До конца года ВВС РККА получили 64 мотора 2-й серии, признанной годной для опытной эксплуа</w:t>
      </w:r>
      <w:r w:rsidRPr="00142305">
        <w:rPr>
          <w:rStyle w:val="aff"/>
          <w:rFonts w:ascii="Times New Roman" w:hAnsi="Times New Roman" w:cs="Times New Roman"/>
          <w:color w:val="0070C0"/>
          <w:spacing w:val="0"/>
          <w:sz w:val="16"/>
          <w:szCs w:val="16"/>
        </w:rPr>
        <w:softHyphen/>
        <w:t>тации. За следующий, 1933 г. было выпущено уже 790 экземпляров. Первая серийная модификация двигателя М-34 не имела ни нагнетателя, ни редуктора. Ее номинальная мощность составляла 750 л.с., а взлетная – 800 л.с. при сухой массе 608 кг. Головные серии моторов комплектовались импортными карбю</w:t>
      </w:r>
      <w:r w:rsidRPr="00142305">
        <w:rPr>
          <w:rStyle w:val="aff"/>
          <w:rFonts w:ascii="Times New Roman" w:hAnsi="Times New Roman" w:cs="Times New Roman"/>
          <w:color w:val="0070C0"/>
          <w:spacing w:val="0"/>
          <w:sz w:val="16"/>
          <w:szCs w:val="16"/>
        </w:rPr>
        <w:softHyphen/>
        <w:t>раторами «Зенит» 90Р, а далее – отечественными К-34 (25145).</w:t>
      </w:r>
    </w:p>
    <w:p w14:paraId="2EF4DF47" w14:textId="77777777" w:rsidR="004A58FD" w:rsidRPr="00142305" w:rsidRDefault="004A58FD" w:rsidP="004A58FD">
      <w:pPr>
        <w:spacing w:after="0" w:line="240" w:lineRule="auto"/>
        <w:jc w:val="both"/>
        <w:rPr>
          <w:rFonts w:ascii="Times New Roman" w:hAnsi="Times New Roman"/>
          <w:color w:val="0070C0"/>
          <w:sz w:val="16"/>
          <w:szCs w:val="16"/>
        </w:rPr>
      </w:pPr>
    </w:p>
    <w:p w14:paraId="0B1718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года был закончен производством и поставлен на заводские испытания мотор М-48 (Мощность – 165 л.с., Вес – 180 кг, Срок госиспытаний – август 1932 года, Завод № 29). Мотор является модификацией М-51 и как 7-ми цилиндровое развитие его отличается , главным образом, задней частью картера, где устроен приводной импеллер для лучшего перемешивания смеси. До конца 1932 года прошел 65 часов. Основные неполадки с всасывающими трубами, с фрикционной передачей к импеллеру (3530,70-86).</w:t>
      </w:r>
    </w:p>
    <w:p w14:paraId="10094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0EAF11" w14:textId="77777777" w:rsidR="004A58FD" w:rsidRPr="00142305" w:rsidRDefault="004A58FD" w:rsidP="004A58F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года Начальник ВВС РККА Я.И. Алкснис докладывал Реввоенсовету: «Качество моторов М-17 настолько понизилось, что каждый внеаэродромный полет на этом моторе начинает представлять собой серьезный риск не вернуться, а иметь вынужденную посадку со всеми вытекающими отсюда последствиями». Рыбинскому заводу потребовался еще год, чтобы существенно улучшить качество своей продукции, довести ресурс двигателя до 150 часов и достигнуть максимальной производительности (25028).</w:t>
      </w:r>
    </w:p>
    <w:p w14:paraId="705ED499" w14:textId="77777777" w:rsidR="004A58FD" w:rsidRPr="00142305" w:rsidRDefault="004A58FD" w:rsidP="004A58FD">
      <w:pPr>
        <w:spacing w:after="0" w:line="240" w:lineRule="auto"/>
        <w:jc w:val="both"/>
        <w:rPr>
          <w:rFonts w:ascii="Times New Roman" w:hAnsi="Times New Roman"/>
          <w:color w:val="0070C0"/>
          <w:sz w:val="16"/>
          <w:szCs w:val="16"/>
        </w:rPr>
      </w:pPr>
    </w:p>
    <w:p w14:paraId="4FDCC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П.К.Ощепков доложил начальнику инспекции ПВО РККА И.Ф.Блажевичу о возможности обнаружения воздушных целей с помощью электромагнитных волн и в декабре был переведен в ГУ ПВО (380,87).</w:t>
      </w:r>
    </w:p>
    <w:p w14:paraId="6378F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EAD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з-ды № 75 и Червянский получили заказ на изготовление 985 65 мм пулевых шрапнелей для АПК-3 - пушек, специально разработанных для И-4. Потом заказали и сегментную шрапнель и несколько осколочных снарядов (3996, 100).</w:t>
      </w:r>
    </w:p>
    <w:p w14:paraId="1A4140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5D4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июля 1932 года велось строительство завода № 124</w:t>
      </w:r>
    </w:p>
    <w:p w14:paraId="1A1635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 января 1941 года завод работал частично и находился в стадии строительства.</w:t>
      </w:r>
    </w:p>
    <w:p w14:paraId="611CC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производства – по состоянию на 1 января 1941 года мелкосерийное</w:t>
      </w:r>
    </w:p>
    <w:p w14:paraId="27509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производства – самолетостроение</w:t>
      </w:r>
    </w:p>
    <w:p w14:paraId="5B0A2C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Казань 36, Ленинский район, п/я 732 (завод расположен в селе Караваево) (9253).</w:t>
      </w:r>
    </w:p>
    <w:p w14:paraId="305ED7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73D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ЦАГИ получил заказ на разработку чертежей серийного варианта подвески для ТБ-1 Звено (12001).</w:t>
      </w:r>
    </w:p>
    <w:p w14:paraId="14C650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DA8CFA" w14:textId="77777777" w:rsidR="007E4CA2" w:rsidRPr="00142305" w:rsidRDefault="007E4CA2" w:rsidP="007E4CA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 ЦАГИ получил от военных заказ на разработку чер</w:t>
      </w:r>
      <w:r w:rsidRPr="00142305">
        <w:rPr>
          <w:rFonts w:ascii="Times New Roman" w:hAnsi="Times New Roman"/>
          <w:color w:val="0070C0"/>
          <w:sz w:val="16"/>
          <w:szCs w:val="16"/>
        </w:rPr>
        <w:softHyphen/>
        <w:t>тежей серийного варианта подвески для «Звена» (24977).</w:t>
      </w:r>
    </w:p>
    <w:p w14:paraId="7B5F0F5C" w14:textId="77777777" w:rsidR="007E4CA2" w:rsidRPr="00142305" w:rsidRDefault="007E4CA2" w:rsidP="007E4CA2">
      <w:pPr>
        <w:spacing w:after="0" w:line="240" w:lineRule="auto"/>
        <w:jc w:val="both"/>
        <w:rPr>
          <w:rFonts w:ascii="Times New Roman" w:hAnsi="Times New Roman"/>
          <w:color w:val="0070C0"/>
          <w:sz w:val="16"/>
          <w:szCs w:val="16"/>
        </w:rPr>
      </w:pPr>
    </w:p>
    <w:p w14:paraId="16FFA718" w14:textId="77777777" w:rsidR="009C4227" w:rsidRPr="00E93F40" w:rsidRDefault="009C42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ЦАГИ получил заказ на проекти</w:t>
      </w:r>
      <w:r w:rsidRPr="00E93F40">
        <w:rPr>
          <w:rFonts w:ascii="Times New Roman" w:hAnsi="Times New Roman"/>
          <w:color w:val="000000" w:themeColor="text1"/>
          <w:sz w:val="16"/>
          <w:szCs w:val="16"/>
        </w:rPr>
        <w:softHyphen/>
        <w:t>рование серийного варианта переобору</w:t>
      </w:r>
      <w:r w:rsidRPr="00E93F40">
        <w:rPr>
          <w:rFonts w:ascii="Times New Roman" w:hAnsi="Times New Roman"/>
          <w:color w:val="000000" w:themeColor="text1"/>
          <w:sz w:val="16"/>
          <w:szCs w:val="16"/>
        </w:rPr>
        <w:softHyphen/>
        <w:t>дования ТБ-1 и И-4. Речь шла именно о переоборудовании, а не постройке новых самолетов, поскольку производство обо</w:t>
      </w:r>
      <w:r w:rsidRPr="00E93F40">
        <w:rPr>
          <w:rFonts w:ascii="Times New Roman" w:hAnsi="Times New Roman"/>
          <w:color w:val="000000" w:themeColor="text1"/>
          <w:sz w:val="16"/>
          <w:szCs w:val="16"/>
        </w:rPr>
        <w:softHyphen/>
        <w:t>их типов к тому времени уже прекратили (17741).</w:t>
      </w:r>
    </w:p>
    <w:p w14:paraId="68BA1324" w14:textId="77777777" w:rsidR="009C4227" w:rsidRPr="00E93F40" w:rsidRDefault="009C4227" w:rsidP="00E93F40">
      <w:pPr>
        <w:spacing w:after="0" w:line="240" w:lineRule="auto"/>
        <w:jc w:val="both"/>
        <w:rPr>
          <w:rFonts w:ascii="Times New Roman" w:eastAsia="Times New Roman" w:hAnsi="Times New Roman"/>
          <w:color w:val="000000" w:themeColor="text1"/>
          <w:sz w:val="16"/>
          <w:szCs w:val="16"/>
          <w:lang w:eastAsia="ru-RU"/>
        </w:rPr>
      </w:pPr>
    </w:p>
    <w:p w14:paraId="457D3A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двум заводам (№ 75 и Червянскому) заказали 985 65-мм пулевых шрапнелей для АПК-3. Позже заказали партию сегментных шрапнелей. Кроме того, было изготовлено небольшое количество 65-мм осколочных снарядов (12091).</w:t>
      </w:r>
    </w:p>
    <w:p w14:paraId="703DD6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54FB36" w14:textId="15DC0BD7" w:rsidR="009C4227" w:rsidRPr="00E93F40" w:rsidRDefault="009C422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июле 1932 самолет БИЧ-7А вывели на аэродром. При пробежке подломилось шасси, и первый вылет на БИЧ-7А состоялся только в сентябре. 19 октября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начались официальные испытания. Пилотировал самолёт И.И. Благин, вместо пассажира на заднее сидение клали груз весом 80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Полёт продолжался 25 минут. Пилотажные характеристики, по сравнению с БИЧ 7, были заметно лучше. После ряда регулировок самолёт стал устойчив в горизонтальном полете, нормально управлялся, мог делать виражи с креном до 60°. Максимальная скорость и скороподъёмность оказались больше, чем у учебного У-2 с таким же по мощности двигателем. Несколько разочаровала весовая отдача машины в 30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от «бесхвостки» ожидали большего: 40–45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 </w:t>
      </w:r>
      <w:hyperlink r:id="rId187" w:history="1">
        <w:r w:rsidRPr="00E93F40">
          <w:rPr>
            <w:rFonts w:ascii="Times New Roman" w:eastAsia="Times New Roman" w:hAnsi="Times New Roman"/>
            <w:color w:val="000000" w:themeColor="text1"/>
            <w:sz w:val="16"/>
            <w:szCs w:val="16"/>
            <w:lang w:eastAsia="ru-RU"/>
          </w:rPr>
          <w:t>[48]</w:t>
        </w:r>
      </w:hyperlink>
      <w:r w:rsidRPr="00E93F40">
        <w:rPr>
          <w:rFonts w:ascii="Times New Roman" w:eastAsia="Times New Roman" w:hAnsi="Times New Roman"/>
          <w:color w:val="000000" w:themeColor="text1"/>
          <w:sz w:val="16"/>
          <w:szCs w:val="16"/>
          <w:lang w:eastAsia="ru-RU"/>
        </w:rPr>
        <w:t xml:space="preserve"> .</w:t>
      </w:r>
    </w:p>
    <w:p w14:paraId="4A36093A" w14:textId="77777777" w:rsidR="009C4227" w:rsidRPr="00E93F40" w:rsidRDefault="009C422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Выполнению полного цикла испытаний помешал плохой двигатель. Трёхцилиндровый «Люцифер» на больших оборотах так сильно вибрировал, что в конструкции моторамы появились трещины и полёты прекратили (17489).</w:t>
      </w:r>
    </w:p>
    <w:p w14:paraId="160CE245" w14:textId="77777777" w:rsidR="009C4227" w:rsidRPr="00E93F40" w:rsidRDefault="009C4227" w:rsidP="00E93F40">
      <w:pPr>
        <w:spacing w:after="0" w:line="240" w:lineRule="auto"/>
        <w:jc w:val="both"/>
        <w:rPr>
          <w:rFonts w:ascii="Times New Roman" w:eastAsia="Times New Roman" w:hAnsi="Times New Roman"/>
          <w:color w:val="000000" w:themeColor="text1"/>
          <w:sz w:val="16"/>
          <w:szCs w:val="16"/>
          <w:lang w:eastAsia="ru-RU"/>
        </w:rPr>
      </w:pPr>
    </w:p>
    <w:p w14:paraId="07512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509D2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37EF1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69FEE8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73239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Примечание: </w:t>
      </w:r>
    </w:p>
    <w:p w14:paraId="36E98B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38A6A0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6B74CA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7A7CB5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«Форд инструмент Ко»; </w:t>
      </w:r>
    </w:p>
    <w:p w14:paraId="1D538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29173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7B768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0E57AA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543D1A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Зав. 3-м Западным отделом Е. РУБИНИН </w:t>
      </w:r>
    </w:p>
    <w:p w14:paraId="47326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Отв. референт С. СТОЛЯР </w:t>
      </w:r>
    </w:p>
    <w:p w14:paraId="732F8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АВП РФ. Ф. 05. Оп. 14. П. 101. Д. 84. Л. 1—3. Подлинник (11430).</w:t>
      </w:r>
    </w:p>
    <w:p w14:paraId="0230E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8CF17A"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 АНТ-14 перевели во вновь организованный летный отряд коллегии Главного управления ГВФ. В марте 1933-го организовали эскадрилью "Максим Горький", и этим же именем назвали ее флагман – самолет АНТ-14. Менее, чем через два месяца редакциям газет и журналов предоставили право присвоить свои названия самолетам. Тогда же АНТ-14 переименовали в "Правду" – флагман советской прессы (25604).</w:t>
      </w:r>
    </w:p>
    <w:p w14:paraId="7618C87B" w14:textId="77777777" w:rsidR="00775AEA" w:rsidRPr="00142305" w:rsidRDefault="00775AEA" w:rsidP="00775AEA">
      <w:pPr>
        <w:spacing w:after="0" w:line="240" w:lineRule="auto"/>
        <w:jc w:val="both"/>
        <w:rPr>
          <w:rFonts w:ascii="Times New Roman" w:hAnsi="Times New Roman"/>
          <w:color w:val="0070C0"/>
          <w:sz w:val="16"/>
          <w:szCs w:val="16"/>
        </w:rPr>
      </w:pPr>
    </w:p>
    <w:p w14:paraId="29265F45"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года Тихонра</w:t>
      </w:r>
      <w:r w:rsidRPr="00E93F40">
        <w:rPr>
          <w:rFonts w:ascii="Times New Roman" w:hAnsi="Times New Roman"/>
          <w:color w:val="000000" w:themeColor="text1"/>
          <w:sz w:val="16"/>
          <w:szCs w:val="16"/>
        </w:rPr>
        <w:softHyphen/>
        <w:t>вов начал еще один проект. Но</w:t>
      </w:r>
      <w:r w:rsidRPr="00E93F40">
        <w:rPr>
          <w:rFonts w:ascii="Times New Roman" w:hAnsi="Times New Roman"/>
          <w:color w:val="000000" w:themeColor="text1"/>
          <w:sz w:val="16"/>
          <w:szCs w:val="16"/>
        </w:rPr>
        <w:softHyphen/>
        <w:t>вая ракета получила индекс 07. В бригаде Тихонравова для нее разрабатывался и двигатель на керосине и жидком кислороде. Однако довести его не удалось, и на ракету установили двига</w:t>
      </w:r>
      <w:r w:rsidRPr="00E93F40">
        <w:rPr>
          <w:rFonts w:ascii="Times New Roman" w:hAnsi="Times New Roman"/>
          <w:color w:val="000000" w:themeColor="text1"/>
          <w:sz w:val="16"/>
          <w:szCs w:val="16"/>
        </w:rPr>
        <w:softHyphen/>
        <w:t>тель Глушко ОРМ-50.</w:t>
      </w:r>
    </w:p>
    <w:p w14:paraId="4021AA8A"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Ракета была выполнена по схеме «летающее крыло». Корпус, как самостоятельная часть конструкции, отсутство</w:t>
      </w:r>
      <w:r w:rsidRPr="00E93F40">
        <w:rPr>
          <w:rFonts w:ascii="Times New Roman" w:hAnsi="Times New Roman"/>
          <w:color w:val="000000" w:themeColor="text1"/>
          <w:sz w:val="16"/>
          <w:szCs w:val="16"/>
        </w:rPr>
        <w:softHyphen/>
        <w:t>вал. Выбор схемы объяснялся стремлением конструкторов обеспечить «мягкую» самолетную посадку с целью обеспече</w:t>
      </w:r>
      <w:r w:rsidRPr="00E93F40">
        <w:rPr>
          <w:rFonts w:ascii="Times New Roman" w:hAnsi="Times New Roman"/>
          <w:color w:val="000000" w:themeColor="text1"/>
          <w:sz w:val="16"/>
          <w:szCs w:val="16"/>
        </w:rPr>
        <w:softHyphen/>
        <w:t>ния многократных пусков.</w:t>
      </w:r>
    </w:p>
    <w:p w14:paraId="66984D1E"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Пуск первой ракеты подготовили и наметили на 1 ноября 1933 года - к 16-й годовщине Октябрьской революции. Однако во всей Москве не удалось найти азотной кислоты нужной кон</w:t>
      </w:r>
      <w:r w:rsidRPr="00E93F40">
        <w:rPr>
          <w:rFonts w:ascii="Times New Roman" w:hAnsi="Times New Roman"/>
          <w:color w:val="000000" w:themeColor="text1"/>
          <w:sz w:val="16"/>
          <w:szCs w:val="16"/>
        </w:rPr>
        <w:softHyphen/>
        <w:t>центрации. Кислота была в Ленинграде. Привезти ее в Москву поручили Глушко и Лангемаку. В жарко натопленном вагоне поезда «Красная стрела» бутыль лопнула, и кислота залила все купе. Поезд остановили, испуганных пассажиров эвакуировали, вагон отцепили. Глушко и Лангемак получили большие непри</w:t>
      </w:r>
      <w:r w:rsidRPr="00E93F40">
        <w:rPr>
          <w:rFonts w:ascii="Times New Roman" w:hAnsi="Times New Roman"/>
          <w:color w:val="000000" w:themeColor="text1"/>
          <w:sz w:val="16"/>
          <w:szCs w:val="16"/>
        </w:rPr>
        <w:softHyphen/>
        <w:t>ятности (23510).</w:t>
      </w:r>
    </w:p>
    <w:p w14:paraId="7BD361B2" w14:textId="77777777" w:rsidR="008D371F" w:rsidRPr="00E93F40" w:rsidRDefault="008D371F" w:rsidP="00E93F40">
      <w:pPr>
        <w:spacing w:after="0" w:line="240" w:lineRule="auto"/>
        <w:jc w:val="both"/>
        <w:rPr>
          <w:rFonts w:ascii="Times New Roman" w:hAnsi="Times New Roman"/>
          <w:color w:val="000000" w:themeColor="text1"/>
          <w:sz w:val="16"/>
          <w:szCs w:val="16"/>
        </w:rPr>
      </w:pPr>
    </w:p>
    <w:p w14:paraId="1C3C0157" w14:textId="77777777" w:rsidR="00316F6F" w:rsidRPr="00E93F40" w:rsidRDefault="00316F6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июле 1932 года приступили к проектированию корабля объёмом 1750 кубометров на Дирижаблестрое. Его оболочку заказали московскому заводу «Каучук», а изготовление металлических деталей, в отличие от предыдущих дирижаблей, решили не поручать ЦАГИ, а освоить сами. Как вспоминал Нобиле, это происходило «...на Долгопрудной, в грязном деревянном сарае, в котором были установлены как придётся токарные станки и другие устройства, какие только мы сумели получить».</w:t>
      </w:r>
    </w:p>
    <w:p w14:paraId="450C2B77" w14:textId="77777777" w:rsidR="00316F6F" w:rsidRPr="00E93F40" w:rsidRDefault="00316F6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Когда конструкторское бюро под руководством итальянских инженеров почти закончило работу, выяснилось, что из-за ошибок в расчётах дирижабль получается слишком тяжёлым, и его пришлось удлинить, увеличив объём до 2100-2200 кубометров. Понадобились внесение серьёзных исправлений в чертежи и переделка уже готовых деталей, из-за чего сроки сорвались, и сборку смогли начать только в феврале 1933 года. Её вели в необорудованном, плохо освещённом временном деревянном эллинге, где температура временами опускалась до -15 °C. Из подъёмных приспособлений имелись только простейшие люльки: даже обычные пожарные лестницы были в дефиците (23192).</w:t>
      </w:r>
    </w:p>
    <w:p w14:paraId="7EEC4B4B" w14:textId="77777777" w:rsidR="00316F6F" w:rsidRPr="00E93F40" w:rsidRDefault="00316F6F" w:rsidP="00E93F40">
      <w:pPr>
        <w:spacing w:after="0" w:line="240" w:lineRule="auto"/>
        <w:jc w:val="both"/>
        <w:rPr>
          <w:rFonts w:ascii="Times New Roman" w:hAnsi="Times New Roman"/>
          <w:color w:val="000000" w:themeColor="text1"/>
          <w:sz w:val="16"/>
          <w:szCs w:val="16"/>
        </w:rPr>
      </w:pPr>
    </w:p>
    <w:p w14:paraId="290E5DA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72CA61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6ECB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заводу № 75 был выдан заказ на изготовление 65-мм шрапнелей для ДРП АПК-Збис.</w:t>
      </w:r>
    </w:p>
    <w:p w14:paraId="71E673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Завод № 75 НКТП, НКОП В 1934 г. вошел в состав Снарядного треста НКТП." В 1936 г. вошел в состав НИМИ.</w:t>
      </w:r>
    </w:p>
    <w:p w14:paraId="30F033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Помощник директора по найму и увольнению рабочей силы (-1.02.1937 г.)- В.Н. Коваленко (11982).</w:t>
      </w:r>
    </w:p>
    <w:p w14:paraId="09E806EA" w14:textId="77777777" w:rsidR="00E3479E" w:rsidRPr="00E93F40" w:rsidRDefault="00E3479E" w:rsidP="00E93F40">
      <w:pPr>
        <w:autoSpaceDE w:val="0"/>
        <w:autoSpaceDN w:val="0"/>
        <w:adjustRightInd w:val="0"/>
        <w:spacing w:after="0" w:line="240" w:lineRule="auto"/>
        <w:jc w:val="both"/>
        <w:rPr>
          <w:rFonts w:ascii="Times New Roman" w:hAnsi="Times New Roman"/>
          <w:color w:val="000000" w:themeColor="text1"/>
          <w:sz w:val="16"/>
          <w:szCs w:val="16"/>
        </w:rPr>
      </w:pPr>
    </w:p>
    <w:p w14:paraId="29833930"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июле 1932 г. двум заводам (№ 75 и Червянскому) заказали 985 65-мм пулевых шрапнелей для испытания пушки Курчевского АПК-3бис на И-4. Позже заказали партию сегментных шрапнелей. Кроме того, было изготовлено небольшое количество 65-мм осколочных снарядов (25213).</w:t>
      </w:r>
    </w:p>
    <w:p w14:paraId="2A359D5D" w14:textId="77777777" w:rsidR="00775AEA" w:rsidRPr="00142305" w:rsidRDefault="00775AEA" w:rsidP="00775AEA">
      <w:pPr>
        <w:spacing w:after="0" w:line="240" w:lineRule="auto"/>
        <w:jc w:val="both"/>
        <w:rPr>
          <w:rFonts w:ascii="Times New Roman" w:hAnsi="Times New Roman"/>
          <w:color w:val="0070C0"/>
          <w:sz w:val="16"/>
          <w:szCs w:val="16"/>
        </w:rPr>
      </w:pPr>
    </w:p>
    <w:p w14:paraId="65E2B1BB"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июле 1932 г. в Московской стрелковой Пролетарской дивизии и в 4-й кавалерийской дивизии проводились войсковые испытания 76-мм БПК. В результате 76-мм батальонная пушка Курчевского была принята на вооружение постановлением Реввоенсовета от 16 августа 1932 г.</w:t>
      </w:r>
    </w:p>
    <w:p w14:paraId="44C92E92"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БПК серийно производили на трех заводах (25213).</w:t>
      </w:r>
    </w:p>
    <w:p w14:paraId="750C767F" w14:textId="77777777" w:rsidR="00775AEA" w:rsidRPr="00142305" w:rsidRDefault="00775AEA" w:rsidP="00775AEA">
      <w:pPr>
        <w:spacing w:after="0" w:line="240" w:lineRule="auto"/>
        <w:jc w:val="both"/>
        <w:rPr>
          <w:rFonts w:ascii="Times New Roman" w:hAnsi="Times New Roman"/>
          <w:color w:val="0070C0"/>
          <w:sz w:val="16"/>
          <w:szCs w:val="16"/>
        </w:rPr>
      </w:pPr>
    </w:p>
    <w:p w14:paraId="7A2ACFB5"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июле 1932 г. в Московской Пролетарской стрелковой дивизии и 4-й кавалерийской дивизии 76-мм МПК проходила войсковые испытания. Результаты удовлетворительные. Пушка при выстреле подпрыгивала. Затвор заедал вследствие неполного сгорания пороха.</w:t>
      </w:r>
    </w:p>
    <w:p w14:paraId="576F5068"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646C9725"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1932 г. заводу № 7 выдали заказ на 25 МПК. В 1932 г. было изготовлено 22 МПК, а сдано 14. Больше заказы на МПК не выдавались (25213).</w:t>
      </w:r>
    </w:p>
    <w:p w14:paraId="34EF5FD4" w14:textId="77777777" w:rsidR="00775AEA" w:rsidRPr="00142305" w:rsidRDefault="00775AEA" w:rsidP="00775AEA">
      <w:pPr>
        <w:spacing w:after="0" w:line="240" w:lineRule="auto"/>
        <w:jc w:val="both"/>
        <w:rPr>
          <w:rFonts w:ascii="Times New Roman" w:hAnsi="Times New Roman"/>
          <w:color w:val="0070C0"/>
          <w:sz w:val="16"/>
          <w:szCs w:val="16"/>
        </w:rPr>
      </w:pPr>
    </w:p>
    <w:p w14:paraId="255DF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в Пролетарской московской стрелковой дивизии и в 4-й кавалерийской дивизии проводились войсковые испытания 76-мм БПК. В результате 76-мм батальонная пушка Курчевского была принята на вооружение постановлением Реввоенсовета от 16 августа 1932 г.</w:t>
      </w:r>
    </w:p>
    <w:p w14:paraId="1FCD74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БПК серийно производили на трех заводах.</w:t>
      </w:r>
    </w:p>
    <w:p w14:paraId="280DD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Стоимость одной БПК составляла 10 тыс. рублей.</w:t>
      </w:r>
    </w:p>
    <w:p w14:paraId="35D18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БПК была, видимо, лучшей системой Курчевского. Но, увы, наряду с конструктивными недостатками пушек Курчевского она имела неудачный лафет. Лафет был легок, но непрочен. Он не разбирался и не был пригоден для перевозки в тачанке, как ДРП-4 (12091).</w:t>
      </w:r>
    </w:p>
    <w:p w14:paraId="415B6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6A81E1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км/час. При таком лафете не могло и речи идти о механической тяге.</w:t>
      </w:r>
    </w:p>
    <w:p w14:paraId="13C3B1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Конечно, можно было спроектировать и подрессоренный лафет. Но при этом возрос бы и вес системы, и ее стоимость. Ведь и так стоимость БПК равнялась стоимости дивизионной пушки обр. 1902 г.</w:t>
      </w:r>
    </w:p>
    <w:p w14:paraId="55740B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годов БПК с вооружения были сняты (12091).</w:t>
      </w:r>
    </w:p>
    <w:p w14:paraId="5FDB4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F5FF88"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в Московской стрелковой Пролетарской дивизии и в 4-й кавалерийской дивизии проводились войсковые испытания 76-мм ВПК. В результате 76-мм батальонная пушка Курчевского была принята на вооружение постановлением Реввоенсовета от 16 августа 1932 г.</w:t>
      </w:r>
    </w:p>
    <w:p w14:paraId="6D58FA7E"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ВПК серийно производили на трех заводах.</w:t>
      </w:r>
    </w:p>
    <w:p w14:paraId="098E97CE" w14:textId="77777777" w:rsidR="00E3479E" w:rsidRPr="00E93F40" w:rsidRDefault="00E3479E"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Производство БПК</w:t>
      </w:r>
    </w:p>
    <w:p w14:paraId="3E628032" w14:textId="77777777" w:rsidR="00E3479E" w:rsidRPr="00E93F40" w:rsidRDefault="00E3479E"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vertAlign w:val="superscript"/>
        </w:rPr>
        <w:t>Завод …… 1932 г. (План / Изготовлено) … 1933 г. (План / Изготовлено) … 1934 г. (План / Изготовлено) … 1935 г. (План / Изготовлено)</w:t>
      </w:r>
    </w:p>
    <w:p w14:paraId="63DCC724"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 (— / —) … (100 / 74) … (203 / 216) … (106 / 114)</w:t>
      </w:r>
    </w:p>
    <w:p w14:paraId="27D0AD23"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 (— / 3) … (100 / 3) … (</w:t>
      </w:r>
      <w:r w:rsidRPr="00E93F40">
        <w:rPr>
          <w:rFonts w:ascii="Times New Roman" w:hAnsi="Times New Roman"/>
          <w:iCs/>
          <w:color w:val="000000" w:themeColor="text1"/>
          <w:sz w:val="16"/>
          <w:szCs w:val="16"/>
        </w:rPr>
        <w:t>—</w:t>
      </w:r>
      <w:r w:rsidRPr="00E93F40">
        <w:rPr>
          <w:rFonts w:ascii="Times New Roman" w:hAnsi="Times New Roman"/>
          <w:color w:val="000000" w:themeColor="text1"/>
          <w:sz w:val="16"/>
          <w:szCs w:val="16"/>
        </w:rPr>
        <w:t xml:space="preserve"> / —) … (— / —)</w:t>
      </w:r>
    </w:p>
    <w:p w14:paraId="0B8ED143"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«Большевик» …… (— / —) … (— / —) … (300 / 3) … (150 / 24)</w:t>
      </w:r>
    </w:p>
    <w:p w14:paraId="00FEBE00"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 (— / 3) … (200 / 77) … (503 / 219) … (256 / не менее 188)</w:t>
      </w:r>
    </w:p>
    <w:p w14:paraId="47CBC47D"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Стоимость одной БПК составляла 10 тыс. рублей.</w:t>
      </w:r>
    </w:p>
    <w:p w14:paraId="6F3DDBFB"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Лафет был легок, но непрочен. Он не разбирался и не был пригоден для перевозки в тачанке, как ДРП-4.</w:t>
      </w:r>
    </w:p>
    <w:p w14:paraId="332D190E"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64270513"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47FAA5AF"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75B3071C" w14:textId="77777777" w:rsidR="00E3479E" w:rsidRPr="00E93F40" w:rsidRDefault="00E347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7024A385" w14:textId="77777777" w:rsidR="00E3479E" w:rsidRPr="00E93F40" w:rsidRDefault="00E3479E" w:rsidP="00E93F40">
      <w:pPr>
        <w:spacing w:after="0" w:line="240" w:lineRule="auto"/>
        <w:jc w:val="both"/>
        <w:rPr>
          <w:rFonts w:ascii="Times New Roman" w:hAnsi="Times New Roman"/>
          <w:color w:val="000000" w:themeColor="text1"/>
          <w:sz w:val="16"/>
          <w:szCs w:val="16"/>
        </w:rPr>
      </w:pPr>
    </w:p>
    <w:p w14:paraId="48A22A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76-мм МПК проходила войсковые испытания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103E2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3BAF8C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1932 г. заводу № 7 выдали заказ на 25 МПК. В 1932 г. было изготовлено 22 МПК, а сдано 14. Больше заказы на МПК не выдавались (12091).</w:t>
      </w:r>
    </w:p>
    <w:p w14:paraId="58A15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6F9B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года при испытаниях двух 203-мм гаубиц № 4/6 и № 9/9 снарядом весом 98 кг и зарядом весом 6,5 кг марки 9/7 была получена средняя начальная скорость 438,5 м/с. Из-за непрочности лафетов баллистику гаубицы пришлось ухудшить (3861).</w:t>
      </w:r>
    </w:p>
    <w:p w14:paraId="149DE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6E912D"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июле 1932 г. были рассмотрены эскизные проекты «самоходного корпусного триплекса», состоящего из 107-мм пушки обр. 1910/30 гг., 152-мм гаубицы обр. 1909/30 гг. и 203-мм мортиры обр. 1930 г., а также «триплекса Тяжелой Артиллерии Особого Назначения (ТАОН)», вооруженного 152-мм (или 1 30-мм) пушкой, 203-мм гаубицей обр. 1929/31 гг. и 305-мм мортирой и в целом одобрены.</w:t>
      </w:r>
    </w:p>
    <w:p w14:paraId="2FC44929"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«корпусного триплекса» решили использовать удлиненное шасси среднего танка Т-24, а для «триплекса ТАОН» – специальное шасси, включающее узлы создававшегося в то время тяжелого танка. Но изготовление «корпусного триплекса» было отложено на два года, а для «триплекса ТАОН» не нашлось вооружения, так как ни 152-мм пушки большой мощности, ни 305-мм мортиры еще не было. На проработку был подан лишь гаубичный вариант «триплекса», вооруженного 203-мм орудием Б-4 (25481).</w:t>
      </w:r>
    </w:p>
    <w:p w14:paraId="18376D42" w14:textId="77777777" w:rsidR="00775AEA" w:rsidRPr="00142305" w:rsidRDefault="00775AEA" w:rsidP="00775AEA">
      <w:pPr>
        <w:spacing w:after="0" w:line="240" w:lineRule="auto"/>
        <w:jc w:val="both"/>
        <w:rPr>
          <w:rFonts w:ascii="Times New Roman" w:hAnsi="Times New Roman"/>
          <w:color w:val="0070C0"/>
          <w:sz w:val="16"/>
          <w:szCs w:val="16"/>
        </w:rPr>
      </w:pPr>
    </w:p>
    <w:p w14:paraId="09D40F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плавающий танк конструкции ОКМО, получивший индекс Т-37, (боевая масса — 2,85 т), вы</w:t>
      </w:r>
      <w:r w:rsidRPr="00E93F40">
        <w:rPr>
          <w:rFonts w:ascii="Times New Roman" w:hAnsi="Times New Roman"/>
          <w:color w:val="000000" w:themeColor="text1"/>
          <w:sz w:val="16"/>
          <w:szCs w:val="16"/>
        </w:rPr>
        <w:softHyphen/>
        <w:t>шел на испытания. Его компоновка была по</w:t>
      </w:r>
      <w:r w:rsidRPr="00E93F40">
        <w:rPr>
          <w:rFonts w:ascii="Times New Roman" w:hAnsi="Times New Roman"/>
          <w:color w:val="000000" w:themeColor="text1"/>
          <w:sz w:val="16"/>
          <w:szCs w:val="16"/>
        </w:rPr>
        <w:softHyphen/>
        <w:t>добна Т-33 с двигателем, смещенным к правому борту. Танк имел клепано-сварной корпус, изготовленный для скорости из неброневой стали. На крыше корпуса, не</w:t>
      </w:r>
      <w:r w:rsidRPr="00E93F40">
        <w:rPr>
          <w:rFonts w:ascii="Times New Roman" w:hAnsi="Times New Roman"/>
          <w:color w:val="000000" w:themeColor="text1"/>
          <w:sz w:val="16"/>
          <w:szCs w:val="16"/>
        </w:rPr>
        <w:softHyphen/>
        <w:t>сколько смещенная к левому борту, стояла малая пулемет</w:t>
      </w:r>
      <w:r w:rsidRPr="00E93F40">
        <w:rPr>
          <w:rFonts w:ascii="Times New Roman" w:hAnsi="Times New Roman"/>
          <w:color w:val="000000" w:themeColor="text1"/>
          <w:sz w:val="16"/>
          <w:szCs w:val="16"/>
        </w:rPr>
        <w:softHyphen/>
        <w:t>ная башня, вращаемая вручную. Вооружение Т-37 состоя</w:t>
      </w:r>
      <w:r w:rsidRPr="00E93F40">
        <w:rPr>
          <w:rFonts w:ascii="Times New Roman" w:hAnsi="Times New Roman"/>
          <w:color w:val="000000" w:themeColor="text1"/>
          <w:sz w:val="16"/>
          <w:szCs w:val="16"/>
        </w:rPr>
        <w:softHyphen/>
        <w:t>ло из 7,62-мм пулемета ДТ, установленного в шаровой уста</w:t>
      </w:r>
      <w:r w:rsidRPr="00E93F40">
        <w:rPr>
          <w:rFonts w:ascii="Times New Roman" w:hAnsi="Times New Roman"/>
          <w:color w:val="000000" w:themeColor="text1"/>
          <w:sz w:val="16"/>
          <w:szCs w:val="16"/>
        </w:rPr>
        <w:softHyphen/>
        <w:t>новке в лобовом листе башни. Автомобильный двигатель «Форд-АА» мощностью 40 л.сю, как уже говорилось, располагался вдоль правого борта танка. Он позволял машине разгоняться до 35 км/ч по земле и 4 км/ч на плаву. Запас хода Т-37 по шоссе составлял 160 км. Трансмиссия состояла из главного фрикциона (автомо</w:t>
      </w:r>
      <w:r w:rsidRPr="00E93F40">
        <w:rPr>
          <w:rFonts w:ascii="Times New Roman" w:hAnsi="Times New Roman"/>
          <w:color w:val="000000" w:themeColor="text1"/>
          <w:sz w:val="16"/>
          <w:szCs w:val="16"/>
        </w:rPr>
        <w:softHyphen/>
        <w:t>бильного сцепления), главной передачи, дифференциала и коробки перемены передач, карданного вала и привода во</w:t>
      </w:r>
      <w:r w:rsidRPr="00E93F40">
        <w:rPr>
          <w:rFonts w:ascii="Times New Roman" w:hAnsi="Times New Roman"/>
          <w:color w:val="000000" w:themeColor="text1"/>
          <w:sz w:val="16"/>
          <w:szCs w:val="16"/>
        </w:rPr>
        <w:softHyphen/>
        <w:t>доходного движителя. На плаву Т-37 передвигался при по</w:t>
      </w:r>
      <w:r w:rsidRPr="00E93F40">
        <w:rPr>
          <w:rFonts w:ascii="Times New Roman" w:hAnsi="Times New Roman"/>
          <w:color w:val="000000" w:themeColor="text1"/>
          <w:sz w:val="16"/>
          <w:szCs w:val="16"/>
        </w:rPr>
        <w:softHyphen/>
        <w:t>мощи трехлопастного гребного винта и плоского руля. Ходовая часть Т-37 была изготовлена «по типу ходовой части “Крупп”, с которой наши конструкторы познакоми</w:t>
      </w:r>
      <w:r w:rsidRPr="00E93F40">
        <w:rPr>
          <w:rFonts w:ascii="Times New Roman" w:hAnsi="Times New Roman"/>
          <w:color w:val="000000" w:themeColor="text1"/>
          <w:sz w:val="16"/>
          <w:szCs w:val="16"/>
        </w:rPr>
        <w:softHyphen/>
        <w:t>лись в «ТЕКО», и состояла из двух двухкатковых опорных тележек, двух поддерживающих катков, переднего ведуще</w:t>
      </w:r>
      <w:r w:rsidRPr="00E93F40">
        <w:rPr>
          <w:rFonts w:ascii="Times New Roman" w:hAnsi="Times New Roman"/>
          <w:color w:val="000000" w:themeColor="text1"/>
          <w:sz w:val="16"/>
          <w:szCs w:val="16"/>
        </w:rPr>
        <w:softHyphen/>
        <w:t>го и заднего направляющего колес. Однако ив этом танке была обнаружена масса недо</w:t>
      </w:r>
      <w:r w:rsidRPr="00E93F40">
        <w:rPr>
          <w:rFonts w:ascii="Times New Roman" w:hAnsi="Times New Roman"/>
          <w:color w:val="000000" w:themeColor="text1"/>
          <w:sz w:val="16"/>
          <w:szCs w:val="16"/>
        </w:rPr>
        <w:softHyphen/>
        <w:t>статков и недоработок и потому работы над ним были пре</w:t>
      </w:r>
      <w:r w:rsidRPr="00E93F40">
        <w:rPr>
          <w:rFonts w:ascii="Times New Roman" w:hAnsi="Times New Roman"/>
          <w:color w:val="000000" w:themeColor="text1"/>
          <w:sz w:val="16"/>
          <w:szCs w:val="16"/>
        </w:rPr>
        <w:softHyphen/>
        <w:t>кращены (10733,152).</w:t>
      </w:r>
    </w:p>
    <w:p w14:paraId="275147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20799C"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заместитель директора и главный инженер ХПЗ И.П. Бондаренко направил в Технический отдел ЭКУ ОГПУ письмо следующего содержания:</w:t>
      </w:r>
    </w:p>
    <w:p w14:paraId="1AE6058E" w14:textId="77777777" w:rsidR="008D371F" w:rsidRPr="00E93F40" w:rsidRDefault="008D371F" w:rsidP="00E93F40">
      <w:pPr>
        <w:spacing w:after="0" w:line="240" w:lineRule="auto"/>
        <w:jc w:val="both"/>
        <w:rPr>
          <w:rFonts w:ascii="Times New Roman" w:hAnsi="Times New Roman"/>
          <w:color w:val="000000" w:themeColor="text1"/>
          <w:sz w:val="16"/>
          <w:szCs w:val="16"/>
        </w:rPr>
      </w:pPr>
      <w:hyperlink r:id="rId188" w:tgtFrame="_blank" w:history="1"/>
      <w:r w:rsidRPr="00E93F40">
        <w:rPr>
          <w:rFonts w:ascii="Times New Roman" w:hAnsi="Times New Roman"/>
          <w:color w:val="000000" w:themeColor="text1"/>
          <w:sz w:val="16"/>
          <w:szCs w:val="16"/>
        </w:rPr>
        <w:t>«Из личных переговоров нашего Начальника Дизельного Отдела т. ЧЕЛПАНА с тов. КАЧЕВЫМ в Ленинграде 10 – 11 июля выяснилось, что Вашим Конструкторским Бюро спроектирован быстроходный Дизельмотор ПГЕ по мощности, числу оборотов, габаритам и прочим показателям подходящий для установки в качестве двигателя на наш танк БТ.</w:t>
      </w:r>
    </w:p>
    <w:p w14:paraId="056FCEB0"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Опытные образцы этого двигателя находящиеся, частично в производстве, частично в стадии испытаний, дают Вам уверенность в том, что двигатель в продолжении ближайших 2-х, 3-х месяцев может быть доведен до степени готовности позволяющей пустить его в производство небольшими сериями и опробовать на танках.</w:t>
      </w:r>
    </w:p>
    <w:p w14:paraId="2D58EEF6"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Будучи заинтересованными в замене карбюраторного двигателя БТ на дизельмотор в возможно короткий срок, просим не отказать в следующем:</w:t>
      </w:r>
    </w:p>
    <w:p w14:paraId="47D40F9C"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Срочной присылке нам чертежей установочных общих видов и других материалов, позволяющих проверить возможность установки двигателя ПГЕ на БТ, и необходимые для этого изменения в машинном помещении танка.</w:t>
      </w:r>
    </w:p>
    <w:p w14:paraId="2D67AF03"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Передать нам один опытный образец для испытания его в н/Дизельном цеху и в случае возможности на опытном танке.</w:t>
      </w:r>
    </w:p>
    <w:p w14:paraId="7DB1C9AC"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Передать нам рабочие чертежи, окончательно выверенные для постройки первой опытной серии, примерно в пять двигателей.</w:t>
      </w:r>
    </w:p>
    <w:p w14:paraId="2892C58B"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Ваше принципиальное согласие и соображения по затронутым вопросам просим сообщить в возможно короткий срок.</w:t>
      </w:r>
    </w:p>
    <w:p w14:paraId="21B13B4B"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просим дать информационный материал о проектируемых у Вас двигателях и о степени готовности их к производству. Особенно интересуют нас двигатели, подходящие по производственным качествам к оборудованию н/Дизельного цеха и могущего быть приспособленным для специальных целей, как-то суда специального назначения, тепловозы, танки, трактора нашего производства и проч.».</w:t>
      </w:r>
    </w:p>
    <w:p w14:paraId="273C5EE6"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3. Д. 51. Л. 130] (24856).</w:t>
      </w:r>
    </w:p>
    <w:p w14:paraId="52116F4D" w14:textId="77777777" w:rsidR="008D371F" w:rsidRPr="00E93F40" w:rsidRDefault="008D371F" w:rsidP="00E93F40">
      <w:pPr>
        <w:spacing w:after="0" w:line="240" w:lineRule="auto"/>
        <w:jc w:val="both"/>
        <w:rPr>
          <w:rFonts w:ascii="Times New Roman" w:hAnsi="Times New Roman"/>
          <w:color w:val="000000" w:themeColor="text1"/>
          <w:sz w:val="16"/>
          <w:szCs w:val="16"/>
        </w:rPr>
      </w:pPr>
    </w:p>
    <w:p w14:paraId="7432B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в Харькове КБ под руководством А.О.Фирсова был разработан колесно-гусеничный танк БТ-4, который отличался от серийных БТ-2 сварной конструкцией корпуса, боковыми буксирными крюками, управляемыми жалюзи (3879,22).</w:t>
      </w:r>
    </w:p>
    <w:p w14:paraId="5858A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11F13D"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июле1932 г. БТ с увеличенной башней (на базе БТ-2), который в мак собрали в Ленинграде (башню изготовил Ижорский завод), был направлен на ХПЗ. По пер</w:t>
      </w:r>
      <w:r w:rsidRPr="00142305">
        <w:rPr>
          <w:rFonts w:ascii="Times New Roman" w:hAnsi="Times New Roman"/>
          <w:color w:val="0070C0"/>
          <w:sz w:val="16"/>
          <w:szCs w:val="16"/>
        </w:rPr>
        <w:softHyphen/>
        <w:t>воначальному плану «10 БТ с 45-мм пушкой должны быть изготовлены в срочном порядке до начала серийного производства, во-первых, для демонст</w:t>
      </w:r>
      <w:r w:rsidRPr="00142305">
        <w:rPr>
          <w:rFonts w:ascii="Times New Roman" w:hAnsi="Times New Roman"/>
          <w:color w:val="0070C0"/>
          <w:sz w:val="16"/>
          <w:szCs w:val="16"/>
        </w:rPr>
        <w:softHyphen/>
        <w:t>рации в день Октябрьских праздников, во-вторых с целью всестороннего ис</w:t>
      </w:r>
      <w:r w:rsidRPr="00142305">
        <w:rPr>
          <w:rFonts w:ascii="Times New Roman" w:hAnsi="Times New Roman"/>
          <w:color w:val="0070C0"/>
          <w:sz w:val="16"/>
          <w:szCs w:val="16"/>
        </w:rPr>
        <w:softHyphen/>
        <w:t>пытания и внесения необходимых кор</w:t>
      </w:r>
      <w:r w:rsidRPr="00142305">
        <w:rPr>
          <w:rFonts w:ascii="Times New Roman" w:hAnsi="Times New Roman"/>
          <w:color w:val="0070C0"/>
          <w:sz w:val="16"/>
          <w:szCs w:val="16"/>
        </w:rPr>
        <w:softHyphen/>
        <w:t>ректив».</w:t>
      </w:r>
    </w:p>
    <w:p w14:paraId="3C606B88"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появился индекс БТ-5 (25009).</w:t>
      </w:r>
    </w:p>
    <w:p w14:paraId="5A0A06FD" w14:textId="77777777" w:rsidR="00775AEA" w:rsidRPr="00142305" w:rsidRDefault="00775AEA" w:rsidP="00775AEA">
      <w:pPr>
        <w:spacing w:after="0" w:line="240" w:lineRule="auto"/>
        <w:jc w:val="both"/>
        <w:rPr>
          <w:rFonts w:ascii="Times New Roman" w:hAnsi="Times New Roman"/>
          <w:color w:val="0070C0"/>
          <w:sz w:val="16"/>
          <w:szCs w:val="16"/>
        </w:rPr>
      </w:pPr>
    </w:p>
    <w:p w14:paraId="4DBAF5CB"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года закончили проект БТ-4. Он представлял собой машину с полностью сварным корпусом, внешне отличавшуюся от БТ-2 лишь наличием вместо передних буксирных крюков од</w:t>
      </w:r>
      <w:r w:rsidRPr="00142305">
        <w:rPr>
          <w:rFonts w:ascii="Times New Roman" w:hAnsi="Times New Roman"/>
          <w:color w:val="0070C0"/>
          <w:sz w:val="16"/>
          <w:szCs w:val="16"/>
        </w:rPr>
        <w:softHyphen/>
        <w:t>ного центрального зацепа и упрощенны</w:t>
      </w:r>
      <w:r w:rsidRPr="00142305">
        <w:rPr>
          <w:rFonts w:ascii="Times New Roman" w:hAnsi="Times New Roman"/>
          <w:color w:val="0070C0"/>
          <w:sz w:val="16"/>
          <w:szCs w:val="16"/>
        </w:rPr>
        <w:softHyphen/>
        <w:t>ми надгусеничными крыльями (25009).</w:t>
      </w:r>
    </w:p>
    <w:p w14:paraId="18745D71" w14:textId="77777777" w:rsidR="00775AEA" w:rsidRPr="00142305" w:rsidRDefault="00775AEA" w:rsidP="00775AEA">
      <w:pPr>
        <w:spacing w:after="0" w:line="240" w:lineRule="auto"/>
        <w:jc w:val="both"/>
        <w:rPr>
          <w:rFonts w:ascii="Times New Roman" w:hAnsi="Times New Roman"/>
          <w:color w:val="0070C0"/>
          <w:sz w:val="16"/>
          <w:szCs w:val="16"/>
        </w:rPr>
      </w:pPr>
    </w:p>
    <w:p w14:paraId="5B6BF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на НИБТ полигоне прошел испытания изготовленный в марте 1932 на Большевике в Ленинграде танк ТММ-2 - версия Виккерс, разработанного на факультете ММ ВТА им. Дзержинского под руководством Вершинана. На вооружение не принимался (9527,90).</w:t>
      </w:r>
    </w:p>
    <w:p w14:paraId="586F5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1FE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прошли заводские испытания опытного образца танка Т-28, изготовленного на заводе им. Ворошилова, выделившегося их завода Большевик. По результатам испытаний решили второй опытный образец не изготавливать и начать серию на Красном путиловуе (9527,119).</w:t>
      </w:r>
    </w:p>
    <w:p w14:paraId="39500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3FD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для Т-28 была разработана конструкция главной башни с установкой 76 мм пушки ПС-3, аналогичная башне Т-35 (9527,134).</w:t>
      </w:r>
    </w:p>
    <w:p w14:paraId="5EB94A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5BD0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июлю 1932 г. были с трудом сданы дополнительно к принятым в конце 1931 г. еще 241 танк Т-26 (10733,180).</w:t>
      </w:r>
    </w:p>
    <w:p w14:paraId="2E5BE7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CCB0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на ХПЗ был разработан танк БТ-4 со сварным корпусом. После получения технической доку</w:t>
      </w:r>
      <w:r w:rsidRPr="00E93F40">
        <w:rPr>
          <w:rFonts w:ascii="Times New Roman" w:hAnsi="Times New Roman"/>
          <w:color w:val="000000" w:themeColor="text1"/>
          <w:sz w:val="16"/>
          <w:szCs w:val="16"/>
        </w:rPr>
        <w:softHyphen/>
        <w:t>ментации на «большую» башню Ижорского завода здесь попытались установить ее как на корпус БТ-2, так и на корпус БТ-4, получив в результате варианты новых танков — соответственно БТ-5 и БТ-6. После рассмотрения опытных образцов для серийного производства выбрали танк БТ-5 как наиболее простой в освоении на существующем обору</w:t>
      </w:r>
      <w:r w:rsidRPr="00E93F40">
        <w:rPr>
          <w:rFonts w:ascii="Times New Roman" w:hAnsi="Times New Roman"/>
          <w:color w:val="000000" w:themeColor="text1"/>
          <w:sz w:val="16"/>
          <w:szCs w:val="16"/>
        </w:rPr>
        <w:softHyphen/>
        <w:t>довании, который дополнили новым люком механика-во</w:t>
      </w:r>
      <w:r w:rsidRPr="00E93F40">
        <w:rPr>
          <w:rFonts w:ascii="Times New Roman" w:hAnsi="Times New Roman"/>
          <w:color w:val="000000" w:themeColor="text1"/>
          <w:sz w:val="16"/>
          <w:szCs w:val="16"/>
        </w:rPr>
        <w:softHyphen/>
        <w:t>дителя с наблюдательной щелью, закрытой пуленепроби</w:t>
      </w:r>
      <w:r w:rsidRPr="00E93F40">
        <w:rPr>
          <w:rFonts w:ascii="Times New Roman" w:hAnsi="Times New Roman"/>
          <w:color w:val="000000" w:themeColor="text1"/>
          <w:sz w:val="16"/>
          <w:szCs w:val="16"/>
        </w:rPr>
        <w:softHyphen/>
        <w:t>ваемым стеклом «триплекс» (10733,219).</w:t>
      </w:r>
    </w:p>
    <w:p w14:paraId="45A795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108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КБ № 3 Оружобъединения разработало установку в Т-28 шестицилиндрового дтзеля ПГЕ (9527,135).</w:t>
      </w:r>
    </w:p>
    <w:p w14:paraId="1A48C0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03EA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проводились испытания танкетки Т-27 с измененной системой охлаждения конструкции К.К.Сиркена (9527,254).</w:t>
      </w:r>
    </w:p>
    <w:p w14:paraId="55370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C5F2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состоялось рассмотрение двух эскизных проектов и в целом они были одобрены. 17 сентября 1931 г. Спецмаштрест получил задание на разработку средств механизации артиллерии большой и особой мощности. Предлагалось в срок до 1 мая 1932 г. разра</w:t>
      </w:r>
      <w:r w:rsidRPr="00E93F40">
        <w:rPr>
          <w:rFonts w:ascii="Times New Roman" w:hAnsi="Times New Roman"/>
          <w:color w:val="000000" w:themeColor="text1"/>
          <w:sz w:val="16"/>
          <w:szCs w:val="16"/>
        </w:rPr>
        <w:softHyphen/>
        <w:t>ботать и представить на согласование Артуправлению «само</w:t>
      </w:r>
      <w:r w:rsidRPr="00E93F40">
        <w:rPr>
          <w:rFonts w:ascii="Times New Roman" w:hAnsi="Times New Roman"/>
          <w:color w:val="000000" w:themeColor="text1"/>
          <w:sz w:val="16"/>
          <w:szCs w:val="16"/>
        </w:rPr>
        <w:softHyphen/>
        <w:t>ходный корпусной триплекс», содержащий 107-мм пушку обр. 1909/30 гг., 152-мм гаубицу обр. 1909/30 гг. и 203-мм мор</w:t>
      </w:r>
      <w:r w:rsidRPr="00E93F40">
        <w:rPr>
          <w:rFonts w:ascii="Times New Roman" w:hAnsi="Times New Roman"/>
          <w:color w:val="000000" w:themeColor="text1"/>
          <w:sz w:val="16"/>
          <w:szCs w:val="16"/>
        </w:rPr>
        <w:softHyphen/>
        <w:t>тиру обр. 1929 г. (мортира «Ж»), а также «триплекс Тяжелой Артиллерии Особого Назначения (ТАОН)», который должен был состоять из 152-мм пушки большой мощности, 203-мм гаубицы обр. 1929/31 гг. и 305-мм мортиры обр. 1931 г. Для «корпусного триплекса» выбрали удлиненное шасси среднего танка Т-24, а для «триплекса ТАОН» — шасси с использованием узлов тяжелого танка Т-35 (типа ТГ). Но изготовление «корпусно</w:t>
      </w:r>
      <w:r w:rsidRPr="00E93F40">
        <w:rPr>
          <w:rFonts w:ascii="Times New Roman" w:hAnsi="Times New Roman"/>
          <w:color w:val="000000" w:themeColor="text1"/>
          <w:sz w:val="16"/>
          <w:szCs w:val="16"/>
        </w:rPr>
        <w:softHyphen/>
        <w:t>го триплекса» было отложено на два года, а для «триплекса ТАОН» в тот момент не нашлось вооружения, так как и 152-мм пушка большой мощности, и 305-мм мортира еще не были созданы. На проработку был подан лишь гаубичный вариант, вооруженный 203-мм орудием обр. 1929/31 гг. (Б-4). Он получил индекс СУ-14. Одновременно по особому распоряжению штаба РККА началась эскизная проработка еще более мощной самоходной системы (11417).</w:t>
      </w:r>
    </w:p>
    <w:p w14:paraId="33FDE8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CFED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состоялось рассмотрение эскизных проектов самоходной артилле</w:t>
      </w:r>
      <w:r w:rsidRPr="00E93F40">
        <w:rPr>
          <w:rFonts w:ascii="Times New Roman" w:hAnsi="Times New Roman"/>
          <w:color w:val="000000" w:themeColor="text1"/>
          <w:sz w:val="16"/>
          <w:szCs w:val="16"/>
        </w:rPr>
        <w:softHyphen/>
        <w:t>рии большой мощности состоялось, и в целом они были одобрены. Для «корпусного триплекса» выбрали удлиненное шасси среднего танка Т-24, а для «триплекса ТАОН» — шасси с использованием узлов тяжелого танка Т-35 (типа ТГ). Но изготовление «корпусного триплекса» было отложено на два года, а для «триплекса ТАОН» в тот момент не нашлось вооружения, так как ни 152-мм пушка большой мощности, ни 305-мм мортира еще не были созда</w:t>
      </w:r>
      <w:r w:rsidRPr="00E93F40">
        <w:rPr>
          <w:rFonts w:ascii="Times New Roman" w:hAnsi="Times New Roman"/>
          <w:color w:val="000000" w:themeColor="text1"/>
          <w:sz w:val="16"/>
          <w:szCs w:val="16"/>
        </w:rPr>
        <w:softHyphen/>
        <w:t>ны. Поэтому работы над СУ-14 продолжались. Одновре</w:t>
      </w:r>
      <w:r w:rsidRPr="00E93F40">
        <w:rPr>
          <w:rFonts w:ascii="Times New Roman" w:hAnsi="Times New Roman"/>
          <w:color w:val="000000" w:themeColor="text1"/>
          <w:sz w:val="16"/>
          <w:szCs w:val="16"/>
        </w:rPr>
        <w:softHyphen/>
        <w:t>менно по особому распоряжению штаба РККА началась эскизная проработка еще более мощной самоходной системы (11417).</w:t>
      </w:r>
    </w:p>
    <w:p w14:paraId="79D528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7B9FCF" w14:textId="77777777" w:rsidR="00FF1077" w:rsidRPr="00E93F40" w:rsidRDefault="00FF10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июле 1932 г. были рассмотрены эскизные проекты "самоходного корпусного триплекса", состоящего из 107-мм пушки обр. 1910/30 гг., 152-мм гаубицы обр. 1909/30 гг. и 203-мм мортиры обр. 1930 г., а также "триплекса Тяжелой Артиллерии Особого Назначения (ТАОН)", вооруженного 152-мм (или 1 30-мм) пушкой, 203-мм гаубицей обр. 1929/31 гг. и 305-мм мортирой и в целом одобрены. Для "корпусного триплекса" решили использовать удлиненное шасси среднего </w:t>
      </w:r>
      <w:hyperlink r:id="rId189"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 Т-24, а для "триплекса ТАОН" - специальное шасси, включающее узлы создававшегося в то время тяжелого </w:t>
      </w:r>
      <w:hyperlink r:id="rId190"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 Но изготовление "корпусного триплекса" было отложено на </w:t>
      </w:r>
      <w:r w:rsidRPr="00E93F40">
        <w:rPr>
          <w:rFonts w:ascii="Times New Roman" w:hAnsi="Times New Roman"/>
          <w:color w:val="000000" w:themeColor="text1"/>
          <w:sz w:val="16"/>
          <w:szCs w:val="16"/>
        </w:rPr>
        <w:lastRenderedPageBreak/>
        <w:t>два года, а для "триплекса ТАОН" не нашлось вооружения, так как ни 152-мм пушки большой мощности, ни 305-мм мортиры еще не было. На проработку был подан лишь гаубичный вариант "триплекса", вооруженного 203-мм орудием Б-4 (15647).</w:t>
      </w:r>
    </w:p>
    <w:p w14:paraId="7EAE7813" w14:textId="77777777" w:rsidR="00FF1077" w:rsidRPr="00E93F40" w:rsidRDefault="00FF1077" w:rsidP="00E93F40">
      <w:pPr>
        <w:spacing w:after="0" w:line="240" w:lineRule="auto"/>
        <w:jc w:val="both"/>
        <w:rPr>
          <w:rFonts w:ascii="Times New Roman" w:hAnsi="Times New Roman"/>
          <w:color w:val="000000" w:themeColor="text1"/>
          <w:sz w:val="16"/>
          <w:szCs w:val="16"/>
        </w:rPr>
      </w:pPr>
    </w:p>
    <w:p w14:paraId="06417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июле 1932 года на Сталинградском тракторном заводе, только что вышедшим на проектную мощность, под руководством В.Г.Станкевича началась разработка пахотного гусеничного трактора средней мощности (порядка 50 л.с) и сразу возникла идея сделать его универсальным, по образцу испытывавшегося у нас английского трактора «Виккерс-Карден-Ллойд» — одновременно сельскохозяйственным, транспортным и тягачом, способным буксировать прицепы по бездорожью. Последнее назначение учитывало прежде всего интересы армии. </w:t>
      </w:r>
    </w:p>
    <w:p w14:paraId="18019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мае 1933 года универсальный гусеничный трактор «Комсомолец» (не путать с тягачом Т-20) с опытным дизелем был построен, но оказался не совсем удачным, и не столько по своей конструкции (увеличенная масса, неудобная компоновка, недове-денность двигателя, малая надежность агрегатов), сколько по общему замыслу, Выяснилось, что совместить в одной машине противоречивые требования к принципиально различным условиям эксплуатации невозможно. От идеи универсальной машины пришлось отказаться, но спроектировать два трактора — сельскохозяйственный и транспортный, максимально унифицированных по своим основным агрегатам, способных выпускаться параллельно на одном конвейере, представлялось тогда реальным. </w:t>
      </w:r>
    </w:p>
    <w:p w14:paraId="0F377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этой инициативой и выступили летом 1933 года конструкторы НАТИ. Ими предлагалась обратная поузловая унификация, когда сельскохозяйственный вариант трактора получал элементы трансмиссии и ходовой части, более характерные для быстроходной гусеничной машины; четырехступенчатую коробку передач с возможностью увеличения числа ступеней, двухкат-ковые блокированные пружино-балансирные каретки подвески, легкие и ажурные литые траки гусениц, торцевой отбор мощности, закрытую кабину (Через несколько десятков лет, когда потребовались более высокие рабочие скорости сельскохозяйственных тракторов, эти удачно выбранные конструктивные элементы оказались для них очень уместными). Эти прогрессивные решения, заложенные в конструкцию транспортного трактора, при его ограниченных сцепных возможностях и мощности двигателя, не обеспечивали выполнения всех требований к полноценному среднему артиллерийскому тягачу для армии, но позволяли в определенной мере содействовать решению транспортных задач. </w:t>
      </w:r>
    </w:p>
    <w:p w14:paraId="5CDD3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двух видов тракторов под общим руководством В.Я.Слонимского (НАТИ) велась параллельно в течение двух лет на СТЗ объединенным КБ (30 человек), куда входили заводские инженеры и прикомандированные к ним работники института. Большой вклад в создание транспортного трактора СТЗ-НАТИ 2ТВ (чаще использовалось заводское название СТЗ-5) внесли конструкторы И.И.Дронг, В.А.Кэр-гополов, Г.Ф.Матюков и Г.В.Соколов — от СТЗ; А.В.Васильев, В.Э.Малаховский, Д.А.Чудаков и В.Н.Тюляев - от НАТИ (11639).</w:t>
      </w:r>
    </w:p>
    <w:p w14:paraId="2D093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1833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конструкторы СТЗ во главе с начальником КБ В. Станкевичем встали за кульманы, а в сентябре закончили компоновочные чертежи первого советского гусеничного трактора средней мощности (11418).</w:t>
      </w:r>
    </w:p>
    <w:p w14:paraId="1C7E8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5605B7" w14:textId="77777777" w:rsidR="00FF1077" w:rsidRPr="00E93F40" w:rsidRDefault="00FF10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года были построены два экспериментальных экземпляра седельных тягачей АМО-7, сразу вслед за опытными АМО-5 и АМО-6. Базовое шасси было не АМО-3, а еще старое - АМО-2. Дело в том, что в СССР экспериментальные автомобили, которые не готовились к производству, старались делать на старых шасси. Технический проект тягача разрабатывали в НАТИ. Надо сказать, что все проекты седельных тягачей в СССР до 1945 года разрабатывало только КБ НАТИ. Институт сам и проводил испытания собственных конструкций. Завод опытных конструкций при НАТИ начал функционировать только к середине 1932 года, поэтому АМО-7 был собран непосредственно на заводе АМО.</w:t>
      </w:r>
    </w:p>
    <w:p w14:paraId="28261F7D" w14:textId="77777777" w:rsidR="00FF1077" w:rsidRPr="00E93F40" w:rsidRDefault="00FF10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укороченной до 2920 мм базы и установки на него «седла» заменили также лобовое стекло. До этого на автомобилях АМО использовали по два обзорных стекла с перегородкой, в конструкции же АМО-7 лобовое стекло сделали цельным. При этом боковых стекол по-прежнему не было: оконные проемы в дверях кабины закрывались брезентовыми шторками с целлулоидными окошками.</w:t>
      </w:r>
    </w:p>
    <w:p w14:paraId="5992C85D" w14:textId="77777777" w:rsidR="00FF1077" w:rsidRPr="00E93F40" w:rsidRDefault="00FF10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стандартный двигатель, установленный на машине, развивал всего 60 л.с., коробку передач пришлось использовать с понижающим передаточным числом. Это еще не был демультипликатор, а только редуктор, который позволял при мощности двигателя в 60 л.с. повышать номинальную мощность автомобиля. Передаточное число заднего хода было понижено с 5,35:1 к 8,00:1. Автомобиль был изначально экспериментальным - не было даже и речи о его мелкосерийном выпуске. Полуприцеп для тягача собрали на самом АМО. Это был даже и не полуприцеп, а тележка с рамой, на которую клали грузила. Конструкция сцепного механизма была весьма примитивной; лоток для приема соединительного устройства был выполнен неудобно, не параллельно шасси, из-за чего рама полуприцепа должна была быть изогнутой вверх. На фотографии это хорошо заметно. Неясно, как можно было при такой конструкции построить полноценный полуприцеп.</w:t>
      </w:r>
    </w:p>
    <w:p w14:paraId="6F1D7C56" w14:textId="77777777" w:rsidR="00FF1077" w:rsidRPr="00E93F40" w:rsidRDefault="00FF10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 информация о результатах испытаний первого тягача содержится в одной фразе: «Автомобили показали хороший результат на испытаниях». Тем не менее эту тему АМО (в 1933 году переименованный в «Завод им. Сталина») не развивал в течение трех лет. Сами же опытные тягачи еще некоторое время выполняли на заводе роль «бобиков» (сленговое обозначение автомобилей для внутризаводских перевозок) (15992).</w:t>
      </w:r>
    </w:p>
    <w:p w14:paraId="5937E64D" w14:textId="77777777" w:rsidR="00FF1077" w:rsidRPr="00E93F40" w:rsidRDefault="00FF1077" w:rsidP="00E93F40">
      <w:pPr>
        <w:spacing w:after="0" w:line="240" w:lineRule="auto"/>
        <w:jc w:val="both"/>
        <w:rPr>
          <w:rFonts w:ascii="Times New Roman" w:hAnsi="Times New Roman"/>
          <w:color w:val="000000" w:themeColor="text1"/>
          <w:sz w:val="16"/>
          <w:szCs w:val="16"/>
        </w:rPr>
      </w:pPr>
    </w:p>
    <w:p w14:paraId="440C3A0F"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года, сразу вслед за опытными АМО-5 и АМО-6 были построены два экспериментальных экземпляра седельного тягача АМО-7. Базовое шасси было не АМО-3, а еще старое — АМО-2. Дело в том, что в СССР экспериментальные автомобили, которые не готовились к производству, старались делать на старых шасси. Технический проект тягача разрабатывали в НАТИ. Надо сказать, что все проекты седельных тягачей в СССР до 1945 года разрабатывало только КБ НАТИ. Институт сам и проводил испытания собственных конструкций. Завод опытных конструкций при НАТИ начал функционировать только к середине 1932 года, поэтому АМО-7 был собран непосредственно на заводе АМО.</w:t>
      </w:r>
    </w:p>
    <w:p w14:paraId="241C29A4"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укороченной до 2920 мм базы и установки на него «седла» заменили также лобовое стекло. До этого на автомобилях АМО использовали по два обзорных стекла с перегородкой, в конструкции же АМО-7 лобовое стекло сделали цельным. При этом боковых стекол по-прежнему не было: оконные проемы в дверях кабины закрывались брезентовыми шторками с целлулоидными окошками.</w:t>
      </w:r>
    </w:p>
    <w:p w14:paraId="67764A66"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стандартный двигатель, установленный на машине, развивал всего 60 л.с., коробку передач пришлось использовать с понижающим передаточным числом. Это еще не был демультипликатор, а только редуктор, который позволял при мощности двигателя в 60 л.с. повышать номинальную мощность автомобиля. Передаточное число заднего хода было понижено с 5,35:1 к 8,00:1. Автомобиль был изначально экспериментальным — не было даже и речи о его мелкосерийном выпуске. Полуприцеп для тягача собрали на самом АМО. Это был даже и не полуприцеп, а тележка с рамой, на которую клали грузила. Конструкция сцепного механизма была весьма примитивной; лоток для приема соединительного устройства был выполнен неудобно, не параллельно шасси, из-за чего рама полуприцепа должна была быть изогнутой вверх. На фотографии это хорошо заметно. Неясно, как можно было при такой конструкции построить полноценный полуприцеп.</w:t>
      </w:r>
    </w:p>
    <w:p w14:paraId="40111262" w14:textId="77777777" w:rsidR="00775AEA" w:rsidRPr="00142305" w:rsidRDefault="00775AEA" w:rsidP="00775AE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Вся информация о результатах испытаний первого тягача содержится в одной фразе: «Автомобили показали хороший результат на испытаниях». Тем не менее эту тему АМО (в 1933 году переименованный в «Завод им. Сталина») не развивал в течение трех лет. Сами же опытные тягачи еще некоторое время выполняли на заводе роль «бобиков» (сленговое обозначение автомобилей для внутризаводских перевозок) (25598).</w:t>
      </w:r>
    </w:p>
    <w:p w14:paraId="69FAFF95" w14:textId="77777777" w:rsidR="00775AEA" w:rsidRPr="00142305" w:rsidRDefault="00775AEA" w:rsidP="00775AEA">
      <w:pPr>
        <w:spacing w:after="0" w:line="240" w:lineRule="auto"/>
        <w:jc w:val="both"/>
        <w:rPr>
          <w:rFonts w:ascii="Times New Roman" w:hAnsi="Times New Roman"/>
          <w:color w:val="0070C0"/>
          <w:sz w:val="16"/>
          <w:szCs w:val="16"/>
        </w:rPr>
      </w:pPr>
    </w:p>
    <w:p w14:paraId="508B09F0" w14:textId="77777777" w:rsidR="00EA580C" w:rsidRPr="00E93F40" w:rsidRDefault="00EA580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Июль 1932. Приступил к производству изделий завод "Калибр" (18723).</w:t>
      </w:r>
    </w:p>
    <w:p w14:paraId="01092098" w14:textId="77777777" w:rsidR="00EA580C" w:rsidRPr="00E93F40" w:rsidRDefault="00EA580C" w:rsidP="00E93F40">
      <w:pPr>
        <w:spacing w:after="0" w:line="240" w:lineRule="auto"/>
        <w:jc w:val="both"/>
        <w:rPr>
          <w:rFonts w:ascii="Times New Roman" w:hAnsi="Times New Roman"/>
          <w:color w:val="000000" w:themeColor="text1"/>
          <w:sz w:val="16"/>
          <w:szCs w:val="16"/>
        </w:rPr>
      </w:pPr>
    </w:p>
    <w:p w14:paraId="563429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заместитель наморси И. М. Лудри, утвердил оперативно-тактическое задание на мореходный 45-узловой торпедный катер водоизмещением "не более 50 т", вооруженный двумя 12,7-мм пулеметами. Катер пред</w:t>
      </w:r>
      <w:r w:rsidRPr="00E93F40">
        <w:rPr>
          <w:rFonts w:ascii="Times New Roman" w:hAnsi="Times New Roman"/>
          <w:color w:val="000000" w:themeColor="text1"/>
          <w:sz w:val="16"/>
          <w:szCs w:val="16"/>
        </w:rPr>
        <w:softHyphen/>
        <w:t>назначался для применения разрабатывавшихся тогда в Остехбюро "сверхторпед" типа "СУ" калибром 24 или 27 дюймов (610 и 686 мм). Предполагалось, что стрельба этими торпедами будет вес</w:t>
      </w:r>
      <w:r w:rsidRPr="00E93F40">
        <w:rPr>
          <w:rFonts w:ascii="Times New Roman" w:hAnsi="Times New Roman"/>
          <w:color w:val="000000" w:themeColor="text1"/>
          <w:sz w:val="16"/>
          <w:szCs w:val="16"/>
        </w:rPr>
        <w:softHyphen/>
        <w:t>тись с дистанции около 100 каб. (18,5 км). Задание не бьшо реа</w:t>
      </w:r>
      <w:r w:rsidRPr="00E93F40">
        <w:rPr>
          <w:rFonts w:ascii="Times New Roman" w:hAnsi="Times New Roman"/>
          <w:color w:val="000000" w:themeColor="text1"/>
          <w:sz w:val="16"/>
          <w:szCs w:val="16"/>
        </w:rPr>
        <w:softHyphen/>
        <w:t>лизовано из-за сложности создания самого оружия и ориентации командования ВМФ на уже освоенные промышленностью малые катера, для вывода которых в атаку создавался специальный лидер (3898).</w:t>
      </w:r>
    </w:p>
    <w:p w14:paraId="2A3B55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5D59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года научно-технический совет Союзверфи ут</w:t>
      </w:r>
      <w:r w:rsidRPr="00E93F40">
        <w:rPr>
          <w:rFonts w:ascii="Times New Roman" w:hAnsi="Times New Roman"/>
          <w:color w:val="000000" w:themeColor="text1"/>
          <w:sz w:val="16"/>
          <w:szCs w:val="16"/>
        </w:rPr>
        <w:softHyphen/>
        <w:t>вердил эскизный проект нового научно-исследовательского комби</w:t>
      </w:r>
      <w:r w:rsidRPr="00E93F40">
        <w:rPr>
          <w:rFonts w:ascii="Times New Roman" w:hAnsi="Times New Roman"/>
          <w:color w:val="000000" w:themeColor="text1"/>
          <w:sz w:val="16"/>
          <w:szCs w:val="16"/>
        </w:rPr>
        <w:softHyphen/>
        <w:t>ната, строительство которого предполагалось в три очереди: пер</w:t>
      </w:r>
      <w:r w:rsidRPr="00E93F40">
        <w:rPr>
          <w:rFonts w:ascii="Times New Roman" w:hAnsi="Times New Roman"/>
          <w:color w:val="000000" w:themeColor="text1"/>
          <w:sz w:val="16"/>
          <w:szCs w:val="16"/>
        </w:rPr>
        <w:softHyphen/>
        <w:t>вая — большие опытовые бассейны; вторая —- лаборатории с необ</w:t>
      </w:r>
      <w:r w:rsidRPr="00E93F40">
        <w:rPr>
          <w:rFonts w:ascii="Times New Roman" w:hAnsi="Times New Roman"/>
          <w:color w:val="000000" w:themeColor="text1"/>
          <w:sz w:val="16"/>
          <w:szCs w:val="16"/>
        </w:rPr>
        <w:softHyphen/>
        <w:t>ходимым оборудованием для исследований в области теории ко</w:t>
      </w:r>
      <w:r w:rsidRPr="00E93F40">
        <w:rPr>
          <w:rFonts w:ascii="Times New Roman" w:hAnsi="Times New Roman"/>
          <w:color w:val="000000" w:themeColor="text1"/>
          <w:sz w:val="16"/>
          <w:szCs w:val="16"/>
        </w:rPr>
        <w:softHyphen/>
        <w:t>рабля, строительно механики, энергетики, электротехники и технологии; третья — учебный сектор. Реализация этих планов началась позже, а пока решили огра</w:t>
      </w:r>
      <w:r w:rsidRPr="00E93F40">
        <w:rPr>
          <w:rFonts w:ascii="Times New Roman" w:hAnsi="Times New Roman"/>
          <w:color w:val="000000" w:themeColor="text1"/>
          <w:sz w:val="16"/>
          <w:szCs w:val="16"/>
        </w:rPr>
        <w:softHyphen/>
        <w:t>ничиться модернизацией существовавшего Опытового бассейна. В начале 30-х гг. за счет перепланировки соседнего с бассейном зда</w:t>
      </w:r>
      <w:r w:rsidRPr="00E93F40">
        <w:rPr>
          <w:rFonts w:ascii="Times New Roman" w:hAnsi="Times New Roman"/>
          <w:color w:val="000000" w:themeColor="text1"/>
          <w:sz w:val="16"/>
          <w:szCs w:val="16"/>
        </w:rPr>
        <w:softHyphen/>
        <w:t>ния архива удалось увеличить длину канала на 20 м. Была построе</w:t>
      </w:r>
      <w:r w:rsidRPr="00E93F40">
        <w:rPr>
          <w:rFonts w:ascii="Times New Roman" w:hAnsi="Times New Roman"/>
          <w:color w:val="000000" w:themeColor="text1"/>
          <w:sz w:val="16"/>
          <w:szCs w:val="16"/>
        </w:rPr>
        <w:softHyphen/>
        <w:t>на третья буксировочная тележка и установлены тяжелые рельсы железнодорожного профиля. Все это позволило довести скорость буксировки моделей на рабочем участке до 7 м/с.</w:t>
      </w:r>
    </w:p>
    <w:p w14:paraId="354A86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Германии была заказана и изготовлена новая гидродинами</w:t>
      </w:r>
      <w:r w:rsidRPr="00E93F40">
        <w:rPr>
          <w:rFonts w:ascii="Times New Roman" w:hAnsi="Times New Roman"/>
          <w:color w:val="000000" w:themeColor="text1"/>
          <w:sz w:val="16"/>
          <w:szCs w:val="16"/>
        </w:rPr>
        <w:softHyphen/>
        <w:t>ческая установка — кавитационная труба для исследований неболь</w:t>
      </w:r>
      <w:r w:rsidRPr="00E93F40">
        <w:rPr>
          <w:rFonts w:ascii="Times New Roman" w:hAnsi="Times New Roman"/>
          <w:color w:val="000000" w:themeColor="text1"/>
          <w:sz w:val="16"/>
          <w:szCs w:val="16"/>
        </w:rPr>
        <w:softHyphen/>
        <w:t>ших моделей корпусов кораблей и гребных винтов. Монтаж обору</w:t>
      </w:r>
      <w:r w:rsidRPr="00E93F40">
        <w:rPr>
          <w:rFonts w:ascii="Times New Roman" w:hAnsi="Times New Roman"/>
          <w:color w:val="000000" w:themeColor="text1"/>
          <w:sz w:val="16"/>
          <w:szCs w:val="16"/>
        </w:rPr>
        <w:softHyphen/>
        <w:t>дования и пусконаладочные испытания кавитационной трубы вы</w:t>
      </w:r>
      <w:r w:rsidRPr="00E93F40">
        <w:rPr>
          <w:rFonts w:ascii="Times New Roman" w:hAnsi="Times New Roman"/>
          <w:color w:val="000000" w:themeColor="text1"/>
          <w:sz w:val="16"/>
          <w:szCs w:val="16"/>
        </w:rPr>
        <w:softHyphen/>
        <w:t>полнялись коллективом Опытового бассейна (3898).</w:t>
      </w:r>
    </w:p>
    <w:p w14:paraId="071CA0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48A3B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DBE1A9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1801E5" w14:textId="77777777" w:rsidR="00AA2E5E" w:rsidRPr="00142305" w:rsidRDefault="00AA2E5E" w:rsidP="00AA2E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 УВВС подготовило план на 1932 - 1933 гг. по созданию на всех флотах отрядов по 10 - 15 машин для радиоуправления торпедными кате</w:t>
      </w:r>
      <w:r w:rsidRPr="00142305">
        <w:rPr>
          <w:rFonts w:ascii="Times New Roman" w:hAnsi="Times New Roman"/>
          <w:color w:val="0070C0"/>
          <w:sz w:val="16"/>
          <w:szCs w:val="16"/>
        </w:rPr>
        <w:softHyphen/>
        <w:t>рами. В 1932 г. намеревались принять 16 самолетов «волнового управления», в 1933 г. - от 24 до 30. Реальные мас</w:t>
      </w:r>
      <w:r w:rsidRPr="00142305">
        <w:rPr>
          <w:rFonts w:ascii="Times New Roman" w:hAnsi="Times New Roman"/>
          <w:color w:val="0070C0"/>
          <w:sz w:val="16"/>
          <w:szCs w:val="16"/>
        </w:rPr>
        <w:softHyphen/>
        <w:t>штабы оказались существенно меньше. Всего специальной аппаратурой оборудо</w:t>
      </w:r>
      <w:r w:rsidRPr="00142305">
        <w:rPr>
          <w:rFonts w:ascii="Times New Roman" w:hAnsi="Times New Roman"/>
          <w:color w:val="0070C0"/>
          <w:sz w:val="16"/>
          <w:szCs w:val="16"/>
        </w:rPr>
        <w:softHyphen/>
        <w:t>вали до 15 С-62Б и МБР-4. Эти машины именовались С-62ВУ (или С-62БВУ) и МБР-4ВУ (24948).</w:t>
      </w:r>
    </w:p>
    <w:p w14:paraId="340D6A96" w14:textId="77777777" w:rsidR="00AA2E5E" w:rsidRPr="00142305" w:rsidRDefault="00AA2E5E" w:rsidP="00AA2E5E">
      <w:pPr>
        <w:spacing w:after="0" w:line="240" w:lineRule="auto"/>
        <w:jc w:val="both"/>
        <w:rPr>
          <w:rFonts w:ascii="Times New Roman" w:hAnsi="Times New Roman"/>
          <w:color w:val="0070C0"/>
          <w:sz w:val="16"/>
          <w:szCs w:val="16"/>
        </w:rPr>
      </w:pPr>
    </w:p>
    <w:p w14:paraId="710F1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вышло постановление о создании авиации пограничной охраны, находившейся тогда в ведении ОГПУ. В число первых формируемых ее частей вошли отдельные отряды в Алма-Ате, Ташкенте и Мары. В 1933 г. к ним добавился отряд в Ташаузе. Авиация ОГПУ сначала получила самолеты Р-1 и Р-ЗЛД, переданные из ВВС. Пограничники взяли на себя разведку приграничных районов, связь и, частично, транспортные перевозки. Год от года организация и обеспечение военных действий совершенствовались. В 1933 г. они были сосредоточены в Туркмении. В отличие от предыдущих лет войска вывели в поле к самому концу осени 1932 г. Масштабы операций были куда меньше, чем в 1931 г. Любой народ постепенно устает от непрерывной войны. Туркмены не были исключением. Соответственно, и нужда в поддержке с воздуха была небольшой. Из Ташкента перебросили одно звено 1-го отряда 37-й аэ и звено из состава 40-го ао. Противниками являлись недобитые ранее банды Дурды-Мурды, Анна-Кули и Ахмет-бека. Самолеты вели разведку, оперативно сообщая войскам о ее результатах вымпелами, для поиска и подбора которых впервые использовали специально выдрессированных собак. Иногда летчики и сами атаковали басмачей бомбами и пулеметным огнем. К концу января 1933 г. все участвовавшие в операциях самолеты отозвали. Им на смену прибыли машины 40-го ао, размещенные в Кызыл-Арвате. Они действовали в Каракумах до конца марта (11985).</w:t>
      </w:r>
    </w:p>
    <w:p w14:paraId="6AAB7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B75E7B" w14:textId="77777777" w:rsidR="005D1C71" w:rsidRPr="00E93F40" w:rsidRDefault="005D1C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года VII Всесоюзная конференция ВЛКСМ категорически потребовала: «Каждый комсомолец обязан знать строй и обращение, пользоваться каким-либо родом оружия. Кто этого не достигнет, тот делает штрейкбрехерство перед страной, тот сам себе враг» (РГАСПИ. Ф. 37. Оп. 7. Д. 34. Л. 46) (21402).</w:t>
      </w:r>
    </w:p>
    <w:p w14:paraId="53B0841A" w14:textId="77777777" w:rsidR="005D1C71" w:rsidRPr="00E93F40" w:rsidRDefault="005D1C71" w:rsidP="00E93F40">
      <w:pPr>
        <w:spacing w:after="0" w:line="240" w:lineRule="auto"/>
        <w:jc w:val="both"/>
        <w:rPr>
          <w:rFonts w:ascii="Times New Roman" w:hAnsi="Times New Roman"/>
          <w:color w:val="000000" w:themeColor="text1"/>
          <w:sz w:val="16"/>
          <w:szCs w:val="16"/>
        </w:rPr>
      </w:pPr>
    </w:p>
    <w:p w14:paraId="35C8B71B" w14:textId="77777777" w:rsidR="005D1C71" w:rsidRPr="00E93F40" w:rsidRDefault="005D1C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вышло постановление ЦК ВКП(б) и СНК СССР об аварийности в частях ВВС РККА, подписанное секретарем ЦК ВКП(б) И.В. Сталиным и председателем СНК СССР В.М. Молотовым. В данном постановлении наркому легкой промышленности Любимову И.Е. под личную ответственность была поставлена задача развернуть производство парашютов на имеющейся фабрике, чтобы обеспечить парашютами летный состав всей истребительной и бомбардировочной авиации не позднее 15 августа 1932 г., а весь прочий летный состав – не позднее 15 сентября 1932 г. (РГВА. Ф. 32871. Оп. 1. Д. 2. Л. 60) (21402).</w:t>
      </w:r>
    </w:p>
    <w:p w14:paraId="70256298" w14:textId="77777777" w:rsidR="005D1C71" w:rsidRPr="00E93F40" w:rsidRDefault="005D1C71" w:rsidP="00E93F40">
      <w:pPr>
        <w:spacing w:after="0" w:line="240" w:lineRule="auto"/>
        <w:jc w:val="both"/>
        <w:rPr>
          <w:rFonts w:ascii="Times New Roman" w:hAnsi="Times New Roman"/>
          <w:color w:val="000000" w:themeColor="text1"/>
          <w:sz w:val="16"/>
          <w:szCs w:val="16"/>
        </w:rPr>
      </w:pPr>
    </w:p>
    <w:p w14:paraId="08AD66D7" w14:textId="77777777" w:rsidR="00AA2E5E" w:rsidRPr="00142305" w:rsidRDefault="00AA2E5E" w:rsidP="00AA2E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 вышел приказ Наркомвоенмора с объявлением строгого вы</w:t>
      </w:r>
      <w:r w:rsidRPr="00142305">
        <w:rPr>
          <w:rFonts w:ascii="Times New Roman" w:hAnsi="Times New Roman"/>
          <w:color w:val="0070C0"/>
          <w:sz w:val="16"/>
          <w:szCs w:val="16"/>
        </w:rPr>
        <w:softHyphen/>
        <w:t>говора начальнику ВВС Балтийского моря Л. И. Никифорову за плохое состоя</w:t>
      </w:r>
      <w:r w:rsidRPr="00142305">
        <w:rPr>
          <w:rFonts w:ascii="Times New Roman" w:hAnsi="Times New Roman"/>
          <w:color w:val="0070C0"/>
          <w:sz w:val="16"/>
          <w:szCs w:val="16"/>
        </w:rPr>
        <w:softHyphen/>
        <w:t>ние дисциплины в частях ВВС Балтморя и непринятие мер к устранению причин катастроф (РГВА. Ф. 4. Оп. 15а. Д. 330. Л. 71) (24968).</w:t>
      </w:r>
    </w:p>
    <w:p w14:paraId="7F4F0950" w14:textId="77777777" w:rsidR="00AA2E5E" w:rsidRPr="00AA2E5E" w:rsidRDefault="00AA2E5E" w:rsidP="00AA2E5E">
      <w:pPr>
        <w:pStyle w:val="aff2"/>
        <w:tabs>
          <w:tab w:val="left" w:pos="594"/>
        </w:tabs>
        <w:spacing w:line="240" w:lineRule="auto"/>
        <w:rPr>
          <w:rFonts w:ascii="Times New Roman" w:hAnsi="Times New Roman" w:cs="Times New Roman"/>
          <w:i w:val="0"/>
          <w:iCs w:val="0"/>
          <w:color w:val="0070C0"/>
          <w:sz w:val="16"/>
          <w:szCs w:val="16"/>
          <w:lang w:val="ru-RU"/>
        </w:rPr>
      </w:pPr>
    </w:p>
    <w:p w14:paraId="4EA12BB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817D85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6756DD" w14:textId="77777777" w:rsidR="005D1C71" w:rsidRPr="00E93F40" w:rsidRDefault="005D1C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Июль 1932 состоялся первый полет Абриал А-12 Багоас Curtiss XP-934, позже приобретенный ВВС США как Curtiss XP-31 Swift, первого моноплана, разработанного Curtiss (20803).</w:t>
      </w:r>
    </w:p>
    <w:p w14:paraId="2C7C2D6F" w14:textId="77777777" w:rsidR="005D1C71" w:rsidRPr="00E93F40" w:rsidRDefault="005D1C71" w:rsidP="00E93F40">
      <w:pPr>
        <w:spacing w:after="0" w:line="240" w:lineRule="auto"/>
        <w:jc w:val="both"/>
        <w:rPr>
          <w:rFonts w:ascii="Times New Roman" w:hAnsi="Times New Roman"/>
          <w:color w:val="000000" w:themeColor="text1"/>
          <w:sz w:val="16"/>
          <w:szCs w:val="16"/>
        </w:rPr>
      </w:pPr>
    </w:p>
    <w:p w14:paraId="21E0B8B5"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еще в веймарской Германии началось проектирование будущего Do 17. Бюро вооружений рейхсминистерства обо</w:t>
      </w:r>
      <w:r w:rsidRPr="00E93F40">
        <w:rPr>
          <w:rFonts w:ascii="Times New Roman" w:hAnsi="Times New Roman"/>
          <w:color w:val="000000" w:themeColor="text1"/>
          <w:sz w:val="16"/>
          <w:szCs w:val="16"/>
        </w:rPr>
        <w:softHyphen/>
        <w:t>роны выработало технические требования к скоростному двухмоторному пассажир</w:t>
      </w:r>
      <w:r w:rsidRPr="00E93F40">
        <w:rPr>
          <w:rFonts w:ascii="Times New Roman" w:hAnsi="Times New Roman"/>
          <w:color w:val="000000" w:themeColor="text1"/>
          <w:sz w:val="16"/>
          <w:szCs w:val="16"/>
        </w:rPr>
        <w:softHyphen/>
        <w:t>скому самолету, который можно было бы переоборудовать для военных целей. Фир</w:t>
      </w:r>
      <w:r w:rsidRPr="00E93F40">
        <w:rPr>
          <w:rFonts w:ascii="Times New Roman" w:hAnsi="Times New Roman"/>
          <w:color w:val="000000" w:themeColor="text1"/>
          <w:sz w:val="16"/>
          <w:szCs w:val="16"/>
        </w:rPr>
        <w:softHyphen/>
        <w:t>ма «Дорнье» откликнулась на это предло</w:t>
      </w:r>
      <w:r w:rsidRPr="00E93F40">
        <w:rPr>
          <w:rFonts w:ascii="Times New Roman" w:hAnsi="Times New Roman"/>
          <w:color w:val="000000" w:themeColor="text1"/>
          <w:sz w:val="16"/>
          <w:szCs w:val="16"/>
        </w:rPr>
        <w:softHyphen/>
        <w:t>жение, и в начале 1933 г. на заводе в Манцелль-Фридрихсхафен был готов макет бу</w:t>
      </w:r>
      <w:r w:rsidRPr="00E93F40">
        <w:rPr>
          <w:rFonts w:ascii="Times New Roman" w:hAnsi="Times New Roman"/>
          <w:color w:val="000000" w:themeColor="text1"/>
          <w:sz w:val="16"/>
          <w:szCs w:val="16"/>
        </w:rPr>
        <w:softHyphen/>
        <w:t>дущей машины в пассажирской конфигу</w:t>
      </w:r>
      <w:r w:rsidRPr="00E93F40">
        <w:rPr>
          <w:rFonts w:ascii="Times New Roman" w:hAnsi="Times New Roman"/>
          <w:color w:val="000000" w:themeColor="text1"/>
          <w:sz w:val="16"/>
          <w:szCs w:val="16"/>
        </w:rPr>
        <w:softHyphen/>
        <w:t>рации. Характерной чертой самолета был фюзеляж необычайно большого удлине</w:t>
      </w:r>
      <w:r w:rsidRPr="00E93F40">
        <w:rPr>
          <w:rFonts w:ascii="Times New Roman" w:hAnsi="Times New Roman"/>
          <w:color w:val="000000" w:themeColor="text1"/>
          <w:sz w:val="16"/>
          <w:szCs w:val="16"/>
        </w:rPr>
        <w:softHyphen/>
        <w:t>ния. Овальное его сечение в носовой части переходило в перевернутый треугольник в центральной секции и вновь в овал дальше к хвосту. Пассажировместимость требова</w:t>
      </w:r>
      <w:r w:rsidRPr="00E93F40">
        <w:rPr>
          <w:rFonts w:ascii="Times New Roman" w:hAnsi="Times New Roman"/>
          <w:color w:val="000000" w:themeColor="text1"/>
          <w:sz w:val="16"/>
          <w:szCs w:val="16"/>
        </w:rPr>
        <w:softHyphen/>
        <w:t>лась весьма скромной — всего шесть чело</w:t>
      </w:r>
      <w:r w:rsidRPr="00E93F40">
        <w:rPr>
          <w:rFonts w:ascii="Times New Roman" w:hAnsi="Times New Roman"/>
          <w:color w:val="000000" w:themeColor="text1"/>
          <w:sz w:val="16"/>
          <w:szCs w:val="16"/>
        </w:rPr>
        <w:softHyphen/>
        <w:t>век (самолет предполагалось использовать на т.н. «экспресс-линиях», предназначен</w:t>
      </w:r>
      <w:r w:rsidRPr="00E93F40">
        <w:rPr>
          <w:rFonts w:ascii="Times New Roman" w:hAnsi="Times New Roman"/>
          <w:color w:val="000000" w:themeColor="text1"/>
          <w:sz w:val="16"/>
          <w:szCs w:val="16"/>
        </w:rPr>
        <w:softHyphen/>
        <w:t>ных для обслуживания бизнес-пассажиров, а не массового пассажиропотока). Но пре</w:t>
      </w:r>
      <w:r w:rsidRPr="00E93F40">
        <w:rPr>
          <w:rFonts w:ascii="Times New Roman" w:hAnsi="Times New Roman"/>
          <w:color w:val="000000" w:themeColor="text1"/>
          <w:sz w:val="16"/>
          <w:szCs w:val="16"/>
        </w:rPr>
        <w:softHyphen/>
        <w:t>дельно ужатый фюзеляж не позволил даже такое небольшое число пассажиров размес</w:t>
      </w:r>
      <w:r w:rsidRPr="00E93F40">
        <w:rPr>
          <w:rFonts w:ascii="Times New Roman" w:hAnsi="Times New Roman"/>
          <w:color w:val="000000" w:themeColor="text1"/>
          <w:sz w:val="16"/>
          <w:szCs w:val="16"/>
        </w:rPr>
        <w:softHyphen/>
        <w:t>тить нормально: самолет получил две отде</w:t>
      </w:r>
      <w:r w:rsidRPr="00E93F40">
        <w:rPr>
          <w:rFonts w:ascii="Times New Roman" w:hAnsi="Times New Roman"/>
          <w:color w:val="000000" w:themeColor="text1"/>
          <w:sz w:val="16"/>
          <w:szCs w:val="16"/>
        </w:rPr>
        <w:softHyphen/>
        <w:t>льные пассажирские кабины, разделенные лонжероном крыла. В первой из них нахо</w:t>
      </w:r>
      <w:r w:rsidRPr="00E93F40">
        <w:rPr>
          <w:rFonts w:ascii="Times New Roman" w:hAnsi="Times New Roman"/>
          <w:color w:val="000000" w:themeColor="text1"/>
          <w:sz w:val="16"/>
          <w:szCs w:val="16"/>
        </w:rPr>
        <w:softHyphen/>
        <w:t>дились два кресла, во второй — четыре (в два ряда спинками друг к другу). Для того чтобы занять свои места в тесных кабинах, пассажирам пришлось бы проявлять чуде</w:t>
      </w:r>
      <w:r w:rsidRPr="00E93F40">
        <w:rPr>
          <w:rFonts w:ascii="Times New Roman" w:hAnsi="Times New Roman"/>
          <w:color w:val="000000" w:themeColor="text1"/>
          <w:sz w:val="16"/>
          <w:szCs w:val="16"/>
        </w:rPr>
        <w:softHyphen/>
        <w:t>са акробатики (24192).</w:t>
      </w:r>
    </w:p>
    <w:p w14:paraId="451AC169" w14:textId="77777777" w:rsidR="008D371F" w:rsidRPr="00E93F40" w:rsidRDefault="008D371F" w:rsidP="00E93F40">
      <w:pPr>
        <w:spacing w:after="0" w:line="240" w:lineRule="auto"/>
        <w:jc w:val="both"/>
        <w:rPr>
          <w:rFonts w:ascii="Times New Roman" w:hAnsi="Times New Roman"/>
          <w:color w:val="000000" w:themeColor="text1"/>
          <w:sz w:val="16"/>
          <w:szCs w:val="16"/>
        </w:rPr>
      </w:pPr>
    </w:p>
    <w:p w14:paraId="0F405452" w14:textId="77777777" w:rsidR="00AA2E5E" w:rsidRPr="00142305" w:rsidRDefault="00AA2E5E" w:rsidP="00AA2E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июля 1932 года средний танка, идея которого во</w:t>
      </w:r>
      <w:r>
        <w:rPr>
          <w:rFonts w:ascii="Times New Roman" w:hAnsi="Times New Roman"/>
          <w:color w:val="0070C0"/>
          <w:sz w:val="16"/>
          <w:szCs w:val="16"/>
        </w:rPr>
        <w:t>зн</w:t>
      </w:r>
      <w:r w:rsidRPr="00142305">
        <w:rPr>
          <w:rFonts w:ascii="Times New Roman" w:hAnsi="Times New Roman"/>
          <w:color w:val="0070C0"/>
          <w:sz w:val="16"/>
          <w:szCs w:val="16"/>
        </w:rPr>
        <w:t>икла в 6-м отделе Управления вооружений Гкрмании, фигурировал в документах управления под названиями mittlerer Traktor (средний тракт'ор), Gr.Tr. Nachbau (модернизированный большой трактор), M.Tr.Neubau (средний трактор но</w:t>
      </w:r>
      <w:r w:rsidRPr="00142305">
        <w:rPr>
          <w:rFonts w:ascii="Times New Roman" w:hAnsi="Times New Roman"/>
          <w:color w:val="0070C0"/>
          <w:sz w:val="16"/>
          <w:szCs w:val="16"/>
        </w:rPr>
        <w:softHyphen/>
        <w:t>вой конструкции) и Gr.Tr.Neubau (большой трактор новой постройки или конструкции). Обозначение Nd.Fz. (Neubau Fahrzeug - машина новой конструкции или вновь по</w:t>
      </w:r>
      <w:r w:rsidRPr="00142305">
        <w:rPr>
          <w:rFonts w:ascii="Times New Roman" w:hAnsi="Times New Roman"/>
          <w:color w:val="0070C0"/>
          <w:sz w:val="16"/>
          <w:szCs w:val="16"/>
        </w:rPr>
        <w:softHyphen/>
        <w:t>строенная машина) появилось 3 октября 1933 года по распоряжению 6-го отдела.</w:t>
      </w:r>
    </w:p>
    <w:p w14:paraId="31EF8B62" w14:textId="77777777" w:rsidR="00AA2E5E" w:rsidRPr="00142305" w:rsidRDefault="00AA2E5E" w:rsidP="00AA2E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Первый образец танка (Nb.Fz. № 1), изготовленный фирмой «Рейнметалл», по</w:t>
      </w:r>
      <w:r w:rsidRPr="00142305">
        <w:rPr>
          <w:rFonts w:ascii="Times New Roman" w:hAnsi="Times New Roman"/>
          <w:color w:val="0070C0"/>
          <w:sz w:val="16"/>
          <w:szCs w:val="16"/>
        </w:rPr>
        <w:softHyphen/>
        <w:t>ступил на испытания в 1934 году (25048).</w:t>
      </w:r>
    </w:p>
    <w:p w14:paraId="4DC2EDEA" w14:textId="77777777" w:rsidR="00AA2E5E" w:rsidRPr="00142305" w:rsidRDefault="00AA2E5E" w:rsidP="00AA2E5E">
      <w:pPr>
        <w:spacing w:after="0" w:line="240" w:lineRule="auto"/>
        <w:jc w:val="both"/>
        <w:rPr>
          <w:rFonts w:ascii="Times New Roman" w:hAnsi="Times New Roman"/>
          <w:color w:val="0070C0"/>
          <w:sz w:val="16"/>
          <w:szCs w:val="16"/>
        </w:rPr>
      </w:pPr>
    </w:p>
    <w:p w14:paraId="2023B13D" w14:textId="77777777" w:rsidR="005D1C71" w:rsidRPr="00E93F40" w:rsidRDefault="005D1C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Адольф Гитлер, который раньше использовал воздушные путешествия для участия в политической кампании в нескольких городах и поселках за один день, совершает свой третий «полет над Германией», 14-дневное воздушное путешествие, в котором он появляется в 50 городах. встречи. Гитлер стал пионером в использовании авиаперелетов в политических кампаниях в своих первых двух «Полетах над Германией» во время избирательной кампании в Германии в марте-апреле 1932 года (20803).</w:t>
      </w:r>
    </w:p>
    <w:p w14:paraId="14533CEA" w14:textId="77777777" w:rsidR="005D1C71" w:rsidRPr="00E93F40" w:rsidRDefault="005D1C71" w:rsidP="00E93F40">
      <w:pPr>
        <w:spacing w:after="0" w:line="240" w:lineRule="auto"/>
        <w:jc w:val="both"/>
        <w:rPr>
          <w:rFonts w:ascii="Times New Roman" w:hAnsi="Times New Roman"/>
          <w:color w:val="000000" w:themeColor="text1"/>
          <w:sz w:val="16"/>
          <w:szCs w:val="16"/>
        </w:rPr>
      </w:pPr>
    </w:p>
    <w:p w14:paraId="65D24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фашисты собрали 13.7 млн. голосов, но этого не хватило и более того, до конца года потерял 2 млн. (1032,109).</w:t>
      </w:r>
    </w:p>
    <w:p w14:paraId="4F498F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19C7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 г. Германия, потребовав «равенства в вооружениях» и заявила о своем отказе участвовать в дальнейшей работе Женевской конференции по разоружению, подготовительная работа к которой началась еще в декабре 1925 г., Шляйхер добился от четырех держав (Англия, Франция, США, Италия) подписания 11 декабря 1932 г. декларации о признании принципа равноправия Германии в вопросе о вооружениях («равноправие в рамках системы безопасности, одинаковой для всех стран») (Хайцман В. М. СССР и проблема разоружения (Между первой и второй мировыми войнами). М., 1959, с. 132-144,323,330.) (11784).</w:t>
      </w:r>
    </w:p>
    <w:p w14:paraId="7C11C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240B81" w14:textId="324A36AA" w:rsidR="00EA580C" w:rsidRPr="00E93F40" w:rsidRDefault="00EA580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Германия, потребовав «равенства в вооружениях», заявила о своем отказе участвовать в дальнейшей работе Женевской конференции по разоружению, подготовительная работа к которой началась еще в декабре 1925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Шляйхер добился от четырех держав (Англия, Франция, США, Италия) подписания 11 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декларации о признании принципа равноправия Германии в вопросе о вооружениях («равноправие в рамках системы безопасности, одинаковой для всех стран») (18265).</w:t>
      </w:r>
    </w:p>
    <w:p w14:paraId="4BDA423B" w14:textId="77777777" w:rsidR="00EA580C" w:rsidRPr="00E93F40" w:rsidRDefault="00EA580C" w:rsidP="00E93F40">
      <w:pPr>
        <w:spacing w:after="0" w:line="240" w:lineRule="auto"/>
        <w:jc w:val="both"/>
        <w:rPr>
          <w:rFonts w:ascii="Times New Roman" w:hAnsi="Times New Roman"/>
          <w:color w:val="000000" w:themeColor="text1"/>
          <w:sz w:val="16"/>
          <w:szCs w:val="16"/>
        </w:rPr>
      </w:pPr>
    </w:p>
    <w:p w14:paraId="0F2BC0A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C89A93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2E9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июле-августе 1932 в ходе заводских испытаний на ДИ-4 КК был выполнен ряд изменений и доделок. Много затруднений вызвал подбор мет. винта. Винт был заменен, увеличен маслорадиатор, исправлен костыль (2314,22).</w:t>
      </w:r>
    </w:p>
    <w:p w14:paraId="5E7D8D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1B41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июле-августе 1932 на Балтике прошла серия экспериментов с авиаторпедами. Сбросили 20 двух типов (на базе 45-12 и 45-15). ВВС 12 оказалась надежнее т ее приняли на вооружение ВВС РККА под названием ТАН-12 (561,5).</w:t>
      </w:r>
    </w:p>
    <w:p w14:paraId="43FD69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3AC3FA"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июле-августе 1932 г. прошли повторные испытания на Черном море и торпеду ВВС-12 приняли на вооружение как ТАН-12. В ноябре на Балтике успешно закончили испытания ВВС-15, снабженной электроподогревателем. 9.07.1933 эту торпеду тоже приняли на вооружение как ТАВ-15 (23464).</w:t>
      </w:r>
    </w:p>
    <w:p w14:paraId="247D4D6D" w14:textId="77777777" w:rsidR="008D371F" w:rsidRPr="00E93F40" w:rsidRDefault="008D371F" w:rsidP="00E93F40">
      <w:pPr>
        <w:spacing w:after="0" w:line="240" w:lineRule="auto"/>
        <w:jc w:val="both"/>
        <w:rPr>
          <w:rFonts w:ascii="Times New Roman" w:hAnsi="Times New Roman"/>
          <w:color w:val="000000" w:themeColor="text1"/>
          <w:sz w:val="16"/>
          <w:szCs w:val="16"/>
        </w:rPr>
      </w:pPr>
    </w:p>
    <w:p w14:paraId="6BB78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в июле-августе 1932 на Балтике проходили войсковые испытания ТАВ-15 (1085,126).</w:t>
      </w:r>
    </w:p>
    <w:p w14:paraId="7BD35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5204CE" w14:textId="77777777" w:rsidR="005D1C71" w:rsidRPr="00E93F40" w:rsidRDefault="005D1C71"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88F2AA7" w14:textId="77777777" w:rsidR="005D1C71" w:rsidRPr="00E93F40" w:rsidRDefault="005D1C7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A1C805" w14:textId="77777777" w:rsidR="005D1C71" w:rsidRPr="00E93F40" w:rsidRDefault="005D1C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июле-октя</w:t>
      </w:r>
      <w:r w:rsidRPr="00E93F40">
        <w:rPr>
          <w:rFonts w:ascii="Times New Roman" w:hAnsi="Times New Roman"/>
          <w:color w:val="000000" w:themeColor="text1"/>
          <w:sz w:val="16"/>
          <w:szCs w:val="16"/>
        </w:rPr>
        <w:softHyphen/>
        <w:t>бре 1932 г. велось проектирование ДП-3 велось под руководством У. Нобиле, что по</w:t>
      </w:r>
      <w:r w:rsidRPr="00E93F40">
        <w:rPr>
          <w:rFonts w:ascii="Times New Roman" w:hAnsi="Times New Roman"/>
          <w:color w:val="000000" w:themeColor="text1"/>
          <w:sz w:val="16"/>
          <w:szCs w:val="16"/>
        </w:rPr>
        <w:softHyphen/>
        <w:t>зволило советским инженерам познакомиться с итальянским методом проектирования реаль</w:t>
      </w:r>
      <w:r w:rsidRPr="00E93F40">
        <w:rPr>
          <w:rFonts w:ascii="Times New Roman" w:hAnsi="Times New Roman"/>
          <w:color w:val="000000" w:themeColor="text1"/>
          <w:sz w:val="16"/>
          <w:szCs w:val="16"/>
        </w:rPr>
        <w:softHyphen/>
        <w:t>ных полужёстких кораблей.</w:t>
      </w:r>
    </w:p>
    <w:p w14:paraId="5F834AF2" w14:textId="77777777" w:rsidR="005D1C71" w:rsidRPr="00E93F40" w:rsidRDefault="005D1C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на Дирижаблестроительной базе в Долгопрудной приступили к постройке дирижабля, получившего название «СССР В-5». Его эллинговая сборка началась 10 февраля 1933 г. и завершилась к концу месяца (20120).</w:t>
      </w:r>
    </w:p>
    <w:p w14:paraId="4ADF0BAB" w14:textId="77777777" w:rsidR="005D1C71" w:rsidRPr="00E93F40" w:rsidRDefault="005D1C71" w:rsidP="00E93F40">
      <w:pPr>
        <w:spacing w:after="0" w:line="240" w:lineRule="auto"/>
        <w:jc w:val="both"/>
        <w:rPr>
          <w:rFonts w:ascii="Times New Roman" w:hAnsi="Times New Roman"/>
          <w:color w:val="000000" w:themeColor="text1"/>
          <w:sz w:val="16"/>
          <w:szCs w:val="16"/>
        </w:rPr>
      </w:pPr>
    </w:p>
    <w:p w14:paraId="0992B98D" w14:textId="4C5496E9" w:rsidR="008D371F" w:rsidRPr="00E93F40" w:rsidRDefault="008D371F"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5C91C897" w14:textId="77777777" w:rsidR="008D371F" w:rsidRPr="00E93F40" w:rsidRDefault="008D371F"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5FC9356D" w14:textId="4B4AB492"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июле — сентябре 1932 в Германии произвели еще 6 запусков прототипов пассажирской ракеты, использовав 6 ракет: 14 июля 1933 г. Остров Линдвердер (Lindwerder) на озере Тегель. Ракета достигла высоты 600 м, затем сделала 3 петли радиусом около 30 м; парашют раскрылся незадолго до падения в воду. Вышел из </w:t>
      </w:r>
      <w:r w:rsidRPr="00E93F40">
        <w:rPr>
          <w:rFonts w:ascii="Times New Roman" w:hAnsi="Times New Roman"/>
          <w:color w:val="000000" w:themeColor="text1"/>
          <w:sz w:val="16"/>
          <w:szCs w:val="16"/>
        </w:rPr>
        <w:lastRenderedPageBreak/>
        <w:t>строя кислородный клапан. 21 июля 1933 г. Остров Линдвердер. Ракета достигла высоты 100 м; упала и сгорела на воде. 5 августа 1933</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Пуск 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плота на озере Швилов (Schwielow) недалеко от Потсдама. Ракета достигла высоты 60 м, затем упала и сгорела в воде. 11 августа 1933 г. Пуск с плота на озере Швилов. Ракета достигла высоты 80 м, упала в воду с работающим двигателем; найти ее не удалось. 1 сентября 1933 г. Пуск с плота на озере Швилов. Ракета достигла высоты 30 м и начала вращаться; упала в воду, всплыла с работающим двигателем, тут парашют раскрылся и ракета утонула. Её не нашли. 9 сентября 1933 г. Пуск с плота на озере Швилов. Прорыв труб и сгорание парашюта.</w:t>
      </w:r>
    </w:p>
    <w:p w14:paraId="45137801" w14:textId="77777777" w:rsidR="008D371F" w:rsidRPr="00E93F40" w:rsidRDefault="008D37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Топливо — спирт и бензин, окислитель — жидкий кислород. Подача кислорода путем самоиспарения, подача бензина под давлением азота. Охлаждение: в процессе подачи топлива. Размеры немного разные у всех экземпляров. Первый вариант — длина 280 см, максимальный диаметр 75 см, 4 бака квадратной формы. Вариант озера Швилов — продольно вытянутый, длина около 450 см. Стабилизаторов в большинстве случаев не было. Сухой вес (приблизительно) 70 кг, в т.ч. двигатель 3,5 кг; баки, элементы конструкции и клапаны 60 кг. Пневматическая рама 6,5 кг. Камера сгорания первого образца: сплав дюралюминия и пантала. Прочность на разрыв: 11–13 кг/кв. мм. Удельный вес: 2,7 г/куб. см. Камера сгорания второго образца: Прочность на разрыв: от 40 до 45 кг/кв. мм. Общая длина 70 см. Длина внутри 62 см. Конфигурация: удлиненный эллипсоид (23372).</w:t>
      </w:r>
    </w:p>
    <w:p w14:paraId="16EF9D4D" w14:textId="77777777" w:rsidR="008D371F" w:rsidRPr="00E93F40" w:rsidRDefault="008D371F" w:rsidP="00E93F40">
      <w:pPr>
        <w:spacing w:after="0" w:line="240" w:lineRule="auto"/>
        <w:jc w:val="both"/>
        <w:rPr>
          <w:rFonts w:ascii="Times New Roman" w:hAnsi="Times New Roman"/>
          <w:color w:val="000000" w:themeColor="text1"/>
          <w:sz w:val="16"/>
          <w:szCs w:val="16"/>
        </w:rPr>
      </w:pPr>
    </w:p>
    <w:p w14:paraId="75C65FE7" w14:textId="5CE51CE1"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65A094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7235D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августу 1932 года на 21 заводе в Горьком был окончательно отработан первый самолет И-5 с М-22 и 10-20 августа за № 2101 он был испытан в воздухе и отправлен в в/ч.</w:t>
      </w:r>
    </w:p>
    <w:p w14:paraId="02B8C7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И-5 с М-22 в 1932 году вошел в серию.</w:t>
      </w:r>
    </w:p>
    <w:p w14:paraId="05D7E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второй половины 1934 года завод продолжал выпуск серийного самолета И-5 с М-22 и одновременно осваивает и изготовляет в короткие сроки две головных машины ХАИ-1.</w:t>
      </w:r>
    </w:p>
    <w:p w14:paraId="461D9A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втором полугодии освоено производство и введена в изготовление новая машина И-16 с М-22. В 1935 году завод полностью перешел на серийный выпуск самолетов И-16 с М-22. Одновременно с этим осовен производством самолет И-16 с М-25, спроектирован и освоен производством учебно-тренировочный самолет УТИ-2 с М-22. В 1936-40 гг. завод успешно внедряет в производство и выпускает самолеты И-16 разных вариантов и модификаций, типы: 5, 10, 12, 15, 17, 18, 19, 24, 25, 27, 28, 29. В 1941 году внедрен в серийное производство самолет ЛАГГ-3, изготовление которого в виде типов 31, 33 продолжалось и весь 1942 год. В 1942 году одновременно с производством ЛАГГ-3 осваивается и запускается в серийное производство самолет ЛА-5 (тип 37). В 1943-1944 гг. завод изготовляет самолеты ЛА-5 разных модификаций, типы: 37, 39, 41, 43. В 1944 году осуществляется переход на самолеты ЛА-7 (тип 45), производство которых продолжается весь 1945 год и заканчивается в 1946 году В 1946 году заводом освоен и осуществлен переход на производство нового самолета ЛА-9 (тип 49), т.е. с конструкции в основном деревянной на металлическую. Кроме серийной машины заводом в течение одного месяца успешно проведена подготовка производства и собраны три самолета типа 150. В 1947 году завод освоил в серийном производстве цельнометаллический самолет ЛА-9 (типа 48); подготовил производство и освоил в серии новый самолет ЛА-11 (тип 51). В 1949 году был введен в серию самолет ЛА-15 (тип 52), а затем был осуществлен переход на производство самолета МИГ-15. В 1950 году завод организовал выпуск новых самолетов МИГ-15 бис (тип 53) и возобновил производство самолетов ЛА-11 (тип 51), законченных производством в первом квартале 1949 года. В 1951 году помимо основных типов самолетов МИГ-15 бис (тип 53) и ЛА-11 (тип 51) завод по заданию Правительства освоил серийное производство самолета МИГ-15р-бис (тип 55) и организовал подготовку производства к серийному выпуску самолета МИГ-17 (тип 54). В 1952 году завод имел в производстве три типа машин: МИГ-15 бис (тип 53), МИГ-15р-бис (тип 55), МИГ-17 (тип 54) и одновременно осовил для серийного производства новое изделие – самолет МИГ-17П (тип 57). В 1953 году завод имел в производстве два типа машины: МИГ-17 (тип 54) и МИГ-17П (тип 57) и одновременно освоил самолет МИГ-17ПФ (тип 58), который в сентябре 1953 года был запущен в серийное производство. В 1954 году продолжается производство трех типов самолетов: МИГ-17 (тип 54), МИГ-17П (тип 57) и МИГ-17ПФ (тип 58) и одновременно осваивается производство самолета МИГ-19 (тип 59). В 1955 году перед заводом были поставлены задачи: продолжить производство самолетов МИГ-17 ПФ (тип 58), освоить и организовать серийное производство самолетов МИГ-19 (тип 59) с двумя двигателями РД-9Б.</w:t>
      </w:r>
    </w:p>
    <w:p w14:paraId="78CB3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этого освоить и изготовить самолеты МИГ-19 в модификациях:</w:t>
      </w:r>
    </w:p>
    <w:p w14:paraId="26B62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 управлением стабилизатором и 30 мм пушками</w:t>
      </w:r>
    </w:p>
    <w:p w14:paraId="34508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оборудованные системой «К-5» и станцией «Изумруд»</w:t>
      </w:r>
    </w:p>
    <w:p w14:paraId="0FE016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 станцией «Изумруд-5», с 30 мм пушками и управляемым стабилизатором.</w:t>
      </w:r>
    </w:p>
    <w:p w14:paraId="22CCC6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1956 году перед заводом были поставлены следующие задачи:</w:t>
      </w:r>
    </w:p>
    <w:p w14:paraId="24EBFD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продолжить производство самолетов МИГ-19 (тип 59)</w:t>
      </w:r>
    </w:p>
    <w:p w14:paraId="0C662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изготовить опытную партию самолетов МИГ-19 (тип 60 и 60М)</w:t>
      </w:r>
    </w:p>
    <w:p w14:paraId="45BE3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освоить производством самолет МИГ-19С (тип 61) в различных модификациях</w:t>
      </w:r>
    </w:p>
    <w:p w14:paraId="2E013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освоить и организовать серийное производство самолетов МИГ-19П (тип 62) и различных модификациях</w:t>
      </w:r>
    </w:p>
    <w:p w14:paraId="000A5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подготовить производство к выпуску в 1957 году опытной партии новых сверхзвуковых истребителей МИГ-23 (тип 63)</w:t>
      </w:r>
    </w:p>
    <w:p w14:paraId="281763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освоить и организовать серийное производство радиоуправляемых самолетов мишеней конструкции ЛА-17 (изделие 201).</w:t>
      </w:r>
    </w:p>
    <w:p w14:paraId="2440D4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Горький, Сормовский район</w:t>
      </w:r>
    </w:p>
    <w:p w14:paraId="661A94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Производственный профиль – самолетостроительный В 1957 году завод решал следующие задачи:</w:t>
      </w:r>
    </w:p>
    <w:p w14:paraId="24ACC9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продолжал серийное производство самолетов МИГ-19П (тип 62) с двумя двигателями РД-9Б в различных модификациях</w:t>
      </w:r>
    </w:p>
    <w:p w14:paraId="13BBE7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изготовил опытную партию сверхзвуковых самолетов МИГ-23 с двигателем РД-11 (тип 63)</w:t>
      </w:r>
    </w:p>
    <w:p w14:paraId="2AA85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изготовил опытный сверхзвуковой самолет Е-50А с основным двигателем РД-11 и дополнительным жидкостным реактивным двигателем С-155</w:t>
      </w:r>
    </w:p>
    <w:p w14:paraId="17DBEF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продолжал серийное производство радиоуправляемых самолетов-мишеней РУМ-ЛА-17 с двигателем РД-900 (изделие 201) (9752).</w:t>
      </w:r>
    </w:p>
    <w:p w14:paraId="6B6D2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185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августу 1932 г., было проработано комплексное проектное задание на строительство завода Амурская верфь. Утверж</w:t>
      </w:r>
      <w:r w:rsidRPr="00E93F40">
        <w:rPr>
          <w:rFonts w:ascii="Times New Roman" w:hAnsi="Times New Roman"/>
          <w:color w:val="000000" w:themeColor="text1"/>
          <w:sz w:val="16"/>
          <w:szCs w:val="16"/>
        </w:rPr>
        <w:softHyphen/>
        <w:t>денная Совнаркома расчетная годовая программа предусматривала постройку одного крейсера водоизмещением 6000 т, четырех лиде</w:t>
      </w:r>
      <w:r w:rsidRPr="00E93F40">
        <w:rPr>
          <w:rFonts w:ascii="Times New Roman" w:hAnsi="Times New Roman"/>
          <w:color w:val="000000" w:themeColor="text1"/>
          <w:sz w:val="16"/>
          <w:szCs w:val="16"/>
        </w:rPr>
        <w:softHyphen/>
        <w:t>ров эскадренных миноносцев и шести больших подводных лодок. Суровые климатические условия места расположения выбранной площадки и значительная амплитуда колебаний уровня воды в Амуре, достигающая в том районе 10 м, ставили перед проектиров</w:t>
      </w:r>
      <w:r w:rsidRPr="00E93F40">
        <w:rPr>
          <w:rFonts w:ascii="Times New Roman" w:hAnsi="Times New Roman"/>
          <w:color w:val="000000" w:themeColor="text1"/>
          <w:sz w:val="16"/>
          <w:szCs w:val="16"/>
        </w:rPr>
        <w:softHyphen/>
        <w:t>щиками сложные задачи. По настоянию нового главного инженера Проектверфи В. П. Костенко (также один из членов правительст</w:t>
      </w:r>
      <w:r w:rsidRPr="00E93F40">
        <w:rPr>
          <w:rFonts w:ascii="Times New Roman" w:hAnsi="Times New Roman"/>
          <w:color w:val="000000" w:themeColor="text1"/>
          <w:sz w:val="16"/>
          <w:szCs w:val="16"/>
        </w:rPr>
        <w:softHyphen/>
        <w:t>венной комиссии по выбору площадки) бьшо предложено ориги</w:t>
      </w:r>
      <w:r w:rsidRPr="00E93F40">
        <w:rPr>
          <w:rFonts w:ascii="Times New Roman" w:hAnsi="Times New Roman"/>
          <w:color w:val="000000" w:themeColor="text1"/>
          <w:sz w:val="16"/>
          <w:szCs w:val="16"/>
        </w:rPr>
        <w:softHyphen/>
        <w:t>нальное решение технологической схемы производства, предусмат</w:t>
      </w:r>
      <w:r w:rsidRPr="00E93F40">
        <w:rPr>
          <w:rFonts w:ascii="Times New Roman" w:hAnsi="Times New Roman"/>
          <w:color w:val="000000" w:themeColor="text1"/>
          <w:sz w:val="16"/>
          <w:szCs w:val="16"/>
        </w:rPr>
        <w:softHyphen/>
        <w:t>ривающее постройку кораблей на горизонтальных стапельных мес</w:t>
      </w:r>
      <w:r w:rsidRPr="00E93F40">
        <w:rPr>
          <w:rFonts w:ascii="Times New Roman" w:hAnsi="Times New Roman"/>
          <w:color w:val="000000" w:themeColor="text1"/>
          <w:sz w:val="16"/>
          <w:szCs w:val="16"/>
        </w:rPr>
        <w:softHyphen/>
        <w:t>тах в наливных доках, перекрытых отапливаемыми эллингами с размещенными в них козловыми кранами или установленными на их конструкциях мостовыми кранами большой грузоподъемности.</w:t>
      </w:r>
    </w:p>
    <w:p w14:paraId="21E1B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 построенных кораблей из дока должен был осуществ</w:t>
      </w:r>
      <w:r w:rsidRPr="00E93F40">
        <w:rPr>
          <w:rFonts w:ascii="Times New Roman" w:hAnsi="Times New Roman"/>
          <w:color w:val="000000" w:themeColor="text1"/>
          <w:sz w:val="16"/>
          <w:szCs w:val="16"/>
        </w:rPr>
        <w:softHyphen/>
        <w:t>ляться путем принудительного наполнения дока и расположенного перед доками наливного бассейна водой из акватории до уровня, обеспечивающего всплытие корабля с кильблоков, перевода его из дока в бассейн и установки над глубоководной прорезью бассейна, спуска воды из дока и бассейна в акваторию, открытия затвора глу</w:t>
      </w:r>
      <w:r w:rsidRPr="00E93F40">
        <w:rPr>
          <w:rFonts w:ascii="Times New Roman" w:hAnsi="Times New Roman"/>
          <w:color w:val="000000" w:themeColor="text1"/>
          <w:sz w:val="16"/>
          <w:szCs w:val="16"/>
        </w:rPr>
        <w:softHyphen/>
        <w:t>боководной прорези и перевода корабля из бассейна к расположен</w:t>
      </w:r>
      <w:r w:rsidRPr="00E93F40">
        <w:rPr>
          <w:rFonts w:ascii="Times New Roman" w:hAnsi="Times New Roman"/>
          <w:color w:val="000000" w:themeColor="text1"/>
          <w:sz w:val="16"/>
          <w:szCs w:val="16"/>
        </w:rPr>
        <w:softHyphen/>
        <w:t>ной на акватории завода достроечной набережной.</w:t>
      </w:r>
    </w:p>
    <w:p w14:paraId="6C0427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Предложенная технологическая схема должна была заменить сложный и дорогостоящей спуск кораблей по наклонным продоль</w:t>
      </w:r>
      <w:r w:rsidRPr="00E93F40">
        <w:rPr>
          <w:rFonts w:ascii="Times New Roman" w:hAnsi="Times New Roman"/>
          <w:color w:val="000000" w:themeColor="text1"/>
          <w:sz w:val="16"/>
          <w:szCs w:val="16"/>
        </w:rPr>
        <w:softHyphen/>
        <w:t>ным стапелям, сооружение которых при имеющих место колеба</w:t>
      </w:r>
      <w:r w:rsidRPr="00E93F40">
        <w:rPr>
          <w:rFonts w:ascii="Times New Roman" w:hAnsi="Times New Roman"/>
          <w:color w:val="000000" w:themeColor="text1"/>
          <w:sz w:val="16"/>
          <w:szCs w:val="16"/>
        </w:rPr>
        <w:softHyphen/>
        <w:t>ниях уровня воды в Амуре было просто немыслимым. Основным оппонентом высту</w:t>
      </w:r>
      <w:r w:rsidRPr="00E93F40">
        <w:rPr>
          <w:rFonts w:ascii="Times New Roman" w:hAnsi="Times New Roman"/>
          <w:color w:val="000000" w:themeColor="text1"/>
          <w:sz w:val="16"/>
          <w:szCs w:val="16"/>
        </w:rPr>
        <w:softHyphen/>
        <w:t>пил будущий строитель нового завода — трест Дальстрой, который настаивал на традиционном варианте наклонных стапелей.</w:t>
      </w:r>
    </w:p>
    <w:p w14:paraId="765C2E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Спор о выборе типа построечно-спусковых сооружений завода был вынесен на рассмотрение правительства. В. П. Костенко вспо</w:t>
      </w:r>
      <w:r w:rsidRPr="00E93F40">
        <w:rPr>
          <w:rFonts w:ascii="Times New Roman" w:hAnsi="Times New Roman"/>
          <w:color w:val="000000" w:themeColor="text1"/>
          <w:sz w:val="16"/>
          <w:szCs w:val="16"/>
        </w:rPr>
        <w:softHyphen/>
        <w:t>минал о заседании СТО, на котором рассматривался проект: "Я, извинившись, что придется остановиться на специальных техниче</w:t>
      </w:r>
      <w:r w:rsidRPr="00E93F40">
        <w:rPr>
          <w:rFonts w:ascii="Times New Roman" w:hAnsi="Times New Roman"/>
          <w:color w:val="000000" w:themeColor="text1"/>
          <w:sz w:val="16"/>
          <w:szCs w:val="16"/>
        </w:rPr>
        <w:softHyphen/>
        <w:t>ских и строительных вопросах, которые выдвинуты докладчиками как первопричина, по которым проектная организация была вы</w:t>
      </w:r>
      <w:r w:rsidRPr="00E93F40">
        <w:rPr>
          <w:rFonts w:ascii="Times New Roman" w:hAnsi="Times New Roman"/>
          <w:color w:val="000000" w:themeColor="text1"/>
          <w:sz w:val="16"/>
          <w:szCs w:val="16"/>
        </w:rPr>
        <w:softHyphen/>
        <w:t>нуждена отказаться от общепринятых решений в условиях климата Дальнего Востока и гидрологического режима реки Амур, сообщил, что мы видим выход из всех трудностей в новом типе сооружений, перекрытых шатровыми эллингами с внутренним отоплением и с наливным бассейном для вывода кораблей. Признавая строитель</w:t>
      </w:r>
      <w:r w:rsidRPr="00E93F40">
        <w:rPr>
          <w:rFonts w:ascii="Times New Roman" w:hAnsi="Times New Roman"/>
          <w:color w:val="000000" w:themeColor="text1"/>
          <w:sz w:val="16"/>
          <w:szCs w:val="16"/>
        </w:rPr>
        <w:softHyphen/>
        <w:t>ство этих объектов нелегкой задачей, я тем не менее не утаивал, что это решение значительно легче для осуществления, чем наклонные обычные стапеля в условиях Амура с его колоссальными паводка</w:t>
      </w:r>
      <w:r w:rsidRPr="00E93F40">
        <w:rPr>
          <w:rFonts w:ascii="Times New Roman" w:hAnsi="Times New Roman"/>
          <w:color w:val="000000" w:themeColor="text1"/>
          <w:sz w:val="16"/>
          <w:szCs w:val="16"/>
        </w:rPr>
        <w:softHyphen/>
        <w:t>ми, допускающими колебания горизонта до 10 м. Наклонные ста</w:t>
      </w:r>
      <w:r w:rsidRPr="00E93F40">
        <w:rPr>
          <w:rFonts w:ascii="Times New Roman" w:hAnsi="Times New Roman"/>
          <w:color w:val="000000" w:themeColor="text1"/>
          <w:sz w:val="16"/>
          <w:szCs w:val="16"/>
        </w:rPr>
        <w:softHyphen/>
        <w:t>пеля при этом должны были бы достигнуть длины до 1/2 км и не гарантировали бы безопасного спуска, а открытая сборка корпусов в условиях низких температур, буранов, ветров и дождей была бы поставлена в крайне неблагоприятные условия с точки зрения при</w:t>
      </w:r>
      <w:r w:rsidRPr="00E93F40">
        <w:rPr>
          <w:rFonts w:ascii="Times New Roman" w:hAnsi="Times New Roman"/>
          <w:color w:val="000000" w:themeColor="text1"/>
          <w:sz w:val="16"/>
          <w:szCs w:val="16"/>
        </w:rPr>
        <w:softHyphen/>
        <w:t>менения современной технологии и сроков постройки кораблей.</w:t>
      </w:r>
    </w:p>
    <w:p w14:paraId="497708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рассмотрения проекта на заседании СТО бьш ут</w:t>
      </w:r>
      <w:r w:rsidRPr="00E93F40">
        <w:rPr>
          <w:rFonts w:ascii="Times New Roman" w:hAnsi="Times New Roman"/>
          <w:color w:val="000000" w:themeColor="text1"/>
          <w:sz w:val="16"/>
          <w:szCs w:val="16"/>
        </w:rPr>
        <w:softHyphen/>
        <w:t>вержден вариант Проектверфи, и к этому вопросу впоследствии больше не возвращались (3898).</w:t>
      </w:r>
    </w:p>
    <w:p w14:paraId="767E86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0AA50F" w14:textId="77777777" w:rsidR="00FF1077" w:rsidRPr="00E93F40" w:rsidRDefault="00FF107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августу 1932 года сбросили 20 торпед ТАН-12 двух типов (на базе 45—12 и 45—15). И опять торпеда ВВС-12 оказалась надежнее, и ее приняли на вооружение ВВС РККА (куда входила и морская авиация) под индексом ТАН-12 (15117).</w:t>
      </w:r>
    </w:p>
    <w:p w14:paraId="066B1994" w14:textId="77777777" w:rsidR="00FF1077" w:rsidRPr="00E93F40" w:rsidRDefault="00FF1077" w:rsidP="00E93F40">
      <w:pPr>
        <w:spacing w:after="0" w:line="240" w:lineRule="auto"/>
        <w:jc w:val="both"/>
        <w:rPr>
          <w:rFonts w:ascii="Times New Roman" w:hAnsi="Times New Roman"/>
          <w:color w:val="000000" w:themeColor="text1"/>
          <w:sz w:val="16"/>
          <w:szCs w:val="16"/>
        </w:rPr>
      </w:pPr>
    </w:p>
    <w:p w14:paraId="55C0F03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5CD848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502A7E" w14:textId="77777777" w:rsidR="00AA2E5E" w:rsidRPr="00142305" w:rsidRDefault="00AA2E5E" w:rsidP="00AA2E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На 1 августа 1932 г. в Филях на заводе № 22 изготовили около 60 бомбарди</w:t>
      </w:r>
      <w:r w:rsidRPr="00142305">
        <w:rPr>
          <w:rFonts w:ascii="Times New Roman" w:hAnsi="Times New Roman"/>
          <w:color w:val="0070C0"/>
          <w:sz w:val="16"/>
          <w:szCs w:val="16"/>
        </w:rPr>
        <w:softHyphen/>
        <w:t>ровщиков ТБ-3, а отправили только 22. На 3 ок</w:t>
      </w:r>
      <w:r w:rsidRPr="00142305">
        <w:rPr>
          <w:rFonts w:ascii="Times New Roman" w:hAnsi="Times New Roman"/>
          <w:color w:val="0070C0"/>
          <w:sz w:val="16"/>
          <w:szCs w:val="16"/>
        </w:rPr>
        <w:softHyphen/>
        <w:t>тября принятыми числились 47 ТБ-3, еще шесть успели облетать и предъявить к приемке, четыре готовили к облету (24937).</w:t>
      </w:r>
    </w:p>
    <w:p w14:paraId="7E7B13CA" w14:textId="77777777" w:rsidR="00AA2E5E" w:rsidRPr="00142305" w:rsidRDefault="00AA2E5E" w:rsidP="00AA2E5E">
      <w:pPr>
        <w:spacing w:after="0" w:line="240" w:lineRule="auto"/>
        <w:jc w:val="both"/>
        <w:rPr>
          <w:rFonts w:ascii="Times New Roman" w:hAnsi="Times New Roman"/>
          <w:color w:val="0070C0"/>
          <w:sz w:val="16"/>
          <w:szCs w:val="16"/>
        </w:rPr>
      </w:pPr>
    </w:p>
    <w:p w14:paraId="186292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 поворотные стойки установили на И-5 - впер</w:t>
      </w:r>
      <w:r w:rsidRPr="00E93F40">
        <w:rPr>
          <w:rFonts w:ascii="Times New Roman" w:hAnsi="Times New Roman"/>
          <w:color w:val="000000" w:themeColor="text1"/>
          <w:sz w:val="16"/>
          <w:szCs w:val="16"/>
        </w:rPr>
        <w:softHyphen/>
        <w:t>вые на самолете №6 (так было записано в от</w:t>
      </w:r>
      <w:r w:rsidRPr="00E93F40">
        <w:rPr>
          <w:rFonts w:ascii="Times New Roman" w:hAnsi="Times New Roman"/>
          <w:color w:val="000000" w:themeColor="text1"/>
          <w:sz w:val="16"/>
          <w:szCs w:val="16"/>
        </w:rPr>
        <w:softHyphen/>
        <w:t>чете, возможно, был доработан один из И-5 первой серии 39-го завода). Летали Бухгольц, Сузи, Корзинщиков, Благин. Сначала использовали стойки шириной 200 мм - они вызывали тряску, затем 190 мм - нормально. Предполагая серию таких само</w:t>
      </w:r>
      <w:r w:rsidRPr="00E93F40">
        <w:rPr>
          <w:rFonts w:ascii="Times New Roman" w:hAnsi="Times New Roman"/>
          <w:color w:val="000000" w:themeColor="text1"/>
          <w:sz w:val="16"/>
          <w:szCs w:val="16"/>
        </w:rPr>
        <w:softHyphen/>
        <w:t>летов, в конце 1932 г. провели испытания до</w:t>
      </w:r>
      <w:r w:rsidRPr="00E93F40">
        <w:rPr>
          <w:rFonts w:ascii="Times New Roman" w:hAnsi="Times New Roman"/>
          <w:color w:val="000000" w:themeColor="text1"/>
          <w:sz w:val="16"/>
          <w:szCs w:val="16"/>
        </w:rPr>
        <w:softHyphen/>
        <w:t>работанного И-5 № 21117, который опреде</w:t>
      </w:r>
      <w:r w:rsidRPr="00E93F40">
        <w:rPr>
          <w:rFonts w:ascii="Times New Roman" w:hAnsi="Times New Roman"/>
          <w:color w:val="000000" w:themeColor="text1"/>
          <w:sz w:val="16"/>
          <w:szCs w:val="16"/>
        </w:rPr>
        <w:softHyphen/>
        <w:t>лялся как эталон на 1933 г. По сравнению с эталоном 1932 г. данный самолет имел сле</w:t>
      </w:r>
      <w:r w:rsidRPr="00E93F40">
        <w:rPr>
          <w:rFonts w:ascii="Times New Roman" w:hAnsi="Times New Roman"/>
          <w:color w:val="000000" w:themeColor="text1"/>
          <w:sz w:val="16"/>
          <w:szCs w:val="16"/>
        </w:rPr>
        <w:softHyphen/>
        <w:t>дующее отличие:</w:t>
      </w:r>
    </w:p>
    <w:p w14:paraId="18936A98" w14:textId="77777777" w:rsidR="007B1D3C" w:rsidRPr="00E93F40" w:rsidRDefault="007B1D3C" w:rsidP="00E93F40">
      <w:pPr>
        <w:tabs>
          <w:tab w:val="left" w:pos="403"/>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Поворотные стойки.</w:t>
      </w:r>
    </w:p>
    <w:p w14:paraId="6A6CFBCB" w14:textId="77777777" w:rsidR="007B1D3C" w:rsidRPr="00E93F40" w:rsidRDefault="007B1D3C" w:rsidP="00E93F40">
      <w:pPr>
        <w:tabs>
          <w:tab w:val="left" w:pos="398"/>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Обтекатели на колесах.</w:t>
      </w:r>
    </w:p>
    <w:p w14:paraId="72048BE3" w14:textId="77777777" w:rsidR="007B1D3C" w:rsidRPr="00E93F40" w:rsidRDefault="007B1D3C" w:rsidP="00E93F40">
      <w:pPr>
        <w:tabs>
          <w:tab w:val="left" w:pos="403"/>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Металлический винт.</w:t>
      </w:r>
    </w:p>
    <w:p w14:paraId="337767F2" w14:textId="77777777" w:rsidR="007B1D3C" w:rsidRPr="00E93F40" w:rsidRDefault="007B1D3C" w:rsidP="00E93F40">
      <w:pPr>
        <w:tabs>
          <w:tab w:val="left" w:pos="253"/>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Новый подогреватель карбюратора.</w:t>
      </w:r>
    </w:p>
    <w:p w14:paraId="06DB78B9" w14:textId="77777777" w:rsidR="007B1D3C" w:rsidRPr="00E93F40" w:rsidRDefault="007B1D3C" w:rsidP="00E93F40">
      <w:pPr>
        <w:tabs>
          <w:tab w:val="left" w:pos="488"/>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Бензопомпа типа «Хорнет» отечествен</w:t>
      </w:r>
      <w:r w:rsidRPr="00E93F40">
        <w:rPr>
          <w:rFonts w:ascii="Times New Roman" w:hAnsi="Times New Roman"/>
          <w:color w:val="000000" w:themeColor="text1"/>
          <w:sz w:val="16"/>
          <w:szCs w:val="16"/>
        </w:rPr>
        <w:softHyphen/>
        <w:t>ного производства.</w:t>
      </w:r>
    </w:p>
    <w:p w14:paraId="2CB30176" w14:textId="77777777" w:rsidR="007B1D3C" w:rsidRPr="00E93F40" w:rsidRDefault="007B1D3C" w:rsidP="00E93F40">
      <w:pPr>
        <w:tabs>
          <w:tab w:val="left" w:pos="238"/>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Улучшенная приборная доска.</w:t>
      </w:r>
    </w:p>
    <w:p w14:paraId="6A4BE4CE" w14:textId="77777777" w:rsidR="007B1D3C" w:rsidRPr="00E93F40" w:rsidRDefault="007B1D3C" w:rsidP="00E93F40">
      <w:pPr>
        <w:tabs>
          <w:tab w:val="left" w:pos="234"/>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Электросбрасыватели и электроспуски.</w:t>
      </w:r>
    </w:p>
    <w:p w14:paraId="7C95A3F9" w14:textId="77777777" w:rsidR="007B1D3C" w:rsidRPr="00E93F40" w:rsidRDefault="007B1D3C" w:rsidP="00E93F40">
      <w:pPr>
        <w:tabs>
          <w:tab w:val="left" w:pos="498"/>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Бомбы 4x10 кг (в перегрузку) под кры</w:t>
      </w:r>
      <w:r w:rsidRPr="00E93F40">
        <w:rPr>
          <w:rFonts w:ascii="Times New Roman" w:hAnsi="Times New Roman"/>
          <w:color w:val="000000" w:themeColor="text1"/>
          <w:sz w:val="16"/>
          <w:szCs w:val="16"/>
        </w:rPr>
        <w:softHyphen/>
        <w:t>лом на бомбодержателях Д-1 (возможно бом</w:t>
      </w:r>
      <w:r w:rsidRPr="00E93F40">
        <w:rPr>
          <w:rFonts w:ascii="Times New Roman" w:hAnsi="Times New Roman"/>
          <w:color w:val="000000" w:themeColor="text1"/>
          <w:sz w:val="16"/>
          <w:szCs w:val="16"/>
        </w:rPr>
        <w:softHyphen/>
        <w:t>бометание с пикирования).</w:t>
      </w:r>
    </w:p>
    <w:p w14:paraId="13C0924D" w14:textId="77777777" w:rsidR="007B1D3C" w:rsidRPr="00E93F40" w:rsidRDefault="007B1D3C" w:rsidP="00E93F40">
      <w:pPr>
        <w:tabs>
          <w:tab w:val="left" w:pos="483"/>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Пулеметов ПВ-1 - 4 шт., из них 2 за счет перегрузки.</w:t>
      </w:r>
    </w:p>
    <w:p w14:paraId="5DB95D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испытаниях И-5 №21117 были зафик</w:t>
      </w:r>
      <w:r w:rsidRPr="00E93F40">
        <w:rPr>
          <w:rFonts w:ascii="Times New Roman" w:hAnsi="Times New Roman"/>
          <w:color w:val="000000" w:themeColor="text1"/>
          <w:sz w:val="16"/>
          <w:szCs w:val="16"/>
        </w:rPr>
        <w:softHyphen/>
        <w:t>сированы следующие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709"/>
      </w:tblGrid>
      <w:tr w:rsidR="00DA227A" w:rsidRPr="00E93F40" w14:paraId="093BD546" w14:textId="77777777">
        <w:tc>
          <w:tcPr>
            <w:tcW w:w="3227" w:type="dxa"/>
            <w:tcBorders>
              <w:top w:val="single" w:sz="12" w:space="0" w:color="auto"/>
            </w:tcBorders>
          </w:tcPr>
          <w:p w14:paraId="2B4F7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пустого (кг)</w:t>
            </w:r>
          </w:p>
        </w:tc>
        <w:tc>
          <w:tcPr>
            <w:tcW w:w="709" w:type="dxa"/>
            <w:tcBorders>
              <w:top w:val="single" w:sz="12" w:space="0" w:color="auto"/>
            </w:tcBorders>
          </w:tcPr>
          <w:p w14:paraId="21D1D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1002 *</w:t>
            </w:r>
          </w:p>
        </w:tc>
      </w:tr>
      <w:tr w:rsidR="00DA227A" w:rsidRPr="00E93F40" w14:paraId="65DF2081" w14:textId="77777777">
        <w:tc>
          <w:tcPr>
            <w:tcW w:w="3227" w:type="dxa"/>
          </w:tcPr>
          <w:p w14:paraId="57719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Полетный вес (кг)</w:t>
            </w:r>
          </w:p>
        </w:tc>
        <w:tc>
          <w:tcPr>
            <w:tcW w:w="709" w:type="dxa"/>
          </w:tcPr>
          <w:p w14:paraId="3C8F7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1414</w:t>
            </w:r>
          </w:p>
        </w:tc>
      </w:tr>
      <w:tr w:rsidR="00DA227A" w:rsidRPr="00E93F40" w14:paraId="750F857F" w14:textId="77777777">
        <w:tc>
          <w:tcPr>
            <w:tcW w:w="3227" w:type="dxa"/>
          </w:tcPr>
          <w:p w14:paraId="3BEED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максимальная у земли (км/ч)</w:t>
            </w:r>
          </w:p>
        </w:tc>
        <w:tc>
          <w:tcPr>
            <w:tcW w:w="709" w:type="dxa"/>
          </w:tcPr>
          <w:p w14:paraId="53F83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285,5</w:t>
            </w:r>
          </w:p>
        </w:tc>
      </w:tr>
      <w:tr w:rsidR="00DA227A" w:rsidRPr="00E93F40" w14:paraId="14C59E92" w14:textId="77777777">
        <w:tc>
          <w:tcPr>
            <w:tcW w:w="3227" w:type="dxa"/>
          </w:tcPr>
          <w:p w14:paraId="6F815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Скорость максимальная на 3000 м (км/ч) </w:t>
            </w:r>
          </w:p>
        </w:tc>
        <w:tc>
          <w:tcPr>
            <w:tcW w:w="709" w:type="dxa"/>
          </w:tcPr>
          <w:p w14:paraId="50F9A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230,0</w:t>
            </w:r>
          </w:p>
        </w:tc>
      </w:tr>
      <w:tr w:rsidR="00DA227A" w:rsidRPr="00E93F40" w14:paraId="67BE6494" w14:textId="77777777">
        <w:tc>
          <w:tcPr>
            <w:tcW w:w="3227" w:type="dxa"/>
          </w:tcPr>
          <w:p w14:paraId="7C6108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максимальная на 5000 м (км/ч)</w:t>
            </w:r>
          </w:p>
        </w:tc>
        <w:tc>
          <w:tcPr>
            <w:tcW w:w="709" w:type="dxa"/>
          </w:tcPr>
          <w:p w14:paraId="318573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241,8</w:t>
            </w:r>
          </w:p>
        </w:tc>
      </w:tr>
      <w:tr w:rsidR="00DA227A" w:rsidRPr="00E93F40" w14:paraId="493AF54A" w14:textId="77777777">
        <w:tc>
          <w:tcPr>
            <w:tcW w:w="3227" w:type="dxa"/>
          </w:tcPr>
          <w:p w14:paraId="0E257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набора 5000 м (мин)</w:t>
            </w:r>
          </w:p>
        </w:tc>
        <w:tc>
          <w:tcPr>
            <w:tcW w:w="709" w:type="dxa"/>
          </w:tcPr>
          <w:p w14:paraId="4E0C4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w:t>
            </w:r>
          </w:p>
        </w:tc>
      </w:tr>
      <w:tr w:rsidR="00DA227A" w:rsidRPr="00E93F40" w14:paraId="73C8B698" w14:textId="77777777">
        <w:tc>
          <w:tcPr>
            <w:tcW w:w="3227" w:type="dxa"/>
          </w:tcPr>
          <w:p w14:paraId="75E0F2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виража на 1000 м (сек)</w:t>
            </w:r>
          </w:p>
        </w:tc>
        <w:tc>
          <w:tcPr>
            <w:tcW w:w="709" w:type="dxa"/>
          </w:tcPr>
          <w:p w14:paraId="51CE5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w:t>
            </w:r>
          </w:p>
        </w:tc>
      </w:tr>
      <w:tr w:rsidR="00DA227A" w:rsidRPr="00E93F40" w14:paraId="6A7B01C7" w14:textId="77777777">
        <w:tc>
          <w:tcPr>
            <w:tcW w:w="3227" w:type="dxa"/>
            <w:tcBorders>
              <w:bottom w:val="single" w:sz="12" w:space="0" w:color="auto"/>
            </w:tcBorders>
          </w:tcPr>
          <w:p w14:paraId="7611D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p>
        </w:tc>
        <w:tc>
          <w:tcPr>
            <w:tcW w:w="709" w:type="dxa"/>
            <w:tcBorders>
              <w:bottom w:val="single" w:sz="12" w:space="0" w:color="auto"/>
            </w:tcBorders>
          </w:tcPr>
          <w:p w14:paraId="26A6DD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7520</w:t>
            </w:r>
          </w:p>
        </w:tc>
      </w:tr>
    </w:tbl>
    <w:p w14:paraId="0C002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бомбодержателями Д-1 позднее указывал</w:t>
      </w:r>
      <w:r w:rsidRPr="00E93F40">
        <w:rPr>
          <w:rFonts w:ascii="Times New Roman" w:hAnsi="Times New Roman"/>
          <w:color w:val="000000" w:themeColor="text1"/>
          <w:sz w:val="16"/>
          <w:szCs w:val="16"/>
        </w:rPr>
        <w:softHyphen/>
        <w:t>ся вес 1140,5 кг.</w:t>
      </w:r>
    </w:p>
    <w:p w14:paraId="7D369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Впрочем, самолет № 21117 образцом для серийного воспроизведения все-таки не стал (11974).</w:t>
      </w:r>
    </w:p>
    <w:p w14:paraId="326A7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9FBFD9" w14:textId="2F6F09DA" w:rsidR="003E0F62" w:rsidRPr="00E93F40" w:rsidRDefault="003E0F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w:t>
      </w:r>
      <w:r w:rsidRPr="00E93F40">
        <w:rPr>
          <w:rFonts w:ascii="Times New Roman" w:hAnsi="Times New Roman"/>
          <w:color w:val="000000" w:themeColor="text1"/>
          <w:sz w:val="16"/>
          <w:szCs w:val="16"/>
        </w:rPr>
        <w:softHyphen/>
        <w:t>густа 1932 г. на И-5 поворотные стойки уста</w:t>
      </w:r>
      <w:r w:rsidRPr="00E93F40">
        <w:rPr>
          <w:rFonts w:ascii="Times New Roman" w:hAnsi="Times New Roman"/>
          <w:color w:val="000000" w:themeColor="text1"/>
          <w:sz w:val="16"/>
          <w:szCs w:val="16"/>
        </w:rPr>
        <w:softHyphen/>
        <w:t>новили впервые на самолете №6 (так было записано в отчете, возможно, был доработан один из И-5 первой серии 39-го завода)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детали Бухгольц, Сузи, Корзин</w:t>
      </w:r>
      <w:r w:rsidRPr="00E93F40">
        <w:rPr>
          <w:rFonts w:ascii="Times New Roman" w:hAnsi="Times New Roman"/>
          <w:color w:val="000000" w:themeColor="text1"/>
          <w:sz w:val="16"/>
          <w:szCs w:val="16"/>
        </w:rPr>
        <w:softHyphen/>
        <w:t>щиков, Благин. Сначала использовали стой</w:t>
      </w:r>
      <w:r w:rsidRPr="00E93F40">
        <w:rPr>
          <w:rFonts w:ascii="Times New Roman" w:hAnsi="Times New Roman"/>
          <w:color w:val="000000" w:themeColor="text1"/>
          <w:sz w:val="16"/>
          <w:szCs w:val="16"/>
        </w:rPr>
        <w:softHyphen/>
        <w:t>ки шириной 200 мм - они вызывали тряску, затем 190 мм — нормально. Предполагая се</w:t>
      </w:r>
      <w:r w:rsidRPr="00E93F40">
        <w:rPr>
          <w:rFonts w:ascii="Times New Roman" w:hAnsi="Times New Roman"/>
          <w:color w:val="000000" w:themeColor="text1"/>
          <w:sz w:val="16"/>
          <w:szCs w:val="16"/>
        </w:rPr>
        <w:softHyphen/>
        <w:t>рию таких самолетов, в конце 1932 г. прове</w:t>
      </w:r>
      <w:r w:rsidRPr="00E93F40">
        <w:rPr>
          <w:rFonts w:ascii="Times New Roman" w:hAnsi="Times New Roman"/>
          <w:color w:val="000000" w:themeColor="text1"/>
          <w:sz w:val="16"/>
          <w:szCs w:val="16"/>
        </w:rPr>
        <w:softHyphen/>
        <w:t>ли испытания доработанного И-5 № 21117, который определялся как эталон на 1933 год. По сравнению с эталоном 1932 года данный самолет имел следующие отличия:</w:t>
      </w:r>
    </w:p>
    <w:p w14:paraId="638FAC04" w14:textId="77777777" w:rsidR="003E0F62" w:rsidRPr="00E93F40" w:rsidRDefault="003E0F62" w:rsidP="00E93F40">
      <w:pPr>
        <w:tabs>
          <w:tab w:val="left" w:pos="34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поворотные стойки;</w:t>
      </w:r>
    </w:p>
    <w:p w14:paraId="19C6FA89" w14:textId="77777777" w:rsidR="003E0F62" w:rsidRPr="00E93F40" w:rsidRDefault="003E0F62" w:rsidP="00E93F40">
      <w:pPr>
        <w:tabs>
          <w:tab w:val="left" w:pos="33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обтекатели на колесах;</w:t>
      </w:r>
    </w:p>
    <w:p w14:paraId="01860E86" w14:textId="77777777" w:rsidR="003E0F62" w:rsidRPr="00E93F40" w:rsidRDefault="003E0F62" w:rsidP="00E93F40">
      <w:pPr>
        <w:tabs>
          <w:tab w:val="left" w:pos="34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металлический винт;</w:t>
      </w:r>
    </w:p>
    <w:p w14:paraId="0EE7D95D" w14:textId="77777777" w:rsidR="003E0F62" w:rsidRPr="00E93F40" w:rsidRDefault="003E0F62" w:rsidP="00E93F40">
      <w:pPr>
        <w:tabs>
          <w:tab w:val="left" w:pos="34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новый подогреватель карбюратора;</w:t>
      </w:r>
    </w:p>
    <w:p w14:paraId="6F8A7E7B" w14:textId="77777777" w:rsidR="003E0F62" w:rsidRPr="00E93F40" w:rsidRDefault="003E0F62" w:rsidP="00E93F40">
      <w:pPr>
        <w:tabs>
          <w:tab w:val="left" w:pos="366"/>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бензопомпа типа «Хорнет» отечествен</w:t>
      </w:r>
      <w:r w:rsidRPr="00E93F40">
        <w:rPr>
          <w:rFonts w:ascii="Times New Roman" w:hAnsi="Times New Roman"/>
          <w:color w:val="000000" w:themeColor="text1"/>
          <w:sz w:val="16"/>
          <w:szCs w:val="16"/>
        </w:rPr>
        <w:softHyphen/>
        <w:t>ного производства;</w:t>
      </w:r>
    </w:p>
    <w:p w14:paraId="2F2314C8" w14:textId="77777777" w:rsidR="003E0F62" w:rsidRPr="00E93F40" w:rsidRDefault="003E0F62" w:rsidP="00E93F40">
      <w:pPr>
        <w:tabs>
          <w:tab w:val="left" w:pos="33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улучшенная приборная доска;</w:t>
      </w:r>
    </w:p>
    <w:p w14:paraId="6FE101AA" w14:textId="77777777" w:rsidR="003E0F62" w:rsidRPr="00E93F40" w:rsidRDefault="003E0F62" w:rsidP="00E93F40">
      <w:pPr>
        <w:tabs>
          <w:tab w:val="left" w:pos="34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электросбрасыватели и электроспуски;</w:t>
      </w:r>
    </w:p>
    <w:p w14:paraId="2609BBC3" w14:textId="77777777" w:rsidR="003E0F62" w:rsidRPr="00E93F40" w:rsidRDefault="003E0F62" w:rsidP="00E93F40">
      <w:pPr>
        <w:tabs>
          <w:tab w:val="left" w:pos="33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бомбы 4x10 кг (в перегрузку) под крылом на бомбодержателях Д-1 (возможно бомбо</w:t>
      </w:r>
      <w:r w:rsidRPr="00E93F40">
        <w:rPr>
          <w:rFonts w:ascii="Times New Roman" w:hAnsi="Times New Roman"/>
          <w:color w:val="000000" w:themeColor="text1"/>
          <w:sz w:val="16"/>
          <w:szCs w:val="16"/>
        </w:rPr>
        <w:softHyphen/>
        <w:t>метание с пикирования);</w:t>
      </w:r>
    </w:p>
    <w:p w14:paraId="5E74FBFC" w14:textId="77777777" w:rsidR="003E0F62" w:rsidRPr="00E93F40" w:rsidRDefault="003E0F62" w:rsidP="00E93F40">
      <w:pPr>
        <w:tabs>
          <w:tab w:val="left" w:pos="34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пулеметов ПВ-1 — 4 шт., из них 2 за счет перегрузки.</w:t>
      </w:r>
    </w:p>
    <w:p w14:paraId="48F3CBB6" w14:textId="77777777" w:rsidR="003E0F62" w:rsidRPr="00E93F40" w:rsidRDefault="003E0F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испытаниях И-5 №21117 были зафик</w:t>
      </w:r>
      <w:r w:rsidRPr="00E93F40">
        <w:rPr>
          <w:rFonts w:ascii="Times New Roman" w:hAnsi="Times New Roman"/>
          <w:color w:val="000000" w:themeColor="text1"/>
          <w:sz w:val="16"/>
          <w:szCs w:val="16"/>
        </w:rPr>
        <w:softHyphen/>
        <w:t>сированы следующие характеристики:</w:t>
      </w:r>
    </w:p>
    <w:tbl>
      <w:tblPr>
        <w:tblW w:w="0" w:type="auto"/>
        <w:tblLayout w:type="fixed"/>
        <w:tblCellMar>
          <w:left w:w="10" w:type="dxa"/>
          <w:right w:w="10" w:type="dxa"/>
        </w:tblCellMar>
        <w:tblLook w:val="0000" w:firstRow="0" w:lastRow="0" w:firstColumn="0" w:lastColumn="0" w:noHBand="0" w:noVBand="0"/>
      </w:tblPr>
      <w:tblGrid>
        <w:gridCol w:w="2614"/>
        <w:gridCol w:w="1030"/>
      </w:tblGrid>
      <w:tr w:rsidR="00DA227A" w:rsidRPr="00E93F40" w14:paraId="3687BFB6" w14:textId="77777777" w:rsidTr="003F2C79">
        <w:trPr>
          <w:trHeight w:val="24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4BDAE4CD"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Вес пустого (кг)</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27886497"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1002 *</w:t>
            </w:r>
          </w:p>
        </w:tc>
      </w:tr>
      <w:tr w:rsidR="00DA227A" w:rsidRPr="00E93F40" w14:paraId="2166AC87" w14:textId="77777777" w:rsidTr="003F2C79">
        <w:trPr>
          <w:trHeight w:val="24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0D26E34"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Полетный вес (кг)</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73DA867F"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1414</w:t>
            </w:r>
          </w:p>
        </w:tc>
      </w:tr>
      <w:tr w:rsidR="00DA227A" w:rsidRPr="00E93F40" w14:paraId="694AB8E2" w14:textId="77777777" w:rsidTr="003F2C79">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7AF56A37"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Скорость макс, у земли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33F8C282"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285,5</w:t>
            </w:r>
          </w:p>
        </w:tc>
      </w:tr>
      <w:tr w:rsidR="00DA227A" w:rsidRPr="00E93F40" w14:paraId="7D2ED2FC" w14:textId="77777777" w:rsidTr="003F2C79">
        <w:trPr>
          <w:trHeight w:val="23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72A3B720"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Скорость макс, на 3000 м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0DB53E97"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230,0</w:t>
            </w:r>
          </w:p>
        </w:tc>
      </w:tr>
      <w:tr w:rsidR="00DA227A" w:rsidRPr="00E93F40" w14:paraId="0F823364" w14:textId="77777777" w:rsidTr="003F2C79">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08610D3A"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Скорость макс, на 5000 м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0E453155"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241,8</w:t>
            </w:r>
          </w:p>
        </w:tc>
      </w:tr>
      <w:tr w:rsidR="00DA227A" w:rsidRPr="00E93F40" w14:paraId="0302DB6A" w14:textId="77777777" w:rsidTr="003F2C79">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0FA4EEF"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Время набора 5000 м (мин)</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6DB2E4DD"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11,5</w:t>
            </w:r>
          </w:p>
        </w:tc>
      </w:tr>
      <w:tr w:rsidR="00DA227A" w:rsidRPr="00E93F40" w14:paraId="622AA27B" w14:textId="77777777" w:rsidTr="003F2C79">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FA81EFE"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Время виража на 1000 м (сек)</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0FB9B392"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10,1</w:t>
            </w:r>
          </w:p>
        </w:tc>
      </w:tr>
      <w:tr w:rsidR="00DA227A" w:rsidRPr="00E93F40" w14:paraId="1B06880A" w14:textId="77777777" w:rsidTr="003F2C79">
        <w:trPr>
          <w:trHeight w:val="252"/>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8A83C9A"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Практический потолок (м)</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0929935A" w14:textId="77777777" w:rsidR="003E0F62" w:rsidRPr="00E93F40" w:rsidRDefault="003E0F62"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7520</w:t>
            </w:r>
          </w:p>
        </w:tc>
      </w:tr>
    </w:tbl>
    <w:p w14:paraId="649D9EC7" w14:textId="77777777" w:rsidR="003E0F62" w:rsidRPr="00E93F40" w:rsidRDefault="003E0F62" w:rsidP="00E93F40">
      <w:pPr>
        <w:pStyle w:val="aff0"/>
        <w:shd w:val="clear" w:color="auto" w:fill="auto"/>
        <w:spacing w:line="240" w:lineRule="auto"/>
        <w:rPr>
          <w:rFonts w:ascii="Times New Roman" w:hAnsi="Times New Roman" w:cs="Times New Roman"/>
          <w:i w:val="0"/>
          <w:color w:val="000000" w:themeColor="text1"/>
          <w:sz w:val="16"/>
          <w:szCs w:val="16"/>
          <w:lang w:val="ru-RU"/>
        </w:rPr>
      </w:pPr>
      <w:r w:rsidRPr="00E93F40">
        <w:rPr>
          <w:rStyle w:val="affa"/>
          <w:rFonts w:cs="Times New Roman"/>
          <w:color w:val="000000" w:themeColor="text1"/>
          <w:sz w:val="16"/>
          <w:szCs w:val="16"/>
          <w:lang w:val="ru-RU"/>
        </w:rPr>
        <w:t>* С</w:t>
      </w:r>
      <w:r w:rsidRPr="00E93F40">
        <w:rPr>
          <w:rFonts w:ascii="Times New Roman" w:hAnsi="Times New Roman" w:cs="Times New Roman"/>
          <w:i w:val="0"/>
          <w:color w:val="000000" w:themeColor="text1"/>
          <w:sz w:val="16"/>
          <w:szCs w:val="16"/>
          <w:lang w:val="ru-RU"/>
        </w:rPr>
        <w:t xml:space="preserve"> бомСхнк'ржате. тми Д- / позднее указывеися вес 1140,5 кг.</w:t>
      </w:r>
    </w:p>
    <w:p w14:paraId="0DE12C83" w14:textId="77777777" w:rsidR="003E0F62" w:rsidRPr="00E93F40" w:rsidRDefault="003E0F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Впрочем, самолет № 21117 образцом для се</w:t>
      </w:r>
      <w:r w:rsidRPr="00E93F40">
        <w:rPr>
          <w:rFonts w:ascii="Times New Roman" w:hAnsi="Times New Roman"/>
          <w:color w:val="000000" w:themeColor="text1"/>
          <w:sz w:val="16"/>
          <w:szCs w:val="16"/>
        </w:rPr>
        <w:softHyphen/>
        <w:t>рийного воспроизведения все-таки не стал. В 1933 г. И-5 строились на заводе №21 по типу самолета №4302, выпущенного на заводе №1. Его дополнительные испытания с деревянным воздушным винтом фирмы Шварц диаметром 2,75 метра с целлулоидным покрытием прове</w:t>
      </w:r>
      <w:r w:rsidRPr="00E93F40">
        <w:rPr>
          <w:rFonts w:ascii="Times New Roman" w:hAnsi="Times New Roman"/>
          <w:color w:val="000000" w:themeColor="text1"/>
          <w:sz w:val="16"/>
          <w:szCs w:val="16"/>
        </w:rPr>
        <w:softHyphen/>
        <w:t>ли в сентябре 1933 г. Летал Томас Сузи. Само</w:t>
      </w:r>
      <w:r w:rsidRPr="00E93F40">
        <w:rPr>
          <w:rFonts w:ascii="Times New Roman" w:hAnsi="Times New Roman"/>
          <w:color w:val="000000" w:themeColor="text1"/>
          <w:sz w:val="16"/>
          <w:szCs w:val="16"/>
        </w:rPr>
        <w:softHyphen/>
        <w:t>лет недодал скорости — развивал всего 265 км/ч у земли. Однако воздушный винт понравился, поэтому в 1934 году предлагалось организо</w:t>
      </w:r>
      <w:r w:rsidRPr="00E93F40">
        <w:rPr>
          <w:rFonts w:ascii="Times New Roman" w:hAnsi="Times New Roman"/>
          <w:color w:val="000000" w:themeColor="text1"/>
          <w:sz w:val="16"/>
          <w:szCs w:val="16"/>
        </w:rPr>
        <w:softHyphen/>
        <w:t>вать производство таких винтов. Между тем, в Горьком (в городе Горьком, ибо так с 1932 года стал именоваться Нижний Новгород) уже вы</w:t>
      </w:r>
      <w:r w:rsidRPr="00E93F40">
        <w:rPr>
          <w:rFonts w:ascii="Times New Roman" w:hAnsi="Times New Roman"/>
          <w:color w:val="000000" w:themeColor="text1"/>
          <w:sz w:val="16"/>
          <w:szCs w:val="16"/>
        </w:rPr>
        <w:softHyphen/>
        <w:t>пускали самолеты с металлическими воздуш</w:t>
      </w:r>
      <w:r w:rsidRPr="00E93F40">
        <w:rPr>
          <w:rFonts w:ascii="Times New Roman" w:hAnsi="Times New Roman"/>
          <w:color w:val="000000" w:themeColor="text1"/>
          <w:sz w:val="16"/>
          <w:szCs w:val="16"/>
        </w:rPr>
        <w:softHyphen/>
        <w:t>ными винтами. Образцом-эталоном был вы</w:t>
      </w:r>
      <w:r w:rsidRPr="00E93F40">
        <w:rPr>
          <w:rFonts w:ascii="Times New Roman" w:hAnsi="Times New Roman"/>
          <w:color w:val="000000" w:themeColor="text1"/>
          <w:sz w:val="16"/>
          <w:szCs w:val="16"/>
        </w:rPr>
        <w:softHyphen/>
        <w:t>бран серийный И-5 №21510 (12295).</w:t>
      </w:r>
    </w:p>
    <w:p w14:paraId="12754681" w14:textId="77777777" w:rsidR="003E0F62" w:rsidRPr="00E93F40" w:rsidRDefault="003E0F62" w:rsidP="00E93F40">
      <w:pPr>
        <w:spacing w:after="0" w:line="240" w:lineRule="auto"/>
        <w:jc w:val="both"/>
        <w:rPr>
          <w:rFonts w:ascii="Times New Roman" w:hAnsi="Times New Roman"/>
          <w:color w:val="000000" w:themeColor="text1"/>
          <w:sz w:val="16"/>
          <w:szCs w:val="16"/>
        </w:rPr>
      </w:pPr>
    </w:p>
    <w:p w14:paraId="381E7D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состоялся первый испытательный полет первого советского вертолета ЦАГИ-1-ЭА (экспериментальный аппарат), построенный геликоптерной группой ЦАГИ под руководством Б.Н.Юрьева и А.М.Изаксона. испытывал А.М.Черемухин, продержавшийся в воздухе 13 минут. Имел 2 М-2 Рон по 120 нр (438,633).</w:t>
      </w:r>
    </w:p>
    <w:p w14:paraId="04B16D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C7EC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вертолет ЦАГИ-1ЭА поднялся на высоту 160 м, 3 августа — на 230 м и 5 августа — на 285 м. Наконец, 14 августа 1932 г. вертолет достиг рекордной высоты 605 м, при этом продолжительность полета, как было зарегистри</w:t>
      </w:r>
      <w:r w:rsidRPr="00E93F40">
        <w:rPr>
          <w:rFonts w:ascii="Times New Roman" w:hAnsi="Times New Roman"/>
          <w:color w:val="000000" w:themeColor="text1"/>
          <w:sz w:val="16"/>
          <w:szCs w:val="16"/>
        </w:rPr>
        <w:softHyphen/>
        <w:t>ровано на барограмме, также была рекордной и составила 12,5 мин. К сожалению, при снижении с несколько большей чем обычно ско</w:t>
      </w:r>
      <w:r w:rsidRPr="00E93F40">
        <w:rPr>
          <w:rFonts w:ascii="Times New Roman" w:hAnsi="Times New Roman"/>
          <w:color w:val="000000" w:themeColor="text1"/>
          <w:sz w:val="16"/>
          <w:szCs w:val="16"/>
        </w:rPr>
        <w:softHyphen/>
        <w:t>ростью несущий винт попал на срывные режимы, вызванные вхож</w:t>
      </w:r>
      <w:r w:rsidRPr="00E93F40">
        <w:rPr>
          <w:rFonts w:ascii="Times New Roman" w:hAnsi="Times New Roman"/>
          <w:color w:val="000000" w:themeColor="text1"/>
          <w:sz w:val="16"/>
          <w:szCs w:val="16"/>
        </w:rPr>
        <w:softHyphen/>
        <w:t>дением винта в неизученный тогда режим «вихревого кольца» и сопровождающиеся частичной потерей эффективности управления. В результате при посадке произошла авария, и был поврежден не</w:t>
      </w:r>
      <w:r w:rsidRPr="00E93F40">
        <w:rPr>
          <w:rFonts w:ascii="Times New Roman" w:hAnsi="Times New Roman"/>
          <w:color w:val="000000" w:themeColor="text1"/>
          <w:sz w:val="16"/>
          <w:szCs w:val="16"/>
        </w:rPr>
        <w:softHyphen/>
        <w:t>сущий винт. После его восстановления полеты были продолжены, но их результаты не превышали достигнутые в рекордном полете. В одном из таких полетов 15 августа 1933г., т. е. через год после рекордного полета, была достигнута наибольшая зарегистрирован</w:t>
      </w:r>
      <w:r w:rsidRPr="00E93F40">
        <w:rPr>
          <w:rFonts w:ascii="Times New Roman" w:hAnsi="Times New Roman"/>
          <w:color w:val="000000" w:themeColor="text1"/>
          <w:sz w:val="16"/>
          <w:szCs w:val="16"/>
        </w:rPr>
        <w:softHyphen/>
        <w:t>ная продолжительность полета — 14 мин. Позже А. М. Черемухин вспоминал об этих полетах: «Одна из трудностей, с которыми мы встретились при летных испытаниях, — это была неустойчивость аппарата. Для удерживания его в гори</w:t>
      </w:r>
      <w:r w:rsidRPr="00E93F40">
        <w:rPr>
          <w:rFonts w:ascii="Times New Roman" w:hAnsi="Times New Roman"/>
          <w:color w:val="000000" w:themeColor="text1"/>
          <w:sz w:val="16"/>
          <w:szCs w:val="16"/>
        </w:rPr>
        <w:softHyphen/>
        <w:t>зонтальном положении практически все время приходилось его подправлять и не давать ему заваливаться. Сначала это представ</w:t>
      </w:r>
      <w:r w:rsidRPr="00E93F40">
        <w:rPr>
          <w:rFonts w:ascii="Times New Roman" w:hAnsi="Times New Roman"/>
          <w:color w:val="000000" w:themeColor="text1"/>
          <w:sz w:val="16"/>
          <w:szCs w:val="16"/>
        </w:rPr>
        <w:softHyphen/>
        <w:t>ляло большие затруднения, так как я чувствовал себя на аппарате, как на острие иглы» (10736).</w:t>
      </w:r>
    </w:p>
    <w:p w14:paraId="01C2B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BBA3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вертолет ЦАГИ 1-ЭА под</w:t>
      </w:r>
      <w:r w:rsidRPr="00E93F40">
        <w:rPr>
          <w:rFonts w:ascii="Times New Roman" w:hAnsi="Times New Roman"/>
          <w:color w:val="000000" w:themeColor="text1"/>
          <w:sz w:val="16"/>
          <w:szCs w:val="16"/>
        </w:rPr>
        <w:softHyphen/>
        <w:t>нялся на высоту 160 м, 3 августа - на 230 м и 5 августа - на 285 м. И нако</w:t>
      </w:r>
      <w:r w:rsidRPr="00E93F40">
        <w:rPr>
          <w:rFonts w:ascii="Times New Roman" w:hAnsi="Times New Roman"/>
          <w:color w:val="000000" w:themeColor="text1"/>
          <w:sz w:val="16"/>
          <w:szCs w:val="16"/>
        </w:rPr>
        <w:softHyphen/>
        <w:t>нец, 14 августа 1932 года вертолет достиг рекордной высоты 605 м. При этом продолжительность полета, как было зарегистрировано на баро</w:t>
      </w:r>
      <w:r w:rsidRPr="00E93F40">
        <w:rPr>
          <w:rFonts w:ascii="Times New Roman" w:hAnsi="Times New Roman"/>
          <w:color w:val="000000" w:themeColor="text1"/>
          <w:sz w:val="16"/>
          <w:szCs w:val="16"/>
        </w:rPr>
        <w:softHyphen/>
        <w:t>грамме, также была рекордной - 12,5 мин. К сожалению, при посадке вертолета произошла авария с повреж</w:t>
      </w:r>
      <w:r w:rsidRPr="00E93F40">
        <w:rPr>
          <w:rFonts w:ascii="Times New Roman" w:hAnsi="Times New Roman"/>
          <w:color w:val="000000" w:themeColor="text1"/>
          <w:sz w:val="16"/>
          <w:szCs w:val="16"/>
        </w:rPr>
        <w:softHyphen/>
        <w:t>дением несущего винта. При увеличе</w:t>
      </w:r>
      <w:r w:rsidRPr="00E93F40">
        <w:rPr>
          <w:rFonts w:ascii="Times New Roman" w:hAnsi="Times New Roman"/>
          <w:color w:val="000000" w:themeColor="text1"/>
          <w:sz w:val="16"/>
          <w:szCs w:val="16"/>
        </w:rPr>
        <w:softHyphen/>
        <w:t>нии скорости снижения несущий винт попал на срывные режимы, вызванные вхождением винта в неизученный тог</w:t>
      </w:r>
      <w:r w:rsidRPr="00E93F40">
        <w:rPr>
          <w:rFonts w:ascii="Times New Roman" w:hAnsi="Times New Roman"/>
          <w:color w:val="000000" w:themeColor="text1"/>
          <w:sz w:val="16"/>
          <w:szCs w:val="16"/>
        </w:rPr>
        <w:softHyphen/>
        <w:t>да режим «вихревого кольца», что при</w:t>
      </w:r>
      <w:r w:rsidRPr="00E93F40">
        <w:rPr>
          <w:rFonts w:ascii="Times New Roman" w:hAnsi="Times New Roman"/>
          <w:color w:val="000000" w:themeColor="text1"/>
          <w:sz w:val="16"/>
          <w:szCs w:val="16"/>
        </w:rPr>
        <w:softHyphen/>
        <w:t>вело к частичной потере эффективнос</w:t>
      </w:r>
      <w:r w:rsidRPr="00E93F40">
        <w:rPr>
          <w:rFonts w:ascii="Times New Roman" w:hAnsi="Times New Roman"/>
          <w:color w:val="000000" w:themeColor="text1"/>
          <w:sz w:val="16"/>
          <w:szCs w:val="16"/>
        </w:rPr>
        <w:softHyphen/>
        <w:t>ти управления. После восстановления вертолета полеты были продолжены, но их результаты не превышали дос</w:t>
      </w:r>
      <w:r w:rsidRPr="00E93F40">
        <w:rPr>
          <w:rFonts w:ascii="Times New Roman" w:hAnsi="Times New Roman"/>
          <w:color w:val="000000" w:themeColor="text1"/>
          <w:sz w:val="16"/>
          <w:szCs w:val="16"/>
        </w:rPr>
        <w:softHyphen/>
        <w:t>тижений рекордного полета. Правда, 15 августа 1933 года была достигнута наибольшая зарегистрированная про</w:t>
      </w:r>
      <w:r w:rsidRPr="00E93F40">
        <w:rPr>
          <w:rFonts w:ascii="Times New Roman" w:hAnsi="Times New Roman"/>
          <w:color w:val="000000" w:themeColor="text1"/>
          <w:sz w:val="16"/>
          <w:szCs w:val="16"/>
        </w:rPr>
        <w:softHyphen/>
        <w:t>должительность полета — 14 минут. А.М. Черемухин вспоминал позже: «Если мы мало думали об установле</w:t>
      </w:r>
      <w:r w:rsidRPr="00E93F40">
        <w:rPr>
          <w:rFonts w:ascii="Times New Roman" w:hAnsi="Times New Roman"/>
          <w:color w:val="000000" w:themeColor="text1"/>
          <w:sz w:val="16"/>
          <w:szCs w:val="16"/>
        </w:rPr>
        <w:softHyphen/>
        <w:t>нии рекордов, то расширение преде</w:t>
      </w:r>
      <w:r w:rsidRPr="00E93F40">
        <w:rPr>
          <w:rFonts w:ascii="Times New Roman" w:hAnsi="Times New Roman"/>
          <w:color w:val="000000" w:themeColor="text1"/>
          <w:sz w:val="16"/>
          <w:szCs w:val="16"/>
        </w:rPr>
        <w:softHyphen/>
        <w:t>лов полученных летных данных, таких, как высота, скорость, особенности подъема, спуска, посадки, все время имело место при наших летных испы</w:t>
      </w:r>
      <w:r w:rsidRPr="00E93F40">
        <w:rPr>
          <w:rFonts w:ascii="Times New Roman" w:hAnsi="Times New Roman"/>
          <w:color w:val="000000" w:themeColor="text1"/>
          <w:sz w:val="16"/>
          <w:szCs w:val="16"/>
        </w:rPr>
        <w:softHyphen/>
        <w:t>таниях». В 1933 году за создание пер</w:t>
      </w:r>
      <w:r w:rsidRPr="00E93F40">
        <w:rPr>
          <w:rFonts w:ascii="Times New Roman" w:hAnsi="Times New Roman"/>
          <w:color w:val="000000" w:themeColor="text1"/>
          <w:sz w:val="16"/>
          <w:szCs w:val="16"/>
        </w:rPr>
        <w:softHyphen/>
        <w:t>вого советского геликоптера и в связи с 15-летием ЦАГИ А.М. Черемухин и А.М. Изаксон были награждены орде</w:t>
      </w:r>
      <w:r w:rsidRPr="00E93F40">
        <w:rPr>
          <w:rFonts w:ascii="Times New Roman" w:hAnsi="Times New Roman"/>
          <w:color w:val="000000" w:themeColor="text1"/>
          <w:sz w:val="16"/>
          <w:szCs w:val="16"/>
        </w:rPr>
        <w:softHyphen/>
        <w:t>нами Красной Звезды. При летных испытаниях вертолета ЦАГИ 1-ЭА были получены результа</w:t>
      </w:r>
      <w:r w:rsidRPr="00E93F40">
        <w:rPr>
          <w:rFonts w:ascii="Times New Roman" w:hAnsi="Times New Roman"/>
          <w:color w:val="000000" w:themeColor="text1"/>
          <w:sz w:val="16"/>
          <w:szCs w:val="16"/>
        </w:rPr>
        <w:softHyphen/>
        <w:t>ты, которых до тех пор не добивались авиаконструкторы не только в нашей стране, но и в мире. Перед летчика</w:t>
      </w:r>
      <w:r w:rsidRPr="00E93F40">
        <w:rPr>
          <w:rFonts w:ascii="Times New Roman" w:hAnsi="Times New Roman"/>
          <w:color w:val="000000" w:themeColor="text1"/>
          <w:sz w:val="16"/>
          <w:szCs w:val="16"/>
        </w:rPr>
        <w:softHyphen/>
        <w:t>ми-испытателями вертолета ставилась цель выполнить как можно больше по</w:t>
      </w:r>
      <w:r w:rsidRPr="00E93F40">
        <w:rPr>
          <w:rFonts w:ascii="Times New Roman" w:hAnsi="Times New Roman"/>
          <w:color w:val="000000" w:themeColor="text1"/>
          <w:sz w:val="16"/>
          <w:szCs w:val="16"/>
        </w:rPr>
        <w:softHyphen/>
        <w:t>летов, и из-за экономии ресурса дви</w:t>
      </w:r>
      <w:r w:rsidRPr="00E93F40">
        <w:rPr>
          <w:rFonts w:ascii="Times New Roman" w:hAnsi="Times New Roman"/>
          <w:color w:val="000000" w:themeColor="text1"/>
          <w:sz w:val="16"/>
          <w:szCs w:val="16"/>
        </w:rPr>
        <w:softHyphen/>
        <w:t>гателей их продолжительность по вре</w:t>
      </w:r>
      <w:r w:rsidRPr="00E93F40">
        <w:rPr>
          <w:rFonts w:ascii="Times New Roman" w:hAnsi="Times New Roman"/>
          <w:color w:val="000000" w:themeColor="text1"/>
          <w:sz w:val="16"/>
          <w:szCs w:val="16"/>
        </w:rPr>
        <w:softHyphen/>
        <w:t>мени была ограничена. Только поэтому достигнутая продолжительность по</w:t>
      </w:r>
      <w:r w:rsidRPr="00E93F40">
        <w:rPr>
          <w:rFonts w:ascii="Times New Roman" w:hAnsi="Times New Roman"/>
          <w:color w:val="000000" w:themeColor="text1"/>
          <w:sz w:val="16"/>
          <w:szCs w:val="16"/>
        </w:rPr>
        <w:softHyphen/>
        <w:t xml:space="preserve">лета 12,5 и 14 мин лишь ненамного превосходила официальный мировой рекорд 8 мин 45 с. Однако </w:t>
      </w:r>
      <w:r w:rsidRPr="00E93F40">
        <w:rPr>
          <w:rFonts w:ascii="Times New Roman" w:hAnsi="Times New Roman"/>
          <w:color w:val="000000" w:themeColor="text1"/>
          <w:sz w:val="16"/>
          <w:szCs w:val="16"/>
        </w:rPr>
        <w:lastRenderedPageBreak/>
        <w:t>зарегистри</w:t>
      </w:r>
      <w:r w:rsidRPr="00E93F40">
        <w:rPr>
          <w:rFonts w:ascii="Times New Roman" w:hAnsi="Times New Roman"/>
          <w:color w:val="000000" w:themeColor="text1"/>
          <w:sz w:val="16"/>
          <w:szCs w:val="16"/>
        </w:rPr>
        <w:softHyphen/>
        <w:t>рованная высота полета в 34 (!) раза превосходила мировой рекорд высо</w:t>
      </w:r>
      <w:r w:rsidRPr="00E93F40">
        <w:rPr>
          <w:rFonts w:ascii="Times New Roman" w:hAnsi="Times New Roman"/>
          <w:color w:val="000000" w:themeColor="text1"/>
          <w:sz w:val="16"/>
          <w:szCs w:val="16"/>
        </w:rPr>
        <w:softHyphen/>
        <w:t>ты, установленный на вертолете д'Асканио: 605 м против 18 м. Факт, ярко свидетельствующий о достижениях оте</w:t>
      </w:r>
      <w:r w:rsidRPr="00E93F40">
        <w:rPr>
          <w:rFonts w:ascii="Times New Roman" w:hAnsi="Times New Roman"/>
          <w:color w:val="000000" w:themeColor="text1"/>
          <w:sz w:val="16"/>
          <w:szCs w:val="16"/>
        </w:rPr>
        <w:softHyphen/>
        <w:t xml:space="preserve">чественных ученых </w:t>
      </w:r>
      <w:r w:rsidRPr="00E93F40">
        <w:rPr>
          <w:rFonts w:ascii="Times New Roman" w:hAnsi="Times New Roman"/>
          <w:iCs/>
          <w:color w:val="000000" w:themeColor="text1"/>
          <w:sz w:val="16"/>
          <w:szCs w:val="16"/>
        </w:rPr>
        <w:t xml:space="preserve">в </w:t>
      </w:r>
      <w:r w:rsidRPr="00E93F40">
        <w:rPr>
          <w:rFonts w:ascii="Times New Roman" w:hAnsi="Times New Roman"/>
          <w:color w:val="000000" w:themeColor="text1"/>
          <w:sz w:val="16"/>
          <w:szCs w:val="16"/>
        </w:rPr>
        <w:t>развитии теории несущих винтов и в их практической разработке (11401).</w:t>
      </w:r>
    </w:p>
    <w:p w14:paraId="2A8CED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71EB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согласно Технико-экономическому паспорту (по состоянию на 31 декабря 1932 года) НИИ авиадвигателей ГУГВФ, позже Научно-исследовательский институт авиационных двигателей ГУГВФ "Аэрофлот".</w:t>
      </w:r>
    </w:p>
    <w:p w14:paraId="5C69FE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ст. Тушино МББ. Авиагородок, корпус Б.</w:t>
      </w:r>
    </w:p>
    <w:p w14:paraId="69655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Назначение института:</w:t>
      </w:r>
    </w:p>
    <w:p w14:paraId="710BB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Руководство эксплуатацией моторного парка в системе ГВФ; внедрение в эксплуатацию новых образцов моторов, реконструкция моторного парка ГВФ путем усовершенствования моторов, находящихся в эксплуатации и проектирования и изготовления новых типов авиадвигателей; изыскание лучших топлив и смазочных для моторного парка и улучшение использования находящихся в эксплуатации.</w:t>
      </w:r>
    </w:p>
    <w:p w14:paraId="69546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Оборонное значение НИИ</w:t>
      </w:r>
    </w:p>
    <w:p w14:paraId="65969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Соответственно с мобпланом использование гражданской авиации на нужды обороны ……………….. Институт ведет также работы прямого оборонного значения – изготовление паротурбины, обеспечивающей развитие тяжелой авиации, авиадизелей и авиамоторов на легком топливе (7726, 48-55).</w:t>
      </w:r>
    </w:p>
    <w:p w14:paraId="5D06A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2483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согласно Технико-экономическому паспорту был организован НИИС</w:t>
      </w:r>
    </w:p>
    <w:p w14:paraId="0AD94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Москва, Красноармейская, д. 17</w:t>
      </w:r>
    </w:p>
    <w:p w14:paraId="4D872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задачи НИИ:</w:t>
      </w:r>
    </w:p>
    <w:p w14:paraId="54732E0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опытных и экспериментальных самолетов и других летательных аппаратов в соответствии с планом утвержденным ГУГВФ.</w:t>
      </w:r>
    </w:p>
    <w:p w14:paraId="61BA967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испытаний опытных и серийных самолетов, участие в эксплуатационных испытаниях и организация их, разработка инструкций по эксплуатации самолетов.</w:t>
      </w:r>
    </w:p>
    <w:p w14:paraId="4E2C3D9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испытаний посадочных приспособлений: колес, пневматики поплавков, лыж, шасси амортизаторов, тормозов и т.д.</w:t>
      </w:r>
    </w:p>
    <w:p w14:paraId="124366D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Наблюдение за внедрением опытных образцов самолетов и других летательных аппаратов и их деталей в серийное производство</w:t>
      </w:r>
    </w:p>
    <w:p w14:paraId="3ECD9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1409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Характеристика темпланов и методов работы:</w:t>
      </w:r>
    </w:p>
    <w:p w14:paraId="570A1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была на опытное стальное самолетостроение, аэросанное и глиссерное строительство и разрешение вопросов технической эксплуатации.</w:t>
      </w:r>
    </w:p>
    <w:p w14:paraId="397E7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2D100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 2 к технико-экономическому паспорту на 1 октября 1932 года СНИИ ГВФ</w:t>
      </w:r>
    </w:p>
    <w:p w14:paraId="67172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Самолетостроение</w:t>
      </w:r>
    </w:p>
    <w:p w14:paraId="7E480B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"Сталь 3". Работа шла нормально. Выполнение по фюзеляжу 50%, по оперению – 95%, по управлению – 55%, по крылу 14%, по винтомоторной группе 52%, поплавки – 85%, передвижение – 12%.</w:t>
      </w:r>
    </w:p>
    <w:p w14:paraId="2CEC03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"Сталь 6". Работы в основном выражались по руководству на производстве и ряде доделок, изменений и конструирования приспособлений для испытания.</w:t>
      </w:r>
    </w:p>
    <w:p w14:paraId="75506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"Сталь 2" на поплавки. Из-за трудности получения материала, работа не может быть развернута полностью и ограничивается исследовательскими и производственными проб… Предусмотренный планом ряд заданий на сентябрь выполнен на 100%.</w:t>
      </w:r>
    </w:p>
    <w:p w14:paraId="2797F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стальных винтов. Ведутся изыскательные работы. Задание выполнено на 100%. По исследовательскому бюро – работы велись по испытанию конструкции, исследованию сварки, по металлографии и механическим испытаниям материалов.</w:t>
      </w:r>
    </w:p>
    <w:p w14:paraId="0B6E0E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 плана. Работы по закрылку АИР-4. Выполнено 65%. По самолету Ш-5 и срочные переделки по мотогруппе С-2.</w:t>
      </w:r>
    </w:p>
    <w:p w14:paraId="182EF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Эксплуатационно-технический отдел</w:t>
      </w:r>
    </w:p>
    <w:p w14:paraId="5C8D2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велись по испытанию самолета П-5, затрачено 24 часа. По переоборудованию и испытанию АНТ-9 с двумя моторами М-17 затрачено 690 часов. По испытанию АНТ-9 с тремя моторами М-26 по особой программе затрачено 408 чел/часов.</w:t>
      </w:r>
    </w:p>
    <w:p w14:paraId="2E3B2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 плана производились испытания самолета НИАИ № 1 затрачено 6 часов.</w:t>
      </w:r>
    </w:p>
    <w:p w14:paraId="2F0B0C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5F69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 опытного строительства глиссеров и саней</w:t>
      </w:r>
    </w:p>
    <w:p w14:paraId="6FB07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велись:</w:t>
      </w:r>
    </w:p>
    <w:p w14:paraId="61199A9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стальному глиссеру "СГ-1". Работа выполнена на 8% за отчетный период и на 44% от плана.</w:t>
      </w:r>
    </w:p>
    <w:p w14:paraId="2E4B607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деревянному глиссеру "А-11" – окончена постройка и испытание на маневрах и пробегом Москва-Бронницы-Москва. Работа закончена ранее срока.</w:t>
      </w:r>
    </w:p>
    <w:p w14:paraId="1CC00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E327E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Опытные мастерские</w:t>
      </w:r>
    </w:p>
    <w:p w14:paraId="421AD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ведутся по самолету "С-6" и по изготовлению ряда опытных деталей по самолетам "С-3" и "С-5" (7726, 2-18).</w:t>
      </w:r>
    </w:p>
    <w:p w14:paraId="1A70DD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DBA8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августа 1932 г. через военную приемку прошли 306 экземпляров ВАП-4. Для несения химического оружия старались приспособить большую часть типов боевых самолетов. Р-1 постепенно был вытеснен другим деревянным бипланом, Р-5. Поскольку у него грузоподъемность была больше, то эта машина несла уже четыре ВАП-4. Прибор приспособили и для некоторых специальных модификаций Р-5. В 1934 г. в 14-м секторе НИИ ВВС разработали подвеску выливных приборов под поплавковый Р-5а. Проблема заключалась в том, что под крылом у него монтировались не Дер-7, а Дер-6; потребовалась доработка крепления. Тем не менее, задачу решили успешно. В октябре 1934 г. Р-5а с двумя ВАП-4 успешно прошел испытания в ОМО НИИ ВВС в Севастополе, пилотировал его летчик Моргинский (11931).</w:t>
      </w:r>
    </w:p>
    <w:p w14:paraId="63E51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89CD5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C989C0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A60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152-мм мортиру обр. 1931 г., находившуюся на НИАПе, было решено послать в 20-ю стрелковую дивизию для прохождения войсковых испытаний (3861).</w:t>
      </w:r>
    </w:p>
    <w:p w14:paraId="7E147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B54A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 года УММ РККА за</w:t>
      </w:r>
      <w:r w:rsidRPr="00E93F40">
        <w:rPr>
          <w:rFonts w:ascii="Times New Roman" w:hAnsi="Times New Roman"/>
          <w:color w:val="000000" w:themeColor="text1"/>
          <w:sz w:val="16"/>
          <w:szCs w:val="16"/>
        </w:rPr>
        <w:softHyphen/>
        <w:t>ключило со спецотделом Ижорского завода договор № 173713сс, в котором говорилось: «Объект заказа — про</w:t>
      </w:r>
      <w:r w:rsidRPr="00E93F40">
        <w:rPr>
          <w:rFonts w:ascii="Times New Roman" w:hAnsi="Times New Roman"/>
          <w:color w:val="000000" w:themeColor="text1"/>
          <w:sz w:val="16"/>
          <w:szCs w:val="16"/>
        </w:rPr>
        <w:softHyphen/>
        <w:t>ектирование и изготовление опытного образца бронеавто</w:t>
      </w:r>
      <w:r w:rsidRPr="00E93F40">
        <w:rPr>
          <w:rFonts w:ascii="Times New Roman" w:hAnsi="Times New Roman"/>
          <w:color w:val="000000" w:themeColor="text1"/>
          <w:sz w:val="16"/>
          <w:szCs w:val="16"/>
        </w:rPr>
        <w:softHyphen/>
        <w:t>мобиля БАИ, вооруженного 45-мм пушкой завода № 8 ВАТО и пулеметами ДТ. Срок предъявления к приему — 1 ноября 1932 года. Стоимость заказа составляет 25000 руб</w:t>
      </w:r>
      <w:r w:rsidRPr="00E93F40">
        <w:rPr>
          <w:rFonts w:ascii="Times New Roman" w:hAnsi="Times New Roman"/>
          <w:color w:val="000000" w:themeColor="text1"/>
          <w:sz w:val="16"/>
          <w:szCs w:val="16"/>
        </w:rPr>
        <w:softHyphen/>
        <w:t>лей». Но завод не сумел выполнить работу в срок - первый образец нового бронеавтомобиля, получившего обозначе</w:t>
      </w:r>
      <w:r w:rsidRPr="00E93F40">
        <w:rPr>
          <w:rFonts w:ascii="Times New Roman" w:hAnsi="Times New Roman"/>
          <w:color w:val="000000" w:themeColor="text1"/>
          <w:sz w:val="16"/>
          <w:szCs w:val="16"/>
        </w:rPr>
        <w:softHyphen/>
        <w:t>ние БА-3, изготовили только в конце апреля 1933 года, да и то из обычной (не броневой) стали. Тем не менее, 1 мая БА-3 участвовал в параде на площади Урицкого (ны</w:t>
      </w:r>
      <w:r w:rsidRPr="00E93F40">
        <w:rPr>
          <w:rFonts w:ascii="Times New Roman" w:hAnsi="Times New Roman"/>
          <w:color w:val="000000" w:themeColor="text1"/>
          <w:sz w:val="16"/>
          <w:szCs w:val="16"/>
        </w:rPr>
        <w:softHyphen/>
        <w:t>не Дворцовая) в Ленинграде.</w:t>
      </w:r>
    </w:p>
    <w:p w14:paraId="53027A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Корпус машины, сваренный из 4-8 мм листов незна</w:t>
      </w:r>
      <w:r w:rsidRPr="00E93F40">
        <w:rPr>
          <w:rFonts w:ascii="Times New Roman" w:hAnsi="Times New Roman"/>
          <w:color w:val="000000" w:themeColor="text1"/>
          <w:sz w:val="16"/>
          <w:szCs w:val="16"/>
        </w:rPr>
        <w:softHyphen/>
        <w:t>чительно отличался от БАИ - была на 50 мм удлинена кор</w:t>
      </w:r>
      <w:r w:rsidRPr="00E93F40">
        <w:rPr>
          <w:rFonts w:ascii="Times New Roman" w:hAnsi="Times New Roman"/>
          <w:color w:val="000000" w:themeColor="text1"/>
          <w:sz w:val="16"/>
          <w:szCs w:val="16"/>
        </w:rPr>
        <w:softHyphen/>
        <w:t>ма, в бортах моторного отделения появились окна (по од</w:t>
      </w:r>
      <w:r w:rsidRPr="00E93F40">
        <w:rPr>
          <w:rFonts w:ascii="Times New Roman" w:hAnsi="Times New Roman"/>
          <w:color w:val="000000" w:themeColor="text1"/>
          <w:sz w:val="16"/>
          <w:szCs w:val="16"/>
        </w:rPr>
        <w:softHyphen/>
        <w:t>ному на сторону) для выброса воздуха. Откидные щитки в боковых дверях устанавливались на внутренних петлях (у БАИ на внешних) и в открытом положении удержива</w:t>
      </w:r>
      <w:r w:rsidRPr="00E93F40">
        <w:rPr>
          <w:rFonts w:ascii="Times New Roman" w:hAnsi="Times New Roman"/>
          <w:color w:val="000000" w:themeColor="text1"/>
          <w:sz w:val="16"/>
          <w:szCs w:val="16"/>
        </w:rPr>
        <w:softHyphen/>
        <w:t>лись специальными защелками. Для наблюдения в бою в щитках имелись смотровые щели, закрываемые изнутри броневыми заслонками. Кроме того, на крыльях задних колес смонтировали специальное приспособление для ук</w:t>
      </w:r>
      <w:r w:rsidRPr="00E93F40">
        <w:rPr>
          <w:rFonts w:ascii="Times New Roman" w:hAnsi="Times New Roman"/>
          <w:color w:val="000000" w:themeColor="text1"/>
          <w:sz w:val="16"/>
          <w:szCs w:val="16"/>
        </w:rPr>
        <w:softHyphen/>
        <w:t>ладки вездеходных цепей и укоротили подножки под боко</w:t>
      </w:r>
      <w:r w:rsidRPr="00E93F40">
        <w:rPr>
          <w:rFonts w:ascii="Times New Roman" w:hAnsi="Times New Roman"/>
          <w:color w:val="000000" w:themeColor="text1"/>
          <w:sz w:val="16"/>
          <w:szCs w:val="16"/>
        </w:rPr>
        <w:softHyphen/>
        <w:t>выми дверями.</w:t>
      </w:r>
    </w:p>
    <w:p w14:paraId="211CA2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Главным отличием БА-3 от БАИ была башня от танка Т-26, но с уменьшением толщины брони до 8 мм (на опыт</w:t>
      </w:r>
      <w:r w:rsidRPr="00E93F40">
        <w:rPr>
          <w:rFonts w:ascii="Times New Roman" w:hAnsi="Times New Roman"/>
          <w:color w:val="000000" w:themeColor="text1"/>
          <w:sz w:val="16"/>
          <w:szCs w:val="16"/>
        </w:rPr>
        <w:softHyphen/>
        <w:t>ном образце, изготовленном из неброневой стали - 9 мм). Она крепилась болтами при помощи 6 захватов к нижнему погону и крыше корпуса. Поворотный механизм башни имел 2 передачи, позволяя ее вращать с разными скоростями. В крыше имелись два люка для посадки экипажа, люч</w:t>
      </w:r>
      <w:r w:rsidRPr="00E93F40">
        <w:rPr>
          <w:rFonts w:ascii="Times New Roman" w:hAnsi="Times New Roman"/>
          <w:color w:val="000000" w:themeColor="text1"/>
          <w:sz w:val="16"/>
          <w:szCs w:val="16"/>
        </w:rPr>
        <w:softHyphen/>
        <w:t>ки для вытяжного вентилятора, флажковой сигнализации и прибора ПТК. Наблюдение за полем боя можно было ве</w:t>
      </w:r>
      <w:r w:rsidRPr="00E93F40">
        <w:rPr>
          <w:rFonts w:ascii="Times New Roman" w:hAnsi="Times New Roman"/>
          <w:color w:val="000000" w:themeColor="text1"/>
          <w:sz w:val="16"/>
          <w:szCs w:val="16"/>
        </w:rPr>
        <w:softHyphen/>
        <w:t>сти через две смотровые щели со стеклами «Триплекс», рас</w:t>
      </w:r>
      <w:r w:rsidRPr="00E93F40">
        <w:rPr>
          <w:rFonts w:ascii="Times New Roman" w:hAnsi="Times New Roman"/>
          <w:color w:val="000000" w:themeColor="text1"/>
          <w:sz w:val="16"/>
          <w:szCs w:val="16"/>
        </w:rPr>
        <w:softHyphen/>
        <w:t>положенные в бортах. Кроме того, имелось три отверстия для стрельбы из револьвера, закрывающиеся броневыми за</w:t>
      </w:r>
      <w:r w:rsidRPr="00E93F40">
        <w:rPr>
          <w:rFonts w:ascii="Times New Roman" w:hAnsi="Times New Roman"/>
          <w:color w:val="000000" w:themeColor="text1"/>
          <w:sz w:val="16"/>
          <w:szCs w:val="16"/>
        </w:rPr>
        <w:softHyphen/>
        <w:t>слонками. Вооружение бронемашины состояло из 45-мм танковой пушки образца 1932 года (20К) и спаренного пу</w:t>
      </w:r>
      <w:r w:rsidRPr="00E93F40">
        <w:rPr>
          <w:rFonts w:ascii="Times New Roman" w:hAnsi="Times New Roman"/>
          <w:color w:val="000000" w:themeColor="text1"/>
          <w:sz w:val="16"/>
          <w:szCs w:val="16"/>
        </w:rPr>
        <w:softHyphen/>
        <w:t>лемета ДТ в штатной башенной установке и еще одного ДТ в лобовом листе корпуса. Прицельные приспособления со</w:t>
      </w:r>
      <w:r w:rsidRPr="00E93F40">
        <w:rPr>
          <w:rFonts w:ascii="Times New Roman" w:hAnsi="Times New Roman"/>
          <w:color w:val="000000" w:themeColor="text1"/>
          <w:sz w:val="16"/>
          <w:szCs w:val="16"/>
        </w:rPr>
        <w:softHyphen/>
        <w:t>стояли из телескопического прицела ТОП, кроме того пре</w:t>
      </w:r>
      <w:r w:rsidRPr="00E93F40">
        <w:rPr>
          <w:rFonts w:ascii="Times New Roman" w:hAnsi="Times New Roman"/>
          <w:color w:val="000000" w:themeColor="text1"/>
          <w:sz w:val="16"/>
          <w:szCs w:val="16"/>
        </w:rPr>
        <w:softHyphen/>
        <w:t>дусматривалась и установка перископического ПТ-1 (прав</w:t>
      </w:r>
      <w:r w:rsidRPr="00E93F40">
        <w:rPr>
          <w:rFonts w:ascii="Times New Roman" w:hAnsi="Times New Roman"/>
          <w:color w:val="000000" w:themeColor="text1"/>
          <w:sz w:val="16"/>
          <w:szCs w:val="16"/>
        </w:rPr>
        <w:softHyphen/>
        <w:t>да, на БА-3 их так и не установили). В корме башни имелся люк для демонтажа пушки при ремонте.</w:t>
      </w:r>
    </w:p>
    <w:p w14:paraId="6288EC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пушке имелось 60 снарядов, из них 52 находились в башне (2 укладки по 20 штук в кормовой нише и 12 по бор</w:t>
      </w:r>
      <w:r w:rsidRPr="00E93F40">
        <w:rPr>
          <w:rFonts w:ascii="Times New Roman" w:hAnsi="Times New Roman"/>
          <w:color w:val="000000" w:themeColor="text1"/>
          <w:sz w:val="16"/>
          <w:szCs w:val="16"/>
        </w:rPr>
        <w:softHyphen/>
        <w:t>там) и две стойки по 4 снаряда в корпусе. 54 магазина к пу</w:t>
      </w:r>
      <w:r w:rsidRPr="00E93F40">
        <w:rPr>
          <w:rFonts w:ascii="Times New Roman" w:hAnsi="Times New Roman"/>
          <w:color w:val="000000" w:themeColor="text1"/>
          <w:sz w:val="16"/>
          <w:szCs w:val="16"/>
        </w:rPr>
        <w:softHyphen/>
        <w:t>леметам (3402 патрона) размещались в башне справа (6 штук) и в 48 стеллажах на бортах корпуса. Здесь же специ</w:t>
      </w:r>
      <w:r w:rsidRPr="00E93F40">
        <w:rPr>
          <w:rFonts w:ascii="Times New Roman" w:hAnsi="Times New Roman"/>
          <w:color w:val="000000" w:themeColor="text1"/>
          <w:sz w:val="16"/>
          <w:szCs w:val="16"/>
        </w:rPr>
        <w:softHyphen/>
        <w:t>альными зажимами крепились лопата, топор, лом и двуруч</w:t>
      </w:r>
      <w:r w:rsidRPr="00E93F40">
        <w:rPr>
          <w:rFonts w:ascii="Times New Roman" w:hAnsi="Times New Roman"/>
          <w:color w:val="000000" w:themeColor="text1"/>
          <w:sz w:val="16"/>
          <w:szCs w:val="16"/>
        </w:rPr>
        <w:softHyphen/>
        <w:t>ная пила. Кроме того, в полу боевого отделения имелся ин</w:t>
      </w:r>
      <w:r w:rsidRPr="00E93F40">
        <w:rPr>
          <w:rFonts w:ascii="Times New Roman" w:hAnsi="Times New Roman"/>
          <w:color w:val="000000" w:themeColor="text1"/>
          <w:sz w:val="16"/>
          <w:szCs w:val="16"/>
        </w:rPr>
        <w:softHyphen/>
        <w:t>струментальный ящик и ящик ЗИП к пушке и пулеметам.</w:t>
      </w:r>
    </w:p>
    <w:p w14:paraId="39DE46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Боевая масса БА-3 с экипажем из 4 человек составляла 5820 кг, 40-сильный двигатель «Форд» позволял броневику разгоняться до 60 км/ч на прямой передаче и до 70 км/ч с демультипликатором на пониженной (11284).</w:t>
      </w:r>
    </w:p>
    <w:p w14:paraId="1F483D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DB950" w14:textId="77777777" w:rsidR="00AA2E5E" w:rsidRPr="00142305" w:rsidRDefault="00AA2E5E" w:rsidP="00AA2E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августа 1932 года было выдано задание на создание БАИ с более мощным вооружением. Работы по броневику задержались, первый образец бронемашины с корпусом и башней из конструкционной стали был готов в апреле 1933 года. Он получил индекс БА-3 (бронемашина Ижорского завода, третий тип). Главным его отличием стала башня, аналогичная Т-26. Логичный шаг, поскольку на Ижорском заводе выпускались башни Т-26 (25118).</w:t>
      </w:r>
    </w:p>
    <w:p w14:paraId="437AE071" w14:textId="77777777" w:rsidR="00AA2E5E" w:rsidRPr="00142305" w:rsidRDefault="00AA2E5E" w:rsidP="00AA2E5E">
      <w:pPr>
        <w:spacing w:after="0" w:line="240" w:lineRule="auto"/>
        <w:jc w:val="both"/>
        <w:rPr>
          <w:rFonts w:ascii="Times New Roman" w:hAnsi="Times New Roman"/>
          <w:color w:val="0070C0"/>
          <w:sz w:val="16"/>
          <w:szCs w:val="16"/>
        </w:rPr>
      </w:pPr>
    </w:p>
    <w:p w14:paraId="31625A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к 1 августа 1932 г. на Электрозаводе было 358 хозрасчётных бригад, объединявших в своих рядах 4089 рабочих, что составляло 47,5% всех рабочих завода. Однако распространённость хозрасчётных отношений была неравномерна и сильно изменялась от отдела к отделу. Отмечалась хорошая постановка хозрасчёта в Вольфрамовом отделе и отделе главного механика, удовлетворительным признавался уровень Трансформаторного отдела и отдела АТЭ, в прочих отделах положение с хозрасчётом оценивалось словом «развал». Так, в отделе электропечей хозрасчётных бригад не было вообще, в отделе электроламп их было 2, хозрасчёт в Ламповом отделе находился «накануне развала» (11564).</w:t>
      </w:r>
    </w:p>
    <w:p w14:paraId="2538A3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931E34" w14:textId="77777777" w:rsidR="00086AA3" w:rsidRPr="00E93F40" w:rsidRDefault="00086A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августа 1932 состоялось заседание ПБ (Протокол № 110) </w:t>
      </w:r>
    </w:p>
    <w:p w14:paraId="16FA7FDE" w14:textId="77777777" w:rsidR="00086AA3" w:rsidRPr="00E93F40" w:rsidRDefault="00086A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 договоре об оказании технической помощи по проиводству цветного литья с итальянской Фирмой Фиат</w:t>
      </w:r>
    </w:p>
    <w:p w14:paraId="23082C5C" w14:textId="77777777" w:rsidR="00086AA3" w:rsidRPr="00E93F40" w:rsidRDefault="00086A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Боев).</w:t>
      </w:r>
    </w:p>
    <w:p w14:paraId="0B9A8E8E" w14:textId="77777777" w:rsidR="00086AA3" w:rsidRPr="00E93F40" w:rsidRDefault="00086A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Принять предложение НКТПрома о заключении дого</w:t>
      </w:r>
      <w:r w:rsidRPr="00E93F40">
        <w:rPr>
          <w:rFonts w:ascii="Times New Roman" w:hAnsi="Times New Roman"/>
          <w:color w:val="000000" w:themeColor="text1"/>
          <w:sz w:val="16"/>
          <w:szCs w:val="16"/>
        </w:rPr>
        <w:softHyphen/>
        <w:t>вора с итальянской фирмой Фиат об оказании нам техни</w:t>
      </w:r>
      <w:r w:rsidRPr="00E93F40">
        <w:rPr>
          <w:rFonts w:ascii="Times New Roman" w:hAnsi="Times New Roman"/>
          <w:color w:val="000000" w:themeColor="text1"/>
          <w:sz w:val="16"/>
          <w:szCs w:val="16"/>
        </w:rPr>
        <w:softHyphen/>
        <w:t>ческой помощи по производству литья, по разработке проекта большого литейного завода и по организации производства на этом заводе.</w:t>
      </w:r>
    </w:p>
    <w:p w14:paraId="435B9BDA" w14:textId="77777777" w:rsidR="00086AA3" w:rsidRPr="00E93F40" w:rsidRDefault="00086A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комиссии в составе т.т. Гринько, Беленько</w:t>
      </w:r>
      <w:r w:rsidRPr="00E93F40">
        <w:rPr>
          <w:rFonts w:ascii="Times New Roman" w:hAnsi="Times New Roman"/>
          <w:color w:val="000000" w:themeColor="text1"/>
          <w:sz w:val="16"/>
          <w:szCs w:val="16"/>
        </w:rPr>
        <w:softHyphen/>
        <w:t>го 3. и Биткера определить источники покрытия валютных расходов по договору, не выходя за пределы установленных сумм по неторговым расходам.</w:t>
      </w:r>
    </w:p>
    <w:p w14:paraId="2C76D1DD" w14:textId="77777777" w:rsidR="00086AA3" w:rsidRPr="00E93F40" w:rsidRDefault="00086A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Поручить т.т. Пятакову и Баранову определить точные сроки реального получения техпомощи, максимально ускорив их и доложить Политбюро.</w:t>
      </w:r>
    </w:p>
    <w:p w14:paraId="655DD2B1" w14:textId="77777777" w:rsidR="00086AA3" w:rsidRPr="00E93F40" w:rsidRDefault="00086A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Пятакову, Баранову-все; Гринько, Белень</w:t>
      </w:r>
      <w:r w:rsidRPr="00E93F40">
        <w:rPr>
          <w:rFonts w:ascii="Times New Roman" w:hAnsi="Times New Roman"/>
          <w:color w:val="000000" w:themeColor="text1"/>
          <w:sz w:val="16"/>
          <w:szCs w:val="16"/>
        </w:rPr>
        <w:softHyphen/>
        <w:t>кому 3., Биткеру - п. 6 (23055).</w:t>
      </w:r>
    </w:p>
    <w:p w14:paraId="5B68AE1C" w14:textId="77777777" w:rsidR="00086AA3" w:rsidRPr="00E93F40" w:rsidRDefault="00086AA3" w:rsidP="00E93F40">
      <w:pPr>
        <w:spacing w:after="0" w:line="240" w:lineRule="auto"/>
        <w:jc w:val="both"/>
        <w:rPr>
          <w:rFonts w:ascii="Times New Roman" w:hAnsi="Times New Roman"/>
          <w:color w:val="000000" w:themeColor="text1"/>
          <w:sz w:val="16"/>
          <w:szCs w:val="16"/>
        </w:rPr>
      </w:pPr>
    </w:p>
    <w:p w14:paraId="08ECC0A7" w14:textId="77777777" w:rsidR="00223785"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DA78A1A" w14:textId="77777777" w:rsidR="00223785" w:rsidRPr="00E93F40" w:rsidRDefault="0022378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69F392"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 августа 1932 г. Каганович — Сталину</w:t>
      </w:r>
    </w:p>
    <w:p w14:paraId="3EB1DFB6"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Шифровка.</w:t>
      </w:r>
    </w:p>
    <w:p w14:paraId="48E02162"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Вх. № 69.</w:t>
      </w:r>
    </w:p>
    <w:p w14:paraId="596D8564"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Тов. Сталину.</w:t>
      </w:r>
    </w:p>
    <w:p w14:paraId="59A33088"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Наркомвнешторг внес на рассмотрение просьбу персидского правительства о продаже ему 10 аэропланов, 3-х тысяч кавалерийских седел и 100 тысяч пар башмаков военного образца.</w:t>
      </w:r>
    </w:p>
    <w:p w14:paraId="6489BE20"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Мы считаем возможным пойти на продажу аэропланов, седел и башмаков. Сообщите ваше мнение.</w:t>
      </w:r>
    </w:p>
    <w:p w14:paraId="134FC0F9"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Каганович.</w:t>
      </w:r>
    </w:p>
    <w:p w14:paraId="75AAC0C8"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1/VIII-32 г.</w:t>
      </w:r>
    </w:p>
    <w:p w14:paraId="32B2BEEE"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iCs/>
          <w:color w:val="000000" w:themeColor="text1"/>
          <w:sz w:val="16"/>
          <w:szCs w:val="16"/>
          <w:lang w:eastAsia="ru-RU"/>
        </w:rPr>
        <w:t>Ф. 558. On. 11. Д. 78. Л. 113. Подлинник. Машинопись.</w:t>
      </w:r>
    </w:p>
    <w:p w14:paraId="0E53771F" w14:textId="77777777" w:rsidR="00223785" w:rsidRPr="00E93F40" w:rsidRDefault="00223785"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 следующий день Сталин ответил согласием (Там же). Решение ПБ было оформлено в протоколе от 1 августа 1932 г. (РГАСПИ. Ф. 17. Оп. 162. Д. 13. Л. 47) (17281).</w:t>
      </w:r>
    </w:p>
    <w:p w14:paraId="330D9EC1" w14:textId="77777777" w:rsidR="00223785" w:rsidRPr="00E93F40" w:rsidRDefault="00223785" w:rsidP="00E93F40">
      <w:pPr>
        <w:autoSpaceDE w:val="0"/>
        <w:autoSpaceDN w:val="0"/>
        <w:adjustRightInd w:val="0"/>
        <w:spacing w:after="0" w:line="240" w:lineRule="auto"/>
        <w:jc w:val="both"/>
        <w:rPr>
          <w:rFonts w:ascii="Times New Roman" w:hAnsi="Times New Roman"/>
          <w:color w:val="000000" w:themeColor="text1"/>
          <w:sz w:val="16"/>
          <w:szCs w:val="16"/>
        </w:rPr>
      </w:pPr>
    </w:p>
    <w:p w14:paraId="2C90185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F01E33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79BABD"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 августа 1932 г. МБР-4 таганрогского завода с серийным номером ОЕ-74 предъявили на заводские испытания. Военпред протестовал, предъявив убедительный список из 85 дефектов. Следом за первой лодкой 4 августа взлетела вторая, тоже официально не принятая военной приемкой.</w:t>
      </w:r>
    </w:p>
    <w:p w14:paraId="3FFDAED7"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Одной из основных причин такого отношения военпредов к МБР-4 была неполная комплектация летающих лодок. На заводе просто не было генераторов и аккумуляторов осве</w:t>
      </w:r>
      <w:r w:rsidRPr="00E93F40">
        <w:rPr>
          <w:rFonts w:ascii="Times New Roman" w:hAnsi="Times New Roman"/>
          <w:color w:val="000000" w:themeColor="text1"/>
          <w:sz w:val="16"/>
          <w:szCs w:val="16"/>
          <w:lang w:eastAsia="ru-RU" w:bidi="ru-RU"/>
        </w:rPr>
        <w:softHyphen/>
        <w:t>щения, не хватало тросов, кранов и некоторых сортов дре</w:t>
      </w:r>
      <w:r w:rsidRPr="00E93F40">
        <w:rPr>
          <w:rFonts w:ascii="Times New Roman" w:hAnsi="Times New Roman"/>
          <w:color w:val="000000" w:themeColor="text1"/>
          <w:sz w:val="16"/>
          <w:szCs w:val="16"/>
          <w:lang w:eastAsia="ru-RU" w:bidi="ru-RU"/>
        </w:rPr>
        <w:softHyphen/>
        <w:t>весины. Некомплект оборудования, как правило, приводил к смещению центровки назад, что для «Савойи» вообще бы</w:t>
      </w:r>
      <w:r w:rsidRPr="00E93F40">
        <w:rPr>
          <w:rFonts w:ascii="Times New Roman" w:hAnsi="Times New Roman"/>
          <w:color w:val="000000" w:themeColor="text1"/>
          <w:sz w:val="16"/>
          <w:szCs w:val="16"/>
          <w:lang w:eastAsia="ru-RU" w:bidi="ru-RU"/>
        </w:rPr>
        <w:softHyphen/>
        <w:t>ло неприемлемо. На испытаниях проблему решали установ</w:t>
      </w:r>
      <w:r w:rsidRPr="00E93F40">
        <w:rPr>
          <w:rFonts w:ascii="Times New Roman" w:hAnsi="Times New Roman"/>
          <w:color w:val="000000" w:themeColor="text1"/>
          <w:sz w:val="16"/>
          <w:szCs w:val="16"/>
          <w:lang w:eastAsia="ru-RU" w:bidi="ru-RU"/>
        </w:rPr>
        <w:softHyphen/>
        <w:t>кой ящика с балластом в кабину летнаба. После этого цен</w:t>
      </w:r>
      <w:r w:rsidRPr="00E93F40">
        <w:rPr>
          <w:rFonts w:ascii="Times New Roman" w:hAnsi="Times New Roman"/>
          <w:color w:val="000000" w:themeColor="text1"/>
          <w:sz w:val="16"/>
          <w:szCs w:val="16"/>
          <w:lang w:eastAsia="ru-RU" w:bidi="ru-RU"/>
        </w:rPr>
        <w:softHyphen/>
        <w:t>тровка входила в норму, и можно было летать.</w:t>
      </w:r>
    </w:p>
    <w:p w14:paraId="02294134" w14:textId="77777777" w:rsidR="00F936E2" w:rsidRPr="00E93F40" w:rsidRDefault="00F936E2"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Только третью машину (сер. ОЕ-75) удалось сдать на го</w:t>
      </w:r>
      <w:r w:rsidRPr="00E93F40">
        <w:rPr>
          <w:rFonts w:ascii="Times New Roman" w:hAnsi="Times New Roman"/>
          <w:color w:val="000000" w:themeColor="text1"/>
          <w:sz w:val="16"/>
          <w:szCs w:val="16"/>
          <w:lang w:eastAsia="ru-RU" w:bidi="ru-RU"/>
        </w:rPr>
        <w:softHyphen/>
        <w:t>сударственные испытания (20325).</w:t>
      </w:r>
    </w:p>
    <w:p w14:paraId="03B72C3B" w14:textId="77777777" w:rsidR="00F936E2" w:rsidRPr="00E93F40" w:rsidRDefault="00F936E2" w:rsidP="00E93F40">
      <w:pPr>
        <w:spacing w:after="0" w:line="240" w:lineRule="auto"/>
        <w:jc w:val="both"/>
        <w:rPr>
          <w:rFonts w:ascii="Times New Roman" w:hAnsi="Times New Roman"/>
          <w:color w:val="000000" w:themeColor="text1"/>
          <w:sz w:val="16"/>
          <w:szCs w:val="16"/>
          <w:lang w:eastAsia="ru-RU" w:bidi="ru-RU"/>
        </w:rPr>
      </w:pPr>
    </w:p>
    <w:p w14:paraId="252879BA"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августа 1932 первая машина МБР-4 была передана на заводские испытания, на которых она была отклонена из-за неполной комплектации. Лишь третий экземпляр МБР-4 был сдан на государственные испытания в Севастополь, однако и его признали непригодным. Продемонстрированные показатели чуть превышали С-62КЭ, но были ниже, чем у самолетов итальянской постройки. Скорость достигла 202 км/ч, потолок 4500 м. Однако такой результат был предсказуем, если принять во внимание различия в массе МБР-4 и С-62Б (РГВА. Ф. 29. Оп. 76. Д. 103. Сравнительная характеристика самолетов МБР-5, МБР-4. 14.1.34-1.13.34.) (21410).</w:t>
      </w:r>
    </w:p>
    <w:p w14:paraId="1CD29813"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7D1D57FE" w14:textId="77777777" w:rsidR="00AA2E5E" w:rsidRPr="00142305" w:rsidRDefault="00AA2E5E" w:rsidP="00AA2E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августа 1932 г. на заводе № 31 МБР-4 ОЕ-74 предъявили на за</w:t>
      </w:r>
      <w:r w:rsidRPr="00142305">
        <w:rPr>
          <w:rFonts w:ascii="Times New Roman" w:hAnsi="Times New Roman"/>
          <w:color w:val="0070C0"/>
          <w:sz w:val="16"/>
          <w:szCs w:val="16"/>
        </w:rPr>
        <w:softHyphen/>
        <w:t>водские испытания. Военпред И.П. Би</w:t>
      </w:r>
      <w:r w:rsidRPr="00142305">
        <w:rPr>
          <w:rFonts w:ascii="Times New Roman" w:hAnsi="Times New Roman"/>
          <w:color w:val="0070C0"/>
          <w:sz w:val="16"/>
          <w:szCs w:val="16"/>
        </w:rPr>
        <w:softHyphen/>
        <w:t>рюков протестовал, выложив убедитель</w:t>
      </w:r>
      <w:r w:rsidRPr="00142305">
        <w:rPr>
          <w:rFonts w:ascii="Times New Roman" w:hAnsi="Times New Roman"/>
          <w:color w:val="0070C0"/>
          <w:sz w:val="16"/>
          <w:szCs w:val="16"/>
        </w:rPr>
        <w:softHyphen/>
        <w:t>ный список из 85 дефектов. Например, он насчитал на полотняной обтяжке крыла ни много ни мало 74 заплатки! Несмотря на это, директор завода приказал начать испытания. Следом за первой лодкой взлетела вторая, тоже официально не прошедшая военную приемку. 4 августа ее гордо продемонстрировали в воздухе горкому ВКП(б), что вызвало новую депе</w:t>
      </w:r>
      <w:r w:rsidRPr="00142305">
        <w:rPr>
          <w:rFonts w:ascii="Times New Roman" w:hAnsi="Times New Roman"/>
          <w:color w:val="0070C0"/>
          <w:sz w:val="16"/>
          <w:szCs w:val="16"/>
        </w:rPr>
        <w:softHyphen/>
        <w:t>шу Бирюкова в Москву.</w:t>
      </w:r>
    </w:p>
    <w:p w14:paraId="69C5AF85" w14:textId="77777777" w:rsidR="00AA2E5E" w:rsidRPr="00142305" w:rsidRDefault="00AA2E5E" w:rsidP="00AA2E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Одной из основных причин отклоне</w:t>
      </w:r>
      <w:r w:rsidRPr="00142305">
        <w:rPr>
          <w:rFonts w:ascii="Times New Roman" w:hAnsi="Times New Roman"/>
          <w:color w:val="0070C0"/>
          <w:sz w:val="16"/>
          <w:szCs w:val="16"/>
        </w:rPr>
        <w:softHyphen/>
        <w:t>ния МБР-4 военной приемкой являлась неполная комплектация. Но вины заво</w:t>
      </w:r>
      <w:r w:rsidRPr="00142305">
        <w:rPr>
          <w:rFonts w:ascii="Times New Roman" w:hAnsi="Times New Roman"/>
          <w:color w:val="0070C0"/>
          <w:sz w:val="16"/>
          <w:szCs w:val="16"/>
        </w:rPr>
        <w:softHyphen/>
        <w:t>да в этом не было: не хватало тросов, кранов и некоторых сортов древесины, динамо-машины и аккумуляторы просто не поступали. Недоукомплектованность приводила, как правило, к смещению цен</w:t>
      </w:r>
      <w:r w:rsidRPr="00142305">
        <w:rPr>
          <w:rFonts w:ascii="Times New Roman" w:hAnsi="Times New Roman"/>
          <w:color w:val="0070C0"/>
          <w:sz w:val="16"/>
          <w:szCs w:val="16"/>
        </w:rPr>
        <w:softHyphen/>
        <w:t>тровки назад, что было неприемлемо. На испытаниях проблему решили так: ящик для неприкосновенного запаса набивали ржавыми гайками и ставили в кабину летнаба. После этого центровка приходила в норму.</w:t>
      </w:r>
    </w:p>
    <w:p w14:paraId="5FEB7215" w14:textId="77777777" w:rsidR="00AA2E5E" w:rsidRPr="00142305" w:rsidRDefault="00AA2E5E" w:rsidP="00AA2E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Только третий экземпляр МБР-4, с номером ОЕ-75, удалось сдать на госу</w:t>
      </w:r>
      <w:r w:rsidRPr="00142305">
        <w:rPr>
          <w:rFonts w:ascii="Times New Roman" w:hAnsi="Times New Roman"/>
          <w:color w:val="0070C0"/>
          <w:sz w:val="16"/>
          <w:szCs w:val="16"/>
        </w:rPr>
        <w:softHyphen/>
        <w:t>дарственные испытания. Его объявили головным (24948).</w:t>
      </w:r>
    </w:p>
    <w:p w14:paraId="668477A1" w14:textId="77777777" w:rsidR="00AA2E5E" w:rsidRPr="00142305" w:rsidRDefault="00AA2E5E" w:rsidP="00AA2E5E">
      <w:pPr>
        <w:spacing w:after="0" w:line="240" w:lineRule="auto"/>
        <w:jc w:val="both"/>
        <w:rPr>
          <w:rFonts w:ascii="Times New Roman" w:hAnsi="Times New Roman"/>
          <w:color w:val="0070C0"/>
          <w:sz w:val="16"/>
          <w:szCs w:val="16"/>
        </w:rPr>
      </w:pPr>
    </w:p>
    <w:p w14:paraId="7675D4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августа 1932 Логановский имел разговор с Барлоу. Изложил ему советскую точку зрения, подчеркнув, что его предложение о политическом использовании его изобретения производит странное впечатление. Все это было изложено в несколько деликатной форме, стараясь доказать ему, что его постановка вопроса является неправильной. Он заметно был смущен и все его дальнейшие объяснения свелись к следующему: с самого начала окончания работ над изобретением, он у себя в Америке ставил этот вопрос политически как перед официальными лицами, так и в прессе. Делал он это потому, чтобы предотвратить возможность осуществления своего изобретения, так как это имело бы колоссальные последствия для человечества. В связи с этим, его целью является доказать всем, что при дальнейшем развитии военной техники, а в частности при осуществлении его изобретения, все человечество обречено на гибель. Не встретив в Америке в официальных кругах поддержки этой идеи, он охотно поехал в Союз, надеясь, что с его помощью ему удастся заставить другие государства воспринять его, Барлоу, точку зрения. Он верил в это, ибо зная, что Советский Союз – единственная страна, конкретно ставившая вопросы о разоружении и доказавшая своими действиями миролюбие во внешней политике. О своем намерении именно политически использовать изобретение он передавал Богланову и Сквирскому и последние с ним соглашались. Ему было даже заявлено, что он сможет беседовать с Литвиновым и другими руководящими работниками Советского Правительства.</w:t>
      </w:r>
    </w:p>
    <w:p w14:paraId="2156A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Основное, что его смущало во всем этом – сможет ли он без достаточно разработанных технических чертежей доказать нашим специалистам реальность своего изобретения, но он не сомневался, что сведущие люди дадут положительное заключение.</w:t>
      </w:r>
    </w:p>
    <w:p w14:paraId="139AF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Желая оградить себя от всяких подозрений, он с самого начала совершенно ясно ставил вопрос, что он человек в денежном отношении независимый и на продажу своего изобретения кому бы то ни было не пойдет.</w:t>
      </w:r>
    </w:p>
    <w:p w14:paraId="3A511C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Предложенный им способ использования изобретения казался ему единственно правильным, ибо привлек бы к нему общественное мнение и разоблачил бы лицемерие других государств, в частности – правительства Гувера. Теперь, из беседы со мною, а в особенности из моего сообщения, что мы строго проводим политику невмешательства во внутренние дела других государств, он видит, что недооценил несколько нашей политики и как американец весьма рад услышать это заявление. Лично он является искренним сторонником восстановления нормальных отношений между Америкой и Союзом и полагает, что на базе совместного использования его изобретение – восстановление этих отношений может быть значительно ускорено. Здесь он развивал идею, что общим врагом для Америки и СССР является Япония и что поэтому между Америкой и СССР могут быть общие политические вопросы. По его мнению, в Японии прекрасно понимают, что Америка не сможет вести против нее войны из-за дальности расстояния и что во всяком случае такая война будет заранее обречена на неудачу. Совершенно другая картина получится, если Америка будет в хороших отношениях с Советским Союзом, ибо это даст возможность согласованных выступлений против Японии. Уже один факт восстановления нормальных дипломатических и торговых отношений между СССР и Америкой будет держать Японию на почтительном расстоянии и значительно умерит ее агрессивную политику.</w:t>
      </w:r>
    </w:p>
    <w:p w14:paraId="54B1B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Рассказывая это, Барлоу подчеркивал, что он хочет объяснить, что кроме общих симпатий к Советскому Союзу, он руководствуется также и чисто деловой стороной для обеспечения интересов своей страны. Он знает, что такого рода концепция существует в Америке среди весьма широких влиятельных кругов общественности и что эти круги при первой возможности охотно пошли бы на ее реализацию. О его поездке в Москву в Америке широко известно и сейчас он боится, что возвращение ни с чем поставить его лично и отчасти СССР в неудобное положение. Его будут подозревать и обвинять, что свое изобретение он передал или продал Советскому Союзу и на этой почве могут даже возбудить против него обвинение в нелояльности по отношению к своей стране. На этой почве также могут иметь место и обвинения </w:t>
      </w:r>
      <w:r w:rsidRPr="00E93F40">
        <w:rPr>
          <w:rFonts w:ascii="Times New Roman" w:hAnsi="Times New Roman"/>
          <w:color w:val="000000" w:themeColor="text1"/>
          <w:sz w:val="16"/>
          <w:szCs w:val="16"/>
        </w:rPr>
        <w:lastRenderedPageBreak/>
        <w:t>против Советского Союза, что последний в официальных выступлениях говорит миролюбивые речи, а втихомолку приобретает изобретения военной техники, причем необычного характера. Поэтому, он считает, что необходимо предотвратить возможность такого поворота во всем этом деле и он готов для этого сделать все возможное. Тут он много раз подчеркивал, что искал у нас только моральной поддержки и боялся лишь одного, чтобы мы его не приняли за человека, стремящегося заработать на этом деле.</w:t>
      </w:r>
    </w:p>
    <w:p w14:paraId="41E1B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Далее он был согласен, что представленные им схемы своего изобретения не являются достаточными и он теперь понимает, что для СССР трудно было бы выступать внешне, не имея твердой гарантии в осуществлении изобретения и того эффекта, который это изобретение должно дать. Он искренне сожалеет, что недооценил этого момента и полностью разделяет нашу точку зрения.</w:t>
      </w:r>
    </w:p>
    <w:p w14:paraId="0BCEC8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затянувшейся беседы, условились встретиться еще раз, но перед уходом он сказал мне, что пожалуй будет хорошо, если он в Америке будет выступать дальше только от своего лично имени, соответствующим образом разъяснив поездку в Союз и попутно работать над техническими чертежами своего изобретения, чтобы затем их передать нам. Он продумает еще некоторые детали и в следующий раз сообщит мне свой дальнейший план действий. Я не уточнял этого вопроса, сказав ему, что при следующей бесед мы с ним сумеем еще обменяться мнениями (3553,18-21).</w:t>
      </w:r>
    </w:p>
    <w:p w14:paraId="16F1E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FA569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3D9AA5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F207EC"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 2 августа по 29 сентября 1932 года после заводских пробегов и устранения вы</w:t>
      </w:r>
      <w:r w:rsidRPr="00142305">
        <w:rPr>
          <w:rFonts w:ascii="Times New Roman" w:hAnsi="Times New Roman"/>
          <w:color w:val="0070C0"/>
          <w:sz w:val="16"/>
          <w:szCs w:val="16"/>
        </w:rPr>
        <w:softHyphen/>
        <w:t>явленных недостатков, Т-41 достаточно долго испытывался на НИБТ полигон (поселок Кубинка под Мос</w:t>
      </w:r>
      <w:r w:rsidRPr="00142305">
        <w:rPr>
          <w:rFonts w:ascii="Times New Roman" w:hAnsi="Times New Roman"/>
          <w:color w:val="0070C0"/>
          <w:sz w:val="16"/>
          <w:szCs w:val="16"/>
        </w:rPr>
        <w:softHyphen/>
        <w:t>квой). Такие длительные сро</w:t>
      </w:r>
      <w:r w:rsidRPr="00142305">
        <w:rPr>
          <w:rFonts w:ascii="Times New Roman" w:hAnsi="Times New Roman"/>
          <w:color w:val="0070C0"/>
          <w:sz w:val="16"/>
          <w:szCs w:val="16"/>
        </w:rPr>
        <w:softHyphen/>
        <w:t>ки были связаны с «длительными перерыва</w:t>
      </w:r>
      <w:r w:rsidRPr="00142305">
        <w:rPr>
          <w:rFonts w:ascii="Times New Roman" w:hAnsi="Times New Roman"/>
          <w:color w:val="0070C0"/>
          <w:sz w:val="16"/>
          <w:szCs w:val="16"/>
        </w:rPr>
        <w:softHyphen/>
        <w:t>ми из-за ряда дефектов, поломок, произо</w:t>
      </w:r>
      <w:r w:rsidRPr="00142305">
        <w:rPr>
          <w:rFonts w:ascii="Times New Roman" w:hAnsi="Times New Roman"/>
          <w:color w:val="0070C0"/>
          <w:sz w:val="16"/>
          <w:szCs w:val="16"/>
        </w:rPr>
        <w:softHyphen/>
        <w:t>шедших при испытаниях, а также по другим обстоятельствам (отрыв работников, пере</w:t>
      </w:r>
      <w:r w:rsidRPr="00142305">
        <w:rPr>
          <w:rFonts w:ascii="Times New Roman" w:hAnsi="Times New Roman"/>
          <w:color w:val="0070C0"/>
          <w:sz w:val="16"/>
          <w:szCs w:val="16"/>
        </w:rPr>
        <w:softHyphen/>
        <w:t>броска машины на демонстрации и т.д.)».</w:t>
      </w:r>
    </w:p>
    <w:p w14:paraId="2C26B610"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заключении отчета об испытании танка Т-41 было сказано следующее:</w:t>
      </w:r>
    </w:p>
    <w:p w14:paraId="642348AB"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Машина Т-41, конструкции, представ</w:t>
      </w:r>
      <w:r w:rsidRPr="00142305">
        <w:rPr>
          <w:rFonts w:ascii="Times New Roman" w:hAnsi="Times New Roman"/>
          <w:color w:val="0070C0"/>
          <w:sz w:val="16"/>
          <w:szCs w:val="16"/>
        </w:rPr>
        <w:softHyphen/>
        <w:t>ленной на испытания, имеет:</w:t>
      </w:r>
    </w:p>
    <w:p w14:paraId="38A7C58D" w14:textId="77777777" w:rsidR="00C02111" w:rsidRPr="00142305" w:rsidRDefault="00C02111" w:rsidP="00C02111">
      <w:pPr>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Большие поверхности обстрелу, распо</w:t>
      </w:r>
      <w:r w:rsidRPr="00142305">
        <w:rPr>
          <w:rFonts w:ascii="Times New Roman" w:hAnsi="Times New Roman"/>
          <w:color w:val="0070C0"/>
          <w:sz w:val="16"/>
          <w:szCs w:val="16"/>
        </w:rPr>
        <w:softHyphen/>
        <w:t>ложение листов и швов, обеспечивающих большую вероятность попаданий пуль и раз</w:t>
      </w:r>
      <w:r w:rsidRPr="00142305">
        <w:rPr>
          <w:rFonts w:ascii="Times New Roman" w:hAnsi="Times New Roman"/>
          <w:color w:val="0070C0"/>
          <w:sz w:val="16"/>
          <w:szCs w:val="16"/>
        </w:rPr>
        <w:softHyphen/>
        <w:t>рушения брони;</w:t>
      </w:r>
    </w:p>
    <w:p w14:paraId="17528E9D" w14:textId="77777777" w:rsidR="00C02111" w:rsidRPr="00142305" w:rsidRDefault="00C02111" w:rsidP="00C02111">
      <w:pPr>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Значительный боевой вес при недоста</w:t>
      </w:r>
      <w:r w:rsidRPr="00142305">
        <w:rPr>
          <w:rFonts w:ascii="Times New Roman" w:hAnsi="Times New Roman"/>
          <w:color w:val="0070C0"/>
          <w:sz w:val="16"/>
          <w:szCs w:val="16"/>
        </w:rPr>
        <w:softHyphen/>
        <w:t>точной мощности мотора, снижающий так</w:t>
      </w:r>
      <w:r w:rsidRPr="00142305">
        <w:rPr>
          <w:rFonts w:ascii="Times New Roman" w:hAnsi="Times New Roman"/>
          <w:color w:val="0070C0"/>
          <w:sz w:val="16"/>
          <w:szCs w:val="16"/>
        </w:rPr>
        <w:softHyphen/>
        <w:t>тические свойства танка;</w:t>
      </w:r>
    </w:p>
    <w:p w14:paraId="5535CF16" w14:textId="77777777" w:rsidR="00C02111" w:rsidRPr="00142305" w:rsidRDefault="00C02111" w:rsidP="00C02111">
      <w:pPr>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Плохую проходимость, преодолеваемость препятствий и управляемость, как на суше, так и на воде;</w:t>
      </w:r>
    </w:p>
    <w:p w14:paraId="0C5665B9" w14:textId="77777777" w:rsidR="00C02111" w:rsidRPr="00142305" w:rsidRDefault="00C02111" w:rsidP="00C02111">
      <w:pPr>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Недостаточную конструктивную прора</w:t>
      </w:r>
      <w:r w:rsidRPr="00142305">
        <w:rPr>
          <w:rFonts w:ascii="Times New Roman" w:hAnsi="Times New Roman"/>
          <w:color w:val="0070C0"/>
          <w:sz w:val="16"/>
          <w:szCs w:val="16"/>
        </w:rPr>
        <w:softHyphen/>
        <w:t>ботку ряда деталей (крепление рессор, от</w:t>
      </w:r>
      <w:r w:rsidRPr="00142305">
        <w:rPr>
          <w:rFonts w:ascii="Times New Roman" w:hAnsi="Times New Roman"/>
          <w:color w:val="0070C0"/>
          <w:sz w:val="16"/>
          <w:szCs w:val="16"/>
        </w:rPr>
        <w:softHyphen/>
        <w:t>сутствие упорного подшипника гребного вала и др.);</w:t>
      </w:r>
    </w:p>
    <w:p w14:paraId="69891ECE"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Считать, что в данном виде машина как боевая использована быть не может. Направ</w:t>
      </w:r>
      <w:r w:rsidRPr="00142305">
        <w:rPr>
          <w:rFonts w:ascii="Times New Roman" w:hAnsi="Times New Roman"/>
          <w:color w:val="0070C0"/>
          <w:sz w:val="16"/>
          <w:szCs w:val="16"/>
        </w:rPr>
        <w:softHyphen/>
        <w:t>лению на войсковые испытания не подле</w:t>
      </w:r>
      <w:r w:rsidRPr="00142305">
        <w:rPr>
          <w:rFonts w:ascii="Times New Roman" w:hAnsi="Times New Roman"/>
          <w:color w:val="0070C0"/>
          <w:sz w:val="16"/>
          <w:szCs w:val="16"/>
        </w:rPr>
        <w:softHyphen/>
        <w:t>жит».</w:t>
      </w:r>
    </w:p>
    <w:p w14:paraId="4C6FB24E"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Учитывая результаты испытаний опытного образца Т-41, в КБ 2-го завода ВАТО разра</w:t>
      </w:r>
      <w:r w:rsidRPr="00142305">
        <w:rPr>
          <w:rFonts w:ascii="Times New Roman" w:hAnsi="Times New Roman"/>
          <w:color w:val="0070C0"/>
          <w:sz w:val="16"/>
          <w:szCs w:val="16"/>
        </w:rPr>
        <w:softHyphen/>
        <w:t>ботали второй вариант этого танка. Измене</w:t>
      </w:r>
      <w:r w:rsidRPr="00142305">
        <w:rPr>
          <w:rFonts w:ascii="Times New Roman" w:hAnsi="Times New Roman"/>
          <w:color w:val="0070C0"/>
          <w:sz w:val="16"/>
          <w:szCs w:val="16"/>
        </w:rPr>
        <w:softHyphen/>
        <w:t>ния коснулись главным образом корпуса (он стал более низким и несколько иной фор</w:t>
      </w:r>
      <w:r w:rsidRPr="00142305">
        <w:rPr>
          <w:rFonts w:ascii="Times New Roman" w:hAnsi="Times New Roman"/>
          <w:color w:val="0070C0"/>
          <w:sz w:val="16"/>
          <w:szCs w:val="16"/>
        </w:rPr>
        <w:softHyphen/>
        <w:t>мы), смотровых приборов механика-водите</w:t>
      </w:r>
      <w:r w:rsidRPr="00142305">
        <w:rPr>
          <w:rFonts w:ascii="Times New Roman" w:hAnsi="Times New Roman"/>
          <w:color w:val="0070C0"/>
          <w:sz w:val="16"/>
          <w:szCs w:val="16"/>
        </w:rPr>
        <w:softHyphen/>
        <w:t>ля, привода гребного винта и самого винта, а также руля. Это позволило снизить массу танка до 2,95 т, но существенных улучшений боевых качеств добиться не удалось (25019).</w:t>
      </w:r>
    </w:p>
    <w:p w14:paraId="741842A2" w14:textId="77777777" w:rsidR="00C02111" w:rsidRPr="00142305" w:rsidRDefault="00C02111" w:rsidP="00C02111">
      <w:pPr>
        <w:spacing w:after="0" w:line="240" w:lineRule="auto"/>
        <w:jc w:val="both"/>
        <w:rPr>
          <w:rFonts w:ascii="Times New Roman" w:hAnsi="Times New Roman"/>
          <w:color w:val="0070C0"/>
          <w:sz w:val="16"/>
          <w:szCs w:val="16"/>
        </w:rPr>
      </w:pPr>
    </w:p>
    <w:p w14:paraId="006895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августа 1932 года УММ РККА заключило с опытным отделом машиностроительного завода имени Ворошилова заказ № 173740сс на «проектирование и изготовление улуч</w:t>
      </w:r>
      <w:r w:rsidRPr="00E93F40">
        <w:rPr>
          <w:rFonts w:ascii="Times New Roman" w:hAnsi="Times New Roman"/>
          <w:color w:val="000000" w:themeColor="text1"/>
          <w:sz w:val="16"/>
          <w:szCs w:val="16"/>
        </w:rPr>
        <w:softHyphen/>
        <w:t>шенного опытного образца плавающего броневого автомо</w:t>
      </w:r>
      <w:r w:rsidRPr="00E93F40">
        <w:rPr>
          <w:rFonts w:ascii="Times New Roman" w:hAnsi="Times New Roman"/>
          <w:color w:val="000000" w:themeColor="text1"/>
          <w:sz w:val="16"/>
          <w:szCs w:val="16"/>
        </w:rPr>
        <w:softHyphen/>
        <w:t>биля БАД-3 со сроком окончания работ к 1 ноября 1932 го</w:t>
      </w:r>
      <w:r w:rsidRPr="00E93F40">
        <w:rPr>
          <w:rFonts w:ascii="Times New Roman" w:hAnsi="Times New Roman"/>
          <w:color w:val="000000" w:themeColor="text1"/>
          <w:sz w:val="16"/>
          <w:szCs w:val="16"/>
        </w:rPr>
        <w:softHyphen/>
        <w:t>да». Однако работы по БАД-3 затянулись, и в план заказов 1933 год УММ включило 25 машин БАД-2, для чего опыт</w:t>
      </w:r>
      <w:r w:rsidRPr="00E93F40">
        <w:rPr>
          <w:rFonts w:ascii="Times New Roman" w:hAnsi="Times New Roman"/>
          <w:color w:val="000000" w:themeColor="text1"/>
          <w:sz w:val="16"/>
          <w:szCs w:val="16"/>
        </w:rPr>
        <w:softHyphen/>
        <w:t>ный образец броневика доставили на Ижорский завод (11284).</w:t>
      </w:r>
    </w:p>
    <w:p w14:paraId="4732F4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4BAB7"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августа 1932 года на Сурамском перевале состоялась обкатка первого в СССР магистрального электровоза. Уже в 1928 году начались работы по сооружению контактной сети, строительству тяговых подстанций и высоковольтных линий электропередач. В качестве системы тока были выбрана система постоянного тока с номинальным напряжением 3000 в. Эта система успешно эксплуатировалась на горных участках в ряде стран. Работы по электрификации были завершены к августу 1932 года. Второго августа электровоз серии "С" с двумя пассажирскими вагонами совершил испытательный пробег от станции Хашури до станции Лихи и обратно пробыв в пробной поездке 1 час 10 минут. 16 августа 1932 года, запуском первого пассажирского поезда с делегацией трудящихся Тбилиси и работников, занимавшихся электрификацией участка, состоялось торжественное открытие электрифицированного участка. Поезд вел электровоз С10-03. Два электровоза С10-01 и С10-03 с тяговыми двигателями GE-707, были построены по нашему заказу американской фирмой Дженерал Электрик и прибыли на Сурамский перевал в июне 1932 года.</w:t>
      </w:r>
    </w:p>
    <w:p w14:paraId="32FBCEA8"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электрификация Сурамского перевала поставила перед отечественной промышленностью вопрос о необходимости начать выпуск собственных магистральных электровозов. В 1929 году Московский электромашиностроительный завод "Динамо" им. С.М. Кирова занялся проектированием электровоза со сцепным весом 132 т, диаметром колес 1200 мм, типа 0-3о-0+0-3о-0 постоянного тока 3000 в с рекуперативным торможением. К концу 1931 года завод начал изготовление тяговых электродвигателей, вспомогательных машин и аппаратуры. Механическую часть электровозов изготовлял Коломенский машиностроительный завод им. В.В. Куйбышева. В июне 1932 года цех пробных конструкций завода "Динамо" выпустил первый комплект электровозной аппаратуры. В августе с коломенского завода поступила первая механическая часть и начался монтаж электрооборудования. В ноябре 1932 года первый советский электровоз Сс 11-01 вышел из заводских ворот и был отправлен на обкатку на электрифицированный участок Северной дороги. В начале 1933 года он был отправлен для постоянной эксплуатации на Сурамский перевал Закавказской дороги (21176).</w:t>
      </w:r>
    </w:p>
    <w:p w14:paraId="0133C426"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1FF102A1" w14:textId="66A35477" w:rsidR="006C1C94" w:rsidRPr="00E93F40" w:rsidRDefault="006C1C94"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Авиация:</w:t>
      </w:r>
    </w:p>
    <w:p w14:paraId="6F70D036" w14:textId="77777777" w:rsidR="006C1C94" w:rsidRPr="00E93F40" w:rsidRDefault="006C1C94"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55F09456" w14:textId="77777777" w:rsidR="006C1C94" w:rsidRPr="00E93F40" w:rsidRDefault="006C1C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августа 1932 в рамках перелета на ДВ для перегонки ТБ-3 из Свердловска по направлению на восток стартовали 5 кораблей. Один из них — ТБ- 3 зав. №2207 — по причине отказа двигателя совершил посадку в Кургане. Далее перелет проистекал благопо</w:t>
      </w:r>
      <w:r w:rsidRPr="00E93F40">
        <w:rPr>
          <w:rFonts w:ascii="Times New Roman" w:hAnsi="Times New Roman"/>
          <w:color w:val="000000" w:themeColor="text1"/>
          <w:sz w:val="16"/>
          <w:szCs w:val="16"/>
        </w:rPr>
        <w:softHyphen/>
        <w:t>лучно, из первой группы до аэродрома Воздвиженка (севернее Уссурийска) добрались 5 ТБ-3.</w:t>
      </w:r>
    </w:p>
    <w:p w14:paraId="097796AA" w14:textId="77777777" w:rsidR="006C1C94" w:rsidRPr="00E93F40" w:rsidRDefault="006C1C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августа 1932 года Добролеж возглавил второй стартовавший эшелон в количестве 6 машин из со</w:t>
      </w:r>
      <w:r w:rsidRPr="00E93F40">
        <w:rPr>
          <w:rFonts w:ascii="Times New Roman" w:hAnsi="Times New Roman"/>
          <w:color w:val="000000" w:themeColor="text1"/>
          <w:sz w:val="16"/>
          <w:szCs w:val="16"/>
        </w:rPr>
        <w:softHyphen/>
        <w:t>става 106-й эскадрильи. 18 августа на восток вылете</w:t>
      </w:r>
      <w:r w:rsidRPr="00E93F40">
        <w:rPr>
          <w:rFonts w:ascii="Times New Roman" w:hAnsi="Times New Roman"/>
          <w:color w:val="000000" w:themeColor="text1"/>
          <w:sz w:val="16"/>
          <w:szCs w:val="16"/>
        </w:rPr>
        <w:softHyphen/>
        <w:t>ли еще два корабля ТБ-3, которые вел С.А.Шестаков (командир экипажа АНТ-4 «Страна Советов», сле</w:t>
      </w:r>
      <w:r w:rsidRPr="00E93F40">
        <w:rPr>
          <w:rFonts w:ascii="Times New Roman" w:hAnsi="Times New Roman"/>
          <w:color w:val="000000" w:themeColor="text1"/>
          <w:sz w:val="16"/>
          <w:szCs w:val="16"/>
        </w:rPr>
        <w:softHyphen/>
        <w:t>тавшего в Америку в 1929 году). В этой второй волне перелета также были вынужденные посадки, однако все тяжелые машины добрались до цели. В основном экипажи ругали низкое качество двигателей М-17. Тем не менее в конце августа — начале сентября 13 ТБ-3 собрались под Хабаровском. Указанное количе</w:t>
      </w:r>
      <w:r w:rsidRPr="00E93F40">
        <w:rPr>
          <w:rFonts w:ascii="Times New Roman" w:hAnsi="Times New Roman"/>
          <w:color w:val="000000" w:themeColor="text1"/>
          <w:sz w:val="16"/>
          <w:szCs w:val="16"/>
        </w:rPr>
        <w:softHyphen/>
        <w:t>ство совсем немного превышало число самолетов в одной эскадрилье. Однако это был весьма неплохой результат. Тем более что условий для прибывших са</w:t>
      </w:r>
      <w:r w:rsidRPr="00E93F40">
        <w:rPr>
          <w:rFonts w:ascii="Times New Roman" w:hAnsi="Times New Roman"/>
          <w:color w:val="000000" w:themeColor="text1"/>
          <w:sz w:val="16"/>
          <w:szCs w:val="16"/>
        </w:rPr>
        <w:softHyphen/>
        <w:t>молетов и экипажей создать не успели. Аэродромы предстоящего базирования, Воздвиженка и Спасский, на тот момент уже были полностью насыщены воин</w:t>
      </w:r>
      <w:r w:rsidRPr="00E93F40">
        <w:rPr>
          <w:rFonts w:ascii="Times New Roman" w:hAnsi="Times New Roman"/>
          <w:color w:val="000000" w:themeColor="text1"/>
          <w:sz w:val="16"/>
          <w:szCs w:val="16"/>
        </w:rPr>
        <w:softHyphen/>
        <w:t>скими частями. Аэродромное обеспечение, как это ча</w:t>
      </w:r>
      <w:r w:rsidRPr="00E93F40">
        <w:rPr>
          <w:rFonts w:ascii="Times New Roman" w:hAnsi="Times New Roman"/>
          <w:color w:val="000000" w:themeColor="text1"/>
          <w:sz w:val="16"/>
          <w:szCs w:val="16"/>
        </w:rPr>
        <w:softHyphen/>
        <w:t>сто бывает, в полной мере подготовить не удалось. В частности, про имеющиеся аэродромы говорилось, что они для тяжелых машин не подходят, ТБ-3 при выполнении рулежки проваливались, поэтому требо</w:t>
      </w:r>
      <w:r w:rsidRPr="00E93F40">
        <w:rPr>
          <w:rFonts w:ascii="Times New Roman" w:hAnsi="Times New Roman"/>
          <w:color w:val="000000" w:themeColor="text1"/>
          <w:sz w:val="16"/>
          <w:szCs w:val="16"/>
        </w:rPr>
        <w:softHyphen/>
        <w:t>вался или более плотный грунт, или специально под</w:t>
      </w:r>
      <w:r w:rsidRPr="00E93F40">
        <w:rPr>
          <w:rFonts w:ascii="Times New Roman" w:hAnsi="Times New Roman"/>
          <w:color w:val="000000" w:themeColor="text1"/>
          <w:sz w:val="16"/>
          <w:szCs w:val="16"/>
        </w:rPr>
        <w:softHyphen/>
        <w:t>готовленные рулежные и взлетные полосы.</w:t>
      </w:r>
    </w:p>
    <w:p w14:paraId="4BDBAF0E" w14:textId="77777777" w:rsidR="006C1C94" w:rsidRPr="00E93F40" w:rsidRDefault="006C1C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Одним словом, в тот год удовлетворились достиг</w:t>
      </w:r>
      <w:r w:rsidRPr="00E93F40">
        <w:rPr>
          <w:rFonts w:ascii="Times New Roman" w:hAnsi="Times New Roman"/>
          <w:color w:val="000000" w:themeColor="text1"/>
          <w:sz w:val="16"/>
          <w:szCs w:val="16"/>
        </w:rPr>
        <w:softHyphen/>
        <w:t>нутым результатом. 10 экипажей после окончания перелета вернулись в Москву, откуда до конца года надеялись перегнать остальные машины 106-й эскад</w:t>
      </w:r>
      <w:r w:rsidRPr="00E93F40">
        <w:rPr>
          <w:rFonts w:ascii="Times New Roman" w:hAnsi="Times New Roman"/>
          <w:color w:val="000000" w:themeColor="text1"/>
          <w:sz w:val="16"/>
          <w:szCs w:val="16"/>
        </w:rPr>
        <w:softHyphen/>
        <w:t>рильи и полностью 107-ю эскадрилью. Впрочем, по</w:t>
      </w:r>
      <w:r w:rsidRPr="00E93F40">
        <w:rPr>
          <w:rFonts w:ascii="Times New Roman" w:hAnsi="Times New Roman"/>
          <w:color w:val="000000" w:themeColor="text1"/>
          <w:sz w:val="16"/>
          <w:szCs w:val="16"/>
        </w:rPr>
        <w:softHyphen/>
        <w:t>годные условия на маршруте осенью становились значительно сложнее, поэтому все-таки было решено все последующие действия перенести на 1933 год. В результате на Дальнем Востоке на зимовку остались 13 ТБ-3 и 3 экипажа.</w:t>
      </w:r>
    </w:p>
    <w:p w14:paraId="45D787E0" w14:textId="77777777" w:rsidR="006C1C94" w:rsidRPr="00E93F40" w:rsidRDefault="006C1C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следует отметить, что к перелету ТБ-3 на Дальний Восток заметный интерес проявили япон</w:t>
      </w:r>
      <w:r w:rsidRPr="00E93F40">
        <w:rPr>
          <w:rFonts w:ascii="Times New Roman" w:hAnsi="Times New Roman"/>
          <w:color w:val="000000" w:themeColor="text1"/>
          <w:sz w:val="16"/>
          <w:szCs w:val="16"/>
        </w:rPr>
        <w:softHyphen/>
        <w:t>цы. Так как все воздушные передвижения соверша</w:t>
      </w:r>
      <w:r w:rsidRPr="00E93F40">
        <w:rPr>
          <w:rFonts w:ascii="Times New Roman" w:hAnsi="Times New Roman"/>
          <w:color w:val="000000" w:themeColor="text1"/>
          <w:sz w:val="16"/>
          <w:szCs w:val="16"/>
        </w:rPr>
        <w:softHyphen/>
        <w:t>лись вдоль Транссибирской магистрали, то самолеты можно было при желании не только увидеть, но и пересчитать. Сообщалось, что представитель япон</w:t>
      </w:r>
      <w:r w:rsidRPr="00E93F40">
        <w:rPr>
          <w:rFonts w:ascii="Times New Roman" w:hAnsi="Times New Roman"/>
          <w:color w:val="000000" w:themeColor="text1"/>
          <w:sz w:val="16"/>
          <w:szCs w:val="16"/>
        </w:rPr>
        <w:softHyphen/>
        <w:t>ского консульства приобрел билет на пассажирский самолет из Новосибирска до Омска, навстречу про</w:t>
      </w:r>
      <w:r w:rsidRPr="00E93F40">
        <w:rPr>
          <w:rFonts w:ascii="Times New Roman" w:hAnsi="Times New Roman"/>
          <w:color w:val="000000" w:themeColor="text1"/>
          <w:sz w:val="16"/>
          <w:szCs w:val="16"/>
        </w:rPr>
        <w:softHyphen/>
        <w:t>летающим ТБ-3. Уловку раскусили, поэтому в после</w:t>
      </w:r>
      <w:r w:rsidRPr="00E93F40">
        <w:rPr>
          <w:rFonts w:ascii="Times New Roman" w:hAnsi="Times New Roman"/>
          <w:color w:val="000000" w:themeColor="text1"/>
          <w:sz w:val="16"/>
          <w:szCs w:val="16"/>
        </w:rPr>
        <w:softHyphen/>
        <w:t>дующем секретность усилили — сделали так, чтобы время пролета бомбардировщиков не совпадало с расписанием полетов пассажирских самолетов.</w:t>
      </w:r>
    </w:p>
    <w:p w14:paraId="78846367" w14:textId="77777777" w:rsidR="006C1C94" w:rsidRPr="00E93F40" w:rsidRDefault="006C1C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году переброска ТБ-3 на восток продолжи</w:t>
      </w:r>
      <w:r w:rsidRPr="00E93F40">
        <w:rPr>
          <w:rFonts w:ascii="Times New Roman" w:hAnsi="Times New Roman"/>
          <w:color w:val="000000" w:themeColor="text1"/>
          <w:sz w:val="16"/>
          <w:szCs w:val="16"/>
        </w:rPr>
        <w:softHyphen/>
        <w:t>лась (23378).</w:t>
      </w:r>
    </w:p>
    <w:p w14:paraId="09E66E1E" w14:textId="77777777" w:rsidR="006C1C94" w:rsidRPr="00E93F40" w:rsidRDefault="006C1C94" w:rsidP="00E93F40">
      <w:pPr>
        <w:spacing w:after="0" w:line="240" w:lineRule="auto"/>
        <w:jc w:val="both"/>
        <w:rPr>
          <w:rFonts w:ascii="Times New Roman" w:hAnsi="Times New Roman"/>
          <w:color w:val="000000" w:themeColor="text1"/>
          <w:sz w:val="16"/>
          <w:szCs w:val="16"/>
        </w:rPr>
      </w:pPr>
    </w:p>
    <w:p w14:paraId="08CB24E0" w14:textId="7BFE8CE9"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452534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52BE7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3 августа 1932 года Научно-исследовательский институт двигателей внутреннего сгорания (Харьковский филиал НИИ ГВФ), бывший Украинский научно-исследовательский институт двигателей внутреннего сгорания в системе ВСНХ УССР, затем Наркомтяжпрома, бывший Харьковский филиал Украинского научно-исследовательского института промэнергетики - бывшая харьковская Лаборатория двигателей внутреннего сгорания Украинского научно-исследовательского института промэнергетики, организованная 29 ноября 1929 года, стал Украинский научно-исследовательский авиадизельный институт Харьковский филиал НИИ авиационных двигателей ГВФ "Аэрофлота" (7726, 31-47).</w:t>
      </w:r>
    </w:p>
    <w:p w14:paraId="2260A62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0D218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августа 1932 года Логановский писал письмо № 479 Кагановичу, Молотову, Ворошилову</w:t>
      </w:r>
    </w:p>
    <w:p w14:paraId="47104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Вчера, 2 августа я имел разговор с Барлоу.</w:t>
      </w:r>
    </w:p>
    <w:p w14:paraId="5774F7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Я изложил ему нашу точку зрения, подчеркнув, что его предложение о политическом использовании его изобретения производит странное впечатление. Все это я изложил в несколько деликатной форме, стараясь доказать ему, что его постановка вопроса является неправильной. Он заметно был смущен и все его дальнейшие объяснения свелись к следующему: с самого начала окончания работ над изобретением, он у себя в Америке ставил этот вопрос политически как перед официальными лицами, так и в прессе. Делал он это потому, чтобы предотвратить возможность осуществления своего изобретения, так как это имело бы колоссальные последствия </w:t>
      </w:r>
      <w:r w:rsidRPr="00E93F40">
        <w:rPr>
          <w:rFonts w:ascii="Times New Roman" w:hAnsi="Times New Roman"/>
          <w:color w:val="000000" w:themeColor="text1"/>
          <w:sz w:val="16"/>
          <w:szCs w:val="16"/>
        </w:rPr>
        <w:lastRenderedPageBreak/>
        <w:t>для человечества. В связи с этим, его целью является доказать всем, что при дальнейшем развитии военной техники, а в частности при осуществлении его изобретения, все человечество обречено на гибель. Не встретив в Америке в официальных кругах поддержки этой идеи, он охотно поехал в Союз, надеясь, что с его помощью ему удастся заставить другие государства воспринять его, Барлоу, точку зрения. Он верил в это, ибо зная, что Советский Союз – единственная страна, конкретно ставившая вопросы о разоружении и доказавшая своими действиями миролюбие во внешней политике. О своем намерении именно политически использовать изобретение он передавал Богланову и Сквирскому и последние с ним соглашались. Ему было даже заявлено, что он сможет беседовать с Литвиновым и другими руководящими работниками Советского Правительства.</w:t>
      </w:r>
    </w:p>
    <w:p w14:paraId="3D5429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Основное, что его смущало во всем этом – сможет ли он без достаточно разработанных технических чертежей доказать нашим специалистам реальность своего изобретения, но он не сомневался, что сведущие люди дадут положительное заключение.</w:t>
      </w:r>
    </w:p>
    <w:p w14:paraId="60DB2A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Желая оградить себя от всяких подозрений, он с самого начала совершенно ясно ставил вопрос, что он человек в денежном отношении независимый и на продажу своего изобретения кому бы то ни было не пойдет.</w:t>
      </w:r>
    </w:p>
    <w:p w14:paraId="53087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Предложенный им способ использования изобретения казался ему единственно правильным, ибо привлек бы к нему общественное мнение и разоблачил бы лицемерие других государств, в частности – правительства Гувера. Теперь, из беседы со мною, а в особенности из моего сообщения, что мы строго проводим политику невмешательства во внутренние дела других государств, он видит, что недооценил несколько нашей политики и как американец весьма рад услышать это заявление. Лично он является искренним сторонником восстановления нормальных отношений между Америкой и Союзом и полагает, что на базе совместного использования его изобретение – восстановление этих отношений может быть значительно ускорено. Здесь он развивал идею, что общим врагом для Америки и СССР является Япония и что поэтому между Америкой и СССР могут быть общие политические вопросы. По его мнению, в Японии прекрасно понимают, что Америка не сможет вести против нее войны из-за дальности расстояния и что во всяком случае такая война будет заранее обречена на неудачу. Совершенно другая картина получится, если Америка будет в хороших отношениях с Советским Союзом, ибо это даст возможность согласованных выступлений против Японии. Уже один факт восстановления нормальных дипломатических и торговых отношений между СССР и Америкой будет держать Японию на почтительном расстоянии и значительно умерит ее агрессивную политику.</w:t>
      </w:r>
    </w:p>
    <w:p w14:paraId="070AE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Рассказывая мне это, Барлоу подчеркивал, что он хочет объяснить, что кроме общих симпатий к Советскому Союзу, он руководствуется также и чисто деловой стороной для обеспечения интересов своей страны. Он знает, что такого рода концепция существует в Америке среди весьма широких влиятельных кругов общественности и что эти круги при первой возможности охотно пошли бы на ее реализацию. О его поездке в Москву в Америке широко известно и сейчас он боится, что возвращение ни с чем поставить его лично и отчасти СССР в неудобное положение. Его будут подозревать и обвинять, что свое изобретение он передал или продал Советскому Союзу и на этой почве могут даже возбудить против него обвинение в нелояльности по отношению к своей стране. На этой почве также могут иметь место и обвинения против Советского Союза, что последний в официальных выступлениях говорит миролюбивые речи, а втихомолку приобретает изобретения военной техники, причем необычного характера. Поэтому, он считает, что необходимо предотвратить возможность такого поворота во всем этом деле и он готов для этого сделать все возможное. Тут он много раз подчеркивал, что искал у нас только моральной поддержки и боялся лишь одного, чтобы мы его не приняли за человека, стремящегося заработать на этом деле.</w:t>
      </w:r>
    </w:p>
    <w:p w14:paraId="47BF3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Далее он был согласен, что представленные им схемы своего изобретения не являются достаточными и он теперь понимает, что для СССР трудно было бы выступать внешне, не имея твердой гарантии в осуществлении изобретения и того эффекта, который это изобретение должно дать. Он искренне сожалеет, что недооценил этого момента и полностью разделяет нашу точку зрения.</w:t>
      </w:r>
    </w:p>
    <w:p w14:paraId="0D08F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затянувшейся беседы, мы условились встретиться еще раз, но перед уходом он сказал мне, что пожалуй будет хорошо, если он в Америке будет выступать дальше только от своего лично имени, соответствующим образом разъяснив поездку в Союз и попутно работать над техническими чертежами своего изобретения, чтобы затем их передать нам. Он продумает еще некоторые детали и в следующий раз сообщит мне свой дальнейший план действий. Я не уточнял этого вопроса, сказав ему, что при следующей бесед мы с ним сумеем еще обменяться мнениями (3553,18-21).</w:t>
      </w:r>
    </w:p>
    <w:p w14:paraId="2C0D1B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F57F83" w14:textId="278816B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августа 1932 г. приказом № 100 ГУГВФ было принято положении о «Дирижаблестрое», в котором были определены его основные задачи: изучение всех вопросов, связанных с проектированием, постройкой и эксплуатацией дирижаблей и аэростатов; подготовка кадров по строительству и эксплуатации дирижаблей; опытная эксплуатация дирижаблей; организация портов и воздушных линий. Этим же приказом по ГУГВФ, которым утверждалось положение, «Дирижаблестрой» был переименован в Научно-исследовательский комбинат по опытному</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строительству и эксплуатации дирижаблей («Дирижаблестрой») [6, л.1]. Дирижаблестрой получил участок под Москвой (у платформы Долгопрудная Савеловской железной дороги) для строительства так называемой «малой базы», состоящей из верфи опытного дирижаблестроения и эллингового хозяйства. Начатое в 1931 г. строительство этой базы затянулось и не было закончено к 1935 г. по ряду причин: недостаточных ежегодных ассигнований по капиталовложениям, что не позволяло развернуть работы надлежащими темпами; систематического невыполнения плана строительными организациями [15, л.1], в первую очередь, Заводстроем [8, л.1]. С 1931 г. под руководством Дирижаблестроя начинается строительство первых в СССР дирижаблей мягкого типа небольших кубатур [15, л.1] (15797). </w:t>
      </w:r>
    </w:p>
    <w:p w14:paraId="1E297658"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37ADD8D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363DBB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8F1A7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августа 1932 года решением правительства СССР Выксунский завод дробильно-размольного оборудования (ДРО) (г. Выкса Горьковской области) выделялся для бро</w:t>
      </w:r>
      <w:r w:rsidRPr="00E93F40">
        <w:rPr>
          <w:rFonts w:ascii="Times New Roman" w:hAnsi="Times New Roman"/>
          <w:color w:val="000000" w:themeColor="text1"/>
          <w:sz w:val="16"/>
          <w:szCs w:val="16"/>
        </w:rPr>
        <w:softHyphen/>
        <w:t>невого производства и изготовления броневых автомоби</w:t>
      </w:r>
      <w:r w:rsidRPr="00E93F40">
        <w:rPr>
          <w:rFonts w:ascii="Times New Roman" w:hAnsi="Times New Roman"/>
          <w:color w:val="000000" w:themeColor="text1"/>
          <w:sz w:val="16"/>
          <w:szCs w:val="16"/>
        </w:rPr>
        <w:softHyphen/>
        <w:t>лей. Предполагалось, что до конца года завод сможет дать армии 320 БАИ, а в течение следующего — 2500 бронема</w:t>
      </w:r>
      <w:r w:rsidRPr="00E93F40">
        <w:rPr>
          <w:rFonts w:ascii="Times New Roman" w:hAnsi="Times New Roman"/>
          <w:color w:val="000000" w:themeColor="text1"/>
          <w:sz w:val="16"/>
          <w:szCs w:val="16"/>
        </w:rPr>
        <w:softHyphen/>
        <w:t>шин разных типов. Однако из-за нехватки оборудования, производственных площадей и рабочих, а также задержки с поступлением чертежей до конца 1932 года Выкса не смогла приступить к изготовлению броневиков. При со</w:t>
      </w:r>
      <w:r w:rsidRPr="00E93F40">
        <w:rPr>
          <w:rFonts w:ascii="Times New Roman" w:hAnsi="Times New Roman"/>
          <w:color w:val="000000" w:themeColor="text1"/>
          <w:sz w:val="16"/>
          <w:szCs w:val="16"/>
        </w:rPr>
        <w:softHyphen/>
        <w:t>ставлении плана на 1933 год цифру в 2500 машин скоррек</w:t>
      </w:r>
      <w:r w:rsidRPr="00E93F40">
        <w:rPr>
          <w:rFonts w:ascii="Times New Roman" w:hAnsi="Times New Roman"/>
          <w:color w:val="000000" w:themeColor="text1"/>
          <w:sz w:val="16"/>
          <w:szCs w:val="16"/>
        </w:rPr>
        <w:softHyphen/>
        <w:t>тировали до 400, из них 300 БАИ и 100 легких ФАЙ. Но и это количество бронеавтомобилей оказалось заводу ДРО не под силу. Так, в начале сентября 1933 года представитель УММ РККА докладывал в наркомат обороны о хо</w:t>
      </w:r>
      <w:r w:rsidRPr="00E93F40">
        <w:rPr>
          <w:rFonts w:ascii="Times New Roman" w:hAnsi="Times New Roman"/>
          <w:color w:val="000000" w:themeColor="text1"/>
          <w:sz w:val="16"/>
          <w:szCs w:val="16"/>
        </w:rPr>
        <w:softHyphen/>
        <w:t>де выполнения Выксой годовой программы выпуска бро</w:t>
      </w:r>
      <w:r w:rsidRPr="00E93F40">
        <w:rPr>
          <w:rFonts w:ascii="Times New Roman" w:hAnsi="Times New Roman"/>
          <w:color w:val="000000" w:themeColor="text1"/>
          <w:sz w:val="16"/>
          <w:szCs w:val="16"/>
        </w:rPr>
        <w:softHyphen/>
        <w:t>невиков: «БАИ — сдано 28, остальные 272 под сомнением. Будет вероятно не больше 150—200 штук». Однако до кон</w:t>
      </w:r>
      <w:r w:rsidRPr="00E93F40">
        <w:rPr>
          <w:rFonts w:ascii="Times New Roman" w:hAnsi="Times New Roman"/>
          <w:color w:val="000000" w:themeColor="text1"/>
          <w:sz w:val="16"/>
          <w:szCs w:val="16"/>
        </w:rPr>
        <w:softHyphen/>
        <w:t>ца года из ворот завода вышло всего 90 машин, еще 19 БАИ собрали в начале 1934-го, после чего их производство пре</w:t>
      </w:r>
      <w:r w:rsidRPr="00E93F40">
        <w:rPr>
          <w:rFonts w:ascii="Times New Roman" w:hAnsi="Times New Roman"/>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79AAD2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4A95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августа 1932 года решением правительства строящийся Выксунский завод дробильно-размольного обо</w:t>
      </w:r>
      <w:r w:rsidRPr="00E93F40">
        <w:rPr>
          <w:rFonts w:ascii="Times New Roman" w:hAnsi="Times New Roman"/>
          <w:color w:val="000000" w:themeColor="text1"/>
          <w:sz w:val="16"/>
          <w:szCs w:val="16"/>
        </w:rPr>
        <w:softHyphen/>
        <w:t>рудования (или завод ДРО, г. Выкса Горьковской области) выделялся для организации производства броневых автомо</w:t>
      </w:r>
      <w:r w:rsidRPr="00E93F40">
        <w:rPr>
          <w:rFonts w:ascii="Times New Roman" w:hAnsi="Times New Roman"/>
          <w:color w:val="000000" w:themeColor="text1"/>
          <w:sz w:val="16"/>
          <w:szCs w:val="16"/>
        </w:rPr>
        <w:softHyphen/>
        <w:t>билей. Шасси для них должны были поставлять с нижего</w:t>
      </w:r>
      <w:r w:rsidRPr="00E93F40">
        <w:rPr>
          <w:rFonts w:ascii="Times New Roman" w:hAnsi="Times New Roman"/>
          <w:color w:val="000000" w:themeColor="text1"/>
          <w:sz w:val="16"/>
          <w:szCs w:val="16"/>
        </w:rPr>
        <w:softHyphen/>
        <w:t>родского автомобильного завода (с 1934 года — ГАЗ). По пер</w:t>
      </w:r>
      <w:r w:rsidRPr="00E93F40">
        <w:rPr>
          <w:rFonts w:ascii="Times New Roman" w:hAnsi="Times New Roman"/>
          <w:color w:val="000000" w:themeColor="text1"/>
          <w:sz w:val="16"/>
          <w:szCs w:val="16"/>
        </w:rPr>
        <w:softHyphen/>
        <w:t>воначальному плану до конца 1932 года на заводе ДРО долж</w:t>
      </w:r>
      <w:r w:rsidRPr="00E93F40">
        <w:rPr>
          <w:rFonts w:ascii="Times New Roman" w:hAnsi="Times New Roman"/>
          <w:color w:val="000000" w:themeColor="text1"/>
          <w:sz w:val="16"/>
          <w:szCs w:val="16"/>
        </w:rPr>
        <w:softHyphen/>
        <w:t>ны были изготовить 100 ФАИ, но сделать это не сумели -предприятие еще находилось в стадии строительства, не хва</w:t>
      </w:r>
      <w:r w:rsidRPr="00E93F40">
        <w:rPr>
          <w:rFonts w:ascii="Times New Roman" w:hAnsi="Times New Roman"/>
          <w:color w:val="000000" w:themeColor="text1"/>
          <w:sz w:val="16"/>
          <w:szCs w:val="16"/>
        </w:rPr>
        <w:softHyphen/>
        <w:t>тало станков, оборудования, рабочих и инженеров. Кроме того, дело сильно осложнялось тем, что опытного образца ФАИ не было — КБ Ижорского завода передало в Выксу только комплект рабочих чертежей, которые требовали уточ</w:t>
      </w:r>
      <w:r w:rsidRPr="00E93F40">
        <w:rPr>
          <w:rFonts w:ascii="Times New Roman" w:hAnsi="Times New Roman"/>
          <w:color w:val="000000" w:themeColor="text1"/>
          <w:sz w:val="16"/>
          <w:szCs w:val="16"/>
        </w:rPr>
        <w:softHyphen/>
        <w:t>нения и внесения большого количества изменений (11284).</w:t>
      </w:r>
    </w:p>
    <w:p w14:paraId="2D654E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E9C71" w14:textId="77777777" w:rsidR="00C34D7E" w:rsidRPr="00E93F40" w:rsidRDefault="00C34D7E"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августа 1932 года решением правительства строящийся Выксунский завод дробильно-размольного оборудования (или ДРО, г. Выкса, Горьковской области) выделялся для организации производства броневых автомобилей. Шасси для них должны были поставляться с Нижегородского автомобильного завода. По первоначальному плану до конца 1932 года на заводе ДРО должны были изготовить 100 ФАИ, но сделать это не сумели – предприятие еще находилось в стадии строительства, не хватало станков, оборудования, рабочих и инженеров. Кроме того, дело сильно осложнялось тем, что опытного образца ФАИ не было – КБ Ижорского завода передало в Выксу только комплект рабочих чертежей, которые требовали уточнения и внесения большого количества изменений. ФАИ имел сварной корпус из брони толщиной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6,75 мм</w:t>
        </w:r>
      </w:smartTag>
      <w:r w:rsidRPr="00E93F40">
        <w:rPr>
          <w:rFonts w:ascii="Times New Roman" w:hAnsi="Times New Roman"/>
          <w:color w:val="000000" w:themeColor="text1"/>
          <w:sz w:val="16"/>
          <w:szCs w:val="16"/>
        </w:rPr>
        <w:t>. Для посадки экипажа, состоявшего из 3 человек, имелись две двери в бортах. Для более удобной работы в крыше корпуса над головой командира и водителя имелись две куполообразных выштамповки. Для движения задним ходом в кормовом листе с правой стороны размещался небольшой прямоугольный наблюдательный лючок. Вооружение ФАИ состояло из пулемета ДТ в башне с круговым обстрелом. Пулеметчик не имел сиденья, а размещался в брезентовой петле. В крыше башни имелся броневой колпак, а для наблюдения за полем боя служили щели в бортах. Боекомплект – 21 магазин – размещался в одном стеллаже у кормового листа корпуса. Боевая масса ФАИ составляла 1,75 т. План на 1933 год по заводу ДРО составил 100 ФАИ, однако удалось собрать всего 10 машин – 2 в октябре и 8 в ноябре. Правда, эти броневики так и не были приняты военной приемкой, так как не имели вооружения и ряда других деталей (15218).</w:t>
      </w:r>
    </w:p>
    <w:p w14:paraId="6E4463A7" w14:textId="77777777" w:rsidR="00C34D7E" w:rsidRPr="00E93F40" w:rsidRDefault="00C34D7E" w:rsidP="00E93F40">
      <w:pPr>
        <w:widowControl w:val="0"/>
        <w:spacing w:after="0" w:line="240" w:lineRule="auto"/>
        <w:jc w:val="both"/>
        <w:rPr>
          <w:rFonts w:ascii="Times New Roman" w:hAnsi="Times New Roman"/>
          <w:color w:val="000000" w:themeColor="text1"/>
          <w:sz w:val="16"/>
          <w:szCs w:val="16"/>
        </w:rPr>
      </w:pPr>
    </w:p>
    <w:p w14:paraId="35BD3BE7"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августа 1932 г. по решению правительства Выксунский завод дробильно-размольного оборудования (ДРО) (Государственное казенное учреждение Центральный архив Нижегородской области (далее - ЦАНО). Ф. Р-2288. Оп. 1. Д. 20. Л. 3.), построенный в начале 1930-х годов (Подробнее см.: Нижегородская энциклопедия промышленности и предпринимательства /сост. и науч. ред. Ф.А. Селезнев. - С. 143-144.) с технической помощью немецкой фирмы Круппа (вплоть до начала войны здесь работала большая группа немецких специалистов (Горынцев, А.П. Выксунские машиностроители - фронту / А.П. Горынцев // Горьковская область в Великой Отечественной войне: взгляд через 50 лет /Материалы научно-практической конференции (18-19 апреля). Часть II. - Н.Новгород: издательство «Нижний Новгород», 1995. - С. 103.)), был выделен для организации производства броневых автомобилей. Шасси для них должны были поставлять с нижегородского автомобильного завода (с 1934 г. - ГАЗ) (Коломиец, М.В. Броня на колесах. История советского бронеавтомобиля 1925-1945 гг. / М.В Коломиец. - М.: Яуза, Стратегия КМ, Эксмо, 2007. - С. 176.).</w:t>
      </w:r>
    </w:p>
    <w:p w14:paraId="37AFEE2D"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первые месяцы войны завод продолжал выпускать бронеавтомобили БА-20М. Их было изготовлено 155 единиц. Данные по выпуску БА-20 в 1941 г. смотри в приложении №2.</w:t>
      </w:r>
    </w:p>
    <w:p w14:paraId="73510558"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ДРО в сентябре 1941 г. вошел в состав Наркомата танковой промышленности как завод № 177. И вскоре производство БА-20М отошло на второй план - война показала, что боевая ценность этих машин невелика. А с принятием на вооружение полноприводного бронеавтомобиля БА-64, спроектированного на Горьковском автомобильном заводе, постановлением ГКО № 1415сс от 9 марта 1942 г. заводу № 177 предписывалось прекратить выпуск бронеавтомобилей БА-20М. 11 марта это постановление было продублировано приказом № 268 по наркомату танковой промышленности: «Директору завода № 177 т. Волкову прекратить с 16. 05. 42 г. производство БА-20. Весь специальный инструмент, приспособления, штампы и техническую документацию сохранить. В. Малышев» (23540).</w:t>
      </w:r>
    </w:p>
    <w:p w14:paraId="0646E860" w14:textId="77777777" w:rsidR="00630C15" w:rsidRPr="00E93F40" w:rsidRDefault="00630C15" w:rsidP="00E93F40">
      <w:pPr>
        <w:spacing w:after="0" w:line="240" w:lineRule="auto"/>
        <w:jc w:val="both"/>
        <w:rPr>
          <w:rFonts w:ascii="Times New Roman" w:hAnsi="Times New Roman"/>
          <w:color w:val="000000" w:themeColor="text1"/>
          <w:sz w:val="16"/>
          <w:szCs w:val="16"/>
        </w:rPr>
      </w:pPr>
    </w:p>
    <w:p w14:paraId="50AFF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августа 1932 г. вышло Постановление Наркомтяжпрома СССР об организации Всесоюзного треста органических производств (ВТОП) в составе: химзавод № 1 (г. Москва; нынешнее название ГСНИИОХТ), химкомбинат № 2 (г. Чапаевск; впоследствии назывался завод № 102), химкомбинат № З (г. Сталинград; впоследствии назывался завод № 91) и др. (9067).</w:t>
      </w:r>
    </w:p>
    <w:p w14:paraId="0AB98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31956C"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августа 1932 года в правительстве было подписано постановление об организации Всесоюзного химического треста органических производств (ВХТОП). В его состав вошли: химзавод № 1 в Москве (бывший Ольгинский завод, впоследствии - завод № 51), химзавод № 3 в Сталинграде (впоследствии завод № 91), и, конечно же, химзавод № 2 в Чапаевске (бывший завод Ушкова, позже - завод № 102). Последний в связи с упомянутой выше реорганизацией был выведен из состава Самарского завода взрывчатых веществ имени Л.Б. Троцкого (впоследствии тот стал заводом № 15), где объединялись производства как взрывчатых, так и отравляющих веществ. Заводы, включенные во ВХТОП, в дальнейшем специализировались почти исключительно на выпуске химического оружия. Одновременно стал расширяться и благоустраиваться город Чапаевск (18649).</w:t>
      </w:r>
    </w:p>
    <w:p w14:paraId="2B3DF9F9" w14:textId="77777777" w:rsidR="00AA089E" w:rsidRPr="00E93F40" w:rsidRDefault="00AA089E" w:rsidP="00E93F40">
      <w:pPr>
        <w:spacing w:after="0" w:line="240" w:lineRule="auto"/>
        <w:jc w:val="both"/>
        <w:rPr>
          <w:rFonts w:ascii="Times New Roman" w:hAnsi="Times New Roman"/>
          <w:color w:val="000000" w:themeColor="text1"/>
          <w:sz w:val="16"/>
          <w:szCs w:val="16"/>
        </w:rPr>
      </w:pPr>
    </w:p>
    <w:p w14:paraId="03AB7F9B" w14:textId="3A2339C9" w:rsidR="00C34D7E" w:rsidRPr="00E93F40" w:rsidRDefault="00C34D7E"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bCs/>
          <w:iCs/>
          <w:color w:val="000000" w:themeColor="text1"/>
          <w:sz w:val="16"/>
          <w:szCs w:val="16"/>
        </w:rPr>
        <w:t>3</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августа 1932</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г.</w:t>
      </w:r>
      <w:r w:rsidRPr="00E93F40">
        <w:rPr>
          <w:rFonts w:ascii="Times New Roman" w:hAnsi="Times New Roman"/>
          <w:color w:val="000000" w:themeColor="text1"/>
          <w:sz w:val="16"/>
          <w:szCs w:val="16"/>
        </w:rPr>
        <w:t xml:space="preserve"> Постановление НКТП СССР об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организации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нем Всесоюзного химического треста органических производств (ВХТОП)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составе: химзавод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(Москва; ныне ГСНИИОХТ), химкомбинат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(г.Чапаевск; впоследствии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102), химкомбинат № 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(г.Сталинград; впоследствии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91)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 Заводы, вошедшие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состав ВХТОП, предназначались для производства боевых ОВ. Вскоре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составе ВХТОП начал работу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(Угрешский-Москва,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дальнейшем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93, ГОСНИИХЛОРПРОЕКТ).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середине 1930-х гг.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объединение ГОХП, помимо названных, входили также многие другие заводы 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производству 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Дербеневский, Кинешемский,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(Дзержинск), Рубежанский. Параллельно существовало также объединение ГХП, куда входили Сталиногорский, Березниковский, Чернореченский (Дзержинск)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другие заводы. Во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второй половине 1930-х гг. большинство заводов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ОВ вошли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состав 6-го Главного управления НКОП,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том числе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148 (Дзержинск) (17133).</w:t>
      </w:r>
    </w:p>
    <w:p w14:paraId="654B0EFC" w14:textId="77777777" w:rsidR="00C34D7E" w:rsidRPr="00E93F40" w:rsidRDefault="00C34D7E" w:rsidP="00E93F40">
      <w:pPr>
        <w:shd w:val="clear" w:color="auto" w:fill="FFFFFF"/>
        <w:spacing w:after="0" w:line="240" w:lineRule="auto"/>
        <w:jc w:val="both"/>
        <w:rPr>
          <w:rFonts w:ascii="Times New Roman" w:hAnsi="Times New Roman"/>
          <w:color w:val="000000" w:themeColor="text1"/>
          <w:sz w:val="16"/>
          <w:szCs w:val="16"/>
        </w:rPr>
      </w:pPr>
    </w:p>
    <w:p w14:paraId="0B8AC3C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586325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4512A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августа 1932 лидер Италии Б. Муссолини объявил борьбу с пацифизмом (4962).</w:t>
      </w:r>
    </w:p>
    <w:p w14:paraId="3CE9B0F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35D55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845F82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F4E5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августа 1932 года начальнику ВВС</w:t>
      </w:r>
    </w:p>
    <w:p w14:paraId="5C983F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Докладная записка</w:t>
      </w:r>
    </w:p>
    <w:p w14:paraId="57CB1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авиапушкам системы инженера Курчевского АПК-3 калибр 65 мм и АПК-4 калибр 76,2 мм.</w:t>
      </w:r>
    </w:p>
    <w:p w14:paraId="262FF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АПК-3 на испытание в НИИ не предъявлена и отстрел производился на заводе № 8 без представителей НИИ.</w:t>
      </w:r>
    </w:p>
    <w:p w14:paraId="1823D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журнала отстрела видно, что из двух пушек произвели по 6 выстрелов, полуавтоматика Курчевского работала исправно.</w:t>
      </w:r>
    </w:p>
    <w:p w14:paraId="31687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АПК-4 испытывает ЦАГИ и завод № 39 совместно с НИИ. 2 пушки установлены на самолете И-12 8 февраля 1932 года отстреливались на земле. Было произведено 26 выстрелов, из коих два выстрела были залповые. При стрельбе полуавтоматика работала не совсем исправно, было рад задержек из-за неподачи очередного снаряда из магазина в канал пушки.</w:t>
      </w:r>
    </w:p>
    <w:p w14:paraId="109215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марта 1932 года при испытании системы стрельбой в воздухе при первом же выстреле разорвало сопло пушки. Из других двух пушек установленных на истребителе "Z" за время с 1930 года по 8 мая 1932 года произведено 192 выстрела (95 и 97). В начале испытания в левой пушке произошло раздутие канала ствола. При перезаряжании происходило ряд задержек как-то: не досылка снарядов вследствие недостаточных усилий амортизатора, не досылка снаряда вследствие застревания в канале ствола стержня от предшествовавшего патрона, выпадение снаряда из лотка пушки, выдвижение от сотрясения очередного снаряда на лоток и защемление его прибойником и просто не перезпряжение после выстрелов.</w:t>
      </w:r>
    </w:p>
    <w:p w14:paraId="4F43D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основании сказанного считаю, что до сегодняшнего дня полуавтоматика системы инженера Курчевского является недоработанной и не обеспечивает четкой и надежной работы. Сама же пушка при стрельбе также деформировалась и даже был случай разрыва, что говорит за недостаточную их прочность.</w:t>
      </w:r>
    </w:p>
    <w:p w14:paraId="79C93A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августа 1932 года производится отстрел пушек на земле с увеличенной прочностью и вновь поставленной отлаженной полуавтоматикой Курчевского, результаты которого (испытания) сейчас неизвестны.</w:t>
      </w:r>
    </w:p>
    <w:p w14:paraId="37C96F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на НИО – полигоне в феврале 1931 года показали, что при весе снаряда 3 кг и порохе марки "МСК" начальная скорость получена 347 м/сек. при уменьшенном заряде = 560 гр., при нормальном заряде 600 гр. начальная скорость = 397 м/сек. и при увеличенном заряде 650 гр. начальная скорость = 433 м/сек. Характеристик о последних отстрелах (если таковые производились) НИИ не имеет (7470, 244).</w:t>
      </w:r>
    </w:p>
    <w:p w14:paraId="45D38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5C63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августа 1932 года начальник Секретного отдела ГУГВФ Аггеев писал письмо № 24/2431с в СТО</w:t>
      </w:r>
    </w:p>
    <w:p w14:paraId="766B00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срочно прислать постановление СТО от 4 июля 1932 года по опытному самолето и моторостроению (нас касается пункт об авиадизелях) (3530,40).</w:t>
      </w:r>
    </w:p>
    <w:p w14:paraId="020233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0985DC" w14:textId="02544DA9" w:rsidR="00630C15" w:rsidRPr="00E93F40" w:rsidRDefault="00630C15"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98886A7" w14:textId="77777777" w:rsidR="00630C15" w:rsidRPr="00E93F40" w:rsidRDefault="00630C15"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05A29BFF"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августа 1932 г. руководство УММ РККА в письме № 173757 уведомило директора ХПЗ Л.С. Владимирова о истинном положении дел с дизелем ПГЕ, а также предложило представить на рассмотрение в НТК УММ РККА чертежи проектируемого дизеля БД-2:</w:t>
      </w:r>
    </w:p>
    <w:p w14:paraId="4A474BB2"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«УММ сообщает, что спроектированный Авто-Танко-Тракторным Бюро Технического Отдела ЭКУ ОГПУ дизель мотор "ПГЕ" мощностью 400 л.с. изготавливается в одном экз. опытным отделом завода им. тов. Ворошилова в Ленинграде.</w:t>
      </w:r>
    </w:p>
    <w:p w14:paraId="2C2FBF23"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двигатель проходит предварительные испытания, на которых дал хорошие результаты. С 15 августа назначаются заводские испытания на заводе, куда Вы сможете командировать Вашего представителя для ознакомления с конструкцией и работай двигателя.</w:t>
      </w:r>
    </w:p>
    <w:p w14:paraId="3EC46287"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назначен для установки в танк и в ближайшее время выдан Вам быть не может.</w:t>
      </w:r>
    </w:p>
    <w:p w14:paraId="0F04B375"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получения чертежей двигателя командируйте в Москву представителя с комплектом чертежей Вашего двигателя – дизель, для рассмотрения в НТУ».</w:t>
      </w:r>
    </w:p>
    <w:p w14:paraId="42653DE2"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3. Д. 51. Л. 128] (24856).</w:t>
      </w:r>
    </w:p>
    <w:p w14:paraId="4103F1A6" w14:textId="77777777" w:rsidR="00630C15" w:rsidRPr="00E93F40" w:rsidRDefault="00630C15" w:rsidP="00E93F40">
      <w:pPr>
        <w:spacing w:after="0" w:line="240" w:lineRule="auto"/>
        <w:jc w:val="both"/>
        <w:rPr>
          <w:rFonts w:ascii="Times New Roman" w:hAnsi="Times New Roman"/>
          <w:color w:val="000000" w:themeColor="text1"/>
          <w:sz w:val="16"/>
          <w:szCs w:val="16"/>
        </w:rPr>
      </w:pPr>
    </w:p>
    <w:p w14:paraId="4F5A5262"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августа 1932 г.</w:t>
      </w:r>
    </w:p>
    <w:p w14:paraId="571754B7"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РГВА Фонд 31811 Опись 3 Дело 51 лист 128 </w:t>
      </w:r>
    </w:p>
    <w:p w14:paraId="3519C586"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Секретно </w:t>
      </w:r>
    </w:p>
    <w:p w14:paraId="38BB85BD"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Экз. № 2</w:t>
      </w:r>
    </w:p>
    <w:p w14:paraId="0D067842"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173757 </w:t>
      </w:r>
    </w:p>
    <w:p w14:paraId="4C403239"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августа 1932 г.</w:t>
      </w:r>
    </w:p>
    <w:p w14:paraId="55D3A207"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Директору Харьковского Паровозостроительного завода </w:t>
      </w:r>
    </w:p>
    <w:p w14:paraId="32FBC0E8"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им. Коминтерна тов. ВЛАДИМИРОВУ </w:t>
      </w:r>
    </w:p>
    <w:p w14:paraId="7F24605D"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город ХАРЬКОВ</w:t>
      </w:r>
    </w:p>
    <w:p w14:paraId="3191D90E"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УММ сообщает, что спроектированный Авто-Танко-Тракторным Бюро Технического Отдела ЭКУ ОГПУ дизель-мотор "ПГЕ" мощностью 400 л.с. изготавливается в одном экз. опытным отделом завода им. тов. Ворошилова в Ленинграде. </w:t>
      </w:r>
    </w:p>
    <w:p w14:paraId="4340BEEF"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настоящее время двигатель проходит предварительные испытания, на которых дал хорошие результаты. С 15 августа назначаются заводские испытания на заводе, куда Вы сможете командировать Вашего представителя для ознакомления с конструкцией и работай двигателя. </w:t>
      </w:r>
    </w:p>
    <w:p w14:paraId="25E9B04A"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Двигатель назначен для установки в танк и в ближайшее время выдан Вам быть не может. </w:t>
      </w:r>
    </w:p>
    <w:p w14:paraId="111CDC14"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получения чертежей двигателя командируйте в Москву представителя с комплектом чертежей Вашего двигателя – дизель, для рассмотрения в НТУ</w:t>
      </w:r>
    </w:p>
    <w:p w14:paraId="1B33B2E6"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 Пом. Нач. УММ (Бокис)</w:t>
      </w:r>
    </w:p>
    <w:p w14:paraId="2962EDE9"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Отп. 2 экз. </w:t>
      </w:r>
    </w:p>
    <w:p w14:paraId="534DBAA4" w14:textId="77777777" w:rsidR="00630C15" w:rsidRPr="00E93F40" w:rsidRDefault="00630C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Верно: Секретарь подпись (24873).</w:t>
      </w:r>
    </w:p>
    <w:p w14:paraId="67FE0BDA" w14:textId="77777777" w:rsidR="00630C15" w:rsidRPr="00E93F40" w:rsidRDefault="00630C15" w:rsidP="00E93F40">
      <w:pPr>
        <w:spacing w:after="0" w:line="240" w:lineRule="auto"/>
        <w:jc w:val="both"/>
        <w:rPr>
          <w:rFonts w:ascii="Times New Roman" w:hAnsi="Times New Roman"/>
          <w:color w:val="000000" w:themeColor="text1"/>
          <w:sz w:val="16"/>
          <w:szCs w:val="16"/>
        </w:rPr>
      </w:pPr>
    </w:p>
    <w:p w14:paraId="297C2B54" w14:textId="6F610EFA" w:rsidR="00C34D7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B96EE9E" w14:textId="77777777" w:rsidR="00C34D7E" w:rsidRPr="00E93F40" w:rsidRDefault="00C34D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4CD741"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августа в 1932 году сформирована авиация Тихоокеанского флота (14973).</w:t>
      </w:r>
    </w:p>
    <w:p w14:paraId="06EA8067"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6D4CB43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2A9FEF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DAA949"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августа 1932 г. комиссия утвердила макет ДБ. Одновременно готовили ра</w:t>
      </w:r>
      <w:r w:rsidRPr="00142305">
        <w:rPr>
          <w:rFonts w:ascii="Times New Roman" w:hAnsi="Times New Roman"/>
          <w:color w:val="0070C0"/>
          <w:sz w:val="16"/>
          <w:szCs w:val="16"/>
        </w:rPr>
        <w:softHyphen/>
        <w:t>бочие чертежи военного варианта АНТ-25; их завершили к 1 ноября (24946).</w:t>
      </w:r>
    </w:p>
    <w:p w14:paraId="309D004E" w14:textId="77777777" w:rsidR="00C02111" w:rsidRPr="00142305" w:rsidRDefault="00C02111" w:rsidP="00C02111">
      <w:pPr>
        <w:spacing w:after="0" w:line="240" w:lineRule="auto"/>
        <w:jc w:val="both"/>
        <w:rPr>
          <w:rFonts w:ascii="Times New Roman" w:hAnsi="Times New Roman"/>
          <w:color w:val="0070C0"/>
          <w:sz w:val="16"/>
          <w:szCs w:val="16"/>
        </w:rPr>
      </w:pPr>
    </w:p>
    <w:p w14:paraId="3EA81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5 августа по 11 сентября 1932 проходили испытания металлического винта N 181 Д = 2,85 и обрезанных N 182 Д=2,808 и N 182 Д=2,75 производства завода N 28 на самолете И5 N 4302 с кольцевыми капотами (мотор ЮVI АД N 42077 - 1930 г. К=6,5.</w:t>
      </w:r>
    </w:p>
    <w:p w14:paraId="508D9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61F82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инж. 1-го отдела Осипенко</w:t>
      </w:r>
    </w:p>
    <w:p w14:paraId="09279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инж. летчик 1-го отдела Филин</w:t>
      </w:r>
    </w:p>
    <w:p w14:paraId="4FFC3B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Сузи.</w:t>
      </w:r>
    </w:p>
    <w:p w14:paraId="1A898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28338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Получение летных данных самолета И5 с металлическими винтами различного диаметра и сравнения с данными деревянными, для определения возможности замены деревянного винта на металлический (3002).</w:t>
      </w:r>
    </w:p>
    <w:p w14:paraId="5C3E05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5BAF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5 августа 1932 по 11 сентября 1932 в НИИ ВВС проходили испытания металлического винта № 181 д 2.85 и обрезанных № 182 д 2808 мм и № 182 д 2.75 м производства завода № 28 на самолете И-5 № 4302 с кольцевым капотом (мотор Юпитер 6 № 42077).</w:t>
      </w:r>
    </w:p>
    <w:p w14:paraId="227AFA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- 37 календарных дней, из которых: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A227A" w:rsidRPr="00E93F40" w14:paraId="757502EE" w14:textId="77777777">
        <w:tc>
          <w:tcPr>
            <w:tcW w:w="4788" w:type="dxa"/>
            <w:tcBorders>
              <w:top w:val="single" w:sz="12" w:space="0" w:color="auto"/>
            </w:tcBorders>
          </w:tcPr>
          <w:p w14:paraId="62DDD5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по подготовке втулки и балансировке</w:t>
            </w:r>
          </w:p>
        </w:tc>
        <w:tc>
          <w:tcPr>
            <w:tcW w:w="4788" w:type="dxa"/>
            <w:tcBorders>
              <w:top w:val="single" w:sz="12" w:space="0" w:color="auto"/>
            </w:tcBorders>
          </w:tcPr>
          <w:p w14:paraId="734692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7B48CC00" w14:textId="77777777">
        <w:tc>
          <w:tcPr>
            <w:tcW w:w="4788" w:type="dxa"/>
          </w:tcPr>
          <w:p w14:paraId="24FE6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смена по неисправности двух М-22 и замена на Ю6</w:t>
            </w:r>
          </w:p>
        </w:tc>
        <w:tc>
          <w:tcPr>
            <w:tcW w:w="4788" w:type="dxa"/>
          </w:tcPr>
          <w:p w14:paraId="4E6E5F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r>
      <w:tr w:rsidR="00DA227A" w:rsidRPr="00E93F40" w14:paraId="1BC83B71" w14:textId="77777777">
        <w:tc>
          <w:tcPr>
            <w:tcW w:w="4788" w:type="dxa"/>
          </w:tcPr>
          <w:p w14:paraId="32C70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ремонт и просмотр матчасти</w:t>
            </w:r>
          </w:p>
        </w:tc>
        <w:tc>
          <w:tcPr>
            <w:tcW w:w="4788" w:type="dxa"/>
          </w:tcPr>
          <w:p w14:paraId="1952E2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6E7BD339" w14:textId="77777777">
        <w:tc>
          <w:tcPr>
            <w:tcW w:w="4788" w:type="dxa"/>
          </w:tcPr>
          <w:p w14:paraId="6B9D29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нелетных дней</w:t>
            </w:r>
          </w:p>
        </w:tc>
        <w:tc>
          <w:tcPr>
            <w:tcW w:w="4788" w:type="dxa"/>
          </w:tcPr>
          <w:p w14:paraId="075F4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r w:rsidR="00DA227A" w:rsidRPr="00E93F40" w14:paraId="39A5463A" w14:textId="77777777">
        <w:tc>
          <w:tcPr>
            <w:tcW w:w="4788" w:type="dxa"/>
          </w:tcPr>
          <w:p w14:paraId="1F632D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выходных дней</w:t>
            </w:r>
          </w:p>
        </w:tc>
        <w:tc>
          <w:tcPr>
            <w:tcW w:w="4788" w:type="dxa"/>
          </w:tcPr>
          <w:p w14:paraId="3ACF3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r>
      <w:tr w:rsidR="00DA227A" w:rsidRPr="00E93F40" w14:paraId="271A0329" w14:textId="77777777">
        <w:tc>
          <w:tcPr>
            <w:tcW w:w="4788" w:type="dxa"/>
            <w:tcBorders>
              <w:bottom w:val="single" w:sz="12" w:space="0" w:color="auto"/>
            </w:tcBorders>
          </w:tcPr>
          <w:p w14:paraId="1483F4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дней</w:t>
            </w:r>
          </w:p>
        </w:tc>
        <w:tc>
          <w:tcPr>
            <w:tcW w:w="4788" w:type="dxa"/>
            <w:tcBorders>
              <w:bottom w:val="single" w:sz="12" w:space="0" w:color="auto"/>
            </w:tcBorders>
          </w:tcPr>
          <w:p w14:paraId="254A1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r>
    </w:tbl>
    <w:p w14:paraId="2BF7F4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налет - 19 полетов, 27:20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DA227A" w:rsidRPr="00E93F40" w14:paraId="068651FC" w14:textId="77777777">
        <w:tc>
          <w:tcPr>
            <w:tcW w:w="3192" w:type="dxa"/>
            <w:tcBorders>
              <w:top w:val="single" w:sz="12" w:space="0" w:color="auto"/>
            </w:tcBorders>
          </w:tcPr>
          <w:p w14:paraId="62677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деревянный вимнт</w:t>
            </w:r>
          </w:p>
        </w:tc>
        <w:tc>
          <w:tcPr>
            <w:tcW w:w="3192" w:type="dxa"/>
            <w:tcBorders>
              <w:top w:val="single" w:sz="12" w:space="0" w:color="auto"/>
            </w:tcBorders>
          </w:tcPr>
          <w:p w14:paraId="36875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полета</w:t>
            </w:r>
          </w:p>
        </w:tc>
        <w:tc>
          <w:tcPr>
            <w:tcW w:w="3192" w:type="dxa"/>
            <w:tcBorders>
              <w:top w:val="single" w:sz="12" w:space="0" w:color="auto"/>
            </w:tcBorders>
          </w:tcPr>
          <w:p w14:paraId="014D1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6:10</w:t>
            </w:r>
          </w:p>
        </w:tc>
      </w:tr>
      <w:tr w:rsidR="00DA227A" w:rsidRPr="00E93F40" w14:paraId="789C992E" w14:textId="77777777">
        <w:tc>
          <w:tcPr>
            <w:tcW w:w="3192" w:type="dxa"/>
          </w:tcPr>
          <w:p w14:paraId="6A03D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металлический д 2.85</w:t>
            </w:r>
          </w:p>
        </w:tc>
        <w:tc>
          <w:tcPr>
            <w:tcW w:w="3192" w:type="dxa"/>
          </w:tcPr>
          <w:p w14:paraId="304FE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3192" w:type="dxa"/>
          </w:tcPr>
          <w:p w14:paraId="05787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7:30</w:t>
            </w:r>
          </w:p>
        </w:tc>
      </w:tr>
      <w:tr w:rsidR="00DA227A" w:rsidRPr="00E93F40" w14:paraId="41DFCA16" w14:textId="77777777">
        <w:tc>
          <w:tcPr>
            <w:tcW w:w="3192" w:type="dxa"/>
          </w:tcPr>
          <w:p w14:paraId="2AAD75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металлический д 2.806</w:t>
            </w:r>
          </w:p>
        </w:tc>
        <w:tc>
          <w:tcPr>
            <w:tcW w:w="3192" w:type="dxa"/>
          </w:tcPr>
          <w:p w14:paraId="5B72E0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3192" w:type="dxa"/>
          </w:tcPr>
          <w:p w14:paraId="61096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6:40</w:t>
            </w:r>
          </w:p>
        </w:tc>
      </w:tr>
      <w:tr w:rsidR="00DA227A" w:rsidRPr="00E93F40" w14:paraId="08F3E8D5" w14:textId="77777777">
        <w:tc>
          <w:tcPr>
            <w:tcW w:w="3192" w:type="dxa"/>
            <w:tcBorders>
              <w:bottom w:val="single" w:sz="12" w:space="0" w:color="auto"/>
            </w:tcBorders>
          </w:tcPr>
          <w:p w14:paraId="41587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металлический д 2.75</w:t>
            </w:r>
          </w:p>
        </w:tc>
        <w:tc>
          <w:tcPr>
            <w:tcW w:w="3192" w:type="dxa"/>
            <w:tcBorders>
              <w:bottom w:val="single" w:sz="12" w:space="0" w:color="auto"/>
            </w:tcBorders>
          </w:tcPr>
          <w:p w14:paraId="7999C7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3192" w:type="dxa"/>
            <w:tcBorders>
              <w:bottom w:val="single" w:sz="12" w:space="0" w:color="auto"/>
            </w:tcBorders>
          </w:tcPr>
          <w:p w14:paraId="1B9A4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r>
    </w:tbl>
    <w:p w14:paraId="1037D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(10757).</w:t>
      </w:r>
    </w:p>
    <w:p w14:paraId="49BA6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1196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августа 1932 был подготовлен доклад Пред. РВС О невыполнении ВОТИ постановления правительства об изготовлении автопилотов (3082).</w:t>
      </w:r>
    </w:p>
    <w:p w14:paraId="30BFE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8BB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августа 1932 года Логановский писал письмо № 486 Кагановичу, Молотову, Ворошилову</w:t>
      </w:r>
    </w:p>
    <w:p w14:paraId="26FD5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моей беседы с Барлоу он в разговоре с переводчиком сообщил последнему, что при следующей встрече он, по всей вероятности, сделает мне предложение следующего порядка: ввиду того, что СССР не считает возможным выступить внешне по поводу его предложения, причиной чему является также отсутствие достаточной уверенности у наших специалистов в практическом осуществлении его изобретения, он хочет вернуться в Америку и до февраля при помощи 3-4 специалистов составить полные технические чертежи изобретения. По мере окончания чертежа какой-либо детали, он их будет сдавать Богданову для пересылки в СССР и вторую копию чертежей оставит у себя. За это он не просит для себя никакого вознаграждения, он ожидает, что СССР будет покрывать все его организационные расходы, так как он все свое время посвятит только этому делу. Он согласен, чтобы Богданов проверял его счета и оплачивал после их представления. Он думает, что этим предложением он даст возможность СССР досконально ознакомиться с его изобретением и тогда, по его убеждению, СССР сам выступит на предстоящей сессии Комиссии по разоружению в Женеве в феврале 1933 года.</w:t>
      </w:r>
    </w:p>
    <w:p w14:paraId="5FEEA9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после возвращения в Америку, он попытается договориться с Рузвельтом, чтобы последний оградил его от возможных налетов со стороны Правительства Гувера на время его работ над чертежами. Он также попытается получить обещание Рузвельта взять на себя инициативу выступления в Женеве в феврале, если, понятно, Рузвельт будет избран президентом. Если Рузвельт такого рода обещание ему даст, то Барлоу второй экземпляр чертежей передаст ему. При наличии отказа Рузвельта, он чертежи даст только нам.</w:t>
      </w:r>
    </w:p>
    <w:p w14:paraId="61EA8A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этого предложения в отношении своего изобретения, Барлоу хочет подарить СССР безвозмездно чертежи и планы его совершенствованных безопасных воздушных бомб с наружными детонаторами. Патенты на эти бомбы принадлежат ему. Для того, чтобы узнать, нуждаемся ли мы в его бомбах, он хотел бы, если можно посмотреть, что мы имеем в этой области или же поговорить с кем-нибудь из наших специалистов по воздушным бомбам.</w:t>
      </w:r>
    </w:p>
    <w:p w14:paraId="7DCB0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Передавая все это переводчику, Барлоу по всей вероятности рассчитывал, чтобы тот немедленно передал его предложение мне, дабы он мог получить от меня конкретный ответ.</w:t>
      </w:r>
    </w:p>
    <w:p w14:paraId="710B1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того, что я буду с ним беседовать 7 августа, я прошу указаний, что ответить Барлоу, если он подобное предложение сделает. Сам Барлоу 16 августа уже хочет обратно возвращаться в Америку (3553,22-23).</w:t>
      </w:r>
    </w:p>
    <w:p w14:paraId="51D519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47B35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4B78C6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926B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августа 1932 года опытный образец БАИ доставили на НИБТ полигон для проведения испытаний (к этому време</w:t>
      </w:r>
      <w:r w:rsidRPr="00E93F40">
        <w:rPr>
          <w:rFonts w:ascii="Times New Roman" w:hAnsi="Times New Roman"/>
          <w:color w:val="000000" w:themeColor="text1"/>
          <w:sz w:val="16"/>
          <w:szCs w:val="16"/>
        </w:rPr>
        <w:softHyphen/>
        <w:t>ни машина прошла 980 км). Здесь в первой половине авгус</w:t>
      </w:r>
      <w:r w:rsidRPr="00E93F40">
        <w:rPr>
          <w:rFonts w:ascii="Times New Roman" w:hAnsi="Times New Roman"/>
          <w:color w:val="000000" w:themeColor="text1"/>
          <w:sz w:val="16"/>
          <w:szCs w:val="16"/>
        </w:rPr>
        <w:softHyphen/>
        <w:t>та бронеавтомобиль прошел в обшей сложности 200 км по различным дорогам. В ходе этих испытаний выяснилось следующее:</w:t>
      </w:r>
    </w:p>
    <w:p w14:paraId="6C2EAD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«Наблюдение за местностью в открытые люки удобно, при закрытых крайне затруднительно. При условии хоро</w:t>
      </w:r>
      <w:r w:rsidRPr="00E93F40">
        <w:rPr>
          <w:rFonts w:ascii="Times New Roman" w:hAnsi="Times New Roman"/>
          <w:color w:val="000000" w:themeColor="text1"/>
          <w:sz w:val="16"/>
          <w:szCs w:val="16"/>
        </w:rPr>
        <w:softHyphen/>
        <w:t>шего широкого шоссе при большом напряжении возможно движение со скоростью 15-20 км/ч, но при наличии цирку</w:t>
      </w:r>
      <w:r w:rsidRPr="00E93F40">
        <w:rPr>
          <w:rFonts w:ascii="Times New Roman" w:hAnsi="Times New Roman"/>
          <w:color w:val="000000" w:themeColor="text1"/>
          <w:sz w:val="16"/>
          <w:szCs w:val="16"/>
        </w:rPr>
        <w:softHyphen/>
        <w:t>ляции горячего воздуха, который дует прямо в лицо, возможное время наблюдения крайне невелико. На испыта</w:t>
      </w:r>
      <w:r w:rsidRPr="00E93F40">
        <w:rPr>
          <w:rFonts w:ascii="Times New Roman" w:hAnsi="Times New Roman"/>
          <w:color w:val="000000" w:themeColor="text1"/>
          <w:sz w:val="16"/>
          <w:szCs w:val="16"/>
        </w:rPr>
        <w:softHyphen/>
        <w:t>нии при движении с закрытыми люками водитель мог вес</w:t>
      </w:r>
      <w:r w:rsidRPr="00E93F40">
        <w:rPr>
          <w:rFonts w:ascii="Times New Roman" w:hAnsi="Times New Roman"/>
          <w:color w:val="000000" w:themeColor="text1"/>
          <w:sz w:val="16"/>
          <w:szCs w:val="16"/>
        </w:rPr>
        <w:softHyphen/>
        <w:t>ти машину только 5 км, после чего из-за сильного голово</w:t>
      </w:r>
      <w:r w:rsidRPr="00E93F40">
        <w:rPr>
          <w:rFonts w:ascii="Times New Roman" w:hAnsi="Times New Roman"/>
          <w:color w:val="000000" w:themeColor="text1"/>
          <w:sz w:val="16"/>
          <w:szCs w:val="16"/>
        </w:rPr>
        <w:softHyphen/>
        <w:t>кружения их пришлось открыть...</w:t>
      </w:r>
    </w:p>
    <w:p w14:paraId="55C6B1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движении с закрытыми жалюзи радиатор момен</w:t>
      </w:r>
      <w:r w:rsidRPr="00E93F40">
        <w:rPr>
          <w:rFonts w:ascii="Times New Roman" w:hAnsi="Times New Roman"/>
          <w:color w:val="000000" w:themeColor="text1"/>
          <w:sz w:val="16"/>
          <w:szCs w:val="16"/>
        </w:rPr>
        <w:softHyphen/>
        <w:t>тально начинает кипеть. При их открытии охлаждение несколько улучшается, но сильно изнуряет команду. Горя</w:t>
      </w:r>
      <w:r w:rsidRPr="00E93F40">
        <w:rPr>
          <w:rFonts w:ascii="Times New Roman" w:hAnsi="Times New Roman"/>
          <w:color w:val="000000" w:themeColor="text1"/>
          <w:sz w:val="16"/>
          <w:szCs w:val="16"/>
        </w:rPr>
        <w:softHyphen/>
        <w:t>чий воздух, идущий от мотора между щитком и броней, обжигает руки водителю, не позволяя ему держать на верхней части рулевого колеса, обтекает голову и тулови</w:t>
      </w:r>
      <w:r w:rsidRPr="00E93F40">
        <w:rPr>
          <w:rFonts w:ascii="Times New Roman" w:hAnsi="Times New Roman"/>
          <w:color w:val="000000" w:themeColor="text1"/>
          <w:sz w:val="16"/>
          <w:szCs w:val="16"/>
        </w:rPr>
        <w:softHyphen/>
        <w:t>ще, то есть водитель и пулеметчик постоянно находятся в потоке горячего воздуха, что сильно снижает их работо</w:t>
      </w:r>
      <w:r w:rsidRPr="00E93F40">
        <w:rPr>
          <w:rFonts w:ascii="Times New Roman" w:hAnsi="Times New Roman"/>
          <w:color w:val="000000" w:themeColor="text1"/>
          <w:sz w:val="16"/>
          <w:szCs w:val="16"/>
        </w:rPr>
        <w:softHyphen/>
        <w:t>способность. С закрытыми люками движение становится невозможным через 5—6 км — температура внутри маши</w:t>
      </w:r>
      <w:r w:rsidRPr="00E93F40">
        <w:rPr>
          <w:rFonts w:ascii="Times New Roman" w:hAnsi="Times New Roman"/>
          <w:color w:val="000000" w:themeColor="text1"/>
          <w:sz w:val="16"/>
          <w:szCs w:val="16"/>
        </w:rPr>
        <w:softHyphen/>
        <w:t>ны достигает 57—50 градусов».</w:t>
      </w:r>
    </w:p>
    <w:p w14:paraId="428EC3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при преодолении вертикальных препятст</w:t>
      </w:r>
      <w:r w:rsidRPr="00E93F40">
        <w:rPr>
          <w:rFonts w:ascii="Times New Roman" w:hAnsi="Times New Roman"/>
          <w:color w:val="000000" w:themeColor="text1"/>
          <w:sz w:val="16"/>
          <w:szCs w:val="16"/>
        </w:rPr>
        <w:softHyphen/>
        <w:t>вий машина цеплялась за них картером демультипликатора, а при повороте башни пушка и пулемет, находясь на максимальном угле снижения, задевали за крышу над отделением водителя.</w:t>
      </w:r>
    </w:p>
    <w:p w14:paraId="79F898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несмотря на эти недостатки, БАИ показал хоро</w:t>
      </w:r>
      <w:r w:rsidRPr="00E93F40">
        <w:rPr>
          <w:rFonts w:ascii="Times New Roman" w:hAnsi="Times New Roman"/>
          <w:color w:val="000000" w:themeColor="text1"/>
          <w:sz w:val="16"/>
          <w:szCs w:val="16"/>
        </w:rPr>
        <w:softHyphen/>
        <w:t>шие динамические качества — максимальная скорость по шоссе составляла 60 км/ч, а при включенном демультип</w:t>
      </w:r>
      <w:r w:rsidRPr="00E93F40">
        <w:rPr>
          <w:rFonts w:ascii="Times New Roman" w:hAnsi="Times New Roman"/>
          <w:color w:val="000000" w:themeColor="text1"/>
          <w:sz w:val="16"/>
          <w:szCs w:val="16"/>
        </w:rPr>
        <w:softHyphen/>
        <w:t>ликаторе на пониженной передаче броневик разогнался до 75 км/ч. Удовлетворительными оказались результаты стрельб из вооружения машины, а также проходимость. Поэтому в своем заключении представители НИБТ поли</w:t>
      </w:r>
      <w:r w:rsidRPr="00E93F40">
        <w:rPr>
          <w:rFonts w:ascii="Times New Roman" w:hAnsi="Times New Roman"/>
          <w:color w:val="000000" w:themeColor="text1"/>
          <w:sz w:val="16"/>
          <w:szCs w:val="16"/>
        </w:rPr>
        <w:softHyphen/>
        <w:t>гона писали, что «для эксплуатации в наших условиях ма</w:t>
      </w:r>
      <w:r w:rsidRPr="00E93F40">
        <w:rPr>
          <w:rFonts w:ascii="Times New Roman" w:hAnsi="Times New Roman"/>
          <w:color w:val="000000" w:themeColor="text1"/>
          <w:sz w:val="16"/>
          <w:szCs w:val="16"/>
        </w:rPr>
        <w:softHyphen/>
        <w:t>шина пригодна, для приема как боевой... у нее необходи</w:t>
      </w:r>
      <w:r w:rsidRPr="00E93F40">
        <w:rPr>
          <w:rFonts w:ascii="Times New Roman" w:hAnsi="Times New Roman"/>
          <w:color w:val="000000" w:themeColor="text1"/>
          <w:sz w:val="16"/>
          <w:szCs w:val="16"/>
        </w:rPr>
        <w:softHyphen/>
        <w:t>мо прекратить доступ горячего воздуха от мотора к води</w:t>
      </w:r>
      <w:r w:rsidRPr="00E93F40">
        <w:rPr>
          <w:rFonts w:ascii="Times New Roman" w:hAnsi="Times New Roman"/>
          <w:color w:val="000000" w:themeColor="text1"/>
          <w:sz w:val="16"/>
          <w:szCs w:val="16"/>
        </w:rPr>
        <w:softHyphen/>
        <w:t>телю». Еще до начала полигонных испытаний было принято решение о развертывании серийного производства БАИ. Первоначально планировалось производить броневики на Ижорском заводе, но из-за большой загрузки предприятия другими заказами от этого пришлось отказаться (11284).</w:t>
      </w:r>
    </w:p>
    <w:p w14:paraId="510BF5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90B2E" w14:textId="77777777" w:rsidR="00C02111" w:rsidRPr="00142305" w:rsidRDefault="00C02111" w:rsidP="00C02111">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5 августа 1932 года опытный образец БАИ доставили на НИБТ Полигон для испытаний. </w:t>
      </w:r>
    </w:p>
    <w:p w14:paraId="608ED11B"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БАИ (И - «ижорский») был разработан на Ижорском заводе под руко</w:t>
      </w:r>
      <w:r w:rsidRPr="00142305">
        <w:rPr>
          <w:rStyle w:val="aff"/>
          <w:rFonts w:ascii="Times New Roman" w:hAnsi="Times New Roman" w:cs="Times New Roman"/>
          <w:color w:val="0070C0"/>
          <w:spacing w:val="0"/>
          <w:sz w:val="16"/>
          <w:szCs w:val="16"/>
        </w:rPr>
        <w:softHyphen/>
        <w:t>водством инженера А.Д. Кузьмина. При его создании использовалось трехосное шасси «Форд-Тимкен», укороченное в задней части на 400 мм. Корпус броневика выполнял</w:t>
      </w:r>
      <w:r w:rsidRPr="00142305">
        <w:rPr>
          <w:rStyle w:val="aff"/>
          <w:rFonts w:ascii="Times New Roman" w:hAnsi="Times New Roman" w:cs="Times New Roman"/>
          <w:color w:val="0070C0"/>
          <w:spacing w:val="0"/>
          <w:sz w:val="16"/>
          <w:szCs w:val="16"/>
        </w:rPr>
        <w:softHyphen/>
        <w:t xml:space="preserve">ся полностью сварным, что было передовым для того времени. По бортам и в кормовой </w:t>
      </w:r>
      <w:r w:rsidRPr="00142305">
        <w:rPr>
          <w:rStyle w:val="aff"/>
          <w:rFonts w:ascii="Times New Roman" w:hAnsi="Times New Roman" w:cs="Times New Roman"/>
          <w:color w:val="0070C0"/>
          <w:spacing w:val="0"/>
          <w:sz w:val="16"/>
          <w:szCs w:val="16"/>
        </w:rPr>
        <w:lastRenderedPageBreak/>
        <w:t>части имелись двери для посадки экипажа. Водитель вел наблюдение за дорогой через прямоугольный люк в лобовом листе корпуса, закрывавшийся в боевой обстановке крыш</w:t>
      </w:r>
      <w:r w:rsidRPr="00142305">
        <w:rPr>
          <w:rStyle w:val="aff"/>
          <w:rFonts w:ascii="Times New Roman" w:hAnsi="Times New Roman" w:cs="Times New Roman"/>
          <w:color w:val="0070C0"/>
          <w:spacing w:val="0"/>
          <w:sz w:val="16"/>
          <w:szCs w:val="16"/>
        </w:rPr>
        <w:softHyphen/>
        <w:t>кой со смотровой щелью. Лючки со щелями в крышках имелись также в кормовом листе корпуса, в бортовых и задней дверях. В ци</w:t>
      </w:r>
      <w:r w:rsidRPr="00142305">
        <w:rPr>
          <w:rStyle w:val="aff"/>
          <w:rFonts w:ascii="Times New Roman" w:hAnsi="Times New Roman" w:cs="Times New Roman"/>
          <w:color w:val="0070C0"/>
          <w:spacing w:val="0"/>
          <w:sz w:val="16"/>
          <w:szCs w:val="16"/>
        </w:rPr>
        <w:softHyphen/>
        <w:t>линдрической сварной башне оригинальной конструкции устанавливались 37-мм танковая пушка ПС-1 (боекомплект 34 артвыстрела) и отдельно от нее пулемет ДТ в шаровой монтировке. Второй пулемет ДТ размещался в лобовом листе корпуса справа от водителя. Боекомплект пулеметов состоял из 48 дис</w:t>
      </w:r>
      <w:r w:rsidRPr="00142305">
        <w:rPr>
          <w:rStyle w:val="aff"/>
          <w:rFonts w:ascii="Times New Roman" w:hAnsi="Times New Roman" w:cs="Times New Roman"/>
          <w:color w:val="0070C0"/>
          <w:spacing w:val="0"/>
          <w:sz w:val="16"/>
          <w:szCs w:val="16"/>
        </w:rPr>
        <w:softHyphen/>
        <w:t>ков - 3024 патрона - уложенных в специаль</w:t>
      </w:r>
      <w:r w:rsidRPr="00142305">
        <w:rPr>
          <w:rStyle w:val="aff"/>
          <w:rFonts w:ascii="Times New Roman" w:hAnsi="Times New Roman" w:cs="Times New Roman"/>
          <w:color w:val="0070C0"/>
          <w:spacing w:val="0"/>
          <w:sz w:val="16"/>
          <w:szCs w:val="16"/>
        </w:rPr>
        <w:softHyphen/>
        <w:t>ные стеллажи на бортах боевого отделения. За счет переменной высоты крыши корпуса (подбашенный лист располагался заметно ниже крыши водительской кабины) удалось существенно снизить общую высоту боевой машины. Командир броневика размещался в башне, сидя в петле из брезентового ремня.</w:t>
      </w:r>
    </w:p>
    <w:p w14:paraId="61F8DA24"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Масса бронеавтомобиля составляла 3,86 т. Толщина броневой защиты корпуса и башни колебалась в пределах от 4 до 8 мм. БАИ оснащался двигателем «Форд» мощностью 40 л.с., «фордовской» коробкой передач и демультипликатором. Максимальная скорость движения достигала 63 км/ч. Запас хода по шоссе - 150 км.</w:t>
      </w:r>
    </w:p>
    <w:p w14:paraId="22D56F0C"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Впрочем, еще до их начала было принято решение о развертывании серийного произ</w:t>
      </w:r>
      <w:r w:rsidRPr="00142305">
        <w:rPr>
          <w:rStyle w:val="aff"/>
          <w:rFonts w:ascii="Times New Roman" w:hAnsi="Times New Roman" w:cs="Times New Roman"/>
          <w:color w:val="0070C0"/>
          <w:spacing w:val="0"/>
          <w:sz w:val="16"/>
          <w:szCs w:val="16"/>
        </w:rPr>
        <w:softHyphen/>
        <w:t>водства нового бронеавтомобиля. Первона</w:t>
      </w:r>
      <w:r w:rsidRPr="00142305">
        <w:rPr>
          <w:rStyle w:val="aff"/>
          <w:rFonts w:ascii="Times New Roman" w:hAnsi="Times New Roman" w:cs="Times New Roman"/>
          <w:color w:val="0070C0"/>
          <w:spacing w:val="0"/>
          <w:sz w:val="16"/>
          <w:szCs w:val="16"/>
        </w:rPr>
        <w:softHyphen/>
        <w:t>чально планировалось организовать их выпуск на Ижорском заводе, но из-за загрузки завода другими заказами от этого пришлось отказать</w:t>
      </w:r>
      <w:r w:rsidRPr="00142305">
        <w:rPr>
          <w:rStyle w:val="aff"/>
          <w:rFonts w:ascii="Times New Roman" w:hAnsi="Times New Roman" w:cs="Times New Roman"/>
          <w:color w:val="0070C0"/>
          <w:spacing w:val="0"/>
          <w:sz w:val="16"/>
          <w:szCs w:val="16"/>
        </w:rPr>
        <w:softHyphen/>
        <w:t>ся. Для производства броневиков решением правительства был выделен Выксунский завод дробильно-размольного оборудования (ДРО) в г. Выкса Горьковской области. Из-за ряда труд</w:t>
      </w:r>
      <w:r w:rsidRPr="00142305">
        <w:rPr>
          <w:rStyle w:val="aff"/>
          <w:rFonts w:ascii="Times New Roman" w:hAnsi="Times New Roman" w:cs="Times New Roman"/>
          <w:color w:val="0070C0"/>
          <w:spacing w:val="0"/>
          <w:sz w:val="16"/>
          <w:szCs w:val="16"/>
        </w:rPr>
        <w:softHyphen/>
        <w:t>ностей в 1933 году это предприятие смогло изготовить только 90 бронемашин БАИ, а в 1934 году - еще 19.</w:t>
      </w:r>
    </w:p>
    <w:p w14:paraId="7111DC46" w14:textId="77777777" w:rsidR="00C02111" w:rsidRPr="00142305" w:rsidRDefault="00C02111" w:rsidP="00C0211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опытном порядке на БАИ была уста</w:t>
      </w:r>
      <w:r w:rsidRPr="00142305">
        <w:rPr>
          <w:rStyle w:val="aff"/>
          <w:rFonts w:ascii="Times New Roman" w:hAnsi="Times New Roman" w:cs="Times New Roman"/>
          <w:color w:val="0070C0"/>
          <w:spacing w:val="0"/>
          <w:sz w:val="16"/>
          <w:szCs w:val="16"/>
        </w:rPr>
        <w:softHyphen/>
        <w:t>новлена радиостанция 71-ТК-1 с поручневой антенной, смонтированной по периметру корпуса (25663).</w:t>
      </w:r>
    </w:p>
    <w:p w14:paraId="553C5D1E" w14:textId="77777777" w:rsidR="00C02111" w:rsidRPr="00142305" w:rsidRDefault="00C02111" w:rsidP="00C02111">
      <w:pPr>
        <w:spacing w:after="0" w:line="240" w:lineRule="auto"/>
        <w:jc w:val="both"/>
        <w:rPr>
          <w:rFonts w:ascii="Times New Roman" w:hAnsi="Times New Roman"/>
          <w:color w:val="0070C0"/>
          <w:sz w:val="16"/>
          <w:szCs w:val="16"/>
        </w:rPr>
      </w:pPr>
    </w:p>
    <w:p w14:paraId="52D32C8A" w14:textId="77777777" w:rsidR="00C34D7E" w:rsidRPr="00E93F40" w:rsidRDefault="00C34D7E" w:rsidP="00E93F40">
      <w:pPr>
        <w:pStyle w:val="rtejustify"/>
        <w:spacing w:before="0" w:after="0"/>
        <w:rPr>
          <w:color w:val="000000" w:themeColor="text1"/>
          <w:sz w:val="16"/>
          <w:szCs w:val="16"/>
        </w:rPr>
      </w:pPr>
      <w:r w:rsidRPr="00E93F40">
        <w:rPr>
          <w:color w:val="000000" w:themeColor="text1"/>
          <w:sz w:val="16"/>
          <w:szCs w:val="16"/>
        </w:rPr>
        <w:t>5 августа [1932 г.] Каганович — Сталину</w:t>
      </w:r>
    </w:p>
    <w:p w14:paraId="0A609116" w14:textId="77777777" w:rsidR="003E0F62" w:rsidRPr="00E93F40" w:rsidRDefault="003E0F62" w:rsidP="00E93F40">
      <w:pPr>
        <w:pStyle w:val="rtejustify"/>
        <w:spacing w:before="0" w:after="0"/>
        <w:rPr>
          <w:color w:val="000000" w:themeColor="text1"/>
          <w:sz w:val="16"/>
          <w:szCs w:val="16"/>
        </w:rPr>
      </w:pPr>
      <w:r w:rsidRPr="00E93F40">
        <w:rPr>
          <w:color w:val="000000" w:themeColor="text1"/>
          <w:sz w:val="16"/>
          <w:szCs w:val="16"/>
        </w:rPr>
        <w:t>5/VIII</w:t>
      </w:r>
    </w:p>
    <w:p w14:paraId="35AAC27F" w14:textId="77777777" w:rsidR="003E0F62" w:rsidRPr="00E93F40" w:rsidRDefault="003E0F62" w:rsidP="00E93F40">
      <w:pPr>
        <w:pStyle w:val="rtecenter"/>
        <w:spacing w:before="0" w:after="0"/>
        <w:jc w:val="both"/>
        <w:rPr>
          <w:color w:val="000000" w:themeColor="text1"/>
          <w:sz w:val="16"/>
          <w:szCs w:val="16"/>
        </w:rPr>
      </w:pPr>
      <w:r w:rsidRPr="00E93F40">
        <w:rPr>
          <w:color w:val="000000" w:themeColor="text1"/>
          <w:sz w:val="16"/>
          <w:szCs w:val="16"/>
        </w:rPr>
        <w:t>Здравствуйте, дорогой т. Сталин!</w:t>
      </w:r>
    </w:p>
    <w:p w14:paraId="72F4633E" w14:textId="77777777" w:rsidR="003E0F62" w:rsidRPr="00E93F40" w:rsidRDefault="003E0F62" w:rsidP="00E93F40">
      <w:pPr>
        <w:pStyle w:val="rtejustify"/>
        <w:spacing w:before="0" w:after="0"/>
        <w:rPr>
          <w:color w:val="000000" w:themeColor="text1"/>
          <w:sz w:val="16"/>
          <w:szCs w:val="16"/>
        </w:rPr>
      </w:pPr>
      <w:r w:rsidRPr="00E93F40">
        <w:rPr>
          <w:color w:val="000000" w:themeColor="text1"/>
          <w:sz w:val="16"/>
          <w:szCs w:val="16"/>
        </w:rPr>
        <w:t>1) Сегодня составили проект декрета о борьбе со спекуляцией. Вышел он у нас коротеньким, но в конце концов дело в существе, а существо выражено в соответствии с Вашими указаниями.</w:t>
      </w:r>
    </w:p>
    <w:p w14:paraId="24902AF3" w14:textId="77777777" w:rsidR="003E0F62" w:rsidRPr="00E93F40" w:rsidRDefault="003E0F62" w:rsidP="00E93F40">
      <w:pPr>
        <w:pStyle w:val="rtejustify"/>
        <w:spacing w:before="0" w:after="0"/>
        <w:rPr>
          <w:color w:val="000000" w:themeColor="text1"/>
          <w:sz w:val="16"/>
          <w:szCs w:val="16"/>
        </w:rPr>
      </w:pPr>
      <w:r w:rsidRPr="00E93F40">
        <w:rPr>
          <w:color w:val="000000" w:themeColor="text1"/>
          <w:sz w:val="16"/>
          <w:szCs w:val="16"/>
        </w:rPr>
        <w:t>Письмо ОГПУ(прилагаемое) вышло пространнее, но кажется, что оно в основном приемлемо. Для чекистов не вредно, если им объяснят подробнее, чтоб не вышло перегибов. Прошу Вас сообщить Ваше мнение.</w:t>
      </w:r>
    </w:p>
    <w:p w14:paraId="49CC75A2" w14:textId="77777777" w:rsidR="003E0F62" w:rsidRPr="00E93F40" w:rsidRDefault="003E0F62" w:rsidP="00E93F40">
      <w:pPr>
        <w:pStyle w:val="rtejustify"/>
        <w:spacing w:before="0" w:after="0"/>
        <w:rPr>
          <w:color w:val="000000" w:themeColor="text1"/>
          <w:sz w:val="16"/>
          <w:szCs w:val="16"/>
        </w:rPr>
      </w:pPr>
      <w:r w:rsidRPr="00E93F40">
        <w:rPr>
          <w:color w:val="000000" w:themeColor="text1"/>
          <w:sz w:val="16"/>
          <w:szCs w:val="16"/>
        </w:rPr>
        <w:t>…3) Барлоу все еще цепляется за связь с нами и намерен (как это видно из прилагаемой записки) приготовить для нас в Америке чертежи своего изобретения, держать связь с Богдановым и получать от нас деньги на покрытие своих расходов. Одновременно он хочет под видом преподношения нам чертежей его бомб выведать, что у нас есть в этой области. По-видимому, он достаточно опытный разведчик. Мы полагаем, что его надо вежливо отшить совсем и отказаться от его чертежей, которые он все равно нам в Америке не сдаст, как будто можно верить, что Рузвельт его защитит, и он сможет в Америке готовить для другой страны военное изобретение. Само собой разумеется, что никаких сведений о бомбах мы ему не дадим. Просим Вас сообщить Ваше мнение.</w:t>
      </w:r>
    </w:p>
    <w:p w14:paraId="43C99B06" w14:textId="0673B853" w:rsidR="003E0F62" w:rsidRPr="00E93F40" w:rsidRDefault="003E0F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Сталин и Каганович. Переписка. 1931–1936 гг. Москва: (РОССПЭН), 2001 Стр. 263-267</w:t>
      </w:r>
    </w:p>
    <w:p w14:paraId="284D007C" w14:textId="76659E92" w:rsidR="003E0F62" w:rsidRPr="00E93F40" w:rsidRDefault="003E0F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РГАСПИ Ф. 558. Oп. 11. Д. 740. Л. 122–148. Автограф (12602).</w:t>
      </w:r>
    </w:p>
    <w:p w14:paraId="2D185D94" w14:textId="77777777" w:rsidR="003E0F62" w:rsidRPr="00E93F40" w:rsidRDefault="003E0F62" w:rsidP="00E93F40">
      <w:pPr>
        <w:spacing w:after="0" w:line="240" w:lineRule="auto"/>
        <w:jc w:val="both"/>
        <w:rPr>
          <w:rFonts w:ascii="Times New Roman" w:hAnsi="Times New Roman"/>
          <w:color w:val="000000" w:themeColor="text1"/>
          <w:sz w:val="16"/>
          <w:szCs w:val="16"/>
        </w:rPr>
      </w:pPr>
    </w:p>
    <w:p w14:paraId="1ACACA0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0B4A75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855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августа 1932 вышло постановление ЦК ВКП(б) и Правительства от по созданию ВВС наиболее благоприятной технической обстановки реально обеспечивающей безопасность самолетовождения и изжития аварийности. (3045,397).</w:t>
      </w:r>
    </w:p>
    <w:p w14:paraId="60A1D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6FD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августа 1932 г., согласно постановлению Реввоенсовета СССР, бьши сформированы два отряда телеуправляемых катеров из серийных катеров типа Ш-4 с включением в каждый зве</w:t>
      </w:r>
      <w:r w:rsidRPr="00E93F40">
        <w:rPr>
          <w:rFonts w:ascii="Times New Roman" w:hAnsi="Times New Roman"/>
          <w:color w:val="000000" w:themeColor="text1"/>
          <w:sz w:val="16"/>
          <w:szCs w:val="16"/>
        </w:rPr>
        <w:softHyphen/>
        <w:t>на самолетов наведения (3898).</w:t>
      </w:r>
    </w:p>
    <w:p w14:paraId="4BCA5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D099F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CB0854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F50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августа 1932 после устранения дефектов, замеченных при гос. испытаниях и предъявленные НИИ ВВС, Р-6 2М-17 отправлен летом на завод 31 (2314,21).</w:t>
      </w:r>
    </w:p>
    <w:p w14:paraId="4471A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470FC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935BCA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925D2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августа 1932 между озерами Эйре и Онтарио (Северная Америка) открыт канал Велланд (4962).</w:t>
      </w:r>
    </w:p>
    <w:p w14:paraId="530D8EB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9F17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августа 1932 открылся первый Венецианский кинофестиваль (4962).</w:t>
      </w:r>
    </w:p>
    <w:p w14:paraId="4621C91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2C1CD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C5A773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59D1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августа 1932 года выписка из протокола № 19 КО</w:t>
      </w:r>
    </w:p>
    <w:p w14:paraId="3650E3D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Авиация.</w:t>
      </w:r>
    </w:p>
    <w:p w14:paraId="5841A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 дополнительном производстве раций в 1932 году для оборудования тяжелых самолетов.</w:t>
      </w:r>
    </w:p>
    <w:p w14:paraId="69C72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 Филимонов.</w:t>
      </w:r>
    </w:p>
    <w:p w14:paraId="1870E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принятым ранее КО решением, предложить НКТП разработать мероприятия, обеспечивающие оснащение рациями всех тяжелых самолетов выпуска 1932 года и доложить КО (7429, 104).</w:t>
      </w:r>
    </w:p>
    <w:p w14:paraId="3ED41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A26902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47659C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5F0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августа 1932 года вышло постановление СТО, которым Остехбюро обязывалось поставить массовое производство приборов "А" и "У". Специально организованный для этой цели цех за 1933 — 1935 годы выпустил 5000 приборов "А" и "У". В дальнейшем серийное производство приборов было передано омскому радиозаводу и заводу "Радиоприбор". В начале 30 — х годов в научно — исследовательских организациях и в промышленности появилась необходимость в кварцевых резонаторах и фильтрах для более высоких частот (выше 900 кГц). В московском отделении Остехбюро (1932 — 1935 год) работала практически самостоятельно кварцевая лаборатория с мастерской, занимающейся серийным изготовлением кварцев. Все разработки институтов Остехуправления были обеспечены кварцами московского отделения Остехбюро. В 1942 — 1945 годах кварцевыми устройствами обеспечивалась аппаратура радиосвязи, поставляемая на фронт. Опыт изготовления кварцев институтом был передан ленинградскому радиозаводу, и впоследствии ряду заводов Министерства электронной промышленности. Именно в Остехбюро (НИИ-20) впервые была разработана кварцевая техника и освоена технология ее изготовления. Основные участники работ по кварцевой стабилизации: А.И.Деркач, Н.К.Коваленок, Е.Н.Калинский, Т.М.Михайлов, В.В.Шепелев, Л.И.Эфруси. В 1936 году А.И.Деркач был награжден орденом Красной Звезды. С самого начала деятельности физико — электротехнической части отдела волнового управления (ОВУ) в Остехбюро была создана особая лаборатория, в которой разрабатывались и силами этой же лаборатории изготавливались различной модификации опытных образцов приборов "А" и "У". Указанные приборы изготавливались довольно большими партиями. Передавались они другим лабораториям в закрытом и опечатанном виде для использования в радиомеханических системах. Приборы "А" и "У" предназначались для осуществления низкочастотной селекции сигналов в различных телемеханических системах. С помощью приборов генерировались используемые для формирования сигналов (команд) комбинации частот, которые передавались на моделирующие устройства радиостанций, применяемых на расстоянии. С помощью приборов "А", настроенных на те же комбинации частот, что и прибор "У", на управляемом объекте прибор "А" срабатывал и воздействовал на подключенное к нему релейное или другого типа устройство вторичной селекции, которое в свою очередь включало исполнительные цепи или механизмы управляемого объекта. Было разработано значительное количество шифров, используемых комбинаций частот. Приборы "А" и "У" применялись в управляемых по радио телетанках, телекатерах, телесамолетах; телефугасах (10737).</w:t>
      </w:r>
    </w:p>
    <w:p w14:paraId="779E5CC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5B37EF"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августа 1932 г. вышло постановление Совета Труда и Обороны, которым «Остехбюро» обязывалось организовать массовое производство приборов «А» и «У». Специально организованный для этой цели цех за 1933—1935 гг. выпустил 5000 приборов, которые леджали в основе систем телемеханического управления разработки «Остехбюро» - так называемых приборов «А» и «У», настроенных на одинаковые комбинации частот и предназначавшиеся для осуществления низкочастотной селекции сигналов. С помощью приборов генерировались используемые для формирования сигналов (команд) комбинации частот. При нажатии кнопки на пульте управления замыкалась соответствующая электроцепь, питающая приборы «У». Под действием питающего тока прибор «У» возбуждался и генерировал колебания в субмодуляторе (усилителе низких частот), которые передавались на модулирующие устройства передатчика. На управляемом объекте принятая приемником команда поступала в дешифратор с приборами «А». Прибор «А», настроенный на соответствующую комбинацию частот, возбуждаясь, подавал сигнал на реле, замыкающее цепь рабочего электромагнита. Электромагнит запускал секцию устройства вторичной селекции, которое расшифровывало принятый </w:t>
      </w:r>
      <w:r w:rsidRPr="00E93F40">
        <w:rPr>
          <w:rFonts w:ascii="Times New Roman" w:hAnsi="Times New Roman"/>
          <w:color w:val="000000" w:themeColor="text1"/>
          <w:sz w:val="16"/>
          <w:szCs w:val="16"/>
        </w:rPr>
        <w:lastRenderedPageBreak/>
        <w:t>сигнал и направляло его на соответствующее реле, которое в свою очередь включало исполнительные цепи или механизмы управляемого объекта. Те же принципы построения системы телеуправления использовались и много позже с изменениями комплектующих и схемных решений. Приборы «А» и «У» применялись в управляемых по радио телетанках, телекатерах, телесамолетах, телефугасах, составляя основной секрет шифратора и дешифратора (15722).</w:t>
      </w:r>
    </w:p>
    <w:p w14:paraId="737D9148"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333B5F9B" w14:textId="7E17A6A7" w:rsidR="00C34D7E" w:rsidRPr="00E93F40" w:rsidRDefault="00C34D7E" w:rsidP="00E93F40">
      <w:pPr>
        <w:pStyle w:val="ae"/>
        <w:spacing w:before="0" w:after="0"/>
        <w:jc w:val="both"/>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августа 1932</w:t>
      </w:r>
      <w:r w:rsidR="007C1411" w:rsidRPr="00E93F40">
        <w:rPr>
          <w:color w:val="000000" w:themeColor="text1"/>
          <w:sz w:val="16"/>
          <w:szCs w:val="16"/>
        </w:rPr>
        <w:t xml:space="preserve"> </w:t>
      </w:r>
      <w:r w:rsidRPr="00E93F40">
        <w:rPr>
          <w:color w:val="000000" w:themeColor="text1"/>
          <w:sz w:val="16"/>
          <w:szCs w:val="16"/>
        </w:rPr>
        <w:t>г. вышло постановление Совета труда и обороны, которым «Остехбюро» обязывалось организовать массовое производство приборов «А» и «У». Специально организованный для этой цели цех за 1933–1935</w:t>
      </w:r>
      <w:r w:rsidR="007C1411" w:rsidRPr="00E93F40">
        <w:rPr>
          <w:color w:val="000000" w:themeColor="text1"/>
          <w:sz w:val="16"/>
          <w:szCs w:val="16"/>
        </w:rPr>
        <w:t xml:space="preserve"> </w:t>
      </w:r>
      <w:r w:rsidRPr="00E93F40">
        <w:rPr>
          <w:color w:val="000000" w:themeColor="text1"/>
          <w:sz w:val="16"/>
          <w:szCs w:val="16"/>
        </w:rPr>
        <w:t>гг. выпустил 5000 таких приборов. А.А. Захаров работавший в цехе по производству радиофугасов вспоминал:</w:t>
      </w:r>
    </w:p>
    <w:p w14:paraId="07CF9F3E" w14:textId="7FB7F6AE" w:rsidR="00C34D7E" w:rsidRPr="00E93F40" w:rsidRDefault="00C34D7E" w:rsidP="00E93F40">
      <w:pPr>
        <w:pStyle w:val="ae"/>
        <w:spacing w:before="0" w:after="0"/>
        <w:jc w:val="both"/>
        <w:rPr>
          <w:color w:val="000000" w:themeColor="text1"/>
          <w:sz w:val="16"/>
          <w:szCs w:val="16"/>
        </w:rPr>
      </w:pPr>
      <w:r w:rsidRPr="00E93F40">
        <w:rPr>
          <w:color w:val="000000" w:themeColor="text1"/>
          <w:sz w:val="16"/>
          <w:szCs w:val="16"/>
        </w:rPr>
        <w:t>«Цех №</w:t>
      </w:r>
      <w:r w:rsidR="007C1411" w:rsidRPr="00E93F40">
        <w:rPr>
          <w:color w:val="000000" w:themeColor="text1"/>
          <w:sz w:val="16"/>
          <w:szCs w:val="16"/>
        </w:rPr>
        <w:t xml:space="preserve"> </w:t>
      </w:r>
      <w:r w:rsidRPr="00E93F40">
        <w:rPr>
          <w:color w:val="000000" w:themeColor="text1"/>
          <w:sz w:val="16"/>
          <w:szCs w:val="16"/>
        </w:rPr>
        <w:t>7 завода им. Казицкого был сверхсекретным. Охрану его осуществляла прикомандированная воинская часть. Вход в подразделения цеха был по особым пропускам (помимо заводского). Цех был большим, с замкнутым циклом производства, имел много мастерских, лабораторий, свое конструкторское подразделение. В цехе изготавливали т.</w:t>
      </w:r>
      <w:r w:rsidR="007C1411" w:rsidRPr="00E93F40">
        <w:rPr>
          <w:color w:val="000000" w:themeColor="text1"/>
          <w:sz w:val="16"/>
          <w:szCs w:val="16"/>
        </w:rPr>
        <w:t xml:space="preserve"> </w:t>
      </w:r>
      <w:r w:rsidRPr="00E93F40">
        <w:rPr>
          <w:color w:val="000000" w:themeColor="text1"/>
          <w:sz w:val="16"/>
          <w:szCs w:val="16"/>
        </w:rPr>
        <w:t>н. объект №</w:t>
      </w:r>
      <w:r w:rsidR="007C1411" w:rsidRPr="00E93F40">
        <w:rPr>
          <w:color w:val="000000" w:themeColor="text1"/>
          <w:sz w:val="16"/>
          <w:szCs w:val="16"/>
        </w:rPr>
        <w:t xml:space="preserve"> </w:t>
      </w:r>
      <w:r w:rsidRPr="00E93F40">
        <w:rPr>
          <w:color w:val="000000" w:themeColor="text1"/>
          <w:sz w:val="16"/>
          <w:szCs w:val="16"/>
        </w:rPr>
        <w:t>1: радиоустройство с часовым механизмом. Предназначалось оно для подземных взрывов по радиосигналу. Каждое устройство имело свою частоту, что требовало изготовления кварцев большой номенклатуры.</w:t>
      </w:r>
    </w:p>
    <w:p w14:paraId="431CD082" w14:textId="77777777" w:rsidR="00C34D7E" w:rsidRPr="00E93F40" w:rsidRDefault="00C34D7E" w:rsidP="00E93F40">
      <w:pPr>
        <w:pStyle w:val="ae"/>
        <w:spacing w:before="0" w:after="0"/>
        <w:jc w:val="both"/>
        <w:rPr>
          <w:color w:val="000000" w:themeColor="text1"/>
          <w:sz w:val="16"/>
          <w:szCs w:val="16"/>
        </w:rPr>
      </w:pPr>
      <w:r w:rsidRPr="00E93F40">
        <w:rPr>
          <w:color w:val="000000" w:themeColor="text1"/>
          <w:sz w:val="16"/>
          <w:szCs w:val="16"/>
        </w:rPr>
        <w:t>Приборы зарывались глубоко под землю на крупных объектах, и по радиосигналу от радиостанции, располагавшейся на станции Безымянка вблизи Куйбышева (Самары), производились взрывы. Во время войны эти взрывы приписывались партизанам.</w:t>
      </w:r>
    </w:p>
    <w:p w14:paraId="4377F3E7" w14:textId="145F10FD" w:rsidR="00C34D7E" w:rsidRPr="00E93F40" w:rsidRDefault="00C34D7E" w:rsidP="00E93F40">
      <w:pPr>
        <w:pStyle w:val="ae"/>
        <w:spacing w:before="0" w:after="0"/>
        <w:jc w:val="both"/>
        <w:rPr>
          <w:color w:val="000000" w:themeColor="text1"/>
          <w:sz w:val="16"/>
          <w:szCs w:val="16"/>
        </w:rPr>
      </w:pPr>
      <w:r w:rsidRPr="00E93F40">
        <w:rPr>
          <w:color w:val="000000" w:themeColor="text1"/>
          <w:sz w:val="16"/>
          <w:szCs w:val="16"/>
        </w:rPr>
        <w:t>Кроме объекта №</w:t>
      </w:r>
      <w:r w:rsidR="007C1411" w:rsidRPr="00E93F40">
        <w:rPr>
          <w:color w:val="000000" w:themeColor="text1"/>
          <w:sz w:val="16"/>
          <w:szCs w:val="16"/>
        </w:rPr>
        <w:t xml:space="preserve"> </w:t>
      </w:r>
      <w:r w:rsidRPr="00E93F40">
        <w:rPr>
          <w:color w:val="000000" w:themeColor="text1"/>
          <w:sz w:val="16"/>
          <w:szCs w:val="16"/>
        </w:rPr>
        <w:t>1 цех изготавливал радиоаппаратуру для авиации и флота. Для производства объекта №</w:t>
      </w:r>
      <w:r w:rsidR="007C1411" w:rsidRPr="00E93F40">
        <w:rPr>
          <w:color w:val="000000" w:themeColor="text1"/>
          <w:sz w:val="16"/>
          <w:szCs w:val="16"/>
        </w:rPr>
        <w:t xml:space="preserve"> </w:t>
      </w:r>
      <w:r w:rsidRPr="00E93F40">
        <w:rPr>
          <w:color w:val="000000" w:themeColor="text1"/>
          <w:sz w:val="16"/>
          <w:szCs w:val="16"/>
        </w:rPr>
        <w:t>1 были привлечены часовщики из многих городов страны. Работая на заводе им. Козицкого начальником 7-го цеха, &lt;я&gt; впервые побывал за границей – летом 1939 года уехал в научную командировку в США на фирму RCA в г. Кэмден штата Нью-Джерси».</w:t>
      </w:r>
    </w:p>
    <w:p w14:paraId="6BD4B53D" w14:textId="77777777" w:rsidR="00C34D7E" w:rsidRPr="00E93F40" w:rsidRDefault="00C34D7E" w:rsidP="00E93F40">
      <w:pPr>
        <w:pStyle w:val="ae"/>
        <w:spacing w:before="0" w:after="0"/>
        <w:jc w:val="both"/>
        <w:rPr>
          <w:color w:val="000000" w:themeColor="text1"/>
          <w:sz w:val="16"/>
          <w:szCs w:val="16"/>
        </w:rPr>
      </w:pPr>
      <w:r w:rsidRPr="00E93F40">
        <w:rPr>
          <w:color w:val="000000" w:themeColor="text1"/>
          <w:sz w:val="16"/>
          <w:szCs w:val="16"/>
        </w:rPr>
        <w:t>В дальнейшем была проведена разработка более дешевого телефугаса Б-9, который отличался от Ф-10 лишь структурой сигнала. Серийное производство телефугаса Б-9 было освоено заводом «Радиоприбор» (15736).</w:t>
      </w:r>
    </w:p>
    <w:p w14:paraId="5A39DA92" w14:textId="77777777" w:rsidR="00C34D7E" w:rsidRPr="00E93F40" w:rsidRDefault="00C34D7E" w:rsidP="00E93F40">
      <w:pPr>
        <w:pStyle w:val="ae"/>
        <w:spacing w:before="0" w:after="0"/>
        <w:jc w:val="both"/>
        <w:rPr>
          <w:color w:val="000000" w:themeColor="text1"/>
          <w:sz w:val="16"/>
          <w:szCs w:val="16"/>
        </w:rPr>
      </w:pPr>
    </w:p>
    <w:p w14:paraId="0E8660F4" w14:textId="77777777" w:rsidR="00F936E2" w:rsidRPr="00E93F40" w:rsidRDefault="00F936E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7 августа 1932 вышло постановления № 931/281сс, № 932/282сс и № 933/283сс РЗ СТО или КО (№ 1344/ко от 8.8.1932 г.) - О ценах на подлодки и танки, По обеспечению производства приборов А и У в 1933 и 1934 г.г. и О дополнительном строительстве по авиации в 1932 г. для обеспечения оргмероприятий первого периода 1933 г. (21564).</w:t>
      </w:r>
    </w:p>
    <w:p w14:paraId="54422F81"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78830527" w14:textId="77777777" w:rsidR="003E0F62" w:rsidRPr="00E93F40" w:rsidRDefault="003E0F6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7 августа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1126/263сс о приемке построенных дорог стратегического и оборонного значения (ГА РФ. Ф. Р?8418. Оп. 28. Д. 146. Л. 94) (12415).</w:t>
      </w:r>
    </w:p>
    <w:p w14:paraId="55699B82" w14:textId="77777777" w:rsidR="003E0F62" w:rsidRPr="00E93F40" w:rsidRDefault="003E0F6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931/281сс о ценах на подлодки и танки (ГА РФ. Ф. Р?8418. Оп. 28. Д. 1а. Л. 316) (12415).</w:t>
      </w:r>
    </w:p>
    <w:p w14:paraId="4F7FAB42" w14:textId="77777777" w:rsidR="003E0F62" w:rsidRPr="00E93F40" w:rsidRDefault="003E0F6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932/282сс по обеспечению производства приборов А и У в 1933 г. и 1934 г. (ГА РФ. Ф. Р-8418. Оп. 28. Д. 1а. Л. 317?318) (12415).</w:t>
      </w:r>
    </w:p>
    <w:p w14:paraId="6FD9E56E" w14:textId="77777777" w:rsidR="003E0F62" w:rsidRPr="00E93F40" w:rsidRDefault="003E0F6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933/283сс о дополнительном строительстве по авиации в 1932 г. для обеспечения оргмероприятий первого периода 1933 г. (ГА РФ. Ф. Р?8418. Оп. 28. Д. 1а. Л. 319) (12415).</w:t>
      </w:r>
    </w:p>
    <w:p w14:paraId="1543A0BA" w14:textId="77777777" w:rsidR="003E0F62" w:rsidRPr="00E93F40" w:rsidRDefault="003E0F62" w:rsidP="00E93F40">
      <w:pPr>
        <w:spacing w:after="0" w:line="240" w:lineRule="auto"/>
        <w:jc w:val="both"/>
        <w:rPr>
          <w:rFonts w:ascii="Times New Roman" w:hAnsi="Times New Roman"/>
          <w:color w:val="000000" w:themeColor="text1"/>
          <w:sz w:val="16"/>
          <w:szCs w:val="16"/>
          <w:u w:color="002060"/>
        </w:rPr>
      </w:pPr>
    </w:p>
    <w:p w14:paraId="5E79CB7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017FBAE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C30D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августа 1932 вышел указ о колосках (575,228) - Знаменитый указ "семь восемь" об охране соц. собственности, который колхозное имущество приравнял к государственному (226,422).</w:t>
      </w:r>
    </w:p>
    <w:p w14:paraId="18813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0B9D4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августа 1932 вышел Закон об охране собственности предприятий, колхозов и кооперативов и об укреплении общественной собственности, ужесточающий ответственность за его нарушение, вплоть до смертной казни (за крупные хищения) (4962).</w:t>
      </w:r>
    </w:p>
    <w:p w14:paraId="259DF6C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1074FD"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августа в 1932 году </w:t>
      </w:r>
      <w:hyperlink r:id="rId191" w:tgtFrame="_blank" w:history="1">
        <w:r w:rsidRPr="00E93F40">
          <w:rPr>
            <w:rFonts w:ascii="Times New Roman" w:hAnsi="Times New Roman"/>
            <w:color w:val="000000" w:themeColor="text1"/>
            <w:sz w:val="16"/>
            <w:szCs w:val="16"/>
          </w:rPr>
          <w:t>Постановление ЦИК СССР, СНК СССР от 07.08.1932 "Об охране имущества государственных предприятий, колхозов и кооперации и укреплении общественной (социалистической) собственности" (14976).</w:t>
        </w:r>
      </w:hyperlink>
    </w:p>
    <w:p w14:paraId="6A64DD72"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3A90442B"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августа в 1932 году закон об охране социалистической собственности ("закон о трех колосках"). Закон предусматривает расстрел с конфискацией всего имущества или высылку сроком на 10 лет за хищение колхозного и кооперативного имущества (14976).</w:t>
      </w:r>
    </w:p>
    <w:p w14:paraId="4B93F2B9"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05D3798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августа 1932 в СССР принят «закон о трех колосках», по которому кража колхозного имущества наказывалась смертной казнью (4962).</w:t>
      </w:r>
    </w:p>
    <w:p w14:paraId="1CE9ED1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3A26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августа 1932 вышел закон “Об охране имущества государственных предприятий, колхозов и кооперации и укреплении общественной (социалистической) собственности". По этому закону за хищение общественного имущества даже в незначительных размерах предусматривались драконовские меры, вплоть до расстрела. Однако судебные органы при рассмотрении дел о хищениях часто игнорировали этот закон и продолжали применять соответствующие статьи уголовных кодексов, которые не были отменены и предусматривали значительно более мягкое наказание. Так поступали суды Ленинградской области в девяти из десяти случаев рассмотрения уголовных дел о хищениях, суды Московской области в каждом втором случае. Когда же хищения квалифицировались по закону от 7 августа 1932 года, тысячи судей зачастую обращались к статье 51 УК РСФСР и соответствующим статьям уголовных кодексов союзных республик, которые давали право применять наказание ниже низшего предела (в данных случаях - менее 10 лет). Даже Вышинский счёл нужным призвать к "решительному отпору левацки настроенным администраторам", которые "готовы так и воспринять декрет 7 августа - расстрелять и баста! Или - побольше расстрелять да закатать в концлагери и дело в шляпе" (9492).</w:t>
      </w:r>
    </w:p>
    <w:p w14:paraId="32E15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45AF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августа 1932 г. ЦИК и СНК СССР приняли постановление "Об охране имущества государственных предприятий, колхозов и кооперации и укреплении общественной (социалистической) собственности". Расхищение госимущества рассматривается как политическое преступление. При отягчающих обстоятельствах постановление предусматривало применение высшей меры наказания, при смягчающих обстоятельствах - 10 лет лагерей (10303).</w:t>
      </w:r>
    </w:p>
    <w:p w14:paraId="515D40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683D99"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августа 1932 года принято Постановление ЦИК и СНК СССР от «Об охране имущества государственных предприятий, колхозов и кооперации и укреплении общественной (социалистической) собственности». После ознакомления с практикой применения закона появилось Постановление Политбюро от 1 февраля 1933 г. и изданное на его основе постановление Президиума ЦИК от 27 марта 1933 г., которые требовали прекратить практику привлечения к суду по закону от 7 августа "лиц, виновных в мелких единичных кражах общественной собственности, или трудящихся, совершивших кражи из нужды, по несознательности и при наличии других смягчающих обстоятельств" (21176).</w:t>
      </w:r>
    </w:p>
    <w:p w14:paraId="31100614"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0180B729" w14:textId="77777777" w:rsidR="00C34D7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1FF6401" w14:textId="77777777" w:rsidR="00C34D7E" w:rsidRPr="00E93F40" w:rsidRDefault="00C34D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DAC5879"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августа в 1932 году состоялся первый полет польского спортивного самолета </w:t>
      </w:r>
      <w:hyperlink r:id="rId192" w:tgtFrame="_blank" w:history="1">
        <w:r w:rsidRPr="00E93F40">
          <w:rPr>
            <w:rFonts w:ascii="Times New Roman" w:hAnsi="Times New Roman"/>
            <w:color w:val="000000" w:themeColor="text1"/>
            <w:sz w:val="16"/>
            <w:szCs w:val="16"/>
          </w:rPr>
          <w:t xml:space="preserve">«RWD-5». </w:t>
        </w:r>
      </w:hyperlink>
      <w:r w:rsidRPr="00E93F40">
        <w:rPr>
          <w:rFonts w:ascii="Times New Roman" w:hAnsi="Times New Roman"/>
          <w:color w:val="000000" w:themeColor="text1"/>
          <w:sz w:val="16"/>
          <w:szCs w:val="16"/>
        </w:rPr>
        <w:t>«RWD-5» - легкий спортивный самолет, разработанный инженерами Stanisaw Rogalski, Stanisaw Wigura и Jerzy Drzewiecki. Самолет стал дальнейшим развитием самолетов семейства «RWD-2-RWD-4». «RWD-5» стал одним из самых известных и популярных спортивных самолетов построенных в предвоенной Польше На «RWD-5bis» «SP-AJU» капитан Станислав Скаржинский 7-8 марта 1933 года первым из поляков выполнил перелет Варшава - Рио де Женейро дальностью 17855 км. Всего в течении 1933 - 37 годов было произведено 20 экземпляров самолета (14976).</w:t>
      </w:r>
    </w:p>
    <w:p w14:paraId="57CB04A7"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227E6DA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742A57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D1DC3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августа 1932 года начальник ВВС Алкснис писал председателю РВС (6779) О срыве полета на рекордную дальность по прямой из-за неготовности самолета и мотора:</w:t>
      </w:r>
    </w:p>
    <w:p w14:paraId="47F9B64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КО на ЦАГИ возложена постройка самолета на предельную дальность по прямой, причем срок готовности его август 1932 года. Состояние работ говорит, что он не выйдет в августе на аэродром. Пока закончено проектирование самолета. При самых ударных темпах работы по представлению ЦАГИ мотора М-34 не позднее августа 1932 года, последний может выйти на аэродром во второй половине сентября или начале октября 1932 года.</w:t>
      </w:r>
    </w:p>
    <w:p w14:paraId="51D246D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отсутствии серьезных дефектов в конструкции производства самолета и удовлетворительных результатах проверки эксплуатационной надежности мотора М-34, полет на дальность может быть осуществлен в лучшем случае в октябре, т.е. в период, когда метеорологические условия сильно усложняются и делают даже невозможным совершение такого полета (6779, 8).</w:t>
      </w:r>
    </w:p>
    <w:p w14:paraId="0AF390E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0B95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августа 1932 года врид начальника ОВТП НВ Сотников писал письмо № КБ/106 начальнику УВВС Алкснису</w:t>
      </w:r>
    </w:p>
    <w:p w14:paraId="00652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свое время я Вам докладывал, что за выполнением плана работ по заданиям ПУ РККА, разрабатываемым Осконпробюро (Гроховского), никто не следит и работы, стоимость которых УВВС уже оплатило проводятся без всякого технического контроля.</w:t>
      </w:r>
    </w:p>
    <w:p w14:paraId="446F64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июля Осконпробюро донесло Вам, что все объекты по заданиям ПУРа уже готовы для госиспытаний.</w:t>
      </w:r>
    </w:p>
    <w:p w14:paraId="006F6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до сих пор большая часть госиспытаний не проведена, а главное, до сих пор даже нет плана этих испытаний. При этом следует отметить, что 2 августа работники ОВТП два раза вызывались на испытания и оба раза испытания срывались. Точно также испытания назначенные на 8 августа не состоялись.</w:t>
      </w:r>
    </w:p>
    <w:p w14:paraId="4DE27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Докладывая изложенное выше, прошу Вашего распоряжения о более форсированном и четком проведении плана госиспытаний объектов разработанных Осконпробюро (7470, 337).</w:t>
      </w:r>
    </w:p>
    <w:p w14:paraId="03F7A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F50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августа 1932 года начальник ВВС Алкснис писал письмо N 36/01513с председателю РВС.</w:t>
      </w:r>
    </w:p>
    <w:p w14:paraId="4C41D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ЦК ВКП(б) и Совнаркома от 5.07.с.г. п. 11-ым предложено НКЛегкпрому под личную ответственность Любимова развернуть производство парашютов на имеющейся фабрике, чтобы обеспечить парашютами летный состав всей истребительной и тяжелобомбардировочной авиации не позднее 15 августа с.г. (ПЛ-200; ПН-2-800) и весь прочий летный состав не позднее 15 сентября с.г. (ПЛ-1521 и ПН-1575).</w:t>
      </w:r>
    </w:p>
    <w:p w14:paraId="162F59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Потребность на 15.09 в парашютах ПЛ и ПН равна 6255.</w:t>
      </w:r>
    </w:p>
    <w:p w14:paraId="31857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для тяжелой и истребительной авиации 2300.</w:t>
      </w:r>
    </w:p>
    <w:p w14:paraId="695532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Наличие парашютов ПЛ и ПН на 1.08.с.г. равно 3000 штук.</w:t>
      </w:r>
    </w:p>
    <w:p w14:paraId="04799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т.ч. в тяжелой и истребительной авиации - 2300 штук. (3045,278).</w:t>
      </w:r>
    </w:p>
    <w:p w14:paraId="46BA5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9333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августа 1932 года Логановский писал письмо [Кагановичу, Молотову, Ворошилову]</w:t>
      </w:r>
    </w:p>
    <w:p w14:paraId="082B6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3759B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Америке и в тайне же передавать их нам является прежде всего опасным для него и неприемлемым для нас, поскольку это поставило бы нас в положение нелояльности по отношению к Америке, он заявил, что таким образом его работа над изготовлением технических чертежей будет значительно затруднена, ибо он должен будет искать средств для оплаты необходимых расходов. Возможно ему удастся договориться с авиационной фирмой «Глен Мартин», у которой он долгое время работал и тогда он сможет в мастерских этой фирмы работать над чертежами.</w:t>
      </w:r>
    </w:p>
    <w:p w14:paraId="51D8AC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Преследований Правительства Гувера он не боится, ибо американские законы и значительное количество друзей дадут ему возможность работать и дальше спокойно. Он очень сожалеет, что не может договориться с нами, но все же уезжает в хорошем настроении, так как вынес из своего пребывания в Москве хорошее впечатление. В Америке, в зависимости от обстановки, он или заявит, что убедившись в искренности СССР в вопросах разоружения, всемерно, как инженер, будет помогать СССР продолжать взятую линию на разоружение, доказывая, что развитие военной техники ведет к гибели; или же он сообщит, что познакомил советских специалистов с идеей своего изобретения, дабы СССР мог это использовать в Женеве.</w:t>
      </w:r>
    </w:p>
    <w:p w14:paraId="0053B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лично считал бы необходимым, если это приемлемо для нас, поместить в нашей прессе сообщение по случае его отъезда, в котором сказать, что Барлоу во время пребывания в Москве ознакомил СССР с принципами своего изобретения и что мы, ограничились только этим, предложили ему вернуться обратно в Америку и передать американскому Правительству детали своего изобретения. Я указал ему на нецелесообразность этого предложения, с чем он согласился. Я также деликатно отклонил его предложение о предоставлении ему возможности ознакомиться с типами наших воздушных бомб и он больше на этом не настаивал.</w:t>
      </w:r>
    </w:p>
    <w:p w14:paraId="25C73E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Москвы он выезжает 10 августа и, как было условлено еще в Америке, мы покрываем ему расходы по этой поездке. При уходе он еще раз заверил в искренности своих намерений по отношению к нам и подчеркивал, что искал только нормальной поддержки и что мы скоро сможем убедиться в его искренности по его дальнейшей деятельности (3553,24-26).</w:t>
      </w:r>
    </w:p>
    <w:p w14:paraId="67A29FAD" w14:textId="77777777" w:rsidR="003E0F62" w:rsidRPr="00E93F40" w:rsidRDefault="003E0F62" w:rsidP="00E93F40">
      <w:pPr>
        <w:autoSpaceDE w:val="0"/>
        <w:autoSpaceDN w:val="0"/>
        <w:adjustRightInd w:val="0"/>
        <w:spacing w:after="0" w:line="240" w:lineRule="auto"/>
        <w:jc w:val="both"/>
        <w:rPr>
          <w:rFonts w:ascii="Times New Roman" w:hAnsi="Times New Roman"/>
          <w:color w:val="000000" w:themeColor="text1"/>
          <w:sz w:val="16"/>
          <w:szCs w:val="16"/>
        </w:rPr>
      </w:pPr>
    </w:p>
    <w:p w14:paraId="3ECBC9D3" w14:textId="77777777" w:rsidR="007C1411"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августа 1932 г. инженер комиссии минных опытов НКТМ С.Ф. Валк в докладной записке началь</w:t>
      </w:r>
      <w:r w:rsidRPr="00E93F40">
        <w:rPr>
          <w:rFonts w:ascii="Times New Roman" w:hAnsi="Times New Roman"/>
          <w:color w:val="000000" w:themeColor="text1"/>
          <w:sz w:val="16"/>
          <w:szCs w:val="16"/>
        </w:rPr>
        <w:softHyphen/>
        <w:t>нику Морских сия РККА предложил использование несущего крыла для доставки торпеды на конечном отрезке пути к це</w:t>
      </w:r>
      <w:r w:rsidRPr="00E93F40">
        <w:rPr>
          <w:rFonts w:ascii="Times New Roman" w:hAnsi="Times New Roman"/>
          <w:color w:val="000000" w:themeColor="text1"/>
          <w:sz w:val="16"/>
          <w:szCs w:val="16"/>
        </w:rPr>
        <w:softHyphen/>
        <w:t>ли и принципы наведения на цель при помощи инфра</w:t>
      </w:r>
      <w:r w:rsidRPr="00E93F40">
        <w:rPr>
          <w:rFonts w:ascii="Times New Roman" w:hAnsi="Times New Roman"/>
          <w:color w:val="000000" w:themeColor="text1"/>
          <w:sz w:val="16"/>
          <w:szCs w:val="16"/>
        </w:rPr>
        <w:softHyphen/>
        <w:t>красных лучей. Предложе</w:t>
      </w:r>
      <w:r w:rsidRPr="00E93F40">
        <w:rPr>
          <w:rFonts w:ascii="Times New Roman" w:hAnsi="Times New Roman"/>
          <w:color w:val="000000" w:themeColor="text1"/>
          <w:sz w:val="16"/>
          <w:szCs w:val="16"/>
        </w:rPr>
        <w:softHyphen/>
        <w:t>ние поддержал Начальник вооружений РККА М.Н.Тухачевский, и с 1933 г. реализация данного направле</w:t>
      </w:r>
      <w:r w:rsidRPr="00E93F40">
        <w:rPr>
          <w:rFonts w:ascii="Times New Roman" w:hAnsi="Times New Roman"/>
          <w:color w:val="000000" w:themeColor="text1"/>
          <w:sz w:val="16"/>
          <w:szCs w:val="16"/>
        </w:rPr>
        <w:softHyphen/>
        <w:t>ния началась в Научно-исследовательском морском институте связи (НИМИС) в Ленинграде, в специаль</w:t>
      </w:r>
      <w:r w:rsidRPr="00E93F40">
        <w:rPr>
          <w:rFonts w:ascii="Times New Roman" w:hAnsi="Times New Roman"/>
          <w:color w:val="000000" w:themeColor="text1"/>
          <w:sz w:val="16"/>
          <w:szCs w:val="16"/>
        </w:rPr>
        <w:softHyphen/>
        <w:t>но созданной лаборатории №22. В дальнейшем рабо</w:t>
      </w:r>
      <w:r w:rsidRPr="00E93F40">
        <w:rPr>
          <w:rFonts w:ascii="Times New Roman" w:hAnsi="Times New Roman"/>
          <w:color w:val="000000" w:themeColor="text1"/>
          <w:sz w:val="16"/>
          <w:szCs w:val="16"/>
        </w:rPr>
        <w:softHyphen/>
        <w:t>ты велись Научно-исследовательским минно-торпед</w:t>
      </w:r>
      <w:r w:rsidRPr="00E93F40">
        <w:rPr>
          <w:rFonts w:ascii="Times New Roman" w:hAnsi="Times New Roman"/>
          <w:color w:val="000000" w:themeColor="text1"/>
          <w:sz w:val="16"/>
          <w:szCs w:val="16"/>
        </w:rPr>
        <w:softHyphen/>
        <w:t>ным институтом Наркомата Военно-морского флота (НИМТИ НКВМФ) в специализированном КБ-21. С конца 1937 г. все работы по доводке систем сосредо</w:t>
      </w:r>
      <w:r w:rsidRPr="00E93F40">
        <w:rPr>
          <w:rFonts w:ascii="Times New Roman" w:hAnsi="Times New Roman"/>
          <w:color w:val="000000" w:themeColor="text1"/>
          <w:sz w:val="16"/>
          <w:szCs w:val="16"/>
        </w:rPr>
        <w:softHyphen/>
        <w:t>точили на заводе №379, размещенном в Кречевицах. Там же занимались проблемой телемеханического са</w:t>
      </w:r>
      <w:r w:rsidRPr="00E93F40">
        <w:rPr>
          <w:rFonts w:ascii="Times New Roman" w:hAnsi="Times New Roman"/>
          <w:color w:val="000000" w:themeColor="text1"/>
          <w:sz w:val="16"/>
          <w:szCs w:val="16"/>
        </w:rPr>
        <w:softHyphen/>
        <w:t>молета (самолет-летающая бомба) (23378).</w:t>
      </w:r>
    </w:p>
    <w:p w14:paraId="2B0A7A6C" w14:textId="77777777" w:rsidR="007C1411" w:rsidRPr="00E93F40" w:rsidRDefault="007C1411" w:rsidP="00E93F40">
      <w:pPr>
        <w:spacing w:after="0" w:line="240" w:lineRule="auto"/>
        <w:jc w:val="both"/>
        <w:rPr>
          <w:rFonts w:ascii="Times New Roman" w:hAnsi="Times New Roman"/>
          <w:color w:val="000000" w:themeColor="text1"/>
          <w:sz w:val="16"/>
          <w:szCs w:val="16"/>
        </w:rPr>
      </w:pPr>
    </w:p>
    <w:p w14:paraId="64D4ACFA" w14:textId="77777777" w:rsidR="003E0F62"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DFCD9B2" w14:textId="77777777" w:rsidR="003E0F62" w:rsidRPr="00E93F40" w:rsidRDefault="003E0F6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386A90" w14:textId="77777777" w:rsidR="003E0F62" w:rsidRPr="00E93F40" w:rsidRDefault="003E0F62"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8 августа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111. 19. О состоянии запасов сырья для алюминиевого комбината в Закавказье (ПБ от 16 мая 1932 г., пр. № 100, п. 29, из прил. п. 3). 23. О снабжении качественной сталью автотракторной промышленности (Постышев, Пятаков). 27. О реконструкции уральских металлургических заводов (ПБ от 1 апреля 1932 г., пр. № 94, п. 8). 32. О распределении территории и акватории Владивостокского порта (Постышев). (Политбюро... Т. 2. С. 337) (12416).</w:t>
      </w:r>
    </w:p>
    <w:p w14:paraId="275CFB8B" w14:textId="77777777" w:rsidR="003E0F62" w:rsidRPr="00E93F40" w:rsidRDefault="003E0F62" w:rsidP="00E93F40">
      <w:pPr>
        <w:spacing w:after="0" w:line="240" w:lineRule="auto"/>
        <w:jc w:val="both"/>
        <w:rPr>
          <w:rFonts w:ascii="Times New Roman" w:hAnsi="Times New Roman"/>
          <w:color w:val="000000" w:themeColor="text1"/>
          <w:sz w:val="16"/>
          <w:szCs w:val="16"/>
          <w:u w:color="002060"/>
        </w:rPr>
      </w:pPr>
    </w:p>
    <w:p w14:paraId="352AC642"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августа 1932</w:t>
      </w:r>
    </w:p>
    <w:p w14:paraId="4504A5BF" w14:textId="3135849A"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111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5E576D12" w14:textId="455D1895"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8</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5B003FD4" w14:textId="48350FBD"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 О переносе строительства заводов из Москвы в другие пункты</w:t>
      </w:r>
    </w:p>
    <w:p w14:paraId="339D7E42" w14:textId="55767FD6"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23.VII.32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109,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ЗЗ).</w:t>
      </w:r>
    </w:p>
    <w:p w14:paraId="3C018670"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(Антипов).</w:t>
      </w:r>
    </w:p>
    <w:p w14:paraId="218F5613"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Разрешить Наркомтяжу закончить следующие заводы:</w:t>
      </w:r>
    </w:p>
    <w:p w14:paraId="12E5D326"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радио-городку:</w:t>
      </w:r>
    </w:p>
    <w:p w14:paraId="15E20DC8" w14:textId="73BA7B39"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Завод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сигнализации и авто-блокировки с количеством работающих при полном развороте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4.100 и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w:t>
      </w:r>
    </w:p>
    <w:p w14:paraId="1C37753E" w14:textId="0861212A"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Завод сложной радио-аппаратуры с количеством работающих при полном развороте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6.500 и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w:t>
      </w:r>
    </w:p>
    <w:p w14:paraId="16999F39"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Наркомтяжпром к моменту окончания строительства заводов обеспечить полностью коммунальными услугами весь состав рабочих и служащих указанных заводов.</w:t>
      </w:r>
    </w:p>
    <w:p w14:paraId="1E7DFD10"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Моссовет снабдить указанное строительство местными стройматериалами.</w:t>
      </w:r>
    </w:p>
    <w:p w14:paraId="626220DB"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Поручить Наркомтяжу в 15</w:t>
      </w:r>
      <w:r w:rsidRPr="00E93F40">
        <w:rPr>
          <w:rFonts w:ascii="Times New Roman" w:hAnsi="Times New Roman"/>
          <w:color w:val="000000" w:themeColor="text1"/>
          <w:sz w:val="16"/>
          <w:szCs w:val="16"/>
        </w:rPr>
        <w:noBreakHyphen/>
        <w:t>дневный срок представить на утверждение ЦК ВКП(б) проект размещения остальных заводов.</w:t>
      </w:r>
    </w:p>
    <w:p w14:paraId="69936DCA"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электро-городку: Аппаратный, Трансформаторный, Ртутных выпрямителей, завод штампов и приспособлений, Арматурный, Прожекторный завод, завод “Иэолит” и Ламповый.</w:t>
      </w:r>
    </w:p>
    <w:p w14:paraId="57E7BE5D"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радио-городку: Радио-Лампа, Радио любительской аппаратуры и завод точной механики.</w:t>
      </w:r>
    </w:p>
    <w:p w14:paraId="707EE9C6" w14:textId="292726B5"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В связи с решением ПБ о строительстве трансформаторного завода в составе уральского Электромашиностроительного комбината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предложить НКТП в 2</w:t>
      </w:r>
      <w:r w:rsidRPr="00E93F40">
        <w:rPr>
          <w:rFonts w:ascii="Times New Roman" w:hAnsi="Times New Roman"/>
          <w:color w:val="000000" w:themeColor="text1"/>
          <w:sz w:val="16"/>
          <w:szCs w:val="16"/>
        </w:rPr>
        <w:noBreakHyphen/>
        <w:t>декадный срок проработать вопрос о целесообразности строительства трансформаторного завода в составе электро-городка.</w:t>
      </w:r>
    </w:p>
    <w:p w14:paraId="4FDB31A9"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(18131).</w:t>
      </w:r>
    </w:p>
    <w:p w14:paraId="270D0D6B" w14:textId="77777777" w:rsidR="00AA089E" w:rsidRPr="00E93F40" w:rsidRDefault="00AA089E" w:rsidP="00E93F40">
      <w:pPr>
        <w:spacing w:after="0" w:line="240" w:lineRule="auto"/>
        <w:jc w:val="both"/>
        <w:rPr>
          <w:rFonts w:ascii="Times New Roman" w:hAnsi="Times New Roman"/>
          <w:color w:val="000000" w:themeColor="text1"/>
          <w:sz w:val="16"/>
          <w:szCs w:val="16"/>
        </w:rPr>
      </w:pPr>
    </w:p>
    <w:p w14:paraId="3AC8805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8F135F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4F8A32"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августа 1932 состоялось заседание ПБ (Протокол № 111) </w:t>
      </w:r>
    </w:p>
    <w:p w14:paraId="50758D69"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Вопрос т. Эйхе.</w:t>
      </w:r>
    </w:p>
    <w:p w14:paraId="48BEDF8B"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Оставить в распоряжении Западной Сибири 4 1/2 тыс. зак</w:t>
      </w:r>
      <w:r w:rsidRPr="00E93F40">
        <w:rPr>
          <w:rFonts w:ascii="Times New Roman" w:hAnsi="Times New Roman"/>
          <w:color w:val="000000" w:themeColor="text1"/>
          <w:sz w:val="16"/>
          <w:szCs w:val="16"/>
        </w:rPr>
        <w:softHyphen/>
        <w:t>люченных для работ в Кузнецком бассейне.</w:t>
      </w:r>
    </w:p>
    <w:p w14:paraId="5D92AEA3"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Поручить т.т. Ягоде и Крыленко договориться о возмож</w:t>
      </w:r>
      <w:r w:rsidRPr="00E93F40">
        <w:rPr>
          <w:rFonts w:ascii="Times New Roman" w:hAnsi="Times New Roman"/>
          <w:color w:val="000000" w:themeColor="text1"/>
          <w:sz w:val="16"/>
          <w:szCs w:val="16"/>
        </w:rPr>
        <w:softHyphen/>
        <w:t>ности взамен этой рабсилы дать 5 тыс. Магнитогорску из дру</w:t>
      </w:r>
      <w:r w:rsidRPr="00E93F40">
        <w:rPr>
          <w:rFonts w:ascii="Times New Roman" w:hAnsi="Times New Roman"/>
          <w:color w:val="000000" w:themeColor="text1"/>
          <w:sz w:val="16"/>
          <w:szCs w:val="16"/>
        </w:rPr>
        <w:softHyphen/>
        <w:t>гих районов.</w:t>
      </w:r>
    </w:p>
    <w:p w14:paraId="5F428691"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Ягоде, Крыленко, Менжинскому, Эйхе; Запсибкрайкому (шифром) (22056).</w:t>
      </w:r>
    </w:p>
    <w:p w14:paraId="16316356"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18B132A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августа 1932 в СССР разрешен труд женщин на шахтах (4962).</w:t>
      </w:r>
    </w:p>
    <w:p w14:paraId="60F21C2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2E969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D545FA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E62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9 августа 1932 года начальник Авиатреста Кошелев и нач. самол. группы Кузьмин-Караваев писали письмо N 807 начальнику 3 управления УВВС.</w:t>
      </w:r>
    </w:p>
    <w:p w14:paraId="101890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локальному договору УВВС с з-дом N 43 на постройку 10 автожиров 4-ЭА были установлены следующие сроки выпуска этих машин:</w:t>
      </w:r>
    </w:p>
    <w:p w14:paraId="19689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1-я головная машина к 1/IX-32 г.</w:t>
      </w:r>
    </w:p>
    <w:p w14:paraId="5D75E3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машины к 1/Х-32 г.</w:t>
      </w:r>
    </w:p>
    <w:p w14:paraId="0E930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машин к 1/XI-32 г.</w:t>
      </w:r>
    </w:p>
    <w:p w14:paraId="38F045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необходимо поставить вопрос о пересмотре сроков выпуска автожиров 4-ЭА в сторону их удлинения.</w:t>
      </w:r>
    </w:p>
    <w:p w14:paraId="74B49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Срок выпуска головной машины остается в силе, машина к этому сроку будет готова и сможет выполнить задания УВВС.</w:t>
      </w:r>
    </w:p>
    <w:p w14:paraId="502BB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Срок следующих 4-х машин необходимо перенести на 1.12.32 г.</w:t>
      </w:r>
    </w:p>
    <w:p w14:paraId="38A1E8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Выпуск остальных пяти аппаратов перенести на 1.01.33 г. (3065,117).</w:t>
      </w:r>
    </w:p>
    <w:p w14:paraId="366FD8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C436E4"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9 августа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936/285сс об отсрочках представления технических проектов по объектам строительства заводов военной, авиационной и гражданской узкооборонного значения промышленности (ГА РФ. Ф. Р?8418. Оп. 28. Д. 1а. Л. 320?324) (12415).</w:t>
      </w:r>
    </w:p>
    <w:p w14:paraId="317ACA28"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p>
    <w:p w14:paraId="1CC46796" w14:textId="77777777" w:rsidR="00F936E2" w:rsidRPr="00E93F40" w:rsidRDefault="00F936E2"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9 августа 1932 вышло постановление № 936/285сс РЗ СТО или КО (№ 1350/ко от 9.8.1932 г.) - Об отсрочках представления технических проектов по объектам строительства заводов военной, авиационной и гражданской узко-оборонного значения промышленности (21564).</w:t>
      </w:r>
    </w:p>
    <w:p w14:paraId="35C6A735"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4EAA27C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0C5404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A3EE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августа 1932 в Германии вышел декрет о введении чрезвычайных судов и смертной казни за участие в вооруженных столкновениях, который был направлен против фашистов (3186).</w:t>
      </w:r>
    </w:p>
    <w:p w14:paraId="3B79E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5C6B9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A995C0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6D1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августа 1932 были представлены техтребования (предварит.) к самолету П3-М52 (7415, 16).</w:t>
      </w:r>
    </w:p>
    <w:p w14:paraId="0BDB9A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C847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10-20 августа 1932 первый самолет И-5, произведенный на заводе № 21 за № 2101 он был испытан в воздухе и отправлен в в/ч.</w:t>
      </w:r>
    </w:p>
    <w:p w14:paraId="5863C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И-5 с М-22 в 1932 году вошел в серию.</w:t>
      </w:r>
    </w:p>
    <w:p w14:paraId="06DD46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второй половины 1934 года завод продолжал выпуск серийного самолета И-5 с М-22 и одновременно осваивает и изготовляет в короткие сроки две головных машины ХАИ-1.</w:t>
      </w:r>
    </w:p>
    <w:p w14:paraId="71D6E6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втором полугодии освоено производство и введена в изготовление новая машина И-16 с М-22. В 1935 году завод полностью перешел на серийный выпуск самолетов И-16 с М-22. Одновременно с этим осовен производством самолет И-16 с М-25, спроектирован и освоен производством учебно-тренировочный самолет УТИ-2 с М-22. В 1936-40 гг. завод успешно внедряет в производство и выпускает самолеты И-16 разных вариантов и модификаций, типы: 5, 10, 12, 15, 17, 18, 19, 24, 25, 27, 28, 29. В 1941 году внедрен в серийное производство самолет ЛАГГ-3, изготовление которого в виде типов 31, 33 продолжалось и весь 1942 год. В 1942 году одновременно с производством ЛАГГ-3 осваивается и запускается в серийное производство самолет ЛА-5 (тип 37). В 1943-1944 гг. завод изготовляет самолеты ЛА-5 разных модификаций, типы: 37, 39, 41, 43. В 1944 году осуществляется переход на самолеты ЛА-7 (тип 45), производство которых продолжается весь 1945 год и заканчивается в 1946 году В 1946 году заводом освоен и осуществлен переход на производство нового самолета ЛА-9 (тип 49), т.е. с конструкции в основном деревянной на металлическую. Кроме серийной машины заводом в течение одного месяца успешно проведена подготовка производства и собраны три самолета типа 150. В 1947 году завод освоил в серийном производстве цельнометаллический самолет ЛА-9 (типа 48); подготовил производство и освоил в серии новый самолет ЛА-11 (тип 51). В 1949 году был введен в серию самолет ЛА-15 (тип 52), а затем был осуществлен переход на производство самолета МИГ-15. В 1950 году завод организовал выпуск новых самолетов МИГ-15 бис (тип 53) и возобновил производство самолетов ЛА-11 (тип 51), законченных производством в первом квартале 1949 года. В 1951 году помимо основных типов самолетов МИГ-15 бис (тип 53) и ЛА-11 (тип 51) завод по заданию Правительства освоил серийное производство самолета МИГ-15р-бис (тип 55) и организовал подготовку производства к серийному выпуску самолета МИГ-17 (тип 54). В 1952 году завод имел в производстве три типа машин: МИГ-15 бис (тип 53), МИГ-15р-бис (тип 55), МИГ-17 (тип 54) и одновременно осовил для серийного производства новое изделие – самолет МИГ-17П (тип 57). В 1953 году завод имел в производстве два типа машины: МИГ-17 (тип 54) и МИГ-17П (тип 57) и одновременно освоил самолет МИГ-17ПФ (тип 58), который в сентябре 1953 года был запущен в серийное производство. В 1954 году продолжается производство трех типов самолетов: МИГ-17 (тип 54), МИГ-17П (тип 57) и МИГ-17ПФ (тип 58) и одновременно осваивается производство самолета МИГ-19 (тип 59). В 1955 году перед заводом были поставлены задачи: продолжить производство самолетов МИГ-17 ПФ (тип 58), освоить и организовать серийное производство самолетов МИГ-19 (тип 59) с двумя двигателями РД-9Б.</w:t>
      </w:r>
    </w:p>
    <w:p w14:paraId="5C51D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этого освоить и изготовить самолеты МИГ-19 в модификациях:</w:t>
      </w:r>
    </w:p>
    <w:p w14:paraId="4A79B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 управлением стабилизатором и 30 мм пушками</w:t>
      </w:r>
    </w:p>
    <w:p w14:paraId="39ECC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оборудованные системой «К-5» и станцией «Изумруд»</w:t>
      </w:r>
    </w:p>
    <w:p w14:paraId="4B7CCB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 станцией «Изумруд-5», с 30 мм пушками и управляемым стабилизатором.</w:t>
      </w:r>
    </w:p>
    <w:p w14:paraId="0D8D4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1956 году перед заводом были поставлены следующие задачи:</w:t>
      </w:r>
    </w:p>
    <w:p w14:paraId="7EE0B2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продолжить производство самолетов МИГ-19 (тип 59)</w:t>
      </w:r>
    </w:p>
    <w:p w14:paraId="0D236A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изготовить опытную партию самолетов МИГ-19 (тип 60 и 60М)</w:t>
      </w:r>
    </w:p>
    <w:p w14:paraId="22ABAA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освоить производством самолет МИГ-19С (тип 61) в различных модификациях</w:t>
      </w:r>
    </w:p>
    <w:p w14:paraId="2EC1EF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освоить и организовать серийное производство самолетов МИГ-19П (тип 62) и различных модификациях</w:t>
      </w:r>
    </w:p>
    <w:p w14:paraId="610714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подготовить производство к выпуску в 1957 году опытной партии новых сверхзвуковых истребителей МИГ-23 (тип 63)</w:t>
      </w:r>
    </w:p>
    <w:p w14:paraId="67B3DC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освоить и организовать серийное производство радиоуправляемых самолетов мишеней конструкции ЛА-17 (изделие 201).</w:t>
      </w:r>
    </w:p>
    <w:p w14:paraId="7A125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Горький, Сормовский район</w:t>
      </w:r>
    </w:p>
    <w:p w14:paraId="2C86C6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Производственный профиль – самолетостроительный В 1957 году завод решал следующие задачи:</w:t>
      </w:r>
    </w:p>
    <w:p w14:paraId="4970A1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продолжал серийное производство самолетов МИГ-19П (тип 62) с двумя двигателями РД-9Б в различных модификациях</w:t>
      </w:r>
    </w:p>
    <w:p w14:paraId="00F55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изготовил опытную партию сверхзвуковых самолетов МИГ-23 с двигателем РД-11 (тип 63)</w:t>
      </w:r>
    </w:p>
    <w:p w14:paraId="5EAB7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изготовил опытный сверхзвуковой самолет Е-50А с основным двигателем РД-11 и дополнительным жидкостным реактивным двигателем С-155</w:t>
      </w:r>
    </w:p>
    <w:p w14:paraId="745443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продолжал серийное производство радиоуправляемых самолетов-мишеней РУМ-ЛА-17 с двигателем РД-900 (изделие 201) (9752).</w:t>
      </w:r>
    </w:p>
    <w:p w14:paraId="5F9F4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A92116"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10 августа (по другим источникам 11 августа) 1932 года летчик завода Т.С.Жуков поднял над заводским аэродромом в первый полет И-5 №2101.</w:t>
      </w:r>
    </w:p>
    <w:p w14:paraId="6D671B56"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Объем летных сдаточных испытаний был простейшим по сравнению с объемом испытаний современных самолетов. Технические условия на самолет И-5 предусматривали выполнение:</w:t>
      </w:r>
    </w:p>
    <w:p w14:paraId="2790A3FC" w14:textId="77777777" w:rsidR="00F936E2" w:rsidRPr="00E93F40" w:rsidRDefault="00F936E2" w:rsidP="00E93F40">
      <w:pPr>
        <w:widowControl w:val="0"/>
        <w:tabs>
          <w:tab w:val="left" w:pos="173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а) определение скороподъемности на высоту 5000 м;</w:t>
      </w:r>
    </w:p>
    <w:p w14:paraId="72EFCA31" w14:textId="77777777" w:rsidR="00F936E2" w:rsidRPr="00E93F40" w:rsidRDefault="00F936E2" w:rsidP="00E93F40">
      <w:pPr>
        <w:widowControl w:val="0"/>
        <w:tabs>
          <w:tab w:val="left" w:pos="285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б) проверка управляемости с выполнением фигур:</w:t>
      </w:r>
    </w:p>
    <w:p w14:paraId="742CBD39" w14:textId="77777777" w:rsidR="00F936E2" w:rsidRPr="00E93F40" w:rsidRDefault="00F936E2" w:rsidP="00E93F40">
      <w:pPr>
        <w:widowControl w:val="0"/>
        <w:tabs>
          <w:tab w:val="left" w:pos="132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мертвая петля одинарная;</w:t>
      </w:r>
    </w:p>
    <w:p w14:paraId="7364249F" w14:textId="77777777" w:rsidR="00F936E2" w:rsidRPr="00E93F40" w:rsidRDefault="00F936E2" w:rsidP="00E93F40">
      <w:pPr>
        <w:widowControl w:val="0"/>
        <w:tabs>
          <w:tab w:val="left" w:pos="132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штопор 3 витка;</w:t>
      </w:r>
    </w:p>
    <w:p w14:paraId="63DDDDC6" w14:textId="77777777" w:rsidR="00F936E2" w:rsidRPr="00E93F40" w:rsidRDefault="00F936E2" w:rsidP="00E93F40">
      <w:pPr>
        <w:widowControl w:val="0"/>
        <w:tabs>
          <w:tab w:val="left" w:pos="132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вираж правый и левый;</w:t>
      </w:r>
    </w:p>
    <w:p w14:paraId="5191D211" w14:textId="77777777" w:rsidR="00F936E2" w:rsidRPr="00E93F40" w:rsidRDefault="00F936E2" w:rsidP="00E93F40">
      <w:pPr>
        <w:widowControl w:val="0"/>
        <w:tabs>
          <w:tab w:val="left" w:pos="285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проверка действия приборов в полете по прямой.</w:t>
      </w:r>
    </w:p>
    <w:p w14:paraId="6234A78C"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На одном самолете из ста предусматривалось выполнение расширенного объема испытаний с дополнительными проверками:</w:t>
      </w:r>
    </w:p>
    <w:p w14:paraId="190C89BE" w14:textId="77777777" w:rsidR="00F936E2" w:rsidRPr="00E93F40" w:rsidRDefault="00F936E2" w:rsidP="00E93F40">
      <w:pPr>
        <w:widowControl w:val="0"/>
        <w:tabs>
          <w:tab w:val="left" w:pos="133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взвешивание самолета пустого и загруженного до полетного веса с определением центра тяжести;</w:t>
      </w:r>
    </w:p>
    <w:p w14:paraId="110CF65F" w14:textId="77777777" w:rsidR="00F936E2" w:rsidRPr="00E93F40" w:rsidRDefault="00F936E2" w:rsidP="00E93F40">
      <w:pPr>
        <w:widowControl w:val="0"/>
        <w:tabs>
          <w:tab w:val="left" w:pos="128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определение минимальной, средней и максимальной скоростей в полете на километровом отрезке у земли на Н=100м;</w:t>
      </w:r>
    </w:p>
    <w:p w14:paraId="395464C4" w14:textId="77777777" w:rsidR="00F936E2" w:rsidRPr="00E93F40" w:rsidRDefault="00F936E2" w:rsidP="00E93F40">
      <w:pPr>
        <w:widowControl w:val="0"/>
        <w:tabs>
          <w:tab w:val="left" w:pos="133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полет на потолок;</w:t>
      </w:r>
    </w:p>
    <w:p w14:paraId="75AA8D44" w14:textId="77777777" w:rsidR="00F936E2" w:rsidRPr="00E93F40" w:rsidRDefault="00F936E2" w:rsidP="00E93F40">
      <w:pPr>
        <w:widowControl w:val="0"/>
        <w:tabs>
          <w:tab w:val="left" w:pos="133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определение пробега и разбега.</w:t>
      </w:r>
    </w:p>
    <w:p w14:paraId="2AFA5048"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Сведений о том, выполнялись ли на первом расширенном объеме, не сохранилось. По крайней мере, серьезных дефектов в первом полете выявлено не было. Отсутствие опыта и организованности в работе не позволяли вплоть до 23 августа устранить мелкие дефекты по первому самолету, пристрелять пулеметы, выполнить наружную отделку фюзеляжа. Крупная неприятность произошла 31 августа при пристрелке пулеметов после облета, когда из-за брака в изготовлении пристрелочного диска произошла деформация моторамы (21100).</w:t>
      </w:r>
    </w:p>
    <w:p w14:paraId="5FE6A741" w14:textId="77777777" w:rsidR="00F936E2" w:rsidRPr="00E93F40" w:rsidRDefault="00F936E2" w:rsidP="00E93F40">
      <w:pPr>
        <w:spacing w:after="0" w:line="240" w:lineRule="auto"/>
        <w:jc w:val="both"/>
        <w:rPr>
          <w:rFonts w:ascii="Times New Roman" w:hAnsi="Times New Roman"/>
          <w:color w:val="000000" w:themeColor="text1"/>
          <w:sz w:val="16"/>
          <w:szCs w:val="16"/>
          <w:lang w:eastAsia="ru-RU" w:bidi="ru-RU"/>
        </w:rPr>
      </w:pPr>
    </w:p>
    <w:p w14:paraId="7D4AC26D" w14:textId="77777777" w:rsidR="00017AF5" w:rsidRPr="00E93F40" w:rsidRDefault="00017AF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10 августа 1932 г. Наркомвоенмор и Председатель РВС СССР тов ВОРОШИЛОВ заинтересовался предложением инженеров САМСОНОВА и ДОБРОВОЛЬСКОГО «Самолёт-амфибия-танк» и приказал дать ему движение. Рядом совещаний у Зампреда РВС СССР т. ТУХАЧЕВСКОГО, Нач. ВВС т. АЛКСНИСА, нач. УММ т. ХАЛЕПСКОГО признано особое значение данного предложения для обороны и целесообразность его реализации. Для этой цели дело было передано ГУАП’у и покойный Начальник ГУАП тов. БАРАНОВ дал обещание лично продвигать это дело. Помощник нового начальника ГУАП Королева т. РАМАЗОВ в сентябре с.г. заверил УВИ в том, что данная работа будет вестись на 39 заводе, но эта работа не была включена в план 1934 года (19522).</w:t>
      </w:r>
    </w:p>
    <w:p w14:paraId="3811D3EC" w14:textId="77777777" w:rsidR="00017AF5" w:rsidRPr="00E93F40" w:rsidRDefault="00017AF5" w:rsidP="00E93F40">
      <w:pPr>
        <w:spacing w:after="0" w:line="240" w:lineRule="auto"/>
        <w:jc w:val="both"/>
        <w:rPr>
          <w:rFonts w:ascii="Times New Roman" w:hAnsi="Times New Roman"/>
          <w:color w:val="000000" w:themeColor="text1"/>
          <w:sz w:val="16"/>
          <w:szCs w:val="16"/>
        </w:rPr>
      </w:pPr>
    </w:p>
    <w:p w14:paraId="1EFBD62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E548D8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CC78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10 и 26 августа 1932. Из протокола заседаний Политбюро N52, особая папка, 1937 г.</w:t>
      </w:r>
    </w:p>
    <w:p w14:paraId="1CC155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уборке урожая в зерносовхозах </w:t>
      </w:r>
    </w:p>
    <w:p w14:paraId="4003F0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Продлить срок работы 10 тыс. красноармейцев в зерносовхозах Северного Кавказа до 5 сентября (11652).</w:t>
      </w:r>
    </w:p>
    <w:p w14:paraId="7229B1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8E234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BED252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3B71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августа 1932 в Испании был подавлен мятеж г Санхурхо, поднятый в Севилье (3907,173).</w:t>
      </w:r>
    </w:p>
    <w:p w14:paraId="52EF3F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547DB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августа 1932 в Испании подавлен военный мятеж генерала Хосе Санхурхо (перед этим мятежники захватили Севилью) (4962).</w:t>
      </w:r>
    </w:p>
    <w:p w14:paraId="2767DB4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55028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64F8C1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BD9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года выписка из протокола № 20 РВС</w:t>
      </w:r>
    </w:p>
    <w:p w14:paraId="7992443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самолете Г-1 и базе для его постройки.</w:t>
      </w:r>
    </w:p>
    <w:p w14:paraId="7B50E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 Хорьков.</w:t>
      </w:r>
    </w:p>
    <w:p w14:paraId="69946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7C803EF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Одобрить проводимые ВВА работы по проектированию, экспериментированию по отдельным агрегатам и постройке самолета "Г".</w:t>
      </w:r>
    </w:p>
    <w:p w14:paraId="5EFB6C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Приступ к строительству самолета "Г" поставить в зависимость от результатов испытания опытных редукторов, специально для этого самолета изготовляемых, испытания которых ВВА должна закончить в ноябре 1932 года и доложить РВСС.</w:t>
      </w:r>
    </w:p>
    <w:p w14:paraId="6E6E34D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Просить КО:</w:t>
      </w:r>
    </w:p>
    <w:p w14:paraId="14EF4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НКТяжпром обеспечить строительство самолета "Г" необходимыми материалами (хромомолибденовыми трубами, нержавеющей сталью и т.д.) по спецификации ВВА;</w:t>
      </w:r>
    </w:p>
    <w:p w14:paraId="3A9C6F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НКТяжпром обеспечить постройку частей самолета и отдельных агрегатов по чертежам и под наблюдением ВВА на заводах Наркомтяжпрома.</w:t>
      </w:r>
    </w:p>
    <w:p w14:paraId="1E7C52D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сдачи самолета "Г" и полетные испытания определить 1 августа 1933 года.</w:t>
      </w:r>
    </w:p>
    <w:p w14:paraId="2282E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Сборку самолета организовать средствами ВВС (ангарная площадь, техперсонал, подъемные приспособления и т.д.).</w:t>
      </w:r>
    </w:p>
    <w:p w14:paraId="1416C3B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Дополнительно к отпущенным 500 тысячам рублей, начальнику ЦВФУ на продолжение работы отпустить 1000000 рублей в распоряжение начальника ВВА (7431, 60).</w:t>
      </w:r>
    </w:p>
    <w:p w14:paraId="485FF81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4BE2A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г. эскизный проект Г-1 рассмотрел Реввоенсовет СССР. Работу конструкторского бюро академии одобрили, но постройку опытного образца самолета обусловили предварительным испытанием главного редуктора мотоустановки, который должен был быть изготовлен в ноябре 1932 г.</w:t>
      </w:r>
    </w:p>
    <w:p w14:paraId="2E7DE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Предварительно срок окончания постройки опытного образца Г-1 назначили на 1 августа 1933 г. К ранее отпущенным 500 000 рублей добавили еше миллион. Для постройки опытного образца Г-1 выделили на 100 000 рублей различных материалов и на 120 000 - станков и инструмента.</w:t>
      </w:r>
    </w:p>
    <w:p w14:paraId="2FF9A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мотор М-34 тогда являлся большим дефицитом, а заложенный в задание М-34ФРН вообще не сушествовал в металле, опробовать принципиально новую мотоустановку решили, используя два двигателя М-27. По фамилии конструктора основной редуктор в документах иногда именовали "агрегат т. Дзюбе". Из-за загруженности авиационных заводов пришлось привлечь заводы других ведомств. Узлы опытной мотоустановки делали на разных предприятиях Москвы, в частности на заводе приспособлений треста "Оргаметалл" и электромеханическом заводе им. Владимира Ильича. Втулку винта заказали автозаводу им. Сталина. Вынужденное обращение к предприятиям не авиационного профиля привело к отступлениям от чертежей и спецификаций по материалам и точности изготовления.</w:t>
      </w:r>
    </w:p>
    <w:p w14:paraId="189FCA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декабря 1932 г. опытный образец мотоустановки подготовили к испытаниям. Они начались с 23 января 1933 г. Но после многократных поломок 9 апреля запуски прекратили. Вместо двух М-27 поставили пару М-17 меньшей мощности. С ними до 20 июня "агрегат" наработал 58 ч.</w:t>
      </w:r>
    </w:p>
    <w:p w14:paraId="45197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7D394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19964A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05FB31" w14:textId="77777777" w:rsidR="000E2530" w:rsidRPr="00142305" w:rsidRDefault="000E2530" w:rsidP="000E253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августа 1932 г. эскизный проект Г-1 рассмотрел Рев</w:t>
      </w:r>
      <w:r w:rsidRPr="00142305">
        <w:rPr>
          <w:rFonts w:ascii="Times New Roman" w:hAnsi="Times New Roman"/>
          <w:color w:val="0070C0"/>
          <w:sz w:val="16"/>
          <w:szCs w:val="16"/>
        </w:rPr>
        <w:softHyphen/>
        <w:t>военсовет СССР. Работу конструкторского бюро академии одобрили, но постройку опытного образца самолета обус</w:t>
      </w:r>
      <w:r w:rsidRPr="00142305">
        <w:rPr>
          <w:rFonts w:ascii="Times New Roman" w:hAnsi="Times New Roman"/>
          <w:color w:val="0070C0"/>
          <w:sz w:val="16"/>
          <w:szCs w:val="16"/>
        </w:rPr>
        <w:softHyphen/>
        <w:t>ловили предварительным испытанием главного редуктора мотоустановки, который должен был быть изготовлен в но</w:t>
      </w:r>
      <w:r w:rsidRPr="00142305">
        <w:rPr>
          <w:rFonts w:ascii="Times New Roman" w:hAnsi="Times New Roman"/>
          <w:color w:val="0070C0"/>
          <w:sz w:val="16"/>
          <w:szCs w:val="16"/>
        </w:rPr>
        <w:softHyphen/>
        <w:t>ябре 1932 г.</w:t>
      </w:r>
    </w:p>
    <w:p w14:paraId="64824344" w14:textId="77777777" w:rsidR="000E2530" w:rsidRPr="00142305" w:rsidRDefault="000E2530" w:rsidP="000E253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Предварительно срок окончания постройки опытного образца Г-1 назначили на 1 августа 1933 г. К ранее отпущенным 500 000 рублей добавили еще миллион. Для постройки опытного образца Г-1 выделили на 100 000 рублей различ</w:t>
      </w:r>
      <w:r w:rsidRPr="00142305">
        <w:rPr>
          <w:rFonts w:ascii="Times New Roman" w:hAnsi="Times New Roman"/>
          <w:color w:val="0070C0"/>
          <w:sz w:val="16"/>
          <w:szCs w:val="16"/>
        </w:rPr>
        <w:softHyphen/>
        <w:t>ных материалов и на 120 000 - станков и инструмента.</w:t>
      </w:r>
    </w:p>
    <w:p w14:paraId="745B77F1" w14:textId="77777777" w:rsidR="000E2530" w:rsidRPr="00142305" w:rsidRDefault="000E2530" w:rsidP="000E253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мотор М-34 тогда являлся большим дефици</w:t>
      </w:r>
      <w:r w:rsidRPr="00142305">
        <w:rPr>
          <w:rFonts w:ascii="Times New Roman" w:hAnsi="Times New Roman"/>
          <w:color w:val="0070C0"/>
          <w:sz w:val="16"/>
          <w:szCs w:val="16"/>
        </w:rPr>
        <w:softHyphen/>
        <w:t>том, а заложенный в задание М-34ФРН вообще не существовал в металле, опробовать принципиально новую мотоус</w:t>
      </w:r>
      <w:r w:rsidRPr="00142305">
        <w:rPr>
          <w:rFonts w:ascii="Times New Roman" w:hAnsi="Times New Roman"/>
          <w:color w:val="0070C0"/>
          <w:sz w:val="16"/>
          <w:szCs w:val="16"/>
        </w:rPr>
        <w:softHyphen/>
        <w:t>тановку решили, используя два двигателя М-27. По фами</w:t>
      </w:r>
      <w:r w:rsidRPr="00142305">
        <w:rPr>
          <w:rFonts w:ascii="Times New Roman" w:hAnsi="Times New Roman"/>
          <w:color w:val="0070C0"/>
          <w:sz w:val="16"/>
          <w:szCs w:val="16"/>
        </w:rPr>
        <w:softHyphen/>
        <w:t>лии конструктора основной редуктор в документах иногда именовали «агрегат т. Дзюбе». Из-за загруженности ави</w:t>
      </w:r>
      <w:r w:rsidRPr="00142305">
        <w:rPr>
          <w:rFonts w:ascii="Times New Roman" w:hAnsi="Times New Roman"/>
          <w:color w:val="0070C0"/>
          <w:sz w:val="16"/>
          <w:szCs w:val="16"/>
        </w:rPr>
        <w:softHyphen/>
        <w:t>ационных заводов пришлось привлечь заводы других ве</w:t>
      </w:r>
      <w:r w:rsidRPr="00142305">
        <w:rPr>
          <w:rFonts w:ascii="Times New Roman" w:hAnsi="Times New Roman"/>
          <w:color w:val="0070C0"/>
          <w:sz w:val="16"/>
          <w:szCs w:val="16"/>
        </w:rPr>
        <w:softHyphen/>
        <w:t>домств. Узлы опытной мотоустановки делали на разных предприятиях Москвы, в частности на заводе приспособле</w:t>
      </w:r>
      <w:r w:rsidRPr="00142305">
        <w:rPr>
          <w:rFonts w:ascii="Times New Roman" w:hAnsi="Times New Roman"/>
          <w:color w:val="0070C0"/>
          <w:sz w:val="16"/>
          <w:szCs w:val="16"/>
        </w:rPr>
        <w:softHyphen/>
        <w:t xml:space="preserve">ний треста «Оргаметалл» </w:t>
      </w:r>
      <w:r w:rsidRPr="00142305">
        <w:rPr>
          <w:rFonts w:ascii="Times New Roman" w:hAnsi="Times New Roman"/>
          <w:smallCaps/>
          <w:color w:val="0070C0"/>
          <w:sz w:val="16"/>
          <w:szCs w:val="16"/>
        </w:rPr>
        <w:t>и</w:t>
      </w:r>
      <w:r w:rsidRPr="00142305">
        <w:rPr>
          <w:rFonts w:ascii="Times New Roman" w:hAnsi="Times New Roman"/>
          <w:color w:val="0070C0"/>
          <w:sz w:val="16"/>
          <w:szCs w:val="16"/>
        </w:rPr>
        <w:t xml:space="preserve"> электромеханическом заводе им. Владимира Ильича. Втулку винта заказали автозаводу им. Сталина. Вынужденное обращение к предприятиям не ави</w:t>
      </w:r>
      <w:r w:rsidRPr="00142305">
        <w:rPr>
          <w:rFonts w:ascii="Times New Roman" w:hAnsi="Times New Roman"/>
          <w:color w:val="0070C0"/>
          <w:sz w:val="16"/>
          <w:szCs w:val="16"/>
        </w:rPr>
        <w:softHyphen/>
        <w:t>ационного профиля привело к отступлениям от чертежей и спецификаций по материалам и точности изготовления (24977).</w:t>
      </w:r>
    </w:p>
    <w:p w14:paraId="74155C7F" w14:textId="77777777" w:rsidR="000E2530" w:rsidRPr="00142305" w:rsidRDefault="000E2530" w:rsidP="000E2530">
      <w:pPr>
        <w:spacing w:after="0" w:line="240" w:lineRule="auto"/>
        <w:jc w:val="both"/>
        <w:rPr>
          <w:rFonts w:ascii="Times New Roman" w:hAnsi="Times New Roman"/>
          <w:color w:val="0070C0"/>
          <w:sz w:val="16"/>
          <w:szCs w:val="16"/>
        </w:rPr>
      </w:pPr>
    </w:p>
    <w:p w14:paraId="35B886A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г. состоялся первый полет серийного истребителя И-5 Н.Н.Поликарпова на Нижегородском авиазаводе (6395).</w:t>
      </w:r>
    </w:p>
    <w:p w14:paraId="0312A1E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A61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состоялся первый полет серийного Р-5 на 21 заводе (2668).</w:t>
      </w:r>
    </w:p>
    <w:p w14:paraId="60D78C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3AC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был подписан Акт N 1 о сдаче самолета БИЧ-7 Парабола ЗОК ЦАГИ в ОЭЛИД для испытаний. испытания продолжались до 21 декабря 1932 (2307).</w:t>
      </w:r>
    </w:p>
    <w:p w14:paraId="134031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BA7273" w14:textId="77777777" w:rsidR="00316B7A" w:rsidRPr="00E93F40" w:rsidRDefault="00316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г. самолет БИЧ-7А сдали для проведения ис</w:t>
      </w:r>
      <w:r w:rsidRPr="00E93F40">
        <w:rPr>
          <w:rFonts w:ascii="Times New Roman" w:hAnsi="Times New Roman"/>
          <w:color w:val="000000" w:themeColor="text1"/>
          <w:sz w:val="16"/>
          <w:szCs w:val="16"/>
        </w:rPr>
        <w:softHyphen/>
        <w:t>пытаний. 14-15 авгу</w:t>
      </w:r>
      <w:r w:rsidRPr="00E93F40">
        <w:rPr>
          <w:rFonts w:ascii="Times New Roman" w:hAnsi="Times New Roman"/>
          <w:color w:val="000000" w:themeColor="text1"/>
          <w:sz w:val="16"/>
          <w:szCs w:val="16"/>
        </w:rPr>
        <w:softHyphen/>
        <w:t>ста на Центральном аэродроме Москвы состоялись первые подлеты, которые обнаружили ряд мелких недостатков и недоделок. После их устранения, 19 ок</w:t>
      </w:r>
      <w:r w:rsidRPr="00E93F40">
        <w:rPr>
          <w:rFonts w:ascii="Times New Roman" w:hAnsi="Times New Roman"/>
          <w:color w:val="000000" w:themeColor="text1"/>
          <w:sz w:val="16"/>
          <w:szCs w:val="16"/>
        </w:rPr>
        <w:softHyphen/>
        <w:t>тября 1932 г. состоялся первый полет по кругу на высоте 1000 м. Последующие полеты, предпринятые 23, 26 и 27 октя</w:t>
      </w:r>
      <w:r w:rsidRPr="00E93F40">
        <w:rPr>
          <w:rFonts w:ascii="Times New Roman" w:hAnsi="Times New Roman"/>
          <w:color w:val="000000" w:themeColor="text1"/>
          <w:sz w:val="16"/>
          <w:szCs w:val="16"/>
        </w:rPr>
        <w:softHyphen/>
        <w:t>бря выявили высокое давление на ручку управления. Недостаток устранили вве</w:t>
      </w:r>
      <w:r w:rsidRPr="00E93F40">
        <w:rPr>
          <w:rFonts w:ascii="Times New Roman" w:hAnsi="Times New Roman"/>
          <w:color w:val="000000" w:themeColor="text1"/>
          <w:sz w:val="16"/>
          <w:szCs w:val="16"/>
        </w:rPr>
        <w:softHyphen/>
        <w:t>дением небольшой регулируемой пла</w:t>
      </w:r>
      <w:r w:rsidRPr="00E93F40">
        <w:rPr>
          <w:rFonts w:ascii="Times New Roman" w:hAnsi="Times New Roman"/>
          <w:color w:val="000000" w:themeColor="text1"/>
          <w:sz w:val="16"/>
          <w:szCs w:val="16"/>
        </w:rPr>
        <w:softHyphen/>
        <w:t>стинки на задней кромке руля высоты. До 21 декабря 1932 г. БИЧ-7А выполнил 15 полноценных полетов.</w:t>
      </w:r>
    </w:p>
    <w:p w14:paraId="2BC57966" w14:textId="77777777" w:rsidR="00316B7A" w:rsidRPr="00E93F40" w:rsidRDefault="00316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БИЧ-7А во всех отчетах официально именовался «Пара</w:t>
      </w:r>
      <w:r w:rsidRPr="00E93F40">
        <w:rPr>
          <w:rFonts w:ascii="Times New Roman" w:hAnsi="Times New Roman"/>
          <w:color w:val="000000" w:themeColor="text1"/>
          <w:sz w:val="16"/>
          <w:szCs w:val="16"/>
        </w:rPr>
        <w:softHyphen/>
        <w:t>бола». Было оборудовано нормальное двухстоечное шасси, закрытая кабина летчиков и мощное однокилевое опере</w:t>
      </w:r>
      <w:r w:rsidRPr="00E93F40">
        <w:rPr>
          <w:rFonts w:ascii="Times New Roman" w:hAnsi="Times New Roman"/>
          <w:color w:val="000000" w:themeColor="text1"/>
          <w:sz w:val="16"/>
          <w:szCs w:val="16"/>
        </w:rPr>
        <w:softHyphen/>
        <w:t>ние. Все работы велись на заводе опыт</w:t>
      </w:r>
      <w:r w:rsidRPr="00E93F40">
        <w:rPr>
          <w:rFonts w:ascii="Times New Roman" w:hAnsi="Times New Roman"/>
          <w:color w:val="000000" w:themeColor="text1"/>
          <w:sz w:val="16"/>
          <w:szCs w:val="16"/>
        </w:rPr>
        <w:softHyphen/>
        <w:t>ных конструкций (ЗОК) ЦАГИ (27 августа 1931 г. ЦКБ и ЦАГИ объединили в еди</w:t>
      </w:r>
      <w:r w:rsidRPr="00E93F40">
        <w:rPr>
          <w:rFonts w:ascii="Times New Roman" w:hAnsi="Times New Roman"/>
          <w:color w:val="000000" w:themeColor="text1"/>
          <w:sz w:val="16"/>
          <w:szCs w:val="16"/>
        </w:rPr>
        <w:softHyphen/>
        <w:t>ную организацию - ЦКБ-ЦАГИ) (17470).</w:t>
      </w:r>
    </w:p>
    <w:p w14:paraId="51CF0CCE" w14:textId="77777777" w:rsidR="00316B7A" w:rsidRPr="00E93F40" w:rsidRDefault="00316B7A" w:rsidP="00E93F40">
      <w:pPr>
        <w:spacing w:after="0" w:line="240" w:lineRule="auto"/>
        <w:jc w:val="both"/>
        <w:rPr>
          <w:rFonts w:ascii="Times New Roman" w:hAnsi="Times New Roman"/>
          <w:color w:val="000000" w:themeColor="text1"/>
          <w:sz w:val="16"/>
          <w:szCs w:val="16"/>
        </w:rPr>
      </w:pPr>
    </w:p>
    <w:p w14:paraId="0F2B1102" w14:textId="062611E6" w:rsidR="00A20FFF" w:rsidRPr="00E93F40" w:rsidRDefault="00A20FFF" w:rsidP="00E93F40">
      <w:pPr>
        <w:pStyle w:val="rtejustify"/>
        <w:spacing w:before="0" w:after="0"/>
        <w:rPr>
          <w:color w:val="000000" w:themeColor="text1"/>
          <w:sz w:val="16"/>
          <w:szCs w:val="16"/>
        </w:rPr>
      </w:pPr>
      <w:r w:rsidRPr="00E93F40">
        <w:rPr>
          <w:rStyle w:val="af0"/>
          <w:i w:val="0"/>
          <w:color w:val="000000" w:themeColor="text1"/>
          <w:sz w:val="16"/>
          <w:szCs w:val="16"/>
        </w:rPr>
        <w:t>11</w:t>
      </w:r>
      <w:r w:rsidR="007C1411" w:rsidRPr="00E93F40">
        <w:rPr>
          <w:rStyle w:val="af0"/>
          <w:i w:val="0"/>
          <w:color w:val="000000" w:themeColor="text1"/>
          <w:sz w:val="16"/>
          <w:szCs w:val="16"/>
        </w:rPr>
        <w:t xml:space="preserve"> </w:t>
      </w:r>
      <w:r w:rsidRPr="00E93F40">
        <w:rPr>
          <w:rStyle w:val="af0"/>
          <w:i w:val="0"/>
          <w:color w:val="000000" w:themeColor="text1"/>
          <w:sz w:val="16"/>
          <w:szCs w:val="16"/>
        </w:rPr>
        <w:t>августа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20.</w:t>
      </w:r>
      <w:r w:rsidRPr="00E93F40">
        <w:rPr>
          <w:color w:val="000000" w:themeColor="text1"/>
          <w:sz w:val="16"/>
          <w:szCs w:val="16"/>
        </w:rPr>
        <w:t xml:space="preserve"> 1.</w:t>
      </w:r>
      <w:r w:rsidR="007C1411" w:rsidRPr="00E93F40">
        <w:rPr>
          <w:color w:val="000000" w:themeColor="text1"/>
          <w:sz w:val="16"/>
          <w:szCs w:val="16"/>
        </w:rPr>
        <w:t xml:space="preserve"> </w:t>
      </w:r>
      <w:r w:rsidRPr="00E93F40">
        <w:rPr>
          <w:color w:val="000000" w:themeColor="text1"/>
          <w:sz w:val="16"/>
          <w:szCs w:val="16"/>
        </w:rPr>
        <w:t>О самолете Г</w:t>
      </w:r>
      <w:r w:rsidRPr="00E93F40">
        <w:rPr>
          <w:color w:val="000000" w:themeColor="text1"/>
          <w:sz w:val="16"/>
          <w:szCs w:val="16"/>
        </w:rPr>
        <w:noBreakHyphen/>
        <w:t>1 и базе для его постройки. (Хорьков). 3.</w:t>
      </w:r>
      <w:r w:rsidR="007C1411" w:rsidRPr="00E93F40">
        <w:rPr>
          <w:color w:val="000000" w:themeColor="text1"/>
          <w:sz w:val="16"/>
          <w:szCs w:val="16"/>
        </w:rPr>
        <w:t xml:space="preserve"> </w:t>
      </w:r>
      <w:r w:rsidRPr="00E93F40">
        <w:rPr>
          <w:color w:val="000000" w:themeColor="text1"/>
          <w:sz w:val="16"/>
          <w:szCs w:val="16"/>
        </w:rPr>
        <w:t>О состоянии проектирования подлодок, эсминцев, крейсеров и др. судов. 4.</w:t>
      </w:r>
      <w:r w:rsidR="007C1411" w:rsidRPr="00E93F40">
        <w:rPr>
          <w:color w:val="000000" w:themeColor="text1"/>
          <w:sz w:val="16"/>
          <w:szCs w:val="16"/>
        </w:rPr>
        <w:t xml:space="preserve"> </w:t>
      </w:r>
      <w:r w:rsidRPr="00E93F40">
        <w:rPr>
          <w:color w:val="000000" w:themeColor="text1"/>
          <w:sz w:val="16"/>
          <w:szCs w:val="16"/>
        </w:rPr>
        <w:t>Утверждение проектов подлодок, эсминцев, крейсеров и др. судов (Лудри). 7.</w:t>
      </w:r>
      <w:r w:rsidR="007C1411" w:rsidRPr="00E93F40">
        <w:rPr>
          <w:color w:val="000000" w:themeColor="text1"/>
          <w:sz w:val="16"/>
          <w:szCs w:val="16"/>
        </w:rPr>
        <w:t xml:space="preserve"> </w:t>
      </w:r>
      <w:r w:rsidRPr="00E93F40">
        <w:rPr>
          <w:color w:val="000000" w:themeColor="text1"/>
          <w:sz w:val="16"/>
          <w:szCs w:val="16"/>
        </w:rPr>
        <w:t>О пушках Курчевского (Корк).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383, 384</w:t>
      </w:r>
      <w:r w:rsidRPr="00E93F40">
        <w:rPr>
          <w:color w:val="000000" w:themeColor="text1"/>
          <w:sz w:val="16"/>
          <w:szCs w:val="16"/>
        </w:rPr>
        <w:noBreakHyphen/>
        <w:t>385) (12342).</w:t>
      </w:r>
    </w:p>
    <w:p w14:paraId="023828DC" w14:textId="77777777" w:rsidR="00A20FFF" w:rsidRPr="00E93F40" w:rsidRDefault="00A20FFF" w:rsidP="00E93F40">
      <w:pPr>
        <w:pStyle w:val="rtejustify"/>
        <w:spacing w:before="0" w:after="0"/>
        <w:rPr>
          <w:color w:val="000000" w:themeColor="text1"/>
          <w:sz w:val="16"/>
          <w:szCs w:val="16"/>
        </w:rPr>
      </w:pPr>
    </w:p>
    <w:p w14:paraId="3F843D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дата присвоения опознавательного знака с литерой "Н" - СССР-Н6 - П-5, зав. № 5364, мотор - М-17. Владелец воздушного судна - Арктический институт, Комсеверпуть. Исключен из списков самолетного парка Комсеверпути после аварии в 1932 г. (11955).</w:t>
      </w:r>
    </w:p>
    <w:p w14:paraId="4F277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28A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дата присвоения опознавательного знака с литерой "Н" - СССР-Н7 - П-5, зав. № 5363, мотор - М-17.Первоначальный владелец воздушного судна - Арктический институт, Комсеверпуть. 22.04.33 г., в связи с реорганизацией Комсеверпути в ГУСМП, самолет перерегистрирован с тем же опознавательным знаком, но на другого владельца: ГУСМП. После аварии списан в начале января 1935 года (11955).</w:t>
      </w:r>
    </w:p>
    <w:p w14:paraId="2DE2CF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2DD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года Логановский писал письмо № 504 Кагановичу, Молотову, Ворошилову</w:t>
      </w:r>
    </w:p>
    <w:p w14:paraId="05DE57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Сегодня перед отъездом я имел с Барлоу последний прощальный разговор. Он сказал мне, что имел разговор с московским корреспондентом американской газеты «Нью-Йорк Таймс» Дюранди, которому на соответствующий запрос ответил, что во время своего пребывания в Москве он рассказал некоторым советским специалистам идею своего изобретения, но что никаких технических деталей не давал. Это заявление он сделал для того, чтобы предотвратить возможные обвинения в передаче советскому Правительству технически законченного изобретения. Он не сомневается, что Дюранди пошлет об этом информацию в Америку и это облегчит ему, Барлоу, дальнейшие выступления в Америке.</w:t>
      </w:r>
    </w:p>
    <w:p w14:paraId="3DD40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заверил меня, что если бы какая-либо американская газета выступила с каким-либо нападками на СССР в связи с поездкой Барлоу в Москву, то он будет открыто выступать с опровержением, а всякие свои внешние политические выступления, касающиеся СССР, если их нужно будет делать, будет предварительно согласовывать с Богдановым. Являясь искренним сторонником восстановления нормальных отношений между СССР и Америкой, он будет энергично работать в этом направлении и в первую очередь после своего возвращения постарается убедить в этом Рузвельта.</w:t>
      </w:r>
    </w:p>
    <w:p w14:paraId="0A32FD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Москвы он уезжает в весьма хорошем настроении. Подчеркивал, что мои разговоры с ним открыли ему глаза на многое, а в особенности дали возможность убедиться в лживости той кампании, которую часть американской прессы ведет против СССР. Он особенно этому рад, так как признается, что раньше поддавался тоже влиянию этой агитации.</w:t>
      </w:r>
    </w:p>
    <w:p w14:paraId="61423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вполне понимает нашу к нему осторожность и вместе с тем он уверен, что через некоторое время обстановка позволит использовать нам его и его изобретение на пользу всеобщего разоружения. Он лично остаток своих лет хочет посвятить работе в этом направлении. Он передал, что если мы захотим завязать с ним связь или что-либо ему передать, он просит это немедленно сделать через Богданова, который всегда будет знать о его месте пребывания. Он оставил мне все оригинальные эскизы и чертежи своего изобретения, которые он сделал здесь в Москве и просил распорядиться ими по нашему усмотрению.</w:t>
      </w:r>
    </w:p>
    <w:p w14:paraId="443906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он говорил о том прекрасном впечатлении, которое произвела на него Москва и посещение наших некоторых заводов (АМО, Электрозавод). Он убедился, что СССР единственная страна, в которой специалист, а в особенности инженер, может найти полное удовлетворение и возможности для творческой работы. Он еще раз заверил в искренности своих намерений.</w:t>
      </w:r>
    </w:p>
    <w:p w14:paraId="5ABF4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знак своего уважения к СССР, он просил меня передать Литвинову фотоснимок, сделанный с грандиозных работ в Америке над высечением в гранитной скале колоссальных размеров фигуры Вашингтона. Этими работами руководит его близкий друг инженер и он подарил Барлоу этот снимок в знак вечной дружбы. На этом снимке Барлоу от себя сделал по-английски надпись, адресованную Литвинову, как борцу за разоружение, с пожеланием, чтобы СССР существовал так долго, как эта гранитная скала. Мне же он подарил свою фотокарточку с соответствующей надписью и свою книгу, изданную в Америке в 1931 году под заглавием «Что делал бы Линкольн?». Эта книга выступает против господства крупного капитала в Америке, контролирующего всю жизнь США.</w:t>
      </w:r>
    </w:p>
    <w:p w14:paraId="782568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Расстались мы с ним дружески. В покрытие своих расходов он принял от меня только 200 долларов (хотя я предлагал ему больше) и билет 1 класса до Америки (3553,27-29).</w:t>
      </w:r>
    </w:p>
    <w:p w14:paraId="4E31B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9B56D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66014A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0455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 г. Постановлени</w:t>
      </w:r>
      <w:r w:rsidRPr="00E93F40">
        <w:rPr>
          <w:rFonts w:ascii="Times New Roman" w:hAnsi="Times New Roman"/>
          <w:color w:val="000000" w:themeColor="text1"/>
          <w:sz w:val="16"/>
          <w:szCs w:val="16"/>
        </w:rPr>
        <w:softHyphen/>
        <w:t>ем Совета труда и обороны СССР, еще до изготовления опытного образца, на вооружение Крас</w:t>
      </w:r>
      <w:r w:rsidRPr="00E93F40">
        <w:rPr>
          <w:rFonts w:ascii="Times New Roman" w:hAnsi="Times New Roman"/>
          <w:color w:val="000000" w:themeColor="text1"/>
          <w:sz w:val="16"/>
          <w:szCs w:val="16"/>
        </w:rPr>
        <w:softHyphen/>
        <w:t>ной армии был принят новый легкий плавающий танк, по</w:t>
      </w:r>
      <w:r w:rsidRPr="00E93F40">
        <w:rPr>
          <w:rFonts w:ascii="Times New Roman" w:hAnsi="Times New Roman"/>
          <w:color w:val="000000" w:themeColor="text1"/>
          <w:sz w:val="16"/>
          <w:szCs w:val="16"/>
        </w:rPr>
        <w:softHyphen/>
        <w:t>лучивший обозначение Т-37А. Предполагалась, что машина «по компоновке будет анало</w:t>
      </w:r>
      <w:r w:rsidRPr="00E93F40">
        <w:rPr>
          <w:rFonts w:ascii="Times New Roman" w:hAnsi="Times New Roman"/>
          <w:color w:val="000000" w:themeColor="text1"/>
          <w:sz w:val="16"/>
          <w:szCs w:val="16"/>
        </w:rPr>
        <w:softHyphen/>
        <w:t>гична Т-41, но с подвеской от танка Т-37». Создавать и организовывать серийный выпуск нового танка должен был 2-й автозавод ВАТО в Черкизове. Сюда были переданы все материалы по танкам Т-33 и Т-37 раз</w:t>
      </w:r>
      <w:r w:rsidRPr="00E93F40">
        <w:rPr>
          <w:rFonts w:ascii="Times New Roman" w:hAnsi="Times New Roman"/>
          <w:color w:val="000000" w:themeColor="text1"/>
          <w:sz w:val="16"/>
          <w:szCs w:val="16"/>
        </w:rPr>
        <w:softHyphen/>
        <w:t>работки ОКМО, а также одна из полученных из Велико</w:t>
      </w:r>
      <w:r w:rsidRPr="00E93F40">
        <w:rPr>
          <w:rFonts w:ascii="Times New Roman" w:hAnsi="Times New Roman"/>
          <w:color w:val="000000" w:themeColor="text1"/>
          <w:sz w:val="16"/>
          <w:szCs w:val="16"/>
        </w:rPr>
        <w:softHyphen/>
        <w:t>британии амфибий. Главным конструктором Т-37А был назначен Н. Козырев. Ожидалось, что еще до окончания года завод выпустит не менее 30 танков Т-37А, но эти ожидания были тщетны</w:t>
      </w:r>
      <w:r w:rsidRPr="00E93F40">
        <w:rPr>
          <w:rFonts w:ascii="Times New Roman" w:hAnsi="Times New Roman"/>
          <w:color w:val="000000" w:themeColor="text1"/>
          <w:sz w:val="16"/>
          <w:szCs w:val="16"/>
        </w:rPr>
        <w:softHyphen/>
        <w:t>ми. Машина оказалась сложной, а материальное оснаще</w:t>
      </w:r>
      <w:r w:rsidRPr="00E93F40">
        <w:rPr>
          <w:rFonts w:ascii="Times New Roman" w:hAnsi="Times New Roman"/>
          <w:color w:val="000000" w:themeColor="text1"/>
          <w:sz w:val="16"/>
          <w:szCs w:val="16"/>
        </w:rPr>
        <w:softHyphen/>
        <w:t>ние завода — допотопным. Остро не хватало и «волшебни</w:t>
      </w:r>
      <w:r w:rsidRPr="00E93F40">
        <w:rPr>
          <w:rFonts w:ascii="Times New Roman" w:hAnsi="Times New Roman"/>
          <w:color w:val="000000" w:themeColor="text1"/>
          <w:sz w:val="16"/>
          <w:szCs w:val="16"/>
        </w:rPr>
        <w:softHyphen/>
        <w:t>ков серийного производства — технологов», как их называл Г. Орджоникикдзе. Но несмотря на такое положение вещей, после уточне</w:t>
      </w:r>
      <w:r w:rsidRPr="00E93F40">
        <w:rPr>
          <w:rFonts w:ascii="Times New Roman" w:hAnsi="Times New Roman"/>
          <w:color w:val="000000" w:themeColor="text1"/>
          <w:sz w:val="16"/>
          <w:szCs w:val="16"/>
        </w:rPr>
        <w:softHyphen/>
        <w:t>ния возможностей завода план производства танков Т-37А на 1933 г. от руководства Спецмаштреста составил 1200 тан</w:t>
      </w:r>
      <w:r w:rsidRPr="00E93F40">
        <w:rPr>
          <w:rFonts w:ascii="Times New Roman" w:hAnsi="Times New Roman"/>
          <w:color w:val="000000" w:themeColor="text1"/>
          <w:sz w:val="16"/>
          <w:szCs w:val="16"/>
        </w:rPr>
        <w:softHyphen/>
        <w:t>ков, притом что параллельно завод должен был доедать РККА еще 507 танкеток Т-27. Нетрудно догадаться, что столь обширным планам не суждено было исполниться. Несмотря на все ухищрения, на которые шли конст</w:t>
      </w:r>
      <w:r w:rsidRPr="00E93F40">
        <w:rPr>
          <w:rFonts w:ascii="Times New Roman" w:hAnsi="Times New Roman"/>
          <w:color w:val="000000" w:themeColor="text1"/>
          <w:sz w:val="16"/>
          <w:szCs w:val="16"/>
        </w:rPr>
        <w:softHyphen/>
        <w:t>рукторы и заводчане, в первом полугодии 1933 г. было вы</w:t>
      </w:r>
      <w:r w:rsidRPr="00E93F40">
        <w:rPr>
          <w:rFonts w:ascii="Times New Roman" w:hAnsi="Times New Roman"/>
          <w:color w:val="000000" w:themeColor="text1"/>
          <w:sz w:val="16"/>
          <w:szCs w:val="16"/>
        </w:rPr>
        <w:softHyphen/>
        <w:t>пущено лишь 30 танков (в том числе 12 шт. улучшенных Т-41). Представители же УММ РККА, посетившие завод № 37 в середине октября 1933 г., докладывали: «Заканчива</w:t>
      </w:r>
      <w:r w:rsidRPr="00E93F40">
        <w:rPr>
          <w:rFonts w:ascii="Times New Roman" w:hAnsi="Times New Roman"/>
          <w:color w:val="000000" w:themeColor="text1"/>
          <w:sz w:val="16"/>
          <w:szCs w:val="16"/>
        </w:rPr>
        <w:softHyphen/>
        <w:t>ется сдача первой опытной группы Т-37, всего, вместе с Т-41, 45 машин. К концу года будет, вероятно, не более 800 тан</w:t>
      </w:r>
      <w:r w:rsidRPr="00E93F40">
        <w:rPr>
          <w:rFonts w:ascii="Times New Roman" w:hAnsi="Times New Roman"/>
          <w:color w:val="000000" w:themeColor="text1"/>
          <w:sz w:val="16"/>
          <w:szCs w:val="16"/>
        </w:rPr>
        <w:softHyphen/>
        <w:t>ков». Но и их прогноз был оптимистичным — к 1 января 1934 г. завод № 37 сдал всего 126 танков Т-37А и 12 Т-41. 7 ноября 1933 г. первые серийные танки Т-37А вместе с Т-41 были показаны во время парада на Красной площади (10733,155).</w:t>
      </w:r>
    </w:p>
    <w:p w14:paraId="0441C6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15033D" w14:textId="77777777" w:rsidR="008032A0" w:rsidRPr="00142305" w:rsidRDefault="008032A0" w:rsidP="008032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августа 1932 года, еще до из</w:t>
      </w:r>
      <w:r w:rsidRPr="00142305">
        <w:rPr>
          <w:rFonts w:ascii="Times New Roman" w:hAnsi="Times New Roman"/>
          <w:color w:val="0070C0"/>
          <w:sz w:val="16"/>
          <w:szCs w:val="16"/>
        </w:rPr>
        <w:softHyphen/>
        <w:t>готовления опытного образца, Постановлением Совета труда и обороны СССР на вооруже</w:t>
      </w:r>
      <w:r w:rsidRPr="00142305">
        <w:rPr>
          <w:rFonts w:ascii="Times New Roman" w:hAnsi="Times New Roman"/>
          <w:color w:val="0070C0"/>
          <w:sz w:val="16"/>
          <w:szCs w:val="16"/>
        </w:rPr>
        <w:softHyphen/>
        <w:t>ние Красной Армии был принят новый лег</w:t>
      </w:r>
      <w:r w:rsidRPr="00142305">
        <w:rPr>
          <w:rFonts w:ascii="Times New Roman" w:hAnsi="Times New Roman"/>
          <w:color w:val="0070C0"/>
          <w:sz w:val="16"/>
          <w:szCs w:val="16"/>
        </w:rPr>
        <w:softHyphen/>
        <w:t>кий плавающий танк, получивший обозна</w:t>
      </w:r>
      <w:r w:rsidRPr="00142305">
        <w:rPr>
          <w:rFonts w:ascii="Times New Roman" w:hAnsi="Times New Roman"/>
          <w:color w:val="0070C0"/>
          <w:sz w:val="16"/>
          <w:szCs w:val="16"/>
        </w:rPr>
        <w:softHyphen/>
        <w:t>чение Т-37А.</w:t>
      </w:r>
    </w:p>
    <w:p w14:paraId="012A0A70" w14:textId="77777777" w:rsidR="008032A0" w:rsidRPr="00142305" w:rsidRDefault="008032A0" w:rsidP="008032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Создание и организацию серийного про</w:t>
      </w:r>
      <w:r w:rsidRPr="00142305">
        <w:rPr>
          <w:rFonts w:ascii="Times New Roman" w:hAnsi="Times New Roman"/>
          <w:color w:val="0070C0"/>
          <w:sz w:val="16"/>
          <w:szCs w:val="16"/>
        </w:rPr>
        <w:softHyphen/>
        <w:t>изводства Т-37А поручили 2-му заводу ВАТО в Москве. Сюда передали весь ма</w:t>
      </w:r>
      <w:r w:rsidRPr="00142305">
        <w:rPr>
          <w:rFonts w:ascii="Times New Roman" w:hAnsi="Times New Roman"/>
          <w:color w:val="0070C0"/>
          <w:sz w:val="16"/>
          <w:szCs w:val="16"/>
        </w:rPr>
        <w:softHyphen/>
        <w:t>териал по Т-37 разработки ОКМО, а так же одну прибывшую из Англии амфи</w:t>
      </w:r>
      <w:r w:rsidRPr="00142305">
        <w:rPr>
          <w:rFonts w:ascii="Times New Roman" w:hAnsi="Times New Roman"/>
          <w:color w:val="0070C0"/>
          <w:sz w:val="16"/>
          <w:szCs w:val="16"/>
        </w:rPr>
        <w:softHyphen/>
        <w:t>бию Vickers-Carden-Loyd. Руководил ра</w:t>
      </w:r>
      <w:r w:rsidRPr="00142305">
        <w:rPr>
          <w:rFonts w:ascii="Times New Roman" w:hAnsi="Times New Roman"/>
          <w:color w:val="0070C0"/>
          <w:sz w:val="16"/>
          <w:szCs w:val="16"/>
        </w:rPr>
        <w:softHyphen/>
        <w:t>ботами главный конструктор танка Т-41 Н.Козырев.</w:t>
      </w:r>
    </w:p>
    <w:p w14:paraId="44DF24E8" w14:textId="77777777" w:rsidR="008032A0" w:rsidRPr="00142305" w:rsidRDefault="008032A0" w:rsidP="008032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уже имевшийся на заводе № 37 опыт серийного производства танкеток Т-27, развертывание выпуска танка Т-37А шло с большими трудностями. Дело в том, что новая машина была сложнее, чем Т-27, а возможности завода были достаточно огра</w:t>
      </w:r>
      <w:r w:rsidRPr="00142305">
        <w:rPr>
          <w:rFonts w:ascii="Times New Roman" w:hAnsi="Times New Roman"/>
          <w:color w:val="0070C0"/>
          <w:sz w:val="16"/>
          <w:szCs w:val="16"/>
        </w:rPr>
        <w:softHyphen/>
        <w:t>ничены. Тем не менее, годовой план по пла</w:t>
      </w:r>
      <w:r w:rsidRPr="00142305">
        <w:rPr>
          <w:rFonts w:ascii="Times New Roman" w:hAnsi="Times New Roman"/>
          <w:color w:val="0070C0"/>
          <w:sz w:val="16"/>
          <w:szCs w:val="16"/>
        </w:rPr>
        <w:softHyphen/>
        <w:t>вающим танкам на 1933 год, полученный от руководства Спецмаштреста, составлял 1200 машин. Кроме того, параллельно с освоени</w:t>
      </w:r>
      <w:r w:rsidRPr="00142305">
        <w:rPr>
          <w:rFonts w:ascii="Times New Roman" w:hAnsi="Times New Roman"/>
          <w:color w:val="0070C0"/>
          <w:sz w:val="16"/>
          <w:szCs w:val="16"/>
        </w:rPr>
        <w:softHyphen/>
        <w:t>ем танка Т-37А завод № 37 продолжал вы</w:t>
      </w:r>
      <w:r w:rsidRPr="00142305">
        <w:rPr>
          <w:rFonts w:ascii="Times New Roman" w:hAnsi="Times New Roman"/>
          <w:color w:val="0070C0"/>
          <w:sz w:val="16"/>
          <w:szCs w:val="16"/>
        </w:rPr>
        <w:softHyphen/>
        <w:t>пуск Т-27 (при плане на 1933 год в 507 штук завод изготовил 914 Т-27), что, естественно, создавало дополнительные сложности (25019).</w:t>
      </w:r>
    </w:p>
    <w:p w14:paraId="3F97B74B" w14:textId="77777777" w:rsidR="008032A0" w:rsidRPr="00142305" w:rsidRDefault="008032A0" w:rsidP="008032A0">
      <w:pPr>
        <w:spacing w:after="0" w:line="240" w:lineRule="auto"/>
        <w:jc w:val="both"/>
        <w:rPr>
          <w:rFonts w:ascii="Times New Roman" w:hAnsi="Times New Roman"/>
          <w:color w:val="0070C0"/>
          <w:sz w:val="16"/>
          <w:szCs w:val="16"/>
        </w:rPr>
      </w:pPr>
    </w:p>
    <w:p w14:paraId="6A773F9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BCF50E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5EB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августа 1932 г. вышло постановление о создании пограничных авиаотрядов. Сначала им выделяли устаревшую технику - разведчики Р-1 и Р-ЗЛД, но затем начали оснащать и вполне современными для тех дней Р-5. Этот самолет вскоре стал самым массовым в авиации НКВД. К осени 1935 г. пограничники располагали 1-й (и единственной) эскадрильей в Быково под Москвой, более чем 20 отдельными отрядами и двумя звеньями по всему периметру государственной границы кроме Крайнего Севера. Подавляющее большинство из них (фактически кроме морской погранохраны, имевшей летающие лодки и амфибии) было вооружено Р-5. Эти самолеты патрулировали границу в малонаселенных районах, вели поиск нарушителей, снабжали отдаленные посты и заставы, перевозили больных и раненых. В сентябре 1936 г. два Р-5 вывезли альпинистов, попавших под лавину в районе пика Хан-Тенгри. Авиация НКВД с 1933 г. активно участвовала в борьбе с басмачами в Средней Азии. При этом задействовали 1-й отряд из Ташкента, 2-й из Ашхабада, 3-й из Бурун- дая (под Алма-Атой) и 4-й из Акмолинска. Они действовали не только на советской территории, но и в Синьцзяне (Китай), поддерживая местные власти (12034).</w:t>
      </w:r>
    </w:p>
    <w:p w14:paraId="5C96CC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6A9B05" w14:textId="77777777" w:rsidR="008032A0" w:rsidRPr="00142305" w:rsidRDefault="008032A0" w:rsidP="008032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августа 1932 г. вышло постановление о создании пог</w:t>
      </w:r>
      <w:r w:rsidRPr="00142305">
        <w:rPr>
          <w:rFonts w:ascii="Times New Roman" w:hAnsi="Times New Roman"/>
          <w:color w:val="0070C0"/>
          <w:sz w:val="16"/>
          <w:szCs w:val="16"/>
        </w:rPr>
        <w:softHyphen/>
        <w:t>раничных авиаотрядов. Сначала им выделяли устаревшую технику — разведчики Р-1 и Р-ЗЛД, но затем начали осна</w:t>
      </w:r>
      <w:r w:rsidRPr="00142305">
        <w:rPr>
          <w:rFonts w:ascii="Times New Roman" w:hAnsi="Times New Roman"/>
          <w:color w:val="0070C0"/>
          <w:sz w:val="16"/>
          <w:szCs w:val="16"/>
        </w:rPr>
        <w:softHyphen/>
        <w:t>щать и вполне современными для тех дней Р-5. Этот само</w:t>
      </w:r>
      <w:r w:rsidRPr="00142305">
        <w:rPr>
          <w:rFonts w:ascii="Times New Roman" w:hAnsi="Times New Roman"/>
          <w:color w:val="0070C0"/>
          <w:sz w:val="16"/>
          <w:szCs w:val="16"/>
        </w:rPr>
        <w:softHyphen/>
        <w:t>лет вскоре стал самым массовым в авиации НКВД (24990).</w:t>
      </w:r>
    </w:p>
    <w:p w14:paraId="7ECA0DF7" w14:textId="77777777" w:rsidR="008032A0" w:rsidRPr="00142305" w:rsidRDefault="008032A0" w:rsidP="008032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сентября 1932 г. Алкснис отдал своим подчиненным распоряжение: «Предусмотреть заказ не менее 25 самолетов на поплавках в 1932 г. в общем числе Р-5». Но ни одного се</w:t>
      </w:r>
      <w:r w:rsidRPr="00142305">
        <w:rPr>
          <w:rFonts w:ascii="Times New Roman" w:hAnsi="Times New Roman"/>
          <w:color w:val="0070C0"/>
          <w:sz w:val="16"/>
          <w:szCs w:val="16"/>
        </w:rPr>
        <w:softHyphen/>
        <w:t>рийного Р-5а в том году выпущено не было (24990).</w:t>
      </w:r>
    </w:p>
    <w:p w14:paraId="2886C660" w14:textId="77777777" w:rsidR="008032A0" w:rsidRPr="00142305" w:rsidRDefault="008032A0" w:rsidP="008032A0">
      <w:pPr>
        <w:spacing w:after="0" w:line="240" w:lineRule="auto"/>
        <w:jc w:val="both"/>
        <w:rPr>
          <w:rFonts w:ascii="Times New Roman" w:hAnsi="Times New Roman"/>
          <w:color w:val="0070C0"/>
          <w:sz w:val="16"/>
          <w:szCs w:val="16"/>
        </w:rPr>
      </w:pPr>
    </w:p>
    <w:p w14:paraId="202C6D47" w14:textId="77777777" w:rsidR="00C34D7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368F8CF" w14:textId="77777777" w:rsidR="00C34D7E" w:rsidRPr="00E93F40" w:rsidRDefault="00C34D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D1E09FF"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августа 1932, ещё до отъезда перегонщиков, Волынченко подал Генконсулу, по сути, ультиматум: «За последнее время мною замечено по ряду причин и фактов, что отно</w:t>
      </w:r>
      <w:r w:rsidRPr="00E93F40">
        <w:rPr>
          <w:rFonts w:ascii="Times New Roman" w:hAnsi="Times New Roman"/>
          <w:color w:val="000000" w:themeColor="text1"/>
          <w:sz w:val="16"/>
          <w:szCs w:val="16"/>
        </w:rPr>
        <w:softHyphen/>
        <w:t>шение ко мне... изменилось. Большая часть моих советов по вопросам ухода, хранения и эксплуатации матчасти самолётов, строительства аэродрома и ангаров выполняются неточно и чаще того совершенно игнорируются... Снимаю с себя всякую ответствен</w:t>
      </w:r>
      <w:r w:rsidRPr="00E93F40">
        <w:rPr>
          <w:rFonts w:ascii="Times New Roman" w:hAnsi="Times New Roman"/>
          <w:color w:val="000000" w:themeColor="text1"/>
          <w:sz w:val="16"/>
          <w:szCs w:val="16"/>
        </w:rPr>
        <w:softHyphen/>
        <w:t>ность за сохранность матчасти самолётов и дальнейшую работу».</w:t>
      </w:r>
    </w:p>
    <w:p w14:paraId="14724B97"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причиной демарша, по-видимому, явился лётный инцидент с курсантом Ван Чжином. Как докладывал Волынченко, «мною при вывозке китайского лётчика на У-2 не</w:t>
      </w:r>
      <w:r w:rsidRPr="00E93F40">
        <w:rPr>
          <w:rFonts w:ascii="Times New Roman" w:hAnsi="Times New Roman"/>
          <w:color w:val="000000" w:themeColor="text1"/>
          <w:sz w:val="16"/>
          <w:szCs w:val="16"/>
        </w:rPr>
        <w:softHyphen/>
        <w:t>сколько раз указывалось на'грубую ошибку, систематически им повторяемую при захо</w:t>
      </w:r>
      <w:r w:rsidRPr="00E93F40">
        <w:rPr>
          <w:rFonts w:ascii="Times New Roman" w:hAnsi="Times New Roman"/>
          <w:color w:val="000000" w:themeColor="text1"/>
          <w:sz w:val="16"/>
          <w:szCs w:val="16"/>
        </w:rPr>
        <w:softHyphen/>
        <w:t>де на посадку под углом до 45° к «Т» (посадочное полотнище, указывающее направление ветра). На последнее мое замечание... Ван Чжин ответил: «Не беспокойтесь, что я разобью самолёт, таких самолё</w:t>
      </w:r>
      <w:r w:rsidRPr="00E93F40">
        <w:rPr>
          <w:rFonts w:ascii="Times New Roman" w:hAnsi="Times New Roman"/>
          <w:color w:val="000000" w:themeColor="text1"/>
          <w:sz w:val="16"/>
          <w:szCs w:val="16"/>
        </w:rPr>
        <w:softHyphen/>
        <w:t>тов я куплю десяток». Этот ответ мне был переведен только после моих на</w:t>
      </w:r>
      <w:r w:rsidRPr="00E93F40">
        <w:rPr>
          <w:rFonts w:ascii="Times New Roman" w:hAnsi="Times New Roman"/>
          <w:color w:val="000000" w:themeColor="text1"/>
          <w:sz w:val="16"/>
          <w:szCs w:val="16"/>
        </w:rPr>
        <w:softHyphen/>
        <w:t>стоятельных требований. Повторение подобного случая заставит меня катего</w:t>
      </w:r>
      <w:r w:rsidRPr="00E93F40">
        <w:rPr>
          <w:rFonts w:ascii="Times New Roman" w:hAnsi="Times New Roman"/>
          <w:color w:val="000000" w:themeColor="text1"/>
          <w:sz w:val="16"/>
          <w:szCs w:val="16"/>
        </w:rPr>
        <w:softHyphen/>
        <w:t>рически отказаться от лётной работы и просить о выезде в СССР» (15802).</w:t>
      </w:r>
    </w:p>
    <w:p w14:paraId="7FCA8C0F"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186C2219" w14:textId="77777777" w:rsidR="00C34D7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764DC4C" w14:textId="77777777" w:rsidR="00C34D7E" w:rsidRPr="00E93F40" w:rsidRDefault="00C34D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640076"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12 августа в 1932 году французский пилот Марсель Ажелан на французском гоночном самолете </w:t>
      </w:r>
      <w:hyperlink r:id="rId193" w:tgtFrame="_blank" w:history="1">
        <w:r w:rsidRPr="00E93F40">
          <w:rPr>
            <w:rFonts w:ascii="Times New Roman" w:hAnsi="Times New Roman"/>
            <w:color w:val="000000" w:themeColor="text1"/>
            <w:sz w:val="16"/>
            <w:szCs w:val="16"/>
          </w:rPr>
          <w:t xml:space="preserve">«Lorraine Hanriot» «LH-42» </w:t>
        </w:r>
      </w:hyperlink>
      <w:r w:rsidRPr="00E93F40">
        <w:rPr>
          <w:rFonts w:ascii="Times New Roman" w:hAnsi="Times New Roman"/>
          <w:color w:val="000000" w:themeColor="text1"/>
          <w:sz w:val="16"/>
          <w:szCs w:val="16"/>
        </w:rPr>
        <w:t>(регистрационный номер F-ALMF) преодолевает расстояние в 2000 км за 7 часов 34 минуты и 43 секунды,развив при этом среднюю скорость в 263.900 км\час, что и стало новым мировом рекордом скорости на 2000 км без груза (14981).</w:t>
      </w:r>
    </w:p>
    <w:p w14:paraId="6E729930"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3D6BBCF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93D841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00FB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августа 1932 состоялись взвешивание и определение ЦТ самолета БИЧ-7 Парабола ЗОК ЦАГИ в ОЭЛИД для испытаний (2307).</w:t>
      </w:r>
    </w:p>
    <w:p w14:paraId="58BCA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49907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938228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90C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13 и 19 августа 1932. Из протокола заседания Политбюро № 113, 1932 г.</w:t>
      </w:r>
    </w:p>
    <w:p w14:paraId="62A3C2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выходном дне в сельских местностях </w:t>
      </w:r>
    </w:p>
    <w:p w14:paraId="3F617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в сельских местностях (районных центрах и селах) для всех советских, колхозных хозяйственных и общественных предприятий и учреждений, применительно к существующим в сельских местностях условиям, прерывную семидневную неделю с единым выходным днем (воскресенье) (11652).</w:t>
      </w:r>
    </w:p>
    <w:p w14:paraId="1919B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B1EF6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73A9A0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E352882"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13 августа в 1932 году состоялся первый полёт американского гоночного самолета </w:t>
      </w:r>
      <w:hyperlink r:id="rId194" w:tgtFrame="_blank" w:history="1">
        <w:r w:rsidRPr="00E93F40">
          <w:rPr>
            <w:rFonts w:ascii="Times New Roman" w:hAnsi="Times New Roman"/>
            <w:color w:val="000000" w:themeColor="text1"/>
            <w:sz w:val="16"/>
            <w:szCs w:val="16"/>
          </w:rPr>
          <w:t>«Gee Bee» «Model R-1» (2) «Super Sportster».</w:t>
        </w:r>
      </w:hyperlink>
    </w:p>
    <w:p w14:paraId="685FF51E"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7BB6FD0C"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августа 1932 состоялся первый полет Джи Би Р-1 (20803).</w:t>
      </w:r>
    </w:p>
    <w:p w14:paraId="3616A5C1"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1DE1A246" w14:textId="1895C17F"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августа 1932 года — первый полёт гоночного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Gee Bee Model R Super Sportster. /США/</w:t>
      </w:r>
    </w:p>
    <w:p w14:paraId="741B2401" w14:textId="4A2AB684"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фоне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бума авиационных гонок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США в городке Спрингфилд в 1929 году была основана компания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Granville Brothers Aircraft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постройки гоночных самолётов. Одним из самых узнаваемых её проектов стал Gee Bee Model R Super Sportster, работа на которым началась в 1931 году.</w:t>
      </w:r>
    </w:p>
    <w:p w14:paraId="50412CA1" w14:textId="1AD268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Model R представлял собой низкоплан с неубираемым шасси и смещённой назад кабиной пилота. За свой внешний вид получил прозвище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«Летающий бочонок»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(The Flying Barrel) В версии Model R-1 оснащался двигателем Pratt &amp; Whitney R-1340 Wasp (800 л.с.) Максимальная скорость — 476 км/ч.</w:t>
      </w:r>
    </w:p>
    <w:p w14:paraId="6F59F679" w14:textId="525E1253"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Было построено 2 самолёта, отличавшихся двигателями. На Model R-1 лётчик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Джимми Дулиттл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(Jimmy Doolittle) выиграл гонку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Thompson Trophy 1932 года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установил мировой рекорд скорости. К сожалению, через год оба самолёта разбились. А в 1935 году разбился и третий, собранный из частей первых двух Model R. Сегодня в мире существуют лишь реплики Gee Bee Model R (22300).</w:t>
      </w:r>
    </w:p>
    <w:p w14:paraId="695185ED"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444B5D5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августа 1932 в Риме Маркони провел первое испытание коротковолнового радио (4962).</w:t>
      </w:r>
    </w:p>
    <w:p w14:paraId="1A48732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5660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августа 1932 Гитлер отклонил предложение занять пост вице-канцлера Германии, заявив, что ему нужно «все или ничего» (4962).</w:t>
      </w:r>
    </w:p>
    <w:p w14:paraId="7AD7AE0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3BF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августа 1932 А.Г. отказался от предложения президента Гинденбурга занять пост вице канцлера при Ф. Фон Папене (3907,173).</w:t>
      </w:r>
    </w:p>
    <w:p w14:paraId="7BA76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3042F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986B34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97D2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состоялись испытания БИЧ-7 Парабола Черановского на рулежку и подлеты (2307).</w:t>
      </w:r>
    </w:p>
    <w:p w14:paraId="1E745F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9113F6" w14:textId="77777777" w:rsidR="00316B7A" w:rsidRPr="00E93F40" w:rsidRDefault="00316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14-15 авгу</w:t>
      </w:r>
      <w:r w:rsidRPr="00E93F40">
        <w:rPr>
          <w:rFonts w:ascii="Times New Roman" w:hAnsi="Times New Roman"/>
          <w:color w:val="000000" w:themeColor="text1"/>
          <w:sz w:val="16"/>
          <w:szCs w:val="16"/>
        </w:rPr>
        <w:softHyphen/>
        <w:t>ста 1932 на Центральном аэродроме Москвы состоялись первые подлеты БИЧ-7А, которые обнаружили ряд мелких недостатков и недоделок. После их устранения, 19 ок</w:t>
      </w:r>
      <w:r w:rsidRPr="00E93F40">
        <w:rPr>
          <w:rFonts w:ascii="Times New Roman" w:hAnsi="Times New Roman"/>
          <w:color w:val="000000" w:themeColor="text1"/>
          <w:sz w:val="16"/>
          <w:szCs w:val="16"/>
        </w:rPr>
        <w:softHyphen/>
        <w:t>тября 1932 г. состоялся первый полет по кругу на высоте 1000 м. Последующие полеты, предпринятые 23, 26 и 27 октя</w:t>
      </w:r>
      <w:r w:rsidRPr="00E93F40">
        <w:rPr>
          <w:rFonts w:ascii="Times New Roman" w:hAnsi="Times New Roman"/>
          <w:color w:val="000000" w:themeColor="text1"/>
          <w:sz w:val="16"/>
          <w:szCs w:val="16"/>
        </w:rPr>
        <w:softHyphen/>
        <w:t>бря выявили высокое давление на ручку управления. Недостаток устранили вве</w:t>
      </w:r>
      <w:r w:rsidRPr="00E93F40">
        <w:rPr>
          <w:rFonts w:ascii="Times New Roman" w:hAnsi="Times New Roman"/>
          <w:color w:val="000000" w:themeColor="text1"/>
          <w:sz w:val="16"/>
          <w:szCs w:val="16"/>
        </w:rPr>
        <w:softHyphen/>
        <w:t>дением небольшой регулируемой пла</w:t>
      </w:r>
      <w:r w:rsidRPr="00E93F40">
        <w:rPr>
          <w:rFonts w:ascii="Times New Roman" w:hAnsi="Times New Roman"/>
          <w:color w:val="000000" w:themeColor="text1"/>
          <w:sz w:val="16"/>
          <w:szCs w:val="16"/>
        </w:rPr>
        <w:softHyphen/>
        <w:t>стинки на задней кромке руля высоты. До 21 декабря 1932 г. БИЧ-7А выполнил 15 полноценных полетов.</w:t>
      </w:r>
    </w:p>
    <w:p w14:paraId="65B7B0C9" w14:textId="77777777" w:rsidR="00316B7A" w:rsidRPr="00E93F40" w:rsidRDefault="00316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БИЧ-7А во всех отчетах официально именовался «Пара</w:t>
      </w:r>
      <w:r w:rsidRPr="00E93F40">
        <w:rPr>
          <w:rFonts w:ascii="Times New Roman" w:hAnsi="Times New Roman"/>
          <w:color w:val="000000" w:themeColor="text1"/>
          <w:sz w:val="16"/>
          <w:szCs w:val="16"/>
        </w:rPr>
        <w:softHyphen/>
        <w:t>бола». Было оборудовано нормальное двухстоечное шасси, закрытая кабина летчиков и мощное однокилевое опере</w:t>
      </w:r>
      <w:r w:rsidRPr="00E93F40">
        <w:rPr>
          <w:rFonts w:ascii="Times New Roman" w:hAnsi="Times New Roman"/>
          <w:color w:val="000000" w:themeColor="text1"/>
          <w:sz w:val="16"/>
          <w:szCs w:val="16"/>
        </w:rPr>
        <w:softHyphen/>
        <w:t>ние. Все работы велись на заводе опыт</w:t>
      </w:r>
      <w:r w:rsidRPr="00E93F40">
        <w:rPr>
          <w:rFonts w:ascii="Times New Roman" w:hAnsi="Times New Roman"/>
          <w:color w:val="000000" w:themeColor="text1"/>
          <w:sz w:val="16"/>
          <w:szCs w:val="16"/>
        </w:rPr>
        <w:softHyphen/>
        <w:t>ных конструкций (ЗОК) ЦАГИ (27 августа 1931 г. ЦКБ и ЦАГИ объединили в еди</w:t>
      </w:r>
      <w:r w:rsidRPr="00E93F40">
        <w:rPr>
          <w:rFonts w:ascii="Times New Roman" w:hAnsi="Times New Roman"/>
          <w:color w:val="000000" w:themeColor="text1"/>
          <w:sz w:val="16"/>
          <w:szCs w:val="16"/>
        </w:rPr>
        <w:softHyphen/>
        <w:t>ную организацию - ЦКБ-ЦАГИ) (17470).</w:t>
      </w:r>
    </w:p>
    <w:p w14:paraId="530608ED" w14:textId="77777777" w:rsidR="00316B7A" w:rsidRPr="00E93F40" w:rsidRDefault="00316B7A" w:rsidP="00E93F40">
      <w:pPr>
        <w:spacing w:after="0" w:line="240" w:lineRule="auto"/>
        <w:jc w:val="both"/>
        <w:rPr>
          <w:rFonts w:ascii="Times New Roman" w:hAnsi="Times New Roman"/>
          <w:color w:val="000000" w:themeColor="text1"/>
          <w:sz w:val="16"/>
          <w:szCs w:val="16"/>
        </w:rPr>
      </w:pPr>
    </w:p>
    <w:p w14:paraId="29915A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состоялось совещание у Нач. ЦАГИ Харламова (с участием С.В.И.) о пятилетнем плане развития серийного самолетостроения. Отметили, что большие планы по количеству требуют а) выделение в производство доработанных образцов, свободных от дефектов, б) максимальной продолжительности нахождения в производстве одного типа (2329,186).</w:t>
      </w:r>
    </w:p>
    <w:p w14:paraId="483FD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w:t>
      </w:r>
    </w:p>
    <w:p w14:paraId="5420B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совещания у начальника ЦАГИ т. Харламова</w:t>
      </w:r>
    </w:p>
    <w:p w14:paraId="074000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Присутствовали: Харламов, Туполев, Ильюшин, Мальцев, Васильев</w:t>
      </w:r>
    </w:p>
    <w:p w14:paraId="3D55F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Харламов</w:t>
      </w:r>
    </w:p>
    <w:p w14:paraId="2596C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пятилетнем плане развития серийного самолетостроения</w:t>
      </w:r>
    </w:p>
    <w:p w14:paraId="247D4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Отметить, что большие количественные масштабы производства самолетов во второй пятилетке требуют:</w:t>
      </w:r>
    </w:p>
    <w:p w14:paraId="750808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внедрения в производство вполне доработанного образца. Свободного от мелко-конструктивных, производственных и эксплоатационных дефектов,</w:t>
      </w:r>
    </w:p>
    <w:p w14:paraId="50318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максимальной продолжительности нахождения в производстве одного типа.</w:t>
      </w:r>
    </w:p>
    <w:p w14:paraId="16916F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Отмеченные в п. 1 требования вызывают необходимость со стороны ЦАГИ сосредоточить максимальное внимание на доработке опытного образца, проведении исчерпывающих летных испытаний и организации длительных эксплоатационных испытаний, что возможно при загрузке ЦАГИ исключительно опытными работами.</w:t>
      </w:r>
    </w:p>
    <w:p w14:paraId="647CC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Поручить КО дать соображения о количестве различных материалов (сталь, дюраль, дерево), потребных для осуществления пятилетнего плана серийного производства самолетов.</w:t>
      </w:r>
    </w:p>
    <w:p w14:paraId="21456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вооружению</w:t>
      </w:r>
    </w:p>
    <w:p w14:paraId="7EABE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Считать, что вопросы вооружения не получили должной оценки и отражения в перспективном плане авиапромышленности.</w:t>
      </w:r>
    </w:p>
    <w:p w14:paraId="24DA3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считает что:</w:t>
      </w:r>
    </w:p>
    <w:p w14:paraId="61BC88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намеченная производственная мощность завода будет недостаточна, ибо новые объекты вооружения делаются более сложными, чем предыдущие и требуют чрезвычайного внимания и высокой квалификации рабочих, а также соответствующего механического оборудования, приближающегося по своему типу к производству оружейному.</w:t>
      </w:r>
    </w:p>
    <w:p w14:paraId="18DEF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намеченный к развертыванию завод № 32 не пригоден, обо существующая территория и помещения не позволяют развернуть и правильно организовать производство на заводе на намеченную мощность.</w:t>
      </w:r>
    </w:p>
    <w:p w14:paraId="3C64EE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большое разнообразие изделий, намеченных к производству на двух заводах, будет тормозить... (2389,197).</w:t>
      </w:r>
    </w:p>
    <w:p w14:paraId="07317A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0148ED" w14:textId="77777777" w:rsidR="00F27E3F" w:rsidRPr="00E93F40" w:rsidRDefault="00F27E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г. приказом начальника ГУ ГВФ № 172 введены опознавательные знаки на всех воздушных судах согласно Воздушного кодекса СССР, который был введен в действие 31 августа 1932 года.</w:t>
      </w:r>
    </w:p>
    <w:p w14:paraId="39579705" w14:textId="77777777" w:rsidR="00F27E3F" w:rsidRPr="00E93F40" w:rsidRDefault="00F27E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/"Гражданская авиация”, 1938 № 2/ (23370).</w:t>
      </w:r>
    </w:p>
    <w:p w14:paraId="70497C5F" w14:textId="77777777" w:rsidR="00F27E3F" w:rsidRPr="00E93F40" w:rsidRDefault="00F27E3F" w:rsidP="00E93F40">
      <w:pPr>
        <w:spacing w:after="0" w:line="240" w:lineRule="auto"/>
        <w:jc w:val="both"/>
        <w:rPr>
          <w:rFonts w:ascii="Times New Roman" w:hAnsi="Times New Roman"/>
          <w:color w:val="000000" w:themeColor="text1"/>
          <w:sz w:val="16"/>
          <w:szCs w:val="16"/>
        </w:rPr>
      </w:pPr>
    </w:p>
    <w:p w14:paraId="102C3D1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г. был установлен неофициальный мировой рекорд высоты полета на вертолете ЦАГИ 1-ЭА установил летчик и ученый А.М.Черемухин - 605 м (6395).</w:t>
      </w:r>
    </w:p>
    <w:p w14:paraId="0C2FC87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96645F" w14:textId="222E3E59" w:rsidR="00C22673" w:rsidRPr="00E93F40" w:rsidRDefault="00C226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г. установлен первый советский рекорд на геликоптере. Летчик-инженер Алексей Михайлович Черемухин на геликоптере своей конструкции ЦАГИ 1-ЭА поднялся на высоту 605 м, во много раз перекрыл официальный мировой рекорд 18 м, устаиовленный в 1930 году на итальянском вертолете-геликоптере Асканио. Рекорд Черемухина был перекрыт только в 1937 году в Германки.</w:t>
      </w:r>
    </w:p>
    <w:p w14:paraId="65956853" w14:textId="77777777" w:rsidR="00C22673" w:rsidRPr="00E93F40" w:rsidRDefault="00C226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/Г.М.Изаксон. Геликоптеры, 1947, стр. 110-113/ (23370).</w:t>
      </w:r>
    </w:p>
    <w:p w14:paraId="2FD033DC" w14:textId="77777777" w:rsidR="00C22673" w:rsidRPr="00E93F40" w:rsidRDefault="00C22673" w:rsidP="00E93F40">
      <w:pPr>
        <w:spacing w:after="0" w:line="240" w:lineRule="auto"/>
        <w:jc w:val="both"/>
        <w:rPr>
          <w:rFonts w:ascii="Times New Roman" w:hAnsi="Times New Roman"/>
          <w:color w:val="000000" w:themeColor="text1"/>
          <w:sz w:val="16"/>
          <w:szCs w:val="16"/>
        </w:rPr>
      </w:pPr>
    </w:p>
    <w:p w14:paraId="202B1A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г. на ЦАГИ-1ЭА наблюдалось ненор</w:t>
      </w:r>
      <w:r w:rsidRPr="00E93F40">
        <w:rPr>
          <w:rFonts w:ascii="Times New Roman" w:hAnsi="Times New Roman"/>
          <w:color w:val="000000" w:themeColor="text1"/>
          <w:sz w:val="16"/>
          <w:szCs w:val="16"/>
        </w:rPr>
        <w:softHyphen/>
        <w:t>мальное поведение несущего винта на некоторых режимах сни</w:t>
      </w:r>
      <w:r w:rsidRPr="00E93F40">
        <w:rPr>
          <w:rFonts w:ascii="Times New Roman" w:hAnsi="Times New Roman"/>
          <w:color w:val="000000" w:themeColor="text1"/>
          <w:sz w:val="16"/>
          <w:szCs w:val="16"/>
        </w:rPr>
        <w:softHyphen/>
        <w:t>жения геликоптера с работающими двигателями, т. е. на режиме торможения (10736).</w:t>
      </w:r>
    </w:p>
    <w:p w14:paraId="30B50D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AAA8A" w14:textId="21B005DE"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w:t>
      </w:r>
      <w:r w:rsidRPr="00E93F40">
        <w:rPr>
          <w:rFonts w:ascii="Times New Roman" w:hAnsi="Times New Roman"/>
          <w:color w:val="000000" w:themeColor="text1"/>
          <w:sz w:val="16"/>
          <w:szCs w:val="16"/>
        </w:rPr>
        <w:softHyphen/>
        <w:t>та 1932 г. Черемухин ЦАГИ 1-ЭА достиг высоты 605 м, что являлось выдающимся результатом мирового значения. Даже офи</w:t>
      </w:r>
      <w:r w:rsidRPr="00E93F40">
        <w:rPr>
          <w:rFonts w:ascii="Times New Roman" w:hAnsi="Times New Roman"/>
          <w:color w:val="000000" w:themeColor="text1"/>
          <w:sz w:val="16"/>
          <w:szCs w:val="16"/>
        </w:rPr>
        <w:softHyphen/>
        <w:t>циально зарегистрированный в 1936 г. мировой рекорд вы</w:t>
      </w:r>
      <w:r w:rsidRPr="00E93F40">
        <w:rPr>
          <w:rFonts w:ascii="Times New Roman" w:hAnsi="Times New Roman"/>
          <w:color w:val="000000" w:themeColor="text1"/>
          <w:sz w:val="16"/>
          <w:szCs w:val="16"/>
        </w:rPr>
        <w:softHyphen/>
        <w:t>соты французского вертолета «Бреге-Доран» составлял всего 158 м (20361).</w:t>
      </w:r>
    </w:p>
    <w:p w14:paraId="7A0D488C" w14:textId="77777777" w:rsidR="00F936E2" w:rsidRPr="00E93F40" w:rsidRDefault="00F936E2" w:rsidP="00E93F40">
      <w:pPr>
        <w:shd w:val="clear" w:color="auto" w:fill="FFFFFF"/>
        <w:spacing w:after="0" w:line="240" w:lineRule="auto"/>
        <w:jc w:val="both"/>
        <w:rPr>
          <w:rFonts w:ascii="Times New Roman" w:hAnsi="Times New Roman"/>
          <w:color w:val="000000" w:themeColor="text1"/>
          <w:sz w:val="16"/>
          <w:szCs w:val="16"/>
        </w:rPr>
      </w:pPr>
    </w:p>
    <w:p w14:paraId="2CC672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(1 - 438,633) августа 1932 А.М.Черемухин на ЦАГИ-1-ЭА поднялся на 605 м (271,130).</w:t>
      </w:r>
    </w:p>
    <w:p w14:paraId="5417F0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84C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состоялся рекордный полет на геликоптере 1-ЭА на высоту. Летал А.М.Черемухин и поднялся на 605 м. При спуске из-за неустойчивости режима подломили. До этого летали стабильно с ростом: 1 - на 180 м, 3 - на 230 м, 5 - на 285 м. Всего же на 1-ЭА налетали 43 час., в т.ч. 4 в свободном полете за 39 полетов (2666,87).</w:t>
      </w:r>
    </w:p>
    <w:p w14:paraId="40EAF6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F03CC2"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августа в 1932 году неофициальный мировой рекорд высоты полета на вертолете </w:t>
      </w:r>
      <w:hyperlink r:id="rId195" w:tgtFrame="_blank" w:history="1">
        <w:r w:rsidRPr="00E93F40">
          <w:rPr>
            <w:rFonts w:ascii="Times New Roman" w:hAnsi="Times New Roman"/>
            <w:color w:val="000000" w:themeColor="text1"/>
            <w:sz w:val="16"/>
            <w:szCs w:val="16"/>
          </w:rPr>
          <w:t xml:space="preserve">«ЦАГИ 1-ЭА» </w:t>
        </w:r>
      </w:hyperlink>
      <w:r w:rsidRPr="00E93F40">
        <w:rPr>
          <w:rFonts w:ascii="Times New Roman" w:hAnsi="Times New Roman"/>
          <w:color w:val="000000" w:themeColor="text1"/>
          <w:sz w:val="16"/>
          <w:szCs w:val="16"/>
        </w:rPr>
        <w:t>установил летчик и ученый А.М.Черемухин - 605 м. Первый советский вертолет 1-ЭА был построен Б. Юрьевым и А. Черемухиным. «ЦАГИ 1-ЭА» первый советский экспериментальный вертолёт, спроектированный и построенный в ЦАГИ в 1930. Общее руководство проектированием осуществлял Б.Н.Юрьев, а конструктивную разработку возглавлял А.М.Черёмухин (он же пилотировал вертолёт при лётных испытаниях). Вертолёт выполнен по схеме с одним несущим винтом (НВ) и четырьмя рулевыми винтами (РВ). HB четырёхлопастной, диаметр 11 м, с жёстким креплением лопастей к втулке (с осевым шарниром), с автоматом перекоса. Вместо цельнометаллических лопастей на HB вскоре были установлены лопасти смешанной деревянно-металлической конструкции (с дуралюминиевым лонжероном). РВ металлические двухлопастные. Силовая установка — два ПД «М-2» мощностью по 88,3 кВт. Фюзеляж ферменной конструкции, длина вертолёта с РВ 12,8 м. Взлётная масса 1145 кг, скорость полёта 20—30 км/ч. Первый полет «ЦАГИ 1-ЭА» совершил в августе 1930 года. Конструкция вертолета была несовершенной, поэтому после экспериментального полета работы были приостановлены (14983).</w:t>
      </w:r>
    </w:p>
    <w:p w14:paraId="6B5794DF"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19F72A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года конструктор вертолета, он же его лет</w:t>
      </w:r>
      <w:r w:rsidRPr="00E93F40">
        <w:rPr>
          <w:rFonts w:ascii="Times New Roman" w:hAnsi="Times New Roman"/>
          <w:color w:val="000000" w:themeColor="text1"/>
          <w:sz w:val="16"/>
          <w:szCs w:val="16"/>
        </w:rPr>
        <w:softHyphen/>
        <w:t>чик-испытатель, А.М.Черемухин установил в Ухтомской на вертолете 1-ЭА рекорд вы</w:t>
      </w:r>
      <w:r w:rsidRPr="00E93F40">
        <w:rPr>
          <w:rFonts w:ascii="Times New Roman" w:hAnsi="Times New Roman"/>
          <w:color w:val="000000" w:themeColor="text1"/>
          <w:sz w:val="16"/>
          <w:szCs w:val="16"/>
        </w:rPr>
        <w:softHyphen/>
        <w:t>соты подъема — 605 метров (не был заявлен для официальной регистрации в ФАЙ по соображениям секретности). Ныне на этом месте воздвигнута памятная стела — устремленная в небо титановая лопасть с вьющейся во</w:t>
      </w:r>
      <w:r w:rsidRPr="00E93F40">
        <w:rPr>
          <w:rFonts w:ascii="Times New Roman" w:hAnsi="Times New Roman"/>
          <w:color w:val="000000" w:themeColor="text1"/>
          <w:sz w:val="16"/>
          <w:szCs w:val="16"/>
        </w:rPr>
        <w:softHyphen/>
        <w:t>круг нее змейкой, на конце которой застыл силуэт взлетающего вертолета. Распоряжением Губернатора Московской области от 27 февраля 2002 года одна из новых улиц «Ухтомки» получила название улицы Черемухина (10224, 37).</w:t>
      </w:r>
    </w:p>
    <w:p w14:paraId="3A1D6B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A8CD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года на вер</w:t>
      </w:r>
      <w:r w:rsidRPr="00E93F40">
        <w:rPr>
          <w:rFonts w:ascii="Times New Roman" w:hAnsi="Times New Roman"/>
          <w:color w:val="000000" w:themeColor="text1"/>
          <w:sz w:val="16"/>
          <w:szCs w:val="16"/>
        </w:rPr>
        <w:softHyphen/>
        <w:t>толете 1-ЭА достигнута рекордная для того времени высота полета - 605 м. В ознаменование этого выдающегося мирового достижения в 1988 году на месте бывшего Ухтомского аэродро</w:t>
      </w:r>
      <w:r w:rsidRPr="00E93F40">
        <w:rPr>
          <w:rFonts w:ascii="Times New Roman" w:hAnsi="Times New Roman"/>
          <w:color w:val="000000" w:themeColor="text1"/>
          <w:sz w:val="16"/>
          <w:szCs w:val="16"/>
        </w:rPr>
        <w:softHyphen/>
        <w:t>ма был установлен памятник в виде лопасти несущего винта и силуэта вертолета на спиральной траектории (10735).</w:t>
      </w:r>
    </w:p>
    <w:p w14:paraId="07D2DC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55C573"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года на вертолете 1-ЭА достигнута рекордная для того времени высота полета - 605 м. В ознаменование этого выдающегося мирового достижения в 1988 году на месте бывшего Ухтомского аэродрома был установлен памятник в виде лопасти несущего винта и силуэта вертолета на спиральной траектории. В 1934 году Черемухин продолжил летные испытания уже новой модели геликоптера ЦАГИ 5-ЭА. В 1936 году он назначается главным инженером ЦАГИ, а в 1937 году был незаконно репрессирован (19010).</w:t>
      </w:r>
    </w:p>
    <w:p w14:paraId="5884A677" w14:textId="77777777" w:rsidR="00AA089E" w:rsidRPr="00E93F40" w:rsidRDefault="00AA089E" w:rsidP="00E93F40">
      <w:pPr>
        <w:spacing w:after="0" w:line="240" w:lineRule="auto"/>
        <w:jc w:val="both"/>
        <w:rPr>
          <w:rFonts w:ascii="Times New Roman" w:hAnsi="Times New Roman"/>
          <w:color w:val="000000" w:themeColor="text1"/>
          <w:sz w:val="16"/>
          <w:szCs w:val="16"/>
        </w:rPr>
      </w:pPr>
    </w:p>
    <w:p w14:paraId="73F30D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года вертолет ЦАГИ 1 -ЭА, пилотируемый авиаконструктором и летчиком А.М. Черемухиным, достиг высоты 605 м. Это дос</w:t>
      </w:r>
      <w:r w:rsidRPr="00E93F40">
        <w:rPr>
          <w:rFonts w:ascii="Times New Roman" w:hAnsi="Times New Roman"/>
          <w:color w:val="000000" w:themeColor="text1"/>
          <w:sz w:val="16"/>
          <w:szCs w:val="16"/>
        </w:rPr>
        <w:softHyphen/>
        <w:t>тижение было зафиксировано на ба</w:t>
      </w:r>
      <w:r w:rsidRPr="00E93F40">
        <w:rPr>
          <w:rFonts w:ascii="Times New Roman" w:hAnsi="Times New Roman"/>
          <w:color w:val="000000" w:themeColor="text1"/>
          <w:sz w:val="16"/>
          <w:szCs w:val="16"/>
        </w:rPr>
        <w:softHyphen/>
        <w:t>рограмме полета, однако не представ</w:t>
      </w:r>
      <w:r w:rsidRPr="00E93F40">
        <w:rPr>
          <w:rFonts w:ascii="Times New Roman" w:hAnsi="Times New Roman"/>
          <w:color w:val="000000" w:themeColor="text1"/>
          <w:sz w:val="16"/>
          <w:szCs w:val="16"/>
        </w:rPr>
        <w:softHyphen/>
        <w:t>лено для утверждения в качестве ми</w:t>
      </w:r>
      <w:r w:rsidRPr="00E93F40">
        <w:rPr>
          <w:rFonts w:ascii="Times New Roman" w:hAnsi="Times New Roman"/>
          <w:color w:val="000000" w:themeColor="text1"/>
          <w:sz w:val="16"/>
          <w:szCs w:val="16"/>
        </w:rPr>
        <w:softHyphen/>
        <w:t>рового рекорда. Все работы по со</w:t>
      </w:r>
      <w:r w:rsidRPr="00E93F40">
        <w:rPr>
          <w:rFonts w:ascii="Times New Roman" w:hAnsi="Times New Roman"/>
          <w:color w:val="000000" w:themeColor="text1"/>
          <w:sz w:val="16"/>
          <w:szCs w:val="16"/>
        </w:rPr>
        <w:softHyphen/>
        <w:t>зданию вертолета держались в боль</w:t>
      </w:r>
      <w:r w:rsidRPr="00E93F40">
        <w:rPr>
          <w:rFonts w:ascii="Times New Roman" w:hAnsi="Times New Roman"/>
          <w:color w:val="000000" w:themeColor="text1"/>
          <w:sz w:val="16"/>
          <w:szCs w:val="16"/>
        </w:rPr>
        <w:softHyphen/>
        <w:t>шом секрете, поэтому о рекордном полете долго не знали не только в мире, но и в нашей стране. Много лет спустя А.Н. Туполев, вспоминая об этом, сказал: «...Нам не удалось в свое время опубликовать эти рекорды А.М. Черемухина, что, бесспорно, принес</w:t>
      </w:r>
      <w:r w:rsidRPr="00E93F40">
        <w:rPr>
          <w:rFonts w:ascii="Times New Roman" w:hAnsi="Times New Roman"/>
          <w:color w:val="000000" w:themeColor="text1"/>
          <w:sz w:val="16"/>
          <w:szCs w:val="16"/>
        </w:rPr>
        <w:softHyphen/>
        <w:t>ло бы отечественному вертолету ми</w:t>
      </w:r>
      <w:r w:rsidRPr="00E93F40">
        <w:rPr>
          <w:rFonts w:ascii="Times New Roman" w:hAnsi="Times New Roman"/>
          <w:color w:val="000000" w:themeColor="text1"/>
          <w:sz w:val="16"/>
          <w:szCs w:val="16"/>
        </w:rPr>
        <w:softHyphen/>
        <w:t>ровую известность». ЦАГИ 1-ЭА был выполнен по одно</w:t>
      </w:r>
      <w:r w:rsidRPr="00E93F40">
        <w:rPr>
          <w:rFonts w:ascii="Times New Roman" w:hAnsi="Times New Roman"/>
          <w:color w:val="000000" w:themeColor="text1"/>
          <w:sz w:val="16"/>
          <w:szCs w:val="16"/>
        </w:rPr>
        <w:softHyphen/>
        <w:t>винтовой схеме с четырехлопастным не</w:t>
      </w:r>
      <w:r w:rsidRPr="00E93F40">
        <w:rPr>
          <w:rFonts w:ascii="Times New Roman" w:hAnsi="Times New Roman"/>
          <w:color w:val="000000" w:themeColor="text1"/>
          <w:sz w:val="16"/>
          <w:szCs w:val="16"/>
        </w:rPr>
        <w:softHyphen/>
        <w:t>сущим винтом и двумя ротативными поршневыми двигателями М-2 мощно</w:t>
      </w:r>
      <w:r w:rsidRPr="00E93F40">
        <w:rPr>
          <w:rFonts w:ascii="Times New Roman" w:hAnsi="Times New Roman"/>
          <w:color w:val="000000" w:themeColor="text1"/>
          <w:sz w:val="16"/>
          <w:szCs w:val="16"/>
        </w:rPr>
        <w:softHyphen/>
        <w:t>стью по 120 л.с. каждый. Четыре руле</w:t>
      </w:r>
      <w:r w:rsidRPr="00E93F40">
        <w:rPr>
          <w:rFonts w:ascii="Times New Roman" w:hAnsi="Times New Roman"/>
          <w:color w:val="000000" w:themeColor="text1"/>
          <w:sz w:val="16"/>
          <w:szCs w:val="16"/>
        </w:rPr>
        <w:softHyphen/>
        <w:t>вых винта, установленные попарно в носовой и хвостовой частях ферменно-го фюзеляжа, уравновешивали реактивный крутящий момент несуще</w:t>
      </w:r>
      <w:r w:rsidRPr="00E93F40">
        <w:rPr>
          <w:rFonts w:ascii="Times New Roman" w:hAnsi="Times New Roman"/>
          <w:color w:val="000000" w:themeColor="text1"/>
          <w:sz w:val="16"/>
          <w:szCs w:val="16"/>
        </w:rPr>
        <w:softHyphen/>
        <w:t>го винта. Четырехлопастный несущий винт диаметром 11 м имел лопасти сме</w:t>
      </w:r>
      <w:r w:rsidRPr="00E93F40">
        <w:rPr>
          <w:rFonts w:ascii="Times New Roman" w:hAnsi="Times New Roman"/>
          <w:color w:val="000000" w:themeColor="text1"/>
          <w:sz w:val="16"/>
          <w:szCs w:val="16"/>
        </w:rPr>
        <w:softHyphen/>
        <w:t>шанной конструкции с металлическим лонжероном, деревянными нервюрами и стрингерами и полотняной обшив</w:t>
      </w:r>
      <w:r w:rsidRPr="00E93F40">
        <w:rPr>
          <w:rFonts w:ascii="Times New Roman" w:hAnsi="Times New Roman"/>
          <w:color w:val="000000" w:themeColor="text1"/>
          <w:sz w:val="16"/>
          <w:szCs w:val="16"/>
        </w:rPr>
        <w:softHyphen/>
        <w:t>кой. Они отличались сложной эллипти</w:t>
      </w:r>
      <w:r w:rsidRPr="00E93F40">
        <w:rPr>
          <w:rFonts w:ascii="Times New Roman" w:hAnsi="Times New Roman"/>
          <w:color w:val="000000" w:themeColor="text1"/>
          <w:sz w:val="16"/>
          <w:szCs w:val="16"/>
        </w:rPr>
        <w:softHyphen/>
        <w:t>ческой формой в плане и совершен</w:t>
      </w:r>
      <w:r w:rsidRPr="00E93F40">
        <w:rPr>
          <w:rFonts w:ascii="Times New Roman" w:hAnsi="Times New Roman"/>
          <w:color w:val="000000" w:themeColor="text1"/>
          <w:sz w:val="16"/>
          <w:szCs w:val="16"/>
        </w:rPr>
        <w:softHyphen/>
        <w:t>ной для того времени аэродинамичес</w:t>
      </w:r>
      <w:r w:rsidRPr="00E93F40">
        <w:rPr>
          <w:rFonts w:ascii="Times New Roman" w:hAnsi="Times New Roman"/>
          <w:color w:val="000000" w:themeColor="text1"/>
          <w:sz w:val="16"/>
          <w:szCs w:val="16"/>
        </w:rPr>
        <w:softHyphen/>
        <w:t>кой компоновкой, обеспечивающей высокие тяговые характеристики несу</w:t>
      </w:r>
      <w:r w:rsidRPr="00E93F40">
        <w:rPr>
          <w:rFonts w:ascii="Times New Roman" w:hAnsi="Times New Roman"/>
          <w:color w:val="000000" w:themeColor="text1"/>
          <w:sz w:val="16"/>
          <w:szCs w:val="16"/>
        </w:rPr>
        <w:softHyphen/>
        <w:t>щего винта. Летательный аппарат имел трехопорное шасси с хвостовым коле</w:t>
      </w:r>
      <w:r w:rsidRPr="00E93F40">
        <w:rPr>
          <w:rFonts w:ascii="Times New Roman" w:hAnsi="Times New Roman"/>
          <w:color w:val="000000" w:themeColor="text1"/>
          <w:sz w:val="16"/>
          <w:szCs w:val="16"/>
        </w:rPr>
        <w:softHyphen/>
        <w:t>сом, как у самолета.</w:t>
      </w:r>
    </w:p>
    <w:p w14:paraId="4E5331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вертолете была реализована система управления общим и цикли</w:t>
      </w:r>
      <w:r w:rsidRPr="00E93F40">
        <w:rPr>
          <w:rFonts w:ascii="Times New Roman" w:hAnsi="Times New Roman"/>
          <w:color w:val="000000" w:themeColor="text1"/>
          <w:sz w:val="16"/>
          <w:szCs w:val="16"/>
        </w:rPr>
        <w:softHyphen/>
        <w:t>ческим шагом лопастей несущего вин</w:t>
      </w:r>
      <w:r w:rsidRPr="00E93F40">
        <w:rPr>
          <w:rFonts w:ascii="Times New Roman" w:hAnsi="Times New Roman"/>
          <w:color w:val="000000" w:themeColor="text1"/>
          <w:sz w:val="16"/>
          <w:szCs w:val="16"/>
        </w:rPr>
        <w:softHyphen/>
        <w:t>та с помощью автомата перекоса конструкции Б.Н. Юрьева. Перемеще</w:t>
      </w:r>
      <w:r w:rsidRPr="00E93F40">
        <w:rPr>
          <w:rFonts w:ascii="Times New Roman" w:hAnsi="Times New Roman"/>
          <w:color w:val="000000" w:themeColor="text1"/>
          <w:sz w:val="16"/>
          <w:szCs w:val="16"/>
        </w:rPr>
        <w:softHyphen/>
        <w:t>ния и отклонения автомата перекоса обеспечивались отклонением ручки уп</w:t>
      </w:r>
      <w:r w:rsidRPr="00E93F40">
        <w:rPr>
          <w:rFonts w:ascii="Times New Roman" w:hAnsi="Times New Roman"/>
          <w:color w:val="000000" w:themeColor="text1"/>
          <w:sz w:val="16"/>
          <w:szCs w:val="16"/>
        </w:rPr>
        <w:softHyphen/>
        <w:t>равления и рычага общего шага. При помощи этого же рычага несущий винт переводился на малый шаг, необходи</w:t>
      </w:r>
      <w:r w:rsidRPr="00E93F40">
        <w:rPr>
          <w:rFonts w:ascii="Times New Roman" w:hAnsi="Times New Roman"/>
          <w:color w:val="000000" w:themeColor="text1"/>
          <w:sz w:val="16"/>
          <w:szCs w:val="16"/>
        </w:rPr>
        <w:softHyphen/>
        <w:t>мый для перехода вертолета на ре</w:t>
      </w:r>
      <w:r w:rsidRPr="00E93F40">
        <w:rPr>
          <w:rFonts w:ascii="Times New Roman" w:hAnsi="Times New Roman"/>
          <w:color w:val="000000" w:themeColor="text1"/>
          <w:sz w:val="16"/>
          <w:szCs w:val="16"/>
        </w:rPr>
        <w:softHyphen/>
        <w:t>жим авторотирующего безмоторного спуска. Чтобы развернуть вертолет, до</w:t>
      </w:r>
      <w:r w:rsidRPr="00E93F40">
        <w:rPr>
          <w:rFonts w:ascii="Times New Roman" w:hAnsi="Times New Roman"/>
          <w:color w:val="000000" w:themeColor="text1"/>
          <w:sz w:val="16"/>
          <w:szCs w:val="16"/>
        </w:rPr>
        <w:softHyphen/>
        <w:t>статочно было изменить шаг рулевых винтов, что достигалось отклонением ножных педалей, связанных тросами с поворотными механизмами рулевых винтов. Такая система управления ста</w:t>
      </w:r>
      <w:r w:rsidRPr="00E93F40">
        <w:rPr>
          <w:rFonts w:ascii="Times New Roman" w:hAnsi="Times New Roman"/>
          <w:color w:val="000000" w:themeColor="text1"/>
          <w:sz w:val="16"/>
          <w:szCs w:val="16"/>
        </w:rPr>
        <w:softHyphen/>
        <w:t>ла традиционной для всех вертолетов одновинтовой схемы с рулевым винтом.</w:t>
      </w:r>
    </w:p>
    <w:p w14:paraId="68914C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Бессменным летчиком-испытателем вертолета ЦАРИ 1-ЭА в 1931-1934 го</w:t>
      </w:r>
      <w:r w:rsidRPr="00E93F40">
        <w:rPr>
          <w:rFonts w:ascii="Times New Roman" w:hAnsi="Times New Roman"/>
          <w:color w:val="000000" w:themeColor="text1"/>
          <w:sz w:val="16"/>
          <w:szCs w:val="16"/>
        </w:rPr>
        <w:softHyphen/>
        <w:t>дах был Алексей Михайлович Черему</w:t>
      </w:r>
      <w:r w:rsidRPr="00E93F40">
        <w:rPr>
          <w:rFonts w:ascii="Times New Roman" w:hAnsi="Times New Roman"/>
          <w:color w:val="000000" w:themeColor="text1"/>
          <w:sz w:val="16"/>
          <w:szCs w:val="16"/>
        </w:rPr>
        <w:softHyphen/>
        <w:t>хин (1895-1958 гг.). В память о рекор</w:t>
      </w:r>
      <w:r w:rsidRPr="00E93F40">
        <w:rPr>
          <w:rFonts w:ascii="Times New Roman" w:hAnsi="Times New Roman"/>
          <w:color w:val="000000" w:themeColor="text1"/>
          <w:sz w:val="16"/>
          <w:szCs w:val="16"/>
        </w:rPr>
        <w:softHyphen/>
        <w:t>дном полете А. М. Черемухина на тер</w:t>
      </w:r>
      <w:r w:rsidRPr="00E93F40">
        <w:rPr>
          <w:rFonts w:ascii="Times New Roman" w:hAnsi="Times New Roman"/>
          <w:color w:val="000000" w:themeColor="text1"/>
          <w:sz w:val="16"/>
          <w:szCs w:val="16"/>
        </w:rPr>
        <w:softHyphen/>
        <w:t>ритории бывшего Ухтомского аэродро</w:t>
      </w:r>
      <w:r w:rsidRPr="00E93F40">
        <w:rPr>
          <w:rFonts w:ascii="Times New Roman" w:hAnsi="Times New Roman"/>
          <w:color w:val="000000" w:themeColor="text1"/>
          <w:sz w:val="16"/>
          <w:szCs w:val="16"/>
        </w:rPr>
        <w:softHyphen/>
        <w:t>ма, где теперь размещается фирма «Камов», установлен памятный знак (11401).</w:t>
      </w:r>
    </w:p>
    <w:p w14:paraId="292B18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6421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августа 1932 года вертолет достиг рекордной высоты 605 м. При этом продолжительность полета, как было зарегистрировано на баро</w:t>
      </w:r>
      <w:r w:rsidRPr="00E93F40">
        <w:rPr>
          <w:rFonts w:ascii="Times New Roman" w:hAnsi="Times New Roman"/>
          <w:color w:val="000000" w:themeColor="text1"/>
          <w:sz w:val="16"/>
          <w:szCs w:val="16"/>
        </w:rPr>
        <w:softHyphen/>
        <w:t>грамме, также была рекордной - 12,5 мин. К сожалению, при посадке вертолета произошла авария с повреж</w:t>
      </w:r>
      <w:r w:rsidRPr="00E93F40">
        <w:rPr>
          <w:rFonts w:ascii="Times New Roman" w:hAnsi="Times New Roman"/>
          <w:color w:val="000000" w:themeColor="text1"/>
          <w:sz w:val="16"/>
          <w:szCs w:val="16"/>
        </w:rPr>
        <w:softHyphen/>
        <w:t>дением несущего винта. При увеличе</w:t>
      </w:r>
      <w:r w:rsidRPr="00E93F40">
        <w:rPr>
          <w:rFonts w:ascii="Times New Roman" w:hAnsi="Times New Roman"/>
          <w:color w:val="000000" w:themeColor="text1"/>
          <w:sz w:val="16"/>
          <w:szCs w:val="16"/>
        </w:rPr>
        <w:softHyphen/>
        <w:t>нии скорости снижения несущий винт попал на срывные режимы, вызванные вхождением винта в неизученный тог</w:t>
      </w:r>
      <w:r w:rsidRPr="00E93F40">
        <w:rPr>
          <w:rFonts w:ascii="Times New Roman" w:hAnsi="Times New Roman"/>
          <w:color w:val="000000" w:themeColor="text1"/>
          <w:sz w:val="16"/>
          <w:szCs w:val="16"/>
        </w:rPr>
        <w:softHyphen/>
        <w:t>да режим «вихревого кольца», что при</w:t>
      </w:r>
      <w:r w:rsidRPr="00E93F40">
        <w:rPr>
          <w:rFonts w:ascii="Times New Roman" w:hAnsi="Times New Roman"/>
          <w:color w:val="000000" w:themeColor="text1"/>
          <w:sz w:val="16"/>
          <w:szCs w:val="16"/>
        </w:rPr>
        <w:softHyphen/>
        <w:t>вело к частичной потере эффективнос</w:t>
      </w:r>
      <w:r w:rsidRPr="00E93F40">
        <w:rPr>
          <w:rFonts w:ascii="Times New Roman" w:hAnsi="Times New Roman"/>
          <w:color w:val="000000" w:themeColor="text1"/>
          <w:sz w:val="16"/>
          <w:szCs w:val="16"/>
        </w:rPr>
        <w:softHyphen/>
        <w:t>ти управления. После восстановления вертолета полеты были продолжены, но их результаты не превышали дос</w:t>
      </w:r>
      <w:r w:rsidRPr="00E93F40">
        <w:rPr>
          <w:rFonts w:ascii="Times New Roman" w:hAnsi="Times New Roman"/>
          <w:color w:val="000000" w:themeColor="text1"/>
          <w:sz w:val="16"/>
          <w:szCs w:val="16"/>
        </w:rPr>
        <w:softHyphen/>
        <w:t>тижений рекордного полета. Правда, 15 августа 1933 года была достигнута наибольшая зарегистрированная про</w:t>
      </w:r>
      <w:r w:rsidRPr="00E93F40">
        <w:rPr>
          <w:rFonts w:ascii="Times New Roman" w:hAnsi="Times New Roman"/>
          <w:color w:val="000000" w:themeColor="text1"/>
          <w:sz w:val="16"/>
          <w:szCs w:val="16"/>
        </w:rPr>
        <w:softHyphen/>
        <w:t>должительность полета — 14 минут. А.М. Черемухин вспоминал позже: «Если мы мало думали об установле</w:t>
      </w:r>
      <w:r w:rsidRPr="00E93F40">
        <w:rPr>
          <w:rFonts w:ascii="Times New Roman" w:hAnsi="Times New Roman"/>
          <w:color w:val="000000" w:themeColor="text1"/>
          <w:sz w:val="16"/>
          <w:szCs w:val="16"/>
        </w:rPr>
        <w:softHyphen/>
        <w:t>нии рекордов, то расширение преде</w:t>
      </w:r>
      <w:r w:rsidRPr="00E93F40">
        <w:rPr>
          <w:rFonts w:ascii="Times New Roman" w:hAnsi="Times New Roman"/>
          <w:color w:val="000000" w:themeColor="text1"/>
          <w:sz w:val="16"/>
          <w:szCs w:val="16"/>
        </w:rPr>
        <w:softHyphen/>
        <w:t>лов полученных летных данных, таких, как высота, скорость, особенности подъема, спуска, посадки, все время имело место при наших летных испы</w:t>
      </w:r>
      <w:r w:rsidRPr="00E93F40">
        <w:rPr>
          <w:rFonts w:ascii="Times New Roman" w:hAnsi="Times New Roman"/>
          <w:color w:val="000000" w:themeColor="text1"/>
          <w:sz w:val="16"/>
          <w:szCs w:val="16"/>
        </w:rPr>
        <w:softHyphen/>
        <w:t>таниях». В 1933 году за создание пер</w:t>
      </w:r>
      <w:r w:rsidRPr="00E93F40">
        <w:rPr>
          <w:rFonts w:ascii="Times New Roman" w:hAnsi="Times New Roman"/>
          <w:color w:val="000000" w:themeColor="text1"/>
          <w:sz w:val="16"/>
          <w:szCs w:val="16"/>
        </w:rPr>
        <w:softHyphen/>
        <w:t>вого советского геликоптера и в связи с 15-летием ЦАГИ А.М. Черемухин и А.М. Изаксон были награждены орде</w:t>
      </w:r>
      <w:r w:rsidRPr="00E93F40">
        <w:rPr>
          <w:rFonts w:ascii="Times New Roman" w:hAnsi="Times New Roman"/>
          <w:color w:val="000000" w:themeColor="text1"/>
          <w:sz w:val="16"/>
          <w:szCs w:val="16"/>
        </w:rPr>
        <w:softHyphen/>
        <w:t>нами Красной Звезды. При летных испытаниях вертолета ЦАГИ 1-ЭА были получены результа</w:t>
      </w:r>
      <w:r w:rsidRPr="00E93F40">
        <w:rPr>
          <w:rFonts w:ascii="Times New Roman" w:hAnsi="Times New Roman"/>
          <w:color w:val="000000" w:themeColor="text1"/>
          <w:sz w:val="16"/>
          <w:szCs w:val="16"/>
        </w:rPr>
        <w:softHyphen/>
        <w:t>ты, которых до тех пор не добивались авиаконструкторы не только в нашей стране, но и в мире. Перед летчика</w:t>
      </w:r>
      <w:r w:rsidRPr="00E93F40">
        <w:rPr>
          <w:rFonts w:ascii="Times New Roman" w:hAnsi="Times New Roman"/>
          <w:color w:val="000000" w:themeColor="text1"/>
          <w:sz w:val="16"/>
          <w:szCs w:val="16"/>
        </w:rPr>
        <w:softHyphen/>
        <w:t>ми-испытателями вертолета ставилась цель выполнить как можно больше по</w:t>
      </w:r>
      <w:r w:rsidRPr="00E93F40">
        <w:rPr>
          <w:rFonts w:ascii="Times New Roman" w:hAnsi="Times New Roman"/>
          <w:color w:val="000000" w:themeColor="text1"/>
          <w:sz w:val="16"/>
          <w:szCs w:val="16"/>
        </w:rPr>
        <w:softHyphen/>
        <w:t>летов, и из-за экономии ресурса дви</w:t>
      </w:r>
      <w:r w:rsidRPr="00E93F40">
        <w:rPr>
          <w:rFonts w:ascii="Times New Roman" w:hAnsi="Times New Roman"/>
          <w:color w:val="000000" w:themeColor="text1"/>
          <w:sz w:val="16"/>
          <w:szCs w:val="16"/>
        </w:rPr>
        <w:softHyphen/>
        <w:t>гателей их продолжительность по вре</w:t>
      </w:r>
      <w:r w:rsidRPr="00E93F40">
        <w:rPr>
          <w:rFonts w:ascii="Times New Roman" w:hAnsi="Times New Roman"/>
          <w:color w:val="000000" w:themeColor="text1"/>
          <w:sz w:val="16"/>
          <w:szCs w:val="16"/>
        </w:rPr>
        <w:softHyphen/>
        <w:t>мени была ограничена. Только поэтому достигнутая продолжительность по</w:t>
      </w:r>
      <w:r w:rsidRPr="00E93F40">
        <w:rPr>
          <w:rFonts w:ascii="Times New Roman" w:hAnsi="Times New Roman"/>
          <w:color w:val="000000" w:themeColor="text1"/>
          <w:sz w:val="16"/>
          <w:szCs w:val="16"/>
        </w:rPr>
        <w:softHyphen/>
        <w:t>лета 12,5 и 14 мин лишь ненамного превосходила официальный мировой рекорд 8 мин 45 с. Однако зарегистри</w:t>
      </w:r>
      <w:r w:rsidRPr="00E93F40">
        <w:rPr>
          <w:rFonts w:ascii="Times New Roman" w:hAnsi="Times New Roman"/>
          <w:color w:val="000000" w:themeColor="text1"/>
          <w:sz w:val="16"/>
          <w:szCs w:val="16"/>
        </w:rPr>
        <w:softHyphen/>
        <w:t>рованная высота полета в 34 (!) раза превосходила мировой рекорд высо</w:t>
      </w:r>
      <w:r w:rsidRPr="00E93F40">
        <w:rPr>
          <w:rFonts w:ascii="Times New Roman" w:hAnsi="Times New Roman"/>
          <w:color w:val="000000" w:themeColor="text1"/>
          <w:sz w:val="16"/>
          <w:szCs w:val="16"/>
        </w:rPr>
        <w:softHyphen/>
        <w:t>ты, установленный на вертолете д'Асканио: 605 м против 18 м. Факт, ярко свидетельствующий о достижениях оте</w:t>
      </w:r>
      <w:r w:rsidRPr="00E93F40">
        <w:rPr>
          <w:rFonts w:ascii="Times New Roman" w:hAnsi="Times New Roman"/>
          <w:color w:val="000000" w:themeColor="text1"/>
          <w:sz w:val="16"/>
          <w:szCs w:val="16"/>
        </w:rPr>
        <w:softHyphen/>
        <w:t xml:space="preserve">чественных ученых </w:t>
      </w:r>
      <w:r w:rsidRPr="00E93F40">
        <w:rPr>
          <w:rFonts w:ascii="Times New Roman" w:hAnsi="Times New Roman"/>
          <w:iCs/>
          <w:color w:val="000000" w:themeColor="text1"/>
          <w:sz w:val="16"/>
          <w:szCs w:val="16"/>
        </w:rPr>
        <w:t xml:space="preserve">в </w:t>
      </w:r>
      <w:r w:rsidRPr="00E93F40">
        <w:rPr>
          <w:rFonts w:ascii="Times New Roman" w:hAnsi="Times New Roman"/>
          <w:color w:val="000000" w:themeColor="text1"/>
          <w:sz w:val="16"/>
          <w:szCs w:val="16"/>
        </w:rPr>
        <w:t>развитии теории несущих винтов и в их практической разработке (11401).</w:t>
      </w:r>
    </w:p>
    <w:p w14:paraId="1D607D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1D2D7" w14:textId="77777777" w:rsidR="008032A0" w:rsidRPr="00142305" w:rsidRDefault="008032A0" w:rsidP="008032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августа 1932 года вертолет ЦАГИ 1-ЭА</w:t>
      </w:r>
      <w:r w:rsidRPr="00142305">
        <w:rPr>
          <w:rFonts w:ascii="Times New Roman" w:hAnsi="Times New Roman"/>
          <w:b/>
          <w:bCs/>
          <w:color w:val="0070C0"/>
          <w:sz w:val="16"/>
          <w:szCs w:val="16"/>
        </w:rPr>
        <w:t xml:space="preserve"> </w:t>
      </w:r>
      <w:r w:rsidRPr="00142305">
        <w:rPr>
          <w:rFonts w:ascii="Times New Roman" w:hAnsi="Times New Roman"/>
          <w:color w:val="0070C0"/>
          <w:sz w:val="16"/>
          <w:szCs w:val="16"/>
        </w:rPr>
        <w:t>достиг высоты 605 м. Этот рекорд в 34 раза превосходил итальянский (25316).</w:t>
      </w:r>
    </w:p>
    <w:p w14:paraId="7B02762B" w14:textId="77777777" w:rsidR="008032A0" w:rsidRPr="00142305" w:rsidRDefault="008032A0" w:rsidP="008032A0">
      <w:pPr>
        <w:spacing w:after="0" w:line="240" w:lineRule="auto"/>
        <w:jc w:val="both"/>
        <w:rPr>
          <w:rFonts w:ascii="Times New Roman" w:hAnsi="Times New Roman"/>
          <w:color w:val="0070C0"/>
          <w:sz w:val="16"/>
          <w:szCs w:val="16"/>
        </w:rPr>
      </w:pPr>
    </w:p>
    <w:p w14:paraId="19BE17E4" w14:textId="77777777" w:rsidR="00882380"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CA7551B" w14:textId="77777777" w:rsidR="00882380" w:rsidRPr="00E93F40" w:rsidRDefault="0088238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78A708" w14:textId="5672308E" w:rsidR="00882380" w:rsidRPr="00E93F40" w:rsidRDefault="0088238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14 августа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Б.П. Шебочдаев (Северный Кавказ) сообщал Сталину, что, «несмотря на массовую работу по хлебозаготовкам, в единоличном секторе встречаются большое сопротивление и прямой отказ от выполнения плана». Поэтому он просил ЦК санкционировать следующие меры:</w:t>
      </w:r>
    </w:p>
    <w:p w14:paraId="71AC968D" w14:textId="77777777" w:rsidR="00882380" w:rsidRPr="00E93F40" w:rsidRDefault="0088238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а) проводить совместный обмолот с единоличниками под контролем Совета;</w:t>
      </w:r>
    </w:p>
    <w:p w14:paraId="0518855B" w14:textId="77777777" w:rsidR="00882380" w:rsidRPr="00E93F40" w:rsidRDefault="0088238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б) лишать невыполняющих план права покупки промышленных товаров;</w:t>
      </w:r>
    </w:p>
    <w:p w14:paraId="18C0975A" w14:textId="77777777" w:rsidR="00882380" w:rsidRPr="00E93F40" w:rsidRDefault="0088238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привлекать к судебной ответственности по ст. 61 Уголовного кодекса за невыполнение плана хлебозаготовок.</w:t>
      </w:r>
    </w:p>
    <w:p w14:paraId="2F7B2061" w14:textId="77777777" w:rsidR="00882380" w:rsidRPr="00E93F40" w:rsidRDefault="0088238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Не прошло и недели, как 20 августа Шеболдаев вновь обращается к Сталину, но уже в связи с отношением колхозников к хлебозаготовкам. Он пишет, что колхозники «работают это лето лучше прошлого года, но имеется обостренная настороженность в отношении к хлебозаготовкам». Основное недовольство колхозников шло по линии «критики нашего плохого руководства сельским хозяйством», напряженности работ, «против администрирования». Почти повсеместно крестьяне открыто говорят о том, что Северный Кавказ ожидает то, что произошло на Украине (голод). В этих условиях районное руководство отказывается доводить до колхоза план хлебозаготовок ввиду его напряженности - не остается зерна ни на фураж, ни на продовольствие. Поэтому Шеболдаев просит снизить план и заменить сдаваемую пшеницу (5 млн пудов) на рожь и кукурузу. Сталин 22 августа ответил Шеболдаеву: «Вашу записку получил и отослал в ЦК. Поддержать Вас не могу в связи с плохой работой края по хлебозаготовкам. Если пережившая засуху Средняя Волга сдала в третьей пятидневке 4 млн пудов, а Ваш край не сдал и 2-х, то это значит, что крайком сдрейфил перед трудностями и сдал позиции апостолам самотека либо крайком дипломатничает и старается ЦК вести за нос. Согласитесь, что я не могу поддержать в такого рода работоДЗ.</w:t>
      </w:r>
    </w:p>
    <w:p w14:paraId="2195E40F" w14:textId="77777777" w:rsidR="00882380" w:rsidRPr="00E93F40" w:rsidRDefault="0088238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eastAsia="Times New Roman" w:hAnsi="Times New Roman"/>
          <w:color w:val="000000" w:themeColor="text1"/>
          <w:sz w:val="16"/>
          <w:szCs w:val="16"/>
          <w:lang w:eastAsia="ru-RU"/>
        </w:rPr>
        <w:t>Правда, Политбюро ЦК ВКП(б) по письмам Б.П. Шеболдаева от 14 и 20 августа приняло постановление, которым разрешалось заменить пшеницу (5 млн пудов) рожью и кукурузой и санкционировалось применение ст. 61 УК РСФСР и лишение единоличников, не выполнивших план хлебозаготовок, права на приобретение промтоваров^. Что касается просьбы крайкома снизить план хлебозаготовок зерна, то Политбюро ее отклонило как явно неправильную, свидетельствующую о «пессимистическом отношении к выполнению ллана», «демобилизующую» парторганизацию, и потребовало «принять меры по обеспечению плана хлебозаготовок» (17254).</w:t>
      </w:r>
    </w:p>
    <w:p w14:paraId="0E5ADD7B" w14:textId="77777777" w:rsidR="00882380" w:rsidRPr="00E93F40" w:rsidRDefault="0088238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EEF7CD8" w14:textId="77777777" w:rsidR="00C34D7E"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495370B" w14:textId="77777777" w:rsidR="00C34D7E" w:rsidRPr="00E93F40" w:rsidRDefault="00C34D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0453F36"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14-28 августа 1932 проходил Третий Международный туристический Aircraft конкурс Вызов 1932 в Берлине. В нем побеждает польский экипаж Францишека Цвирко и Станислава Вигуры на самолете RWD-6 (20803).</w:t>
      </w:r>
    </w:p>
    <w:p w14:paraId="2B96DF66"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56050B5E"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14–23 августа 1932 Фрэнсис Мерсалис и Луиза Таден установили рекорд продолжительности полета среди женщин - 8 дней 4 часа (20803).</w:t>
      </w:r>
    </w:p>
    <w:p w14:paraId="1A9201A6"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7B6D9342" w14:textId="77777777" w:rsidR="00C34D7E" w:rsidRPr="00E93F40" w:rsidRDefault="00C34D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августа в 1932 году литовский планер «T-1» («BRO-1») впервые поднялся в небо с пилотом G.Heidrikis. </w:t>
      </w:r>
      <w:hyperlink r:id="rId196" w:tgtFrame="_blank" w:history="1">
        <w:r w:rsidRPr="00E93F40">
          <w:rPr>
            <w:rFonts w:ascii="Times New Roman" w:hAnsi="Times New Roman"/>
            <w:color w:val="000000" w:themeColor="text1"/>
            <w:sz w:val="16"/>
            <w:szCs w:val="16"/>
          </w:rPr>
          <w:t xml:space="preserve">Bronius Oskinis (Бронис Ошкинис) </w:t>
        </w:r>
      </w:hyperlink>
      <w:r w:rsidRPr="00E93F40">
        <w:rPr>
          <w:rFonts w:ascii="Times New Roman" w:hAnsi="Times New Roman"/>
          <w:color w:val="000000" w:themeColor="text1"/>
          <w:sz w:val="16"/>
          <w:szCs w:val="16"/>
        </w:rPr>
        <w:t>начал заниматься конструированием планеров еще учась на 4-м курсе Высшей технической школы. За основу он взял несколько немецких чертежей планеров. После значительной переработки в 1931 году он закончил проект первого своего планера получившего обозначение «T-1» («Technikas-1»), после Второй мировой войны планер получил стандартное для Ошкинса обозначение «BRO-1» (14983).</w:t>
      </w:r>
    </w:p>
    <w:p w14:paraId="35B74B41" w14:textId="77777777" w:rsidR="00C34D7E" w:rsidRPr="00E93F40" w:rsidRDefault="00C34D7E" w:rsidP="00E93F40">
      <w:pPr>
        <w:spacing w:after="0" w:line="240" w:lineRule="auto"/>
        <w:jc w:val="both"/>
        <w:rPr>
          <w:rFonts w:ascii="Times New Roman" w:hAnsi="Times New Roman"/>
          <w:color w:val="000000" w:themeColor="text1"/>
          <w:sz w:val="16"/>
          <w:szCs w:val="16"/>
        </w:rPr>
      </w:pPr>
    </w:p>
    <w:p w14:paraId="53CED54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0D7F3E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7B3F3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состоялось совещание у Нач. Самолетно-строительного треста т. Мирошникова и заслушали:</w:t>
      </w:r>
    </w:p>
    <w:p w14:paraId="0D9908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Доклад директора 16 завода т. Васильева о состоянии производства и производственной программы по ТШ</w:t>
      </w:r>
    </w:p>
    <w:p w14:paraId="42EC9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Содоклад ЦАГИ т. Дубровина о состоянии работ по эталону.</w:t>
      </w:r>
    </w:p>
    <w:p w14:paraId="09C97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Постановили:</w:t>
      </w:r>
    </w:p>
    <w:p w14:paraId="123C3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Отметить, что завод для выполнения производственной программы был обеспечен:</w:t>
      </w:r>
    </w:p>
    <w:p w14:paraId="2B1AC2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производственными площадями</w:t>
      </w:r>
    </w:p>
    <w:p w14:paraId="3C9726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материалами</w:t>
      </w:r>
    </w:p>
    <w:p w14:paraId="0DB12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оборудованием</w:t>
      </w:r>
    </w:p>
    <w:p w14:paraId="5FB3CC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кадрами</w:t>
      </w:r>
    </w:p>
    <w:p w14:paraId="0FB219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части же передачи конструктивных чертежей, то таковые задержаны на 2 месяца</w:t>
      </w:r>
    </w:p>
    <w:p w14:paraId="3E777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Отметить, что для окончательной сборки ТШ необходимо:</w:t>
      </w:r>
    </w:p>
    <w:p w14:paraId="083A5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моторы под гликоль (направлены заводу 3 марта).</w:t>
      </w:r>
    </w:p>
    <w:p w14:paraId="418BE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термометры под гликоль.</w:t>
      </w:r>
    </w:p>
    <w:p w14:paraId="2F82C5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следующее: на данный момент гликоля нет, находится в стадии проектировки в НТИ ВОТИ и окончательный вопрос в части установки гликоля на 170 гр. будет разрешен ЦАГИ совместно с НИИ ВВС на позже 19 августа.</w:t>
      </w:r>
    </w:p>
    <w:p w14:paraId="46D080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ГУАП заказано 10 шт. термометров за границей на 170 гр., которые будут получены в половине сентября.</w:t>
      </w:r>
    </w:p>
    <w:p w14:paraId="47D47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Принять предложение ЦАГИ, что готовность эталона будет не ранее 1 сентября по 1 варианту и не ранее 1 ноября - по второму.</w:t>
      </w:r>
    </w:p>
    <w:p w14:paraId="3E293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устранения перегрева мотора ЦАГИ принимаются следующие мероприятия по первому варианту:</w:t>
      </w:r>
    </w:p>
    <w:p w14:paraId="4DEB56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Делается добавочное отверстие в лобовом веере размером 80х120 и в боковых листах подмоторной брони 60х60, а также изготавливаются броневые совки под мотор для подачи воздуха и патрубки. Меняются отверстия дюралевых корыт под мотором, масло помпы, масл. радиатор...</w:t>
      </w:r>
    </w:p>
    <w:p w14:paraId="586DA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2-му варианту:</w:t>
      </w:r>
    </w:p>
    <w:p w14:paraId="017128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Снимается нижний лист брони подмоторного люка с заменой броневой полосы, между передними шасси добавляется нижний лист для удлинения туннеля и ставятся на место упраздненных броневых листов с люком в первой раме от узлов шасси 2 трубы.</w:t>
      </w:r>
    </w:p>
    <w:p w14:paraId="6D339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изменения повлекут за собой в серийном производстве следующие изменения:...</w:t>
      </w:r>
    </w:p>
    <w:p w14:paraId="6E7D9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этим заводу 16 и Тресту придется после утверждения эталона давать заказ на изготовление добавочных кусков брони ВОМТ и производить все вышеперечисленные изменения на готовых к тому времени самолетах, забивая производственные площади готовой продукцией.</w:t>
      </w:r>
    </w:p>
    <w:p w14:paraId="636A6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ПТЭС совместно с производственным сектором и заводом 16 при получении гарантии ЦАГИ, что все измененные агрегаты можно запускать в производство ТШ - определить планировку, увеличив соответственно программу последнего года.</w:t>
      </w:r>
    </w:p>
    <w:p w14:paraId="039DB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случае же неполучения гарантии, считать рациональным приспособить 16 завод как базу для изготовления агрегатов самолетов заводам 22, 21 и др. (2308,40).</w:t>
      </w:r>
    </w:p>
    <w:p w14:paraId="555E9A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633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был подписан Акт № 2. При осмотре с-та Парабола БИЧ-7 был обнаружен изгиб полуоси шасси у полотна правого подкоса. Признано необходимым произвести ляд переделок в самолете, использовав ЗОК и ОЭЛИД (2307).</w:t>
      </w:r>
    </w:p>
    <w:p w14:paraId="5F2AB1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E4C2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года Гроховский писал письмо № 52 зам. начальника ВВС Наумову</w:t>
      </w:r>
    </w:p>
    <w:p w14:paraId="7A10A6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Доношу, что испытания объектов ТСП своевременно не состоялись, так как НИИ ВВС, несмотря на имеющееся распоряжение, до сих пор не передан Осконпробюро ВВС, самолет АНТ-9 необходимый для проведения испытаний указанных объектов, а кроме того самолет Р-5 предоставляется несвоевременно, что также влияет на плановое осуществление намеченных испытаний.</w:t>
      </w:r>
    </w:p>
    <w:p w14:paraId="6BDCF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частности, испытание, назначенное на 8 августа 1932 года не состоялось из-за неисправности самолета Р-5, предоставленного НИИ.</w:t>
      </w:r>
    </w:p>
    <w:p w14:paraId="167FD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Вместе с тем прошу Вашего распоряжения о немедленной передаче в распоряжение Осконпробюро ВВС самолета АНТ-9 и своевременном предоставлении для проведения испытаний самолета Р-5 (7470, 336).</w:t>
      </w:r>
    </w:p>
    <w:p w14:paraId="40DE21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C0104C" w14:textId="77777777" w:rsidR="00684A8A"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73DEA87" w14:textId="77777777" w:rsidR="00684A8A" w:rsidRPr="00E93F40" w:rsidRDefault="00684A8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5B42B8" w14:textId="77777777" w:rsidR="00684A8A" w:rsidRPr="00E93F40" w:rsidRDefault="00684A8A" w:rsidP="00E93F40">
      <w:pPr>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15 августа 1932 г. НКО К. Е. Ворошилов докладывал председателю Совета труда и обороны (СТО) СССР В. М. Молотову:</w:t>
      </w:r>
    </w:p>
    <w:p w14:paraId="511B421E" w14:textId="77777777" w:rsidR="00684A8A" w:rsidRPr="00E93F40" w:rsidRDefault="00684A8A" w:rsidP="00E93F40">
      <w:pPr>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«Поручение, данное т. Сивкову в отношении зенитных систем выполнено и им доложено, что после тщательной проверки систем Минизини с системами Ансальдо, комиссия остановилась на необходимости приобретения систем Минизини и заключила договор на изготовление и поставку в Советский Союз 12 зенитных установок, на сумму 1.050.000 руб.» [Там же, д. 155, л. 1-2]. 18 августа 1932 г. Постановлением СТО СССР данный договор был утверждѐ</w:t>
      </w:r>
      <w:r w:rsidRPr="00E93F40">
        <w:rPr>
          <w:rFonts w:ascii="Times New Roman" w:eastAsia="MS Mincho" w:hAnsi="Times New Roman"/>
          <w:color w:val="000000" w:themeColor="text1"/>
          <w:sz w:val="16"/>
          <w:szCs w:val="16"/>
        </w:rPr>
        <w:t>н</w:t>
      </w:r>
      <w:r w:rsidRPr="00E93F40">
        <w:rPr>
          <w:rFonts w:ascii="Times New Roman" w:eastAsia="TimesNewRoman" w:hAnsi="Times New Roman"/>
          <w:color w:val="000000" w:themeColor="text1"/>
          <w:sz w:val="16"/>
          <w:szCs w:val="16"/>
        </w:rPr>
        <w:t>, и выделена необходимая сумма [Там же].</w:t>
      </w:r>
    </w:p>
    <w:p w14:paraId="1DC4585C" w14:textId="77777777" w:rsidR="00684A8A" w:rsidRPr="00E93F40" w:rsidRDefault="00684A8A" w:rsidP="00E93F40">
      <w:pPr>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На основании данного решения 22 августа 1932 г. импортное управление Народного комиссариата внешней торговли (НКВТ) направило фирме «Одеро-Терни-Орландо» («О.Т.О.») (Генуя) заказ № 53/15, реализуя который фирма «О.Т.О.» продала Советскому Союзу 12 систем 2-х орудийных зенитных установок типа 100/47 адмирала Минизини с комплектующими (принадлежности, приспособления, запчасти) [Там же, л. 14]. Полученные образцы тщательно изучались с целью освоения их производства отечественной промышленностью (12701).</w:t>
      </w:r>
    </w:p>
    <w:p w14:paraId="107E84A3" w14:textId="77777777" w:rsidR="00684A8A" w:rsidRPr="00E93F40" w:rsidRDefault="00684A8A" w:rsidP="00E93F40">
      <w:pPr>
        <w:spacing w:after="0" w:line="240" w:lineRule="auto"/>
        <w:jc w:val="both"/>
        <w:rPr>
          <w:rFonts w:ascii="Times New Roman" w:eastAsia="TimesNewRoman" w:hAnsi="Times New Roman"/>
          <w:color w:val="000000" w:themeColor="text1"/>
          <w:sz w:val="16"/>
          <w:szCs w:val="16"/>
        </w:rPr>
      </w:pPr>
    </w:p>
    <w:p w14:paraId="60B31211"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г. НКО К. Е. Ворошилов докладывал председателю Совета труда и обороны (СТО) СССР В. М. Молотову: «Поручение данное т. Сивкову в отношении зенитных систем выполнено и им доложено, что после тщательной проверки систем Минизини с системами Ансальдо, комиссия остановилась на необходимости приобретения систем Минизини и заключила договор на изготовление и поставку в Советский Союз 12 зенитных установок, на сумму 1.050.000 руб.» [Там же, д. 155, л. 1-2]. 18 августа 1932 г. Постановлением СТО СССР данный договор был утверждѐн, и выделена необходимая сумма [Там же].</w:t>
      </w:r>
    </w:p>
    <w:p w14:paraId="50C90080"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основании данного решения 22 августа 1932 г. импортное управление Народного комиссариата внешней торговли (НКВТ) направило фирме «Одеро-Терни-Орландо» («О.Т.О.») (Генуя) заказ № 53/15, реализуя который фирма «О.Т.О.» продала Советскому Союзу 12 систем 2-х орудийных зенитных установок типа 100/47 адмирала Минизини с комплектующими (принадлежности, приспособления, запчасти) [Там же, л. 14]. Полученные образцы тщательно изучались с целью освоения их производства отечественной промышленностью (18258).</w:t>
      </w:r>
    </w:p>
    <w:p w14:paraId="4A24FEAC" w14:textId="77777777" w:rsidR="00AA089E" w:rsidRPr="00E93F40" w:rsidRDefault="00AA089E" w:rsidP="00E93F40">
      <w:pPr>
        <w:spacing w:after="0" w:line="240" w:lineRule="auto"/>
        <w:jc w:val="both"/>
        <w:rPr>
          <w:rFonts w:ascii="Times New Roman" w:hAnsi="Times New Roman"/>
          <w:color w:val="000000" w:themeColor="text1"/>
          <w:sz w:val="16"/>
          <w:szCs w:val="16"/>
        </w:rPr>
      </w:pPr>
    </w:p>
    <w:p w14:paraId="4756A71E" w14:textId="77777777" w:rsidR="00DD752B" w:rsidRPr="00142305" w:rsidRDefault="00DD752B" w:rsidP="00DD75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августа 1932 г. НКО К. Е. Ворошилов докладывал председателю Совета труда и обороны (СТО) СССР В. М. Молотову: «Поручение данное т. Сивкову в отношении зенитных систем выполнено и им доложено, что после тщательной проверки систем Минизини с системами Ансальдо, комиссия остановилась на необходимости приобретения систем Минизини и заключила договор на изготовление и поставку в Советский Союз 12 зенитных установок, на сумму 1.050.000 руб.» [Там же, д. 155, л. 1-2]. 18 августа 1932 г. Постановлением СТО СССР данный договор был утверждѐн, и выделена необходимая сумма [Там же] (25366).</w:t>
      </w:r>
    </w:p>
    <w:p w14:paraId="625617F7" w14:textId="77777777" w:rsidR="00DD752B" w:rsidRPr="00142305" w:rsidRDefault="00DD752B" w:rsidP="00DD752B">
      <w:pPr>
        <w:spacing w:after="0" w:line="240" w:lineRule="auto"/>
        <w:jc w:val="both"/>
        <w:rPr>
          <w:rFonts w:ascii="Times New Roman" w:hAnsi="Times New Roman"/>
          <w:color w:val="0070C0"/>
          <w:sz w:val="16"/>
          <w:szCs w:val="16"/>
        </w:rPr>
      </w:pPr>
    </w:p>
    <w:p w14:paraId="084AF3F7" w14:textId="77777777" w:rsidR="003C3891" w:rsidRPr="00E93F40" w:rsidRDefault="003C389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в 1932 году в Москве через опытный передатчик Наркомата связи началась передача в эфир движущихся изображений — «телевизионное кино» (14984).</w:t>
      </w:r>
    </w:p>
    <w:p w14:paraId="3E7DF84A" w14:textId="77777777" w:rsidR="003C3891" w:rsidRPr="00E93F40" w:rsidRDefault="003C3891" w:rsidP="00E93F40">
      <w:pPr>
        <w:spacing w:after="0" w:line="240" w:lineRule="auto"/>
        <w:jc w:val="both"/>
        <w:rPr>
          <w:rFonts w:ascii="Times New Roman" w:hAnsi="Times New Roman"/>
          <w:color w:val="000000" w:themeColor="text1"/>
          <w:sz w:val="16"/>
          <w:szCs w:val="16"/>
        </w:rPr>
      </w:pPr>
    </w:p>
    <w:p w14:paraId="01AAF32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63E982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5EDA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15 августа 1932 г. Первая передача в СССР кинофильмов по оптико-механической системе из Москвы с использованием телекинопередатчика (телекинокамеры) «бегущего луча» с диском Нипкова. Передача из МРТУ (11482).</w:t>
      </w:r>
    </w:p>
    <w:p w14:paraId="23F5CBD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990AD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5417B8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2C9DF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августа 1932 при раскопках в Ватикане обнаружен древнеримская «Триумфальная дорога» (4962).</w:t>
      </w:r>
    </w:p>
    <w:p w14:paraId="46B5083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08E6A5" w14:textId="77777777" w:rsidR="007B1D3C" w:rsidRPr="00E93F40" w:rsidRDefault="00F773A6" w:rsidP="00E93F40">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285186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70677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первой половине авгус</w:t>
      </w:r>
      <w:r w:rsidRPr="00E93F40">
        <w:rPr>
          <w:rFonts w:ascii="Times New Roman" w:hAnsi="Times New Roman"/>
          <w:color w:val="000000" w:themeColor="text1"/>
          <w:sz w:val="16"/>
          <w:szCs w:val="16"/>
        </w:rPr>
        <w:softHyphen/>
        <w:t>та 1932 опытный образец БАИ на НИБТ полигоне прошел в обшей сложности 200 км по различным дорогам. В ходе этих испытаний выяснилось следующее:</w:t>
      </w:r>
    </w:p>
    <w:p w14:paraId="0E2306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«Наблюдение за местностью в открытые люки удобно, при закрытых крайне затруднительно. При условии хоро</w:t>
      </w:r>
      <w:r w:rsidRPr="00E93F40">
        <w:rPr>
          <w:rFonts w:ascii="Times New Roman" w:hAnsi="Times New Roman"/>
          <w:color w:val="000000" w:themeColor="text1"/>
          <w:sz w:val="16"/>
          <w:szCs w:val="16"/>
        </w:rPr>
        <w:softHyphen/>
        <w:t>шего широкого шоссе при большом напряжении возможно движение со скоростью 15-20 км/ч, но при наличии цирку</w:t>
      </w:r>
      <w:r w:rsidRPr="00E93F40">
        <w:rPr>
          <w:rFonts w:ascii="Times New Roman" w:hAnsi="Times New Roman"/>
          <w:color w:val="000000" w:themeColor="text1"/>
          <w:sz w:val="16"/>
          <w:szCs w:val="16"/>
        </w:rPr>
        <w:softHyphen/>
        <w:t>ляции горячего воздуха, который дует прямо в лицо, возможное время наблюдения крайне невелико. На испыта</w:t>
      </w:r>
      <w:r w:rsidRPr="00E93F40">
        <w:rPr>
          <w:rFonts w:ascii="Times New Roman" w:hAnsi="Times New Roman"/>
          <w:color w:val="000000" w:themeColor="text1"/>
          <w:sz w:val="16"/>
          <w:szCs w:val="16"/>
        </w:rPr>
        <w:softHyphen/>
        <w:t>нии при движении с закрытыми люками водитель мог вес</w:t>
      </w:r>
      <w:r w:rsidRPr="00E93F40">
        <w:rPr>
          <w:rFonts w:ascii="Times New Roman" w:hAnsi="Times New Roman"/>
          <w:color w:val="000000" w:themeColor="text1"/>
          <w:sz w:val="16"/>
          <w:szCs w:val="16"/>
        </w:rPr>
        <w:softHyphen/>
        <w:t>ти машину только 5 км, после чего из-за сильного голово</w:t>
      </w:r>
      <w:r w:rsidRPr="00E93F40">
        <w:rPr>
          <w:rFonts w:ascii="Times New Roman" w:hAnsi="Times New Roman"/>
          <w:color w:val="000000" w:themeColor="text1"/>
          <w:sz w:val="16"/>
          <w:szCs w:val="16"/>
        </w:rPr>
        <w:softHyphen/>
        <w:t>кружения их пришлось открыть...</w:t>
      </w:r>
    </w:p>
    <w:p w14:paraId="70BFFB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движении с закрытыми жалюзи радиатор момен</w:t>
      </w:r>
      <w:r w:rsidRPr="00E93F40">
        <w:rPr>
          <w:rFonts w:ascii="Times New Roman" w:hAnsi="Times New Roman"/>
          <w:color w:val="000000" w:themeColor="text1"/>
          <w:sz w:val="16"/>
          <w:szCs w:val="16"/>
        </w:rPr>
        <w:softHyphen/>
        <w:t>тально начинает кипеть. При их открытии охлаждение несколько улучшается, но сильно изнуряет команду. Горя</w:t>
      </w:r>
      <w:r w:rsidRPr="00E93F40">
        <w:rPr>
          <w:rFonts w:ascii="Times New Roman" w:hAnsi="Times New Roman"/>
          <w:color w:val="000000" w:themeColor="text1"/>
          <w:sz w:val="16"/>
          <w:szCs w:val="16"/>
        </w:rPr>
        <w:softHyphen/>
        <w:t>чий воздух, идущий от мотора между щитком и броней, обжигает руки водителю, не позволяя ему держать на верхней части рулевого колеса, обтекает голову и тулови</w:t>
      </w:r>
      <w:r w:rsidRPr="00E93F40">
        <w:rPr>
          <w:rFonts w:ascii="Times New Roman" w:hAnsi="Times New Roman"/>
          <w:color w:val="000000" w:themeColor="text1"/>
          <w:sz w:val="16"/>
          <w:szCs w:val="16"/>
        </w:rPr>
        <w:softHyphen/>
        <w:t>ще, то есть водитель и пулеметчик постоянно находятся в потоке горячего воздуха, что сильно снижает их работо</w:t>
      </w:r>
      <w:r w:rsidRPr="00E93F40">
        <w:rPr>
          <w:rFonts w:ascii="Times New Roman" w:hAnsi="Times New Roman"/>
          <w:color w:val="000000" w:themeColor="text1"/>
          <w:sz w:val="16"/>
          <w:szCs w:val="16"/>
        </w:rPr>
        <w:softHyphen/>
        <w:t>способность. С закрытыми люками движение становится невозможным через 5—6 км — температура внутри маши</w:t>
      </w:r>
      <w:r w:rsidRPr="00E93F40">
        <w:rPr>
          <w:rFonts w:ascii="Times New Roman" w:hAnsi="Times New Roman"/>
          <w:color w:val="000000" w:themeColor="text1"/>
          <w:sz w:val="16"/>
          <w:szCs w:val="16"/>
        </w:rPr>
        <w:softHyphen/>
        <w:t>ны достигает 57—50 градусов».</w:t>
      </w:r>
    </w:p>
    <w:p w14:paraId="101331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при преодолении вертикальных препятст</w:t>
      </w:r>
      <w:r w:rsidRPr="00E93F40">
        <w:rPr>
          <w:rFonts w:ascii="Times New Roman" w:hAnsi="Times New Roman"/>
          <w:color w:val="000000" w:themeColor="text1"/>
          <w:sz w:val="16"/>
          <w:szCs w:val="16"/>
        </w:rPr>
        <w:softHyphen/>
        <w:t>вий машина цеплялась за них картером демультипликатора, а при повороте башни пушка и пулемет, находясь на максимальном угле снижения, задевали за крышу над отделением водителя.</w:t>
      </w:r>
    </w:p>
    <w:p w14:paraId="4B6C70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несмотря на эти недостатки, БАИ показал хоро</w:t>
      </w:r>
      <w:r w:rsidRPr="00E93F40">
        <w:rPr>
          <w:rFonts w:ascii="Times New Roman" w:hAnsi="Times New Roman"/>
          <w:color w:val="000000" w:themeColor="text1"/>
          <w:sz w:val="16"/>
          <w:szCs w:val="16"/>
        </w:rPr>
        <w:softHyphen/>
        <w:t>шие динамические качества — максимальная скорость по шоссе составляла 60 км/ч, а при включенном демультип</w:t>
      </w:r>
      <w:r w:rsidRPr="00E93F40">
        <w:rPr>
          <w:rFonts w:ascii="Times New Roman" w:hAnsi="Times New Roman"/>
          <w:color w:val="000000" w:themeColor="text1"/>
          <w:sz w:val="16"/>
          <w:szCs w:val="16"/>
        </w:rPr>
        <w:softHyphen/>
        <w:t>ликаторе на пониженной передаче броневик разогнался до 75 км/ч. Удовлетворительными оказались результаты стрельб из вооружения машины, а также проходимость. Поэтому в своем заключении представители НИБТ поли</w:t>
      </w:r>
      <w:r w:rsidRPr="00E93F40">
        <w:rPr>
          <w:rFonts w:ascii="Times New Roman" w:hAnsi="Times New Roman"/>
          <w:color w:val="000000" w:themeColor="text1"/>
          <w:sz w:val="16"/>
          <w:szCs w:val="16"/>
        </w:rPr>
        <w:softHyphen/>
        <w:t>гона писали, что «для эксплуатации в наших условиях ма</w:t>
      </w:r>
      <w:r w:rsidRPr="00E93F40">
        <w:rPr>
          <w:rFonts w:ascii="Times New Roman" w:hAnsi="Times New Roman"/>
          <w:color w:val="000000" w:themeColor="text1"/>
          <w:sz w:val="16"/>
          <w:szCs w:val="16"/>
        </w:rPr>
        <w:softHyphen/>
        <w:t>шина пригодна, для приема как боевой... у нее необходи</w:t>
      </w:r>
      <w:r w:rsidRPr="00E93F40">
        <w:rPr>
          <w:rFonts w:ascii="Times New Roman" w:hAnsi="Times New Roman"/>
          <w:color w:val="000000" w:themeColor="text1"/>
          <w:sz w:val="16"/>
          <w:szCs w:val="16"/>
        </w:rPr>
        <w:softHyphen/>
        <w:t>мо прекратить доступ горячего воздуха от мотора к води</w:t>
      </w:r>
      <w:r w:rsidRPr="00E93F40">
        <w:rPr>
          <w:rFonts w:ascii="Times New Roman" w:hAnsi="Times New Roman"/>
          <w:color w:val="000000" w:themeColor="text1"/>
          <w:sz w:val="16"/>
          <w:szCs w:val="16"/>
        </w:rPr>
        <w:softHyphen/>
        <w:t>телю». Еще до начала полигонных испытаний было принято решение о развертывании серийного производства БАИ. Первоначально планировалось производить броневики на Ижорском заводе, но из-за большой загрузки предприятия другими заказами от этого пришлось отказаться (11284).</w:t>
      </w:r>
    </w:p>
    <w:p w14:paraId="1A11C1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2E0F3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00A2EE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1B56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середине августа 1932 г. успели модернизировать бомбовое вооружение на 75 машинах ТБ-1. В феврале 1932 г. на ТБ-1 проверили конструкцию с четырьмя обычными Дер-13. Выбрали "золотую середину", ограничившись шестью балками, стоящими по три друг за другом и увязанными в единый съемный мост. Этот вариант был одобрен УВВС. Промышленности заказали партию мостов под обозначением Дер-13-6, которые ставились на бомбардировщики на заводах при ремонте или непосредственно в воинских частях (12001).</w:t>
      </w:r>
    </w:p>
    <w:p w14:paraId="67C90D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2798E9" w14:textId="77777777" w:rsidR="002B54D3"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521E063" w14:textId="77777777" w:rsidR="002B54D3" w:rsidRPr="00E93F40" w:rsidRDefault="002B54D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AA0337"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августа 1932 китайцы, получив минимально необходимые лётные на</w:t>
      </w:r>
      <w:r w:rsidRPr="00E93F40">
        <w:rPr>
          <w:rFonts w:ascii="Times New Roman" w:hAnsi="Times New Roman"/>
          <w:color w:val="000000" w:themeColor="text1"/>
          <w:sz w:val="16"/>
          <w:szCs w:val="16"/>
        </w:rPr>
        <w:softHyphen/>
        <w:t>выки на У-2, решили обойтись без «не</w:t>
      </w:r>
      <w:r w:rsidRPr="00E93F40">
        <w:rPr>
          <w:rFonts w:ascii="Times New Roman" w:hAnsi="Times New Roman"/>
          <w:color w:val="000000" w:themeColor="text1"/>
          <w:sz w:val="16"/>
          <w:szCs w:val="16"/>
        </w:rPr>
        <w:softHyphen/>
        <w:t>сговорчивых» инструкторов. Без их ве</w:t>
      </w:r>
      <w:r w:rsidRPr="00E93F40">
        <w:rPr>
          <w:rStyle w:val="aff"/>
          <w:rFonts w:ascii="Times New Roman" w:eastAsia="Bookman Old Style" w:hAnsi="Times New Roman" w:cs="Times New Roman"/>
          <w:bCs/>
          <w:color w:val="000000" w:themeColor="text1"/>
          <w:spacing w:val="0"/>
          <w:sz w:val="16"/>
          <w:szCs w:val="16"/>
        </w:rPr>
        <w:t>дома два китайских лётчика на двух У-2 улетели в Хами в район боевых действий. На од</w:t>
      </w:r>
      <w:r w:rsidRPr="00E93F40">
        <w:rPr>
          <w:rStyle w:val="aff"/>
          <w:rFonts w:ascii="Times New Roman" w:eastAsia="Bookman Old Style" w:hAnsi="Times New Roman" w:cs="Times New Roman"/>
          <w:bCs/>
          <w:color w:val="000000" w:themeColor="text1"/>
          <w:spacing w:val="0"/>
          <w:sz w:val="16"/>
          <w:szCs w:val="16"/>
        </w:rPr>
        <w:softHyphen/>
        <w:t>ной из машин имелись четыре балки для подвески авиабомб. По дошедшим до наших пи</w:t>
      </w:r>
      <w:r w:rsidRPr="00E93F40">
        <w:rPr>
          <w:rStyle w:val="aff"/>
          <w:rFonts w:ascii="Times New Roman" w:eastAsia="Bookman Old Style" w:hAnsi="Times New Roman" w:cs="Times New Roman"/>
          <w:bCs/>
          <w:color w:val="000000" w:themeColor="text1"/>
          <w:spacing w:val="0"/>
          <w:sz w:val="16"/>
          <w:szCs w:val="16"/>
        </w:rPr>
        <w:softHyphen/>
        <w:t>лотов неофициальным и непроверенным слухам, китайцы летали бомбить повстанцев. Результаты бомбежки неизвестны, а оба самолёта вскоре оказались разбиты: один У-2 приземлился в болото, второй потерпел аварию в горах. Экипажи остались живы.</w:t>
      </w:r>
    </w:p>
    <w:p w14:paraId="684A393B"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стало ещё одним подтверждением истинных интересов Синьцзянских властей в области боевой авиации. Советские инструкторы, не желавшие воевать и превращать</w:t>
      </w:r>
      <w:r w:rsidRPr="00E93F40">
        <w:rPr>
          <w:rFonts w:ascii="Times New Roman" w:hAnsi="Times New Roman"/>
          <w:color w:val="000000" w:themeColor="text1"/>
          <w:sz w:val="16"/>
          <w:szCs w:val="16"/>
        </w:rPr>
        <w:softHyphen/>
        <w:t>ся в банальных наёмников, все меньше интересовали Цзиня, он даже стал запрещать тренировочные полёты. В годовом отчёте Волынченко отметил: «Разрешения на трени</w:t>
      </w:r>
      <w:r w:rsidRPr="00E93F40">
        <w:rPr>
          <w:rFonts w:ascii="Times New Roman" w:hAnsi="Times New Roman"/>
          <w:color w:val="000000" w:themeColor="text1"/>
          <w:sz w:val="16"/>
          <w:szCs w:val="16"/>
        </w:rPr>
        <w:softHyphen/>
        <w:t>ровочные полёты китайские власти дают с большой неохотой, ко всякой подготовке к по</w:t>
      </w:r>
      <w:r w:rsidRPr="00E93F40">
        <w:rPr>
          <w:rFonts w:ascii="Times New Roman" w:hAnsi="Times New Roman"/>
          <w:color w:val="000000" w:themeColor="text1"/>
          <w:sz w:val="16"/>
          <w:szCs w:val="16"/>
        </w:rPr>
        <w:softHyphen/>
        <w:t>лётам относятся подозрительно. Были случаи, когда тренировочные полёты закрывались по распоряжению Председателя Синьцзянского Правительства. Стоило больших трудов получить разрешение для... тренировочных полётов один раз в неделю и то на У-2» (15802).</w:t>
      </w:r>
    </w:p>
    <w:p w14:paraId="02828E23" w14:textId="77777777" w:rsidR="002B54D3" w:rsidRPr="00E93F40" w:rsidRDefault="002B54D3" w:rsidP="00E93F40">
      <w:pPr>
        <w:spacing w:after="0" w:line="240" w:lineRule="auto"/>
        <w:jc w:val="both"/>
        <w:rPr>
          <w:rFonts w:ascii="Times New Roman" w:hAnsi="Times New Roman"/>
          <w:color w:val="000000" w:themeColor="text1"/>
          <w:sz w:val="16"/>
          <w:szCs w:val="16"/>
        </w:rPr>
      </w:pPr>
    </w:p>
    <w:p w14:paraId="6593984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A4695A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E8AD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августа 1932 года постановление РВС</w:t>
      </w:r>
    </w:p>
    <w:p w14:paraId="69620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орудиям инженера Курчевского"</w:t>
      </w:r>
    </w:p>
    <w:p w14:paraId="6FB8127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 мм противотанковое ружье. Констатировать боевую ценность ружья, выявленную на полигонных войсковых испытаниях.</w:t>
      </w:r>
    </w:p>
    <w:p w14:paraId="03A96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что при испытании получилось раздутие ствола на первых двух опытных экземплярах, начальнику ГАУ произвести дополнительные испытания, для чего принять срочные меры к скорейшему изготовлению заказанных промышленности трех новых экземпляров этого ружья, после чего отстрелять их на полную живучесть.</w:t>
      </w:r>
    </w:p>
    <w:p w14:paraId="14A7C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закончить не позже 15 сентября – 1 октября 1932 года, с тем, чтобы можно было своевременно дать валовой заказ на 1933 год.</w:t>
      </w:r>
    </w:p>
    <w:p w14:paraId="045DEF2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 мм легкая мортира. Ввиду того, что произведенные испытания не дали полных данных по выявлению живучести легкой мортиры, а также ввиду того, что Штабом РККА не разработаны еще формы организационного внедрения этой системы в войсковых подразделениях, решение вопроса о вводе на вооружение отложить.</w:t>
      </w:r>
    </w:p>
    <w:p w14:paraId="22AD313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 мм батальонная пушка (БПК). Ввиду того, что сравнительные испытания системы ДРП-4 и БПК показали явное преимущество последней (по скорострельности, меткости, подвижности) ввести 76 мм батальонную пушку Курчевского (БПК) на вооружение взамен ДРП-4. Систему ДРП-4 с вооружения снять.</w:t>
      </w:r>
    </w:p>
    <w:p w14:paraId="69450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Снаряды к БПК иметь: штатную гранату весом 6,41 кг, бронебойную гранату весом 3,50 кг и мину, вес и тип которой установить после технической разработки к 1 ноября 1932 года, исходя из лучших баллистических показателей и представить на утверждение РВСС.</w:t>
      </w:r>
    </w:p>
    <w:p w14:paraId="180BFE3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 мм пушка на Форде. На основании результатов войсковых испытаний в ЛВО (4 к.д.), признавших преимущество 76 мм системы Курчевского на Форде перед полковой пушкой образца 1927 года (большая подвижность, одинаковая меткость), ввести 76 мм пушку системы Курчевского на Форде на вооружение конницы в качестве полковой пушки.</w:t>
      </w:r>
    </w:p>
    <w:p w14:paraId="1F235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Снаряды к орудию иметь: штатную 76 мм гранату и шрапнель и бронебойный снаряд весом 3,50 кг.</w:t>
      </w:r>
    </w:p>
    <w:p w14:paraId="29BDF94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 мм мотоциклетная пушка (МПК). Ввиду малой проходимости 76 мм системы Курчевского на мотоцикле, отказаться от ввода ее на вооружение.</w:t>
      </w:r>
    </w:p>
    <w:p w14:paraId="781126D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ГАУ в двухмесячный срок внести в чертежи принятых систем технические усовершенствования, указанные в актах войсковых комиссий.</w:t>
      </w:r>
    </w:p>
    <w:p w14:paraId="450C886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производства всех вышеуказанных испытаний систем Курчевского, доложить о его работах КО и просить снять с Курчевского судимость и наградить его орденом "Красная Звезда" (7431, 67).</w:t>
      </w:r>
    </w:p>
    <w:p w14:paraId="0CD8F5F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A5FC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августа 1932 г. постановлением Реввоенсовета 76-мм батальонная пушка Курчевского была принята на вооружение</w:t>
      </w:r>
    </w:p>
    <w:p w14:paraId="473A5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БПК серийно производили на трех заводах.</w:t>
      </w:r>
    </w:p>
    <w:p w14:paraId="25100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Стоимость одной БПК составляла 10 тыс. рублей.</w:t>
      </w:r>
    </w:p>
    <w:p w14:paraId="72EB3C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БПК была, видимо, лучшей системой Курчевского. Но, увы, наряду с конструктивными недостатками пушек Курчевского она имела неудачный лафет. Лафет был легок, но непрочен. Он не разбирался и не был пригоден для перевозки в тачанке, как ДРП-4 (12091).</w:t>
      </w:r>
    </w:p>
    <w:p w14:paraId="458E8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090CC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км/час. При таком лафете не могло и речи идти о механической тяге.</w:t>
      </w:r>
    </w:p>
    <w:p w14:paraId="4A0E1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Конечно, можно было спроектировать и подрессоренный лафет. Но при этом возрос бы и вес системы, и ее стоимость. Ведь и так стоимость БПК равнялась стоимости дивизионной пушки обр. 1902 г.</w:t>
      </w:r>
    </w:p>
    <w:p w14:paraId="19ED7D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годов БПК с вооружения были сняты (12091).</w:t>
      </w:r>
    </w:p>
    <w:p w14:paraId="46E74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9DF5D9" w14:textId="77777777" w:rsidR="00A20FFF"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0ED436C" w14:textId="77777777" w:rsidR="00A20FFF" w:rsidRPr="00E93F40" w:rsidRDefault="00A20FF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406BE9"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августа 1932 г. постановлением Реввоенсовета 76-мм батальонная пушка Курчевского была принята на вооружение:</w:t>
      </w:r>
    </w:p>
    <w:p w14:paraId="1778B638"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ВПК серийно производили на трех заводах.</w:t>
      </w:r>
    </w:p>
    <w:p w14:paraId="0CF33D64" w14:textId="77777777" w:rsidR="002B54D3" w:rsidRPr="00E93F40" w:rsidRDefault="002B54D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Производство БПК</w:t>
      </w:r>
    </w:p>
    <w:p w14:paraId="6A86DDE6" w14:textId="77777777" w:rsidR="002B54D3" w:rsidRPr="00E93F40" w:rsidRDefault="002B54D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vertAlign w:val="superscript"/>
        </w:rPr>
        <w:t>Завод …… 1932 г. (План / Изготовлено) … 1933 г. (План / Изготовлено) … 1934 г. (План / Изготовлено) … 1935 г. (План / Изготовлено)</w:t>
      </w:r>
    </w:p>
    <w:p w14:paraId="52FB9FB6"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 (— / —) … (100 / 74) … (203 / 216) … (106 / 114)</w:t>
      </w:r>
    </w:p>
    <w:p w14:paraId="1A2AFD2F"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 (— / 3) … (100 / 3) … (</w:t>
      </w:r>
      <w:r w:rsidRPr="00E93F40">
        <w:rPr>
          <w:rFonts w:ascii="Times New Roman" w:hAnsi="Times New Roman"/>
          <w:iCs/>
          <w:color w:val="000000" w:themeColor="text1"/>
          <w:sz w:val="16"/>
          <w:szCs w:val="16"/>
        </w:rPr>
        <w:t>—</w:t>
      </w:r>
      <w:r w:rsidRPr="00E93F40">
        <w:rPr>
          <w:rFonts w:ascii="Times New Roman" w:hAnsi="Times New Roman"/>
          <w:color w:val="000000" w:themeColor="text1"/>
          <w:sz w:val="16"/>
          <w:szCs w:val="16"/>
        </w:rPr>
        <w:t xml:space="preserve"> / —) … (— / —)</w:t>
      </w:r>
    </w:p>
    <w:p w14:paraId="7E3FB569"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«Большевик» …… (— / —) … (— / —) … (300 / 3) … (150 / 24)</w:t>
      </w:r>
    </w:p>
    <w:p w14:paraId="6D1F65F7"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 (— / 3) … (200 / 77) … (503 / 219) … (256 / не менее 188)</w:t>
      </w:r>
    </w:p>
    <w:p w14:paraId="6897B96D"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Стоимость одной БПК составляла 10 тыс. рублей.</w:t>
      </w:r>
    </w:p>
    <w:p w14:paraId="1FB17ED0"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Лафет был легок, но непрочен. Он не разбирался и не был пригоден для перевозки в тачанке, как ДРП-4.</w:t>
      </w:r>
    </w:p>
    <w:p w14:paraId="775AC0D5"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6FA4B252"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1C59F93D"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42BB5FF8" w14:textId="77777777" w:rsidR="002B54D3" w:rsidRPr="00E93F40" w:rsidRDefault="002B54D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295D7986" w14:textId="77777777" w:rsidR="002B54D3" w:rsidRPr="00E93F40" w:rsidRDefault="002B54D3" w:rsidP="00E93F40">
      <w:pPr>
        <w:spacing w:after="0" w:line="240" w:lineRule="auto"/>
        <w:jc w:val="both"/>
        <w:rPr>
          <w:rFonts w:ascii="Times New Roman" w:hAnsi="Times New Roman"/>
          <w:color w:val="000000" w:themeColor="text1"/>
          <w:sz w:val="16"/>
          <w:szCs w:val="16"/>
        </w:rPr>
      </w:pPr>
    </w:p>
    <w:p w14:paraId="6F0062B3" w14:textId="77777777" w:rsidR="00DD752B" w:rsidRPr="00142305" w:rsidRDefault="00DD752B" w:rsidP="00DD752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16 августа 1932 г. 76-мм батальонная пушка Курчевского была принята на вооружение постановлением Реввоенсовета.</w:t>
      </w:r>
    </w:p>
    <w:p w14:paraId="7CD75CBE" w14:textId="77777777" w:rsidR="00DD752B" w:rsidRPr="00142305" w:rsidRDefault="00DD752B" w:rsidP="00DD752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БПК серийно производили на трех заводах.</w:t>
      </w:r>
    </w:p>
    <w:p w14:paraId="6D0DDEA1" w14:textId="77777777" w:rsidR="00DD752B" w:rsidRPr="00142305" w:rsidRDefault="00DD752B" w:rsidP="00DD752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Стоимость одной БПК составляла 10 тыс. рублей.</w:t>
      </w:r>
    </w:p>
    <w:p w14:paraId="4822BF33" w14:textId="77777777" w:rsidR="00DD752B" w:rsidRPr="00142305" w:rsidRDefault="00DD752B" w:rsidP="00DD752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БПК была, видимо, лучшей системой Курчевского. Но, увы, наряду с конструктивными недостатками пушек Курчевского она имела неудачный лафет. Лафет был легок, но непрочен. Он не разбирался и не был пригоден для перевозки в тачанке, как ДРП-4 (25213).</w:t>
      </w:r>
    </w:p>
    <w:p w14:paraId="780DD2FA" w14:textId="77777777" w:rsidR="00DD752B" w:rsidRPr="00142305" w:rsidRDefault="00DD752B" w:rsidP="00DD752B">
      <w:pPr>
        <w:spacing w:after="0" w:line="240" w:lineRule="auto"/>
        <w:jc w:val="both"/>
        <w:rPr>
          <w:rFonts w:ascii="Times New Roman" w:hAnsi="Times New Roman"/>
          <w:color w:val="0070C0"/>
          <w:sz w:val="16"/>
          <w:szCs w:val="16"/>
        </w:rPr>
      </w:pPr>
    </w:p>
    <w:p w14:paraId="020BC7A6" w14:textId="4D5AFB76"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16 августа 1932</w:t>
      </w:r>
      <w:r w:rsidR="00DD752B">
        <w:rPr>
          <w:rStyle w:val="a7"/>
          <w:rFonts w:ascii="Times New Roman" w:hAnsi="Times New Roman"/>
          <w:b w:val="0"/>
          <w:color w:val="000000" w:themeColor="text1"/>
          <w:sz w:val="16"/>
          <w:szCs w:val="16"/>
        </w:rPr>
        <w:t xml:space="preserve"> </w:t>
      </w:r>
      <w:r w:rsidRPr="00E93F40">
        <w:rPr>
          <w:rFonts w:ascii="Times New Roman" w:hAnsi="Times New Roman"/>
          <w:color w:val="000000" w:themeColor="text1"/>
          <w:sz w:val="16"/>
          <w:szCs w:val="16"/>
        </w:rPr>
        <w:t>Политбюро ЦК ВКП (б) приняло предложение Наркомтяжпрома о строительстве в Москве прожекторного завода (12265).</w:t>
      </w:r>
    </w:p>
    <w:p w14:paraId="18F6E71A" w14:textId="61BDAD99" w:rsidR="00A20FFF"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530C81F9"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августа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112. 4. О строительстве Кемеровского цинко-свинцово-сернокислотного комбината (записка Картвелишвили). 5. О строительстве авиакомбината в Казани. 17. О снабжении строительства заводов самолетостроения стройматериалами, автомашинами и др. (Политбюро... Т. 2. С. 339, 340) (12416).</w:t>
      </w:r>
    </w:p>
    <w:p w14:paraId="21E320C6"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p>
    <w:p w14:paraId="371AE493"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августа 1932 состоялось заседание ПБ (Протокол № 112) </w:t>
      </w:r>
    </w:p>
    <w:p w14:paraId="1DBFA85B"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 О_валютных_расходах по цветному литью</w:t>
      </w:r>
    </w:p>
    <w:p w14:paraId="5CAA7370"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I.УШ. 32 г., пр. № 110, п. 10-61.</w:t>
      </w:r>
    </w:p>
    <w:p w14:paraId="121B7B5D"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к сведению сообщение т. Рудзутака,что платежи по договору с фирмой "Фиат" за консультацию по цветному литью будут покрыты из лимитов НКТП по статье "инотехпомощь", без дополнительных ассигновании.</w:t>
      </w:r>
    </w:p>
    <w:p w14:paraId="435852EF"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Выписки посланы: т.т. Рудзутаку, Пятакову </w:t>
      </w:r>
    </w:p>
    <w:p w14:paraId="2E7284D9"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 О договоре техпомощи с фирмой "МАККИ".</w:t>
      </w:r>
    </w:p>
    <w:p w14:paraId="7A5F537E"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16.УП. 32г., пр. № 108, п.28). (т.Рудзутак).</w:t>
      </w:r>
    </w:p>
    <w:p w14:paraId="361300BC"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т. Пятакову через т. Богданова выяснить возможность расторжения договора с фирмой "МАККИ" без обострения отношений.</w:t>
      </w:r>
    </w:p>
    <w:p w14:paraId="120FFECC" w14:textId="77777777" w:rsidR="00F936E2" w:rsidRPr="00E93F40" w:rsidRDefault="00F936E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тов. Пятакову (23057).</w:t>
      </w:r>
    </w:p>
    <w:p w14:paraId="0AAE8B10" w14:textId="77777777" w:rsidR="00F936E2" w:rsidRPr="00E93F40" w:rsidRDefault="00F936E2" w:rsidP="00E93F40">
      <w:pPr>
        <w:spacing w:after="0" w:line="240" w:lineRule="auto"/>
        <w:jc w:val="both"/>
        <w:rPr>
          <w:rFonts w:ascii="Times New Roman" w:hAnsi="Times New Roman"/>
          <w:color w:val="000000" w:themeColor="text1"/>
          <w:sz w:val="16"/>
          <w:szCs w:val="16"/>
        </w:rPr>
      </w:pPr>
    </w:p>
    <w:p w14:paraId="216D1450" w14:textId="77777777" w:rsidR="005F3755"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0B1065E" w14:textId="77777777" w:rsidR="005F3755" w:rsidRPr="00E93F40" w:rsidRDefault="005F375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4E4506" w14:textId="77777777" w:rsidR="005F3755" w:rsidRPr="00E93F40" w:rsidRDefault="005F37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августа в 1932 году на аэродроме Бруклендс состоялся первый полет биплана "Тип 253", в будущем бомбардировщика </w:t>
      </w:r>
      <w:hyperlink r:id="rId197" w:tgtFrame="_blank" w:history="1">
        <w:r w:rsidRPr="00E93F40">
          <w:rPr>
            <w:rFonts w:ascii="Times New Roman" w:hAnsi="Times New Roman"/>
            <w:color w:val="000000" w:themeColor="text1"/>
            <w:sz w:val="16"/>
            <w:szCs w:val="16"/>
          </w:rPr>
          <w:t>«Vickers 253» «G.4/31».</w:t>
        </w:r>
      </w:hyperlink>
    </w:p>
    <w:p w14:paraId="1FBAE135" w14:textId="77777777" w:rsidR="005F3755" w:rsidRPr="00E93F40" w:rsidRDefault="005F3755" w:rsidP="00E93F40">
      <w:pPr>
        <w:spacing w:after="0" w:line="240" w:lineRule="auto"/>
        <w:jc w:val="both"/>
        <w:rPr>
          <w:rFonts w:ascii="Times New Roman" w:hAnsi="Times New Roman"/>
          <w:color w:val="000000" w:themeColor="text1"/>
          <w:sz w:val="16"/>
          <w:szCs w:val="16"/>
        </w:rPr>
      </w:pPr>
    </w:p>
    <w:p w14:paraId="5F5E628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2F7B32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A1E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августа 1932 состоялось заседание комиссии по шасси ТБ-3 (АНТ-6) и от ЦАГИ был В.М.П. (1077,126).</w:t>
      </w:r>
    </w:p>
    <w:p w14:paraId="64C7A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7D9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августа 1932 года зам. начальника 1 отдела НИИ ВВС Петров писал письмо N 2/92с в 3 управление УВВС Глававиапрома.</w:t>
      </w:r>
    </w:p>
    <w:p w14:paraId="7C00A3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препровождается сводка результатов испытания самолета Р6 N 2201 (эталон на 1932 год).</w:t>
      </w:r>
    </w:p>
    <w:p w14:paraId="3F7DC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Сводка</w:t>
      </w:r>
    </w:p>
    <w:p w14:paraId="57035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результатов испытания самолета Р6 N 2201</w:t>
      </w:r>
    </w:p>
    <w:p w14:paraId="35DCE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(эталон на 1932 год) с моторами М17 Е=7,3</w:t>
      </w:r>
    </w:p>
    <w:p w14:paraId="75F5DE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N 26391 и 26398 винты Н=2,5 Д=3,15</w:t>
      </w:r>
    </w:p>
    <w:p w14:paraId="745AB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 ЦАГИ.</w:t>
      </w:r>
    </w:p>
    <w:p w14:paraId="56CF6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6D10C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ведущий самолет Кудиков</w:t>
      </w:r>
    </w:p>
    <w:p w14:paraId="36AD5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Миндер</w:t>
      </w:r>
    </w:p>
    <w:p w14:paraId="3307B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49AFD2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Выявление боеспособности самолета при наличии всего положенного оборудования и вооружения и возможности использования его в качестве образца (эталона) для серийной постройки самолетов в 1932 году.</w:t>
      </w:r>
    </w:p>
    <w:p w14:paraId="79398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Определение летных данных самолета с двумя вариантами нагрузок: 1) 2560 кг, 2) 1810 кг.</w:t>
      </w:r>
    </w:p>
    <w:p w14:paraId="2F6C5B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вывод.</w:t>
      </w:r>
    </w:p>
    <w:p w14:paraId="6AFB5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Р6-2М17 N 2201 может быть принят как эталон для постройки самолетов Р6 в 1932 г. при условии - устранения вибрации хвостового оперения и недочетов указанных в сводке.</w:t>
      </w:r>
    </w:p>
    <w:p w14:paraId="47E8A8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программы испытаний.</w:t>
      </w:r>
    </w:p>
    <w:p w14:paraId="43941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21, 25 января и 4, 5 февраля было выполнено 20 полетов на определение степени и характера вибраций хвостового оперения.</w:t>
      </w:r>
    </w:p>
    <w:p w14:paraId="2461C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20 и 22 марта было выполнено 2 полета на определение горизонтальных скоростей у земли с выпущенной и убранной башней с нагрузкой 2560 кг.</w:t>
      </w:r>
    </w:p>
    <w:p w14:paraId="56F865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27 января, 4 и 7 марта было выполнено 3 полета на определение горизонтальных скоростей на разных высотах</w:t>
      </w:r>
    </w:p>
    <w:p w14:paraId="124C3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 нагрузкой 2560 кг</w:t>
      </w:r>
    </w:p>
    <w:p w14:paraId="10DDFB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 нагрузкой 1810 кг;</w:t>
      </w:r>
    </w:p>
    <w:p w14:paraId="2F0A53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определение скороподъемности и потолка</w:t>
      </w:r>
    </w:p>
    <w:p w14:paraId="3A345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 нагрузкой 2560 кг</w:t>
      </w:r>
    </w:p>
    <w:p w14:paraId="060CE9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 нагрузкой 1810 кг;</w:t>
      </w:r>
    </w:p>
    <w:p w14:paraId="3870D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определение маневренности с нагрузкой 2560 кг.</w:t>
      </w:r>
    </w:p>
    <w:p w14:paraId="5C11A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27 января был выполнен полет на испытание фотооборудования.</w:t>
      </w:r>
    </w:p>
    <w:p w14:paraId="2C7B4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7 апреля был выполнен полет на испытание радиооборудования.</w:t>
      </w:r>
    </w:p>
    <w:p w14:paraId="0FE0D8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26 января и 20, 22 марта было выполнено 3 полета на испытание аэронавигационного оборудования.</w:t>
      </w:r>
    </w:p>
    <w:p w14:paraId="3FE95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26 января и 5 марта было выполнено 2 полета на испытание вооружения.</w:t>
      </w:r>
    </w:p>
    <w:p w14:paraId="75D5A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Ночные полеты не производились.</w:t>
      </w:r>
    </w:p>
    <w:p w14:paraId="20299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марта был выполнен контрольный полет.</w:t>
      </w:r>
    </w:p>
    <w:p w14:paraId="77130B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было выполнено 36 полетов.</w:t>
      </w:r>
    </w:p>
    <w:p w14:paraId="30BA2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4DF834CF" w14:textId="77777777">
        <w:tc>
          <w:tcPr>
            <w:tcW w:w="5636" w:type="dxa"/>
          </w:tcPr>
          <w:p w14:paraId="70F19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23 января 1932 года</w:t>
            </w:r>
          </w:p>
        </w:tc>
        <w:tc>
          <w:tcPr>
            <w:tcW w:w="5636" w:type="dxa"/>
          </w:tcPr>
          <w:p w14:paraId="7FADE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получен из ЦАГИ с недоконченным вооружением</w:t>
            </w:r>
          </w:p>
        </w:tc>
      </w:tr>
      <w:tr w:rsidR="00DA227A" w:rsidRPr="00E93F40" w14:paraId="3CAD4E3A" w14:textId="77777777">
        <w:tc>
          <w:tcPr>
            <w:tcW w:w="5636" w:type="dxa"/>
          </w:tcPr>
          <w:p w14:paraId="460EC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22 по 27 января 1932 года</w:t>
            </w:r>
          </w:p>
        </w:tc>
        <w:tc>
          <w:tcPr>
            <w:tcW w:w="5636" w:type="dxa"/>
          </w:tcPr>
          <w:p w14:paraId="3FB92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произведены предварительные летные испытания</w:t>
            </w:r>
          </w:p>
        </w:tc>
      </w:tr>
      <w:tr w:rsidR="00DA227A" w:rsidRPr="00E93F40" w14:paraId="37D63A45" w14:textId="77777777">
        <w:tc>
          <w:tcPr>
            <w:tcW w:w="5636" w:type="dxa"/>
          </w:tcPr>
          <w:p w14:paraId="5F9EE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января 1932 года</w:t>
            </w:r>
          </w:p>
        </w:tc>
        <w:tc>
          <w:tcPr>
            <w:tcW w:w="5636" w:type="dxa"/>
          </w:tcPr>
          <w:p w14:paraId="6D357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сдан в ЦАГИ для дооборудования</w:t>
            </w:r>
          </w:p>
        </w:tc>
      </w:tr>
      <w:tr w:rsidR="00DA227A" w:rsidRPr="00E93F40" w14:paraId="5E876B06" w14:textId="77777777">
        <w:tc>
          <w:tcPr>
            <w:tcW w:w="5636" w:type="dxa"/>
          </w:tcPr>
          <w:p w14:paraId="308639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февраля 1932 года</w:t>
            </w:r>
          </w:p>
        </w:tc>
        <w:tc>
          <w:tcPr>
            <w:tcW w:w="5636" w:type="dxa"/>
          </w:tcPr>
          <w:p w14:paraId="2851A0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принят для продолжения испытаний (без рации)</w:t>
            </w:r>
          </w:p>
        </w:tc>
      </w:tr>
      <w:tr w:rsidR="00DA227A" w:rsidRPr="00E93F40" w14:paraId="1158D1C4" w14:textId="77777777">
        <w:tc>
          <w:tcPr>
            <w:tcW w:w="5636" w:type="dxa"/>
          </w:tcPr>
          <w:p w14:paraId="0C21B0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 по 6 февраля 1932 года</w:t>
            </w:r>
          </w:p>
        </w:tc>
        <w:tc>
          <w:tcPr>
            <w:tcW w:w="5636" w:type="dxa"/>
          </w:tcPr>
          <w:p w14:paraId="037096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произведены испытания спецоборудвания</w:t>
            </w:r>
          </w:p>
        </w:tc>
      </w:tr>
      <w:tr w:rsidR="00DA227A" w:rsidRPr="00E93F40" w14:paraId="6723B235" w14:textId="77777777">
        <w:tc>
          <w:tcPr>
            <w:tcW w:w="5636" w:type="dxa"/>
          </w:tcPr>
          <w:p w14:paraId="1773FD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февраля 1932 года</w:t>
            </w:r>
          </w:p>
        </w:tc>
        <w:tc>
          <w:tcPr>
            <w:tcW w:w="5636" w:type="dxa"/>
          </w:tcPr>
          <w:p w14:paraId="57C2CC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сдан в ЦАГИ для установки рации</w:t>
            </w:r>
          </w:p>
        </w:tc>
      </w:tr>
      <w:tr w:rsidR="00DA227A" w:rsidRPr="00E93F40" w14:paraId="1C328E46" w14:textId="77777777">
        <w:tc>
          <w:tcPr>
            <w:tcW w:w="5636" w:type="dxa"/>
          </w:tcPr>
          <w:p w14:paraId="5F788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февраля 1932 года</w:t>
            </w:r>
          </w:p>
        </w:tc>
        <w:tc>
          <w:tcPr>
            <w:tcW w:w="5636" w:type="dxa"/>
          </w:tcPr>
          <w:p w14:paraId="2D4A73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принят для продолжения испытаний</w:t>
            </w:r>
          </w:p>
        </w:tc>
      </w:tr>
      <w:tr w:rsidR="00DA227A" w:rsidRPr="00E93F40" w14:paraId="46E0DBBA" w14:textId="77777777">
        <w:tc>
          <w:tcPr>
            <w:tcW w:w="5636" w:type="dxa"/>
          </w:tcPr>
          <w:p w14:paraId="5A88D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апреля 1932 года</w:t>
            </w:r>
          </w:p>
        </w:tc>
        <w:tc>
          <w:tcPr>
            <w:tcW w:w="5636" w:type="dxa"/>
          </w:tcPr>
          <w:p w14:paraId="4F45E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окончены</w:t>
            </w:r>
          </w:p>
        </w:tc>
      </w:tr>
    </w:tbl>
    <w:p w14:paraId="3B5A54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затрачено на испытание 78 календарных дней.</w:t>
      </w:r>
    </w:p>
    <w:p w14:paraId="13678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произведено в 12 летных дней.</w:t>
      </w:r>
    </w:p>
    <w:p w14:paraId="04CC84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время испытаний выполнено 36 полетов налетано 22 часа 21 мин (3003).</w:t>
      </w:r>
    </w:p>
    <w:p w14:paraId="350C1E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F31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августа 1932 г. демилитаризованный военный разведчик АНТ-3 зав. №4003 был подарен Россинскому и зарегистрирован как первый в СССР частный самолет СССР-Ч1. Самолет просуществовал недолго, в 1934 г. его списали как непригодный к совершению полетов. Есть фото: Россинский в своем личном самолете АНТ-3 СССР-41. На борту крупная надпись "РОССИНСКИЙ", а ниже едва заметна небольшая надпись "ДЕДУШКА". Взамен знаменитый авиатор получил новенький учебный биплан У-2СП (зав. № 6013), который 26 октября 1934 г. зарегистрировали как СССР-43. Подробностей выполняемых полетов на этом личном аппарате его владельцем не обнаружено, однако в советской прессе сообщалось, что летчик Россинский летал на нем и "с агитационными лекциями посещал самые отдаленные уголки нашей необъятной Родины". Во время Великой Отечественной войны свой личный У-2 Россинский передал в действующую армию (11950).</w:t>
      </w:r>
    </w:p>
    <w:p w14:paraId="05CC2E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13435F" w14:textId="77777777" w:rsidR="00A20FFF"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F0C45A3" w14:textId="77777777" w:rsidR="00A20FFF" w:rsidRPr="00E93F40" w:rsidRDefault="00A20FF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4D86BE9"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17 августа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1006/296сс о передаче судов под минные заградители и тральщики (ГА РФ. Ф. Р?8418. Оп. 28. Д. 1а. Л. 325) (12415).</w:t>
      </w:r>
    </w:p>
    <w:p w14:paraId="1DB0A07D"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p>
    <w:p w14:paraId="1C09A2E5" w14:textId="77777777"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17 августа 1932</w:t>
      </w:r>
      <w:r w:rsidRPr="00E93F40">
        <w:rPr>
          <w:rFonts w:ascii="Times New Roman" w:hAnsi="Times New Roman"/>
          <w:color w:val="000000" w:themeColor="text1"/>
          <w:sz w:val="16"/>
          <w:szCs w:val="16"/>
        </w:rPr>
        <w:t>СНК принял постановление «О порядке приемки вновь выстроенных предприятий и сооружений и разрешения их пуска в эксплуатацию» (12265).</w:t>
      </w:r>
    </w:p>
    <w:p w14:paraId="38BAE99C" w14:textId="20859E52" w:rsidR="00A20FFF"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4E4A98A0" w14:textId="365B412F" w:rsidR="007C1411" w:rsidRPr="00E93F40" w:rsidRDefault="007C1411"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6390BEAC" w14:textId="77777777" w:rsidR="007C1411" w:rsidRPr="00E93F40" w:rsidRDefault="007C1411"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42EFCA70" w14:textId="77777777" w:rsidR="007C1411"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августа 1932 года Добролеж возглавил второй стартовавший эшелон в количестве 6 машин из со</w:t>
      </w:r>
      <w:r w:rsidRPr="00E93F40">
        <w:rPr>
          <w:rFonts w:ascii="Times New Roman" w:hAnsi="Times New Roman"/>
          <w:color w:val="000000" w:themeColor="text1"/>
          <w:sz w:val="16"/>
          <w:szCs w:val="16"/>
        </w:rPr>
        <w:softHyphen/>
        <w:t>става 106-й эскадрильи. 18 августа на восток вылете</w:t>
      </w:r>
      <w:r w:rsidRPr="00E93F40">
        <w:rPr>
          <w:rFonts w:ascii="Times New Roman" w:hAnsi="Times New Roman"/>
          <w:color w:val="000000" w:themeColor="text1"/>
          <w:sz w:val="16"/>
          <w:szCs w:val="16"/>
        </w:rPr>
        <w:softHyphen/>
        <w:t>ли еще два корабля ТБ-3, которые вел С.А.Шестаков (командир экипажа АНТ-4 «Страна Советов», сле</w:t>
      </w:r>
      <w:r w:rsidRPr="00E93F40">
        <w:rPr>
          <w:rFonts w:ascii="Times New Roman" w:hAnsi="Times New Roman"/>
          <w:color w:val="000000" w:themeColor="text1"/>
          <w:sz w:val="16"/>
          <w:szCs w:val="16"/>
        </w:rPr>
        <w:softHyphen/>
        <w:t>тавшего в Америку в 1929 году). В этой второй волне перелета также были вынужденные посадки, однако все тяжелые машины добрались до цели. В основном экипажи ругали низкое качество двигателей М-17. Тем не менее в конце августа — начале сентября 13 ТБ-3 собрались под Хабаровском. Указанное количе</w:t>
      </w:r>
      <w:r w:rsidRPr="00E93F40">
        <w:rPr>
          <w:rFonts w:ascii="Times New Roman" w:hAnsi="Times New Roman"/>
          <w:color w:val="000000" w:themeColor="text1"/>
          <w:sz w:val="16"/>
          <w:szCs w:val="16"/>
        </w:rPr>
        <w:softHyphen/>
        <w:t>ство совсем немного превышало число самолетов в одной эскадрилье. Однако это был весьма неплохой результат. Тем более что условий для прибывших са</w:t>
      </w:r>
      <w:r w:rsidRPr="00E93F40">
        <w:rPr>
          <w:rFonts w:ascii="Times New Roman" w:hAnsi="Times New Roman"/>
          <w:color w:val="000000" w:themeColor="text1"/>
          <w:sz w:val="16"/>
          <w:szCs w:val="16"/>
        </w:rPr>
        <w:softHyphen/>
        <w:t>молетов и экипажей создать не успели. Аэродромы предстоящего базирования, Воздвиженка и Спасский, на тот момент уже были полностью насыщены воин</w:t>
      </w:r>
      <w:r w:rsidRPr="00E93F40">
        <w:rPr>
          <w:rFonts w:ascii="Times New Roman" w:hAnsi="Times New Roman"/>
          <w:color w:val="000000" w:themeColor="text1"/>
          <w:sz w:val="16"/>
          <w:szCs w:val="16"/>
        </w:rPr>
        <w:softHyphen/>
        <w:t>скими частями. Аэродромное обеспечение, как это ча</w:t>
      </w:r>
      <w:r w:rsidRPr="00E93F40">
        <w:rPr>
          <w:rFonts w:ascii="Times New Roman" w:hAnsi="Times New Roman"/>
          <w:color w:val="000000" w:themeColor="text1"/>
          <w:sz w:val="16"/>
          <w:szCs w:val="16"/>
        </w:rPr>
        <w:softHyphen/>
        <w:t>сто бывает, в полной мере подготовить не удалось. В частности, про имеющиеся аэродромы говорилось, что они для тяжелых машин не подходят, ТБ-3 при выполнении рулежки проваливались, поэтому требо</w:t>
      </w:r>
      <w:r w:rsidRPr="00E93F40">
        <w:rPr>
          <w:rFonts w:ascii="Times New Roman" w:hAnsi="Times New Roman"/>
          <w:color w:val="000000" w:themeColor="text1"/>
          <w:sz w:val="16"/>
          <w:szCs w:val="16"/>
        </w:rPr>
        <w:softHyphen/>
        <w:t>вался или более плотный грунт, или специально под</w:t>
      </w:r>
      <w:r w:rsidRPr="00E93F40">
        <w:rPr>
          <w:rFonts w:ascii="Times New Roman" w:hAnsi="Times New Roman"/>
          <w:color w:val="000000" w:themeColor="text1"/>
          <w:sz w:val="16"/>
          <w:szCs w:val="16"/>
        </w:rPr>
        <w:softHyphen/>
        <w:t>готовленные рулежные и взлетные полосы.</w:t>
      </w:r>
    </w:p>
    <w:p w14:paraId="0436117E" w14:textId="77777777" w:rsidR="007C1411"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Одним словом, в тот год удовлетворились достиг</w:t>
      </w:r>
      <w:r w:rsidRPr="00E93F40">
        <w:rPr>
          <w:rFonts w:ascii="Times New Roman" w:hAnsi="Times New Roman"/>
          <w:color w:val="000000" w:themeColor="text1"/>
          <w:sz w:val="16"/>
          <w:szCs w:val="16"/>
        </w:rPr>
        <w:softHyphen/>
        <w:t>нутым результатом. 10 экипажей после окончания перелета вернулись в Москву, откуда до конца года надеялись перегнать остальные машины 106-й эскад</w:t>
      </w:r>
      <w:r w:rsidRPr="00E93F40">
        <w:rPr>
          <w:rFonts w:ascii="Times New Roman" w:hAnsi="Times New Roman"/>
          <w:color w:val="000000" w:themeColor="text1"/>
          <w:sz w:val="16"/>
          <w:szCs w:val="16"/>
        </w:rPr>
        <w:softHyphen/>
        <w:t>рильи и полностью 107-ю эскадрилью. Впрочем, по</w:t>
      </w:r>
      <w:r w:rsidRPr="00E93F40">
        <w:rPr>
          <w:rFonts w:ascii="Times New Roman" w:hAnsi="Times New Roman"/>
          <w:color w:val="000000" w:themeColor="text1"/>
          <w:sz w:val="16"/>
          <w:szCs w:val="16"/>
        </w:rPr>
        <w:softHyphen/>
        <w:t>годные условия на маршруте осенью становились значительно сложнее, поэтому все-таки было решено все последующие действия перенести на 1933 год. В результате на Дальнем Востоке на зимовку остались 13 ТБ-3 и 3 экипажа.</w:t>
      </w:r>
    </w:p>
    <w:p w14:paraId="2949CA58" w14:textId="77777777" w:rsidR="007C1411"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следует отметить, что к перелету ТБ-3 на Дальний Восток заметный интерес проявили япон</w:t>
      </w:r>
      <w:r w:rsidRPr="00E93F40">
        <w:rPr>
          <w:rFonts w:ascii="Times New Roman" w:hAnsi="Times New Roman"/>
          <w:color w:val="000000" w:themeColor="text1"/>
          <w:sz w:val="16"/>
          <w:szCs w:val="16"/>
        </w:rPr>
        <w:softHyphen/>
        <w:t>цы. Так как все воздушные передвижения соверша</w:t>
      </w:r>
      <w:r w:rsidRPr="00E93F40">
        <w:rPr>
          <w:rFonts w:ascii="Times New Roman" w:hAnsi="Times New Roman"/>
          <w:color w:val="000000" w:themeColor="text1"/>
          <w:sz w:val="16"/>
          <w:szCs w:val="16"/>
        </w:rPr>
        <w:softHyphen/>
        <w:t>лись вдоль Транссибирской магистрали, то самолеты можно было при желании не только увидеть, но и пересчитать. Сообщалось, что представитель япон</w:t>
      </w:r>
      <w:r w:rsidRPr="00E93F40">
        <w:rPr>
          <w:rFonts w:ascii="Times New Roman" w:hAnsi="Times New Roman"/>
          <w:color w:val="000000" w:themeColor="text1"/>
          <w:sz w:val="16"/>
          <w:szCs w:val="16"/>
        </w:rPr>
        <w:softHyphen/>
        <w:t>ского консульства приобрел билет на пассажирский самолет из Новосибирска до Омска, навстречу про</w:t>
      </w:r>
      <w:r w:rsidRPr="00E93F40">
        <w:rPr>
          <w:rFonts w:ascii="Times New Roman" w:hAnsi="Times New Roman"/>
          <w:color w:val="000000" w:themeColor="text1"/>
          <w:sz w:val="16"/>
          <w:szCs w:val="16"/>
        </w:rPr>
        <w:softHyphen/>
        <w:t>летающим ТБ-3. Уловку раскусили, поэтому в после</w:t>
      </w:r>
      <w:r w:rsidRPr="00E93F40">
        <w:rPr>
          <w:rFonts w:ascii="Times New Roman" w:hAnsi="Times New Roman"/>
          <w:color w:val="000000" w:themeColor="text1"/>
          <w:sz w:val="16"/>
          <w:szCs w:val="16"/>
        </w:rPr>
        <w:softHyphen/>
        <w:t>дующем секретность усилили — сделали так, чтобы время пролета бомбардировщиков не совпадало с расписанием полетов пассажирских самолетов.</w:t>
      </w:r>
    </w:p>
    <w:p w14:paraId="0EE454F5" w14:textId="77777777" w:rsidR="007C1411"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году переброска ТБ-3 на восток продолжи</w:t>
      </w:r>
      <w:r w:rsidRPr="00E93F40">
        <w:rPr>
          <w:rFonts w:ascii="Times New Roman" w:hAnsi="Times New Roman"/>
          <w:color w:val="000000" w:themeColor="text1"/>
          <w:sz w:val="16"/>
          <w:szCs w:val="16"/>
        </w:rPr>
        <w:softHyphen/>
        <w:t>лась (23378).</w:t>
      </w:r>
    </w:p>
    <w:p w14:paraId="689BFD50" w14:textId="77777777" w:rsidR="007C1411" w:rsidRPr="00E93F40" w:rsidRDefault="007C1411" w:rsidP="00E93F40">
      <w:pPr>
        <w:spacing w:after="0" w:line="240" w:lineRule="auto"/>
        <w:jc w:val="both"/>
        <w:rPr>
          <w:rFonts w:ascii="Times New Roman" w:hAnsi="Times New Roman"/>
          <w:color w:val="000000" w:themeColor="text1"/>
          <w:sz w:val="16"/>
          <w:szCs w:val="16"/>
        </w:rPr>
      </w:pPr>
    </w:p>
    <w:p w14:paraId="75A0C4E9" w14:textId="1ECE188E" w:rsidR="005F3755"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3AF042C" w14:textId="77777777" w:rsidR="005F3755" w:rsidRPr="00E93F40" w:rsidRDefault="005F375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3FEA9E" w14:textId="77777777" w:rsidR="005F3755" w:rsidRPr="00E93F40" w:rsidRDefault="005F37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17 августа в 1932 году первый полет нового самолета </w:t>
      </w:r>
      <w:hyperlink r:id="rId198" w:tgtFrame="_blank" w:history="1">
        <w:r w:rsidRPr="00E93F40">
          <w:rPr>
            <w:rFonts w:ascii="Times New Roman" w:hAnsi="Times New Roman"/>
            <w:color w:val="000000" w:themeColor="text1"/>
            <w:sz w:val="16"/>
            <w:szCs w:val="16"/>
          </w:rPr>
          <w:t xml:space="preserve">«Dornier» «Do.K3». </w:t>
        </w:r>
      </w:hyperlink>
      <w:r w:rsidRPr="00E93F40">
        <w:rPr>
          <w:rFonts w:ascii="Times New Roman" w:hAnsi="Times New Roman"/>
          <w:color w:val="000000" w:themeColor="text1"/>
          <w:sz w:val="16"/>
          <w:szCs w:val="16"/>
        </w:rPr>
        <w:t>Первый и единственный экземпляр самолета (WerkNr.225, D-2183) оборудованный четырьмя двигателями «Walter Castor» мог перевозить до 10 пассажиров с максимальной скоростью скорость в 225 км/ч. Самолет был предложен авиакомпании «Lufthansa», однако интереса не вызвал (14986).</w:t>
      </w:r>
    </w:p>
    <w:p w14:paraId="1B18990D" w14:textId="77777777" w:rsidR="005F3755" w:rsidRPr="00E93F40" w:rsidRDefault="005F3755" w:rsidP="00E93F40">
      <w:pPr>
        <w:spacing w:after="0" w:line="240" w:lineRule="auto"/>
        <w:jc w:val="both"/>
        <w:rPr>
          <w:rFonts w:ascii="Times New Roman" w:hAnsi="Times New Roman"/>
          <w:color w:val="000000" w:themeColor="text1"/>
          <w:sz w:val="16"/>
          <w:szCs w:val="16"/>
        </w:rPr>
      </w:pPr>
    </w:p>
    <w:p w14:paraId="19B43F8C" w14:textId="77777777" w:rsidR="00A34BF2" w:rsidRPr="00E93F40" w:rsidRDefault="00A34B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августа 1932 г. швейцарцы Огюст Пикар и Макс Козине поставили рекорд высоты подъема на шаре – 16.916 м. При спуске кабина разгерметизировалась, аппарат, подающий сжатый воздух, сломался. Чудом на одном баллоне сжатого воздуха исследователи дотянули до Земли (17325).</w:t>
      </w:r>
    </w:p>
    <w:p w14:paraId="32F69DB3" w14:textId="77777777" w:rsidR="00A34BF2" w:rsidRPr="00E93F40" w:rsidRDefault="00A34BF2" w:rsidP="00E93F40">
      <w:pPr>
        <w:spacing w:after="0" w:line="240" w:lineRule="auto"/>
        <w:jc w:val="both"/>
        <w:rPr>
          <w:rFonts w:ascii="Times New Roman" w:hAnsi="Times New Roman"/>
          <w:color w:val="000000" w:themeColor="text1"/>
          <w:sz w:val="16"/>
          <w:szCs w:val="16"/>
        </w:rPr>
      </w:pPr>
    </w:p>
    <w:p w14:paraId="3A0CAC9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345675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9AF3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1932 года согласно постановления СТО от 15 февраля 1932 года № 32/4400 было начато строительство завода № 105 НКО</w:t>
      </w:r>
    </w:p>
    <w:p w14:paraId="1B855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Ввод в эксплуатацию – 1936 год (8893)</w:t>
      </w:r>
    </w:p>
    <w:p w14:paraId="66B8C9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Бронетанковый ремонтный завод № 105 НК обороны (Главкотлотурбопрома НКТМ) им. Кагановича</w:t>
      </w:r>
    </w:p>
    <w:p w14:paraId="5A0AF3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расположен на восточной окраине Хабаровска, в 3,8 км от центра города и в 6 км от рек Амур и Уссури (8895).</w:t>
      </w:r>
    </w:p>
    <w:p w14:paraId="711E1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82D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1932 Б.Н.Петров установил первый всесоюзный рекорд высотного прыжка, спустившись с 5200 м в Смоленске с самолета без кислородного прибора (438,634).</w:t>
      </w:r>
    </w:p>
    <w:p w14:paraId="78AB26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E1E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1932 Летчик-парашютист Б. Петров поднялся на высоту 5200 метров и покинул борт самолета. Это был первый рекорд высотного прыжка в СССР (11312).</w:t>
      </w:r>
    </w:p>
    <w:p w14:paraId="6D6C8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2D352D" w14:textId="77777777" w:rsidR="00165929" w:rsidRPr="00E93F40" w:rsidRDefault="001659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1932 г. парашютист Борис Николаевич Петров установил первый советский рекорд высотного прыжка, спустившись на парашюте с высоты 5200 м. Прыжок был совершен в Смоленске с самолета без применения кислородного прибора. Мировой /неофициальный/ рекорд был установлен в июне этого года французом Рене Машено, спустившемся с 7750 м.</w:t>
      </w:r>
    </w:p>
    <w:p w14:paraId="155DDC69" w14:textId="77777777" w:rsidR="00165929" w:rsidRPr="00E93F40" w:rsidRDefault="001659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/М.Забелин. Прыжок с парашютом, 1933/ (23370).</w:t>
      </w:r>
    </w:p>
    <w:p w14:paraId="4CDD728C" w14:textId="77777777" w:rsidR="00165929" w:rsidRPr="00E93F40" w:rsidRDefault="00165929" w:rsidP="00E93F40">
      <w:pPr>
        <w:spacing w:after="0" w:line="240" w:lineRule="auto"/>
        <w:jc w:val="both"/>
        <w:rPr>
          <w:rFonts w:ascii="Times New Roman" w:hAnsi="Times New Roman"/>
          <w:color w:val="000000" w:themeColor="text1"/>
          <w:sz w:val="16"/>
          <w:szCs w:val="16"/>
        </w:rPr>
      </w:pPr>
    </w:p>
    <w:p w14:paraId="768212D5"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1932 г. Постановлением СТО СССР договор на изготовление и поставку в Советский Союз 12 зенитных установок систем Минизини, на сумму 1.050.000 руб.» был утверждѐн, и выделена необходимая сумма [Там же].</w:t>
      </w:r>
    </w:p>
    <w:p w14:paraId="77197D12" w14:textId="77777777" w:rsidR="00AA089E" w:rsidRPr="00E93F40" w:rsidRDefault="00AA089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основании данного решения 22 августа 1932 г. импортное управление Народного комиссариата внешней торговли (НКВТ) направило фирме «Одеро-Терни-Орландо» («О.Т.О.») (Генуя) заказ № 53/15, реализуя который фирма «О.Т.О.» продала Советскому Союзу 12 систем 2-х орудийных зенитных установок типа 100/47 адмирала Минизини с комплектующими (принадлежности, приспособления, запчасти) [Там же, л. 14]. Полученные образцы тщательно изучались с целью освоения их производства отечественной промышленностью (18258).</w:t>
      </w:r>
    </w:p>
    <w:p w14:paraId="27E019F2" w14:textId="01AB2C12" w:rsidR="00AA089E" w:rsidRPr="00E93F40" w:rsidRDefault="00AA089E" w:rsidP="00E93F40">
      <w:pPr>
        <w:spacing w:after="0" w:line="240" w:lineRule="auto"/>
        <w:jc w:val="both"/>
        <w:rPr>
          <w:rFonts w:ascii="Times New Roman" w:hAnsi="Times New Roman"/>
          <w:color w:val="000000" w:themeColor="text1"/>
          <w:sz w:val="16"/>
          <w:szCs w:val="16"/>
        </w:rPr>
      </w:pPr>
    </w:p>
    <w:p w14:paraId="1EC66DDB" w14:textId="57856DF2" w:rsidR="00F415ED" w:rsidRPr="00E93F40" w:rsidRDefault="00F415ED"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A65E7BE" w14:textId="77777777" w:rsidR="00F415ED" w:rsidRPr="00E93F40" w:rsidRDefault="00F415ED" w:rsidP="00E93F40">
      <w:pPr>
        <w:spacing w:after="0" w:line="240" w:lineRule="auto"/>
        <w:jc w:val="both"/>
        <w:rPr>
          <w:rFonts w:ascii="Times New Roman" w:hAnsi="Times New Roman"/>
          <w:i/>
          <w:iCs/>
          <w:color w:val="000000" w:themeColor="text1"/>
          <w:sz w:val="16"/>
          <w:szCs w:val="16"/>
        </w:rPr>
      </w:pPr>
    </w:p>
    <w:p w14:paraId="58B75B0C" w14:textId="77777777" w:rsidR="00F415ED" w:rsidRPr="00E93F40" w:rsidRDefault="00F415E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18 августа 1932 года из Мурманска к ЗФИ вышел парусно-моторный бот «Н. Книпович». Ученым, находившимся на нем, предстояло провести широкие океанографические исследования Баренцева моря. Благодаря на редкость благоприятной ледовой обстановке бот смог обогнуть с севера зачастую недоступную и с юга ЗФИ. Но перед тем, не меняя заранее определенного маршрута, подошел к крохотному, всего в 720 квадратных километров, обычно не доступному для судов острову Виктории. Тому самому, который за два года назад попытался захватить норвежец Педер Элиассен как якобы «ничейную территорию».</w:t>
      </w:r>
    </w:p>
    <w:p w14:paraId="0D2CB6ED" w14:textId="77777777" w:rsidR="00F415ED" w:rsidRPr="00E93F40" w:rsidRDefault="00F415E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lastRenderedPageBreak/>
        <w:t>29 августа команда «Книповича» сошла на берег. Прежде всего уточнила ранее неточные географические координаты острова. Затем подняла на нем флаг Советского Союза37.</w:t>
      </w:r>
    </w:p>
    <w:p w14:paraId="0772543A" w14:textId="77777777" w:rsidR="00F415ED" w:rsidRPr="00E93F40" w:rsidRDefault="00F415ED"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Действия океанографов, вряд ли самостоятельные, позволили Наркоминделу направить 29 января 1933 года Норвегии ноту, в которой он прокомментировал акцию Элиассена, объявил незаконным его высадку на остров — неотъемлемую часть территории СССР, что не встретило возражений в Осло38. А всего месяц спустя, 2 марта, «в связи с поднятием советского флага на острове Виктории», ВЦИК и СНК РСФСР дополнили постановление от 10 ноября 1929 года «Об управлении островами Северного Ледовитого океана» еще одним пунктом: «Виктория» (20467).</w:t>
      </w:r>
    </w:p>
    <w:p w14:paraId="4815FC67" w14:textId="77777777" w:rsidR="00F415ED" w:rsidRPr="00E93F40" w:rsidRDefault="00F415ED" w:rsidP="00E93F40">
      <w:pPr>
        <w:spacing w:after="0" w:line="240" w:lineRule="auto"/>
        <w:jc w:val="both"/>
        <w:rPr>
          <w:rFonts w:ascii="Times New Roman" w:hAnsi="Times New Roman"/>
          <w:color w:val="000000" w:themeColor="text1"/>
          <w:sz w:val="16"/>
          <w:szCs w:val="16"/>
        </w:rPr>
      </w:pPr>
    </w:p>
    <w:p w14:paraId="5B501CDF" w14:textId="77777777" w:rsidR="005F3755"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B708D8D" w14:textId="77777777" w:rsidR="005F3755" w:rsidRPr="00E93F40" w:rsidRDefault="005F375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F31B57" w14:textId="77777777" w:rsidR="005F3755" w:rsidRPr="00E93F40" w:rsidRDefault="005F37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1932 весь лётный состав экспедиции был свободен, лишь авиатехник Прокопенко обслуживал У-2, на которых Волынченко и Табаровский вскоре после прилёта начали вывозить трёх курсантов. Третий китайский лётчик и авиатехник прибыли в Урумчи из Нанкина в июле.</w:t>
      </w:r>
    </w:p>
    <w:p w14:paraId="646C8629" w14:textId="77777777" w:rsidR="005F3755" w:rsidRPr="00E93F40" w:rsidRDefault="005F37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Перегонщики оценивали работу местной школы весьма специфически. Пирогов пи</w:t>
      </w:r>
      <w:r w:rsidRPr="00E93F40">
        <w:rPr>
          <w:rFonts w:ascii="Times New Roman" w:hAnsi="Times New Roman"/>
          <w:color w:val="000000" w:themeColor="text1"/>
          <w:sz w:val="16"/>
          <w:szCs w:val="16"/>
        </w:rPr>
        <w:softHyphen/>
        <w:t>сал: «Из обстановки бросается в глаза желание китайцев как можно скорее подготовить своих лётчиков и поставить на место начальника школы, заменив наших, как-то Волын</w:t>
      </w:r>
      <w:r w:rsidRPr="00E93F40">
        <w:rPr>
          <w:rFonts w:ascii="Times New Roman" w:hAnsi="Times New Roman"/>
          <w:color w:val="000000" w:themeColor="text1"/>
          <w:sz w:val="16"/>
          <w:szCs w:val="16"/>
        </w:rPr>
        <w:softHyphen/>
        <w:t>ченко и др., доказательством чего служат вылеты китайских лётчиков без ведома наших руководителей... Имеется зазнайство со стороны китайских учеников».</w:t>
      </w:r>
    </w:p>
    <w:p w14:paraId="3263BD85" w14:textId="77777777" w:rsidR="005F3755" w:rsidRPr="00E93F40" w:rsidRDefault="005F3755" w:rsidP="00E93F40">
      <w:pPr>
        <w:spacing w:after="0" w:line="240" w:lineRule="auto"/>
        <w:jc w:val="both"/>
        <w:rPr>
          <w:rFonts w:ascii="Times New Roman" w:hAnsi="Times New Roman"/>
          <w:color w:val="000000" w:themeColor="text1"/>
          <w:sz w:val="16"/>
          <w:szCs w:val="16"/>
        </w:rPr>
      </w:pPr>
    </w:p>
    <w:p w14:paraId="376A5D00" w14:textId="77777777" w:rsidR="005F3755"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67E9FFF" w14:textId="77777777" w:rsidR="005F3755" w:rsidRPr="00E93F40" w:rsidRDefault="005F375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CCA8B1" w14:textId="77777777" w:rsidR="005F3755" w:rsidRPr="00E93F40" w:rsidRDefault="005F37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в 1932 году первый одиночный перелет через Северную Атлантику в направлении с востока сходу на запад (14987).</w:t>
      </w:r>
    </w:p>
    <w:p w14:paraId="40706AD6" w14:textId="77777777" w:rsidR="005F3755" w:rsidRPr="00E93F40" w:rsidRDefault="005F3755" w:rsidP="00E93F40">
      <w:pPr>
        <w:spacing w:after="0" w:line="240" w:lineRule="auto"/>
        <w:jc w:val="both"/>
        <w:rPr>
          <w:rFonts w:ascii="Times New Roman" w:hAnsi="Times New Roman"/>
          <w:color w:val="000000" w:themeColor="text1"/>
          <w:sz w:val="16"/>
          <w:szCs w:val="16"/>
        </w:rPr>
      </w:pPr>
    </w:p>
    <w:p w14:paraId="736F2587" w14:textId="77777777" w:rsidR="00F415ED" w:rsidRPr="00E93F40" w:rsidRDefault="00F415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18–19 августа 1932 Джим Моллисон совершает первое одиночное пересечение Атлантики с востока на запад на своем de Havilland Puss Moth G-ABXY The Heart's Content из близлежащего Дублина в Нью-Брансуик (20803).</w:t>
      </w:r>
    </w:p>
    <w:p w14:paraId="09FF9519" w14:textId="77777777" w:rsidR="00F415ED" w:rsidRPr="00E93F40" w:rsidRDefault="00F415ED" w:rsidP="00E93F40">
      <w:pPr>
        <w:spacing w:after="0" w:line="240" w:lineRule="auto"/>
        <w:jc w:val="both"/>
        <w:rPr>
          <w:rFonts w:ascii="Times New Roman" w:hAnsi="Times New Roman"/>
          <w:color w:val="000000" w:themeColor="text1"/>
          <w:sz w:val="16"/>
          <w:szCs w:val="16"/>
        </w:rPr>
      </w:pPr>
    </w:p>
    <w:p w14:paraId="33BF7A18" w14:textId="77777777" w:rsidR="005F3755" w:rsidRPr="00E93F40" w:rsidRDefault="005F37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в 1932 году швейцарский воздухоплаватель Огюст Пикар (August Picard) вместе с бельгийским физиком Максом Козинсом на аэростате «FNPS» достигли рекордной для начала 1930-х высоты - 16.201м (старт из цюрихского аэропорта, посадка в Дезенцано, Италия) (14987).</w:t>
      </w:r>
    </w:p>
    <w:p w14:paraId="53BBC934" w14:textId="77777777" w:rsidR="005F3755" w:rsidRPr="00E93F40" w:rsidRDefault="005F3755" w:rsidP="00E93F40">
      <w:pPr>
        <w:spacing w:after="0" w:line="240" w:lineRule="auto"/>
        <w:jc w:val="both"/>
        <w:rPr>
          <w:rFonts w:ascii="Times New Roman" w:hAnsi="Times New Roman"/>
          <w:color w:val="000000" w:themeColor="text1"/>
          <w:sz w:val="16"/>
          <w:szCs w:val="16"/>
        </w:rPr>
      </w:pPr>
    </w:p>
    <w:p w14:paraId="6622AB9A"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18 августа 1932 года следующий полет бельгийца </w:t>
      </w:r>
      <w:r w:rsidRPr="00E93F40">
        <w:rPr>
          <w:rFonts w:ascii="Times New Roman" w:hAnsi="Times New Roman"/>
          <w:color w:val="000000" w:themeColor="text1"/>
          <w:sz w:val="16"/>
          <w:szCs w:val="16"/>
          <w:shd w:val="clear" w:color="auto" w:fill="FFFFFF"/>
        </w:rPr>
        <w:t xml:space="preserve">О.Пикара </w:t>
      </w:r>
      <w:r w:rsidRPr="00E93F40">
        <w:rPr>
          <w:rFonts w:ascii="Times New Roman" w:hAnsi="Times New Roman"/>
          <w:color w:val="000000" w:themeColor="text1"/>
          <w:sz w:val="16"/>
          <w:szCs w:val="16"/>
        </w:rPr>
        <w:t>закончился аварией. В 1934 году Пикар построил стратостат с объемом оболочки 112000 м3, на котором надеялся достичь высоты 30 км. Известно, что 23 ноября 1934 года на этом стратостате поднимался брат профессора Жак Пикар, который добраться до желаемых 30 км не смог, достигнув высоты 17672 м.</w:t>
      </w:r>
      <w:r w:rsidRPr="00E93F40">
        <w:rPr>
          <w:rFonts w:ascii="Times New Roman" w:hAnsi="Times New Roman"/>
          <w:color w:val="000000" w:themeColor="text1"/>
          <w:sz w:val="16"/>
          <w:szCs w:val="16"/>
          <w:shd w:val="clear" w:color="auto" w:fill="FFFFFF"/>
        </w:rPr>
        <w:t xml:space="preserve"> (19614).</w:t>
      </w:r>
    </w:p>
    <w:p w14:paraId="5B1E195F" w14:textId="77777777" w:rsidR="00C018CF" w:rsidRPr="00E93F40" w:rsidRDefault="00C018CF" w:rsidP="00E93F40">
      <w:pPr>
        <w:spacing w:after="0" w:line="240" w:lineRule="auto"/>
        <w:jc w:val="both"/>
        <w:rPr>
          <w:rFonts w:ascii="Times New Roman" w:hAnsi="Times New Roman"/>
          <w:color w:val="000000" w:themeColor="text1"/>
          <w:sz w:val="16"/>
          <w:szCs w:val="16"/>
        </w:rPr>
      </w:pPr>
    </w:p>
    <w:p w14:paraId="444DAB8E" w14:textId="77777777" w:rsidR="00F415ED" w:rsidRPr="00E93F40" w:rsidRDefault="00F415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1932 Огюст Пикар и Макс Косинс установили новый мировой рекорд высоты, поднявшись на воздушном шаре на высоту 16 201 метр (53 153 фута) (20803).</w:t>
      </w:r>
    </w:p>
    <w:p w14:paraId="72BB3376" w14:textId="77777777" w:rsidR="00F415ED" w:rsidRPr="00E93F40" w:rsidRDefault="00F415ED" w:rsidP="00E93F40">
      <w:pPr>
        <w:spacing w:after="0" w:line="240" w:lineRule="auto"/>
        <w:jc w:val="both"/>
        <w:rPr>
          <w:rFonts w:ascii="Times New Roman" w:hAnsi="Times New Roman"/>
          <w:color w:val="000000" w:themeColor="text1"/>
          <w:sz w:val="16"/>
          <w:szCs w:val="16"/>
        </w:rPr>
      </w:pPr>
    </w:p>
    <w:p w14:paraId="59725285" w14:textId="77777777" w:rsidR="00F415ED" w:rsidRPr="00E93F40" w:rsidRDefault="00F415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1932 г. Состоялся второй полёт «FNRS» с аэродрома Дюбендорф около Цюриха.</w:t>
      </w:r>
    </w:p>
    <w:p w14:paraId="11D4A1BE" w14:textId="77777777" w:rsidR="00F415ED" w:rsidRPr="00E93F40" w:rsidRDefault="00F415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первого полёта изменили систему терморегу</w:t>
      </w:r>
      <w:r w:rsidRPr="00E93F40">
        <w:rPr>
          <w:rFonts w:ascii="Times New Roman" w:hAnsi="Times New Roman"/>
          <w:color w:val="000000" w:themeColor="text1"/>
          <w:sz w:val="16"/>
          <w:szCs w:val="16"/>
        </w:rPr>
        <w:softHyphen/>
        <w:t>ляции гондолы: электромотор с пропеллером сняли, а гондолу выкрасили в белый блестящий цвет.</w:t>
      </w:r>
    </w:p>
    <w:p w14:paraId="254DBF4E" w14:textId="77777777" w:rsidR="00F415ED" w:rsidRPr="00E93F40" w:rsidRDefault="00F415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этом полёте Пиккар и бельгийский физик Макс Ко- зинс достигли высоты 16 201 м (по барографу), зарегистрированной по правилам ФАИ как ми</w:t>
      </w:r>
      <w:r w:rsidRPr="00E93F40">
        <w:rPr>
          <w:rFonts w:ascii="Times New Roman" w:hAnsi="Times New Roman"/>
          <w:color w:val="000000" w:themeColor="text1"/>
          <w:sz w:val="16"/>
          <w:szCs w:val="16"/>
        </w:rPr>
        <w:softHyphen/>
        <w:t>ровой рекорд. В ходе полёта были получены но</w:t>
      </w:r>
      <w:r w:rsidRPr="00E93F40">
        <w:rPr>
          <w:rFonts w:ascii="Times New Roman" w:hAnsi="Times New Roman"/>
          <w:color w:val="000000" w:themeColor="text1"/>
          <w:sz w:val="16"/>
          <w:szCs w:val="16"/>
        </w:rPr>
        <w:softHyphen/>
        <w:t>вые данные о космических лучах.</w:t>
      </w:r>
    </w:p>
    <w:p w14:paraId="32B0DF8A" w14:textId="77777777" w:rsidR="00F415ED" w:rsidRPr="00E93F40" w:rsidRDefault="00F415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Полёты Пиккара, широко освещавшиеся со</w:t>
      </w:r>
      <w:r w:rsidRPr="00E93F40">
        <w:rPr>
          <w:rFonts w:ascii="Times New Roman" w:hAnsi="Times New Roman"/>
          <w:color w:val="000000" w:themeColor="text1"/>
          <w:sz w:val="16"/>
          <w:szCs w:val="16"/>
        </w:rPr>
        <w:softHyphen/>
        <w:t>ветской печатью, привели к образованию в Мо</w:t>
      </w:r>
      <w:r w:rsidRPr="00E93F40">
        <w:rPr>
          <w:rFonts w:ascii="Times New Roman" w:hAnsi="Times New Roman"/>
          <w:color w:val="000000" w:themeColor="text1"/>
          <w:sz w:val="16"/>
          <w:szCs w:val="16"/>
        </w:rPr>
        <w:softHyphen/>
        <w:t>скве и Ленинграде двух инициативных групп, приступивших к проектированию и постройке стратостатов (20120).</w:t>
      </w:r>
    </w:p>
    <w:p w14:paraId="467C808F" w14:textId="77777777" w:rsidR="00F415ED" w:rsidRPr="00E93F40" w:rsidRDefault="00F415ED" w:rsidP="00E93F40">
      <w:pPr>
        <w:spacing w:after="0" w:line="240" w:lineRule="auto"/>
        <w:jc w:val="both"/>
        <w:rPr>
          <w:rFonts w:ascii="Times New Roman" w:hAnsi="Times New Roman"/>
          <w:color w:val="000000" w:themeColor="text1"/>
          <w:sz w:val="16"/>
          <w:szCs w:val="16"/>
        </w:rPr>
      </w:pPr>
    </w:p>
    <w:p w14:paraId="2CC036F7" w14:textId="77777777" w:rsidR="00A34BF2" w:rsidRPr="00E93F40" w:rsidRDefault="00A34B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августа 1932 г. Пу И подписывает секретное соглашение и отдает все права по распоряжению государством Манчжоу Го японцам (17325)</w:t>
      </w:r>
    </w:p>
    <w:p w14:paraId="65097952" w14:textId="77777777" w:rsidR="00A34BF2" w:rsidRPr="00E93F40" w:rsidRDefault="00A34BF2" w:rsidP="00E93F40">
      <w:pPr>
        <w:spacing w:after="0" w:line="240" w:lineRule="auto"/>
        <w:jc w:val="both"/>
        <w:rPr>
          <w:rFonts w:ascii="Times New Roman" w:hAnsi="Times New Roman"/>
          <w:color w:val="000000" w:themeColor="text1"/>
          <w:sz w:val="16"/>
          <w:szCs w:val="16"/>
        </w:rPr>
      </w:pPr>
    </w:p>
    <w:p w14:paraId="3780259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A2EF3C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64B4F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августа 1932 состоялся первый полет БИЧ-7 Парабола Черановского. Сделали 3 круга на высоте 1000 м за 0:25 Отмечено давление на ручку, создающее впечатление тяги с-та на нос (2307).</w:t>
      </w:r>
    </w:p>
    <w:p w14:paraId="1230B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22BBF9" w14:textId="77777777" w:rsidR="00316B7A" w:rsidRPr="00E93F40" w:rsidRDefault="00316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w:t>
      </w:r>
      <w:r w:rsidRPr="00E93F40">
        <w:rPr>
          <w:rFonts w:ascii="Times New Roman" w:hAnsi="Times New Roman"/>
          <w:color w:val="000000" w:themeColor="text1"/>
          <w:sz w:val="16"/>
          <w:szCs w:val="16"/>
        </w:rPr>
        <w:softHyphen/>
        <w:t>тября 1932 г. состоялся первый полет БИЧ-7А по кругу на высоте 1000 м. Последующие полеты, предпринятые 23, 26 и 27 октя</w:t>
      </w:r>
      <w:r w:rsidRPr="00E93F40">
        <w:rPr>
          <w:rFonts w:ascii="Times New Roman" w:hAnsi="Times New Roman"/>
          <w:color w:val="000000" w:themeColor="text1"/>
          <w:sz w:val="16"/>
          <w:szCs w:val="16"/>
        </w:rPr>
        <w:softHyphen/>
        <w:t>бря выявили высокое давление на ручку управления. Недостаток устранили вве</w:t>
      </w:r>
      <w:r w:rsidRPr="00E93F40">
        <w:rPr>
          <w:rFonts w:ascii="Times New Roman" w:hAnsi="Times New Roman"/>
          <w:color w:val="000000" w:themeColor="text1"/>
          <w:sz w:val="16"/>
          <w:szCs w:val="16"/>
        </w:rPr>
        <w:softHyphen/>
        <w:t>дением небольшой регулируемой пла</w:t>
      </w:r>
      <w:r w:rsidRPr="00E93F40">
        <w:rPr>
          <w:rFonts w:ascii="Times New Roman" w:hAnsi="Times New Roman"/>
          <w:color w:val="000000" w:themeColor="text1"/>
          <w:sz w:val="16"/>
          <w:szCs w:val="16"/>
        </w:rPr>
        <w:softHyphen/>
        <w:t>стинки на задней кромке руля высоты. До 21 декабря 1932 г. БИЧ-7А выполнил 15 полноценных полетов.</w:t>
      </w:r>
    </w:p>
    <w:p w14:paraId="5C9234DE" w14:textId="77777777" w:rsidR="00316B7A" w:rsidRPr="00E93F40" w:rsidRDefault="00316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БИЧ-7А во всех отчетах официально именовался «Пара</w:t>
      </w:r>
      <w:r w:rsidRPr="00E93F40">
        <w:rPr>
          <w:rFonts w:ascii="Times New Roman" w:hAnsi="Times New Roman"/>
          <w:color w:val="000000" w:themeColor="text1"/>
          <w:sz w:val="16"/>
          <w:szCs w:val="16"/>
        </w:rPr>
        <w:softHyphen/>
        <w:t>бола». Было оборудовано нормальное двухстоечное шасси, закрытая кабина летчиков и мощное однокилевое опере</w:t>
      </w:r>
      <w:r w:rsidRPr="00E93F40">
        <w:rPr>
          <w:rFonts w:ascii="Times New Roman" w:hAnsi="Times New Roman"/>
          <w:color w:val="000000" w:themeColor="text1"/>
          <w:sz w:val="16"/>
          <w:szCs w:val="16"/>
        </w:rPr>
        <w:softHyphen/>
        <w:t>ние. Все работы велись на заводе опыт</w:t>
      </w:r>
      <w:r w:rsidRPr="00E93F40">
        <w:rPr>
          <w:rFonts w:ascii="Times New Roman" w:hAnsi="Times New Roman"/>
          <w:color w:val="000000" w:themeColor="text1"/>
          <w:sz w:val="16"/>
          <w:szCs w:val="16"/>
        </w:rPr>
        <w:softHyphen/>
        <w:t>ных конструкций (ЗОК) ЦАГИ (27 августа 1931 г. ЦКБ и ЦАГИ объединили в еди</w:t>
      </w:r>
      <w:r w:rsidRPr="00E93F40">
        <w:rPr>
          <w:rFonts w:ascii="Times New Roman" w:hAnsi="Times New Roman"/>
          <w:color w:val="000000" w:themeColor="text1"/>
          <w:sz w:val="16"/>
          <w:szCs w:val="16"/>
        </w:rPr>
        <w:softHyphen/>
        <w:t>ную организацию - ЦКБ-ЦАГИ) (17470).</w:t>
      </w:r>
    </w:p>
    <w:p w14:paraId="70031AC3" w14:textId="77777777" w:rsidR="00316B7A" w:rsidRPr="00E93F40" w:rsidRDefault="00316B7A" w:rsidP="00E93F40">
      <w:pPr>
        <w:spacing w:after="0" w:line="240" w:lineRule="auto"/>
        <w:jc w:val="both"/>
        <w:rPr>
          <w:rFonts w:ascii="Times New Roman" w:hAnsi="Times New Roman"/>
          <w:color w:val="000000" w:themeColor="text1"/>
          <w:sz w:val="16"/>
          <w:szCs w:val="16"/>
        </w:rPr>
      </w:pPr>
    </w:p>
    <w:p w14:paraId="42269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августа 1932 пилот Гаранин открыл на ПС-5 (Юг-1) N 906, который в ноябре 1932 г. зарегистрированный как СССР-Л990, регулярное воздушное сообщение между Якутском и Алданским прииском. А за день до этого, на празднике, посвященном Дню воздушного флота, на "Юнкерсе" катали ударников. Взлет-посадка, взлет-посадка - 150 человек! (3224,17).</w:t>
      </w:r>
    </w:p>
    <w:p w14:paraId="5E68C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D0317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F0709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F45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августа 1932 приказом МКС № 148 в Дмитров переводилось (к 1 сентября) уже все Управление строительства канала Москва-Волга (7560).</w:t>
      </w:r>
    </w:p>
    <w:p w14:paraId="489C9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5DB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августа 1931 г. вышло Постановление ЦК ВКП(б) “О мерах улучшения общественного питания”</w:t>
      </w:r>
    </w:p>
    <w:p w14:paraId="398674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Решающие успехи в области хозяйственного строительства СССР, культурный рост масс и втягивание членов рабочей семьи в производство, в связи с полной ликвидацией безработицы, ставят перед потребкооперацией задачу постепенного переключение продовольственного снабжения с форм индивидуального потребления с форм индивидуального потребления на общественное питание, как первое условие – «перехода от мелкого одиночного, домашнего хозяйства к крупному обобществленному». (Ленин). Декабрьский пленум ЦК ВКП(б).</w:t>
      </w:r>
    </w:p>
    <w:p w14:paraId="761EBE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констатирует, что за годы революции общественное питание достигло значительного развития: охвачено общественным питанием 5 млн. рабочих, 3800 тыс. прочих трудящихся в городах; 3 млн. в школах обслуживается горячими завтраками, сеть общественного питания достигла 13 400 единиц; построено значительное количество фабрик-кухонь и механизированных столовых, в капитальное строительство вложено только за последние 3 года больше 200 млн. рублей. ЦК считает, что, несмотря на эти успехи, состояние общественного питания не удовлетворяет выросшие потребности масс и имеет ряд вопиющих недостатков, наносящих серьезный ущерб делу улучшения рабочего питания и снабжения.</w:t>
      </w:r>
    </w:p>
    <w:p w14:paraId="1490AB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Крупнейшими недостатками общественного питания являются: неудовлетворительность обедов, зависящая главным образом от плохой постановки дела общественного питания; антисанитарное состояние столовых, недопустимо небрежное обслуживание потребителя; слабая материально-техническая база и плохое ее использование; перегрузка предприятий общественного питания; отсутствие хозрасчета, бесхозяйственность и безответственность административно-технического персонала; низкая квалификация поварского персонала; уравниловка в зарплате, обезличка в организации труда и слабая трудовая дисциплина; недостаточное внимание к общественному питанию со стороны кооперативных, партийных, профессиональных и советских организаций.</w:t>
      </w:r>
    </w:p>
    <w:p w14:paraId="0D13E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Придавая исключительно важное значение организации и широкому развертыванию общественного питания для коренного улучшения снабжения рабочих масс, устранения текучести рабочей силы и выполнения промфинплана, ЦК обращает внимание всех кооперативных, партийных, профессиональных и хозяйственных организаций на то, что индустриализация страны и переход к крупному обобществленному хозяйству требуют такой постановки общественного питания, которая обеспечила бы на деле широким массам рабочих, служащих и членов их семей возможность в полной мере пользоваться услугами общественного питания.</w:t>
      </w:r>
    </w:p>
    <w:p w14:paraId="501108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коренного улучшения общественного питания ЦК ВКП(б) постановляет:</w:t>
      </w:r>
    </w:p>
    <w:p w14:paraId="3873B5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Выделить общественное питание в Москве, Ленинграде и промышленных пунктах Донбасса и Урала из системы потребкооперации и организовать в этих районах государственные тресты и объединения народного питания в системе НКСнаба, работающие на хозрасчете, создав для руководства их деятельностью в системе Наркомснаба СССР Главное управление по народному питанию («Союзнарпит»).</w:t>
      </w:r>
    </w:p>
    <w:p w14:paraId="4A196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 остальных областях, районах и городах организацию общественного питания осуществлять через Всекопит, как автономную секцию потребительской кооперации, с тем, чтобы работа Всекопита была коренным образом реорганизована и улучшена.</w:t>
      </w:r>
    </w:p>
    <w:p w14:paraId="4B74A0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Предоставить объединениям и столовым Всекопита так же, как и объединениям и предприятиям народного питания Наркомснаба, право самостоятельных заготовок.</w:t>
      </w:r>
    </w:p>
    <w:p w14:paraId="542D2E1F" w14:textId="77777777" w:rsidR="005F3755" w:rsidRPr="00E93F40" w:rsidRDefault="005F375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Мероприятия по улучшению работы существующих столовых</w:t>
      </w:r>
    </w:p>
    <w:p w14:paraId="644F5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ЦК отмечает совершенно нетерпимое положение с санитарным состоянием в ряде предприятий общественного питания: наличие фактов антисанитарной обработки продуктов, небрежной мойки и обращения с посудой, плохого хранения продуктов, ведущего к порче, отсутствие санитарного надзора.</w:t>
      </w:r>
    </w:p>
    <w:p w14:paraId="51DC8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считает необходимым, чтобы персональная ответственность за санитарное состояние предприятий народного питания была возложена на заведующих столовыми и деректоров фабрик-кухонь.</w:t>
      </w:r>
    </w:p>
    <w:p w14:paraId="14647B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НКЗдраву и органам здравоохранения установить специальное наблюдение за санитарным состоянием всех предприятий общественного питания, с привлечением виновных к ответственности, а судебным органам сурово наказывать виновных в допущении антисанитарного состояния столовых.</w:t>
      </w:r>
    </w:p>
    <w:p w14:paraId="6DEF8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усиления контроля над общественным питанием организовать при РКИ специальную инспекцию, с привлечением работников ГПУ и пролетарской общественности, возложив на нее наблюдение за качеством пищи, правильным обслуживанием потребителя и санитарным состоянием столовых.</w:t>
      </w:r>
    </w:p>
    <w:p w14:paraId="181365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Ввести во всех предприятиях общественного питания браковку продуктов и обедов. Всекопиту и трестам нар. Питания НКСнаба привлечь к участию в браковке наряду с инспектурой самих столующихся и заводскую общественность.</w:t>
      </w:r>
    </w:p>
    <w:p w14:paraId="3B27E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Возложить на правления кооперативных организаций, Всекопит и тресты народного питания НКСнаба ответственность за доставку предприятиям общественного питания доброкачественных продуктов, обязав заведующих столовыми и директоров фабрик-кухонь отказываться от приема недоброкачественных продуктов.</w:t>
      </w:r>
    </w:p>
    <w:p w14:paraId="0536F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Ввести большее разнообразие в меню фабрик-кухонь и столовых, не связывая потребителя стандартными обедами, и развернуть на предприятиях широко работу буфетов, в частности ввести обеды по разным ценам.</w:t>
      </w:r>
    </w:p>
    <w:p w14:paraId="27C0E5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Обязать Всекопит и тресты народного питания НКСнаба в первую очередь улучшить постановку общественного питания в ведущих отраслях промышленности, горячих и вредных цехах предприятий и установить круглосуточное обслуживание горячей пищей, и в первую очередь рабочих этих цехов.</w:t>
      </w:r>
    </w:p>
    <w:p w14:paraId="2E438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Установить с 1 сентября поощрительную систему оплаты труда на предприятиях общественного питания (столовые, фабрики кухни) на основе прогрессивной сдельщины. Проведение сдельщины в предприятиях общественного питания обязательно увязать с качеством питания обязательно увязать с качеством пищи, для чего установить контроль за приемкой продукции, материальную ответственность за допущение брака и премию за улучшение качества обработки.</w:t>
      </w:r>
    </w:p>
    <w:p w14:paraId="703F1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рабочих фабрик-кухонь и крупных механизированных столовых в одинаковые условия с рабочими промышленных предприятий как в отношении зарплаты, так и в отношении снабжения промтоварами. Повысить зарплату поваров до уровня квалифицированных рабочих промышленности.</w:t>
      </w:r>
    </w:p>
    <w:p w14:paraId="3E94A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Предложить НКСнабу и Центросоюзу широко развернуть работу по ремонту существующей сети столовых и оборудования их, обязав ВСНХ и НКТруд оказать практическую помощь как в отношении рабочей силы, так и в снабжении необходимыми материалами.</w:t>
      </w:r>
    </w:p>
    <w:p w14:paraId="67F195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Возложить на заводоуправление ответственность за предоставление в своих предприятиях вполне годных и благоустроенных помещений под столовые и буфеты для рабочих и оказание реальной помощи в деле текущего ремонта инвентаря и оборудования, и в особенности в отношении посуды кухонного и столового инвентаря.</w:t>
      </w:r>
    </w:p>
    <w:p w14:paraId="3A0700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заводоуправления крупных предприятий при термосной системе снабжения рабочих обедами обеспечить необходимое оборудование и помещение для подогрева пищи.</w:t>
      </w:r>
    </w:p>
    <w:p w14:paraId="39AC4B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Обязать НКСнаб и Центросоюз не гнаться за увеличение количественного охвата столующихся в ущерб качеству обеда и установленным нормам по общественному питанию. Установить, что всякое увеличение количества столующихся, выходящее за пределы централизованных продфондов, должно идти, как правило за счет мобилизации дополнительных местных продовольственных ресурсов. В целях увеличения продовольственных ресурсов для общественного питания развернутьшироко сеть подсобных предприятий при столовых по свиноводству, птицеводству, кролиководству и др., при чем продукцию их полностью закрепить за столовыми.</w:t>
      </w:r>
    </w:p>
    <w:p w14:paraId="21DC5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Обязать НКСнаб и его отраслевые объединения, ровно как органы потребкооперации при снабжении предприятий общественного питания продуктами централизованных фондов, обеспечить своевременный завоз продуктов по соответствующему ассортименту, согласно заключенных договоров.</w:t>
      </w:r>
    </w:p>
    <w:p w14:paraId="1CC3C081" w14:textId="77777777" w:rsidR="005F3755" w:rsidRPr="00E93F40" w:rsidRDefault="005F375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Обеспечение инвентаря фабрик-кухонь и столовых</w:t>
      </w:r>
    </w:p>
    <w:p w14:paraId="1CBCE8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Для снабжения предприятий общественного питания инвентарем и оборудованием в 1931 году обязать всех ВСНХ СССР полностью выполнить договоры, заключенные Всекопитом с промышленностью на 1931 год на оборудование и инвентарь (29.5 млн.руб.), пересмотреть производственный ассортимент фарфора и фаянса в сторону увеличения во 2-м полугодии 1931 года производства тарелок за счет других изделий, обеспечить полностью потребность общественного питания в стаканах, выполнить производственную программу по алюминиевым ложкам, ножам и вилкам, выполнить дополнительную программу оборудования для общественного питания сверх заключенных договоров по списку, утвержденному СТО.</w:t>
      </w:r>
    </w:p>
    <w:p w14:paraId="161E6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Обязать Всекопромсоюз организовать во втором полугодии 1931 г. производство деревянных ложек, ножей, вилок и кухонного инвентаря по списку, утвержденному СТО. Комитету по кустарной промышленности при СТО установить наблюдение за проведением этих директив и оказать помощь для реализации этой программы кустарно- промышленной кооперации выделением необходимых дополнительных фондов сырья.</w:t>
      </w:r>
    </w:p>
    <w:p w14:paraId="28380B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Наркомвнешторгу немедленно выделить организациям общественного питания не менее 125 тонн олова для лужения кухонного инвентаря.</w:t>
      </w:r>
    </w:p>
    <w:p w14:paraId="092EA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Совету Труда и Обороны выделить для нужд общественного питания в 1931 г. 300 штук грузомашин.</w:t>
      </w:r>
    </w:p>
    <w:p w14:paraId="5D32B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В целях обеспечения оборудованием и инвентарем как существующих столовых и фабрик кухонь, так и вновь строящихся и в целях дальнейшего развертывания механизации общественного питания в соответствии с планом:</w:t>
      </w:r>
    </w:p>
    <w:p w14:paraId="7E5BD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предложить ВСНХ СССР организовать трест союзного значения по производству оборудования для общественного питания, выделив в состав этого треста, в первую очередь заводы: «Вулкан» - Ленинград, “Механолит” Харьков , заводы Мосмета №№ 18 и 21-Москва, с тем, чтобы к 1 сентября представить полный список заводов этого треста;</w:t>
      </w:r>
    </w:p>
    <w:p w14:paraId="2585CA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Всекомпросоюз широко развернуть производство кухонного, столового и хозяйственного инвентаря для предприятий общественного питания, а ВСНХ СССР – обеспечить промысловую кооперацию соответствующими фондами металла.</w:t>
      </w:r>
    </w:p>
    <w:p w14:paraId="18A630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Обеспечить окончание в 1931 году начатого строительства фабрик-кухонь и столовых при предприятиях, приравняв это строительство к ударным стройкам промышленности. Обязать ВСНХ СССР обеспечить эти стройки стройматериалами и оборудованием.</w:t>
      </w:r>
    </w:p>
    <w:p w14:paraId="3A8CD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Предложить СТО в декадный срок установить по представлению Всекопита, Наркомснаба, ВСНХ СССР и ВЦСПС список предприятий общественного питания подлежащих к пуску в 1931 г., и необходимые для этой цели мероприятия.</w:t>
      </w:r>
    </w:p>
    <w:p w14:paraId="496BAC41" w14:textId="77777777" w:rsidR="005F3755" w:rsidRPr="00E93F40" w:rsidRDefault="005F375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плане развития общественного питания</w:t>
      </w:r>
    </w:p>
    <w:p w14:paraId="42BC1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ЦК считает необходимым развернуть общественное питание с таким расчетом, чтобы в ближайшие 2-3 года удвоить число рабочих, служащих и членов их семей, обслуживаемых общественным питанием, с доведением числа обслуживаемых до 25 млн. чел., и добиться полного охвата горячими завтраками школьников и детей, обслуживаемых дошкольными учреждениями.</w:t>
      </w:r>
    </w:p>
    <w:p w14:paraId="45B5E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В соответствии с этим поручить Госплану СССР к 1 января 1932 г. с участием Всекомпита и НКСнаба разработать план развития общественного питания на 1932/33 г., положив в основу следующее:</w:t>
      </w:r>
    </w:p>
    <w:p w14:paraId="6EE3D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переход с фабрик-кухонь с термосной системой к фабрикам-заготовочным с сетью столовых при фабриках и заводах, обеспечивающих обслуживание рабочих горячей пищей;</w:t>
      </w:r>
    </w:p>
    <w:p w14:paraId="351CA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строительство не менее 250-300 фабрик-заготовочных с сетью до 3-4 тыс. столовых при фабриках и заводах.</w:t>
      </w:r>
    </w:p>
    <w:p w14:paraId="27406314" w14:textId="77777777" w:rsidR="005F3755" w:rsidRPr="00E93F40" w:rsidRDefault="005F375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Кадры</w:t>
      </w:r>
    </w:p>
    <w:p w14:paraId="6C25B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Обязать Центросоюз, Всекопит и НКСнаб обеспечить подготовку кадров для городского сектора на 1931/32 г. по общественному питанию: поваров, директоров фабрик-кухонь и заведующих столовыми, счетных работников, нормировщиков и др. Развернуть сеть ФЗУ общественного питания, техникумов и провести организацию специального ВТУЗа.</w:t>
      </w:r>
    </w:p>
    <w:p w14:paraId="7EFE6C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Сохранить однопроцентное отчисление с оборота общественного питания на подготовку кадров и научно-исследовательскую работу по общественному питанию, обязав Центросоюз и НКСнаб полностью обеспечить использование этих средств исключительно по указанному назначению.</w:t>
      </w:r>
    </w:p>
    <w:p w14:paraId="01910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Обязать местные партийные, советские и профессиональные организации принять все необходимые меры по укреплению аппарата общественного питания квалифицированными работниками и провести в этих целях в месячный срок мобилизацию 500 членов партии в крупнейших промышленных центрах.</w:t>
      </w:r>
    </w:p>
    <w:p w14:paraId="338463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Реорганизовать журналы «Рабочий общественного питания» и «Общественное питание» в газету ЦК союза, Всекопита и Главного управления НКСаба по народному питанию с выходом ее один раз в 5-дневку.</w:t>
      </w:r>
    </w:p>
    <w:p w14:paraId="78EE4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обязывает все партийные, комсомольские, профсоюзные, кооперативные и хозяйственные организации в кратчайший срок обеспечить действительный перелом в деле общественного питания, развернув массовую работу по политическому воспитанию рабочих общественного питания, внедрения в их среду культурных навыков, методов соревнования и ударничества и вовлекая в дело строительства и контроля над предприятиями общественного питания широкие рабочие массы.</w:t>
      </w:r>
    </w:p>
    <w:p w14:paraId="68A5C0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считает, что каждый рабочий, каждый член партии и комсомолец, и в первую очередь все работающие в предприятиях общественного питания обязаны обеспечить на деле успешную борьбу со всеми недостатками общественного питания и превратить его в важнейшее звено в работе по улучшению быта рабочего класса.</w:t>
      </w:r>
    </w:p>
    <w:p w14:paraId="39E84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640C4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C389CB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E21CC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августа 1932 года был заключен новый договор НИИ ВВС с ОКБ-ВОТИ для финансирования и наблюдение за работами по ОКБ-ВОТИ с увеличением суммы договора до 882000 рублей ОКБ ВОТИ было обязано разработать и построить:</w:t>
      </w:r>
    </w:p>
    <w:p w14:paraId="377622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Три стабилизации для самолета ТБ-1 – 15 сентября 1932 года.</w:t>
      </w:r>
    </w:p>
    <w:p w14:paraId="4A10D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Тоже для самолета И-4 - 15 сентября 1932 года.</w:t>
      </w:r>
    </w:p>
    <w:p w14:paraId="03CBF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Тоже для самолета ТБ-3.</w:t>
      </w:r>
    </w:p>
    <w:p w14:paraId="42A27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Тоже для самолета Р-5 – 1 января 1933 года.</w:t>
      </w:r>
    </w:p>
    <w:p w14:paraId="6CC87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Автоматы и взлеты посадки – по тактико-техническим требованиям НИИ ВВС (4039,144).</w:t>
      </w:r>
    </w:p>
    <w:p w14:paraId="61A52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F113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20 августа по 30 сентября 1932 У.Нобиле консультировал советских дирижаблестроителей. Посетил Долгопрудный. Решил остаться на более длительный срок. Жил в Москве в Гранд-Отеле, а потом на Мясницкой рядом с Лубянкой (1228,8).</w:t>
      </w:r>
    </w:p>
    <w:p w14:paraId="167AC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C68995"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E99038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F29292F" w14:textId="6DFB0501" w:rsidR="005F3755" w:rsidRPr="00E93F40" w:rsidRDefault="005F3755"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bCs/>
          <w:iCs/>
          <w:color w:val="000000" w:themeColor="text1"/>
          <w:sz w:val="16"/>
          <w:szCs w:val="16"/>
        </w:rPr>
        <w:t>20</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августа</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 20</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сентября 1932</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г.</w:t>
      </w:r>
      <w:r w:rsidRPr="00E93F40">
        <w:rPr>
          <w:rFonts w:ascii="Times New Roman" w:hAnsi="Times New Roman"/>
          <w:color w:val="000000" w:themeColor="text1"/>
          <w:sz w:val="16"/>
          <w:szCs w:val="16"/>
        </w:rPr>
        <w:t xml:space="preserve"> Большие осенние артиллерийские химические стрельбы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артполигоне Дретунь (Витебская обл., Белоруссия). Решались задачи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w:t>
      </w:r>
      <w:r w:rsidRPr="00E93F40">
        <w:rPr>
          <w:rFonts w:ascii="Times New Roman" w:hAnsi="Times New Roman"/>
          <w:iCs/>
          <w:color w:val="000000" w:themeColor="text1"/>
          <w:sz w:val="16"/>
          <w:szCs w:val="16"/>
        </w:rPr>
        <w:t>выявление тактико-технических свойств артхимснарядов в</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условиях западной границы СССР, выявление норм расхода артхимснарядов,.. обучение артиллерии РККА стрельбе и</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применению артхимснарядов</w:t>
      </w:r>
      <w:r w:rsidRPr="00E93F40">
        <w:rPr>
          <w:rFonts w:ascii="Times New Roman" w:hAnsi="Times New Roman"/>
          <w:color w:val="000000" w:themeColor="text1"/>
          <w:sz w:val="16"/>
          <w:szCs w:val="16"/>
        </w:rPr>
        <w:t>» (17133).</w:t>
      </w:r>
    </w:p>
    <w:p w14:paraId="791DD380" w14:textId="77777777" w:rsidR="005F3755" w:rsidRPr="00E93F40" w:rsidRDefault="005F3755" w:rsidP="00E93F40">
      <w:pPr>
        <w:shd w:val="clear" w:color="auto" w:fill="FFFFFF"/>
        <w:spacing w:after="0" w:line="240" w:lineRule="auto"/>
        <w:jc w:val="both"/>
        <w:rPr>
          <w:rFonts w:ascii="Times New Roman" w:hAnsi="Times New Roman"/>
          <w:color w:val="000000" w:themeColor="text1"/>
          <w:sz w:val="16"/>
          <w:szCs w:val="16"/>
        </w:rPr>
      </w:pPr>
    </w:p>
    <w:p w14:paraId="0847D721" w14:textId="77777777" w:rsidR="005F3755" w:rsidRPr="00E93F40" w:rsidRDefault="005F37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августа 1932 г. сборку первого прототипа, получившего обозначение Т-35—1, закончили, а 1 сентября он был показан представителям УММ РККА во главе с Бокисом. На присутствующих машина произвела сильное впечатление. Внешне Т-35 оказался, похожим на английский опытный пятибашенный танк А1Е1 «Индепендент» фирмы «Виккерс». Принято считать, что Т-35 создан по типу «Индепендента» (15117).</w:t>
      </w:r>
    </w:p>
    <w:p w14:paraId="4714C9C1" w14:textId="77777777" w:rsidR="005F3755" w:rsidRPr="00E93F40" w:rsidRDefault="005F3755" w:rsidP="00E93F40">
      <w:pPr>
        <w:spacing w:after="0" w:line="240" w:lineRule="auto"/>
        <w:jc w:val="both"/>
        <w:rPr>
          <w:rFonts w:ascii="Times New Roman" w:hAnsi="Times New Roman"/>
          <w:color w:val="000000" w:themeColor="text1"/>
          <w:sz w:val="16"/>
          <w:szCs w:val="16"/>
        </w:rPr>
      </w:pPr>
    </w:p>
    <w:p w14:paraId="038CD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августа 1932 года закончили сборку первого прототипа, получившего обозначение Т-35-1 (3862).</w:t>
      </w:r>
    </w:p>
    <w:p w14:paraId="4D1BCF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721BDD" w14:textId="77777777" w:rsidR="00DD752B" w:rsidRPr="00142305" w:rsidRDefault="00DD752B" w:rsidP="00DD75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ав</w:t>
      </w:r>
      <w:r w:rsidRPr="00142305">
        <w:rPr>
          <w:rFonts w:ascii="Times New Roman" w:hAnsi="Times New Roman"/>
          <w:color w:val="0070C0"/>
          <w:sz w:val="16"/>
          <w:szCs w:val="16"/>
        </w:rPr>
        <w:softHyphen/>
        <w:t>густа 1932 года закончили сборку первого прототипа тяжелого танка, получивше</w:t>
      </w:r>
      <w:r w:rsidRPr="00142305">
        <w:rPr>
          <w:rFonts w:ascii="Times New Roman" w:hAnsi="Times New Roman"/>
          <w:color w:val="0070C0"/>
          <w:sz w:val="16"/>
          <w:szCs w:val="16"/>
        </w:rPr>
        <w:softHyphen/>
        <w:t>го обозначение Т-35-1, 1 сентября танк был пока</w:t>
      </w:r>
      <w:r w:rsidRPr="00142305">
        <w:rPr>
          <w:rFonts w:ascii="Times New Roman" w:hAnsi="Times New Roman"/>
          <w:color w:val="0070C0"/>
          <w:sz w:val="16"/>
          <w:szCs w:val="16"/>
        </w:rPr>
        <w:softHyphen/>
        <w:t>зан представителям УММ РККА во главе с Г. Бокисом, на которых произвел сильное впечатление. Часто пишут, что Т-35 был из</w:t>
      </w:r>
      <w:r w:rsidRPr="00142305">
        <w:rPr>
          <w:rFonts w:ascii="Times New Roman" w:hAnsi="Times New Roman"/>
          <w:color w:val="0070C0"/>
          <w:sz w:val="16"/>
          <w:szCs w:val="16"/>
        </w:rPr>
        <w:softHyphen/>
        <w:t>готовлен по типу английского танка А1Е1 «Индепендент». Однако как уже говорилось выше, это не соответствует действительно</w:t>
      </w:r>
      <w:r w:rsidRPr="00142305">
        <w:rPr>
          <w:rFonts w:ascii="Times New Roman" w:hAnsi="Times New Roman"/>
          <w:color w:val="0070C0"/>
          <w:sz w:val="16"/>
          <w:szCs w:val="16"/>
        </w:rPr>
        <w:softHyphen/>
        <w:t>сти. Возможно, была использована только схема размещения башен, хотя не исключен вариант, при котором к аналогичной схеме советские конструкторы могли придти са</w:t>
      </w:r>
      <w:r w:rsidRPr="00142305">
        <w:rPr>
          <w:rFonts w:ascii="Times New Roman" w:hAnsi="Times New Roman"/>
          <w:color w:val="0070C0"/>
          <w:sz w:val="16"/>
          <w:szCs w:val="16"/>
        </w:rPr>
        <w:softHyphen/>
        <w:t>мостоятельно. Кроме того, Т-35 отличался от английской машины более мощным воо</w:t>
      </w:r>
      <w:r w:rsidRPr="00142305">
        <w:rPr>
          <w:rFonts w:ascii="Times New Roman" w:hAnsi="Times New Roman"/>
          <w:color w:val="0070C0"/>
          <w:sz w:val="16"/>
          <w:szCs w:val="16"/>
        </w:rPr>
        <w:softHyphen/>
        <w:t>ружением, имел иную конструкцию ходовой части и трансмиссию (25014).</w:t>
      </w:r>
    </w:p>
    <w:p w14:paraId="69A3B883" w14:textId="77777777" w:rsidR="00DD752B" w:rsidRPr="00142305" w:rsidRDefault="00DD752B" w:rsidP="00DD752B">
      <w:pPr>
        <w:spacing w:after="0" w:line="240" w:lineRule="auto"/>
        <w:jc w:val="both"/>
        <w:rPr>
          <w:rFonts w:ascii="Times New Roman" w:hAnsi="Times New Roman"/>
          <w:color w:val="0070C0"/>
          <w:sz w:val="16"/>
          <w:szCs w:val="16"/>
        </w:rPr>
      </w:pPr>
    </w:p>
    <w:p w14:paraId="3EFDCF11"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20 августа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1292/276сс о расчистке лесных площадей второй очереди для оборонных целей по БССР, УССР и Ленинградской обл. (ГА РФ. Ф. Р?8418. Оп. 28. Д. 146. Л. 94) (12415).</w:t>
      </w:r>
    </w:p>
    <w:p w14:paraId="29FDA29B"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СНК СССР № 1295/279сс о дополнительном отпуске 1 млн. руб. на гидротехничесие и дноуглубительные работы по устройстве в Ораниенбауме и Кронштадте топливных баз для морских сил РККА (ГА РФ. Ф. Р?8418. Оп. 28. Д. 146. Л. 95) (12415).</w:t>
      </w:r>
    </w:p>
    <w:p w14:paraId="0253EF93"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p>
    <w:p w14:paraId="691A970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C2072A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DA9D33" w14:textId="77777777" w:rsidR="00627BAA" w:rsidRPr="00E93F40" w:rsidRDefault="00627BA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20 августа в 1932 году впервые взлетел прототип «S.91/8» с двигателем «Hispano-Suiza» «12Xbrs» с турбонагнетателем биплана с крыльями равного размаха </w:t>
      </w:r>
      <w:hyperlink r:id="rId199" w:tgtFrame="_blank" w:history="1">
        <w:r w:rsidRPr="00E93F40">
          <w:rPr>
            <w:rFonts w:ascii="Times New Roman" w:hAnsi="Times New Roman"/>
            <w:color w:val="000000" w:themeColor="text1"/>
            <w:sz w:val="16"/>
            <w:szCs w:val="16"/>
          </w:rPr>
          <w:t xml:space="preserve">«Bleriot-SPAD» «S.91». </w:t>
        </w:r>
      </w:hyperlink>
      <w:r w:rsidRPr="00E93F40">
        <w:rPr>
          <w:rFonts w:ascii="Times New Roman" w:hAnsi="Times New Roman"/>
          <w:color w:val="000000" w:themeColor="text1"/>
          <w:sz w:val="16"/>
          <w:szCs w:val="16"/>
        </w:rPr>
        <w:t>С винтом изменяемого шага Ratier машина развивала максимальную скорость 360 км/ч (14989).</w:t>
      </w:r>
    </w:p>
    <w:p w14:paraId="34CD7A08" w14:textId="77777777" w:rsidR="00627BAA" w:rsidRPr="00E93F40" w:rsidRDefault="00627BAA" w:rsidP="00E93F40">
      <w:pPr>
        <w:spacing w:after="0" w:line="240" w:lineRule="auto"/>
        <w:jc w:val="both"/>
        <w:rPr>
          <w:rFonts w:ascii="Times New Roman" w:hAnsi="Times New Roman"/>
          <w:color w:val="000000" w:themeColor="text1"/>
          <w:sz w:val="16"/>
          <w:szCs w:val="16"/>
        </w:rPr>
      </w:pPr>
    </w:p>
    <w:p w14:paraId="287F3087" w14:textId="77777777" w:rsidR="00014353" w:rsidRPr="00E93F40" w:rsidRDefault="00014353"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2756B8F" w14:textId="77777777" w:rsidR="00014353" w:rsidRPr="00E93F40" w:rsidRDefault="0001435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CD7F7A" w14:textId="77777777" w:rsidR="00014353" w:rsidRPr="00E93F40" w:rsidRDefault="000143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21–27 августа 1932 проходит 7 363-километровая (4572 мили) воздушная гонка Challenge 1932 над Европой (20803).</w:t>
      </w:r>
    </w:p>
    <w:p w14:paraId="17A05E7D" w14:textId="77777777" w:rsidR="00014353" w:rsidRPr="00E93F40" w:rsidRDefault="00014353" w:rsidP="00E93F40">
      <w:pPr>
        <w:spacing w:after="0" w:line="240" w:lineRule="auto"/>
        <w:jc w:val="both"/>
        <w:rPr>
          <w:rFonts w:ascii="Times New Roman" w:hAnsi="Times New Roman"/>
          <w:color w:val="000000" w:themeColor="text1"/>
          <w:sz w:val="16"/>
          <w:szCs w:val="16"/>
        </w:rPr>
      </w:pPr>
    </w:p>
    <w:p w14:paraId="1F5C8C5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августа 1932 в Венеции состоялся первый международный кинофестиваль (4962).</w:t>
      </w:r>
    </w:p>
    <w:p w14:paraId="3C80E4C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4C9A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94A04E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AC0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августа 1932 ДВ Н-1 прибыл в начальный пункт исследовательских полетов - Анадырь, израсходовав 70 из 100 часов моторесурса. Несмотря на это, экспедиция сумела значительно уточнить карты Чукотки. К моменту возвращения СССР-HI в Анадырь пришло время менять двигатели. Кроме того, наступила ранняя осень, начались штормы, выпал снег. Самолет закончил работу и вылетел в бухту Нагаево. При подъеме на борт парохода "Днепрострой" лопнул 30-тонный гак и самолет упал со стрелы в воду. Налет машины в этом году составил 110 часов 08 минут за 59 полетов (11970).</w:t>
      </w:r>
    </w:p>
    <w:p w14:paraId="0E9A6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94D0B1"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22 августа 1932. Постановление СТО СССР и Комиссии обороны № 1021/303сс о мероприятиях по разработке вопроса о применении крекинг-бензина в качестве авиатоплива (ГА РФ. Ф. Р?8418. Оп. 28. Д. 1а. Л. 329?330) (12415).</w:t>
      </w:r>
    </w:p>
    <w:p w14:paraId="4916FB14"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p>
    <w:p w14:paraId="11AB13DF" w14:textId="77777777" w:rsidR="00C018CF" w:rsidRPr="00E93F40" w:rsidRDefault="00C018C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B26112D" w14:textId="77777777" w:rsidR="00C018CF" w:rsidRPr="00E93F40" w:rsidRDefault="00C018C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6DC9E9"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августа 1932 г. импортное управление Народного комиссариата внешней торговли (НКВТ) направило фирме «Одеро-Терни-Орландо» («О.Т.О.») (Генуя) заказ № 53/15, реализуя который фирма «О.Т.О.» продала Советскому Союзу 12 систем 2-х орудийных зенитных установок типа 100/47 адмирала Минизини с комплектующими (принадлежности, приспособления, запчасти) [Там же, л. 14]. Полученные образцы тщательно изучались с целью освоения их производства отечественной промышленностью (18258).</w:t>
      </w:r>
    </w:p>
    <w:p w14:paraId="44E7AC1D" w14:textId="77777777" w:rsidR="00C018CF" w:rsidRPr="00E93F40" w:rsidRDefault="00C018CF" w:rsidP="00E93F40">
      <w:pPr>
        <w:spacing w:after="0" w:line="240" w:lineRule="auto"/>
        <w:jc w:val="both"/>
        <w:rPr>
          <w:rFonts w:ascii="Times New Roman" w:hAnsi="Times New Roman"/>
          <w:color w:val="000000" w:themeColor="text1"/>
          <w:sz w:val="16"/>
          <w:szCs w:val="16"/>
        </w:rPr>
      </w:pPr>
    </w:p>
    <w:p w14:paraId="649E3BBA" w14:textId="77777777" w:rsidR="00DD752B" w:rsidRPr="00142305" w:rsidRDefault="00DD752B" w:rsidP="00DD75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августа 1932 г. импортное управление Народного комиссариата внешней торговли (НКВТ) направило фирме «Одеро-Терни-Орландо» («О.Т.О.») (Генуя) заказ № 53/15, реализуя который фирма «О.Т.О.» продала Советскому Союзу 12 систем 2-х орудийных зенитных установок типа 100/47 адмирала Минизини с комплектующими (принадлежности, приспособления, запчасти) [Там же, л. 14]. Полученные образцы тщательно изучались с целью освоения их производства отечественной промышленностью.</w:t>
      </w:r>
    </w:p>
    <w:p w14:paraId="256634C6" w14:textId="77777777" w:rsidR="00DD752B" w:rsidRPr="00142305" w:rsidRDefault="00DD752B" w:rsidP="00DD752B">
      <w:pPr>
        <w:spacing w:after="0" w:line="240" w:lineRule="auto"/>
        <w:jc w:val="both"/>
        <w:rPr>
          <w:rFonts w:ascii="Times New Roman" w:hAnsi="Times New Roman"/>
          <w:color w:val="0070C0"/>
          <w:sz w:val="16"/>
          <w:szCs w:val="16"/>
        </w:rPr>
      </w:pPr>
    </w:p>
    <w:p w14:paraId="06C29E6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3442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763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августа 1932 г. ЦИК и СНК СССР приняли постановление "О борьбе со спекуляцией", которое в качестве минимального наказания за это преступление предусматривает лишение свободы на 5 лет с конфискацией имущества (10303).</w:t>
      </w:r>
    </w:p>
    <w:p w14:paraId="0AD6E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9A197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FD038C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202E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августа 1932 года была шифровка:</w:t>
      </w:r>
    </w:p>
    <w:p w14:paraId="17B01A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"Сталину, Молотову, Калинину. </w:t>
      </w:r>
    </w:p>
    <w:p w14:paraId="59F6A5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разговоре с Межлауком Купер предложил от имени "Дженерал Моторс" продать нам 100–200 тыс. подержанных автомобилей, грузовых и легковых, с гарантией, что они будут работать еще не менее 150 тыс. километров, полностью снаряженных и обутых новой резиной по очень низкой цене, в среднем по цене около 200 долларов за автомобиль с длительным кредитом. Дюранти в разговоре с Межлауком заявил, что председатель "Дженерал Моторс" выражал согласие на десятилетний кредит. К таким условиям вынуждает американцев кризис сбыта. "Дженерал Моторс" просит через Купера разрешить прислать к нам своего человека для ведения переговоров по этому вопросу. </w:t>
      </w:r>
    </w:p>
    <w:p w14:paraId="6641A8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Предложение, видимо, серьезно. Ввиду выгодности условий продажи мы считали бы целесообразным ответить Куперу для сообщения “Дженерал Моторс” согласием на присылку их представителя. </w:t>
      </w:r>
    </w:p>
    <w:p w14:paraId="7FE9B9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Просим сообщить Ваше мнение. " </w:t>
      </w:r>
    </w:p>
    <w:p w14:paraId="447581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Телеграмма 23 августа 1932 года: </w:t>
      </w:r>
    </w:p>
    <w:p w14:paraId="6AF7F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ЦК ВКП(б). Кагановичу. Куйбышеву. Ворошилову. </w:t>
      </w:r>
    </w:p>
    <w:p w14:paraId="45D47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Дело о подержанных автомобилях “Дженерал Моторс” очень подозрительное. Нас могут надуть и постараться сбыть всякий хлам. Тем более, что наши приемщики никогда не отличались добросовестностью и бдительностью. Тем не менее следует попытаться купить не более 50 тысяч штук автомобилей, если цена будет более низкой, скажем, 100 долларов и кредит не менее 10 лет. Если соглашение на 50 тысяч даст хорошие результаты и машины окажутся действительно годными, можно будет купить еще такое же количество машин. Обязательно надо выяснить вопрос о запасных частях и сделку надо понимать так, что машины продаются с запчастями. Нам нужны главным образом грузовики. Поэтому из 50 тысяч машин следует взять 45 тысяч грузовых и 5 тысяч легковых. </w:t>
      </w:r>
    </w:p>
    <w:p w14:paraId="034D1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Сталин, Молотов, Калинин". </w:t>
      </w:r>
    </w:p>
    <w:p w14:paraId="3F0908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 Ф. 558. Оп. 11. Д. 79. Л. 61–62.</w:t>
      </w:r>
    </w:p>
    <w:p w14:paraId="5884F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202C4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050891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A85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августа 1932 Би-би-си начала экспериментальное телевещание (3481).</w:t>
      </w:r>
    </w:p>
    <w:p w14:paraId="617000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D70E5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54D23F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69EC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августа 1932 в воздух полдняли первый И-5, собранный в конце июля 1932 на заводе № 21, который вступил в строй в феврале. Через неделю при отстреле пулемётов произошла деформация моторамы и истребитель угодил в ремонт. Этот первый И-5 сначала носил № 1501, заменённый затем на № 2101. Позже самолёты из Нижнего получали пятизначные заводские номера, обязательно начинавшиеся с цифр "21". За весь 1932 г. завод № 21 выпустил всего 10 самолётов, из которых военную приёмку прошли три. Качество истребителей оставляло желать много лучшего. На И-5, вышедших из цехов завода № 21, наблюдались трещины в маслобаке, возникавшие тоже от вибраций. Лётчики жаловались, что в воздухе пожарные краны самопроизвольно закрываются, а замки капотов- открываются. Низкая культура производства вела к отсутствию взаимозаменяемости крыльев, моторов, оперения (11997).</w:t>
      </w:r>
    </w:p>
    <w:p w14:paraId="19A41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447904" w14:textId="77777777" w:rsidR="001F659D" w:rsidRPr="00E93F40" w:rsidRDefault="001F65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26 и 27 октя</w:t>
      </w:r>
      <w:r w:rsidRPr="00E93F40">
        <w:rPr>
          <w:rFonts w:ascii="Times New Roman" w:hAnsi="Times New Roman"/>
          <w:color w:val="000000" w:themeColor="text1"/>
          <w:sz w:val="16"/>
          <w:szCs w:val="16"/>
        </w:rPr>
        <w:softHyphen/>
        <w:t>бря 1932 последующие полеты БИЧ-7А выявили высокое давление на ручку управления. Недостаток устранили вве</w:t>
      </w:r>
      <w:r w:rsidRPr="00E93F40">
        <w:rPr>
          <w:rFonts w:ascii="Times New Roman" w:hAnsi="Times New Roman"/>
          <w:color w:val="000000" w:themeColor="text1"/>
          <w:sz w:val="16"/>
          <w:szCs w:val="16"/>
        </w:rPr>
        <w:softHyphen/>
        <w:t>дением небольшой регулируемой пла</w:t>
      </w:r>
      <w:r w:rsidRPr="00E93F40">
        <w:rPr>
          <w:rFonts w:ascii="Times New Roman" w:hAnsi="Times New Roman"/>
          <w:color w:val="000000" w:themeColor="text1"/>
          <w:sz w:val="16"/>
          <w:szCs w:val="16"/>
        </w:rPr>
        <w:softHyphen/>
        <w:t>стинки на задней кромке руля высоты. До 21 декабря 1932 г. БИЧ-7А выполнил 15 полноценных полетов.</w:t>
      </w:r>
    </w:p>
    <w:p w14:paraId="05E36A65" w14:textId="77777777" w:rsidR="001F659D" w:rsidRPr="00E93F40" w:rsidRDefault="001F659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БИЧ-7А во всех отчетах официально именовался «Пара</w:t>
      </w:r>
      <w:r w:rsidRPr="00E93F40">
        <w:rPr>
          <w:rFonts w:ascii="Times New Roman" w:hAnsi="Times New Roman"/>
          <w:color w:val="000000" w:themeColor="text1"/>
          <w:sz w:val="16"/>
          <w:szCs w:val="16"/>
        </w:rPr>
        <w:softHyphen/>
        <w:t>бола». Было оборудовано нормальное двухстоечное шасси, закрытая кабина летчиков и мощное однокилевое опере</w:t>
      </w:r>
      <w:r w:rsidRPr="00E93F40">
        <w:rPr>
          <w:rFonts w:ascii="Times New Roman" w:hAnsi="Times New Roman"/>
          <w:color w:val="000000" w:themeColor="text1"/>
          <w:sz w:val="16"/>
          <w:szCs w:val="16"/>
        </w:rPr>
        <w:softHyphen/>
        <w:t>ние. Все работы велись на заводе опыт</w:t>
      </w:r>
      <w:r w:rsidRPr="00E93F40">
        <w:rPr>
          <w:rFonts w:ascii="Times New Roman" w:hAnsi="Times New Roman"/>
          <w:color w:val="000000" w:themeColor="text1"/>
          <w:sz w:val="16"/>
          <w:szCs w:val="16"/>
        </w:rPr>
        <w:softHyphen/>
        <w:t>ных конструкций (ЗОК) ЦАГИ (27 августа 1931 г. ЦКБ и ЦАГИ объединили в еди</w:t>
      </w:r>
      <w:r w:rsidRPr="00E93F40">
        <w:rPr>
          <w:rFonts w:ascii="Times New Roman" w:hAnsi="Times New Roman"/>
          <w:color w:val="000000" w:themeColor="text1"/>
          <w:sz w:val="16"/>
          <w:szCs w:val="16"/>
        </w:rPr>
        <w:softHyphen/>
        <w:t>ную организацию - ЦКБ-ЦАГИ) (17470).</w:t>
      </w:r>
    </w:p>
    <w:p w14:paraId="0075534D" w14:textId="77777777" w:rsidR="001F659D" w:rsidRPr="00E93F40" w:rsidRDefault="001F659D" w:rsidP="00E93F40">
      <w:pPr>
        <w:pStyle w:val="47"/>
        <w:shd w:val="clear" w:color="auto" w:fill="auto"/>
        <w:spacing w:line="240" w:lineRule="auto"/>
        <w:ind w:firstLine="0"/>
        <w:jc w:val="both"/>
        <w:rPr>
          <w:rFonts w:ascii="Times New Roman" w:hAnsi="Times New Roman" w:cs="Times New Roman"/>
          <w:color w:val="000000" w:themeColor="text1"/>
          <w:sz w:val="16"/>
          <w:szCs w:val="16"/>
        </w:rPr>
      </w:pPr>
    </w:p>
    <w:p w14:paraId="080EEC68" w14:textId="77777777" w:rsidR="008711FF" w:rsidRPr="00587026" w:rsidRDefault="008711FF" w:rsidP="008711FF">
      <w:pPr>
        <w:pStyle w:val="aff2"/>
        <w:tabs>
          <w:tab w:val="left" w:pos="594"/>
        </w:tabs>
        <w:spacing w:line="240" w:lineRule="auto"/>
        <w:rPr>
          <w:rFonts w:ascii="Times New Roman" w:hAnsi="Times New Roman" w:cs="Times New Roman"/>
          <w:i w:val="0"/>
          <w:iCs w:val="0"/>
          <w:color w:val="0070C0"/>
          <w:sz w:val="16"/>
          <w:szCs w:val="16"/>
          <w:lang w:val="ru-RU"/>
        </w:rPr>
      </w:pPr>
      <w:r w:rsidRPr="00587026">
        <w:rPr>
          <w:rFonts w:ascii="Times New Roman" w:hAnsi="Times New Roman" w:cs="Times New Roman"/>
          <w:i w:val="0"/>
          <w:iCs w:val="0"/>
          <w:color w:val="0070C0"/>
          <w:sz w:val="16"/>
          <w:szCs w:val="16"/>
          <w:lang w:val="ru-RU"/>
        </w:rPr>
        <w:t>23 августа 1932 г. вышел приказ НКВМ № 0029 «С итогами судебных про</w:t>
      </w:r>
      <w:r w:rsidRPr="00587026">
        <w:rPr>
          <w:rFonts w:ascii="Times New Roman" w:hAnsi="Times New Roman" w:cs="Times New Roman"/>
          <w:i w:val="0"/>
          <w:iCs w:val="0"/>
          <w:color w:val="0070C0"/>
          <w:sz w:val="16"/>
          <w:szCs w:val="16"/>
          <w:lang w:val="ru-RU"/>
        </w:rPr>
        <w:softHyphen/>
        <w:t>цессов над виновниками аварий и катастроф в Воздушном флоте». В нем гово</w:t>
      </w:r>
      <w:r w:rsidRPr="00587026">
        <w:rPr>
          <w:rFonts w:ascii="Times New Roman" w:hAnsi="Times New Roman" w:cs="Times New Roman"/>
          <w:i w:val="0"/>
          <w:iCs w:val="0"/>
          <w:color w:val="0070C0"/>
          <w:sz w:val="16"/>
          <w:szCs w:val="16"/>
          <w:lang w:val="ru-RU"/>
        </w:rPr>
        <w:softHyphen/>
        <w:t>рилось, что судебные процессы, проведенные Военной Коллегией Верховного Суда Союза ССР в Ленинграде на Балтике, в Монинском гарнизоне (МВО) и в 11 -й бригаде в Воронеже по авариям и катастрофам, отмеченным в постановле</w:t>
      </w:r>
      <w:r w:rsidRPr="00587026">
        <w:rPr>
          <w:rFonts w:ascii="Times New Roman" w:hAnsi="Times New Roman" w:cs="Times New Roman"/>
          <w:i w:val="0"/>
          <w:iCs w:val="0"/>
          <w:color w:val="0070C0"/>
          <w:sz w:val="16"/>
          <w:szCs w:val="16"/>
          <w:lang w:val="ru-RU"/>
        </w:rPr>
        <w:softHyphen/>
        <w:t>нии ЦК ВКП (б) от 5 июля и директиве РВС Союза ССР № 17 774 се, вскрыли исключительно безобразные факты расхлябанности, разгильдяйства и распущен</w:t>
      </w:r>
      <w:r w:rsidRPr="00587026">
        <w:rPr>
          <w:rFonts w:ascii="Times New Roman" w:hAnsi="Times New Roman" w:cs="Times New Roman"/>
          <w:i w:val="0"/>
          <w:iCs w:val="0"/>
          <w:color w:val="0070C0"/>
          <w:sz w:val="16"/>
          <w:szCs w:val="16"/>
          <w:lang w:val="ru-RU"/>
        </w:rPr>
        <w:softHyphen/>
        <w:t>ности в деле организации летной службы, в состоянии воинской дисциплины и установили виновных в этом».</w:t>
      </w:r>
    </w:p>
    <w:p w14:paraId="3F901511" w14:textId="77777777" w:rsidR="008711FF" w:rsidRPr="00142305" w:rsidRDefault="008711FF" w:rsidP="008711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приказной части говорилось: «Объявить строгий выговор начальнику ВВС РККА тов. Алкснису и объявить строгий выговор его заместителям тт. Наумову и Меженинову.</w:t>
      </w:r>
    </w:p>
    <w:p w14:paraId="15850B5D" w14:textId="77777777" w:rsidR="008711FF" w:rsidRPr="00142305" w:rsidRDefault="008711FF" w:rsidP="008711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Поставить на вид РВС БВО (т. Уборевичу и т. Аронштаму).</w:t>
      </w:r>
    </w:p>
    <w:p w14:paraId="2C11AEA0" w14:textId="77777777" w:rsidR="008711FF" w:rsidRPr="00142305" w:rsidRDefault="008711FF" w:rsidP="008711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Поставить на вид РВС МСБМ (тт. Викторову, Галлеру и Гришину).</w:t>
      </w:r>
    </w:p>
    <w:p w14:paraId="3D6500AC" w14:textId="77777777" w:rsidR="008711FF" w:rsidRPr="00142305" w:rsidRDefault="008711FF" w:rsidP="008711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Поставить на вид РВС МВО (тт. Корку и Векличеву).</w:t>
      </w:r>
    </w:p>
    <w:p w14:paraId="66D7AA70" w14:textId="77777777" w:rsidR="008711FF" w:rsidRPr="00142305" w:rsidRDefault="008711FF" w:rsidP="008711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Отстранить от занимаемой должности начальника ВВС БВО тов. Кушакова со снижением в должности. Предупредить о возможном исключении из пар</w:t>
      </w:r>
      <w:r w:rsidRPr="00142305">
        <w:rPr>
          <w:rFonts w:ascii="Times New Roman" w:hAnsi="Times New Roman"/>
          <w:color w:val="0070C0"/>
          <w:sz w:val="16"/>
          <w:szCs w:val="16"/>
        </w:rPr>
        <w:softHyphen/>
        <w:t>тии. Остальным - строжайшие дисциплинарные взыскания».</w:t>
      </w:r>
    </w:p>
    <w:p w14:paraId="7AB2705D" w14:textId="77777777" w:rsidR="008711FF" w:rsidRPr="00142305" w:rsidRDefault="008711FF" w:rsidP="008711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Далее указывалось, что все перечисленные аварии и катастрофы, а также и другие, ранее имевшие место и не менее драматичные по обстановке и послед</w:t>
      </w:r>
      <w:r w:rsidRPr="00142305">
        <w:rPr>
          <w:rFonts w:ascii="Times New Roman" w:hAnsi="Times New Roman"/>
          <w:color w:val="0070C0"/>
          <w:sz w:val="16"/>
          <w:szCs w:val="16"/>
        </w:rPr>
        <w:softHyphen/>
        <w:t>ствиям, как выяснялось после тщательного изучения причин, свидетельствуют о недопустимом ослаблении воинской дисциплины в частях ВВС РККА, о нарушении приказов, в том числе и РВС Союза, о неудовлетворительной работе по воспитанию личного состава авиачастей, особенно, - со стороны РВС окру</w:t>
      </w:r>
      <w:r w:rsidRPr="00142305">
        <w:rPr>
          <w:rFonts w:ascii="Times New Roman" w:hAnsi="Times New Roman"/>
          <w:color w:val="0070C0"/>
          <w:sz w:val="16"/>
          <w:szCs w:val="16"/>
        </w:rPr>
        <w:softHyphen/>
        <w:t>гов, об отсутствии планомерной и последовательной учебно-боевой подготовки, плохой организации аэродромной службы и др.</w:t>
      </w:r>
    </w:p>
    <w:p w14:paraId="2A8D8C48" w14:textId="77777777" w:rsidR="008711FF" w:rsidRPr="00142305" w:rsidRDefault="008711FF" w:rsidP="008711F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Наркомвоенмор в заключение этого приказа (от 23 августа 1932 г. № 0029) требовал «удесятеренных усилий и решительной борьбы на основе решения ЦК ВКП (б) и СНК Союза от 5 июля 1932 г. с имеющимися в частях ВВС РККА крупнейшими недочетами в состоянии дисциплины, воинского распорядка, бое</w:t>
      </w:r>
      <w:r w:rsidRPr="00142305">
        <w:rPr>
          <w:rFonts w:ascii="Times New Roman" w:hAnsi="Times New Roman"/>
          <w:color w:val="0070C0"/>
          <w:sz w:val="16"/>
          <w:szCs w:val="16"/>
        </w:rPr>
        <w:softHyphen/>
        <w:t>вой и политической подготовки» (РГВА. Ф. 4. Оп. 3. Д. 3267. Л. 30, 473) (24968).</w:t>
      </w:r>
    </w:p>
    <w:p w14:paraId="134B8099" w14:textId="77777777" w:rsidR="008711FF" w:rsidRPr="00142305" w:rsidRDefault="008711FF" w:rsidP="008711FF">
      <w:pPr>
        <w:pStyle w:val="aff2"/>
        <w:tabs>
          <w:tab w:val="left" w:pos="594"/>
        </w:tabs>
        <w:spacing w:line="240" w:lineRule="auto"/>
        <w:rPr>
          <w:rFonts w:ascii="Times New Roman" w:hAnsi="Times New Roman" w:cs="Times New Roman"/>
          <w:i w:val="0"/>
          <w:iCs w:val="0"/>
          <w:color w:val="0070C0"/>
          <w:sz w:val="16"/>
          <w:szCs w:val="16"/>
        </w:rPr>
      </w:pPr>
    </w:p>
    <w:p w14:paraId="300963B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342A2B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E6A3A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августа 1932 в Ижевске на улице Красной зало</w:t>
      </w:r>
      <w:r w:rsidRPr="00E93F40">
        <w:rPr>
          <w:rFonts w:ascii="Times New Roman" w:hAnsi="Times New Roman"/>
          <w:color w:val="000000" w:themeColor="text1"/>
          <w:sz w:val="16"/>
          <w:szCs w:val="16"/>
        </w:rPr>
        <w:softHyphen/>
        <w:t>жили корпус механосборочного цеха ИжМЗ; а 4 октября 1932 г. приказом руководителя НКТП Г.К. Орджоникидзе директором ИжМЗа назначили И.И. Чекмарёва, сумевшего за последую</w:t>
      </w:r>
      <w:r w:rsidRPr="00E93F40">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E93F40">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 Тем не менее работа продвигалась не так быстро, как хоте</w:t>
      </w:r>
      <w:r w:rsidRPr="00E93F40">
        <w:rPr>
          <w:rFonts w:ascii="Times New Roman" w:hAnsi="Times New Roman"/>
          <w:color w:val="000000" w:themeColor="text1"/>
          <w:sz w:val="16"/>
          <w:szCs w:val="16"/>
        </w:rPr>
        <w:softHyphen/>
        <w:t>лось бы. Вместе с разработкой необходимой технической доку</w:t>
      </w:r>
      <w:r w:rsidRPr="00E93F40">
        <w:rPr>
          <w:rFonts w:ascii="Times New Roman" w:hAnsi="Times New Roman"/>
          <w:color w:val="000000" w:themeColor="text1"/>
          <w:sz w:val="16"/>
          <w:szCs w:val="16"/>
        </w:rPr>
        <w:softHyphen/>
        <w:t>ментации по «горячим чертежам» изготавливали детали, собира</w:t>
      </w:r>
      <w:r w:rsidRPr="00E93F40">
        <w:rPr>
          <w:rFonts w:ascii="Times New Roman" w:hAnsi="Times New Roman"/>
          <w:color w:val="000000" w:themeColor="text1"/>
          <w:sz w:val="16"/>
          <w:szCs w:val="16"/>
        </w:rPr>
        <w:softHyphen/>
        <w:t>ли узлы, уточняли размеры, допуски и посадки сопрягаемых дета</w:t>
      </w:r>
      <w:r w:rsidRPr="00E93F40">
        <w:rPr>
          <w:rFonts w:ascii="Times New Roman" w:hAnsi="Times New Roman"/>
          <w:color w:val="000000" w:themeColor="text1"/>
          <w:sz w:val="16"/>
          <w:szCs w:val="16"/>
        </w:rPr>
        <w:softHyphen/>
        <w:t>лей. Мотоциклы изготавливали по ходу рабочего проектирова</w:t>
      </w:r>
      <w:r w:rsidRPr="00E93F40">
        <w:rPr>
          <w:rFonts w:ascii="Times New Roman" w:hAnsi="Times New Roman"/>
          <w:color w:val="000000" w:themeColor="text1"/>
          <w:sz w:val="16"/>
          <w:szCs w:val="16"/>
        </w:rPr>
        <w:softHyphen/>
        <w:t>ния, испытывали двигатели. КП и другие узлы (11429).</w:t>
      </w:r>
    </w:p>
    <w:p w14:paraId="2C5D24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3DF9E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40A9805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1AE6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23 августа 1932 года была Телеграмма: </w:t>
      </w:r>
    </w:p>
    <w:p w14:paraId="59DA8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ЦК ВКП(б). Кагановичу. Куйбышеву. Ворошилову. </w:t>
      </w:r>
    </w:p>
    <w:p w14:paraId="2F989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Дело о подержанных автомобилях “Дженерал Моторс” очень подозрительное. Нас могут надуть и постараться сбыть всякий хлам. Тем более, что наши приемщики никогда не отличались добросовестностью и бдительностью. Тем не менее следует попытаться купить не более 50 тысяч штук автомобилей, если цена будет более низкой, скажем, 100 долларов и кредит не менее 10 лет. Если соглашение на 50 тысяч даст хорошие результаты и машины окажутся действительно годными, можно будет купить еще такое же количество машин. Обязательно надо выяснить вопрос о запасных частях и сделку надо понимать так, что машины продаются с запчастями. Нам нужны главным образом грузовики. Поэтому из 50 тысяч машин следует взять 45 тысяч грузовых и 5 тысяч легковых. </w:t>
      </w:r>
    </w:p>
    <w:p w14:paraId="0C78FC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Сталин, Молотов, Калинин". </w:t>
      </w:r>
    </w:p>
    <w:p w14:paraId="18687A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 Ф. 558. Оп. 11. Д. 79. Л. 61–62.</w:t>
      </w:r>
    </w:p>
    <w:p w14:paraId="7B2877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3C2A8A" w14:textId="77777777" w:rsidR="00014353" w:rsidRPr="00E93F40" w:rsidRDefault="00014353"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B38C4BB" w14:textId="77777777" w:rsidR="00014353" w:rsidRPr="00E93F40" w:rsidRDefault="0001435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E38203" w14:textId="77777777" w:rsidR="00014353" w:rsidRPr="00E93F40" w:rsidRDefault="000143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августа 1932 Панама учреждает Управление гражданской авиации (20803).</w:t>
      </w:r>
    </w:p>
    <w:p w14:paraId="37FF7EC3" w14:textId="77777777" w:rsidR="00014353" w:rsidRPr="00E93F40" w:rsidRDefault="00014353" w:rsidP="00E93F40">
      <w:pPr>
        <w:spacing w:after="0" w:line="240" w:lineRule="auto"/>
        <w:jc w:val="both"/>
        <w:rPr>
          <w:rFonts w:ascii="Times New Roman" w:hAnsi="Times New Roman"/>
          <w:color w:val="000000" w:themeColor="text1"/>
          <w:sz w:val="16"/>
          <w:szCs w:val="16"/>
        </w:rPr>
      </w:pPr>
    </w:p>
    <w:p w14:paraId="5A7C29D5" w14:textId="77777777" w:rsidR="00A20FFF"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85DB84D" w14:textId="77777777" w:rsidR="00A20FFF" w:rsidRPr="00E93F40" w:rsidRDefault="00A20FF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E745FB3" w14:textId="77777777"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августа 1932 года первый в СССР глинозем из отечественных бокситов был получен как опытная партия на Волховском алюминиевом заводе в Ленинградской области (12245).</w:t>
      </w:r>
    </w:p>
    <w:p w14:paraId="01884E4B" w14:textId="77777777" w:rsidR="00A20FFF" w:rsidRPr="00E93F40" w:rsidRDefault="00A20FFF" w:rsidP="00E93F40">
      <w:pPr>
        <w:spacing w:after="0" w:line="240" w:lineRule="auto"/>
        <w:jc w:val="both"/>
        <w:rPr>
          <w:rFonts w:ascii="Times New Roman" w:hAnsi="Times New Roman"/>
          <w:color w:val="000000" w:themeColor="text1"/>
          <w:sz w:val="16"/>
          <w:szCs w:val="16"/>
        </w:rPr>
      </w:pPr>
    </w:p>
    <w:p w14:paraId="653034E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569D7A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883429D" w14:textId="77777777" w:rsidR="00627BAA" w:rsidRPr="00E93F40" w:rsidRDefault="00627BA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24 августа в 1932 году выдан заказ на опытный образец гидросамолета-разведчика «МВ.410-01». Поплавковый гидросамолет-разведчик </w:t>
      </w:r>
      <w:hyperlink r:id="rId200" w:tgtFrame="_blank" w:history="1">
        <w:r w:rsidRPr="00E93F40">
          <w:rPr>
            <w:rFonts w:ascii="Times New Roman" w:hAnsi="Times New Roman"/>
            <w:color w:val="000000" w:themeColor="text1"/>
            <w:sz w:val="16"/>
            <w:szCs w:val="16"/>
          </w:rPr>
          <w:t xml:space="preserve">«Бессон» «MB.411» </w:t>
        </w:r>
      </w:hyperlink>
      <w:r w:rsidRPr="00E93F40">
        <w:rPr>
          <w:rFonts w:ascii="Times New Roman" w:hAnsi="Times New Roman"/>
          <w:color w:val="000000" w:themeColor="text1"/>
          <w:sz w:val="16"/>
          <w:szCs w:val="16"/>
        </w:rPr>
        <w:t xml:space="preserve">был спроектирован специально для базирования на подводной лодке "Сюркуф". Он многое унаследовал от предыдущей машины подобного назначения «MB.35» "Пассе-Порту", также сконструированной Марселем Бессоном. Этот самолет оснащался звездообразным двигателем воздушного охлаждения «Сальмсон» «9NC» мощностью </w:t>
      </w:r>
      <w:r w:rsidRPr="00E93F40">
        <w:rPr>
          <w:rFonts w:ascii="Times New Roman" w:hAnsi="Times New Roman"/>
          <w:color w:val="000000" w:themeColor="text1"/>
          <w:sz w:val="16"/>
          <w:szCs w:val="16"/>
        </w:rPr>
        <w:lastRenderedPageBreak/>
        <w:t>130 л.с. Однако, первая опытная машина погибла в 1933 г. во время официальных приемочных испытаний в Сен-Рафаэле. Заказали второй экземпляр, но из-за ликвидации фирмы Марселя Бессона самолет был построен компанией «ANF-Ле Мюро» под обозначением «MB.411» (14992).</w:t>
      </w:r>
    </w:p>
    <w:p w14:paraId="6E9F612A" w14:textId="77777777" w:rsidR="00627BAA" w:rsidRPr="00E93F40" w:rsidRDefault="00627BAA" w:rsidP="00E93F40">
      <w:pPr>
        <w:spacing w:after="0" w:line="240" w:lineRule="auto"/>
        <w:jc w:val="both"/>
        <w:rPr>
          <w:rFonts w:ascii="Times New Roman" w:hAnsi="Times New Roman"/>
          <w:color w:val="000000" w:themeColor="text1"/>
          <w:sz w:val="16"/>
          <w:szCs w:val="16"/>
        </w:rPr>
      </w:pPr>
    </w:p>
    <w:p w14:paraId="7632DF7D"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24–25 августа 1932 Амелия Эрхарт становится первой женщиной, совершившей самостоятельный беспосадочный перелет через Северную Америку из Лос-Анджелеса, Калифорния, в Ньюарк, Нью-Джерси. Полет также устанавливает рекорд выносливости среди женщин - 19 часов 5 минут и рекорд беспосадочной дальности среди женщин - 3938 километров (2447 миль) (20803). </w:t>
      </w:r>
    </w:p>
    <w:p w14:paraId="18B4AA76" w14:textId="77777777" w:rsidR="004A30D4" w:rsidRPr="00E93F40" w:rsidRDefault="004A30D4" w:rsidP="00E93F40">
      <w:pPr>
        <w:spacing w:after="0" w:line="240" w:lineRule="auto"/>
        <w:jc w:val="both"/>
        <w:rPr>
          <w:rFonts w:ascii="Times New Roman" w:hAnsi="Times New Roman"/>
          <w:color w:val="000000" w:themeColor="text1"/>
          <w:sz w:val="16"/>
          <w:szCs w:val="16"/>
        </w:rPr>
      </w:pPr>
    </w:p>
    <w:p w14:paraId="735F8A2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августа 1932 в Берлине запрещены нацистские газеты в связи с провоцированием ими беспорядков (4962).</w:t>
      </w:r>
    </w:p>
    <w:p w14:paraId="334505B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F912D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353FE3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4C94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августа 1932 вышел приказ по ГУАП N 21/4371:</w:t>
      </w:r>
    </w:p>
    <w:p w14:paraId="1CFBB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122 строить на Реутовской площадке." (П.И.Б.) (2318,7).</w:t>
      </w:r>
    </w:p>
    <w:p w14:paraId="7F2CB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73B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августа 1932 года представителем Осконпробюро Малыничем мне было заявлено, что бомбы ТСП-1 и ТСП-2 с испытания снимаются как доработанные.</w:t>
      </w:r>
    </w:p>
    <w:p w14:paraId="221794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Радиотанк, оказавшийся радиофицированным броневиком был представлен на госиспытания 20 августа, а затем 23 августа и оба раза оказался неготовым.</w:t>
      </w:r>
    </w:p>
    <w:p w14:paraId="7DB16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Кассета для сбрасывания литературы, вертикальная агитмина и парашют на госиспытания не представлены.</w:t>
      </w:r>
    </w:p>
    <w:p w14:paraId="19482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Задания на полеты со стороны НИИ не были выполнены лишь в следующие дни: 2 августа – перестройка бригады на новую организацию, 11 августа – неисправность самолета, 23 и 25 августа – производство командирской учебы по приказанию Алксниса в бригаде.</w:t>
      </w:r>
    </w:p>
    <w:p w14:paraId="7F7F3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стороны же Осконпробюро ВВС задержки в выполнении задания очень часты, так 8 августа был назначен полет на 9 часов и сорван из-за неприбытия Малынича, второй полет в этот же день был сорван из-за непредставления Осконпробюро автомашины, которую оно обязалось представить.</w:t>
      </w:r>
    </w:p>
    <w:p w14:paraId="4FA3B0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указанные испытания могут быть проведены на самолете Р-5, кроме, конечно агитпарашюта и радиоброневика (7470, 335).</w:t>
      </w:r>
    </w:p>
    <w:p w14:paraId="55BC5D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E4D31E"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августа 1932 г. самолеты МБР-4 двинулись в путь. Маршрут пролегал через Красную Речку, Николаевск-на-Амуре и Большерецк. 9 сентября 11 «савой» прибыли в Петропавловск; одну машину разбили при посадке на гидробазе Красная Реч</w:t>
      </w:r>
      <w:r w:rsidRPr="00142305">
        <w:rPr>
          <w:rFonts w:ascii="Times New Roman" w:hAnsi="Times New Roman"/>
          <w:color w:val="0070C0"/>
          <w:sz w:val="16"/>
          <w:szCs w:val="16"/>
        </w:rPr>
        <w:softHyphen/>
        <w:t>ка. В Красной Речке дислоцировалась 12-я речная эскадрилья, развернутая из 68-го отряда; она тоже имела 12 С-62Б. По плану развития военной авиации на Дальнем Востоке предполагалось попол</w:t>
      </w:r>
      <w:r w:rsidRPr="00142305">
        <w:rPr>
          <w:rFonts w:ascii="Times New Roman" w:hAnsi="Times New Roman"/>
          <w:color w:val="0070C0"/>
          <w:sz w:val="16"/>
          <w:szCs w:val="16"/>
        </w:rPr>
        <w:softHyphen/>
        <w:t>нить состав ВВС МСДВ 31-й эскадрильей в Океанской. Амурская флотилия должна была получить 69-й речной отряд (де</w:t>
      </w:r>
      <w:r w:rsidRPr="00142305">
        <w:rPr>
          <w:rFonts w:ascii="Times New Roman" w:hAnsi="Times New Roman"/>
          <w:color w:val="0070C0"/>
          <w:sz w:val="16"/>
          <w:szCs w:val="16"/>
        </w:rPr>
        <w:softHyphen/>
        <w:t>сять машин). Последний действительно сформировали и укомплектовали «савойями» (24948).</w:t>
      </w:r>
    </w:p>
    <w:p w14:paraId="5E8401FC" w14:textId="77777777" w:rsidR="00587026" w:rsidRPr="00142305" w:rsidRDefault="00587026" w:rsidP="00587026">
      <w:pPr>
        <w:spacing w:after="0" w:line="240" w:lineRule="auto"/>
        <w:jc w:val="both"/>
        <w:rPr>
          <w:rFonts w:ascii="Times New Roman" w:hAnsi="Times New Roman"/>
          <w:color w:val="0070C0"/>
          <w:sz w:val="16"/>
          <w:szCs w:val="16"/>
        </w:rPr>
      </w:pPr>
    </w:p>
    <w:p w14:paraId="3658A38B" w14:textId="77777777" w:rsidR="00610188" w:rsidRPr="00E93F40" w:rsidRDefault="0061018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bCs/>
          <w:color w:val="000000" w:themeColor="text1"/>
          <w:sz w:val="16"/>
          <w:szCs w:val="16"/>
        </w:rPr>
        <w:t>25 августа 1932г.</w:t>
      </w:r>
      <w:r w:rsidRPr="00E93F40">
        <w:rPr>
          <w:rFonts w:ascii="Times New Roman" w:hAnsi="Times New Roman"/>
          <w:color w:val="000000" w:themeColor="text1"/>
          <w:sz w:val="16"/>
          <w:szCs w:val="16"/>
        </w:rPr>
        <w:t xml:space="preserve"> выполнен полет на дирижабле ВК-1 Ленинград-Тула-Москва (17256).</w:t>
      </w:r>
    </w:p>
    <w:p w14:paraId="0186E4E4" w14:textId="77777777" w:rsidR="00610188" w:rsidRPr="00E93F40" w:rsidRDefault="0061018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C9EF27"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августа 1932 в 21.30 «СССР В-3» направился в сто</w:t>
      </w:r>
      <w:r w:rsidRPr="00E93F40">
        <w:rPr>
          <w:rFonts w:ascii="Times New Roman" w:hAnsi="Times New Roman"/>
          <w:color w:val="000000" w:themeColor="text1"/>
          <w:sz w:val="16"/>
          <w:szCs w:val="16"/>
        </w:rPr>
        <w:softHyphen/>
        <w:t>лицу, но из-за навигационной ошибки долетел до Тулы. Ошибку исправили, и дирижабль прибыл на ст. Долгопрудная. Однако посадка не удалась из-за остановки одного из моторов. После не</w:t>
      </w:r>
      <w:r w:rsidRPr="00E93F40">
        <w:rPr>
          <w:rFonts w:ascii="Times New Roman" w:hAnsi="Times New Roman"/>
          <w:color w:val="000000" w:themeColor="text1"/>
          <w:sz w:val="16"/>
          <w:szCs w:val="16"/>
        </w:rPr>
        <w:softHyphen/>
        <w:t>скольких часов полёта вокруг Москвы командир, опасаясь израсходовать всё горючее, аварийно посадил «СССР В-3» в 50 км от порта у д. Н. Милеты. «Не имея уверенности, что корабль удастся удержать на земле наличными силами и во из</w:t>
      </w:r>
      <w:r w:rsidRPr="00E93F40">
        <w:rPr>
          <w:rFonts w:ascii="Times New Roman" w:hAnsi="Times New Roman"/>
          <w:color w:val="000000" w:themeColor="text1"/>
          <w:sz w:val="16"/>
          <w:szCs w:val="16"/>
        </w:rPr>
        <w:softHyphen/>
        <w:t>бежание потери всей материальной части», он приказал вскрыть разрывное и разоружить дири</w:t>
      </w:r>
      <w:r w:rsidRPr="00E93F40">
        <w:rPr>
          <w:rFonts w:ascii="Times New Roman" w:hAnsi="Times New Roman"/>
          <w:color w:val="000000" w:themeColor="text1"/>
          <w:sz w:val="16"/>
          <w:szCs w:val="16"/>
        </w:rPr>
        <w:softHyphen/>
        <w:t>жабль, выбывший, таким образом, на месяц из строя. У. Нобиле отметил ошибки при органи</w:t>
      </w:r>
      <w:r w:rsidRPr="00E93F40">
        <w:rPr>
          <w:rFonts w:ascii="Times New Roman" w:hAnsi="Times New Roman"/>
          <w:color w:val="000000" w:themeColor="text1"/>
          <w:sz w:val="16"/>
          <w:szCs w:val="16"/>
        </w:rPr>
        <w:softHyphen/>
        <w:t>зации полёта: штурмана, подготовившего полёт, заменил начальник эксплуатационной службы «Дирижаблестроя» М.Н. Канищев; вместо того, чтобы взять на борт не менее 1200 литров бензи</w:t>
      </w:r>
      <w:r w:rsidRPr="00E93F40">
        <w:rPr>
          <w:rFonts w:ascii="Times New Roman" w:hAnsi="Times New Roman"/>
          <w:color w:val="000000" w:themeColor="text1"/>
          <w:sz w:val="16"/>
          <w:szCs w:val="16"/>
        </w:rPr>
        <w:softHyphen/>
        <w:t>на и 500 кг балласта за счёт сокращения экипажа, наоборот, выгрузили несколько канистр бензина и часть балласта, чтобы взять политработника и журналистку и т. д. (20120).</w:t>
      </w:r>
    </w:p>
    <w:p w14:paraId="2AE86949" w14:textId="77777777" w:rsidR="004A30D4" w:rsidRPr="00E93F40" w:rsidRDefault="004A30D4" w:rsidP="00E93F40">
      <w:pPr>
        <w:spacing w:after="0" w:line="240" w:lineRule="auto"/>
        <w:jc w:val="both"/>
        <w:rPr>
          <w:rFonts w:ascii="Times New Roman" w:hAnsi="Times New Roman"/>
          <w:color w:val="000000" w:themeColor="text1"/>
          <w:sz w:val="16"/>
          <w:szCs w:val="16"/>
        </w:rPr>
      </w:pPr>
    </w:p>
    <w:p w14:paraId="2F07A6B1" w14:textId="77777777" w:rsidR="00A20FFF"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392A00E" w14:textId="77777777" w:rsidR="00A20FFF" w:rsidRPr="00E93F40" w:rsidRDefault="00A20FF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186801"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25 августа 1932 года на ХПЗ было заложено 5 корпусов БТ-5 и заказано на Ижорском заводе «25 новых башен под 45-мм пушку, причем 20 башен сырых и 5 каленых».</w:t>
      </w:r>
    </w:p>
    <w:p w14:paraId="0C5AE74D" w14:textId="77777777" w:rsidR="00587026" w:rsidRPr="00142305" w:rsidRDefault="00587026" w:rsidP="00587026">
      <w:pPr>
        <w:spacing w:after="0" w:line="240" w:lineRule="auto"/>
        <w:jc w:val="both"/>
        <w:rPr>
          <w:rFonts w:ascii="Times New Roman" w:hAnsi="Times New Roman"/>
          <w:color w:val="0070C0"/>
          <w:sz w:val="16"/>
          <w:szCs w:val="16"/>
        </w:rPr>
      </w:pPr>
    </w:p>
    <w:p w14:paraId="3B131091" w14:textId="77777777" w:rsidR="00627BAA" w:rsidRPr="00E93F40" w:rsidRDefault="00627BAA" w:rsidP="00E93F40">
      <w:pPr>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25 августа 1932 г. Протокол ПБ № 113 п.14: Проект размещения строительства заводов по электро- и радио-городкам (ПБ от 8-8-1932, протокол № 111, п. 13в; Пятаков). Решено согласиться со следующим предложением НКТП. По сильному току 1. Увеличить выпуск продукции на трансформаторном заводе на Урале. 2. Расширить задание по аппаратному заводу Уралэлектромашины. 3. Создать базу электроснабжения тепловозов на Уралэлектромашине. 4. Завод ртутных выпрямителей разместить на участке электровозного завода. 5. Завод штампов и приспособлений разместить на участке электровозного завода. 6. Разместить завод «Изолит» в Кашире вблизи электрической станции. 7. Завод радиоламп разместить вблизи завода осветительных ламп. 8. Считать наиболее подходящей точкой размещения лампового завода район ст. Раменская Московско-Казанской железной дороги или же в подмосковном бассейне. 9. Завод осветительной арматуры разместить в Загорске или Запрудне. 10. Завод железнодорожной сигнализации и автоблокировки вывезти в Воронеж на строящийся завод напольных сооружений для сигнализации. В освобождающееся здание от завода Электросигнал перевести завод Затэм. 11. Намечавшийся к постройке завод радиолюбительской аппаратуры Мосрадио развернуть в Харькове на базе завода «Укррадио». Окончательный выбор точек и площадок в соответствии с вышеприведенными вариантами поручить НКТП СССР (15974).</w:t>
      </w:r>
    </w:p>
    <w:p w14:paraId="656F53CE" w14:textId="77777777" w:rsidR="00627BAA" w:rsidRPr="00E93F40" w:rsidRDefault="00627BAA" w:rsidP="00E93F40">
      <w:pPr>
        <w:spacing w:after="0" w:line="240" w:lineRule="auto"/>
        <w:jc w:val="both"/>
        <w:rPr>
          <w:rFonts w:ascii="Times New Roman" w:hAnsi="Times New Roman"/>
          <w:iCs/>
          <w:color w:val="000000" w:themeColor="text1"/>
          <w:sz w:val="16"/>
          <w:szCs w:val="16"/>
        </w:rPr>
      </w:pPr>
    </w:p>
    <w:p w14:paraId="7AEEEA76"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августа 1932</w:t>
      </w:r>
    </w:p>
    <w:p w14:paraId="3AA5AEE6" w14:textId="4D4F6042"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113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0133751E" w14:textId="3B8DE45F"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25</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2E209EEC" w14:textId="15C0F519"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14: Проект размещения строительства заводов по электро и радио-городкам</w:t>
      </w:r>
    </w:p>
    <w:p w14:paraId="347D7EDB" w14:textId="3634580A"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8.VIII.32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111,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13-в).</w:t>
      </w:r>
    </w:p>
    <w:p w14:paraId="4D786299"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(Пятаков).</w:t>
      </w:r>
    </w:p>
    <w:p w14:paraId="1E6B7145" w14:textId="1A9EEC51"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Согласиться с предложением НКТПрома (</w:t>
      </w:r>
      <w:hyperlink r:id="rId201" w:history="1">
        <w:r w:rsidRPr="00E93F40">
          <w:rPr>
            <w:rStyle w:val="a5"/>
            <w:rFonts w:ascii="Times New Roman" w:hAnsi="Times New Roman"/>
            <w:color w:val="000000" w:themeColor="text1"/>
            <w:sz w:val="16"/>
            <w:szCs w:val="16"/>
            <w:u w:val="none"/>
          </w:rPr>
          <w:t>см.</w:t>
        </w:r>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приложение</w:t>
        </w:r>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w:t>
        </w:r>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1</w:t>
        </w:r>
      </w:hyperlink>
      <w:r w:rsidRPr="00E93F40">
        <w:rPr>
          <w:rFonts w:ascii="Times New Roman" w:hAnsi="Times New Roman"/>
          <w:color w:val="000000" w:themeColor="text1"/>
          <w:sz w:val="16"/>
          <w:szCs w:val="16"/>
        </w:rPr>
        <w:t>).</w:t>
      </w:r>
    </w:p>
    <w:p w14:paraId="1AE53298" w14:textId="52FB24E4"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p w14:paraId="65D2B27B" w14:textId="7975BBAD"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14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113.</w:t>
      </w:r>
    </w:p>
    <w:p w14:paraId="5F15FA8A" w14:textId="7AEAA031"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25.VIII.1932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9396283" w14:textId="120C225A"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размещении заводов электропромышленности, строящихся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9852862"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сильному току</w:t>
      </w:r>
    </w:p>
    <w:p w14:paraId="646B2DE9" w14:textId="046C4F88"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Намечавшийся выпуск трансформаторного завода на Урале в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киловольт-ампер увеличить до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киловольт-ампер.</w:t>
      </w:r>
    </w:p>
    <w:p w14:paraId="7ECD3C93" w14:textId="22084A61"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Расширить задание по аппаратному заводу Уралэлектромашины до пределов выпуска 470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год, вместо 340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утвержденных.</w:t>
      </w:r>
    </w:p>
    <w:p w14:paraId="2299DA0D" w14:textId="39E3C52D"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Базу электроснабжения тепловозов создать на Уралэлектромашине в пределах выпуска 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клвт. в год.</w:t>
      </w:r>
    </w:p>
    <w:p w14:paraId="034EE7F0"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Завод ртутных выпрямителей разместить на участке электровозного завода в Кашире.</w:t>
      </w:r>
    </w:p>
    <w:p w14:paraId="0524930B"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Завод Штампов и приспособлений разместить на участке электровозного завода.</w:t>
      </w:r>
    </w:p>
    <w:p w14:paraId="6729D0F5"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Разместить завод “Изолит” в Кашире вблизи электрической станции.</w:t>
      </w:r>
    </w:p>
    <w:p w14:paraId="4A422E2C"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Завод Радиоламп разместить вблизи завода Осветительных ламп.</w:t>
      </w:r>
    </w:p>
    <w:p w14:paraId="67F21D1B" w14:textId="05A25420"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Считать наиболее подходящей точкой размещения Лампового Завода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район ст.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Раменская Московско-Казанской железной дороги или же в Подмосковном бассейне.</w:t>
      </w:r>
    </w:p>
    <w:p w14:paraId="4E538DD1"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Завод Осветительной арматуры разместить в Загорске или Запрудне.</w:t>
      </w:r>
    </w:p>
    <w:p w14:paraId="7674722D"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Завод железнодорожной сигнализации и автоблокировки вывезти в Воронеж на строящийся завод напольных сооружений для сигнализации.</w:t>
      </w:r>
    </w:p>
    <w:p w14:paraId="6C4D0DB9"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освобождающееся здание от завода Электросигнал перевести завод Затэм в пределах установленного для него размера.</w:t>
      </w:r>
    </w:p>
    <w:p w14:paraId="63146944"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Намечавшийся к постройке завод радиолюбительской аппаратуры Мосрадио развернуть в Харькове на базе завода “Укррадио”.</w:t>
      </w:r>
    </w:p>
    <w:p w14:paraId="211747AC"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Окончательный выбор точек и площадок в соответствии с вышеприведенными вариантами поручить Наркомтяжпрому</w:t>
      </w:r>
    </w:p>
    <w:p w14:paraId="15254F87" w14:textId="77777777"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(18132).</w:t>
      </w:r>
    </w:p>
    <w:p w14:paraId="5368B0CE" w14:textId="77777777" w:rsidR="00C018CF" w:rsidRPr="00E93F40" w:rsidRDefault="00C018CF" w:rsidP="00E93F40">
      <w:pPr>
        <w:spacing w:after="0" w:line="240" w:lineRule="auto"/>
        <w:jc w:val="both"/>
        <w:rPr>
          <w:rFonts w:ascii="Times New Roman" w:hAnsi="Times New Roman"/>
          <w:color w:val="000000" w:themeColor="text1"/>
          <w:sz w:val="16"/>
          <w:szCs w:val="16"/>
        </w:rPr>
      </w:pPr>
    </w:p>
    <w:p w14:paraId="188F622C"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августа 1932 состоялось заседание ПБ (Протокол № 113)</w:t>
      </w:r>
    </w:p>
    <w:p w14:paraId="4FB5EF93"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 переговорах с ’’Дженераль Моторс”.</w:t>
      </w:r>
    </w:p>
    <w:p w14:paraId="11B4C015"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(тов. Межлаук).</w:t>
      </w:r>
    </w:p>
    <w:p w14:paraId="5E39ABC3"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Поручить т. Межлауку заявить Куперу, что мы не воз</w:t>
      </w:r>
      <w:r w:rsidRPr="00E93F40">
        <w:rPr>
          <w:rFonts w:ascii="Times New Roman" w:hAnsi="Times New Roman"/>
          <w:color w:val="000000" w:themeColor="text1"/>
          <w:sz w:val="16"/>
          <w:szCs w:val="16"/>
        </w:rPr>
        <w:softHyphen/>
        <w:t>ражает.: против приезда представителен ’’Дженераль Моторс”, не связывая себя никакими обещаниями и обязательствами.</w:t>
      </w:r>
    </w:p>
    <w:p w14:paraId="657F3247"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приезде представителя ’’Дженераль Моторс” т. Межлауку сделать сообщение в Политбюро.</w:t>
      </w:r>
    </w:p>
    <w:p w14:paraId="5BB8B0D9"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тов. Межлауку.</w:t>
      </w:r>
    </w:p>
    <w:p w14:paraId="5765539D"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 грузопод”емных. .кранах.</w:t>
      </w:r>
    </w:p>
    <w:p w14:paraId="6545A59E"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Элиава, Пятаков).</w:t>
      </w:r>
    </w:p>
    <w:p w14:paraId="3BEF9AB4"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НКТяжпром в 2-декадный срок установить меро</w:t>
      </w:r>
      <w:r w:rsidRPr="00E93F40">
        <w:rPr>
          <w:rFonts w:ascii="Times New Roman" w:hAnsi="Times New Roman"/>
          <w:color w:val="000000" w:themeColor="text1"/>
          <w:sz w:val="16"/>
          <w:szCs w:val="16"/>
        </w:rPr>
        <w:softHyphen/>
        <w:t>приятия для полного прекращения импорта кранового обору</w:t>
      </w:r>
      <w:r w:rsidRPr="00E93F40">
        <w:rPr>
          <w:rFonts w:ascii="Times New Roman" w:hAnsi="Times New Roman"/>
          <w:color w:val="000000" w:themeColor="text1"/>
          <w:sz w:val="16"/>
          <w:szCs w:val="16"/>
        </w:rPr>
        <w:softHyphen/>
        <w:t>дования в 1933 г. и доложить СТО.</w:t>
      </w:r>
    </w:p>
    <w:p w14:paraId="720ED257"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Пятакову, Элиаве, Керженцеву (23058).</w:t>
      </w:r>
    </w:p>
    <w:p w14:paraId="3DA84379" w14:textId="77777777" w:rsidR="004A30D4" w:rsidRPr="00E93F40" w:rsidRDefault="004A30D4" w:rsidP="00E93F40">
      <w:pPr>
        <w:spacing w:after="0" w:line="240" w:lineRule="auto"/>
        <w:jc w:val="both"/>
        <w:rPr>
          <w:rFonts w:ascii="Times New Roman" w:hAnsi="Times New Roman"/>
          <w:color w:val="000000" w:themeColor="text1"/>
          <w:sz w:val="16"/>
          <w:szCs w:val="16"/>
        </w:rPr>
      </w:pPr>
    </w:p>
    <w:p w14:paraId="7B315A23" w14:textId="77777777" w:rsidR="004A30D4" w:rsidRPr="00E93F40" w:rsidRDefault="004A30D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25 августа 1932 вышло постановление № 1037/307сс РЗ СТО или КО (№ 1401/ко от 26.8.1932 г.) - Об обеспечении шарико-ролико-подшипниками танковой и авиационной программы (21564).</w:t>
      </w:r>
    </w:p>
    <w:p w14:paraId="2F5BE11C" w14:textId="77777777" w:rsidR="004A30D4" w:rsidRPr="00E93F40" w:rsidRDefault="004A30D4" w:rsidP="00E93F40">
      <w:pPr>
        <w:spacing w:after="0" w:line="240" w:lineRule="auto"/>
        <w:jc w:val="both"/>
        <w:rPr>
          <w:rFonts w:ascii="Times New Roman" w:hAnsi="Times New Roman"/>
          <w:color w:val="000000" w:themeColor="text1"/>
          <w:sz w:val="16"/>
          <w:szCs w:val="16"/>
        </w:rPr>
      </w:pPr>
    </w:p>
    <w:p w14:paraId="7253A29A"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25 августа 1932. Постановление СТО СССР и Комиссии обороны № 1036/306сс о порядке накопления мобзапасов для войск ОГПУ (ГА РФ. Ф. Р?8418. Оп. 28. Д. 1а. Л. 331) (12415).</w:t>
      </w:r>
    </w:p>
    <w:p w14:paraId="0D91F100"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1037/307сс об обеспечении шарико-ролико-подшипниками танковой и авиационной программы (ГА РФ. Ф. Р?8418. Оп. 28. Д. 1а. Л. 332?333) (12415).</w:t>
      </w:r>
    </w:p>
    <w:p w14:paraId="32D734A3"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1038/308сс о снабжении продовольствием рабочих военного строительства в ОКДВА (ГА РФ. Ф. Р?8418. Оп. 28. Д. 1а. Л. 334?335) (12415).</w:t>
      </w:r>
    </w:p>
    <w:p w14:paraId="050B2E6E"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1039/309сс об установлении дислокации спецрезервов (ГА РФ. Ф. Р?8418. Оп. 28. Д. 1а. Л. 336) (12415).</w:t>
      </w:r>
    </w:p>
    <w:p w14:paraId="1900E3F1"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p>
    <w:p w14:paraId="52354DF2"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25 августа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N° 113. 18. О закупке судов. (ПБ от 16 июля 1932 г., пр. № 108, п. 47). (Политбюро... Т. 2. С. 343) (12416).</w:t>
      </w:r>
    </w:p>
    <w:p w14:paraId="61FC1BFF"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p>
    <w:p w14:paraId="1FCAF2B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47CEDBC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D163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25 августа 1932 ВВС располагали 203 ТБ-1, более трети из них базировались в Московском военном округе. Но уже с осени бригады начали перевооружать на новые ТБ-3. Приоритет в получении четырехмоторных бомбардировщиков отдали Монину. К весне 1933 г. в ВВС остались всего четыре эскадрильи, оснащенные старой техникой. На первомайском параде в Москве ТБ-3 уже было вдвое больше, чем ТБ-1. Постепенно двухмоторные бомбардировщики оказались вытеснены на роль учебно-тренировочных и транспортных машин. Летчик, не прошедший подготовки на них, не допускался к полетам на четырехмоторном гиганте.</w:t>
      </w:r>
    </w:p>
    <w:p w14:paraId="2CE56D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Наличие самолетов ТБ-1 на 25.08.1932 г.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709"/>
      </w:tblGrid>
      <w:tr w:rsidR="00DA227A" w:rsidRPr="00E93F40" w14:paraId="7E6CE2ED" w14:textId="77777777">
        <w:tc>
          <w:tcPr>
            <w:tcW w:w="2518" w:type="dxa"/>
            <w:tcBorders>
              <w:top w:val="single" w:sz="12" w:space="0" w:color="auto"/>
            </w:tcBorders>
          </w:tcPr>
          <w:p w14:paraId="78970D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Московский ВО</w:t>
            </w:r>
          </w:p>
        </w:tc>
        <w:tc>
          <w:tcPr>
            <w:tcW w:w="709" w:type="dxa"/>
            <w:tcBorders>
              <w:top w:val="single" w:sz="12" w:space="0" w:color="auto"/>
            </w:tcBorders>
          </w:tcPr>
          <w:p w14:paraId="55DF9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r>
      <w:tr w:rsidR="00DA227A" w:rsidRPr="00E93F40" w14:paraId="0B963960" w14:textId="77777777">
        <w:tc>
          <w:tcPr>
            <w:tcW w:w="2518" w:type="dxa"/>
          </w:tcPr>
          <w:p w14:paraId="324AA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Украинский ВО</w:t>
            </w:r>
          </w:p>
        </w:tc>
        <w:tc>
          <w:tcPr>
            <w:tcW w:w="709" w:type="dxa"/>
          </w:tcPr>
          <w:p w14:paraId="74235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r>
      <w:tr w:rsidR="00DA227A" w:rsidRPr="00E93F40" w14:paraId="7102CDC9" w14:textId="77777777">
        <w:tc>
          <w:tcPr>
            <w:tcW w:w="2518" w:type="dxa"/>
          </w:tcPr>
          <w:p w14:paraId="1D23C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Ленинградский ВО</w:t>
            </w:r>
          </w:p>
        </w:tc>
        <w:tc>
          <w:tcPr>
            <w:tcW w:w="709" w:type="dxa"/>
          </w:tcPr>
          <w:p w14:paraId="00B31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r>
      <w:tr w:rsidR="00DA227A" w:rsidRPr="00E93F40" w14:paraId="208F6FE7" w14:textId="77777777">
        <w:tc>
          <w:tcPr>
            <w:tcW w:w="2518" w:type="dxa"/>
          </w:tcPr>
          <w:p w14:paraId="139D7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ОКДВА</w:t>
            </w:r>
          </w:p>
        </w:tc>
        <w:tc>
          <w:tcPr>
            <w:tcW w:w="709" w:type="dxa"/>
          </w:tcPr>
          <w:p w14:paraId="1B7633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r>
      <w:tr w:rsidR="00DA227A" w:rsidRPr="00E93F40" w14:paraId="78C2108D" w14:textId="77777777">
        <w:tc>
          <w:tcPr>
            <w:tcW w:w="2518" w:type="dxa"/>
          </w:tcPr>
          <w:p w14:paraId="39C4AF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Приволжский ВО</w:t>
            </w:r>
          </w:p>
        </w:tc>
        <w:tc>
          <w:tcPr>
            <w:tcW w:w="709" w:type="dxa"/>
          </w:tcPr>
          <w:p w14:paraId="49987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r w:rsidR="00DA227A" w:rsidRPr="00E93F40" w14:paraId="1F800C4A" w14:textId="77777777">
        <w:tc>
          <w:tcPr>
            <w:tcW w:w="2518" w:type="dxa"/>
          </w:tcPr>
          <w:p w14:paraId="4801F8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Балтийского моря</w:t>
            </w:r>
          </w:p>
        </w:tc>
        <w:tc>
          <w:tcPr>
            <w:tcW w:w="709" w:type="dxa"/>
          </w:tcPr>
          <w:p w14:paraId="0EA30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tc>
      </w:tr>
      <w:tr w:rsidR="00DA227A" w:rsidRPr="00E93F40" w14:paraId="06B0D138" w14:textId="77777777">
        <w:tc>
          <w:tcPr>
            <w:tcW w:w="2518" w:type="dxa"/>
          </w:tcPr>
          <w:p w14:paraId="0E643D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Черного моря</w:t>
            </w:r>
          </w:p>
        </w:tc>
        <w:tc>
          <w:tcPr>
            <w:tcW w:w="709" w:type="dxa"/>
          </w:tcPr>
          <w:p w14:paraId="369B81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r w:rsidR="00DA227A" w:rsidRPr="00E93F40" w14:paraId="569C0D2C" w14:textId="77777777">
        <w:tc>
          <w:tcPr>
            <w:tcW w:w="2518" w:type="dxa"/>
          </w:tcPr>
          <w:p w14:paraId="4856FA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w:t>
            </w:r>
          </w:p>
        </w:tc>
        <w:tc>
          <w:tcPr>
            <w:tcW w:w="709" w:type="dxa"/>
          </w:tcPr>
          <w:p w14:paraId="4BCB70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r>
      <w:tr w:rsidR="00DA227A" w:rsidRPr="00E93F40" w14:paraId="75DEC99C" w14:textId="77777777">
        <w:tc>
          <w:tcPr>
            <w:tcW w:w="2518" w:type="dxa"/>
          </w:tcPr>
          <w:p w14:paraId="3BB23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Школы</w:t>
            </w:r>
          </w:p>
        </w:tc>
        <w:tc>
          <w:tcPr>
            <w:tcW w:w="709" w:type="dxa"/>
          </w:tcPr>
          <w:p w14:paraId="3EF91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r>
      <w:tr w:rsidR="00DA227A" w:rsidRPr="00E93F40" w14:paraId="08AD6B14" w14:textId="77777777">
        <w:tc>
          <w:tcPr>
            <w:tcW w:w="2518" w:type="dxa"/>
          </w:tcPr>
          <w:p w14:paraId="7EE94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Отряд особого назначения</w:t>
            </w:r>
          </w:p>
        </w:tc>
        <w:tc>
          <w:tcPr>
            <w:tcW w:w="709" w:type="dxa"/>
          </w:tcPr>
          <w:p w14:paraId="56EE22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r w:rsidR="00DA227A" w:rsidRPr="00E93F40" w14:paraId="5C64423E" w14:textId="77777777">
        <w:tc>
          <w:tcPr>
            <w:tcW w:w="2518" w:type="dxa"/>
          </w:tcPr>
          <w:p w14:paraId="7FF1A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w:t>
            </w:r>
          </w:p>
        </w:tc>
        <w:tc>
          <w:tcPr>
            <w:tcW w:w="709" w:type="dxa"/>
          </w:tcPr>
          <w:p w14:paraId="7395FE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r>
      <w:tr w:rsidR="00DA227A" w:rsidRPr="00E93F40" w14:paraId="7A0A0F20" w14:textId="77777777">
        <w:tc>
          <w:tcPr>
            <w:tcW w:w="2518" w:type="dxa"/>
          </w:tcPr>
          <w:p w14:paraId="0D4E3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Прочие</w:t>
            </w:r>
          </w:p>
        </w:tc>
        <w:tc>
          <w:tcPr>
            <w:tcW w:w="709" w:type="dxa"/>
          </w:tcPr>
          <w:p w14:paraId="0D39B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r>
      <w:tr w:rsidR="00DA227A" w:rsidRPr="00E93F40" w14:paraId="55CDF32E" w14:textId="77777777">
        <w:tc>
          <w:tcPr>
            <w:tcW w:w="2518" w:type="dxa"/>
            <w:tcBorders>
              <w:bottom w:val="single" w:sz="12" w:space="0" w:color="auto"/>
            </w:tcBorders>
          </w:tcPr>
          <w:p w14:paraId="6EF328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709" w:type="dxa"/>
            <w:tcBorders>
              <w:bottom w:val="single" w:sz="12" w:space="0" w:color="auto"/>
            </w:tcBorders>
          </w:tcPr>
          <w:p w14:paraId="0173E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w:t>
            </w:r>
          </w:p>
        </w:tc>
      </w:tr>
    </w:tbl>
    <w:p w14:paraId="58F6F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(12001).</w:t>
      </w:r>
    </w:p>
    <w:p w14:paraId="167A7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EFE165"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25 августа 1932 г. ВВС располагали 203 машинами ТБ-1, более тре</w:t>
      </w:r>
      <w:r w:rsidRPr="00142305">
        <w:rPr>
          <w:rFonts w:ascii="Times New Roman" w:hAnsi="Times New Roman"/>
          <w:color w:val="0070C0"/>
          <w:sz w:val="16"/>
          <w:szCs w:val="16"/>
        </w:rPr>
        <w:softHyphen/>
        <w:t>ти из них базировались в Московском военном округе. Но уже с осени бригады начали перевооружать на новые ТБ-3. Приоритет в получении четырехмоторных бом</w:t>
      </w:r>
      <w:r w:rsidRPr="00142305">
        <w:rPr>
          <w:rFonts w:ascii="Times New Roman" w:hAnsi="Times New Roman"/>
          <w:color w:val="0070C0"/>
          <w:sz w:val="16"/>
          <w:szCs w:val="16"/>
        </w:rPr>
        <w:softHyphen/>
        <w:t>бардировщиков отдали Монинскому гарнизону (25004).</w:t>
      </w:r>
    </w:p>
    <w:p w14:paraId="49A6CAC4" w14:textId="77777777" w:rsidR="00587026" w:rsidRPr="00142305" w:rsidRDefault="00587026" w:rsidP="00587026">
      <w:pPr>
        <w:spacing w:after="0" w:line="240" w:lineRule="auto"/>
        <w:jc w:val="both"/>
        <w:rPr>
          <w:rFonts w:ascii="Times New Roman" w:hAnsi="Times New Roman"/>
          <w:color w:val="0070C0"/>
          <w:sz w:val="16"/>
          <w:szCs w:val="16"/>
        </w:rPr>
      </w:pPr>
    </w:p>
    <w:p w14:paraId="740406D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987242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82889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августа 1932 состоялось предоставление больших полномочий директорам школ (4962).</w:t>
      </w:r>
    </w:p>
    <w:p w14:paraId="1ABDF67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A4501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EA1C35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D0E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26 по 30 августа 1932 прошли заводские испытания первого серийного самолета МБР-4 АССО-750 заводской N ОВ-75 (2996).</w:t>
      </w:r>
    </w:p>
    <w:p w14:paraId="7FA46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 до 16 сентября (3899).</w:t>
      </w:r>
    </w:p>
    <w:p w14:paraId="620C7F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8F2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августа 1932 с завода 24 вернулся двигатель М-34, испытания которого на Р-5 начались в середине июля. В один из полетов мотор этот мотор потребовал ремонта (после вынужденной посадки) и был отправлен на завод 24. После установки мотора испытания были продолжены (2314,21).</w:t>
      </w:r>
    </w:p>
    <w:p w14:paraId="527FC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5BA7B6" w14:textId="77777777" w:rsidR="00627BAA"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63D9ED3" w14:textId="77777777" w:rsidR="00627BAA" w:rsidRPr="00E93F40" w:rsidRDefault="00627BA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02D6DA" w14:textId="77777777" w:rsidR="00627BAA" w:rsidRPr="00E93F40" w:rsidRDefault="00627BA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августа в 1932 году международный антивоенный конгресс открылся в Амстердаме (14994).</w:t>
      </w:r>
    </w:p>
    <w:p w14:paraId="28F926A3" w14:textId="77777777" w:rsidR="00627BAA" w:rsidRPr="00E93F40" w:rsidRDefault="00627BAA" w:rsidP="00E93F40">
      <w:pPr>
        <w:spacing w:after="0" w:line="240" w:lineRule="auto"/>
        <w:jc w:val="both"/>
        <w:rPr>
          <w:rFonts w:ascii="Times New Roman" w:hAnsi="Times New Roman"/>
          <w:color w:val="000000" w:themeColor="text1"/>
          <w:sz w:val="16"/>
          <w:szCs w:val="16"/>
        </w:rPr>
      </w:pPr>
    </w:p>
    <w:p w14:paraId="5113D3EB" w14:textId="77777777" w:rsidR="00213ABE" w:rsidRPr="00E93F40" w:rsidRDefault="00213ABE"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0B5CC72" w14:textId="77777777" w:rsidR="00213ABE" w:rsidRPr="00E93F40" w:rsidRDefault="00213AB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C4B73A0"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августа 1932 г. И.И. Баякин приступил к сборке моторизованного аэростата на</w:t>
      </w:r>
      <w:r w:rsidRPr="00E93F40">
        <w:rPr>
          <w:rFonts w:ascii="Times New Roman" w:hAnsi="Times New Roman"/>
          <w:color w:val="000000" w:themeColor="text1"/>
          <w:sz w:val="16"/>
          <w:szCs w:val="16"/>
        </w:rPr>
        <w:softHyphen/>
        <w:t>блюдения «С-1» в эллинге Московского дирижаблепорта. 21-27 сентября проводились заводские испытания в привязном состоянии. В первых шести беспилотных подъёмах аэростат прове</w:t>
      </w:r>
      <w:r w:rsidRPr="00E93F40">
        <w:rPr>
          <w:rFonts w:ascii="Times New Roman" w:hAnsi="Times New Roman"/>
          <w:color w:val="000000" w:themeColor="text1"/>
          <w:sz w:val="16"/>
          <w:szCs w:val="16"/>
        </w:rPr>
        <w:softHyphen/>
        <w:t>рялся на устойчивость, определялось натяжение троса на высотах до 1500 м, надёжность мате</w:t>
      </w:r>
      <w:r w:rsidRPr="00E93F40">
        <w:rPr>
          <w:rFonts w:ascii="Times New Roman" w:hAnsi="Times New Roman"/>
          <w:color w:val="000000" w:themeColor="text1"/>
          <w:sz w:val="16"/>
          <w:szCs w:val="16"/>
        </w:rPr>
        <w:softHyphen/>
        <w:t>риальной части и другие тактико-техническиехарактеристики. В седьмом подъёме подняли на высоту 500 м экипаж в составе Е.М. Оппма- на, Ф.Ф. Ассберга и Лившица. В подписанном ими заключении отмечалось, что при ветрах до 10 м/с испытания «С-1» в привязном состоянии дали хорошие результаты (20120).</w:t>
      </w:r>
    </w:p>
    <w:p w14:paraId="159F7521" w14:textId="77777777" w:rsidR="00213ABE" w:rsidRPr="00E93F40" w:rsidRDefault="00213ABE" w:rsidP="00E93F40">
      <w:pPr>
        <w:spacing w:after="0" w:line="240" w:lineRule="auto"/>
        <w:jc w:val="both"/>
        <w:rPr>
          <w:rFonts w:ascii="Times New Roman" w:hAnsi="Times New Roman"/>
          <w:color w:val="000000" w:themeColor="text1"/>
          <w:sz w:val="16"/>
          <w:szCs w:val="16"/>
        </w:rPr>
      </w:pPr>
    </w:p>
    <w:p w14:paraId="794C12F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6800F6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DAD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27 августа и 2 сентября 1932. Из протокола заседания Политбюро № 114, 1932 г.</w:t>
      </w:r>
    </w:p>
    <w:p w14:paraId="4B538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продлении отпуска т. Луначарскому </w:t>
      </w:r>
    </w:p>
    <w:p w14:paraId="5FA246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Продлить срок отпуска т. Луначарскому до конца октября, выдав ему соответствующую сумму на лечение. </w:t>
      </w:r>
    </w:p>
    <w:p w14:paraId="6F757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Предложение т. Луначарского о назначении его послом в одну из стран Европы отклонить, имея в виду, что он может принести гораздо больше пользы в СССР (11652).</w:t>
      </w:r>
    </w:p>
    <w:p w14:paraId="07EB7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63ACE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0EC731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A08A95B" w14:textId="77777777" w:rsidR="00627BAA" w:rsidRPr="00E93F40" w:rsidRDefault="00627BAA"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lastRenderedPageBreak/>
        <w:t>27 августа 1932 года</w:t>
      </w:r>
      <w:r w:rsidRPr="00E93F40">
        <w:rPr>
          <w:rFonts w:ascii="Times New Roman" w:hAnsi="Times New Roman"/>
          <w:color w:val="000000" w:themeColor="text1"/>
          <w:sz w:val="16"/>
          <w:szCs w:val="16"/>
        </w:rPr>
        <w:t xml:space="preserve"> После разрушения собственного гоночного биплана Laird, случившегося во время его испытаний из-за посадки с убранными опорами шасси, знаменитый пилот гоночных самолётов Джеймс Дулитл (Jimmy Doolittle), победитель гонок на приз Шнайдера (Schneider Trophy) 1925 года, гонок на приз Бендикса 1931 года, и позднее возглавивший рейд на Токио в 1942 году, согласился пилотировать Gee Bee Model R-1 Super Sportster на гонках на приз Томпсона.</w:t>
      </w:r>
    </w:p>
    <w:p w14:paraId="0955B3AC" w14:textId="77777777" w:rsidR="00627BAA" w:rsidRPr="00E93F40" w:rsidRDefault="00627BAA" w:rsidP="00E93F40">
      <w:pPr>
        <w:spacing w:after="0" w:line="240" w:lineRule="auto"/>
        <w:jc w:val="both"/>
        <w:rPr>
          <w:rFonts w:ascii="Times New Roman" w:hAnsi="Times New Roman"/>
          <w:color w:val="000000" w:themeColor="text1"/>
          <w:sz w:val="16"/>
          <w:szCs w:val="16"/>
          <w:lang w:val="en-US"/>
        </w:rPr>
      </w:pPr>
      <w:r w:rsidRPr="00E93F40">
        <w:rPr>
          <w:rFonts w:ascii="Times New Roman" w:hAnsi="Times New Roman"/>
          <w:color w:val="000000" w:themeColor="text1"/>
          <w:sz w:val="16"/>
          <w:szCs w:val="16"/>
        </w:rPr>
        <w:t>Наснимке</w:t>
      </w:r>
      <w:r w:rsidRPr="00E93F40">
        <w:rPr>
          <w:rFonts w:ascii="Times New Roman" w:hAnsi="Times New Roman"/>
          <w:color w:val="000000" w:themeColor="text1"/>
          <w:sz w:val="16"/>
          <w:szCs w:val="16"/>
          <w:lang w:val="en-US"/>
        </w:rPr>
        <w:t xml:space="preserve"> Gee Bee R-1 Super Sportster</w:t>
      </w:r>
      <w:r w:rsidRPr="00E93F40">
        <w:rPr>
          <w:rStyle w:val="ucoz-forum-post"/>
          <w:rFonts w:ascii="Times New Roman" w:eastAsiaTheme="majorEastAsia" w:hAnsi="Times New Roman"/>
          <w:color w:val="000000" w:themeColor="text1"/>
          <w:sz w:val="16"/>
          <w:szCs w:val="16"/>
          <w:lang w:val="en-US"/>
        </w:rPr>
        <w:t xml:space="preserve"> (14751)</w:t>
      </w:r>
      <w:r w:rsidRPr="00E93F40">
        <w:rPr>
          <w:rFonts w:ascii="Times New Roman" w:hAnsi="Times New Roman"/>
          <w:color w:val="000000" w:themeColor="text1"/>
          <w:sz w:val="16"/>
          <w:szCs w:val="16"/>
          <w:lang w:val="en-US"/>
        </w:rPr>
        <w:t xml:space="preserve">: </w:t>
      </w:r>
    </w:p>
    <w:p w14:paraId="37DA8186" w14:textId="77777777" w:rsidR="00627BAA" w:rsidRPr="00E93F40" w:rsidRDefault="00627BAA" w:rsidP="00E93F40">
      <w:pPr>
        <w:spacing w:after="0" w:line="240" w:lineRule="auto"/>
        <w:jc w:val="both"/>
        <w:rPr>
          <w:rFonts w:ascii="Times New Roman" w:hAnsi="Times New Roman"/>
          <w:color w:val="000000" w:themeColor="text1"/>
          <w:sz w:val="16"/>
          <w:szCs w:val="16"/>
          <w:lang w:val="en-US"/>
        </w:rPr>
      </w:pPr>
    </w:p>
    <w:p w14:paraId="54A7BE11" w14:textId="77777777" w:rsidR="00627BAA" w:rsidRPr="00E93F40" w:rsidRDefault="00627BAA" w:rsidP="00E93F40">
      <w:pPr>
        <w:spacing w:after="0" w:line="240" w:lineRule="auto"/>
        <w:jc w:val="both"/>
        <w:rPr>
          <w:rFonts w:ascii="Times New Roman" w:eastAsiaTheme="minorHAnsi" w:hAnsi="Times New Roman"/>
          <w:color w:val="000000" w:themeColor="text1"/>
          <w:sz w:val="16"/>
          <w:szCs w:val="16"/>
        </w:rPr>
      </w:pPr>
      <w:r w:rsidRPr="00E93F40">
        <w:rPr>
          <w:rFonts w:ascii="Times New Roman" w:hAnsi="Times New Roman"/>
          <w:color w:val="000000" w:themeColor="text1"/>
          <w:sz w:val="16"/>
          <w:szCs w:val="16"/>
        </w:rPr>
        <w:t>27 августа 1932 года в Амстердаме открылся Международный антивоенный конгресс, созванный по инициативе Горького, Барбюса, Роллана, Драйзера и других. В заседаниях приняли участие свыше 2000 представителей из 29 стран. Делегация СССР не получила разрешения на въезд в Голландию. Конгресс осудил нападение Японии на Китай, принял резолюции, осудившие террор и антисемитизм, и одобрил миролюбивую политику СССР</w:t>
      </w:r>
      <w:r w:rsidRPr="00E93F40">
        <w:rPr>
          <w:rStyle w:val="ucoz-forum-post"/>
          <w:rFonts w:ascii="Times New Roman" w:eastAsiaTheme="majorEastAsia" w:hAnsi="Times New Roman"/>
          <w:color w:val="000000" w:themeColor="text1"/>
          <w:sz w:val="16"/>
          <w:szCs w:val="16"/>
        </w:rPr>
        <w:t xml:space="preserve"> (14751)</w:t>
      </w:r>
      <w:r w:rsidRPr="00E93F40">
        <w:rPr>
          <w:rFonts w:ascii="Times New Roman" w:hAnsi="Times New Roman"/>
          <w:color w:val="000000" w:themeColor="text1"/>
          <w:sz w:val="16"/>
          <w:szCs w:val="16"/>
        </w:rPr>
        <w:t>.</w:t>
      </w:r>
    </w:p>
    <w:p w14:paraId="4233862A" w14:textId="77777777" w:rsidR="00627BAA" w:rsidRPr="00E93F40" w:rsidRDefault="00627BAA" w:rsidP="00E93F40">
      <w:pPr>
        <w:spacing w:after="0" w:line="240" w:lineRule="auto"/>
        <w:jc w:val="both"/>
        <w:rPr>
          <w:rFonts w:ascii="Times New Roman" w:hAnsi="Times New Roman"/>
          <w:color w:val="000000" w:themeColor="text1"/>
          <w:sz w:val="16"/>
          <w:szCs w:val="16"/>
        </w:rPr>
      </w:pPr>
    </w:p>
    <w:p w14:paraId="4DAED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27-29 августа 1932 в Амстердаме прошел Международный антивоенный конгресс и образован Всемирный комитет борьбы за мир (3186).</w:t>
      </w:r>
    </w:p>
    <w:p w14:paraId="47EDA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E6C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августа 1932 в Англии началась забастовка 200000 рабочих-текстильщиков (3481).</w:t>
      </w:r>
    </w:p>
    <w:p w14:paraId="488AB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6B1B0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3F9CA8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0DC03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августа 1932 года была подготовлена справка Соловьева о том, что22 и 25 июля 1932 года были проведены первые госиспытания объектов ТСП. Через эти испытания пропущена была лишь часть объектов, перечисленных в заявке Гроховского (бомбы ТСП-2, ТСП-3, ударнодистанционная и ударная), причем комиссией приняты были только два последних объекта, бомбы же ТСП-2 и ТСП-3 оказались недоработанными и остаются таковыми до сего времени (7470, 331-334).</w:t>
      </w:r>
    </w:p>
    <w:p w14:paraId="338E5A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2E3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августа 1932 после осмотра специалистами НИИ ВВС первого серийного самолета МБР-4 АССО-750 заводской N ОВ-75, готовящегося для предъявления на гос. испытания была обнаружена масса дефектов - завод обещал устранить их в течение 5 дней, но срок не был выдержан и самолет был предъявлен вновь только 11 сентября 1932. После осмотра 11 сентября было обнаружено 84 дефекта. Вторично самолет был предъявлен 16 сентября с.г. После осмотра также были обнаружены дефекты. Самолет должен был быть предъявлен 5 марта согласно договоренности с заводом и ВАО (2996).</w:t>
      </w:r>
    </w:p>
    <w:p w14:paraId="42A2B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CD0DB6"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августа 1932 г. пред</w:t>
      </w:r>
      <w:r w:rsidRPr="00142305">
        <w:rPr>
          <w:rFonts w:ascii="Times New Roman" w:hAnsi="Times New Roman"/>
          <w:color w:val="0070C0"/>
          <w:sz w:val="16"/>
          <w:szCs w:val="16"/>
        </w:rPr>
        <w:softHyphen/>
        <w:t>ставители НИИ ВВС первый раз ознакомились с третьим экземпляром МБР-4 с номером ОЕ-75, объявленным головным, на заводе и даже не стали составлять список дефектов - очевидно, он пока</w:t>
      </w:r>
      <w:r w:rsidRPr="00142305">
        <w:rPr>
          <w:rFonts w:ascii="Times New Roman" w:hAnsi="Times New Roman"/>
          <w:color w:val="0070C0"/>
          <w:sz w:val="16"/>
          <w:szCs w:val="16"/>
        </w:rPr>
        <w:softHyphen/>
        <w:t>зался бесконечным. 11 сентября самолет перегнали из Таганрога в Севастополь, где после осмотра его сочли для испы</w:t>
      </w:r>
      <w:r w:rsidRPr="00142305">
        <w:rPr>
          <w:rFonts w:ascii="Times New Roman" w:hAnsi="Times New Roman"/>
          <w:color w:val="0070C0"/>
          <w:sz w:val="16"/>
          <w:szCs w:val="16"/>
        </w:rPr>
        <w:softHyphen/>
        <w:t>таний негодным и предписали устра</w:t>
      </w:r>
      <w:r w:rsidRPr="00142305">
        <w:rPr>
          <w:rFonts w:ascii="Times New Roman" w:hAnsi="Times New Roman"/>
          <w:color w:val="0070C0"/>
          <w:sz w:val="16"/>
          <w:szCs w:val="16"/>
        </w:rPr>
        <w:softHyphen/>
        <w:t>нить 84 недостатка (на машине много чего не хватало, в частности - бомбо</w:t>
      </w:r>
      <w:r w:rsidRPr="00142305">
        <w:rPr>
          <w:rFonts w:ascii="Times New Roman" w:hAnsi="Times New Roman"/>
          <w:color w:val="0070C0"/>
          <w:sz w:val="16"/>
          <w:szCs w:val="16"/>
        </w:rPr>
        <w:softHyphen/>
        <w:t>держателей ДОС, радиостанции, пере</w:t>
      </w:r>
      <w:r w:rsidRPr="00142305">
        <w:rPr>
          <w:rFonts w:ascii="Times New Roman" w:hAnsi="Times New Roman"/>
          <w:color w:val="0070C0"/>
          <w:sz w:val="16"/>
          <w:szCs w:val="16"/>
        </w:rPr>
        <w:softHyphen/>
        <w:t>говорных приборов). Через пять дней список сократился до десяти дефектов (и бомбодержатели появились, правда, на 20 кг тяжелее стоявших на макете, зато в комплекте с электробомбосбрасы</w:t>
      </w:r>
      <w:r w:rsidRPr="00142305">
        <w:rPr>
          <w:rFonts w:ascii="Times New Roman" w:hAnsi="Times New Roman"/>
          <w:color w:val="0070C0"/>
          <w:sz w:val="16"/>
          <w:szCs w:val="16"/>
        </w:rPr>
        <w:softHyphen/>
        <w:t>вателем СР-ЦАГИ), а еще через неделю ОЕ-75 полетел. Пилотировал его летчик Курочкин. Характеристики оказались не</w:t>
      </w:r>
      <w:r w:rsidRPr="00142305">
        <w:rPr>
          <w:rFonts w:ascii="Times New Roman" w:hAnsi="Times New Roman"/>
          <w:color w:val="0070C0"/>
          <w:sz w:val="16"/>
          <w:szCs w:val="16"/>
        </w:rPr>
        <w:softHyphen/>
        <w:t>сколько выше, чем у С-62КЭ, но ниже, чем у лодок итальянской постройки. Ско</w:t>
      </w:r>
      <w:r w:rsidRPr="00142305">
        <w:rPr>
          <w:rFonts w:ascii="Times New Roman" w:hAnsi="Times New Roman"/>
          <w:color w:val="0070C0"/>
          <w:sz w:val="16"/>
          <w:szCs w:val="16"/>
        </w:rPr>
        <w:softHyphen/>
        <w:t>рость доходила до 202 км/ч, а потолок до 4500 м. Подобный результат нетрудно было предсказать заранее, зная разницу в весе между МБР-4 и С-62Б. На заводе это хорошо знали, поскольку еще в мае получили для сравнения серийную ма</w:t>
      </w:r>
      <w:r w:rsidRPr="00142305">
        <w:rPr>
          <w:rFonts w:ascii="Times New Roman" w:hAnsi="Times New Roman"/>
          <w:color w:val="0070C0"/>
          <w:sz w:val="16"/>
          <w:szCs w:val="16"/>
        </w:rPr>
        <w:softHyphen/>
        <w:t>шину, собранную в Италии. Некоторым утешением являлось то, что в результате принятых мер центровка отечественной лодки оказалась на 1,5% более перед</w:t>
      </w:r>
      <w:r w:rsidRPr="00142305">
        <w:rPr>
          <w:rFonts w:ascii="Times New Roman" w:hAnsi="Times New Roman"/>
          <w:color w:val="0070C0"/>
          <w:sz w:val="16"/>
          <w:szCs w:val="16"/>
        </w:rPr>
        <w:softHyphen/>
        <w:t>ней, чем у итальянской (24948).</w:t>
      </w:r>
    </w:p>
    <w:p w14:paraId="3193A542" w14:textId="77777777" w:rsidR="00587026" w:rsidRPr="00142305" w:rsidRDefault="00587026" w:rsidP="00587026">
      <w:pPr>
        <w:spacing w:after="0" w:line="240" w:lineRule="auto"/>
        <w:jc w:val="both"/>
        <w:rPr>
          <w:rFonts w:ascii="Times New Roman" w:hAnsi="Times New Roman"/>
          <w:color w:val="0070C0"/>
          <w:sz w:val="16"/>
          <w:szCs w:val="16"/>
        </w:rPr>
      </w:pPr>
    </w:p>
    <w:p w14:paraId="78049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августа 1932 года начальник 5 отдела НИИ ВВС Соловьев подготовил:</w:t>
      </w:r>
    </w:p>
    <w:p w14:paraId="63409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Справку об испытании агитсредств Гроховского</w:t>
      </w:r>
    </w:p>
    <w:p w14:paraId="405CB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июля 1932 года начальником Осконпробюро ВВС Гроховским был подан рапорт на имя Меженинова, что у него готовы для госиспытаний следующие объекты:</w:t>
      </w:r>
    </w:p>
    <w:p w14:paraId="407C4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ТСП-1 – малая</w:t>
      </w:r>
    </w:p>
    <w:p w14:paraId="7BB11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ТСП-2 – металлическая</w:t>
      </w:r>
    </w:p>
    <w:p w14:paraId="5455ED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ТСП-3 – большая с парашютом</w:t>
      </w:r>
    </w:p>
    <w:p w14:paraId="7F971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ударная</w:t>
      </w:r>
    </w:p>
    <w:p w14:paraId="6285D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ударно-дистанционная</w:t>
      </w:r>
    </w:p>
    <w:p w14:paraId="438D3E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Кассета для сбрасывания литературы</w:t>
      </w:r>
    </w:p>
    <w:p w14:paraId="1CAA37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Вертикальная агитмина</w:t>
      </w:r>
    </w:p>
    <w:p w14:paraId="490E1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Агитпарашют</w:t>
      </w:r>
    </w:p>
    <w:p w14:paraId="3BFB2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Радиотанк</w:t>
      </w:r>
    </w:p>
    <w:p w14:paraId="2D53B0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Межениновым было приказано закончить испытания этих объектов к 25 июля 1932 года. Однако, часть этих объектов фактически на испытание была представлена лишь 22 июля, а именно:</w:t>
      </w:r>
    </w:p>
    <w:p w14:paraId="7EA498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ТСП-2</w:t>
      </w:r>
    </w:p>
    <w:p w14:paraId="0B84A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ТСП-3</w:t>
      </w:r>
    </w:p>
    <w:p w14:paraId="7BC69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ударно-дистанционная</w:t>
      </w:r>
    </w:p>
    <w:p w14:paraId="0CE370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эти бомбы (за исключением одной ударно-дистанционной) при первом же испытании не работали.</w:t>
      </w:r>
    </w:p>
    <w:p w14:paraId="0C707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25 июля 1932 года были даны на испытания опять:</w:t>
      </w:r>
    </w:p>
    <w:p w14:paraId="5288C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ТСП-3</w:t>
      </w:r>
    </w:p>
    <w:p w14:paraId="63712B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ударная</w:t>
      </w:r>
    </w:p>
    <w:p w14:paraId="07A32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ударно-дистанционная</w:t>
      </w:r>
    </w:p>
    <w:p w14:paraId="1A4F1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Две последние бомбы испытания выдержали, было составлено заключение, но продвижение в серию было задержано из-за непредставления Гроховским чертежей, фотографий и техусловий.</w:t>
      </w:r>
    </w:p>
    <w:p w14:paraId="66DA0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ТСП-3 до настоящего времени все еще после каждого испытания переделывается и в окончательном готовом к госиспытаниям виде не предъявлена до сего времени.</w:t>
      </w:r>
    </w:p>
    <w:p w14:paraId="54644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августа 1932 года представителем Осконпробюро Малыничем мне было заявлено, что бомбы ТСП-1 и ТСП-2 с испытания снимаются как доработанные.</w:t>
      </w:r>
    </w:p>
    <w:p w14:paraId="268B7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Радиотанк, оказавшийся радиофицированным броневиком был представлен на госиспытания 20 августа, а затем 23 августа и оба раза оказался неготовым.</w:t>
      </w:r>
    </w:p>
    <w:p w14:paraId="50ADB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Кассета для сбрасывания литературы, вертикальная агитмина и парашют на госиспытания не представлены.</w:t>
      </w:r>
    </w:p>
    <w:p w14:paraId="34002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Задания на полеты со стороны НИИ не были выполнены лишь в следующие дни: 2 августа – перестройка бригады на новую организацию, 11 августа – неисправность самолета, 23 и 25 августа – производство командирской учебы по приказанию Алксниса в бригаде.</w:t>
      </w:r>
    </w:p>
    <w:p w14:paraId="04C92B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стороны же Осконпробюро ВВС задержки в выполнении задания очень часты, так 8 августа был назначен полет на 9 часов и сорван из-за неприбытия Малынича, второй полет в этот же день был сорван из-за непредставления Осконпробюро автомашины, которую оно обязалось представить.</w:t>
      </w:r>
    </w:p>
    <w:p w14:paraId="34934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указанные испытания могут быть проведены на самолете Р-5, кроме, конечно агитпарашюта и радиоброневика (7470, 335).</w:t>
      </w:r>
    </w:p>
    <w:p w14:paraId="124FA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898E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августа 1932 в ЦС ОХА поступила жалоба начальника II отдела ГИРД С.А. Ровенского на финансовые нарушения со стороны СПК, который своим распоряжением выделил 1300 р. Ф.А. Цандеру в счет уплаты за путевку в санаторий и проезд (ЦГАОР, ф. 8355, № 58(2)) (10676).</w:t>
      </w:r>
    </w:p>
    <w:p w14:paraId="592F7B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99903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73E48A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B75EAC4" w14:textId="77777777"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августа 1931 г. Служебная записка председателя ВСНХ СССР С. Орджоникидзе секретарю ЦК ВКП(б) Л. М. Кагановичу о передаче промышленности проектных и конструкторских бюро при ОГПУ СССР</w:t>
      </w:r>
    </w:p>
    <w:p w14:paraId="45BC083E" w14:textId="77777777"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Совершенно секретно. </w:t>
      </w:r>
    </w:p>
    <w:p w14:paraId="5994FE5A" w14:textId="77777777"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43EE95A4" w14:textId="77777777"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Орджоникидзе</w:t>
      </w:r>
    </w:p>
    <w:p w14:paraId="32EF9157" w14:textId="77777777"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 3. Оп. 58. Д. 142. Л. 23. Подлинник (12154).</w:t>
      </w:r>
    </w:p>
    <w:p w14:paraId="2BA78B80" w14:textId="77777777" w:rsidR="00A20FFF" w:rsidRPr="00E93F40" w:rsidRDefault="00A20FFF" w:rsidP="00E93F40">
      <w:pPr>
        <w:spacing w:after="0" w:line="240" w:lineRule="auto"/>
        <w:jc w:val="both"/>
        <w:rPr>
          <w:rFonts w:ascii="Times New Roman" w:hAnsi="Times New Roman"/>
          <w:color w:val="000000" w:themeColor="text1"/>
          <w:sz w:val="16"/>
          <w:szCs w:val="16"/>
        </w:rPr>
      </w:pPr>
    </w:p>
    <w:p w14:paraId="559F7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августа 1932 г. Пост. СТО завод «Красный сигналист» по производству аппаратуры для железнодорожной сигнализации и блокировки был переориентирован на выпуск радиотехники и переименован в завод радио</w:t>
      </w:r>
      <w:r w:rsidRPr="00E93F40">
        <w:rPr>
          <w:rFonts w:ascii="Times New Roman" w:hAnsi="Times New Roman"/>
          <w:color w:val="000000" w:themeColor="text1"/>
          <w:sz w:val="16"/>
          <w:szCs w:val="16"/>
        </w:rPr>
        <w:softHyphen/>
        <w:t xml:space="preserve">приемной аппаратуры «Электросигнал». Освоен выпуск детекторных приемников. С конца 1933 г. завод- в </w:t>
      </w:r>
      <w:r w:rsidRPr="00E93F40">
        <w:rPr>
          <w:rFonts w:ascii="Times New Roman" w:hAnsi="Times New Roman"/>
          <w:color w:val="000000" w:themeColor="text1"/>
          <w:sz w:val="16"/>
          <w:szCs w:val="16"/>
        </w:rPr>
        <w:lastRenderedPageBreak/>
        <w:t>ведении «Главэспрома» НКТП. В 1937 г. - в ведении НКОП, приказом № 116 от 31.03.1937 г. утвержден Устав завода (назывался также Воронежский завод радиоприемников «Электросигнал»), в 08-12.1938 г. - в ведении 5ГУ. По Указу Президиума ВС СССР от 17.04.1940 г. передан из 7ГУ НКАП в НКЭП.</w:t>
      </w:r>
    </w:p>
    <w:p w14:paraId="62EFD3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0101 от 7.05.1937 г. предписано к 1.01.1938 г. ввести завод в эксплуатацию. Приказом № 0063 от 27.03.1937 г.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радиоаппаратуры выдано задание закончить строительство завода в 1937 г. и сделать его заводом массового производства современных радиоприемников; выпустить в 1937 г. 100 тыс. радиоприемников Т-6, подготовить производство в 1938 г. приемников Т-9; организовать производство электролитических конденсаторов и омических сопротивлений по американским образцам. Приказом № 156с от 7/10.05.1938 г. была подчеркнута неудовлетворительная работа завода (план 1937 г. выполнен на 51,3%). Этим же приказом требовалось с 1.07.1938 г. наладить массовое производство сопротивлений и электролитических конденсаторов, а с 1.08.1938 г. - слюдяных и бумажных конденсаторов по американским ТУ; заводу выделено в 1938 г. 6 станков. Приказом № 290с от 7.08.1938 г. требовалось ввести в эксплуатацию в 1938 г. деревообделочный корпус, конденсаторный и компрессорную, лесосушилку; закончить расширение главного корпуса. 20.10.1938 г. на заводе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25957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E93F40">
        <w:rPr>
          <w:rFonts w:ascii="Times New Roman" w:hAnsi="Times New Roman"/>
          <w:color w:val="000000" w:themeColor="text1"/>
          <w:sz w:val="16"/>
          <w:szCs w:val="16"/>
          <w:vertAlign w:val="superscript"/>
        </w:rPr>
        <w:t>130</w:t>
      </w:r>
      <w:r w:rsidRPr="00E93F40">
        <w:rPr>
          <w:rFonts w:ascii="Times New Roman" w:hAnsi="Times New Roman"/>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71079369" w14:textId="06DF58FC"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728 НКС, МПСС , Завод «Красный сигналист», ГС Воронежский завод радио</w:t>
      </w:r>
      <w:r w:rsidRPr="00E93F40">
        <w:rPr>
          <w:rFonts w:ascii="Times New Roman" w:hAnsi="Times New Roman"/>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Воронеж ул. Электросигнальная, 1 тел. 16-04-94, -24-87/</w:t>
      </w:r>
    </w:p>
    <w:p w14:paraId="4AAF26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1953 г. начато производство телевизоров, далее завод стал ведущим по этому направлению.</w:t>
      </w:r>
    </w:p>
    <w:p w14:paraId="3C6D39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45379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01FB8D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2A6ED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78ECCD30" w14:textId="4275F1E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(1932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Г.М. Гройсер-Де-Маре, (-11.02.1937 г.)- А.А. Нудэ, (11.02.1937-5.03.1938 г.)- А(Н).И. Щеголь (снят); и.о. (29.04-05.1938 г.)- В.М. Карпов; (14.05-11.1938 г.-)- В.М. Карпов, (1949-68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Г.П. Фурсов, (1968-87 г.)- Н.А. Потапов. Гендиректор (1996 г.-&gt; Б.В. Харченко, (2004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Г.Н. Потапов.</w:t>
      </w:r>
    </w:p>
    <w:p w14:paraId="2F88A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(-27.05.1937 г.)- И.К. Вирзин, (27.05.1937 г.-&gt; В.И. Нефедов, (14.10.1937 г.-)- И.Т. Козенко.</w:t>
      </w:r>
    </w:p>
    <w:p w14:paraId="28EA68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(03.1937 г.)- Л.А. Раков.</w:t>
      </w:r>
    </w:p>
    <w:p w14:paraId="43BC589B" w14:textId="30501B8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(16.02.1937 г.-)- Л.А. Раков, (14.10.1937-19.07.1938 г.)- И.Т. Козенко, (9.05-11.1938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Г.К. Марисов.</w:t>
      </w:r>
    </w:p>
    <w:p w14:paraId="2B9FF8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инженера (16.02.1937 г.-)- В.Н. Котельников.</w:t>
      </w:r>
    </w:p>
    <w:p w14:paraId="33138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производства (16.02.1937 г.-)- В.Н. Котельников.</w:t>
      </w:r>
    </w:p>
    <w:p w14:paraId="0E4C9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конденсаторного (03.1937 г.-)- И. Г. Козенок.</w:t>
      </w:r>
      <w:r w:rsidRPr="00E93F40">
        <w:rPr>
          <w:rFonts w:ascii="Times New Roman" w:hAnsi="Times New Roman"/>
          <w:color w:val="000000" w:themeColor="text1"/>
          <w:sz w:val="16"/>
          <w:szCs w:val="16"/>
          <w:vertAlign w:val="superscript"/>
        </w:rPr>
        <w:t>Ь9</w:t>
      </w:r>
    </w:p>
    <w:p w14:paraId="2B9BB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 радиоприемники:</w:t>
      </w:r>
      <w:r w:rsidRPr="00E93F40">
        <w:rPr>
          <w:rFonts w:ascii="Times New Roman" w:hAnsi="Times New Roman"/>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E93F40">
        <w:rPr>
          <w:rFonts w:ascii="Times New Roman" w:hAnsi="Times New Roman"/>
          <w:iCs/>
          <w:color w:val="000000" w:themeColor="text1"/>
          <w:sz w:val="16"/>
          <w:szCs w:val="16"/>
        </w:rPr>
        <w:t>радиостанции:</w:t>
      </w:r>
      <w:r w:rsidRPr="00E93F40">
        <w:rPr>
          <w:rFonts w:ascii="Times New Roman" w:hAnsi="Times New Roman"/>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E93F40">
        <w:rPr>
          <w:rFonts w:ascii="Times New Roman" w:hAnsi="Times New Roman"/>
          <w:color w:val="000000" w:themeColor="text1"/>
          <w:sz w:val="16"/>
          <w:szCs w:val="16"/>
          <w:lang w:val="en-US"/>
        </w:rPr>
        <w:t>W</w:t>
      </w:r>
      <w:r w:rsidRPr="00E93F40">
        <w:rPr>
          <w:rFonts w:ascii="Times New Roman" w:hAnsi="Times New Roman"/>
          <w:color w:val="000000" w:themeColor="text1"/>
          <w:sz w:val="16"/>
          <w:szCs w:val="16"/>
        </w:rPr>
        <w:t>";</w:t>
      </w:r>
      <w:r w:rsidRPr="00E93F40">
        <w:rPr>
          <w:rFonts w:ascii="Times New Roman" w:hAnsi="Times New Roman"/>
          <w:iCs/>
          <w:color w:val="000000" w:themeColor="text1"/>
          <w:sz w:val="16"/>
          <w:szCs w:val="16"/>
        </w:rPr>
        <w:t xml:space="preserve"> телевизоры:</w:t>
      </w:r>
      <w:r w:rsidRPr="00E93F40">
        <w:rPr>
          <w:rFonts w:ascii="Times New Roman" w:hAnsi="Times New Roman"/>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E93F40">
        <w:rPr>
          <w:rFonts w:ascii="Times New Roman" w:hAnsi="Times New Roman"/>
          <w:color w:val="000000" w:themeColor="text1"/>
          <w:sz w:val="16"/>
          <w:szCs w:val="16"/>
          <w:vertAlign w:val="superscript"/>
        </w:rPr>
        <w:t>101</w:t>
      </w:r>
      <w:r w:rsidRPr="00E93F40">
        <w:rPr>
          <w:rFonts w:ascii="Times New Roman" w:hAnsi="Times New Roman"/>
          <w:color w:val="000000" w:themeColor="text1"/>
          <w:sz w:val="16"/>
          <w:szCs w:val="16"/>
        </w:rPr>
        <w:t>'</w:t>
      </w:r>
    </w:p>
    <w:p w14:paraId="0F46C7C9" w14:textId="71EE71A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«Сигнал», В-8955 /Украина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Коммунарск Луганской обл./</w:t>
      </w:r>
    </w:p>
    <w:p w14:paraId="296B2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0EFDE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радиостанция «Гранит-М».</w:t>
      </w:r>
    </w:p>
    <w:p w14:paraId="3EE54684" w14:textId="09A611B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ПО «Орион», ОАО «Тернопольский радиозавод (ТРЗ) «Орион» /Украина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Тернополь ул. 15-го Квитня, 6/</w:t>
      </w:r>
    </w:p>
    <w:p w14:paraId="7CCF1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2F6127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3D39F2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Воронежский завод радиодеталей, А-7058, ОАО «Воронежский завод радиодеталей» /г. Воронеж/</w:t>
      </w:r>
    </w:p>
    <w:p w14:paraId="732B3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 в 1948 г. на базе завода «Электросигнал». Имел наименование «п/я А-7058».</w:t>
      </w:r>
    </w:p>
    <w:p w14:paraId="5AE0E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1630E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транзистор П-216.</w:t>
      </w:r>
    </w:p>
    <w:p w14:paraId="501F1C2E" w14:textId="20142B1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Воронежский радиозавод, ПО «Полюс», Р-6797, ОАО «Воронежский радиозавод «Полюс» /г. Воронеж а/я 10/ /394640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Воронеж ул. 9 Января, 180/</w:t>
      </w:r>
    </w:p>
    <w:p w14:paraId="5488FC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 в начале 1954 г. на базе завода «Электросигнал». Имел наименование «п/я Р-6797».</w:t>
      </w:r>
    </w:p>
    <w:p w14:paraId="264CE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6E6CE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Р-389, Р-391; блоки для Р-359;</w:t>
      </w:r>
      <w:r w:rsidRPr="00E93F40">
        <w:rPr>
          <w:rFonts w:ascii="Times New Roman" w:hAnsi="Times New Roman"/>
          <w:iCs/>
          <w:color w:val="000000" w:themeColor="text1"/>
          <w:sz w:val="16"/>
          <w:szCs w:val="16"/>
        </w:rPr>
        <w:t xml:space="preserve"> радиоприемники:</w:t>
      </w:r>
      <w:r w:rsidRPr="00E93F40">
        <w:rPr>
          <w:rFonts w:ascii="Times New Roman" w:hAnsi="Times New Roman"/>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E93F40">
        <w:rPr>
          <w:rFonts w:ascii="Times New Roman" w:hAnsi="Times New Roman"/>
          <w:color w:val="000000" w:themeColor="text1"/>
          <w:sz w:val="16"/>
          <w:szCs w:val="16"/>
          <w:vertAlign w:val="superscript"/>
        </w:rPr>
        <w:t>108</w:t>
      </w:r>
    </w:p>
    <w:p w14:paraId="61EF72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ФГУП «Воронежский НИИ «Вега» /г. Воронеж/</w:t>
      </w:r>
    </w:p>
    <w:p w14:paraId="3A005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 в 1956 г. на базе завода «Электросигнал».</w:t>
      </w:r>
    </w:p>
    <w:p w14:paraId="3B34F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79DE0BA8" w14:textId="6720D9C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Воронежский НИИ связи (ВНИИС) МПСС, Р-6208, Минсвязи, ФГУП «Воронежский НИИС», ОАО «Концерн «Созвездие» /394018</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Воронеж ул. Плехановская, 14 тел. 52-10-06, -12-59/</w:t>
      </w:r>
    </w:p>
    <w:p w14:paraId="567233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7628D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E93F40">
        <w:rPr>
          <w:rFonts w:ascii="Times New Roman" w:hAnsi="Times New Roman"/>
          <w:color w:val="000000" w:themeColor="text1"/>
          <w:sz w:val="16"/>
          <w:szCs w:val="16"/>
          <w:lang w:val="en-US"/>
        </w:rPr>
        <w:t>CDMA</w:t>
      </w:r>
      <w:r w:rsidRPr="00E93F40">
        <w:rPr>
          <w:rFonts w:ascii="Times New Roman" w:hAnsi="Times New Roman"/>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190C9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1977 г., после образования Запорожского НИИРС, туда переданы работы по разработке </w:t>
      </w:r>
      <w:r w:rsidRPr="00E93F40">
        <w:rPr>
          <w:rFonts w:ascii="Times New Roman" w:hAnsi="Times New Roman"/>
          <w:color w:val="000000" w:themeColor="text1"/>
          <w:sz w:val="16"/>
          <w:szCs w:val="16"/>
          <w:lang w:val="en-US"/>
        </w:rPr>
        <w:t>KB</w:t>
      </w:r>
      <w:r w:rsidRPr="00E93F40">
        <w:rPr>
          <w:rFonts w:ascii="Times New Roman" w:hAnsi="Times New Roman"/>
          <w:color w:val="000000" w:themeColor="text1"/>
          <w:sz w:val="16"/>
          <w:szCs w:val="16"/>
        </w:rPr>
        <w:t xml:space="preserve"> радиостанций.</w:t>
      </w:r>
    </w:p>
    <w:p w14:paraId="14498F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6524D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52144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 Концерна входили (2006 г.): 16 предприятий, в т.ч. ВНИИС, КБОР, Сарапульский радиозавод.</w:t>
      </w:r>
    </w:p>
    <w:p w14:paraId="702E8E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4530A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(2005 г.)- около 5000 чел.</w:t>
      </w:r>
      <w:r w:rsidRPr="00E93F40">
        <w:rPr>
          <w:rFonts w:ascii="Times New Roman" w:hAnsi="Times New Roman"/>
          <w:color w:val="000000" w:themeColor="text1"/>
          <w:sz w:val="16"/>
          <w:szCs w:val="16"/>
          <w:vertAlign w:val="superscript"/>
        </w:rPr>
        <w:t>101</w:t>
      </w:r>
    </w:p>
    <w:p w14:paraId="776C5C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(1958-86 г.)- К.Я. Петров, Б.Я. Осипов,</w:t>
      </w:r>
      <w:r w:rsidRPr="00E93F40">
        <w:rPr>
          <w:rFonts w:ascii="Times New Roman" w:hAnsi="Times New Roman"/>
          <w:color w:val="000000" w:themeColor="text1"/>
          <w:sz w:val="16"/>
          <w:szCs w:val="16"/>
          <w:vertAlign w:val="superscript"/>
        </w:rPr>
        <w:t>122</w:t>
      </w:r>
      <w:r w:rsidRPr="00E93F40">
        <w:rPr>
          <w:rFonts w:ascii="Times New Roman" w:hAnsi="Times New Roman"/>
          <w:color w:val="000000" w:themeColor="text1"/>
          <w:sz w:val="16"/>
          <w:szCs w:val="16"/>
        </w:rPr>
        <w:t xml:space="preserve"> А.П. Биленко,</w:t>
      </w:r>
      <w:r w:rsidRPr="00E93F40">
        <w:rPr>
          <w:rFonts w:ascii="Times New Roman" w:hAnsi="Times New Roman"/>
          <w:color w:val="000000" w:themeColor="text1"/>
          <w:sz w:val="16"/>
          <w:szCs w:val="16"/>
          <w:vertAlign w:val="superscript"/>
        </w:rPr>
        <w:t>122</w:t>
      </w:r>
      <w:r w:rsidRPr="00E93F40">
        <w:rPr>
          <w:rFonts w:ascii="Times New Roman" w:hAnsi="Times New Roman"/>
          <w:color w:val="000000" w:themeColor="text1"/>
          <w:sz w:val="16"/>
          <w:szCs w:val="16"/>
        </w:rPr>
        <w:t xml:space="preserve"> (1986-2003 г.-)- В.И. Борисов. Гендиректор (-2005-06 Г.-)- В.И. Борисов.</w:t>
      </w:r>
    </w:p>
    <w:p w14:paraId="132C9A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по науке (2001 г.)- И.И. Малышев.</w:t>
      </w:r>
    </w:p>
    <w:p w14:paraId="313FC7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Ген. конструктор (-2003-06 г.-)- В. Борисов.</w:t>
      </w:r>
    </w:p>
    <w:p w14:paraId="76E36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конструктора- И.И. Малышев.</w:t>
      </w:r>
    </w:p>
    <w:p w14:paraId="0CE85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А.П. Биленко, Н.А. Рудиков, В.И. Николаев, Э.А. Янутан.</w:t>
      </w:r>
    </w:p>
    <w:p w14:paraId="48595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технолог- В.З. Курцев.</w:t>
      </w:r>
    </w:p>
    <w:p w14:paraId="270A3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Гл. конструкторы: Б.Я. Осипов, А.П. Биленко (аппаратура 15Э), </w:t>
      </w:r>
      <w:r w:rsidRPr="00E93F40">
        <w:rPr>
          <w:rFonts w:ascii="Times New Roman" w:hAnsi="Times New Roman"/>
          <w:color w:val="000000" w:themeColor="text1"/>
          <w:sz w:val="16"/>
          <w:szCs w:val="16"/>
          <w:lang w:val="en-US"/>
        </w:rPr>
        <w:t>JI</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T</w:t>
      </w:r>
      <w:r w:rsidRPr="00E93F40">
        <w:rPr>
          <w:rFonts w:ascii="Times New Roman" w:hAnsi="Times New Roman"/>
          <w:color w:val="000000" w:themeColor="text1"/>
          <w:sz w:val="16"/>
          <w:szCs w:val="16"/>
        </w:rPr>
        <w:t>. Болотин («Выстрел», «Выстрел-М»),</w:t>
      </w:r>
    </w:p>
    <w:p w14:paraId="4E960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Начальники отделов: микроэлектроники-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Цымбалюк.</w:t>
      </w:r>
    </w:p>
    <w:p w14:paraId="6BD70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Создано: радиостанции:</w:t>
      </w:r>
      <w:r w:rsidRPr="00E93F40">
        <w:rPr>
          <w:rFonts w:ascii="Times New Roman" w:hAnsi="Times New Roman"/>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E93F40">
        <w:rPr>
          <w:rFonts w:ascii="Times New Roman" w:hAnsi="Times New Roman"/>
          <w:color w:val="000000" w:themeColor="text1"/>
          <w:sz w:val="16"/>
          <w:szCs w:val="16"/>
          <w:lang w:val="en-US"/>
        </w:rPr>
        <w:t>nqHopriMB</w:t>
      </w:r>
      <w:r w:rsidRPr="00E93F40">
        <w:rPr>
          <w:rFonts w:ascii="Times New Roman" w:hAnsi="Times New Roman"/>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344FF71C" w14:textId="742A2CB2"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опытных работ (КБОР) МПСС, ФГУП «КБОР» ФАП /115093</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Москва 1-й Щипковский пер., 3 тел. 235-83-27/</w:t>
      </w:r>
    </w:p>
    <w:p w14:paraId="7AC7AC7C" w14:textId="05177CA9"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5930FD8B" w14:textId="78A2126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477B9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Имело Боровский филиал (1975-79 г.).</w:t>
      </w:r>
    </w:p>
    <w:p w14:paraId="6B808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3DF62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816E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Входил в состав Концерна «Созвездие» (2006 г.).</w:t>
      </w:r>
    </w:p>
    <w:p w14:paraId="10E810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31D6B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А.И. Студеницын, В.А. Латышев, (1980-е-2000 г.-)- З.П. Баскаев. Гендиректор (-2005-06 г.-)- В.В. Симаков (11982).</w:t>
      </w:r>
    </w:p>
    <w:p w14:paraId="157B0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E56037" w14:textId="77777777" w:rsidR="00FC560B" w:rsidRPr="00E93F40" w:rsidRDefault="00FC560B" w:rsidP="00E93F4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28 августа 1932 г. Совет труда и обороны СССР – важнейший экономический орган при СНК СССР –принял за №1064 с грифом « Не публиковать» постановление «О размещении заводов электропромышленности, строящихся в 1932 г.». В нем, в частности, говорится:</w:t>
      </w:r>
    </w:p>
    <w:p w14:paraId="3CA8F2CD" w14:textId="77777777" w:rsidR="00FC560B" w:rsidRPr="00E93F40" w:rsidRDefault="00FC560B" w:rsidP="00E93F4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«Совет труда и обороны постановляет:</w:t>
      </w:r>
    </w:p>
    <w:p w14:paraId="38776DA0" w14:textId="77777777" w:rsidR="00FC560B" w:rsidRPr="00E93F40" w:rsidRDefault="00FC560B" w:rsidP="00E93F4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«…7. Завод Радиоламп разместить вблизи завода Осветительных ламп.</w:t>
      </w:r>
    </w:p>
    <w:p w14:paraId="58B57415" w14:textId="77777777" w:rsidR="00FC560B" w:rsidRPr="00E93F40" w:rsidRDefault="00FC560B" w:rsidP="00E93F4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8.Считать наиболее подходящей точкой размещения Лампового завода – район ст.Раменская Московск.-Казан. ж.д. или же в Подмосковном бассейне.</w:t>
      </w:r>
    </w:p>
    <w:p w14:paraId="4433251E" w14:textId="77777777" w:rsidR="00FC560B" w:rsidRPr="00E93F40" w:rsidRDefault="00FC560B" w:rsidP="00E93F4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9. Завод осветительной арматуры разместить в Загорске или Запрудни.</w:t>
      </w:r>
    </w:p>
    <w:p w14:paraId="7923C16B" w14:textId="77777777" w:rsidR="00FC560B" w:rsidRPr="00E93F40" w:rsidRDefault="00FC560B" w:rsidP="00E93F4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Окончательный выбор точек и площадок в соответствии с вышеприведенными вариантами поручить Наркомтяжпрому».</w:t>
      </w:r>
    </w:p>
    <w:p w14:paraId="6BC017AF" w14:textId="77777777" w:rsidR="00FC560B" w:rsidRPr="00E93F40" w:rsidRDefault="00FC560B" w:rsidP="00E93F4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E93F40">
        <w:rPr>
          <w:rFonts w:ascii="Times New Roman" w:eastAsia="TimesNewRoman" w:hAnsi="Times New Roman"/>
          <w:color w:val="000000" w:themeColor="text1"/>
          <w:sz w:val="16"/>
          <w:szCs w:val="16"/>
        </w:rPr>
        <w:t>Однако в 1933 г. решение о месте строительства заводов было изменено: завод осветительных ламп стал строиться около завода осветительной арматуры в Загорске /ныне Сергиев-Посад/, а радиоламповый – в деревне Фрязино (17424).</w:t>
      </w:r>
    </w:p>
    <w:p w14:paraId="4359917B" w14:textId="77777777" w:rsidR="00FC560B" w:rsidRPr="00E93F40" w:rsidRDefault="00FC560B" w:rsidP="00E93F40">
      <w:pPr>
        <w:autoSpaceDE w:val="0"/>
        <w:autoSpaceDN w:val="0"/>
        <w:adjustRightInd w:val="0"/>
        <w:spacing w:after="0" w:line="240" w:lineRule="auto"/>
        <w:jc w:val="both"/>
        <w:rPr>
          <w:rFonts w:ascii="Times New Roman" w:hAnsi="Times New Roman"/>
          <w:color w:val="000000" w:themeColor="text1"/>
          <w:sz w:val="16"/>
          <w:szCs w:val="16"/>
        </w:rPr>
      </w:pPr>
    </w:p>
    <w:p w14:paraId="5E2EE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28 августа 1932 г. приказом Наркомата тяжелой промышленности СССР создано Московское отделение Государственного проектного института электротехнической промышленности "Гипроэнергопром". Распоряжением наркомата от 2 ноября 1932 г. отделение переименовано в Государственный проектный институт электротехнической промышленности "Гипроэнергопром". В 1941 - 1942 гг. институт находился в эвакуации в г. Свердловске. Приказом Министерства электротехнической промышленности СССР от 22 января 1979 г. институт преобразован в Государственный проектный и научно-исследовательский институт электротехнической промышленности "Гипронииэлектро". Решением конференции трудового коллектива и приказом Министерства электротехнической промышленности и приборостроения СССР от 29 декабря 1990 г. институт преобразован в АО "Гипронииэлектро" (12102). </w:t>
      </w:r>
    </w:p>
    <w:p w14:paraId="4962F4CD" w14:textId="77777777" w:rsidR="00DC3115" w:rsidRPr="00E93F40" w:rsidRDefault="00DC311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563C7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B5A222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DC2CB9" w14:textId="77777777" w:rsidR="00DC3115" w:rsidRPr="00E93F40" w:rsidRDefault="00DC3115" w:rsidP="00E93F40">
      <w:pPr>
        <w:spacing w:after="0" w:line="240" w:lineRule="auto"/>
        <w:jc w:val="both"/>
        <w:rPr>
          <w:rStyle w:val="af0"/>
          <w:rFonts w:ascii="Times New Roman" w:hAnsi="Times New Roman"/>
          <w:i w:val="0"/>
          <w:color w:val="000000" w:themeColor="text1"/>
          <w:sz w:val="16"/>
          <w:szCs w:val="16"/>
        </w:rPr>
      </w:pPr>
      <w:r w:rsidRPr="00E93F40">
        <w:rPr>
          <w:rFonts w:ascii="Times New Roman" w:hAnsi="Times New Roman"/>
          <w:color w:val="000000" w:themeColor="text1"/>
          <w:sz w:val="16"/>
          <w:szCs w:val="16"/>
        </w:rPr>
        <w:t>29 августа 1932 г. — Докладная записка заместителя наркома тяжелой промышленности СССР П. И. Баранова в СТО СССР об организации производства самолетов ТБ-3, ТБ-4 и МИ-3 с моторами М-34</w:t>
      </w:r>
    </w:p>
    <w:p w14:paraId="08AC7BCB" w14:textId="77777777"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Style w:val="af0"/>
          <w:rFonts w:ascii="Times New Roman" w:hAnsi="Times New Roman"/>
          <w:i w:val="0"/>
          <w:color w:val="000000" w:themeColor="text1"/>
          <w:sz w:val="16"/>
          <w:szCs w:val="16"/>
        </w:rPr>
        <w:t>Совершенно секретно.</w:t>
      </w:r>
    </w:p>
    <w:p w14:paraId="5C15D244" w14:textId="68D0B044"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План заказов военведа в 1933</w:t>
      </w:r>
      <w:r w:rsidR="007C1411" w:rsidRPr="00E93F40">
        <w:rPr>
          <w:color w:val="000000" w:themeColor="text1"/>
          <w:sz w:val="16"/>
          <w:szCs w:val="16"/>
        </w:rPr>
        <w:t xml:space="preserve"> </w:t>
      </w:r>
      <w:r w:rsidRPr="00E93F40">
        <w:rPr>
          <w:color w:val="000000" w:themeColor="text1"/>
          <w:sz w:val="16"/>
          <w:szCs w:val="16"/>
        </w:rPr>
        <w:t>г. по самолетам предусматривает резкое увеличение выпуска тяжелых бомбовозов и истребителей. Качественное улучшение этих категорий самолетов может быть решено: а)</w:t>
      </w:r>
      <w:r w:rsidR="007C1411" w:rsidRPr="00E93F40">
        <w:rPr>
          <w:color w:val="000000" w:themeColor="text1"/>
          <w:sz w:val="16"/>
          <w:szCs w:val="16"/>
        </w:rPr>
        <w:t xml:space="preserve"> </w:t>
      </w:r>
      <w:r w:rsidRPr="00E93F40">
        <w:rPr>
          <w:color w:val="000000" w:themeColor="text1"/>
          <w:sz w:val="16"/>
          <w:szCs w:val="16"/>
        </w:rPr>
        <w:t>перевооружением самолета ТБ</w:t>
      </w:r>
      <w:r w:rsidRPr="00E93F40">
        <w:rPr>
          <w:color w:val="000000" w:themeColor="text1"/>
          <w:sz w:val="16"/>
          <w:szCs w:val="16"/>
        </w:rPr>
        <w:noBreakHyphen/>
        <w:t>3 и мотора М</w:t>
      </w:r>
      <w:r w:rsidRPr="00E93F40">
        <w:rPr>
          <w:color w:val="000000" w:themeColor="text1"/>
          <w:sz w:val="16"/>
          <w:szCs w:val="16"/>
        </w:rPr>
        <w:noBreakHyphen/>
        <w:t>17 на более мощный мотор М</w:t>
      </w:r>
      <w:r w:rsidRPr="00E93F40">
        <w:rPr>
          <w:color w:val="000000" w:themeColor="text1"/>
          <w:sz w:val="16"/>
          <w:szCs w:val="16"/>
        </w:rPr>
        <w:noBreakHyphen/>
        <w:t>34, что позволит не только радикально установить теперешний основной недостаток самолета ТБ</w:t>
      </w:r>
      <w:r w:rsidRPr="00E93F40">
        <w:rPr>
          <w:color w:val="000000" w:themeColor="text1"/>
          <w:sz w:val="16"/>
          <w:szCs w:val="16"/>
        </w:rPr>
        <w:noBreakHyphen/>
        <w:t>3, а именно</w:t>
      </w:r>
      <w:r w:rsidR="007C1411" w:rsidRPr="00E93F40">
        <w:rPr>
          <w:color w:val="000000" w:themeColor="text1"/>
          <w:sz w:val="16"/>
          <w:szCs w:val="16"/>
        </w:rPr>
        <w:t xml:space="preserve"> </w:t>
      </w:r>
      <w:r w:rsidRPr="00E93F40">
        <w:rPr>
          <w:color w:val="000000" w:themeColor="text1"/>
          <w:sz w:val="16"/>
          <w:szCs w:val="16"/>
        </w:rPr>
        <w:t>— невозможность полного использования его грузоподъемности без перенапряжения мотора и, следовательно, опасности частых аварий в винтомоторной группе, но и улучшит его летные и боевые качества; б)</w:t>
      </w:r>
      <w:r w:rsidR="007C1411" w:rsidRPr="00E93F40">
        <w:rPr>
          <w:color w:val="000000" w:themeColor="text1"/>
          <w:sz w:val="16"/>
          <w:szCs w:val="16"/>
        </w:rPr>
        <w:t xml:space="preserve"> </w:t>
      </w:r>
      <w:r w:rsidRPr="00E93F40">
        <w:rPr>
          <w:color w:val="000000" w:themeColor="text1"/>
          <w:sz w:val="16"/>
          <w:szCs w:val="16"/>
        </w:rPr>
        <w:t>выпуском тяжелых бомбовозов ТБ</w:t>
      </w:r>
      <w:r w:rsidRPr="00E93F40">
        <w:rPr>
          <w:color w:val="000000" w:themeColor="text1"/>
          <w:sz w:val="16"/>
          <w:szCs w:val="16"/>
        </w:rPr>
        <w:noBreakHyphen/>
        <w:t>4 с шестью моторами М</w:t>
      </w:r>
      <w:r w:rsidRPr="00E93F40">
        <w:rPr>
          <w:color w:val="000000" w:themeColor="text1"/>
          <w:sz w:val="16"/>
          <w:szCs w:val="16"/>
        </w:rPr>
        <w:noBreakHyphen/>
        <w:t>34 и в)</w:t>
      </w:r>
      <w:r w:rsidR="007C1411" w:rsidRPr="00E93F40">
        <w:rPr>
          <w:color w:val="000000" w:themeColor="text1"/>
          <w:sz w:val="16"/>
          <w:szCs w:val="16"/>
        </w:rPr>
        <w:t xml:space="preserve"> </w:t>
      </w:r>
      <w:r w:rsidRPr="00E93F40">
        <w:rPr>
          <w:color w:val="000000" w:themeColor="text1"/>
          <w:sz w:val="16"/>
          <w:szCs w:val="16"/>
        </w:rPr>
        <w:t>выпуском мощных многоместных истребителей МИ</w:t>
      </w:r>
      <w:r w:rsidRPr="00E93F40">
        <w:rPr>
          <w:color w:val="000000" w:themeColor="text1"/>
          <w:sz w:val="16"/>
          <w:szCs w:val="16"/>
        </w:rPr>
        <w:noBreakHyphen/>
        <w:t>3 с двумя моторами М</w:t>
      </w:r>
      <w:r w:rsidRPr="00E93F40">
        <w:rPr>
          <w:color w:val="000000" w:themeColor="text1"/>
          <w:sz w:val="16"/>
          <w:szCs w:val="16"/>
        </w:rPr>
        <w:noBreakHyphen/>
        <w:t>34.</w:t>
      </w:r>
    </w:p>
    <w:p w14:paraId="4C306B65" w14:textId="77777777"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Прилагаемые к записке проектные данные о летных качествах этих самолетов показывают, что наличие этих самолетов на вооружении РККА создает решительное качественное преимущество СССР по этим категориям авиации перед воздушными флотами других государств. Поэтому обеспечение работ по этим самолетам надо признать важнейшей государственной задачей.</w:t>
      </w:r>
    </w:p>
    <w:p w14:paraId="7894E2B8" w14:textId="21BDA46D"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Опыт внедрения в серийное производство новых типов самолетов показывает, что для перехода к нормальному серийному производству требуется срок не менее чем 1,5</w:t>
      </w:r>
      <w:r w:rsidR="007C1411" w:rsidRPr="00E93F40">
        <w:rPr>
          <w:color w:val="000000" w:themeColor="text1"/>
          <w:sz w:val="16"/>
          <w:szCs w:val="16"/>
        </w:rPr>
        <w:t xml:space="preserve"> </w:t>
      </w:r>
      <w:r w:rsidRPr="00E93F40">
        <w:rPr>
          <w:color w:val="000000" w:themeColor="text1"/>
          <w:sz w:val="16"/>
          <w:szCs w:val="16"/>
        </w:rPr>
        <w:t>года при весьма форсированной работе квалифицированных инженерно-технических сил. Сокращение этого срока для самолета ТБ</w:t>
      </w:r>
      <w:r w:rsidRPr="00E93F40">
        <w:rPr>
          <w:color w:val="000000" w:themeColor="text1"/>
          <w:sz w:val="16"/>
          <w:szCs w:val="16"/>
        </w:rPr>
        <w:noBreakHyphen/>
        <w:t>4 будет почти невозможно, так как для развертывания его в производстве потребуется: а)</w:t>
      </w:r>
      <w:r w:rsidR="007C1411" w:rsidRPr="00E93F40">
        <w:rPr>
          <w:color w:val="000000" w:themeColor="text1"/>
          <w:sz w:val="16"/>
          <w:szCs w:val="16"/>
        </w:rPr>
        <w:t xml:space="preserve"> </w:t>
      </w:r>
      <w:r w:rsidRPr="00E93F40">
        <w:rPr>
          <w:color w:val="000000" w:themeColor="text1"/>
          <w:sz w:val="16"/>
          <w:szCs w:val="16"/>
        </w:rPr>
        <w:t>изыскание базы и организация ковки и штамповки сложных стальных деталей; б)</w:t>
      </w:r>
      <w:r w:rsidR="007C1411" w:rsidRPr="00E93F40">
        <w:rPr>
          <w:color w:val="000000" w:themeColor="text1"/>
          <w:sz w:val="16"/>
          <w:szCs w:val="16"/>
        </w:rPr>
        <w:t xml:space="preserve"> </w:t>
      </w:r>
      <w:r w:rsidRPr="00E93F40">
        <w:rPr>
          <w:color w:val="000000" w:themeColor="text1"/>
          <w:sz w:val="16"/>
          <w:szCs w:val="16"/>
        </w:rPr>
        <w:t>организация производства в значительных размерах хромомолибденовых сталей; в)</w:t>
      </w:r>
      <w:r w:rsidR="007C1411" w:rsidRPr="00E93F40">
        <w:rPr>
          <w:color w:val="000000" w:themeColor="text1"/>
          <w:sz w:val="16"/>
          <w:szCs w:val="16"/>
        </w:rPr>
        <w:t xml:space="preserve"> </w:t>
      </w:r>
      <w:r w:rsidRPr="00E93F40">
        <w:rPr>
          <w:color w:val="000000" w:themeColor="text1"/>
          <w:sz w:val="16"/>
          <w:szCs w:val="16"/>
        </w:rPr>
        <w:t>проектирование и изготовление специальных подъемных и транспортных средств; г)</w:t>
      </w:r>
      <w:r w:rsidR="007C1411" w:rsidRPr="00E93F40">
        <w:rPr>
          <w:color w:val="000000" w:themeColor="text1"/>
          <w:sz w:val="16"/>
          <w:szCs w:val="16"/>
        </w:rPr>
        <w:t xml:space="preserve"> </w:t>
      </w:r>
      <w:r w:rsidRPr="00E93F40">
        <w:rPr>
          <w:color w:val="000000" w:themeColor="text1"/>
          <w:sz w:val="16"/>
          <w:szCs w:val="16"/>
        </w:rPr>
        <w:t>подбор и заказ специального станочного парка, так как существующее на заводах авиапромышленности оборудование не позволит обработать ряд деталей этого самолета и д)</w:t>
      </w:r>
      <w:r w:rsidR="007C1411" w:rsidRPr="00E93F40">
        <w:rPr>
          <w:color w:val="000000" w:themeColor="text1"/>
          <w:sz w:val="16"/>
          <w:szCs w:val="16"/>
        </w:rPr>
        <w:t xml:space="preserve"> </w:t>
      </w:r>
      <w:r w:rsidRPr="00E93F40">
        <w:rPr>
          <w:color w:val="000000" w:themeColor="text1"/>
          <w:sz w:val="16"/>
          <w:szCs w:val="16"/>
        </w:rPr>
        <w:t>проектирование и выполнение сложного калибрового хозяйства.</w:t>
      </w:r>
    </w:p>
    <w:p w14:paraId="02CAB5AB" w14:textId="59C22DA2"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Для перехода в серийном производстве самолетов ТБ</w:t>
      </w:r>
      <w:r w:rsidRPr="00E93F40">
        <w:rPr>
          <w:color w:val="000000" w:themeColor="text1"/>
          <w:sz w:val="16"/>
          <w:szCs w:val="16"/>
        </w:rPr>
        <w:noBreakHyphen/>
        <w:t>3 на новый тип моторов требуется также срок не менее 3</w:t>
      </w:r>
      <w:r w:rsidRPr="00E93F40">
        <w:rPr>
          <w:color w:val="000000" w:themeColor="text1"/>
          <w:sz w:val="16"/>
          <w:szCs w:val="16"/>
        </w:rPr>
        <w:noBreakHyphen/>
        <w:t>4</w:t>
      </w:r>
      <w:r w:rsidR="007C1411" w:rsidRPr="00E93F40">
        <w:rPr>
          <w:color w:val="000000" w:themeColor="text1"/>
          <w:sz w:val="16"/>
          <w:szCs w:val="16"/>
        </w:rPr>
        <w:t xml:space="preserve"> </w:t>
      </w:r>
      <w:r w:rsidRPr="00E93F40">
        <w:rPr>
          <w:color w:val="000000" w:themeColor="text1"/>
          <w:sz w:val="16"/>
          <w:szCs w:val="16"/>
        </w:rPr>
        <w:t>месяцев. Таким образом, подготовительная работа по внедрению в серийное производство самолетов ТБ</w:t>
      </w:r>
      <w:r w:rsidRPr="00E93F40">
        <w:rPr>
          <w:color w:val="000000" w:themeColor="text1"/>
          <w:sz w:val="16"/>
          <w:szCs w:val="16"/>
        </w:rPr>
        <w:noBreakHyphen/>
        <w:t>3 с моторами, с расчетом значительного выпуска этих самолетов с начала 1933</w:t>
      </w:r>
      <w:r w:rsidR="007C1411" w:rsidRPr="00E93F40">
        <w:rPr>
          <w:color w:val="000000" w:themeColor="text1"/>
          <w:sz w:val="16"/>
          <w:szCs w:val="16"/>
        </w:rPr>
        <w:t xml:space="preserve"> </w:t>
      </w:r>
      <w:r w:rsidRPr="00E93F40">
        <w:rPr>
          <w:color w:val="000000" w:themeColor="text1"/>
          <w:sz w:val="16"/>
          <w:szCs w:val="16"/>
        </w:rPr>
        <w:t>г. и подготовительная работа по самолетам ТБ</w:t>
      </w:r>
      <w:r w:rsidRPr="00E93F40">
        <w:rPr>
          <w:color w:val="000000" w:themeColor="text1"/>
          <w:sz w:val="16"/>
          <w:szCs w:val="16"/>
        </w:rPr>
        <w:noBreakHyphen/>
        <w:t>4 и МИ</w:t>
      </w:r>
      <w:r w:rsidRPr="00E93F40">
        <w:rPr>
          <w:color w:val="000000" w:themeColor="text1"/>
          <w:sz w:val="16"/>
          <w:szCs w:val="16"/>
        </w:rPr>
        <w:noBreakHyphen/>
        <w:t>3 на сегодня значительно запаздывает и создает угрозу срыва перевооружения воздушного флота по бомбовозам и истребителям в 1933/34</w:t>
      </w:r>
      <w:r w:rsidR="007C1411" w:rsidRPr="00E93F40">
        <w:rPr>
          <w:color w:val="000000" w:themeColor="text1"/>
          <w:sz w:val="16"/>
          <w:szCs w:val="16"/>
        </w:rPr>
        <w:t xml:space="preserve"> </w:t>
      </w:r>
      <w:r w:rsidRPr="00E93F40">
        <w:rPr>
          <w:color w:val="000000" w:themeColor="text1"/>
          <w:sz w:val="16"/>
          <w:szCs w:val="16"/>
        </w:rPr>
        <w:t>г.</w:t>
      </w:r>
    </w:p>
    <w:p w14:paraId="35A8084F" w14:textId="54E5D190"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В качестве первоочередной задачи</w:t>
      </w:r>
      <w:r w:rsidR="007C1411" w:rsidRPr="00E93F40">
        <w:rPr>
          <w:color w:val="000000" w:themeColor="text1"/>
          <w:sz w:val="16"/>
          <w:szCs w:val="16"/>
        </w:rPr>
        <w:t xml:space="preserve"> </w:t>
      </w:r>
      <w:r w:rsidRPr="00E93F40">
        <w:rPr>
          <w:color w:val="000000" w:themeColor="text1"/>
          <w:sz w:val="16"/>
          <w:szCs w:val="16"/>
        </w:rPr>
        <w:t>— немедленно начать подготовку производства и развертывание самого производства с тем, чтобы в январе 1933</w:t>
      </w:r>
      <w:r w:rsidR="007C1411" w:rsidRPr="00E93F40">
        <w:rPr>
          <w:color w:val="000000" w:themeColor="text1"/>
          <w:sz w:val="16"/>
          <w:szCs w:val="16"/>
        </w:rPr>
        <w:t xml:space="preserve"> </w:t>
      </w:r>
      <w:r w:rsidRPr="00E93F40">
        <w:rPr>
          <w:color w:val="000000" w:themeColor="text1"/>
          <w:sz w:val="16"/>
          <w:szCs w:val="16"/>
        </w:rPr>
        <w:t>г. выпустить головную серию в 10</w:t>
      </w:r>
      <w:r w:rsidR="007C1411" w:rsidRPr="00E93F40">
        <w:rPr>
          <w:color w:val="000000" w:themeColor="text1"/>
          <w:sz w:val="16"/>
          <w:szCs w:val="16"/>
        </w:rPr>
        <w:t xml:space="preserve"> </w:t>
      </w:r>
      <w:r w:rsidRPr="00E93F40">
        <w:rPr>
          <w:color w:val="000000" w:themeColor="text1"/>
          <w:sz w:val="16"/>
          <w:szCs w:val="16"/>
        </w:rPr>
        <w:t>машин самолетов ТБ</w:t>
      </w:r>
      <w:r w:rsidRPr="00E93F40">
        <w:rPr>
          <w:color w:val="000000" w:themeColor="text1"/>
          <w:sz w:val="16"/>
          <w:szCs w:val="16"/>
        </w:rPr>
        <w:noBreakHyphen/>
        <w:t>3 с моторами М</w:t>
      </w:r>
      <w:r w:rsidRPr="00E93F40">
        <w:rPr>
          <w:color w:val="000000" w:themeColor="text1"/>
          <w:sz w:val="16"/>
          <w:szCs w:val="16"/>
        </w:rPr>
        <w:noBreakHyphen/>
        <w:t>34 и в конце 1933</w:t>
      </w:r>
      <w:r w:rsidR="007C1411" w:rsidRPr="00E93F40">
        <w:rPr>
          <w:color w:val="000000" w:themeColor="text1"/>
          <w:sz w:val="16"/>
          <w:szCs w:val="16"/>
        </w:rPr>
        <w:t xml:space="preserve"> </w:t>
      </w:r>
      <w:r w:rsidRPr="00E93F40">
        <w:rPr>
          <w:color w:val="000000" w:themeColor="text1"/>
          <w:sz w:val="16"/>
          <w:szCs w:val="16"/>
        </w:rPr>
        <w:t>г. головные серии самолетов ТБ</w:t>
      </w:r>
      <w:r w:rsidRPr="00E93F40">
        <w:rPr>
          <w:color w:val="000000" w:themeColor="text1"/>
          <w:sz w:val="16"/>
          <w:szCs w:val="16"/>
        </w:rPr>
        <w:noBreakHyphen/>
        <w:t>4 и МИ</w:t>
      </w:r>
      <w:r w:rsidRPr="00E93F40">
        <w:rPr>
          <w:color w:val="000000" w:themeColor="text1"/>
          <w:sz w:val="16"/>
          <w:szCs w:val="16"/>
        </w:rPr>
        <w:noBreakHyphen/>
        <w:t>3 (по</w:t>
      </w:r>
      <w:r w:rsidR="007C1411" w:rsidRPr="00E93F40">
        <w:rPr>
          <w:color w:val="000000" w:themeColor="text1"/>
          <w:sz w:val="16"/>
          <w:szCs w:val="16"/>
        </w:rPr>
        <w:t xml:space="preserve"> </w:t>
      </w:r>
      <w:r w:rsidRPr="00E93F40">
        <w:rPr>
          <w:color w:val="000000" w:themeColor="text1"/>
          <w:sz w:val="16"/>
          <w:szCs w:val="16"/>
        </w:rPr>
        <w:t>10</w:t>
      </w:r>
      <w:r w:rsidR="007C1411" w:rsidRPr="00E93F40">
        <w:rPr>
          <w:color w:val="000000" w:themeColor="text1"/>
          <w:sz w:val="16"/>
          <w:szCs w:val="16"/>
        </w:rPr>
        <w:t xml:space="preserve"> </w:t>
      </w:r>
      <w:r w:rsidRPr="00E93F40">
        <w:rPr>
          <w:color w:val="000000" w:themeColor="text1"/>
          <w:sz w:val="16"/>
          <w:szCs w:val="16"/>
        </w:rPr>
        <w:t>самолетов) с развертыванием необходимого задела для производства 1934</w:t>
      </w:r>
      <w:r w:rsidR="007C1411" w:rsidRPr="00E93F40">
        <w:rPr>
          <w:color w:val="000000" w:themeColor="text1"/>
          <w:sz w:val="16"/>
          <w:szCs w:val="16"/>
        </w:rPr>
        <w:t xml:space="preserve"> </w:t>
      </w:r>
      <w:r w:rsidRPr="00E93F40">
        <w:rPr>
          <w:color w:val="000000" w:themeColor="text1"/>
          <w:sz w:val="16"/>
          <w:szCs w:val="16"/>
        </w:rPr>
        <w:t>г.</w:t>
      </w:r>
    </w:p>
    <w:p w14:paraId="0A539878" w14:textId="77777777"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Так как образцы самолетов этих типов еще не закончены изготовлением и не прошли испытания, подготовку и начало изготовления головных серий необходимо вести параллельно с окончанием образцов и одновременно с их испытанием.</w:t>
      </w:r>
    </w:p>
    <w:p w14:paraId="440CEEF0" w14:textId="6E8AD13A"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Выполнение вышеуказанной задачи потребует постоянной работы 400 инженерно-технических работников на протяжении не менее 8</w:t>
      </w:r>
      <w:r w:rsidRPr="00E93F40">
        <w:rPr>
          <w:color w:val="000000" w:themeColor="text1"/>
          <w:sz w:val="16"/>
          <w:szCs w:val="16"/>
        </w:rPr>
        <w:noBreakHyphen/>
        <w:t>9</w:t>
      </w:r>
      <w:r w:rsidR="007C1411" w:rsidRPr="00E93F40">
        <w:rPr>
          <w:color w:val="000000" w:themeColor="text1"/>
          <w:sz w:val="16"/>
          <w:szCs w:val="16"/>
        </w:rPr>
        <w:t xml:space="preserve"> </w:t>
      </w:r>
      <w:r w:rsidRPr="00E93F40">
        <w:rPr>
          <w:color w:val="000000" w:themeColor="text1"/>
          <w:sz w:val="16"/>
          <w:szCs w:val="16"/>
        </w:rPr>
        <w:t>месяцев для выполнения всего комплекса задач подготовки производства (разработка рабочих чертежей, проектирование приспособлений и инструмента, проектирование технологического процесса и</w:t>
      </w:r>
      <w:r w:rsidR="007C1411" w:rsidRPr="00E93F40">
        <w:rPr>
          <w:color w:val="000000" w:themeColor="text1"/>
          <w:sz w:val="16"/>
          <w:szCs w:val="16"/>
        </w:rPr>
        <w:t xml:space="preserve"> </w:t>
      </w:r>
      <w:r w:rsidRPr="00E93F40">
        <w:rPr>
          <w:color w:val="000000" w:themeColor="text1"/>
          <w:sz w:val="16"/>
          <w:szCs w:val="16"/>
        </w:rPr>
        <w:t>т.</w:t>
      </w:r>
      <w:r w:rsidR="007C1411" w:rsidRPr="00E93F40">
        <w:rPr>
          <w:color w:val="000000" w:themeColor="text1"/>
          <w:sz w:val="16"/>
          <w:szCs w:val="16"/>
        </w:rPr>
        <w:t xml:space="preserve"> </w:t>
      </w:r>
      <w:r w:rsidRPr="00E93F40">
        <w:rPr>
          <w:color w:val="000000" w:themeColor="text1"/>
          <w:sz w:val="16"/>
          <w:szCs w:val="16"/>
        </w:rPr>
        <w:t>д.). Развертывание производства машин головных серий потребует, помимо значительных площадей, станочного парка в 60</w:t>
      </w:r>
      <w:r w:rsidRPr="00E93F40">
        <w:rPr>
          <w:color w:val="000000" w:themeColor="text1"/>
          <w:sz w:val="16"/>
          <w:szCs w:val="16"/>
        </w:rPr>
        <w:noBreakHyphen/>
        <w:t>70</w:t>
      </w:r>
      <w:r w:rsidR="007C1411" w:rsidRPr="00E93F40">
        <w:rPr>
          <w:color w:val="000000" w:themeColor="text1"/>
          <w:sz w:val="16"/>
          <w:szCs w:val="16"/>
        </w:rPr>
        <w:t xml:space="preserve"> </w:t>
      </w:r>
      <w:r w:rsidRPr="00E93F40">
        <w:rPr>
          <w:color w:val="000000" w:themeColor="text1"/>
          <w:sz w:val="16"/>
          <w:szCs w:val="16"/>
        </w:rPr>
        <w:t>станков.</w:t>
      </w:r>
    </w:p>
    <w:p w14:paraId="3F3741A2" w14:textId="5E14316C"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При определении возможной базы для развертывания подготовки и производства вышеперечисленных самолетов Глававиапром вынужден отказаться от использования для этой цели вновь строящихся и входящих в эксплуатацию самолетостроительных заводов (заводы №</w:t>
      </w:r>
      <w:r w:rsidR="007C1411" w:rsidRPr="00E93F40">
        <w:rPr>
          <w:color w:val="000000" w:themeColor="text1"/>
          <w:sz w:val="16"/>
          <w:szCs w:val="16"/>
        </w:rPr>
        <w:t xml:space="preserve"> </w:t>
      </w:r>
      <w:r w:rsidRPr="00E93F40">
        <w:rPr>
          <w:color w:val="000000" w:themeColor="text1"/>
          <w:sz w:val="16"/>
          <w:szCs w:val="16"/>
        </w:rPr>
        <w:t>18, 124, 125), еще не имеющих опыта внедрения в серию новых образцов самолетов.</w:t>
      </w:r>
    </w:p>
    <w:p w14:paraId="45DDB287" w14:textId="55F795D9"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Единственная производственная единица в системе авиапромышленности, на которую по состоянию и перспективам строительства, наличию и возможностям подготовки кадров можно возложить выполнение этой задачи является завод №</w:t>
      </w:r>
      <w:r w:rsidR="007C1411" w:rsidRPr="00E93F40">
        <w:rPr>
          <w:color w:val="000000" w:themeColor="text1"/>
          <w:sz w:val="16"/>
          <w:szCs w:val="16"/>
        </w:rPr>
        <w:t xml:space="preserve"> </w:t>
      </w:r>
      <w:r w:rsidRPr="00E93F40">
        <w:rPr>
          <w:color w:val="000000" w:themeColor="text1"/>
          <w:sz w:val="16"/>
          <w:szCs w:val="16"/>
        </w:rPr>
        <w:t>22. Основным преимуществом этого завода является его громадный опыт по освоению в серийном производстве новых типов металлических самолетов, в том числе и тяжелых (завод за 5</w:t>
      </w:r>
      <w:r w:rsidR="007C1411" w:rsidRPr="00E93F40">
        <w:rPr>
          <w:color w:val="000000" w:themeColor="text1"/>
          <w:sz w:val="16"/>
          <w:szCs w:val="16"/>
        </w:rPr>
        <w:t xml:space="preserve"> </w:t>
      </w:r>
      <w:r w:rsidRPr="00E93F40">
        <w:rPr>
          <w:color w:val="000000" w:themeColor="text1"/>
          <w:sz w:val="16"/>
          <w:szCs w:val="16"/>
        </w:rPr>
        <w:t>лет внедрил в производство 6</w:t>
      </w:r>
      <w:r w:rsidR="007C1411" w:rsidRPr="00E93F40">
        <w:rPr>
          <w:color w:val="000000" w:themeColor="text1"/>
          <w:sz w:val="16"/>
          <w:szCs w:val="16"/>
        </w:rPr>
        <w:t xml:space="preserve"> </w:t>
      </w:r>
      <w:r w:rsidRPr="00E93F40">
        <w:rPr>
          <w:color w:val="000000" w:themeColor="text1"/>
          <w:sz w:val="16"/>
          <w:szCs w:val="16"/>
        </w:rPr>
        <w:t>типов самолетов) и способность быстро перестраивать весь производственный организм, что особенно четко завод выявил при развертывании своей громадной программы по самолетам ТБ</w:t>
      </w:r>
      <w:r w:rsidRPr="00E93F40">
        <w:rPr>
          <w:color w:val="000000" w:themeColor="text1"/>
          <w:sz w:val="16"/>
          <w:szCs w:val="16"/>
        </w:rPr>
        <w:noBreakHyphen/>
        <w:t>3 в этом году. Однако наличие у завода №</w:t>
      </w:r>
      <w:r w:rsidR="007C1411" w:rsidRPr="00E93F40">
        <w:rPr>
          <w:color w:val="000000" w:themeColor="text1"/>
          <w:sz w:val="16"/>
          <w:szCs w:val="16"/>
        </w:rPr>
        <w:t xml:space="preserve"> </w:t>
      </w:r>
      <w:r w:rsidRPr="00E93F40">
        <w:rPr>
          <w:color w:val="000000" w:themeColor="text1"/>
          <w:sz w:val="16"/>
          <w:szCs w:val="16"/>
        </w:rPr>
        <w:t>22 напряженной программы по самолетам ТБ</w:t>
      </w:r>
      <w:r w:rsidRPr="00E93F40">
        <w:rPr>
          <w:color w:val="000000" w:themeColor="text1"/>
          <w:sz w:val="16"/>
          <w:szCs w:val="16"/>
        </w:rPr>
        <w:noBreakHyphen/>
        <w:t>3 в IV</w:t>
      </w:r>
      <w:r w:rsidR="007C1411" w:rsidRPr="00E93F40">
        <w:rPr>
          <w:color w:val="000000" w:themeColor="text1"/>
          <w:sz w:val="16"/>
          <w:szCs w:val="16"/>
        </w:rPr>
        <w:t xml:space="preserve"> </w:t>
      </w:r>
      <w:r w:rsidRPr="00E93F40">
        <w:rPr>
          <w:color w:val="000000" w:themeColor="text1"/>
          <w:sz w:val="16"/>
          <w:szCs w:val="16"/>
        </w:rPr>
        <w:t>квартале этого года не позволяет Глававиапрому дать заводу работы по производству самолетов ТБ</w:t>
      </w:r>
      <w:r w:rsidRPr="00E93F40">
        <w:rPr>
          <w:color w:val="000000" w:themeColor="text1"/>
          <w:sz w:val="16"/>
          <w:szCs w:val="16"/>
        </w:rPr>
        <w:noBreakHyphen/>
        <w:t>4 и МИ</w:t>
      </w:r>
      <w:r w:rsidRPr="00E93F40">
        <w:rPr>
          <w:color w:val="000000" w:themeColor="text1"/>
          <w:sz w:val="16"/>
          <w:szCs w:val="16"/>
        </w:rPr>
        <w:noBreakHyphen/>
        <w:t>3 без ущерба для программы по самолету ТБ</w:t>
      </w:r>
      <w:r w:rsidRPr="00E93F40">
        <w:rPr>
          <w:color w:val="000000" w:themeColor="text1"/>
          <w:sz w:val="16"/>
          <w:szCs w:val="16"/>
        </w:rPr>
        <w:noBreakHyphen/>
        <w:t>3, которая на данный момент также далеко недостаточно обеспечена как площадями, так и оборудованием. Включение в программу завода работ по самолетам ТБ</w:t>
      </w:r>
      <w:r w:rsidRPr="00E93F40">
        <w:rPr>
          <w:color w:val="000000" w:themeColor="text1"/>
          <w:sz w:val="16"/>
          <w:szCs w:val="16"/>
        </w:rPr>
        <w:noBreakHyphen/>
        <w:t>4 и МИ</w:t>
      </w:r>
      <w:r w:rsidRPr="00E93F40">
        <w:rPr>
          <w:color w:val="000000" w:themeColor="text1"/>
          <w:sz w:val="16"/>
          <w:szCs w:val="16"/>
        </w:rPr>
        <w:noBreakHyphen/>
        <w:t>3 возможно только за счет уменьшения его программы минимум на 60</w:t>
      </w:r>
      <w:r w:rsidR="007C1411" w:rsidRPr="00E93F40">
        <w:rPr>
          <w:color w:val="000000" w:themeColor="text1"/>
          <w:sz w:val="16"/>
          <w:szCs w:val="16"/>
        </w:rPr>
        <w:t xml:space="preserve"> </w:t>
      </w:r>
      <w:r w:rsidRPr="00E93F40">
        <w:rPr>
          <w:color w:val="000000" w:themeColor="text1"/>
          <w:sz w:val="16"/>
          <w:szCs w:val="16"/>
        </w:rPr>
        <w:t>самолетов ТБ</w:t>
      </w:r>
      <w:r w:rsidRPr="00E93F40">
        <w:rPr>
          <w:color w:val="000000" w:themeColor="text1"/>
          <w:sz w:val="16"/>
          <w:szCs w:val="16"/>
        </w:rPr>
        <w:noBreakHyphen/>
        <w:t>3. Так как план вооружения 1933</w:t>
      </w:r>
      <w:r w:rsidR="007C1411" w:rsidRPr="00E93F40">
        <w:rPr>
          <w:color w:val="000000" w:themeColor="text1"/>
          <w:sz w:val="16"/>
          <w:szCs w:val="16"/>
        </w:rPr>
        <w:t xml:space="preserve"> </w:t>
      </w:r>
      <w:r w:rsidRPr="00E93F40">
        <w:rPr>
          <w:color w:val="000000" w:themeColor="text1"/>
          <w:sz w:val="16"/>
          <w:szCs w:val="16"/>
        </w:rPr>
        <w:t>г. требует от авиапромышленности выпуска самолетов ТБ</w:t>
      </w:r>
      <w:r w:rsidRPr="00E93F40">
        <w:rPr>
          <w:color w:val="000000" w:themeColor="text1"/>
          <w:sz w:val="16"/>
          <w:szCs w:val="16"/>
        </w:rPr>
        <w:noBreakHyphen/>
        <w:t>3, ТБ</w:t>
      </w:r>
      <w:r w:rsidRPr="00E93F40">
        <w:rPr>
          <w:color w:val="000000" w:themeColor="text1"/>
          <w:sz w:val="16"/>
          <w:szCs w:val="16"/>
        </w:rPr>
        <w:noBreakHyphen/>
        <w:t>4, МИ</w:t>
      </w:r>
      <w:r w:rsidRPr="00E93F40">
        <w:rPr>
          <w:color w:val="000000" w:themeColor="text1"/>
          <w:sz w:val="16"/>
          <w:szCs w:val="16"/>
        </w:rPr>
        <w:noBreakHyphen/>
        <w:t>3 с моторами М</w:t>
      </w:r>
      <w:r w:rsidRPr="00E93F40">
        <w:rPr>
          <w:color w:val="000000" w:themeColor="text1"/>
          <w:sz w:val="16"/>
          <w:szCs w:val="16"/>
        </w:rPr>
        <w:noBreakHyphen/>
        <w:t>34, настоящим прошу:</w:t>
      </w:r>
    </w:p>
    <w:p w14:paraId="6516B43E" w14:textId="02420C5D"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Определить выпуск самолетов ТБ</w:t>
      </w:r>
      <w:r w:rsidRPr="00E93F40">
        <w:rPr>
          <w:color w:val="000000" w:themeColor="text1"/>
          <w:sz w:val="16"/>
          <w:szCs w:val="16"/>
        </w:rPr>
        <w:noBreakHyphen/>
        <w:t>4 и МИ</w:t>
      </w:r>
      <w:r w:rsidRPr="00E93F40">
        <w:rPr>
          <w:color w:val="000000" w:themeColor="text1"/>
          <w:sz w:val="16"/>
          <w:szCs w:val="16"/>
        </w:rPr>
        <w:noBreakHyphen/>
        <w:t>3 в IV</w:t>
      </w:r>
      <w:r w:rsidR="007C1411" w:rsidRPr="00E93F40">
        <w:rPr>
          <w:color w:val="000000" w:themeColor="text1"/>
          <w:sz w:val="16"/>
          <w:szCs w:val="16"/>
        </w:rPr>
        <w:t xml:space="preserve"> </w:t>
      </w:r>
      <w:r w:rsidRPr="00E93F40">
        <w:rPr>
          <w:color w:val="000000" w:themeColor="text1"/>
          <w:sz w:val="16"/>
          <w:szCs w:val="16"/>
        </w:rPr>
        <w:t>квартале 1933</w:t>
      </w:r>
      <w:r w:rsidR="007C1411" w:rsidRPr="00E93F40">
        <w:rPr>
          <w:color w:val="000000" w:themeColor="text1"/>
          <w:sz w:val="16"/>
          <w:szCs w:val="16"/>
        </w:rPr>
        <w:t xml:space="preserve"> </w:t>
      </w:r>
      <w:r w:rsidRPr="00E93F40">
        <w:rPr>
          <w:color w:val="000000" w:themeColor="text1"/>
          <w:sz w:val="16"/>
          <w:szCs w:val="16"/>
        </w:rPr>
        <w:t>г. в количестве по 10</w:t>
      </w:r>
      <w:r w:rsidR="007C1411" w:rsidRPr="00E93F40">
        <w:rPr>
          <w:color w:val="000000" w:themeColor="text1"/>
          <w:sz w:val="16"/>
          <w:szCs w:val="16"/>
        </w:rPr>
        <w:t xml:space="preserve"> </w:t>
      </w:r>
      <w:r w:rsidRPr="00E93F40">
        <w:rPr>
          <w:color w:val="000000" w:themeColor="text1"/>
          <w:sz w:val="16"/>
          <w:szCs w:val="16"/>
        </w:rPr>
        <w:t>шт. каждого типа.</w:t>
      </w:r>
    </w:p>
    <w:p w14:paraId="330D8824" w14:textId="42A55449"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lastRenderedPageBreak/>
        <w:t>2.</w:t>
      </w:r>
      <w:r w:rsidR="007C1411" w:rsidRPr="00E93F40">
        <w:rPr>
          <w:color w:val="000000" w:themeColor="text1"/>
          <w:sz w:val="16"/>
          <w:szCs w:val="16"/>
        </w:rPr>
        <w:t xml:space="preserve"> </w:t>
      </w:r>
      <w:r w:rsidRPr="00E93F40">
        <w:rPr>
          <w:color w:val="000000" w:themeColor="text1"/>
          <w:sz w:val="16"/>
          <w:szCs w:val="16"/>
        </w:rPr>
        <w:t>Определить выпуск головной серии в 10 самолетов ТБ</w:t>
      </w:r>
      <w:r w:rsidRPr="00E93F40">
        <w:rPr>
          <w:color w:val="000000" w:themeColor="text1"/>
          <w:sz w:val="16"/>
          <w:szCs w:val="16"/>
        </w:rPr>
        <w:noBreakHyphen/>
        <w:t>3 с моторами М</w:t>
      </w:r>
      <w:r w:rsidRPr="00E93F40">
        <w:rPr>
          <w:color w:val="000000" w:themeColor="text1"/>
          <w:sz w:val="16"/>
          <w:szCs w:val="16"/>
        </w:rPr>
        <w:noBreakHyphen/>
        <w:t>34 в январе 1933</w:t>
      </w:r>
      <w:r w:rsidR="007C1411" w:rsidRPr="00E93F40">
        <w:rPr>
          <w:color w:val="000000" w:themeColor="text1"/>
          <w:sz w:val="16"/>
          <w:szCs w:val="16"/>
        </w:rPr>
        <w:t xml:space="preserve"> </w:t>
      </w:r>
      <w:r w:rsidRPr="00E93F40">
        <w:rPr>
          <w:color w:val="000000" w:themeColor="text1"/>
          <w:sz w:val="16"/>
          <w:szCs w:val="16"/>
        </w:rPr>
        <w:t>г. с последующим определением количества этих самолетов для всего 1933</w:t>
      </w:r>
      <w:r w:rsidR="007C1411" w:rsidRPr="00E93F40">
        <w:rPr>
          <w:color w:val="000000" w:themeColor="text1"/>
          <w:sz w:val="16"/>
          <w:szCs w:val="16"/>
        </w:rPr>
        <w:t xml:space="preserve"> </w:t>
      </w:r>
      <w:r w:rsidRPr="00E93F40">
        <w:rPr>
          <w:color w:val="000000" w:themeColor="text1"/>
          <w:sz w:val="16"/>
          <w:szCs w:val="16"/>
        </w:rPr>
        <w:t>г.</w:t>
      </w:r>
    </w:p>
    <w:p w14:paraId="292C89D9" w14:textId="0ACA22DF"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Разрешить постройку головных серий этих самолетов параллельно с ходом изготовления и испытания образцов.</w:t>
      </w:r>
    </w:p>
    <w:p w14:paraId="2CB10939" w14:textId="261E2E27"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Санкционировать передачу этих работ заводу №</w:t>
      </w:r>
      <w:r w:rsidR="007C1411" w:rsidRPr="00E93F40">
        <w:rPr>
          <w:color w:val="000000" w:themeColor="text1"/>
          <w:sz w:val="16"/>
          <w:szCs w:val="16"/>
        </w:rPr>
        <w:t xml:space="preserve"> </w:t>
      </w:r>
      <w:r w:rsidRPr="00E93F40">
        <w:rPr>
          <w:color w:val="000000" w:themeColor="text1"/>
          <w:sz w:val="16"/>
          <w:szCs w:val="16"/>
        </w:rPr>
        <w:t>22 с обязательством для него развертывания работ в IV</w:t>
      </w:r>
      <w:r w:rsidR="007C1411" w:rsidRPr="00E93F40">
        <w:rPr>
          <w:color w:val="000000" w:themeColor="text1"/>
          <w:sz w:val="16"/>
          <w:szCs w:val="16"/>
        </w:rPr>
        <w:t xml:space="preserve"> </w:t>
      </w:r>
      <w:r w:rsidRPr="00E93F40">
        <w:rPr>
          <w:color w:val="000000" w:themeColor="text1"/>
          <w:sz w:val="16"/>
          <w:szCs w:val="16"/>
        </w:rPr>
        <w:t>квартале с.</w:t>
      </w:r>
      <w:r w:rsidR="007C1411" w:rsidRPr="00E93F40">
        <w:rPr>
          <w:color w:val="000000" w:themeColor="text1"/>
          <w:sz w:val="16"/>
          <w:szCs w:val="16"/>
        </w:rPr>
        <w:t xml:space="preserve"> </w:t>
      </w:r>
      <w:r w:rsidRPr="00E93F40">
        <w:rPr>
          <w:color w:val="000000" w:themeColor="text1"/>
          <w:sz w:val="16"/>
          <w:szCs w:val="16"/>
        </w:rPr>
        <w:t>г. за счет снятия с него программы в 1932</w:t>
      </w:r>
      <w:r w:rsidR="007C1411" w:rsidRPr="00E93F40">
        <w:rPr>
          <w:color w:val="000000" w:themeColor="text1"/>
          <w:sz w:val="16"/>
          <w:szCs w:val="16"/>
        </w:rPr>
        <w:t xml:space="preserve"> </w:t>
      </w:r>
      <w:r w:rsidRPr="00E93F40">
        <w:rPr>
          <w:color w:val="000000" w:themeColor="text1"/>
          <w:sz w:val="16"/>
          <w:szCs w:val="16"/>
        </w:rPr>
        <w:t>г. 60</w:t>
      </w:r>
      <w:r w:rsidR="007C1411" w:rsidRPr="00E93F40">
        <w:rPr>
          <w:color w:val="000000" w:themeColor="text1"/>
          <w:sz w:val="16"/>
          <w:szCs w:val="16"/>
        </w:rPr>
        <w:t xml:space="preserve"> </w:t>
      </w:r>
      <w:r w:rsidRPr="00E93F40">
        <w:rPr>
          <w:color w:val="000000" w:themeColor="text1"/>
          <w:sz w:val="16"/>
          <w:szCs w:val="16"/>
        </w:rPr>
        <w:t>самолетов ТБ</w:t>
      </w:r>
      <w:r w:rsidRPr="00E93F40">
        <w:rPr>
          <w:color w:val="000000" w:themeColor="text1"/>
          <w:sz w:val="16"/>
          <w:szCs w:val="16"/>
        </w:rPr>
        <w:noBreakHyphen/>
        <w:t>3 с моторами М</w:t>
      </w:r>
      <w:r w:rsidRPr="00E93F40">
        <w:rPr>
          <w:color w:val="000000" w:themeColor="text1"/>
          <w:sz w:val="16"/>
          <w:szCs w:val="16"/>
        </w:rPr>
        <w:noBreakHyphen/>
        <w:t>17.</w:t>
      </w:r>
    </w:p>
    <w:p w14:paraId="1EBB9CD0" w14:textId="6B781AB9" w:rsidR="00A20FFF" w:rsidRPr="00E93F40" w:rsidRDefault="00A20FFF"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Разрешить в месячный срок войти в СТО с проектом предложений по вопросам строительства и оборудования заводов №</w:t>
      </w:r>
      <w:r w:rsidR="007C1411" w:rsidRPr="00E93F40">
        <w:rPr>
          <w:color w:val="000000" w:themeColor="text1"/>
          <w:sz w:val="16"/>
          <w:szCs w:val="16"/>
        </w:rPr>
        <w:t xml:space="preserve"> </w:t>
      </w:r>
      <w:r w:rsidRPr="00E93F40">
        <w:rPr>
          <w:color w:val="000000" w:themeColor="text1"/>
          <w:sz w:val="16"/>
          <w:szCs w:val="16"/>
        </w:rPr>
        <w:t>22 и 24 для обеспечения выполнения ими задач по программе 1933</w:t>
      </w:r>
      <w:r w:rsidR="007C1411" w:rsidRPr="00E93F40">
        <w:rPr>
          <w:color w:val="000000" w:themeColor="text1"/>
          <w:sz w:val="16"/>
          <w:szCs w:val="16"/>
        </w:rPr>
        <w:t xml:space="preserve"> </w:t>
      </w:r>
      <w:r w:rsidRPr="00E93F40">
        <w:rPr>
          <w:color w:val="000000" w:themeColor="text1"/>
          <w:sz w:val="16"/>
          <w:szCs w:val="16"/>
        </w:rPr>
        <w:t>г.</w:t>
      </w:r>
    </w:p>
    <w:p w14:paraId="1E7B8785" w14:textId="77777777" w:rsidR="00A20FFF" w:rsidRPr="00E93F40" w:rsidRDefault="00A20FFF"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Зам. наркома тяжелой промышленности </w:t>
      </w:r>
      <w:hyperlink r:id="rId202" w:history="1">
        <w:r w:rsidRPr="00E93F40">
          <w:rPr>
            <w:rStyle w:val="af0"/>
            <w:i w:val="0"/>
            <w:color w:val="000000" w:themeColor="text1"/>
            <w:sz w:val="16"/>
            <w:szCs w:val="16"/>
          </w:rPr>
          <w:t>Баранов</w:t>
        </w:r>
      </w:hyperlink>
    </w:p>
    <w:p w14:paraId="040AB663" w14:textId="77777777" w:rsidR="00A20FFF" w:rsidRPr="00E93F40" w:rsidRDefault="00A20FFF" w:rsidP="00E93F40">
      <w:pPr>
        <w:pStyle w:val="ae"/>
        <w:spacing w:before="0" w:after="0"/>
        <w:jc w:val="both"/>
        <w:rPr>
          <w:color w:val="000000" w:themeColor="text1"/>
          <w:sz w:val="16"/>
          <w:szCs w:val="16"/>
        </w:rPr>
      </w:pPr>
      <w:r w:rsidRPr="00E93F40">
        <w:rPr>
          <w:color w:val="000000" w:themeColor="text1"/>
          <w:sz w:val="16"/>
          <w:szCs w:val="16"/>
        </w:rPr>
        <w:t>ГА РФ Ф. Р-8418. Оп. 6. Д. 81. Л. 2—6. Подлинник.</w:t>
      </w:r>
    </w:p>
    <w:p w14:paraId="2A03A8DE" w14:textId="7407CD7B"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81. Л. 2—6. Подлинник. </w:t>
      </w:r>
    </w:p>
    <w:p w14:paraId="69720943" w14:textId="6B0B7363" w:rsidR="00A20FFF" w:rsidRPr="00E93F40" w:rsidRDefault="00A20FF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705-707 (12569).</w:t>
      </w:r>
    </w:p>
    <w:p w14:paraId="56DA4D85" w14:textId="77777777" w:rsidR="00A20FFF" w:rsidRPr="00E93F40" w:rsidRDefault="00A20FFF" w:rsidP="00E93F40">
      <w:pPr>
        <w:spacing w:after="0" w:line="240" w:lineRule="auto"/>
        <w:jc w:val="both"/>
        <w:rPr>
          <w:rFonts w:ascii="Times New Roman" w:hAnsi="Times New Roman"/>
          <w:color w:val="000000" w:themeColor="text1"/>
          <w:sz w:val="16"/>
          <w:szCs w:val="16"/>
        </w:rPr>
      </w:pPr>
    </w:p>
    <w:p w14:paraId="0FDCB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августа 1932 года начальник Осконпробюро ВВС Гроховский писал письмо № 11сс начальнику ВВС Алкснису</w:t>
      </w:r>
    </w:p>
    <w:p w14:paraId="223E7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Доношу, что мною проработаны по плану все объекты АТСП для ПУРККА, о чем мною был подан рапорт зам. начальника ВВС Меженинову – 11 июля 1932 года за № 8 сс с просьбой назначения госиспытаний. Резолюция начальника НИИ о предоставлении самолета АНТ-9 и проведении госиспытаний.</w:t>
      </w:r>
    </w:p>
    <w:p w14:paraId="5119EB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АНТ-9 не был предоставлен НИИ и объекты АТСП остались не испытанными.</w:t>
      </w:r>
    </w:p>
    <w:p w14:paraId="6A797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Осконпробюро самолет АНТ-9 также должен оборудоваться под переливку бензина, но за неимением указанного самолета, работа не начата.</w:t>
      </w:r>
    </w:p>
    <w:p w14:paraId="50929E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самолет АНТ-9 передается 3 школе.</w:t>
      </w:r>
    </w:p>
    <w:p w14:paraId="23CC78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Непредоставление самолета вверенному мне Бюро вызовет срыв работ ПУРККА и проведения переливки бензина в воздухе с самолета АНТ-9.</w:t>
      </w:r>
    </w:p>
    <w:p w14:paraId="763D5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Вашего распоряжения о предоставлении самолета АНТ-9 Осконпробюро.</w:t>
      </w:r>
    </w:p>
    <w:p w14:paraId="2AFAD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копия рапортов за №№ 8сс, 39, 52с (7470, 349).</w:t>
      </w:r>
    </w:p>
    <w:p w14:paraId="73FC2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CC7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августа 1932 года начальник НИИ ВВС писал письмо Алкснису.</w:t>
      </w:r>
    </w:p>
    <w:p w14:paraId="013EA0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Лабораторные и эксплуатационные испытания негорючих аэролаков изобретателя Журенкова одновременно сопровождались работой по изысканию наилучшего химического состава их, стойкого против воздействия атмосферы, по упрощению технологии производства и по установлению методики покраски ими самолетов.</w:t>
      </w:r>
    </w:p>
    <w:p w14:paraId="5A8DE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протяжении двух с половиной лет беспрерывной работы с ними лак подвергался изменению по своему составу, изменялась также методика его производства. При испытании Институт выявил следующие недостатки этих аэролаков, подтвержденные заключениями рада институтов:</w:t>
      </w:r>
    </w:p>
    <w:p w14:paraId="10DD8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Сильную гигроскопичность лаковой пленки...</w:t>
      </w:r>
    </w:p>
    <w:p w14:paraId="1D5FD1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Малую усадку, что не дает должной натяжки полотна.</w:t>
      </w:r>
    </w:p>
    <w:p w14:paraId="7FEDD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Очень сильное снижение крепости и обвивание лакированной ткани за короткий срок (3-4 месяца)...</w:t>
      </w:r>
    </w:p>
    <w:p w14:paraId="61AC0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Объяснение этих недостатков лежит в самой химической природе лаков изобр. Журенкова....</w:t>
      </w:r>
    </w:p>
    <w:p w14:paraId="2093B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по улучшению качества а/л привела к получению нового лака, которым в апреле 1932 года был покрашен самолет Р5, находящийся в данное время в эксплуатации. Испытание этого самолета должно закончиться в октябре, после чего будет дано заключение о пригодности нового состава негорючих а/л изобр. Журенкова. (3008,12-13).</w:t>
      </w:r>
    </w:p>
    <w:p w14:paraId="5ECEDE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2BF765" w14:textId="77777777" w:rsidR="00A20FFF"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EBEB701" w14:textId="77777777" w:rsidR="00A20FFF" w:rsidRPr="00E93F40" w:rsidRDefault="00A20FF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7F8EFD"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29 августа</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1320/284сс об органах Наркомвода на военное время (ГА РФ. Ф. Р?8418. Оп. 28. Д. 146. Л. 99?108) (12415).</w:t>
      </w:r>
    </w:p>
    <w:p w14:paraId="099D296D" w14:textId="77777777" w:rsidR="00A20FFF" w:rsidRPr="00E93F40" w:rsidRDefault="00A20FFF" w:rsidP="00E93F40">
      <w:pPr>
        <w:spacing w:after="0" w:line="240" w:lineRule="auto"/>
        <w:jc w:val="both"/>
        <w:rPr>
          <w:rFonts w:ascii="Times New Roman" w:hAnsi="Times New Roman"/>
          <w:color w:val="000000" w:themeColor="text1"/>
          <w:sz w:val="16"/>
          <w:szCs w:val="16"/>
          <w:u w:color="002060"/>
        </w:rPr>
      </w:pPr>
    </w:p>
    <w:p w14:paraId="6D4ADFD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C79F92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E57E9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августа 1932 через Сурамский перевал в Грузии прошел первый электропоезд (3960, 335).</w:t>
      </w:r>
    </w:p>
    <w:p w14:paraId="2DA833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CD58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августа 1932 года Приказом ОГПУ №828с аппараты ВОХР (военизированной охраны) и информационно-следственных отделов ИТЛ объединены в единые органы, сперва названные «секретно-оперативными отделами», но вскоре, приказом ОГПУ №923с от 23 сентября 1932 года, переименованные в 3 отделы ИТЛ (8983).</w:t>
      </w:r>
    </w:p>
    <w:p w14:paraId="68DB12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586AF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60C11F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193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августа 1932 в Амстердаме был сформирован Международный антивоенный комитет (3481).</w:t>
      </w:r>
    </w:p>
    <w:p w14:paraId="6B13D9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96976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33A809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64E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августа 1932 закончились заводские испытания первого серийного самолета МБР-4 АССО-750 заводской N ОВ-75, которые проходили с 26 августа 1932 (2996).</w:t>
      </w:r>
    </w:p>
    <w:p w14:paraId="07923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4B8FD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DD8D2C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1B5A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августа 1932 Г.Геринг был избран президентом Рейхстага (2100).</w:t>
      </w:r>
    </w:p>
    <w:p w14:paraId="2E58FB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BA47D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362388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205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августа 1932 года начальник 2-го отдела НИИ ВВС Ганулич писал письмо N 137с начальнику самолетного треста ГУАП, ст. военпреду завода N 31, начальнику 3 управления УВВС.</w:t>
      </w:r>
    </w:p>
    <w:p w14:paraId="46A92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заседания комиссии по испытанию головного серийного самолета АШ-2 N ОЖ-33.</w:t>
      </w:r>
    </w:p>
    <w:p w14:paraId="63273F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Закончив испытание самолета АШ-2 с мотором М11 N 7902, комиссия на основании предварительных данных испытаний считает, что данный самолет превосходит качеством опытного экземпляра по ряду показателей и по устранению ряда изложенных конструктивно производственных недостатков, может строиться без дальнейших изменений 1-й серии (3049).</w:t>
      </w:r>
    </w:p>
    <w:p w14:paraId="73BD2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7D3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августа 1932 года начальник 5 отдела НИИ ВВС инженер-механик Соловьев</w:t>
      </w:r>
    </w:p>
    <w:p w14:paraId="712EB9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Справка о госиспытаниях объектов Осконпробюро ВВС Гроховского</w:t>
      </w:r>
    </w:p>
    <w:p w14:paraId="2886B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задержками в испытаниях объектов Осконпробюро ВВС являются:</w:t>
      </w:r>
    </w:p>
    <w:p w14:paraId="524924F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 что объекты делаются без каких бы то ни было тактико-технических требований.</w:t>
      </w:r>
    </w:p>
    <w:p w14:paraId="5B1C8C2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образца не утверждается НИИ ВВС, а прямо передается в постройку.</w:t>
      </w:r>
    </w:p>
    <w:p w14:paraId="713954E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объектов не производятся, а таковые непосредственно передаются на госиспытания.</w:t>
      </w:r>
    </w:p>
    <w:p w14:paraId="3F7B56F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Несвоевременно даются техусловия и чертежи на испытанные объекты.</w:t>
      </w:r>
    </w:p>
    <w:p w14:paraId="79C355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Благодаря всему этому объекты попадают на госиспытания в недоработанном виде, в процессе их несколько раз переделываются и исправляются, часть образцов представляется в таком виде, что их невозможно подвесить под самолет.</w:t>
      </w:r>
    </w:p>
    <w:p w14:paraId="55BDD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Совместно с объектами не представляются ни описания их, ни расчеты (таковых как правило не имеется).</w:t>
      </w:r>
    </w:p>
    <w:p w14:paraId="6EF2F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Самые испытания фактически производятся не НИИ ВВС, а Осконпробюро, так как объекты находятся в настолько сыром виде, что требуют постоянной подгонки и исправлений. Как примеры можно указать на следующие факты.</w:t>
      </w:r>
    </w:p>
    <w:p w14:paraId="7AEC7DE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Госиспытания в Гатчине в июне-июле 1932 года.</w:t>
      </w:r>
    </w:p>
    <w:p w14:paraId="5DA664A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грузовой на 1 тонну.</w:t>
      </w:r>
    </w:p>
    <w:p w14:paraId="53711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 представлен на испытание, до этого ни разу не подгонялся к самолету. Был разбит при первом же сбрасывании.</w:t>
      </w:r>
    </w:p>
    <w:p w14:paraId="350E24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Невероятно перетяжелен.</w:t>
      </w:r>
    </w:p>
    <w:p w14:paraId="7A8CC97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Авиабусы малые на 150 кг.</w:t>
      </w:r>
    </w:p>
    <w:p w14:paraId="061B0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Также на госиспытаниях сбрасывались впервые, были повреждены при первом сбрасывании.</w:t>
      </w:r>
    </w:p>
    <w:p w14:paraId="54E48A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 дальнейшего госиспытания были сняты самим Гроховским, как недоработанные.</w:t>
      </w:r>
    </w:p>
    <w:p w14:paraId="5EB1DE5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мотоциклов с парашютами.</w:t>
      </w:r>
    </w:p>
    <w:p w14:paraId="68AAA2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госиспытаниями сбрасывалась только один раз, после чего в нее был внесен ряд изменений, в процессе испытаний эти изменения также вносились.</w:t>
      </w:r>
    </w:p>
    <w:p w14:paraId="7534FA2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Овальные мешки для груза до 160 кг.</w:t>
      </w:r>
    </w:p>
    <w:p w14:paraId="0C6D7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настолько слабы в отношении прочности, что сняты с госиспытаний после первого же сбрасывания.</w:t>
      </w:r>
    </w:p>
    <w:p w14:paraId="5E51AAC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Подвесные бензиновые баки, сбрасываемые на парашютах.</w:t>
      </w:r>
    </w:p>
    <w:p w14:paraId="7E11C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Сначала были представлены малые баки, которые при испытаниях все оторвались от парашютов, после чего Гроховским было заявлено, что эти баки для испытания не предназначались и были заменены другими.</w:t>
      </w:r>
    </w:p>
    <w:p w14:paraId="0B53E36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Парашюты 25-ти и 30-ти метровые.</w:t>
      </w:r>
    </w:p>
    <w:p w14:paraId="2C4809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в 25 метров задержался в испытании из-за неудачного короба для него, благодаря чему парашют один раз порвался, другой раз не раскрылся совсем.</w:t>
      </w:r>
    </w:p>
    <w:p w14:paraId="62973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возможность такого случая Гроховскому перед испытанием указывалось.</w:t>
      </w:r>
    </w:p>
    <w:p w14:paraId="5E401C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в 30 метров испытание не вылержал, так как не имел запасов прочности даже при сбрасывании с нормальной нагрузкой.</w:t>
      </w:r>
    </w:p>
    <w:p w14:paraId="5C86B2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Госиспытания агитсредств по заданию ПКРККА.</w:t>
      </w:r>
    </w:p>
    <w:p w14:paraId="36763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июля 1932 года Гроховским на имя Меженинова был подан рапорт о том, что все объекты по плану ПУРа готовы для госиспытаний.</w:t>
      </w:r>
    </w:p>
    <w:p w14:paraId="70E7F8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Межениновым было приказано эти испытания произвести к 25 августа 1932 года.</w:t>
      </w:r>
    </w:p>
    <w:p w14:paraId="0E4785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при поверке оказалось следующее:</w:t>
      </w:r>
    </w:p>
    <w:p w14:paraId="68CB3BF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ТСП-1 на испытание не представлялась, а 25 августа Малыничем было сообщено, что она с госиспытания снимается.</w:t>
      </w:r>
    </w:p>
    <w:p w14:paraId="57C98CE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ТСП-2 на испытание была представлена 22 июля 1932 года, была сброшена 22 июля и 9 августа и оба раза не работала.</w:t>
      </w:r>
    </w:p>
    <w:p w14:paraId="6A2EC5D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ТСП-3 была представлена на испытания 22 июля 1932 года, была сброшена 22 и 25 июля и 9 и 15 августа. Из сброшенных за это время 8 бомб работала только одна. Все четыре раза представлялась в разных измененных видах.</w:t>
      </w:r>
    </w:p>
    <w:p w14:paraId="1F68C01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ударно-дистанционная. Представлена на испытания 22 июля 1932 года. При сбрасывании 22 июля из четырех бомб работала лишь одна. 25 июля были сброшены еще четыре бомбы, сработавшие все.</w:t>
      </w:r>
    </w:p>
    <w:p w14:paraId="109E1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 по бомбе написано, но дальнейшее продвижение задерживается из-за непредставления Гроховским чертежей, техусловий и эталона.</w:t>
      </w:r>
    </w:p>
    <w:p w14:paraId="1CD60E5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Агитбомба ударная. Испытания прошла, но дальнейшее продвижение задерживается из-за непредставления Гроховским чертежей, техусловий и эталона.</w:t>
      </w:r>
    </w:p>
    <w:p w14:paraId="5AF1593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Кассета для сбрасывания литературы, вертикальная агитмина и агитпарашют не представлены на испытания до сего времени.</w:t>
      </w:r>
    </w:p>
    <w:p w14:paraId="77F7F6C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Радиотанк – оказался радиофицированным броневиком, был предъявлен на испытание 20 августа, а затем 23 августа и оба раза оказался неготовым.</w:t>
      </w:r>
    </w:p>
    <w:p w14:paraId="7EC43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Объекты по рапорту Гроховского от 11 августа 1932 года за № 46с.</w:t>
      </w:r>
    </w:p>
    <w:p w14:paraId="47B18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Межениновым было приказано закончить испытание указанных в этом рапорте объектов к 20 августа 1932 года. Однако, круглый и овальный цилиндры были представлены лишь 22 августа и в виде не готовом к испытаниям.</w:t>
      </w:r>
    </w:p>
    <w:p w14:paraId="01A2D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эти цилиндры испытывались уже в Гатчине, то они были осмотрены, причем оказалось, что большинство выявившихся там дефектов не устранено и тем не менее объекты все же были на испытание предъявлены.</w:t>
      </w:r>
    </w:p>
    <w:p w14:paraId="5FE9E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B6C03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Объекты по отношению Осконпробюро ВВС от 17 августа 1932 года.</w:t>
      </w:r>
    </w:p>
    <w:p w14:paraId="69DD488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Сбрасывание орудия на парашюте. Срок был указан 17 августа 1932 года. Орудие было представлено в срок. При первом же сбрасывании из-за неграмотного расчета на прочность орудин оторвалось и разбилось.</w:t>
      </w:r>
    </w:p>
    <w:p w14:paraId="6933ED3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Г-20. Срок представления был назначен 20 августа 1932 года, фактически был предъявлен 21 августа. Был сброшен 22 августа, после чего на испытание не предъявлялся, а был использован Осконпробюро для других испытаний.</w:t>
      </w:r>
    </w:p>
    <w:p w14:paraId="0820E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сбрасывании дал очень сильные колебания около горизонтальной оси, объясняемые неправильным раскроем.</w:t>
      </w:r>
    </w:p>
    <w:p w14:paraId="7107828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Сбрасывание полугрузового Форда. Срок был назначен 20 августа. Объект не предъявлен до сего времени. Предполагается испытываться с 30-ти метровым парашютом, забракованным при госиспытаниях в Гатчине.</w:t>
      </w:r>
    </w:p>
    <w:p w14:paraId="4827F4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необходимо указать на то, что все сроки представления на испытание объектов Осконпробюро, указанные самим Гроховским не выполняются.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DA227A" w:rsidRPr="00E93F40" w14:paraId="10B862FD" w14:textId="77777777">
        <w:tc>
          <w:tcPr>
            <w:tcW w:w="3868" w:type="dxa"/>
          </w:tcPr>
          <w:p w14:paraId="3FDAA8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объектов</w:t>
            </w:r>
          </w:p>
        </w:tc>
        <w:tc>
          <w:tcPr>
            <w:tcW w:w="3868" w:type="dxa"/>
          </w:tcPr>
          <w:p w14:paraId="426D5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данный Гроховским</w:t>
            </w:r>
          </w:p>
          <w:p w14:paraId="77EB20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Отношения №№ БГ-28с и БГ-29с от 26 и 28 февраля 1932 года</w:t>
            </w:r>
          </w:p>
        </w:tc>
        <w:tc>
          <w:tcPr>
            <w:tcW w:w="3868" w:type="dxa"/>
          </w:tcPr>
          <w:p w14:paraId="123830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Фактический срок представления на госиспытания</w:t>
            </w:r>
          </w:p>
        </w:tc>
      </w:tr>
      <w:tr w:rsidR="00DA227A" w:rsidRPr="00E93F40" w14:paraId="5475D038" w14:textId="77777777">
        <w:tc>
          <w:tcPr>
            <w:tcW w:w="3868" w:type="dxa"/>
          </w:tcPr>
          <w:p w14:paraId="0CBA34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летнаблюдателя и бортмеханика</w:t>
            </w:r>
          </w:p>
        </w:tc>
        <w:tc>
          <w:tcPr>
            <w:tcW w:w="3868" w:type="dxa"/>
          </w:tcPr>
          <w:p w14:paraId="5E75C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w:t>
            </w:r>
          </w:p>
        </w:tc>
        <w:tc>
          <w:tcPr>
            <w:tcW w:w="3868" w:type="dxa"/>
          </w:tcPr>
          <w:p w14:paraId="67842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634B93AE" w14:textId="77777777">
        <w:tc>
          <w:tcPr>
            <w:tcW w:w="3868" w:type="dxa"/>
          </w:tcPr>
          <w:p w14:paraId="46C1D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 парашют с привязными ремнями без комбинезона</w:t>
            </w:r>
          </w:p>
        </w:tc>
        <w:tc>
          <w:tcPr>
            <w:tcW w:w="3868" w:type="dxa"/>
          </w:tcPr>
          <w:p w14:paraId="165738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w:t>
            </w:r>
          </w:p>
        </w:tc>
        <w:tc>
          <w:tcPr>
            <w:tcW w:w="3868" w:type="dxa"/>
          </w:tcPr>
          <w:p w14:paraId="2B1F1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мая 1932</w:t>
            </w:r>
          </w:p>
        </w:tc>
      </w:tr>
      <w:tr w:rsidR="00DA227A" w:rsidRPr="00E93F40" w14:paraId="1A64B7A7" w14:textId="77777777">
        <w:tc>
          <w:tcPr>
            <w:tcW w:w="3868" w:type="dxa"/>
          </w:tcPr>
          <w:p w14:paraId="656D5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Плоский парашют </w:t>
            </w:r>
          </w:p>
        </w:tc>
        <w:tc>
          <w:tcPr>
            <w:tcW w:w="3868" w:type="dxa"/>
          </w:tcPr>
          <w:p w14:paraId="2E3B68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марта 1932</w:t>
            </w:r>
          </w:p>
        </w:tc>
        <w:tc>
          <w:tcPr>
            <w:tcW w:w="3868" w:type="dxa"/>
          </w:tcPr>
          <w:p w14:paraId="3825BA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мая 1932</w:t>
            </w:r>
          </w:p>
        </w:tc>
      </w:tr>
      <w:tr w:rsidR="00DA227A" w:rsidRPr="00E93F40" w14:paraId="3948688D" w14:textId="77777777">
        <w:tc>
          <w:tcPr>
            <w:tcW w:w="3868" w:type="dxa"/>
          </w:tcPr>
          <w:p w14:paraId="24E65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Жироскопический парашют</w:t>
            </w:r>
          </w:p>
        </w:tc>
        <w:tc>
          <w:tcPr>
            <w:tcW w:w="3868" w:type="dxa"/>
          </w:tcPr>
          <w:p w14:paraId="32BC0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w:t>
            </w:r>
          </w:p>
        </w:tc>
        <w:tc>
          <w:tcPr>
            <w:tcW w:w="3868" w:type="dxa"/>
          </w:tcPr>
          <w:p w14:paraId="73770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35BCDF1E" w14:textId="77777777">
        <w:tc>
          <w:tcPr>
            <w:tcW w:w="3868" w:type="dxa"/>
          </w:tcPr>
          <w:p w14:paraId="29DFB2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Летающий агитпарашют</w:t>
            </w:r>
          </w:p>
        </w:tc>
        <w:tc>
          <w:tcPr>
            <w:tcW w:w="3868" w:type="dxa"/>
          </w:tcPr>
          <w:p w14:paraId="05DE2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w:t>
            </w:r>
          </w:p>
        </w:tc>
        <w:tc>
          <w:tcPr>
            <w:tcW w:w="3868" w:type="dxa"/>
          </w:tcPr>
          <w:p w14:paraId="370E2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19433655" w14:textId="77777777">
        <w:tc>
          <w:tcPr>
            <w:tcW w:w="3868" w:type="dxa"/>
          </w:tcPr>
          <w:p w14:paraId="29C847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Летающий парашют с громкоговорящей радиоустановкой</w:t>
            </w:r>
          </w:p>
        </w:tc>
        <w:tc>
          <w:tcPr>
            <w:tcW w:w="3868" w:type="dxa"/>
          </w:tcPr>
          <w:p w14:paraId="035AD7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w:t>
            </w:r>
          </w:p>
        </w:tc>
        <w:tc>
          <w:tcPr>
            <w:tcW w:w="3868" w:type="dxa"/>
          </w:tcPr>
          <w:p w14:paraId="4EF7F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52489835" w14:textId="77777777">
        <w:tc>
          <w:tcPr>
            <w:tcW w:w="3868" w:type="dxa"/>
          </w:tcPr>
          <w:p w14:paraId="42880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Летающий парашют для прыжков</w:t>
            </w:r>
          </w:p>
        </w:tc>
        <w:tc>
          <w:tcPr>
            <w:tcW w:w="3868" w:type="dxa"/>
          </w:tcPr>
          <w:p w14:paraId="786D8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июля 1932</w:t>
            </w:r>
          </w:p>
        </w:tc>
        <w:tc>
          <w:tcPr>
            <w:tcW w:w="3868" w:type="dxa"/>
          </w:tcPr>
          <w:p w14:paraId="1DBF6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61AD7878" w14:textId="77777777">
        <w:tc>
          <w:tcPr>
            <w:tcW w:w="3868" w:type="dxa"/>
          </w:tcPr>
          <w:p w14:paraId="46040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полевого 76 мм орудия</w:t>
            </w:r>
          </w:p>
        </w:tc>
        <w:tc>
          <w:tcPr>
            <w:tcW w:w="3868" w:type="dxa"/>
          </w:tcPr>
          <w:p w14:paraId="24984E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мая 1932</w:t>
            </w:r>
          </w:p>
        </w:tc>
        <w:tc>
          <w:tcPr>
            <w:tcW w:w="3868" w:type="dxa"/>
          </w:tcPr>
          <w:p w14:paraId="020DAC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августа 1932</w:t>
            </w:r>
          </w:p>
        </w:tc>
      </w:tr>
      <w:tr w:rsidR="00DA227A" w:rsidRPr="00E93F40" w14:paraId="7B8AC4A8" w14:textId="77777777">
        <w:tc>
          <w:tcPr>
            <w:tcW w:w="3868" w:type="dxa"/>
          </w:tcPr>
          <w:p w14:paraId="56F37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авто Форд, переделанного в полугрузовик на 1 тонну</w:t>
            </w:r>
          </w:p>
        </w:tc>
        <w:tc>
          <w:tcPr>
            <w:tcW w:w="3868" w:type="dxa"/>
          </w:tcPr>
          <w:p w14:paraId="55946E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апреля 1932</w:t>
            </w:r>
          </w:p>
        </w:tc>
        <w:tc>
          <w:tcPr>
            <w:tcW w:w="3868" w:type="dxa"/>
          </w:tcPr>
          <w:p w14:paraId="3A662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0270B623" w14:textId="77777777">
        <w:tc>
          <w:tcPr>
            <w:tcW w:w="3868" w:type="dxa"/>
          </w:tcPr>
          <w:p w14:paraId="15A74D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танкетки с самолета ТБ-1</w:t>
            </w:r>
          </w:p>
        </w:tc>
        <w:tc>
          <w:tcPr>
            <w:tcW w:w="3868" w:type="dxa"/>
          </w:tcPr>
          <w:p w14:paraId="4E532E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августа 1932</w:t>
            </w:r>
          </w:p>
        </w:tc>
        <w:tc>
          <w:tcPr>
            <w:tcW w:w="3868" w:type="dxa"/>
          </w:tcPr>
          <w:p w14:paraId="6832D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18099015" w14:textId="77777777">
        <w:tc>
          <w:tcPr>
            <w:tcW w:w="3868" w:type="dxa"/>
          </w:tcPr>
          <w:p w14:paraId="39080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мотоциклов Харлей 3 НР с самолета Р-5</w:t>
            </w:r>
          </w:p>
        </w:tc>
        <w:tc>
          <w:tcPr>
            <w:tcW w:w="3868" w:type="dxa"/>
          </w:tcPr>
          <w:p w14:paraId="04ACE1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апреля 1932</w:t>
            </w:r>
          </w:p>
        </w:tc>
        <w:tc>
          <w:tcPr>
            <w:tcW w:w="3868" w:type="dxa"/>
          </w:tcPr>
          <w:p w14:paraId="77587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июня 1932</w:t>
            </w:r>
          </w:p>
        </w:tc>
      </w:tr>
      <w:tr w:rsidR="00DA227A" w:rsidRPr="00E93F40" w14:paraId="4FDF4E8C" w14:textId="77777777">
        <w:tc>
          <w:tcPr>
            <w:tcW w:w="3868" w:type="dxa"/>
          </w:tcPr>
          <w:p w14:paraId="41E93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установка для сбрасывания мотоциклов с прицепкой с самолета ТБ-1</w:t>
            </w:r>
          </w:p>
        </w:tc>
        <w:tc>
          <w:tcPr>
            <w:tcW w:w="3868" w:type="dxa"/>
          </w:tcPr>
          <w:p w14:paraId="2B5EA5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 1932</w:t>
            </w:r>
          </w:p>
        </w:tc>
        <w:tc>
          <w:tcPr>
            <w:tcW w:w="3868" w:type="dxa"/>
          </w:tcPr>
          <w:p w14:paraId="69006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43F73065" w14:textId="77777777">
        <w:tc>
          <w:tcPr>
            <w:tcW w:w="3868" w:type="dxa"/>
          </w:tcPr>
          <w:p w14:paraId="44D52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летчика</w:t>
            </w:r>
          </w:p>
        </w:tc>
        <w:tc>
          <w:tcPr>
            <w:tcW w:w="3868" w:type="dxa"/>
          </w:tcPr>
          <w:p w14:paraId="413B62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1932</w:t>
            </w:r>
          </w:p>
        </w:tc>
        <w:tc>
          <w:tcPr>
            <w:tcW w:w="3868" w:type="dxa"/>
          </w:tcPr>
          <w:p w14:paraId="1E2D1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5A53FC10" w14:textId="77777777">
        <w:tc>
          <w:tcPr>
            <w:tcW w:w="3868" w:type="dxa"/>
          </w:tcPr>
          <w:p w14:paraId="7D087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Автоматический выбрасыватель Г60 для сбрасывания красноармейцев с самолета АНТ-9</w:t>
            </w:r>
          </w:p>
        </w:tc>
        <w:tc>
          <w:tcPr>
            <w:tcW w:w="3868" w:type="dxa"/>
          </w:tcPr>
          <w:p w14:paraId="491B5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июля 1932</w:t>
            </w:r>
          </w:p>
        </w:tc>
        <w:tc>
          <w:tcPr>
            <w:tcW w:w="3868" w:type="dxa"/>
          </w:tcPr>
          <w:p w14:paraId="393FA9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14350D76" w14:textId="77777777">
        <w:tc>
          <w:tcPr>
            <w:tcW w:w="3868" w:type="dxa"/>
          </w:tcPr>
          <w:p w14:paraId="62F9C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 для взятия грузов и людей Г-53. Люди и грузы поднимаются с земли на самолет без посадки</w:t>
            </w:r>
          </w:p>
        </w:tc>
        <w:tc>
          <w:tcPr>
            <w:tcW w:w="3868" w:type="dxa"/>
          </w:tcPr>
          <w:p w14:paraId="2400D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июля 1932</w:t>
            </w:r>
          </w:p>
        </w:tc>
        <w:tc>
          <w:tcPr>
            <w:tcW w:w="3868" w:type="dxa"/>
          </w:tcPr>
          <w:p w14:paraId="4F5BEA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0AA71143" w14:textId="77777777">
        <w:tc>
          <w:tcPr>
            <w:tcW w:w="3868" w:type="dxa"/>
          </w:tcPr>
          <w:p w14:paraId="52521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Распылитель кабеля Г-54а (прокладка телефонной связи с самолета на 20 км)</w:t>
            </w:r>
          </w:p>
        </w:tc>
        <w:tc>
          <w:tcPr>
            <w:tcW w:w="3868" w:type="dxa"/>
          </w:tcPr>
          <w:p w14:paraId="31E19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марта 1932</w:t>
            </w:r>
          </w:p>
        </w:tc>
        <w:tc>
          <w:tcPr>
            <w:tcW w:w="3868" w:type="dxa"/>
          </w:tcPr>
          <w:p w14:paraId="37491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25 марта был лишь представлен маленький короб. К 20 июля короб для Р-5. Коробов на К5 и АНТ9 по указанию НИИ нет до сего времени.</w:t>
            </w:r>
          </w:p>
        </w:tc>
      </w:tr>
      <w:tr w:rsidR="00DA227A" w:rsidRPr="00E93F40" w14:paraId="255B14DB" w14:textId="77777777">
        <w:tc>
          <w:tcPr>
            <w:tcW w:w="3868" w:type="dxa"/>
          </w:tcPr>
          <w:p w14:paraId="464DF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Г-63 (буксируется разведывательного типа самолетом с грузоподъемностью 17 человек и 500 кг груза)</w:t>
            </w:r>
          </w:p>
        </w:tc>
        <w:tc>
          <w:tcPr>
            <w:tcW w:w="3868" w:type="dxa"/>
          </w:tcPr>
          <w:p w14:paraId="37B754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мая 1932</w:t>
            </w:r>
          </w:p>
        </w:tc>
        <w:tc>
          <w:tcPr>
            <w:tcW w:w="3868" w:type="dxa"/>
          </w:tcPr>
          <w:p w14:paraId="0F28A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557F733F" w14:textId="77777777">
        <w:tc>
          <w:tcPr>
            <w:tcW w:w="3868" w:type="dxa"/>
          </w:tcPr>
          <w:p w14:paraId="323BD5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Г-64 (буксируется самолетом) с грузоподъемностью 50 человек</w:t>
            </w:r>
          </w:p>
        </w:tc>
        <w:tc>
          <w:tcPr>
            <w:tcW w:w="3868" w:type="dxa"/>
          </w:tcPr>
          <w:p w14:paraId="3C84D9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сентября 1932</w:t>
            </w:r>
          </w:p>
        </w:tc>
        <w:tc>
          <w:tcPr>
            <w:tcW w:w="3868" w:type="dxa"/>
          </w:tcPr>
          <w:p w14:paraId="4FAA5B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первый тип еще не готов возможно, что и второй, более сложный также к 20 сентября готов не будет</w:t>
            </w:r>
          </w:p>
        </w:tc>
      </w:tr>
      <w:tr w:rsidR="00DA227A" w:rsidRPr="00E93F40" w14:paraId="39CA4713" w14:textId="77777777">
        <w:tc>
          <w:tcPr>
            <w:tcW w:w="3868" w:type="dxa"/>
          </w:tcPr>
          <w:p w14:paraId="15751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 Г-54а для сбрасывания 12 красноармейцев без парашюта с бреющего полета ТБ1</w:t>
            </w:r>
          </w:p>
        </w:tc>
        <w:tc>
          <w:tcPr>
            <w:tcW w:w="3868" w:type="dxa"/>
          </w:tcPr>
          <w:p w14:paraId="475E1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w:t>
            </w:r>
          </w:p>
        </w:tc>
        <w:tc>
          <w:tcPr>
            <w:tcW w:w="3868" w:type="dxa"/>
          </w:tcPr>
          <w:p w14:paraId="00759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предъявлен до сего времени</w:t>
            </w:r>
          </w:p>
        </w:tc>
      </w:tr>
      <w:tr w:rsidR="00DA227A" w:rsidRPr="00E93F40" w14:paraId="66F3C5DB" w14:textId="77777777">
        <w:tc>
          <w:tcPr>
            <w:tcW w:w="3868" w:type="dxa"/>
          </w:tcPr>
          <w:p w14:paraId="201564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Авиабусная площадка Г-51 для сбрасывания разнообразных грузов (весом в 1 тонну) с бреющего полета ТБ1</w:t>
            </w:r>
          </w:p>
        </w:tc>
        <w:tc>
          <w:tcPr>
            <w:tcW w:w="3868" w:type="dxa"/>
          </w:tcPr>
          <w:p w14:paraId="6FC5A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июня 1932</w:t>
            </w:r>
          </w:p>
        </w:tc>
        <w:tc>
          <w:tcPr>
            <w:tcW w:w="3868" w:type="dxa"/>
          </w:tcPr>
          <w:p w14:paraId="0D2531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июня вес самого авиабуса превосходил 1 тонну</w:t>
            </w:r>
          </w:p>
        </w:tc>
      </w:tr>
      <w:tr w:rsidR="00DA227A" w:rsidRPr="00E93F40" w14:paraId="0B745B50" w14:textId="77777777">
        <w:tc>
          <w:tcPr>
            <w:tcW w:w="3868" w:type="dxa"/>
          </w:tcPr>
          <w:p w14:paraId="30FA5A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Авиабус малый Г-68 для сбрасывания грузов с самолета Р-5</w:t>
            </w:r>
          </w:p>
        </w:tc>
        <w:tc>
          <w:tcPr>
            <w:tcW w:w="3868" w:type="dxa"/>
          </w:tcPr>
          <w:p w14:paraId="0F7252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июня 1932</w:t>
            </w:r>
          </w:p>
        </w:tc>
        <w:tc>
          <w:tcPr>
            <w:tcW w:w="3868" w:type="dxa"/>
          </w:tcPr>
          <w:p w14:paraId="2FD7F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июня 1932</w:t>
            </w:r>
          </w:p>
        </w:tc>
      </w:tr>
      <w:tr w:rsidR="00DA227A" w:rsidRPr="00E93F40" w14:paraId="49C7D3C9" w14:textId="77777777">
        <w:tc>
          <w:tcPr>
            <w:tcW w:w="3868" w:type="dxa"/>
          </w:tcPr>
          <w:p w14:paraId="09DFB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Аппаратура для переливки бензина в воздухе с самолета Р5 на самолет ТБ1</w:t>
            </w:r>
          </w:p>
        </w:tc>
        <w:tc>
          <w:tcPr>
            <w:tcW w:w="3868" w:type="dxa"/>
          </w:tcPr>
          <w:p w14:paraId="65B01A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апреля 1932</w:t>
            </w:r>
          </w:p>
        </w:tc>
        <w:tc>
          <w:tcPr>
            <w:tcW w:w="3868" w:type="dxa"/>
          </w:tcPr>
          <w:p w14:paraId="2FFE4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августа 1932</w:t>
            </w:r>
          </w:p>
        </w:tc>
      </w:tr>
    </w:tbl>
    <w:p w14:paraId="12149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устранения в будущем подобного родя явлений, бесполезной траты народных денег и задержки испытаний считал бы целесообразным установить следующий порядок как постройки объектов Осконпробюро ВВС, так и представления их на госипытания, равно как и самих госиспытаний.</w:t>
      </w:r>
    </w:p>
    <w:p w14:paraId="3A0F461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объекты разрабатываются на основании тактико-технических требований, даваемых учреждением давшим задание.</w:t>
      </w:r>
    </w:p>
    <w:p w14:paraId="7700002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разработки окончательного проекта объекта, в НИИ ВВС представляется на утверждение эскизный проект, после чего уже можно приступить к проектированию.</w:t>
      </w:r>
    </w:p>
    <w:p w14:paraId="561282F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Готовый проект со всеми расчетами и чертежами также представляется в НИИ на утверждение, после чего пускается в производство.</w:t>
      </w:r>
    </w:p>
    <w:p w14:paraId="1F3699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НИИ ВВС имеет право вести наблюдение за постройкой объекта в любой стадии.</w:t>
      </w:r>
    </w:p>
    <w:p w14:paraId="0CB2E6F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Готовый объект поступает на заводские испытания с обязательным участием представителя НИИ, после чего исправляется, если нужно и уже тогла предъявляется на госиспытания, причем передача производится по приемо-сдаточному акту.</w:t>
      </w:r>
    </w:p>
    <w:p w14:paraId="4653F03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Госиспытания производятся НИИ ВВС с участием представителя Осконпробюро и обслуживаются рабочей силой Осконпробюро.</w:t>
      </w:r>
    </w:p>
    <w:p w14:paraId="1D326CC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Осконпробюро одновременно с представлением объекта на госиспытание обязано дать в письменном виде краткую инструкцию на пользование данным объектом, равно как и все приспособления для проведения госиспытаний (грузовые снаряды, динамометры и пр.).</w:t>
      </w:r>
    </w:p>
    <w:p w14:paraId="3284EEF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окончании госиспытаний, при наличии положительных испытаний Осконпробюро должно в 10-ти дневный срок с момента утверждения заключения по госиспытаниям заместителем начальника ВВС представить в НИИ ВВС чертежи, техусловия и эталоны прошедших испытание образцов (7470, 338-344).</w:t>
      </w:r>
    </w:p>
    <w:p w14:paraId="30D0EC5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A07F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августа 1932 ЦК ВЛКСМ принял постановление "О содействии военному авиационному строительству" (66,170).</w:t>
      </w:r>
    </w:p>
    <w:p w14:paraId="7DDC5B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B1BAE5"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25BA85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5651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августа 1932 года под председательством Н.А.Ефимова в ГТУ состо</w:t>
      </w:r>
      <w:r w:rsidRPr="00E93F40">
        <w:rPr>
          <w:rFonts w:ascii="Times New Roman" w:hAnsi="Times New Roman"/>
          <w:color w:val="000000" w:themeColor="text1"/>
          <w:sz w:val="16"/>
          <w:szCs w:val="16"/>
        </w:rPr>
        <w:softHyphen/>
        <w:t>ялась конференция участников поездки в Италию в составе комиссии под председательством заместителя начальника вооружений РККА Н.А.Ефимова для изучения «состо</w:t>
      </w:r>
      <w:r w:rsidRPr="00E93F40">
        <w:rPr>
          <w:rFonts w:ascii="Times New Roman" w:hAnsi="Times New Roman"/>
          <w:color w:val="000000" w:themeColor="text1"/>
          <w:sz w:val="16"/>
          <w:szCs w:val="16"/>
        </w:rPr>
        <w:softHyphen/>
        <w:t>яния итальянской промышленности и систем вооружения итальянской армии» совместно с начальни</w:t>
      </w:r>
      <w:r w:rsidRPr="00E93F40">
        <w:rPr>
          <w:rFonts w:ascii="Times New Roman" w:hAnsi="Times New Roman"/>
          <w:color w:val="000000" w:themeColor="text1"/>
          <w:sz w:val="16"/>
          <w:szCs w:val="16"/>
        </w:rPr>
        <w:softHyphen/>
        <w:t>ками Центральных управлений Наркомтяжпрома и РККА, на которой были рассмотрены результаты поездки. Ни один из образцов итальянских танков не привлек внимания членов комиссии (11504).</w:t>
      </w:r>
    </w:p>
    <w:p w14:paraId="3778B6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7CBCC" w14:textId="77777777" w:rsidR="00DC3115"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95220AF" w14:textId="77777777" w:rsidR="00DC3115" w:rsidRPr="00E93F40" w:rsidRDefault="00DC311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EBCAFAB" w14:textId="77777777" w:rsidR="00DC3115" w:rsidRPr="00E93F40" w:rsidRDefault="00DC31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31 августа </w:t>
      </w:r>
      <w:r w:rsidRPr="00E93F40">
        <w:rPr>
          <w:rFonts w:ascii="Times New Roman" w:hAnsi="Times New Roman"/>
          <w:color w:val="000000" w:themeColor="text1"/>
          <w:sz w:val="16"/>
          <w:szCs w:val="16"/>
        </w:rPr>
        <w:t>в 1932 году в Зимнем дворце открыт Всесоюзный музей ВЛКСМ - первый в стране музей истории юношеского коммунистического движения</w:t>
      </w:r>
    </w:p>
    <w:p w14:paraId="47AC01A5" w14:textId="77777777" w:rsidR="00DC3115" w:rsidRPr="00E93F40" w:rsidRDefault="00DC3115" w:rsidP="00E93F40">
      <w:pPr>
        <w:spacing w:after="0" w:line="240" w:lineRule="auto"/>
        <w:jc w:val="both"/>
        <w:rPr>
          <w:rFonts w:ascii="Times New Roman" w:hAnsi="Times New Roman"/>
          <w:color w:val="000000" w:themeColor="text1"/>
          <w:sz w:val="16"/>
          <w:szCs w:val="16"/>
        </w:rPr>
      </w:pPr>
    </w:p>
    <w:p w14:paraId="6C6A031E" w14:textId="5B403536" w:rsidR="007C1411" w:rsidRPr="00E93F40" w:rsidRDefault="007C1411"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Ха рубежлм:</w:t>
      </w:r>
    </w:p>
    <w:p w14:paraId="24E52CCE" w14:textId="77777777" w:rsidR="007C1411" w:rsidRPr="00E93F40" w:rsidRDefault="007C1411"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06F49C2D" w14:textId="77777777" w:rsidR="007C1411"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августа 1932 г. перуанские войска оккупировали стратегически важный порт Летиция, расположенный в верховьях Амазонки. Этот район Амазонии являлся предметом территориального спора между Перу и Колумбией. В ответ на действия перуанцев президент Колумбии Энрике Олайя Геррера направил к Петиции армейские подразделения при поддержке трех самолетов Ju-52/3m. В июле 1933 г. контроль Колумбии над спорным районом закрепила Лига Наций (24200).</w:t>
      </w:r>
    </w:p>
    <w:p w14:paraId="71182CCE" w14:textId="77777777" w:rsidR="007C1411" w:rsidRPr="00E93F40" w:rsidRDefault="007C1411" w:rsidP="00E93F40">
      <w:pPr>
        <w:spacing w:after="0" w:line="240" w:lineRule="auto"/>
        <w:jc w:val="both"/>
        <w:rPr>
          <w:rFonts w:ascii="Times New Roman" w:hAnsi="Times New Roman"/>
          <w:color w:val="000000" w:themeColor="text1"/>
          <w:sz w:val="16"/>
          <w:szCs w:val="16"/>
        </w:rPr>
      </w:pPr>
    </w:p>
    <w:p w14:paraId="2CC7FE92" w14:textId="3A0675E2"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F7DE28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E85EA1"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конце августа 1932 г. военный заказчик от</w:t>
      </w:r>
      <w:r w:rsidRPr="00E93F40">
        <w:rPr>
          <w:rFonts w:ascii="Times New Roman" w:hAnsi="Times New Roman"/>
          <w:color w:val="000000" w:themeColor="text1"/>
          <w:sz w:val="16"/>
          <w:szCs w:val="16"/>
          <w:lang w:eastAsia="ru-RU" w:bidi="ru-RU"/>
        </w:rPr>
        <w:softHyphen/>
        <w:t>казался принимать самолеты АНТ-9 таганрогского завода 31 с моторами М-26. Тогда ма</w:t>
      </w:r>
      <w:r w:rsidRPr="00E93F40">
        <w:rPr>
          <w:rFonts w:ascii="Times New Roman" w:hAnsi="Times New Roman"/>
          <w:color w:val="000000" w:themeColor="text1"/>
          <w:sz w:val="16"/>
          <w:szCs w:val="16"/>
          <w:lang w:eastAsia="ru-RU" w:bidi="ru-RU"/>
        </w:rPr>
        <w:softHyphen/>
        <w:t>шины таганрогской сборки были предложены Гражданско</w:t>
      </w:r>
      <w:r w:rsidRPr="00E93F40">
        <w:rPr>
          <w:rFonts w:ascii="Times New Roman" w:hAnsi="Times New Roman"/>
          <w:color w:val="000000" w:themeColor="text1"/>
          <w:sz w:val="16"/>
          <w:szCs w:val="16"/>
          <w:lang w:eastAsia="ru-RU" w:bidi="ru-RU"/>
        </w:rPr>
        <w:softHyphen/>
        <w:t>му воздушному флоту, но и тут, несмотря на то, что завод «собрал первый экземпляр данного типа, внеся в него все изменения», и провел летные испытания, представитель ГВФ отказался его принимать. Мотивировал он это тем, что не примет самолет «без значительных изменений винто</w:t>
      </w:r>
      <w:r w:rsidRPr="00E93F40">
        <w:rPr>
          <w:rFonts w:ascii="Times New Roman" w:hAnsi="Times New Roman"/>
          <w:color w:val="000000" w:themeColor="text1"/>
          <w:sz w:val="16"/>
          <w:szCs w:val="16"/>
          <w:lang w:eastAsia="ru-RU" w:bidi="ru-RU"/>
        </w:rPr>
        <w:softHyphen/>
        <w:t>моторной группы, центровки и рулей глубины». Более то</w:t>
      </w:r>
      <w:r w:rsidRPr="00E93F40">
        <w:rPr>
          <w:rFonts w:ascii="Times New Roman" w:hAnsi="Times New Roman"/>
          <w:color w:val="000000" w:themeColor="text1"/>
          <w:sz w:val="16"/>
          <w:szCs w:val="16"/>
          <w:lang w:eastAsia="ru-RU" w:bidi="ru-RU"/>
        </w:rPr>
        <w:softHyphen/>
        <w:t>го, он сообщил дирекции завода, что заказчик планирует принять только четыре самолета из запланированных 15 и заказывать дополнительные самолеты АНТ-9 заводу №31 не предполагает.</w:t>
      </w:r>
    </w:p>
    <w:p w14:paraId="27830102" w14:textId="77777777" w:rsidR="00213ABE" w:rsidRPr="00E93F40" w:rsidRDefault="00213ABE"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 конечном счете, производство АНТ-9 быстро сверну</w:t>
      </w:r>
      <w:r w:rsidRPr="00E93F40">
        <w:rPr>
          <w:rFonts w:ascii="Times New Roman" w:hAnsi="Times New Roman"/>
          <w:color w:val="000000" w:themeColor="text1"/>
          <w:sz w:val="16"/>
          <w:szCs w:val="16"/>
          <w:lang w:eastAsia="ru-RU" w:bidi="ru-RU"/>
        </w:rPr>
        <w:softHyphen/>
        <w:t>ли, собрав за 1932 г. всего пять машин из готовых узлов и агрегатов, полученных с завода №22. Оставшийся задел на 32 самолета (в некоторых документах говорится о пе</w:t>
      </w:r>
      <w:r w:rsidRPr="00E93F40">
        <w:rPr>
          <w:rFonts w:ascii="Times New Roman" w:hAnsi="Times New Roman"/>
          <w:color w:val="000000" w:themeColor="text1"/>
          <w:sz w:val="16"/>
          <w:szCs w:val="16"/>
          <w:lang w:eastAsia="ru-RU" w:bidi="ru-RU"/>
        </w:rPr>
        <w:softHyphen/>
        <w:t>реданном на завод №31 заделе на 50 машин, но часть его признали браком, часть пострадала при перевозке из Фи</w:t>
      </w:r>
      <w:r w:rsidRPr="00E93F40">
        <w:rPr>
          <w:rFonts w:ascii="Times New Roman" w:hAnsi="Times New Roman"/>
          <w:color w:val="000000" w:themeColor="text1"/>
          <w:sz w:val="16"/>
          <w:szCs w:val="16"/>
          <w:lang w:eastAsia="ru-RU" w:bidi="ru-RU"/>
        </w:rPr>
        <w:softHyphen/>
        <w:t>лей, а часть сгнила уже в Таганроге) в 1933 г. все-таки пе</w:t>
      </w:r>
      <w:r w:rsidRPr="00E93F40">
        <w:rPr>
          <w:rFonts w:ascii="Times New Roman" w:hAnsi="Times New Roman"/>
          <w:color w:val="000000" w:themeColor="text1"/>
          <w:sz w:val="16"/>
          <w:szCs w:val="16"/>
          <w:lang w:eastAsia="ru-RU" w:bidi="ru-RU"/>
        </w:rPr>
        <w:softHyphen/>
        <w:t>редали в гражданскую авиацию для дальнейшей дост</w:t>
      </w:r>
      <w:r w:rsidRPr="00E93F40">
        <w:rPr>
          <w:rFonts w:ascii="Times New Roman" w:hAnsi="Times New Roman"/>
          <w:color w:val="000000" w:themeColor="text1"/>
          <w:sz w:val="16"/>
          <w:szCs w:val="16"/>
          <w:lang w:eastAsia="ru-RU" w:bidi="ru-RU"/>
        </w:rPr>
        <w:softHyphen/>
        <w:t>ройки уже на предприятиях ГВФ (20325).</w:t>
      </w:r>
    </w:p>
    <w:p w14:paraId="67CA7E3F" w14:textId="77777777" w:rsidR="00213ABE" w:rsidRPr="00E93F40" w:rsidRDefault="00213ABE" w:rsidP="00E93F40">
      <w:pPr>
        <w:spacing w:after="0" w:line="240" w:lineRule="auto"/>
        <w:jc w:val="both"/>
        <w:rPr>
          <w:rFonts w:ascii="Times New Roman" w:hAnsi="Times New Roman"/>
          <w:color w:val="000000" w:themeColor="text1"/>
          <w:sz w:val="16"/>
          <w:szCs w:val="16"/>
        </w:rPr>
      </w:pPr>
    </w:p>
    <w:p w14:paraId="6B685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августа 1932 года в начальник воздушных сил Алкснис поставил задачу перед НИИ ВС произвести обследования находящихся на вооружении самолетов и вновь проектируемых в упомянутом году, на предмет их годности к использованию как транспортных (4213).</w:t>
      </w:r>
    </w:p>
    <w:p w14:paraId="1DE2D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разрешении задачи – выявить эффективность каждого типа самолета в использовании как транспортника – обратить внимание на самолет ТБ-1, каковой желательно использовать, как транспортник. При разрешении этого вопроса, иметь ввиду задачу перевозки следующих грузов на транспортных самолетах: горючие, смазочное для самолетов ТБ-3, аэродромное оборудование, инженерно-технический состав, авиабомбы различных калибров, вооружение (пушки, пулеметы) артснаряды, авиамоторы, перевозку раненых, продовольствие и на случай возможности использования этх транспортников для высадки десанта в тылу у противника и т.д. (4213).</w:t>
      </w:r>
    </w:p>
    <w:p w14:paraId="220B2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B8D4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августа 1932 на серийном Р-5 М-17, на котором в начале августа 1934 были установлены специальное тормозное шасси и тормозные колеса, было совершено около 150 посадок (без тормозных колодок) (2314,21).</w:t>
      </w:r>
    </w:p>
    <w:p w14:paraId="6DCE2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E8EF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августа 1932 выкатили на аэродром АИР-7 (212,14).</w:t>
      </w:r>
    </w:p>
    <w:p w14:paraId="3B3F1D02" w14:textId="3256549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B52568" w14:textId="2CF9F2A5" w:rsidR="00757BC4" w:rsidRPr="00E93F40" w:rsidRDefault="00757BC4"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2AEE2064" w14:textId="77777777" w:rsidR="00757BC4" w:rsidRPr="00E93F40" w:rsidRDefault="00757BC4"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0C5D6E74" w14:textId="77777777" w:rsidR="00757BC4" w:rsidRPr="00E93F40" w:rsidRDefault="00757B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августа — начале сентября 1932 13 ТБ-3 собрались под Хабаровском. Указанное количе</w:t>
      </w:r>
      <w:r w:rsidRPr="00E93F40">
        <w:rPr>
          <w:rFonts w:ascii="Times New Roman" w:hAnsi="Times New Roman"/>
          <w:color w:val="000000" w:themeColor="text1"/>
          <w:sz w:val="16"/>
          <w:szCs w:val="16"/>
        </w:rPr>
        <w:softHyphen/>
        <w:t>ство совсем немного превышало число самолетов в одной эскадрилье. Однако это был весьма неплохой результат. Тем более что условий для прибывших са</w:t>
      </w:r>
      <w:r w:rsidRPr="00E93F40">
        <w:rPr>
          <w:rFonts w:ascii="Times New Roman" w:hAnsi="Times New Roman"/>
          <w:color w:val="000000" w:themeColor="text1"/>
          <w:sz w:val="16"/>
          <w:szCs w:val="16"/>
        </w:rPr>
        <w:softHyphen/>
        <w:t>молетов и экипажей создать не успели. Аэродромы предстоящего базирования, Воздвиженка и Спасский, на тот момент уже были полностью насыщены воин</w:t>
      </w:r>
      <w:r w:rsidRPr="00E93F40">
        <w:rPr>
          <w:rFonts w:ascii="Times New Roman" w:hAnsi="Times New Roman"/>
          <w:color w:val="000000" w:themeColor="text1"/>
          <w:sz w:val="16"/>
          <w:szCs w:val="16"/>
        </w:rPr>
        <w:softHyphen/>
        <w:t>скими частями. Аэродромное обеспечение, как это ча</w:t>
      </w:r>
      <w:r w:rsidRPr="00E93F40">
        <w:rPr>
          <w:rFonts w:ascii="Times New Roman" w:hAnsi="Times New Roman"/>
          <w:color w:val="000000" w:themeColor="text1"/>
          <w:sz w:val="16"/>
          <w:szCs w:val="16"/>
        </w:rPr>
        <w:softHyphen/>
        <w:t>сто бывает, в полной мере подготовить не удалось. В частности, про имеющиеся аэродромы говорилось, что они для тяжелых машин не подходят, ТБ-3 при выполнении рулежки проваливались, поэтому требо</w:t>
      </w:r>
      <w:r w:rsidRPr="00E93F40">
        <w:rPr>
          <w:rFonts w:ascii="Times New Roman" w:hAnsi="Times New Roman"/>
          <w:color w:val="000000" w:themeColor="text1"/>
          <w:sz w:val="16"/>
          <w:szCs w:val="16"/>
        </w:rPr>
        <w:softHyphen/>
        <w:t>вался или более плотный грунт, или специально под</w:t>
      </w:r>
      <w:r w:rsidRPr="00E93F40">
        <w:rPr>
          <w:rFonts w:ascii="Times New Roman" w:hAnsi="Times New Roman"/>
          <w:color w:val="000000" w:themeColor="text1"/>
          <w:sz w:val="16"/>
          <w:szCs w:val="16"/>
        </w:rPr>
        <w:softHyphen/>
        <w:t>готовленные рулежные и взлетные полосы.</w:t>
      </w:r>
    </w:p>
    <w:p w14:paraId="77630E9C" w14:textId="77777777" w:rsidR="00757BC4" w:rsidRPr="00E93F40" w:rsidRDefault="00757B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Одним словом, в тот год удовлетворились достиг</w:t>
      </w:r>
      <w:r w:rsidRPr="00E93F40">
        <w:rPr>
          <w:rFonts w:ascii="Times New Roman" w:hAnsi="Times New Roman"/>
          <w:color w:val="000000" w:themeColor="text1"/>
          <w:sz w:val="16"/>
          <w:szCs w:val="16"/>
        </w:rPr>
        <w:softHyphen/>
        <w:t>нутым результатом. 10 экипажей после окончания перелета вернулись в Москву, откуда до конца года надеялись перегнать остальные машины 106-й эскад</w:t>
      </w:r>
      <w:r w:rsidRPr="00E93F40">
        <w:rPr>
          <w:rFonts w:ascii="Times New Roman" w:hAnsi="Times New Roman"/>
          <w:color w:val="000000" w:themeColor="text1"/>
          <w:sz w:val="16"/>
          <w:szCs w:val="16"/>
        </w:rPr>
        <w:softHyphen/>
        <w:t>рильи и полностью 107-ю эскадрилью. Впрочем, по</w:t>
      </w:r>
      <w:r w:rsidRPr="00E93F40">
        <w:rPr>
          <w:rFonts w:ascii="Times New Roman" w:hAnsi="Times New Roman"/>
          <w:color w:val="000000" w:themeColor="text1"/>
          <w:sz w:val="16"/>
          <w:szCs w:val="16"/>
        </w:rPr>
        <w:softHyphen/>
        <w:t>годные условия на маршруте осенью становились значительно сложнее, поэтому все-таки было решено все последующие действия перенести на 1933 год. В результате на Дальнем Востоке на зимовку остались 13 ТБ-3 и 3 экипажа.</w:t>
      </w:r>
    </w:p>
    <w:p w14:paraId="2E3478E6" w14:textId="77777777" w:rsidR="00757BC4" w:rsidRPr="00E93F40" w:rsidRDefault="00757B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следует отметить, что к перелету ТБ-3 на Дальний Восток заметный интерес проявили япон</w:t>
      </w:r>
      <w:r w:rsidRPr="00E93F40">
        <w:rPr>
          <w:rFonts w:ascii="Times New Roman" w:hAnsi="Times New Roman"/>
          <w:color w:val="000000" w:themeColor="text1"/>
          <w:sz w:val="16"/>
          <w:szCs w:val="16"/>
        </w:rPr>
        <w:softHyphen/>
        <w:t>цы. Так как все воздушные передвижения соверша</w:t>
      </w:r>
      <w:r w:rsidRPr="00E93F40">
        <w:rPr>
          <w:rFonts w:ascii="Times New Roman" w:hAnsi="Times New Roman"/>
          <w:color w:val="000000" w:themeColor="text1"/>
          <w:sz w:val="16"/>
          <w:szCs w:val="16"/>
        </w:rPr>
        <w:softHyphen/>
        <w:t>лись вдоль Транссибирской магистрали, то самолеты можно было при желании не только увидеть, но и пересчитать. Сообщалось, что представитель япон</w:t>
      </w:r>
      <w:r w:rsidRPr="00E93F40">
        <w:rPr>
          <w:rFonts w:ascii="Times New Roman" w:hAnsi="Times New Roman"/>
          <w:color w:val="000000" w:themeColor="text1"/>
          <w:sz w:val="16"/>
          <w:szCs w:val="16"/>
        </w:rPr>
        <w:softHyphen/>
        <w:t>ского консульства приобрел билет на пассажирский самолет из Новосибирска до Омска, навстречу про</w:t>
      </w:r>
      <w:r w:rsidRPr="00E93F40">
        <w:rPr>
          <w:rFonts w:ascii="Times New Roman" w:hAnsi="Times New Roman"/>
          <w:color w:val="000000" w:themeColor="text1"/>
          <w:sz w:val="16"/>
          <w:szCs w:val="16"/>
        </w:rPr>
        <w:softHyphen/>
        <w:t>летающим ТБ-3. Уловку раскусили, поэтому в после</w:t>
      </w:r>
      <w:r w:rsidRPr="00E93F40">
        <w:rPr>
          <w:rFonts w:ascii="Times New Roman" w:hAnsi="Times New Roman"/>
          <w:color w:val="000000" w:themeColor="text1"/>
          <w:sz w:val="16"/>
          <w:szCs w:val="16"/>
        </w:rPr>
        <w:softHyphen/>
        <w:t>дующем секретность усилили — сделали так, чтобы время пролета бомбардировщиков не совпадало с расписанием полетов пассажирских самолетов.</w:t>
      </w:r>
    </w:p>
    <w:p w14:paraId="2E0EDDB5" w14:textId="77777777" w:rsidR="00757BC4" w:rsidRPr="00E93F40" w:rsidRDefault="00757B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году переброска ТБ-3 на восток продолжи</w:t>
      </w:r>
      <w:r w:rsidRPr="00E93F40">
        <w:rPr>
          <w:rFonts w:ascii="Times New Roman" w:hAnsi="Times New Roman"/>
          <w:color w:val="000000" w:themeColor="text1"/>
          <w:sz w:val="16"/>
          <w:szCs w:val="16"/>
        </w:rPr>
        <w:softHyphen/>
        <w:t>лась (23378).</w:t>
      </w:r>
    </w:p>
    <w:p w14:paraId="0B5C2D8B" w14:textId="77777777" w:rsidR="00757BC4" w:rsidRPr="00E93F40" w:rsidRDefault="00757BC4" w:rsidP="00E93F40">
      <w:pPr>
        <w:spacing w:after="0" w:line="240" w:lineRule="auto"/>
        <w:jc w:val="both"/>
        <w:rPr>
          <w:rFonts w:ascii="Times New Roman" w:hAnsi="Times New Roman"/>
          <w:color w:val="000000" w:themeColor="text1"/>
          <w:sz w:val="16"/>
          <w:szCs w:val="16"/>
        </w:rPr>
      </w:pPr>
    </w:p>
    <w:p w14:paraId="34F7F4E1" w14:textId="3868E38B" w:rsidR="00213ABE" w:rsidRPr="00E93F40" w:rsidRDefault="00213ABE"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165AC0F5" w14:textId="77777777" w:rsidR="00213ABE" w:rsidRPr="00E93F40" w:rsidRDefault="00213ABE"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285FF7BF"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В конце августа 1932 Джон Гриерсон (John Grierson) вылетел на «Де Хевиленде «Джипси Мот» (Gipsy Moth) с надписью «Красное и черное» (Rouge et Noir) на борту из Лондона. Посадки были совершены в Эссене и Штеттине (ныне Щецин). Следующий этап полета должен был завершиться в Москве, но уже над Белорусией, в тумане и дожде летчик предпочел прервать полет. Посадка была произведена в 50 км от Минска. Здесь Гриерсон попал в руки сотрудников ОГПУ, которые оказались достаточно гостеприимными. Беседа (допрос) проходила в ходе обеда в буфете. Контразведчики, выяснив, что «Джипси Мот» не оснащен ни оружием, ни разведывательной фотоаппаратурой, Гриерсона отпустили.</w:t>
      </w:r>
    </w:p>
    <w:p w14:paraId="04B0307C"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lastRenderedPageBreak/>
        <w:t>Через три с четвертью часа полета английский путешественник достиг Москвы и приземлился на Центральном аэродроме.</w:t>
      </w:r>
    </w:p>
    <w:p w14:paraId="7640AD35"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На следующий день, в 10 часов утра Гриерсон был принят каким-то начальником, которого он считал начальником гражданской авиации и называл Фельдманом. Его мог принимать начальник Главного управления РККА Б.М. Фельдман, но я склонен считать, что это был начальник ГУ ГВФ А.З. Гольцман. Фамилии англичанин мог перепутать.</w:t>
      </w:r>
    </w:p>
    <w:p w14:paraId="2A41B1E2"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На просьбу Гриерсона о разрешении полета через Астрахань до Самарканда «начальник» ответил категорическим «нет». Причем, этот запрет не был безосновательным – в среднеазиатских республиках еще не закончилась борьба с басмачами.</w:t>
      </w:r>
    </w:p>
    <w:p w14:paraId="3551E6AC"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Интересно, что «начальник» предложил Гриерсону совершить полет над Москвой на гиганте АНТ-14. Полет состоялся и оставил в памяти английского пилота незабываемые впечатления.</w:t>
      </w:r>
    </w:p>
    <w:p w14:paraId="220B1779"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Англичанин уже собирался в обратный путь, когда вдруг получил разрешение на перелет в Самарканд с указанием следовать строго по маршруту: Москва – Воронеж – Сталинград – Астрахань – Челкар (ныне Шелкар, Казахстан) – Туркестан – Ташкент – Самарканд.</w:t>
      </w:r>
    </w:p>
    <w:p w14:paraId="1E903F45"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В Москве Гриерсону выдали, с условием обязательного их возврата, дореволюционные карты в соответствии с маршрутом. Не раз летчику представилась возможность оценить их точность: даже положение городов на карте на десяток километров отличалось от реального, что же говорить о более мелких ориентирах.</w:t>
      </w:r>
    </w:p>
    <w:p w14:paraId="1ED80A64"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Этап Москва – Астрахань английский путешественник преодолел без посадок. Вылетев в сторону Каспийского моря, Гриерсон в районе Гурьева (ныне Атырау) заблудился и был вынужден вернуться в Астрахань. Новая попытка увенчалась успехом – через Гурьев, Аральск и Кызылорду англичанин добрался до Ташкента. На следующий день состоялся двухчасовой перелет в Самарканд. Этот город, по словам самого путешественника, стал для него «лучшим из всех виденных им древних городов». Судя по всему, наслаждаться красотами города Гриерсону пришлось недолго – через пару дней он вылетел в обратный путь.</w:t>
      </w:r>
    </w:p>
    <w:p w14:paraId="61136D60"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Полет обратно в Москву проходил с посадками в Казалинске, Челкаре и Актюбинске (ныне Актобе). В Астрахань англичанин возвращаться не хотел, поэтому сразу после взлета в Актюбинске он «упустил» из рук астраханский лист карты и, оправдываясь таким образом, направился к Сталинграду. Военные в Сталинграде отнеслись к путешественнику «с вниманием и добротой». От Самарканда до Москвы Гриерсону удалось добраться за рекордные двое суток.</w:t>
      </w:r>
    </w:p>
    <w:p w14:paraId="4157EDEB" w14:textId="77777777" w:rsidR="00213ABE" w:rsidRPr="00E93F40" w:rsidRDefault="00213ABE"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Уже на следующий день после прилета в Москву он вылетел на запад. В районе Великих Лук летчик оказался уже в сумерках и не смог найти аэродрома. Садиться пришлось в поле у деревни, где бдительные крестьяне его тут же арестовали и вызвали военных. Ночь прошла в положении арестанта. Разрешение на продолжение полета пришло только утром.</w:t>
      </w:r>
    </w:p>
    <w:p w14:paraId="654F1561"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Затем был благополучный перелет до Лондона с посадками в Ковно (ныне Каунас) и (вынужденная, по погоде) в районе Берлина (21438).</w:t>
      </w:r>
    </w:p>
    <w:p w14:paraId="25F40F3E" w14:textId="77777777" w:rsidR="00213ABE" w:rsidRPr="00E93F40" w:rsidRDefault="00213ABE" w:rsidP="00E93F40">
      <w:pPr>
        <w:spacing w:after="0" w:line="240" w:lineRule="auto"/>
        <w:jc w:val="both"/>
        <w:rPr>
          <w:rFonts w:ascii="Times New Roman" w:hAnsi="Times New Roman"/>
          <w:color w:val="000000" w:themeColor="text1"/>
          <w:sz w:val="16"/>
          <w:szCs w:val="16"/>
        </w:rPr>
      </w:pPr>
    </w:p>
    <w:p w14:paraId="7F489DC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FDADE0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1D4D58B" w14:textId="77777777" w:rsidR="00587026" w:rsidRPr="00E93F40" w:rsidRDefault="00587026" w:rsidP="00587026">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была начата постройка РД-дублера (1102).</w:t>
      </w:r>
    </w:p>
    <w:p w14:paraId="5D10F555" w14:textId="77777777" w:rsidR="00587026" w:rsidRPr="00E93F40" w:rsidRDefault="00587026" w:rsidP="00587026">
      <w:pPr>
        <w:autoSpaceDE w:val="0"/>
        <w:autoSpaceDN w:val="0"/>
        <w:adjustRightInd w:val="0"/>
        <w:spacing w:after="0" w:line="240" w:lineRule="auto"/>
        <w:jc w:val="both"/>
        <w:rPr>
          <w:rFonts w:ascii="Times New Roman" w:hAnsi="Times New Roman"/>
          <w:color w:val="000000" w:themeColor="text1"/>
          <w:sz w:val="16"/>
          <w:szCs w:val="16"/>
        </w:rPr>
      </w:pPr>
    </w:p>
    <w:p w14:paraId="6EA0B4CA" w14:textId="77777777" w:rsidR="00587026" w:rsidRPr="00E93F40" w:rsidRDefault="00587026" w:rsidP="00587026">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начали постройку дублера РД (554,5).</w:t>
      </w:r>
    </w:p>
    <w:p w14:paraId="2644A458" w14:textId="77777777" w:rsidR="00587026" w:rsidRPr="00E93F40" w:rsidRDefault="00587026" w:rsidP="00587026">
      <w:pPr>
        <w:autoSpaceDE w:val="0"/>
        <w:autoSpaceDN w:val="0"/>
        <w:adjustRightInd w:val="0"/>
        <w:spacing w:after="0" w:line="240" w:lineRule="auto"/>
        <w:jc w:val="both"/>
        <w:rPr>
          <w:rFonts w:ascii="Times New Roman" w:hAnsi="Times New Roman"/>
          <w:color w:val="000000" w:themeColor="text1"/>
          <w:sz w:val="16"/>
          <w:szCs w:val="16"/>
        </w:rPr>
      </w:pPr>
    </w:p>
    <w:p w14:paraId="32617A4B" w14:textId="77777777" w:rsidR="00587026" w:rsidRPr="00E93F40" w:rsidRDefault="00587026" w:rsidP="00587026">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августе 1932 года приступили постройке, так называемого, «дублера» – АНТ-25 №2, а 10 сентября 1933 года М.М. Громов впервые поднял его в воздух (21249).</w:t>
      </w:r>
    </w:p>
    <w:p w14:paraId="609D5D2B" w14:textId="77777777" w:rsidR="00587026" w:rsidRPr="00E93F40" w:rsidRDefault="00587026" w:rsidP="00587026">
      <w:pPr>
        <w:spacing w:after="0" w:line="240" w:lineRule="auto"/>
        <w:jc w:val="both"/>
        <w:rPr>
          <w:rFonts w:ascii="Times New Roman" w:hAnsi="Times New Roman"/>
          <w:color w:val="000000" w:themeColor="text1"/>
          <w:sz w:val="16"/>
          <w:szCs w:val="16"/>
        </w:rPr>
      </w:pPr>
    </w:p>
    <w:p w14:paraId="71667071"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1932 г. приступили к постройке приступили «дублера» - второго опытного образца, именовавше</w:t>
      </w:r>
      <w:r w:rsidRPr="00142305">
        <w:rPr>
          <w:rFonts w:ascii="Times New Roman" w:hAnsi="Times New Roman"/>
          <w:color w:val="0070C0"/>
          <w:sz w:val="16"/>
          <w:szCs w:val="16"/>
        </w:rPr>
        <w:softHyphen/>
        <w:t>гося АНТ-25-2 или РД-2. Он конструктивно практически ничем не отличался от АНТ-25-1 Основное отличие между машинами заключалось в установке на «дублере» редукторного двигателя М-34Р и измененного руля направления. 15 июля второй образец объявили «ударным объек</w:t>
      </w:r>
      <w:r w:rsidRPr="00142305">
        <w:rPr>
          <w:rFonts w:ascii="Times New Roman" w:hAnsi="Times New Roman"/>
          <w:color w:val="0070C0"/>
          <w:sz w:val="16"/>
          <w:szCs w:val="16"/>
        </w:rPr>
        <w:softHyphen/>
        <w:t>том» и начали спешно достраивать.</w:t>
      </w:r>
    </w:p>
    <w:p w14:paraId="01F4A148"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Установленный на самолете мотор М-34Р, как указывалось в документах, не относился к серии РД, а, видимо, являл</w:t>
      </w:r>
      <w:r w:rsidRPr="00142305">
        <w:rPr>
          <w:rFonts w:ascii="Times New Roman" w:hAnsi="Times New Roman"/>
          <w:color w:val="0070C0"/>
          <w:sz w:val="16"/>
          <w:szCs w:val="16"/>
        </w:rPr>
        <w:softHyphen/>
        <w:t>ся опытным образцом, предоставленным ЦИАМ (24946).</w:t>
      </w:r>
    </w:p>
    <w:p w14:paraId="20DBEEF2" w14:textId="77777777" w:rsidR="00587026" w:rsidRPr="00142305" w:rsidRDefault="00587026" w:rsidP="00587026">
      <w:pPr>
        <w:spacing w:after="0" w:line="240" w:lineRule="auto"/>
        <w:jc w:val="both"/>
        <w:rPr>
          <w:rFonts w:ascii="Times New Roman" w:hAnsi="Times New Roman"/>
          <w:color w:val="0070C0"/>
          <w:sz w:val="16"/>
          <w:szCs w:val="16"/>
        </w:rPr>
      </w:pPr>
    </w:p>
    <w:p w14:paraId="306A7EB4"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августа 1932 г. в ЗОК ЦАГИ изготавливали АНТ- 16бис и ТБ-4бис. В марте 1933 г. УВВС признало эту работу первоочередной, но уже 2 июля, за день до первого полета пер</w:t>
      </w:r>
      <w:r w:rsidRPr="00142305">
        <w:rPr>
          <w:rFonts w:ascii="Times New Roman" w:hAnsi="Times New Roman"/>
          <w:color w:val="0070C0"/>
          <w:sz w:val="16"/>
          <w:szCs w:val="16"/>
        </w:rPr>
        <w:softHyphen/>
        <w:t>вого опытного образца, ЦАГИ получил распоряжение приостановить сборку узлов. По-видимому, многое уже сделанные части этого самолета использовали потом для самолета АНТ-20.</w:t>
      </w:r>
    </w:p>
    <w:p w14:paraId="008B8022" w14:textId="77777777" w:rsidR="00587026" w:rsidRPr="00142305" w:rsidRDefault="00587026" w:rsidP="00587026">
      <w:pPr>
        <w:spacing w:after="0" w:line="240" w:lineRule="auto"/>
        <w:jc w:val="both"/>
        <w:rPr>
          <w:rFonts w:ascii="Times New Roman" w:hAnsi="Times New Roman"/>
          <w:color w:val="0070C0"/>
          <w:sz w:val="16"/>
          <w:szCs w:val="16"/>
        </w:rPr>
      </w:pPr>
    </w:p>
    <w:p w14:paraId="2A836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началась постройка дублера ТБ-4 и к январю 1933 техническая готовность была 17% (7388, 10).</w:t>
      </w:r>
    </w:p>
    <w:p w14:paraId="0EA19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4E02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начали строить дублер АНТ-16 (ТБ-4). ЛТХ предусматривали быстрое переоборудование в транспортный и пассажирский. Сначала хотели делать на 22, а потом - на 18 (2072,64).</w:t>
      </w:r>
    </w:p>
    <w:p w14:paraId="36C35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51F0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августа 1932 г. изготавливали второй экземпляр АНТ-16, он же АНТ-16бис и ТБ-4бис. В марте 1933 г. УВВС признало эту работу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(12036).</w:t>
      </w:r>
    </w:p>
    <w:p w14:paraId="05777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73B7BD"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началась постройка дублера ТБ-4 – АНТ-16. К 1 января 1933 г. техническая го</w:t>
      </w:r>
      <w:r w:rsidRPr="00E93F40">
        <w:rPr>
          <w:rFonts w:ascii="Times New Roman" w:hAnsi="Times New Roman"/>
          <w:color w:val="000000" w:themeColor="text1"/>
          <w:sz w:val="16"/>
          <w:szCs w:val="16"/>
        </w:rPr>
        <w:softHyphen/>
        <w:t>товность самолета составила 17%.</w:t>
      </w:r>
    </w:p>
    <w:p w14:paraId="325C9D29"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июля 1933 г. работы по дублеру пре</w:t>
      </w:r>
      <w:r w:rsidRPr="00E93F40">
        <w:rPr>
          <w:rFonts w:ascii="Times New Roman" w:hAnsi="Times New Roman"/>
          <w:color w:val="000000" w:themeColor="text1"/>
          <w:sz w:val="16"/>
          <w:szCs w:val="16"/>
        </w:rPr>
        <w:softHyphen/>
        <w:t>кратили, часть готовых агрегатов переда</w:t>
      </w:r>
      <w:r w:rsidRPr="00E93F40">
        <w:rPr>
          <w:rFonts w:ascii="Times New Roman" w:hAnsi="Times New Roman"/>
          <w:color w:val="000000" w:themeColor="text1"/>
          <w:sz w:val="16"/>
          <w:szCs w:val="16"/>
        </w:rPr>
        <w:softHyphen/>
        <w:t>ли на самолет «Максим Горький» (АНТ—20). Опытную машину решили ис</w:t>
      </w:r>
      <w:r w:rsidRPr="00E93F40">
        <w:rPr>
          <w:rFonts w:ascii="Times New Roman" w:hAnsi="Times New Roman"/>
          <w:color w:val="000000" w:themeColor="text1"/>
          <w:sz w:val="16"/>
          <w:szCs w:val="16"/>
        </w:rPr>
        <w:softHyphen/>
        <w:t>пользовать для совместных с НИИ ВВС испытаний, связанных с постройкой «Максима Горького».</w:t>
      </w:r>
    </w:p>
    <w:p w14:paraId="2605FD05"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характеристики бомбардировщиков АНТ-16</w:t>
      </w:r>
    </w:p>
    <w:tbl>
      <w:tblPr>
        <w:tblOverlap w:val="never"/>
        <w:tblW w:w="0" w:type="auto"/>
        <w:tblLayout w:type="fixed"/>
        <w:tblCellMar>
          <w:left w:w="10" w:type="dxa"/>
          <w:right w:w="10" w:type="dxa"/>
        </w:tblCellMar>
        <w:tblLook w:val="04A0" w:firstRow="1" w:lastRow="0" w:firstColumn="1" w:lastColumn="0" w:noHBand="0" w:noVBand="1"/>
      </w:tblPr>
      <w:tblGrid>
        <w:gridCol w:w="3019"/>
        <w:gridCol w:w="1373"/>
        <w:gridCol w:w="1334"/>
      </w:tblGrid>
      <w:tr w:rsidR="00053F0D" w:rsidRPr="00E93F40" w14:paraId="5A04F57D" w14:textId="77777777" w:rsidTr="004B2EA4">
        <w:trPr>
          <w:trHeight w:val="475"/>
        </w:trPr>
        <w:tc>
          <w:tcPr>
            <w:tcW w:w="3019" w:type="dxa"/>
            <w:tcBorders>
              <w:top w:val="single" w:sz="4" w:space="0" w:color="auto"/>
              <w:left w:val="single" w:sz="4" w:space="0" w:color="auto"/>
            </w:tcBorders>
          </w:tcPr>
          <w:p w14:paraId="4EC87B76" w14:textId="77777777" w:rsidR="00053F0D" w:rsidRPr="00E93F40" w:rsidRDefault="00053F0D" w:rsidP="00E93F40">
            <w:pPr>
              <w:spacing w:after="0" w:line="240" w:lineRule="auto"/>
              <w:jc w:val="both"/>
              <w:rPr>
                <w:rFonts w:ascii="Times New Roman" w:hAnsi="Times New Roman"/>
                <w:color w:val="000000" w:themeColor="text1"/>
                <w:sz w:val="16"/>
                <w:szCs w:val="16"/>
              </w:rPr>
            </w:pPr>
          </w:p>
        </w:tc>
        <w:tc>
          <w:tcPr>
            <w:tcW w:w="1373" w:type="dxa"/>
            <w:tcBorders>
              <w:top w:val="single" w:sz="4" w:space="0" w:color="auto"/>
            </w:tcBorders>
            <w:vAlign w:val="bottom"/>
          </w:tcPr>
          <w:p w14:paraId="7C35451D"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опытный</w:t>
            </w:r>
          </w:p>
        </w:tc>
        <w:tc>
          <w:tcPr>
            <w:tcW w:w="1334" w:type="dxa"/>
            <w:tcBorders>
              <w:top w:val="single" w:sz="4" w:space="0" w:color="auto"/>
              <w:right w:val="single" w:sz="4" w:space="0" w:color="auto"/>
            </w:tcBorders>
            <w:vAlign w:val="bottom"/>
          </w:tcPr>
          <w:p w14:paraId="22A97547"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дублер</w:t>
            </w:r>
          </w:p>
        </w:tc>
      </w:tr>
      <w:tr w:rsidR="00053F0D" w:rsidRPr="00E93F40" w14:paraId="4D74BBF0" w14:textId="77777777" w:rsidTr="004B2EA4">
        <w:trPr>
          <w:trHeight w:val="216"/>
        </w:trPr>
        <w:tc>
          <w:tcPr>
            <w:tcW w:w="3019" w:type="dxa"/>
            <w:tcBorders>
              <w:left w:val="single" w:sz="4" w:space="0" w:color="auto"/>
            </w:tcBorders>
          </w:tcPr>
          <w:p w14:paraId="0B4AAE4E"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х тип двигателей</w:t>
            </w:r>
          </w:p>
        </w:tc>
        <w:tc>
          <w:tcPr>
            <w:tcW w:w="1373" w:type="dxa"/>
          </w:tcPr>
          <w:p w14:paraId="4B0D9D6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6хМ-34</w:t>
            </w:r>
          </w:p>
        </w:tc>
        <w:tc>
          <w:tcPr>
            <w:tcW w:w="1334" w:type="dxa"/>
            <w:tcBorders>
              <w:right w:val="single" w:sz="4" w:space="0" w:color="auto"/>
            </w:tcBorders>
          </w:tcPr>
          <w:p w14:paraId="645C8C06"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6хМ-34</w:t>
            </w:r>
          </w:p>
        </w:tc>
      </w:tr>
      <w:tr w:rsidR="00053F0D" w:rsidRPr="00E93F40" w14:paraId="4A1414F9" w14:textId="77777777" w:rsidTr="004B2EA4">
        <w:trPr>
          <w:trHeight w:val="216"/>
        </w:trPr>
        <w:tc>
          <w:tcPr>
            <w:tcW w:w="3019" w:type="dxa"/>
            <w:tcBorders>
              <w:left w:val="single" w:sz="4" w:space="0" w:color="auto"/>
            </w:tcBorders>
          </w:tcPr>
          <w:p w14:paraId="125AC666"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максимальная, л. с.</w:t>
            </w:r>
          </w:p>
        </w:tc>
        <w:tc>
          <w:tcPr>
            <w:tcW w:w="1373" w:type="dxa"/>
          </w:tcPr>
          <w:p w14:paraId="3F79F339"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6x830</w:t>
            </w:r>
          </w:p>
        </w:tc>
        <w:tc>
          <w:tcPr>
            <w:tcW w:w="1334" w:type="dxa"/>
            <w:tcBorders>
              <w:right w:val="single" w:sz="4" w:space="0" w:color="auto"/>
            </w:tcBorders>
          </w:tcPr>
          <w:p w14:paraId="4474A614"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6x830</w:t>
            </w:r>
          </w:p>
        </w:tc>
      </w:tr>
      <w:tr w:rsidR="00053F0D" w:rsidRPr="00E93F40" w14:paraId="6B5B6150" w14:textId="77777777" w:rsidTr="004B2EA4">
        <w:trPr>
          <w:trHeight w:val="221"/>
        </w:trPr>
        <w:tc>
          <w:tcPr>
            <w:tcW w:w="3019" w:type="dxa"/>
            <w:tcBorders>
              <w:left w:val="single" w:sz="4" w:space="0" w:color="auto"/>
            </w:tcBorders>
            <w:vAlign w:val="bottom"/>
          </w:tcPr>
          <w:p w14:paraId="7F7567C6"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самолета, м</w:t>
            </w:r>
          </w:p>
        </w:tc>
        <w:tc>
          <w:tcPr>
            <w:tcW w:w="1373" w:type="dxa"/>
            <w:vAlign w:val="bottom"/>
          </w:tcPr>
          <w:p w14:paraId="561B168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32,00</w:t>
            </w:r>
          </w:p>
        </w:tc>
        <w:tc>
          <w:tcPr>
            <w:tcW w:w="1334" w:type="dxa"/>
            <w:tcBorders>
              <w:right w:val="single" w:sz="4" w:space="0" w:color="auto"/>
            </w:tcBorders>
            <w:vAlign w:val="bottom"/>
          </w:tcPr>
          <w:p w14:paraId="683C4621"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32,50</w:t>
            </w:r>
          </w:p>
        </w:tc>
      </w:tr>
      <w:tr w:rsidR="00053F0D" w:rsidRPr="00E93F40" w14:paraId="11F49621" w14:textId="77777777" w:rsidTr="004B2EA4">
        <w:trPr>
          <w:trHeight w:val="221"/>
        </w:trPr>
        <w:tc>
          <w:tcPr>
            <w:tcW w:w="3019" w:type="dxa"/>
            <w:tcBorders>
              <w:left w:val="single" w:sz="4" w:space="0" w:color="auto"/>
            </w:tcBorders>
            <w:vAlign w:val="bottom"/>
          </w:tcPr>
          <w:p w14:paraId="2BB12789"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крыла, м</w:t>
            </w:r>
          </w:p>
        </w:tc>
        <w:tc>
          <w:tcPr>
            <w:tcW w:w="1373" w:type="dxa"/>
            <w:vAlign w:val="bottom"/>
          </w:tcPr>
          <w:p w14:paraId="464674C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54,00</w:t>
            </w:r>
          </w:p>
        </w:tc>
        <w:tc>
          <w:tcPr>
            <w:tcW w:w="1334" w:type="dxa"/>
            <w:tcBorders>
              <w:right w:val="single" w:sz="4" w:space="0" w:color="auto"/>
            </w:tcBorders>
            <w:vAlign w:val="bottom"/>
          </w:tcPr>
          <w:p w14:paraId="17FAF779"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53,50</w:t>
            </w:r>
          </w:p>
        </w:tc>
      </w:tr>
      <w:tr w:rsidR="00053F0D" w:rsidRPr="00E93F40" w14:paraId="5DEB768C" w14:textId="77777777" w:rsidTr="004B2EA4">
        <w:trPr>
          <w:trHeight w:val="442"/>
        </w:trPr>
        <w:tc>
          <w:tcPr>
            <w:tcW w:w="3019" w:type="dxa"/>
            <w:tcBorders>
              <w:left w:val="single" w:sz="4" w:space="0" w:color="auto"/>
            </w:tcBorders>
            <w:vAlign w:val="bottom"/>
          </w:tcPr>
          <w:p w14:paraId="6F303A2A"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самолета, м</w:t>
            </w:r>
          </w:p>
          <w:p w14:paraId="283456B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м2</w:t>
            </w:r>
          </w:p>
        </w:tc>
        <w:tc>
          <w:tcPr>
            <w:tcW w:w="1373" w:type="dxa"/>
          </w:tcPr>
          <w:p w14:paraId="7AEF9540"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11,73</w:t>
            </w:r>
          </w:p>
        </w:tc>
        <w:tc>
          <w:tcPr>
            <w:tcW w:w="1334" w:type="dxa"/>
            <w:tcBorders>
              <w:right w:val="single" w:sz="4" w:space="0" w:color="auto"/>
            </w:tcBorders>
          </w:tcPr>
          <w:p w14:paraId="543DB23B"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11,60</w:t>
            </w:r>
          </w:p>
        </w:tc>
      </w:tr>
      <w:tr w:rsidR="00053F0D" w:rsidRPr="00E93F40" w14:paraId="07A5372A" w14:textId="77777777" w:rsidTr="004B2EA4">
        <w:trPr>
          <w:trHeight w:val="230"/>
        </w:trPr>
        <w:tc>
          <w:tcPr>
            <w:tcW w:w="3019" w:type="dxa"/>
            <w:tcBorders>
              <w:left w:val="single" w:sz="4" w:space="0" w:color="auto"/>
            </w:tcBorders>
            <w:vAlign w:val="bottom"/>
          </w:tcPr>
          <w:p w14:paraId="2D2FAF07"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крыла</w:t>
            </w:r>
          </w:p>
        </w:tc>
        <w:tc>
          <w:tcPr>
            <w:tcW w:w="1373" w:type="dxa"/>
            <w:vAlign w:val="bottom"/>
          </w:tcPr>
          <w:p w14:paraId="195A750A"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422,00</w:t>
            </w:r>
          </w:p>
        </w:tc>
        <w:tc>
          <w:tcPr>
            <w:tcW w:w="1334" w:type="dxa"/>
            <w:tcBorders>
              <w:right w:val="single" w:sz="4" w:space="0" w:color="auto"/>
            </w:tcBorders>
            <w:vAlign w:val="center"/>
          </w:tcPr>
          <w:p w14:paraId="3E48BDC6"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6D7EF9DB" w14:textId="77777777" w:rsidTr="004B2EA4">
        <w:trPr>
          <w:trHeight w:val="230"/>
        </w:trPr>
        <w:tc>
          <w:tcPr>
            <w:tcW w:w="3019" w:type="dxa"/>
            <w:tcBorders>
              <w:left w:val="single" w:sz="4" w:space="0" w:color="auto"/>
            </w:tcBorders>
          </w:tcPr>
          <w:p w14:paraId="6841FEC0"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горизонтального оперения</w:t>
            </w:r>
          </w:p>
        </w:tc>
        <w:tc>
          <w:tcPr>
            <w:tcW w:w="1373" w:type="dxa"/>
          </w:tcPr>
          <w:p w14:paraId="46D70A4E"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38,30</w:t>
            </w:r>
          </w:p>
        </w:tc>
        <w:tc>
          <w:tcPr>
            <w:tcW w:w="1334" w:type="dxa"/>
            <w:tcBorders>
              <w:right w:val="single" w:sz="4" w:space="0" w:color="auto"/>
            </w:tcBorders>
          </w:tcPr>
          <w:p w14:paraId="42B3242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46,60</w:t>
            </w:r>
          </w:p>
        </w:tc>
      </w:tr>
      <w:tr w:rsidR="00053F0D" w:rsidRPr="00E93F40" w14:paraId="3F11C375" w14:textId="77777777" w:rsidTr="004B2EA4">
        <w:trPr>
          <w:trHeight w:val="413"/>
        </w:trPr>
        <w:tc>
          <w:tcPr>
            <w:tcW w:w="3019" w:type="dxa"/>
            <w:tcBorders>
              <w:left w:val="single" w:sz="4" w:space="0" w:color="auto"/>
            </w:tcBorders>
            <w:vAlign w:val="bottom"/>
          </w:tcPr>
          <w:p w14:paraId="3B4432E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вертикального оперения Взлетная масса, кг</w:t>
            </w:r>
          </w:p>
        </w:tc>
        <w:tc>
          <w:tcPr>
            <w:tcW w:w="1373" w:type="dxa"/>
          </w:tcPr>
          <w:p w14:paraId="4261BAEF"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334" w:type="dxa"/>
            <w:tcBorders>
              <w:right w:val="single" w:sz="4" w:space="0" w:color="auto"/>
            </w:tcBorders>
          </w:tcPr>
          <w:p w14:paraId="3A4D35B2"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17,80</w:t>
            </w:r>
          </w:p>
        </w:tc>
      </w:tr>
      <w:tr w:rsidR="00053F0D" w:rsidRPr="00E93F40" w14:paraId="27CFA817" w14:textId="77777777" w:rsidTr="004B2EA4">
        <w:trPr>
          <w:trHeight w:val="235"/>
        </w:trPr>
        <w:tc>
          <w:tcPr>
            <w:tcW w:w="3019" w:type="dxa"/>
            <w:tcBorders>
              <w:left w:val="single" w:sz="4" w:space="0" w:color="auto"/>
            </w:tcBorders>
          </w:tcPr>
          <w:p w14:paraId="27843885"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нормальная</w:t>
            </w:r>
          </w:p>
        </w:tc>
        <w:tc>
          <w:tcPr>
            <w:tcW w:w="1373" w:type="dxa"/>
          </w:tcPr>
          <w:p w14:paraId="16791811"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33000</w:t>
            </w:r>
          </w:p>
        </w:tc>
        <w:tc>
          <w:tcPr>
            <w:tcW w:w="1334" w:type="dxa"/>
            <w:tcBorders>
              <w:right w:val="single" w:sz="4" w:space="0" w:color="auto"/>
            </w:tcBorders>
          </w:tcPr>
          <w:p w14:paraId="3E9CFE2C"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33000</w:t>
            </w:r>
          </w:p>
        </w:tc>
      </w:tr>
      <w:tr w:rsidR="00053F0D" w:rsidRPr="00E93F40" w14:paraId="6FCE9B78" w14:textId="77777777" w:rsidTr="004B2EA4">
        <w:trPr>
          <w:trHeight w:val="202"/>
        </w:trPr>
        <w:tc>
          <w:tcPr>
            <w:tcW w:w="3019" w:type="dxa"/>
            <w:tcBorders>
              <w:left w:val="single" w:sz="4" w:space="0" w:color="auto"/>
            </w:tcBorders>
            <w:vAlign w:val="center"/>
          </w:tcPr>
          <w:p w14:paraId="6470467B"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w:t>
            </w:r>
          </w:p>
        </w:tc>
        <w:tc>
          <w:tcPr>
            <w:tcW w:w="1373" w:type="dxa"/>
            <w:vAlign w:val="center"/>
          </w:tcPr>
          <w:p w14:paraId="424CCB81"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334" w:type="dxa"/>
            <w:tcBorders>
              <w:right w:val="single" w:sz="4" w:space="0" w:color="auto"/>
            </w:tcBorders>
            <w:vAlign w:val="center"/>
          </w:tcPr>
          <w:p w14:paraId="1727E025"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35000</w:t>
            </w:r>
          </w:p>
        </w:tc>
      </w:tr>
      <w:tr w:rsidR="00053F0D" w:rsidRPr="00E93F40" w14:paraId="33EDE695" w14:textId="77777777" w:rsidTr="004B2EA4">
        <w:trPr>
          <w:trHeight w:val="456"/>
        </w:trPr>
        <w:tc>
          <w:tcPr>
            <w:tcW w:w="3019" w:type="dxa"/>
            <w:tcBorders>
              <w:left w:val="single" w:sz="4" w:space="0" w:color="auto"/>
            </w:tcBorders>
            <w:vAlign w:val="bottom"/>
          </w:tcPr>
          <w:p w14:paraId="642F34FD"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пустого самолета, кг Максимальная скорость, км/ч</w:t>
            </w:r>
          </w:p>
        </w:tc>
        <w:tc>
          <w:tcPr>
            <w:tcW w:w="1373" w:type="dxa"/>
          </w:tcPr>
          <w:p w14:paraId="0210CB6B"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21400</w:t>
            </w:r>
          </w:p>
        </w:tc>
        <w:tc>
          <w:tcPr>
            <w:tcW w:w="1334" w:type="dxa"/>
            <w:tcBorders>
              <w:right w:val="single" w:sz="4" w:space="0" w:color="auto"/>
            </w:tcBorders>
          </w:tcPr>
          <w:p w14:paraId="595884DD"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23000</w:t>
            </w:r>
          </w:p>
        </w:tc>
      </w:tr>
      <w:tr w:rsidR="00053F0D" w:rsidRPr="00E93F40" w14:paraId="5D98E1C4" w14:textId="77777777" w:rsidTr="004B2EA4">
        <w:trPr>
          <w:trHeight w:val="206"/>
        </w:trPr>
        <w:tc>
          <w:tcPr>
            <w:tcW w:w="3019" w:type="dxa"/>
            <w:tcBorders>
              <w:left w:val="single" w:sz="4" w:space="0" w:color="auto"/>
            </w:tcBorders>
            <w:vAlign w:val="center"/>
          </w:tcPr>
          <w:p w14:paraId="48B3B9DF"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земли</w:t>
            </w:r>
          </w:p>
        </w:tc>
        <w:tc>
          <w:tcPr>
            <w:tcW w:w="1373" w:type="dxa"/>
            <w:vAlign w:val="center"/>
          </w:tcPr>
          <w:p w14:paraId="31EE6E63"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334" w:type="dxa"/>
            <w:tcBorders>
              <w:right w:val="single" w:sz="4" w:space="0" w:color="auto"/>
            </w:tcBorders>
            <w:vAlign w:val="center"/>
          </w:tcPr>
          <w:p w14:paraId="230DA5A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45F936FA" w14:textId="77777777" w:rsidTr="004B2EA4">
        <w:trPr>
          <w:trHeight w:val="235"/>
        </w:trPr>
        <w:tc>
          <w:tcPr>
            <w:tcW w:w="3019" w:type="dxa"/>
            <w:tcBorders>
              <w:left w:val="single" w:sz="4" w:space="0" w:color="auto"/>
            </w:tcBorders>
            <w:vAlign w:val="bottom"/>
          </w:tcPr>
          <w:p w14:paraId="4D19FDD6"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 м</w:t>
            </w:r>
          </w:p>
        </w:tc>
        <w:tc>
          <w:tcPr>
            <w:tcW w:w="1373" w:type="dxa"/>
            <w:vAlign w:val="bottom"/>
          </w:tcPr>
          <w:p w14:paraId="792BC837"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194/1000</w:t>
            </w:r>
          </w:p>
        </w:tc>
        <w:tc>
          <w:tcPr>
            <w:tcW w:w="1334" w:type="dxa"/>
            <w:tcBorders>
              <w:right w:val="single" w:sz="4" w:space="0" w:color="auto"/>
            </w:tcBorders>
            <w:vAlign w:val="center"/>
          </w:tcPr>
          <w:p w14:paraId="1FACDF24"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7D7DD8AD" w14:textId="77777777" w:rsidTr="004B2EA4">
        <w:trPr>
          <w:trHeight w:val="216"/>
        </w:trPr>
        <w:tc>
          <w:tcPr>
            <w:tcW w:w="3019" w:type="dxa"/>
            <w:tcBorders>
              <w:left w:val="single" w:sz="4" w:space="0" w:color="auto"/>
            </w:tcBorders>
            <w:vAlign w:val="bottom"/>
          </w:tcPr>
          <w:p w14:paraId="04BEF8EE"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 км/ч</w:t>
            </w:r>
          </w:p>
        </w:tc>
        <w:tc>
          <w:tcPr>
            <w:tcW w:w="1373" w:type="dxa"/>
          </w:tcPr>
          <w:p w14:paraId="2D60695A"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w:t>
            </w:r>
          </w:p>
        </w:tc>
        <w:tc>
          <w:tcPr>
            <w:tcW w:w="1334" w:type="dxa"/>
            <w:tcBorders>
              <w:right w:val="single" w:sz="4" w:space="0" w:color="auto"/>
            </w:tcBorders>
          </w:tcPr>
          <w:p w14:paraId="66B65F96"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3A2372BC" w14:textId="77777777" w:rsidTr="004B2EA4">
        <w:trPr>
          <w:trHeight w:val="221"/>
        </w:trPr>
        <w:tc>
          <w:tcPr>
            <w:tcW w:w="3019" w:type="dxa"/>
            <w:tcBorders>
              <w:left w:val="single" w:sz="4" w:space="0" w:color="auto"/>
            </w:tcBorders>
            <w:vAlign w:val="bottom"/>
          </w:tcPr>
          <w:p w14:paraId="5FEE6739"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набора высоты мин/м</w:t>
            </w:r>
          </w:p>
        </w:tc>
        <w:tc>
          <w:tcPr>
            <w:tcW w:w="1373" w:type="dxa"/>
            <w:vAlign w:val="bottom"/>
          </w:tcPr>
          <w:p w14:paraId="57FAD1A5"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12,37/1000</w:t>
            </w:r>
          </w:p>
        </w:tc>
        <w:tc>
          <w:tcPr>
            <w:tcW w:w="1334" w:type="dxa"/>
            <w:tcBorders>
              <w:right w:val="single" w:sz="4" w:space="0" w:color="auto"/>
            </w:tcBorders>
          </w:tcPr>
          <w:p w14:paraId="4C497BE9"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65F6F130" w14:textId="77777777" w:rsidTr="004B2EA4">
        <w:trPr>
          <w:trHeight w:val="216"/>
        </w:trPr>
        <w:tc>
          <w:tcPr>
            <w:tcW w:w="3019" w:type="dxa"/>
            <w:tcBorders>
              <w:left w:val="single" w:sz="4" w:space="0" w:color="auto"/>
            </w:tcBorders>
          </w:tcPr>
          <w:p w14:paraId="7CF56F02"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p>
        </w:tc>
        <w:tc>
          <w:tcPr>
            <w:tcW w:w="1373" w:type="dxa"/>
          </w:tcPr>
          <w:p w14:paraId="6EB0A253"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2750</w:t>
            </w:r>
          </w:p>
        </w:tc>
        <w:tc>
          <w:tcPr>
            <w:tcW w:w="1334" w:type="dxa"/>
            <w:tcBorders>
              <w:right w:val="single" w:sz="4" w:space="0" w:color="auto"/>
            </w:tcBorders>
          </w:tcPr>
          <w:p w14:paraId="09503B13"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6D4925B4" w14:textId="77777777" w:rsidTr="004B2EA4">
        <w:trPr>
          <w:trHeight w:val="206"/>
        </w:trPr>
        <w:tc>
          <w:tcPr>
            <w:tcW w:w="3019" w:type="dxa"/>
            <w:tcBorders>
              <w:left w:val="single" w:sz="4" w:space="0" w:color="auto"/>
            </w:tcBorders>
            <w:vAlign w:val="center"/>
          </w:tcPr>
          <w:p w14:paraId="4D8F9B7F"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полета максимальная, км</w:t>
            </w:r>
          </w:p>
        </w:tc>
        <w:tc>
          <w:tcPr>
            <w:tcW w:w="1373" w:type="dxa"/>
            <w:vAlign w:val="center"/>
          </w:tcPr>
          <w:p w14:paraId="194D47E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1334" w:type="dxa"/>
            <w:tcBorders>
              <w:right w:val="single" w:sz="4" w:space="0" w:color="auto"/>
            </w:tcBorders>
            <w:vAlign w:val="center"/>
          </w:tcPr>
          <w:p w14:paraId="44CC50EB"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016473B5" w14:textId="77777777" w:rsidTr="004B2EA4">
        <w:trPr>
          <w:trHeight w:val="230"/>
        </w:trPr>
        <w:tc>
          <w:tcPr>
            <w:tcW w:w="3019" w:type="dxa"/>
            <w:tcBorders>
              <w:left w:val="single" w:sz="4" w:space="0" w:color="auto"/>
            </w:tcBorders>
            <w:vAlign w:val="center"/>
          </w:tcPr>
          <w:p w14:paraId="2A385E8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разбега, м</w:t>
            </w:r>
          </w:p>
        </w:tc>
        <w:tc>
          <w:tcPr>
            <w:tcW w:w="1373" w:type="dxa"/>
            <w:vAlign w:val="center"/>
          </w:tcPr>
          <w:p w14:paraId="4F8F4FDC"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1334" w:type="dxa"/>
            <w:tcBorders>
              <w:right w:val="single" w:sz="4" w:space="0" w:color="auto"/>
            </w:tcBorders>
            <w:vAlign w:val="center"/>
          </w:tcPr>
          <w:p w14:paraId="47F79D90"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207CA1BF" w14:textId="77777777" w:rsidTr="004B2EA4">
        <w:trPr>
          <w:trHeight w:val="451"/>
        </w:trPr>
        <w:tc>
          <w:tcPr>
            <w:tcW w:w="3019" w:type="dxa"/>
            <w:tcBorders>
              <w:left w:val="single" w:sz="4" w:space="0" w:color="auto"/>
            </w:tcBorders>
            <w:vAlign w:val="bottom"/>
          </w:tcPr>
          <w:p w14:paraId="05B7AACB"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пробега, м Вооружение</w:t>
            </w:r>
          </w:p>
        </w:tc>
        <w:tc>
          <w:tcPr>
            <w:tcW w:w="1373" w:type="dxa"/>
          </w:tcPr>
          <w:p w14:paraId="721FDE86"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1334" w:type="dxa"/>
            <w:tcBorders>
              <w:right w:val="single" w:sz="4" w:space="0" w:color="auto"/>
            </w:tcBorders>
          </w:tcPr>
          <w:p w14:paraId="4BA8A98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5E7D4E83" w14:textId="77777777" w:rsidTr="004B2EA4">
        <w:trPr>
          <w:trHeight w:val="442"/>
        </w:trPr>
        <w:tc>
          <w:tcPr>
            <w:tcW w:w="3019" w:type="dxa"/>
            <w:tcBorders>
              <w:left w:val="single" w:sz="4" w:space="0" w:color="auto"/>
            </w:tcBorders>
          </w:tcPr>
          <w:p w14:paraId="6855DFF8"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стрелковое: число х калибр Масса бомбовой нагрузки, кг</w:t>
            </w:r>
          </w:p>
        </w:tc>
        <w:tc>
          <w:tcPr>
            <w:tcW w:w="1373" w:type="dxa"/>
          </w:tcPr>
          <w:p w14:paraId="417E2727"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2x20+10x7,62</w:t>
            </w:r>
          </w:p>
        </w:tc>
        <w:tc>
          <w:tcPr>
            <w:tcW w:w="1334" w:type="dxa"/>
            <w:tcBorders>
              <w:right w:val="single" w:sz="4" w:space="0" w:color="auto"/>
            </w:tcBorders>
          </w:tcPr>
          <w:p w14:paraId="1FB0D8E3"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2x20+10x7,62</w:t>
            </w:r>
          </w:p>
        </w:tc>
      </w:tr>
      <w:tr w:rsidR="00053F0D" w:rsidRPr="00E93F40" w14:paraId="41C9A801" w14:textId="77777777" w:rsidTr="004B2EA4">
        <w:trPr>
          <w:trHeight w:val="206"/>
        </w:trPr>
        <w:tc>
          <w:tcPr>
            <w:tcW w:w="3019" w:type="dxa"/>
            <w:tcBorders>
              <w:left w:val="single" w:sz="4" w:space="0" w:color="auto"/>
            </w:tcBorders>
            <w:vAlign w:val="center"/>
          </w:tcPr>
          <w:p w14:paraId="0839CD76"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w:t>
            </w:r>
          </w:p>
        </w:tc>
        <w:tc>
          <w:tcPr>
            <w:tcW w:w="1373" w:type="dxa"/>
            <w:vAlign w:val="center"/>
          </w:tcPr>
          <w:p w14:paraId="2C8BE17D"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1334" w:type="dxa"/>
            <w:tcBorders>
              <w:right w:val="single" w:sz="4" w:space="0" w:color="auto"/>
            </w:tcBorders>
            <w:vAlign w:val="center"/>
          </w:tcPr>
          <w:p w14:paraId="0D56460A"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29136061" w14:textId="77777777" w:rsidTr="004B2EA4">
        <w:trPr>
          <w:trHeight w:val="221"/>
        </w:trPr>
        <w:tc>
          <w:tcPr>
            <w:tcW w:w="3019" w:type="dxa"/>
            <w:tcBorders>
              <w:left w:val="single" w:sz="4" w:space="0" w:color="auto"/>
            </w:tcBorders>
            <w:vAlign w:val="center"/>
          </w:tcPr>
          <w:p w14:paraId="703EF4F1"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нормальная</w:t>
            </w:r>
          </w:p>
        </w:tc>
        <w:tc>
          <w:tcPr>
            <w:tcW w:w="1373" w:type="dxa"/>
            <w:vAlign w:val="center"/>
          </w:tcPr>
          <w:p w14:paraId="3A47C5CD"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1334" w:type="dxa"/>
            <w:tcBorders>
              <w:right w:val="single" w:sz="4" w:space="0" w:color="auto"/>
            </w:tcBorders>
            <w:vAlign w:val="center"/>
          </w:tcPr>
          <w:p w14:paraId="6E7C13E0"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5E4D8F57" w14:textId="77777777" w:rsidTr="004B2EA4">
        <w:trPr>
          <w:trHeight w:val="206"/>
        </w:trPr>
        <w:tc>
          <w:tcPr>
            <w:tcW w:w="3019" w:type="dxa"/>
            <w:tcBorders>
              <w:left w:val="single" w:sz="4" w:space="0" w:color="auto"/>
            </w:tcBorders>
            <w:vAlign w:val="center"/>
          </w:tcPr>
          <w:p w14:paraId="67652135"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чел.</w:t>
            </w:r>
          </w:p>
        </w:tc>
        <w:tc>
          <w:tcPr>
            <w:tcW w:w="1373" w:type="dxa"/>
            <w:vAlign w:val="center"/>
          </w:tcPr>
          <w:p w14:paraId="2DB7E265"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1334" w:type="dxa"/>
            <w:tcBorders>
              <w:right w:val="single" w:sz="4" w:space="0" w:color="auto"/>
            </w:tcBorders>
            <w:vAlign w:val="center"/>
          </w:tcPr>
          <w:p w14:paraId="02750500"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053F0D" w:rsidRPr="00E93F40" w14:paraId="09B5853E" w14:textId="77777777" w:rsidTr="004B2EA4">
        <w:trPr>
          <w:trHeight w:val="370"/>
        </w:trPr>
        <w:tc>
          <w:tcPr>
            <w:tcW w:w="3019" w:type="dxa"/>
            <w:tcBorders>
              <w:left w:val="single" w:sz="4" w:space="0" w:color="auto"/>
              <w:bottom w:val="single" w:sz="4" w:space="0" w:color="auto"/>
            </w:tcBorders>
          </w:tcPr>
          <w:p w14:paraId="6080DB3E"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Пассажиры, чел.</w:t>
            </w:r>
          </w:p>
        </w:tc>
        <w:tc>
          <w:tcPr>
            <w:tcW w:w="1373" w:type="dxa"/>
            <w:tcBorders>
              <w:bottom w:val="single" w:sz="4" w:space="0" w:color="auto"/>
            </w:tcBorders>
          </w:tcPr>
          <w:p w14:paraId="4A67B3D0"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334" w:type="dxa"/>
            <w:tcBorders>
              <w:bottom w:val="single" w:sz="4" w:space="0" w:color="auto"/>
              <w:right w:val="single" w:sz="4" w:space="0" w:color="auto"/>
            </w:tcBorders>
          </w:tcPr>
          <w:p w14:paraId="076A07AF"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r>
    </w:tbl>
    <w:p w14:paraId="13C545A3"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(23474).</w:t>
      </w:r>
    </w:p>
    <w:p w14:paraId="120D34D7" w14:textId="77777777" w:rsidR="00053F0D" w:rsidRPr="00E93F40" w:rsidRDefault="00053F0D" w:rsidP="00E93F40">
      <w:pPr>
        <w:spacing w:after="0" w:line="240" w:lineRule="auto"/>
        <w:jc w:val="both"/>
        <w:rPr>
          <w:rFonts w:ascii="Times New Roman" w:hAnsi="Times New Roman"/>
          <w:color w:val="000000" w:themeColor="text1"/>
          <w:sz w:val="16"/>
          <w:szCs w:val="16"/>
        </w:rPr>
      </w:pPr>
    </w:p>
    <w:p w14:paraId="54608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началось проектирование И-14 БМ (2287,127).</w:t>
      </w:r>
    </w:p>
    <w:p w14:paraId="16688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056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производилась установка на самолет Р-6 2М-17 поплавкового шасси (2314,22).</w:t>
      </w:r>
    </w:p>
    <w:p w14:paraId="42992A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03C3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после производства пяти серий (45 машин) заделы по 6 и эталон, а также дальнейшее производство передали с 22 завода на 31. Вторую машину N 2202 в Таганроге поставили на поплавки Short (346,36).</w:t>
      </w:r>
    </w:p>
    <w:p w14:paraId="7067BE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5D7436" w14:textId="77777777" w:rsidR="00587026" w:rsidRPr="00E93F40" w:rsidRDefault="00587026" w:rsidP="00587026">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Я.И.Алкснис закрыл работы по К-5 бомбардировщику, так как тот мог нести только 400 кг бомб на радиус 190-200 км (70,176).</w:t>
      </w:r>
    </w:p>
    <w:p w14:paraId="2D402857" w14:textId="77777777" w:rsidR="00587026" w:rsidRPr="00E93F40" w:rsidRDefault="00587026" w:rsidP="00587026">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работников СОК увеличилось к этому времени в 4 раза (64,19).</w:t>
      </w:r>
    </w:p>
    <w:p w14:paraId="11585A97" w14:textId="77777777" w:rsidR="00587026" w:rsidRPr="00E93F40" w:rsidRDefault="00587026" w:rsidP="00587026">
      <w:pPr>
        <w:autoSpaceDE w:val="0"/>
        <w:autoSpaceDN w:val="0"/>
        <w:adjustRightInd w:val="0"/>
        <w:spacing w:after="0" w:line="240" w:lineRule="auto"/>
        <w:jc w:val="both"/>
        <w:rPr>
          <w:rFonts w:ascii="Times New Roman" w:hAnsi="Times New Roman"/>
          <w:color w:val="000000" w:themeColor="text1"/>
          <w:sz w:val="16"/>
          <w:szCs w:val="16"/>
        </w:rPr>
      </w:pPr>
    </w:p>
    <w:p w14:paraId="49697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на 18 заводе был собран, взвешен и отцентрован САМ-5 А.Москалева - цельнометаллический (применительно к специализации завода) 5-местный САМ-5 М-11, который с конца 1931 разрабатывался А.Москалевым, прибывшим в Воронеж с 23 завода из-за скоротечной чахотки в качестве зам. начальника СКО. Готовились к серии ТБ-3 и чтобы чем-то занять и воодушевить рабочих с учетом опыта проектирования МУ-3 и аэробуса. Это была партийно-комсомольская инициатива и Осоавиахим, который сначала сомневался затем в лице чл. президиума Исполкома С.П.К. все же дал денег. Л не было и для первого полета пригласили Нач. летной группы Воронежского аэроклуба А.Н.Гусарова. При запуске мотора А.Москалев оказался в кабине и не умея летать после пробежки остановил мотор. Потом при взлете сорвало крышку кабины, л выключил мотор и машину затянуло в пике, так, что она была при посадке поломана. Повторили через неделю (2889,21).</w:t>
      </w:r>
    </w:p>
    <w:p w14:paraId="6D7DD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D1E1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после возможного прилета АИР-5 на дачу Пред ЦКК ВКП(б) Я.Э.Рудзутаку (возможно это случилось только в середине октября 1933) группа легкой авиации А.С.Я. получила первое отдельное помещение - комнату в филиале завода 39 в авиационном переулке, откуда их попросили в октябре 1933 (3971,7).</w:t>
      </w:r>
    </w:p>
    <w:p w14:paraId="5EC431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AEE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был готов АИР-7 А.С.Я., который строили в уголке сборочного цеха 39 завода, и его выкатили на аэродром (1771,5).</w:t>
      </w:r>
    </w:p>
    <w:p w14:paraId="7C860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0C3E72" w14:textId="77777777" w:rsidR="00DC3115" w:rsidRPr="00E93F40" w:rsidRDefault="00DC311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1932-го самолет АИР-7 выкатили на летное поле Центрального аэродрома. Потом занимались доделками, опробовали мотор. В 6 часов утра 19 ноября 1932 г. пилот Юлиан Пионтковский занял переднюю кабину АИР-7. В задней кабине заранее закрепили груз 80 кг (15547).</w:t>
      </w:r>
    </w:p>
    <w:p w14:paraId="19C46812" w14:textId="77777777" w:rsidR="00DC3115" w:rsidRPr="00E93F40" w:rsidRDefault="00DC3115" w:rsidP="00E93F40">
      <w:pPr>
        <w:spacing w:after="0" w:line="240" w:lineRule="auto"/>
        <w:jc w:val="both"/>
        <w:rPr>
          <w:rFonts w:ascii="Times New Roman" w:hAnsi="Times New Roman"/>
          <w:color w:val="000000" w:themeColor="text1"/>
          <w:sz w:val="16"/>
          <w:szCs w:val="16"/>
        </w:rPr>
      </w:pPr>
    </w:p>
    <w:p w14:paraId="1ED927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к А.С.Я. на работу пришел Е.Г.Адлер (3550,8).</w:t>
      </w:r>
    </w:p>
    <w:p w14:paraId="0BBBC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17834E" w14:textId="77777777" w:rsidR="00213ABE" w:rsidRPr="00E93F40" w:rsidRDefault="00213ABE"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 августе 1932 года первый Сталь-2 вновь перере</w:t>
      </w:r>
      <w:r w:rsidRPr="00E93F40">
        <w:rPr>
          <w:rFonts w:ascii="Times New Roman" w:hAnsi="Times New Roman"/>
          <w:color w:val="000000" w:themeColor="text1"/>
          <w:sz w:val="16"/>
          <w:szCs w:val="16"/>
          <w:lang w:eastAsia="ru-RU" w:bidi="ru-RU"/>
        </w:rPr>
        <w:softHyphen/>
        <w:t xml:space="preserve">гистрировали как СССР-Э800, а 13 февраля 1933 г. он уже имел регистрацию </w:t>
      </w:r>
      <w:r w:rsidRPr="00E93F40">
        <w:rPr>
          <w:rFonts w:ascii="Times New Roman" w:hAnsi="Times New Roman"/>
          <w:color w:val="000000" w:themeColor="text1"/>
          <w:sz w:val="16"/>
          <w:szCs w:val="16"/>
          <w:lang w:val="en-US" w:bidi="en-US"/>
        </w:rPr>
        <w:t>URSS</w:t>
      </w:r>
      <w:r w:rsidRPr="00E93F40">
        <w:rPr>
          <w:rFonts w:ascii="Times New Roman" w:hAnsi="Times New Roman"/>
          <w:color w:val="000000" w:themeColor="text1"/>
          <w:sz w:val="16"/>
          <w:szCs w:val="16"/>
          <w:lang w:bidi="en-US"/>
        </w:rPr>
        <w:t>-</w:t>
      </w:r>
      <w:r w:rsidRPr="00E93F40">
        <w:rPr>
          <w:rFonts w:ascii="Times New Roman" w:hAnsi="Times New Roman"/>
          <w:color w:val="000000" w:themeColor="text1"/>
          <w:sz w:val="16"/>
          <w:szCs w:val="16"/>
          <w:lang w:val="en-US" w:bidi="en-US"/>
        </w:rPr>
        <w:t>N</w:t>
      </w:r>
      <w:r w:rsidRPr="00E93F40">
        <w:rPr>
          <w:rFonts w:ascii="Times New Roman" w:hAnsi="Times New Roman"/>
          <w:color w:val="000000" w:themeColor="text1"/>
          <w:sz w:val="16"/>
          <w:szCs w:val="16"/>
          <w:lang w:bidi="en-US"/>
        </w:rPr>
        <w:t xml:space="preserve">800. </w:t>
      </w:r>
      <w:r w:rsidRPr="00E93F40">
        <w:rPr>
          <w:rFonts w:ascii="Times New Roman" w:hAnsi="Times New Roman"/>
          <w:color w:val="000000" w:themeColor="text1"/>
          <w:sz w:val="16"/>
          <w:szCs w:val="16"/>
          <w:lang w:eastAsia="ru-RU" w:bidi="ru-RU"/>
        </w:rPr>
        <w:t>Именно с таким обозначе</w:t>
      </w:r>
      <w:r w:rsidRPr="00E93F40">
        <w:rPr>
          <w:rFonts w:ascii="Times New Roman" w:hAnsi="Times New Roman"/>
          <w:color w:val="000000" w:themeColor="text1"/>
          <w:sz w:val="16"/>
          <w:szCs w:val="16"/>
          <w:lang w:eastAsia="ru-RU" w:bidi="ru-RU"/>
        </w:rPr>
        <w:softHyphen/>
        <w:t>нием этот экземпляр с именем собственным «Известия ЦИК» в марте 1933 года первым вошел в состав агитаци</w:t>
      </w:r>
      <w:r w:rsidRPr="00E93F40">
        <w:rPr>
          <w:rFonts w:ascii="Times New Roman" w:hAnsi="Times New Roman"/>
          <w:color w:val="000000" w:themeColor="text1"/>
          <w:sz w:val="16"/>
          <w:szCs w:val="16"/>
          <w:lang w:eastAsia="ru-RU" w:bidi="ru-RU"/>
        </w:rPr>
        <w:softHyphen/>
        <w:t>онной эскадрильи имени М.Горького, которая была созда</w:t>
      </w:r>
      <w:r w:rsidRPr="00E93F40">
        <w:rPr>
          <w:rFonts w:ascii="Times New Roman" w:hAnsi="Times New Roman"/>
          <w:color w:val="000000" w:themeColor="text1"/>
          <w:sz w:val="16"/>
          <w:szCs w:val="16"/>
          <w:lang w:eastAsia="ru-RU" w:bidi="ru-RU"/>
        </w:rPr>
        <w:softHyphen/>
        <w:t>на 22 марта 1933 года и действовала вплоть до 1939 го</w:t>
      </w:r>
      <w:r w:rsidRPr="00E93F40">
        <w:rPr>
          <w:rFonts w:ascii="Times New Roman" w:hAnsi="Times New Roman"/>
          <w:color w:val="000000" w:themeColor="text1"/>
          <w:sz w:val="16"/>
          <w:szCs w:val="16"/>
          <w:lang w:eastAsia="ru-RU" w:bidi="ru-RU"/>
        </w:rPr>
        <w:softHyphen/>
        <w:t>да. Эскадрилья им. Горького была весьма необычным об</w:t>
      </w:r>
      <w:r w:rsidRPr="00E93F40">
        <w:rPr>
          <w:rFonts w:ascii="Times New Roman" w:hAnsi="Times New Roman"/>
          <w:color w:val="000000" w:themeColor="text1"/>
          <w:sz w:val="16"/>
          <w:szCs w:val="16"/>
          <w:lang w:eastAsia="ru-RU" w:bidi="ru-RU"/>
        </w:rPr>
        <w:softHyphen/>
        <w:t>разованием, можно предположить, что даже само ее появление предназначалось для повышения значимости гражданского воздушного флота, а не только для агитаци</w:t>
      </w:r>
      <w:r w:rsidRPr="00E93F40">
        <w:rPr>
          <w:rFonts w:ascii="Times New Roman" w:hAnsi="Times New Roman"/>
          <w:color w:val="000000" w:themeColor="text1"/>
          <w:sz w:val="16"/>
          <w:szCs w:val="16"/>
          <w:lang w:eastAsia="ru-RU" w:bidi="ru-RU"/>
        </w:rPr>
        <w:softHyphen/>
        <w:t>онных полетов (20365).</w:t>
      </w:r>
    </w:p>
    <w:p w14:paraId="1D151F74" w14:textId="77777777" w:rsidR="00213ABE" w:rsidRPr="00E93F40" w:rsidRDefault="00213ABE" w:rsidP="00E93F40">
      <w:pPr>
        <w:spacing w:after="0" w:line="240" w:lineRule="auto"/>
        <w:jc w:val="both"/>
        <w:rPr>
          <w:rFonts w:ascii="Times New Roman" w:hAnsi="Times New Roman"/>
          <w:color w:val="000000" w:themeColor="text1"/>
          <w:sz w:val="16"/>
          <w:szCs w:val="16"/>
          <w:lang w:eastAsia="ru-RU" w:bidi="ru-RU"/>
        </w:rPr>
      </w:pPr>
    </w:p>
    <w:p w14:paraId="3EBA2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Г-8 В.К.Грибовского с Вальтером 60 нр прошел весь цикл летных испытаний и получил положительную оценку в отношении устойчивости и управляемости. Решили отправить в перелет (9080).</w:t>
      </w:r>
    </w:p>
    <w:p w14:paraId="06F11E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453DC1"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самолет прошел весь цикл летных испытаний с положительной оценкой устойчивости и управляемости, после чего было решено испытать его в длительном перелете, назначенном на сентябрь.</w:t>
      </w:r>
    </w:p>
    <w:p w14:paraId="235F03A2"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летчик Д.Кошиц на Г-8 отправился в большой агитационный перелет протяженностью около 5200 км по маршруту Москва -Горький - Казань - Сталинград - Ростов-на-Дону - Коктебель - Симферополь - Запорожье - Киев - Харьков - Орел - Москва. Была пройдена значительная часть пути, составившая 4500 км. Под Харьковом, по причине ошибочного переключения топливных баков, Кошиц совершил вынужденную посадку, в результате которой самолет оказался полностью разбит и более не восстанавливался.</w:t>
      </w:r>
    </w:p>
    <w:p w14:paraId="0F1B349F"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Г-8 представлял собой одноместный, свободнонесущий низкоплан деревянной конструкции, рассчитанный на выполнение полетов продолжительностью не менее четырех часов.</w:t>
      </w:r>
    </w:p>
    <w:p w14:paraId="21BE7847"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двухлонжеронное, обшивка лобовой части из фанеры, вся остальная поверхность обтянута полотном. Хвостовое оперение деревянное с полотняной обшивкой.</w:t>
      </w:r>
    </w:p>
    <w:p w14:paraId="2318FE55"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Веретенообразный фюзеляж типа полумонокок, обшит фанерой. Кабина открытая, с небольшим козырьком и обтекателем-заголовником.</w:t>
      </w:r>
    </w:p>
    <w:p w14:paraId="10E1C1BF"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«Вальтер» 60 л.с, пятицилиндровый, звездообразный, воздушного охлаждения.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3"/>
        <w:gridCol w:w="6609"/>
      </w:tblGrid>
      <w:tr w:rsidR="00DA227A" w:rsidRPr="00E93F40" w14:paraId="075D8234"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D27F13"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Модификация</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961C8B5" w14:textId="51F6E1BC"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Г-8</w:t>
            </w:r>
          </w:p>
        </w:tc>
      </w:tr>
      <w:tr w:rsidR="00DA227A" w:rsidRPr="00E93F40" w14:paraId="0BA0DE9D"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958AC14"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крыла, м</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9CE5508" w14:textId="0F85D3BC"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8.00</w:t>
            </w:r>
          </w:p>
        </w:tc>
      </w:tr>
      <w:tr w:rsidR="00DA227A" w:rsidRPr="00E93F40" w14:paraId="1844CF60"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588E42F"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самолета,м</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FA6ACEC" w14:textId="7203021A"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5.00</w:t>
            </w:r>
          </w:p>
        </w:tc>
      </w:tr>
      <w:tr w:rsidR="00DA227A" w:rsidRPr="00E93F40" w14:paraId="2990D0B3"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2D45019"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самолета,м</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61187BA" w14:textId="7ECA245D" w:rsidR="00684A8A"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2AE17AE8"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3A32C9C"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крыла,м</w:t>
            </w:r>
            <w:r w:rsidRPr="00E93F40">
              <w:rPr>
                <w:rFonts w:ascii="Times New Roman" w:hAnsi="Times New Roman"/>
                <w:color w:val="000000" w:themeColor="text1"/>
                <w:sz w:val="16"/>
                <w:szCs w:val="16"/>
                <w:shd w:val="clear" w:color="auto" w:fill="F7FBFF"/>
              </w:rPr>
              <w:t>²</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5F31E63" w14:textId="2B460A43"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9.00</w:t>
            </w:r>
          </w:p>
        </w:tc>
      </w:tr>
      <w:tr w:rsidR="00DA227A" w:rsidRPr="00E93F40" w14:paraId="6A639FD4"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34DFF0"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кг</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7FC2DE" w14:textId="27D51EF7" w:rsidR="00684A8A"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077E91EB"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AF77869" w14:textId="7C65F259"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пустого самолета</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2D3194D" w14:textId="57CFF4AC"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320</w:t>
            </w:r>
          </w:p>
        </w:tc>
      </w:tr>
      <w:tr w:rsidR="00DA227A" w:rsidRPr="00E93F40" w14:paraId="6E550B96"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DB089EA" w14:textId="3D7F0575"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максимальная взлетная</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8A78990" w14:textId="4107950E"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483</w:t>
            </w:r>
          </w:p>
        </w:tc>
      </w:tr>
      <w:tr w:rsidR="00DA227A" w:rsidRPr="00E93F40" w14:paraId="3D93080B"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FAA7520"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двигателя</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5C1B60" w14:textId="7C39E8DA"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 ПД Walter</w:t>
            </w:r>
          </w:p>
        </w:tc>
      </w:tr>
      <w:tr w:rsidR="00DA227A" w:rsidRPr="00E93F40" w14:paraId="056D143E"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CA8637D"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л.с.</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FD95EA" w14:textId="20A40688"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 х 60</w:t>
            </w:r>
          </w:p>
        </w:tc>
      </w:tr>
      <w:tr w:rsidR="00DA227A" w:rsidRPr="00E93F40" w14:paraId="72147F70"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4AE4718"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Максимальная скорость, км/ч</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EA42E0" w14:textId="16471CE6"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150</w:t>
            </w:r>
          </w:p>
        </w:tc>
      </w:tr>
      <w:tr w:rsidR="00DA227A" w:rsidRPr="00E93F40" w14:paraId="709A1E67"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769D377"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Крейсерская скорость, км/ч</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1E245BC" w14:textId="612CD05F"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125</w:t>
            </w:r>
          </w:p>
        </w:tc>
      </w:tr>
      <w:tr w:rsidR="00DA227A" w:rsidRPr="00E93F40" w14:paraId="61094AD2"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38D3ED7"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полета, ч</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CB0ADD3" w14:textId="0F6F88C5"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4</w:t>
            </w:r>
          </w:p>
        </w:tc>
      </w:tr>
      <w:tr w:rsidR="00DA227A" w:rsidRPr="00E93F40" w14:paraId="70586103"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C884BF5"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м/мин</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3D6BE89" w14:textId="2C8FCC43"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143</w:t>
            </w:r>
          </w:p>
        </w:tc>
      </w:tr>
      <w:tr w:rsidR="00DA227A" w:rsidRPr="00E93F40" w14:paraId="2C374F8C"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98EA8BA"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0EBAC21" w14:textId="32C855FF"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3000</w:t>
            </w:r>
          </w:p>
        </w:tc>
      </w:tr>
      <w:tr w:rsidR="00DA227A" w:rsidRPr="00E93F40" w14:paraId="5ACF87A0"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0F3745D"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чел</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C41110" w14:textId="402C1D1B"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w:t>
            </w:r>
          </w:p>
        </w:tc>
      </w:tr>
    </w:tbl>
    <w:p w14:paraId="6692E5DB" w14:textId="77777777" w:rsidR="00684A8A" w:rsidRPr="00E93F40" w:rsidRDefault="00684A8A" w:rsidP="00E93F4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(12682).</w:t>
      </w:r>
    </w:p>
    <w:p w14:paraId="2C88EF81" w14:textId="77777777" w:rsidR="00684A8A" w:rsidRPr="00E93F40" w:rsidRDefault="00684A8A" w:rsidP="00E93F4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1C5905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был построен эталон советской версии С-62, который получил обозначение МБР-4 (9078).</w:t>
      </w:r>
    </w:p>
    <w:p w14:paraId="1E3E6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8CC391"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1932 г. НИИ ВВС отправил в правление Авиатреста требования к воен</w:t>
      </w:r>
      <w:r w:rsidRPr="00142305">
        <w:rPr>
          <w:rFonts w:ascii="Times New Roman" w:hAnsi="Times New Roman"/>
          <w:color w:val="0070C0"/>
          <w:sz w:val="16"/>
          <w:szCs w:val="16"/>
        </w:rPr>
        <w:softHyphen/>
        <w:t>ному варианту Ш-2, названному А1-М11. Во-первых, амфибию решили вооружить. На задней кромке кабины (по шпангоуту № 15) хотели поставить два кронштейна со шкворнем для пулемёта. В данном до</w:t>
      </w:r>
      <w:r w:rsidRPr="00142305">
        <w:rPr>
          <w:rFonts w:ascii="Times New Roman" w:hAnsi="Times New Roman"/>
          <w:color w:val="0070C0"/>
          <w:sz w:val="16"/>
          <w:szCs w:val="16"/>
        </w:rPr>
        <w:softHyphen/>
        <w:t>кументе значился ПВ-1, но, видимо, оши</w:t>
      </w:r>
      <w:r w:rsidRPr="00142305">
        <w:rPr>
          <w:rFonts w:ascii="Times New Roman" w:hAnsi="Times New Roman"/>
          <w:color w:val="0070C0"/>
          <w:sz w:val="16"/>
          <w:szCs w:val="16"/>
        </w:rPr>
        <w:softHyphen/>
        <w:t>бочно, поскольку турельного варианта это оружие не имело, а питалось лентой из ящика, в требованиях же указаны диски. Позже это недоразумение исправили, вписав в перечень пулемёт ДА. К нему за</w:t>
      </w:r>
      <w:r w:rsidRPr="00142305">
        <w:rPr>
          <w:rFonts w:ascii="Times New Roman" w:hAnsi="Times New Roman"/>
          <w:color w:val="0070C0"/>
          <w:sz w:val="16"/>
          <w:szCs w:val="16"/>
        </w:rPr>
        <w:softHyphen/>
        <w:t>просили боезапас из шести дисков (все</w:t>
      </w:r>
      <w:r w:rsidRPr="00142305">
        <w:rPr>
          <w:rFonts w:ascii="Times New Roman" w:hAnsi="Times New Roman"/>
          <w:color w:val="0070C0"/>
          <w:sz w:val="16"/>
          <w:szCs w:val="16"/>
        </w:rPr>
        <w:softHyphen/>
        <w:t>го 282 патрона), уложенных по бортам в задней части кабины. Правое кресло спереди должно было иметь откидную спинку, позволявшую второму члену эки</w:t>
      </w:r>
      <w:r w:rsidRPr="00142305">
        <w:rPr>
          <w:rFonts w:ascii="Times New Roman" w:hAnsi="Times New Roman"/>
          <w:color w:val="0070C0"/>
          <w:sz w:val="16"/>
          <w:szCs w:val="16"/>
        </w:rPr>
        <w:softHyphen/>
        <w:t>пажа перебираться назад и устраиваться лицом к хвосту.</w:t>
      </w:r>
    </w:p>
    <w:p w14:paraId="49374ED1"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Оборудование дополнялось фотоап</w:t>
      </w:r>
      <w:r w:rsidRPr="00142305">
        <w:rPr>
          <w:rFonts w:ascii="Times New Roman" w:hAnsi="Times New Roman"/>
          <w:color w:val="0070C0"/>
          <w:sz w:val="16"/>
          <w:szCs w:val="16"/>
        </w:rPr>
        <w:softHyphen/>
        <w:t>паратом «Поттэ 1Б» для съёмки с рук (обычное место его хранения - в ящике позади передних сидений). Радиостанция 14СК крепилась к шпангоуту № 14, а акку</w:t>
      </w:r>
      <w:r w:rsidRPr="00142305">
        <w:rPr>
          <w:rFonts w:ascii="Times New Roman" w:hAnsi="Times New Roman"/>
          <w:color w:val="0070C0"/>
          <w:sz w:val="16"/>
          <w:szCs w:val="16"/>
        </w:rPr>
        <w:softHyphen/>
        <w:t>мулятор к ней - в передней кабине, чтобы соблюсти должную центровку.</w:t>
      </w:r>
    </w:p>
    <w:p w14:paraId="69D78A28"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Комплектацию приборной доски требо</w:t>
      </w:r>
      <w:r w:rsidRPr="00142305">
        <w:rPr>
          <w:rFonts w:ascii="Times New Roman" w:hAnsi="Times New Roman"/>
          <w:color w:val="0070C0"/>
          <w:sz w:val="16"/>
          <w:szCs w:val="16"/>
        </w:rPr>
        <w:softHyphen/>
        <w:t>вали пополнить указателем крена «Пио</w:t>
      </w:r>
      <w:r w:rsidRPr="00142305">
        <w:rPr>
          <w:rFonts w:ascii="Times New Roman" w:hAnsi="Times New Roman"/>
          <w:color w:val="0070C0"/>
          <w:sz w:val="16"/>
          <w:szCs w:val="16"/>
        </w:rPr>
        <w:softHyphen/>
        <w:t>нер», а у пилота поставить компас АЛ-1 (позднее заменив его на КИ-1). В список включили также перекомпоновку при</w:t>
      </w:r>
      <w:r w:rsidRPr="00142305">
        <w:rPr>
          <w:rFonts w:ascii="Times New Roman" w:hAnsi="Times New Roman"/>
          <w:color w:val="0070C0"/>
          <w:sz w:val="16"/>
          <w:szCs w:val="16"/>
        </w:rPr>
        <w:softHyphen/>
        <w:t>борной доски и перемещение пускового магнето.</w:t>
      </w:r>
    </w:p>
    <w:p w14:paraId="0CDBFF65"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Всё это должно было увеличить вес пустой машины на 69 кг. Однако задний бензобак на военном варианте решили не ставить, но возможность его установки предусмотреть и придавать такой бак к каждому самолёту.</w:t>
      </w:r>
    </w:p>
    <w:p w14:paraId="6EE17784"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более позднем варианте требований появились пункты о кольце Тауненда (уз</w:t>
      </w:r>
      <w:r w:rsidRPr="00142305">
        <w:rPr>
          <w:rFonts w:ascii="Times New Roman" w:hAnsi="Times New Roman"/>
          <w:color w:val="0070C0"/>
          <w:sz w:val="16"/>
          <w:szCs w:val="16"/>
        </w:rPr>
        <w:softHyphen/>
        <w:t>ком кольцевом капоте) на головках ци</w:t>
      </w:r>
      <w:r w:rsidRPr="00142305">
        <w:rPr>
          <w:rFonts w:ascii="Times New Roman" w:hAnsi="Times New Roman"/>
          <w:color w:val="0070C0"/>
          <w:sz w:val="16"/>
          <w:szCs w:val="16"/>
        </w:rPr>
        <w:softHyphen/>
        <w:t>линдров мотора, усилении шпангоута 15 и днища, переделке сидений под разме</w:t>
      </w:r>
      <w:r w:rsidRPr="00142305">
        <w:rPr>
          <w:rFonts w:ascii="Times New Roman" w:hAnsi="Times New Roman"/>
          <w:color w:val="0070C0"/>
          <w:sz w:val="16"/>
          <w:szCs w:val="16"/>
        </w:rPr>
        <w:softHyphen/>
        <w:t>щение парашютов в чашках и установке лебёдки для буксировки конуса.</w:t>
      </w:r>
    </w:p>
    <w:p w14:paraId="5AB2FB23"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Кольцо Тауненда смонтировали на од</w:t>
      </w:r>
      <w:r w:rsidRPr="00142305">
        <w:rPr>
          <w:rFonts w:ascii="Times New Roman" w:hAnsi="Times New Roman"/>
          <w:color w:val="0070C0"/>
          <w:sz w:val="16"/>
          <w:szCs w:val="16"/>
        </w:rPr>
        <w:softHyphen/>
        <w:t>ном из Ш-2 выпуска 1932 г., но, похоже, никаких положительных результатов не получили. Серийные военные амфибии, судя по фотографиям, капотирования го</w:t>
      </w:r>
      <w:r w:rsidRPr="00142305">
        <w:rPr>
          <w:rFonts w:ascii="Times New Roman" w:hAnsi="Times New Roman"/>
          <w:color w:val="0070C0"/>
          <w:sz w:val="16"/>
          <w:szCs w:val="16"/>
        </w:rPr>
        <w:softHyphen/>
        <w:t>ловок цилиндров мотора не имели. Про</w:t>
      </w:r>
      <w:r w:rsidRPr="00142305">
        <w:rPr>
          <w:rFonts w:ascii="Times New Roman" w:hAnsi="Times New Roman"/>
          <w:color w:val="0070C0"/>
          <w:sz w:val="16"/>
          <w:szCs w:val="16"/>
        </w:rPr>
        <w:softHyphen/>
        <w:t>ект установки вооружения Шавровым был выполнен, однако нет никаких данных о его реализации (24952).</w:t>
      </w:r>
    </w:p>
    <w:p w14:paraId="1F59550B" w14:textId="77777777" w:rsidR="00587026" w:rsidRPr="00142305" w:rsidRDefault="00587026" w:rsidP="00587026">
      <w:pPr>
        <w:spacing w:after="0" w:line="240" w:lineRule="auto"/>
        <w:jc w:val="both"/>
        <w:rPr>
          <w:rFonts w:ascii="Times New Roman" w:hAnsi="Times New Roman"/>
          <w:color w:val="0070C0"/>
          <w:sz w:val="16"/>
          <w:szCs w:val="16"/>
        </w:rPr>
      </w:pPr>
    </w:p>
    <w:p w14:paraId="5A1F1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в ЦАГИ получили и установили М-34 на С-62 (МБР-4). С-62 была получена с завода 31 в начале года, а ЦАГИ спроектировал, изготовил и установил мотораму. Установка оборудования, вооружения, отделка д.б.б. выполнены заводом 31 (2314,22).</w:t>
      </w:r>
    </w:p>
    <w:p w14:paraId="76B3CF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1B8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августа 1932 года НИИ СС выделился в самостоятельный НИИ из НИИ ГВФ и в декабре 1932 находился в Тушино по Виндавской ж/д.</w:t>
      </w:r>
    </w:p>
    <w:p w14:paraId="1AECD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 и задачи НИИ:</w:t>
      </w:r>
    </w:p>
    <w:p w14:paraId="0ACDDB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Прямым назначением НИИ спецслужб является постановка и проработка проблем специального обслуживания ГВФ с учетом современных достижений науки и техники, в целях технической реконструкции и улучшения эксплуатации в области аэронавигации, аэрографии, радио, светотехнического и земного оборудования и авиационных приборов.</w:t>
      </w:r>
    </w:p>
    <w:p w14:paraId="165BA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Радиоотдел, Электроотдел, Отдел авиаприборов, Отдел карт и лоций</w:t>
      </w:r>
    </w:p>
    <w:p w14:paraId="5433E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………………………….(7726, 56-64).</w:t>
      </w:r>
    </w:p>
    <w:p w14:paraId="669D5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7EBA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августа 1932 года существовал НИИ авиадвигателей, а в нем Отдел особых двигателей.</w:t>
      </w:r>
    </w:p>
    <w:p w14:paraId="64BCD8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 работает над созданием паровой турбины мощностью 3000 л.с. Эта проблема должна решить развитие тяжелой и сверхтяжелой авиации. Турбина находится в стадии изготовления в основном на Ленинградских заводах.</w:t>
      </w:r>
    </w:p>
    <w:p w14:paraId="3BCCCA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…………………….(7738, 137-134).</w:t>
      </w:r>
    </w:p>
    <w:p w14:paraId="3A846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80D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года 2-х реверса под мотор АССО прошли госиспытания и тогда же были сданы УВМС (3530,70-86).</w:t>
      </w:r>
    </w:p>
    <w:p w14:paraId="5D6DE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604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года было подписано письмо № 1352/ко в ГУГВФ Гольцману</w:t>
      </w:r>
    </w:p>
    <w:p w14:paraId="75937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 24/2471с от 4 августа 1932 года</w:t>
      </w:r>
    </w:p>
    <w:p w14:paraId="3643F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Препровождаются выписки из постановления от 4 июля 1932 года по опытному самолето и моторостроению и плана опытного строительства.</w:t>
      </w:r>
    </w:p>
    <w:p w14:paraId="68BC83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на 3 п/листах (3530,41).</w:t>
      </w:r>
    </w:p>
    <w:p w14:paraId="231FF5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0F5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две риверсивные муфты для ГМ-34 для глиссеров прошли заводские испытания и были переданы в эксплуатацию на Г-5 с мотором АССО (2281).</w:t>
      </w:r>
    </w:p>
    <w:p w14:paraId="13C91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087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начали сборку первого опытного образца М-50 (3М-11) (с цилиндрами от М-11В), а в декабре его уже выставили на госиспытания. Увлечение унификацией привело к применению избыточно тяжелых для выбранной мощности (65 л.с.) деталей. Большинство агрегатов взяли от серийного мотора, что в итоге привело к очень маленькой удельной мощности - около 0,5 л.с./кг. В этом отношении и базовый М-11В был далек от идеала, а уж М-50 вообще "не лез ни в какие ворота". Кроме того, руководство ВВС не интересовалось моторами с мощностью менее 100 л.с., и именно мнение этой инстанции являлось определяющим. Заказчиков на М-50 так и не нашли (11478).</w:t>
      </w:r>
    </w:p>
    <w:p w14:paraId="74EDB4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30D6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началась сборка первого опытного образца М-50 (3М-11). В марте 1931 г. в конструкторском бюро завода № 29 (Запорожье) под руководством А.С. Назарова был разработан двигатель М-50 (3М-11). Использовались узлы и агрегаты мотора М-11В. Госиспытания проходили с декабря 1932 г. Доводился От</w:t>
      </w:r>
      <w:r w:rsidRPr="00E93F40">
        <w:rPr>
          <w:rFonts w:ascii="Times New Roman" w:hAnsi="Times New Roman"/>
          <w:color w:val="000000" w:themeColor="text1"/>
          <w:sz w:val="16"/>
          <w:szCs w:val="16"/>
        </w:rPr>
        <w:softHyphen/>
        <w:t>делом легких двигателей НИИ ГВФ под руководством М.А. Коссова до 1934 г. В серию не запускался из-за отсутствия заказов.</w:t>
      </w:r>
    </w:p>
    <w:p w14:paraId="12A2D3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0BA378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3-цилиндровый, звездообразный, четырехтактный, воздушного охлаж</w:t>
      </w:r>
      <w:r w:rsidRPr="00E93F40">
        <w:rPr>
          <w:rFonts w:ascii="Times New Roman" w:hAnsi="Times New Roman"/>
          <w:color w:val="000000" w:themeColor="text1"/>
          <w:sz w:val="16"/>
          <w:szCs w:val="16"/>
        </w:rPr>
        <w:softHyphen/>
        <w:t>дения;</w:t>
      </w:r>
    </w:p>
    <w:p w14:paraId="1947F1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60/65 л.с.;</w:t>
      </w:r>
    </w:p>
    <w:p w14:paraId="77F5AC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125/140 мм;</w:t>
      </w:r>
    </w:p>
    <w:p w14:paraId="26E57F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5,16 л;</w:t>
      </w:r>
    </w:p>
    <w:p w14:paraId="4D5E4B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5,0;</w:t>
      </w:r>
    </w:p>
    <w:p w14:paraId="357722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безредукторный;</w:t>
      </w:r>
    </w:p>
    <w:p w14:paraId="3661BC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125 кг.</w:t>
      </w:r>
    </w:p>
    <w:p w14:paraId="5E992A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Существовали два варианта М-50:</w:t>
      </w:r>
    </w:p>
    <w:p w14:paraId="34F9EA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цилиндрами от М-И В;</w:t>
      </w:r>
    </w:p>
    <w:p w14:paraId="7296BE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оригинальными цилиндрами (но не по типу М-51).</w:t>
      </w:r>
    </w:p>
    <w:p w14:paraId="1C1783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Известен более поздний судовой дизель под тем же обозначением (он же первоначально МН-1), создававшийся в ЦИАМ на базе авиационного М-40 (11852).</w:t>
      </w:r>
    </w:p>
    <w:p w14:paraId="4D2EE6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1F8C62"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1932 г. начали сборку первого опытного образца (с цилиндрами от М-11В), а в декабре его уже выставили на госиспытания. Увлечение унификацией привело к применению избыточно тяжелых для выбранной мощности (65 л.с.) деталей. Большинство агре</w:t>
      </w:r>
      <w:r w:rsidRPr="00142305">
        <w:rPr>
          <w:rFonts w:ascii="Times New Roman" w:hAnsi="Times New Roman"/>
          <w:color w:val="0070C0"/>
          <w:sz w:val="16"/>
          <w:szCs w:val="16"/>
        </w:rPr>
        <w:softHyphen/>
        <w:t>гатов взяли от серийного мотора, что в итоге привело к очень маленькой удельной мощности — около 0,5 л.с./кг. В этом отношении и базовый М-11В был далек от идеала, а уж М-50 вообще «не лез ни в какие ворота». Кроме того, руководство ВВС не интересовалось моторами с мощностью менее 100 л.с., и именно мнение этой инстанции являлось определяющим. Заказчиков на М-50 так и не нашли (25387).</w:t>
      </w:r>
    </w:p>
    <w:p w14:paraId="4759394F" w14:textId="77777777" w:rsidR="00587026" w:rsidRPr="00142305" w:rsidRDefault="00587026" w:rsidP="00587026">
      <w:pPr>
        <w:spacing w:after="0" w:line="240" w:lineRule="auto"/>
        <w:jc w:val="both"/>
        <w:rPr>
          <w:rFonts w:ascii="Times New Roman" w:hAnsi="Times New Roman"/>
          <w:color w:val="0070C0"/>
          <w:sz w:val="16"/>
          <w:szCs w:val="16"/>
        </w:rPr>
      </w:pPr>
    </w:p>
    <w:p w14:paraId="1B4652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опытный образец поплавкового Р-5а помог вырваться из льдов каравану судов с рабочими "Даль- строя". В следующем году на нем вывозили пушнину с отдаленных факторий, производили съемку устья Лены, обследовали зимовки на м. Челюскина (11936).</w:t>
      </w:r>
    </w:p>
    <w:p w14:paraId="73D3C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012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группа А.С.Я. получила свое первое помещение – часть деревообделочного цеха филиала завода №39 (Ерасноармейская 5). Ее состав был расширен до 13 конструкторов и 5 рабочих.</w:t>
      </w:r>
    </w:p>
    <w:p w14:paraId="2D254A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1934 г. группа была выделена в самостоятельную конструкторско-производственную единицу и получила название КПБ (Конструкторско-производственное бюро) с одновременным переходом из Осоавиахима в подчинение Спецавиатресту под эгидой Главного управления авиационной промышленности НКТП. В марте 1934 г. КПБ было переведено на территорию филиала завода № 132 Спецавиатреста, представлявшего собой кроватную мастерскую (ленинградское ш.).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Вигант, К.В. Синельщиков, Е.А. Адлер, Л.М. Шехтер, чертежник В. Алексеев, токарь Максимов, столяры Хромов и Панкратов, слесари Жиров и Поздняков.</w:t>
      </w:r>
    </w:p>
    <w:p w14:paraId="0A9B9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0D8548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44C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на строительство завода № 124 в Казани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637B94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16ECE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1AAAF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2C066B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0D66B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381301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4C2475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2DB03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9FC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ГИРД заключил договор с Управлением военных изобретений Начальника вооружений (УВИ НВ РККА) на выполнение работ по жидкостным РС и тем самым получил новый источник финансирования. На 1933 УВИ 500000, а ЦС Осоавиахим - 80000 (388,64).</w:t>
      </w:r>
    </w:p>
    <w:p w14:paraId="7799DE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EEE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на Балтике закончилась серия экспериментов с авиаторпедами, которые начались в июле 1932 (561,5).</w:t>
      </w:r>
    </w:p>
    <w:p w14:paraId="3B477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в августе 1932 на Балтике закончились войсковые испытания ТАВ-15, которые начались в июле (1085,126).</w:t>
      </w:r>
    </w:p>
    <w:p w14:paraId="3F7C90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CBEAB5" w14:textId="77777777" w:rsidR="005C531D" w:rsidRPr="00E93F40" w:rsidRDefault="005C53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на Балтийском море завершились государственные испытания торпеды ВВС-12, которые шли с 18 сентября 1931 г.Ссбросили 20 торпед двух типов (на базе 45—12 и 45—15). И опять торпеда ВВС-12 оказалась надежнее, и ее приняли на вооружение ВВС РККА (куда входила и морская авиация) под индексом ТАН-12 (15117).</w:t>
      </w:r>
    </w:p>
    <w:p w14:paraId="31F7DA40" w14:textId="77777777" w:rsidR="005C531D" w:rsidRPr="00E93F40" w:rsidRDefault="005C531D" w:rsidP="00E93F40">
      <w:pPr>
        <w:spacing w:after="0" w:line="240" w:lineRule="auto"/>
        <w:jc w:val="both"/>
        <w:rPr>
          <w:rFonts w:ascii="Times New Roman" w:hAnsi="Times New Roman"/>
          <w:color w:val="000000" w:themeColor="text1"/>
          <w:sz w:val="16"/>
          <w:szCs w:val="16"/>
        </w:rPr>
      </w:pPr>
    </w:p>
    <w:p w14:paraId="41BBE734"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1932 г., после завершения второго этапа госиспытаний торпеда ВВС-12, ее приняли на вооружение, изменив наименование на ТАН-12 (торпеда авиационная низковысотная) (25037).</w:t>
      </w:r>
    </w:p>
    <w:p w14:paraId="60A19ABE" w14:textId="77777777" w:rsidR="00587026" w:rsidRPr="00142305" w:rsidRDefault="00587026" w:rsidP="00587026">
      <w:pPr>
        <w:spacing w:after="0" w:line="240" w:lineRule="auto"/>
        <w:jc w:val="both"/>
        <w:rPr>
          <w:rFonts w:ascii="Times New Roman" w:hAnsi="Times New Roman"/>
          <w:color w:val="0070C0"/>
          <w:sz w:val="16"/>
          <w:szCs w:val="16"/>
        </w:rPr>
      </w:pPr>
    </w:p>
    <w:p w14:paraId="0C7CA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было подготовлено Заключение об изобретении Барлоу</w:t>
      </w:r>
    </w:p>
    <w:p w14:paraId="244A3D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Изобретение Барлоу представляет собой исключительно большой интерес, позволяя осуществлять бомбардировку глубоко расположенных недоступных в настоящее время объектов, давая большой разрушительный эффект. Основное достоинство изобретения заключается в том, что оно позволяет достигнуть значительной глубины бомбардирования при относительно небольшом полетном весе системы, что происходит вследствие того, что основной потребитель горючего бомбардировщик уничтожается у цели и для обратного полета горючее необходимо лишь для одномоторного ведущего самолета.</w:t>
      </w:r>
    </w:p>
    <w:p w14:paraId="4F347B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для борьбы со значительно удаленными объектами, изобретение Барлоу является исключительно ценным. Обычные бомбардировщики не могут выполнять таких задач. Следовательно, по нормально удаленным целям бомбометание можно вести обычными бомбардировщиками, а по наиболее удаленным системам Барлоу. В настоящее время, борьба против жизненных центров Японии со стороны САСШ возможна, пожалуй, только методамиБарлоу. В этом и заключается исключительная ценность его изобретения.</w:t>
      </w:r>
    </w:p>
    <w:p w14:paraId="2B6C7E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недостаткам его надо отнести повышенный вывод из строя бомбардировщиков и моторов. Однако, можно будет добиться удешевления этих бомбардировщиков, путем уменьшения запасов их прочности и т.д.</w:t>
      </w:r>
    </w:p>
    <w:p w14:paraId="7C413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Помимо ценности изобретения в целом, крайне интересны, какие методы наведения бомбардировщика на цель, без риска для летчика, рассеивание бомб, конструкция самих бомб и т.п.</w:t>
      </w:r>
    </w:p>
    <w:p w14:paraId="6C5C1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Мотивы приезда Барлоу в Союз и предложенный им путь использования нами этого приезда еще не совсем ясен. Весьма возможно, что он преследует цель личной наживы посредством увеличения реклам изобретения, а также хочет дать возможность своим единомышленникам в Америке использовать приезд к нам для предвыборной борьбы против Гувера (против чего не следует возражать). В первом случае свою личную заинтересованность он прикрывает пацифистскими фразами, желая этим получить «моральное право» передать изобретение нам.</w:t>
      </w:r>
    </w:p>
    <w:p w14:paraId="23AC2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учете того большого интереса, который представляет для нас изобретение Барлоу мы должны максимально пойти на встречу настроениям Барлоу и создав соответствующую внешнюю форму поставить себе целью получить полностью это изобретение и привлечь Барлоу к работе над его осуществлением.</w:t>
      </w:r>
    </w:p>
    <w:p w14:paraId="1DA4C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этого мы считаем целесообразным предложить следующее:</w:t>
      </w:r>
    </w:p>
    <w:p w14:paraId="560EDE3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Осветить в печати пацифистскую цель приезда Барлоу, дабы избежать не исключенной провокации.</w:t>
      </w:r>
    </w:p>
    <w:p w14:paraId="136F765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 Послать от имени ЦАГИ и АН обращение к Гуверу с приглашением поддержать предложение СССР о полном разоружении, мотивировав тем, что новейшие средства борьбы и особенно изобретение Барлоу указывают на неизбежность варварского истребления городов на неограниченной глубине территории, если не последует полного и всеобщего разоружения.</w:t>
      </w:r>
    </w:p>
    <w:p w14:paraId="361BAE5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Указать Барлоу, что в связи с окончанием заседаний в Женеве эти мероприятия окажутся наиболее эффективными.</w:t>
      </w:r>
    </w:p>
    <w:p w14:paraId="5EFC051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Показать Барлоу наиболее интересные стройки и обставить его наиболее радушно и гостеприимно с тем, чтобы завязать с ним прочные связи и по возможности купить рабочие чертежи его изобретения.</w:t>
      </w:r>
    </w:p>
    <w:p w14:paraId="055B1F4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Предложить ЦАГИ и ГАУ в срочном порядке осуществить в опытном образце изобретения Барлоу (3553,30-32).</w:t>
      </w:r>
    </w:p>
    <w:p w14:paraId="13CB2F2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4DB93AC" w14:textId="0D268179" w:rsidR="00C018CF" w:rsidRPr="00E93F40" w:rsidRDefault="00C018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В августе 1932</w:t>
      </w:r>
      <w:r w:rsidR="007C1411" w:rsidRPr="00E93F40">
        <w:rPr>
          <w:rFonts w:ascii="Times New Roman" w:hAnsi="Times New Roman"/>
          <w:color w:val="000000" w:themeColor="text1"/>
          <w:sz w:val="16"/>
          <w:szCs w:val="16"/>
          <w:shd w:val="clear" w:color="auto" w:fill="FFFFFF"/>
        </w:rPr>
        <w:t xml:space="preserve"> </w:t>
      </w:r>
      <w:r w:rsidRPr="00E93F40">
        <w:rPr>
          <w:rFonts w:ascii="Times New Roman" w:hAnsi="Times New Roman"/>
          <w:color w:val="000000" w:themeColor="text1"/>
          <w:sz w:val="16"/>
          <w:szCs w:val="16"/>
          <w:shd w:val="clear" w:color="auto" w:fill="FFFFFF"/>
        </w:rPr>
        <w:t>года высшим военным руководством было принято решение о создании для МСДВ передвижной производственной базы для капитального и среднего ремонта морских и сухопутных самолётов, в т.ч. и тяжёлых бомбардировщиков. Был издан специальный приказ наркома обороны о создании такой базы и назначении командира. Эта часть стала называться «Авиационно-ремонтный поезд №</w:t>
      </w:r>
      <w:r w:rsidR="007C1411" w:rsidRPr="00E93F40">
        <w:rPr>
          <w:rFonts w:ascii="Times New Roman" w:hAnsi="Times New Roman"/>
          <w:color w:val="000000" w:themeColor="text1"/>
          <w:sz w:val="16"/>
          <w:szCs w:val="16"/>
          <w:shd w:val="clear" w:color="auto" w:fill="FFFFFF"/>
        </w:rPr>
        <w:t xml:space="preserve"> </w:t>
      </w:r>
      <w:r w:rsidRPr="00E93F40">
        <w:rPr>
          <w:rFonts w:ascii="Times New Roman" w:hAnsi="Times New Roman"/>
          <w:color w:val="000000" w:themeColor="text1"/>
          <w:sz w:val="16"/>
          <w:szCs w:val="16"/>
          <w:shd w:val="clear" w:color="auto" w:fill="FFFFFF"/>
        </w:rPr>
        <w:t>1». Командиром поезда назначили опытного инженера И.П.</w:t>
      </w:r>
      <w:r w:rsidR="007C1411" w:rsidRPr="00E93F40">
        <w:rPr>
          <w:rFonts w:ascii="Times New Roman" w:hAnsi="Times New Roman"/>
          <w:color w:val="000000" w:themeColor="text1"/>
          <w:sz w:val="16"/>
          <w:szCs w:val="16"/>
          <w:shd w:val="clear" w:color="auto" w:fill="FFFFFF"/>
        </w:rPr>
        <w:t xml:space="preserve"> </w:t>
      </w:r>
      <w:r w:rsidRPr="00E93F40">
        <w:rPr>
          <w:rFonts w:ascii="Times New Roman" w:hAnsi="Times New Roman"/>
          <w:color w:val="000000" w:themeColor="text1"/>
          <w:sz w:val="16"/>
          <w:szCs w:val="16"/>
          <w:shd w:val="clear" w:color="auto" w:fill="FFFFFF"/>
        </w:rPr>
        <w:t>Бирюкова, который до этого хорошо себя зарекомендовал службой в строевых авиачастях и в качестве старшего военного представителя на авиазаводе №</w:t>
      </w:r>
      <w:r w:rsidR="007C1411" w:rsidRPr="00E93F40">
        <w:rPr>
          <w:rFonts w:ascii="Times New Roman" w:hAnsi="Times New Roman"/>
          <w:color w:val="000000" w:themeColor="text1"/>
          <w:sz w:val="16"/>
          <w:szCs w:val="16"/>
          <w:shd w:val="clear" w:color="auto" w:fill="FFFFFF"/>
        </w:rPr>
        <w:t xml:space="preserve"> </w:t>
      </w:r>
      <w:r w:rsidRPr="00E93F40">
        <w:rPr>
          <w:rFonts w:ascii="Times New Roman" w:hAnsi="Times New Roman"/>
          <w:color w:val="000000" w:themeColor="text1"/>
          <w:sz w:val="16"/>
          <w:szCs w:val="16"/>
          <w:shd w:val="clear" w:color="auto" w:fill="FFFFFF"/>
        </w:rPr>
        <w:t>31 в г.</w:t>
      </w:r>
      <w:r w:rsidR="007C1411" w:rsidRPr="00E93F40">
        <w:rPr>
          <w:rFonts w:ascii="Times New Roman" w:hAnsi="Times New Roman"/>
          <w:color w:val="000000" w:themeColor="text1"/>
          <w:sz w:val="16"/>
          <w:szCs w:val="16"/>
          <w:shd w:val="clear" w:color="auto" w:fill="FFFFFF"/>
        </w:rPr>
        <w:t xml:space="preserve"> </w:t>
      </w:r>
      <w:r w:rsidRPr="00E93F40">
        <w:rPr>
          <w:rFonts w:ascii="Times New Roman" w:hAnsi="Times New Roman"/>
          <w:color w:val="000000" w:themeColor="text1"/>
          <w:sz w:val="16"/>
          <w:szCs w:val="16"/>
          <w:shd w:val="clear" w:color="auto" w:fill="FFFFFF"/>
        </w:rPr>
        <w:t>Таганроге (19526).</w:t>
      </w:r>
    </w:p>
    <w:p w14:paraId="26BD1E67" w14:textId="77777777" w:rsidR="00C018CF" w:rsidRPr="00E93F40" w:rsidRDefault="00C018CF" w:rsidP="00E93F40">
      <w:pPr>
        <w:spacing w:after="0" w:line="240" w:lineRule="auto"/>
        <w:jc w:val="both"/>
        <w:rPr>
          <w:rFonts w:ascii="Times New Roman" w:hAnsi="Times New Roman"/>
          <w:color w:val="000000" w:themeColor="text1"/>
          <w:sz w:val="16"/>
          <w:szCs w:val="16"/>
        </w:rPr>
      </w:pPr>
    </w:p>
    <w:p w14:paraId="404425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к опытам подготовились более тщательно, приведя габари</w:t>
      </w:r>
      <w:r w:rsidRPr="00E93F40">
        <w:rPr>
          <w:rFonts w:ascii="Times New Roman" w:hAnsi="Times New Roman"/>
          <w:color w:val="000000" w:themeColor="text1"/>
          <w:sz w:val="16"/>
          <w:szCs w:val="16"/>
        </w:rPr>
        <w:softHyphen/>
        <w:t>ты и массу РС к единым показателям. БЧ боеприпасов снарядили серой. Отклонение окончательно собранных от среднего значения - не более 0,5%. Отклонение по массе РЗ — не более 0,1%. Стрельбу проводили при углах возвышения направляющих 23°. Средняя дальность составила 3707 м (расчетная — 3680 м). На 19-м выстреле у снаряда выбило крышку-со</w:t>
      </w:r>
      <w:r w:rsidRPr="00E93F40">
        <w:rPr>
          <w:rFonts w:ascii="Times New Roman" w:hAnsi="Times New Roman"/>
          <w:color w:val="000000" w:themeColor="text1"/>
          <w:sz w:val="16"/>
          <w:szCs w:val="16"/>
        </w:rPr>
        <w:softHyphen/>
        <w:t>пло, но обошлось без тяжелых последствий. В результате этих стрельб выяснилось, что «получить устойчивость снарядов на траектории возможно с увеличением размаха стабилизатора и тщательности его изготовления». По мнению конструкторов, в даль</w:t>
      </w:r>
      <w:r w:rsidRPr="00E93F40">
        <w:rPr>
          <w:rFonts w:ascii="Times New Roman" w:hAnsi="Times New Roman"/>
          <w:color w:val="000000" w:themeColor="text1"/>
          <w:sz w:val="16"/>
          <w:szCs w:val="16"/>
        </w:rPr>
        <w:softHyphen/>
        <w:t>нейшем главное внимание для достижения точности необходимо было уделять устранению эксцентриситета сопла, правильности постановки крыльев, тщательной подгонке снарядов в направляющих. Заметим, что к такому выводу создатели ракетных снарядов пришли уже в августе 1933 г. В то время как авторы нынешних публикаций утверждают, что проблемами эксцентриситета ракетчики начали вплотную заниматься лишь в 1946 г. (11402).</w:t>
      </w:r>
    </w:p>
    <w:p w14:paraId="114EDA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DF35D4"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Управление военных изобретений (УВИ) Начальника вооружений РККА заключило договор с ГИРД на выполнение ряда работ по реактивным двигателям и снарядам, с этого момента ГИРД попадает в двойственное подчинение (22685).</w:t>
      </w:r>
    </w:p>
    <w:p w14:paraId="7F20D7AF" w14:textId="77777777" w:rsidR="00213ABE" w:rsidRPr="00E93F40" w:rsidRDefault="00213ABE" w:rsidP="00E93F40">
      <w:pPr>
        <w:spacing w:after="0" w:line="240" w:lineRule="auto"/>
        <w:jc w:val="both"/>
        <w:rPr>
          <w:rFonts w:ascii="Times New Roman" w:hAnsi="Times New Roman"/>
          <w:color w:val="000000" w:themeColor="text1"/>
          <w:sz w:val="16"/>
          <w:szCs w:val="16"/>
        </w:rPr>
      </w:pPr>
    </w:p>
    <w:p w14:paraId="29FF5454"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августе 1932 года, всего через несколько месяцев работы группы Нобиле в СССР, Гольцман был вынужден провести специальное заседание коллегии Аэрофлота, посвящённое интехпомощи. Пригласили всё руководство Дирижаблестроя и его основных подразделений, около 30 человек: дело было серьёзное. По итогам обсуждения приняли решение:</w:t>
      </w:r>
    </w:p>
    <w:p w14:paraId="4352E8D1"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Комфракция ВКП(б) Коллегии ГУГВФ совместно с ком. активом организации «Дирижаблестроя», исходя из того, что использование иноспециалистов (группа Нобиле) происходит в недостаточной степени удовлетворительно, постановляет:</w:t>
      </w:r>
    </w:p>
    <w:p w14:paraId="5EBA6CA5"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1/Поручить Дирижаблестрою внести полную ясность в организационные взаимоотношения итальянских специалистов с различными органами Дирижаблестроя, в частности, установить права и обязанности каждого иноспециалиста в отдельности и их связь с соответствующими группами совспециалистов и рабочих.</w:t>
      </w:r>
    </w:p>
    <w:p w14:paraId="30E6E42A"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 [Партийные] Ячейки на местах и администрация должны добиться беспрекословного и в срок исполнения технических распоряжений итальянских, а также советских руководителей. &lt;.&gt;</w:t>
      </w:r>
    </w:p>
    <w:p w14:paraId="24CBDA27"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3/ Комфракция осуждает тенденцию игнорирования иностранцев, комчванство по отношению к их работе, мнения будто «наши» инженеры уже больше знают, чем Нобиле и его сотрудники. будто мы их обучаем, а не они нас, и т. д. &lt;.&gt;</w:t>
      </w:r>
    </w:p>
    <w:p w14:paraId="3B7CDB2B"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4/ Осудить также случаи отказа инженеров в К. [онструкторском] бюро от конструкторско- чертёжной работы, предложенной Нобиле за некомплектом конструкторских кадров. Впредь поступать по отношению к лицам, отказывающимся от исполнения распоряжений технических руководителей, по всей строгости Дисциплинарного устава ГВФ. &lt;.&gt;</w:t>
      </w:r>
    </w:p>
    <w:p w14:paraId="3FF0C1A9" w14:textId="77777777" w:rsidR="00213ABE" w:rsidRPr="00E93F40" w:rsidRDefault="00213A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7/ Обязать ячейки ВКП(б) на местах повести разъяснительную работу среди беспартийных сотрудников органов Дирижаблестроя. о значении иностранной технической помощи для дирижаблестроения в СССР и об отношении советских специалистов к итальянской группе Нобиле. Разъяснение вести в духе данного решения (23192).</w:t>
      </w:r>
    </w:p>
    <w:p w14:paraId="12423D59" w14:textId="77777777" w:rsidR="00213ABE" w:rsidRPr="00E93F40" w:rsidRDefault="00213ABE" w:rsidP="00E93F40">
      <w:pPr>
        <w:spacing w:after="0" w:line="240" w:lineRule="auto"/>
        <w:jc w:val="both"/>
        <w:rPr>
          <w:rFonts w:ascii="Times New Roman" w:hAnsi="Times New Roman"/>
          <w:color w:val="000000" w:themeColor="text1"/>
          <w:sz w:val="16"/>
          <w:szCs w:val="16"/>
        </w:rPr>
      </w:pPr>
    </w:p>
    <w:p w14:paraId="00063A67"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августа 1932 г. МосГИРД дополнительно финансировало Управление военных изобретений (УВИ) Наркомата по военным и морским делам. Однако обе организации выделяли скудные средства. Многое сотрудникам ГИРД приходилось добывать са</w:t>
      </w:r>
      <w:r w:rsidRPr="00E93F40">
        <w:rPr>
          <w:rFonts w:ascii="Times New Roman" w:hAnsi="Times New Roman"/>
          <w:color w:val="000000" w:themeColor="text1"/>
          <w:sz w:val="16"/>
          <w:szCs w:val="16"/>
        </w:rPr>
        <w:softHyphen/>
        <w:t>мим, проявляя чудеса смекалки.</w:t>
      </w:r>
    </w:p>
    <w:p w14:paraId="09FB3040"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смерти Цандера в апреле 1932 г. Королева назначи</w:t>
      </w:r>
      <w:r w:rsidRPr="00E93F40">
        <w:rPr>
          <w:rFonts w:ascii="Times New Roman" w:hAnsi="Times New Roman"/>
          <w:color w:val="000000" w:themeColor="text1"/>
          <w:sz w:val="16"/>
          <w:szCs w:val="16"/>
        </w:rPr>
        <w:softHyphen/>
        <w:t>ли «начальником МосГИРД на общественных началах» (т. е. без доплаты за руководство). В целом Группа влачила жалкое суще</w:t>
      </w:r>
      <w:r w:rsidRPr="00E93F40">
        <w:rPr>
          <w:rFonts w:ascii="Times New Roman" w:hAnsi="Times New Roman"/>
          <w:color w:val="000000" w:themeColor="text1"/>
          <w:sz w:val="16"/>
          <w:szCs w:val="16"/>
        </w:rPr>
        <w:softHyphen/>
        <w:t>ствование. Об этом свидетельствуют слова из письма Королев, отправленного Тухачевскому в апреле, через пару недель после назначения:</w:t>
      </w:r>
    </w:p>
    <w:p w14:paraId="0476CEE3"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Тяжелое положение Группы по изучению реактивных дви</w:t>
      </w:r>
      <w:r w:rsidRPr="00E93F40">
        <w:rPr>
          <w:rFonts w:ascii="Times New Roman" w:hAnsi="Times New Roman"/>
          <w:color w:val="000000" w:themeColor="text1"/>
          <w:sz w:val="16"/>
          <w:szCs w:val="16"/>
        </w:rPr>
        <w:softHyphen/>
        <w:t>гателей (ГИРД), которой я руковожу, и не видимый конец наших мытарств заставляют меня обратиться к вам непосредствен</w:t>
      </w:r>
      <w:r w:rsidRPr="00E93F40">
        <w:rPr>
          <w:rFonts w:ascii="Times New Roman" w:hAnsi="Times New Roman"/>
          <w:color w:val="000000" w:themeColor="text1"/>
          <w:sz w:val="16"/>
          <w:szCs w:val="16"/>
        </w:rPr>
        <w:softHyphen/>
        <w:t>но [...] (23550).</w:t>
      </w:r>
    </w:p>
    <w:p w14:paraId="5CEB8E1C" w14:textId="77777777" w:rsidR="00053F0D" w:rsidRPr="00E93F40" w:rsidRDefault="00053F0D" w:rsidP="00E93F40">
      <w:pPr>
        <w:spacing w:after="0" w:line="240" w:lineRule="auto"/>
        <w:jc w:val="both"/>
        <w:rPr>
          <w:rFonts w:ascii="Times New Roman" w:hAnsi="Times New Roman"/>
          <w:color w:val="000000" w:themeColor="text1"/>
          <w:sz w:val="16"/>
          <w:szCs w:val="16"/>
        </w:rPr>
      </w:pPr>
    </w:p>
    <w:p w14:paraId="6876B3C1"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августе-сентябре 1932 г. проектирование двигателя ОР-2 (с двумя компонентами топлива — бензином и жидким кисло</w:t>
      </w:r>
      <w:r w:rsidRPr="00E93F40">
        <w:rPr>
          <w:rFonts w:ascii="Times New Roman" w:hAnsi="Times New Roman"/>
          <w:color w:val="000000" w:themeColor="text1"/>
          <w:sz w:val="16"/>
          <w:szCs w:val="16"/>
        </w:rPr>
        <w:softHyphen/>
        <w:t>родом) было закончено, а к 23 декабря 1932 г. завершено его из</w:t>
      </w:r>
      <w:r w:rsidRPr="00E93F40">
        <w:rPr>
          <w:rFonts w:ascii="Times New Roman" w:hAnsi="Times New Roman"/>
          <w:color w:val="000000" w:themeColor="text1"/>
          <w:sz w:val="16"/>
          <w:szCs w:val="16"/>
        </w:rPr>
        <w:softHyphen/>
        <w:t>готовление. Цандер уже планировал заняться новым двигателем, с тягой 600 кг/сек.</w:t>
      </w:r>
    </w:p>
    <w:p w14:paraId="2CDAD6F5"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ГИРД хотели как можно скорее увидеть полет ракето</w:t>
      </w:r>
      <w:r w:rsidRPr="00E93F40">
        <w:rPr>
          <w:rFonts w:ascii="Times New Roman" w:hAnsi="Times New Roman"/>
          <w:color w:val="000000" w:themeColor="text1"/>
          <w:sz w:val="16"/>
          <w:szCs w:val="16"/>
        </w:rPr>
        <w:softHyphen/>
        <w:t>плана и бескрылой ракеты. Их энтузиазм в наше время выглядит фантастическим. Почти все они работали бесплатно, в свободное время после работы, по ночам, в выходные дни. Вскоре появились ракеты конструкции Тихонравова, затем конструкции Цандера. Создание же ракетоплана затянулось.</w:t>
      </w:r>
    </w:p>
    <w:p w14:paraId="62753D15"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Цандер не увидел свою ракету в полете. Он сильно переутомился (проектировал ракеты и двигатели, разрабатывал новые конструкции, писал статьи, участвовал в общественной ра</w:t>
      </w:r>
      <w:r w:rsidRPr="00E93F40">
        <w:rPr>
          <w:rFonts w:ascii="Times New Roman" w:hAnsi="Times New Roman"/>
          <w:color w:val="000000" w:themeColor="text1"/>
          <w:sz w:val="16"/>
          <w:szCs w:val="16"/>
        </w:rPr>
        <w:softHyphen/>
        <w:t>боте, ухаживал за своей оранжереей, помогал жене, ведь в семье было двое маленьких детей).</w:t>
      </w:r>
    </w:p>
    <w:p w14:paraId="46B544CA"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трудом уговорили его поехать отдохнуть в Кисловодск. Но в пути он заразился тифом. Слабый организм не выдержал, и 28 марта 1933 г. Фридрих Артурович скончался, не дожив до 46 лет. Его похоронили в Кисловодске.</w:t>
      </w:r>
    </w:p>
    <w:p w14:paraId="331CE462"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Через полтора месяца после смерти Цандера его имя присво</w:t>
      </w:r>
      <w:r w:rsidRPr="00E93F40">
        <w:rPr>
          <w:rFonts w:ascii="Times New Roman" w:hAnsi="Times New Roman"/>
          <w:color w:val="000000" w:themeColor="text1"/>
          <w:sz w:val="16"/>
          <w:szCs w:val="16"/>
        </w:rPr>
        <w:softHyphen/>
        <w:t>или ГИРД, которая превратилась из общественного объединения в бюджетную организацию со своей производственной базой (пусть и маломощной) (23550).</w:t>
      </w:r>
    </w:p>
    <w:p w14:paraId="767245C3" w14:textId="77777777" w:rsidR="00053F0D" w:rsidRPr="00E93F40" w:rsidRDefault="00053F0D" w:rsidP="00E93F40">
      <w:pPr>
        <w:spacing w:after="0" w:line="240" w:lineRule="auto"/>
        <w:jc w:val="both"/>
        <w:rPr>
          <w:rFonts w:ascii="Times New Roman" w:hAnsi="Times New Roman"/>
          <w:color w:val="000000" w:themeColor="text1"/>
          <w:sz w:val="16"/>
          <w:szCs w:val="16"/>
        </w:rPr>
      </w:pPr>
    </w:p>
    <w:p w14:paraId="1917209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7491C5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AD00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года было решено переделать 305/52-мм пушку в полигональную 166/159-мм (радиус описанной окружности/ радиус вписанной окружности) (3861).</w:t>
      </w:r>
    </w:p>
    <w:p w14:paraId="59B8A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0C991D"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августе 1932 г. было решено переделать 305/52-мм пушку в полигональную 166/159-мм (радиус описанной окружности/ радиус вписанной окружности) (25213).</w:t>
      </w:r>
    </w:p>
    <w:p w14:paraId="3C5AC653" w14:textId="77777777" w:rsidR="00587026" w:rsidRPr="00142305" w:rsidRDefault="00587026" w:rsidP="00587026">
      <w:pPr>
        <w:spacing w:after="0" w:line="240" w:lineRule="auto"/>
        <w:jc w:val="both"/>
        <w:rPr>
          <w:rFonts w:ascii="Times New Roman" w:hAnsi="Times New Roman"/>
          <w:color w:val="0070C0"/>
          <w:sz w:val="16"/>
          <w:szCs w:val="16"/>
        </w:rPr>
      </w:pPr>
    </w:p>
    <w:p w14:paraId="1B2530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1931 г. «Орудартрест» заключил с дочерней фирмой «Райнметалла» «Бютаст» договор об организации одного КБ в Москве. Формально им руководил бывший помощник советского военного атташе в Берлине в 20-е годы Л. А. Шнитман. Советские и немецкие инженеры занимались разработкой артвооружений. Это совместное КБ просуществовало около двух лет. Тухачевский был недоволен его работой, и по его инициативе летом 1932 г. договор был расторгнут (11784).</w:t>
      </w:r>
    </w:p>
    <w:p w14:paraId="7CC98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64186D" w14:textId="5116466C" w:rsidR="003022E8" w:rsidRPr="00E93F40" w:rsidRDefault="003022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«Орудартрест» заключил с дочерней фирмой «Райнметалла» «Бютаст» договор об организации одного КБ в Москве. Формально им руководил бывший помощник советского военного атташе в Берлине в 20-е годы Л. А. Шнитман. Советские и немецкие инженеры занимались разработкой артвооружений. Это совместное КБ просуществовало около двух лет. Тухачевский был недоволен его работой, и по его инициативе летом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договор был расторгнут (18265).</w:t>
      </w:r>
    </w:p>
    <w:p w14:paraId="2A09F753" w14:textId="77777777" w:rsidR="003022E8" w:rsidRPr="00E93F40" w:rsidRDefault="003022E8" w:rsidP="00E93F40">
      <w:pPr>
        <w:spacing w:after="0" w:line="240" w:lineRule="auto"/>
        <w:jc w:val="both"/>
        <w:rPr>
          <w:rFonts w:ascii="Times New Roman" w:hAnsi="Times New Roman"/>
          <w:color w:val="000000" w:themeColor="text1"/>
          <w:sz w:val="16"/>
          <w:szCs w:val="16"/>
        </w:rPr>
      </w:pPr>
    </w:p>
    <w:p w14:paraId="5B61E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года первая железнодорожная артустановка была испытана стрельбой с бетонного основания на Научно-исследовательском морском артиллерийском полигоне (НИМАП) в местечке Ржевка под Ленинградом. 9 июня 1933 года прошла испытания вторая установка, а 15 июня того же года — третья. Испытания на полигоне и позициях показали, что основные тактико-технические данные советских железнодорожных артустановок ТМ-1-14 по ряду параметров превосходили подобные американские и французские системы. В частности, наши транспортеры обладали способностью вести стрельбу в диапазоне 360 градусов, а также опережали зарубежные аналоги по скорострельности. В тот период особой угрозы с Запада в СССР не ожидали, и после испытаний транспортеров Реввоенсовет принял решение разместить 6-ю железнодорожную батарею ТМ-1-14 на Дальнем Востоке (11454).</w:t>
      </w:r>
    </w:p>
    <w:p w14:paraId="5658A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B0AB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августа 1932 по февраль 1933 на НИАП прошли испытания стрельбой танковой пушки ПС-3 завода Красный Путиловец. В серию на пошла (9527,23).</w:t>
      </w:r>
    </w:p>
    <w:p w14:paraId="11BAA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4CDF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августе 1932 велись работы по переконструированию танка БТ под пневмоколеса ПК для создания запаса плавучести и сохранения упругости подвески. Снизили массу танка на 1800 кг, но так и не смогли скомпоновать (3879,22).</w:t>
      </w:r>
    </w:p>
    <w:p w14:paraId="3D34C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26ED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на заводе Большевик был изготовлен опытный Т-35-1 разработки ОКМО (9527,164).</w:t>
      </w:r>
    </w:p>
    <w:p w14:paraId="6C6A1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342B2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года поздно вечером, когда уже все разошлись по Домам, в дизельное КБ ХПЗ к Якову Вихману зашел Николай Михайлович Тоскин — военинженер 2 ранга, представитель УММ РККА, помогавший танково</w:t>
      </w:r>
      <w:r w:rsidRPr="00E93F40">
        <w:rPr>
          <w:rFonts w:ascii="Times New Roman" w:hAnsi="Times New Roman"/>
          <w:color w:val="000000" w:themeColor="text1"/>
          <w:sz w:val="16"/>
          <w:szCs w:val="16"/>
        </w:rPr>
        <w:softHyphen/>
        <w:t>му КБ и танковому отделу осваивать в серийном производстве колесно-гусеничный танк БТ-2 и, обращаясь к начальнику КБ спросил:</w:t>
      </w:r>
    </w:p>
    <w:p w14:paraId="72683D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Но почему ты не спросишь, что я тебе принес?</w:t>
      </w:r>
    </w:p>
    <w:p w14:paraId="2401AD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Ну покажи...</w:t>
      </w:r>
    </w:p>
    <w:p w14:paraId="6F6B6E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Тоскин раскрыл сверток. Там оказались два американских журнала «Агтуе», привезенные им из США; он около года пробыл в Америке. Плотная, меловой белизны, глянцевая бумага скользила в пальцах. Ти</w:t>
      </w:r>
      <w:r w:rsidRPr="00E93F40">
        <w:rPr>
          <w:rFonts w:ascii="Times New Roman" w:hAnsi="Times New Roman"/>
          <w:color w:val="000000" w:themeColor="text1"/>
          <w:sz w:val="16"/>
          <w:szCs w:val="16"/>
        </w:rPr>
        <w:softHyphen/>
        <w:t>пографские краски — цветные и черная — были очень яркие. Журналы советской страны печатались не на такой бумаге, не такими красками. Медленно переворачивая страницы, Вихман даже в пальцах ощущал иной, ^известный ему мир — Запад, заграницу.</w:t>
      </w:r>
    </w:p>
    <w:p w14:paraId="07796A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одном из рисунков, помещенном в журнале, показывалась установ</w:t>
      </w:r>
      <w:r w:rsidRPr="00E93F40">
        <w:rPr>
          <w:rFonts w:ascii="Times New Roman" w:hAnsi="Times New Roman"/>
          <w:color w:val="000000" w:themeColor="text1"/>
          <w:sz w:val="16"/>
          <w:szCs w:val="16"/>
        </w:rPr>
        <w:softHyphen/>
        <w:t>ка звездообразного мотора Континенталь на колесно-гусеничном танке Т-4, а также была приведена фотография этого двигателя, являющегося стандартным для большинства новейших типов танков американской армии. Это были 7-цилиндровые звездообразные моторы мощностью 167 и 268 л.с.</w:t>
      </w:r>
    </w:p>
    <w:p w14:paraId="5804F9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Особенностью подобных моторов, отличающих его от обычных танко</w:t>
      </w:r>
      <w:r w:rsidRPr="00E93F40">
        <w:rPr>
          <w:rFonts w:ascii="Times New Roman" w:hAnsi="Times New Roman"/>
          <w:color w:val="000000" w:themeColor="text1"/>
          <w:sz w:val="16"/>
          <w:szCs w:val="16"/>
        </w:rPr>
        <w:softHyphen/>
        <w:t>вых двигателей, заключалась в его звездообразной форме. Смысл уста</w:t>
      </w:r>
      <w:r w:rsidRPr="00E93F40">
        <w:rPr>
          <w:rFonts w:ascii="Times New Roman" w:hAnsi="Times New Roman"/>
          <w:color w:val="000000" w:themeColor="text1"/>
          <w:sz w:val="16"/>
          <w:szCs w:val="16"/>
        </w:rPr>
        <w:softHyphen/>
        <w:t>новки на танковых звездообразных моторов, по мнению американской научно-технической мысли, заключался в том, что такие двигатели обла</w:t>
      </w:r>
      <w:r w:rsidRPr="00E93F40">
        <w:rPr>
          <w:rFonts w:ascii="Times New Roman" w:hAnsi="Times New Roman"/>
          <w:color w:val="000000" w:themeColor="text1"/>
          <w:sz w:val="16"/>
          <w:szCs w:val="16"/>
        </w:rPr>
        <w:softHyphen/>
        <w:t>дали очень малой длиной и, следовательно, в большей степени сокраща</w:t>
      </w:r>
      <w:r w:rsidRPr="00E93F40">
        <w:rPr>
          <w:rFonts w:ascii="Times New Roman" w:hAnsi="Times New Roman"/>
          <w:color w:val="000000" w:themeColor="text1"/>
          <w:sz w:val="16"/>
          <w:szCs w:val="16"/>
        </w:rPr>
        <w:softHyphen/>
        <w:t>ли длину моторного отделения танка. Отсюда становилось возможным соответственное увеличение размеров боевого отделения с вытекающими отсюда удобствами размещения экипажа и усиления вооружения танка.</w:t>
      </w:r>
    </w:p>
    <w:p w14:paraId="51F1CC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другой стороны, звездообразный мотор в танке обладал тем недо</w:t>
      </w:r>
      <w:r w:rsidRPr="00E93F40">
        <w:rPr>
          <w:rFonts w:ascii="Times New Roman" w:hAnsi="Times New Roman"/>
          <w:color w:val="000000" w:themeColor="text1"/>
          <w:sz w:val="16"/>
          <w:szCs w:val="16"/>
        </w:rPr>
        <w:softHyphen/>
        <w:t>статком, что повышал высоту моторного отделения танка и этим ухудшал обстрел назад и увеличивал уязвимость машины от огня противника.</w:t>
      </w:r>
    </w:p>
    <w:p w14:paraId="4446EB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Вихман листал журнал дальше.</w:t>
      </w:r>
    </w:p>
    <w:p w14:paraId="6FB943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рекламах, заголовках, фотоснимках, рисунках, чертежах перед ним вставала американская промышленность автомобильных, авиационных и танковых моторов, проплывала индустриальная Америка.</w:t>
      </w:r>
    </w:p>
    <w:p w14:paraId="314F9B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раскрытой странице, занятой рекламой моторов «Сидней», был изображен леопард в прыжке. Объявление извещало о выпуске нового авиационного мотора «Сидней—Леопард» мощностью в 700 л.с. Все свои моторы фирма «Сидней»... называла так: «Сидней—Пума», «Сидней-Ягуар», «Сидней—Лев». К этой мощности, к достигнутому новому пику, сразу подошли, как знал Вихман, несколько конкурирующих американс</w:t>
      </w:r>
      <w:r w:rsidRPr="00E93F40">
        <w:rPr>
          <w:rFonts w:ascii="Times New Roman" w:hAnsi="Times New Roman"/>
          <w:color w:val="000000" w:themeColor="text1"/>
          <w:sz w:val="16"/>
          <w:szCs w:val="16"/>
        </w:rPr>
        <w:softHyphen/>
        <w:t>ких фирм. Почти такой же мощности уже достигли и последние немец</w:t>
      </w:r>
      <w:r w:rsidRPr="00E93F40">
        <w:rPr>
          <w:rFonts w:ascii="Times New Roman" w:hAnsi="Times New Roman"/>
          <w:color w:val="000000" w:themeColor="text1"/>
          <w:sz w:val="16"/>
          <w:szCs w:val="16"/>
        </w:rPr>
        <w:softHyphen/>
        <w:t>кие моторы «Майбах», «БМВ», Тайфун» и другие.</w:t>
      </w:r>
    </w:p>
    <w:p w14:paraId="55FE14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 нас? Советские заводы с великими трудностями стали выпускать авиамоторы в 350-400 л.с., и то иностранной конструкции, сегодня уже устаревшие, уже измененные на Западе более совершенными моделями. И ни одного своего мотора, созданного русскими конструкторами! Не</w:t>
      </w:r>
      <w:r w:rsidRPr="00E93F40">
        <w:rPr>
          <w:rFonts w:ascii="Times New Roman" w:hAnsi="Times New Roman"/>
          <w:color w:val="000000" w:themeColor="text1"/>
          <w:sz w:val="16"/>
          <w:szCs w:val="16"/>
        </w:rPr>
        <w:softHyphen/>
        <w:t>ужели мы, черт возьми, творчески бессильны? Кто доказал, что амери</w:t>
      </w:r>
      <w:r w:rsidRPr="00E93F40">
        <w:rPr>
          <w:rFonts w:ascii="Times New Roman" w:hAnsi="Times New Roman"/>
          <w:color w:val="000000" w:themeColor="text1"/>
          <w:sz w:val="16"/>
          <w:szCs w:val="16"/>
        </w:rPr>
        <w:softHyphen/>
        <w:t>канцы или немцы умнее, талантливее нас? Нет, с этим Вихман никогда не согласится.</w:t>
      </w:r>
    </w:p>
    <w:p w14:paraId="0F73CC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Тоскин далее кратко рассказал, что на днях в УММ РККА состоялось заседание, посвященное вопросам танкостроения.</w:t>
      </w:r>
    </w:p>
    <w:p w14:paraId="68850F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Я передаю Вам Яков Ефимович, — продолжал он, — пожелание руководства УММ. Нам нужен танковый дизель, какого не знала ни одна страна, нужен небывалый, беспримерный в истории рывок. Нужен про</w:t>
      </w:r>
      <w:r w:rsidRPr="00E93F40">
        <w:rPr>
          <w:rFonts w:ascii="Times New Roman" w:hAnsi="Times New Roman"/>
          <w:color w:val="000000" w:themeColor="text1"/>
          <w:sz w:val="16"/>
          <w:szCs w:val="16"/>
        </w:rPr>
        <w:softHyphen/>
        <w:t>ект нужна конструкция, и не одна — несколько конструкций (11504).</w:t>
      </w:r>
    </w:p>
    <w:p w14:paraId="53B31C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75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1931 разработанный ОКИБ УММ РККА Н.И.Дыренкова в конце 1930 и построенный летом 1931 на Можерезе химический танк Д-15 прошел полигонные испытания. На вооружение не принимался в серии не был (9527,188).</w:t>
      </w:r>
    </w:p>
    <w:p w14:paraId="2DD1CA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4CCA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года представленный на рассмотрение УММ РККА проект но</w:t>
      </w:r>
      <w:r w:rsidRPr="00E93F40">
        <w:rPr>
          <w:rFonts w:ascii="Times New Roman" w:hAnsi="Times New Roman"/>
          <w:color w:val="000000" w:themeColor="text1"/>
          <w:sz w:val="16"/>
          <w:szCs w:val="16"/>
        </w:rPr>
        <w:softHyphen/>
        <w:t>вого легкого броневика понравился военным и после не</w:t>
      </w:r>
      <w:r w:rsidRPr="00E93F40">
        <w:rPr>
          <w:rFonts w:ascii="Times New Roman" w:hAnsi="Times New Roman"/>
          <w:color w:val="000000" w:themeColor="text1"/>
          <w:sz w:val="16"/>
          <w:szCs w:val="16"/>
        </w:rPr>
        <w:softHyphen/>
        <w:t>больших доработок был рекомендован для серийного про</w:t>
      </w:r>
      <w:r w:rsidRPr="00E93F40">
        <w:rPr>
          <w:rFonts w:ascii="Times New Roman" w:hAnsi="Times New Roman"/>
          <w:color w:val="000000" w:themeColor="text1"/>
          <w:sz w:val="16"/>
          <w:szCs w:val="16"/>
        </w:rPr>
        <w:softHyphen/>
        <w:t>изводства и принятия на вооружение. Примерно в это время бронемашина в документах стала именоваться ФАИ -«Форд-А» Ижорского завода. Иногда встречается написание ФА-И, а в документах УММ РККА этот броневик иногда назывался РБ-2 — разведывательный бронеавтомобиль (11284).</w:t>
      </w:r>
    </w:p>
    <w:p w14:paraId="711351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398436" w14:textId="27571A5D" w:rsidR="00EF24E0" w:rsidRPr="00E93F40" w:rsidRDefault="00EF24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августа 1932 в НАТИ создает</w:t>
      </w:r>
      <w:r w:rsidRPr="00E93F40">
        <w:rPr>
          <w:rFonts w:ascii="Times New Roman" w:hAnsi="Times New Roman"/>
          <w:color w:val="000000" w:themeColor="text1"/>
          <w:sz w:val="16"/>
          <w:szCs w:val="16"/>
        </w:rPr>
        <w:softHyphen/>
        <w:t>ся так называемый «первый» от</w:t>
      </w:r>
      <w:r w:rsidRPr="00E93F40">
        <w:rPr>
          <w:rFonts w:ascii="Times New Roman" w:hAnsi="Times New Roman"/>
          <w:color w:val="000000" w:themeColor="text1"/>
          <w:sz w:val="16"/>
          <w:szCs w:val="16"/>
        </w:rPr>
        <w:softHyphen/>
        <w:t>дел, занимающийся военными разработками. В нем приступил к работе выпускник военно</w:t>
      </w:r>
      <w:r w:rsidRPr="00E93F40">
        <w:rPr>
          <w:rFonts w:ascii="Times New Roman" w:hAnsi="Times New Roman"/>
          <w:color w:val="000000" w:themeColor="text1"/>
          <w:sz w:val="16"/>
          <w:szCs w:val="16"/>
        </w:rPr>
        <w:softHyphen/>
        <w:t>производственного фа</w:t>
      </w:r>
      <w:r w:rsidRPr="00E93F40">
        <w:rPr>
          <w:rFonts w:ascii="Times New Roman" w:hAnsi="Times New Roman"/>
          <w:color w:val="000000" w:themeColor="text1"/>
          <w:sz w:val="16"/>
          <w:szCs w:val="16"/>
        </w:rPr>
        <w:softHyphen/>
        <w:t>культета Московского ав</w:t>
      </w:r>
      <w:r w:rsidRPr="00E93F40">
        <w:rPr>
          <w:rFonts w:ascii="Times New Roman" w:hAnsi="Times New Roman"/>
          <w:color w:val="000000" w:themeColor="text1"/>
          <w:sz w:val="16"/>
          <w:szCs w:val="16"/>
        </w:rPr>
        <w:softHyphen/>
        <w:t>тотракторного института (ныне МАМИ) Николай Иванович Коротоношко, бывший до этого инжене</w:t>
      </w:r>
      <w:r w:rsidRPr="00E93F40">
        <w:rPr>
          <w:rFonts w:ascii="Times New Roman" w:hAnsi="Times New Roman"/>
          <w:color w:val="000000" w:themeColor="text1"/>
          <w:sz w:val="16"/>
          <w:szCs w:val="16"/>
        </w:rPr>
        <w:softHyphen/>
        <w:t>ром-конструктором заво</w:t>
      </w:r>
      <w:r w:rsidRPr="00E93F40">
        <w:rPr>
          <w:rFonts w:ascii="Times New Roman" w:hAnsi="Times New Roman"/>
          <w:color w:val="000000" w:themeColor="text1"/>
          <w:sz w:val="16"/>
          <w:szCs w:val="16"/>
        </w:rPr>
        <w:softHyphen/>
        <w:t>да №37.</w:t>
      </w:r>
    </w:p>
    <w:p w14:paraId="5791DEA3" w14:textId="77777777" w:rsidR="00EF24E0" w:rsidRPr="00E93F40" w:rsidRDefault="00EF24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произвел расчет устойчивости и плавучес</w:t>
      </w:r>
      <w:r w:rsidRPr="00E93F40">
        <w:rPr>
          <w:rFonts w:ascii="Times New Roman" w:hAnsi="Times New Roman"/>
          <w:color w:val="000000" w:themeColor="text1"/>
          <w:sz w:val="16"/>
          <w:szCs w:val="16"/>
        </w:rPr>
        <w:softHyphen/>
        <w:t>ти плавающей танкетки с вооружением в башне, а также выполнил тяговый расчет и расчет на проч</w:t>
      </w:r>
      <w:r w:rsidRPr="00E93F40">
        <w:rPr>
          <w:rFonts w:ascii="Times New Roman" w:hAnsi="Times New Roman"/>
          <w:color w:val="000000" w:themeColor="text1"/>
          <w:sz w:val="16"/>
          <w:szCs w:val="16"/>
        </w:rPr>
        <w:softHyphen/>
        <w:t>ность этой машины. Изго</w:t>
      </w:r>
      <w:r w:rsidRPr="00E93F40">
        <w:rPr>
          <w:rFonts w:ascii="Times New Roman" w:hAnsi="Times New Roman"/>
          <w:color w:val="000000" w:themeColor="text1"/>
          <w:sz w:val="16"/>
          <w:szCs w:val="16"/>
        </w:rPr>
        <w:softHyphen/>
        <w:t>товлено два образца такой танкетки: на машино</w:t>
      </w:r>
      <w:r w:rsidRPr="00E93F40">
        <w:rPr>
          <w:rFonts w:ascii="Times New Roman" w:hAnsi="Times New Roman"/>
          <w:color w:val="000000" w:themeColor="text1"/>
          <w:sz w:val="16"/>
          <w:szCs w:val="16"/>
        </w:rPr>
        <w:softHyphen/>
        <w:t>строительном заводе им. Ворошилова под шифром Т-37 и на Втором заводе Всесоюзного автотрактор</w:t>
      </w:r>
      <w:r w:rsidRPr="00E93F40">
        <w:rPr>
          <w:rFonts w:ascii="Times New Roman" w:hAnsi="Times New Roman"/>
          <w:color w:val="000000" w:themeColor="text1"/>
          <w:sz w:val="16"/>
          <w:szCs w:val="16"/>
        </w:rPr>
        <w:softHyphen/>
        <w:t>ного объединения (ВАТО) под шифром Т-41. Т-37 имел одностороннее расположе</w:t>
      </w:r>
      <w:r w:rsidRPr="00E93F40">
        <w:rPr>
          <w:rFonts w:ascii="Times New Roman" w:hAnsi="Times New Roman"/>
          <w:color w:val="000000" w:themeColor="text1"/>
          <w:sz w:val="16"/>
          <w:szCs w:val="16"/>
        </w:rPr>
        <w:softHyphen/>
        <w:t>ние мотора по типу амфибии Кар</w:t>
      </w:r>
      <w:r w:rsidRPr="00E93F40">
        <w:rPr>
          <w:rFonts w:ascii="Times New Roman" w:hAnsi="Times New Roman"/>
          <w:color w:val="000000" w:themeColor="text1"/>
          <w:sz w:val="16"/>
          <w:szCs w:val="16"/>
        </w:rPr>
        <w:softHyphen/>
        <w:t>ден-Лойд, что не позволяло при</w:t>
      </w:r>
      <w:r w:rsidRPr="00E93F40">
        <w:rPr>
          <w:rFonts w:ascii="Times New Roman" w:hAnsi="Times New Roman"/>
          <w:color w:val="000000" w:themeColor="text1"/>
          <w:sz w:val="16"/>
          <w:szCs w:val="16"/>
        </w:rPr>
        <w:softHyphen/>
        <w:t>менить стандартный задний мост автомобиля Форд-АА без сущест</w:t>
      </w:r>
      <w:r w:rsidRPr="00E93F40">
        <w:rPr>
          <w:rFonts w:ascii="Times New Roman" w:hAnsi="Times New Roman"/>
          <w:color w:val="000000" w:themeColor="text1"/>
          <w:sz w:val="16"/>
          <w:szCs w:val="16"/>
        </w:rPr>
        <w:softHyphen/>
        <w:t>венных изменений конструкции.</w:t>
      </w:r>
    </w:p>
    <w:p w14:paraId="1216F6F3" w14:textId="77777777" w:rsidR="00EF24E0" w:rsidRPr="00E93F40" w:rsidRDefault="00EF24E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Т-37 производился с 1933 по 1936 годы, затем на его основе был создан танк Т-38. В 1937 г. в штат механизированного корпуса вхо</w:t>
      </w:r>
      <w:r w:rsidRPr="00E93F40">
        <w:rPr>
          <w:rFonts w:ascii="Times New Roman" w:hAnsi="Times New Roman"/>
          <w:color w:val="000000" w:themeColor="text1"/>
          <w:sz w:val="16"/>
          <w:szCs w:val="16"/>
        </w:rPr>
        <w:softHyphen/>
        <w:t>дило 67 танков этого типа. Име</w:t>
      </w:r>
      <w:r w:rsidRPr="00E93F40">
        <w:rPr>
          <w:rFonts w:ascii="Times New Roman" w:hAnsi="Times New Roman"/>
          <w:color w:val="000000" w:themeColor="text1"/>
          <w:sz w:val="16"/>
          <w:szCs w:val="16"/>
        </w:rPr>
        <w:softHyphen/>
        <w:t>лись они и в штате танковых ба</w:t>
      </w:r>
      <w:r w:rsidRPr="00E93F40">
        <w:rPr>
          <w:rFonts w:ascii="Times New Roman" w:hAnsi="Times New Roman"/>
          <w:color w:val="000000" w:themeColor="text1"/>
          <w:sz w:val="16"/>
          <w:szCs w:val="16"/>
        </w:rPr>
        <w:softHyphen/>
        <w:t>тальонов стрелковых дивизий, и в разведротах отдельных танко</w:t>
      </w:r>
      <w:r w:rsidRPr="00E93F40">
        <w:rPr>
          <w:rFonts w:ascii="Times New Roman" w:hAnsi="Times New Roman"/>
          <w:color w:val="000000" w:themeColor="text1"/>
          <w:sz w:val="16"/>
          <w:szCs w:val="16"/>
        </w:rPr>
        <w:softHyphen/>
        <w:t>вых бригад. Один из двух боевых эскадронов механизированного полка также был укомплектован плавающими танками</w:t>
      </w:r>
    </w:p>
    <w:p w14:paraId="160C72B1" w14:textId="77777777" w:rsidR="00EF24E0" w:rsidRPr="00E93F40" w:rsidRDefault="00EF24E0" w:rsidP="00E93F40">
      <w:pPr>
        <w:spacing w:after="0" w:line="240" w:lineRule="auto"/>
        <w:jc w:val="both"/>
        <w:rPr>
          <w:rFonts w:ascii="Times New Roman" w:hAnsi="Times New Roman"/>
          <w:color w:val="000000" w:themeColor="text1"/>
          <w:sz w:val="16"/>
          <w:szCs w:val="16"/>
        </w:rPr>
      </w:pPr>
    </w:p>
    <w:p w14:paraId="0D2F5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на состоявшемся открытом пленуме коллектива ВКП (б) и ВЛКСМ ВЭСО было отмечено крайне низкое качество телефонной продукции, а также ее значительное отставание от заграничных образцов. В качестве основ ной причины этого рассматривалось отсутствие отраслевой телефонной лабора тории. ЦЛПС с ее чрезвычайно широким спектром задач и направлений иссле дований не могла обеспечить нужных результатов во всех отраслях проводной связи (ЦГАИПД СПб., ф. 2526, оп. 1, д. 1, л. 29.). Аналогичные оценки содержались и в записке начальника Главэспрома, адресованной в Ленинградский обком ВКП (б) в октябре 1934 г. В ней снова от мечалась крайняя отсталость отечественной электрослаботочной промышленно 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 ния по линиям высокого напряжения (ЦГАИПД СПб., ф. 24, оп. 13, д. 834, л. 3-4.). Большое внимание вопросам развития связи в целом было уделено на XVII съезде ВКП (б). В частности, в своем докладе В.В. Куйбышев в числе приори тетных направлений реконструкции техники связи во второй пятилетке выдви нул «… широкое применение высокочастотной аппаратуры для многократного телефонирования и телеграфирования, что в несколько раз повысит объем теле графной и телефонной связи и создает экономию в проволоке» (Куйбышев В.В. Избранные произведения. - М.: Госполитиздат, 1958. С. 441.). В развитие решений съезда в 1934 г. был принят целый ряд постановлений СТО и СНК по развитию конкретных отраслей проводной связи. 27 августа вы шло постановление СТО № 831/180с об организации производства в 1935 г. при боров высокой частоты для НКПС. Аналогичные задачи в интересах НКС были определены постановлением СНК от 24 сентября (ЦГАИПД СПб., ф. 24, оп. 13, д. 834, л. 8.) (11870).</w:t>
      </w:r>
    </w:p>
    <w:p w14:paraId="6C17F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9B1BDB"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1932 года для того чтобы разгрузить Ижорский завод, который не справлялся с програм</w:t>
      </w:r>
      <w:r w:rsidRPr="00142305">
        <w:rPr>
          <w:rFonts w:ascii="Times New Roman" w:hAnsi="Times New Roman"/>
          <w:color w:val="0070C0"/>
          <w:sz w:val="16"/>
          <w:szCs w:val="16"/>
        </w:rPr>
        <w:softHyphen/>
        <w:t>мой броневого производства для танко</w:t>
      </w:r>
      <w:r w:rsidRPr="00142305">
        <w:rPr>
          <w:rFonts w:ascii="Times New Roman" w:hAnsi="Times New Roman"/>
          <w:color w:val="0070C0"/>
          <w:sz w:val="16"/>
          <w:szCs w:val="16"/>
        </w:rPr>
        <w:softHyphen/>
        <w:t>строения, Мариу</w:t>
      </w:r>
      <w:r w:rsidRPr="00142305">
        <w:rPr>
          <w:rFonts w:ascii="Times New Roman" w:hAnsi="Times New Roman"/>
          <w:color w:val="0070C0"/>
          <w:sz w:val="16"/>
          <w:szCs w:val="16"/>
        </w:rPr>
        <w:softHyphen/>
        <w:t>польский завод имени Ильича получил задание организовать выпуск корпусов и башен танков БТ-5. Правда, наладить серийное изготовление этой продукции удалось лишь к началу 1933 года (25009).</w:t>
      </w:r>
    </w:p>
    <w:p w14:paraId="008871A3" w14:textId="77777777" w:rsidR="00587026" w:rsidRPr="00142305" w:rsidRDefault="00587026" w:rsidP="00587026">
      <w:pPr>
        <w:spacing w:after="0" w:line="240" w:lineRule="auto"/>
        <w:jc w:val="both"/>
        <w:rPr>
          <w:rFonts w:ascii="Times New Roman" w:hAnsi="Times New Roman"/>
          <w:color w:val="0070C0"/>
          <w:sz w:val="16"/>
          <w:szCs w:val="16"/>
        </w:rPr>
      </w:pPr>
    </w:p>
    <w:p w14:paraId="6D67EA30" w14:textId="77777777" w:rsidR="003022E8" w:rsidRPr="00E93F40" w:rsidRDefault="003022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на открытом пленуме коллектива ВКП (б) и ВЛКСМ ВЭСО было отмечено крайне низкое качество телефонной продукции, а также ее значительное отставание от заграничных образцов4. Аналогичные оценки содержались и в записке начальника Главэспрома в адрес Ленинградского обкома ВКП (б) в октябре 1934 г. В ней снова отмечалась крайняя отсталость отечественной электрослаботочной промышленности,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телефонирования по линиям высокого напряжения (18297).</w:t>
      </w:r>
    </w:p>
    <w:p w14:paraId="46901CDD" w14:textId="77777777" w:rsidR="003022E8" w:rsidRPr="00E93F40" w:rsidRDefault="003022E8" w:rsidP="00E93F40">
      <w:pPr>
        <w:spacing w:after="0" w:line="240" w:lineRule="auto"/>
        <w:jc w:val="both"/>
        <w:rPr>
          <w:rFonts w:ascii="Times New Roman" w:hAnsi="Times New Roman"/>
          <w:color w:val="000000" w:themeColor="text1"/>
          <w:sz w:val="16"/>
          <w:szCs w:val="16"/>
        </w:rPr>
      </w:pPr>
    </w:p>
    <w:p w14:paraId="21B013A4" w14:textId="77777777" w:rsidR="003022E8" w:rsidRPr="00E93F40" w:rsidRDefault="003022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открытом пленуме коллектива ВКП (б) и ВЛКСМ ВЭСО было отмечено крайне низкое качество телефонной продукции, а также ее значительное отставание от заграничных образцов. В качестве основ</w:t>
      </w:r>
      <w:r w:rsidRPr="00E93F40">
        <w:rPr>
          <w:rFonts w:ascii="Times New Roman" w:hAnsi="Times New Roman"/>
          <w:color w:val="000000" w:themeColor="text1"/>
          <w:sz w:val="16"/>
          <w:szCs w:val="16"/>
        </w:rPr>
        <w:softHyphen/>
        <w:t>ной причины этого рассматривалось отсутствие отраслевой телефонной лабора</w:t>
      </w:r>
      <w:r w:rsidRPr="00E93F40">
        <w:rPr>
          <w:rFonts w:ascii="Times New Roman" w:hAnsi="Times New Roman"/>
          <w:color w:val="000000" w:themeColor="text1"/>
          <w:sz w:val="16"/>
          <w:szCs w:val="16"/>
        </w:rPr>
        <w:softHyphen/>
        <w:t>тории. ЦЛПС с ее чрезвычайно широким спектром задач и направлений иссле</w:t>
      </w:r>
      <w:r w:rsidRPr="00E93F40">
        <w:rPr>
          <w:rFonts w:ascii="Times New Roman" w:hAnsi="Times New Roman"/>
          <w:color w:val="000000" w:themeColor="text1"/>
          <w:sz w:val="16"/>
          <w:szCs w:val="16"/>
        </w:rPr>
        <w:softHyphen/>
        <w:t>дований не могла обеспечить нужных результатов во всех отраслях проводной связи (19098).</w:t>
      </w:r>
    </w:p>
    <w:p w14:paraId="7AEE4DBF" w14:textId="77777777" w:rsidR="003022E8" w:rsidRPr="00E93F40" w:rsidRDefault="003022E8" w:rsidP="00E93F40">
      <w:pPr>
        <w:spacing w:after="0" w:line="240" w:lineRule="auto"/>
        <w:jc w:val="both"/>
        <w:rPr>
          <w:rFonts w:ascii="Times New Roman" w:hAnsi="Times New Roman"/>
          <w:color w:val="000000" w:themeColor="text1"/>
          <w:sz w:val="16"/>
          <w:szCs w:val="16"/>
        </w:rPr>
      </w:pPr>
    </w:p>
    <w:p w14:paraId="23298A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августе 1932 г., выступая на конференции «Связь во втором пятиле тии» инспектор войск связи Р.В. Лонгва среди прочих приоритетов технической реконструкции техники также назвал внедрение многократного телефонирова ния и телеграфирования (Веллер И.С. Развитие и реконструкция электротехнической промышленности </w:t>
      </w:r>
      <w:r w:rsidRPr="00E93F40">
        <w:rPr>
          <w:rFonts w:ascii="Times New Roman" w:hAnsi="Times New Roman"/>
          <w:color w:val="000000" w:themeColor="text1"/>
          <w:sz w:val="16"/>
          <w:szCs w:val="16"/>
        </w:rPr>
        <w:lastRenderedPageBreak/>
        <w:t>слабых токов СССР во втором пятилетии // Связь во втором пятилетии. Материалы конференции 1-8 авгу ста 1932 г. - М.-Л., 1933. С. 140). Кроме этого, планами развития военной связи преду сматривалось: полная замена телефонных аппаратов старых марок на стандарт ные типа УНА; засекречивание работы телефонных средств связи; разработка и внедрение в войска аппаратуры дальней связи; введение в стратегическом и опе ративном звеньях управления подвижных проводных узлов связи (Архив ВИМАИВиВС, ф. 61р, оп. 2, д. 1, л. 105-106.). Начало новому этапу развития войсковых проводных средств связи было положено в 1932 г., когда руководством ВЭСО была осуществлена организация отраслевых лабораторий при заводах соответствующей специализации. В связи с этим все лаборатории телефонной отрасли были из ЦЛПС переданы в Отрасле вую телефонную лабораторию и Лабораторию дальней связи (ТЕОЛ), организо ванную при заводе «Красная заря» (Труды Центральной лаборатории проводной связи: Вып. 1. – М.-Л.:, 1934. С. 3.). С 1 апреля 1933 г. туда же перешла и орга низованная Эльсницем Военная лаборатория. При этом она получила еще более широкие возможности развития. К середине 1930-х гг. численность сотрудников достигла семидесяти человек. При лаборатории было создано небольшое конст рукторское бюро, впоследствии разросшееся до отдела, опытные мастерские (11870).</w:t>
      </w:r>
    </w:p>
    <w:p w14:paraId="0BA20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747783" w14:textId="77777777" w:rsidR="00AC6AC7" w:rsidRPr="00E93F40" w:rsidRDefault="00AC6AC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 августе 1932 года на Безымянке в Куйбышеве возобновилось строительство железнодорожно-ремонтного завода и жилья для рабочих. 26 декабря 1935 года завод был сдан в эксплуатацию, в 1936 году он получил название КЗЗЧ (Куйбышевский завод запасных частей) имени В.В.Куйбышева. На нем работало около двух тысяч человек. Для них было построено около 50 бараков и несколько двухэтажных деревянных домов. А в 1937 году на Безымянке впервые появились 5 четырехэтажных многоквартирных домов и клуб завода «Сажерез». Завод выпускал паровозные и вагонные рессоры, буксы, оси, пружины. Это было первое промышленное предприятие Безымянки, которая к этому времени стала официально именоваться станцией (19827).</w:t>
      </w:r>
    </w:p>
    <w:p w14:paraId="4C19D11A" w14:textId="77777777" w:rsidR="00AC6AC7" w:rsidRPr="00E93F40" w:rsidRDefault="00AC6AC7" w:rsidP="00E93F40">
      <w:pPr>
        <w:pStyle w:val="afff1"/>
        <w:shd w:val="clear" w:color="auto" w:fill="FFFFFF"/>
        <w:spacing w:before="0" w:beforeAutospacing="0" w:after="0" w:afterAutospacing="0"/>
        <w:jc w:val="both"/>
        <w:rPr>
          <w:color w:val="000000" w:themeColor="text1"/>
          <w:sz w:val="16"/>
          <w:szCs w:val="16"/>
        </w:rPr>
      </w:pPr>
    </w:p>
    <w:p w14:paraId="1577B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1931 г. «Воивпроект», в который в мае 1932 г. была преобразована контора «Стройволокно» (6-й Государственный проектный институт (ГСПИ-6) НКОП, НКБ, Специальная государственная контора по проектированию фабрик искусственного волокна («Стройволокно») ВСНХ, Государственная проектная контора «Воивпроект», Государственный институт проектирования предприятий искусственного волокна «Гипроив», «Гипроспецхим» (ГСХ) НКТП /г. Москва/), созданная 17 декабря 1928 г. пост. Президиума ВСНХ, была преобразована в Государственную проектную контору «Гипроив». 19.03.1933г. «Гипроив» был объединен с институтом «Вохимпроект» в единый проектный институт военно-химической промышленности «Гипроспецхим», который стал генеральным проектировщиком всех заводов по производству спецхимии. В соответствии с пост. СНК № 2139-425сс от 21.12.1936г. и пр. НКОП № 05с от 29.12.1936г. «Гипроспецхим» передан из НКТП в ГУ военно-химической промышленности НКОП. По пр. НКОП № 011с от 28.01.1937г. «Гипроспецхим» переименован в 6-й ГПИ, пр. № 433 от 22.12.1937г. утвержден Устав института. В 1937г.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E93F40">
        <w:rPr>
          <w:rFonts w:ascii="Times New Roman" w:hAnsi="Times New Roman"/>
          <w:color w:val="000000" w:themeColor="text1"/>
          <w:sz w:val="16"/>
          <w:szCs w:val="16"/>
          <w:vertAlign w:val="superscript"/>
        </w:rPr>
        <w:t>132</w:t>
      </w:r>
      <w:r w:rsidRPr="00E93F40">
        <w:rPr>
          <w:rFonts w:ascii="Times New Roman" w:hAnsi="Times New Roman"/>
          <w:color w:val="000000" w:themeColor="text1"/>
          <w:sz w:val="16"/>
          <w:szCs w:val="16"/>
        </w:rPr>
        <w:t xml:space="preserve"> В 1948г. ГСПИ-6 вновь влит в состав ГССПИ-1.</w:t>
      </w:r>
    </w:p>
    <w:p w14:paraId="2DB140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03FD43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(-03.1937-06.1938г.-)- А.С. Скобелев, (11.1943г.)- Трилестник.</w:t>
      </w:r>
    </w:p>
    <w:p w14:paraId="2623FF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(-05.1937-38г.-)- Лясоцкий.</w:t>
      </w:r>
    </w:p>
    <w:p w14:paraId="4E1BA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инженеры проектов: (1938г.)- Коваленко (завод № 204), Акин (завод № 144), (-09.1938г.)- Лихушин.</w:t>
      </w:r>
    </w:p>
    <w:p w14:paraId="16906F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механического (11.1943г.)- Зимин.</w:t>
      </w:r>
      <w:r w:rsidRPr="00E93F40">
        <w:rPr>
          <w:rFonts w:ascii="Times New Roman" w:hAnsi="Times New Roman"/>
          <w:color w:val="000000" w:themeColor="text1"/>
          <w:sz w:val="16"/>
          <w:szCs w:val="16"/>
          <w:vertAlign w:val="superscript"/>
        </w:rPr>
        <w:t>132</w:t>
      </w:r>
    </w:p>
    <w:p w14:paraId="3E248F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секторов: водоснабжения (1938г.)- Сидоров.</w:t>
      </w:r>
    </w:p>
    <w:p w14:paraId="1B90D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сектора: энергетического (1938г.)- Хотеев.</w:t>
      </w:r>
    </w:p>
    <w:p w14:paraId="1FE01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групп: по пироксилину (06.1938г.-)- Тарасов; по пороху (06.1938г.-)- Ауэр (11982).</w:t>
      </w:r>
    </w:p>
    <w:p w14:paraId="72114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EF903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D7BB53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DE2E945" w14:textId="77777777" w:rsidR="00DC3115" w:rsidRPr="00E93F40" w:rsidRDefault="00DC3115" w:rsidP="00E93F40">
      <w:pPr>
        <w:pStyle w:val="a3"/>
        <w:rPr>
          <w:color w:val="000000" w:themeColor="text1"/>
          <w:lang w:val="ru-RU"/>
        </w:rPr>
      </w:pPr>
      <w:r w:rsidRPr="00E93F40">
        <w:rPr>
          <w:color w:val="000000" w:themeColor="text1"/>
          <w:lang w:val="ru-RU"/>
        </w:rPr>
        <w:t>В августе 1932 во время войсковых испытаний ТБ-1 совершил учебный налёт на Киев. На подходе к городу он выпустил истребители сопровождения и под их прикрытием долетел до пригородного полигона, где произвел бомбометание. В ноябре 1932 г. планировалось сформировать в Забайкальском военном округе эскадрилью, сооруженную системой «Звено-1». В её штат должны были войти шесть носителей и 12 истребителей И-4 (15821).</w:t>
      </w:r>
    </w:p>
    <w:p w14:paraId="051BFF6B" w14:textId="77777777" w:rsidR="00DC3115" w:rsidRPr="00E93F40" w:rsidRDefault="00DC3115" w:rsidP="00E93F40">
      <w:pPr>
        <w:pStyle w:val="a3"/>
        <w:rPr>
          <w:color w:val="000000" w:themeColor="text1"/>
          <w:lang w:val="ru-RU"/>
        </w:rPr>
      </w:pPr>
    </w:p>
    <w:p w14:paraId="1E226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августе 1932 г. в Средней Азии насчитывалось 70 из 80 имевшихся в ВВС РККА Р-3ЛД плюс три старых Р-ЗМ5. Это явилось следствием того, что потери возмещались за счет машин, освобождавшихся при перевооружении авиачастей в других округах. Самолеты были сильно изношены. Моторы "Лоррэн-Дитрих" многократно перебирались, запчастей к ним не хватало; 20 Р-ЗЛД и два Р-ЗМ5 числились неисправными. Поэтому приступили к перевооружению частей 16-й бригады новыми самолетами Р-5. Первые машины, как уже говорилось, поступили еще в 1931 г. К началу 1933 г. они составляли более половины ее состава. Однако процесс затянулся. Басмачей не рассматривали как серьезного противника, считалось, что против них годится и старье. 19 января 1933 г. командующий войсками Среднеазиатского округа докладывал председателю Реввоенсовета: "Состояние самолетов Р-3 с моторами "Лорен Дитрих", находящихся на вооружении в авиачастях вверенного мне округа, в силу изношенности таково, что может обеспечить боевую подготовку... только на 1933 г.". Р-ЗЛД постепенно списывались, но старые самолеты еще принимали участие в операциях. На 1 января 1933 г. в САВО имелось 68 машин, 39 из которых могли подняться в воздух. Примерно в таком же состоянии парк 16-й бригады пребывал и в конце года (11985). </w:t>
      </w:r>
    </w:p>
    <w:p w14:paraId="2A17C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1584FA"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1932 года высшим военным руководством было принято решение о создании для МСДВ передвижной производственной базы для капитального и среднего ремонта морских и сухопутных самолётов, в т.ч. и тяжёлых бомбардировщиков.</w:t>
      </w:r>
    </w:p>
    <w:p w14:paraId="339B5299"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Был издан специальный приказ наркома обороны о создании такой базы и назначении командира. Эта часть стала называться «Авиационно-ремонтный поезд № 1». Командиром поезда назначили опытного инженера И.Л. Бирюкова, который до этого хорошо себя зарекомендовал службой в строевых авиачастях и в качестве старшего военного представителя на авиазаводе </w:t>
      </w:r>
      <w:r w:rsidRPr="00142305">
        <w:rPr>
          <w:rFonts w:ascii="Times New Roman" w:eastAsia="Times New Roman" w:hAnsi="Times New Roman"/>
          <w:color w:val="0070C0"/>
          <w:sz w:val="16"/>
          <w:szCs w:val="16"/>
        </w:rPr>
        <w:t>№</w:t>
      </w:r>
      <w:r w:rsidRPr="00142305">
        <w:rPr>
          <w:rFonts w:ascii="Times New Roman" w:hAnsi="Times New Roman"/>
          <w:color w:val="0070C0"/>
          <w:sz w:val="16"/>
          <w:szCs w:val="16"/>
        </w:rPr>
        <w:t xml:space="preserve"> 31 в г. Таганроге.</w:t>
      </w:r>
    </w:p>
    <w:p w14:paraId="68BC8116"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Формировало поезд Ремонтное управление Управления ВВС РККА. Тамбовский вагоностроительный завод выделил 44 четырёхосных вагона. В них разместили электростанцию, центральное и индивидуальное отопление, производственные цеха всех авиаспециальностей, складские, технические и хозяйственные службы.</w:t>
      </w:r>
    </w:p>
    <w:p w14:paraId="22B10A1A" w14:textId="1289FB89"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авиаремонтный поезд мог по мере надобности выделять к месту ремонта самолётов железнодорожные и автомобильные летучки. Для этого в его составе имелось 16 автомашин.</w:t>
      </w:r>
    </w:p>
    <w:p w14:paraId="7CDD4A81"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Учитывая, что желавших уехать на Дальний Восток вольнонаёмных рабочих ожидать не приходилось , весь личный состав поезда был из числа военнослужащих. По штату в поезде должно было быть 700 военнослужащих, инженерно-технический состав, младшие технические специалисты срочной и сверхсрочной службы, красноармейцы для несения караульной службы.</w:t>
      </w:r>
    </w:p>
    <w:p w14:paraId="50802681"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течение осени 1932 - весны 1933 года личный состав авиаремпоезда провёл большую работу: разместили по вагонам мастерские , получили оборудование, оснастку и специнструмент, с завода № 22 получили рабочие чертежи самолёта ТБ-3, освоили эксплуатацию как ремонтного оборудования, так и вагонов , подвижного железнодорожного состава и автотранспорта.</w:t>
      </w:r>
    </w:p>
    <w:p w14:paraId="5F521594"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Начали осваивать ремонт металлических самолётов, даже произвели учебный ремонт аварийного самолёта ТБ-3.</w:t>
      </w:r>
    </w:p>
    <w:p w14:paraId="6B12AC20"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1933 года поезд тремя эшелонами двинулся на Дальний Восток (25138).</w:t>
      </w:r>
    </w:p>
    <w:p w14:paraId="46622DE7" w14:textId="77777777" w:rsidR="00587026" w:rsidRPr="00142305" w:rsidRDefault="00587026" w:rsidP="00587026">
      <w:pPr>
        <w:spacing w:after="0" w:line="240" w:lineRule="auto"/>
        <w:jc w:val="both"/>
        <w:rPr>
          <w:rFonts w:ascii="Times New Roman" w:hAnsi="Times New Roman"/>
          <w:color w:val="0070C0"/>
          <w:sz w:val="16"/>
          <w:szCs w:val="16"/>
        </w:rPr>
      </w:pPr>
    </w:p>
    <w:p w14:paraId="52837136"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1932 г. вышел приказ Наркома № 096 «О результатах обследо</w:t>
      </w:r>
      <w:r w:rsidRPr="00142305">
        <w:rPr>
          <w:rFonts w:ascii="Times New Roman" w:hAnsi="Times New Roman"/>
          <w:color w:val="0070C0"/>
          <w:sz w:val="16"/>
          <w:szCs w:val="16"/>
        </w:rPr>
        <w:softHyphen/>
        <w:t>вания Ейской школы морских летчиков и летнабов им. тов. Сталина и 8 и 11-й школ пилотов».</w:t>
      </w:r>
    </w:p>
    <w:p w14:paraId="179B1889"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этом приказе отмечалось следующее:</w:t>
      </w:r>
    </w:p>
    <w:p w14:paraId="3408F32C"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школах, несмотря на определенные успехи, имеются и крупные недо</w:t>
      </w:r>
      <w:r w:rsidRPr="00142305">
        <w:rPr>
          <w:rFonts w:ascii="Times New Roman" w:hAnsi="Times New Roman"/>
          <w:color w:val="0070C0"/>
          <w:sz w:val="16"/>
          <w:szCs w:val="16"/>
        </w:rPr>
        <w:softHyphen/>
        <w:t>статки. Так, не учитываются качественные показатели, нет высокого качества продукции школ. (...) Состояние дисциплины всюду неудовлетворительное. (...) Отмечается слабый и опасно низкий уровень дисциплины летно-инструктор</w:t>
      </w:r>
      <w:r w:rsidRPr="00142305">
        <w:rPr>
          <w:rFonts w:ascii="Times New Roman" w:hAnsi="Times New Roman"/>
          <w:color w:val="0070C0"/>
          <w:sz w:val="16"/>
          <w:szCs w:val="16"/>
        </w:rPr>
        <w:softHyphen/>
        <w:t>ского состава при наличии даже некоторого примиренчества с летной ненатренированностью. Последние решения ЦК и СНК [Имелось в виду, прежде всего, Постановление от 5 июля 1932 г. по аварийности] не восприняты в должной мере летным составом. Красноармейцы авиапарков не имеют опрятной воинской выправки; внутренний распорядок нарушается. Сон часового на посту - обычное дело. В худшую сторону отмечались красноармейцы 11-й школы пилотов. В луч</w:t>
      </w:r>
      <w:r w:rsidRPr="00142305">
        <w:rPr>
          <w:rFonts w:ascii="Times New Roman" w:hAnsi="Times New Roman"/>
          <w:color w:val="0070C0"/>
          <w:sz w:val="16"/>
          <w:szCs w:val="16"/>
        </w:rPr>
        <w:softHyphen/>
        <w:t>шую - Ейской школы, но не в полную еще меру.</w:t>
      </w:r>
    </w:p>
    <w:p w14:paraId="5665A9B0"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Аварийность во всех трех школах даже возрастает.</w:t>
      </w:r>
    </w:p>
    <w:p w14:paraId="152BA273"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января 1932 г. школы имеют:</w:t>
      </w:r>
    </w:p>
    <w:p w14:paraId="4603E3A1"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8-я школа - 7 аварий, 6 мелких поломок, 21 вынужденная посадка;</w:t>
      </w:r>
    </w:p>
    <w:p w14:paraId="1E4066C4"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11-я школа - 7 аварий, 20 мелких поломок, 24 вынужденные посадки; Ейская школа - 11 аварий, 63 мелкие поломки, 42 вынужденные посадки. В 11-й школе вынужденные посадки без поломок даже не учитываются. Должный аэродромный распорядок еще не установлен. Отказы материаль</w:t>
      </w:r>
      <w:r w:rsidRPr="00142305">
        <w:rPr>
          <w:rFonts w:ascii="Times New Roman" w:hAnsi="Times New Roman"/>
          <w:color w:val="0070C0"/>
          <w:sz w:val="16"/>
          <w:szCs w:val="16"/>
        </w:rPr>
        <w:softHyphen/>
        <w:t>ной части на старте достигают 25-30% и более. Неоднократно отмечены полеты на неисправной материальной части. Имели место взлеты на плохо работающем моторе (Один из механиков пояснил: «Он у нас всегда так работает, а в воздухе разрабатывается»), И это - обычное явление для 11-й школы пилотов.</w:t>
      </w:r>
    </w:p>
    <w:p w14:paraId="27B3276D"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Деятельность авиапарков школ не связана с работой учебных авиачастей. Производственный план мастерских парка составляется без участия инженеров эскадрилий. В Ейске [Ейской школе] и Одессе [8-й школе] совершенно не упо</w:t>
      </w:r>
      <w:r w:rsidRPr="00142305">
        <w:rPr>
          <w:rFonts w:ascii="Times New Roman" w:hAnsi="Times New Roman"/>
          <w:color w:val="0070C0"/>
          <w:sz w:val="16"/>
          <w:szCs w:val="16"/>
        </w:rPr>
        <w:softHyphen/>
        <w:t>требляется в пищу рыба».</w:t>
      </w:r>
    </w:p>
    <w:p w14:paraId="1EFC393F"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приказной части говорилось:</w:t>
      </w:r>
    </w:p>
    <w:p w14:paraId="4D2CE5A6"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«Вести земные стрельбы для тренировки обороны своего объекта. В Ей</w:t>
      </w:r>
      <w:r w:rsidRPr="00142305">
        <w:rPr>
          <w:rFonts w:ascii="Times New Roman" w:hAnsi="Times New Roman"/>
          <w:color w:val="0070C0"/>
          <w:sz w:val="16"/>
          <w:szCs w:val="16"/>
        </w:rPr>
        <w:softHyphen/>
        <w:t>ской школе изъять из обучения иностранные самолеты и постепенно вводить для обучения самолеты нашей постройки».</w:t>
      </w:r>
    </w:p>
    <w:p w14:paraId="4E73013F"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Начальнику-комиссару 11 -й школы пилотов Стойлову объявлялся выговор за нарушение уставных требований по внутреннему распорядку и недопустимо плохое состояние самолетного и моторного парков.</w:t>
      </w:r>
    </w:p>
    <w:p w14:paraId="2D03B5F7"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Заместителю командира парка 8-й школы пилотов Гуданову объявлялся выговор за безобразно запущенное состояние технического состояния парка.</w:t>
      </w:r>
    </w:p>
    <w:p w14:paraId="026883AD"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Инструктор 8-й школы пилотов Барышев снимался с инструкторской ра</w:t>
      </w:r>
      <w:r w:rsidRPr="00142305">
        <w:rPr>
          <w:rFonts w:ascii="Times New Roman" w:hAnsi="Times New Roman"/>
          <w:color w:val="0070C0"/>
          <w:sz w:val="16"/>
          <w:szCs w:val="16"/>
        </w:rPr>
        <w:softHyphen/>
        <w:t>боты за недисциплинированность.</w:t>
      </w:r>
    </w:p>
    <w:p w14:paraId="7E902723"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Начальнику-комиссару Ейской школы морских летчиков и летнабов Н. Н. Бажанову объявлялась благодарность за своевременное развертывание школы [организованный переезд из Севастополя в Ейск - новому месту дислока</w:t>
      </w:r>
      <w:r w:rsidRPr="00142305">
        <w:rPr>
          <w:rFonts w:ascii="Times New Roman" w:hAnsi="Times New Roman"/>
          <w:color w:val="0070C0"/>
          <w:sz w:val="16"/>
          <w:szCs w:val="16"/>
        </w:rPr>
        <w:softHyphen/>
        <w:t>ции]. В распоряжение начальника Ейской школы морских летчиков отпускались 3 000 руб. для награждения достойных работников (РГВА. Ф. 4. Оп. 15а. Д. 330. Л. 82-84).</w:t>
      </w:r>
    </w:p>
    <w:p w14:paraId="7B3A58C2"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Начальнику хозяйственной части парка Ейской школы Фастовскому объ</w:t>
      </w:r>
      <w:r w:rsidRPr="00142305">
        <w:rPr>
          <w:rFonts w:ascii="Times New Roman" w:hAnsi="Times New Roman"/>
          <w:color w:val="0070C0"/>
          <w:sz w:val="16"/>
          <w:szCs w:val="16"/>
        </w:rPr>
        <w:softHyphen/>
        <w:t>являлась благодарность, и он награждался двухмесячным окладом денежного со</w:t>
      </w:r>
      <w:r w:rsidRPr="00142305">
        <w:rPr>
          <w:rFonts w:ascii="Times New Roman" w:hAnsi="Times New Roman"/>
          <w:color w:val="0070C0"/>
          <w:sz w:val="16"/>
          <w:szCs w:val="16"/>
        </w:rPr>
        <w:softHyphen/>
        <w:t>держания за лучшую постановку хозяйственного обслуживания школы.</w:t>
      </w:r>
    </w:p>
    <w:p w14:paraId="086C02BD" w14:textId="77777777" w:rsidR="00587026" w:rsidRPr="00142305" w:rsidRDefault="00587026" w:rsidP="00587026">
      <w:pPr>
        <w:spacing w:after="0" w:line="240" w:lineRule="auto"/>
        <w:jc w:val="both"/>
        <w:rPr>
          <w:rFonts w:ascii="Times New Roman" w:hAnsi="Times New Roman"/>
          <w:color w:val="0070C0"/>
          <w:sz w:val="16"/>
          <w:szCs w:val="16"/>
        </w:rPr>
      </w:pPr>
      <w:bookmarkStart w:id="40" w:name="bookmark57"/>
      <w:bookmarkEnd w:id="40"/>
      <w:r w:rsidRPr="00142305">
        <w:rPr>
          <w:rFonts w:ascii="Times New Roman" w:hAnsi="Times New Roman"/>
          <w:color w:val="0070C0"/>
          <w:sz w:val="16"/>
          <w:szCs w:val="16"/>
        </w:rPr>
        <w:t>Поощрялись также начальник технической части парка 11 -й школы пило</w:t>
      </w:r>
      <w:r w:rsidRPr="00142305">
        <w:rPr>
          <w:rFonts w:ascii="Times New Roman" w:hAnsi="Times New Roman"/>
          <w:color w:val="0070C0"/>
          <w:sz w:val="16"/>
          <w:szCs w:val="16"/>
        </w:rPr>
        <w:softHyphen/>
        <w:t>тов и начальник мастерских того же парка.</w:t>
      </w:r>
    </w:p>
    <w:p w14:paraId="32B1D4AB" w14:textId="77777777" w:rsidR="00587026" w:rsidRPr="00587026" w:rsidRDefault="00587026" w:rsidP="00587026">
      <w:pPr>
        <w:pStyle w:val="aff2"/>
        <w:tabs>
          <w:tab w:val="left" w:pos="594"/>
        </w:tabs>
        <w:spacing w:line="240" w:lineRule="auto"/>
        <w:rPr>
          <w:rFonts w:ascii="Times New Roman" w:hAnsi="Times New Roman" w:cs="Times New Roman"/>
          <w:i w:val="0"/>
          <w:iCs w:val="0"/>
          <w:color w:val="0070C0"/>
          <w:sz w:val="16"/>
          <w:szCs w:val="16"/>
          <w:lang w:val="ru-RU"/>
        </w:rPr>
      </w:pPr>
      <w:r w:rsidRPr="00587026">
        <w:rPr>
          <w:rFonts w:ascii="Times New Roman" w:hAnsi="Times New Roman" w:cs="Times New Roman"/>
          <w:i w:val="0"/>
          <w:iCs w:val="0"/>
          <w:color w:val="0070C0"/>
          <w:sz w:val="16"/>
          <w:szCs w:val="16"/>
          <w:lang w:val="ru-RU"/>
        </w:rPr>
        <w:t>Управление ВВС и руководство РККА осознавало, что не только в 8-й школе идет недостаточная подготовка летчиков для того, чтобы они могли с Р-1, которых в школах считался боевым самолетом, в строевых частях сразу освоить Р-5 или И-5 (24968).</w:t>
      </w:r>
    </w:p>
    <w:p w14:paraId="6B386CF3" w14:textId="77777777" w:rsidR="00587026" w:rsidRPr="00587026" w:rsidRDefault="00587026" w:rsidP="00587026">
      <w:pPr>
        <w:pStyle w:val="aff2"/>
        <w:tabs>
          <w:tab w:val="left" w:pos="594"/>
        </w:tabs>
        <w:spacing w:line="240" w:lineRule="auto"/>
        <w:rPr>
          <w:rFonts w:ascii="Times New Roman" w:hAnsi="Times New Roman" w:cs="Times New Roman"/>
          <w:i w:val="0"/>
          <w:iCs w:val="0"/>
          <w:color w:val="0070C0"/>
          <w:sz w:val="16"/>
          <w:szCs w:val="16"/>
          <w:lang w:val="ru-RU"/>
        </w:rPr>
      </w:pPr>
    </w:p>
    <w:p w14:paraId="6E79A35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B7CABB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D4F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в рукописи распространялась платформа М.Н.Рютина (1348,119). В ней на И.В.С. возлагалась ответственность за катастрофическое положение в стране и беззаконие. Призвал к смещению И.В.С. Письмо было подписано 17 сторонниками. И.В.С. на ПБ потребовал ареста и казни члену ЦК Рютину и сторонникам. Не набрал большинства голосов из-за умеренной позиции Г.К.О., В.Куйбышева и С.М.К. Тем не менее 18 подписантов исключили из партии. Заодно исключили и Зиновьева и Каменева, контактировавших с Рютиным, а потому знавших, но не сообщивших об оппозиции (3240).</w:t>
      </w:r>
    </w:p>
    <w:p w14:paraId="6E33441E" w14:textId="5A7F7E7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23ADCA" w14:textId="05C2CFE7" w:rsidR="000606F9" w:rsidRPr="00E93F40" w:rsidRDefault="000606F9"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0FBEE13E" w14:textId="77777777" w:rsidR="000606F9" w:rsidRPr="00E93F40" w:rsidRDefault="000606F9"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5107298B"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Август 1932 состоялся первый полет Фарман F.1010 (20803).</w:t>
      </w:r>
    </w:p>
    <w:p w14:paraId="1AD19540" w14:textId="77777777" w:rsidR="000606F9" w:rsidRPr="00E93F40" w:rsidRDefault="000606F9" w:rsidP="00E93F40">
      <w:pPr>
        <w:spacing w:after="0" w:line="240" w:lineRule="auto"/>
        <w:jc w:val="both"/>
        <w:rPr>
          <w:rFonts w:ascii="Times New Roman" w:hAnsi="Times New Roman"/>
          <w:color w:val="000000" w:themeColor="text1"/>
          <w:sz w:val="16"/>
          <w:szCs w:val="16"/>
        </w:rPr>
      </w:pPr>
    </w:p>
    <w:p w14:paraId="3A7C3FBC"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w:t>
      </w:r>
      <w:r w:rsidRPr="00E93F40">
        <w:rPr>
          <w:rFonts w:ascii="Times New Roman" w:hAnsi="Times New Roman"/>
          <w:color w:val="000000" w:themeColor="text1"/>
          <w:sz w:val="16"/>
          <w:szCs w:val="16"/>
        </w:rPr>
        <w:softHyphen/>
        <w:t xml:space="preserve">густе 1932 года собрали и облетали первые два </w:t>
      </w:r>
      <w:bookmarkStart w:id="41" w:name="bookmark26"/>
      <w:r w:rsidRPr="00E93F40">
        <w:rPr>
          <w:rFonts w:ascii="Times New Roman" w:hAnsi="Times New Roman"/>
          <w:color w:val="000000" w:themeColor="text1"/>
          <w:sz w:val="16"/>
          <w:szCs w:val="16"/>
        </w:rPr>
        <w:t xml:space="preserve">Нортроп </w:t>
      </w:r>
      <w:bookmarkEnd w:id="41"/>
      <w:r w:rsidRPr="00E93F40">
        <w:rPr>
          <w:rFonts w:ascii="Times New Roman" w:hAnsi="Times New Roman"/>
          <w:color w:val="000000" w:themeColor="text1"/>
          <w:sz w:val="16"/>
          <w:szCs w:val="16"/>
        </w:rPr>
        <w:t>«Гамма». Все машины этой серии являлись «штучными» и изготавливались по заказам, довольно сильно отличаясь друг от друга по количеству мест для пассажиров и экипажа, комплекту оборудования, а иногда и по мотоустановке.</w:t>
      </w:r>
    </w:p>
    <w:p w14:paraId="4BA5F2BA"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был многоцелевой (почтовый, пассажирский и спортивный) моноплан - довольно крупная машина с неубирающимся шасси в обтекателях-«штанах». Характерной ее чертой являлась сильно сдвинутая назад пилотская кабина, перед которой находился грузовой отсек (в почтовом варианте), салон для пассажиров или до</w:t>
      </w:r>
      <w:r w:rsidRPr="00E93F40">
        <w:rPr>
          <w:rFonts w:ascii="Times New Roman" w:hAnsi="Times New Roman"/>
          <w:color w:val="000000" w:themeColor="text1"/>
          <w:sz w:val="16"/>
          <w:szCs w:val="16"/>
        </w:rPr>
        <w:softHyphen/>
        <w:t>полнительный бензобак (в спортивном для дальних пе</w:t>
      </w:r>
      <w:r w:rsidRPr="00E93F40">
        <w:rPr>
          <w:rFonts w:ascii="Times New Roman" w:hAnsi="Times New Roman"/>
          <w:color w:val="000000" w:themeColor="text1"/>
          <w:sz w:val="16"/>
          <w:szCs w:val="16"/>
        </w:rPr>
        <w:softHyphen/>
        <w:t xml:space="preserve">релетов) (23545). </w:t>
      </w:r>
    </w:p>
    <w:p w14:paraId="385DA4D5" w14:textId="77777777" w:rsidR="00053F0D" w:rsidRPr="00E93F40" w:rsidRDefault="00053F0D" w:rsidP="00E93F40">
      <w:pPr>
        <w:spacing w:after="0" w:line="240" w:lineRule="auto"/>
        <w:jc w:val="both"/>
        <w:rPr>
          <w:rFonts w:ascii="Times New Roman" w:hAnsi="Times New Roman"/>
          <w:color w:val="000000" w:themeColor="text1"/>
          <w:sz w:val="16"/>
          <w:szCs w:val="16"/>
        </w:rPr>
      </w:pPr>
    </w:p>
    <w:p w14:paraId="7B89625B" w14:textId="77777777"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г. перуанские войска захватили пограничный порт Летицию в верхнем течении Амазонки. Три «юнкерса» колумбийских ВВС перебросили к границе подкрепление, которому удалось остановить продвижение противника. Конфликт завершился в июле 1933 г. (24199).</w:t>
      </w:r>
    </w:p>
    <w:p w14:paraId="608F3B3C" w14:textId="77777777" w:rsidR="00053F0D" w:rsidRPr="00E93F40" w:rsidRDefault="00053F0D" w:rsidP="00E93F40">
      <w:pPr>
        <w:spacing w:after="0" w:line="240" w:lineRule="auto"/>
        <w:jc w:val="both"/>
        <w:rPr>
          <w:rFonts w:ascii="Times New Roman" w:hAnsi="Times New Roman"/>
          <w:color w:val="000000" w:themeColor="text1"/>
          <w:sz w:val="16"/>
          <w:szCs w:val="16"/>
        </w:rPr>
      </w:pPr>
    </w:p>
    <w:p w14:paraId="70A589D7" w14:textId="4C025ADC" w:rsidR="00053F0D" w:rsidRPr="00E93F40" w:rsidRDefault="00053F0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августе 1932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инженер Франц Менгеринг (Franz Mengering) побывал на берлинском ракетодроме, посмотрел на пуски ракет и предложил членам ОМП участвовать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реализации его плана доказательства теории «полой Земли». Те, конечно, посмеялись, но согласились построить большую ракету, если Менгеринг добудет деньги на неё. К их удивлению, в сентябре они получили приглашение прибыть 8 октября в одну из гостиниц Магдебурга на встречу с руководством города: заместителем главы региона, начальником полиции, военным комендантом, представителями муниципалитета, городского совета и командования гражданской обороны. О теории «полой Земли» здесь речь не шла: оказалось, что эти солидные люди желают войти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историю своим участием в организации первого в истории полёта ракеты с человеком на борту (23372).</w:t>
      </w:r>
    </w:p>
    <w:p w14:paraId="19A5E004" w14:textId="77777777" w:rsidR="00053F0D" w:rsidRPr="00E93F40" w:rsidRDefault="00053F0D" w:rsidP="00E93F40">
      <w:pPr>
        <w:spacing w:after="0" w:line="240" w:lineRule="auto"/>
        <w:jc w:val="both"/>
        <w:rPr>
          <w:rFonts w:ascii="Times New Roman" w:hAnsi="Times New Roman"/>
          <w:color w:val="000000" w:themeColor="text1"/>
          <w:sz w:val="16"/>
          <w:szCs w:val="16"/>
        </w:rPr>
      </w:pPr>
    </w:p>
    <w:p w14:paraId="7D92DDFB" w14:textId="77777777" w:rsidR="00587026" w:rsidRPr="00E93F40" w:rsidRDefault="00587026" w:rsidP="00587026">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65AE784" w14:textId="77777777" w:rsidR="00587026" w:rsidRPr="00E93F40" w:rsidRDefault="00587026" w:rsidP="00587026">
      <w:pPr>
        <w:autoSpaceDE w:val="0"/>
        <w:autoSpaceDN w:val="0"/>
        <w:adjustRightInd w:val="0"/>
        <w:spacing w:after="0" w:line="240" w:lineRule="auto"/>
        <w:jc w:val="both"/>
        <w:rPr>
          <w:rFonts w:ascii="Times New Roman" w:hAnsi="Times New Roman"/>
          <w:i/>
          <w:iCs/>
          <w:color w:val="000000" w:themeColor="text1"/>
          <w:sz w:val="16"/>
          <w:szCs w:val="16"/>
        </w:rPr>
      </w:pPr>
    </w:p>
    <w:p w14:paraId="7F6889D3"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августе-сентябре 1932 года конструкторы ОКМО под руководством О. Иванова, учитывая результаты испытаний опытного образца и требования военных, коренным образом переработали чертежи танка Т-28. В результате получилась фактически другая машина: была изменена подвеска, конструкция башен и корпуса, переработана трансмиссия, усилено вооружение.</w:t>
      </w:r>
    </w:p>
    <w:p w14:paraId="687C5F0F" w14:textId="77777777" w:rsidR="00587026" w:rsidRPr="00142305" w:rsidRDefault="00587026" w:rsidP="005870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 дожидаясь изготовления опытного образца, в конце октября 1932 года Совет труда и обороны СССР принял решение об организации серийного производства танков Т-28 на заводе «Красный Путиловец» в Ленинграде (24998).</w:t>
      </w:r>
    </w:p>
    <w:p w14:paraId="0657A296" w14:textId="77777777" w:rsidR="00587026" w:rsidRPr="00142305" w:rsidRDefault="00587026" w:rsidP="00587026">
      <w:pPr>
        <w:spacing w:after="0" w:line="240" w:lineRule="auto"/>
        <w:jc w:val="both"/>
        <w:rPr>
          <w:rFonts w:ascii="Times New Roman" w:hAnsi="Times New Roman"/>
          <w:color w:val="0070C0"/>
          <w:sz w:val="16"/>
          <w:szCs w:val="16"/>
        </w:rPr>
      </w:pPr>
    </w:p>
    <w:p w14:paraId="3FC91CC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161A4B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F97A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лета 1932 на АИР-7 была достигнута скорость 325 км/ч (74,62). После аварии могла быть расправа. Помогла партийная организация. - весна 1934 - 332 (74,65).</w:t>
      </w:r>
    </w:p>
    <w:p w14:paraId="32E69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более вероятны данным, первый вылет был только 19 ноября 1932.</w:t>
      </w:r>
    </w:p>
    <w:p w14:paraId="5378192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567ADCE" w14:textId="0C582526" w:rsidR="004C6ED2" w:rsidRPr="00E93F40" w:rsidRDefault="004C6ED2"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37E2B44" w14:textId="77777777" w:rsidR="004C6ED2" w:rsidRPr="00E93F40" w:rsidRDefault="004C6ED2"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6A4E7A7C"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лета 1932 г. объем опытно-конструкторских работ, проводимых ХПЗ по заказам УММ РККА значительно возрос. В связи с этим руководством УММ РККА было принято решение об усилении аппарата военной приемки на ХПЗ. На завод был направлен старший военный представитель УММ РККА по опытно-конструкторским работам И.Л. Кинсбургский, на которого возлагались обязанности по контролю за выполнением заводом опытных заказов, а также по регулярному информированию НТУ УММ РККА о ходе выполнения опытно-конструкторских работ на ХПЗ (24856).</w:t>
      </w:r>
    </w:p>
    <w:p w14:paraId="5FBDDC62" w14:textId="77777777" w:rsidR="004C6ED2" w:rsidRPr="00E93F40" w:rsidRDefault="004C6ED2" w:rsidP="00E93F40">
      <w:pPr>
        <w:spacing w:after="0" w:line="240" w:lineRule="auto"/>
        <w:jc w:val="both"/>
        <w:rPr>
          <w:rFonts w:ascii="Times New Roman" w:hAnsi="Times New Roman"/>
          <w:color w:val="000000" w:themeColor="text1"/>
          <w:sz w:val="16"/>
          <w:szCs w:val="16"/>
        </w:rPr>
      </w:pPr>
    </w:p>
    <w:p w14:paraId="416A5153" w14:textId="358391D3"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6BEBAA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0BD99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лета 1932 М. Рютин и А. Слепков распространяют т. н. "платформу Рютина", экономическая часть которой близка идеям "правой оппозиции". В этой платформе содержатся также требования вернуться к демократическим нормам партийной жизни и отстранить от руководства И.В.С., "злого гения революции". Большинство членов Политбюро (в том числе С. М Киров) не соглашаются со Сталиным, настаивавшим на вынесении М.Рютину смертного приговора за террористическую деятельность и покушение на убийство (4962).</w:t>
      </w:r>
    </w:p>
    <w:p w14:paraId="27A804F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D298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лета 1932 М.Рютин и А.Слепков распространяли платформу Рютина, экономическая часть которой была близка правой оппозиции. Призывали вернуться к демократическим нормам партийной жизни и отстранить от руководства И.В.С., “злого гения революции”. Большинство членов ПБ, в т.ч. С.М.К. не согласились с И.В.С., настаивающем на вынесение М.Рютину смертного приговора за “террористическую деятельность” (3908,338).</w:t>
      </w:r>
    </w:p>
    <w:p w14:paraId="7136D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80775E" w14:textId="3D7CE0F7" w:rsidR="006A102D" w:rsidRPr="00E93F40" w:rsidRDefault="006A102D" w:rsidP="006A102D">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6F700D2A" w14:textId="77777777" w:rsidR="006A102D" w:rsidRPr="00E93F40" w:rsidRDefault="006A102D" w:rsidP="006A102D">
      <w:pPr>
        <w:autoSpaceDE w:val="0"/>
        <w:autoSpaceDN w:val="0"/>
        <w:adjustRightInd w:val="0"/>
        <w:spacing w:after="0" w:line="240" w:lineRule="auto"/>
        <w:jc w:val="both"/>
        <w:rPr>
          <w:rFonts w:ascii="Times New Roman" w:hAnsi="Times New Roman"/>
          <w:iCs/>
          <w:color w:val="000000" w:themeColor="text1"/>
          <w:sz w:val="16"/>
          <w:szCs w:val="16"/>
        </w:rPr>
      </w:pPr>
    </w:p>
    <w:p w14:paraId="44028F80" w14:textId="77777777" w:rsidR="006A102D" w:rsidRPr="00142305" w:rsidRDefault="006A102D" w:rsidP="006A102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К осени 1932 года 17-я Тяжёлобомбардировочная авиабригада, базирующаяся в Монино и имевшая большой опыт эксплуатации машин такого класса, пополнилась десятью цельнометаллическими монопланами ТБ-3. Всестороннее изучение технических и лётных характеристик нового тяжёлого бомбардировщика давалось </w:t>
      </w:r>
      <w:r w:rsidRPr="00142305">
        <w:rPr>
          <w:rFonts w:ascii="Times New Roman" w:hAnsi="Times New Roman"/>
          <w:color w:val="0070C0"/>
          <w:sz w:val="16"/>
          <w:szCs w:val="16"/>
        </w:rPr>
        <w:lastRenderedPageBreak/>
        <w:t>непросто. К пилотам предъявляли очень высокие требования. Они в обязательном порядке должны были налетать значительное количество часов на ТБ-1. Затем полагалось около двух десятков полётов с инструктором на самом ТБ-3. Будущих же командиров экипажей этих «воздушных гигантов», в дополнение ко всему, ожидали ещё и длительные тренировки на правом сиденье бомбардировщиков в качестве вторых пилотов (25652).</w:t>
      </w:r>
    </w:p>
    <w:p w14:paraId="3147EA55" w14:textId="77777777" w:rsidR="006A102D" w:rsidRPr="00142305" w:rsidRDefault="006A102D" w:rsidP="006A102D">
      <w:pPr>
        <w:spacing w:after="0" w:line="240" w:lineRule="auto"/>
        <w:jc w:val="both"/>
        <w:rPr>
          <w:rFonts w:ascii="Times New Roman" w:hAnsi="Times New Roman"/>
          <w:color w:val="0070C0"/>
          <w:sz w:val="16"/>
          <w:szCs w:val="16"/>
        </w:rPr>
      </w:pPr>
    </w:p>
    <w:p w14:paraId="61118880" w14:textId="77777777" w:rsidR="000A7AED"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8AE6ED6" w14:textId="77777777" w:rsidR="000A7AED" w:rsidRPr="00E93F40" w:rsidRDefault="000A7AE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6DF0DDD"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 сентябрю 1932 г. военные составили предварительные техтребования (скорее даже пожелания) на летающий </w:t>
      </w:r>
      <w:hyperlink r:id="rId203"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w:t>
      </w:r>
    </w:p>
    <w:p w14:paraId="4623B685"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Боевой вес </w:t>
      </w:r>
      <w:hyperlink r:id="rId204"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со всеми приспособлениями для летания в пределах 5-6 тонн.</w:t>
      </w:r>
    </w:p>
    <w:p w14:paraId="631DE0FC"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Максимальная скорость на колесах 70 — 80 км/ч гусеницах 50 — 60 км/ч в воздухе 150 км потолок 1 — 3 км.</w:t>
      </w:r>
    </w:p>
    <w:p w14:paraId="0C4D0721"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Тип движителя — колесно-гусеничный.</w:t>
      </w:r>
    </w:p>
    <w:p w14:paraId="02173FD4"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Принцип подъемного аппарата для взлета — нормальные крылья или автожиры.</w:t>
      </w:r>
    </w:p>
    <w:p w14:paraId="50F85C64"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Тип летательных приспособлений — съемные автоматически выключающиеся при посадке </w:t>
      </w:r>
      <w:hyperlink r:id="rId205"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без выхода команды и одевающиеся при взлете с выходом команды.</w:t>
      </w:r>
    </w:p>
    <w:p w14:paraId="62FD40E5"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Продолжительность выключения летательного приспособления — 5 минут, продолжительность одевания летательного приспособления — 15 минут.</w:t>
      </w:r>
    </w:p>
    <w:p w14:paraId="28AF767F"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Потребная аэродромная площадь для посадки и взлета:</w:t>
      </w:r>
    </w:p>
    <w:p w14:paraId="6E61AFCA"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 наличии автожира 100-200 м.</w:t>
      </w:r>
    </w:p>
    <w:p w14:paraId="34A1C76D"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при наличии нормальных крыльев самолета до 500 м.</w:t>
      </w:r>
    </w:p>
    <w:p w14:paraId="3D6C81EE"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Тип и мощность мотора — авиационный марки М-34. Допускается использование для охлаждения мотора этиленгликоль.</w:t>
      </w:r>
    </w:p>
    <w:p w14:paraId="06C15F6E"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Бронирование </w:t>
      </w:r>
      <w:hyperlink r:id="rId206"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8-6-4 мм.</w:t>
      </w:r>
    </w:p>
    <w:p w14:paraId="4376BBE1"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Вооружение одна 45 мм пушка с круговым обстрелом спаренная с пулеметом. Один лобовой пулемет.</w:t>
      </w:r>
    </w:p>
    <w:p w14:paraId="3D127411"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Боеприпасы — артиллерийский комплект 50 снарядов. Пулеметный комплект 3000 патронов.</w:t>
      </w:r>
    </w:p>
    <w:p w14:paraId="07FB750A"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Команда 2 человека.</w:t>
      </w:r>
    </w:p>
    <w:p w14:paraId="54C5B156"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Запас горючего</w:t>
      </w:r>
    </w:p>
    <w:p w14:paraId="3F310CA1"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 движении по дорогам 150 км</w:t>
      </w:r>
    </w:p>
    <w:p w14:paraId="57BE54E7"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при движении в воздухе 250 км.</w:t>
      </w:r>
    </w:p>
    <w:p w14:paraId="3BCC08A5"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Бензобаки для движения </w:t>
      </w:r>
      <w:hyperlink r:id="rId207"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по дорогам и для воздуха д.б. самостоятельными, однако при проектировании д.б. предусмотрена возможность использования всего запаса горючего как для движения по дорогам так и для движения в воздухе.</w:t>
      </w:r>
    </w:p>
    <w:p w14:paraId="1D747CE8"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Для получения указанного боевого веса допускается применение легких сплавов и специальных высококачественных сталей.</w:t>
      </w:r>
    </w:p>
    <w:p w14:paraId="18E89764"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Указанные требования являются ориентировочными и могут быть изменены в соответствии с данными, полученными в результате предварительного эскизного проекта и расчетов».</w:t>
      </w:r>
    </w:p>
    <w:p w14:paraId="2E049944" w14:textId="77777777" w:rsidR="000A7AED" w:rsidRPr="00E93F40" w:rsidRDefault="000A7AE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предельно сжатые сроки были готовы предложения изобретателей, на основе которых были выработаны более детальные требования на «самолетающий» </w:t>
      </w:r>
      <w:hyperlink r:id="rId208"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 с крыльями и «с автожиром». «Танк с автожиром» являл собой специальную конструкцию, его разработку выполнял Н.И.Камов, а «самолетающие» </w:t>
      </w:r>
      <w:hyperlink r:id="rId209"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и с крыльями разрабатывали на основе </w:t>
      </w:r>
      <w:hyperlink r:id="rId210"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БТ конструктор Рафаэлянц и творческий дуэт Самсонова и Добровольского (15632).</w:t>
      </w:r>
    </w:p>
    <w:p w14:paraId="0178998D" w14:textId="77777777" w:rsidR="000A7AED" w:rsidRPr="00E93F40" w:rsidRDefault="000A7AED" w:rsidP="00E93F40">
      <w:pPr>
        <w:spacing w:after="0" w:line="240" w:lineRule="auto"/>
        <w:jc w:val="both"/>
        <w:rPr>
          <w:rFonts w:ascii="Times New Roman" w:hAnsi="Times New Roman"/>
          <w:color w:val="000000" w:themeColor="text1"/>
          <w:sz w:val="16"/>
          <w:szCs w:val="16"/>
        </w:rPr>
      </w:pPr>
    </w:p>
    <w:p w14:paraId="0AA77385" w14:textId="77777777" w:rsidR="003022E8" w:rsidRPr="00E93F40" w:rsidRDefault="003022E8" w:rsidP="00E93F40">
      <w:pPr>
        <w:pStyle w:val="ae"/>
        <w:shd w:val="clear" w:color="auto" w:fill="FFFFFF"/>
        <w:spacing w:before="0" w:after="0"/>
        <w:jc w:val="both"/>
        <w:rPr>
          <w:color w:val="000000" w:themeColor="text1"/>
          <w:sz w:val="16"/>
          <w:szCs w:val="16"/>
        </w:rPr>
      </w:pPr>
      <w:r w:rsidRPr="00E93F40">
        <w:rPr>
          <w:color w:val="000000" w:themeColor="text1"/>
          <w:sz w:val="16"/>
          <w:szCs w:val="16"/>
        </w:rPr>
        <w:t>К сентябрю 1932 г. военные составили предварительные техтребования (скорее даже пожелания) на летающий танк:</w:t>
      </w:r>
    </w:p>
    <w:p w14:paraId="550758C2"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 Боевой вес танка со всеми приспособлениями для летания в пределах 5-6 тонн.</w:t>
      </w:r>
    </w:p>
    <w:p w14:paraId="15E4EC99"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2. Максимальная скорость на колесах 70 — 80 км/ч гусеницах 50 — 60 км/ч в воздухе 150 км потолок 1 — 3 км.</w:t>
      </w:r>
    </w:p>
    <w:p w14:paraId="0A556AC6"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3. Тип движителя — колесно-гусеничный.</w:t>
      </w:r>
    </w:p>
    <w:p w14:paraId="09EDE275"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4. Принцип подъемного аппарата для взлета — нормальные крылья или автожиры.</w:t>
      </w:r>
    </w:p>
    <w:p w14:paraId="061562A5"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5. Тип летательных приспособлений — съемные автоматически выключающиеся при посадке танка без выхода команды и одевающиеся при взлете с выходом команды.</w:t>
      </w:r>
    </w:p>
    <w:p w14:paraId="7D7619FF"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6. Продолжительность выключения летательного приспособления — 5 минут, продолжительность одевания летательного приспособления — 15 минут.</w:t>
      </w:r>
    </w:p>
    <w:p w14:paraId="36D04579"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7. Потребная аэродромная площадь для посадки и взлета:</w:t>
      </w:r>
    </w:p>
    <w:p w14:paraId="6F05F3EB"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а) при наличии автожира 100-200 м.</w:t>
      </w:r>
    </w:p>
    <w:p w14:paraId="526B6AB7"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б) при наличии нормальных крыльев самолета до 500 м.</w:t>
      </w:r>
    </w:p>
    <w:p w14:paraId="7DE9E17E"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8. Тип и мощность мотора — авиационный марки М-34. Допускается использование для охлаждения мотора этиленгликоль.</w:t>
      </w:r>
    </w:p>
    <w:p w14:paraId="107C9803"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9. Бронирование танка 8-6-4 мм.</w:t>
      </w:r>
    </w:p>
    <w:p w14:paraId="16E05AAC"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10. Вооружение одна 45 мм пушка с круговым обстрелом спаренная с пулеметом. Один лобовой пулемет.</w:t>
      </w:r>
    </w:p>
    <w:p w14:paraId="38033913"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11. Боеприпасы — артиллерийский комплект 50 снарядов. Пулеметный комплект 3000 патронов.</w:t>
      </w:r>
    </w:p>
    <w:p w14:paraId="6EB15768"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12. Команда 2 человека.</w:t>
      </w:r>
    </w:p>
    <w:p w14:paraId="247311E4"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13. Запас горючего</w:t>
      </w:r>
    </w:p>
    <w:p w14:paraId="6D821AE3"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а) при движении по дорогам 150 км</w:t>
      </w:r>
    </w:p>
    <w:p w14:paraId="334E661C"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б) при движении в воздухе 250 км.</w:t>
      </w:r>
    </w:p>
    <w:p w14:paraId="61B00C86"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Бензобаки для движения танка по дорогам и для воздуха д.б. самостоятельными, однако при проектировании д.б. предусмотрена возможность использования всего запаса горючего как для движения по дорогам так и для движения в воздухе.</w:t>
      </w:r>
    </w:p>
    <w:p w14:paraId="39DD4E0B"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14. Для получения указанного боевого веса допускается применение легких сплавов и специальных высококачественных сталей.</w:t>
      </w:r>
    </w:p>
    <w:p w14:paraId="7A07BBE8" w14:textId="77777777" w:rsidR="003022E8" w:rsidRPr="00E93F40" w:rsidRDefault="003022E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15. Указанные требования являются ориентировочными и могут быть изменены в соответствии с данными, полученными в результате предварительного эскизного проекта и расчетов»*.</w:t>
      </w:r>
    </w:p>
    <w:p w14:paraId="15C0B12A" w14:textId="326768B9" w:rsidR="003022E8" w:rsidRPr="00E93F40" w:rsidRDefault="003022E8"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 предельно сжатые сроки были готовы предложения изобретателей, на основе которых были выработаны более детальные требования на</w:t>
      </w:r>
      <w:r w:rsidR="007C1411" w:rsidRPr="00E93F40">
        <w:rPr>
          <w:color w:val="000000" w:themeColor="text1"/>
          <w:sz w:val="16"/>
          <w:szCs w:val="16"/>
        </w:rPr>
        <w:t xml:space="preserve"> </w:t>
      </w:r>
      <w:r w:rsidRPr="00E93F40">
        <w:rPr>
          <w:rStyle w:val="af0"/>
          <w:rFonts w:eastAsiaTheme="majorEastAsia"/>
          <w:i w:val="0"/>
          <w:color w:val="000000" w:themeColor="text1"/>
          <w:sz w:val="16"/>
          <w:szCs w:val="16"/>
        </w:rPr>
        <w:t>«самолетающий»</w:t>
      </w:r>
      <w:r w:rsidR="007C1411" w:rsidRPr="00E93F40">
        <w:rPr>
          <w:color w:val="000000" w:themeColor="text1"/>
          <w:sz w:val="16"/>
          <w:szCs w:val="16"/>
        </w:rPr>
        <w:t xml:space="preserve"> </w:t>
      </w:r>
      <w:r w:rsidRPr="00E93F40">
        <w:rPr>
          <w:color w:val="000000" w:themeColor="text1"/>
          <w:sz w:val="16"/>
          <w:szCs w:val="16"/>
        </w:rPr>
        <w:t>танк с крыльями и</w:t>
      </w:r>
      <w:r w:rsidR="007C1411" w:rsidRPr="00E93F40">
        <w:rPr>
          <w:color w:val="000000" w:themeColor="text1"/>
          <w:sz w:val="16"/>
          <w:szCs w:val="16"/>
        </w:rPr>
        <w:t xml:space="preserve"> </w:t>
      </w:r>
      <w:r w:rsidRPr="00E93F40">
        <w:rPr>
          <w:rStyle w:val="af0"/>
          <w:rFonts w:eastAsiaTheme="majorEastAsia"/>
          <w:i w:val="0"/>
          <w:color w:val="000000" w:themeColor="text1"/>
          <w:sz w:val="16"/>
          <w:szCs w:val="16"/>
        </w:rPr>
        <w:t>«с автожиром»</w:t>
      </w:r>
      <w:r w:rsidRPr="00E93F40">
        <w:rPr>
          <w:color w:val="000000" w:themeColor="text1"/>
          <w:sz w:val="16"/>
          <w:szCs w:val="16"/>
        </w:rPr>
        <w:t>.</w:t>
      </w:r>
      <w:r w:rsidR="007C1411" w:rsidRPr="00E93F40">
        <w:rPr>
          <w:color w:val="000000" w:themeColor="text1"/>
          <w:sz w:val="16"/>
          <w:szCs w:val="16"/>
        </w:rPr>
        <w:t xml:space="preserve"> </w:t>
      </w:r>
      <w:r w:rsidRPr="00E93F40">
        <w:rPr>
          <w:rStyle w:val="af0"/>
          <w:rFonts w:eastAsiaTheme="majorEastAsia"/>
          <w:i w:val="0"/>
          <w:color w:val="000000" w:themeColor="text1"/>
          <w:sz w:val="16"/>
          <w:szCs w:val="16"/>
        </w:rPr>
        <w:t>«Танк с автожиром»</w:t>
      </w:r>
      <w:r w:rsidR="007C1411" w:rsidRPr="00E93F40">
        <w:rPr>
          <w:color w:val="000000" w:themeColor="text1"/>
          <w:sz w:val="16"/>
          <w:szCs w:val="16"/>
        </w:rPr>
        <w:t xml:space="preserve"> </w:t>
      </w:r>
      <w:r w:rsidRPr="00E93F40">
        <w:rPr>
          <w:color w:val="000000" w:themeColor="text1"/>
          <w:sz w:val="16"/>
          <w:szCs w:val="16"/>
        </w:rPr>
        <w:t>являл собой специальную конструкцию, его разработку выполнял Н.И.Камов, а</w:t>
      </w:r>
      <w:r w:rsidR="007C1411" w:rsidRPr="00E93F40">
        <w:rPr>
          <w:color w:val="000000" w:themeColor="text1"/>
          <w:sz w:val="16"/>
          <w:szCs w:val="16"/>
        </w:rPr>
        <w:t xml:space="preserve"> </w:t>
      </w:r>
      <w:r w:rsidRPr="00E93F40">
        <w:rPr>
          <w:rStyle w:val="af0"/>
          <w:rFonts w:eastAsiaTheme="majorEastAsia"/>
          <w:i w:val="0"/>
          <w:color w:val="000000" w:themeColor="text1"/>
          <w:sz w:val="16"/>
          <w:szCs w:val="16"/>
        </w:rPr>
        <w:t>«самолетающие»</w:t>
      </w:r>
      <w:r w:rsidR="007C1411" w:rsidRPr="00E93F40">
        <w:rPr>
          <w:color w:val="000000" w:themeColor="text1"/>
          <w:sz w:val="16"/>
          <w:szCs w:val="16"/>
        </w:rPr>
        <w:t xml:space="preserve"> </w:t>
      </w:r>
      <w:r w:rsidRPr="00E93F40">
        <w:rPr>
          <w:color w:val="000000" w:themeColor="text1"/>
          <w:sz w:val="16"/>
          <w:szCs w:val="16"/>
        </w:rPr>
        <w:t>танки с крыльями разрабатывали на основе танка БТ конструктор Рафаэлянц и творческий дуэт Самсонова и Добровольского (19530).</w:t>
      </w:r>
    </w:p>
    <w:p w14:paraId="1C5951BB" w14:textId="77777777" w:rsidR="003022E8" w:rsidRPr="00E93F40" w:rsidRDefault="003022E8" w:rsidP="00E93F40">
      <w:pPr>
        <w:pStyle w:val="ae"/>
        <w:shd w:val="clear" w:color="auto" w:fill="FFFFFF"/>
        <w:spacing w:before="0" w:after="0"/>
        <w:jc w:val="both"/>
        <w:rPr>
          <w:color w:val="000000" w:themeColor="text1"/>
          <w:sz w:val="16"/>
          <w:szCs w:val="16"/>
        </w:rPr>
      </w:pPr>
    </w:p>
    <w:p w14:paraId="456AED30"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К началу сентября 1932 в ЦКБ ЦАГИ на первом экземпляре эталона ТШ-2 для се</w:t>
      </w:r>
      <w:r w:rsidRPr="00E93F40">
        <w:rPr>
          <w:rFonts w:ascii="Times New Roman" w:hAnsi="Times New Roman"/>
          <w:color w:val="000000" w:themeColor="text1"/>
          <w:sz w:val="16"/>
          <w:szCs w:val="16"/>
          <w:lang w:eastAsia="ru-RU" w:bidi="ru-RU"/>
        </w:rPr>
        <w:softHyphen/>
        <w:t>рии устранили дефекты, выявленные при государственных испытаниях, и в полном объеме довели вооружение до уровня, со</w:t>
      </w:r>
      <w:r w:rsidRPr="00E93F40">
        <w:rPr>
          <w:rFonts w:ascii="Times New Roman" w:hAnsi="Times New Roman"/>
          <w:color w:val="000000" w:themeColor="text1"/>
          <w:sz w:val="16"/>
          <w:szCs w:val="16"/>
          <w:lang w:eastAsia="ru-RU" w:bidi="ru-RU"/>
        </w:rPr>
        <w:softHyphen/>
        <w:t>ответствующего требованиям ВВС. Но для него отсутствовал мотор, который завод № 26 задерживал поставкой.</w:t>
      </w:r>
    </w:p>
    <w:p w14:paraId="321A1A3D"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На втором экземпляре эталона с це</w:t>
      </w:r>
      <w:r w:rsidRPr="00E93F40">
        <w:rPr>
          <w:rFonts w:ascii="Times New Roman" w:hAnsi="Times New Roman"/>
          <w:color w:val="000000" w:themeColor="text1"/>
          <w:sz w:val="16"/>
          <w:szCs w:val="16"/>
          <w:lang w:eastAsia="ru-RU" w:bidi="ru-RU"/>
        </w:rPr>
        <w:softHyphen/>
        <w:t>лью улучшения охлаждения мотора в бронекорпусе сделали воздушные ка</w:t>
      </w:r>
      <w:r w:rsidRPr="00E93F40">
        <w:rPr>
          <w:rFonts w:ascii="Times New Roman" w:hAnsi="Times New Roman"/>
          <w:color w:val="000000" w:themeColor="text1"/>
          <w:sz w:val="16"/>
          <w:szCs w:val="16"/>
          <w:lang w:eastAsia="ru-RU" w:bidi="ru-RU"/>
        </w:rPr>
        <w:softHyphen/>
        <w:t>налы. Охлаждение свечей системы зажи</w:t>
      </w:r>
      <w:r w:rsidRPr="00E93F40">
        <w:rPr>
          <w:rFonts w:ascii="Times New Roman" w:hAnsi="Times New Roman"/>
          <w:color w:val="000000" w:themeColor="text1"/>
          <w:sz w:val="16"/>
          <w:szCs w:val="16"/>
          <w:lang w:eastAsia="ru-RU" w:bidi="ru-RU"/>
        </w:rPr>
        <w:softHyphen/>
        <w:t>гания и продув внутреннего простран</w:t>
      </w:r>
      <w:r w:rsidRPr="00E93F40">
        <w:rPr>
          <w:rFonts w:ascii="Times New Roman" w:hAnsi="Times New Roman"/>
          <w:color w:val="000000" w:themeColor="text1"/>
          <w:sz w:val="16"/>
          <w:szCs w:val="16"/>
          <w:lang w:eastAsia="ru-RU" w:bidi="ru-RU"/>
        </w:rPr>
        <w:softHyphen/>
        <w:t>ства бронекорпуса обеспечивалось от</w:t>
      </w:r>
      <w:r w:rsidRPr="00E93F40">
        <w:rPr>
          <w:rFonts w:ascii="Times New Roman" w:hAnsi="Times New Roman"/>
          <w:color w:val="000000" w:themeColor="text1"/>
          <w:sz w:val="16"/>
          <w:szCs w:val="16"/>
          <w:lang w:eastAsia="ru-RU" w:bidi="ru-RU"/>
        </w:rPr>
        <w:softHyphen/>
        <w:t>верстием в лобовом листе, двумя за</w:t>
      </w:r>
      <w:r w:rsidRPr="00E93F40">
        <w:rPr>
          <w:rFonts w:ascii="Times New Roman" w:hAnsi="Times New Roman"/>
          <w:color w:val="000000" w:themeColor="text1"/>
          <w:sz w:val="16"/>
          <w:szCs w:val="16"/>
          <w:lang w:eastAsia="ru-RU" w:bidi="ru-RU"/>
        </w:rPr>
        <w:softHyphen/>
        <w:t>борниками воздуха в боковых листах бронекапота и двумя выходными броне- карманами за выхлопными патрубками мотора. В очередной раз переделали ма- слосистему, установили маслорадиатор увеличенных размеров и более мощную масляную помпу. На 1 сентября самолет находился в летном состоянии.</w:t>
      </w:r>
    </w:p>
    <w:p w14:paraId="2E6D5ACC"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Предполагалось, что если эти дора</w:t>
      </w:r>
      <w:r w:rsidRPr="00E93F40">
        <w:rPr>
          <w:rFonts w:ascii="Times New Roman" w:hAnsi="Times New Roman"/>
          <w:color w:val="000000" w:themeColor="text1"/>
          <w:sz w:val="16"/>
          <w:szCs w:val="16"/>
          <w:lang w:eastAsia="ru-RU" w:bidi="ru-RU"/>
        </w:rPr>
        <w:softHyphen/>
        <w:t>ботки не дадут нужных результатов, то планировалось снять нижний лист броне- капота самолета и вместо него установить специально профилированные воздуш</w:t>
      </w:r>
      <w:r w:rsidRPr="00E93F40">
        <w:rPr>
          <w:rFonts w:ascii="Times New Roman" w:hAnsi="Times New Roman"/>
          <w:color w:val="000000" w:themeColor="text1"/>
          <w:sz w:val="16"/>
          <w:szCs w:val="16"/>
          <w:lang w:eastAsia="ru-RU" w:bidi="ru-RU"/>
        </w:rPr>
        <w:softHyphen/>
        <w:t>ные каналы, закрытые броней, в которые помещались маслорадиатор и гликолевый радиатор. Срок готовности машины к за</w:t>
      </w:r>
      <w:r w:rsidRPr="00E93F40">
        <w:rPr>
          <w:rFonts w:ascii="Times New Roman" w:hAnsi="Times New Roman"/>
          <w:color w:val="000000" w:themeColor="text1"/>
          <w:sz w:val="16"/>
          <w:szCs w:val="16"/>
          <w:lang w:eastAsia="ru-RU" w:bidi="ru-RU"/>
        </w:rPr>
        <w:softHyphen/>
        <w:t>водским испытаниям в этом случае опре</w:t>
      </w:r>
      <w:r w:rsidRPr="00E93F40">
        <w:rPr>
          <w:rFonts w:ascii="Times New Roman" w:hAnsi="Times New Roman"/>
          <w:color w:val="000000" w:themeColor="text1"/>
          <w:sz w:val="16"/>
          <w:szCs w:val="16"/>
          <w:lang w:eastAsia="ru-RU" w:bidi="ru-RU"/>
        </w:rPr>
        <w:softHyphen/>
        <w:t>делялся не ранее 1 ноября 1932 г.</w:t>
      </w:r>
    </w:p>
    <w:p w14:paraId="34410646"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Учитывая фактическое состояние ра</w:t>
      </w:r>
      <w:r w:rsidRPr="00E93F40">
        <w:rPr>
          <w:rFonts w:ascii="Times New Roman" w:hAnsi="Times New Roman"/>
          <w:color w:val="000000" w:themeColor="text1"/>
          <w:sz w:val="16"/>
          <w:szCs w:val="16"/>
          <w:lang w:eastAsia="ru-RU" w:bidi="ru-RU"/>
        </w:rPr>
        <w:softHyphen/>
        <w:t>бот по ТШ-2, от ЦКБ ЦАГИ потребовали дать гарантии, что внесенные изменения в конструкцию бронекорпуса, систему ох</w:t>
      </w:r>
      <w:r w:rsidRPr="00E93F40">
        <w:rPr>
          <w:rFonts w:ascii="Times New Roman" w:hAnsi="Times New Roman"/>
          <w:color w:val="000000" w:themeColor="text1"/>
          <w:sz w:val="16"/>
          <w:szCs w:val="16"/>
          <w:lang w:eastAsia="ru-RU" w:bidi="ru-RU"/>
        </w:rPr>
        <w:softHyphen/>
        <w:t>лаждения и собственно в самолет будут окончательными и годными для запуска в серийное производство. В противном слу</w:t>
      </w:r>
      <w:r w:rsidRPr="00E93F40">
        <w:rPr>
          <w:rFonts w:ascii="Times New Roman" w:hAnsi="Times New Roman"/>
          <w:color w:val="000000" w:themeColor="text1"/>
          <w:sz w:val="16"/>
          <w:szCs w:val="16"/>
          <w:lang w:eastAsia="ru-RU" w:bidi="ru-RU"/>
        </w:rPr>
        <w:softHyphen/>
        <w:t>чае ВАО предлагало постройку ТШ-2 при</w:t>
      </w:r>
      <w:r w:rsidRPr="00E93F40">
        <w:rPr>
          <w:rFonts w:ascii="Times New Roman" w:hAnsi="Times New Roman"/>
          <w:color w:val="000000" w:themeColor="text1"/>
          <w:sz w:val="16"/>
          <w:szCs w:val="16"/>
          <w:lang w:eastAsia="ru-RU" w:bidi="ru-RU"/>
        </w:rPr>
        <w:softHyphen/>
        <w:t>остановить, а завод №16 временно пере</w:t>
      </w:r>
      <w:r w:rsidRPr="00E93F40">
        <w:rPr>
          <w:rFonts w:ascii="Times New Roman" w:hAnsi="Times New Roman"/>
          <w:color w:val="000000" w:themeColor="text1"/>
          <w:sz w:val="16"/>
          <w:szCs w:val="16"/>
          <w:lang w:eastAsia="ru-RU" w:bidi="ru-RU"/>
        </w:rPr>
        <w:softHyphen/>
        <w:t>ориентировать на изготовление агрегатов и узлов для других самолетостроительных заводов (№№21, 22 и т.д.).</w:t>
      </w:r>
    </w:p>
    <w:p w14:paraId="3D9A6DD1" w14:textId="77777777" w:rsidR="000606F9" w:rsidRPr="00E93F40" w:rsidRDefault="000606F9"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В этой связи начальник УВВС КА ком- кор Алкснис согласился ограничить про</w:t>
      </w:r>
      <w:r w:rsidRPr="00E93F40">
        <w:rPr>
          <w:rFonts w:ascii="Times New Roman" w:hAnsi="Times New Roman"/>
          <w:color w:val="000000" w:themeColor="text1"/>
          <w:sz w:val="16"/>
          <w:szCs w:val="16"/>
          <w:lang w:eastAsia="ru-RU" w:bidi="ru-RU"/>
        </w:rPr>
        <w:softHyphen/>
        <w:t>изводственную программу заводу №16 только 10 ТШ-2 М-17 войсковой серии, но при непременном условии, что ТШ-2 с мотором М-34 будет предъявлен на госи- спытания не позже 1 января 1933 г., а за</w:t>
      </w:r>
      <w:r w:rsidRPr="00E93F40">
        <w:rPr>
          <w:rFonts w:ascii="Times New Roman" w:hAnsi="Times New Roman"/>
          <w:color w:val="000000" w:themeColor="text1"/>
          <w:sz w:val="16"/>
          <w:szCs w:val="16"/>
          <w:lang w:eastAsia="ru-RU" w:bidi="ru-RU"/>
        </w:rPr>
        <w:softHyphen/>
        <w:t>вод будет готов к его серийному выпуску (21062).</w:t>
      </w:r>
    </w:p>
    <w:p w14:paraId="6873C237" w14:textId="77777777" w:rsidR="000606F9" w:rsidRPr="00E93F40" w:rsidRDefault="000606F9" w:rsidP="00E93F40">
      <w:pPr>
        <w:spacing w:after="0" w:line="240" w:lineRule="auto"/>
        <w:jc w:val="both"/>
        <w:rPr>
          <w:rFonts w:ascii="Times New Roman" w:hAnsi="Times New Roman"/>
          <w:color w:val="000000" w:themeColor="text1"/>
          <w:sz w:val="16"/>
          <w:szCs w:val="16"/>
        </w:rPr>
      </w:pPr>
    </w:p>
    <w:p w14:paraId="51F8CFCE"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сентябрю 1932 г. военные составили предварительные техтребования (скорее даже пожелания) на летающий танк:</w:t>
      </w:r>
    </w:p>
    <w:p w14:paraId="5148E741"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Боевой вес танка со всеми приспособлениями для летания в пределах 5-6 тонн.</w:t>
      </w:r>
    </w:p>
    <w:p w14:paraId="74DC8526"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Максимальная скорость на колесах 70 — 80 км/ч гусеницах 50 — 60 км/ч в воздухе 150 км потолок 1 — 3 км.</w:t>
      </w:r>
    </w:p>
    <w:p w14:paraId="4AECE928"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Тип движителя — колесно-гусеничный.</w:t>
      </w:r>
    </w:p>
    <w:p w14:paraId="7DB9822A"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Принцип подъемного аппарата для взлета — нормальные крылья или автожиры.</w:t>
      </w:r>
    </w:p>
    <w:p w14:paraId="50C36EE8"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Тип летательных приспособлений — съемные автоматически выключающиеся при посадке танка без выхода команды и одевающиеся при взлете с выходом команды.</w:t>
      </w:r>
    </w:p>
    <w:p w14:paraId="7482989D"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Продолжительность выключения летательного приспособления — 5 минут, продолжительность одевания летательного приспособления — 15 минут.</w:t>
      </w:r>
    </w:p>
    <w:p w14:paraId="5125B32C"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7. Потребная аэродромная площадь для посадки и взлета:</w:t>
      </w:r>
    </w:p>
    <w:p w14:paraId="2E578DCE"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 наличии автожира 100-200 м.</w:t>
      </w:r>
    </w:p>
    <w:p w14:paraId="6FE7E41C"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б) при наличии нормальных крыльев самолета до 500 м.</w:t>
      </w:r>
    </w:p>
    <w:p w14:paraId="2E2702EE"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Тип и мощность мотора — авиационный марки М-34. Допускается использование для охлаждения мотора этиленгликоль.</w:t>
      </w:r>
    </w:p>
    <w:p w14:paraId="29A82893"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Бронирование танка 8-6-4 мм.</w:t>
      </w:r>
    </w:p>
    <w:p w14:paraId="33294726"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Вооружение одна 45 мм пушка с круговым обстрелом спаренная с пулеметом. Один лобовой пулемет.</w:t>
      </w:r>
    </w:p>
    <w:p w14:paraId="519B5C0A"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Боеприпасы — артиллерийский комплект 50 снарядов. Пулеметный комплект 3000 патронов.</w:t>
      </w:r>
    </w:p>
    <w:p w14:paraId="5026C04D"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Команда 2 человека.</w:t>
      </w:r>
    </w:p>
    <w:p w14:paraId="79AC2D8D"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Запас горючего</w:t>
      </w:r>
    </w:p>
    <w:p w14:paraId="5D5C636C"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 движении по дорогам 150 км</w:t>
      </w:r>
    </w:p>
    <w:p w14:paraId="3C5F00F9"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б) при движении в воздухе 250 км.</w:t>
      </w:r>
    </w:p>
    <w:p w14:paraId="23B52906"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Бензобаки для движения танка по дорогам и для воздуха д.б. самостоятельными, однако при проектировании д.б. предусмотрена возможность использования всего запаса горючего как для движения по дорогам так и для движения в воздухе.</w:t>
      </w:r>
    </w:p>
    <w:p w14:paraId="77F3997A"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Для получения указанного боевого веса допускается применение легких сплавов и специальных высококачественных сталей.</w:t>
      </w:r>
    </w:p>
    <w:p w14:paraId="5753D667"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Указанные требования являются ориентировочными и могут быть изменены в соответствии с данными, полученными в результате предварительного эскизного проекта и расчетов»*.</w:t>
      </w:r>
    </w:p>
    <w:p w14:paraId="46551BA3" w14:textId="77777777" w:rsidR="004C6ED2" w:rsidRPr="00E93F40" w:rsidRDefault="004C6E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предельно сжатые сроки были готовы предложения изобретателей, на основе которых были выработаны более детальные требования на «самолетающий» танк с крыльями и «с автожиром» (24266).</w:t>
      </w:r>
    </w:p>
    <w:p w14:paraId="4A121D79" w14:textId="77777777" w:rsidR="004C6ED2" w:rsidRPr="00E93F40" w:rsidRDefault="004C6ED2" w:rsidP="00E93F40">
      <w:pPr>
        <w:spacing w:after="0" w:line="240" w:lineRule="auto"/>
        <w:jc w:val="both"/>
        <w:rPr>
          <w:rFonts w:ascii="Times New Roman" w:hAnsi="Times New Roman"/>
          <w:color w:val="000000" w:themeColor="text1"/>
          <w:sz w:val="16"/>
          <w:szCs w:val="16"/>
        </w:rPr>
      </w:pPr>
    </w:p>
    <w:p w14:paraId="29A132A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81FE6B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E3A67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сентября по 17 октября 1932 состоялось гос. испытание санитарного У-2 (6778).</w:t>
      </w:r>
    </w:p>
    <w:p w14:paraId="3A7714B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620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по 17 сентября 1932 состоялись испытаний санитарного самолета С-1, М-11 N 3489 с мотором М-11, Е=4,95 N 8416, винт Д=2,40 м Н=1,52</w:t>
      </w:r>
    </w:p>
    <w:p w14:paraId="1D3F1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18CEDB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 ведущий самолет Мируц</w:t>
      </w:r>
    </w:p>
    <w:p w14:paraId="52CA25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Никитин</w:t>
      </w:r>
    </w:p>
    <w:p w14:paraId="3014AC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испытаний.</w:t>
      </w:r>
    </w:p>
    <w:p w14:paraId="2438E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Выявление санитарных и летных качеств самолета и их оценка с точки зрения требований, предъявляемых к санитарному самолету.</w:t>
      </w:r>
    </w:p>
    <w:p w14:paraId="355023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вывод.</w:t>
      </w:r>
    </w:p>
    <w:p w14:paraId="5E5DC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Считать необходимым выпустить серию машин (10-15 штук) для опытной эксплуатации Санитарным управлением РККА и Обществом Красного Креста (3067,34-63).</w:t>
      </w:r>
    </w:p>
    <w:p w14:paraId="4FE15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598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было закончено изготовление первого экз. мотора М-58, а второго - 1 января 1933 и третьего - 1 июля 1933 (2310,130).</w:t>
      </w:r>
    </w:p>
    <w:p w14:paraId="6C416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8C8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 Войшицкий писал письмо начальнику ВВС</w:t>
      </w:r>
    </w:p>
    <w:p w14:paraId="3D7A35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Ознакомившись по Вашему приказанию с ходом работ Осконпробюро Гроховского по выполнению задания, поставленного ПКРККА, по АТСП (авиационно-техническим средствам пропаганды), докладываю:</w:t>
      </w:r>
    </w:p>
    <w:p w14:paraId="14733D2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Изготовлены и готовы для испытания следующие объекты:</w:t>
      </w:r>
    </w:p>
    <w:p w14:paraId="23FDF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АТСП-3 дистанционная агитбомба с парашютом на 15 кг литературы – изготовлена в 10 экземплярах</w:t>
      </w:r>
    </w:p>
    <w:p w14:paraId="6111BB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АТСП-4 ударная агитбомба (на 3,5 кг литературы), выбрасывающая литературу вверх вышибным зарядом после падения на землю - изготовлена в 20 экземплярах</w:t>
      </w:r>
    </w:p>
    <w:p w14:paraId="0065F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АТСП-6 подкрыльная кассета для литератры (с дистанционным приспособлением Кольцова) для самолета Р-5 – изготовлен 1 комплект (2 кассеты).</w:t>
      </w:r>
    </w:p>
    <w:p w14:paraId="63C1C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АТСП-8 малая агитмина для вертикального залистования (сбрасывается и летит как обычная бомба) – изготовлено 4 шт.</w:t>
      </w:r>
    </w:p>
    <w:p w14:paraId="1AF348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Агит-змей (запускаемый с земли парашют) для разбрасывания литературы – изготовлена 1 установка</w:t>
      </w:r>
    </w:p>
    <w:p w14:paraId="0229128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Объекты, находящиеся в постройке</w:t>
      </w:r>
    </w:p>
    <w:p w14:paraId="7CB7A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АТСП-1 кассета горизонтального залистования для ТБ-1 на 1500 кг литературы – изготовляется в 1 экземпляре</w:t>
      </w:r>
    </w:p>
    <w:p w14:paraId="2D8C3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Большая агитмина для вертикального залистования – изготовляется</w:t>
      </w:r>
    </w:p>
    <w:p w14:paraId="770855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Бронированная громкоговорительная установка для танков и бронемашин – изготовлена в виде макета без брони</w:t>
      </w:r>
    </w:p>
    <w:p w14:paraId="15C3714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Объекты, находящиеся в разработке:</w:t>
      </w:r>
    </w:p>
    <w:p w14:paraId="05DD6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для радиовещания с самолета (опускающийся с самолета на тросе громкоговоритель) –разработка не ведется из-за отсутствия громкоговорителей достаточной мощности</w:t>
      </w:r>
    </w:p>
    <w:p w14:paraId="1A1FF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агитпланер (для разбрасывания литературы) – к разработке еще не приступлено</w:t>
      </w:r>
    </w:p>
    <w:p w14:paraId="56DE5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Бронированный громкоговоритель, сбрасываемый на парашюте - к разработке еще не приступлено</w:t>
      </w:r>
    </w:p>
    <w:p w14:paraId="2AFA66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АТСП-5 ударная агитмина, аналогичная АТСП-4, но с длительным замедлением – в стадии разработки</w:t>
      </w:r>
    </w:p>
    <w:p w14:paraId="634423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для сбрасывания больших грузов одновременно - в стадии разработки</w:t>
      </w:r>
    </w:p>
    <w:p w14:paraId="48043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Перечисленные объекты (из которых некоторые представляли бы в случае их полной доработки определенный интерес) готовятся к демонстрации на предстоящих Ленинградских маневрах, причем для своего применения не требуют обязательно самолета АНТ-9, а могут быть подвешены, в зависимости от своего веса и размеров, на самолетах Р-5 или ТБ-1. На самолете же АНТ-9 Гроховский настаивает, очевидно, потому что таковой позволит наиболее просто напихать в него все перечисленные объекты, что по мнению Гроховского и составит понятие "агит-самолет".</w:t>
      </w:r>
    </w:p>
    <w:p w14:paraId="6545E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вдаваясь в оценку всех работ Осконпробюро, пользуясь случаем, считаю нужным доложить следующее, по моему мнению, ненормальные методы и приемы работ Осконпробюро:</w:t>
      </w:r>
    </w:p>
    <w:p w14:paraId="46B4A0D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Бюро сплошь пронизаны показной стороной и эффектным демонстрациям уделяется значительная часть сил и средств, доведением же объектов до законченного образца Бюро занимается совершенно недостаточно.</w:t>
      </w:r>
    </w:p>
    <w:p w14:paraId="1A8B161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Планы работ и перечень объектов не согласованы с действительной потребностью в таковых ВВС и зачастую являются безграмотными.</w:t>
      </w:r>
    </w:p>
    <w:p w14:paraId="64DA9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Ярким примером тактической безграмотности являются прилагаемые соображения Гроховского, положенные в основу создания агит-самолета из АНТ-9, читая которые трудно решить чего в них больше – фантазии или арапства, в результате чего такое нужное и важное средство технической пропаганды, как агит-самолет превращается в какой-то ярмарочный балаган.</w:t>
      </w:r>
    </w:p>
    <w:p w14:paraId="303A8E8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методам работ бюро следует также отнести и погоню за громко звучащими названиями, зачастую совершенно не соответствующими действительности и имеющими чисто рекламный характер. Например, радиотанк на деле оказывается обычной громкоговорительной установкой, устанавливаемой на танки или бронемашины под броневым колпаком или вертикальная агитмина, или агитграната, представляющие собой на самом деле разновидность агитбомб.</w:t>
      </w:r>
    </w:p>
    <w:p w14:paraId="517BB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Докладывая изложенное, считаю необходимым проведение следующих неотложных мероприятий:</w:t>
      </w:r>
    </w:p>
    <w:p w14:paraId="12977E0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Назначения авторитетной комиссии, свободной от всяких давлений извне, для подробной проверки и ревизии работ и деятельности Осконпробюро, которая ознакомившись с построенными и проектируемыми объектами на месте – решила бы, какие из них нужно дорабатывать и какеие отставить как не имеющие ценности.</w:t>
      </w:r>
    </w:p>
    <w:p w14:paraId="58C9B0D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на будущее время такой порядок дачи заданий Осконпробюро, при котором таковые предварительно утверждались бы в соответствии с потребностями ВВС.</w:t>
      </w:r>
    </w:p>
    <w:p w14:paraId="4C924F6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Дать бюро жесткие указания об обязательном соблюдении при изготовлении всякого вида бомб, грузовых мешков и тому подобных объектов – габаритов принятых на вооружение авиабомб; и допускать их подвеску только на существующие бомбодержатели, за исключением громоздких объектов, требующих специальной подвески, причем объекты должны изготовляться как правило, не под один какой-либо тип самолета, а под классы их в зависимости от потребной грузоподъемности.</w:t>
      </w:r>
    </w:p>
    <w:p w14:paraId="23FDA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Выдвигаемый Гроховским второй мотив о необходимости наряжения Осконпробюро АНТ-9 для работ по переливке горючего в воздухе в боевые машины более основателен, но требует Вашего принципиального решения о целесообразности и необходимости подобного использования самолета АНТ-9 и во всяком случае несовместим ни в какой мере с "агит-самолетом".</w:t>
      </w:r>
    </w:p>
    <w:p w14:paraId="55DD70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соображения Гроховского "агит-самолетом АНТ-9" (7470, 345-346).</w:t>
      </w:r>
    </w:p>
    <w:p w14:paraId="2B3E4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362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М.Г.Забелин установил рекорд высотного прыжка, прыгнув с 6200 м и летел 18 минут без кислорода (438,634).</w:t>
      </w:r>
    </w:p>
    <w:p w14:paraId="2B7BB7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33F8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 сентября 1932 М. Забелин поднял высоту прыжка еще на тысячу метров до 6200 м. Но пока это были единичные прыжки. Много оставалось еще неясного (11312).</w:t>
      </w:r>
    </w:p>
    <w:p w14:paraId="18D476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A93E49" w14:textId="77777777" w:rsidR="000D35EB" w:rsidRPr="00E93F40" w:rsidRDefault="000D35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 инструктор парашютного деда ВВС Михаил Георгиевич Забелин установил новый рекорд высотного прыжка, спустившись о высоты 6200 м. Прыжок был совершен без кислородного прибора и продолжался 18 минут. Прежний рекорд 5200 м был установлен 18 авг.</w:t>
      </w:r>
    </w:p>
    <w:p w14:paraId="2EC74EDD" w14:textId="77777777" w:rsidR="000D35EB" w:rsidRPr="00E93F40" w:rsidRDefault="000D35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 Забелин. Прыжок с парашютом, 1933;«Красная звезда» за 15 окт. 1932 г./ (23370).</w:t>
      </w:r>
    </w:p>
    <w:p w14:paraId="2F292DAE" w14:textId="77777777" w:rsidR="000D35EB" w:rsidRPr="00E93F40" w:rsidRDefault="000D35EB" w:rsidP="00E93F40">
      <w:pPr>
        <w:spacing w:after="0" w:line="240" w:lineRule="auto"/>
        <w:jc w:val="both"/>
        <w:rPr>
          <w:rFonts w:ascii="Times New Roman" w:hAnsi="Times New Roman"/>
          <w:color w:val="000000" w:themeColor="text1"/>
          <w:sz w:val="16"/>
          <w:szCs w:val="16"/>
        </w:rPr>
      </w:pPr>
    </w:p>
    <w:p w14:paraId="29DC589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53EDB6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7744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первый прототип Т-35 был показан представителям УММ РККА во главе с Бокисом. На присутствующих машина произвела сильное впечатление. Внешне Т-35 оказался похожим на английский опытный пятибашенный танк А1Е1 "Индепендент" фирмы "Виккерс", построенный в 1929 году. Принято считать, что Т-35 создан по типу "Индепендента", однако в российских архивах нет данных о том, что Советская закупочная комиссия, находившаяся в Англии в 1930 году, интересовалась этой машиной. Скорее всего, что советские конструкторы пришли к пятибашенной схеме самостоятельно, как наиболее рациональной, независимо от своих английских коллег (3862).</w:t>
      </w:r>
    </w:p>
    <w:p w14:paraId="23CBE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главной башне Т-35-1 должна была размещаться 76-мм танковая пушка, повышенной мощности ПС-3 и пулемет ДТ в шаровой установке. Но из-за отсутствия орудия, в танке был смонтирован только его макет. В четырех малых башнях, одинаковой конструкции, располагались (по диагонали) две 37-мм пушки ПС-2 и два ДТ. Еще один пулемет ДТ, установили в лобовом листе корпуса (курсовой) (3862).</w:t>
      </w:r>
    </w:p>
    <w:p w14:paraId="5FDEF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Ходовая часть машины, применительно к одному борту, состояла из шести опорных катков среднего диаметра, сгруппированных попарно в три тележки, шести поддерживающих роликов, направляющего и ведущего колес. Тележки опорных катков были сконструированы по типу подвески немецкого танка "Гросстрактор" фирмы "Крупп". Однако советские конструкторы значительно улучшили принцип работы подвески, примененной на "Гросстракторе" (3862).</w:t>
      </w:r>
    </w:p>
    <w:p w14:paraId="09040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Моторно-трансмиссионную группу Т-35-1 изготовили с учетом опыта работы над танком ТГ-1. Она состояла из карбюраторного двигателя М-6, главного фрикциона, коробки передач с шестернями шевронного зацепления и бортовых фрикционов (3862).</w:t>
      </w:r>
    </w:p>
    <w:p w14:paraId="79CE2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управления ими использовалась пневматическая система, что делало процесс вождения машины массой 38 тонн чрезвычайно легким. Правда в ходе испытаний осенью 1932 года, выявился ряд недостатков в силовой установке танка. Кроме того, стало ясно что для серийного производства конструкция трансмиссии и пневмоуправления является слишком сложной и дорогой. Поэтому работы по Т-35-1 прекратили и в конце 1932 года опытный образец передали Ленинградским бронетанковым курсам усовершенствования командного состава (ЛБТКУКС) для подготовки командиров (3862).</w:t>
      </w:r>
    </w:p>
    <w:p w14:paraId="76086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E8B8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первый прототип Т-35 был по</w:t>
      </w:r>
      <w:r w:rsidRPr="00E93F40">
        <w:rPr>
          <w:rFonts w:ascii="Times New Roman" w:hAnsi="Times New Roman"/>
          <w:color w:val="000000" w:themeColor="text1"/>
          <w:sz w:val="16"/>
          <w:szCs w:val="16"/>
        </w:rPr>
        <w:softHyphen/>
        <w:t>казан представителям Заказчика - УММ РККА во главе с Бокисом, тогда как первоначально в сен</w:t>
      </w:r>
      <w:r w:rsidRPr="00E93F40">
        <w:rPr>
          <w:rFonts w:ascii="Times New Roman" w:hAnsi="Times New Roman"/>
          <w:color w:val="000000" w:themeColor="text1"/>
          <w:sz w:val="16"/>
          <w:szCs w:val="16"/>
        </w:rPr>
        <w:softHyphen/>
        <w:t>тябре планировалось уже принять танк на вооружение. Присутствующих на показе, уже видевших в статике и на ходу «Риккардо», «Рено», МС-1, Т-12, «Гросстрактор» и ТГ, новый танк, несомненно, поразил:</w:t>
      </w:r>
    </w:p>
    <w:p w14:paraId="0CF77C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 оставляет самое благоприятное впечатление... Он имеет пять башенъ, равномерно распределенных по сторонам и содержащих очень мощное вооружение: длинноствольную 76-мм полуавтоматическую пушку, две 37-мм полуавтома</w:t>
      </w:r>
      <w:r w:rsidRPr="00E93F40">
        <w:rPr>
          <w:rFonts w:ascii="Times New Roman" w:hAnsi="Times New Roman"/>
          <w:color w:val="000000" w:themeColor="text1"/>
          <w:sz w:val="16"/>
          <w:szCs w:val="16"/>
        </w:rPr>
        <w:softHyphen/>
        <w:t>тические пушки, четыре пулемета ДТ-29, два пулемета ДП-27. Команда танка — 8 человек... Размеры танка позволят ему легко преодолевать любые вражеские укрепления без сни</w:t>
      </w:r>
      <w:r w:rsidRPr="00E93F40">
        <w:rPr>
          <w:rFonts w:ascii="Times New Roman" w:hAnsi="Times New Roman"/>
          <w:color w:val="000000" w:themeColor="text1"/>
          <w:sz w:val="16"/>
          <w:szCs w:val="16"/>
        </w:rPr>
        <w:softHyphen/>
        <w:t>жения скорости хода... В лице этого танка мы имеем сегодня весьма сильную боевую машину, предназначенную для качест</w:t>
      </w:r>
      <w:r w:rsidRPr="00E93F40">
        <w:rPr>
          <w:rFonts w:ascii="Times New Roman" w:hAnsi="Times New Roman"/>
          <w:color w:val="000000" w:themeColor="text1"/>
          <w:sz w:val="16"/>
          <w:szCs w:val="16"/>
        </w:rPr>
        <w:softHyphen/>
        <w:t>венного усиления стрелковых (в обороне) и броневых (в на</w:t>
      </w:r>
      <w:r w:rsidRPr="00E93F40">
        <w:rPr>
          <w:rFonts w:ascii="Times New Roman" w:hAnsi="Times New Roman"/>
          <w:color w:val="000000" w:themeColor="text1"/>
          <w:sz w:val="16"/>
          <w:szCs w:val="16"/>
        </w:rPr>
        <w:softHyphen/>
        <w:t>ступлении) сил республики...» - делился своими впечатле</w:t>
      </w:r>
      <w:r w:rsidRPr="00E93F40">
        <w:rPr>
          <w:rFonts w:ascii="Times New Roman" w:hAnsi="Times New Roman"/>
          <w:color w:val="000000" w:themeColor="text1"/>
          <w:sz w:val="16"/>
          <w:szCs w:val="16"/>
        </w:rPr>
        <w:softHyphen/>
        <w:t>ниями после демонстрации Т-35 представитель УММ В. Перельман в письме на имя К. Ворошилова. Однако испытания танка «на ходу» принесли много не</w:t>
      </w:r>
      <w:r w:rsidRPr="00E93F40">
        <w:rPr>
          <w:rFonts w:ascii="Times New Roman" w:hAnsi="Times New Roman"/>
          <w:color w:val="000000" w:themeColor="text1"/>
          <w:sz w:val="16"/>
          <w:szCs w:val="16"/>
        </w:rPr>
        <w:softHyphen/>
        <w:t>приятных неожиданностей. Хоть в управлении танк ока</w:t>
      </w:r>
      <w:r w:rsidRPr="00E93F40">
        <w:rPr>
          <w:rFonts w:ascii="Times New Roman" w:hAnsi="Times New Roman"/>
          <w:color w:val="000000" w:themeColor="text1"/>
          <w:sz w:val="16"/>
          <w:szCs w:val="16"/>
        </w:rPr>
        <w:softHyphen/>
        <w:t>зался чрезвычайно легким даже на пересеченной местнос</w:t>
      </w:r>
      <w:r w:rsidRPr="00E93F40">
        <w:rPr>
          <w:rFonts w:ascii="Times New Roman" w:hAnsi="Times New Roman"/>
          <w:color w:val="000000" w:themeColor="text1"/>
          <w:sz w:val="16"/>
          <w:szCs w:val="16"/>
        </w:rPr>
        <w:softHyphen/>
        <w:t>ти, но постоянно отказывала система пневмоуправления, перегревался двигатель, подтекала топливная система, не работало 76-мм орудие ПС-3. Танк ремонтировался, дора</w:t>
      </w:r>
      <w:r w:rsidRPr="00E93F40">
        <w:rPr>
          <w:rFonts w:ascii="Times New Roman" w:hAnsi="Times New Roman"/>
          <w:color w:val="000000" w:themeColor="text1"/>
          <w:sz w:val="16"/>
          <w:szCs w:val="16"/>
        </w:rPr>
        <w:softHyphen/>
        <w:t>батывался, потом вновь «учился ходить». Итогом осенних испытаний 1932 г. стало то, что на системе управления по типу ТГ был поставлен крест, а также приняли решение по установке более мощного двигателя водяного охлаждения, «как обеспечивающего более надежную работу в малом забро</w:t>
      </w:r>
      <w:r w:rsidRPr="00E93F40">
        <w:rPr>
          <w:rFonts w:ascii="Times New Roman" w:hAnsi="Times New Roman"/>
          <w:color w:val="000000" w:themeColor="text1"/>
          <w:sz w:val="16"/>
          <w:szCs w:val="16"/>
        </w:rPr>
        <w:softHyphen/>
        <w:t>нированном объеме. Тогда же отказались от установки на танк полусферической штампованной башни и переходе на клепано-сварную цилиндрическую как более приспособ</w:t>
      </w:r>
      <w:r w:rsidRPr="00E93F40">
        <w:rPr>
          <w:rFonts w:ascii="Times New Roman" w:hAnsi="Times New Roman"/>
          <w:color w:val="000000" w:themeColor="text1"/>
          <w:sz w:val="16"/>
          <w:szCs w:val="16"/>
        </w:rPr>
        <w:softHyphen/>
        <w:t>ленную к серийному производству (10733,261).</w:t>
      </w:r>
    </w:p>
    <w:p w14:paraId="0D6B156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205EBD" w14:textId="77777777" w:rsidR="00106A07" w:rsidRPr="00E93F40" w:rsidRDefault="00106A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Т-35 был показан представителям УММ РККА во главе с Бокисом. На присутствующих машина произвела сильное впечатление. Внешне Т-35 оказался, похожим на английский опытный пятибашенный танк А1Е1 «Индепендент» фирмы «Виккерс». Принято считать, что Т-35 создан по типу «Индепендента» (15117).</w:t>
      </w:r>
    </w:p>
    <w:p w14:paraId="54DF6874" w14:textId="77777777" w:rsidR="00106A07" w:rsidRPr="00E93F40" w:rsidRDefault="00106A07" w:rsidP="00E93F40">
      <w:pPr>
        <w:spacing w:after="0" w:line="240" w:lineRule="auto"/>
        <w:jc w:val="both"/>
        <w:rPr>
          <w:rFonts w:ascii="Times New Roman" w:hAnsi="Times New Roman"/>
          <w:color w:val="000000" w:themeColor="text1"/>
          <w:sz w:val="16"/>
          <w:szCs w:val="16"/>
        </w:rPr>
      </w:pPr>
    </w:p>
    <w:p w14:paraId="7AA6CD6D"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сентября 1932 г. танк Т-35-1 был пока</w:t>
      </w:r>
      <w:r w:rsidRPr="00142305">
        <w:rPr>
          <w:rFonts w:ascii="Times New Roman" w:hAnsi="Times New Roman"/>
          <w:color w:val="0070C0"/>
          <w:sz w:val="16"/>
          <w:szCs w:val="16"/>
        </w:rPr>
        <w:softHyphen/>
        <w:t>зан представителям УММ РККА во главе с Г. Бокисом, на которых произвел сильное впечатление. Часто пишут, что Т-35 был из</w:t>
      </w:r>
      <w:r w:rsidRPr="00142305">
        <w:rPr>
          <w:rFonts w:ascii="Times New Roman" w:hAnsi="Times New Roman"/>
          <w:color w:val="0070C0"/>
          <w:sz w:val="16"/>
          <w:szCs w:val="16"/>
        </w:rPr>
        <w:softHyphen/>
        <w:t>готовлен по типу английского танка А1Е1 «Индепендент». Однако как уже говорилось выше, это не соответствует действительно</w:t>
      </w:r>
      <w:r w:rsidRPr="00142305">
        <w:rPr>
          <w:rFonts w:ascii="Times New Roman" w:hAnsi="Times New Roman"/>
          <w:color w:val="0070C0"/>
          <w:sz w:val="16"/>
          <w:szCs w:val="16"/>
        </w:rPr>
        <w:softHyphen/>
        <w:t>сти. Возможно, была использована только схема размещения башен, хотя не исключен вариант, при котором к аналогичной схеме советские конструкторы могли придти са</w:t>
      </w:r>
      <w:r w:rsidRPr="00142305">
        <w:rPr>
          <w:rFonts w:ascii="Times New Roman" w:hAnsi="Times New Roman"/>
          <w:color w:val="0070C0"/>
          <w:sz w:val="16"/>
          <w:szCs w:val="16"/>
        </w:rPr>
        <w:softHyphen/>
        <w:t>мостоятельно. Кроме того, Т-35 отличался от английской машины более мощным воо</w:t>
      </w:r>
      <w:r w:rsidRPr="00142305">
        <w:rPr>
          <w:rFonts w:ascii="Times New Roman" w:hAnsi="Times New Roman"/>
          <w:color w:val="0070C0"/>
          <w:sz w:val="16"/>
          <w:szCs w:val="16"/>
        </w:rPr>
        <w:softHyphen/>
        <w:t>ружением, имел иную конструкцию ходовой части и трансмиссию (25014).</w:t>
      </w:r>
    </w:p>
    <w:p w14:paraId="6C23DA69" w14:textId="77777777" w:rsidR="00A3140F" w:rsidRPr="00142305" w:rsidRDefault="00A3140F" w:rsidP="00A3140F">
      <w:pPr>
        <w:spacing w:after="0" w:line="240" w:lineRule="auto"/>
        <w:jc w:val="both"/>
        <w:rPr>
          <w:rFonts w:ascii="Times New Roman" w:hAnsi="Times New Roman"/>
          <w:color w:val="0070C0"/>
          <w:sz w:val="16"/>
          <w:szCs w:val="16"/>
        </w:rPr>
      </w:pPr>
    </w:p>
    <w:p w14:paraId="46B4D1ED" w14:textId="77777777" w:rsidR="00A3140F"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сентября 1932 г. в руководимой И.С. Бером Секции исследования по оригиналу танка БТ – танка Кристи были закончены работы по исследованию деталей и механизмов одного из опытных шасси танков Кристи. Проведение этих работ в КБ Т2К было вызвано необходимостью установить причины низкой надежности серийно выпускавшегося танка БТ. В течение пяти месяцев в КБ Т2К были определены: точные размеры всех деталей и механизмов, а также допуски; величины радиальных и торцевых биений; зазоры в зубьях шестерен. Проведен химические и металлографические анализы деталей, определен точный вес деталей. Составлен полный комплект сборочных чертежей и чертежей деталей.</w:t>
      </w:r>
    </w:p>
    <w:p w14:paraId="367EEC40" w14:textId="21E6567A"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Необходимо отметить, что к тому моменту, когда в КБ Т2К были завершены работы по всестороннему исследованию конструкции танка Кристи, большая часть недостатков в конструкции танка БТ была устранена и что все результаты этой работы способствовали становлению конструкторов в новом для них «танковом деле» (25046).</w:t>
      </w:r>
    </w:p>
    <w:p w14:paraId="3E3A21B3" w14:textId="77777777" w:rsidR="00A3140F" w:rsidRPr="00142305" w:rsidRDefault="00A3140F" w:rsidP="00A3140F">
      <w:pPr>
        <w:spacing w:after="0" w:line="240" w:lineRule="auto"/>
        <w:jc w:val="both"/>
        <w:rPr>
          <w:rFonts w:ascii="Times New Roman" w:hAnsi="Times New Roman"/>
          <w:color w:val="0070C0"/>
          <w:sz w:val="16"/>
          <w:szCs w:val="16"/>
        </w:rPr>
      </w:pPr>
    </w:p>
    <w:p w14:paraId="2BFE8443" w14:textId="3AE5F5E2" w:rsidR="00F04E3F" w:rsidRPr="00E93F40" w:rsidRDefault="00F04E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сентября 1932 г. ХПЗ смог изготовить только 76 танков БТ из запланированных на этот год 482. Но первоначальная программа составляла даже больше - 900 танков и была занижена в течение 1932 года. Качество всех выпускаемых машин при этом оставалось крайне низким, поэтому все они шли только в учебные части. Аналогичным образом ситуация развивалась на ленинградском заводе им. Ворошилова, который выпустил только 362 танка Т-26 вместо 1660 машин по первоначальной программе и 1200 - по сниженной. При этом 19 танков из них сданы как учебные (т. е. низкого качества) и 22 без башен. Во многом танковое производство на заводе сдерживали поставщики комплектующих («Красный Путиловец», «Красный Октябрь» и № 7 ВОАО), которые тоже выполняли свою программу с колоссальными издержками.</w:t>
      </w:r>
    </w:p>
    <w:p w14:paraId="5E24BA48" w14:textId="77777777" w:rsidR="00F04E3F" w:rsidRPr="00E93F40" w:rsidRDefault="00F04E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Серьезный провал в освоении сборки танков к концу года невольно позволил нивелировать недостатки бронепроизводства. Еще в начале 1932 г. выпуск броневого проката отставал даже от сборочного производства, но к середине года ситуация выправилась. Хотя только два из четырех металлургических заводов освоили выпуск брони, но и они продолжали работать значительно ниже установленных планов: на 1 сентября броневая программа была выполнена Ижорским заводом на 38 %, Мариупольским - на 25 %. В течение 1932 г. металлургические заводы освоили новый тип брони, поскольку прежний углеродистый цементированный вариант, во-первых, требовал дефицитных импортных ферросплавных присадок (никеля и молибдена), а во-вторых, оказался слишком сложным в производстве, «давая... почти 100-процентный брак». Ижорский завод перешел на хромо-кремнисто-марганцовистую сталь марки «ПИ», а Мариупольский - на двухслойную марганцовистую марку «МИ». Во второй половине года на Кулебакском заводе осуществлялись опытные плавки из двухслойной марганцовистой стали, но серийное производство предприятие пока еще не освоило.</w:t>
      </w:r>
    </w:p>
    <w:p w14:paraId="420B41FC" w14:textId="77777777" w:rsidR="00F04E3F" w:rsidRPr="00E93F40" w:rsidRDefault="00F04E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тип броневой стали выглядел, безусловно, более перспективным, но и он не мог решить всех проблем бронепроизводства. Броневые листы из такого металла приходилось делать более толстыми: вместо 13- и 10-мм цементированной брони на танк Т-26 ставилась броня марки «ПИ» 15-мм толщины, что приводило к утяжелению корпуса до 800 кг1. Следовательно, увеличивался общий вес боевой машины, на который танк не был рассчитан. Но проблема качества не была решена полностью (23536).</w:t>
      </w:r>
    </w:p>
    <w:p w14:paraId="44EF349E" w14:textId="77777777" w:rsidR="00F04E3F" w:rsidRPr="00E93F40" w:rsidRDefault="00F04E3F" w:rsidP="00E93F40">
      <w:pPr>
        <w:spacing w:after="0" w:line="240" w:lineRule="auto"/>
        <w:jc w:val="both"/>
        <w:rPr>
          <w:rFonts w:ascii="Times New Roman" w:hAnsi="Times New Roman"/>
          <w:color w:val="000000" w:themeColor="text1"/>
          <w:sz w:val="16"/>
          <w:szCs w:val="16"/>
        </w:rPr>
      </w:pPr>
    </w:p>
    <w:p w14:paraId="19B70448" w14:textId="77777777" w:rsidR="003F2C79" w:rsidRPr="00E93F40" w:rsidRDefault="003F2C7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114. 16. О закупке судов. (ПБ от 16 июля 1932 г., пр. № 108, п. 47). — ОП. (Политбюро... Т. 2. С. 347) (12416).</w:t>
      </w:r>
    </w:p>
    <w:p w14:paraId="1D2C0557" w14:textId="77777777" w:rsidR="003F2C79" w:rsidRPr="00E93F40" w:rsidRDefault="003F2C79" w:rsidP="00E93F40">
      <w:pPr>
        <w:spacing w:after="0" w:line="240" w:lineRule="auto"/>
        <w:jc w:val="both"/>
        <w:rPr>
          <w:rFonts w:ascii="Times New Roman" w:hAnsi="Times New Roman"/>
          <w:color w:val="000000" w:themeColor="text1"/>
          <w:sz w:val="16"/>
          <w:szCs w:val="16"/>
          <w:u w:color="002060"/>
        </w:rPr>
      </w:pPr>
    </w:p>
    <w:p w14:paraId="3CD5A383" w14:textId="77777777" w:rsidR="003F2C79" w:rsidRPr="00E93F40" w:rsidRDefault="003F2C79"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1 сентября 1932</w:t>
      </w:r>
      <w:r w:rsidRPr="00E93F40">
        <w:rPr>
          <w:rFonts w:ascii="Times New Roman" w:hAnsi="Times New Roman"/>
          <w:color w:val="000000" w:themeColor="text1"/>
          <w:sz w:val="16"/>
          <w:szCs w:val="16"/>
        </w:rPr>
        <w:t>Политбюро ЦК ВКП (б) приняло решения: отложить ремонт Харьковского тракторного завода до 1 октября 1932 г., направить комиссии на металлургические заводы в Ленинград, Сталинград и Сталино для обеспечения тракторных заводов металлом (12265).</w:t>
      </w:r>
    </w:p>
    <w:p w14:paraId="6AEEA850" w14:textId="0009FEE2" w:rsidR="003F2C79" w:rsidRPr="00E93F40" w:rsidRDefault="007C1411"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rPr>
        <w:t xml:space="preserve"> </w:t>
      </w:r>
      <w:r w:rsidR="003F2C79" w:rsidRPr="00E93F40">
        <w:rPr>
          <w:rFonts w:ascii="Times New Roman" w:hAnsi="Times New Roman"/>
          <w:color w:val="000000" w:themeColor="text1"/>
          <w:sz w:val="16"/>
          <w:szCs w:val="16"/>
          <w:u w:color="002060"/>
        </w:rPr>
        <w:t>2 сентября</w:t>
      </w:r>
      <w:r w:rsidR="003F2C79" w:rsidRPr="00E93F40">
        <w:rPr>
          <w:rFonts w:ascii="Times New Roman" w:hAnsi="Times New Roman"/>
          <w:color w:val="000000" w:themeColor="text1"/>
          <w:sz w:val="16"/>
          <w:szCs w:val="16"/>
        </w:rPr>
        <w:t xml:space="preserve"> 1932 г</w:t>
      </w:r>
      <w:r w:rsidR="003F2C79" w:rsidRPr="00E93F40">
        <w:rPr>
          <w:rFonts w:ascii="Times New Roman" w:hAnsi="Times New Roman"/>
          <w:color w:val="000000" w:themeColor="text1"/>
          <w:sz w:val="16"/>
          <w:szCs w:val="16"/>
          <w:u w:color="002060"/>
        </w:rPr>
        <w:t>. Постановление СТО СССР и Комиссии обороны № 1090/329сс о выделении кранов «Деррик» для монтажа батарей на Дальнем Востоке (ГА РФ. Ф. Р?8418. Оп. 28. Д. 1а. Л. 337) (12415).</w:t>
      </w:r>
    </w:p>
    <w:p w14:paraId="60BBE917" w14:textId="77777777" w:rsidR="003F2C79" w:rsidRPr="00E93F40" w:rsidRDefault="003F2C79" w:rsidP="00E93F40">
      <w:pPr>
        <w:spacing w:after="0" w:line="240" w:lineRule="auto"/>
        <w:jc w:val="both"/>
        <w:rPr>
          <w:rFonts w:ascii="Times New Roman" w:hAnsi="Times New Roman"/>
          <w:color w:val="000000" w:themeColor="text1"/>
          <w:sz w:val="16"/>
          <w:szCs w:val="16"/>
          <w:u w:color="002060"/>
        </w:rPr>
      </w:pPr>
    </w:p>
    <w:p w14:paraId="75FA4A31"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 сентября 1932 состоялось заседание ПБ (Протокол № 114)</w:t>
      </w:r>
    </w:p>
    <w:p w14:paraId="1DFD1FEE"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 договоре с Фирмой "Вазаг".</w:t>
      </w:r>
    </w:p>
    <w:p w14:paraId="12BEB71E"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Пятаков, Элиава).</w:t>
      </w:r>
    </w:p>
    <w:p w14:paraId="3983C294"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т. Пятакова:</w:t>
      </w:r>
    </w:p>
    <w:p w14:paraId="0ECC88F3"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Переговоры с немецкой фирмой "Вазаг", ввиду неприемлемых для нас ее предложений, прекратить, проекти</w:t>
      </w:r>
      <w:r w:rsidRPr="00E93F40">
        <w:rPr>
          <w:rFonts w:ascii="Times New Roman" w:hAnsi="Times New Roman"/>
          <w:color w:val="000000" w:themeColor="text1"/>
          <w:sz w:val="16"/>
          <w:szCs w:val="16"/>
        </w:rPr>
        <w:softHyphen/>
        <w:t>рование для Пермского комбината искусственного волокна продолжать и закончить своими силами.</w:t>
      </w:r>
    </w:p>
    <w:p w14:paraId="57AE9C4E"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Связь с фирмой окончательно не порывать и в слу</w:t>
      </w:r>
      <w:r w:rsidRPr="00E93F40">
        <w:rPr>
          <w:rFonts w:ascii="Times New Roman" w:hAnsi="Times New Roman"/>
          <w:color w:val="000000" w:themeColor="text1"/>
          <w:sz w:val="16"/>
          <w:szCs w:val="16"/>
        </w:rPr>
        <w:softHyphen/>
        <w:t>чае, если через некоторое время фирма из’’явит готовность оказать нам помощь в полном об"еме, как это было с ней ранее договорено, договор с ней. подписать с тем, чтобы се проекты могли быть использованы для строительства вто</w:t>
      </w:r>
      <w:r w:rsidRPr="00E93F40">
        <w:rPr>
          <w:rFonts w:ascii="Times New Roman" w:hAnsi="Times New Roman"/>
          <w:color w:val="000000" w:themeColor="text1"/>
          <w:sz w:val="16"/>
          <w:szCs w:val="16"/>
        </w:rPr>
        <w:softHyphen/>
        <w:t>рого комбината искусственного волокна в Кемерово.</w:t>
      </w:r>
    </w:p>
    <w:p w14:paraId="60AF47DB"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Пятакову, Элиаве</w:t>
      </w:r>
    </w:p>
    <w:p w14:paraId="3F648F80"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 Беломорстрое.</w:t>
      </w:r>
    </w:p>
    <w:p w14:paraId="0FE1ED68"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Ягода, Пятаков}.</w:t>
      </w:r>
    </w:p>
    <w:p w14:paraId="695D6254"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окончания строительства Беломорско-Балтийского Водного пути обязать Наркомат Тяжелой Промышленности, в осуществление постановления СНК СССР от 19.1.31 (№ 47/8-с) и постановления СТО от 27.У.32 г. (№ 604), полностью удов</w:t>
      </w:r>
      <w:r w:rsidRPr="00E93F40">
        <w:rPr>
          <w:rFonts w:ascii="Times New Roman" w:hAnsi="Times New Roman"/>
          <w:color w:val="000000" w:themeColor="text1"/>
          <w:sz w:val="16"/>
          <w:szCs w:val="16"/>
        </w:rPr>
        <w:softHyphen/>
        <w:t>летворить нужды указанного строительства и, в частности:</w:t>
      </w:r>
    </w:p>
    <w:p w14:paraId="3E922F85"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Обязать НКТПром гарантировать реальную отгрузку металла-проката (сортового железа) с заводов в течение сентября месяца с.г. в количестве 640 тонн.</w:t>
      </w:r>
    </w:p>
    <w:p w14:paraId="0935D697"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НКТПром обеспечить реальное выполнение всех выданных Белморстрою Метизоб"единением нарядов на П квартал, снабдив заводы металлом и, в том числе, обес</w:t>
      </w:r>
      <w:r w:rsidRPr="00E93F40">
        <w:rPr>
          <w:rFonts w:ascii="Times New Roman" w:hAnsi="Times New Roman"/>
          <w:color w:val="000000" w:themeColor="text1"/>
          <w:sz w:val="16"/>
          <w:szCs w:val="16"/>
        </w:rPr>
        <w:softHyphen/>
        <w:t>печить реальную сдачу гвоздей (200 тонн), заклепок, бол</w:t>
      </w:r>
      <w:r w:rsidRPr="00E93F40">
        <w:rPr>
          <w:rFonts w:ascii="Times New Roman" w:hAnsi="Times New Roman"/>
          <w:color w:val="000000" w:themeColor="text1"/>
          <w:sz w:val="16"/>
          <w:szCs w:val="16"/>
        </w:rPr>
        <w:softHyphen/>
        <w:t>тов, стальных троссов и цепей Галля.</w:t>
      </w:r>
    </w:p>
    <w:p w14:paraId="71760717"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Все наряды, выданные Белморстрою, учитывая близкое его окончание, подлежат выполнению заводами вне всякой очереди и, если потребуется, то за счет исполнения других заказов, не исключая спецзаказов.</w:t>
      </w:r>
    </w:p>
    <w:p w14:paraId="57FAEBF3"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Пятакову, Ягоде.</w:t>
      </w:r>
    </w:p>
    <w:p w14:paraId="503AA703"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18.-О Харькодском Тракторном заводе.</w:t>
      </w:r>
    </w:p>
    <w:p w14:paraId="752600D8"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Свистун, Ванников, Пятаков).</w:t>
      </w:r>
    </w:p>
    <w:p w14:paraId="4DFB47BE"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Предложить т. Куйбышеву выдать из резервов необхо</w:t>
      </w:r>
      <w:r w:rsidRPr="00E93F40">
        <w:rPr>
          <w:rFonts w:ascii="Times New Roman" w:hAnsi="Times New Roman"/>
          <w:color w:val="000000" w:themeColor="text1"/>
          <w:sz w:val="16"/>
          <w:szCs w:val="16"/>
        </w:rPr>
        <w:softHyphen/>
        <w:t>димое количество цинка, никеля и ферро-сплавов в разме</w:t>
      </w:r>
      <w:r w:rsidRPr="00E93F40">
        <w:rPr>
          <w:rFonts w:ascii="Times New Roman" w:hAnsi="Times New Roman"/>
          <w:color w:val="000000" w:themeColor="text1"/>
          <w:sz w:val="16"/>
          <w:szCs w:val="16"/>
        </w:rPr>
        <w:softHyphen/>
        <w:t>рах, удовлетворяющих текущую потребность ХТЗ и СТЗ с воз</w:t>
      </w:r>
      <w:r w:rsidRPr="00E93F40">
        <w:rPr>
          <w:rFonts w:ascii="Times New Roman" w:hAnsi="Times New Roman"/>
          <w:color w:val="000000" w:themeColor="text1"/>
          <w:sz w:val="16"/>
          <w:szCs w:val="16"/>
        </w:rPr>
        <w:softHyphen/>
        <w:t>мещением по мере поступления закупаемых заграницей метал</w:t>
      </w:r>
      <w:r w:rsidRPr="00E93F40">
        <w:rPr>
          <w:rFonts w:ascii="Times New Roman" w:hAnsi="Times New Roman"/>
          <w:color w:val="000000" w:themeColor="text1"/>
          <w:sz w:val="16"/>
          <w:szCs w:val="16"/>
        </w:rPr>
        <w:softHyphen/>
        <w:t>лов.</w:t>
      </w:r>
    </w:p>
    <w:p w14:paraId="3BFC25CE"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Обязать НКВТ максимально ускорить завоз закуплен</w:t>
      </w:r>
      <w:r w:rsidRPr="00E93F40">
        <w:rPr>
          <w:rFonts w:ascii="Times New Roman" w:hAnsi="Times New Roman"/>
          <w:color w:val="000000" w:themeColor="text1"/>
          <w:sz w:val="16"/>
          <w:szCs w:val="16"/>
        </w:rPr>
        <w:softHyphen/>
        <w:t>ных заграницей ферро-сплавов, никкеля и т.п.</w:t>
      </w:r>
    </w:p>
    <w:p w14:paraId="53432B3F" w14:textId="77777777" w:rsidR="000606F9" w:rsidRPr="00E93F40" w:rsidRDefault="000606F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 Куйбышеву - б; т. Элиаве – е (23059).</w:t>
      </w:r>
    </w:p>
    <w:p w14:paraId="52DF00CE" w14:textId="77777777" w:rsidR="000606F9" w:rsidRPr="00E93F40" w:rsidRDefault="000606F9" w:rsidP="00E93F40">
      <w:pPr>
        <w:spacing w:after="0" w:line="240" w:lineRule="auto"/>
        <w:jc w:val="both"/>
        <w:rPr>
          <w:rFonts w:ascii="Times New Roman" w:hAnsi="Times New Roman"/>
          <w:color w:val="000000" w:themeColor="text1"/>
          <w:sz w:val="16"/>
          <w:szCs w:val="16"/>
        </w:rPr>
      </w:pPr>
    </w:p>
    <w:p w14:paraId="23EA0414"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w:t>
      </w:r>
    </w:p>
    <w:p w14:paraId="63AB3C3E" w14:textId="3F95DE70"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1-ОП</w:t>
      </w:r>
    </w:p>
    <w:p w14:paraId="3B331394" w14:textId="5E0EDF4B"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16 (о.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114.</w:t>
      </w:r>
    </w:p>
    <w:p w14:paraId="3182F4AD" w14:textId="14BDD8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1.IX.1932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7F15782" w14:textId="19D5D052"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p>
    <w:p w14:paraId="50B6D4B7"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http://sovdoc.rusarchives.ru</w:t>
      </w:r>
    </w:p>
    <w:p w14:paraId="110B5D0E" w14:textId="7EF7DB0A"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p>
    <w:p w14:paraId="7BFD9D20"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 Ф. 17. Оп. 162. Д. 13. Л. 86.</w:t>
      </w:r>
    </w:p>
    <w:p w14:paraId="4B81D9EC"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закупке судов.</w:t>
      </w:r>
    </w:p>
    <w:p w14:paraId="4F9211F8" w14:textId="5EA3DA95"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Разрешить НКВнешторгу закупить у фирмы “Норд-Дейче-Ллойд” старые суда в возрасте до 30</w:t>
      </w:r>
      <w:r w:rsidRPr="00E93F40">
        <w:rPr>
          <w:rFonts w:ascii="Times New Roman" w:hAnsi="Times New Roman"/>
          <w:color w:val="000000" w:themeColor="text1"/>
          <w:sz w:val="16"/>
          <w:szCs w:val="16"/>
        </w:rPr>
        <w:noBreakHyphen/>
        <w:t>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 вполне пригодные к немедленной эксплуатации, общим тоннажем до 250.000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дедвейта в количестве 40</w:t>
      </w:r>
      <w:r w:rsidRPr="00E93F40">
        <w:rPr>
          <w:rFonts w:ascii="Times New Roman" w:hAnsi="Times New Roman"/>
          <w:color w:val="000000" w:themeColor="text1"/>
          <w:sz w:val="16"/>
          <w:szCs w:val="16"/>
        </w:rPr>
        <w:noBreakHyphen/>
        <w:t>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единиц, по цене до 2</w:t>
      </w:r>
      <w:r w:rsidRPr="00E93F40">
        <w:rPr>
          <w:rFonts w:ascii="Times New Roman" w:hAnsi="Times New Roman"/>
          <w:color w:val="000000" w:themeColor="text1"/>
          <w:sz w:val="16"/>
          <w:szCs w:val="16"/>
        </w:rPr>
        <w:noBreakHyphen/>
        <w:t>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фунтов ст. за тонну по судам постройки до 1909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 4</w:t>
      </w:r>
      <w:r w:rsidRPr="00E93F40">
        <w:rPr>
          <w:rFonts w:ascii="Times New Roman" w:hAnsi="Times New Roman"/>
          <w:color w:val="000000" w:themeColor="text1"/>
          <w:sz w:val="16"/>
          <w:szCs w:val="16"/>
        </w:rPr>
        <w:noBreakHyphen/>
        <w:t>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 за тонну по второй группе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 1922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до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 за тонну по 3</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группе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постройки 1927</w:t>
      </w:r>
      <w:r w:rsidRPr="00E93F40">
        <w:rPr>
          <w:rFonts w:ascii="Times New Roman" w:hAnsi="Times New Roman"/>
          <w:color w:val="000000" w:themeColor="text1"/>
          <w:sz w:val="16"/>
          <w:szCs w:val="16"/>
        </w:rPr>
        <w:noBreakHyphen/>
        <w:t>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на общую сумму до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 и на условиях 3</w:t>
      </w:r>
      <w:r w:rsidRPr="00E93F40">
        <w:rPr>
          <w:rFonts w:ascii="Times New Roman" w:hAnsi="Times New Roman"/>
          <w:color w:val="000000" w:themeColor="text1"/>
          <w:sz w:val="16"/>
          <w:szCs w:val="16"/>
        </w:rPr>
        <w:noBreakHyphen/>
        <w:t>годичного кредита с погашением равными частями ежегодно.</w:t>
      </w:r>
    </w:p>
    <w:p w14:paraId="31C82BC4"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Платежи по покупке судов должны быть покрыты полностью за счет сокращения валютных расходов по фрахту без дополнительных ассигнований средств на эту операцию.</w:t>
      </w:r>
    </w:p>
    <w:p w14:paraId="6743BB6B" w14:textId="7BD22719"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 случае безрезультатности переговоров с “Норд-Дейче-Ллойд” разрешить НКВТ закупить то же количество судов на европейском рынке по ценам до 3</w:t>
      </w:r>
      <w:r w:rsidRPr="00E93F40">
        <w:rPr>
          <w:rFonts w:ascii="Times New Roman" w:hAnsi="Times New Roman"/>
          <w:color w:val="000000" w:themeColor="text1"/>
          <w:sz w:val="16"/>
          <w:szCs w:val="16"/>
        </w:rPr>
        <w:noBreakHyphen/>
        <w:t>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 за тонну дедвейта и на условиях кредита не менее 1</w:t>
      </w:r>
      <w:r w:rsidRPr="00E93F40">
        <w:rPr>
          <w:rFonts w:ascii="Times New Roman" w:hAnsi="Times New Roman"/>
          <w:color w:val="000000" w:themeColor="text1"/>
          <w:sz w:val="16"/>
          <w:szCs w:val="16"/>
        </w:rPr>
        <w:noBreakHyphen/>
        <w:t>1½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 с тем, чтобы все платежи по закупке судов были покрыты за счет экономии по фрахту.</w:t>
      </w:r>
    </w:p>
    <w:p w14:paraId="2C79E112" w14:textId="13F53F32"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этом случае ассигновать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для авансирования первых платежей по закупке указанного тоннажа до одного 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с тем, чтобы аванс этот также был покрыт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экономией по фрахту.</w:t>
      </w:r>
    </w:p>
    <w:p w14:paraId="5ABC4A47" w14:textId="122B3AB2"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Закупку вести с расчетом постепенного ввода судов в эксплуатацию в течение 3 и 4</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47A5E5D"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Закупку судов произвести НКВТ за полной технической ответственностью НКВода, который обязан произвести на месте сдачи тщательную отборку и приемку закупаемых судов.</w:t>
      </w:r>
    </w:p>
    <w:p w14:paraId="6582BDB8"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время осуществления операций по закупке судов НКВоду командировать в распоряжение торгпредства опытных корабельных инженеров, капитанов, механиков и эксплуатационников.</w:t>
      </w:r>
    </w:p>
    <w:p w14:paraId="63B534ED"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НКВТ и НКВоду составить специальную инструкцию для покупки и приемки судов.</w:t>
      </w:r>
    </w:p>
    <w:p w14:paraId="39BC5651" w14:textId="46230C93"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Запретить НКВоду и НКВТ покупку судов, требующих крупного ремонта до введения их в эксплуатацию, а также производить капитальную переделку судов (жилые помещения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 до окончания всего срока погашения их стоимости.</w:t>
      </w:r>
    </w:p>
    <w:p w14:paraId="094842B0" w14:textId="0D8BD5BE"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Обязать НКВод провести необходимые мероприятия, обеспечивающие в максимально короткий срок освоение закупленных судов в части подготовки кадров, судоремонтных баз, снабжения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 (17769).</w:t>
      </w:r>
    </w:p>
    <w:p w14:paraId="34330493" w14:textId="77777777" w:rsidR="008E7639" w:rsidRPr="00E93F40" w:rsidRDefault="008E7639" w:rsidP="00E93F40">
      <w:pPr>
        <w:spacing w:after="0" w:line="240" w:lineRule="auto"/>
        <w:jc w:val="both"/>
        <w:rPr>
          <w:rFonts w:ascii="Times New Roman" w:hAnsi="Times New Roman"/>
          <w:color w:val="000000" w:themeColor="text1"/>
          <w:sz w:val="16"/>
          <w:szCs w:val="16"/>
        </w:rPr>
      </w:pPr>
    </w:p>
    <w:p w14:paraId="24433C7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272880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D85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Политбюро ЦК ВКП(б) приняло секретное постановление и письмо обкомам и крайкомам ВКП(б) сибирских и северных территорий СССР "Об извращениях политики партии на Крайнем Севере". В нем действия местных властей характеризовались как "преступные перегибы в практике мест в области коллективизации", а руководящим работникам Оленеводтреста и "Союзохотцентра" объявлялся строгий выговор "за недопустимые директивы" (10687).</w:t>
      </w:r>
    </w:p>
    <w:p w14:paraId="0C84A2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626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сентября 1932 года Всесоюзный комитет по радиовещанию организовал редакцию центральной информации, позже названную редакцией «Последних известий». Выпуск «Последних известий», выходивший в эфир в то время четыре раза в день, стал в скором времени самой популярной передачей Центрального радиовещания. В 1932 г. открылась первая радиотелефонная магистраль Москва-Ташкент, после чего радиотелефон стал широко использоваться для связи с многими городами мира (11223).</w:t>
      </w:r>
    </w:p>
    <w:p w14:paraId="7436E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0A482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A7FB81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C651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сентября 1932 по 2 ноября 1934 была перуано-колумбийская война (2443,407) и перуанцы захватили чилийский городок (3481).</w:t>
      </w:r>
    </w:p>
    <w:p w14:paraId="43241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76108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E64FA3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E0BE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сентября 1932 Нач. самолетной группы Целиков писал пом. нач. ГУАП Алмазову (копия Нач. спецсектора, нач. ПТЭС, нач, сам. треста) Докладную записку о состоянии работ по опытным самолетам на 1 ноября 1932 N 0-90/6326:</w:t>
      </w:r>
    </w:p>
    <w:p w14:paraId="0308F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Р-6 2М-17</w:t>
      </w:r>
    </w:p>
    <w:p w14:paraId="0B346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Дефекты, замеченные при гос. испытаниях и предъявленные НИИ ВВС, все устранены и самолет 6 августа 1932 отправлен летом на завод 31.</w:t>
      </w:r>
    </w:p>
    <w:p w14:paraId="75605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ТБ-3 4М-17 (N 2202).</w:t>
      </w:r>
    </w:p>
    <w:p w14:paraId="0D0CE9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Производится установка специального измененного вооружения: башен СП-4 и укороченных балок. Работы были задержаны из-за плохой организации труда между ЦАГИ и заводом 22. Впоследствии проведение всех работ было поручено одному ЦАГИ. работы закончены, машина в летном состоянии. 1-й полет на заводских испытаниях состоится 3-4 сентября. Опытный самолет был сдан в НИИ УВВС 19 июля 1932.</w:t>
      </w:r>
    </w:p>
    <w:p w14:paraId="435689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ТШ-М-17 1-й эталон</w:t>
      </w:r>
    </w:p>
    <w:p w14:paraId="69EB4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Самолет был сдан в НИИ ВВС в конце июня. Было отмечено плохое охлаждение мотора, закипание гликоля и др. неполадки. За изношенностью данного мотора, НИИ вынужден был машину вернуть в ЦАГИ (середина июля) для замены мотора и установки стрелкового вооружения. В настоящее время работы закончены и требуется установка затребованного НТОС с завода 26 мотора.</w:t>
      </w:r>
    </w:p>
    <w:p w14:paraId="03583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2-й эталон. Производятся работы по стрелковому вооружению, добавочному охлаждению мотора и установке нового маслорадиатора. Работы закончены, машина находится в полетном состоянии. Полеты для испытания нового охлаждения намечены на 3 сентября.</w:t>
      </w:r>
    </w:p>
    <w:p w14:paraId="698C0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(с тормозными колесами) Производится рулежка с целью испытания тормозных колес. Результаты удовлетворительны. Намечена установка серийных тормозных колес (2314,21).</w:t>
      </w:r>
    </w:p>
    <w:p w14:paraId="3C4FA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Р-5 М-34</w:t>
      </w:r>
    </w:p>
    <w:p w14:paraId="57E8C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Первые полетные испытания М-34 начались в середине июля. В один из полетов мотор потребовал ремонта (после вынужденной посадки) и был отправлен на завод 24. Мотор был возвращен 26 августа и установлен на самолет. Испытания начались и при благоприятном состоянии работ окончание испытаний м.б. выполнено за 2 недели (2314,21).</w:t>
      </w:r>
    </w:p>
    <w:p w14:paraId="183DE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Р-5 М-17 (испытания тормозных колес).</w:t>
      </w:r>
    </w:p>
    <w:p w14:paraId="18E0E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Специальное тормозное шасси и тормозные колеса были установлены на серийном самолете Р-5 в начале августа. Первые испытания колес были неудовлетворительными из-за неравномерного торможения. В конце августа было поставлено другое шасси с колесами облегченного типа. В последние дни было совершено около 150 посадок (без тормозных колодок).</w:t>
      </w:r>
    </w:p>
    <w:p w14:paraId="061C1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Р-6 2М-17</w:t>
      </w:r>
    </w:p>
    <w:p w14:paraId="7EDBF1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1932 производилась установка на самолет поплавкового шасси. Работы закончены и самолет на днях направляется на заводские испытания.</w:t>
      </w:r>
    </w:p>
    <w:p w14:paraId="56BC2F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МДР-2 2М-17</w:t>
      </w:r>
    </w:p>
    <w:p w14:paraId="0C84C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находится в Севастополе (гос. испытания прошла в конце прошлого, начале текущего года). ЦАГИ разрабатывает спецификацию материалов, рабочие чертежи и пр. для завода 45. Специальным совещанием (14 августа) представителями рем. треста установлены сроки их отправки на завод</w:t>
      </w:r>
    </w:p>
    <w:p w14:paraId="5D270E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И-12 2М-22</w:t>
      </w:r>
    </w:p>
    <w:p w14:paraId="3E54E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1-я машина - на заводских испытаниях</w:t>
      </w:r>
    </w:p>
    <w:p w14:paraId="5A83C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Дублер находится в постройке. Собрана мотогондола, крылья, оперение.</w:t>
      </w:r>
    </w:p>
    <w:p w14:paraId="0B87EF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МИ-3 2М-34</w:t>
      </w:r>
    </w:p>
    <w:p w14:paraId="78ECC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1-ой машине основное производство закончено. заканчиваются работы по монтажу масло и бензопроводов и приборов</w:t>
      </w:r>
    </w:p>
    <w:p w14:paraId="2E2696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машина находится в постройке. Собраны фюзеляж и крылья - 40%</w:t>
      </w:r>
    </w:p>
    <w:p w14:paraId="19668A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ТБ-3 4М-34</w:t>
      </w:r>
    </w:p>
    <w:p w14:paraId="0DE6B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Серийную машину ТБ-3 получили с завода в июле. В настоящее время М-34 (3) установлены, проводится проводка, устанавливается оборудование и пр. Работы ведутся ускоренно, с предположительным сроком окончания 15 сентября. Моторы М-34 для замены отдельных деталей будет возвращены на завод 24</w:t>
      </w:r>
    </w:p>
    <w:p w14:paraId="66C74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ТБ-4 6М-34 (опытн).</w:t>
      </w:r>
    </w:p>
    <w:p w14:paraId="068E9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основное производство машины закончено. Происходит установка отдельных моторов, оборудования и вооружения. Незаконченными частями остаются тендемная установка и шасси.</w:t>
      </w:r>
    </w:p>
    <w:p w14:paraId="27141F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Р-5 М-34 (эталон).</w:t>
      </w:r>
    </w:p>
    <w:p w14:paraId="49FBCF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находится в постройке. основные работы ЦАГИ - установка мотора и тормозных колес. Дооборудование предполагается провести на заводе 1. Мотор в ЦАГИ еще не получен</w:t>
      </w:r>
    </w:p>
    <w:p w14:paraId="5C4D4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С-62 М-34 (МБР-4).</w:t>
      </w:r>
    </w:p>
    <w:p w14:paraId="1AAE56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года с завода 31 получена лодка С-62. В ЦАГИ была спроектирована, изготовлена и установлена моторама. В августе получили и установили М-34. остальные работы (доп. баки) ЦАГИ закончит в первой половине сентября. Установка оборудования, вооружения, отделка будут выполнены заводом 31.</w:t>
      </w:r>
    </w:p>
    <w:p w14:paraId="2D36FE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МБР-2 М-17</w:t>
      </w:r>
    </w:p>
    <w:p w14:paraId="31D3F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прошла заводские испытания и в июле была сдана на гос. испытания</w:t>
      </w:r>
    </w:p>
    <w:p w14:paraId="2BF9C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ДИ-4 КК</w:t>
      </w:r>
    </w:p>
    <w:p w14:paraId="28C40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находится на заводских испытаниях. В июле-августе 1932 был выполнен ряд изменений и доделок. Много затруднений вызвал подбор мет. винта. Винт заменен, увеличен маслорадиатор, исправлен костыль.</w:t>
      </w:r>
    </w:p>
    <w:p w14:paraId="036A20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К-7 2М-34</w:t>
      </w:r>
    </w:p>
    <w:p w14:paraId="196406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спроектирована и начата производством. Затруднения вызваны отсутствием хромомолибденовых труб и изготовлением спецдеталей. Макеты М-34 не получены (2314,22).</w:t>
      </w:r>
    </w:p>
    <w:p w14:paraId="2D5563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81827B" w14:textId="77777777" w:rsidR="000D35EB" w:rsidRPr="00E93F40" w:rsidRDefault="000D35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сентября 1932 г. в Восточно-Казахстанской обл. впервые в СССР проводился опытный посев леса с самолета. Были посеяны семена сосны на площади 112 гектаров пустынной местности, образовавшейся от пожаров.</w:t>
      </w:r>
    </w:p>
    <w:p w14:paraId="64777D20" w14:textId="77777777" w:rsidR="000D35EB" w:rsidRPr="00E93F40" w:rsidRDefault="000D35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ЦИК СССР» за 9 сентября 1932/ (23370).</w:t>
      </w:r>
    </w:p>
    <w:p w14:paraId="570829A9" w14:textId="77777777" w:rsidR="000D35EB" w:rsidRPr="00E93F40" w:rsidRDefault="000D35EB" w:rsidP="00E93F40">
      <w:pPr>
        <w:spacing w:after="0" w:line="240" w:lineRule="auto"/>
        <w:jc w:val="both"/>
        <w:rPr>
          <w:rFonts w:ascii="Times New Roman" w:hAnsi="Times New Roman"/>
          <w:color w:val="000000" w:themeColor="text1"/>
          <w:sz w:val="16"/>
          <w:szCs w:val="16"/>
        </w:rPr>
      </w:pPr>
    </w:p>
    <w:p w14:paraId="3FD7CC9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4CFBC0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6E35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сентября 1932 г. по решению НКС Московский завод “Промсвязь” переведен в Александров. Его строительство на новом месте включено в число ударных строек. Александровский радиозавод № 3 вступил в строй в середине декабря 1933 г. В 1936 г. заводу поставлена задача массового выпуска бытовой радиоаппаратуры, в том же году освоен выпуск радиоприемника СВД-1. В 1939 г. изготовлена опытная партия телевизоров АТП-1. В 1941 г. после начала войны завод эвакуирован в Петропавловск, где на его базе создан завод № 641.</w:t>
      </w:r>
    </w:p>
    <w:p w14:paraId="5F0F4BAD" w14:textId="05DAAD6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на старом месте в Александрове, вероятно, создан завод № 729 МРТП (Завод № 729 МРТП, Завод «Промсвязь», Александровский радиозавод № 3 НКС, п/я 7, ПО «Рекорд», АООТ, ОАО «Александровский радиозавод», М-5985 /г. Москва;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Александров/ /601600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Александров Владимирской обл. ул. Ленина, 45(13)/). Имел наименование «п/я 7» (1948 г.).</w:t>
      </w:r>
    </w:p>
    <w:p w14:paraId="68D70D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1947 г. начата разработка первого массового отечественного телевизора КВН.</w:t>
      </w:r>
    </w:p>
    <w:p w14:paraId="1D2A15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1956 г. при заводе № 729 МРТП создано СКБ.</w:t>
      </w:r>
    </w:p>
    <w:p w14:paraId="727F8E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«Рекорд» имело наименование «п/я М-5985».</w:t>
      </w:r>
    </w:p>
    <w:p w14:paraId="22961C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Крупнейший в СССР производитель телевизоров. В конце 2002 г. на площадке предприятия начато строительство завода по производству телевизионной и видео-техники «Вестел СНГ». Завод вступил в строй в 01.2004 г.</w:t>
      </w:r>
    </w:p>
    <w:p w14:paraId="73E06A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10.2003 г. на заводе введено конкурсное производство.</w:t>
      </w:r>
    </w:p>
    <w:p w14:paraId="03614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Конкурсный управляющий (10.2003 г.-)-В. Кудешкин.</w:t>
      </w:r>
    </w:p>
    <w:p w14:paraId="458150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Ф.А. Сорокоумова.</w:t>
      </w:r>
    </w:p>
    <w:p w14:paraId="0CF597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радиостанции: «КЭН-0,05» (1933-), Р-105, Р-107, Р-108, Р-109, Р-114А, Р-159, Р-171, Р-171М, Р-253, Р-311, Р-326, Р-326М;</w:t>
      </w:r>
      <w:r w:rsidRPr="00E93F40">
        <w:rPr>
          <w:rFonts w:ascii="Times New Roman" w:hAnsi="Times New Roman"/>
          <w:iCs/>
          <w:color w:val="000000" w:themeColor="text1"/>
          <w:sz w:val="16"/>
          <w:szCs w:val="16"/>
        </w:rPr>
        <w:t xml:space="preserve"> радиоприемники:</w:t>
      </w:r>
      <w:r w:rsidRPr="00E93F40">
        <w:rPr>
          <w:rFonts w:ascii="Times New Roman" w:hAnsi="Times New Roman"/>
          <w:color w:val="000000" w:themeColor="text1"/>
          <w:sz w:val="16"/>
          <w:szCs w:val="16"/>
        </w:rPr>
        <w:t xml:space="preserve"> СВД-1 (1936-), СВД-9, СВД-М (1930-е), «Искра»(1950), «Искра-49 (1950), -52, -53 (1953-)», АРЗ-49 (1949-), -51 (1951-), -52, -54, «Звезда» (1951-), «Рекорд», «Рекорд-47»; </w:t>
      </w:r>
      <w:r w:rsidRPr="00E93F40">
        <w:rPr>
          <w:rFonts w:ascii="Times New Roman" w:hAnsi="Times New Roman"/>
          <w:iCs/>
          <w:color w:val="000000" w:themeColor="text1"/>
          <w:sz w:val="16"/>
          <w:szCs w:val="16"/>
        </w:rPr>
        <w:t>телевизоры:</w:t>
      </w:r>
      <w:r w:rsidRPr="00E93F40">
        <w:rPr>
          <w:rFonts w:ascii="Times New Roman" w:hAnsi="Times New Roman"/>
          <w:color w:val="000000" w:themeColor="text1"/>
          <w:sz w:val="16"/>
          <w:szCs w:val="16"/>
        </w:rPr>
        <w:t xml:space="preserve"> АТП-1 (1939), КВН-49 (1949-), «Рекорд» (1956-), «Рекорд-А (1957-), -Б (1961-), -6 (УНТ-35), -12, -64, -67, -68, -301, -304, -330, -331, -333, -334, -336, -338, -339, -340, -345, -350 (1988-), 50ТБ-307, -308, -312, -313, -415, 51ТБ-515, 40ТБ-520, 23ВТБ-402, 42ВТБ-410, 45ВТБ-412», «Рекорд-101 (ЛТЦ-40-3), -102, -103, -104, -705, -706, - 710, -711, -712, -714, -716, -718, -726, Ц-201, -202, -280, -381,45ВТЦ-412, 51ТЦ-444, 61ТЦ-445».</w:t>
      </w:r>
    </w:p>
    <w:p w14:paraId="44CFF870" w14:textId="375B4862" w:rsidR="00106A07" w:rsidRPr="00E93F40" w:rsidRDefault="00106A07"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СКБ завода № 729 МРТП, СКБ Александровского радиозавода, ОАО «Александровский НИИ телевизионной техники «Рекорд» /601650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Александров Владимирской обл. ул. Ленина, 13 тел. 21-252/</w:t>
      </w:r>
    </w:p>
    <w:p w14:paraId="797AC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СКБ при заводе № 729 создано в соответствии с пост. СМ СССР № 1430-713с от 19.10.1956 г. и приказом МРТП № 312с от 12.11.1956 г. Пост. СМ РСФСР в 1991 г. СКБ Александровского радиозавода преобразовано в НИИ телевизионной техники «Рекорд». В 1993 г. институт акционирован и преобразован в ОАО.</w:t>
      </w:r>
    </w:p>
    <w:p w14:paraId="75B9E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Создано и внедрено в серию: радиолинии управления внешними устройствами для МО; радиоприемники </w:t>
      </w:r>
      <w:r w:rsidRPr="00E93F40">
        <w:rPr>
          <w:rFonts w:ascii="Times New Roman" w:hAnsi="Times New Roman"/>
          <w:color w:val="000000" w:themeColor="text1"/>
          <w:sz w:val="16"/>
          <w:szCs w:val="16"/>
          <w:lang w:val="en-US"/>
        </w:rPr>
        <w:t>KB</w:t>
      </w:r>
      <w:r w:rsidRPr="00E93F40">
        <w:rPr>
          <w:rFonts w:ascii="Times New Roman" w:hAnsi="Times New Roman"/>
          <w:color w:val="000000" w:themeColor="text1"/>
          <w:sz w:val="16"/>
          <w:szCs w:val="16"/>
        </w:rPr>
        <w:t xml:space="preserve"> и УКВ диапазонов; системы оповещения центрального и регионального звеньев по занятым каналам связи; телевизионные приемники, видеомониторы; нестандартные измерительные системы и приборы; системы радиоохраны; цифровые измерительные приборы.</w:t>
      </w:r>
    </w:p>
    <w:p w14:paraId="79016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(2005 г.): РЭ средство управления для войск РХБЗ МО; универсальная система охраны периметра; цифровые приборы для ТЭК.</w:t>
      </w:r>
    </w:p>
    <w:p w14:paraId="44D761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(1956-75 г.)- Ю.С. Зиновьев, (1975-82 г.)- Б.И. Беляков, (1982-85 г.)- Ю.П. Сербиненко, (1985-88 г.)- В.П. Худяков, (1988-91 г.)- Ю. Г. Поморцев. Директор (1991-10.2002 г.)- Б.И. Беляков, (12.2002 г.-)- С.А. Бакланов (11982).</w:t>
      </w:r>
    </w:p>
    <w:p w14:paraId="15C55AE0" w14:textId="77777777" w:rsidR="00106A07" w:rsidRPr="00E93F40" w:rsidRDefault="00106A07" w:rsidP="00E93F40">
      <w:pPr>
        <w:autoSpaceDE w:val="0"/>
        <w:autoSpaceDN w:val="0"/>
        <w:adjustRightInd w:val="0"/>
        <w:spacing w:after="0" w:line="240" w:lineRule="auto"/>
        <w:jc w:val="both"/>
        <w:rPr>
          <w:rFonts w:ascii="Times New Roman" w:hAnsi="Times New Roman"/>
          <w:color w:val="000000" w:themeColor="text1"/>
          <w:sz w:val="16"/>
          <w:szCs w:val="16"/>
        </w:rPr>
      </w:pPr>
    </w:p>
    <w:p w14:paraId="4F3C0D41" w14:textId="77777777" w:rsidR="003022E8" w:rsidRPr="00E93F40" w:rsidRDefault="003022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 сентября 1931 г. начало совместных войсковых испытаний торпедных катеров волнового управления систем Остехбюро и ЦЛПС (Центральная лаборатория проводной связи) (18667).</w:t>
      </w:r>
    </w:p>
    <w:p w14:paraId="4DD55433" w14:textId="77777777" w:rsidR="003022E8" w:rsidRPr="00E93F40" w:rsidRDefault="003022E8" w:rsidP="00E93F40">
      <w:pPr>
        <w:spacing w:after="0" w:line="240" w:lineRule="auto"/>
        <w:jc w:val="both"/>
        <w:rPr>
          <w:rFonts w:ascii="Times New Roman" w:hAnsi="Times New Roman"/>
          <w:color w:val="000000" w:themeColor="text1"/>
          <w:sz w:val="16"/>
          <w:szCs w:val="16"/>
        </w:rPr>
      </w:pPr>
    </w:p>
    <w:p w14:paraId="0C0BF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сентября 1932 г. наркомвоенмор по представлению В. М. Орлова утвердил новые штаты УВМС РККА уже без НТК. В структуре УВМС вопросами создания новых кораблей теперь ведали три управления — органи</w:t>
      </w:r>
      <w:r w:rsidRPr="00E93F40">
        <w:rPr>
          <w:rFonts w:ascii="Times New Roman" w:hAnsi="Times New Roman"/>
          <w:color w:val="000000" w:themeColor="text1"/>
          <w:sz w:val="16"/>
          <w:szCs w:val="16"/>
        </w:rPr>
        <w:softHyphen/>
        <w:t>зационно-плановое (1-е), кораблестроения (4-е) и вооружения (5-е). Кроме того, в подчинении наморси РККА создавались пять научно-исследовательских институтов: военного кораблестроения (НИВК), связи (НИМИС), артиллерийский (АНИМИ), минно-торпедный (НИМТИ), химический (НИМХИ). Расширенные фун</w:t>
      </w:r>
      <w:r w:rsidRPr="00E93F40">
        <w:rPr>
          <w:rFonts w:ascii="Times New Roman" w:hAnsi="Times New Roman"/>
          <w:color w:val="000000" w:themeColor="text1"/>
          <w:sz w:val="16"/>
          <w:szCs w:val="16"/>
        </w:rPr>
        <w:softHyphen/>
        <w:t>кции НТК в новой структуре УВМС предполагалось реализовать с привлечением вновь созданных институтов. Правда, в начале свое</w:t>
      </w:r>
      <w:r w:rsidRPr="00E93F40">
        <w:rPr>
          <w:rFonts w:ascii="Times New Roman" w:hAnsi="Times New Roman"/>
          <w:color w:val="000000" w:themeColor="text1"/>
          <w:sz w:val="16"/>
          <w:szCs w:val="16"/>
        </w:rPr>
        <w:softHyphen/>
        <w:t>го существования эти институты, в том числе и головной НИВК, созданный на материальной базе Опытового бассейна, испытывали большие трудности с комплектованием кадрами (3898).</w:t>
      </w:r>
    </w:p>
    <w:p w14:paraId="43030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B6180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2C3B9D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BDB1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сентября 1932 года командир авиагруппы ВВА Кармалюк писал заместителю начальника ВВС</w:t>
      </w:r>
    </w:p>
    <w:p w14:paraId="5D57AB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Рапорт</w:t>
      </w:r>
    </w:p>
    <w:p w14:paraId="075359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Вашей резолюции от 29 августа 1932 года мною проведено расследование причин, служащих тормозом в производстве испытаний продукции Осконбюро ВВС.</w:t>
      </w:r>
    </w:p>
    <w:p w14:paraId="238D1F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материалов представленных и доложенных Гроховским и его сотрудниками, а также начальником 5 отдела НИИ ВВС, усматриваю нижеследующее:</w:t>
      </w:r>
    </w:p>
    <w:p w14:paraId="77F56D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 на объекты ТСП (технические средства пропаганды) поступил со стороны ПУРККА в Осконбюро ВВС 16 февраля 1932 года. К концу февраля 1932 года бюро был составлен план реализации указанных объектов, причем бюро оговаривало обязательность своевременного получения предусмотренных сметой сумм и неизбежность невыполнения сроков плана в случае задержки в поступлении денег.</w:t>
      </w:r>
    </w:p>
    <w:p w14:paraId="1D66C8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реализацию заказа ПУРККА деньги были отпущены УВВС (из оборотных средств самого бюро) лишь к середине апреля, после чего только и было приступлено к фактическому конструированию объектов ТСП, т.е. с запозданием почти на 2 месяца.</w:t>
      </w:r>
    </w:p>
    <w:p w14:paraId="0B2F32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этом Гроховский считает, что фактически Осконбюро специальных средств на реализацию заказа ПУРККА, вопреки договоренности не получил и выполняет указанный заказ за свой счет – сверх плана.</w:t>
      </w:r>
    </w:p>
    <w:p w14:paraId="2CA01C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июля 1932 года Гроховским был подан рапорт Меженинову о готовности ряда объектов ТСП к госиспытаниям. Согласно резолюции Меженинова испытания должны были быть проведены до 25 июля 1932 года. Первые госиспытания проведены были 22 и 25 июля 1932 года, как указано в справке Соловьева от 28 августа 1932 года. Через эти испытания пропущена была лишь часть объектов, перечисленных в заявке Гроховского (бомбы ТСП-2, ТСП-3, ударнодистанционная и ударная), причем комиссией приняты были только два последних объекта, бомбы же ТСП-2 и ТСП-3 оказались недоработанными и остаются таковыми до сего времени.</w:t>
      </w:r>
    </w:p>
    <w:p w14:paraId="15742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Кассеты для сбрасывания литературы, по утверждению представителя Осконбюро, были готовы, но не могли быть испытаны ввиду отсутствия бумаги (макулатуры, имитирующей литературу) и взрывателей. В отношении агитмины, первоначально Осконбюро не могло проверить монтажа, ввиду отсутствия самолета, в начале же августа земным испытанием была установлена необходимость некоторых конструктивных переделок.</w:t>
      </w:r>
    </w:p>
    <w:p w14:paraId="23592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Агитпарашют, по сообщению Осконбюро, готов с 20 июля 1932 года, но не проведен через испытания ввиду отсутствия мотоцикла или легкового автомобиля для запуска парашюта.</w:t>
      </w:r>
    </w:p>
    <w:p w14:paraId="2EC063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Радиоброневик испытывался дважды. Оба испытания показали неудовлетворительные результаты, объясняемые Осконбюро недоброкачественной радиоаппаратурой. Однако представителем ПУРККА Октябрьским радиоброневик принят в предварительном порядке (без акта) и отправлен в Ленинград для замены радиооборудования и последующих официальных испытаний.</w:t>
      </w:r>
    </w:p>
    <w:p w14:paraId="25AB12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настоящий момент из объектов ТСП, перечисленных в рапорте Гроховского от 11 июля 1932 года:</w:t>
      </w:r>
    </w:p>
    <w:p w14:paraId="2EEB7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прошли госиспытания – только ударная и ударно-дистанционная бомбы;</w:t>
      </w:r>
    </w:p>
    <w:p w14:paraId="1AAFA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приняты в предварительном порядке (по сведениям Осконбюро) – радиоброневик;</w:t>
      </w:r>
    </w:p>
    <w:p w14:paraId="60314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испытывались, но не приняты – бомбы ТСП-2 и ТСП-3;</w:t>
      </w:r>
    </w:p>
    <w:p w14:paraId="5EB970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сняты с испытания – бомбы ТСП-1;</w:t>
      </w:r>
    </w:p>
    <w:p w14:paraId="0B1D2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готовы к испытаниям – агитмина, агитпарашют, кассеты для сбрасывания литературы.</w:t>
      </w:r>
    </w:p>
    <w:p w14:paraId="797B62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августе в порядке госиспытания было проведено всего 3 полета, притом каждый раз с большими трудностями, ввиду не предоставления со стороны НИИ летных средств на испытания. Случаев же срыва испытаний в одном только августе учтено 9 ………………………………</w:t>
      </w:r>
    </w:p>
    <w:p w14:paraId="0D6BF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итоге усматриваю следующие основные недочеты и причины запаздывания в выпуске и испытаниях продукции Осконбюро ВВС.</w:t>
      </w:r>
    </w:p>
    <w:p w14:paraId="0130771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линии Осконбюро</w:t>
      </w:r>
    </w:p>
    <w:p w14:paraId="3B54AB6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Заказы поступающие в адрес Осконбюро весьма обширны и по количеству объектов и по требуемым работам.</w:t>
      </w:r>
    </w:p>
    <w:p w14:paraId="3A417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Сверх основного плана поступают новые заказы в ходе работы бюро (в частности все объекты технических средств пропаганды).</w:t>
      </w:r>
    </w:p>
    <w:p w14:paraId="7C5E7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Бюро является организацией молодой, с еще не сколоченным личным составом, с большим некомплектом в таковом, причем оформление комплектования приказом протекает медленно. Производство в бюро не стандартизовано и проходит в значительной мере кустарными приемами. В конструировании же преобладает метод эмпирического подбора, а не проектирования на основе точных расчетов. В результате в ходе производства постоянно требуются переделки, эти же последние требуют многократных испытаний, в частности испытаний в воздухе.</w:t>
      </w:r>
    </w:p>
    <w:p w14:paraId="4F12D91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испытания в воздухе требуют наличия летных средств, каковых до недавнего времени у Осконбюро не было.</w:t>
      </w:r>
    </w:p>
    <w:p w14:paraId="211E98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Имеющиеся в настоящее время в Осконбюро самолеты ТБ-1 и Р-5 не удовлетворяют потребностям в испытаниях, ибо их не хватает. Самолет АНТ-9, каковой должен был быть передан бюро из НИИ согласно распоряжения зам. начальника ВВС Меженинова, фактически Бюро не дан, в связи с чем не мог состояться ряд испытаний.</w:t>
      </w:r>
    </w:p>
    <w:p w14:paraId="2DCE3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Летные средства, требуемые для каких бы то ни было испытаний, получаются Бюро каждый раз с большими трудностями.</w:t>
      </w:r>
    </w:p>
    <w:p w14:paraId="5B630E9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Результатом изложенного являются задержки в выпуске продукции, не соблюдение сроков, по существу же – бесплановость, как в выпуске продукции. Так и в испытаниях.</w:t>
      </w:r>
    </w:p>
    <w:p w14:paraId="02327FB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Делу планирования работы Бюро вообще не уделяется должного внимания. Все планы носят весьма общий ориентировочный характер.</w:t>
      </w:r>
    </w:p>
    <w:p w14:paraId="665B0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Осконбюро берет на себя очень много задач, не соразмеряя своих сил и возможностей, в дальнейшем не планирует как следует своей работы, разбрасывается с заданными сроками.</w:t>
      </w:r>
    </w:p>
    <w:p w14:paraId="4CEDB2F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частности, совершенно не планируются заявки на госиспытания. Заявки эти носят случайный характер и составляются подчас на не готовую еще продукцию (с "упреждением" на время, потребное на организацию испытаний).</w:t>
      </w:r>
    </w:p>
    <w:p w14:paraId="55F6E36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отсутствия потребных летных средств и затруднений в получении таковых – почти совершенно не прктикуются заводские испытания, которые должны обязательно предшествовать государственным. В итоге, госиспытания принимают характер заводских, многократно повторяются и используются для доработки объектов.</w:t>
      </w:r>
    </w:p>
    <w:p w14:paraId="7B7EB91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"эмпирическим" методом работы, многочисленными переделками, бесплановостью и задержками в выпуске продукции – увеличивается стоимость последней.</w:t>
      </w:r>
    </w:p>
    <w:p w14:paraId="478E8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По линии НИИ ВС.</w:t>
      </w:r>
    </w:p>
    <w:p w14:paraId="4120855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Взаимоотношения НИИ ВВС и Осконбюро, как двух независимых инстанций, взаимодействующих друг с другом, никак не регламентированы. В частности, совершенно не определен порядок представления объектов к госиспытаниям и проведения последних. Нет никаких юридических оснований, определяющих круг обязанностей и ответственности НИИ ВВС в отношении продукции Осконбюро.</w:t>
      </w:r>
    </w:p>
    <w:p w14:paraId="17A8392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взаимоотношения НИИ (в лице его 5 отдела) и Осконбюро явно не нормальны, не доброжелательны и ни в коей мере не способствуют успеху дела.</w:t>
      </w:r>
    </w:p>
    <w:p w14:paraId="2BA5E2F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силу того, что НИИ не имеет никакой ответственности за своевременности каких бы то ни было испытаний, в частности государственных, НИИ фактически не обеспечивает испытаний, находя ряд формальных оснований к не произведению таковых.</w:t>
      </w:r>
    </w:p>
    <w:p w14:paraId="15FFF37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Организация госиспытаний, каковая должна производиться по сути дела 5 отделом НИИ, фактически осуществляется Осконбюро. Даже хлопоты о самолетах перед бригадой НИИ несутся зачастую Осконбюро, а не 5 отделом.</w:t>
      </w:r>
    </w:p>
    <w:p w14:paraId="172D0E9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Функции 5 отдела НИИ фактически весьма ограничены: наблюдение испытаний, проводимых Осконбюро и подписывание заключения о пригодности объекта, если таковой выдержал испытание. Ни о каком планировании испытаний со стороны 5 отдела нет и помину.</w:t>
      </w:r>
    </w:p>
    <w:p w14:paraId="3695FE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же нет контроля и ответственности за своевременность проведения госиспытаний.</w:t>
      </w:r>
    </w:p>
    <w:p w14:paraId="333EB1A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Тактико-технические и эксплуатационные требования к продукции Осконбюро, как правило, 5 отделом НИИ заблаговременно не разрабатываются.</w:t>
      </w:r>
    </w:p>
    <w:p w14:paraId="07321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не только самое производство, но и испытания производятся "на глазок", без ориентировки на определенные требования.</w:t>
      </w:r>
    </w:p>
    <w:p w14:paraId="26C736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3927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Предложения</w:t>
      </w:r>
    </w:p>
    <w:p w14:paraId="65E0F24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Точно регламентировать взаимоотношения НИИ ВВС и Осконбюро особым положением определяющим:</w:t>
      </w:r>
    </w:p>
    <w:p w14:paraId="01BBE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а) Порядок планирования работы Осконбюро и особенно заявок на госиспытания.</w:t>
      </w:r>
    </w:p>
    <w:p w14:paraId="21328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Права НИИ в отношении контроля за соблюдением Осконбюро сроков выпуска продукции и предъявления таковой к испытаниям.</w:t>
      </w:r>
    </w:p>
    <w:p w14:paraId="29849F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Обязанности НИИ в отношении:</w:t>
      </w:r>
    </w:p>
    <w:p w14:paraId="5FE41C3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Заблаговременного составления тактико-технических и эксплуатационных требований.</w:t>
      </w:r>
    </w:p>
    <w:p w14:paraId="4D1B561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Планирования госиспытаний на основе планов и заявок Осконбюро.</w:t>
      </w:r>
    </w:p>
    <w:p w14:paraId="2CC3016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Полного материального и организационного обеспечения госиспытаний.</w:t>
      </w:r>
    </w:p>
    <w:p w14:paraId="5019C41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Пуска объектов в серийное производство.</w:t>
      </w:r>
    </w:p>
    <w:p w14:paraId="0784102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Потребовать от Осконбюро возможно большей планововсти в работе.</w:t>
      </w:r>
    </w:p>
    <w:p w14:paraId="706D712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Потребовать от Осконбюро неукоснительного проведения заводских испытаний, обязательно предшествующим госиспытаниям.</w:t>
      </w:r>
    </w:p>
    <w:p w14:paraId="319BBB9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обеспечение п.п. 2 и 3 усилить Осконбюро личным составом и своими летными средствами.</w:t>
      </w:r>
    </w:p>
    <w:p w14:paraId="3E786D9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НИИ и определенные строевые части выполнять по заблаговременно составляемым нарядам не только государственные, но и заводские испытания, если таковые не могут выполняться средствами Осконбюро.</w:t>
      </w:r>
    </w:p>
    <w:p w14:paraId="2D111C9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Всю имеющуюся в наличии готовую продукцию Осконбюро немедленно, в порядке особых сборов пропускать через заводские, а затем и госиспытания. Гроховский предлагает эти испытания провести в Детском селе, где имеются летные средства и прочие возможности. По-видимому это будет наиболее рациональный способ устранить образовавшийся затор в испытаниях. На это потребуется от 5 до 10 дней.</w:t>
      </w:r>
    </w:p>
    <w:p w14:paraId="04837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Организацию заводских испытаний поручить Осконбюро, а госиспытаний – НИИ.</w:t>
      </w:r>
    </w:p>
    <w:p w14:paraId="4250A69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допускать впредь испытаний на Тушинском и Павшинском аэродромах, так как это ведет к рассекречиванию продукции, сугубо секретной как по назначению, так и по конструкции.</w:t>
      </w:r>
    </w:p>
    <w:p w14:paraId="2B14F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Отвести для этого специальное место.</w:t>
      </w:r>
    </w:p>
    <w:p w14:paraId="5E361D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……………………………..(7470, 331-334).</w:t>
      </w:r>
    </w:p>
    <w:p w14:paraId="5D2702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9DE70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0B41AD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772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сентября 1932 Начальник МС РККА приказал перейти на утвержденный накануне наркомом штат НИИ военного кораблестроения (НИИВК). Одновременно были утверждены штаты созданных решением РВС СССР еще 4 НИИ ВМФ: АНИМИ и НИМТИ (10346,5).</w:t>
      </w:r>
    </w:p>
    <w:p w14:paraId="3E78A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E4B493" w14:textId="2E7662C0" w:rsidR="00106A07" w:rsidRPr="00E93F40" w:rsidRDefault="00106A07"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сентября 1932</w:t>
      </w:r>
      <w:r w:rsidR="007C1411" w:rsidRPr="00E93F40">
        <w:rPr>
          <w:color w:val="000000" w:themeColor="text1"/>
          <w:sz w:val="16"/>
          <w:szCs w:val="16"/>
        </w:rPr>
        <w:t xml:space="preserve"> </w:t>
      </w:r>
      <w:r w:rsidRPr="00E93F40">
        <w:rPr>
          <w:color w:val="000000" w:themeColor="text1"/>
          <w:sz w:val="16"/>
          <w:szCs w:val="16"/>
        </w:rPr>
        <w:t>г. на базе секции расформированного Морского научно-технического комитетабыл создан</w:t>
      </w:r>
      <w:r w:rsidRPr="00E93F40">
        <w:rPr>
          <w:rStyle w:val="af0"/>
          <w:bCs/>
          <w:i w:val="0"/>
          <w:color w:val="000000" w:themeColor="text1"/>
          <w:sz w:val="16"/>
          <w:szCs w:val="16"/>
        </w:rPr>
        <w:t xml:space="preserve"> Научно-исследовательский минно-торпедный институт (НИМТИ)</w:t>
      </w:r>
      <w:r w:rsidRPr="00E93F40">
        <w:rPr>
          <w:color w:val="000000" w:themeColor="text1"/>
          <w:sz w:val="16"/>
          <w:szCs w:val="16"/>
        </w:rPr>
        <w:t>. Он положил начало планомерной научной работе по развитию всех видов морского оружия, научному обоснованию тактико-технических требований и заданий Военно-морского флота на создание новых образцов и типов вооружения, в том числе, торпедного. В 1936</w:t>
      </w:r>
      <w:r w:rsidR="007C1411" w:rsidRPr="00E93F40">
        <w:rPr>
          <w:color w:val="000000" w:themeColor="text1"/>
          <w:sz w:val="16"/>
          <w:szCs w:val="16"/>
        </w:rPr>
        <w:t xml:space="preserve"> </w:t>
      </w:r>
      <w:r w:rsidRPr="00E93F40">
        <w:rPr>
          <w:color w:val="000000" w:themeColor="text1"/>
          <w:sz w:val="16"/>
          <w:szCs w:val="16"/>
        </w:rPr>
        <w:t>г. на основе закупленной в Италии партии парогазовых торпед 53</w:t>
      </w:r>
      <w:r w:rsidRPr="00E93F40">
        <w:rPr>
          <w:color w:val="000000" w:themeColor="text1"/>
          <w:sz w:val="16"/>
          <w:szCs w:val="16"/>
        </w:rPr>
        <w:noBreakHyphen/>
        <w:t>Ф образца 1934</w:t>
      </w:r>
      <w:r w:rsidR="007C1411" w:rsidRPr="00E93F40">
        <w:rPr>
          <w:color w:val="000000" w:themeColor="text1"/>
          <w:sz w:val="16"/>
          <w:szCs w:val="16"/>
        </w:rPr>
        <w:t xml:space="preserve"> </w:t>
      </w:r>
      <w:r w:rsidRPr="00E93F40">
        <w:rPr>
          <w:color w:val="000000" w:themeColor="text1"/>
          <w:sz w:val="16"/>
          <w:szCs w:val="16"/>
        </w:rPr>
        <w:t>г. Фиумского завода институт начал разработку трех модификаций торпед: авиационной калибра 450</w:t>
      </w:r>
      <w:r w:rsidRPr="00E93F40">
        <w:rPr>
          <w:color w:val="000000" w:themeColor="text1"/>
          <w:sz w:val="16"/>
          <w:szCs w:val="16"/>
        </w:rPr>
        <w:noBreakHyphen/>
        <w:t>мм, для подводных лодок и надводных кораблей калибра 533</w:t>
      </w:r>
      <w:r w:rsidRPr="00E93F40">
        <w:rPr>
          <w:color w:val="000000" w:themeColor="text1"/>
          <w:sz w:val="16"/>
          <w:szCs w:val="16"/>
        </w:rPr>
        <w:noBreakHyphen/>
        <w:t>мм и для торпедных катеров и старых эсминцев и сторожевых кораблей калибра 450</w:t>
      </w:r>
      <w:r w:rsidRPr="00E93F40">
        <w:rPr>
          <w:color w:val="000000" w:themeColor="text1"/>
          <w:sz w:val="16"/>
          <w:szCs w:val="16"/>
        </w:rPr>
        <w:noBreakHyphen/>
        <w:t>мм. Последняя оказалась очень удачной и оставалась основной практически до конца Великой Отечественной войны (15295).</w:t>
      </w:r>
    </w:p>
    <w:p w14:paraId="7EF04ED4" w14:textId="77777777" w:rsidR="00106A07" w:rsidRPr="00E93F40" w:rsidRDefault="00106A07" w:rsidP="00E93F40">
      <w:pPr>
        <w:spacing w:after="0" w:line="240" w:lineRule="auto"/>
        <w:jc w:val="both"/>
        <w:rPr>
          <w:rStyle w:val="af0"/>
          <w:rFonts w:ascii="Times New Roman" w:hAnsi="Times New Roman"/>
          <w:i w:val="0"/>
          <w:color w:val="000000" w:themeColor="text1"/>
          <w:sz w:val="16"/>
          <w:szCs w:val="16"/>
        </w:rPr>
      </w:pPr>
    </w:p>
    <w:p w14:paraId="640D1CA4" w14:textId="715C9897" w:rsidR="00106A07" w:rsidRPr="00E93F40" w:rsidRDefault="00106A07"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сентября 1932</w:t>
      </w:r>
      <w:r w:rsidR="007C1411" w:rsidRPr="00E93F40">
        <w:rPr>
          <w:color w:val="000000" w:themeColor="text1"/>
          <w:sz w:val="16"/>
          <w:szCs w:val="16"/>
        </w:rPr>
        <w:t xml:space="preserve"> </w:t>
      </w:r>
      <w:r w:rsidRPr="00E93F40">
        <w:rPr>
          <w:color w:val="000000" w:themeColor="text1"/>
          <w:sz w:val="16"/>
          <w:szCs w:val="16"/>
        </w:rPr>
        <w:t>г. приказом РВС</w:t>
      </w:r>
      <w:r w:rsidR="007C1411" w:rsidRPr="00E93F40">
        <w:rPr>
          <w:color w:val="000000" w:themeColor="text1"/>
          <w:sz w:val="16"/>
          <w:szCs w:val="16"/>
        </w:rPr>
        <w:t xml:space="preserve"> </w:t>
      </w:r>
      <w:r w:rsidRPr="00E93F40">
        <w:rPr>
          <w:color w:val="000000" w:themeColor="text1"/>
          <w:sz w:val="16"/>
          <w:szCs w:val="16"/>
        </w:rPr>
        <w:t xml:space="preserve">СССР был образован </w:t>
      </w:r>
      <w:r w:rsidRPr="00E93F40">
        <w:rPr>
          <w:rStyle w:val="af0"/>
          <w:bCs/>
          <w:i w:val="0"/>
          <w:color w:val="000000" w:themeColor="text1"/>
          <w:sz w:val="16"/>
          <w:szCs w:val="16"/>
        </w:rPr>
        <w:t>Артиллерийский научно-исследовательский морской институт (АНИМИ)</w:t>
      </w:r>
      <w:r w:rsidRPr="00E93F40">
        <w:rPr>
          <w:color w:val="000000" w:themeColor="text1"/>
          <w:sz w:val="16"/>
          <w:szCs w:val="16"/>
        </w:rPr>
        <w:t xml:space="preserve"> одновременно с рядом других научно-исследовательских институтов ВМФ. Главная задача АНИМИ заключалась в обосновании тактико-технических заданий на новые и модернизируемые артиллерийские системы. Кроме того, институт осуществлял контроль за опытно-конструкторскими работами в промышленности, занимался разработкой теоретических основ стрельбы и обобщением опыта эксплуатации оружия. Важным направлением деятельности АНИМИ была разработка правил и методик стрельбы и боевого применения корабельной и береговой артиллерии и подготовка флотских специалистов. Институт состоял из шести отделов: морских артиллерийских установок, береговых артиллерийских установок, боеприпасов и средств воспламенения, приборов управления артиллерийским огнем, баллистики, в качестве самостоятельного отдела в институт входил также Научно-исследовательский морской артиллерийский полигон. Для решения практических задач институт систематически привлекал крупных ученых и военных специалистов (15323).</w:t>
      </w:r>
    </w:p>
    <w:p w14:paraId="6610A2B5" w14:textId="77777777" w:rsidR="00106A07" w:rsidRPr="00E93F40" w:rsidRDefault="00106A0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3EDF8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2114B5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9B6813"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сентября 1932 года началось строительство канала Москва - Волга. Был открыт 15 июля 1937 года. В 1947-м переименован в канал имени Москвы. Трасса канала имеет 240 сооружений, из них 11 шлюзов, 40 плотин, 8 водохранилищ, 5 насосных станций, 8 гидроэлектростанций, три главные пристани (Большая Волга, Дмитровская и в Химках — Северный речной порт Москвы), а также многочисленные пристани местных линий.</w:t>
      </w:r>
    </w:p>
    <w:p w14:paraId="11F44D57"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30-х годов Москве не хватало питьевой воды. Рублевский водопровод не мог обеспечить растущие потребности столицы в воде. Река Москва настолько обмелела, что ее можно было перейти вброд напротив Кремля в том месте, где сейчас красуется Большой Каменный мост. Вся водопроводная сеть подавала в город 15 млн. ведер воды. А население возросло до 3-х млн. человек.</w:t>
      </w:r>
    </w:p>
    <w:p w14:paraId="6447AB11"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Было предложено несколько вариантов трассы канала. После долгих споров 20 мая 1932 г. Московский горком партии выбрал «Дмитровский» проект, а на следующий день инженерные группы уже обозначали колышками будущую трассу.</w:t>
      </w:r>
    </w:p>
    <w:p w14:paraId="2C7A8850"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Трасса канала должна была пройти по кратчайшему пути между реками Волгой и Москвой: расстояние от старинного села Тушина до устья реки Дубны, впадающей в Волгу, было 130 км. Высокий гребень холмов с истоками и долинами мелких рек планирова-лось превратить в непрерывный многокилометровый водяной мост. К нему с двух сторон — от Волги и от Москвы-реки — нужно было поднять водяные лестницы, чтобы по этому пути направить воду и корабли из Волги в Москву-реку.</w:t>
      </w:r>
    </w:p>
    <w:p w14:paraId="73CC366F"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марта 1937 г. последовало решение «остановить Волгу», то есть приступить к наполнению Московского моря и канала (21176).</w:t>
      </w:r>
    </w:p>
    <w:p w14:paraId="7C512433" w14:textId="77777777" w:rsidR="00BA028A" w:rsidRPr="00E93F40" w:rsidRDefault="00BA028A" w:rsidP="00E93F40">
      <w:pPr>
        <w:spacing w:after="0" w:line="240" w:lineRule="auto"/>
        <w:jc w:val="both"/>
        <w:rPr>
          <w:rFonts w:ascii="Times New Roman" w:hAnsi="Times New Roman"/>
          <w:color w:val="000000" w:themeColor="text1"/>
          <w:sz w:val="16"/>
          <w:szCs w:val="16"/>
        </w:rPr>
      </w:pPr>
    </w:p>
    <w:p w14:paraId="5C83AB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сентября 1932 был убит Павлик Морозов (Павел Трофимович - 1918 г.р.), пионер, выдавший отца, сотрудничающего с кулаками (3263,491).</w:t>
      </w:r>
    </w:p>
    <w:p w14:paraId="4263ED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A6F977" w14:textId="77777777" w:rsidR="00106A07" w:rsidRPr="00E93F40" w:rsidRDefault="00106A07"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3 сентября </w:t>
      </w:r>
      <w:r w:rsidRPr="00E93F40">
        <w:rPr>
          <w:rFonts w:ascii="Times New Roman" w:hAnsi="Times New Roman"/>
          <w:color w:val="000000" w:themeColor="text1"/>
          <w:sz w:val="16"/>
          <w:szCs w:val="16"/>
        </w:rPr>
        <w:t>в 1932 году убит Павлик Морозов, пионер из села Герасимовка Свердловской области; его гибель была использована для создания образа непримиримого юного борца с кулаками. По канонической советской версии подросток Павлик Морозов был убит родственниками после того, как донес на отца, укрывавшего зерно от представителей власти, которые проводили насильственное изъятие посевного материала, продуктов питания, сельскохозяйственного инвентаря и животных. После гибели он был навечно вписан в историю пионерии под номером 001. О нем в советское время слагались стихи и песни, ему ставились памятники. В перестроечное время Павлик Морозов превратился из героя в Иуду, его имя стало символом предательства. Культ его был развенчан, памятники снесены. В истории жизни и смерти Павлика много неясного, и по прошествии нескольких десятилетий трудно понять, где миф о мальчике, якобы пожертвовавшем своей жизнью в борьбе с «кулаками», укрывавшими хлеб от деревенской бедноты, а где реальная жизнь полуграмотного подростка из многодетной деревенской семьи. Существуют разные мнения по поводу гибели пионера Морозова - от «а был ли Павлик?» до «он был героем». По официальной версии Павлик Морозов донес властям на собственного отца за укрывательство хлеба, и отца посадили. Через некоторое время Павлика и его младшего братишку Федю нашли мертвыми в лесу. В убийстве обвинили родственников мальчика: деда, бабку и двоюродного брата, и их расстреляли. Еще одна из версий «подвига» Павлика: устав от издевательств алкоголика-отца и деда-деспота, мальчик нашел выход из положения, выдав их обоих и отправив в места заключения. Существует также версия, по которой донос Павлика на своего отца был сделан им по «наущению матери», которую отец оставил, уйдя к другой. Позднее распространилась версия о том, что Павлика убили сотрудники НКВД, чтобы развязать себе руки в борьбе с кулаками, а заодно представить подрастающему поколению героя-мученика (14758).</w:t>
      </w:r>
    </w:p>
    <w:p w14:paraId="36BD06D9" w14:textId="77777777" w:rsidR="00106A07" w:rsidRPr="00E93F40" w:rsidRDefault="00106A07" w:rsidP="00E93F40">
      <w:pPr>
        <w:spacing w:after="0" w:line="240" w:lineRule="auto"/>
        <w:jc w:val="both"/>
        <w:rPr>
          <w:rFonts w:ascii="Times New Roman" w:hAnsi="Times New Roman"/>
          <w:color w:val="000000" w:themeColor="text1"/>
          <w:sz w:val="16"/>
          <w:szCs w:val="16"/>
        </w:rPr>
      </w:pPr>
    </w:p>
    <w:p w14:paraId="0CBC8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сентября 1932 г. начальник Химкинского участка строительства Марченко вонзил лопату в землю и торжественно вынул первый грунт из русла будущего канала (11716).</w:t>
      </w:r>
    </w:p>
    <w:p w14:paraId="381FD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A0D0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3 и 9 сентября 1932. Из протокола заседания Политбюро № 114, 1932 г.</w:t>
      </w:r>
    </w:p>
    <w:p w14:paraId="0C79E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бюллетенях иностранной информации и "закрытых письмах" </w:t>
      </w:r>
    </w:p>
    <w:p w14:paraId="3B65A4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Закрыть "закрытые письма" и бюллетени иностранной информации Всесоюзной Академии сельскохозяйственных наук им. Ленина, НКВТ, НКФина и др. наркоматов, а также бюллетени иностранной информации при "Правде", "Известиях" и других газетах (11652).</w:t>
      </w:r>
    </w:p>
    <w:p w14:paraId="45577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B440D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C298E9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E29E32A"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сентября 1939 опросом членов ПБ</w:t>
      </w:r>
    </w:p>
    <w:p w14:paraId="77FC88D7"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19/3.- Вопрос РВС.</w:t>
      </w:r>
    </w:p>
    <w:p w14:paraId="2E1A94FF"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Гамарник).</w:t>
      </w:r>
    </w:p>
    <w:p w14:paraId="4CD2BBE6"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Утвердить поездку на маневры в Германии следующих товарищей: Тухачевский, Фельдман, Седякин, Фесенко, Гарькавый, Вайнер, Клейн-Бурзи, Хорошилов, Трифонов, Петк евич.</w:t>
      </w:r>
    </w:p>
    <w:p w14:paraId="4B7F4869"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Согласиться на допущение на учения РККА 6 германских и 3 итальянских офицеров.</w:t>
      </w:r>
    </w:p>
    <w:p w14:paraId="6D09C686"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Не возражать против присутствия на учениях РККА предложенных РВС иностранных военных атташе.</w:t>
      </w:r>
    </w:p>
    <w:p w14:paraId="2B11EF7A"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послана: т.т. Ворошилову, Литвинову - все; Горб (ОГПУ) - а,б.</w:t>
      </w:r>
    </w:p>
    <w:p w14:paraId="6A1CEB44"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1932 состоялось заседание ПБ (Протокол № 115) (23060).</w:t>
      </w:r>
    </w:p>
    <w:p w14:paraId="727A88A2" w14:textId="77777777" w:rsidR="00BA028A" w:rsidRPr="00E93F40" w:rsidRDefault="00BA028A" w:rsidP="00E93F40">
      <w:pPr>
        <w:spacing w:after="0" w:line="240" w:lineRule="auto"/>
        <w:jc w:val="both"/>
        <w:rPr>
          <w:rFonts w:ascii="Times New Roman" w:hAnsi="Times New Roman"/>
          <w:color w:val="000000" w:themeColor="text1"/>
          <w:sz w:val="16"/>
          <w:szCs w:val="16"/>
        </w:rPr>
      </w:pPr>
    </w:p>
    <w:p w14:paraId="31502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3 и 9 сентября 1932. Из протокола заседания Политбюро № 114, 1932 г.</w:t>
      </w:r>
    </w:p>
    <w:p w14:paraId="69EA9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политбюллетене Наркоминдела </w:t>
      </w:r>
    </w:p>
    <w:p w14:paraId="6735DE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Прекратить печатание политбюллетеней НКИД. </w:t>
      </w:r>
    </w:p>
    <w:p w14:paraId="189AD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Предложить НКИД изыскать более целесообразные, максимально конспирированные методы информирования полпредов о нашей политике (11652).</w:t>
      </w:r>
    </w:p>
    <w:p w14:paraId="07760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 протокола заседаний Политбюро N114, особая папка, 1932 г. </w:t>
      </w:r>
    </w:p>
    <w:p w14:paraId="559DB5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4D294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135F33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C17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сентябоя 1932 г Дж. Дулиттл на самолете R-1 Джи-Би Супер Спортстер прошел 3 км дистанцию со скоростью 473.82 км/час, впервые на сухопутной машине превысив рекорд скорости, установленный Бонэ 8 лет назад (4207, 79).</w:t>
      </w:r>
    </w:p>
    <w:p w14:paraId="6248E9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A832EC" w14:textId="77777777" w:rsidR="00BA028A" w:rsidRPr="00E93F40" w:rsidRDefault="00BA02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сентября 1932 Джимми Дулиттл устанавливает новый рекорд скорости полета наземного самолета - 296 миль в час (476 км / ч) на Gee Bee R-1 (20803).</w:t>
      </w:r>
    </w:p>
    <w:p w14:paraId="00B66579" w14:textId="77777777" w:rsidR="00BA028A" w:rsidRPr="00E93F40" w:rsidRDefault="00BA028A" w:rsidP="00E93F40">
      <w:pPr>
        <w:spacing w:after="0" w:line="240" w:lineRule="auto"/>
        <w:jc w:val="both"/>
        <w:rPr>
          <w:rFonts w:ascii="Times New Roman" w:hAnsi="Times New Roman"/>
          <w:color w:val="000000" w:themeColor="text1"/>
          <w:sz w:val="16"/>
          <w:szCs w:val="16"/>
        </w:rPr>
      </w:pPr>
    </w:p>
    <w:p w14:paraId="6CD1F6C1" w14:textId="77777777" w:rsidR="000D35EB" w:rsidRPr="00E93F40" w:rsidRDefault="000D35EB"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DF44538" w14:textId="77777777" w:rsidR="000D35EB" w:rsidRPr="00E93F40" w:rsidRDefault="000D35E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A974659" w14:textId="1C70776D" w:rsidR="000D35EB" w:rsidRPr="00E93F40" w:rsidRDefault="000D35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сентября 1932 г. в Москву прилетел английский летчик Джон Гриерсон, совершающий туристский полет на авиетке ДХ «Мозс» с мотором 85 л.с.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пути в Москву Гриерсон садился в Германии, Польше и Минске В период с 18 по 30 .сентября он совершил полет по маршруту Москва» Казань-Ташкент-Самарканд-Самара-Москва и всюду встречал заботливое к себе отношение со стороны советских властей и народа.</w:t>
      </w:r>
    </w:p>
    <w:p w14:paraId="68727808" w14:textId="77777777" w:rsidR="000D35EB" w:rsidRPr="00E93F40" w:rsidRDefault="000D35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/«Известния ЦИУ” за сентябрь и 1-е октября 1932/ (23370).</w:t>
      </w:r>
    </w:p>
    <w:p w14:paraId="0A73B17D" w14:textId="77777777" w:rsidR="000D35EB" w:rsidRPr="00E93F40" w:rsidRDefault="000D35EB" w:rsidP="00E93F40">
      <w:pPr>
        <w:spacing w:after="0" w:line="240" w:lineRule="auto"/>
        <w:jc w:val="both"/>
        <w:rPr>
          <w:rFonts w:ascii="Times New Roman" w:hAnsi="Times New Roman"/>
          <w:color w:val="000000" w:themeColor="text1"/>
          <w:sz w:val="16"/>
          <w:szCs w:val="16"/>
        </w:rPr>
      </w:pPr>
    </w:p>
    <w:p w14:paraId="1F498CB5" w14:textId="77777777" w:rsidR="00CF6925" w:rsidRPr="00E93F40" w:rsidRDefault="00CF6925"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3A7BDEA" w14:textId="77777777" w:rsidR="00CF6925" w:rsidRPr="00E93F40" w:rsidRDefault="00CF692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3EBD49" w14:textId="77777777" w:rsidR="00CF6925" w:rsidRPr="00E93F40" w:rsidRDefault="00CF69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сентября 1932 г. в письме И.А. Халепского наркому Ворошилову сообщалось, что во исполнение поставленной лично Сталиным задачи «достать сведения и материалы о строительстве французами тяжелых танков и, в частности, тяжелого 74-тонного танка 2С» во Францию был отправлен «состоящий для особых поручения т[оварищ]. Ратнер» (РГВА. Ф. 4. Оп. 14. Д. 586. Л. 179.). Итогом его шестимесячной командировки стал отчет, переправленный Ворошиловым Сталину с припиской: «Если найдешь пару минут времени, прошу перелистать доклад т[оварища]. Ратнера, интересно, хотя и не всему можно доверять, т.к. материалы, которыми располагал т[оварищ]. Ратнер не безусловно достоверны» (РГВА. Ф. 4. Оп. 14. Д. 586. Л. 179.) (21252).</w:t>
      </w:r>
    </w:p>
    <w:p w14:paraId="69F04D4B" w14:textId="77777777" w:rsidR="00CF6925" w:rsidRPr="00E93F40" w:rsidRDefault="00CF6925" w:rsidP="00E93F40">
      <w:pPr>
        <w:spacing w:after="0" w:line="240" w:lineRule="auto"/>
        <w:jc w:val="both"/>
        <w:rPr>
          <w:rFonts w:ascii="Times New Roman" w:hAnsi="Times New Roman"/>
          <w:color w:val="000000" w:themeColor="text1"/>
          <w:sz w:val="16"/>
          <w:szCs w:val="16"/>
        </w:rPr>
      </w:pPr>
    </w:p>
    <w:p w14:paraId="2221601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570B11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47A669" w14:textId="0F0B9CA3" w:rsidR="000B4F2C" w:rsidRPr="00E93F40" w:rsidRDefault="000B4F2C" w:rsidP="00E93F40">
      <w:pPr>
        <w:spacing w:after="0" w:line="240" w:lineRule="auto"/>
        <w:jc w:val="both"/>
        <w:rPr>
          <w:rFonts w:ascii="Times New Roman" w:hAnsi="Times New Roman"/>
          <w:color w:val="000000" w:themeColor="text1"/>
          <w:sz w:val="16"/>
          <w:szCs w:val="16"/>
          <w:lang w:eastAsia="ru-RU"/>
        </w:rPr>
      </w:pPr>
      <w:r w:rsidRPr="00E93F40">
        <w:rPr>
          <w:rFonts w:ascii="Times New Roman" w:hAnsi="Times New Roman"/>
          <w:color w:val="000000" w:themeColor="text1"/>
          <w:sz w:val="16"/>
          <w:szCs w:val="16"/>
        </w:rPr>
        <w:t>4 сентября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«Труде» появилось постановление ВЦСПС с критикой перегибов в библиотечном деле. Ровно через месяц, в Постановлении Коллегии НКП "О просмотре книжного состава библиотек" признавались ошибки и извращения в политике библиотечных чисток. В результате этого было признано необходимым "немедленно прекратить массовое изъятие книг из библиотек". Сектору массовой политпросветработы предлагалось в 10-дневный срок представить проект приказа о порядке хранения и изъятия книг. Начальнику Главлита Б.М.Волину поручалось возглавить комиссию для подготовки в 15-дневный срок доклада Коллегии НКП о книжных фондах. 16 октября член Коллегии Наркомпроса и член Центральной Контрольной Комиссии (ЦКК), следящей за нравственностью членов партии, бывший заместитель заведующего Агитпропа ЦК Н.В.Мальцев направил своему начальству письмо с описанием варварских чисток и с критикой ВЦСПС. Кроме этого, Н.В.Мальцев предлагал «1) Войти в ЦК ВКП (б) с предложением о немедленном прекращении чистки... 2) Создать при Президиуме ЦКК комиссию для выявления действительных виновников преступного проведения чистки и для разработки мероприятий, ликвидирующих вредные последствия такого проведения».</w:t>
      </w:r>
    </w:p>
    <w:p w14:paraId="7AC7F42A" w14:textId="7B9CD048" w:rsidR="000B4F2C" w:rsidRPr="00E93F40" w:rsidRDefault="000B4F2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октября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 «извращениях» в просмотре книжных фондов нарком просвещения А.С.Бубнов (1880-1949), доложил в Политбюро. Было принято решение «В виду совершенно недопустимого, по существу антисоветского характера, который приобрела чистка библиотек за последние два года, немедленно прекратить чистку, перевозку и перепродажу книг из всех библиотек». Кроме этого, было решено создать при Президиуме ЦКК комиссию "для выявления действительных виновников преступного проведения чистки и для разработки мероприятий". Член Президиума ЦКК Н.К.Антипов (1894-1938) подготовил список состава «комиссии ЦКК по библиотечному делу», который достаточно формально был утвержден опросом членов Политбюро 30 октября. В комиссию под председательством члена Президиума Центрального Исполнительного Комитета (ЦИК) СССР и члена ЦКК А.С.Енукидзе (1877-1937) вошли 23 человека, среди них представители Наркомпроса (Н.Н.Колотилов, Н.В.Мальцев и Н.К.Крупская), Главлита (А.А.Сольц), директора Публичной Библиотеки им. М.Е.Салтыкова-Щедрина, Публичной им. В.И.Ленина и Библиотеки МГУ. 8</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ноября</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после отчета ЦКК, Политбюро передало этот вопрос в Оргбюро ЦК для окончательного разрешения</w:t>
      </w:r>
      <w:bookmarkStart w:id="42" w:name="_ftnref10"/>
      <w:r w:rsidRPr="00E93F40">
        <w:rPr>
          <w:rFonts w:ascii="Times New Roman" w:hAnsi="Times New Roman"/>
          <w:color w:val="000000" w:themeColor="text1"/>
          <w:sz w:val="16"/>
          <w:szCs w:val="16"/>
        </w:rPr>
        <w:t xml:space="preserve"> (17273)</w:t>
      </w:r>
      <w:bookmarkEnd w:id="42"/>
      <w:r w:rsidRPr="00E93F40">
        <w:rPr>
          <w:rFonts w:ascii="Times New Roman" w:hAnsi="Times New Roman"/>
          <w:color w:val="000000" w:themeColor="text1"/>
          <w:sz w:val="16"/>
          <w:szCs w:val="16"/>
        </w:rPr>
        <w:t>.</w:t>
      </w:r>
    </w:p>
    <w:p w14:paraId="63EEF05B" w14:textId="77777777" w:rsidR="000B4F2C" w:rsidRPr="00E93F40" w:rsidRDefault="000B4F2C" w:rsidP="00E93F40">
      <w:pPr>
        <w:autoSpaceDE w:val="0"/>
        <w:autoSpaceDN w:val="0"/>
        <w:adjustRightInd w:val="0"/>
        <w:spacing w:after="0" w:line="240" w:lineRule="auto"/>
        <w:jc w:val="both"/>
        <w:rPr>
          <w:rFonts w:ascii="Times New Roman" w:hAnsi="Times New Roman"/>
          <w:color w:val="000000" w:themeColor="text1"/>
          <w:sz w:val="16"/>
          <w:szCs w:val="16"/>
        </w:rPr>
      </w:pPr>
    </w:p>
    <w:p w14:paraId="6087D2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сентября 1932 в Свердловской области в с. Герасимовка состоялось убийство П.Морозова, ставшего первым пионером-героем (10687).</w:t>
      </w:r>
    </w:p>
    <w:p w14:paraId="55928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08453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сентября 1932 на Украине создан Институт красной профессуры (4962).</w:t>
      </w:r>
    </w:p>
    <w:p w14:paraId="6554B0A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0A477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E658F8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94017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сентября 1932 комиссия утвердила вариант установки 3 ускорителей на АНТ-4 после отработки ряда вариантов на АНТ-4 2хМ-17 N 614 (1016,156).</w:t>
      </w:r>
    </w:p>
    <w:p w14:paraId="5AD11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C0A0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сентября 1932 начались опыты по взлету ТБ-1 с ускорителями. Время разбега сокращалось до 1.5-2 сек. (438,622).</w:t>
      </w:r>
    </w:p>
    <w:p w14:paraId="2FDD1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51A582" w14:textId="77777777" w:rsidR="000D35EB" w:rsidRPr="00E93F40" w:rsidRDefault="000D35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сентября 1932 г. состоялся второй в СССР опыт применения пороховых ранет на самолете в качестве ускорителей взлета. На самолете ТБ-1 В двумя моторами М-17 по 500 л.с. было установлено шесть ракет по три с каждой стороны фюзеляжа. Взрываясь на разбеге, ракеты сократили время разбега до 1,5-2 секунды. Ввиду кратковременности действия и незначительного прироста тяги пороховые ракеты тогда не нашли себе применения.</w:t>
      </w:r>
    </w:p>
    <w:p w14:paraId="40475CFE" w14:textId="77777777" w:rsidR="000D35EB" w:rsidRPr="00E93F40" w:rsidRDefault="000D35E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материалам В.Б.Шаврова/ (23370).</w:t>
      </w:r>
    </w:p>
    <w:p w14:paraId="0CC7645A" w14:textId="77777777" w:rsidR="000D35EB" w:rsidRPr="00E93F40" w:rsidRDefault="000D35EB" w:rsidP="00E93F40">
      <w:pPr>
        <w:spacing w:after="0" w:line="240" w:lineRule="auto"/>
        <w:jc w:val="both"/>
        <w:rPr>
          <w:rFonts w:ascii="Times New Roman" w:hAnsi="Times New Roman"/>
          <w:color w:val="000000" w:themeColor="text1"/>
          <w:sz w:val="16"/>
          <w:szCs w:val="16"/>
        </w:rPr>
      </w:pPr>
    </w:p>
    <w:p w14:paraId="2F27B432" w14:textId="77777777" w:rsidR="009276CD" w:rsidRPr="00E93F40" w:rsidRDefault="009276CD"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138BC3B" w14:textId="77777777" w:rsidR="009276CD" w:rsidRPr="00E93F40" w:rsidRDefault="009276C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FDFD54A" w14:textId="77777777" w:rsidR="009276CD" w:rsidRPr="00E93F40" w:rsidRDefault="009276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сентября 1932 пилот-каскадер из фильма Эл Уилсон погиб в своем биплане 1910 года после столкновения с автожиром (20803).</w:t>
      </w:r>
    </w:p>
    <w:p w14:paraId="29065DB6" w14:textId="77777777" w:rsidR="009276CD" w:rsidRPr="00E93F40" w:rsidRDefault="009276CD" w:rsidP="00E93F40">
      <w:pPr>
        <w:spacing w:after="0" w:line="240" w:lineRule="auto"/>
        <w:jc w:val="both"/>
        <w:rPr>
          <w:rFonts w:ascii="Times New Roman" w:hAnsi="Times New Roman"/>
          <w:color w:val="000000" w:themeColor="text1"/>
          <w:sz w:val="16"/>
          <w:szCs w:val="16"/>
        </w:rPr>
      </w:pPr>
    </w:p>
    <w:p w14:paraId="50B5A8F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41F95C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C18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сентября 1932 был заключен договор с фирмой Фиат по оказанию техпомощи на постройку (и проектирование) Центрального литейного завода и реконструкцию литейных заводов NN 26 и 24 (3082).</w:t>
      </w:r>
    </w:p>
    <w:p w14:paraId="5E5C1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031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сентября 1932 года был заключен договор с итальянской фирмой «Фиат» по оказанию техпомощи на постройку (и проектирование) Центрального литейного завода и реконструкцию литейных заводов №№ 26 и 24. После заключения договора выехала в Турин комиссия Голававиапрома, которой на месте совместно с фирмой «Фиат» проработан предварительный проект завода № 120. Изготовлена часть чертежей формовочного и литейного хозяйства. Изготовлены деревянные модели по которым отливаются детали наших моторов. Начались работы по новым сплавам. Наши инженеры все время сидят в литейной «Фиата» и перенимают опыт фирмы (3530,107).</w:t>
      </w:r>
    </w:p>
    <w:p w14:paraId="4BDC80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4A5DCF" w14:textId="77777777" w:rsidR="003F2C79"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0FDAF01" w14:textId="77777777" w:rsidR="003F2C79" w:rsidRPr="00E93F40" w:rsidRDefault="003F2C7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F2FAD47" w14:textId="77777777" w:rsidR="00106A07" w:rsidRPr="00E93F40" w:rsidRDefault="00106A07" w:rsidP="00E93F40">
      <w:pPr>
        <w:spacing w:after="0" w:line="240" w:lineRule="auto"/>
        <w:jc w:val="both"/>
        <w:rPr>
          <w:rFonts w:ascii="Times New Roman" w:hAnsi="Times New Roman"/>
          <w:color w:val="000000" w:themeColor="text1"/>
          <w:sz w:val="16"/>
          <w:szCs w:val="16"/>
        </w:rPr>
      </w:pPr>
      <w:r w:rsidRPr="00E93F40">
        <w:rPr>
          <w:rFonts w:ascii="Times New Roman" w:eastAsiaTheme="minorHAnsi" w:hAnsi="Times New Roman"/>
          <w:color w:val="000000" w:themeColor="text1"/>
          <w:sz w:val="16"/>
          <w:szCs w:val="16"/>
        </w:rPr>
        <w:t>6 сентября</w:t>
      </w:r>
      <w:r w:rsidRPr="00E93F40">
        <w:rPr>
          <w:rFonts w:ascii="Times New Roman" w:hAnsi="Times New Roman"/>
          <w:color w:val="000000" w:themeColor="text1"/>
          <w:sz w:val="16"/>
          <w:szCs w:val="16"/>
        </w:rPr>
        <w:t xml:space="preserve"> в 1932 году на заводе "Радист" (Ленинград) сконструирована первая советская радиола (14761).</w:t>
      </w:r>
    </w:p>
    <w:p w14:paraId="731756A1" w14:textId="77777777" w:rsidR="00106A07" w:rsidRPr="00E93F40" w:rsidRDefault="00106A07" w:rsidP="00E93F40">
      <w:pPr>
        <w:spacing w:after="0" w:line="240" w:lineRule="auto"/>
        <w:jc w:val="both"/>
        <w:rPr>
          <w:rFonts w:ascii="Times New Roman" w:hAnsi="Times New Roman"/>
          <w:color w:val="000000" w:themeColor="text1"/>
          <w:sz w:val="16"/>
          <w:szCs w:val="16"/>
        </w:rPr>
      </w:pPr>
    </w:p>
    <w:p w14:paraId="61635686" w14:textId="77777777" w:rsidR="003F2C79" w:rsidRPr="00E93F40" w:rsidRDefault="003F2C7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6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1381/297сс о полевых органах Цудортранса на военное время (ГА РФ. Ф. Р?8418. Оп. 28. Д. 146. Л. 109?114) (12415).</w:t>
      </w:r>
    </w:p>
    <w:p w14:paraId="3AFB2C38" w14:textId="77777777" w:rsidR="003F2C79" w:rsidRPr="00E93F40" w:rsidRDefault="003F2C7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СНК СССР № 1382/298сс о полевых органах НКПС в военное время (ГА РФ. Ф. Р?8418. Оп. 28. Д. 146. Л. 115?123) (12415).</w:t>
      </w:r>
    </w:p>
    <w:p w14:paraId="50DC3C81" w14:textId="77777777" w:rsidR="003F2C79" w:rsidRPr="00E93F40" w:rsidRDefault="003F2C7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1100/334сс об обеспечении нефтехранилищами морских сил ДВ (ГА РФ. Ф. Р?8418. Оп. 28. Д. 1а. Л. 338) (12415).</w:t>
      </w:r>
    </w:p>
    <w:p w14:paraId="2C0A0ABD" w14:textId="77777777" w:rsidR="003F2C79" w:rsidRPr="00E93F40" w:rsidRDefault="003F2C7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1101/335сс о проектировании производственных зданий Военно-химического объединения и Государственного химического треста № 1 (ГА РФ. Ф. Р?8418. Оп. 28. Д. 1а. Л. 339) (12415).</w:t>
      </w:r>
    </w:p>
    <w:p w14:paraId="184AC164" w14:textId="77777777" w:rsidR="003F2C79" w:rsidRPr="00E93F40" w:rsidRDefault="003F2C79"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1102/ЗЗ6сс об устройстве связи органов военных сообщений (ГА РФ. Ф. Р?8418. Оп. 28. Д. 1а. Л. 340) (12415).</w:t>
      </w:r>
    </w:p>
    <w:p w14:paraId="06E9CCCF" w14:textId="77777777" w:rsidR="003F2C79" w:rsidRPr="00E93F40" w:rsidRDefault="003F2C79" w:rsidP="00E93F40">
      <w:pPr>
        <w:spacing w:after="0" w:line="240" w:lineRule="auto"/>
        <w:jc w:val="both"/>
        <w:rPr>
          <w:rFonts w:ascii="Times New Roman" w:hAnsi="Times New Roman"/>
          <w:color w:val="000000" w:themeColor="text1"/>
          <w:sz w:val="16"/>
          <w:szCs w:val="16"/>
          <w:u w:color="002060"/>
        </w:rPr>
      </w:pPr>
    </w:p>
    <w:p w14:paraId="5262CC8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34C709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892B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сентября 1932 состоялись испытания десантного планера Г-31 Яков Алкснис Б.Урлапова. Буксировали за Р-5 с загрузкой в виде мешков с песком. Пилотировал планер П.Гроховский, а на Р-5 был Б.Бицкий, а пассажиром-наблюдателем был Б.Урлапов (2830,34).</w:t>
      </w:r>
    </w:p>
    <w:p w14:paraId="275B64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был 18-20-местный 3-тонный планер для буксировки за Р-5 (воздушный буксирный поезд Р-5 Г-31). Грузоподъемность - 1700 кг. Размах крыла - 28 м. Мог использоваться как санитарный или как бензовоз. При питании Р-5 мог иметь дальность 4000 км вместо 1000 км (2910).</w:t>
      </w:r>
    </w:p>
    <w:p w14:paraId="7839D7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156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сентября 1932 планер Г-63 разобрали на части и перевезли в Гатчине для испытаний. Транспортировка по узкому шоссе планера шириной 6 м и длинной 12 м вызвала множество затруднений (1101,111).</w:t>
      </w:r>
    </w:p>
    <w:p w14:paraId="76518C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8341D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3820F2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E1A03A" w14:textId="7EDD47FE" w:rsidR="009276CD" w:rsidRPr="00E93F40" w:rsidRDefault="009276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7 сентября по 14 сентября 1932 для проверки сигнала на заводе № 135 работала комиссия УВВС РККА (в нее входили Н.А. Жемчужин от НИИ ВВС, А.П. Сеньков от ЦАГИ, В.П. Невдачин от ГУ ГВФ и др.), которая дала положительное заключение проекту К-7.</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Выпуск рабочей КД завершили в октябре 1932 г., когда постройка самолета уже шла (23097).</w:t>
      </w:r>
    </w:p>
    <w:p w14:paraId="3FCCB89F" w14:textId="77777777" w:rsidR="009276CD" w:rsidRPr="00E93F40" w:rsidRDefault="009276CD" w:rsidP="00E93F40">
      <w:pPr>
        <w:spacing w:after="0" w:line="240" w:lineRule="auto"/>
        <w:jc w:val="both"/>
        <w:rPr>
          <w:rFonts w:ascii="Times New Roman" w:hAnsi="Times New Roman"/>
          <w:color w:val="000000" w:themeColor="text1"/>
          <w:sz w:val="16"/>
          <w:szCs w:val="16"/>
        </w:rPr>
      </w:pPr>
    </w:p>
    <w:p w14:paraId="7F8C2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(7-14) 1932 на ХАЗОСС работала комиссия начальника ВВС, включая Н.А.Жемчужина от НИИ ВВС, А.П.Сенькова от ЦАГИ и В.П.Невдачина от НИИ ГВФ чтобы дать оценку состояния работ по К-7. Комиссия отметила, что К-7 - шаг вперед. Постройка способствовала началу производства хромомолибденовых труб (70,215).</w:t>
      </w:r>
    </w:p>
    <w:p w14:paraId="3E88A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3EFA0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7 сентября по 14 сентября 1932 г. на заводе № 135 работала комиссия УВВС РККА (в нее входили Н.А. Жемчужин от НИИ ВВС, А.П. Сеньков от ЦАГИ, В.П. Невдачин от ГУ ГВФ и др.), которая дала положительное заключение проекту К-7 (23561).</w:t>
      </w:r>
    </w:p>
    <w:p w14:paraId="260A2D04" w14:textId="77777777" w:rsidR="004A7F89" w:rsidRPr="00E93F40" w:rsidRDefault="004A7F89" w:rsidP="00E93F40">
      <w:pPr>
        <w:spacing w:after="0" w:line="240" w:lineRule="auto"/>
        <w:jc w:val="both"/>
        <w:rPr>
          <w:rFonts w:ascii="Times New Roman" w:hAnsi="Times New Roman"/>
          <w:color w:val="000000" w:themeColor="text1"/>
          <w:sz w:val="16"/>
          <w:szCs w:val="16"/>
        </w:rPr>
      </w:pPr>
    </w:p>
    <w:p w14:paraId="1C9AF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с 7 по 14 сентября 1932 комиссия, назначенная Нач. ВВС РККА в составе и НИИ ВВС Н.А.Жемчужина, и ЦАГИ Сенькова и и НИИ ГУГВФ В.И.Невдачина обследовала состояние работ по проектированию и постройке К-7. По состоянию на 10 сентября проект был исполнен в детальных чертежах на 95%..., закончено спецздание для сборки самолета, пъедестальный стапель и т.п... Производство выполнено на 5-10%. Моторы М-34 и приборы пока не поступили. Решили, что к 1 мая выйдет вряд ли, а к 1 июля 1933 - возможно. Отмечена и то, что разрешена проблема строительства больших самолетов из хромомолибденовых труб (2306,45).</w:t>
      </w:r>
    </w:p>
    <w:p w14:paraId="00929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5CA6F4" w14:textId="77777777" w:rsidR="00512182" w:rsidRPr="00E93F40" w:rsidRDefault="005121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сентября 1932 г. началась эксплуатация пассажирского самолета АНТ-9 на линии Дерулулюфта Москва-Берлин. Первым рейсом в Берлин вылетел пилот И.П.Шебанов. До этого с советской стороны полеты на этой линии производились только на иностранных самолетах.</w:t>
      </w:r>
    </w:p>
    <w:p w14:paraId="087D9CC3" w14:textId="77777777" w:rsidR="00512182" w:rsidRPr="00E93F40" w:rsidRDefault="0051218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ВЦИК" за 8 сентября 1932/ (23370).</w:t>
      </w:r>
    </w:p>
    <w:p w14:paraId="55F38834" w14:textId="77777777" w:rsidR="00512182" w:rsidRPr="00E93F40" w:rsidRDefault="00512182" w:rsidP="00E93F40">
      <w:pPr>
        <w:spacing w:after="0" w:line="240" w:lineRule="auto"/>
        <w:jc w:val="both"/>
        <w:rPr>
          <w:rFonts w:ascii="Times New Roman" w:hAnsi="Times New Roman"/>
          <w:color w:val="000000" w:themeColor="text1"/>
          <w:sz w:val="16"/>
          <w:szCs w:val="16"/>
        </w:rPr>
      </w:pPr>
    </w:p>
    <w:p w14:paraId="5E54536B" w14:textId="6FB65D29" w:rsidR="004A7F89" w:rsidRPr="00E93F40" w:rsidRDefault="004A7F89"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F2F5FF2" w14:textId="77777777" w:rsidR="004A7F89" w:rsidRPr="00E93F40" w:rsidRDefault="004A7F89"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5780C86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сентября 1932 г. НТК УММ РККА был получен и зарегистрирован под № 2125 первый обстоятельный Доклад о состоянии всех опытно-конструкторских работ на ХПЗ, составленный И.Л. Кинсбургским - военным представителем УММ РККА по опытно-конструкторским работам. В разделе «Состояние проектирования и производства опытных быстроходных дизелей» этого доклада было записано:</w:t>
      </w:r>
    </w:p>
    <w:p w14:paraId="0294796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чертежей и бесед выяснил следующее:</w:t>
      </w:r>
    </w:p>
    <w:p w14:paraId="1501119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Полностью спроектирован быстроходный четырехтактный 4-х цилиндровый тракторный двигатель ТД-16.</w:t>
      </w:r>
    </w:p>
    <w:p w14:paraId="650BE2A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&lt;...&gt;</w:t>
      </w:r>
    </w:p>
    <w:p w14:paraId="1402547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Окончательно спроектирован и разработан детально до рабочих чертежей включительно опытный 2-х цилиндровый 4-х тактный мотор БД-14.</w:t>
      </w:r>
    </w:p>
    <w:p w14:paraId="386F3D7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НЕКОТОРЫЕ ТЕХНИЧЕСКИЕ ДАННЫЕ БД-14.</w:t>
      </w:r>
    </w:p>
    <w:p w14:paraId="1E96993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Диаметр цилиндра – 140 мм.</w:t>
      </w:r>
    </w:p>
    <w:p w14:paraId="12816ED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Ход поршня – 165 мм.</w:t>
      </w:r>
    </w:p>
    <w:p w14:paraId="0A84D72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Число оборотов в минуту – 1800.</w:t>
      </w:r>
    </w:p>
    <w:p w14:paraId="253E2EA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Степень сжатия – 16,5.</w:t>
      </w:r>
    </w:p>
    <w:p w14:paraId="5D91C8A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Мощность в цилиндре с применением наддувки – 35 НР.</w:t>
      </w:r>
    </w:p>
    <w:p w14:paraId="3CCBFA7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Габариты взяты по помещению БТ.</w:t>
      </w:r>
    </w:p>
    <w:p w14:paraId="7854D03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чертежи спущены в цеха еще с середины марта с.г. однако до сих пор еще не все детали изготовлены.</w:t>
      </w:r>
    </w:p>
    <w:p w14:paraId="68C3D8A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Задержки в производстве деталей опытных двигателей ТД-16 и БД-14 вызываются по моему мнению не столько отсутствием свободных станков, в Дизельном цехе вследствие загрузки деталями БТ, сколько недостаточным вниманием Заводоуправления и заготовительных цехов к изготовлению опытных деталей.</w:t>
      </w:r>
    </w:p>
    <w:p w14:paraId="3C5AFAB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ДИЗЕЛЬ МОТОР "БД-2"</w:t>
      </w:r>
    </w:p>
    <w:p w14:paraId="095066D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Некоторые технические данные:</w:t>
      </w:r>
    </w:p>
    <w:p w14:paraId="6C8525D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Диаметр цилиндра – 150 мм.</w:t>
      </w:r>
    </w:p>
    <w:p w14:paraId="4B09484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Ход поршня – 180 мм.</w:t>
      </w:r>
    </w:p>
    <w:p w14:paraId="3E2694D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Число оборотов в минуту – 1700</w:t>
      </w:r>
    </w:p>
    <w:p w14:paraId="6929267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Число цилиндров – 12.</w:t>
      </w:r>
    </w:p>
    <w:p w14:paraId="6AB68B8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Среднее эффективное давление – 5,5 кг/см2</w:t>
      </w:r>
    </w:p>
    <w:p w14:paraId="7814DA5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Средняя скорость поршня – 10,2 мт./сек.</w:t>
      </w:r>
    </w:p>
    <w:p w14:paraId="5309434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Полная мощность – 400 НР.</w:t>
      </w:r>
    </w:p>
    <w:p w14:paraId="2567B90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Габариты взяты по помещению БТ.</w:t>
      </w:r>
    </w:p>
    <w:p w14:paraId="1731925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двигателя БД-2 далеко еще не закончено. Только отдельные комплекты как-то:</w:t>
      </w:r>
    </w:p>
    <w:p w14:paraId="63C7DCC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Коренной [коленчатый] вал, верхний и нижний картер, поршень с шатунами рассчитаны и детальная конструктивная разработка заканчивается. Окончательная же разработка чертежей всего двигателя, будет выполнена к 1.XI-с.г.</w:t>
      </w:r>
    </w:p>
    <w:p w14:paraId="056EDCC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&lt;...&gt;</w:t>
      </w:r>
    </w:p>
    <w:p w14:paraId="091951A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Необходимые дополнительные данные по всем опытным дизель-моторам и чертежи по требованию УММ могут быть немедленно высланы.</w:t>
      </w:r>
    </w:p>
    <w:p w14:paraId="2B5E61D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ВЫВОДЫ.</w:t>
      </w:r>
    </w:p>
    <w:p w14:paraId="5EDB42D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Считаю необходимым воздействовать со стороны УММ на Заводоуправление, чтобы ускорить изготовление вышеуказанных опытных дизель-моторов. Форсирование этих работ диктуется:</w:t>
      </w:r>
    </w:p>
    <w:p w14:paraId="1CA07A5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Необходимостью внесения изменений в проектируемой для БТ 12 цилиндровой дизель-мотор, после испытания 2-х цилиндровой секции, т.к. запоздание производства и следовательно испытания последних будет стоить много времени и средств.</w:t>
      </w:r>
    </w:p>
    <w:p w14:paraId="5381361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Экономичностью эксплоатации машин с дизель-мотором (меньше расход топлива на лошад. силу в час) и разрешением топливной проблемы (переход на низкие сорта топлива)».</w:t>
      </w:r>
    </w:p>
    <w:p w14:paraId="1F04E0D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[РГВА. Ф. 31811. Оп. 3. Д. 79. Л. 564 – 565 об.]</w:t>
      </w:r>
    </w:p>
    <w:p w14:paraId="1932020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указанных в докладе И.Л. Кинсбургским причин для форсирования работ по созданию дизеля для танка БТ, была и еще одна, крайне важная причина. К началу осени 1932 г. проблема с обеспечением танков БТ отечественными двигателями в целом оставалась не решенной (24856).</w:t>
      </w:r>
    </w:p>
    <w:p w14:paraId="2E83A3CD" w14:textId="77777777" w:rsidR="004A7F89" w:rsidRPr="00E93F40" w:rsidRDefault="004A7F89" w:rsidP="00E93F40">
      <w:pPr>
        <w:spacing w:after="0" w:line="240" w:lineRule="auto"/>
        <w:jc w:val="both"/>
        <w:rPr>
          <w:rFonts w:ascii="Times New Roman" w:hAnsi="Times New Roman"/>
          <w:color w:val="000000" w:themeColor="text1"/>
          <w:sz w:val="16"/>
          <w:szCs w:val="16"/>
        </w:rPr>
      </w:pPr>
    </w:p>
    <w:p w14:paraId="0B2FB53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сентября 1932 г.</w:t>
      </w:r>
    </w:p>
    <w:p w14:paraId="4048766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Фонд 31811 Опись 3 Дело 79 лист 552 – 565</w:t>
      </w:r>
    </w:p>
    <w:p w14:paraId="36F2D1F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документе штамп Научно-технического комитета УММ РККА: «Вх. № 2125 от 7.IX-1392 г.»</w:t>
      </w:r>
    </w:p>
    <w:p w14:paraId="1C6EB3D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Секретно </w:t>
      </w:r>
    </w:p>
    <w:p w14:paraId="5DF5621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04/К</w:t>
      </w:r>
    </w:p>
    <w:p w14:paraId="29C2092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СОСТОЯНИИ ВСЕХ ОПЫТНО-КОНСТРУКТОРСКИХ РАБОТ НА Г.Х.П.З.</w:t>
      </w:r>
    </w:p>
    <w:p w14:paraId="13E587A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Отп. 4 экз. </w:t>
      </w:r>
    </w:p>
    <w:p w14:paraId="6792599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документе резолюция И.А. Лебедева: </w:t>
      </w:r>
    </w:p>
    <w:p w14:paraId="74834DE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 Тоскину. </w:t>
      </w:r>
    </w:p>
    <w:p w14:paraId="6C51115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Необходимо вызвать тов. Кингсбургского в Москву для полной информации и дать ему наши новые задания. </w:t>
      </w:r>
    </w:p>
    <w:p w14:paraId="7D129F2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С этим материалом внимательно ознакомьтесь – составлен он очень хорошо и технически грамотно». </w:t>
      </w:r>
    </w:p>
    <w:p w14:paraId="4E707AB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СОСТОЯНИЕ ОПЫТНЫХ РАБОТ НА Х.П.З. </w:t>
      </w:r>
    </w:p>
    <w:p w14:paraId="4C2015A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w:t>
      </w:r>
    </w:p>
    <w:p w14:paraId="05EB350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проектирования опытных машин по отделу Т-2.</w:t>
      </w:r>
    </w:p>
    <w:p w14:paraId="2B5D4DF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 чертежей и бесед с заведующим и рядом инженеров из конструкторского бюро выяснил весь ход конструктивных изменений проектируемых машин, который представляется в следующем виде: </w:t>
      </w:r>
    </w:p>
    <w:p w14:paraId="3583E39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 Машина Б-Т-4 конструктивно получала изменения почти исключительно в деталях самого корпуса. </w:t>
      </w:r>
    </w:p>
    <w:p w14:paraId="1FBE741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НОСОВАЯ ЧАСТЬ КОРПУСА. </w:t>
      </w:r>
    </w:p>
    <w:p w14:paraId="6879641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Совершенно выброшена стальная отливка "связь носа" и заменена специальной сварной конструкцией. </w:t>
      </w:r>
    </w:p>
    <w:p w14:paraId="14017AE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Боковые крюки для буксировки заменены одной центральной кольцевой конструкцией. </w:t>
      </w:r>
    </w:p>
    <w:p w14:paraId="17D3F03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Клепка петель дверей и рукояток заменена сваркой. </w:t>
      </w:r>
    </w:p>
    <w:p w14:paraId="38B4409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Конструкция консолей "крыльев жесткости" изменена в сторону перехода на сварку, совершенно выброшены угольники боковой стенки, оставшиеся угольники упираются всей своей плоскостью в стальную трубу. </w:t>
      </w:r>
    </w:p>
    <w:p w14:paraId="761E679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Уменьшено количество фасок на броневых листах. </w:t>
      </w:r>
    </w:p>
    <w:p w14:paraId="07793FC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ПЕРЕГОРОДКА МЕЖДУ БОЕВЫМ И МАШИННЫМ ОТДЕЛЕНИЯМИ. </w:t>
      </w:r>
    </w:p>
    <w:p w14:paraId="518FD3F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Открывающиеся во внутрь боевого отделения дверцы заменены опускающимся люком на барашках. </w:t>
      </w:r>
    </w:p>
    <w:p w14:paraId="15C3601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Клепка листов к угольникам заменена сваркой. </w:t>
      </w:r>
    </w:p>
    <w:p w14:paraId="0349C5B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Вместо 4-х скрепляющих перегородку угольников установлены только два согнутых, обеспечивающих большую жесткость. </w:t>
      </w:r>
    </w:p>
    <w:p w14:paraId="4031FCC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ОСТАЛЬНЫЕ ВСЕ ПЕРЕГОРОДКИ ЗАМЕНЕНЫ НА СВАРНЫЕ. </w:t>
      </w:r>
    </w:p>
    <w:p w14:paraId="58BA4FB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КРОНШТЕЙН ПОД МОТОР (ОТЛИВКА) ЗАМЕНЕН СВАРНОЙ КОНСТРУКЦИЕЙ. </w:t>
      </w:r>
    </w:p>
    <w:p w14:paraId="7E90AA3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ЖАЛЮЗИ ДЛЯ ВЫХОДА ГОРЯЧЕГО ВОЗДУХА СДЕЛАНЫ УПРАВЛЯЕМЫМИ С МЕСТА ВОДИТЕЛЯ. </w:t>
      </w:r>
    </w:p>
    <w:p w14:paraId="0EDE190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ПЕРЕВЕДЕНЫ НА СВАРКУ ВОРОТНИКИ БАЛАНСИРНЫХ ТРУБ. </w:t>
      </w:r>
    </w:p>
    <w:p w14:paraId="79730BD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ПОДКОСЫ НАВЕСКИ БОКОВЫХ БРОНЕВЫХ ЛИСТОВ ПЕРЕВЕДЕНЫ НА СВАРКУ, ИЗМЕНЕННАЯ КОНСТРУКЦИЯ ПОДКОСОВ ОБЕСПЕЧИВАЕТ ВЫЕМКУ ПРУЖИН БЕЗ СНЯТИЯ БОКОВОГО ЛИСТА И СРАВНИТЕЛЬНО БЫСТРУЮ И ЛЕГКУЮ НАВЕСКУ БРОНИ. </w:t>
      </w:r>
    </w:p>
    <w:p w14:paraId="4D9B13D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КРЫЛЬЯ ДЛЯ УКЛАДКИ ГУСЕНИЧНЫХ ЛЕНТ ПРИ ДВИЖЕНИИ ТАНКА НА КОЛЕСНОМ ХОДУ ОБЛЕГЧЕНЫ, КОНСТРУКЦИЯ УПРОЩЕНА И ПЕРЕВЕДЕНА НА СВАРКУ. </w:t>
      </w:r>
    </w:p>
    <w:p w14:paraId="515446E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Все чертежи БТ-4 разработаны еще в конце Июля, в первых числах Августа они должны были быть направлены на Ижорский завод, но были задержаны главным инженером ХПЗ и переданы Н-ку АВО (автогенного отдела) для просмотра. 24 августа чертежи возвращены обратно с рецензией Н-ка АВО. Сейчас замечания обсуждаются и не позднее 3 – 4 Сентября будут окончательно отправлены на Ижорский завод для изготовления брони на три опытных машины. </w:t>
      </w:r>
    </w:p>
    <w:p w14:paraId="293160D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II. Машина БТ-5 претерпевает изменения почти только в своей боевой части. Они сводятся к следующему: </w:t>
      </w:r>
    </w:p>
    <w:p w14:paraId="665DE0A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Устанавливается совершенно новая башня, большая по сравнению с прежней, по своим размерам, и несколько иной конструкции с нишей сзади. </w:t>
      </w:r>
    </w:p>
    <w:p w14:paraId="3A80C68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Устанавливается новое вооружение 45 мм пушка вместо 37 мм, пулемет тот-же. </w:t>
      </w:r>
    </w:p>
    <w:p w14:paraId="794E058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Устанавливается радиостанция. Для этого урезана арка над водителем и жесткость сохраняется специальными коробками, укрепленными вне боевого отделения. </w:t>
      </w:r>
    </w:p>
    <w:p w14:paraId="41372B5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Вследствие изменения отверстия в крыше под башней несколько изменилась перегородка между машинным и боевым отделением (выгнута и изменена в деталях). </w:t>
      </w:r>
    </w:p>
    <w:p w14:paraId="7C86890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Изменилась крыша в боевом отделении. </w:t>
      </w:r>
    </w:p>
    <w:p w14:paraId="504415B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Изменился щиток водителя в части смотрового отверстия. Последнее увеличено и имеет стеклянную обойму. </w:t>
      </w:r>
    </w:p>
    <w:p w14:paraId="5F0188E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Увеличивается запас патронов, т.к. меняется укладка по бортам боевого отделения, добавляется укладка патронов под полом в боевом помещении и, кроме того, укладывается дополнительно 25 штук в нише башни. </w:t>
      </w:r>
    </w:p>
    <w:p w14:paraId="58EE296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Все эти изменения увеличивают вес всей машины в целом приблизительно на 700 – 800 клг. </w:t>
      </w:r>
    </w:p>
    <w:p w14:paraId="43B7880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Состояние выполнения проектных работ по БТ-5 таково: полностью изготовлены 6 чертежей общих видов и 137 детальных, осталось проверить и скопировать уже изготовленных в карандаше около 250 чертежей следующих узлов: </w:t>
      </w:r>
    </w:p>
    <w:p w14:paraId="72EA10B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Укладка снарядов в башне. </w:t>
      </w:r>
    </w:p>
    <w:p w14:paraId="189021B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Патронташ пулеметных магазинов в башне. </w:t>
      </w:r>
    </w:p>
    <w:p w14:paraId="6C6A05E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Укладка снарядов в нише башни. </w:t>
      </w:r>
    </w:p>
    <w:p w14:paraId="3A705C8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Поворотный механизм башни. </w:t>
      </w:r>
    </w:p>
    <w:p w14:paraId="0399C41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w:t>
      </w:r>
    </w:p>
    <w:p w14:paraId="3D0375A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Броневая установка оптического прибора. </w:t>
      </w:r>
    </w:p>
    <w:p w14:paraId="48C63BD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Стопора башни и пушки. </w:t>
      </w:r>
    </w:p>
    <w:p w14:paraId="77F2D10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Листы 1-го и 2-го корпуса башни. </w:t>
      </w:r>
    </w:p>
    <w:p w14:paraId="394A6B5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Сидение в башне. </w:t>
      </w:r>
    </w:p>
    <w:p w14:paraId="7704A21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Антенна и ввод ее. </w:t>
      </w:r>
    </w:p>
    <w:p w14:paraId="07CA98F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Установка аккумуляторов под сидением. </w:t>
      </w:r>
    </w:p>
    <w:p w14:paraId="025AB1C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12) Укладка снарядов, патронов и радиоаппаратуры в корпусе машины. </w:t>
      </w:r>
    </w:p>
    <w:p w14:paraId="6C627FF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13) Угольник, поддерживающий радиатор. </w:t>
      </w:r>
    </w:p>
    <w:p w14:paraId="19D4502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Распределитель щитка электрооборудования. </w:t>
      </w:r>
    </w:p>
    <w:p w14:paraId="0113806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15) Смотровой прибор в корпусе машины. </w:t>
      </w:r>
    </w:p>
    <w:p w14:paraId="643089B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Вся работа будет окончательно выполнена в 1-й половине Сентября. Одновременно с заканчиванием всех проектных работ производится изготовление 10 опытных машин БТ-5 с железными башнями (причем первый корпус будет готов, по заявлению Н-ка АВО, не раньше 5-го Сентября с.г., несмотря на мои неоднократные напоминания заводоуправлению о выполнении заказа, согласно договора с УММ, к сроку. </w:t>
      </w:r>
    </w:p>
    <w:p w14:paraId="351F023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III. Конструкция машины БТ-6 является результатом следующих моментов: </w:t>
      </w:r>
    </w:p>
    <w:p w14:paraId="01A52F7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перехода от молибденовой брони к углеродистой, следовательно и </w:t>
      </w:r>
    </w:p>
    <w:p w14:paraId="391B554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необходимости сварки только внутренних сторон. </w:t>
      </w:r>
    </w:p>
    <w:p w14:paraId="68A4601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учета дефектных мест, выявленных в текущем производстве и во время обстреливания машины. </w:t>
      </w:r>
    </w:p>
    <w:p w14:paraId="05070DA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машине БТ-6 вводится башня и вооружение машины БТ-5. Конструктивные изменения сводятся к следующему: </w:t>
      </w:r>
    </w:p>
    <w:p w14:paraId="7AA2809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вместо одного буксирного зацепа в БТ-4, приваренного к броневым листам, восстанавливаются боковые крюки машины БТ-2, но привариваются к консолям "крыльям жесткости". </w:t>
      </w:r>
    </w:p>
    <w:p w14:paraId="472C66B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В щитке водителя новой конструкции достигнута безопасность забрызгивания (заливания) свинцом в лицо водителя и откалывания краев дверец. Кроме того, установлен внутренний запорный замок. </w:t>
      </w:r>
    </w:p>
    <w:p w14:paraId="0D6E55E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Петли ручек и прочие отдельные детали, которые в корпусе машины БТ-4 приваривались к броне снова переходят на приклепку. </w:t>
      </w:r>
    </w:p>
    <w:p w14:paraId="5CE322D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В заднем мосту с целью его сохранения и нижнего края вертикального броневого листа от откалывания, что выяснилось при обстреливании, применяется новая конструкция, обеспечивающая прочность и безопасность при стрельбе. </w:t>
      </w:r>
    </w:p>
    <w:p w14:paraId="10BC5F5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5) Изменена конструкция воротника балансирных труб, разрешающая сварку внутри корпуса. </w:t>
      </w:r>
    </w:p>
    <w:p w14:paraId="25A30A5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Во всех углах носовой части, а также нижней части всего корпуса выброшены продольные угольники и заменены распорными косынками, а сходящиеся листы в углах соединяются двумя швами. </w:t>
      </w:r>
    </w:p>
    <w:p w14:paraId="7ACF7A3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Бронируется гитара и остальные места, ранее легко уязвимые, согласно выводов последнего отчета обстрела корпуса из "МИ" от 16-го Августа с.г. </w:t>
      </w:r>
    </w:p>
    <w:p w14:paraId="0491C54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Разработка конструкции БТ-6 еще не закончена. Пока имеются только чертежи следующих отдельных узлов: </w:t>
      </w:r>
    </w:p>
    <w:p w14:paraId="6749774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Носовая часть и детали. </w:t>
      </w:r>
    </w:p>
    <w:p w14:paraId="0871B3C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Управление жалюзями. </w:t>
      </w:r>
    </w:p>
    <w:p w14:paraId="0D0A18E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Крышка над мотором. </w:t>
      </w:r>
    </w:p>
    <w:p w14:paraId="576B3B2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Средняя перегородка (между машинным и трансмиссионным отделением). </w:t>
      </w:r>
    </w:p>
    <w:p w14:paraId="47CA099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Полка для гусениц. </w:t>
      </w:r>
    </w:p>
    <w:p w14:paraId="2CDE89F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Воротники балансиров. </w:t>
      </w:r>
    </w:p>
    <w:p w14:paraId="705FDE0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Арка над водителем. </w:t>
      </w:r>
    </w:p>
    <w:p w14:paraId="28D6E60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Детали корпуса (броневые и бортовые листы и др.). </w:t>
      </w:r>
    </w:p>
    <w:p w14:paraId="574368B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Совершенно еще не разработаны: </w:t>
      </w:r>
    </w:p>
    <w:p w14:paraId="5014397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Защита заднего моста, гитары и бортовых коробок. </w:t>
      </w:r>
    </w:p>
    <w:p w14:paraId="32ECC0E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Фундамент под мотор. </w:t>
      </w:r>
    </w:p>
    <w:p w14:paraId="3FB031E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Колпаки для радиатора. </w:t>
      </w:r>
    </w:p>
    <w:p w14:paraId="6576832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Задние подкосы. </w:t>
      </w:r>
    </w:p>
    <w:p w14:paraId="0E91E65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Пылеочиститель. </w:t>
      </w:r>
    </w:p>
    <w:p w14:paraId="0E3DEDB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Сроков выполнения всех проектных работ по БТ-6 не установлено. </w:t>
      </w:r>
    </w:p>
    <w:p w14:paraId="78D5977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IV. В отношении проектирования машины БТ-7, то пока ведется разработка в эскизном виде по установке мотора М17В на машине не изменяя габарита корпуса. Новая конструкция предполагает: </w:t>
      </w:r>
    </w:p>
    <w:p w14:paraId="351F9D9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Изменение радиаторов в части резервуаров. </w:t>
      </w:r>
    </w:p>
    <w:p w14:paraId="18EDBE7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Изменить главный фрикцион или утончить хвостовик коленчатого вала мотора для возможности применения главного фрикциона машины БТ. </w:t>
      </w:r>
    </w:p>
    <w:p w14:paraId="73AFAFF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Изменение подмоторной рамы. </w:t>
      </w:r>
    </w:p>
    <w:p w14:paraId="35FDA7E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Изменение крыши машинного отделения. </w:t>
      </w:r>
    </w:p>
    <w:p w14:paraId="5F1F7D1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Изменение защитных щитков основного отверстия для воздуха и ряда других деталей. </w:t>
      </w:r>
    </w:p>
    <w:p w14:paraId="560FE22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Полученные десять дней тому назад два мотора М17В до сих пор стоят запакованными в ящиках, ввиду нераспорядительности администрации Т-2 в заготовке специального шкафа для хранения запчастей и инструмента указанных деталей. Доступ конструктора, проектирующего БТ-7 непосредственно к самому мотору М17-В весьма необходим, т.к. при отсутствии ряда необходимых чертежей двигателя живая конструкция такового значительно облегчила бы и ускорила проектирование машины. </w:t>
      </w:r>
    </w:p>
    <w:p w14:paraId="3A64E95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II. </w:t>
      </w:r>
    </w:p>
    <w:p w14:paraId="4C584DE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СОСТОЯНИЕ ОПЫТНЫХ РАБОТ ПО ОТДЕЛУ Т2 ХПЗ НА 1-е СЕНТЯБРЯ 32 г. </w:t>
      </w:r>
    </w:p>
    <w:p w14:paraId="72B2541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обзор</w:t>
      </w:r>
    </w:p>
    <w:p w14:paraId="3E50CBC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ознакомлению с постановкой опытно-конструкторских работ в отделе Т2 ХПЗ могу констатировать следующее: </w:t>
      </w:r>
    </w:p>
    <w:p w14:paraId="3CA6477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Опытно-исследовательская секция при технической конторе отдела Т-2 существует с марта м-ца с/г и располагает: </w:t>
      </w:r>
    </w:p>
    <w:p w14:paraId="5210869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Помещением для хранения экспонатов аварийных деталей (с Июля м-ца с.г.). </w:t>
      </w:r>
    </w:p>
    <w:p w14:paraId="5F07E09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Примечание: в настоящее время в этом помещении проводятся все работы по исследованию оригинала машины БТ и сборка его. </w:t>
      </w:r>
    </w:p>
    <w:p w14:paraId="4C40C2B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Помещением под гараж для опытных машин БТ (с Августа м-ца). </w:t>
      </w:r>
    </w:p>
    <w:p w14:paraId="6B7BFFD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Пятью верстаками с тисками, помещенными в гараже. </w:t>
      </w:r>
    </w:p>
    <w:p w14:paraId="0F11B40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Двумя машинами БТ для производства опытов и наблюдений (с Мая м-ца с.г.). </w:t>
      </w:r>
    </w:p>
    <w:p w14:paraId="3533D53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Оригиналом машины БТ. </w:t>
      </w:r>
    </w:p>
    <w:p w14:paraId="2086AD8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Штат работников опытно-исследовательской секции: </w:t>
      </w:r>
    </w:p>
    <w:p w14:paraId="69BC60D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Старших инженеров – 2 </w:t>
      </w:r>
    </w:p>
    <w:p w14:paraId="7ADB426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Инженеров – 4 </w:t>
      </w:r>
    </w:p>
    <w:p w14:paraId="488EB19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Техников – 1 </w:t>
      </w:r>
    </w:p>
    <w:p w14:paraId="2540082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Мастеров высокой квалификации – 2 </w:t>
      </w:r>
    </w:p>
    <w:p w14:paraId="2484DA1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Монтеров водителей машин – 2 </w:t>
      </w:r>
    </w:p>
    <w:p w14:paraId="17B07B9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Пом. монтеров водителей машин – 1 </w:t>
      </w:r>
    </w:p>
    <w:p w14:paraId="6882A07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Слесарей – 4 </w:t>
      </w:r>
    </w:p>
    <w:p w14:paraId="7652765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Чернорабочих – 3 </w:t>
      </w:r>
    </w:p>
    <w:p w14:paraId="5493505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Причем три инженера и один старший инженер вошли в штат с Июля м-ца, а три чернорабочих с Августа. </w:t>
      </w:r>
    </w:p>
    <w:p w14:paraId="327DAD9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Еще с Марта м-ца с.г., т.е. с начала существования опытно-исследовательской секции была дана заявка на импортную аппаратуру для исследовательских работ, однако до настоящего времени ничего не получено. </w:t>
      </w:r>
    </w:p>
    <w:p w14:paraId="1A7A269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Гаражное помещение совершенно не оборудовано, не имеет шкафов для инструмента и запчастей, а также подъемных средств для производства ремонта опытных машин. </w:t>
      </w:r>
    </w:p>
    <w:p w14:paraId="5B28594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На сегодняшний день опытно-исследовательская секция ввиду отсутствия аппаратуры, специального оборудования для опытно-исследовательских работ и достаточного штата инженерно-технических работников не в состоянии не только проводить исследование машины и отдельных механизмов, но и не успеет своевременно обслуживать даже потребности текущего производства. </w:t>
      </w:r>
    </w:p>
    <w:p w14:paraId="35F60FD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Более или менее развернутая работа опытно-исследовательской секции начнется лишь со второй половины Сентября, т.к. к тому времени освободятся три инженера и один старший инженер, занятые ныне работой по исследованию оригинала машины БТ. </w:t>
      </w:r>
    </w:p>
    <w:p w14:paraId="3BCAD8D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До сих пор нет четкой установки у администрации Т-2 в отношении функций секции: является ли она только исследовательской или опытно-исследовательской. Если считать последнее, то ей необходимо иметь специальную опытную мастерскую с обычным оборудованием для производства опытных деталей и механизмов. Если же секция является только исследовательской, то ее не следовало бы загружать заданиями по изготовлению опытных деталей. На сегодняшний день секция занимается также изготовлением опытных деталей (как например валик 17-23-2, конические шестерни коробки скоростей с прямым зубом, обработка деталей штампованных колес и т.п.), причем заказы выполняются механическим цехом Т-2 с большим опозданием, т.к. изготовление этих деталей мешает выполнению программы, а с другой стороны, задерживается производство опытов над ними. </w:t>
      </w:r>
    </w:p>
    <w:p w14:paraId="6FEE78B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 время от начала своего существования до 1.IX-32 г. опытно-исследовательская секция провела следующие работы: </w:t>
      </w:r>
    </w:p>
    <w:p w14:paraId="2A9ADE6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Определение центра тяжести машины без вооружения и боеприпасов. </w:t>
      </w:r>
    </w:p>
    <w:p w14:paraId="1253C78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Исследование производительности водяных помп авиационной и производства Т-2, причем в следствии выявленной одинаковой производительности, оставлена на машине БТ авиационная помпа мотора М5-400. </w:t>
      </w:r>
    </w:p>
    <w:p w14:paraId="3319536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Сравнительные испытания стартеров: оригинала машины БТ, сцентилла 1,3 НР9 и стартеров завода Динамо, причем определены технические требования к стартеру. </w:t>
      </w:r>
    </w:p>
    <w:p w14:paraId="6DA1E22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Определение возможности заводки мотора от пускового магнето, причем испытания дали отрицательный результат. </w:t>
      </w:r>
    </w:p>
    <w:p w14:paraId="766DA11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Исследование системы охлаждения мотора М5-400 в условиях работы на БТ, причем после поворота лопастей вентилятора на 9,5° по часовой стрелке, передвижения перегородки над вентилятором на 115 мм в сторону выхода воздуха и постановки железоасбестовых щитков над выхлопными коллекторами мотора, получены положительные результаты в системе охлаждения. </w:t>
      </w:r>
    </w:p>
    <w:p w14:paraId="66C924A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Одновременно с этим испытан вентилятор конструкции ЦАГИ с железными лопастями пропеллерного типа, причем вентилятор показал себя с отрицательной стороны. </w:t>
      </w:r>
    </w:p>
    <w:p w14:paraId="4D8FF0E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Испытание электрооборудования Электрозавода: </w:t>
      </w:r>
    </w:p>
    <w:p w14:paraId="2619F71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Испытаны 4 генератора ГП-2 12×180, причем установлена непригодность последних ввиду непрочности конструкции эластичной муфты привода. </w:t>
      </w:r>
    </w:p>
    <w:p w14:paraId="4D29A63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Испытаны два генератора типа ГАЗ 12×180, из них один со стальной муфтой, а другой с резиновой. Результаты освещены в протоколах от 9.XII и 17.VIII-с.г. </w:t>
      </w:r>
    </w:p>
    <w:p w14:paraId="51D9886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Испытаны шесть стартеров типа МАЧ в следующих установках: </w:t>
      </w:r>
    </w:p>
    <w:p w14:paraId="2152D91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По одному на машине от одной батареи. </w:t>
      </w:r>
    </w:p>
    <w:p w14:paraId="02603DD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По два от одной и от двух батарей при последовательном и при параллельном соединении их. </w:t>
      </w:r>
    </w:p>
    <w:p w14:paraId="4131818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Результаты освещены в протоколах от 29.V, 1 – 2 и 28 Июня и 4.VIII. </w:t>
      </w:r>
    </w:p>
    <w:p w14:paraId="2342EDC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7. Испытание стартеров БОШ ВРС 3×12 в установке от одной батареи, причем результаты удовлетворительные. </w:t>
      </w:r>
    </w:p>
    <w:p w14:paraId="59A83AE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Испытание стартера Сцинтилла 2 НР-9 в установке от одной и двух аккумуляторных батарей, причем результаты освещены в протоколе от 21 Августа с.г. </w:t>
      </w:r>
    </w:p>
    <w:p w14:paraId="25E809A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Испытание продольных тяг от кулисы коробки скоростей на продольный изгиб, причем подвергались испытанию тяги: из стали –3, из стали –7, тяги с трубками, трубчатые тяги, тяги с оригинала и тяги с направляющими деревянными колодками. Наилучшие результаты получены при тягах с трубками и удовлетворительные – тяги с направляющими колодками. </w:t>
      </w:r>
    </w:p>
    <w:p w14:paraId="51C6464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Испытания гитарных валиков 17-23 и 17-23-2. Испытание проводилось на колесном ходу при торможении машины со скоростей 80 – 90 клм в час на асфальтовой дороге, сухом грунте и крупно-каменистом шоссе. Скручивание валиков происходило на крупно-каменистом шоссе. Деталь 17-23 подвергалась разрушению после 29 торможений (см. протокол от 7.VII.32 г.). Деталь 17-23-2 подвергалась двум испытаниям, причем в первом произведено 24 торможения, валик имел остаточные следы скручивания в месте посадки ведомой шестерни гитары дет. 17-21 и в месте постановки блокировочного кольца. Испытания были прекращены ввиду поломки паразитной шестерни гитары дет. 17-13. При втором испытании произведено 109 торможений, причет один валик 17-23-2 был разрушен в месте подрезки за наружным шарикоподшипником гитары. Установлена равнопрочность валика 17-23-2 с другими деталями гитары (см. протокол от 7, 12 и 16 Июля). В настоящее время испытание валика 17-23-2 продолжается на опытной машине при нормальной эксплоатации ее. </w:t>
      </w:r>
    </w:p>
    <w:p w14:paraId="3E839F2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Испытание бортовых фрикционов с чугунными и стальными дисками. Предварительные испытания удовлетворительны, испытания продолжаются. </w:t>
      </w:r>
    </w:p>
    <w:p w14:paraId="5A7DC1A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12. Исследование работоспособности тормозных лент из феррадо отечественного производства, причем результаты неудовлетворительные. </w:t>
      </w:r>
    </w:p>
    <w:p w14:paraId="257B3B1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13. Исследование работы пальцев роликов ведущего колеса гусеничного хода, причем в результате исследования несколько изменена конструкция пальцев и роликов колеса. Работа пальцев и роликов измененной конструкции удовлетворительна. </w:t>
      </w:r>
    </w:p>
    <w:p w14:paraId="03970B9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Исследование серег вертикальных свечей поддерживающих колес, причем выявлена необходимость усиления их за счет лучшего качества материала. Будут устанавливаться серьги из материала ХН-4. </w:t>
      </w:r>
    </w:p>
    <w:p w14:paraId="54A4941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15. Исследование материала и термической обработки шестерен коробки скоростей, причем установлено, что качество материала и термическая обработка не соответствуют техническим условиям шестерен. </w:t>
      </w:r>
    </w:p>
    <w:p w14:paraId="48D145D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Исследование работы резины колес ходовой части машины, причем установлено, что наиболее слабым местом является резина ведущих колес колесного хода, продолжительность работы которых достигает до 250 – 300 клм. </w:t>
      </w:r>
    </w:p>
    <w:p w14:paraId="1F701D2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17. Исследование работы поршней мотора М5-400 с выточенными коническими канавками для подыскания мер борьбы с забрызгиванием свеч маслом и уменьшения расхода последнего. Забрасывание свечей маслом не уменьшилось, и расход определен для колесного хода машин в среднем 75 – 100 грамм на 1 клм пути. </w:t>
      </w:r>
    </w:p>
    <w:p w14:paraId="2B1AF37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18. Исследование влияния увеличенного масляного бачка на температуру масла и температуру воды ввиду его близости к радиатору. Результаты получены пока только для колесного хода машины. Температура масла снижена до 75°, а температура воды повышена на 3 – 4°. </w:t>
      </w:r>
    </w:p>
    <w:p w14:paraId="43FA68E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19. Исследование работы храповиков бортовых фрикционов, в результате чего введена бронзовая конструкция. </w:t>
      </w:r>
    </w:p>
    <w:p w14:paraId="789755D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20. Наблюдение за работой колес со штампованными дисками, причем предварительные результаты удовлетворительные, испытание продолжается. </w:t>
      </w:r>
    </w:p>
    <w:p w14:paraId="60C5C0F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21. Уточнена спецификация на шарикоподшипники для машины, причем шарикоподшипники Фишера исключены. </w:t>
      </w:r>
    </w:p>
    <w:p w14:paraId="1D89DC0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22. Выявление причин деформации кронштейнов ленивца, причем установлено несоответствие качества материала. </w:t>
      </w:r>
    </w:p>
    <w:p w14:paraId="4CCA561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23. Определение метода напрессовки и закрепления резиновых бандажей ходовой части машины, причем выработан метод приварки последних. </w:t>
      </w:r>
    </w:p>
    <w:p w14:paraId="095501D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24. Определена возможность и методика преодоления вертикальных препятствий машины БТ в 0,75 мт. </w:t>
      </w:r>
    </w:p>
    <w:p w14:paraId="1D33DD3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25. Проверена возможность проворачивания башни при максимально упругом изгибе корпуса машины. </w:t>
      </w:r>
    </w:p>
    <w:p w14:paraId="69BA271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26. Кроме того опытно-исследовательской секцией проведено испытание на плотность прилегания бензинового краника, по укладке инструмента, установке элементов электрооборудования (лампа СТОП, щитковый переключатель) и другие. </w:t>
      </w:r>
    </w:p>
    <w:p w14:paraId="257BCD8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ПО ОРИГИНАЛУ МАШИНЫ БТ.</w:t>
      </w:r>
    </w:p>
    <w:p w14:paraId="19891BF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Исследование деталей и механизмов оригинала началось с 24.VII. Задачей исследования являлось следующее: </w:t>
      </w:r>
    </w:p>
    <w:p w14:paraId="3C01F39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Определение точных размеров, допусков и посадок, в частности по шлицам. </w:t>
      </w:r>
    </w:p>
    <w:p w14:paraId="31EA0E0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Определение биения сопряжений шестерен, радиальное и торцевое. </w:t>
      </w:r>
    </w:p>
    <w:p w14:paraId="7B28917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Точная фиксация рычагов (по приводам управления) и установка их в корпусе. </w:t>
      </w:r>
    </w:p>
    <w:p w14:paraId="5E6125D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Определение зазоров в зубьях шестерен. </w:t>
      </w:r>
    </w:p>
    <w:p w14:paraId="4FF4CDE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Химический и металлографический анализ деталей. </w:t>
      </w:r>
    </w:p>
    <w:p w14:paraId="7D8C880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Точный вес деталей. </w:t>
      </w:r>
    </w:p>
    <w:p w14:paraId="134BAF0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Обмер корпуса и проверка на скручивание. </w:t>
      </w:r>
    </w:p>
    <w:p w14:paraId="5986F08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Составление сборных и детальных чертежей. </w:t>
      </w:r>
    </w:p>
    <w:p w14:paraId="28C5E8A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Монтаж машины и отдельных механизмов. </w:t>
      </w:r>
    </w:p>
    <w:p w14:paraId="4B7AE2F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Вся эта работа закончилась 1 Сентября. Оформление же всего материала окончательно будет выполнено к 15.IX-с.г. </w:t>
      </w:r>
    </w:p>
    <w:p w14:paraId="44624CE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ВЫВОДЫ.</w:t>
      </w:r>
    </w:p>
    <w:p w14:paraId="0A2D7A6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На сегодняшний день несмотря на сравнительно большую работу, проведенную опытно-исследовательской секцией отдела Т-2 при малом количестве инженерно-технических работников, нельзя считать качество самих испытаний (исследований) на должной высоте ввиду отсутствия аппаратуры и специального оборудования (имеет место кустарщина). </w:t>
      </w:r>
    </w:p>
    <w:p w14:paraId="0DBDD9F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Необходимо создать специальный опытный отдел по машинам БТ со специальным оборудованием, исследовательской аппаратурой и с соответствующим количеством инженерно-технических работников. </w:t>
      </w:r>
    </w:p>
    <w:p w14:paraId="475FF86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Выделить отдел нового проектирования опытных машин из конструкторского бюро и поместить его при опытном отделе. </w:t>
      </w:r>
    </w:p>
    <w:p w14:paraId="47C9642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Назначить ответственного руководителя опытного отдела с непосредственным подчинением Начальника Т2К или главному инженеру ХПЗ. </w:t>
      </w:r>
    </w:p>
    <w:p w14:paraId="14150D9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Только при выполнении всех этих условий можно ожидать быстрых и хороших результатов в опытно-исследовательской работе.</w:t>
      </w:r>
    </w:p>
    <w:p w14:paraId="06B7C56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СТАРШИЙ ВОЕННЫЙ ПРЕДСТАВИТЕЛЬ УММ РККА </w:t>
      </w:r>
    </w:p>
    <w:p w14:paraId="531DE9C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ОПЫТНО-КОНСТРУКТОРСКИМ РАБОТАМ НА Х.П.З. подпись (КИНСБУРГСКИЙ)</w:t>
      </w:r>
    </w:p>
    <w:p w14:paraId="3D9F12F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СОСТОЯНИЕ ОПЫТНЫХ РАБОТ ПО ТРАКТОРНОМУ ОТДЕЛУ ХПЗ НА 1-е СЕНТЯБРЯ 1932 года. </w:t>
      </w:r>
    </w:p>
    <w:p w14:paraId="1AA7A87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w:t>
      </w:r>
    </w:p>
    <w:p w14:paraId="2CF66DB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Общий обзор состояния опытно-исследовательских работ по трактору "Коммунар". </w:t>
      </w:r>
    </w:p>
    <w:p w14:paraId="04DBDDD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предварительному ознакомлению с постановкой опытно-конструкторских работ в Тракторном отделе ХПЗ могу констатировать следующее: </w:t>
      </w:r>
    </w:p>
    <w:p w14:paraId="01D9A10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Экспериментальная мастерская, как таковая существует всего лишь около 3-х месяцев. Занимает помещение приблизительно 350 м² и располагает слабым оборудованием (два токарных, один строгальный, один фрезерный, один сверлильный и один шлифовальный станок), укомплектованным в самое последнее время. </w:t>
      </w:r>
    </w:p>
    <w:p w14:paraId="1504287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Штат работников экспериментальной мастерской: </w:t>
      </w:r>
    </w:p>
    <w:p w14:paraId="5B90642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инженеров – 3 </w:t>
      </w:r>
    </w:p>
    <w:p w14:paraId="4D5EE24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мастеров высокой квалификации – 2 </w:t>
      </w:r>
    </w:p>
    <w:p w14:paraId="4C1B2A1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мастеров монтеров высокой квалификации – 6 </w:t>
      </w:r>
    </w:p>
    <w:p w14:paraId="492A709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чернорабочих – 2 </w:t>
      </w:r>
    </w:p>
    <w:p w14:paraId="7C2E78E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слесарей – 10 </w:t>
      </w:r>
    </w:p>
    <w:p w14:paraId="1DE1B95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Техническое руководство работами мастерской осуществляется Начальником Тракторно-технической конторы. </w:t>
      </w:r>
    </w:p>
    <w:p w14:paraId="778F52A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Проверкой материалов опытных работ и беседой с Военпредом и отдельными работниками ТрО установлено: в проведении опытных работ наблюдается большая нечеткость, медлительность и косность, что объясняется отсутствием надлежащего внимания со стороны руководства Тракторным отделом и дирекции завода. Так, Зам. Н-ка Тракторно-конструкторской конторы в беседе со мной заявил, что на техническом совещании директор завода по вопросу об улучшении конструкции трактора "Коммунар" дал установку не проводить никаких крупных изменений в конструкции трактора, т.к. производство "Коммунара" в недалеком будущем должно быть прекращено вследствие перехода на производство трактора "Коминтерн". Совершенно ясно, что такая постановка вопроса со стороны Директора завода вводит демобилизационное настроение во всю работу Тракторно-конструкторской конторы по "Коммунару". </w:t>
      </w:r>
    </w:p>
    <w:p w14:paraId="5061F48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Подготовка же к серийному производству тракторов "Коминтерн" еще не начата. Не разработан технологический процесс, не подсчитана производительность ТрО, на начата проектировка кондукторов, приспособлений и мерительного инструмента и т.п. </w:t>
      </w:r>
    </w:p>
    <w:p w14:paraId="58EDE92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Все это создает предпосылки полагать, что производство тракторов "Коммунар", при существующих темпах работы конструкторской конторы и технологического бюро до окончательного введения и освоения в производстве конструкции "Коминтерна", затянется еще не менее чем на год-полтора. </w:t>
      </w:r>
    </w:p>
    <w:p w14:paraId="3A176E4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Исходя из того, что годовая производительность Тракторного отдела определяется приблизительно около 600 тракторов "Коммунара" стоимостью каждый по 16000 рублей, а значит годовая стоимость продукции определяется 9600000 рублей (без учета стоимости выпуска запчастей), считаю что при такой большой затрате средств и такого количества машин будет вполне целесообразно произвести затраты на усовершенствование конструкции "Коммунара", тем более что трактор "Коммунар" крайне нуждается в конструктивном изменении. </w:t>
      </w:r>
    </w:p>
    <w:p w14:paraId="2FEDF76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7) Считаю необходимым в срочном порядке дать заводу следующие задания по изменению конструкции трактора "Коммунар" с указанием сроков исполнения по каждому пункту в отдельности: </w:t>
      </w:r>
    </w:p>
    <w:p w14:paraId="5738F5F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Переконструировать ходовую часть, т.к. по эксплоатационным данным после 400 часов работы трактора она приходит в полную негодность, что резко отстает от амортизационных сроков работы остальных механизмов и деталей. </w:t>
      </w:r>
    </w:p>
    <w:p w14:paraId="3F40225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Немедленно перевести сцепление мотора с конусного на дисковое, т.к. при таком мощном моторе 100 л.с. конусное сцепление не соответствует. </w:t>
      </w:r>
    </w:p>
    <w:p w14:paraId="1A729D9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Переконструировать картер цилиндрических колес последней передачи, имея целью удалить его от движущейся части ходовой системы (гусеницы), т.к. в настоящей конструкции имеет место частые случаи поломки картера гусеницей. </w:t>
      </w:r>
    </w:p>
    <w:p w14:paraId="3A140A2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Ввести электрооборудование на трактор. </w:t>
      </w:r>
    </w:p>
    <w:p w14:paraId="2DD6A71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Ввести новые шарнирные крепления радиатора с возможностью амортизации от ударов и тряски в вертикальном направлении, т.к. существующая конструкция радиатора совершенно не удовлетворительна. </w:t>
      </w:r>
    </w:p>
    <w:p w14:paraId="1ED572F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 Срочно подсуммировать весь материал по изучению причин стуков и самовоспламенения смеси в цилиндрах двигателя, т.к. это пагубно отражается на долговечности службы мотора. </w:t>
      </w:r>
    </w:p>
    <w:p w14:paraId="7DA8B53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ж) Изменить конструкцию роликовых толкателей кулачкового валика мотора заменив на тарельчатую, что должно улучшить газораспределение, работу и продолжительность службы клапанов, увеличить амортизационный срок работы толкателей и пр. </w:t>
      </w:r>
    </w:p>
    <w:p w14:paraId="4C3BE08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 Произвести мелкие конструктивные изменения деталей, руководствуясь рекламациями воинских частей, эксплоатирующих трактор "Коммунар". </w:t>
      </w:r>
    </w:p>
    <w:p w14:paraId="3020AE9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II. </w:t>
      </w:r>
    </w:p>
    <w:p w14:paraId="70D7E9F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СОСТОЯНИЕ ВЫПОЛНЕНИЯ ПРЕДЛОЖЕНИЙ НТК УММ </w:t>
      </w:r>
    </w:p>
    <w:p w14:paraId="2637B1A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ДЕФЕКТАМ СОГЛАСНО СПИСКА 3А № 408/2 от 3/II-32 г. </w:t>
      </w:r>
    </w:p>
    <w:p w14:paraId="41A61B9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МОТОРУ.</w:t>
      </w:r>
    </w:p>
    <w:p w14:paraId="1C7C7EB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На основании указания НТК УММ от 3/II-с.г. и распоряжения Старшего Инспектора УММ т. ЛЕБЕДЬ тракторному отделу ХПЗ был передан мотор с трактора № 1938 специально для выявления причин стуков и самовоспламенения смеси в цилиндрах двигателя и их влияния на работоспособность. </w:t>
      </w:r>
    </w:p>
    <w:p w14:paraId="6F1601A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Согласно договора, заключенного между Военпредом и Тракторным отделом, испытания должны были закончиться в Феврале м-це с.г. Однако они затянулись до середины Июля, причем имеющийся материал испытания до сих пор еще не суммирован и тракторно-конструкторским отделом не даны указания, как устранить указанные дефекты мотора. </w:t>
      </w:r>
    </w:p>
    <w:p w14:paraId="3A4B49D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По устранению дефектов поршня. </w:t>
      </w:r>
    </w:p>
    <w:p w14:paraId="755C06C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До сих пор заводоуправлением не установлены три категории поршней по весу, вместо существующих пяти, вследствие большого отхода в брак при делении поршней по весу на три категории. Остальные дефекты устранены. </w:t>
      </w:r>
    </w:p>
    <w:p w14:paraId="667D0C6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По устранению дефектов шатуна. </w:t>
      </w:r>
    </w:p>
    <w:p w14:paraId="6651E56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Также не установлены три категории шатунов по весу, вместо существующих пяти, по тем же причинам, что и у поршней. </w:t>
      </w:r>
    </w:p>
    <w:p w14:paraId="6EDA37F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Продолжает иметь место правка искривленных в процессе производства шатунов старым способом (ломом), новый технологический процесс обработки и сборки шатунов в жизнь не проведен, вследствие отсутствия должного внимания к этому вопросу со стороны Тракторно-технической конторы. Неоднократные напоминания и требования со стороны Военпреда не выполнялись. </w:t>
      </w:r>
    </w:p>
    <w:p w14:paraId="44A11A1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По устранению дефектов цилиндра. </w:t>
      </w:r>
    </w:p>
    <w:p w14:paraId="7373338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Шлифовка улучшилась. Отклонения в объеме камеры сжатия 36 кб/см не уменьшены, т.к. при данном состоянии оборудования литейной трудно достигнуть более точную отливку необрабатываемой камеры сжатия. Со своей стороны считаю возможным и необходимым уточнить размер камеры сжатия введением несложной добавочной механической обработки и некоторым корректированием самой модели отливки. Исследования же влияния такого отклонения камеры сжатия от нормального объема на работу конструкторским Бюро не проводились. </w:t>
      </w:r>
    </w:p>
    <w:p w14:paraId="258CCB5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 существующем допускаемом отклонении в объеме камеры сжатия ± 36 кб/см получаются следующие отклонения степени сжатия: </w:t>
      </w:r>
    </w:p>
    <w:p w14:paraId="25608CE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Нормальная степень сжатия – 4,35 </w:t>
      </w:r>
    </w:p>
    <w:p w14:paraId="040AA01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Максимальная степень сжатия – 4,48 </w:t>
      </w:r>
    </w:p>
    <w:p w14:paraId="26AD275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Минимальная степень сжатия – 4,22 </w:t>
      </w:r>
    </w:p>
    <w:p w14:paraId="5BCC08C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 колебание степени сжатия составляет ± 3%. </w:t>
      </w:r>
    </w:p>
    <w:p w14:paraId="3D79AD0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Дефекты по коробке всасывающего клапана устранены. </w:t>
      </w:r>
    </w:p>
    <w:p w14:paraId="7FEF031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По устранению дефектов подшипников. </w:t>
      </w:r>
    </w:p>
    <w:p w14:paraId="0F56494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Инструкция по прижиганию вкладышей коренных шатунных подшипников разработана. Нового же, более усовершенствованного способа прижигания до сих пор нет. </w:t>
      </w:r>
    </w:p>
    <w:p w14:paraId="7C45B3A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По устранению дефектов пружин. </w:t>
      </w:r>
    </w:p>
    <w:p w14:paraId="190A1AD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Вследствие отсутствия специального станка для испытания пружин, последние испытываются на двигателе и тракторе и разбраковываются. Перед Тракторным отделом поднят вопрос о приобретении специального станка для испытания пружин. </w:t>
      </w:r>
    </w:p>
    <w:p w14:paraId="33B43F5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По устранению дефектов распределительных валиков. </w:t>
      </w:r>
    </w:p>
    <w:p w14:paraId="24EDA30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Дефекты еще не устранены. До сих пор Тракторный отдел не наладил шлифовку кулачков распределительного валика по копиру. Еще имеет место кустарная индивидуальная подгонка кулачков распределительного вала на простом шлифовальном станке. </w:t>
      </w:r>
    </w:p>
    <w:p w14:paraId="4B94EC0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Дефекты по коленчатому валу устранены. </w:t>
      </w:r>
    </w:p>
    <w:p w14:paraId="2B2FE59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По устранению дефектов картера двигателя. </w:t>
      </w:r>
    </w:p>
    <w:p w14:paraId="6787C74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Крепление головки картера производится болтами с гайками и шайбами Гровера. Контрольный и масляный краник установлен, но без контроля уровня масла. </w:t>
      </w:r>
    </w:p>
    <w:p w14:paraId="5EF46DB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По устранению дефектов радиатора. </w:t>
      </w:r>
    </w:p>
    <w:p w14:paraId="6222FD6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Опытный чугунный радиатор имеется на опытных машинах, испытан и с десятого Сентября будет введен в серийное производство. Вариант крепления алюминиевого радиатора остался прежний, но увеличен диаметр крепежных шпилек с 16 мм на 20. Все же дефекты вывинчивания шпилек от тряски продолжает иметь место. Причины задержки перехода на шарнирное крепление радиатора объясняется недостаточным вниманием к этому вопросу со стороны тракторно-конструкторской конторы. </w:t>
      </w:r>
    </w:p>
    <w:p w14:paraId="735FF0B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12. По трансмиссии. </w:t>
      </w:r>
    </w:p>
    <w:p w14:paraId="42A1B0C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До сих пор еще не перешли на дисковое сцепление. Чертежи полностью разработаны. Изготовление и испытание же нового сцепления Тракторный отдел относит к работам IV-го квартала, что недопустимо. </w:t>
      </w:r>
    </w:p>
    <w:p w14:paraId="5008CE7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коробке передач дефекты устранены, хотя расшатанность станков, кондукторов и приспособлений для обработки деталей коробки скоростей, является причиной несколько пониженного качества их. </w:t>
      </w:r>
    </w:p>
    <w:p w14:paraId="7CE4855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Дефекты по коробке конических передач не устранены, несмотря на неоднократные требования Военпреда. </w:t>
      </w:r>
    </w:p>
    <w:p w14:paraId="65DC2E9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коробке цилиндрических колес. Свисание подшипников полуосей их опор кожуха устранены. Остальные дефекты продолжают иметь место. Переход на стальной кожух заводом до сих пор не осуществлен ввиду перегрузки Сталелитейного цеха. </w:t>
      </w:r>
    </w:p>
    <w:p w14:paraId="4AF4953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13. По ходовой части. </w:t>
      </w:r>
    </w:p>
    <w:p w14:paraId="240E80C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эксплоатационным данным ходовая часть трактора "Коммунар" 3-90 амортизируется в течении 400 часов работы и требует капитального ремонта. </w:t>
      </w:r>
    </w:p>
    <w:p w14:paraId="5B6F4BE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По электрооборудованию трактора. </w:t>
      </w:r>
    </w:p>
    <w:p w14:paraId="57BFAF3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Вопросы электрооборудования Тракторный отдел отнес к работам IV квартала. </w:t>
      </w:r>
    </w:p>
    <w:p w14:paraId="6FB0AF3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III. </w:t>
      </w:r>
    </w:p>
    <w:p w14:paraId="683E7E3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ОПЫТНЫХ РАБОТ ПО ТРАКТОРУ "КОММУНАР".</w:t>
      </w:r>
    </w:p>
    <w:p w14:paraId="407DB8E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настоящее время Тракторно-Конструкторской конторой проводятся следующие опытные работы: </w:t>
      </w:r>
    </w:p>
    <w:p w14:paraId="322B98D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Разработаны чертежи дискового сцепления еще в Декабре м-це 1931 г., но до сих пор опытного образца еще нет. Отдельные детали находятся в процессе изготовления в Механическом цеху. </w:t>
      </w:r>
    </w:p>
    <w:p w14:paraId="4D92390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По мотору ведутся такие работы: </w:t>
      </w:r>
    </w:p>
    <w:p w14:paraId="7DA3B19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Разработаны чертежи нового плоского толкателя и нового профиля кулачков распределительного вала еще в начале 1932 г. но до сих пор не осуществлены на тракторе. </w:t>
      </w:r>
    </w:p>
    <w:p w14:paraId="0BE0D01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Разработаны чертежи алюминиевых поршней, заказаны модели для отливки, а испытание намечено провести в октябре. </w:t>
      </w:r>
    </w:p>
    <w:p w14:paraId="4A9BBAE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По заливке бабита для коренных и шатунных подшипников коленчатого вала непосредственно в гнезда картера и тела шатуна без бронзовых вкладышей. </w:t>
      </w:r>
    </w:p>
    <w:p w14:paraId="535EF54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По изменению подводки смазки к коренным подшипникам коленчатого вала, приблизив места поступления смазки к плоскости разъема подшипника со стороны наименьшего удельного давления на подшипник. </w:t>
      </w:r>
    </w:p>
    <w:p w14:paraId="7CF3B2A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3) Испытание по замене алюминиевых резервуаров радиаторов чугунными закончены и признаны удовлетворительными. С десятого сентября должны быть введены в серийное производство. Новое же шарнирное крепление радиатора несколько неудачно, т.к. оно не предусматривает амортизацию радиатора в вертикальном направлении (радиатор качающийся). </w:t>
      </w:r>
    </w:p>
    <w:p w14:paraId="2C1A7E8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Кроме того, Тракторно-Конструкторская контора проводит целый ряд мелких опытно-конструкторских работ. </w:t>
      </w:r>
    </w:p>
    <w:p w14:paraId="0F75A9B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IV. </w:t>
      </w:r>
    </w:p>
    <w:p w14:paraId="2FFB7CD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ТРАКТОРУ "КОМИНТЕРН".</w:t>
      </w:r>
    </w:p>
    <w:p w14:paraId="5DF0E48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Все работы согласно указания НТК УММ и Правительственной Комиссии в основном выдержаны. Два трактора находятся в Москве на испытании, а третий будет испытан заводскими средствами. Кроме того изготовляется 4-й мотор на котором будут проведены дополнительные исследования для введения в серийное производство. Работу предполагают закончить в конце этого года. </w:t>
      </w:r>
    </w:p>
    <w:p w14:paraId="7D7CC1A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V. </w:t>
      </w:r>
    </w:p>
    <w:p w14:paraId="361DE1A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ОБЩИЕ ВЫВОДЫ.</w:t>
      </w:r>
    </w:p>
    <w:p w14:paraId="3365E61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Без скорейшего должного нажима со стороны УММ проведение действительно нужных опытно-конструкторских работ не только затянется, но некоторые работы будут совершенно опущены (ходовая часть, картер цилиндрических колес, электрооборудование и др.). </w:t>
      </w:r>
    </w:p>
    <w:p w14:paraId="6738927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ПРОЕКТИРОВАНИЯ И ПРОИЗВОДСТВА ОПЫТНЫХ БЫСТРОХОДНЫХ ДИЗЕЛЕЙ.</w:t>
      </w:r>
    </w:p>
    <w:p w14:paraId="00589D9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 чертежей и бесед выяснил следующее: </w:t>
      </w:r>
    </w:p>
    <w:p w14:paraId="62A2EEC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Полностью спроектирован быстроходный четырехтактный 4-х цилиндровый тракторный двигатель ТД-16.</w:t>
      </w:r>
    </w:p>
    <w:p w14:paraId="1FAEBC8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Термодинамические данные:</w:t>
      </w:r>
    </w:p>
    <w:p w14:paraId="0D8381C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Показатель политропы расширения – 1,28. </w:t>
      </w:r>
    </w:p>
    <w:p w14:paraId="0916770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Показатель политропы сжатия – 1,35. </w:t>
      </w:r>
    </w:p>
    <w:p w14:paraId="3DE00E5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Давление всасывания – 0,84 </w:t>
      </w:r>
    </w:p>
    <w:p w14:paraId="5792390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Давление сжатия – 35 атм. </w:t>
      </w:r>
    </w:p>
    <w:p w14:paraId="1FA2A832"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Давление горения – 60 атм. </w:t>
      </w:r>
    </w:p>
    <w:p w14:paraId="3E1B5A2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Степень сжатия – 16. </w:t>
      </w:r>
    </w:p>
    <w:p w14:paraId="3A5EA22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Теоретическое средне-индикаторное давление – 6,75.</w:t>
      </w:r>
    </w:p>
    <w:p w14:paraId="5B7E673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Механические данные.</w:t>
      </w:r>
    </w:p>
    <w:p w14:paraId="1B4973C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Среднеэффективное давление – 5,41. </w:t>
      </w:r>
    </w:p>
    <w:p w14:paraId="6BEC77B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Механический К.П.Д. – 0,80. </w:t>
      </w:r>
    </w:p>
    <w:p w14:paraId="69BA2F3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Способ распыления топлива – струйный. </w:t>
      </w:r>
    </w:p>
    <w:p w14:paraId="26B2AC4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Диаметр цилиндра – 160 мм. </w:t>
      </w:r>
    </w:p>
    <w:p w14:paraId="2F88AC7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Ход поршня – 215 </w:t>
      </w:r>
    </w:p>
    <w:p w14:paraId="294DF8D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Литраж в цилиндре – 4,32 </w:t>
      </w:r>
    </w:p>
    <w:p w14:paraId="2F4F801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Число оборотов в минуту – 1250 </w:t>
      </w:r>
    </w:p>
    <w:p w14:paraId="17F17FC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Полная мощность мотора – 130 НР </w:t>
      </w:r>
    </w:p>
    <w:p w14:paraId="26BF6FC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Средняя скорость поршня – 9,1 мт/сек.</w:t>
      </w:r>
    </w:p>
    <w:p w14:paraId="192EE1A8"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Общие данные и габариты.</w:t>
      </w:r>
    </w:p>
    <w:p w14:paraId="3693B9C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Длина двигателя с маховиком – 1,32 мт. </w:t>
      </w:r>
    </w:p>
    <w:p w14:paraId="5C4A052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Общая высота с картером – 1100 мм. </w:t>
      </w:r>
    </w:p>
    <w:p w14:paraId="1EB422B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Вес двигателя – 1600 клг. </w:t>
      </w:r>
    </w:p>
    <w:p w14:paraId="7FA4FB9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Вес на 1 силу – 1,25 клг. </w:t>
      </w:r>
    </w:p>
    <w:p w14:paraId="77545DF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Расход топлива – 195 грамм. </w:t>
      </w:r>
    </w:p>
    <w:p w14:paraId="7AA4C61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Для нагнетания топлива установлен насос системы БОШ тип ПЕ 4В. </w:t>
      </w:r>
    </w:p>
    <w:p w14:paraId="1E500440"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Форсунка закрытая системы "БОШ" (как варианты будут применены две форсунки производства ХПЗ открытого типа с охлаждением и без него). Угол распыления принят – 120º. </w:t>
      </w:r>
    </w:p>
    <w:p w14:paraId="7EBFBF0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Установлен центробежный регулятор, ограничивающий число оборотов 1380 т.е. на 15 % более нормального. </w:t>
      </w:r>
    </w:p>
    <w:p w14:paraId="1D1036B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Для пуска двигателя установлен стартер в 6 НР. </w:t>
      </w:r>
    </w:p>
    <w:p w14:paraId="121046A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Установлены две акумуляторные батареи по 144 амп./часа и динамо в 150 ватт. </w:t>
      </w:r>
    </w:p>
    <w:p w14:paraId="157245CA"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 пуске вводится в действие декомпрессионное устройство. </w:t>
      </w:r>
    </w:p>
    <w:p w14:paraId="5BEC0BC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настоящее время уже спущены в цеха к изготовлению следующие комплекты: Коренной вал, блок цилиндр, головка, поршень, шатун, масляный и воздушный насос и фильтр. Остальные комплекты находятся в стадии проверки и по заявлению Зав. Тех. Констр. бюро будут спущены к 1.Х. с.г. </w:t>
      </w:r>
    </w:p>
    <w:p w14:paraId="098DCB3C"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II. Окончательно спроектирован и разработан детально до рабочих чертежей включительно опытный 2-х цилиндровый 4-х тактный мотор БД-14. </w:t>
      </w:r>
    </w:p>
    <w:p w14:paraId="1FBA77C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НЕКОТОРЫЕ ТЕХНИЧЕСКИЕ ДАННЫЕ БД-14.</w:t>
      </w:r>
    </w:p>
    <w:p w14:paraId="4F91722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Диаметр цилиндра – 140 мм. </w:t>
      </w:r>
    </w:p>
    <w:p w14:paraId="19D5BEE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Ход поршня – 165 мм. </w:t>
      </w:r>
    </w:p>
    <w:p w14:paraId="3809713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Число оборотов в минуту – 1800. </w:t>
      </w:r>
    </w:p>
    <w:p w14:paraId="5D4A42B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Степень сжатия – 16,5. </w:t>
      </w:r>
    </w:p>
    <w:p w14:paraId="04EF707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Мощность в цилиндре с применением наддувки – 35 НР. </w:t>
      </w:r>
    </w:p>
    <w:p w14:paraId="70B9EE8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Габариты взяты по помещению БТ. </w:t>
      </w:r>
    </w:p>
    <w:p w14:paraId="2800897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Все чертежи спущены в цеха еще с середины марта м-ца с.г. однако до сих пор еще не все детали изготовлены. </w:t>
      </w:r>
    </w:p>
    <w:p w14:paraId="37A6343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Задержки в производстве деталей опытных двигателей ТД-16 и БД-14 вызываются по моему мнению не столько отсутствием свободных станков, в Дизельном цехе вследствие загрузки деталями БТ, сколько недостаточным вниманием Заводоуправления и заготовительных цехов к изготовлению опытных деталей. </w:t>
      </w:r>
    </w:p>
    <w:p w14:paraId="7E2E966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ДИЗЕЛЬ МОТОР "БД-2"</w:t>
      </w:r>
    </w:p>
    <w:p w14:paraId="5C4C8E2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Некоторые технические данные: </w:t>
      </w:r>
    </w:p>
    <w:p w14:paraId="7FF6A34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Диаметр цилиндра – 150 мм. </w:t>
      </w:r>
    </w:p>
    <w:p w14:paraId="33E268E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Ход поршня – 180 мм. </w:t>
      </w:r>
    </w:p>
    <w:p w14:paraId="0FDE5F46"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Число оборотов в минуту – 1700 </w:t>
      </w:r>
    </w:p>
    <w:p w14:paraId="60F9CA9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Число цилиндров – 12. </w:t>
      </w:r>
    </w:p>
    <w:p w14:paraId="69DE95C4"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Среднее эффективное давление – 5,5 кг/см² </w:t>
      </w:r>
    </w:p>
    <w:p w14:paraId="1B246AE7"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Средняя скорость поршня – 10,2 мт./сек. </w:t>
      </w:r>
    </w:p>
    <w:p w14:paraId="5F25EC91"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Полная мощность – 400 НР. </w:t>
      </w:r>
    </w:p>
    <w:p w14:paraId="4CF16FE9"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Габариты взяты по помещению БТ. </w:t>
      </w:r>
    </w:p>
    <w:p w14:paraId="655F136F"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Проектирование двигателя БД-2 далеко еще не закончено. Только отдельные комплекты как-то: Коренной вал, верхний и нижний картер, поршень с шатунами рассчитаны, и детальная конструктивная разработка заканчивается. Окончательная-же разработка чертежей всего двигателя, будет выполнена к 1.XI-с.г. </w:t>
      </w:r>
    </w:p>
    <w:p w14:paraId="0B7988B5"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IV. СОСТОЯНИЕ ВЫПОЛНЕНИЯ ДОГОВОРА, ЗАКЛЮЧЕННОГО МЕЖДУ ХПЗ И НАТИ НА ДОСТРОЙКУ ДИЗЕЛЬ-МОТОРА 0-1 (2-х цилиндровая секция мотора Д-300) следующее: </w:t>
      </w:r>
    </w:p>
    <w:p w14:paraId="507E332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 спроектирован НАТИ по заказу УММ. Чертежи были пересланы из НАТИ на ХПЗ к 5.V.с.г. Срок изготовления мотора (установка на стенде для испытания) договором установлен 20.IX. с.г. Однако к настоящему времени т.е. спустя почти 4 месяца выполнено лишь литье и поковки. К механической обработке только что приступлено. При полном напряжении завод может произвести мехобработку минимум в полтора месяца, пологая к этому 2 недели на сборку окончание выполнения договора будет с опозданием на 1 месяц. </w:t>
      </w:r>
    </w:p>
    <w:p w14:paraId="147CA61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Отношение к этой работе со стороны Заводоуправления крайне невнимательное и заставляет полагать, что опоздание будет еще значительно больше. Если выделить специально для этой работы только три станка, то заказ может быть выполнен с опозданием на 1,5 месяца, иначе опоздание может быть чрезвычайно большим. </w:t>
      </w:r>
    </w:p>
    <w:p w14:paraId="0CFBF10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ПРИМЕЧАНИЕ: Необходимые дополнительные данные по всем опытным дизель-моторам и чертежи по требованию УММ могут быть немедленно высланы. </w:t>
      </w:r>
    </w:p>
    <w:p w14:paraId="3859A5D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ВЫВОДЫ.</w:t>
      </w:r>
    </w:p>
    <w:p w14:paraId="623C8B0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Считаю необходимым воздействовать со стороны УММ на Заводоуправление, чтобы ускорить изготовление вышеуказанных опытных дизель-моторов. Форсирование этих работ диктуется: </w:t>
      </w:r>
    </w:p>
    <w:p w14:paraId="47ADE4BB"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1. Необходимостью внесения изменений в проектируемый для БТ 12 цилиндровой дизель-мотор, после испытания 2-х цилиндровой секции, т.к. запоздание производства и следовательно испытания последних будет стоить много времени и средств. </w:t>
      </w:r>
    </w:p>
    <w:p w14:paraId="752CB053"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Экономичностью эксплоатации машин с дизель-мотором (меньше расход топлива на лошад. силу в час) и разрешением топливной проблемы (переход на низкие сорта топлива).</w:t>
      </w:r>
    </w:p>
    <w:p w14:paraId="4E754A8D"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СТАРШИЙ ВОЕННЫЙ ПРЕДСТАВИТЕЛЬ УММ РККА </w:t>
      </w:r>
    </w:p>
    <w:p w14:paraId="04B9DA5E" w14:textId="77777777" w:rsidR="004A7F89" w:rsidRPr="00E93F40" w:rsidRDefault="004A7F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ОПЫТНО-КОНСТРУКТОРСКИМ РАБОТАМ НА Х.П.З. подпись (КИНСБУРГСКИЙ) (24874).</w:t>
      </w:r>
    </w:p>
    <w:p w14:paraId="68FB0523" w14:textId="77777777" w:rsidR="004A7F89" w:rsidRPr="00E93F40" w:rsidRDefault="004A7F89" w:rsidP="00E93F40">
      <w:pPr>
        <w:spacing w:after="0" w:line="240" w:lineRule="auto"/>
        <w:jc w:val="both"/>
        <w:rPr>
          <w:rFonts w:ascii="Times New Roman" w:hAnsi="Times New Roman"/>
          <w:color w:val="000000" w:themeColor="text1"/>
          <w:sz w:val="16"/>
          <w:szCs w:val="16"/>
        </w:rPr>
      </w:pPr>
    </w:p>
    <w:p w14:paraId="085155D4" w14:textId="64111A6B" w:rsidR="009276CD" w:rsidRPr="00E93F40" w:rsidRDefault="009276CD"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3564928" w14:textId="77777777" w:rsidR="009276CD" w:rsidRPr="00E93F40" w:rsidRDefault="009276C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FD3FE76" w14:textId="77777777" w:rsidR="009276CD" w:rsidRPr="00E93F40" w:rsidRDefault="009276CD"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7 сентября 1932 г. в газете «Правда» (№ 248) было опубликовано постановле</w:t>
      </w:r>
      <w:r w:rsidRPr="00E93F40">
        <w:rPr>
          <w:rFonts w:ascii="Times New Roman" w:hAnsi="Times New Roman"/>
          <w:color w:val="000000" w:themeColor="text1"/>
          <w:sz w:val="16"/>
          <w:szCs w:val="16"/>
          <w:lang w:eastAsia="ru-RU" w:bidi="ru-RU"/>
        </w:rPr>
        <w:softHyphen/>
        <w:t>ние ЦК ВКП(б) и Президиума ЦИК СССР о создании «Комиссии по проведе</w:t>
      </w:r>
      <w:r w:rsidRPr="00E93F40">
        <w:rPr>
          <w:rFonts w:ascii="Times New Roman" w:hAnsi="Times New Roman"/>
          <w:color w:val="000000" w:themeColor="text1"/>
          <w:sz w:val="16"/>
          <w:szCs w:val="16"/>
          <w:lang w:eastAsia="ru-RU" w:bidi="ru-RU"/>
        </w:rPr>
        <w:softHyphen/>
        <w:t>нию 40-летнего юбилея литературной де</w:t>
      </w:r>
      <w:r w:rsidRPr="00E93F40">
        <w:rPr>
          <w:rFonts w:ascii="Times New Roman" w:hAnsi="Times New Roman"/>
          <w:color w:val="000000" w:themeColor="text1"/>
          <w:sz w:val="16"/>
          <w:szCs w:val="16"/>
          <w:lang w:eastAsia="ru-RU" w:bidi="ru-RU"/>
        </w:rPr>
        <w:softHyphen/>
        <w:t>ятельности М.Горького» (21240).</w:t>
      </w:r>
    </w:p>
    <w:p w14:paraId="12D5CF4F" w14:textId="21D6A523" w:rsidR="009276CD" w:rsidRPr="00E93F40" w:rsidRDefault="009276CD" w:rsidP="00E93F40">
      <w:pPr>
        <w:spacing w:after="0" w:line="240" w:lineRule="auto"/>
        <w:jc w:val="both"/>
        <w:rPr>
          <w:rFonts w:ascii="Times New Roman" w:hAnsi="Times New Roman"/>
          <w:color w:val="000000" w:themeColor="text1"/>
          <w:sz w:val="16"/>
          <w:szCs w:val="16"/>
        </w:rPr>
      </w:pPr>
    </w:p>
    <w:p w14:paraId="428A01FC" w14:textId="21E99A4A" w:rsidR="005C7A37" w:rsidRPr="00E93F40" w:rsidRDefault="005C7A37"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626E1C68" w14:textId="77777777" w:rsidR="005C7A37" w:rsidRPr="00E93F40" w:rsidRDefault="005C7A37" w:rsidP="00E93F40">
      <w:pPr>
        <w:spacing w:after="0" w:line="240" w:lineRule="auto"/>
        <w:jc w:val="both"/>
        <w:rPr>
          <w:rFonts w:ascii="Times New Roman" w:hAnsi="Times New Roman"/>
          <w:i/>
          <w:iCs/>
          <w:color w:val="000000" w:themeColor="text1"/>
          <w:sz w:val="16"/>
          <w:szCs w:val="16"/>
        </w:rPr>
      </w:pPr>
    </w:p>
    <w:p w14:paraId="719C95D2"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сентября 1932 Томас Сеттл и Уинфилд Бушнелл установили новый рекорд дальности полета на воздушном шаре в 1 550 км (960 миль) между Базелем, Швейцария, и Вильно, Польша (20803).</w:t>
      </w:r>
    </w:p>
    <w:p w14:paraId="1F2C93A6" w14:textId="77777777" w:rsidR="005C7A37" w:rsidRPr="00E93F40" w:rsidRDefault="005C7A37" w:rsidP="00E93F40">
      <w:pPr>
        <w:spacing w:after="0" w:line="240" w:lineRule="auto"/>
        <w:jc w:val="both"/>
        <w:rPr>
          <w:rFonts w:ascii="Times New Roman" w:hAnsi="Times New Roman"/>
          <w:color w:val="000000" w:themeColor="text1"/>
          <w:sz w:val="16"/>
          <w:szCs w:val="16"/>
        </w:rPr>
      </w:pPr>
    </w:p>
    <w:p w14:paraId="128EA0C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4BBD46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4D069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1933 взлетел второй экземпляр РД-2 (АНТ-25- дублер) с двигателем М-34Р. Для определения лучших полетных характеристик самолет испытывался с различными воздушными винтами, что позволило уже на этом этапе подобрать наиболее эффективный образец для полета на максимальную дальность. Выяснили и эффективность использования убираемого шасси. С выпущенным шасси максимальное аэродинами ческое качество составляло 13 единиц, а с убранным шасси - 15. Кроме этого определили расходы горючего на всех режимах работы двигателя для разных высот полета. Михаил Громов вспоминал: "Планер был исключительный, самолет парил как птица. Но то, к чему мы стремились, достигнуто не было...". Результаты испытаний показали, что самолет с максимальным взлетным весом 10 тонн при продолжительности полета 65,8 часов может обеспечить максимальную дальность не более 10800 км. Таким образом, мечты о достижении рекорда в 1933 г. пришлось отложить, по крайней мере, до следующего летнего сезона. От первого экземпляра РД-2 отличается капотированием двигателя и элементами оборудования. В частности, крыльевые аэронавигационные огни на нем сдвоенные, установлены сверху и снизу законцовки крыла</w:t>
      </w:r>
    </w:p>
    <w:p w14:paraId="3A680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крыла (м)</w:t>
      </w:r>
      <w:r w:rsidRPr="00E93F40">
        <w:rPr>
          <w:rFonts w:ascii="Times New Roman" w:hAnsi="Times New Roman"/>
          <w:color w:val="000000" w:themeColor="text1"/>
          <w:sz w:val="16"/>
          <w:szCs w:val="16"/>
        </w:rPr>
        <w:tab/>
        <w:t>34,0</w:t>
      </w:r>
    </w:p>
    <w:p w14:paraId="44F14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в линии полета (м)</w:t>
      </w:r>
      <w:r w:rsidRPr="00E93F40">
        <w:rPr>
          <w:rFonts w:ascii="Times New Roman" w:hAnsi="Times New Roman"/>
          <w:color w:val="000000" w:themeColor="text1"/>
          <w:sz w:val="16"/>
          <w:szCs w:val="16"/>
        </w:rPr>
        <w:tab/>
        <w:t>13,1 (13,4 для РД-1)</w:t>
      </w:r>
    </w:p>
    <w:p w14:paraId="766FF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в линии полета (м)</w:t>
      </w:r>
      <w:r w:rsidRPr="00E93F40">
        <w:rPr>
          <w:rFonts w:ascii="Times New Roman" w:hAnsi="Times New Roman"/>
          <w:color w:val="000000" w:themeColor="text1"/>
          <w:sz w:val="16"/>
          <w:szCs w:val="16"/>
        </w:rPr>
        <w:tab/>
        <w:t>5,50</w:t>
      </w:r>
    </w:p>
    <w:p w14:paraId="3FA646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крыла (мг)</w:t>
      </w:r>
      <w:r w:rsidRPr="00E93F40">
        <w:rPr>
          <w:rFonts w:ascii="Times New Roman" w:hAnsi="Times New Roman"/>
          <w:color w:val="000000" w:themeColor="text1"/>
          <w:sz w:val="16"/>
          <w:szCs w:val="16"/>
        </w:rPr>
        <w:tab/>
        <w:t>88,2</w:t>
      </w:r>
    </w:p>
    <w:p w14:paraId="68EE4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пустого самолета (кг)</w:t>
      </w:r>
      <w:r w:rsidRPr="00E93F40">
        <w:rPr>
          <w:rFonts w:ascii="Times New Roman" w:hAnsi="Times New Roman"/>
          <w:color w:val="000000" w:themeColor="text1"/>
          <w:sz w:val="16"/>
          <w:szCs w:val="16"/>
        </w:rPr>
        <w:tab/>
        <w:t xml:space="preserve"> 3674</w:t>
      </w:r>
    </w:p>
    <w:p w14:paraId="18D31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Полезная нагрузка (кг)</w:t>
      </w:r>
      <w:r w:rsidRPr="00E93F40">
        <w:rPr>
          <w:rFonts w:ascii="Times New Roman" w:hAnsi="Times New Roman"/>
          <w:color w:val="000000" w:themeColor="text1"/>
          <w:sz w:val="16"/>
          <w:szCs w:val="16"/>
        </w:rPr>
        <w:tab/>
        <w:t xml:space="preserve"> 5900</w:t>
      </w:r>
    </w:p>
    <w:p w14:paraId="74F2DC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Полетный вес (кг)</w:t>
      </w:r>
      <w:r w:rsidRPr="00E93F40">
        <w:rPr>
          <w:rFonts w:ascii="Times New Roman" w:hAnsi="Times New Roman"/>
          <w:color w:val="000000" w:themeColor="text1"/>
          <w:sz w:val="16"/>
          <w:szCs w:val="16"/>
        </w:rPr>
        <w:tab/>
        <w:t xml:space="preserve"> 9650</w:t>
      </w:r>
    </w:p>
    <w:p w14:paraId="23EF8D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на крыло (кг/м2)</w:t>
      </w:r>
      <w:r w:rsidRPr="00E93F40">
        <w:rPr>
          <w:rFonts w:ascii="Times New Roman" w:hAnsi="Times New Roman"/>
          <w:color w:val="000000" w:themeColor="text1"/>
          <w:sz w:val="16"/>
          <w:szCs w:val="16"/>
        </w:rPr>
        <w:tab/>
        <w:t>109,4</w:t>
      </w:r>
    </w:p>
    <w:p w14:paraId="381AE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горизонтального оперения (мг)</w:t>
      </w:r>
      <w:r w:rsidRPr="00E93F40">
        <w:rPr>
          <w:rFonts w:ascii="Times New Roman" w:hAnsi="Times New Roman"/>
          <w:color w:val="000000" w:themeColor="text1"/>
          <w:sz w:val="16"/>
          <w:szCs w:val="16"/>
        </w:rPr>
        <w:tab/>
        <w:t>9,32</w:t>
      </w:r>
    </w:p>
    <w:p w14:paraId="7A5D87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Колея шасси (м) </w:t>
      </w:r>
      <w:r w:rsidRPr="00E93F40">
        <w:rPr>
          <w:rFonts w:ascii="Times New Roman" w:hAnsi="Times New Roman"/>
          <w:color w:val="000000" w:themeColor="text1"/>
          <w:sz w:val="16"/>
          <w:szCs w:val="16"/>
        </w:rPr>
        <w:tab/>
        <w:t>7,29</w:t>
      </w:r>
    </w:p>
    <w:p w14:paraId="71307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полета (км)</w:t>
      </w:r>
      <w:r w:rsidRPr="00E93F40">
        <w:rPr>
          <w:rFonts w:ascii="Times New Roman" w:hAnsi="Times New Roman"/>
          <w:color w:val="000000" w:themeColor="text1"/>
          <w:sz w:val="16"/>
          <w:szCs w:val="16"/>
        </w:rPr>
        <w:tab/>
        <w:t xml:space="preserve"> 11600 (расчетная)</w:t>
      </w:r>
    </w:p>
    <w:p w14:paraId="6A79A9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скорость (км/ч)</w:t>
      </w:r>
      <w:r w:rsidRPr="00E93F40">
        <w:rPr>
          <w:rFonts w:ascii="Times New Roman" w:hAnsi="Times New Roman"/>
          <w:color w:val="000000" w:themeColor="text1"/>
          <w:sz w:val="16"/>
          <w:szCs w:val="16"/>
        </w:rPr>
        <w:tab/>
        <w:t>235</w:t>
      </w:r>
    </w:p>
    <w:p w14:paraId="58749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 (км/ч)</w:t>
      </w:r>
      <w:r w:rsidRPr="00E93F40">
        <w:rPr>
          <w:rFonts w:ascii="Times New Roman" w:hAnsi="Times New Roman"/>
          <w:color w:val="000000" w:themeColor="text1"/>
          <w:sz w:val="16"/>
          <w:szCs w:val="16"/>
        </w:rPr>
        <w:tab/>
        <w:t>134 (11941).</w:t>
      </w:r>
    </w:p>
    <w:p w14:paraId="0BD9B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1E7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1932 был выполнен первый полет АИР-6 А.С.Я. (237,164).</w:t>
      </w:r>
    </w:p>
    <w:p w14:paraId="3EBC20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45B47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1932 г. состоялся первый полет легкого самолета АИР-6 КБ А.С.Яковлева, строился крупной серией (6395).</w:t>
      </w:r>
    </w:p>
    <w:p w14:paraId="5728646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A0F8AB" w14:textId="77777777" w:rsidR="003022E8" w:rsidRPr="00E93F40" w:rsidRDefault="003022E8"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8-10 сентября 1932 Яковлев организовал необычное мероприятие: на машине АИР-6, еще не прошедшей официальных испытаний, катали журналистов. Прибыли корреспонденты «Правды», «Известий», «Красной звезды» и «Вечерней Москвы». Пионтковский возил их над Москвой, демонстрируя легкость и простоту управления самолетом. Отзывы оказались весьма благоприятными. В «Правде» написали: «Яковлеву удалось в простой конструкции сочетать прекрасные летные качества машины с большой дешевизной в производстве и эксплуатации» (19099).</w:t>
      </w:r>
    </w:p>
    <w:p w14:paraId="1170A0E0" w14:textId="77777777" w:rsidR="003022E8" w:rsidRPr="00E93F40" w:rsidRDefault="003022E8" w:rsidP="00E93F40">
      <w:pPr>
        <w:pStyle w:val="a8"/>
        <w:jc w:val="both"/>
        <w:rPr>
          <w:rFonts w:ascii="Times New Roman" w:hAnsi="Times New Roman" w:cs="Times New Roman"/>
          <w:color w:val="000000" w:themeColor="text1"/>
        </w:rPr>
      </w:pPr>
    </w:p>
    <w:p w14:paraId="30CDE2E6"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8-10 сентября 1932 А.С.Яковлев организовал необычное мероприятие: на машине АИР-6, еще не прошедшей официальных испытаний, катали журналистов. Прибыли корреспон</w:t>
      </w:r>
      <w:r w:rsidRPr="00142305">
        <w:rPr>
          <w:rFonts w:ascii="Times New Roman" w:hAnsi="Times New Roman"/>
          <w:color w:val="0070C0"/>
          <w:sz w:val="16"/>
          <w:szCs w:val="16"/>
        </w:rPr>
        <w:softHyphen/>
        <w:t>денты «Правды», «Известий», «Красной звезды» и «Вечерней Москвы». Пионтков</w:t>
      </w:r>
      <w:r w:rsidRPr="00142305">
        <w:rPr>
          <w:rFonts w:ascii="Times New Roman" w:hAnsi="Times New Roman"/>
          <w:color w:val="0070C0"/>
          <w:sz w:val="16"/>
          <w:szCs w:val="16"/>
        </w:rPr>
        <w:softHyphen/>
        <w:t>ский возил их над Москвой, демонстрируя легкость и простоту управления самоле</w:t>
      </w:r>
      <w:r w:rsidRPr="00142305">
        <w:rPr>
          <w:rFonts w:ascii="Times New Roman" w:hAnsi="Times New Roman"/>
          <w:color w:val="0070C0"/>
          <w:sz w:val="16"/>
          <w:szCs w:val="16"/>
        </w:rPr>
        <w:softHyphen/>
        <w:t>том. Отзывы оказались весьма благопри</w:t>
      </w:r>
      <w:r w:rsidRPr="00142305">
        <w:rPr>
          <w:rFonts w:ascii="Times New Roman" w:hAnsi="Times New Roman"/>
          <w:color w:val="0070C0"/>
          <w:sz w:val="16"/>
          <w:szCs w:val="16"/>
        </w:rPr>
        <w:softHyphen/>
        <w:t>ятными. В «Правде» написали: «Яковлеву удалось в простой конструкции сочетать прекрасные летные качества машины с большой дешевизной в производстве и эксплуатации».</w:t>
      </w:r>
    </w:p>
    <w:p w14:paraId="65866240"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Конструктор сравнивал АИР-6 с бип</w:t>
      </w:r>
      <w:r w:rsidRPr="00142305">
        <w:rPr>
          <w:rFonts w:ascii="Times New Roman" w:hAnsi="Times New Roman"/>
          <w:color w:val="0070C0"/>
          <w:sz w:val="16"/>
          <w:szCs w:val="16"/>
        </w:rPr>
        <w:softHyphen/>
        <w:t>ланом У-2 по неприхотливости. В то же время он отмечал, что грузоподъемность у его машины при том же самом моторе М-11 в полтора раза больше, дальность полета - в три раза выше. Закрытая ка</w:t>
      </w:r>
      <w:r w:rsidRPr="00142305">
        <w:rPr>
          <w:rFonts w:ascii="Times New Roman" w:hAnsi="Times New Roman"/>
          <w:color w:val="0070C0"/>
          <w:sz w:val="16"/>
          <w:szCs w:val="16"/>
        </w:rPr>
        <w:softHyphen/>
        <w:t>бина обеспечивала лучшие условия для летчика и пассажира (на У-2 они сидели в открытых кабинах). Предполагалось, что более широкая колея шасси даст воз</w:t>
      </w:r>
      <w:r w:rsidRPr="00142305">
        <w:rPr>
          <w:rFonts w:ascii="Times New Roman" w:hAnsi="Times New Roman"/>
          <w:color w:val="0070C0"/>
          <w:sz w:val="16"/>
          <w:szCs w:val="16"/>
        </w:rPr>
        <w:softHyphen/>
        <w:t>можность приземлиться там, где У-2 не сядет. Яковлев писал, что его самолет в эксплуатации будет в три раза экономич</w:t>
      </w:r>
      <w:r w:rsidRPr="00142305">
        <w:rPr>
          <w:rFonts w:ascii="Times New Roman" w:hAnsi="Times New Roman"/>
          <w:color w:val="0070C0"/>
          <w:sz w:val="16"/>
          <w:szCs w:val="16"/>
        </w:rPr>
        <w:softHyphen/>
        <w:t>нее, чем старый биплан.</w:t>
      </w:r>
    </w:p>
    <w:p w14:paraId="6F742EA4"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Стоимость машины в серийном произ</w:t>
      </w:r>
      <w:r w:rsidRPr="00142305">
        <w:rPr>
          <w:rFonts w:ascii="Times New Roman" w:hAnsi="Times New Roman"/>
          <w:color w:val="0070C0"/>
          <w:sz w:val="16"/>
          <w:szCs w:val="16"/>
        </w:rPr>
        <w:softHyphen/>
        <w:t>водстве оценивали по-разному. В докумен</w:t>
      </w:r>
      <w:r w:rsidRPr="00142305">
        <w:rPr>
          <w:rFonts w:ascii="Times New Roman" w:hAnsi="Times New Roman"/>
          <w:color w:val="0070C0"/>
          <w:sz w:val="16"/>
          <w:szCs w:val="16"/>
        </w:rPr>
        <w:softHyphen/>
        <w:t>тах встречаются цифры и 8000 рублей, и 10 000 рублей. Сам Яковлев в объясни</w:t>
      </w:r>
      <w:r w:rsidRPr="00142305">
        <w:rPr>
          <w:rFonts w:ascii="Times New Roman" w:hAnsi="Times New Roman"/>
          <w:color w:val="0070C0"/>
          <w:sz w:val="16"/>
          <w:szCs w:val="16"/>
        </w:rPr>
        <w:softHyphen/>
        <w:t>тельной записке указал, что она в любом случае не превысит 20 000 рублей, то есть будет сравнима с ценой У-2 (24945).</w:t>
      </w:r>
    </w:p>
    <w:p w14:paraId="572E35A0" w14:textId="77777777" w:rsidR="00A3140F" w:rsidRPr="00142305" w:rsidRDefault="00A3140F" w:rsidP="00A3140F">
      <w:pPr>
        <w:spacing w:after="0" w:line="240" w:lineRule="auto"/>
        <w:jc w:val="both"/>
        <w:rPr>
          <w:rFonts w:ascii="Times New Roman" w:hAnsi="Times New Roman"/>
          <w:color w:val="0070C0"/>
          <w:sz w:val="16"/>
          <w:szCs w:val="16"/>
        </w:rPr>
      </w:pPr>
    </w:p>
    <w:p w14:paraId="28D862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1932 года врид начальника НИИ ВВС Коннэрт писал письмо № сс-75с начальнику ВВС</w:t>
      </w:r>
    </w:p>
    <w:p w14:paraId="104015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 работой Осконпробюро ВВС Гроховского таково, что Институт не в состоянии вести за ней наблюдение, подобно общему наблюдению за опытным строительством.</w:t>
      </w:r>
    </w:p>
    <w:p w14:paraId="057C9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с Институтом не согласовываются планы работы Бюро ввиду чего все эти работы в НИИ идут вне плана, объекты строятся без предъявления каких-либо тактико-технических требований, проекты опытных образцов не предъявляются для утверждения в НИИ, благодаря чему построенные образцы имеют большое количество дефектов, которые при предварительном просмотре проектов могли бы быть легко устранены.</w:t>
      </w:r>
    </w:p>
    <w:p w14:paraId="18BCDC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тактико-технических требований чрезвычайно затрудняет и само испытание объектов, так как не имеется никакого исходного положения по которому можно было судить о целесообразности того или иного образца.</w:t>
      </w:r>
    </w:p>
    <w:p w14:paraId="2075C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избежания этого считал бы целесообразным:</w:t>
      </w:r>
    </w:p>
    <w:p w14:paraId="6058880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Планы работ Осконпробюро ВВС согласовывать с НИИ на предмет отведения для них соответствующего места в планах последнего.</w:t>
      </w:r>
    </w:p>
    <w:p w14:paraId="3F667C4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каждый объект плана должны быть составлены тактико-технические требования, разработанные или НИИ, или соответствующей организацией, от которой эта работа исходит. В одном экземпляре эти тактико-технические требования должны представляться в НИИ до начала проектирования данного объекта.</w:t>
      </w:r>
    </w:p>
    <w:p w14:paraId="59BAC1E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Разработанный проект должен быть представлен на утверждение в НИИ, после чего с выполнением соответствующих изменений, если таковые имеются, передается в производство.</w:t>
      </w:r>
    </w:p>
    <w:p w14:paraId="6CAD9C6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производства наблюдение за постройкой опытного образца лежит на НИИ в соответствии с общим положением за опытным строительством ВВС.</w:t>
      </w:r>
    </w:p>
    <w:p w14:paraId="5B55DAF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окончании изготовления опытного образца, таковой проходит заводское испытание в присутствии представителя НИИ, после которого уже переделанный, если это потребуется, поступает на госиспытание.</w:t>
      </w:r>
    </w:p>
    <w:p w14:paraId="07BDC4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Полагая, что указываемые мною мероприятия ввели бы большую четкость в работу Осконпробюро ВВС, чем это имеет место до сего времени, прошу Ваших соответствующих распоряжений (7470, 330).</w:t>
      </w:r>
    </w:p>
    <w:p w14:paraId="1616A8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3A9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1932 Расширенный пленум ЦС ОХА совместно с председателями областных, краевых и республиканских советов. О значении планеризма можно судить по выступлению на пленуме Р.П. Эйдемана: "Мы сказали себе: какие угодно затраты, но завод [планерный] должен существовать. Мы добьемся того, чтобы в этом году выпуск был 3000, в 1934 г. 3500 планеров, 200 000 планеристов к концу 1936 г." Из выступления Я.И. Алксниса: "На сегодняшний день находятся такие люди, которые пытаются оспорить значение планеризма. Это могут только идиоты, ничего не понимающие в летном деле" (Там же, № 60(1), 60(2), л. 205) (10676).</w:t>
      </w:r>
    </w:p>
    <w:p w14:paraId="29E7C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B2BEF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054257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2E91D0" w14:textId="77777777" w:rsidR="003022E8" w:rsidRPr="00E93F40" w:rsidRDefault="003022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1932 года ЯАЗ принял к исполнению новый опытный образец полноприводного восьмиколесного автомобиля ЯГ-12. Главному конструктору А.С. Литвинову предписывалось «немедленно приступить к изготовлению проекта и составлению рабочих чертежей». Уникальной машине решено было присвоить собственное название: «Имени Правды». ЯГ-12 предполагалось построить менее чем за два месяца. Срок был установлен 1 ноября 1932 года, поэтому в тексте Приказа №215 отдельно подчеркивалась необходимость «приложить все силы для выполнения поставленной задачи». Во что бы то ни стало, было необходимо обеспечить участие нового ЯГ-12 в торжествах, посвященных 15-й годовщине октябрьской революции.</w:t>
      </w:r>
    </w:p>
    <w:p w14:paraId="409C9FE5" w14:textId="77777777" w:rsidR="003022E8" w:rsidRPr="00E93F40" w:rsidRDefault="003022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Англии фирма Armstrong Siddeley создала легкую конструкцию B10E1, а компания GUY построила армейский тягач Cow. Обе машины имели открытые кабины, односкатные колеса и были заметно меньше нашей конструкции. Их нельзя было в полной мере отнести к тяжелым грузовикам. Третьим в мире восьмиколесным полноприводным автомобилем стал ярославский ЯГ-12. Он также может считаться первым в мире тяжелым грузовиком с колесной формулой 8х8.</w:t>
      </w:r>
    </w:p>
    <w:p w14:paraId="53AEEB08" w14:textId="77777777" w:rsidR="003022E8" w:rsidRPr="00E93F40" w:rsidRDefault="003022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Главным конструктором машины ЯГ-12 стал талантливый инженер Литвинов. Выпуском рабочей документации занимались конструкторы Осепчугов, Ивлиев и Кокин. Технологические процессы разрабатывал Попрыкин. Сложные отливки выполняли модельщик Макаров и литейщик Поплавков. Механической обработкой деталей занимались самые квалифицированные специалисты. Далее детали чудо-машины попадали в сборочный цех, где начальник сборки Мроз и его помощник Бледнов лично контролировали процесс постройки ЯГ-12. Сборка передней тележки представляла особенную сложность. Она включала восемнадцать карданных шарниров! Во избежание ошибки при сборке, пришлось составлять специальные контрольные схемы для проверки направления вращения шестерен. При сборке ЯГ-12 часто присутствовали директор В.А. Еленин и главный конструктор А.С. Литвинов. Они следили за технологией и темпами производства уникальных работ. Но 1 ноября 1932 года работы сборка ЯГ-12 все еще не была завершена. Что же, участие машины «Имени Правды» в торжествах, посвященных 15-й годовщине октябрьской революции, поставлено под вопрос?! В.А. Еленин издает Приказ № 258. «Сегодня 2 ноября по желанию рабочих цеха ОМО проводится субботник по выпуску машины им. «Правды», поэтому производственные рабочие цеха ОМО работают ПОЛТОРЫ СМЕНЫ». Такой подход дал результаты, и к половине пятого утра 6 ноября 1932 года ЯГ12 вышел из ворот сборочного цеха. На территории завода состоялся митинг, где с краткой напутственной речью выступил директор завода Василий Еленин. Далее без промедления уникальный автомобиль в составе колонны серийных ЯГ-10 и двух опытных машин Я-7 покинул заводской двор и направился в Москву. Путь проходил через Ростов Великий и Переславль. Здесь колонна останавливалась, и необычную машину демонстрировали жителям города. К половине восьмого вечера 6 ноября 1932 года колонна в полном составе прибыла в Москву. Тем же вечером участники пробега посетили Центральный Автодор, а утром 7 ноября ЯГ-12 с гордостью прошел по Красной площади. 11 ноября 1932 года ярославская делегация вернулась домой. В тот же день поступила телеграмма от Заместителя Председателя правления ГУТАП: «Ярославль - Автозавод. Еленину, Кутузову, Малыгину. -Поздравляю в Вашем лице весь коллектив завода с одержанной победой выпуска к 15-й годовщине 4-й колонны 3-х осных восьмитонных машин, большом успехе достигнутом в выпуске 4-х осного 12-ти тонного вездеходного автомобиля, так же выпуск 2-х машин новой конструкции. Впредь надеюсь, что коллектив завода не сдаст своих темпов и будет твердо добиваться новых успехов в своей работе». Конструкция ЯГ-12 оказалась слишком сложной для серийного производства 1930-х, но опыт создания этой уникальной машины послужил основой для разработки последующих отечественных конструкций колесной формулы 8х8. Именно ЯГ-12 можно по праву считать прародителем многоколесной техники (19729).</w:t>
      </w:r>
    </w:p>
    <w:p w14:paraId="787B7FBF" w14:textId="77777777" w:rsidR="003022E8" w:rsidRPr="00E93F40" w:rsidRDefault="003022E8" w:rsidP="00E93F40">
      <w:pPr>
        <w:spacing w:after="0" w:line="240" w:lineRule="auto"/>
        <w:jc w:val="both"/>
        <w:rPr>
          <w:rFonts w:ascii="Times New Roman" w:hAnsi="Times New Roman"/>
          <w:color w:val="000000" w:themeColor="text1"/>
          <w:sz w:val="16"/>
          <w:szCs w:val="16"/>
        </w:rPr>
      </w:pPr>
    </w:p>
    <w:p w14:paraId="34E0CD88" w14:textId="77777777" w:rsidR="003022E8" w:rsidRPr="00E93F40" w:rsidRDefault="003022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1932 г. в докладной записке технического директора ЦРЛ Н.И. Дозорова описывались события вокруз завода Коминтерна и ЦРД в 1927-31 гг. «... в начале 1930 года по конец 1931 ЦРЛ была объединена с заводом им. Коминтерна. Это слияние произведено под лозунгом предоставления ЦРЛ производственной базы в лице завода им. Коминтерна. На деле вышло все наоборот. Завод подчинил себе ЦРЛ и начал использовать силы и средства лаборатории в интересах текущего производст</w:t>
      </w:r>
      <w:r w:rsidRPr="00E93F40">
        <w:rPr>
          <w:rFonts w:ascii="Times New Roman" w:hAnsi="Times New Roman"/>
          <w:color w:val="000000" w:themeColor="text1"/>
          <w:sz w:val="16"/>
          <w:szCs w:val="16"/>
        </w:rPr>
        <w:softHyphen/>
        <w:t>ва с явным ущербом для исследовательских работ. Начиная с июля 1931 г., ра</w:t>
      </w:r>
      <w:r w:rsidRPr="00E93F40">
        <w:rPr>
          <w:rFonts w:ascii="Times New Roman" w:hAnsi="Times New Roman"/>
          <w:color w:val="000000" w:themeColor="text1"/>
          <w:sz w:val="16"/>
          <w:szCs w:val="16"/>
        </w:rPr>
        <w:softHyphen/>
        <w:t>ботники ЦРЛ повели решительную борьбу за отделение ЦРЛ от завода и, не</w:t>
      </w:r>
      <w:r w:rsidRPr="00E93F40">
        <w:rPr>
          <w:rFonts w:ascii="Times New Roman" w:hAnsi="Times New Roman"/>
          <w:color w:val="000000" w:themeColor="text1"/>
          <w:sz w:val="16"/>
          <w:szCs w:val="16"/>
        </w:rPr>
        <w:softHyphen/>
        <w:t>смотря на отчаянное сопротивление работников завода, довели ее до конца при помощи областной РКИ и Петроградского райкома ВКП (б). С 1 сентября 1931 года ЦРЛ вновь стала самостоятельным предприятием» (19098).</w:t>
      </w:r>
    </w:p>
    <w:p w14:paraId="2F3999B9" w14:textId="77777777" w:rsidR="003022E8" w:rsidRPr="00E93F40" w:rsidRDefault="003022E8" w:rsidP="00E93F40">
      <w:pPr>
        <w:spacing w:after="0" w:line="240" w:lineRule="auto"/>
        <w:jc w:val="both"/>
        <w:rPr>
          <w:rFonts w:ascii="Times New Roman" w:hAnsi="Times New Roman"/>
          <w:color w:val="000000" w:themeColor="text1"/>
          <w:sz w:val="16"/>
          <w:szCs w:val="16"/>
        </w:rPr>
      </w:pPr>
    </w:p>
    <w:p w14:paraId="4FCB14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1931 г. была подготовлена докладная записка технического директора ЦРЛ Н.И. Дозорова "О современном состоянии ЦРЛ и существующих взаимоотношениях в системе ВЭСО" (ВЭСО -Всесоюзное электрослаботочное объединение). В этой докладной записке, в частности, сказано: "... с начала 1930 года по конец 1931 ЦРЛ была объединена с заводом им. Коминтерна. Это слия</w:t>
      </w:r>
      <w:r w:rsidRPr="00E93F40">
        <w:rPr>
          <w:rFonts w:ascii="Times New Roman" w:hAnsi="Times New Roman"/>
          <w:color w:val="000000" w:themeColor="text1"/>
          <w:sz w:val="16"/>
          <w:szCs w:val="16"/>
        </w:rPr>
        <w:softHyphen/>
        <w:t>ние произведено под лозунгом предоставления ЦРЛ производствен</w:t>
      </w:r>
      <w:r w:rsidRPr="00E93F40">
        <w:rPr>
          <w:rFonts w:ascii="Times New Roman" w:hAnsi="Times New Roman"/>
          <w:color w:val="000000" w:themeColor="text1"/>
          <w:sz w:val="16"/>
          <w:szCs w:val="16"/>
        </w:rPr>
        <w:softHyphen/>
        <w:t>ной базы в лице завода им. Коминтерна. На деле выишо всё наобо</w:t>
      </w:r>
      <w:r w:rsidRPr="00E93F40">
        <w:rPr>
          <w:rFonts w:ascii="Times New Roman" w:hAnsi="Times New Roman"/>
          <w:color w:val="000000" w:themeColor="text1"/>
          <w:sz w:val="16"/>
          <w:szCs w:val="16"/>
        </w:rPr>
        <w:softHyphen/>
        <w:t>рот. Завод подчинил себе ЦРЛ и начал использовать силы и сред</w:t>
      </w:r>
      <w:r w:rsidRPr="00E93F40">
        <w:rPr>
          <w:rFonts w:ascii="Times New Roman" w:hAnsi="Times New Roman"/>
          <w:color w:val="000000" w:themeColor="text1"/>
          <w:sz w:val="16"/>
          <w:szCs w:val="16"/>
        </w:rPr>
        <w:softHyphen/>
        <w:t>ства лаборатории в интересах текущего производства с явным ущербом для исследовательских работ. Начиная с июля 1931 года, работники ЦРЛ повели решительную борьбу за отделение ЦРЛ от завода и, несмотря на отчаянное сопротивление работников завода, довели её до конца при помощи областной РКИ и Петроградского райкома ВКП(б). С 1 сентября 1931 года ЦРЛ стала самосто</w:t>
      </w:r>
      <w:r w:rsidRPr="00E93F40">
        <w:rPr>
          <w:rFonts w:ascii="Times New Roman" w:hAnsi="Times New Roman"/>
          <w:color w:val="000000" w:themeColor="text1"/>
          <w:sz w:val="16"/>
          <w:szCs w:val="16"/>
        </w:rPr>
        <w:softHyphen/>
        <w:t>ятельным предприятием. "Делёжка "между ЦРЛ и заводом произош</w:t>
      </w:r>
      <w:r w:rsidRPr="00E93F40">
        <w:rPr>
          <w:rFonts w:ascii="Times New Roman" w:hAnsi="Times New Roman"/>
          <w:color w:val="000000" w:themeColor="text1"/>
          <w:sz w:val="16"/>
          <w:szCs w:val="16"/>
        </w:rPr>
        <w:softHyphen/>
        <w:t>ла под лозунгом «статус-кво», то есть всё, что находилось на терри</w:t>
      </w:r>
      <w:r w:rsidRPr="00E93F40">
        <w:rPr>
          <w:rFonts w:ascii="Times New Roman" w:hAnsi="Times New Roman"/>
          <w:color w:val="000000" w:themeColor="text1"/>
          <w:sz w:val="16"/>
          <w:szCs w:val="16"/>
        </w:rPr>
        <w:softHyphen/>
        <w:t>тории предприятия, было закреплено при помощи силы (сторожевая охрана)...</w:t>
      </w:r>
    </w:p>
    <w:p w14:paraId="3CD828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Лаборатория коротких волн, построенная ЦРЛ в 1928 году на ул. Грота при помощи ВЭСО, была отобрана с обещанием возвратить летом 1932 года (лето прошло - лаборатория не возвра</w:t>
      </w:r>
      <w:r w:rsidRPr="00E93F40">
        <w:rPr>
          <w:rFonts w:ascii="Times New Roman" w:hAnsi="Times New Roman"/>
          <w:color w:val="000000" w:themeColor="text1"/>
          <w:sz w:val="16"/>
          <w:szCs w:val="16"/>
        </w:rPr>
        <w:softHyphen/>
        <w:t>щена)... большое количество оборудования (станки, измеритель</w:t>
      </w:r>
      <w:r w:rsidRPr="00E93F40">
        <w:rPr>
          <w:rFonts w:ascii="Times New Roman" w:hAnsi="Times New Roman"/>
          <w:color w:val="000000" w:themeColor="text1"/>
          <w:sz w:val="16"/>
          <w:szCs w:val="16"/>
        </w:rPr>
        <w:softHyphen/>
        <w:t>ные приборы), принадлежавшего ранее ЦРЛ и взятого заводом во время слияния, не было возвращено и осталось па заводе... ". Мате</w:t>
      </w:r>
      <w:r w:rsidRPr="00E93F40">
        <w:rPr>
          <w:rFonts w:ascii="Times New Roman" w:hAnsi="Times New Roman"/>
          <w:color w:val="000000" w:themeColor="text1"/>
          <w:sz w:val="16"/>
          <w:szCs w:val="16"/>
        </w:rPr>
        <w:softHyphen/>
        <w:t>риалы, изложенные в докладной записке, были рассмотрены на расширенном заседании пленума партийной организации ЦРЛ (11481).</w:t>
      </w:r>
    </w:p>
    <w:p w14:paraId="4B8511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EBFE82"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8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1127/338сс о финансировании строительства автосборочного завода в г. Харьков (ГА РФ. Ф. Р?8418. Оп. 28. Д. 1а. Л. 341) (12415).</w:t>
      </w:r>
    </w:p>
    <w:p w14:paraId="5A8F9273"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50F21BB8"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8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115. 7 О цветных металлах и ферросплавах (Рудзутак, Розенгольц, Пятаков). — ОП. Опросом членов ПБ от 6 сентября 1932 г. 77/62. О строительстве азотно-туковых комбинатов и о производстве томасшлака. (Политбюро... Т. 2. С. 349, 351) (12416).</w:t>
      </w:r>
    </w:p>
    <w:p w14:paraId="731E48CB"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6BDB839D"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8 сентября 1932</w:t>
      </w:r>
      <w:r w:rsidRPr="00E93F40">
        <w:rPr>
          <w:rFonts w:ascii="Times New Roman" w:hAnsi="Times New Roman"/>
          <w:color w:val="000000" w:themeColor="text1"/>
          <w:sz w:val="16"/>
          <w:szCs w:val="16"/>
        </w:rPr>
        <w:t>Политбюро ЦК ВКП (б) приняло постановление о мероприятиях по улучшению работы сталинградского завода «Красный Октябрь» и производства радиаторов на Сталинградском тракторном заводе (12265).</w:t>
      </w:r>
    </w:p>
    <w:p w14:paraId="5F54FF37" w14:textId="459FDC6C" w:rsidR="0094586B"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6471B4ED"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1932 состоялось заседание ПБ (Протокол № 115)</w:t>
      </w:r>
    </w:p>
    <w:p w14:paraId="7936E633"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 бюллетенях иностранной информации_и_закрытых письмах» Академии с.-х. наук, НКВТ и др. наркоматов.</w:t>
      </w:r>
    </w:p>
    <w:p w14:paraId="4A2A2744"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Сталин).</w:t>
      </w:r>
    </w:p>
    <w:p w14:paraId="4E31358B"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Закрыть "закрытые письма" и бюллетени иностранной информации Всесоюзной Академии с.-х. наук им. Ленина, НКВТ, НКФина и др. наркоматов, а также бюллетени иностранной ин</w:t>
      </w:r>
      <w:r w:rsidRPr="00E93F40">
        <w:rPr>
          <w:rFonts w:ascii="Times New Roman" w:hAnsi="Times New Roman"/>
          <w:color w:val="000000" w:themeColor="text1"/>
          <w:sz w:val="16"/>
          <w:szCs w:val="16"/>
        </w:rPr>
        <w:softHyphen/>
        <w:t>формации при "Правде", "Известиях" и др. газетах.</w:t>
      </w:r>
    </w:p>
    <w:p w14:paraId="50DFE72B"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т. Постышеву проследить за исполнением этого решения.</w:t>
      </w:r>
    </w:p>
    <w:p w14:paraId="38B43603"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Предложить Госбанку ограничиться опубликованием квартальных балансов по эмиссии, не публикуя месячных балансов.</w:t>
      </w:r>
    </w:p>
    <w:p w14:paraId="7488DF50"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послали: т.Калмановичу - все; т.т. Постышеву, Розенгольцу, Яковлеву, Левину(НКФ), Гронскому, Попову Н.Н., Стойкому, всем наркоматам СССР и РСФСР - пункт "а".</w:t>
      </w:r>
    </w:p>
    <w:p w14:paraId="41EBF22E"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 цветных металлах и Ферро-силанах.</w:t>
      </w:r>
    </w:p>
    <w:p w14:paraId="13B69AC4"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Рудзутак, Розенгольц, Пятаков).</w:t>
      </w:r>
    </w:p>
    <w:p w14:paraId="5F5C12B0"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Утвердить с поправками внесенный т. Рудзутаком проект постановления о балансах и планах распределения цветных металлов, баббитов и кабельных изделии на второе полугодие 1932 года (см. приложение).</w:t>
      </w:r>
    </w:p>
    <w:p w14:paraId="6A45E0B2"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Довести импорт ферро-сплавов в 1У квартале до раз</w:t>
      </w:r>
      <w:r w:rsidRPr="00E93F40">
        <w:rPr>
          <w:rFonts w:ascii="Times New Roman" w:hAnsi="Times New Roman"/>
          <w:color w:val="000000" w:themeColor="text1"/>
          <w:sz w:val="16"/>
          <w:szCs w:val="16"/>
        </w:rPr>
        <w:softHyphen/>
        <w:t>меров в сумме 5.675.000 руб.</w:t>
      </w:r>
    </w:p>
    <w:p w14:paraId="15CA090C"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Предложить НКТПрому представить в Политбюро в сроч</w:t>
      </w:r>
      <w:r w:rsidRPr="00E93F40">
        <w:rPr>
          <w:rFonts w:ascii="Times New Roman" w:hAnsi="Times New Roman"/>
          <w:color w:val="000000" w:themeColor="text1"/>
          <w:sz w:val="16"/>
          <w:szCs w:val="16"/>
        </w:rPr>
        <w:softHyphen/>
        <w:t>ном порядке проект практических мероприятий по максималь</w:t>
      </w:r>
      <w:r w:rsidRPr="00E93F40">
        <w:rPr>
          <w:rFonts w:ascii="Times New Roman" w:hAnsi="Times New Roman"/>
          <w:color w:val="000000" w:themeColor="text1"/>
          <w:sz w:val="16"/>
          <w:szCs w:val="16"/>
        </w:rPr>
        <w:softHyphen/>
        <w:t>ному форсированию производства никеля, олова, аллюминия и ферро-сплавов.</w:t>
      </w:r>
    </w:p>
    <w:p w14:paraId="02C9D8EC"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Дополнительный импорт никкеля, олова и ферро-сплавов сверх импортного плана НКВТ на Ш и 1У кварт, произвести за счет уменьшения контингентов НКТяжа, а если не хватит контингентов,- за счет гос. валютных фондов.</w:t>
      </w:r>
    </w:p>
    <w:p w14:paraId="149374C2"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Рудзутаку, Розенгольцу, Пятакову, Керженцеву.</w:t>
      </w:r>
    </w:p>
    <w:p w14:paraId="77F2F198"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сентября 1939 опросом членов ПБ</w:t>
      </w:r>
    </w:p>
    <w:p w14:paraId="3E2B5120"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 Вопрос РВС.</w:t>
      </w:r>
    </w:p>
    <w:p w14:paraId="1ED40AAD"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Гамарник).</w:t>
      </w:r>
    </w:p>
    <w:p w14:paraId="47AA3E5A"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Утвердить поездку на маневры в Германии следующих товарищей: Тухачевский, Фельдман, Седякин, Фесенко, Гарькавый, Вайнер, Клейн-Бурзи, Хорошилов, Трифонов, Петк евич.</w:t>
      </w:r>
    </w:p>
    <w:p w14:paraId="6926E2AD"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Согласиться на допущение на учения РККА 6 германских и 3 итальянских офицеров.</w:t>
      </w:r>
    </w:p>
    <w:p w14:paraId="13D2FAD7"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Не возражать против присутствия на учениях РККА предложенных РВС иностранных военных атташе.</w:t>
      </w:r>
    </w:p>
    <w:p w14:paraId="1FEDC47A"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послана: т.т. Ворошилову, Литвинову - все; Горб (ОГПУ) - а,б.</w:t>
      </w:r>
    </w:p>
    <w:p w14:paraId="7F9742E6"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сентября 1939 опросом членов ПБ</w:t>
      </w:r>
    </w:p>
    <w:p w14:paraId="68EE75CD"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75/60.- О германских специалистах.</w:t>
      </w:r>
    </w:p>
    <w:p w14:paraId="1F2A2A3E"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16.УП.32 г.,пр. № 108, п.12).</w:t>
      </w:r>
    </w:p>
    <w:p w14:paraId="2FA34E29"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(т.Рудзутак).</w:t>
      </w:r>
    </w:p>
    <w:p w14:paraId="26FA593B"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следующие предложения комиссии т.Руд- зутака:</w:t>
      </w:r>
    </w:p>
    <w:p w14:paraId="6D3DFA35"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Ликвидационное вознаграждение при нежелании иноспециалистов оставаться на работе в СССР по оконча</w:t>
      </w:r>
      <w:r w:rsidRPr="00E93F40">
        <w:rPr>
          <w:rFonts w:ascii="Times New Roman" w:hAnsi="Times New Roman"/>
          <w:color w:val="000000" w:themeColor="text1"/>
          <w:sz w:val="16"/>
          <w:szCs w:val="16"/>
        </w:rPr>
        <w:softHyphen/>
        <w:t>нии договора выплачивается (в валютной части) исключи</w:t>
      </w:r>
      <w:r w:rsidRPr="00E93F40">
        <w:rPr>
          <w:rFonts w:ascii="Times New Roman" w:hAnsi="Times New Roman"/>
          <w:color w:val="000000" w:themeColor="text1"/>
          <w:sz w:val="16"/>
          <w:szCs w:val="16"/>
        </w:rPr>
        <w:softHyphen/>
        <w:t>тельно в размере и порядке, предусмотренном договором.</w:t>
      </w:r>
    </w:p>
    <w:p w14:paraId="7DB4B1EB"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судебные органы по трудовым делам и ор</w:t>
      </w:r>
      <w:r w:rsidRPr="00E93F40">
        <w:rPr>
          <w:rFonts w:ascii="Times New Roman" w:hAnsi="Times New Roman"/>
          <w:color w:val="000000" w:themeColor="text1"/>
          <w:sz w:val="16"/>
          <w:szCs w:val="16"/>
        </w:rPr>
        <w:softHyphen/>
        <w:t>ганы Наркомтруда, принимать к рассмотрению жалобы и претензии иноработников, связанные с вопросами их ра</w:t>
      </w:r>
      <w:r w:rsidRPr="00E93F40">
        <w:rPr>
          <w:rFonts w:ascii="Times New Roman" w:hAnsi="Times New Roman"/>
          <w:color w:val="000000" w:themeColor="text1"/>
          <w:sz w:val="16"/>
          <w:szCs w:val="16"/>
        </w:rPr>
        <w:softHyphen/>
        <w:t>боты и их оплаты в предприятиях и учреждениях СССР.</w:t>
      </w:r>
    </w:p>
    <w:p w14:paraId="181A8F84"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Выплачивать инорабочим из Германии часть зар</w:t>
      </w:r>
      <w:r w:rsidRPr="00E93F40">
        <w:rPr>
          <w:rFonts w:ascii="Times New Roman" w:hAnsi="Times New Roman"/>
          <w:color w:val="000000" w:themeColor="text1"/>
          <w:sz w:val="16"/>
          <w:szCs w:val="16"/>
        </w:rPr>
        <w:softHyphen/>
        <w:t>платы в валюте для уплаты взносов в кассу социального страхования своей страны лишь в случаях, если эти ра</w:t>
      </w:r>
      <w:r w:rsidRPr="00E93F40">
        <w:rPr>
          <w:rFonts w:ascii="Times New Roman" w:hAnsi="Times New Roman"/>
          <w:color w:val="000000" w:themeColor="text1"/>
          <w:sz w:val="16"/>
          <w:szCs w:val="16"/>
        </w:rPr>
        <w:softHyphen/>
        <w:t>бочие были приглашены приехать из-заграницы в СССР на договорных началах, если это в договоре отражено, они выплачивали страхвзносы не менее 2-х лет и если это оговорено договором.</w:t>
      </w:r>
    </w:p>
    <w:p w14:paraId="4E007A44"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Обязать органы Наркоминдела, административные отделы Исполкомов Советов, выдавать обратные визы или документы, гарантирующие срочное получение таковой на в"езд в СССР - всем иноработникам и ближайшим членам их семей (жена и дети), уезжающим в отпуск заграницу (согласованный с своими хозорганами.</w:t>
      </w:r>
    </w:p>
    <w:p w14:paraId="035F6F34" w14:textId="77777777" w:rsidR="005C7A37" w:rsidRPr="00E93F40" w:rsidRDefault="005C7A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 Рудзутаку, т. Керженцеву, т. Литвинову (23060).</w:t>
      </w:r>
    </w:p>
    <w:p w14:paraId="7F39D1F6" w14:textId="77777777" w:rsidR="005C7A37" w:rsidRPr="00E93F40" w:rsidRDefault="005C7A37" w:rsidP="00E93F40">
      <w:pPr>
        <w:spacing w:after="0" w:line="240" w:lineRule="auto"/>
        <w:jc w:val="both"/>
        <w:rPr>
          <w:rFonts w:ascii="Times New Roman" w:hAnsi="Times New Roman"/>
          <w:color w:val="000000" w:themeColor="text1"/>
          <w:sz w:val="16"/>
          <w:szCs w:val="16"/>
        </w:rPr>
      </w:pPr>
    </w:p>
    <w:p w14:paraId="5ACFD17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1A2F4E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9A30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сентября 1932 года начальник ВВС Алкснис писал письмо N 38/01970 председателю РВС.</w:t>
      </w:r>
    </w:p>
    <w:p w14:paraId="1D4C8F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самолетах ТШ-М17 и ТШ-М34.</w:t>
      </w:r>
    </w:p>
    <w:p w14:paraId="1D1743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Гл. управления Авиапрома Баранов вошел с ходатайством в Правительство об изменении программы по самолету ТШ-М17 и установлении срока выпуска нового образца этого самолета с мотором М-34.</w:t>
      </w:r>
    </w:p>
    <w:p w14:paraId="208379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Докладываю, что во время испытания первого образца - был выявлен ряд существенных дефектов (перегрев мотора, необходимость усовершенствовать бронировку, неудовлетворительность установки вооружения и ряд др.), вследствие которых пришлось вернуть самолет для устранения их в ЦАГИ.</w:t>
      </w:r>
    </w:p>
    <w:p w14:paraId="6EC7E5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фактическое состояние работ по исправлению указанных дефектов образца, считал бы возможным согласиться с Барановым ограничиться в этом году только опытной серией в 10 самолетов ТШ-М17, однако при непременном условии, что работы по изготовлению образца с мотором М34 должны быть развернуты так, чтобы 1 января 1933 года был бы предъявлен на государственное испытание самолет ТШ-М34, а промышленность подготовлена к серийному производству этих самолетов в 1933 году. (3045,455).</w:t>
      </w:r>
    </w:p>
    <w:p w14:paraId="05C02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4FC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сентября 1932 года начальник ВВС Алкснис писал письмо N 38/01969 председателю РВС.</w:t>
      </w:r>
    </w:p>
    <w:p w14:paraId="0B621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производстве первых серий самолетов ТБ-4 в 1933 году.</w:t>
      </w:r>
    </w:p>
    <w:p w14:paraId="4CC557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Гл. управления Авиапрома Баранов подал в СТО докладную записку, в которой просит в целях обеспечения выпуска в конце 1933 года головной серии самолетов ТБ-4 и МИ-3, а начиная с января 1933 года выпуск первых десяти самолетов ТБ-3 с М34 "разрешить: 1. постройку головных серий этих самолетов параллельно с ходом изготовления и испытания образцов; 2. санкционировать передачу этих работ заводу N 22, с обязательством развертывания работ в 4-м квартале с.г. за счет снятия с его программы в 1932 году 60 самолетов ТБ-3 с моторами М17".</w:t>
      </w:r>
    </w:p>
    <w:p w14:paraId="49BFED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считаю возможным согласиться на уменьшение программы 1932 г. по ТБ-3 не на 60, а на 30 самолетов, что обеспечит по трудоемкости изготовление первых 10-ти самолетов ТБ-4, при условии, что ГУАП обязуется:</w:t>
      </w:r>
    </w:p>
    <w:p w14:paraId="6307D0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Сдать на войсковые испытания первые серии самолетов ТБ-4 и МИ3 не позднее 4-го квартала 1933 г.</w:t>
      </w:r>
    </w:p>
    <w:p w14:paraId="3DE8A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Головную серию самолетов ТБ-3 с М34 сдать ВВС на войсковые испытания не позже 1.12.1932 г.</w:t>
      </w:r>
    </w:p>
    <w:p w14:paraId="21AD8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Все самолеты ТБ-3 в 1933 году производить только под мотор М-34. (3045,460).</w:t>
      </w:r>
    </w:p>
    <w:p w14:paraId="18D03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A48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сентября 1932 года начальник ВВС Алкснис писал письмо N 38/01980с председателю РВС.</w:t>
      </w:r>
    </w:p>
    <w:p w14:paraId="6FE85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разрезных крыльях самолетов.</w:t>
      </w:r>
    </w:p>
    <w:p w14:paraId="3ECE63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ряд решений РВС и Правительства о всяческом форсировании опытных работ с разрезными крыльями, до сих пор в этом отношении сделано чрезвычайно мало. Только в мае 1932 года были произведены испытания самолетов Р-5 с разрезными крыльями. При испытании был обнаружен ряд серьезных дефектов, потребовавших переделку конструкции.</w:t>
      </w:r>
    </w:p>
    <w:p w14:paraId="0ED716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типам самолетов, как находящихся в производстве, так и опытных конструкций до сих пор ничего реального не сделано, несмотря на то, что ЦАГИ вопросом о разрезных крыльях занимается с 1928 года.</w:t>
      </w:r>
    </w:p>
    <w:p w14:paraId="6C821A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полагаю необходимым обязать начальника Глававиапрома Баранова:</w:t>
      </w:r>
    </w:p>
    <w:p w14:paraId="5630E8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Не позже 1.12.32 года предъявить УВВС на испытание самолет Р-5 с разрезными крыльями, устранив все дефекты, отмеченные при первом испытании.</w:t>
      </w:r>
    </w:p>
    <w:p w14:paraId="2D50D3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Провести все необходимые мероприятия, обеспечивающие выпуск первой серии самолетов Р-5 с разрезными крыльями не позже 1.05.1933 года для войсковых испытаний.</w:t>
      </w:r>
    </w:p>
    <w:p w14:paraId="10C2F0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Не позже 1.01.1933 года выпустить из производства один образец самолета МБР-4 (С-62 бис) с разрезными крыльями, сделав его в точности по итальянскому образцу, имеющемуся в ВВС.</w:t>
      </w:r>
    </w:p>
    <w:p w14:paraId="219E53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Не позже 1.05.1933 года предъявить ВВС на испытание образцы самолетов И5 и И. с разрезными крыльями.</w:t>
      </w:r>
    </w:p>
    <w:p w14:paraId="51F55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На всех опытных образцах разведчиков и истребителей морских и сухопутных в дальнейшем обязательно предусматривать установку разрезных крыльев, для чего параллельно изготовлению опытного образца без разрезных крыльев, изготавливать второй комплект разрезных крыльев. (3045,462).</w:t>
      </w:r>
    </w:p>
    <w:p w14:paraId="4BB0C8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0133F3"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сентября 1932 г. при попытке первого взлета первого опытного ЦАГИ А-4 по управлением летчика Рыбко автожир потерпел аварию. Далее последовали долговременный ремонт и регулировки. Вторич</w:t>
      </w:r>
      <w:r w:rsidRPr="00E93F40">
        <w:rPr>
          <w:rFonts w:ascii="Times New Roman" w:hAnsi="Times New Roman"/>
          <w:color w:val="000000" w:themeColor="text1"/>
          <w:sz w:val="16"/>
          <w:szCs w:val="16"/>
        </w:rPr>
        <w:softHyphen/>
        <w:t>но первый опытный экземпляр приняли для проведения ис</w:t>
      </w:r>
      <w:r w:rsidRPr="00E93F40">
        <w:rPr>
          <w:rFonts w:ascii="Times New Roman" w:hAnsi="Times New Roman"/>
          <w:color w:val="000000" w:themeColor="text1"/>
          <w:sz w:val="16"/>
          <w:szCs w:val="16"/>
        </w:rPr>
        <w:softHyphen/>
        <w:t>пытаний 8 июня 1933 г. (20361).</w:t>
      </w:r>
    </w:p>
    <w:p w14:paraId="6532CF4F" w14:textId="77777777" w:rsidR="0026747E" w:rsidRPr="00E93F40" w:rsidRDefault="0026747E" w:rsidP="00E93F40">
      <w:pPr>
        <w:spacing w:after="0" w:line="240" w:lineRule="auto"/>
        <w:jc w:val="both"/>
        <w:rPr>
          <w:rFonts w:ascii="Times New Roman" w:hAnsi="Times New Roman"/>
          <w:color w:val="000000" w:themeColor="text1"/>
          <w:sz w:val="16"/>
          <w:szCs w:val="16"/>
        </w:rPr>
      </w:pPr>
    </w:p>
    <w:p w14:paraId="5800E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сентября 1932 было письмо из ГИРД в ЛенГИРД с уведомлением о ликвидации тех-советов на местах и организации единого Техсовета ЦГИРД (см.: 4 июля 1932 г.). Статус ЦГИРД (Центральной ГИРД) получила МосГИРД. Предусматривалось представительство региональных ГИРД в Техсовете ЦГИРД (ААН, р. 4, он. 14, № 230, л. 17) (10676).</w:t>
      </w:r>
    </w:p>
    <w:p w14:paraId="35555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41E227" w14:textId="77777777" w:rsidR="00DC020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58DBD06"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995443" w14:textId="5893F294"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сентября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Принятие нового плана хлебозаготовок 21,6 млн. т., и хлебофуражного баланса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-1933 гг.</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После неоднократных переносов, наконец то были определены и размеры экспорта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в 2,7 млн. т.</w:t>
      </w:r>
    </w:p>
    <w:p w14:paraId="1A427A50" w14:textId="449A69EC"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20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о сокращении экспорта хлеба из урожая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с 2,7 млн. до 2,46 млн. т.</w:t>
      </w:r>
    </w:p>
    <w:p w14:paraId="035B1F17" w14:textId="458EBE55"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23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Постановление ЦК:</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Произведенное уменьшение экспортного плана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 15 млн. пудов распространить полностью на пшеницу</w:t>
      </w:r>
      <w:r w:rsidRPr="00E93F40">
        <w:rPr>
          <w:rFonts w:ascii="Times New Roman" w:eastAsia="Times New Roman" w:hAnsi="Times New Roman"/>
          <w:color w:val="000000" w:themeColor="text1"/>
          <w:sz w:val="16"/>
          <w:szCs w:val="16"/>
          <w:lang w:eastAsia="ru-RU"/>
        </w:rPr>
        <w:t>».</w:t>
      </w:r>
    </w:p>
    <w:p w14:paraId="59C46888" w14:textId="08F3D1A1"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Комзаг</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E93F40">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и</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продкультур</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после 1 января»</w:t>
      </w:r>
      <w:r w:rsidRPr="00E93F40">
        <w:rPr>
          <w:rFonts w:ascii="Times New Roman" w:eastAsia="Times New Roman" w:hAnsi="Times New Roman"/>
          <w:color w:val="000000" w:themeColor="text1"/>
          <w:sz w:val="16"/>
          <w:szCs w:val="16"/>
          <w:lang w:eastAsia="ru-RU"/>
        </w:rPr>
        <w:t>.</w:t>
      </w:r>
    </w:p>
    <w:p w14:paraId="5EEB0591" w14:textId="35E55D36"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Политбюро</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E93F40">
        <w:rPr>
          <w:rFonts w:ascii="Times New Roman" w:eastAsia="Times New Roman" w:hAnsi="Times New Roman"/>
          <w:color w:val="000000" w:themeColor="text1"/>
          <w:sz w:val="16"/>
          <w:szCs w:val="16"/>
          <w:lang w:eastAsia="ru-RU"/>
        </w:rPr>
        <w:t>» и</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E93F40">
        <w:rPr>
          <w:rFonts w:ascii="Times New Roman" w:eastAsia="Times New Roman" w:hAnsi="Times New Roman"/>
          <w:color w:val="000000" w:themeColor="text1"/>
          <w:sz w:val="16"/>
          <w:szCs w:val="16"/>
          <w:lang w:eastAsia="ru-RU"/>
        </w:rPr>
        <w:t>».</w:t>
      </w:r>
    </w:p>
    <w:p w14:paraId="7941758C" w14:textId="7CCC65D6"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xml:space="preserve">31 марта 1933 г. – </w:t>
      </w:r>
      <w:r w:rsidRPr="00E93F40">
        <w:rPr>
          <w:rFonts w:ascii="Times New Roman" w:eastAsia="Times New Roman" w:hAnsi="Times New Roman"/>
          <w:color w:val="000000" w:themeColor="text1"/>
          <w:sz w:val="16"/>
          <w:szCs w:val="16"/>
          <w:lang w:eastAsia="ru-RU"/>
        </w:rPr>
        <w:t>Принято решение: «</w:t>
      </w:r>
      <w:r w:rsidRPr="00E93F40">
        <w:rPr>
          <w:rFonts w:ascii="Times New Roman" w:eastAsia="Times New Roman" w:hAnsi="Times New Roman"/>
          <w:iCs/>
          <w:color w:val="000000" w:themeColor="text1"/>
          <w:sz w:val="16"/>
          <w:szCs w:val="16"/>
          <w:lang w:eastAsia="ru-RU"/>
        </w:rPr>
        <w:t>Прекратить экспорт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начиная с 1-4-1933» (12257).</w:t>
      </w:r>
    </w:p>
    <w:p w14:paraId="5F476EF3"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783A1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За рубежом:</w:t>
      </w:r>
    </w:p>
    <w:p w14:paraId="695A629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B8454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сентября 1932 испанский Кортес предоставил Каталонии автономию (3481).</w:t>
      </w:r>
    </w:p>
    <w:p w14:paraId="2EA7CE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9DD33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сентября 1932 испанское правительство предоставило автономию Каталонии (4962).</w:t>
      </w:r>
    </w:p>
    <w:p w14:paraId="1FBBCAC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5F155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4C1F39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AB7513" w14:textId="77777777" w:rsidR="00106A07" w:rsidRPr="00E93F40" w:rsidRDefault="00106A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сентября 1932 письмом №173943сс Нарком по Военным и Морским делам и председатель РВС СССР К.Е.Ворошилов был извещен:</w:t>
      </w:r>
    </w:p>
    <w:p w14:paraId="1FB73CBC" w14:textId="77777777" w:rsidR="00106A07" w:rsidRPr="00E93F40" w:rsidRDefault="00106A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связи с разработкой вопроса о летающем </w:t>
      </w:r>
      <w:hyperlink r:id="rId211"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е... дано указание различным организациям и отдельным изобретателям дать свои соображения по этой конструкции.</w:t>
      </w:r>
    </w:p>
    <w:p w14:paraId="53A1C240" w14:textId="77777777" w:rsidR="00106A07" w:rsidRPr="00E93F40" w:rsidRDefault="00106A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Конструктор по самолетостроению т. Рафаэлянц разработал эскиз летающего </w:t>
      </w:r>
      <w:hyperlink r:id="rId212"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и берется выполнить проект этой конструкции. В настоящее время т. Рафаэлянц работает в ЦАГИ.</w:t>
      </w:r>
    </w:p>
    <w:p w14:paraId="7FA5F5CD" w14:textId="77777777" w:rsidR="00106A07" w:rsidRPr="00E93F40" w:rsidRDefault="00106A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случае Вашего подтверждения о необходимости разработки конструкции летающего </w:t>
      </w:r>
      <w:hyperlink r:id="rId213"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 т. Рафаэлянц с несколькими инженерами по самолетостроению должен быть закреплен за этой работой с тем, чтобы дать ему возможность полностью разработать проект в одном из конструкторских бюро по самолетостроению. Необходимые для этой работы конструктора </w:t>
      </w:r>
      <w:hyperlink r:id="rId214"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исты будут выделены...» (15632).</w:t>
      </w:r>
    </w:p>
    <w:p w14:paraId="1CD3B089" w14:textId="77777777" w:rsidR="00106A07" w:rsidRPr="00E93F40" w:rsidRDefault="00106A07" w:rsidP="00E93F40">
      <w:pPr>
        <w:spacing w:after="0" w:line="240" w:lineRule="auto"/>
        <w:jc w:val="both"/>
        <w:rPr>
          <w:rFonts w:ascii="Times New Roman" w:hAnsi="Times New Roman"/>
          <w:color w:val="000000" w:themeColor="text1"/>
          <w:sz w:val="16"/>
          <w:szCs w:val="16"/>
        </w:rPr>
      </w:pPr>
    </w:p>
    <w:p w14:paraId="00284360" w14:textId="77777777" w:rsidR="00883D98" w:rsidRPr="00E93F40" w:rsidRDefault="00883D9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10 сентября 1932 Ворошилову письмом № 173943 сс доложили принципиально неверное заключение о том, что танк сможет полететь, используя для этого только мощность собственного двигателя.</w:t>
      </w:r>
    </w:p>
    <w:p w14:paraId="23AD77EB" w14:textId="77777777" w:rsidR="00883D98" w:rsidRPr="00E93F40" w:rsidRDefault="00883D9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Нарком дал разрешение на проведение работ и обеспечение их всем необходимым, включая танки и танкистов.</w:t>
      </w:r>
    </w:p>
    <w:p w14:paraId="50DE3522" w14:textId="77777777" w:rsidR="00883D98" w:rsidRPr="00E93F40" w:rsidRDefault="00883D9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 основании изучения эскизного проекта, подготовленного Рафаэлянцем, УММ частично изменила ТТТ к летающему танку. 11.10.32 с конструктором был заключён соответствующий договор на проведение работ (19429).</w:t>
      </w:r>
    </w:p>
    <w:p w14:paraId="77A93B81" w14:textId="77777777" w:rsidR="00883D98" w:rsidRPr="00E93F40" w:rsidRDefault="00883D98" w:rsidP="00E93F40">
      <w:pPr>
        <w:spacing w:after="0" w:line="240" w:lineRule="auto"/>
        <w:jc w:val="both"/>
        <w:rPr>
          <w:rFonts w:ascii="Times New Roman" w:eastAsia="Times New Roman" w:hAnsi="Times New Roman"/>
          <w:color w:val="000000" w:themeColor="text1"/>
          <w:sz w:val="16"/>
          <w:szCs w:val="16"/>
          <w:lang w:eastAsia="ru-RU"/>
        </w:rPr>
      </w:pPr>
    </w:p>
    <w:p w14:paraId="325CC21E" w14:textId="77777777" w:rsidR="00883D98" w:rsidRPr="00E93F40" w:rsidRDefault="00883D98"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сентября 1932 письмом №173943сс Нарком по Военным и Морским делам и председатель РВС СССР К.Е.Ворошилов был извещен:</w:t>
      </w:r>
    </w:p>
    <w:p w14:paraId="2B8FD549" w14:textId="77777777" w:rsidR="00883D98" w:rsidRPr="00E93F40" w:rsidRDefault="00883D9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«В связи с разработкой вопроса о летающем танке... дано указание различным организациям и отдельным изобретателям дать свои соображения по этой конструкции.</w:t>
      </w:r>
    </w:p>
    <w:p w14:paraId="47F629EF" w14:textId="77777777" w:rsidR="00883D98" w:rsidRPr="00E93F40" w:rsidRDefault="00883D9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Конструктор по самолетостроению т. Рафаэлянц разработал эскиз летающего танка и берется выполнить проект этой конструкции. В настоящее время т. Рафаэлянц работает в ЦАГИ.</w:t>
      </w:r>
    </w:p>
    <w:p w14:paraId="49B39C8D" w14:textId="77777777" w:rsidR="00883D98" w:rsidRPr="00E93F40" w:rsidRDefault="00883D98"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В случае Вашего подтверждения о необходимости разработки конструкции летающего танка, т. Рафаэлянц с несколькими инженерами по самолетостроению должен быть закреплен за этой работой с тем, чтобы дать ему возможность полностью разработать проект в одном из конструкторских бюро по самолетостроению. Необходимые для этой работы конструктора танкисты будут выделены...» (19530).</w:t>
      </w:r>
    </w:p>
    <w:p w14:paraId="0A89A830" w14:textId="77777777" w:rsidR="00883D98" w:rsidRPr="00E93F40" w:rsidRDefault="00883D98" w:rsidP="00E93F40">
      <w:pPr>
        <w:pStyle w:val="ae"/>
        <w:shd w:val="clear" w:color="auto" w:fill="FFFFFF"/>
        <w:spacing w:before="0" w:after="0"/>
        <w:jc w:val="both"/>
        <w:rPr>
          <w:color w:val="000000" w:themeColor="text1"/>
          <w:sz w:val="16"/>
          <w:szCs w:val="16"/>
        </w:rPr>
      </w:pPr>
    </w:p>
    <w:p w14:paraId="5F0ED674" w14:textId="77777777" w:rsidR="00F5679F" w:rsidRPr="00E93F40" w:rsidRDefault="00F5679F" w:rsidP="00E93F40">
      <w:pPr>
        <w:spacing w:after="0" w:line="240" w:lineRule="auto"/>
        <w:jc w:val="both"/>
        <w:rPr>
          <w:rFonts w:ascii="Times New Roman" w:hAnsi="Times New Roman"/>
          <w:color w:val="000000" w:themeColor="text1"/>
          <w:sz w:val="16"/>
          <w:szCs w:val="16"/>
        </w:rPr>
      </w:pPr>
      <w:bookmarkStart w:id="43" w:name="_Hlk150586482"/>
      <w:r w:rsidRPr="00E93F40">
        <w:rPr>
          <w:rFonts w:ascii="Times New Roman" w:hAnsi="Times New Roman"/>
          <w:color w:val="000000" w:themeColor="text1"/>
          <w:sz w:val="16"/>
          <w:szCs w:val="16"/>
        </w:rPr>
        <w:t>10 сентября 1932 г. письмом №173943сс Нарком по Военным и Морским делам и председатель РВС СССР К.Е.Ворошилов был извещен:</w:t>
      </w:r>
    </w:p>
    <w:p w14:paraId="574610FB" w14:textId="77777777" w:rsidR="00F5679F" w:rsidRPr="00E93F40" w:rsidRDefault="00F567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разработкой вопроса о летающем танке... дано указание различным организациям и отдельным изобретателям дать свои соображения по этой конструкции.</w:t>
      </w:r>
    </w:p>
    <w:p w14:paraId="36065C27" w14:textId="77777777" w:rsidR="00F5679F" w:rsidRPr="00E93F40" w:rsidRDefault="00F567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 по самолетостроению т. Рафаэлянц разработал эскиз летающего танка и берется выполнить проект этой конструкции. В настоящее время т. Рафаэлянц работает в ЦАГИ.</w:t>
      </w:r>
    </w:p>
    <w:bookmarkEnd w:id="43"/>
    <w:p w14:paraId="2D0A1E62" w14:textId="77777777" w:rsidR="00F5679F" w:rsidRPr="00E93F40" w:rsidRDefault="00F5679F" w:rsidP="00E93F40">
      <w:pPr>
        <w:spacing w:after="0" w:line="240" w:lineRule="auto"/>
        <w:jc w:val="both"/>
        <w:rPr>
          <w:rFonts w:ascii="Times New Roman" w:hAnsi="Times New Roman"/>
          <w:color w:val="000000" w:themeColor="text1"/>
          <w:sz w:val="16"/>
          <w:szCs w:val="16"/>
        </w:rPr>
      </w:pPr>
    </w:p>
    <w:p w14:paraId="5E060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сентября - 10 ноября 1932 состоялся Восьмой Всесоюзный слет планеристов в Коктебеле (237,165).</w:t>
      </w:r>
    </w:p>
    <w:p w14:paraId="274FB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4EAA8A" w14:textId="0D00DB7A"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сентября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Открытие восьмого Всесоюзного слёта планеристов в Коктебеле. В 1932 году VIII Всесоюзный планерный слёт привлек внимание всей авиационной общественности. На слёте присутствовали начальник Главного управления авиационной промышленности Пётр Ионович Баранов, начальник Центрального аэрогидродинамического института (ЦАГИ) Николай Михайлович Харламов, знаменитый авиаконструктор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Андрей Николаевич Туполев и другие работники военной и гражданской авиации (22369).</w:t>
      </w:r>
    </w:p>
    <w:p w14:paraId="2DF146D4" w14:textId="77777777" w:rsidR="0026747E" w:rsidRPr="00E93F40" w:rsidRDefault="0026747E" w:rsidP="00E93F40">
      <w:pPr>
        <w:shd w:val="clear" w:color="auto" w:fill="FFFFFF"/>
        <w:spacing w:after="0" w:line="240" w:lineRule="auto"/>
        <w:jc w:val="both"/>
        <w:rPr>
          <w:rFonts w:ascii="Times New Roman" w:hAnsi="Times New Roman"/>
          <w:color w:val="000000" w:themeColor="text1"/>
          <w:sz w:val="16"/>
          <w:szCs w:val="16"/>
        </w:rPr>
      </w:pPr>
    </w:p>
    <w:p w14:paraId="76A554A0" w14:textId="77777777" w:rsidR="00B323BF" w:rsidRPr="00E93F40" w:rsidRDefault="00B323BF" w:rsidP="00B323BF">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FAC6B72" w14:textId="77777777" w:rsidR="00B323BF" w:rsidRPr="00E93F40" w:rsidRDefault="00B323BF" w:rsidP="00B323BF">
      <w:pPr>
        <w:autoSpaceDE w:val="0"/>
        <w:autoSpaceDN w:val="0"/>
        <w:adjustRightInd w:val="0"/>
        <w:spacing w:after="0" w:line="240" w:lineRule="auto"/>
        <w:jc w:val="both"/>
        <w:rPr>
          <w:rFonts w:ascii="Times New Roman" w:hAnsi="Times New Roman"/>
          <w:iCs/>
          <w:color w:val="000000" w:themeColor="text1"/>
          <w:sz w:val="16"/>
          <w:szCs w:val="16"/>
        </w:rPr>
      </w:pPr>
    </w:p>
    <w:p w14:paraId="0EF089E4" w14:textId="77777777" w:rsidR="00B323BF" w:rsidRPr="00951B40" w:rsidRDefault="00B323BF" w:rsidP="00B323BF">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10 сентября 1932 г., судя по донесению о состоянии заказов ВМС, технический проект ка</w:t>
      </w:r>
      <w:r w:rsidRPr="00951B40">
        <w:rPr>
          <w:rStyle w:val="aff"/>
          <w:rFonts w:ascii="Times New Roman" w:hAnsi="Times New Roman" w:cs="Times New Roman"/>
          <w:color w:val="0070C0"/>
          <w:spacing w:val="0"/>
          <w:sz w:val="16"/>
          <w:szCs w:val="16"/>
        </w:rPr>
        <w:softHyphen/>
        <w:t>тера Г-6 был разработан лишь на 25%, а рабо</w:t>
      </w:r>
      <w:r w:rsidRPr="00951B40">
        <w:rPr>
          <w:rStyle w:val="aff"/>
          <w:rFonts w:ascii="Times New Roman" w:hAnsi="Times New Roman" w:cs="Times New Roman"/>
          <w:color w:val="0070C0"/>
          <w:spacing w:val="0"/>
          <w:sz w:val="16"/>
          <w:szCs w:val="16"/>
        </w:rPr>
        <w:softHyphen/>
        <w:t>ты по постройке не велись из-за отсутствия материала. Спустя два месяца в аналогич</w:t>
      </w:r>
      <w:r w:rsidRPr="00951B40">
        <w:rPr>
          <w:rStyle w:val="aff"/>
          <w:rFonts w:ascii="Times New Roman" w:hAnsi="Times New Roman" w:cs="Times New Roman"/>
          <w:color w:val="0070C0"/>
          <w:spacing w:val="0"/>
          <w:sz w:val="16"/>
          <w:szCs w:val="16"/>
        </w:rPr>
        <w:softHyphen/>
        <w:t>ном донесении говорилось о 100% готов</w:t>
      </w:r>
      <w:r w:rsidRPr="00951B40">
        <w:rPr>
          <w:rStyle w:val="aff"/>
          <w:rFonts w:ascii="Times New Roman" w:hAnsi="Times New Roman" w:cs="Times New Roman"/>
          <w:color w:val="0070C0"/>
          <w:spacing w:val="0"/>
          <w:sz w:val="16"/>
          <w:szCs w:val="16"/>
        </w:rPr>
        <w:softHyphen/>
        <w:t>ности макета, и 70% - чертежей. Постройка катера задерживалась из-за отсутствия моторов ГМ-34 (с 1936 г. - ГАМ-34) и про</w:t>
      </w:r>
      <w:r w:rsidRPr="00951B40">
        <w:rPr>
          <w:rStyle w:val="aff"/>
          <w:rFonts w:ascii="Times New Roman" w:hAnsi="Times New Roman" w:cs="Times New Roman"/>
          <w:color w:val="0070C0"/>
          <w:spacing w:val="0"/>
          <w:sz w:val="16"/>
          <w:szCs w:val="16"/>
        </w:rPr>
        <w:softHyphen/>
        <w:t>ката нержавеющей стали. В начале 1934 г. состоялось заседание макетной комиссии. После внесения некоторых поправок макет был принят, и постройка продолжилась (25781).</w:t>
      </w:r>
    </w:p>
    <w:p w14:paraId="3CE69E6F" w14:textId="77777777" w:rsidR="00B323BF" w:rsidRPr="00951B40" w:rsidRDefault="00B323BF" w:rsidP="00B323BF">
      <w:pPr>
        <w:spacing w:after="0" w:line="240" w:lineRule="auto"/>
        <w:jc w:val="both"/>
        <w:rPr>
          <w:rStyle w:val="aff"/>
          <w:rFonts w:ascii="Times New Roman" w:hAnsi="Times New Roman" w:cs="Times New Roman"/>
          <w:color w:val="0070C0"/>
          <w:spacing w:val="0"/>
          <w:sz w:val="16"/>
          <w:szCs w:val="16"/>
        </w:rPr>
      </w:pPr>
    </w:p>
    <w:p w14:paraId="390AB1F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A59C14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7876975"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10 сентября 1932, всего в 600 милях от Берингова пролива, пришлось встать для смены погнутых лопастей винта. А 18 сентября, у Колючинской губы, «Сибиряков» потерял часть гребного вала вместе с винтом. Судно начало дрейфовать, но не на восток, а на запад, удаляясь от цели. Только своевременный подход вызванного по радио траулера «Уссуриец» спас лишенное самостоятельного хода судно. В тот же день вывел «Сибирякова» на буксире в Берингов пролив, а 15 октября доставил его в Петропавловск-Камчатский (20467).</w:t>
      </w:r>
    </w:p>
    <w:p w14:paraId="60E5835F" w14:textId="77777777" w:rsidR="0026747E" w:rsidRPr="00E93F40" w:rsidRDefault="0026747E" w:rsidP="00E93F40">
      <w:pPr>
        <w:spacing w:after="0" w:line="240" w:lineRule="auto"/>
        <w:jc w:val="both"/>
        <w:rPr>
          <w:rFonts w:ascii="Times New Roman" w:hAnsi="Times New Roman"/>
          <w:color w:val="000000" w:themeColor="text1"/>
          <w:sz w:val="16"/>
          <w:szCs w:val="16"/>
        </w:rPr>
      </w:pPr>
    </w:p>
    <w:p w14:paraId="10594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10 и 16 сентября 1932. Из протокола заседания Политбюро № 115, 1932 г.</w:t>
      </w:r>
    </w:p>
    <w:p w14:paraId="4C889B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отпуске средств Лечсанупру Кремля на лечебные расходы </w:t>
      </w:r>
    </w:p>
    <w:p w14:paraId="2FB3F3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Отпустить в 1932 г. из резервного фонда СНК СССР в распоряжение лечебно-санитарного управления Кремля 120 000 рублей в инвалюте на лечебные расходы, обязав Лечсанупр Кремля уложить в эту сумму все расходы без переноса на 1933 г. какой-либо задолженности по разрешенным на 1932 г. командировкам. </w:t>
      </w:r>
    </w:p>
    <w:p w14:paraId="2593CC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Установить как правило, что каждое решение ЦК о посылке на лечение за границу выносится при наличии ходатайства комиссии т. Енукидзе, в котором должна быть указана предельная сумма расходов в инвалюте; эта сумма фиксируется в решении. </w:t>
      </w:r>
    </w:p>
    <w:p w14:paraId="32176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Лечсанупру Кремля оплачивать расходы на лечение по действительной стоимости, но не свыше установленной ЦК суммы. Оплату производить через систему Госбанка по ордерам Лечсанупра Кремля. </w:t>
      </w:r>
    </w:p>
    <w:p w14:paraId="462F37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Определить размер расхода на медикаменты в 1932 г. в сумме не свыше 12 тыс. рублей. </w:t>
      </w:r>
    </w:p>
    <w:p w14:paraId="1C70A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Лечсанупру Кремля обеспечить своевременное получение из заграницы отчетности (11652). </w:t>
      </w:r>
    </w:p>
    <w:p w14:paraId="299388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E0960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11E7D91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68025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10 и 16 сентября 1932. Из протокола заседания Политбюро № 116, 1932 г.</w:t>
      </w:r>
    </w:p>
    <w:p w14:paraId="7D32C5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практике выдачи виз </w:t>
      </w:r>
    </w:p>
    <w:p w14:paraId="1FBF5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Предложить ОГПУ отменить практику ограничения въезда и выезда иностранцев определенным пограничным пунктом. Такое ограничение оставить лишь для тех случаев, когда это вызывается особыми соображениями ОГПУ по соглашению с НКИД. </w:t>
      </w:r>
    </w:p>
    <w:p w14:paraId="0AB5B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Предложить ОГПУ распорядиться о пропуске иностранцев с визами, просроченными не больше чем на 15 дней. </w:t>
      </w:r>
    </w:p>
    <w:p w14:paraId="793FE0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307F4C" w14:textId="6B5C9191" w:rsidR="00F5679F" w:rsidRPr="00E93F40" w:rsidRDefault="00F5679F"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5B6A2025" w14:textId="2FB6DECA" w:rsidR="00F5679F" w:rsidRPr="00E93F40" w:rsidRDefault="006A1BDA" w:rsidP="00E93F40">
      <w:pPr>
        <w:tabs>
          <w:tab w:val="left" w:pos="9593"/>
        </w:tabs>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ab/>
      </w:r>
    </w:p>
    <w:p w14:paraId="11600908" w14:textId="77777777" w:rsidR="00F5679F" w:rsidRPr="00E93F40" w:rsidRDefault="00F567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сентября 1932 г. авиакомпания Люфтганза ролучила второй трехмоторный Ju-52/3m (Werk. Nr. 4015). Он получил регистрационный номер D-2202 (изменен на D-ADYL в 1934 г.) и собственное имя «RICHTHOFEN». Еще на заводе на крыльевые двигатели были поставлены кольца Тауненда, позже кольцо Тауненда установили и на средний мотор. «Рихтогофен» выполнил первый полет на линии Мюнхен-Милан-Рим 1 ноября 1932 г.</w:t>
      </w:r>
    </w:p>
    <w:p w14:paraId="2C47265D" w14:textId="77777777" w:rsidR="00F5679F" w:rsidRPr="00E93F40" w:rsidRDefault="00F567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Ju-52/3m се имел размах крыла 29,3 м, длину 18,9 м и высоту 6,1 м. Масса пустого составляла 535 кг, максимальная взлетная масса — 9200 кг, максимальная скорость — 290 км/ч, крейсерская скорость 250 км/ч. Дальность полета — 910 км. Экипаж машины — два пилота и радист. Самолет мог перевозить 17 пассажиров (24200).</w:t>
      </w:r>
    </w:p>
    <w:p w14:paraId="409788F0" w14:textId="77777777" w:rsidR="00F5679F" w:rsidRPr="00E93F40" w:rsidRDefault="00F5679F" w:rsidP="00E93F40">
      <w:pPr>
        <w:spacing w:after="0" w:line="240" w:lineRule="auto"/>
        <w:jc w:val="both"/>
        <w:rPr>
          <w:rFonts w:ascii="Times New Roman" w:hAnsi="Times New Roman"/>
          <w:color w:val="000000" w:themeColor="text1"/>
          <w:sz w:val="16"/>
          <w:szCs w:val="16"/>
        </w:rPr>
      </w:pPr>
    </w:p>
    <w:p w14:paraId="22958093" w14:textId="0A904315"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C723FA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DD1994" w14:textId="77777777" w:rsidR="005C7A37" w:rsidRPr="00E93F40" w:rsidRDefault="005C7A37"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11 сентября 1932 решением Совета Труда и Обороны завод №16 обязывался до конца 1932 г. выпустить 10 самоле</w:t>
      </w:r>
      <w:r w:rsidRPr="00E93F40">
        <w:rPr>
          <w:rFonts w:ascii="Times New Roman" w:hAnsi="Times New Roman"/>
          <w:color w:val="000000" w:themeColor="text1"/>
          <w:sz w:val="16"/>
          <w:szCs w:val="16"/>
          <w:lang w:eastAsia="ru-RU" w:bidi="ru-RU"/>
        </w:rPr>
        <w:softHyphen/>
        <w:t>тов ТШ-2 М-17 войсковой серии, а ЦКБ ЦАГИ - до 1 апреля следующего года по</w:t>
      </w:r>
      <w:r w:rsidRPr="00E93F40">
        <w:rPr>
          <w:rFonts w:ascii="Times New Roman" w:hAnsi="Times New Roman"/>
          <w:color w:val="000000" w:themeColor="text1"/>
          <w:sz w:val="16"/>
          <w:szCs w:val="16"/>
          <w:lang w:eastAsia="ru-RU" w:bidi="ru-RU"/>
        </w:rPr>
        <w:softHyphen/>
        <w:t>строить и предъявить на государственные испытания опытный образец тяжелого штурмовика ТШ-2 с мотором М-34 (21062).</w:t>
      </w:r>
    </w:p>
    <w:p w14:paraId="562B230C" w14:textId="77777777" w:rsidR="005C7A37" w:rsidRPr="00E93F40" w:rsidRDefault="005C7A37" w:rsidP="00E93F40">
      <w:pPr>
        <w:spacing w:after="0" w:line="240" w:lineRule="auto"/>
        <w:jc w:val="both"/>
        <w:rPr>
          <w:rFonts w:ascii="Times New Roman" w:hAnsi="Times New Roman"/>
          <w:color w:val="000000" w:themeColor="text1"/>
          <w:sz w:val="16"/>
          <w:szCs w:val="16"/>
        </w:rPr>
      </w:pPr>
    </w:p>
    <w:p w14:paraId="260193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сентября 1932 года выписка из протокола № 20 КО</w:t>
      </w:r>
    </w:p>
    <w:p w14:paraId="25765D8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Авиация.</w:t>
      </w:r>
    </w:p>
    <w:p w14:paraId="48EF36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 подготовке и постановке производства самолетов ТБ-3, Тб-4 и МИ-3 с моторами М-34.</w:t>
      </w:r>
    </w:p>
    <w:p w14:paraId="1C1CB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Снять с обсуждения до рассмотрения плана моторо- и самолетостроения на 1933 год.</w:t>
      </w:r>
    </w:p>
    <w:p w14:paraId="15D86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 бомбовом вооружении и электрооборудовании самолетов ТБ-3 и МБР-4.</w:t>
      </w:r>
    </w:p>
    <w:p w14:paraId="2AE6A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Отложить.</w:t>
      </w:r>
    </w:p>
    <w:p w14:paraId="6CE5AB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 сокращении программы производства самолетов ТШ в 1932 году.</w:t>
      </w:r>
    </w:p>
    <w:p w14:paraId="42021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 Баранов</w:t>
      </w:r>
    </w:p>
    <w:p w14:paraId="6538CB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фактическое состояние с опытными работами по ТШ М-17 считать необходимым:</w:t>
      </w:r>
    </w:p>
    <w:p w14:paraId="4ED2246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Оставить в программе завода № 16 десять самолетов, как головную серию и решить вопрос о программе после войсковых испытаний.</w:t>
      </w:r>
    </w:p>
    <w:p w14:paraId="6ECAB71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Глававиапрому развернуть работу по ТШ под мотор М-34 с таким расчетом, чтобы образец был выпущен в апреле 1933 года на госиспытания.</w:t>
      </w:r>
    </w:p>
    <w:p w14:paraId="71DDDD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 тормозных колесах.</w:t>
      </w:r>
    </w:p>
    <w:p w14:paraId="67870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О разрезных рыльях.</w:t>
      </w:r>
    </w:p>
    <w:p w14:paraId="4338B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Отложить.</w:t>
      </w:r>
    </w:p>
    <w:p w14:paraId="7299E7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О выполнении программы по самолетным радиостанциям.</w:t>
      </w:r>
    </w:p>
    <w:p w14:paraId="15407E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Перенести на заседание КО 19 октября 1932 года (7429, 114).</w:t>
      </w:r>
    </w:p>
    <w:p w14:paraId="66423D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E3076E" w14:textId="77777777" w:rsidR="0026747E" w:rsidRPr="00E93F40" w:rsidRDefault="0026747E"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11 сентября 1932 г. МБР-4 (сер. ОЕ-75) пе</w:t>
      </w:r>
      <w:r w:rsidRPr="00E93F40">
        <w:rPr>
          <w:rFonts w:ascii="Times New Roman" w:hAnsi="Times New Roman"/>
          <w:color w:val="000000" w:themeColor="text1"/>
          <w:sz w:val="16"/>
          <w:szCs w:val="16"/>
          <w:lang w:eastAsia="ru-RU" w:bidi="ru-RU"/>
        </w:rPr>
        <w:softHyphen/>
        <w:t>регнали в Севастополь для госиспытаний, где после осмотра его сочли для испытаний негодным и предписали устранить 84 недостат</w:t>
      </w:r>
      <w:r w:rsidRPr="00E93F40">
        <w:rPr>
          <w:rFonts w:ascii="Times New Roman" w:hAnsi="Times New Roman"/>
          <w:color w:val="000000" w:themeColor="text1"/>
          <w:sz w:val="16"/>
          <w:szCs w:val="16"/>
          <w:lang w:eastAsia="ru-RU" w:bidi="ru-RU"/>
        </w:rPr>
        <w:softHyphen/>
        <w:t>ка (на машине много чего не хватало). Через пять дней список сократился до 10 дефектов, а еще через неделю ОЕ-75 полетел. Характеристики оказались несколько вы</w:t>
      </w:r>
      <w:r w:rsidRPr="00E93F40">
        <w:rPr>
          <w:rFonts w:ascii="Times New Roman" w:hAnsi="Times New Roman"/>
          <w:color w:val="000000" w:themeColor="text1"/>
          <w:sz w:val="16"/>
          <w:szCs w:val="16"/>
          <w:lang w:eastAsia="ru-RU" w:bidi="ru-RU"/>
        </w:rPr>
        <w:softHyphen/>
        <w:t>ше, чем у С-62КЭ, но ниже, чем у лодок итальянской постройки. Подобный результат был вполне закономерен из-за разницы в весе между МБР-4 и С-62Б (20325).</w:t>
      </w:r>
    </w:p>
    <w:p w14:paraId="15A0F7A8" w14:textId="77777777" w:rsidR="0026747E" w:rsidRPr="00E93F40" w:rsidRDefault="0026747E" w:rsidP="00E93F40">
      <w:pPr>
        <w:spacing w:after="0" w:line="240" w:lineRule="auto"/>
        <w:jc w:val="both"/>
        <w:rPr>
          <w:rFonts w:ascii="Times New Roman" w:hAnsi="Times New Roman"/>
          <w:color w:val="000000" w:themeColor="text1"/>
          <w:sz w:val="16"/>
          <w:szCs w:val="16"/>
          <w:lang w:eastAsia="ru-RU" w:bidi="ru-RU"/>
        </w:rPr>
      </w:pPr>
    </w:p>
    <w:p w14:paraId="684F4306"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сентября 1932 третий МБР-4 завода № 31 с номером ОЕ-75, объявленный головным, перегнали из Таганрога в Севастополь, где после осмотра его сочли для испы</w:t>
      </w:r>
      <w:r w:rsidRPr="00142305">
        <w:rPr>
          <w:rFonts w:ascii="Times New Roman" w:hAnsi="Times New Roman"/>
          <w:color w:val="0070C0"/>
          <w:sz w:val="16"/>
          <w:szCs w:val="16"/>
        </w:rPr>
        <w:softHyphen/>
        <w:t>таний негодным и предписали устра</w:t>
      </w:r>
      <w:r w:rsidRPr="00142305">
        <w:rPr>
          <w:rFonts w:ascii="Times New Roman" w:hAnsi="Times New Roman"/>
          <w:color w:val="0070C0"/>
          <w:sz w:val="16"/>
          <w:szCs w:val="16"/>
        </w:rPr>
        <w:softHyphen/>
        <w:t>нить 84 недостатка (на машине много чего не хватало, в частности - бомбо</w:t>
      </w:r>
      <w:r w:rsidRPr="00142305">
        <w:rPr>
          <w:rFonts w:ascii="Times New Roman" w:hAnsi="Times New Roman"/>
          <w:color w:val="0070C0"/>
          <w:sz w:val="16"/>
          <w:szCs w:val="16"/>
        </w:rPr>
        <w:softHyphen/>
        <w:t>держателей ДОС, радиостанции, пере</w:t>
      </w:r>
      <w:r w:rsidRPr="00142305">
        <w:rPr>
          <w:rFonts w:ascii="Times New Roman" w:hAnsi="Times New Roman"/>
          <w:color w:val="0070C0"/>
          <w:sz w:val="16"/>
          <w:szCs w:val="16"/>
        </w:rPr>
        <w:softHyphen/>
        <w:t>говорных приборов). Через пять дней список сократился до десяти дефектов (и бомбодержатели появились, правда, на 20 кг тяжелее стоявших на макете, зато в комплекте с электробомбосбрасы</w:t>
      </w:r>
      <w:r w:rsidRPr="00142305">
        <w:rPr>
          <w:rFonts w:ascii="Times New Roman" w:hAnsi="Times New Roman"/>
          <w:color w:val="0070C0"/>
          <w:sz w:val="16"/>
          <w:szCs w:val="16"/>
        </w:rPr>
        <w:softHyphen/>
        <w:t>вателем СР-ЦАГИ), а еще через неделю ОЕ-75 полетел. Пилотировал его летчик Курочкин. Характеристики оказались не</w:t>
      </w:r>
      <w:r w:rsidRPr="00142305">
        <w:rPr>
          <w:rFonts w:ascii="Times New Roman" w:hAnsi="Times New Roman"/>
          <w:color w:val="0070C0"/>
          <w:sz w:val="16"/>
          <w:szCs w:val="16"/>
        </w:rPr>
        <w:softHyphen/>
        <w:t>сколько выше, чем у С-62КЭ, но ниже, чем у лодок итальянской постройки. Ско</w:t>
      </w:r>
      <w:r w:rsidRPr="00142305">
        <w:rPr>
          <w:rFonts w:ascii="Times New Roman" w:hAnsi="Times New Roman"/>
          <w:color w:val="0070C0"/>
          <w:sz w:val="16"/>
          <w:szCs w:val="16"/>
        </w:rPr>
        <w:softHyphen/>
        <w:t>рость доходила до 202 км/ч, а потолок до 4500 м. Подобный результат нетрудно было предсказать заранее, зная разницу в весе между МБР-4 и С-62Б. На заводе это хорошо знали, поскольку еще в мае получили для сравнения серийную ма</w:t>
      </w:r>
      <w:r w:rsidRPr="00142305">
        <w:rPr>
          <w:rFonts w:ascii="Times New Roman" w:hAnsi="Times New Roman"/>
          <w:color w:val="0070C0"/>
          <w:sz w:val="16"/>
          <w:szCs w:val="16"/>
        </w:rPr>
        <w:softHyphen/>
        <w:t>шину, собранную в Италии. Некоторым утешением являлось то, что в результате принятых мер центровка отечественной лодки оказалась на 1,5% более перед</w:t>
      </w:r>
      <w:r w:rsidRPr="00142305">
        <w:rPr>
          <w:rFonts w:ascii="Times New Roman" w:hAnsi="Times New Roman"/>
          <w:color w:val="0070C0"/>
          <w:sz w:val="16"/>
          <w:szCs w:val="16"/>
        </w:rPr>
        <w:softHyphen/>
        <w:t>ней, чем у итальянской (24948).</w:t>
      </w:r>
    </w:p>
    <w:p w14:paraId="43CB397C" w14:textId="77777777" w:rsidR="00A3140F" w:rsidRPr="00142305" w:rsidRDefault="00A3140F" w:rsidP="00A3140F">
      <w:pPr>
        <w:spacing w:after="0" w:line="240" w:lineRule="auto"/>
        <w:jc w:val="both"/>
        <w:rPr>
          <w:rFonts w:ascii="Times New Roman" w:hAnsi="Times New Roman"/>
          <w:color w:val="0070C0"/>
          <w:sz w:val="16"/>
          <w:szCs w:val="16"/>
        </w:rPr>
      </w:pPr>
    </w:p>
    <w:p w14:paraId="1639B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сентября 1932 закончились испытания металлического винта N 181 Д = 2,85 и обрезанных N 182 Д=2,808 и N 182 Д=2,75 производства завода N 28 на самолете И5 N 4302 с кольцевыми капотами (мотор ЮVI АД N 42077 - 1930 г. К=6,5, которые проходили с 5 августа 1932.</w:t>
      </w:r>
    </w:p>
    <w:p w14:paraId="3E5FCC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7C278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инж. 1-го отдела Осипенко</w:t>
      </w:r>
    </w:p>
    <w:p w14:paraId="13918D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инж. летчик 1-го отдела Филин</w:t>
      </w:r>
    </w:p>
    <w:p w14:paraId="51F132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Сузи.</w:t>
      </w:r>
    </w:p>
    <w:p w14:paraId="2D3D23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испытание затрачено 37 календарных дней, из которых:</w:t>
      </w:r>
    </w:p>
    <w:p w14:paraId="1D886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дней, в которые производились испытания 8, общий налет - 19 полетов, 27 час. 20 мин.</w:t>
      </w:r>
    </w:p>
    <w:p w14:paraId="15DC91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49CF4D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наличия ряда преимуществ металлического винта по сравнению с деревянным серию изготовленных заводом N 28 металлических винтов с тонкими лопастями, обрезанных до диаметра Д=2,75 м с целью получения эксплуатационных характеристик, пустить в опытную эксплуатацию в одну из строевых частей ВВС (3002).</w:t>
      </w:r>
    </w:p>
    <w:p w14:paraId="30CD07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A6A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сентября 1932 в НИИ ВВС состоялись испытания винтов различных диаметров на И5 N 4302 с кольцевым капотом, которые проходили с 5 июля 1932 (1041).</w:t>
      </w:r>
    </w:p>
    <w:p w14:paraId="49055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1EC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сентября 1932 в НИИ ВВС проходили испытания металлического винта № 181 д 2.85 и обрезанных № 182 д 2808 мм и № 182 д 2.75 м производства завода № 28 на самолете И-5 № 4302 с кольцевым капотом (мотор Юпитер 6 № 42077), которые проходили с 5 августа 1932</w:t>
      </w:r>
    </w:p>
    <w:p w14:paraId="2EEC8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- 37 календарных дней, из которых: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A227A" w:rsidRPr="00E93F40" w14:paraId="7EBC5CCA" w14:textId="77777777">
        <w:tc>
          <w:tcPr>
            <w:tcW w:w="4788" w:type="dxa"/>
            <w:tcBorders>
              <w:top w:val="single" w:sz="12" w:space="0" w:color="auto"/>
            </w:tcBorders>
          </w:tcPr>
          <w:p w14:paraId="4370A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по подготовке втулки и балансировке</w:t>
            </w:r>
          </w:p>
        </w:tc>
        <w:tc>
          <w:tcPr>
            <w:tcW w:w="4788" w:type="dxa"/>
            <w:tcBorders>
              <w:top w:val="single" w:sz="12" w:space="0" w:color="auto"/>
            </w:tcBorders>
          </w:tcPr>
          <w:p w14:paraId="535BAB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071FFE4B" w14:textId="77777777">
        <w:tc>
          <w:tcPr>
            <w:tcW w:w="4788" w:type="dxa"/>
          </w:tcPr>
          <w:p w14:paraId="1B40B5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смена по неисправности двух М-22 и замена на Ю6</w:t>
            </w:r>
          </w:p>
        </w:tc>
        <w:tc>
          <w:tcPr>
            <w:tcW w:w="4788" w:type="dxa"/>
          </w:tcPr>
          <w:p w14:paraId="1C767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r>
      <w:tr w:rsidR="00DA227A" w:rsidRPr="00E93F40" w14:paraId="4031534A" w14:textId="77777777">
        <w:tc>
          <w:tcPr>
            <w:tcW w:w="4788" w:type="dxa"/>
          </w:tcPr>
          <w:p w14:paraId="716B3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ремонт и просмотр матчасти</w:t>
            </w:r>
          </w:p>
        </w:tc>
        <w:tc>
          <w:tcPr>
            <w:tcW w:w="4788" w:type="dxa"/>
          </w:tcPr>
          <w:p w14:paraId="3A21D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387EFFDB" w14:textId="77777777">
        <w:tc>
          <w:tcPr>
            <w:tcW w:w="4788" w:type="dxa"/>
          </w:tcPr>
          <w:p w14:paraId="3F5507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нелетных дней</w:t>
            </w:r>
          </w:p>
        </w:tc>
        <w:tc>
          <w:tcPr>
            <w:tcW w:w="4788" w:type="dxa"/>
          </w:tcPr>
          <w:p w14:paraId="3C0C21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r w:rsidR="00DA227A" w:rsidRPr="00E93F40" w14:paraId="369E10BA" w14:textId="77777777">
        <w:tc>
          <w:tcPr>
            <w:tcW w:w="4788" w:type="dxa"/>
          </w:tcPr>
          <w:p w14:paraId="7B2A3E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выходных дней</w:t>
            </w:r>
          </w:p>
        </w:tc>
        <w:tc>
          <w:tcPr>
            <w:tcW w:w="4788" w:type="dxa"/>
          </w:tcPr>
          <w:p w14:paraId="1EA18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r>
      <w:tr w:rsidR="00DA227A" w:rsidRPr="00E93F40" w14:paraId="14BD9E0D" w14:textId="77777777">
        <w:tc>
          <w:tcPr>
            <w:tcW w:w="4788" w:type="dxa"/>
            <w:tcBorders>
              <w:bottom w:val="single" w:sz="12" w:space="0" w:color="auto"/>
            </w:tcBorders>
          </w:tcPr>
          <w:p w14:paraId="68F487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дней</w:t>
            </w:r>
          </w:p>
        </w:tc>
        <w:tc>
          <w:tcPr>
            <w:tcW w:w="4788" w:type="dxa"/>
            <w:tcBorders>
              <w:bottom w:val="single" w:sz="12" w:space="0" w:color="auto"/>
            </w:tcBorders>
          </w:tcPr>
          <w:p w14:paraId="08007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r>
    </w:tbl>
    <w:p w14:paraId="49651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налет - 19 полетов, 27:20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DA227A" w:rsidRPr="00E93F40" w14:paraId="1D5EF6F2" w14:textId="77777777">
        <w:tc>
          <w:tcPr>
            <w:tcW w:w="3192" w:type="dxa"/>
            <w:tcBorders>
              <w:top w:val="single" w:sz="12" w:space="0" w:color="auto"/>
            </w:tcBorders>
          </w:tcPr>
          <w:p w14:paraId="472CB4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деревянный вимнт</w:t>
            </w:r>
          </w:p>
        </w:tc>
        <w:tc>
          <w:tcPr>
            <w:tcW w:w="3192" w:type="dxa"/>
            <w:tcBorders>
              <w:top w:val="single" w:sz="12" w:space="0" w:color="auto"/>
            </w:tcBorders>
          </w:tcPr>
          <w:p w14:paraId="1909B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полета</w:t>
            </w:r>
          </w:p>
        </w:tc>
        <w:tc>
          <w:tcPr>
            <w:tcW w:w="3192" w:type="dxa"/>
            <w:tcBorders>
              <w:top w:val="single" w:sz="12" w:space="0" w:color="auto"/>
            </w:tcBorders>
          </w:tcPr>
          <w:p w14:paraId="25DFFF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6:10</w:t>
            </w:r>
          </w:p>
        </w:tc>
      </w:tr>
      <w:tr w:rsidR="00DA227A" w:rsidRPr="00E93F40" w14:paraId="57CDB998" w14:textId="77777777">
        <w:tc>
          <w:tcPr>
            <w:tcW w:w="3192" w:type="dxa"/>
          </w:tcPr>
          <w:p w14:paraId="5F3456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металлический д 2.85</w:t>
            </w:r>
          </w:p>
        </w:tc>
        <w:tc>
          <w:tcPr>
            <w:tcW w:w="3192" w:type="dxa"/>
          </w:tcPr>
          <w:p w14:paraId="75E7C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3192" w:type="dxa"/>
          </w:tcPr>
          <w:p w14:paraId="58B2A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7:30</w:t>
            </w:r>
          </w:p>
        </w:tc>
      </w:tr>
      <w:tr w:rsidR="00DA227A" w:rsidRPr="00E93F40" w14:paraId="6B802C74" w14:textId="77777777">
        <w:tc>
          <w:tcPr>
            <w:tcW w:w="3192" w:type="dxa"/>
          </w:tcPr>
          <w:p w14:paraId="0A55D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металлический д 2.806</w:t>
            </w:r>
          </w:p>
        </w:tc>
        <w:tc>
          <w:tcPr>
            <w:tcW w:w="3192" w:type="dxa"/>
          </w:tcPr>
          <w:p w14:paraId="1B7A5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3192" w:type="dxa"/>
          </w:tcPr>
          <w:p w14:paraId="407BE1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6:40</w:t>
            </w:r>
          </w:p>
        </w:tc>
      </w:tr>
      <w:tr w:rsidR="00DA227A" w:rsidRPr="00E93F40" w14:paraId="641BAE58" w14:textId="77777777">
        <w:tc>
          <w:tcPr>
            <w:tcW w:w="3192" w:type="dxa"/>
            <w:tcBorders>
              <w:bottom w:val="single" w:sz="12" w:space="0" w:color="auto"/>
            </w:tcBorders>
          </w:tcPr>
          <w:p w14:paraId="2F364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металлический д 2.75</w:t>
            </w:r>
          </w:p>
        </w:tc>
        <w:tc>
          <w:tcPr>
            <w:tcW w:w="3192" w:type="dxa"/>
            <w:tcBorders>
              <w:bottom w:val="single" w:sz="12" w:space="0" w:color="auto"/>
            </w:tcBorders>
          </w:tcPr>
          <w:p w14:paraId="518C61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3192" w:type="dxa"/>
            <w:tcBorders>
              <w:bottom w:val="single" w:sz="12" w:space="0" w:color="auto"/>
            </w:tcBorders>
          </w:tcPr>
          <w:p w14:paraId="119033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r>
    </w:tbl>
    <w:p w14:paraId="14FC4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(10757).</w:t>
      </w:r>
    </w:p>
    <w:p w14:paraId="2CC11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036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сентября 1932 вновь после осмотра специалистами НИИ ВВС 28 августа 1932 первого серийного самолета МБР-4 АССО-750 заводской N ОВ-75, готовящегося для предъявления на гос. испытания, когда была обнаружена масса дефектов - завод обещал устранить их в течение 5 дней, но срок не был выдержан, этот самолет был предъявлен вновь. После осмотра было обнаружено 84 дефекта. Третий раз самолет был предъявлен 16 сентября с.г. После осмотра также были обнаружены дефекты (2996).</w:t>
      </w:r>
    </w:p>
    <w:p w14:paraId="4B5DCD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9D4640" w14:textId="77777777" w:rsidR="0094586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49CE5AE" w14:textId="77777777" w:rsidR="0094586B" w:rsidRPr="00E93F40" w:rsidRDefault="0094586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243BA6"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11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1135/340сс об утверждении объектов, подлежащих разгрузке из г. Ленинград, с объявлением мобилизации и во время войны и баз для их вывоза (ГА РФ. Ф. Р?8418. Оп. 28. Д. 1а. Л. 342?358) (12415).</w:t>
      </w:r>
    </w:p>
    <w:p w14:paraId="03111777"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22E1D9C0" w14:textId="77777777" w:rsidR="0026747E" w:rsidRPr="00E93F40" w:rsidRDefault="0026747E"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D6B5199" w14:textId="77777777" w:rsidR="0026747E" w:rsidRPr="00E93F40" w:rsidRDefault="0026747E"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8E554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сентября 1932 победители конкурса Challenge 1932, польские пилоты Францишек Цвирко и Станислав Вигура погибают в авиакатастрофе (20803).</w:t>
      </w:r>
    </w:p>
    <w:p w14:paraId="49697B60" w14:textId="77777777" w:rsidR="0026747E" w:rsidRPr="00E93F40" w:rsidRDefault="0026747E" w:rsidP="00E93F40">
      <w:pPr>
        <w:spacing w:after="0" w:line="240" w:lineRule="auto"/>
        <w:jc w:val="both"/>
        <w:rPr>
          <w:rFonts w:ascii="Times New Roman" w:hAnsi="Times New Roman"/>
          <w:color w:val="000000" w:themeColor="text1"/>
          <w:sz w:val="16"/>
          <w:szCs w:val="16"/>
        </w:rPr>
      </w:pPr>
    </w:p>
    <w:p w14:paraId="41BDE0A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C5F8DB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CD18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12 сентября 1932 г. Папен вновь распустил райхстаг. На последовавших 6 ноября 1932 г. внеочередных выборах НСДАП набрала 11,7 млн. голосов, потеряв 2 млн. избирателей. После того, как со стороны крупных предпринимателей и банковских кругов, а также руководства партии Центра (Л. Каас) последовали призывы и требования о передаче власти в руки сильнейшей партии, Гинденбург был вынужден 17 ноября 1932 г. отправить кабинет Папена в отставку. Однако в ходе последовавших затем нескольких раундов переговоров Гинденбурга с Гитлером, президент, предложив Гитлеру возглавить кабинет, выставил ряд условий </w:t>
      </w:r>
      <w:r w:rsidRPr="00E93F40">
        <w:rPr>
          <w:rFonts w:ascii="Times New Roman" w:hAnsi="Times New Roman"/>
          <w:color w:val="000000" w:themeColor="text1"/>
          <w:sz w:val="16"/>
          <w:szCs w:val="16"/>
        </w:rPr>
        <w:lastRenderedPageBreak/>
        <w:t>(включение в правительство представителей других партий, предоставление президенту права самому назначать министра иностранных дел и военного министра). Гитлер на это не пошел и тогда сформировать кабинет было поручено военному министру в кабинете Папена генералу райхсвера К. фон Шляйхеру, который в течение всего периода существования Ваймарской республики активно участвовал во всех внутриполитических комбинациях, сыграв, пожалуй, решающую роль в падении трех предшествовавших ему кабинетов Германии (Подробнее об этом см.: Erickson John. Op. cit., p. 326—459; Wolfgang Ruge. Op. cit. S. 357-474.). Кроме того, он вместе с Зектом активно способствовал зарождению тайного германо-советского военного сотрудничества с целью возрождения военной и политической мощи Германии. Когда 3 декабря 1932 г. Гинденбург поручил ему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 г.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[291]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1F30B6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C78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r w:rsidRPr="00E93F40">
        <w:rPr>
          <w:rFonts w:ascii="Times New Roman" w:hAnsi="Times New Roman"/>
          <w:color w:val="000000" w:themeColor="text1"/>
          <w:sz w:val="16"/>
          <w:szCs w:val="16"/>
          <w:lang w:val="en-US"/>
        </w:rPr>
        <w:t>September 12, 1932 - Leo Szilard conceives the idea of using a chain reaction of neutron collisions with atomic nuclei to release energy. He also considers the possibility of using this to make bombs. This predates the discovery of fission by more than six years (1039).</w:t>
      </w:r>
    </w:p>
    <w:p w14:paraId="438A26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p>
    <w:p w14:paraId="25F9D4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сентября 1932 Л.Сциллард выдвинул идею о том, что цепная реакция нейтронов с ядром высвободит энергию и предложил на этой основе изготовить бомбу. Деление было открыто 6 лет позже (1039).</w:t>
      </w:r>
    </w:p>
    <w:p w14:paraId="7C6840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8652F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A299C0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53B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сентября 1932 Алкснис вынес заключение по военной версии АНТ-9Ж “...АНТ-9 как бомбардировщики использованы быть не могут, а при мобилизации могут быть использованы лишь как транспортные и санитарные.” Аналогично и по К-5Б (10542,30).</w:t>
      </w:r>
    </w:p>
    <w:p w14:paraId="3AD23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586DAF"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сентября 1932 г. появилось за</w:t>
      </w:r>
      <w:r w:rsidRPr="00142305">
        <w:rPr>
          <w:rFonts w:ascii="Times New Roman" w:hAnsi="Times New Roman"/>
          <w:color w:val="0070C0"/>
          <w:sz w:val="16"/>
          <w:szCs w:val="16"/>
        </w:rPr>
        <w:softHyphen/>
        <w:t>ключение Я.И. Алксниса, уже ставшего начальником ВВС: «</w:t>
      </w:r>
      <w:r>
        <w:rPr>
          <w:rFonts w:ascii="Times New Roman" w:hAnsi="Times New Roman"/>
          <w:color w:val="0070C0"/>
          <w:sz w:val="16"/>
          <w:szCs w:val="16"/>
        </w:rPr>
        <w:t>…</w:t>
      </w:r>
      <w:r w:rsidRPr="00142305">
        <w:rPr>
          <w:rFonts w:ascii="Times New Roman" w:hAnsi="Times New Roman"/>
          <w:color w:val="0070C0"/>
          <w:sz w:val="16"/>
          <w:szCs w:val="16"/>
        </w:rPr>
        <w:t>АНТ-9 как бомбардировщики исполь</w:t>
      </w:r>
      <w:r w:rsidRPr="00142305">
        <w:rPr>
          <w:rFonts w:ascii="Times New Roman" w:hAnsi="Times New Roman"/>
          <w:color w:val="0070C0"/>
          <w:sz w:val="16"/>
          <w:szCs w:val="16"/>
        </w:rPr>
        <w:softHyphen/>
        <w:t>зованы быть не могут, а при мобилизации могут быть использованы лишь как транс</w:t>
      </w:r>
      <w:r w:rsidRPr="00142305">
        <w:rPr>
          <w:rFonts w:ascii="Times New Roman" w:hAnsi="Times New Roman"/>
          <w:color w:val="0070C0"/>
          <w:sz w:val="16"/>
          <w:szCs w:val="16"/>
        </w:rPr>
        <w:softHyphen/>
        <w:t>портные или санитарные».</w:t>
      </w:r>
    </w:p>
    <w:p w14:paraId="7574C01E"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Подобный вывод сделали и по отноше</w:t>
      </w:r>
      <w:r w:rsidRPr="00142305">
        <w:rPr>
          <w:rFonts w:ascii="Times New Roman" w:hAnsi="Times New Roman"/>
          <w:color w:val="0070C0"/>
          <w:sz w:val="16"/>
          <w:szCs w:val="16"/>
        </w:rPr>
        <w:softHyphen/>
        <w:t>нию к другому «бомбардировщику 3-го класса» - К-5Б После этого интерес УВВС к АНТ-9 быстро угас (24949).</w:t>
      </w:r>
    </w:p>
    <w:p w14:paraId="1AFB2E2B" w14:textId="77777777" w:rsidR="00A3140F" w:rsidRPr="00142305" w:rsidRDefault="00A3140F" w:rsidP="00A3140F">
      <w:pPr>
        <w:spacing w:after="0" w:line="240" w:lineRule="auto"/>
        <w:jc w:val="both"/>
        <w:rPr>
          <w:rFonts w:ascii="Times New Roman" w:hAnsi="Times New Roman"/>
          <w:color w:val="0070C0"/>
          <w:sz w:val="16"/>
          <w:szCs w:val="16"/>
        </w:rPr>
      </w:pPr>
    </w:p>
    <w:p w14:paraId="2D55523A"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14-го сентября по 1-е октября 1932 в Щелково прошли лётные Государственные испытания «И-Z», вооруженного серийными пушками АПК-4, каждая из которых была снабжена трубчатым магазином на шесть снарядов. Летал на истребителе летчик-испытатель НИИ ВВС М. Сцельников. В отчете НИИ ВВС по испытаниям указывалось, что самолет «И-Z»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легкое. Испытания на штопор не проводились, но и тенденции к срыву в штопор не наблюдалось. В заключении по испытаниям говорилось, что истребители типа «И-Z» могут быть приняты на вооружение ВВС РККА при выполнении следующих условий: увеличение максимальной скорости до 300 км/час, емкости бензобаков, количества снарядов,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Военные хотели довести живучесть «И-Z» до 1000 выстрелов.</w:t>
      </w:r>
    </w:p>
    <w:p w14:paraId="3D404C11"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это пожелание ВВС выполнить не удалось. В ходе последующих испытаний истребителей «И-Z», стрельбы из пушек велись с пикирования, кабрирования, в горизонтальном полете, одиночными выстрелами и сериями. После 100-150 выстрелов проводился осмотр конструкций истребителей с заменой, по возможности, отдельных частей. В среднем из каждой пушки выполнили 240 выстрелов. При стрельбе в конструкции самолетов наблюдались значительные повреждения. Газы, вылетавшие из пушек, коробили и отрывали обшивку, оказывали на конструкцию крайне нежелательные нагрузки. Лишь отдельные самолеты смогли выдержать свыше 350 выстрелов. Признавалось, что даже при соответствующих усилениях конструкции «И-Z», срок его службы при стрельбе из динамо-реактивных пушек составит не более 400 выстрелов. При испытаниях большую часть серийных истребителей довели до нелетного состояния (18293).</w:t>
      </w:r>
    </w:p>
    <w:p w14:paraId="66B30F93" w14:textId="77777777" w:rsidR="00883D98" w:rsidRPr="00E93F40" w:rsidRDefault="00883D98" w:rsidP="00E93F40">
      <w:pPr>
        <w:spacing w:after="0" w:line="240" w:lineRule="auto"/>
        <w:jc w:val="both"/>
        <w:rPr>
          <w:rFonts w:ascii="Times New Roman" w:hAnsi="Times New Roman"/>
          <w:color w:val="000000" w:themeColor="text1"/>
          <w:sz w:val="16"/>
          <w:szCs w:val="16"/>
        </w:rPr>
      </w:pPr>
    </w:p>
    <w:p w14:paraId="7E696DB7" w14:textId="77777777" w:rsidR="0094586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DA2F43A" w14:textId="77777777" w:rsidR="0094586B" w:rsidRPr="00E93F40" w:rsidRDefault="0094586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F801A87" w14:textId="77777777" w:rsidR="00C33B7E" w:rsidRPr="00E93F40" w:rsidRDefault="00C33B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сентября 1932 года завод № 1 провел испытания Д-2 с дисково-сцепной муфтой, «предложенной тов. Дыренковым и уже устанавливаемой в качестве типовой для всех 60-ти Д-2». Однако после 4 км пробега пришлось прекратить испытания из-за «отказа в работе дисково-сцепной муфты, гидравлического и ручного управления» (15624).</w:t>
      </w:r>
    </w:p>
    <w:p w14:paraId="5086957E" w14:textId="77777777" w:rsidR="00C33B7E" w:rsidRPr="00E93F40" w:rsidRDefault="00C33B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Внешне серийный вариант Д-2 напоминал сильно увеличенный в размерах опытный образец. Корпус сваривался из 10-16 мм бронели-стов, что позволило снизить его массу и удешевить производство. В центре корпуса размещалась довольно большая рубка для командира, радиста и водителя, в стенках которой имелось 1 люков со смотровыми щелями и дверь для выхода на крышу Четыре двери в бортах корпуса служили для посадки экипажа. В центре рамы, к которой крепился корпус, находился автомобильный двигатель «Геркулес» YXC мощностью 93 л.с и коробка перемены передач Д-35. В отличие от опытного образца на серийных мото-броневагонах Д-2 коробка Д-35 снабжалась дисково-сцепной муфтой конструкции Дыренкова, обеспечивавшей более плавное переключение передач, а управление вагоном было двойным - механическим и гидравлическим. Все эти нововведения позволили значительно облегчить управление мотоброневагоном, но их надежность оставляла желать лучшего.</w:t>
      </w:r>
    </w:p>
    <w:p w14:paraId="5621E48E" w14:textId="77777777" w:rsidR="00C33B7E" w:rsidRPr="00E93F40" w:rsidRDefault="00C33B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серийного варианта Д-2 состояло из двух 76,2-мм пушек образца 1902 года в башнях, четырех бортовых Максимов, двух ДТ (в башнях) и зенитной спаренной установки Максимов на крыше одной из орудийных башен.</w:t>
      </w:r>
    </w:p>
    <w:p w14:paraId="6D49F6FF" w14:textId="77777777" w:rsidR="00C33B7E" w:rsidRPr="00E93F40" w:rsidRDefault="00C33B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отличие от опытного образца Д-2, серийные оборудовались радиостанцией 5 АК с рамочной антенной на крыше рубки (15624).</w:t>
      </w:r>
    </w:p>
    <w:p w14:paraId="4995858E" w14:textId="77777777" w:rsidR="00C33B7E" w:rsidRPr="00E93F40" w:rsidRDefault="00C33B7E" w:rsidP="00E93F40">
      <w:pPr>
        <w:spacing w:after="0" w:line="240" w:lineRule="auto"/>
        <w:jc w:val="both"/>
        <w:rPr>
          <w:rFonts w:ascii="Times New Roman" w:hAnsi="Times New Roman"/>
          <w:color w:val="000000" w:themeColor="text1"/>
          <w:sz w:val="16"/>
          <w:szCs w:val="16"/>
        </w:rPr>
      </w:pPr>
    </w:p>
    <w:p w14:paraId="7C52EC60"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сентября 1932 года завод № 1 провел испытания Д-2 Дыренкова с дисково-сцепной муфтой,</w:t>
      </w:r>
    </w:p>
    <w:p w14:paraId="14432154"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«предложенной тов. Дыренковым и уже устанавливаемой в качестве типовой для всех 60-ти Д-2». </w:t>
      </w:r>
    </w:p>
    <w:p w14:paraId="6E625021"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после 4 км пробега пришлось прекратить испытания из-за </w:t>
      </w:r>
    </w:p>
    <w:p w14:paraId="4CA9002B"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«отказа в работе дисково-сцепной муфты, гидравлического и ручного управления».</w:t>
      </w:r>
    </w:p>
    <w:p w14:paraId="0A7846F8"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Внешне серийный вариант Д-2 напоминал сильно увеличенный в размерах опытный образец. Корпус сваривался из 10-16 мм бронели-стов, что позволило снизить его массу и удешевить производство. В центре корпуса размещалась довольно большая рубка для командира, радиста и водителя, в стенках которой имелось 1 люков со смотровыми щелями и дверь для выхода на крышу Четыре двери в бортах корпуса служили для посадки экипажа. В центре рамы, к которой крепился корпус, находился автомобильный двигатель «Геркулес» YXC мощностью 93 л.с. и коробка перемены передач Д-35. В отличие от опытного образца на серийных мотоброневагонах Д-2 коробка Д-35 снабжалась дисково-сцепной муфтой конструкции Дыренкова, обеспечивавшей более плавное переключение передач, а </w:t>
      </w:r>
      <w:r w:rsidRPr="00142305">
        <w:rPr>
          <w:rFonts w:ascii="Times New Roman" w:hAnsi="Times New Roman"/>
          <w:color w:val="0070C0"/>
          <w:sz w:val="16"/>
          <w:szCs w:val="16"/>
        </w:rPr>
        <w:lastRenderedPageBreak/>
        <w:t>управление вагоном было двойным — механическим и гидравлическим. Все эти нововведения позволили значительно облегчить управление мотоброневагоном, но их надежность оставляла желать лучшего.</w:t>
      </w:r>
    </w:p>
    <w:p w14:paraId="4347474C"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Вооружение серийного варианта Д-2 состояло из двух 76,2-мм пушек образца 1902 года в башнях, четырех бортовых Максимов, двух ДТ (в башнях) и зенитной спаренной установки Максимов на крыше одной из орудийных башен.</w:t>
      </w:r>
    </w:p>
    <w:p w14:paraId="20871916"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отличие от опытного образца Д-2, серийные оборудовались радиостанцией 5 АК с рамочной антенной на крыше рубки (25568).</w:t>
      </w:r>
    </w:p>
    <w:p w14:paraId="79DA18BC" w14:textId="77777777" w:rsidR="00A3140F" w:rsidRPr="00142305" w:rsidRDefault="00A3140F" w:rsidP="00A3140F">
      <w:pPr>
        <w:spacing w:after="0" w:line="240" w:lineRule="auto"/>
        <w:jc w:val="both"/>
        <w:rPr>
          <w:rFonts w:ascii="Times New Roman" w:hAnsi="Times New Roman"/>
          <w:color w:val="0070C0"/>
          <w:sz w:val="16"/>
          <w:szCs w:val="16"/>
        </w:rPr>
      </w:pPr>
    </w:p>
    <w:p w14:paraId="0831683D"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сентября 1932 года завод № 1 провел испытания Д-2 с дисково-сцепной муфтой, «предложенной тов. Дыренковым и уже устанавливаемой в качестве типовой для всех 60-ти Д-2». Однако после 4 км пробега пришлось прекратить испытания из-за «отказа в работе дисково-сцепной муфты, гидравлического и ручного управления» (18626).</w:t>
      </w:r>
    </w:p>
    <w:p w14:paraId="6A78A2DB" w14:textId="77777777" w:rsidR="00883D98" w:rsidRPr="00E93F40" w:rsidRDefault="00883D98" w:rsidP="00E93F40">
      <w:pPr>
        <w:spacing w:after="0" w:line="240" w:lineRule="auto"/>
        <w:jc w:val="both"/>
        <w:rPr>
          <w:rFonts w:ascii="Times New Roman" w:hAnsi="Times New Roman"/>
          <w:color w:val="000000" w:themeColor="text1"/>
          <w:sz w:val="16"/>
          <w:szCs w:val="16"/>
        </w:rPr>
      </w:pPr>
    </w:p>
    <w:p w14:paraId="310C9C54"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14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1153/345ссо реализации договора с итальянской фирмой «Фиат» (ГА РФ. Ф. Р?8418. Оп. 28. Д. 1а. Л. 358) (12415).</w:t>
      </w:r>
    </w:p>
    <w:p w14:paraId="4BD60427"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6C6A2A80"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14 сентября 1932 на Волховском алюминиевом заводе был получен первый российский глинозем. В июле 1933 года «пущен в строй» Днепровский алюминиевый завод. </w:t>
      </w:r>
    </w:p>
    <w:p w14:paraId="3FED64A4"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113AB009"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1380158D"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33C77241"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0576EBA7"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3E3B1672"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7BD8F6C4" w14:textId="77777777" w:rsidR="0094586B" w:rsidRPr="00E93F40" w:rsidRDefault="0094586B" w:rsidP="00E93F40">
      <w:pPr>
        <w:spacing w:after="0" w:line="240" w:lineRule="auto"/>
        <w:jc w:val="both"/>
        <w:rPr>
          <w:rFonts w:ascii="Times New Roman" w:hAnsi="Times New Roman"/>
          <w:color w:val="000000" w:themeColor="text1"/>
          <w:sz w:val="16"/>
          <w:szCs w:val="16"/>
        </w:rPr>
      </w:pPr>
    </w:p>
    <w:p w14:paraId="4D7FB7D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7BD5A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364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сентября 1932 приказом ОГПУ № 889с организовывался «на территории Московской области Дмитровский исправительно-трудовой лагерь ОГПУ с расположением управления в г. Дмитрове», а Отделу кадров ОГПУ поручалось «произвести укомплектование» Дмитлага (7560).</w:t>
      </w:r>
    </w:p>
    <w:p w14:paraId="1C9469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A0D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сентября 1932 Приказом ОГПУ № 889с от для строительства канала Москва-Волга был организован Дмитровский ИТЛ (Дмитлаг) ОГПУ с дислокацией в подмосковном Дмитрове, тогда же вриднач Дмитлага, а затем и начальником был назначен начальник 5 отдела ГУЛАГа А. Е. Сорокин (по совместительству). Приказом ОГПУ № 1005 от 31 октября дополнительно объявлялось о назначении начальником строительства канала Москва-Волга Л. И. Когана, его заместителем - Я. Д. Рапопорта и его помощником - Н. А. Френкеля (7560).</w:t>
      </w:r>
    </w:p>
    <w:p w14:paraId="297B0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E628C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8B6E2F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2EBA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сентября 1932 германская делегация временно (до декабря) покинула Женевскую конференцию по разоружению, т.к. требовала установки равных вооруженных сил во всех странах (3481).</w:t>
      </w:r>
    </w:p>
    <w:p w14:paraId="3AA59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AA8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сентября 1932 бельгийское правительство получило широкую поддержку для борьбы с кризисом (3481).</w:t>
      </w:r>
    </w:p>
    <w:p w14:paraId="6EB06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BF2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сентября 1932 был военный переворот в Чили (3481).</w:t>
      </w:r>
    </w:p>
    <w:p w14:paraId="1CF3D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C0465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85797A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61BAE9"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ранее 15 сентября 1932 г. — Из докладной записки начальника ЭКУ ОГПУ СССР Л. Г. Миронова в Комиссию обороны о развитии авиабомбостроения по состоянию на 15 сентября 1932 г.</w:t>
      </w:r>
    </w:p>
    <w:p w14:paraId="474C3CEF"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52CA70D1"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Авиабомбостроение в СССР²*</w:t>
      </w:r>
    </w:p>
    <w:p w14:paraId="3B56F385" w14:textId="4C7C5519"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Организация и состояние авиабомбостроения в СССР в настоящее время вызывает серьезные опасения за надлежащее развертывание промышленности в мобилизационный период по обеспечению Красной армии бомбардировочным вооружением. Этому важнейшему вопросу не уделялось и не уделяется должного внимания ни промышленностью (ГВМУ Наркомтяжпрома СССР), ни военведом (АУ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w:t>
      </w:r>
    </w:p>
    <w:p w14:paraId="11C8F6E2" w14:textId="2AEA9B9D"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сих пор нет единого руководящего центра, занимающегося разрешением всех проблем по авиабомбостроению, направленных к изысканию новых типов и конструкций авиабомб применительно к требованиям современной науки и техники и системы вооружения РККА. Нет самостоятельной организации, которая специально руководила бы производством авиабомб и была бы способна углубленно разрешать технические вопросы по этому производству. В данное время в аппарате ГВМУ по авиабомбостроению имеется один лишь молодой работник, который физически не в состоянии охватить все основные вопросы и справиться с поставленными перед ним задачами, поэтому о руководстве ГВМУ совершенно говорить не приходится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его нет.</w:t>
      </w:r>
    </w:p>
    <w:p w14:paraId="65B3ED1A"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Снарядный трест, на обязанности которого лежало техническое руководство всем авиабомбостроением, с этой задачей не справился и не может справиться, так как в своем аппарате не имеет ни одного специалиста и даже работника, занимающегося специально авиабомбостроением.</w:t>
      </w:r>
    </w:p>
    <w:p w14:paraId="429BF6B5"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Вопросами подготовки кадров по авиабомбостроепию никто не занимается, в результате чего имеется чрезвычайно острый недостаток специалистов и квалифицированных рабочих.</w:t>
      </w:r>
    </w:p>
    <w:p w14:paraId="745445AF" w14:textId="71394D4F"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текущем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изготовление авиабомб производится на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заводах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военных и 19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гражданских), каковые входят в состав 18 гражданских объединений; последние совершенно не уделяют внимания выполнению текущих заказов. Что же касается развития авиабомбостроения, то считают просто не своим делом.</w:t>
      </w:r>
    </w:p>
    <w:p w14:paraId="600232CC"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создавшегося положения в данное время ни у промышленности, ни у военведа не имеется полной ясности об имеющихся мощностях заводов и уверенности в выполнении плана МВ</w:t>
      </w:r>
      <w:r w:rsidRPr="00E93F40">
        <w:rPr>
          <w:rFonts w:ascii="Times New Roman" w:hAnsi="Times New Roman"/>
          <w:color w:val="000000" w:themeColor="text1"/>
          <w:sz w:val="16"/>
          <w:szCs w:val="16"/>
        </w:rPr>
        <w:noBreakHyphen/>
        <w:t>10, так как в данное время не имеется ни одного мощного кадрового завода с мобготовностью.</w:t>
      </w:r>
    </w:p>
    <w:p w14:paraId="4F63AF6C" w14:textId="4A903A13"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наличии полного отсутствия руководства и наблюдения по производству авиабомб и существующей в аппарате Наркомтяжпрома СССР недооценки этого производства текущие и опытные заказы систематически не выполняются, научно-исследовательская работа совершенно не развита и не дала положительных результатов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E4DB0FB"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Опытная и научно-исследовательская работа</w:t>
      </w:r>
    </w:p>
    <w:p w14:paraId="458B527E" w14:textId="113B947B"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Начало авиабомбостроения в СССР относится к первой половине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 момента создания в опытном отделе завода «Мастяжарт» конструкторского бюро по а[виа]б[омбостроению]. В данное время на этом заводе сосредоточено на 90% все опытное авиабомбостроение СССР, ведутся научно-исследовательские работы и валовое освоение опытных образцов.</w:t>
      </w:r>
    </w:p>
    <w:p w14:paraId="0CE8864A" w14:textId="075C4355"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конструкций авиабомб, установленная системой вооружения РККА, ведется только по основным образцам, имевшимся за границей в доработанном виде к концу империалистической войны, причем и с этой задачей конструкторское бюро не справляется за недостатком кадров и внимания со стороны ГВМУ и АУ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w:t>
      </w:r>
    </w:p>
    <w:p w14:paraId="4F74888B" w14:textId="5B5621BC"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Углубленной опытной и научно-исследовательской работы никем не ведется, констр[укторское] бюро завода «Мастяжарт» ограничивается испытаниями научно-исследовательских институтов Военно-воздушных сил и АУ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уже принятых на вооружение конструкций, причем из установленных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типов бомб, предназначенных на вооружение, проверено и находится в валовом производстве не более 7</w:t>
      </w:r>
      <w:r w:rsidRPr="00E93F40">
        <w:rPr>
          <w:rFonts w:ascii="Times New Roman" w:hAnsi="Times New Roman"/>
          <w:color w:val="000000" w:themeColor="text1"/>
          <w:sz w:val="16"/>
          <w:szCs w:val="16"/>
        </w:rPr>
        <w:noBreakHyphen/>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образцов. Проектирование новых типов авиабомб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без достаточных </w:t>
      </w:r>
      <w:r w:rsidRPr="00E93F40">
        <w:rPr>
          <w:rFonts w:ascii="Times New Roman" w:hAnsi="Times New Roman"/>
          <w:color w:val="000000" w:themeColor="text1"/>
          <w:sz w:val="16"/>
          <w:szCs w:val="16"/>
        </w:rPr>
        <w:lastRenderedPageBreak/>
        <w:t>научных и технических обоснований и изучения (наспех), в результате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выпущенные опытные изделия и даже валовые партии при испытаниях не дают эффекта. Ярким примером могут служить следующие акты:</w:t>
      </w:r>
    </w:p>
    <w:p w14:paraId="44A71729" w14:textId="4C2E8A99"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заводе «Мастяжарт» запущено было в валовое производство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ХАБ</w:t>
      </w:r>
      <w:r w:rsidRPr="00E93F40">
        <w:rPr>
          <w:rFonts w:ascii="Times New Roman" w:hAnsi="Times New Roman"/>
          <w:color w:val="000000" w:themeColor="text1"/>
          <w:sz w:val="16"/>
          <w:szCs w:val="16"/>
        </w:rPr>
        <w:noBreakHyphen/>
        <w:t>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после выпуска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при испытании эти бомбы не дали никакого эффективного действия (не разрывались). Дальнейшие конструктивные изменения были произведены НТК АУ произвольно: сначала была механически уменьшена толщина стенок корпуса с 8 до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а через несколько дней до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в результате чего эта бомба в августе совсем была снята с производства;</w:t>
      </w:r>
    </w:p>
    <w:p w14:paraId="5930517D" w14:textId="028BAFEF"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химическая аэробомба 321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была сконструирована и пущена в валовое производство, при значительном выпуске изделий и полуфабрикатов пришлось заводу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67 работы прекратить и конструктивно вновь изменять бомбу, так как последняя в достаточной степени не была изучена;</w:t>
      </w:r>
    </w:p>
    <w:p w14:paraId="2DB32132" w14:textId="120B2092"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без предварительного изучения и испытания находится авиабомба ЭАБ</w:t>
      </w:r>
      <w:r w:rsidRPr="00E93F40">
        <w:rPr>
          <w:rFonts w:ascii="Times New Roman" w:hAnsi="Times New Roman"/>
          <w:color w:val="000000" w:themeColor="text1"/>
          <w:sz w:val="16"/>
          <w:szCs w:val="16"/>
        </w:rPr>
        <w:noBreakHyphen/>
        <w:t>50 (электронная)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w:t>
      </w:r>
    </w:p>
    <w:p w14:paraId="4C0D4D83" w14:textId="4A558C68"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теоретических обоснований при проектировании АБ приводит к тому, что проекты выходят из конструкторского бюро в недоработанном виде, без тщательной проверки всех элементов конструкции. Химические бомбы проектируются без проработки ряда важнейших вопросов, как-то: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установление процента содержания ВВ и ОВ для различных калибров, в результате конструкции получаются с чрезмерно большим запальным стаканом (АБ</w:t>
      </w:r>
      <w:r w:rsidRPr="00E93F40">
        <w:rPr>
          <w:rFonts w:ascii="Times New Roman" w:hAnsi="Times New Roman"/>
          <w:color w:val="000000" w:themeColor="text1"/>
          <w:sz w:val="16"/>
          <w:szCs w:val="16"/>
        </w:rPr>
        <w:noBreakHyphen/>
        <w:t>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расположение разрывного заряда в корпусе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356365F8" w14:textId="27CFF50C"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Конструкторское бюро завода «Мастяжарт» кадрами совершенно не обеспечено ни количественно, ни качественно, конструированием занято всего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конструкторов, из коих 2 работают менее одного года. Отсутствие кадров (специалистов) конструкторов является крупнейшим ущербом не только для создания конструкторского аппарата, но может нанести большой урон всему делу подготовки бомбардировочного вооружения в мобпериод.</w:t>
      </w:r>
    </w:p>
    <w:p w14:paraId="414BAA98" w14:textId="21BA2481"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производстве испытаний и опытов на полигоне завод «Мастяжарт» имеет большие затруднения по причине отсутствия летных и транспортных средств. Несмотря на приказ зам. наркомвоенмора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Тухольского от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самолетов до сих пор не выделено, вследствие чего тормозится работа по изучению и обоснованию опытных изделий, выпущенных заводом и частично принятых РККА на вооружение.</w:t>
      </w:r>
    </w:p>
    <w:p w14:paraId="0EDC5859"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Выполнение производственной программы</w:t>
      </w:r>
    </w:p>
    <w:p w14:paraId="3635FA9E"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 выполнением производственной программы по авиабомбам надо считать катастрофическим, что характеризуется следующими показателями:</w:t>
      </w:r>
    </w:p>
    <w:p w14:paraId="4FDC4049" w14:textId="09821AB2"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выдан заказ на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АБ. Планом первого полугодия намечено было к выпуску 6,776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 фактически было выполнено 3,335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(52%), что составляет по тоннажу 8,73% к годовому плану.</w:t>
      </w:r>
    </w:p>
    <w:p w14:paraId="4F9B15E6" w14:textId="76F87F34"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Невыполнение плана идет главным образом за счет авиабомб крупных калибров АФ</w:t>
      </w:r>
      <w:r w:rsidRPr="00E93F40">
        <w:rPr>
          <w:rFonts w:ascii="Times New Roman" w:hAnsi="Times New Roman"/>
          <w:color w:val="000000" w:themeColor="text1"/>
          <w:sz w:val="16"/>
          <w:szCs w:val="16"/>
        </w:rPr>
        <w:noBreakHyphen/>
        <w:t>250, 500, 1000 и 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p w14:paraId="0BA3E92E" w14:textId="2005B2C5"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АФ</w:t>
      </w:r>
      <w:r w:rsidRPr="00E93F40">
        <w:rPr>
          <w:rFonts w:ascii="Times New Roman" w:hAnsi="Times New Roman"/>
          <w:color w:val="000000" w:themeColor="text1"/>
          <w:sz w:val="16"/>
          <w:szCs w:val="16"/>
        </w:rPr>
        <w:noBreakHyphen/>
        <w:t>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заводы «Красный котельщик», «Коминтерн» и Лысьвенский не выпустили ни одной авиабомбы;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АФ</w:t>
      </w:r>
      <w:r w:rsidRPr="00E93F40">
        <w:rPr>
          <w:rFonts w:ascii="Times New Roman" w:hAnsi="Times New Roman"/>
          <w:color w:val="000000" w:themeColor="text1"/>
          <w:sz w:val="16"/>
          <w:szCs w:val="16"/>
        </w:rPr>
        <w:noBreakHyphen/>
        <w:t>500 заводы Краматорский, Коломенский, «Коминтерн», «Мастяжарт» и ММЗ (Абр</w:t>
      </w:r>
      <w:r w:rsidRPr="00E93F40">
        <w:rPr>
          <w:rFonts w:ascii="Times New Roman" w:hAnsi="Times New Roman"/>
          <w:color w:val="000000" w:themeColor="text1"/>
          <w:sz w:val="16"/>
          <w:szCs w:val="16"/>
        </w:rPr>
        <w:noBreakHyphen/>
        <w:t>500) не выпустили ни одной авиабомбы, Воткинский вместо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выпустил всего лишь 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АФ</w:t>
      </w:r>
      <w:r w:rsidRPr="00E93F40">
        <w:rPr>
          <w:rFonts w:ascii="Times New Roman" w:hAnsi="Times New Roman"/>
          <w:color w:val="000000" w:themeColor="text1"/>
          <w:sz w:val="16"/>
          <w:szCs w:val="16"/>
        </w:rPr>
        <w:noBreakHyphen/>
        <w:t>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заводы Воткинский, «Коминтерн», Краматорский, «Мастяжарт», ММЗ (Абр</w:t>
      </w:r>
      <w:r w:rsidRPr="00E93F40">
        <w:rPr>
          <w:rFonts w:ascii="Times New Roman" w:hAnsi="Times New Roman"/>
          <w:color w:val="000000" w:themeColor="text1"/>
          <w:sz w:val="16"/>
          <w:szCs w:val="16"/>
        </w:rPr>
        <w:noBreakHyphen/>
        <w:t>1000) не выпустили ни одной авиабомбы, Коломенский вместо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выпустил 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АФ</w:t>
      </w:r>
      <w:r w:rsidRPr="00E93F40">
        <w:rPr>
          <w:rFonts w:ascii="Times New Roman" w:hAnsi="Times New Roman"/>
          <w:color w:val="000000" w:themeColor="text1"/>
          <w:sz w:val="16"/>
          <w:szCs w:val="16"/>
        </w:rPr>
        <w:noBreakHyphen/>
        <w:t>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завод «Мастяжарт» должен был по плану выпустить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не выпустил ни одной бомбы.</w:t>
      </w:r>
    </w:p>
    <w:p w14:paraId="2A354E46" w14:textId="3BCFAC38"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Необходимо отметить, что положение с выполнением программы по авиабомбам крупных калибров в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нисколько не улучшилось, а ухудшилось.</w:t>
      </w:r>
    </w:p>
    <w:p w14:paraId="5A088E9F"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Причины невыполнения программы</w:t>
      </w:r>
    </w:p>
    <w:p w14:paraId="155456A3"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причинами невыполнения программы по авиабомбам являются:</w:t>
      </w:r>
    </w:p>
    <w:p w14:paraId="5F8C5BC4" w14:textId="3199D652"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Отсутствие руководства по производству авиабомб со стороны ГВМУ, Снарядного треста и гражданских объединений и наличие организационной неразберихи.</w:t>
      </w:r>
    </w:p>
    <w:p w14:paraId="26A96305" w14:textId="21749CE4"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Отсутствие на заводах материалов: листовое железо от 2 до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стальное литье для головок АБ, кислорода, ацетилена и карбида для сварки.</w:t>
      </w:r>
    </w:p>
    <w:p w14:paraId="4B48711C" w14:textId="4DCAE25E"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Отсутствие необходимого оборудования: крупные токарные станки, вальцовки, ножницы, сварочные аппараты, компрессоры для обеспечения пневматики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w:t>
      </w:r>
    </w:p>
    <w:p w14:paraId="35282526" w14:textId="6F8C75B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Отсутствие должного внимания со стороны директоров заводов, которые, не считая производство авиабомб основным, как правило, выполнение заказов отодвигают к концу года. Это имело место по заводам: Коломенскому, Ст[арому] Краматорскому, Воткинскому, «Ростсельмашу» и ММЗ.</w:t>
      </w:r>
    </w:p>
    <w:p w14:paraId="602604CF" w14:textId="0B592665"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 освоение технологического процесса по крупным калибрам АБ ввиду его новизны, отсутствия разных типов потребного оборудования и квалифицированной рабсилы.</w:t>
      </w:r>
    </w:p>
    <w:p w14:paraId="2D936985" w14:textId="295FDE89"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Острый недостаток инженерно-технического персонала как на заводах (в цехах), так и в аппаратах объединений, так как подготовкой кадров по авиабомбостроению до сих пор никто не занимался.</w:t>
      </w:r>
    </w:p>
    <w:p w14:paraId="0B43D183"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Реконструкция заводов и новостройки</w:t>
      </w:r>
    </w:p>
    <w:p w14:paraId="43C938ED" w14:textId="2174700F"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Строительство Челябинского завода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78, предназначенного для производства снарядов и крупнокалиберных АБ</w:t>
      </w:r>
      <w:r w:rsidRPr="00E93F40">
        <w:rPr>
          <w:rFonts w:ascii="Times New Roman" w:hAnsi="Times New Roman"/>
          <w:color w:val="000000" w:themeColor="text1"/>
          <w:sz w:val="16"/>
          <w:szCs w:val="16"/>
        </w:rPr>
        <w:noBreakHyphen/>
        <w:t>500 и 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сорвано по причине затяжки Мосгипроспецметом проекта (в данное время перерабатывается), не выделения стройорганизации (строительство идет хозяйственным способом), недостатка на строительстве рабочих и ИТР и отсутствия транспорта. В тек[ущем]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должен был иметь 20</w:t>
      </w:r>
      <w:r w:rsidRPr="00E93F40">
        <w:rPr>
          <w:rFonts w:ascii="Times New Roman" w:hAnsi="Times New Roman"/>
          <w:color w:val="000000" w:themeColor="text1"/>
          <w:sz w:val="16"/>
          <w:szCs w:val="16"/>
        </w:rPr>
        <w:noBreakHyphen/>
        <w:t>30% мобготовности, а фактически на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сентября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не проведены даже подготовительные работы.</w:t>
      </w:r>
    </w:p>
    <w:p w14:paraId="1999A7A1" w14:textId="767A63AB"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Реконструкция завода «Коминтерн» сорвана по причине недоснабжения стройматериалами.</w:t>
      </w:r>
    </w:p>
    <w:p w14:paraId="36C08290" w14:textId="6E5E6785"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Реконструкция завода «Мастяжарт» ГВМУ Наркомтяжпрома и Гипроспецметом была признана нецелесообразной, так как требовала много средств и не хватало территории для подъездных путей.</w:t>
      </w:r>
    </w:p>
    <w:p w14:paraId="125D9533" w14:textId="0AD1C972"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Надо отметить, что реконструкция упомянутых заводов и строительство Челябинского завода затянуты были исключительно по вине ГВМУ, которое не принимало своевременных мер по подысканию объектов (заводов) для реконструкции и развертывания крупнокалиберных авиабомб.</w:t>
      </w:r>
    </w:p>
    <w:p w14:paraId="2B317290"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Мобготовность заводов</w:t>
      </w:r>
    </w:p>
    <w:p w14:paraId="2304B829" w14:textId="390B8725"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данное время ни один завод не имеет реальной мобготовности.</w:t>
      </w:r>
    </w:p>
    <w:p w14:paraId="0719B911" w14:textId="21E0E5ED"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Мобзадания ГВМУ в большинстве случаев выдавались без учета мощности и способностей заводов, мобзадание выдано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заводам, а текущие заказы размещены на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заводах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это говорит о том, что некоторые заводы, как-то: Лысьвенский, Воткинский и другие обязываются освоить технологический процесс по производству АБ, а мобзадания не имеют.</w:t>
      </w:r>
    </w:p>
    <w:p w14:paraId="00DD6F30" w14:textId="2516174E"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Основных кадровых заводов, подготовленных к массовому выпуску авиабомб крупных калибров в мобпериод, ГВМУ еще точно не выявлено, проработка в этом направлении не ведется.</w:t>
      </w:r>
    </w:p>
    <w:p w14:paraId="49FF25C8"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Снаряжение авиабомб</w:t>
      </w:r>
    </w:p>
    <w:p w14:paraId="5C593CFA" w14:textId="65C623DF"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со снаряжением авиабомб на заводах Военно-химического треста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дело обстоит еще хуже, чем с изготовлением корпусов АБ, по причине недостатка взрывчатых веществ, недополучения объектов снаряжения, отсутствия кондиционной пикриновой кислоты, несвоевременный ввод и неправильная постановка работы фильтров. За первое полугодие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заводами Военно-химического треста было снаряжено и выпущено: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27"/>
        <w:gridCol w:w="1549"/>
        <w:gridCol w:w="2546"/>
        <w:gridCol w:w="2700"/>
      </w:tblGrid>
      <w:tr w:rsidR="00DA227A" w:rsidRPr="00E93F40" w14:paraId="6D6D7EE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6852786" w14:textId="2BFA4CA1" w:rsidR="0094586B"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A1E51"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9CCB6"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F404D"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w:t>
            </w:r>
          </w:p>
          <w:p w14:paraId="6442B02C"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выполнения</w:t>
            </w:r>
          </w:p>
        </w:tc>
      </w:tr>
      <w:tr w:rsidR="00DA227A" w:rsidRPr="00E93F40" w14:paraId="5176818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CA9FB26"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 АФ-10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4A045" w14:textId="772C89E1"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54B22"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04FE9"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r>
      <w:tr w:rsidR="00DA227A" w:rsidRPr="00E93F40" w14:paraId="5F96A85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A53D064"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АФ-50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E5696" w14:textId="1259535B"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C6C30"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F7A61"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0,9</w:t>
            </w:r>
          </w:p>
        </w:tc>
      </w:tr>
      <w:tr w:rsidR="00DA227A" w:rsidRPr="00E93F40" w14:paraId="1C8BDA8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1C4E7ED"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 АФ-82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22C29" w14:textId="24BD2F7D"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52285"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A2B4B"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49,7</w:t>
            </w:r>
          </w:p>
        </w:tc>
      </w:tr>
      <w:tr w:rsidR="00DA227A" w:rsidRPr="00E93F40" w14:paraId="36238B4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C4A3CE3"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 АФ-250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EA8E2"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1A677"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FE32"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14,8</w:t>
            </w:r>
          </w:p>
        </w:tc>
      </w:tr>
      <w:tr w:rsidR="00DA227A" w:rsidRPr="00E93F40" w14:paraId="162EA15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CA2BE5F"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по АФ-500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DEFFE"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CC6EE"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6245"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1FAD20B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5EF9FBB"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по АФ-1000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F93B7"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29199"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86450"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35DCC59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FCCC32D" w14:textId="5A1C3324"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Батаньоля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8861C"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DEE89"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4DC1B"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r>
    </w:tbl>
    <w:p w14:paraId="7194D3CC" w14:textId="45EF0D1C"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Приведенные цифры выполнения плана со всей очевидностью говорят за полный прорыв программы первого полугодия, в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положение еще более ухудшилось.</w:t>
      </w:r>
    </w:p>
    <w:p w14:paraId="758E1DCF"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Выводы</w:t>
      </w:r>
    </w:p>
    <w:p w14:paraId="681A9332"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Анализируя все вышеизложенное, надо констатировать, что наша промышленность по авиабомбостроению далеко отстала от капиталистических государств, главным образом в области научно-исследовательских и опытно-экспериментальных работ.</w:t>
      </w:r>
    </w:p>
    <w:p w14:paraId="5E8DCEE3" w14:textId="7A1F4933"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имеющиеся значительные достижения по производству бомбардировочной авиации, последняя в данное время вооружением (авиабомбами) совершенно не обеспечена. Потребность в авиабомбах на год войны по мобварианту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 определена Штабом РККА в 175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правительством же утверждено только 102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 первые три месяца войны потребуется 57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из них 38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снаряженных авиабомб, ввиду наиболее усиленной работы авиации в этот период. Фактически же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УВВС имел снаряженных авиабомб только 6,5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17% потребности.</w:t>
      </w:r>
    </w:p>
    <w:p w14:paraId="0146BF9F" w14:textId="0873AAFE"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Производственные возможности промышленности позволяют рассчитывать на получение в мобзапасе вместе с ранее изготовленными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против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определенных РВС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в качестве минимума, и против 57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действительной потребности. Исходя из этого, мобзапасы авиабомб малых и средних калибров обеспечивают потребность в них не более, как первый месяц войны, наличие авиабомб крупных калибров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500 и 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обеспечивает в данное время авиацию только на один вылет.</w:t>
      </w:r>
    </w:p>
    <w:p w14:paraId="1231F27C" w14:textId="624C4F04"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Таким образом, если в отношении бомбостроения не будут приняты срочные меры, наша бомбардировочная авиация окажется ослабленной в первый же период войны, тем более что часть авиабомб, имеющихся в запасе (изготовления старых годов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1923</w:t>
      </w:r>
      <w:r w:rsidRPr="00E93F40">
        <w:rPr>
          <w:rFonts w:ascii="Times New Roman" w:hAnsi="Times New Roman"/>
          <w:color w:val="000000" w:themeColor="text1"/>
          <w:sz w:val="16"/>
          <w:szCs w:val="16"/>
        </w:rPr>
        <w:noBreakHyphen/>
        <w:t>1927) является негодной для боевого использования по своим качествам.</w:t>
      </w:r>
    </w:p>
    <w:p w14:paraId="2130299C"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Предложения</w:t>
      </w:r>
    </w:p>
    <w:p w14:paraId="4FB90B3E" w14:textId="65F8DE02"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В целях полного обеспечения бомбардировочной авиации в мобпериод вооружением (авиабомбами) надо немедленно (теперь</w:t>
      </w:r>
      <w:r w:rsidR="007C1411" w:rsidRPr="00E93F40">
        <w:rPr>
          <w:color w:val="000000" w:themeColor="text1"/>
          <w:sz w:val="16"/>
          <w:szCs w:val="16"/>
        </w:rPr>
        <w:t xml:space="preserve"> </w:t>
      </w:r>
      <w:r w:rsidRPr="00E93F40">
        <w:rPr>
          <w:color w:val="000000" w:themeColor="text1"/>
          <w:sz w:val="16"/>
          <w:szCs w:val="16"/>
        </w:rPr>
        <w:t>же) приступить к правильной организации авиабомбостроения, для чего провести следующие мероприятия:</w:t>
      </w:r>
    </w:p>
    <w:p w14:paraId="08F1293F" w14:textId="6D90F313"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Обязать ГВМУ Наркомтяжа совместно с АУ</w:t>
      </w:r>
      <w:r w:rsidR="007C1411" w:rsidRPr="00E93F40">
        <w:rPr>
          <w:color w:val="000000" w:themeColor="text1"/>
          <w:sz w:val="16"/>
          <w:szCs w:val="16"/>
        </w:rPr>
        <w:t xml:space="preserve"> </w:t>
      </w:r>
      <w:r w:rsidRPr="00E93F40">
        <w:rPr>
          <w:color w:val="000000" w:themeColor="text1"/>
          <w:sz w:val="16"/>
          <w:szCs w:val="16"/>
        </w:rPr>
        <w:t>РККА срочно проработать вопрос о создании самостоятельной организации, которая бы обеспечивала реальное производственно-техническое и оперативно-административное руководство всем авиабомбостроением и мобподготовкой заводов.</w:t>
      </w:r>
    </w:p>
    <w:p w14:paraId="26C81E45" w14:textId="2066E72F"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Организовать научно-исследовательский институт по авиабомбостроению, возложив на него всю экспериментально-теоретическую работу и руководство в этой области научно-исследовательскими учреждениями и лабораториями СССР.</w:t>
      </w:r>
    </w:p>
    <w:p w14:paraId="663E0260" w14:textId="221D54CB"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В составе вновь созданной организации организовать конструкторское бюро союзного значения, возложив на него руководство работами и консультацию конструкторского бюро на предприятиях.</w:t>
      </w:r>
    </w:p>
    <w:p w14:paraId="73EDF763" w14:textId="7EC03838"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На более крупных заводах, занятых бомбостроением, организовать самостоятельные конструкторские бюро, на обязанность которых возложить конструктивные работы по усовершенствованию существующих систем.</w:t>
      </w:r>
    </w:p>
    <w:p w14:paraId="0B387AFE" w14:textId="51BBBE5E"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Форсировать реконструкцию заводов «Коминтерн» и «Мастяжарт» в плоскости организации на них авиабомбостроения крупных калибров.</w:t>
      </w:r>
    </w:p>
    <w:p w14:paraId="10D316A7" w14:textId="003A3906"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Оборудовать полигон завода «Мастяжарт», обеспечив последний летными автомобильным транспортом, необходимым для своевременного подвоза и испытания опытных авиабомб.</w:t>
      </w:r>
    </w:p>
    <w:p w14:paraId="0D18B6E0" w14:textId="216AD94E"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7.</w:t>
      </w:r>
      <w:r w:rsidR="007C1411" w:rsidRPr="00E93F40">
        <w:rPr>
          <w:color w:val="000000" w:themeColor="text1"/>
          <w:sz w:val="16"/>
          <w:szCs w:val="16"/>
        </w:rPr>
        <w:t xml:space="preserve"> </w:t>
      </w:r>
      <w:r w:rsidRPr="00E93F40">
        <w:rPr>
          <w:color w:val="000000" w:themeColor="text1"/>
          <w:sz w:val="16"/>
          <w:szCs w:val="16"/>
        </w:rPr>
        <w:t>Обязать отдел кадров Наркомтяжа СССР обеспечить основные предприятия, занятые авиабомбостроением, специалистами и квалифицированной рабочей силой путем переброски из гражданской промышленности и подготовки таковых в высших учебных заведениях и школах ФЗУ.</w:t>
      </w:r>
    </w:p>
    <w:p w14:paraId="082C5751" w14:textId="1C3742AC"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8.</w:t>
      </w:r>
      <w:r w:rsidR="007C1411" w:rsidRPr="00E93F40">
        <w:rPr>
          <w:color w:val="000000" w:themeColor="text1"/>
          <w:sz w:val="16"/>
          <w:szCs w:val="16"/>
        </w:rPr>
        <w:t xml:space="preserve"> </w:t>
      </w:r>
      <w:r w:rsidRPr="00E93F40">
        <w:rPr>
          <w:color w:val="000000" w:themeColor="text1"/>
          <w:sz w:val="16"/>
          <w:szCs w:val="16"/>
        </w:rPr>
        <w:t>В составе Военно-технической академии организовать факультет или отделение по авиабомбостроению, прикрепив к ней с помощью курса артиллерийского факультета несколько товарищей для подготовки их в качестве преподавателей.</w:t>
      </w:r>
    </w:p>
    <w:p w14:paraId="281E6AC9" w14:textId="77777777" w:rsidR="0094586B" w:rsidRPr="00E93F40" w:rsidRDefault="0094586B"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Начальник ЭКУ ОГПУ </w:t>
      </w:r>
      <w:hyperlink r:id="rId215" w:history="1">
        <w:r w:rsidRPr="00E93F40">
          <w:rPr>
            <w:rStyle w:val="af0"/>
            <w:i w:val="0"/>
            <w:color w:val="000000" w:themeColor="text1"/>
            <w:sz w:val="16"/>
            <w:szCs w:val="16"/>
          </w:rPr>
          <w:t>Миронов</w:t>
        </w:r>
      </w:hyperlink>
    </w:p>
    <w:p w14:paraId="31F368E0" w14:textId="5F2A56F1" w:rsidR="0094586B" w:rsidRPr="00E93F40" w:rsidRDefault="0094586B" w:rsidP="00E93F40">
      <w:pPr>
        <w:pStyle w:val="ae"/>
        <w:spacing w:before="0" w:after="0"/>
        <w:jc w:val="both"/>
        <w:rPr>
          <w:color w:val="000000" w:themeColor="text1"/>
          <w:sz w:val="16"/>
          <w:szCs w:val="16"/>
        </w:rPr>
      </w:pPr>
      <w:r w:rsidRPr="00E93F40">
        <w:rPr>
          <w:rStyle w:val="af0"/>
          <w:i w:val="0"/>
          <w:color w:val="000000" w:themeColor="text1"/>
          <w:sz w:val="16"/>
          <w:szCs w:val="16"/>
        </w:rPr>
        <w:t>Помощник начальника 3</w:t>
      </w:r>
      <w:r w:rsidR="007C1411" w:rsidRPr="00E93F40">
        <w:rPr>
          <w:rStyle w:val="af0"/>
          <w:i w:val="0"/>
          <w:color w:val="000000" w:themeColor="text1"/>
          <w:sz w:val="16"/>
          <w:szCs w:val="16"/>
        </w:rPr>
        <w:t xml:space="preserve"> </w:t>
      </w:r>
      <w:r w:rsidRPr="00E93F40">
        <w:rPr>
          <w:rStyle w:val="af0"/>
          <w:i w:val="0"/>
          <w:color w:val="000000" w:themeColor="text1"/>
          <w:sz w:val="16"/>
          <w:szCs w:val="16"/>
        </w:rPr>
        <w:t>отделения Остащенко</w:t>
      </w:r>
    </w:p>
    <w:p w14:paraId="620B3AA1" w14:textId="77777777" w:rsidR="0094586B" w:rsidRPr="00E93F40" w:rsidRDefault="0094586B"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63D529D9" w14:textId="688C7DFC" w:rsidR="0094586B" w:rsidRPr="00E93F40" w:rsidRDefault="0094586B" w:rsidP="00E93F40">
      <w:pPr>
        <w:pStyle w:val="ae"/>
        <w:spacing w:before="0" w:after="0"/>
        <w:jc w:val="both"/>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Датируется по содержанию.</w:t>
      </w:r>
    </w:p>
    <w:p w14:paraId="03B3513D" w14:textId="1B0A3054" w:rsidR="0094586B" w:rsidRPr="00E93F40" w:rsidRDefault="0094586B" w:rsidP="00E93F40">
      <w:pPr>
        <w:pStyle w:val="ae"/>
        <w:spacing w:before="0" w:after="0"/>
        <w:jc w:val="both"/>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 раздел</w:t>
      </w:r>
      <w:r w:rsidR="007C1411" w:rsidRPr="00E93F40">
        <w:rPr>
          <w:color w:val="000000" w:themeColor="text1"/>
          <w:sz w:val="16"/>
          <w:szCs w:val="16"/>
        </w:rPr>
        <w:t xml:space="preserve"> </w:t>
      </w:r>
      <w:r w:rsidRPr="00E93F40">
        <w:rPr>
          <w:color w:val="000000" w:themeColor="text1"/>
          <w:sz w:val="16"/>
          <w:szCs w:val="16"/>
        </w:rPr>
        <w:t>1. «Авиабомбостроение за границей».</w:t>
      </w:r>
    </w:p>
    <w:p w14:paraId="114037C0" w14:textId="77777777" w:rsidR="0094586B" w:rsidRPr="00E93F40" w:rsidRDefault="0094586B" w:rsidP="00E93F40">
      <w:pPr>
        <w:pStyle w:val="ae"/>
        <w:spacing w:before="0" w:after="0"/>
        <w:jc w:val="both"/>
        <w:rPr>
          <w:color w:val="000000" w:themeColor="text1"/>
          <w:sz w:val="16"/>
          <w:szCs w:val="16"/>
        </w:rPr>
      </w:pPr>
      <w:r w:rsidRPr="00E93F40">
        <w:rPr>
          <w:color w:val="000000" w:themeColor="text1"/>
          <w:sz w:val="16"/>
          <w:szCs w:val="16"/>
        </w:rPr>
        <w:t>ГА РФ. Ф. Р-8418. Оп. 6. Д. 35. Л. 22—31. Копия.</w:t>
      </w:r>
    </w:p>
    <w:p w14:paraId="67A78921" w14:textId="4817AF5F"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35. Л. 22—31. Копия. </w:t>
      </w:r>
    </w:p>
    <w:p w14:paraId="2144A2AA" w14:textId="21AD2B9C"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707-712 (12570).</w:t>
      </w:r>
    </w:p>
    <w:p w14:paraId="612107E8" w14:textId="77777777" w:rsidR="0094586B" w:rsidRPr="00E93F40" w:rsidRDefault="0094586B" w:rsidP="00E93F40">
      <w:pPr>
        <w:spacing w:after="0" w:line="240" w:lineRule="auto"/>
        <w:jc w:val="both"/>
        <w:rPr>
          <w:rFonts w:ascii="Times New Roman" w:hAnsi="Times New Roman"/>
          <w:color w:val="000000" w:themeColor="text1"/>
          <w:sz w:val="16"/>
          <w:szCs w:val="16"/>
        </w:rPr>
      </w:pPr>
    </w:p>
    <w:p w14:paraId="4B3939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сентября 1932 Алексеев на ДВ СССР-Н2 вывез экипаж аварийной машины в Игарку, где 10 дней ждали новый мотор, доставленный пароходом из Красноярска. Из экономии моторесурса, необходимого для перелета в Севастополь на капитальный ремонт, полетов в это время не производили. 26 сентября СССР-Н2 доставил на место аварии мотор Jumo L-5 со снятыми цилиндрами (в собранном виде он не помещался в грузовую кабину) и экипаж СССР-Н4. 28 сентября, оказав помощь при установке мотора, СССР-Н2 вернулся в Игарку, откуда начался перелет в Севастополь для проведения ремонта. Всего с июня по октябрь 1932 г. машина за 77 полетов налетала 225 час 8 минут, из них 74 часа 7 минут до замены моторов в июле (11970).</w:t>
      </w:r>
    </w:p>
    <w:p w14:paraId="6D583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9C119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75BED1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A2F1A8" w14:textId="7BB15019"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сентября 1932 г. бывший комбинат № 2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Троцк,</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Чапаевск Куйбышевской, Самарской обл. п/я 2 (1930 г.)/ /446102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Чапаевск Самарской обл. ул. Орджоникидзе, 1/) был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521D8841" w14:textId="2336709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52011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0EF82C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3455 от 31.05.1943 г. заводу выделено 500 чел. военнообязанных для работы с ОВ.</w:t>
      </w:r>
    </w:p>
    <w:p w14:paraId="61DFC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60F65A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65FD1BF4" w14:textId="4011013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Впоследствии назывался Чапаевский завод химических удобрений, в 1990-е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переименован в Средневолжский завод химикатов (СВЗХ).</w:t>
      </w:r>
    </w:p>
    <w:p w14:paraId="3A265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6B016C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30B0C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(1942 г.)- 1840 чел., (1943 г.)- 2420 чел., (1944 г.)- 2450 чел.</w:t>
      </w:r>
    </w:p>
    <w:p w14:paraId="091C22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1772B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Помощник директора по найму и увольнению (06.1937 г.)- П.С. Брандес.</w:t>
      </w:r>
    </w:p>
    <w:p w14:paraId="2763D368" w14:textId="2F4A977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(1934-; 19.06.1937-31.12.1938; -1941 г.)- Я.П. Чопоров; и.о. (31.12.1938 г.-)- В.В. Ярыгин; (1942- 45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Г.Ф. Нехорошее.</w:t>
      </w:r>
      <w:r w:rsidRPr="00E93F40">
        <w:rPr>
          <w:rFonts w:ascii="Times New Roman" w:hAnsi="Times New Roman"/>
          <w:color w:val="000000" w:themeColor="text1"/>
          <w:sz w:val="16"/>
          <w:szCs w:val="16"/>
          <w:vertAlign w:val="superscript"/>
        </w:rPr>
        <w:t>71</w:t>
      </w:r>
    </w:p>
    <w:p w14:paraId="3BB20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авиабомбы ФАБ-100КД (1942) (11982).</w:t>
      </w:r>
    </w:p>
    <w:p w14:paraId="3799A046" w14:textId="77777777" w:rsidR="00C33B7E" w:rsidRPr="00E93F40" w:rsidRDefault="00C33B7E" w:rsidP="00E93F40">
      <w:pPr>
        <w:spacing w:after="0" w:line="240" w:lineRule="auto"/>
        <w:jc w:val="both"/>
        <w:rPr>
          <w:rFonts w:ascii="Times New Roman" w:hAnsi="Times New Roman"/>
          <w:color w:val="000000" w:themeColor="text1"/>
          <w:sz w:val="16"/>
          <w:szCs w:val="16"/>
        </w:rPr>
      </w:pPr>
    </w:p>
    <w:p w14:paraId="1BA67519"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сентября 1932 вступила в эксплуатацию железнодорожная ветка Бокситогорск – Большой двор (18 км), которая использовалась в дальнейшем для вывоза продукции Тихвинского (ныне Бокситогорского) глиноземного завода в Ленинградской области (12245).</w:t>
      </w:r>
    </w:p>
    <w:p w14:paraId="5BE7077D" w14:textId="77777777" w:rsidR="0094586B" w:rsidRPr="00E93F40" w:rsidRDefault="0094586B" w:rsidP="00E93F40">
      <w:pPr>
        <w:spacing w:after="0" w:line="240" w:lineRule="auto"/>
        <w:jc w:val="both"/>
        <w:rPr>
          <w:rFonts w:ascii="Times New Roman" w:hAnsi="Times New Roman"/>
          <w:color w:val="000000" w:themeColor="text1"/>
          <w:sz w:val="16"/>
          <w:szCs w:val="16"/>
        </w:rPr>
      </w:pPr>
    </w:p>
    <w:p w14:paraId="4917243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7D5621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0200B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сентября 1932 в Испании был принят аграрный закон, который предусматривал экспроприацию крупных поместий (3481).</w:t>
      </w:r>
    </w:p>
    <w:p w14:paraId="185F77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7BF995" w14:textId="77777777" w:rsidR="00C82736" w:rsidRPr="00E93F40" w:rsidRDefault="00C82736" w:rsidP="00E93F40">
      <w:pPr>
        <w:spacing w:after="0" w:line="240" w:lineRule="auto"/>
        <w:jc w:val="both"/>
        <w:rPr>
          <w:rFonts w:ascii="Times New Roman" w:hAnsi="Times New Roman"/>
          <w:color w:val="000000" w:themeColor="text1"/>
          <w:sz w:val="16"/>
          <w:szCs w:val="16"/>
        </w:rPr>
      </w:pPr>
      <w:r w:rsidRPr="00E93F40">
        <w:rPr>
          <w:rFonts w:ascii="Times New Roman" w:eastAsiaTheme="minorHAnsi" w:hAnsi="Times New Roman"/>
          <w:color w:val="000000" w:themeColor="text1"/>
          <w:sz w:val="16"/>
          <w:szCs w:val="16"/>
        </w:rPr>
        <w:t>15 сентября</w:t>
      </w:r>
      <w:r w:rsidRPr="00E93F40">
        <w:rPr>
          <w:rFonts w:ascii="Times New Roman" w:hAnsi="Times New Roman"/>
          <w:color w:val="000000" w:themeColor="text1"/>
          <w:sz w:val="16"/>
          <w:szCs w:val="16"/>
        </w:rPr>
        <w:t xml:space="preserve"> в 1932 году в Испании принимается аграрный закон, который предусматривает экспроприацию крупных поместий. Проведение этой акции поручается Институту аграрной реформы (14770).</w:t>
      </w:r>
    </w:p>
    <w:p w14:paraId="2C228A2B" w14:textId="77777777" w:rsidR="00C82736" w:rsidRPr="00E93F40" w:rsidRDefault="00C82736" w:rsidP="00E93F40">
      <w:pPr>
        <w:spacing w:after="0" w:line="240" w:lineRule="auto"/>
        <w:jc w:val="both"/>
        <w:rPr>
          <w:rFonts w:ascii="Times New Roman" w:hAnsi="Times New Roman"/>
          <w:color w:val="000000" w:themeColor="text1"/>
          <w:sz w:val="16"/>
          <w:szCs w:val="16"/>
        </w:rPr>
      </w:pPr>
    </w:p>
    <w:p w14:paraId="441B609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954AFC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0E877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середине сентября 1932 был подготовлен Акт:</w:t>
      </w:r>
    </w:p>
    <w:p w14:paraId="2136AC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 сентября 1932 г. Комиссия, назначенная Начальником ВВС РККА, в составе: и НИИ ВВС Н.А.Жемчужина, и ЦАГИ Сенькова и и НИИ ГУГВФ В.И.Невдачина в период 7-14 сентября с.г. обследовала состояние работ по проектированию и постройке с-та К-7</w:t>
      </w:r>
    </w:p>
    <w:p w14:paraId="497272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Задачи, поставленные Комиссии:</w:t>
      </w:r>
    </w:p>
    <w:p w14:paraId="46A1F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Выяснить готовнорсть проекта, степень его разработки и качества выполнения</w:t>
      </w:r>
    </w:p>
    <w:p w14:paraId="4FCD7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Выяснить состояние подготовительных работ: готовность стелажей, приспособлений и пр.</w:t>
      </w:r>
    </w:p>
    <w:p w14:paraId="196F6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Выяснить состояние производимых работ по изготовлению с-та</w:t>
      </w:r>
    </w:p>
    <w:p w14:paraId="6141C6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Обеспеченность производства материалами, рабсилой, специальным оборудованием и т.д.</w:t>
      </w:r>
    </w:p>
    <w:p w14:paraId="336575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Объемы и качество произведенных лабораторных исследований по сварке хромо-молибденовых труб</w:t>
      </w:r>
    </w:p>
    <w:p w14:paraId="565A6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Выяснить причины, вызвавшие задержку в постройке с-та и причины, могущие тормозить постройку с-та в дальнейшем</w:t>
      </w:r>
    </w:p>
    <w:p w14:paraId="64E86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дать оценку общего состояния работ по К-7 и оценку этого с-та с тактической, эксплуатационной и производственной точек зрения.</w:t>
      </w:r>
    </w:p>
    <w:p w14:paraId="427138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Состояние работ по К-7</w:t>
      </w:r>
    </w:p>
    <w:p w14:paraId="0C8D1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плану работ проектной части весь проект с-та К-7 должен был быть закончен к 1 октября с.г.</w:t>
      </w:r>
    </w:p>
    <w:p w14:paraId="1B73C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10 сентября проект исполнен в детальных чертежах на 95%. Аэродинамический расчет и расчеты прочности закончены полностьтью.</w:t>
      </w:r>
    </w:p>
    <w:p w14:paraId="4340C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материал находится в сброшюрованном виде в надлежащем порядке. Все чертежи имеют подсчет весов деталей. Составлен проектный журнал веса.</w:t>
      </w:r>
    </w:p>
    <w:p w14:paraId="282D66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Состояние подготовительных работ выражается в 80% общего объема работ</w:t>
      </w:r>
    </w:p>
    <w:p w14:paraId="70D226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Закончены:</w:t>
      </w:r>
    </w:p>
    <w:p w14:paraId="492C3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специальное здание для сборки с-та</w:t>
      </w:r>
    </w:p>
    <w:p w14:paraId="41788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подготовлен и собран пъедестальный стапель, на котором будет производится сборка всего с-та (фото)</w:t>
      </w:r>
    </w:p>
    <w:p w14:paraId="47E32C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изготовлены и построены стапели и планы для открылка консоли крыла (фото), рубки (фото), хвостовых ферм, моторных установок, нервюр центроплана и т.д. (фото)</w:t>
      </w:r>
    </w:p>
    <w:p w14:paraId="712B94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полностью изготовлены и приспособлены для установки труб при сборке в тспелях.</w:t>
      </w:r>
    </w:p>
    <w:p w14:paraId="2FF3BD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изготовлены специальные метчики для шарнирных узлов и другой инструмент</w:t>
      </w:r>
    </w:p>
    <w:p w14:paraId="34BC1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изготовлены шаблоны и приспособления для бензиновых и маслягых баков</w:t>
      </w:r>
    </w:p>
    <w:p w14:paraId="2F88F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w:t>
      </w:r>
    </w:p>
    <w:p w14:paraId="354DFE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Состояние задела на 10 сентября было следующее:</w:t>
      </w:r>
    </w:p>
    <w:p w14:paraId="0C2934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 механическом цеху выполнялись работы по ручному управлению, узлам соединений, шасси и пр.</w:t>
      </w:r>
    </w:p>
    <w:p w14:paraId="23C9B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 дюралевом цехе изготавливались бензиновые и масляные баки, сидения, окна и т.п.</w:t>
      </w:r>
    </w:p>
    <w:p w14:paraId="0D90C2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 монтаэно-сварочном цеху изготовлялись:</w:t>
      </w:r>
    </w:p>
    <w:p w14:paraId="05740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рубка (для статиспытаний и летного экземпляра) (фото),</w:t>
      </w:r>
    </w:p>
    <w:p w14:paraId="4EEE5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хвостовая фирма - 2 шт (фото)</w:t>
      </w:r>
    </w:p>
    <w:p w14:paraId="28A6AF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нервюры центроплана и консоли крыла (фото)</w:t>
      </w:r>
    </w:p>
    <w:p w14:paraId="1D94E9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лонжероны консольной части крыда (фото)</w:t>
      </w:r>
    </w:p>
    <w:p w14:paraId="74C10F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производилась сборка консольной части крыла (фото)</w:t>
      </w:r>
    </w:p>
    <w:p w14:paraId="2D71F5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моторная рама для статиспытаний</w:t>
      </w:r>
    </w:p>
    <w:p w14:paraId="07DC1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Общее впечатление, что работа по постройке интенсивно развертывается. Выполнение на 10 сентября составляет примерно 5-10% всего объема.</w:t>
      </w:r>
    </w:p>
    <w:p w14:paraId="20FF5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Обеспеченность производства материалом, рабсилой, оборудованием и пр.</w:t>
      </w:r>
    </w:p>
    <w:p w14:paraId="7F883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годовым промфинпланом средства на работы по К-7 предусмотрены</w:t>
      </w:r>
    </w:p>
    <w:p w14:paraId="26EC9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Заявки на материалы разосланы поставщикам. Основным материалом - хромомолибденовыми трубами завод обеспечен на 80%, но в силу некомплектности обеспеченность снижается на 50%.</w:t>
      </w:r>
    </w:p>
    <w:p w14:paraId="5DC91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Недостающие размеры труб начали поступать отдельными партиями из Днепропетровска. Листовым и прутковым хромомолибденовым материалом завод обеспечен до 50%. Недостающее количество продвигается на других заводах. Ощущается недостаток в цветных трубах.</w:t>
      </w:r>
    </w:p>
    <w:p w14:paraId="05FCD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моторов М-34 и приборов завод еще не получил. Заявки даны полностью. На заводе нет даже макетного мотора.</w:t>
      </w:r>
    </w:p>
    <w:p w14:paraId="4F1A3A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спецоборудование на заводе тоже отсутствует, несмотря на сравнительно давно данную заявку (за оборудованием выехал специальный человек в Москву)</w:t>
      </w:r>
    </w:p>
    <w:p w14:paraId="3C3DD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Внешние заказы на предметы, не могущие быть изготовленными на Гросе, размещаются на других заводах и частично приняты к исполнению.</w:t>
      </w:r>
    </w:p>
    <w:p w14:paraId="2A8FCC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Объем и качество произведенных лабораторных исследований.</w:t>
      </w:r>
    </w:p>
    <w:p w14:paraId="69AF9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Произведено большое количество испытаний хромомолибденовых труб, как обычных нормализованных, так и закаленных.</w:t>
      </w:r>
    </w:p>
    <w:p w14:paraId="1167F9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Опыты показали, что принятые заводские коэффициенты прочности цесс нормалтзации и закалки заводом освоен.</w:t>
      </w:r>
    </w:p>
    <w:p w14:paraId="5CDD0C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Произведены исследования различных способов сварки хромомолибденовых труб и сталей...</w:t>
      </w:r>
    </w:p>
    <w:p w14:paraId="27237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литературе описания опытов У2 и получила удовлетворительные результаты.</w:t>
      </w:r>
    </w:p>
    <w:p w14:paraId="162B25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Произведенные испытания на вибрацию и статическую нагрузку моторной рамы (фото) и узлов крепления лонжеронов плоскостей (фото). Данные испытания вполне подтвердили расчеты, сделанные на основе лабораторных испытаний труб и сварки. К отъезду комиссии было приступлено к статическим испытаниям рубки.</w:t>
      </w:r>
    </w:p>
    <w:p w14:paraId="1046A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Причины задержки изготовления К-7 и производства работ.</w:t>
      </w:r>
    </w:p>
    <w:p w14:paraId="02701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Несколько раз работы снимались с проектирования вышестоящими организациями и люди переключались на другие работы, например, переброска всего коллектива на эталон К-5 в 1931 г и в 1932 г.</w:t>
      </w:r>
    </w:p>
    <w:p w14:paraId="22418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Гросом был пересмотрен первый пятилонжеронный вариант (фото) и после изготовления опытного отсека крыла (фото) проект был оставлен и самолет вновь был полностью спроектирован в настоящем виде (трехлондеронное крыло, 7 моторов, военный вариант).</w:t>
      </w:r>
    </w:p>
    <w:p w14:paraId="4799EB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объективных причин на невыполнение с-та не имеется. Все данные говорят за то, что с-т в производстве выполним и обеспечен достаточно квалифицированными кадрами ИТР. Настроение во всем заводском коллективе боевое и работа ведется довольно приличными темпами. Чувствуется недостаток рабочей чилы. Завод предполагает для постройки К-7 снять часть рабсилы с серийной постройки. Дирекция считает, что К-7 выйдет на аэродром к маю месяцу. Учитывая возможность задержки с полученим моторов, спецоборудования и задержки со стороны других заводов, выполняющих некоторые детали самолета, скрок 1 мая вряд ли будет достигнут. Можно предполагать, что к этому времени при сильном нажиме с-т может выйти, но не в боевом виде.</w:t>
      </w:r>
    </w:p>
    <w:p w14:paraId="76F0A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Общая оценка состояния работ по К-7</w:t>
      </w:r>
    </w:p>
    <w:p w14:paraId="086BDA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Подготовительные работы приближаются к концу (см. П. 2). Объемы олабораторных работ обеспечивают развертывание производства без особых задержек.</w:t>
      </w:r>
    </w:p>
    <w:p w14:paraId="2CB13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обеспеченности материалами, оборудованием и рабсилой к началу развертывания производства удовлетворительное.</w:t>
      </w:r>
    </w:p>
    <w:p w14:paraId="261758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Производственные работы развертываются энергично по всем данным. Коллектив завода настроен по боевому.</w:t>
      </w:r>
    </w:p>
    <w:p w14:paraId="68A41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Оценка самолета с конструктивной, тактической и производственной стороны.</w:t>
      </w:r>
    </w:p>
    <w:p w14:paraId="7A1E08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конструктивной и производственной стороны с-т К-7 не имеет трудно выполнимых или сложных деталей. Конструкция имеет ряд новых оригинальных моментов. К числу их относятся:</w:t>
      </w:r>
    </w:p>
    <w:p w14:paraId="6D3F1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шасси, построенное по принципу старых Вуазенов (стоянка в лении полета), что сильно разгружаем, а, следовательнос, снижает вес с-та.</w:t>
      </w:r>
    </w:p>
    <w:p w14:paraId="29606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стрелковые установки на концах гондолы шасси</w:t>
      </w:r>
    </w:p>
    <w:p w14:paraId="719EB8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размещение всех грузов в крыле</w:t>
      </w:r>
    </w:p>
    <w:p w14:paraId="711FE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оригинальное устройство всех узловых шарниров и соединений лонжеронов</w:t>
      </w:r>
    </w:p>
    <w:p w14:paraId="6FD0BC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....крылышками Флетнера</w:t>
      </w:r>
    </w:p>
    <w:p w14:paraId="35D2D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устройство опорожнения в полете баков</w:t>
      </w:r>
    </w:p>
    <w:p w14:paraId="7513B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системы питания, допускающие питание мотора от приводов другого мотора на случай отказа помп первого</w:t>
      </w:r>
    </w:p>
    <w:p w14:paraId="10E30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снабжение с-та тормозными колесами типа Гидиер и масляными амортизаторами</w:t>
      </w:r>
    </w:p>
    <w:p w14:paraId="701B1E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устройство управляемого в полете киля</w:t>
      </w:r>
    </w:p>
    <w:p w14:paraId="5B70C8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электрофицированное сообщение пулеметных гнезд на концаз фюзеляжа с центральной частью (двигаемая электромоторами платформочка)</w:t>
      </w:r>
    </w:p>
    <w:p w14:paraId="10B80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возможность подхода к моторам в полете, вплоть до возможности в воздухе заменить любые свечи</w:t>
      </w:r>
    </w:p>
    <w:p w14:paraId="7EC80F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производственной стороны конструкция К-7 представляет большой интерес в смысле применения хромомолибденовых труб.</w:t>
      </w:r>
    </w:p>
    <w:p w14:paraId="5BF7D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Производственные процессы не сложны и не требуют особой квалификации рабочих. Сварная конструкция чрезвычайно облегчает возможность ремонта.</w:t>
      </w:r>
    </w:p>
    <w:p w14:paraId="4DD2C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тактической стороны представляет интерес, ибо с-т снабжен тремя пушечными установками и имеет полный дублированный сферический обстрел. Радиус действия, бомбовая нагрузка и специальное оборудование, по предварительным расчетам, обеспечивают выполнение предъявленных заводу ТТ.</w:t>
      </w:r>
    </w:p>
    <w:p w14:paraId="2AE35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Заключение</w:t>
      </w:r>
    </w:p>
    <w:p w14:paraId="6FE60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Состояние проектных и производственных работ показывает, что к изготовлению К-7 Грос, закончив предварительные подготовительные работы, приступил вплотную. Работы разворачиваются хорошими темпами, но все же можно ожидать, что с-т к 1 мая на аэродром в полной боевой готовности вряд ли выйдет. Более реальный срок - 1 июля 1933 г.</w:t>
      </w:r>
    </w:p>
    <w:p w14:paraId="67CEE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Обеспеченность работ материалами, рабсилой, оборудованием подтверждает вышеуказанное.</w:t>
      </w:r>
    </w:p>
    <w:p w14:paraId="076073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К-7 по своей конструкции, вне зависимости от летных данных от него ожидаемых, представляет крупный шаг вперед в с самолетостроении, ибо свои появлением разрешает проблемы внедрения в Советском самолетостроении сварных конструкций из хромомсолибденовых труб, в особенности для тяжелых с-тов.</w:t>
      </w:r>
    </w:p>
    <w:p w14:paraId="1A3E05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данного с-та явилась стимулом и фактически позволила освоить и наладить в Советском союзе промышленное изготовление хромомолибденовых труб и освоить технологические процессы при выполнении конструкций из них. Внесение в конструкцию с-та целого ряда новых моментов и перечисленных выше и вышеизложенных соображений, делают с-т К-7 одним из интереснейших опытных с-тов (2306,45).</w:t>
      </w:r>
    </w:p>
    <w:p w14:paraId="5862D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CD972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12C2C3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6A87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г. Алкснис отдал своим подчиненным распоряжение: "Предусмотреть заказ не менее 25 самолетов на поплавках в 1932 г. в общем числе Р-5". Но ни одного серийного Р-5а в том году выпущено не было.</w:t>
      </w:r>
    </w:p>
    <w:p w14:paraId="39095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Москве проанализировали полученные результаты госиспытаний Р-5а в Севастополе в январе-апреле 1932 и составили список дефектов, которые надлежало устранить на серийных машинах. Но возник вопрос: кто должен их устранять? Серийный завод № I заявлял, что это не его дело, он должен получить комплект чертежей и окончательный образец-эталон. Появилось предложение купить партию металлических поплавков за границей, но о нем быстро забыли - с валютой всегда было трудновато.</w:t>
      </w:r>
    </w:p>
    <w:p w14:paraId="35B6C6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Конструкторы попади под новый этап реорганизаций. Их переводили из ЦКБ в ЦАГИ и обратно. Наконец, в феврале 1933 г. приняли своеобразное решение: доработку поплавков поручить НАГИ, а все остальное - заводу № 39 (то есть ЦКБ). В качестве эталона хотели использовать опытный образец, доработав его.</w:t>
      </w:r>
    </w:p>
    <w:p w14:paraId="3FF32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предполагалось изготовить уже 50 поплавковых машин. Производство намеревались организовывать следующим образом. Сами самолеты и раму под поплавки делают в Москве. Все узлы, отличающиеся от сухопутного варианта, производятся отдельным цехом, чтобы не мешать массовому выпуску. Поплавки изготавливает завод № 45 в Севастополе. Он же комплектует все специфическое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6EB0B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выпуск Р-5а наладили только в конце года. Головная машина № 6763 проходила государственные 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w:t>
      </w:r>
    </w:p>
    <w:p w14:paraId="0C5AF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Серийные поплавковые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 (между центропланом и фюзеляжем).</w:t>
      </w:r>
    </w:p>
    <w:p w14:paraId="189F7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машинах ставился фотоаппарат Поттэ IБ или АФА- 13, радиостанция СКТЭ. К специфически морскому оборудованию относились якорь-кошка, плавучий якорь и надувные спасательные пояса для обоих членов экипажа (12034).</w:t>
      </w:r>
    </w:p>
    <w:p w14:paraId="394F6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83F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закончились заводские испытания первого серийного самолета МБР-4 АССО-750 заводской N ОВ-75, которые проходили с 26 августа 1932 (2996).</w:t>
      </w:r>
    </w:p>
    <w:p w14:paraId="23752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- 30 августа 1932 (3899).</w:t>
      </w:r>
    </w:p>
    <w:p w14:paraId="5F5B6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E227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года в сопровождении отношения завода 31 за N 1866с от был представлен на гос. испытание в НИИ ВВС первый серийный самолет МБР-4 АССО-750 заводской N ОВ-75 и 20 сентября 1932 года был составлен акт о передаче на испытания. После осмотра вновь (как и 28 августа и 11 сентября 1932) были обнаружены дефекты. Представители НИИ отметили, что завод устранял некоторые дефекты за счет ослабления прочности (2996).</w:t>
      </w:r>
    </w:p>
    <w:p w14:paraId="0F18E6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Предъявление по плану было назначено 5 марта 1932 года (3899).</w:t>
      </w:r>
    </w:p>
    <w:p w14:paraId="495911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00D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г. вышло Постановление ЦК ВКП(б):</w:t>
      </w:r>
    </w:p>
    <w:p w14:paraId="3105B6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Разработать и представить на утверждение КО календарный план устранения на самолетах ТБ-3, Р5, Р6 в последующих сериях дефекты, обнаруженные в процессе эксплуатации.</w:t>
      </w:r>
    </w:p>
    <w:p w14:paraId="43349B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исполнения 15.10.32 г.</w:t>
      </w:r>
    </w:p>
    <w:p w14:paraId="54448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 6.11.32 г.</w:t>
      </w:r>
    </w:p>
    <w:p w14:paraId="64C8DF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Проверить устранение ГУАПом, являющихся опасными для полетов дефектов и доведение безотказной работы моторов до первой переборки до 200 часов.</w:t>
      </w:r>
    </w:p>
    <w:p w14:paraId="09395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период времени с ноября 1932 года по февраль 1933 года было проведено ряд испытаний, из которых наиболее длительными (200 часов) являются:</w:t>
      </w:r>
    </w:p>
    <w:p w14:paraId="771DE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Испытание, проведенное в ЦИАМе, показавшее вполне удовлетворительные результаты с точки зрения состояния деталей и надежности работы.</w:t>
      </w:r>
    </w:p>
    <w:p w14:paraId="50CEC0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Испытание, проведенное под руководством ЦИАМа на заводе N 26, показавшее совершенно неудовлетворительные результаты. Мотор проработал 195 часов после чего произошла авария.</w:t>
      </w:r>
    </w:p>
    <w:p w14:paraId="26A939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Ряд крайне существенных дефектов не позволяют считать вопрос о доведении срока службы этого мотора до 200 часов между переборками.</w:t>
      </w:r>
    </w:p>
    <w:p w14:paraId="45130B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январь и февраль с.г. заводом было собрано 93 мотора пониженной кондиции, из которых к летной работе допущен лишь 41 мотор.</w:t>
      </w:r>
    </w:p>
    <w:p w14:paraId="069BF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установление ГУАПом совместно с УВВС и ГУГВФ генеральных сроков службы деталей моторов и самолетов.</w:t>
      </w:r>
    </w:p>
    <w:p w14:paraId="27692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исполнения - 1.12.32 г.</w:t>
      </w:r>
    </w:p>
    <w:p w14:paraId="07C106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выполнено.</w:t>
      </w:r>
    </w:p>
    <w:p w14:paraId="13337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Образование Треста горючих и смазочных материалов.</w:t>
      </w:r>
    </w:p>
    <w:p w14:paraId="38CC07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исполнения - 15.10.32 г.</w:t>
      </w:r>
    </w:p>
    <w:p w14:paraId="064A45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Исполнено.</w:t>
      </w:r>
    </w:p>
    <w:p w14:paraId="6A49B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ВВС.</w:t>
      </w:r>
    </w:p>
    <w:p w14:paraId="28C900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Разработать и издать положение о порядке и сроках полной ликвидации обезлички в ВВС.</w:t>
      </w:r>
    </w:p>
    <w:p w14:paraId="421ABA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исполнения - 15.10.32 г.</w:t>
      </w:r>
    </w:p>
    <w:p w14:paraId="1662C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указаниях частям ВВС по боевой подготовке на 1933 год приказано - к 1.12.33 г. твердо закрепить экипажи по самолетам (3082).</w:t>
      </w:r>
    </w:p>
    <w:p w14:paraId="675939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1059E4"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116. 4. О СТЗ (Сталин). 23. Проекты постановлений по докладам на пленуме ЦК: в) по отчетному докладу НКТП о развитии черной металлургии (Орджоникидзе) (ПБ от 28 августа 1932 г., пр. № 114, п. 43/1). 30. О распределении черных и цветных металлов (Куйбышев, Орджоникидзе). Опросом членов ПБ от 16 сентября 1932 г. 59/29. О постройке паротурбинного авиационного двигателя (Куйбышев). — ОП. Постановили: утвердить следующее постановление Комиссии обороны: а) НКТП приступить к проектированию и постройке паротурбинного авиационного двигателя мощностью в 15 тыс. НР; б) НКФ СССР отпустить НКТП в текущем году 300 тыс. руб. из резервного фонда СНК СССР и предусмотреть 1 млн. руб. в смете НКТП на 1933 г. 60/30. Об авариях в частях ВВС РККА. — ОП. Постановили: утвердить проект постановления ЦК ВКП(б), принятый Комиссией обороны. 62/32. О каучуке и химикалиях для резиновой промышленности. — ОП. (Политбюро... Т. 2. С. 352, 354; РГАСПИ. Ф. 17. Оп. 162. Д. 13. Л. 102) (12416).</w:t>
      </w:r>
    </w:p>
    <w:p w14:paraId="3F557863"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4CF851C5" w14:textId="77777777" w:rsidR="00C82736" w:rsidRPr="00E93F40" w:rsidRDefault="00C8273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г. Протокол ПБ № 116 п.59/29: О постройке паротурбинного авиационного двигателя (Куйбышев) - ОП. Решено утвердить следующее постановление Комиссии обороны: а) НКТП приступить к проектированию и постройке паротурбинного авиационного двигателя мощностью в 15 000 HP. б) НКФ СССР отпустить НКТП в текущем году 300 000 руб. из резервного фонда СНК СССР и предусмотреть 1 млн. руб. в смете НКТП на 1933 г. (15941).</w:t>
      </w:r>
    </w:p>
    <w:p w14:paraId="6D65CA4E" w14:textId="77777777" w:rsidR="00C82736" w:rsidRPr="00E93F40" w:rsidRDefault="00C82736" w:rsidP="00E93F40">
      <w:pPr>
        <w:spacing w:after="0" w:line="240" w:lineRule="auto"/>
        <w:jc w:val="both"/>
        <w:rPr>
          <w:rFonts w:ascii="Times New Roman" w:hAnsi="Times New Roman"/>
          <w:color w:val="000000" w:themeColor="text1"/>
          <w:sz w:val="16"/>
          <w:szCs w:val="16"/>
        </w:rPr>
      </w:pPr>
    </w:p>
    <w:p w14:paraId="750F0712" w14:textId="77777777" w:rsidR="00C82736" w:rsidRPr="00E93F40" w:rsidRDefault="00C82736" w:rsidP="00E93F40">
      <w:pPr>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16 сентября 1932 г. Протокол ПБ № 116 п.12: Кертис-Райт (Пятаков, Анвельт) – ОП. Приняты решения: а) Разрешить НКТПрому вести переговоры с фирмой Кертис-Райт на следующих условиях: 1) плата за всю техническую помощь, включая проектирование новых заводов, не должна превышать 750.000 долларов; 2) платежи должны начаться лишь в 1934 г.; 3) нам предоставляется право часть платежей (в половинном размере всей суммы платежей) покрыть товарами и 4) заключение договора не связывает нас в смысле размещения заказов в Америке. б) Разрешить НКТПрому послать в Америку для ведения переговоров комиссию в составе Побережского И.И., Адамса А.А., Старченко Г.И., Швецова А.Д. и Базилева Н.П. в) Переговоры вести через Амторг (15875).</w:t>
      </w:r>
    </w:p>
    <w:p w14:paraId="5C8F3DBD" w14:textId="77777777" w:rsidR="00C82736" w:rsidRPr="00E93F40" w:rsidRDefault="00C82736" w:rsidP="00E93F40">
      <w:pPr>
        <w:spacing w:after="0" w:line="240" w:lineRule="auto"/>
        <w:jc w:val="both"/>
        <w:rPr>
          <w:rFonts w:ascii="Times New Roman" w:hAnsi="Times New Roman"/>
          <w:iCs/>
          <w:color w:val="000000" w:themeColor="text1"/>
          <w:sz w:val="16"/>
          <w:szCs w:val="16"/>
        </w:rPr>
      </w:pPr>
    </w:p>
    <w:p w14:paraId="7E4073C4"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w:t>
      </w:r>
    </w:p>
    <w:p w14:paraId="09A62CEE" w14:textId="33FAA686"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 О Кертис-Райт</w:t>
      </w:r>
    </w:p>
    <w:p w14:paraId="47164A5A"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(Пятаков, Анвельт).</w:t>
      </w:r>
    </w:p>
    <w:p w14:paraId="3D2F38C2" w14:textId="107D83B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57A1510D" w14:textId="42AEBB50"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Разрешить НКТПрому вести переговоры с фирмой Кертис-Райт на следующих условиях: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плата за всю техническую помощь, включая проектирование новых заводов, не должна превышать 750.000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долларов;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платежи должны начаться лишь в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нам предоставляется право часть платежей (в половинном размере всей суммы платежей) покрыть товарами и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заключение договора не связывает нас в смысле размещения заказов в Америке.</w:t>
      </w:r>
    </w:p>
    <w:p w14:paraId="62AF531C" w14:textId="6F1FC614"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Разрешить НКТПрому послать в Америку для ведения переговоров комиссию в составе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Побережского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Адамса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 Старченко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Швецова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и Базилова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w:t>
      </w:r>
    </w:p>
    <w:p w14:paraId="7B144EE2"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Переговоры вести через Амторг.</w:t>
      </w:r>
    </w:p>
    <w:p w14:paraId="55231BA7"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3EE8B0B5" w14:textId="3A541B1B"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Орджоникидзе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w:t>
      </w:r>
    </w:p>
    <w:p w14:paraId="7FCFDDD3" w14:textId="72F822A3"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Розенгольцу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w:t>
      </w:r>
    </w:p>
    <w:p w14:paraId="647DF231" w14:textId="4C5B5FE1"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Горб (ОГПУ), Стомонякову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w:t>
      </w:r>
    </w:p>
    <w:p w14:paraId="4EC13C75"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(18133).</w:t>
      </w:r>
    </w:p>
    <w:p w14:paraId="66393B9A" w14:textId="77777777" w:rsidR="00883D98" w:rsidRPr="00E93F40" w:rsidRDefault="00883D98" w:rsidP="00E93F40">
      <w:pPr>
        <w:spacing w:after="0" w:line="240" w:lineRule="auto"/>
        <w:jc w:val="both"/>
        <w:rPr>
          <w:rFonts w:ascii="Times New Roman" w:hAnsi="Times New Roman"/>
          <w:color w:val="000000" w:themeColor="text1"/>
          <w:sz w:val="16"/>
          <w:szCs w:val="16"/>
        </w:rPr>
      </w:pPr>
    </w:p>
    <w:p w14:paraId="3B9402D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состоялось заседание ПБ (Протокол № 116)</w:t>
      </w:r>
    </w:p>
    <w:p w14:paraId="383D4B1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О Кертис-Райт.</w:t>
      </w:r>
    </w:p>
    <w:p w14:paraId="2275B307"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Пятаков, Анвельт).</w:t>
      </w:r>
    </w:p>
    <w:p w14:paraId="1861E3F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Разрешить НКТПрому вести переговоры с фирмой Кертис-Райт на следующих условиях:</w:t>
      </w:r>
    </w:p>
    <w:p w14:paraId="7E726A9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плата за всю тех</w:t>
      </w:r>
      <w:r w:rsidRPr="00E93F40">
        <w:rPr>
          <w:rFonts w:ascii="Times New Roman" w:hAnsi="Times New Roman"/>
          <w:color w:val="000000" w:themeColor="text1"/>
          <w:sz w:val="16"/>
          <w:szCs w:val="16"/>
        </w:rPr>
        <w:softHyphen/>
        <w:t>ническую помощь, включая проектирование новых заводов, не должна превышать 750.000 долларов;</w:t>
      </w:r>
    </w:p>
    <w:p w14:paraId="066F2A99"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платежи должны начаться лишь в 1934 г.;</w:t>
      </w:r>
    </w:p>
    <w:p w14:paraId="71C1F50A"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нам предоставляется право часть платежей (в половинном размере всей суммы платежей) покрыть товарами и</w:t>
      </w:r>
    </w:p>
    <w:p w14:paraId="38E26915"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заключение договора не связывает нас в смысле размещения заказов в Америке.</w:t>
      </w:r>
    </w:p>
    <w:p w14:paraId="60E62C8F"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Разрешить НКТПрому послать в Америку для ведения переговоров комиссию в составе т.т. Побережского И.И., Адамса А.А., Старченко Г.И., Швецова А.Д. и Вавилова Н.П.</w:t>
      </w:r>
    </w:p>
    <w:p w14:paraId="7948534C"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Переговоры вести через Амторг.</w:t>
      </w:r>
    </w:p>
    <w:p w14:paraId="66B07348"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 Орджоникидзе - все; т.Розенгольцу - в; т. Горб(ОГПУ), т. Стомонякову - 6</w:t>
      </w:r>
    </w:p>
    <w:p w14:paraId="1A4387EC"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Об Аляска-Китай.</w:t>
      </w:r>
    </w:p>
    <w:p w14:paraId="2BC2186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Анвельт).</w:t>
      </w:r>
    </w:p>
    <w:p w14:paraId="502E7BE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т. Анвельту дать ответ Моргану на основе состоявшегося обмена мнений.</w:t>
      </w:r>
    </w:p>
    <w:p w14:paraId="225378DA"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 Анвельту.</w:t>
      </w:r>
    </w:p>
    <w:p w14:paraId="774FFE50"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опросом членов ПБ</w:t>
      </w:r>
    </w:p>
    <w:p w14:paraId="52DC28F7"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59/29.- О постройке паро-турбинного авиационного двигателя.</w:t>
      </w:r>
    </w:p>
    <w:p w14:paraId="631C66C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Куйбышев).</w:t>
      </w:r>
    </w:p>
    <w:p w14:paraId="539F61A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следующее постановление Комиссии Обо</w:t>
      </w:r>
      <w:r w:rsidRPr="00E93F40">
        <w:rPr>
          <w:rFonts w:ascii="Times New Roman" w:hAnsi="Times New Roman"/>
          <w:color w:val="000000" w:themeColor="text1"/>
          <w:sz w:val="16"/>
          <w:szCs w:val="16"/>
        </w:rPr>
        <w:softHyphen/>
        <w:t>роны:</w:t>
      </w:r>
    </w:p>
    <w:p w14:paraId="2471B4C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НКТП приступить к проектированию и постройке паро-турбинного авиационного двигателя мощностью в 15.000 НР.</w:t>
      </w:r>
    </w:p>
    <w:p w14:paraId="39304AB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НКФ СССР отпустить ИКТП в текущем году</w:t>
      </w:r>
    </w:p>
    <w:p w14:paraId="0CAE6ECD"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300.000 руб. из резервного фонда СНК СССР и преду</w:t>
      </w:r>
      <w:r w:rsidRPr="00E93F40">
        <w:rPr>
          <w:rFonts w:ascii="Times New Roman" w:hAnsi="Times New Roman"/>
          <w:color w:val="000000" w:themeColor="text1"/>
          <w:sz w:val="16"/>
          <w:szCs w:val="16"/>
        </w:rPr>
        <w:softHyphen/>
        <w:t>смотреть 1 млн. руб. в смете НКТП на 1933 г.</w:t>
      </w:r>
    </w:p>
    <w:p w14:paraId="1ADD63AD"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Выписи посланы: т.т. Куйбышеву, Базилевичу, Керженцеву, Орджоникидзе.</w:t>
      </w:r>
    </w:p>
    <w:p w14:paraId="3A4595FA"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60/30.- Об авариях в частях ВВС .РККА.</w:t>
      </w:r>
    </w:p>
    <w:p w14:paraId="1A975F28"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проект постановления ЦК ВКП(б), приня</w:t>
      </w:r>
      <w:r w:rsidRPr="00E93F40">
        <w:rPr>
          <w:rFonts w:ascii="Times New Roman" w:hAnsi="Times New Roman"/>
          <w:color w:val="000000" w:themeColor="text1"/>
          <w:sz w:val="16"/>
          <w:szCs w:val="16"/>
        </w:rPr>
        <w:softHyphen/>
        <w:t>тый Комиссией Обороны (см. приложение).</w:t>
      </w:r>
    </w:p>
    <w:p w14:paraId="3C2A3203"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p>
    <w:p w14:paraId="39CD649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 30-опр. (о.п. ) пр.ПБ № 116.</w:t>
      </w:r>
    </w:p>
    <w:p w14:paraId="179819D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ПОСТАНОВЛЕНА ЦЕНТРАЛЬНОГО КОМИТЕТА ВКП(б) СБ АВАРИЯХ В ЧАСТЯХ ВВС РККА.</w:t>
      </w:r>
    </w:p>
    <w:p w14:paraId="41234C87"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ВКП(б) считает, что наряду с теми главными и решающими причинами аварий и катастроф, которые указаны в поста</w:t>
      </w:r>
      <w:r w:rsidRPr="00E93F40">
        <w:rPr>
          <w:rFonts w:ascii="Times New Roman" w:hAnsi="Times New Roman"/>
          <w:color w:val="000000" w:themeColor="text1"/>
          <w:sz w:val="16"/>
          <w:szCs w:val="16"/>
        </w:rPr>
        <w:softHyphen/>
        <w:t>новлении ЦК от 5.УП.32 г. ("отсутствие должной воинской дис</w:t>
      </w:r>
      <w:r w:rsidRPr="00E93F40">
        <w:rPr>
          <w:rFonts w:ascii="Times New Roman" w:hAnsi="Times New Roman"/>
          <w:color w:val="000000" w:themeColor="text1"/>
          <w:sz w:val="16"/>
          <w:szCs w:val="16"/>
        </w:rPr>
        <w:softHyphen/>
        <w:t>циплины и неорганизованность как учебной, так и эксплоатационной работы, при слабом знании личным составом материальной части авиации), причиной катастроф, аварий, поломок и вынуж</w:t>
      </w:r>
      <w:r w:rsidRPr="00E93F40">
        <w:rPr>
          <w:rFonts w:ascii="Times New Roman" w:hAnsi="Times New Roman"/>
          <w:color w:val="000000" w:themeColor="text1"/>
          <w:sz w:val="16"/>
          <w:szCs w:val="16"/>
        </w:rPr>
        <w:softHyphen/>
        <w:t>денных посадок в военно-воздушных силах является неудовлетво</w:t>
      </w:r>
      <w:r w:rsidRPr="00E93F40">
        <w:rPr>
          <w:rFonts w:ascii="Times New Roman" w:hAnsi="Times New Roman"/>
          <w:color w:val="000000" w:themeColor="text1"/>
          <w:sz w:val="16"/>
          <w:szCs w:val="16"/>
        </w:rPr>
        <w:softHyphen/>
        <w:t>рительное качество продукции авиапромышленности и особенно мотора М-17.</w:t>
      </w:r>
    </w:p>
    <w:p w14:paraId="023BBC93"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Эти недочеты, несмотря на наличие известных достижений авиапромышленности (освоение в основном производства ТВ-3, хорошее качество мотора М-11 и удовлетворительное - М-22, грозят, в случае неустранения их, свести к нулю все дости</w:t>
      </w:r>
      <w:r w:rsidRPr="00E93F40">
        <w:rPr>
          <w:rFonts w:ascii="Times New Roman" w:hAnsi="Times New Roman"/>
          <w:color w:val="000000" w:themeColor="text1"/>
          <w:sz w:val="16"/>
          <w:szCs w:val="16"/>
        </w:rPr>
        <w:softHyphen/>
        <w:t>жения .</w:t>
      </w:r>
    </w:p>
    <w:p w14:paraId="48BE0B99"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Авиапромышленность сдает материальную часть с такими производственными дефектами, которые непосредственно приво</w:t>
      </w:r>
      <w:r w:rsidRPr="00E93F40">
        <w:rPr>
          <w:rFonts w:ascii="Times New Roman" w:hAnsi="Times New Roman"/>
          <w:color w:val="000000" w:themeColor="text1"/>
          <w:sz w:val="16"/>
          <w:szCs w:val="16"/>
        </w:rPr>
        <w:softHyphen/>
        <w:t>дят к авариям и катастрофам. Из 81-й аварии в мае-июне с.г. 17% являются прямым результатом производственных и конструк</w:t>
      </w:r>
      <w:r w:rsidRPr="00E93F40">
        <w:rPr>
          <w:rFonts w:ascii="Times New Roman" w:hAnsi="Times New Roman"/>
          <w:color w:val="000000" w:themeColor="text1"/>
          <w:sz w:val="16"/>
          <w:szCs w:val="16"/>
        </w:rPr>
        <w:softHyphen/>
        <w:t>тивных недостатков материальной части. На самолете ТВ-3 № 2206, потерпевшем катастрофу 29 июня с.г., обнаружены трещины в камерах сгорания 7 цилиндров двух моторов в местах сварки. Этот производственный дефект явился, помимо плохого качества шлангов, основной причиной катастрофы.</w:t>
      </w:r>
    </w:p>
    <w:p w14:paraId="3DCFCF4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самолетах ТВ-3 (22 завод) имеются такие существенные производственные дефекты, как течь радиатора, разрыв по шву и пайке масляных компенсационных бачков, вырывание шпилек, крепящих расширительные бачки из всасывающих патрубков подо</w:t>
      </w:r>
      <w:r w:rsidRPr="00E93F40">
        <w:rPr>
          <w:rFonts w:ascii="Times New Roman" w:hAnsi="Times New Roman"/>
          <w:color w:val="000000" w:themeColor="text1"/>
          <w:sz w:val="16"/>
          <w:szCs w:val="16"/>
        </w:rPr>
        <w:softHyphen/>
        <w:t>гревательных карбюраторов, перегрев грунд-букс колес при рулежке и т.п.</w:t>
      </w:r>
    </w:p>
    <w:p w14:paraId="684F36A6"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М-17 имект ряд существенных дефектов производства и монтажа (трещины цилиндров особенно в местах сварки, прого</w:t>
      </w:r>
      <w:r w:rsidRPr="00E93F40">
        <w:rPr>
          <w:rFonts w:ascii="Times New Roman" w:hAnsi="Times New Roman"/>
          <w:color w:val="000000" w:themeColor="text1"/>
          <w:sz w:val="16"/>
          <w:szCs w:val="16"/>
        </w:rPr>
        <w:softHyphen/>
        <w:t>рания клапанов из-за неплотного их прилегания, срез нижней шпонки валиков вертикальной передачи, массовый обрыв шпилек крепления цилиндров к картеру т.п.). Эти производственные дефекты делают мотор М-17, несмотря на удовлетворительность его конструкции, ненадежным в полете.</w:t>
      </w:r>
    </w:p>
    <w:p w14:paraId="41F05B1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неоднократные указания УВВС на конструктивные и производственные дефекты самолетов и моторов, авкапромышленность не принимала необходимых мер к устранению этих дефектов совершенно, игнорируя указания ВВС. Так, например, начиная с 1930 г., УВВС ставит вопрос о необходимости устранения на са</w:t>
      </w:r>
      <w:r w:rsidRPr="00E93F40">
        <w:rPr>
          <w:rFonts w:ascii="Times New Roman" w:hAnsi="Times New Roman"/>
          <w:color w:val="000000" w:themeColor="text1"/>
          <w:sz w:val="16"/>
          <w:szCs w:val="16"/>
        </w:rPr>
        <w:softHyphen/>
        <w:t>молете И-5 такого конструктивного дефекта, как заворот на взлете я особенно на разбеге после посадки (причина 68% всех аварий на самолете И-5). Авиапромышленность не приняла ника</w:t>
      </w:r>
      <w:r w:rsidRPr="00E93F40">
        <w:rPr>
          <w:rFonts w:ascii="Times New Roman" w:hAnsi="Times New Roman"/>
          <w:color w:val="000000" w:themeColor="text1"/>
          <w:sz w:val="16"/>
          <w:szCs w:val="16"/>
        </w:rPr>
        <w:softHyphen/>
        <w:t>ких мер к его устранению, несмотря на то, что пути устранения этого дефекта указаны НИИ ВВС.</w:t>
      </w:r>
    </w:p>
    <w:p w14:paraId="3CE2701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устранены до сих пор такие конструктивные и производ</w:t>
      </w:r>
      <w:r w:rsidRPr="00E93F40">
        <w:rPr>
          <w:rFonts w:ascii="Times New Roman" w:hAnsi="Times New Roman"/>
          <w:color w:val="000000" w:themeColor="text1"/>
          <w:sz w:val="16"/>
          <w:szCs w:val="16"/>
        </w:rPr>
        <w:softHyphen/>
        <w:t>ственные дефекты самолета Р-6, как течь радиатора, сильная вибрация хвостового оперения и недостаточная прочность колон</w:t>
      </w:r>
      <w:r w:rsidRPr="00E93F40">
        <w:rPr>
          <w:rFonts w:ascii="Times New Roman" w:hAnsi="Times New Roman"/>
          <w:color w:val="000000" w:themeColor="text1"/>
          <w:sz w:val="16"/>
          <w:szCs w:val="16"/>
        </w:rPr>
        <w:softHyphen/>
        <w:t>ки для крепления киля и руля направления, что создает прямую угрозу поломки в воздухе хвостового оперения.</w:t>
      </w:r>
    </w:p>
    <w:p w14:paraId="55F234A9"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Авиапромышленность не принимая должных мер к устранению конструктивных и производственных дефектов материальной части, допускает помимо этого крайнюю небрежность при сдаче своей продукции ВВС, выпуская нередко моторы и самолеты со значи</w:t>
      </w:r>
      <w:r w:rsidRPr="00E93F40">
        <w:rPr>
          <w:rFonts w:ascii="Times New Roman" w:hAnsi="Times New Roman"/>
          <w:color w:val="000000" w:themeColor="text1"/>
          <w:sz w:val="16"/>
          <w:szCs w:val="16"/>
        </w:rPr>
        <w:softHyphen/>
        <w:t>тельными недоделками и дефектами, устранимыми только в завод</w:t>
      </w:r>
      <w:r w:rsidRPr="00E93F40">
        <w:rPr>
          <w:rFonts w:ascii="Times New Roman" w:hAnsi="Times New Roman"/>
          <w:color w:val="000000" w:themeColor="text1"/>
          <w:sz w:val="16"/>
          <w:szCs w:val="16"/>
        </w:rPr>
        <w:softHyphen/>
        <w:t>ских условиях. Так на 120 моторах (на 95 самолетах), из общего числа 372 мотора самолетов, принимавших участие в первомай</w:t>
      </w:r>
      <w:r w:rsidRPr="00E93F40">
        <w:rPr>
          <w:rFonts w:ascii="Times New Roman" w:hAnsi="Times New Roman"/>
          <w:color w:val="000000" w:themeColor="text1"/>
          <w:sz w:val="16"/>
          <w:szCs w:val="16"/>
        </w:rPr>
        <w:softHyphen/>
        <w:t>ском воздушном параде, была обнаружена при осмотре перед па</w:t>
      </w:r>
      <w:r w:rsidRPr="00E93F40">
        <w:rPr>
          <w:rFonts w:ascii="Times New Roman" w:hAnsi="Times New Roman"/>
          <w:color w:val="000000" w:themeColor="text1"/>
          <w:sz w:val="16"/>
          <w:szCs w:val="16"/>
        </w:rPr>
        <w:softHyphen/>
        <w:t>радом, небрежная сборка вертикальной передачи мотора М-17, могущая привести к остановке мотора в воздухе и вынужденной посадке. Образцом преступной небрежности при сдаче является случай замазки шерлаком места течи левого и среднего радиатора на ТВ-3 № 2213, вместо запайки.</w:t>
      </w:r>
    </w:p>
    <w:p w14:paraId="47DB143B"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эти факты говорят о том, что авиапромышленность и особенно завод 26 игнорирует решающий, в условиях авиапро</w:t>
      </w:r>
      <w:r w:rsidRPr="00E93F40">
        <w:rPr>
          <w:rFonts w:ascii="Times New Roman" w:hAnsi="Times New Roman"/>
          <w:color w:val="000000" w:themeColor="text1"/>
          <w:sz w:val="16"/>
          <w:szCs w:val="16"/>
        </w:rPr>
        <w:softHyphen/>
        <w:t>мышленности, вопрос о качестве продукции. Эти факты говорят также о том, что УВВС не организовало должным образом военную приемку материальной части и не проявило должной настойчивости и требовательности в борьбе за качество самолета и мотора.</w:t>
      </w:r>
    </w:p>
    <w:p w14:paraId="3AA3F74C" w14:textId="77777777" w:rsidR="0026747E" w:rsidRPr="00E93F40" w:rsidRDefault="0026747E" w:rsidP="00E93F40">
      <w:pPr>
        <w:spacing w:after="0" w:line="240" w:lineRule="auto"/>
        <w:jc w:val="both"/>
        <w:rPr>
          <w:rFonts w:ascii="Times New Roman" w:hAnsi="Times New Roman"/>
          <w:color w:val="000000" w:themeColor="text1"/>
          <w:sz w:val="16"/>
          <w:szCs w:val="16"/>
        </w:rPr>
      </w:pPr>
      <w:bookmarkStart w:id="44" w:name="_Hlk95119954"/>
      <w:r w:rsidRPr="00E93F40">
        <w:rPr>
          <w:rFonts w:ascii="Times New Roman" w:hAnsi="Times New Roman"/>
          <w:color w:val="000000" w:themeColor="text1"/>
          <w:sz w:val="16"/>
          <w:szCs w:val="16"/>
        </w:rPr>
        <w:t>Несмотря на постановление СТО от 16 мая о реорганизации технического контроля на заводах Авиапромышленности, Глававиапром не только не принял мер к проведению этого постановления з жизнь, но, наоборот, отдал приказ № 321 от 14 июня об организации технической инспекции, извращающий вышеуказан</w:t>
      </w:r>
      <w:r w:rsidRPr="00E93F40">
        <w:rPr>
          <w:rFonts w:ascii="Times New Roman" w:hAnsi="Times New Roman"/>
          <w:color w:val="000000" w:themeColor="text1"/>
          <w:sz w:val="16"/>
          <w:szCs w:val="16"/>
        </w:rPr>
        <w:softHyphen/>
        <w:t>ное постановление СТО.</w:t>
      </w:r>
    </w:p>
    <w:bookmarkEnd w:id="44"/>
    <w:p w14:paraId="3F52EC9C"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Выяснившиеся в процессе эксплоатации дефекты органами промышленности не изучаются, а органами УВВС своевременно не препровождаются Глававиапроиу. Конструкторские организации Глававиапрома (ЦАГИ, ЦИАМ) не наблюдают за применением произ</w:t>
      </w:r>
      <w:r w:rsidRPr="00E93F40">
        <w:rPr>
          <w:rFonts w:ascii="Times New Roman" w:hAnsi="Times New Roman"/>
          <w:color w:val="000000" w:themeColor="text1"/>
          <w:sz w:val="16"/>
          <w:szCs w:val="16"/>
        </w:rPr>
        <w:softHyphen/>
        <w:t>водимых ими самолетов и моторов в эксплоатации и не дают не</w:t>
      </w:r>
      <w:r w:rsidRPr="00E93F40">
        <w:rPr>
          <w:rFonts w:ascii="Times New Roman" w:hAnsi="Times New Roman"/>
          <w:color w:val="000000" w:themeColor="text1"/>
          <w:sz w:val="16"/>
          <w:szCs w:val="16"/>
        </w:rPr>
        <w:softHyphen/>
        <w:t>обходимых указаний производству о новых конструктивных усо</w:t>
      </w:r>
      <w:r w:rsidRPr="00E93F40">
        <w:rPr>
          <w:rFonts w:ascii="Times New Roman" w:hAnsi="Times New Roman"/>
          <w:color w:val="000000" w:themeColor="text1"/>
          <w:sz w:val="16"/>
          <w:szCs w:val="16"/>
        </w:rPr>
        <w:softHyphen/>
        <w:t>вершенствованиях и улучшениях. Все это крайне задерживает внедрение и освоение новой авиационной техники, как в про</w:t>
      </w:r>
      <w:r w:rsidRPr="00E93F40">
        <w:rPr>
          <w:rFonts w:ascii="Times New Roman" w:hAnsi="Times New Roman"/>
          <w:color w:val="000000" w:themeColor="text1"/>
          <w:sz w:val="16"/>
          <w:szCs w:val="16"/>
        </w:rPr>
        <w:softHyphen/>
        <w:t>мышленности, так и в эксплоатации.</w:t>
      </w:r>
    </w:p>
    <w:p w14:paraId="6B4BF9E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Исходя из этого, ЦК ВКП(б) постановляет:</w:t>
      </w:r>
    </w:p>
    <w:p w14:paraId="5CBE2B7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Признать работу авиапромышленности в отношении ка</w:t>
      </w:r>
      <w:r w:rsidRPr="00E93F40">
        <w:rPr>
          <w:rFonts w:ascii="Times New Roman" w:hAnsi="Times New Roman"/>
          <w:color w:val="000000" w:themeColor="text1"/>
          <w:sz w:val="16"/>
          <w:szCs w:val="16"/>
        </w:rPr>
        <w:softHyphen/>
        <w:t>чества выпускаемой ею продукции, неудовлетворительной. Одно</w:t>
      </w:r>
      <w:r w:rsidRPr="00E93F40">
        <w:rPr>
          <w:rFonts w:ascii="Times New Roman" w:hAnsi="Times New Roman"/>
          <w:color w:val="000000" w:themeColor="text1"/>
          <w:sz w:val="16"/>
          <w:szCs w:val="16"/>
        </w:rPr>
        <w:softHyphen/>
        <w:t>временно с этим отметить, что НКТПром не уделил должного внимания к работе этой важнейшей отпасли промышленности в от</w:t>
      </w:r>
      <w:r w:rsidRPr="00E93F40">
        <w:rPr>
          <w:rFonts w:ascii="Times New Roman" w:hAnsi="Times New Roman"/>
          <w:color w:val="000000" w:themeColor="text1"/>
          <w:sz w:val="16"/>
          <w:szCs w:val="16"/>
        </w:rPr>
        <w:softHyphen/>
        <w:t>ношении качества выпускаемой ею продукции.</w:t>
      </w:r>
    </w:p>
    <w:p w14:paraId="06956DE3"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 Поручить ОГПУ произвести расследование и привлечь к ответственности виновных по конкретным фактам небрежного и злоумышленного отношения к качеству сдаваемых авиапромышлен</w:t>
      </w:r>
      <w:r w:rsidRPr="00E93F40">
        <w:rPr>
          <w:rFonts w:ascii="Times New Roman" w:hAnsi="Times New Roman"/>
          <w:color w:val="000000" w:themeColor="text1"/>
          <w:sz w:val="16"/>
          <w:szCs w:val="16"/>
        </w:rPr>
        <w:softHyphen/>
        <w:t>ностью моторов (случай замазки шерлаком вместо запайки места точи на самолете № 2213, факты обнаружения в моторах пакли, песка, напильников и т.п.).</w:t>
      </w:r>
    </w:p>
    <w:p w14:paraId="2DA55D28"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Признать, что начальник Глававиапрома т. Баранов не принял всех необходимых мер для устранения вышеуказанных конструктивных и производственных дефектов самолетов и мото</w:t>
      </w:r>
      <w:r w:rsidRPr="00E93F40">
        <w:rPr>
          <w:rFonts w:ascii="Times New Roman" w:hAnsi="Times New Roman"/>
          <w:color w:val="000000" w:themeColor="text1"/>
          <w:sz w:val="16"/>
          <w:szCs w:val="16"/>
        </w:rPr>
        <w:softHyphen/>
        <w:t>ров. Одновременно с этим отметить, что постановление СТО о реорганизации технического контроля на заводах авиапромыш</w:t>
      </w:r>
      <w:r w:rsidRPr="00E93F40">
        <w:rPr>
          <w:rFonts w:ascii="Times New Roman" w:hAnsi="Times New Roman"/>
          <w:color w:val="000000" w:themeColor="text1"/>
          <w:sz w:val="16"/>
          <w:szCs w:val="16"/>
        </w:rPr>
        <w:softHyphen/>
        <w:t>ленности не выполнено, что поставить на вид т. Баранову.</w:t>
      </w:r>
    </w:p>
    <w:p w14:paraId="3BF38A25"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Директор завода № 26 т. Королев, хотя и добился зна</w:t>
      </w:r>
      <w:r w:rsidRPr="00E93F40">
        <w:rPr>
          <w:rFonts w:ascii="Times New Roman" w:hAnsi="Times New Roman"/>
          <w:color w:val="000000" w:themeColor="text1"/>
          <w:sz w:val="16"/>
          <w:szCs w:val="16"/>
        </w:rPr>
        <w:softHyphen/>
        <w:t>чительных успехов в отношении количества продукции, вместе с тем не обращал должного внимания на качество выпускаемых заводом моторов, хотя ему известно, что качество военного производства решает все - что ЦК ВКП(б) и ставит ему на вид.</w:t>
      </w:r>
    </w:p>
    <w:p w14:paraId="09077347"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Секретарь партийного комитета завода № 26 т. Карлик не развернул на деле массовую работу вокруг борьбы за каче</w:t>
      </w:r>
      <w:r w:rsidRPr="00E93F40">
        <w:rPr>
          <w:rFonts w:ascii="Times New Roman" w:hAnsi="Times New Roman"/>
          <w:color w:val="000000" w:themeColor="text1"/>
          <w:sz w:val="16"/>
          <w:szCs w:val="16"/>
        </w:rPr>
        <w:softHyphen/>
        <w:t>ство выпускаемого заводом мотора, за что об"явить т. Карлику выговор.</w:t>
      </w:r>
    </w:p>
    <w:p w14:paraId="7DDE295B"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ЦК ВКП(б) обращает внимание директоров авиазаводов на то, что борьба за качество материальной части военно-воздуш</w:t>
      </w:r>
      <w:r w:rsidRPr="00E93F40">
        <w:rPr>
          <w:rFonts w:ascii="Times New Roman" w:hAnsi="Times New Roman"/>
          <w:color w:val="000000" w:themeColor="text1"/>
          <w:sz w:val="16"/>
          <w:szCs w:val="16"/>
        </w:rPr>
        <w:softHyphen/>
        <w:t>ного флота является одной из важнейших задач борьбы за укреп</w:t>
      </w:r>
      <w:r w:rsidRPr="00E93F40">
        <w:rPr>
          <w:rFonts w:ascii="Times New Roman" w:hAnsi="Times New Roman"/>
          <w:color w:val="000000" w:themeColor="text1"/>
          <w:sz w:val="16"/>
          <w:szCs w:val="16"/>
        </w:rPr>
        <w:softHyphen/>
        <w:t>ление обороноспособности СССР. Парторганизаторы авиазаводов обязаны обеспечить партийно-массовую работу вокруг борьбы за качество продукции, борясь со всякими проявлениями небрежного отношения к качеству выпускаемых самолетов и моторов.</w:t>
      </w:r>
    </w:p>
    <w:p w14:paraId="4EE57B99"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ВКП(б) предупреждает директоров и парторганизаторов авиазаводов, что их большевизм и работу ЦК будет оценивать с точки зрения обеспечения выполнения этой решающей задачи и что за каждый случай небрежного отношения к выпуску самолетов и моторов, они будут привлекаться к строжайшей ’уголовной и партийной ответственности.</w:t>
      </w:r>
    </w:p>
    <w:p w14:paraId="54C37A0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дополнение к решению от 5 июля, ЦК ВКП(б) предлагает провести следующие мероприятия:</w:t>
      </w:r>
    </w:p>
    <w:p w14:paraId="6A2CD8B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 авиационной промышленности.</w:t>
      </w:r>
    </w:p>
    <w:p w14:paraId="55821E6C"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Поставить перед авиапромышленностью в качестве цент</w:t>
      </w:r>
      <w:r w:rsidRPr="00E93F40">
        <w:rPr>
          <w:rFonts w:ascii="Times New Roman" w:hAnsi="Times New Roman"/>
          <w:color w:val="000000" w:themeColor="text1"/>
          <w:sz w:val="16"/>
          <w:szCs w:val="16"/>
        </w:rPr>
        <w:softHyphen/>
        <w:t>ральной задачи борьбу за качество выпускаемых самолетов и, особенно, моторов.</w:t>
      </w:r>
    </w:p>
    <w:p w14:paraId="7BD5F570"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Глававиапрому, под личную ответственность т. Баранова, немедленно приступить к устранению в последующих сериях самолета ТБ-3, Р-3, Р-6 дефеектоы, обнаруженных в процессе эксплоатации, и представить комиссии Оборони к 15.IX. с.г. согласованный о УВВС РККА календарный план устранения этих дефектов. В отношении самолетов Р-6 и И-5 немедленно подсту</w:t>
      </w:r>
      <w:r w:rsidRPr="00E93F40">
        <w:rPr>
          <w:rFonts w:ascii="Times New Roman" w:hAnsi="Times New Roman"/>
          <w:color w:val="000000" w:themeColor="text1"/>
          <w:sz w:val="16"/>
          <w:szCs w:val="16"/>
        </w:rPr>
        <w:softHyphen/>
        <w:t>пить к устранению недочетов, опасных для полета на всех са</w:t>
      </w:r>
      <w:r w:rsidRPr="00E93F40">
        <w:rPr>
          <w:rFonts w:ascii="Times New Roman" w:hAnsi="Times New Roman"/>
          <w:color w:val="000000" w:themeColor="text1"/>
          <w:sz w:val="16"/>
          <w:szCs w:val="16"/>
        </w:rPr>
        <w:softHyphen/>
        <w:t>молетах, находящихся в эксплоатации.</w:t>
      </w:r>
    </w:p>
    <w:p w14:paraId="5A35D295"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особо угрожающих дефектов мотора М-17, являющегося основным в снабжении воздушного флота, предложить Глававиа</w:t>
      </w:r>
      <w:r w:rsidRPr="00E93F40">
        <w:rPr>
          <w:rFonts w:ascii="Times New Roman" w:hAnsi="Times New Roman"/>
          <w:color w:val="000000" w:themeColor="text1"/>
          <w:sz w:val="16"/>
          <w:szCs w:val="16"/>
        </w:rPr>
        <w:softHyphen/>
        <w:t>прому в наикратчайший срок устранить недочеты в нем и не позже 1.1.33 г. довести срок безотказной работы мотора до первой переборки до 200 часов.</w:t>
      </w:r>
    </w:p>
    <w:p w14:paraId="5DDC729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Глававиапрому установить совместно с УВВС РККА и ГУ ГВФ генеральные сроки службы деталей моторов и самолетов с тем, что в Случае выбытия этих деталей из строя раннее установленного срока по причинам плохого качества, Глававиа</w:t>
      </w:r>
      <w:r w:rsidRPr="00E93F40">
        <w:rPr>
          <w:rFonts w:ascii="Times New Roman" w:hAnsi="Times New Roman"/>
          <w:color w:val="000000" w:themeColor="text1"/>
          <w:sz w:val="16"/>
          <w:szCs w:val="16"/>
        </w:rPr>
        <w:softHyphen/>
        <w:t>пром обязан немедленно заменить выбывшие детали на кондиционные.</w:t>
      </w:r>
    </w:p>
    <w:p w14:paraId="6D244013"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Глававиапрому организовать наблюдение конструкторских групп ЦАГИ и ЦИАМ за работой самолетов и моторов их конструк</w:t>
      </w:r>
      <w:r w:rsidRPr="00E93F40">
        <w:rPr>
          <w:rFonts w:ascii="Times New Roman" w:hAnsi="Times New Roman"/>
          <w:color w:val="000000" w:themeColor="text1"/>
          <w:sz w:val="16"/>
          <w:szCs w:val="16"/>
        </w:rPr>
        <w:softHyphen/>
        <w:t>ции до того момента, пока данная материальная часть находится на снабжении ВВС.</w:t>
      </w:r>
    </w:p>
    <w:p w14:paraId="22BB0E78"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Обязать Глававиапром увеличить количество камер для испытания моторов в различных метеорологических условиях в авиапромышленности и доложить об исполнении Комиссии Обороны к: 15.IX с.г.</w:t>
      </w:r>
    </w:p>
    <w:p w14:paraId="7D26C4EB"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Глававиапрому организовать инструктирование ремонтных органов УВВС (бригадные мастерские) по ремонту материальной части выпускаемой Глававиапроиом, а также установить, как правило, обязательное участие представителей авиазаводов в инспекторской группе ВВС РККА и в маневрах.</w:t>
      </w:r>
    </w:p>
    <w:p w14:paraId="535D5578"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организовать взаимное участие представителей авиазаводов и авиачастей в производственно-технических сове</w:t>
      </w:r>
      <w:r w:rsidRPr="00E93F40">
        <w:rPr>
          <w:rFonts w:ascii="Times New Roman" w:hAnsi="Times New Roman"/>
          <w:color w:val="000000" w:themeColor="text1"/>
          <w:sz w:val="16"/>
          <w:szCs w:val="16"/>
        </w:rPr>
        <w:softHyphen/>
        <w:t>щаниях для разбора и изучения дефектов материальной части, выявляющихся в эксплоатации,</w:t>
      </w:r>
    </w:p>
    <w:p w14:paraId="3EA4BE3A"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Обязать т. Баранова отменить свой приказ № 321 и за</w:t>
      </w:r>
      <w:r w:rsidRPr="00E93F40">
        <w:rPr>
          <w:rFonts w:ascii="Times New Roman" w:hAnsi="Times New Roman"/>
          <w:color w:val="000000" w:themeColor="text1"/>
          <w:sz w:val="16"/>
          <w:szCs w:val="16"/>
        </w:rPr>
        <w:softHyphen/>
        <w:t>кончить к 15.Х с.г. реорганизацию технического контроля на авиазаводах в соответствии с постановлениями СТО. НК РКИ СССР проследить за выполнением этого постановления.</w:t>
      </w:r>
    </w:p>
    <w:p w14:paraId="5122848C"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Признавая ненормальными существующие взаимоотношения между Глававиапромом и УВВС, ЦК предлагает НКТП совместно с НКВМором обеспечить такой порядок сдачи-приемки материальной части, который устранил бы волокиту в этой области и опреде</w:t>
      </w:r>
      <w:r w:rsidRPr="00E93F40">
        <w:rPr>
          <w:rFonts w:ascii="Times New Roman" w:hAnsi="Times New Roman"/>
          <w:color w:val="000000" w:themeColor="text1"/>
          <w:sz w:val="16"/>
          <w:szCs w:val="16"/>
        </w:rPr>
        <w:softHyphen/>
        <w:t>лил бы точную ответственность сдатчика и приемщика материаль</w:t>
      </w:r>
      <w:r w:rsidRPr="00E93F40">
        <w:rPr>
          <w:rFonts w:ascii="Times New Roman" w:hAnsi="Times New Roman"/>
          <w:color w:val="000000" w:themeColor="text1"/>
          <w:sz w:val="16"/>
          <w:szCs w:val="16"/>
        </w:rPr>
        <w:softHyphen/>
        <w:t>ной части.</w:t>
      </w:r>
    </w:p>
    <w:p w14:paraId="3443C1A8"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В целях, улучшения качества поставляемого авиапромыш</w:t>
      </w:r>
      <w:r w:rsidRPr="00E93F40">
        <w:rPr>
          <w:rFonts w:ascii="Times New Roman" w:hAnsi="Times New Roman"/>
          <w:color w:val="000000" w:themeColor="text1"/>
          <w:sz w:val="16"/>
          <w:szCs w:val="16"/>
        </w:rPr>
        <w:softHyphen/>
        <w:t>ленности горючего и смазочных масел, предложить НКТП органи</w:t>
      </w:r>
      <w:r w:rsidRPr="00E93F40">
        <w:rPr>
          <w:rFonts w:ascii="Times New Roman" w:hAnsi="Times New Roman"/>
          <w:color w:val="000000" w:themeColor="text1"/>
          <w:sz w:val="16"/>
          <w:szCs w:val="16"/>
        </w:rPr>
        <w:softHyphen/>
        <w:t>зовать специальный трест, на который возложить производство горючих и смазочных материалов для воздушного флота. Органи</w:t>
      </w:r>
      <w:r w:rsidRPr="00E93F40">
        <w:rPr>
          <w:rFonts w:ascii="Times New Roman" w:hAnsi="Times New Roman"/>
          <w:color w:val="000000" w:themeColor="text1"/>
          <w:sz w:val="16"/>
          <w:szCs w:val="16"/>
        </w:rPr>
        <w:softHyphen/>
        <w:t>зовать при этом тресте научно-исследовательский институт. Одговременно с этим предложить Глававиапрому развернуть ра</w:t>
      </w:r>
      <w:r w:rsidRPr="00E93F40">
        <w:rPr>
          <w:rFonts w:ascii="Times New Roman" w:hAnsi="Times New Roman"/>
          <w:color w:val="000000" w:themeColor="text1"/>
          <w:sz w:val="16"/>
          <w:szCs w:val="16"/>
        </w:rPr>
        <w:softHyphen/>
        <w:t>боту по приспособлению моторов к наличным видам авиагорюче</w:t>
      </w:r>
      <w:r w:rsidRPr="00E93F40">
        <w:rPr>
          <w:rFonts w:ascii="Times New Roman" w:hAnsi="Times New Roman"/>
          <w:color w:val="000000" w:themeColor="text1"/>
          <w:sz w:val="16"/>
          <w:szCs w:val="16"/>
        </w:rPr>
        <w:softHyphen/>
        <w:t>го.</w:t>
      </w:r>
    </w:p>
    <w:p w14:paraId="266918DC"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Обязать НКТП принять необходимые меры к улучшению качества металла и прочих производственных материалов, по</w:t>
      </w:r>
      <w:r w:rsidRPr="00E93F40">
        <w:rPr>
          <w:rFonts w:ascii="Times New Roman" w:hAnsi="Times New Roman"/>
          <w:color w:val="000000" w:themeColor="text1"/>
          <w:sz w:val="16"/>
          <w:szCs w:val="16"/>
        </w:rPr>
        <w:softHyphen/>
        <w:t>ставляемых авиационной промышленности, а контролерам Глававиапрома строжайшим образом контролировать это качество.</w:t>
      </w:r>
    </w:p>
    <w:p w14:paraId="28EB66B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 военно-воздушному Флоту.</w:t>
      </w:r>
    </w:p>
    <w:p w14:paraId="69CF8C09"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ЦК ВКП(б) считает, что инструктирование УВВС техни</w:t>
      </w:r>
      <w:r w:rsidRPr="00E93F40">
        <w:rPr>
          <w:rFonts w:ascii="Times New Roman" w:hAnsi="Times New Roman"/>
          <w:color w:val="000000" w:themeColor="text1"/>
          <w:sz w:val="16"/>
          <w:szCs w:val="16"/>
        </w:rPr>
        <w:softHyphen/>
        <w:t>ческой эксплоатации в своих частях поставлено неудовлетвори</w:t>
      </w:r>
      <w:r w:rsidRPr="00E93F40">
        <w:rPr>
          <w:rFonts w:ascii="Times New Roman" w:hAnsi="Times New Roman"/>
          <w:color w:val="000000" w:themeColor="text1"/>
          <w:sz w:val="16"/>
          <w:szCs w:val="16"/>
        </w:rPr>
        <w:softHyphen/>
        <w:t>тельно. Некоторые составленные УВВС инструкции громоздки и не отвечают действительному состоянию материальной частя. Так, например, до сих пор не даны ясные указания частям, какой налет допустим на самолётах И-3. В то время как в не</w:t>
      </w:r>
      <w:r w:rsidRPr="00E93F40">
        <w:rPr>
          <w:rFonts w:ascii="Times New Roman" w:hAnsi="Times New Roman"/>
          <w:color w:val="000000" w:themeColor="text1"/>
          <w:sz w:val="16"/>
          <w:szCs w:val="16"/>
        </w:rPr>
        <w:softHyphen/>
        <w:t>которых самолетах произошли за последние годы значительные конструктивные изменения., инструкции по этим самолетам оста</w:t>
      </w:r>
      <w:r w:rsidRPr="00E93F40">
        <w:rPr>
          <w:rFonts w:ascii="Times New Roman" w:hAnsi="Times New Roman"/>
          <w:color w:val="000000" w:themeColor="text1"/>
          <w:sz w:val="16"/>
          <w:szCs w:val="16"/>
        </w:rPr>
        <w:softHyphen/>
        <w:t>лись неизмененными я устарели. Предложить УВВС пересмотреть изданные инструкции по летной службе и привести их в соответ</w:t>
      </w:r>
      <w:r w:rsidRPr="00E93F40">
        <w:rPr>
          <w:rFonts w:ascii="Times New Roman" w:hAnsi="Times New Roman"/>
          <w:color w:val="000000" w:themeColor="text1"/>
          <w:sz w:val="16"/>
          <w:szCs w:val="16"/>
        </w:rPr>
        <w:softHyphen/>
        <w:t>ствие с данными самолетов.</w:t>
      </w:r>
    </w:p>
    <w:p w14:paraId="5A3C1926"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Признавая ненормальными отношения между командным и техническим составом авиачастей, предложить НКВМору принять меры к урегулированию этих отношений.</w:t>
      </w:r>
    </w:p>
    <w:p w14:paraId="4E9DA583"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Расширить права бригадных инженеров по отношению к командирам эскадрилий и входящим в их состав подразделений, установив, что бригадный инженер имеет право отменить вылет машины в случае обнаружения в ней угрожающих безопасности полета дефектов, с докладом об этом командиру бригады.</w:t>
      </w:r>
    </w:p>
    <w:p w14:paraId="10E38336"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ЦК отмечает, что проведение в жизнь приказа УВВС 048 от 1930 г., о твердом прикреплении летного и обслужи</w:t>
      </w:r>
      <w:r w:rsidRPr="00E93F40">
        <w:rPr>
          <w:rFonts w:ascii="Times New Roman" w:hAnsi="Times New Roman"/>
          <w:color w:val="000000" w:themeColor="text1"/>
          <w:sz w:val="16"/>
          <w:szCs w:val="16"/>
        </w:rPr>
        <w:softHyphen/>
        <w:t>вающего состава к определенным машинам не обеспечено в полной мере. Предложить НКВМору принять решительные меры к полному искоренению случаев обезлички в военно-воздушном флоте и, в частности, принять меры к тому, чтобы на каждый самолет был приказом назначен и твердо закреплен команде из летно— под"емного состава.</w:t>
      </w:r>
    </w:p>
    <w:p w14:paraId="032D625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Исходя из того, что помимо передвижек летних кадров, вызываемых пополнением и расширением военно-воздушного фло</w:t>
      </w:r>
      <w:r w:rsidRPr="00E93F40">
        <w:rPr>
          <w:rFonts w:ascii="Times New Roman" w:hAnsi="Times New Roman"/>
          <w:color w:val="000000" w:themeColor="text1"/>
          <w:sz w:val="16"/>
          <w:szCs w:val="16"/>
        </w:rPr>
        <w:softHyphen/>
        <w:t>та, имеет также место текучесть как среди рядового, так и командно-технического состава, предложить НКВМору принять необходимые мерк борьбы с текучестью.</w:t>
      </w:r>
    </w:p>
    <w:p w14:paraId="7F21A400"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Ввиду того, что организационная структура частей ВВС имеет ряд существенных недочетов и, в частности, не учитывает особого значения к особенностей отдельных родов авиации, предложить УВВС РККА уточнить существующую струк</w:t>
      </w:r>
      <w:r w:rsidRPr="00E93F40">
        <w:rPr>
          <w:rFonts w:ascii="Times New Roman" w:hAnsi="Times New Roman"/>
          <w:color w:val="000000" w:themeColor="text1"/>
          <w:sz w:val="16"/>
          <w:szCs w:val="16"/>
        </w:rPr>
        <w:softHyphen/>
        <w:t>туру, учтя при этом:</w:t>
      </w:r>
    </w:p>
    <w:p w14:paraId="489D876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необходимость повышения роли бригадного инженера и инженеров эскадрилий;</w:t>
      </w:r>
    </w:p>
    <w:p w14:paraId="5E5FEDC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выделение из парков ряда функций в самостоятельные соединения и, в частности, выделение авиаремонтных бригад</w:t>
      </w:r>
      <w:r w:rsidRPr="00E93F40">
        <w:rPr>
          <w:rFonts w:ascii="Times New Roman" w:hAnsi="Times New Roman"/>
          <w:color w:val="000000" w:themeColor="text1"/>
          <w:sz w:val="16"/>
          <w:szCs w:val="16"/>
        </w:rPr>
        <w:softHyphen/>
        <w:t>ных мастерских в самостоятельную единицу.</w:t>
      </w:r>
    </w:p>
    <w:p w14:paraId="2130EA9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УВВС определить командные права н обязанности ко</w:t>
      </w:r>
      <w:r w:rsidRPr="00E93F40">
        <w:rPr>
          <w:rFonts w:ascii="Times New Roman" w:hAnsi="Times New Roman"/>
          <w:color w:val="000000" w:themeColor="text1"/>
          <w:sz w:val="16"/>
          <w:szCs w:val="16"/>
        </w:rPr>
        <w:softHyphen/>
        <w:t>мандира звена как в воздухе, так и на земле, сделав его ответственным руководителем и воспитателем подчиненного ему летного и технического состава звена.</w:t>
      </w:r>
    </w:p>
    <w:p w14:paraId="6CA3944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Предложить НКВМору в 2-декадный срок разработать и утвердить положение о научно-испытательном институте ВВС, в котором точно определить назначение института как испытательного к инструктирующего воздушный флот по эксплоатации новой материальной частя и руководящего научно- исследовательскими работами для нужд ВВС,</w:t>
      </w:r>
    </w:p>
    <w:p w14:paraId="5A7BDB8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Категорически воспретить дачу заданий и отдельных поручений НИИ ВВС со стороны различных учреждений помимо руководящего состава УВBC.</w:t>
      </w:r>
    </w:p>
    <w:p w14:paraId="5CA0C5CB"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Одобрить приказ РВСС № 24/0253с от 22.УП.32 г. о системе подготовки летных кадров РККА.</w:t>
      </w:r>
    </w:p>
    <w:p w14:paraId="1ED0E619"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Для наиболее полного выявления конструктивных и про</w:t>
      </w:r>
      <w:r w:rsidRPr="00E93F40">
        <w:rPr>
          <w:rFonts w:ascii="Times New Roman" w:hAnsi="Times New Roman"/>
          <w:color w:val="000000" w:themeColor="text1"/>
          <w:sz w:val="16"/>
          <w:szCs w:val="16"/>
        </w:rPr>
        <w:softHyphen/>
        <w:t>изводственных дефектов самолетов и моторов, поставляемых авиапромышленностью и принятия исчерпывающих мер по их устра</w:t>
      </w:r>
      <w:r w:rsidRPr="00E93F40">
        <w:rPr>
          <w:rFonts w:ascii="Times New Roman" w:hAnsi="Times New Roman"/>
          <w:color w:val="000000" w:themeColor="text1"/>
          <w:sz w:val="16"/>
          <w:szCs w:val="16"/>
        </w:rPr>
        <w:softHyphen/>
        <w:t>нению провести производственно-технические совещания инженерно- технического состава с участием летно-технического состава строевых частей и школ ВВС на следующих заводах и в следующие сроки:</w:t>
      </w:r>
    </w:p>
    <w:tbl>
      <w:tblPr>
        <w:tblStyle w:val="afff0"/>
        <w:tblW w:w="0" w:type="auto"/>
        <w:tblInd w:w="720" w:type="dxa"/>
        <w:tblLook w:val="04A0" w:firstRow="1" w:lastRow="0" w:firstColumn="1" w:lastColumn="0" w:noHBand="0" w:noVBand="1"/>
      </w:tblPr>
      <w:tblGrid>
        <w:gridCol w:w="693"/>
        <w:gridCol w:w="5797"/>
        <w:gridCol w:w="3246"/>
      </w:tblGrid>
      <w:tr w:rsidR="00DA227A" w:rsidRPr="00E93F40" w14:paraId="58F7FE8A" w14:textId="77777777" w:rsidTr="003D0776">
        <w:tc>
          <w:tcPr>
            <w:tcW w:w="693" w:type="dxa"/>
          </w:tcPr>
          <w:p w14:paraId="4F180F65"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5797" w:type="dxa"/>
          </w:tcPr>
          <w:p w14:paraId="69136603"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 26 в Рыбинске по мотору М-17</w:t>
            </w:r>
          </w:p>
        </w:tc>
        <w:tc>
          <w:tcPr>
            <w:tcW w:w="3246" w:type="dxa"/>
          </w:tcPr>
          <w:p w14:paraId="283D768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25.УШ.32 г.</w:t>
            </w:r>
          </w:p>
        </w:tc>
      </w:tr>
      <w:tr w:rsidR="00DA227A" w:rsidRPr="00E93F40" w14:paraId="7BB418E8" w14:textId="77777777" w:rsidTr="003D0776">
        <w:tc>
          <w:tcPr>
            <w:tcW w:w="693" w:type="dxa"/>
          </w:tcPr>
          <w:p w14:paraId="3CECDF8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5797" w:type="dxa"/>
          </w:tcPr>
          <w:p w14:paraId="66473CDD"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 22 в Филях (Москва) по самолетам ТБ-3 и Р-6</w:t>
            </w:r>
          </w:p>
        </w:tc>
        <w:tc>
          <w:tcPr>
            <w:tcW w:w="3246" w:type="dxa"/>
          </w:tcPr>
          <w:p w14:paraId="55F6E4CB"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1.1Х.32 г.</w:t>
            </w:r>
          </w:p>
        </w:tc>
      </w:tr>
      <w:tr w:rsidR="00DA227A" w:rsidRPr="00E93F40" w14:paraId="550763BA" w14:textId="77777777" w:rsidTr="003D0776">
        <w:tc>
          <w:tcPr>
            <w:tcW w:w="693" w:type="dxa"/>
          </w:tcPr>
          <w:p w14:paraId="472C825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5797" w:type="dxa"/>
          </w:tcPr>
          <w:p w14:paraId="1190A8B6"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 1 в Москве по самолету Р-5</w:t>
            </w:r>
          </w:p>
        </w:tc>
        <w:tc>
          <w:tcPr>
            <w:tcW w:w="3246" w:type="dxa"/>
          </w:tcPr>
          <w:p w14:paraId="75A4F993"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5.IX.32 г.</w:t>
            </w:r>
          </w:p>
        </w:tc>
      </w:tr>
      <w:tr w:rsidR="00DA227A" w:rsidRPr="00E93F40" w14:paraId="622867EF" w14:textId="77777777" w:rsidTr="003D0776">
        <w:tc>
          <w:tcPr>
            <w:tcW w:w="693" w:type="dxa"/>
          </w:tcPr>
          <w:p w14:paraId="1789C2FF"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5797" w:type="dxa"/>
          </w:tcPr>
          <w:p w14:paraId="1B0A5DBF"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 21 в Н.Новгороде по самолету И-5</w:t>
            </w:r>
          </w:p>
        </w:tc>
        <w:tc>
          <w:tcPr>
            <w:tcW w:w="3246" w:type="dxa"/>
          </w:tcPr>
          <w:p w14:paraId="77BB293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15.1Х.32 г.</w:t>
            </w:r>
          </w:p>
        </w:tc>
      </w:tr>
      <w:tr w:rsidR="00DA227A" w:rsidRPr="00E93F40" w14:paraId="025B9207" w14:textId="77777777" w:rsidTr="003D0776">
        <w:tc>
          <w:tcPr>
            <w:tcW w:w="693" w:type="dxa"/>
          </w:tcPr>
          <w:p w14:paraId="432836EE" w14:textId="77777777" w:rsidR="0026747E" w:rsidRPr="00E93F40" w:rsidRDefault="0026747E" w:rsidP="00E93F40">
            <w:pPr>
              <w:spacing w:after="0" w:line="240" w:lineRule="auto"/>
              <w:jc w:val="both"/>
              <w:rPr>
                <w:rFonts w:ascii="Times New Roman" w:hAnsi="Times New Roman"/>
                <w:color w:val="000000" w:themeColor="text1"/>
                <w:sz w:val="16"/>
                <w:szCs w:val="16"/>
              </w:rPr>
            </w:pPr>
          </w:p>
        </w:tc>
        <w:tc>
          <w:tcPr>
            <w:tcW w:w="5797" w:type="dxa"/>
          </w:tcPr>
          <w:p w14:paraId="78D0330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 29 в Запорожье по мотору М-22</w:t>
            </w:r>
          </w:p>
        </w:tc>
        <w:tc>
          <w:tcPr>
            <w:tcW w:w="3246" w:type="dxa"/>
          </w:tcPr>
          <w:p w14:paraId="6641B8CE"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1.Х.32 г.</w:t>
            </w:r>
          </w:p>
        </w:tc>
      </w:tr>
    </w:tbl>
    <w:p w14:paraId="0DFDCC3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Персональный состав участников, распорядок проведения этих совещаний установить начальнику Глававиапрома т. Баранову по соглашению с нач. ВВС т. Алкснисом.</w:t>
      </w:r>
    </w:p>
    <w:p w14:paraId="5C8F4FBD"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В дополнение к постановлению, принятому РВС в развитие решения Политбюро ЦК от 5.УП о повышении летной квалификации командного и летного состава считать необходимым организацию с 1 по 20 октября с.г. окружных сборов - конференции команди</w:t>
      </w:r>
      <w:r w:rsidRPr="00E93F40">
        <w:rPr>
          <w:rFonts w:ascii="Times New Roman" w:hAnsi="Times New Roman"/>
          <w:color w:val="000000" w:themeColor="text1"/>
          <w:sz w:val="16"/>
          <w:szCs w:val="16"/>
        </w:rPr>
        <w:softHyphen/>
        <w:t>ров и комиссаров авиабригад и отдельных авиачастей, начальни</w:t>
      </w:r>
      <w:r w:rsidRPr="00E93F40">
        <w:rPr>
          <w:rFonts w:ascii="Times New Roman" w:hAnsi="Times New Roman"/>
          <w:color w:val="000000" w:themeColor="text1"/>
          <w:sz w:val="16"/>
          <w:szCs w:val="16"/>
        </w:rPr>
        <w:softHyphen/>
        <w:t>ков их штабов и старших инженеров-механиков. Привлечь на эти сборы-копференции инженерно-технический состав авиапромышлен</w:t>
      </w:r>
      <w:r w:rsidRPr="00E93F40">
        <w:rPr>
          <w:rFonts w:ascii="Times New Roman" w:hAnsi="Times New Roman"/>
          <w:color w:val="000000" w:themeColor="text1"/>
          <w:sz w:val="16"/>
          <w:szCs w:val="16"/>
        </w:rPr>
        <w:softHyphen/>
        <w:t xml:space="preserve">ности, по согласованию с начальником ГУАП"а для инструктажа участников сбора по вопросам конструктивных и производственных особенностей материальной части, поставляемой </w:t>
      </w:r>
      <w:r w:rsidRPr="00E93F40">
        <w:rPr>
          <w:rFonts w:ascii="Times New Roman" w:hAnsi="Times New Roman"/>
          <w:color w:val="000000" w:themeColor="text1"/>
          <w:sz w:val="16"/>
          <w:szCs w:val="16"/>
        </w:rPr>
        <w:lastRenderedPageBreak/>
        <w:t>авиапромыш</w:t>
      </w:r>
      <w:r w:rsidRPr="00E93F40">
        <w:rPr>
          <w:rFonts w:ascii="Times New Roman" w:hAnsi="Times New Roman"/>
          <w:color w:val="000000" w:themeColor="text1"/>
          <w:sz w:val="16"/>
          <w:szCs w:val="16"/>
        </w:rPr>
        <w:softHyphen/>
        <w:t>ленностью. Организовать на этих сборах-конференциях разбор наиболее показательных как для авиапромышленности, так и для ВВС катастроф и аварий самолетов.</w:t>
      </w:r>
    </w:p>
    <w:p w14:paraId="00F2F1A3"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Установить систематическую живую связь летного состава и инженерно-технических работников УВВС с заводами авиапромыш</w:t>
      </w:r>
      <w:r w:rsidRPr="00E93F40">
        <w:rPr>
          <w:rFonts w:ascii="Times New Roman" w:hAnsi="Times New Roman"/>
          <w:color w:val="000000" w:themeColor="text1"/>
          <w:sz w:val="16"/>
          <w:szCs w:val="16"/>
        </w:rPr>
        <w:softHyphen/>
        <w:t>ленности. В частности установить, что части ВВС, самолеты которых потерпели аварии, должны командировать своих работни</w:t>
      </w:r>
      <w:r w:rsidRPr="00E93F40">
        <w:rPr>
          <w:rFonts w:ascii="Times New Roman" w:hAnsi="Times New Roman"/>
          <w:color w:val="000000" w:themeColor="text1"/>
          <w:sz w:val="16"/>
          <w:szCs w:val="16"/>
        </w:rPr>
        <w:softHyphen/>
        <w:t>ков непосредственно на соответствующие авиазаводы для разбора и проведения необходимой раз”яснительной работы среди актива этих заводов.</w:t>
      </w:r>
    </w:p>
    <w:p w14:paraId="032CA3E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 партийно-массовой работе.</w:t>
      </w:r>
    </w:p>
    <w:p w14:paraId="6297A1EA"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Военно-воздушный флот требует к себе исключительного внимания со стороны партийных и общественных организаций как в отношении улучшения партийно-политической, массовой работы, так и в отношении культурно-бытового их обслуживания. Необхо</w:t>
      </w:r>
      <w:r w:rsidRPr="00E93F40">
        <w:rPr>
          <w:rFonts w:ascii="Times New Roman" w:hAnsi="Times New Roman"/>
          <w:color w:val="000000" w:themeColor="text1"/>
          <w:sz w:val="16"/>
          <w:szCs w:val="16"/>
        </w:rPr>
        <w:softHyphen/>
        <w:t>димо поднять воинскую дисциплину, а также техническую и лет</w:t>
      </w:r>
      <w:r w:rsidRPr="00E93F40">
        <w:rPr>
          <w:rFonts w:ascii="Times New Roman" w:hAnsi="Times New Roman"/>
          <w:color w:val="000000" w:themeColor="text1"/>
          <w:sz w:val="16"/>
          <w:szCs w:val="16"/>
        </w:rPr>
        <w:softHyphen/>
        <w:t>ную грамотность в частях ВВС на большую высоту с тем, чтобы в кратчайший срок добиться устранения всех недочетов в работе военно-воздушного флота и особенно и в ивовую очередь ликви</w:t>
      </w:r>
      <w:r w:rsidRPr="00E93F40">
        <w:rPr>
          <w:rFonts w:ascii="Times New Roman" w:hAnsi="Times New Roman"/>
          <w:color w:val="000000" w:themeColor="text1"/>
          <w:sz w:val="16"/>
          <w:szCs w:val="16"/>
        </w:rPr>
        <w:softHyphen/>
        <w:t>дации аварийности.</w:t>
      </w:r>
    </w:p>
    <w:p w14:paraId="6E2B75AB"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этим ЦК ВКП(б) считает нообходииым даль</w:t>
      </w:r>
      <w:r w:rsidRPr="00E93F40">
        <w:rPr>
          <w:rFonts w:ascii="Times New Roman" w:hAnsi="Times New Roman"/>
          <w:color w:val="000000" w:themeColor="text1"/>
          <w:sz w:val="16"/>
          <w:szCs w:val="16"/>
        </w:rPr>
        <w:softHyphen/>
        <w:t>нейшее значительное улучшение партийно-массовой работы на предприятиях авиапромышленности. В дополнение к принятым ЦК ВКП(б) мероприятиям по укреплению партийного руководства авиазаводов, необходимо такие же мероприятия провести и в отношении профсоюзного и комсомольского руководства на авиазаводах. Не</w:t>
      </w:r>
      <w:r w:rsidRPr="00E93F40">
        <w:rPr>
          <w:rFonts w:ascii="Times New Roman" w:hAnsi="Times New Roman"/>
          <w:color w:val="000000" w:themeColor="text1"/>
          <w:sz w:val="16"/>
          <w:szCs w:val="16"/>
        </w:rPr>
        <w:softHyphen/>
        <w:t>обходимо в кратчайший срок добиться значительного укрепления трудовой дисциплины на авиазаводах, улучшения культурно-быто</w:t>
      </w:r>
      <w:r w:rsidRPr="00E93F40">
        <w:rPr>
          <w:rFonts w:ascii="Times New Roman" w:hAnsi="Times New Roman"/>
          <w:color w:val="000000" w:themeColor="text1"/>
          <w:sz w:val="16"/>
          <w:szCs w:val="16"/>
        </w:rPr>
        <w:softHyphen/>
        <w:t>вого обслуживания рабочих и инженерно-технических работников и мобилизации внимания всей общественности авиазаводов на борьбе за улучшение качества материальной части.</w:t>
      </w:r>
    </w:p>
    <w:p w14:paraId="144E02AE"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ВКП(б) считает работу оргинстра, культпропа и агитмасса ЦК по проверке работы и помощи парторганизациям ВВС, работу фракции ВЦСПС по культурно-бытовому обслуживанию личного со</w:t>
      </w:r>
      <w:r w:rsidRPr="00E93F40">
        <w:rPr>
          <w:rFonts w:ascii="Times New Roman" w:hAnsi="Times New Roman"/>
          <w:color w:val="000000" w:themeColor="text1"/>
          <w:sz w:val="16"/>
          <w:szCs w:val="16"/>
        </w:rPr>
        <w:softHyphen/>
        <w:t>става ВВС и их семей, а также шефскую работу ЦК ВЛКСМ совер</w:t>
      </w:r>
      <w:r w:rsidRPr="00E93F40">
        <w:rPr>
          <w:rFonts w:ascii="Times New Roman" w:hAnsi="Times New Roman"/>
          <w:color w:val="000000" w:themeColor="text1"/>
          <w:sz w:val="16"/>
          <w:szCs w:val="16"/>
        </w:rPr>
        <w:softHyphen/>
        <w:t>шенно неудовлетворительной.</w:t>
      </w:r>
    </w:p>
    <w:p w14:paraId="0FC993DF"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ВКП(б) считает, что местные парторганы (обкомы, край</w:t>
      </w:r>
      <w:r w:rsidRPr="00E93F40">
        <w:rPr>
          <w:rFonts w:ascii="Times New Roman" w:hAnsi="Times New Roman"/>
          <w:color w:val="000000" w:themeColor="text1"/>
          <w:sz w:val="16"/>
          <w:szCs w:val="16"/>
        </w:rPr>
        <w:softHyphen/>
        <w:t>комы, ЦК нацкомпартий) не уделяют должного внимания работе авиачастей, не знают их личного состава, не проверяют поста</w:t>
      </w:r>
      <w:r w:rsidRPr="00E93F40">
        <w:rPr>
          <w:rFonts w:ascii="Times New Roman" w:hAnsi="Times New Roman"/>
          <w:color w:val="000000" w:themeColor="text1"/>
          <w:sz w:val="16"/>
          <w:szCs w:val="16"/>
        </w:rPr>
        <w:softHyphen/>
        <w:t>новку партийно-массовой и культурной работы и не оказывают частям ВВС постоянной помощи и поддержки.</w:t>
      </w:r>
    </w:p>
    <w:p w14:paraId="433A9081"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ВКП(б) отмечает, что неоднократные указания ЦК об особом внимании к комплектованию авиачастей личным составом и к набору в авиашколы, крайкомами и обкомами не выполняются, в результате чего в авиачасти и авиашколы проникают чуждые элементы.</w:t>
      </w:r>
    </w:p>
    <w:p w14:paraId="38C66B1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еще раз обращает внимание крайкомов и обкомов на всю серьезность задачи комплектования военно-воздушного флота соответствующим личным составом и предупреждает, что строжай</w:t>
      </w:r>
      <w:r w:rsidRPr="00E93F40">
        <w:rPr>
          <w:rFonts w:ascii="Times New Roman" w:hAnsi="Times New Roman"/>
          <w:color w:val="000000" w:themeColor="text1"/>
          <w:sz w:val="16"/>
          <w:szCs w:val="16"/>
        </w:rPr>
        <w:softHyphen/>
        <w:t>шую ответственность за набор в авиачасти я авиашколы несут наравне с соответствующими органами РККА, обкомы н крайкомы. ЦК ВКП(б) обязывает оргинстр, культпроп и агитмасс ЦК, а также бюро крайкомов и обкомов, под ответственность первых секретарей, обеспечить действительную помощь Пуокрам со сто</w:t>
      </w:r>
      <w:r w:rsidRPr="00E93F40">
        <w:rPr>
          <w:rFonts w:ascii="Times New Roman" w:hAnsi="Times New Roman"/>
          <w:color w:val="000000" w:themeColor="text1"/>
          <w:sz w:val="16"/>
          <w:szCs w:val="16"/>
        </w:rPr>
        <w:softHyphen/>
        <w:t>роны крайкомов и обкомов в деле комплектования частей ВВС лучшими кадрами политработников, в развертывании культурно-бытового обслуживания начсостава и их семей, в обеспечении частей ВВС лучшими докладчиками, квалифицированными руково</w:t>
      </w:r>
      <w:r w:rsidRPr="00E93F40">
        <w:rPr>
          <w:rFonts w:ascii="Times New Roman" w:hAnsi="Times New Roman"/>
          <w:color w:val="000000" w:themeColor="text1"/>
          <w:sz w:val="16"/>
          <w:szCs w:val="16"/>
        </w:rPr>
        <w:softHyphen/>
        <w:t>дителями сети партпроса и художественными силами, а так же в вопросах материального обеспечения (помещения, материаль</w:t>
      </w:r>
      <w:r w:rsidRPr="00E93F40">
        <w:rPr>
          <w:rFonts w:ascii="Times New Roman" w:hAnsi="Times New Roman"/>
          <w:color w:val="000000" w:themeColor="text1"/>
          <w:sz w:val="16"/>
          <w:szCs w:val="16"/>
        </w:rPr>
        <w:softHyphen/>
        <w:t>но-бытовое обслуживание семей).</w:t>
      </w:r>
    </w:p>
    <w:p w14:paraId="2F0672F2"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Оргиистру ЦК совместно с ПУР’ом в месячный срок отобрать не менее 200 партийных работников на должности секретарей ячеек эскадрилий, партийных комиссий, комисса</w:t>
      </w:r>
      <w:r w:rsidRPr="00E93F40">
        <w:rPr>
          <w:rFonts w:ascii="Times New Roman" w:hAnsi="Times New Roman"/>
          <w:color w:val="000000" w:themeColor="text1"/>
          <w:sz w:val="16"/>
          <w:szCs w:val="16"/>
        </w:rPr>
        <w:softHyphen/>
        <w:t>ров эскадрилий - масштаба не ниже секретаря райкома.</w:t>
      </w:r>
    </w:p>
    <w:p w14:paraId="25748CDA"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ВЛКСМ совместно с ПУР"ом представить на утвержде</w:t>
      </w:r>
      <w:r w:rsidRPr="00E93F40">
        <w:rPr>
          <w:rFonts w:ascii="Times New Roman" w:hAnsi="Times New Roman"/>
          <w:color w:val="000000" w:themeColor="text1"/>
          <w:sz w:val="16"/>
          <w:szCs w:val="16"/>
        </w:rPr>
        <w:softHyphen/>
        <w:t>ние Секретариата ЦК ВКП(б) план конкретных мероприятий по улучшению шефской работы.</w:t>
      </w:r>
    </w:p>
    <w:p w14:paraId="034C3FFF"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Фракции ВЦСПС совместно с ПУРом представить на ут</w:t>
      </w:r>
      <w:r w:rsidRPr="00E93F40">
        <w:rPr>
          <w:rFonts w:ascii="Times New Roman" w:hAnsi="Times New Roman"/>
          <w:color w:val="000000" w:themeColor="text1"/>
          <w:sz w:val="16"/>
          <w:szCs w:val="16"/>
        </w:rPr>
        <w:softHyphen/>
        <w:t>верждение Секретариата ЦК план конкретных мероприятий по культурно-бытовому обслуживанию семей начсостава BBC в связи рабочих организаций с частями я школами ВВС.</w:t>
      </w:r>
    </w:p>
    <w:p w14:paraId="1F3FC0FA"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ПУР"у в месячный срок укрепить политотделы авиабригад наиболее квалифицированными политработниками.</w:t>
      </w:r>
    </w:p>
    <w:p w14:paraId="6BDAF828"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Одобрить решение ПУР"а об организации политотделов при школах ВВС, установив следующую структуру парторгани</w:t>
      </w:r>
      <w:r w:rsidRPr="00E93F40">
        <w:rPr>
          <w:rFonts w:ascii="Times New Roman" w:hAnsi="Times New Roman"/>
          <w:color w:val="000000" w:themeColor="text1"/>
          <w:sz w:val="16"/>
          <w:szCs w:val="16"/>
        </w:rPr>
        <w:softHyphen/>
        <w:t>зации: а) низовая ячейка, б) бюро коллектива эскадрильи.</w:t>
      </w:r>
    </w:p>
    <w:p w14:paraId="4A6F165C"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ПУР"у улучшить работу технических кружков при домах Красной Армии и расширить круг комсостава авиачастей, снабжаемого бесплатно технической литературой, а фракции ВЦСПС оказать в этом деле необходимую помощь как силами, так и материальными средствами.</w:t>
      </w:r>
    </w:p>
    <w:p w14:paraId="22B99CC4"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ВоенГИЗ"у к 1.1.33 г. издать нужную для авиации техническую литературу по заявкам УВВС и ПУР"а и снабдить ею части ВВС.</w:t>
      </w:r>
    </w:p>
    <w:p w14:paraId="45BFE0C5"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Раздел о партийно-массовой работе настоящей резолю</w:t>
      </w:r>
      <w:r w:rsidRPr="00E93F40">
        <w:rPr>
          <w:rFonts w:ascii="Times New Roman" w:hAnsi="Times New Roman"/>
          <w:color w:val="000000" w:themeColor="text1"/>
          <w:sz w:val="16"/>
          <w:szCs w:val="16"/>
        </w:rPr>
        <w:softHyphen/>
        <w:t>ции разослать всем обкомам, крайкомам и ЦК нацкомпартий, а также фракций ВЦСПС к ЦК ВДКСМ.</w:t>
      </w:r>
    </w:p>
    <w:p w14:paraId="6D1ED009" w14:textId="77777777" w:rsidR="0026747E" w:rsidRPr="00E93F40" w:rsidRDefault="0026747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Bыписки посланы: т.т. Ворошилову, Орджоникидзе, Баранову, Алкснису, Гамарнику - все; Швернику, Косареву(ЦК ВЛКСМ), крайкомам, обкомам, Нац. ЦК - разд."В" (23061).</w:t>
      </w:r>
    </w:p>
    <w:p w14:paraId="521FEDBE" w14:textId="77777777" w:rsidR="0026747E" w:rsidRPr="00E93F40" w:rsidRDefault="0026747E" w:rsidP="00E93F40">
      <w:pPr>
        <w:spacing w:after="0" w:line="240" w:lineRule="auto"/>
        <w:jc w:val="both"/>
        <w:rPr>
          <w:rFonts w:ascii="Times New Roman" w:hAnsi="Times New Roman"/>
          <w:color w:val="000000" w:themeColor="text1"/>
          <w:sz w:val="16"/>
          <w:szCs w:val="16"/>
        </w:rPr>
      </w:pPr>
    </w:p>
    <w:p w14:paraId="3CB080C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A481E9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BCB5736" w14:textId="557016F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г. подошвенный завод (Ярославский подошвенный завод ЯРАК, Ярославский завод резиновых технических изделий (ЯЗРТИ), АООТ, ОАО «ЯЗРТИ» /150003</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Ярославль ул. Советская, 81А тел. (4852) 58-43-02/) вступил в строй (первый из группы резинообрабатывающих заводов комбината), 19.09.1932 г. изготовлены первые подошвы. Являлся крупнейшим подошвенным заводом, был оснащен импортным оборудованием. Проектная мощность завода - 75 млн. пар подошв в год. Перед войной изготавливал подошвы, резиновые кольца для железнодорожных тормозов, пожарных рукавов, муфты, кольца асбоцементных труб, всего 97 наименований продукции.</w:t>
      </w:r>
    </w:p>
    <w:p w14:paraId="62DD7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начала войны перешел на выпуск резиновых изделий и средств противохимической защиты. Затем, вероятно, был эвакуирован. 24.02.1942 г. вышло постановление ГКО № 1348 о частичном восстановлении производства на Ярославском подошвенном заводе.</w:t>
      </w:r>
    </w:p>
    <w:p w14:paraId="64D8B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возобновлен выпуск продукции для автотракторной промышленности, железнодорожного транспорта, сельского хозяйства.</w:t>
      </w:r>
    </w:p>
    <w:p w14:paraId="6A20EA2D" w14:textId="3D17CD2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29.11.1945 г. переименован в ЯЗРТИ. В конце 1948 г. в состав ЯЗРТИ включен в качестве цеха регенераторный завод. В 1950-е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0BC4B204" w14:textId="2136194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1975 г. было принято решение о переносе мощностей ЯЗРТИ на завод «Ярославрезинотехника», но это не было выполнено. В 1990-е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13EE0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14.04.1993 г. завод преобразован в АООТ «ЯЗРТИ», 27.06.1996 г. - в ОАО.</w:t>
      </w:r>
    </w:p>
    <w:p w14:paraId="2E4E9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1.02.2007 г. образован филиал предприятия - «Обособленное подразделение-склад».</w:t>
      </w:r>
    </w:p>
    <w:p w14:paraId="17D55F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(1932 г.)- 892 чел., (1970-е)- 4324 чел., (2008 г.)-1510 чел.</w:t>
      </w:r>
    </w:p>
    <w:p w14:paraId="6FAB0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Гендиректор (2004-07 г.)- С.В. Даленко, (1.08.2007-08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Воскобойник; и.о. (08.2008 г.)- М.А. Шабанов.</w:t>
      </w:r>
    </w:p>
    <w:p w14:paraId="0F410F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1-й зам. гендиректора (2004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Воскобойник.</w:t>
      </w:r>
    </w:p>
    <w:p w14:paraId="4E03C8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коммерческий (2004-07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Воскобойник, (2008 г.)- М.А. Шабанов; технический (2003-04 г.)- А.Н. Королев; по общим вопросам (2001-05 г.)- В.М. Поповский; по оперативным вопросам</w:t>
      </w:r>
    </w:p>
    <w:p w14:paraId="021E7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(2005-08 г.-)- В.М. Поповский.</w:t>
      </w:r>
    </w:p>
    <w:p w14:paraId="64DDB0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(2008 г.)- В.А. Суслов.</w:t>
      </w:r>
    </w:p>
    <w:p w14:paraId="27C21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технолог (2008 г.)- Е.М. Петина.</w:t>
      </w:r>
    </w:p>
    <w:p w14:paraId="5CEABF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ПАО (2007-08 г.-&gt; К.В. Посеряев; МТС (2008 г.)- Л.Н. Пазич; сбыта (2008 г.)- А.И. Воинов; ОТК (2008 г.)- П.Е. Барашков (11982).</w:t>
      </w:r>
    </w:p>
    <w:p w14:paraId="34C0A7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E5CC55" w14:textId="77777777" w:rsidR="005C30D5"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3DCD0FD" w14:textId="77777777" w:rsidR="005C30D5" w:rsidRPr="00E93F40" w:rsidRDefault="005C30D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4A5A44"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Газета "Вечерняя Москва" сообщала: "Начала вести постоянную службу мотоциклетная команда милиционеров. Пока охвачено постами три участка: Кузнецкий мост - Петровка, площадь Революции - Садово-Триумфальная и Садово-Триумфальная - Волоколамское шоссе (18+</w:t>
      </w:r>
    </w:p>
    <w:p w14:paraId="1475D32C" w14:textId="77777777" w:rsidR="00883D98" w:rsidRPr="00E93F40" w:rsidRDefault="00883D9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ё723).</w:t>
      </w:r>
    </w:p>
    <w:p w14:paraId="07330B1E" w14:textId="77777777" w:rsidR="00883D98" w:rsidRPr="00E93F40" w:rsidRDefault="00883D98" w:rsidP="00E93F40">
      <w:pPr>
        <w:spacing w:after="0" w:line="240" w:lineRule="auto"/>
        <w:jc w:val="both"/>
        <w:rPr>
          <w:rFonts w:ascii="Times New Roman" w:hAnsi="Times New Roman"/>
          <w:color w:val="000000" w:themeColor="text1"/>
          <w:sz w:val="16"/>
          <w:szCs w:val="16"/>
        </w:rPr>
      </w:pPr>
    </w:p>
    <w:p w14:paraId="4C3E1FFE" w14:textId="3F9FD170"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сентября</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вышла </w:t>
      </w:r>
      <w:r w:rsidRPr="00E93F40">
        <w:rPr>
          <w:rFonts w:ascii="Times New Roman" w:hAnsi="Times New Roman"/>
          <w:bCs/>
          <w:color w:val="000000" w:themeColor="text1"/>
          <w:sz w:val="16"/>
          <w:szCs w:val="16"/>
        </w:rPr>
        <w:t>Инструкция по применению постановления ЦИК и СНК СССР от 7 августа</w:t>
      </w:r>
      <w:r w:rsidR="00DD74E1">
        <w:rPr>
          <w:rFonts w:ascii="Times New Roman" w:hAnsi="Times New Roman"/>
          <w:bCs/>
          <w:color w:val="000000" w:themeColor="text1"/>
          <w:sz w:val="16"/>
          <w:szCs w:val="16"/>
        </w:rPr>
        <w:t xml:space="preserve"> </w:t>
      </w:r>
      <w:r w:rsidRPr="00E93F40">
        <w:rPr>
          <w:rStyle w:val="highlight"/>
          <w:rFonts w:ascii="Times New Roman" w:hAnsi="Times New Roman"/>
          <w:bCs/>
          <w:color w:val="000000" w:themeColor="text1"/>
          <w:sz w:val="16"/>
          <w:szCs w:val="16"/>
        </w:rPr>
        <w:t>1932</w:t>
      </w:r>
      <w:r w:rsidR="00DD74E1">
        <w:rPr>
          <w:rStyle w:val="highlight"/>
          <w:rFonts w:ascii="Times New Roman" w:hAnsi="Times New Roman"/>
          <w:bCs/>
          <w:color w:val="000000" w:themeColor="text1"/>
          <w:sz w:val="16"/>
          <w:szCs w:val="16"/>
        </w:rPr>
        <w:t xml:space="preserve"> </w:t>
      </w:r>
      <w:r w:rsidRPr="00E93F40">
        <w:rPr>
          <w:rFonts w:ascii="Times New Roman" w:hAnsi="Times New Roman"/>
          <w:bCs/>
          <w:color w:val="000000" w:themeColor="text1"/>
          <w:sz w:val="16"/>
          <w:szCs w:val="16"/>
        </w:rPr>
        <w:t>г. об охране имущества государственных предприятий, колхозов и кооперации и укреплении общественной ( социалистической ) собственности</w:t>
      </w:r>
    </w:p>
    <w:p w14:paraId="065E1F8E"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Секретно. </w:t>
      </w:r>
    </w:p>
    <w:p w14:paraId="63ED3A9D"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Верхсуду СССР и прокуратуре Верхсуда СССР, НКЮ союзных республик, председателям краевых (областных) судов, краевым (областным) прокурорам, председателям и прокурорам линейных судов, районным прокурорам. Председателю ГПУ Украины, полномочным представителям ОГПУ, ДТООГПУ, начальникам оперсекторов </w:t>
      </w:r>
    </w:p>
    <w:p w14:paraId="1EEE8370"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Раздел 1. Преступления, подпадающие под действие закона от 7 августа. </w:t>
      </w:r>
    </w:p>
    <w:p w14:paraId="3F351077"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Закон от 7 августа надлежит применять при хищениях государственной и общественной собственности: </w:t>
      </w:r>
    </w:p>
    <w:p w14:paraId="71C58895"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промышленной (хищения заводского и фабричного имущества); </w:t>
      </w:r>
    </w:p>
    <w:p w14:paraId="4215B6C9"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совхозной; </w:t>
      </w:r>
    </w:p>
    <w:p w14:paraId="56122432"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государственных торговых организаций; </w:t>
      </w:r>
    </w:p>
    <w:p w14:paraId="11037094"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колхозной; </w:t>
      </w:r>
    </w:p>
    <w:p w14:paraId="4C028C25"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кооперативной; </w:t>
      </w:r>
    </w:p>
    <w:p w14:paraId="18C751FE"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 грузов на железнодорожном и водном транспорте и местном автотранс порте. </w:t>
      </w:r>
    </w:p>
    <w:p w14:paraId="31A13BFD"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Раздел 2. Категории расхитителей и мера социальной защиты, которую необходимо к ним применять: </w:t>
      </w:r>
    </w:p>
    <w:p w14:paraId="11873407"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По делам об организациях и группировках, организованно разрушающих государственную, общественную и кооперативную собственность путем поджогов, взрывов и массовой порчи имущества — применять высшую меру социальной защиты — расстрел, без послабления. </w:t>
      </w:r>
    </w:p>
    <w:p w14:paraId="0AE39F3A"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В отношении кулаков, бывших торговцев и иных социально-чуждых элементов, работающих в государственных (промышленных и сельскохозяйственных — совхозы) предприятиях или учреждениях, изобличенных в хищениях имущества или растратах крупных денежных сумм этих предприятий или учреждений, а также должностных лиц государственных учреждений и предприятий, применять высшую меру наказания; при смягчающих вину обстоятельствах (в случае единичных и незначительных хищений) высшую меру наказания заменять десятилетним лишением свободы. </w:t>
      </w:r>
    </w:p>
    <w:p w14:paraId="59602DC4"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 хищениях, хотя и мелких, совершенных лицами указанных социальных категорий, но влекущих за собой расстройство или остановку работы госпредприятий (хищения частей агрегатов и машин, умышленное уничтожение или порча совхозного инвентаря и т.п.) — также применять высшую меру наказания. </w:t>
      </w:r>
    </w:p>
    <w:p w14:paraId="59C88CCC"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В отношениях кулаков, бывших торговцев и иных социально-враждебных элементов, проникших в органы снабжения, торговли и кооперации, а также должностных лиц товаропроводящей сети, изобличенных в хищении товаров или продаже их на частный рынок и растратах крупных денежных средств — применять высшую меру наказания, и лишь при смягчающих вину обстоятельствах, в случаях незначительных размеров хищений, высшую меру наказания заменять десятилетним лишением свободы. </w:t>
      </w:r>
    </w:p>
    <w:p w14:paraId="7DCE4AB8"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Той же мере наказания подвергать и спекулянтов, хотя непосредственно в хищениях не участвующих, но спекулирующих товарами и продуктами, зная, что товары эти похищены из государственных учреждений и кооперации. </w:t>
      </w:r>
    </w:p>
    <w:p w14:paraId="6E156229"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В отношении лиц, изобличенных в хищении грузов на транспорте, применяется высшая мера наказания, и лишь при смягчающих обстоятельствах (при единичных случаях хищений или хищений незначительных размеров) может быть применено десятилетнее лишение свободы. </w:t>
      </w:r>
    </w:p>
    <w:p w14:paraId="4563BFB2"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Если хищения на транспорте производятся при участии железнодорожных служащих и рабочих, то к ним должна применяться та же мера репрессии. </w:t>
      </w:r>
    </w:p>
    <w:p w14:paraId="1EBDF2CC"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В отношении кулаков, как проникших в колхоз, так и находящихся вне колхоза, организующих или принимающих участие в хищениях колхозного имущества и хлеба, применяется высшая мера наказания без послабления. </w:t>
      </w:r>
    </w:p>
    <w:p w14:paraId="78183B7F"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В отношении трудящихся единоличников и колхозников, изобличенных в хищении колхозного имущества и хлеба, должно применяться десятилетнее лишение свободы. </w:t>
      </w:r>
    </w:p>
    <w:p w14:paraId="54AF6A9A"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 отягчающих вину обстоятельствах, а именно: систематических хищениях колхозного хлеба, свеклы и других сельскохозяйственных продуктов и скота, хищениях организованными группами, хищениях в крупных размерах, хищениях, сопровождающихся насильственными действиями, террористическими актами, поджогами и т.д.— и в отношении колхозников и трудящихся единоличников должна применяться высшая мера наказания. </w:t>
      </w:r>
    </w:p>
    <w:p w14:paraId="68996C56"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В отношении председателей колхозов и членов правлений, участвующих в хищениях государственного и общественного имущества, необходимо применять высшую меру наказания и лишь при смягчающих вину обстоятельствах — десятилетнее лишение свободы. </w:t>
      </w:r>
    </w:p>
    <w:p w14:paraId="60DE09A4"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Раздел 3. О порядке направления дел по хищениям. </w:t>
      </w:r>
    </w:p>
    <w:p w14:paraId="4124AFB8"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Рассматриваются ПП ОГПУ: </w:t>
      </w:r>
    </w:p>
    <w:p w14:paraId="37760933"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Дела о хищениях, сопровождающихся массовыми выступлениями, насильственными действиями, террористическими актами, поджогами и т.д., а также дела, по которым проходят организованные группировки с большим количеством арестованных. </w:t>
      </w:r>
    </w:p>
    <w:p w14:paraId="464BBDD2"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Рассматриваются соответствующими судами: </w:t>
      </w:r>
    </w:p>
    <w:p w14:paraId="62BE0863"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Дела о хищениях на железнодорожном транспорте и все остальные дела, кроме перечисленных в п. 1 настоящего раздела. </w:t>
      </w:r>
    </w:p>
    <w:p w14:paraId="2F54BBC5" w14:textId="790BEDCE"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Раздел 4. О специальном применении декрета ЦИК и СНК от 7 августа</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w:t>
      </w:r>
    </w:p>
    <w:p w14:paraId="60B44D6E"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Допустить применение меры репрессии по делам, подпадающим поддействие закона от 7 августа в отношении преступлений, совершенных до издания закона, в случаях, когда преступления имеют общественно-политическое значение. </w:t>
      </w:r>
    </w:p>
    <w:p w14:paraId="000B5F23"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Изъять из подсудности сельских общественных и колхозных товарищеских судов дела о хищениях колхозного имущества. </w:t>
      </w:r>
    </w:p>
    <w:p w14:paraId="4F4D83F3"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ведении сельских общественных и колхозных товарищеских судов оставить лишь дела о преступлениях против личной собственности колхозников и единоличников. </w:t>
      </w:r>
    </w:p>
    <w:p w14:paraId="6BCBF0FF"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Раздел 5. О сроках ведения следствия по делам о хищениях. </w:t>
      </w:r>
    </w:p>
    <w:p w14:paraId="09E94773"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Судебно-следственные органы обязаны заканчивать дела и выносить по ним приговоры не дольше, чем в 15-дневный срок с момента раскрытия преступления и возникновения дела. </w:t>
      </w:r>
    </w:p>
    <w:p w14:paraId="5566ADF7"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Как исключение, только в отношении дел, по которым проходит большое количество обвиняемых, срок ведения дела и вынесение приговора определяется не дольше, чем 30 дней. </w:t>
      </w:r>
    </w:p>
    <w:p w14:paraId="5F2CB67E"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Председатель Верхсуда Союза ССР А.Винокуров </w:t>
      </w:r>
    </w:p>
    <w:p w14:paraId="5161F0D7"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Прокурор Верхсуда Союза ССР П.Красиков </w:t>
      </w:r>
    </w:p>
    <w:p w14:paraId="3561459E"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Зам. председателя ОГПУ И.Акулов </w:t>
      </w:r>
    </w:p>
    <w:p w14:paraId="6FB88C3F"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 Ф.17. Оп. 3. Д. 2014. Л. 33—34. Подлинник. Подписной экземпляр (17270).</w:t>
      </w:r>
    </w:p>
    <w:p w14:paraId="15E94287" w14:textId="77777777" w:rsidR="005C30D5" w:rsidRPr="00E93F40" w:rsidRDefault="005C30D5" w:rsidP="00E93F40">
      <w:pPr>
        <w:autoSpaceDE w:val="0"/>
        <w:autoSpaceDN w:val="0"/>
        <w:adjustRightInd w:val="0"/>
        <w:spacing w:after="0" w:line="240" w:lineRule="auto"/>
        <w:jc w:val="both"/>
        <w:rPr>
          <w:rFonts w:ascii="Times New Roman" w:hAnsi="Times New Roman"/>
          <w:color w:val="000000" w:themeColor="text1"/>
          <w:sz w:val="16"/>
          <w:szCs w:val="16"/>
        </w:rPr>
      </w:pPr>
    </w:p>
    <w:p w14:paraId="30A9EF6A" w14:textId="77777777" w:rsidR="00BA1CB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2527C18" w14:textId="77777777" w:rsidR="00BA1CB1" w:rsidRPr="00E93F40" w:rsidRDefault="00BA1CB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6F5C3E" w14:textId="77777777" w:rsidR="00BA1CB1" w:rsidRPr="00E93F40" w:rsidRDefault="00BA1C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г. в Англии Сайрил Увинс (</w:t>
      </w:r>
      <w:r w:rsidRPr="00E93F40">
        <w:rPr>
          <w:rFonts w:ascii="Times New Roman" w:hAnsi="Times New Roman"/>
          <w:color w:val="000000" w:themeColor="text1"/>
          <w:sz w:val="16"/>
          <w:szCs w:val="16"/>
          <w:lang w:val="en-US"/>
        </w:rPr>
        <w:t>CyrilUwins</w:t>
      </w:r>
      <w:r w:rsidRPr="00E93F40">
        <w:rPr>
          <w:rFonts w:ascii="Times New Roman" w:hAnsi="Times New Roman"/>
          <w:color w:val="000000" w:themeColor="text1"/>
          <w:sz w:val="16"/>
          <w:szCs w:val="16"/>
        </w:rPr>
        <w:t xml:space="preserve">) поднялся на самолёте Виккерс «Веспа» </w:t>
      </w:r>
      <w:r w:rsidRPr="00E93F40">
        <w:rPr>
          <w:rFonts w:ascii="Times New Roman" w:hAnsi="Times New Roman"/>
          <w:color w:val="000000" w:themeColor="text1"/>
          <w:sz w:val="16"/>
          <w:szCs w:val="16"/>
          <w:lang w:val="en-US"/>
        </w:rPr>
        <w:t>Mk</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VII</w:t>
      </w:r>
      <w:r w:rsidRPr="00E93F40">
        <w:rPr>
          <w:rFonts w:ascii="Times New Roman" w:hAnsi="Times New Roman"/>
          <w:color w:val="000000" w:themeColor="text1"/>
          <w:sz w:val="16"/>
          <w:szCs w:val="16"/>
        </w:rPr>
        <w:t xml:space="preserve"> на 13404 м. Полёт прошёл успешно, но из-за плохой погоды Увинс потерял ориентировку и совершил посадку не на том аэродроме, откуда взлетел, а это противоречило правилам Международной авиационной федерации (</w:t>
      </w:r>
      <w:r w:rsidRPr="00E93F40">
        <w:rPr>
          <w:rFonts w:ascii="Times New Roman" w:hAnsi="Times New Roman"/>
          <w:color w:val="000000" w:themeColor="text1"/>
          <w:sz w:val="16"/>
          <w:szCs w:val="16"/>
          <w:lang w:val="en-US"/>
        </w:rPr>
        <w:t>FAI</w:t>
      </w:r>
      <w:r w:rsidRPr="00E93F40">
        <w:rPr>
          <w:rFonts w:ascii="Times New Roman" w:hAnsi="Times New Roman"/>
          <w:color w:val="000000" w:themeColor="text1"/>
          <w:sz w:val="16"/>
          <w:szCs w:val="16"/>
        </w:rPr>
        <w:t>). Ранее лётчик уже совершил несколько высотных полётов, в одном из которых достиг высо</w:t>
      </w:r>
      <w:r w:rsidRPr="00E93F40">
        <w:rPr>
          <w:rFonts w:ascii="Times New Roman" w:hAnsi="Times New Roman"/>
          <w:color w:val="000000" w:themeColor="text1"/>
          <w:sz w:val="16"/>
          <w:szCs w:val="16"/>
        </w:rPr>
        <w:softHyphen/>
        <w:t>ты 12500 м.</w:t>
      </w:r>
    </w:p>
    <w:p w14:paraId="183280DB" w14:textId="77777777" w:rsidR="00BA1CB1" w:rsidRPr="00E93F40" w:rsidRDefault="00BA1C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самолёта была не новой. Первый полёт двухместный многоцелевой би</w:t>
      </w:r>
      <w:r w:rsidRPr="00E93F40">
        <w:rPr>
          <w:rFonts w:ascii="Times New Roman" w:hAnsi="Times New Roman"/>
          <w:color w:val="000000" w:themeColor="text1"/>
          <w:sz w:val="16"/>
          <w:szCs w:val="16"/>
        </w:rPr>
        <w:softHyphen/>
        <w:t>план Виккерс 113 «Веспа» совершил ещё в 1 925 г. Самолёт отличался низкой нагрузкой на крыло, так как предназначался для эксплуатации с высокогорных аэродромов, в том числе - в британских колониях в Индии и на Среднем Востоке. Благодаря этому «Веспа» хорошо подходила для высотных полётов и не требовала доработки с увеличением пло</w:t>
      </w:r>
      <w:r w:rsidRPr="00E93F40">
        <w:rPr>
          <w:rFonts w:ascii="Times New Roman" w:hAnsi="Times New Roman"/>
          <w:color w:val="000000" w:themeColor="text1"/>
          <w:sz w:val="16"/>
          <w:szCs w:val="16"/>
        </w:rPr>
        <w:softHyphen/>
        <w:t>щади крыльев.</w:t>
      </w:r>
    </w:p>
    <w:p w14:paraId="6486233B" w14:textId="77777777" w:rsidR="00BA1CB1" w:rsidRPr="00E93F40" w:rsidRDefault="00BA1C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Но всё-таки для достижения серьёзных результатов без усовершенствований было не обойтись. Самолёт облегчили, в рекордном варианте он стал одноместным. Место пилота для сохранения центровки пришлось перенести. Для работы двигателя Бристоль «Пегас» </w:t>
      </w:r>
      <w:r w:rsidRPr="00E93F40">
        <w:rPr>
          <w:rFonts w:ascii="Times New Roman" w:hAnsi="Times New Roman"/>
          <w:color w:val="000000" w:themeColor="text1"/>
          <w:sz w:val="16"/>
          <w:szCs w:val="16"/>
          <w:lang w:val="en-US"/>
        </w:rPr>
        <w:t>S</w:t>
      </w:r>
      <w:r w:rsidRPr="00E93F40">
        <w:rPr>
          <w:rFonts w:ascii="Times New Roman" w:hAnsi="Times New Roman"/>
          <w:color w:val="000000" w:themeColor="text1"/>
          <w:sz w:val="16"/>
          <w:szCs w:val="16"/>
        </w:rPr>
        <w:t>.3 с приводным центробежным нагнетателем на большой высоте использовалось специальное топливо. Мотор оснастили новым карбюратором, специальными свечами и магнето, двухлопастным высотным винтом большого диаметра. Для лучшего охлаждения масляный радиатор увеличили почти втрое, установили дополни</w:t>
      </w:r>
      <w:r w:rsidRPr="00E93F40">
        <w:rPr>
          <w:rFonts w:ascii="Times New Roman" w:hAnsi="Times New Roman"/>
          <w:color w:val="000000" w:themeColor="text1"/>
          <w:sz w:val="16"/>
          <w:szCs w:val="16"/>
        </w:rPr>
        <w:softHyphen/>
        <w:t>тельный радиатор, нижние цилиндры получи</w:t>
      </w:r>
      <w:r w:rsidRPr="00E93F40">
        <w:rPr>
          <w:rFonts w:ascii="Times New Roman" w:hAnsi="Times New Roman"/>
          <w:color w:val="000000" w:themeColor="text1"/>
          <w:sz w:val="16"/>
          <w:szCs w:val="16"/>
        </w:rPr>
        <w:softHyphen/>
        <w:t>ли индивидуальные выхлопные патрубки. По сравнению со стандартным двигателем на до</w:t>
      </w:r>
      <w:r w:rsidRPr="00E93F40">
        <w:rPr>
          <w:rFonts w:ascii="Times New Roman" w:hAnsi="Times New Roman"/>
          <w:color w:val="000000" w:themeColor="text1"/>
          <w:sz w:val="16"/>
          <w:szCs w:val="16"/>
        </w:rPr>
        <w:softHyphen/>
        <w:t>работанном диаметр рабочего колеса нагне</w:t>
      </w:r>
      <w:r w:rsidRPr="00E93F40">
        <w:rPr>
          <w:rFonts w:ascii="Times New Roman" w:hAnsi="Times New Roman"/>
          <w:color w:val="000000" w:themeColor="text1"/>
          <w:sz w:val="16"/>
          <w:szCs w:val="16"/>
        </w:rPr>
        <w:softHyphen/>
        <w:t>тателя увеличился, а степень сжатия возросла с 5,3 до 7. Мощность, составлявшая у земли 580 л.е., на высоте 3 км равнялась 540 л.с. Нагнетатель включался, начиная с высоты 3350 м. На высоте 5 км мотор развивал мощ</w:t>
      </w:r>
      <w:r w:rsidRPr="00E93F40">
        <w:rPr>
          <w:rFonts w:ascii="Times New Roman" w:hAnsi="Times New Roman"/>
          <w:color w:val="000000" w:themeColor="text1"/>
          <w:sz w:val="16"/>
          <w:szCs w:val="16"/>
        </w:rPr>
        <w:softHyphen/>
        <w:t>ность 450 л.е., на 10 км - 255 л.е., на 12 км - 170 л.с.</w:t>
      </w:r>
    </w:p>
    <w:p w14:paraId="090267D4" w14:textId="77777777" w:rsidR="00BA1CB1" w:rsidRPr="00E93F40" w:rsidRDefault="00BA1CB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Увинс использовал костюм и очки с электро</w:t>
      </w:r>
      <w:r w:rsidRPr="00E93F40">
        <w:rPr>
          <w:rFonts w:ascii="Times New Roman" w:hAnsi="Times New Roman"/>
          <w:color w:val="000000" w:themeColor="text1"/>
          <w:sz w:val="16"/>
          <w:szCs w:val="16"/>
        </w:rPr>
        <w:softHyphen/>
        <w:t>подогревом. Ручка управления самолётом была оборудована устройством, убиравшим газ при потере пилотом сознания (15974).</w:t>
      </w:r>
    </w:p>
    <w:p w14:paraId="3C55D7E1" w14:textId="77777777" w:rsidR="00BA1CB1" w:rsidRPr="00E93F40" w:rsidRDefault="00BA1CB1" w:rsidP="00E93F40">
      <w:pPr>
        <w:pStyle w:val="65"/>
        <w:shd w:val="clear" w:color="auto" w:fill="auto"/>
        <w:spacing w:before="0" w:line="240" w:lineRule="auto"/>
        <w:rPr>
          <w:rFonts w:ascii="Times New Roman" w:hAnsi="Times New Roman"/>
          <w:color w:val="000000" w:themeColor="text1"/>
          <w:sz w:val="16"/>
          <w:szCs w:val="16"/>
        </w:rPr>
      </w:pPr>
    </w:p>
    <w:p w14:paraId="41A41DE4" w14:textId="77777777" w:rsidR="000742E3" w:rsidRPr="00E93F40" w:rsidRDefault="000742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сентября 1932 Сирил Ювинс устанавливает новый рекорд высоты 43 976 футов (13 404 м) на Vickers Vespa (20803).</w:t>
      </w:r>
    </w:p>
    <w:p w14:paraId="501B9CCD" w14:textId="77777777" w:rsidR="000742E3" w:rsidRPr="00E93F40" w:rsidRDefault="000742E3" w:rsidP="00E93F40">
      <w:pPr>
        <w:spacing w:after="0" w:line="240" w:lineRule="auto"/>
        <w:jc w:val="both"/>
        <w:rPr>
          <w:rFonts w:ascii="Times New Roman" w:hAnsi="Times New Roman"/>
          <w:color w:val="000000" w:themeColor="text1"/>
          <w:sz w:val="16"/>
          <w:szCs w:val="16"/>
        </w:rPr>
      </w:pPr>
    </w:p>
    <w:p w14:paraId="612FBC82"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16 сентября 1932 г. пилот Ч.Ф. Юинс на самолете «Веспа» Мк VII установил новый абсолютный мировой рекорд высо</w:t>
      </w:r>
      <w:r w:rsidRPr="00142305">
        <w:rPr>
          <w:rStyle w:val="aff"/>
          <w:rFonts w:ascii="Times New Roman" w:hAnsi="Times New Roman" w:cs="Times New Roman"/>
          <w:color w:val="0070C0"/>
          <w:spacing w:val="0"/>
          <w:sz w:val="16"/>
          <w:szCs w:val="16"/>
        </w:rPr>
        <w:softHyphen/>
        <w:t>ты полета — 13 404 м. После рекордного полета самолет был приобретен министерством авиации, а с 1933 г. использовался для высотных исследований. Позднее был передан в учебную эскадрилью по технической подготовке, где эксплуатировался до 15 июня 1938 г. (25675).</w:t>
      </w:r>
    </w:p>
    <w:p w14:paraId="7F5FBA03" w14:textId="77777777" w:rsidR="00A3140F" w:rsidRPr="00142305" w:rsidRDefault="00A3140F" w:rsidP="00A3140F">
      <w:pPr>
        <w:spacing w:after="0" w:line="240" w:lineRule="auto"/>
        <w:jc w:val="both"/>
        <w:rPr>
          <w:rFonts w:ascii="Times New Roman" w:hAnsi="Times New Roman"/>
          <w:color w:val="0070C0"/>
          <w:sz w:val="16"/>
          <w:szCs w:val="16"/>
        </w:rPr>
      </w:pPr>
    </w:p>
    <w:p w14:paraId="44479E7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A9813C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3A8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сентября 1932 закончились испытания санитарного самолета С-1, М-11 N 3489 с мотором М-11, Е=4,95 N 8416, винт Д=2,40 м Н=1,52, которые шли с 1 сентября 1932:</w:t>
      </w:r>
    </w:p>
    <w:p w14:paraId="6C585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13A99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 ведущий самолет Мируц</w:t>
      </w:r>
    </w:p>
    <w:p w14:paraId="6BF24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Никитин</w:t>
      </w:r>
    </w:p>
    <w:p w14:paraId="48B4E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испытаний.</w:t>
      </w:r>
    </w:p>
    <w:p w14:paraId="5ED66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Выявление санитарных и летных качеств самолета и их оценка с точки зрения требований, предъявляемых к санитарному самолету.</w:t>
      </w:r>
    </w:p>
    <w:p w14:paraId="63487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вывод.</w:t>
      </w:r>
    </w:p>
    <w:p w14:paraId="6EB4F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Считать необходимым выпустить серию машин (10-15 штук) для опытной эксплуатации Санитарным управлением РККА и Обществом Красного Креста (3067,34-63).</w:t>
      </w:r>
    </w:p>
    <w:p w14:paraId="300315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6437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сентября 1932 вышло постановление СНК СССР N 1455/308с "О постройке паротурбинного авиадвигателя." (2305,18).</w:t>
      </w:r>
    </w:p>
    <w:p w14:paraId="7CC4B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63CE1C"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17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1455/308сс о постройке паротурбинного авиационного двигателя (ГА РФ. Ф. Р?8418. Оп. 28. Д. 146. Л. 124) (12415).</w:t>
      </w:r>
    </w:p>
    <w:p w14:paraId="0CE6C158"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1164/347сс о постройке целлюлозного завода на Камском целлюлозно-бумажном комбинате для производства вискозы и порохов (ГА РФ. Ф. Р?8418. Оп. 28. Д. 1а. Л. 360) (12415).</w:t>
      </w:r>
    </w:p>
    <w:p w14:paraId="0B941727"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1170/350сс об утверждении сроков платежей и валютных расходов, связанных с выполнением техпомощи фирмой «Фиат» (ГА РФ. Ф. Р?8418. Оп. 28. Д. 1а. Л. 361) (12415).</w:t>
      </w:r>
    </w:p>
    <w:p w14:paraId="4B48DFE6"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45C26541" w14:textId="77777777" w:rsidR="0094586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DB33B44" w14:textId="77777777" w:rsidR="0094586B" w:rsidRPr="00E93F40" w:rsidRDefault="0094586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F57292"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сентября 1932 г. — Справка Особого отдела ОГПУ СССР о состоянии судостроения и судоремонта для обеспечения Военно-морских сил</w:t>
      </w:r>
    </w:p>
    <w:p w14:paraId="36394732"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Реквизиты</w:t>
      </w:r>
    </w:p>
    <w:p w14:paraId="4E6D2241"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4BC7F054" w14:textId="49A28E88"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судостроения и судоремонта не обеспечивает Военно-морские силы по военному времени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силу несоответствия существующей организации и мощности судостроительных заводов и ремонтных мастерских требованиям флота. Промышленностью не освоено производство ряда механизмов и технологических процессов, необходимых для военного судостроения. Как-то: турбостроение промышленностью не освоено, в силу чего оно базируется на импорте. Из-за отсутствия достаточного количества заводов крайне затруднено размещение заказов на крупные поковки. Котлостроение также не освоено и является самым узким местом кораблестроения.</w:t>
      </w:r>
    </w:p>
    <w:p w14:paraId="505BA2C0" w14:textId="2C92B65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Дизелестроение: на Коломенском заводе освоены механизмы лишь средних подлодок. Пропускная способность завода совершенно недостаточна, несмотря на это реконструкция его в необходимых размерах не проводится. Освоение постройки дизелей для средних подлодок на «Русском дизеле» только начинается. Но и при условии реконструкции Коломенского завода и освоения производства «Русским дизелем» обеспечение программы военного времени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дизелями, без привлечения других заводов, невозможно.</w:t>
      </w:r>
    </w:p>
    <w:p w14:paraId="667F9097" w14:textId="6505813D"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Катеростроение находится в катастрофическом состоянии из-за отсутствия моторов. Производство отечественного мотора ГМ</w:t>
      </w:r>
      <w:r w:rsidRPr="00E93F40">
        <w:rPr>
          <w:rFonts w:ascii="Times New Roman" w:hAnsi="Times New Roman"/>
          <w:color w:val="000000" w:themeColor="text1"/>
          <w:sz w:val="16"/>
          <w:szCs w:val="16"/>
        </w:rPr>
        <w:noBreakHyphen/>
        <w:t>34 до сего времени не поставлено и реальных перспектив на 1932</w:t>
      </w:r>
      <w:r w:rsidRPr="00E93F40">
        <w:rPr>
          <w:rFonts w:ascii="Times New Roman" w:hAnsi="Times New Roman"/>
          <w:color w:val="000000" w:themeColor="text1"/>
          <w:sz w:val="16"/>
          <w:szCs w:val="16"/>
        </w:rPr>
        <w:noBreakHyphen/>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не имеется.</w:t>
      </w:r>
    </w:p>
    <w:p w14:paraId="46DADFD3" w14:textId="59E53749"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Электротехника. Существующее производство кабелей, аккумуляторов и прочего недостаточно. Без реконструкции существующих и постройки новых заводов обеспечение потребности мирного и военного времени неосуществимо. Кроме того, программа мирного и военного времени базируется на частичном импорте меди, сурика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 Без освоения отечественного производства этих продуктов программа судостроения военного времени нереальна.</w:t>
      </w:r>
    </w:p>
    <w:p w14:paraId="55C97BDD"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Постановка дела судостроения и судоремонта по отдельным театрам в основном выражается в следующем.</w:t>
      </w:r>
    </w:p>
    <w:p w14:paraId="2DA1C1CD"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Морские силы Балтморя</w:t>
      </w:r>
    </w:p>
    <w:p w14:paraId="31949A42" w14:textId="55D4C37C"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Судостроение. По мирному времени используются заводы Балтийский (строительство подлодок). Северная верфь (строительство эсминцев и тральщиков),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Марти (строительство торпедных катеров). К этим заводам по военному времени добавляется Сормовская верфь (строительство подлодок).</w:t>
      </w:r>
    </w:p>
    <w:p w14:paraId="2CEEA614"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Реконструкция Балтийского завода до настоящего времени не проведена, так как Союзверфь не имеет для этого ни средств, ни площади. На всех заводах «узкими» местами являются механические цеха, в силу того, что производство этих цехов отстает от производства корпусов, результатом чего является снижение темпа судостроения и удлинение сроков готовности. В связи с тем, что судостроение Ленинграда будет всегда находиться под ударом противника с воздуха, что облегчается наличием крупных недочетов в активной противовоздушной обороне прилегающих районов, исключительное значение приобретает создание тыловых баз судостроения внутри страны. Такой базой намечена Сормовская верфь, однако последняя не отвечает предъявляемым требованиям вследствие недостатка соответствующего оборудования и кадров для серийной постройки подлодок, в силу чего на ней возможна постройка лишь отдельных единиц и притом крайне медленными темпами.</w:t>
      </w:r>
    </w:p>
    <w:p w14:paraId="5A660769" w14:textId="166D5612"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Судоремонт также не обеспечивает Морские силы БМ по военному времени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мирному времени судоремонт (за исключением модернизации и капитального, осуществляемым по линии заводов), производится Кронштадтским морским заводом. Морзавод без проведения необходимой реконструкции котельного, механического и кораблестроительного цехов обеспечить судоремонт по военному времени не сможет.</w:t>
      </w:r>
    </w:p>
    <w:p w14:paraId="17371F30"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Морские силы Черного моря</w:t>
      </w:r>
    </w:p>
    <w:p w14:paraId="38B43853" w14:textId="36064BCD"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Судостроение. Корабли всех классов строятся на заводах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Марти и им. «61»¹*. Заводы расположены в зоне, отнесенной постановлением СТО к категории угрожаемых неприятелем. Поэтому давно уже назрела необходимость в оборудовании в мирное время филиала в не угрожаемой зоне, который обеспечил бы в военное время бесперебойное судостроение, а также являлся бы тыловой базой в случае вынужденной эвакуации важнейших цехов НГЗ.</w:t>
      </w:r>
    </w:p>
    <w:p w14:paraId="74E1915B" w14:textId="741FDBCE"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Намечена постройка мощного завода в Мариуполе, который мог бы обеспечить постройку судов всех классов. Потребность в постройке такого завода, помимо требований военного времени, назревает уже в мирное время при реализации судостроительной программы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так как Никгосзавод не сможет выполнить намеченное судостроение. Однако никаких реальных мер к решению этого, большой важности, вопроса еще не принято.</w:t>
      </w:r>
    </w:p>
    <w:p w14:paraId="0C923BA9" w14:textId="6C481528"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Судоремонт по мирному времени производится на НГЗ (аварийный ремонт), Николаевским военным портом (мелкий текущий ремонт), в Севастополе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мастерскими ГВП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ЧМ (текущий и аварийный ремонт, а также оборудование), Севморзаводом (аварийный ремонт и оборудование). В военное время к ним прибавляется ряд мелких мастерских торговых портов.</w:t>
      </w:r>
    </w:p>
    <w:p w14:paraId="61076F93" w14:textId="2A5B3B5B"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постановлению СТО Севморзавод должен явиться основной ремонтной базой Черноморского флота, могущей производить капитальные ремонты боевых кораблей. Между тем оборудование Севморзавода не позволяет производить заводского ремонта главных и вспомогательных механизмов основного боевого ядра флота и уже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не соответствует даже заданиям мирного времени.</w:t>
      </w:r>
    </w:p>
    <w:p w14:paraId="7550488B" w14:textId="119B04FE"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турбо-дизельного цеха и общая реконструкция Севморзавода намечена по плану, утвержденному РЗ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СТО от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Однако Союзверфью в течение двух лет ничего не сделано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 выбран вариант реконструкции, упущены все сроки, ассигнованные суммы израсходованы не по назначению. Таким образом, судоремонт флота ЧМ в военное время находится перед реальной угрозой.</w:t>
      </w:r>
    </w:p>
    <w:p w14:paraId="23FBFD26" w14:textId="494FEEBA"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Мариуполе намечены к использованию в военное время мастерские Наркомвода. В начале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поставлен вопрос об их реконструкции, но вследствие отсутствия ассигнований положение не изменилось. Между тем эти мастерские сохраняют свое значение ремонтной базы даже при постройке нового судостроительного завода, поскольку вообще целесообразно освобождение судостроения от судоремонта. Но на ближайшее время при условии, что сроки постройки нового судостроительного завода не определены, отсутствие соответствующей судоремонтной базы чревато серьезными последствиями.</w:t>
      </w:r>
    </w:p>
    <w:p w14:paraId="152B7000"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Морские силы Дальнего Востока</w:t>
      </w:r>
    </w:p>
    <w:p w14:paraId="3E7477A2"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Судостроение по мирному времени должно осуществляться на Дальзаводе и временно в Осиповском затоне (средние подлодки). Пропускная способность Дальзавода ограничена, так как по существу это судоремонтный завод. Судостроение связано с большими затруднениями вследствие того, что материалы заготовляются в Ленинграде, перебрасываются на громадные расстояния и достраиваются на месте. Согласно постановлению правительства приступлено к реконструкции завода, но таковая проводится чрезвычайно медленно.</w:t>
      </w:r>
    </w:p>
    <w:p w14:paraId="151E4E35"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Судоремонт также должен проводиться Дальзаводом, который фактически опыта по судоремонту не имеет. Положение усугубляется отсутствием мобилизационного запаса материалов и полуфабрикатов, который придется с объявлением мобилизации подавать из Европейской части СССР, вследствие чего судоремонт будет сорван.</w:t>
      </w:r>
    </w:p>
    <w:p w14:paraId="46AAFE40"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Северная военная флотилия</w:t>
      </w:r>
    </w:p>
    <w:p w14:paraId="28E8C387" w14:textId="0128B538"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Судостроение. Должен быть построен Архангельский судостроительный завод с готовностью к 1</w:t>
      </w:r>
      <w:r w:rsidR="007C1411" w:rsidRPr="00E93F40">
        <w:rPr>
          <w:color w:val="000000" w:themeColor="text1"/>
          <w:sz w:val="16"/>
          <w:szCs w:val="16"/>
        </w:rPr>
        <w:t xml:space="preserve"> </w:t>
      </w:r>
      <w:r w:rsidRPr="00E93F40">
        <w:rPr>
          <w:color w:val="000000" w:themeColor="text1"/>
          <w:sz w:val="16"/>
          <w:szCs w:val="16"/>
        </w:rPr>
        <w:t>января 1934</w:t>
      </w:r>
      <w:r w:rsidR="007C1411" w:rsidRPr="00E93F40">
        <w:rPr>
          <w:color w:val="000000" w:themeColor="text1"/>
          <w:sz w:val="16"/>
          <w:szCs w:val="16"/>
        </w:rPr>
        <w:t xml:space="preserve"> </w:t>
      </w:r>
      <w:r w:rsidRPr="00E93F40">
        <w:rPr>
          <w:color w:val="000000" w:themeColor="text1"/>
          <w:sz w:val="16"/>
          <w:szCs w:val="16"/>
        </w:rPr>
        <w:t>г., причем в 1933</w:t>
      </w:r>
      <w:r w:rsidR="007C1411" w:rsidRPr="00E93F40">
        <w:rPr>
          <w:color w:val="000000" w:themeColor="text1"/>
          <w:sz w:val="16"/>
          <w:szCs w:val="16"/>
        </w:rPr>
        <w:t xml:space="preserve"> </w:t>
      </w:r>
      <w:r w:rsidRPr="00E93F40">
        <w:rPr>
          <w:color w:val="000000" w:themeColor="text1"/>
          <w:sz w:val="16"/>
          <w:szCs w:val="16"/>
        </w:rPr>
        <w:t>г. должна быть обеспечена возможность достройки подлодок среднего тоннажа, строящихся на заводах в центре. Однако Союзверфью до сего времени не разработаны проекты, и строительство завода не обеспечивается в намеченные сроки.</w:t>
      </w:r>
    </w:p>
    <w:p w14:paraId="04A1E990" w14:textId="77777777"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lastRenderedPageBreak/>
        <w:t>Судоремонт. Ремонтной базой намечен суд[оремонтный] завод Наркомвода в Архангельске. Согласно постановлению правительства должна быть проведена его реконструкция. Но работы в этом направлении не проводятся, несмотря на то что мастерские не справляются с заданиями по мирному времени.</w:t>
      </w:r>
    </w:p>
    <w:p w14:paraId="5289F2C8" w14:textId="139D7010"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Таким образом, судостроение и судоремонт на Морских силах находятся в состоянии, не обеспечивающем потребности военного времени на 1933</w:t>
      </w:r>
      <w:r w:rsidR="007C1411" w:rsidRPr="00E93F40">
        <w:rPr>
          <w:color w:val="000000" w:themeColor="text1"/>
          <w:sz w:val="16"/>
          <w:szCs w:val="16"/>
        </w:rPr>
        <w:t xml:space="preserve"> </w:t>
      </w:r>
      <w:r w:rsidRPr="00E93F40">
        <w:rPr>
          <w:color w:val="000000" w:themeColor="text1"/>
          <w:sz w:val="16"/>
          <w:szCs w:val="16"/>
        </w:rPr>
        <w:t>г.</w:t>
      </w:r>
    </w:p>
    <w:p w14:paraId="1133C8B6" w14:textId="0FDE81B5" w:rsidR="0094586B" w:rsidRPr="00E93F40" w:rsidRDefault="0094586B" w:rsidP="00E93F40">
      <w:pPr>
        <w:pStyle w:val="ae"/>
        <w:spacing w:before="0" w:after="0"/>
        <w:jc w:val="both"/>
        <w:rPr>
          <w:color w:val="000000" w:themeColor="text1"/>
          <w:sz w:val="16"/>
          <w:szCs w:val="16"/>
        </w:rPr>
      </w:pPr>
      <w:r w:rsidRPr="00E93F40">
        <w:rPr>
          <w:rStyle w:val="af0"/>
          <w:i w:val="0"/>
          <w:color w:val="000000" w:themeColor="text1"/>
          <w:sz w:val="16"/>
          <w:szCs w:val="16"/>
        </w:rPr>
        <w:t>Помощник начальника</w:t>
      </w:r>
      <w:r w:rsidRPr="00E93F40">
        <w:rPr>
          <w:color w:val="000000" w:themeColor="text1"/>
          <w:sz w:val="16"/>
          <w:szCs w:val="16"/>
        </w:rPr>
        <w:t xml:space="preserve"> 5 </w:t>
      </w:r>
      <w:r w:rsidRPr="00E93F40">
        <w:rPr>
          <w:rStyle w:val="af0"/>
          <w:i w:val="0"/>
          <w:color w:val="000000" w:themeColor="text1"/>
          <w:sz w:val="16"/>
          <w:szCs w:val="16"/>
        </w:rPr>
        <w:t>отделения ОО</w:t>
      </w:r>
      <w:r w:rsidR="007C1411" w:rsidRPr="00E93F40">
        <w:rPr>
          <w:rStyle w:val="af0"/>
          <w:i w:val="0"/>
          <w:color w:val="000000" w:themeColor="text1"/>
          <w:sz w:val="16"/>
          <w:szCs w:val="16"/>
        </w:rPr>
        <w:t xml:space="preserve"> </w:t>
      </w:r>
      <w:r w:rsidRPr="00E93F40">
        <w:rPr>
          <w:rStyle w:val="af0"/>
          <w:i w:val="0"/>
          <w:color w:val="000000" w:themeColor="text1"/>
          <w:sz w:val="16"/>
          <w:szCs w:val="16"/>
        </w:rPr>
        <w:t>ОГПУ</w:t>
      </w:r>
      <w:r w:rsidR="007C1411" w:rsidRPr="00E93F40">
        <w:rPr>
          <w:rStyle w:val="af0"/>
          <w:i w:val="0"/>
          <w:color w:val="000000" w:themeColor="text1"/>
          <w:sz w:val="16"/>
          <w:szCs w:val="16"/>
        </w:rPr>
        <w:t xml:space="preserve"> </w:t>
      </w:r>
      <w:r w:rsidRPr="00E93F40">
        <w:rPr>
          <w:rStyle w:val="af0"/>
          <w:i w:val="0"/>
          <w:color w:val="000000" w:themeColor="text1"/>
          <w:sz w:val="16"/>
          <w:szCs w:val="16"/>
        </w:rPr>
        <w:t>Давыдов²*</w:t>
      </w:r>
    </w:p>
    <w:p w14:paraId="0AA7B0BB" w14:textId="77777777" w:rsidR="0094586B" w:rsidRPr="00E93F40" w:rsidRDefault="0094586B"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5E33BBC4" w14:textId="5CD80D35" w:rsidR="0094586B" w:rsidRPr="00E93F40" w:rsidRDefault="0094586B" w:rsidP="00E93F40">
      <w:pPr>
        <w:pStyle w:val="ae"/>
        <w:spacing w:before="0" w:after="0"/>
        <w:jc w:val="both"/>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w:t>
      </w:r>
    </w:p>
    <w:p w14:paraId="01B73323" w14:textId="794CFC2B"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Давыдов Николай Михайлович (1901, Петербургская губ. — 22.09.38, Петропавловск-Камчатский). Родился в семье рабочего-вальцовщика. Русский. В КП с 04.20 (член РКСМ 1919—1921). Образование: церковно-приходская школа, г.</w:t>
      </w:r>
      <w:r w:rsidR="007C1411" w:rsidRPr="00E93F40">
        <w:rPr>
          <w:color w:val="000000" w:themeColor="text1"/>
          <w:sz w:val="16"/>
          <w:szCs w:val="16"/>
        </w:rPr>
        <w:t xml:space="preserve"> </w:t>
      </w:r>
      <w:r w:rsidRPr="00E93F40">
        <w:rPr>
          <w:color w:val="000000" w:themeColor="text1"/>
          <w:sz w:val="16"/>
          <w:szCs w:val="16"/>
        </w:rPr>
        <w:t>Колпино; 5</w:t>
      </w:r>
      <w:r w:rsidR="007C1411" w:rsidRPr="00E93F40">
        <w:rPr>
          <w:color w:val="000000" w:themeColor="text1"/>
          <w:sz w:val="16"/>
          <w:szCs w:val="16"/>
        </w:rPr>
        <w:t xml:space="preserve"> </w:t>
      </w:r>
      <w:r w:rsidRPr="00E93F40">
        <w:rPr>
          <w:color w:val="000000" w:themeColor="text1"/>
          <w:sz w:val="16"/>
          <w:szCs w:val="16"/>
        </w:rPr>
        <w:t>классов реального училища, Колпино 1917. Рабочий, Колпино 1917; проживал с отцом на станции Петухово, Сибирь 1917—1919; табельщик на станц.Курган 1919—09.19.</w:t>
      </w:r>
    </w:p>
    <w:p w14:paraId="6C316C86" w14:textId="007CBB3D"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В органах ВЧК—ОГПУ—НКВД: информатор Курганской уезд. ТЧК 09.19—06.20; пом. уполн. и уполн. Петропавловской уезд. ТЧК Омской ж. д. 06.20—03.21; уполн. Петроградской окр. ТЧК 03.21—06.21; нач. СОЧ Бологоевского отд-я РТЧК Николаевской ж.</w:t>
      </w:r>
      <w:r w:rsidR="007C1411" w:rsidRPr="00E93F40">
        <w:rPr>
          <w:color w:val="000000" w:themeColor="text1"/>
          <w:sz w:val="16"/>
          <w:szCs w:val="16"/>
        </w:rPr>
        <w:t xml:space="preserve"> </w:t>
      </w:r>
      <w:r w:rsidRPr="00E93F40">
        <w:rPr>
          <w:color w:val="000000" w:themeColor="text1"/>
          <w:sz w:val="16"/>
          <w:szCs w:val="16"/>
        </w:rPr>
        <w:t>д. 06.21—10.21; пом. нач. информационного отделения окр. ТЧК, станц. Омск 10.21—10.22; нач. ИНФО ОО 21</w:t>
      </w:r>
      <w:r w:rsidR="007C1411" w:rsidRPr="00E93F40">
        <w:rPr>
          <w:color w:val="000000" w:themeColor="text1"/>
          <w:sz w:val="16"/>
          <w:szCs w:val="16"/>
        </w:rPr>
        <w:t xml:space="preserve"> </w:t>
      </w:r>
      <w:r w:rsidRPr="00E93F40">
        <w:rPr>
          <w:color w:val="000000" w:themeColor="text1"/>
          <w:sz w:val="16"/>
          <w:szCs w:val="16"/>
        </w:rPr>
        <w:t>стр.</w:t>
      </w:r>
      <w:r w:rsidR="007C1411" w:rsidRPr="00E93F40">
        <w:rPr>
          <w:color w:val="000000" w:themeColor="text1"/>
          <w:sz w:val="16"/>
          <w:szCs w:val="16"/>
        </w:rPr>
        <w:t xml:space="preserve"> </w:t>
      </w:r>
      <w:r w:rsidRPr="00E93F40">
        <w:rPr>
          <w:color w:val="000000" w:themeColor="text1"/>
          <w:sz w:val="16"/>
          <w:szCs w:val="16"/>
        </w:rPr>
        <w:t>дивизии 10.22—10.23; пом.</w:t>
      </w:r>
      <w:r w:rsidR="007C1411" w:rsidRPr="00E93F40">
        <w:rPr>
          <w:color w:val="000000" w:themeColor="text1"/>
          <w:sz w:val="16"/>
          <w:szCs w:val="16"/>
        </w:rPr>
        <w:t xml:space="preserve"> </w:t>
      </w:r>
      <w:r w:rsidRPr="00E93F40">
        <w:rPr>
          <w:color w:val="000000" w:themeColor="text1"/>
          <w:sz w:val="16"/>
          <w:szCs w:val="16"/>
        </w:rPr>
        <w:t>нач.</w:t>
      </w:r>
      <w:r w:rsidR="007C1411" w:rsidRPr="00E93F40">
        <w:rPr>
          <w:color w:val="000000" w:themeColor="text1"/>
          <w:sz w:val="16"/>
          <w:szCs w:val="16"/>
        </w:rPr>
        <w:t xml:space="preserve"> </w:t>
      </w:r>
      <w:r w:rsidRPr="00E93F40">
        <w:rPr>
          <w:color w:val="000000" w:themeColor="text1"/>
          <w:sz w:val="16"/>
          <w:szCs w:val="16"/>
        </w:rPr>
        <w:t>ОО 21</w:t>
      </w:r>
      <w:r w:rsidR="007C1411" w:rsidRPr="00E93F40">
        <w:rPr>
          <w:color w:val="000000" w:themeColor="text1"/>
          <w:sz w:val="16"/>
          <w:szCs w:val="16"/>
        </w:rPr>
        <w:t xml:space="preserve"> </w:t>
      </w:r>
      <w:r w:rsidRPr="00E93F40">
        <w:rPr>
          <w:color w:val="000000" w:themeColor="text1"/>
          <w:sz w:val="16"/>
          <w:szCs w:val="16"/>
        </w:rPr>
        <w:t>стр.</w:t>
      </w:r>
      <w:r w:rsidR="007C1411" w:rsidRPr="00E93F40">
        <w:rPr>
          <w:color w:val="000000" w:themeColor="text1"/>
          <w:sz w:val="16"/>
          <w:szCs w:val="16"/>
        </w:rPr>
        <w:t xml:space="preserve"> </w:t>
      </w:r>
      <w:r w:rsidRPr="00E93F40">
        <w:rPr>
          <w:color w:val="000000" w:themeColor="text1"/>
          <w:sz w:val="16"/>
          <w:szCs w:val="16"/>
        </w:rPr>
        <w:t>дивизии 10.23—?; нач.</w:t>
      </w:r>
      <w:r w:rsidR="007C1411" w:rsidRPr="00E93F40">
        <w:rPr>
          <w:color w:val="000000" w:themeColor="text1"/>
          <w:sz w:val="16"/>
          <w:szCs w:val="16"/>
        </w:rPr>
        <w:t xml:space="preserve"> </w:t>
      </w:r>
      <w:r w:rsidRPr="00E93F40">
        <w:rPr>
          <w:color w:val="000000" w:themeColor="text1"/>
          <w:sz w:val="16"/>
          <w:szCs w:val="16"/>
        </w:rPr>
        <w:t>ОО 21</w:t>
      </w:r>
      <w:r w:rsidR="007C1411" w:rsidRPr="00E93F40">
        <w:rPr>
          <w:color w:val="000000" w:themeColor="text1"/>
          <w:sz w:val="16"/>
          <w:szCs w:val="16"/>
        </w:rPr>
        <w:t xml:space="preserve"> </w:t>
      </w:r>
      <w:r w:rsidRPr="00E93F40">
        <w:rPr>
          <w:color w:val="000000" w:themeColor="text1"/>
          <w:sz w:val="16"/>
          <w:szCs w:val="16"/>
        </w:rPr>
        <w:t>стр.</w:t>
      </w:r>
      <w:r w:rsidR="007C1411" w:rsidRPr="00E93F40">
        <w:rPr>
          <w:color w:val="000000" w:themeColor="text1"/>
          <w:sz w:val="16"/>
          <w:szCs w:val="16"/>
        </w:rPr>
        <w:t xml:space="preserve"> </w:t>
      </w:r>
      <w:r w:rsidRPr="00E93F40">
        <w:rPr>
          <w:color w:val="000000" w:themeColor="text1"/>
          <w:sz w:val="16"/>
          <w:szCs w:val="16"/>
        </w:rPr>
        <w:t>дивизии ?—11.07.26; пом.</w:t>
      </w:r>
      <w:r w:rsidR="007C1411" w:rsidRPr="00E93F40">
        <w:rPr>
          <w:color w:val="000000" w:themeColor="text1"/>
          <w:sz w:val="16"/>
          <w:szCs w:val="16"/>
        </w:rPr>
        <w:t xml:space="preserve"> </w:t>
      </w:r>
      <w:r w:rsidRPr="00E93F40">
        <w:rPr>
          <w:color w:val="000000" w:themeColor="text1"/>
          <w:sz w:val="16"/>
          <w:szCs w:val="16"/>
        </w:rPr>
        <w:t>нач.</w:t>
      </w:r>
      <w:r w:rsidR="007C1411" w:rsidRPr="00E93F40">
        <w:rPr>
          <w:color w:val="000000" w:themeColor="text1"/>
          <w:sz w:val="16"/>
          <w:szCs w:val="16"/>
        </w:rPr>
        <w:t xml:space="preserve"> </w:t>
      </w:r>
      <w:r w:rsidRPr="00E93F40">
        <w:rPr>
          <w:color w:val="000000" w:themeColor="text1"/>
          <w:sz w:val="16"/>
          <w:szCs w:val="16"/>
        </w:rPr>
        <w:t>ОО 5</w:t>
      </w:r>
      <w:r w:rsidR="007C1411" w:rsidRPr="00E93F40">
        <w:rPr>
          <w:color w:val="000000" w:themeColor="text1"/>
          <w:sz w:val="16"/>
          <w:szCs w:val="16"/>
        </w:rPr>
        <w:t xml:space="preserve"> </w:t>
      </w:r>
      <w:r w:rsidRPr="00E93F40">
        <w:rPr>
          <w:color w:val="000000" w:themeColor="text1"/>
          <w:sz w:val="16"/>
          <w:szCs w:val="16"/>
        </w:rPr>
        <w:t>стр.</w:t>
      </w:r>
      <w:r w:rsidR="007C1411" w:rsidRPr="00E93F40">
        <w:rPr>
          <w:color w:val="000000" w:themeColor="text1"/>
          <w:sz w:val="16"/>
          <w:szCs w:val="16"/>
        </w:rPr>
        <w:t xml:space="preserve"> </w:t>
      </w:r>
      <w:r w:rsidRPr="00E93F40">
        <w:rPr>
          <w:color w:val="000000" w:themeColor="text1"/>
          <w:sz w:val="16"/>
          <w:szCs w:val="16"/>
        </w:rPr>
        <w:t>дивизии БВО 07.26—06.27; зам. нач. ОО 5 стр. корпуса БВО 06.27—12.28; уполн. ОО ОГПУ СССР 12.28—?; опер. уполн. 5 отд-я ОО</w:t>
      </w:r>
      <w:r w:rsidR="007C1411" w:rsidRPr="00E93F40">
        <w:rPr>
          <w:color w:val="000000" w:themeColor="text1"/>
          <w:sz w:val="16"/>
          <w:szCs w:val="16"/>
        </w:rPr>
        <w:t xml:space="preserve"> </w:t>
      </w:r>
      <w:r w:rsidRPr="00E93F40">
        <w:rPr>
          <w:color w:val="000000" w:themeColor="text1"/>
          <w:sz w:val="16"/>
          <w:szCs w:val="16"/>
        </w:rPr>
        <w:t>ОГПУ</w:t>
      </w:r>
      <w:r w:rsidR="007C1411" w:rsidRPr="00E93F40">
        <w:rPr>
          <w:color w:val="000000" w:themeColor="text1"/>
          <w:sz w:val="16"/>
          <w:szCs w:val="16"/>
        </w:rPr>
        <w:t xml:space="preserve"> </w:t>
      </w:r>
      <w:r w:rsidRPr="00E93F40">
        <w:rPr>
          <w:color w:val="000000" w:themeColor="text1"/>
          <w:sz w:val="16"/>
          <w:szCs w:val="16"/>
        </w:rPr>
        <w:t>СССР 11.31—01.06.32; пом. нач. 5 отд-я ОО ОГПУ СССР 01.06.32—19.01.33; зам. нач. ОО ПП ОГПУ по Крыму 01.33—10.07.34; зам. нач. ОО УГБ УНКВД Крымской АССР и ОО 3</w:t>
      </w:r>
      <w:r w:rsidR="007C1411" w:rsidRPr="00E93F40">
        <w:rPr>
          <w:color w:val="000000" w:themeColor="text1"/>
          <w:sz w:val="16"/>
          <w:szCs w:val="16"/>
        </w:rPr>
        <w:t xml:space="preserve"> </w:t>
      </w:r>
      <w:r w:rsidRPr="00E93F40">
        <w:rPr>
          <w:color w:val="000000" w:themeColor="text1"/>
          <w:sz w:val="16"/>
          <w:szCs w:val="16"/>
        </w:rPr>
        <w:t>кав. дивизии 13.07.34—09.34; в распоряжении УНКВД Дальневосточного края 09.34—11.34; зам. нач. ОО ГУГБ НКВД Приморской группы войск 17.11.34—22.10.37; врид нач. ОО Приморской группы войск 22.10.37—04.38; нач. 5</w:t>
      </w:r>
      <w:r w:rsidR="007C1411" w:rsidRPr="00E93F40">
        <w:rPr>
          <w:color w:val="000000" w:themeColor="text1"/>
          <w:sz w:val="16"/>
          <w:szCs w:val="16"/>
        </w:rPr>
        <w:t xml:space="preserve"> </w:t>
      </w:r>
      <w:r w:rsidRPr="00E93F40">
        <w:rPr>
          <w:color w:val="000000" w:themeColor="text1"/>
          <w:sz w:val="16"/>
          <w:szCs w:val="16"/>
        </w:rPr>
        <w:t>отд. УГБ УНКВД Уссурийской обл. 22.10.37—04.38; врид нач. УНКВД Камчатской обл. 04.38—22.09.38.</w:t>
      </w:r>
    </w:p>
    <w:p w14:paraId="3F1D5455" w14:textId="77777777"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Выстрелил себе в висок 21.09.38. Умер в больнице.</w:t>
      </w:r>
    </w:p>
    <w:p w14:paraId="633910D3" w14:textId="77777777"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Звание: капитан ГБ 27.06.36.</w:t>
      </w:r>
    </w:p>
    <w:p w14:paraId="1F476797" w14:textId="24EF17BE" w:rsidR="0094586B" w:rsidRPr="00E93F40" w:rsidRDefault="0094586B" w:rsidP="00E93F40">
      <w:pPr>
        <w:pStyle w:val="rtejustify"/>
        <w:spacing w:before="0" w:after="0"/>
        <w:rPr>
          <w:color w:val="000000" w:themeColor="text1"/>
          <w:sz w:val="16"/>
          <w:szCs w:val="16"/>
        </w:rPr>
      </w:pPr>
      <w:r w:rsidRPr="00E93F40">
        <w:rPr>
          <w:color w:val="000000" w:themeColor="text1"/>
          <w:sz w:val="16"/>
          <w:szCs w:val="16"/>
        </w:rPr>
        <w:t>Из книги: Н.</w:t>
      </w:r>
      <w:r w:rsidR="007C1411" w:rsidRPr="00E93F40">
        <w:rPr>
          <w:color w:val="000000" w:themeColor="text1"/>
          <w:sz w:val="16"/>
          <w:szCs w:val="16"/>
        </w:rPr>
        <w:t xml:space="preserve"> </w:t>
      </w:r>
      <w:r w:rsidRPr="00E93F40">
        <w:rPr>
          <w:color w:val="000000" w:themeColor="text1"/>
          <w:sz w:val="16"/>
          <w:szCs w:val="16"/>
        </w:rPr>
        <w:t>В.</w:t>
      </w:r>
      <w:r w:rsidR="007C1411" w:rsidRPr="00E93F40">
        <w:rPr>
          <w:color w:val="000000" w:themeColor="text1"/>
          <w:sz w:val="16"/>
          <w:szCs w:val="16"/>
        </w:rPr>
        <w:t xml:space="preserve"> </w:t>
      </w:r>
      <w:r w:rsidRPr="00E93F40">
        <w:rPr>
          <w:color w:val="000000" w:themeColor="text1"/>
          <w:sz w:val="16"/>
          <w:szCs w:val="16"/>
        </w:rPr>
        <w:t>Петров, К.</w:t>
      </w:r>
      <w:r w:rsidR="007C1411" w:rsidRPr="00E93F40">
        <w:rPr>
          <w:color w:val="000000" w:themeColor="text1"/>
          <w:sz w:val="16"/>
          <w:szCs w:val="16"/>
        </w:rPr>
        <w:t xml:space="preserve"> </w:t>
      </w:r>
      <w:r w:rsidRPr="00E93F40">
        <w:rPr>
          <w:color w:val="000000" w:themeColor="text1"/>
          <w:sz w:val="16"/>
          <w:szCs w:val="16"/>
        </w:rPr>
        <w:t>В.</w:t>
      </w:r>
      <w:r w:rsidR="007C1411" w:rsidRPr="00E93F40">
        <w:rPr>
          <w:color w:val="000000" w:themeColor="text1"/>
          <w:sz w:val="16"/>
          <w:szCs w:val="16"/>
        </w:rPr>
        <w:t xml:space="preserve"> </w:t>
      </w:r>
      <w:r w:rsidRPr="00E93F40">
        <w:rPr>
          <w:color w:val="000000" w:themeColor="text1"/>
          <w:sz w:val="16"/>
          <w:szCs w:val="16"/>
        </w:rPr>
        <w:t>Скоркин "Кто руководил НКВД. 1934</w:t>
      </w:r>
      <w:r w:rsidRPr="00E93F40">
        <w:rPr>
          <w:color w:val="000000" w:themeColor="text1"/>
          <w:sz w:val="16"/>
          <w:szCs w:val="16"/>
        </w:rPr>
        <w:noBreakHyphen/>
        <w:t>1941.</w:t>
      </w:r>
    </w:p>
    <w:p w14:paraId="115DC5C7" w14:textId="77777777" w:rsidR="0094586B" w:rsidRPr="00E93F40" w:rsidRDefault="0094586B" w:rsidP="00E93F40">
      <w:pPr>
        <w:pStyle w:val="ae"/>
        <w:spacing w:before="0" w:after="0"/>
        <w:jc w:val="both"/>
        <w:rPr>
          <w:color w:val="000000" w:themeColor="text1"/>
          <w:sz w:val="16"/>
          <w:szCs w:val="16"/>
        </w:rPr>
      </w:pPr>
      <w:r w:rsidRPr="00E93F40">
        <w:rPr>
          <w:color w:val="000000" w:themeColor="text1"/>
          <w:sz w:val="16"/>
          <w:szCs w:val="16"/>
        </w:rPr>
        <w:t>РГАВМФ. Ф. р-360. Оп. 2. Д. 303. Л. 117—122. Подлинник.</w:t>
      </w:r>
    </w:p>
    <w:p w14:paraId="5579266E" w14:textId="44B82F7F"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РГАВМФ. Ф. р-360. Оп. 2. Д. 303. Л. 117—122. Подлинник. </w:t>
      </w:r>
    </w:p>
    <w:p w14:paraId="23C41A36" w14:textId="317CEC7E"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712-715 (12571).</w:t>
      </w:r>
    </w:p>
    <w:p w14:paraId="352E51B3" w14:textId="77777777" w:rsidR="0094586B" w:rsidRPr="00E93F40" w:rsidRDefault="0094586B" w:rsidP="00E93F40">
      <w:pPr>
        <w:spacing w:after="0" w:line="240" w:lineRule="auto"/>
        <w:jc w:val="both"/>
        <w:rPr>
          <w:rFonts w:ascii="Times New Roman" w:hAnsi="Times New Roman"/>
          <w:color w:val="000000" w:themeColor="text1"/>
          <w:sz w:val="16"/>
          <w:szCs w:val="16"/>
        </w:rPr>
      </w:pPr>
    </w:p>
    <w:p w14:paraId="4D010FD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CC8FCA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9154D5" w14:textId="77777777" w:rsidR="00A34BF2" w:rsidRPr="00E93F40" w:rsidRDefault="00A34BF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 xml:space="preserve">17 сентября 1932 г. принято Постановление ЦИКи СНК СССР «О мерах и весах». Установлено, что на территории СССР применяется международная метрическая система мер. В 2013 г. в России эта система мер действует в виде системы </w:t>
      </w:r>
      <w:r w:rsidRPr="00E93F40">
        <w:rPr>
          <w:rFonts w:ascii="Times New Roman" w:hAnsi="Times New Roman"/>
          <w:bCs/>
          <w:iCs/>
          <w:color w:val="000000" w:themeColor="text1"/>
          <w:sz w:val="16"/>
          <w:szCs w:val="16"/>
        </w:rPr>
        <w:t>Си</w:t>
      </w:r>
      <w:r w:rsidRPr="00E93F40">
        <w:rPr>
          <w:rFonts w:ascii="Times New Roman" w:hAnsi="Times New Roman"/>
          <w:color w:val="000000" w:themeColor="text1"/>
          <w:sz w:val="16"/>
          <w:szCs w:val="16"/>
        </w:rPr>
        <w:t xml:space="preserve"> (1960 г.), которая в 1901 г. была предложена волновым героем итальянцем Джиорджи (17325).</w:t>
      </w:r>
    </w:p>
    <w:p w14:paraId="337031C4" w14:textId="77777777" w:rsidR="00A34BF2" w:rsidRPr="00E93F40" w:rsidRDefault="00A34BF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232037E" w14:textId="77777777" w:rsidR="00BA1CB1" w:rsidRPr="00E93F40" w:rsidRDefault="00BA1CB1"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17 сентября </w:t>
      </w:r>
      <w:r w:rsidRPr="00E93F40">
        <w:rPr>
          <w:rFonts w:ascii="Times New Roman" w:hAnsi="Times New Roman"/>
          <w:color w:val="000000" w:themeColor="text1"/>
          <w:sz w:val="16"/>
          <w:szCs w:val="16"/>
        </w:rPr>
        <w:t>в 1932 году в связи с 40-летием литературной деятельности Максима Горького его имя было присвоено Тверской улице в Москве, Московскому Художественному театру и городу Нижний Новгород (14772).</w:t>
      </w:r>
    </w:p>
    <w:p w14:paraId="03BCEA12" w14:textId="77777777" w:rsidR="00BA1CB1" w:rsidRPr="00E93F40" w:rsidRDefault="00BA1CB1" w:rsidP="00E93F40">
      <w:pPr>
        <w:spacing w:after="0" w:line="240" w:lineRule="auto"/>
        <w:jc w:val="both"/>
        <w:rPr>
          <w:rFonts w:ascii="Times New Roman" w:hAnsi="Times New Roman"/>
          <w:color w:val="000000" w:themeColor="text1"/>
          <w:sz w:val="16"/>
          <w:szCs w:val="16"/>
        </w:rPr>
      </w:pPr>
    </w:p>
    <w:p w14:paraId="016C5A3B"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17 и 23 сентября 1932. Из протокола заседания Политбюро № 116, 1932 г.</w:t>
      </w:r>
    </w:p>
    <w:p w14:paraId="34CE4AEC"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тов. М. Горьком </w:t>
      </w:r>
    </w:p>
    <w:p w14:paraId="691D1022"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Утвердить предложенный тов. Енукидзе проект постановления ЦИК СССР о мероприятиях в ознаменование 40-летия литературной деятельности М. Горького (см. приложение). </w:t>
      </w:r>
    </w:p>
    <w:p w14:paraId="1B00C9E0"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Предложить Президиуму ЦИК СССР издать следующее постановление: </w:t>
      </w:r>
    </w:p>
    <w:p w14:paraId="084D462F"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"Наградить великого пролетарского писателя тов. М. Горького орденом Ленина за его неоценимые литературные заслуги перед рабочим классом и трудящимися СССР". </w:t>
      </w:r>
    </w:p>
    <w:p w14:paraId="178A2835"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Принять предложение тов. Енукидзе об устройстве торжественного заседания, посвященного юбилею М. Горького, 25 сентября в Большом театре (11652).</w:t>
      </w:r>
    </w:p>
    <w:p w14:paraId="2A353666"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p>
    <w:p w14:paraId="5674A2EC"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17 и 23 сентября 1932. Из протокола заседания Политбюро № 116, 1932 г.</w:t>
      </w:r>
    </w:p>
    <w:p w14:paraId="539B1698"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 постановления Президиума ЦИК СССР </w:t>
      </w:r>
    </w:p>
    <w:p w14:paraId="7FBE9D68"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ознаменование 40-летия литературной деятельности Максима Горького Президиум ЦИК СССР, отмечая заслуги Максима Горького, постановляет: </w:t>
      </w:r>
    </w:p>
    <w:p w14:paraId="4EA996F7"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Основать в Москве Литературный институт имени Максима Горького. </w:t>
      </w:r>
    </w:p>
    <w:p w14:paraId="5B11690E"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Литературный институт им. Максима Горького организуется: </w:t>
      </w:r>
    </w:p>
    <w:p w14:paraId="45F82A6F"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как литературный учебный центр, дающий возможность писателям, творчески себя проявившим, и в первую очередь писателям из среды рабочих и крестьян, повысить свою квалификацию, получить всестороннее развитие и критически усвоить наследие литературного прошлого; </w:t>
      </w:r>
    </w:p>
    <w:p w14:paraId="5C80B0D3"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как лаборатория для изучения художественной литературы народов Союза ССР. </w:t>
      </w:r>
    </w:p>
    <w:p w14:paraId="500C79F3"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В учебной работе вновь организуемого института применяется метод обучения, учитывающий особенности каждого работающего в институте писателя, его творческие навыки и приемы. </w:t>
      </w:r>
    </w:p>
    <w:p w14:paraId="09AF3D51"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Литературный институт им. Максима Горького обеспечивается собственным зданием, при постройке которого должны быть приняты во внимание специальные задачи института и условия его работы, в частности, здание института должно включить в себя наряду с учебными помещениями жилые помещения для слушателей института... </w:t>
      </w:r>
    </w:p>
    <w:p w14:paraId="22CFFE55"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Учредить в высших учебных заведениях Союза ССР 100 стипендий имени Максима Горького... </w:t>
      </w:r>
    </w:p>
    <w:p w14:paraId="205CB54F"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Создать специальный фонд имени Максима Горького на премирование за лучшие художественные произведения на языках народов Союза ССР (11652).</w:t>
      </w:r>
    </w:p>
    <w:p w14:paraId="1FA4548B"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p>
    <w:p w14:paraId="7E4C1EDA"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17 и 23 сентября 1932. Из протокола заседания Политбюро № 116, 1932 г.</w:t>
      </w:r>
    </w:p>
    <w:p w14:paraId="4948808A"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борьбе с нарушениями закона при продажах хлеба на рынках </w:t>
      </w:r>
    </w:p>
    <w:p w14:paraId="7D7804F9"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Утвердить с поправками текст директивы ОГПУ органам ОГПУ на местах. </w:t>
      </w:r>
    </w:p>
    <w:p w14:paraId="0063B24E"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Принять меры к обеспечению действительно полного оповещения всего сельского населения о постановлении Правительства, запрещающем торговлю хлебом ранее 15 января 1933 года, путем объявлений на сходах, вывешивания плакатов на базарах и других общественных местах, публикаций в районных газетах и проч. </w:t>
      </w:r>
    </w:p>
    <w:p w14:paraId="0BBC18E8"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Прекратить всякую торговлю зерном и мукой на рынках и базарах. </w:t>
      </w:r>
    </w:p>
    <w:p w14:paraId="4A142318"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Привозимую на базар для продажи муку и зерно отбирать и в тех случаях, когда хлеб привезен самим производителем его — колхозником и единоличником, засчитывать его в счет плана заготовок колхоза или единоличника, обеспечивая выдачу ему квитанций заготовительным пунктом и выплату стоимости отобранного хлеба по заготовительной цене, но не допускать устройства облав на рынках и базарах и организацию по дорогам на базары заградительных отрядов и заслонов. </w:t>
      </w:r>
    </w:p>
    <w:p w14:paraId="01933B63"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Фактическое отобрание зерна и муки на рынках производить аппаратом милиции и Заготзерна. </w:t>
      </w:r>
    </w:p>
    <w:p w14:paraId="0859E9D5"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Ввиду возможных злоупотреблений на этой почве со стороны хлебозаготовительного аппарата усилить наблюдение и агентурное обслуживание его работы с тем, чтобы немедленно их пресечь, привлекая виновных к ответственности. </w:t>
      </w:r>
    </w:p>
    <w:p w14:paraId="7C6C51F0"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Специально проинструктировать аппарат милиции и Заготзерна, чтобы при отбирании зерна и муки на базарах у крестьян по отношению к ним не практиковалась грубость и произвол со стороны представителей милиции и Заготзерна. Последние обязаны разъяснять единоличнику и колхознику, что хлеб отбирается в порядке закона Союзного Правительства, запрещающего торговлю хлебом ранее 15 января 1933 года. </w:t>
      </w:r>
    </w:p>
    <w:p w14:paraId="62906D6B"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Категорически запретить отбирание на базарах каких бы то ни было других сельскохозяйственных продуктов, кроме зерна и муки. </w:t>
      </w:r>
    </w:p>
    <w:p w14:paraId="59C28274"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Печеный хлеб, продаваемый на базаре, не отбирать, однако агентурно выявить продавцов крупных партий печеного хлеба и установить источники снабжения их мукой (11652).</w:t>
      </w:r>
    </w:p>
    <w:p w14:paraId="16137B27" w14:textId="77777777" w:rsidR="0094586B" w:rsidRPr="00E93F40" w:rsidRDefault="0094586B" w:rsidP="00E93F40">
      <w:pPr>
        <w:autoSpaceDE w:val="0"/>
        <w:autoSpaceDN w:val="0"/>
        <w:adjustRightInd w:val="0"/>
        <w:spacing w:after="0" w:line="240" w:lineRule="auto"/>
        <w:jc w:val="both"/>
        <w:rPr>
          <w:rFonts w:ascii="Times New Roman" w:hAnsi="Times New Roman"/>
          <w:color w:val="000000" w:themeColor="text1"/>
          <w:sz w:val="16"/>
          <w:szCs w:val="16"/>
        </w:rPr>
      </w:pPr>
    </w:p>
    <w:p w14:paraId="046846F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сентября 1932 комсомол Украины награжден орденом Ленина за строительство Днепрогэса (4962).</w:t>
      </w:r>
    </w:p>
    <w:p w14:paraId="2F76086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E965C5" w14:textId="77777777" w:rsidR="00810E92" w:rsidRPr="00E93F40" w:rsidRDefault="00810E9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17 сентября. Пре</w:t>
      </w:r>
      <w:r w:rsidRPr="00E93F40">
        <w:rPr>
          <w:rFonts w:ascii="Times New Roman" w:hAnsi="Times New Roman"/>
          <w:color w:val="000000" w:themeColor="text1"/>
          <w:sz w:val="16"/>
          <w:szCs w:val="16"/>
          <w:lang w:eastAsia="ru-RU" w:bidi="ru-RU"/>
        </w:rPr>
        <w:softHyphen/>
        <w:t>зидиум ЦИК СССР принял Постановле</w:t>
      </w:r>
      <w:r w:rsidRPr="00E93F40">
        <w:rPr>
          <w:rFonts w:ascii="Times New Roman" w:hAnsi="Times New Roman"/>
          <w:color w:val="000000" w:themeColor="text1"/>
          <w:sz w:val="16"/>
          <w:szCs w:val="16"/>
          <w:lang w:eastAsia="ru-RU" w:bidi="ru-RU"/>
        </w:rPr>
        <w:softHyphen/>
        <w:t>ние, в котором говорилось о мероприяти</w:t>
      </w:r>
      <w:r w:rsidRPr="00E93F40">
        <w:rPr>
          <w:rFonts w:ascii="Times New Roman" w:hAnsi="Times New Roman"/>
          <w:color w:val="000000" w:themeColor="text1"/>
          <w:sz w:val="16"/>
          <w:szCs w:val="16"/>
          <w:lang w:eastAsia="ru-RU" w:bidi="ru-RU"/>
        </w:rPr>
        <w:softHyphen/>
        <w:t xml:space="preserve">ях </w:t>
      </w:r>
      <w:r w:rsidRPr="00E93F40">
        <w:rPr>
          <w:rFonts w:ascii="Times New Roman" w:hAnsi="Times New Roman"/>
          <w:i/>
          <w:iCs/>
          <w:color w:val="000000" w:themeColor="text1"/>
          <w:sz w:val="16"/>
          <w:szCs w:val="16"/>
          <w:lang w:eastAsia="ru-RU" w:bidi="ru-RU"/>
        </w:rPr>
        <w:t>«в связи с 40-летием литературной дея</w:t>
      </w:r>
      <w:r w:rsidRPr="00E93F40">
        <w:rPr>
          <w:rFonts w:ascii="Times New Roman" w:hAnsi="Times New Roman"/>
          <w:i/>
          <w:iCs/>
          <w:color w:val="000000" w:themeColor="text1"/>
          <w:sz w:val="16"/>
          <w:szCs w:val="16"/>
          <w:lang w:eastAsia="ru-RU" w:bidi="ru-RU"/>
        </w:rPr>
        <w:softHyphen/>
        <w:t>тельности А.М.Горького»,</w:t>
      </w:r>
      <w:r w:rsidRPr="00E93F40">
        <w:rPr>
          <w:rFonts w:ascii="Times New Roman" w:hAnsi="Times New Roman"/>
          <w:color w:val="000000" w:themeColor="text1"/>
          <w:sz w:val="16"/>
          <w:szCs w:val="16"/>
          <w:lang w:eastAsia="ru-RU" w:bidi="ru-RU"/>
        </w:rPr>
        <w:t xml:space="preserve"> награждении писателя орденом Ленина, основании в Москве литературного института имени М.Горького, переименование в его честь Московского Художественного академи</w:t>
      </w:r>
      <w:r w:rsidRPr="00E93F40">
        <w:rPr>
          <w:rFonts w:ascii="Times New Roman" w:hAnsi="Times New Roman"/>
          <w:color w:val="000000" w:themeColor="text1"/>
          <w:sz w:val="16"/>
          <w:szCs w:val="16"/>
          <w:lang w:eastAsia="ru-RU" w:bidi="ru-RU"/>
        </w:rPr>
        <w:softHyphen/>
        <w:t>ческого театра в МХАТ Союза ССР им. М.Горького («Правда». № 267, 1932 г.). Имя Горького присвоили городу Нижне</w:t>
      </w:r>
      <w:r w:rsidRPr="00E93F40">
        <w:rPr>
          <w:rFonts w:ascii="Times New Roman" w:hAnsi="Times New Roman"/>
          <w:color w:val="000000" w:themeColor="text1"/>
          <w:sz w:val="16"/>
          <w:szCs w:val="16"/>
          <w:lang w:eastAsia="ru-RU" w:bidi="ru-RU"/>
        </w:rPr>
        <w:softHyphen/>
        <w:t>му Новгороду, в котором он родился, од</w:t>
      </w:r>
      <w:r w:rsidRPr="00E93F40">
        <w:rPr>
          <w:rFonts w:ascii="Times New Roman" w:hAnsi="Times New Roman"/>
          <w:color w:val="000000" w:themeColor="text1"/>
          <w:sz w:val="16"/>
          <w:szCs w:val="16"/>
          <w:lang w:eastAsia="ru-RU" w:bidi="ru-RU"/>
        </w:rPr>
        <w:softHyphen/>
        <w:t>ной из центральных улиц Москвы — Тверской (21240).</w:t>
      </w:r>
    </w:p>
    <w:p w14:paraId="6FF1F19B" w14:textId="77777777" w:rsidR="00810E92" w:rsidRPr="00E93F40" w:rsidRDefault="00810E92" w:rsidP="00E93F40">
      <w:pPr>
        <w:spacing w:after="0" w:line="240" w:lineRule="auto"/>
        <w:jc w:val="both"/>
        <w:rPr>
          <w:rFonts w:ascii="Times New Roman" w:hAnsi="Times New Roman"/>
          <w:color w:val="000000" w:themeColor="text1"/>
          <w:sz w:val="16"/>
          <w:szCs w:val="16"/>
        </w:rPr>
      </w:pPr>
    </w:p>
    <w:p w14:paraId="5E2D3F7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8E9AA1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5FD3562"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сен</w:t>
      </w:r>
      <w:r w:rsidRPr="00E93F40">
        <w:rPr>
          <w:rFonts w:ascii="Times New Roman" w:hAnsi="Times New Roman"/>
          <w:color w:val="000000" w:themeColor="text1"/>
          <w:sz w:val="16"/>
          <w:szCs w:val="16"/>
        </w:rPr>
        <w:softHyphen/>
        <w:t>тября 1932 на рассмотрение комиссии ЦАГИ предлагается ав</w:t>
      </w:r>
      <w:r w:rsidRPr="00E93F40">
        <w:rPr>
          <w:rFonts w:ascii="Times New Roman" w:hAnsi="Times New Roman"/>
          <w:color w:val="000000" w:themeColor="text1"/>
          <w:sz w:val="16"/>
          <w:szCs w:val="16"/>
        </w:rPr>
        <w:softHyphen/>
        <w:t>тожир-танк Камова с двигателем М-34, с диаметром ротора 20 м и полетным весом 4000 кг (20361).</w:t>
      </w:r>
    </w:p>
    <w:p w14:paraId="1DF5D78E" w14:textId="77777777" w:rsidR="006C33CD" w:rsidRPr="00E93F40" w:rsidRDefault="006C33CD" w:rsidP="00E93F40">
      <w:pPr>
        <w:shd w:val="clear" w:color="auto" w:fill="FFFFFF"/>
        <w:spacing w:after="0" w:line="240" w:lineRule="auto"/>
        <w:jc w:val="both"/>
        <w:rPr>
          <w:rFonts w:ascii="Times New Roman" w:hAnsi="Times New Roman"/>
          <w:color w:val="000000" w:themeColor="text1"/>
          <w:sz w:val="16"/>
          <w:szCs w:val="16"/>
        </w:rPr>
      </w:pPr>
    </w:p>
    <w:p w14:paraId="072E8AE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сентября 1932 АНТ-14 отправился из Москвы в первый агитационный полет в Харьков (л И.В.Михеев, вп Б.Местон, бм Матросов) - с 30 пассажирами. При подходе к Туле отказал средний двигатель и совершимли вынужденную посадку в местном аэропорту. Ремонт задержал полет на 3 часа. Потерялись и сели у д Котелково в 19:10. Не было сжатого воздуха для запуска и пришлось ночевать. В полдень прибыла машина с баллоном и отбыли в Харьков. Вернулись через 11 дней. Прошел за 4:20 со средней в 220 км/час (8863,7).</w:t>
      </w:r>
    </w:p>
    <w:p w14:paraId="1F94486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49C382" w14:textId="77777777" w:rsidR="00E100F6" w:rsidRPr="00E93F40" w:rsidRDefault="00E100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сентября 1932 г. руководящих работников ГВФ вылетела на самолете АНТ-14 в Харьков с целью показа самолета-гиганта. На борту самолета всего было 30 пассажиров и полтонны почты. Экипаж состоял из семи человек во главе с шеф-пилотом И.В.Михеевым. На участке Орел-Харьков экипаж заблудился и вынужденно сел в районе Ахтырки, в 120 км от Харькова. Вынужденная посадка была использована для митинга среди населения. В Харькове на АНТ-14 было сделано несколько ознакомительных полетов с пассажирами. 30 сентября АНТ-14 вернулся в Москву.</w:t>
      </w:r>
    </w:p>
    <w:p w14:paraId="2ADE368F" w14:textId="77777777" w:rsidR="00E100F6" w:rsidRPr="00E93F40" w:rsidRDefault="00E100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ВЦИК» за 19.9.32/ (23370).</w:t>
      </w:r>
    </w:p>
    <w:p w14:paraId="29DFC7BE" w14:textId="77777777" w:rsidR="00E100F6" w:rsidRPr="00E93F40" w:rsidRDefault="00E100F6" w:rsidP="00E93F40">
      <w:pPr>
        <w:spacing w:after="0" w:line="240" w:lineRule="auto"/>
        <w:jc w:val="both"/>
        <w:rPr>
          <w:rFonts w:ascii="Times New Roman" w:hAnsi="Times New Roman"/>
          <w:color w:val="000000" w:themeColor="text1"/>
          <w:sz w:val="16"/>
          <w:szCs w:val="16"/>
        </w:rPr>
      </w:pPr>
    </w:p>
    <w:p w14:paraId="0255516A"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сентября 1932-го АНТ-14 отправился из Москвы в свой первый агитационный перелет в Харьков (экипаж: командир И.В. Михеев, второй пилот Б. Местон и бортмеханик Матросов).</w:t>
      </w:r>
    </w:p>
    <w:p w14:paraId="1E210575"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Это, как писала "Вечерняя Москва", был испытательный полет, хотя и с 30-ю пассажирами на борту, расположившимися в кабине, напоминавшей рубку первого класса пассажирского парохода, только панорама в окнах другая. При подходе к Туле у самолета отказал средний двигатель, и экипаж совершил вынужденную посадку в местном аэропорту. Похоже, что на четырех «Юпитерах» он, вопреки ожиданиям, не тянул. Как выяснилось, сломалась тяга, соединявшая сектор газа с карбюратором мотора. Однако отсутствие на борту необходимых запасных частей, доставленных на Р-5, задержало отлет самолета на три часа.</w:t>
      </w:r>
    </w:p>
    <w:p w14:paraId="73DB2AF3"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Стартовав в Харьков, командир корабля И.В. Михеев, несмотря на приказание начальника перелета Фельдмана лететь по трассе, избрал маршрут между основной и обходной трассами на Харьков. Экипаж, уклонившись от маршрута и полностью потеряв ориентировку, в 19 часов 10 минут сел в поле около деревни Котелово Полтавского района. Находившийся на борту конструктор Сеньков радовался, что шасси выдержало нагрузки при посадке на пашню.</w:t>
      </w:r>
    </w:p>
    <w:p w14:paraId="3A0BAE21"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борту самолета не оказалось баллона со сжатым воздухом, необходимого для запуска моторов, и экипажу с пассажирами пришлось заночевать. Лишь в следующий полдень прибыл из Харькова автомобиль, который доставил необходимый баллон, и "экспедиция", теперь уже с 33 пассажирами, продолжила свой путь.</w:t>
      </w:r>
    </w:p>
    <w:p w14:paraId="6D23F995"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Спустя 11 суток самолет вернулся в Москву, но на этот раз без вынужденных посадок. Весь полет со средней скоростью 220 км/ч (при сильном встречном ветре) занял 4 часа 20 минут, что очень сомнительно, поскольку, по данным НИИ ГВФ, максимальная скорость АНТ-14 не превышала 234 км/ч, а крейсерская – 177 км/ч. Видимо, в 1932-м был полет в Ленинград (25604).</w:t>
      </w:r>
    </w:p>
    <w:p w14:paraId="182AC1EB" w14:textId="77777777" w:rsidR="00A3140F" w:rsidRPr="00142305" w:rsidRDefault="00A3140F" w:rsidP="00A3140F">
      <w:pPr>
        <w:spacing w:after="0" w:line="240" w:lineRule="auto"/>
        <w:jc w:val="both"/>
        <w:rPr>
          <w:rFonts w:ascii="Times New Roman" w:hAnsi="Times New Roman"/>
          <w:color w:val="0070C0"/>
          <w:sz w:val="16"/>
          <w:szCs w:val="16"/>
        </w:rPr>
      </w:pPr>
    </w:p>
    <w:p w14:paraId="16AAEBB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620AF5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EF31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сентября 1932 короли Аравии и Саудии объединили свои страны в единое государство - Саудовскую Аравию (3481).</w:t>
      </w:r>
    </w:p>
    <w:p w14:paraId="6E7AE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EAFC84" w14:textId="77777777" w:rsidR="002F12F0" w:rsidRPr="00E93F40" w:rsidRDefault="002F12F0"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18 сентября </w:t>
      </w:r>
      <w:r w:rsidRPr="00E93F40">
        <w:rPr>
          <w:rFonts w:ascii="Times New Roman" w:hAnsi="Times New Roman"/>
          <w:color w:val="000000" w:themeColor="text1"/>
          <w:sz w:val="16"/>
          <w:szCs w:val="16"/>
        </w:rPr>
        <w:t>в 1932 году король Хиджаза и Неджда Абдель Азиз Ибн Сауд объединил оба королевства в одно. Страна стала называться Королевством Саудовская Аравия (14773).</w:t>
      </w:r>
    </w:p>
    <w:p w14:paraId="5DE6544E" w14:textId="77777777" w:rsidR="002F12F0" w:rsidRPr="00E93F40" w:rsidRDefault="002F12F0" w:rsidP="00E93F40">
      <w:pPr>
        <w:spacing w:after="0" w:line="240" w:lineRule="auto"/>
        <w:jc w:val="both"/>
        <w:rPr>
          <w:rFonts w:ascii="Times New Roman" w:hAnsi="Times New Roman"/>
          <w:color w:val="000000" w:themeColor="text1"/>
          <w:sz w:val="16"/>
          <w:szCs w:val="16"/>
        </w:rPr>
      </w:pPr>
    </w:p>
    <w:p w14:paraId="683D140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A35DBF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F432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 сентября по 5 октября 1932 года проходили испытания объектов, разработанных у Гроховского: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3686"/>
      </w:tblGrid>
      <w:tr w:rsidR="00DA227A" w:rsidRPr="00E93F40" w14:paraId="5309835E" w14:textId="77777777">
        <w:tc>
          <w:tcPr>
            <w:tcW w:w="4219" w:type="dxa"/>
          </w:tcPr>
          <w:p w14:paraId="5EC91A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объектов</w:t>
            </w:r>
          </w:p>
        </w:tc>
        <w:tc>
          <w:tcPr>
            <w:tcW w:w="3686" w:type="dxa"/>
          </w:tcPr>
          <w:p w14:paraId="64029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испытаний</w:t>
            </w:r>
          </w:p>
        </w:tc>
      </w:tr>
      <w:tr w:rsidR="00DA227A" w:rsidRPr="00E93F40" w14:paraId="4D59AAF5" w14:textId="77777777">
        <w:tc>
          <w:tcPr>
            <w:tcW w:w="4219" w:type="dxa"/>
          </w:tcPr>
          <w:p w14:paraId="2F0186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16-ти местная кабина под ТБ1</w:t>
            </w:r>
          </w:p>
        </w:tc>
        <w:tc>
          <w:tcPr>
            <w:tcW w:w="3686" w:type="dxa"/>
          </w:tcPr>
          <w:p w14:paraId="6898EA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 с</w:t>
            </w:r>
          </w:p>
        </w:tc>
      </w:tr>
      <w:tr w:rsidR="00DA227A" w:rsidRPr="00E93F40" w14:paraId="5C44AD9A" w14:textId="77777777">
        <w:tc>
          <w:tcPr>
            <w:tcW w:w="4219" w:type="dxa"/>
          </w:tcPr>
          <w:p w14:paraId="04004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97FF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устранением в серийном производстве</w:t>
            </w:r>
          </w:p>
        </w:tc>
      </w:tr>
      <w:tr w:rsidR="00DA227A" w:rsidRPr="00E93F40" w14:paraId="77678A58" w14:textId="77777777">
        <w:tc>
          <w:tcPr>
            <w:tcW w:w="4219" w:type="dxa"/>
          </w:tcPr>
          <w:p w14:paraId="51C4C6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4F99F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указанных комиссией дефектов.</w:t>
            </w:r>
          </w:p>
        </w:tc>
      </w:tr>
      <w:tr w:rsidR="00DA227A" w:rsidRPr="00E93F40" w14:paraId="05C1C765" w14:textId="77777777">
        <w:tc>
          <w:tcPr>
            <w:tcW w:w="4219" w:type="dxa"/>
          </w:tcPr>
          <w:p w14:paraId="5A334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25-ти метровый парашют для грузов до 1000 кг</w:t>
            </w:r>
          </w:p>
        </w:tc>
        <w:tc>
          <w:tcPr>
            <w:tcW w:w="3686" w:type="dxa"/>
          </w:tcPr>
          <w:p w14:paraId="7BD06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w:t>
            </w:r>
          </w:p>
        </w:tc>
      </w:tr>
      <w:tr w:rsidR="00DA227A" w:rsidRPr="00E93F40" w14:paraId="2D0780B8" w14:textId="77777777">
        <w:tc>
          <w:tcPr>
            <w:tcW w:w="4219" w:type="dxa"/>
          </w:tcPr>
          <w:p w14:paraId="760B1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30-ти метровый парашют для грузов до 1250 кг</w:t>
            </w:r>
          </w:p>
        </w:tc>
        <w:tc>
          <w:tcPr>
            <w:tcW w:w="3686" w:type="dxa"/>
          </w:tcPr>
          <w:p w14:paraId="222CD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6D55018F" w14:textId="77777777">
        <w:tc>
          <w:tcPr>
            <w:tcW w:w="4219" w:type="dxa"/>
          </w:tcPr>
          <w:p w14:paraId="13E1D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A258B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w:t>
            </w:r>
          </w:p>
        </w:tc>
      </w:tr>
      <w:tr w:rsidR="00DA227A" w:rsidRPr="00E93F40" w14:paraId="26A311E1" w14:textId="77777777">
        <w:tc>
          <w:tcPr>
            <w:tcW w:w="4219" w:type="dxa"/>
          </w:tcPr>
          <w:p w14:paraId="7129C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автомобиля Форд</w:t>
            </w:r>
          </w:p>
        </w:tc>
        <w:tc>
          <w:tcPr>
            <w:tcW w:w="3686" w:type="dxa"/>
          </w:tcPr>
          <w:p w14:paraId="6B57E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устранением указанных дефектов</w:t>
            </w:r>
          </w:p>
        </w:tc>
      </w:tr>
      <w:tr w:rsidR="00DA227A" w:rsidRPr="00E93F40" w14:paraId="245A31F3" w14:textId="77777777">
        <w:tc>
          <w:tcPr>
            <w:tcW w:w="4219" w:type="dxa"/>
          </w:tcPr>
          <w:p w14:paraId="58F1B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BA21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передать</w:t>
            </w:r>
          </w:p>
        </w:tc>
      </w:tr>
      <w:tr w:rsidR="00DA227A" w:rsidRPr="00E93F40" w14:paraId="636288BE" w14:textId="77777777">
        <w:tc>
          <w:tcPr>
            <w:tcW w:w="4219" w:type="dxa"/>
          </w:tcPr>
          <w:p w14:paraId="333AF8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86C07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войсковые испытания.</w:t>
            </w:r>
          </w:p>
        </w:tc>
      </w:tr>
      <w:tr w:rsidR="00DA227A" w:rsidRPr="00E93F40" w14:paraId="6F873EC7" w14:textId="77777777">
        <w:tc>
          <w:tcPr>
            <w:tcW w:w="4219" w:type="dxa"/>
          </w:tcPr>
          <w:p w14:paraId="5624C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полкового орудия</w:t>
            </w:r>
          </w:p>
        </w:tc>
        <w:tc>
          <w:tcPr>
            <w:tcW w:w="3686" w:type="dxa"/>
          </w:tcPr>
          <w:p w14:paraId="5D465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65A66D67" w14:textId="77777777">
        <w:tc>
          <w:tcPr>
            <w:tcW w:w="4219" w:type="dxa"/>
          </w:tcPr>
          <w:p w14:paraId="32804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D8B57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w:t>
            </w:r>
          </w:p>
        </w:tc>
      </w:tr>
      <w:tr w:rsidR="00DA227A" w:rsidRPr="00E93F40" w14:paraId="54CBEC96" w14:textId="77777777">
        <w:tc>
          <w:tcPr>
            <w:tcW w:w="4219" w:type="dxa"/>
          </w:tcPr>
          <w:p w14:paraId="3CC00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D489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проработать вопрос автоматической</w:t>
            </w:r>
          </w:p>
        </w:tc>
      </w:tr>
      <w:tr w:rsidR="00DA227A" w:rsidRPr="00E93F40" w14:paraId="7FC7E2F0" w14:textId="77777777">
        <w:tc>
          <w:tcPr>
            <w:tcW w:w="4219" w:type="dxa"/>
          </w:tcPr>
          <w:p w14:paraId="2E401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AB6BE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отцепки парашютов.</w:t>
            </w:r>
          </w:p>
        </w:tc>
      </w:tr>
      <w:tr w:rsidR="00DA227A" w:rsidRPr="00E93F40" w14:paraId="103F96DA" w14:textId="77777777">
        <w:tc>
          <w:tcPr>
            <w:tcW w:w="4219" w:type="dxa"/>
          </w:tcPr>
          <w:p w14:paraId="325A04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одиночного мотоцикла</w:t>
            </w:r>
          </w:p>
        </w:tc>
        <w:tc>
          <w:tcPr>
            <w:tcW w:w="3686" w:type="dxa"/>
          </w:tcPr>
          <w:p w14:paraId="427151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33E802" w14:textId="77777777">
        <w:tc>
          <w:tcPr>
            <w:tcW w:w="4219" w:type="dxa"/>
          </w:tcPr>
          <w:p w14:paraId="728AD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Харлей-Давидсон</w:t>
            </w:r>
          </w:p>
        </w:tc>
        <w:tc>
          <w:tcPr>
            <w:tcW w:w="3686" w:type="dxa"/>
          </w:tcPr>
          <w:p w14:paraId="53D90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w:t>
            </w:r>
          </w:p>
        </w:tc>
      </w:tr>
      <w:tr w:rsidR="00DA227A" w:rsidRPr="00E93F40" w14:paraId="6317C803" w14:textId="77777777">
        <w:tc>
          <w:tcPr>
            <w:tcW w:w="4219" w:type="dxa"/>
          </w:tcPr>
          <w:p w14:paraId="0A586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мотоцикла с коляской</w:t>
            </w:r>
          </w:p>
        </w:tc>
        <w:tc>
          <w:tcPr>
            <w:tcW w:w="3686" w:type="dxa"/>
          </w:tcPr>
          <w:p w14:paraId="7BEA35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Допустить</w:t>
            </w:r>
          </w:p>
        </w:tc>
      </w:tr>
      <w:tr w:rsidR="00DA227A" w:rsidRPr="00E93F40" w14:paraId="3675DC2F" w14:textId="77777777">
        <w:tc>
          <w:tcPr>
            <w:tcW w:w="4219" w:type="dxa"/>
          </w:tcPr>
          <w:p w14:paraId="2260FE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E059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 Желательно</w:t>
            </w:r>
          </w:p>
        </w:tc>
      </w:tr>
      <w:tr w:rsidR="00DA227A" w:rsidRPr="00E93F40" w14:paraId="4C904FA1" w14:textId="77777777">
        <w:tc>
          <w:tcPr>
            <w:tcW w:w="4219" w:type="dxa"/>
          </w:tcPr>
          <w:p w14:paraId="628CCD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EB33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дальнейшее облегчение установки.</w:t>
            </w:r>
          </w:p>
        </w:tc>
      </w:tr>
      <w:tr w:rsidR="00DA227A" w:rsidRPr="00E93F40" w14:paraId="69D12FF0" w14:textId="77777777">
        <w:tc>
          <w:tcPr>
            <w:tcW w:w="4219" w:type="dxa"/>
          </w:tcPr>
          <w:p w14:paraId="574BB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для танкетки</w:t>
            </w:r>
          </w:p>
        </w:tc>
        <w:tc>
          <w:tcPr>
            <w:tcW w:w="3686" w:type="dxa"/>
          </w:tcPr>
          <w:p w14:paraId="0EB250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884CE3" w14:textId="77777777">
        <w:tc>
          <w:tcPr>
            <w:tcW w:w="4219" w:type="dxa"/>
          </w:tcPr>
          <w:p w14:paraId="192907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английского образца</w:t>
            </w:r>
          </w:p>
        </w:tc>
        <w:tc>
          <w:tcPr>
            <w:tcW w:w="3686" w:type="dxa"/>
          </w:tcPr>
          <w:p w14:paraId="56247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332BA694" w14:textId="77777777">
        <w:tc>
          <w:tcPr>
            <w:tcW w:w="4219" w:type="dxa"/>
          </w:tcPr>
          <w:p w14:paraId="3AFA8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8691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 Устранить</w:t>
            </w:r>
          </w:p>
        </w:tc>
      </w:tr>
      <w:tr w:rsidR="00DA227A" w:rsidRPr="00E93F40" w14:paraId="0EC5F3CA" w14:textId="77777777">
        <w:tc>
          <w:tcPr>
            <w:tcW w:w="4219" w:type="dxa"/>
          </w:tcPr>
          <w:p w14:paraId="2CA24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88D4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комиссией дефекты.</w:t>
            </w:r>
          </w:p>
        </w:tc>
      </w:tr>
      <w:tr w:rsidR="00DA227A" w:rsidRPr="00E93F40" w14:paraId="135E55A7" w14:textId="77777777">
        <w:tc>
          <w:tcPr>
            <w:tcW w:w="4219" w:type="dxa"/>
          </w:tcPr>
          <w:p w14:paraId="5B263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44A59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проработать вопрос</w:t>
            </w:r>
          </w:p>
        </w:tc>
      </w:tr>
      <w:tr w:rsidR="00DA227A" w:rsidRPr="00E93F40" w14:paraId="09DA3E21" w14:textId="77777777">
        <w:tc>
          <w:tcPr>
            <w:tcW w:w="4219" w:type="dxa"/>
          </w:tcPr>
          <w:p w14:paraId="2508B6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A4AF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автоматической отцепки парашюта.</w:t>
            </w:r>
          </w:p>
        </w:tc>
      </w:tr>
      <w:tr w:rsidR="00DA227A" w:rsidRPr="00E93F40" w14:paraId="41CFE434" w14:textId="77777777">
        <w:tc>
          <w:tcPr>
            <w:tcW w:w="4219" w:type="dxa"/>
          </w:tcPr>
          <w:p w14:paraId="148E35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Малый авиабус под самолет Р-5</w:t>
            </w:r>
          </w:p>
        </w:tc>
        <w:tc>
          <w:tcPr>
            <w:tcW w:w="3686" w:type="dxa"/>
          </w:tcPr>
          <w:p w14:paraId="2E991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Допустить на вооружение ВВС и к</w:t>
            </w:r>
          </w:p>
        </w:tc>
      </w:tr>
      <w:tr w:rsidR="00DA227A" w:rsidRPr="00E93F40" w14:paraId="0A4F4D1B" w14:textId="77777777">
        <w:tc>
          <w:tcPr>
            <w:tcW w:w="4219" w:type="dxa"/>
          </w:tcPr>
          <w:p w14:paraId="5F7277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54F3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серийной постройке.</w:t>
            </w:r>
          </w:p>
        </w:tc>
      </w:tr>
      <w:tr w:rsidR="00DA227A" w:rsidRPr="00E93F40" w14:paraId="1C4F4E30" w14:textId="77777777">
        <w:tc>
          <w:tcPr>
            <w:tcW w:w="4219" w:type="dxa"/>
          </w:tcPr>
          <w:p w14:paraId="1F4DCA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Авиабусная площадка под самолет ТБ-1</w:t>
            </w:r>
          </w:p>
        </w:tc>
        <w:tc>
          <w:tcPr>
            <w:tcW w:w="3686" w:type="dxa"/>
          </w:tcPr>
          <w:p w14:paraId="06699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10EDBA7B" w14:textId="77777777">
        <w:tc>
          <w:tcPr>
            <w:tcW w:w="4219" w:type="dxa"/>
          </w:tcPr>
          <w:p w14:paraId="29773F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EBCE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w:t>
            </w:r>
          </w:p>
        </w:tc>
      </w:tr>
      <w:tr w:rsidR="00DA227A" w:rsidRPr="00E93F40" w14:paraId="1B6BFA67" w14:textId="77777777">
        <w:tc>
          <w:tcPr>
            <w:tcW w:w="4219" w:type="dxa"/>
          </w:tcPr>
          <w:p w14:paraId="0B17B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Раскидыватель телефонного провода</w:t>
            </w:r>
          </w:p>
        </w:tc>
        <w:tc>
          <w:tcPr>
            <w:tcW w:w="3686" w:type="dxa"/>
          </w:tcPr>
          <w:p w14:paraId="28CEA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передать на</w:t>
            </w:r>
          </w:p>
        </w:tc>
      </w:tr>
      <w:tr w:rsidR="00DA227A" w:rsidRPr="00E93F40" w14:paraId="41688644" w14:textId="77777777">
        <w:tc>
          <w:tcPr>
            <w:tcW w:w="4219" w:type="dxa"/>
          </w:tcPr>
          <w:p w14:paraId="1871F1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6540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широкие войсковые испытания.</w:t>
            </w:r>
          </w:p>
        </w:tc>
      </w:tr>
      <w:tr w:rsidR="00DA227A" w:rsidRPr="00E93F40" w14:paraId="6692DEF0" w14:textId="77777777">
        <w:tc>
          <w:tcPr>
            <w:tcW w:w="4219" w:type="dxa"/>
          </w:tcPr>
          <w:p w14:paraId="61F3C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Мягкий мешок с парашютом</w:t>
            </w:r>
          </w:p>
        </w:tc>
        <w:tc>
          <w:tcPr>
            <w:tcW w:w="3686" w:type="dxa"/>
          </w:tcPr>
          <w:p w14:paraId="5FA20B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53B64CEF" w14:textId="77777777">
        <w:tc>
          <w:tcPr>
            <w:tcW w:w="4219" w:type="dxa"/>
          </w:tcPr>
          <w:p w14:paraId="2B7F7C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4C990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постройке войсковой серии.</w:t>
            </w:r>
          </w:p>
        </w:tc>
      </w:tr>
      <w:tr w:rsidR="00DA227A" w:rsidRPr="00E93F40" w14:paraId="26B21020" w14:textId="77777777">
        <w:tc>
          <w:tcPr>
            <w:tcW w:w="4219" w:type="dxa"/>
          </w:tcPr>
          <w:p w14:paraId="13B254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Круглые цилиндры с парашютами</w:t>
            </w:r>
          </w:p>
        </w:tc>
        <w:tc>
          <w:tcPr>
            <w:tcW w:w="3686" w:type="dxa"/>
          </w:tcPr>
          <w:p w14:paraId="3B618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Устранить</w:t>
            </w:r>
          </w:p>
        </w:tc>
      </w:tr>
      <w:tr w:rsidR="00DA227A" w:rsidRPr="00E93F40" w14:paraId="08BE9215" w14:textId="77777777">
        <w:tc>
          <w:tcPr>
            <w:tcW w:w="4219" w:type="dxa"/>
          </w:tcPr>
          <w:p w14:paraId="18216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3CA0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отмеченные дефекты.</w:t>
            </w:r>
          </w:p>
        </w:tc>
      </w:tr>
      <w:tr w:rsidR="00DA227A" w:rsidRPr="00E93F40" w14:paraId="7F04B5EF" w14:textId="77777777">
        <w:tc>
          <w:tcPr>
            <w:tcW w:w="4219" w:type="dxa"/>
          </w:tcPr>
          <w:p w14:paraId="11F6E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Бензиномасляные баки с парашютами</w:t>
            </w:r>
          </w:p>
        </w:tc>
        <w:tc>
          <w:tcPr>
            <w:tcW w:w="3686" w:type="dxa"/>
          </w:tcPr>
          <w:p w14:paraId="48B266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w:t>
            </w:r>
          </w:p>
        </w:tc>
      </w:tr>
      <w:tr w:rsidR="00DA227A" w:rsidRPr="00E93F40" w14:paraId="6967EB8F" w14:textId="77777777">
        <w:tc>
          <w:tcPr>
            <w:tcW w:w="4219" w:type="dxa"/>
          </w:tcPr>
          <w:p w14:paraId="72C48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Клеть для сбрасывания грузов с парашютом</w:t>
            </w:r>
          </w:p>
        </w:tc>
        <w:tc>
          <w:tcPr>
            <w:tcW w:w="3686" w:type="dxa"/>
          </w:tcPr>
          <w:p w14:paraId="78E0F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передать на</w:t>
            </w:r>
          </w:p>
        </w:tc>
      </w:tr>
      <w:tr w:rsidR="00DA227A" w:rsidRPr="00E93F40" w14:paraId="4BCC956D" w14:textId="77777777">
        <w:tc>
          <w:tcPr>
            <w:tcW w:w="4219" w:type="dxa"/>
          </w:tcPr>
          <w:p w14:paraId="52C4C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27B8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войсковые испытания. Устранить</w:t>
            </w:r>
          </w:p>
        </w:tc>
      </w:tr>
      <w:tr w:rsidR="00DA227A" w:rsidRPr="00E93F40" w14:paraId="7A35A974" w14:textId="77777777">
        <w:tc>
          <w:tcPr>
            <w:tcW w:w="4219" w:type="dxa"/>
          </w:tcPr>
          <w:p w14:paraId="028D5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2E08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дефекты.</w:t>
            </w:r>
          </w:p>
        </w:tc>
      </w:tr>
      <w:tr w:rsidR="00DA227A" w:rsidRPr="00E93F40" w14:paraId="308646C4" w14:textId="77777777">
        <w:tc>
          <w:tcPr>
            <w:tcW w:w="4219" w:type="dxa"/>
          </w:tcPr>
          <w:p w14:paraId="77B2BE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Вышки для тренировки парашютистов</w:t>
            </w:r>
          </w:p>
        </w:tc>
        <w:tc>
          <w:tcPr>
            <w:tcW w:w="3686" w:type="dxa"/>
          </w:tcPr>
          <w:p w14:paraId="1F4B8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w:t>
            </w:r>
          </w:p>
        </w:tc>
      </w:tr>
      <w:tr w:rsidR="00DA227A" w:rsidRPr="00E93F40" w14:paraId="72EC859B" w14:textId="77777777">
        <w:tc>
          <w:tcPr>
            <w:tcW w:w="4219" w:type="dxa"/>
          </w:tcPr>
          <w:p w14:paraId="2A5593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Ударная агитбомба</w:t>
            </w:r>
          </w:p>
        </w:tc>
        <w:tc>
          <w:tcPr>
            <w:tcW w:w="3686" w:type="dxa"/>
          </w:tcPr>
          <w:p w14:paraId="30136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 и</w:t>
            </w:r>
          </w:p>
        </w:tc>
      </w:tr>
      <w:tr w:rsidR="00DA227A" w:rsidRPr="00E93F40" w14:paraId="1B27632E" w14:textId="77777777">
        <w:tc>
          <w:tcPr>
            <w:tcW w:w="4219" w:type="dxa"/>
          </w:tcPr>
          <w:p w14:paraId="76CE92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DDEE5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Политуправления.</w:t>
            </w:r>
          </w:p>
        </w:tc>
      </w:tr>
      <w:tr w:rsidR="00DA227A" w:rsidRPr="00E93F40" w14:paraId="3D9DF9C3" w14:textId="77777777">
        <w:tc>
          <w:tcPr>
            <w:tcW w:w="4219" w:type="dxa"/>
          </w:tcPr>
          <w:p w14:paraId="5114A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Вертикальная агит-мина</w:t>
            </w:r>
          </w:p>
        </w:tc>
        <w:tc>
          <w:tcPr>
            <w:tcW w:w="3686" w:type="dxa"/>
          </w:tcPr>
          <w:p w14:paraId="20DC47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Подлежит дальнейшей проработке.</w:t>
            </w:r>
          </w:p>
        </w:tc>
      </w:tr>
      <w:tr w:rsidR="00DA227A" w:rsidRPr="00E93F40" w14:paraId="7A92E675" w14:textId="77777777">
        <w:tc>
          <w:tcPr>
            <w:tcW w:w="4219" w:type="dxa"/>
          </w:tcPr>
          <w:p w14:paraId="70839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Литературная агит-кассета</w:t>
            </w:r>
          </w:p>
        </w:tc>
        <w:tc>
          <w:tcPr>
            <w:tcW w:w="3686" w:type="dxa"/>
          </w:tcPr>
          <w:p w14:paraId="026BB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 и</w:t>
            </w:r>
          </w:p>
        </w:tc>
      </w:tr>
      <w:tr w:rsidR="00DA227A" w:rsidRPr="00E93F40" w14:paraId="0751B878" w14:textId="77777777">
        <w:tc>
          <w:tcPr>
            <w:tcW w:w="4219" w:type="dxa"/>
          </w:tcPr>
          <w:p w14:paraId="70A01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9601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Политуправления с передачей на</w:t>
            </w:r>
          </w:p>
        </w:tc>
      </w:tr>
      <w:tr w:rsidR="00DA227A" w:rsidRPr="00E93F40" w14:paraId="276FE2C9" w14:textId="77777777">
        <w:tc>
          <w:tcPr>
            <w:tcW w:w="4219" w:type="dxa"/>
          </w:tcPr>
          <w:p w14:paraId="651E99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FC4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войсковые испытания.</w:t>
            </w:r>
          </w:p>
        </w:tc>
      </w:tr>
      <w:tr w:rsidR="00DA227A" w:rsidRPr="00E93F40" w14:paraId="31834C60" w14:textId="77777777">
        <w:tc>
          <w:tcPr>
            <w:tcW w:w="4219" w:type="dxa"/>
          </w:tcPr>
          <w:p w14:paraId="0A5BF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Горизонтальная агит-кассета под ТБ-1</w:t>
            </w:r>
          </w:p>
        </w:tc>
        <w:tc>
          <w:tcPr>
            <w:tcW w:w="3686" w:type="dxa"/>
          </w:tcPr>
          <w:p w14:paraId="044A4D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 и</w:t>
            </w:r>
          </w:p>
        </w:tc>
      </w:tr>
      <w:tr w:rsidR="00DA227A" w:rsidRPr="00E93F40" w14:paraId="1DD26A68" w14:textId="77777777">
        <w:tc>
          <w:tcPr>
            <w:tcW w:w="4219" w:type="dxa"/>
          </w:tcPr>
          <w:p w14:paraId="1515BF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E5F01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Политуправления и допустить к</w:t>
            </w:r>
          </w:p>
        </w:tc>
      </w:tr>
      <w:tr w:rsidR="00DA227A" w:rsidRPr="00E93F40" w14:paraId="627FE6F3" w14:textId="77777777">
        <w:tc>
          <w:tcPr>
            <w:tcW w:w="4219" w:type="dxa"/>
          </w:tcPr>
          <w:p w14:paraId="2C48DA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2005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войсковым испытаниям.</w:t>
            </w:r>
          </w:p>
        </w:tc>
      </w:tr>
      <w:tr w:rsidR="00DA227A" w:rsidRPr="00E93F40" w14:paraId="11696DF2" w14:textId="77777777">
        <w:tc>
          <w:tcPr>
            <w:tcW w:w="4219" w:type="dxa"/>
          </w:tcPr>
          <w:p w14:paraId="5FCBE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Раскрывающаяся агитбомба</w:t>
            </w:r>
          </w:p>
        </w:tc>
        <w:tc>
          <w:tcPr>
            <w:tcW w:w="3686" w:type="dxa"/>
          </w:tcPr>
          <w:p w14:paraId="2D78E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Дала неудовлетворительные результаты.</w:t>
            </w:r>
          </w:p>
        </w:tc>
      </w:tr>
      <w:tr w:rsidR="00DA227A" w:rsidRPr="00E93F40" w14:paraId="19A1452A" w14:textId="77777777">
        <w:tc>
          <w:tcPr>
            <w:tcW w:w="4219" w:type="dxa"/>
          </w:tcPr>
          <w:p w14:paraId="14AB9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6E2E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Подлежит дальнейшей проработке.</w:t>
            </w:r>
          </w:p>
        </w:tc>
      </w:tr>
      <w:tr w:rsidR="00DA227A" w:rsidRPr="00E93F40" w14:paraId="58186B46" w14:textId="77777777">
        <w:tc>
          <w:tcPr>
            <w:tcW w:w="4219" w:type="dxa"/>
          </w:tcPr>
          <w:p w14:paraId="5AE72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Санитарная кабина под ТБ-1</w:t>
            </w:r>
          </w:p>
        </w:tc>
        <w:tc>
          <w:tcPr>
            <w:tcW w:w="3686" w:type="dxa"/>
          </w:tcPr>
          <w:p w14:paraId="70390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при условии</w:t>
            </w:r>
          </w:p>
        </w:tc>
      </w:tr>
      <w:tr w:rsidR="00DA227A" w:rsidRPr="00E93F40" w14:paraId="07F16DCF" w14:textId="77777777">
        <w:tc>
          <w:tcPr>
            <w:tcW w:w="4219" w:type="dxa"/>
          </w:tcPr>
          <w:p w14:paraId="3BD83E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1E8B8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устранения указанных дефектов и</w:t>
            </w:r>
          </w:p>
        </w:tc>
      </w:tr>
      <w:tr w:rsidR="00DA227A" w:rsidRPr="00E93F40" w14:paraId="0F4A8E4D" w14:textId="77777777">
        <w:tc>
          <w:tcPr>
            <w:tcW w:w="4219" w:type="dxa"/>
          </w:tcPr>
          <w:p w14:paraId="540E49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32F7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заменой системы крепления.</w:t>
            </w:r>
          </w:p>
        </w:tc>
      </w:tr>
      <w:tr w:rsidR="00DA227A" w:rsidRPr="00E93F40" w14:paraId="28D6EA15" w14:textId="77777777">
        <w:tc>
          <w:tcPr>
            <w:tcW w:w="4219" w:type="dxa"/>
          </w:tcPr>
          <w:p w14:paraId="3A41C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Экспериментальная 100 кг мина</w:t>
            </w:r>
          </w:p>
        </w:tc>
        <w:tc>
          <w:tcPr>
            <w:tcW w:w="3686" w:type="dxa"/>
          </w:tcPr>
          <w:p w14:paraId="08686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Мина в предъявленном виде</w:t>
            </w:r>
          </w:p>
        </w:tc>
      </w:tr>
      <w:tr w:rsidR="00DA227A" w:rsidRPr="00E93F40" w14:paraId="21A3F3A8" w14:textId="77777777">
        <w:tc>
          <w:tcPr>
            <w:tcW w:w="4219" w:type="dxa"/>
          </w:tcPr>
          <w:p w14:paraId="57DF0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153A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практического применения иметь не</w:t>
            </w:r>
          </w:p>
        </w:tc>
      </w:tr>
      <w:tr w:rsidR="00DA227A" w:rsidRPr="00E93F40" w14:paraId="150D7CBA" w14:textId="77777777">
        <w:tc>
          <w:tcPr>
            <w:tcW w:w="4219" w:type="dxa"/>
          </w:tcPr>
          <w:p w14:paraId="29C74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C7F27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может. Необходимы дальнейшие</w:t>
            </w:r>
          </w:p>
        </w:tc>
      </w:tr>
      <w:tr w:rsidR="00DA227A" w:rsidRPr="00E93F40" w14:paraId="46B38816" w14:textId="77777777">
        <w:tc>
          <w:tcPr>
            <w:tcW w:w="4219" w:type="dxa"/>
          </w:tcPr>
          <w:p w14:paraId="4176A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0EE07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в этой области.</w:t>
            </w:r>
          </w:p>
        </w:tc>
      </w:tr>
      <w:tr w:rsidR="00DA227A" w:rsidRPr="00E93F40" w14:paraId="1A588354" w14:textId="77777777">
        <w:tc>
          <w:tcPr>
            <w:tcW w:w="4219" w:type="dxa"/>
          </w:tcPr>
          <w:p w14:paraId="70787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12-ти метровый грузовой парашют</w:t>
            </w:r>
          </w:p>
        </w:tc>
        <w:tc>
          <w:tcPr>
            <w:tcW w:w="3686" w:type="dxa"/>
          </w:tcPr>
          <w:p w14:paraId="598D3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как уже испытанный</w:t>
            </w:r>
          </w:p>
        </w:tc>
      </w:tr>
      <w:tr w:rsidR="00DA227A" w:rsidRPr="00E93F40" w14:paraId="6222679C" w14:textId="77777777">
        <w:tc>
          <w:tcPr>
            <w:tcW w:w="4219" w:type="dxa"/>
          </w:tcPr>
          <w:p w14:paraId="50B2F7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CC9BB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 и принятый на снабжение в</w:t>
            </w:r>
          </w:p>
        </w:tc>
      </w:tr>
      <w:tr w:rsidR="00DA227A" w:rsidRPr="00E93F40" w14:paraId="6A44ED2D" w14:textId="77777777">
        <w:tc>
          <w:tcPr>
            <w:tcW w:w="4219" w:type="dxa"/>
          </w:tcPr>
          <w:p w14:paraId="5CEDBD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77FB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мае текущего года.</w:t>
            </w:r>
          </w:p>
        </w:tc>
      </w:tr>
      <w:tr w:rsidR="00DA227A" w:rsidRPr="00E93F40" w14:paraId="0B2EF9CC" w14:textId="77777777">
        <w:tc>
          <w:tcPr>
            <w:tcW w:w="4219" w:type="dxa"/>
          </w:tcPr>
          <w:p w14:paraId="714BC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20-ти метровый грузовой парашют</w:t>
            </w:r>
          </w:p>
        </w:tc>
        <w:tc>
          <w:tcPr>
            <w:tcW w:w="3686" w:type="dxa"/>
          </w:tcPr>
          <w:p w14:paraId="0459F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как уже испытанный</w:t>
            </w:r>
          </w:p>
        </w:tc>
      </w:tr>
      <w:tr w:rsidR="00DA227A" w:rsidRPr="00E93F40" w14:paraId="60A95C20" w14:textId="77777777">
        <w:tc>
          <w:tcPr>
            <w:tcW w:w="4219" w:type="dxa"/>
          </w:tcPr>
          <w:p w14:paraId="2431B2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1A20B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 и принятый на снабжение в</w:t>
            </w:r>
          </w:p>
        </w:tc>
      </w:tr>
      <w:tr w:rsidR="00DA227A" w:rsidRPr="00E93F40" w14:paraId="1A6E68B3" w14:textId="77777777">
        <w:tc>
          <w:tcPr>
            <w:tcW w:w="4219" w:type="dxa"/>
          </w:tcPr>
          <w:p w14:paraId="5C402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4C7A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мае текущего года.</w:t>
            </w:r>
          </w:p>
        </w:tc>
      </w:tr>
      <w:tr w:rsidR="00DA227A" w:rsidRPr="00E93F40" w14:paraId="30CB6BFD" w14:textId="77777777">
        <w:tc>
          <w:tcPr>
            <w:tcW w:w="4219" w:type="dxa"/>
          </w:tcPr>
          <w:p w14:paraId="18B350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местная кабина под ТБ-3</w:t>
            </w:r>
          </w:p>
        </w:tc>
        <w:tc>
          <w:tcPr>
            <w:tcW w:w="3686" w:type="dxa"/>
          </w:tcPr>
          <w:p w14:paraId="322AD8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испытана из-за отсутствия ТБ-3.</w:t>
            </w:r>
          </w:p>
        </w:tc>
      </w:tr>
      <w:tr w:rsidR="00DA227A" w:rsidRPr="00E93F40" w14:paraId="3945F2B8" w14:textId="77777777">
        <w:tc>
          <w:tcPr>
            <w:tcW w:w="4219" w:type="dxa"/>
          </w:tcPr>
          <w:p w14:paraId="06FAA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 метровый парашют</w:t>
            </w:r>
          </w:p>
        </w:tc>
        <w:tc>
          <w:tcPr>
            <w:tcW w:w="3686" w:type="dxa"/>
          </w:tcPr>
          <w:p w14:paraId="5825B2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испытана из-за отсутствия ТБ-3.</w:t>
            </w:r>
          </w:p>
        </w:tc>
      </w:tr>
      <w:tr w:rsidR="00DA227A" w:rsidRPr="00E93F40" w14:paraId="6D6B03B0" w14:textId="77777777">
        <w:tc>
          <w:tcPr>
            <w:tcW w:w="4219" w:type="dxa"/>
          </w:tcPr>
          <w:p w14:paraId="4B7D4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Буксируемый планер</w:t>
            </w:r>
          </w:p>
        </w:tc>
        <w:tc>
          <w:tcPr>
            <w:tcW w:w="3686" w:type="dxa"/>
          </w:tcPr>
          <w:p w14:paraId="202603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испытаний из-за повреждений</w:t>
            </w:r>
          </w:p>
        </w:tc>
      </w:tr>
      <w:tr w:rsidR="00DA227A" w:rsidRPr="00E93F40" w14:paraId="2C1F0511" w14:textId="77777777">
        <w:tc>
          <w:tcPr>
            <w:tcW w:w="4219" w:type="dxa"/>
          </w:tcPr>
          <w:p w14:paraId="3D796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61C0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испытаний.</w:t>
            </w:r>
          </w:p>
        </w:tc>
      </w:tr>
      <w:tr w:rsidR="00DA227A" w:rsidRPr="00E93F40" w14:paraId="5DA29714" w14:textId="77777777">
        <w:tc>
          <w:tcPr>
            <w:tcW w:w="4219" w:type="dxa"/>
          </w:tcPr>
          <w:p w14:paraId="3D123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Треугольный конус для воздушной стрельбы</w:t>
            </w:r>
          </w:p>
        </w:tc>
        <w:tc>
          <w:tcPr>
            <w:tcW w:w="3686" w:type="dxa"/>
          </w:tcPr>
          <w:p w14:paraId="7F3CE1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из-за неокончания</w:t>
            </w:r>
          </w:p>
        </w:tc>
      </w:tr>
      <w:tr w:rsidR="00DA227A" w:rsidRPr="00E93F40" w14:paraId="4CFFA63B" w14:textId="77777777">
        <w:tc>
          <w:tcPr>
            <w:tcW w:w="4219" w:type="dxa"/>
          </w:tcPr>
          <w:p w14:paraId="418AB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176FE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проработки.</w:t>
            </w:r>
          </w:p>
        </w:tc>
      </w:tr>
      <w:tr w:rsidR="00DA227A" w:rsidRPr="00E93F40" w14:paraId="087D1DC9" w14:textId="77777777">
        <w:tc>
          <w:tcPr>
            <w:tcW w:w="4219" w:type="dxa"/>
          </w:tcPr>
          <w:p w14:paraId="0698F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Радио-танк и самолет</w:t>
            </w:r>
          </w:p>
        </w:tc>
        <w:tc>
          <w:tcPr>
            <w:tcW w:w="3686" w:type="dxa"/>
          </w:tcPr>
          <w:p w14:paraId="363E20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из-за неокончания</w:t>
            </w:r>
          </w:p>
        </w:tc>
      </w:tr>
      <w:tr w:rsidR="00DA227A" w:rsidRPr="00E93F40" w14:paraId="002FDF9C" w14:textId="77777777">
        <w:tc>
          <w:tcPr>
            <w:tcW w:w="4219" w:type="dxa"/>
          </w:tcPr>
          <w:p w14:paraId="42EC5C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098C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проработки.</w:t>
            </w:r>
          </w:p>
        </w:tc>
      </w:tr>
      <w:tr w:rsidR="00DA227A" w:rsidRPr="00E93F40" w14:paraId="62016FC4" w14:textId="77777777">
        <w:tc>
          <w:tcPr>
            <w:tcW w:w="4219" w:type="dxa"/>
          </w:tcPr>
          <w:p w14:paraId="47A20E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Переливка бензина в воздухе с Р-5 на ТБ1</w:t>
            </w:r>
          </w:p>
        </w:tc>
        <w:tc>
          <w:tcPr>
            <w:tcW w:w="3686" w:type="dxa"/>
          </w:tcPr>
          <w:p w14:paraId="2F22B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испытано из-за низкой облачности</w:t>
            </w:r>
          </w:p>
        </w:tc>
      </w:tr>
      <w:tr w:rsidR="00DA227A" w:rsidRPr="00E93F40" w14:paraId="4135902D" w14:textId="77777777">
        <w:tc>
          <w:tcPr>
            <w:tcW w:w="4219" w:type="dxa"/>
          </w:tcPr>
          <w:p w14:paraId="6C2999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304FB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сильных ветров.</w:t>
            </w:r>
          </w:p>
        </w:tc>
      </w:tr>
      <w:tr w:rsidR="00DA227A" w:rsidRPr="00E93F40" w14:paraId="17714BCA" w14:textId="77777777">
        <w:tc>
          <w:tcPr>
            <w:tcW w:w="4219" w:type="dxa"/>
          </w:tcPr>
          <w:p w14:paraId="3EE8D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 парашют</w:t>
            </w:r>
          </w:p>
        </w:tc>
        <w:tc>
          <w:tcPr>
            <w:tcW w:w="3686" w:type="dxa"/>
          </w:tcPr>
          <w:p w14:paraId="05548B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из-за недоработки</w:t>
            </w:r>
          </w:p>
        </w:tc>
      </w:tr>
      <w:tr w:rsidR="009D12BD" w:rsidRPr="00E93F40" w14:paraId="3AA715E4" w14:textId="77777777">
        <w:tc>
          <w:tcPr>
            <w:tcW w:w="4219" w:type="dxa"/>
          </w:tcPr>
          <w:p w14:paraId="707542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D73B3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конструкции (8853,125-127).</w:t>
            </w:r>
          </w:p>
        </w:tc>
      </w:tr>
    </w:tbl>
    <w:p w14:paraId="36FF8E3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FFA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сентября 1932 г. Журнально-газетное объединение постановило начать сбор денег на самолет "Максим Горький". В постановлении было написано: "Успехи нашей авиации и самолетостроения разрешают нам приступить к созданию гигантского самолета, самолета-аги- татора. Такой самолет может создать и создаст только страна трудящихся". В октябре возник специальный комитет по постройке машины, главой его избрали М.Е. Кольцова;</w:t>
      </w:r>
    </w:p>
    <w:p w14:paraId="5F5A6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вскоре комитет приобрел статус Всесоюзного. Как водилось в СССР, областям и крупным городам раздали разнарядки - сколько сдавать. Выполнение контролировали партийные инстанции. Деньги изыскивали разными способами: продавали специальные марки и значки, собирали прямые взносы от населения, даже прямо на улицах, и по перечислению от организаций. К декабрю 1932 г. набрали уже полтора миллиона рублей. Это уже позволяло начать работу по проектированию машины. Всего же собрали более шести миллионов (12024).</w:t>
      </w:r>
    </w:p>
    <w:p w14:paraId="2A3C0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974FF5"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19 сентября 1932 г. газета «Вечерняя Москва» (№ 218) собшила своим читате</w:t>
      </w:r>
      <w:r w:rsidRPr="00E93F40">
        <w:rPr>
          <w:rFonts w:ascii="Times New Roman" w:hAnsi="Times New Roman"/>
          <w:color w:val="000000" w:themeColor="text1"/>
          <w:sz w:val="16"/>
          <w:szCs w:val="16"/>
          <w:lang w:eastAsia="ru-RU" w:bidi="ru-RU"/>
        </w:rPr>
        <w:softHyphen/>
        <w:t>лям. что собрание работников Журнально-газетного объединения «постановило начать сбор денег на постройку агитсамо- лета «Максим Горький».</w:t>
      </w:r>
    </w:p>
    <w:p w14:paraId="36E32E6A"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Журналисты писали: «...Запросы тру</w:t>
      </w:r>
      <w:r w:rsidRPr="00E93F40">
        <w:rPr>
          <w:rFonts w:ascii="Times New Roman" w:hAnsi="Times New Roman"/>
          <w:color w:val="000000" w:themeColor="text1"/>
          <w:sz w:val="16"/>
          <w:szCs w:val="16"/>
          <w:lang w:eastAsia="ru-RU" w:bidi="ru-RU"/>
        </w:rPr>
        <w:softHyphen/>
        <w:t>дящихся в промышленности, в сельском хо</w:t>
      </w:r>
      <w:r w:rsidRPr="00E93F40">
        <w:rPr>
          <w:rFonts w:ascii="Times New Roman" w:hAnsi="Times New Roman"/>
          <w:color w:val="000000" w:themeColor="text1"/>
          <w:sz w:val="16"/>
          <w:szCs w:val="16"/>
          <w:lang w:eastAsia="ru-RU" w:bidi="ru-RU"/>
        </w:rPr>
        <w:softHyphen/>
        <w:t>зяйстве, на транспорте, в Красной Армии настолько велики, что нам все еще трудно удовлетворить их полностью. Возникает задача изыскания новых методов культур</w:t>
      </w:r>
      <w:r w:rsidRPr="00E93F40">
        <w:rPr>
          <w:rFonts w:ascii="Times New Roman" w:hAnsi="Times New Roman"/>
          <w:color w:val="000000" w:themeColor="text1"/>
          <w:sz w:val="16"/>
          <w:szCs w:val="16"/>
          <w:lang w:eastAsia="ru-RU" w:bidi="ru-RU"/>
        </w:rPr>
        <w:softHyphen/>
        <w:t>ной и массово-агитационной работы, ибо одни старые методы, хотя и применяемые с большим успехом, не в состоянии обслу</w:t>
      </w:r>
      <w:r w:rsidRPr="00E93F40">
        <w:rPr>
          <w:rFonts w:ascii="Times New Roman" w:hAnsi="Times New Roman"/>
          <w:color w:val="000000" w:themeColor="text1"/>
          <w:sz w:val="16"/>
          <w:szCs w:val="16"/>
          <w:lang w:eastAsia="ru-RU" w:bidi="ru-RU"/>
        </w:rPr>
        <w:softHyphen/>
        <w:t>жить громадную культурно поднимающу</w:t>
      </w:r>
      <w:r w:rsidRPr="00E93F40">
        <w:rPr>
          <w:rFonts w:ascii="Times New Roman" w:hAnsi="Times New Roman"/>
          <w:color w:val="000000" w:themeColor="text1"/>
          <w:sz w:val="16"/>
          <w:szCs w:val="16"/>
          <w:lang w:eastAsia="ru-RU" w:bidi="ru-RU"/>
        </w:rPr>
        <w:softHyphen/>
        <w:t>юся многомиллионную массу.</w:t>
      </w:r>
    </w:p>
    <w:p w14:paraId="44786C21"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Растущая техническая мощь нашей промышленности разрешает перейти к высшим формам техники в организации культурно-политического обслуживания. Успехи нашей авиации и самолетостроения разрешают нам приступить к созданию ги</w:t>
      </w:r>
      <w:r w:rsidRPr="00E93F40">
        <w:rPr>
          <w:rFonts w:ascii="Times New Roman" w:hAnsi="Times New Roman"/>
          <w:color w:val="000000" w:themeColor="text1"/>
          <w:sz w:val="16"/>
          <w:szCs w:val="16"/>
          <w:lang w:eastAsia="ru-RU" w:bidi="ru-RU"/>
        </w:rPr>
        <w:softHyphen/>
        <w:t>гантского самолета, самолета-агитато</w:t>
      </w:r>
      <w:r w:rsidRPr="00E93F40">
        <w:rPr>
          <w:rFonts w:ascii="Times New Roman" w:hAnsi="Times New Roman"/>
          <w:color w:val="000000" w:themeColor="text1"/>
          <w:sz w:val="16"/>
          <w:szCs w:val="16"/>
          <w:lang w:eastAsia="ru-RU" w:bidi="ru-RU"/>
        </w:rPr>
        <w:softHyphen/>
        <w:t>ра. Такой самолет может создать и со</w:t>
      </w:r>
      <w:r w:rsidRPr="00E93F40">
        <w:rPr>
          <w:rFonts w:ascii="Times New Roman" w:hAnsi="Times New Roman"/>
          <w:color w:val="000000" w:themeColor="text1"/>
          <w:sz w:val="16"/>
          <w:szCs w:val="16"/>
          <w:lang w:eastAsia="ru-RU" w:bidi="ru-RU"/>
        </w:rPr>
        <w:softHyphen/>
        <w:t>здаст только страна трудящихся» (21240).</w:t>
      </w:r>
    </w:p>
    <w:p w14:paraId="5AD8FCBD" w14:textId="77777777" w:rsidR="006C33CD" w:rsidRPr="00E93F40" w:rsidRDefault="006C33CD" w:rsidP="00E93F40">
      <w:pPr>
        <w:shd w:val="clear" w:color="auto" w:fill="FFFFFF"/>
        <w:spacing w:after="0" w:line="240" w:lineRule="auto"/>
        <w:jc w:val="both"/>
        <w:rPr>
          <w:rFonts w:ascii="Times New Roman" w:hAnsi="Times New Roman"/>
          <w:color w:val="000000" w:themeColor="text1"/>
          <w:sz w:val="16"/>
          <w:szCs w:val="16"/>
        </w:rPr>
      </w:pPr>
    </w:p>
    <w:p w14:paraId="69F75972"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сентября 1932 г., подхватив мысль Кольцова, Журнально-газетное объединение постановило начать сбор денег на самолет «Максим Горький», затем возник специ</w:t>
      </w:r>
      <w:r w:rsidRPr="00142305">
        <w:rPr>
          <w:rFonts w:ascii="Times New Roman" w:hAnsi="Times New Roman"/>
          <w:color w:val="0070C0"/>
          <w:sz w:val="16"/>
          <w:szCs w:val="16"/>
        </w:rPr>
        <w:softHyphen/>
        <w:t>альный комитет по постройке машины. Как водилось в СССР, областям и крупным городам раздали разнарядки — сколько сдавать. Выполнение контролировали партийные инстанции. К декабрю 1932 г. набрали уже полтора милли</w:t>
      </w:r>
      <w:r w:rsidRPr="00142305">
        <w:rPr>
          <w:rFonts w:ascii="Times New Roman" w:hAnsi="Times New Roman"/>
          <w:color w:val="0070C0"/>
          <w:sz w:val="16"/>
          <w:szCs w:val="16"/>
        </w:rPr>
        <w:softHyphen/>
        <w:t>она рублей (24977).</w:t>
      </w:r>
    </w:p>
    <w:p w14:paraId="512F66CB" w14:textId="77777777" w:rsidR="00A3140F" w:rsidRPr="00142305" w:rsidRDefault="00A3140F" w:rsidP="00A3140F">
      <w:pPr>
        <w:spacing w:after="0" w:line="240" w:lineRule="auto"/>
        <w:jc w:val="both"/>
        <w:rPr>
          <w:rFonts w:ascii="Times New Roman" w:hAnsi="Times New Roman"/>
          <w:color w:val="0070C0"/>
          <w:sz w:val="16"/>
          <w:szCs w:val="16"/>
        </w:rPr>
      </w:pPr>
    </w:p>
    <w:p w14:paraId="5AEB09CE" w14:textId="77777777" w:rsidR="0094586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5E41A9A" w14:textId="77777777" w:rsidR="0094586B" w:rsidRPr="00E93F40" w:rsidRDefault="0094586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DD359A"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сентября 1932</w:t>
      </w:r>
    </w:p>
    <w:p w14:paraId="335E1C81" w14:textId="54AD547B"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Опросом членов Политбюро от 19.XI.1932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C78463F" w14:textId="3CEC5873"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60/36: О шарикоподшипниках и электродах</w:t>
      </w:r>
    </w:p>
    <w:p w14:paraId="6D2BC05E" w14:textId="67C76BE9"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427FBC0D" w14:textId="23707F00"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обеспечения бесперебойной работы промышленности в 1</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ремонта тракторов к весенней кампании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обязать НКВТ немедленно разместить заказ на шарикоподшипники на сумму 1.600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из коих 1.100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для удовлетворения нужд НКТП и промышленности других наркоматов и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для ремонта тракторов (НКЗем, НКСовхозов).</w:t>
      </w:r>
    </w:p>
    <w:p w14:paraId="395E19C3"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НКТП, НКЗем и НКСовхозов в З</w:t>
      </w:r>
      <w:r w:rsidRPr="00E93F40">
        <w:rPr>
          <w:rFonts w:ascii="Times New Roman" w:hAnsi="Times New Roman"/>
          <w:color w:val="000000" w:themeColor="text1"/>
          <w:sz w:val="16"/>
          <w:szCs w:val="16"/>
        </w:rPr>
        <w:noBreakHyphen/>
        <w:t>дневный срок передать НКВнешторгу необходимые для заказа спецификации.</w:t>
      </w:r>
    </w:p>
    <w:p w14:paraId="6A0F1BEA" w14:textId="455F9859"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Завоз шарикоподшипников для завода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Сталина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АМО) на сумму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произвести не позднее 1.I.1933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 для остальных потребителей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течение января и первой половины февраля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0AEC42F" w14:textId="6E61410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 Предложить НКВТ немедленно разместить заказ на электроды на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2BA939A9" w14:textId="79F4E6AF"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Вейцера лично обеспечить немедленное размещение заказа и отгрузку электродов в кратчайший срок.</w:t>
      </w:r>
    </w:p>
    <w:p w14:paraId="1615C22B"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НКТП в 3</w:t>
      </w:r>
      <w:r w:rsidRPr="00E93F40">
        <w:rPr>
          <w:rFonts w:ascii="Times New Roman" w:hAnsi="Times New Roman"/>
          <w:color w:val="000000" w:themeColor="text1"/>
          <w:sz w:val="16"/>
          <w:szCs w:val="16"/>
        </w:rPr>
        <w:noBreakHyphen/>
        <w:t>дневный срок передать НКВнешторгу необходимые для заказа спецификации.</w:t>
      </w:r>
    </w:p>
    <w:p w14:paraId="5BC6A0D2" w14:textId="3261077E"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Ввиду полного распределения остатка контингента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заявления НКВТ, что весь остаток будет полностью реализован,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отнести импорт шарикоподшипников на 1.600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 электродов на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за счет контингентов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 валютными платежами не ранее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E1470C7"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Отметить, что НКТП не уделял должного внимания организации производства электродов в Союзе, вследствие чего строительство электродных заводов (Москва, Челябинск) затянулось и строящиеся заводы не обеспечены оборудованием в то время, как электроды импортируются в большом количестве и лимитируют работу черной и цветной металлургии.</w:t>
      </w:r>
    </w:p>
    <w:p w14:paraId="21376FFD" w14:textId="1976A36F"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НКТП в 2</w:t>
      </w:r>
      <w:r w:rsidRPr="00E93F40">
        <w:rPr>
          <w:rFonts w:ascii="Times New Roman" w:hAnsi="Times New Roman"/>
          <w:color w:val="000000" w:themeColor="text1"/>
          <w:sz w:val="16"/>
          <w:szCs w:val="16"/>
        </w:rPr>
        <w:noBreakHyphen/>
        <w:t>декадный срок войти в СТО с докладом об объеме производства электродов в Союзе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одновременно представить обоснованный план потребности в электродах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6D013C0"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57929A98"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Розенгольцу, Орджоникидзе, Яковлеву, Юркину (17880).</w:t>
      </w:r>
    </w:p>
    <w:p w14:paraId="2E419E00" w14:textId="77777777" w:rsidR="008E7639" w:rsidRPr="00E93F40" w:rsidRDefault="008E7639" w:rsidP="00E93F40">
      <w:pPr>
        <w:spacing w:after="0" w:line="240" w:lineRule="auto"/>
        <w:jc w:val="both"/>
        <w:rPr>
          <w:rFonts w:ascii="Times New Roman" w:hAnsi="Times New Roman"/>
          <w:color w:val="000000" w:themeColor="text1"/>
          <w:sz w:val="16"/>
          <w:szCs w:val="16"/>
        </w:rPr>
      </w:pPr>
    </w:p>
    <w:p w14:paraId="2657253E"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lastRenderedPageBreak/>
        <w:t>19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1171/351С о мероприятиях по выделению хранилищ для размещения нефтепродуктов, потребных морским силам ДВ (ГА РФ. Ф. Р?8418. Оп. 28. Д. 1а. Л. 362) (12415).</w:t>
      </w:r>
    </w:p>
    <w:p w14:paraId="783C7AAF"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433B907F" w14:textId="77777777" w:rsidR="00A32B1B" w:rsidRPr="00E93F40" w:rsidRDefault="00A32B1B" w:rsidP="00E93F40">
      <w:pPr>
        <w:spacing w:after="0" w:line="240" w:lineRule="auto"/>
        <w:jc w:val="both"/>
        <w:rPr>
          <w:rFonts w:ascii="Times New Roman" w:hAnsi="Times New Roman"/>
          <w:color w:val="000000" w:themeColor="text1"/>
          <w:sz w:val="16"/>
          <w:szCs w:val="16"/>
          <w:u w:color="002060"/>
        </w:rPr>
      </w:pPr>
    </w:p>
    <w:p w14:paraId="5F233AF7" w14:textId="1EBC7441" w:rsidR="00A32B1B" w:rsidRPr="00E93F40" w:rsidRDefault="00A32B1B"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19</w:t>
      </w:r>
      <w:r w:rsidR="00DD74E1">
        <w:rPr>
          <w:rFonts w:ascii="Times New Roman" w:eastAsia="Times New Roman" w:hAnsi="Times New Roman"/>
          <w:bCs/>
          <w:color w:val="000000" w:themeColor="text1"/>
          <w:sz w:val="16"/>
          <w:szCs w:val="16"/>
          <w:lang w:eastAsia="ru-RU"/>
        </w:rPr>
        <w:t xml:space="preserve"> </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сентября</w:t>
      </w:r>
      <w:r w:rsidR="00DD74E1">
        <w:rPr>
          <w:rFonts w:ascii="Times New Roman" w:eastAsia="Times New Roman" w:hAnsi="Times New Roman"/>
          <w:bCs/>
          <w:color w:val="000000" w:themeColor="text1"/>
          <w:sz w:val="16"/>
          <w:szCs w:val="16"/>
          <w:lang w:eastAsia="ru-RU"/>
        </w:rPr>
        <w:t xml:space="preserve"> </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года приказом РВС СССР № 183 было введено </w:t>
      </w:r>
      <w:r w:rsidRPr="00E93F40">
        <w:rPr>
          <w:rFonts w:ascii="Times New Roman" w:eastAsia="Times New Roman" w:hAnsi="Times New Roman"/>
          <w:color w:val="000000" w:themeColor="text1"/>
          <w:sz w:val="16"/>
          <w:szCs w:val="16"/>
          <w:lang w:eastAsia="ru-RU"/>
        </w:rPr>
        <w:t>ЕДИНОЕ ПОХОДНОЕ СНАРЯЖЕНИЕ для среднего, старшего и высшего начальствующего состава сухопутных и воздушных сил РККА</w:t>
      </w:r>
    </w:p>
    <w:p w14:paraId="659A05F9"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I. В состав комплекта снаряжения входят:</w:t>
      </w:r>
    </w:p>
    <w:p w14:paraId="60E3FF0A"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 Поясной ремень - шириной 50 мм с двухшпеньковой, пятистенной пряжкой и находной шлевкой; для придания стойкости, и внешнего вида, с внутренней стороны ремень подшит тонкой кожей и прострочен.</w:t>
      </w:r>
    </w:p>
    <w:p w14:paraId="25BC1DD1"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 Две поясные короткие муфты – каждая муфта имеет одно полукольцо вверху и два полукольца внизу; к верхним полукольцам пристегиваются концы плечевых ремней, к нижним — полевая сумка и короткий и длинный пасики для шашки.</w:t>
      </w:r>
    </w:p>
    <w:p w14:paraId="3CD0A614"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3. Два длинных задних плечевых ремня — один конец ремня имеет отверстия для шпенька пряжки передних плечевых ремней; на другом конце пробито по два отверстия с прорезями и имеется по одной запонке для пристегивания к верхним полукольцам короткой муфты и носильных петель кобура.</w:t>
      </w:r>
    </w:p>
    <w:p w14:paraId="2B802E39"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4. Два коротких передних плечевых ремня — на одном конце каждого ремня пришита пятистенная одношпеньковая пряжка, на другом пробито по два отверстия с прорезями и имеется по одной запонке для пристегивания к верхним полукольцам короткой муфты и носильных петель кобура.</w:t>
      </w:r>
    </w:p>
    <w:p w14:paraId="6F7A1C31"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5. Кобур для револьвера — с двумя поясными носильными петлями, нашитыми на наружной стороне задней стенки кобура и гнездами для протирки; каждая петля имеет в верхней части полукольцо для пристегивания концов переднего и заднего плечевых ремней.</w:t>
      </w:r>
    </w:p>
    <w:p w14:paraId="3A987BB0"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6. Полевая сумка - с двумя носильными ремнями, нашитыми на наружной стороне задней стенки; к концам носильных ремней пришиты застежки-карабины, при помощи которых сумка пристегивается к нижним полукольцам поясных муфт.</w:t>
      </w:r>
    </w:p>
    <w:p w14:paraId="06CDDA65"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7.Палетка - двухстворчатая, с плечевым носильным ремнем и матерчатой прокладкой между пластинками целлулоида.</w:t>
      </w:r>
    </w:p>
    <w:p w14:paraId="224004CC"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8. Револьверный ремень - с двумя малыми карабинами по концам для пристегивания к кольцу рукоятки револьвера и полукольцу носильной петли кобура или пятистенной пряжки переднего плечевого ремня.</w:t>
      </w:r>
    </w:p>
    <w:p w14:paraId="0D04D11E"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Чехол и шнур для свистка - надеваемые на длинный правый задний плечевой ремень.</w:t>
      </w:r>
    </w:p>
    <w:p w14:paraId="0CD7188F"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10. Короткий пасик для шашки.</w:t>
      </w:r>
    </w:p>
    <w:p w14:paraId="32D5E351"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11. Длинный пасик для шашки.</w:t>
      </w:r>
    </w:p>
    <w:p w14:paraId="527E6B33"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12. Фляга — емкостью в 3/4 литра; алюминиевая, с навинчивающейся пробкой.</w:t>
      </w:r>
    </w:p>
    <w:p w14:paraId="56E35606"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13. Чехол для фляги -суконный, с ременным приспособлением для одевания фляги на поясной ремень.</w:t>
      </w:r>
    </w:p>
    <w:p w14:paraId="6A67FD7E"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II. Снаряжение изготовляется из яловой полувальной кожи темно-коричневого цвета.</w:t>
      </w:r>
    </w:p>
    <w:p w14:paraId="3274B865"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III. Все соединительные детали: пряжки, полукольца, карабины, запонки изготовляются из никелированной железной проволоки (белого цвета).</w:t>
      </w:r>
    </w:p>
    <w:p w14:paraId="42D2CA91"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xml:space="preserve">IV. Снаряжение допускает возможность двух способов носки: с двумя плечевыми ремнями и с одним плечевым ремнём. В последнем случае обе части (передняя и задняя) плечевого ремня концами пристегиваются к полукольцам носильных петель кобура для револьвера, а длинная задняя часть плечевого ремня проходит через левое плечо, перекрещивая грудь слева направо. В целях правильной эксплуатации снаряжения и сбережения его, плечевые ремни, при длительной носке с одним ремнем, следует периодически менять. </w:t>
      </w:r>
    </w:p>
    <w:p w14:paraId="2BB1E848"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V. Пригонка снаряжения по росту заключается в пригонке длины задних плечевых ремней, уменьшение которой производится путем перестегивания шпенька пряжки передних ремней или прорезания дополнительных отверстий для запонки на концах задних ремней, а в крайнем случае, обрезкой заднего конца ремня. Наибольшая длина заднего ремня должна быть рассчитана на носку снаряжения с одним ремнем поверх шинели.</w:t>
      </w:r>
    </w:p>
    <w:p w14:paraId="6328D032"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 Начальствующим составам военно-воздушных сил при всех формах одежды снаряжение носится с одним плечевым ремнем.</w:t>
      </w:r>
    </w:p>
    <w:p w14:paraId="2FC7F74A"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 В состав комплекта снаряжения при различных формах одежды и родах оружия входят следующие детали:</w:t>
      </w:r>
    </w:p>
    <w:p w14:paraId="2566A5A8"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при повседневной форме вне службы: поясной ремень, задний плечевой рамень, передний плечевой ремень, револьверный кобур и револьверный ремень;</w:t>
      </w:r>
    </w:p>
    <w:p w14:paraId="6DEDD45A"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на службе вне строя (кроме того) - полевая сумка;</w:t>
      </w:r>
    </w:p>
    <w:p w14:paraId="57F874FC"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в строю (кроме того) - две поясные муфты и чехол для свистка со шнуром.</w:t>
      </w:r>
    </w:p>
    <w:p w14:paraId="71ACBDC9"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при караульно-походной форме добавляются; палетка, фляга в чехле, футляр с биноклем и противогаз.</w:t>
      </w:r>
    </w:p>
    <w:p w14:paraId="0AF9CAD9"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Примечания: Среднему, старшему и высшему начсоставу при состоянии «вне службы» в общественных местах (театрах, цирках, кино, клубах, магазинах, базарах, банях и тп.) разрешается быть без оружия. При повседневной форме одежды и нахождении «на службе вне строя» и «в строю» взамен полевой сумки разрешается носить палетку.</w:t>
      </w:r>
    </w:p>
    <w:p w14:paraId="2BE7A001"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3. При всех формах одежды револьверный кобур должен располагаться на правом боку несколько спереди так чтобы в положении «смирно» застежной ремешок кобура не закрывался правой рукой; револьверный ремень одним концом должен быть пристегнутым к кольцу рукоятки револьвера, а вторым - к полукольцу передней носильной петли кобура.</w:t>
      </w:r>
    </w:p>
    <w:p w14:paraId="6FF2108A"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4. При нахождении «на службе вне строя» полевую сумку разрешается носить в левой руке, не пристегнутой к поясному ремню, а палетку (взамен сумки) — на плечевом ремне с левого бока.</w:t>
      </w:r>
    </w:p>
    <w:p w14:paraId="34717798"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5. При нахождении «на службе в строю» полевую сумку иметь пристегнутой к муфтам поясного ремня, а чехол и шнур для свистка — на заднем плечевом ремне выше пряжки.</w:t>
      </w:r>
    </w:p>
    <w:p w14:paraId="0005C6A2"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6. При караульно-походной форме одежды носятся:</w:t>
      </w:r>
    </w:p>
    <w:p w14:paraId="78A1E21B"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а) чехол и шнур для свистка — с левой стороны груди на заднем плечевом ремне;</w:t>
      </w:r>
    </w:p>
    <w:p w14:paraId="756C1AEC"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б) фляга в чехле — на поясном ремне на правом боку, сзади кобура, а в походе в любом месте пояса, где удобнее;</w:t>
      </w:r>
    </w:p>
    <w:p w14:paraId="4F51B3C3" w14:textId="77777777" w:rsidR="00D92B26" w:rsidRPr="00E93F40" w:rsidRDefault="00D92B26" w:rsidP="00E93F40">
      <w:pPr>
        <w:spacing w:after="0" w:line="240" w:lineRule="auto"/>
        <w:jc w:val="both"/>
        <w:rPr>
          <w:rFonts w:ascii="Times New Roman" w:eastAsia="Times New Roman" w:hAnsi="Times New Roman"/>
          <w:bCs/>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в) бинокль в футляре — на поясном ремне справа от поясной пряжки; плечевой носильный ремень футляра должен быть при этом одет на шею;</w:t>
      </w:r>
    </w:p>
    <w:p w14:paraId="0C6A2C90" w14:textId="77777777" w:rsidR="00D92B26" w:rsidRPr="00E93F40" w:rsidRDefault="00D92B26"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г) противогаз в сумке — поверх снаряжения, на плечевой перевязи через правое плечо так, чтобы сумка противогаза располагалась на левом боку сзади полевой сумки, верхним краем на уровне пояса (17269).</w:t>
      </w:r>
    </w:p>
    <w:p w14:paraId="603C594B" w14:textId="77777777" w:rsidR="00A32B1B" w:rsidRPr="00E93F40" w:rsidRDefault="00A32B1B" w:rsidP="00E93F40">
      <w:pPr>
        <w:spacing w:after="0" w:line="240" w:lineRule="auto"/>
        <w:jc w:val="both"/>
        <w:rPr>
          <w:rFonts w:ascii="Times New Roman" w:hAnsi="Times New Roman"/>
          <w:color w:val="000000" w:themeColor="text1"/>
          <w:sz w:val="16"/>
          <w:szCs w:val="16"/>
          <w:u w:color="002060"/>
        </w:rPr>
      </w:pPr>
    </w:p>
    <w:p w14:paraId="15A0CA0A" w14:textId="77777777" w:rsidR="00B323BF" w:rsidRPr="00951B40" w:rsidRDefault="00B323BF" w:rsidP="00B323BF">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19 сентября 1932 года на</w:t>
      </w:r>
      <w:r w:rsidRPr="00951B40">
        <w:rPr>
          <w:rStyle w:val="aff"/>
          <w:rFonts w:ascii="Times New Roman" w:hAnsi="Times New Roman" w:cs="Times New Roman"/>
          <w:color w:val="0070C0"/>
          <w:spacing w:val="0"/>
          <w:sz w:val="16"/>
          <w:szCs w:val="16"/>
        </w:rPr>
        <w:softHyphen/>
        <w:t>чальник 1-го сектора управления кораблестроения ВМС, отвечавшем за выполнение катерной программы 1932 г, Рахмаров, вовсю били тревогу написал докладную записку на имя начальника управления А.К. Сивкова, о критической ситуации, сложившейся с выполнением постановления от 11 мая. 1500-сильных моторов не было, установ</w:t>
      </w:r>
      <w:r w:rsidRPr="00951B40">
        <w:rPr>
          <w:rStyle w:val="aff"/>
          <w:rFonts w:ascii="Times New Roman" w:hAnsi="Times New Roman" w:cs="Times New Roman"/>
          <w:color w:val="0070C0"/>
          <w:spacing w:val="0"/>
          <w:sz w:val="16"/>
          <w:szCs w:val="16"/>
        </w:rPr>
        <w:softHyphen/>
        <w:t>ка трех ГМ-34 при условии их 850-сильной мощности обещала обеспечить новый стальной катер лишь 35-узловой скоро</w:t>
      </w:r>
      <w:r w:rsidRPr="00951B40">
        <w:rPr>
          <w:rStyle w:val="aff"/>
          <w:rFonts w:ascii="Times New Roman" w:hAnsi="Times New Roman" w:cs="Times New Roman"/>
          <w:color w:val="0070C0"/>
          <w:spacing w:val="0"/>
          <w:sz w:val="16"/>
          <w:szCs w:val="16"/>
        </w:rPr>
        <w:softHyphen/>
        <w:t>стью вместо 45 по правительственному заданию. Установка четырех таких дви</w:t>
      </w:r>
      <w:r w:rsidRPr="00951B40">
        <w:rPr>
          <w:rStyle w:val="aff"/>
          <w:rFonts w:ascii="Times New Roman" w:hAnsi="Times New Roman" w:cs="Times New Roman"/>
          <w:color w:val="0070C0"/>
          <w:spacing w:val="0"/>
          <w:sz w:val="16"/>
          <w:szCs w:val="16"/>
        </w:rPr>
        <w:softHyphen/>
        <w:t>гателей считалась нецелесообразной, но и она лишь частично решала проблему, поскольку в этом случае катер смог бы по расчетам развить только 39 узлов. Соот</w:t>
      </w:r>
      <w:r w:rsidRPr="00951B40">
        <w:rPr>
          <w:rStyle w:val="aff"/>
          <w:rFonts w:ascii="Times New Roman" w:hAnsi="Times New Roman" w:cs="Times New Roman"/>
          <w:color w:val="0070C0"/>
          <w:spacing w:val="0"/>
          <w:sz w:val="16"/>
          <w:szCs w:val="16"/>
        </w:rPr>
        <w:softHyphen/>
        <w:t>ветственно, Рахмаров просил указаний Сивкова о закладке первой серии катеров ВУ-45 числом 12 единиц с тремя мотора</w:t>
      </w:r>
      <w:r w:rsidRPr="00951B40">
        <w:rPr>
          <w:rStyle w:val="aff"/>
          <w:rFonts w:ascii="Times New Roman" w:hAnsi="Times New Roman" w:cs="Times New Roman"/>
          <w:color w:val="0070C0"/>
          <w:spacing w:val="0"/>
          <w:sz w:val="16"/>
          <w:szCs w:val="16"/>
        </w:rPr>
        <w:softHyphen/>
        <w:t>ми ГМ-34 и скоростью 35 узлов. С другой стороны, в связи с приемом на вооруже</w:t>
      </w:r>
      <w:r w:rsidRPr="00951B40">
        <w:rPr>
          <w:rStyle w:val="aff"/>
          <w:rFonts w:ascii="Times New Roman" w:hAnsi="Times New Roman" w:cs="Times New Roman"/>
          <w:color w:val="0070C0"/>
          <w:spacing w:val="0"/>
          <w:sz w:val="16"/>
          <w:szCs w:val="16"/>
        </w:rPr>
        <w:softHyphen/>
        <w:t>ние достаточно компактной аппаратуры ЦЛПС, доказавшей свою работоспособ</w:t>
      </w:r>
      <w:r w:rsidRPr="00951B40">
        <w:rPr>
          <w:rStyle w:val="aff"/>
          <w:rFonts w:ascii="Times New Roman" w:hAnsi="Times New Roman" w:cs="Times New Roman"/>
          <w:color w:val="0070C0"/>
          <w:spacing w:val="0"/>
          <w:sz w:val="16"/>
          <w:szCs w:val="16"/>
        </w:rPr>
        <w:softHyphen/>
        <w:t>ность на катере Ш-4, отпадала необходи</w:t>
      </w:r>
      <w:r w:rsidRPr="00951B40">
        <w:rPr>
          <w:rStyle w:val="aff"/>
          <w:rFonts w:ascii="Times New Roman" w:hAnsi="Times New Roman" w:cs="Times New Roman"/>
          <w:color w:val="0070C0"/>
          <w:spacing w:val="0"/>
          <w:sz w:val="16"/>
          <w:szCs w:val="16"/>
        </w:rPr>
        <w:softHyphen/>
        <w:t>мость строительства крупного катера под аппаратуру ОТБ. Тем более что Остех</w:t>
      </w:r>
      <w:r w:rsidRPr="00951B40">
        <w:rPr>
          <w:rStyle w:val="aff"/>
          <w:rFonts w:ascii="Times New Roman" w:hAnsi="Times New Roman" w:cs="Times New Roman"/>
          <w:color w:val="0070C0"/>
          <w:spacing w:val="0"/>
          <w:sz w:val="16"/>
          <w:szCs w:val="16"/>
        </w:rPr>
        <w:softHyphen/>
        <w:t>бюро, подстегнутое успехом конкурента, тоже перерабатывало свой комплект аппаратуры в сторону уменьшения веса и размеров. Оформленного решения по вопросу строительства ВУ-45 пока найти не удалось, как и по возникшей позже инициативе спроектировать этот катер с тремя 1000-сильными моторами загранич</w:t>
      </w:r>
      <w:r w:rsidRPr="00951B40">
        <w:rPr>
          <w:rStyle w:val="aff"/>
          <w:rFonts w:ascii="Times New Roman" w:hAnsi="Times New Roman" w:cs="Times New Roman"/>
          <w:color w:val="0070C0"/>
          <w:spacing w:val="0"/>
          <w:sz w:val="16"/>
          <w:szCs w:val="16"/>
        </w:rPr>
        <w:softHyphen/>
        <w:t>ного происхождения. В конечном итоге от реализации этих идей отказались, сосре</w:t>
      </w:r>
      <w:r w:rsidRPr="00951B40">
        <w:rPr>
          <w:rStyle w:val="aff"/>
          <w:rFonts w:ascii="Times New Roman" w:hAnsi="Times New Roman" w:cs="Times New Roman"/>
          <w:color w:val="0070C0"/>
          <w:spacing w:val="0"/>
          <w:sz w:val="16"/>
          <w:szCs w:val="16"/>
        </w:rPr>
        <w:softHyphen/>
        <w:t>доточившись на строительстве катеров типа Г-5 (25781).</w:t>
      </w:r>
    </w:p>
    <w:p w14:paraId="54738C7E" w14:textId="77777777" w:rsidR="00B323BF" w:rsidRPr="00951B40" w:rsidRDefault="00B323BF" w:rsidP="00B323BF">
      <w:pPr>
        <w:spacing w:after="0" w:line="240" w:lineRule="auto"/>
        <w:jc w:val="both"/>
        <w:rPr>
          <w:rStyle w:val="aff"/>
          <w:rFonts w:ascii="Times New Roman" w:hAnsi="Times New Roman" w:cs="Times New Roman"/>
          <w:color w:val="0070C0"/>
          <w:spacing w:val="0"/>
          <w:sz w:val="16"/>
          <w:szCs w:val="16"/>
        </w:rPr>
      </w:pPr>
    </w:p>
    <w:p w14:paraId="063A68F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9D89F1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65C4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сентября 1932 года был составлен акт о передаче на гос. испытание в НИИ ВВС первого серийного самолета МБР-4 АССО-750 заводской N ОВ-75 предъявленного отношением завода за N 1866с от 16 сентября 1932 года (2996).</w:t>
      </w:r>
    </w:p>
    <w:p w14:paraId="2D5F5F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E01129" w14:textId="77777777" w:rsidR="0094586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4FF334D" w14:textId="77777777" w:rsidR="0094586B" w:rsidRPr="00E93F40" w:rsidRDefault="0094586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5FEFE8"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20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1467/310сс о составе комиссии по приемке дорог стратегического и оборонного значения (ГА РФ. Ф. Р?8418. Оп. 28. Д. 146. Л. 125)</w:t>
      </w:r>
    </w:p>
    <w:p w14:paraId="24837671"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62639AC0"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сентября 1932 г. Приказ №191 по Орудобъединению обязывал организовать на заводах «Большевик», №8 и им. Ворошилова проектирование и производство САУ (12137).</w:t>
      </w:r>
    </w:p>
    <w:p w14:paraId="22349F74" w14:textId="14C6D0D5" w:rsidR="0094586B" w:rsidRPr="00E93F40" w:rsidRDefault="0094586B" w:rsidP="00E93F40">
      <w:pPr>
        <w:spacing w:after="0" w:line="240" w:lineRule="auto"/>
        <w:jc w:val="both"/>
        <w:rPr>
          <w:rFonts w:ascii="Times New Roman" w:hAnsi="Times New Roman"/>
          <w:color w:val="000000" w:themeColor="text1"/>
          <w:sz w:val="16"/>
          <w:szCs w:val="16"/>
        </w:rPr>
      </w:pPr>
    </w:p>
    <w:p w14:paraId="2A464808" w14:textId="2A42B2EE" w:rsidR="006C33CD" w:rsidRPr="00E93F40" w:rsidRDefault="006C33CD"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50570116" w14:textId="77777777" w:rsidR="006C33CD" w:rsidRPr="00E93F40" w:rsidRDefault="006C33CD" w:rsidP="00E93F40">
      <w:pPr>
        <w:spacing w:after="0" w:line="240" w:lineRule="auto"/>
        <w:jc w:val="both"/>
        <w:rPr>
          <w:rFonts w:ascii="Times New Roman" w:hAnsi="Times New Roman"/>
          <w:i/>
          <w:iCs/>
          <w:color w:val="000000" w:themeColor="text1"/>
          <w:sz w:val="16"/>
          <w:szCs w:val="16"/>
        </w:rPr>
      </w:pPr>
    </w:p>
    <w:p w14:paraId="2501361E"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20 сентября 1932 Transcontinental и Western Air подписывают контракт с Douglas Aircraft на разработку Douglas Commercial Model 1 или Douglas DC-1 . Революционный цельнометаллический авиалайнер с двумя двигателями DC-1 вскоре породит Douglas DC-2 и легендарный Douglas DC-3 (20803).</w:t>
      </w:r>
    </w:p>
    <w:p w14:paraId="3A85F517" w14:textId="77777777" w:rsidR="006C33CD" w:rsidRPr="00E93F40" w:rsidRDefault="006C33CD" w:rsidP="00E93F40">
      <w:pPr>
        <w:spacing w:after="0" w:line="240" w:lineRule="auto"/>
        <w:jc w:val="both"/>
        <w:rPr>
          <w:rFonts w:ascii="Times New Roman" w:hAnsi="Times New Roman"/>
          <w:color w:val="000000" w:themeColor="text1"/>
          <w:sz w:val="16"/>
          <w:szCs w:val="16"/>
        </w:rPr>
      </w:pPr>
    </w:p>
    <w:p w14:paraId="57D5E79A" w14:textId="77777777" w:rsidR="0094586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422DD35" w14:textId="77777777" w:rsidR="0094586B" w:rsidRPr="00E93F40" w:rsidRDefault="0094586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8D0111"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21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1475/314сс о военизации гражданских работников ПВО (ГА РФ. Ф. Р?8418. Оп. 28. Д. 146. Л. 133) (12415).</w:t>
      </w:r>
    </w:p>
    <w:p w14:paraId="246E8F3E"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4079FB7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2B1CC9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01AE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сентября 1932 года начальник 2 отдела НИИ ВВС Ганулич писал письмо N 220 начальнику 3 управления УВВС, ст. военпреду завода N 31, директору завода N 31, начальнику ВВС ЧМ, начальнику школы морлетов (Ейск).</w:t>
      </w:r>
    </w:p>
    <w:p w14:paraId="4D92C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препровождаются сведения об испытании С62 к.э.-АССО 750 для соответствующего пользования.</w:t>
      </w:r>
    </w:p>
    <w:p w14:paraId="13CED7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Сведения об испытании самолета С62 КЭ-АССО 750 (заводской N ОЕ-78).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51E283A4" w14:textId="77777777">
        <w:tc>
          <w:tcPr>
            <w:tcW w:w="5636" w:type="dxa"/>
          </w:tcPr>
          <w:p w14:paraId="0128A8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Предъявлен на гос. испытание</w:t>
            </w:r>
          </w:p>
        </w:tc>
        <w:tc>
          <w:tcPr>
            <w:tcW w:w="5636" w:type="dxa"/>
          </w:tcPr>
          <w:p w14:paraId="0FE4A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апреля 1932 года</w:t>
            </w:r>
          </w:p>
        </w:tc>
      </w:tr>
      <w:tr w:rsidR="00DA227A" w:rsidRPr="00E93F40" w14:paraId="35B8BF00" w14:textId="77777777">
        <w:tc>
          <w:tcPr>
            <w:tcW w:w="5636" w:type="dxa"/>
          </w:tcPr>
          <w:p w14:paraId="79E10C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 на гос. испытание</w:t>
            </w:r>
          </w:p>
        </w:tc>
        <w:tc>
          <w:tcPr>
            <w:tcW w:w="5636" w:type="dxa"/>
          </w:tcPr>
          <w:p w14:paraId="49AE10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апреля 1932 года</w:t>
            </w:r>
          </w:p>
        </w:tc>
      </w:tr>
      <w:tr w:rsidR="00DA227A" w:rsidRPr="00E93F40" w14:paraId="1F4C4A69" w14:textId="77777777">
        <w:tc>
          <w:tcPr>
            <w:tcW w:w="5636" w:type="dxa"/>
          </w:tcPr>
          <w:p w14:paraId="0B842C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Пробный полет (1 час 20 мин.)</w:t>
            </w:r>
          </w:p>
        </w:tc>
        <w:tc>
          <w:tcPr>
            <w:tcW w:w="5636" w:type="dxa"/>
          </w:tcPr>
          <w:p w14:paraId="68AF11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апреля 1932 года</w:t>
            </w:r>
          </w:p>
        </w:tc>
      </w:tr>
    </w:tbl>
    <w:p w14:paraId="4CCF6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время пробного полета обнаружен дефект - сильное заворачивание влево, с каковым самолет для длительных полетов оказался непригодным. Исправлено силами и за средства НИИ (уменьшена компенсация руля).Полет на потолок. Потолок 4200 м за 59 мин.</w:t>
      </w:r>
    </w:p>
    <w:p w14:paraId="4BCDEC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полностью не проведены, т.к. самолет 8 мая 1932 года передан в Северную экспедицию.</w:t>
      </w:r>
    </w:p>
    <w:p w14:paraId="35E97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w:t>
      </w:r>
    </w:p>
    <w:p w14:paraId="5847C7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С62 КЭ-АССО 750 в сравнении с С62б-АССО 750.</w:t>
      </w:r>
    </w:p>
    <w:p w14:paraId="54C5EF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перетяжелен на 274 кг.</w:t>
      </w:r>
    </w:p>
    <w:p w14:paraId="488AA5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данным заводских испытаний имеет максимальную скорость 200 км/час.</w:t>
      </w:r>
    </w:p>
    <w:p w14:paraId="09FC5E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имеет потолок 4220 м (по гос. испытаниям).</w:t>
      </w:r>
    </w:p>
    <w:p w14:paraId="31C1E1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Подробная оценка самолетов С62 КЭ-АССО 750 не является необходимой, т.к. серия невелика (5 шт.) и является промежуточной между С62б и МБР4.</w:t>
      </w:r>
    </w:p>
    <w:p w14:paraId="75FBF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Самолеты С62 КЭ целесообразно сдать в школу морлетов для обучения молодых летчиков. Этим строевые части будут избавлены от разнотипных самолетов на вооружение.</w:t>
      </w:r>
    </w:p>
    <w:p w14:paraId="5E0904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Техническая эксплуатация С62 КЭ не отличается от эксплуатации С62б-АССО750. (2996,13-14).</w:t>
      </w:r>
    </w:p>
    <w:p w14:paraId="1AEC9C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2A41FD"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22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1203/360сс о включении строительства базы для авиамоторостроения на заводе «Электросталь» в число ударных военных строек (ГА РФ. Ф. Р?8418. Оп. 28. Д. 1а. Л. 365) (12415).</w:t>
      </w:r>
    </w:p>
    <w:p w14:paraId="2A32360B"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06F4F13D" w14:textId="77777777" w:rsidR="006C33CD" w:rsidRPr="00E93F40" w:rsidRDefault="006C33CD"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22 сентября 1932 вышло постановление РЗ СТО или КО (№ 1532/ко от 23.9.1932 г.) - О включении строительства базы для авиамоторостроения на заводе "Электросталь" в число ударных военных строек (21564).</w:t>
      </w:r>
    </w:p>
    <w:p w14:paraId="7DD7532D" w14:textId="77777777" w:rsidR="006C33CD" w:rsidRPr="00E93F40" w:rsidRDefault="006C33CD" w:rsidP="00E93F40">
      <w:pPr>
        <w:spacing w:after="0" w:line="240" w:lineRule="auto"/>
        <w:jc w:val="both"/>
        <w:rPr>
          <w:rFonts w:ascii="Times New Roman" w:hAnsi="Times New Roman"/>
          <w:color w:val="000000" w:themeColor="text1"/>
          <w:sz w:val="16"/>
          <w:szCs w:val="16"/>
        </w:rPr>
      </w:pPr>
    </w:p>
    <w:p w14:paraId="635001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сентября 1932 был установлен новый рекорд затяжного прыжка. С.Афанасьев прыгнул с 2000 м и летел 25.5 сек. до 400 м (271,130).</w:t>
      </w:r>
    </w:p>
    <w:p w14:paraId="0F4894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870411" w14:textId="77777777" w:rsidR="002F12F0" w:rsidRPr="00E93F40" w:rsidRDefault="002F12F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сентября в 1932 году мировой рекорд затяжного парашютного прыжка с высоты 2000 м за 35,5 сек., С.Афанасьев (14777).</w:t>
      </w:r>
    </w:p>
    <w:p w14:paraId="4CB3FF8E" w14:textId="77777777" w:rsidR="002F12F0" w:rsidRPr="00E93F40" w:rsidRDefault="002F12F0" w:rsidP="00E93F40">
      <w:pPr>
        <w:spacing w:after="0" w:line="240" w:lineRule="auto"/>
        <w:jc w:val="both"/>
        <w:rPr>
          <w:rFonts w:ascii="Times New Roman" w:hAnsi="Times New Roman"/>
          <w:color w:val="000000" w:themeColor="text1"/>
          <w:sz w:val="16"/>
          <w:szCs w:val="16"/>
        </w:rPr>
      </w:pPr>
    </w:p>
    <w:p w14:paraId="305FBC56" w14:textId="77777777" w:rsidR="002F12F0" w:rsidRPr="00E93F40" w:rsidRDefault="002F12F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сентября в 1932 году основан Московский дирижаблестроительный институт, ныне Российский государственный технологический университет имени К.Э.Циолковского (МАТИ). В настоящее время "МАТИ"-Российский государственный технологический университет имени К.Э.Циолковского - высокоразвитый центр образования науки и культуры, располагая высококвалифицированным преподавательским составом, осуществляет подготовку специалистов в соответствии с требованиями основных профессиональных образовательных программ не только по традиционным техническим, но и по экономическим и гуманитарным специальностям. МАТИ является базовым вузом России: по образованию в области авиации, ракетостроения и космоса, материаловедения, технологии материалов и покрытий; по проведению конкурса грантов в области технологических проблем создания авиакосмической техники и при формировании межотраслевой программы сотрудничества Минобразования России и Росавиакосмоса; по реализации Программы развития инженерного образования в России; по проведению Международных Конференций по инженерному образованию; по организации Международной молодежной научной конференции "Гагаринские чтения" (14777).</w:t>
      </w:r>
    </w:p>
    <w:p w14:paraId="63C8E93C" w14:textId="77777777" w:rsidR="002F12F0" w:rsidRPr="00E93F40" w:rsidRDefault="002F12F0" w:rsidP="00E93F40">
      <w:pPr>
        <w:spacing w:after="0" w:line="240" w:lineRule="auto"/>
        <w:jc w:val="both"/>
        <w:rPr>
          <w:rFonts w:ascii="Times New Roman" w:hAnsi="Times New Roman"/>
          <w:color w:val="000000" w:themeColor="text1"/>
          <w:sz w:val="16"/>
          <w:szCs w:val="16"/>
        </w:rPr>
      </w:pPr>
    </w:p>
    <w:p w14:paraId="2DA89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сентября 1932 года постановлениями Президиума Центральной Контрольной Комиссии ВКП (б) и Коллегии Народного Комиссариата рабоче-крестьянской Инспекции СССР № 52—52 из МАИ был выделен дирижаблестроительный факультет.</w:t>
      </w:r>
    </w:p>
    <w:p w14:paraId="37266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25 ноября 1932 года На заседании Коллегии Главного Управления Гражданского воздушного флота (протокол № 27) Дирижаблестроительный факультет Дирижаблестроения реорганизован в Московский Дирижаблестроительный институт. Об этом свидетельствует письмо начальника управления кадров Главного Управления Гражданского воздушного флота председателю Комитета по высшей технической школе от 27 декабря 1932 года. На основании постановления Коллегии Аэрофлота СССР от 4 апреля 1933 года создан Дирижаблестроительный учебный комбинат путем слияния Московского Дирижаблестроительного института, факультета дирижаблестроения Ленинградского учебного комбината ГВФ и Воздухоплавательной школы Дирижаблестроения. </w:t>
      </w:r>
    </w:p>
    <w:p w14:paraId="56D0AA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Летом 1933 г. в структуру МДИ был включен дирижабельный факультет ЛИГВФ с его сотрудниками и студентами. В том же году постановлением Главного управления ГВФ создается Дирижаблестроительный учебный комбинат (ДУК) в составе МДИ и Воздухоплавательной школы. Эта школа представляла собой среднее специальное учебное заведение для подготовки пилотов и техников по эксплуатации дирижаблей (аэростатов). Начальниками ДУК и одновременно начальниками МДИ являлись: Д. М. Дулицкий (1933-1934 гг.), И. К. Адамович (1934-1936 гг.) и А. А. Лаврентьев (1936-1939 гг.). В период нахождения в составе ДУК, МДИ сохранял самостоятельность как учебное заведение, имел все признаки юридического лица и официально значился втузом Аэрофлота СССР. </w:t>
      </w:r>
    </w:p>
    <w:p w14:paraId="1E36A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МДИ разместили в поселке Тушино Московской области в одном здании с НИИ Аэрофлота, что имело важное значение для развития тесных связей в области проектирования, строительства и эксплуатации дирижаблей. Выпускной курс института обучался и жил в подмосковном поселке Долгопрудном, где находилась производственная база Дирижаблестроя. Здесь же слушатели МДИ и курсанты Воздухошколы проходили производственную и летную практику, поскольку рядом располагался основной дирижабельный порт СССР. В МДИ преподавали известные отечественные ученые профессора Б. М. Земский, М. М. Ижевский, П. Т. Калиновский, М. Н. Канищев, П. Я. Кочина, Е. Б. Лунц, М. М. Масленников и др. В числе преподавателей нашего вуза был легендарный Умберто Нобиле, работавший в Советском Союзе по контракту с Дирижаблестроем с 1932 по 1936 год. </w:t>
      </w:r>
    </w:p>
    <w:p w14:paraId="30A5B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604BF9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5DB55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промышлен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1036B2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CC5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сентября 1932 на основании постановления Президента Центральной Контрольной Комиссии ВКП (б) и Коллегии Народного Комиссариата Рабоче-Крестьянской Инспекции СССР от года дирижаблестроительный факультет МАИ был выделен в самостоятельную единицу как высшее учебное заведение Дирижаблестроя. Начальником втуза был назначен А.Ф. Красных, на плечи которого легли заботы по переводу факультета из Москвы в поселок Тушино Московской области, где завершилось строительство учебного корпуса (11269).</w:t>
      </w:r>
    </w:p>
    <w:p w14:paraId="70F02F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68228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B022DC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A3DC4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сентября 1932 первым секретарем Сталинского обкома партии избран И. Акулов (4962).</w:t>
      </w:r>
    </w:p>
    <w:p w14:paraId="724567B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A93AA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63C5B6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4B9BAE"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23 сентября 1932 в ходе обсуждения плана стро</w:t>
      </w:r>
      <w:r w:rsidRPr="00E93F40">
        <w:rPr>
          <w:rFonts w:ascii="Times New Roman" w:hAnsi="Times New Roman"/>
          <w:color w:val="000000" w:themeColor="text1"/>
          <w:sz w:val="16"/>
          <w:szCs w:val="16"/>
          <w:lang w:eastAsia="ru-RU" w:bidi="ru-RU"/>
        </w:rPr>
        <w:softHyphen/>
        <w:t>ительства опытных самолетов до 1934 г., разработанного ЦКБ, на совещании у начальника ВАО было ре</w:t>
      </w:r>
      <w:r w:rsidRPr="00E93F40">
        <w:rPr>
          <w:rFonts w:ascii="Times New Roman" w:hAnsi="Times New Roman"/>
          <w:color w:val="000000" w:themeColor="text1"/>
          <w:sz w:val="16"/>
          <w:szCs w:val="16"/>
          <w:lang w:eastAsia="ru-RU" w:bidi="ru-RU"/>
        </w:rPr>
        <w:softHyphen/>
        <w:t>шено включить в план дополнительно по</w:t>
      </w:r>
      <w:r w:rsidRPr="00E93F40">
        <w:rPr>
          <w:rFonts w:ascii="Times New Roman" w:hAnsi="Times New Roman"/>
          <w:color w:val="000000" w:themeColor="text1"/>
          <w:sz w:val="16"/>
          <w:szCs w:val="16"/>
          <w:lang w:eastAsia="ru-RU" w:bidi="ru-RU"/>
        </w:rPr>
        <w:softHyphen/>
        <w:t>стройку самолета ТШ-2 с М-34 со сроком выпуска к 1 июня 1932 г. Серийное произ</w:t>
      </w:r>
      <w:r w:rsidRPr="00E93F40">
        <w:rPr>
          <w:rFonts w:ascii="Times New Roman" w:hAnsi="Times New Roman"/>
          <w:color w:val="000000" w:themeColor="text1"/>
          <w:sz w:val="16"/>
          <w:szCs w:val="16"/>
          <w:lang w:eastAsia="ru-RU" w:bidi="ru-RU"/>
        </w:rPr>
        <w:softHyphen/>
        <w:t>водство штурмовиков предполагалось ор</w:t>
      </w:r>
      <w:r w:rsidRPr="00E93F40">
        <w:rPr>
          <w:rFonts w:ascii="Times New Roman" w:hAnsi="Times New Roman"/>
          <w:color w:val="000000" w:themeColor="text1"/>
          <w:sz w:val="16"/>
          <w:szCs w:val="16"/>
          <w:lang w:eastAsia="ru-RU" w:bidi="ru-RU"/>
        </w:rPr>
        <w:softHyphen/>
        <w:t>ганизовать на заводе №16 - ТШ-2 с М-27 и М-34, и на заводе №21 - ЛШ-4 с М-22. Одновременно, с завода №1 снималось задание по выпуску самолетов ТШ-2, ко</w:t>
      </w:r>
      <w:r w:rsidRPr="00E93F40">
        <w:rPr>
          <w:rFonts w:ascii="Times New Roman" w:hAnsi="Times New Roman"/>
          <w:color w:val="000000" w:themeColor="text1"/>
          <w:sz w:val="16"/>
          <w:szCs w:val="16"/>
          <w:lang w:eastAsia="ru-RU" w:bidi="ru-RU"/>
        </w:rPr>
        <w:softHyphen/>
        <w:t>торый полностью ориентировался на вы</w:t>
      </w:r>
      <w:r w:rsidRPr="00E93F40">
        <w:rPr>
          <w:rFonts w:ascii="Times New Roman" w:hAnsi="Times New Roman"/>
          <w:color w:val="000000" w:themeColor="text1"/>
          <w:sz w:val="16"/>
          <w:szCs w:val="16"/>
          <w:lang w:eastAsia="ru-RU" w:bidi="ru-RU"/>
        </w:rPr>
        <w:softHyphen/>
        <w:t>пуск самолетов Р-5 (до 5000 машин всех модификаций в год).</w:t>
      </w:r>
    </w:p>
    <w:p w14:paraId="57A01011"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Начальнику ЦКБ Пауфлеру в течение 5-10 дней поручалось согласовать с УВВС КА изменения к плану для его дальней</w:t>
      </w:r>
      <w:r w:rsidRPr="00E93F40">
        <w:rPr>
          <w:rFonts w:ascii="Times New Roman" w:hAnsi="Times New Roman"/>
          <w:color w:val="000000" w:themeColor="text1"/>
          <w:sz w:val="16"/>
          <w:szCs w:val="16"/>
          <w:lang w:eastAsia="ru-RU" w:bidi="ru-RU"/>
        </w:rPr>
        <w:softHyphen/>
        <w:t>шего утверждения, а также технические требования к разрабатываемым образцам боевых самолетов и моторов и сроки вы</w:t>
      </w:r>
      <w:r w:rsidRPr="00E93F40">
        <w:rPr>
          <w:rFonts w:ascii="Times New Roman" w:hAnsi="Times New Roman"/>
          <w:color w:val="000000" w:themeColor="text1"/>
          <w:sz w:val="16"/>
          <w:szCs w:val="16"/>
          <w:lang w:eastAsia="ru-RU" w:bidi="ru-RU"/>
        </w:rPr>
        <w:softHyphen/>
        <w:t>хода их на государственные испытания.</w:t>
      </w:r>
    </w:p>
    <w:p w14:paraId="32953C4F"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Вскоре после анализа производствен</w:t>
      </w:r>
      <w:r w:rsidRPr="00E93F40">
        <w:rPr>
          <w:rFonts w:ascii="Times New Roman" w:hAnsi="Times New Roman"/>
          <w:color w:val="000000" w:themeColor="text1"/>
          <w:sz w:val="16"/>
          <w:szCs w:val="16"/>
          <w:lang w:eastAsia="ru-RU" w:bidi="ru-RU"/>
        </w:rPr>
        <w:softHyphen/>
        <w:t>ных возможностей 21-го завода, который еще достраивался и в строй не вошел, ре</w:t>
      </w:r>
      <w:r w:rsidRPr="00E93F40">
        <w:rPr>
          <w:rFonts w:ascii="Times New Roman" w:hAnsi="Times New Roman"/>
          <w:color w:val="000000" w:themeColor="text1"/>
          <w:sz w:val="16"/>
          <w:szCs w:val="16"/>
          <w:lang w:eastAsia="ru-RU" w:bidi="ru-RU"/>
        </w:rPr>
        <w:softHyphen/>
        <w:t>шили сосредоточить всю программу выпу</w:t>
      </w:r>
      <w:r w:rsidRPr="00E93F40">
        <w:rPr>
          <w:rFonts w:ascii="Times New Roman" w:hAnsi="Times New Roman"/>
          <w:color w:val="000000" w:themeColor="text1"/>
          <w:sz w:val="16"/>
          <w:szCs w:val="16"/>
          <w:lang w:eastAsia="ru-RU" w:bidi="ru-RU"/>
        </w:rPr>
        <w:softHyphen/>
        <w:t>ска штурмовиков - легких и тяжелых, на одном заводе, специально для этого при</w:t>
      </w:r>
      <w:r w:rsidRPr="00E93F40">
        <w:rPr>
          <w:rFonts w:ascii="Times New Roman" w:hAnsi="Times New Roman"/>
          <w:color w:val="000000" w:themeColor="text1"/>
          <w:sz w:val="16"/>
          <w:szCs w:val="16"/>
          <w:lang w:eastAsia="ru-RU" w:bidi="ru-RU"/>
        </w:rPr>
        <w:softHyphen/>
        <w:t>способленного. Таким заводом предпола</w:t>
      </w:r>
      <w:r w:rsidRPr="00E93F40">
        <w:rPr>
          <w:rFonts w:ascii="Times New Roman" w:hAnsi="Times New Roman"/>
          <w:color w:val="000000" w:themeColor="text1"/>
          <w:sz w:val="16"/>
          <w:szCs w:val="16"/>
          <w:lang w:eastAsia="ru-RU" w:bidi="ru-RU"/>
        </w:rPr>
        <w:softHyphen/>
        <w:t>галось сделать воронежский завод №16. Соответственно, завод №21 освобождался от выпуска штурмовиков и сосредотачивался на массовой серии истребителей И-5 (до 2400-3500 самолетов в год) (21062).</w:t>
      </w:r>
    </w:p>
    <w:p w14:paraId="22377E44" w14:textId="77777777" w:rsidR="006C33CD" w:rsidRPr="00E93F40" w:rsidRDefault="006C33CD" w:rsidP="00E93F40">
      <w:pPr>
        <w:spacing w:after="0" w:line="240" w:lineRule="auto"/>
        <w:jc w:val="both"/>
        <w:rPr>
          <w:rFonts w:ascii="Times New Roman" w:hAnsi="Times New Roman"/>
          <w:color w:val="000000" w:themeColor="text1"/>
          <w:sz w:val="16"/>
          <w:szCs w:val="16"/>
          <w:lang w:eastAsia="ru-RU" w:bidi="ru-RU"/>
        </w:rPr>
      </w:pPr>
    </w:p>
    <w:p w14:paraId="1592BD26"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сентября 1932 г. работы по И-12 Туполев прекратил, списав недостроенный И-12бис. После этой машины и тоже оставшейся опытной гигантской летающей лодки АНТ-22 он надолго сосредоточился на обычных, классических компоновках, взяв своим кредо здоровый консерватизм (25056).</w:t>
      </w:r>
    </w:p>
    <w:p w14:paraId="396F1EC4" w14:textId="77777777" w:rsidR="00A3140F" w:rsidRPr="00142305" w:rsidRDefault="00A3140F" w:rsidP="00A3140F">
      <w:pPr>
        <w:spacing w:after="0" w:line="240" w:lineRule="auto"/>
        <w:jc w:val="both"/>
        <w:rPr>
          <w:rFonts w:ascii="Times New Roman" w:hAnsi="Times New Roman"/>
          <w:color w:val="0070C0"/>
          <w:sz w:val="16"/>
          <w:szCs w:val="16"/>
        </w:rPr>
      </w:pPr>
    </w:p>
    <w:p w14:paraId="648B8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23 сентября по 9 октября 1932 состоялся высотный перелет Москва-Харьков на 5000 м, организованный НИИ ВВС под командованием Т.Сузи. Участие приняли три АНТ-7 (Р-6), один Р-5 и один И-4. Летели с кислородными приборами КП-1 (2671,16).</w:t>
      </w:r>
    </w:p>
    <w:p w14:paraId="5703E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918DE7"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сентября 1932 г. стартовал высотный перелет, организованный НИИ ВВС, в котором участвовали три Р-6, один Р-5 и один И-4. Командовал перелётом Т. Сузи. Самолёты проследовали от Москвы до Харькова и обратно на высоте 5000 м. Вернулись 9 октября. Машины были ос-нащены отечественными кислородными приборами КП-1, только что принятыми на снабжение. Лётчики отметили, что на высоте управление становилось «тугим». Причина крылась в повышенной жёсткос-ти тросов и замерзании масла. Из-за это-го же затруднялось управление жалюзи радиаторов (12264).</w:t>
      </w:r>
    </w:p>
    <w:p w14:paraId="29FDB5A1" w14:textId="77777777" w:rsidR="0094586B" w:rsidRPr="00E93F40" w:rsidRDefault="0094586B" w:rsidP="00E93F40">
      <w:pPr>
        <w:spacing w:after="0" w:line="240" w:lineRule="auto"/>
        <w:jc w:val="both"/>
        <w:rPr>
          <w:rFonts w:ascii="Times New Roman" w:hAnsi="Times New Roman"/>
          <w:color w:val="000000" w:themeColor="text1"/>
          <w:sz w:val="16"/>
          <w:szCs w:val="16"/>
        </w:rPr>
      </w:pPr>
    </w:p>
    <w:p w14:paraId="052DABB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422721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7F9C9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сентября 1932 вторично арестован один из лидеров «правой оппозиции» Рютин (4962).</w:t>
      </w:r>
    </w:p>
    <w:p w14:paraId="52A65A1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A0D8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245B53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467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сентября 1932 королевства Хиджаз и Неджд слились в Саудовскую Аравию (3481).</w:t>
      </w:r>
    </w:p>
    <w:p w14:paraId="04C2F7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95BE4E" w14:textId="77777777" w:rsidR="002F12F0" w:rsidRPr="00E93F40" w:rsidRDefault="002F12F0"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23 сентября </w:t>
      </w:r>
      <w:r w:rsidRPr="00E93F40">
        <w:rPr>
          <w:rFonts w:ascii="Times New Roman" w:hAnsi="Times New Roman"/>
          <w:color w:val="000000" w:themeColor="text1"/>
          <w:sz w:val="16"/>
          <w:szCs w:val="16"/>
        </w:rPr>
        <w:t>в 1932 году издан декрет «Об объединении частей арабского королевства», по которому государство стало называться Королевством Саудовская Аравия. Королевство в современных границах существует с января 1926 года, когда после многолетней кровопролитной борьбы княжеств Аравийского полуострова произошло объединение аравийских земель - Неджда, Хиджаза и других областей Аравии в единое централизованное государство. Главенствующую роль в этой борьбе сыграл правитель Неджда - Абдель Азиз ас-Сауд, который стал первым королем Саудовской Аравии в 1932 году. Королевство Саудовская Аравия занимает большую часть Аравийского полуострова. На севере граничит с Иорданией, Ираком и Кувейтом, на востоке - с Катаром, на юго-востоке - с Объединенными Арабскими Эмиратами и Оманом, на юге - с Республикой Йемен. На востоке омывается Персидским заливом, на западе - Красным морем и заливом Акаба. Практически все жители страны - арабы, среди них выделяются коренные саудовцы, предки которых жили в стране на протяжении нескольких столетий, йеменцы и арабы, прибывшие в страну после 1950-х годов во время нефтяного бума, кочевники-берберы (их численность неуклонно уменьшается). Практически все жители Саудовской Аравии - мусульмане, подавляющее большинство которых принадлежит к суннитской секте. Государственное устройство - абсолютная монархия с кабинетом министров. Глава государства - король, ему принадлежит законодательная и исполнительная власть, он же религиозный лидер страны (имам), является главой правящей династии Саудидов и носит старинный почетный титул «хранителя двух священных мечетей». Королевским указом 1992 года были введены «Основы системы власти», базирующиеся на положениях исламского законодательства. Основу государственного устройства страны составляет шариат. Король является верховным главнокомандующим вооруженными силами страны и премьер-министром. Правительство формируется из членов королевской семьи. С августа 1993 года мандат правительства ограничен четырьмя годами, согласно новому внутреннему кодексу, утвержденному королевским декретом. Реальная структура монархической власти в Саудовской Аравии несколько отличается от того, как ее представляют в теории. В значительной степени власть короля опирается на семейство Аль Сауд, состоящее из более чем пяти тысяч человек и составляющее основу монархического строя в стране. Король правит, опираясь на советы ведущих представителей семейства, в частности, своих братьев. На такой же основе строятся его отношения с религиозными лидерами. 1августа 2005 года, после смерти короля Фахда, королем Саудовской Аравии объявлен наследный принц Абдалла ибн Абдель Азиз Аль Сауд. Национальный праздник Королевства Саудовская Аравия — День провозглашения Королевства (14778).</w:t>
      </w:r>
    </w:p>
    <w:p w14:paraId="79B289CE" w14:textId="77777777" w:rsidR="002F12F0" w:rsidRPr="00E93F40" w:rsidRDefault="002F12F0" w:rsidP="00E93F40">
      <w:pPr>
        <w:spacing w:after="0" w:line="240" w:lineRule="auto"/>
        <w:jc w:val="both"/>
        <w:rPr>
          <w:rFonts w:ascii="Times New Roman" w:hAnsi="Times New Roman"/>
          <w:color w:val="000000" w:themeColor="text1"/>
          <w:sz w:val="16"/>
          <w:szCs w:val="16"/>
        </w:rPr>
      </w:pPr>
    </w:p>
    <w:p w14:paraId="515D8B0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CAAD09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0107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сентября 1932 в Швеции пришло к власти социал-демократическое правительство (2443,407).</w:t>
      </w:r>
    </w:p>
    <w:p w14:paraId="621D0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7A93D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сентября 1932 в Индии право участия в выборах предоставлено касте неприкасаемых (4962).</w:t>
      </w:r>
    </w:p>
    <w:p w14:paraId="0F85B6E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C5BC8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7DEDC1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AD3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сентября 1932 состоялось совещание в ЦАГИ по вопросу сдачи чертежей для серийного производства ТБ-4 (1077,175).</w:t>
      </w:r>
    </w:p>
    <w:p w14:paraId="1FC37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8EBD5D" w14:textId="77777777" w:rsidR="0094586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40367D5" w14:textId="77777777" w:rsidR="0094586B" w:rsidRPr="00E93F40" w:rsidRDefault="0094586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B3486B"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сентября 1932</w:t>
      </w:r>
    </w:p>
    <w:p w14:paraId="05EE1C3F" w14:textId="18A4F635"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Опросом членов Политбюро от 25.XI.1932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ABE5B9B" w14:textId="3322E391"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106/82: О производстве гусеничных тракторов на СТЗ</w:t>
      </w:r>
    </w:p>
    <w:p w14:paraId="13CCFE10" w14:textId="5C2DE970"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3A3B5A7E" w14:textId="7964751E"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Перевести СТЗ с 1.VII.1934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производство гусеничных тракторов по типу Карден-Ллойд с дизель-мотором, из расчета выпуска при освоении полной мощности 40.000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тракторов в год, оставив на нем в военное время задачу массового производства танка Виккерса (Т</w:t>
      </w:r>
      <w:r w:rsidRPr="00E93F40">
        <w:rPr>
          <w:rFonts w:ascii="Times New Roman" w:hAnsi="Times New Roman"/>
          <w:color w:val="000000" w:themeColor="text1"/>
          <w:sz w:val="16"/>
          <w:szCs w:val="16"/>
        </w:rPr>
        <w:noBreakHyphen/>
        <w:t>26) с программой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12.000 в год и 25% запчастей.</w:t>
      </w:r>
    </w:p>
    <w:p w14:paraId="120B73D6" w14:textId="27542401"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Установить срок мобилизационной готовности СТЗ на ассимиляцию всего завода на производство танков Виккерса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1.VIII.19ЗЗ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начало серийного производства этих машин в опытном цеху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1.VII.1933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C6786F9"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Осязать НКТП:</w:t>
      </w:r>
    </w:p>
    <w:p w14:paraId="0AB1DB12" w14:textId="352D6633"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 декадный срок рассмотреть генеральную смету СТЗ и установить объем капиталовложений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соответствии с установленным техническим проектом и генеральным планом завода.</w:t>
      </w:r>
    </w:p>
    <w:p w14:paraId="642E087F"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Для ускорения получения импортного оборудования разрешить командировку заграницу 4</w:t>
      </w:r>
      <w:r w:rsidRPr="00E93F40">
        <w:rPr>
          <w:rFonts w:ascii="Times New Roman" w:hAnsi="Times New Roman"/>
          <w:color w:val="000000" w:themeColor="text1"/>
          <w:sz w:val="16"/>
          <w:szCs w:val="16"/>
        </w:rPr>
        <w:noBreakHyphen/>
        <w:t>м намеченным заводом лицам.</w:t>
      </w:r>
    </w:p>
    <w:p w14:paraId="5508CA80"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 месячный срок выделить СТЗ все необходимое ему оборудование отечественного производства, строительные и монтажные материалы со сроком отгрузок по календарному плану завода.</w:t>
      </w:r>
    </w:p>
    <w:p w14:paraId="4D4D6C96"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Обеспечить выполнение проектирующими и монтажными организациями проектов и монтажа всех необходимых СТЗ устройств, согласно заключенных договоров.</w:t>
      </w:r>
    </w:p>
    <w:p w14:paraId="2E4B9966"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Направить на СТЗ опытных инженеров: сталевара, формовщика, электрика для электропечей и механика.</w:t>
      </w:r>
    </w:p>
    <w:p w14:paraId="2548AEE7"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Переключить работу Оргаметалла на проектирование технологического процесса гусеничного трактора СТЗ, включая приспособления, инструменты, штампы и модели.</w:t>
      </w:r>
    </w:p>
    <w:p w14:paraId="706AAD61"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Обязать НКТ в литерном порядке обеспечить строительство СТЗ необходимой рабочей силой.</w:t>
      </w:r>
    </w:p>
    <w:p w14:paraId="478A5DCB"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Признать строительство на СТЗ ударным.</w:t>
      </w:r>
    </w:p>
    <w:p w14:paraId="223D22D1" w14:textId="77777777"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1E6D7F40" w14:textId="56E1159C"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Орджоникидзе, Павлуновскому, Пудалову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w:t>
      </w:r>
    </w:p>
    <w:p w14:paraId="69B76D20" w14:textId="6E8A510C" w:rsidR="008E7639" w:rsidRPr="00E93F40" w:rsidRDefault="008E76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Цихону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 (17879).</w:t>
      </w:r>
    </w:p>
    <w:p w14:paraId="3CE24B47" w14:textId="77777777" w:rsidR="008E7639" w:rsidRPr="00E93F40" w:rsidRDefault="008E7639" w:rsidP="00E93F40">
      <w:pPr>
        <w:spacing w:after="0" w:line="240" w:lineRule="auto"/>
        <w:jc w:val="both"/>
        <w:rPr>
          <w:rFonts w:ascii="Times New Roman" w:hAnsi="Times New Roman"/>
          <w:color w:val="000000" w:themeColor="text1"/>
          <w:sz w:val="16"/>
          <w:szCs w:val="16"/>
        </w:rPr>
      </w:pPr>
    </w:p>
    <w:p w14:paraId="506EB6C9"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25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1210/361сс об отсрочках по призыву в РККА рабочим и техперсоналу промышленности в 1932 г (ГА РФ. Ф. Р?8418. Оп. 28. Д. 1а. Л. 366?369) (12415).</w:t>
      </w:r>
    </w:p>
    <w:p w14:paraId="42672E9C"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0B73FE9A" w14:textId="77777777" w:rsidR="00F7419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BFB0AF2" w14:textId="77777777" w:rsidR="00F74199" w:rsidRPr="00E93F40" w:rsidRDefault="00F7419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DFDE2C" w14:textId="77777777" w:rsidR="00F74199" w:rsidRPr="00E93F40" w:rsidRDefault="00F741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сентября 1932, получив срочную телеграмму с требованием «молнируйте оста</w:t>
      </w:r>
      <w:r w:rsidRPr="00E93F40">
        <w:rPr>
          <w:rFonts w:ascii="Times New Roman" w:hAnsi="Times New Roman"/>
          <w:color w:val="000000" w:themeColor="text1"/>
          <w:sz w:val="16"/>
          <w:szCs w:val="16"/>
        </w:rPr>
        <w:softHyphen/>
        <w:t>вление всех четверых», начальник ИНО УВВС немедленно обратился в НКИД и ВСНХ:</w:t>
      </w:r>
    </w:p>
    <w:p w14:paraId="6F5B2C5A" w14:textId="77777777" w:rsidR="00F74199" w:rsidRPr="00E93F40" w:rsidRDefault="00F741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Вам известно... т. Алкснис выделил в свое время специалистов... для перегон</w:t>
      </w:r>
      <w:r w:rsidRPr="00E93F40">
        <w:rPr>
          <w:rFonts w:ascii="Times New Roman" w:hAnsi="Times New Roman"/>
          <w:color w:val="000000" w:themeColor="text1"/>
          <w:sz w:val="16"/>
          <w:szCs w:val="16"/>
        </w:rPr>
        <w:softHyphen/>
        <w:t>ки самолётов из Аягуза в Урумчи... и о том, что все эти люди направляются только во временную, очень непродолжительную командировку, был очень хорошо осведомлён... т. Иванов, на которого возложена вся эта операция. Однако в настоящее время выяс</w:t>
      </w:r>
      <w:r w:rsidRPr="00E93F40">
        <w:rPr>
          <w:rFonts w:ascii="Times New Roman" w:hAnsi="Times New Roman"/>
          <w:color w:val="000000" w:themeColor="text1"/>
          <w:sz w:val="16"/>
          <w:szCs w:val="16"/>
        </w:rPr>
        <w:softHyphen/>
        <w:t>няется, что из числа этого состава лётчик Антипов и техник Климович задерживают</w:t>
      </w:r>
      <w:r w:rsidRPr="00E93F40">
        <w:rPr>
          <w:rFonts w:ascii="Times New Roman" w:hAnsi="Times New Roman"/>
          <w:color w:val="000000" w:themeColor="text1"/>
          <w:sz w:val="16"/>
          <w:szCs w:val="16"/>
        </w:rPr>
        <w:softHyphen/>
        <w:t>ся... т. Златкиным, с оставлением их на постоянной работе в Китае, без какого-либо предварительного на то согласования с УВВС и т. Ивановым. Вопрос этот... решён на каком-то секретном у него заседании... Считаю, что Генконсул ни в коем случае не имел права самовольно задерживать в Китае тт. Антипова и Климовича, прошу срочно сообщить Ваше по сему заключение для доклада нач. Алкснису». Одновременно НКИД опять просили обеспечить УВВС аккуратной присылкой докладов от Волынченко.</w:t>
      </w:r>
    </w:p>
    <w:p w14:paraId="17C167E4" w14:textId="77777777" w:rsidR="00F74199" w:rsidRPr="00E93F40" w:rsidRDefault="00F741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задержкой в две недели начальник отдела Дальнего Востока НКИД «объяснился» с УВВС за «самоуправство» Генконсула: «Правительство обратилось к нему с просьбой об оставлении у них на службе 2 лётчиков и 2 механиков из лётно-технической группы, пе</w:t>
      </w:r>
      <w:r w:rsidRPr="00E93F40">
        <w:rPr>
          <w:rFonts w:ascii="Times New Roman" w:hAnsi="Times New Roman"/>
          <w:color w:val="000000" w:themeColor="text1"/>
          <w:sz w:val="16"/>
          <w:szCs w:val="16"/>
        </w:rPr>
        <w:softHyphen/>
        <w:t>регонявшей самолёты в Урумчи. Передав эту просьбу на разрешение соответствующих органов в Москве, т. Златкин временно, вплоть до разрешения, задержал в Урумчи 4-х человек лётного состава, не передавая их пока на службу китайским властям... Не имея непосредственной связи с Вами, [он] поставил об этом в известность т. Иванова.</w:t>
      </w:r>
    </w:p>
    <w:p w14:paraId="71BB5E95" w14:textId="77777777" w:rsidR="00F74199" w:rsidRPr="00E93F40" w:rsidRDefault="00F741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случае положительного разрешения у нас просьбы... мы считали бы целесообраз</w:t>
      </w:r>
      <w:r w:rsidRPr="00E93F40">
        <w:rPr>
          <w:rFonts w:ascii="Times New Roman" w:hAnsi="Times New Roman"/>
          <w:color w:val="000000" w:themeColor="text1"/>
          <w:sz w:val="16"/>
          <w:szCs w:val="16"/>
        </w:rPr>
        <w:softHyphen/>
        <w:t>ным оставить там временно задержанных 4-х человек с тем, чтобы избежать необхо</w:t>
      </w:r>
      <w:r w:rsidRPr="00E93F40">
        <w:rPr>
          <w:rFonts w:ascii="Times New Roman" w:hAnsi="Times New Roman"/>
          <w:color w:val="000000" w:themeColor="text1"/>
          <w:sz w:val="16"/>
          <w:szCs w:val="16"/>
        </w:rPr>
        <w:softHyphen/>
        <w:t>димости подбора новых кандидатур и оформления их выезда, что весьма затянуло бы выполнение просьбы...» (15802).</w:t>
      </w:r>
    </w:p>
    <w:p w14:paraId="3C286248" w14:textId="77777777" w:rsidR="00F74199" w:rsidRPr="00E93F40" w:rsidRDefault="00F74199" w:rsidP="00E93F40">
      <w:pPr>
        <w:spacing w:after="0" w:line="240" w:lineRule="auto"/>
        <w:jc w:val="both"/>
        <w:rPr>
          <w:rFonts w:ascii="Times New Roman" w:hAnsi="Times New Roman"/>
          <w:color w:val="000000" w:themeColor="text1"/>
          <w:sz w:val="16"/>
          <w:szCs w:val="16"/>
        </w:rPr>
      </w:pPr>
    </w:p>
    <w:p w14:paraId="744F2A3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C13537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2B9B9B"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сентября 1932 Льюис Янси устанавливает рекорд высоты автожира - 21 500 футов (6553 м) на Pitcairn PCA-2 (20803).</w:t>
      </w:r>
    </w:p>
    <w:p w14:paraId="52FD9546" w14:textId="77777777" w:rsidR="006C33CD" w:rsidRPr="00E93F40" w:rsidRDefault="006C33CD" w:rsidP="00E93F40">
      <w:pPr>
        <w:spacing w:after="0" w:line="240" w:lineRule="auto"/>
        <w:jc w:val="both"/>
        <w:rPr>
          <w:rFonts w:ascii="Times New Roman" w:hAnsi="Times New Roman"/>
          <w:color w:val="000000" w:themeColor="text1"/>
          <w:sz w:val="16"/>
          <w:szCs w:val="16"/>
        </w:rPr>
      </w:pPr>
    </w:p>
    <w:p w14:paraId="2C754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сентября 1932 Каталония получила автономию в Испании с правом собственного флага, языка и парламента (3481).</w:t>
      </w:r>
    </w:p>
    <w:p w14:paraId="2AA8B3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063F4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BB53F2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345CC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сентября 1932 состоялось совещание у начальника СОС ЦАГИ С.В.И. по вопросам моторов М-34 для ТБ-3 (АНТ-6) и был В.М.П. (1077,126).</w:t>
      </w:r>
    </w:p>
    <w:p w14:paraId="57B426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364F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сентября 1932 Г-38 Юнкерса приземлялся на ЦА, но уже серийно строился ТБ-3 (АНТ-6) и было не актуально (169,21).</w:t>
      </w:r>
    </w:p>
    <w:p w14:paraId="7F91C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A1871C" w14:textId="77777777" w:rsidR="009E70EE" w:rsidRPr="00E93F40" w:rsidRDefault="009E70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сентября 1932 г. в Москву прилетел немецкий самолет-гигант Юнкере Г-38, принадлежащий обществу Люфт-Ганза. На нем прилетели члены наблюдательного совета общества Дерулюфт на объединенное заседание этoro общества в Москве. Г-38 - пассажирский 41-местный моноплан с четырьмя моторами юнкере Л-88 по 650 л.с. Даниные самолета: размах крыла 45 м; длина - 23 м; полетный вес - 23 тонны; вес полезной нагрузки – 6,5 тонны; скорость крейсерская - 181 км/час, посадочная - 93 км/час. 28 сентября самолет совершил показательный полет над Москвой.</w:t>
      </w:r>
    </w:p>
    <w:p w14:paraId="57C8F9A3" w14:textId="77777777" w:rsidR="009E70EE" w:rsidRPr="00E93F40" w:rsidRDefault="009E70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ВЦИК» за 27 и 30 сентября 1932 г./ (23370).</w:t>
      </w:r>
    </w:p>
    <w:p w14:paraId="541DD275" w14:textId="77777777" w:rsidR="009E70EE" w:rsidRPr="00E93F40" w:rsidRDefault="009E70EE" w:rsidP="00E93F40">
      <w:pPr>
        <w:spacing w:after="0" w:line="240" w:lineRule="auto"/>
        <w:jc w:val="both"/>
        <w:rPr>
          <w:rFonts w:ascii="Times New Roman" w:hAnsi="Times New Roman"/>
          <w:color w:val="000000" w:themeColor="text1"/>
          <w:sz w:val="16"/>
          <w:szCs w:val="16"/>
        </w:rPr>
      </w:pPr>
    </w:p>
    <w:p w14:paraId="16BD8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сентября 1932 была представлена боевая схема Д1-10М34 (7415, 16).</w:t>
      </w:r>
    </w:p>
    <w:p w14:paraId="7F1DAB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37B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сентября 1932 А.Барбюс посетил ЦАГИ (273,298).</w:t>
      </w:r>
    </w:p>
    <w:p w14:paraId="638A0A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B7F08C" w14:textId="77777777" w:rsidR="0094586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89406A5" w14:textId="77777777" w:rsidR="0094586B" w:rsidRPr="00E93F40" w:rsidRDefault="0094586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CFD556" w14:textId="17F50375" w:rsidR="00F74199" w:rsidRPr="00E93F40" w:rsidRDefault="00F74199"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bCs/>
          <w:iCs/>
          <w:color w:val="000000" w:themeColor="text1"/>
          <w:sz w:val="16"/>
          <w:szCs w:val="16"/>
        </w:rPr>
        <w:t>26</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сентября 1932</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г.</w:t>
      </w:r>
      <w:r w:rsidRPr="00E93F40">
        <w:rPr>
          <w:rFonts w:ascii="Times New Roman" w:hAnsi="Times New Roman"/>
          <w:color w:val="000000" w:themeColor="text1"/>
          <w:sz w:val="16"/>
          <w:szCs w:val="16"/>
        </w:rPr>
        <w:t xml:space="preserve"> Утверждение совместным приказом трех ведомств (НКВМ, НКПС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НКВод) «</w:t>
      </w:r>
      <w:r w:rsidRPr="00E93F40">
        <w:rPr>
          <w:rFonts w:ascii="Times New Roman" w:hAnsi="Times New Roman"/>
          <w:iCs/>
          <w:color w:val="000000" w:themeColor="text1"/>
          <w:sz w:val="16"/>
          <w:szCs w:val="16"/>
        </w:rPr>
        <w:t>Инструкции о</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перевозках взрывчатых, отравляющих веществ и</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боеприпасов НКВМ</w:t>
      </w:r>
      <w:r w:rsidRPr="00E93F40">
        <w:rPr>
          <w:rFonts w:ascii="Times New Roman" w:hAnsi="Times New Roman"/>
          <w:color w:val="000000" w:themeColor="text1"/>
          <w:sz w:val="16"/>
          <w:szCs w:val="16"/>
        </w:rPr>
        <w:t>». Инструкцией установлено, что при перевозках железнодорожным транспортом «</w:t>
      </w:r>
      <w:r w:rsidRPr="00E93F40">
        <w:rPr>
          <w:rFonts w:ascii="Times New Roman" w:hAnsi="Times New Roman"/>
          <w:iCs/>
          <w:color w:val="000000" w:themeColor="text1"/>
          <w:sz w:val="16"/>
          <w:szCs w:val="16"/>
        </w:rPr>
        <w:t>при утечке отравляющих веществ… баллоны, дающие течь, удаляются и</w:t>
      </w:r>
      <w:r w:rsidR="007C1411" w:rsidRPr="00E93F40">
        <w:rPr>
          <w:rFonts w:ascii="Times New Roman" w:hAnsi="Times New Roman"/>
          <w:iCs/>
          <w:color w:val="000000" w:themeColor="text1"/>
          <w:sz w:val="16"/>
          <w:szCs w:val="16"/>
        </w:rPr>
        <w:t xml:space="preserve"> </w:t>
      </w:r>
      <w:r w:rsidRPr="00E93F40">
        <w:rPr>
          <w:rFonts w:ascii="Times New Roman" w:hAnsi="Times New Roman"/>
          <w:bCs/>
          <w:iCs/>
          <w:color w:val="000000" w:themeColor="text1"/>
          <w:sz w:val="16"/>
          <w:szCs w:val="16"/>
        </w:rPr>
        <w:t>закапываются</w:t>
      </w:r>
      <w:r w:rsidRPr="00E93F40">
        <w:rPr>
          <w:rFonts w:ascii="Times New Roman" w:hAnsi="Times New Roman"/>
          <w:iCs/>
          <w:color w:val="000000" w:themeColor="text1"/>
          <w:sz w:val="16"/>
          <w:szCs w:val="16"/>
        </w:rPr>
        <w:t xml:space="preserve"> в</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пунктах, не</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представляющих опасности для людей и</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животных, группами не</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более 5</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штук и</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на</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глубину не</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менее 1</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метра. Расстояние между группами закапываемых баллонов должно быть не</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менее 20</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метров</w:t>
      </w:r>
      <w:r w:rsidRPr="00E93F40">
        <w:rPr>
          <w:rFonts w:ascii="Times New Roman" w:hAnsi="Times New Roman"/>
          <w:color w:val="000000" w:themeColor="text1"/>
          <w:sz w:val="16"/>
          <w:szCs w:val="16"/>
        </w:rPr>
        <w:t>».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отношении «</w:t>
      </w:r>
      <w:r w:rsidRPr="00E93F40">
        <w:rPr>
          <w:rFonts w:ascii="Times New Roman" w:hAnsi="Times New Roman"/>
          <w:iCs/>
          <w:color w:val="000000" w:themeColor="text1"/>
          <w:sz w:val="16"/>
          <w:szCs w:val="16"/>
        </w:rPr>
        <w:t>протекающих баллонов с</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отравляющим грузом</w:t>
      </w:r>
      <w:r w:rsidRPr="00E93F40">
        <w:rPr>
          <w:rFonts w:ascii="Times New Roman" w:hAnsi="Times New Roman"/>
          <w:color w:val="000000" w:themeColor="text1"/>
          <w:sz w:val="16"/>
          <w:szCs w:val="16"/>
        </w:rPr>
        <w:t>» при перевозке водным транспортом процедура несколько усложняется. Эти грузы или выгружаются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берег и</w:t>
      </w:r>
      <w:r w:rsidR="007C1411" w:rsidRPr="00E93F40">
        <w:rPr>
          <w:rFonts w:ascii="Times New Roman" w:hAnsi="Times New Roman"/>
          <w:color w:val="000000" w:themeColor="text1"/>
          <w:sz w:val="16"/>
          <w:szCs w:val="16"/>
        </w:rPr>
        <w:t xml:space="preserve"> </w:t>
      </w:r>
      <w:r w:rsidRPr="00E93F40">
        <w:rPr>
          <w:rFonts w:ascii="Times New Roman" w:hAnsi="Times New Roman"/>
          <w:bCs/>
          <w:iCs/>
          <w:color w:val="000000" w:themeColor="text1"/>
          <w:sz w:val="16"/>
          <w:szCs w:val="16"/>
        </w:rPr>
        <w:t>закапываются</w:t>
      </w:r>
      <w:r w:rsidRPr="00E93F40">
        <w:rPr>
          <w:rFonts w:ascii="Times New Roman" w:hAnsi="Times New Roman"/>
          <w:color w:val="000000" w:themeColor="text1"/>
          <w:sz w:val="16"/>
          <w:szCs w:val="16"/>
        </w:rPr>
        <w:t>, если это возможно, 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же «</w:t>
      </w:r>
      <w:r w:rsidRPr="00E93F40">
        <w:rPr>
          <w:rFonts w:ascii="Times New Roman" w:hAnsi="Times New Roman"/>
          <w:iCs/>
          <w:color w:val="000000" w:themeColor="text1"/>
          <w:sz w:val="16"/>
          <w:szCs w:val="16"/>
        </w:rPr>
        <w:t>при морских перевозках</w:t>
      </w:r>
      <w:r w:rsidR="007C1411" w:rsidRPr="00E93F40">
        <w:rPr>
          <w:rFonts w:ascii="Times New Roman" w:hAnsi="Times New Roman"/>
          <w:iCs/>
          <w:color w:val="000000" w:themeColor="text1"/>
          <w:sz w:val="16"/>
          <w:szCs w:val="16"/>
        </w:rPr>
        <w:t xml:space="preserve"> </w:t>
      </w:r>
      <w:r w:rsidRPr="00E93F40">
        <w:rPr>
          <w:rFonts w:ascii="Times New Roman" w:hAnsi="Times New Roman"/>
          <w:iCs/>
          <w:color w:val="000000" w:themeColor="text1"/>
          <w:sz w:val="16"/>
          <w:szCs w:val="16"/>
        </w:rPr>
        <w:t xml:space="preserve">— могут </w:t>
      </w:r>
      <w:r w:rsidRPr="00E93F40">
        <w:rPr>
          <w:rFonts w:ascii="Times New Roman" w:hAnsi="Times New Roman"/>
          <w:bCs/>
          <w:iCs/>
          <w:color w:val="000000" w:themeColor="text1"/>
          <w:sz w:val="16"/>
          <w:szCs w:val="16"/>
        </w:rPr>
        <w:t>выбрасываться и</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за</w:t>
      </w:r>
      <w:r w:rsidR="007C1411" w:rsidRPr="00E93F40">
        <w:rPr>
          <w:rFonts w:ascii="Times New Roman" w:hAnsi="Times New Roman"/>
          <w:bCs/>
          <w:iCs/>
          <w:color w:val="000000" w:themeColor="text1"/>
          <w:sz w:val="16"/>
          <w:szCs w:val="16"/>
        </w:rPr>
        <w:t xml:space="preserve"> </w:t>
      </w:r>
      <w:r w:rsidRPr="00E93F40">
        <w:rPr>
          <w:rFonts w:ascii="Times New Roman" w:hAnsi="Times New Roman"/>
          <w:bCs/>
          <w:iCs/>
          <w:color w:val="000000" w:themeColor="text1"/>
          <w:sz w:val="16"/>
          <w:szCs w:val="16"/>
        </w:rPr>
        <w:t>борт</w:t>
      </w:r>
      <w:r w:rsidRPr="00E93F40">
        <w:rPr>
          <w:rFonts w:ascii="Times New Roman" w:hAnsi="Times New Roman"/>
          <w:color w:val="000000" w:themeColor="text1"/>
          <w:sz w:val="16"/>
          <w:szCs w:val="16"/>
        </w:rPr>
        <w:t>» (17133).</w:t>
      </w:r>
    </w:p>
    <w:p w14:paraId="4D382593" w14:textId="77777777" w:rsidR="00F74199" w:rsidRPr="00E93F40" w:rsidRDefault="00F74199" w:rsidP="00E93F40">
      <w:pPr>
        <w:shd w:val="clear" w:color="auto" w:fill="FFFFFF"/>
        <w:spacing w:after="0" w:line="240" w:lineRule="auto"/>
        <w:jc w:val="both"/>
        <w:rPr>
          <w:rFonts w:ascii="Times New Roman" w:hAnsi="Times New Roman"/>
          <w:color w:val="000000" w:themeColor="text1"/>
          <w:sz w:val="16"/>
          <w:szCs w:val="16"/>
        </w:rPr>
      </w:pPr>
    </w:p>
    <w:p w14:paraId="7E065071"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сентября 1932 года на Ярославском заводе были закончены испытания этого шасси под удлиненный автобус 6x4. В 1932 году на трехосном ярославском шасси тот же НАТИ разработал проект автобуса, рассчитанного на 80 - 100 пассажиров. В некотором роде это тоже была модификация ЯГ-10. Его передали в Ленинград тресту Ленкомтранс, и вскоре на Авторемонтном заводе №2 АТУЛ изготовили самый большой в СССР 100-местный автобус марки ЯА-2 «Гигант». В 1934 году под тем же самым индексом, но уже полностью на ЯГАЗе (с несколько отличавшимся собственным кузовом наподобие ленинградского) был изготовлен второй (и последний) экземпляр такого автобуса. Оба ЯА-2 успешно эксплуатировались на городских и пригородных маршрутах города на Неве почти до самой войны.</w:t>
      </w:r>
    </w:p>
    <w:p w14:paraId="5348E94C"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Порой возникали и самодеятельные попытки создания «трехосок» на шасси стандартных довоенных «ярославцев». Так, в Восточной Сибири для транспортировки крупных неделимых грузов (паровозов, небольших речных судов и т.д.) использовали обычные ЯГ-6 с удлиненной сзади рамой и третьей опорной (неведущей) осью/</w:t>
      </w:r>
    </w:p>
    <w:p w14:paraId="2F2AF854"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Эта тенденция получила распространение в годы войны и первые послевоенные, когда отдаленные регионы испытывали большой дефицит в технике. Слабым звеном у таких переделанных в 6х2 машин оставался 73-сильный двигатель от ЗИС-5, поэтому его при первой же возможности заменяли на более мощные импортные (в основном ленд-лизовские, 93-сильные от «Студебекера» или даже дизельные), с которыми эти трехосные «ЯГи» весьма неплохо и достаточно долго эксплуатировались в самых суровых условиях.</w:t>
      </w:r>
    </w:p>
    <w:p w14:paraId="1E8581B0" w14:textId="77777777" w:rsidR="0094586B" w:rsidRPr="00E93F40" w:rsidRDefault="0094586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же касается самих ЯГ-10, то в эксплуатации дольше других сохранялись армейские зенитные установки, однако после войны они были сняты с вооружения и постепенно канули в Лету. Интересно, что даже в 1950-е годы в Баку (Азербайджан) весьма неплохо здравствовала целая партия ЯГ-10. По воспоминаниям Е. И. Прочко, это были как раз те самые машины, построенные по заказу «Азнефти». На них работали опытные водители со стажем, которые отзывались о своих ЯГ-10 весьма хорошо, берегли их и не спешили менять на более новую технику. Но и они со временем закончили свою службу и канули в небытие. Дольше прочих экземпляров, вероятнее всего, просуществовал образец, имевшийся в НАМИ, но на рубеже 1950-60-х годов и его вместе с другими уникальными экспонатами тоже постигла печальная участь (12201).</w:t>
      </w:r>
    </w:p>
    <w:p w14:paraId="02CD083F" w14:textId="77777777" w:rsidR="0094586B" w:rsidRPr="00E93F40" w:rsidRDefault="0094586B" w:rsidP="00E93F40">
      <w:pPr>
        <w:spacing w:after="0" w:line="240" w:lineRule="auto"/>
        <w:jc w:val="both"/>
        <w:rPr>
          <w:rFonts w:ascii="Times New Roman" w:hAnsi="Times New Roman"/>
          <w:color w:val="000000" w:themeColor="text1"/>
          <w:sz w:val="16"/>
          <w:szCs w:val="16"/>
          <w:u w:color="002060"/>
        </w:rPr>
      </w:pPr>
    </w:p>
    <w:p w14:paraId="0EC1FB0F" w14:textId="77777777" w:rsidR="00BC161D"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2C91B55" w14:textId="77777777" w:rsidR="00BC161D" w:rsidRPr="00E93F40" w:rsidRDefault="00BC161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82A7527"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сентября 1932 машина Р-6-2202 была отправлена летом в Таганрог для совместных испытаний с НИИ. Оттуда полетела в Севастополь для испытаний поплавкового шасси и поплавков (2314).</w:t>
      </w:r>
    </w:p>
    <w:p w14:paraId="4FDD3AE0"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p>
    <w:p w14:paraId="752877D1"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сентября 1932 года по 3 ноября 1932 года в Севастополе проходили гос. испытания морского ближнего разведчика МБР-4 - АССО 750</w:t>
      </w:r>
    </w:p>
    <w:p w14:paraId="2C8981F7"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испытаний</w:t>
      </w:r>
    </w:p>
    <w:p w14:paraId="324BB015"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Определить летные качества по стандартной программе, сравнив с сам. С62бис - АССО 750. Выявить дефекты, проверить взаимозаменяемость с самолетами МБР4 и с С62бис (3899,368-383).</w:t>
      </w:r>
    </w:p>
    <w:p w14:paraId="1CAED6D2"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p>
    <w:p w14:paraId="7A73EAD0" w14:textId="77777777" w:rsidR="00BC161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C041410" w14:textId="77777777" w:rsidR="00BC161D" w:rsidRPr="00E93F40" w:rsidRDefault="00BC161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382963C"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27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1218/364сс об обеспечении подвижным составом Союзверфи (ГА РФ. Ф. Р?8418. Оп. 28. Д. 1а. Л. 370) (12415).</w:t>
      </w:r>
    </w:p>
    <w:p w14:paraId="53CA4F44"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p>
    <w:p w14:paraId="134FCAE2"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lastRenderedPageBreak/>
        <w:t>27 сентября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117. 6. О подводной лодке (телеграмма Блюхера). — ОП. Опросом членов ПБ от 27 сентября 1932 г. 56/44. О снабжении сернокислой промышленности сырьем. 59/47. О программе зимнего судоремонта на 1932/33 г. (записка Янсона). 63/51. О строительстве магниевого комбината (записка Кабакова). (Политбюро... Т. 2. С. 354, 356) (12416).</w:t>
      </w:r>
    </w:p>
    <w:p w14:paraId="7726F825"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p>
    <w:p w14:paraId="2EA98D71"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27 сентября 1932 состоялось заседание ПБ (Протокол № 117) </w:t>
      </w:r>
    </w:p>
    <w:p w14:paraId="39A3EB30"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О подводной лодке (телеграмма_т._Блюхера).</w:t>
      </w:r>
    </w:p>
    <w:p w14:paraId="608260AF"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т. Орджоникидзе сделать письменное сообщение о принятых мерах в связи с телеграммой т.Блю</w:t>
      </w:r>
      <w:r w:rsidRPr="00E93F40">
        <w:rPr>
          <w:rFonts w:ascii="Times New Roman" w:hAnsi="Times New Roman"/>
          <w:color w:val="000000" w:themeColor="text1"/>
          <w:sz w:val="16"/>
          <w:szCs w:val="16"/>
        </w:rPr>
        <w:softHyphen/>
        <w:t>хера.</w:t>
      </w:r>
    </w:p>
    <w:p w14:paraId="04C40806" w14:textId="77777777" w:rsidR="006C33CD" w:rsidRPr="00E93F40" w:rsidRDefault="006C33C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послана: т. Орджоникидзе (23052).</w:t>
      </w:r>
    </w:p>
    <w:p w14:paraId="6F74779D" w14:textId="77777777" w:rsidR="006C33CD" w:rsidRPr="00E93F40" w:rsidRDefault="006C33CD" w:rsidP="00E93F40">
      <w:pPr>
        <w:spacing w:after="0" w:line="240" w:lineRule="auto"/>
        <w:jc w:val="both"/>
        <w:rPr>
          <w:rFonts w:ascii="Times New Roman" w:hAnsi="Times New Roman"/>
          <w:color w:val="000000" w:themeColor="text1"/>
          <w:sz w:val="16"/>
          <w:szCs w:val="16"/>
        </w:rPr>
      </w:pPr>
    </w:p>
    <w:p w14:paraId="2D0A9E8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0B714B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699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сентября 1932 года зам. начальника 1-го сектора 5 управления Петровец писал письмо писал письмо N 51/001031 зав. военным отделом ЦК ВЛКСМ.</w:t>
      </w:r>
    </w:p>
    <w:p w14:paraId="323B7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Справка о стоимости одной типовой тяжелобомбардировочной авиационной бригады</w:t>
      </w:r>
    </w:p>
    <w:p w14:paraId="2D8E6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 одной типовой тяжелобомбардировочной авиационной бригады входят:</w:t>
      </w:r>
    </w:p>
    <w:p w14:paraId="4AFFB2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тяжелых бомбардировочных эскадрильи по 12 самолетов, вооруженные самолетами ТБ3-4М34.</w:t>
      </w:r>
    </w:p>
    <w:p w14:paraId="4E6F4B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крейсерских эскадрильи по 12 самолетов, вооруженные самолетами Р6-2М34.</w:t>
      </w:r>
    </w:p>
    <w:p w14:paraId="1EBA5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истребительной одноместной эскадрильи в 19 самолетов, вооруженные самолетами И5-М22.</w:t>
      </w:r>
    </w:p>
    <w:p w14:paraId="6D8E8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о. стоимость самолетов и моторов в одной Тяжелой бомбардировочной авиационной бригаде = 30862000 рублей (3010).</w:t>
      </w:r>
    </w:p>
    <w:p w14:paraId="104BC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8630A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505088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D23F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сентября 1932 закончились испытания АНТ-23 (И-12). Машину направили на доработку, но больше на испытания не передавали. Всего выполнили 21 полет. Прекратили, т.к. количество доработок и переделок росло как снежный ком и т.к. испытания так и не завершились. Машину, которая развивала скорость всего 259 км/час, разобрали и моторы сдали на склад в ОЭЛИД на ЦА, консоли вернули в ЗОК, а центроплан с кабиной - отправили в Подлипки на завод 8 для доработки пушек (2072,70).</w:t>
      </w:r>
    </w:p>
    <w:p w14:paraId="781B3C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DA4B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последнего старта 28 сентября 1932 г., самолет И-12 (АНТ-23)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 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(12091).</w:t>
      </w:r>
    </w:p>
    <w:p w14:paraId="1C86D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2772EE"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сентября 1932 г. ЗИ самолета И-12 (АНТ-23) были прекращены. На тот момент он сделал 21 полет. Основные результаты испытаний: летно-технические данные не соответствуют требованиям (скорость – не более 259 км/ч); устойчивость и управляемость самолета неудовлетворительные (специалисты ЦАГИ выдали заключение, что самолет «опасен для полета»); вооружение недостаточно надежно, его данные (баллистика) также не соответствуют требованиям (при этом нет четкой координации между ЦАГИ, ГАУ и главным конструктором пушки, обстановка в КБ Курчевского и вообще на заводе № 8 не способствует успешному завершению работы, нет четкого контроля над ней со стороны ГАУ, не обеспечена научная основа разработки ДРП).</w:t>
      </w:r>
    </w:p>
    <w:p w14:paraId="1770E995"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завершения испытаний самолет разобрали: гондолу фюзеляжа с центропланом и пушками передали на завод № 8 (Подлипки, в то время предположительно был подчинен ГАУ РККА); консоли крыла передали ЗОК ЦАГИ (по др. данным – опытному производству АГОС); моторы сдали на склад ОЭЛИД на ЦА, г. Москва (23136).</w:t>
      </w:r>
    </w:p>
    <w:p w14:paraId="61BDB9CA" w14:textId="77777777" w:rsidR="00580010" w:rsidRPr="00E93F40" w:rsidRDefault="00580010" w:rsidP="00E93F40">
      <w:pPr>
        <w:spacing w:after="0" w:line="240" w:lineRule="auto"/>
        <w:jc w:val="both"/>
        <w:rPr>
          <w:rFonts w:ascii="Times New Roman" w:hAnsi="Times New Roman"/>
          <w:color w:val="000000" w:themeColor="text1"/>
          <w:sz w:val="16"/>
          <w:szCs w:val="16"/>
        </w:rPr>
      </w:pPr>
    </w:p>
    <w:p w14:paraId="336BEC8C" w14:textId="77777777" w:rsidR="006A1BDA" w:rsidRPr="00E93F40" w:rsidRDefault="006A1BD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сентября 1932 г. продолжались испытания И-12 (АНТ-23). Затем И—12 разобрали и перевез</w:t>
      </w:r>
      <w:r w:rsidRPr="00E93F40">
        <w:rPr>
          <w:rFonts w:ascii="Times New Roman" w:hAnsi="Times New Roman"/>
          <w:color w:val="000000" w:themeColor="text1"/>
          <w:sz w:val="16"/>
          <w:szCs w:val="16"/>
        </w:rPr>
        <w:softHyphen/>
        <w:t>ли на завод для укрепления стыков в тру</w:t>
      </w:r>
      <w:r w:rsidRPr="00E93F40">
        <w:rPr>
          <w:rFonts w:ascii="Times New Roman" w:hAnsi="Times New Roman"/>
          <w:color w:val="000000" w:themeColor="text1"/>
          <w:sz w:val="16"/>
          <w:szCs w:val="16"/>
        </w:rPr>
        <w:softHyphen/>
        <w:t>бах-балках и доводки АПК. Больше на испытания самолет не передавался.</w:t>
      </w:r>
    </w:p>
    <w:p w14:paraId="4E5E7520" w14:textId="77777777" w:rsidR="006A1BDA" w:rsidRPr="00E93F40" w:rsidRDefault="006A1BD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свою «жизнь» АНТ—23 совершил 21 полет, пробыв в воздухе почти 9 часов. Испытания самолета затянулись, а в июне 1934 года работы по этой необычной машине прекратили.</w:t>
      </w:r>
    </w:p>
    <w:p w14:paraId="18C0244B" w14:textId="18365268" w:rsidR="006A1BDA" w:rsidRPr="00E93F40" w:rsidRDefault="006A1BD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Оригинальность конструкции, решав</w:t>
      </w:r>
      <w:r w:rsidRPr="00E93F40">
        <w:rPr>
          <w:rFonts w:ascii="Times New Roman" w:hAnsi="Times New Roman"/>
          <w:color w:val="000000" w:themeColor="text1"/>
          <w:sz w:val="16"/>
          <w:szCs w:val="16"/>
        </w:rPr>
        <w:softHyphen/>
        <w:t>шая задачи, поставленные заказчиком, обернулась рядом существенных недо</w:t>
      </w:r>
      <w:r w:rsidRPr="00E93F40">
        <w:rPr>
          <w:rFonts w:ascii="Times New Roman" w:hAnsi="Times New Roman"/>
          <w:color w:val="000000" w:themeColor="text1"/>
          <w:sz w:val="16"/>
          <w:szCs w:val="16"/>
        </w:rPr>
        <w:softHyphen/>
        <w:t>статков: высокое шасси, ребристость крыла из-за выступавших поясов нервюр, недо</w:t>
      </w:r>
      <w:r w:rsidRPr="00E93F40">
        <w:rPr>
          <w:rFonts w:ascii="Times New Roman" w:hAnsi="Times New Roman"/>
          <w:color w:val="000000" w:themeColor="text1"/>
          <w:sz w:val="16"/>
          <w:szCs w:val="16"/>
        </w:rPr>
        <w:softHyphen/>
        <w:t>статочный КПД толкающего винта — все это сказалось на летных качествах. Главная же беда была в том, что в ава</w:t>
      </w:r>
      <w:r w:rsidRPr="00E93F40">
        <w:rPr>
          <w:rFonts w:ascii="Times New Roman" w:hAnsi="Times New Roman"/>
          <w:color w:val="000000" w:themeColor="text1"/>
          <w:sz w:val="16"/>
          <w:szCs w:val="16"/>
        </w:rPr>
        <w:softHyphen/>
        <w:t>рийной ситуации летчик не мог вос</w:t>
      </w:r>
      <w:r w:rsidRPr="00E93F40">
        <w:rPr>
          <w:rFonts w:ascii="Times New Roman" w:hAnsi="Times New Roman"/>
          <w:color w:val="000000" w:themeColor="text1"/>
          <w:sz w:val="16"/>
          <w:szCs w:val="16"/>
        </w:rPr>
        <w:softHyphen/>
        <w:t>пользоваться парашютом — если бы он покинул самолет, то неминуемо попал бы под задний винт. Все это предполага</w:t>
      </w:r>
      <w:r w:rsidRPr="00E93F40">
        <w:rPr>
          <w:rFonts w:ascii="Times New Roman" w:hAnsi="Times New Roman"/>
          <w:color w:val="000000" w:themeColor="text1"/>
          <w:sz w:val="16"/>
          <w:szCs w:val="16"/>
        </w:rPr>
        <w:softHyphen/>
        <w:t>лось учесть при постройке И—12 бис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(23474).</w:t>
      </w:r>
    </w:p>
    <w:p w14:paraId="1E3D18A8" w14:textId="77777777" w:rsidR="006A1BDA" w:rsidRPr="00E93F40" w:rsidRDefault="006A1BDA" w:rsidP="00E93F40">
      <w:pPr>
        <w:spacing w:after="0" w:line="240" w:lineRule="auto"/>
        <w:jc w:val="both"/>
        <w:rPr>
          <w:rFonts w:ascii="Times New Roman" w:hAnsi="Times New Roman"/>
          <w:color w:val="000000" w:themeColor="text1"/>
          <w:sz w:val="16"/>
          <w:szCs w:val="16"/>
        </w:rPr>
      </w:pPr>
    </w:p>
    <w:p w14:paraId="7FDAF5D2"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До 28 сентября 1932 г., до последнего старта, первый опытный самолет И-12 (АНТ-23)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0E157D9E" w14:textId="77777777" w:rsidR="00A3140F" w:rsidRPr="00142305" w:rsidRDefault="00A3140F" w:rsidP="00A3140F">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Дальнейшие работы по теме пушечного вооружения должны были воплотиться в дублере И-12бис (25213).</w:t>
      </w:r>
    </w:p>
    <w:p w14:paraId="6980C17B" w14:textId="77777777" w:rsidR="00A3140F" w:rsidRPr="00142305" w:rsidRDefault="00A3140F" w:rsidP="00A3140F">
      <w:pPr>
        <w:spacing w:after="0" w:line="240" w:lineRule="auto"/>
        <w:jc w:val="both"/>
        <w:rPr>
          <w:rStyle w:val="aff"/>
          <w:rFonts w:ascii="Times New Roman" w:hAnsi="Times New Roman" w:cs="Times New Roman"/>
          <w:color w:val="0070C0"/>
          <w:spacing w:val="0"/>
          <w:sz w:val="16"/>
          <w:szCs w:val="16"/>
        </w:rPr>
      </w:pPr>
    </w:p>
    <w:p w14:paraId="5131BBA4" w14:textId="77777777" w:rsidR="00300294" w:rsidRPr="00142305" w:rsidRDefault="00300294" w:rsidP="0030029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сентября 1932 года состоялся последний вылет И-12 АНТ-23. Самолет поднимался в воздух 21 раз. В дальнейшем полеты было решено прекратить, так как количество доработок постоянно росло, и завершение испытаний казалось невозможным. Практически на всех режимах полета пилоты отмечали вибрацию труб. Полученные характеристики также не удовлетворяли требованиям: И-12 развивал максимальную скорость всего 259 км/ч. Самолет был разобран. Двигатели передали на склад ОЭЛ ИД (прообраз современных летно-испытательных станций) на Ходынке, консоли крыла вернули в сборочный цех завода ЗОК, а центроплан с кабиной отправили в Подлипки на завод №8, где предполагалось проводить доработку пушек. (25642).</w:t>
      </w:r>
    </w:p>
    <w:p w14:paraId="7BF85C1E" w14:textId="77777777" w:rsidR="00300294" w:rsidRPr="00142305" w:rsidRDefault="00300294" w:rsidP="00300294">
      <w:pPr>
        <w:spacing w:after="0" w:line="240" w:lineRule="auto"/>
        <w:jc w:val="both"/>
        <w:rPr>
          <w:rFonts w:ascii="Times New Roman" w:hAnsi="Times New Roman"/>
          <w:color w:val="0070C0"/>
          <w:sz w:val="16"/>
          <w:szCs w:val="16"/>
        </w:rPr>
      </w:pPr>
    </w:p>
    <w:p w14:paraId="7CE4AC22"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color w:val="000000" w:themeColor="text1"/>
          <w:sz w:val="16"/>
          <w:szCs w:val="16"/>
        </w:rPr>
        <w:t xml:space="preserve">28 сентября 1932 г. Николай Ильич Камов в письме заместителю начальника Воздушных Сил РККА в частности просил </w:t>
      </w:r>
      <w:r w:rsidRPr="00E93F40">
        <w:rPr>
          <w:iCs/>
          <w:color w:val="000000" w:themeColor="text1"/>
          <w:sz w:val="16"/>
          <w:szCs w:val="16"/>
        </w:rPr>
        <w:t xml:space="preserve">«откомандировать 2-х конструкторов из </w:t>
      </w:r>
      <w:hyperlink r:id="rId216" w:tgtFrame="_blank" w:history="1">
        <w:r w:rsidRPr="00E93F40">
          <w:rPr>
            <w:rStyle w:val="a5"/>
            <w:rFonts w:eastAsia="Times New Roman"/>
            <w:iCs/>
            <w:color w:val="000000" w:themeColor="text1"/>
            <w:sz w:val="16"/>
            <w:szCs w:val="16"/>
            <w:u w:val="none"/>
          </w:rPr>
          <w:t>танк</w:t>
        </w:r>
      </w:hyperlink>
      <w:r w:rsidRPr="00E93F40">
        <w:rPr>
          <w:iCs/>
          <w:color w:val="000000" w:themeColor="text1"/>
          <w:sz w:val="16"/>
          <w:szCs w:val="16"/>
        </w:rPr>
        <w:t xml:space="preserve">ового констр. бюро» </w:t>
      </w:r>
      <w:r w:rsidRPr="00E93F40">
        <w:rPr>
          <w:color w:val="000000" w:themeColor="text1"/>
          <w:sz w:val="16"/>
          <w:szCs w:val="16"/>
        </w:rPr>
        <w:t xml:space="preserve">и </w:t>
      </w:r>
      <w:r w:rsidRPr="00E93F40">
        <w:rPr>
          <w:iCs/>
          <w:color w:val="000000" w:themeColor="text1"/>
          <w:sz w:val="16"/>
          <w:szCs w:val="16"/>
        </w:rPr>
        <w:t xml:space="preserve">«дать подробную консультацию по вопросам современного </w:t>
      </w:r>
      <w:hyperlink r:id="rId217" w:tgtFrame="_blank" w:history="1">
        <w:r w:rsidRPr="00E93F40">
          <w:rPr>
            <w:rStyle w:val="a5"/>
            <w:rFonts w:eastAsia="Times New Roman"/>
            <w:iCs/>
            <w:color w:val="000000" w:themeColor="text1"/>
            <w:sz w:val="16"/>
            <w:szCs w:val="16"/>
            <w:u w:val="none"/>
          </w:rPr>
          <w:t>танк</w:t>
        </w:r>
      </w:hyperlink>
      <w:r w:rsidRPr="00E93F40">
        <w:rPr>
          <w:iCs/>
          <w:color w:val="000000" w:themeColor="text1"/>
          <w:sz w:val="16"/>
          <w:szCs w:val="16"/>
        </w:rPr>
        <w:t>остроения за границей и у нас».</w:t>
      </w:r>
    </w:p>
    <w:p w14:paraId="6BAC9A65"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 xml:space="preserve">Помимо этого, сознавая масштабность и новизну представленного им аванпроекта, Камов просил </w:t>
      </w:r>
      <w:r w:rsidRPr="00E93F40">
        <w:rPr>
          <w:iCs/>
          <w:color w:val="000000" w:themeColor="text1"/>
          <w:sz w:val="16"/>
          <w:szCs w:val="16"/>
        </w:rPr>
        <w:t>«дать 10-15 человек молодых инженеров одногодичников или слушателей академии, либо перевести из ЦКБ человек 5-6 конструкторов.».</w:t>
      </w:r>
    </w:p>
    <w:p w14:paraId="57AC133F"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 xml:space="preserve">Стремясь застраховаться от возможных неудач, Н.И. Камов в том же документе отметил, что </w:t>
      </w:r>
      <w:r w:rsidRPr="00E93F40">
        <w:rPr>
          <w:iCs/>
          <w:color w:val="000000" w:themeColor="text1"/>
          <w:sz w:val="16"/>
          <w:szCs w:val="16"/>
        </w:rPr>
        <w:t xml:space="preserve">«предварительно желательно будет испробовать шаровую втулку, либо на малом автожире, либо на талом </w:t>
      </w:r>
      <w:hyperlink r:id="rId218" w:tgtFrame="_blank" w:history="1">
        <w:r w:rsidRPr="00E93F40">
          <w:rPr>
            <w:rStyle w:val="a5"/>
            <w:rFonts w:eastAsia="Times New Roman"/>
            <w:iCs/>
            <w:color w:val="000000" w:themeColor="text1"/>
            <w:sz w:val="16"/>
            <w:szCs w:val="16"/>
            <w:u w:val="none"/>
          </w:rPr>
          <w:t>танк</w:t>
        </w:r>
      </w:hyperlink>
      <w:r w:rsidRPr="00E93F40">
        <w:rPr>
          <w:iCs/>
          <w:color w:val="000000" w:themeColor="text1"/>
          <w:sz w:val="16"/>
          <w:szCs w:val="16"/>
        </w:rPr>
        <w:t>е (в последнем случае с большим трудом удастся добиться значительно худших результатов от машины с мотором М-34 из-за весовых отношений).»</w:t>
      </w:r>
    </w:p>
    <w:p w14:paraId="7F6B29C8"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Возможности предложенного проекта произвели должное впечатление на военных, их уверенность в необходимости реализации проекта серьёзно подкрепил и такой авторитет в области авиационного оружия и средств поражения, как помощник начальника КОСОС НАГИ А.В. Надашкевич.</w:t>
      </w:r>
    </w:p>
    <w:p w14:paraId="4D2ECBF3"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 xml:space="preserve">«Предложенная инженером Камовым Н.И. схема «Летающего Танка Вертолет» представляет значительный интерес с военной и технической точки зрения и обладает рядом преимуществ по сравнению со схемами летающих </w:t>
      </w:r>
      <w:hyperlink r:id="rId219" w:tgtFrame="_blank" w:history="1">
        <w:r w:rsidRPr="00E93F40">
          <w:rPr>
            <w:rStyle w:val="a5"/>
            <w:rFonts w:eastAsia="Times New Roman"/>
            <w:iCs/>
            <w:color w:val="000000" w:themeColor="text1"/>
            <w:sz w:val="16"/>
            <w:szCs w:val="16"/>
            <w:u w:val="none"/>
          </w:rPr>
          <w:t>танк</w:t>
        </w:r>
      </w:hyperlink>
      <w:r w:rsidRPr="00E93F40">
        <w:rPr>
          <w:iCs/>
          <w:color w:val="000000" w:themeColor="text1"/>
          <w:sz w:val="16"/>
          <w:szCs w:val="16"/>
        </w:rPr>
        <w:t>ов, известных нам до настоящего времени.</w:t>
      </w:r>
    </w:p>
    <w:p w14:paraId="17531181"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 xml:space="preserve">Использованные автором особые летные свойства аппарата с авторотирующим винтом: малая посадочная скорость, малый разбег и ничтожный пробег, эксплуатационные удобства; складывание лопастей, решает задачу о летающем </w:t>
      </w:r>
      <w:hyperlink r:id="rId220" w:tgtFrame="_blank" w:history="1">
        <w:r w:rsidRPr="00E93F40">
          <w:rPr>
            <w:rStyle w:val="a5"/>
            <w:rFonts w:eastAsia="Times New Roman"/>
            <w:iCs/>
            <w:color w:val="000000" w:themeColor="text1"/>
            <w:sz w:val="16"/>
            <w:szCs w:val="16"/>
            <w:u w:val="none"/>
          </w:rPr>
          <w:t>танк</w:t>
        </w:r>
      </w:hyperlink>
      <w:r w:rsidRPr="00E93F40">
        <w:rPr>
          <w:iCs/>
          <w:color w:val="000000" w:themeColor="text1"/>
          <w:sz w:val="16"/>
          <w:szCs w:val="16"/>
        </w:rPr>
        <w:t>е с исключительной полнотой и изяществом, как с технической, так и с военной точки зрения.</w:t>
      </w:r>
    </w:p>
    <w:p w14:paraId="68D34EBD"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 xml:space="preserve">Несомненно, что в процессе разработки предложения тов. Какова встретятся значительные трудности, в особенности в части управления и устойчивости </w:t>
      </w:r>
      <w:hyperlink r:id="rId221" w:tgtFrame="_blank" w:history="1">
        <w:r w:rsidRPr="00E93F40">
          <w:rPr>
            <w:rStyle w:val="a5"/>
            <w:rFonts w:eastAsia="Times New Roman"/>
            <w:iCs/>
            <w:color w:val="000000" w:themeColor="text1"/>
            <w:sz w:val="16"/>
            <w:szCs w:val="16"/>
            <w:u w:val="none"/>
          </w:rPr>
          <w:t>танк</w:t>
        </w:r>
      </w:hyperlink>
      <w:r w:rsidRPr="00E93F40">
        <w:rPr>
          <w:iCs/>
          <w:color w:val="000000" w:themeColor="text1"/>
          <w:sz w:val="16"/>
          <w:szCs w:val="16"/>
        </w:rPr>
        <w:t>а в воздухе, в полете и при разбеге, однако уже сейчас можно утверждать, что идея инженера Камова является очень счастливой и плодотворной.</w:t>
      </w:r>
    </w:p>
    <w:p w14:paraId="0D809070" w14:textId="77777777" w:rsidR="001E30C2" w:rsidRPr="00E93F40" w:rsidRDefault="001E30C2"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К проработке этого многообещающего предложения следует приступить не теряя времени.»</w:t>
      </w:r>
    </w:p>
    <w:p w14:paraId="1831E21F"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 xml:space="preserve">В результате, в отношении камовского летающего </w:t>
      </w:r>
      <w:hyperlink r:id="rId222" w:tgtFrame="_blank" w:history="1">
        <w:r w:rsidRPr="00E93F40">
          <w:rPr>
            <w:rStyle w:val="a5"/>
            <w:rFonts w:eastAsia="Times New Roman"/>
            <w:color w:val="000000" w:themeColor="text1"/>
            <w:sz w:val="16"/>
            <w:szCs w:val="16"/>
            <w:u w:val="none"/>
          </w:rPr>
          <w:t>танк</w:t>
        </w:r>
      </w:hyperlink>
      <w:r w:rsidRPr="00E93F40">
        <w:rPr>
          <w:color w:val="000000" w:themeColor="text1"/>
          <w:sz w:val="16"/>
          <w:szCs w:val="16"/>
        </w:rPr>
        <w:t xml:space="preserve">а между УВВС и ЦАГИ, сформировалось редкостное единодушие во взглядах. Единственным облачком на этом небосводе была дискуссия, развернувшаяся в недрах УВВС по поводу вооружения боевого гусеничного вертолёта. Часть сотрудников считала, что во вращающейся башне жизненно необходимо разместить автоматическую пушку, огнём которой можно было бы легко поражать сверху </w:t>
      </w:r>
      <w:hyperlink r:id="rId223" w:tgtFrame="_blank" w:history="1">
        <w:r w:rsidRPr="00E93F40">
          <w:rPr>
            <w:rStyle w:val="a5"/>
            <w:rFonts w:eastAsia="Times New Roman"/>
            <w:color w:val="000000" w:themeColor="text1"/>
            <w:sz w:val="16"/>
            <w:szCs w:val="16"/>
            <w:u w:val="none"/>
          </w:rPr>
          <w:t>танк</w:t>
        </w:r>
      </w:hyperlink>
      <w:r w:rsidRPr="00E93F40">
        <w:rPr>
          <w:color w:val="000000" w:themeColor="text1"/>
          <w:sz w:val="16"/>
          <w:szCs w:val="16"/>
        </w:rPr>
        <w:t>и и бронемашины. Однако таких артсистем в то время в СССР ещё не имелось и потому предлагалось купить лицензию на 20-мм «Эрликон» или ещё более мощную 25-мм «Мадсен».</w:t>
      </w:r>
    </w:p>
    <w:p w14:paraId="4CBC7309"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lastRenderedPageBreak/>
        <w:t>Кроме того, было отмечено, что в ряде случаев верхняя огневая точка не сможет обстреливать цели сквозь диск несущего винта без риска поразить его лопасти. Это заставило усилить вооружение винтокрыла дополнительными огневыми точками в корпусе и тут же увеличило массу конструкции.</w:t>
      </w:r>
    </w:p>
    <w:p w14:paraId="74960DD0"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Несмотря на получение положительного (в целом) заключения, работы по гусеничному вертолёту шли очень медленно. Сказывалось отсутствие опыта в реализации подобных проектов. Создание геликоптеров и автожиров в то время ещё не вышло из стадии экспериментов, а потому получение приемлемых с практической точки результатов в короткие сроки было весьма проблематично.</w:t>
      </w:r>
    </w:p>
    <w:p w14:paraId="3B9CD3D5" w14:textId="77777777" w:rsidR="001E30C2" w:rsidRPr="00E93F40" w:rsidRDefault="001E30C2" w:rsidP="00E93F40">
      <w:pPr>
        <w:pStyle w:val="ae"/>
        <w:shd w:val="clear" w:color="auto" w:fill="FFFFFF"/>
        <w:spacing w:before="0" w:after="0"/>
        <w:jc w:val="both"/>
        <w:rPr>
          <w:color w:val="000000" w:themeColor="text1"/>
          <w:sz w:val="16"/>
          <w:szCs w:val="16"/>
        </w:rPr>
      </w:pPr>
      <w:r w:rsidRPr="00E93F40">
        <w:rPr>
          <w:color w:val="000000" w:themeColor="text1"/>
          <w:sz w:val="16"/>
          <w:szCs w:val="16"/>
        </w:rPr>
        <w:t>К тому же технология сварки в СССР в то время ещё только разрабатывалась, и до поточных процессов, разработанных академиком Патоном, обеспечившим советским броне</w:t>
      </w:r>
      <w:hyperlink r:id="rId224" w:tgtFrame="_blank" w:history="1">
        <w:r w:rsidRPr="00E93F40">
          <w:rPr>
            <w:rStyle w:val="a5"/>
            <w:rFonts w:eastAsia="Times New Roman"/>
            <w:color w:val="000000" w:themeColor="text1"/>
            <w:sz w:val="16"/>
            <w:szCs w:val="16"/>
            <w:u w:val="none"/>
          </w:rPr>
          <w:t>танк</w:t>
        </w:r>
      </w:hyperlink>
      <w:r w:rsidRPr="00E93F40">
        <w:rPr>
          <w:color w:val="000000" w:themeColor="text1"/>
          <w:sz w:val="16"/>
          <w:szCs w:val="16"/>
        </w:rPr>
        <w:t xml:space="preserve">овым войскам подавляющее превосходство перед германскими Панцерваффе было ещё далеко. Однако даже не это было главным. Проектируя свой «летающий </w:t>
      </w:r>
      <w:hyperlink r:id="rId225" w:tgtFrame="_blank" w:history="1">
        <w:r w:rsidRPr="00E93F40">
          <w:rPr>
            <w:rStyle w:val="a5"/>
            <w:rFonts w:eastAsia="Times New Roman"/>
            <w:color w:val="000000" w:themeColor="text1"/>
            <w:sz w:val="16"/>
            <w:szCs w:val="16"/>
            <w:u w:val="none"/>
          </w:rPr>
          <w:t>танк</w:t>
        </w:r>
      </w:hyperlink>
      <w:r w:rsidRPr="00E93F40">
        <w:rPr>
          <w:color w:val="000000" w:themeColor="text1"/>
          <w:sz w:val="16"/>
          <w:szCs w:val="16"/>
        </w:rPr>
        <w:t>», Н.И. Камов по-видимому в какой-то момент упустил из виду один из аспектов проблемы, а именно, каким способом его детище будут решать основную задачу, заключавшуюся в огневой поддержке десанта (передвигаясь на гусеницах по земле или по воздуху). Выбор несущего винта явно указывал на второе, и в результате, гусеницы превратились в явный рудимент и обузу для вертолёта.</w:t>
      </w:r>
    </w:p>
    <w:p w14:paraId="0A77622E" w14:textId="77777777" w:rsidR="001E30C2" w:rsidRPr="00E93F40" w:rsidRDefault="001E30C2" w:rsidP="00E93F40">
      <w:pPr>
        <w:pStyle w:val="ae"/>
        <w:shd w:val="clear" w:color="auto" w:fill="FFFFFF"/>
        <w:spacing w:before="0" w:after="0"/>
        <w:jc w:val="both"/>
        <w:rPr>
          <w:bCs/>
          <w:color w:val="000000" w:themeColor="text1"/>
          <w:sz w:val="16"/>
          <w:szCs w:val="16"/>
        </w:rPr>
      </w:pPr>
      <w:r w:rsidRPr="00E93F40">
        <w:rPr>
          <w:color w:val="000000" w:themeColor="text1"/>
          <w:sz w:val="16"/>
          <w:szCs w:val="16"/>
        </w:rPr>
        <w:t xml:space="preserve">Не дремали и конкуренты. Работавший над этой же проблемой А.Н. Рафаэлянц предложил использовать для десантирования быстроходные </w:t>
      </w:r>
      <w:hyperlink r:id="rId226" w:tgtFrame="_blank" w:history="1">
        <w:r w:rsidRPr="00E93F40">
          <w:rPr>
            <w:rStyle w:val="a5"/>
            <w:rFonts w:eastAsia="Times New Roman"/>
            <w:color w:val="000000" w:themeColor="text1"/>
            <w:sz w:val="16"/>
            <w:szCs w:val="16"/>
            <w:u w:val="none"/>
          </w:rPr>
          <w:t>танк</w:t>
        </w:r>
      </w:hyperlink>
      <w:r w:rsidRPr="00E93F40">
        <w:rPr>
          <w:color w:val="000000" w:themeColor="text1"/>
          <w:sz w:val="16"/>
          <w:szCs w:val="16"/>
        </w:rPr>
        <w:t xml:space="preserve">и ВТ, развивавшие скорость до 86 км/ч а, способные после приземления, как считалось в Генштабе РККА, вспороть территорию любой европейской страны за считанные дни. Снабжённые сбрасываемым оперением и крыльями «бэтэшки» неплохо взлетали на буксире и вполне приемлемо приземлялись. Очевидная простота заставила, в конечном счёте, отказаться от более совершенного, но гораздо более сложного проекта бронированного вертолёта </w:t>
      </w:r>
      <w:r w:rsidRPr="00E93F40">
        <w:rPr>
          <w:bCs/>
          <w:color w:val="000000" w:themeColor="text1"/>
          <w:sz w:val="16"/>
          <w:szCs w:val="16"/>
        </w:rPr>
        <w:t>(12727).</w:t>
      </w:r>
    </w:p>
    <w:p w14:paraId="20FE4359" w14:textId="77777777" w:rsidR="001E30C2" w:rsidRPr="00E93F40" w:rsidRDefault="001E30C2" w:rsidP="00E93F40">
      <w:pPr>
        <w:spacing w:after="0" w:line="240" w:lineRule="auto"/>
        <w:jc w:val="both"/>
        <w:rPr>
          <w:rFonts w:ascii="Times New Roman" w:hAnsi="Times New Roman"/>
          <w:bCs/>
          <w:color w:val="000000" w:themeColor="text1"/>
          <w:sz w:val="16"/>
          <w:szCs w:val="16"/>
        </w:rPr>
      </w:pPr>
    </w:p>
    <w:p w14:paraId="556A6F7E" w14:textId="77777777" w:rsidR="00883D98" w:rsidRPr="00E93F40" w:rsidRDefault="00883D98"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28 сентября 1932 г. в письме заместителю начальника Воздушных Сил РККА проработав проект Камов, запросил выделить ему двух конструкторов из танкового бюро, 10-15 молодых специалистов или 5-6 человек из ЦКБ, а также предоставить консультации по вопросам танкостроения за рубежом. Разработка была высоко оценена вышестоящим руководством УВВС и ЦАГИ, которое отметило, что «Летающий Танк Вертолет» может быть вполне реализован. Разногласия между военными и конструкторами возникли только из-за вооружения – в УВВС посчитали, что одних пулеметов будет недостаточно и для борьбы с легкой бронетехникой противника танк-автожир следует оснастить автоматической пушкой в верхней турели. Однако, таковая на тот момент отсутствовала, а закупка лицензий у иностранных фирм только обсуждалась. Помимо прочего, была выдвинута идея возможности вести огонь через плоскость несущего винта, для чего пушку предстояло оснастить системой синхронизации. Пока шли эти споры приоритеты в значительной мере изменились. Несмотря на все видимые преимущества проекта Камова перед аналогичными проектными разработками, появление достаточно грузоподъёмных самолётов привело к постепенному отказу от «летающих танков» и все проект подобного рода были закрыты к началу 1933 года.</w:t>
      </w:r>
    </w:p>
    <w:p w14:paraId="6F441D85" w14:textId="77777777" w:rsidR="00883D98" w:rsidRPr="00E93F40" w:rsidRDefault="00883D98"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В сопроводительных документах и последовавшей за этим переписке проект Камова именовался как «Летающий Танк Вертолет». Конструкция танка-автожира базировалась на гусеничном шасси оригинальной разработки, по сути представлявшей собой платформу шириной 3,5 метра, обеспечивавшей хорошую устойчивость при посадке. Гусеницы оснащались масляными подвесками (стойками). На платформе устанавливался короткий и узкий фюзеляж обтекаемой формы. Пулеметное вооружение размещалось в двух башнях, одна из которых устанавливалась над несущим винтом, и в двух бортовых огневых точках. Трехлопастный несущий винт диаметром 20 метров должен был изготовляться из нержавеющей стали и хромомолибденовых труб. Для облегчения транспортировки лопасти могли складываться назад. Система передачи мощности от двигателя описывалась так: «…Механизм передачи энергии, рассчитай на муфту у толкающего воздушного винта (устанавливающегося вертикально на земле), на муфту и редуктор для раскручивания ротора (механический запуск), муфту у горизонтальных валов к гусеницам.» К кормовой части корпуса, за толкающим винтом, крепился руль направления высотой более 3,5 метров. Взлётная масса винтокрылой машины оценивалась в 4000-4500 кг, а в качестве силовой установки был выбран авиационный рядный двигатель М-34, имевший максимальную мощностью 850 л.с. Планировалось также, что в ближайшее время его мощность удастся довести до 1000-1200 л.с. При нагрузке на единицы площади несущего винта порядка 12,7-13 кг\м.кв. вертикальная расчетная скорость снижения составляла 5,9 м\с, посадочная скорость – около 20 км\ч, а пробег — всего 5 метров. Прочие расчеты в теории показывали, что танк-автожир будет иметь разбег по ровной поверхности не более 50 метров, скорость отрыва 50 км\ч и максимальную скорость 150 км\ч. Кроме того, Камов использовал шаровую кольцевую втулку вертолета, что по его мнению позволяло строить вертолеты большого тоннажа с башенными или турельными установками на втулке (19531).</w:t>
      </w:r>
    </w:p>
    <w:p w14:paraId="232D74F9" w14:textId="77777777" w:rsidR="00883D98" w:rsidRPr="00E93F40" w:rsidRDefault="00883D98" w:rsidP="00E93F40">
      <w:pPr>
        <w:spacing w:after="0" w:line="240" w:lineRule="auto"/>
        <w:jc w:val="both"/>
        <w:rPr>
          <w:rFonts w:ascii="Times New Roman" w:hAnsi="Times New Roman"/>
          <w:color w:val="000000" w:themeColor="text1"/>
          <w:sz w:val="16"/>
          <w:szCs w:val="16"/>
          <w:shd w:val="clear" w:color="auto" w:fill="FFFFFF"/>
        </w:rPr>
      </w:pPr>
    </w:p>
    <w:p w14:paraId="21ED3F76" w14:textId="77777777" w:rsidR="002F0C84" w:rsidRPr="00E93F40" w:rsidRDefault="002F0C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сентября 1932 г. Н.И.Камов в письме заместителю начальника Воздушных Сил РККА в частности просил:</w:t>
      </w:r>
    </w:p>
    <w:p w14:paraId="25A864E4" w14:textId="77777777" w:rsidR="002F0C84" w:rsidRPr="00E93F40" w:rsidRDefault="002F0C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«откомандировать 2-х конструкторов из </w:t>
      </w:r>
      <w:hyperlink r:id="rId227"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ового констр. бюро» и «дать подробную консультацию по вопросам современного </w:t>
      </w:r>
      <w:hyperlink r:id="rId228"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остроения за границей и у нас».</w:t>
      </w:r>
    </w:p>
    <w:p w14:paraId="48333C32" w14:textId="77777777" w:rsidR="002F0C84" w:rsidRPr="00E93F40" w:rsidRDefault="002F0C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Помимо этого, сознавая масштабность и новизну представленного им аванпроекта, Камов просил «дать 10-15 человек молодых инженеров одногодичников или слушателей академии, либо перевести из ЦКБ человек 5-6 конструкторов.».</w:t>
      </w:r>
    </w:p>
    <w:p w14:paraId="70991AEF" w14:textId="77777777" w:rsidR="002F0C84" w:rsidRPr="00E93F40" w:rsidRDefault="002F0C8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Стремясь застраховаться от возможных неудач, Н.И. Камов в том же документе отметил, что «предварительно желательно будет испробовать шаровую втулку, либо на малом автожире, либо на талом </w:t>
      </w:r>
      <w:hyperlink r:id="rId229"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е (в последнем случае с большим трудом удастся добиться значительно худших результатов от машины с мотором М-34 из-за весовых отношений).» (15540).</w:t>
      </w:r>
    </w:p>
    <w:p w14:paraId="3CAB3BAF" w14:textId="77777777" w:rsidR="002F0C84" w:rsidRPr="00E93F40" w:rsidRDefault="002F0C84" w:rsidP="00E93F40">
      <w:pPr>
        <w:spacing w:after="0" w:line="240" w:lineRule="auto"/>
        <w:jc w:val="both"/>
        <w:rPr>
          <w:rFonts w:ascii="Times New Roman" w:hAnsi="Times New Roman"/>
          <w:color w:val="000000" w:themeColor="text1"/>
          <w:sz w:val="16"/>
          <w:szCs w:val="16"/>
        </w:rPr>
      </w:pPr>
    </w:p>
    <w:p w14:paraId="101D81F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сентября и 9 октября 1932 года группой самолетов Истребительного отряда авиабригады НИИ ВВС был выполнен высотный перелет на основании пожелания начальника ВВС. Состав группы: 3 самолета Р-6, один самолет Р-5 и один самолет И-4 (6774).</w:t>
      </w:r>
    </w:p>
    <w:p w14:paraId="570FAEF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B7B8C2" w14:textId="77777777" w:rsidR="00BC161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637B675" w14:textId="77777777" w:rsidR="00BC161D" w:rsidRPr="00E93F40" w:rsidRDefault="00BC161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25F6105"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сентября 1932 г. КПК прошла испытания на подводной лодке АГ-25, где ее установили на месте штатной 47-мм пушки. До начала стрельб лодка с ДРП находилась под водой около трех часов. По расчетам, 47-мм пушка с боекомплектом могла быть заменена без весовых нарушений 76-мм КПК с боекомплектом 70 патронов.</w:t>
      </w:r>
    </w:p>
    <w:p w14:paraId="5019F7B3"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76-мм КПК (катерная пушка Курчевского). Качающаяся часть для нее была взята Курчевским от 76-мм БПК (батальонной пушки Курчевского) с небольшими изменениями. Заряжание КПК производилось с казенной части при помощи сдвижного затвора, соединенного с соплом. Стрельба велась унитарными патронами. Гильзы латунные с донными отверстиями диаметром около 60 мм (рис. 7.5).</w:t>
      </w:r>
    </w:p>
    <w:p w14:paraId="0F4063AC"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КПК была установлена на легкой конической тумбе. Подъемный механизм имел винт, действующий на рычаг, связанный с левой цапфой. Поворотный механизм имел зубчатый обод и червяк.</w:t>
      </w:r>
    </w:p>
    <w:p w14:paraId="343C8890"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КПК могла стрелять штатными гранатами и шрапнелями весом 6,5 кг от 3-дюймовой полевой пушки обр. 1902 г., а также специально созданными легкими снарядами: осколочным весом 4,7 кг и бронебойным весом 4 кг (12091).</w:t>
      </w:r>
    </w:p>
    <w:p w14:paraId="114FD64E" w14:textId="77777777" w:rsidR="00BC161D" w:rsidRPr="00E93F40" w:rsidRDefault="00BC161D" w:rsidP="00E93F40">
      <w:pPr>
        <w:autoSpaceDE w:val="0"/>
        <w:autoSpaceDN w:val="0"/>
        <w:adjustRightInd w:val="0"/>
        <w:spacing w:after="0" w:line="240" w:lineRule="auto"/>
        <w:jc w:val="both"/>
        <w:rPr>
          <w:rFonts w:ascii="Times New Roman" w:hAnsi="Times New Roman"/>
          <w:color w:val="000000" w:themeColor="text1"/>
          <w:sz w:val="16"/>
          <w:szCs w:val="16"/>
        </w:rPr>
      </w:pPr>
    </w:p>
    <w:p w14:paraId="3D087CBC" w14:textId="77777777" w:rsidR="00A3140F" w:rsidRPr="00142305" w:rsidRDefault="00A3140F" w:rsidP="00A3140F">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28 сентября 1932 г. на подводной лодке АГ-25 прошла испытания 76-мм КПК (катерная пушка Курчевского), где ее установили на месте штатной 47-мм пушки. По расчетам, 47</w:t>
      </w:r>
      <w:r w:rsidRPr="00142305">
        <w:rPr>
          <w:rStyle w:val="aff"/>
          <w:rFonts w:ascii="Times New Roman" w:hAnsi="Times New Roman" w:cs="Times New Roman"/>
          <w:color w:val="0070C0"/>
          <w:spacing w:val="0"/>
          <w:sz w:val="16"/>
          <w:szCs w:val="16"/>
        </w:rPr>
        <w:softHyphen/>
        <w:t>мм пушка с боекомплектом могла быть заменена без весовых нарушений 76-мм КПК с боекомплектом 70 патронов. До начала стрельб лодка с ДРП находилась под водой около трех часов.</w:t>
      </w:r>
    </w:p>
    <w:p w14:paraId="09A61D27"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Качающаяся часть для КПК была взята Курчевским от 76-мм БПК (батальонной пушки Курчевского) с небольшими изменениями. Заряжание КПК производилось с казенной части при помощи сдвижного затвора, соединенного с соплом. Стрельба велась унитарными патронами. Гильзы латунные с донными отверстиями диаметром около 60 мм.</w:t>
      </w:r>
    </w:p>
    <w:p w14:paraId="44B92760"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КПК была установлена на легкой конической тумбе. Подъемный механизм имел винт, действующий на рычаг, связанный с левой цапфой. Поворотный механизм имел зубчатый обод и червяк.</w:t>
      </w:r>
    </w:p>
    <w:p w14:paraId="0E286F49"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КПК могла стрелять штатными гранатами и шрапнелями весом 6,5 кг от 3-дюймовой полевой пушки обр. 1902 г., а также специально созданными легкими снарядами: осколочным весом 4,7 кг и бронебойным весом 4 кг.</w:t>
      </w:r>
    </w:p>
    <w:p w14:paraId="4041FC17"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Всего было сделано 12 выстрелов. Первые три прошли успешно, но после четвертого выстрела на лодке появились первые повреждения. Однако стрельбу решили все равно продолжить. После седьмого, восьмого и девятого выстрела на лодке появились новые повреждения. Во время последнего выстрела произошел прорыв газов через затвор, и лишь по счастливой случайности наводчик пушки не пострадал.</w:t>
      </w:r>
    </w:p>
    <w:p w14:paraId="3E70DD84" w14:textId="77777777" w:rsidR="00A3140F" w:rsidRPr="00142305" w:rsidRDefault="00A3140F" w:rsidP="00A3140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Затем провели девять выстрелов по щиту. На пятом выстреле начались осечки, после седьмого выстрела перекосило болт затвора, а после девятого он перестал закрываться. Испытания пришлось прекратить. Повреждения лодки были незначительные — кое-где обгорела краска, были разбиты колпаки и перегорело несколько лампочек (25213).</w:t>
      </w:r>
    </w:p>
    <w:p w14:paraId="0AEEDEA8" w14:textId="77777777" w:rsidR="00A3140F" w:rsidRPr="00142305" w:rsidRDefault="00A3140F" w:rsidP="00A3140F">
      <w:pPr>
        <w:spacing w:after="0" w:line="240" w:lineRule="auto"/>
        <w:jc w:val="both"/>
        <w:rPr>
          <w:rFonts w:ascii="Times New Roman" w:hAnsi="Times New Roman"/>
          <w:color w:val="0070C0"/>
          <w:sz w:val="16"/>
          <w:szCs w:val="16"/>
        </w:rPr>
      </w:pPr>
    </w:p>
    <w:p w14:paraId="3EDD279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544504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C882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29 сентября по 6 октября 1932 состоялся первый буксирный перелет на планере. В.А.Степанченок на Г-9 летел за У-2, пилотируемым (В.К.Грибовским). Пролетели 1700 км за 19 час ЛВ по маршруту Тамбов-Воронеж-Ейск (438,634).</w:t>
      </w:r>
    </w:p>
    <w:p w14:paraId="6F4D84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D86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сентября 1932 воздушный поезд из У-2 и Г-9 направился из Тушино в Коктебель, Крым. Летел В.Степанчонок на 1700 км (2789,17).</w:t>
      </w:r>
    </w:p>
    <w:p w14:paraId="070B2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322173"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29 сентября 1932 г. воздушный поезд в составе самолета У-2, пилотируемого Грибовским, и планера Г-9, пилотируемого Степанченком, поднялся с Тушинского аэродрома и вскоре прибыл в Крым. Этот первый дальний перелет своим благополучным завершением полностью подтвердил возможность использования буксируемых планеров для транспортных перевозок.</w:t>
      </w:r>
    </w:p>
    <w:p w14:paraId="0B3A268D"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Г-9 представлял собой одноместный подкосный высокоплан, предназначенный для фигурных полетов.</w:t>
      </w:r>
    </w:p>
    <w:p w14:paraId="50E5A6AB"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его созданием Грибовский задумывает организацию дальнего буксировочного полета на этом планере. Для участия в эксперименте он приглашает своего хорошего знакомого и друга, известного летчика В.А.Степанченка. Конечной целью перелета являлся Коктебель, где Г-9 предстояло принять участие в 8-м Всесоюзном слете планеристов и пройти испытания на пилотаж.</w:t>
      </w:r>
    </w:p>
    <w:p w14:paraId="1537D7D9"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Коктебеле Г-9 прошел дополнительные испытания на высший пилотаж. В итоговых материалах слета, помещенных в журнале «Самолет» №1 за 1933 г., планеру давалась следующая характеристика:</w:t>
      </w:r>
    </w:p>
    <w:p w14:paraId="1A605EA0"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«Г-9 конструкции Грибовского явился выдающимся планером слета. Большой запас прочности специально для буксировочных и фигурных полетов незначительно утяжелил планер и не лишил прекрасных летных качеств. Прекрасная устойчивость и легкое управление сделали его излюбленным планером слета».</w:t>
      </w:r>
    </w:p>
    <w:p w14:paraId="7E1ADBD7"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Высокие полетные и эксплутационные качества предопределили дальнейшую судьбу Г-9. Вплоть до 1939 г. этот планер строился серийно и считался основным тренировочным аппаратом при выполнении буксирных и пилотажных полетов.</w:t>
      </w:r>
    </w:p>
    <w:p w14:paraId="6770BE64"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1936 г. серийное производство Г-9 развернулось и в Турции, где советские специалисты среди прочего помогали организовывать спортивный планеризм.</w:t>
      </w:r>
    </w:p>
    <w:p w14:paraId="6B44E2C2"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послевоенные годы, когда понадобился надежный и прочный аппарат для тренировок пилотов тяжелых десантных планеров, о Г-9 вспомнили вновь. На основе одного из сохранившихся экземпляров были восстановлены чертежи, по которым построили небольшую серию Г-9.</w:t>
      </w:r>
    </w:p>
    <w:p w14:paraId="4CBC23E9"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эксплуатации Г-9 на нем установили несколько рекордов и выполнили много различных экспериментов. Планерист Симонов в 1934 г. установил всесоюзный рекорд продолжительности полета, налетав без посадки 35 часов 11 минут. Он же, в течение 5 часов выполнил на Г-9 314 фигур высшего пилотажа, в том числе 300 петель и 10 переворотов. Известный советский планерист, впоследствии летчик-испытатель, Герой Советского Союза, С.Н.Анохин вместе с планеристом Гавришем выполнили на Г-9 высший пилотаж и буксировку в перевернутом полете, никогда ранее не выполнявшиеся.</w:t>
      </w:r>
    </w:p>
    <w:p w14:paraId="68BA9029"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1936 г., летчик-испытатель П.М.Стефановский на Г-9, буксируемом истребителем И-15, поднялся на высоту 10360 м. На следующий год, планерист Флеров превысил это достижение, поднявшись на высоту 12105 м. В этом полете буксировщик P-Z шел на высоте 8500 м, а планер имел превышение над самолетом в 3605 м. Возможность такой буксировки обеспечивалась специальной лебедкой, разработанной конструктором А.Я.Щербаковым. В момент старта планер с самолетом связывал стандартный трос длиной 100м. После набора определенной высоты, где воздушная среда была достаточно спокойной, включалась лебедка, которая разматывала тонкую стальную проволоку диаметром 0,2 мм, позволявшую увеличить длину буксира до 7000 м.</w:t>
      </w:r>
    </w:p>
    <w:p w14:paraId="58397206"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проверки возможности использования планеров в качестве отделяемой кабины стратостатов на случай их аварии также использовали Г-9. Первый опыт состоялся в 1936 г., когда планер с пилотом Бородиным был поднят на высоту около 2500 м.</w:t>
      </w:r>
    </w:p>
    <w:p w14:paraId="2ED8370F"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второй раз, 4 июля 1938 г., Г-9 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w:t>
      </w:r>
    </w:p>
    <w:p w14:paraId="37C4FCFD"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летчик Д.Кошиц на Г-8 отправился в большой агитационный перелет протяженностью около 5200 км по маршруту Москва -Горький - Казань - Сталинград - Ростов-на-Дону - Коктебель - Симферополь - Запорожье - Киев - Харьков - Орел - Москва. Была пройдена значительная часть пути, составившая 4500 км. Под Харьковом, по причине ошибочного переключения топливных баков, Кошиц совершил вынужденную посадку, в результате которой самолет оказался полностью разбит и более не восстанавливался.</w:t>
      </w:r>
    </w:p>
    <w:p w14:paraId="1B2A34C7"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Г-8 представлял собой одноместный, свободнонесущий низкоплан деревянной конструкции, рассчитанный на выполнение полетов продолжительностью не менее четырех часов.</w:t>
      </w:r>
    </w:p>
    <w:p w14:paraId="3D3778FB"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двухлонжеронное, обшивка лобовой части из фанеры, вся остальная поверхность обтянута полотном. Хвостовое оперение деревянное с полотняной обшивкой.</w:t>
      </w:r>
    </w:p>
    <w:p w14:paraId="142901FD"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Веретенообразный фюзеляж типа полумонокок, обшит фанерой. Кабина открытая, с небольшим козырьком и обтекателем-заголовником.</w:t>
      </w:r>
    </w:p>
    <w:p w14:paraId="043E015C" w14:textId="77777777" w:rsidR="00684A8A" w:rsidRPr="00E93F40" w:rsidRDefault="00684A8A"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«Вальтер» 60 л.с, пятицилиндровый, звездообразный, воздушного охлаждения.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3"/>
        <w:gridCol w:w="6609"/>
      </w:tblGrid>
      <w:tr w:rsidR="00DA227A" w:rsidRPr="00E93F40" w14:paraId="0D529A65"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C6CD9C"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Модификация</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ACAB370" w14:textId="75603A3F"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Г-8</w:t>
            </w:r>
          </w:p>
        </w:tc>
      </w:tr>
      <w:tr w:rsidR="00DA227A" w:rsidRPr="00E93F40" w14:paraId="2149BA48"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4F9CBD7"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крыла, м</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0DC4F4" w14:textId="3CFE81E7"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8.00</w:t>
            </w:r>
          </w:p>
        </w:tc>
      </w:tr>
      <w:tr w:rsidR="00DA227A" w:rsidRPr="00E93F40" w14:paraId="07F37B04"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47C1687"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самолета,м</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778FFA0" w14:textId="0BAA301D"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5.00</w:t>
            </w:r>
          </w:p>
        </w:tc>
      </w:tr>
      <w:tr w:rsidR="00DA227A" w:rsidRPr="00E93F40" w14:paraId="068D7161"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2C2EC6C"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самолета,м</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AF4A5E8" w14:textId="6A273100" w:rsidR="00684A8A"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5BF5DEB5"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433D46"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крыла,м</w:t>
            </w:r>
            <w:r w:rsidRPr="00E93F40">
              <w:rPr>
                <w:rFonts w:ascii="Times New Roman" w:hAnsi="Times New Roman"/>
                <w:color w:val="000000" w:themeColor="text1"/>
                <w:sz w:val="16"/>
                <w:szCs w:val="16"/>
                <w:shd w:val="clear" w:color="auto" w:fill="F7FBFF"/>
              </w:rPr>
              <w:t>²</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92989E" w14:textId="1721A4BD"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9.00</w:t>
            </w:r>
          </w:p>
        </w:tc>
      </w:tr>
      <w:tr w:rsidR="00DA227A" w:rsidRPr="00E93F40" w14:paraId="03DC34F6"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26DA285"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кг</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30076D9" w14:textId="2F2E9D5C" w:rsidR="00684A8A"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75618281"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1E8687B" w14:textId="6B582284"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пустого самолета</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BFD097B" w14:textId="05C551A0"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320</w:t>
            </w:r>
          </w:p>
        </w:tc>
      </w:tr>
      <w:tr w:rsidR="00DA227A" w:rsidRPr="00E93F40" w14:paraId="60488148"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8D8925D" w14:textId="0B20CBAB"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максимальная взлетная</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773CB3B" w14:textId="0DEF610E"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483</w:t>
            </w:r>
          </w:p>
        </w:tc>
      </w:tr>
      <w:tr w:rsidR="00DA227A" w:rsidRPr="00E93F40" w14:paraId="0DAB3B00"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9481BE"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двигателя</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424704" w14:textId="2AF07B48"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 ПД Walter</w:t>
            </w:r>
          </w:p>
        </w:tc>
      </w:tr>
      <w:tr w:rsidR="00DA227A" w:rsidRPr="00E93F40" w14:paraId="2DE34238"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D031A9B"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л.с.</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20A191" w14:textId="78DD71DC"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 х 60</w:t>
            </w:r>
          </w:p>
        </w:tc>
      </w:tr>
      <w:tr w:rsidR="00DA227A" w:rsidRPr="00E93F40" w14:paraId="0F21C0DF"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27032A4"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скорость, км/ч</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537E51" w14:textId="0004A12F"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150</w:t>
            </w:r>
          </w:p>
        </w:tc>
      </w:tr>
      <w:tr w:rsidR="00DA227A" w:rsidRPr="00E93F40" w14:paraId="785621DF"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CF0F485"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Крейсерская скорость, км/ч</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2E14D0F" w14:textId="6E3AB3CC"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125</w:t>
            </w:r>
          </w:p>
        </w:tc>
      </w:tr>
      <w:tr w:rsidR="00DA227A" w:rsidRPr="00E93F40" w14:paraId="272A50F7"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B5E57A8"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полета, ч</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D559463" w14:textId="5EC57B9B"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4</w:t>
            </w:r>
          </w:p>
        </w:tc>
      </w:tr>
      <w:tr w:rsidR="00DA227A" w:rsidRPr="00E93F40" w14:paraId="61A6C056"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D70D3A6"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м/мин</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C743876" w14:textId="4BA37EBE"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143</w:t>
            </w:r>
          </w:p>
        </w:tc>
      </w:tr>
      <w:tr w:rsidR="00DA227A" w:rsidRPr="00E93F40" w14:paraId="3E64AF8A"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52D894B"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EF8EB38" w14:textId="37D164A7"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3000</w:t>
            </w:r>
          </w:p>
        </w:tc>
      </w:tr>
      <w:tr w:rsidR="00DA227A" w:rsidRPr="00E93F40" w14:paraId="12B6C733"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AF2610" w14:textId="77777777" w:rsidR="00684A8A" w:rsidRPr="00E93F40" w:rsidRDefault="00684A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чел</w:t>
            </w:r>
          </w:p>
        </w:tc>
        <w:tc>
          <w:tcPr>
            <w:tcW w:w="6587"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55400FD" w14:textId="1B6CE746" w:rsidR="00684A8A"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684A8A" w:rsidRPr="00E93F40">
              <w:rPr>
                <w:rFonts w:ascii="Times New Roman" w:hAnsi="Times New Roman"/>
                <w:color w:val="000000" w:themeColor="text1"/>
                <w:sz w:val="16"/>
                <w:szCs w:val="16"/>
              </w:rPr>
              <w:t>1</w:t>
            </w:r>
          </w:p>
        </w:tc>
      </w:tr>
    </w:tbl>
    <w:p w14:paraId="0904A87A" w14:textId="77777777" w:rsidR="00684A8A" w:rsidRPr="00E93F40" w:rsidRDefault="00684A8A" w:rsidP="00E93F4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(12682).</w:t>
      </w:r>
    </w:p>
    <w:p w14:paraId="12C00599" w14:textId="77777777" w:rsidR="002F0C84" w:rsidRPr="00E93F40" w:rsidRDefault="002F0C84" w:rsidP="00E93F40">
      <w:pPr>
        <w:spacing w:after="0" w:line="240" w:lineRule="auto"/>
        <w:jc w:val="both"/>
        <w:rPr>
          <w:rStyle w:val="ucoz-forum-post"/>
          <w:rFonts w:ascii="Times New Roman" w:eastAsiaTheme="majorEastAsia" w:hAnsi="Times New Roman"/>
          <w:bCs/>
          <w:color w:val="000000" w:themeColor="text1"/>
          <w:sz w:val="16"/>
          <w:szCs w:val="16"/>
        </w:rPr>
      </w:pPr>
    </w:p>
    <w:p w14:paraId="6BA377AD" w14:textId="77777777" w:rsidR="002F0C84" w:rsidRPr="00E93F40" w:rsidRDefault="002F0C84"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29 сентября </w:t>
      </w:r>
      <w:r w:rsidRPr="00E93F40">
        <w:rPr>
          <w:rFonts w:ascii="Times New Roman" w:hAnsi="Times New Roman"/>
          <w:color w:val="000000" w:themeColor="text1"/>
          <w:sz w:val="16"/>
          <w:szCs w:val="16"/>
        </w:rPr>
        <w:t>в 1932 году начало перелета (начало 5 октября) аэропоезда в составе самолета-буксировщика «У-2» под руководством В.К.Грибовского и планера «Г-92, пилотированного В.А.Степанченком по маршруту Москва - Рязань - Тамбов - Задонск - Воронеж - Евдоково - Кантемировка - Луганск - Ейск - Черноерковский - Керчь - Коктебель. Маршрут дальностью 1660 км пройден за 19 ч. 10 мин (14784).</w:t>
      </w:r>
    </w:p>
    <w:p w14:paraId="7933116B" w14:textId="77777777" w:rsidR="002F0C84" w:rsidRPr="00E93F40" w:rsidRDefault="002F0C84" w:rsidP="00E93F40">
      <w:pPr>
        <w:spacing w:after="0" w:line="240" w:lineRule="auto"/>
        <w:jc w:val="both"/>
        <w:rPr>
          <w:rFonts w:ascii="Times New Roman" w:hAnsi="Times New Roman"/>
          <w:color w:val="000000" w:themeColor="text1"/>
          <w:sz w:val="16"/>
          <w:szCs w:val="16"/>
        </w:rPr>
      </w:pPr>
    </w:p>
    <w:p w14:paraId="37303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сентября 1932 С.Н.Афанасьев отделившись от самолета на 2000 м пролетел не открывая парашют 1600 м за 33.5 сек. - превысив мировой рекорд (3044,59).</w:t>
      </w:r>
    </w:p>
    <w:p w14:paraId="4F358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ABB141" w14:textId="2F157EEF" w:rsidR="003749BF" w:rsidRPr="00E93F40" w:rsidRDefault="003749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сентября 1932 г. военный летчик, инструктор парашютного дела Сергей Николаевич Афанасьев установил мировой рекорд затяжного прыхка, оставив самолет на высоте 2000 м, он падал, не раскрывая парашюта, 1600 м. Свободное падение продолжалось 33,5 сек. Этим прыжком Афанасьев перекрыл недавний рекорд Н.А. Евдокимова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ми</w:t>
      </w:r>
      <w:r w:rsidRPr="00E93F40">
        <w:rPr>
          <w:rFonts w:ascii="Times New Roman" w:hAnsi="Times New Roman"/>
          <w:color w:val="000000" w:themeColor="text1"/>
          <w:sz w:val="16"/>
          <w:szCs w:val="16"/>
        </w:rPr>
        <w:softHyphen/>
        <w:t>ровое достижение американца Гаррисона - 1500 м.</w:t>
      </w:r>
    </w:p>
    <w:p w14:paraId="36BBDD8F" w14:textId="77777777" w:rsidR="003749BF" w:rsidRPr="00E93F40" w:rsidRDefault="003749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/"Красная звезда" за 22 окт.1932; ВВФ, 1936 № 3/ (23370).</w:t>
      </w:r>
    </w:p>
    <w:p w14:paraId="602F93B5" w14:textId="77777777" w:rsidR="003749BF" w:rsidRPr="00E93F40" w:rsidRDefault="003749BF" w:rsidP="00E93F40">
      <w:pPr>
        <w:spacing w:after="0" w:line="240" w:lineRule="auto"/>
        <w:jc w:val="both"/>
        <w:rPr>
          <w:rFonts w:ascii="Times New Roman" w:hAnsi="Times New Roman"/>
          <w:color w:val="000000" w:themeColor="text1"/>
          <w:sz w:val="16"/>
          <w:szCs w:val="16"/>
        </w:rPr>
      </w:pPr>
    </w:p>
    <w:p w14:paraId="5B6AA391"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сентября 1932 года Советский парашютист С. Афанасьев установил первый мировой рекорд. Прыгнув с высоты 2.000 м, он за 33.5 сек. пролетел не раскрывая парашют 1.600 м. До рекордного прыжка С. Афанасьев имел несколько затяжных прыжков. При выполнении рекордного прыжка парашютист поставил цель – проверить возможности управления свободно падающим телом руками и ногами по принципу действия рулей самолета. Он пришел к выводу, что «принципиальной разницы в управлении самолетом и свободно падающим телом нет, ибо руки – элероны, ноги – хвостовое оперение, руль высоты и поворота» (21402).</w:t>
      </w:r>
    </w:p>
    <w:p w14:paraId="2511D2DC" w14:textId="77777777" w:rsidR="00580010" w:rsidRPr="00E93F40" w:rsidRDefault="00580010" w:rsidP="00E93F40">
      <w:pPr>
        <w:spacing w:after="0" w:line="240" w:lineRule="auto"/>
        <w:jc w:val="both"/>
        <w:rPr>
          <w:rFonts w:ascii="Times New Roman" w:hAnsi="Times New Roman"/>
          <w:color w:val="000000" w:themeColor="text1"/>
          <w:sz w:val="16"/>
          <w:szCs w:val="16"/>
        </w:rPr>
      </w:pPr>
    </w:p>
    <w:p w14:paraId="37D30BF4"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сентября 1932</w:t>
      </w:r>
    </w:p>
    <w:p w14:paraId="367E54CD"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Рим, 29 сентября 1932 г.</w:t>
      </w:r>
    </w:p>
    <w:p w14:paraId="2788090D"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Его Превосходительству Бенито Муссолини</w:t>
      </w:r>
    </w:p>
    <w:p w14:paraId="28D003A0"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Главе Правительства Рим</w:t>
      </w:r>
    </w:p>
    <w:p w14:paraId="4F27EB0A"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Ваше превосходительство, Я возвращаюсь из Москвы, где, благодаря разрешению, полученному от Вас, я определил и заключил с Дирижаблестроительной корпорацией Гражданского Воздушного Флота договор по проектированию, конструированию и применению дирижаблей в СССР. Это соглашение было также зарегистрировано при Народном комиссариате труда. Основы соглашения следующие:</w:t>
      </w:r>
    </w:p>
    <w:p w14:paraId="4970B746"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Около Москвы будет учрежден первый большой завод по производству дирижаблей, включающий технический отдел для проектирования, исследования и испытаний, механические и аэростатные цехи, два больших ангара, школа летчиков и т.д. Общее руководство этим заводом доверено мне, и советский технический персонал будет совместно работать и обучаться у специального итальянского персонала, который будет выбран лично мной. Технически и дисциплинарно весь персонал будет зависеть от меня (что является новым в отношениях СССР с иностранными специалистами).</w:t>
      </w:r>
    </w:p>
    <w:p w14:paraId="0433CDB4"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Испытания дирижаблей и выбор экипажей остаются за мной. Установлено также, что в случае важных перелетов на дирижаблях, построенных мной, я буду одним из руководителей и буду иметь право принять на себя командование данным дирижаблем. </w:t>
      </w:r>
    </w:p>
    <w:p w14:paraId="52671AA0"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Программа включает различные экспериментальные конструкции по типу дирижабля N (который в тайне от нас был скопирован во Франции фирмой «Зодиак» для французского флота). Чтобы чрезмерно не увеличивать трудности по конструированию, которые и так являются уже довольно серьезными в стране, где все надо создавать с нуля (мастерские, квалифицированных рабочих и особые материалы), начнут с маленьких кубатур; но через несколько лет перейдут к большим кубатурам, превзойдя те, которые до сегодняшнего дня были построены в Италии. Я оставил за собой также право изучать и предлагать дирижабли жесткого типа большой кубатуры, с некоторыми конструкторскими новшествами по сравнению с недавними немецкими и американскими экземплярами. </w:t>
      </w:r>
    </w:p>
    <w:p w14:paraId="58755AB8"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Совместно с программой по строительству я обещал вести курсы лекций в университетах Москвы и Ленинграда. </w:t>
      </w:r>
    </w:p>
    <w:p w14:paraId="29262295"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Было решено, что я буду участвовать в важной научной экспедиции, которая будет организована в этом году в СССР для исследования Северной Земли (ранее – Земли Николая II), той земли, которая была целью первой большой исследовательской экспедиции на «Италии». Эта экспедиция будет осуществлена на ледоколе, и в ней мне будет поручено, помимо осуществления ряда научных исследований, к которым уже готовятся необходимые инструменты, прежде всего, изучить и доложить о возможностях и ограничениях по применению дирижаблей и аэропланов в арктических регионах, которые будут исследованы. </w:t>
      </w:r>
    </w:p>
    <w:p w14:paraId="37096A86"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Как Ваше Превосходительство видит, программа важная, и я уверен, что с национальной точки зрения Ваше Превосходительство с удовлетворением отметит, что оно было поручено итальянцам, а не техническим специалистам из других стран, которые, тем не менее, сделали все возможное, чтобы получить такую должность. И необходимо отметить, что мы, итальянцы, не только никоим образом не стремились к этому, но напротив, они с нами сами связались и попросили нас. </w:t>
      </w:r>
    </w:p>
    <w:p w14:paraId="7F485996"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Длительность моей работы составляет четыре года, что как раз является тем сроком, чтобы развить наиболее значительную часть установленной программы; но если обстоятельства заставят поспешить с моим возвращением на родину, этот срок может быть уменьшен до трех лет.</w:t>
      </w:r>
    </w:p>
    <w:p w14:paraId="15A1D791"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других итальянских технических специалистов, которые должны будут работать со мной, время может быть ограничено до этого указанного срока. </w:t>
      </w:r>
    </w:p>
    <w:p w14:paraId="7CD783C1"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Эти сотрудники должны быть обязательно отобраны среди персонала Завода Воздухоплавательных Конструкций, которым я руководил много лет. Этот персонал хорошо подготовлен к строительству полужестких дирижаблей. Речь идет, сведя их число к минимуму, лишь о четырех рабочих, двух начальниках бригады и одном чертежнике. </w:t>
      </w:r>
    </w:p>
    <w:p w14:paraId="72E67826"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Я уже нашел людей, которые охотно отправились бы на такую интересную работу в СССР, однако поскольку речь идет о наемных рабочих, которые подчиняются Министерству Авиации, необходимо, чтобы им были выданы особые разрешения, чтобы по возвращении на родину они могли вновь занять свое место. Никто из них не хочет и не может отказаться от своего положения в Италии, особенно потому, что вполне может оказаться, что кто-то из них будет вынужден по причине климата или по другим мотивам вернуться на родину ранее установленного срока. </w:t>
      </w:r>
    </w:p>
    <w:p w14:paraId="0E9C3F85"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Осмелюсь поэтому просить Ваше Превосходительство соизволить отдать приказ, чтобы было предоставлено необходимое разрешение чертежнику и шести начальникам бригад и рабочим, о которых я упомянул выше.</w:t>
      </w:r>
    </w:p>
    <w:p w14:paraId="1B3D9295"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Благодарю Ваше Превосходительство и пользуюсь случаем, чтобы еще раз засвидетельствовать мое бесконечное почтение.</w:t>
      </w:r>
    </w:p>
    <w:p w14:paraId="242D19A0" w14:textId="77777777" w:rsidR="00580010" w:rsidRPr="00E93F40" w:rsidRDefault="0058001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Проф. Умберто Нобиле (21410).</w:t>
      </w:r>
    </w:p>
    <w:p w14:paraId="713CCB24" w14:textId="77777777" w:rsidR="00580010" w:rsidRPr="00E93F40" w:rsidRDefault="00580010" w:rsidP="00E93F40">
      <w:pPr>
        <w:spacing w:after="0" w:line="240" w:lineRule="auto"/>
        <w:jc w:val="both"/>
        <w:rPr>
          <w:rFonts w:ascii="Times New Roman" w:hAnsi="Times New Roman"/>
          <w:color w:val="000000" w:themeColor="text1"/>
          <w:sz w:val="16"/>
          <w:szCs w:val="16"/>
        </w:rPr>
      </w:pPr>
    </w:p>
    <w:p w14:paraId="5470D861" w14:textId="77777777" w:rsidR="002F0C84"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829E4F9" w14:textId="77777777" w:rsidR="002F0C84" w:rsidRPr="00E93F40" w:rsidRDefault="002F0C8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41CEDE" w14:textId="77777777" w:rsidR="002F0C84" w:rsidRPr="00E93F40" w:rsidRDefault="002F0C84"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29 сентября </w:t>
      </w:r>
      <w:r w:rsidRPr="00E93F40">
        <w:rPr>
          <w:rFonts w:ascii="Times New Roman" w:hAnsi="Times New Roman"/>
          <w:color w:val="000000" w:themeColor="text1"/>
          <w:sz w:val="16"/>
          <w:szCs w:val="16"/>
        </w:rPr>
        <w:t>в 1932 году в Ленинграде построена первая в стране передвижная рентгеновская станция (14784).</w:t>
      </w:r>
    </w:p>
    <w:p w14:paraId="59A9ED25" w14:textId="77777777" w:rsidR="002F0C84" w:rsidRPr="00E93F40" w:rsidRDefault="002F0C84" w:rsidP="00E93F40">
      <w:pPr>
        <w:spacing w:after="0" w:line="240" w:lineRule="auto"/>
        <w:jc w:val="both"/>
        <w:rPr>
          <w:rFonts w:ascii="Times New Roman" w:hAnsi="Times New Roman"/>
          <w:color w:val="000000" w:themeColor="text1"/>
          <w:sz w:val="16"/>
          <w:szCs w:val="16"/>
        </w:rPr>
      </w:pPr>
    </w:p>
    <w:p w14:paraId="66FB7DC1" w14:textId="77777777" w:rsidR="000A12C9" w:rsidRPr="00E93F40" w:rsidRDefault="000A12C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сентября 1932 г. ПБ утвердило постановление СНК СССР и ЦК ВКП(б) «О мероприятиях по повышению урожайности», в котором, в частности, поручалось Наркомату земледелия в течение 1933 г. ввести во всех колхозах и совхозах севооборот «как одно из лучших средств повышения урожайности» (РГАСПИ. Ф. 17. Оп. 3. Д. 902. Л. 7, 31–32). Разрушение регулярной системы севооборота в 1930 — 1932 гг. было одной из главных причин голода, особенно на Украине (см.: Девис Р.У., Виткрофт С. // «Отечественная история». 1998. N° 6. С. 98–99.) (17281).</w:t>
      </w:r>
    </w:p>
    <w:p w14:paraId="591442BB" w14:textId="77777777" w:rsidR="000A12C9" w:rsidRPr="00E93F40" w:rsidRDefault="000A12C9" w:rsidP="00E93F40">
      <w:pPr>
        <w:spacing w:after="0" w:line="240" w:lineRule="auto"/>
        <w:jc w:val="both"/>
        <w:rPr>
          <w:rFonts w:ascii="Times New Roman" w:hAnsi="Times New Roman"/>
          <w:color w:val="000000" w:themeColor="text1"/>
          <w:sz w:val="16"/>
          <w:szCs w:val="16"/>
        </w:rPr>
      </w:pPr>
    </w:p>
    <w:p w14:paraId="7950F62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200C19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20F7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29 сентября 1932 на заводах Дженерал Моторс ввели пятидневную рабочую неделю (2100).</w:t>
      </w:r>
    </w:p>
    <w:p w14:paraId="0713C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35F668" w14:textId="77777777" w:rsidR="00C67FF2" w:rsidRPr="00E93F40" w:rsidRDefault="00C67FF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E3AE37F" w14:textId="77777777" w:rsidR="00C67FF2" w:rsidRPr="00E93F40" w:rsidRDefault="00C67FF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B809233" w14:textId="77777777" w:rsidR="00C67FF2" w:rsidRPr="00E93F40" w:rsidRDefault="00C67FF2" w:rsidP="00E93F4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30 сентября 1932 года в 5 часов утра из Москвы вылетел самолет П-5 с экипажем в составе пилота М.В. Водопьянова и бортмеханика Матвеенко с целью «проведения инструктажа по подготовке к зимним воздушно-почтовым сообщениям на транссибирской воздушной магистрали».</w:t>
      </w:r>
    </w:p>
    <w:p w14:paraId="2E757171" w14:textId="77777777" w:rsidR="00C67FF2" w:rsidRPr="00E93F40" w:rsidRDefault="00C67FF2" w:rsidP="00E93F4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Перелет прошел по маршруту Москва – Казань – Свердловск – Омск – Новосибирск – Красноярск – Иркутск – Чита – Рухлово – Бочкарево – Хабаровск.</w:t>
      </w:r>
    </w:p>
    <w:p w14:paraId="6A8DB764" w14:textId="77777777" w:rsidR="00C67FF2" w:rsidRPr="00E93F40" w:rsidRDefault="00C67FF2" w:rsidP="00E93F4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Несмотря на задержку в местах посадки с целью инструктажа и ознакомления местных работников с модернизированной механиком Матвеенко системой охлаждения двигателя М-17, облегчающей зимнюю эксплуатацию самолетов, весь путь был преодолен за три дня. Причем, от Москвы до Омска экипаж добрался за один день. В Хабаровск самолет прибыл 3 октября в 12 часов дня (21249).</w:t>
      </w:r>
    </w:p>
    <w:p w14:paraId="59C17222" w14:textId="77777777" w:rsidR="00C67FF2" w:rsidRPr="00E93F40" w:rsidRDefault="00C67FF2" w:rsidP="00E93F40">
      <w:pPr>
        <w:spacing w:after="0" w:line="240" w:lineRule="auto"/>
        <w:jc w:val="both"/>
        <w:rPr>
          <w:rFonts w:ascii="Times New Roman" w:hAnsi="Times New Roman"/>
          <w:color w:val="000000" w:themeColor="text1"/>
          <w:sz w:val="16"/>
          <w:szCs w:val="16"/>
        </w:rPr>
      </w:pPr>
    </w:p>
    <w:p w14:paraId="1DAA4D5C" w14:textId="77777777" w:rsidR="00ED0333" w:rsidRPr="00E93F40" w:rsidRDefault="00ED033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сент.- 3 октября 1932 г. летчик ГВФ И.В.Водопьянов на самолете П-5 с механиком С.Ф.Матвеенко совершил скоростной перелет по линии Москва-Хабаровск, покрыв за три дня расстояние 7000 км. Цель перелета - испытание системы охлаждения мотора, предложенной Матвеенко Новая система исключала возможность замерзания роды в боковых трубках даже при очень низких температурах.</w:t>
      </w:r>
    </w:p>
    <w:p w14:paraId="2966729A" w14:textId="77777777" w:rsidR="00ED0333" w:rsidRPr="00E93F40" w:rsidRDefault="00ED033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 авиация" 1932 № 20; "Красная звезда" за 27 декабря 1932/ (23370).</w:t>
      </w:r>
    </w:p>
    <w:p w14:paraId="5A474FEA" w14:textId="77777777" w:rsidR="00ED0333" w:rsidRPr="00E93F40" w:rsidRDefault="00ED0333" w:rsidP="00E93F40">
      <w:pPr>
        <w:spacing w:after="0" w:line="240" w:lineRule="auto"/>
        <w:jc w:val="both"/>
        <w:rPr>
          <w:rFonts w:ascii="Times New Roman" w:hAnsi="Times New Roman"/>
          <w:color w:val="000000" w:themeColor="text1"/>
          <w:sz w:val="16"/>
          <w:szCs w:val="16"/>
        </w:rPr>
      </w:pPr>
    </w:p>
    <w:p w14:paraId="19041302" w14:textId="77777777" w:rsidR="00ED0333" w:rsidRPr="00E93F40" w:rsidRDefault="00ED033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сентября 1932 г. Центральный совет Осоавиахима объявил месячник "штурма стратосферы" с целью содействия кампании, начатой газетой "Техника" 30 марта. В связи с полетами бельгийского стратонав</w:t>
      </w:r>
      <w:r w:rsidRPr="00E93F40">
        <w:rPr>
          <w:rFonts w:ascii="Times New Roman" w:hAnsi="Times New Roman"/>
          <w:color w:val="000000" w:themeColor="text1"/>
          <w:sz w:val="16"/>
          <w:szCs w:val="16"/>
        </w:rPr>
        <w:softHyphen/>
        <w:t xml:space="preserve">та Пикара идея стратосферных полетов повсюду стала модной, а в СССР в особеннсти. Кампания, начатая «Техникой» и поддержанная Осоавиахимом, сыграла большую роль в деле завоевания стратосферы и увенчалась созданием советских стратостатов (23370). </w:t>
      </w:r>
    </w:p>
    <w:p w14:paraId="4C59EB2C" w14:textId="77777777" w:rsidR="00ED0333" w:rsidRPr="00E93F40" w:rsidRDefault="00ED0333" w:rsidP="00E93F40">
      <w:pPr>
        <w:spacing w:after="0" w:line="240" w:lineRule="auto"/>
        <w:jc w:val="both"/>
        <w:rPr>
          <w:rFonts w:ascii="Times New Roman" w:hAnsi="Times New Roman"/>
          <w:color w:val="000000" w:themeColor="text1"/>
          <w:sz w:val="16"/>
          <w:szCs w:val="16"/>
        </w:rPr>
      </w:pPr>
    </w:p>
    <w:p w14:paraId="1D1A061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A68570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EADAB2" w14:textId="77777777" w:rsidR="00C67FF2" w:rsidRPr="00E93F40" w:rsidRDefault="00C6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сентября 1932 состоялся первый полет Блэкберн Баффин (20803).</w:t>
      </w:r>
    </w:p>
    <w:p w14:paraId="5BD4B80D" w14:textId="77777777" w:rsidR="00C67FF2" w:rsidRPr="00E93F40" w:rsidRDefault="00C67FF2" w:rsidP="00E93F40">
      <w:pPr>
        <w:spacing w:after="0" w:line="240" w:lineRule="auto"/>
        <w:jc w:val="both"/>
        <w:rPr>
          <w:rFonts w:ascii="Times New Roman" w:hAnsi="Times New Roman"/>
          <w:color w:val="000000" w:themeColor="text1"/>
          <w:sz w:val="16"/>
          <w:szCs w:val="16"/>
        </w:rPr>
      </w:pPr>
    </w:p>
    <w:p w14:paraId="0AA5BF51" w14:textId="01D5BC6F" w:rsidR="00C67FF2" w:rsidRPr="00E93F40" w:rsidRDefault="00C6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сентября 1932 года — первый полёт бомбардировщика-торпедоносца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Blackburn B-5 Baffin. /Англия/</w:t>
      </w:r>
    </w:p>
    <w:p w14:paraId="13A92BD1" w14:textId="74D477D8" w:rsidR="00C67FF2" w:rsidRPr="00E93F40" w:rsidRDefault="00C6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1929 году в эскадрильи воздушных сил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Королевского ВМФ Великобритании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 поступать торпедоносец</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Blackburn Ripon. Он был оснащён устаревшим двигателем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Napier Lion, поэтому уже через 3 года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Blackburn Aircraft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начала работать над обновлением этого самолёта. Взяв Ripon за основу, компания разработала проект бомбардировщика-торпедоносца B-5 Baffin.</w:t>
      </w:r>
    </w:p>
    <w:p w14:paraId="5C02BCE7" w14:textId="77777777" w:rsidR="00C67FF2" w:rsidRPr="00E93F40" w:rsidRDefault="00C6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Отличия от Ripon были минимальны. B-5 представлял собой двухместный биплан с неубираемым шасси. Радиальный двигатель Bristol Pegasus I. M3 (565 л.с.) позволял развить скорость до 219 км/ч. Дальность полёта — 790 км. Вооружение состояло из 2 × 7,92-мм пулемётов + 820-кг торпеда или 740 кг бомб.</w:t>
      </w:r>
    </w:p>
    <w:p w14:paraId="7015CACC" w14:textId="485741C2" w:rsidR="00C67FF2" w:rsidRPr="00E93F40" w:rsidRDefault="00C67F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сравнительных испытаний B-5 Baffin приняли на вооружение. Всего было выпущено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самолётов, всех версий. Кроме ВМФ Великобритании, они также стояли на вооружении ВВС Новой Зеландии (22300).</w:t>
      </w:r>
    </w:p>
    <w:p w14:paraId="0F11EEFF" w14:textId="77777777" w:rsidR="00C67FF2" w:rsidRPr="00E93F40" w:rsidRDefault="00C67FF2" w:rsidP="00E93F40">
      <w:pPr>
        <w:spacing w:after="0" w:line="240" w:lineRule="auto"/>
        <w:jc w:val="both"/>
        <w:rPr>
          <w:rFonts w:ascii="Times New Roman" w:hAnsi="Times New Roman"/>
          <w:color w:val="000000" w:themeColor="text1"/>
          <w:sz w:val="16"/>
          <w:szCs w:val="16"/>
        </w:rPr>
      </w:pPr>
    </w:p>
    <w:p w14:paraId="5FE07E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сентября 1932 в Венгрии в связи с финансовым кризисом и отставкой Кароди было сформировано новое правительство (3907,174).</w:t>
      </w:r>
    </w:p>
    <w:p w14:paraId="426169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15BF7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35F9F7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6753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сентября 1932 на 18 завод пришел С.А.М. (557,47).</w:t>
      </w:r>
    </w:p>
    <w:p w14:paraId="6A458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7FD49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80ACEB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1A814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сентября 1932 г. еще до изготовления эталон</w:t>
      </w:r>
      <w:r w:rsidRPr="00E93F40">
        <w:rPr>
          <w:rFonts w:ascii="Times New Roman" w:hAnsi="Times New Roman"/>
          <w:color w:val="000000" w:themeColor="text1"/>
          <w:sz w:val="16"/>
          <w:szCs w:val="16"/>
        </w:rPr>
        <w:softHyphen/>
        <w:t>ного образца (второй опытный образец танка) Совет труда и обороны СССР принял решение об организации серий</w:t>
      </w:r>
      <w:r w:rsidRPr="00E93F40">
        <w:rPr>
          <w:rFonts w:ascii="Times New Roman" w:hAnsi="Times New Roman"/>
          <w:color w:val="000000" w:themeColor="text1"/>
          <w:sz w:val="16"/>
          <w:szCs w:val="16"/>
        </w:rPr>
        <w:softHyphen/>
        <w:t>ного производства танков Т-28 на заводе «Красный Путиловец» (бывш. «Путиловский завод») (10733,233).</w:t>
      </w:r>
    </w:p>
    <w:p w14:paraId="4818CF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DBD8C6" w14:textId="77777777" w:rsidR="005E282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5F182E3F" w14:textId="77777777" w:rsidR="005E2829" w:rsidRPr="00E93F40" w:rsidRDefault="005E282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B30CB7" w14:textId="77777777" w:rsidR="005E2829" w:rsidRPr="00E93F40" w:rsidRDefault="005E28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сентября 1932 в очередном докладе Председателю Правительства Волынченко до</w:t>
      </w:r>
      <w:r w:rsidRPr="00E93F40">
        <w:rPr>
          <w:rFonts w:ascii="Times New Roman" w:hAnsi="Times New Roman"/>
          <w:color w:val="000000" w:themeColor="text1"/>
          <w:sz w:val="16"/>
          <w:szCs w:val="16"/>
        </w:rPr>
        <w:softHyphen/>
        <w:t>ложил, что «29 сентября производил осмотр и поверку недавно прибывшего авиаимуще</w:t>
      </w:r>
      <w:r w:rsidRPr="00E93F40">
        <w:rPr>
          <w:rFonts w:ascii="Times New Roman" w:hAnsi="Times New Roman"/>
          <w:color w:val="000000" w:themeColor="text1"/>
          <w:sz w:val="16"/>
          <w:szCs w:val="16"/>
        </w:rPr>
        <w:softHyphen/>
        <w:t>ства. Обнаружил, что оно содержится не в должном порядке и наблюдения за ним не ве</w:t>
      </w:r>
      <w:r w:rsidRPr="00E93F40">
        <w:rPr>
          <w:rFonts w:ascii="Times New Roman" w:hAnsi="Times New Roman"/>
          <w:color w:val="000000" w:themeColor="text1"/>
          <w:sz w:val="16"/>
          <w:szCs w:val="16"/>
        </w:rPr>
        <w:softHyphen/>
        <w:t>дётся...». Дальше в докладе описывался «дипломатический спектакль», поскольку лётчик, отлично зная о двух разбитых в Хами У-2, долго убеждал Цзиня вернуть их в авиашколу для учебных полётов: «...Для того, чтобы одновременно приступить имеющимся в школе трём фуппам учеников к практической лётной учёбе, необходимо наличие трёх учебных самолётов, из расчёта один инструктор и 5 учеников на один самолёт. Плюс к этому не</w:t>
      </w:r>
      <w:r w:rsidRPr="00E93F40">
        <w:rPr>
          <w:rFonts w:ascii="Times New Roman" w:hAnsi="Times New Roman"/>
          <w:color w:val="000000" w:themeColor="text1"/>
          <w:sz w:val="16"/>
          <w:szCs w:val="16"/>
        </w:rPr>
        <w:softHyphen/>
        <w:t>обходимо иметь в запасе самолёты и моторы... На основании вышеизложенного считаю, что производить вывозку учеников на имеющемся одном учебном самолёте, до прилёта остальных двух считаю нецелесообразным, тем более, что эти два самолёта, потребуют также смены моторов в зависимости от количества налётанных часов».</w:t>
      </w:r>
    </w:p>
    <w:p w14:paraId="18FB9C8D" w14:textId="77777777" w:rsidR="005E2829" w:rsidRPr="00E93F40" w:rsidRDefault="005E28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 это время в Москве начался новый «дипломатический переполох», вызванный тем, что без согласования с Москвой по просьбе местных властей Генконсул оставил в Китае перегонщиков — лётчиков Антипова и Шевченко, техников Климовича и Про</w:t>
      </w:r>
      <w:r w:rsidRPr="00E93F40">
        <w:rPr>
          <w:rFonts w:ascii="Times New Roman" w:hAnsi="Times New Roman"/>
          <w:color w:val="000000" w:themeColor="text1"/>
          <w:sz w:val="16"/>
          <w:szCs w:val="16"/>
        </w:rPr>
        <w:softHyphen/>
        <w:t>копенко. Получив 25 сентября срочную телеграмму с требованием «молнируйте оста</w:t>
      </w:r>
      <w:r w:rsidRPr="00E93F40">
        <w:rPr>
          <w:rFonts w:ascii="Times New Roman" w:hAnsi="Times New Roman"/>
          <w:color w:val="000000" w:themeColor="text1"/>
          <w:sz w:val="16"/>
          <w:szCs w:val="16"/>
        </w:rPr>
        <w:softHyphen/>
        <w:t>вление всех четверых», начальник ИНО УВВС немедленно обратился в НКИД и ВСНХ:</w:t>
      </w:r>
    </w:p>
    <w:p w14:paraId="07B19F6C" w14:textId="77777777" w:rsidR="005E2829" w:rsidRPr="00E93F40" w:rsidRDefault="005E28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Вам известно... т. Алкснис выделил в свое время специалистов... для перегон</w:t>
      </w:r>
      <w:r w:rsidRPr="00E93F40">
        <w:rPr>
          <w:rFonts w:ascii="Times New Roman" w:hAnsi="Times New Roman"/>
          <w:color w:val="000000" w:themeColor="text1"/>
          <w:sz w:val="16"/>
          <w:szCs w:val="16"/>
        </w:rPr>
        <w:softHyphen/>
        <w:t>ки самолётов из Аягуза в Урумчи... и о том, что все эти люди направляются только во временную, очень непродолжительную командировку, был очень хорошо осведомлён... т. Иванов, на которого возложена вся эта операция. Однако в настоящее время выяс</w:t>
      </w:r>
      <w:r w:rsidRPr="00E93F40">
        <w:rPr>
          <w:rFonts w:ascii="Times New Roman" w:hAnsi="Times New Roman"/>
          <w:color w:val="000000" w:themeColor="text1"/>
          <w:sz w:val="16"/>
          <w:szCs w:val="16"/>
        </w:rPr>
        <w:softHyphen/>
        <w:t>няется, что из числа этого состава лётчик Антипов и техник Климович задерживают</w:t>
      </w:r>
      <w:r w:rsidRPr="00E93F40">
        <w:rPr>
          <w:rFonts w:ascii="Times New Roman" w:hAnsi="Times New Roman"/>
          <w:color w:val="000000" w:themeColor="text1"/>
          <w:sz w:val="16"/>
          <w:szCs w:val="16"/>
        </w:rPr>
        <w:softHyphen/>
        <w:t>ся... т. Златкиным, с оставлением их на постоянной работе в Китае, без какого-либо предварительного на то согласования с УВВС и т. Ивановым. Вопрос этот... решён на каком-то секретном у него заседании... Считаю, что Генконсул ни в коем случае не имел права самовольно задерживать в Китае тт. Антипова и Климовича, прошу срочно сообщить Ваше по сему заключение для доклада нач. Алкснису». Одновременно НКИД опять просили обеспечить УВВС аккуратной присылкой докладов от Волынченко.</w:t>
      </w:r>
    </w:p>
    <w:p w14:paraId="443DAFAD" w14:textId="77777777" w:rsidR="005E2829" w:rsidRPr="00E93F40" w:rsidRDefault="005E28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задержкой в две недели начальник отдела Дальнего Востока НКИД «объяснился» с УВВС за «самоуправство» Генконсула: «Правительство обратилось к нему с просьбой об оставлении у них на службе 2 лётчиков и 2 механиков из лётно-технической группы, пе</w:t>
      </w:r>
      <w:r w:rsidRPr="00E93F40">
        <w:rPr>
          <w:rFonts w:ascii="Times New Roman" w:hAnsi="Times New Roman"/>
          <w:color w:val="000000" w:themeColor="text1"/>
          <w:sz w:val="16"/>
          <w:szCs w:val="16"/>
        </w:rPr>
        <w:softHyphen/>
        <w:t>регонявшей самолёты в Урумчи. Передав эту просьбу на разрешение соответствующих органов в Москве, т. Златкин временно, вплоть до разрешения, задержал в Урумчи 4-х человек лётного состава, не передавая их пока на службу китайским властям... Не имея непосредственной связи с Вами, [он] поставил об этом в известность т. Иванова.</w:t>
      </w:r>
    </w:p>
    <w:p w14:paraId="0D895798" w14:textId="77777777" w:rsidR="005E2829" w:rsidRPr="00E93F40" w:rsidRDefault="005E28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случае положительного разрешения у нас просьбы... мы считали бы целесообраз</w:t>
      </w:r>
      <w:r w:rsidRPr="00E93F40">
        <w:rPr>
          <w:rFonts w:ascii="Times New Roman" w:hAnsi="Times New Roman"/>
          <w:color w:val="000000" w:themeColor="text1"/>
          <w:sz w:val="16"/>
          <w:szCs w:val="16"/>
        </w:rPr>
        <w:softHyphen/>
        <w:t>ным оставить там временно задержанных 4-х человек с тем, чтобы избежать необхо</w:t>
      </w:r>
      <w:r w:rsidRPr="00E93F40">
        <w:rPr>
          <w:rFonts w:ascii="Times New Roman" w:hAnsi="Times New Roman"/>
          <w:color w:val="000000" w:themeColor="text1"/>
          <w:sz w:val="16"/>
          <w:szCs w:val="16"/>
        </w:rPr>
        <w:softHyphen/>
        <w:t>димости подбора новых кандидатур и оформления их выезда, что весьма затянуло бы выполнение просьбы...» (15802).</w:t>
      </w:r>
    </w:p>
    <w:p w14:paraId="68F20A3A" w14:textId="77777777" w:rsidR="005E2829" w:rsidRPr="00E93F40" w:rsidRDefault="005E2829" w:rsidP="00E93F40">
      <w:pPr>
        <w:spacing w:after="0" w:line="240" w:lineRule="auto"/>
        <w:jc w:val="both"/>
        <w:rPr>
          <w:rFonts w:ascii="Times New Roman" w:hAnsi="Times New Roman"/>
          <w:color w:val="000000" w:themeColor="text1"/>
          <w:sz w:val="16"/>
          <w:szCs w:val="16"/>
        </w:rPr>
      </w:pPr>
    </w:p>
    <w:p w14:paraId="287F532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7A4B65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4F4C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начальник ВВС Алкснис писал письмо председателю РВС.</w:t>
      </w:r>
    </w:p>
    <w:p w14:paraId="7DD1E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мобилизационном назначении самолетов К-5 и АНТ-9.</w:t>
      </w:r>
    </w:p>
    <w:p w14:paraId="7946C6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К-5 вооруженный турельным пулеметом и пулеметом, стреляющим через винт, имеет проектный полетный вес 3830 кг при этом на бомбы и горючее приходится 935 кг.</w:t>
      </w:r>
    </w:p>
    <w:p w14:paraId="2B2AE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Задавшись весом бомб 400 кг радиус действия этого самолета будет 190-200 км. Меньшее количество бомб вряд ли целесообразно для самолета бомбардировщика, а поэтому радиус действия является недопустимо малым для самолето этого вида.</w:t>
      </w:r>
    </w:p>
    <w:p w14:paraId="29226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не безопасен для полета, потому что разбег этого самолета был настолько велик, что Московский аэродром оказался для него недостаточным.</w:t>
      </w:r>
    </w:p>
    <w:p w14:paraId="283E8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величину радиуса действия скажется и то обстоятельство, что поскольку самолет К5 обладает плохими посадочными качествами, это потребует отодвинуть его глубоко в тыл на хорошие аэродромы.</w:t>
      </w:r>
    </w:p>
    <w:p w14:paraId="029021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тому же самолет К5 обладает плохими маневренными качествами и низким потолком (2500 м), что также осложняет его применение в качестве бомбардировщика.</w:t>
      </w:r>
    </w:p>
    <w:p w14:paraId="6E731C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АНТ-9 с 3-мя моторами М-26 - радиус действия этого самолета будет также слишком мал (около 200 км). Ориентировочные летные данные этого самолета будут также неблагоприятные - потолок будет - 2800 м, разбег 400-500 м.</w:t>
      </w:r>
    </w:p>
    <w:p w14:paraId="51184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вышеизложенное позволяет сделать вывод, что самолеты К-5 и АНТ-9 как бомбардировщики использованы быть не могут, а при мобилизации могут быть использованы лишь как транспортники или санитарные. (3070,24).</w:t>
      </w:r>
    </w:p>
    <w:p w14:paraId="2C47A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B43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1932-го в Советском Союзе торжественно отмечали 40-летний юбилей литературной деятельности "великого пролетарского писателя" Максима Горького. В качестве подарка литератору Кольцов предложил организовать по всей стране сбор денег на строительство самого большого в мире самолета, который будет носить его имя. Он должен был стать флагманом специальной эскадрильи самолетов, предназначенных для агитации и пропаганды большевистских идей. "Постройка гигантского самолета-агитатора должна стать базой обновления и реконструкции методов всей нашей агитационной и массовой политработы, в применении высокой технической ступени, на которую сейчас становится наша страна... Советские конструкторы, техники, изобретатели, политработники, писатели - все должны внести в создание самолета-гиганта не только свои материальные взносы, но, главным образом, свою мысль, свои идеи, свой опыт и знания", - писал Кольцов в журнале "Огонек" (4574).</w:t>
      </w:r>
    </w:p>
    <w:p w14:paraId="43952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73A6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а ознаменование сорокалетнего юбилея писателя Алексея Максимовича Горького - писатель-журналист Михаил Кольцов выдвинул идею - построить самолет-гигант "Максим Горький"</w:t>
      </w:r>
    </w:p>
    <w:p w14:paraId="2ED1F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Горький" должен быть летающим агитатором - такова установка организаторов строительства, поддержанная журналистско-пи- сательскоя общественностью.</w:t>
      </w:r>
    </w:p>
    <w:p w14:paraId="492DB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октября 1932 года возник Комитет по постройке самолета "Максим Горький". Через некоторое время сфера деятельности Комитета и его задачи расширились, превратив Комитет во "Всесоюзный Комитет по постройке самолета-гиганта и особой эскадрильи имени Максима Горького".</w:t>
      </w:r>
    </w:p>
    <w:p w14:paraId="79558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Лучшие конструкторские силы во главе с заслуженным деятелем науки и техники СССР - А.Н.Туполевым - откликнулись на призыв Всесоюзного Комитета и приступили к конструированию самолета-гиганта - "Максим Горький".</w:t>
      </w:r>
    </w:p>
    <w:p w14:paraId="60CBB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марта 1933 года постройка самолета была передана Центральному аэро-гидродинамическому институту имени профессора Жуковского в Москве - ЦАГИ </w:t>
      </w:r>
    </w:p>
    <w:p w14:paraId="02DB0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апреля 1934 года самолет был закончен и перевезен на аэродром, где и приступили к испытанию и освоению его сложного оборудования (12024).</w:t>
      </w:r>
    </w:p>
    <w:p w14:paraId="281E38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6A1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когда комиссия под руководством профессора Н.А. Жемчужина находилась в Харькове, уже готовились стапели для сборки машины, и строился сборочный цех, по своим размерам и конфигурации соответствующий К-7. Опытный образец должен был быть выпущен без вооружения, но и без оборудования пассажирского варианта. Начало его постройки несколько раз откладывали, но в ноябре 1932 г. наконец-то сварили первый узел каркаса самолета. Выпуск хромомолибденовых труб в июне того же года освоили в Днепропетровске. Поначалу шло много брака, и встал вопрос о замене советских труб импортными. На исправление положения ушло шесть месяцев. Но ассортимент отечественных труб был уже, чем предусмотренный в проекте самолета. Самые большие диаметры, нужные для лонжеронов крыла, отсутствовали. Пришлось заменить их парами труб меньшего размера. Колеса для гиганта делали на заказ на заводе "Проводник", но в срок не успели и для первого опытного образца К-7 купили английскую резину "Пальмер" диаметром 2 м. Сами колеса с тормозами приобрели в Америке у фирмы "Гудьир".</w:t>
      </w:r>
    </w:p>
    <w:p w14:paraId="44458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ТБ-4 в плане 1933 г. числился в разряде первоочередных работ, то К-7 расценивался как "экспериментальный" и считался как бы запасным. В одном из писем Я.И. Алкснис признавал, что поддерживает создание К-7 как альтернативу ТБ-4, поскольку побаивается установления монополии ЦАГИ на строительство тяжелых бомбардировщиков. Конкуренция должна была подстегнуть активность обоих конструкторских бюро.</w:t>
      </w:r>
    </w:p>
    <w:p w14:paraId="39A3A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сборку калининского гиганта ушло девять месяцев. Последние стадии шли просто на асфальтированной площадке, окруженной строительными лесами, поскольку ни в один цех огромный самолет целиком не влезал. Вес пустого самолета превысили по сравнению с расчетным почти на три тонны, он дошел до 22 900 кг, а полный взлетный вес машины оказался около 36 т.</w:t>
      </w:r>
    </w:p>
    <w:p w14:paraId="5783C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первом же запуске двигателей самолет начал вибрировать, хвостовые балки тряслись. Пришлось их усиливать. Вновь ввели подкосы, поддерживавшие кили, а поверху соединили их еще одной горизонтальной плоскостью, так что оно фактически стало бипланным (12036).</w:t>
      </w:r>
    </w:p>
    <w:p w14:paraId="74BB97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794D57" w14:textId="77777777" w:rsidR="00F7274F" w:rsidRPr="00142305" w:rsidRDefault="00F7274F" w:rsidP="00F727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1932 г., когда комиссия находилась в Харькове, уже готовились стапели для сборки К-7 и строился сборочный цех, по своим размерам и конфигу</w:t>
      </w:r>
      <w:r w:rsidRPr="00142305">
        <w:rPr>
          <w:rFonts w:ascii="Times New Roman" w:hAnsi="Times New Roman"/>
          <w:color w:val="0070C0"/>
          <w:sz w:val="16"/>
          <w:szCs w:val="16"/>
        </w:rPr>
        <w:softHyphen/>
        <w:t>рации соответствующий К-7. Опытный образец должен был быть выпущен без вооружения, но и без оборудования пас- са^рского варианта. Начало его постройки несколько раз откладывали, но в ноябре 1932 г. наконец-то сварили пер</w:t>
      </w:r>
      <w:r w:rsidRPr="00142305">
        <w:rPr>
          <w:rFonts w:ascii="Times New Roman" w:hAnsi="Times New Roman"/>
          <w:color w:val="0070C0"/>
          <w:sz w:val="16"/>
          <w:szCs w:val="16"/>
        </w:rPr>
        <w:softHyphen/>
        <w:t>вый узел каркаса самолета. Выпуск хромомолибденовых труб в июне того же года освоили в Днепропетровске. По</w:t>
      </w:r>
      <w:r w:rsidRPr="00142305">
        <w:rPr>
          <w:rFonts w:ascii="Times New Roman" w:hAnsi="Times New Roman"/>
          <w:color w:val="0070C0"/>
          <w:sz w:val="16"/>
          <w:szCs w:val="16"/>
        </w:rPr>
        <w:softHyphen/>
        <w:t>началу шло много брака, и встал вопрос о замене советских труб импортными. На исправление положения ушло шесть месяцев. Но ассортимент отечественных труб был уже, чем предусмотренный в проекте самолета. Самые большие диа</w:t>
      </w:r>
      <w:r w:rsidRPr="00142305">
        <w:rPr>
          <w:rFonts w:ascii="Times New Roman" w:hAnsi="Times New Roman"/>
          <w:color w:val="0070C0"/>
          <w:sz w:val="16"/>
          <w:szCs w:val="16"/>
        </w:rPr>
        <w:softHyphen/>
        <w:t>метры, нужные для лонжеронов крыла, отсутствовали. При</w:t>
      </w:r>
      <w:r w:rsidRPr="00142305">
        <w:rPr>
          <w:rFonts w:ascii="Times New Roman" w:hAnsi="Times New Roman"/>
          <w:color w:val="0070C0"/>
          <w:sz w:val="16"/>
          <w:szCs w:val="16"/>
        </w:rPr>
        <w:softHyphen/>
        <w:t>шлось заменить их парами труб меньшего размера. Колеса для гиганта делали на заказ на заводе «Проводник», но в</w:t>
      </w:r>
      <w:r w:rsidRPr="00142305">
        <w:rPr>
          <w:rFonts w:ascii="Times New Roman" w:hAnsi="Times New Roman"/>
          <w:smallCaps/>
          <w:color w:val="0070C0"/>
          <w:sz w:val="16"/>
          <w:szCs w:val="16"/>
        </w:rPr>
        <w:t xml:space="preserve"> </w:t>
      </w:r>
      <w:r w:rsidRPr="00142305">
        <w:rPr>
          <w:rFonts w:ascii="Times New Roman" w:hAnsi="Times New Roman"/>
          <w:color w:val="0070C0"/>
          <w:sz w:val="16"/>
          <w:szCs w:val="16"/>
        </w:rPr>
        <w:t>срок не успели и для первого опытного образца К-7 купили английскую резину « Пальмер» диаметром 2 м. Сами колеса с тормозами приобрели в Америке у фирмы «Гудьир» (24977).</w:t>
      </w:r>
    </w:p>
    <w:p w14:paraId="2A98DD92" w14:textId="77777777" w:rsidR="00F7274F" w:rsidRPr="00142305" w:rsidRDefault="00F7274F" w:rsidP="00F7274F">
      <w:pPr>
        <w:spacing w:after="0" w:line="240" w:lineRule="auto"/>
        <w:jc w:val="both"/>
        <w:rPr>
          <w:rFonts w:ascii="Times New Roman" w:hAnsi="Times New Roman"/>
          <w:color w:val="0070C0"/>
          <w:sz w:val="16"/>
          <w:szCs w:val="16"/>
        </w:rPr>
      </w:pPr>
    </w:p>
    <w:p w14:paraId="5BACF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зам. начальника 2-го отдела Балыков писал письмо начальнику ВМС в сопровождении Сводки результатов гос. испытаний Р-5а-М17. произведенных в г. Севастополе с 27.01.32 по 17.04.32</w:t>
      </w:r>
    </w:p>
    <w:p w14:paraId="162057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71C345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Целесообразно представить на вооружение ВВС как самолет, могущий заменить МБР требуемый современной системой вооружения - особенно же на театрах, где необходим легкий переход на колеса и лыжи. Данные сухопутного Р-5-М17 понизились незначительно.</w:t>
      </w:r>
    </w:p>
    <w:p w14:paraId="6B4B2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Произведенные испытания достаточны для принятия решения о пуске в серию.</w:t>
      </w:r>
    </w:p>
    <w:p w14:paraId="3E6A3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Доиспытания произвести на головном серийном самолете. (3064,176-185).</w:t>
      </w:r>
    </w:p>
    <w:p w14:paraId="0BE63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3779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при испытаниях Р-5 погиб М.Волковойнов (172,38).</w:t>
      </w:r>
    </w:p>
    <w:p w14:paraId="5D4592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1EF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началось проектирования АНТ-29 (ДИП) - развитие Ми-3И (4,10).</w:t>
      </w:r>
    </w:p>
    <w:p w14:paraId="2B6CC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A36109" w14:textId="77777777" w:rsidR="00FF6F88" w:rsidRPr="00E93F40" w:rsidRDefault="00FF6F88"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В сентябре 1932 группа легкой авиации, возглавляемая А.С. Яковлевым, получила собственное помещение в филиале завода № 39 в Авиационном переулке (19099).</w:t>
      </w:r>
    </w:p>
    <w:p w14:paraId="21CE59A2" w14:textId="77777777" w:rsidR="00FF6F88" w:rsidRPr="00E93F40" w:rsidRDefault="00FF6F88" w:rsidP="00E93F40">
      <w:pPr>
        <w:pStyle w:val="a8"/>
        <w:jc w:val="both"/>
        <w:rPr>
          <w:rFonts w:ascii="Times New Roman" w:hAnsi="Times New Roman" w:cs="Times New Roman"/>
          <w:color w:val="000000" w:themeColor="text1"/>
        </w:rPr>
      </w:pPr>
    </w:p>
    <w:p w14:paraId="04515AA5" w14:textId="77777777" w:rsidR="00FF6F88" w:rsidRPr="00E93F40" w:rsidRDefault="00FF6F88"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В сентябре 1932 г. АИР-6 выставили на официальные испытания по программе, утвержденной Сектором авиапромышленности и опытного строительства Осоавиахима. Их вели на Летно-испытательной станции завода № 39 на Центральном аэродроме. Начали с того, что группа специалистов тщательно осмотрела машину. Собственно АИР-6 впервые подвергли настоящему техническому контролю. Результат оказался неутешительным - записали 92 пункта разных дефектов. В список вошли и требования просто убрать грязь, песок и ржавчину, и незаконтренные тандеры и гайки, и люфты в управлении. Выяснилось, что ориентация костыля и руля направления немного не совпадает, а правая половина стабилизатора расположена выше левой. Маслобак потребовали покрасить, помятые и погнутые детали - заменить.</w:t>
      </w:r>
    </w:p>
    <w:p w14:paraId="400F27A9" w14:textId="77777777" w:rsidR="00FF6F88" w:rsidRPr="00E93F40" w:rsidRDefault="00FF6F88"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Но нашлись и более серьезные недостатки. Тросы управления в некоторых местах терлись об элементы конструкции. Руль высоты в крайнем верхнем поло жении упирался в киль. При предельном выставлении стабилизатора вверх он заклинивал трубу управления рулем высоты. При нажатии летчиком педали «до отказа» она упиралась в противопожарную перегородку. Из-за того, что управление немного сместили влево от оси самолета, левая нога пилота мешала крутить штурвал управления стабилизатором. Крепление кресла летчика сочли недостаточно жестким. Наиболее существенные дефекты потребовали устранить до начала полетов.</w:t>
      </w:r>
    </w:p>
    <w:p w14:paraId="20714F52" w14:textId="77777777" w:rsidR="00FF6F88" w:rsidRPr="00E93F40" w:rsidRDefault="00FF6F88"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Перед началом испытаний самолет также взвесили. Вес пустого оказался 582,6 кг нормальный взлетный - 843 кг. Максимально разрешался вес 965 кг-со вторым пассажиром, грузом или дополнительным бензобаком.</w:t>
      </w:r>
    </w:p>
    <w:p w14:paraId="35FCB6DC" w14:textId="77777777" w:rsidR="00FF6F88" w:rsidRPr="00E93F40" w:rsidRDefault="00FF6F88"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Специалисты завода проверили представленные Яковлевым расчеты машины на прочность. Нашли только одну существенную погрешность - запас прочности крыла оказался значительно завышен вследствие математических ошибок при расчете заднего лонжерона. Позже при статических испытаниях крыло выдержало десятикратную перегрузку (примерно, как у истребителя) при нормативе 4,0. Но безопасности полетов слишком прочное крыло никак не мешало (19099).</w:t>
      </w:r>
    </w:p>
    <w:p w14:paraId="3AFFE6FF" w14:textId="77777777" w:rsidR="00FF6F88" w:rsidRPr="00E93F40" w:rsidRDefault="00FF6F88" w:rsidP="00E93F40">
      <w:pPr>
        <w:pStyle w:val="a8"/>
        <w:jc w:val="both"/>
        <w:rPr>
          <w:rFonts w:ascii="Times New Roman" w:hAnsi="Times New Roman" w:cs="Times New Roman"/>
          <w:color w:val="000000" w:themeColor="text1"/>
        </w:rPr>
      </w:pPr>
    </w:p>
    <w:p w14:paraId="064D8C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Ю.И.Пионтковский выполнил несколько демонстрационных полетов на АИР-6 с журналистами. Репортажи очень помогли А.С.Я., т.к. статьи о нем появились в Правде, Известиях, КЗ, и ВМ (3550,8).</w:t>
      </w:r>
    </w:p>
    <w:p w14:paraId="68195E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559AB0" w14:textId="77777777" w:rsidR="005E2829" w:rsidRPr="00E93F40" w:rsidRDefault="005E28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1932-го года Ю.И.Пионтковский выполнил несколько демонстрационных полетов АИР-6 с журналистами. Репортажи об этом опубликовали "Правда", "Известия", "Красная звезда" и "Вечерняя Москва". По их свидетельству, кабина самолета, рассчитанная на двоих, свободно вместила трех человек. У кабины удлиненная форма. Отделка действительно напоминала лимузин. АИР-6 на пятой секунде оказался в воздухе. Под ногами бешено стремились назад перекошенные элементы московского пейзажа. На высоте 450 м, когда бывшее мчание кажется вдруг полнейшим прозябанием на месте, увидели медленно вращавшиеся под ногами московские улицы. Через минуту летели над домами, ипподромом, стадионом. Пионтковский обернулся назад и рукой указал вниз - туда, где серо-бетонные трибуны стадиона "Динамо" чернели многотысячной толпой: разыгрывался футбольный матч между командой Москвы и сборной СССР. «Пилот бросил управление и, жестикулируя обеими руками, обсуждал возможный результат матча, - писала «Правда». Он снял руки с управления, как пижон на велосипеде, но с большим хладнокровием и небрежностью. Сказать по правде, мы не были восхищены этим трюком. Скорее наоборот, у нас выступил холодный пот. Казалось, мы находимся на волоске от катастрофы. Но Пионтковский совершенно спокойно беседовал с нами о превосходных качествах стрекозы, на которой мы летели. И действительно: самолет без вмешательства летчика шел совершенно свободно сам по себе, без малейшего колебания...</w:t>
      </w:r>
    </w:p>
    <w:p w14:paraId="5F1C13B9" w14:textId="77777777" w:rsidR="005E2829" w:rsidRPr="00E93F40" w:rsidRDefault="005E28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целиком, начиная с мотора и кончая самой мельчайшей деталью, построен из советских самых ходовых материалов и на советских заводах. Никакой нержавеющей стали, вольфрама, молибдена. Эта машина - курьер, машина - ординарец, машина-кавалерист. Она не требует за собой тщательного ухода, может спать не в ангаре, а просто во дворе под брезентом, не нуждается в аэродромах, летит с любого места, на пятой - шестой секунде уже ревет в воздухе и необычайно проста в управлении». И в заключение оценка "Правды": "Наилучший аппарат из превосходной стаи самолетов, предназначенных для спортивных и служебных целей (исполкомовской авиации)... Яковлеву удалось в простой конструкции сочетать прекрасные летные качества машины с большой дешевизной в производстве и эксплуатации". Осенью 1932-го АИР-6 прошел официальные заводские испытания на летно-испытательной станции завода №39. Здесь уже не журналистские восторги, а тщательная проверка самолета. Списки дефектов, производственных и конструктивных, насчитывали 92 пункта - многовато для легкого самолета. Расчеты на прочность проверял известный расчетчик В.Д.Яровицкий. Отметив, что нормы прочности применены правильно, он однако указал, что из-за ряда существенных арифметических ошибок в расчете заднего лонжерона действительный запас прочности оказался много больше требуемого. Это подтвердилось при статических испытаниях крыла на случай В, когда оно выдержало 10-кратную перегрузку вместо 4-кратной, т.е. было перетяжелено. После устранения дефектов, самолет допустили к полетам по программе, утвержденной Осоавиахимом.</w:t>
      </w:r>
    </w:p>
    <w:p w14:paraId="532D8C7A" w14:textId="77777777" w:rsidR="005E2829" w:rsidRPr="00E93F40" w:rsidRDefault="005E28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мерной двухкилометровой базе в Химках была получена скорость 165,6 км/ ч у земли. На высоте 550 м - 170 км/ч при 1680 об/мин мотора. Максимальные 1750 об/мин (по описанию М-11) достигнуть не удалось, а действительная скорость могла быть выше (сообщалось о 175 км/ч). Для определения расхода топлива, дважды летали по маршруту Москва - Подольск - Москва протяженностью 83,5 км. При этом крейсерская скорость составила 155 км/ч и расход топлива - 250 г/л.с.ч. Испытание на потолок прекратили на высоте 4490 м из-за неблагоприятных атмосферных условий. Последний полет состоялся в конце ноября. Старший летчик Ю.И.Пионтковский отмечал, что АИР-6 в воздухе легко управляем, очень устойчив, допускает полет с брошенным управлением и в болтанку принимает нормальное положение. Очень нетребователен в отношении взлета и посадки. Обзор для закрытого самолета вполне удовлетворительный. Для спортивного тренировочного самолета большим преимуществом является закрытая кабина, особенно в плохую погоду. Размещение приборов удобное, но доска помещена несколько высоко. Особую ценность представляет подвижный стабилизатор, дающий возможность изменять режим полета и загрузку кабины без ущерба для устойчивости. В отчете об испытаниях отмечено, что самолет в основном соответствует техническому заданию, нетребователен в эксплуатации и удобен для транспортировки. По летным данным удовлетворяет требованиям с превышением в части максимальной скорости и потолка. Длина разбега и пробега хуже заданных, но требование о размерах площадки выполнено.</w:t>
      </w:r>
    </w:p>
    <w:p w14:paraId="15731038" w14:textId="77777777" w:rsidR="005E2829" w:rsidRPr="00E93F40" w:rsidRDefault="005E282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Сравнение с зарубежными самолетами-лимузинами с двигателями мощностью 100 л.с. показывает, что АИР-6 по своим характеристикам стоит на уровне современных европейских самолетов. В целом АИР-6 удовлетворительно решает задачу создания самолета массового применения (15727).</w:t>
      </w:r>
    </w:p>
    <w:p w14:paraId="7A41FD65" w14:textId="77777777" w:rsidR="005E2829" w:rsidRPr="00E93F40" w:rsidRDefault="005E2829" w:rsidP="00E93F40">
      <w:pPr>
        <w:spacing w:after="0" w:line="240" w:lineRule="auto"/>
        <w:jc w:val="both"/>
        <w:rPr>
          <w:rFonts w:ascii="Times New Roman" w:hAnsi="Times New Roman"/>
          <w:color w:val="000000" w:themeColor="text1"/>
          <w:sz w:val="16"/>
          <w:szCs w:val="16"/>
        </w:rPr>
      </w:pPr>
    </w:p>
    <w:p w14:paraId="7E6E0A4B" w14:textId="77777777" w:rsidR="00F7274F" w:rsidRPr="00142305" w:rsidRDefault="00F7274F" w:rsidP="00F727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1932 г. АИР-6 вы</w:t>
      </w:r>
      <w:r w:rsidRPr="00142305">
        <w:rPr>
          <w:rFonts w:ascii="Times New Roman" w:hAnsi="Times New Roman"/>
          <w:color w:val="0070C0"/>
          <w:sz w:val="16"/>
          <w:szCs w:val="16"/>
        </w:rPr>
        <w:softHyphen/>
        <w:t>ставили на официальные испытания по программе, утвержденной Сектором авиапромышленности и опытного стро</w:t>
      </w:r>
      <w:r w:rsidRPr="00142305">
        <w:rPr>
          <w:rFonts w:ascii="Times New Roman" w:hAnsi="Times New Roman"/>
          <w:color w:val="0070C0"/>
          <w:sz w:val="16"/>
          <w:szCs w:val="16"/>
        </w:rPr>
        <w:softHyphen/>
        <w:t>ительства Осоавиахима. Их вели на Лет</w:t>
      </w:r>
      <w:r w:rsidRPr="00142305">
        <w:rPr>
          <w:rFonts w:ascii="Times New Roman" w:hAnsi="Times New Roman"/>
          <w:color w:val="0070C0"/>
          <w:sz w:val="16"/>
          <w:szCs w:val="16"/>
        </w:rPr>
        <w:softHyphen/>
        <w:t>но-испытательной станции завода № 39 на Центральном аэродроме. Начали с того, что группа специалистов тщательно осмотрела машину. Собственно АИР-6 впервые подвергли настоящему техни</w:t>
      </w:r>
      <w:r w:rsidRPr="00142305">
        <w:rPr>
          <w:rFonts w:ascii="Times New Roman" w:hAnsi="Times New Roman"/>
          <w:color w:val="0070C0"/>
          <w:sz w:val="16"/>
          <w:szCs w:val="16"/>
        </w:rPr>
        <w:softHyphen/>
        <w:t>ческому контролю. Результат оказался неутешительным - записали 92 пункта разных дефектов. В список вошли и тре</w:t>
      </w:r>
      <w:r w:rsidRPr="00142305">
        <w:rPr>
          <w:rFonts w:ascii="Times New Roman" w:hAnsi="Times New Roman"/>
          <w:color w:val="0070C0"/>
          <w:sz w:val="16"/>
          <w:szCs w:val="16"/>
        </w:rPr>
        <w:softHyphen/>
        <w:t>бования просто убрать грязь, песок и ржавчину, и незаконтренные тандеры и гайки, и люфты в управлении. Выясни</w:t>
      </w:r>
      <w:r w:rsidRPr="00142305">
        <w:rPr>
          <w:rFonts w:ascii="Times New Roman" w:hAnsi="Times New Roman"/>
          <w:color w:val="0070C0"/>
          <w:sz w:val="16"/>
          <w:szCs w:val="16"/>
        </w:rPr>
        <w:softHyphen/>
        <w:t>лось, что ориентация костыля и руля направления немного не совпадает, а правая половина стабилизатора распо</w:t>
      </w:r>
      <w:r w:rsidRPr="00142305">
        <w:rPr>
          <w:rFonts w:ascii="Times New Roman" w:hAnsi="Times New Roman"/>
          <w:color w:val="0070C0"/>
          <w:sz w:val="16"/>
          <w:szCs w:val="16"/>
        </w:rPr>
        <w:softHyphen/>
        <w:t>ложена выше левой. Маслобак потре</w:t>
      </w:r>
      <w:r w:rsidRPr="00142305">
        <w:rPr>
          <w:rFonts w:ascii="Times New Roman" w:hAnsi="Times New Roman"/>
          <w:color w:val="0070C0"/>
          <w:sz w:val="16"/>
          <w:szCs w:val="16"/>
        </w:rPr>
        <w:softHyphen/>
        <w:t>бовали покрасить, помятые и погнутые детали - заменить.</w:t>
      </w:r>
    </w:p>
    <w:p w14:paraId="5E8DE5E4" w14:textId="77777777" w:rsidR="00F7274F" w:rsidRPr="00142305" w:rsidRDefault="00F7274F" w:rsidP="00F727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нашлись и более серьезные недо</w:t>
      </w:r>
      <w:r w:rsidRPr="00142305">
        <w:rPr>
          <w:rFonts w:ascii="Times New Roman" w:hAnsi="Times New Roman"/>
          <w:color w:val="0070C0"/>
          <w:sz w:val="16"/>
          <w:szCs w:val="16"/>
        </w:rPr>
        <w:softHyphen/>
        <w:t>статки. Тросы управления в некоторых местах терлись об элементы конструкции. Руль высоты в крайнем верхнем поло</w:t>
      </w:r>
      <w:r w:rsidRPr="00142305">
        <w:rPr>
          <w:rFonts w:ascii="Times New Roman" w:hAnsi="Times New Roman"/>
          <w:color w:val="0070C0"/>
          <w:sz w:val="16"/>
          <w:szCs w:val="16"/>
        </w:rPr>
        <w:softHyphen/>
        <w:t>жении упирался в киль. При предель</w:t>
      </w:r>
      <w:r w:rsidRPr="00142305">
        <w:rPr>
          <w:rFonts w:ascii="Times New Roman" w:hAnsi="Times New Roman"/>
          <w:color w:val="0070C0"/>
          <w:sz w:val="16"/>
          <w:szCs w:val="16"/>
        </w:rPr>
        <w:softHyphen/>
        <w:t>ном выставлении стабилизатора вверх он заклинивал трубу управления рулем высоты. При нажатии летчиком педали. «до отказа» она упиралась в противо</w:t>
      </w:r>
      <w:r w:rsidRPr="00142305">
        <w:rPr>
          <w:rFonts w:ascii="Times New Roman" w:hAnsi="Times New Roman"/>
          <w:color w:val="0070C0"/>
          <w:sz w:val="16"/>
          <w:szCs w:val="16"/>
        </w:rPr>
        <w:softHyphen/>
        <w:t>пожарную перегородку. Из-за того, что управление немного сместили влево от оси самолета, левая нога пилота мешала крутить штурвал управления стабилиза</w:t>
      </w:r>
      <w:r w:rsidRPr="00142305">
        <w:rPr>
          <w:rFonts w:ascii="Times New Roman" w:hAnsi="Times New Roman"/>
          <w:color w:val="0070C0"/>
          <w:sz w:val="16"/>
          <w:szCs w:val="16"/>
        </w:rPr>
        <w:softHyphen/>
        <w:t>тором. Крепление кресла летчика сочли недостаточно жестким. Наиболее сущест</w:t>
      </w:r>
      <w:r w:rsidRPr="00142305">
        <w:rPr>
          <w:rFonts w:ascii="Times New Roman" w:hAnsi="Times New Roman"/>
          <w:color w:val="0070C0"/>
          <w:sz w:val="16"/>
          <w:szCs w:val="16"/>
        </w:rPr>
        <w:softHyphen/>
        <w:t>венные дефекты потребовали устранить до начала полетов.</w:t>
      </w:r>
    </w:p>
    <w:p w14:paraId="04B94568" w14:textId="77777777" w:rsidR="00F7274F" w:rsidRPr="00142305" w:rsidRDefault="00F7274F" w:rsidP="00F727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Перед началом испытаний самолет также взвесили. Вес пустого оказался 582,6 кг нормальный взлетный - 843 кг. Максимально разрешался вес 965 кг-со вторым пассажиром, грузом или дополни</w:t>
      </w:r>
      <w:r w:rsidRPr="00142305">
        <w:rPr>
          <w:rFonts w:ascii="Times New Roman" w:hAnsi="Times New Roman"/>
          <w:color w:val="0070C0"/>
          <w:sz w:val="16"/>
          <w:szCs w:val="16"/>
        </w:rPr>
        <w:softHyphen/>
        <w:t>тельным бензобаком.</w:t>
      </w:r>
    </w:p>
    <w:p w14:paraId="52A857A2" w14:textId="77777777" w:rsidR="00F7274F" w:rsidRPr="00142305" w:rsidRDefault="00F7274F" w:rsidP="00F727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Специалисты завода проверили пред</w:t>
      </w:r>
      <w:r w:rsidRPr="00142305">
        <w:rPr>
          <w:rFonts w:ascii="Times New Roman" w:hAnsi="Times New Roman"/>
          <w:color w:val="0070C0"/>
          <w:sz w:val="16"/>
          <w:szCs w:val="16"/>
        </w:rPr>
        <w:softHyphen/>
        <w:t>ставленные Яковлевым расчеты машины на прочность. Нашли только одну сущест венную погрешность - запас прочности крыла оказался значительно завышен вследствие математических ошибок при расчете заднего лонжерона. Позже при статических испытаниях крыло выдержа</w:t>
      </w:r>
      <w:r w:rsidRPr="00142305">
        <w:rPr>
          <w:rFonts w:ascii="Times New Roman" w:hAnsi="Times New Roman"/>
          <w:color w:val="0070C0"/>
          <w:sz w:val="16"/>
          <w:szCs w:val="16"/>
        </w:rPr>
        <w:softHyphen/>
        <w:t>ло десятикратную перегрузку (примерно, каку истребителя) при нормативе 4,0. Но безопасности полетов слишком прочное крыло никак не мешало (24945).</w:t>
      </w:r>
    </w:p>
    <w:p w14:paraId="1F36CC2D" w14:textId="77777777" w:rsidR="00F7274F" w:rsidRPr="00142305" w:rsidRDefault="00F7274F" w:rsidP="00F7274F">
      <w:pPr>
        <w:spacing w:after="0" w:line="240" w:lineRule="auto"/>
        <w:jc w:val="both"/>
        <w:rPr>
          <w:rFonts w:ascii="Times New Roman" w:hAnsi="Times New Roman"/>
          <w:color w:val="0070C0"/>
          <w:sz w:val="16"/>
          <w:szCs w:val="16"/>
        </w:rPr>
      </w:pPr>
    </w:p>
    <w:p w14:paraId="042989B0" w14:textId="77777777" w:rsidR="00F7274F" w:rsidRPr="00142305" w:rsidRDefault="00F7274F" w:rsidP="00F727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1932 г. группа легкой ави</w:t>
      </w:r>
      <w:r w:rsidRPr="00142305">
        <w:rPr>
          <w:rFonts w:ascii="Times New Roman" w:hAnsi="Times New Roman"/>
          <w:color w:val="0070C0"/>
          <w:sz w:val="16"/>
          <w:szCs w:val="16"/>
        </w:rPr>
        <w:softHyphen/>
        <w:t>ации, возглавляемая А.С. Яковлевым, получила собственное помещение в филиале завода № 39 в Авиационном переулке (24945).</w:t>
      </w:r>
    </w:p>
    <w:p w14:paraId="4893DD49" w14:textId="77777777" w:rsidR="00F7274F" w:rsidRPr="00142305" w:rsidRDefault="00F7274F" w:rsidP="00F7274F">
      <w:pPr>
        <w:spacing w:after="0" w:line="240" w:lineRule="auto"/>
        <w:jc w:val="both"/>
        <w:rPr>
          <w:rFonts w:ascii="Times New Roman" w:hAnsi="Times New Roman"/>
          <w:color w:val="0070C0"/>
          <w:sz w:val="16"/>
          <w:szCs w:val="16"/>
        </w:rPr>
      </w:pPr>
    </w:p>
    <w:p w14:paraId="50A30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была опубликована фотография модели самолета "Высокий путь" (см.: 10 июня 1932 г.) (обложка журн. "Самолет". 1932. № 8/9) (10676).</w:t>
      </w:r>
    </w:p>
    <w:p w14:paraId="1A9EB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88CCD7" w14:textId="77777777" w:rsidR="00D04D54" w:rsidRPr="00E93F40" w:rsidRDefault="00D04D54" w:rsidP="00E93F40">
      <w:pPr>
        <w:pStyle w:val="a3"/>
        <w:rPr>
          <w:color w:val="000000" w:themeColor="text1"/>
          <w:lang w:val="ru-RU"/>
        </w:rPr>
      </w:pPr>
      <w:r w:rsidRPr="00E93F40">
        <w:rPr>
          <w:color w:val="000000" w:themeColor="text1"/>
          <w:lang w:val="ru-RU"/>
        </w:rPr>
        <w:t>В сентябре 1932 г. Вахмистров предложил поставить дополнительную стойку с амортизатором, упиравшуюся в нижнюю поверхность крыла. Эта стойка предполагалась съемной (17741).</w:t>
      </w:r>
    </w:p>
    <w:p w14:paraId="59272D32" w14:textId="77777777" w:rsidR="00D04D54" w:rsidRPr="00E93F40" w:rsidRDefault="00D04D54" w:rsidP="00E93F40">
      <w:pPr>
        <w:spacing w:after="0" w:line="240" w:lineRule="auto"/>
        <w:jc w:val="both"/>
        <w:rPr>
          <w:rFonts w:ascii="Times New Roman" w:eastAsia="Times New Roman" w:hAnsi="Times New Roman"/>
          <w:color w:val="000000" w:themeColor="text1"/>
          <w:sz w:val="16"/>
          <w:szCs w:val="16"/>
          <w:lang w:eastAsia="ru-RU"/>
        </w:rPr>
      </w:pPr>
    </w:p>
    <w:p w14:paraId="4EFDAFE1" w14:textId="77777777" w:rsidR="00C32CA8" w:rsidRPr="00E93F40" w:rsidRDefault="00C32CA8"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летчик Д.Кошиц на Г-8 отправился в большой агитационный перелет протяженностью около 5200 км по маршруту Москва -Горький - Казань - Сталинград - Ростов-на-Дону - Коктебель - Симферополь - Запорожье - Киев - Харьков - Орел - Москва. Была пройдена значительная часть пути, составившая 4500 км. Под Харьковом, по причине ошибочного переключения топливных баков, Кошиц совершил вынужденную посадку, в результате которой самолет оказался полностью разбит и более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DA227A" w:rsidRPr="00E93F40" w14:paraId="51C4C5BA"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55126F9"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510F4D" w14:textId="098C22C0"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Г-8</w:t>
            </w:r>
          </w:p>
        </w:tc>
      </w:tr>
      <w:tr w:rsidR="00DA227A" w:rsidRPr="00E93F40" w14:paraId="14507F6F"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4E258B9"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A72771D" w14:textId="71320147"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8.00</w:t>
            </w:r>
          </w:p>
        </w:tc>
      </w:tr>
      <w:tr w:rsidR="00DA227A" w:rsidRPr="00E93F40" w14:paraId="5229DF7E"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F358E60"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4A3FCE5" w14:textId="7C54A6E7"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5.00</w:t>
            </w:r>
          </w:p>
        </w:tc>
      </w:tr>
      <w:tr w:rsidR="00DA227A" w:rsidRPr="00E93F40" w14:paraId="26D3A625"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6FB9D2"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83866FB" w14:textId="38FB3B9D" w:rsidR="00C32CA8"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6436683B"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0998FC4"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крыла,м</w:t>
            </w:r>
            <w:r w:rsidRPr="00E93F40">
              <w:rPr>
                <w:rFonts w:ascii="Times New Roman" w:hAnsi="Times New Roman"/>
                <w:color w:val="000000" w:themeColor="text1"/>
                <w:sz w:val="16"/>
                <w:szCs w:val="16"/>
                <w:shd w:val="clear" w:color="auto" w:fill="F7FBFF"/>
              </w:rPr>
              <w:t>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E2D2021" w14:textId="0115F2C6"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9.00</w:t>
            </w:r>
          </w:p>
        </w:tc>
      </w:tr>
      <w:tr w:rsidR="00DA227A" w:rsidRPr="00E93F40" w14:paraId="00E7ED03"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6497BE6"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C22DF94" w14:textId="4CE2C61C" w:rsidR="00C32CA8"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0DFFD401"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C7C4110" w14:textId="5D9A224F"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D8ECC4" w14:textId="46E1C494"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320</w:t>
            </w:r>
          </w:p>
        </w:tc>
      </w:tr>
      <w:tr w:rsidR="00DA227A" w:rsidRPr="00E93F40" w14:paraId="61387365"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A74D1B4" w14:textId="39350E1F"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E9DA7BA" w14:textId="109D1F9F"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483</w:t>
            </w:r>
          </w:p>
        </w:tc>
      </w:tr>
      <w:tr w:rsidR="00DA227A" w:rsidRPr="00E93F40" w14:paraId="0CE2E235"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AFC7F3"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96A272" w14:textId="10E7495A"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1 ПД Walter</w:t>
            </w:r>
          </w:p>
        </w:tc>
      </w:tr>
      <w:tr w:rsidR="00DA227A" w:rsidRPr="00E93F40" w14:paraId="7AAD458A"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0CC937"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0904B80" w14:textId="53FAAD3E"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1 х 60</w:t>
            </w:r>
          </w:p>
        </w:tc>
      </w:tr>
      <w:tr w:rsidR="00DA227A" w:rsidRPr="00E93F40" w14:paraId="2CDED32D"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451A961"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DBDDF5" w14:textId="50D1E167"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150</w:t>
            </w:r>
          </w:p>
        </w:tc>
      </w:tr>
      <w:tr w:rsidR="00DA227A" w:rsidRPr="00E93F40" w14:paraId="58385AC6"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5830A6"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14F3F34" w14:textId="70CBC49C"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125</w:t>
            </w:r>
          </w:p>
        </w:tc>
      </w:tr>
      <w:tr w:rsidR="00DA227A" w:rsidRPr="00E93F40" w14:paraId="234ECCCF"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4FF3035"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CE90AC4" w14:textId="14C71BA2"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4</w:t>
            </w:r>
          </w:p>
        </w:tc>
      </w:tr>
      <w:tr w:rsidR="00DA227A" w:rsidRPr="00E93F40" w14:paraId="3D45944A"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13DF3E"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268104A" w14:textId="67A85B8A"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143</w:t>
            </w:r>
          </w:p>
        </w:tc>
      </w:tr>
      <w:tr w:rsidR="00DA227A" w:rsidRPr="00E93F40" w14:paraId="67CFBEF9"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156B792"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6CD29F6" w14:textId="090703BD"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3000</w:t>
            </w:r>
          </w:p>
        </w:tc>
      </w:tr>
      <w:tr w:rsidR="00DA227A" w:rsidRPr="00E93F40" w14:paraId="45450EB8"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DE32EC"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25440C2" w14:textId="0F900529" w:rsidR="00C32CA8"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32CA8" w:rsidRPr="00E93F40">
              <w:rPr>
                <w:rFonts w:ascii="Times New Roman" w:hAnsi="Times New Roman"/>
                <w:color w:val="000000" w:themeColor="text1"/>
                <w:sz w:val="16"/>
                <w:szCs w:val="16"/>
              </w:rPr>
              <w:t>1</w:t>
            </w:r>
          </w:p>
        </w:tc>
      </w:tr>
    </w:tbl>
    <w:p w14:paraId="0552842F" w14:textId="77777777" w:rsidR="00C32CA8" w:rsidRPr="00E93F40" w:rsidRDefault="00C32CA8" w:rsidP="00E93F4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(12682).</w:t>
      </w:r>
    </w:p>
    <w:p w14:paraId="49A5C2A9" w14:textId="77777777" w:rsidR="00C32CA8" w:rsidRPr="00E93F40" w:rsidRDefault="00C32CA8" w:rsidP="00E93F4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7729A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начались полеты второго планера Б.И.Ч. РП-1 N 2 - БИЧ-11, также построенного для ГИРД и испытания обеих машин продолжались весь 1933. Всего С.П.К. выполнил 34 полета, в т.ч. 5 с включением двигателя. ЖРД так и не появился (2544,61).</w:t>
      </w:r>
    </w:p>
    <w:p w14:paraId="1315C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363BF3" w14:textId="5ACE34D1" w:rsidR="00D04D54" w:rsidRPr="00E93F40" w:rsidRDefault="00D04D54"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сентябре 1932 состоялся первый вылет на БИЧ-7А. 19 октября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начались официальные испытания. Пилотировал самолёт И.И. Благин, вместо пассажира на заднее сидение клали груз весом 80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Полёт продолжался 25 минут. Пилотажные характеристики, по сравнению с БИЧ 7, были заметно лучше. После ряда регулировок самолёт стал устойчив в горизонтальном полете, нормально управлялся, мог делать виражи с креном до 60°. Максимальная скорость и скороподъёмность оказались больше, чем у учебного У-2 с таким же по мощности двигателем. Несколько разочаровала весовая отдача машины в 30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от «бесхвостки» ожидали большего: 40–45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 </w:t>
      </w:r>
      <w:hyperlink r:id="rId230" w:history="1">
        <w:r w:rsidRPr="00E93F40">
          <w:rPr>
            <w:rFonts w:ascii="Times New Roman" w:eastAsia="Times New Roman" w:hAnsi="Times New Roman"/>
            <w:color w:val="000000" w:themeColor="text1"/>
            <w:sz w:val="16"/>
            <w:szCs w:val="16"/>
            <w:lang w:eastAsia="ru-RU"/>
          </w:rPr>
          <w:t>[48]</w:t>
        </w:r>
      </w:hyperlink>
      <w:r w:rsidRPr="00E93F40">
        <w:rPr>
          <w:rFonts w:ascii="Times New Roman" w:eastAsia="Times New Roman" w:hAnsi="Times New Roman"/>
          <w:color w:val="000000" w:themeColor="text1"/>
          <w:sz w:val="16"/>
          <w:szCs w:val="16"/>
          <w:lang w:eastAsia="ru-RU"/>
        </w:rPr>
        <w:t xml:space="preserve"> .</w:t>
      </w:r>
    </w:p>
    <w:p w14:paraId="4CA6AF25" w14:textId="77777777" w:rsidR="00D04D54" w:rsidRPr="00E93F40" w:rsidRDefault="00D04D54"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Выполнению полного цикла испытаний помешал плохой двигатель. Трёхцилиндровый «Люцифер» на больших оборотах так сильно вибрировал, что в конструкции моторамы появились трещины и полёты прекратили (17489).</w:t>
      </w:r>
    </w:p>
    <w:p w14:paraId="3199FE6D" w14:textId="77777777" w:rsidR="00D04D54" w:rsidRPr="00E93F40" w:rsidRDefault="00D04D54" w:rsidP="00E93F40">
      <w:pPr>
        <w:spacing w:after="0" w:line="240" w:lineRule="auto"/>
        <w:jc w:val="both"/>
        <w:rPr>
          <w:rFonts w:ascii="Times New Roman" w:eastAsia="Times New Roman" w:hAnsi="Times New Roman"/>
          <w:color w:val="000000" w:themeColor="text1"/>
          <w:sz w:val="16"/>
          <w:szCs w:val="16"/>
          <w:lang w:eastAsia="ru-RU"/>
        </w:rPr>
      </w:pPr>
    </w:p>
    <w:p w14:paraId="7BC26938" w14:textId="30EF05BA" w:rsidR="00D04D54" w:rsidRPr="00E93F40" w:rsidRDefault="00D04D54"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сентябре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начались полёты РП-1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2. Он лишь в мелочах отличался от первого БИЧ-11 (РП-1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 двигатель на него не устанавливали. Испытания продолжались и в 1933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Всего Королёв выполнил на двух РП-1 34 полёта, из них 5 — с включением поршневого двигателя (17489).</w:t>
      </w:r>
    </w:p>
    <w:p w14:paraId="6C4B9070" w14:textId="77777777" w:rsidR="00D04D54" w:rsidRPr="00E93F40" w:rsidRDefault="00D04D54" w:rsidP="00E93F40">
      <w:pPr>
        <w:spacing w:after="0" w:line="240" w:lineRule="auto"/>
        <w:jc w:val="both"/>
        <w:rPr>
          <w:rFonts w:ascii="Times New Roman" w:eastAsia="Times New Roman" w:hAnsi="Times New Roman"/>
          <w:color w:val="000000" w:themeColor="text1"/>
          <w:sz w:val="16"/>
          <w:szCs w:val="16"/>
          <w:lang w:eastAsia="ru-RU"/>
        </w:rPr>
      </w:pPr>
    </w:p>
    <w:p w14:paraId="29F105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на КР-1 испытали отечественные винты, которые оказались прочнее и дали прирост скорости до 186 км/ч по сравнению с 173, но скороподъемность ухудшилась (1083,8).</w:t>
      </w:r>
    </w:p>
    <w:p w14:paraId="1E74D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366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окончилась постройка автожира ЭА-4 с М-26, которая велась с мая 1931 (1017,277).</w:t>
      </w:r>
    </w:p>
    <w:p w14:paraId="59370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03D6E5" w14:textId="77777777" w:rsidR="00182FDA" w:rsidRPr="00E93F40" w:rsidRDefault="00182FD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w:t>
      </w:r>
      <w:r w:rsidRPr="00E93F40">
        <w:rPr>
          <w:rFonts w:ascii="Times New Roman" w:hAnsi="Times New Roman"/>
          <w:color w:val="000000" w:themeColor="text1"/>
          <w:sz w:val="16"/>
          <w:szCs w:val="16"/>
        </w:rPr>
        <w:softHyphen/>
        <w:t>тябре 1932 г. первый опытный ЦАГИ А-4, построенный на заводе опытных конструкций (ЗОК), приняли к испытаниям Лопасти ротора этого экземпляра полностью обшили фанерой, что стало причиной возникновения их за</w:t>
      </w:r>
      <w:r w:rsidRPr="00E93F40">
        <w:rPr>
          <w:rFonts w:ascii="Times New Roman" w:hAnsi="Times New Roman"/>
          <w:color w:val="000000" w:themeColor="text1"/>
          <w:sz w:val="16"/>
          <w:szCs w:val="16"/>
        </w:rPr>
        <w:softHyphen/>
        <w:t>метной тряски. 9 сентября 1932 г. при попытке первого взлета летчика Рыбко автожир потерпел аварию. Далее последовали долговременный ремонт и регулировки. Вторич</w:t>
      </w:r>
      <w:r w:rsidRPr="00E93F40">
        <w:rPr>
          <w:rFonts w:ascii="Times New Roman" w:hAnsi="Times New Roman"/>
          <w:color w:val="000000" w:themeColor="text1"/>
          <w:sz w:val="16"/>
          <w:szCs w:val="16"/>
        </w:rPr>
        <w:softHyphen/>
        <w:t>но первый опытный экземпляр приняли для проведения ис</w:t>
      </w:r>
      <w:r w:rsidRPr="00E93F40">
        <w:rPr>
          <w:rFonts w:ascii="Times New Roman" w:hAnsi="Times New Roman"/>
          <w:color w:val="000000" w:themeColor="text1"/>
          <w:sz w:val="16"/>
          <w:szCs w:val="16"/>
        </w:rPr>
        <w:softHyphen/>
        <w:t>пытаний 8 июня 1933 г. (20361).</w:t>
      </w:r>
    </w:p>
    <w:p w14:paraId="5057D6AC" w14:textId="77777777" w:rsidR="00182FDA" w:rsidRPr="00E93F40" w:rsidRDefault="00182FDA" w:rsidP="00E93F40">
      <w:pPr>
        <w:shd w:val="clear" w:color="auto" w:fill="FFFFFF"/>
        <w:spacing w:after="0" w:line="240" w:lineRule="auto"/>
        <w:jc w:val="both"/>
        <w:rPr>
          <w:rFonts w:ascii="Times New Roman" w:hAnsi="Times New Roman"/>
          <w:color w:val="000000" w:themeColor="text1"/>
          <w:sz w:val="16"/>
          <w:szCs w:val="16"/>
        </w:rPr>
      </w:pPr>
    </w:p>
    <w:p w14:paraId="30224E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л Д.Кошиц на Г-8 В.К.Грибовского совершил большой агитперелет протяженностью около 5200 км по маршруту Москва - Горький - Казань - Сталинград - Ростов-на-Дону - Коктебель - Симферополь - Запорожье - Киев - Харьков - Орел - Москва. Под Харьковом перелет прервался, т.к. Кошиц разбил машину на вынужденной из-за неправильного переключения бензобаков (9080).</w:t>
      </w:r>
    </w:p>
    <w:p w14:paraId="2F2D76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244A2C"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сентябре 1932 года соответствующие предварительные требования к летающему танку были сформулированы и начались активные работы по всем четырём направлениям.</w:t>
      </w:r>
    </w:p>
    <w:p w14:paraId="513E6462"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Создание танка-самолёта;</w:t>
      </w:r>
    </w:p>
    <w:p w14:paraId="619DDABE"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Создание буксируемого танка-планера;</w:t>
      </w:r>
    </w:p>
    <w:p w14:paraId="7FDD8E60"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Разработка возможности перевозки танка по воздуху на внешней подвеске самолёта;</w:t>
      </w:r>
    </w:p>
    <w:p w14:paraId="71ABF388"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Создание варианта плавающего танка, который можно будет десантировать непосредственно на воду.</w:t>
      </w:r>
    </w:p>
    <w:p w14:paraId="6CAA8F95"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Работы по созданию «самолетающего танка» параллельно начали две группы. Первую возглавлял Рафаэлянц Арам Назарович, вторую конструкторский дуэт – Самсонов и Добровольский.</w:t>
      </w:r>
    </w:p>
    <w:p w14:paraId="6653259D"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Работы Рафаэлянца строились на попытке практической реализации возможностей изготовления «самолетающего» танка по аналогии с танком Кристи. Поэтому в качестве экспериментальной машины был выбран танк БТ, являющийся, по сути, практически полной копией танка М.1932.</w:t>
      </w:r>
    </w:p>
    <w:p w14:paraId="1ED6D3D3"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Работы начались с создания модели и продувки её в аэродинамической трубе. Но изготовлена она была крайне условно. Так гусеницы были выполнены в виде сплошной резиновой ленты (гладкой), катки – с гладкой поверхностью и т.п. Поэтому в результате практически все полученные коэффициента аэродинамического сопротивления изделия изначально имели существенные ошибки в меньшую сторону.</w:t>
      </w:r>
    </w:p>
    <w:p w14:paraId="32890CAF"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результате конструкторы получили принципиально неверное заключение о том, что танк сможет полететь, используя для этого только мощность собственного двигателя. О чём и доложили 10.09.32 Ворошилову (письмо № 173943 сс).</w:t>
      </w:r>
    </w:p>
    <w:p w14:paraId="4EB876E8"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Нарком дал разрешение на проведение работ и обеспечение их всем необходимым, включая танки и танкистов.</w:t>
      </w:r>
    </w:p>
    <w:p w14:paraId="15B67A40"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 основании изучения эскизного проекта, подготовленного Рафаэлянцем, УММ частично изменила ТТТ к летающему танку. 11.10.32 с конструктором был заключён соответствующий договор на проведение работ (19529).</w:t>
      </w:r>
    </w:p>
    <w:p w14:paraId="147CA62B" w14:textId="77777777" w:rsidR="005E0940" w:rsidRPr="00E93F40" w:rsidRDefault="005E0940" w:rsidP="00E93F40">
      <w:pPr>
        <w:spacing w:after="0" w:line="240" w:lineRule="auto"/>
        <w:jc w:val="both"/>
        <w:rPr>
          <w:rFonts w:ascii="Times New Roman" w:eastAsia="Times New Roman" w:hAnsi="Times New Roman"/>
          <w:color w:val="000000" w:themeColor="text1"/>
          <w:sz w:val="16"/>
          <w:szCs w:val="16"/>
          <w:lang w:eastAsia="ru-RU"/>
        </w:rPr>
      </w:pPr>
    </w:p>
    <w:p w14:paraId="0CFF8CF3" w14:textId="77777777" w:rsidR="005E0940" w:rsidRPr="00E93F40" w:rsidRDefault="005E0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т.е. уже времени представления проекта Рафаэлянца и Никитина, был составлен документ, озаглавленный «Тактико-техническая характеристика для летающего танка проектируемого тов. РАФАЛЬЯНЦ» (так в оригинале). Под документом стоит подпись Пом. Нач. НТУ УММ Бегунова (НТУ УММ – это Научно-Техническое Управление Управления Моторизации и Механизации РККА). Над заголовком надпись: УТВЕРЖДАЮ. Начальник УММ / Халепский/ «……» Сентября 1932 г. (дата и подпись не проставлены). Любопытно, что в этом документе, содержащем ориентировочные требования, в пункте «Принцип подъёмного аппарата для взлёта» указывались «нормальные крылья или автожиры», а в пункте «тип и мощность мотора» было указано «авиационных марки М-34 допускаются использования для охлаждения этилен-гликоль» (так в тексте). То есть, эти требования явно относились не только к аппарату Рафаэлянца, но и к аппарату Камова, о котором речь пойдёт ниже. Нет смысла приводить здесь другие пункты требований – они фактически нашли отражение в более позднем документе, озаглавленном «Тактикотехническая характеристика летающего танка проектируемого тов. РАФАЭЛЯНЦ по заданию НТУ УММ РККА». Документ, подписанный Врид начальника НТУ УММ РККА Свиридовым 4 декабря 1932 г., носил характер задания и содержал следующие основные положения: Летающий танк – по типу БТ Боевой вес танка со всеми приспособлениями (крылья) – 5-6 т Боевой вес самого танка при движении по земле – 3,5-4 т Максимальная скорость на колёсах – 70-80 км/ч на гусеницах – 50-60 км/ч в воздухе – 160 км/ч Максимальная высота полёта 3000 м Продолжительность выключения летательного приспособления (крыльев) – 5 мин Продолжительность одевания летательного приспособления (крыльев) 18 мин Путь пробега при посадке 400 м. Путь пробега при взлёте 500-600 м Мощность мотора 650 НР М-17 Броня: вертикальная 8 мм горизонтальная 6 мм дно 4 мм Вооружение 1 – 20мм автомат или пулемёт ДТ Команда 2 чел Запас горючего: при движении по дорогам на 150 км при движении в воздухе на 250 км Как можно видеть, в проекте от июля 1932 г. расчётная дальность превышала указанные выше цифры. В одной из публикаций уверждается, что «19 января 1933 года конструкторскому бюро под руководством А.Н. Рафаэлянца было выдано задание на разработку проекта полноценного летающего танка. Спустя месяц проект был готов». Если это не ошибка в дате, то речь, видимо, может идти о задании на доработанный проект. До постройки аппарата Рафаэлянца и Никитина дело не дошло (19165).</w:t>
      </w:r>
    </w:p>
    <w:p w14:paraId="42CF0B23" w14:textId="77777777" w:rsidR="005E0940" w:rsidRPr="00E93F40" w:rsidRDefault="005E0940" w:rsidP="00E93F40">
      <w:pPr>
        <w:spacing w:after="0" w:line="240" w:lineRule="auto"/>
        <w:jc w:val="both"/>
        <w:rPr>
          <w:rFonts w:ascii="Times New Roman" w:hAnsi="Times New Roman"/>
          <w:color w:val="000000" w:themeColor="text1"/>
          <w:sz w:val="16"/>
          <w:szCs w:val="16"/>
        </w:rPr>
      </w:pPr>
    </w:p>
    <w:p w14:paraId="1BEB14C9" w14:textId="77777777" w:rsidR="005E0940" w:rsidRPr="00E93F40" w:rsidRDefault="005E0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сентябре 1932 г. Н.И.Камов предложил свой весьма необычный проект, который он назвал «танк-вертолёт». Фактически это был танк-автожир. Пусть читателя не вводит в заблуждение употреблённое Камовым слово «вертолёт». Ведь Камов после постройки совместно с Скржинским автожира КАСКР как раз и предложил слово «вертолёт» как замену иностранному термину «автожир». А то, что мы сегодня называем словом «вертолёт», тогда именовалось «геликоптер». Этот термин у нас только в 1948-1950 годах заменили словом «вертолёт», переосмыслив его исходное значение. Кстати, Камов отмечал в объяснительной записке к проекту от 1/Х-32 г., , что применение на его аппарате «геликоптерного винта» могло бы дать определённые преимущества, однако ряд возникающих сложностей заставляет отдать предпочтение автожирному варианту. Камовская машина представляла собой весьма оригинальную конструкцию. Ходовая часть была чисто гусеничной, пары катков соединялись с маслянопневматическими амортизаторами авиационного типа. Нижняя часть танка выполнялась низкой и широкой, с расстоянием между гусеницами 3,5 м по внешнему габариту. Над ней возвышалась надстройка каплевидного сечения, в которой размещались двигатель и один из двух членов экипажа. Для силовой установки был выбран новейший на тот момент отечественный авиамотор М-34 с максимальной мощностью 800 л.с., который тогда проходил испытания. Предусматривалось гликолевое охлаждение. Двигатель вращал двухлопастный толкающий винт, за которым находился руль направления. На земле лопасти винта устанавливались вертикально. От мотора шёл также вал, раскручивавший перед взлётом несущий винт. Таким образом, машина Камова являлась так называемым «прыгающим» автожиром с укороченным взлётом. От двигателя был также привод на гусеницы, обеспечивавший движение танка на земле. (Любопытно, что в проектном рисунке схемы приводов написано тянущий винт – не ошибка ли? Никаких других данных о таком варианте не имеется). Машина задумывалась как бескрылый автожир, оснащённый трёхлопастным несущим винтом диаметром 20 м. Винт монтировался на вершине надстройки и включал в себя предложенную Камовым шаровую (кольцевую) управляющую втулку, которая, по мысли Камова, и должна была позволить аппарату обходиться без крыла. Согласно проектному описанию, кольцевая часть втулки имела флянец, который служил для движения по нему четырёх роликов управления, и пилот движением ручки мог «дать любой </w:t>
      </w:r>
      <w:r w:rsidRPr="00E93F40">
        <w:rPr>
          <w:rFonts w:ascii="Times New Roman" w:hAnsi="Times New Roman"/>
          <w:color w:val="000000" w:themeColor="text1"/>
          <w:sz w:val="16"/>
          <w:szCs w:val="16"/>
        </w:rPr>
        <w:lastRenderedPageBreak/>
        <w:t>наклон как в продольном, так и в поперечном направлении, т.е. дать любой крен машине, т.е. заставить её пикировать, кабрировать и делать крены порознь и одновременно». Поэтому, считал Камов, «нет необходимости в подкрыльях с элеронами и горизонтальном оперении. Но для поворота я ещё не отказываюсь от вертикального оперения». Лопасти несущего винта предполагалось выполнить из стали, а трубу (лонжерон) – из хромомолибдена или сделать её «цельно-электронной» (т.е. из магниевого сплава «электрон»). Диаметр втулки (около 1200 мм, судя по чертежу) позволил установить над ней круглую башню с двумя пулемётами. Камов допускал возможность установки в этой башне даже лёгкой пушки. Вторая такая же башня, тоже с пулемётной спаркой, находилась перед надстройкой. Ещё два ствола торчали из надстройки, простреливая пространство назад слева и справа от толкающего винта. Непонятно, правда, как можно было вести из этих пулемётов прицельный огонь. К тому же для стрельбы через винт нужен был бы синхронизатор, о котором у Камова нет ни слова. Да и вообще не совсем ясно, как с таким вооружением должен был управляться экипаж из двух человек. В чертежах указаны габариты танка: ширина – 3,5 м, высота – 4,3 м. Длина аппарата без несущего винта получается 7,5 м. Расчётный полётный вес – 4000-4500 кг, включая 600 кг горючего. Способ применения мыслился так. «Танк-вертолёт» (автожир), обладая разбегом не более 50 м, поднимается с небольшой площадки и летит со скоростью 150 км/ч. Посадку он совершает практически в любом месте благодаря «ничтожному» пробегу – 5 м. Далее экипаж складывает лопасти несущего винта назад (вручную, но без вылезания наружу), и машина готова вступить в бой. Ожидаемая скорость движения на земле составляла 35-40 км/ч. Рассчитывали, что при необходимости преодолеть серьёзное препятствие машина сможет вновь подняться в воздух и перепрыгнуть его. (Несколько сомнительный сценарий). Подобным же образом собирались наносить удар из тыла противника. Какую же позицию заняли специалисты и заинтересованные организации? Пом. Начальника КОСОС ЦАГИ А.Надашкевич в своём Заключении на предложение Н.И.Камова «Летающий танк-вертолёт» от 3 октября 1932 г. положительно оценил выбор Камовым схемы аппарата с авторотирующим винтом, добавив: «Несомненно, что в процессе разработки предложения тов. КАМОВА встретятся значительные трудности, в особенности в части управления и устойчивости танка в воздухе, в полёте и при разбеге, однако уже сейчас можно утверждать, что идея инженера КАМОВА является очень счастливой и плодотворной. К проработке этого многообещающего предложения следует приступить, не теряя времени». Более сдержанно высказался старший инженер ЦАГИ А.М.Черёмухин (ноябрь 1932 г.). Назвав идею Камова «очень смелой, но не невозможной», Черёмухин, однако, отметил, что проект содержит много технических новинок и вызывает к жизни вопросы, «ответа на которые на данный момент в полной мере дать нельзя». Так, в числе новых и трудных аэродинамических мест он выделил: 1) управление всем аппаратом при помощи шаровой головки ротора – «по идее схема мыслима, но полная картина её работы не ясна с точки зрения устойчивости»; 2) «Вопрос о взлёте аппарата при помощи управления ротором (без горизонтального оперения) требует специальной проработки, просчётов и опытов, так же как и посадка». Итак, резюмировал он, идея «принципиально осуществимая, но связанная с целым рядом новых элементов, работа которых требует как теоретического, так и опытного освещения».</w:t>
      </w:r>
    </w:p>
    <w:p w14:paraId="2489190B" w14:textId="77777777" w:rsidR="005E0940" w:rsidRPr="00E93F40" w:rsidRDefault="005E0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Известно, что начальник Управления моторизации и механизации РККА И.А.Халепский ставил перед начальником ВВС Алкснисом вопрос о необходимости организации работ по предложению Камова при ЦАГИ. Слабым местом проекта было то, что главный элемент машины – сам танк – нужно было проектировать «с нуля». Для этого требовалось создать отдельный коллектив специалистов. Могли, как отмечено выше, возникнуть проблемы и в связи с применением новой неопробованной втулки несущего винта. Для её испытания и доводки Камов намеревался сначала построить небольшой автожир. В итоге, как отмечал В.Р.Котельников, задачу сочли чрезмерно сложной, и проект остался нереализованным (19165).</w:t>
      </w:r>
    </w:p>
    <w:p w14:paraId="3A92936A" w14:textId="77777777" w:rsidR="005E0940" w:rsidRPr="00E93F40" w:rsidRDefault="005E0940" w:rsidP="00E93F40">
      <w:pPr>
        <w:spacing w:after="0" w:line="240" w:lineRule="auto"/>
        <w:jc w:val="both"/>
        <w:rPr>
          <w:rFonts w:ascii="Times New Roman" w:hAnsi="Times New Roman"/>
          <w:color w:val="000000" w:themeColor="text1"/>
          <w:sz w:val="16"/>
          <w:szCs w:val="16"/>
        </w:rPr>
      </w:pPr>
    </w:p>
    <w:p w14:paraId="242E0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вышло постановление СНК о постройке паротурбинного двигателя. Делали паровой турбокомпрессор (в ХАИ для АМ-34Н) и паротурбинную установку (в т.ч. и в ХАИ - В.Т.Цветков и хотели сделать ПТ-6 для МГ, а также в Москве в НИИ АД ГВФ - С.А.Аксютин и в Ленинграде - Н.М.Синеев) (553,171).</w:t>
      </w:r>
    </w:p>
    <w:p w14:paraId="153D8A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самолете их должно было быть две, каждая мощностью 3000 л.с. с пятиминутным форсированием на 20%, то есть до 3600 л.с. В состав каждой установки входил парогенератор в виде многозаход- ного змеевика с топкой, где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w:t>
      </w:r>
    </w:p>
    <w:p w14:paraId="75095F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w:t>
      </w:r>
    </w:p>
    <w:p w14:paraId="03B1EF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Менее мощная (1500 л.с. с каждой из двух турбин с кратковременным форсированием до 1800 л.с.) установка ПГ-1, которую делали на Кировском заводе в Ленинграде, отличалась общим парогенератором и приводом насосов от вспомогательного бензинового двигателя. Ее довели до стадии испытания опытного образца, но получили мощность всего 1600 л.с. с обеих турбин.</w:t>
      </w:r>
    </w:p>
    <w:p w14:paraId="5C39EF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вот "авиационная турбина внутреннего сгорания" ГГ-1, над которой работали в 1934-1935 годах. Ее собирались опробовать на ТБ-3. Она не была похожа на современные турбореактивные двигатели. Общий компрессор с приводом от дополнительной турбины помещался в фюзеляже, "газогенераторы" (камеры сгорания) - в крыльях. Турбины с редукторами устанавливались на подмоторных рамах на месте ближних к фюзеляжу двигателей ТБ-3. Интересно, что предусматривалось водяное охлаждение дисков и лопаток турбин. Номинальная мощность установки в целом - 2000 л.с., расчетный вес 4000 кг. Топить "газогенераторы" рассчитывали сырой нефтью (как на корабле).</w:t>
      </w:r>
    </w:p>
    <w:p w14:paraId="35B52E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 построен ряд опытных образцов подобных установок, но они испытывались только на земле и никогда не летали (12036).</w:t>
      </w:r>
    </w:p>
    <w:p w14:paraId="02BA9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4FE0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общую компоновку АН-1 (Н-1) представили техническому совещанию ЦИАМ. Первый опытный образец изготовили летом 1933 г. в мастерских ЦИАМ. Разрабатывался в отделе нефтяных двигателей НАМ (ЦИАМ) под руко</w:t>
      </w:r>
      <w:r w:rsidRPr="00E93F40">
        <w:rPr>
          <w:rFonts w:ascii="Times New Roman" w:hAnsi="Times New Roman"/>
          <w:color w:val="000000" w:themeColor="text1"/>
          <w:sz w:val="16"/>
          <w:szCs w:val="16"/>
        </w:rPr>
        <w:softHyphen/>
        <w:t>водством А.Д. Чаромского с 1931 г. по заданию Н-1. Общая компоновка и силовая схема двигателя были аналогичны М-34. Газораспределение — че-тырехклапанное. Он проходил стендовые испытания в 1933-1934 гг. Были отмечены неу</w:t>
      </w:r>
      <w:r w:rsidRPr="00E93F40">
        <w:rPr>
          <w:rFonts w:ascii="Times New Roman" w:hAnsi="Times New Roman"/>
          <w:color w:val="000000" w:themeColor="text1"/>
          <w:sz w:val="16"/>
          <w:szCs w:val="16"/>
        </w:rPr>
        <w:softHyphen/>
        <w:t>стойчивая работа на малом газе, плохой запуск при низких температурах. 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E93F40">
        <w:rPr>
          <w:rFonts w:ascii="Times New Roman" w:hAnsi="Times New Roman"/>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5271E4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7649F4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12-цилиндровый, рядный У-образный дизель, четырехтактный, водя</w:t>
      </w:r>
      <w:r w:rsidRPr="00E93F40">
        <w:rPr>
          <w:rFonts w:ascii="Times New Roman" w:hAnsi="Times New Roman"/>
          <w:color w:val="000000" w:themeColor="text1"/>
          <w:sz w:val="16"/>
          <w:szCs w:val="16"/>
        </w:rPr>
        <w:softHyphen/>
        <w:t>ного охлаждения;</w:t>
      </w:r>
    </w:p>
    <w:p w14:paraId="0E3587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61,04 л;</w:t>
      </w:r>
    </w:p>
    <w:p w14:paraId="369DF6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6510FF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13,5;</w:t>
      </w:r>
    </w:p>
    <w:p w14:paraId="5834BD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7A5FF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 первый опытный вариант, изготовлен летом 1933 г. Первона</w:t>
      </w:r>
      <w:r w:rsidRPr="00E93F40">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E93F40">
        <w:rPr>
          <w:rFonts w:ascii="Times New Roman" w:hAnsi="Times New Roman"/>
          <w:color w:val="000000" w:themeColor="text1"/>
          <w:sz w:val="16"/>
          <w:szCs w:val="16"/>
        </w:rPr>
        <w:softHyphen/>
        <w:t>лось начать 1 ноября 1933 г. В действительности АН-1 проходил ис-| пытания и доводку в 1933-1934 гг. Мощность 750/800 л.с. (фактиче-| ски на испытаниях добились 814 л.с.). Вес по заданию 950 кг, позднее поднятый до 975 кг, фактически 1003 кг, после доводки и внесения</w:t>
      </w:r>
    </w:p>
    <w:p w14:paraId="4D9C12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ряда местных усилений 1021 кг. В октябре — ноябре двигатель про</w:t>
      </w:r>
      <w:r w:rsidRPr="00E93F40">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E93F40">
        <w:rPr>
          <w:rFonts w:ascii="Times New Roman" w:hAnsi="Times New Roman"/>
          <w:color w:val="000000" w:themeColor="text1"/>
          <w:sz w:val="16"/>
          <w:szCs w:val="16"/>
        </w:rPr>
        <w:softHyphen/>
        <w:t>струкциям по удельному весу и имел большую лобовую площадь.</w:t>
      </w:r>
    </w:p>
    <w:p w14:paraId="777E00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E93F40">
        <w:rPr>
          <w:rFonts w:ascii="Times New Roman" w:hAnsi="Times New Roman"/>
          <w:color w:val="000000" w:themeColor="text1"/>
          <w:sz w:val="16"/>
          <w:szCs w:val="16"/>
        </w:rPr>
        <w:softHyphen/>
        <w:t>ность 850/900 л.с., вес 1040 кг. Первый раз выставлялся на госиспы</w:t>
      </w:r>
      <w:r w:rsidRPr="00E93F40">
        <w:rPr>
          <w:rFonts w:ascii="Times New Roman" w:hAnsi="Times New Roman"/>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E93F40">
        <w:rPr>
          <w:rFonts w:ascii="Times New Roman" w:hAnsi="Times New Roman"/>
          <w:color w:val="000000" w:themeColor="text1"/>
          <w:sz w:val="16"/>
          <w:szCs w:val="16"/>
        </w:rPr>
        <w:softHyphen/>
        <w:t>тания закончились катастрофой).</w:t>
      </w:r>
    </w:p>
    <w:p w14:paraId="37F860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4E8E3A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АН-1РТК, усовершенствованный вариант с турбонаддувом. Проекти</w:t>
      </w:r>
      <w:r w:rsidRPr="00E93F40">
        <w:rPr>
          <w:rFonts w:ascii="Times New Roman" w:hAnsi="Times New Roman"/>
          <w:color w:val="000000" w:themeColor="text1"/>
          <w:sz w:val="16"/>
          <w:szCs w:val="16"/>
        </w:rPr>
        <w:softHyphen/>
        <w:t>ровался с 1936 г. под руководством Чаромского, затем В.М. Яковле</w:t>
      </w:r>
      <w:r w:rsidRPr="00E93F40">
        <w:rPr>
          <w:rFonts w:ascii="Times New Roman" w:hAnsi="Times New Roman"/>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E93F40">
        <w:rPr>
          <w:rFonts w:ascii="Times New Roman" w:hAnsi="Times New Roman"/>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E93F40">
        <w:rPr>
          <w:rFonts w:ascii="Times New Roman" w:hAnsi="Times New Roman"/>
          <w:color w:val="000000" w:themeColor="text1"/>
          <w:sz w:val="16"/>
          <w:szCs w:val="16"/>
        </w:rPr>
        <w:softHyphen/>
        <w:t>сорами, с Э-88 и с комбинированной — два турбонагнетателя плюс ПЦН. Лучшим признали вариант с Э-88.</w:t>
      </w:r>
    </w:p>
    <w:p w14:paraId="416505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E93F40">
        <w:rPr>
          <w:rFonts w:ascii="Times New Roman" w:hAnsi="Times New Roman"/>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5B9784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АН-1М, катерный вариант АН-1А с реверс-муфтой, без наддува и с агре</w:t>
      </w:r>
      <w:r w:rsidRPr="00E93F40">
        <w:rPr>
          <w:rFonts w:ascii="Times New Roman" w:hAnsi="Times New Roman"/>
          <w:color w:val="000000" w:themeColor="text1"/>
          <w:sz w:val="16"/>
          <w:szCs w:val="16"/>
        </w:rPr>
        <w:softHyphen/>
        <w:t>гатами от ГАМ-34. Мощность 850/950 л.с., вес 1350 кг. Создавался в кон</w:t>
      </w:r>
      <w:r w:rsidRPr="00E93F40">
        <w:rPr>
          <w:rFonts w:ascii="Times New Roman" w:hAnsi="Times New Roman"/>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E93F40">
        <w:rPr>
          <w:rFonts w:ascii="Times New Roman" w:hAnsi="Times New Roman"/>
          <w:color w:val="000000" w:themeColor="text1"/>
          <w:sz w:val="16"/>
          <w:szCs w:val="16"/>
        </w:rPr>
        <w:softHyphen/>
        <w:t>ния катерного М-50Р, строившегося серийно. Многие элементы конструк</w:t>
      </w:r>
      <w:r w:rsidRPr="00E93F40">
        <w:rPr>
          <w:rFonts w:ascii="Times New Roman" w:hAnsi="Times New Roman"/>
          <w:color w:val="000000" w:themeColor="text1"/>
          <w:sz w:val="16"/>
          <w:szCs w:val="16"/>
        </w:rPr>
        <w:softHyphen/>
        <w:t>ции АН-1 заимствовали в массовом танковом дизеле В-2.</w:t>
      </w:r>
    </w:p>
    <w:p w14:paraId="5EC8ED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АН-1 проходил летные испытания на самолетах РДД и ТБ-ЗД (11852).</w:t>
      </w:r>
    </w:p>
    <w:p w14:paraId="5D4A85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FD1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директор НАТИ Зелинский писал письмо № 486 в Комиссию обороны</w:t>
      </w:r>
    </w:p>
    <w:p w14:paraId="1F894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Сектор кадров ГУАП требует от НАТИ, ссылаясь на решение Комиссии обороны передачи в ГУАП инженеров Кирсанова и Петрова. Основанием этих требований является то обстоятельство, что указанные товарищи являются якобы в прошлом работниками авиационной промышленности или же занимались исследовательской работой по авиационным двигателям.</w:t>
      </w:r>
    </w:p>
    <w:p w14:paraId="70424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Настоящим сообщаю:</w:t>
      </w:r>
    </w:p>
    <w:p w14:paraId="38B93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НАМИ до его разделения на авиационную и автотракторную части, как специальная комплексная организация в своей программе имел, естественно и авиационные работы. Именно поэтому при разделении института на части вопрос о порядке этого разделения и о распределении кадров был самым тщательным образом обсужден и решен дважды: Политбюро и затем специальными согласительными комиссиями Наркомтяжпрома и Наркомвоенмора.</w:t>
      </w:r>
    </w:p>
    <w:p w14:paraId="33A15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Дальнейшие решения общего характера о передаче в авиапромышленность работников других организаций, имевших в прошлом дело с авиационными вопросами, естественно, не могут автоматически распространяться на НАТИ, о коем есть особое решение и который сам является продуктом уже проведенного высшими директивными инстанциями деления НАМИ на авиационную и автотракторную части.</w:t>
      </w:r>
    </w:p>
    <w:p w14:paraId="50648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Вследствие изложенного, надлежит вообще положить конец притязанию ГУАПа, систематически по разным поводам, поднимающего вопрос о тех или иных инженерах НАТИ, кои не были переданы в ГУАП при делении директивными инстанциями НАМИ.</w:t>
      </w:r>
    </w:p>
    <w:p w14:paraId="3BF56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Конкретно инженеры Кирсанов и Петров никогда авиационными вопросами не занимались. Оба являются по специальности коренными автомобилистами. При разделении Института на них авиапромышленность даже не претендовала. Оба окончили ВТУЗ по автомобильной специальности и работают по этой специальности целый ряд лет. В настоящее время Кирсанов и Петров выполняют исключительной важности и оборонного значения работы по разработке новых карбюраторов для автомобилей, тракторов и специальных машин. Вся работа по окончательному установлению методов производства карбюраторов из черных металлов, взамен цветных на Самарском карбюраторном заводе выполняется этими товарищами и кроме решения проблемы экономии громадного количества цветных металлов от их работы прямо зависят фактические сроки пуска Самарского Арматурно-карбюраторного завода, а также качество карбюраторов, поставляемых в настоящее время уже пущенным Автотракторным заводом.</w:t>
      </w:r>
    </w:p>
    <w:p w14:paraId="51A69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Вследствие изложенного убедительно прошу:</w:t>
      </w:r>
    </w:p>
    <w:p w14:paraId="7E55789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Положить конец постановкам вопросов в инстанциях о якобы авиационных специалистах НАТИ.</w:t>
      </w:r>
    </w:p>
    <w:p w14:paraId="2FFF59B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ГУАПа об инженерах Кирсанове и Петрове окончательно отклонить, как основанные на недоразумении или на попытках ввести инстанции в заблуждение путем объявления автомобильных специалистов – авиационными (3530,43).</w:t>
      </w:r>
    </w:p>
    <w:p w14:paraId="7220E7C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3692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Базилевич писал письмо № 1564/ко директору НАТИ Зелинскому</w:t>
      </w:r>
    </w:p>
    <w:p w14:paraId="2309F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 486</w:t>
      </w:r>
    </w:p>
    <w:p w14:paraId="508A6E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принятии постановления от 4 июля 1932 года об откомандировании из НАТИ инженеров Кирсанова и Петрова присутствовали Орджоникидзе и Паннуновский, которые не возражали.</w:t>
      </w:r>
    </w:p>
    <w:p w14:paraId="69B216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Инженеров Кирсанова и Петрова Вам надлежит откомандировать немедленно.</w:t>
      </w:r>
    </w:p>
    <w:p w14:paraId="7009C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инженеры будут заняты вопросами моторостроения (3530,44).</w:t>
      </w:r>
    </w:p>
    <w:p w14:paraId="433F6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572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Дирижаблестрой заключил с К.Э. Циолковским договор, на основе которого ученый осуществлял общее руководство некоторыми важными научными проектами. На верфи Дирижаблестроя действовал "Цех Циолковского", где работами по проекту этого дирижабля руководил инженер Я.А. Раппопорт (11269).</w:t>
      </w:r>
    </w:p>
    <w:p w14:paraId="36D5A2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подчинении Дирижаблестроя находились также производственные и учебные подразделения Ленинграда, которые занимались обеспечением дирижаблестроения и воздухоплавания (11269).</w:t>
      </w:r>
    </w:p>
    <w:p w14:paraId="3CCC3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C50305" w14:textId="77777777" w:rsidR="001E30C2" w:rsidRPr="00E93F40" w:rsidRDefault="001E30C2" w:rsidP="00E93F40">
      <w:pPr>
        <w:pStyle w:val="a3"/>
        <w:rPr>
          <w:color w:val="000000" w:themeColor="text1"/>
          <w:lang w:val="ru-RU"/>
        </w:rPr>
      </w:pPr>
      <w:r w:rsidRPr="00E93F40">
        <w:rPr>
          <w:color w:val="000000" w:themeColor="text1"/>
          <w:lang w:val="ru-RU"/>
        </w:rPr>
        <w:t>С сентя</w:t>
      </w:r>
      <w:r w:rsidRPr="00E93F40">
        <w:rPr>
          <w:color w:val="000000" w:themeColor="text1"/>
          <w:lang w:val="ru-RU"/>
        </w:rPr>
        <w:softHyphen/>
        <w:t>бря 1932 г. по январь 1933 г. в холодном, продуваемом деревянном эллинге без осве</w:t>
      </w:r>
      <w:r w:rsidRPr="00E93F40">
        <w:rPr>
          <w:color w:val="000000" w:themeColor="text1"/>
          <w:lang w:val="ru-RU"/>
        </w:rPr>
        <w:softHyphen/>
        <w:t>щения был собран СССР В-5 (длина - 47,5 м), оказался удачным образцом. Он от</w:t>
      </w:r>
      <w:r w:rsidRPr="00E93F40">
        <w:rPr>
          <w:color w:val="000000" w:themeColor="text1"/>
          <w:lang w:val="ru-RU"/>
        </w:rPr>
        <w:softHyphen/>
        <w:t>работал более 100 полетов, но дальнейшая его эксплуатация прервалась весной 1934 г. из-за разрушения оболочки, изготовленной все тем же московским заводом «Каучук». В СССР их просто не умели делать.</w:t>
      </w:r>
    </w:p>
    <w:p w14:paraId="21117A8F" w14:textId="77777777" w:rsidR="001E30C2" w:rsidRPr="00E93F40" w:rsidRDefault="001E30C2" w:rsidP="00E93F40">
      <w:pPr>
        <w:pStyle w:val="a3"/>
        <w:rPr>
          <w:color w:val="000000" w:themeColor="text1"/>
          <w:lang w:val="ru-RU"/>
        </w:rPr>
      </w:pPr>
      <w:r w:rsidRPr="00E93F40">
        <w:rPr>
          <w:color w:val="000000" w:themeColor="text1"/>
          <w:lang w:val="ru-RU"/>
        </w:rPr>
        <w:t>Параллельно со сборкой В-5 КБ Нобиле работало над проектом более мощного корабля полужесткой конструкции СССР В-6 (объем - 18500 м</w:t>
      </w:r>
      <w:r w:rsidRPr="00E93F40">
        <w:rPr>
          <w:color w:val="000000" w:themeColor="text1"/>
          <w:vertAlign w:val="superscript"/>
          <w:lang w:val="ru-RU"/>
        </w:rPr>
        <w:t>3</w:t>
      </w:r>
      <w:r w:rsidRPr="00E93F40">
        <w:rPr>
          <w:color w:val="000000" w:themeColor="text1"/>
          <w:lang w:val="ru-RU"/>
        </w:rPr>
        <w:t>) по типу «Италии». Конечно, в апробированный итальянский вариант были внесены многочисленные конструктивные и технологические усо</w:t>
      </w:r>
      <w:r w:rsidRPr="00E93F40">
        <w:rPr>
          <w:color w:val="000000" w:themeColor="text1"/>
          <w:lang w:val="ru-RU"/>
        </w:rPr>
        <w:softHyphen/>
        <w:t>вершенствования. К середине января 1933 г. 60% этой работы было сделано (12732).</w:t>
      </w:r>
    </w:p>
    <w:p w14:paraId="36978C14" w14:textId="77777777" w:rsidR="001E30C2" w:rsidRPr="00E93F40" w:rsidRDefault="001E30C2" w:rsidP="00E93F40">
      <w:pPr>
        <w:pStyle w:val="a3"/>
        <w:rPr>
          <w:color w:val="000000" w:themeColor="text1"/>
          <w:lang w:val="ru-RU"/>
        </w:rPr>
      </w:pPr>
    </w:p>
    <w:p w14:paraId="4DF81C4C" w14:textId="77777777" w:rsidR="00DA3046" w:rsidRPr="00E93F40" w:rsidRDefault="00DA30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началось и завершилось в ав</w:t>
      </w:r>
      <w:r w:rsidRPr="00E93F40">
        <w:rPr>
          <w:rFonts w:ascii="Times New Roman" w:hAnsi="Times New Roman"/>
          <w:color w:val="000000" w:themeColor="text1"/>
          <w:sz w:val="16"/>
          <w:szCs w:val="16"/>
        </w:rPr>
        <w:softHyphen/>
        <w:t>густе 1933 г. проектиро</w:t>
      </w:r>
      <w:r w:rsidRPr="00E93F40">
        <w:rPr>
          <w:rFonts w:ascii="Times New Roman" w:hAnsi="Times New Roman"/>
          <w:color w:val="000000" w:themeColor="text1"/>
          <w:sz w:val="16"/>
          <w:szCs w:val="16"/>
        </w:rPr>
        <w:softHyphen/>
        <w:t>вание ДП-4, получившего название «СССР В-6» («Осоавиахим»).</w:t>
      </w:r>
    </w:p>
    <w:p w14:paraId="4262651A" w14:textId="77777777" w:rsidR="00DA3046" w:rsidRPr="00E93F40" w:rsidRDefault="00DA30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Объём оболочки «СССР В-6» составлял 18500 м3, длина — 104,5 м, максимальный ди</w:t>
      </w:r>
      <w:r w:rsidRPr="00E93F40">
        <w:rPr>
          <w:rFonts w:ascii="Times New Roman" w:hAnsi="Times New Roman"/>
          <w:color w:val="000000" w:themeColor="text1"/>
          <w:sz w:val="16"/>
          <w:szCs w:val="16"/>
        </w:rPr>
        <w:softHyphen/>
        <w:t>аметр — 18,8 м. Оболочка корпуса была сде</w:t>
      </w:r>
      <w:r w:rsidRPr="00E93F40">
        <w:rPr>
          <w:rFonts w:ascii="Times New Roman" w:hAnsi="Times New Roman"/>
          <w:color w:val="000000" w:themeColor="text1"/>
          <w:sz w:val="16"/>
          <w:szCs w:val="16"/>
        </w:rPr>
        <w:softHyphen/>
        <w:t>лана из трёхслойной прорезиненной материи. Раскрой полотнищ — меридиональный, всего 36 полотнищ основных и два боковых (танген</w:t>
      </w:r>
      <w:r w:rsidRPr="00E93F40">
        <w:rPr>
          <w:rFonts w:ascii="Times New Roman" w:hAnsi="Times New Roman"/>
          <w:color w:val="000000" w:themeColor="text1"/>
          <w:sz w:val="16"/>
          <w:szCs w:val="16"/>
        </w:rPr>
        <w:softHyphen/>
        <w:t>циальных). Внутри оболочки имелась продоль</w:t>
      </w:r>
      <w:r w:rsidRPr="00E93F40">
        <w:rPr>
          <w:rFonts w:ascii="Times New Roman" w:hAnsi="Times New Roman"/>
          <w:color w:val="000000" w:themeColor="text1"/>
          <w:sz w:val="16"/>
          <w:szCs w:val="16"/>
        </w:rPr>
        <w:softHyphen/>
        <w:t>ная матерчатая диафрагма, делившая её объём на две части: верхнюю — газовместилище и ниж</w:t>
      </w:r>
      <w:r w:rsidRPr="00E93F40">
        <w:rPr>
          <w:rFonts w:ascii="Times New Roman" w:hAnsi="Times New Roman"/>
          <w:color w:val="000000" w:themeColor="text1"/>
          <w:sz w:val="16"/>
          <w:szCs w:val="16"/>
        </w:rPr>
        <w:softHyphen/>
        <w:t>нюю — баллонет. Для ограничения быстрого про</w:t>
      </w:r>
      <w:r w:rsidRPr="00E93F40">
        <w:rPr>
          <w:rFonts w:ascii="Times New Roman" w:hAnsi="Times New Roman"/>
          <w:color w:val="000000" w:themeColor="text1"/>
          <w:sz w:val="16"/>
          <w:szCs w:val="16"/>
        </w:rPr>
        <w:softHyphen/>
        <w:t>дольного переливания газа при тангажах корабля газововместилище разделялось пятью матерча</w:t>
      </w:r>
      <w:r w:rsidRPr="00E93F40">
        <w:rPr>
          <w:rFonts w:ascii="Times New Roman" w:hAnsi="Times New Roman"/>
          <w:color w:val="000000" w:themeColor="text1"/>
          <w:sz w:val="16"/>
          <w:szCs w:val="16"/>
        </w:rPr>
        <w:softHyphen/>
        <w:t>тыми диафрагмами на шесть отсеков. Периметр диафрагм на 10-15% превышал в соответствую</w:t>
      </w:r>
      <w:r w:rsidRPr="00E93F40">
        <w:rPr>
          <w:rFonts w:ascii="Times New Roman" w:hAnsi="Times New Roman"/>
          <w:color w:val="000000" w:themeColor="text1"/>
          <w:sz w:val="16"/>
          <w:szCs w:val="16"/>
        </w:rPr>
        <w:softHyphen/>
        <w:t>щем месте периметр оболочки, чтобы иметь слабину при изменении давления в оболочке. Для сообщения между газовыми отсеками при осмотре оболочек и для уравнивания давления в отсеках в нижней части диафрагм имелись от</w:t>
      </w:r>
      <w:r w:rsidRPr="00E93F40">
        <w:rPr>
          <w:rFonts w:ascii="Times New Roman" w:hAnsi="Times New Roman"/>
          <w:color w:val="000000" w:themeColor="text1"/>
          <w:sz w:val="16"/>
          <w:szCs w:val="16"/>
        </w:rPr>
        <w:softHyphen/>
        <w:t>верстия. Баллонет находился между крайними перегородками. Для подполнения оболочки га</w:t>
      </w:r>
      <w:r w:rsidRPr="00E93F40">
        <w:rPr>
          <w:rFonts w:ascii="Times New Roman" w:hAnsi="Times New Roman"/>
          <w:color w:val="000000" w:themeColor="text1"/>
          <w:sz w:val="16"/>
          <w:szCs w:val="16"/>
        </w:rPr>
        <w:softHyphen/>
        <w:t>зом в каждом отсеке имелись газовые аппендик</w:t>
      </w:r>
      <w:r w:rsidRPr="00E93F40">
        <w:rPr>
          <w:rFonts w:ascii="Times New Roman" w:hAnsi="Times New Roman"/>
          <w:color w:val="000000" w:themeColor="text1"/>
          <w:sz w:val="16"/>
          <w:szCs w:val="16"/>
        </w:rPr>
        <w:softHyphen/>
        <w:t>сы, а в киле от носа до кормы проходил газопро</w:t>
      </w:r>
      <w:r w:rsidRPr="00E93F40">
        <w:rPr>
          <w:rFonts w:ascii="Times New Roman" w:hAnsi="Times New Roman"/>
          <w:color w:val="000000" w:themeColor="text1"/>
          <w:sz w:val="16"/>
          <w:szCs w:val="16"/>
        </w:rPr>
        <w:softHyphen/>
        <w:t>вод (коллектор), который соединялся с шестью внутренними аппендиксами. Он позволял производить подполнение дирижабля газом и при стоянке его у причальной мачты. На оболочке имелись смотровые окна для контроля диафраг</w:t>
      </w:r>
      <w:r w:rsidRPr="00E93F40">
        <w:rPr>
          <w:rFonts w:ascii="Times New Roman" w:hAnsi="Times New Roman"/>
          <w:color w:val="000000" w:themeColor="text1"/>
          <w:sz w:val="16"/>
          <w:szCs w:val="16"/>
        </w:rPr>
        <w:softHyphen/>
        <w:t>мы и баллонета. В гондолу шли манометричес</w:t>
      </w:r>
      <w:r w:rsidRPr="00E93F40">
        <w:rPr>
          <w:rFonts w:ascii="Times New Roman" w:hAnsi="Times New Roman"/>
          <w:color w:val="000000" w:themeColor="text1"/>
          <w:sz w:val="16"/>
          <w:szCs w:val="16"/>
        </w:rPr>
        <w:softHyphen/>
        <w:t>кие трубки от каждого отсека. В киле проходили воздухопроводы для подачи воздуха в баллонеты от воздухоулавливателя в носовой части дири</w:t>
      </w:r>
      <w:r w:rsidRPr="00E93F40">
        <w:rPr>
          <w:rFonts w:ascii="Times New Roman" w:hAnsi="Times New Roman"/>
          <w:color w:val="000000" w:themeColor="text1"/>
          <w:sz w:val="16"/>
          <w:szCs w:val="16"/>
        </w:rPr>
        <w:softHyphen/>
        <w:t>жабля, управляемого из рубки. Оборудование оболочки включало десять газовых клапанов на её верхней части и 16 воздушных клапанов на баллонетах. Клапаны — автоматические, причём воздушные рассчитывались на меньшее сверх</w:t>
      </w:r>
      <w:r w:rsidRPr="00E93F40">
        <w:rPr>
          <w:rFonts w:ascii="Times New Roman" w:hAnsi="Times New Roman"/>
          <w:color w:val="000000" w:themeColor="text1"/>
          <w:sz w:val="16"/>
          <w:szCs w:val="16"/>
        </w:rPr>
        <w:softHyphen/>
        <w:t>давление, чем газовые, что позволяло при повы</w:t>
      </w:r>
      <w:r w:rsidRPr="00E93F40">
        <w:rPr>
          <w:rFonts w:ascii="Times New Roman" w:hAnsi="Times New Roman"/>
          <w:color w:val="000000" w:themeColor="text1"/>
          <w:sz w:val="16"/>
          <w:szCs w:val="16"/>
        </w:rPr>
        <w:softHyphen/>
        <w:t>шении давления внутри оболочки сохранять газ, выпуская сначала воздух из баллонетов. Все кла</w:t>
      </w:r>
      <w:r w:rsidRPr="00E93F40">
        <w:rPr>
          <w:rFonts w:ascii="Times New Roman" w:hAnsi="Times New Roman"/>
          <w:color w:val="000000" w:themeColor="text1"/>
          <w:sz w:val="16"/>
          <w:szCs w:val="16"/>
        </w:rPr>
        <w:softHyphen/>
        <w:t>паны могли управляться также и из рубки.</w:t>
      </w:r>
    </w:p>
    <w:p w14:paraId="53CD79F3" w14:textId="77777777" w:rsidR="00DA3046" w:rsidRPr="00E93F40" w:rsidRDefault="00DA30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Килевая ферма подвешивалась к оболочке системой внутренних и внешних подвесок. По обоим верхним поясам килевая ферма крепилась к оболочке по всей длине посредством катенарий, вшитых непосредственно в оболочку. Изнутри в оболочке по всей её длине в двух симметрич</w:t>
      </w:r>
      <w:r w:rsidRPr="00E93F40">
        <w:rPr>
          <w:rFonts w:ascii="Times New Roman" w:hAnsi="Times New Roman"/>
          <w:color w:val="000000" w:themeColor="text1"/>
          <w:sz w:val="16"/>
          <w:szCs w:val="16"/>
        </w:rPr>
        <w:softHyphen/>
        <w:t>но расположенных меридиональных сечениях находились катенарии. Из противоположных узлов соединения соседних катенарий шли тро</w:t>
      </w:r>
      <w:r w:rsidRPr="00E93F40">
        <w:rPr>
          <w:rFonts w:ascii="Times New Roman" w:hAnsi="Times New Roman"/>
          <w:color w:val="000000" w:themeColor="text1"/>
          <w:sz w:val="16"/>
          <w:szCs w:val="16"/>
        </w:rPr>
        <w:softHyphen/>
        <w:t>сы внутренней подвески, которые на определён</w:t>
      </w:r>
      <w:r w:rsidRPr="00E93F40">
        <w:rPr>
          <w:rFonts w:ascii="Times New Roman" w:hAnsi="Times New Roman"/>
          <w:color w:val="000000" w:themeColor="text1"/>
          <w:sz w:val="16"/>
          <w:szCs w:val="16"/>
        </w:rPr>
        <w:softHyphen/>
        <w:t>ной высоте сводились в один трос. К этому тросу подвешивались ещё два троса, шедшие к узлам верхних поясов килевой фермы. Такая подвеска более равномерно распределяла все нагрузки ки</w:t>
      </w:r>
      <w:r w:rsidRPr="00E93F40">
        <w:rPr>
          <w:rFonts w:ascii="Times New Roman" w:hAnsi="Times New Roman"/>
          <w:color w:val="000000" w:themeColor="text1"/>
          <w:sz w:val="16"/>
          <w:szCs w:val="16"/>
        </w:rPr>
        <w:softHyphen/>
        <w:t>левой фермы как на нижнюю, так и на верхнюю часть оболочки.</w:t>
      </w:r>
    </w:p>
    <w:p w14:paraId="0CCC4183" w14:textId="77777777" w:rsidR="00DA3046" w:rsidRPr="00E93F40" w:rsidRDefault="00DA30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Поперечное сечение килевой фермы имело форму равнобедренного треугольника с верши</w:t>
      </w:r>
      <w:r w:rsidRPr="00E93F40">
        <w:rPr>
          <w:rFonts w:ascii="Times New Roman" w:hAnsi="Times New Roman"/>
          <w:color w:val="000000" w:themeColor="text1"/>
          <w:sz w:val="16"/>
          <w:szCs w:val="16"/>
        </w:rPr>
        <w:softHyphen/>
        <w:t>ной вниз. В передней части к ферме крепилось носовое усиление, а в хвостовой — кормовое раз</w:t>
      </w:r>
      <w:r w:rsidRPr="00E93F40">
        <w:rPr>
          <w:rFonts w:ascii="Times New Roman" w:hAnsi="Times New Roman"/>
          <w:color w:val="000000" w:themeColor="text1"/>
          <w:sz w:val="16"/>
          <w:szCs w:val="16"/>
        </w:rPr>
        <w:softHyphen/>
        <w:t>витие. Оболочка и килевая ферма плавно сопря</w:t>
      </w:r>
      <w:r w:rsidRPr="00E93F40">
        <w:rPr>
          <w:rFonts w:ascii="Times New Roman" w:hAnsi="Times New Roman"/>
          <w:color w:val="000000" w:themeColor="text1"/>
          <w:sz w:val="16"/>
          <w:szCs w:val="16"/>
        </w:rPr>
        <w:softHyphen/>
        <w:t>гались друг с другом.</w:t>
      </w:r>
    </w:p>
    <w:p w14:paraId="12F9F717" w14:textId="77777777" w:rsidR="00DA3046" w:rsidRPr="00E93F40" w:rsidRDefault="00DA30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Килевая ферма состояла из шпангоутов, соединённых стрингерными балками. Шпангоу</w:t>
      </w:r>
      <w:r w:rsidRPr="00E93F40">
        <w:rPr>
          <w:rFonts w:ascii="Times New Roman" w:hAnsi="Times New Roman"/>
          <w:color w:val="000000" w:themeColor="text1"/>
          <w:sz w:val="16"/>
          <w:szCs w:val="16"/>
        </w:rPr>
        <w:softHyphen/>
        <w:t>ты и балки изготовили из стальных труб. Клетки фермы по диагоналям и контрдиагоналям расча</w:t>
      </w:r>
      <w:r w:rsidRPr="00E93F40">
        <w:rPr>
          <w:rFonts w:ascii="Times New Roman" w:hAnsi="Times New Roman"/>
          <w:color w:val="000000" w:themeColor="text1"/>
          <w:sz w:val="16"/>
          <w:szCs w:val="16"/>
        </w:rPr>
        <w:softHyphen/>
        <w:t>ливались стальными тросами. Отдельные частифермы соединялись друг с другом шаровыми шарнирами, придававшими конструкции неко</w:t>
      </w:r>
      <w:r w:rsidRPr="00E93F40">
        <w:rPr>
          <w:rFonts w:ascii="Times New Roman" w:hAnsi="Times New Roman"/>
          <w:color w:val="000000" w:themeColor="text1"/>
          <w:sz w:val="16"/>
          <w:szCs w:val="16"/>
        </w:rPr>
        <w:softHyphen/>
        <w:t>торую гибкость, необходимую при грубой посад</w:t>
      </w:r>
      <w:r w:rsidRPr="00E93F40">
        <w:rPr>
          <w:rFonts w:ascii="Times New Roman" w:hAnsi="Times New Roman"/>
          <w:color w:val="000000" w:themeColor="text1"/>
          <w:sz w:val="16"/>
          <w:szCs w:val="16"/>
        </w:rPr>
        <w:softHyphen/>
        <w:t>ке или в полёте в турбулентной атмосфере.</w:t>
      </w:r>
    </w:p>
    <w:p w14:paraId="1A88DF2F" w14:textId="77777777" w:rsidR="00DA3046" w:rsidRPr="00E93F40" w:rsidRDefault="00DA30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Носовое усиление представляло собой обтя</w:t>
      </w:r>
      <w:r w:rsidRPr="00E93F40">
        <w:rPr>
          <w:rFonts w:ascii="Times New Roman" w:hAnsi="Times New Roman"/>
          <w:color w:val="000000" w:themeColor="text1"/>
          <w:sz w:val="16"/>
          <w:szCs w:val="16"/>
        </w:rPr>
        <w:softHyphen/>
        <w:t>нутый снаружи тканью купол, образованный плоскими стальными трубчатыми фермочками, скреплёнными поперечными кольцами из сталь</w:t>
      </w:r>
      <w:r w:rsidRPr="00E93F40">
        <w:rPr>
          <w:rFonts w:ascii="Times New Roman" w:hAnsi="Times New Roman"/>
          <w:color w:val="000000" w:themeColor="text1"/>
          <w:sz w:val="16"/>
          <w:szCs w:val="16"/>
        </w:rPr>
        <w:softHyphen/>
        <w:t>ных труб. Кормовое развитие являлось продол</w:t>
      </w:r>
      <w:r w:rsidRPr="00E93F40">
        <w:rPr>
          <w:rFonts w:ascii="Times New Roman" w:hAnsi="Times New Roman"/>
          <w:color w:val="000000" w:themeColor="text1"/>
          <w:sz w:val="16"/>
          <w:szCs w:val="16"/>
        </w:rPr>
        <w:softHyphen/>
        <w:t>жением килевой фермы, входившей в оболочку и служившей для крепления горизонтальных ста</w:t>
      </w:r>
      <w:r w:rsidRPr="00E93F40">
        <w:rPr>
          <w:rFonts w:ascii="Times New Roman" w:hAnsi="Times New Roman"/>
          <w:color w:val="000000" w:themeColor="text1"/>
          <w:sz w:val="16"/>
          <w:szCs w:val="16"/>
        </w:rPr>
        <w:softHyphen/>
        <w:t>билизаторов. Оно позволяло сохранять управле</w:t>
      </w:r>
      <w:r w:rsidRPr="00E93F40">
        <w:rPr>
          <w:rFonts w:ascii="Times New Roman" w:hAnsi="Times New Roman"/>
          <w:color w:val="000000" w:themeColor="text1"/>
          <w:sz w:val="16"/>
          <w:szCs w:val="16"/>
        </w:rPr>
        <w:softHyphen/>
        <w:t>ние дирижаблем при повреждении кормового газового отсека и устраняло некоторую подвиж</w:t>
      </w:r>
      <w:r w:rsidRPr="00E93F40">
        <w:rPr>
          <w:rFonts w:ascii="Times New Roman" w:hAnsi="Times New Roman"/>
          <w:color w:val="000000" w:themeColor="text1"/>
          <w:sz w:val="16"/>
          <w:szCs w:val="16"/>
        </w:rPr>
        <w:softHyphen/>
        <w:t>ность оперения при его креплении к оболочке. Нижний вертикальный стабилизатор жёстко кре</w:t>
      </w:r>
      <w:r w:rsidRPr="00E93F40">
        <w:rPr>
          <w:rFonts w:ascii="Times New Roman" w:hAnsi="Times New Roman"/>
          <w:color w:val="000000" w:themeColor="text1"/>
          <w:sz w:val="16"/>
          <w:szCs w:val="16"/>
        </w:rPr>
        <w:softHyphen/>
        <w:t>пился к килю, а верхний расчаливался к оболоч</w:t>
      </w:r>
      <w:r w:rsidRPr="00E93F40">
        <w:rPr>
          <w:rFonts w:ascii="Times New Roman" w:hAnsi="Times New Roman"/>
          <w:color w:val="000000" w:themeColor="text1"/>
          <w:sz w:val="16"/>
          <w:szCs w:val="16"/>
        </w:rPr>
        <w:softHyphen/>
        <w:t>ке. На горизонтальных стабилизаторах имелись рули высоты, отклонявшиеся на угол 30° в обоих направлениях, а на нижнем вертикальном стаби</w:t>
      </w:r>
      <w:r w:rsidRPr="00E93F40">
        <w:rPr>
          <w:rFonts w:ascii="Times New Roman" w:hAnsi="Times New Roman"/>
          <w:color w:val="000000" w:themeColor="text1"/>
          <w:sz w:val="16"/>
          <w:szCs w:val="16"/>
        </w:rPr>
        <w:softHyphen/>
        <w:t>лизаторе — руль направления.</w:t>
      </w:r>
    </w:p>
    <w:p w14:paraId="0FE6DFE6" w14:textId="77777777" w:rsidR="00DA3046" w:rsidRPr="00E93F40" w:rsidRDefault="00DA30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передней части к килевой ферме с помощью тросов крепилась гондола. В её передней части на</w:t>
      </w:r>
      <w:r w:rsidRPr="00E93F40">
        <w:rPr>
          <w:rFonts w:ascii="Times New Roman" w:hAnsi="Times New Roman"/>
          <w:color w:val="000000" w:themeColor="text1"/>
          <w:sz w:val="16"/>
          <w:szCs w:val="16"/>
        </w:rPr>
        <w:softHyphen/>
        <w:t>ходилась рубка управления, а в задней располага</w:t>
      </w:r>
      <w:r w:rsidRPr="00E93F40">
        <w:rPr>
          <w:rFonts w:ascii="Times New Roman" w:hAnsi="Times New Roman"/>
          <w:color w:val="000000" w:themeColor="text1"/>
          <w:sz w:val="16"/>
          <w:szCs w:val="16"/>
        </w:rPr>
        <w:softHyphen/>
        <w:t>лись пассажирские помещения, рассчитанные на 20 человек. Управление рулями осуществлялось установленными в гондоле штурвалами и тросо</w:t>
      </w:r>
      <w:r w:rsidRPr="00E93F40">
        <w:rPr>
          <w:rFonts w:ascii="Times New Roman" w:hAnsi="Times New Roman"/>
          <w:color w:val="000000" w:themeColor="text1"/>
          <w:sz w:val="16"/>
          <w:szCs w:val="16"/>
        </w:rPr>
        <w:softHyphen/>
        <w:t>вой проводкой. Внутри килевой фермы имелся коридор, по которому можно было пройти из рубки управления к моторным гондолам. Здесь же располагались топливные и балластные баки. Под днищем гондолы и кормовой мотогондолы имелись пневматические амортизаторы.</w:t>
      </w:r>
    </w:p>
    <w:p w14:paraId="27283B85" w14:textId="77777777" w:rsidR="00DA3046" w:rsidRPr="00E93F40" w:rsidRDefault="00DA30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Три мотора «Майбах» мощностью по 260 л.с. размещались в обтекаемых мотогондолах, кото</w:t>
      </w:r>
      <w:r w:rsidRPr="00E93F40">
        <w:rPr>
          <w:rFonts w:ascii="Times New Roman" w:hAnsi="Times New Roman"/>
          <w:color w:val="000000" w:themeColor="text1"/>
          <w:sz w:val="16"/>
          <w:szCs w:val="16"/>
        </w:rPr>
        <w:softHyphen/>
        <w:t>рые посредством подкосов и тросов крепились к килевой ферме. Две передние мотогондолы располагались по бокам фермы, а кормовая — под ней. Дирижабль имел полезную нагрузку 8500 кг и развивал скорость до 113 км/ч (20120).</w:t>
      </w:r>
    </w:p>
    <w:p w14:paraId="4D80234D" w14:textId="77777777" w:rsidR="00DA3046" w:rsidRPr="00E93F40" w:rsidRDefault="00DA3046" w:rsidP="00E93F40">
      <w:pPr>
        <w:spacing w:after="0" w:line="240" w:lineRule="auto"/>
        <w:jc w:val="both"/>
        <w:rPr>
          <w:rFonts w:ascii="Times New Roman" w:hAnsi="Times New Roman"/>
          <w:color w:val="000000" w:themeColor="text1"/>
          <w:sz w:val="16"/>
          <w:szCs w:val="16"/>
        </w:rPr>
      </w:pPr>
    </w:p>
    <w:p w14:paraId="2FA28352" w14:textId="77777777" w:rsidR="009B38E3" w:rsidRPr="00E93F40" w:rsidRDefault="009B38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начались полеты второго планера Черановского РП-1 № 2, построенного для ГИРДа. Он лишь в мелочах отличался от первого БИЧ-11 (РП-1 № 1).</w:t>
      </w:r>
    </w:p>
    <w:p w14:paraId="0894BC35" w14:textId="77777777" w:rsidR="009B38E3" w:rsidRPr="00E93F40" w:rsidRDefault="009B38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продолжались и в 1933 г. Всего С.П.Королев выполнил на двух РП-1 34 полета, из них 5 — с включением поршневого двигателя. В связи с тем, что от ЖРД не удалось добиться надежной работы, БИЧ-11 так и не стал ракетопланом и, по указанию сверху, оба построенных аппарата, считавшихся секретными, были преданы огню. Время реактивных "бесхвосток" еще не пришло (24253).</w:t>
      </w:r>
    </w:p>
    <w:p w14:paraId="4D04E172" w14:textId="77777777" w:rsidR="009B38E3" w:rsidRPr="00E93F40" w:rsidRDefault="009B38E3" w:rsidP="00E93F40">
      <w:pPr>
        <w:spacing w:after="0" w:line="240" w:lineRule="auto"/>
        <w:jc w:val="both"/>
        <w:rPr>
          <w:rFonts w:ascii="Times New Roman" w:hAnsi="Times New Roman"/>
          <w:color w:val="000000" w:themeColor="text1"/>
          <w:sz w:val="16"/>
          <w:szCs w:val="16"/>
        </w:rPr>
      </w:pPr>
    </w:p>
    <w:p w14:paraId="4846C6F1" w14:textId="77777777" w:rsidR="00F7274F" w:rsidRPr="00142305" w:rsidRDefault="00F7274F" w:rsidP="00F727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1932 г. испытания мин и торпед с ТБ-1 в Севастополе перешли в стадию войсковых, когда тор</w:t>
      </w:r>
      <w:r w:rsidRPr="00142305">
        <w:rPr>
          <w:rFonts w:ascii="Times New Roman" w:hAnsi="Times New Roman"/>
          <w:color w:val="0070C0"/>
          <w:sz w:val="16"/>
          <w:szCs w:val="16"/>
        </w:rPr>
        <w:softHyphen/>
        <w:t>педами попробовали поражать различные морские цели. Главной являлся линкор «Парижская Коммуна», но сбра</w:t>
      </w:r>
      <w:r w:rsidRPr="00142305">
        <w:rPr>
          <w:rFonts w:ascii="Times New Roman" w:hAnsi="Times New Roman"/>
          <w:color w:val="0070C0"/>
          <w:sz w:val="16"/>
          <w:szCs w:val="16"/>
        </w:rPr>
        <w:softHyphen/>
        <w:t>сывали торпеду так, чтобы она прошла заведомо мимо корабля. Это объяснялось тем, что не имелось «мнущих</w:t>
      </w:r>
      <w:r w:rsidRPr="00142305">
        <w:rPr>
          <w:rFonts w:ascii="Times New Roman" w:hAnsi="Times New Roman"/>
          <w:color w:val="0070C0"/>
          <w:sz w:val="16"/>
          <w:szCs w:val="16"/>
        </w:rPr>
        <w:softHyphen/>
        <w:t>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из-за того, что трудно было учесть снос парашютов ветром, но при этом механизмы торпед сработали исправно. Всего до 14 ноября выполни</w:t>
      </w:r>
      <w:r w:rsidRPr="00142305">
        <w:rPr>
          <w:rFonts w:ascii="Times New Roman" w:hAnsi="Times New Roman"/>
          <w:color w:val="0070C0"/>
          <w:sz w:val="16"/>
          <w:szCs w:val="16"/>
        </w:rPr>
        <w:softHyphen/>
        <w:t>ли девять сбрасываний. В первую очередь всех интересо</w:t>
      </w:r>
      <w:r w:rsidRPr="00142305">
        <w:rPr>
          <w:rFonts w:ascii="Times New Roman" w:hAnsi="Times New Roman"/>
          <w:color w:val="0070C0"/>
          <w:sz w:val="16"/>
          <w:szCs w:val="16"/>
        </w:rPr>
        <w:softHyphen/>
        <w:t>вала баллистика системы, и часто сбрасывали «болван</w:t>
      </w:r>
      <w:r w:rsidRPr="00142305">
        <w:rPr>
          <w:rFonts w:ascii="Times New Roman" w:hAnsi="Times New Roman"/>
          <w:color w:val="0070C0"/>
          <w:sz w:val="16"/>
          <w:szCs w:val="16"/>
        </w:rPr>
        <w:softHyphen/>
        <w:t>ки» - габаритно-весовые макеты без «начинки» (25004).</w:t>
      </w:r>
    </w:p>
    <w:p w14:paraId="5E4ADE1F" w14:textId="77777777" w:rsidR="00F7274F" w:rsidRPr="00142305" w:rsidRDefault="00F7274F" w:rsidP="00F7274F">
      <w:pPr>
        <w:spacing w:after="0" w:line="240" w:lineRule="auto"/>
        <w:jc w:val="both"/>
        <w:rPr>
          <w:rFonts w:ascii="Times New Roman" w:hAnsi="Times New Roman"/>
          <w:color w:val="0070C0"/>
          <w:sz w:val="16"/>
          <w:szCs w:val="16"/>
        </w:rPr>
      </w:pPr>
    </w:p>
    <w:p w14:paraId="6CF6167D" w14:textId="77777777" w:rsidR="009B38E3" w:rsidRPr="00E93F40" w:rsidRDefault="009B38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в честь 75-летия со дня рождения К.Э.Циолковского в ГИРД был создан Технический совет. Руководителем Техсовета Цен</w:t>
      </w:r>
      <w:r w:rsidRPr="00E93F40">
        <w:rPr>
          <w:rFonts w:ascii="Times New Roman" w:hAnsi="Times New Roman"/>
          <w:color w:val="000000" w:themeColor="text1"/>
          <w:sz w:val="16"/>
          <w:szCs w:val="16"/>
        </w:rPr>
        <w:softHyphen/>
        <w:t>тральной группы ГИРДа стал Цандер. Техсовет определил три основных направления работы.</w:t>
      </w:r>
    </w:p>
    <w:p w14:paraId="37C99F8A" w14:textId="77777777" w:rsidR="009B38E3" w:rsidRPr="00E93F40" w:rsidRDefault="009B38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 направлением стали исследования и разработка летательных аппаратов различных типов - небольших ракет и пилотируемых ракетопланов, сочетающих в себе баллистиче</w:t>
      </w:r>
      <w:r w:rsidRPr="00E93F40">
        <w:rPr>
          <w:rFonts w:ascii="Times New Roman" w:hAnsi="Times New Roman"/>
          <w:color w:val="000000" w:themeColor="text1"/>
          <w:sz w:val="16"/>
          <w:szCs w:val="16"/>
        </w:rPr>
        <w:softHyphen/>
        <w:t>ские качества ракеты и аэродинамические свойства самолета.</w:t>
      </w:r>
    </w:p>
    <w:p w14:paraId="4CFA3AC9" w14:textId="77777777" w:rsidR="009B38E3" w:rsidRPr="00E93F40" w:rsidRDefault="009B38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Второе направление - исследования и разработки дви</w:t>
      </w:r>
      <w:r w:rsidRPr="00E93F40">
        <w:rPr>
          <w:rFonts w:ascii="Times New Roman" w:hAnsi="Times New Roman"/>
          <w:color w:val="000000" w:themeColor="text1"/>
          <w:sz w:val="16"/>
          <w:szCs w:val="16"/>
        </w:rPr>
        <w:softHyphen/>
        <w:t>гателей для различных летательных аппаратов. С первых ша</w:t>
      </w:r>
      <w:r w:rsidRPr="00E93F40">
        <w:rPr>
          <w:rFonts w:ascii="Times New Roman" w:hAnsi="Times New Roman"/>
          <w:color w:val="000000" w:themeColor="text1"/>
          <w:sz w:val="16"/>
          <w:szCs w:val="16"/>
        </w:rPr>
        <w:softHyphen/>
        <w:t>гов решено было заниматься созданием жидкостных ракетных двигателей, воздушно-реактивных двигателей и двигателей, преобразующих солнечную энергию в энергию активной или реактивной силы. С целью создания в кратчайшие сроки пер</w:t>
      </w:r>
      <w:r w:rsidRPr="00E93F40">
        <w:rPr>
          <w:rFonts w:ascii="Times New Roman" w:hAnsi="Times New Roman"/>
          <w:color w:val="000000" w:themeColor="text1"/>
          <w:sz w:val="16"/>
          <w:szCs w:val="16"/>
        </w:rPr>
        <w:softHyphen/>
        <w:t>вой ракеты был разработан двигатель на гибридном топливе.</w:t>
      </w:r>
    </w:p>
    <w:p w14:paraId="36AE2010" w14:textId="77777777" w:rsidR="009B38E3" w:rsidRPr="00E93F40" w:rsidRDefault="009B38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Третье направление - выбор наиболее оптимальных видов топлива для летательных аппаратов. Цандер отдавал предпочте</w:t>
      </w:r>
      <w:r w:rsidRPr="00E93F40">
        <w:rPr>
          <w:rFonts w:ascii="Times New Roman" w:hAnsi="Times New Roman"/>
          <w:color w:val="000000" w:themeColor="text1"/>
          <w:sz w:val="16"/>
          <w:szCs w:val="16"/>
        </w:rPr>
        <w:softHyphen/>
        <w:t>ние топливу на основе жидкого кислорода как обеспечивающего наибольшее тепловыделение. В перспективе предполагалось ис</w:t>
      </w:r>
      <w:r w:rsidRPr="00E93F40">
        <w:rPr>
          <w:rFonts w:ascii="Times New Roman" w:hAnsi="Times New Roman"/>
          <w:color w:val="000000" w:themeColor="text1"/>
          <w:sz w:val="16"/>
          <w:szCs w:val="16"/>
        </w:rPr>
        <w:softHyphen/>
        <w:t>пользование жидкого водорода и металлических добавок.</w:t>
      </w:r>
    </w:p>
    <w:p w14:paraId="5110E6FE" w14:textId="77777777" w:rsidR="009B38E3" w:rsidRPr="00E93F40" w:rsidRDefault="009B38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реализации этих направлений в ГИРДе были образо</w:t>
      </w:r>
      <w:r w:rsidRPr="00E93F40">
        <w:rPr>
          <w:rFonts w:ascii="Times New Roman" w:hAnsi="Times New Roman"/>
          <w:color w:val="000000" w:themeColor="text1"/>
          <w:sz w:val="16"/>
          <w:szCs w:val="16"/>
        </w:rPr>
        <w:softHyphen/>
        <w:t>ваны четыре отдела: научно-исследовательский и опытно-экс</w:t>
      </w:r>
      <w:r w:rsidRPr="00E93F40">
        <w:rPr>
          <w:rFonts w:ascii="Times New Roman" w:hAnsi="Times New Roman"/>
          <w:color w:val="000000" w:themeColor="text1"/>
          <w:sz w:val="16"/>
          <w:szCs w:val="16"/>
        </w:rPr>
        <w:softHyphen/>
        <w:t>периментальный, административно управленческий, оргмас- совый (пропаганда и учеба), производственный (строительство опытных конструкций). Главную роль играл первый отдел, со</w:t>
      </w:r>
      <w:r w:rsidRPr="00E93F40">
        <w:rPr>
          <w:rFonts w:ascii="Times New Roman" w:hAnsi="Times New Roman"/>
          <w:color w:val="000000" w:themeColor="text1"/>
          <w:sz w:val="16"/>
          <w:szCs w:val="16"/>
        </w:rPr>
        <w:softHyphen/>
        <w:t>стоявший из четырех бригад.</w:t>
      </w:r>
    </w:p>
    <w:p w14:paraId="107A8EAB" w14:textId="77777777" w:rsidR="009B38E3" w:rsidRPr="00E93F40" w:rsidRDefault="009B38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Первую бригаду возглавил Ф.А.Цандер. Здесь под его ру</w:t>
      </w:r>
      <w:r w:rsidRPr="00E93F40">
        <w:rPr>
          <w:rFonts w:ascii="Times New Roman" w:hAnsi="Times New Roman"/>
          <w:color w:val="000000" w:themeColor="text1"/>
          <w:sz w:val="16"/>
          <w:szCs w:val="16"/>
        </w:rPr>
        <w:softHyphen/>
        <w:t>ководством занимались созданием ракет и ракетных двигате</w:t>
      </w:r>
      <w:r w:rsidRPr="00E93F40">
        <w:rPr>
          <w:rFonts w:ascii="Times New Roman" w:hAnsi="Times New Roman"/>
          <w:color w:val="000000" w:themeColor="text1"/>
          <w:sz w:val="16"/>
          <w:szCs w:val="16"/>
        </w:rPr>
        <w:softHyphen/>
        <w:t>лей. Были разработаны двигатели OP-1, ОР-2, 0-10. Здесь под руководством Цандера были созданы первые ракеты ГИРД-Х, ГИРД-07 и другие (23510).</w:t>
      </w:r>
    </w:p>
    <w:p w14:paraId="48BFFB48" w14:textId="77777777" w:rsidR="009B38E3" w:rsidRPr="00E93F40" w:rsidRDefault="009B38E3" w:rsidP="00E93F40">
      <w:pPr>
        <w:spacing w:after="0" w:line="240" w:lineRule="auto"/>
        <w:jc w:val="both"/>
        <w:rPr>
          <w:rFonts w:ascii="Times New Roman" w:hAnsi="Times New Roman"/>
          <w:color w:val="000000" w:themeColor="text1"/>
          <w:sz w:val="16"/>
          <w:szCs w:val="16"/>
        </w:rPr>
      </w:pPr>
    </w:p>
    <w:p w14:paraId="6EE5AF3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C7FF8A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73A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ХПЗ получил задание на установку на БТ радиостанции 71ТК и 72ТК к декабрю (3880,7).</w:t>
      </w:r>
    </w:p>
    <w:p w14:paraId="73AA39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7ED807" w14:textId="571555F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по решению СТО на Путиловском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Ленинград;</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Челябинск/ /198097</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Ленинград,</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Санкт-Петербург пр. Стачек, д. 47 тел. 183-80-01/)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p>
    <w:p w14:paraId="71326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 (11982).</w:t>
      </w:r>
    </w:p>
    <w:p w14:paraId="35589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616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сентября 1932 Ижорский завод перешел на производство брони марки ПИ толщиной 15 мм для Т-26, что привело к росту массы танка (9527,71).</w:t>
      </w:r>
    </w:p>
    <w:p w14:paraId="6AECF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83A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в ВАММ и Евтушенко и Сахаров под руководством Ж.Я.Котина разработали проект химической танкетки Т-27/ММ с новой подвеской и приспособлением для постановки дымзавес (9527,179).</w:t>
      </w:r>
    </w:p>
    <w:p w14:paraId="18A8E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BE7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в НИО ВАММ при разработке химической танкетки Т-27/ММ и Евтушенко и Сахаровым под руководством Ж.Я.Котина был предложен новый вариант подвески Т-27 по типу Карден-Лойд, но с другим числом катков и рессорами (9527,255).</w:t>
      </w:r>
    </w:p>
    <w:p w14:paraId="5DA88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86F2D9"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1932 года первые три машины Т-26, оборудованные радиостанциями № 7Н, вы</w:t>
      </w:r>
      <w:r w:rsidRPr="00142305">
        <w:rPr>
          <w:rFonts w:ascii="Times New Roman" w:hAnsi="Times New Roman"/>
          <w:color w:val="0070C0"/>
          <w:sz w:val="16"/>
          <w:szCs w:val="16"/>
        </w:rPr>
        <w:softHyphen/>
        <w:t>шли на испытания. Танки имели поручне- вые антенны, установленные на крыльях и корпусе. Антенный ввод находился в пе</w:t>
      </w:r>
      <w:r w:rsidRPr="00142305">
        <w:rPr>
          <w:rFonts w:ascii="Times New Roman" w:hAnsi="Times New Roman"/>
          <w:color w:val="0070C0"/>
          <w:sz w:val="16"/>
          <w:szCs w:val="16"/>
        </w:rPr>
        <w:softHyphen/>
        <w:t>редней части крыши подбашенной коробки между башнями. Испытания прошли ус</w:t>
      </w:r>
      <w:r w:rsidRPr="00142305">
        <w:rPr>
          <w:rFonts w:ascii="Times New Roman" w:hAnsi="Times New Roman"/>
          <w:color w:val="0070C0"/>
          <w:sz w:val="16"/>
          <w:szCs w:val="16"/>
        </w:rPr>
        <w:softHyphen/>
        <w:t>пешно и с 1 января 1933 года предполага</w:t>
      </w:r>
      <w:r w:rsidRPr="00142305">
        <w:rPr>
          <w:rFonts w:ascii="Times New Roman" w:hAnsi="Times New Roman"/>
          <w:color w:val="0070C0"/>
          <w:sz w:val="16"/>
          <w:szCs w:val="16"/>
        </w:rPr>
        <w:softHyphen/>
        <w:t>лось начать серийный выпуск «радиотанков управления». В октябре 1932 года заводу имени Ворошилова отгрузили еще 7 радио</w:t>
      </w:r>
      <w:r w:rsidRPr="00142305">
        <w:rPr>
          <w:rFonts w:ascii="Times New Roman" w:hAnsi="Times New Roman"/>
          <w:color w:val="0070C0"/>
          <w:sz w:val="16"/>
          <w:szCs w:val="16"/>
        </w:rPr>
        <w:softHyphen/>
        <w:t>станций № 7Н, но были ли они установле</w:t>
      </w:r>
      <w:r w:rsidRPr="00142305">
        <w:rPr>
          <w:rFonts w:ascii="Times New Roman" w:hAnsi="Times New Roman"/>
          <w:color w:val="0070C0"/>
          <w:sz w:val="16"/>
          <w:szCs w:val="16"/>
        </w:rPr>
        <w:softHyphen/>
        <w:t>ны в танки неизвестно.</w:t>
      </w:r>
    </w:p>
    <w:p w14:paraId="3F1F6EE3"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выпуск радиотанков на базе двух</w:t>
      </w:r>
      <w:r w:rsidRPr="00142305">
        <w:rPr>
          <w:rFonts w:ascii="Times New Roman" w:hAnsi="Times New Roman"/>
          <w:color w:val="0070C0"/>
          <w:sz w:val="16"/>
          <w:szCs w:val="16"/>
        </w:rPr>
        <w:softHyphen/>
        <w:t>башенного Т-26 так и не был начат из-за не</w:t>
      </w:r>
      <w:r w:rsidRPr="00142305">
        <w:rPr>
          <w:rFonts w:ascii="Times New Roman" w:hAnsi="Times New Roman"/>
          <w:color w:val="0070C0"/>
          <w:sz w:val="16"/>
          <w:szCs w:val="16"/>
        </w:rPr>
        <w:softHyphen/>
        <w:t>готовности производства радиостанций № 7Н и принятием на вооружение одноба</w:t>
      </w:r>
      <w:r w:rsidRPr="00142305">
        <w:rPr>
          <w:rFonts w:ascii="Times New Roman" w:hAnsi="Times New Roman"/>
          <w:color w:val="0070C0"/>
          <w:sz w:val="16"/>
          <w:szCs w:val="16"/>
        </w:rPr>
        <w:softHyphen/>
        <w:t>шенных танков с радиостанцией (24999).</w:t>
      </w:r>
    </w:p>
    <w:p w14:paraId="33EDBE33" w14:textId="77777777" w:rsidR="00EC436A" w:rsidRPr="00142305" w:rsidRDefault="00EC436A" w:rsidP="00EC436A">
      <w:pPr>
        <w:spacing w:after="0" w:line="240" w:lineRule="auto"/>
        <w:jc w:val="both"/>
        <w:rPr>
          <w:rFonts w:ascii="Times New Roman" w:hAnsi="Times New Roman"/>
          <w:color w:val="0070C0"/>
          <w:sz w:val="16"/>
          <w:szCs w:val="16"/>
        </w:rPr>
      </w:pPr>
    </w:p>
    <w:p w14:paraId="42A68C29"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1932 года в Научно-исследовательском отделе Военной академии механизации и моторизации под руководством Ж. Я. Котина был разработан проект танкетки Т-27/ММ с оригинальным вариантом подве</w:t>
      </w:r>
      <w:r w:rsidRPr="00142305">
        <w:rPr>
          <w:rFonts w:ascii="Times New Roman" w:hAnsi="Times New Roman"/>
          <w:color w:val="0070C0"/>
          <w:sz w:val="16"/>
          <w:szCs w:val="16"/>
        </w:rPr>
        <w:softHyphen/>
        <w:t>ски и своим вариантом дымовой аппаратуры (25021).</w:t>
      </w:r>
    </w:p>
    <w:p w14:paraId="0A5BCE60" w14:textId="77777777" w:rsidR="00EC436A" w:rsidRPr="00142305" w:rsidRDefault="00EC436A" w:rsidP="00EC436A">
      <w:pPr>
        <w:spacing w:after="0" w:line="240" w:lineRule="auto"/>
        <w:jc w:val="both"/>
        <w:rPr>
          <w:rFonts w:ascii="Times New Roman" w:hAnsi="Times New Roman"/>
          <w:color w:val="0070C0"/>
          <w:sz w:val="16"/>
          <w:szCs w:val="16"/>
        </w:rPr>
      </w:pPr>
    </w:p>
    <w:p w14:paraId="7F08E54E"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1932 г. в НИО ВАММ им. Сталина конструкторы Евтушенко и Сахаров под руководством инженера Ж.Я. Котина разработали проект химической танкетки. Проект, названый Т-27/ММ, был представлен начальником в НТУ УММ РККА 26 февраля 1932 г. От серийного образца предложенная машина отличалась установкой новой подвески и приспособлением для постановки дымовых завес. Кроме того, в апреле 1933 г. начальник 3-го сектора НТУ ВОХИМУ РККА Новосельцев утвердил тактико-технические требования на разработку</w:t>
      </w:r>
    </w:p>
    <w:p w14:paraId="1351D687"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«танкезированной боевой химической машины (ТБХ) на базе ХТ-27».</w:t>
      </w:r>
    </w:p>
    <w:p w14:paraId="459FAFD1"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эти проекты не были реализованы в связи с прекращением выпуска базовой машины (25556).</w:t>
      </w:r>
    </w:p>
    <w:p w14:paraId="1A28B64D" w14:textId="77777777" w:rsidR="00EC436A" w:rsidRPr="00142305" w:rsidRDefault="00EC436A" w:rsidP="00EC436A">
      <w:pPr>
        <w:spacing w:after="0" w:line="240" w:lineRule="auto"/>
        <w:jc w:val="both"/>
        <w:rPr>
          <w:rFonts w:ascii="Times New Roman" w:hAnsi="Times New Roman"/>
          <w:color w:val="0070C0"/>
          <w:sz w:val="16"/>
          <w:szCs w:val="16"/>
        </w:rPr>
      </w:pPr>
    </w:p>
    <w:p w14:paraId="71E23E68"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начальник Дизельного отдела ХПЗ К.Ф. Челпан снова находился в командировке в Ленинграде в ОКМО завода им. Ворошилова, где по просьбе председателя НТК УММ РККА И.А. Лебедева его подробно ознакомили с конструкцией опытного образца дизеля ПГЕ (24856).</w:t>
      </w:r>
    </w:p>
    <w:p w14:paraId="0F81194A"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25D19EC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первые десять танков с опытной радиостанцией «№ 7Н» вышли на испытания. Все танки получили поручневые антенны, стойки крепления которых устанавливались на крыльях (грязевиках). Антенный ввод рас-пагался в передней части крыши подбашенной коробки между башен. Испытания прошли успешно, и танк был официально с 1 января 1933 г. принят на вооружение. Но его рийное производство, судя по всему, развернуто не было (10733,185).</w:t>
      </w:r>
    </w:p>
    <w:p w14:paraId="75C515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D9AE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работы по обоим вариантам танков ТММ были прекращены. Академия занималась рзработкой проектов сразу двух танков, отличавшихся эмиссией, бронекорпусом и вооружением. «Танк ММ образец № 1» (ТММ-1) должен был отличать</w:t>
      </w:r>
      <w:r w:rsidRPr="00E93F40">
        <w:rPr>
          <w:rFonts w:ascii="Times New Roman" w:hAnsi="Times New Roman"/>
          <w:color w:val="000000" w:themeColor="text1"/>
          <w:sz w:val="16"/>
          <w:szCs w:val="16"/>
        </w:rPr>
        <w:softHyphen/>
        <w:t>ся от «Виккерса» Мк.Е. компоновкой с размещением води</w:t>
      </w:r>
      <w:r w:rsidRPr="00E93F40">
        <w:rPr>
          <w:rFonts w:ascii="Times New Roman" w:hAnsi="Times New Roman"/>
          <w:color w:val="000000" w:themeColor="text1"/>
          <w:sz w:val="16"/>
          <w:szCs w:val="16"/>
        </w:rPr>
        <w:softHyphen/>
        <w:t>теля слева, усиленной до 15 мм броней, и третьей огневой точкой в корпусе. В качестве силовой установки предполага</w:t>
      </w:r>
      <w:r w:rsidRPr="00E93F40">
        <w:rPr>
          <w:rFonts w:ascii="Times New Roman" w:hAnsi="Times New Roman"/>
          <w:color w:val="000000" w:themeColor="text1"/>
          <w:sz w:val="16"/>
          <w:szCs w:val="16"/>
        </w:rPr>
        <w:softHyphen/>
        <w:t>лось использовать мотор водяного охлаждения «Геркулес». Трансмиссия полностью заимствовалась от В-26. «Танк ММ образец № 2» (ТММ-2) предполагалось оснастить помимо двигателя «Геркулес» также улучшенной КПП и механизмом поворота без бортовых фрикционов. Корпус танка должен был также иметь улучшенную броневую защиту в виде штампованного переднего бронелиста толщиной 15 мм. Приказом по УММ проектные работу по ТММ-1 и ТММ-2 предлагалось закончить к июню 1931 г., а опытные образцы танков изготовить и испытать к началу 1932 г. Испытания изготовленных танков показали, что ника</w:t>
      </w:r>
      <w:r w:rsidRPr="00E93F40">
        <w:rPr>
          <w:rFonts w:ascii="Times New Roman" w:hAnsi="Times New Roman"/>
          <w:color w:val="000000" w:themeColor="text1"/>
          <w:sz w:val="16"/>
          <w:szCs w:val="16"/>
        </w:rPr>
        <w:softHyphen/>
        <w:t>ких особых преимуществ перед Т-26 новые танки не имели. Более того, улучшенная КПП и механизм поворота танка ТММ-2 оказались даже хуже, чем таковые у «Виккерса» и Т-26. Танк в ходе испытаний не мог развить скорость свы</w:t>
      </w:r>
      <w:r w:rsidRPr="00E93F40">
        <w:rPr>
          <w:rFonts w:ascii="Times New Roman" w:hAnsi="Times New Roman"/>
          <w:color w:val="000000" w:themeColor="text1"/>
          <w:sz w:val="16"/>
          <w:szCs w:val="16"/>
        </w:rPr>
        <w:softHyphen/>
        <w:t>ше 25 км/ч. Двигатель вследствие неудачного режима рабо-перегревался, а маневренность танка ухудшилась. Все попытки как-то улучшить характеристики ТММ оказались тщетными. Далее выяснилось, что при переходе к однобашенной схеме расположение водителя слева создает помехи в работе наводчика, особенно при ведении огня вправо от направления движения (10733,187).</w:t>
      </w:r>
    </w:p>
    <w:p w14:paraId="4DF7EA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D8F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были рассмотрены переработанные по результатам испытаний чертежи второго опытного об</w:t>
      </w:r>
      <w:r w:rsidRPr="00E93F40">
        <w:rPr>
          <w:rFonts w:ascii="Times New Roman" w:hAnsi="Times New Roman"/>
          <w:color w:val="000000" w:themeColor="text1"/>
          <w:sz w:val="16"/>
          <w:szCs w:val="16"/>
        </w:rPr>
        <w:softHyphen/>
        <w:t>разца Т-28. От исходной машины осталось мало. Измене</w:t>
      </w:r>
      <w:r w:rsidRPr="00E93F40">
        <w:rPr>
          <w:rFonts w:ascii="Times New Roman" w:hAnsi="Times New Roman"/>
          <w:color w:val="000000" w:themeColor="text1"/>
          <w:sz w:val="16"/>
          <w:szCs w:val="16"/>
        </w:rPr>
        <w:softHyphen/>
        <w:t>ния были внесены практически во все узлы — подвеску, конструкцию корпуса и башен, силовой агрегат, трансмис</w:t>
      </w:r>
      <w:r w:rsidRPr="00E93F40">
        <w:rPr>
          <w:rFonts w:ascii="Times New Roman" w:hAnsi="Times New Roman"/>
          <w:color w:val="000000" w:themeColor="text1"/>
          <w:sz w:val="16"/>
          <w:szCs w:val="16"/>
        </w:rPr>
        <w:softHyphen/>
        <w:t>сию, вооружение. Практически это был новый танк (10733,233).</w:t>
      </w:r>
    </w:p>
    <w:p w14:paraId="46AA7D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ABC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сентябре 1932 конструкторы СТЗ во главе с начальником КБ В. Станкевичем закончили компоновочные чертежи первого советского гусеничного трактора средней мощности (11418).</w:t>
      </w:r>
    </w:p>
    <w:p w14:paraId="6C31F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843AA8"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началось изготовление опытного образца Д- 6 на заводе Можерез, и по состоянию на 21 ноября было следующим:</w:t>
      </w:r>
    </w:p>
    <w:p w14:paraId="12CB26A9"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«Мотоброневагон с двигателем «Геркулес» 105 л.с. (Д-6). Изготовлены верхняя и нижняя часть корпуса, корпус башни без погонов, лафета и поворотного механизма. Установлена ходовая часть с ручными тормозами, мотор «Геркулес» с коробкой скоростей Я-5 и реверсом Д-35, радиатор типа «Коммунар». Установлены глушители, трубопроводы, а также временный бензобак и временное управление броневагоном.</w:t>
      </w:r>
    </w:p>
    <w:p w14:paraId="1696DCE4"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указанном виде система будет готова к испытанию к 10.12.32 г. Дальнейшая сборка задержана за отсутствием чертежей». К этому времени военные отказались от услуг Дыренкова, и приказом по УММ РККА от 21 ноября 1932 года № 095 опытно-конструкторское и испытательное бюро расформировывалось с 1 декабря, а весь личный состав (за исключением Дыренкова) передавался в распоряжение директора завода Можерез «для окончания работ по заданиям УММ РККА» (15624).</w:t>
      </w:r>
    </w:p>
    <w:p w14:paraId="34A4D2D9" w14:textId="77777777" w:rsidR="00D607A5" w:rsidRPr="00E93F40" w:rsidRDefault="00D607A5" w:rsidP="00E93F40">
      <w:pPr>
        <w:spacing w:after="0" w:line="240" w:lineRule="auto"/>
        <w:jc w:val="both"/>
        <w:rPr>
          <w:rFonts w:ascii="Times New Roman" w:hAnsi="Times New Roman"/>
          <w:color w:val="000000" w:themeColor="text1"/>
          <w:sz w:val="16"/>
          <w:szCs w:val="16"/>
        </w:rPr>
      </w:pPr>
    </w:p>
    <w:p w14:paraId="32399544" w14:textId="1DD15CD3"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на заводе Можерез началось изготовление опытного образца Д-6, и по состоянию на 21 ноября было следующим:</w:t>
      </w:r>
      <w:r w:rsidR="007C1411" w:rsidRPr="00E93F40">
        <w:rPr>
          <w:rFonts w:ascii="Times New Roman" w:hAnsi="Times New Roman"/>
          <w:color w:val="000000" w:themeColor="text1"/>
          <w:sz w:val="16"/>
          <w:szCs w:val="16"/>
        </w:rPr>
        <w:t xml:space="preserve"> </w:t>
      </w:r>
    </w:p>
    <w:p w14:paraId="662021A6" w14:textId="2EC6F11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«Мотоброневагон с двигателем «Геркулес» 105 л.с. (Д-6). Изготовлены верхняя и нижняя часть корпуса, корпус башни без погонов, лафета и поворотного механизма. Установлена ходовая часть с ручными тормозами, мотор «Геркулес» с коробкой скоростей Я-5 и реверсом Д-35, радиатор типа «Коммунар». Установ-</w:t>
      </w:r>
      <w:r w:rsidR="007C1411" w:rsidRPr="00E93F40">
        <w:rPr>
          <w:rFonts w:ascii="Times New Roman" w:hAnsi="Times New Roman"/>
          <w:color w:val="000000" w:themeColor="text1"/>
          <w:sz w:val="16"/>
          <w:szCs w:val="16"/>
        </w:rPr>
        <w:t xml:space="preserve"> </w:t>
      </w:r>
    </w:p>
    <w:p w14:paraId="79B7D63C"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лены глушители, трубопроводы, а также временный бензобак и временное управление броневагоном. В указанном виде система будет готова к испытанию к 10.12.32 г. Дальнейшая сборка задержана за отсутствием чертежей» (18626).</w:t>
      </w:r>
    </w:p>
    <w:p w14:paraId="1CA2C272" w14:textId="77777777" w:rsidR="00A75BAC" w:rsidRPr="00E93F40" w:rsidRDefault="00A75BAC" w:rsidP="00E93F40">
      <w:pPr>
        <w:spacing w:after="0" w:line="240" w:lineRule="auto"/>
        <w:jc w:val="both"/>
        <w:rPr>
          <w:rFonts w:ascii="Times New Roman" w:hAnsi="Times New Roman"/>
          <w:color w:val="000000" w:themeColor="text1"/>
          <w:sz w:val="16"/>
          <w:szCs w:val="16"/>
        </w:rPr>
      </w:pPr>
    </w:p>
    <w:p w14:paraId="2B0A5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сентябре 1932 года на КМК была произведена первая плавка в мартеновском цехе, в ноябре вступил в строй блюминг, а 30 декабря в рельсобалочном цехе была прокатана первая партия рельс (11539). </w:t>
      </w:r>
    </w:p>
    <w:p w14:paraId="46109B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0907D6" w14:textId="77777777" w:rsidR="00304153" w:rsidRPr="00E93F40" w:rsidRDefault="003041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была произведена первая плавка в мартеновском цехе Кузнецкого металлургического комбината, в ноябре вступил в строй блюминг, а 30 декабря в рельсобалочном цехе была прокатана первая партия рельс. Таким образом в 1932 году комбинат вступил в строй. Он был построен за 1000 дней.</w:t>
      </w:r>
    </w:p>
    <w:p w14:paraId="4D7E6CFD" w14:textId="77777777" w:rsidR="00304153" w:rsidRPr="00E93F40" w:rsidRDefault="003041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апреля 1932 года вступила в строй первая домна.</w:t>
      </w:r>
    </w:p>
    <w:p w14:paraId="0628145C" w14:textId="77777777" w:rsidR="00304153" w:rsidRPr="00E93F40" w:rsidRDefault="003041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1930 года в праздничной обстановке был заложен фундамент доменной печи, а 1 апреля 1932 года в 3 часа 55 минут первая кузнецкая домна была задута. 3 апреля 1932 году был получен первый чугун.</w:t>
      </w:r>
    </w:p>
    <w:p w14:paraId="4AA1B6DB" w14:textId="77777777" w:rsidR="00304153" w:rsidRPr="00E93F40" w:rsidRDefault="003041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 выданный первой домной, разлили разливочной машиной и отправили в Москву. Участники торжества получили по плитке первого сибирского чугуна.</w:t>
      </w:r>
    </w:p>
    <w:p w14:paraId="38F0DA8F" w14:textId="77777777" w:rsidR="00304153" w:rsidRPr="00E93F40" w:rsidRDefault="0030415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 за первой печью через месяц пошла вторая. А вскоре выдал сталь мартен, затем запущен прокатный цех — вошли в строй действующих блюминг и рельсопрокатный стан (21176).</w:t>
      </w:r>
    </w:p>
    <w:p w14:paraId="0AFD621D" w14:textId="77777777" w:rsidR="00304153" w:rsidRPr="00E93F40" w:rsidRDefault="00304153" w:rsidP="00E93F40">
      <w:pPr>
        <w:shd w:val="clear" w:color="auto" w:fill="FFFFFF"/>
        <w:spacing w:after="0" w:line="240" w:lineRule="auto"/>
        <w:jc w:val="both"/>
        <w:rPr>
          <w:rStyle w:val="640"/>
          <w:rFonts w:ascii="Times New Roman" w:hAnsi="Times New Roman" w:cs="Times New Roman"/>
          <w:color w:val="000000" w:themeColor="text1"/>
          <w:sz w:val="16"/>
          <w:szCs w:val="16"/>
        </w:rPr>
      </w:pPr>
    </w:p>
    <w:p w14:paraId="062442EF"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в записке за подписью Н.П. Суворова отмечалось, что существовавший порядок установки радиостанций по их типам неизбежно приводил к неувязкам между различными станциями одного и того же корабля. Выход виделся во введении системы заказов на полное радиовооружение каждого корабля и берегового объекта. Выполнение этих заказов должно было быть возложено на специально созданную мощную проектно-монтажную организацию, которая выполняла бы весь комплекс работ от создания проекта радиовооружения того или иного объекта до сдачи всего комплекса установленной аппаратуры приемщикам УВМС. На эту же организацию планировалось возложить обязанность по укомплектованию корабельных и береговых радиоустановок всем необходимым вспомогательным и запасным имуществом, чертежами, инструментом, эксплуатационно-технической документаций.</w:t>
      </w:r>
    </w:p>
    <w:p w14:paraId="382874A3"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Такая организация под названием «Моррадиострой», по настоянию УВМС, была создана в мае 1932 г. при заводе им. Коминтерна.</w:t>
      </w:r>
    </w:p>
    <w:p w14:paraId="030F5255"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темпы развертывания этой организации неоднократно вызывали нарекания со стороны представителей УВМС, тем не менее уже в 1932 г. ею была осуществлена установка 158 радиостанций на объектах флота при плановом задании в 134. А в представленном в августе 1932 г. Ленкомнабом перспективном плане работ «Моррадиостроя» предусматривалось полное радиовооружение более 400 кораблей и береговых объектов флота. В сентябре 1933 г., после создания специализированной организации «ВЭСОсбытмонтаж» и ее ленинградского отделения, функции «Моррадиостроя» были переданы ЛОВЭСМ. С этого времени начинает на практике реализовываться комплексный подход к радиовооружению флотских объектов. УВМС заключает договора с ЛОВЭСМ на их оборудование, а монтажная организация, исходя из этого, заключает договора с конкретными предприятиями на поставки ей радиоаппаратуры, агрегатов питания, прочего имущества, проводит весь комплекс монтажных и наладочных работ и сдает объекты представителям флота (18297).</w:t>
      </w:r>
    </w:p>
    <w:p w14:paraId="7DD6346F" w14:textId="77777777" w:rsidR="00A75BAC" w:rsidRPr="00E93F40" w:rsidRDefault="00A75BAC" w:rsidP="00E93F40">
      <w:pPr>
        <w:spacing w:after="0" w:line="240" w:lineRule="auto"/>
        <w:jc w:val="both"/>
        <w:rPr>
          <w:rFonts w:ascii="Times New Roman" w:hAnsi="Times New Roman"/>
          <w:color w:val="000000" w:themeColor="text1"/>
          <w:sz w:val="16"/>
          <w:szCs w:val="16"/>
        </w:rPr>
      </w:pPr>
    </w:p>
    <w:p w14:paraId="1DA670F4"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на базе секции связи НТК был создан Научно-исследовательских морской институт связи (НИМИС), возглавляемый А.И. Бергом. В качестве промышленной базы был определен радиоаппаратный завод им. Козицкого. Именно этот тандем – «НИМИС-завод им. Козицкого» – и определил облик того радиовооружения РККФ, с которым наш флот встретил и вел Великую Отечественную войну (18297).</w:t>
      </w:r>
    </w:p>
    <w:p w14:paraId="1547F6F7" w14:textId="77777777" w:rsidR="00A75BAC" w:rsidRPr="00E93F40" w:rsidRDefault="00A75BAC" w:rsidP="00E93F40">
      <w:pPr>
        <w:spacing w:after="0" w:line="240" w:lineRule="auto"/>
        <w:jc w:val="both"/>
        <w:rPr>
          <w:rFonts w:ascii="Times New Roman" w:hAnsi="Times New Roman"/>
          <w:color w:val="000000" w:themeColor="text1"/>
          <w:sz w:val="16"/>
          <w:szCs w:val="16"/>
        </w:rPr>
      </w:pPr>
    </w:p>
    <w:p w14:paraId="04DA2F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в Наркомводе было издано Всесоюзное объединение деревянного судостроения (с местонахождением аппарата управления в Ленинграде), которому были переподчинены около 10 верфей, занятых постройкой и ремон-ом деревянных судов (3898).</w:t>
      </w:r>
    </w:p>
    <w:p w14:paraId="41631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15A5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приказом по УВМС РККА созданы Научно-исследовательский морской институт связи, он же НИМИС (в его состав вошел НИПС), артиллерии (АНИМИ), минно-торпедный (НИМТИ), химический, военного кораблестроения (НИИВК) (10515).</w:t>
      </w:r>
    </w:p>
    <w:p w14:paraId="51EAA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D0EB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года Техническое управление ВМС выдало задание на проектирование 76,2-мм зенитной корабельной уста­новки на базе пушки 3-К. Завод «Большевик» разработал и изготовил тумбу, на которую установили вращающуюся часть 3-К. Эту установку испытали на НИМАП, а затем в марте 1934 года — на эскадренном мино­носце «Незаможник». Однако корабельные испытания завершились неудачей: верти­кальное наведение ствола в условиях качки оказалось невозможным. Установку вновь вернули на завод № 8 и поручили ему изготовление на ее основе 76,2-мм корабельной установки, получив­шей индекс 34-К. Из двух разработанных заводом вариантов пушки, отличавшихся конструкцией и внутренним устройством ствола, приняли на вооружение второй под названием «76,2-мм корабельная артсистема "34-К" обр. 1935 г.». На ней были ус­тановлены более совершенные приборы уп­равления огнем центральной наводки и уни­версальный прицел типа МО. Между тем, установка 34-К ко времени поступления на вооружение уже не отвеча­ла возросшим требованиям практики, осо­бенно по скорострельности из-за ручного заряжания. Требовались более совершен­ные автоматические орудия. Не добившись успеха с автоматическим зенитным оружием, новые корабли решили вооружить первой советской зенитной по­луавтоматической 45-мм установкой 21 -К образца 1934 года с длиной ствола 46 ка­либров. Эта система представляла собой армейскую противотанковую 45-мм пушку образца 1932 года и получилась гораздо лучше, чем выпускавшаяся Обуховским за­водом с 1888 года 47-мм пушка Гочкиса, но, к сожалению, имела и свои недостатки. Заводу № 8 удалось отработать 21 -К при помощи специалистов (репрессированных инженеров) «Спецбюро ЭКУ ОГПУ», рас­положенного в Подлипках. Уже в ходе пост­ройки лидеров стало ясно: эти установки несовершенны из-за низкой скорострельно­сти (25 выстрелов в минуту), отсутствия на снаряде дистанционного взрывателя (цель могла быть поражена только прямым попа­данием), а также примитивности прицела, и задачу ПВО корабля решить не могут (11966).</w:t>
      </w:r>
    </w:p>
    <w:p w14:paraId="36DCC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8020F2" w14:textId="4A917D8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на базе Опытового бассейна создан Научно-исследовательский институт военного кораблестроения (НИВК, НИИВК) НКВМФ ((ЦНИИ кораблестроения № 45 (НИИ-45) НКОП, цнии-45 нкоп, нксп, мсп, ГКС, ЦНИИ им. академика А.Н. Крылова МСП, ГНЦ РФ, ФГУП «ЦНИИ им. академика А.Н. Крылова», ФГУ «Крыловский государственный научный центр» / г. Ленинград, 98 п/я 426 «Клюз» (1939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Казань/ /196158</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Санкт-Петербург Московское ш., 44 тел. 123-60-39/)). В соответствии с решением КО № 87сс от 26.05.1938 г. «в целях объединения всех НИОКР по военному кораблестроению» приказами НКОП № 196сс от 4.06.1938 г. и НКВМФ/НКОП № 316с от 9.08.1938 г. НИИВК был передан (по состоянию на 25.05.1938 г.) из НКВМФ и реорганизован в ЦНИИ кораблестроения, получив наименование НИИ-45; в его состав влит НИИ-4. По пр. № 263 от 11.07.1938 г. НИИ-45 передан в ведение 2ГУ НКОП, пр. № 316 от 11.08.1938 г. утверждено Положение об институте. Приказом № 482с от 31.12.1938 г. институт реорганизован в ЦНИИ-45 в ведении 2ГУ. В 1939 г. институт передан в ведение 5ГУ НКСП. В том же году в его состав влит НИСС. Являлся ведущей научной организацией отрасли. В 1944 г. институту присвоено имя академика А.Н. Крылова.</w:t>
      </w:r>
    </w:p>
    <w:p w14:paraId="247CB79C" w14:textId="409401C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Опытовый бассейн реконструирован: за счет перепланировки соседнего здания архива была увеличена длина канала на 20 м, построена третья буксировочная тележка; из Германии поставлена кавитационная труба.</w:t>
      </w:r>
    </w:p>
    <w:p w14:paraId="5F9CB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НКВМФ/НКОП № 0246/351с от 27.08/5.09.1938 г. в институт передано 54-е отделение НИМИСТ с тематикой глушения шумов и вибраций корабельных механизмов со всем личным составом.</w:t>
      </w:r>
    </w:p>
    <w:p w14:paraId="194E1B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1938 г., после передачи института в НКОП, приказом № 321с от 13.08.1938 г. на него были возложены задачи: выполнение и руководство НИР в области военного кораблестроения; проверка путем предэскизного проектирования ТТЗ на новые военные корабли, согласование их в НКВМФ; научно-техническое руководство проектированием кораблей и механизмов, проведение экспертиз по всем частям всех проектов; планирование и руководство всеми опытными работами по плану 2ГУ; </w:t>
      </w:r>
      <w:r w:rsidRPr="00E93F40">
        <w:rPr>
          <w:rFonts w:ascii="Times New Roman" w:hAnsi="Times New Roman"/>
          <w:color w:val="000000" w:themeColor="text1"/>
          <w:sz w:val="16"/>
          <w:szCs w:val="16"/>
        </w:rPr>
        <w:lastRenderedPageBreak/>
        <w:t>постановка и решение проблемных технических вопросов, выполнение специальных теоретических исследований; НИР в области материалов, борьбы с коррозией; разработка типовых программ испытаний кораблей и механизмов; изучение опыта проектирования и эксплуатации кораблей и передача его КБ и заводам Главка; разработка стандартов для судостроительной промышленности. Пр. № 482с от 31.12.1938 г. на институт дополнительно возложены функции: научно- техническое руководство: всем комплексом проектирования кораблей путем координирования работ НИИ и КБ; опытными работами в части корпуса, устройства, систем, конструкции, бронирования, механических установок, электрооборудования; утверждена «Инструкция о научно-техническим руководстве НИИ-45 опытными работами по кораблестроению» и Положение о НТС института. Этим же приказом в институте организована диспетчерскя служба для наблюдения за ходом опытных работ.</w:t>
      </w:r>
    </w:p>
    <w:p w14:paraId="647D0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05.1939 г. разработан предэскизный проект авианосца (пр. 71), дальнейшие работы по нему были прерваны войной.</w:t>
      </w:r>
    </w:p>
    <w:p w14:paraId="2B9EE4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войной ЦНИИ имел 9 отделов: кораблестроительный; ходовых и маневренных качеств корабля; конструкции, прочности и вибрации корабля; единых двигателей ПЛ; механического оборудования кораблей с турбинами; механического оборудования кораблей с ДВС; корабельной электротехники; судостроительных материалов, коррозии и сварки; неметаллических материалов. Было начато строительство новой базы института на второй площадке у Московского шоссе. Были построены здания глубоководного бассейна, мелководного бассейна, модельные мастерские. С началом войны все работы прекращены.</w:t>
      </w:r>
    </w:p>
    <w:p w14:paraId="099DE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 г. создано отделение института на ЛМЗ, где начаты работы по созданию корабельного ГТД.</w:t>
      </w:r>
    </w:p>
    <w:p w14:paraId="0ACDD3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07-08.1941 г. в соответствии с пост. ГКО № 99сс от 11.07.1941 г. институт был эвакуирован в Казань в помещения Финансово-экономического института (часть оборудования застряла на путях станции Ленинград- Московская товарная и не была эвакуирована). В Казани был создан новый отдел- амортизации и обесшумливания. Институтом в Казани был налажен выпуск установок реактивных минометов М-8. Пост. ГКО № 951сс от 23.11.1941 г. институту задан план выпуска установок М-8: 125 шт. в период с 1.12.1941 г. по 15.02.1942 г.</w:t>
      </w:r>
    </w:p>
    <w:p w14:paraId="1534E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Ленинграде остался филиал - Ленинградское отделение ЦНИИ-45 под руководством В.И. Першина. Весной 1942 г. восстановлена работа лабораторий, в 08.1943 г. возобновлены работы в кавигационной трубе, а затем - и в Опытовом бассейне. После войны продолжено строительство экспериментально-опытной базы института. 25.11.1948 г. МСП утвердило технический проект института, согласно которому он был разделен на 4 самостоятельных подразделения под единым руководством: НИИ-1 (ходкость кораблей и прочность конструкций), НИИ-2 (корабельные энергетический установки), НИИ-3 (электрооборудование кораблей), проектно-исследовательское бюро (ПРИБ) (создано в 1951 г.). В 1952 г. введены в эксплуатацию глубоководный (672х 15х 7 м) и мелководный (218х 16х 1,7 м) бассейны, две кавитационные трубы и мастерские для изготовления моделей кораблей и гребных винтов. В 1953 г. начато перебазирование института на новую площадку. В 1958 г. вышло постановление СМ СССР о расширении экспериментальной базы института. В 1956- 67 г. были построены и введены в эксплуатацию лаборатории: магнитных исследований, электрогидродинамической аналогии; средняя кавитационная труба, уникальная машина для прочностных испытаний; почти в два раза был удлинен основной опытовый бассейн, построен циркуляционный бассейн (диаметром 70 м глубиной 6 м; строительство начато в 1937 г., закончено в 1968 г.).</w:t>
      </w:r>
    </w:p>
    <w:p w14:paraId="29F057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НКСП в 10.1945 г. организован отдел автоматического регулирования корабельных энергетических установок. Начаты работы по разработке систем управления (СУ) корабельными техническими средствами (ТС). Создана первая СУ ТС для АПЛ «Ритм». В 1962 г. в институт из НИИ-49 переведен коллектив специалистов, начавших работы по созданию СУ движением надводных кораблей, ПЛ, СВП и СПК. Созданы СУ движением АПЛ в. нормальном и аварийном режимах «Боксит» и «Тон». В 07.1967 г. на базе двух отделений судовой автоматики ЦНИИ-45 и КБ морской автоматики «Секстан» был создан самостоятельный ЦНИИ «Аврора».</w:t>
      </w:r>
    </w:p>
    <w:p w14:paraId="045514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1946-47 г. спроектированы малошумные гребные винты для ПЛ пр. 613.</w:t>
      </w:r>
    </w:p>
    <w:p w14:paraId="4F10CF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1948 г. на институт возложена обязанность проводить экспертизу всех проектов кораблей и судов, создаваемых в МСП; проводить НИР по определению облика перспективных кораблей.</w:t>
      </w:r>
    </w:p>
    <w:p w14:paraId="52F4F7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 г. в институт из ЦКБ-16 переданы работы по проектированию линкора пр. 24. В 1951 г. выполнена НИР «Обоснование выбора типа линейного корабля» (Ф.Е. Бесполов). В 1953 г. работы по пр. 24 прекращены.</w:t>
      </w:r>
    </w:p>
    <w:p w14:paraId="1ABD5F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1948 г. создано подразделение морской радиолокации. В 1949 г. из сотрудников, переведенных из ЦКБ-52, организован отдел 19. Развернуты работы по исследованиям параметров корабельных антенн. В 1953 г. отдел реорганизован в отдел 34. Начато новое направление работ по защите кораблей от обнаружения их РЛС противника. В 1963 г. отдел переведен в отделение физических полей и получил № 76. В 1964 г. разработана инженерная методика расчета вторичного РЛ поля кораблей (Е.А. Штагер, Л.И. Богин). Созданы стенды гидроакустического и электромагнитного моделирования. Для оценки заметности реальных кораблей созданы авиационный (1965 г.) и наземный (1975 г.) РЛ комплексы. В 1974 г. отдел реорганизован в 76-ю лабораторию. Начало развиваться новое направление - лазерная морская локация (</w:t>
      </w:r>
      <w:r w:rsidRPr="00E93F40">
        <w:rPr>
          <w:rFonts w:ascii="Times New Roman" w:hAnsi="Times New Roman"/>
          <w:color w:val="000000" w:themeColor="text1"/>
          <w:sz w:val="16"/>
          <w:szCs w:val="16"/>
          <w:lang w:val="en-US"/>
        </w:rPr>
        <w:t>MJI</w:t>
      </w:r>
      <w:r w:rsidRPr="00E93F40">
        <w:rPr>
          <w:rFonts w:ascii="Times New Roman" w:hAnsi="Times New Roman"/>
          <w:color w:val="000000" w:themeColor="text1"/>
          <w:sz w:val="16"/>
          <w:szCs w:val="16"/>
        </w:rPr>
        <w:t>. Варшавчик). В 1978 г. лаборатория получила № 74. Начаты исследования по тепловой защите кораблей, созданы стенды светового моделирования лазерной локации, тепловизионный измерительный комплекс. Внедрено в серию радиопоглощающее покрытие кораблей. В 1981 г. создан уникальный измерительный комплекс для одновременных измерений РЛ, ИК и лазерных характеристик кораблей. В 1982 г. разработаны и внедрены правила проектирования кораблей с малой заметностью по физическим полям в верхней полусфере, созданы научные и производственные основы стелс- технологий.</w:t>
      </w:r>
    </w:p>
    <w:p w14:paraId="6E126091" w14:textId="4787509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совместно с ЦНИИВК проведены работы по конструктивной защите крупных кораблей, по снижению магнитного поля кораблей. 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 исследования по снижению теплового и вторичного РЛ излучения кораблей.</w:t>
      </w:r>
    </w:p>
    <w:p w14:paraId="520F93FC" w14:textId="535BA2A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велись работы по совершенствованию ПЛ: отработка формы корпусов, конструкции корпусов из титана, обеспечение малошумности, методы магнитной защиты; были созданы гидроакустические покрытия, средства амортизации и акустической развязки механизмов, схемы оптимальной компоновки турбозубчатых агрегатов.</w:t>
      </w:r>
    </w:p>
    <w:p w14:paraId="3AAD0762" w14:textId="609DCB4F"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институте создано специальное проектно-исследовательское подразделение для обеспечения строительства гражданских судов. Работы по поиску рациональных технических решений при проектировании. К началу 1960-х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разработаны требования к непотопляемости морских гражданских судов. Совместно с ЦНИИМФ и Регистром СССР были выпущены «Нормы прочности морских судов». На институт возложено проведение экспертизы проектов всех гражданских судов.</w:t>
      </w:r>
    </w:p>
    <w:p w14:paraId="1B011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института (1970-е): отделения: общепроектное (координационное), гидродинамики, прчности, силовых установок, акустики, ВЦ; СНИЛ-1; Нижегородский филиал (1979 г.). В 1976 г. Чкаловский филиал ЦКБ по СПК передан в ЦНИИ им. Крылова и перепрофилирован на исследования и испытания СВП.</w:t>
      </w:r>
    </w:p>
    <w:p w14:paraId="13C7A13C" w14:textId="0912141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1950-х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проведен комплекс работ в области ходкости, управляемости, прочности и акустической защиты первой АПЛ пр. 627. В конце 1950-х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 НИР по созданию первой в мире титановой АПЛ пр. 661.</w:t>
      </w:r>
    </w:p>
    <w:p w14:paraId="6C813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реактивной кавитирующей торпеде РКТ-45 (1950-е, с НИИ-1 МСХМ).</w:t>
      </w:r>
    </w:p>
    <w:p w14:paraId="335A5F48" w14:textId="70FF311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велись работы по теме «Защита», в 1968 г. совместно с НИИ-14 ВМФ изданы «Рекомендации по снижению РЛ заметности надводных кораблей ВМФ». В 1978 г. совместно с ЦНИИВК разработаны новые правила выполнения расчетов прочности корпусов надводных кораблей. В 1980-е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особый приоритет приобрели работы по снижению шумности АПЛ, выполнявшиеся совместно с ЦНИИВК. Для авианесущих кораблей отрабатывались формы обводов, предотвращающих заливание полетной палубы.</w:t>
      </w:r>
    </w:p>
    <w:p w14:paraId="2D062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Выполнено большое количество НИОКР по созданию судов с динамическими принципами поддержания (на подводных крыльях, на воздушной подушке, экранопланов), в т.ч. первого в мире МДК на ПК пр. 1232. Разработан способ снижения буксировочного сопротивления катеров (метод «воздушной каверны»); институт принял участие в проектировании пограничного катера пр. 1408 «Сайгак» с использованием «воздушной каверны».</w:t>
      </w:r>
    </w:p>
    <w:p w14:paraId="60F8C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1969-71 г. разработан аванпроект системы автоматизированного проектирования судов.</w:t>
      </w:r>
    </w:p>
    <w:p w14:paraId="43B58558" w14:textId="1097B70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совместно с ЦНИИМФ проведены технико-экономические исследования транспортных систем по доставке грузов в районы Крайнего Севера.</w:t>
      </w:r>
    </w:p>
    <w:p w14:paraId="25C94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1978 г. выполнена НИР «Взлет» (совместно с ЦКБ по СПК) по перспективам развития скоростного судостроения.</w:t>
      </w:r>
    </w:p>
    <w:p w14:paraId="35AE0B67" w14:textId="4B40479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построен опытовый ледовый бассейн. В 1980-е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для исследования физических полей кораблей и физики океана имелось научно-исследовательское судно пр. 1846 «Академик Алексей Крылов», лабораторный комплекс для которого разработан в институте.</w:t>
      </w:r>
    </w:p>
    <w:p w14:paraId="70F83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2000 г. - ОКР «Катод» по исследованию и разработке функциональных узлов аппаратуры систем катодной защиты от коррозии.</w:t>
      </w:r>
    </w:p>
    <w:p w14:paraId="7E131380" w14:textId="63B57D72"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разработана акустико-эмиссионная система диагностики (КАМЭС) состояния сварных конструкций.</w:t>
      </w:r>
    </w:p>
    <w:p w14:paraId="3CE01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2003 г. спроектированы 6-м винты для круизного лайнера </w:t>
      </w:r>
      <w:r w:rsidRPr="00E93F40">
        <w:rPr>
          <w:rFonts w:ascii="Times New Roman" w:hAnsi="Times New Roman"/>
          <w:color w:val="000000" w:themeColor="text1"/>
          <w:sz w:val="16"/>
          <w:szCs w:val="16"/>
          <w:lang w:val="en-US"/>
        </w:rPr>
        <w:t>VoyagerofSeas</w:t>
      </w:r>
      <w:r w:rsidRPr="00E93F40">
        <w:rPr>
          <w:rFonts w:ascii="Times New Roman" w:hAnsi="Times New Roman"/>
          <w:color w:val="000000" w:themeColor="text1"/>
          <w:sz w:val="16"/>
          <w:szCs w:val="16"/>
        </w:rPr>
        <w:t xml:space="preserve">. В 2003-04 г. по заданию норвежской фирмы </w:t>
      </w:r>
      <w:r w:rsidRPr="00E93F40">
        <w:rPr>
          <w:rFonts w:ascii="Times New Roman" w:hAnsi="Times New Roman"/>
          <w:color w:val="000000" w:themeColor="text1"/>
          <w:sz w:val="16"/>
          <w:szCs w:val="16"/>
          <w:lang w:val="en-US"/>
        </w:rPr>
        <w:t>MOSSMERITIME</w:t>
      </w:r>
      <w:r w:rsidRPr="00E93F40">
        <w:rPr>
          <w:rFonts w:ascii="Times New Roman" w:hAnsi="Times New Roman"/>
          <w:color w:val="000000" w:themeColor="text1"/>
          <w:sz w:val="16"/>
          <w:szCs w:val="16"/>
        </w:rPr>
        <w:t xml:space="preserve"> были отработаны обводы газовозов </w:t>
      </w:r>
      <w:r w:rsidRPr="00E93F40">
        <w:rPr>
          <w:rFonts w:ascii="Times New Roman" w:hAnsi="Times New Roman"/>
          <w:color w:val="000000" w:themeColor="text1"/>
          <w:sz w:val="16"/>
          <w:szCs w:val="16"/>
          <w:lang w:val="en-US"/>
        </w:rPr>
        <w:t>MOSS</w:t>
      </w:r>
      <w:r w:rsidRPr="00E93F40">
        <w:rPr>
          <w:rFonts w:ascii="Times New Roman" w:hAnsi="Times New Roman"/>
          <w:color w:val="000000" w:themeColor="text1"/>
          <w:sz w:val="16"/>
          <w:szCs w:val="16"/>
        </w:rPr>
        <w:t xml:space="preserve">-147, -216, -250; разработаны формы поддерживающих колонн плавучести для буровой платформы </w:t>
      </w:r>
      <w:r w:rsidRPr="00E93F40">
        <w:rPr>
          <w:rFonts w:ascii="Times New Roman" w:hAnsi="Times New Roman"/>
          <w:color w:val="000000" w:themeColor="text1"/>
          <w:sz w:val="16"/>
          <w:szCs w:val="16"/>
          <w:lang w:val="en-US"/>
        </w:rPr>
        <w:t>MOSSKRYLOVOCTABOUY</w:t>
      </w:r>
      <w:r w:rsidRPr="00E93F40">
        <w:rPr>
          <w:rFonts w:ascii="Times New Roman" w:hAnsi="Times New Roman"/>
          <w:color w:val="000000" w:themeColor="text1"/>
          <w:sz w:val="16"/>
          <w:szCs w:val="16"/>
        </w:rPr>
        <w:t>.</w:t>
      </w:r>
    </w:p>
    <w:p w14:paraId="7C822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1990 г. - ЦНИИ им. А.Н. Крылова МСП. 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2774F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института (2006 г.): ЦКБ «Балтсудопроект», НИИ «Лот». По Указу Президента от 22.03.2007 г. на базе института создан холдинг по научным разработкам в судостроении ФГУ «Крыловский государственный научный центр», в состав которого включены Акустический институт и ЦНИИ судовой электротехники и технологии.</w:t>
      </w:r>
    </w:p>
    <w:p w14:paraId="4D33E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(1940 г.)- 1500 чел.</w:t>
      </w:r>
    </w:p>
    <w:p w14:paraId="5A4C0428" w14:textId="739CA03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Заведующий Опытовым бассейном (-1901-07 г.)- академик А.Н. Крылов, (1909 г.)- п, г-л И. Г. Бубнов. Начальник Опытового бассейна (1930 г.)- Н.В. Акляринский. И.О. начальника (05.1938 г.-)- А.И. Балкашин. Начальник (11.07-12.1938 г.-)- И.В. Харитонов. И.О. директора (1939 г.)- И.В. Харитонов. Директор (1940-61 г.)- к-а В.И. Першин (в 1942-44г,- в командировке в США); и.о. (1942-44 г.)- Ю.В. Кривцов; (1967 г.)- А.И. Вознесенский, (1978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 Матвеев, (1987 г.)- В.В. Дмитриев, (-1997-2009 г.-)- академик В.М. Пашин.</w:t>
      </w:r>
    </w:p>
    <w:p w14:paraId="31486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Помощник Заведующего (1901 г.)- И. Г. Бубнов. Зам. начальника (директора) (09.1938 г.)- и-флагман 2р А.И. Балкашин, (1941 г.)- В.В. Ногин (при эвакуации возглавил часть института в Казани). Директор по маркетингу (2004 г.)- А. Пылаев.</w:t>
      </w:r>
    </w:p>
    <w:p w14:paraId="42413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Научный руководитель (2002 г.)- В. Пашин.</w:t>
      </w:r>
    </w:p>
    <w:p w14:paraId="5AA13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(1945 г.)- Ю.В. Кривцов.</w:t>
      </w:r>
      <w:r w:rsidRPr="00E93F40">
        <w:rPr>
          <w:rFonts w:ascii="Times New Roman" w:hAnsi="Times New Roman"/>
          <w:color w:val="000000" w:themeColor="text1"/>
          <w:sz w:val="16"/>
          <w:szCs w:val="16"/>
          <w:vertAlign w:val="superscript"/>
        </w:rPr>
        <w:t>61</w:t>
      </w:r>
    </w:p>
    <w:p w14:paraId="76C66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отделения технико-экономических оценок военного кораблестроения (2006 г.)- В. Поляков.</w:t>
      </w:r>
    </w:p>
    <w:p w14:paraId="340DC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4-го отделения (09.1938 г.)- Ю.А. Шиманский.</w:t>
      </w:r>
    </w:p>
    <w:p w14:paraId="10B99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Чкаловского, Горьковского филиала (1970-е)- П.А. Малахов, М.П. Пышков.</w:t>
      </w:r>
    </w:p>
    <w:p w14:paraId="3A894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конструкторы: Ю.М. Патраков (корабельные радиопоглощающие покрытия).</w:t>
      </w:r>
    </w:p>
    <w:p w14:paraId="40511E90" w14:textId="6FBD5A2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3-го (11.1938 г.)- Егоров; 9-го и.о. (11.1938 г.)- Ушнев; 19-го (1949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 Власов, 34-го (1953 г.-)- Л.П. Купцова; истории (2008 г.)- В. Кузин; (1938 г.)- военинженер 2р В.И. Першин, (2000-е)- В.А. Быков.</w:t>
      </w:r>
    </w:p>
    <w:p w14:paraId="030E4D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секторов: (2001 г.-)- В.А. Быков, Ю.М. Патраков, (1997 г.)- Э. Пищук.</w:t>
      </w:r>
    </w:p>
    <w:p w14:paraId="56BF5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лабораторий: 76-й (1974-78 г.)- В.О. Кобак, 74-й (1978 г.-)- Ю.М. Патраков; акустической (09.1938 г.)- Сергеев; динамики кораблей и судов и.о. (2009 г.)- В. Сергеев; (2000-е)- В.А. Быков.</w:t>
      </w:r>
    </w:p>
    <w:p w14:paraId="05D39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корабельные конструкционные радиопоглощающие материалы: «Крыло», «Крона», радиопоглощающие покрытия «Лак», «Лак-М», «Ферроэласт»; экспортный передвижной измерительный комплекс «РИК-Э» (11982).</w:t>
      </w:r>
    </w:p>
    <w:p w14:paraId="21D08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CA4BF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3D23AD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295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в торпедном отряде, который с июля 1931 занимался испытаниями нового оружия под командованием летчика Морозова на аэродроме в Каче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330445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45F3F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3A79E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727F41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170780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021E23" w14:textId="77777777" w:rsidR="00304153" w:rsidRPr="00E93F40" w:rsidRDefault="00304153" w:rsidP="00E93F40">
      <w:pPr>
        <w:shd w:val="clear" w:color="auto" w:fill="FFFFFF"/>
        <w:spacing w:after="0" w:line="240" w:lineRule="auto"/>
        <w:jc w:val="both"/>
        <w:rPr>
          <w:rStyle w:val="640"/>
          <w:rFonts w:ascii="Times New Roman" w:hAnsi="Times New Roman" w:cs="Times New Roman"/>
          <w:color w:val="000000" w:themeColor="text1"/>
          <w:sz w:val="16"/>
          <w:szCs w:val="16"/>
        </w:rPr>
      </w:pPr>
      <w:r w:rsidRPr="00E93F40">
        <w:rPr>
          <w:rFonts w:ascii="Times New Roman" w:hAnsi="Times New Roman"/>
          <w:color w:val="000000" w:themeColor="text1"/>
          <w:sz w:val="16"/>
          <w:szCs w:val="16"/>
        </w:rPr>
        <w:t>В сентябре 1932 г. был отдан приказ о формировании 2-й морской бригады МСДВ, включавшей первоначально 12 подлодок типа «Щука» V серии (Щ-101 - Щ-112). К этому моменту ни одна из них даже не была спущена на воду! (19891).</w:t>
      </w:r>
    </w:p>
    <w:p w14:paraId="2D4AEFCB" w14:textId="77777777" w:rsidR="00304153" w:rsidRPr="00E93F40" w:rsidRDefault="00304153" w:rsidP="00E93F40">
      <w:pPr>
        <w:shd w:val="clear" w:color="auto" w:fill="FFFFFF"/>
        <w:spacing w:after="0" w:line="240" w:lineRule="auto"/>
        <w:jc w:val="both"/>
        <w:rPr>
          <w:rStyle w:val="640"/>
          <w:rFonts w:ascii="Times New Roman" w:hAnsi="Times New Roman" w:cs="Times New Roman"/>
          <w:color w:val="000000" w:themeColor="text1"/>
          <w:sz w:val="16"/>
          <w:szCs w:val="16"/>
        </w:rPr>
      </w:pPr>
    </w:p>
    <w:p w14:paraId="15E096B7" w14:textId="77777777" w:rsidR="00A75BAC" w:rsidRPr="00E93F40" w:rsidRDefault="00A75BA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402957D" w14:textId="77777777" w:rsidR="00A75BAC" w:rsidRPr="00E93F40" w:rsidRDefault="00A75BA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2DC04A" w14:textId="41FB40C5"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вскоре после вступления Ф. фон Палена на пост райхсканцлера, в Германии побывала советская военная делегация во главе с Тухачевским. Она присутствовала на осенних маневрах райхсвера, ей были показаны полигоны и испытания новой военной техники. Тухачевский встретился с высшим военным руководством Германии (Шляйхер, Хаммерштайн, Адам), был принят президентом Германии фельдмаршалом П. фон Гинденбургом. Сопровождавшие Тухачевского старшие офицеры (Фельдман, Седякин, Горбачев и др.) затем составили подробнейшие отчеты.</w:t>
      </w:r>
    </w:p>
    <w:p w14:paraId="4036B598" w14:textId="5139DDC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осенних маневров райхсвера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районе р. Одер) состояла в разработке способов вооруженной борьбы в случае войны с Польшей, которая, по замыслу маневров, «используя незащищенную границу с Силезией», имела возможность вторгнуться в Германию большими силами по широкому фронту и создать непосредственную угрозу Берлину. На маневрах, которым придавалось политическое значение, участвовало все руководство райхсвера, включая президента Германии фельдмаршала Гинденбурга, давшего «вводную» участникам маневров. Были приглашены все военные атташе и представители иностранных государств за исключением Польши, Франции, Бельгии, Сербии.</w:t>
      </w:r>
    </w:p>
    <w:p w14:paraId="0DE1527A"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известным политическим причинам немцы особо подчеркивали присутствие на маневрах командиров Красной Армии во главе с Тухачевским и представителя Итальянской армии — помощника начальника Генштаба Монти. Тухачевский был в центре внимания, везде — и в машине, и в поле, и за столом ему предоставлялось «первое и почетное место».</w:t>
      </w:r>
    </w:p>
    <w:p w14:paraId="1825C606"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Фельдман отмечал, что немцы были очень недовольны и расстроены, что первые два дня из-за неурядиц с багажом советские военные представители вынуждены были носить гражданское платье.</w:t>
      </w:r>
    </w:p>
    <w:p w14:paraId="7C2A9464"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ходе маневров на Тухачевского произвели впечатление высокая степень моторизации и телефонизации райхсвера, хорошая выучка солдат и офицеров, их спокойно-равнодушное отношение к маневрам, достоинство, с которым держатся старшие офицеры.</w:t>
      </w:r>
    </w:p>
    <w:p w14:paraId="088BB3B9" w14:textId="33584C81"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«Немецкий офицер — профессионал, мастер высокого класса»,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писал Фельдман.</w:t>
      </w:r>
    </w:p>
    <w:p w14:paraId="727A6931"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Маневры привлекли огромное количество зрителей и наблюдателей.</w:t>
      </w:r>
    </w:p>
    <w:p w14:paraId="5D22645A" w14:textId="7777777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«Немецкий буржуа и интеллигент любит военщину, любит райхсвер (еще бы, на него вся надежда)».</w:t>
      </w:r>
    </w:p>
    <w:p w14:paraId="0B70ABBD" w14:textId="6F05851D"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разбора маневров во Франкфурте, в котором участвовали Гинденбург и Хаммерштайн, делегация Тухачевского отбыла в Берлин. После трехдневного пребывания в Берлине делегация посетила Дрезденскую военную школу, пехотный полк, Кенигсбергский полигон, аэродром в Темпельхофе, а также заводы Сименса. В отчете о беседе с главкомом райхсвера Хаммерштайном о роли танков, авиации, организации войск «в будущей войне» Фельдман, один из высших офицеров РККА, не удержался от весьма показательной реплики: «Не один десяток летчиков из нашей пылкой молодежи видит себя в воздушном рейде над Варшавой». Визит делегации Тухачевского в Германию в сентябре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последним крупным визитом советских военачальников накануне прихода к власти Гитлера.</w:t>
      </w:r>
    </w:p>
    <w:p w14:paraId="7C79195E" w14:textId="7CDE8B79"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немецким подсчетам, в 1926–1933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в Германии в длительных командировках побывало 143 комкора РККА. С разбивкой по годам это выглядело так:</w:t>
      </w:r>
    </w:p>
    <w:p w14:paraId="4CCF35B1" w14:textId="1BEDFAC7" w:rsidR="00A75BAC" w:rsidRPr="00E93F40" w:rsidRDefault="00A75BA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 человек,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9,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37,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33,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 Некоторые из них были на трех-пятимесячных курсах, а некоторые проходили полный курс, как правило, II и/или III курс германских военно-академических курсов. Эта статистика довольно наглядно подтверждает, что 1930–1932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были наиболее плодотворными («учебный десант»), а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Германии обучалось лишь четыре комкора (18265).</w:t>
      </w:r>
    </w:p>
    <w:p w14:paraId="444B9B98" w14:textId="77777777" w:rsidR="00A75BAC" w:rsidRPr="00E93F40" w:rsidRDefault="00A75BAC" w:rsidP="00E93F40">
      <w:pPr>
        <w:spacing w:after="0" w:line="240" w:lineRule="auto"/>
        <w:jc w:val="both"/>
        <w:rPr>
          <w:rFonts w:ascii="Times New Roman" w:hAnsi="Times New Roman"/>
          <w:color w:val="000000" w:themeColor="text1"/>
          <w:sz w:val="16"/>
          <w:szCs w:val="16"/>
        </w:rPr>
      </w:pPr>
    </w:p>
    <w:p w14:paraId="239CFD5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8AF0A3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A0DFB5E"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второй Ju-52ce (Werk Mr. 4004) был передан в Германскую гражданскую школу летчиков. До официального признания существования люфтваффе в 1935 г. в гражданской школе обучались военные пилоты. Этот Ju-52ce использовался в авиации кригсмарине в качестве буксировщика (24200).</w:t>
      </w:r>
    </w:p>
    <w:p w14:paraId="5570F986"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6A21623E"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сентябре 1932 г. второй Ju-52ce (Werk Nr. 4004, D-2317) был передан Германской школе гражданских летчиков (Deutsche Verkehrsfliegerschule, DVS). В обстановке секретности в школе готовились кадры для будущих люфтваффе — Версальский договор запрещал Германии иметь военную авиацию. Позже самолет переставили с колес на поплавки для обучения летчиков кригсмарине, а затем машина принимала участие в отработке сброса торпед. Самолет Ju-52ce (Werk Nr. 4003, D-USON) </w:t>
      </w:r>
      <w:r w:rsidRPr="00E93F40">
        <w:rPr>
          <w:rFonts w:ascii="Times New Roman" w:hAnsi="Times New Roman"/>
          <w:color w:val="000000" w:themeColor="text1"/>
          <w:sz w:val="16"/>
          <w:szCs w:val="16"/>
        </w:rPr>
        <w:lastRenderedPageBreak/>
        <w:t>оснащался таким же, как на Ju-52be 685-сильным двигателем жидкостного охлаждения BMW VIIaU. Самолет использовался для тренировок германских зенитчиков (24200).</w:t>
      </w:r>
    </w:p>
    <w:p w14:paraId="1DC2D930"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5712D928" w14:textId="150123AB"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Браун поступил в аспирантуру берлинского университета имени Фридриха-Вильгельма для подготовки диссертации на докторскую степень. Его научным руководителем стал молодой профессор Эрих Шуман (Erich Schumann; 1898–1985).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одновременно согласился работать 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 октября вольнонаемным инженером на артиллерийском полигоне Куммерсдорф. Вместе с ним сюда перешел сюда с ракетодрома только механик Генрих Грюнов (23372).</w:t>
      </w:r>
    </w:p>
    <w:p w14:paraId="0921C1C1"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3F82014B"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сентябре 1932 г. английский пилот Ч.Ф. Юинс на самолете «Веспа» фирмы «Виккерс» с двигателем «Пегас»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 xml:space="preserve">-3 установил рекорд высоты 13 404 м. Кроме того, англичане на самолетах «Вестланд» </w:t>
      </w:r>
      <w:r w:rsidRPr="00142305">
        <w:rPr>
          <w:rStyle w:val="aff"/>
          <w:rFonts w:ascii="Times New Roman" w:hAnsi="Times New Roman" w:cs="Times New Roman"/>
          <w:color w:val="0070C0"/>
          <w:spacing w:val="0"/>
          <w:sz w:val="16"/>
          <w:szCs w:val="16"/>
          <w:lang w:val="en-US"/>
        </w:rPr>
        <w:t>PV</w:t>
      </w:r>
      <w:r w:rsidRPr="00142305">
        <w:rPr>
          <w:rStyle w:val="aff"/>
          <w:rFonts w:ascii="Times New Roman" w:hAnsi="Times New Roman" w:cs="Times New Roman"/>
          <w:color w:val="0070C0"/>
          <w:spacing w:val="0"/>
          <w:sz w:val="16"/>
          <w:szCs w:val="16"/>
        </w:rPr>
        <w:t xml:space="preserve">-3 и </w:t>
      </w:r>
      <w:r w:rsidRPr="00142305">
        <w:rPr>
          <w:rStyle w:val="aff"/>
          <w:rFonts w:ascii="Times New Roman" w:hAnsi="Times New Roman" w:cs="Times New Roman"/>
          <w:color w:val="0070C0"/>
          <w:spacing w:val="0"/>
          <w:sz w:val="16"/>
          <w:szCs w:val="16"/>
          <w:lang w:val="en-US"/>
        </w:rPr>
        <w:t>PV</w:t>
      </w:r>
      <w:r w:rsidRPr="00142305">
        <w:rPr>
          <w:rStyle w:val="aff"/>
          <w:rFonts w:ascii="Times New Roman" w:hAnsi="Times New Roman" w:cs="Times New Roman"/>
          <w:color w:val="0070C0"/>
          <w:spacing w:val="0"/>
          <w:sz w:val="16"/>
          <w:szCs w:val="16"/>
        </w:rPr>
        <w:t>-6, осна</w:t>
      </w:r>
      <w:r w:rsidRPr="00142305">
        <w:rPr>
          <w:rStyle w:val="aff"/>
          <w:rFonts w:ascii="Times New Roman" w:hAnsi="Times New Roman" w:cs="Times New Roman"/>
          <w:color w:val="0070C0"/>
          <w:spacing w:val="0"/>
          <w:sz w:val="16"/>
          <w:szCs w:val="16"/>
        </w:rPr>
        <w:softHyphen/>
        <w:t>щенных двигателем «Пегас», осу</w:t>
      </w:r>
      <w:r w:rsidRPr="00142305">
        <w:rPr>
          <w:rStyle w:val="aff"/>
          <w:rFonts w:ascii="Times New Roman" w:hAnsi="Times New Roman" w:cs="Times New Roman"/>
          <w:color w:val="0070C0"/>
          <w:spacing w:val="0"/>
          <w:sz w:val="16"/>
          <w:szCs w:val="16"/>
        </w:rPr>
        <w:softHyphen/>
        <w:t>ществили перелет над Гималаями. Эти результаты вселили оптимизм и привлекли внимание Мини</w:t>
      </w:r>
      <w:r w:rsidRPr="00142305">
        <w:rPr>
          <w:rStyle w:val="aff"/>
          <w:rFonts w:ascii="Times New Roman" w:hAnsi="Times New Roman" w:cs="Times New Roman"/>
          <w:color w:val="0070C0"/>
          <w:spacing w:val="0"/>
          <w:sz w:val="16"/>
          <w:szCs w:val="16"/>
        </w:rPr>
        <w:softHyphen/>
        <w:t>стерства авиации Великобрита</w:t>
      </w:r>
      <w:r w:rsidRPr="00142305">
        <w:rPr>
          <w:rStyle w:val="aff"/>
          <w:rFonts w:ascii="Times New Roman" w:hAnsi="Times New Roman" w:cs="Times New Roman"/>
          <w:color w:val="0070C0"/>
          <w:spacing w:val="0"/>
          <w:sz w:val="16"/>
          <w:szCs w:val="16"/>
        </w:rPr>
        <w:softHyphen/>
        <w:t>нии. Министерство предложило фирме «Бристоль» создать спе</w:t>
      </w:r>
      <w:r w:rsidRPr="00142305">
        <w:rPr>
          <w:rStyle w:val="aff"/>
          <w:rFonts w:ascii="Times New Roman" w:hAnsi="Times New Roman" w:cs="Times New Roman"/>
          <w:color w:val="0070C0"/>
          <w:spacing w:val="0"/>
          <w:sz w:val="16"/>
          <w:szCs w:val="16"/>
        </w:rPr>
        <w:softHyphen/>
        <w:t>циальный самолет для высотных полетов (25675).</w:t>
      </w:r>
    </w:p>
    <w:p w14:paraId="79786911" w14:textId="77777777" w:rsidR="00EC436A" w:rsidRPr="00142305" w:rsidRDefault="00EC436A" w:rsidP="00EC436A">
      <w:pPr>
        <w:spacing w:after="0" w:line="240" w:lineRule="auto"/>
        <w:jc w:val="both"/>
        <w:rPr>
          <w:rFonts w:ascii="Times New Roman" w:hAnsi="Times New Roman"/>
          <w:color w:val="0070C0"/>
          <w:sz w:val="16"/>
          <w:szCs w:val="16"/>
        </w:rPr>
      </w:pPr>
    </w:p>
    <w:p w14:paraId="4E285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в Чили военные отправили в отставку президента (3907,173).</w:t>
      </w:r>
    </w:p>
    <w:p w14:paraId="7BEA17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9F3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 1932 г. новое государство Хиджаз, Неджд и присоединившиеся области, созданное 17 января 1927, получило новое название - Саудовская Аравия (3871).</w:t>
      </w:r>
    </w:p>
    <w:p w14:paraId="1DD77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273BE2" w14:textId="77777777" w:rsidR="00F46546" w:rsidRPr="00E93F40" w:rsidRDefault="00F4654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531224C" w14:textId="77777777" w:rsidR="00F46546" w:rsidRPr="00E93F40" w:rsidRDefault="00F4654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FD853D" w14:textId="77777777" w:rsidR="00F46546" w:rsidRPr="00E93F40" w:rsidRDefault="00F46546"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сентябре-ноябре 1932 на ЧМ были проведены дополнительные испытания торпеды АВ-15 (1085,126).</w:t>
      </w:r>
    </w:p>
    <w:p w14:paraId="60ED67E0" w14:textId="77777777" w:rsidR="00F46546" w:rsidRPr="00E93F40" w:rsidRDefault="00F46546" w:rsidP="00E93F40">
      <w:pPr>
        <w:autoSpaceDE w:val="0"/>
        <w:autoSpaceDN w:val="0"/>
        <w:adjustRightInd w:val="0"/>
        <w:spacing w:after="0" w:line="240" w:lineRule="auto"/>
        <w:jc w:val="both"/>
        <w:rPr>
          <w:rFonts w:ascii="Times New Roman" w:hAnsi="Times New Roman"/>
          <w:color w:val="000000" w:themeColor="text1"/>
          <w:sz w:val="16"/>
          <w:szCs w:val="16"/>
        </w:rPr>
      </w:pPr>
    </w:p>
    <w:p w14:paraId="1ABD56BC" w14:textId="77777777" w:rsidR="00881CB8" w:rsidRPr="00E93F40" w:rsidRDefault="00881CB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CB517DA" w14:textId="77777777" w:rsidR="00881CB8" w:rsidRPr="00E93F40" w:rsidRDefault="00881CB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1FAB38" w14:textId="77777777" w:rsidR="005A5060" w:rsidRPr="00E93F40" w:rsidRDefault="005A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сентябре—октябре 1932 года М.Н. Тухачевского, будучи заместителем наркома по военным и морским делам и председателя РВС, был приглашен германским военным министром Шлейхером на осенние маневры рейхсвера. Вместе с Тухачевским прибыла большая группа красных командиров, в числе которых был командующий войсками Белорусского военного округа И.П. Уборевич. В Германии придавали большое значение визиту военных из СССР. Об этом может свидетельствовать хотя бы тот факт, что красных командиров принял сам президент Веймарской республики П. Гинденбург.</w:t>
      </w:r>
    </w:p>
    <w:p w14:paraId="47F86A38" w14:textId="77777777" w:rsidR="005A5060" w:rsidRPr="00E93F40" w:rsidRDefault="005A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Тухачевский знакомился с передовыми образцами немецкой военной техники, включая авиацию. В частности, он побывал на авиационных заводах Х. Юнкерса в Дессау и в Темпельсгофе, имевших испытательные аэродромы, где особое внимание обратил на тяжелый бомбардировщик Ю-52 («Юнкерс-52») и новейший стратосферный самолет (тип самолета в документах не назван), продемонстрировавший полет на высоте 9000 м. Позже в докладе на имя К.Е. Ворошилова Тухачевский отметит: «В этих вопросах «Юнкерс» значительно обогнал ЦАГИ» (РГВА. Ф. 4. Оп. 14. Д. 512. Л. 221.).</w:t>
      </w:r>
    </w:p>
    <w:p w14:paraId="200FCF3F" w14:textId="77777777" w:rsidR="005A5060" w:rsidRPr="00E93F40" w:rsidRDefault="005A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завершении знакомства с авиационными новинками красному командарму показали германское частное предприятие — Научно-исследовательский аэронавигационный институт (нем. Deutsche Versuchsanstalt fur Luftfahrt — DVL), аналогичный ЦАГИ, располагавшийся в Адлерсгофе близ Берлина. В те годы это был один из крупнейших авиационных институтов. В его задачи входили разработка модификаций существовавших образцов самолетов, моторов, авиационного оборудования, проведение всевозможных испытаний, другие направления развития авиастроения.</w:t>
      </w:r>
    </w:p>
    <w:p w14:paraId="198E62C1" w14:textId="77777777" w:rsidR="005A5060" w:rsidRPr="00E93F40" w:rsidRDefault="005A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результатах командировки Тухачевского в Германию К.Е. Ворошилов доложил И.В. Сталину, который, внимательно изучив доклад, сделал следующую резолюцию: «Согласен. Нужно только дать конкретный список образцов — отдельно, и конкретные предложения о техпомощи — тоже отдельно» (РГВА. Ф. 4. Оп. 14. Д. 512. Л. 214) (21412).</w:t>
      </w:r>
    </w:p>
    <w:p w14:paraId="066F48CE" w14:textId="77777777" w:rsidR="005A5060" w:rsidRPr="00E93F40" w:rsidRDefault="005A5060" w:rsidP="00E93F40">
      <w:pPr>
        <w:spacing w:after="0" w:line="240" w:lineRule="auto"/>
        <w:jc w:val="both"/>
        <w:rPr>
          <w:rFonts w:ascii="Times New Roman" w:hAnsi="Times New Roman"/>
          <w:color w:val="000000" w:themeColor="text1"/>
          <w:sz w:val="16"/>
          <w:szCs w:val="16"/>
        </w:rPr>
      </w:pPr>
    </w:p>
    <w:p w14:paraId="7648AD45" w14:textId="77777777" w:rsidR="005A5060" w:rsidRPr="00E93F40" w:rsidRDefault="005A5060"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сентябре - начале октября 1932 г. большая военная делегация во главе с Тухачевским наблюдала за большими маневрами рейхсвера на Одере (19-22 сентября), обсуждала германскую оперативную доктрину с главнокомандующим Гаммерштейном-Эквордом и другими руководителями рейхсвера, удостоилась встречи с президентом Гинденбургом, в обществе начальника вооружений Боккельберга осматривала новые образцы военной техники на Куммерсдорфском полигоне, заводы Крупна в Эссене и другие артиллерийские заводы, предприятия Юнксрса, Симменса и Телефункен и т. д. Поездка Тухачевского совпала с отказом германского правительства от членства в Лиге наций до обеспечения Германии равных с другими державами прав в области вооружения. Военный министр (вскоре занявший пост рейхсканцлера) К. фон Шлейхер заявил о твердом намерении обеспечить такое равноправие. "В отношении заявлений Шлейхера, - докладывал заместитель наркома Ворошилову и Сталину, - иолк[овник] Фишер и др. неоднократно подчеркивали, что реорганизация и вооружение рейхсвера будут осуществлены целиком и полностью. Подготовку этих мероприятий мне пришлось видеть и нa ряде заводов, где производство вооружений ведется полным ходом" (Доклад Заместителя Наркома по Военным и Морским Делам Тухачевского Наркому по Военным и Морским Делам Ворошилову, 14.10.1932 (экз. № 1, с резолюциями Ворошилова и Сталина) // РГВА. Ф. 4. On. 14. Д. 512. Л. 214-223.). Будущий обличитель "военных планов нынешней Германии" высказывал едва ли не сожаление по поводу консерватизма руководства рейхсвера, которое "не стоит на высоте с точки зрения использования новейших технических средств для выхода из того тяжелого положения, в которое они поставлены условиями Версаля"(Доклад Заместителя Наркома по Военным и Морским Делам Тухачевского Наркому по Военным и Морским Делам Ворошилову, 14.10.1932 (экз. № 1, с резолюциями Ворошилова и Сталина) // РГВА. Ф. 4. On. 14. Д. 512. Л. 219) (22725).</w:t>
      </w:r>
    </w:p>
    <w:p w14:paraId="5D2C373C" w14:textId="77777777" w:rsidR="005A5060" w:rsidRPr="00E93F40" w:rsidRDefault="005A5060" w:rsidP="00E93F40">
      <w:pPr>
        <w:spacing w:after="0" w:line="240" w:lineRule="auto"/>
        <w:jc w:val="both"/>
        <w:rPr>
          <w:rFonts w:ascii="Times New Roman" w:hAnsi="Times New Roman"/>
          <w:color w:val="000000" w:themeColor="text1"/>
          <w:sz w:val="16"/>
          <w:szCs w:val="16"/>
        </w:rPr>
      </w:pPr>
    </w:p>
    <w:p w14:paraId="3A8EF1F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8E57BE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1CB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прекратили работы над первым вариантом АНТ-20 - пассажирского варианта АНТ-16 с 4хМ-35. Был эскизный проект. Решили делать МГ (2072,66).</w:t>
      </w:r>
    </w:p>
    <w:p w14:paraId="07E36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AC81E6"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осенью 1932 г. работа над АНТ—20 – пассажирским вариантом АНТ-16 - была приостановле</w:t>
      </w:r>
      <w:r w:rsidRPr="00E93F40">
        <w:rPr>
          <w:rFonts w:ascii="Times New Roman" w:hAnsi="Times New Roman"/>
          <w:color w:val="000000" w:themeColor="text1"/>
          <w:sz w:val="16"/>
          <w:szCs w:val="16"/>
        </w:rPr>
        <w:softHyphen/>
        <w:t>на - КБ получило другое срочное задание.</w:t>
      </w:r>
    </w:p>
    <w:p w14:paraId="1B002DB9"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группа писателей и журналистов во главе с Михаилом Коль</w:t>
      </w:r>
      <w:r w:rsidRPr="00E93F40">
        <w:rPr>
          <w:rFonts w:ascii="Times New Roman" w:hAnsi="Times New Roman"/>
          <w:color w:val="000000" w:themeColor="text1"/>
          <w:sz w:val="16"/>
          <w:szCs w:val="16"/>
        </w:rPr>
        <w:softHyphen/>
        <w:t>цовым выдвинула идею — отметить со</w:t>
      </w:r>
      <w:r w:rsidRPr="00E93F40">
        <w:rPr>
          <w:rFonts w:ascii="Times New Roman" w:hAnsi="Times New Roman"/>
          <w:color w:val="000000" w:themeColor="text1"/>
          <w:sz w:val="16"/>
          <w:szCs w:val="16"/>
        </w:rPr>
        <w:softHyphen/>
        <w:t>рокалетие литературной деятельности М. Горького постройкой металлического «Буревестника» невиданных ранее разме</w:t>
      </w:r>
      <w:r w:rsidRPr="00E93F40">
        <w:rPr>
          <w:rFonts w:ascii="Times New Roman" w:hAnsi="Times New Roman"/>
          <w:color w:val="000000" w:themeColor="text1"/>
          <w:sz w:val="16"/>
          <w:szCs w:val="16"/>
        </w:rPr>
        <w:softHyphen/>
        <w:t>ров. Почин подхватили фабрики и колхо</w:t>
      </w:r>
      <w:r w:rsidRPr="00E93F40">
        <w:rPr>
          <w:rFonts w:ascii="Times New Roman" w:hAnsi="Times New Roman"/>
          <w:color w:val="000000" w:themeColor="text1"/>
          <w:sz w:val="16"/>
          <w:szCs w:val="16"/>
        </w:rPr>
        <w:softHyphen/>
        <w:t>зы, создали Всесоюзный комитет по строительству самолета-гиганта, начали сбор денег. Собрали около 6 млн. рублей. Для разработки ТЗ на машину создали специальный Технический совет, который поручил проектирование и строительство гиганта ЦАГИ.</w:t>
      </w:r>
    </w:p>
    <w:p w14:paraId="70E6CB86"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сложившихся обстоятельствах отка</w:t>
      </w:r>
      <w:r w:rsidRPr="00E93F40">
        <w:rPr>
          <w:rFonts w:ascii="Times New Roman" w:hAnsi="Times New Roman"/>
          <w:color w:val="000000" w:themeColor="text1"/>
          <w:sz w:val="16"/>
          <w:szCs w:val="16"/>
        </w:rPr>
        <w:softHyphen/>
        <w:t>заться было невозможно. Работы по пас</w:t>
      </w:r>
      <w:r w:rsidRPr="00E93F40">
        <w:rPr>
          <w:rFonts w:ascii="Times New Roman" w:hAnsi="Times New Roman"/>
          <w:color w:val="000000" w:themeColor="text1"/>
          <w:sz w:val="16"/>
          <w:szCs w:val="16"/>
        </w:rPr>
        <w:softHyphen/>
        <w:t>сажирской машине АНТ—20 прекратили, а ее обозначение по наследству получил новый самолет — «Максим Горький» или, сокращенно, «МГ».</w:t>
      </w:r>
    </w:p>
    <w:p w14:paraId="611AD228"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«МГ» поручили брига</w:t>
      </w:r>
      <w:r w:rsidRPr="00E93F40">
        <w:rPr>
          <w:rFonts w:ascii="Times New Roman" w:hAnsi="Times New Roman"/>
          <w:color w:val="000000" w:themeColor="text1"/>
          <w:sz w:val="16"/>
          <w:szCs w:val="16"/>
        </w:rPr>
        <w:softHyphen/>
        <w:t>де № 1, которую возглавлял В.М. Петляков. Ей помогали и остальные подразделения КБ. Ответственность за разработку от</w:t>
      </w:r>
      <w:r w:rsidRPr="00E93F40">
        <w:rPr>
          <w:rFonts w:ascii="Times New Roman" w:hAnsi="Times New Roman"/>
          <w:color w:val="000000" w:themeColor="text1"/>
          <w:sz w:val="16"/>
          <w:szCs w:val="16"/>
        </w:rPr>
        <w:softHyphen/>
        <w:t>дельных агрегатов А.Н. Туполев возложил на ведущих инженеров: А.А. Архан</w:t>
      </w:r>
      <w:r w:rsidRPr="00E93F40">
        <w:rPr>
          <w:rFonts w:ascii="Times New Roman" w:hAnsi="Times New Roman"/>
          <w:color w:val="000000" w:themeColor="text1"/>
          <w:sz w:val="16"/>
          <w:szCs w:val="16"/>
        </w:rPr>
        <w:softHyphen/>
        <w:t>гельский — передняя часть фюзеляжа и управление самолетом, Кл.И. Попов — центральная часть крыла, крыльевые моторамы, элероны и управление ими, В.М. Мясишев — хвостовая часть фюзе</w:t>
      </w:r>
      <w:r w:rsidRPr="00E93F40">
        <w:rPr>
          <w:rFonts w:ascii="Times New Roman" w:hAnsi="Times New Roman"/>
          <w:color w:val="000000" w:themeColor="text1"/>
          <w:sz w:val="16"/>
          <w:szCs w:val="16"/>
        </w:rPr>
        <w:softHyphen/>
        <w:t>ляжа, Б.А. Саукке — отъемные части крыла, А.П. Голубков — тандемная мото</w:t>
      </w:r>
      <w:r w:rsidRPr="00E93F40">
        <w:rPr>
          <w:rFonts w:ascii="Times New Roman" w:hAnsi="Times New Roman"/>
          <w:color w:val="000000" w:themeColor="text1"/>
          <w:sz w:val="16"/>
          <w:szCs w:val="16"/>
        </w:rPr>
        <w:softHyphen/>
        <w:t>установка, Е.И. Погосский — крыльевые мотоустановки, система управления ими, система охлаждения и масляная система, В.Л. Александров — разработка вариантов металлических и деревянных винтов, М.Н. Петров — основные стойки шасси с масляно-пневматической амортизаци</w:t>
      </w:r>
      <w:r w:rsidRPr="00E93F40">
        <w:rPr>
          <w:rFonts w:ascii="Times New Roman" w:hAnsi="Times New Roman"/>
          <w:color w:val="000000" w:themeColor="text1"/>
          <w:sz w:val="16"/>
          <w:szCs w:val="16"/>
        </w:rPr>
        <w:softHyphen/>
        <w:t>ей, А.О. Машкевич — специальные спа</w:t>
      </w:r>
      <w:r w:rsidRPr="00E93F40">
        <w:rPr>
          <w:rFonts w:ascii="Times New Roman" w:hAnsi="Times New Roman"/>
          <w:color w:val="000000" w:themeColor="text1"/>
          <w:sz w:val="16"/>
          <w:szCs w:val="16"/>
        </w:rPr>
        <w:softHyphen/>
        <w:t>ренные двухметровые колеса основных стоек, хвостовое колесо и управление тор</w:t>
      </w:r>
      <w:r w:rsidRPr="00E93F40">
        <w:rPr>
          <w:rFonts w:ascii="Times New Roman" w:hAnsi="Times New Roman"/>
          <w:color w:val="000000" w:themeColor="text1"/>
          <w:sz w:val="16"/>
          <w:szCs w:val="16"/>
        </w:rPr>
        <w:softHyphen/>
        <w:t>мозами, И.П. Толстых — горизонтальное оперение, П.О. Сухой — вертикальное оперение, А.А. Енгибарян — оборудование, С.М. Меерсон — вооружение для военного варианта, Б.М. Ковдорский — общая увяз</w:t>
      </w:r>
      <w:r w:rsidRPr="00E93F40">
        <w:rPr>
          <w:rFonts w:ascii="Times New Roman" w:hAnsi="Times New Roman"/>
          <w:color w:val="000000" w:themeColor="text1"/>
          <w:sz w:val="16"/>
          <w:szCs w:val="16"/>
        </w:rPr>
        <w:softHyphen/>
        <w:t>ка самолета, В.Н. Беляев — прочностные и аэродинамические расчеты.</w:t>
      </w:r>
    </w:p>
    <w:p w14:paraId="5CFD39BF"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проектирования А. Гуров вел систематизацию и обработку весового материала, что обеспечило хоро</w:t>
      </w:r>
      <w:r w:rsidRPr="00E93F40">
        <w:rPr>
          <w:rFonts w:ascii="Times New Roman" w:hAnsi="Times New Roman"/>
          <w:color w:val="000000" w:themeColor="text1"/>
          <w:sz w:val="16"/>
          <w:szCs w:val="16"/>
        </w:rPr>
        <w:softHyphen/>
        <w:t>шую центровку построенной машины. Для взвешивания гиганта Госметр спро</w:t>
      </w:r>
      <w:r w:rsidRPr="00E93F40">
        <w:rPr>
          <w:rFonts w:ascii="Times New Roman" w:hAnsi="Times New Roman"/>
          <w:color w:val="000000" w:themeColor="text1"/>
          <w:sz w:val="16"/>
          <w:szCs w:val="16"/>
        </w:rPr>
        <w:softHyphen/>
        <w:t>ектировал и изготовил специальные мно</w:t>
      </w:r>
      <w:r w:rsidRPr="00E93F40">
        <w:rPr>
          <w:rFonts w:ascii="Times New Roman" w:hAnsi="Times New Roman"/>
          <w:color w:val="000000" w:themeColor="text1"/>
          <w:sz w:val="16"/>
          <w:szCs w:val="16"/>
        </w:rPr>
        <w:softHyphen/>
        <w:t>готонные весы. Ведущим инженером по самолету в целом стал Б.А. Саукке (23474).</w:t>
      </w:r>
    </w:p>
    <w:p w14:paraId="799D3FD5"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352FFD59"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Осенью 1932 г. по результатам испытаний на И-4 (АНТ-5) - единственного цельнометаллического истребителя, находящимся на вооружении ВВС, была проведена доделка пушек АПК-3 (АПК-4 оказались слишком тяжелы). После переделки они получили название АПК-3бис (25213).</w:t>
      </w:r>
    </w:p>
    <w:p w14:paraId="0D1705B1" w14:textId="77777777" w:rsidR="00EC436A" w:rsidRPr="00142305" w:rsidRDefault="00EC436A" w:rsidP="00EC436A">
      <w:pPr>
        <w:spacing w:after="0" w:line="240" w:lineRule="auto"/>
        <w:jc w:val="both"/>
        <w:rPr>
          <w:rFonts w:ascii="Times New Roman" w:hAnsi="Times New Roman"/>
          <w:color w:val="0070C0"/>
          <w:sz w:val="16"/>
          <w:szCs w:val="16"/>
        </w:rPr>
      </w:pPr>
    </w:p>
    <w:p w14:paraId="6C858FC8" w14:textId="77777777"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Осенью 1932 в статье «Постройкой „Сталь-6“ перегоним капиталистические страны» в институтской газете «Стальной самолёт» Бартини писал:</w:t>
      </w:r>
    </w:p>
    <w:p w14:paraId="5AE9E723" w14:textId="5CB5619E"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«Перед нами была поставлена задача построить самолёт, каким можно достичь рекордную скорость сухопутных самолётов (абсолютный рекорд скорости для таких самолётов в это время составлял 448</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Д.С.) без рекордных моторов и без рекордных нагрузок на кв. метр крыла, 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е. с реальными для эксплуатации данными. Для выполнения этой задачи пришлось отойти от нормальной схемы самолёта.</w:t>
      </w:r>
    </w:p>
    <w:p w14:paraId="5A5510BD" w14:textId="77777777"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Как результат всего этого мы должны получить самолёт с рекордными скоростями сухопутных машин, при нормальной посадочной скорости и с сохранением высоких качеств скороподъемности.</w:t>
      </w:r>
    </w:p>
    <w:p w14:paraId="0C701980" w14:textId="77777777"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Мы должны идти сознательно на технический риск, так как наша задача — не только строить хорошие самолёты, но строить их лучшими, чем самолёты наших врагов, этот риск необходим, если мы ставим себе задачей перегнать технику капиталистических стран.</w:t>
      </w:r>
    </w:p>
    <w:p w14:paraId="438EFA1F" w14:textId="77777777"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lastRenderedPageBreak/>
        <w:t>Задача перед нами стоит трудная. Она была бы гораздо легче разрешима, если бы мы обладали кадрами старых высококвалифицированных конструкторов и рабочих, если бы обладали прекрасно оборудованными мастерскими, если бы у нас было налаженное снабжение материалами.</w:t>
      </w:r>
    </w:p>
    <w:p w14:paraId="5F1E610F" w14:textId="77777777"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Но в том-то и заслуга большевиков, что мы догоняем и перегоняем наших врагов при данных технических возможностях. Мы „Сталь-6“ должны построить молодыми кадрами, в полукустарных мастерских, преодолевая трудности снабжения, одновременно создавая условия для ещё больших достижений» </w:t>
      </w:r>
      <w:hyperlink r:id="rId231" w:history="1">
        <w:r w:rsidRPr="00E93F40">
          <w:rPr>
            <w:rFonts w:ascii="Times New Roman" w:eastAsia="Times New Roman" w:hAnsi="Times New Roman"/>
            <w:color w:val="000000" w:themeColor="text1"/>
            <w:sz w:val="16"/>
            <w:szCs w:val="16"/>
            <w:lang w:eastAsia="ru-RU"/>
          </w:rPr>
          <w:t>[112]</w:t>
        </w:r>
      </w:hyperlink>
      <w:r w:rsidRPr="00E93F40">
        <w:rPr>
          <w:rFonts w:ascii="Times New Roman" w:eastAsia="Times New Roman" w:hAnsi="Times New Roman"/>
          <w:color w:val="000000" w:themeColor="text1"/>
          <w:sz w:val="16"/>
          <w:szCs w:val="16"/>
          <w:lang w:eastAsia="ru-RU"/>
        </w:rPr>
        <w:t xml:space="preserve"> .</w:t>
      </w:r>
    </w:p>
    <w:p w14:paraId="2B7E6893" w14:textId="79451D78"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 работе над скоростным монопланом Бартини смог приступить в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после перехода в Самолётный НИИ ГВФ (СНИИ ГВФ). В «Сталь-6» должны были использоваться новейшие материалы — хромансиль, нержавеющая сталь и, в небольших количествах, алюминиево-магниевый сплав электрон (17489).</w:t>
      </w:r>
    </w:p>
    <w:p w14:paraId="2B7E8700" w14:textId="77777777"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p>
    <w:p w14:paraId="34AFEEC2"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ХАИ-1 на испытаниях показал скорость 292 км/ч. В 1934 г. самолет начали осваивать на заводе № 21 в Горьком, хотя там построили всего одну машину, в том же году ХАИ-1 стали серийно строить на заводе № 43 в Киеве. Всего их сделали около по</w:t>
      </w:r>
      <w:r w:rsidRPr="00E93F40">
        <w:rPr>
          <w:rFonts w:ascii="Times New Roman" w:hAnsi="Times New Roman"/>
          <w:color w:val="000000" w:themeColor="text1"/>
          <w:sz w:val="16"/>
          <w:szCs w:val="16"/>
        </w:rPr>
        <w:softHyphen/>
        <w:t>лусотни. За создание быстроходного моноплана Немана наградили орденом Красной Звезды.</w:t>
      </w:r>
    </w:p>
    <w:p w14:paraId="5C67543A" w14:textId="1C0EAAE2"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Два экземпляра ХАИ-1 (в том числе единственный, собранный в Горьком и доработанный в Киеве) изготовили в военном варианте ХАИ-1В (иногда име</w:t>
      </w:r>
      <w:r w:rsidRPr="00E93F40">
        <w:rPr>
          <w:rFonts w:ascii="Times New Roman" w:hAnsi="Times New Roman"/>
          <w:color w:val="000000" w:themeColor="text1"/>
          <w:sz w:val="16"/>
          <w:szCs w:val="16"/>
        </w:rPr>
        <w:softHyphen/>
        <w:t>нуемом ХАИ-1ВВ). Это был скоростной (по тем временам) разведчик и легкий бомбардировщик. Вооружение его скла</w:t>
      </w:r>
      <w:r w:rsidRPr="00E93F40">
        <w:rPr>
          <w:rFonts w:ascii="Times New Roman" w:hAnsi="Times New Roman"/>
          <w:color w:val="000000" w:themeColor="text1"/>
          <w:sz w:val="16"/>
          <w:szCs w:val="16"/>
        </w:rPr>
        <w:softHyphen/>
        <w:t>дывалось из двух 7,62-мм пулеметов, самолет имел нормальную бомбовую нагрузку 200 кг и максимальную - 400 кг (бомбы располагались внутри фюзеля</w:t>
      </w:r>
      <w:r w:rsidRPr="00E93F40">
        <w:rPr>
          <w:rFonts w:ascii="Times New Roman" w:hAnsi="Times New Roman"/>
          <w:color w:val="000000" w:themeColor="text1"/>
          <w:sz w:val="16"/>
          <w:szCs w:val="16"/>
        </w:rPr>
        <w:softHyphen/>
        <w:t>жа)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(23523).</w:t>
      </w:r>
    </w:p>
    <w:p w14:paraId="0317276A"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4C471C81"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1932 г. на испытаниях ХАИ-1 показал скорость 292 км/ч. В 1934 г. самолет начали осваивать на заводе № 21 в Горьком, хотя там построили всего одну машину, в том же году ХАИ-1 стали серийно строить на заводе № 43 в Киеве. Всего их сделали около по</w:t>
      </w:r>
      <w:r w:rsidRPr="00142305">
        <w:rPr>
          <w:rFonts w:ascii="Times New Roman" w:hAnsi="Times New Roman"/>
          <w:color w:val="0070C0"/>
          <w:sz w:val="16"/>
          <w:szCs w:val="16"/>
        </w:rPr>
        <w:softHyphen/>
        <w:t>лусотни.</w:t>
      </w:r>
    </w:p>
    <w:p w14:paraId="5F1D6B09"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Два экземпляра ХАИ-1 (в том числе единственный, собранный в Горьком и доработанный в Киеве) изготовили в военном варианте ХАИ-1 В (иногда име</w:t>
      </w:r>
      <w:r w:rsidRPr="00142305">
        <w:rPr>
          <w:rFonts w:ascii="Times New Roman" w:hAnsi="Times New Roman"/>
          <w:color w:val="0070C0"/>
          <w:sz w:val="16"/>
          <w:szCs w:val="16"/>
        </w:rPr>
        <w:softHyphen/>
        <w:t>нуемом ХАИ-1 ВВ). Это был скоростной (по тем временам) разведчик и легкий бомбардировщик. Вооружение его скла</w:t>
      </w:r>
      <w:r w:rsidRPr="00142305">
        <w:rPr>
          <w:rFonts w:ascii="Times New Roman" w:hAnsi="Times New Roman"/>
          <w:color w:val="0070C0"/>
          <w:sz w:val="16"/>
          <w:szCs w:val="16"/>
        </w:rPr>
        <w:softHyphen/>
        <w:t>дывалось из двух 7,62-мм пулеметов, самолет имел нормальную бомбовую нагрузку 200 кг и максимальную - 400 кг (бомбы располагались внутри фюзеля</w:t>
      </w:r>
      <w:r w:rsidRPr="00142305">
        <w:rPr>
          <w:rFonts w:ascii="Times New Roman" w:hAnsi="Times New Roman"/>
          <w:color w:val="0070C0"/>
          <w:sz w:val="16"/>
          <w:szCs w:val="16"/>
        </w:rPr>
        <w:softHyphen/>
        <w:t>жа) (24943).</w:t>
      </w:r>
    </w:p>
    <w:p w14:paraId="06A020E0" w14:textId="77777777" w:rsidR="00EC436A" w:rsidRPr="00142305" w:rsidRDefault="00EC436A" w:rsidP="00EC436A">
      <w:pPr>
        <w:spacing w:after="0" w:line="240" w:lineRule="auto"/>
        <w:jc w:val="both"/>
        <w:rPr>
          <w:rFonts w:ascii="Times New Roman" w:hAnsi="Times New Roman"/>
          <w:color w:val="0070C0"/>
          <w:sz w:val="16"/>
          <w:szCs w:val="16"/>
        </w:rPr>
      </w:pPr>
    </w:p>
    <w:p w14:paraId="6F609BEA" w14:textId="77777777" w:rsidR="00EC436A" w:rsidRPr="00E93F40" w:rsidRDefault="00EC436A" w:rsidP="00EC436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АИР-6 прошел официальные заводские испытания на ЛИС завода 39. Список дефектов включал 92 п. На двухкилометровой мерной базе показал 165.5 км/час. Для определения расхода топлива дважды летали по маршруту Москва - Подольск - Москва по 83.5 км. Достигли 250 г на нр/час. Испытания на высоту прервали на 4490 м из-за неблагоприятных погодных условий (3550,8).</w:t>
      </w:r>
    </w:p>
    <w:p w14:paraId="684A5C29" w14:textId="77777777" w:rsidR="00EC436A" w:rsidRPr="00E93F40" w:rsidRDefault="00EC436A" w:rsidP="00EC436A">
      <w:pPr>
        <w:autoSpaceDE w:val="0"/>
        <w:autoSpaceDN w:val="0"/>
        <w:adjustRightInd w:val="0"/>
        <w:spacing w:after="0" w:line="240" w:lineRule="auto"/>
        <w:jc w:val="both"/>
        <w:rPr>
          <w:rFonts w:ascii="Times New Roman" w:hAnsi="Times New Roman"/>
          <w:color w:val="000000" w:themeColor="text1"/>
          <w:sz w:val="16"/>
          <w:szCs w:val="16"/>
        </w:rPr>
      </w:pPr>
    </w:p>
    <w:p w14:paraId="300DDC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состоялся перелет только что построенного планера Г-9 за самолетом У-2 из Москвы в Коктебель на 1700 км. Впервые (94,6).</w:t>
      </w:r>
    </w:p>
    <w:p w14:paraId="1EC92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BDCD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военное министерство Ирана заключило контракт на поставку десяти Р-5. На первом самолете иранский летчик А. Макуи, выпускник Качинской летной школы, совершил перелет Москва-Тегеран, прибыв на место 28 мая 1933 г. Остальные Р-5 из Москвы везли по железной дороге, а затем по Каспию в иранский порт Пехлеви. Все машины имели моторы BMW VI и пулеметы "Льюис" в задней кабине. Они успешно эксплуатировались в иранских ВВС сначала как боевые, а с конца 1934 г. как тренировочные (11936).</w:t>
      </w:r>
    </w:p>
    <w:p w14:paraId="5A73F4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7EBB29" w14:textId="77777777" w:rsidR="002A11F1" w:rsidRPr="00E93F40" w:rsidRDefault="002A11F1"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для переговоров с фирмой «Райт» в США отправилась делегация во главе с И.И. Побережским. В нее входили также А.Д. Швецов и Н.П. Базилев. 5 декабря делегация прибыла в Нью-Йорк и с 7 декабря начала переговоры, завершившиеся 22 апреля 1933 г. Фирма выразила согласие подготовить всю документацию в метрической системе, изготовить и испытать образцы метрических моторов (11852).</w:t>
      </w:r>
    </w:p>
    <w:p w14:paraId="71DEE8B6" w14:textId="77777777" w:rsidR="002A11F1" w:rsidRPr="00E93F40" w:rsidRDefault="002A11F1"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4F2EFF"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года в США для закупки лицензии на производство авиамоторов и соответствующих тех</w:t>
      </w:r>
      <w:r w:rsidRPr="00E93F40">
        <w:rPr>
          <w:rFonts w:ascii="Times New Roman" w:hAnsi="Times New Roman"/>
          <w:color w:val="000000" w:themeColor="text1"/>
          <w:sz w:val="16"/>
          <w:szCs w:val="16"/>
        </w:rPr>
        <w:softHyphen/>
        <w:t>нологий была направлена делегация, возглавляемая начальником ЦИАМ И.И. Побережским и главным инжене</w:t>
      </w:r>
      <w:r w:rsidRPr="00E93F40">
        <w:rPr>
          <w:rFonts w:ascii="Times New Roman" w:hAnsi="Times New Roman"/>
          <w:color w:val="000000" w:themeColor="text1"/>
          <w:sz w:val="16"/>
          <w:szCs w:val="16"/>
        </w:rPr>
        <w:softHyphen/>
        <w:t>ром ГАЗ №24 А.Д. Швецовым. 5 дека</w:t>
      </w:r>
      <w:r w:rsidRPr="00E93F40">
        <w:rPr>
          <w:rFonts w:ascii="Times New Roman" w:hAnsi="Times New Roman"/>
          <w:color w:val="000000" w:themeColor="text1"/>
          <w:sz w:val="16"/>
          <w:szCs w:val="16"/>
        </w:rPr>
        <w:softHyphen/>
        <w:t>бря делегация прибыла в Нью-Йорк.</w:t>
      </w:r>
    </w:p>
    <w:p w14:paraId="1DCADBE8"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По-видимому, Поликарпов знал о поездке этой делегации, ее целях и задачах. Вот почему при проектиро</w:t>
      </w:r>
      <w:r w:rsidRPr="00E93F40">
        <w:rPr>
          <w:rFonts w:ascii="Times New Roman" w:hAnsi="Times New Roman"/>
          <w:color w:val="000000" w:themeColor="text1"/>
          <w:sz w:val="16"/>
          <w:szCs w:val="16"/>
        </w:rPr>
        <w:softHyphen/>
        <w:t>вании новых машин И-15 и И-16 он ориентировался на моторы Райт «Ци</w:t>
      </w:r>
      <w:r w:rsidRPr="00E93F40">
        <w:rPr>
          <w:rFonts w:ascii="Times New Roman" w:hAnsi="Times New Roman"/>
          <w:color w:val="000000" w:themeColor="text1"/>
          <w:sz w:val="16"/>
          <w:szCs w:val="16"/>
        </w:rPr>
        <w:softHyphen/>
        <w:t>клон», не без основания полагая, что лицензия на их производство в СССР все же будет куплена.</w:t>
      </w:r>
    </w:p>
    <w:p w14:paraId="0A632302"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действительно, нелегкие пе</w:t>
      </w:r>
      <w:r w:rsidRPr="00E93F40">
        <w:rPr>
          <w:rFonts w:ascii="Times New Roman" w:hAnsi="Times New Roman"/>
          <w:color w:val="000000" w:themeColor="text1"/>
          <w:sz w:val="16"/>
          <w:szCs w:val="16"/>
        </w:rPr>
        <w:softHyphen/>
        <w:t>реговоры завершились 22 апреля 1933 г. Фирма выразила согласие не только продать партию двига</w:t>
      </w:r>
      <w:r w:rsidRPr="00E93F40">
        <w:rPr>
          <w:rFonts w:ascii="Times New Roman" w:hAnsi="Times New Roman"/>
          <w:color w:val="000000" w:themeColor="text1"/>
          <w:sz w:val="16"/>
          <w:szCs w:val="16"/>
        </w:rPr>
        <w:softHyphen/>
        <w:t>телей, но и подготовить всю доку</w:t>
      </w:r>
      <w:r w:rsidRPr="00E93F40">
        <w:rPr>
          <w:rFonts w:ascii="Times New Roman" w:hAnsi="Times New Roman"/>
          <w:color w:val="000000" w:themeColor="text1"/>
          <w:sz w:val="16"/>
          <w:szCs w:val="16"/>
        </w:rPr>
        <w:softHyphen/>
        <w:t>ментацию на производство одного из лучших в те годы моторов Райт «Циклон» SGR-1820 F-3 в метриче</w:t>
      </w:r>
      <w:r w:rsidRPr="00E93F40">
        <w:rPr>
          <w:rFonts w:ascii="Times New Roman" w:hAnsi="Times New Roman"/>
          <w:color w:val="000000" w:themeColor="text1"/>
          <w:sz w:val="16"/>
          <w:szCs w:val="16"/>
        </w:rPr>
        <w:softHyphen/>
        <w:t>ской системе, изготовить и испытать образцы метрических моторов.</w:t>
      </w:r>
    </w:p>
    <w:p w14:paraId="1842C165"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это соглашение было под</w:t>
      </w:r>
      <w:r w:rsidRPr="00E93F40">
        <w:rPr>
          <w:rFonts w:ascii="Times New Roman" w:hAnsi="Times New Roman"/>
          <w:color w:val="000000" w:themeColor="text1"/>
          <w:sz w:val="16"/>
          <w:szCs w:val="16"/>
        </w:rPr>
        <w:softHyphen/>
        <w:t>тверждено специальным решением советского Правительства. В поста</w:t>
      </w:r>
      <w:r w:rsidRPr="00E93F40">
        <w:rPr>
          <w:rFonts w:ascii="Times New Roman" w:hAnsi="Times New Roman"/>
          <w:color w:val="000000" w:themeColor="text1"/>
          <w:sz w:val="16"/>
          <w:szCs w:val="16"/>
        </w:rPr>
        <w:softHyphen/>
        <w:t>новлении Совета Труда и Обороны от 28 ноября 1933 г. говорилось о закупке 150 готовых моторов,100</w:t>
      </w:r>
    </w:p>
    <w:p w14:paraId="540205F9"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комплектов деталей (метрических) для запуска производства и о приобретении наиболее сложных в изготовлении деталей еще на 100 двигателей - всего на общую сумму 4350000 рублей. В январе 1934 г. фирма построила первый метрический мотор и установила его на стенд. В апреле он завершил 100-часовые испытания в США.</w:t>
      </w:r>
    </w:p>
    <w:p w14:paraId="6CAC09D4"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Фирма по соглашению поставляла в СССР документацию, все необходи</w:t>
      </w:r>
      <w:r w:rsidRPr="00E93F40">
        <w:rPr>
          <w:rFonts w:ascii="Times New Roman" w:hAnsi="Times New Roman"/>
          <w:color w:val="000000" w:themeColor="text1"/>
          <w:sz w:val="16"/>
          <w:szCs w:val="16"/>
        </w:rPr>
        <w:softHyphen/>
        <w:t>мое станочное оборудование, приспо</w:t>
      </w:r>
      <w:r w:rsidRPr="00E93F40">
        <w:rPr>
          <w:rFonts w:ascii="Times New Roman" w:hAnsi="Times New Roman"/>
          <w:color w:val="000000" w:themeColor="text1"/>
          <w:sz w:val="16"/>
          <w:szCs w:val="16"/>
        </w:rPr>
        <w:softHyphen/>
        <w:t>собления и технологии, необходимые для оснащения авиамоторного завода. По указанию Правительства в двух ки</w:t>
      </w:r>
      <w:r w:rsidRPr="00E93F40">
        <w:rPr>
          <w:rFonts w:ascii="Times New Roman" w:hAnsi="Times New Roman"/>
          <w:color w:val="000000" w:themeColor="text1"/>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1F020B32"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Райт «Циклон» SGR-1820 F-3 в СССР получил новое обозна</w:t>
      </w:r>
      <w:r w:rsidRPr="00E93F40">
        <w:rPr>
          <w:rFonts w:ascii="Times New Roman" w:hAnsi="Times New Roman"/>
          <w:color w:val="000000" w:themeColor="text1"/>
          <w:sz w:val="16"/>
          <w:szCs w:val="16"/>
        </w:rPr>
        <w:softHyphen/>
        <w:t>чение - М-25 (23455).</w:t>
      </w:r>
    </w:p>
    <w:p w14:paraId="2C743656"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503769EB" w14:textId="77777777" w:rsidR="00EC436A" w:rsidRPr="00E93F40" w:rsidRDefault="00EC436A" w:rsidP="00EC436A">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в США для переговоров отправилась делегация во главе с И.И. Побережским. Переговоры завершились подписанием 22 апреля 1933 г. соглашения о приобретении лицензии. По нему фирма предоставляла необходимый комплект документации, специально переведённый в метрическую систему, а также должна была изготовить и испытать образцы двигателей метрического варианта. Позднее этот договор дополнили контрактами на приобретение готовых моторов, комплектов узлов и наиболее важных деталей (12261).</w:t>
      </w:r>
    </w:p>
    <w:p w14:paraId="78E73156" w14:textId="77777777" w:rsidR="00EC436A" w:rsidRPr="00E93F40" w:rsidRDefault="00EC436A" w:rsidP="00EC436A">
      <w:pPr>
        <w:spacing w:after="0" w:line="240" w:lineRule="auto"/>
        <w:jc w:val="both"/>
        <w:rPr>
          <w:rFonts w:ascii="Times New Roman" w:hAnsi="Times New Roman"/>
          <w:color w:val="000000" w:themeColor="text1"/>
          <w:sz w:val="16"/>
          <w:szCs w:val="16"/>
        </w:rPr>
      </w:pPr>
    </w:p>
    <w:p w14:paraId="0B7ACB9A"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Осенью 1932 г. для переговоров с фирмой «Райт» в США</w:t>
      </w:r>
      <w:r w:rsidRPr="00142305">
        <w:rPr>
          <w:rStyle w:val="30"/>
          <w:rFonts w:ascii="Times New Roman" w:eastAsia="Calibri" w:hAnsi="Times New Roman"/>
          <w:color w:val="0070C0"/>
          <w:sz w:val="16"/>
          <w:szCs w:val="16"/>
        </w:rPr>
        <w:t xml:space="preserve"> </w:t>
      </w:r>
      <w:r w:rsidRPr="00142305">
        <w:rPr>
          <w:rStyle w:val="aff"/>
          <w:rFonts w:ascii="Times New Roman" w:hAnsi="Times New Roman" w:cs="Times New Roman"/>
          <w:color w:val="0070C0"/>
          <w:spacing w:val="0"/>
          <w:sz w:val="16"/>
          <w:szCs w:val="16"/>
        </w:rPr>
        <w:t>отправилась делегация во главе с И.И. Побережским, в то время заместителем начальника ГУАП при Наркомтяжпроме СССР. В состав комиссии входили также А.Д. Швецов и Н.П. Базилев (25145).</w:t>
      </w:r>
    </w:p>
    <w:p w14:paraId="00E17711" w14:textId="77777777" w:rsidR="00EC436A" w:rsidRPr="00142305" w:rsidRDefault="00EC436A" w:rsidP="00EC436A">
      <w:pPr>
        <w:spacing w:after="0" w:line="240" w:lineRule="auto"/>
        <w:jc w:val="both"/>
        <w:rPr>
          <w:rFonts w:ascii="Times New Roman" w:hAnsi="Times New Roman"/>
          <w:color w:val="0070C0"/>
          <w:sz w:val="16"/>
          <w:szCs w:val="16"/>
        </w:rPr>
      </w:pPr>
    </w:p>
    <w:p w14:paraId="115EAC86" w14:textId="77777777" w:rsidR="00F46546" w:rsidRPr="00E93F40" w:rsidRDefault="00F46546"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BFCFC"/>
        </w:rPr>
        <w:t>Осенью 1932 г. в Москву доставили мотор Роллс-Ройс «Кестрел», вызвавший большой интерес у наших специалистов (21511).</w:t>
      </w:r>
    </w:p>
    <w:p w14:paraId="780D4B58" w14:textId="77777777" w:rsidR="00F46546" w:rsidRPr="00E93F40" w:rsidRDefault="00F46546" w:rsidP="00E93F40">
      <w:pPr>
        <w:spacing w:after="0" w:line="240" w:lineRule="auto"/>
        <w:jc w:val="both"/>
        <w:rPr>
          <w:rFonts w:ascii="Times New Roman" w:hAnsi="Times New Roman"/>
          <w:color w:val="000000" w:themeColor="text1"/>
          <w:sz w:val="16"/>
          <w:szCs w:val="16"/>
          <w:shd w:val="clear" w:color="auto" w:fill="FFFFFF"/>
        </w:rPr>
      </w:pPr>
    </w:p>
    <w:p w14:paraId="49C95258"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в Москву доставили мотор Роллс-Ройс «Кестрел», вызвавший большой интерес у наших спе</w:t>
      </w:r>
      <w:r w:rsidRPr="00E93F40">
        <w:rPr>
          <w:rFonts w:ascii="Times New Roman" w:hAnsi="Times New Roman"/>
          <w:color w:val="000000" w:themeColor="text1"/>
          <w:sz w:val="16"/>
          <w:szCs w:val="16"/>
        </w:rPr>
        <w:softHyphen/>
        <w:t>циалистов (23513).</w:t>
      </w:r>
    </w:p>
    <w:p w14:paraId="4B68DBD3"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53285340"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1932 г. состоялся визит Тухачевского в Герма</w:t>
      </w:r>
      <w:r w:rsidRPr="00142305">
        <w:rPr>
          <w:rFonts w:ascii="Times New Roman" w:hAnsi="Times New Roman"/>
          <w:color w:val="0070C0"/>
          <w:sz w:val="16"/>
          <w:szCs w:val="16"/>
        </w:rPr>
        <w:softHyphen/>
        <w:t>нию. В отчете говорилось: «...В Дессау я осмотрел стратосферный самолет Юнкерса. Он уже делал опытный полет на высоту свыше 9000 м, но дальнейшие испытания прекращены, т. к. в связи с крахом (в 1932 г. фирма «Юнкерс» обанкротилась) Юнкерс не имеет на это средств. Высотность самолета рассчитана на 16000 м.</w:t>
      </w:r>
    </w:p>
    <w:p w14:paraId="4D0EA846"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Юнкерс согласен на наше участие в завершении конструкции стратосферного самолета, в форме ли заказа или участия в опытах, с оплатой таковых. Вопрос этот настолько важен и мы так в этой об</w:t>
      </w:r>
      <w:r w:rsidRPr="00142305">
        <w:rPr>
          <w:rFonts w:ascii="Times New Roman" w:hAnsi="Times New Roman"/>
          <w:color w:val="0070C0"/>
          <w:sz w:val="16"/>
          <w:szCs w:val="16"/>
        </w:rPr>
        <w:softHyphen/>
        <w:t>ласти отстали, что этим согласием необходимо возможно более срочно воспользоваться.</w:t>
      </w:r>
    </w:p>
    <w:p w14:paraId="465A6018"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отношении мощного авиадизеля Юнкерса (ЮМО 4 мощно</w:t>
      </w:r>
      <w:r w:rsidRPr="00142305">
        <w:rPr>
          <w:rFonts w:ascii="Times New Roman" w:hAnsi="Times New Roman"/>
          <w:color w:val="0070C0"/>
          <w:sz w:val="16"/>
          <w:szCs w:val="16"/>
        </w:rPr>
        <w:softHyphen/>
        <w:t>стью 720 л. с. — Авт.) представители Люфтганзы в Темпельгофе за</w:t>
      </w:r>
      <w:r w:rsidRPr="00142305">
        <w:rPr>
          <w:rFonts w:ascii="Times New Roman" w:hAnsi="Times New Roman"/>
          <w:color w:val="0070C0"/>
          <w:sz w:val="16"/>
          <w:szCs w:val="16"/>
        </w:rPr>
        <w:softHyphen/>
        <w:t>явили, что он работает бесперебойно. Расход горючего на силу-час лишь немногим больше 160 г, в то время как бензиновый мотор по</w:t>
      </w:r>
      <w:r w:rsidRPr="00142305">
        <w:rPr>
          <w:rFonts w:ascii="Times New Roman" w:hAnsi="Times New Roman"/>
          <w:color w:val="0070C0"/>
          <w:sz w:val="16"/>
          <w:szCs w:val="16"/>
        </w:rPr>
        <w:softHyphen/>
        <w:t>требляет до 240 г.</w:t>
      </w:r>
    </w:p>
    <w:p w14:paraId="14254A52"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Юнкерс заявляет, что к этому мотору он проектировал нагне</w:t>
      </w:r>
      <w:r w:rsidRPr="00142305">
        <w:rPr>
          <w:rFonts w:ascii="Times New Roman" w:hAnsi="Times New Roman"/>
          <w:color w:val="0070C0"/>
          <w:sz w:val="16"/>
          <w:szCs w:val="16"/>
        </w:rPr>
        <w:softHyphen/>
        <w:t>татель для придачи ему высотности, но должен был прекратить раз</w:t>
      </w:r>
      <w:r w:rsidRPr="00142305">
        <w:rPr>
          <w:rFonts w:ascii="Times New Roman" w:hAnsi="Times New Roman"/>
          <w:color w:val="0070C0"/>
          <w:sz w:val="16"/>
          <w:szCs w:val="16"/>
        </w:rPr>
        <w:softHyphen/>
        <w:t>работку в связи с крахом. Он согласен сконструировать этот нагне</w:t>
      </w:r>
      <w:r w:rsidRPr="00142305">
        <w:rPr>
          <w:rFonts w:ascii="Times New Roman" w:hAnsi="Times New Roman"/>
          <w:color w:val="0070C0"/>
          <w:sz w:val="16"/>
          <w:szCs w:val="16"/>
        </w:rPr>
        <w:softHyphen/>
        <w:t>татель для авиадизельмоторов, которые мы ему заказали, чем необходимо скорее воспользоваться.</w:t>
      </w:r>
    </w:p>
    <w:p w14:paraId="75A0D7D8"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Темпельсгофе испытывают на самолете новый мотор Симен</w:t>
      </w:r>
      <w:r w:rsidRPr="00142305">
        <w:rPr>
          <w:rFonts w:ascii="Times New Roman" w:hAnsi="Times New Roman"/>
          <w:color w:val="0070C0"/>
          <w:sz w:val="16"/>
          <w:szCs w:val="16"/>
        </w:rPr>
        <w:softHyphen/>
        <w:t>са с воздушным охлаждением. Мотор настолько интересен, что не</w:t>
      </w:r>
      <w:r w:rsidRPr="00142305">
        <w:rPr>
          <w:rFonts w:ascii="Times New Roman" w:hAnsi="Times New Roman"/>
          <w:color w:val="0070C0"/>
          <w:sz w:val="16"/>
          <w:szCs w:val="16"/>
        </w:rPr>
        <w:softHyphen/>
        <w:t>обходимо закупить несколько образцов.</w:t>
      </w:r>
    </w:p>
    <w:p w14:paraId="3685722E"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отношении заказов на автопилоты для самолетов и автома</w:t>
      </w:r>
      <w:r w:rsidRPr="00142305">
        <w:rPr>
          <w:rFonts w:ascii="Times New Roman" w:hAnsi="Times New Roman"/>
          <w:color w:val="0070C0"/>
          <w:sz w:val="16"/>
          <w:szCs w:val="16"/>
        </w:rPr>
        <w:softHyphen/>
        <w:t>тического управления танком Сименс не отказывается и принима</w:t>
      </w:r>
      <w:r w:rsidRPr="00142305">
        <w:rPr>
          <w:rFonts w:ascii="Times New Roman" w:hAnsi="Times New Roman"/>
          <w:color w:val="0070C0"/>
          <w:sz w:val="16"/>
          <w:szCs w:val="16"/>
        </w:rPr>
        <w:softHyphen/>
        <w:t>ет наши требования, но оговаривает, что в столь новых и небывалых конструкциях нельзя ручаться за точное выполнение всех пунктов требований. Тем не менее он ручается, что аппараты будут наибо</w:t>
      </w:r>
      <w:r w:rsidRPr="00142305">
        <w:rPr>
          <w:rFonts w:ascii="Times New Roman" w:hAnsi="Times New Roman"/>
          <w:color w:val="0070C0"/>
          <w:sz w:val="16"/>
          <w:szCs w:val="16"/>
        </w:rPr>
        <w:softHyphen/>
        <w:t>лее совершенными из всех современных аппаратов».</w:t>
      </w:r>
    </w:p>
    <w:p w14:paraId="387A1A2A"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основании увиденного был разработан новый план на 1933 г.: советская сторона рассчитывала обследовать в Липецке авиационные моторы БМВ ХИ и Сименс Р 22, авиадизель фирмы «Мерседес-Бенц», скоростной истребитель Арадо IV, новый тип многоместного истребителя с крупнокалиберным вооружением, стратосферный самолет Юнкерса, УКВ самолетную радиостанцию, автопилот фирмы «Сименс» (25025).</w:t>
      </w:r>
    </w:p>
    <w:p w14:paraId="3F4A93BA" w14:textId="77777777" w:rsidR="00EC436A" w:rsidRPr="00142305" w:rsidRDefault="00EC436A" w:rsidP="00EC436A">
      <w:pPr>
        <w:spacing w:after="0" w:line="240" w:lineRule="auto"/>
        <w:jc w:val="both"/>
        <w:rPr>
          <w:rFonts w:ascii="Times New Roman" w:hAnsi="Times New Roman"/>
          <w:color w:val="0070C0"/>
          <w:sz w:val="16"/>
          <w:szCs w:val="16"/>
        </w:rPr>
      </w:pPr>
    </w:p>
    <w:p w14:paraId="32469F11" w14:textId="77777777" w:rsidR="00EC436A" w:rsidRPr="00E93F40" w:rsidRDefault="00EC436A" w:rsidP="00EC436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Осенью 1932 М.Н.Тухачевский в отчете о поездке в Германию говорил, что в Дассау он осмотрел высотный самолет Юнкерса на 16000 м, который уже сделал полет на 9000 м и испытания которого были прекращены из-за краха фирмы. Юнкерс согласен на наше участие в завершении стратосферного самолета в форме заказа или </w:t>
      </w:r>
      <w:r w:rsidRPr="00E93F40">
        <w:rPr>
          <w:rFonts w:ascii="Times New Roman" w:hAnsi="Times New Roman"/>
          <w:color w:val="000000" w:themeColor="text1"/>
          <w:sz w:val="16"/>
          <w:szCs w:val="16"/>
        </w:rPr>
        <w:lastRenderedPageBreak/>
        <w:t>участия в опытах с оплатой таковых. Отметил и наличие мощного дизеля Юнкерса с расходом 160 г на силу в час, для которого проектировался нагнетатель. Сименс был согласен выполнить заказ на автопилоты и автоматическое управление танками (1795,39).</w:t>
      </w:r>
    </w:p>
    <w:p w14:paraId="5A511562" w14:textId="77777777" w:rsidR="00EC436A" w:rsidRPr="00E93F40" w:rsidRDefault="00EC436A" w:rsidP="00EC436A">
      <w:pPr>
        <w:autoSpaceDE w:val="0"/>
        <w:autoSpaceDN w:val="0"/>
        <w:adjustRightInd w:val="0"/>
        <w:spacing w:after="0" w:line="240" w:lineRule="auto"/>
        <w:jc w:val="both"/>
        <w:rPr>
          <w:rFonts w:ascii="Times New Roman" w:hAnsi="Times New Roman"/>
          <w:color w:val="000000" w:themeColor="text1"/>
          <w:sz w:val="16"/>
          <w:szCs w:val="16"/>
        </w:rPr>
      </w:pPr>
    </w:p>
    <w:p w14:paraId="73AE3201" w14:textId="77777777" w:rsidR="00EC436A" w:rsidRPr="00E93F40" w:rsidRDefault="00EC436A" w:rsidP="00EC436A">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английский л Гаерсон совершил в Москве полет на АНТ-14, понравилось, написал статью во Флайте (8663,7).</w:t>
      </w:r>
    </w:p>
    <w:p w14:paraId="7CC155A8" w14:textId="77777777" w:rsidR="00EC436A" w:rsidRPr="00E93F40" w:rsidRDefault="00EC436A" w:rsidP="00EC436A">
      <w:pPr>
        <w:autoSpaceDE w:val="0"/>
        <w:autoSpaceDN w:val="0"/>
        <w:adjustRightInd w:val="0"/>
        <w:spacing w:after="0" w:line="240" w:lineRule="auto"/>
        <w:jc w:val="both"/>
        <w:rPr>
          <w:rFonts w:ascii="Times New Roman" w:hAnsi="Times New Roman"/>
          <w:color w:val="000000" w:themeColor="text1"/>
          <w:sz w:val="16"/>
          <w:szCs w:val="16"/>
        </w:rPr>
      </w:pPr>
    </w:p>
    <w:p w14:paraId="79DE9DF6"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1932 года в Москву прилетел летчик Гаерсон. О своем воздушном путешествии из Европы в Самарканд и обратно через Москву и Астрахань пилот рассказал в одном из ноябрьских номеров журнала "Флайт".</w:t>
      </w:r>
    </w:p>
    <w:p w14:paraId="6C5EDD93"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Москве Гаерсону довелось полетать пассажиром на АНТ-14. По этому поводу он восторженно писал:</w:t>
      </w:r>
    </w:p>
    <w:p w14:paraId="0E67504F"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я попросил осмотреть внутри АНТ-14, стоявший (…) в аэропорту (видимо, Центральный аэродром имени М.В. Фрунзе). В ответ Найденов (заместитель начальника ГВФ) не только позволил осмотреть, но и сказал, что даст разрешение на полет в нем над Москвой и вокруг нее…</w:t>
      </w:r>
    </w:p>
    <w:p w14:paraId="2C809C93"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АНТ-14 предназначен для транссибирских перелетов, то в его комплект входило и лыжное шасси (размером 5,54×1,45 м).</w:t>
      </w:r>
    </w:p>
    <w:p w14:paraId="5D037DE1"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Найденов показал мне всю машину, которую мы облазили кругом, и я нашел, что как и в Do-X и G-38 </w:t>
      </w:r>
      <w:r w:rsidRPr="00142305">
        <w:rPr>
          <w:rFonts w:ascii="Times New Roman" w:hAnsi="Times New Roman"/>
          <w:b/>
          <w:bCs/>
          <w:color w:val="0070C0"/>
          <w:sz w:val="16"/>
          <w:szCs w:val="16"/>
        </w:rPr>
        <w:t>(</w:t>
      </w:r>
      <w:r w:rsidRPr="00142305">
        <w:rPr>
          <w:rFonts w:ascii="Times New Roman" w:hAnsi="Times New Roman"/>
          <w:color w:val="0070C0"/>
          <w:sz w:val="16"/>
          <w:szCs w:val="16"/>
        </w:rPr>
        <w:t>фирм "Дорнье" и "Юнкерс" соответственно</w:t>
      </w:r>
      <w:r w:rsidRPr="00142305">
        <w:rPr>
          <w:rFonts w:ascii="Times New Roman" w:hAnsi="Times New Roman"/>
          <w:b/>
          <w:bCs/>
          <w:color w:val="0070C0"/>
          <w:sz w:val="16"/>
          <w:szCs w:val="16"/>
        </w:rPr>
        <w:t>)</w:t>
      </w:r>
      <w:r w:rsidRPr="00142305">
        <w:rPr>
          <w:rFonts w:ascii="Times New Roman" w:hAnsi="Times New Roman"/>
          <w:color w:val="0070C0"/>
          <w:sz w:val="16"/>
          <w:szCs w:val="16"/>
        </w:rPr>
        <w:t>, летчик имеет в своей комфортабельной кабине необходимые приборы и из нее открывается великолепный обзор вследствие низкого расположения переднего двигателя. Все индикаторы, относящиеся к моторам, были в "руках" главного механика, кабина которого расположена над пассажирским салоном.</w:t>
      </w:r>
    </w:p>
    <w:p w14:paraId="6A010FB4"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Запустив моторы, нас усадили в удобные плетеные кресла с подвижными спинками, расположенные по обе стороны широкого прохода. Уселись мы, однако, не все, так как на борту находилось 47 пассажиров, многие из которых были видными работниками. По этому поводу мне сообщили, что самолет в состоянии поднять до 65 человек при полетах на короткие расстояния и с небольшим запасом горючего.</w:t>
      </w:r>
    </w:p>
    <w:p w14:paraId="45C46CF8"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оторвался от земли очень быстро – за 10 секунд, хотя ветер был больше 15 миль/ч. Подъем был великолепный и легко было говорить, не напрягая голоса. Через 20 минут мы сели, пробежав 200 ярдов и я почувствовал, что летал на действительно хорошем самолете." (25604).</w:t>
      </w:r>
    </w:p>
    <w:p w14:paraId="1B95343F" w14:textId="77777777" w:rsidR="00EC436A" w:rsidRPr="00142305" w:rsidRDefault="00EC436A" w:rsidP="00EC436A">
      <w:pPr>
        <w:spacing w:after="0" w:line="240" w:lineRule="auto"/>
        <w:jc w:val="both"/>
        <w:rPr>
          <w:rFonts w:ascii="Times New Roman" w:hAnsi="Times New Roman"/>
          <w:color w:val="0070C0"/>
          <w:sz w:val="16"/>
          <w:szCs w:val="16"/>
        </w:rPr>
      </w:pPr>
    </w:p>
    <w:p w14:paraId="1E40A28F"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Валк предложил другой проект, не требующий применения ракетных двигателей: доставлять торпеду к месту пуска на планере, вследствие чего звукоулавливатели против</w:t>
      </w:r>
      <w:r w:rsidRPr="00E93F40">
        <w:rPr>
          <w:rFonts w:ascii="Times New Roman" w:hAnsi="Times New Roman"/>
          <w:color w:val="000000" w:themeColor="text1"/>
          <w:sz w:val="16"/>
          <w:szCs w:val="16"/>
        </w:rPr>
        <w:softHyphen/>
        <w:t>ника не смогут обнаружить носитель на подлёте к цели. Из-за малых размеров планера го также будет трудно обнаружить и перехватить истребительной авиацией.</w:t>
      </w:r>
    </w:p>
    <w:p w14:paraId="30A9155B"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Вначале предлагалось по</w:t>
      </w:r>
      <w:r w:rsidRPr="00E93F40">
        <w:rPr>
          <w:rFonts w:ascii="Times New Roman" w:hAnsi="Times New Roman"/>
          <w:color w:val="000000" w:themeColor="text1"/>
          <w:sz w:val="16"/>
          <w:szCs w:val="16"/>
        </w:rPr>
        <w:softHyphen/>
        <w:t>строить пилотируемые пла</w:t>
      </w:r>
      <w:r w:rsidRPr="00E93F40">
        <w:rPr>
          <w:rFonts w:ascii="Times New Roman" w:hAnsi="Times New Roman"/>
          <w:color w:val="000000" w:themeColor="text1"/>
          <w:sz w:val="16"/>
          <w:szCs w:val="16"/>
        </w:rPr>
        <w:softHyphen/>
        <w:t>неры - носители торпед, а за время испытаний отладить авто</w:t>
      </w:r>
      <w:r w:rsidRPr="00E93F40">
        <w:rPr>
          <w:rFonts w:ascii="Times New Roman" w:hAnsi="Times New Roman"/>
          <w:color w:val="000000" w:themeColor="text1"/>
          <w:sz w:val="16"/>
          <w:szCs w:val="16"/>
        </w:rPr>
        <w:softHyphen/>
        <w:t>матические системы управления и наведения. Боевые ПТ должны были быть беспилотными.</w:t>
      </w:r>
    </w:p>
    <w:p w14:paraId="61A50086"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планирующей торпеде ПТ были одобрены Ту</w:t>
      </w:r>
      <w:r w:rsidRPr="00E93F40">
        <w:rPr>
          <w:rFonts w:ascii="Times New Roman" w:hAnsi="Times New Roman"/>
          <w:color w:val="000000" w:themeColor="text1"/>
          <w:sz w:val="16"/>
          <w:szCs w:val="16"/>
        </w:rPr>
        <w:softHyphen/>
        <w:t>хачевским по докладу Замести</w:t>
      </w:r>
      <w:r w:rsidRPr="00E93F40">
        <w:rPr>
          <w:rFonts w:ascii="Times New Roman" w:hAnsi="Times New Roman"/>
          <w:color w:val="000000" w:themeColor="text1"/>
          <w:sz w:val="16"/>
          <w:szCs w:val="16"/>
        </w:rPr>
        <w:softHyphen/>
        <w:t>теля Начальника УМС (управ</w:t>
      </w:r>
      <w:r w:rsidRPr="00E93F40">
        <w:rPr>
          <w:rFonts w:ascii="Times New Roman" w:hAnsi="Times New Roman"/>
          <w:color w:val="000000" w:themeColor="text1"/>
          <w:sz w:val="16"/>
          <w:szCs w:val="16"/>
        </w:rPr>
        <w:softHyphen/>
        <w:t>ления морских сил) РККА И.М. Лудри и Заместителя Начальника Отдела вооружения Морских сил А.И. Берга. В пятилетнем плане работ НИМТИ (Науч</w:t>
      </w:r>
      <w:r w:rsidRPr="00E93F40">
        <w:rPr>
          <w:rFonts w:ascii="Times New Roman" w:hAnsi="Times New Roman"/>
          <w:color w:val="000000" w:themeColor="text1"/>
          <w:sz w:val="16"/>
          <w:szCs w:val="16"/>
        </w:rPr>
        <w:softHyphen/>
        <w:t>но Испытательного Минно-Торпедного Института) работой №1 значился Минный планер.</w:t>
      </w:r>
    </w:p>
    <w:p w14:paraId="121204ED"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Комиссией УМС РККА было рекомендовано установить специальные обозначения для различных видов летающих торпед: для безмоторных планирующих торпед с дальностью стрельбы 30-50 км - Дальнобойная планторпеда (ДПТ), для оборудованных мотором или ракетным устройством летающих торпед с дальностью стрельбы 100-200 км и более - Ле</w:t>
      </w:r>
      <w:r w:rsidRPr="00E93F40">
        <w:rPr>
          <w:rFonts w:ascii="Times New Roman" w:hAnsi="Times New Roman"/>
          <w:color w:val="000000" w:themeColor="text1"/>
          <w:sz w:val="16"/>
          <w:szCs w:val="16"/>
        </w:rPr>
        <w:softHyphen/>
        <w:t>тающая торпеда дальнего действия (ЛТДД) (15845).</w:t>
      </w:r>
    </w:p>
    <w:p w14:paraId="5853AF52" w14:textId="77777777" w:rsidR="00D607A5" w:rsidRPr="00E93F40" w:rsidRDefault="00D607A5" w:rsidP="00E93F40">
      <w:pPr>
        <w:spacing w:after="0" w:line="240" w:lineRule="auto"/>
        <w:jc w:val="both"/>
        <w:rPr>
          <w:rFonts w:ascii="Times New Roman" w:hAnsi="Times New Roman"/>
          <w:color w:val="000000" w:themeColor="text1"/>
          <w:sz w:val="16"/>
          <w:szCs w:val="16"/>
        </w:rPr>
      </w:pPr>
    </w:p>
    <w:p w14:paraId="1D79B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на базе ГИРДа (Москва) и ГДЛ (Ленинград) в Москве создается РНИИ (85,475).</w:t>
      </w:r>
    </w:p>
    <w:p w14:paraId="609F78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EB1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был создан ОСГА - Отдел строительства глиссеров и аэросаней (7662,22).</w:t>
      </w:r>
    </w:p>
    <w:p w14:paraId="35F597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B4D16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года в количестве 24 штук со сроком готовности к началу 1933 года был запущен в опытную серию первый образец автопилота ОКБ УВИ Ниренберга для ТБ-1. Летом 1933 года эта серия заводом «Метрон» установлена на самолеты и в настоящее время проходит опытную эксплуатацию в строевых частях ВВС РККА. Вторая опытная серия этого же автопилота в количестве 50 штук была заказана летом 1933 года и закончена изготовлением в январе 1934 года. Вся серия автопилотов разослана по строевым частям, где они монтируются на самолеты силами самих частей (4039,114).</w:t>
      </w:r>
    </w:p>
    <w:p w14:paraId="18D2C15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84F639E" w14:textId="51A88420"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Осенью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автопилот АВП-2 был изготовлен группой Коренева Он имел два свободных гироскопа — курсовой и продольно-поперечный — и с помощью рулевых машинок с пневмоприводом мог управлять самолётом.</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 1933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АВП-2 был установлен на бомбардировщик ТБ-1 и прошёл испытания, в том числе во время 8-часового перелёта по маршруту Евпатория — Харьков — Москва в июне этого года. За штурвалом находился лётчик Б.Н. Агров, механиком по автопилоту был М.В. Соколов.</w:t>
      </w:r>
    </w:p>
    <w:p w14:paraId="48AD95C4" w14:textId="159D6FCE"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Тем временем в Особом техническом бюро под руководством академика В.Ф. Миткевича изготовили прибор «Дедал», который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были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w:t>
      </w:r>
      <w:hyperlink r:id="rId232" w:history="1">
        <w:r w:rsidRPr="00E93F40">
          <w:rPr>
            <w:rFonts w:ascii="Times New Roman" w:eastAsia="Times New Roman" w:hAnsi="Times New Roman"/>
            <w:color w:val="000000" w:themeColor="text1"/>
            <w:sz w:val="16"/>
            <w:szCs w:val="16"/>
            <w:lang w:eastAsia="ru-RU"/>
          </w:rPr>
          <w:t>[218]</w:t>
        </w:r>
      </w:hyperlink>
      <w:r w:rsidRPr="00E93F40">
        <w:rPr>
          <w:rFonts w:ascii="Times New Roman" w:eastAsia="Times New Roman" w:hAnsi="Times New Roman"/>
          <w:color w:val="000000" w:themeColor="text1"/>
          <w:sz w:val="16"/>
          <w:szCs w:val="16"/>
          <w:lang w:eastAsia="ru-RU"/>
        </w:rPr>
        <w:t xml:space="preserve"> . Дальность передачи сигнала составляла около 25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максимальная задержка реакции срабатывания — 4 секунды. При проектировании «Дедала» в Остехбюро опирались на опыт постройки управляемых по радио торпедных катеров (17489).</w:t>
      </w:r>
    </w:p>
    <w:p w14:paraId="46575339" w14:textId="77777777"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p>
    <w:p w14:paraId="1F209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года в связи с износом оболочки дирижабля Комсомольская правда было решено провести его модернизацию, после чего корабль получил наименование СССР В-4. Оставив без изменения основную конструктивную схему, объем и форму корпуса, инженеры разработали заново подвесную систему, оборудование оболочки, оперение, гондолу. Двумя последними агрегатами занимался АГОС. В носовой части гондолы были прорезаны окна, по левому борту сделана дверь. Над гондолой установили тент, натянутый на каркас. Трехплановое оперение изменили на четырехплановое. Конструкцию каркасов оперения сделали более жесткой. Первые полеты дирижабль В-4 совершил 6 и 7 ноября 1932 года. По сравнению с «Комсомольской правдой» скорость В-4 увеличилась, устойчивость полета улучшилась (10731).</w:t>
      </w:r>
    </w:p>
    <w:p w14:paraId="4011B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2FC88E" w14:textId="77777777" w:rsidR="00F46546" w:rsidRPr="00E93F40" w:rsidRDefault="00F465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в ОТБ группой Коренева был изготовлен автопилот АВП-2 Он имел два свободных гироскопа – курсовой и продольно-поперечный – и с помощью рулевых машинок с пневмоприводом мог управлять самолётом. В 1933 г. АВП-2 был установлен на бомбардировщик ТБ-1 и прошёл испытания, в том числе во время 8-часового перелёта по маршруту Евпатория – Харьков – Москва в июне этого года (22673).</w:t>
      </w:r>
    </w:p>
    <w:p w14:paraId="522DEAFE" w14:textId="77777777" w:rsidR="00F46546" w:rsidRPr="00E93F40" w:rsidRDefault="00F46546" w:rsidP="00E93F40">
      <w:pPr>
        <w:spacing w:after="0" w:line="240" w:lineRule="auto"/>
        <w:jc w:val="both"/>
        <w:rPr>
          <w:rFonts w:ascii="Times New Roman" w:hAnsi="Times New Roman"/>
          <w:color w:val="000000" w:themeColor="text1"/>
          <w:sz w:val="16"/>
          <w:szCs w:val="16"/>
        </w:rPr>
      </w:pPr>
    </w:p>
    <w:p w14:paraId="469CF255" w14:textId="77777777" w:rsidR="00F46546" w:rsidRPr="00E93F40" w:rsidRDefault="00F4654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на Дирижаблестроительной базе в Долгопрудной приступили к постройке дирижабля, получившего название «СССР В-5». Его эллинговая сборка началась 10 февраля 1933 г. и завершилась к концу месяца (20120).</w:t>
      </w:r>
    </w:p>
    <w:p w14:paraId="0E097B7A" w14:textId="77777777" w:rsidR="00F46546" w:rsidRPr="00E93F40" w:rsidRDefault="00F46546" w:rsidP="00E93F40">
      <w:pPr>
        <w:spacing w:after="0" w:line="240" w:lineRule="auto"/>
        <w:jc w:val="both"/>
        <w:rPr>
          <w:rFonts w:ascii="Times New Roman" w:hAnsi="Times New Roman"/>
          <w:color w:val="000000" w:themeColor="text1"/>
          <w:sz w:val="16"/>
          <w:szCs w:val="16"/>
        </w:rPr>
      </w:pPr>
    </w:p>
    <w:p w14:paraId="032B1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года в связи с износом оболочки дирижабля КП было решено провести его модернизацию, после чего корабль получил наименование СССР В-4. Оставив без изменения основную конструктивную схему, объем и форму корпуса, инженеры разработали заново подвесную систему, оборудование оболочки, оперение, гондолу. Двумя последними агрегатами занимался АГОС. В носовой части гондолы были прорезаны окна, по левому борту сделана дверь. Над гондолой установили тент, натянутый на каркас. Трехплановое оперение изменили на четырехплановое. Конструкцию каркасов оперения сделали более жесткой. Первые полеты дирижабль В-4 совершил 6 и 7 ноября 1932 года. По сравнению с «Комсомольской правдой» скорость В-4 увеличилась, устойчивость полета улучшилась (11324).</w:t>
      </w:r>
    </w:p>
    <w:p w14:paraId="2692B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721C35" w14:textId="77777777" w:rsidR="00F46546" w:rsidRPr="00E93F40" w:rsidRDefault="00F46546" w:rsidP="00E93F40">
      <w:pPr>
        <w:pStyle w:val="HTML2"/>
        <w:shd w:val="clear" w:color="auto" w:fill="FFFFFF"/>
        <w:jc w:val="both"/>
        <w:rPr>
          <w:color w:val="000000" w:themeColor="text1"/>
          <w:sz w:val="16"/>
          <w:szCs w:val="16"/>
        </w:rPr>
      </w:pPr>
      <w:r w:rsidRPr="00E93F40">
        <w:rPr>
          <w:i w:val="0"/>
          <w:iCs w:val="0"/>
          <w:color w:val="000000" w:themeColor="text1"/>
          <w:sz w:val="16"/>
          <w:szCs w:val="16"/>
        </w:rPr>
        <w:t>Осенью 1932 года через консультанта треста "Союзредмет" по цветным металлам американца Гая Ридделя поступило предложение от группы американских инженеров помочь в решении "гелиевого вопроса" частным порядком, без привлечения какой-либо фирмы. С точки зрения Ридделя, The Helium Co. являлась "весьма слабой фирмой по сравнению с государственным объединением гелиевых заводов", а большинство участников его группы работают или работали на государственных гелиевых заводах. Дело замерло на полгода, но в июне 1933 года инженер Риддель приехал в СССР и связался с начальником одного из отделов экономического управления ОГПУ Павлом Гуровским (именно это управление ведало внешнеэкономической разведкой и вело дела о "вредительстве" в советской промышленности). Тот ухватился за предложение американцев и вместе с руководителями иностранного отдела (ИНО) Наркомтяжпрома СССР стал склонять нового начальника треста "Союзгаз" Моисея Гурвича к подписанию договора "о доставке комплексного технико-проектного и расчетного материала по гелию". Вопрос был вынесен на решение наркома тяжелой промышленности Серго Орджоникидзе.</w:t>
      </w:r>
    </w:p>
    <w:p w14:paraId="75B0DCF1" w14:textId="77777777" w:rsidR="00F46546" w:rsidRPr="00E93F40" w:rsidRDefault="00F46546" w:rsidP="00E93F40">
      <w:pPr>
        <w:pStyle w:val="HTML2"/>
        <w:shd w:val="clear" w:color="auto" w:fill="FFFFFF"/>
        <w:jc w:val="both"/>
        <w:rPr>
          <w:color w:val="000000" w:themeColor="text1"/>
          <w:sz w:val="16"/>
          <w:szCs w:val="16"/>
        </w:rPr>
      </w:pPr>
      <w:r w:rsidRPr="00E93F40">
        <w:rPr>
          <w:i w:val="0"/>
          <w:iCs w:val="0"/>
          <w:color w:val="000000" w:themeColor="text1"/>
          <w:sz w:val="16"/>
          <w:szCs w:val="16"/>
        </w:rPr>
        <w:t xml:space="preserve">Начальник ИНО НКТП и управляющий "Союзгаза" признавались в письме к наркому, что "работы, проводившиеся в Союзе по гелию на протяжении 3-4 лет, бесспорно, показали, что самостоятельное разрешение в СССР гелиевого дела нам не под силу". Чтобы не было "потери темпа и детских болезней, неизбежных при новом деле, и для сбережения огромных затрат и усилий" наркому предлагалось обратиться за помощью к американцам. Однако далее мнения авторов письма разделились. Начальник ИНО НКТП считал, что нужно заплатить группе Ридделя: это было бы дешевле, делало американских сотрудников на срок договора зависимыми "от нас" (вероятно, от ОГПУ) и позволяло в случае неудовлетворительного выполнения договора ничего не платить. "Союзгаз" считал, что необходимо </w:t>
      </w:r>
      <w:r w:rsidRPr="00E93F40">
        <w:rPr>
          <w:i w:val="0"/>
          <w:iCs w:val="0"/>
          <w:color w:val="000000" w:themeColor="text1"/>
          <w:sz w:val="16"/>
          <w:szCs w:val="16"/>
        </w:rPr>
        <w:lastRenderedPageBreak/>
        <w:t>поддержать предложение The Helium Co. Это было хотя и дороже, но надежнее с точки зрения достижения намеченной цели – начала широкой эксплуатации газовых месторождений СССР и получения советского гелия в промышленных объемах. В качестве аргументов Моисей Гурвич указывал на практический опыт фирмы, производящей весь цикл работ, и возможность стажировки советских специалистов в США. Даже материальный вопрос не носил такого острого характера, поскольку к моменту написания письма, июню 1933 года, американская компания снизила сумму контракта до 350 тыс. долларов и, как писал Гурвич, эту сумму можно было еще снизить до 250 тыс (21452).</w:t>
      </w:r>
    </w:p>
    <w:p w14:paraId="1D18F287" w14:textId="77777777" w:rsidR="00F46546" w:rsidRPr="00E93F40" w:rsidRDefault="00F46546" w:rsidP="00E93F40">
      <w:pPr>
        <w:pStyle w:val="article-renderblock"/>
        <w:shd w:val="clear" w:color="auto" w:fill="FFFFFF"/>
        <w:spacing w:before="0" w:beforeAutospacing="0" w:after="0" w:afterAutospacing="0"/>
        <w:jc w:val="both"/>
        <w:rPr>
          <w:color w:val="000000" w:themeColor="text1"/>
          <w:sz w:val="16"/>
          <w:szCs w:val="16"/>
        </w:rPr>
      </w:pPr>
    </w:p>
    <w:p w14:paraId="647A9CB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EDA8C4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D32575" w14:textId="77777777" w:rsidR="00F46546" w:rsidRPr="00E93F40" w:rsidRDefault="00F46546"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До осени 1932 года просуществовало КБ-3 ВОАО. Впрочем, постепенно шла переброска сотрудников в Ленинград. Никакого глубинного смысла нахождения данного КБ в отрыве от производства не имелось. Гинзбург стал главным конструктором ОКМО, а Иванов его заместителем (20375).</w:t>
      </w:r>
    </w:p>
    <w:p w14:paraId="2A50EDB8" w14:textId="77777777" w:rsidR="00F46546" w:rsidRPr="00E93F40" w:rsidRDefault="00F46546" w:rsidP="00E93F40">
      <w:pPr>
        <w:shd w:val="clear" w:color="auto" w:fill="FFFFFF"/>
        <w:spacing w:after="0" w:line="240" w:lineRule="auto"/>
        <w:jc w:val="both"/>
        <w:rPr>
          <w:rFonts w:ascii="Times New Roman" w:hAnsi="Times New Roman"/>
          <w:color w:val="000000" w:themeColor="text1"/>
          <w:sz w:val="16"/>
          <w:szCs w:val="16"/>
        </w:rPr>
      </w:pPr>
    </w:p>
    <w:p w14:paraId="3143F5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было выпущено три опытных БТ-4, разработанных в КБ ХПЗ А.О.Фирсовым, но с клепаным, а не сварным, как планировалось, корпусом (3879,23).</w:t>
      </w:r>
    </w:p>
    <w:p w14:paraId="1731FA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57530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года, когда ХПЗ уже освоил производство и начал ста</w:t>
      </w:r>
      <w:r w:rsidRPr="00E93F40">
        <w:rPr>
          <w:rFonts w:ascii="Times New Roman" w:hAnsi="Times New Roman"/>
          <w:color w:val="000000" w:themeColor="text1"/>
          <w:sz w:val="16"/>
          <w:szCs w:val="16"/>
        </w:rPr>
        <w:softHyphen/>
        <w:t>бильно выпускать танки БТ-2, на завод приехал нарком тяжелой про</w:t>
      </w:r>
      <w:r w:rsidRPr="00E93F40">
        <w:rPr>
          <w:rFonts w:ascii="Times New Roman" w:hAnsi="Times New Roman"/>
          <w:color w:val="000000" w:themeColor="text1"/>
          <w:sz w:val="16"/>
          <w:szCs w:val="16"/>
        </w:rPr>
        <w:softHyphen/>
        <w:t>мышленности Г.К.Орджоникидзе.</w:t>
      </w:r>
    </w:p>
    <w:p w14:paraId="78194D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Нарком знал, что завод испытывал некоторые трудности при освое</w:t>
      </w:r>
      <w:r w:rsidRPr="00E93F40">
        <w:rPr>
          <w:rFonts w:ascii="Times New Roman" w:hAnsi="Times New Roman"/>
          <w:color w:val="000000" w:themeColor="text1"/>
          <w:sz w:val="16"/>
          <w:szCs w:val="16"/>
        </w:rPr>
        <w:softHyphen/>
        <w:t>нии боевой машины. Знал и то, что освоив производство и стабильно выполняя программу серийного выпуска, все же при испытаниях имели место неполадки.</w:t>
      </w:r>
    </w:p>
    <w:p w14:paraId="7DAE8C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Прибыв на завод Орджоникидзе сразу же пошел на сборку танков, где его обступили водители-испытатели и рабочие сборочного цеха. Завяза</w:t>
      </w:r>
      <w:r w:rsidRPr="00E93F40">
        <w:rPr>
          <w:rFonts w:ascii="Times New Roman" w:hAnsi="Times New Roman"/>
          <w:color w:val="000000" w:themeColor="text1"/>
          <w:sz w:val="16"/>
          <w:szCs w:val="16"/>
        </w:rPr>
        <w:softHyphen/>
        <w:t>лась беседа о качестве танка и о ходе их производства. Работники цеха дали в основном положительную характеристику машине, а также озна</w:t>
      </w:r>
      <w:r w:rsidRPr="00E93F40">
        <w:rPr>
          <w:rFonts w:ascii="Times New Roman" w:hAnsi="Times New Roman"/>
          <w:color w:val="000000" w:themeColor="text1"/>
          <w:sz w:val="16"/>
          <w:szCs w:val="16"/>
        </w:rPr>
        <w:softHyphen/>
        <w:t>комили наркома с ее производством.</w:t>
      </w:r>
    </w:p>
    <w:p w14:paraId="2C4DDF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как руководство завода не было заранее предупреждено о приезде Орджоникидзе, директор и главный инженер появились на сборке толь</w:t>
      </w:r>
      <w:r w:rsidRPr="00E93F40">
        <w:rPr>
          <w:rFonts w:ascii="Times New Roman" w:hAnsi="Times New Roman"/>
          <w:color w:val="000000" w:themeColor="text1"/>
          <w:sz w:val="16"/>
          <w:szCs w:val="16"/>
        </w:rPr>
        <w:softHyphen/>
        <w:t>ко некоторое время спустя.</w:t>
      </w:r>
    </w:p>
    <w:p w14:paraId="4290A4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 ознакомлением с танком БТ-2, наркома проинформировали о модернизации танка БТ-2 и о предстоящем в ближайшее время перехо</w:t>
      </w:r>
      <w:r w:rsidRPr="00E93F40">
        <w:rPr>
          <w:rFonts w:ascii="Times New Roman" w:hAnsi="Times New Roman"/>
          <w:color w:val="000000" w:themeColor="text1"/>
          <w:sz w:val="16"/>
          <w:szCs w:val="16"/>
        </w:rPr>
        <w:softHyphen/>
        <w:t>де на изготовление улучшенного танка БТ-5. Нарком остался доволен.</w:t>
      </w:r>
    </w:p>
    <w:p w14:paraId="420B5B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беседа была продолжена у директора завода, во время которой были рассмотрены ряд важных организационных вопросов. Орджоникид</w:t>
      </w:r>
      <w:r w:rsidRPr="00E93F40">
        <w:rPr>
          <w:rFonts w:ascii="Times New Roman" w:hAnsi="Times New Roman"/>
          <w:color w:val="000000" w:themeColor="text1"/>
          <w:sz w:val="16"/>
          <w:szCs w:val="16"/>
        </w:rPr>
        <w:softHyphen/>
        <w:t>зе обещал оказать заводу необходимую помощь. Беседа длилась допоздна.</w:t>
      </w:r>
    </w:p>
    <w:p w14:paraId="48BB08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того, чтобы иметь представление о качестве тех или иных агрега</w:t>
      </w:r>
      <w:r w:rsidRPr="00E93F40">
        <w:rPr>
          <w:rFonts w:ascii="Times New Roman" w:hAnsi="Times New Roman"/>
          <w:color w:val="000000" w:themeColor="text1"/>
          <w:sz w:val="16"/>
          <w:szCs w:val="16"/>
        </w:rPr>
        <w:softHyphen/>
        <w:t>тов при динамических нагрузках во время движения боевой машины, Орджоникидзе хотел лично ознакомиться с танком в эксплуатационных условиях. Поэтому на следующий день, утром был назначен пробег с уча</w:t>
      </w:r>
      <w:r w:rsidRPr="00E93F40">
        <w:rPr>
          <w:rFonts w:ascii="Times New Roman" w:hAnsi="Times New Roman"/>
          <w:color w:val="000000" w:themeColor="text1"/>
          <w:sz w:val="16"/>
          <w:szCs w:val="16"/>
        </w:rPr>
        <w:softHyphen/>
        <w:t>стием наркома.</w:t>
      </w:r>
    </w:p>
    <w:p w14:paraId="4A4864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Ночью, накануне пробега, был подготовлен уже прошедший ходовые испытания танк без башни. В то время танки ходили в пробег в основном без башни, да и грузному наркому он был удобнее.</w:t>
      </w:r>
    </w:p>
    <w:p w14:paraId="564787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Зная физическое состояние Серго все уговаривали его не садиться в танк, а ехать за танком или рядом на автомобиле. Орджоникидзе согла</w:t>
      </w:r>
      <w:r w:rsidRPr="00E93F40">
        <w:rPr>
          <w:rFonts w:ascii="Times New Roman" w:hAnsi="Times New Roman"/>
          <w:color w:val="000000" w:themeColor="text1"/>
          <w:sz w:val="16"/>
          <w:szCs w:val="16"/>
        </w:rPr>
        <w:softHyphen/>
        <w:t>сился. Но как только машина выехала за городскую черту, он подал фу</w:t>
      </w:r>
      <w:r w:rsidRPr="00E93F40">
        <w:rPr>
          <w:rFonts w:ascii="Times New Roman" w:hAnsi="Times New Roman"/>
          <w:color w:val="000000" w:themeColor="text1"/>
          <w:sz w:val="16"/>
          <w:szCs w:val="16"/>
        </w:rPr>
        <w:softHyphen/>
        <w:t>ражкой знак танку «остановиться». За рычагами этого танка сидел луч</w:t>
      </w:r>
      <w:r w:rsidRPr="00E93F40">
        <w:rPr>
          <w:rFonts w:ascii="Times New Roman" w:hAnsi="Times New Roman"/>
          <w:color w:val="000000" w:themeColor="text1"/>
          <w:sz w:val="16"/>
          <w:szCs w:val="16"/>
        </w:rPr>
        <w:softHyphen/>
        <w:t>ший водитель цеха Ф.М.Курдупов. Он был предупрежден, что если все-таки Орджоникидзе пересядет из автомобиля в танк, чтобы Курдупов ехал с максимальной осторожностью, без перехода на высокие скорости.</w:t>
      </w:r>
    </w:p>
    <w:p w14:paraId="11268F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Нарком подошел к танку, залез в его боевое отделение через погон башни и приказал продолжать движение.</w:t>
      </w:r>
    </w:p>
    <w:p w14:paraId="0F504C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 Орджоникидзе устраивался в боевом отделении, к машине подо</w:t>
      </w:r>
      <w:r w:rsidRPr="00E93F40">
        <w:rPr>
          <w:rFonts w:ascii="Times New Roman" w:hAnsi="Times New Roman"/>
          <w:color w:val="000000" w:themeColor="text1"/>
          <w:sz w:val="16"/>
          <w:szCs w:val="16"/>
        </w:rPr>
        <w:softHyphen/>
        <w:t>шел начальник УММ РККА Халепский и еще раз предупредил водителя чтобы тот не развивал максимальной скорости, следил за дорогой, воз</w:t>
      </w:r>
      <w:r w:rsidRPr="00E93F40">
        <w:rPr>
          <w:rFonts w:ascii="Times New Roman" w:hAnsi="Times New Roman"/>
          <w:color w:val="000000" w:themeColor="text1"/>
          <w:sz w:val="16"/>
          <w:szCs w:val="16"/>
        </w:rPr>
        <w:softHyphen/>
        <w:t>можно осторожнее вел танк на ухабах.</w:t>
      </w:r>
    </w:p>
    <w:p w14:paraId="1693B4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двигалась на колесном ходу по обычному маршруту Чугуев</w:t>
      </w:r>
      <w:r w:rsidRPr="00E93F40">
        <w:rPr>
          <w:rFonts w:ascii="Times New Roman" w:hAnsi="Times New Roman"/>
          <w:color w:val="000000" w:themeColor="text1"/>
          <w:sz w:val="16"/>
          <w:szCs w:val="16"/>
        </w:rPr>
        <w:softHyphen/>
        <w:t>скому шоссе до тракторного завода. Позади шло много легковых машин с партийным и советским областным аппаратом и руководством завода.</w:t>
      </w:r>
    </w:p>
    <w:p w14:paraId="3B7E73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Вскоре начался хороший участок дороги, но Курдупов, выполняя ука</w:t>
      </w:r>
      <w:r w:rsidRPr="00E93F40">
        <w:rPr>
          <w:rFonts w:ascii="Times New Roman" w:hAnsi="Times New Roman"/>
          <w:color w:val="000000" w:themeColor="text1"/>
          <w:sz w:val="16"/>
          <w:szCs w:val="16"/>
        </w:rPr>
        <w:softHyphen/>
        <w:t>зание начальства об обеспечении максимальной безопасности наркома, двигался «не спеша», на средней скорости.</w:t>
      </w:r>
    </w:p>
    <w:p w14:paraId="7D20BE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Прошли полтора километра. Орджоникидзе приказал водителю оста</w:t>
      </w:r>
      <w:r w:rsidRPr="00E93F40">
        <w:rPr>
          <w:rFonts w:ascii="Times New Roman" w:hAnsi="Times New Roman"/>
          <w:color w:val="000000" w:themeColor="text1"/>
          <w:sz w:val="16"/>
          <w:szCs w:val="16"/>
        </w:rPr>
        <w:softHyphen/>
        <w:t>новиться и потребовал объяснения, почему танк движется так медленно. Курдупов ответил, что машина может идти в три раза быстрее, но ему приказано... Нарком засмеялся и тут же заявил:</w:t>
      </w:r>
    </w:p>
    <w:p w14:paraId="6C3FC4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Скажешь своему начальству, что нарком велел «жать», только жми как следует, чтобы машина могла показать максимальную скорость, что</w:t>
      </w:r>
      <w:r w:rsidRPr="00E93F40">
        <w:rPr>
          <w:rFonts w:ascii="Times New Roman" w:hAnsi="Times New Roman"/>
          <w:color w:val="000000" w:themeColor="text1"/>
          <w:sz w:val="16"/>
          <w:szCs w:val="16"/>
        </w:rPr>
        <w:softHyphen/>
        <w:t>бы нарком почувствовал, на что способен советский танк.</w:t>
      </w:r>
    </w:p>
    <w:p w14:paraId="65715B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Федя весь собравшись и мобилизовав все свое внимание и «осторож</w:t>
      </w:r>
      <w:r w:rsidRPr="00E93F40">
        <w:rPr>
          <w:rFonts w:ascii="Times New Roman" w:hAnsi="Times New Roman"/>
          <w:color w:val="000000" w:themeColor="text1"/>
          <w:sz w:val="16"/>
          <w:szCs w:val="16"/>
        </w:rPr>
        <w:softHyphen/>
        <w:t>но», но выжал все 75 км/час.</w:t>
      </w:r>
    </w:p>
    <w:p w14:paraId="48C20E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сопровождавшие машины остались далеко позади, а Орджони</w:t>
      </w:r>
      <w:r w:rsidRPr="00E93F40">
        <w:rPr>
          <w:rFonts w:ascii="Times New Roman" w:hAnsi="Times New Roman"/>
          <w:color w:val="000000" w:themeColor="text1"/>
          <w:sz w:val="16"/>
          <w:szCs w:val="16"/>
        </w:rPr>
        <w:softHyphen/>
        <w:t>кидзе повеселел и прокричал на ухо водителю:</w:t>
      </w:r>
    </w:p>
    <w:p w14:paraId="57AE6F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Федор Михайлович! Молодец! Жми как можешь и о наркоме не думай!</w:t>
      </w:r>
    </w:p>
    <w:p w14:paraId="5A0076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Буквально за считанные минуты танк оказался уже у тракторного заво</w:t>
      </w:r>
      <w:r w:rsidRPr="00E93F40">
        <w:rPr>
          <w:rFonts w:ascii="Times New Roman" w:hAnsi="Times New Roman"/>
          <w:color w:val="000000" w:themeColor="text1"/>
          <w:sz w:val="16"/>
          <w:szCs w:val="16"/>
        </w:rPr>
        <w:softHyphen/>
        <w:t>да — конечном пункте пробега. Нарком и Курдупов вышли из машины, Серго крепко пожал руку Федору Михайловичу и сказал, что он сегодня доволен как никогда. Доволен советским танком и советским водителем, которого сердечно благодарит.</w:t>
      </w:r>
    </w:p>
    <w:p w14:paraId="5EBFAD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Оба сели на обочине, перекурили и успели еще побеседовать, только тогда, наконец, появились сопровождавшие их легковые машины. Все окружили их, начали спрашивать, а Орджоникидзе сказал с сияющим лицом, что проехались хорошо, с ветерком, и у него настроение стало хорошим, потому что молодцы харьковчане: хорошую машину произве</w:t>
      </w:r>
      <w:r w:rsidRPr="00E93F40">
        <w:rPr>
          <w:rFonts w:ascii="Times New Roman" w:hAnsi="Times New Roman"/>
          <w:color w:val="000000" w:themeColor="text1"/>
          <w:sz w:val="16"/>
          <w:szCs w:val="16"/>
        </w:rPr>
        <w:softHyphen/>
        <w:t>ли и водить ее научились, да так, что если бы сам не проехал, то не пове</w:t>
      </w:r>
      <w:r w:rsidRPr="00E93F40">
        <w:rPr>
          <w:rFonts w:ascii="Times New Roman" w:hAnsi="Times New Roman"/>
          <w:color w:val="000000" w:themeColor="text1"/>
          <w:sz w:val="16"/>
          <w:szCs w:val="16"/>
        </w:rPr>
        <w:softHyphen/>
        <w:t>рил бы в возможности танка и в то, что можно так водить, как Федор Михайлович и показал на Курдупова.</w:t>
      </w:r>
    </w:p>
    <w:p w14:paraId="7A660F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 он возвращался не в автомобиле, а в танке. Тут же пошел в цеха, потом в конструкторское бюро, наконец, в директорский кабинет, где, пожимая руку директору завода, сказал:</w:t>
      </w:r>
    </w:p>
    <w:p w14:paraId="38730A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Сейчас страна имеет самую лучшую, самую быстроходную, самую боеспособную машину!...</w:t>
      </w:r>
    </w:p>
    <w:p w14:paraId="307611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 этом эпизоде рассказал в статье «Как рождались танки» бывший в то время начальник УММ РККА И.А.Халепский, опубликованной 20 февраля 1937 года в «Красной звезде», через два дня после того, как пере</w:t>
      </w:r>
      <w:r w:rsidRPr="00E93F40">
        <w:rPr>
          <w:rFonts w:ascii="Times New Roman" w:hAnsi="Times New Roman"/>
          <w:color w:val="000000" w:themeColor="text1"/>
          <w:sz w:val="16"/>
          <w:szCs w:val="16"/>
        </w:rPr>
        <w:softHyphen/>
        <w:t>стало биться сердце «стального» наркома (11504).</w:t>
      </w:r>
    </w:p>
    <w:p w14:paraId="3C8507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B486B2"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были подведены первые итоги развития танковой промышленности. На 1 сентября ХПЗ смог изготовить только 76 танков ВТ из запланированных на этот год 482. Но первоначальная программа составляла даже больше - 900 танков и была занижена в течение 1932 года. Качество всех выпускаемых машин при этом оставалось крайне низким, поэтому все они шли только в учебные части. Аналогичным образом ситуация развивалась на ленинградском заводе им. Ворошилова, который выпустил только 362 танка Т-26 вместо 1660 машин по первоначальной программе и 1200 - по сниженной. При этом 19 танков из них сданы как учебные (т. е. низкого качества) и 22 без башен. Во многом танковое производство на заводе сдерживали поставщики комплектующих («Красный Путиловец», «Красный Октябрь» и № 7 ВОАО), которые тоже выполняли свою программу с колоссальными издержками.</w:t>
      </w:r>
    </w:p>
    <w:p w14:paraId="68A02A29"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Серьезный провал в освоении сборки танков к концу года невольно позволил нивелировать недостатки бронепроизводства. Еще в начале 1932 г. выпуск броневого проката отставал даже от сборочного производства, но к середине года ситуация выправилась. Хотя только два из четырех металлургических заводов освоили выпуск брони, но и они продолжали работать значительно ниже установленных планов: на 1 сентября броневая программа была выполнена Ижорским заводом на 38 %, Мариупольским - на 25 %. В течение 1932 г. металлургические заводы освоили новый тип брони, поскольку прежний углеродистый цементированный вариант, во-первых, требовал дефицитных импортных ферросплавных присадок (никеля и молибдена), а во-вторых, оказался слишком сложным в производстве, «давая... почти 100-процентный брак». Ижорский завод перешел на хромо-кремнисто-марганцовистую сталь марки «ПИ», а Мариупольский - на двухслойную марганцовистую марку «МИ». Во второй половине года на Кулебакском заводе осуществлялись опытные плавки из двухслойной марганцовистой стали, но серийное производство предприятие пока еще не освоило.</w:t>
      </w:r>
    </w:p>
    <w:p w14:paraId="637E5C61"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тип броневой стали выглядел, безусловно, более перспективным, но и он не мог решить всех проблем бронепроизводства. Броневые листы из такого металла приходилось делать более толстыми: вместо 13- и 10-мм цементированной брони на танк Т-26 ставилась броня марки «ПИ» 15-мм толщины, что приводило к утяжелению корпуса до 800 кг1. Следовательно, увеличивался общий вес боевой машины, на который танк не был рассчитан. Но проблема качества не была решена полностью (23536).</w:t>
      </w:r>
    </w:p>
    <w:p w14:paraId="01AAEE40"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3910F8DE" w14:textId="1CBCF525"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noProof/>
          <w:color w:val="0070C0"/>
          <w:sz w:val="16"/>
          <w:szCs w:val="16"/>
        </w:rPr>
        <mc:AlternateContent>
          <mc:Choice Requires="wps">
            <w:drawing>
              <wp:anchor distT="0" distB="0" distL="0" distR="0" simplePos="0" relativeHeight="251661312" behindDoc="0" locked="0" layoutInCell="1" allowOverlap="1" wp14:anchorId="7A5F5440" wp14:editId="78CAF243">
                <wp:simplePos x="0" y="0"/>
                <wp:positionH relativeFrom="page">
                  <wp:posOffset>6390640</wp:posOffset>
                </wp:positionH>
                <wp:positionV relativeFrom="margin">
                  <wp:posOffset>-3596640</wp:posOffset>
                </wp:positionV>
                <wp:extent cx="1103630" cy="826135"/>
                <wp:effectExtent l="0" t="0" r="0" b="0"/>
                <wp:wrapNone/>
                <wp:docPr id="198018296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3630" cy="826135"/>
                        </a:xfrm>
                        <a:prstGeom prst="rect">
                          <a:avLst/>
                        </a:prstGeom>
                        <a:noFill/>
                      </wps:spPr>
                      <wps:txbx>
                        <w:txbxContent>
                          <w:p w14:paraId="36301E13" w14:textId="77777777" w:rsidR="00EC436A" w:rsidRDefault="00EC436A" w:rsidP="00EC436A">
                            <w:pPr>
                              <w:pStyle w:val="aff8"/>
                            </w:pPr>
                            <w:r>
                              <w:t>Танк Кристи Т-3, изготовленный по типу машин М.1931 для американской армии. 1932 год (ЯМ).</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7A5F5440" id="Надпись 2" o:spid="_x0000_s1027" type="#_x0000_t202" style="position:absolute;left:0;text-align:left;margin-left:503.2pt;margin-top:-283.2pt;width:86.9pt;height:65.0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" filled="f" stroked="f">
                <v:textbox inset="0,0,0,0">
                  <w:txbxContent>
                    <w:p w14:paraId="36301E13" w14:textId="77777777" w:rsidR="00EC436A" w:rsidRDefault="00EC436A" w:rsidP="00EC436A">
                      <w:pPr>
                        <w:pStyle w:val="aff8"/>
                      </w:pPr>
                      <w:r>
                        <w:t>Танк Кристи Т-3, изготовленный по типу машин М.1931 для американской армии. 1932 год (ЯМ).</w:t>
                      </w:r>
                    </w:p>
                  </w:txbxContent>
                </v:textbox>
                <w10:wrap anchorx="page" anchory="margin"/>
              </v:shape>
            </w:pict>
          </mc:Fallback>
        </mc:AlternateContent>
      </w:r>
      <w:r w:rsidRPr="00142305">
        <w:rPr>
          <w:rFonts w:ascii="Times New Roman" w:hAnsi="Times New Roman"/>
          <w:color w:val="0070C0"/>
          <w:sz w:val="16"/>
          <w:szCs w:val="16"/>
        </w:rPr>
        <w:t>Осенью 1932 года нужда в деньгах (Представитель Амторга Г. Гобер в своих пред</w:t>
      </w:r>
      <w:r w:rsidRPr="00142305">
        <w:rPr>
          <w:rFonts w:ascii="Times New Roman" w:hAnsi="Times New Roman"/>
          <w:color w:val="0070C0"/>
          <w:sz w:val="16"/>
          <w:szCs w:val="16"/>
        </w:rPr>
        <w:softHyphen/>
        <w:t>положениях оказался прав) вынудила Кристи предложить «летающий» танк представителям «Амторга», которые сообщили об этом в СССР. После обсуждения полученной информации Комиссия Обороны СССР 4 декабря 1932 года в своем протоколе «О покупке чертежей танка Кристи» по</w:t>
      </w:r>
      <w:r w:rsidRPr="00142305">
        <w:rPr>
          <w:rFonts w:ascii="Times New Roman" w:hAnsi="Times New Roman"/>
          <w:color w:val="0070C0"/>
          <w:sz w:val="16"/>
          <w:szCs w:val="16"/>
        </w:rPr>
        <w:softHyphen/>
        <w:t>становила:</w:t>
      </w:r>
    </w:p>
    <w:p w14:paraId="5B282FE4"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Поручить т Халепскому вести пере</w:t>
      </w:r>
      <w:r w:rsidRPr="00142305">
        <w:rPr>
          <w:rFonts w:ascii="Times New Roman" w:hAnsi="Times New Roman"/>
          <w:color w:val="0070C0"/>
          <w:sz w:val="16"/>
          <w:szCs w:val="16"/>
        </w:rPr>
        <w:softHyphen/>
        <w:t>говоры с Кристи о покупке чертежей об</w:t>
      </w:r>
      <w:r w:rsidRPr="00142305">
        <w:rPr>
          <w:rFonts w:ascii="Times New Roman" w:hAnsi="Times New Roman"/>
          <w:color w:val="0070C0"/>
          <w:sz w:val="16"/>
          <w:szCs w:val="16"/>
        </w:rPr>
        <w:softHyphen/>
        <w:t>разца летающего танка 1932 г.</w:t>
      </w:r>
    </w:p>
    <w:p w14:paraId="2FC23677" w14:textId="77777777" w:rsidR="00EC436A" w:rsidRPr="00142305" w:rsidRDefault="00EC436A" w:rsidP="00EC436A">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При наличии построенного танка образца 1932 года купить одну машину.</w:t>
      </w:r>
    </w:p>
    <w:p w14:paraId="48B037A4" w14:textId="77777777" w:rsidR="00EC436A" w:rsidRPr="00142305" w:rsidRDefault="00EC436A" w:rsidP="00EC436A">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От приглашения Кристи в СССР отказаться.</w:t>
      </w:r>
    </w:p>
    <w:p w14:paraId="2B536233"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Председатель В. Молотов, секретарь Базилевич» (25009).</w:t>
      </w:r>
    </w:p>
    <w:p w14:paraId="38EB0D47" w14:textId="77777777" w:rsidR="00EC436A" w:rsidRPr="00142305" w:rsidRDefault="00EC436A" w:rsidP="00EC436A">
      <w:pPr>
        <w:spacing w:after="0" w:line="240" w:lineRule="auto"/>
        <w:jc w:val="both"/>
        <w:rPr>
          <w:rFonts w:ascii="Times New Roman" w:hAnsi="Times New Roman"/>
          <w:color w:val="0070C0"/>
          <w:sz w:val="16"/>
          <w:szCs w:val="16"/>
        </w:rPr>
      </w:pPr>
    </w:p>
    <w:p w14:paraId="5682A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года в ходе испытаний Т-35 выявился ряд недостатков в силовой установке танка (3862).</w:t>
      </w:r>
    </w:p>
    <w:p w14:paraId="6E1E3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FE2A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закончились испытания Т-35 и стало то, что на системе управления по типу ТГ был поставлен крест, а также приняли решение по установке более мощного двигателя водяного охлаждения, «как обеспечивающего более надежную работу в малом забро</w:t>
      </w:r>
      <w:r w:rsidRPr="00E93F40">
        <w:rPr>
          <w:rFonts w:ascii="Times New Roman" w:hAnsi="Times New Roman"/>
          <w:color w:val="000000" w:themeColor="text1"/>
          <w:sz w:val="16"/>
          <w:szCs w:val="16"/>
        </w:rPr>
        <w:softHyphen/>
        <w:t>нированном объеме. Тогда же отказались от установки на танк полусферической штампованной башни и переходе на клепано-сварную цилиндрическую как более приспособ</w:t>
      </w:r>
      <w:r w:rsidRPr="00E93F40">
        <w:rPr>
          <w:rFonts w:ascii="Times New Roman" w:hAnsi="Times New Roman"/>
          <w:color w:val="000000" w:themeColor="text1"/>
          <w:sz w:val="16"/>
          <w:szCs w:val="16"/>
        </w:rPr>
        <w:softHyphen/>
        <w:t>ленную к серийному производству (10733,261).</w:t>
      </w:r>
    </w:p>
    <w:p w14:paraId="0CBB00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790D2A"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1932 года в ходе испытаний Т-35-1 выявился ряд существенных не</w:t>
      </w:r>
      <w:r w:rsidRPr="00142305">
        <w:rPr>
          <w:rFonts w:ascii="Times New Roman" w:hAnsi="Times New Roman"/>
          <w:color w:val="0070C0"/>
          <w:sz w:val="16"/>
          <w:szCs w:val="16"/>
        </w:rPr>
        <w:softHyphen/>
        <w:t>достатков: постоянно отказывала система пневмоуправления, перегревался двигатель, подтекала топливная система, не работало 76-мм орудие ПС-3. Танк ремонтировался, дорабатывался, потом вновь «учился ходить».</w:t>
      </w:r>
    </w:p>
    <w:p w14:paraId="04FB04FD" w14:textId="77777777" w:rsidR="00EC436A" w:rsidRPr="00142305" w:rsidRDefault="00EC436A" w:rsidP="00EC43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осенних испытаний стало ясно, что для серийного производства кон</w:t>
      </w:r>
      <w:r w:rsidRPr="00142305">
        <w:rPr>
          <w:rFonts w:ascii="Times New Roman" w:hAnsi="Times New Roman"/>
          <w:color w:val="0070C0"/>
          <w:sz w:val="16"/>
          <w:szCs w:val="16"/>
        </w:rPr>
        <w:softHyphen/>
        <w:t>струкция трансмиссии и пневмоуправле</w:t>
      </w:r>
      <w:r w:rsidRPr="00142305">
        <w:rPr>
          <w:rFonts w:ascii="Times New Roman" w:hAnsi="Times New Roman"/>
          <w:color w:val="0070C0"/>
          <w:sz w:val="16"/>
          <w:szCs w:val="16"/>
        </w:rPr>
        <w:softHyphen/>
        <w:t>ния является слишком сложной и дорогой. Поэтому вполне понятно, что главное вни</w:t>
      </w:r>
      <w:r w:rsidRPr="00142305">
        <w:rPr>
          <w:rFonts w:ascii="Times New Roman" w:hAnsi="Times New Roman"/>
          <w:color w:val="0070C0"/>
          <w:sz w:val="16"/>
          <w:szCs w:val="16"/>
        </w:rPr>
        <w:softHyphen/>
        <w:t>мание при проектировании улучшенного ва</w:t>
      </w:r>
      <w:r w:rsidRPr="00142305">
        <w:rPr>
          <w:rFonts w:ascii="Times New Roman" w:hAnsi="Times New Roman"/>
          <w:color w:val="0070C0"/>
          <w:sz w:val="16"/>
          <w:szCs w:val="16"/>
        </w:rPr>
        <w:softHyphen/>
        <w:t>рианта Т-35-2, которое началось в ноябре того же года. При этом основное внимание обращали на всемерное упрощение и уде</w:t>
      </w:r>
      <w:r w:rsidRPr="00142305">
        <w:rPr>
          <w:rFonts w:ascii="Times New Roman" w:hAnsi="Times New Roman"/>
          <w:color w:val="0070C0"/>
          <w:sz w:val="16"/>
          <w:szCs w:val="16"/>
        </w:rPr>
        <w:softHyphen/>
        <w:t>шевление образца (25014).</w:t>
      </w:r>
    </w:p>
    <w:p w14:paraId="2CFB13C9" w14:textId="77777777" w:rsidR="00EC436A" w:rsidRPr="00142305" w:rsidRDefault="00EC436A" w:rsidP="00EC436A">
      <w:pPr>
        <w:spacing w:after="0" w:line="240" w:lineRule="auto"/>
        <w:jc w:val="both"/>
        <w:rPr>
          <w:rFonts w:ascii="Times New Roman" w:hAnsi="Times New Roman"/>
          <w:color w:val="0070C0"/>
          <w:sz w:val="16"/>
          <w:szCs w:val="16"/>
        </w:rPr>
      </w:pPr>
    </w:p>
    <w:p w14:paraId="7D01F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заводу Красный Путиловец (Кировский завод) поручили выпуск танка Т-28, прототип которого был разработан и изготовлен в КБ-3 к 1 мая 1932 (3547).</w:t>
      </w:r>
    </w:p>
    <w:p w14:paraId="4FFDEA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A511B3"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в Ленинграде на заводе «Красный Путиловец» (с 1934 г. - Кировский завод) началось освоение серийного производства танка Т-28. В течение первой половины года проводились испытания пробегом. Новый серийный танк разрабатывался в опытно-конструкторском отделе ленинградского завода им. Ворошилова. В августе - сентябре были кардинальным образом переработаны чертежи прототипа. Но, не дожидаясь изготовления опытного образца, в конце октября 1932 г. танк был принят на вооружение. А 14 ноября создатели новой машины за успешное конструирование были удостоены ордена Ленина[67].</w:t>
      </w:r>
    </w:p>
    <w:p w14:paraId="2FA4C111"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Следовательно, новая машина была принята к серийному производству без детальной проработки.</w:t>
      </w:r>
    </w:p>
    <w:p w14:paraId="5E8F7620" w14:textId="77777777" w:rsidR="00CD6081" w:rsidRPr="00E93F40" w:rsidRDefault="00CD6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к апрелю следующего года удалось собрать 12 новых танков, и они даже приняли участие в первомайских парадах в Москве и Ленинграде (10 и 2 машины соответственно). Но сразу же после парадных мероприятий танки были возвращены в цеха для доработки. Окончательно первая партия (14 танков) была готова только к 1 октября 1933 г., а всего до конца года была выпущена 41 машина из 90 запланированных[68]. Исследователь М.В. Коломиец считает, что фактически освоение производства было завершено уже в следующем году[69]. Сами кировские танкостроители считали, что серийное производство Т-28 началось в 1934-1935 годах. А в 1932-1933 годах были изготовлены только «первые образцы» [70] (23536).</w:t>
      </w:r>
    </w:p>
    <w:p w14:paraId="40B3985F" w14:textId="77777777" w:rsidR="00CD6081" w:rsidRPr="00E93F40" w:rsidRDefault="00CD6081" w:rsidP="00E93F40">
      <w:pPr>
        <w:spacing w:after="0" w:line="240" w:lineRule="auto"/>
        <w:jc w:val="both"/>
        <w:rPr>
          <w:rFonts w:ascii="Times New Roman" w:hAnsi="Times New Roman"/>
          <w:color w:val="000000" w:themeColor="text1"/>
          <w:sz w:val="16"/>
          <w:szCs w:val="16"/>
        </w:rPr>
      </w:pPr>
    </w:p>
    <w:p w14:paraId="5B266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осени 1932 на Т-26 для удобства доступа к коробке передач и фрикционам в верхнем наклонном листе стали делать специальный броневой люк на петлях (9527,69).</w:t>
      </w:r>
    </w:p>
    <w:p w14:paraId="6C645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ECBD84" w14:textId="4A1C8B99"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осени 1932 г. на заводе, носившем тог</w:t>
      </w:r>
      <w:r w:rsidRPr="00E93F40">
        <w:rPr>
          <w:rFonts w:ascii="Times New Roman" w:hAnsi="Times New Roman"/>
          <w:color w:val="000000" w:themeColor="text1"/>
          <w:sz w:val="16"/>
          <w:szCs w:val="16"/>
        </w:rPr>
        <w:softHyphen/>
        <w:t>да название «Красный Путиловец», был осво</w:t>
      </w:r>
      <w:r w:rsidRPr="00E93F40">
        <w:rPr>
          <w:rFonts w:ascii="Times New Roman" w:hAnsi="Times New Roman"/>
          <w:color w:val="000000" w:themeColor="text1"/>
          <w:sz w:val="16"/>
          <w:szCs w:val="16"/>
        </w:rPr>
        <w:softHyphen/>
        <w:t>ен серийный выпуск трехбашенных средних танков Т-28, разработанных в 1931 г. в Опыт</w:t>
      </w:r>
      <w:r w:rsidRPr="00E93F40">
        <w:rPr>
          <w:rFonts w:ascii="Times New Roman" w:hAnsi="Times New Roman"/>
          <w:color w:val="000000" w:themeColor="text1"/>
          <w:sz w:val="16"/>
          <w:szCs w:val="16"/>
        </w:rPr>
        <w:softHyphen/>
        <w:t>ном конструкторском механическом отделе (ОКМО) Ленинградского Машиностроитель</w:t>
      </w:r>
      <w:r w:rsidRPr="00E93F40">
        <w:rPr>
          <w:rFonts w:ascii="Times New Roman" w:hAnsi="Times New Roman"/>
          <w:color w:val="000000" w:themeColor="text1"/>
          <w:sz w:val="16"/>
          <w:szCs w:val="16"/>
        </w:rPr>
        <w:softHyphen/>
        <w:t>ного завода №174 им. Ворошилова. Началь</w:t>
      </w:r>
      <w:r w:rsidRPr="00E93F40">
        <w:rPr>
          <w:rFonts w:ascii="Times New Roman" w:hAnsi="Times New Roman"/>
          <w:color w:val="000000" w:themeColor="text1"/>
          <w:sz w:val="16"/>
          <w:szCs w:val="16"/>
        </w:rPr>
        <w:softHyphen/>
        <w:t>ником ОКМО был Н.В. Барыков, а ведущим конструктором проекта Т-28 - талантливый инженер Н.В. Цейц. В период освоения серийного производ</w:t>
      </w:r>
      <w:r w:rsidRPr="00E93F40">
        <w:rPr>
          <w:rFonts w:ascii="Times New Roman" w:hAnsi="Times New Roman"/>
          <w:color w:val="000000" w:themeColor="text1"/>
          <w:sz w:val="16"/>
          <w:szCs w:val="16"/>
        </w:rPr>
        <w:softHyphen/>
        <w:t>ства танка на заводе «Красный Путиловец» Н.В. Барыков и Н.В. Цейц оказали заводчанам неоценимую помощь. Для постоянного конструкторского сопровождения серийно</w:t>
      </w:r>
      <w:r w:rsidRPr="00E93F40">
        <w:rPr>
          <w:rFonts w:ascii="Times New Roman" w:hAnsi="Times New Roman"/>
          <w:color w:val="000000" w:themeColor="text1"/>
          <w:sz w:val="16"/>
          <w:szCs w:val="16"/>
        </w:rPr>
        <w:softHyphen/>
        <w:t>го выпуска танков была создана специаль</w:t>
      </w:r>
      <w:r w:rsidRPr="00E93F40">
        <w:rPr>
          <w:rFonts w:ascii="Times New Roman" w:hAnsi="Times New Roman"/>
          <w:color w:val="000000" w:themeColor="text1"/>
          <w:sz w:val="16"/>
          <w:szCs w:val="16"/>
        </w:rPr>
        <w:softHyphen/>
        <w:t>ная группа при техническом отделе заводо</w:t>
      </w:r>
      <w:r w:rsidRPr="00E93F40">
        <w:rPr>
          <w:rFonts w:ascii="Times New Roman" w:hAnsi="Times New Roman"/>
          <w:color w:val="000000" w:themeColor="text1"/>
          <w:sz w:val="16"/>
          <w:szCs w:val="16"/>
        </w:rPr>
        <w:softHyphen/>
        <w:t>управления. В 1934 г. эта группа была пре</w:t>
      </w:r>
      <w:r w:rsidRPr="00E93F40">
        <w:rPr>
          <w:rFonts w:ascii="Times New Roman" w:hAnsi="Times New Roman"/>
          <w:color w:val="000000" w:themeColor="text1"/>
          <w:sz w:val="16"/>
          <w:szCs w:val="16"/>
        </w:rPr>
        <w:softHyphen/>
        <w:t>образована в специальное конструкторское бюро СКБ-2. Руководство этим бюро по не</w:t>
      </w:r>
      <w:r w:rsidRPr="00E93F40">
        <w:rPr>
          <w:rFonts w:ascii="Times New Roman" w:hAnsi="Times New Roman"/>
          <w:color w:val="000000" w:themeColor="text1"/>
          <w:sz w:val="16"/>
          <w:szCs w:val="16"/>
        </w:rPr>
        <w:softHyphen/>
        <w:t>посредственному указанию С.М. Кирова было возложено на опытного конструктора и производственника О.М. Иванова. В мае 1937 г. его сменил 29-летний Ж.Я. Котин. В те годы численность сотрудников СКБ-2 составляла всего 25 человек, ютившихся в скромном одноэтажном заводском здании с деревянной надстройкой. Котин понимал, что задача бюро не дол</w:t>
      </w:r>
      <w:r w:rsidRPr="00E93F40">
        <w:rPr>
          <w:rFonts w:ascii="Times New Roman" w:hAnsi="Times New Roman"/>
          <w:color w:val="000000" w:themeColor="text1"/>
          <w:sz w:val="16"/>
          <w:szCs w:val="16"/>
        </w:rPr>
        <w:softHyphen/>
        <w:t>жна ограничиваться конструкторским сопро</w:t>
      </w:r>
      <w:r w:rsidRPr="00E93F40">
        <w:rPr>
          <w:rFonts w:ascii="Times New Roman" w:hAnsi="Times New Roman"/>
          <w:color w:val="000000" w:themeColor="text1"/>
          <w:sz w:val="16"/>
          <w:szCs w:val="16"/>
        </w:rPr>
        <w:softHyphen/>
        <w:t>вождением серийного производства средних танков Т-28 и их модернизацией. Перспек</w:t>
      </w:r>
      <w:r w:rsidRPr="00E93F40">
        <w:rPr>
          <w:rFonts w:ascii="Times New Roman" w:hAnsi="Times New Roman"/>
          <w:color w:val="000000" w:themeColor="text1"/>
          <w:sz w:val="16"/>
          <w:szCs w:val="16"/>
        </w:rPr>
        <w:softHyphen/>
        <w:t>тиву танкового производства на Кировском заводе и своего коллектива он видел в раз</w:t>
      </w:r>
      <w:r w:rsidRPr="00E93F40">
        <w:rPr>
          <w:rFonts w:ascii="Times New Roman" w:hAnsi="Times New Roman"/>
          <w:color w:val="000000" w:themeColor="text1"/>
          <w:sz w:val="16"/>
          <w:szCs w:val="16"/>
        </w:rPr>
        <w:softHyphen/>
        <w:t>работке конструкции и освоении выпуска более совершенных и мощных боевых ма</w:t>
      </w:r>
      <w:r w:rsidRPr="00E93F40">
        <w:rPr>
          <w:rFonts w:ascii="Times New Roman" w:hAnsi="Times New Roman"/>
          <w:color w:val="000000" w:themeColor="text1"/>
          <w:sz w:val="16"/>
          <w:szCs w:val="16"/>
        </w:rPr>
        <w:softHyphen/>
        <w:t>шин - тяжелых танков. Будучи человеком энергичным, инициативным и настойчивым, новый начальник СКБ-2 сумел добиться под</w:t>
      </w:r>
      <w:r w:rsidRPr="00E93F40">
        <w:rPr>
          <w:rFonts w:ascii="Times New Roman" w:hAnsi="Times New Roman"/>
          <w:color w:val="000000" w:themeColor="text1"/>
          <w:sz w:val="16"/>
          <w:szCs w:val="16"/>
        </w:rPr>
        <w:softHyphen/>
        <w:t>держки местного и центрального руковод</w:t>
      </w:r>
      <w:r w:rsidRPr="00E93F40">
        <w:rPr>
          <w:rFonts w:ascii="Times New Roman" w:hAnsi="Times New Roman"/>
          <w:color w:val="000000" w:themeColor="text1"/>
          <w:sz w:val="16"/>
          <w:szCs w:val="16"/>
        </w:rPr>
        <w:softHyphen/>
        <w:t>ства, организационно усилить свой коллек</w:t>
      </w:r>
      <w:r w:rsidRPr="00E93F40">
        <w:rPr>
          <w:rFonts w:ascii="Times New Roman" w:hAnsi="Times New Roman"/>
          <w:color w:val="000000" w:themeColor="text1"/>
          <w:sz w:val="16"/>
          <w:szCs w:val="16"/>
        </w:rPr>
        <w:softHyphen/>
        <w:t>тив за счет опытных конструкторов и талант</w:t>
      </w:r>
      <w:r w:rsidRPr="00E93F40">
        <w:rPr>
          <w:rFonts w:ascii="Times New Roman" w:hAnsi="Times New Roman"/>
          <w:color w:val="000000" w:themeColor="text1"/>
          <w:sz w:val="16"/>
          <w:szCs w:val="16"/>
        </w:rPr>
        <w:softHyphen/>
        <w:t>ливых молодых энтузиастов и, что особенно важно, установить тесное деловое сотруд</w:t>
      </w:r>
      <w:r w:rsidRPr="00E93F40">
        <w:rPr>
          <w:rFonts w:ascii="Times New Roman" w:hAnsi="Times New Roman"/>
          <w:color w:val="000000" w:themeColor="text1"/>
          <w:sz w:val="16"/>
          <w:szCs w:val="16"/>
        </w:rPr>
        <w:softHyphen/>
        <w:t>ничество с производственниками (11897).</w:t>
      </w:r>
    </w:p>
    <w:p w14:paraId="752F4F49"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FBE97" w14:textId="77777777" w:rsidR="006260CD" w:rsidRPr="00142305" w:rsidRDefault="006260CD" w:rsidP="006260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1932 года на заводе «Кранный пролетарий» и была завершена сборка танка ПТ-1 Астрова из Технического отдела ЭКУ ОГПУ. После заводской обкатки ПТ-1 решили продемонстрировать правительственной комиссии во главе с И. В. Сталиным. Несмотря на то, что Сталина впечатлили ходовые качества ПТ-1, применение авиационного двигателя работающего на дефицитном высокооктановом топливе вызвало у него недовольство (тут надо отметить что вообще к концу 30-х годов проблемы мотора были устранены — М-17 был вполне надежным и освоенным в производстве двигателем, работающем, как и на бензине 1 сорта, как и на широко распространенном 2 сорта). Кроме того, сам Астров сказал, что 45-мм пушка для такой машины слабовата и ПТ-1 требуется другая артсистема. Что именно имел в виду главный конструктор сейчас установить вряд ли удастся — возможно, это могло быть </w:t>
      </w:r>
      <w:hyperlink r:id="rId233"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овое орудие большой мощности ПС-3 или КТ-28, которые уже начали устанавливать на опытные средние и тяжелые танки.</w:t>
      </w:r>
    </w:p>
    <w:p w14:paraId="7BBF8FAD" w14:textId="77777777" w:rsidR="006260CD" w:rsidRPr="00142305" w:rsidRDefault="006260CD" w:rsidP="006260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 прошел испытания на НИБТ полигоне. В целом конструкторский коллектив Астрова почти полностью удовлетворил требования военных, за некоторыми исключениями (25498).</w:t>
      </w:r>
    </w:p>
    <w:p w14:paraId="7EF7E48B" w14:textId="77777777" w:rsidR="006260CD" w:rsidRPr="00142305" w:rsidRDefault="006260CD" w:rsidP="006260CD">
      <w:pPr>
        <w:spacing w:after="0" w:line="240" w:lineRule="auto"/>
        <w:jc w:val="both"/>
        <w:rPr>
          <w:rFonts w:ascii="Times New Roman" w:hAnsi="Times New Roman"/>
          <w:color w:val="0070C0"/>
          <w:sz w:val="16"/>
          <w:szCs w:val="16"/>
        </w:rPr>
      </w:pPr>
    </w:p>
    <w:p w14:paraId="07079CB7" w14:textId="77777777" w:rsidR="006260CD" w:rsidRPr="00142305" w:rsidRDefault="006260CD" w:rsidP="006260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1932 года, после создания треста Специального машиностро</w:t>
      </w:r>
      <w:r w:rsidRPr="00142305">
        <w:rPr>
          <w:rFonts w:ascii="Times New Roman" w:hAnsi="Times New Roman"/>
          <w:color w:val="0070C0"/>
          <w:sz w:val="16"/>
          <w:szCs w:val="16"/>
        </w:rPr>
        <w:softHyphen/>
        <w:t>ения, 2-й завод ВАТО стал именоваться завод № 37. Находился в Москве, в Сокольниках. В настоящий момент на территории бывшего завода № 37 нахо</w:t>
      </w:r>
      <w:r w:rsidRPr="00142305">
        <w:rPr>
          <w:rFonts w:ascii="Times New Roman" w:hAnsi="Times New Roman"/>
          <w:color w:val="0070C0"/>
          <w:sz w:val="16"/>
          <w:szCs w:val="16"/>
        </w:rPr>
        <w:softHyphen/>
        <w:t>дится НИИ ДАР (дальней радиосвязи). Это рядом со станцией метро «Преображенская площадь» (25019).</w:t>
      </w:r>
    </w:p>
    <w:p w14:paraId="4A13C177" w14:textId="77777777" w:rsidR="006260CD" w:rsidRPr="00142305" w:rsidRDefault="006260CD" w:rsidP="006260CD">
      <w:pPr>
        <w:spacing w:after="0" w:line="240" w:lineRule="auto"/>
        <w:jc w:val="both"/>
        <w:rPr>
          <w:rFonts w:ascii="Times New Roman" w:hAnsi="Times New Roman"/>
          <w:color w:val="0070C0"/>
          <w:sz w:val="16"/>
          <w:szCs w:val="16"/>
        </w:rPr>
      </w:pPr>
    </w:p>
    <w:p w14:paraId="33019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слушатель ВАММ Сидоренко разработал проект самоходного химического миномета (107 мм) на базе Т-26. Не строили (9527,182).</w:t>
      </w:r>
    </w:p>
    <w:p w14:paraId="5F23F6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C1D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ВТБ им. Дзержинского разработало проект артиллерийского трактора с брезентовым тентом на базе Т-26. Пошел в серию и попал на вооружение в 1933 (9527,211).</w:t>
      </w:r>
    </w:p>
    <w:p w14:paraId="04275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9B95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для быстрого доступа к трансмиссии танка Т-26 в верхнем пе</w:t>
      </w:r>
      <w:r w:rsidRPr="00E93F40">
        <w:rPr>
          <w:rFonts w:ascii="Times New Roman" w:hAnsi="Times New Roman"/>
          <w:color w:val="000000" w:themeColor="text1"/>
          <w:sz w:val="16"/>
          <w:szCs w:val="16"/>
        </w:rPr>
        <w:softHyphen/>
        <w:t>реднем броневом листе был выполнен откидной люк. Пер</w:t>
      </w:r>
      <w:r w:rsidRPr="00E93F40">
        <w:rPr>
          <w:rFonts w:ascii="Times New Roman" w:hAnsi="Times New Roman"/>
          <w:color w:val="000000" w:themeColor="text1"/>
          <w:sz w:val="16"/>
          <w:szCs w:val="16"/>
        </w:rPr>
        <w:softHyphen/>
        <w:t>воначально он открывался в сторону левого борта, но впоследствии (с 1933 г.) его размеры были увеличены, и он вы</w:t>
      </w:r>
      <w:r w:rsidRPr="00E93F40">
        <w:rPr>
          <w:rFonts w:ascii="Times New Roman" w:hAnsi="Times New Roman"/>
          <w:color w:val="000000" w:themeColor="text1"/>
          <w:sz w:val="16"/>
          <w:szCs w:val="16"/>
        </w:rPr>
        <w:softHyphen/>
        <w:t>полнялся уже откидывающимся вперед по ходу танка. Клепка в нижней части корпуса была частой (говорили: «густой»), что имело целью сделать корпус в нижней части герметичным для прохождения бродов. Танки первых об</w:t>
      </w:r>
      <w:r w:rsidRPr="00E93F40">
        <w:rPr>
          <w:rFonts w:ascii="Times New Roman" w:hAnsi="Times New Roman"/>
          <w:color w:val="000000" w:themeColor="text1"/>
          <w:sz w:val="16"/>
          <w:szCs w:val="16"/>
        </w:rPr>
        <w:softHyphen/>
        <w:t>разцов имели даже специальные цинковые прокладки в нижней части корпуса между склепываемыми листами, но уже в 1932 г. эти прокладки были упразднены. На подбашенной коробке на шариковых опорах уста</w:t>
      </w:r>
      <w:r w:rsidRPr="00E93F40">
        <w:rPr>
          <w:rFonts w:ascii="Times New Roman" w:hAnsi="Times New Roman"/>
          <w:color w:val="000000" w:themeColor="text1"/>
          <w:sz w:val="16"/>
          <w:szCs w:val="16"/>
        </w:rPr>
        <w:softHyphen/>
        <w:t>навливались две цилиндрические пулеметные башни, в каждой из которых располагалось по одному члену экипажа. Опять же ввиду отсутствия полноценного проката бор</w:t>
      </w:r>
      <w:r w:rsidRPr="00E93F40">
        <w:rPr>
          <w:rFonts w:ascii="Times New Roman" w:hAnsi="Times New Roman"/>
          <w:color w:val="000000" w:themeColor="text1"/>
          <w:sz w:val="16"/>
          <w:szCs w:val="16"/>
        </w:rPr>
        <w:softHyphen/>
        <w:t>та башни толщиной 13-мм до осени 1931 г. изготавливались из 11-мм листов, производство которых было освоено на Ижорском заводе (10733).</w:t>
      </w:r>
    </w:p>
    <w:p w14:paraId="0FCC15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511E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всем ста</w:t>
      </w:r>
      <w:r w:rsidRPr="00E93F40">
        <w:rPr>
          <w:rFonts w:ascii="Times New Roman" w:hAnsi="Times New Roman"/>
          <w:color w:val="000000" w:themeColor="text1"/>
          <w:sz w:val="16"/>
          <w:szCs w:val="16"/>
        </w:rPr>
        <w:softHyphen/>
        <w:t>ло понятно, что программа «десять тысяч» танков с треском про</w:t>
      </w:r>
      <w:r w:rsidRPr="00E93F40">
        <w:rPr>
          <w:rFonts w:ascii="Times New Roman" w:hAnsi="Times New Roman"/>
          <w:color w:val="000000" w:themeColor="text1"/>
          <w:sz w:val="16"/>
          <w:szCs w:val="16"/>
        </w:rPr>
        <w:softHyphen/>
        <w:t>валилась (10733,180).</w:t>
      </w:r>
    </w:p>
    <w:p w14:paraId="7A134D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87B8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ввиду загрузки ОКМО работа по переоборудованию Т-26 в колесно-гусеничный бы</w:t>
      </w:r>
      <w:r w:rsidRPr="00E93F40">
        <w:rPr>
          <w:rFonts w:ascii="Times New Roman" w:hAnsi="Times New Roman"/>
          <w:color w:val="000000" w:themeColor="text1"/>
          <w:sz w:val="16"/>
          <w:szCs w:val="16"/>
        </w:rPr>
        <w:softHyphen/>
        <w:t>ла предложена слушателям академии ВАММ. Слушатели предъявили три решения, на основании которых весной 1933 г. НИО ВАММ начал разработку колесно-гусеничного танка, предназначенного на замену Т-26 в подвижных со</w:t>
      </w:r>
      <w:r w:rsidRPr="00E93F40">
        <w:rPr>
          <w:rFonts w:ascii="Times New Roman" w:hAnsi="Times New Roman"/>
          <w:color w:val="000000" w:themeColor="text1"/>
          <w:sz w:val="16"/>
          <w:szCs w:val="16"/>
        </w:rPr>
        <w:softHyphen/>
        <w:t>единениях. Согласно требованиям предполагалось при возможно более полном сохранении корпуса, двигателя и вооружения Т-26 установить его на колесно-гусеничный ход для увеличения оперативной подвижности (10733,307).</w:t>
      </w:r>
    </w:p>
    <w:p w14:paraId="5EBC7E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5A5D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в Москве на заводе Можерез в Люблино был изготовлен макет танка Д-5 - корпус и башня в натуральную величину - ОКИБ УММ под руководством Н.И.Дыренкова (9527,133).</w:t>
      </w:r>
    </w:p>
    <w:p w14:paraId="25BF64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6D7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представителем главного адмиралтейства (Управление Нач. вооружений РККА) и П.Л.Котельниковым для танкетки Т-27 была разработана гидромеханическая трансмиссия и планировалось изготовить ее в ОКМО при заводе им. Ворошилова. Не был реализован (9527,254).</w:t>
      </w:r>
    </w:p>
    <w:p w14:paraId="14BA5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8960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представитель фирмы «Виккерс» предло</w:t>
      </w:r>
      <w:r w:rsidRPr="00E93F40">
        <w:rPr>
          <w:rFonts w:ascii="Times New Roman" w:hAnsi="Times New Roman"/>
          <w:color w:val="000000" w:themeColor="text1"/>
          <w:sz w:val="16"/>
          <w:szCs w:val="16"/>
        </w:rPr>
        <w:softHyphen/>
        <w:t>жил советской стороне новый вариант двигателя «шеститонника» мощностью 100 л.с. Но после получения подробного описания мотора специалисты двигательного цеха завода № 174 высказали предположение, что сами смогут выполнить подобные изменения, дабы поднять мощность мотора до 95 л.с. Для эгого был разработан и изготовлен новый карбюратор. Первый экземпляр нового двигателя был испытан на стенде 22/III-05/IV-1933 г. Он продемонстрировал мощность 96 л.с. и проработал непрерывно в течение 5 Часов. Однако, будучи установленным в танк, мотор никак не желал работать нормально. Практически ни один из 30 мото</w:t>
      </w:r>
      <w:r w:rsidRPr="00E93F40">
        <w:rPr>
          <w:rFonts w:ascii="Times New Roman" w:hAnsi="Times New Roman"/>
          <w:color w:val="000000" w:themeColor="text1"/>
          <w:sz w:val="16"/>
          <w:szCs w:val="16"/>
        </w:rPr>
        <w:softHyphen/>
        <w:t>ров установочной серии не выдержал гарантированной на</w:t>
      </w:r>
      <w:r w:rsidRPr="00E93F40">
        <w:rPr>
          <w:rFonts w:ascii="Times New Roman" w:hAnsi="Times New Roman"/>
          <w:color w:val="000000" w:themeColor="text1"/>
          <w:sz w:val="16"/>
          <w:szCs w:val="16"/>
        </w:rPr>
        <w:softHyphen/>
        <w:t>работки (10733,217).</w:t>
      </w:r>
    </w:p>
    <w:p w14:paraId="7039B3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5A9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года, когда на ХПЗ еще не приступили даже к проектированию дизеля БД-2, дизель «ПГЕ» начали испытывать. Первые испытания дизеля «ПГЕ», построенного еще в июле 1932 года были проведены только в сентябре 1932 года. Он оказался настолько неудачным, что никогда так и не увидел танка ПТ-1, для которого предназначался (11504).</w:t>
      </w:r>
    </w:p>
    <w:p w14:paraId="388BAF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EB0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двухцилиндровый четырехтактный быстроходный дизель БД-14 ХПЗ на испытаниях показал мощность 70 л.с. при частоте вращения коленвала 1700 об/мин и удельной массе 2 кг/л.с. По этому параметру двигатель заметно превзошел прежние конструкции (у Д-40, наиболее удачного серийного судового дизеля того времени, соответствующее значение составляло 55 кг/л.с.!). Мотор получился откровенно "сырым", испытания его не удалось довести до конца, но первый опыт позволил сделать весьма важные выводы. Стало очевидно, что для быстроходного дизеля с напряженным режимом работы исключительное значение приобретают высокое качество материалов, достаточно прочных, жаро- и износостойких, а также большая точность изготовления распределительной и топливной аппаратуры. В дальнейшем работы ХПЗ по дизельной тематике разделились на два направления. Первое связывалось с созданием четырехцилиндрового тракторного дизеля ТД-16 мощностью 130 л.с., конструкция которого базировалась на предыдущих образцах бензиновых и керосиновых моторов. Второе направление было нацелено на разработку танкового варианта БД-2 (второго варианта быстроходного дизеля), в основу проекта которого легли преимущественно "авиационные" решения. Руководство наркомата пошло на "разгрузку" завода от других заданий, создавая дизелистам все условия для плодотворной работы. Заказы на дизели народнохозяйственного назначения, находившиеся в разработке и производстве (включая и перспективный Д-40), были переданы другим предприятиям. От конструкторов, технологов и производственников ХПЗ потребовали как можно скорее дать армии мощный и надежный танковый мотор.</w:t>
      </w:r>
    </w:p>
    <w:p w14:paraId="10EC5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конструктивными особенностями дизеля БД-2 были:</w:t>
      </w:r>
    </w:p>
    <w:p w14:paraId="563FD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картер из алюминиевого сплава с разъемом по линии коленчатого вала;</w:t>
      </w:r>
    </w:p>
    <w:p w14:paraId="6A8B1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общий на шесть цилиндров алюминиевый блок со стальными "мокрыми" гильзами и общая алюминиевая головка, которая притягивалась вместе с блоком к верхнему картеру силовыми шпильками;</w:t>
      </w:r>
    </w:p>
    <w:p w14:paraId="75FFE7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верхнеклапанный механизм газораспределения с одиночными впускным и выпускным клапанами;</w:t>
      </w:r>
    </w:p>
    <w:p w14:paraId="7564A4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коленчатый вал с овальными щеками и центральными шатунами.</w:t>
      </w:r>
    </w:p>
    <w:p w14:paraId="3109E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Коленчатый вал из легированной стали опирался на подшипники скольжения, нижний картер из алюминия служил поддоном для масла и не являлся несущим. Два шестисекционных топливных насоса немецкой фирмы "Бош" размещались в развале цилиндров и соединялись трубопроводами с закрытыми бошевскими форсунками. Поршни изготавливались из алюминия. Уплотнение газового стыка между головкой и фланцами гильз цилиндров осуществлялось медными прокладками. Коленчатый вал, шатуны, клапаны и шестерни - кованые. Алюминиевые корпусные детали - литые, с минимально необходимой механической обработкой.</w:t>
      </w:r>
    </w:p>
    <w:p w14:paraId="63559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Расчетные параметры БД-2 превышали требуемые: номинальная мощность 400...420 л.с. при частоте вращения 1700 об/мин, удельный вес около 1,5 кг/л.с., удельный расход топлива 180...194 г/л.с.·ч. Для сравнения следует привести аналогичные сведения о наиболее известных в то время дизельных моторах: "Клерже" при агрегатной мощности 400 л.с. имел удельный вес 0,85 кг/л.с., "Паккард" при 225 л.с. имел 1,05 кг/л.с., "Даймлер-Бенц" при 750 л.с. имел 1,3 кг/л.с.; "Юнкерс" при 710 л.с. имел 1,3 кг/л.с., а "МАН" при 480 л.с. - 1,7 кг/л.с.</w:t>
      </w:r>
    </w:p>
    <w:p w14:paraId="65F6D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Несомненным достижением, выделенным в отчете дизельного отдела, было то, что "за исключением... нефтяных насосов заграничной фирмы "Бош" и игольчатых форсунок этой же фирмы, вся машина построена целиком из советских материалов". В цехах ХПЗ изготовили все специальные материалы - качественные бронзы, а также сплавы алюминия повышенной прочности. Подводя итоги работы, дизелисты констатировали: "Вообще из легких типов сверхлегких дизелей, запроектированных советскими и заграничными конструкторскими бюро, работоспособными оказались немногие, а из работоспособных - БД-2 является одним из лучших по показателям" (9021).</w:t>
      </w:r>
    </w:p>
    <w:p w14:paraId="4976D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AC183C" w14:textId="77777777" w:rsidR="00E238F8" w:rsidRPr="00E93F40" w:rsidRDefault="00E238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почти параллельно с работами над НОТА-34 на заводе Кулакова шла разработка стартстопного теле</w:t>
      </w:r>
      <w:r w:rsidRPr="00E93F40">
        <w:rPr>
          <w:rFonts w:ascii="Times New Roman" w:hAnsi="Times New Roman"/>
          <w:color w:val="000000" w:themeColor="text1"/>
          <w:sz w:val="16"/>
          <w:szCs w:val="16"/>
        </w:rPr>
        <w:softHyphen/>
        <w:t>графного аппарата СТ-35 («Советский телетайп» обр. 1935 г.) коллективом инженеров в составе С.И. Часовикова, Н.Г. Гагари</w:t>
      </w:r>
      <w:r w:rsidRPr="00E93F40">
        <w:rPr>
          <w:rFonts w:ascii="Times New Roman" w:hAnsi="Times New Roman"/>
          <w:color w:val="000000" w:themeColor="text1"/>
          <w:sz w:val="16"/>
          <w:szCs w:val="16"/>
        </w:rPr>
        <w:softHyphen/>
        <w:t>на, Н.А. Волкова и др.. СТ-35 был сделан по образцу американского телетайпа типа Т-14 и отличается от него только клавиатурой. Он во всех отношениях пре</w:t>
      </w:r>
      <w:r w:rsidRPr="00E93F40">
        <w:rPr>
          <w:rFonts w:ascii="Times New Roman" w:hAnsi="Times New Roman"/>
          <w:color w:val="000000" w:themeColor="text1"/>
          <w:sz w:val="16"/>
          <w:szCs w:val="16"/>
        </w:rPr>
        <w:softHyphen/>
        <w:t>восходил основной стартстопный буквопечатающий аппарат Ш-32, который на</w:t>
      </w:r>
      <w:r w:rsidRPr="00E93F40">
        <w:rPr>
          <w:rFonts w:ascii="Times New Roman" w:hAnsi="Times New Roman"/>
          <w:color w:val="000000" w:themeColor="text1"/>
          <w:sz w:val="16"/>
          <w:szCs w:val="16"/>
        </w:rPr>
        <w:softHyphen/>
        <w:t>ходился к этому времени в производстве. СТ-35 обеспечивал телеграфный обмен до 1200 слов в час, устойчиво работал на линиях с пониженной изоляцией, в сы</w:t>
      </w:r>
      <w:r w:rsidRPr="00E93F40">
        <w:rPr>
          <w:rFonts w:ascii="Times New Roman" w:hAnsi="Times New Roman"/>
          <w:color w:val="000000" w:themeColor="text1"/>
          <w:sz w:val="16"/>
          <w:szCs w:val="16"/>
        </w:rPr>
        <w:softHyphen/>
        <w:t>рых и холодных помещениях, обеспечивал работу до 300 км. В силу этого он оказался весьма ценным для армии, где его стали применять в звеньях от армии к корпусу и от корпуса к дивизии, а также между армиями и корпусами, для осу</w:t>
      </w:r>
      <w:r w:rsidRPr="00E93F40">
        <w:rPr>
          <w:rFonts w:ascii="Times New Roman" w:hAnsi="Times New Roman"/>
          <w:color w:val="000000" w:themeColor="text1"/>
          <w:sz w:val="16"/>
          <w:szCs w:val="16"/>
        </w:rPr>
        <w:softHyphen/>
        <w:t>ществления связи по фронту. СТ-35 заменил ранее применявшийся в этих звень</w:t>
      </w:r>
      <w:r w:rsidRPr="00E93F40">
        <w:rPr>
          <w:rFonts w:ascii="Times New Roman" w:hAnsi="Times New Roman"/>
          <w:color w:val="000000" w:themeColor="text1"/>
          <w:sz w:val="16"/>
          <w:szCs w:val="16"/>
        </w:rPr>
        <w:softHyphen/>
        <w:t>ях телеграфный аппарат Морзе, который не мог удовлетворять требованиям вре</w:t>
      </w:r>
      <w:r w:rsidRPr="00E93F40">
        <w:rPr>
          <w:rFonts w:ascii="Times New Roman" w:hAnsi="Times New Roman"/>
          <w:color w:val="000000" w:themeColor="text1"/>
          <w:sz w:val="16"/>
          <w:szCs w:val="16"/>
        </w:rPr>
        <w:softHyphen/>
        <w:t>мени. Уже программой производства 1936 г. на заводе им. Кулакова был преду</w:t>
      </w:r>
      <w:r w:rsidRPr="00E93F40">
        <w:rPr>
          <w:rFonts w:ascii="Times New Roman" w:hAnsi="Times New Roman"/>
          <w:color w:val="000000" w:themeColor="text1"/>
          <w:sz w:val="16"/>
          <w:szCs w:val="16"/>
        </w:rPr>
        <w:softHyphen/>
        <w:t>смотрен выпуск трехсот аппаратов СТ-35 (19098).</w:t>
      </w:r>
    </w:p>
    <w:p w14:paraId="5B2AB566" w14:textId="77777777" w:rsidR="00E238F8" w:rsidRPr="00E93F40" w:rsidRDefault="00E238F8" w:rsidP="00E93F40">
      <w:pPr>
        <w:spacing w:after="0" w:line="240" w:lineRule="auto"/>
        <w:jc w:val="both"/>
        <w:rPr>
          <w:rFonts w:ascii="Times New Roman" w:hAnsi="Times New Roman"/>
          <w:color w:val="000000" w:themeColor="text1"/>
          <w:sz w:val="16"/>
          <w:szCs w:val="16"/>
        </w:rPr>
      </w:pPr>
    </w:p>
    <w:p w14:paraId="107DF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на николаевском заводе им. А. Марти было заложено и до июля 1935 г. построено 20 лодок: М-1, М-3, М-8, М-9, М-11— М-13, М-16-М-22, М-27, М-28, М-51 и М-52. Одновременно за</w:t>
      </w:r>
      <w:r w:rsidRPr="00E93F40">
        <w:rPr>
          <w:rFonts w:ascii="Times New Roman" w:hAnsi="Times New Roman"/>
          <w:color w:val="000000" w:themeColor="text1"/>
          <w:sz w:val="16"/>
          <w:szCs w:val="16"/>
        </w:rPr>
        <w:softHyphen/>
        <w:t>вод им. 61 Коммунара построил М-2. М-4—М-7, М-10, М-14, М-15, М-23 и М-26 — всего 10 кораблей (3898).</w:t>
      </w:r>
    </w:p>
    <w:p w14:paraId="4A8B03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16B1D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4BB279F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8FD3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на базе 11сд ЛВО был сформирован 11МК, на вооружение которого поступило 11 БТ-2 (3879,43).</w:t>
      </w:r>
    </w:p>
    <w:p w14:paraId="449F0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3274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в ЛВО был сформирован 11-й МК, М УВО - 45-й МК, а в 1934 г. - еще два, 7-й МК в ЛВО и 5-Щ МК в Московском военном округе (МВО). Причем 5-и мехкорпус разворачивался на базе мехбригады им. Калиновского и потому сохранил его имя. Каждый корпус имел по две бригады трехбатальонного состава: одну из танков БТ, вторую - из Т-26. Это были очень сильные в тактическом отношении соединения, способные действовать как в составе корпуса, так и самостоятельно. Также в 1932 г. было сформировано пять отдельных ме</w:t>
      </w:r>
      <w:r w:rsidRPr="00E93F40">
        <w:rPr>
          <w:rFonts w:ascii="Times New Roman" w:hAnsi="Times New Roman"/>
          <w:color w:val="000000" w:themeColor="text1"/>
          <w:sz w:val="16"/>
          <w:szCs w:val="16"/>
        </w:rPr>
        <w:softHyphen/>
        <w:t>ханизированных бригад (ОМБр): 2-я ОМБр в УВО, 3, 4 и 5 ОМБр в Белорусском военном округе (БВО), 6-я ОМБр в Отдельной краснознаменной дальневосточной армии (ОКДВА). Эти бригады укомплектовывались по штату тан</w:t>
      </w:r>
      <w:r w:rsidRPr="00E93F40">
        <w:rPr>
          <w:rFonts w:ascii="Times New Roman" w:hAnsi="Times New Roman"/>
          <w:color w:val="000000" w:themeColor="text1"/>
          <w:sz w:val="16"/>
          <w:szCs w:val="16"/>
        </w:rPr>
        <w:softHyphen/>
        <w:t>ками Т-26 в количестве 145 машин каждая. Эксплуатация мехкорпусов и мехбригад в первые годы показала, что они были весьма громоздкими и трудноуп</w:t>
      </w:r>
      <w:r w:rsidRPr="00E93F40">
        <w:rPr>
          <w:rFonts w:ascii="Times New Roman" w:hAnsi="Times New Roman"/>
          <w:color w:val="000000" w:themeColor="text1"/>
          <w:sz w:val="16"/>
          <w:szCs w:val="16"/>
        </w:rPr>
        <w:softHyphen/>
        <w:t>равляемыми. Что управление ими и их обслуживание упи</w:t>
      </w:r>
      <w:r w:rsidRPr="00E93F40">
        <w:rPr>
          <w:rFonts w:ascii="Times New Roman" w:hAnsi="Times New Roman"/>
          <w:color w:val="000000" w:themeColor="text1"/>
          <w:sz w:val="16"/>
          <w:szCs w:val="16"/>
        </w:rPr>
        <w:softHyphen/>
        <w:t>рается в большие проблемы. В частности, разнотипность танков в мехбригадах создавала большие трудности в орга</w:t>
      </w:r>
      <w:r w:rsidRPr="00E93F40">
        <w:rPr>
          <w:rFonts w:ascii="Times New Roman" w:hAnsi="Times New Roman"/>
          <w:color w:val="000000" w:themeColor="text1"/>
          <w:sz w:val="16"/>
          <w:szCs w:val="16"/>
        </w:rPr>
        <w:softHyphen/>
        <w:t>низации транспортировки танковых соединений, обслу</w:t>
      </w:r>
      <w:r w:rsidRPr="00E93F40">
        <w:rPr>
          <w:rFonts w:ascii="Times New Roman" w:hAnsi="Times New Roman"/>
          <w:color w:val="000000" w:themeColor="text1"/>
          <w:sz w:val="16"/>
          <w:szCs w:val="16"/>
        </w:rPr>
        <w:softHyphen/>
        <w:t>живания и ремонта вышедших из строя боевых машин. Кроме того, в ходе учений 1933-34 гг., когда сформиро</w:t>
      </w:r>
      <w:r w:rsidRPr="00E93F40">
        <w:rPr>
          <w:rFonts w:ascii="Times New Roman" w:hAnsi="Times New Roman"/>
          <w:color w:val="000000" w:themeColor="text1"/>
          <w:sz w:val="16"/>
          <w:szCs w:val="16"/>
        </w:rPr>
        <w:softHyphen/>
        <w:t>ванные недавно мехкорпуса и мехбригады вышли на лет</w:t>
      </w:r>
      <w:r w:rsidRPr="00E93F40">
        <w:rPr>
          <w:rFonts w:ascii="Times New Roman" w:hAnsi="Times New Roman"/>
          <w:color w:val="000000" w:themeColor="text1"/>
          <w:sz w:val="16"/>
          <w:szCs w:val="16"/>
        </w:rPr>
        <w:softHyphen/>
        <w:t>ние маневры, вдруг со всей серьезностью проявился недо</w:t>
      </w:r>
      <w:r w:rsidRPr="00E93F40">
        <w:rPr>
          <w:rFonts w:ascii="Times New Roman" w:hAnsi="Times New Roman"/>
          <w:color w:val="000000" w:themeColor="text1"/>
          <w:sz w:val="16"/>
          <w:szCs w:val="16"/>
        </w:rPr>
        <w:softHyphen/>
        <w:t>статок практически всех гусеничных танков, что стояли на вооружении РККА. Во время длительных маршей механи</w:t>
      </w:r>
      <w:r w:rsidRPr="00E93F40">
        <w:rPr>
          <w:rFonts w:ascii="Times New Roman" w:hAnsi="Times New Roman"/>
          <w:color w:val="000000" w:themeColor="text1"/>
          <w:sz w:val="16"/>
          <w:szCs w:val="16"/>
        </w:rPr>
        <w:softHyphen/>
        <w:t>зированных частей почти все танки, имевшиеся в наличии, вдруг стали выходить из строя вследствие массовых обры</w:t>
      </w:r>
      <w:r w:rsidRPr="00E93F40">
        <w:rPr>
          <w:rFonts w:ascii="Times New Roman" w:hAnsi="Times New Roman"/>
          <w:color w:val="000000" w:themeColor="text1"/>
          <w:sz w:val="16"/>
          <w:szCs w:val="16"/>
        </w:rPr>
        <w:softHyphen/>
        <w:t>вов и потери гусеничных цепей. 45-й мехкорпус, например, пострадал от этого очень заметно, так как за один из дней потерял вышедшими из строя до четверти танков из числа выведенных на учения. Ремонтники не справились в задан</w:t>
      </w:r>
      <w:r w:rsidRPr="00E93F40">
        <w:rPr>
          <w:rFonts w:ascii="Times New Roman" w:hAnsi="Times New Roman"/>
          <w:color w:val="000000" w:themeColor="text1"/>
          <w:sz w:val="16"/>
          <w:szCs w:val="16"/>
        </w:rPr>
        <w:softHyphen/>
        <w:t>ный срок с объемом поломок. Исключение составляли танки БТ, которые во время длительных маршей «переобувались», укладывая гусеницы на полки и проводя движение на колесах.. Вот тут-то и всплыло то самое преимущество колесно-гусеничных танков, на которое еще в 1920-е указывал классик-танкоописатель своего времени Ф. Хейгль. Он упоминал о трудностях чистки и смазки гусеничного движителя, низком ресурсе гусеничных пальцев, а также высокой степени порчи грунтовых дорог при проходе по ним танковых подразделе</w:t>
      </w:r>
      <w:r w:rsidRPr="00E93F40">
        <w:rPr>
          <w:rFonts w:ascii="Times New Roman" w:hAnsi="Times New Roman"/>
          <w:color w:val="000000" w:themeColor="text1"/>
          <w:sz w:val="16"/>
          <w:szCs w:val="16"/>
        </w:rPr>
        <w:softHyphen/>
        <w:t>ний и частей на гусеницах. Кроме того, гусеничные танки, по его мнению, еще не обладали нужной оперативной подвиж</w:t>
      </w:r>
      <w:r w:rsidRPr="00E93F40">
        <w:rPr>
          <w:rFonts w:ascii="Times New Roman" w:hAnsi="Times New Roman"/>
          <w:color w:val="000000" w:themeColor="text1"/>
          <w:sz w:val="16"/>
          <w:szCs w:val="16"/>
        </w:rPr>
        <w:softHyphen/>
        <w:t>ностью. На то же указали и итоги учений РККА 1933 г. (10733,263).</w:t>
      </w:r>
    </w:p>
    <w:p w14:paraId="1B9FB8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956B00" w14:textId="77777777" w:rsidR="006260CD" w:rsidRPr="00142305" w:rsidRDefault="006260CD" w:rsidP="006260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1932 г. учения войск ПВО, проводившиеся под руководством С. С. Каменева, И. П. Уборевича и А. И. Корка, выявили существенные недостатки в тактической подготовке частей и подразделений ПВО. По плану учений следовало отразить внезапный налет неприятельской авиации на Москву. Однако наблюдательные посты, тогда находившиеся в ведении органов милиции, в течение первых суток военной игры так и не удалось развернуть. Несостоятельной оказалась также система оповещения города о воздушной опасности, рассчитанная на гудки паровозов и заводов. Зенитчики смогли подготовить орудия к бою через 12–14 ч после объявления воздушной тревоги — это время ушло на оборудование огневых позиций.</w:t>
      </w:r>
    </w:p>
    <w:p w14:paraId="3436BC83" w14:textId="77777777" w:rsidR="006260CD" w:rsidRPr="00142305" w:rsidRDefault="006260CD" w:rsidP="006260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Анализируя все стороны противовоздушной обороны столицы, ее начальник — командир 1-й артиллерийской дивизии Н. В. Щеглов вынужден был в своем рапорте на имя командующего войсками МВО указать: «Количество средств и сама система обороны абсолютно не отвечают современным требованиям и ни в какой мере не обеспечивают противовоздушную оборону Москвы. Крупным недостатком является полное отсутствие истребительной авиации, которая относится к главнейшим средствам обороны от воздушных налетов противника».</w:t>
      </w:r>
    </w:p>
    <w:p w14:paraId="32EABB71" w14:textId="77777777" w:rsidR="006260CD" w:rsidRPr="00142305" w:rsidRDefault="006260CD" w:rsidP="006260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Первостепенным следствием данного рапорта стало перебазирование 10-й авиабригады с Центрального аэродрома [205] столицы в Подмосковье и реорганизация ее в 57-ю истребительную авиабригаду, которую оперативно подчинили командиру 1-й артиллерийской дивизии. На вооружении эскадрилий имелись истребители И-5, которые вскоре заменили на более совершенные И-15 и И-16. Зенитно-артиллерийские части пополнялись 76-мм орудиями образца 1931 г., имевшими отличные для своего времени баллистические характеристики и позволявшими вести борьбу с неприятельскими самолетами на высотах до 9000 м. В том же году были приняты на вооружение счетверенные установки зенитных пулеметов, предназначенные для уничтожения низколетящих самолетов (25130).</w:t>
      </w:r>
    </w:p>
    <w:p w14:paraId="7225AD52" w14:textId="77777777" w:rsidR="006260CD" w:rsidRPr="00142305" w:rsidRDefault="006260CD" w:rsidP="006260CD">
      <w:pPr>
        <w:spacing w:after="0" w:line="240" w:lineRule="auto"/>
        <w:jc w:val="both"/>
        <w:rPr>
          <w:rFonts w:ascii="Times New Roman" w:hAnsi="Times New Roman"/>
          <w:color w:val="0070C0"/>
          <w:sz w:val="16"/>
          <w:szCs w:val="16"/>
        </w:rPr>
      </w:pPr>
    </w:p>
    <w:p w14:paraId="5987B4AB" w14:textId="77777777" w:rsidR="007B1D3C" w:rsidRPr="00E93F40" w:rsidRDefault="00F773A6" w:rsidP="00E93F4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Жизнь и внутренняя политика:</w:t>
      </w:r>
    </w:p>
    <w:p w14:paraId="462AF5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90FEF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согласно немецкому архитектору Рудольфу Волтерсу, работавшему в период 1931 — 1932 гг. в Новосибирске, в Москве сложилась странная ситуация: «Утверждение проектов зависело в первую очередь от маленькой группы специалистов, (...) которой руководили американцы. Эта группа была филиалом "Гипрогора" (...) Дух и руководство были чисто американскими. И это делало работу всех немецких архитекторов, обращавшихся в эту центральную инстанцию, очень тяжёлой (...). К сожалению, энергия архитекторов "Гипрогора" была не особенно сконцентрирована на том, чтобы планы отдельных посёлков были функционально взаимосвязаны с городом в целом. Вместо этого они с нахмуренным лбом тыкали толстым карандаш в архитектурные детали. Известно, что наши русско-американские градостроители любят красивые геометрические генеральные планы с прямоугольной сеткой улиц, осями, звездообразными площадями. Чикаго! Создается впечатление, что эти американцы прибыли в Россию через Берингов пролив, ничего не зная о начавшейся 30 лет назад градостроительной революции Европы. Американцы принесли в Россию окостенелую школу градостроительства, и она всё больше берёт верх, в особенности потому, что для всех архитектурных деталей из высшей инстанции Москвы был предписан "классический стиль" как единственно возможный: звёздообразные планы и греческие фасады! (…) "Гипрогор" (руссо-американцы) и "Стандартгорпроект" (руссо-немцы), ненавидят друг друга (...). Здесь столкнулись два мировоззрения. Здесь нет надежды на взаимопонимание. (...) Сегодня франкфуртский архитектор Май — закатившаяся звезда в России. Его группа растаяла до нескольких самых преданных людей и печально-предупреждающе возвышаются во всех концах России над морем деревянных изб начатые корпуса до смерти замученной "строчной застройки"».</w:t>
      </w:r>
    </w:p>
    <w:p w14:paraId="73701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целом, в СССР зарубежные архитекторы потерпели творческое фиаско — они ехали сюда создавать новую архитектуру и проекты новых городов, а от них требовалось создание «механизмов управления людьми». Сталинское руководство и город, и жилище в нём рассматривало как реальное средство организационного упорядочивания населения: 1) население должно было объединяться в «новые трудовые общины» — трудо-бытовые коллективы, в которых те, кто вместе трудится, должны были и совместно проживать; индивидуальное жилище (как источник автономного независимого обособленного быта) концептуально исключалось; 2) место работы рассматривалось как место наделения человека всем необходимым для жизни — местом распределения средств к существованию; местом получения культурных и бытовых благ (квартира, детский сад, врачебное обслуживание, санаторий, культурный отдых и т.д.); местом организации досуга и отправления мероприятий «новой обрядности» («красные дни календаря», «красные» или «комсомольские» свадьбы, «красные крестины», называемые ещё «октябринами» и «звездинами» и т.п.); местом получения привилегий (бесплатный проезд к месту летнего отдыха, транспортная помощь, дополнительные продовольственные пайки, персональный автомобиль и проч.) и т.д.; 3) «селитьба при производстве» призвана была обеспечивать тотальное использование рабочей силы для отправления всеобщей трудовой повинности (люди, не имевшие работы, не могли получить жильё и прописку и принудительно выселялись из населённых пунктов); 4) соцгорода являлись элементами единой системы производства, территориально закрепляя структуру валового национального продукта, и являлись форпостами распределительной системы (изделий, продуктов, финансов, ресурсов, услуг, жилья и проч.).</w:t>
      </w:r>
    </w:p>
    <w:p w14:paraId="2DE33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Западные архитекторы не понимали, как следует проектировать город, который есть «средство прикрепления рабочих к производству»; они не понимали, как можно проектировать корпуса промышленного предприятия без наличия технологической схемы; они не понимали, как вообще можно проектировать что-либо без каких бы-то ни было исходных данных. Они не воспринимали советскую методологию расчёта перспективной численности населения города («число рабочих промышленных предприятий, умноженное на коэффициент семейности»); они задавали глупые вопросы относительно потребного количества объектов обслуживания и расчётного числа мест в них (и не понимали, почему в «обществе социальной справедливости», например, столовые должны быть спроектированы не для всех и с разными залами для рабочих и руководства); они не умели участвовать в «авралах» и «ускоренном перевыполнении плана» и не понимали, зачем нужна подобная гонка (если есть реальный запланированный срок изготовления проекта и всё идёт в соответствии с ним); они не привыкли работать без должного технического обеспечения; они не умели приписывать лишний «листаж»; не способны были привыкнуть к бардаку и бесхозяйственности; не способны были понять, почему необходимо следовать указания парторга мастерской, а не её главного архитектора и т.п.</w:t>
      </w:r>
    </w:p>
    <w:p w14:paraId="7FC72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Зарубежные архитекторы не способны были понять то, что соцгорода, которые им предлагается проектировать, рассматривались властью как элементы системы принудительного перераспределения населения по территории страны, так как возможность вольнонаёмным получить хоть какое-то жилище в городах-новостройках интенсифицировало перетекание естественных (и специально инициируемых) миграционных потоков в нужную власти сторону. Они не способны были понять, что «жизнь» в соцгородах сознательно подчиняется «трудовой деятельности», а возведение жилища, объектов соцкульбыта и проч., единственной цели — принуждению к труду и социальному дисциплинированию. Они не умели выполнять воплощающую эту цель проектную работу. И в результате проектные организации, в которых они трудились, вынуждены были отказываться от их услуг.</w:t>
      </w:r>
    </w:p>
    <w:p w14:paraId="157E4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Зарубежные архитекторы, в большинстве своём, не могли понять, почему нужно проектировать квартиры, в которые будут заселять людей «покомнатно» — то есть, в каждую комнату по семье; почему нужно проектировать общежития, предназначенные для проживания 20 — 25 человек в одной комнате, с расположенными в конце коридора общими удобствами из расчёта одно посадочное место — на 25 чел.; зачем на генплане города следует предусматривать огромные территории, предназначенные для возведения бараков (причём самых примитивных) или землянок. Почему не проектировать сразу современную урбанизированную застройку?</w:t>
      </w:r>
    </w:p>
    <w:p w14:paraId="27A46F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кто-то из них очень хорошо всё понимал, так как расчёт, проведённый даже без числовых показателей, просто на уровне здравого смысла, подсказывал (как, например, Вальтеру Швагеншайдту), что технические и финансовые условия СССР ещё много лет не позволят строить ничего, кроме бараков. Поэтому они искренне и активно включаясь в создание проектов бараков, в отличие от штучного возведения парадно-показных жилых и административных зданий в центрах городов.</w:t>
      </w:r>
    </w:p>
    <w:p w14:paraId="6A506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Иностранные архитекторы приезжали в СССР и привозили с собой привычные им образцы планировочных и конструктивно-технологических схем, а также наработанный опыт организации проектной деятельности. Они готовы были щедро делиться этим багажом, но вовсе не склонны были изобретать что-либо новое. Поэтому группа Эрнеста Мая при проектировании соцгорода повсеместно применяла привычную им строчную застройку, а американцы упорно воспроизводили излюбленные геометрические планы с прямоугольной сеткой улиц и звёздообразными площадями (11596).</w:t>
      </w:r>
    </w:p>
    <w:p w14:paraId="2AD6C2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ED10F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0B0668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5A8650" w14:textId="77777777" w:rsidR="00E238F8" w:rsidRPr="00E93F40" w:rsidRDefault="00E238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6DDF7E28" w14:textId="77777777" w:rsidR="00E238F8" w:rsidRPr="00E93F40" w:rsidRDefault="00E238F8" w:rsidP="00E93F40">
      <w:pPr>
        <w:spacing w:after="0" w:line="240" w:lineRule="auto"/>
        <w:jc w:val="both"/>
        <w:rPr>
          <w:rFonts w:ascii="Times New Roman" w:hAnsi="Times New Roman"/>
          <w:color w:val="000000" w:themeColor="text1"/>
          <w:sz w:val="16"/>
          <w:szCs w:val="16"/>
        </w:rPr>
      </w:pPr>
    </w:p>
    <w:p w14:paraId="31F7AF3B" w14:textId="77777777" w:rsidR="00E238F8" w:rsidRPr="00E93F40" w:rsidRDefault="00E238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 военное министерство Ирана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BMW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Гораздо дольше Р-5 служили в Иране в качестве тренировочных машин (18512).</w:t>
      </w:r>
    </w:p>
    <w:p w14:paraId="060A3717" w14:textId="77777777" w:rsidR="00E238F8" w:rsidRPr="00E93F40" w:rsidRDefault="00E238F8" w:rsidP="00E93F40">
      <w:pPr>
        <w:spacing w:after="0" w:line="240" w:lineRule="auto"/>
        <w:jc w:val="both"/>
        <w:rPr>
          <w:rFonts w:ascii="Times New Roman" w:hAnsi="Times New Roman"/>
          <w:color w:val="000000" w:themeColor="text1"/>
          <w:sz w:val="16"/>
          <w:szCs w:val="16"/>
        </w:rPr>
      </w:pPr>
    </w:p>
    <w:p w14:paraId="50F01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военное министерство Ирана все же заключило с СССР контракт на поставку десяти самолетов Р-5, а попутно и партии зенитных пушек. Предложение организовать производство поликарповских бипланов на месте отклонили.</w:t>
      </w:r>
    </w:p>
    <w:p w14:paraId="261D09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Экспортные машины имели моторы BMW VI и пулеметы "Льюис" в задней кабине. Бомбосбрасыватель ставили один, возможность нести выливные или дымовые приборы отсутствовала. У летнаба ставили бомбовый прицел АП-2, оптический "Герц" не предусматривался. Партия Р-5 для Персии проходила советскую военную приемку в обычном порядке, но по отдельным техническим условиям в связи с отличиями в комплектации. Разведчики начали предъявлять приемщикам в конце марта 1933 г.</w:t>
      </w:r>
    </w:p>
    <w:p w14:paraId="42F21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самолет доставили в Иран по воздуху. На нем иранский летчик А. Макуи,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w:t>
      </w:r>
    </w:p>
    <w:p w14:paraId="5D5A2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664692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F7F620" w14:textId="77777777" w:rsidR="00C200E4" w:rsidRPr="00E93F40" w:rsidRDefault="00C200E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1932 г., полтора года спустя после конкурса – военное министерство Персии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BMW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Гораздо дольше Р-5 служили в Иране в качестве тренировочных машин (24334).</w:t>
      </w:r>
    </w:p>
    <w:p w14:paraId="3AAA166C" w14:textId="77777777" w:rsidR="00C200E4" w:rsidRPr="00E93F40" w:rsidRDefault="00C200E4" w:rsidP="00E93F40">
      <w:pPr>
        <w:spacing w:after="0" w:line="240" w:lineRule="auto"/>
        <w:jc w:val="both"/>
        <w:rPr>
          <w:rFonts w:ascii="Times New Roman" w:hAnsi="Times New Roman"/>
          <w:color w:val="000000" w:themeColor="text1"/>
          <w:sz w:val="16"/>
          <w:szCs w:val="16"/>
        </w:rPr>
      </w:pPr>
    </w:p>
    <w:p w14:paraId="3C6677E6"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Осенью 1932 китайцы, которые хорошо помнили, что два Р-1 раз</w:t>
      </w:r>
      <w:r w:rsidRPr="00E93F40">
        <w:rPr>
          <w:rFonts w:ascii="Times New Roman" w:hAnsi="Times New Roman"/>
          <w:color w:val="000000" w:themeColor="text1"/>
          <w:sz w:val="16"/>
          <w:szCs w:val="16"/>
        </w:rPr>
        <w:softHyphen/>
        <w:t>бились по вине лётчиков Назарова и Антипова очередных переговорах они попроси</w:t>
      </w:r>
      <w:r w:rsidRPr="00E93F40">
        <w:rPr>
          <w:rFonts w:ascii="Times New Roman" w:hAnsi="Times New Roman"/>
          <w:color w:val="000000" w:themeColor="text1"/>
          <w:sz w:val="16"/>
          <w:szCs w:val="16"/>
        </w:rPr>
        <w:softHyphen/>
      </w:r>
      <w:r w:rsidRPr="00E93F40">
        <w:rPr>
          <w:rStyle w:val="0pt0"/>
          <w:rFonts w:eastAsia="Arial"/>
          <w:b w:val="0"/>
          <w:color w:val="000000" w:themeColor="text1"/>
          <w:spacing w:val="0"/>
          <w:sz w:val="16"/>
          <w:szCs w:val="16"/>
        </w:rPr>
        <w:t>ли</w:t>
      </w:r>
      <w:r w:rsidRPr="00E93F40">
        <w:rPr>
          <w:rFonts w:ascii="Times New Roman" w:hAnsi="Times New Roman"/>
          <w:color w:val="000000" w:themeColor="text1"/>
          <w:sz w:val="16"/>
          <w:szCs w:val="16"/>
        </w:rPr>
        <w:t xml:space="preserve"> взамен разбитых продать два новых самолёта на льготных условиях. НКИД по согласованию с Внешторгом и Восточной Комиссией СТО поддержал просьбу, предло</w:t>
      </w:r>
      <w:r w:rsidRPr="00E93F40">
        <w:rPr>
          <w:rFonts w:ascii="Times New Roman" w:hAnsi="Times New Roman"/>
          <w:color w:val="000000" w:themeColor="text1"/>
          <w:sz w:val="16"/>
          <w:szCs w:val="16"/>
        </w:rPr>
        <w:softHyphen/>
      </w:r>
      <w:r w:rsidRPr="00E93F40">
        <w:rPr>
          <w:rStyle w:val="0pt0"/>
          <w:rFonts w:eastAsia="Arial"/>
          <w:b w:val="0"/>
          <w:color w:val="000000" w:themeColor="text1"/>
          <w:spacing w:val="0"/>
          <w:sz w:val="16"/>
          <w:szCs w:val="16"/>
        </w:rPr>
        <w:t>жив</w:t>
      </w:r>
      <w:r w:rsidRPr="00E93F40">
        <w:rPr>
          <w:rFonts w:ascii="Times New Roman" w:hAnsi="Times New Roman"/>
          <w:color w:val="000000" w:themeColor="text1"/>
          <w:sz w:val="16"/>
          <w:szCs w:val="16"/>
        </w:rPr>
        <w:t xml:space="preserve"> продать два Р-1 за 8-9 тыс. долл. Однако свободных самолётов в производстве </w:t>
      </w:r>
      <w:r w:rsidRPr="00E93F40">
        <w:rPr>
          <w:rStyle w:val="0pt0"/>
          <w:rFonts w:eastAsia="Arial"/>
          <w:b w:val="0"/>
          <w:color w:val="000000" w:themeColor="text1"/>
          <w:spacing w:val="0"/>
          <w:sz w:val="16"/>
          <w:szCs w:val="16"/>
        </w:rPr>
        <w:t>на</w:t>
      </w:r>
      <w:r w:rsidRPr="00E93F40">
        <w:rPr>
          <w:rFonts w:ascii="Times New Roman" w:hAnsi="Times New Roman"/>
          <w:color w:val="000000" w:themeColor="text1"/>
          <w:sz w:val="16"/>
          <w:szCs w:val="16"/>
        </w:rPr>
        <w:t xml:space="preserve"> авиазаводах ГУАПа не оказалось, и вновь обратились к Апкснису с просьбой «выделить из ВВС РККА для продажи 2 Р-1, стоимость которых Вам будет возмещена».</w:t>
      </w:r>
    </w:p>
    <w:p w14:paraId="42127EAF" w14:textId="77777777" w:rsidR="00D607A5" w:rsidRPr="00E93F40" w:rsidRDefault="00D607A5" w:rsidP="00E93F40">
      <w:pPr>
        <w:pStyle w:val="7"/>
        <w:shd w:val="clear" w:color="auto" w:fill="auto"/>
        <w:spacing w:line="240" w:lineRule="auto"/>
        <w:rPr>
          <w:rFonts w:ascii="Times New Roman" w:cs="Times New Roman"/>
          <w:color w:val="000000" w:themeColor="text1"/>
          <w:spacing w:val="0"/>
          <w:sz w:val="16"/>
          <w:szCs w:val="16"/>
        </w:rPr>
      </w:pPr>
      <w:r w:rsidRPr="00E93F40">
        <w:rPr>
          <w:rFonts w:ascii="Times New Roman" w:cs="Times New Roman"/>
          <w:color w:val="000000" w:themeColor="text1"/>
          <w:spacing w:val="0"/>
          <w:sz w:val="16"/>
          <w:szCs w:val="16"/>
        </w:rPr>
        <w:t>Реакцию Алксниса предвидеть было совсем нетрудно, но прямо «послать» он никого не мог и ответил достаточно тактично: «ВВС РККА новых самолётов Р-1 не имеет. Выделить же... из числа находящихся в эксплуатации абсолютно не представляется возможным».</w:t>
      </w:r>
    </w:p>
    <w:p w14:paraId="5A92C807"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отличие от самолётов техдокументацию УВВС предоставляло охотно. Когда китай</w:t>
      </w:r>
      <w:r w:rsidRPr="00E93F40">
        <w:rPr>
          <w:rFonts w:ascii="Times New Roman" w:hAnsi="Times New Roman"/>
          <w:color w:val="000000" w:themeColor="text1"/>
          <w:sz w:val="16"/>
          <w:szCs w:val="16"/>
        </w:rPr>
        <w:softHyphen/>
        <w:t>цы запросили техописания практически на все новые самолёты — Р-5, У-2, ТБ-1, Р-3, Р-6, И-3, И-4, И-5, И-Г (вероятно, истребитель Д.П. Григоровича) и моторы М-5, М-11, М-17, М-22, им «без звука» отгрузили по 5 экз. Для Синьцзяна не пожалели да</w:t>
      </w:r>
      <w:r w:rsidRPr="00E93F40">
        <w:rPr>
          <w:rFonts w:ascii="Times New Roman" w:hAnsi="Times New Roman"/>
          <w:color w:val="000000" w:themeColor="text1"/>
          <w:sz w:val="16"/>
          <w:szCs w:val="16"/>
        </w:rPr>
        <w:softHyphen/>
        <w:t>же собственных «секретов», выдав по два экземпляра секретных техописаний ТБ-1 и Р-6, всего лишь оговорив «особые условия» их использования за пределами СССР.</w:t>
      </w:r>
    </w:p>
    <w:p w14:paraId="4C10A72F" w14:textId="77777777" w:rsidR="00D607A5" w:rsidRPr="00E93F40" w:rsidRDefault="00D607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дальнейших поставках авиатехники точных данных нет, известна лишь стоимость выделенного в конце ноября 1932 г. авиационного вооружения: два пулемёта «Льюис», 2 тыс. 7,62-мм патронов и 500 металлических звеньев к пулемётным лентам, два бом- боприцела АП-2, 420 авиабомб А08 и 100 штук А016, общей стоимостью, включая два комплекта лыж к Р-1, 24 тыс. руб. (15802).</w:t>
      </w:r>
    </w:p>
    <w:p w14:paraId="35EA8C78" w14:textId="77777777" w:rsidR="00D607A5" w:rsidRPr="00E93F40" w:rsidRDefault="00D607A5" w:rsidP="00E93F40">
      <w:pPr>
        <w:spacing w:after="0" w:line="240" w:lineRule="auto"/>
        <w:jc w:val="both"/>
        <w:rPr>
          <w:rFonts w:ascii="Times New Roman" w:hAnsi="Times New Roman"/>
          <w:color w:val="000000" w:themeColor="text1"/>
          <w:sz w:val="16"/>
          <w:szCs w:val="16"/>
        </w:rPr>
      </w:pPr>
    </w:p>
    <w:p w14:paraId="7A4A20A5" w14:textId="77777777" w:rsidR="00C200E4" w:rsidRPr="00E93F40" w:rsidRDefault="00C200E4"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8D35906" w14:textId="77777777" w:rsidR="00C200E4" w:rsidRPr="00E93F40" w:rsidRDefault="00C200E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1EAA2BB" w14:textId="77777777" w:rsidR="00C200E4" w:rsidRPr="00E93F40" w:rsidRDefault="00C200E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осенне-зимний период 1932-33 г. была завершена подготовка к сооружению основных цехов моторного завода (будущего № 27). В тот же период происходила интенсивная подготовка к строительству теплоэнергоцентрали и водозабора на Волге. Зимой 1933 г. в Казани на Авиастрое впервые строительные работы не были свернуты из-за морозов. Из Магнитогорска прибыла бригада бетонщиков, которая обучила казанских строителей работе при минусовых температурах (24156).</w:t>
      </w:r>
    </w:p>
    <w:p w14:paraId="6171B580" w14:textId="77777777" w:rsidR="00C200E4" w:rsidRPr="00E93F40" w:rsidRDefault="00C200E4" w:rsidP="00E93F40">
      <w:pPr>
        <w:spacing w:after="0" w:line="240" w:lineRule="auto"/>
        <w:jc w:val="both"/>
        <w:rPr>
          <w:rFonts w:ascii="Times New Roman" w:hAnsi="Times New Roman"/>
          <w:color w:val="000000" w:themeColor="text1"/>
          <w:sz w:val="16"/>
          <w:szCs w:val="16"/>
        </w:rPr>
      </w:pPr>
    </w:p>
    <w:p w14:paraId="021B9BA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82E46A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587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октябрю 1932 ЦАГИ определил основные данные ТБ-6 - дина - 38 м, размах - 95 м, полетный вес - 70 т, масса конструкции - 31 т, в т.ч. 18 т молибденовых труб и 4 т прочих видов стали. 8 двигателей в крыле, 4 - в тандемных под крылом. 8 установок пушек и пулеметов, два дополнительных киля, шасси - полуубирающееся (7425, 19).</w:t>
      </w:r>
    </w:p>
    <w:p w14:paraId="36145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545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октябрю 1932 были готовы рабочие чертежи К-7 (70,215).</w:t>
      </w:r>
    </w:p>
    <w:p w14:paraId="503815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969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октябрю 1932 года. ХАЗОССом было закончено проектирование К-7 7М-34 - Тяжелого бомбовоза, вооруженного пулеметами ДА, 3-мя автоматическими пушками (20 мм) и бомбами; (хромомолибден.), конструкции, моноплан с двуххвостовой осуществляет идею размещения грузов преимущественно в крыле. 4-х колесное шасси с управляемыми передними колесами должно обеспечить хорошую маневренность на земле (3530,70-86).</w:t>
      </w:r>
    </w:p>
    <w:p w14:paraId="372889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314B4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октябрю 1932 г. в Ленинграде первый образец Г-63 был построен.</w:t>
      </w:r>
    </w:p>
    <w:p w14:paraId="6320A11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 г. П.И. Гроховский, выдал задание конструктору Б.Д. Урлапову на проектирование де</w:t>
      </w:r>
      <w:r w:rsidRPr="00E93F40">
        <w:rPr>
          <w:rFonts w:ascii="Times New Roman" w:hAnsi="Times New Roman"/>
          <w:color w:val="000000" w:themeColor="text1"/>
          <w:sz w:val="16"/>
          <w:szCs w:val="16"/>
        </w:rPr>
        <w:softHyphen/>
        <w:t>сантного планера. По заданию планер должен был буксироваться за самолетом Р-5 и перевозить 1700 кг груза или 17 де</w:t>
      </w:r>
      <w:r w:rsidRPr="00E93F40">
        <w:rPr>
          <w:rFonts w:ascii="Times New Roman" w:hAnsi="Times New Roman"/>
          <w:color w:val="000000" w:themeColor="text1"/>
          <w:sz w:val="16"/>
          <w:szCs w:val="16"/>
        </w:rPr>
        <w:softHyphen/>
        <w:t>сантников.</w:t>
      </w:r>
    </w:p>
    <w:p w14:paraId="75D14DE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Г-31 (первоначально Г-63) был свободнонесущим монопланом цельнодеревянной конструк</w:t>
      </w:r>
      <w:r w:rsidRPr="00E93F40">
        <w:rPr>
          <w:rFonts w:ascii="Times New Roman" w:hAnsi="Times New Roman"/>
          <w:color w:val="000000" w:themeColor="text1"/>
          <w:sz w:val="16"/>
          <w:szCs w:val="16"/>
        </w:rPr>
        <w:softHyphen/>
        <w:t>ции с неубираемым шасси с хвостовым костылем. Для размещения грузов предназначалось 16 ячеек размером 660 х 550 * 2100 мм, скомпонованных в центроплане. Такое размещение грузов обусловило применение толстых профилей ЦАГИ — 677, 678 и 679, с относительной толщиной 18%, в крыле. Носок центроплана был сделан из плексигласа и мог отки</w:t>
      </w:r>
      <w:r w:rsidRPr="00E93F40">
        <w:rPr>
          <w:rFonts w:ascii="Times New Roman" w:hAnsi="Times New Roman"/>
          <w:color w:val="000000" w:themeColor="text1"/>
          <w:sz w:val="16"/>
          <w:szCs w:val="16"/>
        </w:rPr>
        <w:softHyphen/>
        <w:t>дываться вверх, для проведения погрузочно-разгру- зочных работ. Крыло большого удлинения обеспечи</w:t>
      </w:r>
      <w:r w:rsidRPr="00E93F40">
        <w:rPr>
          <w:rFonts w:ascii="Times New Roman" w:hAnsi="Times New Roman"/>
          <w:color w:val="000000" w:themeColor="text1"/>
          <w:sz w:val="16"/>
          <w:szCs w:val="16"/>
        </w:rPr>
        <w:softHyphen/>
        <w:t>ло аппарату приличное аэродинамическое качество, достигавшее 28,6 единицы.</w:t>
      </w:r>
    </w:p>
    <w:p w14:paraId="79A60FC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 и хвостовая балка были максимально обжаты и в носу несли (в первом варианте) открытую кабину для одного пилота. Колеса шасси закрыва</w:t>
      </w:r>
      <w:r w:rsidRPr="00E93F40">
        <w:rPr>
          <w:rFonts w:ascii="Times New Roman" w:hAnsi="Times New Roman"/>
          <w:color w:val="000000" w:themeColor="text1"/>
          <w:sz w:val="16"/>
          <w:szCs w:val="16"/>
        </w:rPr>
        <w:softHyphen/>
        <w:t>лись обтекателями.</w:t>
      </w:r>
    </w:p>
    <w:p w14:paraId="72B8FB9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же месяце под Ленингра</w:t>
      </w:r>
      <w:r w:rsidRPr="00E93F40">
        <w:rPr>
          <w:rFonts w:ascii="Times New Roman" w:hAnsi="Times New Roman"/>
          <w:color w:val="000000" w:themeColor="text1"/>
          <w:sz w:val="16"/>
          <w:szCs w:val="16"/>
        </w:rPr>
        <w:softHyphen/>
        <w:t>дом планер облетал конструктор П.И. Гроховский. Дальнейшие испытания проходили в Москве и выпол</w:t>
      </w:r>
      <w:r w:rsidRPr="00E93F40">
        <w:rPr>
          <w:rFonts w:ascii="Times New Roman" w:hAnsi="Times New Roman"/>
          <w:color w:val="000000" w:themeColor="text1"/>
          <w:sz w:val="16"/>
          <w:szCs w:val="16"/>
        </w:rPr>
        <w:softHyphen/>
        <w:t>нялись пилотами В.А. Степанчёнком и Н.А. Нюхтико- вым. Вскоре в одном из полетов Г-63 потерпел ава</w:t>
      </w:r>
      <w:r w:rsidRPr="00E93F40">
        <w:rPr>
          <w:rFonts w:ascii="Times New Roman" w:hAnsi="Times New Roman"/>
          <w:color w:val="000000" w:themeColor="text1"/>
          <w:sz w:val="16"/>
          <w:szCs w:val="16"/>
        </w:rPr>
        <w:softHyphen/>
        <w:t>рию. В ходе ремонта, который был закончен в августе 1933 г., на планере смонтировали кабину для второ</w:t>
      </w:r>
      <w:r w:rsidRPr="00E93F40">
        <w:rPr>
          <w:rFonts w:ascii="Times New Roman" w:hAnsi="Times New Roman"/>
          <w:color w:val="000000" w:themeColor="text1"/>
          <w:sz w:val="16"/>
          <w:szCs w:val="16"/>
        </w:rPr>
        <w:softHyphen/>
        <w:t>го пилота, доработали систему управления, усилили шасси и т.д. После этого планеру присвоили обозна</w:t>
      </w:r>
      <w:r w:rsidRPr="00E93F40">
        <w:rPr>
          <w:rFonts w:ascii="Times New Roman" w:hAnsi="Times New Roman"/>
          <w:color w:val="000000" w:themeColor="text1"/>
          <w:sz w:val="16"/>
          <w:szCs w:val="16"/>
        </w:rPr>
        <w:softHyphen/>
        <w:t>чение «Г-31» (12300).</w:t>
      </w:r>
    </w:p>
    <w:p w14:paraId="3D97F09F" w14:textId="77777777" w:rsidR="00BC161D" w:rsidRPr="00E93F40" w:rsidRDefault="00BC161D" w:rsidP="00E93F40">
      <w:pPr>
        <w:spacing w:after="0" w:line="240" w:lineRule="auto"/>
        <w:jc w:val="both"/>
        <w:rPr>
          <w:rFonts w:ascii="Times New Roman" w:hAnsi="Times New Roman"/>
          <w:color w:val="000000" w:themeColor="text1"/>
          <w:sz w:val="16"/>
          <w:szCs w:val="16"/>
        </w:rPr>
      </w:pPr>
    </w:p>
    <w:p w14:paraId="08F6E2D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269659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06A31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началась постройка АНТ-25бис (514).</w:t>
      </w:r>
    </w:p>
    <w:p w14:paraId="24EBC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432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началась постройка АНТ-26 (ТБ-6) (514).</w:t>
      </w:r>
    </w:p>
    <w:p w14:paraId="7CB8F8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1B5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началась постройка АНТ-30 (СК-1), которая была снята с плана в 1935 (514).</w:t>
      </w:r>
    </w:p>
    <w:p w14:paraId="36605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1EE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НИИ ВВС послал в ЦАГИ отчет об испытании металлических винтов различных диаметров на И5 (1041).</w:t>
      </w:r>
    </w:p>
    <w:p w14:paraId="22A2F2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32C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было закончено проектирование ТБ-4 6М-34 (2287,52).</w:t>
      </w:r>
    </w:p>
    <w:p w14:paraId="16797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3BA20D" w14:textId="78360811"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 1 октября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согласно справки о состоянии работ по БОК-1: «Приступлено к сдаче в производство чертежей отъёмной части крыла. Закончен расчёт хвостовой части фюзеляжа и начинается конструктивная разработка. Закончен расчёт герметической кабины (2-й вариант) и разрабатывается её конструкция.</w:t>
      </w:r>
    </w:p>
    <w:p w14:paraId="26C4BB65" w14:textId="77777777"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При осуществлении этого проекта имеются трудности следующего порядка.</w:t>
      </w:r>
    </w:p>
    <w:p w14:paraId="6455D008" w14:textId="79038B44"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Отсутствие готового высотного мотора. Вопрос импеллера — новый вопрос и требует большой работы по его осуществлению.</w:t>
      </w:r>
    </w:p>
    <w:p w14:paraId="4B1AA18A" w14:textId="392ED419"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Отсутствие винта с поворотными лопастями. Необходимо решить задачу поворотной втулки к мотору М-34. Новизна вопроса и отсутствие опыта у нас требует специальных больших экспериментальных работ.</w:t>
      </w:r>
    </w:p>
    <w:p w14:paraId="57B414C8" w14:textId="08161DAE"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Отсутствие достаточного количества работников, что задерживает темп работ» </w:t>
      </w:r>
      <w:hyperlink r:id="rId234" w:history="1">
        <w:r w:rsidRPr="00E93F40">
          <w:rPr>
            <w:rFonts w:ascii="Times New Roman" w:eastAsia="Times New Roman" w:hAnsi="Times New Roman"/>
            <w:color w:val="000000" w:themeColor="text1"/>
            <w:sz w:val="16"/>
            <w:szCs w:val="16"/>
            <w:lang w:eastAsia="ru-RU"/>
          </w:rPr>
          <w:t>[165]</w:t>
        </w:r>
      </w:hyperlink>
      <w:r w:rsidRPr="00E93F40">
        <w:rPr>
          <w:rFonts w:ascii="Times New Roman" w:eastAsia="Times New Roman" w:hAnsi="Times New Roman"/>
          <w:color w:val="000000" w:themeColor="text1"/>
          <w:sz w:val="16"/>
          <w:szCs w:val="16"/>
          <w:lang w:eastAsia="ru-RU"/>
        </w:rPr>
        <w:t xml:space="preserve"> (17489).</w:t>
      </w:r>
    </w:p>
    <w:p w14:paraId="328E1AD8" w14:textId="77777777" w:rsidR="002A11F1" w:rsidRPr="00E93F40" w:rsidRDefault="002A11F1" w:rsidP="00E93F40">
      <w:pPr>
        <w:spacing w:after="0" w:line="240" w:lineRule="auto"/>
        <w:jc w:val="both"/>
        <w:rPr>
          <w:rFonts w:ascii="Times New Roman" w:eastAsia="Times New Roman" w:hAnsi="Times New Roman"/>
          <w:color w:val="000000" w:themeColor="text1"/>
          <w:sz w:val="16"/>
          <w:szCs w:val="16"/>
          <w:lang w:eastAsia="ru-RU"/>
        </w:rPr>
      </w:pPr>
    </w:p>
    <w:p w14:paraId="10A890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состоянии работ по опытному моторо- и самолетостроению на 1-ое октября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264"/>
      </w:tblGrid>
      <w:tr w:rsidR="00DA227A" w:rsidRPr="00E93F40" w14:paraId="23F62843" w14:textId="77777777">
        <w:tc>
          <w:tcPr>
            <w:tcW w:w="1024" w:type="dxa"/>
          </w:tcPr>
          <w:p w14:paraId="2DB4F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моторам.</w:t>
            </w:r>
          </w:p>
        </w:tc>
        <w:tc>
          <w:tcPr>
            <w:tcW w:w="1024" w:type="dxa"/>
          </w:tcPr>
          <w:p w14:paraId="127E0F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329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93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A8F3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66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80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A27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01A14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4521BA" w14:textId="77777777">
        <w:tc>
          <w:tcPr>
            <w:tcW w:w="1024" w:type="dxa"/>
          </w:tcPr>
          <w:p w14:paraId="357347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1024" w:type="dxa"/>
          </w:tcPr>
          <w:p w14:paraId="229D9C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w:t>
            </w:r>
          </w:p>
        </w:tc>
        <w:tc>
          <w:tcPr>
            <w:tcW w:w="1024" w:type="dxa"/>
          </w:tcPr>
          <w:p w14:paraId="1383E5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w:t>
            </w:r>
          </w:p>
        </w:tc>
        <w:tc>
          <w:tcPr>
            <w:tcW w:w="1024" w:type="dxa"/>
          </w:tcPr>
          <w:p w14:paraId="461AE4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w:t>
            </w:r>
          </w:p>
        </w:tc>
        <w:tc>
          <w:tcPr>
            <w:tcW w:w="1024" w:type="dxa"/>
          </w:tcPr>
          <w:p w14:paraId="10C517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w:t>
            </w:r>
          </w:p>
        </w:tc>
        <w:tc>
          <w:tcPr>
            <w:tcW w:w="1024" w:type="dxa"/>
          </w:tcPr>
          <w:p w14:paraId="7413F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w:t>
            </w:r>
          </w:p>
        </w:tc>
        <w:tc>
          <w:tcPr>
            <w:tcW w:w="1024" w:type="dxa"/>
          </w:tcPr>
          <w:p w14:paraId="3C5EF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w:t>
            </w:r>
          </w:p>
        </w:tc>
        <w:tc>
          <w:tcPr>
            <w:tcW w:w="1024" w:type="dxa"/>
          </w:tcPr>
          <w:p w14:paraId="225B5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w:t>
            </w:r>
          </w:p>
        </w:tc>
        <w:tc>
          <w:tcPr>
            <w:tcW w:w="2264" w:type="dxa"/>
          </w:tcPr>
          <w:p w14:paraId="25175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 октября 1932 года</w:t>
            </w:r>
          </w:p>
        </w:tc>
      </w:tr>
      <w:tr w:rsidR="00DA227A" w:rsidRPr="00E93F40" w14:paraId="79F01FBB" w14:textId="77777777">
        <w:tc>
          <w:tcPr>
            <w:tcW w:w="1024" w:type="dxa"/>
          </w:tcPr>
          <w:p w14:paraId="532B9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w:t>
            </w:r>
          </w:p>
        </w:tc>
        <w:tc>
          <w:tcPr>
            <w:tcW w:w="1024" w:type="dxa"/>
          </w:tcPr>
          <w:p w14:paraId="49DA47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w:t>
            </w:r>
          </w:p>
        </w:tc>
        <w:tc>
          <w:tcPr>
            <w:tcW w:w="1024" w:type="dxa"/>
          </w:tcPr>
          <w:p w14:paraId="55E96E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410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A65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кг</w:t>
            </w:r>
          </w:p>
        </w:tc>
        <w:tc>
          <w:tcPr>
            <w:tcW w:w="1024" w:type="dxa"/>
          </w:tcPr>
          <w:p w14:paraId="4BCCF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1024" w:type="dxa"/>
          </w:tcPr>
          <w:p w14:paraId="11A5A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357F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2264" w:type="dxa"/>
          </w:tcPr>
          <w:p w14:paraId="11620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FA8B0C" w14:textId="77777777">
        <w:tc>
          <w:tcPr>
            <w:tcW w:w="1024" w:type="dxa"/>
          </w:tcPr>
          <w:p w14:paraId="0BFE3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DD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52C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D43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25AC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5008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19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ABF6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w:t>
            </w:r>
          </w:p>
        </w:tc>
        <w:tc>
          <w:tcPr>
            <w:tcW w:w="2264" w:type="dxa"/>
          </w:tcPr>
          <w:p w14:paraId="411B57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DFEB7E" w14:textId="77777777">
        <w:tc>
          <w:tcPr>
            <w:tcW w:w="1024" w:type="dxa"/>
          </w:tcPr>
          <w:p w14:paraId="36B528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F61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C9C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D96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B43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E5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CD21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78B0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w:t>
            </w:r>
          </w:p>
        </w:tc>
        <w:tc>
          <w:tcPr>
            <w:tcW w:w="2264" w:type="dxa"/>
          </w:tcPr>
          <w:p w14:paraId="790CB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826F0F" w14:textId="77777777">
        <w:tc>
          <w:tcPr>
            <w:tcW w:w="1024" w:type="dxa"/>
          </w:tcPr>
          <w:p w14:paraId="075A42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98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9A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CD3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1B6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59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92F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C087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2264" w:type="dxa"/>
          </w:tcPr>
          <w:p w14:paraId="69097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979E1F" w14:textId="77777777">
        <w:tc>
          <w:tcPr>
            <w:tcW w:w="1024" w:type="dxa"/>
          </w:tcPr>
          <w:p w14:paraId="68EB5C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024" w:type="dxa"/>
          </w:tcPr>
          <w:p w14:paraId="283940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024" w:type="dxa"/>
          </w:tcPr>
          <w:p w14:paraId="376BDC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w:t>
            </w:r>
          </w:p>
        </w:tc>
        <w:tc>
          <w:tcPr>
            <w:tcW w:w="1024" w:type="dxa"/>
          </w:tcPr>
          <w:p w14:paraId="3FFA7D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1024" w:type="dxa"/>
          </w:tcPr>
          <w:p w14:paraId="07A3C5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w:t>
            </w:r>
          </w:p>
        </w:tc>
        <w:tc>
          <w:tcPr>
            <w:tcW w:w="1024" w:type="dxa"/>
          </w:tcPr>
          <w:p w14:paraId="30D91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0,75</w:t>
            </w:r>
          </w:p>
        </w:tc>
        <w:tc>
          <w:tcPr>
            <w:tcW w:w="1024" w:type="dxa"/>
          </w:tcPr>
          <w:p w14:paraId="13BC9A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570F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2264" w:type="dxa"/>
          </w:tcPr>
          <w:p w14:paraId="1AD06A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 внедряется в серийное производство на </w:t>
            </w:r>
          </w:p>
        </w:tc>
      </w:tr>
      <w:tr w:rsidR="00DA227A" w:rsidRPr="00E93F40" w14:paraId="5B1ED30F" w14:textId="77777777">
        <w:tc>
          <w:tcPr>
            <w:tcW w:w="1024" w:type="dxa"/>
          </w:tcPr>
          <w:p w14:paraId="7B99D9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7B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F194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E20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279D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4F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8F0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13A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08BD2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заводе N 24.</w:t>
            </w:r>
          </w:p>
        </w:tc>
      </w:tr>
      <w:tr w:rsidR="00DA227A" w:rsidRPr="00E93F40" w14:paraId="2B9433C3" w14:textId="77777777">
        <w:tc>
          <w:tcPr>
            <w:tcW w:w="1024" w:type="dxa"/>
          </w:tcPr>
          <w:p w14:paraId="4893C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w:t>
            </w:r>
          </w:p>
        </w:tc>
        <w:tc>
          <w:tcPr>
            <w:tcW w:w="1024" w:type="dxa"/>
          </w:tcPr>
          <w:p w14:paraId="68A91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A1E7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D3EA6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1024" w:type="dxa"/>
          </w:tcPr>
          <w:p w14:paraId="277A62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620</w:t>
            </w:r>
          </w:p>
        </w:tc>
        <w:tc>
          <w:tcPr>
            <w:tcW w:w="1024" w:type="dxa"/>
          </w:tcPr>
          <w:p w14:paraId="1D2FB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AFC0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40FD8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2264" w:type="dxa"/>
          </w:tcPr>
          <w:p w14:paraId="59EE71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вторично предъявлен на гос. испытания,</w:t>
            </w:r>
          </w:p>
        </w:tc>
      </w:tr>
      <w:tr w:rsidR="00DA227A" w:rsidRPr="00E93F40" w14:paraId="1E3576D0" w14:textId="77777777">
        <w:tc>
          <w:tcPr>
            <w:tcW w:w="1024" w:type="dxa"/>
          </w:tcPr>
          <w:p w14:paraId="6F928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CD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72B8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15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64CE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5C3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5B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19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312CC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т.к. первые испытания аннулированы из-за</w:t>
            </w:r>
          </w:p>
        </w:tc>
      </w:tr>
      <w:tr w:rsidR="00DA227A" w:rsidRPr="00E93F40" w14:paraId="6F0FBF77" w14:textId="77777777">
        <w:tc>
          <w:tcPr>
            <w:tcW w:w="1024" w:type="dxa"/>
          </w:tcPr>
          <w:p w14:paraId="041BB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A320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281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A6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F70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68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9D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F8B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1DF585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поломки задней крышки.</w:t>
            </w:r>
          </w:p>
        </w:tc>
      </w:tr>
      <w:tr w:rsidR="00DA227A" w:rsidRPr="00E93F40" w14:paraId="453095A8" w14:textId="77777777">
        <w:tc>
          <w:tcPr>
            <w:tcW w:w="1024" w:type="dxa"/>
          </w:tcPr>
          <w:p w14:paraId="4A312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tc>
        <w:tc>
          <w:tcPr>
            <w:tcW w:w="1024" w:type="dxa"/>
          </w:tcPr>
          <w:p w14:paraId="5B5EF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486C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2134A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1024" w:type="dxa"/>
          </w:tcPr>
          <w:p w14:paraId="7B296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024" w:type="dxa"/>
          </w:tcPr>
          <w:p w14:paraId="7DD9E5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2B44A4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3760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2264" w:type="dxa"/>
          </w:tcPr>
          <w:p w14:paraId="627BDF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Производится опытная нарезка шестерен</w:t>
            </w:r>
          </w:p>
        </w:tc>
      </w:tr>
      <w:tr w:rsidR="00DA227A" w:rsidRPr="00E93F40" w14:paraId="7A5CED19" w14:textId="77777777">
        <w:tc>
          <w:tcPr>
            <w:tcW w:w="1024" w:type="dxa"/>
          </w:tcPr>
          <w:p w14:paraId="73EA2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F6F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52D2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41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8B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70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989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0F6E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6D128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редуктора.</w:t>
            </w:r>
          </w:p>
        </w:tc>
      </w:tr>
      <w:tr w:rsidR="00DA227A" w:rsidRPr="00E93F40" w14:paraId="3C54E436" w14:textId="77777777">
        <w:tc>
          <w:tcPr>
            <w:tcW w:w="1024" w:type="dxa"/>
          </w:tcPr>
          <w:p w14:paraId="5A00C0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w:t>
            </w:r>
          </w:p>
        </w:tc>
        <w:tc>
          <w:tcPr>
            <w:tcW w:w="1024" w:type="dxa"/>
          </w:tcPr>
          <w:p w14:paraId="69E9E3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CBB6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D68E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1024" w:type="dxa"/>
          </w:tcPr>
          <w:p w14:paraId="4C6CB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w:t>
            </w:r>
          </w:p>
        </w:tc>
        <w:tc>
          <w:tcPr>
            <w:tcW w:w="1024" w:type="dxa"/>
          </w:tcPr>
          <w:p w14:paraId="01FE0D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A5989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27FBB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w:t>
            </w:r>
          </w:p>
        </w:tc>
        <w:tc>
          <w:tcPr>
            <w:tcW w:w="2264" w:type="dxa"/>
          </w:tcPr>
          <w:p w14:paraId="7FD57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в механической обработке.</w:t>
            </w:r>
          </w:p>
        </w:tc>
      </w:tr>
      <w:tr w:rsidR="00DA227A" w:rsidRPr="00E93F40" w14:paraId="5671CFD4" w14:textId="77777777">
        <w:tc>
          <w:tcPr>
            <w:tcW w:w="1024" w:type="dxa"/>
          </w:tcPr>
          <w:p w14:paraId="1FC3C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80AA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9C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4B1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FC44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E3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52E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DD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182B76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3EA23E" w14:textId="77777777">
        <w:tc>
          <w:tcPr>
            <w:tcW w:w="1024" w:type="dxa"/>
          </w:tcPr>
          <w:p w14:paraId="673EE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w:t>
            </w:r>
          </w:p>
        </w:tc>
        <w:tc>
          <w:tcPr>
            <w:tcW w:w="1024" w:type="dxa"/>
          </w:tcPr>
          <w:p w14:paraId="737248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25F2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1024" w:type="dxa"/>
          </w:tcPr>
          <w:p w14:paraId="17C6FA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 л.с.</w:t>
            </w:r>
          </w:p>
        </w:tc>
        <w:tc>
          <w:tcPr>
            <w:tcW w:w="1024" w:type="dxa"/>
          </w:tcPr>
          <w:p w14:paraId="479316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460</w:t>
            </w:r>
          </w:p>
        </w:tc>
        <w:tc>
          <w:tcPr>
            <w:tcW w:w="1024" w:type="dxa"/>
          </w:tcPr>
          <w:p w14:paraId="70DDB1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0,84</w:t>
            </w:r>
          </w:p>
        </w:tc>
        <w:tc>
          <w:tcPr>
            <w:tcW w:w="1024" w:type="dxa"/>
          </w:tcPr>
          <w:p w14:paraId="04027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6EB9A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w:t>
            </w:r>
          </w:p>
        </w:tc>
        <w:tc>
          <w:tcPr>
            <w:tcW w:w="2264" w:type="dxa"/>
          </w:tcPr>
          <w:p w14:paraId="63C1E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проходит заводские испытания.</w:t>
            </w:r>
          </w:p>
        </w:tc>
      </w:tr>
      <w:tr w:rsidR="00DA227A" w:rsidRPr="00E93F40" w14:paraId="60E2B6A2" w14:textId="77777777">
        <w:tc>
          <w:tcPr>
            <w:tcW w:w="1024" w:type="dxa"/>
          </w:tcPr>
          <w:p w14:paraId="1DE2EF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0EC0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0C70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22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57A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24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290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808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2089C8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CB1A3D" w14:textId="77777777">
        <w:tc>
          <w:tcPr>
            <w:tcW w:w="1024" w:type="dxa"/>
          </w:tcPr>
          <w:p w14:paraId="74853F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w:t>
            </w:r>
          </w:p>
        </w:tc>
        <w:tc>
          <w:tcPr>
            <w:tcW w:w="1024" w:type="dxa"/>
          </w:tcPr>
          <w:p w14:paraId="36D41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270E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w:t>
            </w:r>
          </w:p>
        </w:tc>
        <w:tc>
          <w:tcPr>
            <w:tcW w:w="1024" w:type="dxa"/>
          </w:tcPr>
          <w:p w14:paraId="416E9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660 л.с.</w:t>
            </w:r>
          </w:p>
        </w:tc>
        <w:tc>
          <w:tcPr>
            <w:tcW w:w="1024" w:type="dxa"/>
          </w:tcPr>
          <w:p w14:paraId="4BBAC0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1024" w:type="dxa"/>
          </w:tcPr>
          <w:p w14:paraId="5674A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w:t>
            </w:r>
          </w:p>
        </w:tc>
        <w:tc>
          <w:tcPr>
            <w:tcW w:w="1024" w:type="dxa"/>
          </w:tcPr>
          <w:p w14:paraId="53A9F0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3985F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2264" w:type="dxa"/>
          </w:tcPr>
          <w:p w14:paraId="63F71A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сборка мотора.</w:t>
            </w:r>
          </w:p>
        </w:tc>
      </w:tr>
      <w:tr w:rsidR="00DA227A" w:rsidRPr="00E93F40" w14:paraId="7A4ED876" w14:textId="77777777">
        <w:tc>
          <w:tcPr>
            <w:tcW w:w="1024" w:type="dxa"/>
          </w:tcPr>
          <w:p w14:paraId="1FBA56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9EC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517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DBD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E3B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9791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B70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28B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0E80B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ABB09D" w14:textId="77777777">
        <w:tc>
          <w:tcPr>
            <w:tcW w:w="1024" w:type="dxa"/>
          </w:tcPr>
          <w:p w14:paraId="3DD30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М-35</w:t>
            </w:r>
          </w:p>
        </w:tc>
        <w:tc>
          <w:tcPr>
            <w:tcW w:w="1024" w:type="dxa"/>
          </w:tcPr>
          <w:p w14:paraId="6510B7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D59E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BF39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 л.с.</w:t>
            </w:r>
          </w:p>
        </w:tc>
        <w:tc>
          <w:tcPr>
            <w:tcW w:w="1024" w:type="dxa"/>
          </w:tcPr>
          <w:p w14:paraId="1C49CE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1024" w:type="dxa"/>
          </w:tcPr>
          <w:p w14:paraId="568910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0,86</w:t>
            </w:r>
          </w:p>
        </w:tc>
        <w:tc>
          <w:tcPr>
            <w:tcW w:w="1024" w:type="dxa"/>
          </w:tcPr>
          <w:p w14:paraId="635508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5045D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2264" w:type="dxa"/>
          </w:tcPr>
          <w:p w14:paraId="23345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не строится т.к. не удовлетворяет</w:t>
            </w:r>
          </w:p>
        </w:tc>
      </w:tr>
      <w:tr w:rsidR="00DA227A" w:rsidRPr="00E93F40" w14:paraId="3AD875ED" w14:textId="77777777">
        <w:tc>
          <w:tcPr>
            <w:tcW w:w="1024" w:type="dxa"/>
          </w:tcPr>
          <w:p w14:paraId="17A34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CD25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1C1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4A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9CD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E25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B482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F50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7153E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тактическим требованиям.</w:t>
            </w:r>
          </w:p>
        </w:tc>
      </w:tr>
      <w:tr w:rsidR="00DA227A" w:rsidRPr="00E93F40" w14:paraId="60C3788A" w14:textId="77777777">
        <w:tc>
          <w:tcPr>
            <w:tcW w:w="1024" w:type="dxa"/>
          </w:tcPr>
          <w:p w14:paraId="1D30D1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М-44</w:t>
            </w:r>
          </w:p>
        </w:tc>
        <w:tc>
          <w:tcPr>
            <w:tcW w:w="1024" w:type="dxa"/>
          </w:tcPr>
          <w:p w14:paraId="74D48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183EAB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74371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л.с.</w:t>
            </w:r>
          </w:p>
        </w:tc>
        <w:tc>
          <w:tcPr>
            <w:tcW w:w="1024" w:type="dxa"/>
          </w:tcPr>
          <w:p w14:paraId="3154F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1024" w:type="dxa"/>
          </w:tcPr>
          <w:p w14:paraId="2338EC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0,75</w:t>
            </w:r>
          </w:p>
        </w:tc>
        <w:tc>
          <w:tcPr>
            <w:tcW w:w="1024" w:type="dxa"/>
          </w:tcPr>
          <w:p w14:paraId="59CE01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 м</w:t>
            </w:r>
          </w:p>
        </w:tc>
        <w:tc>
          <w:tcPr>
            <w:tcW w:w="1024" w:type="dxa"/>
          </w:tcPr>
          <w:p w14:paraId="4F1B14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2264" w:type="dxa"/>
          </w:tcPr>
          <w:p w14:paraId="5CF291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в механической обработке.</w:t>
            </w:r>
          </w:p>
        </w:tc>
      </w:tr>
      <w:tr w:rsidR="00DA227A" w:rsidRPr="00E93F40" w14:paraId="7E778588" w14:textId="77777777">
        <w:tc>
          <w:tcPr>
            <w:tcW w:w="1024" w:type="dxa"/>
          </w:tcPr>
          <w:p w14:paraId="45F43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244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92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DD6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CB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DFC0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EB61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0A47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31575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8643F0" w14:textId="77777777">
        <w:tc>
          <w:tcPr>
            <w:tcW w:w="1024" w:type="dxa"/>
          </w:tcPr>
          <w:p w14:paraId="4A4AA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w:t>
            </w:r>
          </w:p>
        </w:tc>
        <w:tc>
          <w:tcPr>
            <w:tcW w:w="1024" w:type="dxa"/>
          </w:tcPr>
          <w:p w14:paraId="2DCA06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A7A3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D280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 л.с.</w:t>
            </w:r>
          </w:p>
        </w:tc>
        <w:tc>
          <w:tcPr>
            <w:tcW w:w="1024" w:type="dxa"/>
          </w:tcPr>
          <w:p w14:paraId="04615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024" w:type="dxa"/>
          </w:tcPr>
          <w:p w14:paraId="269C6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884F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F62C1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2264" w:type="dxa"/>
          </w:tcPr>
          <w:p w14:paraId="0AAF5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в механической обработке.</w:t>
            </w:r>
          </w:p>
        </w:tc>
      </w:tr>
      <w:tr w:rsidR="00DA227A" w:rsidRPr="00E93F40" w14:paraId="24CB620F" w14:textId="77777777">
        <w:tc>
          <w:tcPr>
            <w:tcW w:w="1024" w:type="dxa"/>
          </w:tcPr>
          <w:p w14:paraId="2DE91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222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A0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462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E1D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F2E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5519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CDCE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267D02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FA83D0" w14:textId="77777777">
        <w:tc>
          <w:tcPr>
            <w:tcW w:w="1024" w:type="dxa"/>
          </w:tcPr>
          <w:p w14:paraId="297D9E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w:t>
            </w:r>
          </w:p>
        </w:tc>
        <w:tc>
          <w:tcPr>
            <w:tcW w:w="1024" w:type="dxa"/>
          </w:tcPr>
          <w:p w14:paraId="532394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16FC7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F0892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 л.с.</w:t>
            </w:r>
          </w:p>
        </w:tc>
        <w:tc>
          <w:tcPr>
            <w:tcW w:w="1024" w:type="dxa"/>
          </w:tcPr>
          <w:p w14:paraId="36E787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c>
          <w:tcPr>
            <w:tcW w:w="1024" w:type="dxa"/>
          </w:tcPr>
          <w:p w14:paraId="6B3F0F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D355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33764C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w:t>
            </w:r>
          </w:p>
        </w:tc>
        <w:tc>
          <w:tcPr>
            <w:tcW w:w="2264" w:type="dxa"/>
          </w:tcPr>
          <w:p w14:paraId="5C5C1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Разрабатывается конструкция.</w:t>
            </w:r>
          </w:p>
        </w:tc>
      </w:tr>
      <w:tr w:rsidR="00DA227A" w:rsidRPr="00E93F40" w14:paraId="1FB1C440" w14:textId="77777777">
        <w:tc>
          <w:tcPr>
            <w:tcW w:w="1024" w:type="dxa"/>
          </w:tcPr>
          <w:p w14:paraId="4C9FA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924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859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3EAF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EB5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F3AF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AC8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151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4C98D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B00C64" w14:textId="77777777">
        <w:tc>
          <w:tcPr>
            <w:tcW w:w="1024" w:type="dxa"/>
          </w:tcPr>
          <w:p w14:paraId="01C28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Н-2</w:t>
            </w:r>
          </w:p>
        </w:tc>
        <w:tc>
          <w:tcPr>
            <w:tcW w:w="1024" w:type="dxa"/>
          </w:tcPr>
          <w:p w14:paraId="1F955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ВНИДИ</w:t>
            </w:r>
          </w:p>
        </w:tc>
        <w:tc>
          <w:tcPr>
            <w:tcW w:w="1024" w:type="dxa"/>
          </w:tcPr>
          <w:p w14:paraId="407B7A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C22C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л.с.</w:t>
            </w:r>
          </w:p>
        </w:tc>
        <w:tc>
          <w:tcPr>
            <w:tcW w:w="1024" w:type="dxa"/>
          </w:tcPr>
          <w:p w14:paraId="3C67D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1024" w:type="dxa"/>
          </w:tcPr>
          <w:p w14:paraId="77D8F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1024" w:type="dxa"/>
          </w:tcPr>
          <w:p w14:paraId="58D8D3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112688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2264" w:type="dxa"/>
          </w:tcPr>
          <w:p w14:paraId="0E5AC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механическая обработка</w:t>
            </w:r>
          </w:p>
        </w:tc>
      </w:tr>
      <w:tr w:rsidR="00DA227A" w:rsidRPr="00E93F40" w14:paraId="58DEDE4F" w14:textId="77777777">
        <w:tc>
          <w:tcPr>
            <w:tcW w:w="1024" w:type="dxa"/>
          </w:tcPr>
          <w:p w14:paraId="18D82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F58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4B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198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B5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D33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FC9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53CB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56B781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деталей.</w:t>
            </w:r>
          </w:p>
        </w:tc>
      </w:tr>
      <w:tr w:rsidR="00DA227A" w:rsidRPr="00E93F40" w14:paraId="6A9C1FB7" w14:textId="77777777">
        <w:tc>
          <w:tcPr>
            <w:tcW w:w="1024" w:type="dxa"/>
          </w:tcPr>
          <w:p w14:paraId="79036F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w:t>
            </w:r>
          </w:p>
        </w:tc>
        <w:tc>
          <w:tcPr>
            <w:tcW w:w="1024" w:type="dxa"/>
          </w:tcPr>
          <w:p w14:paraId="13EA3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УИДВС</w:t>
            </w:r>
          </w:p>
        </w:tc>
        <w:tc>
          <w:tcPr>
            <w:tcW w:w="1024" w:type="dxa"/>
          </w:tcPr>
          <w:p w14:paraId="1A8B9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8A8D0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л.с.</w:t>
            </w:r>
          </w:p>
        </w:tc>
        <w:tc>
          <w:tcPr>
            <w:tcW w:w="1024" w:type="dxa"/>
          </w:tcPr>
          <w:p w14:paraId="7F6317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1024" w:type="dxa"/>
          </w:tcPr>
          <w:p w14:paraId="17835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2446C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4A5C66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2264" w:type="dxa"/>
          </w:tcPr>
          <w:p w14:paraId="55CE68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 опытный одноцилиндровый</w:t>
            </w:r>
          </w:p>
        </w:tc>
      </w:tr>
      <w:tr w:rsidR="00DA227A" w:rsidRPr="00E93F40" w14:paraId="4CBA8E63" w14:textId="77777777">
        <w:tc>
          <w:tcPr>
            <w:tcW w:w="1024" w:type="dxa"/>
          </w:tcPr>
          <w:p w14:paraId="0279A4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C3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EF7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ED1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321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C6C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E37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77C5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18D8B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показавший удовлетворительн.</w:t>
            </w:r>
          </w:p>
        </w:tc>
      </w:tr>
      <w:tr w:rsidR="00DA227A" w:rsidRPr="00E93F40" w14:paraId="0AEE4DCC" w14:textId="77777777">
        <w:tc>
          <w:tcPr>
            <w:tcW w:w="1024" w:type="dxa"/>
          </w:tcPr>
          <w:p w14:paraId="2BF53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418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DD1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AC4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954E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0C1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62E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41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149DF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постройка Н-3 не размещена</w:t>
            </w:r>
          </w:p>
        </w:tc>
      </w:tr>
      <w:tr w:rsidR="00DA227A" w:rsidRPr="00E93F40" w14:paraId="5A6E66D3" w14:textId="77777777">
        <w:tc>
          <w:tcPr>
            <w:tcW w:w="1024" w:type="dxa"/>
          </w:tcPr>
          <w:p w14:paraId="732B4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492F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E1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D21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8D5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ED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89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7C0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3FE54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промышленности.</w:t>
            </w:r>
          </w:p>
        </w:tc>
      </w:tr>
      <w:tr w:rsidR="00DA227A" w:rsidRPr="00E93F40" w14:paraId="5D56EEB3" w14:textId="77777777">
        <w:tc>
          <w:tcPr>
            <w:tcW w:w="1024" w:type="dxa"/>
          </w:tcPr>
          <w:p w14:paraId="586B8B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Н-4</w:t>
            </w:r>
          </w:p>
        </w:tc>
        <w:tc>
          <w:tcPr>
            <w:tcW w:w="1024" w:type="dxa"/>
          </w:tcPr>
          <w:p w14:paraId="30CB59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8A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475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FA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0B9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F9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E52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E2C1C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50D797" w14:textId="77777777">
        <w:tc>
          <w:tcPr>
            <w:tcW w:w="1024" w:type="dxa"/>
          </w:tcPr>
          <w:p w14:paraId="6B102E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(двухтактный)</w:t>
            </w:r>
          </w:p>
        </w:tc>
        <w:tc>
          <w:tcPr>
            <w:tcW w:w="1024" w:type="dxa"/>
          </w:tcPr>
          <w:p w14:paraId="66DF7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w:t>
            </w:r>
          </w:p>
        </w:tc>
        <w:tc>
          <w:tcPr>
            <w:tcW w:w="1024" w:type="dxa"/>
          </w:tcPr>
          <w:p w14:paraId="269B97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A1E0A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л.с.</w:t>
            </w:r>
          </w:p>
        </w:tc>
        <w:tc>
          <w:tcPr>
            <w:tcW w:w="1024" w:type="dxa"/>
          </w:tcPr>
          <w:p w14:paraId="2D744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024" w:type="dxa"/>
          </w:tcPr>
          <w:p w14:paraId="609B22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024" w:type="dxa"/>
          </w:tcPr>
          <w:p w14:paraId="3A94FF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 м</w:t>
            </w:r>
          </w:p>
        </w:tc>
        <w:tc>
          <w:tcPr>
            <w:tcW w:w="1024" w:type="dxa"/>
          </w:tcPr>
          <w:p w14:paraId="012835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2264" w:type="dxa"/>
          </w:tcPr>
          <w:p w14:paraId="7E917C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Строится опытный одноцилиндровый</w:t>
            </w:r>
          </w:p>
        </w:tc>
      </w:tr>
      <w:tr w:rsidR="00DA227A" w:rsidRPr="00E93F40" w14:paraId="503A7B3F" w14:textId="77777777">
        <w:tc>
          <w:tcPr>
            <w:tcW w:w="1024" w:type="dxa"/>
          </w:tcPr>
          <w:p w14:paraId="6E6B8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C831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1D97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A1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B2F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8C4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5AB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75C1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658C3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r>
      <w:tr w:rsidR="00DA227A" w:rsidRPr="00E93F40" w14:paraId="369B40E4" w14:textId="77777777">
        <w:tc>
          <w:tcPr>
            <w:tcW w:w="1024" w:type="dxa"/>
          </w:tcPr>
          <w:p w14:paraId="6E970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Н-5</w:t>
            </w:r>
          </w:p>
        </w:tc>
        <w:tc>
          <w:tcPr>
            <w:tcW w:w="1024" w:type="dxa"/>
          </w:tcPr>
          <w:p w14:paraId="332D6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c>
          <w:tcPr>
            <w:tcW w:w="1024" w:type="dxa"/>
          </w:tcPr>
          <w:p w14:paraId="70B26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8440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л.с.</w:t>
            </w:r>
          </w:p>
        </w:tc>
        <w:tc>
          <w:tcPr>
            <w:tcW w:w="1024" w:type="dxa"/>
          </w:tcPr>
          <w:p w14:paraId="345C2B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1024" w:type="dxa"/>
          </w:tcPr>
          <w:p w14:paraId="4EF54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024" w:type="dxa"/>
          </w:tcPr>
          <w:p w14:paraId="334014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 м</w:t>
            </w:r>
          </w:p>
        </w:tc>
        <w:tc>
          <w:tcPr>
            <w:tcW w:w="1024" w:type="dxa"/>
          </w:tcPr>
          <w:p w14:paraId="3C720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2264" w:type="dxa"/>
          </w:tcPr>
          <w:p w14:paraId="7D3007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механическая обработка.</w:t>
            </w:r>
          </w:p>
        </w:tc>
      </w:tr>
      <w:tr w:rsidR="00DA227A" w:rsidRPr="00E93F40" w14:paraId="2E7B329E" w14:textId="77777777">
        <w:tc>
          <w:tcPr>
            <w:tcW w:w="1024" w:type="dxa"/>
          </w:tcPr>
          <w:p w14:paraId="7D152A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0FD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ОГПУ</w:t>
            </w:r>
          </w:p>
        </w:tc>
        <w:tc>
          <w:tcPr>
            <w:tcW w:w="1024" w:type="dxa"/>
          </w:tcPr>
          <w:p w14:paraId="6A16C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6E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1A3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49C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952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D09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76B23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3AC064" w14:textId="77777777">
        <w:tc>
          <w:tcPr>
            <w:tcW w:w="1024" w:type="dxa"/>
          </w:tcPr>
          <w:p w14:paraId="4751A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Н-6</w:t>
            </w:r>
          </w:p>
        </w:tc>
        <w:tc>
          <w:tcPr>
            <w:tcW w:w="1024" w:type="dxa"/>
          </w:tcPr>
          <w:p w14:paraId="21F85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FB9A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1024" w:type="dxa"/>
          </w:tcPr>
          <w:p w14:paraId="1FAAB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л.с.</w:t>
            </w:r>
          </w:p>
        </w:tc>
        <w:tc>
          <w:tcPr>
            <w:tcW w:w="1024" w:type="dxa"/>
          </w:tcPr>
          <w:p w14:paraId="72DAC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w:t>
            </w:r>
          </w:p>
        </w:tc>
        <w:tc>
          <w:tcPr>
            <w:tcW w:w="1024" w:type="dxa"/>
          </w:tcPr>
          <w:p w14:paraId="4D1BB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C95CA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 м</w:t>
            </w:r>
          </w:p>
        </w:tc>
        <w:tc>
          <w:tcPr>
            <w:tcW w:w="1024" w:type="dxa"/>
          </w:tcPr>
          <w:p w14:paraId="599700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2264" w:type="dxa"/>
          </w:tcPr>
          <w:p w14:paraId="10F35C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разработка проекта.</w:t>
            </w:r>
          </w:p>
        </w:tc>
      </w:tr>
      <w:tr w:rsidR="00DA227A" w:rsidRPr="00E93F40" w14:paraId="04236D4C" w14:textId="77777777">
        <w:tc>
          <w:tcPr>
            <w:tcW w:w="1024" w:type="dxa"/>
          </w:tcPr>
          <w:p w14:paraId="5FF399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(двухтактный)</w:t>
            </w:r>
          </w:p>
        </w:tc>
        <w:tc>
          <w:tcPr>
            <w:tcW w:w="1024" w:type="dxa"/>
          </w:tcPr>
          <w:p w14:paraId="1F533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2266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CF8B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223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30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87A9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A3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367E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Производственной базой мотор не обеспечен.</w:t>
            </w:r>
          </w:p>
        </w:tc>
      </w:tr>
      <w:tr w:rsidR="00DA227A" w:rsidRPr="00E93F40" w14:paraId="142F8586" w14:textId="77777777">
        <w:tc>
          <w:tcPr>
            <w:tcW w:w="1024" w:type="dxa"/>
          </w:tcPr>
          <w:p w14:paraId="5E24AA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буквой "Н" обозначены нефтяные моторы.</w:t>
            </w:r>
          </w:p>
        </w:tc>
        <w:tc>
          <w:tcPr>
            <w:tcW w:w="1024" w:type="dxa"/>
          </w:tcPr>
          <w:p w14:paraId="3FBDB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281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63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86DE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9F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6B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C1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6EECF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369A19" w14:textId="77777777">
        <w:tc>
          <w:tcPr>
            <w:tcW w:w="1024" w:type="dxa"/>
          </w:tcPr>
          <w:p w14:paraId="7E222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Особые двигатели.</w:t>
            </w:r>
          </w:p>
        </w:tc>
        <w:tc>
          <w:tcPr>
            <w:tcW w:w="1024" w:type="dxa"/>
          </w:tcPr>
          <w:p w14:paraId="7F81C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3AD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DE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88A0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8C0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A1C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A97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27A8C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D71C0C" w14:textId="77777777">
        <w:tc>
          <w:tcPr>
            <w:tcW w:w="1024" w:type="dxa"/>
          </w:tcPr>
          <w:p w14:paraId="53C25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Паровая</w:t>
            </w:r>
          </w:p>
        </w:tc>
        <w:tc>
          <w:tcPr>
            <w:tcW w:w="1024" w:type="dxa"/>
          </w:tcPr>
          <w:p w14:paraId="629E7E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Турбо</w:t>
            </w:r>
          </w:p>
        </w:tc>
        <w:tc>
          <w:tcPr>
            <w:tcW w:w="1024" w:type="dxa"/>
          </w:tcPr>
          <w:p w14:paraId="75761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E76A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 л.с.</w:t>
            </w:r>
          </w:p>
        </w:tc>
        <w:tc>
          <w:tcPr>
            <w:tcW w:w="1024" w:type="dxa"/>
          </w:tcPr>
          <w:p w14:paraId="3934B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тн</w:t>
            </w:r>
          </w:p>
        </w:tc>
        <w:tc>
          <w:tcPr>
            <w:tcW w:w="1024" w:type="dxa"/>
          </w:tcPr>
          <w:p w14:paraId="37A034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024" w:type="dxa"/>
          </w:tcPr>
          <w:p w14:paraId="180726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 м</w:t>
            </w:r>
          </w:p>
        </w:tc>
        <w:tc>
          <w:tcPr>
            <w:tcW w:w="1024" w:type="dxa"/>
          </w:tcPr>
          <w:p w14:paraId="65631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w:t>
            </w:r>
          </w:p>
        </w:tc>
        <w:tc>
          <w:tcPr>
            <w:tcW w:w="2264" w:type="dxa"/>
          </w:tcPr>
          <w:p w14:paraId="25EA69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проект и поверочный расчет.</w:t>
            </w:r>
          </w:p>
        </w:tc>
      </w:tr>
      <w:tr w:rsidR="00DA227A" w:rsidRPr="00E93F40" w14:paraId="0697AE54" w14:textId="77777777">
        <w:tc>
          <w:tcPr>
            <w:tcW w:w="1024" w:type="dxa"/>
          </w:tcPr>
          <w:p w14:paraId="535BC7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турбина</w:t>
            </w:r>
          </w:p>
        </w:tc>
        <w:tc>
          <w:tcPr>
            <w:tcW w:w="1024" w:type="dxa"/>
          </w:tcPr>
          <w:p w14:paraId="02F25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строй</w:t>
            </w:r>
          </w:p>
        </w:tc>
        <w:tc>
          <w:tcPr>
            <w:tcW w:w="1024" w:type="dxa"/>
          </w:tcPr>
          <w:p w14:paraId="257406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1AD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C10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B8CC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AA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A1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66EF54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Договор с промышленностью заключен.</w:t>
            </w:r>
          </w:p>
        </w:tc>
      </w:tr>
      <w:tr w:rsidR="00DA227A" w:rsidRPr="00E93F40" w14:paraId="0A6CFE61" w14:textId="77777777">
        <w:tc>
          <w:tcPr>
            <w:tcW w:w="1024" w:type="dxa"/>
          </w:tcPr>
          <w:p w14:paraId="040792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1C4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Харьков</w:t>
            </w:r>
          </w:p>
        </w:tc>
        <w:tc>
          <w:tcPr>
            <w:tcW w:w="1024" w:type="dxa"/>
          </w:tcPr>
          <w:p w14:paraId="40359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E52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47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670E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B1CE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C41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3E6A2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151433" w14:textId="77777777">
        <w:tc>
          <w:tcPr>
            <w:tcW w:w="1024" w:type="dxa"/>
          </w:tcPr>
          <w:p w14:paraId="126772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Внеплановые работы:</w:t>
            </w:r>
          </w:p>
        </w:tc>
        <w:tc>
          <w:tcPr>
            <w:tcW w:w="1024" w:type="dxa"/>
          </w:tcPr>
          <w:p w14:paraId="25B2D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616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CF6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CFB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D7A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30DB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6885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75D8DF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56EA3B" w14:textId="77777777">
        <w:tc>
          <w:tcPr>
            <w:tcW w:w="1024" w:type="dxa"/>
          </w:tcPr>
          <w:p w14:paraId="6FB499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М-51</w:t>
            </w:r>
          </w:p>
        </w:tc>
        <w:tc>
          <w:tcPr>
            <w:tcW w:w="1024" w:type="dxa"/>
          </w:tcPr>
          <w:p w14:paraId="7E75A8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p>
        </w:tc>
        <w:tc>
          <w:tcPr>
            <w:tcW w:w="1024" w:type="dxa"/>
          </w:tcPr>
          <w:p w14:paraId="02C18A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1024" w:type="dxa"/>
          </w:tcPr>
          <w:p w14:paraId="55E3C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 л.с.</w:t>
            </w:r>
          </w:p>
        </w:tc>
        <w:tc>
          <w:tcPr>
            <w:tcW w:w="1024" w:type="dxa"/>
          </w:tcPr>
          <w:p w14:paraId="1EA0DA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w:t>
            </w:r>
          </w:p>
        </w:tc>
        <w:tc>
          <w:tcPr>
            <w:tcW w:w="1024" w:type="dxa"/>
          </w:tcPr>
          <w:p w14:paraId="1BE5E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c>
          <w:tcPr>
            <w:tcW w:w="1024" w:type="dxa"/>
          </w:tcPr>
          <w:p w14:paraId="5D2486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D4E04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2264" w:type="dxa"/>
          </w:tcPr>
          <w:p w14:paraId="1511F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предъявлен на гос. испытания.</w:t>
            </w:r>
          </w:p>
        </w:tc>
      </w:tr>
      <w:tr w:rsidR="00DA227A" w:rsidRPr="00E93F40" w14:paraId="6BB9C2E9" w14:textId="77777777">
        <w:tc>
          <w:tcPr>
            <w:tcW w:w="1024" w:type="dxa"/>
          </w:tcPr>
          <w:p w14:paraId="5D64C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модификация</w:t>
            </w:r>
          </w:p>
        </w:tc>
        <w:tc>
          <w:tcPr>
            <w:tcW w:w="1024" w:type="dxa"/>
          </w:tcPr>
          <w:p w14:paraId="7F6026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 29</w:t>
            </w:r>
          </w:p>
        </w:tc>
        <w:tc>
          <w:tcPr>
            <w:tcW w:w="1024" w:type="dxa"/>
          </w:tcPr>
          <w:p w14:paraId="26B514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DF2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F37C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FF2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8286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647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505F1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EF25AB" w14:textId="77777777">
        <w:tc>
          <w:tcPr>
            <w:tcW w:w="1024" w:type="dxa"/>
          </w:tcPr>
          <w:p w14:paraId="50775D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М-11</w:t>
            </w:r>
          </w:p>
        </w:tc>
        <w:tc>
          <w:tcPr>
            <w:tcW w:w="1024" w:type="dxa"/>
          </w:tcPr>
          <w:p w14:paraId="0E3C9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955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7276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4A4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4CC2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FE1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0BD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F48D3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C5E2D8" w14:textId="77777777">
        <w:tc>
          <w:tcPr>
            <w:tcW w:w="1024" w:type="dxa"/>
          </w:tcPr>
          <w:p w14:paraId="6C84D3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М-48</w:t>
            </w:r>
          </w:p>
        </w:tc>
        <w:tc>
          <w:tcPr>
            <w:tcW w:w="1024" w:type="dxa"/>
          </w:tcPr>
          <w:p w14:paraId="3EA77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A0186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79B91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 л.с.</w:t>
            </w:r>
          </w:p>
        </w:tc>
        <w:tc>
          <w:tcPr>
            <w:tcW w:w="1024" w:type="dxa"/>
          </w:tcPr>
          <w:p w14:paraId="563CD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1024" w:type="dxa"/>
          </w:tcPr>
          <w:p w14:paraId="76D59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B72C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C567F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w:t>
            </w:r>
          </w:p>
        </w:tc>
        <w:tc>
          <w:tcPr>
            <w:tcW w:w="2264" w:type="dxa"/>
          </w:tcPr>
          <w:p w14:paraId="1D772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Проходит заводские испытания.</w:t>
            </w:r>
          </w:p>
        </w:tc>
      </w:tr>
      <w:tr w:rsidR="00DA227A" w:rsidRPr="00E93F40" w14:paraId="57E3464B" w14:textId="77777777">
        <w:tc>
          <w:tcPr>
            <w:tcW w:w="1024" w:type="dxa"/>
          </w:tcPr>
          <w:p w14:paraId="659C74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301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98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0BB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1C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59C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D4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50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67202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0537D8" w14:textId="77777777">
        <w:tc>
          <w:tcPr>
            <w:tcW w:w="1024" w:type="dxa"/>
          </w:tcPr>
          <w:p w14:paraId="450C8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М-22у</w:t>
            </w:r>
          </w:p>
        </w:tc>
        <w:tc>
          <w:tcPr>
            <w:tcW w:w="1024" w:type="dxa"/>
          </w:tcPr>
          <w:p w14:paraId="0DC1BE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CB5F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CCA2E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630 л.с.</w:t>
            </w:r>
          </w:p>
        </w:tc>
        <w:tc>
          <w:tcPr>
            <w:tcW w:w="1024" w:type="dxa"/>
          </w:tcPr>
          <w:p w14:paraId="0361F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420</w:t>
            </w:r>
          </w:p>
        </w:tc>
        <w:tc>
          <w:tcPr>
            <w:tcW w:w="1024" w:type="dxa"/>
          </w:tcPr>
          <w:p w14:paraId="6091FD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BBDBA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18B051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2264" w:type="dxa"/>
          </w:tcPr>
          <w:p w14:paraId="3F373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заканчивает сборку. 20 октября</w:t>
            </w:r>
          </w:p>
        </w:tc>
      </w:tr>
      <w:tr w:rsidR="009D12BD" w:rsidRPr="00E93F40" w14:paraId="383D4D55" w14:textId="77777777">
        <w:tc>
          <w:tcPr>
            <w:tcW w:w="1024" w:type="dxa"/>
          </w:tcPr>
          <w:p w14:paraId="743C38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546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28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A1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12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205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15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AB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540E00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встанет на заводские испытания.</w:t>
            </w:r>
          </w:p>
        </w:tc>
      </w:tr>
    </w:tbl>
    <w:p w14:paraId="22CC9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3883"/>
      </w:tblGrid>
      <w:tr w:rsidR="00DA227A" w:rsidRPr="00E93F40" w14:paraId="56BBBE43" w14:textId="77777777">
        <w:tc>
          <w:tcPr>
            <w:tcW w:w="939" w:type="dxa"/>
          </w:tcPr>
          <w:p w14:paraId="1DD1C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 самолетам (морским).</w:t>
            </w:r>
          </w:p>
        </w:tc>
        <w:tc>
          <w:tcPr>
            <w:tcW w:w="939" w:type="dxa"/>
          </w:tcPr>
          <w:p w14:paraId="145599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EB1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FCC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4A44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45A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3157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EF3B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BC3D47" w14:textId="77777777">
        <w:tc>
          <w:tcPr>
            <w:tcW w:w="939" w:type="dxa"/>
          </w:tcPr>
          <w:p w14:paraId="7B7EF9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939" w:type="dxa"/>
          </w:tcPr>
          <w:p w14:paraId="5126B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w:t>
            </w:r>
          </w:p>
        </w:tc>
        <w:tc>
          <w:tcPr>
            <w:tcW w:w="939" w:type="dxa"/>
          </w:tcPr>
          <w:p w14:paraId="566CB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w:t>
            </w:r>
          </w:p>
        </w:tc>
        <w:tc>
          <w:tcPr>
            <w:tcW w:w="939" w:type="dxa"/>
          </w:tcPr>
          <w:p w14:paraId="22DAF6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c>
          <w:tcPr>
            <w:tcW w:w="939" w:type="dxa"/>
          </w:tcPr>
          <w:p w14:paraId="4537D4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939" w:type="dxa"/>
          </w:tcPr>
          <w:p w14:paraId="09E2DC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w:t>
            </w:r>
          </w:p>
        </w:tc>
        <w:tc>
          <w:tcPr>
            <w:tcW w:w="939" w:type="dxa"/>
          </w:tcPr>
          <w:p w14:paraId="5F257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w:t>
            </w:r>
          </w:p>
        </w:tc>
        <w:tc>
          <w:tcPr>
            <w:tcW w:w="3883" w:type="dxa"/>
          </w:tcPr>
          <w:p w14:paraId="3C334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 октября 1932 года.</w:t>
            </w:r>
          </w:p>
        </w:tc>
      </w:tr>
      <w:tr w:rsidR="00DA227A" w:rsidRPr="00E93F40" w14:paraId="707CE041" w14:textId="77777777">
        <w:tc>
          <w:tcPr>
            <w:tcW w:w="939" w:type="dxa"/>
          </w:tcPr>
          <w:p w14:paraId="71879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w:t>
            </w:r>
          </w:p>
        </w:tc>
        <w:tc>
          <w:tcPr>
            <w:tcW w:w="939" w:type="dxa"/>
          </w:tcPr>
          <w:p w14:paraId="7A9217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w:t>
            </w:r>
          </w:p>
        </w:tc>
        <w:tc>
          <w:tcPr>
            <w:tcW w:w="939" w:type="dxa"/>
          </w:tcPr>
          <w:p w14:paraId="51A4F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939" w:type="dxa"/>
          </w:tcPr>
          <w:p w14:paraId="40E541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17E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DE2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w:t>
            </w:r>
          </w:p>
        </w:tc>
        <w:tc>
          <w:tcPr>
            <w:tcW w:w="939" w:type="dxa"/>
          </w:tcPr>
          <w:p w14:paraId="3BC54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w:t>
            </w:r>
          </w:p>
        </w:tc>
        <w:tc>
          <w:tcPr>
            <w:tcW w:w="3883" w:type="dxa"/>
          </w:tcPr>
          <w:p w14:paraId="195F1A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E0F478" w14:textId="77777777">
        <w:tc>
          <w:tcPr>
            <w:tcW w:w="939" w:type="dxa"/>
          </w:tcPr>
          <w:p w14:paraId="01B41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61B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CCE1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 на</w:t>
            </w:r>
          </w:p>
        </w:tc>
        <w:tc>
          <w:tcPr>
            <w:tcW w:w="939" w:type="dxa"/>
          </w:tcPr>
          <w:p w14:paraId="22FBFE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4EF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13BD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696E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w:t>
            </w:r>
          </w:p>
        </w:tc>
        <w:tc>
          <w:tcPr>
            <w:tcW w:w="3883" w:type="dxa"/>
          </w:tcPr>
          <w:p w14:paraId="08AE1E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9363B2" w14:textId="77777777">
        <w:tc>
          <w:tcPr>
            <w:tcW w:w="939" w:type="dxa"/>
          </w:tcPr>
          <w:p w14:paraId="430F70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597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713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высоте</w:t>
            </w:r>
          </w:p>
        </w:tc>
        <w:tc>
          <w:tcPr>
            <w:tcW w:w="939" w:type="dxa"/>
          </w:tcPr>
          <w:p w14:paraId="7B10BA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CD27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5F88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F3E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3883" w:type="dxa"/>
          </w:tcPr>
          <w:p w14:paraId="5E1BB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13B69A" w14:textId="77777777">
        <w:tc>
          <w:tcPr>
            <w:tcW w:w="939" w:type="dxa"/>
          </w:tcPr>
          <w:p w14:paraId="566486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МДР3-4М17</w:t>
            </w:r>
          </w:p>
        </w:tc>
        <w:tc>
          <w:tcPr>
            <w:tcW w:w="939" w:type="dxa"/>
          </w:tcPr>
          <w:p w14:paraId="697D00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939" w:type="dxa"/>
          </w:tcPr>
          <w:p w14:paraId="7B8A4F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939" w:type="dxa"/>
          </w:tcPr>
          <w:p w14:paraId="0417C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4500-5000</w:t>
            </w:r>
          </w:p>
        </w:tc>
        <w:tc>
          <w:tcPr>
            <w:tcW w:w="939" w:type="dxa"/>
          </w:tcPr>
          <w:p w14:paraId="205F42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w:t>
            </w:r>
          </w:p>
        </w:tc>
        <w:tc>
          <w:tcPr>
            <w:tcW w:w="939" w:type="dxa"/>
          </w:tcPr>
          <w:p w14:paraId="019332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1000-1200</w:t>
            </w:r>
          </w:p>
        </w:tc>
        <w:tc>
          <w:tcPr>
            <w:tcW w:w="939" w:type="dxa"/>
          </w:tcPr>
          <w:p w14:paraId="07082B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Pr>
          <w:p w14:paraId="5F83A3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Предложение НИИ ВВС о доводке и </w:t>
            </w:r>
          </w:p>
        </w:tc>
      </w:tr>
      <w:tr w:rsidR="00DA227A" w:rsidRPr="00E93F40" w14:paraId="5CFC16E1" w14:textId="77777777">
        <w:tc>
          <w:tcPr>
            <w:tcW w:w="939" w:type="dxa"/>
          </w:tcPr>
          <w:p w14:paraId="075118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127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58F69E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08398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45ED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автопуш.</w:t>
            </w:r>
          </w:p>
        </w:tc>
        <w:tc>
          <w:tcPr>
            <w:tcW w:w="939" w:type="dxa"/>
          </w:tcPr>
          <w:p w14:paraId="4CC61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F3D8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3883" w:type="dxa"/>
          </w:tcPr>
          <w:p w14:paraId="56B446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переделке самолета экземпляра, прошедш.</w:t>
            </w:r>
          </w:p>
        </w:tc>
      </w:tr>
      <w:tr w:rsidR="00DA227A" w:rsidRPr="00E93F40" w14:paraId="2AF7555C" w14:textId="77777777">
        <w:tc>
          <w:tcPr>
            <w:tcW w:w="939" w:type="dxa"/>
          </w:tcPr>
          <w:p w14:paraId="4E069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1A9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2A6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0F7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E79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кг бомб</w:t>
            </w:r>
          </w:p>
        </w:tc>
        <w:tc>
          <w:tcPr>
            <w:tcW w:w="939" w:type="dxa"/>
          </w:tcPr>
          <w:p w14:paraId="67A0D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5AFE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вторич.</w:t>
            </w:r>
          </w:p>
        </w:tc>
        <w:tc>
          <w:tcPr>
            <w:tcW w:w="3883" w:type="dxa"/>
          </w:tcPr>
          <w:p w14:paraId="3AD22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 командованием ВВС не разрешено в</w:t>
            </w:r>
          </w:p>
        </w:tc>
      </w:tr>
      <w:tr w:rsidR="00DA227A" w:rsidRPr="00E93F40" w14:paraId="5A1664F3" w14:textId="77777777">
        <w:tc>
          <w:tcPr>
            <w:tcW w:w="939" w:type="dxa"/>
          </w:tcPr>
          <w:p w14:paraId="6D927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78E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4BE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74C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2A6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22C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4BD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w:t>
            </w:r>
          </w:p>
        </w:tc>
        <w:tc>
          <w:tcPr>
            <w:tcW w:w="3883" w:type="dxa"/>
          </w:tcPr>
          <w:p w14:paraId="61822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окончательной форме. Постановление</w:t>
            </w:r>
          </w:p>
        </w:tc>
      </w:tr>
      <w:tr w:rsidR="00DA227A" w:rsidRPr="00E93F40" w14:paraId="50481EA5" w14:textId="77777777">
        <w:tc>
          <w:tcPr>
            <w:tcW w:w="939" w:type="dxa"/>
          </w:tcPr>
          <w:p w14:paraId="282BA5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82B1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CE6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D9A9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38A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856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03D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не</w:t>
            </w:r>
          </w:p>
        </w:tc>
        <w:tc>
          <w:tcPr>
            <w:tcW w:w="3883" w:type="dxa"/>
          </w:tcPr>
          <w:p w14:paraId="5399D9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Комиссии обороны от 4 июля 1932 года</w:t>
            </w:r>
          </w:p>
        </w:tc>
      </w:tr>
      <w:tr w:rsidR="00DA227A" w:rsidRPr="00E93F40" w14:paraId="2FDE92E8" w14:textId="77777777">
        <w:tc>
          <w:tcPr>
            <w:tcW w:w="939" w:type="dxa"/>
          </w:tcPr>
          <w:p w14:paraId="79CC89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C744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8A1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10D7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1B1F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9D0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6384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w:t>
            </w:r>
          </w:p>
        </w:tc>
        <w:tc>
          <w:tcPr>
            <w:tcW w:w="3883" w:type="dxa"/>
          </w:tcPr>
          <w:p w14:paraId="71E31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 строительства на 1932-34 г.г.</w:t>
            </w:r>
          </w:p>
        </w:tc>
      </w:tr>
      <w:tr w:rsidR="00DA227A" w:rsidRPr="00E93F40" w14:paraId="2F7613CB" w14:textId="77777777">
        <w:tc>
          <w:tcPr>
            <w:tcW w:w="939" w:type="dxa"/>
          </w:tcPr>
          <w:p w14:paraId="08B69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EF9A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151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4010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C251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B5E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DE6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E5A0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этот самолет значится под маркой МДР3</w:t>
            </w:r>
          </w:p>
        </w:tc>
      </w:tr>
      <w:tr w:rsidR="00DA227A" w:rsidRPr="00E93F40" w14:paraId="69FD2420" w14:textId="77777777">
        <w:tc>
          <w:tcPr>
            <w:tcW w:w="939" w:type="dxa"/>
          </w:tcPr>
          <w:p w14:paraId="5FE22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9ED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89A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DD7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D03E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04F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657B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23F1B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бис с 3-мя моторами М34. Летно-тактич.</w:t>
            </w:r>
          </w:p>
        </w:tc>
      </w:tr>
      <w:tr w:rsidR="00DA227A" w:rsidRPr="00E93F40" w14:paraId="2E8A738E" w14:textId="77777777">
        <w:tc>
          <w:tcPr>
            <w:tcW w:w="939" w:type="dxa"/>
          </w:tcPr>
          <w:p w14:paraId="2F5FC3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CDAB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2E6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7A3D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862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9AA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6B1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7B89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устанавливаются РВС и согласовыв.</w:t>
            </w:r>
          </w:p>
        </w:tc>
      </w:tr>
      <w:tr w:rsidR="00DA227A" w:rsidRPr="00E93F40" w14:paraId="6DF17AE5" w14:textId="77777777">
        <w:tc>
          <w:tcPr>
            <w:tcW w:w="939" w:type="dxa"/>
          </w:tcPr>
          <w:p w14:paraId="107FD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8EEB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F0E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D05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CCA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13D1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5332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3D1A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Глававиапромом.</w:t>
            </w:r>
          </w:p>
        </w:tc>
      </w:tr>
      <w:tr w:rsidR="00DA227A" w:rsidRPr="00E93F40" w14:paraId="4E89C1B9" w14:textId="77777777">
        <w:tc>
          <w:tcPr>
            <w:tcW w:w="939" w:type="dxa"/>
          </w:tcPr>
          <w:p w14:paraId="64049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455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65D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1B3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734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6F17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E7BB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608E6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ЦКБ ЦАГИ этот самолет был предложен во</w:t>
            </w:r>
          </w:p>
        </w:tc>
      </w:tr>
      <w:tr w:rsidR="00DA227A" w:rsidRPr="00E93F40" w14:paraId="2C56574B" w14:textId="77777777">
        <w:tc>
          <w:tcPr>
            <w:tcW w:w="939" w:type="dxa"/>
          </w:tcPr>
          <w:p w14:paraId="15D9AB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A29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4578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2980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32B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F61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D0F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8B17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изменение самолета МДР3-4М17. Предвар.</w:t>
            </w:r>
          </w:p>
        </w:tc>
      </w:tr>
      <w:tr w:rsidR="00DA227A" w:rsidRPr="00E93F40" w14:paraId="209C4C20" w14:textId="77777777">
        <w:tc>
          <w:tcPr>
            <w:tcW w:w="939" w:type="dxa"/>
          </w:tcPr>
          <w:p w14:paraId="075FA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EC6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E19F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A9D0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A326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1A67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F18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CF7F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 самолета МДР3бис-3М34 по летно</w:t>
            </w:r>
          </w:p>
        </w:tc>
      </w:tr>
      <w:tr w:rsidR="00DA227A" w:rsidRPr="00E93F40" w14:paraId="1E32B488" w14:textId="77777777">
        <w:tc>
          <w:tcPr>
            <w:tcW w:w="939" w:type="dxa"/>
          </w:tcPr>
          <w:p w14:paraId="27212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2D2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985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1AE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A96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08C0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CB7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4CB81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данным не превосходят МДР3-4М17.</w:t>
            </w:r>
          </w:p>
        </w:tc>
      </w:tr>
      <w:tr w:rsidR="00DA227A" w:rsidRPr="00E93F40" w14:paraId="162A03F3" w14:textId="77777777">
        <w:tc>
          <w:tcPr>
            <w:tcW w:w="939" w:type="dxa"/>
          </w:tcPr>
          <w:p w14:paraId="1A449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E32D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673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7A3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F5F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B0A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5FFB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63DA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Конструктивно самолет видоизменяется</w:t>
            </w:r>
          </w:p>
        </w:tc>
      </w:tr>
      <w:tr w:rsidR="00DA227A" w:rsidRPr="00E93F40" w14:paraId="364E1197" w14:textId="77777777">
        <w:tc>
          <w:tcPr>
            <w:tcW w:w="939" w:type="dxa"/>
          </w:tcPr>
          <w:p w14:paraId="64E64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CF6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D6C9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EE0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B93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4BB6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A582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38F2A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почти целиком.</w:t>
            </w:r>
          </w:p>
        </w:tc>
      </w:tr>
      <w:tr w:rsidR="00DA227A" w:rsidRPr="00E93F40" w14:paraId="3FE488AA" w14:textId="77777777">
        <w:tc>
          <w:tcPr>
            <w:tcW w:w="939" w:type="dxa"/>
          </w:tcPr>
          <w:p w14:paraId="6C059C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613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461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1B3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E83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CDE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B0A1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8221D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Предложено ЦАГИ дать расчет на самолет с</w:t>
            </w:r>
          </w:p>
        </w:tc>
      </w:tr>
      <w:tr w:rsidR="00DA227A" w:rsidRPr="00E93F40" w14:paraId="595FC92F" w14:textId="77777777">
        <w:tc>
          <w:tcPr>
            <w:tcW w:w="939" w:type="dxa"/>
          </w:tcPr>
          <w:p w14:paraId="3D5BA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F713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BDD8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2F9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21EC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799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7C4D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DB9B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4-мя моторами М34.</w:t>
            </w:r>
          </w:p>
        </w:tc>
      </w:tr>
      <w:tr w:rsidR="00DA227A" w:rsidRPr="00E93F40" w14:paraId="177D4657" w14:textId="77777777">
        <w:tc>
          <w:tcPr>
            <w:tcW w:w="939" w:type="dxa"/>
          </w:tcPr>
          <w:p w14:paraId="4AB5E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181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3CD7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24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7C3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6F9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B3F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CE1A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постановлении Комиссии обороны не</w:t>
            </w:r>
          </w:p>
        </w:tc>
      </w:tr>
      <w:tr w:rsidR="00DA227A" w:rsidRPr="00E93F40" w14:paraId="7E56DD36" w14:textId="77777777">
        <w:tc>
          <w:tcPr>
            <w:tcW w:w="939" w:type="dxa"/>
          </w:tcPr>
          <w:p w14:paraId="3C002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95B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5CC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3BA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52D1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391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528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82CE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указаны сроки предъявления на госиспыт.</w:t>
            </w:r>
          </w:p>
        </w:tc>
      </w:tr>
      <w:tr w:rsidR="00DA227A" w:rsidRPr="00E93F40" w14:paraId="125887EF" w14:textId="77777777">
        <w:tc>
          <w:tcPr>
            <w:tcW w:w="939" w:type="dxa"/>
          </w:tcPr>
          <w:p w14:paraId="65716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7954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AE25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E09B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B0C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1909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84F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B5CCE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Украинцев.</w:t>
            </w:r>
          </w:p>
        </w:tc>
      </w:tr>
      <w:tr w:rsidR="00DA227A" w:rsidRPr="00E93F40" w14:paraId="6848AD80" w14:textId="77777777">
        <w:tc>
          <w:tcPr>
            <w:tcW w:w="939" w:type="dxa"/>
          </w:tcPr>
          <w:p w14:paraId="6963A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МК1-4М34</w:t>
            </w:r>
          </w:p>
        </w:tc>
        <w:tc>
          <w:tcPr>
            <w:tcW w:w="939" w:type="dxa"/>
          </w:tcPr>
          <w:p w14:paraId="2F294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215/4000</w:t>
            </w:r>
          </w:p>
        </w:tc>
        <w:tc>
          <w:tcPr>
            <w:tcW w:w="939" w:type="dxa"/>
          </w:tcPr>
          <w:p w14:paraId="5D302B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C04A2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78D76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w:t>
            </w:r>
          </w:p>
        </w:tc>
        <w:tc>
          <w:tcPr>
            <w:tcW w:w="939" w:type="dxa"/>
          </w:tcPr>
          <w:p w14:paraId="79B9A1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при</w:t>
            </w:r>
          </w:p>
        </w:tc>
        <w:tc>
          <w:tcPr>
            <w:tcW w:w="939" w:type="dxa"/>
          </w:tcPr>
          <w:p w14:paraId="617D0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w:t>
            </w:r>
          </w:p>
        </w:tc>
        <w:tc>
          <w:tcPr>
            <w:tcW w:w="3883" w:type="dxa"/>
          </w:tcPr>
          <w:p w14:paraId="14DC7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Перелома в работе ЦКБ ЦАГИ об ускорении</w:t>
            </w:r>
          </w:p>
        </w:tc>
      </w:tr>
      <w:tr w:rsidR="00DA227A" w:rsidRPr="00E93F40" w14:paraId="55FE77BF" w14:textId="77777777">
        <w:tc>
          <w:tcPr>
            <w:tcW w:w="939" w:type="dxa"/>
          </w:tcPr>
          <w:p w14:paraId="4734EE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BB0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222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9EF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A1B6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939" w:type="dxa"/>
          </w:tcPr>
          <w:p w14:paraId="46D58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w:t>
            </w:r>
          </w:p>
        </w:tc>
        <w:tc>
          <w:tcPr>
            <w:tcW w:w="939" w:type="dxa"/>
          </w:tcPr>
          <w:p w14:paraId="07DDD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64561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сроков проектирования и постройки с-та</w:t>
            </w:r>
          </w:p>
        </w:tc>
      </w:tr>
      <w:tr w:rsidR="00DA227A" w:rsidRPr="00E93F40" w14:paraId="5BE716C4" w14:textId="77777777">
        <w:tc>
          <w:tcPr>
            <w:tcW w:w="939" w:type="dxa"/>
          </w:tcPr>
          <w:p w14:paraId="1E44C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FBE1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0B97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ADF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803A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w:t>
            </w:r>
          </w:p>
        </w:tc>
        <w:tc>
          <w:tcPr>
            <w:tcW w:w="939" w:type="dxa"/>
          </w:tcPr>
          <w:p w14:paraId="3B6268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939" w:type="dxa"/>
          </w:tcPr>
          <w:p w14:paraId="495D2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вторич.</w:t>
            </w:r>
          </w:p>
        </w:tc>
        <w:tc>
          <w:tcPr>
            <w:tcW w:w="3883" w:type="dxa"/>
          </w:tcPr>
          <w:p w14:paraId="16C69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сего времени нет. Расчет в ЦАГИ</w:t>
            </w:r>
          </w:p>
        </w:tc>
      </w:tr>
      <w:tr w:rsidR="00DA227A" w:rsidRPr="00E93F40" w14:paraId="23E62BF1" w14:textId="77777777">
        <w:tc>
          <w:tcPr>
            <w:tcW w:w="939" w:type="dxa"/>
          </w:tcPr>
          <w:p w14:paraId="4B615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85E4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A5B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F81E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C25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снаряжен.</w:t>
            </w:r>
          </w:p>
        </w:tc>
        <w:tc>
          <w:tcPr>
            <w:tcW w:w="939" w:type="dxa"/>
          </w:tcPr>
          <w:p w14:paraId="2513A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 км</w:t>
            </w:r>
          </w:p>
        </w:tc>
        <w:tc>
          <w:tcPr>
            <w:tcW w:w="939" w:type="dxa"/>
          </w:tcPr>
          <w:p w14:paraId="7DCE3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3883" w:type="dxa"/>
          </w:tcPr>
          <w:p w14:paraId="6B6F32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ведется на 6 моторов М34. Необходимо:</w:t>
            </w:r>
          </w:p>
        </w:tc>
      </w:tr>
      <w:tr w:rsidR="00DA227A" w:rsidRPr="00E93F40" w14:paraId="5A351619" w14:textId="77777777">
        <w:tc>
          <w:tcPr>
            <w:tcW w:w="939" w:type="dxa"/>
          </w:tcPr>
          <w:p w14:paraId="50308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965C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698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E231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9882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оборуд.</w:t>
            </w:r>
          </w:p>
        </w:tc>
        <w:tc>
          <w:tcPr>
            <w:tcW w:w="939" w:type="dxa"/>
          </w:tcPr>
          <w:p w14:paraId="1FE59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A33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Pr>
          <w:p w14:paraId="211FC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 работе ЦАГИ считать этот самолет</w:t>
            </w:r>
          </w:p>
        </w:tc>
      </w:tr>
      <w:tr w:rsidR="00DA227A" w:rsidRPr="00E93F40" w14:paraId="65C46C30" w14:textId="77777777">
        <w:tc>
          <w:tcPr>
            <w:tcW w:w="939" w:type="dxa"/>
          </w:tcPr>
          <w:p w14:paraId="419DA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151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5FF8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DFF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67D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1850 кг,</w:t>
            </w:r>
          </w:p>
        </w:tc>
        <w:tc>
          <w:tcPr>
            <w:tcW w:w="939" w:type="dxa"/>
          </w:tcPr>
          <w:p w14:paraId="4C2D65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A48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пост.</w:t>
            </w:r>
          </w:p>
        </w:tc>
        <w:tc>
          <w:tcPr>
            <w:tcW w:w="3883" w:type="dxa"/>
          </w:tcPr>
          <w:p w14:paraId="36B20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ударным объектом.</w:t>
            </w:r>
          </w:p>
        </w:tc>
      </w:tr>
      <w:tr w:rsidR="00DA227A" w:rsidRPr="00E93F40" w14:paraId="558905DF" w14:textId="77777777">
        <w:tc>
          <w:tcPr>
            <w:tcW w:w="939" w:type="dxa"/>
          </w:tcPr>
          <w:p w14:paraId="3B775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942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AF7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A335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3F1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огн.</w:t>
            </w:r>
          </w:p>
        </w:tc>
        <w:tc>
          <w:tcPr>
            <w:tcW w:w="939" w:type="dxa"/>
          </w:tcPr>
          <w:p w14:paraId="242F22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3E1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 Об.</w:t>
            </w:r>
          </w:p>
        </w:tc>
        <w:tc>
          <w:tcPr>
            <w:tcW w:w="3883" w:type="dxa"/>
          </w:tcPr>
          <w:p w14:paraId="4BAA0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Требовать от ЦАГИ предъявления</w:t>
            </w:r>
          </w:p>
        </w:tc>
      </w:tr>
      <w:tr w:rsidR="00DA227A" w:rsidRPr="00E93F40" w14:paraId="3A82DD20" w14:textId="77777777">
        <w:tc>
          <w:tcPr>
            <w:tcW w:w="939" w:type="dxa"/>
          </w:tcPr>
          <w:p w14:paraId="04B30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51A9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EA99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0026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C67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точек.</w:t>
            </w:r>
          </w:p>
        </w:tc>
        <w:tc>
          <w:tcPr>
            <w:tcW w:w="939" w:type="dxa"/>
          </w:tcPr>
          <w:p w14:paraId="6A9F3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DE3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DBD1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макета не позднее 1 ноября с.г.</w:t>
            </w:r>
          </w:p>
        </w:tc>
      </w:tr>
      <w:tr w:rsidR="00DA227A" w:rsidRPr="00E93F40" w14:paraId="534A757C" w14:textId="77777777">
        <w:tc>
          <w:tcPr>
            <w:tcW w:w="939" w:type="dxa"/>
          </w:tcPr>
          <w:p w14:paraId="4969F4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D13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9250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2D9B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C460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w:t>
            </w:r>
          </w:p>
        </w:tc>
        <w:tc>
          <w:tcPr>
            <w:tcW w:w="939" w:type="dxa"/>
          </w:tcPr>
          <w:p w14:paraId="44BB4E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C86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3C26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Приблизить срок предъявления на госисп.</w:t>
            </w:r>
          </w:p>
        </w:tc>
      </w:tr>
      <w:tr w:rsidR="00DA227A" w:rsidRPr="00E93F40" w14:paraId="533A7EC1" w14:textId="77777777">
        <w:tc>
          <w:tcPr>
            <w:tcW w:w="939" w:type="dxa"/>
          </w:tcPr>
          <w:p w14:paraId="6A8A08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81DE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313A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A596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8DA1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бомбовая </w:t>
            </w:r>
          </w:p>
        </w:tc>
        <w:tc>
          <w:tcPr>
            <w:tcW w:w="939" w:type="dxa"/>
          </w:tcPr>
          <w:p w14:paraId="2788C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20D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82EB7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октября 1933 года.</w:t>
            </w:r>
          </w:p>
        </w:tc>
      </w:tr>
      <w:tr w:rsidR="00DA227A" w:rsidRPr="00E93F40" w14:paraId="3262A6C3" w14:textId="77777777">
        <w:tc>
          <w:tcPr>
            <w:tcW w:w="939" w:type="dxa"/>
          </w:tcPr>
          <w:p w14:paraId="061D8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1EC6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AC71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935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C1E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 2,5 т</w:t>
            </w:r>
          </w:p>
        </w:tc>
        <w:tc>
          <w:tcPr>
            <w:tcW w:w="939" w:type="dxa"/>
          </w:tcPr>
          <w:p w14:paraId="45C18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06AD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7299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нач. отдела Ганулич.</w:t>
            </w:r>
          </w:p>
        </w:tc>
      </w:tr>
      <w:tr w:rsidR="00DA227A" w:rsidRPr="00E93F40" w14:paraId="3C4DBB0F" w14:textId="77777777">
        <w:tc>
          <w:tcPr>
            <w:tcW w:w="939" w:type="dxa"/>
          </w:tcPr>
          <w:p w14:paraId="0DA46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МТБ3-4М34</w:t>
            </w:r>
          </w:p>
        </w:tc>
        <w:tc>
          <w:tcPr>
            <w:tcW w:w="939" w:type="dxa"/>
          </w:tcPr>
          <w:p w14:paraId="76A7BE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250/5000</w:t>
            </w:r>
          </w:p>
        </w:tc>
        <w:tc>
          <w:tcPr>
            <w:tcW w:w="939" w:type="dxa"/>
          </w:tcPr>
          <w:p w14:paraId="1C4AC6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7BA41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61588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w:t>
            </w:r>
          </w:p>
        </w:tc>
        <w:tc>
          <w:tcPr>
            <w:tcW w:w="939" w:type="dxa"/>
          </w:tcPr>
          <w:p w14:paraId="1B4033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 км</w:t>
            </w:r>
          </w:p>
        </w:tc>
        <w:tc>
          <w:tcPr>
            <w:tcW w:w="939" w:type="dxa"/>
          </w:tcPr>
          <w:p w14:paraId="090430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3883" w:type="dxa"/>
          </w:tcPr>
          <w:p w14:paraId="00D31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значится в прежних отчетах, как</w:t>
            </w:r>
          </w:p>
        </w:tc>
      </w:tr>
      <w:tr w:rsidR="00DA227A" w:rsidRPr="00E93F40" w14:paraId="33B67944" w14:textId="77777777">
        <w:tc>
          <w:tcPr>
            <w:tcW w:w="939" w:type="dxa"/>
          </w:tcPr>
          <w:p w14:paraId="0D0DF0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или 2 М35</w:t>
            </w:r>
          </w:p>
        </w:tc>
        <w:tc>
          <w:tcPr>
            <w:tcW w:w="939" w:type="dxa"/>
          </w:tcPr>
          <w:p w14:paraId="6AD48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FAC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CD7E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76AF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пулем-ты</w:t>
            </w:r>
          </w:p>
        </w:tc>
        <w:tc>
          <w:tcPr>
            <w:tcW w:w="939" w:type="dxa"/>
          </w:tcPr>
          <w:p w14:paraId="2231CE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BFC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Pr>
          <w:p w14:paraId="38411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включенный в план строительства по</w:t>
            </w:r>
          </w:p>
        </w:tc>
      </w:tr>
      <w:tr w:rsidR="00DA227A" w:rsidRPr="00E93F40" w14:paraId="77F0818C" w14:textId="77777777">
        <w:tc>
          <w:tcPr>
            <w:tcW w:w="939" w:type="dxa"/>
          </w:tcPr>
          <w:p w14:paraId="7A570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625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092E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42E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F0E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F9E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D85F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w:t>
            </w:r>
          </w:p>
        </w:tc>
        <w:tc>
          <w:tcPr>
            <w:tcW w:w="3883" w:type="dxa"/>
          </w:tcPr>
          <w:p w14:paraId="64CF18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проекту плана N 2. В плане, утвержденном</w:t>
            </w:r>
          </w:p>
        </w:tc>
      </w:tr>
      <w:tr w:rsidR="00DA227A" w:rsidRPr="00E93F40" w14:paraId="7A269928" w14:textId="77777777">
        <w:tc>
          <w:tcPr>
            <w:tcW w:w="939" w:type="dxa"/>
          </w:tcPr>
          <w:p w14:paraId="60A6DD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87C6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D51F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230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B33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8BA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67F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w:t>
            </w:r>
          </w:p>
        </w:tc>
        <w:tc>
          <w:tcPr>
            <w:tcW w:w="3883" w:type="dxa"/>
          </w:tcPr>
          <w:p w14:paraId="345D4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 Обороны от 4 июля с.г. этот с-т</w:t>
            </w:r>
          </w:p>
        </w:tc>
      </w:tr>
      <w:tr w:rsidR="00DA227A" w:rsidRPr="00E93F40" w14:paraId="7821CD0A" w14:textId="77777777">
        <w:tc>
          <w:tcPr>
            <w:tcW w:w="939" w:type="dxa"/>
          </w:tcPr>
          <w:p w14:paraId="35CE9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D27B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E975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4C1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1FE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7F07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420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 2</w:t>
            </w:r>
          </w:p>
        </w:tc>
        <w:tc>
          <w:tcPr>
            <w:tcW w:w="3883" w:type="dxa"/>
          </w:tcPr>
          <w:p w14:paraId="44FEA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стоит.</w:t>
            </w:r>
          </w:p>
        </w:tc>
      </w:tr>
      <w:tr w:rsidR="00DA227A" w:rsidRPr="00E93F40" w14:paraId="2C59D590" w14:textId="77777777">
        <w:tc>
          <w:tcPr>
            <w:tcW w:w="939" w:type="dxa"/>
          </w:tcPr>
          <w:p w14:paraId="43C3E9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CF7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09A3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E42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9F0C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B15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37D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w:t>
            </w:r>
          </w:p>
        </w:tc>
        <w:tc>
          <w:tcPr>
            <w:tcW w:w="3883" w:type="dxa"/>
          </w:tcPr>
          <w:p w14:paraId="35E4F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6A85F1" w14:textId="77777777">
        <w:tc>
          <w:tcPr>
            <w:tcW w:w="939" w:type="dxa"/>
          </w:tcPr>
          <w:p w14:paraId="0D62AD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95F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4BC9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743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D95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B775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2A6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 г.</w:t>
            </w:r>
          </w:p>
        </w:tc>
        <w:tc>
          <w:tcPr>
            <w:tcW w:w="3883" w:type="dxa"/>
          </w:tcPr>
          <w:p w14:paraId="5A9BDC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3A3BD7" w14:textId="77777777">
        <w:tc>
          <w:tcPr>
            <w:tcW w:w="939" w:type="dxa"/>
          </w:tcPr>
          <w:p w14:paraId="19A13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МБР5</w:t>
            </w:r>
          </w:p>
        </w:tc>
        <w:tc>
          <w:tcPr>
            <w:tcW w:w="939" w:type="dxa"/>
          </w:tcPr>
          <w:p w14:paraId="58B115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Pr>
          <w:p w14:paraId="1C80F1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9C294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39" w:type="dxa"/>
          </w:tcPr>
          <w:p w14:paraId="58D6BB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w:t>
            </w:r>
          </w:p>
        </w:tc>
        <w:tc>
          <w:tcPr>
            <w:tcW w:w="939" w:type="dxa"/>
          </w:tcPr>
          <w:p w14:paraId="40EEB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при</w:t>
            </w:r>
          </w:p>
        </w:tc>
        <w:tc>
          <w:tcPr>
            <w:tcW w:w="939" w:type="dxa"/>
          </w:tcPr>
          <w:p w14:paraId="1FE43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w:t>
            </w:r>
          </w:p>
        </w:tc>
        <w:tc>
          <w:tcPr>
            <w:tcW w:w="3883" w:type="dxa"/>
          </w:tcPr>
          <w:p w14:paraId="10CFD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Самолет-амфибия включен в план стр-ва,</w:t>
            </w:r>
          </w:p>
        </w:tc>
      </w:tr>
      <w:tr w:rsidR="00DA227A" w:rsidRPr="00E93F40" w14:paraId="01F7700F" w14:textId="77777777">
        <w:tc>
          <w:tcPr>
            <w:tcW w:w="939" w:type="dxa"/>
          </w:tcPr>
          <w:p w14:paraId="02165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амфибия</w:t>
            </w:r>
          </w:p>
        </w:tc>
        <w:tc>
          <w:tcPr>
            <w:tcW w:w="939" w:type="dxa"/>
          </w:tcPr>
          <w:p w14:paraId="2EBD76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733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77F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81E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пулем-ты</w:t>
            </w:r>
          </w:p>
        </w:tc>
        <w:tc>
          <w:tcPr>
            <w:tcW w:w="939" w:type="dxa"/>
          </w:tcPr>
          <w:p w14:paraId="77AF1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w:t>
            </w:r>
          </w:p>
        </w:tc>
        <w:tc>
          <w:tcPr>
            <w:tcW w:w="939" w:type="dxa"/>
          </w:tcPr>
          <w:p w14:paraId="136C6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Pr>
          <w:p w14:paraId="3FC84B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утвержденный Комис. Обороны от 4 июля </w:t>
            </w:r>
          </w:p>
        </w:tc>
      </w:tr>
      <w:tr w:rsidR="00DA227A" w:rsidRPr="00E93F40" w14:paraId="39629898" w14:textId="77777777">
        <w:tc>
          <w:tcPr>
            <w:tcW w:w="939" w:type="dxa"/>
          </w:tcPr>
          <w:p w14:paraId="0C92A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8F63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ED6A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2221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749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B27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939" w:type="dxa"/>
          </w:tcPr>
          <w:p w14:paraId="64AF3D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1DAFE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с.г. Несмотря на постановление Комис.</w:t>
            </w:r>
          </w:p>
        </w:tc>
      </w:tr>
      <w:tr w:rsidR="00DA227A" w:rsidRPr="00E93F40" w14:paraId="581D4F22" w14:textId="77777777">
        <w:tc>
          <w:tcPr>
            <w:tcW w:w="939" w:type="dxa"/>
          </w:tcPr>
          <w:p w14:paraId="1684D1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573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6C3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CFB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E56E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C21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2B4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5102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Обороны НИИ ГУГВФ проектирование и</w:t>
            </w:r>
          </w:p>
        </w:tc>
      </w:tr>
      <w:tr w:rsidR="00DA227A" w:rsidRPr="00E93F40" w14:paraId="14E40752" w14:textId="77777777">
        <w:tc>
          <w:tcPr>
            <w:tcW w:w="939" w:type="dxa"/>
          </w:tcPr>
          <w:p w14:paraId="7771B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5ED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AAE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27A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209F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83F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9BA1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693F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постройку этого самолета на себя не</w:t>
            </w:r>
          </w:p>
        </w:tc>
      </w:tr>
      <w:tr w:rsidR="00DA227A" w:rsidRPr="00E93F40" w14:paraId="64DBA974" w14:textId="77777777">
        <w:tc>
          <w:tcPr>
            <w:tcW w:w="939" w:type="dxa"/>
          </w:tcPr>
          <w:p w14:paraId="0AF99A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B08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C07F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E31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EEDE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ED5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2D3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8858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берет. Необходимо проектирование и </w:t>
            </w:r>
          </w:p>
        </w:tc>
      </w:tr>
      <w:tr w:rsidR="00DA227A" w:rsidRPr="00E93F40" w14:paraId="2FFEE493" w14:textId="77777777">
        <w:tc>
          <w:tcPr>
            <w:tcW w:w="939" w:type="dxa"/>
          </w:tcPr>
          <w:p w14:paraId="5A00B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0C42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55F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AD8E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3EF6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937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0CA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64DC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постройку передать НИАИ ГУГВФ г. </w:t>
            </w:r>
          </w:p>
        </w:tc>
      </w:tr>
      <w:tr w:rsidR="00DA227A" w:rsidRPr="00E93F40" w14:paraId="26E61B7D" w14:textId="77777777">
        <w:tc>
          <w:tcPr>
            <w:tcW w:w="939" w:type="dxa"/>
          </w:tcPr>
          <w:p w14:paraId="609397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1C31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92C2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389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A5D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297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371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46E4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w:t>
            </w:r>
          </w:p>
        </w:tc>
      </w:tr>
      <w:tr w:rsidR="00DA227A" w:rsidRPr="00E93F40" w14:paraId="75BF70ED" w14:textId="77777777">
        <w:tc>
          <w:tcPr>
            <w:tcW w:w="939" w:type="dxa"/>
          </w:tcPr>
          <w:p w14:paraId="64B95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A40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FF1F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587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4A13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D05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590F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ABD28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Красильников.</w:t>
            </w:r>
          </w:p>
        </w:tc>
      </w:tr>
      <w:tr w:rsidR="00DA227A" w:rsidRPr="00E93F40" w14:paraId="4CD72727" w14:textId="77777777">
        <w:tc>
          <w:tcPr>
            <w:tcW w:w="939" w:type="dxa"/>
          </w:tcPr>
          <w:p w14:paraId="4C5C30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 самолеты и модификации из сухопутных.</w:t>
            </w:r>
          </w:p>
        </w:tc>
        <w:tc>
          <w:tcPr>
            <w:tcW w:w="939" w:type="dxa"/>
          </w:tcPr>
          <w:p w14:paraId="07B6E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BB49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0DA2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120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8CC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D47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90EE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27B615" w14:textId="77777777">
        <w:tc>
          <w:tcPr>
            <w:tcW w:w="939" w:type="dxa"/>
          </w:tcPr>
          <w:p w14:paraId="7505E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МДР2-2М17</w:t>
            </w:r>
          </w:p>
        </w:tc>
        <w:tc>
          <w:tcPr>
            <w:tcW w:w="939" w:type="dxa"/>
          </w:tcPr>
          <w:p w14:paraId="7D866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178/2000</w:t>
            </w:r>
          </w:p>
        </w:tc>
        <w:tc>
          <w:tcPr>
            <w:tcW w:w="939" w:type="dxa"/>
          </w:tcPr>
          <w:p w14:paraId="274B6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39,5'/</w:t>
            </w:r>
          </w:p>
        </w:tc>
        <w:tc>
          <w:tcPr>
            <w:tcW w:w="939" w:type="dxa"/>
          </w:tcPr>
          <w:p w14:paraId="12EEE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3300</w:t>
            </w:r>
          </w:p>
        </w:tc>
        <w:tc>
          <w:tcPr>
            <w:tcW w:w="939" w:type="dxa"/>
          </w:tcPr>
          <w:p w14:paraId="7201A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пулем.</w:t>
            </w:r>
          </w:p>
        </w:tc>
        <w:tc>
          <w:tcPr>
            <w:tcW w:w="939" w:type="dxa"/>
          </w:tcPr>
          <w:p w14:paraId="437E9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c>
          <w:tcPr>
            <w:tcW w:w="939" w:type="dxa"/>
          </w:tcPr>
          <w:p w14:paraId="6B7343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w:t>
            </w:r>
          </w:p>
        </w:tc>
        <w:tc>
          <w:tcPr>
            <w:tcW w:w="3883" w:type="dxa"/>
          </w:tcPr>
          <w:p w14:paraId="3FFF9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 вр. не решен вопрос относительно</w:t>
            </w:r>
          </w:p>
        </w:tc>
      </w:tr>
      <w:tr w:rsidR="00DA227A" w:rsidRPr="00E93F40" w14:paraId="0401ADC5" w14:textId="77777777">
        <w:tc>
          <w:tcPr>
            <w:tcW w:w="939" w:type="dxa"/>
          </w:tcPr>
          <w:p w14:paraId="4D812F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0ED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54C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4410B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451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огн.</w:t>
            </w:r>
          </w:p>
        </w:tc>
        <w:tc>
          <w:tcPr>
            <w:tcW w:w="939" w:type="dxa"/>
          </w:tcPr>
          <w:p w14:paraId="2829D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6ACE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 г.</w:t>
            </w:r>
          </w:p>
        </w:tc>
        <w:tc>
          <w:tcPr>
            <w:tcW w:w="3883" w:type="dxa"/>
          </w:tcPr>
          <w:p w14:paraId="4180C4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серийной постройки. Опытный экземпляр</w:t>
            </w:r>
          </w:p>
        </w:tc>
      </w:tr>
      <w:tr w:rsidR="00DA227A" w:rsidRPr="00E93F40" w14:paraId="1533778F" w14:textId="77777777">
        <w:tc>
          <w:tcPr>
            <w:tcW w:w="939" w:type="dxa"/>
          </w:tcPr>
          <w:p w14:paraId="4F740F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8EC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3D6D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A9C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6039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точки)</w:t>
            </w:r>
          </w:p>
        </w:tc>
        <w:tc>
          <w:tcPr>
            <w:tcW w:w="939" w:type="dxa"/>
          </w:tcPr>
          <w:p w14:paraId="3B8EE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1A3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CB0C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 в настоящее время находится в </w:t>
            </w:r>
          </w:p>
        </w:tc>
      </w:tr>
      <w:tr w:rsidR="00DA227A" w:rsidRPr="00E93F40" w14:paraId="076F9663" w14:textId="77777777">
        <w:tc>
          <w:tcPr>
            <w:tcW w:w="939" w:type="dxa"/>
          </w:tcPr>
          <w:p w14:paraId="727E75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6F8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BF2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910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90B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w:t>
            </w:r>
          </w:p>
        </w:tc>
        <w:tc>
          <w:tcPr>
            <w:tcW w:w="939" w:type="dxa"/>
          </w:tcPr>
          <w:p w14:paraId="56B1D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F83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0DDC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Севастополе на 45-м заводе. После пользов.</w:t>
            </w:r>
          </w:p>
        </w:tc>
      </w:tr>
      <w:tr w:rsidR="00DA227A" w:rsidRPr="00E93F40" w14:paraId="7CA016D0" w14:textId="77777777">
        <w:tc>
          <w:tcPr>
            <w:tcW w:w="939" w:type="dxa"/>
          </w:tcPr>
          <w:p w14:paraId="5EE90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D200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5A0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81DB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BD90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бомбовая</w:t>
            </w:r>
          </w:p>
        </w:tc>
        <w:tc>
          <w:tcPr>
            <w:tcW w:w="939" w:type="dxa"/>
          </w:tcPr>
          <w:p w14:paraId="10561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2DF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7FAD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самолетом ЦАГИ, с-т имеет ряд поврежден.</w:t>
            </w:r>
          </w:p>
        </w:tc>
      </w:tr>
      <w:tr w:rsidR="00DA227A" w:rsidRPr="00E93F40" w14:paraId="721D8C64" w14:textId="77777777">
        <w:tc>
          <w:tcPr>
            <w:tcW w:w="939" w:type="dxa"/>
          </w:tcPr>
          <w:p w14:paraId="249817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D81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A22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144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B8F2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w:t>
            </w:r>
          </w:p>
        </w:tc>
        <w:tc>
          <w:tcPr>
            <w:tcW w:w="939" w:type="dxa"/>
          </w:tcPr>
          <w:p w14:paraId="6935C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F4E1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0810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требует ремонта.</w:t>
            </w:r>
          </w:p>
        </w:tc>
      </w:tr>
      <w:tr w:rsidR="00DA227A" w:rsidRPr="00E93F40" w14:paraId="713EA342" w14:textId="77777777">
        <w:tc>
          <w:tcPr>
            <w:tcW w:w="939" w:type="dxa"/>
          </w:tcPr>
          <w:p w14:paraId="729FC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BBC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FF4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A91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FE3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828 кг</w:t>
            </w:r>
          </w:p>
        </w:tc>
        <w:tc>
          <w:tcPr>
            <w:tcW w:w="939" w:type="dxa"/>
          </w:tcPr>
          <w:p w14:paraId="116FB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1DA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86EE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Тимофеев.</w:t>
            </w:r>
          </w:p>
        </w:tc>
      </w:tr>
      <w:tr w:rsidR="00DA227A" w:rsidRPr="00E93F40" w14:paraId="06AEE157" w14:textId="77777777">
        <w:tc>
          <w:tcPr>
            <w:tcW w:w="939" w:type="dxa"/>
          </w:tcPr>
          <w:p w14:paraId="0B09F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 с</w:t>
            </w:r>
          </w:p>
        </w:tc>
        <w:tc>
          <w:tcPr>
            <w:tcW w:w="939" w:type="dxa"/>
          </w:tcPr>
          <w:p w14:paraId="194F3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не предъявлены</w:t>
            </w:r>
          </w:p>
        </w:tc>
        <w:tc>
          <w:tcPr>
            <w:tcW w:w="939" w:type="dxa"/>
          </w:tcPr>
          <w:p w14:paraId="0F3DED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C00D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C32B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623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1815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w:t>
            </w:r>
          </w:p>
        </w:tc>
        <w:tc>
          <w:tcPr>
            <w:tcW w:w="3883" w:type="dxa"/>
          </w:tcPr>
          <w:p w14:paraId="33FCD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Сроки предъявления с-та на гос. испытания </w:t>
            </w:r>
          </w:p>
        </w:tc>
      </w:tr>
      <w:tr w:rsidR="00DA227A" w:rsidRPr="00E93F40" w14:paraId="79F80CAA" w14:textId="77777777">
        <w:tc>
          <w:tcPr>
            <w:tcW w:w="939" w:type="dxa"/>
          </w:tcPr>
          <w:p w14:paraId="7E0783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применением</w:t>
            </w:r>
          </w:p>
        </w:tc>
        <w:tc>
          <w:tcPr>
            <w:tcW w:w="939" w:type="dxa"/>
          </w:tcPr>
          <w:p w14:paraId="01533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B4D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2FD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A5F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AA26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A57A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7B4AA7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стороны ГДЛ совершенно не выдержив.,</w:t>
            </w:r>
          </w:p>
        </w:tc>
      </w:tr>
      <w:tr w:rsidR="00DA227A" w:rsidRPr="00E93F40" w14:paraId="32BDE32F" w14:textId="77777777">
        <w:tc>
          <w:tcPr>
            <w:tcW w:w="939" w:type="dxa"/>
          </w:tcPr>
          <w:p w14:paraId="3C0AD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 для</w:t>
            </w:r>
          </w:p>
        </w:tc>
        <w:tc>
          <w:tcPr>
            <w:tcW w:w="939" w:type="dxa"/>
          </w:tcPr>
          <w:p w14:paraId="0834BF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9BC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54B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FCA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4783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7D6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57208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частично проведенные испытания по взлету</w:t>
            </w:r>
          </w:p>
        </w:tc>
      </w:tr>
      <w:tr w:rsidR="00DA227A" w:rsidRPr="00E93F40" w14:paraId="10C007F7" w14:textId="77777777">
        <w:tc>
          <w:tcPr>
            <w:tcW w:w="939" w:type="dxa"/>
          </w:tcPr>
          <w:p w14:paraId="39C14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ускорения</w:t>
            </w:r>
          </w:p>
        </w:tc>
        <w:tc>
          <w:tcPr>
            <w:tcW w:w="939" w:type="dxa"/>
          </w:tcPr>
          <w:p w14:paraId="46F91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7A4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EE2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8D6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74E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8EF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8FF9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закончены в связи с износом с-та. С-т</w:t>
            </w:r>
          </w:p>
        </w:tc>
      </w:tr>
      <w:tr w:rsidR="00DA227A" w:rsidRPr="00E93F40" w14:paraId="2F3CE769" w14:textId="77777777">
        <w:tc>
          <w:tcPr>
            <w:tcW w:w="939" w:type="dxa"/>
          </w:tcPr>
          <w:p w14:paraId="31FE48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взлета</w:t>
            </w:r>
          </w:p>
        </w:tc>
        <w:tc>
          <w:tcPr>
            <w:tcW w:w="939" w:type="dxa"/>
          </w:tcPr>
          <w:p w14:paraId="032D5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B6F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4AEF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D19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FE55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26D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C533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 ремонта и передан в 18-й склад.</w:t>
            </w:r>
          </w:p>
        </w:tc>
      </w:tr>
      <w:tr w:rsidR="00DA227A" w:rsidRPr="00E93F40" w14:paraId="4D645B09" w14:textId="77777777">
        <w:tc>
          <w:tcPr>
            <w:tcW w:w="939" w:type="dxa"/>
          </w:tcPr>
          <w:p w14:paraId="4E8668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51E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1621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024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50D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DD71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683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B7D9F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ремонта слишком затягивается.</w:t>
            </w:r>
          </w:p>
        </w:tc>
      </w:tr>
      <w:tr w:rsidR="00DA227A" w:rsidRPr="00E93F40" w14:paraId="654E7D94" w14:textId="77777777">
        <w:tc>
          <w:tcPr>
            <w:tcW w:w="939" w:type="dxa"/>
          </w:tcPr>
          <w:p w14:paraId="1E054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752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EA2C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B864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F6BC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B9E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C1D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4F490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Тимофеев.</w:t>
            </w:r>
          </w:p>
        </w:tc>
      </w:tr>
      <w:tr w:rsidR="00DA227A" w:rsidRPr="00E93F40" w14:paraId="20986829" w14:textId="77777777">
        <w:tc>
          <w:tcPr>
            <w:tcW w:w="939" w:type="dxa"/>
          </w:tcPr>
          <w:p w14:paraId="0F3475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ТБ1/а-2М17</w:t>
            </w:r>
          </w:p>
        </w:tc>
        <w:tc>
          <w:tcPr>
            <w:tcW w:w="939" w:type="dxa"/>
          </w:tcPr>
          <w:p w14:paraId="6A943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не предъявлены</w:t>
            </w:r>
          </w:p>
        </w:tc>
        <w:tc>
          <w:tcPr>
            <w:tcW w:w="939" w:type="dxa"/>
          </w:tcPr>
          <w:p w14:paraId="527C8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32D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0BC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1DC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7A0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октябрь</w:t>
            </w:r>
          </w:p>
        </w:tc>
        <w:tc>
          <w:tcPr>
            <w:tcW w:w="3883" w:type="dxa"/>
          </w:tcPr>
          <w:p w14:paraId="58A72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прошел гос. испытания. Установка</w:t>
            </w:r>
          </w:p>
        </w:tc>
      </w:tr>
      <w:tr w:rsidR="00DA227A" w:rsidRPr="00E93F40" w14:paraId="05EE6BBC" w14:textId="77777777">
        <w:tc>
          <w:tcPr>
            <w:tcW w:w="939" w:type="dxa"/>
          </w:tcPr>
          <w:p w14:paraId="11E0A8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B43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018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3E5B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5AD7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FF33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6A3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3883" w:type="dxa"/>
          </w:tcPr>
          <w:p w14:paraId="1526A0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и поплавков показали удовлетворит.</w:t>
            </w:r>
          </w:p>
        </w:tc>
      </w:tr>
      <w:tr w:rsidR="00DA227A" w:rsidRPr="00E93F40" w14:paraId="2E5EA069" w14:textId="77777777">
        <w:tc>
          <w:tcPr>
            <w:tcW w:w="939" w:type="dxa"/>
          </w:tcPr>
          <w:p w14:paraId="26A7B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AAD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F32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2AE7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0DE4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02D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3DF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3A14E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качества. С опытного строительства с-т</w:t>
            </w:r>
          </w:p>
        </w:tc>
      </w:tr>
      <w:tr w:rsidR="00DA227A" w:rsidRPr="00E93F40" w14:paraId="20D21D49" w14:textId="77777777">
        <w:tc>
          <w:tcPr>
            <w:tcW w:w="939" w:type="dxa"/>
          </w:tcPr>
          <w:p w14:paraId="7F3CB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607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31F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1BB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570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F9D2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07A8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6E2A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снять.</w:t>
            </w:r>
          </w:p>
        </w:tc>
      </w:tr>
      <w:tr w:rsidR="00DA227A" w:rsidRPr="00E93F40" w14:paraId="17B139E9" w14:textId="77777777">
        <w:tc>
          <w:tcPr>
            <w:tcW w:w="939" w:type="dxa"/>
          </w:tcPr>
          <w:p w14:paraId="37BA46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2E58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FFC6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7ED9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6BB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0D48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A05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6E26E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Тимофеев.</w:t>
            </w:r>
          </w:p>
        </w:tc>
      </w:tr>
      <w:tr w:rsidR="00DA227A" w:rsidRPr="00E93F40" w14:paraId="5E4A6DAB" w14:textId="77777777">
        <w:tc>
          <w:tcPr>
            <w:tcW w:w="939" w:type="dxa"/>
          </w:tcPr>
          <w:p w14:paraId="05075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Р6/а-2М17</w:t>
            </w:r>
          </w:p>
        </w:tc>
        <w:tc>
          <w:tcPr>
            <w:tcW w:w="939" w:type="dxa"/>
          </w:tcPr>
          <w:p w14:paraId="06572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не предъявлены</w:t>
            </w:r>
          </w:p>
        </w:tc>
        <w:tc>
          <w:tcPr>
            <w:tcW w:w="939" w:type="dxa"/>
          </w:tcPr>
          <w:p w14:paraId="59B54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171A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616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30BA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80A8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w:t>
            </w:r>
          </w:p>
        </w:tc>
        <w:tc>
          <w:tcPr>
            <w:tcW w:w="3883" w:type="dxa"/>
          </w:tcPr>
          <w:p w14:paraId="44BB3E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включен в план опытного стр-ва,</w:t>
            </w:r>
          </w:p>
        </w:tc>
      </w:tr>
      <w:tr w:rsidR="00DA227A" w:rsidRPr="00E93F40" w14:paraId="013E7219" w14:textId="77777777">
        <w:tc>
          <w:tcPr>
            <w:tcW w:w="939" w:type="dxa"/>
          </w:tcPr>
          <w:p w14:paraId="685E2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03C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997B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1CB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ECA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0F0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A9C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3EB001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утвержденный Комис. Обороны от 4-го июля</w:t>
            </w:r>
          </w:p>
        </w:tc>
      </w:tr>
      <w:tr w:rsidR="00DA227A" w:rsidRPr="00E93F40" w14:paraId="6BA43DEB" w14:textId="77777777">
        <w:tc>
          <w:tcPr>
            <w:tcW w:w="939" w:type="dxa"/>
          </w:tcPr>
          <w:p w14:paraId="53ABC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0E9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BAB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5CB5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A901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A38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6F16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CB6C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с.г. Самолет для установки на поплавки</w:t>
            </w:r>
          </w:p>
        </w:tc>
      </w:tr>
      <w:tr w:rsidR="00DA227A" w:rsidRPr="00E93F40" w14:paraId="098061BE" w14:textId="77777777">
        <w:tc>
          <w:tcPr>
            <w:tcW w:w="939" w:type="dxa"/>
          </w:tcPr>
          <w:p w14:paraId="16E854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078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CF6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7FE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CDA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D6DD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F29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CB57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получен и переправлен на завод N 31.</w:t>
            </w:r>
          </w:p>
        </w:tc>
      </w:tr>
      <w:tr w:rsidR="00DA227A" w:rsidRPr="00E93F40" w14:paraId="60951C81" w14:textId="77777777">
        <w:tc>
          <w:tcPr>
            <w:tcW w:w="939" w:type="dxa"/>
          </w:tcPr>
          <w:p w14:paraId="1D3277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170D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68F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EEF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89BC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01B7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E172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0EB5E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поступит в конце октября</w:t>
            </w:r>
          </w:p>
        </w:tc>
      </w:tr>
      <w:tr w:rsidR="00DA227A" w:rsidRPr="00E93F40" w14:paraId="1BBE8BFC" w14:textId="77777777">
        <w:tc>
          <w:tcPr>
            <w:tcW w:w="939" w:type="dxa"/>
          </w:tcPr>
          <w:p w14:paraId="537370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9EC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C55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B134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2B7A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1A1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11E0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FD725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с.г.</w:t>
            </w:r>
          </w:p>
        </w:tc>
      </w:tr>
      <w:tr w:rsidR="00DA227A" w:rsidRPr="00E93F40" w14:paraId="6E230029" w14:textId="77777777">
        <w:tc>
          <w:tcPr>
            <w:tcW w:w="939" w:type="dxa"/>
          </w:tcPr>
          <w:p w14:paraId="780CFE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9D2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D95E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10E1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B01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F18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6018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89BDA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Тимофеев.</w:t>
            </w:r>
          </w:p>
        </w:tc>
      </w:tr>
      <w:tr w:rsidR="00DA227A" w:rsidRPr="00E93F40" w14:paraId="4461D552" w14:textId="77777777">
        <w:tc>
          <w:tcPr>
            <w:tcW w:w="939" w:type="dxa"/>
          </w:tcPr>
          <w:p w14:paraId="4FCA28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Р5/а-М17</w:t>
            </w:r>
          </w:p>
        </w:tc>
        <w:tc>
          <w:tcPr>
            <w:tcW w:w="939" w:type="dxa"/>
          </w:tcPr>
          <w:p w14:paraId="19937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164/3000</w:t>
            </w:r>
          </w:p>
        </w:tc>
        <w:tc>
          <w:tcPr>
            <w:tcW w:w="939" w:type="dxa"/>
          </w:tcPr>
          <w:p w14:paraId="49E684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27/3000</w:t>
            </w:r>
          </w:p>
        </w:tc>
        <w:tc>
          <w:tcPr>
            <w:tcW w:w="939" w:type="dxa"/>
          </w:tcPr>
          <w:p w14:paraId="2B7D3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4350</w:t>
            </w:r>
          </w:p>
        </w:tc>
        <w:tc>
          <w:tcPr>
            <w:tcW w:w="939" w:type="dxa"/>
          </w:tcPr>
          <w:p w14:paraId="7CE1B6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пулем.</w:t>
            </w:r>
          </w:p>
        </w:tc>
        <w:tc>
          <w:tcPr>
            <w:tcW w:w="939" w:type="dxa"/>
          </w:tcPr>
          <w:p w14:paraId="7A231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 при</w:t>
            </w:r>
          </w:p>
        </w:tc>
        <w:tc>
          <w:tcPr>
            <w:tcW w:w="939" w:type="dxa"/>
          </w:tcPr>
          <w:p w14:paraId="2F4F4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июля</w:t>
            </w:r>
          </w:p>
        </w:tc>
        <w:tc>
          <w:tcPr>
            <w:tcW w:w="3883" w:type="dxa"/>
          </w:tcPr>
          <w:p w14:paraId="0EBEA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идет в серийную постройку. </w:t>
            </w:r>
          </w:p>
        </w:tc>
      </w:tr>
      <w:tr w:rsidR="00DA227A" w:rsidRPr="00E93F40" w14:paraId="63D1E841" w14:textId="77777777">
        <w:tc>
          <w:tcPr>
            <w:tcW w:w="939" w:type="dxa"/>
          </w:tcPr>
          <w:p w14:paraId="78417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D245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BF72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A1C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C2D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огн.</w:t>
            </w:r>
          </w:p>
        </w:tc>
        <w:tc>
          <w:tcPr>
            <w:tcW w:w="939" w:type="dxa"/>
          </w:tcPr>
          <w:p w14:paraId="68A212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w:t>
            </w:r>
          </w:p>
        </w:tc>
        <w:tc>
          <w:tcPr>
            <w:tcW w:w="939" w:type="dxa"/>
          </w:tcPr>
          <w:p w14:paraId="2CBA8C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0BBCC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Разработаны техтребования к эталону 1933</w:t>
            </w:r>
          </w:p>
        </w:tc>
      </w:tr>
      <w:tr w:rsidR="00DA227A" w:rsidRPr="00E93F40" w14:paraId="0B1E298E" w14:textId="77777777">
        <w:tc>
          <w:tcPr>
            <w:tcW w:w="939" w:type="dxa"/>
          </w:tcPr>
          <w:p w14:paraId="06C7E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6C8F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DB8F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0FD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35FE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точки)</w:t>
            </w:r>
          </w:p>
        </w:tc>
        <w:tc>
          <w:tcPr>
            <w:tcW w:w="939" w:type="dxa"/>
          </w:tcPr>
          <w:p w14:paraId="3E82D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939" w:type="dxa"/>
          </w:tcPr>
          <w:p w14:paraId="3D75E2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E8BFA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года. Требования еще не утверждены</w:t>
            </w:r>
          </w:p>
        </w:tc>
      </w:tr>
      <w:tr w:rsidR="00DA227A" w:rsidRPr="00E93F40" w14:paraId="551D7FDB" w14:textId="77777777">
        <w:tc>
          <w:tcPr>
            <w:tcW w:w="939" w:type="dxa"/>
          </w:tcPr>
          <w:p w14:paraId="1F2CF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DE3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303D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BCF6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51A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 кг</w:t>
            </w:r>
          </w:p>
        </w:tc>
        <w:tc>
          <w:tcPr>
            <w:tcW w:w="939" w:type="dxa"/>
          </w:tcPr>
          <w:p w14:paraId="0D2AE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139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1856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командованием.</w:t>
            </w:r>
          </w:p>
        </w:tc>
      </w:tr>
      <w:tr w:rsidR="00DA227A" w:rsidRPr="00E93F40" w14:paraId="0BF79541" w14:textId="77777777">
        <w:tc>
          <w:tcPr>
            <w:tcW w:w="939" w:type="dxa"/>
          </w:tcPr>
          <w:p w14:paraId="67BED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653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B603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B7A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B90B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w:t>
            </w:r>
          </w:p>
        </w:tc>
        <w:tc>
          <w:tcPr>
            <w:tcW w:w="939" w:type="dxa"/>
          </w:tcPr>
          <w:p w14:paraId="74FD9C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69F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B537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AEF73F" w14:textId="77777777">
        <w:tc>
          <w:tcPr>
            <w:tcW w:w="939" w:type="dxa"/>
          </w:tcPr>
          <w:p w14:paraId="3425A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СПЛ (с-т</w:t>
            </w:r>
          </w:p>
        </w:tc>
        <w:tc>
          <w:tcPr>
            <w:tcW w:w="939" w:type="dxa"/>
          </w:tcPr>
          <w:p w14:paraId="22B27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устанавливаются особо.</w:t>
            </w:r>
          </w:p>
        </w:tc>
        <w:tc>
          <w:tcPr>
            <w:tcW w:w="939" w:type="dxa"/>
          </w:tcPr>
          <w:p w14:paraId="33017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689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952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58E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D69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3883" w:type="dxa"/>
          </w:tcPr>
          <w:p w14:paraId="5A376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включен в план опытного стр-ва</w:t>
            </w:r>
          </w:p>
        </w:tc>
      </w:tr>
      <w:tr w:rsidR="00DA227A" w:rsidRPr="00E93F40" w14:paraId="533716E0" w14:textId="77777777">
        <w:tc>
          <w:tcPr>
            <w:tcW w:w="939" w:type="dxa"/>
          </w:tcPr>
          <w:p w14:paraId="454FDB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подлодок)</w:t>
            </w:r>
          </w:p>
        </w:tc>
        <w:tc>
          <w:tcPr>
            <w:tcW w:w="939" w:type="dxa"/>
          </w:tcPr>
          <w:p w14:paraId="23B1AA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E82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E18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008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C8A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E66A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Pr>
          <w:p w14:paraId="6CA00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число экспериментальных по постановл.</w:t>
            </w:r>
          </w:p>
        </w:tc>
      </w:tr>
      <w:tr w:rsidR="00DA227A" w:rsidRPr="00E93F40" w14:paraId="6A07E9D4" w14:textId="77777777">
        <w:tc>
          <w:tcPr>
            <w:tcW w:w="939" w:type="dxa"/>
          </w:tcPr>
          <w:p w14:paraId="03757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549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719E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E43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45C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C2CB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132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CF2C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 Обороны от 4 июля с.г. Согласно</w:t>
            </w:r>
          </w:p>
        </w:tc>
      </w:tr>
      <w:tr w:rsidR="00DA227A" w:rsidRPr="00E93F40" w14:paraId="0F9F829C" w14:textId="77777777">
        <w:tc>
          <w:tcPr>
            <w:tcW w:w="939" w:type="dxa"/>
          </w:tcPr>
          <w:p w14:paraId="4CA26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13D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E0CE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584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1CE7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F96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F22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472B5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постановления Комис. Обороны проектир. и</w:t>
            </w:r>
          </w:p>
        </w:tc>
      </w:tr>
      <w:tr w:rsidR="00DA227A" w:rsidRPr="00E93F40" w14:paraId="1C641352" w14:textId="77777777">
        <w:tc>
          <w:tcPr>
            <w:tcW w:w="939" w:type="dxa"/>
          </w:tcPr>
          <w:p w14:paraId="75625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932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3F7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350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D38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99C2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CF13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C3305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постройки находит УВВС. По предв.</w:t>
            </w:r>
          </w:p>
        </w:tc>
      </w:tr>
      <w:tr w:rsidR="00DA227A" w:rsidRPr="00E93F40" w14:paraId="0062532C" w14:textId="77777777">
        <w:tc>
          <w:tcPr>
            <w:tcW w:w="939" w:type="dxa"/>
          </w:tcPr>
          <w:p w14:paraId="4645F9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8BD1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E7B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79B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0C7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8F3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B4F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BAFB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договоренности и выяснении вопроса с-т</w:t>
            </w:r>
          </w:p>
        </w:tc>
      </w:tr>
      <w:tr w:rsidR="00DA227A" w:rsidRPr="00E93F40" w14:paraId="09F0030C" w14:textId="77777777">
        <w:tc>
          <w:tcPr>
            <w:tcW w:w="939" w:type="dxa"/>
          </w:tcPr>
          <w:p w14:paraId="571D66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EB3F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EF9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4BC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335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676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8103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373BB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дать проектировать и построить НИИ </w:t>
            </w:r>
          </w:p>
        </w:tc>
      </w:tr>
      <w:tr w:rsidR="00DA227A" w:rsidRPr="00E93F40" w14:paraId="53255D47" w14:textId="77777777">
        <w:tc>
          <w:tcPr>
            <w:tcW w:w="939" w:type="dxa"/>
          </w:tcPr>
          <w:p w14:paraId="57B194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9B45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C32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A0A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4678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9BA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635E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327A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ГУГВФ под руководством инж. Четверикова.</w:t>
            </w:r>
          </w:p>
        </w:tc>
      </w:tr>
      <w:tr w:rsidR="00DA227A" w:rsidRPr="00E93F40" w14:paraId="654F6B74" w14:textId="77777777">
        <w:tc>
          <w:tcPr>
            <w:tcW w:w="939" w:type="dxa"/>
          </w:tcPr>
          <w:p w14:paraId="5B7848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7F8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E18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62B1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455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469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1191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5122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Балыков.</w:t>
            </w:r>
          </w:p>
        </w:tc>
      </w:tr>
      <w:tr w:rsidR="00DA227A" w:rsidRPr="00E93F40" w14:paraId="5D0B7C85" w14:textId="77777777">
        <w:tc>
          <w:tcPr>
            <w:tcW w:w="939" w:type="dxa"/>
          </w:tcPr>
          <w:p w14:paraId="32DA2D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Внеплановые.</w:t>
            </w:r>
          </w:p>
        </w:tc>
        <w:tc>
          <w:tcPr>
            <w:tcW w:w="939" w:type="dxa"/>
          </w:tcPr>
          <w:p w14:paraId="770461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1A8E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D4F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CBC1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C5A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6B6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7D54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CBC1BB" w14:textId="77777777">
        <w:tc>
          <w:tcPr>
            <w:tcW w:w="939" w:type="dxa"/>
          </w:tcPr>
          <w:p w14:paraId="1CB4E3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МБР2-М17</w:t>
            </w:r>
          </w:p>
        </w:tc>
        <w:tc>
          <w:tcPr>
            <w:tcW w:w="939" w:type="dxa"/>
          </w:tcPr>
          <w:p w14:paraId="628ED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195/3000</w:t>
            </w:r>
          </w:p>
        </w:tc>
        <w:tc>
          <w:tcPr>
            <w:tcW w:w="939" w:type="dxa"/>
          </w:tcPr>
          <w:p w14:paraId="1D384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20'/3000</w:t>
            </w:r>
          </w:p>
        </w:tc>
        <w:tc>
          <w:tcPr>
            <w:tcW w:w="939" w:type="dxa"/>
          </w:tcPr>
          <w:p w14:paraId="13217A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6030</w:t>
            </w:r>
          </w:p>
        </w:tc>
        <w:tc>
          <w:tcPr>
            <w:tcW w:w="939" w:type="dxa"/>
          </w:tcPr>
          <w:p w14:paraId="065FC0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w:t>
            </w:r>
          </w:p>
        </w:tc>
        <w:tc>
          <w:tcPr>
            <w:tcW w:w="939" w:type="dxa"/>
          </w:tcPr>
          <w:p w14:paraId="2271D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w:t>
            </w:r>
          </w:p>
        </w:tc>
        <w:tc>
          <w:tcPr>
            <w:tcW w:w="939" w:type="dxa"/>
          </w:tcPr>
          <w:p w14:paraId="046BA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3883" w:type="dxa"/>
          </w:tcPr>
          <w:p w14:paraId="2FEAB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 прошел испытания. Заключение нач. </w:t>
            </w:r>
          </w:p>
        </w:tc>
      </w:tr>
      <w:tr w:rsidR="00DA227A" w:rsidRPr="00E93F40" w14:paraId="09C7D155" w14:textId="77777777">
        <w:tc>
          <w:tcPr>
            <w:tcW w:w="939" w:type="dxa"/>
          </w:tcPr>
          <w:p w14:paraId="32D402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753F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испыт.</w:t>
            </w:r>
          </w:p>
        </w:tc>
        <w:tc>
          <w:tcPr>
            <w:tcW w:w="939" w:type="dxa"/>
          </w:tcPr>
          <w:p w14:paraId="4F1275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3E4B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DAF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огн.</w:t>
            </w:r>
          </w:p>
        </w:tc>
        <w:tc>
          <w:tcPr>
            <w:tcW w:w="939" w:type="dxa"/>
          </w:tcPr>
          <w:p w14:paraId="3CFAC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182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w:t>
            </w:r>
          </w:p>
        </w:tc>
        <w:tc>
          <w:tcPr>
            <w:tcW w:w="3883" w:type="dxa"/>
          </w:tcPr>
          <w:p w14:paraId="681BB3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построить серию с-тов в 15 штук,</w:t>
            </w:r>
          </w:p>
        </w:tc>
      </w:tr>
      <w:tr w:rsidR="00DA227A" w:rsidRPr="00E93F40" w14:paraId="3621226F" w14:textId="77777777">
        <w:tc>
          <w:tcPr>
            <w:tcW w:w="939" w:type="dxa"/>
          </w:tcPr>
          <w:p w14:paraId="51B65E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47DC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209 у</w:t>
            </w:r>
          </w:p>
        </w:tc>
        <w:tc>
          <w:tcPr>
            <w:tcW w:w="939" w:type="dxa"/>
          </w:tcPr>
          <w:p w14:paraId="4BDB95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F49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8F64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точки)</w:t>
            </w:r>
          </w:p>
        </w:tc>
        <w:tc>
          <w:tcPr>
            <w:tcW w:w="939" w:type="dxa"/>
          </w:tcPr>
          <w:p w14:paraId="1AFE16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A75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w:t>
            </w:r>
          </w:p>
        </w:tc>
        <w:tc>
          <w:tcPr>
            <w:tcW w:w="3883" w:type="dxa"/>
          </w:tcPr>
          <w:p w14:paraId="4EE159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устранив дефекты и довести настоящий</w:t>
            </w:r>
          </w:p>
        </w:tc>
      </w:tr>
      <w:tr w:rsidR="00DA227A" w:rsidRPr="00E93F40" w14:paraId="1B678938" w14:textId="77777777">
        <w:tc>
          <w:tcPr>
            <w:tcW w:w="939" w:type="dxa"/>
          </w:tcPr>
          <w:p w14:paraId="3032BB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49C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земли</w:t>
            </w:r>
          </w:p>
        </w:tc>
        <w:tc>
          <w:tcPr>
            <w:tcW w:w="939" w:type="dxa"/>
          </w:tcPr>
          <w:p w14:paraId="1AB9A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621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52D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кг</w:t>
            </w:r>
          </w:p>
        </w:tc>
        <w:tc>
          <w:tcPr>
            <w:tcW w:w="939" w:type="dxa"/>
          </w:tcPr>
          <w:p w14:paraId="4D3D8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995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3883" w:type="dxa"/>
          </w:tcPr>
          <w:p w14:paraId="5546E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С-т находится в Морской Исп.</w:t>
            </w:r>
          </w:p>
        </w:tc>
      </w:tr>
      <w:tr w:rsidR="00DA227A" w:rsidRPr="00E93F40" w14:paraId="50F26C9D" w14:textId="77777777">
        <w:tc>
          <w:tcPr>
            <w:tcW w:w="939" w:type="dxa"/>
          </w:tcPr>
          <w:p w14:paraId="6E07E4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E887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B10D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6FA1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9A3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в</w:t>
            </w:r>
          </w:p>
        </w:tc>
        <w:tc>
          <w:tcPr>
            <w:tcW w:w="939" w:type="dxa"/>
          </w:tcPr>
          <w:p w14:paraId="406068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92E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прошел</w:t>
            </w:r>
          </w:p>
        </w:tc>
        <w:tc>
          <w:tcPr>
            <w:tcW w:w="3883" w:type="dxa"/>
          </w:tcPr>
          <w:p w14:paraId="16CCF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станции в НИИ в Севастополе и проходит</w:t>
            </w:r>
          </w:p>
        </w:tc>
      </w:tr>
      <w:tr w:rsidR="00DA227A" w:rsidRPr="00E93F40" w14:paraId="0A539E7F" w14:textId="77777777">
        <w:tc>
          <w:tcPr>
            <w:tcW w:w="939" w:type="dxa"/>
          </w:tcPr>
          <w:p w14:paraId="7F3D9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61F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6AD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19E3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44A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счет</w:t>
            </w:r>
          </w:p>
        </w:tc>
        <w:tc>
          <w:tcPr>
            <w:tcW w:w="939" w:type="dxa"/>
          </w:tcPr>
          <w:p w14:paraId="32E45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F52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w:t>
            </w:r>
          </w:p>
        </w:tc>
        <w:tc>
          <w:tcPr>
            <w:tcW w:w="3883" w:type="dxa"/>
          </w:tcPr>
          <w:p w14:paraId="0824E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эксплоатационные испытания. Составлены</w:t>
            </w:r>
          </w:p>
        </w:tc>
      </w:tr>
      <w:tr w:rsidR="00DA227A" w:rsidRPr="00E93F40" w14:paraId="4092DF97" w14:textId="77777777">
        <w:tc>
          <w:tcPr>
            <w:tcW w:w="939" w:type="dxa"/>
          </w:tcPr>
          <w:p w14:paraId="44F42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A5DF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7F9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951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B9C6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перегруз.</w:t>
            </w:r>
          </w:p>
        </w:tc>
        <w:tc>
          <w:tcPr>
            <w:tcW w:w="939" w:type="dxa"/>
          </w:tcPr>
          <w:p w14:paraId="0E131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673A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6F4EE4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техтребвания к эталону на 1933 год.</w:t>
            </w:r>
          </w:p>
        </w:tc>
      </w:tr>
      <w:tr w:rsidR="00DA227A" w:rsidRPr="00E93F40" w14:paraId="1D8D3BA9" w14:textId="77777777">
        <w:tc>
          <w:tcPr>
            <w:tcW w:w="939" w:type="dxa"/>
          </w:tcPr>
          <w:p w14:paraId="5D988B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374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F6B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1BA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C3B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дер.</w:t>
            </w:r>
          </w:p>
        </w:tc>
        <w:tc>
          <w:tcPr>
            <w:tcW w:w="939" w:type="dxa"/>
          </w:tcPr>
          <w:p w14:paraId="4BEC2D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8F0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0BF7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дальнейшем перейти на МБР2-М34.</w:t>
            </w:r>
          </w:p>
        </w:tc>
      </w:tr>
      <w:tr w:rsidR="00DA227A" w:rsidRPr="00E93F40" w14:paraId="20B6E226" w14:textId="77777777">
        <w:tc>
          <w:tcPr>
            <w:tcW w:w="939" w:type="dxa"/>
          </w:tcPr>
          <w:p w14:paraId="4E368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685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5B1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CE9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BDC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1000 кг</w:t>
            </w:r>
          </w:p>
        </w:tc>
        <w:tc>
          <w:tcPr>
            <w:tcW w:w="939" w:type="dxa"/>
          </w:tcPr>
          <w:p w14:paraId="7E5C7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FA6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00EBE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Балыков.</w:t>
            </w:r>
          </w:p>
        </w:tc>
      </w:tr>
      <w:tr w:rsidR="00DA227A" w:rsidRPr="00E93F40" w14:paraId="036DC64E" w14:textId="77777777">
        <w:tc>
          <w:tcPr>
            <w:tcW w:w="939" w:type="dxa"/>
          </w:tcPr>
          <w:p w14:paraId="230E8E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МБР4-АССО 750</w:t>
            </w:r>
          </w:p>
        </w:tc>
        <w:tc>
          <w:tcPr>
            <w:tcW w:w="939" w:type="dxa"/>
          </w:tcPr>
          <w:p w14:paraId="0085E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самолета С62 бис АССО 750</w:t>
            </w:r>
          </w:p>
        </w:tc>
        <w:tc>
          <w:tcPr>
            <w:tcW w:w="939" w:type="dxa"/>
          </w:tcPr>
          <w:p w14:paraId="2B8FD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A681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CD8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33BD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FC8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76A48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принят на гос. испытания 23 </w:t>
            </w:r>
          </w:p>
        </w:tc>
      </w:tr>
      <w:tr w:rsidR="00DA227A" w:rsidRPr="00E93F40" w14:paraId="34781EEE" w14:textId="77777777">
        <w:tc>
          <w:tcPr>
            <w:tcW w:w="939" w:type="dxa"/>
          </w:tcPr>
          <w:p w14:paraId="255D4E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9CC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DC8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88DB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6A9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0835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FCBE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33507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сентября с.г. Задержки в предъявлении</w:t>
            </w:r>
          </w:p>
        </w:tc>
      </w:tr>
      <w:tr w:rsidR="00DA227A" w:rsidRPr="00E93F40" w14:paraId="77C035EF" w14:textId="77777777">
        <w:tc>
          <w:tcPr>
            <w:tcW w:w="939" w:type="dxa"/>
          </w:tcPr>
          <w:p w14:paraId="7F476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7255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55A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FE0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C940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B6A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9701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F338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стороны 31-го завода на 5 месяцев. С-т</w:t>
            </w:r>
          </w:p>
        </w:tc>
      </w:tr>
      <w:tr w:rsidR="00DA227A" w:rsidRPr="00E93F40" w14:paraId="57283605" w14:textId="77777777">
        <w:tc>
          <w:tcPr>
            <w:tcW w:w="939" w:type="dxa"/>
          </w:tcPr>
          <w:p w14:paraId="23E1FA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6510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2858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E7F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4F0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3E21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9E8E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DC48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имеет ряд дефектов. Заключение будет дано</w:t>
            </w:r>
          </w:p>
        </w:tc>
      </w:tr>
      <w:tr w:rsidR="00DA227A" w:rsidRPr="00E93F40" w14:paraId="14249F04" w14:textId="77777777">
        <w:tc>
          <w:tcPr>
            <w:tcW w:w="939" w:type="dxa"/>
          </w:tcPr>
          <w:p w14:paraId="3CAD38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6DD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F14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93E5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D1A4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952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E52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3A962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испытания, которое с-т проходит в</w:t>
            </w:r>
          </w:p>
        </w:tc>
      </w:tr>
      <w:tr w:rsidR="00DA227A" w:rsidRPr="00E93F40" w14:paraId="06CD9F87" w14:textId="77777777">
        <w:tc>
          <w:tcPr>
            <w:tcW w:w="939" w:type="dxa"/>
          </w:tcPr>
          <w:p w14:paraId="5BF518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C14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C12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7322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118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6F10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D4C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81EF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настоящее время.</w:t>
            </w:r>
          </w:p>
        </w:tc>
      </w:tr>
      <w:tr w:rsidR="009D12BD" w:rsidRPr="00E93F40" w14:paraId="672EB1BD" w14:textId="77777777">
        <w:tc>
          <w:tcPr>
            <w:tcW w:w="939" w:type="dxa"/>
          </w:tcPr>
          <w:p w14:paraId="196DB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53D5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21A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C690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AA62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9352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DD4A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78BB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Украинцев.</w:t>
            </w:r>
          </w:p>
        </w:tc>
      </w:tr>
    </w:tbl>
    <w:p w14:paraId="05659E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Layout w:type="fixed"/>
        <w:tblLook w:val="0000" w:firstRow="0" w:lastRow="0" w:firstColumn="0" w:lastColumn="0" w:noHBand="0" w:noVBand="0"/>
      </w:tblPr>
      <w:tblGrid>
        <w:gridCol w:w="939"/>
        <w:gridCol w:w="939"/>
        <w:gridCol w:w="939"/>
        <w:gridCol w:w="939"/>
        <w:gridCol w:w="939"/>
        <w:gridCol w:w="939"/>
        <w:gridCol w:w="939"/>
        <w:gridCol w:w="3883"/>
      </w:tblGrid>
      <w:tr w:rsidR="00DA227A" w:rsidRPr="00E93F40" w14:paraId="6DB82602" w14:textId="77777777">
        <w:tc>
          <w:tcPr>
            <w:tcW w:w="939" w:type="dxa"/>
            <w:tcBorders>
              <w:top w:val="single" w:sz="6" w:space="0" w:color="auto"/>
              <w:left w:val="single" w:sz="6" w:space="0" w:color="auto"/>
              <w:bottom w:val="single" w:sz="6" w:space="0" w:color="auto"/>
              <w:right w:val="single" w:sz="6" w:space="0" w:color="auto"/>
            </w:tcBorders>
          </w:tcPr>
          <w:p w14:paraId="267C1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самолетам (сухопутные).</w:t>
            </w:r>
          </w:p>
        </w:tc>
        <w:tc>
          <w:tcPr>
            <w:tcW w:w="939" w:type="dxa"/>
            <w:tcBorders>
              <w:top w:val="single" w:sz="6" w:space="0" w:color="auto"/>
              <w:left w:val="single" w:sz="6" w:space="0" w:color="auto"/>
              <w:bottom w:val="single" w:sz="6" w:space="0" w:color="auto"/>
              <w:right w:val="single" w:sz="6" w:space="0" w:color="auto"/>
            </w:tcBorders>
          </w:tcPr>
          <w:p w14:paraId="014E5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8B0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CDC1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765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A1BE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06F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262A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46CB4D" w14:textId="77777777">
        <w:tc>
          <w:tcPr>
            <w:tcW w:w="939" w:type="dxa"/>
            <w:tcBorders>
              <w:top w:val="single" w:sz="6" w:space="0" w:color="auto"/>
              <w:left w:val="single" w:sz="6" w:space="0" w:color="auto"/>
              <w:bottom w:val="single" w:sz="6" w:space="0" w:color="auto"/>
              <w:right w:val="single" w:sz="6" w:space="0" w:color="auto"/>
            </w:tcBorders>
          </w:tcPr>
          <w:p w14:paraId="4C970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c>
        <w:tc>
          <w:tcPr>
            <w:tcW w:w="939" w:type="dxa"/>
            <w:tcBorders>
              <w:top w:val="single" w:sz="6" w:space="0" w:color="auto"/>
              <w:left w:val="single" w:sz="6" w:space="0" w:color="auto"/>
              <w:bottom w:val="single" w:sz="6" w:space="0" w:color="auto"/>
              <w:right w:val="single" w:sz="6" w:space="0" w:color="auto"/>
            </w:tcBorders>
          </w:tcPr>
          <w:p w14:paraId="58A993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9E7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8FA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1DB5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CA11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D8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924A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68A0C62" w14:textId="77777777">
        <w:tc>
          <w:tcPr>
            <w:tcW w:w="939" w:type="dxa"/>
            <w:tcBorders>
              <w:top w:val="single" w:sz="6" w:space="0" w:color="auto"/>
              <w:left w:val="single" w:sz="6" w:space="0" w:color="auto"/>
              <w:bottom w:val="single" w:sz="6" w:space="0" w:color="auto"/>
              <w:right w:val="single" w:sz="6" w:space="0" w:color="auto"/>
            </w:tcBorders>
          </w:tcPr>
          <w:p w14:paraId="0CF22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ТБ6-М44 или</w:t>
            </w:r>
          </w:p>
        </w:tc>
        <w:tc>
          <w:tcPr>
            <w:tcW w:w="939" w:type="dxa"/>
            <w:tcBorders>
              <w:top w:val="single" w:sz="6" w:space="0" w:color="auto"/>
              <w:left w:val="single" w:sz="6" w:space="0" w:color="auto"/>
              <w:bottom w:val="single" w:sz="6" w:space="0" w:color="auto"/>
              <w:right w:val="single" w:sz="6" w:space="0" w:color="auto"/>
            </w:tcBorders>
          </w:tcPr>
          <w:p w14:paraId="402897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250/5000</w:t>
            </w:r>
          </w:p>
        </w:tc>
        <w:tc>
          <w:tcPr>
            <w:tcW w:w="939" w:type="dxa"/>
            <w:tcBorders>
              <w:top w:val="single" w:sz="6" w:space="0" w:color="auto"/>
              <w:left w:val="single" w:sz="6" w:space="0" w:color="auto"/>
              <w:bottom w:val="single" w:sz="6" w:space="0" w:color="auto"/>
              <w:right w:val="single" w:sz="6" w:space="0" w:color="auto"/>
            </w:tcBorders>
          </w:tcPr>
          <w:p w14:paraId="70489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CF1C9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939" w:type="dxa"/>
            <w:tcBorders>
              <w:top w:val="single" w:sz="6" w:space="0" w:color="auto"/>
              <w:left w:val="single" w:sz="6" w:space="0" w:color="auto"/>
              <w:bottom w:val="single" w:sz="6" w:space="0" w:color="auto"/>
              <w:right w:val="single" w:sz="6" w:space="0" w:color="auto"/>
            </w:tcBorders>
          </w:tcPr>
          <w:p w14:paraId="52C2B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w:t>
            </w:r>
          </w:p>
        </w:tc>
        <w:tc>
          <w:tcPr>
            <w:tcW w:w="939" w:type="dxa"/>
            <w:tcBorders>
              <w:top w:val="single" w:sz="6" w:space="0" w:color="auto"/>
              <w:left w:val="single" w:sz="6" w:space="0" w:color="auto"/>
              <w:bottom w:val="single" w:sz="6" w:space="0" w:color="auto"/>
              <w:right w:val="single" w:sz="6" w:space="0" w:color="auto"/>
            </w:tcBorders>
          </w:tcPr>
          <w:p w14:paraId="13B02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939" w:type="dxa"/>
            <w:tcBorders>
              <w:top w:val="single" w:sz="6" w:space="0" w:color="auto"/>
              <w:left w:val="single" w:sz="6" w:space="0" w:color="auto"/>
              <w:bottom w:val="single" w:sz="6" w:space="0" w:color="auto"/>
              <w:right w:val="single" w:sz="6" w:space="0" w:color="auto"/>
            </w:tcBorders>
          </w:tcPr>
          <w:p w14:paraId="6834C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4B047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ведет определение основн. размеров</w:t>
            </w:r>
          </w:p>
        </w:tc>
      </w:tr>
      <w:tr w:rsidR="00DA227A" w:rsidRPr="00E93F40" w14:paraId="2D39CCB3" w14:textId="77777777">
        <w:tc>
          <w:tcPr>
            <w:tcW w:w="939" w:type="dxa"/>
            <w:tcBorders>
              <w:top w:val="single" w:sz="6" w:space="0" w:color="auto"/>
              <w:left w:val="single" w:sz="6" w:space="0" w:color="auto"/>
              <w:bottom w:val="single" w:sz="6" w:space="0" w:color="auto"/>
              <w:right w:val="single" w:sz="6" w:space="0" w:color="auto"/>
            </w:tcBorders>
          </w:tcPr>
          <w:p w14:paraId="7909C1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нефтян. (Тяж.</w:t>
            </w:r>
          </w:p>
        </w:tc>
        <w:tc>
          <w:tcPr>
            <w:tcW w:w="939" w:type="dxa"/>
            <w:tcBorders>
              <w:top w:val="single" w:sz="6" w:space="0" w:color="auto"/>
              <w:left w:val="single" w:sz="6" w:space="0" w:color="auto"/>
              <w:bottom w:val="single" w:sz="6" w:space="0" w:color="auto"/>
              <w:right w:val="single" w:sz="6" w:space="0" w:color="auto"/>
            </w:tcBorders>
          </w:tcPr>
          <w:p w14:paraId="0641D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E68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30E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E77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 кг</w:t>
            </w:r>
          </w:p>
        </w:tc>
        <w:tc>
          <w:tcPr>
            <w:tcW w:w="939" w:type="dxa"/>
            <w:tcBorders>
              <w:top w:val="single" w:sz="6" w:space="0" w:color="auto"/>
              <w:left w:val="single" w:sz="6" w:space="0" w:color="auto"/>
              <w:bottom w:val="single" w:sz="6" w:space="0" w:color="auto"/>
              <w:right w:val="single" w:sz="6" w:space="0" w:color="auto"/>
            </w:tcBorders>
          </w:tcPr>
          <w:p w14:paraId="2D61E9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3C0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 г.</w:t>
            </w:r>
          </w:p>
        </w:tc>
        <w:tc>
          <w:tcPr>
            <w:tcW w:w="3883" w:type="dxa"/>
            <w:tcBorders>
              <w:top w:val="single" w:sz="6" w:space="0" w:color="auto"/>
              <w:left w:val="single" w:sz="6" w:space="0" w:color="auto"/>
              <w:bottom w:val="single" w:sz="6" w:space="0" w:color="auto"/>
              <w:right w:val="single" w:sz="6" w:space="0" w:color="auto"/>
            </w:tcBorders>
          </w:tcPr>
          <w:p w14:paraId="3AC185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и аэродинамические расчеты.</w:t>
            </w:r>
          </w:p>
        </w:tc>
      </w:tr>
      <w:tr w:rsidR="00DA227A" w:rsidRPr="00E93F40" w14:paraId="5A909C1F" w14:textId="77777777">
        <w:tc>
          <w:tcPr>
            <w:tcW w:w="939" w:type="dxa"/>
            <w:tcBorders>
              <w:top w:val="single" w:sz="6" w:space="0" w:color="auto"/>
              <w:left w:val="single" w:sz="6" w:space="0" w:color="auto"/>
              <w:bottom w:val="single" w:sz="6" w:space="0" w:color="auto"/>
              <w:right w:val="single" w:sz="6" w:space="0" w:color="auto"/>
            </w:tcBorders>
          </w:tcPr>
          <w:p w14:paraId="1D6EB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w:t>
            </w:r>
          </w:p>
        </w:tc>
        <w:tc>
          <w:tcPr>
            <w:tcW w:w="939" w:type="dxa"/>
            <w:tcBorders>
              <w:top w:val="single" w:sz="6" w:space="0" w:color="auto"/>
              <w:left w:val="single" w:sz="6" w:space="0" w:color="auto"/>
              <w:bottom w:val="single" w:sz="6" w:space="0" w:color="auto"/>
              <w:right w:val="single" w:sz="6" w:space="0" w:color="auto"/>
            </w:tcBorders>
          </w:tcPr>
          <w:p w14:paraId="3CA9EF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42C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CA2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4B17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w:t>
            </w:r>
          </w:p>
        </w:tc>
        <w:tc>
          <w:tcPr>
            <w:tcW w:w="939" w:type="dxa"/>
            <w:tcBorders>
              <w:top w:val="single" w:sz="6" w:space="0" w:color="auto"/>
              <w:left w:val="single" w:sz="6" w:space="0" w:color="auto"/>
              <w:bottom w:val="single" w:sz="6" w:space="0" w:color="auto"/>
              <w:right w:val="single" w:sz="6" w:space="0" w:color="auto"/>
            </w:tcBorders>
          </w:tcPr>
          <w:p w14:paraId="61CB3B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BA32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E1D06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Предположена конструкция моноплана с</w:t>
            </w:r>
          </w:p>
        </w:tc>
      </w:tr>
      <w:tr w:rsidR="00DA227A" w:rsidRPr="00E93F40" w14:paraId="405BC772" w14:textId="77777777">
        <w:tc>
          <w:tcPr>
            <w:tcW w:w="939" w:type="dxa"/>
            <w:tcBorders>
              <w:top w:val="single" w:sz="6" w:space="0" w:color="auto"/>
              <w:left w:val="single" w:sz="6" w:space="0" w:color="auto"/>
              <w:bottom w:val="single" w:sz="6" w:space="0" w:color="auto"/>
              <w:right w:val="single" w:sz="6" w:space="0" w:color="auto"/>
            </w:tcBorders>
          </w:tcPr>
          <w:p w14:paraId="78C22F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пасажир.)</w:t>
            </w:r>
          </w:p>
        </w:tc>
        <w:tc>
          <w:tcPr>
            <w:tcW w:w="939" w:type="dxa"/>
            <w:tcBorders>
              <w:top w:val="single" w:sz="6" w:space="0" w:color="auto"/>
              <w:left w:val="single" w:sz="6" w:space="0" w:color="auto"/>
              <w:bottom w:val="single" w:sz="6" w:space="0" w:color="auto"/>
              <w:right w:val="single" w:sz="6" w:space="0" w:color="auto"/>
            </w:tcBorders>
          </w:tcPr>
          <w:p w14:paraId="4CAE8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8E3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8DCF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651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2F352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59C7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03D0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очень большим размахом (около 100 м).</w:t>
            </w:r>
          </w:p>
        </w:tc>
      </w:tr>
      <w:tr w:rsidR="00DA227A" w:rsidRPr="00E93F40" w14:paraId="3EEBBFDE" w14:textId="77777777">
        <w:tc>
          <w:tcPr>
            <w:tcW w:w="939" w:type="dxa"/>
            <w:tcBorders>
              <w:top w:val="single" w:sz="6" w:space="0" w:color="auto"/>
              <w:left w:val="single" w:sz="6" w:space="0" w:color="auto"/>
              <w:bottom w:val="single" w:sz="6" w:space="0" w:color="auto"/>
              <w:right w:val="single" w:sz="6" w:space="0" w:color="auto"/>
            </w:tcBorders>
          </w:tcPr>
          <w:p w14:paraId="1BFF2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768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0635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300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ACC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пушки</w:t>
            </w:r>
          </w:p>
        </w:tc>
        <w:tc>
          <w:tcPr>
            <w:tcW w:w="939" w:type="dxa"/>
            <w:tcBorders>
              <w:top w:val="single" w:sz="6" w:space="0" w:color="auto"/>
              <w:left w:val="single" w:sz="6" w:space="0" w:color="auto"/>
              <w:bottom w:val="single" w:sz="6" w:space="0" w:color="auto"/>
              <w:right w:val="single" w:sz="6" w:space="0" w:color="auto"/>
            </w:tcBorders>
          </w:tcPr>
          <w:p w14:paraId="13BAA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711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D4298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3D1356" w14:textId="77777777">
        <w:tc>
          <w:tcPr>
            <w:tcW w:w="939" w:type="dxa"/>
            <w:tcBorders>
              <w:top w:val="single" w:sz="6" w:space="0" w:color="auto"/>
              <w:left w:val="single" w:sz="6" w:space="0" w:color="auto"/>
              <w:bottom w:val="single" w:sz="6" w:space="0" w:color="auto"/>
              <w:right w:val="single" w:sz="6" w:space="0" w:color="auto"/>
            </w:tcBorders>
          </w:tcPr>
          <w:p w14:paraId="752C7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Д1-10М34 (Тяж.</w:t>
            </w:r>
          </w:p>
        </w:tc>
        <w:tc>
          <w:tcPr>
            <w:tcW w:w="939" w:type="dxa"/>
            <w:tcBorders>
              <w:top w:val="single" w:sz="6" w:space="0" w:color="auto"/>
              <w:left w:val="single" w:sz="6" w:space="0" w:color="auto"/>
              <w:bottom w:val="single" w:sz="6" w:space="0" w:color="auto"/>
              <w:right w:val="single" w:sz="6" w:space="0" w:color="auto"/>
            </w:tcBorders>
          </w:tcPr>
          <w:p w14:paraId="46B592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939" w:type="dxa"/>
            <w:tcBorders>
              <w:top w:val="single" w:sz="6" w:space="0" w:color="auto"/>
              <w:left w:val="single" w:sz="6" w:space="0" w:color="auto"/>
              <w:bottom w:val="single" w:sz="6" w:space="0" w:color="auto"/>
              <w:right w:val="single" w:sz="6" w:space="0" w:color="auto"/>
            </w:tcBorders>
          </w:tcPr>
          <w:p w14:paraId="3EC19E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4DEE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17530B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67F2F5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939" w:type="dxa"/>
            <w:tcBorders>
              <w:top w:val="single" w:sz="6" w:space="0" w:color="auto"/>
              <w:left w:val="single" w:sz="6" w:space="0" w:color="auto"/>
              <w:bottom w:val="single" w:sz="6" w:space="0" w:color="auto"/>
              <w:right w:val="single" w:sz="6" w:space="0" w:color="auto"/>
            </w:tcBorders>
          </w:tcPr>
          <w:p w14:paraId="6EAE4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2F77BA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 истекший квартал продолжалось </w:t>
            </w:r>
          </w:p>
        </w:tc>
      </w:tr>
      <w:tr w:rsidR="00DA227A" w:rsidRPr="00E93F40" w14:paraId="3EFE7351" w14:textId="77777777">
        <w:tc>
          <w:tcPr>
            <w:tcW w:w="939" w:type="dxa"/>
            <w:tcBorders>
              <w:top w:val="single" w:sz="6" w:space="0" w:color="auto"/>
              <w:left w:val="single" w:sz="6" w:space="0" w:color="auto"/>
              <w:bottom w:val="single" w:sz="6" w:space="0" w:color="auto"/>
              <w:right w:val="single" w:sz="6" w:space="0" w:color="auto"/>
            </w:tcBorders>
          </w:tcPr>
          <w:p w14:paraId="051B88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w:t>
            </w:r>
          </w:p>
        </w:tc>
        <w:tc>
          <w:tcPr>
            <w:tcW w:w="939" w:type="dxa"/>
            <w:tcBorders>
              <w:top w:val="single" w:sz="6" w:space="0" w:color="auto"/>
              <w:left w:val="single" w:sz="6" w:space="0" w:color="auto"/>
              <w:bottom w:val="single" w:sz="6" w:space="0" w:color="auto"/>
              <w:right w:val="single" w:sz="6" w:space="0" w:color="auto"/>
            </w:tcBorders>
          </w:tcPr>
          <w:p w14:paraId="0C595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F1E8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687E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B6A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05EAE3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2A2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2F0071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самолета. Согласно</w:t>
            </w:r>
          </w:p>
        </w:tc>
      </w:tr>
      <w:tr w:rsidR="00DA227A" w:rsidRPr="00E93F40" w14:paraId="2C420F88" w14:textId="77777777">
        <w:tc>
          <w:tcPr>
            <w:tcW w:w="939" w:type="dxa"/>
            <w:tcBorders>
              <w:top w:val="single" w:sz="6" w:space="0" w:color="auto"/>
              <w:left w:val="single" w:sz="6" w:space="0" w:color="auto"/>
              <w:bottom w:val="single" w:sz="6" w:space="0" w:color="auto"/>
              <w:right w:val="single" w:sz="6" w:space="0" w:color="auto"/>
            </w:tcBorders>
          </w:tcPr>
          <w:p w14:paraId="429AB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9C7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7DD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5A2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B46B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868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C8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6F41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РВС от 11 августа 1932 года</w:t>
            </w:r>
          </w:p>
        </w:tc>
      </w:tr>
      <w:tr w:rsidR="00DA227A" w:rsidRPr="00E93F40" w14:paraId="6B58981C" w14:textId="77777777">
        <w:tc>
          <w:tcPr>
            <w:tcW w:w="939" w:type="dxa"/>
            <w:tcBorders>
              <w:top w:val="single" w:sz="6" w:space="0" w:color="auto"/>
              <w:left w:val="single" w:sz="6" w:space="0" w:color="auto"/>
              <w:bottom w:val="single" w:sz="6" w:space="0" w:color="auto"/>
              <w:right w:val="single" w:sz="6" w:space="0" w:color="auto"/>
            </w:tcBorders>
          </w:tcPr>
          <w:p w14:paraId="7D5AA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D8C4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EBA5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2CA8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4C31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240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B0AE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1231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полное развертывание постройки самолета</w:t>
            </w:r>
          </w:p>
        </w:tc>
      </w:tr>
      <w:tr w:rsidR="00DA227A" w:rsidRPr="00E93F40" w14:paraId="7BAA7F82" w14:textId="77777777">
        <w:tc>
          <w:tcPr>
            <w:tcW w:w="939" w:type="dxa"/>
            <w:tcBorders>
              <w:top w:val="single" w:sz="6" w:space="0" w:color="auto"/>
              <w:left w:val="single" w:sz="6" w:space="0" w:color="auto"/>
              <w:bottom w:val="single" w:sz="6" w:space="0" w:color="auto"/>
              <w:right w:val="single" w:sz="6" w:space="0" w:color="auto"/>
            </w:tcBorders>
          </w:tcPr>
          <w:p w14:paraId="40D058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E75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BA33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66C9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4D8C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819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C08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47DD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должно быть поставлено в зависимость</w:t>
            </w:r>
          </w:p>
        </w:tc>
      </w:tr>
      <w:tr w:rsidR="00DA227A" w:rsidRPr="00E93F40" w14:paraId="5E533FC7" w14:textId="77777777">
        <w:tc>
          <w:tcPr>
            <w:tcW w:w="939" w:type="dxa"/>
            <w:tcBorders>
              <w:top w:val="single" w:sz="6" w:space="0" w:color="auto"/>
              <w:left w:val="single" w:sz="6" w:space="0" w:color="auto"/>
              <w:bottom w:val="single" w:sz="6" w:space="0" w:color="auto"/>
              <w:right w:val="single" w:sz="6" w:space="0" w:color="auto"/>
            </w:tcBorders>
          </w:tcPr>
          <w:p w14:paraId="56EA8B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E43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705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FD1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A9C3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C48B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3619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378D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успешности решения вопроса с</w:t>
            </w:r>
          </w:p>
        </w:tc>
      </w:tr>
      <w:tr w:rsidR="00DA227A" w:rsidRPr="00E93F40" w14:paraId="55424B12" w14:textId="77777777">
        <w:tc>
          <w:tcPr>
            <w:tcW w:w="939" w:type="dxa"/>
            <w:tcBorders>
              <w:top w:val="single" w:sz="6" w:space="0" w:color="auto"/>
              <w:left w:val="single" w:sz="6" w:space="0" w:color="auto"/>
              <w:bottom w:val="single" w:sz="6" w:space="0" w:color="auto"/>
              <w:right w:val="single" w:sz="6" w:space="0" w:color="auto"/>
            </w:tcBorders>
          </w:tcPr>
          <w:p w14:paraId="3AC2A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BCF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4AC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27A9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90C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F7BA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B948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219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передачей от моторов на винты.</w:t>
            </w:r>
          </w:p>
        </w:tc>
      </w:tr>
      <w:tr w:rsidR="00DA227A" w:rsidRPr="00E93F40" w14:paraId="6529F4D5" w14:textId="77777777">
        <w:tc>
          <w:tcPr>
            <w:tcW w:w="939" w:type="dxa"/>
            <w:tcBorders>
              <w:top w:val="single" w:sz="6" w:space="0" w:color="auto"/>
              <w:left w:val="single" w:sz="6" w:space="0" w:color="auto"/>
              <w:bottom w:val="single" w:sz="6" w:space="0" w:color="auto"/>
              <w:right w:val="single" w:sz="6" w:space="0" w:color="auto"/>
            </w:tcBorders>
          </w:tcPr>
          <w:p w14:paraId="6B46E5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 (Тяж.</w:t>
            </w:r>
          </w:p>
        </w:tc>
        <w:tc>
          <w:tcPr>
            <w:tcW w:w="939" w:type="dxa"/>
            <w:tcBorders>
              <w:top w:val="single" w:sz="6" w:space="0" w:color="auto"/>
              <w:left w:val="single" w:sz="6" w:space="0" w:color="auto"/>
              <w:bottom w:val="single" w:sz="6" w:space="0" w:color="auto"/>
              <w:right w:val="single" w:sz="6" w:space="0" w:color="auto"/>
            </w:tcBorders>
          </w:tcPr>
          <w:p w14:paraId="19D4C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13D48D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C40F2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429D0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600 кг</w:t>
            </w:r>
          </w:p>
        </w:tc>
        <w:tc>
          <w:tcPr>
            <w:tcW w:w="939" w:type="dxa"/>
            <w:tcBorders>
              <w:top w:val="single" w:sz="6" w:space="0" w:color="auto"/>
              <w:left w:val="single" w:sz="6" w:space="0" w:color="auto"/>
              <w:bottom w:val="single" w:sz="6" w:space="0" w:color="auto"/>
              <w:right w:val="single" w:sz="6" w:space="0" w:color="auto"/>
            </w:tcBorders>
          </w:tcPr>
          <w:p w14:paraId="1D4BF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05F88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нояб. </w:t>
            </w:r>
          </w:p>
        </w:tc>
        <w:tc>
          <w:tcPr>
            <w:tcW w:w="3883" w:type="dxa"/>
            <w:tcBorders>
              <w:top w:val="single" w:sz="6" w:space="0" w:color="auto"/>
              <w:left w:val="single" w:sz="6" w:space="0" w:color="auto"/>
              <w:bottom w:val="single" w:sz="6" w:space="0" w:color="auto"/>
              <w:right w:val="single" w:sz="6" w:space="0" w:color="auto"/>
            </w:tcBorders>
          </w:tcPr>
          <w:p w14:paraId="298818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истекший квартал продолжалась</w:t>
            </w:r>
          </w:p>
        </w:tc>
      </w:tr>
      <w:tr w:rsidR="00DA227A" w:rsidRPr="00E93F40" w14:paraId="2DEB06D1" w14:textId="77777777">
        <w:tc>
          <w:tcPr>
            <w:tcW w:w="939" w:type="dxa"/>
            <w:tcBorders>
              <w:top w:val="single" w:sz="6" w:space="0" w:color="auto"/>
              <w:left w:val="single" w:sz="6" w:space="0" w:color="auto"/>
              <w:bottom w:val="single" w:sz="6" w:space="0" w:color="auto"/>
              <w:right w:val="single" w:sz="6" w:space="0" w:color="auto"/>
            </w:tcBorders>
          </w:tcPr>
          <w:p w14:paraId="15A277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бомбовоз)</w:t>
            </w:r>
          </w:p>
        </w:tc>
        <w:tc>
          <w:tcPr>
            <w:tcW w:w="939" w:type="dxa"/>
            <w:tcBorders>
              <w:top w:val="single" w:sz="6" w:space="0" w:color="auto"/>
              <w:left w:val="single" w:sz="6" w:space="0" w:color="auto"/>
              <w:bottom w:val="single" w:sz="6" w:space="0" w:color="auto"/>
              <w:right w:val="single" w:sz="6" w:space="0" w:color="auto"/>
            </w:tcBorders>
          </w:tcPr>
          <w:p w14:paraId="14E1A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FEF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6EC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0779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1CBDF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3CAD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15CB2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самолета. Основная задержка</w:t>
            </w:r>
          </w:p>
        </w:tc>
      </w:tr>
      <w:tr w:rsidR="00DA227A" w:rsidRPr="00E93F40" w14:paraId="6080BE9C" w14:textId="77777777">
        <w:tc>
          <w:tcPr>
            <w:tcW w:w="939" w:type="dxa"/>
            <w:tcBorders>
              <w:top w:val="single" w:sz="6" w:space="0" w:color="auto"/>
              <w:left w:val="single" w:sz="6" w:space="0" w:color="auto"/>
              <w:bottom w:val="single" w:sz="6" w:space="0" w:color="auto"/>
              <w:right w:val="single" w:sz="6" w:space="0" w:color="auto"/>
            </w:tcBorders>
          </w:tcPr>
          <w:p w14:paraId="2C714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E41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A083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F2BE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7FF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2C5151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A8F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E00D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выпуске самолета, втом , что ЦАГИ</w:t>
            </w:r>
          </w:p>
        </w:tc>
      </w:tr>
      <w:tr w:rsidR="00DA227A" w:rsidRPr="00E93F40" w14:paraId="010B96F4" w14:textId="77777777">
        <w:tc>
          <w:tcPr>
            <w:tcW w:w="939" w:type="dxa"/>
            <w:tcBorders>
              <w:top w:val="single" w:sz="6" w:space="0" w:color="auto"/>
              <w:left w:val="single" w:sz="6" w:space="0" w:color="auto"/>
              <w:bottom w:val="single" w:sz="6" w:space="0" w:color="auto"/>
              <w:right w:val="single" w:sz="6" w:space="0" w:color="auto"/>
            </w:tcBorders>
          </w:tcPr>
          <w:p w14:paraId="461D5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6B3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1A1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C03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3A7A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8570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2D2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DEB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наст. вр. не получило моторов М34</w:t>
            </w:r>
          </w:p>
        </w:tc>
      </w:tr>
      <w:tr w:rsidR="00DA227A" w:rsidRPr="00E93F40" w14:paraId="25730097" w14:textId="77777777">
        <w:tc>
          <w:tcPr>
            <w:tcW w:w="939" w:type="dxa"/>
            <w:tcBorders>
              <w:top w:val="single" w:sz="6" w:space="0" w:color="auto"/>
              <w:left w:val="single" w:sz="6" w:space="0" w:color="auto"/>
              <w:bottom w:val="single" w:sz="6" w:space="0" w:color="auto"/>
              <w:right w:val="single" w:sz="6" w:space="0" w:color="auto"/>
            </w:tcBorders>
          </w:tcPr>
          <w:p w14:paraId="34AAC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7863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A04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D1AC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A4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051E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6058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126B8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установки их на самолет. При </w:t>
            </w:r>
          </w:p>
        </w:tc>
      </w:tr>
      <w:tr w:rsidR="00DA227A" w:rsidRPr="00E93F40" w14:paraId="0E6907C1" w14:textId="77777777">
        <w:tc>
          <w:tcPr>
            <w:tcW w:w="939" w:type="dxa"/>
            <w:tcBorders>
              <w:top w:val="single" w:sz="6" w:space="0" w:color="auto"/>
              <w:left w:val="single" w:sz="6" w:space="0" w:color="auto"/>
              <w:bottom w:val="single" w:sz="6" w:space="0" w:color="auto"/>
              <w:right w:val="single" w:sz="6" w:space="0" w:color="auto"/>
            </w:tcBorders>
          </w:tcPr>
          <w:p w14:paraId="47EA6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7AC6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2FE9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27D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6CD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9E87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B44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751F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немедленном получении моторов с-т мог</w:t>
            </w:r>
          </w:p>
        </w:tc>
      </w:tr>
      <w:tr w:rsidR="00DA227A" w:rsidRPr="00E93F40" w14:paraId="7AA910E3" w14:textId="77777777">
        <w:tc>
          <w:tcPr>
            <w:tcW w:w="939" w:type="dxa"/>
            <w:tcBorders>
              <w:top w:val="single" w:sz="6" w:space="0" w:color="auto"/>
              <w:left w:val="single" w:sz="6" w:space="0" w:color="auto"/>
              <w:bottom w:val="single" w:sz="6" w:space="0" w:color="auto"/>
              <w:right w:val="single" w:sz="6" w:space="0" w:color="auto"/>
            </w:tcBorders>
          </w:tcPr>
          <w:p w14:paraId="6E5B2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DCB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1C4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043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28C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E54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7F87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96DF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быть выпущен в воздух в начале ноября.</w:t>
            </w:r>
          </w:p>
        </w:tc>
      </w:tr>
      <w:tr w:rsidR="00DA227A" w:rsidRPr="00E93F40" w14:paraId="48DEC562" w14:textId="77777777">
        <w:tc>
          <w:tcPr>
            <w:tcW w:w="939" w:type="dxa"/>
            <w:tcBorders>
              <w:top w:val="single" w:sz="6" w:space="0" w:color="auto"/>
              <w:left w:val="single" w:sz="6" w:space="0" w:color="auto"/>
              <w:bottom w:val="single" w:sz="6" w:space="0" w:color="auto"/>
              <w:right w:val="single" w:sz="6" w:space="0" w:color="auto"/>
            </w:tcBorders>
          </w:tcPr>
          <w:p w14:paraId="42F9D1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w:t>
            </w:r>
          </w:p>
        </w:tc>
        <w:tc>
          <w:tcPr>
            <w:tcW w:w="939" w:type="dxa"/>
            <w:tcBorders>
              <w:top w:val="single" w:sz="6" w:space="0" w:color="auto"/>
              <w:left w:val="single" w:sz="6" w:space="0" w:color="auto"/>
              <w:bottom w:val="single" w:sz="6" w:space="0" w:color="auto"/>
              <w:right w:val="single" w:sz="6" w:space="0" w:color="auto"/>
            </w:tcBorders>
          </w:tcPr>
          <w:p w14:paraId="04E7BB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49094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E63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32A4B6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600 кг</w:t>
            </w:r>
          </w:p>
        </w:tc>
        <w:tc>
          <w:tcPr>
            <w:tcW w:w="939" w:type="dxa"/>
            <w:tcBorders>
              <w:top w:val="single" w:sz="6" w:space="0" w:color="auto"/>
              <w:left w:val="single" w:sz="6" w:space="0" w:color="auto"/>
              <w:bottom w:val="single" w:sz="6" w:space="0" w:color="auto"/>
              <w:right w:val="single" w:sz="6" w:space="0" w:color="auto"/>
            </w:tcBorders>
          </w:tcPr>
          <w:p w14:paraId="73E74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0AD97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5411C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истекший квартал разработаны рабочие</w:t>
            </w:r>
          </w:p>
        </w:tc>
      </w:tr>
      <w:tr w:rsidR="00DA227A" w:rsidRPr="00E93F40" w14:paraId="721DBB0C" w14:textId="77777777">
        <w:tc>
          <w:tcPr>
            <w:tcW w:w="939" w:type="dxa"/>
            <w:tcBorders>
              <w:top w:val="single" w:sz="6" w:space="0" w:color="auto"/>
              <w:left w:val="single" w:sz="6" w:space="0" w:color="auto"/>
              <w:bottom w:val="single" w:sz="6" w:space="0" w:color="auto"/>
              <w:right w:val="single" w:sz="6" w:space="0" w:color="auto"/>
            </w:tcBorders>
          </w:tcPr>
          <w:p w14:paraId="25470E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(Головной</w:t>
            </w:r>
          </w:p>
        </w:tc>
        <w:tc>
          <w:tcPr>
            <w:tcW w:w="939" w:type="dxa"/>
            <w:tcBorders>
              <w:top w:val="single" w:sz="6" w:space="0" w:color="auto"/>
              <w:left w:val="single" w:sz="6" w:space="0" w:color="auto"/>
              <w:bottom w:val="single" w:sz="6" w:space="0" w:color="auto"/>
              <w:right w:val="single" w:sz="6" w:space="0" w:color="auto"/>
            </w:tcBorders>
          </w:tcPr>
          <w:p w14:paraId="31F108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D41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E00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58B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4F1909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80D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F4416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чертежи крыльев. Продолжается</w:t>
            </w:r>
          </w:p>
        </w:tc>
      </w:tr>
      <w:tr w:rsidR="00DA227A" w:rsidRPr="00E93F40" w14:paraId="4C64F1C4" w14:textId="77777777">
        <w:tc>
          <w:tcPr>
            <w:tcW w:w="939" w:type="dxa"/>
            <w:tcBorders>
              <w:top w:val="single" w:sz="6" w:space="0" w:color="auto"/>
              <w:left w:val="single" w:sz="6" w:space="0" w:color="auto"/>
              <w:bottom w:val="single" w:sz="6" w:space="0" w:color="auto"/>
              <w:right w:val="single" w:sz="6" w:space="0" w:color="auto"/>
            </w:tcBorders>
          </w:tcPr>
          <w:p w14:paraId="799DBF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серийный)</w:t>
            </w:r>
          </w:p>
        </w:tc>
        <w:tc>
          <w:tcPr>
            <w:tcW w:w="939" w:type="dxa"/>
            <w:tcBorders>
              <w:top w:val="single" w:sz="6" w:space="0" w:color="auto"/>
              <w:left w:val="single" w:sz="6" w:space="0" w:color="auto"/>
              <w:bottom w:val="single" w:sz="6" w:space="0" w:color="auto"/>
              <w:right w:val="single" w:sz="6" w:space="0" w:color="auto"/>
            </w:tcBorders>
          </w:tcPr>
          <w:p w14:paraId="33B58F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400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7A18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0AC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624D86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30FA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90E1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проектировка фюзеляжа, который будет</w:t>
            </w:r>
          </w:p>
        </w:tc>
      </w:tr>
      <w:tr w:rsidR="00DA227A" w:rsidRPr="00E93F40" w14:paraId="15694247" w14:textId="77777777">
        <w:tc>
          <w:tcPr>
            <w:tcW w:w="939" w:type="dxa"/>
            <w:tcBorders>
              <w:top w:val="single" w:sz="6" w:space="0" w:color="auto"/>
              <w:left w:val="single" w:sz="6" w:space="0" w:color="auto"/>
              <w:bottom w:val="single" w:sz="6" w:space="0" w:color="auto"/>
              <w:right w:val="single" w:sz="6" w:space="0" w:color="auto"/>
            </w:tcBorders>
          </w:tcPr>
          <w:p w14:paraId="579BBA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5199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78E1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65C2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EEB3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5E64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4277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F678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отличаться от опытного самолета ТБ-4</w:t>
            </w:r>
          </w:p>
        </w:tc>
      </w:tr>
      <w:tr w:rsidR="00DA227A" w:rsidRPr="00E93F40" w14:paraId="38355DBF" w14:textId="77777777">
        <w:tc>
          <w:tcPr>
            <w:tcW w:w="939" w:type="dxa"/>
            <w:tcBorders>
              <w:top w:val="single" w:sz="6" w:space="0" w:color="auto"/>
              <w:left w:val="single" w:sz="6" w:space="0" w:color="auto"/>
              <w:bottom w:val="single" w:sz="6" w:space="0" w:color="auto"/>
              <w:right w:val="single" w:sz="6" w:space="0" w:color="auto"/>
            </w:tcBorders>
          </w:tcPr>
          <w:p w14:paraId="02205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5BC4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8AB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1DCC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2C9E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D3D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3CC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C41E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своей шириной. Построен макет фюзеляжа.</w:t>
            </w:r>
          </w:p>
        </w:tc>
      </w:tr>
      <w:tr w:rsidR="00DA227A" w:rsidRPr="00E93F40" w14:paraId="4123A268" w14:textId="77777777">
        <w:tc>
          <w:tcPr>
            <w:tcW w:w="939" w:type="dxa"/>
            <w:tcBorders>
              <w:top w:val="single" w:sz="6" w:space="0" w:color="auto"/>
              <w:left w:val="single" w:sz="6" w:space="0" w:color="auto"/>
              <w:bottom w:val="single" w:sz="6" w:space="0" w:color="auto"/>
              <w:right w:val="single" w:sz="6" w:space="0" w:color="auto"/>
            </w:tcBorders>
          </w:tcPr>
          <w:p w14:paraId="725A46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Х1-2М34 (Тяж.</w:t>
            </w:r>
          </w:p>
        </w:tc>
        <w:tc>
          <w:tcPr>
            <w:tcW w:w="939" w:type="dxa"/>
            <w:tcBorders>
              <w:top w:val="single" w:sz="6" w:space="0" w:color="auto"/>
              <w:left w:val="single" w:sz="6" w:space="0" w:color="auto"/>
              <w:bottom w:val="single" w:sz="6" w:space="0" w:color="auto"/>
              <w:right w:val="single" w:sz="6" w:space="0" w:color="auto"/>
            </w:tcBorders>
          </w:tcPr>
          <w:p w14:paraId="0C4C7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6C448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C3321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A5A6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кг ОВ</w:t>
            </w:r>
          </w:p>
        </w:tc>
        <w:tc>
          <w:tcPr>
            <w:tcW w:w="939" w:type="dxa"/>
            <w:tcBorders>
              <w:top w:val="single" w:sz="6" w:space="0" w:color="auto"/>
              <w:left w:val="single" w:sz="6" w:space="0" w:color="auto"/>
              <w:bottom w:val="single" w:sz="6" w:space="0" w:color="auto"/>
              <w:right w:val="single" w:sz="6" w:space="0" w:color="auto"/>
            </w:tcBorders>
          </w:tcPr>
          <w:p w14:paraId="1DF6D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939" w:type="dxa"/>
            <w:tcBorders>
              <w:top w:val="single" w:sz="6" w:space="0" w:color="auto"/>
              <w:left w:val="single" w:sz="6" w:space="0" w:color="auto"/>
              <w:bottom w:val="single" w:sz="6" w:space="0" w:color="auto"/>
              <w:right w:val="single" w:sz="6" w:space="0" w:color="auto"/>
            </w:tcBorders>
          </w:tcPr>
          <w:p w14:paraId="22ED2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w:t>
            </w:r>
          </w:p>
        </w:tc>
        <w:tc>
          <w:tcPr>
            <w:tcW w:w="3883" w:type="dxa"/>
            <w:tcBorders>
              <w:top w:val="single" w:sz="6" w:space="0" w:color="auto"/>
              <w:left w:val="single" w:sz="6" w:space="0" w:color="auto"/>
              <w:bottom w:val="single" w:sz="6" w:space="0" w:color="auto"/>
              <w:right w:val="single" w:sz="6" w:space="0" w:color="auto"/>
            </w:tcBorders>
          </w:tcPr>
          <w:p w14:paraId="7FA03B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НИИ ГУГВФ продолжалась разработка</w:t>
            </w:r>
          </w:p>
        </w:tc>
      </w:tr>
      <w:tr w:rsidR="00DA227A" w:rsidRPr="00E93F40" w14:paraId="58632B84" w14:textId="77777777">
        <w:tc>
          <w:tcPr>
            <w:tcW w:w="939" w:type="dxa"/>
            <w:tcBorders>
              <w:top w:val="single" w:sz="6" w:space="0" w:color="auto"/>
              <w:left w:val="single" w:sz="6" w:space="0" w:color="auto"/>
              <w:bottom w:val="single" w:sz="6" w:space="0" w:color="auto"/>
              <w:right w:val="single" w:sz="6" w:space="0" w:color="auto"/>
            </w:tcBorders>
          </w:tcPr>
          <w:p w14:paraId="0F1A5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химич. боевик,</w:t>
            </w:r>
          </w:p>
        </w:tc>
        <w:tc>
          <w:tcPr>
            <w:tcW w:w="939" w:type="dxa"/>
            <w:tcBorders>
              <w:top w:val="single" w:sz="6" w:space="0" w:color="auto"/>
              <w:left w:val="single" w:sz="6" w:space="0" w:color="auto"/>
              <w:bottom w:val="single" w:sz="6" w:space="0" w:color="auto"/>
              <w:right w:val="single" w:sz="6" w:space="0" w:color="auto"/>
            </w:tcBorders>
          </w:tcPr>
          <w:p w14:paraId="0058D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02C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8CA4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91BA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62B31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C16C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377D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эскизного проекта самолета. Констр.</w:t>
            </w:r>
          </w:p>
        </w:tc>
      </w:tr>
      <w:tr w:rsidR="00DA227A" w:rsidRPr="00E93F40" w14:paraId="664EAB1A" w14:textId="77777777">
        <w:tc>
          <w:tcPr>
            <w:tcW w:w="939" w:type="dxa"/>
            <w:tcBorders>
              <w:top w:val="single" w:sz="6" w:space="0" w:color="auto"/>
              <w:left w:val="single" w:sz="6" w:space="0" w:color="auto"/>
              <w:bottom w:val="single" w:sz="6" w:space="0" w:color="auto"/>
              <w:right w:val="single" w:sz="6" w:space="0" w:color="auto"/>
            </w:tcBorders>
          </w:tcPr>
          <w:p w14:paraId="6F894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с-т для</w:t>
            </w:r>
          </w:p>
        </w:tc>
        <w:tc>
          <w:tcPr>
            <w:tcW w:w="939" w:type="dxa"/>
            <w:tcBorders>
              <w:top w:val="single" w:sz="6" w:space="0" w:color="auto"/>
              <w:left w:val="single" w:sz="6" w:space="0" w:color="auto"/>
              <w:bottom w:val="single" w:sz="6" w:space="0" w:color="auto"/>
              <w:right w:val="single" w:sz="6" w:space="0" w:color="auto"/>
            </w:tcBorders>
          </w:tcPr>
          <w:p w14:paraId="7FC6B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F06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59F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94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270C2E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70DF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37B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Путилов остановился на схеме двуххвостки.</w:t>
            </w:r>
          </w:p>
        </w:tc>
      </w:tr>
      <w:tr w:rsidR="00DA227A" w:rsidRPr="00E93F40" w14:paraId="579911C0" w14:textId="77777777">
        <w:tc>
          <w:tcPr>
            <w:tcW w:w="939" w:type="dxa"/>
            <w:tcBorders>
              <w:top w:val="single" w:sz="6" w:space="0" w:color="auto"/>
              <w:left w:val="single" w:sz="6" w:space="0" w:color="auto"/>
              <w:bottom w:val="single" w:sz="6" w:space="0" w:color="auto"/>
              <w:right w:val="single" w:sz="6" w:space="0" w:color="auto"/>
            </w:tcBorders>
          </w:tcPr>
          <w:p w14:paraId="7306FF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перевозки </w:t>
            </w:r>
          </w:p>
        </w:tc>
        <w:tc>
          <w:tcPr>
            <w:tcW w:w="939" w:type="dxa"/>
            <w:tcBorders>
              <w:top w:val="single" w:sz="6" w:space="0" w:color="auto"/>
              <w:left w:val="single" w:sz="6" w:space="0" w:color="auto"/>
              <w:bottom w:val="single" w:sz="6" w:space="0" w:color="auto"/>
              <w:right w:val="single" w:sz="6" w:space="0" w:color="auto"/>
            </w:tcBorders>
          </w:tcPr>
          <w:p w14:paraId="6E7F7F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3D08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68E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9870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1F3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119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1967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Сделана модель для продувки.</w:t>
            </w:r>
          </w:p>
        </w:tc>
      </w:tr>
      <w:tr w:rsidR="00DA227A" w:rsidRPr="00E93F40" w14:paraId="39A99BD3" w14:textId="77777777">
        <w:tc>
          <w:tcPr>
            <w:tcW w:w="939" w:type="dxa"/>
            <w:tcBorders>
              <w:top w:val="single" w:sz="6" w:space="0" w:color="auto"/>
              <w:left w:val="single" w:sz="6" w:space="0" w:color="auto"/>
              <w:bottom w:val="single" w:sz="6" w:space="0" w:color="auto"/>
              <w:right w:val="single" w:sz="6" w:space="0" w:color="auto"/>
            </w:tcBorders>
          </w:tcPr>
          <w:p w14:paraId="264AE7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горюч. и пассаж.)</w:t>
            </w:r>
          </w:p>
        </w:tc>
        <w:tc>
          <w:tcPr>
            <w:tcW w:w="939" w:type="dxa"/>
            <w:tcBorders>
              <w:top w:val="single" w:sz="6" w:space="0" w:color="auto"/>
              <w:left w:val="single" w:sz="6" w:space="0" w:color="auto"/>
              <w:bottom w:val="single" w:sz="6" w:space="0" w:color="auto"/>
              <w:right w:val="single" w:sz="6" w:space="0" w:color="auto"/>
            </w:tcBorders>
          </w:tcPr>
          <w:p w14:paraId="22912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A21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51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7FE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E4C5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8069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962A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AF02DF" w14:textId="77777777">
        <w:tc>
          <w:tcPr>
            <w:tcW w:w="939" w:type="dxa"/>
            <w:tcBorders>
              <w:top w:val="single" w:sz="6" w:space="0" w:color="auto"/>
              <w:left w:val="single" w:sz="6" w:space="0" w:color="auto"/>
              <w:bottom w:val="single" w:sz="6" w:space="0" w:color="auto"/>
              <w:right w:val="single" w:sz="6" w:space="0" w:color="auto"/>
            </w:tcBorders>
          </w:tcPr>
          <w:p w14:paraId="3ACBA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К1-2М34</w:t>
            </w:r>
          </w:p>
        </w:tc>
        <w:tc>
          <w:tcPr>
            <w:tcW w:w="939" w:type="dxa"/>
            <w:tcBorders>
              <w:top w:val="single" w:sz="6" w:space="0" w:color="auto"/>
              <w:left w:val="single" w:sz="6" w:space="0" w:color="auto"/>
              <w:bottom w:val="single" w:sz="6" w:space="0" w:color="auto"/>
              <w:right w:val="single" w:sz="6" w:space="0" w:color="auto"/>
            </w:tcBorders>
          </w:tcPr>
          <w:p w14:paraId="32E56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270-300/</w:t>
            </w:r>
          </w:p>
        </w:tc>
        <w:tc>
          <w:tcPr>
            <w:tcW w:w="939" w:type="dxa"/>
            <w:tcBorders>
              <w:top w:val="single" w:sz="6" w:space="0" w:color="auto"/>
              <w:left w:val="single" w:sz="6" w:space="0" w:color="auto"/>
              <w:bottom w:val="single" w:sz="6" w:space="0" w:color="auto"/>
              <w:right w:val="single" w:sz="6" w:space="0" w:color="auto"/>
            </w:tcBorders>
          </w:tcPr>
          <w:p w14:paraId="26266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A1AA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598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7123D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600-1000</w:t>
            </w:r>
          </w:p>
        </w:tc>
        <w:tc>
          <w:tcPr>
            <w:tcW w:w="939" w:type="dxa"/>
            <w:tcBorders>
              <w:top w:val="single" w:sz="6" w:space="0" w:color="auto"/>
              <w:left w:val="single" w:sz="6" w:space="0" w:color="auto"/>
              <w:bottom w:val="single" w:sz="6" w:space="0" w:color="auto"/>
              <w:right w:val="single" w:sz="6" w:space="0" w:color="auto"/>
            </w:tcBorders>
          </w:tcPr>
          <w:p w14:paraId="06E02F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61851C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Произведены предварительные изыскания </w:t>
            </w:r>
          </w:p>
        </w:tc>
      </w:tr>
      <w:tr w:rsidR="00DA227A" w:rsidRPr="00E93F40" w14:paraId="4A7F789C" w14:textId="77777777">
        <w:tc>
          <w:tcPr>
            <w:tcW w:w="939" w:type="dxa"/>
            <w:tcBorders>
              <w:top w:val="single" w:sz="6" w:space="0" w:color="auto"/>
              <w:left w:val="single" w:sz="6" w:space="0" w:color="auto"/>
              <w:bottom w:val="single" w:sz="6" w:space="0" w:color="auto"/>
              <w:right w:val="single" w:sz="6" w:space="0" w:color="auto"/>
            </w:tcBorders>
          </w:tcPr>
          <w:p w14:paraId="370DF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 сухопут.,</w:t>
            </w:r>
          </w:p>
        </w:tc>
        <w:tc>
          <w:tcPr>
            <w:tcW w:w="939" w:type="dxa"/>
            <w:tcBorders>
              <w:top w:val="single" w:sz="6" w:space="0" w:color="auto"/>
              <w:left w:val="single" w:sz="6" w:space="0" w:color="auto"/>
              <w:bottom w:val="single" w:sz="6" w:space="0" w:color="auto"/>
              <w:right w:val="single" w:sz="6" w:space="0" w:color="auto"/>
            </w:tcBorders>
          </w:tcPr>
          <w:p w14:paraId="2EE58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35F81C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71A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C60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7C3F6B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078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45D4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моторы М-32 и М-34.</w:t>
            </w:r>
          </w:p>
        </w:tc>
      </w:tr>
      <w:tr w:rsidR="00DA227A" w:rsidRPr="00E93F40" w14:paraId="527E9D70" w14:textId="77777777">
        <w:tc>
          <w:tcPr>
            <w:tcW w:w="939" w:type="dxa"/>
            <w:tcBorders>
              <w:top w:val="single" w:sz="6" w:space="0" w:color="auto"/>
              <w:left w:val="single" w:sz="6" w:space="0" w:color="auto"/>
              <w:bottom w:val="single" w:sz="6" w:space="0" w:color="auto"/>
              <w:right w:val="single" w:sz="6" w:space="0" w:color="auto"/>
            </w:tcBorders>
          </w:tcPr>
          <w:p w14:paraId="1742D4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средний бомбардир.,</w:t>
            </w:r>
          </w:p>
        </w:tc>
        <w:tc>
          <w:tcPr>
            <w:tcW w:w="939" w:type="dxa"/>
            <w:tcBorders>
              <w:top w:val="single" w:sz="6" w:space="0" w:color="auto"/>
              <w:left w:val="single" w:sz="6" w:space="0" w:color="auto"/>
              <w:bottom w:val="single" w:sz="6" w:space="0" w:color="auto"/>
              <w:right w:val="single" w:sz="6" w:space="0" w:color="auto"/>
            </w:tcBorders>
          </w:tcPr>
          <w:p w14:paraId="79D1F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80A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799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4A42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EB3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8D9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46B46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CA3D64" w14:textId="77777777">
        <w:tc>
          <w:tcPr>
            <w:tcW w:w="939" w:type="dxa"/>
            <w:tcBorders>
              <w:top w:val="single" w:sz="6" w:space="0" w:color="auto"/>
              <w:left w:val="single" w:sz="6" w:space="0" w:color="auto"/>
              <w:bottom w:val="single" w:sz="6" w:space="0" w:color="auto"/>
              <w:right w:val="single" w:sz="6" w:space="0" w:color="auto"/>
            </w:tcBorders>
          </w:tcPr>
          <w:p w14:paraId="5E6AA2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Разведчик)</w:t>
            </w:r>
          </w:p>
        </w:tc>
        <w:tc>
          <w:tcPr>
            <w:tcW w:w="939" w:type="dxa"/>
            <w:tcBorders>
              <w:top w:val="single" w:sz="6" w:space="0" w:color="auto"/>
              <w:left w:val="single" w:sz="6" w:space="0" w:color="auto"/>
              <w:bottom w:val="single" w:sz="6" w:space="0" w:color="auto"/>
              <w:right w:val="single" w:sz="6" w:space="0" w:color="auto"/>
            </w:tcBorders>
          </w:tcPr>
          <w:p w14:paraId="3BDEB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D59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923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E557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4D7C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B165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A872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3866F0" w14:textId="77777777">
        <w:tc>
          <w:tcPr>
            <w:tcW w:w="939" w:type="dxa"/>
            <w:tcBorders>
              <w:top w:val="single" w:sz="6" w:space="0" w:color="auto"/>
              <w:left w:val="single" w:sz="6" w:space="0" w:color="auto"/>
              <w:bottom w:val="single" w:sz="6" w:space="0" w:color="auto"/>
              <w:right w:val="single" w:sz="6" w:space="0" w:color="auto"/>
            </w:tcBorders>
          </w:tcPr>
          <w:p w14:paraId="52A232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w:t>
            </w:r>
          </w:p>
        </w:tc>
        <w:tc>
          <w:tcPr>
            <w:tcW w:w="939" w:type="dxa"/>
            <w:tcBorders>
              <w:top w:val="single" w:sz="6" w:space="0" w:color="auto"/>
              <w:left w:val="single" w:sz="6" w:space="0" w:color="auto"/>
              <w:bottom w:val="single" w:sz="6" w:space="0" w:color="auto"/>
              <w:right w:val="single" w:sz="6" w:space="0" w:color="auto"/>
            </w:tcBorders>
          </w:tcPr>
          <w:p w14:paraId="337DAD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939" w:type="dxa"/>
            <w:tcBorders>
              <w:top w:val="single" w:sz="6" w:space="0" w:color="auto"/>
              <w:left w:val="single" w:sz="6" w:space="0" w:color="auto"/>
              <w:bottom w:val="single" w:sz="6" w:space="0" w:color="auto"/>
              <w:right w:val="single" w:sz="6" w:space="0" w:color="auto"/>
            </w:tcBorders>
          </w:tcPr>
          <w:p w14:paraId="77798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0D79DE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939" w:type="dxa"/>
            <w:tcBorders>
              <w:top w:val="single" w:sz="6" w:space="0" w:color="auto"/>
              <w:left w:val="single" w:sz="6" w:space="0" w:color="auto"/>
              <w:bottom w:val="single" w:sz="6" w:space="0" w:color="auto"/>
              <w:right w:val="single" w:sz="6" w:space="0" w:color="auto"/>
            </w:tcBorders>
          </w:tcPr>
          <w:p w14:paraId="175A84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тяж. пулем.</w:t>
            </w:r>
          </w:p>
        </w:tc>
        <w:tc>
          <w:tcPr>
            <w:tcW w:w="939" w:type="dxa"/>
            <w:tcBorders>
              <w:top w:val="single" w:sz="6" w:space="0" w:color="auto"/>
              <w:left w:val="single" w:sz="6" w:space="0" w:color="auto"/>
              <w:bottom w:val="single" w:sz="6" w:space="0" w:color="auto"/>
              <w:right w:val="single" w:sz="6" w:space="0" w:color="auto"/>
            </w:tcBorders>
          </w:tcPr>
          <w:p w14:paraId="06A4D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39" w:type="dxa"/>
            <w:tcBorders>
              <w:top w:val="single" w:sz="6" w:space="0" w:color="auto"/>
              <w:left w:val="single" w:sz="6" w:space="0" w:color="auto"/>
              <w:bottom w:val="single" w:sz="6" w:space="0" w:color="auto"/>
              <w:right w:val="single" w:sz="6" w:space="0" w:color="auto"/>
            </w:tcBorders>
          </w:tcPr>
          <w:p w14:paraId="7E117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3883" w:type="dxa"/>
            <w:tcBorders>
              <w:top w:val="single" w:sz="6" w:space="0" w:color="auto"/>
              <w:left w:val="single" w:sz="6" w:space="0" w:color="auto"/>
              <w:bottom w:val="single" w:sz="6" w:space="0" w:color="auto"/>
              <w:right w:val="single" w:sz="6" w:space="0" w:color="auto"/>
            </w:tcBorders>
          </w:tcPr>
          <w:p w14:paraId="7FFF3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Постройка самолета закончена. Выпуск его </w:t>
            </w:r>
          </w:p>
        </w:tc>
      </w:tr>
      <w:tr w:rsidR="00DA227A" w:rsidRPr="00E93F40" w14:paraId="4A094427" w14:textId="77777777">
        <w:tc>
          <w:tcPr>
            <w:tcW w:w="939" w:type="dxa"/>
            <w:tcBorders>
              <w:top w:val="single" w:sz="6" w:space="0" w:color="auto"/>
              <w:left w:val="single" w:sz="6" w:space="0" w:color="auto"/>
              <w:bottom w:val="single" w:sz="6" w:space="0" w:color="auto"/>
              <w:right w:val="single" w:sz="6" w:space="0" w:color="auto"/>
            </w:tcBorders>
          </w:tcPr>
          <w:p w14:paraId="54D1FD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w:t>
            </w:r>
          </w:p>
        </w:tc>
        <w:tc>
          <w:tcPr>
            <w:tcW w:w="939" w:type="dxa"/>
            <w:tcBorders>
              <w:top w:val="single" w:sz="6" w:space="0" w:color="auto"/>
              <w:left w:val="single" w:sz="6" w:space="0" w:color="auto"/>
              <w:bottom w:val="single" w:sz="6" w:space="0" w:color="auto"/>
              <w:right w:val="single" w:sz="6" w:space="0" w:color="auto"/>
            </w:tcBorders>
          </w:tcPr>
          <w:p w14:paraId="16FAA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9B97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F4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6AC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легких</w:t>
            </w:r>
          </w:p>
        </w:tc>
        <w:tc>
          <w:tcPr>
            <w:tcW w:w="939" w:type="dxa"/>
            <w:tcBorders>
              <w:top w:val="single" w:sz="6" w:space="0" w:color="auto"/>
              <w:left w:val="single" w:sz="6" w:space="0" w:color="auto"/>
              <w:bottom w:val="single" w:sz="6" w:space="0" w:color="auto"/>
              <w:right w:val="single" w:sz="6" w:space="0" w:color="auto"/>
            </w:tcBorders>
          </w:tcPr>
          <w:p w14:paraId="4ACE0B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A30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18DD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аэродром задерживается непредставлн.</w:t>
            </w:r>
          </w:p>
        </w:tc>
      </w:tr>
      <w:tr w:rsidR="00DA227A" w:rsidRPr="00E93F40" w14:paraId="3D5B5EAF" w14:textId="77777777">
        <w:tc>
          <w:tcPr>
            <w:tcW w:w="939" w:type="dxa"/>
            <w:tcBorders>
              <w:top w:val="single" w:sz="6" w:space="0" w:color="auto"/>
              <w:left w:val="single" w:sz="6" w:space="0" w:color="auto"/>
              <w:bottom w:val="single" w:sz="6" w:space="0" w:color="auto"/>
              <w:right w:val="single" w:sz="6" w:space="0" w:color="auto"/>
            </w:tcBorders>
          </w:tcPr>
          <w:p w14:paraId="60887B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6EE5E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045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F2D2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8C8A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B421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702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(выход</w:t>
            </w:r>
          </w:p>
        </w:tc>
        <w:tc>
          <w:tcPr>
            <w:tcW w:w="3883" w:type="dxa"/>
            <w:tcBorders>
              <w:top w:val="single" w:sz="6" w:space="0" w:color="auto"/>
              <w:left w:val="single" w:sz="6" w:space="0" w:color="auto"/>
              <w:bottom w:val="single" w:sz="6" w:space="0" w:color="auto"/>
              <w:right w:val="single" w:sz="6" w:space="0" w:color="auto"/>
            </w:tcBorders>
          </w:tcPr>
          <w:p w14:paraId="2111A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моторов М-34. Производится постр.</w:t>
            </w:r>
          </w:p>
        </w:tc>
      </w:tr>
      <w:tr w:rsidR="00DA227A" w:rsidRPr="00E93F40" w14:paraId="3A0FBB56" w14:textId="77777777">
        <w:tc>
          <w:tcPr>
            <w:tcW w:w="939" w:type="dxa"/>
            <w:tcBorders>
              <w:top w:val="single" w:sz="6" w:space="0" w:color="auto"/>
              <w:left w:val="single" w:sz="6" w:space="0" w:color="auto"/>
              <w:bottom w:val="single" w:sz="6" w:space="0" w:color="auto"/>
              <w:right w:val="single" w:sz="6" w:space="0" w:color="auto"/>
            </w:tcBorders>
          </w:tcPr>
          <w:p w14:paraId="754C4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151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5E5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2DE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B11E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D94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1E5C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w:t>
            </w:r>
          </w:p>
        </w:tc>
        <w:tc>
          <w:tcPr>
            <w:tcW w:w="3883" w:type="dxa"/>
            <w:tcBorders>
              <w:top w:val="single" w:sz="6" w:space="0" w:color="auto"/>
              <w:left w:val="single" w:sz="6" w:space="0" w:color="auto"/>
              <w:bottom w:val="single" w:sz="6" w:space="0" w:color="auto"/>
              <w:right w:val="single" w:sz="6" w:space="0" w:color="auto"/>
            </w:tcBorders>
          </w:tcPr>
          <w:p w14:paraId="2DD40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2-го экземпляра самолета, отличающегося</w:t>
            </w:r>
          </w:p>
        </w:tc>
      </w:tr>
      <w:tr w:rsidR="00DA227A" w:rsidRPr="00E93F40" w14:paraId="0181D189" w14:textId="77777777">
        <w:tc>
          <w:tcPr>
            <w:tcW w:w="939" w:type="dxa"/>
            <w:tcBorders>
              <w:top w:val="single" w:sz="6" w:space="0" w:color="auto"/>
              <w:left w:val="single" w:sz="6" w:space="0" w:color="auto"/>
              <w:bottom w:val="single" w:sz="6" w:space="0" w:color="auto"/>
              <w:right w:val="single" w:sz="6" w:space="0" w:color="auto"/>
            </w:tcBorders>
          </w:tcPr>
          <w:p w14:paraId="0892B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D4C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1553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0A1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DC8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4BB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5C5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w:t>
            </w:r>
          </w:p>
        </w:tc>
        <w:tc>
          <w:tcPr>
            <w:tcW w:w="3883" w:type="dxa"/>
            <w:tcBorders>
              <w:top w:val="single" w:sz="6" w:space="0" w:color="auto"/>
              <w:left w:val="single" w:sz="6" w:space="0" w:color="auto"/>
              <w:bottom w:val="single" w:sz="6" w:space="0" w:color="auto"/>
              <w:right w:val="single" w:sz="6" w:space="0" w:color="auto"/>
            </w:tcBorders>
          </w:tcPr>
          <w:p w14:paraId="33C0A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1-го более широким фюзеляжем.</w:t>
            </w:r>
          </w:p>
        </w:tc>
      </w:tr>
      <w:tr w:rsidR="00DA227A" w:rsidRPr="00E93F40" w14:paraId="568E0A6F" w14:textId="77777777">
        <w:tc>
          <w:tcPr>
            <w:tcW w:w="939" w:type="dxa"/>
            <w:tcBorders>
              <w:top w:val="single" w:sz="6" w:space="0" w:color="auto"/>
              <w:left w:val="single" w:sz="6" w:space="0" w:color="auto"/>
              <w:bottom w:val="single" w:sz="6" w:space="0" w:color="auto"/>
              <w:right w:val="single" w:sz="6" w:space="0" w:color="auto"/>
            </w:tcBorders>
          </w:tcPr>
          <w:p w14:paraId="6C5026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ДИП1-2М34</w:t>
            </w:r>
          </w:p>
        </w:tc>
        <w:tc>
          <w:tcPr>
            <w:tcW w:w="939" w:type="dxa"/>
            <w:tcBorders>
              <w:top w:val="single" w:sz="6" w:space="0" w:color="auto"/>
              <w:left w:val="single" w:sz="6" w:space="0" w:color="auto"/>
              <w:bottom w:val="single" w:sz="6" w:space="0" w:color="auto"/>
              <w:right w:val="single" w:sz="6" w:space="0" w:color="auto"/>
            </w:tcBorders>
          </w:tcPr>
          <w:p w14:paraId="59E86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325/5000</w:t>
            </w:r>
          </w:p>
        </w:tc>
        <w:tc>
          <w:tcPr>
            <w:tcW w:w="939" w:type="dxa"/>
            <w:tcBorders>
              <w:top w:val="single" w:sz="6" w:space="0" w:color="auto"/>
              <w:left w:val="single" w:sz="6" w:space="0" w:color="auto"/>
              <w:bottom w:val="single" w:sz="6" w:space="0" w:color="auto"/>
              <w:right w:val="single" w:sz="6" w:space="0" w:color="auto"/>
            </w:tcBorders>
          </w:tcPr>
          <w:p w14:paraId="44B50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6F9734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939" w:type="dxa"/>
            <w:tcBorders>
              <w:top w:val="single" w:sz="6" w:space="0" w:color="auto"/>
              <w:left w:val="single" w:sz="6" w:space="0" w:color="auto"/>
              <w:bottom w:val="single" w:sz="6" w:space="0" w:color="auto"/>
              <w:right w:val="single" w:sz="6" w:space="0" w:color="auto"/>
            </w:tcBorders>
          </w:tcPr>
          <w:p w14:paraId="16C6F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Пушка ДРП</w:t>
            </w:r>
          </w:p>
        </w:tc>
        <w:tc>
          <w:tcPr>
            <w:tcW w:w="939" w:type="dxa"/>
            <w:tcBorders>
              <w:top w:val="single" w:sz="6" w:space="0" w:color="auto"/>
              <w:left w:val="single" w:sz="6" w:space="0" w:color="auto"/>
              <w:bottom w:val="single" w:sz="6" w:space="0" w:color="auto"/>
              <w:right w:val="single" w:sz="6" w:space="0" w:color="auto"/>
            </w:tcBorders>
          </w:tcPr>
          <w:p w14:paraId="69C28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67C6A9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4B56A8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Продолжается разработка варианта с-та с</w:t>
            </w:r>
          </w:p>
        </w:tc>
      </w:tr>
      <w:tr w:rsidR="00DA227A" w:rsidRPr="00E93F40" w14:paraId="06B72EC3" w14:textId="77777777">
        <w:tc>
          <w:tcPr>
            <w:tcW w:w="939" w:type="dxa"/>
            <w:tcBorders>
              <w:top w:val="single" w:sz="6" w:space="0" w:color="auto"/>
              <w:left w:val="single" w:sz="6" w:space="0" w:color="auto"/>
              <w:bottom w:val="single" w:sz="6" w:space="0" w:color="auto"/>
              <w:right w:val="single" w:sz="6" w:space="0" w:color="auto"/>
            </w:tcBorders>
          </w:tcPr>
          <w:p w14:paraId="22332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w:t>
            </w:r>
          </w:p>
        </w:tc>
        <w:tc>
          <w:tcPr>
            <w:tcW w:w="939" w:type="dxa"/>
            <w:tcBorders>
              <w:top w:val="single" w:sz="6" w:space="0" w:color="auto"/>
              <w:left w:val="single" w:sz="6" w:space="0" w:color="auto"/>
              <w:bottom w:val="single" w:sz="6" w:space="0" w:color="auto"/>
              <w:right w:val="single" w:sz="6" w:space="0" w:color="auto"/>
            </w:tcBorders>
          </w:tcPr>
          <w:p w14:paraId="1F8EB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540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721C5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2032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легк.</w:t>
            </w:r>
          </w:p>
        </w:tc>
        <w:tc>
          <w:tcPr>
            <w:tcW w:w="939" w:type="dxa"/>
            <w:tcBorders>
              <w:top w:val="single" w:sz="6" w:space="0" w:color="auto"/>
              <w:left w:val="single" w:sz="6" w:space="0" w:color="auto"/>
              <w:bottom w:val="single" w:sz="6" w:space="0" w:color="auto"/>
              <w:right w:val="single" w:sz="6" w:space="0" w:color="auto"/>
            </w:tcBorders>
          </w:tcPr>
          <w:p w14:paraId="7F4FB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B18E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9ACD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пушкой ДРП, установленной внутри ф-жа.</w:t>
            </w:r>
          </w:p>
        </w:tc>
      </w:tr>
      <w:tr w:rsidR="00DA227A" w:rsidRPr="00E93F40" w14:paraId="1F577A47" w14:textId="77777777">
        <w:tc>
          <w:tcPr>
            <w:tcW w:w="939" w:type="dxa"/>
            <w:tcBorders>
              <w:top w:val="single" w:sz="6" w:space="0" w:color="auto"/>
              <w:left w:val="single" w:sz="6" w:space="0" w:color="auto"/>
              <w:bottom w:val="single" w:sz="6" w:space="0" w:color="auto"/>
              <w:right w:val="single" w:sz="6" w:space="0" w:color="auto"/>
            </w:tcBorders>
          </w:tcPr>
          <w:p w14:paraId="3C89AC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08A5FD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053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61A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D125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458FB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1746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6060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333515" w14:textId="77777777">
        <w:tc>
          <w:tcPr>
            <w:tcW w:w="939" w:type="dxa"/>
            <w:tcBorders>
              <w:top w:val="single" w:sz="6" w:space="0" w:color="auto"/>
              <w:left w:val="single" w:sz="6" w:space="0" w:color="auto"/>
              <w:bottom w:val="single" w:sz="6" w:space="0" w:color="auto"/>
              <w:right w:val="single" w:sz="6" w:space="0" w:color="auto"/>
            </w:tcBorders>
          </w:tcPr>
          <w:p w14:paraId="79FAB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Пушечный)</w:t>
            </w:r>
          </w:p>
        </w:tc>
        <w:tc>
          <w:tcPr>
            <w:tcW w:w="939" w:type="dxa"/>
            <w:tcBorders>
              <w:top w:val="single" w:sz="6" w:space="0" w:color="auto"/>
              <w:left w:val="single" w:sz="6" w:space="0" w:color="auto"/>
              <w:bottom w:val="single" w:sz="6" w:space="0" w:color="auto"/>
              <w:right w:val="single" w:sz="6" w:space="0" w:color="auto"/>
            </w:tcBorders>
          </w:tcPr>
          <w:p w14:paraId="222257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924C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344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A7D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6DD1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0531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9422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F46760" w14:textId="77777777">
        <w:tc>
          <w:tcPr>
            <w:tcW w:w="939" w:type="dxa"/>
            <w:tcBorders>
              <w:top w:val="single" w:sz="6" w:space="0" w:color="auto"/>
              <w:left w:val="single" w:sz="6" w:space="0" w:color="auto"/>
              <w:bottom w:val="single" w:sz="6" w:space="0" w:color="auto"/>
              <w:right w:val="single" w:sz="6" w:space="0" w:color="auto"/>
            </w:tcBorders>
          </w:tcPr>
          <w:p w14:paraId="268853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ЛР-М34</w:t>
            </w:r>
          </w:p>
        </w:tc>
        <w:tc>
          <w:tcPr>
            <w:tcW w:w="939" w:type="dxa"/>
            <w:tcBorders>
              <w:top w:val="single" w:sz="6" w:space="0" w:color="auto"/>
              <w:left w:val="single" w:sz="6" w:space="0" w:color="auto"/>
              <w:bottom w:val="single" w:sz="6" w:space="0" w:color="auto"/>
              <w:right w:val="single" w:sz="6" w:space="0" w:color="auto"/>
            </w:tcBorders>
          </w:tcPr>
          <w:p w14:paraId="57068B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300-310/</w:t>
            </w:r>
          </w:p>
        </w:tc>
        <w:tc>
          <w:tcPr>
            <w:tcW w:w="939" w:type="dxa"/>
            <w:tcBorders>
              <w:top w:val="single" w:sz="6" w:space="0" w:color="auto"/>
              <w:left w:val="single" w:sz="6" w:space="0" w:color="auto"/>
              <w:bottom w:val="single" w:sz="6" w:space="0" w:color="auto"/>
              <w:right w:val="single" w:sz="6" w:space="0" w:color="auto"/>
            </w:tcBorders>
          </w:tcPr>
          <w:p w14:paraId="3132A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EDE36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2DD3B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2F1F23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58A5C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w:t>
            </w:r>
          </w:p>
        </w:tc>
        <w:tc>
          <w:tcPr>
            <w:tcW w:w="3883" w:type="dxa"/>
            <w:tcBorders>
              <w:top w:val="single" w:sz="6" w:space="0" w:color="auto"/>
              <w:left w:val="single" w:sz="6" w:space="0" w:color="auto"/>
              <w:bottom w:val="single" w:sz="6" w:space="0" w:color="auto"/>
              <w:right w:val="single" w:sz="6" w:space="0" w:color="auto"/>
            </w:tcBorders>
          </w:tcPr>
          <w:p w14:paraId="6A07F2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Ведется детальная разработка конструкции</w:t>
            </w:r>
          </w:p>
        </w:tc>
      </w:tr>
      <w:tr w:rsidR="00DA227A" w:rsidRPr="00E93F40" w14:paraId="1574F02B" w14:textId="77777777">
        <w:tc>
          <w:tcPr>
            <w:tcW w:w="939" w:type="dxa"/>
            <w:tcBorders>
              <w:top w:val="single" w:sz="6" w:space="0" w:color="auto"/>
              <w:left w:val="single" w:sz="6" w:space="0" w:color="auto"/>
              <w:bottom w:val="single" w:sz="6" w:space="0" w:color="auto"/>
              <w:right w:val="single" w:sz="6" w:space="0" w:color="auto"/>
            </w:tcBorders>
          </w:tcPr>
          <w:p w14:paraId="342EB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7FA24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FEE4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AEE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960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54D7CC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CC8F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39711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С-т спроектирован в виде</w:t>
            </w:r>
          </w:p>
        </w:tc>
      </w:tr>
      <w:tr w:rsidR="00DA227A" w:rsidRPr="00E93F40" w14:paraId="06F79417" w14:textId="77777777">
        <w:tc>
          <w:tcPr>
            <w:tcW w:w="939" w:type="dxa"/>
            <w:tcBorders>
              <w:top w:val="single" w:sz="6" w:space="0" w:color="auto"/>
              <w:left w:val="single" w:sz="6" w:space="0" w:color="auto"/>
              <w:bottom w:val="single" w:sz="6" w:space="0" w:color="auto"/>
              <w:right w:val="single" w:sz="6" w:space="0" w:color="auto"/>
            </w:tcBorders>
          </w:tcPr>
          <w:p w14:paraId="422E65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08E7B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45E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AA2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D80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D2C4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BE88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(выход</w:t>
            </w:r>
          </w:p>
        </w:tc>
        <w:tc>
          <w:tcPr>
            <w:tcW w:w="3883" w:type="dxa"/>
            <w:tcBorders>
              <w:top w:val="single" w:sz="6" w:space="0" w:color="auto"/>
              <w:left w:val="single" w:sz="6" w:space="0" w:color="auto"/>
              <w:bottom w:val="single" w:sz="6" w:space="0" w:color="auto"/>
              <w:right w:val="single" w:sz="6" w:space="0" w:color="auto"/>
            </w:tcBorders>
          </w:tcPr>
          <w:p w14:paraId="158AC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полутораплана. Стрелок и летчик </w:t>
            </w:r>
          </w:p>
        </w:tc>
      </w:tr>
      <w:tr w:rsidR="00DA227A" w:rsidRPr="00E93F40" w14:paraId="651D1D23" w14:textId="77777777">
        <w:tc>
          <w:tcPr>
            <w:tcW w:w="939" w:type="dxa"/>
            <w:tcBorders>
              <w:top w:val="single" w:sz="6" w:space="0" w:color="auto"/>
              <w:left w:val="single" w:sz="6" w:space="0" w:color="auto"/>
              <w:bottom w:val="single" w:sz="6" w:space="0" w:color="auto"/>
              <w:right w:val="single" w:sz="6" w:space="0" w:color="auto"/>
            </w:tcBorders>
          </w:tcPr>
          <w:p w14:paraId="62F8D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BFB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E853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D9CD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9DE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461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EBC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p>
        </w:tc>
        <w:tc>
          <w:tcPr>
            <w:tcW w:w="3883" w:type="dxa"/>
            <w:tcBorders>
              <w:top w:val="single" w:sz="6" w:space="0" w:color="auto"/>
              <w:left w:val="single" w:sz="6" w:space="0" w:color="auto"/>
              <w:bottom w:val="single" w:sz="6" w:space="0" w:color="auto"/>
              <w:right w:val="single" w:sz="6" w:space="0" w:color="auto"/>
            </w:tcBorders>
          </w:tcPr>
          <w:p w14:paraId="35003C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находятся в закрытых кабинах).</w:t>
            </w:r>
          </w:p>
        </w:tc>
      </w:tr>
      <w:tr w:rsidR="00DA227A" w:rsidRPr="00E93F40" w14:paraId="097FC4C8" w14:textId="77777777">
        <w:tc>
          <w:tcPr>
            <w:tcW w:w="939" w:type="dxa"/>
            <w:tcBorders>
              <w:top w:val="single" w:sz="6" w:space="0" w:color="auto"/>
              <w:left w:val="single" w:sz="6" w:space="0" w:color="auto"/>
              <w:bottom w:val="single" w:sz="6" w:space="0" w:color="auto"/>
              <w:right w:val="single" w:sz="6" w:space="0" w:color="auto"/>
            </w:tcBorders>
          </w:tcPr>
          <w:p w14:paraId="28F3BB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6C29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815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54B9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5E6B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473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B2E4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w:t>
            </w:r>
          </w:p>
        </w:tc>
        <w:tc>
          <w:tcPr>
            <w:tcW w:w="3883" w:type="dxa"/>
            <w:tcBorders>
              <w:top w:val="single" w:sz="6" w:space="0" w:color="auto"/>
              <w:left w:val="single" w:sz="6" w:space="0" w:color="auto"/>
              <w:bottom w:val="single" w:sz="6" w:space="0" w:color="auto"/>
              <w:right w:val="single" w:sz="6" w:space="0" w:color="auto"/>
            </w:tcBorders>
          </w:tcPr>
          <w:p w14:paraId="5CF6F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06CEB6" w14:textId="77777777">
        <w:tc>
          <w:tcPr>
            <w:tcW w:w="939" w:type="dxa"/>
            <w:tcBorders>
              <w:top w:val="single" w:sz="6" w:space="0" w:color="auto"/>
              <w:left w:val="single" w:sz="6" w:space="0" w:color="auto"/>
              <w:bottom w:val="single" w:sz="6" w:space="0" w:color="auto"/>
              <w:right w:val="single" w:sz="6" w:space="0" w:color="auto"/>
            </w:tcBorders>
          </w:tcPr>
          <w:p w14:paraId="05ACE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Ди6-М34 или</w:t>
            </w:r>
          </w:p>
        </w:tc>
        <w:tc>
          <w:tcPr>
            <w:tcW w:w="939" w:type="dxa"/>
            <w:tcBorders>
              <w:top w:val="single" w:sz="6" w:space="0" w:color="auto"/>
              <w:left w:val="single" w:sz="6" w:space="0" w:color="auto"/>
              <w:bottom w:val="single" w:sz="6" w:space="0" w:color="auto"/>
              <w:right w:val="single" w:sz="6" w:space="0" w:color="auto"/>
            </w:tcBorders>
          </w:tcPr>
          <w:p w14:paraId="54A0A4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350-375/</w:t>
            </w:r>
          </w:p>
        </w:tc>
        <w:tc>
          <w:tcPr>
            <w:tcW w:w="939" w:type="dxa"/>
            <w:tcBorders>
              <w:top w:val="single" w:sz="6" w:space="0" w:color="auto"/>
              <w:left w:val="single" w:sz="6" w:space="0" w:color="auto"/>
              <w:bottom w:val="single" w:sz="6" w:space="0" w:color="auto"/>
              <w:right w:val="single" w:sz="6" w:space="0" w:color="auto"/>
            </w:tcBorders>
          </w:tcPr>
          <w:p w14:paraId="31C83E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9/5000</w:t>
            </w:r>
          </w:p>
        </w:tc>
        <w:tc>
          <w:tcPr>
            <w:tcW w:w="939" w:type="dxa"/>
            <w:tcBorders>
              <w:top w:val="single" w:sz="6" w:space="0" w:color="auto"/>
              <w:left w:val="single" w:sz="6" w:space="0" w:color="auto"/>
              <w:bottom w:val="single" w:sz="6" w:space="0" w:color="auto"/>
              <w:right w:val="single" w:sz="6" w:space="0" w:color="auto"/>
            </w:tcBorders>
          </w:tcPr>
          <w:p w14:paraId="6A1845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402AD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w:t>
            </w:r>
          </w:p>
        </w:tc>
        <w:tc>
          <w:tcPr>
            <w:tcW w:w="939" w:type="dxa"/>
            <w:tcBorders>
              <w:top w:val="single" w:sz="6" w:space="0" w:color="auto"/>
              <w:left w:val="single" w:sz="6" w:space="0" w:color="auto"/>
              <w:bottom w:val="single" w:sz="6" w:space="0" w:color="auto"/>
              <w:right w:val="single" w:sz="6" w:space="0" w:color="auto"/>
            </w:tcBorders>
          </w:tcPr>
          <w:p w14:paraId="46162F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5C205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5F0A73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работе по самолетам ЦАГИ не приступало</w:t>
            </w:r>
          </w:p>
        </w:tc>
      </w:tr>
      <w:tr w:rsidR="00DA227A" w:rsidRPr="00E93F40" w14:paraId="15060CC1" w14:textId="77777777">
        <w:tc>
          <w:tcPr>
            <w:tcW w:w="939" w:type="dxa"/>
            <w:tcBorders>
              <w:top w:val="single" w:sz="6" w:space="0" w:color="auto"/>
              <w:left w:val="single" w:sz="6" w:space="0" w:color="auto"/>
              <w:bottom w:val="single" w:sz="6" w:space="0" w:color="auto"/>
              <w:right w:val="single" w:sz="6" w:space="0" w:color="auto"/>
            </w:tcBorders>
          </w:tcPr>
          <w:p w14:paraId="3334E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М32</w:t>
            </w:r>
          </w:p>
        </w:tc>
        <w:tc>
          <w:tcPr>
            <w:tcW w:w="939" w:type="dxa"/>
            <w:tcBorders>
              <w:top w:val="single" w:sz="6" w:space="0" w:color="auto"/>
              <w:left w:val="single" w:sz="6" w:space="0" w:color="auto"/>
              <w:bottom w:val="single" w:sz="6" w:space="0" w:color="auto"/>
              <w:right w:val="single" w:sz="6" w:space="0" w:color="auto"/>
            </w:tcBorders>
          </w:tcPr>
          <w:p w14:paraId="0F822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EAE2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7C8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7B0F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5A0C4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95F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C312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885BDE3" w14:textId="77777777">
        <w:tc>
          <w:tcPr>
            <w:tcW w:w="939" w:type="dxa"/>
            <w:tcBorders>
              <w:top w:val="single" w:sz="6" w:space="0" w:color="auto"/>
              <w:left w:val="single" w:sz="6" w:space="0" w:color="auto"/>
              <w:bottom w:val="single" w:sz="6" w:space="0" w:color="auto"/>
              <w:right w:val="single" w:sz="6" w:space="0" w:color="auto"/>
            </w:tcBorders>
          </w:tcPr>
          <w:p w14:paraId="2423F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 местн.</w:t>
            </w:r>
          </w:p>
        </w:tc>
        <w:tc>
          <w:tcPr>
            <w:tcW w:w="939" w:type="dxa"/>
            <w:tcBorders>
              <w:top w:val="single" w:sz="6" w:space="0" w:color="auto"/>
              <w:left w:val="single" w:sz="6" w:space="0" w:color="auto"/>
              <w:bottom w:val="single" w:sz="6" w:space="0" w:color="auto"/>
              <w:right w:val="single" w:sz="6" w:space="0" w:color="auto"/>
            </w:tcBorders>
          </w:tcPr>
          <w:p w14:paraId="1260C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CE7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F9B9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5CDB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516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577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19C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6BCF8D" w14:textId="77777777">
        <w:tc>
          <w:tcPr>
            <w:tcW w:w="939" w:type="dxa"/>
            <w:tcBorders>
              <w:top w:val="single" w:sz="6" w:space="0" w:color="auto"/>
              <w:left w:val="single" w:sz="6" w:space="0" w:color="auto"/>
              <w:bottom w:val="single" w:sz="6" w:space="0" w:color="auto"/>
              <w:right w:val="single" w:sz="6" w:space="0" w:color="auto"/>
            </w:tcBorders>
          </w:tcPr>
          <w:p w14:paraId="3DD2AB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560CCE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5A7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D6DC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8A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9BD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92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DAE07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EF2B309" w14:textId="77777777">
        <w:tc>
          <w:tcPr>
            <w:tcW w:w="939" w:type="dxa"/>
            <w:tcBorders>
              <w:top w:val="single" w:sz="6" w:space="0" w:color="auto"/>
              <w:left w:val="single" w:sz="6" w:space="0" w:color="auto"/>
              <w:bottom w:val="single" w:sz="6" w:space="0" w:color="auto"/>
              <w:right w:val="single" w:sz="6" w:space="0" w:color="auto"/>
            </w:tcBorders>
          </w:tcPr>
          <w:p w14:paraId="6B0631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И13-М32</w:t>
            </w:r>
          </w:p>
        </w:tc>
        <w:tc>
          <w:tcPr>
            <w:tcW w:w="939" w:type="dxa"/>
            <w:tcBorders>
              <w:top w:val="single" w:sz="6" w:space="0" w:color="auto"/>
              <w:left w:val="single" w:sz="6" w:space="0" w:color="auto"/>
              <w:bottom w:val="single" w:sz="6" w:space="0" w:color="auto"/>
              <w:right w:val="single" w:sz="6" w:space="0" w:color="auto"/>
            </w:tcBorders>
          </w:tcPr>
          <w:p w14:paraId="67ABE7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350-400/</w:t>
            </w:r>
          </w:p>
        </w:tc>
        <w:tc>
          <w:tcPr>
            <w:tcW w:w="939" w:type="dxa"/>
            <w:tcBorders>
              <w:top w:val="single" w:sz="6" w:space="0" w:color="auto"/>
              <w:left w:val="single" w:sz="6" w:space="0" w:color="auto"/>
              <w:bottom w:val="single" w:sz="6" w:space="0" w:color="auto"/>
              <w:right w:val="single" w:sz="6" w:space="0" w:color="auto"/>
            </w:tcBorders>
          </w:tcPr>
          <w:p w14:paraId="48D462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16CD6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8000-9000</w:t>
            </w:r>
          </w:p>
        </w:tc>
        <w:tc>
          <w:tcPr>
            <w:tcW w:w="939" w:type="dxa"/>
            <w:tcBorders>
              <w:top w:val="single" w:sz="6" w:space="0" w:color="auto"/>
              <w:left w:val="single" w:sz="6" w:space="0" w:color="auto"/>
              <w:bottom w:val="single" w:sz="6" w:space="0" w:color="auto"/>
              <w:right w:val="single" w:sz="6" w:space="0" w:color="auto"/>
            </w:tcBorders>
          </w:tcPr>
          <w:p w14:paraId="619D8F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748D85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74503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4565D6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работе по самолетам ЦАГИ не приступало</w:t>
            </w:r>
          </w:p>
        </w:tc>
      </w:tr>
      <w:tr w:rsidR="00DA227A" w:rsidRPr="00E93F40" w14:paraId="41E75970" w14:textId="77777777">
        <w:tc>
          <w:tcPr>
            <w:tcW w:w="939" w:type="dxa"/>
            <w:tcBorders>
              <w:top w:val="single" w:sz="6" w:space="0" w:color="auto"/>
              <w:left w:val="single" w:sz="6" w:space="0" w:color="auto"/>
              <w:bottom w:val="single" w:sz="6" w:space="0" w:color="auto"/>
              <w:right w:val="single" w:sz="6" w:space="0" w:color="auto"/>
            </w:tcBorders>
          </w:tcPr>
          <w:p w14:paraId="6FCB4C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w:t>
            </w:r>
          </w:p>
        </w:tc>
        <w:tc>
          <w:tcPr>
            <w:tcW w:w="939" w:type="dxa"/>
            <w:tcBorders>
              <w:top w:val="single" w:sz="6" w:space="0" w:color="auto"/>
              <w:left w:val="single" w:sz="6" w:space="0" w:color="auto"/>
              <w:bottom w:val="single" w:sz="6" w:space="0" w:color="auto"/>
              <w:right w:val="single" w:sz="6" w:space="0" w:color="auto"/>
            </w:tcBorders>
          </w:tcPr>
          <w:p w14:paraId="65529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C3F6B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019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B23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4306E9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3438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1D78E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4C57F2" w14:textId="77777777">
        <w:tc>
          <w:tcPr>
            <w:tcW w:w="939" w:type="dxa"/>
            <w:tcBorders>
              <w:top w:val="single" w:sz="6" w:space="0" w:color="auto"/>
              <w:left w:val="single" w:sz="6" w:space="0" w:color="auto"/>
              <w:bottom w:val="single" w:sz="6" w:space="0" w:color="auto"/>
              <w:right w:val="single" w:sz="6" w:space="0" w:color="auto"/>
            </w:tcBorders>
          </w:tcPr>
          <w:p w14:paraId="635F0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4FC04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1926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F72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6BF2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4B7D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1A46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808F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0D4C4F" w14:textId="77777777">
        <w:tc>
          <w:tcPr>
            <w:tcW w:w="939" w:type="dxa"/>
            <w:tcBorders>
              <w:top w:val="single" w:sz="6" w:space="0" w:color="auto"/>
              <w:left w:val="single" w:sz="6" w:space="0" w:color="auto"/>
              <w:bottom w:val="single" w:sz="6" w:space="0" w:color="auto"/>
              <w:right w:val="single" w:sz="6" w:space="0" w:color="auto"/>
            </w:tcBorders>
          </w:tcPr>
          <w:p w14:paraId="1DD6A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И14-М38</w:t>
            </w:r>
          </w:p>
        </w:tc>
        <w:tc>
          <w:tcPr>
            <w:tcW w:w="939" w:type="dxa"/>
            <w:tcBorders>
              <w:top w:val="single" w:sz="6" w:space="0" w:color="auto"/>
              <w:left w:val="single" w:sz="6" w:space="0" w:color="auto"/>
              <w:bottom w:val="single" w:sz="6" w:space="0" w:color="auto"/>
              <w:right w:val="single" w:sz="6" w:space="0" w:color="auto"/>
            </w:tcBorders>
          </w:tcPr>
          <w:p w14:paraId="4DF9B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340-400/</w:t>
            </w:r>
          </w:p>
        </w:tc>
        <w:tc>
          <w:tcPr>
            <w:tcW w:w="939" w:type="dxa"/>
            <w:tcBorders>
              <w:top w:val="single" w:sz="6" w:space="0" w:color="auto"/>
              <w:left w:val="single" w:sz="6" w:space="0" w:color="auto"/>
              <w:bottom w:val="single" w:sz="6" w:space="0" w:color="auto"/>
              <w:right w:val="single" w:sz="6" w:space="0" w:color="auto"/>
            </w:tcBorders>
          </w:tcPr>
          <w:p w14:paraId="01000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79C6E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5D9050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045F3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939" w:type="dxa"/>
            <w:tcBorders>
              <w:top w:val="single" w:sz="6" w:space="0" w:color="auto"/>
              <w:left w:val="single" w:sz="6" w:space="0" w:color="auto"/>
              <w:bottom w:val="single" w:sz="6" w:space="0" w:color="auto"/>
              <w:right w:val="single" w:sz="6" w:space="0" w:color="auto"/>
            </w:tcBorders>
          </w:tcPr>
          <w:p w14:paraId="54A03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w:t>
            </w:r>
          </w:p>
        </w:tc>
        <w:tc>
          <w:tcPr>
            <w:tcW w:w="3883" w:type="dxa"/>
            <w:tcBorders>
              <w:top w:val="single" w:sz="6" w:space="0" w:color="auto"/>
              <w:left w:val="single" w:sz="6" w:space="0" w:color="auto"/>
              <w:bottom w:val="single" w:sz="6" w:space="0" w:color="auto"/>
              <w:right w:val="single" w:sz="6" w:space="0" w:color="auto"/>
            </w:tcBorders>
          </w:tcPr>
          <w:p w14:paraId="229841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ведет разработку 2-х вариантов с-та.</w:t>
            </w:r>
          </w:p>
        </w:tc>
      </w:tr>
      <w:tr w:rsidR="00DA227A" w:rsidRPr="00E93F40" w14:paraId="390914FA" w14:textId="77777777">
        <w:tc>
          <w:tcPr>
            <w:tcW w:w="939" w:type="dxa"/>
            <w:tcBorders>
              <w:top w:val="single" w:sz="6" w:space="0" w:color="auto"/>
              <w:left w:val="single" w:sz="6" w:space="0" w:color="auto"/>
              <w:bottom w:val="single" w:sz="6" w:space="0" w:color="auto"/>
              <w:right w:val="single" w:sz="6" w:space="0" w:color="auto"/>
            </w:tcBorders>
          </w:tcPr>
          <w:p w14:paraId="073554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w:t>
            </w:r>
          </w:p>
        </w:tc>
        <w:tc>
          <w:tcPr>
            <w:tcW w:w="939" w:type="dxa"/>
            <w:tcBorders>
              <w:top w:val="single" w:sz="6" w:space="0" w:color="auto"/>
              <w:left w:val="single" w:sz="6" w:space="0" w:color="auto"/>
              <w:bottom w:val="single" w:sz="6" w:space="0" w:color="auto"/>
              <w:right w:val="single" w:sz="6" w:space="0" w:color="auto"/>
            </w:tcBorders>
          </w:tcPr>
          <w:p w14:paraId="24024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76707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C0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939" w:type="dxa"/>
            <w:tcBorders>
              <w:top w:val="single" w:sz="6" w:space="0" w:color="auto"/>
              <w:left w:val="single" w:sz="6" w:space="0" w:color="auto"/>
              <w:bottom w:val="single" w:sz="6" w:space="0" w:color="auto"/>
              <w:right w:val="single" w:sz="6" w:space="0" w:color="auto"/>
            </w:tcBorders>
          </w:tcPr>
          <w:p w14:paraId="13FFD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59A5E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D432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03AA5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первом варианте самолет является</w:t>
            </w:r>
          </w:p>
        </w:tc>
      </w:tr>
      <w:tr w:rsidR="00DA227A" w:rsidRPr="00E93F40" w14:paraId="4D7C5750" w14:textId="77777777">
        <w:tc>
          <w:tcPr>
            <w:tcW w:w="939" w:type="dxa"/>
            <w:tcBorders>
              <w:top w:val="single" w:sz="6" w:space="0" w:color="auto"/>
              <w:left w:val="single" w:sz="6" w:space="0" w:color="auto"/>
              <w:bottom w:val="single" w:sz="6" w:space="0" w:color="auto"/>
              <w:right w:val="single" w:sz="6" w:space="0" w:color="auto"/>
            </w:tcBorders>
          </w:tcPr>
          <w:p w14:paraId="2C768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5926E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3CF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244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4FAE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ECD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067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7278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металлич. монопланом, низкопланом, </w:t>
            </w:r>
          </w:p>
        </w:tc>
      </w:tr>
      <w:tr w:rsidR="00DA227A" w:rsidRPr="00E93F40" w14:paraId="27F5CE21" w14:textId="77777777">
        <w:tc>
          <w:tcPr>
            <w:tcW w:w="939" w:type="dxa"/>
            <w:tcBorders>
              <w:top w:val="single" w:sz="6" w:space="0" w:color="auto"/>
              <w:left w:val="single" w:sz="6" w:space="0" w:color="auto"/>
              <w:bottom w:val="single" w:sz="6" w:space="0" w:color="auto"/>
              <w:right w:val="single" w:sz="6" w:space="0" w:color="auto"/>
            </w:tcBorders>
          </w:tcPr>
          <w:p w14:paraId="362E8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3E8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DF74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8E4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881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E53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839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D92E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вооруженным двумя пушками ДРП и легким</w:t>
            </w:r>
          </w:p>
        </w:tc>
      </w:tr>
      <w:tr w:rsidR="00DA227A" w:rsidRPr="00E93F40" w14:paraId="69C3A33B" w14:textId="77777777">
        <w:tc>
          <w:tcPr>
            <w:tcW w:w="939" w:type="dxa"/>
            <w:tcBorders>
              <w:top w:val="single" w:sz="6" w:space="0" w:color="auto"/>
              <w:left w:val="single" w:sz="6" w:space="0" w:color="auto"/>
              <w:bottom w:val="single" w:sz="6" w:space="0" w:color="auto"/>
              <w:right w:val="single" w:sz="6" w:space="0" w:color="auto"/>
            </w:tcBorders>
          </w:tcPr>
          <w:p w14:paraId="1BF19D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27D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247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9398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418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3A4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58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5E6FE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пулеметом. Поскольку в данном варианте</w:t>
            </w:r>
          </w:p>
        </w:tc>
      </w:tr>
      <w:tr w:rsidR="00DA227A" w:rsidRPr="00E93F40" w14:paraId="5C98F14F" w14:textId="77777777">
        <w:tc>
          <w:tcPr>
            <w:tcW w:w="939" w:type="dxa"/>
            <w:tcBorders>
              <w:top w:val="single" w:sz="6" w:space="0" w:color="auto"/>
              <w:left w:val="single" w:sz="6" w:space="0" w:color="auto"/>
              <w:bottom w:val="single" w:sz="6" w:space="0" w:color="auto"/>
              <w:right w:val="single" w:sz="6" w:space="0" w:color="auto"/>
            </w:tcBorders>
          </w:tcPr>
          <w:p w14:paraId="1159F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5E12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F8A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41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BD2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CB5C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A20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851F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не сможет удовлетоврить требов.</w:t>
            </w:r>
          </w:p>
        </w:tc>
      </w:tr>
      <w:tr w:rsidR="00DA227A" w:rsidRPr="00E93F40" w14:paraId="12AB7DE5" w14:textId="77777777">
        <w:tc>
          <w:tcPr>
            <w:tcW w:w="939" w:type="dxa"/>
            <w:tcBorders>
              <w:top w:val="single" w:sz="6" w:space="0" w:color="auto"/>
              <w:left w:val="single" w:sz="6" w:space="0" w:color="auto"/>
              <w:bottom w:val="single" w:sz="6" w:space="0" w:color="auto"/>
              <w:right w:val="single" w:sz="6" w:space="0" w:color="auto"/>
            </w:tcBorders>
          </w:tcPr>
          <w:p w14:paraId="726E39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97D0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1A2C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2B43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CD8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EFB0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4B39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2E19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маневренности, 2-й вариант его разрабатыв.</w:t>
            </w:r>
          </w:p>
        </w:tc>
      </w:tr>
      <w:tr w:rsidR="00DA227A" w:rsidRPr="00E93F40" w14:paraId="4A966E1A" w14:textId="77777777">
        <w:tc>
          <w:tcPr>
            <w:tcW w:w="939" w:type="dxa"/>
            <w:tcBorders>
              <w:top w:val="single" w:sz="6" w:space="0" w:color="auto"/>
              <w:left w:val="single" w:sz="6" w:space="0" w:color="auto"/>
              <w:bottom w:val="single" w:sz="6" w:space="0" w:color="auto"/>
              <w:right w:val="single" w:sz="6" w:space="0" w:color="auto"/>
            </w:tcBorders>
          </w:tcPr>
          <w:p w14:paraId="58097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229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9CC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A580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4E1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C3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A900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4960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виде нормального биплана с возможно</w:t>
            </w:r>
          </w:p>
        </w:tc>
      </w:tr>
      <w:tr w:rsidR="00DA227A" w:rsidRPr="00E93F40" w14:paraId="1114E001" w14:textId="77777777">
        <w:tc>
          <w:tcPr>
            <w:tcW w:w="939" w:type="dxa"/>
            <w:tcBorders>
              <w:top w:val="single" w:sz="6" w:space="0" w:color="auto"/>
              <w:left w:val="single" w:sz="6" w:space="0" w:color="auto"/>
              <w:bottom w:val="single" w:sz="6" w:space="0" w:color="auto"/>
              <w:right w:val="single" w:sz="6" w:space="0" w:color="auto"/>
            </w:tcBorders>
          </w:tcPr>
          <w:p w14:paraId="080AA7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CE5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B8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EDC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4991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51D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567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1DA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малыми размерами. Макеты обоих вар-тов</w:t>
            </w:r>
          </w:p>
        </w:tc>
      </w:tr>
      <w:tr w:rsidR="00DA227A" w:rsidRPr="00E93F40" w14:paraId="3F0F3CF7" w14:textId="77777777">
        <w:tc>
          <w:tcPr>
            <w:tcW w:w="939" w:type="dxa"/>
            <w:tcBorders>
              <w:top w:val="single" w:sz="6" w:space="0" w:color="auto"/>
              <w:left w:val="single" w:sz="6" w:space="0" w:color="auto"/>
              <w:bottom w:val="single" w:sz="6" w:space="0" w:color="auto"/>
              <w:right w:val="single" w:sz="6" w:space="0" w:color="auto"/>
            </w:tcBorders>
          </w:tcPr>
          <w:p w14:paraId="68E253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B17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756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D56A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6D4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378F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935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F84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находятся в постройке. Конструкция </w:t>
            </w:r>
          </w:p>
        </w:tc>
      </w:tr>
      <w:tr w:rsidR="00DA227A" w:rsidRPr="00E93F40" w14:paraId="77E444B0" w14:textId="77777777">
        <w:tc>
          <w:tcPr>
            <w:tcW w:w="939" w:type="dxa"/>
            <w:tcBorders>
              <w:top w:val="single" w:sz="6" w:space="0" w:color="auto"/>
              <w:left w:val="single" w:sz="6" w:space="0" w:color="auto"/>
              <w:bottom w:val="single" w:sz="6" w:space="0" w:color="auto"/>
              <w:right w:val="single" w:sz="6" w:space="0" w:color="auto"/>
            </w:tcBorders>
          </w:tcPr>
          <w:p w14:paraId="46A2A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757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3DD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0AA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C56C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E78E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63F9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267EC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первого варианта разрабатывается.</w:t>
            </w:r>
          </w:p>
        </w:tc>
      </w:tr>
      <w:tr w:rsidR="00DA227A" w:rsidRPr="00E93F40" w14:paraId="1B752F9E" w14:textId="77777777">
        <w:tc>
          <w:tcPr>
            <w:tcW w:w="939" w:type="dxa"/>
            <w:tcBorders>
              <w:top w:val="single" w:sz="6" w:space="0" w:color="auto"/>
              <w:left w:val="single" w:sz="6" w:space="0" w:color="auto"/>
              <w:bottom w:val="single" w:sz="6" w:space="0" w:color="auto"/>
              <w:right w:val="single" w:sz="6" w:space="0" w:color="auto"/>
            </w:tcBorders>
          </w:tcPr>
          <w:p w14:paraId="0B2C1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ВС2-2М52</w:t>
            </w:r>
          </w:p>
        </w:tc>
        <w:tc>
          <w:tcPr>
            <w:tcW w:w="939" w:type="dxa"/>
            <w:tcBorders>
              <w:top w:val="single" w:sz="6" w:space="0" w:color="auto"/>
              <w:left w:val="single" w:sz="6" w:space="0" w:color="auto"/>
              <w:bottom w:val="single" w:sz="6" w:space="0" w:color="auto"/>
              <w:right w:val="single" w:sz="6" w:space="0" w:color="auto"/>
            </w:tcBorders>
          </w:tcPr>
          <w:p w14:paraId="34E25C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6B0AB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12/3000</w:t>
            </w:r>
          </w:p>
        </w:tc>
        <w:tc>
          <w:tcPr>
            <w:tcW w:w="939" w:type="dxa"/>
            <w:tcBorders>
              <w:top w:val="single" w:sz="6" w:space="0" w:color="auto"/>
              <w:left w:val="single" w:sz="6" w:space="0" w:color="auto"/>
              <w:bottom w:val="single" w:sz="6" w:space="0" w:color="auto"/>
              <w:right w:val="single" w:sz="6" w:space="0" w:color="auto"/>
            </w:tcBorders>
          </w:tcPr>
          <w:p w14:paraId="15F90D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E7E9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2A71FE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c>
          <w:tcPr>
            <w:tcW w:w="939" w:type="dxa"/>
            <w:tcBorders>
              <w:top w:val="single" w:sz="6" w:space="0" w:color="auto"/>
              <w:left w:val="single" w:sz="6" w:space="0" w:color="auto"/>
              <w:bottom w:val="single" w:sz="6" w:space="0" w:color="auto"/>
              <w:right w:val="single" w:sz="6" w:space="0" w:color="auto"/>
            </w:tcBorders>
          </w:tcPr>
          <w:p w14:paraId="724167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52261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(ГРОСС) к работам по самолету не</w:t>
            </w:r>
          </w:p>
        </w:tc>
      </w:tr>
      <w:tr w:rsidR="00DA227A" w:rsidRPr="00E93F40" w14:paraId="34878DCA" w14:textId="77777777">
        <w:tc>
          <w:tcPr>
            <w:tcW w:w="939" w:type="dxa"/>
            <w:tcBorders>
              <w:top w:val="single" w:sz="6" w:space="0" w:color="auto"/>
              <w:left w:val="single" w:sz="6" w:space="0" w:color="auto"/>
              <w:bottom w:val="single" w:sz="6" w:space="0" w:color="auto"/>
              <w:right w:val="single" w:sz="6" w:space="0" w:color="auto"/>
            </w:tcBorders>
          </w:tcPr>
          <w:p w14:paraId="79B09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w:t>
            </w:r>
          </w:p>
        </w:tc>
        <w:tc>
          <w:tcPr>
            <w:tcW w:w="939" w:type="dxa"/>
            <w:tcBorders>
              <w:top w:val="single" w:sz="6" w:space="0" w:color="auto"/>
              <w:left w:val="single" w:sz="6" w:space="0" w:color="auto"/>
              <w:bottom w:val="single" w:sz="6" w:space="0" w:color="auto"/>
              <w:right w:val="single" w:sz="6" w:space="0" w:color="auto"/>
            </w:tcBorders>
          </w:tcPr>
          <w:p w14:paraId="05D516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CAF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BA5F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F81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7BE5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8CAE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F009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приступало ввиду загруженности по</w:t>
            </w:r>
          </w:p>
        </w:tc>
      </w:tr>
      <w:tr w:rsidR="00DA227A" w:rsidRPr="00E93F40" w14:paraId="1107F6F4" w14:textId="77777777">
        <w:tc>
          <w:tcPr>
            <w:tcW w:w="939" w:type="dxa"/>
            <w:tcBorders>
              <w:top w:val="single" w:sz="6" w:space="0" w:color="auto"/>
              <w:left w:val="single" w:sz="6" w:space="0" w:color="auto"/>
              <w:bottom w:val="single" w:sz="6" w:space="0" w:color="auto"/>
              <w:right w:val="single" w:sz="6" w:space="0" w:color="auto"/>
            </w:tcBorders>
          </w:tcPr>
          <w:p w14:paraId="4F574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62651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487C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E83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E85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78B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BC13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4BB9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самолету К-7.</w:t>
            </w:r>
          </w:p>
        </w:tc>
      </w:tr>
      <w:tr w:rsidR="00DA227A" w:rsidRPr="00E93F40" w14:paraId="318870F6" w14:textId="77777777">
        <w:tc>
          <w:tcPr>
            <w:tcW w:w="939" w:type="dxa"/>
            <w:tcBorders>
              <w:top w:val="single" w:sz="6" w:space="0" w:color="auto"/>
              <w:left w:val="single" w:sz="6" w:space="0" w:color="auto"/>
              <w:bottom w:val="single" w:sz="6" w:space="0" w:color="auto"/>
              <w:right w:val="single" w:sz="6" w:space="0" w:color="auto"/>
            </w:tcBorders>
          </w:tcPr>
          <w:p w14:paraId="7999BB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Корректир.,</w:t>
            </w:r>
          </w:p>
        </w:tc>
        <w:tc>
          <w:tcPr>
            <w:tcW w:w="939" w:type="dxa"/>
            <w:tcBorders>
              <w:top w:val="single" w:sz="6" w:space="0" w:color="auto"/>
              <w:left w:val="single" w:sz="6" w:space="0" w:color="auto"/>
              <w:bottom w:val="single" w:sz="6" w:space="0" w:color="auto"/>
              <w:right w:val="single" w:sz="6" w:space="0" w:color="auto"/>
            </w:tcBorders>
          </w:tcPr>
          <w:p w14:paraId="19B8BE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7EC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50BA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181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0D69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87F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440B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A503FC" w14:textId="77777777">
        <w:tc>
          <w:tcPr>
            <w:tcW w:w="939" w:type="dxa"/>
            <w:tcBorders>
              <w:top w:val="single" w:sz="6" w:space="0" w:color="auto"/>
              <w:left w:val="single" w:sz="6" w:space="0" w:color="auto"/>
              <w:bottom w:val="single" w:sz="6" w:space="0" w:color="auto"/>
              <w:right w:val="single" w:sz="6" w:space="0" w:color="auto"/>
            </w:tcBorders>
          </w:tcPr>
          <w:p w14:paraId="5A625D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0A973F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6C7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DF0C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DE7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F2E1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CD1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90DE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6EABC1" w14:textId="77777777">
        <w:tc>
          <w:tcPr>
            <w:tcW w:w="939" w:type="dxa"/>
            <w:tcBorders>
              <w:top w:val="single" w:sz="6" w:space="0" w:color="auto"/>
              <w:left w:val="single" w:sz="6" w:space="0" w:color="auto"/>
              <w:bottom w:val="single" w:sz="6" w:space="0" w:color="auto"/>
              <w:right w:val="single" w:sz="6" w:space="0" w:color="auto"/>
            </w:tcBorders>
          </w:tcPr>
          <w:p w14:paraId="49967B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химический,</w:t>
            </w:r>
          </w:p>
        </w:tc>
        <w:tc>
          <w:tcPr>
            <w:tcW w:w="939" w:type="dxa"/>
            <w:tcBorders>
              <w:top w:val="single" w:sz="6" w:space="0" w:color="auto"/>
              <w:left w:val="single" w:sz="6" w:space="0" w:color="auto"/>
              <w:bottom w:val="single" w:sz="6" w:space="0" w:color="auto"/>
              <w:right w:val="single" w:sz="6" w:space="0" w:color="auto"/>
            </w:tcBorders>
          </w:tcPr>
          <w:p w14:paraId="2CFC0E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C7D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96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2DD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0DB9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8D9F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02C9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12EDE3" w14:textId="77777777">
        <w:tc>
          <w:tcPr>
            <w:tcW w:w="939" w:type="dxa"/>
            <w:tcBorders>
              <w:top w:val="single" w:sz="6" w:space="0" w:color="auto"/>
              <w:left w:val="single" w:sz="6" w:space="0" w:color="auto"/>
              <w:bottom w:val="single" w:sz="6" w:space="0" w:color="auto"/>
              <w:right w:val="single" w:sz="6" w:space="0" w:color="auto"/>
            </w:tcBorders>
          </w:tcPr>
          <w:p w14:paraId="12BFD8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фотосъемщик,</w:t>
            </w:r>
          </w:p>
        </w:tc>
        <w:tc>
          <w:tcPr>
            <w:tcW w:w="939" w:type="dxa"/>
            <w:tcBorders>
              <w:top w:val="single" w:sz="6" w:space="0" w:color="auto"/>
              <w:left w:val="single" w:sz="6" w:space="0" w:color="auto"/>
              <w:bottom w:val="single" w:sz="6" w:space="0" w:color="auto"/>
              <w:right w:val="single" w:sz="6" w:space="0" w:color="auto"/>
            </w:tcBorders>
          </w:tcPr>
          <w:p w14:paraId="64D0DA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6C3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70D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C7D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EAA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1BB7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A5D30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CD36AE" w14:textId="77777777">
        <w:tc>
          <w:tcPr>
            <w:tcW w:w="939" w:type="dxa"/>
            <w:tcBorders>
              <w:top w:val="single" w:sz="6" w:space="0" w:color="auto"/>
              <w:left w:val="single" w:sz="6" w:space="0" w:color="auto"/>
              <w:bottom w:val="single" w:sz="6" w:space="0" w:color="auto"/>
              <w:right w:val="single" w:sz="6" w:space="0" w:color="auto"/>
            </w:tcBorders>
          </w:tcPr>
          <w:p w14:paraId="553CF7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санитарный,</w:t>
            </w:r>
          </w:p>
        </w:tc>
        <w:tc>
          <w:tcPr>
            <w:tcW w:w="939" w:type="dxa"/>
            <w:tcBorders>
              <w:top w:val="single" w:sz="6" w:space="0" w:color="auto"/>
              <w:left w:val="single" w:sz="6" w:space="0" w:color="auto"/>
              <w:bottom w:val="single" w:sz="6" w:space="0" w:color="auto"/>
              <w:right w:val="single" w:sz="6" w:space="0" w:color="auto"/>
            </w:tcBorders>
          </w:tcPr>
          <w:p w14:paraId="1EE55D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32E5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0AF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B9C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07ED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7C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231DB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101C95" w14:textId="77777777">
        <w:tc>
          <w:tcPr>
            <w:tcW w:w="939" w:type="dxa"/>
            <w:tcBorders>
              <w:top w:val="single" w:sz="6" w:space="0" w:color="auto"/>
              <w:left w:val="single" w:sz="6" w:space="0" w:color="auto"/>
              <w:bottom w:val="single" w:sz="6" w:space="0" w:color="auto"/>
              <w:right w:val="single" w:sz="6" w:space="0" w:color="auto"/>
            </w:tcBorders>
          </w:tcPr>
          <w:p w14:paraId="54B799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w:t>
            </w:r>
          </w:p>
        </w:tc>
        <w:tc>
          <w:tcPr>
            <w:tcW w:w="939" w:type="dxa"/>
            <w:tcBorders>
              <w:top w:val="single" w:sz="6" w:space="0" w:color="auto"/>
              <w:left w:val="single" w:sz="6" w:space="0" w:color="auto"/>
              <w:bottom w:val="single" w:sz="6" w:space="0" w:color="auto"/>
              <w:right w:val="single" w:sz="6" w:space="0" w:color="auto"/>
            </w:tcBorders>
          </w:tcPr>
          <w:p w14:paraId="22808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016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309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231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032A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840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BEC5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A7FD63" w14:textId="77777777">
        <w:tc>
          <w:tcPr>
            <w:tcW w:w="939" w:type="dxa"/>
            <w:tcBorders>
              <w:top w:val="single" w:sz="6" w:space="0" w:color="auto"/>
              <w:left w:val="single" w:sz="6" w:space="0" w:color="auto"/>
              <w:bottom w:val="single" w:sz="6" w:space="0" w:color="auto"/>
              <w:right w:val="single" w:sz="6" w:space="0" w:color="auto"/>
            </w:tcBorders>
          </w:tcPr>
          <w:p w14:paraId="03254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П3-М52</w:t>
            </w:r>
          </w:p>
        </w:tc>
        <w:tc>
          <w:tcPr>
            <w:tcW w:w="939" w:type="dxa"/>
            <w:tcBorders>
              <w:top w:val="single" w:sz="6" w:space="0" w:color="auto"/>
              <w:left w:val="single" w:sz="6" w:space="0" w:color="auto"/>
              <w:bottom w:val="single" w:sz="6" w:space="0" w:color="auto"/>
              <w:right w:val="single" w:sz="6" w:space="0" w:color="auto"/>
            </w:tcBorders>
          </w:tcPr>
          <w:p w14:paraId="4852E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30B2A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13FE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1B3177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53BDA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2ECD5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1732F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ГУГВФ до наст. вр. работы по самолету</w:t>
            </w:r>
          </w:p>
        </w:tc>
      </w:tr>
      <w:tr w:rsidR="00DA227A" w:rsidRPr="00E93F40" w14:paraId="02B09294" w14:textId="77777777">
        <w:tc>
          <w:tcPr>
            <w:tcW w:w="939" w:type="dxa"/>
            <w:tcBorders>
              <w:top w:val="single" w:sz="6" w:space="0" w:color="auto"/>
              <w:left w:val="single" w:sz="6" w:space="0" w:color="auto"/>
              <w:bottom w:val="single" w:sz="6" w:space="0" w:color="auto"/>
              <w:right w:val="single" w:sz="6" w:space="0" w:color="auto"/>
            </w:tcBorders>
          </w:tcPr>
          <w:p w14:paraId="7FB07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 для</w:t>
            </w:r>
          </w:p>
        </w:tc>
        <w:tc>
          <w:tcPr>
            <w:tcW w:w="939" w:type="dxa"/>
            <w:tcBorders>
              <w:top w:val="single" w:sz="6" w:space="0" w:color="auto"/>
              <w:left w:val="single" w:sz="6" w:space="0" w:color="auto"/>
              <w:bottom w:val="single" w:sz="6" w:space="0" w:color="auto"/>
              <w:right w:val="single" w:sz="6" w:space="0" w:color="auto"/>
            </w:tcBorders>
          </w:tcPr>
          <w:p w14:paraId="2F11E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8459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60DE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4827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6F295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428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5DC62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ведет.</w:t>
            </w:r>
          </w:p>
        </w:tc>
      </w:tr>
      <w:tr w:rsidR="00DA227A" w:rsidRPr="00E93F40" w14:paraId="66475CF5" w14:textId="77777777">
        <w:tc>
          <w:tcPr>
            <w:tcW w:w="939" w:type="dxa"/>
            <w:tcBorders>
              <w:top w:val="single" w:sz="6" w:space="0" w:color="auto"/>
              <w:left w:val="single" w:sz="6" w:space="0" w:color="auto"/>
              <w:bottom w:val="single" w:sz="6" w:space="0" w:color="auto"/>
              <w:right w:val="single" w:sz="6" w:space="0" w:color="auto"/>
            </w:tcBorders>
          </w:tcPr>
          <w:p w14:paraId="4AF3E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школ, корпусн.</w:t>
            </w:r>
          </w:p>
        </w:tc>
        <w:tc>
          <w:tcPr>
            <w:tcW w:w="939" w:type="dxa"/>
            <w:tcBorders>
              <w:top w:val="single" w:sz="6" w:space="0" w:color="auto"/>
              <w:left w:val="single" w:sz="6" w:space="0" w:color="auto"/>
              <w:bottom w:val="single" w:sz="6" w:space="0" w:color="auto"/>
              <w:right w:val="single" w:sz="6" w:space="0" w:color="auto"/>
            </w:tcBorders>
          </w:tcPr>
          <w:p w14:paraId="0AD3B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5437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D4A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20C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6313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F17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A186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D9C0C0" w14:textId="77777777">
        <w:tc>
          <w:tcPr>
            <w:tcW w:w="939" w:type="dxa"/>
            <w:tcBorders>
              <w:top w:val="single" w:sz="6" w:space="0" w:color="auto"/>
              <w:left w:val="single" w:sz="6" w:space="0" w:color="auto"/>
              <w:bottom w:val="single" w:sz="6" w:space="0" w:color="auto"/>
              <w:right w:val="single" w:sz="6" w:space="0" w:color="auto"/>
            </w:tcBorders>
          </w:tcPr>
          <w:p w14:paraId="5AC60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7B16D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EA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2BF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3701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4C2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C12D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FEAC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01EFD5" w14:textId="77777777">
        <w:tc>
          <w:tcPr>
            <w:tcW w:w="939" w:type="dxa"/>
            <w:tcBorders>
              <w:top w:val="single" w:sz="6" w:space="0" w:color="auto"/>
              <w:left w:val="single" w:sz="6" w:space="0" w:color="auto"/>
              <w:bottom w:val="single" w:sz="6" w:space="0" w:color="auto"/>
              <w:right w:val="single" w:sz="6" w:space="0" w:color="auto"/>
            </w:tcBorders>
          </w:tcPr>
          <w:p w14:paraId="58C45F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местной</w:t>
            </w:r>
          </w:p>
        </w:tc>
        <w:tc>
          <w:tcPr>
            <w:tcW w:w="939" w:type="dxa"/>
            <w:tcBorders>
              <w:top w:val="single" w:sz="6" w:space="0" w:color="auto"/>
              <w:left w:val="single" w:sz="6" w:space="0" w:color="auto"/>
              <w:bottom w:val="single" w:sz="6" w:space="0" w:color="auto"/>
              <w:right w:val="single" w:sz="6" w:space="0" w:color="auto"/>
            </w:tcBorders>
          </w:tcPr>
          <w:p w14:paraId="00911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F8A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D9C1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DB4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4EE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1E9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39D9F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ADFF1E" w14:textId="77777777">
        <w:tc>
          <w:tcPr>
            <w:tcW w:w="939" w:type="dxa"/>
            <w:tcBorders>
              <w:top w:val="single" w:sz="6" w:space="0" w:color="auto"/>
              <w:left w:val="single" w:sz="6" w:space="0" w:color="auto"/>
              <w:bottom w:val="single" w:sz="6" w:space="0" w:color="auto"/>
              <w:right w:val="single" w:sz="6" w:space="0" w:color="auto"/>
            </w:tcBorders>
          </w:tcPr>
          <w:p w14:paraId="325A7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авиации)</w:t>
            </w:r>
          </w:p>
        </w:tc>
        <w:tc>
          <w:tcPr>
            <w:tcW w:w="939" w:type="dxa"/>
            <w:tcBorders>
              <w:top w:val="single" w:sz="6" w:space="0" w:color="auto"/>
              <w:left w:val="single" w:sz="6" w:space="0" w:color="auto"/>
              <w:bottom w:val="single" w:sz="6" w:space="0" w:color="auto"/>
              <w:right w:val="single" w:sz="6" w:space="0" w:color="auto"/>
            </w:tcBorders>
          </w:tcPr>
          <w:p w14:paraId="54080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46B6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E3B2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5612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8A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C6E7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AAB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0FDAED7" w14:textId="77777777">
        <w:tc>
          <w:tcPr>
            <w:tcW w:w="939" w:type="dxa"/>
            <w:tcBorders>
              <w:top w:val="single" w:sz="6" w:space="0" w:color="auto"/>
              <w:left w:val="single" w:sz="6" w:space="0" w:color="auto"/>
              <w:bottom w:val="single" w:sz="6" w:space="0" w:color="auto"/>
              <w:right w:val="single" w:sz="6" w:space="0" w:color="auto"/>
            </w:tcBorders>
          </w:tcPr>
          <w:p w14:paraId="482104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У3-М48</w:t>
            </w:r>
          </w:p>
        </w:tc>
        <w:tc>
          <w:tcPr>
            <w:tcW w:w="939" w:type="dxa"/>
            <w:tcBorders>
              <w:top w:val="single" w:sz="6" w:space="0" w:color="auto"/>
              <w:left w:val="single" w:sz="6" w:space="0" w:color="auto"/>
              <w:bottom w:val="single" w:sz="6" w:space="0" w:color="auto"/>
              <w:right w:val="single" w:sz="6" w:space="0" w:color="auto"/>
            </w:tcBorders>
          </w:tcPr>
          <w:p w14:paraId="35B3C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180/1000</w:t>
            </w:r>
          </w:p>
        </w:tc>
        <w:tc>
          <w:tcPr>
            <w:tcW w:w="939" w:type="dxa"/>
            <w:tcBorders>
              <w:top w:val="single" w:sz="6" w:space="0" w:color="auto"/>
              <w:left w:val="single" w:sz="6" w:space="0" w:color="auto"/>
              <w:bottom w:val="single" w:sz="6" w:space="0" w:color="auto"/>
              <w:right w:val="single" w:sz="6" w:space="0" w:color="auto"/>
            </w:tcBorders>
          </w:tcPr>
          <w:p w14:paraId="4C7FB8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AD92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578C75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429020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939" w:type="dxa"/>
            <w:tcBorders>
              <w:top w:val="single" w:sz="6" w:space="0" w:color="auto"/>
              <w:left w:val="single" w:sz="6" w:space="0" w:color="auto"/>
              <w:bottom w:val="single" w:sz="6" w:space="0" w:color="auto"/>
              <w:right w:val="single" w:sz="6" w:space="0" w:color="auto"/>
            </w:tcBorders>
          </w:tcPr>
          <w:p w14:paraId="2E2D3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w:t>
            </w:r>
          </w:p>
        </w:tc>
        <w:tc>
          <w:tcPr>
            <w:tcW w:w="3883" w:type="dxa"/>
            <w:tcBorders>
              <w:top w:val="single" w:sz="6" w:space="0" w:color="auto"/>
              <w:left w:val="single" w:sz="6" w:space="0" w:color="auto"/>
              <w:bottom w:val="single" w:sz="6" w:space="0" w:color="auto"/>
              <w:right w:val="single" w:sz="6" w:space="0" w:color="auto"/>
            </w:tcBorders>
          </w:tcPr>
          <w:p w14:paraId="18EE8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 приступил к разработке конструкции</w:t>
            </w:r>
          </w:p>
        </w:tc>
      </w:tr>
      <w:tr w:rsidR="00DA227A" w:rsidRPr="00E93F40" w14:paraId="76B38FBC" w14:textId="77777777">
        <w:tc>
          <w:tcPr>
            <w:tcW w:w="939" w:type="dxa"/>
            <w:tcBorders>
              <w:top w:val="single" w:sz="6" w:space="0" w:color="auto"/>
              <w:left w:val="single" w:sz="6" w:space="0" w:color="auto"/>
              <w:bottom w:val="single" w:sz="6" w:space="0" w:color="auto"/>
              <w:right w:val="single" w:sz="6" w:space="0" w:color="auto"/>
            </w:tcBorders>
          </w:tcPr>
          <w:p w14:paraId="6F291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(Учебный</w:t>
            </w:r>
          </w:p>
        </w:tc>
        <w:tc>
          <w:tcPr>
            <w:tcW w:w="939" w:type="dxa"/>
            <w:tcBorders>
              <w:top w:val="single" w:sz="6" w:space="0" w:color="auto"/>
              <w:left w:val="single" w:sz="6" w:space="0" w:color="auto"/>
              <w:bottom w:val="single" w:sz="6" w:space="0" w:color="auto"/>
              <w:right w:val="single" w:sz="6" w:space="0" w:color="auto"/>
            </w:tcBorders>
          </w:tcPr>
          <w:p w14:paraId="179B4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024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32D4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165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517D2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D7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C93A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w:t>
            </w:r>
          </w:p>
        </w:tc>
      </w:tr>
      <w:tr w:rsidR="00DA227A" w:rsidRPr="00E93F40" w14:paraId="6C0D0FE2" w14:textId="77777777">
        <w:tc>
          <w:tcPr>
            <w:tcW w:w="939" w:type="dxa"/>
            <w:tcBorders>
              <w:top w:val="single" w:sz="6" w:space="0" w:color="auto"/>
              <w:left w:val="single" w:sz="6" w:space="0" w:color="auto"/>
              <w:bottom w:val="single" w:sz="6" w:space="0" w:color="auto"/>
              <w:right w:val="single" w:sz="6" w:space="0" w:color="auto"/>
            </w:tcBorders>
          </w:tcPr>
          <w:p w14:paraId="619E2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0ADD7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CD4D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21A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58F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490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123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2149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C69019" w14:textId="77777777">
        <w:tc>
          <w:tcPr>
            <w:tcW w:w="939" w:type="dxa"/>
            <w:tcBorders>
              <w:top w:val="single" w:sz="6" w:space="0" w:color="auto"/>
              <w:left w:val="single" w:sz="6" w:space="0" w:color="auto"/>
              <w:bottom w:val="single" w:sz="6" w:space="0" w:color="auto"/>
              <w:right w:val="single" w:sz="6" w:space="0" w:color="auto"/>
            </w:tcBorders>
          </w:tcPr>
          <w:p w14:paraId="4C273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для</w:t>
            </w:r>
          </w:p>
        </w:tc>
        <w:tc>
          <w:tcPr>
            <w:tcW w:w="939" w:type="dxa"/>
            <w:tcBorders>
              <w:top w:val="single" w:sz="6" w:space="0" w:color="auto"/>
              <w:left w:val="single" w:sz="6" w:space="0" w:color="auto"/>
              <w:bottom w:val="single" w:sz="6" w:space="0" w:color="auto"/>
              <w:right w:val="single" w:sz="6" w:space="0" w:color="auto"/>
            </w:tcBorders>
          </w:tcPr>
          <w:p w14:paraId="182B2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750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5784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5F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5283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8968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880D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40C56C" w14:textId="77777777">
        <w:tc>
          <w:tcPr>
            <w:tcW w:w="939" w:type="dxa"/>
            <w:tcBorders>
              <w:top w:val="single" w:sz="6" w:space="0" w:color="auto"/>
              <w:left w:val="single" w:sz="6" w:space="0" w:color="auto"/>
              <w:bottom w:val="single" w:sz="6" w:space="0" w:color="auto"/>
              <w:right w:val="single" w:sz="6" w:space="0" w:color="auto"/>
            </w:tcBorders>
          </w:tcPr>
          <w:p w14:paraId="6C92E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связи и</w:t>
            </w:r>
          </w:p>
        </w:tc>
        <w:tc>
          <w:tcPr>
            <w:tcW w:w="939" w:type="dxa"/>
            <w:tcBorders>
              <w:top w:val="single" w:sz="6" w:space="0" w:color="auto"/>
              <w:left w:val="single" w:sz="6" w:space="0" w:color="auto"/>
              <w:bottom w:val="single" w:sz="6" w:space="0" w:color="auto"/>
              <w:right w:val="single" w:sz="6" w:space="0" w:color="auto"/>
            </w:tcBorders>
          </w:tcPr>
          <w:p w14:paraId="5A12C2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A9BF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167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F66F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1179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61F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ED8B9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DC3A75" w14:textId="77777777">
        <w:tc>
          <w:tcPr>
            <w:tcW w:w="939" w:type="dxa"/>
            <w:tcBorders>
              <w:top w:val="single" w:sz="6" w:space="0" w:color="auto"/>
              <w:left w:val="single" w:sz="6" w:space="0" w:color="auto"/>
              <w:bottom w:val="nil"/>
              <w:right w:val="single" w:sz="6" w:space="0" w:color="auto"/>
            </w:tcBorders>
          </w:tcPr>
          <w:p w14:paraId="2EE2B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сопровожд.,</w:t>
            </w:r>
          </w:p>
        </w:tc>
        <w:tc>
          <w:tcPr>
            <w:tcW w:w="939" w:type="dxa"/>
            <w:tcBorders>
              <w:top w:val="single" w:sz="6" w:space="0" w:color="auto"/>
              <w:left w:val="single" w:sz="6" w:space="0" w:color="auto"/>
              <w:bottom w:val="nil"/>
              <w:right w:val="single" w:sz="6" w:space="0" w:color="auto"/>
            </w:tcBorders>
          </w:tcPr>
          <w:p w14:paraId="49AA55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2690B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88DA3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0CD25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7C0A4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30BB73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nil"/>
              <w:right w:val="single" w:sz="6" w:space="0" w:color="auto"/>
            </w:tcBorders>
          </w:tcPr>
          <w:p w14:paraId="223FB3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095D7F" w14:textId="77777777">
        <w:tc>
          <w:tcPr>
            <w:tcW w:w="939" w:type="dxa"/>
            <w:tcBorders>
              <w:top w:val="single" w:sz="6" w:space="0" w:color="auto"/>
              <w:left w:val="single" w:sz="6" w:space="0" w:color="auto"/>
              <w:bottom w:val="single" w:sz="6" w:space="0" w:color="auto"/>
              <w:right w:val="single" w:sz="6" w:space="0" w:color="auto"/>
            </w:tcBorders>
          </w:tcPr>
          <w:p w14:paraId="1BBB4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туризма,</w:t>
            </w:r>
          </w:p>
        </w:tc>
        <w:tc>
          <w:tcPr>
            <w:tcW w:w="939" w:type="dxa"/>
            <w:tcBorders>
              <w:top w:val="single" w:sz="6" w:space="0" w:color="auto"/>
              <w:left w:val="single" w:sz="6" w:space="0" w:color="auto"/>
              <w:bottom w:val="single" w:sz="6" w:space="0" w:color="auto"/>
              <w:right w:val="single" w:sz="6" w:space="0" w:color="auto"/>
            </w:tcBorders>
          </w:tcPr>
          <w:p w14:paraId="7AE230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7B2D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7E2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C0DF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56E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97A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AD72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CDC579" w14:textId="77777777">
        <w:tc>
          <w:tcPr>
            <w:tcW w:w="939" w:type="dxa"/>
            <w:tcBorders>
              <w:top w:val="single" w:sz="6" w:space="0" w:color="auto"/>
              <w:left w:val="single" w:sz="6" w:space="0" w:color="auto"/>
              <w:bottom w:val="single" w:sz="6" w:space="0" w:color="auto"/>
              <w:right w:val="single" w:sz="6" w:space="0" w:color="auto"/>
            </w:tcBorders>
          </w:tcPr>
          <w:p w14:paraId="5454D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местн.</w:t>
            </w:r>
          </w:p>
        </w:tc>
        <w:tc>
          <w:tcPr>
            <w:tcW w:w="939" w:type="dxa"/>
            <w:tcBorders>
              <w:top w:val="single" w:sz="6" w:space="0" w:color="auto"/>
              <w:left w:val="single" w:sz="6" w:space="0" w:color="auto"/>
              <w:bottom w:val="single" w:sz="6" w:space="0" w:color="auto"/>
              <w:right w:val="single" w:sz="6" w:space="0" w:color="auto"/>
            </w:tcBorders>
          </w:tcPr>
          <w:p w14:paraId="55C47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40A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6BE3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F7C9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F2B4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1161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CE83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1A349E" w14:textId="77777777">
        <w:tc>
          <w:tcPr>
            <w:tcW w:w="939" w:type="dxa"/>
            <w:tcBorders>
              <w:top w:val="single" w:sz="6" w:space="0" w:color="auto"/>
              <w:left w:val="single" w:sz="6" w:space="0" w:color="auto"/>
              <w:bottom w:val="single" w:sz="6" w:space="0" w:color="auto"/>
              <w:right w:val="single" w:sz="6" w:space="0" w:color="auto"/>
            </w:tcBorders>
          </w:tcPr>
          <w:p w14:paraId="551D78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авиации,</w:t>
            </w:r>
          </w:p>
        </w:tc>
        <w:tc>
          <w:tcPr>
            <w:tcW w:w="939" w:type="dxa"/>
            <w:tcBorders>
              <w:top w:val="single" w:sz="6" w:space="0" w:color="auto"/>
              <w:left w:val="single" w:sz="6" w:space="0" w:color="auto"/>
              <w:bottom w:val="single" w:sz="6" w:space="0" w:color="auto"/>
              <w:right w:val="single" w:sz="6" w:space="0" w:color="auto"/>
            </w:tcBorders>
          </w:tcPr>
          <w:p w14:paraId="66930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FE2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519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914C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1EB8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A39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DDC7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B639CC" w14:textId="77777777">
        <w:tc>
          <w:tcPr>
            <w:tcW w:w="939" w:type="dxa"/>
            <w:tcBorders>
              <w:top w:val="single" w:sz="6" w:space="0" w:color="auto"/>
              <w:left w:val="single" w:sz="6" w:space="0" w:color="auto"/>
              <w:bottom w:val="single" w:sz="6" w:space="0" w:color="auto"/>
              <w:right w:val="single" w:sz="6" w:space="0" w:color="auto"/>
            </w:tcBorders>
          </w:tcPr>
          <w:p w14:paraId="116144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5B9937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E69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3643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D2D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D6F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99C1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CABFA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622ED4" w14:textId="77777777">
        <w:tc>
          <w:tcPr>
            <w:tcW w:w="939" w:type="dxa"/>
            <w:tcBorders>
              <w:top w:val="single" w:sz="6" w:space="0" w:color="auto"/>
              <w:left w:val="single" w:sz="6" w:space="0" w:color="auto"/>
              <w:bottom w:val="single" w:sz="6" w:space="0" w:color="auto"/>
              <w:right w:val="single" w:sz="6" w:space="0" w:color="auto"/>
            </w:tcBorders>
          </w:tcPr>
          <w:p w14:paraId="55D42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w:t>
            </w:r>
          </w:p>
        </w:tc>
        <w:tc>
          <w:tcPr>
            <w:tcW w:w="939" w:type="dxa"/>
            <w:tcBorders>
              <w:top w:val="single" w:sz="6" w:space="0" w:color="auto"/>
              <w:left w:val="single" w:sz="6" w:space="0" w:color="auto"/>
              <w:bottom w:val="single" w:sz="6" w:space="0" w:color="auto"/>
              <w:right w:val="single" w:sz="6" w:space="0" w:color="auto"/>
            </w:tcBorders>
          </w:tcPr>
          <w:p w14:paraId="47232E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CA9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745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19F2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734F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BE7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C311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7E162A" w14:textId="77777777">
        <w:tc>
          <w:tcPr>
            <w:tcW w:w="939" w:type="dxa"/>
            <w:tcBorders>
              <w:top w:val="single" w:sz="6" w:space="0" w:color="auto"/>
              <w:left w:val="single" w:sz="6" w:space="0" w:color="auto"/>
              <w:bottom w:val="single" w:sz="6" w:space="0" w:color="auto"/>
              <w:right w:val="single" w:sz="6" w:space="0" w:color="auto"/>
            </w:tcBorders>
          </w:tcPr>
          <w:p w14:paraId="6BAB5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К7-7М34</w:t>
            </w:r>
          </w:p>
        </w:tc>
        <w:tc>
          <w:tcPr>
            <w:tcW w:w="939" w:type="dxa"/>
            <w:tcBorders>
              <w:top w:val="single" w:sz="6" w:space="0" w:color="auto"/>
              <w:left w:val="single" w:sz="6" w:space="0" w:color="auto"/>
              <w:bottom w:val="single" w:sz="6" w:space="0" w:color="auto"/>
              <w:right w:val="single" w:sz="6" w:space="0" w:color="auto"/>
            </w:tcBorders>
          </w:tcPr>
          <w:p w14:paraId="28759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E6C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1398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BB4D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A98F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E205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C0CC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EE4FD0" w14:textId="77777777">
        <w:tc>
          <w:tcPr>
            <w:tcW w:w="939" w:type="dxa"/>
            <w:tcBorders>
              <w:top w:val="single" w:sz="6" w:space="0" w:color="auto"/>
              <w:left w:val="single" w:sz="6" w:space="0" w:color="auto"/>
              <w:bottom w:val="single" w:sz="6" w:space="0" w:color="auto"/>
              <w:right w:val="single" w:sz="6" w:space="0" w:color="auto"/>
            </w:tcBorders>
          </w:tcPr>
          <w:p w14:paraId="3A24F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бомбовоз,</w:t>
            </w:r>
          </w:p>
        </w:tc>
        <w:tc>
          <w:tcPr>
            <w:tcW w:w="939" w:type="dxa"/>
            <w:tcBorders>
              <w:top w:val="single" w:sz="6" w:space="0" w:color="auto"/>
              <w:left w:val="single" w:sz="6" w:space="0" w:color="auto"/>
              <w:bottom w:val="single" w:sz="6" w:space="0" w:color="auto"/>
              <w:right w:val="single" w:sz="6" w:space="0" w:color="auto"/>
            </w:tcBorders>
          </w:tcPr>
          <w:p w14:paraId="374B7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w:t>
            </w:r>
          </w:p>
        </w:tc>
        <w:tc>
          <w:tcPr>
            <w:tcW w:w="939" w:type="dxa"/>
            <w:tcBorders>
              <w:top w:val="single" w:sz="6" w:space="0" w:color="auto"/>
              <w:left w:val="single" w:sz="6" w:space="0" w:color="auto"/>
              <w:bottom w:val="single" w:sz="6" w:space="0" w:color="auto"/>
              <w:right w:val="single" w:sz="6" w:space="0" w:color="auto"/>
            </w:tcBorders>
          </w:tcPr>
          <w:p w14:paraId="6465D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0F7C6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3650</w:t>
            </w:r>
          </w:p>
        </w:tc>
        <w:tc>
          <w:tcPr>
            <w:tcW w:w="939" w:type="dxa"/>
            <w:tcBorders>
              <w:top w:val="single" w:sz="6" w:space="0" w:color="auto"/>
              <w:left w:val="single" w:sz="6" w:space="0" w:color="auto"/>
              <w:bottom w:val="single" w:sz="6" w:space="0" w:color="auto"/>
              <w:right w:val="single" w:sz="6" w:space="0" w:color="auto"/>
            </w:tcBorders>
          </w:tcPr>
          <w:p w14:paraId="2C9244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Пушки и</w:t>
            </w:r>
          </w:p>
        </w:tc>
        <w:tc>
          <w:tcPr>
            <w:tcW w:w="939" w:type="dxa"/>
            <w:tcBorders>
              <w:top w:val="single" w:sz="6" w:space="0" w:color="auto"/>
              <w:left w:val="single" w:sz="6" w:space="0" w:color="auto"/>
              <w:bottom w:val="single" w:sz="6" w:space="0" w:color="auto"/>
              <w:right w:val="single" w:sz="6" w:space="0" w:color="auto"/>
            </w:tcBorders>
          </w:tcPr>
          <w:p w14:paraId="0255B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2D3B7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5CBD9A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конструкции самолета</w:t>
            </w:r>
          </w:p>
        </w:tc>
      </w:tr>
      <w:tr w:rsidR="00DA227A" w:rsidRPr="00E93F40" w14:paraId="515D8865" w14:textId="77777777">
        <w:tc>
          <w:tcPr>
            <w:tcW w:w="939" w:type="dxa"/>
            <w:tcBorders>
              <w:top w:val="single" w:sz="6" w:space="0" w:color="auto"/>
              <w:left w:val="single" w:sz="6" w:space="0" w:color="auto"/>
              <w:bottom w:val="single" w:sz="6" w:space="0" w:color="auto"/>
              <w:right w:val="single" w:sz="6" w:space="0" w:color="auto"/>
            </w:tcBorders>
          </w:tcPr>
          <w:p w14:paraId="0178E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w:t>
            </w:r>
          </w:p>
        </w:tc>
        <w:tc>
          <w:tcPr>
            <w:tcW w:w="939" w:type="dxa"/>
            <w:tcBorders>
              <w:top w:val="single" w:sz="6" w:space="0" w:color="auto"/>
              <w:left w:val="single" w:sz="6" w:space="0" w:color="auto"/>
              <w:bottom w:val="single" w:sz="6" w:space="0" w:color="auto"/>
              <w:right w:val="single" w:sz="6" w:space="0" w:color="auto"/>
            </w:tcBorders>
          </w:tcPr>
          <w:p w14:paraId="158B11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180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1B9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0F48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 и</w:t>
            </w:r>
          </w:p>
        </w:tc>
        <w:tc>
          <w:tcPr>
            <w:tcW w:w="939" w:type="dxa"/>
            <w:tcBorders>
              <w:top w:val="single" w:sz="6" w:space="0" w:color="auto"/>
              <w:left w:val="single" w:sz="6" w:space="0" w:color="auto"/>
              <w:bottom w:val="single" w:sz="6" w:space="0" w:color="auto"/>
              <w:right w:val="single" w:sz="6" w:space="0" w:color="auto"/>
            </w:tcBorders>
          </w:tcPr>
          <w:p w14:paraId="534B7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D6E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CF15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полностью закончено. Находится в</w:t>
            </w:r>
          </w:p>
        </w:tc>
      </w:tr>
      <w:tr w:rsidR="00DA227A" w:rsidRPr="00E93F40" w14:paraId="51CED116" w14:textId="77777777">
        <w:tc>
          <w:tcPr>
            <w:tcW w:w="939" w:type="dxa"/>
            <w:tcBorders>
              <w:top w:val="single" w:sz="6" w:space="0" w:color="auto"/>
              <w:left w:val="single" w:sz="6" w:space="0" w:color="auto"/>
              <w:bottom w:val="single" w:sz="6" w:space="0" w:color="auto"/>
              <w:right w:val="single" w:sz="6" w:space="0" w:color="auto"/>
            </w:tcBorders>
          </w:tcPr>
          <w:p w14:paraId="0C467E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5CD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4E86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89F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DD2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пулем.</w:t>
            </w:r>
          </w:p>
        </w:tc>
        <w:tc>
          <w:tcPr>
            <w:tcW w:w="939" w:type="dxa"/>
            <w:tcBorders>
              <w:top w:val="single" w:sz="6" w:space="0" w:color="auto"/>
              <w:left w:val="single" w:sz="6" w:space="0" w:color="auto"/>
              <w:bottom w:val="single" w:sz="6" w:space="0" w:color="auto"/>
              <w:right w:val="single" w:sz="6" w:space="0" w:color="auto"/>
            </w:tcBorders>
          </w:tcPr>
          <w:p w14:paraId="709BC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988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постройке.</w:t>
            </w:r>
          </w:p>
        </w:tc>
        <w:tc>
          <w:tcPr>
            <w:tcW w:w="3883" w:type="dxa"/>
            <w:tcBorders>
              <w:top w:val="single" w:sz="6" w:space="0" w:color="auto"/>
              <w:left w:val="single" w:sz="6" w:space="0" w:color="auto"/>
              <w:bottom w:val="single" w:sz="6" w:space="0" w:color="auto"/>
              <w:right w:val="single" w:sz="6" w:space="0" w:color="auto"/>
            </w:tcBorders>
          </w:tcPr>
          <w:p w14:paraId="518E0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0C4F03" w14:textId="77777777">
        <w:tc>
          <w:tcPr>
            <w:tcW w:w="939" w:type="dxa"/>
            <w:tcBorders>
              <w:top w:val="single" w:sz="6" w:space="0" w:color="auto"/>
              <w:left w:val="single" w:sz="6" w:space="0" w:color="auto"/>
              <w:bottom w:val="single" w:sz="6" w:space="0" w:color="auto"/>
              <w:right w:val="single" w:sz="6" w:space="0" w:color="auto"/>
            </w:tcBorders>
          </w:tcPr>
          <w:p w14:paraId="063826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 самолеты.</w:t>
            </w:r>
          </w:p>
        </w:tc>
        <w:tc>
          <w:tcPr>
            <w:tcW w:w="939" w:type="dxa"/>
            <w:tcBorders>
              <w:top w:val="single" w:sz="6" w:space="0" w:color="auto"/>
              <w:left w:val="single" w:sz="6" w:space="0" w:color="auto"/>
              <w:bottom w:val="single" w:sz="6" w:space="0" w:color="auto"/>
              <w:right w:val="single" w:sz="6" w:space="0" w:color="auto"/>
            </w:tcBorders>
          </w:tcPr>
          <w:p w14:paraId="332E2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4AC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3DB7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AD7B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54CF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A91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03C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C681B1" w14:textId="77777777">
        <w:tc>
          <w:tcPr>
            <w:tcW w:w="939" w:type="dxa"/>
            <w:tcBorders>
              <w:top w:val="single" w:sz="6" w:space="0" w:color="auto"/>
              <w:left w:val="single" w:sz="6" w:space="0" w:color="auto"/>
              <w:bottom w:val="single" w:sz="6" w:space="0" w:color="auto"/>
              <w:right w:val="single" w:sz="6" w:space="0" w:color="auto"/>
            </w:tcBorders>
          </w:tcPr>
          <w:p w14:paraId="593FD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w:t>
            </w:r>
          </w:p>
        </w:tc>
        <w:tc>
          <w:tcPr>
            <w:tcW w:w="939" w:type="dxa"/>
            <w:tcBorders>
              <w:top w:val="single" w:sz="6" w:space="0" w:color="auto"/>
              <w:left w:val="single" w:sz="6" w:space="0" w:color="auto"/>
              <w:bottom w:val="single" w:sz="6" w:space="0" w:color="auto"/>
              <w:right w:val="single" w:sz="6" w:space="0" w:color="auto"/>
            </w:tcBorders>
          </w:tcPr>
          <w:p w14:paraId="01EEF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865E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857BA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939" w:type="dxa"/>
            <w:tcBorders>
              <w:top w:val="single" w:sz="6" w:space="0" w:color="auto"/>
              <w:left w:val="single" w:sz="6" w:space="0" w:color="auto"/>
              <w:bottom w:val="single" w:sz="6" w:space="0" w:color="auto"/>
              <w:right w:val="single" w:sz="6" w:space="0" w:color="auto"/>
            </w:tcBorders>
          </w:tcPr>
          <w:p w14:paraId="289BCD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C3A7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A7159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w:t>
            </w:r>
          </w:p>
        </w:tc>
        <w:tc>
          <w:tcPr>
            <w:tcW w:w="3883" w:type="dxa"/>
            <w:tcBorders>
              <w:top w:val="single" w:sz="6" w:space="0" w:color="auto"/>
              <w:left w:val="single" w:sz="6" w:space="0" w:color="auto"/>
              <w:bottom w:val="single" w:sz="6" w:space="0" w:color="auto"/>
              <w:right w:val="single" w:sz="6" w:space="0" w:color="auto"/>
            </w:tcBorders>
          </w:tcPr>
          <w:p w14:paraId="19799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по самолету ведется в ЦАГИ и</w:t>
            </w:r>
          </w:p>
        </w:tc>
      </w:tr>
      <w:tr w:rsidR="00DA227A" w:rsidRPr="00E93F40" w14:paraId="2EF8E23A" w14:textId="77777777">
        <w:tc>
          <w:tcPr>
            <w:tcW w:w="939" w:type="dxa"/>
            <w:tcBorders>
              <w:top w:val="single" w:sz="6" w:space="0" w:color="auto"/>
              <w:left w:val="single" w:sz="6" w:space="0" w:color="auto"/>
              <w:bottom w:val="single" w:sz="6" w:space="0" w:color="auto"/>
              <w:right w:val="single" w:sz="6" w:space="0" w:color="auto"/>
            </w:tcBorders>
          </w:tcPr>
          <w:p w14:paraId="226A4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61A41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CC0D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223D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AEB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DC2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6A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D2351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БНК. ЦАГИ разработало общую схему и </w:t>
            </w:r>
          </w:p>
        </w:tc>
      </w:tr>
      <w:tr w:rsidR="00DA227A" w:rsidRPr="00E93F40" w14:paraId="2E7B7A99" w14:textId="77777777">
        <w:tc>
          <w:tcPr>
            <w:tcW w:w="939" w:type="dxa"/>
            <w:tcBorders>
              <w:top w:val="single" w:sz="6" w:space="0" w:color="auto"/>
              <w:left w:val="single" w:sz="6" w:space="0" w:color="auto"/>
              <w:bottom w:val="single" w:sz="6" w:space="0" w:color="auto"/>
              <w:right w:val="single" w:sz="6" w:space="0" w:color="auto"/>
            </w:tcBorders>
          </w:tcPr>
          <w:p w14:paraId="1D0B9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w:t>
            </w:r>
          </w:p>
        </w:tc>
        <w:tc>
          <w:tcPr>
            <w:tcW w:w="939" w:type="dxa"/>
            <w:tcBorders>
              <w:top w:val="single" w:sz="6" w:space="0" w:color="auto"/>
              <w:left w:val="single" w:sz="6" w:space="0" w:color="auto"/>
              <w:bottom w:val="single" w:sz="6" w:space="0" w:color="auto"/>
              <w:right w:val="single" w:sz="6" w:space="0" w:color="auto"/>
            </w:tcBorders>
          </w:tcPr>
          <w:p w14:paraId="603B8D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ACF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35FE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726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BBE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C94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D0E7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ведет проектирование по герметической</w:t>
            </w:r>
          </w:p>
        </w:tc>
      </w:tr>
      <w:tr w:rsidR="00DA227A" w:rsidRPr="00E93F40" w14:paraId="7D6A25A8" w14:textId="77777777">
        <w:tc>
          <w:tcPr>
            <w:tcW w:w="939" w:type="dxa"/>
            <w:tcBorders>
              <w:top w:val="single" w:sz="6" w:space="0" w:color="auto"/>
              <w:left w:val="single" w:sz="6" w:space="0" w:color="auto"/>
              <w:bottom w:val="single" w:sz="6" w:space="0" w:color="auto"/>
              <w:right w:val="single" w:sz="6" w:space="0" w:color="auto"/>
            </w:tcBorders>
          </w:tcPr>
          <w:p w14:paraId="521AFE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w:t>
            </w:r>
          </w:p>
        </w:tc>
        <w:tc>
          <w:tcPr>
            <w:tcW w:w="939" w:type="dxa"/>
            <w:tcBorders>
              <w:top w:val="single" w:sz="6" w:space="0" w:color="auto"/>
              <w:left w:val="single" w:sz="6" w:space="0" w:color="auto"/>
              <w:bottom w:val="single" w:sz="6" w:space="0" w:color="auto"/>
              <w:right w:val="single" w:sz="6" w:space="0" w:color="auto"/>
            </w:tcBorders>
          </w:tcPr>
          <w:p w14:paraId="7094C4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55A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1310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7F2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651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075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588E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кабине.</w:t>
            </w:r>
          </w:p>
        </w:tc>
      </w:tr>
      <w:tr w:rsidR="00DA227A" w:rsidRPr="00E93F40" w14:paraId="50AF92DF" w14:textId="77777777">
        <w:tc>
          <w:tcPr>
            <w:tcW w:w="939" w:type="dxa"/>
            <w:tcBorders>
              <w:top w:val="single" w:sz="6" w:space="0" w:color="auto"/>
              <w:left w:val="single" w:sz="6" w:space="0" w:color="auto"/>
              <w:bottom w:val="single" w:sz="6" w:space="0" w:color="auto"/>
              <w:right w:val="single" w:sz="6" w:space="0" w:color="auto"/>
            </w:tcBorders>
          </w:tcPr>
          <w:p w14:paraId="6C339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939" w:type="dxa"/>
            <w:tcBorders>
              <w:top w:val="single" w:sz="6" w:space="0" w:color="auto"/>
              <w:left w:val="single" w:sz="6" w:space="0" w:color="auto"/>
              <w:bottom w:val="single" w:sz="6" w:space="0" w:color="auto"/>
              <w:right w:val="single" w:sz="6" w:space="0" w:color="auto"/>
            </w:tcBorders>
          </w:tcPr>
          <w:p w14:paraId="11EE65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AFC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FFD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7BE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59F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AB3E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498B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36855D" w14:textId="77777777">
        <w:tc>
          <w:tcPr>
            <w:tcW w:w="939" w:type="dxa"/>
            <w:tcBorders>
              <w:top w:val="single" w:sz="6" w:space="0" w:color="auto"/>
              <w:left w:val="single" w:sz="6" w:space="0" w:color="auto"/>
              <w:bottom w:val="single" w:sz="6" w:space="0" w:color="auto"/>
              <w:right w:val="single" w:sz="6" w:space="0" w:color="auto"/>
            </w:tcBorders>
          </w:tcPr>
          <w:p w14:paraId="7AA25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4013CE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2EEA4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830DC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782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D140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4D98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49580E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срок предъявления самолета не</w:t>
            </w:r>
          </w:p>
        </w:tc>
      </w:tr>
      <w:tr w:rsidR="00DA227A" w:rsidRPr="00E93F40" w14:paraId="6EBC5218" w14:textId="77777777">
        <w:tc>
          <w:tcPr>
            <w:tcW w:w="939" w:type="dxa"/>
            <w:tcBorders>
              <w:top w:val="single" w:sz="6" w:space="0" w:color="auto"/>
              <w:left w:val="single" w:sz="6" w:space="0" w:color="auto"/>
              <w:bottom w:val="single" w:sz="6" w:space="0" w:color="auto"/>
              <w:right w:val="single" w:sz="6" w:space="0" w:color="auto"/>
            </w:tcBorders>
          </w:tcPr>
          <w:p w14:paraId="10A72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летающее</w:t>
            </w:r>
          </w:p>
        </w:tc>
        <w:tc>
          <w:tcPr>
            <w:tcW w:w="939" w:type="dxa"/>
            <w:tcBorders>
              <w:top w:val="single" w:sz="6" w:space="0" w:color="auto"/>
              <w:left w:val="single" w:sz="6" w:space="0" w:color="auto"/>
              <w:bottom w:val="single" w:sz="6" w:space="0" w:color="auto"/>
              <w:right w:val="single" w:sz="6" w:space="0" w:color="auto"/>
            </w:tcBorders>
          </w:tcPr>
          <w:p w14:paraId="78A37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A8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EB85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78B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2C2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A72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D19B8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выдержало. Не предъявлен мотор М34.</w:t>
            </w:r>
          </w:p>
        </w:tc>
      </w:tr>
      <w:tr w:rsidR="00DA227A" w:rsidRPr="00E93F40" w14:paraId="53A64DC4" w14:textId="77777777">
        <w:tc>
          <w:tcPr>
            <w:tcW w:w="939" w:type="dxa"/>
            <w:tcBorders>
              <w:top w:val="single" w:sz="6" w:space="0" w:color="auto"/>
              <w:left w:val="single" w:sz="6" w:space="0" w:color="auto"/>
              <w:bottom w:val="single" w:sz="6" w:space="0" w:color="auto"/>
              <w:right w:val="single" w:sz="6" w:space="0" w:color="auto"/>
            </w:tcBorders>
          </w:tcPr>
          <w:p w14:paraId="49A64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2М11</w:t>
            </w:r>
          </w:p>
        </w:tc>
        <w:tc>
          <w:tcPr>
            <w:tcW w:w="939" w:type="dxa"/>
            <w:tcBorders>
              <w:top w:val="single" w:sz="6" w:space="0" w:color="auto"/>
              <w:left w:val="single" w:sz="6" w:space="0" w:color="auto"/>
              <w:bottom w:val="single" w:sz="6" w:space="0" w:color="auto"/>
              <w:right w:val="single" w:sz="6" w:space="0" w:color="auto"/>
            </w:tcBorders>
          </w:tcPr>
          <w:p w14:paraId="0BEC2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D35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0D1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905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3EC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397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BC4B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проектированию самолета, стоящего в</w:t>
            </w:r>
          </w:p>
        </w:tc>
      </w:tr>
      <w:tr w:rsidR="00DA227A" w:rsidRPr="00E93F40" w14:paraId="60C967E1" w14:textId="77777777">
        <w:tc>
          <w:tcPr>
            <w:tcW w:w="939" w:type="dxa"/>
            <w:tcBorders>
              <w:top w:val="single" w:sz="6" w:space="0" w:color="auto"/>
              <w:left w:val="single" w:sz="6" w:space="0" w:color="auto"/>
              <w:bottom w:val="single" w:sz="6" w:space="0" w:color="auto"/>
              <w:right w:val="single" w:sz="6" w:space="0" w:color="auto"/>
            </w:tcBorders>
          </w:tcPr>
          <w:p w14:paraId="2E024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(Парабола</w:t>
            </w:r>
          </w:p>
        </w:tc>
        <w:tc>
          <w:tcPr>
            <w:tcW w:w="939" w:type="dxa"/>
            <w:tcBorders>
              <w:top w:val="single" w:sz="6" w:space="0" w:color="auto"/>
              <w:left w:val="single" w:sz="6" w:space="0" w:color="auto"/>
              <w:bottom w:val="single" w:sz="6" w:space="0" w:color="auto"/>
              <w:right w:val="single" w:sz="6" w:space="0" w:color="auto"/>
            </w:tcBorders>
          </w:tcPr>
          <w:p w14:paraId="28B07A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52B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010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215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0DD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0E0A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8AD0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 ЦАГИ не приступало. Парабола с</w:t>
            </w:r>
          </w:p>
        </w:tc>
      </w:tr>
      <w:tr w:rsidR="00DA227A" w:rsidRPr="00E93F40" w14:paraId="6F563310" w14:textId="77777777">
        <w:tc>
          <w:tcPr>
            <w:tcW w:w="939" w:type="dxa"/>
            <w:tcBorders>
              <w:top w:val="single" w:sz="6" w:space="0" w:color="auto"/>
              <w:left w:val="single" w:sz="6" w:space="0" w:color="auto"/>
              <w:bottom w:val="single" w:sz="6" w:space="0" w:color="auto"/>
              <w:right w:val="single" w:sz="6" w:space="0" w:color="auto"/>
            </w:tcBorders>
          </w:tcPr>
          <w:p w14:paraId="29A31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Чарановского</w:t>
            </w:r>
          </w:p>
        </w:tc>
        <w:tc>
          <w:tcPr>
            <w:tcW w:w="939" w:type="dxa"/>
            <w:tcBorders>
              <w:top w:val="single" w:sz="6" w:space="0" w:color="auto"/>
              <w:left w:val="single" w:sz="6" w:space="0" w:color="auto"/>
              <w:bottom w:val="single" w:sz="6" w:space="0" w:color="auto"/>
              <w:right w:val="single" w:sz="6" w:space="0" w:color="auto"/>
            </w:tcBorders>
          </w:tcPr>
          <w:p w14:paraId="718BF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24C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F59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CB4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E61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7674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68D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мотором Люцифар выпущена на аэродром, </w:t>
            </w:r>
          </w:p>
        </w:tc>
      </w:tr>
      <w:tr w:rsidR="00DA227A" w:rsidRPr="00E93F40" w14:paraId="355F9ED2" w14:textId="77777777">
        <w:tc>
          <w:tcPr>
            <w:tcW w:w="939" w:type="dxa"/>
            <w:tcBorders>
              <w:top w:val="single" w:sz="6" w:space="0" w:color="auto"/>
              <w:left w:val="single" w:sz="6" w:space="0" w:color="auto"/>
              <w:bottom w:val="single" w:sz="6" w:space="0" w:color="auto"/>
              <w:right w:val="single" w:sz="6" w:space="0" w:color="auto"/>
            </w:tcBorders>
          </w:tcPr>
          <w:p w14:paraId="58F1E8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63A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E47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8A7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755C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660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22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B1E52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но после первого полета, благодаря </w:t>
            </w:r>
          </w:p>
        </w:tc>
      </w:tr>
      <w:tr w:rsidR="00DA227A" w:rsidRPr="00E93F40" w14:paraId="218C36F9" w14:textId="77777777">
        <w:tc>
          <w:tcPr>
            <w:tcW w:w="939" w:type="dxa"/>
            <w:tcBorders>
              <w:top w:val="single" w:sz="6" w:space="0" w:color="auto"/>
              <w:left w:val="single" w:sz="6" w:space="0" w:color="auto"/>
              <w:bottom w:val="single" w:sz="6" w:space="0" w:color="auto"/>
              <w:right w:val="single" w:sz="6" w:space="0" w:color="auto"/>
            </w:tcBorders>
          </w:tcPr>
          <w:p w14:paraId="305CA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872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8C30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22E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D8A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9127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B6C3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56512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неудачной конструкции шасси, оно </w:t>
            </w:r>
          </w:p>
        </w:tc>
      </w:tr>
      <w:tr w:rsidR="00DA227A" w:rsidRPr="00E93F40" w14:paraId="5AA469EB" w14:textId="77777777">
        <w:tc>
          <w:tcPr>
            <w:tcW w:w="939" w:type="dxa"/>
            <w:tcBorders>
              <w:top w:val="single" w:sz="6" w:space="0" w:color="auto"/>
              <w:left w:val="single" w:sz="6" w:space="0" w:color="auto"/>
              <w:bottom w:val="single" w:sz="6" w:space="0" w:color="auto"/>
              <w:right w:val="single" w:sz="6" w:space="0" w:color="auto"/>
            </w:tcBorders>
          </w:tcPr>
          <w:p w14:paraId="1B25BA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685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A392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4AEF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C616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635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94FA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A689E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оказалось деформированным.</w:t>
            </w:r>
          </w:p>
        </w:tc>
      </w:tr>
      <w:tr w:rsidR="00DA227A" w:rsidRPr="00E93F40" w14:paraId="42F4787E" w14:textId="77777777">
        <w:tc>
          <w:tcPr>
            <w:tcW w:w="939" w:type="dxa"/>
            <w:tcBorders>
              <w:top w:val="single" w:sz="6" w:space="0" w:color="auto"/>
              <w:left w:val="single" w:sz="6" w:space="0" w:color="auto"/>
              <w:bottom w:val="single" w:sz="6" w:space="0" w:color="auto"/>
              <w:right w:val="single" w:sz="6" w:space="0" w:color="auto"/>
            </w:tcBorders>
          </w:tcPr>
          <w:p w14:paraId="70803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018169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CAEC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4A7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6A2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197F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EF111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41465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Построено опытное крыло для статич.</w:t>
            </w:r>
          </w:p>
        </w:tc>
      </w:tr>
      <w:tr w:rsidR="00DA227A" w:rsidRPr="00E93F40" w14:paraId="14B635F3" w14:textId="77777777">
        <w:tc>
          <w:tcPr>
            <w:tcW w:w="939" w:type="dxa"/>
            <w:tcBorders>
              <w:top w:val="single" w:sz="6" w:space="0" w:color="auto"/>
              <w:left w:val="single" w:sz="6" w:space="0" w:color="auto"/>
              <w:bottom w:val="single" w:sz="6" w:space="0" w:color="auto"/>
              <w:right w:val="single" w:sz="6" w:space="0" w:color="auto"/>
            </w:tcBorders>
          </w:tcPr>
          <w:p w14:paraId="37BF5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особым типом</w:t>
            </w:r>
          </w:p>
        </w:tc>
        <w:tc>
          <w:tcPr>
            <w:tcW w:w="939" w:type="dxa"/>
            <w:tcBorders>
              <w:top w:val="single" w:sz="6" w:space="0" w:color="auto"/>
              <w:left w:val="single" w:sz="6" w:space="0" w:color="auto"/>
              <w:bottom w:val="single" w:sz="6" w:space="0" w:color="auto"/>
              <w:right w:val="single" w:sz="6" w:space="0" w:color="auto"/>
            </w:tcBorders>
          </w:tcPr>
          <w:p w14:paraId="42959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0BDC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8C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DA0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921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8333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715CEB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испытаний.</w:t>
            </w:r>
          </w:p>
        </w:tc>
      </w:tr>
      <w:tr w:rsidR="00DA227A" w:rsidRPr="00E93F40" w14:paraId="61FC9907" w14:textId="77777777">
        <w:tc>
          <w:tcPr>
            <w:tcW w:w="939" w:type="dxa"/>
            <w:tcBorders>
              <w:top w:val="single" w:sz="6" w:space="0" w:color="auto"/>
              <w:left w:val="single" w:sz="6" w:space="0" w:color="auto"/>
              <w:bottom w:val="single" w:sz="6" w:space="0" w:color="auto"/>
              <w:right w:val="single" w:sz="6" w:space="0" w:color="auto"/>
            </w:tcBorders>
          </w:tcPr>
          <w:p w14:paraId="2D406B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разрезных</w:t>
            </w:r>
          </w:p>
        </w:tc>
        <w:tc>
          <w:tcPr>
            <w:tcW w:w="939" w:type="dxa"/>
            <w:tcBorders>
              <w:top w:val="single" w:sz="6" w:space="0" w:color="auto"/>
              <w:left w:val="single" w:sz="6" w:space="0" w:color="auto"/>
              <w:bottom w:val="single" w:sz="6" w:space="0" w:color="auto"/>
              <w:right w:val="single" w:sz="6" w:space="0" w:color="auto"/>
            </w:tcBorders>
          </w:tcPr>
          <w:p w14:paraId="1B6E4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A19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CEC0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B204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6C5D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4F33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57DB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345FC0" w14:textId="77777777">
        <w:tc>
          <w:tcPr>
            <w:tcW w:w="939" w:type="dxa"/>
            <w:tcBorders>
              <w:top w:val="single" w:sz="6" w:space="0" w:color="auto"/>
              <w:left w:val="single" w:sz="6" w:space="0" w:color="auto"/>
              <w:bottom w:val="single" w:sz="6" w:space="0" w:color="auto"/>
              <w:right w:val="single" w:sz="6" w:space="0" w:color="auto"/>
            </w:tcBorders>
          </w:tcPr>
          <w:p w14:paraId="328792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крыльев</w:t>
            </w:r>
          </w:p>
        </w:tc>
        <w:tc>
          <w:tcPr>
            <w:tcW w:w="939" w:type="dxa"/>
            <w:tcBorders>
              <w:top w:val="single" w:sz="6" w:space="0" w:color="auto"/>
              <w:left w:val="single" w:sz="6" w:space="0" w:color="auto"/>
              <w:bottom w:val="single" w:sz="6" w:space="0" w:color="auto"/>
              <w:right w:val="single" w:sz="6" w:space="0" w:color="auto"/>
            </w:tcBorders>
          </w:tcPr>
          <w:p w14:paraId="16132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F46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B2A3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A1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3F4E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B66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2BE5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3CB3B3" w14:textId="77777777">
        <w:tc>
          <w:tcPr>
            <w:tcW w:w="939" w:type="dxa"/>
            <w:tcBorders>
              <w:top w:val="single" w:sz="6" w:space="0" w:color="auto"/>
              <w:left w:val="single" w:sz="6" w:space="0" w:color="auto"/>
              <w:bottom w:val="single" w:sz="6" w:space="0" w:color="auto"/>
              <w:right w:val="single" w:sz="6" w:space="0" w:color="auto"/>
            </w:tcBorders>
          </w:tcPr>
          <w:p w14:paraId="534A4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(системы</w:t>
            </w:r>
          </w:p>
        </w:tc>
        <w:tc>
          <w:tcPr>
            <w:tcW w:w="939" w:type="dxa"/>
            <w:tcBorders>
              <w:top w:val="single" w:sz="6" w:space="0" w:color="auto"/>
              <w:left w:val="single" w:sz="6" w:space="0" w:color="auto"/>
              <w:bottom w:val="single" w:sz="6" w:space="0" w:color="auto"/>
              <w:right w:val="single" w:sz="6" w:space="0" w:color="auto"/>
            </w:tcBorders>
          </w:tcPr>
          <w:p w14:paraId="635F1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F8A5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E3E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7B5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9A0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F3A4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DEE7C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CBC9E9" w14:textId="77777777">
        <w:tc>
          <w:tcPr>
            <w:tcW w:w="939" w:type="dxa"/>
            <w:tcBorders>
              <w:top w:val="single" w:sz="6" w:space="0" w:color="auto"/>
              <w:left w:val="single" w:sz="6" w:space="0" w:color="auto"/>
              <w:bottom w:val="single" w:sz="6" w:space="0" w:color="auto"/>
              <w:right w:val="single" w:sz="6" w:space="0" w:color="auto"/>
            </w:tcBorders>
          </w:tcPr>
          <w:p w14:paraId="10C694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Кричевского)</w:t>
            </w:r>
          </w:p>
        </w:tc>
        <w:tc>
          <w:tcPr>
            <w:tcW w:w="939" w:type="dxa"/>
            <w:tcBorders>
              <w:top w:val="single" w:sz="6" w:space="0" w:color="auto"/>
              <w:left w:val="single" w:sz="6" w:space="0" w:color="auto"/>
              <w:bottom w:val="single" w:sz="6" w:space="0" w:color="auto"/>
              <w:right w:val="single" w:sz="6" w:space="0" w:color="auto"/>
            </w:tcBorders>
          </w:tcPr>
          <w:p w14:paraId="2D4353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D8A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451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85F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60D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6DDB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8951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C961E5" w14:textId="77777777">
        <w:tc>
          <w:tcPr>
            <w:tcW w:w="939" w:type="dxa"/>
            <w:tcBorders>
              <w:top w:val="single" w:sz="6" w:space="0" w:color="auto"/>
              <w:left w:val="single" w:sz="6" w:space="0" w:color="auto"/>
              <w:bottom w:val="single" w:sz="6" w:space="0" w:color="auto"/>
              <w:right w:val="single" w:sz="6" w:space="0" w:color="auto"/>
            </w:tcBorders>
          </w:tcPr>
          <w:p w14:paraId="240DB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ВГ-2</w:t>
            </w:r>
          </w:p>
        </w:tc>
        <w:tc>
          <w:tcPr>
            <w:tcW w:w="939" w:type="dxa"/>
            <w:tcBorders>
              <w:top w:val="single" w:sz="6" w:space="0" w:color="auto"/>
              <w:left w:val="single" w:sz="6" w:space="0" w:color="auto"/>
              <w:bottom w:val="single" w:sz="6" w:space="0" w:color="auto"/>
              <w:right w:val="single" w:sz="6" w:space="0" w:color="auto"/>
            </w:tcBorders>
          </w:tcPr>
          <w:p w14:paraId="3DA186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8B641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0DE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677B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94830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1706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30F4F0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проводимые ЦАГИ показали,</w:t>
            </w:r>
          </w:p>
        </w:tc>
      </w:tr>
      <w:tr w:rsidR="00DA227A" w:rsidRPr="00E93F40" w14:paraId="3382BED8" w14:textId="77777777">
        <w:tc>
          <w:tcPr>
            <w:tcW w:w="939" w:type="dxa"/>
            <w:tcBorders>
              <w:top w:val="single" w:sz="6" w:space="0" w:color="auto"/>
              <w:left w:val="single" w:sz="6" w:space="0" w:color="auto"/>
              <w:bottom w:val="single" w:sz="6" w:space="0" w:color="auto"/>
              <w:right w:val="single" w:sz="6" w:space="0" w:color="auto"/>
            </w:tcBorders>
          </w:tcPr>
          <w:p w14:paraId="2BBD61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w:t>
            </w:r>
          </w:p>
        </w:tc>
        <w:tc>
          <w:tcPr>
            <w:tcW w:w="939" w:type="dxa"/>
            <w:tcBorders>
              <w:top w:val="single" w:sz="6" w:space="0" w:color="auto"/>
              <w:left w:val="single" w:sz="6" w:space="0" w:color="auto"/>
              <w:bottom w:val="single" w:sz="6" w:space="0" w:color="auto"/>
              <w:right w:val="single" w:sz="6" w:space="0" w:color="auto"/>
            </w:tcBorders>
          </w:tcPr>
          <w:p w14:paraId="1B559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A99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1B92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C91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30A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082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78501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геликоптер обладает данными,</w:t>
            </w:r>
          </w:p>
        </w:tc>
      </w:tr>
      <w:tr w:rsidR="00DA227A" w:rsidRPr="00E93F40" w14:paraId="4CB57754" w14:textId="77777777">
        <w:tc>
          <w:tcPr>
            <w:tcW w:w="939" w:type="dxa"/>
            <w:tcBorders>
              <w:top w:val="single" w:sz="6" w:space="0" w:color="auto"/>
              <w:left w:val="single" w:sz="6" w:space="0" w:color="auto"/>
              <w:bottom w:val="single" w:sz="6" w:space="0" w:color="auto"/>
              <w:right w:val="single" w:sz="6" w:space="0" w:color="auto"/>
            </w:tcBorders>
          </w:tcPr>
          <w:p w14:paraId="39E02F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587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7A8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846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F5C0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EAF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AAB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92E9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являющимися для аппаратов этого типа</w:t>
            </w:r>
          </w:p>
        </w:tc>
      </w:tr>
      <w:tr w:rsidR="00DA227A" w:rsidRPr="00E93F40" w14:paraId="5B8D1C93" w14:textId="77777777">
        <w:tc>
          <w:tcPr>
            <w:tcW w:w="939" w:type="dxa"/>
            <w:tcBorders>
              <w:top w:val="single" w:sz="6" w:space="0" w:color="auto"/>
              <w:left w:val="single" w:sz="6" w:space="0" w:color="auto"/>
              <w:bottom w:val="single" w:sz="6" w:space="0" w:color="auto"/>
              <w:right w:val="single" w:sz="6" w:space="0" w:color="auto"/>
            </w:tcBorders>
          </w:tcPr>
          <w:p w14:paraId="68AFB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C063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A4A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F016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9D5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62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F088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9A07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мировым достижением. Геликоптер достиг</w:t>
            </w:r>
          </w:p>
        </w:tc>
      </w:tr>
      <w:tr w:rsidR="00DA227A" w:rsidRPr="00E93F40" w14:paraId="426DAD18" w14:textId="77777777">
        <w:tc>
          <w:tcPr>
            <w:tcW w:w="939" w:type="dxa"/>
            <w:tcBorders>
              <w:top w:val="single" w:sz="6" w:space="0" w:color="auto"/>
              <w:left w:val="single" w:sz="6" w:space="0" w:color="auto"/>
              <w:bottom w:val="single" w:sz="6" w:space="0" w:color="auto"/>
              <w:right w:val="single" w:sz="6" w:space="0" w:color="auto"/>
            </w:tcBorders>
          </w:tcPr>
          <w:p w14:paraId="4F8E1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3FC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CCE2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1779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902C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1A6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34B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F1B3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высоты 600 м. Благодаря недостаточной</w:t>
            </w:r>
          </w:p>
        </w:tc>
      </w:tr>
      <w:tr w:rsidR="00DA227A" w:rsidRPr="00E93F40" w14:paraId="335FE5A4" w14:textId="77777777">
        <w:tc>
          <w:tcPr>
            <w:tcW w:w="939" w:type="dxa"/>
            <w:tcBorders>
              <w:top w:val="single" w:sz="6" w:space="0" w:color="auto"/>
              <w:left w:val="single" w:sz="6" w:space="0" w:color="auto"/>
              <w:bottom w:val="single" w:sz="6" w:space="0" w:color="auto"/>
              <w:right w:val="single" w:sz="6" w:space="0" w:color="auto"/>
            </w:tcBorders>
          </w:tcPr>
          <w:p w14:paraId="04965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40B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BE41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D37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2A32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E757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19E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415CC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устойчивости геликоптер при спуске с</w:t>
            </w:r>
          </w:p>
        </w:tc>
      </w:tr>
      <w:tr w:rsidR="00DA227A" w:rsidRPr="00E93F40" w14:paraId="7A57E8A1" w14:textId="77777777">
        <w:tc>
          <w:tcPr>
            <w:tcW w:w="939" w:type="dxa"/>
            <w:tcBorders>
              <w:top w:val="single" w:sz="6" w:space="0" w:color="auto"/>
              <w:left w:val="single" w:sz="6" w:space="0" w:color="auto"/>
              <w:bottom w:val="single" w:sz="6" w:space="0" w:color="auto"/>
              <w:right w:val="single" w:sz="6" w:space="0" w:color="auto"/>
            </w:tcBorders>
          </w:tcPr>
          <w:p w14:paraId="00F98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652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BED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4A63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DF29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428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52D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926A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высоты 600 м потрепел аварию. В наст.</w:t>
            </w:r>
          </w:p>
        </w:tc>
      </w:tr>
      <w:tr w:rsidR="00DA227A" w:rsidRPr="00E93F40" w14:paraId="2F687413" w14:textId="77777777">
        <w:tc>
          <w:tcPr>
            <w:tcW w:w="939" w:type="dxa"/>
            <w:tcBorders>
              <w:top w:val="single" w:sz="6" w:space="0" w:color="auto"/>
              <w:left w:val="single" w:sz="6" w:space="0" w:color="auto"/>
              <w:bottom w:val="single" w:sz="6" w:space="0" w:color="auto"/>
              <w:right w:val="single" w:sz="6" w:space="0" w:color="auto"/>
            </w:tcBorders>
          </w:tcPr>
          <w:p w14:paraId="19846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9D2C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BF9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18E5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288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689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644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4CF4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вр. геликоптер исправлен. Дублер </w:t>
            </w:r>
          </w:p>
        </w:tc>
      </w:tr>
      <w:tr w:rsidR="00DA227A" w:rsidRPr="00E93F40" w14:paraId="404FBE7B" w14:textId="77777777">
        <w:tc>
          <w:tcPr>
            <w:tcW w:w="939" w:type="dxa"/>
            <w:tcBorders>
              <w:top w:val="single" w:sz="6" w:space="0" w:color="auto"/>
              <w:left w:val="single" w:sz="6" w:space="0" w:color="auto"/>
              <w:bottom w:val="single" w:sz="6" w:space="0" w:color="auto"/>
              <w:right w:val="single" w:sz="6" w:space="0" w:color="auto"/>
            </w:tcBorders>
          </w:tcPr>
          <w:p w14:paraId="5539C3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04A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6E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2B6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85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E357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9638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207CC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испытываемого геликоптера заканчивается</w:t>
            </w:r>
          </w:p>
        </w:tc>
      </w:tr>
      <w:tr w:rsidR="00DA227A" w:rsidRPr="00E93F40" w14:paraId="7E01F257" w14:textId="77777777">
        <w:tc>
          <w:tcPr>
            <w:tcW w:w="939" w:type="dxa"/>
            <w:tcBorders>
              <w:top w:val="single" w:sz="6" w:space="0" w:color="auto"/>
              <w:left w:val="single" w:sz="6" w:space="0" w:color="auto"/>
              <w:bottom w:val="single" w:sz="6" w:space="0" w:color="auto"/>
              <w:right w:val="single" w:sz="6" w:space="0" w:color="auto"/>
            </w:tcBorders>
          </w:tcPr>
          <w:p w14:paraId="4E4B5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C53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6F8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9AB2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C30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2E9D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9DE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DB1E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постройкой и в ближайшее время будет</w:t>
            </w:r>
          </w:p>
        </w:tc>
      </w:tr>
      <w:tr w:rsidR="00DA227A" w:rsidRPr="00E93F40" w14:paraId="5BD93F5C" w14:textId="77777777">
        <w:tc>
          <w:tcPr>
            <w:tcW w:w="939" w:type="dxa"/>
            <w:tcBorders>
              <w:top w:val="single" w:sz="6" w:space="0" w:color="auto"/>
              <w:left w:val="single" w:sz="6" w:space="0" w:color="auto"/>
              <w:bottom w:val="single" w:sz="6" w:space="0" w:color="auto"/>
              <w:right w:val="single" w:sz="6" w:space="0" w:color="auto"/>
            </w:tcBorders>
          </w:tcPr>
          <w:p w14:paraId="2BBAF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DD6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EAE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70F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6414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6E9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4C1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D12F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выпущен на аэродром. ЦАГИ ведет работы</w:t>
            </w:r>
          </w:p>
        </w:tc>
      </w:tr>
      <w:tr w:rsidR="00DA227A" w:rsidRPr="00E93F40" w14:paraId="4E3EE02D" w14:textId="77777777">
        <w:tc>
          <w:tcPr>
            <w:tcW w:w="939" w:type="dxa"/>
            <w:tcBorders>
              <w:top w:val="single" w:sz="6" w:space="0" w:color="auto"/>
              <w:left w:val="single" w:sz="6" w:space="0" w:color="auto"/>
              <w:bottom w:val="single" w:sz="6" w:space="0" w:color="auto"/>
              <w:right w:val="single" w:sz="6" w:space="0" w:color="auto"/>
            </w:tcBorders>
          </w:tcPr>
          <w:p w14:paraId="38608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C68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081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05A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F2AF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453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EB5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E66F1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модификации конструкции с целью</w:t>
            </w:r>
          </w:p>
        </w:tc>
      </w:tr>
      <w:tr w:rsidR="00DA227A" w:rsidRPr="00E93F40" w14:paraId="3D1206CD" w14:textId="77777777">
        <w:tc>
          <w:tcPr>
            <w:tcW w:w="939" w:type="dxa"/>
            <w:tcBorders>
              <w:top w:val="single" w:sz="6" w:space="0" w:color="auto"/>
              <w:left w:val="single" w:sz="6" w:space="0" w:color="auto"/>
              <w:bottom w:val="single" w:sz="6" w:space="0" w:color="auto"/>
              <w:right w:val="single" w:sz="6" w:space="0" w:color="auto"/>
            </w:tcBorders>
          </w:tcPr>
          <w:p w14:paraId="5D2B0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5FF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06BE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C9C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1B9C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49E1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5C6C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BA4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устранения дефектов.</w:t>
            </w:r>
          </w:p>
        </w:tc>
      </w:tr>
      <w:tr w:rsidR="00DA227A" w:rsidRPr="00E93F40" w14:paraId="535CE927" w14:textId="77777777">
        <w:tc>
          <w:tcPr>
            <w:tcW w:w="939" w:type="dxa"/>
            <w:tcBorders>
              <w:top w:val="single" w:sz="6" w:space="0" w:color="auto"/>
              <w:left w:val="single" w:sz="6" w:space="0" w:color="auto"/>
              <w:bottom w:val="single" w:sz="6" w:space="0" w:color="auto"/>
              <w:right w:val="single" w:sz="6" w:space="0" w:color="auto"/>
            </w:tcBorders>
          </w:tcPr>
          <w:p w14:paraId="779BC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w:t>
            </w:r>
          </w:p>
        </w:tc>
        <w:tc>
          <w:tcPr>
            <w:tcW w:w="939" w:type="dxa"/>
            <w:tcBorders>
              <w:top w:val="single" w:sz="6" w:space="0" w:color="auto"/>
              <w:left w:val="single" w:sz="6" w:space="0" w:color="auto"/>
              <w:bottom w:val="single" w:sz="6" w:space="0" w:color="auto"/>
              <w:right w:val="single" w:sz="6" w:space="0" w:color="auto"/>
            </w:tcBorders>
          </w:tcPr>
          <w:p w14:paraId="2E446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077B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C53C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4148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2336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9577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w:t>
            </w:r>
          </w:p>
        </w:tc>
        <w:tc>
          <w:tcPr>
            <w:tcW w:w="3883" w:type="dxa"/>
            <w:tcBorders>
              <w:top w:val="single" w:sz="6" w:space="0" w:color="auto"/>
              <w:left w:val="single" w:sz="6" w:space="0" w:color="auto"/>
              <w:bottom w:val="single" w:sz="6" w:space="0" w:color="auto"/>
              <w:right w:val="single" w:sz="6" w:space="0" w:color="auto"/>
            </w:tcBorders>
          </w:tcPr>
          <w:p w14:paraId="6B666C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автожир ЦАГИ с мотором Титан</w:t>
            </w:r>
          </w:p>
        </w:tc>
      </w:tr>
      <w:tr w:rsidR="00DA227A" w:rsidRPr="00E93F40" w14:paraId="6898EBF5" w14:textId="77777777">
        <w:tc>
          <w:tcPr>
            <w:tcW w:w="939" w:type="dxa"/>
            <w:tcBorders>
              <w:top w:val="single" w:sz="6" w:space="0" w:color="auto"/>
              <w:left w:val="single" w:sz="6" w:space="0" w:color="auto"/>
              <w:bottom w:val="single" w:sz="6" w:space="0" w:color="auto"/>
              <w:right w:val="single" w:sz="6" w:space="0" w:color="auto"/>
            </w:tcBorders>
          </w:tcPr>
          <w:p w14:paraId="2E694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мотором М-11</w:t>
            </w:r>
          </w:p>
        </w:tc>
        <w:tc>
          <w:tcPr>
            <w:tcW w:w="939" w:type="dxa"/>
            <w:tcBorders>
              <w:top w:val="single" w:sz="6" w:space="0" w:color="auto"/>
              <w:left w:val="single" w:sz="6" w:space="0" w:color="auto"/>
              <w:bottom w:val="single" w:sz="6" w:space="0" w:color="auto"/>
              <w:right w:val="single" w:sz="6" w:space="0" w:color="auto"/>
            </w:tcBorders>
          </w:tcPr>
          <w:p w14:paraId="18B4C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DC1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50E3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23B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F6E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D212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1D1FD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заканыивает заводские испытания. </w:t>
            </w:r>
          </w:p>
        </w:tc>
      </w:tr>
      <w:tr w:rsidR="00DA227A" w:rsidRPr="00E93F40" w14:paraId="238B141C" w14:textId="77777777">
        <w:tc>
          <w:tcPr>
            <w:tcW w:w="939" w:type="dxa"/>
            <w:tcBorders>
              <w:top w:val="single" w:sz="6" w:space="0" w:color="auto"/>
              <w:left w:val="single" w:sz="6" w:space="0" w:color="auto"/>
              <w:bottom w:val="single" w:sz="6" w:space="0" w:color="auto"/>
              <w:right w:val="single" w:sz="6" w:space="0" w:color="auto"/>
            </w:tcBorders>
          </w:tcPr>
          <w:p w14:paraId="4DA10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w:t>
            </w:r>
          </w:p>
        </w:tc>
        <w:tc>
          <w:tcPr>
            <w:tcW w:w="939" w:type="dxa"/>
            <w:tcBorders>
              <w:top w:val="single" w:sz="6" w:space="0" w:color="auto"/>
              <w:left w:val="single" w:sz="6" w:space="0" w:color="auto"/>
              <w:bottom w:val="single" w:sz="6" w:space="0" w:color="auto"/>
              <w:right w:val="single" w:sz="6" w:space="0" w:color="auto"/>
            </w:tcBorders>
          </w:tcPr>
          <w:p w14:paraId="34994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734B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D9BE7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111F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8974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DD240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3883" w:type="dxa"/>
            <w:tcBorders>
              <w:top w:val="single" w:sz="6" w:space="0" w:color="auto"/>
              <w:left w:val="single" w:sz="6" w:space="0" w:color="auto"/>
              <w:bottom w:val="single" w:sz="6" w:space="0" w:color="auto"/>
              <w:right w:val="single" w:sz="6" w:space="0" w:color="auto"/>
            </w:tcBorders>
          </w:tcPr>
          <w:p w14:paraId="35FC1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Выяснено, что автожир обладает</w:t>
            </w:r>
          </w:p>
        </w:tc>
      </w:tr>
      <w:tr w:rsidR="00DA227A" w:rsidRPr="00E93F40" w14:paraId="4AF0E270" w14:textId="77777777">
        <w:tc>
          <w:tcPr>
            <w:tcW w:w="939" w:type="dxa"/>
            <w:tcBorders>
              <w:top w:val="single" w:sz="6" w:space="0" w:color="auto"/>
              <w:left w:val="single" w:sz="6" w:space="0" w:color="auto"/>
              <w:bottom w:val="single" w:sz="6" w:space="0" w:color="auto"/>
              <w:right w:val="single" w:sz="6" w:space="0" w:color="auto"/>
            </w:tcBorders>
          </w:tcPr>
          <w:p w14:paraId="298F3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мотором М-22</w:t>
            </w:r>
          </w:p>
        </w:tc>
        <w:tc>
          <w:tcPr>
            <w:tcW w:w="939" w:type="dxa"/>
            <w:tcBorders>
              <w:top w:val="single" w:sz="6" w:space="0" w:color="auto"/>
              <w:left w:val="single" w:sz="6" w:space="0" w:color="auto"/>
              <w:bottom w:val="single" w:sz="6" w:space="0" w:color="auto"/>
              <w:right w:val="single" w:sz="6" w:space="0" w:color="auto"/>
            </w:tcBorders>
          </w:tcPr>
          <w:p w14:paraId="76851C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ABC6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D855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41E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695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9DC2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2434D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потолком 4000 м и скоростью около</w:t>
            </w:r>
          </w:p>
        </w:tc>
      </w:tr>
      <w:tr w:rsidR="00DA227A" w:rsidRPr="00E93F40" w14:paraId="6A0A137F" w14:textId="77777777">
        <w:tc>
          <w:tcPr>
            <w:tcW w:w="939" w:type="dxa"/>
            <w:tcBorders>
              <w:top w:val="single" w:sz="6" w:space="0" w:color="auto"/>
              <w:left w:val="single" w:sz="6" w:space="0" w:color="auto"/>
              <w:bottom w:val="single" w:sz="6" w:space="0" w:color="auto"/>
              <w:right w:val="single" w:sz="6" w:space="0" w:color="auto"/>
            </w:tcBorders>
          </w:tcPr>
          <w:p w14:paraId="162BC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229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43BA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01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0945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C01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60FF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0445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 км/час. Автожир с мотором М-25</w:t>
            </w:r>
          </w:p>
        </w:tc>
      </w:tr>
      <w:tr w:rsidR="00DA227A" w:rsidRPr="00E93F40" w14:paraId="34432844" w14:textId="77777777">
        <w:tc>
          <w:tcPr>
            <w:tcW w:w="939" w:type="dxa"/>
            <w:tcBorders>
              <w:top w:val="single" w:sz="6" w:space="0" w:color="auto"/>
              <w:left w:val="single" w:sz="6" w:space="0" w:color="auto"/>
              <w:bottom w:val="single" w:sz="6" w:space="0" w:color="auto"/>
              <w:right w:val="single" w:sz="6" w:space="0" w:color="auto"/>
            </w:tcBorders>
          </w:tcPr>
          <w:p w14:paraId="1F9AE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334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617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C682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813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92B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A1E0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53819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производством. В наст. вр.</w:t>
            </w:r>
          </w:p>
        </w:tc>
      </w:tr>
      <w:tr w:rsidR="00DA227A" w:rsidRPr="00E93F40" w14:paraId="2F9FF8B4" w14:textId="77777777">
        <w:tc>
          <w:tcPr>
            <w:tcW w:w="939" w:type="dxa"/>
            <w:tcBorders>
              <w:top w:val="single" w:sz="6" w:space="0" w:color="auto"/>
              <w:left w:val="single" w:sz="6" w:space="0" w:color="auto"/>
              <w:bottom w:val="single" w:sz="6" w:space="0" w:color="auto"/>
              <w:right w:val="single" w:sz="6" w:space="0" w:color="auto"/>
            </w:tcBorders>
          </w:tcPr>
          <w:p w14:paraId="0F6C7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DD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282D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57F1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C76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562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6B17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C7C17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начаты его заводские испытания. Головной</w:t>
            </w:r>
          </w:p>
        </w:tc>
      </w:tr>
      <w:tr w:rsidR="00DA227A" w:rsidRPr="00E93F40" w14:paraId="696A61F1" w14:textId="77777777">
        <w:tc>
          <w:tcPr>
            <w:tcW w:w="939" w:type="dxa"/>
            <w:tcBorders>
              <w:top w:val="single" w:sz="6" w:space="0" w:color="auto"/>
              <w:left w:val="single" w:sz="6" w:space="0" w:color="auto"/>
              <w:bottom w:val="single" w:sz="6" w:space="0" w:color="auto"/>
              <w:right w:val="single" w:sz="6" w:space="0" w:color="auto"/>
            </w:tcBorders>
          </w:tcPr>
          <w:p w14:paraId="2714D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7A8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4D0D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02C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25B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B92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5A8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1E7E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серийный автожир с мотором М-26 из серии</w:t>
            </w:r>
          </w:p>
        </w:tc>
      </w:tr>
      <w:tr w:rsidR="00DA227A" w:rsidRPr="00E93F40" w14:paraId="7F030433" w14:textId="77777777">
        <w:tc>
          <w:tcPr>
            <w:tcW w:w="939" w:type="dxa"/>
            <w:tcBorders>
              <w:top w:val="single" w:sz="6" w:space="0" w:color="auto"/>
              <w:left w:val="single" w:sz="6" w:space="0" w:color="auto"/>
              <w:bottom w:val="single" w:sz="6" w:space="0" w:color="auto"/>
              <w:right w:val="single" w:sz="6" w:space="0" w:color="auto"/>
            </w:tcBorders>
          </w:tcPr>
          <w:p w14:paraId="313C4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4214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19D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ABCF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5200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E3E6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00D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EA22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10 автожиров, строящихся в Киеве будет</w:t>
            </w:r>
          </w:p>
        </w:tc>
      </w:tr>
      <w:tr w:rsidR="00DA227A" w:rsidRPr="00E93F40" w14:paraId="73975096" w14:textId="77777777">
        <w:tc>
          <w:tcPr>
            <w:tcW w:w="939" w:type="dxa"/>
            <w:tcBorders>
              <w:top w:val="single" w:sz="6" w:space="0" w:color="auto"/>
              <w:left w:val="single" w:sz="6" w:space="0" w:color="auto"/>
              <w:bottom w:val="single" w:sz="6" w:space="0" w:color="auto"/>
              <w:right w:val="single" w:sz="6" w:space="0" w:color="auto"/>
            </w:tcBorders>
          </w:tcPr>
          <w:p w14:paraId="31C50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8110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5234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A72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635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6068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919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200C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в конце октября с.г.</w:t>
            </w:r>
          </w:p>
        </w:tc>
      </w:tr>
      <w:tr w:rsidR="00DA227A" w:rsidRPr="00E93F40" w14:paraId="03DA7418" w14:textId="77777777">
        <w:tc>
          <w:tcPr>
            <w:tcW w:w="939" w:type="dxa"/>
            <w:tcBorders>
              <w:top w:val="single" w:sz="6" w:space="0" w:color="auto"/>
              <w:left w:val="single" w:sz="6" w:space="0" w:color="auto"/>
              <w:bottom w:val="single" w:sz="6" w:space="0" w:color="auto"/>
              <w:right w:val="single" w:sz="6" w:space="0" w:color="auto"/>
            </w:tcBorders>
          </w:tcPr>
          <w:p w14:paraId="0EFB74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30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C6C8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B90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D67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DB20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7889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F420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М-11 в проектировании</w:t>
            </w:r>
          </w:p>
        </w:tc>
      </w:tr>
      <w:tr w:rsidR="00DA227A" w:rsidRPr="00E93F40" w14:paraId="65365F82" w14:textId="77777777">
        <w:tc>
          <w:tcPr>
            <w:tcW w:w="939" w:type="dxa"/>
            <w:tcBorders>
              <w:top w:val="single" w:sz="6" w:space="0" w:color="auto"/>
              <w:left w:val="single" w:sz="6" w:space="0" w:color="auto"/>
              <w:bottom w:val="single" w:sz="6" w:space="0" w:color="auto"/>
              <w:right w:val="single" w:sz="6" w:space="0" w:color="auto"/>
            </w:tcBorders>
          </w:tcPr>
          <w:p w14:paraId="6EA46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90C9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9F4A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000C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F66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D028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B21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8461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находится в постройке. Проектир.</w:t>
            </w:r>
          </w:p>
        </w:tc>
      </w:tr>
      <w:tr w:rsidR="00DA227A" w:rsidRPr="00E93F40" w14:paraId="19ADF334" w14:textId="77777777">
        <w:tc>
          <w:tcPr>
            <w:tcW w:w="939" w:type="dxa"/>
            <w:tcBorders>
              <w:top w:val="single" w:sz="6" w:space="0" w:color="auto"/>
              <w:left w:val="single" w:sz="6" w:space="0" w:color="auto"/>
              <w:bottom w:val="single" w:sz="6" w:space="0" w:color="auto"/>
              <w:right w:val="single" w:sz="6" w:space="0" w:color="auto"/>
            </w:tcBorders>
          </w:tcPr>
          <w:p w14:paraId="71FAE9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EBF7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723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D64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35C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E2A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0276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48A53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автожира с мотором М-22 заканчивается.</w:t>
            </w:r>
          </w:p>
        </w:tc>
      </w:tr>
      <w:tr w:rsidR="00DA227A" w:rsidRPr="00E93F40" w14:paraId="394C3F71" w14:textId="77777777">
        <w:tc>
          <w:tcPr>
            <w:tcW w:w="939" w:type="dxa"/>
            <w:tcBorders>
              <w:top w:val="single" w:sz="6" w:space="0" w:color="auto"/>
              <w:left w:val="single" w:sz="6" w:space="0" w:color="auto"/>
              <w:bottom w:val="single" w:sz="6" w:space="0" w:color="auto"/>
              <w:right w:val="single" w:sz="6" w:space="0" w:color="auto"/>
            </w:tcBorders>
          </w:tcPr>
          <w:p w14:paraId="4157DD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D90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281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8C6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742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2D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B160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2C2E1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Частично начата постройка.</w:t>
            </w:r>
          </w:p>
        </w:tc>
      </w:tr>
      <w:tr w:rsidR="00DA227A" w:rsidRPr="00E93F40" w14:paraId="00020AD5" w14:textId="77777777">
        <w:tc>
          <w:tcPr>
            <w:tcW w:w="939" w:type="dxa"/>
            <w:tcBorders>
              <w:top w:val="single" w:sz="6" w:space="0" w:color="auto"/>
              <w:left w:val="single" w:sz="6" w:space="0" w:color="auto"/>
              <w:bottom w:val="single" w:sz="6" w:space="0" w:color="auto"/>
              <w:right w:val="single" w:sz="6" w:space="0" w:color="auto"/>
            </w:tcBorders>
          </w:tcPr>
          <w:p w14:paraId="3D2AB4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2A644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4CDA5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065A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7F6A5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C335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9ABA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18B558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ГИРД Осоавиахима закончил постройку</w:t>
            </w:r>
          </w:p>
        </w:tc>
      </w:tr>
      <w:tr w:rsidR="00DA227A" w:rsidRPr="00E93F40" w14:paraId="6BFD9E0D" w14:textId="77777777">
        <w:tc>
          <w:tcPr>
            <w:tcW w:w="939" w:type="dxa"/>
            <w:tcBorders>
              <w:top w:val="single" w:sz="6" w:space="0" w:color="auto"/>
              <w:left w:val="single" w:sz="6" w:space="0" w:color="auto"/>
              <w:bottom w:val="single" w:sz="6" w:space="0" w:color="auto"/>
              <w:right w:val="single" w:sz="6" w:space="0" w:color="auto"/>
            </w:tcBorders>
          </w:tcPr>
          <w:p w14:paraId="69664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реактивным</w:t>
            </w:r>
          </w:p>
        </w:tc>
        <w:tc>
          <w:tcPr>
            <w:tcW w:w="939" w:type="dxa"/>
            <w:tcBorders>
              <w:top w:val="single" w:sz="6" w:space="0" w:color="auto"/>
              <w:left w:val="single" w:sz="6" w:space="0" w:color="auto"/>
              <w:bottom w:val="single" w:sz="6" w:space="0" w:color="auto"/>
              <w:right w:val="single" w:sz="6" w:space="0" w:color="auto"/>
            </w:tcBorders>
          </w:tcPr>
          <w:p w14:paraId="14A48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F337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B720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722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5D2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A58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FA8DB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реактивного двигателя для легкого с-та.</w:t>
            </w:r>
          </w:p>
        </w:tc>
      </w:tr>
      <w:tr w:rsidR="00DA227A" w:rsidRPr="00E93F40" w14:paraId="725756D7" w14:textId="77777777">
        <w:tc>
          <w:tcPr>
            <w:tcW w:w="939" w:type="dxa"/>
            <w:tcBorders>
              <w:top w:val="single" w:sz="6" w:space="0" w:color="auto"/>
              <w:left w:val="single" w:sz="6" w:space="0" w:color="auto"/>
              <w:bottom w:val="single" w:sz="6" w:space="0" w:color="auto"/>
              <w:right w:val="single" w:sz="6" w:space="0" w:color="auto"/>
            </w:tcBorders>
          </w:tcPr>
          <w:p w14:paraId="7BA54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0E129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A98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A149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852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F58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EA6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72E3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проходит исследовательсике</w:t>
            </w:r>
          </w:p>
        </w:tc>
      </w:tr>
      <w:tr w:rsidR="00DA227A" w:rsidRPr="00E93F40" w14:paraId="09DBFA4E" w14:textId="77777777">
        <w:tc>
          <w:tcPr>
            <w:tcW w:w="939" w:type="dxa"/>
            <w:tcBorders>
              <w:top w:val="single" w:sz="6" w:space="0" w:color="auto"/>
              <w:left w:val="single" w:sz="6" w:space="0" w:color="auto"/>
              <w:bottom w:val="single" w:sz="6" w:space="0" w:color="auto"/>
              <w:right w:val="single" w:sz="6" w:space="0" w:color="auto"/>
            </w:tcBorders>
          </w:tcPr>
          <w:p w14:paraId="1BAB7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428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8DE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E1B3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B0E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15B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BB0D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0DA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Бесхвостый легкий самолет под</w:t>
            </w:r>
          </w:p>
        </w:tc>
      </w:tr>
      <w:tr w:rsidR="00DA227A" w:rsidRPr="00E93F40" w14:paraId="4CBF5985" w14:textId="77777777">
        <w:tc>
          <w:tcPr>
            <w:tcW w:w="939" w:type="dxa"/>
            <w:tcBorders>
              <w:top w:val="single" w:sz="6" w:space="0" w:color="auto"/>
              <w:left w:val="single" w:sz="6" w:space="0" w:color="auto"/>
              <w:bottom w:val="single" w:sz="6" w:space="0" w:color="auto"/>
              <w:right w:val="single" w:sz="6" w:space="0" w:color="auto"/>
            </w:tcBorders>
          </w:tcPr>
          <w:p w14:paraId="571E4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0B5B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BB0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BB5F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4813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1317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1F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8E28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двигатель построен и облетан</w:t>
            </w:r>
          </w:p>
        </w:tc>
      </w:tr>
      <w:tr w:rsidR="00DA227A" w:rsidRPr="00E93F40" w14:paraId="7CD48AA7" w14:textId="77777777">
        <w:tc>
          <w:tcPr>
            <w:tcW w:w="939" w:type="dxa"/>
            <w:tcBorders>
              <w:top w:val="single" w:sz="6" w:space="0" w:color="auto"/>
              <w:left w:val="single" w:sz="6" w:space="0" w:color="auto"/>
              <w:bottom w:val="single" w:sz="6" w:space="0" w:color="auto"/>
              <w:right w:val="single" w:sz="6" w:space="0" w:color="auto"/>
            </w:tcBorders>
          </w:tcPr>
          <w:p w14:paraId="63DA2D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0FF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A2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2B5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189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F74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4402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2D2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планер.</w:t>
            </w:r>
          </w:p>
        </w:tc>
      </w:tr>
      <w:tr w:rsidR="00DA227A" w:rsidRPr="00E93F40" w14:paraId="6C3EB33B" w14:textId="77777777">
        <w:tc>
          <w:tcPr>
            <w:tcW w:w="939" w:type="dxa"/>
            <w:tcBorders>
              <w:top w:val="single" w:sz="6" w:space="0" w:color="auto"/>
              <w:left w:val="single" w:sz="6" w:space="0" w:color="auto"/>
              <w:bottom w:val="single" w:sz="6" w:space="0" w:color="auto"/>
              <w:right w:val="single" w:sz="6" w:space="0" w:color="auto"/>
            </w:tcBorders>
          </w:tcPr>
          <w:p w14:paraId="00D830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00CCD7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D74A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E626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FA7D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43D9F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B195B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36D389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ГУГВФ к работам по с-ту не приступало.</w:t>
            </w:r>
          </w:p>
        </w:tc>
      </w:tr>
      <w:tr w:rsidR="00DA227A" w:rsidRPr="00E93F40" w14:paraId="1919CDEE" w14:textId="77777777">
        <w:tc>
          <w:tcPr>
            <w:tcW w:w="939" w:type="dxa"/>
            <w:tcBorders>
              <w:top w:val="single" w:sz="6" w:space="0" w:color="auto"/>
              <w:left w:val="single" w:sz="6" w:space="0" w:color="auto"/>
              <w:bottom w:val="single" w:sz="6" w:space="0" w:color="auto"/>
              <w:right w:val="single" w:sz="6" w:space="0" w:color="auto"/>
            </w:tcBorders>
          </w:tcPr>
          <w:p w14:paraId="3C6ED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Разрезными</w:t>
            </w:r>
          </w:p>
        </w:tc>
        <w:tc>
          <w:tcPr>
            <w:tcW w:w="939" w:type="dxa"/>
            <w:tcBorders>
              <w:top w:val="single" w:sz="6" w:space="0" w:color="auto"/>
              <w:left w:val="single" w:sz="6" w:space="0" w:color="auto"/>
              <w:bottom w:val="single" w:sz="6" w:space="0" w:color="auto"/>
              <w:right w:val="single" w:sz="6" w:space="0" w:color="auto"/>
            </w:tcBorders>
          </w:tcPr>
          <w:p w14:paraId="046E4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3CC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1D7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6FD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491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A1F6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98B1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FE15CF" w14:textId="77777777">
        <w:tc>
          <w:tcPr>
            <w:tcW w:w="939" w:type="dxa"/>
            <w:tcBorders>
              <w:top w:val="single" w:sz="6" w:space="0" w:color="auto"/>
              <w:left w:val="single" w:sz="6" w:space="0" w:color="auto"/>
              <w:bottom w:val="single" w:sz="6" w:space="0" w:color="auto"/>
              <w:right w:val="single" w:sz="6" w:space="0" w:color="auto"/>
            </w:tcBorders>
          </w:tcPr>
          <w:p w14:paraId="0DFDD0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крыльями</w:t>
            </w:r>
          </w:p>
        </w:tc>
        <w:tc>
          <w:tcPr>
            <w:tcW w:w="939" w:type="dxa"/>
            <w:tcBorders>
              <w:top w:val="single" w:sz="6" w:space="0" w:color="auto"/>
              <w:left w:val="single" w:sz="6" w:space="0" w:color="auto"/>
              <w:bottom w:val="single" w:sz="6" w:space="0" w:color="auto"/>
              <w:right w:val="single" w:sz="6" w:space="0" w:color="auto"/>
            </w:tcBorders>
          </w:tcPr>
          <w:p w14:paraId="5D3A11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C6C0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D39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44A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C63D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20F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BF221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F8ED19" w14:textId="77777777">
        <w:tc>
          <w:tcPr>
            <w:tcW w:w="939" w:type="dxa"/>
            <w:tcBorders>
              <w:top w:val="single" w:sz="6" w:space="0" w:color="auto"/>
              <w:left w:val="single" w:sz="6" w:space="0" w:color="auto"/>
              <w:bottom w:val="single" w:sz="6" w:space="0" w:color="auto"/>
              <w:right w:val="single" w:sz="6" w:space="0" w:color="auto"/>
            </w:tcBorders>
          </w:tcPr>
          <w:p w14:paraId="58977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468258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177F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1E84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61C1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FAB3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7A1A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3EB1A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ГУГВФ к работам по с-ту не приступало.</w:t>
            </w:r>
          </w:p>
        </w:tc>
      </w:tr>
      <w:tr w:rsidR="00DA227A" w:rsidRPr="00E93F40" w14:paraId="07FE7D21" w14:textId="77777777">
        <w:tc>
          <w:tcPr>
            <w:tcW w:w="939" w:type="dxa"/>
            <w:tcBorders>
              <w:top w:val="single" w:sz="6" w:space="0" w:color="auto"/>
              <w:left w:val="single" w:sz="6" w:space="0" w:color="auto"/>
              <w:bottom w:val="single" w:sz="6" w:space="0" w:color="auto"/>
              <w:right w:val="single" w:sz="6" w:space="0" w:color="auto"/>
            </w:tcBorders>
          </w:tcPr>
          <w:p w14:paraId="4BACAA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нефтян.</w:t>
            </w:r>
          </w:p>
        </w:tc>
        <w:tc>
          <w:tcPr>
            <w:tcW w:w="939" w:type="dxa"/>
            <w:tcBorders>
              <w:top w:val="single" w:sz="6" w:space="0" w:color="auto"/>
              <w:left w:val="single" w:sz="6" w:space="0" w:color="auto"/>
              <w:bottom w:val="single" w:sz="6" w:space="0" w:color="auto"/>
              <w:right w:val="single" w:sz="6" w:space="0" w:color="auto"/>
            </w:tcBorders>
          </w:tcPr>
          <w:p w14:paraId="3A1E8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73C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730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16C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F4E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41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621C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10D8F8" w14:textId="77777777">
        <w:tc>
          <w:tcPr>
            <w:tcW w:w="939" w:type="dxa"/>
            <w:tcBorders>
              <w:top w:val="single" w:sz="6" w:space="0" w:color="auto"/>
              <w:left w:val="single" w:sz="6" w:space="0" w:color="auto"/>
              <w:bottom w:val="single" w:sz="6" w:space="0" w:color="auto"/>
              <w:right w:val="single" w:sz="6" w:space="0" w:color="auto"/>
            </w:tcBorders>
          </w:tcPr>
          <w:p w14:paraId="491311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7B8638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28A7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A9C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B628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298F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7A77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94C3E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72A91C" w14:textId="77777777">
        <w:tc>
          <w:tcPr>
            <w:tcW w:w="939" w:type="dxa"/>
            <w:tcBorders>
              <w:top w:val="single" w:sz="6" w:space="0" w:color="auto"/>
              <w:left w:val="single" w:sz="6" w:space="0" w:color="auto"/>
              <w:bottom w:val="single" w:sz="6" w:space="0" w:color="auto"/>
              <w:right w:val="single" w:sz="6" w:space="0" w:color="auto"/>
            </w:tcBorders>
          </w:tcPr>
          <w:p w14:paraId="2A606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Паккард</w:t>
            </w:r>
          </w:p>
        </w:tc>
        <w:tc>
          <w:tcPr>
            <w:tcW w:w="939" w:type="dxa"/>
            <w:tcBorders>
              <w:top w:val="single" w:sz="6" w:space="0" w:color="auto"/>
              <w:left w:val="single" w:sz="6" w:space="0" w:color="auto"/>
              <w:bottom w:val="single" w:sz="6" w:space="0" w:color="auto"/>
              <w:right w:val="single" w:sz="6" w:space="0" w:color="auto"/>
            </w:tcBorders>
          </w:tcPr>
          <w:p w14:paraId="5065C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F6F4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20C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D95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7435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3D3F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B88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01D47B" w14:textId="77777777">
        <w:tc>
          <w:tcPr>
            <w:tcW w:w="939" w:type="dxa"/>
            <w:tcBorders>
              <w:top w:val="single" w:sz="6" w:space="0" w:color="auto"/>
              <w:left w:val="single" w:sz="6" w:space="0" w:color="auto"/>
              <w:bottom w:val="single" w:sz="6" w:space="0" w:color="auto"/>
              <w:right w:val="single" w:sz="6" w:space="0" w:color="auto"/>
            </w:tcBorders>
          </w:tcPr>
          <w:p w14:paraId="43CE7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Особой группы.</w:t>
            </w:r>
          </w:p>
        </w:tc>
        <w:tc>
          <w:tcPr>
            <w:tcW w:w="939" w:type="dxa"/>
            <w:tcBorders>
              <w:top w:val="single" w:sz="6" w:space="0" w:color="auto"/>
              <w:left w:val="single" w:sz="6" w:space="0" w:color="auto"/>
              <w:bottom w:val="single" w:sz="6" w:space="0" w:color="auto"/>
              <w:right w:val="single" w:sz="6" w:space="0" w:color="auto"/>
            </w:tcBorders>
          </w:tcPr>
          <w:p w14:paraId="63C0B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6A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3EA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477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37BC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517B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80DF8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DEFD28" w14:textId="77777777">
        <w:tc>
          <w:tcPr>
            <w:tcW w:w="939" w:type="dxa"/>
            <w:tcBorders>
              <w:top w:val="single" w:sz="6" w:space="0" w:color="auto"/>
              <w:left w:val="single" w:sz="6" w:space="0" w:color="auto"/>
              <w:bottom w:val="single" w:sz="6" w:space="0" w:color="auto"/>
              <w:right w:val="single" w:sz="6" w:space="0" w:color="auto"/>
            </w:tcBorders>
          </w:tcPr>
          <w:p w14:paraId="204158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05E1EE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77B1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82F4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930EF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566FA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AA37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1C762E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БНК ведет работу по самолету летающей </w:t>
            </w:r>
          </w:p>
        </w:tc>
      </w:tr>
      <w:tr w:rsidR="00DA227A" w:rsidRPr="00E93F40" w14:paraId="53FB2483" w14:textId="77777777">
        <w:tc>
          <w:tcPr>
            <w:tcW w:w="939" w:type="dxa"/>
            <w:tcBorders>
              <w:top w:val="single" w:sz="6" w:space="0" w:color="auto"/>
              <w:left w:val="single" w:sz="6" w:space="0" w:color="auto"/>
              <w:bottom w:val="single" w:sz="6" w:space="0" w:color="auto"/>
              <w:right w:val="single" w:sz="6" w:space="0" w:color="auto"/>
            </w:tcBorders>
          </w:tcPr>
          <w:p w14:paraId="11A2D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Таран</w:t>
            </w:r>
          </w:p>
        </w:tc>
        <w:tc>
          <w:tcPr>
            <w:tcW w:w="939" w:type="dxa"/>
            <w:tcBorders>
              <w:top w:val="single" w:sz="6" w:space="0" w:color="auto"/>
              <w:left w:val="single" w:sz="6" w:space="0" w:color="auto"/>
              <w:bottom w:val="single" w:sz="6" w:space="0" w:color="auto"/>
              <w:right w:val="single" w:sz="6" w:space="0" w:color="auto"/>
            </w:tcBorders>
          </w:tcPr>
          <w:p w14:paraId="2FE91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06C1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4B87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880C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464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1617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59B5A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мине управляемый по радио. Проект с-та </w:t>
            </w:r>
          </w:p>
        </w:tc>
      </w:tr>
      <w:tr w:rsidR="00DA227A" w:rsidRPr="00E93F40" w14:paraId="621584EF" w14:textId="77777777">
        <w:tc>
          <w:tcPr>
            <w:tcW w:w="939" w:type="dxa"/>
            <w:tcBorders>
              <w:top w:val="single" w:sz="6" w:space="0" w:color="auto"/>
              <w:left w:val="single" w:sz="6" w:space="0" w:color="auto"/>
              <w:bottom w:val="single" w:sz="6" w:space="0" w:color="auto"/>
              <w:right w:val="single" w:sz="6" w:space="0" w:color="auto"/>
            </w:tcBorders>
          </w:tcPr>
          <w:p w14:paraId="64B49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599B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BCA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739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7789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F20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CD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0889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Построен макет. Частично</w:t>
            </w:r>
          </w:p>
        </w:tc>
      </w:tr>
      <w:tr w:rsidR="00DA227A" w:rsidRPr="00E93F40" w14:paraId="343FE41C" w14:textId="77777777">
        <w:tc>
          <w:tcPr>
            <w:tcW w:w="939" w:type="dxa"/>
            <w:tcBorders>
              <w:top w:val="single" w:sz="6" w:space="0" w:color="auto"/>
              <w:left w:val="single" w:sz="6" w:space="0" w:color="auto"/>
              <w:bottom w:val="single" w:sz="6" w:space="0" w:color="auto"/>
              <w:right w:val="single" w:sz="6" w:space="0" w:color="auto"/>
            </w:tcBorders>
          </w:tcPr>
          <w:p w14:paraId="6E99BB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B2C0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DA4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1FD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D69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3C8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066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4E4AF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начата постройка.</w:t>
            </w:r>
          </w:p>
        </w:tc>
      </w:tr>
      <w:tr w:rsidR="00DA227A" w:rsidRPr="00E93F40" w14:paraId="0DED0AF2" w14:textId="77777777">
        <w:tc>
          <w:tcPr>
            <w:tcW w:w="939" w:type="dxa"/>
            <w:tcBorders>
              <w:top w:val="single" w:sz="6" w:space="0" w:color="auto"/>
              <w:left w:val="single" w:sz="6" w:space="0" w:color="auto"/>
              <w:bottom w:val="single" w:sz="6" w:space="0" w:color="auto"/>
              <w:right w:val="single" w:sz="6" w:space="0" w:color="auto"/>
            </w:tcBorders>
          </w:tcPr>
          <w:p w14:paraId="121EDB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Модификации</w:t>
            </w:r>
          </w:p>
        </w:tc>
        <w:tc>
          <w:tcPr>
            <w:tcW w:w="939" w:type="dxa"/>
            <w:tcBorders>
              <w:top w:val="single" w:sz="6" w:space="0" w:color="auto"/>
              <w:left w:val="single" w:sz="6" w:space="0" w:color="auto"/>
              <w:bottom w:val="single" w:sz="6" w:space="0" w:color="auto"/>
              <w:right w:val="single" w:sz="6" w:space="0" w:color="auto"/>
            </w:tcBorders>
          </w:tcPr>
          <w:p w14:paraId="44CF8C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5D97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7B3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56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5314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4D0E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140C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1FCCC7D" w14:textId="77777777">
        <w:tc>
          <w:tcPr>
            <w:tcW w:w="939" w:type="dxa"/>
            <w:tcBorders>
              <w:top w:val="single" w:sz="6" w:space="0" w:color="auto"/>
              <w:left w:val="single" w:sz="6" w:space="0" w:color="auto"/>
              <w:bottom w:val="single" w:sz="6" w:space="0" w:color="auto"/>
              <w:right w:val="single" w:sz="6" w:space="0" w:color="auto"/>
            </w:tcBorders>
          </w:tcPr>
          <w:p w14:paraId="59C993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25286D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модификации</w:t>
            </w:r>
          </w:p>
        </w:tc>
        <w:tc>
          <w:tcPr>
            <w:tcW w:w="939" w:type="dxa"/>
            <w:tcBorders>
              <w:top w:val="single" w:sz="6" w:space="0" w:color="auto"/>
              <w:left w:val="single" w:sz="6" w:space="0" w:color="auto"/>
              <w:bottom w:val="single" w:sz="6" w:space="0" w:color="auto"/>
              <w:right w:val="single" w:sz="6" w:space="0" w:color="auto"/>
            </w:tcBorders>
          </w:tcPr>
          <w:p w14:paraId="1AF7B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864A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DE77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77E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9C36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3883" w:type="dxa"/>
            <w:tcBorders>
              <w:top w:val="single" w:sz="6" w:space="0" w:color="auto"/>
              <w:left w:val="single" w:sz="6" w:space="0" w:color="auto"/>
              <w:bottom w:val="single" w:sz="6" w:space="0" w:color="auto"/>
              <w:right w:val="single" w:sz="6" w:space="0" w:color="auto"/>
            </w:tcBorders>
          </w:tcPr>
          <w:p w14:paraId="2EE994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 октября 1932 года.</w:t>
            </w:r>
          </w:p>
        </w:tc>
      </w:tr>
      <w:tr w:rsidR="00DA227A" w:rsidRPr="00E93F40" w14:paraId="433FD70E" w14:textId="77777777">
        <w:tc>
          <w:tcPr>
            <w:tcW w:w="939" w:type="dxa"/>
            <w:tcBorders>
              <w:top w:val="single" w:sz="6" w:space="0" w:color="auto"/>
              <w:left w:val="single" w:sz="6" w:space="0" w:color="auto"/>
              <w:bottom w:val="single" w:sz="6" w:space="0" w:color="auto"/>
              <w:right w:val="single" w:sz="6" w:space="0" w:color="auto"/>
            </w:tcBorders>
          </w:tcPr>
          <w:p w14:paraId="6A3DB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939" w:type="dxa"/>
            <w:tcBorders>
              <w:top w:val="single" w:sz="6" w:space="0" w:color="auto"/>
              <w:left w:val="single" w:sz="6" w:space="0" w:color="auto"/>
              <w:bottom w:val="single" w:sz="6" w:space="0" w:color="auto"/>
              <w:right w:val="single" w:sz="6" w:space="0" w:color="auto"/>
            </w:tcBorders>
          </w:tcPr>
          <w:p w14:paraId="5C4150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50B4C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6D2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06F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514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999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165483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полностью подготовлен к установке моторов М34. Установка не </w:t>
            </w:r>
          </w:p>
        </w:tc>
      </w:tr>
      <w:tr w:rsidR="00DA227A" w:rsidRPr="00E93F40" w14:paraId="2A58AD5B" w14:textId="77777777">
        <w:tc>
          <w:tcPr>
            <w:tcW w:w="939" w:type="dxa"/>
            <w:tcBorders>
              <w:top w:val="single" w:sz="6" w:space="0" w:color="auto"/>
              <w:left w:val="single" w:sz="6" w:space="0" w:color="auto"/>
              <w:bottom w:val="single" w:sz="6" w:space="0" w:color="auto"/>
              <w:right w:val="single" w:sz="6" w:space="0" w:color="auto"/>
            </w:tcBorders>
          </w:tcPr>
          <w:p w14:paraId="032A19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171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7CE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3B0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B54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C37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70A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5CFE7E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произведена ввиду отсутствия моторов.</w:t>
            </w:r>
          </w:p>
        </w:tc>
      </w:tr>
      <w:tr w:rsidR="00DA227A" w:rsidRPr="00E93F40" w14:paraId="047540C5" w14:textId="77777777">
        <w:tc>
          <w:tcPr>
            <w:tcW w:w="939" w:type="dxa"/>
            <w:tcBorders>
              <w:top w:val="single" w:sz="6" w:space="0" w:color="auto"/>
              <w:left w:val="single" w:sz="6" w:space="0" w:color="auto"/>
              <w:bottom w:val="single" w:sz="6" w:space="0" w:color="auto"/>
              <w:right w:val="single" w:sz="6" w:space="0" w:color="auto"/>
            </w:tcBorders>
          </w:tcPr>
          <w:p w14:paraId="26FF52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ТШ2-М17</w:t>
            </w:r>
          </w:p>
        </w:tc>
        <w:tc>
          <w:tcPr>
            <w:tcW w:w="939" w:type="dxa"/>
            <w:tcBorders>
              <w:top w:val="single" w:sz="6" w:space="0" w:color="auto"/>
              <w:left w:val="single" w:sz="6" w:space="0" w:color="auto"/>
              <w:bottom w:val="single" w:sz="6" w:space="0" w:color="auto"/>
              <w:right w:val="single" w:sz="6" w:space="0" w:color="auto"/>
            </w:tcBorders>
          </w:tcPr>
          <w:p w14:paraId="2C138F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05800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0620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14CC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FA2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8F05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05C22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затруднений с работой мотора М-17 с гликолевым охлаждением на</w:t>
            </w:r>
          </w:p>
        </w:tc>
      </w:tr>
      <w:tr w:rsidR="00DA227A" w:rsidRPr="00E93F40" w14:paraId="11DF6408" w14:textId="77777777">
        <w:tc>
          <w:tcPr>
            <w:tcW w:w="939" w:type="dxa"/>
            <w:tcBorders>
              <w:top w:val="single" w:sz="6" w:space="0" w:color="auto"/>
              <w:left w:val="single" w:sz="6" w:space="0" w:color="auto"/>
              <w:bottom w:val="single" w:sz="6" w:space="0" w:color="auto"/>
              <w:right w:val="single" w:sz="6" w:space="0" w:color="auto"/>
            </w:tcBorders>
          </w:tcPr>
          <w:p w14:paraId="21427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D6E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88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FDF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DF0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3BC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40B3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6317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самолете ТШ-2 М-17 СТО приняло решение обязывающее ГУАП представить </w:t>
            </w:r>
          </w:p>
        </w:tc>
      </w:tr>
      <w:tr w:rsidR="00DA227A" w:rsidRPr="00E93F40" w14:paraId="304B144C" w14:textId="77777777">
        <w:tc>
          <w:tcPr>
            <w:tcW w:w="939" w:type="dxa"/>
            <w:tcBorders>
              <w:top w:val="single" w:sz="6" w:space="0" w:color="auto"/>
              <w:left w:val="single" w:sz="6" w:space="0" w:color="auto"/>
              <w:bottom w:val="single" w:sz="6" w:space="0" w:color="auto"/>
              <w:right w:val="single" w:sz="6" w:space="0" w:color="auto"/>
            </w:tcBorders>
          </w:tcPr>
          <w:p w14:paraId="420D4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659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5ED1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9A4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AE5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CC9F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00B5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4403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гос. испытание самолет ТШ3-М34 к 1 апреля 1933 года. ЦАГИ ведется </w:t>
            </w:r>
          </w:p>
        </w:tc>
      </w:tr>
      <w:tr w:rsidR="00DA227A" w:rsidRPr="00E93F40" w14:paraId="5788C210" w14:textId="77777777">
        <w:tc>
          <w:tcPr>
            <w:tcW w:w="939" w:type="dxa"/>
            <w:tcBorders>
              <w:top w:val="single" w:sz="6" w:space="0" w:color="auto"/>
              <w:left w:val="single" w:sz="6" w:space="0" w:color="auto"/>
              <w:bottom w:val="single" w:sz="6" w:space="0" w:color="auto"/>
              <w:right w:val="single" w:sz="6" w:space="0" w:color="auto"/>
            </w:tcBorders>
          </w:tcPr>
          <w:p w14:paraId="4B566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2A53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C135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2E3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A11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43E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4E1F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22319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предварительная компановка самолета.</w:t>
            </w:r>
          </w:p>
        </w:tc>
      </w:tr>
      <w:tr w:rsidR="00DA227A" w:rsidRPr="00E93F40" w14:paraId="1242632B" w14:textId="77777777">
        <w:tc>
          <w:tcPr>
            <w:tcW w:w="939" w:type="dxa"/>
            <w:tcBorders>
              <w:top w:val="single" w:sz="6" w:space="0" w:color="auto"/>
              <w:left w:val="single" w:sz="6" w:space="0" w:color="auto"/>
              <w:bottom w:val="single" w:sz="6" w:space="0" w:color="auto"/>
              <w:right w:val="single" w:sz="6" w:space="0" w:color="auto"/>
            </w:tcBorders>
          </w:tcPr>
          <w:p w14:paraId="3489B1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М34</w:t>
            </w:r>
          </w:p>
        </w:tc>
        <w:tc>
          <w:tcPr>
            <w:tcW w:w="939" w:type="dxa"/>
            <w:tcBorders>
              <w:top w:val="single" w:sz="6" w:space="0" w:color="auto"/>
              <w:left w:val="single" w:sz="6" w:space="0" w:color="auto"/>
              <w:bottom w:val="single" w:sz="6" w:space="0" w:color="auto"/>
              <w:right w:val="single" w:sz="6" w:space="0" w:color="auto"/>
            </w:tcBorders>
          </w:tcPr>
          <w:p w14:paraId="217BFA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эталона с-та.</w:t>
            </w:r>
          </w:p>
        </w:tc>
        <w:tc>
          <w:tcPr>
            <w:tcW w:w="939" w:type="dxa"/>
            <w:tcBorders>
              <w:top w:val="single" w:sz="6" w:space="0" w:color="auto"/>
              <w:left w:val="single" w:sz="6" w:space="0" w:color="auto"/>
              <w:bottom w:val="single" w:sz="6" w:space="0" w:color="auto"/>
              <w:right w:val="single" w:sz="6" w:space="0" w:color="auto"/>
            </w:tcBorders>
          </w:tcPr>
          <w:p w14:paraId="2C4C0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D90E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206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908D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878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w:t>
            </w:r>
          </w:p>
        </w:tc>
        <w:tc>
          <w:tcPr>
            <w:tcW w:w="3883" w:type="dxa"/>
            <w:tcBorders>
              <w:top w:val="single" w:sz="6" w:space="0" w:color="auto"/>
              <w:left w:val="single" w:sz="6" w:space="0" w:color="auto"/>
              <w:bottom w:val="single" w:sz="6" w:space="0" w:color="auto"/>
              <w:right w:val="single" w:sz="6" w:space="0" w:color="auto"/>
            </w:tcBorders>
          </w:tcPr>
          <w:p w14:paraId="08BB3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прошел заводские испытания, которые показали необходимость</w:t>
            </w:r>
          </w:p>
        </w:tc>
      </w:tr>
      <w:tr w:rsidR="00DA227A" w:rsidRPr="00E93F40" w14:paraId="264E378A" w14:textId="77777777">
        <w:tc>
          <w:tcPr>
            <w:tcW w:w="939" w:type="dxa"/>
            <w:tcBorders>
              <w:top w:val="single" w:sz="6" w:space="0" w:color="auto"/>
              <w:left w:val="single" w:sz="6" w:space="0" w:color="auto"/>
              <w:bottom w:val="single" w:sz="6" w:space="0" w:color="auto"/>
              <w:right w:val="single" w:sz="6" w:space="0" w:color="auto"/>
            </w:tcBorders>
          </w:tcPr>
          <w:p w14:paraId="17E32E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79F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EE68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3411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9A7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D32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C345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41599F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больших масляных радиаторах и в улучшении карбюрации. Самолет </w:t>
            </w:r>
          </w:p>
        </w:tc>
      </w:tr>
      <w:tr w:rsidR="00DA227A" w:rsidRPr="00E93F40" w14:paraId="55756216" w14:textId="77777777">
        <w:tc>
          <w:tcPr>
            <w:tcW w:w="939" w:type="dxa"/>
            <w:tcBorders>
              <w:top w:val="single" w:sz="6" w:space="0" w:color="auto"/>
              <w:left w:val="single" w:sz="6" w:space="0" w:color="auto"/>
              <w:bottom w:val="single" w:sz="6" w:space="0" w:color="auto"/>
              <w:right w:val="single" w:sz="6" w:space="0" w:color="auto"/>
            </w:tcBorders>
          </w:tcPr>
          <w:p w14:paraId="21B55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EDD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0A88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34CF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FA3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1701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9C56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2BDC6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проходивший испытания не является эталоном Р5-М34. Работа по эталониров.</w:t>
            </w:r>
          </w:p>
        </w:tc>
      </w:tr>
      <w:tr w:rsidR="00DA227A" w:rsidRPr="00E93F40" w14:paraId="7D21D8CB" w14:textId="77777777">
        <w:tc>
          <w:tcPr>
            <w:tcW w:w="939" w:type="dxa"/>
            <w:tcBorders>
              <w:top w:val="single" w:sz="6" w:space="0" w:color="auto"/>
              <w:left w:val="single" w:sz="6" w:space="0" w:color="auto"/>
              <w:bottom w:val="single" w:sz="6" w:space="0" w:color="auto"/>
              <w:right w:val="single" w:sz="6" w:space="0" w:color="auto"/>
            </w:tcBorders>
          </w:tcPr>
          <w:p w14:paraId="1340B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F80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498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C831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9B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282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1A92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384E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ведется ЦАГИ и заводом N 1. Ввиду отсутствия моторов М-34</w:t>
            </w:r>
          </w:p>
        </w:tc>
      </w:tr>
      <w:tr w:rsidR="00DA227A" w:rsidRPr="00E93F40" w14:paraId="4F54BEE0" w14:textId="77777777">
        <w:tc>
          <w:tcPr>
            <w:tcW w:w="939" w:type="dxa"/>
            <w:tcBorders>
              <w:top w:val="single" w:sz="6" w:space="0" w:color="auto"/>
              <w:left w:val="single" w:sz="6" w:space="0" w:color="auto"/>
              <w:bottom w:val="single" w:sz="6" w:space="0" w:color="auto"/>
              <w:right w:val="single" w:sz="6" w:space="0" w:color="auto"/>
            </w:tcBorders>
          </w:tcPr>
          <w:p w14:paraId="1686E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59B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23F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25E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2F1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41B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F5F6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FFD3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выдержан не будет.</w:t>
            </w:r>
          </w:p>
        </w:tc>
      </w:tr>
      <w:tr w:rsidR="00DA227A" w:rsidRPr="00E93F40" w14:paraId="741DD4AD" w14:textId="77777777">
        <w:tc>
          <w:tcPr>
            <w:tcW w:w="939" w:type="dxa"/>
            <w:tcBorders>
              <w:top w:val="single" w:sz="6" w:space="0" w:color="auto"/>
              <w:left w:val="single" w:sz="6" w:space="0" w:color="auto"/>
              <w:bottom w:val="single" w:sz="6" w:space="0" w:color="auto"/>
              <w:right w:val="single" w:sz="6" w:space="0" w:color="auto"/>
            </w:tcBorders>
          </w:tcPr>
          <w:p w14:paraId="012B7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М-17</w:t>
            </w:r>
          </w:p>
        </w:tc>
        <w:tc>
          <w:tcPr>
            <w:tcW w:w="939" w:type="dxa"/>
            <w:tcBorders>
              <w:top w:val="single" w:sz="6" w:space="0" w:color="auto"/>
              <w:left w:val="single" w:sz="6" w:space="0" w:color="auto"/>
              <w:bottom w:val="single" w:sz="6" w:space="0" w:color="auto"/>
              <w:right w:val="single" w:sz="6" w:space="0" w:color="auto"/>
            </w:tcBorders>
          </w:tcPr>
          <w:p w14:paraId="7BD98E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тормозн. колес</w:t>
            </w:r>
          </w:p>
        </w:tc>
        <w:tc>
          <w:tcPr>
            <w:tcW w:w="939" w:type="dxa"/>
            <w:tcBorders>
              <w:top w:val="single" w:sz="6" w:space="0" w:color="auto"/>
              <w:left w:val="single" w:sz="6" w:space="0" w:color="auto"/>
              <w:bottom w:val="single" w:sz="6" w:space="0" w:color="auto"/>
              <w:right w:val="single" w:sz="6" w:space="0" w:color="auto"/>
            </w:tcBorders>
          </w:tcPr>
          <w:p w14:paraId="6443B8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004B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514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E07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966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w:t>
            </w:r>
          </w:p>
        </w:tc>
        <w:tc>
          <w:tcPr>
            <w:tcW w:w="3883" w:type="dxa"/>
            <w:tcBorders>
              <w:top w:val="single" w:sz="6" w:space="0" w:color="auto"/>
              <w:left w:val="single" w:sz="6" w:space="0" w:color="auto"/>
              <w:bottom w:val="single" w:sz="6" w:space="0" w:color="auto"/>
              <w:right w:val="single" w:sz="6" w:space="0" w:color="auto"/>
            </w:tcBorders>
          </w:tcPr>
          <w:p w14:paraId="72EFC9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с тормозными колесами прошел испытания в ЦАГИ и передается в НИИ</w:t>
            </w:r>
          </w:p>
        </w:tc>
      </w:tr>
      <w:tr w:rsidR="00DA227A" w:rsidRPr="00E93F40" w14:paraId="6117C282" w14:textId="77777777">
        <w:tc>
          <w:tcPr>
            <w:tcW w:w="939" w:type="dxa"/>
            <w:tcBorders>
              <w:top w:val="single" w:sz="6" w:space="0" w:color="auto"/>
              <w:left w:val="single" w:sz="6" w:space="0" w:color="auto"/>
              <w:bottom w:val="single" w:sz="6" w:space="0" w:color="auto"/>
              <w:right w:val="single" w:sz="6" w:space="0" w:color="auto"/>
            </w:tcBorders>
          </w:tcPr>
          <w:p w14:paraId="3774DF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C0EE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разрезных крыльев.</w:t>
            </w:r>
          </w:p>
        </w:tc>
        <w:tc>
          <w:tcPr>
            <w:tcW w:w="939" w:type="dxa"/>
            <w:tcBorders>
              <w:top w:val="single" w:sz="6" w:space="0" w:color="auto"/>
              <w:left w:val="single" w:sz="6" w:space="0" w:color="auto"/>
              <w:bottom w:val="single" w:sz="6" w:space="0" w:color="auto"/>
              <w:right w:val="single" w:sz="6" w:space="0" w:color="auto"/>
            </w:tcBorders>
          </w:tcPr>
          <w:p w14:paraId="199BF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CE1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F5D5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07EA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C54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398C94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Первый экземпляр самолета Р5 с разрезными крыльями прошел испыт.</w:t>
            </w:r>
          </w:p>
        </w:tc>
      </w:tr>
      <w:tr w:rsidR="00DA227A" w:rsidRPr="00E93F40" w14:paraId="2C03E7B0" w14:textId="77777777">
        <w:tc>
          <w:tcPr>
            <w:tcW w:w="939" w:type="dxa"/>
            <w:tcBorders>
              <w:top w:val="single" w:sz="6" w:space="0" w:color="auto"/>
              <w:left w:val="single" w:sz="6" w:space="0" w:color="auto"/>
              <w:bottom w:val="single" w:sz="6" w:space="0" w:color="auto"/>
              <w:right w:val="single" w:sz="6" w:space="0" w:color="auto"/>
            </w:tcBorders>
          </w:tcPr>
          <w:p w14:paraId="678DD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E2D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8300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C2B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A0D1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95F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2CE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9AA6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НИИ ВВС. Ухудшение летных данных самолета не позволяет ввести в серию</w:t>
            </w:r>
          </w:p>
        </w:tc>
      </w:tr>
      <w:tr w:rsidR="00DA227A" w:rsidRPr="00E93F40" w14:paraId="4CEAA43E" w14:textId="77777777">
        <w:tc>
          <w:tcPr>
            <w:tcW w:w="939" w:type="dxa"/>
            <w:tcBorders>
              <w:top w:val="single" w:sz="6" w:space="0" w:color="auto"/>
              <w:left w:val="single" w:sz="6" w:space="0" w:color="auto"/>
              <w:bottom w:val="single" w:sz="6" w:space="0" w:color="auto"/>
              <w:right w:val="single" w:sz="6" w:space="0" w:color="auto"/>
            </w:tcBorders>
          </w:tcPr>
          <w:p w14:paraId="2CDC0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00CB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8E4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496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8AB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0BD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3FD2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C6A1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испытываемый тип разрезных крыльев. Второй экземпляр самолета Р5 с</w:t>
            </w:r>
          </w:p>
        </w:tc>
      </w:tr>
      <w:tr w:rsidR="00DA227A" w:rsidRPr="00E93F40" w14:paraId="5EAA89E3" w14:textId="77777777">
        <w:tc>
          <w:tcPr>
            <w:tcW w:w="939" w:type="dxa"/>
            <w:tcBorders>
              <w:top w:val="single" w:sz="6" w:space="0" w:color="auto"/>
              <w:left w:val="single" w:sz="6" w:space="0" w:color="auto"/>
              <w:bottom w:val="single" w:sz="6" w:space="0" w:color="auto"/>
              <w:right w:val="single" w:sz="6" w:space="0" w:color="auto"/>
            </w:tcBorders>
          </w:tcPr>
          <w:p w14:paraId="60ABC0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F78C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C2F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381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2AB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7B1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22A9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7C940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разрезными крыльями видоизмененной конструкции заканчивается </w:t>
            </w:r>
          </w:p>
        </w:tc>
      </w:tr>
      <w:tr w:rsidR="00DA227A" w:rsidRPr="00E93F40" w14:paraId="3FFD089D" w14:textId="77777777">
        <w:tc>
          <w:tcPr>
            <w:tcW w:w="939" w:type="dxa"/>
            <w:tcBorders>
              <w:top w:val="single" w:sz="6" w:space="0" w:color="auto"/>
              <w:left w:val="single" w:sz="6" w:space="0" w:color="auto"/>
              <w:bottom w:val="single" w:sz="6" w:space="0" w:color="auto"/>
              <w:right w:val="single" w:sz="6" w:space="0" w:color="auto"/>
            </w:tcBorders>
          </w:tcPr>
          <w:p w14:paraId="4F78A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265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2298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4C4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288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321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7E5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0FC7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постройкой и будет выпущен на аэродром в конце октября с.г.</w:t>
            </w:r>
          </w:p>
        </w:tc>
      </w:tr>
      <w:tr w:rsidR="00DA227A" w:rsidRPr="00E93F40" w14:paraId="64438F77" w14:textId="77777777">
        <w:tc>
          <w:tcPr>
            <w:tcW w:w="939" w:type="dxa"/>
            <w:tcBorders>
              <w:top w:val="single" w:sz="6" w:space="0" w:color="auto"/>
              <w:left w:val="single" w:sz="6" w:space="0" w:color="auto"/>
              <w:bottom w:val="single" w:sz="6" w:space="0" w:color="auto"/>
              <w:right w:val="single" w:sz="6" w:space="0" w:color="auto"/>
            </w:tcBorders>
          </w:tcPr>
          <w:p w14:paraId="69404C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И12-2М22</w:t>
            </w:r>
          </w:p>
        </w:tc>
        <w:tc>
          <w:tcPr>
            <w:tcW w:w="939" w:type="dxa"/>
            <w:tcBorders>
              <w:top w:val="single" w:sz="6" w:space="0" w:color="auto"/>
              <w:left w:val="single" w:sz="6" w:space="0" w:color="auto"/>
              <w:bottom w:val="single" w:sz="6" w:space="0" w:color="auto"/>
              <w:right w:val="single" w:sz="6" w:space="0" w:color="auto"/>
            </w:tcBorders>
          </w:tcPr>
          <w:p w14:paraId="62C28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второго</w:t>
            </w:r>
          </w:p>
        </w:tc>
        <w:tc>
          <w:tcPr>
            <w:tcW w:w="939" w:type="dxa"/>
            <w:tcBorders>
              <w:top w:val="single" w:sz="6" w:space="0" w:color="auto"/>
              <w:left w:val="single" w:sz="6" w:space="0" w:color="auto"/>
              <w:bottom w:val="single" w:sz="6" w:space="0" w:color="auto"/>
              <w:right w:val="single" w:sz="6" w:space="0" w:color="auto"/>
            </w:tcBorders>
          </w:tcPr>
          <w:p w14:paraId="5B6EF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CB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4A4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D077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942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w:t>
            </w:r>
          </w:p>
        </w:tc>
        <w:tc>
          <w:tcPr>
            <w:tcW w:w="3883" w:type="dxa"/>
            <w:tcBorders>
              <w:top w:val="single" w:sz="6" w:space="0" w:color="auto"/>
              <w:left w:val="single" w:sz="6" w:space="0" w:color="auto"/>
              <w:bottom w:val="single" w:sz="6" w:space="0" w:color="auto"/>
              <w:right w:val="single" w:sz="6" w:space="0" w:color="auto"/>
            </w:tcBorders>
          </w:tcPr>
          <w:p w14:paraId="35A3B4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находится в постройке.</w:t>
            </w:r>
          </w:p>
        </w:tc>
      </w:tr>
      <w:tr w:rsidR="00DA227A" w:rsidRPr="00E93F40" w14:paraId="6C4D024A" w14:textId="77777777">
        <w:tc>
          <w:tcPr>
            <w:tcW w:w="939" w:type="dxa"/>
            <w:tcBorders>
              <w:top w:val="single" w:sz="6" w:space="0" w:color="auto"/>
              <w:left w:val="single" w:sz="6" w:space="0" w:color="auto"/>
              <w:bottom w:val="single" w:sz="6" w:space="0" w:color="auto"/>
              <w:right w:val="single" w:sz="6" w:space="0" w:color="auto"/>
            </w:tcBorders>
          </w:tcPr>
          <w:p w14:paraId="0EE3AA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1ACF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модифицированного экз.</w:t>
            </w:r>
          </w:p>
        </w:tc>
        <w:tc>
          <w:tcPr>
            <w:tcW w:w="939" w:type="dxa"/>
            <w:tcBorders>
              <w:top w:val="single" w:sz="6" w:space="0" w:color="auto"/>
              <w:left w:val="single" w:sz="6" w:space="0" w:color="auto"/>
              <w:bottom w:val="single" w:sz="6" w:space="0" w:color="auto"/>
              <w:right w:val="single" w:sz="6" w:space="0" w:color="auto"/>
            </w:tcBorders>
          </w:tcPr>
          <w:p w14:paraId="528C1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A7CD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8274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B088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7D8D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3FBA61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F418DC8" w14:textId="77777777">
        <w:tc>
          <w:tcPr>
            <w:tcW w:w="939" w:type="dxa"/>
            <w:tcBorders>
              <w:top w:val="single" w:sz="6" w:space="0" w:color="auto"/>
              <w:left w:val="single" w:sz="6" w:space="0" w:color="auto"/>
              <w:bottom w:val="single" w:sz="6" w:space="0" w:color="auto"/>
              <w:right w:val="single" w:sz="6" w:space="0" w:color="auto"/>
            </w:tcBorders>
          </w:tcPr>
          <w:p w14:paraId="615DCE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939" w:type="dxa"/>
            <w:tcBorders>
              <w:top w:val="single" w:sz="6" w:space="0" w:color="auto"/>
              <w:left w:val="single" w:sz="6" w:space="0" w:color="auto"/>
              <w:bottom w:val="single" w:sz="6" w:space="0" w:color="auto"/>
              <w:right w:val="single" w:sz="6" w:space="0" w:color="auto"/>
            </w:tcBorders>
          </w:tcPr>
          <w:p w14:paraId="66CC2F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 емкости баков.</w:t>
            </w:r>
          </w:p>
        </w:tc>
        <w:tc>
          <w:tcPr>
            <w:tcW w:w="939" w:type="dxa"/>
            <w:tcBorders>
              <w:top w:val="single" w:sz="6" w:space="0" w:color="auto"/>
              <w:left w:val="single" w:sz="6" w:space="0" w:color="auto"/>
              <w:bottom w:val="single" w:sz="6" w:space="0" w:color="auto"/>
              <w:right w:val="single" w:sz="6" w:space="0" w:color="auto"/>
            </w:tcBorders>
          </w:tcPr>
          <w:p w14:paraId="42370E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3FE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A8B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C9BD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6C14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мая</w:t>
            </w:r>
          </w:p>
        </w:tc>
        <w:tc>
          <w:tcPr>
            <w:tcW w:w="3883" w:type="dxa"/>
            <w:tcBorders>
              <w:top w:val="single" w:sz="6" w:space="0" w:color="auto"/>
              <w:left w:val="single" w:sz="6" w:space="0" w:color="auto"/>
              <w:bottom w:val="single" w:sz="6" w:space="0" w:color="auto"/>
              <w:right w:val="single" w:sz="6" w:space="0" w:color="auto"/>
            </w:tcBorders>
          </w:tcPr>
          <w:p w14:paraId="244C54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проходит испытания в НИИ.</w:t>
            </w:r>
          </w:p>
        </w:tc>
      </w:tr>
      <w:tr w:rsidR="00DA227A" w:rsidRPr="00E93F40" w14:paraId="63E5FE61" w14:textId="77777777">
        <w:tc>
          <w:tcPr>
            <w:tcW w:w="939" w:type="dxa"/>
            <w:tcBorders>
              <w:top w:val="single" w:sz="6" w:space="0" w:color="auto"/>
              <w:left w:val="single" w:sz="6" w:space="0" w:color="auto"/>
              <w:bottom w:val="single" w:sz="6" w:space="0" w:color="auto"/>
              <w:right w:val="single" w:sz="6" w:space="0" w:color="auto"/>
            </w:tcBorders>
          </w:tcPr>
          <w:p w14:paraId="30E8E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BF0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A04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6058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3BB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F88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7B67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6B4227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E9087D" w14:textId="77777777">
        <w:tc>
          <w:tcPr>
            <w:tcW w:w="939" w:type="dxa"/>
            <w:tcBorders>
              <w:top w:val="single" w:sz="6" w:space="0" w:color="auto"/>
              <w:left w:val="single" w:sz="6" w:space="0" w:color="auto"/>
              <w:bottom w:val="single" w:sz="6" w:space="0" w:color="auto"/>
              <w:right w:val="single" w:sz="6" w:space="0" w:color="auto"/>
            </w:tcBorders>
          </w:tcPr>
          <w:p w14:paraId="095CB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не вошедшие в план.</w:t>
            </w:r>
          </w:p>
        </w:tc>
        <w:tc>
          <w:tcPr>
            <w:tcW w:w="939" w:type="dxa"/>
            <w:tcBorders>
              <w:top w:val="single" w:sz="6" w:space="0" w:color="auto"/>
              <w:left w:val="single" w:sz="6" w:space="0" w:color="auto"/>
              <w:bottom w:val="single" w:sz="6" w:space="0" w:color="auto"/>
              <w:right w:val="single" w:sz="6" w:space="0" w:color="auto"/>
            </w:tcBorders>
          </w:tcPr>
          <w:p w14:paraId="4472E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7D7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15E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3C37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395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7961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3A7D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B72BAB" w14:textId="77777777">
        <w:tc>
          <w:tcPr>
            <w:tcW w:w="939" w:type="dxa"/>
            <w:tcBorders>
              <w:top w:val="single" w:sz="6" w:space="0" w:color="auto"/>
              <w:left w:val="single" w:sz="6" w:space="0" w:color="auto"/>
              <w:bottom w:val="single" w:sz="6" w:space="0" w:color="auto"/>
              <w:right w:val="single" w:sz="6" w:space="0" w:color="auto"/>
            </w:tcBorders>
          </w:tcPr>
          <w:p w14:paraId="3EF76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ДИ4-Кертисс</w:t>
            </w:r>
          </w:p>
        </w:tc>
        <w:tc>
          <w:tcPr>
            <w:tcW w:w="939" w:type="dxa"/>
            <w:tcBorders>
              <w:top w:val="single" w:sz="6" w:space="0" w:color="auto"/>
              <w:left w:val="single" w:sz="6" w:space="0" w:color="auto"/>
              <w:bottom w:val="single" w:sz="6" w:space="0" w:color="auto"/>
              <w:right w:val="single" w:sz="6" w:space="0" w:color="auto"/>
            </w:tcBorders>
          </w:tcPr>
          <w:p w14:paraId="334B62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1F5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A1F1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A777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93B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903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w:t>
            </w:r>
          </w:p>
        </w:tc>
        <w:tc>
          <w:tcPr>
            <w:tcW w:w="3883" w:type="dxa"/>
            <w:tcBorders>
              <w:top w:val="single" w:sz="6" w:space="0" w:color="auto"/>
              <w:left w:val="single" w:sz="6" w:space="0" w:color="auto"/>
              <w:bottom w:val="single" w:sz="6" w:space="0" w:color="auto"/>
              <w:right w:val="single" w:sz="6" w:space="0" w:color="auto"/>
            </w:tcBorders>
          </w:tcPr>
          <w:p w14:paraId="26FB8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самолета и его доводка закончены. Самолет передается</w:t>
            </w:r>
          </w:p>
        </w:tc>
      </w:tr>
      <w:tr w:rsidR="00DA227A" w:rsidRPr="00E93F40" w14:paraId="378CE6C1" w14:textId="77777777">
        <w:tc>
          <w:tcPr>
            <w:tcW w:w="939" w:type="dxa"/>
            <w:tcBorders>
              <w:top w:val="single" w:sz="6" w:space="0" w:color="auto"/>
              <w:left w:val="single" w:sz="6" w:space="0" w:color="auto"/>
              <w:bottom w:val="single" w:sz="6" w:space="0" w:color="auto"/>
              <w:right w:val="single" w:sz="6" w:space="0" w:color="auto"/>
            </w:tcBorders>
          </w:tcPr>
          <w:p w14:paraId="231307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Конкверор</w:t>
            </w:r>
          </w:p>
        </w:tc>
        <w:tc>
          <w:tcPr>
            <w:tcW w:w="939" w:type="dxa"/>
            <w:tcBorders>
              <w:top w:val="single" w:sz="6" w:space="0" w:color="auto"/>
              <w:left w:val="single" w:sz="6" w:space="0" w:color="auto"/>
              <w:bottom w:val="single" w:sz="6" w:space="0" w:color="auto"/>
              <w:right w:val="single" w:sz="6" w:space="0" w:color="auto"/>
            </w:tcBorders>
          </w:tcPr>
          <w:p w14:paraId="2C1964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F28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945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4C5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0CF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101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3883" w:type="dxa"/>
            <w:tcBorders>
              <w:top w:val="single" w:sz="6" w:space="0" w:color="auto"/>
              <w:left w:val="single" w:sz="6" w:space="0" w:color="auto"/>
              <w:bottom w:val="single" w:sz="6" w:space="0" w:color="auto"/>
              <w:right w:val="single" w:sz="6" w:space="0" w:color="auto"/>
            </w:tcBorders>
          </w:tcPr>
          <w:p w14:paraId="15D56B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сипытания в НИИ.</w:t>
            </w:r>
          </w:p>
        </w:tc>
      </w:tr>
      <w:tr w:rsidR="00DA227A" w:rsidRPr="00E93F40" w14:paraId="1D8A7F04" w14:textId="77777777">
        <w:tc>
          <w:tcPr>
            <w:tcW w:w="939" w:type="dxa"/>
            <w:tcBorders>
              <w:top w:val="single" w:sz="6" w:space="0" w:color="auto"/>
              <w:left w:val="single" w:sz="6" w:space="0" w:color="auto"/>
              <w:bottom w:val="single" w:sz="6" w:space="0" w:color="auto"/>
              <w:right w:val="single" w:sz="6" w:space="0" w:color="auto"/>
            </w:tcBorders>
          </w:tcPr>
          <w:p w14:paraId="337D5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6AE7D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707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469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538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30D1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E0E7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6F1BEE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совместных с заводом N 39 испытаниях самолет показал время подъема</w:t>
            </w:r>
          </w:p>
        </w:tc>
      </w:tr>
      <w:tr w:rsidR="00DA227A" w:rsidRPr="00E93F40" w14:paraId="1CA3DB21" w14:textId="77777777">
        <w:tc>
          <w:tcPr>
            <w:tcW w:w="939" w:type="dxa"/>
            <w:tcBorders>
              <w:top w:val="single" w:sz="6" w:space="0" w:color="auto"/>
              <w:left w:val="single" w:sz="6" w:space="0" w:color="auto"/>
              <w:bottom w:val="single" w:sz="6" w:space="0" w:color="auto"/>
              <w:right w:val="single" w:sz="6" w:space="0" w:color="auto"/>
            </w:tcBorders>
          </w:tcPr>
          <w:p w14:paraId="653784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"ЗЕТ" с М-22</w:t>
            </w:r>
          </w:p>
        </w:tc>
        <w:tc>
          <w:tcPr>
            <w:tcW w:w="939" w:type="dxa"/>
            <w:tcBorders>
              <w:top w:val="single" w:sz="6" w:space="0" w:color="auto"/>
              <w:left w:val="single" w:sz="6" w:space="0" w:color="auto"/>
              <w:bottom w:val="single" w:sz="6" w:space="0" w:color="auto"/>
              <w:right w:val="single" w:sz="6" w:space="0" w:color="auto"/>
            </w:tcBorders>
          </w:tcPr>
          <w:p w14:paraId="1DD02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46FF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C25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C0E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B36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905F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B63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5000 м - 16,7 мин. Максимальную скорость у земли 253 км/час. Завод</w:t>
            </w:r>
          </w:p>
        </w:tc>
      </w:tr>
      <w:tr w:rsidR="00DA227A" w:rsidRPr="00E93F40" w14:paraId="5F093A14" w14:textId="77777777">
        <w:tc>
          <w:tcPr>
            <w:tcW w:w="939" w:type="dxa"/>
            <w:tcBorders>
              <w:top w:val="single" w:sz="6" w:space="0" w:color="auto"/>
              <w:left w:val="single" w:sz="6" w:space="0" w:color="auto"/>
              <w:bottom w:val="single" w:sz="6" w:space="0" w:color="auto"/>
              <w:right w:val="single" w:sz="6" w:space="0" w:color="auto"/>
            </w:tcBorders>
          </w:tcPr>
          <w:p w14:paraId="551A3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168E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52AB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9AB5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20D3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71A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6B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984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продолжает работу по улучшению максимальной скорости и доводке пушечн.</w:t>
            </w:r>
          </w:p>
        </w:tc>
      </w:tr>
      <w:tr w:rsidR="00DA227A" w:rsidRPr="00E93F40" w14:paraId="7CF0CC75" w14:textId="77777777">
        <w:tc>
          <w:tcPr>
            <w:tcW w:w="939" w:type="dxa"/>
            <w:tcBorders>
              <w:top w:val="single" w:sz="6" w:space="0" w:color="auto"/>
              <w:left w:val="single" w:sz="6" w:space="0" w:color="auto"/>
              <w:bottom w:val="single" w:sz="6" w:space="0" w:color="auto"/>
              <w:right w:val="single" w:sz="6" w:space="0" w:color="auto"/>
            </w:tcBorders>
          </w:tcPr>
          <w:p w14:paraId="000600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5AD6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F608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ABD3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E0E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97E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D1ED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F8C8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вооружения.</w:t>
            </w:r>
          </w:p>
        </w:tc>
      </w:tr>
    </w:tbl>
    <w:p w14:paraId="3CE08E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(3029,56-66).</w:t>
      </w:r>
    </w:p>
    <w:p w14:paraId="0DC8A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72F038" w14:textId="77777777" w:rsidR="00E238F8" w:rsidRPr="00E93F40" w:rsidRDefault="00E238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Камов отмечал в объяснительной записке к проекту«танк-вертолёт», что применение на его аппарате «геликоптерного винта» могло бы дать определённые преимущества, однако ряд возникающих сложностей заставляет отдать предпочтение автожирному варианту. Камовская машина представляла собой весьма оригинальную конструкцию. Ходовая часть была чисто гусеничной, пары катков соединялись с маслянопневматическими амортизаторами авиационного типа. Нижняя часть танка выполнялась низкой и широкой, с расстоянием между гусеницами 3,5 м по внешнему габариту. Над ней возвышалась надстройка каплевидного сечения, в которой размещались двигатель и один из двух членов экипажа. Для силовой установки был выбран новейший на тот момент отечественный авиамотор М-34 с максимальной мощностью 800 л.с., который тогда проходил испытания. Предусматривалось гликолевое охлаждение. Двигатель вращал двухлопастный толкающий винт, за которым находился руль направления. На земле лопасти винта устанавливались вертикально. От мотора шёл также вал, раскручивавший перед взлётом несущий винт. Таким образом, машина Камова являлась так называемым «прыгающим» автожиром с укороченным взлётом. От двигателя был также привод на гусеницы, обеспечивавший движение танка на земле. (Любопытно, что в проектном рисунке схемы приводов написано тянущий винт – не ошибка ли? Никаких других данных о таком варианте не имеется). Машина задумывалась как бескрылый автожир, оснащённый трёхлопастным несущим винтом диаметром 20 м. Винт монтировался на вершине надстройки и включал в себя предложенную Камовым шаровую (кольцевую) управляющую втулку, которая, по мысли Камова, и должна была позволить аппарату обходиться без крыла. Согласно проектному описанию, кольцевая часть втулки имела флянец, который служил для движения по нему четырёх роликов управления, и пилот движением ручки мог «дать любой наклон как в продольном, так и в поперечном направлении, т.е. дать любой крен машине, т.е. заставить её пикировать, кабрировать и делать крены порознь и одновременно». Поэтому, считал Камов, «нет необходимости в подкрыльях с элеронами и горизонтальном оперении. Но для поворота я ещё не отказываюсь от вертикального оперения». Лопасти несущего винта предполагалось выполнить из стали, а трубу (лонжерон) – из хромомолибдена или сделать её «цельно-электронной» (т.е. из магниевого сплава «электрон»). Диаметр втулки (около 1200 мм, судя по чертежу) позволил установить над ней круглую башню с двумя пулемётами. Камов допускал возможность установки в этой башне даже лёгкой пушки. Вторая такая же башня, тоже с пулемётной спаркой, находилась перед надстройкой. Ещё два ствола торчали из надстройки, простреливая пространство назад слева и справа от толкающего винта. Непонятно, правда, как можно было вести из этих пулемётов прицельный огонь. К тому же для стрельбы через винт нужен был бы синхронизатор, о котором у Камова нет ни слова. Да и вообще не совсем ясно, как с таким вооружением должен был управляться экипаж из двух человек. В чертежах указаны габариты танка: ширина – 3,5 м, высота – 4,3 м. Длина аппарата без несущего винта получается 7,5 м. Расчётный полётный вес – 4000-4500 кг, включая 600 кг горючего. Способ применения мыслился так. «Танк-вертолёт» (автожир), обладая разбегом не более 50 м, поднимается с небольшой площадки и летит со скоростью 150 км/ч. Посадку он совершает практически в любом месте благодаря «ничтожному» пробегу – 5 м. Далее экипаж складывает лопасти несущего винта назад (вручную, но без вылезания наружу), и машина готова вступить в бой. Ожидаемая скорость движения на земле составляла 35-40 км/ч. Рассчитывали, что при необходимости преодолеть серьёзное препятствие машина сможет вновь подняться в воздух и перепрыгнуть его. (Несколько сомнительный сценарий). Подобным же образом собирались наносить удар из тыла противника. Какую же позицию заняли специалисты и заинтересованные организации? Пом. Начальника КОСОС ЦАГИ А.Надашкевич в своём Заключении на предложение Н.И.Камова «Летающий танк-вертолёт» от 3 октября 1932 г. положительно оценил выбор Камовым схемы аппарата с авторотирующим винтом, добавив: «Несомненно, что в процессе разработки предложения тов. КАМОВА встретятся значительные трудности, в особенности в части управления и устойчивости танка в воздухе, в полёте и при разбеге, однако уже сейчас можно утверждать, что идея инженера КАМОВА является очень счастливой и плодотворной. К проработке этого многообещающего предложения следует приступить, не теряя времени». Более сдержанно высказался старший инженер ЦАГИ А.М.Черёмухин (ноябрь 1932 г.). Назвав идею Камова «очень смелой, но не невозможной», Черёмухин, однако, отметил, что проект содержит много технических новинок и вызывает к жизни вопросы, «ответа на которые на данный момент в полной мере дать нельзя». Так, в числе новых и трудных аэродинамических мест он выделил: 1) управление всем аппаратом при помощи шаровой головки ротора – «по идее схема мыслима, но полная картина её работы не ясна с точки зрения устойчивости»; 2) «Вопрос о взлёте аппарата при помощи управления ротором (без горизонтального оперения) требует специальной проработки, просчётов и опытов, так же как и посадка». Итак, резюмировал он, идея «принципиально осуществимая, но связанная с целым рядом новых элементов, работа которых требует как теоретического, так и опытного освещения».</w:t>
      </w:r>
    </w:p>
    <w:p w14:paraId="62768901" w14:textId="77777777" w:rsidR="00E238F8" w:rsidRPr="00E93F40" w:rsidRDefault="00E238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Известно, что начальник Управления моторизации и механизации РККА И.А.Халепский ставил перед начальником ВВС Алкснисом вопрос о необходимости организации работ по предложению Камова при ЦАГИ. Слабым местом проекта было то, что главный элемент машины – сам танк – нужно было проектировать «с нуля». Для этого требовалось создать отдельный коллектив специалистов. Могли, как отмечено выше, возникнуть проблемы и в связи с применением новой неопробованной втулки несущего винта. Для её испытания и доводки Камов намеревался сначала построить небольшой автожир. В итоге, как отмечал В.Р.Котельников, задачу сочли чрезмерно сложной, и проект остался нереализованным (19165).</w:t>
      </w:r>
    </w:p>
    <w:p w14:paraId="7872E472" w14:textId="77777777" w:rsidR="00E238F8" w:rsidRPr="00E93F40" w:rsidRDefault="00E238F8" w:rsidP="00E93F40">
      <w:pPr>
        <w:spacing w:after="0" w:line="240" w:lineRule="auto"/>
        <w:jc w:val="both"/>
        <w:rPr>
          <w:rFonts w:ascii="Times New Roman" w:hAnsi="Times New Roman"/>
          <w:color w:val="000000" w:themeColor="text1"/>
          <w:sz w:val="16"/>
          <w:szCs w:val="16"/>
        </w:rPr>
      </w:pPr>
    </w:p>
    <w:p w14:paraId="6AB2D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года была подготовлена справка:</w:t>
      </w:r>
    </w:p>
    <w:p w14:paraId="6A074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реализации стратосферного полета КО и БНК ЦАГИ пошли следующими путями:</w:t>
      </w:r>
    </w:p>
    <w:p w14:paraId="33A93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Конструкторский отдел ЦАГИ.</w:t>
      </w:r>
    </w:p>
    <w:p w14:paraId="7E247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Стратосферный самолет, разрабатываемый в бригаде N 6, представляет из себя моноплан, с низкорасположенным крылом. Конструкция цельнометаллическая: дюралюминий и сталь. Размах 30 метров. Длина 12,5 м. Полетный вес 3,8 тонны.</w:t>
      </w:r>
    </w:p>
    <w:p w14:paraId="57A602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Крыло общей несущей поверхностью 79 м кв. отличается большим удлинением (11,5), что дает улучшение аэродинамических качеств крыла.</w:t>
      </w:r>
    </w:p>
    <w:p w14:paraId="16B46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Оперение рассчитано из условий улучшения управляемости самолета и обеспечения устойчивости полета с брошенной ручкой.</w:t>
      </w:r>
    </w:p>
    <w:p w14:paraId="21245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Герметическая кабина является совершенно самостоятельной от самолета конструкцией и вкладывается сверху фюзеляжа, скрепляясь с ним через амортизирующие прокладки. Кабина рассчитана на 2-х человек и представляет из себя тело яйцеобразного сечения и имеет окна, дающие возможность обзора для летчика и пассажира.</w:t>
      </w:r>
    </w:p>
    <w:p w14:paraId="0A17BB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заднем днище кабин имеется герметически закрываемый люк. Кабина оборудуется кислородным питанием и поглотителем углекислоты, а также предусматривается отопление кабины отходящими у мотора газами.</w:t>
      </w:r>
    </w:p>
    <w:p w14:paraId="4B933E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обычного типа.</w:t>
      </w:r>
    </w:p>
    <w:p w14:paraId="6AC76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Винтомоторная группа состоит из мотора М34 с 2-х ступенчатым импеллером, обеспечивающим мощность мотора на высоте 16 км 470 НР. Охлаждение мотора - водяное, охлаждение воздуха, подаваемого из импеллера в мотор - воздушное.</w:t>
      </w:r>
    </w:p>
    <w:p w14:paraId="7F4E7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 предполагается с поворотными лопастями.</w:t>
      </w:r>
    </w:p>
    <w:p w14:paraId="7F6A8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расчетным данным самолет должен иметь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421236FB" w14:textId="77777777">
        <w:tc>
          <w:tcPr>
            <w:tcW w:w="5636" w:type="dxa"/>
          </w:tcPr>
          <w:p w14:paraId="35DE0A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c>
          <w:tcPr>
            <w:tcW w:w="5636" w:type="dxa"/>
          </w:tcPr>
          <w:p w14:paraId="2244B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км</w:t>
            </w:r>
          </w:p>
        </w:tc>
      </w:tr>
      <w:tr w:rsidR="00DA227A" w:rsidRPr="00E93F40" w14:paraId="3AB42FBF" w14:textId="77777777">
        <w:tc>
          <w:tcPr>
            <w:tcW w:w="5636" w:type="dxa"/>
          </w:tcPr>
          <w:p w14:paraId="4FD42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скорость на высоте 15 км</w:t>
            </w:r>
          </w:p>
        </w:tc>
        <w:tc>
          <w:tcPr>
            <w:tcW w:w="5636" w:type="dxa"/>
          </w:tcPr>
          <w:p w14:paraId="17F20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 км/час</w:t>
            </w:r>
          </w:p>
        </w:tc>
      </w:tr>
      <w:tr w:rsidR="00DA227A" w:rsidRPr="00E93F40" w14:paraId="61BC1326" w14:textId="77777777">
        <w:tc>
          <w:tcPr>
            <w:tcW w:w="5636" w:type="dxa"/>
          </w:tcPr>
          <w:p w14:paraId="2D989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16 км</w:t>
            </w:r>
          </w:p>
        </w:tc>
        <w:tc>
          <w:tcPr>
            <w:tcW w:w="5636" w:type="dxa"/>
          </w:tcPr>
          <w:p w14:paraId="51707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час. 10 мин.</w:t>
            </w:r>
          </w:p>
        </w:tc>
      </w:tr>
      <w:tr w:rsidR="00DA227A" w:rsidRPr="00E93F40" w14:paraId="45214A10" w14:textId="77777777">
        <w:tc>
          <w:tcPr>
            <w:tcW w:w="5636" w:type="dxa"/>
          </w:tcPr>
          <w:p w14:paraId="07378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Горючее</w:t>
            </w:r>
          </w:p>
        </w:tc>
        <w:tc>
          <w:tcPr>
            <w:tcW w:w="5636" w:type="dxa"/>
          </w:tcPr>
          <w:p w14:paraId="7940C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3,5 часа</w:t>
            </w:r>
          </w:p>
        </w:tc>
      </w:tr>
      <w:tr w:rsidR="00DA227A" w:rsidRPr="00E93F40" w14:paraId="531CC3F8" w14:textId="77777777">
        <w:tc>
          <w:tcPr>
            <w:tcW w:w="5636" w:type="dxa"/>
          </w:tcPr>
          <w:p w14:paraId="292329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полета</w:t>
            </w:r>
          </w:p>
        </w:tc>
        <w:tc>
          <w:tcPr>
            <w:tcW w:w="5636" w:type="dxa"/>
          </w:tcPr>
          <w:p w14:paraId="450B0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 км</w:t>
            </w:r>
          </w:p>
        </w:tc>
      </w:tr>
      <w:tr w:rsidR="00DA227A" w:rsidRPr="00E93F40" w14:paraId="220B8052" w14:textId="77777777">
        <w:tc>
          <w:tcPr>
            <w:tcW w:w="5636" w:type="dxa"/>
          </w:tcPr>
          <w:p w14:paraId="1196D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w:t>
            </w:r>
          </w:p>
        </w:tc>
        <w:tc>
          <w:tcPr>
            <w:tcW w:w="5636" w:type="dxa"/>
          </w:tcPr>
          <w:p w14:paraId="62098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 км/час</w:t>
            </w:r>
          </w:p>
        </w:tc>
      </w:tr>
    </w:tbl>
    <w:p w14:paraId="2E4692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работ по высотному самолету на 1.Х.32 г.</w:t>
      </w:r>
    </w:p>
    <w:p w14:paraId="6470C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Приступлено к сдаче в производство чертежей отъемной части крыла. Закончен расчет хвостовой части фюзеляжа и начинается конструктивная разработка. Закончен расчет герметической кабины (2-й вариант) и разрабатывается ее конструкция.</w:t>
      </w:r>
    </w:p>
    <w:p w14:paraId="55819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осуществлении этого проекта имеются трудности следующего порядка.</w:t>
      </w:r>
    </w:p>
    <w:p w14:paraId="671FC7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Отсутствие готового высотного мотора. Вопрос импеллера - новый вопрос и требует большой работы по его осуществлению.</w:t>
      </w:r>
    </w:p>
    <w:p w14:paraId="4935DC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Отсутствие винта с поворотными лопастями. Необходимо разрешить задачу поворотной втулки к мотору М-34.</w:t>
      </w:r>
    </w:p>
    <w:p w14:paraId="324616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Новизна вопроса и отсутствие опыта у нас требуют специальных больших, экспериментальных работ.</w:t>
      </w:r>
    </w:p>
    <w:p w14:paraId="45D5AF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Отсутствие достаточного количества работников, что задерживает темп работы.</w:t>
      </w:r>
    </w:p>
    <w:p w14:paraId="31C44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Имеется еще много трудностей как например: получение вполне герметической кабины, осуществление вывода органов управления из кабины, сохранение при этом герметичности кабины, обеспечение поддержания постоянного давления внутри кабины, избежания вибрации крыла при конструировании крыла с большим удлинением и т.п., но они не являются непреодолимыми и их можно разрешить в порядке упорной конструкторской работы.</w:t>
      </w:r>
    </w:p>
    <w:p w14:paraId="51C3DA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Бюро новых конструкций.</w:t>
      </w:r>
    </w:p>
    <w:p w14:paraId="61ACB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Стратосферный самолет, проектируемый БНК, по своей схеме не отличается существенно от самолета нормального типа.</w:t>
      </w:r>
    </w:p>
    <w:p w14:paraId="39CAF5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Схема самолета.</w:t>
      </w:r>
    </w:p>
    <w:p w14:paraId="3A37F0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Аппарат представляет моноплан с низкорасположенным крылом в 45 кв. м несущей поверхности, общим полетом весом 2300 кг.</w:t>
      </w:r>
    </w:p>
    <w:p w14:paraId="0F09E5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все расчеты ведутся под мотор М17 (500НР), но может быть придется перейти на мотор М34.</w:t>
      </w:r>
    </w:p>
    <w:p w14:paraId="09B19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хорошо освещенная и расположенная впереди крыла, имеет 2 места тандем. Это расположение предоставляет экипажу прекрасный обзор вперед и вниз.</w:t>
      </w:r>
    </w:p>
    <w:p w14:paraId="7C203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кабиной расположена винтомоторная группа, состоящая из мотора и металлического винта диаметром 4 м, приводящегося посредством гидравлической передачи. Винт расположен позади задней кромки крыла.</w:t>
      </w:r>
    </w:p>
    <w:p w14:paraId="7B5346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Оперение моноплана поддерживается двумя расчлененными в плоскости балками, предназначенными для восприятия возникающих горизонтальных усилий как от вертикального оперения, так и при возникающем маневрировании полета.</w:t>
      </w:r>
    </w:p>
    <w:p w14:paraId="44C928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нормального типа, безосное, с широкой колеей, с тормозными колесами.</w:t>
      </w:r>
    </w:p>
    <w:p w14:paraId="74231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Несущая поверхность.</w:t>
      </w:r>
    </w:p>
    <w:p w14:paraId="0253EF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моноплана в 45 м кв. с удлинением десяти спроектировано на основе принятого профиля так, чтобы угол максимальной скорости на высоте 14000 м соответствовал максимальному качеству.</w:t>
      </w:r>
    </w:p>
    <w:p w14:paraId="692562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состоит из центроплана - размахом 4,5 м и из 2-х трапециевидных открылков с эллиптическими концами.</w:t>
      </w:r>
    </w:p>
    <w:p w14:paraId="5A419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Листовая обшивка воспринимает разрывающие и скручивающие усилия. Обшивка верхней части крыла будет иметь двойные стенки для конденсации пара, выходящего из турбины.</w:t>
      </w:r>
    </w:p>
    <w:p w14:paraId="205E50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Кабина.</w:t>
      </w:r>
    </w:p>
    <w:p w14:paraId="5D485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непроницаемая кабина намечается из стали высокого сопротивления. Она набирается из комплекта шпангоутов, соединенных стрингерами, к которым электрически приварены стальные листы, образующие обшивку. Этот способ обеспечивает кабине прекрасную герметичность и в то же время простую конструкцию.</w:t>
      </w:r>
    </w:p>
    <w:p w14:paraId="3A439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Проходы тяг управления самолетом и мотором через стенки кабины осуществляются посредством воздушных цилиндров, поддерживаемых под постоянным давлением компрессора, проводимым в действие ветрянкой, расположенной под кабиной. Питание кабины воздухом будет происходить из баллонов, применяющихся при высотных полетах. Углекислота поглощается поглотителями типа, применяющегося в подводных лодках.</w:t>
      </w:r>
    </w:p>
    <w:p w14:paraId="4D23D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имеется вариант использовать компрессор мотора для питания кабины. Для обогревания кабины будет использован пар, выходящий из турбины.</w:t>
      </w:r>
    </w:p>
    <w:p w14:paraId="72E84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будет крепиться в 4-х точках. Такое устройство имеет цель - не подвергать кабину напряжением, которые воспринимает планер, дабы не вызывать деформацию, нарушающую непроницаемость кабины.</w:t>
      </w:r>
    </w:p>
    <w:p w14:paraId="54DFFA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Винтомоторная группа.</w:t>
      </w:r>
    </w:p>
    <w:p w14:paraId="2F9FD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Винтомоторная группа состоит, как было сказано, из мотора в 500 НР, форсируемого центробежным компрессором в несколько степеней. Последний приводится паровой турбиной, питаемой паром, производящимся с одной стороны от охлаждения мотора и с другой - выхлопными газами.</w:t>
      </w:r>
    </w:p>
    <w:p w14:paraId="21C5B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Центробежный компрессор имеет две ступени. Первая действует от земли до 6500 м и приводится в движение паровой турбиной работающей паром, получаемым из котла, подогреваемого выхлопными газами.</w:t>
      </w:r>
    </w:p>
    <w:p w14:paraId="399F9C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Вторая ступень включается на высоте 6500 м и приводится в движение газовой турбиной на газу, отходящем от котла, в то время, как при работе только первой ступени газы выбрасываются наружу.</w:t>
      </w:r>
    </w:p>
    <w:p w14:paraId="3B38A6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приводит масляную помпу, действующую под давление в 150/200 кг/м кв.</w:t>
      </w:r>
    </w:p>
    <w:p w14:paraId="074DB4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отношении винта расчеты показали, что целесообразнее иметь винт с переменным числом оборотов, т.е. коробку скоростей. Вопрос специальный и до сих пор не имевший решения, почему результаты его предвидеть сейчас трудно.</w:t>
      </w:r>
    </w:p>
    <w:p w14:paraId="4B00F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большей обеспеченности разработан БНК эскизный проект винта с поворотными лопастями.</w:t>
      </w:r>
    </w:p>
    <w:p w14:paraId="7E9B5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3E8E4ABE" w14:textId="77777777">
        <w:tc>
          <w:tcPr>
            <w:tcW w:w="5636" w:type="dxa"/>
          </w:tcPr>
          <w:p w14:paraId="29895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Поверхность</w:t>
            </w:r>
          </w:p>
        </w:tc>
        <w:tc>
          <w:tcPr>
            <w:tcW w:w="5636" w:type="dxa"/>
          </w:tcPr>
          <w:p w14:paraId="15AA3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 кв. М</w:t>
            </w:r>
          </w:p>
        </w:tc>
      </w:tr>
      <w:tr w:rsidR="00DA227A" w:rsidRPr="00E93F40" w14:paraId="027C226F" w14:textId="77777777">
        <w:tc>
          <w:tcPr>
            <w:tcW w:w="5636" w:type="dxa"/>
          </w:tcPr>
          <w:p w14:paraId="73D63B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полетный вес</w:t>
            </w:r>
          </w:p>
        </w:tc>
        <w:tc>
          <w:tcPr>
            <w:tcW w:w="5636" w:type="dxa"/>
          </w:tcPr>
          <w:p w14:paraId="7CA28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2300 кг</w:t>
            </w:r>
          </w:p>
        </w:tc>
      </w:tr>
      <w:tr w:rsidR="00DA227A" w:rsidRPr="00E93F40" w14:paraId="13BB20E7" w14:textId="77777777">
        <w:tc>
          <w:tcPr>
            <w:tcW w:w="5636" w:type="dxa"/>
          </w:tcPr>
          <w:p w14:paraId="6F419C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w:t>
            </w:r>
          </w:p>
        </w:tc>
        <w:tc>
          <w:tcPr>
            <w:tcW w:w="5636" w:type="dxa"/>
          </w:tcPr>
          <w:p w14:paraId="43223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НР</w:t>
            </w:r>
          </w:p>
        </w:tc>
      </w:tr>
      <w:tr w:rsidR="00DA227A" w:rsidRPr="00E93F40" w14:paraId="3629D832" w14:textId="77777777">
        <w:tc>
          <w:tcPr>
            <w:tcW w:w="5636" w:type="dxa"/>
          </w:tcPr>
          <w:p w14:paraId="0CE9F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на м кв.</w:t>
            </w:r>
          </w:p>
        </w:tc>
        <w:tc>
          <w:tcPr>
            <w:tcW w:w="5636" w:type="dxa"/>
          </w:tcPr>
          <w:p w14:paraId="06B05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 кг кв. м</w:t>
            </w:r>
          </w:p>
        </w:tc>
      </w:tr>
      <w:tr w:rsidR="00DA227A" w:rsidRPr="00E93F40" w14:paraId="7C05AFAD" w14:textId="77777777">
        <w:tc>
          <w:tcPr>
            <w:tcW w:w="5636" w:type="dxa"/>
          </w:tcPr>
          <w:p w14:paraId="7E57B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на силу</w:t>
            </w:r>
          </w:p>
        </w:tc>
        <w:tc>
          <w:tcPr>
            <w:tcW w:w="5636" w:type="dxa"/>
          </w:tcPr>
          <w:p w14:paraId="066F6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 кг НР</w:t>
            </w:r>
          </w:p>
        </w:tc>
      </w:tr>
      <w:tr w:rsidR="00DA227A" w:rsidRPr="00E93F40" w14:paraId="0A7913EE" w14:textId="77777777">
        <w:tc>
          <w:tcPr>
            <w:tcW w:w="5636" w:type="dxa"/>
          </w:tcPr>
          <w:p w14:paraId="013176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 Скорость у земли</w:t>
            </w:r>
          </w:p>
        </w:tc>
        <w:tc>
          <w:tcPr>
            <w:tcW w:w="5636" w:type="dxa"/>
          </w:tcPr>
          <w:p w14:paraId="619775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 км/час</w:t>
            </w:r>
          </w:p>
        </w:tc>
      </w:tr>
      <w:tr w:rsidR="00DA227A" w:rsidRPr="00E93F40" w14:paraId="21DE4E1F" w14:textId="77777777">
        <w:tc>
          <w:tcPr>
            <w:tcW w:w="5636" w:type="dxa"/>
          </w:tcPr>
          <w:p w14:paraId="61FE58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на высоте</w:t>
            </w:r>
          </w:p>
        </w:tc>
        <w:tc>
          <w:tcPr>
            <w:tcW w:w="5636" w:type="dxa"/>
          </w:tcPr>
          <w:p w14:paraId="75A6F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29CF37" w14:textId="77777777">
        <w:tc>
          <w:tcPr>
            <w:tcW w:w="5636" w:type="dxa"/>
          </w:tcPr>
          <w:p w14:paraId="6867B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12000 м</w:t>
            </w:r>
          </w:p>
        </w:tc>
        <w:tc>
          <w:tcPr>
            <w:tcW w:w="5636" w:type="dxa"/>
          </w:tcPr>
          <w:p w14:paraId="6E67C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 км/час</w:t>
            </w:r>
          </w:p>
        </w:tc>
      </w:tr>
      <w:tr w:rsidR="00DA227A" w:rsidRPr="00E93F40" w14:paraId="77B8B545" w14:textId="77777777">
        <w:tc>
          <w:tcPr>
            <w:tcW w:w="5636" w:type="dxa"/>
          </w:tcPr>
          <w:p w14:paraId="44FF2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w:t>
            </w:r>
          </w:p>
        </w:tc>
        <w:tc>
          <w:tcPr>
            <w:tcW w:w="5636" w:type="dxa"/>
          </w:tcPr>
          <w:p w14:paraId="0C6E1F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6C2C65" w14:textId="77777777">
        <w:tc>
          <w:tcPr>
            <w:tcW w:w="5636" w:type="dxa"/>
          </w:tcPr>
          <w:p w14:paraId="040F11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12000 м</w:t>
            </w:r>
          </w:p>
        </w:tc>
        <w:tc>
          <w:tcPr>
            <w:tcW w:w="5636" w:type="dxa"/>
          </w:tcPr>
          <w:p w14:paraId="510C0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мин.</w:t>
            </w:r>
          </w:p>
        </w:tc>
      </w:tr>
      <w:tr w:rsidR="00DA227A" w:rsidRPr="00E93F40" w14:paraId="57906DB2" w14:textId="77777777">
        <w:tc>
          <w:tcPr>
            <w:tcW w:w="5636" w:type="dxa"/>
          </w:tcPr>
          <w:p w14:paraId="0EF00D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Теоретический потолок</w:t>
            </w:r>
          </w:p>
        </w:tc>
        <w:tc>
          <w:tcPr>
            <w:tcW w:w="5636" w:type="dxa"/>
          </w:tcPr>
          <w:p w14:paraId="2A31E7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14500</w:t>
            </w:r>
          </w:p>
        </w:tc>
      </w:tr>
      <w:tr w:rsidR="00DA227A" w:rsidRPr="00E93F40" w14:paraId="5DEC8746" w14:textId="77777777">
        <w:tc>
          <w:tcPr>
            <w:tcW w:w="5636" w:type="dxa"/>
          </w:tcPr>
          <w:p w14:paraId="5ACD2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w:t>
            </w:r>
          </w:p>
        </w:tc>
        <w:tc>
          <w:tcPr>
            <w:tcW w:w="5636" w:type="dxa"/>
          </w:tcPr>
          <w:p w14:paraId="0C637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5EC690" w14:textId="77777777">
        <w:tc>
          <w:tcPr>
            <w:tcW w:w="5636" w:type="dxa"/>
          </w:tcPr>
          <w:p w14:paraId="560E77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полета</w:t>
            </w:r>
          </w:p>
        </w:tc>
        <w:tc>
          <w:tcPr>
            <w:tcW w:w="5636" w:type="dxa"/>
          </w:tcPr>
          <w:p w14:paraId="04189D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часа</w:t>
            </w:r>
          </w:p>
        </w:tc>
      </w:tr>
    </w:tbl>
    <w:p w14:paraId="31F44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работы.</w:t>
      </w:r>
    </w:p>
    <w:p w14:paraId="03AE96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1.Х.32 г. сделано следующее:</w:t>
      </w:r>
    </w:p>
    <w:p w14:paraId="5BC8DF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Установлена конструкция крыла, центроплана и фермы, поддерживающей оперения. Сделан аэродинамический расчет. Построена испытательная станция для моторных установок. Спроектирован 1-й вариант котла и делается 2-й вариант.</w:t>
      </w:r>
    </w:p>
    <w:p w14:paraId="4443DD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Разрабатывается коробка скоростей.</w:t>
      </w:r>
    </w:p>
    <w:p w14:paraId="7A9411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предварительному плану в 1-м квартале 1933 г. должны быть закончены все расчеты и некоторые испытания по моторной части, результаты которых должны показать целесообразность выбранной схемы и определить дальнейшее направление в работе.</w:t>
      </w:r>
    </w:p>
    <w:p w14:paraId="1D804F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четвертом квартале 1933 г. машины предложены к выходу на аэродром.</w:t>
      </w:r>
    </w:p>
    <w:p w14:paraId="5E7A51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работах ЦИАМ"а.</w:t>
      </w:r>
    </w:p>
    <w:p w14:paraId="15901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основу было положено приспособить мотор М34 путем соответствующего наддува и обеспечить работу всех агрегатов.</w:t>
      </w:r>
    </w:p>
    <w:p w14:paraId="5439B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Расчеты показали, что мощность для горизонтального полета на высоте 15000 м д.б. равна 450 л.с., мощность же поглощаемая нагнетателем - около 300 л.с. Этим требованиям мотор М34 удовлетворяет.</w:t>
      </w:r>
    </w:p>
    <w:p w14:paraId="45DE50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нагнетателю (2-х ступенчатый приводной центробежный) выполнена рабочая компоновка, но не разработана система охлаждения воздуха, подаваемого нагнетателем и не проведено механического испытания крыльчатки, окружная скорость которой выбрана порядка 400 м/сек., т.е. значительно выше, чем в существующих типах. (Рольс-Ройс - 270 м/сек., нагнетатель М34 - 340 м/сек.).</w:t>
      </w:r>
    </w:p>
    <w:p w14:paraId="7CC6A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работы по подготовке мотора и специального 4-х лопастного винта переменного шага в ЦИАМ"е сейчас приостановлены и с плана сняты, в виду перегрузки института работами по плану, утвержденному Правительством.</w:t>
      </w:r>
    </w:p>
    <w:p w14:paraId="6D2762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конкретных результатов в текущем году от ЦИАМ"а ожидать нельзя. При включении в план этих работ в декабре 1932 г. моторы с нагнетателем и 4-х лопастной винт с переменным шагом можно ожидать в 3-м квартале 1933 г. (2304).</w:t>
      </w:r>
    </w:p>
    <w:p w14:paraId="1AF16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Другой источник:</w:t>
      </w:r>
    </w:p>
    <w:p w14:paraId="3A3B2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ня 1 октября 1932 года:</w:t>
      </w:r>
    </w:p>
    <w:p w14:paraId="099CAC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стратосферному самолету ЦАГИ:</w:t>
      </w:r>
    </w:p>
    <w:p w14:paraId="5A9D9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Конструкторский отдел ЦАГИ</w:t>
      </w:r>
    </w:p>
    <w:p w14:paraId="69D77C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Стратосферный самолет, разрабатываемый в бригаде № 6, представляет из себя моноплан, с низко расположенным крылом. Конструкция цельнометаллическая: дюралюминий и сталь. Размах 30 метров. Длина 12,5 м. Полетный вес 3,8 тонны.</w:t>
      </w:r>
    </w:p>
    <w:p w14:paraId="0AD814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общей несущей поверхностью 79 кв. Метров отличается большим удлинением (11,5), что дает улучшение аэродинамических качеств крыла.</w:t>
      </w:r>
    </w:p>
    <w:p w14:paraId="1E8ED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Оперение рассчитано из условий улучшения управляемости самолета и обеспечения устойчивости полета с брошенной ручкой.</w:t>
      </w:r>
    </w:p>
    <w:p w14:paraId="67E33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Герметическая кабина является совершенно самостоятельной от самолета конструкцией и вкладывается сверху фюзеляжа, скрепляясь с ним через амортизирующие прокладки. Кабина расчитана на 2-х человек и представляет из себя тело яйцеобразного сечения и имеет окна, дающие возможность обзора для летчика и пассажира.</w:t>
      </w:r>
    </w:p>
    <w:p w14:paraId="13797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заднем днище кабины имеется герметически закрываемый люк. Кабина оборудуется кислородным питанием и поглотителем углекислоты, а также предусматривается отопление кабины отходящими от мотора газами.</w:t>
      </w:r>
    </w:p>
    <w:p w14:paraId="3715E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обычного типа.</w:t>
      </w:r>
    </w:p>
    <w:p w14:paraId="5F0FFC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Винтомоторная группа состоит из мотора М34 с 2-х ступенчатым импеллером, обеспечивающим мощность мотора на высоте 15 км в 470 НР. Охлаждение мотора – водяное, охлаждение воздуха, подаваемого из импеллера в мотор – воздушное.</w:t>
      </w:r>
    </w:p>
    <w:p w14:paraId="03523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 предполагается с поворотными лопастями.</w:t>
      </w:r>
    </w:p>
    <w:p w14:paraId="0362EF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расчетным данным самолет должен иметь следующие летные данные:</w:t>
      </w:r>
    </w:p>
    <w:p w14:paraId="05967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Максимальную скорость на высоте 15 км – 300 км/час</w:t>
      </w:r>
    </w:p>
    <w:p w14:paraId="78BBF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 16 км</w:t>
      </w:r>
    </w:p>
    <w:p w14:paraId="5D8F1F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16 км – 1 час 10 минут</w:t>
      </w:r>
    </w:p>
    <w:p w14:paraId="56BFD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Горючее – на 3,5 часа</w:t>
      </w:r>
    </w:p>
    <w:p w14:paraId="195F8B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полета – 1100 км</w:t>
      </w:r>
    </w:p>
    <w:p w14:paraId="0189E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 – 85 км/час</w:t>
      </w:r>
    </w:p>
    <w:p w14:paraId="236864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Приступлено к сдаче в производство чертежей отъемной части крыла. Закончен расчет хвостовой части фюзеляжа и начинается конструктивная разработка. Закончен расчет герметической кабины (2-й вариант) и разрабатывается ее конструкция.</w:t>
      </w:r>
    </w:p>
    <w:p w14:paraId="76E7F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осуществлении этого проекта имеются трудности следующего порядка.</w:t>
      </w:r>
    </w:p>
    <w:p w14:paraId="3D0A0E1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готового высотного мотора. Вопрос импеллера – новый вопрос и требует большой работы по его осуществлению</w:t>
      </w:r>
    </w:p>
    <w:p w14:paraId="45CBE7B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винта с поворотными лопастями. Необходимо разрешить задачу поворотной втулки к мотору М-34.</w:t>
      </w:r>
    </w:p>
    <w:p w14:paraId="3A8543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Новизна вопроса и отсутствие у нас опыта требуют специальных больших экспериментальных работ.</w:t>
      </w:r>
    </w:p>
    <w:p w14:paraId="2576A94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достаточного количества работников, что задерживает темп работы.</w:t>
      </w:r>
    </w:p>
    <w:p w14:paraId="54497F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Имеется еще много трудностей как например: получение вполне герметической кабины, осуществление вывода органов управления из кабины, сохранение при этом герметичности кабины, избежания вибрации крыла при конструировании крыла с большим удлинением и т.п., но они не являются непреодолимыми и их можно разрешить в порядке упорной конструкторской работы (7439, 136-147).</w:t>
      </w:r>
    </w:p>
    <w:p w14:paraId="22BCC3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ня 1 октября 1932 года:</w:t>
      </w:r>
    </w:p>
    <w:p w14:paraId="3E9450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Стратосферный самолет, проектируемый БНК, по своей схеме не отличается существенно от самолета нормального типа.</w:t>
      </w:r>
    </w:p>
    <w:p w14:paraId="5AE3D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Схема самолета.</w:t>
      </w:r>
    </w:p>
    <w:p w14:paraId="710A5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Аппарат представляет моноплан с низко расположенным крылом в 45 кв м несущей поверхности, общим полетным весом 2300 кг.</w:t>
      </w:r>
    </w:p>
    <w:p w14:paraId="35D751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все расчеты ведутся под мотор М17 (500НР), но может быть придется перейти на мотор М34.</w:t>
      </w:r>
    </w:p>
    <w:p w14:paraId="20624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хорошо освещенная и расположенная впереди крыла имеет 2 места тандем. Это расположение предоставляет экипажу прекрасный обзор вперед и вниз.</w:t>
      </w:r>
    </w:p>
    <w:p w14:paraId="766478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кабиной расположена винтомоторная группа, состоящая из мотора и металлического винта диаметром 4 м, приводящегося посредством гидравлической передачи. Винт расположен позади задней кромки крыла.</w:t>
      </w:r>
    </w:p>
    <w:p w14:paraId="07628F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Оперение моноплана поддерживается двумя расчлененными в плоскости балками, предназначенными для восприятия возникающих горизонтальных усилий как от вертикального оперения, так и при возникающем маневрировании полета.</w:t>
      </w:r>
    </w:p>
    <w:p w14:paraId="6B350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нормального типа, безосное, с широкой колеей, с тормозными колесами.</w:t>
      </w:r>
    </w:p>
    <w:p w14:paraId="6C7E84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Несущая поверхность.</w:t>
      </w:r>
    </w:p>
    <w:p w14:paraId="4CAAA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моноплана в 45 м кв. с удлинением десяти спроектировано на основе принятого профиля так, чтобы угол максимальной скорости на высоте 14000 м соответствовал максимальному качеству.</w:t>
      </w:r>
    </w:p>
    <w:p w14:paraId="497BA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состоит из центроплана – размахом 4,5 м и из двух трапецевидных открылков с аллиптическими концами.</w:t>
      </w:r>
    </w:p>
    <w:p w14:paraId="288C1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Листовая обшивка воспринимает разрывающие и скручивающие усилия. Обшивка верхней части крыла будет иметь двойные стенки для конденсации пара, выходящего из турбины.</w:t>
      </w:r>
    </w:p>
    <w:p w14:paraId="2068B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Кабина.</w:t>
      </w:r>
    </w:p>
    <w:p w14:paraId="6D8B2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непроницаемая кабина намечается из стали высокого сопротивления. Она набирается из комплекта шпангоутов, соединенных стрингерами, к которым электрически приварены стальные листы, образующие обшивку. Этот способ обеспечивает кабине прекрасную герметичность и в то же время простую конструкцию.</w:t>
      </w:r>
    </w:p>
    <w:p w14:paraId="0EB0A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Проходы тяг управления самолетом и мотором через стенки кабины осуществляются посредством воздушных цилиндров, поддерживаемых под постоянным давлением компрессора, приводимым в действие ветрянкой, расположенной под кабиной. Питание кабины воздухом будет происходить из баллонов, применяющихся при высотных полетах. Углекислота поглощается поглотителями типа, применяющегося в подводных лодках.</w:t>
      </w:r>
    </w:p>
    <w:p w14:paraId="29C4B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имеется вариант использовать компрессор мотора для питания кабины. Для обогревания кабины будет использован пар, выходящий из турбины.</w:t>
      </w:r>
    </w:p>
    <w:p w14:paraId="7B665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будет крепиться в 4-х точках. Такое устройство имеет цель – не подвергать кабину напряжениям, которые воспринимает планер, дабы не вызвать деформацию, нарушающую непроницаемость кабины.</w:t>
      </w:r>
    </w:p>
    <w:p w14:paraId="20D9D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Винтомоторная группа.</w:t>
      </w:r>
    </w:p>
    <w:p w14:paraId="5F76E4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Винтомоторная группа состоит, как было сказано, из мотора в 500 НР, форсируемого центробежным компрессором в несколько степеней. Последний приводится паровой турбиной, питаемой паром, производящимся с одной стороны от охлаждения мотора и с другой – выхлопными газами.</w:t>
      </w:r>
    </w:p>
    <w:p w14:paraId="6F176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Центробежный компрессор имеет две ступени. Первая действует от земли до 6500 м и приводится в движение паровой турбиной работающей паром, получаемым из котла, подогреваемого выхлопными газами.</w:t>
      </w:r>
    </w:p>
    <w:p w14:paraId="6EF4D3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Вторая ступень включается на высоте 6500 м и приводится в движение газовой турбиной на газу, отходящем от котла, в то время как при работе только первой ступени газы выбрасываются наружу.</w:t>
      </w:r>
    </w:p>
    <w:p w14:paraId="41639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приводит масляную помпу, действующую под давлением в 150/200 кг/м кв.</w:t>
      </w:r>
    </w:p>
    <w:p w14:paraId="244962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отношении винта расчеты показаны, что целесообразнее иметь винт с переменным числом оборотов, т.е. коробку скоростей. Вопрос специальный и до сих пор не имевший решения, почему результаты его предвидеть сейчас трудно.</w:t>
      </w:r>
    </w:p>
    <w:p w14:paraId="2E590C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большей обеспеченности разработан БНК эскизный проект винта с поворотными лопастями.</w:t>
      </w:r>
    </w:p>
    <w:p w14:paraId="2940B6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Данные самолета:</w:t>
      </w:r>
    </w:p>
    <w:p w14:paraId="32AC1B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Поверхность – 45 м кв.</w:t>
      </w:r>
    </w:p>
    <w:p w14:paraId="0F96C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полетный вес – 2300 кг</w:t>
      </w:r>
    </w:p>
    <w:p w14:paraId="258EF3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 500 НР</w:t>
      </w:r>
    </w:p>
    <w:p w14:paraId="78182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на м кв. – 51 кг/ м кв.</w:t>
      </w:r>
    </w:p>
    <w:p w14:paraId="50C5EC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на силу – 4,6 кг НР</w:t>
      </w:r>
    </w:p>
    <w:p w14:paraId="540B9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скорость у земли – 225 км/час</w:t>
      </w:r>
    </w:p>
    <w:p w14:paraId="5CD47D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на высоте 12000 м – 400 км/час</w:t>
      </w:r>
    </w:p>
    <w:p w14:paraId="5EEA8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на 12000 м – 50 минут</w:t>
      </w:r>
    </w:p>
    <w:p w14:paraId="66678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Теоретический потолок – 14500</w:t>
      </w:r>
    </w:p>
    <w:p w14:paraId="2C6C1B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полета – 2 часа</w:t>
      </w:r>
    </w:p>
    <w:p w14:paraId="4A5F8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работы</w:t>
      </w:r>
    </w:p>
    <w:p w14:paraId="4E776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октября 1932 года сделано следующее:</w:t>
      </w:r>
    </w:p>
    <w:p w14:paraId="55DE5C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Установлена конструкция крыла, центроплана и фермы, поддерживающей оперения. Сделан аэродинамический расчет. Построена испытательная станция для моторных установок. Спроектирован 1-й вариант котла и делается 2-й вариант. Разрабатывается коробка скоростей.</w:t>
      </w:r>
    </w:p>
    <w:p w14:paraId="4E892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предварительному плану в I квартале 1933 года должны быть закончены все расчеты и некоторые испытания по моторной части, результаты которых показать целесообразность выбранной схемы и определить дальнейшее направление в работе.</w:t>
      </w:r>
    </w:p>
    <w:p w14:paraId="7E58E3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четвертом квартале 1933 года машины предположены к выходу на аэродром (2304).</w:t>
      </w:r>
    </w:p>
    <w:p w14:paraId="331E25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90E5BB" w14:textId="65E4375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октября 1931 г. на старой площадке завода № 1 (ул. Правды, 8) после его разделения введен в эксплуатацию Московский завод № 32 (Завод № 32 НКТП, НКОП, НКАП, МАП, Кировского СНХ, Кировский машиностроительный завод (КМСЗ) «Маяк» им. XX партсъезда, Кировское машиностроительное ПО (КМПО) им. XX партсъезда, ФГУП «Вятское машиностроительное предприятие (ВМП) «Авитек», ОАО «ВМП «Авитек» РАКА /г. Москва ул. Правды, 8;</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Киров, Филейское ш./ /610047</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Киров Октябрьский пр., 1А тел. 23-25-22/). При окончательном переводе авиационного производства завода № 1 на новую площадку у Ходынки в 1933 г. заводу № 32 передана основная часть площадей. В 1934 г. - в ведении ГУАП НКТП, в 02.1937- 12.1938 г. - в ведении 1ГУ НКОП.</w:t>
      </w:r>
    </w:p>
    <w:p w14:paraId="1FCA0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оружейных установок. В первое время выпускал также радиаторы и колеса, затем это производство передано на завод № 34.</w:t>
      </w:r>
    </w:p>
    <w:p w14:paraId="25B030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построены два планера Г-5 конструкции Г.Ф. Грошова.</w:t>
      </w:r>
    </w:p>
    <w:p w14:paraId="73446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0188 от 2.09.1937 г. на завод с завода № 173 передано производство «носовой спарки» для самолета СБ. Необходимо было «изготовить до конца года 200 шт. спарок; организовать спеццех по их производству; освободить не менее половины производственной площади, занимаемой на заводе № 32 древцехом завода № 1; освободить гараж завода № 32 для организации кузнечного и термического цехов со сдачей к 1.01.1938 г. Для освоения производства на завод перевести 30 технологов и конструкторов из Гипроавиа и Оргаметалла». Приказом № 23сс от 26.01.1940 г. заводу предписано выпустить 1400 турелей МВ-3.</w:t>
      </w:r>
    </w:p>
    <w:p w14:paraId="21910A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45850EF" w14:textId="48846ED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начала 1940-х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 32 был единственным специализированным предприятием по установкам авиационного вооружения. С началом ВОВ началось форсированное расширение производства (планировалось даже передать заводу на правах филиалов заводы № 289 и № 290 для производства агрегатов вооружения).</w:t>
      </w:r>
    </w:p>
    <w:p w14:paraId="5B25C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 32 в 1938 г. образован Опытный отдел по вооружению самолетов с бригадами из специалистов ЦАГИ и ВВА им. Жуковского (которые действовали с 1936 г.), которые далее преобразованы в четыре КБ.</w:t>
      </w:r>
    </w:p>
    <w:p w14:paraId="5276B1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опытного цеха- В.Н. Терехов, затем- М.Я. Горелик.</w:t>
      </w:r>
    </w:p>
    <w:p w14:paraId="2E946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20.07.1940 г. по приказу № 383с от 30.07.1940 г. образован филиал завода- Завод им. КП Г. Начальник филиала (07.1940 г.-)- Самсонов, (-10.1940 г.)- М.Я. Горелик. По приказу № 269с от 25.03.1941 г. филиал завода № 32 был с 1.04.1941 г. преобразован в самостоятельный ГС завод № 487 им. КП Г.</w:t>
      </w:r>
    </w:p>
    <w:p w14:paraId="0F6492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завода № 32 в 1940 г. переведена группа работников в помощь новому заводу № 454 НКАП.</w:t>
      </w:r>
    </w:p>
    <w:p w14:paraId="2066F954" w14:textId="2C6BA7A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w:t>
      </w:r>
      <w:r w:rsidRPr="00E93F40">
        <w:rPr>
          <w:rFonts w:ascii="Times New Roman" w:hAnsi="Times New Roman"/>
          <w:color w:val="000000" w:themeColor="text1"/>
          <w:sz w:val="16"/>
          <w:szCs w:val="16"/>
          <w:lang w:val="en-US"/>
        </w:rPr>
        <w:t>MB</w:t>
      </w:r>
      <w:r w:rsidRPr="00E93F40">
        <w:rPr>
          <w:rFonts w:ascii="Times New Roman" w:hAnsi="Times New Roman"/>
          <w:color w:val="000000" w:themeColor="text1"/>
          <w:sz w:val="16"/>
          <w:szCs w:val="16"/>
        </w:rPr>
        <w:t>). До начала войны на заводе под руководством Архангельского доводился и испытывался бомбардировщик СБ-Б1 («Б»), По приказу № 738сс от 24.07.1941 г. планировалось эвакуировать завод № 32 2ГУ НКАП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Омск, но затем по приказу № 1053сс от 9.10.1941 г. принято решение о эвакуации завода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Киров на площадку строящегося завода №315 2ГУ НКАП. Эвакуация прошла в два этапа, в результате образован объединенный завод № 32 НКАП. В 11.1941 г. завод уже развернул производство на новом месте.</w:t>
      </w:r>
    </w:p>
    <w:p w14:paraId="2977DF10" w14:textId="33B076B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1073с от 20.10.1941 г. на площадке эвакуированного завода в Москве организованы Ремонтные мастерские по установкам вооружения при Ремотделе НКАП. Далее- это Московский филиал завода № 32 (директор- М.В. Дворкин). А уже с 12.1941 г. начало восстанавливаться производство и пост. ГКО № 1053 от 23.12.1941 г. образован новый завод по агрегатам вооружения № 43 НКАП. Из</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Кирова для формирования нового завода переданы часть оборудования и часть коллектива.</w:t>
      </w:r>
    </w:p>
    <w:p w14:paraId="76B53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1943 г. заводу № 32 были переданы помещения ОКБ завода № 266 в Кирове после его перебазирования в Москву.</w:t>
      </w:r>
    </w:p>
    <w:p w14:paraId="201611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СМ СССР № 713-342 от 26.06.1957 г. передан в ведение СНХ РСФСР.</w:t>
      </w:r>
    </w:p>
    <w:p w14:paraId="09AA7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1960 г. развернуто производство ЗУР. В 12.1986 г. принято решение о передаче на завод производства УРВП Х-5 5 с Харьковского авиазавода.</w:t>
      </w:r>
    </w:p>
    <w:p w14:paraId="6C9A5FDD" w14:textId="4A0B24C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1950-е-60-е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заводе действовал филиал ОКБ-2 (МКБ «Факел»).</w:t>
      </w:r>
    </w:p>
    <w:p w14:paraId="795C9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 КМПО входили наряду с филиалами дочерние предприятия: «Мураши», Гирсовский завод пиротехнических средств (ГЗПС).</w:t>
      </w:r>
    </w:p>
    <w:p w14:paraId="6FA6A16F" w14:textId="0517C4E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1990 г. КМПО им. XX партсъезда переименовано в «Вятское машиностроительное предприятие (ВМП) «АВИТЕК» С 1999 г.- ФГУП «ВМП «Авитек». По Указу Президента РФ № 412 от 23.04.2002 года, постановлению Правительства РФ № 480 от 28.06.2002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предприятие приватизировано и 4.10.2002 г. преобразовано в ОАО «ВМП «Авитек». С 2002 г. входит в состав Концерна ПВО «Алмаз-Антей». По Указу Президента РФ № 1009 от 4.08.2004 г. вошло в число стратегических оборонных предприятий.</w:t>
      </w:r>
    </w:p>
    <w:p w14:paraId="668C0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(2002 г.) ЗУР; катапультные кресла; грузоподъемное оборудование самолетов (лебедки); установки стрелково-пушечного вооружения, балочные держатели и замки для бомб и ПУ; стиральные машины; дизельные двигатели, сельскохозяйственные машины.</w:t>
      </w:r>
      <w:r w:rsidRPr="00E93F40">
        <w:rPr>
          <w:rFonts w:ascii="Times New Roman" w:hAnsi="Times New Roman"/>
          <w:color w:val="000000" w:themeColor="text1"/>
          <w:sz w:val="16"/>
          <w:szCs w:val="16"/>
          <w:vertAlign w:val="superscript"/>
        </w:rPr>
        <w:t>69</w:t>
      </w:r>
    </w:p>
    <w:p w14:paraId="25CDF0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(2002 г.)- 6000 чел.</w:t>
      </w:r>
    </w:p>
    <w:p w14:paraId="688B9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(-19.06.1937 г.)- В.Л. Янишевский, (19.06.1937-41 г.)- М.С. Жезлов, (1941 г.)- И.А. Соколов, (1941- 05.1943 г.-)- С.Л. Ребенко, (1944 г.)- С.А. Горюнов, (1966 г.)- В.А. Сутырин. Гендиректор (1996 г.)- Б.Б. Попов, С.М. Большаков, (-2002-04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Смердов, (2005 г.)- Б.В. Кушов.</w:t>
      </w:r>
      <w:r w:rsidRPr="00E93F40">
        <w:rPr>
          <w:rFonts w:ascii="Times New Roman" w:hAnsi="Times New Roman"/>
          <w:color w:val="000000" w:themeColor="text1"/>
          <w:sz w:val="16"/>
          <w:szCs w:val="16"/>
          <w:vertAlign w:val="superscript"/>
        </w:rPr>
        <w:t>101</w:t>
      </w:r>
    </w:p>
    <w:p w14:paraId="4EF7C8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(-1939-40 г.-)- В.Ф. Ульянов. Зам. Гендиректора: по МТС (2002 г.)- А.В. Носков; по производству (2002 г.)- А.В. Бажин; по экономике (2002 г.)- В.Л. Богданов; по сбыту, торговле и строительству (2002 г.)- В.И. Симахин; по ВЭД и развитию предприятия (2004 г.)- М.И. Гозман; по качеству (2004 г.)- Н.А. Романов; по кадрам, соцкультбыту и безопасности (2004 г.)- Б.В. Кушов. Помощник директора по найму и увольнению (-11.09.1937 г.)- Ф.В. Левин, (11.09.1937 г.-)- И.И. Мартынов.</w:t>
      </w:r>
    </w:p>
    <w:p w14:paraId="12C1AC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(-3.08.1937 г.)- В.Ф. Багрий, (03.1938 г.)- Н.И. Сысоев.</w:t>
      </w:r>
    </w:p>
    <w:p w14:paraId="2AF543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(-1939-40 г.-)- А.Ф. Гостинцев, А.Б. Рубинштейн, (2004 г.)- В.И. Зорин.</w:t>
      </w:r>
    </w:p>
    <w:p w14:paraId="1E3BE8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(11.1938 г.)- Шебанов, В.А. Шмелев (был начальником цеха на заводе № 32 в Москве), (-1996- 2002 г.-)- О.Н. Жарый.</w:t>
      </w:r>
    </w:p>
    <w:p w14:paraId="7B4FF4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Зам. Гл. конструктора (2003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Горн.</w:t>
      </w:r>
    </w:p>
    <w:p w14:paraId="4550F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металлург (1960-е)- В. Хапилин.</w:t>
      </w:r>
    </w:p>
    <w:p w14:paraId="4E4E7F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технолога (1960-е)- А. Юркус.</w:t>
      </w:r>
    </w:p>
    <w:p w14:paraId="34818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цеха: (1938 г.)- А.И. Резинкин.</w:t>
      </w:r>
    </w:p>
    <w:p w14:paraId="69104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торпедодержатели: ТД-32 для ДБ-3 (1939); кассетные бомбодержатели: КД-3, КД-2-438, КД-1-038 для ББ-1, КД-2-439 для ТБ-7 и ББ-22; держатели: Дер-31, Дер-32, Дер-34; установки вооружения: КД-3-240, КБ-2- 240 для ДБ-240, НУДБ-3 для Че-2; замки: МД-2-40, АСШ-340; лебедки: БЛ-3, БЛ-4 (перед и во время ВОВ); турели: ТУР-9 для «СБ», УТК-1 с пулеметом УБТ для Ли-2 (1942); мишени: РМ-5В27 «Пищаль» на базе ЗУР В- 60, «Саман» 9Ф841 на базе 9МЗЗ .</w:t>
      </w:r>
      <w:r w:rsidRPr="00E93F40">
        <w:rPr>
          <w:rFonts w:ascii="Times New Roman" w:hAnsi="Times New Roman"/>
          <w:color w:val="000000" w:themeColor="text1"/>
          <w:sz w:val="16"/>
          <w:szCs w:val="16"/>
          <w:vertAlign w:val="superscript"/>
        </w:rPr>
        <w:t>58</w:t>
      </w:r>
    </w:p>
    <w:p w14:paraId="300A5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Производство: прицелы: ПМП-3 (1937), бомбардировочные ПС-1 (ОПБ-21), ОПБ-2, ОПБ-21, НКПБ-З; стрелковые МПТ-1, ОПТ-2 (К-8Т), ОП-2Л (ВОВ); МОП, МСШ (1938); направляющие для НУР М-8; НУР РО-82 (изд. 2РУ-223, 1941-); запчасти для Р-5, </w:t>
      </w:r>
      <w:r w:rsidRPr="00E93F40">
        <w:rPr>
          <w:rFonts w:ascii="Times New Roman" w:hAnsi="Times New Roman"/>
          <w:color w:val="000000" w:themeColor="text1"/>
          <w:sz w:val="16"/>
          <w:szCs w:val="16"/>
          <w:lang w:val="en-US"/>
        </w:rPr>
        <w:t>P</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Z</w:t>
      </w:r>
      <w:r w:rsidRPr="00E93F40">
        <w:rPr>
          <w:rFonts w:ascii="Times New Roman" w:hAnsi="Times New Roman"/>
          <w:color w:val="000000" w:themeColor="text1"/>
          <w:sz w:val="16"/>
          <w:szCs w:val="16"/>
        </w:rPr>
        <w:t>, И-153 (1941); держатели Дер-31 (1938), Дер-19 и Дер-21 для Пе-2 и Ил-4, торпедодержатель ТД-32; замки МД-3-40; стрелковая установка ВУБ-1 (Б-270) для Пе-2; сбрасыватели АСШЛ-340, ЭСБР-Зп (ВОВ); турели ТУР-9, МВ-2, МВ-3 (1940), МВ-5; лебедки БЛ-3, БЛ-4; (после войны) замки к держателям БД-3-58-21, АПУ-19, АПУ-20; лебедки: БЛ-47 (1949), БЛ-56, БЛ-47М, СЛГ-1500, СЛГ-300, ГК-3000, ЛПГ-1500А (2002); стрелковые установки: кормовая Ил-Кб для Ил-28 (1949), кормовая УКУ-9К-502 для Ту-22М (1970-е); УРВБ: РС-2-УС; ЗУР: В-600П (I960-), 5В24 (I960-), 4К90 (I960-), В-601, В-611, В-625 для С-125; 5В27 (1964-), 9МЗЗ для ЗРК «Оса» (1964-88), 9МЗЗМ2, 4К60, 9М330 (1981-), 9</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33</w:t>
      </w:r>
      <w:r w:rsidRPr="00E93F40">
        <w:rPr>
          <w:rFonts w:ascii="Times New Roman" w:hAnsi="Times New Roman"/>
          <w:color w:val="000000" w:themeColor="text1"/>
          <w:sz w:val="16"/>
          <w:szCs w:val="16"/>
          <w:lang w:val="en-US"/>
        </w:rPr>
        <w:t>I</w:t>
      </w:r>
      <w:r w:rsidRPr="00E93F40">
        <w:rPr>
          <w:rFonts w:ascii="Times New Roman" w:hAnsi="Times New Roman"/>
          <w:color w:val="000000" w:themeColor="text1"/>
          <w:sz w:val="16"/>
          <w:szCs w:val="16"/>
        </w:rPr>
        <w:t>мишень 9М334; УРВП: Х-55 (1987-); стартовые и маршевые ПРД для В-625; кресла катапультные КМ-1, К-36 (1971-2002-), К-10 и К-12 (2002) для Ми-34; стреляющий механизм КСМ;</w:t>
      </w:r>
    </w:p>
    <w:p w14:paraId="18BD23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компрессор ДХ-2 для бытовых холодильников (1950-е-90-е); малогабаритные дизельные двигатели ВСН-Д (1990-е), СН-6Д (2002); стиральная машина «Мини-Вятка» (1990-е), СМ-1,5 (2002) (11982).</w:t>
      </w:r>
    </w:p>
    <w:p w14:paraId="2AFEB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DDE87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12C2C7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B3C3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октября 1932 г. в трех эскадрильях в Монино насчитывалось 10 ТБ-3, в Ржев не поступил ни один, шесть оказались в Воронеже и еще 13 перегнали по воздуху на Дальний Восток. Перелет на такое расстояние в те времена выглядел достаточно сложным. Командовал перегонкой С-А.Шестаков, тот самый, который слетал в Америку на «Стране Советов». На различных этапах ТБ-3 держались в воздухе до 12-14 часов.</w:t>
      </w:r>
    </w:p>
    <w:p w14:paraId="294CC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формирование тяжелобомбардировочных авиабригад началось уже в первые месяцы 1932 г., основной тактической единицей ВВС РККА в то время еще продолжала оставаться эскадрилья. По штату ей полагалось иметь 12 ТБ-3 плюс три Р-5 для тренировки и связи. Укомплектование одной тяжелобомбардировочной эскадрильи обходилось примерно в 8 миллионов рублей. Уже по этому к пилотам тяжелых бомбардировщиков предъявляли очень высокие требования. Они обязательно должны были налетать значительное количество часов на Р-5 и ТБ-1, причем на последнем - на правом и левом сиденьях. Затем полагалось 18 полетов с инструктором на ТБ-3. Командирам самолетов, кроме этого, предписывались длительные тренировки на правом сиденье ТБ-3 в качестве вторых пилотов. И вдобавок командиру предъявлялось требование о наличии партийного стажа.</w:t>
      </w:r>
    </w:p>
    <w:p w14:paraId="00707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практике оказалось, что эта сложная и громоздкая система сдерживает освоение новых бомбардировщиков. Нужного количества пилотов, соответствующих всем требованиям, просто не оказалось. Да и тех, кого нашли, пришлось пропускать через долгую процедуру тренировок. В результате вскоре боеспособных самолетов стало существенно больше, чем подготовленного летного состава. Кроме этого, длительное обучение поглощало моторесурс и горючее. Пришлось понизить требования по налету и сократить программу тренировок, поскольку к 1 января 1933 г. требовалось по плану подготовить 200 экипажей,</w:t>
      </w:r>
    </w:p>
    <w:p w14:paraId="76D91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Тяжелобомбардировочная бригада полного состава имела четыре эскадрильи ТБ-3 (всего 49 машин), эскадрилью «крейсеров» Р-6 (12 самолетов) для дальнего сопровождения и разведки и эскадрилью истребителей И-5 (31 штуку) для прикрытия аэродромов и эскорта близ линии фронта. Таким образом, создавалась стройная структура стратегической авиации. Все это делалось впервые в мире. Бригады обычно сначала формировались из двух эскадрилий, а потом разворачивались до полного состава (7668).</w:t>
      </w:r>
    </w:p>
    <w:p w14:paraId="018D40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C13347" w14:textId="77777777" w:rsidR="00C200E4" w:rsidRPr="00E93F40" w:rsidRDefault="00C200E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октября 1932 г. в трёх эскадрильях в Монино на</w:t>
      </w:r>
      <w:r w:rsidRPr="00E93F40">
        <w:rPr>
          <w:rFonts w:ascii="Times New Roman" w:hAnsi="Times New Roman"/>
          <w:color w:val="000000" w:themeColor="text1"/>
          <w:sz w:val="16"/>
          <w:szCs w:val="16"/>
        </w:rPr>
        <w:softHyphen/>
        <w:t>считывалось 10 ТБ-3, в Ржев не по</w:t>
      </w:r>
      <w:r w:rsidRPr="00E93F40">
        <w:rPr>
          <w:rFonts w:ascii="Times New Roman" w:hAnsi="Times New Roman"/>
          <w:color w:val="000000" w:themeColor="text1"/>
          <w:sz w:val="16"/>
          <w:szCs w:val="16"/>
        </w:rPr>
        <w:softHyphen/>
        <w:t>ступил ни один, шесть оказались в Воронеже и ещё 13 перегнали по воздуху на Дальний Восток Надо сказать, что перелёт на такое рас</w:t>
      </w:r>
      <w:r w:rsidRPr="00E93F40">
        <w:rPr>
          <w:rFonts w:ascii="Times New Roman" w:hAnsi="Times New Roman"/>
          <w:color w:val="000000" w:themeColor="text1"/>
          <w:sz w:val="16"/>
          <w:szCs w:val="16"/>
        </w:rPr>
        <w:softHyphen/>
        <w:t>стояние в те времена выглядел до</w:t>
      </w:r>
      <w:r w:rsidRPr="00E93F40">
        <w:rPr>
          <w:rFonts w:ascii="Times New Roman" w:hAnsi="Times New Roman"/>
          <w:color w:val="000000" w:themeColor="text1"/>
          <w:sz w:val="16"/>
          <w:szCs w:val="16"/>
        </w:rPr>
        <w:softHyphen/>
        <w:t>статочно сложным. Командовал пе</w:t>
      </w:r>
      <w:r w:rsidRPr="00E93F40">
        <w:rPr>
          <w:rFonts w:ascii="Times New Roman" w:hAnsi="Times New Roman"/>
          <w:color w:val="000000" w:themeColor="text1"/>
          <w:sz w:val="16"/>
          <w:szCs w:val="16"/>
        </w:rPr>
        <w:softHyphen/>
        <w:t>регонкой СА Шестаков, тот самый, который слетал в Америку на «Стра</w:t>
      </w:r>
      <w:r w:rsidRPr="00E93F40">
        <w:rPr>
          <w:rFonts w:ascii="Times New Roman" w:hAnsi="Times New Roman"/>
          <w:color w:val="000000" w:themeColor="text1"/>
          <w:sz w:val="16"/>
          <w:szCs w:val="16"/>
        </w:rPr>
        <w:softHyphen/>
        <w:t>не Советов». На различных этапах ТБ-3 держались в воздухе до 12 ча</w:t>
      </w:r>
      <w:r w:rsidRPr="00E93F40">
        <w:rPr>
          <w:rFonts w:ascii="Times New Roman" w:hAnsi="Times New Roman"/>
          <w:color w:val="000000" w:themeColor="text1"/>
          <w:sz w:val="16"/>
          <w:szCs w:val="16"/>
        </w:rPr>
        <w:softHyphen/>
        <w:t>сов. 7 ноября два бомбардировщика 105-й тяжелобомбардировочной эскадрильи (тбаэ) впечатляюще проплыли над Хабаровском в со</w:t>
      </w:r>
      <w:r w:rsidRPr="00E93F40">
        <w:rPr>
          <w:rFonts w:ascii="Times New Roman" w:hAnsi="Times New Roman"/>
          <w:color w:val="000000" w:themeColor="text1"/>
          <w:sz w:val="16"/>
          <w:szCs w:val="16"/>
        </w:rPr>
        <w:softHyphen/>
        <w:t>провождении пятерки Р-6 (23469).</w:t>
      </w:r>
    </w:p>
    <w:p w14:paraId="49D92B5F" w14:textId="77777777" w:rsidR="00C200E4" w:rsidRPr="00E93F40" w:rsidRDefault="00C200E4" w:rsidP="00E93F40">
      <w:pPr>
        <w:spacing w:after="0" w:line="240" w:lineRule="auto"/>
        <w:jc w:val="both"/>
        <w:rPr>
          <w:rFonts w:ascii="Times New Roman" w:hAnsi="Times New Roman"/>
          <w:color w:val="000000" w:themeColor="text1"/>
          <w:sz w:val="16"/>
          <w:szCs w:val="16"/>
        </w:rPr>
      </w:pPr>
    </w:p>
    <w:p w14:paraId="23020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октября 1932 г. в трех эскадрильях в Монино насчитывалось 10 ТБ-3, в Ржев не поступил ни один, шесть оказались в Воронеже и еще 13 перегнали по воздуху на Дальний Восток. Надо сказать, что перелет на такое расстояние в те времена выглядел достаточно сложным. Командовал перегонкой С.А. Шестаков, тот самый, который слетал в Америку на "Стране Советов". На различных этапах маршрута ТБ-3 держались в воздухе до 12 - 14 часов. 7 ноября два бомбардировщика 105-й тяжелобомбардировочной эскадрильи гордо проплыли над Хабаровском в сопровождении пятерки Р-6 (12024).</w:t>
      </w:r>
    </w:p>
    <w:p w14:paraId="1F302A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C88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октября 1932 г. в трех эскадрильях в Монино насчитывалось 10 ТБ-3, в Ржев не поступил ни один, шесть оказались в Воронеже и еще 13 перегнали по воздуху на Дальний Восток. Надо сказать, что перелет на такое расстояние в те времена выглядел достаточно сложным. Командовал перегонкой С.А. Шестаков, тот самый, который слетал в Америку на "Стране Советов". На различных этапах маршрута ТБ-3 держались в воздухе до 12-14 часов. 7 ноября два бомбардировщика 105-й тяжелобомбардировочной эскадрильи (тбаэ) гордо проплыли над Хабаровском в сопровождении пятерки Р-6 (12036).</w:t>
      </w:r>
    </w:p>
    <w:p w14:paraId="48A8F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C15200" w14:textId="77777777" w:rsidR="006260CD" w:rsidRPr="00142305" w:rsidRDefault="006260CD" w:rsidP="006260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октября 1932 г. в трех эс</w:t>
      </w:r>
      <w:r w:rsidRPr="00142305">
        <w:rPr>
          <w:rFonts w:ascii="Times New Roman" w:hAnsi="Times New Roman"/>
          <w:color w:val="0070C0"/>
          <w:sz w:val="16"/>
          <w:szCs w:val="16"/>
        </w:rPr>
        <w:softHyphen/>
        <w:t>кадрильях в Монино насчитывалось десять ТБ-3, в Ржев не поступил ни один, шесть оказались в Воронеже и еще 13 перегнали по воздуху на Дальний Восток. Надо ска</w:t>
      </w:r>
      <w:r w:rsidRPr="00142305">
        <w:rPr>
          <w:rFonts w:ascii="Times New Roman" w:hAnsi="Times New Roman"/>
          <w:color w:val="0070C0"/>
          <w:sz w:val="16"/>
          <w:szCs w:val="16"/>
        </w:rPr>
        <w:softHyphen/>
        <w:t>зать, что перелет на такое расстояние в те времена выглядел достаточно сложным. Командовал перегонкой С.А. Шестаков, тот самый, который слетал в Америку на «Стране Советов». На различных этапах ТБ-3 держались в воздухе до 12 - 14 часов. 7 ноября два бомбардировщика 105-й тбаэ гордо проплыли над Хабаровском в сопро</w:t>
      </w:r>
      <w:r w:rsidRPr="00142305">
        <w:rPr>
          <w:rFonts w:ascii="Times New Roman" w:hAnsi="Times New Roman"/>
          <w:color w:val="0070C0"/>
          <w:sz w:val="16"/>
          <w:szCs w:val="16"/>
        </w:rPr>
        <w:softHyphen/>
        <w:t>вождении пятерки Р-6. Но к 27 октября ВВС успели принять уже 93 ТБ-3, из которых один успел разбиться в катастрофе (24838).</w:t>
      </w:r>
    </w:p>
    <w:p w14:paraId="5A73B5F8" w14:textId="77777777" w:rsidR="006260CD" w:rsidRPr="00142305" w:rsidRDefault="006260CD" w:rsidP="006260CD">
      <w:pPr>
        <w:spacing w:after="0" w:line="240" w:lineRule="auto"/>
        <w:jc w:val="both"/>
        <w:rPr>
          <w:rFonts w:ascii="Times New Roman" w:hAnsi="Times New Roman"/>
          <w:color w:val="0070C0"/>
          <w:sz w:val="16"/>
          <w:szCs w:val="16"/>
        </w:rPr>
      </w:pPr>
    </w:p>
    <w:p w14:paraId="147F8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октября 1930 г. в ВВС насчитывалось всего 19 новых бипланов. Но количество Р-5 быстро росло. Летом 1931 г. они впервые приняли участие в больших маневрах на территории Украины, а в сентябре произошло и боевое крещение нового разведчика. Два самолета, прибывшие в 16-ю бригаду, включили в состав Туркменской авиагруппы, сформированной для действий против басмачей в районе Кызыл-Арвата. Р-5 использовались как командирские машины. Основная тяжесть боевой работы легла на старые Р-ЗЛД, но и Р-5 участвовали в налетах на банды у колодцев Огуз-Кулоч и Огуз-Каюсы. Они сбрасывали мелкие бомбы и обстреливали басмачей из пулеметов. Впоследствии Р-5 еще неоднократно привлекались к борьбе с "врагом внутренним". Так, в апреле 1932 г. отряд во главе с уже упоминаемым Назарчуком (девять Р-ЗЛД и один Р-5) перебросили в Туркмению, где он участвовал в боях с басмачами у оз. Зайсан (11936).</w:t>
      </w:r>
    </w:p>
    <w:p w14:paraId="7A851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566748" w14:textId="77777777" w:rsidR="00EC0BF1" w:rsidRPr="00E93F40" w:rsidRDefault="00EC0B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1 октября </w:t>
      </w:r>
      <w:r w:rsidRPr="00E93F40">
        <w:rPr>
          <w:rFonts w:ascii="Times New Roman" w:hAnsi="Times New Roman"/>
          <w:color w:val="000000" w:themeColor="text1"/>
          <w:sz w:val="16"/>
          <w:szCs w:val="16"/>
        </w:rPr>
        <w:t>в 1932 году в Москве на базе факультета моторизации и механизации Военно-технической академии имени Ф.Э.Дзержинского и Московского автотракторного института имени М.В.Ломоносова создана Военная академия механизации и моторизации Красной Армии. С 1954 г.— Военная академия бронетанковых войск. В 1967 г. академии присвоено имя Маршала Советского Союза Р.Я.Малиновского (14786).</w:t>
      </w:r>
    </w:p>
    <w:p w14:paraId="33C52912" w14:textId="77777777" w:rsidR="00EC0BF1" w:rsidRPr="00E93F40" w:rsidRDefault="00EC0BF1" w:rsidP="00E93F40">
      <w:pPr>
        <w:spacing w:after="0" w:line="240" w:lineRule="auto"/>
        <w:jc w:val="both"/>
        <w:rPr>
          <w:rFonts w:ascii="Times New Roman" w:hAnsi="Times New Roman"/>
          <w:color w:val="000000" w:themeColor="text1"/>
          <w:sz w:val="16"/>
          <w:szCs w:val="16"/>
        </w:rPr>
      </w:pPr>
    </w:p>
    <w:p w14:paraId="40A3176D" w14:textId="77777777" w:rsidR="006260CD" w:rsidRPr="00142305" w:rsidRDefault="006260CD" w:rsidP="006260C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1 октября 1932 г. в РККА состояло уже 10291 автомобиль (в том числе 2068 легковых 6438 грузовых и 1786 специальных) и 1986 тракторов. Однако все тракторы были сель</w:t>
      </w:r>
      <w:r w:rsidRPr="00142305">
        <w:rPr>
          <w:rStyle w:val="aff"/>
          <w:rFonts w:ascii="Times New Roman" w:hAnsi="Times New Roman" w:cs="Times New Roman"/>
          <w:color w:val="0070C0"/>
          <w:spacing w:val="0"/>
          <w:sz w:val="16"/>
          <w:szCs w:val="16"/>
        </w:rPr>
        <w:softHyphen/>
        <w:t>скохозяйственного типа. Специальных тягачей тогда у нас еще не существовало (25436).</w:t>
      </w:r>
    </w:p>
    <w:p w14:paraId="4BC68B30" w14:textId="77777777" w:rsidR="006260CD" w:rsidRPr="00142305" w:rsidRDefault="006260CD" w:rsidP="006260CD">
      <w:pPr>
        <w:spacing w:after="0" w:line="240" w:lineRule="auto"/>
        <w:jc w:val="both"/>
        <w:rPr>
          <w:rFonts w:ascii="Times New Roman" w:hAnsi="Times New Roman"/>
          <w:color w:val="0070C0"/>
          <w:sz w:val="16"/>
          <w:szCs w:val="16"/>
        </w:rPr>
      </w:pPr>
    </w:p>
    <w:p w14:paraId="2DC5714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0A98880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8A7C525" w14:textId="77777777" w:rsidR="00EC0BF1" w:rsidRPr="00E93F40" w:rsidRDefault="00EC0B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Введена единая форма для почтальонов: черные костюмы и черные шапки с козырьком. На темно-синих воротниках - петлица с указанием городского почтового отделения и номера почтальона (18723).</w:t>
      </w:r>
    </w:p>
    <w:p w14:paraId="7742EA4A" w14:textId="77777777" w:rsidR="00EC0BF1" w:rsidRPr="00E93F40" w:rsidRDefault="00EC0BF1" w:rsidP="00E93F40">
      <w:pPr>
        <w:spacing w:after="0" w:line="240" w:lineRule="auto"/>
        <w:jc w:val="both"/>
        <w:rPr>
          <w:rFonts w:ascii="Times New Roman" w:hAnsi="Times New Roman"/>
          <w:color w:val="000000" w:themeColor="text1"/>
          <w:sz w:val="16"/>
          <w:szCs w:val="16"/>
        </w:rPr>
      </w:pPr>
    </w:p>
    <w:p w14:paraId="5D230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в Ленинграде была введена в строй первая автоматическая телефонная станция (Петроградский телефонный узел) (3481).</w:t>
      </w:r>
    </w:p>
    <w:p w14:paraId="24F0E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8FE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была введена в строй первая в городе автоматическая телефонная станция (ныне Петроградский телефонный узел). Первая телефонная станция в Петербурге располагалась на Невском, 26: она обслуживалась телефонистами и была рассчитана на 128 номеров. Очень скоро выяснилось, что девушки лучше справляются с обязанностями оператора телефонной станции. Так появилось знаменитое обращение "Барышня, барышня!!!". В эпоху, когда женщины еще только боролись за свои права, это было крупным достижением. Ну, а в 30-е годы начался медленный переход на автоматическую телефонную связь. Впрочем междугородные и международные переговоры еще совсем недавно велись при помощи телефонисток (10739).</w:t>
      </w:r>
    </w:p>
    <w:p w14:paraId="541C903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D5A5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 и 6 октября 1932. Из протокола заседания Политбюро № 117, 1932 г.</w:t>
      </w:r>
    </w:p>
    <w:p w14:paraId="2D292B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организации Высших Коммунистических Сельскохозяйственных Школ </w:t>
      </w:r>
    </w:p>
    <w:p w14:paraId="1F6F0B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Реорганизовать существующие коммунистические университеты, за исключением КУТВ (Коммунистический университет трудящихся Востока. - "Власть") и КУНМЗ (Коммунистический университет национальных меньшинств Запада. - "Власть"), в Высшие Коммунистические Сельскохозяйственные Школы. </w:t>
      </w:r>
    </w:p>
    <w:p w14:paraId="02164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Поставить в качестве основной задачи Высших Коммунистических Сельскохозяйственных Школ задачу подготовки руководящих работников машинно-тракторных станций, совхозов и колхозов по зерну, животноводству, хлопку, свекле, льну, чаю (директора МТС и их заместители, заведующие отделениями МТС и совхозов... и т. п.) и руководящих районных партийных и советских работников. </w:t>
      </w:r>
    </w:p>
    <w:p w14:paraId="2BE2E3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В связи с этим организовать в Высших Коммунистических Сельскохозяйственных Школах два отделения: </w:t>
      </w:r>
    </w:p>
    <w:p w14:paraId="3A42D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первое отделение, готовящее руководящих работников для машинно-тракторных станций, совхозов и колхозов (с двухгодичным курсом обучения); </w:t>
      </w:r>
    </w:p>
    <w:p w14:paraId="30582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второе отделение, готовящее руководящих работников для партийных и советских организаций (с трехгодичным курсом обучения) с тем, чтобы программа специального образования для второго отделения была та же, что и для первого отделения, но с более развернутым курсом ленинизма. </w:t>
      </w:r>
    </w:p>
    <w:p w14:paraId="3FF4D6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Установить общий контингент приема в 1932-33 году для всей сети Высших Коммунистических Сельскохозяйственных Школ в количестве 12 000 человек. </w:t>
      </w:r>
    </w:p>
    <w:p w14:paraId="2EC69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для слушателей... стипендии в размере 250 рублей в месяц (11652).</w:t>
      </w:r>
    </w:p>
    <w:p w14:paraId="147874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288A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 и 6 октября 1932. Из протокола заседания Политбюро № 117, 1932 г.</w:t>
      </w:r>
    </w:p>
    <w:p w14:paraId="6A4D4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Никольских и Ильинских воротах </w:t>
      </w:r>
    </w:p>
    <w:p w14:paraId="324A4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Разрешить Московскому Совету разобрать Никольские и Ильинские ворота Китайгородской стены (11652).</w:t>
      </w:r>
    </w:p>
    <w:p w14:paraId="678352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F8D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 и 6 октября 1932. Из протокола заседания Политбюро № 117, 1932 г.</w:t>
      </w:r>
    </w:p>
    <w:p w14:paraId="6C19A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освобождении от призыва рабочих рыбной промышленности на Дальнем Востоке </w:t>
      </w:r>
    </w:p>
    <w:p w14:paraId="305F2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Освободить от призыва 800 рабочих рыбной промышленности на Дальнем Востоке (11652).</w:t>
      </w:r>
    </w:p>
    <w:p w14:paraId="4DEB51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91DF3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lang w:val="en-US"/>
        </w:rPr>
      </w:pPr>
      <w:r w:rsidRPr="00E93F40">
        <w:rPr>
          <w:rFonts w:ascii="Times New Roman" w:hAnsi="Times New Roman"/>
          <w:i/>
          <w:iCs/>
          <w:color w:val="000000" w:themeColor="text1"/>
          <w:sz w:val="16"/>
          <w:szCs w:val="16"/>
        </w:rPr>
        <w:t>За</w:t>
      </w:r>
      <w:r w:rsidRPr="00E93F40">
        <w:rPr>
          <w:rFonts w:ascii="Times New Roman" w:hAnsi="Times New Roman"/>
          <w:i/>
          <w:iCs/>
          <w:color w:val="000000" w:themeColor="text1"/>
          <w:sz w:val="16"/>
          <w:szCs w:val="16"/>
          <w:lang w:val="en-US"/>
        </w:rPr>
        <w:t xml:space="preserve"> </w:t>
      </w:r>
      <w:r w:rsidRPr="00E93F40">
        <w:rPr>
          <w:rFonts w:ascii="Times New Roman" w:hAnsi="Times New Roman"/>
          <w:i/>
          <w:iCs/>
          <w:color w:val="000000" w:themeColor="text1"/>
          <w:sz w:val="16"/>
          <w:szCs w:val="16"/>
        </w:rPr>
        <w:t>рубежом</w:t>
      </w:r>
      <w:r w:rsidRPr="00E93F40">
        <w:rPr>
          <w:rFonts w:ascii="Times New Roman" w:hAnsi="Times New Roman"/>
          <w:i/>
          <w:iCs/>
          <w:color w:val="000000" w:themeColor="text1"/>
          <w:sz w:val="16"/>
          <w:szCs w:val="16"/>
          <w:lang w:val="en-US"/>
        </w:rPr>
        <w:t>:</w:t>
      </w:r>
    </w:p>
    <w:p w14:paraId="122D9D0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AEE9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r w:rsidRPr="00E93F40">
        <w:rPr>
          <w:rFonts w:ascii="Times New Roman" w:hAnsi="Times New Roman"/>
          <w:color w:val="000000" w:themeColor="text1"/>
          <w:sz w:val="16"/>
          <w:szCs w:val="16"/>
          <w:lang w:val="en-US"/>
        </w:rPr>
        <w:t>October 1 1932 Wernher von Braun joined the German Army Ordnance Office rocket program at Kummersdorf (1038).</w:t>
      </w:r>
    </w:p>
    <w:p w14:paraId="2EC48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p>
    <w:p w14:paraId="45315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Вернер фон Браун начал работать по ракетной программе Управления вооружений немецкой армии в Кюмерсдорфе (1038).</w:t>
      </w:r>
    </w:p>
    <w:p w14:paraId="102AB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F18A7C" w14:textId="77777777" w:rsidR="0016025B" w:rsidRPr="00E93F40" w:rsidRDefault="0016025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1932-го в экспери</w:t>
      </w:r>
      <w:r w:rsidRPr="00E93F40">
        <w:rPr>
          <w:rFonts w:ascii="Times New Roman" w:hAnsi="Times New Roman"/>
          <w:color w:val="000000" w:themeColor="text1"/>
          <w:sz w:val="16"/>
          <w:szCs w:val="16"/>
        </w:rPr>
        <w:softHyphen/>
        <w:t>ментальную лабораторию по созданию жидкостных ре</w:t>
      </w:r>
      <w:r w:rsidRPr="00E93F40">
        <w:rPr>
          <w:rFonts w:ascii="Times New Roman" w:hAnsi="Times New Roman"/>
          <w:color w:val="000000" w:themeColor="text1"/>
          <w:sz w:val="16"/>
          <w:szCs w:val="16"/>
        </w:rPr>
        <w:softHyphen/>
        <w:t>активных двигателей для баллисти</w:t>
      </w:r>
      <w:r w:rsidRPr="00E93F40">
        <w:rPr>
          <w:rFonts w:ascii="Times New Roman" w:hAnsi="Times New Roman"/>
          <w:color w:val="000000" w:themeColor="text1"/>
          <w:sz w:val="16"/>
          <w:szCs w:val="16"/>
        </w:rPr>
        <w:softHyphen/>
        <w:t>ческих ракет, организованную Вальтером Дорнбергером, пришел работать Вер</w:t>
      </w:r>
      <w:r w:rsidRPr="00E93F40">
        <w:rPr>
          <w:rFonts w:ascii="Times New Roman" w:hAnsi="Times New Roman"/>
          <w:color w:val="000000" w:themeColor="text1"/>
          <w:sz w:val="16"/>
          <w:szCs w:val="16"/>
        </w:rPr>
        <w:softHyphen/>
        <w:t>нер фон Браун, вскоре ставший ведущим конструктором ракет и первым помощ</w:t>
      </w:r>
      <w:r w:rsidRPr="00E93F40">
        <w:rPr>
          <w:rFonts w:ascii="Times New Roman" w:hAnsi="Times New Roman"/>
          <w:color w:val="000000" w:themeColor="text1"/>
          <w:sz w:val="16"/>
          <w:szCs w:val="16"/>
        </w:rPr>
        <w:softHyphen/>
        <w:t>ником Дорнбергера. К осени 1932 года Дорнбергер организовал испытательную станцию «Вест» в 27 километрах к югу от Берлина, на артиллерийском полигоне «Куммерсдорф-Запад».</w:t>
      </w:r>
    </w:p>
    <w:p w14:paraId="645A5F5B" w14:textId="77777777" w:rsidR="0016025B" w:rsidRPr="00E93F40" w:rsidRDefault="0016025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реализацию многих замыслов зна</w:t>
      </w:r>
      <w:r w:rsidRPr="00E93F40">
        <w:rPr>
          <w:rFonts w:ascii="Times New Roman" w:hAnsi="Times New Roman"/>
          <w:color w:val="000000" w:themeColor="text1"/>
          <w:sz w:val="16"/>
          <w:szCs w:val="16"/>
        </w:rPr>
        <w:softHyphen/>
        <w:t>чительно повлияло (и ускорило!) созда</w:t>
      </w:r>
      <w:r w:rsidRPr="00E93F40">
        <w:rPr>
          <w:rFonts w:ascii="Times New Roman" w:hAnsi="Times New Roman"/>
          <w:color w:val="000000" w:themeColor="text1"/>
          <w:sz w:val="16"/>
          <w:szCs w:val="16"/>
        </w:rPr>
        <w:softHyphen/>
        <w:t>ние в том же году профессором Германом Обертом камеры сгорания с соплом — ос</w:t>
      </w:r>
      <w:r w:rsidRPr="00E93F40">
        <w:rPr>
          <w:rFonts w:ascii="Times New Roman" w:hAnsi="Times New Roman"/>
          <w:color w:val="000000" w:themeColor="text1"/>
          <w:sz w:val="16"/>
          <w:szCs w:val="16"/>
        </w:rPr>
        <w:softHyphen/>
        <w:t>новной части классического ЖРД. В Кум- мерсдорфе были проведены его первые огневые испытания.</w:t>
      </w:r>
    </w:p>
    <w:p w14:paraId="7A091B9E" w14:textId="77777777" w:rsidR="0016025B" w:rsidRPr="00E93F40" w:rsidRDefault="0016025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Также в 1932-м к команде Дор</w:t>
      </w:r>
      <w:r w:rsidRPr="00E93F40">
        <w:rPr>
          <w:rFonts w:ascii="Times New Roman" w:hAnsi="Times New Roman"/>
          <w:color w:val="000000" w:themeColor="text1"/>
          <w:sz w:val="16"/>
          <w:szCs w:val="16"/>
        </w:rPr>
        <w:softHyphen/>
        <w:t>нбергера присоединились инженер В. Ридель и несколько механиков. Груп</w:t>
      </w:r>
      <w:r w:rsidRPr="00E93F40">
        <w:rPr>
          <w:rFonts w:ascii="Times New Roman" w:hAnsi="Times New Roman"/>
          <w:color w:val="000000" w:themeColor="text1"/>
          <w:sz w:val="16"/>
          <w:szCs w:val="16"/>
        </w:rPr>
        <w:softHyphen/>
        <w:t>па начала свою деятельность со сбо</w:t>
      </w:r>
      <w:r w:rsidRPr="00E93F40">
        <w:rPr>
          <w:rFonts w:ascii="Times New Roman" w:hAnsi="Times New Roman"/>
          <w:color w:val="000000" w:themeColor="text1"/>
          <w:sz w:val="16"/>
          <w:szCs w:val="16"/>
        </w:rPr>
        <w:softHyphen/>
        <w:t>ра статистических данных, основанных на бесчисленных испытаниях своих и сторонних ракетных двигателей, изучались зависимости соотношения топлива и окислителя, охлаждения камеры сгорания и способов за</w:t>
      </w:r>
      <w:r w:rsidRPr="00E93F40">
        <w:rPr>
          <w:rFonts w:ascii="Times New Roman" w:hAnsi="Times New Roman"/>
          <w:color w:val="000000" w:themeColor="text1"/>
          <w:sz w:val="16"/>
          <w:szCs w:val="16"/>
        </w:rPr>
        <w:softHyphen/>
        <w:t>жигания. Одним из первых двигателей был «Хейландт» со стальной камерой сгорания и электрической пусковой свечой. С двигателем работал механик К. Вахрмке. Во время одного из испытательных пусков произошел взрыв и механик погиб. Испытания продолжил механик А.Рудольф (22798).</w:t>
      </w:r>
    </w:p>
    <w:p w14:paraId="4A757C60" w14:textId="77777777" w:rsidR="0016025B" w:rsidRPr="00E93F40" w:rsidRDefault="0016025B" w:rsidP="00E93F40">
      <w:pPr>
        <w:spacing w:after="0" w:line="240" w:lineRule="auto"/>
        <w:jc w:val="both"/>
        <w:rPr>
          <w:rFonts w:ascii="Times New Roman" w:hAnsi="Times New Roman"/>
          <w:color w:val="000000" w:themeColor="text1"/>
          <w:sz w:val="16"/>
          <w:szCs w:val="16"/>
        </w:rPr>
      </w:pPr>
    </w:p>
    <w:p w14:paraId="5214A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октября 1932 Ирак получил независимость (2443,407).</w:t>
      </w:r>
    </w:p>
    <w:p w14:paraId="7D4C2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F7025A" w14:textId="77777777" w:rsidR="002A5F66" w:rsidRPr="00E93F40" w:rsidRDefault="002A5F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1 октября </w:t>
      </w:r>
      <w:r w:rsidRPr="00E93F40">
        <w:rPr>
          <w:rFonts w:ascii="Times New Roman" w:hAnsi="Times New Roman"/>
          <w:color w:val="000000" w:themeColor="text1"/>
          <w:sz w:val="16"/>
          <w:szCs w:val="16"/>
        </w:rPr>
        <w:t>в 1932 году формально отменяется английский мандат на Ирак, провозглашается его "независимость" (14786).</w:t>
      </w:r>
    </w:p>
    <w:p w14:paraId="5B22321A" w14:textId="77777777" w:rsidR="002A5F66" w:rsidRPr="00E93F40" w:rsidRDefault="002A5F66" w:rsidP="00E93F40">
      <w:pPr>
        <w:spacing w:after="0" w:line="240" w:lineRule="auto"/>
        <w:jc w:val="both"/>
        <w:rPr>
          <w:rFonts w:ascii="Times New Roman" w:hAnsi="Times New Roman"/>
          <w:color w:val="000000" w:themeColor="text1"/>
          <w:sz w:val="16"/>
          <w:szCs w:val="16"/>
        </w:rPr>
      </w:pPr>
    </w:p>
    <w:p w14:paraId="49E8EF9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83BDC5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805B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 октября 1932 г. по 2 февраля 1933 г. на НИАПе были проведены испытания первых модернизированных 6/45-дюймовых станков с углом вертикального наведения +40. Фактическая скорострельность составила 6,7 выстр/мин. при углах 8 25 и 2,53,5 выстр/мин. при углах 32 40 (3861).</w:t>
      </w:r>
    </w:p>
    <w:p w14:paraId="06302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32A9E9"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октября 1932 г.</w:t>
      </w:r>
    </w:p>
    <w:p w14:paraId="14AD26CA"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РГВА Фонд 31811 Опись 3 Дело 79 лист 362 с об. </w:t>
      </w:r>
    </w:p>
    <w:p w14:paraId="51B5DBD6"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Секретно </w:t>
      </w:r>
    </w:p>
    <w:p w14:paraId="48BF9362"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Экз. № 2</w:t>
      </w:r>
    </w:p>
    <w:p w14:paraId="7885ECFE"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Октября 1932 г. </w:t>
      </w:r>
    </w:p>
    <w:p w14:paraId="44E1B6AC"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1731084</w:t>
      </w:r>
    </w:p>
    <w:p w14:paraId="2229BBA1"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Директору Гос. Харьковского Паровозостроительного завода. </w:t>
      </w:r>
    </w:p>
    <w:p w14:paraId="360FCC7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Харьков. </w:t>
      </w:r>
    </w:p>
    <w:p w14:paraId="17245EF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Копия: Старшему Инспектору Промышленности УММ тов. ЛЕБЕДЬ.</w:t>
      </w:r>
    </w:p>
    <w:p w14:paraId="695C83E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систематического разрешения и увязки всех текущих вопросов по опытно-конструкторским работам на ГХПЗ мною назначен старший военный представитель УММ тов. КИНСБУРГСКИЙ. </w:t>
      </w:r>
    </w:p>
    <w:p w14:paraId="1D3DCC2E"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Последний является ответственным лицом за своевременное продвижение заказов и опытных работ, а также регулярную информацию НТУ УММ о ходе и выполнении указанных заданий, а потому: </w:t>
      </w:r>
    </w:p>
    <w:p w14:paraId="66CEB336"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Все опытные работы, выполняемые по заданиям УММ, отделов ГХПЗ: Тр, Т2 и дизельного в части танковых и тракторных дизелей должны предварительно согласовываться с т. КИНСБУРГСКИМ. </w:t>
      </w:r>
    </w:p>
    <w:p w14:paraId="22BE08C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Все планы и программы испытания опытных машин, а также агрегатов и отдельных деталей на опытных машинах, в частности по оригиналу Б-Т должны быть увязаны с военным представителем по этим вопросам. </w:t>
      </w:r>
    </w:p>
    <w:p w14:paraId="6F6415F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Все материалы испытания и опытных работ должны быть систематически и немедленно представляемы в двух экземплярах: один в УММ, а другой старшему военпреду тов. КИНСБУРГСКОМУ. </w:t>
      </w:r>
    </w:p>
    <w:p w14:paraId="6DAC2DE6"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Все конструктивные изменения, вводимые в машину серийного производства, согласовываются с тов. КИНСБУРГСКИМ и чертежи с изменениями. Запускаемые в серийное производство должны иметь визу НТУ УММ.</w:t>
      </w:r>
    </w:p>
    <w:p w14:paraId="0169CA2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 НАЧАЛЬНИК УММ Бокис</w:t>
      </w:r>
    </w:p>
    <w:p w14:paraId="527D7F9A"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Отпеч. 3 экз. </w:t>
      </w:r>
    </w:p>
    <w:p w14:paraId="339528B0"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Верно: Зав. Делопроизводством подпись (24875).</w:t>
      </w:r>
    </w:p>
    <w:p w14:paraId="7C46C2E6" w14:textId="77777777" w:rsidR="00F933F8" w:rsidRPr="00E93F40" w:rsidRDefault="00F933F8" w:rsidP="00E93F40">
      <w:pPr>
        <w:spacing w:after="0" w:line="240" w:lineRule="auto"/>
        <w:jc w:val="both"/>
        <w:rPr>
          <w:rFonts w:ascii="Times New Roman" w:hAnsi="Times New Roman"/>
          <w:color w:val="000000" w:themeColor="text1"/>
          <w:sz w:val="16"/>
          <w:szCs w:val="16"/>
        </w:rPr>
      </w:pPr>
    </w:p>
    <w:p w14:paraId="7FBDC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октября 1932 г. было выступление Я.П. Иванченко по отчетному докладу Наркомата тяжелой промышленности о развитии черной металлургии с содокладом ЦКК-РКИ</w:t>
      </w:r>
    </w:p>
    <w:p w14:paraId="2F797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Сегодня на Пленуме надо прямо рассказать обо всех причинах, вследствие которых образовался прорыв в выполнении плана черной металлургии. Здесь делал доклад т. Серго. В содокладе нас основательно покритиковали, и отзывы о деятельности руководителей черной металлургии были не совсем лестны. Я думаю, что всем руководителям черной металлургии надо здесь по-большевистски вскрыть причины, мешающие быстрому развертыванию черной металлургии, наметив такие мероприятия, которые обеспечили бы ликвидацию прорыва в кратчайший срок. Объединение Востокосталь выполнило в текущем году производственную программу хуже всех объединений черной металлругии. </w:t>
      </w:r>
    </w:p>
    <w:p w14:paraId="62D92D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перед Востокосталью была поставлена задача значительно увеличить выплавку чугуна и стали и выпуск проката. В сравнении с 1931 годом план текущего года намечал увеличение выплавки по чугуну и стали на 148%, а выпуск проката на 150%, причем отличительной особенностью плана 1932 года является еще более значительный рост выпуска качественных и высококачественных сталей. Против 1931 года мы должны увеличить выпуск качественных и высококачественных сталей на 206%. Вы знаете, что Востокосталь в полной мере этих задач не выполнила.</w:t>
      </w:r>
    </w:p>
    <w:p w14:paraId="40B35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Какие же причины привели к прорыву?</w:t>
      </w:r>
    </w:p>
    <w:p w14:paraId="3AC44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Основная причина состоит в том, что у нас на заводах в недостаточной степени развернута борьба за полное осуществление шести условий тов. Сталина. Вместе с этим, надо указать на слабое хозяйственно-техническое руководство. Об этом т. Рудзутак достаточно красочно докладывал. Я хочу сказать, что и у нас много недостатков в отношении руководства заводами.</w:t>
      </w:r>
    </w:p>
    <w:p w14:paraId="17F64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Квалифицированного технического руководства, которое необходимо иметь на заводах в связи с огромными задачами, поставленными перед уральскими заводами, у нас нет. Сплошь и рядом на действующих заводах мы имеем весьма молодой состав инженерно-технического персонала. В частности, на Нижне-Салдинском заводе техническим руководителем предприятия является инженер с двухгодичным стажем после выхода из втуза. В самом объединении, в центральном аппарате также нет такой головки специалистов, которая в достаточной степени удовлетворяла бы возросшим задачам и могла по-настоящему возглавить техническое руководство. Между тем, задачи, которые стоят перед Востокосталью в наступающем 1938 году, значительно усложняются, так как директиву партии в отношении выпуска качествен¬ных сталей надо выполнить во что бы то ни стало.</w:t>
      </w:r>
    </w:p>
    <w:p w14:paraId="5F0E28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Вторая причина - это плохая организация труда. Плохая организация - вследствие того, что у нас колоссальная текучесть на заводах Востокостали. Но не только эти причины определили срыв производственной программы. Если бы у нас было хорошее техническое руководство и прекрасная организация труда, то только это не спасло бы того положения, которое имеется на заводах Востокостали. Тут надо сказать и о причинах, о которых тов. Рудзутак не говорил.</w:t>
      </w:r>
    </w:p>
    <w:p w14:paraId="3D229A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Систематически на заводах Востокостали мы испытывали большие перебои в работе из-за отсутствия древесного топлива, из-за отсутствия достаточного количества и необходимого качества руд. </w:t>
      </w:r>
    </w:p>
    <w:p w14:paraId="7388C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Плохое качество руды и топлива, отсутствие правильной и равномерной поставки определенного сортамента руд для нормальнои шихтовки и ее пониженные кондиции как в смысле пониженного содержания железа, так и повышенного содержания вредных примесей в значительной степени влияют на невыполнение задания по суточной производительности домен. Когда тов. Рудзутак ставит вопрос о том, что домна работает на тихом ходу, на полхода, на четверть хода, что воздуходувные </w:t>
      </w:r>
      <w:r w:rsidRPr="00E93F40">
        <w:rPr>
          <w:rFonts w:ascii="Times New Roman" w:hAnsi="Times New Roman"/>
          <w:color w:val="000000" w:themeColor="text1"/>
          <w:sz w:val="16"/>
          <w:szCs w:val="16"/>
        </w:rPr>
        <w:lastRenderedPageBreak/>
        <w:t xml:space="preserve">средства не используются нормально, - надо сказать, что это происходит вследствие того, что доменные печи не производят нормальной загрузки, а нормальной загрузки нет потому, что отсутствует нормальная поставка древесного угля, кокса и пласта мощного. Перебои со снабжением приводят к нарушению режима печей, к работе на сбавленном ходу, к дерганию печей и даже полному останову. </w:t>
      </w:r>
    </w:p>
    <w:p w14:paraId="61EE5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Вот, например, Саткинская печь, систематически выполнявшая задание, стояла в мае 11 дней, в июне 12 дней, в августе и сентябре 8 дней из-за отсутствия древесного угля. Зигазинская печь стояла в мае-июне 16 дней, в июне 13 дней; Уфалейскя печь стояла в мае 9 дней, в июне 24 дня; Теплогорская - 9, 5, 4, 15, Старо-Уткинская - 14 дней и 21 день и т.д. Все эти печи простаивали из-за того, что мы не имеем в достаточной степени запасов древесного угля. Надо прямо сказать, что на 1 сентября мы имеем запасов древесного угля всего на 5-6 дней, и вполне понятно, что это отражается на выполнении производственной программы. Дело, таким образом, не только в техническом руководстве, но и в том, что доменные печи, особенно на Востоке и Урале, необходимо обеспечить нормальным снабжением: древесным топливом, углем, коксом, рудой и т.д.</w:t>
      </w:r>
    </w:p>
    <w:p w14:paraId="10D7D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настоящих же условиях, когда мы не получаем нормального количества древесного угля, кокса, руды и т.д., конечно, и организация производства и организация труда значительно хромают.</w:t>
      </w:r>
    </w:p>
    <w:p w14:paraId="43E7B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Остановлюсь на вопросе о механизации уральских заводов. Механизация трудоемких участков работ в наших условиях имеет исключительно актуальное значение. Несмотря на это, в течение последних двух лет мы необходимых нам механизмов для освоения трудоемких участков не получили. В течение последних двух лет, тов. Рудзутак, мы не получили ни одного катучего крана и ни одного паровоза для замены всего того старого барахла, которое имеем, а мы имеем 40 серий паровозов. Если принять во внимание низкий технический уровень уральских заводов, нерациональное устройство эстакадного хозяйства, ручную нагрузку сырых материалов, ручную сортировку сырых материалов, погрузку чугуна вручную, выпуск шлака в борозду и отвозку его на ряде заводов на лошадях и т.д., - то станет ясным то исключительное значение, которое должно иметь освоение трудоемких участков путем введения механизмов на действующих уральских заводах. Мы не требуем для этой цели больших вложений, но нам нужны такие механизмы, которые действительно облегчили бы, оздоровили труд рабочих, которые содействовали бы высвобождению рабочей силы и сократили длительность самих трудовых процессов, и такие механизмы нам надо дать.</w:t>
      </w:r>
    </w:p>
    <w:p w14:paraId="2A638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механизации лесоразработок. За последние три года в механизацию леса вложено чрезвычайно мало средств. На лесоразработках мы имеем не более 50 тракторов. А лес в последнее время, в связи с колоссальными вырубками деловой древесины, ушел далеко вглубь. И нам нужно большое количество механизмов для того, чтобы освоить этот участок, который является одной из ос¬новных причин прорыва в выполнении производственной программы заводами Востокостали.</w:t>
      </w:r>
    </w:p>
    <w:p w14:paraId="475E0A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надо подчеркнуть, что наши уральские заводы - это весьма сложный комбинат.</w:t>
      </w:r>
    </w:p>
    <w:p w14:paraId="7DC4FB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Мы имеем 33 доменных печи на 23 заводах: 4 завода имеют только доменные цехи, 3 завода только прокатные, 3 завода - доменные и мартеновские, 4 завода - мартеновские и прокатные и только 9 заводов имеют законченный цикл производства, причем даже не все эти заводы имеют замкнутый баланс металла. Вследствие этого мы в большей степени зависим от межзаводских перебросок чугуна, мартеновских слитков, сутунки, изложниц, огнеупоров и т.д. РКИ в свое время при обследовании заводов отмечала сложность перевозок сырья и полуфабрикатов и указывала в связи с этим на сложность управления заводами, на большие затруднения в правильном снабжении заводов. И это необходимо учесть.</w:t>
      </w:r>
    </w:p>
    <w:p w14:paraId="08E9CB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говорил уже о низком техническом уровне наших доменных цехов. А вот характеристика техники мартеновских цехов. Из 17 мартеновских цехов только 8 цехов имеют механическую завалку шихты, на всех остальных печах отсутствует механическая загрузка, и там садят шихту вручную, лопатами. Низкий технический уровень также естественно влияет на низкую производительность и тормозит выполнение задания.</w:t>
      </w:r>
    </w:p>
    <w:p w14:paraId="0C2C4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Надо признать, что трудности в работе уральской металлургии значительно возросли также вследствие большой утечки квалифицированных кадров рабочих. Сейчас, тов. Рудзутак, на действующих заводах не хватает 19 тыс. рабочих. У нас громадная текучесть, вызванная тем, что на Урале за последние 2-3 года развернулось грандиозное строительство целого ряда отраслей народного хозяйства. И на новые строительства ушла значительная часть рабочих с действующих заводов, причем ушло большое количество квалифицированных рабочих. Почти половина всех рабочих заводов имеют стаж до одного года. Если на 1 января 1930 г. рабочих со стажем свыше пяти лет было около 30%, то на 1 августа 1932 г. пятилетний стаж имеют только 19%.</w:t>
      </w:r>
    </w:p>
    <w:p w14:paraId="197C6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эти моменты и привели к тому, что производственную программу по чугуну, стали и прокату мы выполнили из рук вон плохо.</w:t>
      </w:r>
    </w:p>
    <w:p w14:paraId="557CF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Но, отмечая неудовлетворительные результаты выполнения производственного задания, нельзя забывать, что в течение этого года уральская партийная организация, уральские рабочие на действующих металлургических заводах провели огромной важности работу по промышленному освоению новых видов продукции и добились значительных сдвигов в области выполнения программы по качественным и высококачественным сталям. Мы, тов, Рудзутак, работали на старом оборудовании, которое давно не обновлялось. Новых станов, новых мартенов мы в эксплуатацию не ввели, у нас нет достаточно опытных руководителей по качественному прокату, и тем не менее мы на большом количестве заводов освоили выработку новых профилей качественных и высококачественных сталей. </w:t>
      </w:r>
    </w:p>
    <w:p w14:paraId="360AA6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Надеждинском заводе освоили прокатку гусеничного башмака для трактора Катер-Пиллера, освоили производство хромистой стали для авиацилиндров, освоили производство углеродистой автотракторной стали разных марок для автомобильных и тракторных заводов, топорной, косной и т.д. На Чусовском заводе, несмотря на крайнюю ветхость прокатных станов, освоено производство гвоздильной ленты, которую до сих пор в Советском Союзе почти не делали. Одновременно заводом осваивается производство топорной стали. На Лысьвенском заводе освоено производства авто- и авиалиста, на Белорецком - производство катанки для стальной проволоки, на Добрянском - медистый металл, на Н.Сергинском - производство полосы для биметалла и т.д. Вот эта грандиозная работа, которая проведена в течение последнего времени, дает нам возможность с уверенностью заявить на пленуме, что в 1933 году мы будем осваивать не технологию, а количество, а это значит, что уральская партийная организация, уральские рабочие в значительной доле выполнили задачу, которая была поставлена партией в области освоения производства качественных и высококачественных сталей.</w:t>
      </w:r>
    </w:p>
    <w:p w14:paraId="51A2A0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Пленум, очевидно, собрался не только затем, чтобы поругать нас и покритиковать. Критика деятельности работников черной металлургии, конечно, необходима, и это послужит работникам металлургии на помощь. Но нам нужна гораздо большая помощь, нужно провести ряд крупных мероприятий для того, чтобы справиться с задачами, которые поставлены перед нашими действующими заводами.</w:t>
      </w:r>
    </w:p>
    <w:p w14:paraId="66FA98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нам необходимо? Что надо сделать для того, чтобы изменить лицо и работу уральских заводов?</w:t>
      </w:r>
    </w:p>
    <w:p w14:paraId="36CBE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лесе. Надо окончательно разрешить организационный вопрос насчет леса: будет ли лес в Наркомлесе или он будет передан Востокостали и прикреплен к действующим заводам? Но передача леса без разрешения вопроса о ввозе сотни тракторов, автомобилей, без ряда мер для закрепления рабочей силы ничего не даст. Этим вопросом надо заняться немедленно, иначе производственная программа по лесу будет сорвана и это поставит действующие заводы в чрезвычайно тяжелое положение.</w:t>
      </w:r>
    </w:p>
    <w:p w14:paraId="4738A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руде. Тут совершенно правильно указывалось на то, что металлургия не выполнила задания в области агломерации руд. Надо коренным образом изменить капиталовложения в подготовку шихты. Надо всемерно форсировать строительство агломерационных фабрик, особенно на Востоке, где в настоящее время 8 млн. руды уже добыто и находится в отвальном состоянии, несмотря на то, что по качеству это чрезвычайно ценная руда. Подготовка шихты сыграет колоссальную роль в улучшении работы черной металлургии. Далее, вопрос об электроэнергии. Об этом ничего не говорилось, а между прочим, Тагильский район, Бакальский район, Кувшинский район не будут выполнять производственную программу до тех пор, пока мы избыточную электроэнергию, которая имеется на Челябинской станции, не перебросим в Бакальский район, и избыточную электроэнергию с Губахи не перебросим в Тагильский район. Тут нам необходимо помочь. Надо дать провод для того, чтобы эту электроэнергию перебросить, и тогда эти районы заживут, не будут ощущать нужды в электроэнергии, и гораздо лучше будет выполняться производственная программа.</w:t>
      </w:r>
    </w:p>
    <w:p w14:paraId="643C5A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Насчет внешнего транспорта, тов. Рудзутак. Не 0,5%, а значительно больше внешний транспорт играет роль в перевозках для черной металлургии. Мы сейчас, с наступлением зимы, прямо сигнализировали, что, если не произойдет коренного изменения в области транспорта, то в ноябре-декабре по Востоку будет значитель¬ный срыв работы.</w:t>
      </w:r>
    </w:p>
    <w:p w14:paraId="7A730A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Тагильский железнодорожный узел надо реконструировать возможно быстрее всеми силами и средствами. Железнодорожную ветку от Надеждинска до Тагила нужно перешить и дать рельсы. Алапаевскую ветку надо перешить. Это задачи в отношении внешнего транспорта. А для внутреннего транспорта надо дать необходимое количество паровозов, вагонов, платформ и кранов, без чего решительного улучшения работы внутризаводского транспорта не добиться. Вопросы кадров. Мы считаем, что значительное количество кадров, которые нам необходимы в связи с поставленными перед Востокосталью задачами, мы сможем готовить путем организации вечерних курсов, втузов, техникумов и т.д., подготавливая их на ходу производства. У нас такие техникумы и втузы сейчас открыты нелегально. Надо разрешить их организацию и помочь наладить в них работу.</w:t>
      </w:r>
    </w:p>
    <w:p w14:paraId="2A6FBF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Следующая задача - разрешить заводам, особенно на Урале, организовать при заводах, помимо ЭРК, сельскохозяйственные комбинаты для того, чтобы улучшить снабжение и ослабить тяжелое продовольственное положение, которое мы переживаем сейчас. И, наконец, последний вопрос, это борьба с текучестью. Для того, чтобы закрепить по-настоящему рабочих на старых действующих заводах Урала, нам нужно разрешить индивидуальное строительство этим рабочим и установить выдачу для этой цели определенных кредитов рабочим и особенно колхозникам. Нам нужно закупать определенное количество скота для рабочих и колхозников и создать такие условия, при которых на десятки лет рабочая сила была бы закреплена на действующих заводах.</w:t>
      </w:r>
    </w:p>
    <w:p w14:paraId="1C242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считаю, что критика работы металлургов, которая была здесь на пленуме, пойдет нам на пользу. Но вместе с тем необходимо, чтобы в разрешении конкретных задач, которые стоят сейчас перед Востокосталью, нам была оказана необходимая помощь. При этих условиях значительно легче выполнить те задачи, которые ставит партия перед Востокосталью. Источник: РЦХИДНИ. Ф. 17. Оп. 2. Д. 500, С. 115-117, 159-161 (11530).</w:t>
      </w:r>
    </w:p>
    <w:p w14:paraId="3338D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A1E6A8"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lastRenderedPageBreak/>
        <w:t>2 октября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1233/366сс об обеспечении оборонного строительства ОКДВА (ГА РФ. Ф. Р?8418. Оп. 28. Д. 1а. Л. 371) (12415).</w:t>
      </w:r>
    </w:p>
    <w:p w14:paraId="4F1A7FD1"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p>
    <w:p w14:paraId="46A6450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октября 1932 г. — Докладная записка начальника Военно-морской инспекции НК РКИ СССР Н. В. Куйбышева заместителю председателя СНК СССР В. В. Куйбышеву о производстве оптического вооружения</w:t>
      </w:r>
    </w:p>
    <w:p w14:paraId="73B2D7A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2F0952F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Оптическое вооружение РККА</w:t>
      </w:r>
    </w:p>
    <w:p w14:paraId="13C12B26" w14:textId="4C66494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Интенсивно проводимая на базе новой техники реконструкция системы вооружения РККА и Ф[лота], сейчас наталкивается на большой недостаток военно-оптических приборов (прицелы, дальномеры, перископы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и на резкое отставание всей оптической промышленности по производству всех объектов оптического вооружения.</w:t>
      </w:r>
    </w:p>
    <w:p w14:paraId="74A0FA9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Оптическая промышленность не только не имеет ясных перспектив своего развития в соответствии с возрастающими потребностями армии, но даже не удовлетворяет и тех минимальных первоочередных заявок, которые предъявляются к ней НКВМ.</w:t>
      </w:r>
    </w:p>
    <w:p w14:paraId="5EBB4082" w14:textId="23D1597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Введение на вооружение самозарядной и, тем более, автоматической винтовок настоятельно требует оснащения их прицельными оптическими трубками, без которых ценность этого оружия значительно снижается. По расчетам Штаба РККА потребность в оптических трубках исчисляется в 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 противовес этой потребности промышленность дает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максимум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трубок.</w:t>
      </w:r>
    </w:p>
    <w:p w14:paraId="50A6B595" w14:textId="08D8A0B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всю танковую программу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будет подано не больше 200</w:t>
      </w:r>
      <w:r w:rsidRPr="00E93F40">
        <w:rPr>
          <w:rFonts w:ascii="Times New Roman" w:hAnsi="Times New Roman"/>
          <w:color w:val="000000" w:themeColor="text1"/>
          <w:sz w:val="16"/>
          <w:szCs w:val="16"/>
        </w:rPr>
        <w:noBreakHyphen/>
        <w:t>250 танковых прицелов. Зенитная артиллерия при потребности в 1150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стерео дальномеров располагает всего 455 импортными экземплярами. Зенитные пулеметные части при потребности в 4,7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дальномеров располагают всего-навсего 8 дальномерами.</w:t>
      </w:r>
    </w:p>
    <w:p w14:paraId="269106B9" w14:textId="035C51F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 бомбардировочная авиация при исчисленной УВВС потребности в 4170 прицелов (типа «Герц-Бойков») имеет 170 импортных прицелов. Отечественное производство только еще осваивается, и на будущий год предполагается выпуск максимум 50</w:t>
      </w:r>
      <w:r w:rsidRPr="00E93F40">
        <w:rPr>
          <w:rFonts w:ascii="Times New Roman" w:hAnsi="Times New Roman"/>
          <w:color w:val="000000" w:themeColor="text1"/>
          <w:sz w:val="16"/>
          <w:szCs w:val="16"/>
        </w:rPr>
        <w:noBreakHyphen/>
        <w:t>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24BBA8C5" w14:textId="7A42A8B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Неудовлетворительно также положение с перископами для подводных лодок и совершенно неудовлетворительное с большими зенитными прожекторами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см). Производство 150</w:t>
      </w:r>
      <w:r w:rsidRPr="00E93F40">
        <w:rPr>
          <w:rFonts w:ascii="Times New Roman" w:hAnsi="Times New Roman"/>
          <w:color w:val="000000" w:themeColor="text1"/>
          <w:sz w:val="16"/>
          <w:szCs w:val="16"/>
        </w:rPr>
        <w:noBreakHyphen/>
        <w:t>сантиметровых отражателей не только не поставлено, но до сих пор между НКТП и НКЛП не уточнен вопрос разделения этого производства между стекловаренным и оптико-механическим заводами. До сих пор нет окончательного решения об объеме и сроках строительства стекловаренной и механической баз и обеспечения их оборудованием.</w:t>
      </w:r>
    </w:p>
    <w:p w14:paraId="4E4664E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Приведенными примерами далеко не исчерпывается крайне неудовлетворительное положение с военной оптикой, однако и этих примеров вполне достаточно, чтобы со всей остротой поставить вопрос о необходимости принятия решительных мер по вытягиванию военно-оптического производства из его современного состояния.</w:t>
      </w:r>
    </w:p>
    <w:p w14:paraId="7D9AF6B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Оптическая промышленность</w:t>
      </w:r>
    </w:p>
    <w:p w14:paraId="3CF7DF24" w14:textId="3319EC92"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Организация и руководство. К настоящему моменту в состав оптической промышленности входят 2</w:t>
      </w:r>
      <w:r w:rsidR="007C1411" w:rsidRPr="00E93F40">
        <w:rPr>
          <w:color w:val="000000" w:themeColor="text1"/>
          <w:sz w:val="16"/>
          <w:szCs w:val="16"/>
        </w:rPr>
        <w:t xml:space="preserve"> </w:t>
      </w:r>
      <w:r w:rsidRPr="00E93F40">
        <w:rPr>
          <w:color w:val="000000" w:themeColor="text1"/>
          <w:sz w:val="16"/>
          <w:szCs w:val="16"/>
        </w:rPr>
        <w:t>стекловаренных завода и 6</w:t>
      </w:r>
      <w:r w:rsidR="007C1411" w:rsidRPr="00E93F40">
        <w:rPr>
          <w:color w:val="000000" w:themeColor="text1"/>
          <w:sz w:val="16"/>
          <w:szCs w:val="16"/>
        </w:rPr>
        <w:t xml:space="preserve"> </w:t>
      </w:r>
      <w:r w:rsidRPr="00E93F40">
        <w:rPr>
          <w:color w:val="000000" w:themeColor="text1"/>
          <w:sz w:val="16"/>
          <w:szCs w:val="16"/>
        </w:rPr>
        <w:t>оптико-механических (ГОМЗ, ЛОМЗ, №</w:t>
      </w:r>
      <w:r w:rsidR="007C1411" w:rsidRPr="00E93F40">
        <w:rPr>
          <w:color w:val="000000" w:themeColor="text1"/>
          <w:sz w:val="16"/>
          <w:szCs w:val="16"/>
        </w:rPr>
        <w:t xml:space="preserve"> </w:t>
      </w:r>
      <w:r w:rsidRPr="00E93F40">
        <w:rPr>
          <w:color w:val="000000" w:themeColor="text1"/>
          <w:sz w:val="16"/>
          <w:szCs w:val="16"/>
        </w:rPr>
        <w:t>19, «Геофизика», «Геодезия» и опытный). Ведущими заводами по военному производству являются ГОМЗ и №</w:t>
      </w:r>
      <w:r w:rsidR="007C1411" w:rsidRPr="00E93F40">
        <w:rPr>
          <w:color w:val="000000" w:themeColor="text1"/>
          <w:sz w:val="16"/>
          <w:szCs w:val="16"/>
        </w:rPr>
        <w:t xml:space="preserve"> </w:t>
      </w:r>
      <w:r w:rsidRPr="00E93F40">
        <w:rPr>
          <w:color w:val="000000" w:themeColor="text1"/>
          <w:sz w:val="16"/>
          <w:szCs w:val="16"/>
        </w:rPr>
        <w:t>19. На заводе №</w:t>
      </w:r>
      <w:r w:rsidR="007C1411" w:rsidRPr="00E93F40">
        <w:rPr>
          <w:color w:val="000000" w:themeColor="text1"/>
          <w:sz w:val="16"/>
          <w:szCs w:val="16"/>
        </w:rPr>
        <w:t xml:space="preserve"> </w:t>
      </w:r>
      <w:r w:rsidRPr="00E93F40">
        <w:rPr>
          <w:color w:val="000000" w:themeColor="text1"/>
          <w:sz w:val="16"/>
          <w:szCs w:val="16"/>
        </w:rPr>
        <w:t>19 сейчас ведется большое капитальное строительство, равносильное постройке большого нового завода.</w:t>
      </w:r>
    </w:p>
    <w:p w14:paraId="0C3829F2" w14:textId="77777777"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Вся эта промышленность, объединяемая ВООМПом и подчиненная Главмашпрому, в настоящее время находится в явно беспризорном состоянии. Со стороны Главмашпрома нет никакого руководства и наблюдения за этой промышленностью, вследствие чего работа ВООМПа по всем направлениям находится в состоянии непрерывных срывов. При очевидном неудовлетворении потребности армии никакого плана развития военного производства по оптике не существует, разработка годовых программ проходит формально, даже без участия ВООМПа, капитальное строительство находится в полном застое, военные заказы из года в год не выполняются.</w:t>
      </w:r>
    </w:p>
    <w:p w14:paraId="61ADCF6D" w14:textId="766BD6B1"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Строительство 19</w:t>
      </w:r>
      <w:r w:rsidR="007C1411" w:rsidRPr="00E93F40">
        <w:rPr>
          <w:color w:val="000000" w:themeColor="text1"/>
          <w:sz w:val="16"/>
          <w:szCs w:val="16"/>
        </w:rPr>
        <w:t xml:space="preserve"> </w:t>
      </w:r>
      <w:r w:rsidRPr="00E93F40">
        <w:rPr>
          <w:color w:val="000000" w:themeColor="text1"/>
          <w:sz w:val="16"/>
          <w:szCs w:val="16"/>
        </w:rPr>
        <w:t>завода, который должен стать основным военно-оптическим заводом и который уже теперь на 90</w:t>
      </w:r>
      <w:r w:rsidRPr="00E93F40">
        <w:rPr>
          <w:rStyle w:val="af0"/>
          <w:i w:val="0"/>
          <w:color w:val="000000" w:themeColor="text1"/>
          <w:sz w:val="16"/>
          <w:szCs w:val="16"/>
        </w:rPr>
        <w:t>%</w:t>
      </w:r>
      <w:r w:rsidRPr="00E93F40">
        <w:rPr>
          <w:color w:val="000000" w:themeColor="text1"/>
          <w:sz w:val="16"/>
          <w:szCs w:val="16"/>
        </w:rPr>
        <w:t xml:space="preserve"> загружен военными заказами, ведется сверхбезобразно. Первая очередь, которая еще в июле 1932</w:t>
      </w:r>
      <w:r w:rsidR="007C1411" w:rsidRPr="00E93F40">
        <w:rPr>
          <w:color w:val="000000" w:themeColor="text1"/>
          <w:sz w:val="16"/>
          <w:szCs w:val="16"/>
        </w:rPr>
        <w:t xml:space="preserve"> </w:t>
      </w:r>
      <w:r w:rsidRPr="00E93F40">
        <w:rPr>
          <w:color w:val="000000" w:themeColor="text1"/>
          <w:sz w:val="16"/>
          <w:szCs w:val="16"/>
        </w:rPr>
        <w:t>г. должна была уже вступить в эксплуатацию, на сегодня представляет из себя все еще незаконченные здания, к тому же необеспеченные стройматериалами. Уже прибывшее на завод ценнейшее импортное оборудование, исчисляемое сотнями дорогих станков, частично свалено на дворе, частично пылится в незаконченных постройкой зданиях. Между тем при правильном руководстве и нормальном снабжении материалами имеется полная возможность первую очередь работ закончить к январю 1933</w:t>
      </w:r>
      <w:r w:rsidR="007C1411" w:rsidRPr="00E93F40">
        <w:rPr>
          <w:color w:val="000000" w:themeColor="text1"/>
          <w:sz w:val="16"/>
          <w:szCs w:val="16"/>
        </w:rPr>
        <w:t xml:space="preserve"> </w:t>
      </w:r>
      <w:r w:rsidRPr="00E93F40">
        <w:rPr>
          <w:color w:val="000000" w:themeColor="text1"/>
          <w:sz w:val="16"/>
          <w:szCs w:val="16"/>
        </w:rPr>
        <w:t>г. и весь новый завод пустить в эксплуатацию во второй половине того же года.</w:t>
      </w:r>
    </w:p>
    <w:p w14:paraId="63FB705F" w14:textId="2B629438"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Выполнение годовых программ. 39</w:t>
      </w:r>
      <w:r w:rsidRPr="00E93F40">
        <w:rPr>
          <w:color w:val="000000" w:themeColor="text1"/>
          <w:sz w:val="16"/>
          <w:szCs w:val="16"/>
        </w:rPr>
        <w:noBreakHyphen/>
        <w:t>миллионная программа 1932</w:t>
      </w:r>
      <w:r w:rsidR="007C1411" w:rsidRPr="00E93F40">
        <w:rPr>
          <w:color w:val="000000" w:themeColor="text1"/>
          <w:sz w:val="16"/>
          <w:szCs w:val="16"/>
        </w:rPr>
        <w:t xml:space="preserve"> </w:t>
      </w:r>
      <w:r w:rsidRPr="00E93F40">
        <w:rPr>
          <w:color w:val="000000" w:themeColor="text1"/>
          <w:sz w:val="16"/>
          <w:szCs w:val="16"/>
        </w:rPr>
        <w:t>г. по военным заказам за 3</w:t>
      </w:r>
      <w:r w:rsidR="007C1411" w:rsidRPr="00E93F40">
        <w:rPr>
          <w:color w:val="000000" w:themeColor="text1"/>
          <w:sz w:val="16"/>
          <w:szCs w:val="16"/>
        </w:rPr>
        <w:t xml:space="preserve"> </w:t>
      </w:r>
      <w:r w:rsidRPr="00E93F40">
        <w:rPr>
          <w:color w:val="000000" w:themeColor="text1"/>
          <w:sz w:val="16"/>
          <w:szCs w:val="16"/>
        </w:rPr>
        <w:t>квартала выполнена всего на 13</w:t>
      </w:r>
      <w:r w:rsidR="007C1411" w:rsidRPr="00E93F40">
        <w:rPr>
          <w:color w:val="000000" w:themeColor="text1"/>
          <w:sz w:val="16"/>
          <w:szCs w:val="16"/>
        </w:rPr>
        <w:t xml:space="preserve"> </w:t>
      </w:r>
      <w:r w:rsidRPr="00E93F40">
        <w:rPr>
          <w:color w:val="000000" w:themeColor="text1"/>
          <w:sz w:val="16"/>
          <w:szCs w:val="16"/>
        </w:rPr>
        <w:t>млн. (30%). Основными причинами срыва явились, отсутствие руководства со стороны НКТП и исключительно скверное снабжение материалом. При крайней нужде в военно-оптических приборах существующие мощности завода, как правило, полностью не используются, даже целые заводы (стекловаренные) ставятся под угрозу остановки только потому, что в НКТП своевременно не заботятся об обеспечении их необходимыми химикатами.</w:t>
      </w:r>
    </w:p>
    <w:p w14:paraId="4012DC4E" w14:textId="78C93B3D"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План 1933</w:t>
      </w:r>
      <w:r w:rsidR="007C1411" w:rsidRPr="00E93F40">
        <w:rPr>
          <w:color w:val="000000" w:themeColor="text1"/>
          <w:sz w:val="16"/>
          <w:szCs w:val="16"/>
        </w:rPr>
        <w:t xml:space="preserve"> </w:t>
      </w:r>
      <w:r w:rsidRPr="00E93F40">
        <w:rPr>
          <w:color w:val="000000" w:themeColor="text1"/>
          <w:sz w:val="16"/>
          <w:szCs w:val="16"/>
        </w:rPr>
        <w:t>г. отражает исключительное недопонимание оборонного значения оптической промышленности и потребности РККА, В то время как по 1932</w:t>
      </w:r>
      <w:r w:rsidR="007C1411" w:rsidRPr="00E93F40">
        <w:rPr>
          <w:color w:val="000000" w:themeColor="text1"/>
          <w:sz w:val="16"/>
          <w:szCs w:val="16"/>
        </w:rPr>
        <w:t xml:space="preserve"> </w:t>
      </w:r>
      <w:r w:rsidRPr="00E93F40">
        <w:rPr>
          <w:color w:val="000000" w:themeColor="text1"/>
          <w:sz w:val="16"/>
          <w:szCs w:val="16"/>
        </w:rPr>
        <w:t>г. вся программа составляла 90</w:t>
      </w:r>
      <w:r w:rsidR="007C1411" w:rsidRPr="00E93F40">
        <w:rPr>
          <w:color w:val="000000" w:themeColor="text1"/>
          <w:sz w:val="16"/>
          <w:szCs w:val="16"/>
        </w:rPr>
        <w:t xml:space="preserve"> </w:t>
      </w:r>
      <w:r w:rsidRPr="00E93F40">
        <w:rPr>
          <w:color w:val="000000" w:themeColor="text1"/>
          <w:sz w:val="16"/>
          <w:szCs w:val="16"/>
        </w:rPr>
        <w:t>млн. при 39</w:t>
      </w:r>
      <w:r w:rsidR="007C1411" w:rsidRPr="00E93F40">
        <w:rPr>
          <w:color w:val="000000" w:themeColor="text1"/>
          <w:sz w:val="16"/>
          <w:szCs w:val="16"/>
        </w:rPr>
        <w:t xml:space="preserve"> </w:t>
      </w:r>
      <w:r w:rsidRPr="00E93F40">
        <w:rPr>
          <w:color w:val="000000" w:themeColor="text1"/>
          <w:sz w:val="16"/>
          <w:szCs w:val="16"/>
        </w:rPr>
        <w:t>млн. спецзаказов, на 1933</w:t>
      </w:r>
      <w:r w:rsidR="007C1411" w:rsidRPr="00E93F40">
        <w:rPr>
          <w:color w:val="000000" w:themeColor="text1"/>
          <w:sz w:val="16"/>
          <w:szCs w:val="16"/>
        </w:rPr>
        <w:t xml:space="preserve"> </w:t>
      </w:r>
      <w:r w:rsidRPr="00E93F40">
        <w:rPr>
          <w:color w:val="000000" w:themeColor="text1"/>
          <w:sz w:val="16"/>
          <w:szCs w:val="16"/>
        </w:rPr>
        <w:t>г. (когда должен был вступить в эксплуатацию новый 19 завод и закончиться реконструкция ГОМЗа) программа снижается до 82</w:t>
      </w:r>
      <w:r w:rsidR="007C1411" w:rsidRPr="00E93F40">
        <w:rPr>
          <w:color w:val="000000" w:themeColor="text1"/>
          <w:sz w:val="16"/>
          <w:szCs w:val="16"/>
        </w:rPr>
        <w:t xml:space="preserve"> </w:t>
      </w:r>
      <w:r w:rsidRPr="00E93F40">
        <w:rPr>
          <w:color w:val="000000" w:themeColor="text1"/>
          <w:sz w:val="16"/>
          <w:szCs w:val="16"/>
        </w:rPr>
        <w:t>млн., а спецзаказы определяются в 35</w:t>
      </w:r>
      <w:r w:rsidR="007C1411" w:rsidRPr="00E93F40">
        <w:rPr>
          <w:color w:val="000000" w:themeColor="text1"/>
          <w:sz w:val="16"/>
          <w:szCs w:val="16"/>
        </w:rPr>
        <w:t xml:space="preserve"> </w:t>
      </w:r>
      <w:r w:rsidRPr="00E93F40">
        <w:rPr>
          <w:color w:val="000000" w:themeColor="text1"/>
          <w:sz w:val="16"/>
          <w:szCs w:val="16"/>
        </w:rPr>
        <w:t>млн. при самой ограниченной заявке НКВМ в 60</w:t>
      </w:r>
      <w:r w:rsidR="007C1411" w:rsidRPr="00E93F40">
        <w:rPr>
          <w:color w:val="000000" w:themeColor="text1"/>
          <w:sz w:val="16"/>
          <w:szCs w:val="16"/>
        </w:rPr>
        <w:t xml:space="preserve"> </w:t>
      </w:r>
      <w:r w:rsidRPr="00E93F40">
        <w:rPr>
          <w:color w:val="000000" w:themeColor="text1"/>
          <w:sz w:val="16"/>
          <w:szCs w:val="16"/>
        </w:rPr>
        <w:t>млн. Налицо определенное топтание на месте, неумелое использование мощностей и явная недооценка интересов Красной армии.</w:t>
      </w:r>
    </w:p>
    <w:p w14:paraId="2E9A767A" w14:textId="2898D6B0"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Вывод. Все это приводит к неизбежному выводу о срочной необходимости пересмотра места оптической промышленности в системе НКТП, установления точного плана ее дальнейшего развертывания в соответствии с реконструкцией системы вооружения РККА и Ф|лота] и наконец задания на 1933</w:t>
      </w:r>
      <w:r w:rsidR="007C1411" w:rsidRPr="00E93F40">
        <w:rPr>
          <w:color w:val="000000" w:themeColor="text1"/>
          <w:sz w:val="16"/>
          <w:szCs w:val="16"/>
        </w:rPr>
        <w:t xml:space="preserve"> </w:t>
      </w:r>
      <w:r w:rsidRPr="00E93F40">
        <w:rPr>
          <w:color w:val="000000" w:themeColor="text1"/>
          <w:sz w:val="16"/>
          <w:szCs w:val="16"/>
        </w:rPr>
        <w:t>г. такой производственной программы, которая в максимальной степени обеспечила бы первоочередные потребности Красной армии.</w:t>
      </w:r>
    </w:p>
    <w:p w14:paraId="76BFED80" w14:textId="77777777"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Предложение. В соответствии с этим выводом считаю необходимым реализацию следующих мероприятий:</w:t>
      </w:r>
    </w:p>
    <w:p w14:paraId="3C0736C5" w14:textId="271B6A4A"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Выделить оптическую промышленность из состава Главмашпрома и подчинить ее наркому тяжелой промышленности.</w:t>
      </w:r>
    </w:p>
    <w:p w14:paraId="7BCCF35D" w14:textId="1AAA805D"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Обязать НКТПром совместно с НКВМ разработать в IV</w:t>
      </w:r>
      <w:r w:rsidR="007C1411" w:rsidRPr="00E93F40">
        <w:rPr>
          <w:color w:val="000000" w:themeColor="text1"/>
          <w:sz w:val="16"/>
          <w:szCs w:val="16"/>
        </w:rPr>
        <w:t xml:space="preserve"> </w:t>
      </w:r>
      <w:r w:rsidRPr="00E93F40">
        <w:rPr>
          <w:color w:val="000000" w:themeColor="text1"/>
          <w:sz w:val="16"/>
          <w:szCs w:val="16"/>
        </w:rPr>
        <w:t>квартале 1932</w:t>
      </w:r>
      <w:r w:rsidR="007C1411" w:rsidRPr="00E93F40">
        <w:rPr>
          <w:color w:val="000000" w:themeColor="text1"/>
          <w:sz w:val="16"/>
          <w:szCs w:val="16"/>
        </w:rPr>
        <w:t xml:space="preserve"> </w:t>
      </w:r>
      <w:r w:rsidRPr="00E93F40">
        <w:rPr>
          <w:color w:val="000000" w:themeColor="text1"/>
          <w:sz w:val="16"/>
          <w:szCs w:val="16"/>
        </w:rPr>
        <w:t>г. реальный план развития оптической промышленности, полностью обеспечивающий потребности РККА и внести этот план на утверждение правительства.</w:t>
      </w:r>
    </w:p>
    <w:p w14:paraId="00A121C9" w14:textId="298911BC"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Обязать НКТПром установить на 1933</w:t>
      </w:r>
      <w:r w:rsidR="007C1411" w:rsidRPr="00E93F40">
        <w:rPr>
          <w:color w:val="000000" w:themeColor="text1"/>
          <w:sz w:val="16"/>
          <w:szCs w:val="16"/>
        </w:rPr>
        <w:t xml:space="preserve"> </w:t>
      </w:r>
      <w:r w:rsidRPr="00E93F40">
        <w:rPr>
          <w:color w:val="000000" w:themeColor="text1"/>
          <w:sz w:val="16"/>
          <w:szCs w:val="16"/>
        </w:rPr>
        <w:t>г. программу по военной оптике из расчета максимального использования ее мощностей и обеспечить реальность этой программы.</w:t>
      </w:r>
    </w:p>
    <w:p w14:paraId="4099DE2E" w14:textId="2CD05896"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Строительство 19 завода включить в число военных ударных строек, установить жесткие сроки его окончания (для первой очереди</w:t>
      </w:r>
      <w:r w:rsidR="007C1411" w:rsidRPr="00E93F40">
        <w:rPr>
          <w:color w:val="000000" w:themeColor="text1"/>
          <w:sz w:val="16"/>
          <w:szCs w:val="16"/>
        </w:rPr>
        <w:t xml:space="preserve"> </w:t>
      </w:r>
      <w:r w:rsidRPr="00E93F40">
        <w:rPr>
          <w:color w:val="000000" w:themeColor="text1"/>
          <w:sz w:val="16"/>
          <w:szCs w:val="16"/>
        </w:rPr>
        <w:t>— январь 1933</w:t>
      </w:r>
      <w:r w:rsidR="007C1411" w:rsidRPr="00E93F40">
        <w:rPr>
          <w:color w:val="000000" w:themeColor="text1"/>
          <w:sz w:val="16"/>
          <w:szCs w:val="16"/>
        </w:rPr>
        <w:t xml:space="preserve"> </w:t>
      </w:r>
      <w:r w:rsidRPr="00E93F40">
        <w:rPr>
          <w:color w:val="000000" w:themeColor="text1"/>
          <w:sz w:val="16"/>
          <w:szCs w:val="16"/>
        </w:rPr>
        <w:t>г. и для всего завода III</w:t>
      </w:r>
      <w:r w:rsidR="007C1411" w:rsidRPr="00E93F40">
        <w:rPr>
          <w:color w:val="000000" w:themeColor="text1"/>
          <w:sz w:val="16"/>
          <w:szCs w:val="16"/>
        </w:rPr>
        <w:t xml:space="preserve"> </w:t>
      </w:r>
      <w:r w:rsidRPr="00E93F40">
        <w:rPr>
          <w:color w:val="000000" w:themeColor="text1"/>
          <w:sz w:val="16"/>
          <w:szCs w:val="16"/>
        </w:rPr>
        <w:t>квартал того же года), обязав НКТПром полностью обеспечить это строительство материалами.</w:t>
      </w:r>
    </w:p>
    <w:p w14:paraId="69ED7376" w14:textId="59D25A24"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Представляя настоящую докладную записку, прошу на ближайшем заседании КО заслушать доклад НКТПрома об оптической промышленности в разрезе ее оборонного значения и содоклад НК</w:t>
      </w:r>
      <w:r w:rsidR="007C1411" w:rsidRPr="00E93F40">
        <w:rPr>
          <w:color w:val="000000" w:themeColor="text1"/>
          <w:sz w:val="16"/>
          <w:szCs w:val="16"/>
        </w:rPr>
        <w:t xml:space="preserve"> </w:t>
      </w:r>
      <w:r w:rsidRPr="00E93F40">
        <w:rPr>
          <w:color w:val="000000" w:themeColor="text1"/>
          <w:sz w:val="16"/>
          <w:szCs w:val="16"/>
        </w:rPr>
        <w:t>РКИ (Военно-морской инспекции).</w:t>
      </w:r>
    </w:p>
    <w:p w14:paraId="5573589F" w14:textId="77777777" w:rsidR="00BC161D" w:rsidRPr="00E93F40" w:rsidRDefault="00BC161D"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Член коллегии НК РКИ СССР, начальник ВМИ </w:t>
      </w:r>
      <w:hyperlink r:id="rId235" w:history="1">
        <w:r w:rsidRPr="00E93F40">
          <w:rPr>
            <w:rStyle w:val="af0"/>
            <w:i w:val="0"/>
            <w:color w:val="000000" w:themeColor="text1"/>
            <w:sz w:val="16"/>
            <w:szCs w:val="16"/>
          </w:rPr>
          <w:t>Куйбышев</w:t>
        </w:r>
      </w:hyperlink>
    </w:p>
    <w:p w14:paraId="451BB509" w14:textId="77777777" w:rsidR="00BC161D" w:rsidRPr="00E93F40" w:rsidRDefault="00BC161D" w:rsidP="00E93F40">
      <w:pPr>
        <w:pStyle w:val="ae"/>
        <w:spacing w:before="0" w:after="0"/>
        <w:jc w:val="both"/>
        <w:rPr>
          <w:color w:val="000000" w:themeColor="text1"/>
          <w:sz w:val="16"/>
          <w:szCs w:val="16"/>
        </w:rPr>
      </w:pPr>
      <w:r w:rsidRPr="00E93F40">
        <w:rPr>
          <w:color w:val="000000" w:themeColor="text1"/>
          <w:sz w:val="16"/>
          <w:szCs w:val="16"/>
        </w:rPr>
        <w:t>ГА РФ. Ф. Р-8418. Оп. 6. Д. 42. Л. 15—18. Подлинник.</w:t>
      </w:r>
    </w:p>
    <w:p w14:paraId="52FCFBFA" w14:textId="219BD6A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42. Л. 15—18. Подлинник. </w:t>
      </w:r>
    </w:p>
    <w:p w14:paraId="4E5B7A44" w14:textId="229DDE2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715-717 (12572).</w:t>
      </w:r>
    </w:p>
    <w:p w14:paraId="266E5161" w14:textId="77777777" w:rsidR="00BC161D" w:rsidRPr="00E93F40" w:rsidRDefault="00BC161D" w:rsidP="00E93F40">
      <w:pPr>
        <w:spacing w:after="0" w:line="240" w:lineRule="auto"/>
        <w:jc w:val="both"/>
        <w:rPr>
          <w:rFonts w:ascii="Times New Roman" w:hAnsi="Times New Roman"/>
          <w:color w:val="000000" w:themeColor="text1"/>
          <w:sz w:val="16"/>
          <w:szCs w:val="16"/>
        </w:rPr>
      </w:pPr>
    </w:p>
    <w:p w14:paraId="2E233FE9" w14:textId="4345F28C" w:rsidR="009623CF" w:rsidRPr="00E93F40" w:rsidRDefault="009623CF" w:rsidP="009623CF">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19578FCF" w14:textId="77777777" w:rsidR="009623CF" w:rsidRPr="00E93F40" w:rsidRDefault="009623CF" w:rsidP="009623CF">
      <w:pPr>
        <w:autoSpaceDE w:val="0"/>
        <w:autoSpaceDN w:val="0"/>
        <w:adjustRightInd w:val="0"/>
        <w:spacing w:after="0" w:line="240" w:lineRule="auto"/>
        <w:jc w:val="both"/>
        <w:rPr>
          <w:rFonts w:ascii="Times New Roman" w:hAnsi="Times New Roman"/>
          <w:iCs/>
          <w:color w:val="000000" w:themeColor="text1"/>
          <w:sz w:val="16"/>
          <w:szCs w:val="16"/>
        </w:rPr>
      </w:pPr>
    </w:p>
    <w:p w14:paraId="4885F545"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октября 1932 г. приказом по ВВС РККА № 130 было введено в действие Положение о правах и обязанностях летного и технического состава ВВС. Положение четко определяло, кто за что отвечает. Оно сыграло важную роль в укреплении в ВВС РККА порядка, организованности и дисциплины (24968).</w:t>
      </w:r>
    </w:p>
    <w:p w14:paraId="561F43D0" w14:textId="77777777" w:rsidR="009623CF" w:rsidRPr="009623CF" w:rsidRDefault="009623CF" w:rsidP="009623CF">
      <w:pPr>
        <w:pStyle w:val="aff2"/>
        <w:tabs>
          <w:tab w:val="left" w:pos="594"/>
        </w:tabs>
        <w:spacing w:line="240" w:lineRule="auto"/>
        <w:rPr>
          <w:rFonts w:ascii="Times New Roman" w:hAnsi="Times New Roman" w:cs="Times New Roman"/>
          <w:i w:val="0"/>
          <w:iCs w:val="0"/>
          <w:color w:val="0070C0"/>
          <w:sz w:val="16"/>
          <w:szCs w:val="16"/>
          <w:lang w:val="ru-RU"/>
        </w:rPr>
      </w:pPr>
    </w:p>
    <w:p w14:paraId="7134C56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087334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C7F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октября 1932 в докладе Литтона по Манчжурии в Лиге наций впервые было заявлено об особых интересах Японии в этом районе и было рекомендовано создать автономное государство. Потом стало - Мачжоу Го (3481).</w:t>
      </w:r>
    </w:p>
    <w:p w14:paraId="6AEC6F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72C4A2" w14:textId="77777777" w:rsidR="00BC161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CEE2AE1" w14:textId="77777777" w:rsidR="00BC161D" w:rsidRPr="00E93F40" w:rsidRDefault="00BC161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EFE42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1932 г. — Докладная записка начальника Военно-морской инспекции НК РКИ СССР Н. В. Куйбышева председателю СТО СССР В. М. Молотову о результатах выполнения танковой программы по малым танкам БТ-26 и быстроходным танкам БТ</w:t>
      </w:r>
    </w:p>
    <w:p w14:paraId="790FE9D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728B59E9" w14:textId="1C100B2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предстоящей постановкой вопроса по танковой программе на КО докладываю о результатах выполнения программы по малым танкам Т</w:t>
      </w:r>
      <w:r w:rsidRPr="00E93F40">
        <w:rPr>
          <w:rFonts w:ascii="Times New Roman" w:hAnsi="Times New Roman"/>
          <w:color w:val="000000" w:themeColor="text1"/>
          <w:sz w:val="16"/>
          <w:szCs w:val="16"/>
        </w:rPr>
        <w:noBreakHyphen/>
        <w:t>26 и быстроходным танкам БТ за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основании материалов обследования Военно-морской инспекции ЦКК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w:t>
      </w:r>
    </w:p>
    <w:p w14:paraId="67053A7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Танки БТ («Кристи»)</w:t>
      </w:r>
    </w:p>
    <w:p w14:paraId="4EA042E4" w14:textId="12731DB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сентября ХПЗ сдано 76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танков БТ вместо 900 по первоначальной планировке НКТП и 482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 корректированной. Из 76 машин 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августовского выпуска. Корректированное задание НКТП на сентябрь месяц</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120 машин по выпуску (вместо 290 по первоначальному плану) было обеспечено машинами, находящимися </w:t>
      </w:r>
      <w:r w:rsidRPr="00E93F40">
        <w:rPr>
          <w:rFonts w:ascii="Times New Roman" w:hAnsi="Times New Roman"/>
          <w:color w:val="000000" w:themeColor="text1"/>
          <w:sz w:val="16"/>
          <w:szCs w:val="16"/>
        </w:rPr>
        <w:lastRenderedPageBreak/>
        <w:t>в процессе окончательной сборки и испытаний (56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машин), собранными бронекорпусами (124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сверх собранных машин), отремонтированными моторами и отдельными деталями. Поковками и литьем обеспеченность в среднем составляла свыше 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комплектов. И тем не менее за сентябрь ХПЗ сдано всего лишь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танков, что свидетельствует о том, что августовский «перелом» (так называли т.</w:t>
      </w:r>
      <w:r w:rsidR="007C1411" w:rsidRPr="00E93F40">
        <w:rPr>
          <w:rFonts w:ascii="Times New Roman" w:hAnsi="Times New Roman"/>
          <w:color w:val="000000" w:themeColor="text1"/>
          <w:sz w:val="16"/>
          <w:szCs w:val="16"/>
        </w:rPr>
        <w:t xml:space="preserve"> </w:t>
      </w:r>
      <w:hyperlink r:id="rId236" w:history="1">
        <w:r w:rsidRPr="00E93F40">
          <w:rPr>
            <w:rStyle w:val="a5"/>
            <w:rFonts w:ascii="Times New Roman" w:hAnsi="Times New Roman"/>
            <w:color w:val="000000" w:themeColor="text1"/>
            <w:sz w:val="16"/>
            <w:szCs w:val="16"/>
            <w:u w:val="none"/>
          </w:rPr>
          <w:t>Павлуновский</w:t>
        </w:r>
      </w:hyperlink>
      <w:r w:rsidRPr="00E93F40">
        <w:rPr>
          <w:rFonts w:ascii="Times New Roman" w:hAnsi="Times New Roman"/>
          <w:color w:val="000000" w:themeColor="text1"/>
          <w:sz w:val="16"/>
          <w:szCs w:val="16"/>
        </w:rPr>
        <w:t xml:space="preserve"> и Доценко августовские «достижения» ХПЗ по выпуску 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танков) явился лишь следствием понижения требовательности военведа, вызванного желанием во что бы то ни стало направить возможное количество танков БТ на осенние маневры.</w:t>
      </w:r>
    </w:p>
    <w:p w14:paraId="7532FAF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«Узким» местом при выполнении программы являются сборочные комплекты: гитара, бортовые фрикционы и до августа месяца коробка скоростей, выпуск которых задерживается неполадками в их производстве на ХПЗ, а также запозданием с освоением их производства на ХТЗ (август вместо мая).</w:t>
      </w:r>
    </w:p>
    <w:p w14:paraId="3FD3DE2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Качество сдаваемых машин БТ низкое. Все машины идут в войсковые части как учебные. На качестве машин отражается отсутствие разработанного до настоящего времени технологического процесса по термической обработке ответственных деталей БТ на ХПЗ. Так, в машинах майского выпуска отмечалось скручивание вала и выкрашивание зубьев шестерен коробки скоростей, а также заедание шлицевых соединений.</w:t>
      </w:r>
    </w:p>
    <w:p w14:paraId="3DFD7B92" w14:textId="75F90DB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имеющимся уже данным войсковых маневров БВО, все отмеченные выше недочеты имели место и в танках августовского выпуска. В первый же день маневров половина машин вышла из строя после четвертого учения (пробег 250</w:t>
      </w:r>
      <w:r w:rsidRPr="00E93F40">
        <w:rPr>
          <w:rFonts w:ascii="Times New Roman" w:hAnsi="Times New Roman"/>
          <w:color w:val="000000" w:themeColor="text1"/>
          <w:sz w:val="16"/>
          <w:szCs w:val="16"/>
        </w:rPr>
        <w:noBreakHyphen/>
        <w:t>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из 28 машин осталось на ходу только 7.</w:t>
      </w:r>
    </w:p>
    <w:p w14:paraId="407A52E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Танки Т-26 («Виккерса»)</w:t>
      </w:r>
    </w:p>
    <w:p w14:paraId="2FCA361D" w14:textId="69214EF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сентября заводом им. Ворошилова сдано всего 362 танка Т</w:t>
      </w:r>
      <w:r w:rsidRPr="00E93F40">
        <w:rPr>
          <w:rFonts w:ascii="Times New Roman" w:hAnsi="Times New Roman"/>
          <w:color w:val="000000" w:themeColor="text1"/>
          <w:sz w:val="16"/>
          <w:szCs w:val="16"/>
        </w:rPr>
        <w:noBreakHyphen/>
        <w:t>26 вместо 1660 машин по первоначальной планировке НКТП и 1200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 корректированному плану. При этом 19 машин из них сданы как учебные и 22 без башен. Из общего числа 362 машин 121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августовского выпуска. На сентябрь месяц НКТП установлена программа выпуска 200 машин вместо 450 по первоначальному плану.</w:t>
      </w:r>
    </w:p>
    <w:p w14:paraId="7B8ACF19" w14:textId="792419F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выпуске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сентября 362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машин Т</w:t>
      </w:r>
      <w:r w:rsidRPr="00E93F40">
        <w:rPr>
          <w:rFonts w:ascii="Times New Roman" w:hAnsi="Times New Roman"/>
          <w:color w:val="000000" w:themeColor="text1"/>
          <w:sz w:val="16"/>
          <w:szCs w:val="16"/>
        </w:rPr>
        <w:noBreakHyphen/>
        <w:t>26 собранных машин на тот же период было 559, что говорит о большем разрыве между сборкой машин и их фактическим выпуском (до 196 машин). Из числа собранных машин 180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не были обеспечены башнями из-за задержки их механической обработки (расточка погон башни).</w:t>
      </w:r>
    </w:p>
    <w:p w14:paraId="1737E6C0" w14:textId="0F8DB00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новой программой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Ворошилова должен был дать 250 машин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с обработкой всех деталей у себя. Однако выпуск этих машин оттянулся на два месяца, а детали с кооперированных заводов начали поступать лишь с мая месяца (вместо апреля) и то некомплектно. С августа месяца наметился значительный перелом в работе кооперированных заводов («Красный Путиловец», «Красный Октябрь» 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 ВОАО) по комплектной подаче деталей Т</w:t>
      </w:r>
      <w:r w:rsidRPr="00E93F40">
        <w:rPr>
          <w:rFonts w:ascii="Times New Roman" w:hAnsi="Times New Roman"/>
          <w:color w:val="000000" w:themeColor="text1"/>
          <w:sz w:val="16"/>
          <w:szCs w:val="16"/>
        </w:rPr>
        <w:noBreakHyphen/>
        <w:t>26. Однако и при этом условии окончательная сборка машин по-прежнему сильно отстает от месячных заданий. В сентябре вместо намеченных по минимальному плану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сдано всего 148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569C002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Броня</w:t>
      </w:r>
    </w:p>
    <w:p w14:paraId="39BFD9E6" w14:textId="31963F4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сентября программа по броне основными заводами выполнена: Ижорским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38% от планировки НКТП (по бронекорпусам). Мариупольским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25,6%. Только ввиду сильного запоздания с развертыванием производства танков броня на сегодня не является более «узким» местом танкостроения.</w:t>
      </w:r>
    </w:p>
    <w:p w14:paraId="101729B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Развитие танкостроения первое время действительно упиралось в броневую базу. В связи с большими перебоями по снабжению ферросплавами, особенно никелем и молибденом, срывался выпуск легированных марок брони (молибденовой, «Вибрак»). Углеродистая цементованная броня не оправдала возлагаемых на нее надежд, давая в производстве почти 100</w:t>
      </w:r>
      <w:r w:rsidRPr="00E93F40">
        <w:rPr>
          <w:rFonts w:ascii="Times New Roman" w:hAnsi="Times New Roman"/>
          <w:color w:val="000000" w:themeColor="text1"/>
          <w:sz w:val="16"/>
          <w:szCs w:val="16"/>
        </w:rPr>
        <w:noBreakHyphen/>
        <w:t>процентный брак. Танкостроение в период мая—июля месяцев поэтому переживало серьезный кризис.</w:t>
      </w:r>
    </w:p>
    <w:p w14:paraId="63A73CAC" w14:textId="2F7187D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последний период времени Ижорский и Мариупольский заводы перешли полностью на производство новых марок брони. Ижорский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хромо-кремнисто-марганцовистую марки «ПИ» и Мариупольский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марку «МИ», двухслойную марганцовистую, не требующих применения дорогих импортных ферросплавов (никеля и молибдена), а также длительного и дорогого процесса цементации. Производство хромокремнистой и марганцовистой брони, как не требующей дорогого и специального оборудования, может быть поставлено на любом металлургическом заводе, имеющем опыт по выпуску качественных сталей.</w:t>
      </w:r>
    </w:p>
    <w:p w14:paraId="21CF765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Опыты по постановке на производство двухслойной марганцовистой брони в настоящее время ведутся также на Кулебакском заводе, наравне с производством опытных партий брони АТБ ОГПУ (цементованная хромо-марганцовистая марка).</w:t>
      </w:r>
    </w:p>
    <w:p w14:paraId="2EFCAC7F" w14:textId="6F5281B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проблема получения танковой брони, удовлетворяющей всем потребностям как производственным, так и по стойкости по обстрелу в настоящее время еще не решена. Вместо 13 и 10</w:t>
      </w:r>
      <w:r w:rsidRPr="00E93F40">
        <w:rPr>
          <w:rFonts w:ascii="Times New Roman" w:hAnsi="Times New Roman"/>
          <w:color w:val="000000" w:themeColor="text1"/>
          <w:sz w:val="16"/>
          <w:szCs w:val="16"/>
        </w:rPr>
        <w:noBreakHyphen/>
        <w:t>мм брони на танк Т</w:t>
      </w:r>
      <w:r w:rsidRPr="00E93F40">
        <w:rPr>
          <w:rFonts w:ascii="Times New Roman" w:hAnsi="Times New Roman"/>
          <w:color w:val="000000" w:themeColor="text1"/>
          <w:sz w:val="16"/>
          <w:szCs w:val="16"/>
        </w:rPr>
        <w:noBreakHyphen/>
        <w:t>26 ныне ставится броня марки «ПИ» 15</w:t>
      </w:r>
      <w:r w:rsidRPr="00E93F40">
        <w:rPr>
          <w:rFonts w:ascii="Times New Roman" w:hAnsi="Times New Roman"/>
          <w:color w:val="000000" w:themeColor="text1"/>
          <w:sz w:val="16"/>
          <w:szCs w:val="16"/>
        </w:rPr>
        <w:noBreakHyphen/>
        <w:t>мм толщины, что приводит к утяжелению корпуса до 800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Необходимо отметить, что вся опытная работа по броне из-за отсутствия руководящего центра идет в основном самотеком, только по инициативе самих заводов.</w:t>
      </w:r>
    </w:p>
    <w:p w14:paraId="2E724E6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Моторы</w:t>
      </w:r>
    </w:p>
    <w:p w14:paraId="72362C64" w14:textId="6EAA415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по танку Т</w:t>
      </w:r>
      <w:r w:rsidRPr="00E93F40">
        <w:rPr>
          <w:rFonts w:ascii="Times New Roman" w:hAnsi="Times New Roman"/>
          <w:color w:val="000000" w:themeColor="text1"/>
          <w:sz w:val="16"/>
          <w:szCs w:val="16"/>
        </w:rPr>
        <w:noBreakHyphen/>
        <w:t>26 обеспечена моторами, изготовляемыми заводом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Ворошилова. Программа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быстроходным танкам БТ обеспечена моторами «Либерти», закупленными в САСШ и моторами М</w:t>
      </w:r>
      <w:r w:rsidRPr="00E93F40">
        <w:rPr>
          <w:rFonts w:ascii="Times New Roman" w:hAnsi="Times New Roman"/>
          <w:color w:val="000000" w:themeColor="text1"/>
          <w:sz w:val="16"/>
          <w:szCs w:val="16"/>
        </w:rPr>
        <w:noBreakHyphen/>
        <w:t>5, переданными из авиации.</w:t>
      </w:r>
    </w:p>
    <w:p w14:paraId="2351DEE8" w14:textId="7C4C25C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сентября заводом «Красный Октябрь» ВОАО и Авиаремтрестом отремонтировано около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моторов. Однако ввиду неналаженности производства частей, требующихся для восстановления мотора (поршневые кольца, поршни, шестерни коленчатого вала), ремонт моторов производится путем «раздевания» нескольких моторов, что, естественно, связано с большим отходом их. До настоящего времени также не налажено производство запасных частей к мотору М</w:t>
      </w:r>
      <w:r w:rsidRPr="00E93F40">
        <w:rPr>
          <w:rFonts w:ascii="Times New Roman" w:hAnsi="Times New Roman"/>
          <w:color w:val="000000" w:themeColor="text1"/>
          <w:sz w:val="16"/>
          <w:szCs w:val="16"/>
        </w:rPr>
        <w:noBreakHyphen/>
        <w:t>5 «Либерти». На совещании в НКТП у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Доценко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были разработаны задания заводам ленинградской промышленности по организации производства запчастей к этому мотору, однако в жизнь они еще не проведены.</w:t>
      </w:r>
    </w:p>
    <w:p w14:paraId="16E13763" w14:textId="1F751E9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НКТП нет ясности, как будет обеспечена моторами программа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танкам БТ. В свое время НКТП решил организовать производство моторов М</w:t>
      </w:r>
      <w:r w:rsidRPr="00E93F40">
        <w:rPr>
          <w:rFonts w:ascii="Times New Roman" w:hAnsi="Times New Roman"/>
          <w:color w:val="000000" w:themeColor="text1"/>
          <w:sz w:val="16"/>
          <w:szCs w:val="16"/>
        </w:rPr>
        <w:noBreakHyphen/>
        <w:t>5 на заводе «Красный Октябрь» в Ленинграде. Во исполнение этого решения ВОАО в марте месяце было дано задание Гипроспецмету на разработку проекта по выпуску на этом заводе 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моторов М</w:t>
      </w:r>
      <w:r w:rsidRPr="00E93F40">
        <w:rPr>
          <w:rFonts w:ascii="Times New Roman" w:hAnsi="Times New Roman"/>
          <w:color w:val="000000" w:themeColor="text1"/>
          <w:sz w:val="16"/>
          <w:szCs w:val="16"/>
        </w:rPr>
        <w:noBreakHyphen/>
        <w:t>5 начиная с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Намерение это было явно непродуманно, так как абсолютно ясна нецелесообразность постройки фактически нового завода по производству моторов в Ленинграде для Харькова. Естественно, когда поразобрались с вопросом, это решение было отменено. В настоящее время стоит вопрос о постановке на танки БТ дизель-мотора 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Имеется изготовленный образец. Однако он еще не проверен испытанием, и не определена для его производства соответствующая база. Таким образом, на сегодня вопрос о моторе для танка БТ по программе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остается открытым.</w:t>
      </w:r>
    </w:p>
    <w:p w14:paraId="591680E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 Шарикоподшипники</w:t>
      </w:r>
    </w:p>
    <w:p w14:paraId="4F5C9ACD" w14:textId="3BA0141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Танковая программа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шарикоподшипниками обеспечена главным образом за счет импорта. Удовлетворение танковой программы за счет производства отечественных заводов (2</w:t>
      </w:r>
      <w:r w:rsidRPr="00E93F40">
        <w:rPr>
          <w:rFonts w:ascii="Times New Roman" w:hAnsi="Times New Roman"/>
          <w:color w:val="000000" w:themeColor="text1"/>
          <w:sz w:val="16"/>
          <w:szCs w:val="16"/>
        </w:rPr>
        <w:noBreakHyphen/>
        <w:t>й и 1</w:t>
      </w:r>
      <w:r w:rsidRPr="00E93F40">
        <w:rPr>
          <w:rFonts w:ascii="Times New Roman" w:hAnsi="Times New Roman"/>
          <w:color w:val="000000" w:themeColor="text1"/>
          <w:sz w:val="16"/>
          <w:szCs w:val="16"/>
        </w:rPr>
        <w:noBreakHyphen/>
        <w:t>й ГПЗ) составляет не более 10</w:t>
      </w:r>
      <w:r w:rsidRPr="00E93F40">
        <w:rPr>
          <w:rFonts w:ascii="Times New Roman" w:hAnsi="Times New Roman"/>
          <w:color w:val="000000" w:themeColor="text1"/>
          <w:sz w:val="16"/>
          <w:szCs w:val="16"/>
        </w:rPr>
        <w:noBreakHyphen/>
        <w:t>15% общей потребности по количеству, а по ценности еще меньше, так как самые сложные и дорогие подшипники пока идут исключительно по импорту. Заказ на 2725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по импорту, отпущенных для нужд танковой программы, еще полностью не реализован.</w:t>
      </w:r>
    </w:p>
    <w:p w14:paraId="2EAB85BD" w14:textId="0BC6C75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НКТП нет ясности, как будет обеспечена шарикоподшипниками танковая программа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Постановление СТО от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1037/307сс¹*, изданное на основе доклада ВМИ ЦКК РКИ, обязывающее НКТП и ВАТО разработать программу и соответствующие мероприятия под углом обеспечения оборонной программы, не прибегая к импорту шарикоподшипников начиная с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пока еще не выполнено.</w:t>
      </w:r>
    </w:p>
    <w:p w14:paraId="0536604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 Электрооборудование</w:t>
      </w:r>
    </w:p>
    <w:p w14:paraId="12185B9D" w14:textId="4D25ECE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Танковая программа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части электрооборудования обеспечена исключительно за счет импорта. Несмотря на приказ НКТП²* т.</w:t>
      </w:r>
      <w:r w:rsidR="007C1411" w:rsidRPr="00E93F40">
        <w:rPr>
          <w:rFonts w:ascii="Times New Roman" w:hAnsi="Times New Roman"/>
          <w:color w:val="000000" w:themeColor="text1"/>
          <w:sz w:val="16"/>
          <w:szCs w:val="16"/>
        </w:rPr>
        <w:t xml:space="preserve"> </w:t>
      </w:r>
      <w:hyperlink r:id="rId237" w:history="1">
        <w:r w:rsidRPr="00E93F40">
          <w:rPr>
            <w:rStyle w:val="a5"/>
            <w:rFonts w:ascii="Times New Roman" w:hAnsi="Times New Roman"/>
            <w:color w:val="000000" w:themeColor="text1"/>
            <w:sz w:val="16"/>
            <w:szCs w:val="16"/>
            <w:u w:val="none"/>
          </w:rPr>
          <w:t>Орджоникидзе</w:t>
        </w:r>
      </w:hyperlink>
      <w:r w:rsidRPr="00E93F40">
        <w:rPr>
          <w:rFonts w:ascii="Times New Roman" w:hAnsi="Times New Roman"/>
          <w:color w:val="000000" w:themeColor="text1"/>
          <w:sz w:val="16"/>
          <w:szCs w:val="16"/>
        </w:rPr>
        <w:t xml:space="preserve"> от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27/сс, устанавливающий программу [по] выпуску электрооборудования для танков на «Электрозаводе» начиная с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постановления Президиума ЦКК ВКП(б)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коллегии 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от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 к серийному производству танкового электрооборудования и аппаратуры «Электрозаводом» еще не приступлено.</w:t>
      </w:r>
    </w:p>
    <w:p w14:paraId="4B7F4504" w14:textId="5F7C65C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«Электрозаводом» изготовляются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опытных образцов магнето с автоматическим опережением (тип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 причем серийный выпуск таковых заводом откладывается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 производству опытных образцов магнето с автоматом типа «SS» Сцинтилла, лучшего, чем тип «А», «Электрозаводом» еще не приступлено. Изготовлены и временно допущены к постановке на машины БТ и Т</w:t>
      </w:r>
      <w:r w:rsidRPr="00E93F40">
        <w:rPr>
          <w:rFonts w:ascii="Times New Roman" w:hAnsi="Times New Roman"/>
          <w:color w:val="000000" w:themeColor="text1"/>
          <w:sz w:val="16"/>
          <w:szCs w:val="16"/>
        </w:rPr>
        <w:noBreakHyphen/>
        <w:t>26 опытные образцы генераторов, а также стартер для танка БТ. Стартер для танка Т</w:t>
      </w:r>
      <w:r w:rsidRPr="00E93F40">
        <w:rPr>
          <w:rFonts w:ascii="Times New Roman" w:hAnsi="Times New Roman"/>
          <w:color w:val="000000" w:themeColor="text1"/>
          <w:sz w:val="16"/>
          <w:szCs w:val="16"/>
        </w:rPr>
        <w:noBreakHyphen/>
        <w:t>26 находится еще в процессе испытания.</w:t>
      </w:r>
    </w:p>
    <w:p w14:paraId="6C878005" w14:textId="0820D01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заявку УММ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РККА еще в феврале месяце текущего года, ВЭО до настоящего времени не разместило заказ по заводам на изготовление опытных образцов оборудования, необходимого для электрификации танка, как-то: генераторы и электромоторы для вращения танковых башен, вентиляторов, стробоскопов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w:t>
      </w:r>
    </w:p>
    <w:p w14:paraId="25472A4B" w14:textId="3F605E8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Существующее положение с конструированием и производством танкового оборудования делает неизбежной импортную зависимость и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62E3712" w14:textId="0050B7E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VII. Причины срыва танковой программы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26036D61" w14:textId="44D1D2A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результаты 9</w:t>
      </w:r>
      <w:r w:rsidRPr="00E93F40">
        <w:rPr>
          <w:rFonts w:ascii="Times New Roman" w:hAnsi="Times New Roman"/>
          <w:color w:val="000000" w:themeColor="text1"/>
          <w:sz w:val="16"/>
          <w:szCs w:val="16"/>
        </w:rPr>
        <w:noBreakHyphen/>
        <w:t>месячной работы и перспективы IV квартала приводят к неизбежному выводу о срыве Наркомтяжпромом правительственного задания по танкостроению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C87F2C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Причин этого срыва можно привести очень много как технического, так и организационного порядка; о технических недочетах и недочетах в снабжении уже неоднократно докладывалось руководителями заводов и, безусловно, будет достаточно подробно сказано и на предстоящем заседании КО. Однако основной решающей причиной срыва правительственного задания, причиной многочисленных технических и организационных недочетов производства танков явилось явно неудовлетворительное руководство НКТП и обезличка в ответственности за выполнение программы.</w:t>
      </w:r>
    </w:p>
    <w:p w14:paraId="3679ECFA" w14:textId="1AB5FE5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руководства НКТП. Выполнение задания по производству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танков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прежде всего требовало от НКТП глубоко продуманной организации постановки и развертывания производства на основе тщательного учета всех производственных возможностей и материальных ресурсов. Вместо этого НКТП ограничился выпуском формального приказа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27сс, носящего явные следы канцелярского творчества, нежизненность которого сказалась буквально через несколько дней по его выходе, что было фактически признано и самим НКТП.</w:t>
      </w:r>
    </w:p>
    <w:p w14:paraId="7E84F248" w14:textId="3B2D40C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Капитальное строительство на сумму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на заводе «Красный котельщик» Котлотурбины для постановки производства бронекорпусов для танков БТ оказалось нежизненным, ибо сама сборка корпусов на этом заводе для ХПЗ оказалась явно нецелесообразной. Так же обязанности ВАТО по обеспечению танковой программы шарико-, роликоподшипниками оказались пустой фразой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сейчас же после выхода приказа было принято решение перейти на их импорт. Основной </w:t>
      </w:r>
      <w:r w:rsidRPr="00E93F40">
        <w:rPr>
          <w:rFonts w:ascii="Times New Roman" w:hAnsi="Times New Roman"/>
          <w:color w:val="000000" w:themeColor="text1"/>
          <w:sz w:val="16"/>
          <w:szCs w:val="16"/>
        </w:rPr>
        <w:lastRenderedPageBreak/>
        <w:t>решающий вопрос об обеспечении программы материалами фактически совершенно не был отражен в приказе. Система кооперирования заводов оказалась недоработанной.</w:t>
      </w:r>
    </w:p>
    <w:p w14:paraId="4D4FAE97" w14:textId="61F20A4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тому же пути формальных распоряжений пошли и исполнители, еще более запутывая положение. Так, во исполнение приказа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27 по Т</w:t>
      </w:r>
      <w:r w:rsidRPr="00E93F40">
        <w:rPr>
          <w:rFonts w:ascii="Times New Roman" w:hAnsi="Times New Roman"/>
          <w:color w:val="000000" w:themeColor="text1"/>
          <w:sz w:val="16"/>
          <w:szCs w:val="16"/>
        </w:rPr>
        <w:noBreakHyphen/>
        <w:t>26 было отдано формальное распоряжение производить с мая месяца по 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танков. Нарастание мощностей, процесс освоения производства оказался неизвестным для руководителей промышленности. Результат, и скверный результат, сказался после первых уже месяцев. Вместо конкретного твердого руководства, борьбы за выполнение плана на деле получилось³* изменение планов. Такая практика руководства плюс полная дезорганизация в снабжении материалами окончательно дезориентировали заводы и подорвали в них уверенность в реальность всего плана. Директивная часть приказа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27сс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«Программу изготовления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танков полностью и безоговорочно закончить к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оказалась пустой громкой фразой, в чем в первую очередь повинно само руководство НКТП, совершенно не сумевшее эту правильную директиву подкрепить конкретным руководством и правильной организацией производства и обеспечения его всеми необходимыми материалами.</w:t>
      </w:r>
    </w:p>
    <w:p w14:paraId="04E9A935" w14:textId="75ECE6E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Ответственность исполнения. Наряду с разбродом в руководстве на деле получилась и обезличка в ответственности. Приказ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27сс распределил персональную ответственность по объектам,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Павлуновский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 Т-27 и броневую базу,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Будняк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 Т</w:t>
      </w:r>
      <w:r w:rsidRPr="00E93F40">
        <w:rPr>
          <w:rFonts w:ascii="Times New Roman" w:hAnsi="Times New Roman"/>
          <w:color w:val="000000" w:themeColor="text1"/>
          <w:sz w:val="16"/>
          <w:szCs w:val="16"/>
        </w:rPr>
        <w:noBreakHyphen/>
        <w:t>26 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Мартинович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 БТ. На деле из этой ответственности ничего не получилось.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Будняк, отвечая за Т-26 мог только за свои заводы, не распоряжаясь всеми остальными кооперированными заводами («Красный Путиловец», Ижорский, Люберецкий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фактически оказался не ответственным за программу по Т</w:t>
      </w:r>
      <w:r w:rsidRPr="00E93F40">
        <w:rPr>
          <w:rFonts w:ascii="Times New Roman" w:hAnsi="Times New Roman"/>
          <w:color w:val="000000" w:themeColor="text1"/>
          <w:sz w:val="16"/>
          <w:szCs w:val="16"/>
        </w:rPr>
        <w:noBreakHyphen/>
        <w:t>26 в целом. Тов. Мартинович вскоре совсем выбыл. Сменивший его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Доценко оказался в таком же положении, как 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Будняк.</w:t>
      </w:r>
    </w:p>
    <w:p w14:paraId="130CFB46" w14:textId="79C62ED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по БТ выпускается утвержденный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Доценко план сборки машин на июнь месяц, вместе с этим отдельно дается утвержденный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Павлуновским план работы кооперированных заводов и все это сопровождается телеграммой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Орджоникидзе, утверждающей оба плана. Если присоединить сюда фактические частые распоряжения, отдаваемые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Орджоникидзе, Доценко, Павлуновским, Будняком, то разброд руководства и обезличка в ответственности предстанет в самом ярком виде.</w:t>
      </w:r>
    </w:p>
    <w:p w14:paraId="74105590" w14:textId="6BDCA71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VIII. Состояние производства и подготовки к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1AF6ACD" w14:textId="52F3E2B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явный провал руководства, провал всей системы снабжения (ленинградские заводы буквально перебиваются изо дня ко дню), остающуюся зависимость от импорта и, наконец, срыв всей программы, НКТПром до сих пор не сделал из этого должных выводов и по настоящему не готовится к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продолжая по инерции выпускать свои месячные планы, мало чем отличающиеся в смысле своего реального обеспечения от предыдущих планов. Между тем вопросы организации, снабжения, освобождения от импортной зависимости немедленно требуют чрезвычайно серьезной подготовки к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без проведения которой может повториться та же неприглядная картина, что и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1A10D1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Выводы</w:t>
      </w:r>
    </w:p>
    <w:p w14:paraId="0A811F27" w14:textId="0FB53113"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I.</w:t>
      </w:r>
      <w:r w:rsidR="007C1411" w:rsidRPr="00E93F40">
        <w:rPr>
          <w:color w:val="000000" w:themeColor="text1"/>
          <w:sz w:val="16"/>
          <w:szCs w:val="16"/>
        </w:rPr>
        <w:t xml:space="preserve"> </w:t>
      </w:r>
      <w:r w:rsidRPr="00E93F40">
        <w:rPr>
          <w:color w:val="000000" w:themeColor="text1"/>
          <w:sz w:val="16"/>
          <w:szCs w:val="16"/>
        </w:rPr>
        <w:t>Учитывая опыт 1932</w:t>
      </w:r>
      <w:r w:rsidR="007C1411" w:rsidRPr="00E93F40">
        <w:rPr>
          <w:color w:val="000000" w:themeColor="text1"/>
          <w:sz w:val="16"/>
          <w:szCs w:val="16"/>
        </w:rPr>
        <w:t xml:space="preserve"> </w:t>
      </w:r>
      <w:r w:rsidRPr="00E93F40">
        <w:rPr>
          <w:color w:val="000000" w:themeColor="text1"/>
          <w:sz w:val="16"/>
          <w:szCs w:val="16"/>
        </w:rPr>
        <w:t>г., необходимо немедленно разрешить вопрос о правильной организации танковой промышленности, для чего:</w:t>
      </w:r>
    </w:p>
    <w:p w14:paraId="1694DA2F" w14:textId="1DF5E020"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Создать специальный танковый трест, включив в него заводы: ХПЗ, им.</w:t>
      </w:r>
      <w:r w:rsidR="007C1411" w:rsidRPr="00E93F40">
        <w:rPr>
          <w:color w:val="000000" w:themeColor="text1"/>
          <w:sz w:val="16"/>
          <w:szCs w:val="16"/>
        </w:rPr>
        <w:t xml:space="preserve"> </w:t>
      </w:r>
      <w:r w:rsidRPr="00E93F40">
        <w:rPr>
          <w:color w:val="000000" w:themeColor="text1"/>
          <w:sz w:val="16"/>
          <w:szCs w:val="16"/>
        </w:rPr>
        <w:t>Ворошилова, «Красный Октябрь», ВОАО и завод №</w:t>
      </w:r>
      <w:r w:rsidR="007C1411" w:rsidRPr="00E93F40">
        <w:rPr>
          <w:color w:val="000000" w:themeColor="text1"/>
          <w:sz w:val="16"/>
          <w:szCs w:val="16"/>
        </w:rPr>
        <w:t xml:space="preserve"> </w:t>
      </w:r>
      <w:r w:rsidRPr="00E93F40">
        <w:rPr>
          <w:color w:val="000000" w:themeColor="text1"/>
          <w:sz w:val="16"/>
          <w:szCs w:val="16"/>
        </w:rPr>
        <w:t>2 ВАТО, организовав при нем специальный танковый научно-исследовательский институт на базе опытного отдела завода им.</w:t>
      </w:r>
      <w:r w:rsidR="007C1411" w:rsidRPr="00E93F40">
        <w:rPr>
          <w:color w:val="000000" w:themeColor="text1"/>
          <w:sz w:val="16"/>
          <w:szCs w:val="16"/>
        </w:rPr>
        <w:t xml:space="preserve"> </w:t>
      </w:r>
      <w:r w:rsidRPr="00E93F40">
        <w:rPr>
          <w:color w:val="000000" w:themeColor="text1"/>
          <w:sz w:val="16"/>
          <w:szCs w:val="16"/>
        </w:rPr>
        <w:t>Ворошилова.</w:t>
      </w:r>
    </w:p>
    <w:p w14:paraId="67830DB2" w14:textId="3A5024F7"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Создать на базе ВАТО Главное автотракторное управление, включив в него вновь организуемый танковый трест.</w:t>
      </w:r>
    </w:p>
    <w:p w14:paraId="29B15097" w14:textId="31A28A51"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Внутри Главного автотракторного управления создать специальный броневой трест, включив в него заводы: Ижорский, Мариупольский, Выксунский и Кулебакский металлургические.</w:t>
      </w:r>
    </w:p>
    <w:p w14:paraId="126D6C0D" w14:textId="3BFBE770"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II.</w:t>
      </w:r>
      <w:r w:rsidR="007C1411" w:rsidRPr="00E93F40">
        <w:rPr>
          <w:color w:val="000000" w:themeColor="text1"/>
          <w:sz w:val="16"/>
          <w:szCs w:val="16"/>
        </w:rPr>
        <w:t xml:space="preserve"> </w:t>
      </w:r>
      <w:r w:rsidRPr="00E93F40">
        <w:rPr>
          <w:color w:val="000000" w:themeColor="text1"/>
          <w:sz w:val="16"/>
          <w:szCs w:val="16"/>
        </w:rPr>
        <w:t>Обязать НКТП на основе утвержденного правительственного задания на 1933</w:t>
      </w:r>
      <w:r w:rsidR="007C1411" w:rsidRPr="00E93F40">
        <w:rPr>
          <w:color w:val="000000" w:themeColor="text1"/>
          <w:sz w:val="16"/>
          <w:szCs w:val="16"/>
        </w:rPr>
        <w:t xml:space="preserve"> </w:t>
      </w:r>
      <w:r w:rsidRPr="00E93F40">
        <w:rPr>
          <w:color w:val="000000" w:themeColor="text1"/>
          <w:sz w:val="16"/>
          <w:szCs w:val="16"/>
        </w:rPr>
        <w:t>г. не позднее 15</w:t>
      </w:r>
      <w:r w:rsidR="007C1411" w:rsidRPr="00E93F40">
        <w:rPr>
          <w:color w:val="000000" w:themeColor="text1"/>
          <w:sz w:val="16"/>
          <w:szCs w:val="16"/>
        </w:rPr>
        <w:t xml:space="preserve"> </w:t>
      </w:r>
      <w:r w:rsidRPr="00E93F40">
        <w:rPr>
          <w:color w:val="000000" w:themeColor="text1"/>
          <w:sz w:val="16"/>
          <w:szCs w:val="16"/>
        </w:rPr>
        <w:t>ноября представить полный план организации танкового производства для 1933</w:t>
      </w:r>
      <w:r w:rsidR="007C1411" w:rsidRPr="00E93F40">
        <w:rPr>
          <w:color w:val="000000" w:themeColor="text1"/>
          <w:sz w:val="16"/>
          <w:szCs w:val="16"/>
        </w:rPr>
        <w:t xml:space="preserve"> </w:t>
      </w:r>
      <w:r w:rsidRPr="00E93F40">
        <w:rPr>
          <w:color w:val="000000" w:themeColor="text1"/>
          <w:sz w:val="16"/>
          <w:szCs w:val="16"/>
        </w:rPr>
        <w:t>г., с точным указанием всех кооперируемых заводов и их производственными программами, планом материального обеспечения и планом развертывания производства в направлении полного освобождения к концу 1933</w:t>
      </w:r>
      <w:r w:rsidR="007C1411" w:rsidRPr="00E93F40">
        <w:rPr>
          <w:color w:val="000000" w:themeColor="text1"/>
          <w:sz w:val="16"/>
          <w:szCs w:val="16"/>
        </w:rPr>
        <w:t xml:space="preserve"> </w:t>
      </w:r>
      <w:r w:rsidRPr="00E93F40">
        <w:rPr>
          <w:color w:val="000000" w:themeColor="text1"/>
          <w:sz w:val="16"/>
          <w:szCs w:val="16"/>
        </w:rPr>
        <w:t>г. от импортной зависимости танкового производства.</w:t>
      </w:r>
    </w:p>
    <w:p w14:paraId="0AD6F53C" w14:textId="123400AE"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III.</w:t>
      </w:r>
      <w:r w:rsidR="007C1411" w:rsidRPr="00E93F40">
        <w:rPr>
          <w:color w:val="000000" w:themeColor="text1"/>
          <w:sz w:val="16"/>
          <w:szCs w:val="16"/>
        </w:rPr>
        <w:t xml:space="preserve"> </w:t>
      </w:r>
      <w:r w:rsidRPr="00E93F40">
        <w:rPr>
          <w:color w:val="000000" w:themeColor="text1"/>
          <w:sz w:val="16"/>
          <w:szCs w:val="16"/>
        </w:rPr>
        <w:t>В целях планомерной подготовки к 1933</w:t>
      </w:r>
      <w:r w:rsidR="007C1411" w:rsidRPr="00E93F40">
        <w:rPr>
          <w:color w:val="000000" w:themeColor="text1"/>
          <w:sz w:val="16"/>
          <w:szCs w:val="16"/>
        </w:rPr>
        <w:t xml:space="preserve"> </w:t>
      </w:r>
      <w:r w:rsidRPr="00E93F40">
        <w:rPr>
          <w:color w:val="000000" w:themeColor="text1"/>
          <w:sz w:val="16"/>
          <w:szCs w:val="16"/>
        </w:rPr>
        <w:t>г. обязать НКТПром в декадный срок представить реальный план танкового производства на IV</w:t>
      </w:r>
      <w:r w:rsidR="007C1411" w:rsidRPr="00E93F40">
        <w:rPr>
          <w:color w:val="000000" w:themeColor="text1"/>
          <w:sz w:val="16"/>
          <w:szCs w:val="16"/>
        </w:rPr>
        <w:t xml:space="preserve"> </w:t>
      </w:r>
      <w:r w:rsidRPr="00E93F40">
        <w:rPr>
          <w:color w:val="000000" w:themeColor="text1"/>
          <w:sz w:val="16"/>
          <w:szCs w:val="16"/>
        </w:rPr>
        <w:t>квартал 1932</w:t>
      </w:r>
      <w:r w:rsidR="007C1411" w:rsidRPr="00E93F40">
        <w:rPr>
          <w:color w:val="000000" w:themeColor="text1"/>
          <w:sz w:val="16"/>
          <w:szCs w:val="16"/>
        </w:rPr>
        <w:t xml:space="preserve"> </w:t>
      </w:r>
      <w:r w:rsidRPr="00E93F40">
        <w:rPr>
          <w:color w:val="000000" w:themeColor="text1"/>
          <w:sz w:val="16"/>
          <w:szCs w:val="16"/>
        </w:rPr>
        <w:t>г., обеспечивающий в то же время максимальное развертывание производства с начала 1933</w:t>
      </w:r>
      <w:r w:rsidR="007C1411" w:rsidRPr="00E93F40">
        <w:rPr>
          <w:color w:val="000000" w:themeColor="text1"/>
          <w:sz w:val="16"/>
          <w:szCs w:val="16"/>
        </w:rPr>
        <w:t xml:space="preserve"> </w:t>
      </w:r>
      <w:r w:rsidRPr="00E93F40">
        <w:rPr>
          <w:color w:val="000000" w:themeColor="text1"/>
          <w:sz w:val="16"/>
          <w:szCs w:val="16"/>
        </w:rPr>
        <w:t>г.</w:t>
      </w:r>
    </w:p>
    <w:p w14:paraId="738AAF59" w14:textId="77777777" w:rsidR="00BC161D" w:rsidRPr="00E93F40" w:rsidRDefault="00BC161D" w:rsidP="00E93F40">
      <w:pPr>
        <w:pStyle w:val="ae"/>
        <w:spacing w:before="0" w:after="0"/>
        <w:jc w:val="both"/>
        <w:rPr>
          <w:color w:val="000000" w:themeColor="text1"/>
          <w:sz w:val="16"/>
          <w:szCs w:val="16"/>
        </w:rPr>
      </w:pPr>
      <w:r w:rsidRPr="00E93F40">
        <w:rPr>
          <w:rStyle w:val="af0"/>
          <w:i w:val="0"/>
          <w:color w:val="000000" w:themeColor="text1"/>
          <w:sz w:val="16"/>
          <w:szCs w:val="16"/>
        </w:rPr>
        <w:t xml:space="preserve">Член коллегии НК РКИ СССР, начальник ВМИ </w:t>
      </w:r>
      <w:hyperlink r:id="rId238" w:history="1">
        <w:r w:rsidRPr="00E93F40">
          <w:rPr>
            <w:rStyle w:val="af0"/>
            <w:i w:val="0"/>
            <w:color w:val="000000" w:themeColor="text1"/>
            <w:sz w:val="16"/>
            <w:szCs w:val="16"/>
          </w:rPr>
          <w:t>Куйбышев</w:t>
        </w:r>
      </w:hyperlink>
    </w:p>
    <w:p w14:paraId="2A75DE26" w14:textId="77777777" w:rsidR="00BC161D" w:rsidRPr="00E93F40" w:rsidRDefault="00BC161D"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06D8122D" w14:textId="549E605B"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 xml:space="preserve">Имеется в виду </w:t>
      </w:r>
      <w:r w:rsidRPr="00E93F40">
        <w:rPr>
          <w:rStyle w:val="af0"/>
          <w:i w:val="0"/>
          <w:color w:val="000000" w:themeColor="text1"/>
          <w:sz w:val="16"/>
          <w:szCs w:val="16"/>
        </w:rPr>
        <w:t>постановление СТО</w:t>
      </w:r>
      <w:r w:rsidR="007C1411" w:rsidRPr="00E93F40">
        <w:rPr>
          <w:rStyle w:val="af0"/>
          <w:i w:val="0"/>
          <w:color w:val="000000" w:themeColor="text1"/>
          <w:sz w:val="16"/>
          <w:szCs w:val="16"/>
        </w:rPr>
        <w:t xml:space="preserve"> </w:t>
      </w:r>
      <w:r w:rsidRPr="00E93F40">
        <w:rPr>
          <w:rStyle w:val="af0"/>
          <w:i w:val="0"/>
          <w:color w:val="000000" w:themeColor="text1"/>
          <w:sz w:val="16"/>
          <w:szCs w:val="16"/>
        </w:rPr>
        <w:t>СССР и Комиссии обороны №</w:t>
      </w:r>
      <w:r w:rsidR="007C1411" w:rsidRPr="00E93F40">
        <w:rPr>
          <w:rStyle w:val="af0"/>
          <w:i w:val="0"/>
          <w:color w:val="000000" w:themeColor="text1"/>
          <w:sz w:val="16"/>
          <w:szCs w:val="16"/>
        </w:rPr>
        <w:t xml:space="preserve"> </w:t>
      </w:r>
      <w:r w:rsidRPr="00E93F40">
        <w:rPr>
          <w:rStyle w:val="af0"/>
          <w:i w:val="0"/>
          <w:color w:val="000000" w:themeColor="text1"/>
          <w:sz w:val="16"/>
          <w:szCs w:val="16"/>
        </w:rPr>
        <w:t>1037/307сс «Об обеспечении шарико-ролико-подшипниками танковой и авиационной программ» от 25</w:t>
      </w:r>
      <w:r w:rsidR="007C1411" w:rsidRPr="00E93F40">
        <w:rPr>
          <w:rStyle w:val="af0"/>
          <w:i w:val="0"/>
          <w:color w:val="000000" w:themeColor="text1"/>
          <w:sz w:val="16"/>
          <w:szCs w:val="16"/>
        </w:rPr>
        <w:t xml:space="preserve"> </w:t>
      </w:r>
      <w:r w:rsidRPr="00E93F40">
        <w:rPr>
          <w:rStyle w:val="af0"/>
          <w:i w:val="0"/>
          <w:color w:val="000000" w:themeColor="text1"/>
          <w:sz w:val="16"/>
          <w:szCs w:val="16"/>
        </w:rPr>
        <w:t>августа 1932</w:t>
      </w:r>
      <w:r w:rsidR="007C1411" w:rsidRPr="00E93F40">
        <w:rPr>
          <w:rStyle w:val="af0"/>
          <w:i w:val="0"/>
          <w:color w:val="000000" w:themeColor="text1"/>
          <w:sz w:val="16"/>
          <w:szCs w:val="16"/>
        </w:rPr>
        <w:t xml:space="preserve"> </w:t>
      </w:r>
      <w:r w:rsidRPr="00E93F40">
        <w:rPr>
          <w:rStyle w:val="af0"/>
          <w:i w:val="0"/>
          <w:color w:val="000000" w:themeColor="text1"/>
          <w:sz w:val="16"/>
          <w:szCs w:val="16"/>
        </w:rPr>
        <w:t>г.</w:t>
      </w:r>
      <w:r w:rsidRPr="00E93F40">
        <w:rPr>
          <w:color w:val="000000" w:themeColor="text1"/>
          <w:sz w:val="16"/>
          <w:szCs w:val="16"/>
        </w:rPr>
        <w:t xml:space="preserve"> (См.: ГА</w:t>
      </w:r>
      <w:r w:rsidR="007C1411" w:rsidRPr="00E93F40">
        <w:rPr>
          <w:color w:val="000000" w:themeColor="text1"/>
          <w:sz w:val="16"/>
          <w:szCs w:val="16"/>
        </w:rPr>
        <w:t xml:space="preserve"> </w:t>
      </w:r>
      <w:r w:rsidRPr="00E93F40">
        <w:rPr>
          <w:color w:val="000000" w:themeColor="text1"/>
          <w:sz w:val="16"/>
          <w:szCs w:val="16"/>
        </w:rPr>
        <w:t>РФ. Ф.</w:t>
      </w:r>
      <w:r w:rsidR="007C1411" w:rsidRPr="00E93F40">
        <w:rPr>
          <w:color w:val="000000" w:themeColor="text1"/>
          <w:sz w:val="16"/>
          <w:szCs w:val="16"/>
        </w:rPr>
        <w:t xml:space="preserve"> </w:t>
      </w:r>
      <w:r w:rsidRPr="00E93F40">
        <w:rPr>
          <w:color w:val="000000" w:themeColor="text1"/>
          <w:sz w:val="16"/>
          <w:szCs w:val="16"/>
        </w:rPr>
        <w:t>Р</w:t>
      </w:r>
      <w:r w:rsidRPr="00E93F40">
        <w:rPr>
          <w:color w:val="000000" w:themeColor="text1"/>
          <w:sz w:val="16"/>
          <w:szCs w:val="16"/>
        </w:rPr>
        <w:noBreakHyphen/>
        <w:t>8418. Оп.</w:t>
      </w:r>
      <w:r w:rsidR="007C1411" w:rsidRPr="00E93F40">
        <w:rPr>
          <w:color w:val="000000" w:themeColor="text1"/>
          <w:sz w:val="16"/>
          <w:szCs w:val="16"/>
        </w:rPr>
        <w:t xml:space="preserve"> </w:t>
      </w:r>
      <w:r w:rsidRPr="00E93F40">
        <w:rPr>
          <w:color w:val="000000" w:themeColor="text1"/>
          <w:sz w:val="16"/>
          <w:szCs w:val="16"/>
        </w:rPr>
        <w:t>28. Д.</w:t>
      </w:r>
      <w:r w:rsidR="007C1411" w:rsidRPr="00E93F40">
        <w:rPr>
          <w:color w:val="000000" w:themeColor="text1"/>
          <w:sz w:val="16"/>
          <w:szCs w:val="16"/>
        </w:rPr>
        <w:t xml:space="preserve"> </w:t>
      </w:r>
      <w:r w:rsidRPr="00E93F40">
        <w:rPr>
          <w:color w:val="000000" w:themeColor="text1"/>
          <w:sz w:val="16"/>
          <w:szCs w:val="16"/>
        </w:rPr>
        <w:t>1а. Л.</w:t>
      </w:r>
      <w:r w:rsidR="007C1411" w:rsidRPr="00E93F40">
        <w:rPr>
          <w:color w:val="000000" w:themeColor="text1"/>
          <w:sz w:val="16"/>
          <w:szCs w:val="16"/>
        </w:rPr>
        <w:t xml:space="preserve"> </w:t>
      </w:r>
      <w:r w:rsidRPr="00E93F40">
        <w:rPr>
          <w:color w:val="000000" w:themeColor="text1"/>
          <w:sz w:val="16"/>
          <w:szCs w:val="16"/>
        </w:rPr>
        <w:t>332</w:t>
      </w:r>
      <w:r w:rsidRPr="00E93F40">
        <w:rPr>
          <w:color w:val="000000" w:themeColor="text1"/>
          <w:sz w:val="16"/>
          <w:szCs w:val="16"/>
        </w:rPr>
        <w:noBreakHyphen/>
        <w:t>333).</w:t>
      </w:r>
    </w:p>
    <w:p w14:paraId="2A3E0EEF" w14:textId="602D6CB0"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Имеется в виду нарком тяжелой промышленности.</w:t>
      </w:r>
    </w:p>
    <w:p w14:paraId="29CF9E59" w14:textId="70706979"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Далее одно слово неразборчиво.</w:t>
      </w:r>
    </w:p>
    <w:p w14:paraId="1CFA86AA" w14:textId="77777777" w:rsidR="00BC161D" w:rsidRPr="00E93F40" w:rsidRDefault="00BC161D" w:rsidP="00E93F40">
      <w:pPr>
        <w:pStyle w:val="ae"/>
        <w:spacing w:before="0" w:after="0"/>
        <w:jc w:val="both"/>
        <w:rPr>
          <w:color w:val="000000" w:themeColor="text1"/>
          <w:sz w:val="16"/>
          <w:szCs w:val="16"/>
        </w:rPr>
      </w:pPr>
      <w:r w:rsidRPr="00E93F40">
        <w:rPr>
          <w:color w:val="000000" w:themeColor="text1"/>
          <w:sz w:val="16"/>
          <w:szCs w:val="16"/>
        </w:rPr>
        <w:t>ГА РФ. Ф. Р-8418. Оп. 6. Д. 45. Л. 141—145. Подлинник.</w:t>
      </w:r>
    </w:p>
    <w:p w14:paraId="520CE26D" w14:textId="2EC31DD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ГА РФ. Ф. Р-8418. Оп. 6. Д. 45. Л. 141—145. Подлинник. </w:t>
      </w:r>
    </w:p>
    <w:p w14:paraId="5357520D" w14:textId="0992C51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717-722 (12573).</w:t>
      </w:r>
    </w:p>
    <w:p w14:paraId="57F3B07C" w14:textId="77777777" w:rsidR="00BC161D" w:rsidRPr="00E93F40" w:rsidRDefault="00BC161D" w:rsidP="00E93F40">
      <w:pPr>
        <w:pStyle w:val="rtejustify"/>
        <w:spacing w:before="0" w:after="0"/>
        <w:rPr>
          <w:rStyle w:val="af0"/>
          <w:i w:val="0"/>
          <w:color w:val="000000" w:themeColor="text1"/>
          <w:sz w:val="16"/>
          <w:szCs w:val="16"/>
        </w:rPr>
      </w:pPr>
    </w:p>
    <w:p w14:paraId="728DBB6A"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1932 г. начальник ВМИ НКРКИ СССР Н.В. Куйбышев направил председателю СТО СССР В.М. Молотову Докладную записку о результатах выполнения промышленностью программы по выпуску танков Т-26 и БТ за 8 месяцев 1932 г., в которой, в частности, было отмечено:</w:t>
      </w:r>
    </w:p>
    <w:p w14:paraId="425BCD70"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1932 г. по быстроходным танкам БТ обеспечена моторами "Либерти", закупленными в САСШ и моторами М-5, переданными из авиации.</w:t>
      </w:r>
    </w:p>
    <w:p w14:paraId="56E52C4F"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сентября заводом "Красный Октябрь" ВАТО и Авиаремтрестом отремонтировано около 500 моторов. Однако ввиду неналаженности производства частей, требующихся для восстановления мотора (поршневые кольца, поршни, шестерни коленчатого вала), ремонт моторов производится путем «раздевания» нескольких моторов, что, естественно, связано с большим отходом их. До настоящего времени также не налажено производство запасных частей к мотору М-5 Либерти. На совещании в НКТП у т. ДОЦЕНКО 4-го июля с. г. были разработаны задания заводам ленинградской промышленности по организации производства запчастей к этому мотору, однако в жизнь они еще не проведены.</w:t>
      </w:r>
    </w:p>
    <w:p w14:paraId="30E1BEBF"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НКТП нет ясности, как будет обеспечена моторами программа 1933 г. по танкам БТ. В свое время НКТП решил организовать производство моторов М-5 на заводе "Красный Октябрь" в Ленинграде. Во исполнение этого решения ВАТО в марте месяце было дано задание Гипроспецмету на разработку проекта по выпуску на этом заводе 3 тыс. моторов М-5 начиная с 1933 г. Намерение это было явно непродуманно, так как абсолютно ясна нецелесообразность постройки фактически нового завода по производству моторов в Ленинграде для Харькова. Естественно, когда поразобрались с вопросом, это решение было отменено. В настоящее время стоит вопрос о постановке на танки БТ дизель-мотора 400 л. с. Имеется изготовленный образец [дизель ПГЕ]. Однако он еще не проверен испытанием, и не определена для его производства соответствующая база.</w:t>
      </w:r>
    </w:p>
    <w:p w14:paraId="5F5F7C60"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на сегодня вопрос о моторе для танка БТ по программе 1933 г. остается открытым».</w:t>
      </w:r>
    </w:p>
    <w:p w14:paraId="6D336AA7"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[ГАРФ. Ф. Р-8418. Оп. 6. Д. 45. Л. 141 – 145]</w:t>
      </w:r>
    </w:p>
    <w:p w14:paraId="688F8B91"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Отметим, что в случае получения на испытаниях дизеля ПГЕ положительных результатов и рекомендации для установки его в танки БТ, серийное производство этого двигателя предполагалось организовать на ХПЗ, о чем с руководством завода были достигнуты определенные предварительные договоренности (24856).</w:t>
      </w:r>
    </w:p>
    <w:p w14:paraId="65EA201A" w14:textId="77777777" w:rsidR="00F933F8" w:rsidRPr="00E93F40" w:rsidRDefault="00F933F8" w:rsidP="00E93F40">
      <w:pPr>
        <w:spacing w:after="0" w:line="240" w:lineRule="auto"/>
        <w:jc w:val="both"/>
        <w:rPr>
          <w:rFonts w:ascii="Times New Roman" w:hAnsi="Times New Roman"/>
          <w:color w:val="000000" w:themeColor="text1"/>
          <w:sz w:val="16"/>
          <w:szCs w:val="16"/>
        </w:rPr>
      </w:pPr>
    </w:p>
    <w:p w14:paraId="61DE6AE5"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1932 г.</w:t>
      </w:r>
    </w:p>
    <w:p w14:paraId="2CB7D126"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РГВА Фонд 31811 Опись 3 Дело 79 лист 422 </w:t>
      </w:r>
    </w:p>
    <w:p w14:paraId="22DF5F3F"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подлежит оглашению</w:t>
      </w:r>
    </w:p>
    <w:p w14:paraId="6E55AF74"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77168 </w:t>
      </w:r>
    </w:p>
    <w:p w14:paraId="6838DE7D"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3-Х-1932 г.</w:t>
      </w:r>
    </w:p>
    <w:p w14:paraId="68BC4A3C"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НАЧАЛЬНИКУ УПРАВЛЕНИЯ МОТОРИЗАЦИИ И МЕХАНИЗАЦИИ КРАСНОЙ АРМИИ </w:t>
      </w:r>
    </w:p>
    <w:p w14:paraId="1A78BE0F"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 2-й дом Военмора.</w:t>
      </w:r>
    </w:p>
    <w:p w14:paraId="25200C42"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виду предстоящего в 1933 году производства на н/заводе двигателей легкого типа, нам желательно было бы получить от Вас чертежи и все необходимые материалы, относящиеся к мотору типа П.Г.Е. </w:t>
      </w:r>
    </w:p>
    <w:p w14:paraId="59830C67"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Просим названные чертежи и материалы вручить нашему представителю, Зав. Монтаж. Пр. Бюро, тов. ГОРЕНБУРГУ К.М., в крайнем случае, просим выслать нам эти чертежи и материалы, предварительно уведомив нас о дне отправки их. </w:t>
      </w:r>
    </w:p>
    <w:p w14:paraId="137FAFC0"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этим посылаем Вам чертежи нашего спецмотора.</w:t>
      </w:r>
    </w:p>
    <w:p w14:paraId="2486148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ЗАВОДА подпись Л.С. Владимирова </w:t>
      </w:r>
    </w:p>
    <w:p w14:paraId="46CEF063"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ДИЗ. ОТДЕЛА подпись К.Ф. Челпана (24876).</w:t>
      </w:r>
    </w:p>
    <w:p w14:paraId="0BE8E248" w14:textId="77777777" w:rsidR="00F933F8" w:rsidRPr="00E93F40" w:rsidRDefault="00F933F8" w:rsidP="00E93F40">
      <w:pPr>
        <w:spacing w:after="0" w:line="240" w:lineRule="auto"/>
        <w:jc w:val="both"/>
        <w:rPr>
          <w:rFonts w:ascii="Times New Roman" w:hAnsi="Times New Roman"/>
          <w:color w:val="000000" w:themeColor="text1"/>
          <w:sz w:val="16"/>
          <w:szCs w:val="16"/>
        </w:rPr>
      </w:pPr>
    </w:p>
    <w:p w14:paraId="003D8F3F"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1932 г.</w:t>
      </w:r>
    </w:p>
    <w:p w14:paraId="54AD0202"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ГАРФ Фонд Р-8418 Опись 6 Дело 45 лист 141 – 145 </w:t>
      </w:r>
    </w:p>
    <w:p w14:paraId="0C32E152"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СОВ.СЕКРЕТНО </w:t>
      </w:r>
    </w:p>
    <w:p w14:paraId="16FAB972"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1932 г.</w:t>
      </w:r>
    </w:p>
    <w:p w14:paraId="2BA8F5CD"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ПРЕДСЕДАТЕЛЮ СТО СССР тов. МОЛОТОВУ</w:t>
      </w:r>
    </w:p>
    <w:p w14:paraId="0BEA7378"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связи с предстоящей постановкой вопроса по танковой программе на КО докладываю о результатах выполнения программы по малым танкам Т-26 и быстроходным танкам БТ за 8 месяцев 1932 г. на основании материалов обследования Военно-морской инспекции ЦКК ВКП(б)-НК РКИ СССР. </w:t>
      </w:r>
    </w:p>
    <w:p w14:paraId="3C5C8CB3"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Танки БТ ("Кристи")</w:t>
      </w:r>
    </w:p>
    <w:p w14:paraId="458E7B28"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1 сентября ХПЗ сдано 76 танков БТ вместо 900 по первоначальной планировке НКТП и 482 – по корректированной. Из 76 машин 55 шт. августовского выпуска. Корректированное задание НКТП на сентябрь месяц – 120 машин по выпуску (вместо 290 по первоначальному плану) было обеспечено машинами, находящимися в процессе окончательной сборки и испытаний (56 машин), собранными бронекорпусами (124 шт. сверх собранных машин), отремонтированными моторами и отдельными деталями. Поковками и литьем обеспеченность в среднем составляла свыше 1,1 тыс. комплектов. И тем не менее за сентябрь ХПЗ сдано всего лишь 40 танков, что свидетельствует о том что августовский "перелом" (так называли т. Павлуновский и Доценко августовские "достижения" ХПЗ по выпуску 55 шт. танков) явился лишь следствием понижения требовательности военпреда, вызванного желанием во что бы то ни стало направить возможное количество танков БТ на осенние маневры. </w:t>
      </w:r>
    </w:p>
    <w:p w14:paraId="061775FE"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"Узким" местом при выполнении программы являются сборочные комплекты: гитара, бортовые фрикционы и до августа месяца коробка скоростей, выпуск которых задерживается неполадками в их производстве на ХПЗ, а также запозданием с освоением их производства на ХТЗ (август вместо мая). </w:t>
      </w:r>
    </w:p>
    <w:p w14:paraId="4D163730"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Качество сдаваемых машин БТ низкое. Все машины идут в войсковые части как учебные. На качестве машин отражается отсутствие разработанного до настоящего времени технологического процесса по термической обработке ответственных деталей БТ на ХПЗ. Так, в машинах майского выпуска отмечалось скручивание вала и выкрашивание зубьев шестерен коробки скоростей, а также заедание шлицевых соединений. </w:t>
      </w:r>
    </w:p>
    <w:p w14:paraId="685002D4"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имеющимся уже данным войсковых маневров БВО, все отмеченные выше недочеты имели место и в танках августовского выпуска. В первый же день маневров половина машин вышла из строя после четвертого учения (пробег 250 – 300 км); из 28 машин осталось на ходу только 7. </w:t>
      </w:r>
    </w:p>
    <w:p w14:paraId="6089696A"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Танки Т-26 ("Виккерса")</w:t>
      </w:r>
    </w:p>
    <w:p w14:paraId="129DDEA7"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1 сентября заводом им. Ворошилова сдано всего 362 танка Т-26 вместо 1660 машин по первоначальной планировке НКТП и 1200 – по корректированному плану. При этом 19 машин из них сданы как учебные и 22 без башен. Из общего числа 362 машин 121 ед. августовского выпуска. На сентябрь месяц НКТП установлена программа выпуска 200 машин вместо 450 по первоначальному плану. </w:t>
      </w:r>
    </w:p>
    <w:p w14:paraId="4D7369A9"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 выпуске на 1 сентября 362 машин Т-26 собранных машин на тот же период было 559, что говорит о большем разрыве между сборкой машин и их фактическим выпуском (до 196 машин). Из числа собранных машин 180 ед. не были обеспечены башнями из-за задержки их механической обработки (расточка погон башни). </w:t>
      </w:r>
    </w:p>
    <w:p w14:paraId="5FA94CB0"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связи с новой программой на 1932 г. завод им. Ворошилова должен был дать 250 машин к 1 мая, с обработкой всех деталей у себя. Однако выпуск этих машин оттянулся на два месяца, а детали с кооперированных заводов начали поступать лишь с мая месяца (вместо апреля) и то некомплектно. С августа месяца наметился значительный перелом в работе кооперированных заводов ("Красный Путиловец", "Красный Октябрь" и № 7 ВОАО) по комплектной подаче деталей Т-26. Однако и при этом условии окончательная сборка машин по-прежнему сильно отстает от месячных заданий. В сентябре вместо намеченных по минимальному плану 200 шт. сдано всего 148 шт. </w:t>
      </w:r>
    </w:p>
    <w:p w14:paraId="7CEFE309"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Броня</w:t>
      </w:r>
    </w:p>
    <w:p w14:paraId="19E5CE14"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1 сентября программа по броне основными заводами выполнена: Ижорским – на 38 % от планировки НКТП (по бронекорпусам), Мариупольским – на 25,6 %. Только ввиду сильного запоздания с развертыванием производства танков броня на сегодня не является более "узким" местом танкостроения. </w:t>
      </w:r>
    </w:p>
    <w:p w14:paraId="201F87D8"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Развитие танкостроения первое время действительно упиралось в броневую базу. В связи с большими перебоями по снабжению ферросплавами, особенно никелем и молибденом, срывался выпуск легированных марок брони (молибденовой, "Вибрак"). Углеродистая цементованная броня не оправдала возлагаемых на нее надежд, давая в производстве почти 100-процентный брак. Танкостроение в период мая – июля месяцев поэтому переживало серьезный кризис. </w:t>
      </w:r>
    </w:p>
    <w:p w14:paraId="74AB343F"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последний период времени Ижорский и Мариупольский заводы перешли полностью на производство новых марок брони: Ижорский – на хромо-кремнисто-марганцовистую марки "ПИ" и Мариупольский – на марку "МИ", двухслойную марганцовистую, не требующих применения дорогих импортных ферросплавов (никеля и молибдена), а также длительного и дорогого процесса цементации. Производство хромокремнистой и марганцовистой брони, как не требующей дорогого и специального оборудования, может быть поставлено на любом металлургическом заводе, имеющем опыт по выпуску качественных сталей. </w:t>
      </w:r>
    </w:p>
    <w:p w14:paraId="6700395D"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Опыты по постановке на производство двухслойной марганцовистой брони в настоящее время ведутся также на Кулебакском заводе, наравне с производством опытных партий брони АТБ ОГПУ (цементованная хромо-марганцовистая марка). </w:t>
      </w:r>
    </w:p>
    <w:p w14:paraId="0EA594F5"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Однако проблема получения танковой брони, удовлетворяющей всем потребностям как производственным, так и по стойкости по обстрелу в настоящее время еще не решена. Вместо 13 и 10-мм брони на танк Т-26 ныне ставится броня марки "ПИ" 15-мм толщины, что приводит к утяжелению корпуса до 800 кг. Необходимо отметить, что вся опытная работа по броне из-за отсутствия руководящего центра идет в основном самотеком, только по инициативе самих заводов. </w:t>
      </w:r>
    </w:p>
    <w:p w14:paraId="01502B43"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Моторы</w:t>
      </w:r>
    </w:p>
    <w:p w14:paraId="7B985BEA"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Программа по танку Т-26 обеспечена моторами, изготовляемыми заводом им. Ворошилова. Программа 1932 г. по быстроходным танкам БТ обеспечена моторами "Либерти", закупленными в САСШ и моторами М-5, переданными из авиации. </w:t>
      </w:r>
    </w:p>
    <w:p w14:paraId="1F0B1127"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1 сентября заводом "Красный Октябрь" ВАТО и Авиаремтрестом отремонтировано около 500 моторов. Однако ввиду неналаженности производства частей, требующихся для восстановления мотора (поршневые кольца, поршни, шестерни коленчатого вала), ремонт моторов производится путем «раздевания» нескольких моторов, что, естественно, связано с большим отходом их. До настоящего времени также не налажено производство запасных частей к мотору М-5 "Либерти". На совещании в НКТП у т. Доценко 4 июля с. г. были разработаны задания заводам ленинградской промышленности по организации производства запчастей к этому мотору, однако в жизнь они еще не проведены. </w:t>
      </w:r>
    </w:p>
    <w:p w14:paraId="069DCED4"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 НКТП нет ясности, как будет обеспечена моторами программа 1933 г. по танкам БТ. В свое время НКТП решил организовать производство моторов М-5 на заводе "Красный Октябрь" в Ленинграде. Во исполнение этого решения ВАТО в марте месяце было дано задание Гипроспецмету на разработку проекта по выпуску на этом заводе 3 тыс. моторов М-5 начиная с 1933 г. Намерение это было явно непродуманно, так как абсолютно ясна нецелесообразность постройки фактически нового завода по производству моторов в Ленинграде для Харькова. Естественно, когда поразобрались с вопросом, это решение было отменено. В настоящее время стоит вопрос о постановке на танки БТ дизель-мотора 400 л. с. Имеется изготовленный образец. Однако он еще не проверен испытанием, и не определена для его производства соответствующая база. Таким образом, на сегодня вопрос о моторе для танка БТ по программе 1933 г. остается открытым. </w:t>
      </w:r>
    </w:p>
    <w:p w14:paraId="6F143D55"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 Шарикоподшипники</w:t>
      </w:r>
    </w:p>
    <w:p w14:paraId="7681C70F"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Танковая программа 1932 г. шарикоподшипниками обеспечена главным образом за счет импорта. Удовлетворение танковой программы за счет производства отечественных заводов (2-й и 1-й ГПЗ) составляет не более 10 – 15 % общей потребности по количеству, а по ценности еще меньше, так как самые сложные и дорогие подшипники пока идут исключительно по импорту. Заказ на 2725 тыс. руб. по импорту, отпущенных для нужд танковой программы, еще полностью не реализован. </w:t>
      </w:r>
    </w:p>
    <w:p w14:paraId="6BBE7AEA"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 НКТП нет ясности, как будет обеспечена шарикоподшипниками танковая программа 1933 г. Постановление СТО от 25 августа с.г. № 1037/307сс, изданное на основе доклада ВМИ ЦКК РКИ, обязывающее НКТП и ВАТО разработать программу и соответствующие мероприятия под углом обеспечения оборонной программы, не прибегая к импорту шарикоподшипников начиная с 1933 г., пока еще не выполнено. </w:t>
      </w:r>
    </w:p>
    <w:p w14:paraId="057E5594"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 Электрооборудование</w:t>
      </w:r>
    </w:p>
    <w:p w14:paraId="5AA5B7E6"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Танковая программа 1932 г. в части электрооборудования обеспечена исключительно за счет импорта. Несмотря на приказ НКТП т. Орджоникидзе от 10 февраля 1932 г. № 27/сс, устанавливающий программу по выпуску электрооборудования для танков на "Электрозаводе" начиная с III квартала с.г., и постановления Президиума ЦКК ВКП(б) – коллегии НК РКИ СССР от 8 августа, к серийному производству танкового электрооборудования и аппаратуры "Электрозаводом" еще не приступлено. </w:t>
      </w:r>
    </w:p>
    <w:p w14:paraId="228CE80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настоящее время "Электрозаводом" изготавливаются 10 опытных образцов магнето с автоматическим опережением (тип "А"), причем серийный выпуск таковых заводом откладывается на 1933 г. К производству опытных образцов магнето с автоматом типа "SS" Сцинтилла, лучшего, чем тип "А", "Электрозаводом еще не приступлено. Изготовлены и временно допущены к постановке на машины БТ и Т-26 опытные образцы генераторов, а также стартер для танка БТ. Стартер для танка Т-26 находится еще в процессе испытания. </w:t>
      </w:r>
    </w:p>
    <w:p w14:paraId="12AEC0A5"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Несмотря на заявку УММ РККА еще в феврале месяце текущего года, ВЭО до настоящего времени не разместило заказ по заводам на изготовление опытных образцов оборудования, необходимого для электрификации танка, как-то: генераторы и электромоторы для вращения танковых башен, вентиляторов, стробоскопов и др. </w:t>
      </w:r>
    </w:p>
    <w:p w14:paraId="55213AD4"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Существующее положение с конструированием и производством танкового оборудования делает неизбежной импортную зависимость и на 1933 г. </w:t>
      </w:r>
    </w:p>
    <w:p w14:paraId="76DABC64"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VII. Причины срыва танковой программы 1932 г.</w:t>
      </w:r>
    </w:p>
    <w:p w14:paraId="407A3F51"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Указанные результаты 9-месячной работы и перспективы IV квартала приводят к неизбежному выводу о срыве Наркомтяжпромом правительственного задания по танкостроению 1932 г. </w:t>
      </w:r>
    </w:p>
    <w:p w14:paraId="2CDBCAFD"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Причин этого срыва можно привести очень много как технического, так и организационного порядка; о технических недочетах и недочетах в снабжении уже неоднократно докладывалось руководителями заводов и, безусловно, будет достаточно подробно сказано и на предстоящем заседании КО. Однако основной решающей причиной срыва правительственного задания, причиной многочисленных технических и организационных недочетов производства танков явилось явно неудовлетворительное руководство НКТП и обезличка в ответственности за выполнение программы. </w:t>
      </w:r>
    </w:p>
    <w:p w14:paraId="0707071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Характер руководства НКТП. Выполнение задания по производству 10 тыс. танков в 1932 г. прежде всего требовало от НКТП глубоко продуманной организации постановки и развертывания производства на основе тщательного учета всех производственных возможностей и материальных ресурсов. Вместо этого НКТП ограни¬чился выпуском формального приказа № 27сс, носящего явные следы канцелярского творчества, нежизненность которого сказалась буквально через несколько дней по его выходе, что было фактически признано и самим НКТП. </w:t>
      </w:r>
    </w:p>
    <w:p w14:paraId="33A85D51"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Капитальное строительство на сумму 22 млн руб. на заводе "Красный котельщик»я Котлотурбины для постановки производства бронекорпусов для танков БТ оказалось нежизненным, ибо сама сборка корпусов на этом заводе для ХПЗ оказалась явно нецелесообразной. Так же обязанности ВАТО по обеспечению танковой программы шарико-, роликоподшипниками оказались пустой фразой – сейчас же после выхода приказа было принято решение перейти на их импорт. Основной решающий вопрос об обеспечении программы материалами фактически совершенно не был отражен в приказе. Система кооперирования заводов оказалась недоработанной. </w:t>
      </w:r>
    </w:p>
    <w:p w14:paraId="5D10C357"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тому же пути формальных распоряжений пошли и исполнители, еще более запутывая положение. Так, во исполнение приказа № 27 по Т-26 было отдано формальное распоряжение производить с мая месяца по 400 шт. танков. Нарастание мощностей, процесс освоения производства оказался неизвестным для руководителей промышленности. Результат, и скверный результат, сказался после первых уже месяцев. Вместо конкретного твердого руководства, борьбы за выполнение плана на деле получилось изменение планов. Такая практика руководства плюс полная дезорганизация в снабжении материалами окончательно дезориентировали заводы и подорвали в них уверенность в реальность всего плана. Директивная часть приказа № 27сс – "Программу изготовления 10 тыс. танков полностью и безоговорочно закончить к 1 января 1933 г." – оказалась пустой громкой фразой, в чем в первую очередь повинно само руководство НКТП, совершенно не сумевшее эту правильную директиву подкрепить конкретным руководством и правильной организацией производства и обеспечения его всеми необходимыми материалами. </w:t>
      </w:r>
    </w:p>
    <w:p w14:paraId="6722D56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Ответственность исполнения. Наряду с разбродом в руководстве на деле получилась и обезличка в ответственности. Приказ № 27сс распределил персональную ответственность по объектам: т. Павлуновский – за Т-27 и броневую базу, т. Будняк – за Т-26 и т. Мартинович – за БТ. На деле из этой ответственности ничего не получилось. Тов. Будняк, отвечая за Т-26 мог только за свои заводы, не распоряжаясь всеми остальными кооперированными заводами ("Красный Путиловец", Ижорский, Люберецкий и т. д.), фактически оказался не ответственным за программу по Т-26 в целом. Тов. Мартинович вскоре совсем выбыл. Сменивший его т. Доценко оказался в таком же положении, как и т. Будняк. </w:t>
      </w:r>
    </w:p>
    <w:p w14:paraId="3E624A87"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 по БТ выпускается утвержденный т. Доценко план сборки машин на июнь месяц, вместе с этим отдельно дается утвержденный т. Павлуновским план работы кооперированных заводов и все это сопровождается телеграммой т. Орджоникидзе, утверждающей оба плана. Если присоединить сюда фактические частые распоряжения, отдаваемые т. Орджоникидзе, Доценко, Павлуновским, Будняком, то разброд руководства и обезличка в ответственности предстанет в самом ярком виде. </w:t>
      </w:r>
    </w:p>
    <w:p w14:paraId="5BD20305"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VIII. Состояние производства и подготовки к 1933 г.</w:t>
      </w:r>
    </w:p>
    <w:p w14:paraId="22CAB8D3"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Несмотря на явный провал руководства, провал всей системы снабжения (ленинградские заводы буквально перебиваются изо дня ко дню), остающуюся зависимость от импорта и, наконец, срыв всей программы, НКТПром до сих пор не сделал из этого должных выводов и по настоящему не готовится к 1933 г., продолжая по инерции выпускать свои месячные планы, мало чем отличающиеся в смысле своего реального обеспечения от предыдущих планов. Между тем вопросы организации, снабжения, освобождения от импортной зависимости немедленно требуют чрезвычайно серьезной подготовки к 1933 г., без проведения которой может повториться та же неприглядная картина, что и в 1932 г. </w:t>
      </w:r>
    </w:p>
    <w:p w14:paraId="5621409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ВЫВОДЫ</w:t>
      </w:r>
    </w:p>
    <w:p w14:paraId="54B85EDD"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I. Учитывая опыт 1932 г., необходимо немедленно разрешить вопрос о правильной организации танковой промышленности, для чего: </w:t>
      </w:r>
    </w:p>
    <w:p w14:paraId="401C14FC"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Создать специальный танковый трест, включив в него заводы: ХПЗ, им. Ворошилова, "Красный Октябрь", ВОАО и завод № 2 ВАТО, организовав при нем специальный танковый научно-исследовательский институт на базе опытного отдела завода им. Ворошилова. </w:t>
      </w:r>
    </w:p>
    <w:p w14:paraId="105DD314"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Создать на базе ВАТО Главное автотракторное управление, включив в него вновь организуемый танковый трест. </w:t>
      </w:r>
    </w:p>
    <w:p w14:paraId="7A775D56"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Внутри Главного автотракторного управления создать специальный броневой трест, включив в него заводы: Ижорский, Мариупольский, Выксунский и Кулебакский металлургические. </w:t>
      </w:r>
    </w:p>
    <w:p w14:paraId="5044997D"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 Обязать НКТП на основе утвержденного правительственного задания на 1933 г. не позднее 15 ноября представить полный план организации танкового производства для 1933 г., с точным указанием всех кооперируемых заводов и их производственными программами, планом материального обеспечения и планом развертывания производства в направлении полного освобождения к концу 1933 г. от импортной зависимости танкового производства. </w:t>
      </w:r>
    </w:p>
    <w:p w14:paraId="72C123F4"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В целях планомерной подготовки к 1933 г. обязать НКТПром в декадный срок представить реальный план танкового производства на IV квартал 1932 г., обеспечивающий в то же время максимальное развертывание производства с начала 1933 г.</w:t>
      </w:r>
    </w:p>
    <w:p w14:paraId="768D35C8"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 коллегии НК РКИ СССР, начальник ВМИ подпись Куйбышев (24877).</w:t>
      </w:r>
    </w:p>
    <w:p w14:paraId="22553A76" w14:textId="77777777" w:rsidR="00F933F8" w:rsidRPr="00E93F40" w:rsidRDefault="00F933F8" w:rsidP="00E93F40">
      <w:pPr>
        <w:spacing w:after="0" w:line="240" w:lineRule="auto"/>
        <w:jc w:val="both"/>
        <w:rPr>
          <w:rFonts w:ascii="Times New Roman" w:hAnsi="Times New Roman"/>
          <w:color w:val="000000" w:themeColor="text1"/>
          <w:sz w:val="16"/>
          <w:szCs w:val="16"/>
        </w:rPr>
      </w:pPr>
    </w:p>
    <w:p w14:paraId="3AB07DA2"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1932 г. директора ХПЗ Л.С. Владимирова начальнику УММ РККА И.А. Халепскому письмом № 77168 отправили результаты знакомства с конструкцией опытного образца дизеля ПГЕ, с которой К.Ф. Челпан ознакомился в новой командировке в ОКМО В письме было сказано:</w:t>
      </w:r>
    </w:p>
    <w:p w14:paraId="1FD0959B"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виду предстоящего в 1933 году производства на н/заводе двигателей легкого типа, нам желательно было бы получить от Вас чертежи и все необходимые материалы, относящиеся к мотору типа П.Г.Е.</w:t>
      </w:r>
    </w:p>
    <w:p w14:paraId="20082869"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Просим названные чертежи и материалы вручить нашему представителю, Зав. Монтаж. Пр. Бюро, тов. ГОРЕНБУРГУ К.М., в крайнем случае, просим выслать нам эти чертежи и материалы, предварительно уведомив нас о дне отправки их.</w:t>
      </w:r>
    </w:p>
    <w:p w14:paraId="74031A76"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этим посылаем Вам чертежи нашего спецмотора».</w:t>
      </w:r>
    </w:p>
    <w:p w14:paraId="361B044C" w14:textId="77777777" w:rsidR="00F933F8" w:rsidRPr="00E93F40" w:rsidRDefault="00F933F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3. Д. 79. Л. 422] (23586).</w:t>
      </w:r>
    </w:p>
    <w:p w14:paraId="4580B2F2" w14:textId="77777777" w:rsidR="00F933F8" w:rsidRPr="00E93F40" w:rsidRDefault="00F933F8" w:rsidP="00E93F40">
      <w:pPr>
        <w:spacing w:after="0" w:line="240" w:lineRule="auto"/>
        <w:jc w:val="both"/>
        <w:rPr>
          <w:rFonts w:ascii="Times New Roman" w:hAnsi="Times New Roman"/>
          <w:color w:val="000000" w:themeColor="text1"/>
          <w:sz w:val="16"/>
          <w:szCs w:val="16"/>
        </w:rPr>
      </w:pPr>
    </w:p>
    <w:p w14:paraId="7F13F402" w14:textId="172FA6F0" w:rsidR="009623CF" w:rsidRPr="00E93F40" w:rsidRDefault="009623CF" w:rsidP="009623CF">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E93F40">
        <w:rPr>
          <w:rFonts w:ascii="Times New Roman" w:hAnsi="Times New Roman"/>
          <w:i/>
          <w:iCs/>
          <w:color w:val="000000" w:themeColor="text1"/>
          <w:sz w:val="16"/>
          <w:szCs w:val="16"/>
        </w:rPr>
        <w:t>:</w:t>
      </w:r>
    </w:p>
    <w:p w14:paraId="3B84DBA6" w14:textId="77777777" w:rsidR="009623CF" w:rsidRPr="00E93F40" w:rsidRDefault="009623CF" w:rsidP="009623CF">
      <w:pPr>
        <w:autoSpaceDE w:val="0"/>
        <w:autoSpaceDN w:val="0"/>
        <w:adjustRightInd w:val="0"/>
        <w:spacing w:after="0" w:line="240" w:lineRule="auto"/>
        <w:jc w:val="both"/>
        <w:rPr>
          <w:rFonts w:ascii="Times New Roman" w:hAnsi="Times New Roman"/>
          <w:iCs/>
          <w:color w:val="000000" w:themeColor="text1"/>
          <w:sz w:val="16"/>
          <w:szCs w:val="16"/>
        </w:rPr>
      </w:pPr>
    </w:p>
    <w:p w14:paraId="41605611"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3 ок</w:t>
      </w:r>
      <w:r w:rsidRPr="00142305">
        <w:rPr>
          <w:rFonts w:ascii="Times New Roman" w:hAnsi="Times New Roman"/>
          <w:color w:val="0070C0"/>
          <w:sz w:val="16"/>
          <w:szCs w:val="16"/>
        </w:rPr>
        <w:softHyphen/>
        <w:t>тября 1932 г. принятыми числились 47 ТБ-3, еще шесть успели облетать и предъявить к приемке, четыре готовили к облету (24937).</w:t>
      </w:r>
    </w:p>
    <w:p w14:paraId="27D2B2B4" w14:textId="77777777" w:rsidR="009623CF" w:rsidRPr="00142305" w:rsidRDefault="009623CF" w:rsidP="009623CF">
      <w:pPr>
        <w:spacing w:after="0" w:line="240" w:lineRule="auto"/>
        <w:jc w:val="both"/>
        <w:rPr>
          <w:rFonts w:ascii="Times New Roman" w:hAnsi="Times New Roman"/>
          <w:color w:val="0070C0"/>
          <w:sz w:val="16"/>
          <w:szCs w:val="16"/>
        </w:rPr>
      </w:pPr>
    </w:p>
    <w:p w14:paraId="3AC6773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AD9321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6412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1932 г. Ирак стал членом Лиги Наций и Британский мандат по договору от 30 июля 1930 потерял свою силу (3871).</w:t>
      </w:r>
    </w:p>
    <w:p w14:paraId="7F294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8C4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1932 после вступления Ирака в Лигу наций британский мандат на управление Ираком утратил силу (3186).</w:t>
      </w:r>
    </w:p>
    <w:p w14:paraId="5C5A45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300ED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4B5ED6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6245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октября 1932 года в "Красной Звезде" появляется статья И.П.Граве "Реактивный принцип в военной технике". В ней он предлагал различные варианты "ракетных станков" для запуска реактивных снарядов: с направляющим желобом, с трубой, снабженной изнутри винтовыми нарезами, и т.д. Эту статью можно назвать первой, в которой дан обзор всего достигнутого в области реактивной артиллерии как у нас в стране, так и за рубежом (11031).</w:t>
      </w:r>
    </w:p>
    <w:p w14:paraId="7F148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B43179" w14:textId="77777777" w:rsidR="00B323BF" w:rsidRPr="00951B40" w:rsidRDefault="00B323BF" w:rsidP="00B323BF">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4 октября 1932 года в «Красной Звезде» появляется большая ста</w:t>
      </w:r>
      <w:r w:rsidRPr="00951B40">
        <w:rPr>
          <w:rStyle w:val="aff"/>
          <w:rFonts w:ascii="Times New Roman" w:hAnsi="Times New Roman" w:cs="Times New Roman"/>
          <w:color w:val="0070C0"/>
          <w:spacing w:val="0"/>
          <w:sz w:val="16"/>
          <w:szCs w:val="16"/>
        </w:rPr>
        <w:softHyphen/>
        <w:t>тья И.П.Граве «Реактивный принцип в военной технике». В ней он описывает различ</w:t>
      </w:r>
      <w:r w:rsidRPr="00951B40">
        <w:rPr>
          <w:rStyle w:val="aff"/>
          <w:rFonts w:ascii="Times New Roman" w:hAnsi="Times New Roman" w:cs="Times New Roman"/>
          <w:color w:val="0070C0"/>
          <w:spacing w:val="0"/>
          <w:sz w:val="16"/>
          <w:szCs w:val="16"/>
        </w:rPr>
        <w:softHyphen/>
        <w:t>ные варианты станков для запуска реактивных снарядов: с направляю</w:t>
      </w:r>
      <w:r w:rsidRPr="00951B40">
        <w:rPr>
          <w:rStyle w:val="aff"/>
          <w:rFonts w:ascii="Times New Roman" w:hAnsi="Times New Roman" w:cs="Times New Roman"/>
          <w:color w:val="0070C0"/>
          <w:spacing w:val="0"/>
          <w:sz w:val="16"/>
          <w:szCs w:val="16"/>
        </w:rPr>
        <w:softHyphen/>
        <w:t>щим желобом, с трубой, снабженной изнутри винтовыми нарезами, и т.д. Эта статья стала первым отечествен</w:t>
      </w:r>
      <w:r w:rsidRPr="00951B40">
        <w:rPr>
          <w:rStyle w:val="aff"/>
          <w:rFonts w:ascii="Times New Roman" w:hAnsi="Times New Roman" w:cs="Times New Roman"/>
          <w:color w:val="0070C0"/>
          <w:spacing w:val="0"/>
          <w:sz w:val="16"/>
          <w:szCs w:val="16"/>
        </w:rPr>
        <w:softHyphen/>
        <w:t>ным обзором всего достигнутого в области реактивной артиллерии. Граве не потерял интереса к реак</w:t>
      </w:r>
      <w:r w:rsidRPr="00951B40">
        <w:rPr>
          <w:rStyle w:val="aff"/>
          <w:rFonts w:ascii="Times New Roman" w:hAnsi="Times New Roman" w:cs="Times New Roman"/>
          <w:color w:val="0070C0"/>
          <w:spacing w:val="0"/>
          <w:sz w:val="16"/>
          <w:szCs w:val="16"/>
        </w:rPr>
        <w:softHyphen/>
        <w:t>тивному оружию. А вот то, что он. автор патента, не был привлечен к этой теме, значительно отодвинуло реализацию столь нужного стране изобретения (25777).</w:t>
      </w:r>
    </w:p>
    <w:p w14:paraId="49DA9FA9" w14:textId="77777777" w:rsidR="00B323BF" w:rsidRPr="00951B40" w:rsidRDefault="00B323BF" w:rsidP="00B323BF">
      <w:pPr>
        <w:spacing w:after="0" w:line="240" w:lineRule="auto"/>
        <w:jc w:val="both"/>
        <w:rPr>
          <w:rFonts w:ascii="Times New Roman" w:hAnsi="Times New Roman"/>
          <w:color w:val="0070C0"/>
          <w:sz w:val="16"/>
          <w:szCs w:val="16"/>
        </w:rPr>
      </w:pPr>
    </w:p>
    <w:p w14:paraId="519664F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1AC3E2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D96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октября 1932 КО провела совещание с руководителями ВСНХ и директорами заводов, конструкторами и металлургами, на котором обсуждались причины неизбежного провала в выполнении плана по танкам (9089,158).</w:t>
      </w:r>
    </w:p>
    <w:p w14:paraId="0AC3C0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AEE5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октября 1932 г. приказом руководителя НКТП Г.К. Орджоникидзе директором ИжМЗа назначили И.И. Чекмарёва, сумевшего за последую</w:t>
      </w:r>
      <w:r w:rsidRPr="00E93F40">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E93F40">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 Тем не менее работа продвигалась не так быстро, как хоте</w:t>
      </w:r>
      <w:r w:rsidRPr="00E93F40">
        <w:rPr>
          <w:rFonts w:ascii="Times New Roman" w:hAnsi="Times New Roman"/>
          <w:color w:val="000000" w:themeColor="text1"/>
          <w:sz w:val="16"/>
          <w:szCs w:val="16"/>
        </w:rPr>
        <w:softHyphen/>
        <w:t xml:space="preserve">лось </w:t>
      </w:r>
      <w:r w:rsidRPr="00E93F40">
        <w:rPr>
          <w:rFonts w:ascii="Times New Roman" w:hAnsi="Times New Roman"/>
          <w:color w:val="000000" w:themeColor="text1"/>
          <w:sz w:val="16"/>
          <w:szCs w:val="16"/>
        </w:rPr>
        <w:lastRenderedPageBreak/>
        <w:t>бы. Вместе с разработкой необходимой технической доку</w:t>
      </w:r>
      <w:r w:rsidRPr="00E93F40">
        <w:rPr>
          <w:rFonts w:ascii="Times New Roman" w:hAnsi="Times New Roman"/>
          <w:color w:val="000000" w:themeColor="text1"/>
          <w:sz w:val="16"/>
          <w:szCs w:val="16"/>
        </w:rPr>
        <w:softHyphen/>
        <w:t>ментации по «горячим чертежам» изготавливали детали, собира</w:t>
      </w:r>
      <w:r w:rsidRPr="00E93F40">
        <w:rPr>
          <w:rFonts w:ascii="Times New Roman" w:hAnsi="Times New Roman"/>
          <w:color w:val="000000" w:themeColor="text1"/>
          <w:sz w:val="16"/>
          <w:szCs w:val="16"/>
        </w:rPr>
        <w:softHyphen/>
        <w:t>ли узлы, уточняли размеры, допуски и посадки сопрягаемых дета</w:t>
      </w:r>
      <w:r w:rsidRPr="00E93F40">
        <w:rPr>
          <w:rFonts w:ascii="Times New Roman" w:hAnsi="Times New Roman"/>
          <w:color w:val="000000" w:themeColor="text1"/>
          <w:sz w:val="16"/>
          <w:szCs w:val="16"/>
        </w:rPr>
        <w:softHyphen/>
        <w:t>лей. Мотоциклы изготавливали по ходу рабочего проектирова</w:t>
      </w:r>
      <w:r w:rsidRPr="00E93F40">
        <w:rPr>
          <w:rFonts w:ascii="Times New Roman" w:hAnsi="Times New Roman"/>
          <w:color w:val="000000" w:themeColor="text1"/>
          <w:sz w:val="16"/>
          <w:szCs w:val="16"/>
        </w:rPr>
        <w:softHyphen/>
        <w:t>ния, испытывали двигатели. КП и другие узлы (11429).</w:t>
      </w:r>
    </w:p>
    <w:p w14:paraId="5AA7DAE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84F97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C62997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A5C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октября 1932 постановление СНК утвердило Положение о ПВО территории ССР. Начали создавать МПВО. Нач. стал Е.М.Медведев (3398,349).</w:t>
      </w:r>
    </w:p>
    <w:p w14:paraId="3BE4C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EBD2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октября 1932 была образована местная ПВО страны (3481).</w:t>
      </w:r>
    </w:p>
    <w:p w14:paraId="18FFEE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7EE82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89BD32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D00C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октября 1932 ввели в строй первую угольную шахту в Воркуте (3481).</w:t>
      </w:r>
    </w:p>
    <w:p w14:paraId="72D0A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2B94F1" w14:textId="77777777" w:rsidR="009854FB" w:rsidRPr="00E93F40" w:rsidRDefault="009854F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октября 1932 открылась первая шахта Печорского угольного бассейна (Воркута) (21176).</w:t>
      </w:r>
    </w:p>
    <w:p w14:paraId="21FDAB5B" w14:textId="77777777" w:rsidR="009854FB" w:rsidRPr="00E93F40" w:rsidRDefault="009854FB" w:rsidP="00E93F40">
      <w:pPr>
        <w:spacing w:after="0" w:line="240" w:lineRule="auto"/>
        <w:jc w:val="both"/>
        <w:rPr>
          <w:rFonts w:ascii="Times New Roman" w:hAnsi="Times New Roman"/>
          <w:color w:val="000000" w:themeColor="text1"/>
          <w:sz w:val="16"/>
          <w:szCs w:val="16"/>
        </w:rPr>
      </w:pPr>
    </w:p>
    <w:p w14:paraId="4A33BFA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E4B2D6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188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октября 1932 закончился срок британского мандата на управление Ираком, Ирак стал независимым и присоединился к Лиге наций (3481).</w:t>
      </w:r>
    </w:p>
    <w:p w14:paraId="788B1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032C79" w14:textId="77777777" w:rsidR="002A5F66" w:rsidRPr="00E93F40" w:rsidRDefault="002A5F66"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4 октября </w:t>
      </w:r>
      <w:r w:rsidRPr="00E93F40">
        <w:rPr>
          <w:rFonts w:ascii="Times New Roman" w:hAnsi="Times New Roman"/>
          <w:color w:val="000000" w:themeColor="text1"/>
          <w:sz w:val="16"/>
          <w:szCs w:val="16"/>
        </w:rPr>
        <w:t>в 1932 году закончился срок британского мандата на управление Ираком. Ирак становится независимым государством и присоединяется к Лиге Наций. На его территории процветали известнейшие государства древности: Шумерское, Вавилонское, Ассирийское, Персидское, Ирак был частью империи Александра Великого, а в VII веке в страну пришли арабы. С 750 по 1258 год Багдад был столицей калифов Абассидов, а потом его разорили монголы, и в течение долгого времени за обладание ею спорили турецкие и иранские правители. В XVII веке Ирак окончательно вошел в состав Оттоманской империи, а освободиться от турецкого влияния стране активно помогала Великобритания, имевшая в этом регионе свои интересы. До 1932 года Великобритания имела мандат на управление Ираком через своего комиссара, и вот сегодня страна наконец-то обрела независимость. 15 июля 1958 года в Ираке была провозглашена республика. Коротко: Столица: Багдад; Площадь: 434924 кв.км; Высочайшая точка: гора Хаджи-Ибрахим (3600 м); Язык: арабский (государственный), курдский; Вероисповедание: мусульмане - 95% (шииты - 60%, сунниты - 35%), христиане - 3%, иудеи; Гимн Ирака называется "Страна двух рек". Междуречье по-гречески - Месопотамия. А по-арабски – Ирак. В книге "История Ирака", изданной в Багдаде в конце 1980-х годов, описывается событие, названное "Великая победа иракского народа над израильским империализмом". Речь идет об описанном в Ветхом Завете "Вавилонском пленении" евреев. В Южном Ираке есть город Басра. Его название образовано от арабского слова "эль-басра", т.е. "мягкий", что связано с особенностями почвы. Из этого топонима возникло слово алебастр. Власти Ирака рекомендуют своим жителям держать на солнцепеке сосуды с водой, примерно пять часов. Это делается для экономии топлива, вместо кипячения воды (от солнца за это время погибает 99% бактерий). До войны в Ираке употреблялись банкноты двух типов. На большей части государства в хождении были денежные знаки с изображением Саддама Хусейна, а в северных районах, населенных курдами, употреблялись банкноты, напечатанные в дохусейновские времена. Дабы не оскорблять национальные чувства ни арабов, ни курдов, руководство современного Ирака приняло решение на новых банкнотах печатать изображение царя, правившего этой страной в незапамятные времена - Хаммурапи</w:t>
      </w:r>
    </w:p>
    <w:p w14:paraId="70CDE01E" w14:textId="77777777" w:rsidR="002A5F66" w:rsidRPr="00E93F40" w:rsidRDefault="002A5F66" w:rsidP="00E93F40">
      <w:pPr>
        <w:spacing w:after="0" w:line="240" w:lineRule="auto"/>
        <w:jc w:val="both"/>
        <w:rPr>
          <w:rFonts w:ascii="Times New Roman" w:hAnsi="Times New Roman"/>
          <w:color w:val="000000" w:themeColor="text1"/>
          <w:sz w:val="16"/>
          <w:szCs w:val="16"/>
        </w:rPr>
      </w:pPr>
    </w:p>
    <w:p w14:paraId="251BC7A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5C702B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C132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октября 1932 года Ворошилов писал письмо N 16478сс председателю комиссии обороны.</w:t>
      </w:r>
    </w:p>
    <w:p w14:paraId="44B1A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срыве полета в 1932 году на рекордную дальность по прямой из-за неготовности самолета и мотора.</w:t>
      </w:r>
    </w:p>
    <w:p w14:paraId="6F0A36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5E679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настоящего времени мотор М-34, устанавливаемый на самолет ЦАГИ не получен. Проектирование самолета закончено, производится сборка крыльев в стапелях, остальные части конструкции пущены в производство.</w:t>
      </w:r>
    </w:p>
    <w:p w14:paraId="25C087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зимой рекордный полет произведен быть не может.... полагал бы возможным перенести выполнение рекордного полета на май 1933 года при обязательстве со стороны ЦАГИ выпустить самолет на аэродром в декабре 1932 года (3531,11).</w:t>
      </w:r>
    </w:p>
    <w:p w14:paraId="66147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ADB0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октября 1932 был подготовлен доклад Председателю РВС О срыве вооружения тяжелых самолетов средствами связи (3082).</w:t>
      </w:r>
    </w:p>
    <w:p w14:paraId="575F39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2468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октября 1932 года закончились испытания объектов, разработанных у Гроховского, которые проходили с 19 сентября 1932: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4394"/>
      </w:tblGrid>
      <w:tr w:rsidR="00DA227A" w:rsidRPr="00E93F40" w14:paraId="4E3BD48F" w14:textId="77777777">
        <w:tc>
          <w:tcPr>
            <w:tcW w:w="3794" w:type="dxa"/>
          </w:tcPr>
          <w:p w14:paraId="3EBA8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объектов</w:t>
            </w:r>
          </w:p>
        </w:tc>
        <w:tc>
          <w:tcPr>
            <w:tcW w:w="4394" w:type="dxa"/>
          </w:tcPr>
          <w:p w14:paraId="13D0D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испытаний</w:t>
            </w:r>
          </w:p>
        </w:tc>
      </w:tr>
      <w:tr w:rsidR="00DA227A" w:rsidRPr="00E93F40" w14:paraId="484A8FF0" w14:textId="77777777">
        <w:tc>
          <w:tcPr>
            <w:tcW w:w="3794" w:type="dxa"/>
          </w:tcPr>
          <w:p w14:paraId="68563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16-ти местная кабина под ТБ1</w:t>
            </w:r>
          </w:p>
        </w:tc>
        <w:tc>
          <w:tcPr>
            <w:tcW w:w="4394" w:type="dxa"/>
          </w:tcPr>
          <w:p w14:paraId="4FA6A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 с</w:t>
            </w:r>
          </w:p>
        </w:tc>
      </w:tr>
      <w:tr w:rsidR="00DA227A" w:rsidRPr="00E93F40" w14:paraId="4B19F1BE" w14:textId="77777777">
        <w:tc>
          <w:tcPr>
            <w:tcW w:w="3794" w:type="dxa"/>
          </w:tcPr>
          <w:p w14:paraId="6F80C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9B0B4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устранением в серийном производстве</w:t>
            </w:r>
          </w:p>
        </w:tc>
      </w:tr>
      <w:tr w:rsidR="00DA227A" w:rsidRPr="00E93F40" w14:paraId="3E3166A7" w14:textId="77777777">
        <w:tc>
          <w:tcPr>
            <w:tcW w:w="3794" w:type="dxa"/>
          </w:tcPr>
          <w:p w14:paraId="3D5BD3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6C7E8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указанных комиссией дефектов.</w:t>
            </w:r>
          </w:p>
        </w:tc>
      </w:tr>
      <w:tr w:rsidR="00DA227A" w:rsidRPr="00E93F40" w14:paraId="2E50DB3A" w14:textId="77777777">
        <w:tc>
          <w:tcPr>
            <w:tcW w:w="3794" w:type="dxa"/>
          </w:tcPr>
          <w:p w14:paraId="083BF1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25-ти метровый парашют для грузов до 1000 кг</w:t>
            </w:r>
          </w:p>
        </w:tc>
        <w:tc>
          <w:tcPr>
            <w:tcW w:w="4394" w:type="dxa"/>
          </w:tcPr>
          <w:p w14:paraId="7E9B7E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w:t>
            </w:r>
          </w:p>
        </w:tc>
      </w:tr>
      <w:tr w:rsidR="00DA227A" w:rsidRPr="00E93F40" w14:paraId="2A368838" w14:textId="77777777">
        <w:tc>
          <w:tcPr>
            <w:tcW w:w="3794" w:type="dxa"/>
          </w:tcPr>
          <w:p w14:paraId="6EF71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30-ти метровый парашют для грузов до 1250 кг</w:t>
            </w:r>
          </w:p>
        </w:tc>
        <w:tc>
          <w:tcPr>
            <w:tcW w:w="4394" w:type="dxa"/>
          </w:tcPr>
          <w:p w14:paraId="18D7CF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6180DC9E" w14:textId="77777777">
        <w:tc>
          <w:tcPr>
            <w:tcW w:w="3794" w:type="dxa"/>
          </w:tcPr>
          <w:p w14:paraId="09148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73B77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w:t>
            </w:r>
          </w:p>
        </w:tc>
      </w:tr>
      <w:tr w:rsidR="00DA227A" w:rsidRPr="00E93F40" w14:paraId="6A478508" w14:textId="77777777">
        <w:tc>
          <w:tcPr>
            <w:tcW w:w="3794" w:type="dxa"/>
          </w:tcPr>
          <w:p w14:paraId="279C9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автомобиля Форд</w:t>
            </w:r>
          </w:p>
        </w:tc>
        <w:tc>
          <w:tcPr>
            <w:tcW w:w="4394" w:type="dxa"/>
          </w:tcPr>
          <w:p w14:paraId="3C7B8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устранением указанных дефектов</w:t>
            </w:r>
          </w:p>
        </w:tc>
      </w:tr>
      <w:tr w:rsidR="00DA227A" w:rsidRPr="00E93F40" w14:paraId="5E11FB0D" w14:textId="77777777">
        <w:tc>
          <w:tcPr>
            <w:tcW w:w="3794" w:type="dxa"/>
          </w:tcPr>
          <w:p w14:paraId="54C77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2DC72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передать</w:t>
            </w:r>
          </w:p>
        </w:tc>
      </w:tr>
      <w:tr w:rsidR="00DA227A" w:rsidRPr="00E93F40" w14:paraId="60793D4A" w14:textId="77777777">
        <w:tc>
          <w:tcPr>
            <w:tcW w:w="3794" w:type="dxa"/>
          </w:tcPr>
          <w:p w14:paraId="72D91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D53B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войсковые испытания.</w:t>
            </w:r>
          </w:p>
        </w:tc>
      </w:tr>
      <w:tr w:rsidR="00DA227A" w:rsidRPr="00E93F40" w14:paraId="0D3CD790" w14:textId="77777777">
        <w:tc>
          <w:tcPr>
            <w:tcW w:w="3794" w:type="dxa"/>
          </w:tcPr>
          <w:p w14:paraId="26312B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полкового орудия</w:t>
            </w:r>
          </w:p>
        </w:tc>
        <w:tc>
          <w:tcPr>
            <w:tcW w:w="4394" w:type="dxa"/>
          </w:tcPr>
          <w:p w14:paraId="476F2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758423B0" w14:textId="77777777">
        <w:tc>
          <w:tcPr>
            <w:tcW w:w="3794" w:type="dxa"/>
          </w:tcPr>
          <w:p w14:paraId="722665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6102C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w:t>
            </w:r>
          </w:p>
        </w:tc>
      </w:tr>
      <w:tr w:rsidR="00DA227A" w:rsidRPr="00E93F40" w14:paraId="5FBD8ACA" w14:textId="77777777">
        <w:tc>
          <w:tcPr>
            <w:tcW w:w="3794" w:type="dxa"/>
          </w:tcPr>
          <w:p w14:paraId="695A0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CD558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проработать вопрос автоматической</w:t>
            </w:r>
          </w:p>
        </w:tc>
      </w:tr>
      <w:tr w:rsidR="00DA227A" w:rsidRPr="00E93F40" w14:paraId="5A3ED53B" w14:textId="77777777">
        <w:tc>
          <w:tcPr>
            <w:tcW w:w="3794" w:type="dxa"/>
          </w:tcPr>
          <w:p w14:paraId="05825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742C15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отцепки парашютов.</w:t>
            </w:r>
          </w:p>
        </w:tc>
      </w:tr>
      <w:tr w:rsidR="00DA227A" w:rsidRPr="00E93F40" w14:paraId="79E944A7" w14:textId="77777777">
        <w:tc>
          <w:tcPr>
            <w:tcW w:w="3794" w:type="dxa"/>
          </w:tcPr>
          <w:p w14:paraId="37872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одиночного мотоцикла</w:t>
            </w:r>
          </w:p>
        </w:tc>
        <w:tc>
          <w:tcPr>
            <w:tcW w:w="4394" w:type="dxa"/>
          </w:tcPr>
          <w:p w14:paraId="56363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16AFFA" w14:textId="77777777">
        <w:tc>
          <w:tcPr>
            <w:tcW w:w="3794" w:type="dxa"/>
          </w:tcPr>
          <w:p w14:paraId="04FBB1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Харлей-Давидсон</w:t>
            </w:r>
          </w:p>
        </w:tc>
        <w:tc>
          <w:tcPr>
            <w:tcW w:w="4394" w:type="dxa"/>
          </w:tcPr>
          <w:p w14:paraId="46E6B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w:t>
            </w:r>
          </w:p>
        </w:tc>
      </w:tr>
      <w:tr w:rsidR="00DA227A" w:rsidRPr="00E93F40" w14:paraId="52AC9F96" w14:textId="77777777">
        <w:tc>
          <w:tcPr>
            <w:tcW w:w="3794" w:type="dxa"/>
          </w:tcPr>
          <w:p w14:paraId="0A69D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мотоцикла с коляской</w:t>
            </w:r>
          </w:p>
        </w:tc>
        <w:tc>
          <w:tcPr>
            <w:tcW w:w="4394" w:type="dxa"/>
          </w:tcPr>
          <w:p w14:paraId="18A37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Допустить</w:t>
            </w:r>
          </w:p>
        </w:tc>
      </w:tr>
      <w:tr w:rsidR="00DA227A" w:rsidRPr="00E93F40" w14:paraId="1B5FA0BB" w14:textId="77777777">
        <w:tc>
          <w:tcPr>
            <w:tcW w:w="3794" w:type="dxa"/>
          </w:tcPr>
          <w:p w14:paraId="43732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377F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 Желательно</w:t>
            </w:r>
          </w:p>
        </w:tc>
      </w:tr>
      <w:tr w:rsidR="00DA227A" w:rsidRPr="00E93F40" w14:paraId="491CE5D3" w14:textId="77777777">
        <w:tc>
          <w:tcPr>
            <w:tcW w:w="3794" w:type="dxa"/>
          </w:tcPr>
          <w:p w14:paraId="3EA5E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7ECE3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дальнейшее облегчение установки.</w:t>
            </w:r>
          </w:p>
        </w:tc>
      </w:tr>
      <w:tr w:rsidR="00DA227A" w:rsidRPr="00E93F40" w14:paraId="783F0627" w14:textId="77777777">
        <w:tc>
          <w:tcPr>
            <w:tcW w:w="3794" w:type="dxa"/>
          </w:tcPr>
          <w:p w14:paraId="74A9B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подвеска для танкетки</w:t>
            </w:r>
          </w:p>
        </w:tc>
        <w:tc>
          <w:tcPr>
            <w:tcW w:w="4394" w:type="dxa"/>
          </w:tcPr>
          <w:p w14:paraId="2EC93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389FE2" w14:textId="77777777">
        <w:tc>
          <w:tcPr>
            <w:tcW w:w="3794" w:type="dxa"/>
          </w:tcPr>
          <w:p w14:paraId="24DC10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английского образца</w:t>
            </w:r>
          </w:p>
        </w:tc>
        <w:tc>
          <w:tcPr>
            <w:tcW w:w="4394" w:type="dxa"/>
          </w:tcPr>
          <w:p w14:paraId="2965CB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1EE38A70" w14:textId="77777777">
        <w:tc>
          <w:tcPr>
            <w:tcW w:w="3794" w:type="dxa"/>
          </w:tcPr>
          <w:p w14:paraId="345A71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CCC91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 Устранить</w:t>
            </w:r>
          </w:p>
        </w:tc>
      </w:tr>
      <w:tr w:rsidR="00DA227A" w:rsidRPr="00E93F40" w14:paraId="077ADF89" w14:textId="77777777">
        <w:tc>
          <w:tcPr>
            <w:tcW w:w="3794" w:type="dxa"/>
          </w:tcPr>
          <w:p w14:paraId="1A42B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BA30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комиссией дефекты.</w:t>
            </w:r>
          </w:p>
        </w:tc>
      </w:tr>
      <w:tr w:rsidR="00DA227A" w:rsidRPr="00E93F40" w14:paraId="0330EAA9" w14:textId="77777777">
        <w:tc>
          <w:tcPr>
            <w:tcW w:w="3794" w:type="dxa"/>
          </w:tcPr>
          <w:p w14:paraId="0FDE4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5D5439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проработать вопрос</w:t>
            </w:r>
          </w:p>
        </w:tc>
      </w:tr>
      <w:tr w:rsidR="00DA227A" w:rsidRPr="00E93F40" w14:paraId="5FFA4178" w14:textId="77777777">
        <w:tc>
          <w:tcPr>
            <w:tcW w:w="3794" w:type="dxa"/>
          </w:tcPr>
          <w:p w14:paraId="06A702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50120F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автоматической отцепки парашюта.</w:t>
            </w:r>
          </w:p>
        </w:tc>
      </w:tr>
      <w:tr w:rsidR="00DA227A" w:rsidRPr="00E93F40" w14:paraId="37146F1C" w14:textId="77777777">
        <w:tc>
          <w:tcPr>
            <w:tcW w:w="3794" w:type="dxa"/>
          </w:tcPr>
          <w:p w14:paraId="1EAE7A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Малый авиабус под самолет Р-5</w:t>
            </w:r>
          </w:p>
        </w:tc>
        <w:tc>
          <w:tcPr>
            <w:tcW w:w="4394" w:type="dxa"/>
          </w:tcPr>
          <w:p w14:paraId="26A22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Допустить на вооружение ВВС и к</w:t>
            </w:r>
          </w:p>
        </w:tc>
      </w:tr>
      <w:tr w:rsidR="00DA227A" w:rsidRPr="00E93F40" w14:paraId="2AE1E692" w14:textId="77777777">
        <w:tc>
          <w:tcPr>
            <w:tcW w:w="3794" w:type="dxa"/>
          </w:tcPr>
          <w:p w14:paraId="25F75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1CA617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серийной постройке.</w:t>
            </w:r>
          </w:p>
        </w:tc>
      </w:tr>
      <w:tr w:rsidR="00DA227A" w:rsidRPr="00E93F40" w14:paraId="03733C33" w14:textId="77777777">
        <w:tc>
          <w:tcPr>
            <w:tcW w:w="3794" w:type="dxa"/>
          </w:tcPr>
          <w:p w14:paraId="37573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Авиабусная площадка под самолет ТБ-1</w:t>
            </w:r>
          </w:p>
        </w:tc>
        <w:tc>
          <w:tcPr>
            <w:tcW w:w="4394" w:type="dxa"/>
          </w:tcPr>
          <w:p w14:paraId="27BC7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4F8D8A20" w14:textId="77777777">
        <w:tc>
          <w:tcPr>
            <w:tcW w:w="3794" w:type="dxa"/>
          </w:tcPr>
          <w:p w14:paraId="76D92C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4947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войсковым испытаниям.</w:t>
            </w:r>
          </w:p>
        </w:tc>
      </w:tr>
      <w:tr w:rsidR="00DA227A" w:rsidRPr="00E93F40" w14:paraId="696FF77B" w14:textId="77777777">
        <w:tc>
          <w:tcPr>
            <w:tcW w:w="3794" w:type="dxa"/>
          </w:tcPr>
          <w:p w14:paraId="03F8CE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Раскидыватель телефонного провода</w:t>
            </w:r>
          </w:p>
        </w:tc>
        <w:tc>
          <w:tcPr>
            <w:tcW w:w="4394" w:type="dxa"/>
          </w:tcPr>
          <w:p w14:paraId="7B258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передать на</w:t>
            </w:r>
          </w:p>
        </w:tc>
      </w:tr>
      <w:tr w:rsidR="00DA227A" w:rsidRPr="00E93F40" w14:paraId="0695E1EA" w14:textId="77777777">
        <w:tc>
          <w:tcPr>
            <w:tcW w:w="3794" w:type="dxa"/>
          </w:tcPr>
          <w:p w14:paraId="07761D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59435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широкие войсковые испытания.</w:t>
            </w:r>
          </w:p>
        </w:tc>
      </w:tr>
      <w:tr w:rsidR="00DA227A" w:rsidRPr="00E93F40" w14:paraId="03187C41" w14:textId="77777777">
        <w:tc>
          <w:tcPr>
            <w:tcW w:w="3794" w:type="dxa"/>
          </w:tcPr>
          <w:p w14:paraId="3F088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Мягкий мешок с парашютом</w:t>
            </w:r>
          </w:p>
        </w:tc>
        <w:tc>
          <w:tcPr>
            <w:tcW w:w="4394" w:type="dxa"/>
          </w:tcPr>
          <w:p w14:paraId="44762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допустить</w:t>
            </w:r>
          </w:p>
        </w:tc>
      </w:tr>
      <w:tr w:rsidR="00DA227A" w:rsidRPr="00E93F40" w14:paraId="013355F7" w14:textId="77777777">
        <w:tc>
          <w:tcPr>
            <w:tcW w:w="3794" w:type="dxa"/>
          </w:tcPr>
          <w:p w14:paraId="5D637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B867B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постройке войсковой серии.</w:t>
            </w:r>
          </w:p>
        </w:tc>
      </w:tr>
      <w:tr w:rsidR="00DA227A" w:rsidRPr="00E93F40" w14:paraId="17892158" w14:textId="77777777">
        <w:tc>
          <w:tcPr>
            <w:tcW w:w="3794" w:type="dxa"/>
          </w:tcPr>
          <w:p w14:paraId="2975A7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Круглые цилиндры с парашютами</w:t>
            </w:r>
          </w:p>
        </w:tc>
        <w:tc>
          <w:tcPr>
            <w:tcW w:w="4394" w:type="dxa"/>
          </w:tcPr>
          <w:p w14:paraId="219621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Устранить</w:t>
            </w:r>
          </w:p>
        </w:tc>
      </w:tr>
      <w:tr w:rsidR="00DA227A" w:rsidRPr="00E93F40" w14:paraId="3D60A0AC" w14:textId="77777777">
        <w:tc>
          <w:tcPr>
            <w:tcW w:w="3794" w:type="dxa"/>
          </w:tcPr>
          <w:p w14:paraId="02D0E0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2251F6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отмеченные дефекты.</w:t>
            </w:r>
          </w:p>
        </w:tc>
      </w:tr>
      <w:tr w:rsidR="00DA227A" w:rsidRPr="00E93F40" w14:paraId="7213B5EE" w14:textId="77777777">
        <w:tc>
          <w:tcPr>
            <w:tcW w:w="3794" w:type="dxa"/>
          </w:tcPr>
          <w:p w14:paraId="3F00C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Бензиномасляные баки с парашютами</w:t>
            </w:r>
          </w:p>
        </w:tc>
        <w:tc>
          <w:tcPr>
            <w:tcW w:w="4394" w:type="dxa"/>
          </w:tcPr>
          <w:p w14:paraId="1CF159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w:t>
            </w:r>
          </w:p>
        </w:tc>
      </w:tr>
      <w:tr w:rsidR="00DA227A" w:rsidRPr="00E93F40" w14:paraId="341D8237" w14:textId="77777777">
        <w:tc>
          <w:tcPr>
            <w:tcW w:w="3794" w:type="dxa"/>
          </w:tcPr>
          <w:p w14:paraId="79376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Клеть для сбрасывания грузов с парашютом</w:t>
            </w:r>
          </w:p>
        </w:tc>
        <w:tc>
          <w:tcPr>
            <w:tcW w:w="4394" w:type="dxa"/>
          </w:tcPr>
          <w:p w14:paraId="5E77C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и передать на</w:t>
            </w:r>
          </w:p>
        </w:tc>
      </w:tr>
      <w:tr w:rsidR="00DA227A" w:rsidRPr="00E93F40" w14:paraId="539E86E0" w14:textId="77777777">
        <w:tc>
          <w:tcPr>
            <w:tcW w:w="3794" w:type="dxa"/>
          </w:tcPr>
          <w:p w14:paraId="6B194F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4FA5B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войсковые испытания. Устранить</w:t>
            </w:r>
          </w:p>
        </w:tc>
      </w:tr>
      <w:tr w:rsidR="00DA227A" w:rsidRPr="00E93F40" w14:paraId="17239116" w14:textId="77777777">
        <w:tc>
          <w:tcPr>
            <w:tcW w:w="3794" w:type="dxa"/>
          </w:tcPr>
          <w:p w14:paraId="03A92D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C32E2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дефекты.</w:t>
            </w:r>
          </w:p>
        </w:tc>
      </w:tr>
      <w:tr w:rsidR="00DA227A" w:rsidRPr="00E93F40" w14:paraId="7BA9F320" w14:textId="77777777">
        <w:tc>
          <w:tcPr>
            <w:tcW w:w="3794" w:type="dxa"/>
          </w:tcPr>
          <w:p w14:paraId="4A81B7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Вышки для тренировки парашютистов</w:t>
            </w:r>
          </w:p>
        </w:tc>
        <w:tc>
          <w:tcPr>
            <w:tcW w:w="4394" w:type="dxa"/>
          </w:tcPr>
          <w:p w14:paraId="6D65F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w:t>
            </w:r>
          </w:p>
        </w:tc>
      </w:tr>
      <w:tr w:rsidR="00DA227A" w:rsidRPr="00E93F40" w14:paraId="7C3C3232" w14:textId="77777777">
        <w:tc>
          <w:tcPr>
            <w:tcW w:w="3794" w:type="dxa"/>
          </w:tcPr>
          <w:p w14:paraId="41E117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Ударная агитбомба</w:t>
            </w:r>
          </w:p>
        </w:tc>
        <w:tc>
          <w:tcPr>
            <w:tcW w:w="4394" w:type="dxa"/>
          </w:tcPr>
          <w:p w14:paraId="73541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 и</w:t>
            </w:r>
          </w:p>
        </w:tc>
      </w:tr>
      <w:tr w:rsidR="00DA227A" w:rsidRPr="00E93F40" w14:paraId="4167584E" w14:textId="77777777">
        <w:tc>
          <w:tcPr>
            <w:tcW w:w="3794" w:type="dxa"/>
          </w:tcPr>
          <w:p w14:paraId="2C5EB0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7AFE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Политуправления.</w:t>
            </w:r>
          </w:p>
        </w:tc>
      </w:tr>
      <w:tr w:rsidR="00DA227A" w:rsidRPr="00E93F40" w14:paraId="75E4F8EA" w14:textId="77777777">
        <w:tc>
          <w:tcPr>
            <w:tcW w:w="3794" w:type="dxa"/>
          </w:tcPr>
          <w:p w14:paraId="34B376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Вертикальная агит-мина</w:t>
            </w:r>
          </w:p>
        </w:tc>
        <w:tc>
          <w:tcPr>
            <w:tcW w:w="4394" w:type="dxa"/>
          </w:tcPr>
          <w:p w14:paraId="63C41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Подлежит дальнейшей проработке.</w:t>
            </w:r>
          </w:p>
        </w:tc>
      </w:tr>
      <w:tr w:rsidR="00DA227A" w:rsidRPr="00E93F40" w14:paraId="1209EDA4" w14:textId="77777777">
        <w:tc>
          <w:tcPr>
            <w:tcW w:w="3794" w:type="dxa"/>
          </w:tcPr>
          <w:p w14:paraId="6C2E2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Литературная агит-кассета</w:t>
            </w:r>
          </w:p>
        </w:tc>
        <w:tc>
          <w:tcPr>
            <w:tcW w:w="4394" w:type="dxa"/>
          </w:tcPr>
          <w:p w14:paraId="42996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 и</w:t>
            </w:r>
          </w:p>
        </w:tc>
      </w:tr>
      <w:tr w:rsidR="00DA227A" w:rsidRPr="00E93F40" w14:paraId="632F2E6A" w14:textId="77777777">
        <w:tc>
          <w:tcPr>
            <w:tcW w:w="3794" w:type="dxa"/>
          </w:tcPr>
          <w:p w14:paraId="21EE69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52495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Политуправления с передачей на</w:t>
            </w:r>
          </w:p>
        </w:tc>
      </w:tr>
      <w:tr w:rsidR="00DA227A" w:rsidRPr="00E93F40" w14:paraId="763B4F74" w14:textId="77777777">
        <w:tc>
          <w:tcPr>
            <w:tcW w:w="3794" w:type="dxa"/>
          </w:tcPr>
          <w:p w14:paraId="24149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49DD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войсковые испытания.</w:t>
            </w:r>
          </w:p>
        </w:tc>
      </w:tr>
      <w:tr w:rsidR="00DA227A" w:rsidRPr="00E93F40" w14:paraId="3181665D" w14:textId="77777777">
        <w:tc>
          <w:tcPr>
            <w:tcW w:w="3794" w:type="dxa"/>
          </w:tcPr>
          <w:p w14:paraId="5C641C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Горизонтальная агит-кассета под ТБ-1</w:t>
            </w:r>
          </w:p>
        </w:tc>
        <w:tc>
          <w:tcPr>
            <w:tcW w:w="4394" w:type="dxa"/>
          </w:tcPr>
          <w:p w14:paraId="07AA76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ВВС и</w:t>
            </w:r>
          </w:p>
        </w:tc>
      </w:tr>
      <w:tr w:rsidR="00DA227A" w:rsidRPr="00E93F40" w14:paraId="2E3FB166" w14:textId="77777777">
        <w:tc>
          <w:tcPr>
            <w:tcW w:w="3794" w:type="dxa"/>
          </w:tcPr>
          <w:p w14:paraId="4C40C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6C91BE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Политуправления и допустить к</w:t>
            </w:r>
          </w:p>
        </w:tc>
      </w:tr>
      <w:tr w:rsidR="00DA227A" w:rsidRPr="00E93F40" w14:paraId="380FED0D" w14:textId="77777777">
        <w:tc>
          <w:tcPr>
            <w:tcW w:w="3794" w:type="dxa"/>
          </w:tcPr>
          <w:p w14:paraId="5C856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5AF7B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войсковым испытаниям.</w:t>
            </w:r>
          </w:p>
        </w:tc>
      </w:tr>
      <w:tr w:rsidR="00DA227A" w:rsidRPr="00E93F40" w14:paraId="65BC43C0" w14:textId="77777777">
        <w:tc>
          <w:tcPr>
            <w:tcW w:w="3794" w:type="dxa"/>
          </w:tcPr>
          <w:p w14:paraId="5605CA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Раскрывающаяся агитбомба</w:t>
            </w:r>
          </w:p>
        </w:tc>
        <w:tc>
          <w:tcPr>
            <w:tcW w:w="4394" w:type="dxa"/>
          </w:tcPr>
          <w:p w14:paraId="374824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Дала неудовлетворительные результаты.</w:t>
            </w:r>
          </w:p>
        </w:tc>
      </w:tr>
      <w:tr w:rsidR="00DA227A" w:rsidRPr="00E93F40" w14:paraId="07787389" w14:textId="77777777">
        <w:tc>
          <w:tcPr>
            <w:tcW w:w="3794" w:type="dxa"/>
          </w:tcPr>
          <w:p w14:paraId="027FF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37701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Подлежит дальнейшей проработке.</w:t>
            </w:r>
          </w:p>
        </w:tc>
      </w:tr>
      <w:tr w:rsidR="00DA227A" w:rsidRPr="00E93F40" w14:paraId="285728F7" w14:textId="77777777">
        <w:tc>
          <w:tcPr>
            <w:tcW w:w="3794" w:type="dxa"/>
          </w:tcPr>
          <w:p w14:paraId="32F51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Санитарная кабина под ТБ-1</w:t>
            </w:r>
          </w:p>
        </w:tc>
        <w:tc>
          <w:tcPr>
            <w:tcW w:w="4394" w:type="dxa"/>
          </w:tcPr>
          <w:p w14:paraId="7EF8C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на снабжение при условии</w:t>
            </w:r>
          </w:p>
        </w:tc>
      </w:tr>
      <w:tr w:rsidR="00DA227A" w:rsidRPr="00E93F40" w14:paraId="0D70FF42" w14:textId="77777777">
        <w:tc>
          <w:tcPr>
            <w:tcW w:w="3794" w:type="dxa"/>
          </w:tcPr>
          <w:p w14:paraId="32CB5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F1E6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устранения указанных дефектов и</w:t>
            </w:r>
          </w:p>
        </w:tc>
      </w:tr>
      <w:tr w:rsidR="00DA227A" w:rsidRPr="00E93F40" w14:paraId="3D874CA7" w14:textId="77777777">
        <w:tc>
          <w:tcPr>
            <w:tcW w:w="3794" w:type="dxa"/>
          </w:tcPr>
          <w:p w14:paraId="42FD3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73CAB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заменой системы крепления.</w:t>
            </w:r>
          </w:p>
        </w:tc>
      </w:tr>
      <w:tr w:rsidR="00DA227A" w:rsidRPr="00E93F40" w14:paraId="5E63056B" w14:textId="77777777">
        <w:tc>
          <w:tcPr>
            <w:tcW w:w="3794" w:type="dxa"/>
          </w:tcPr>
          <w:p w14:paraId="0A948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Экспериментальная 100 кг мина</w:t>
            </w:r>
          </w:p>
        </w:tc>
        <w:tc>
          <w:tcPr>
            <w:tcW w:w="4394" w:type="dxa"/>
          </w:tcPr>
          <w:p w14:paraId="7F118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Мина в предъявленном виде</w:t>
            </w:r>
          </w:p>
        </w:tc>
      </w:tr>
      <w:tr w:rsidR="00DA227A" w:rsidRPr="00E93F40" w14:paraId="6D9E37F6" w14:textId="77777777">
        <w:tc>
          <w:tcPr>
            <w:tcW w:w="3794" w:type="dxa"/>
          </w:tcPr>
          <w:p w14:paraId="17D3B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0209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практического применения иметь не</w:t>
            </w:r>
          </w:p>
        </w:tc>
      </w:tr>
      <w:tr w:rsidR="00DA227A" w:rsidRPr="00E93F40" w14:paraId="319A7C62" w14:textId="77777777">
        <w:tc>
          <w:tcPr>
            <w:tcW w:w="3794" w:type="dxa"/>
          </w:tcPr>
          <w:p w14:paraId="69D5B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6DD4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может. Необходимы дальнейшие</w:t>
            </w:r>
          </w:p>
        </w:tc>
      </w:tr>
      <w:tr w:rsidR="00DA227A" w:rsidRPr="00E93F40" w14:paraId="3E0DD8FD" w14:textId="77777777">
        <w:tc>
          <w:tcPr>
            <w:tcW w:w="3794" w:type="dxa"/>
          </w:tcPr>
          <w:p w14:paraId="0EA27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A74C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в этой области.</w:t>
            </w:r>
          </w:p>
        </w:tc>
      </w:tr>
      <w:tr w:rsidR="00DA227A" w:rsidRPr="00E93F40" w14:paraId="5ACFE89D" w14:textId="77777777">
        <w:tc>
          <w:tcPr>
            <w:tcW w:w="3794" w:type="dxa"/>
          </w:tcPr>
          <w:p w14:paraId="344A49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12-ти метровый грузовой парашют</w:t>
            </w:r>
          </w:p>
        </w:tc>
        <w:tc>
          <w:tcPr>
            <w:tcW w:w="4394" w:type="dxa"/>
          </w:tcPr>
          <w:p w14:paraId="20F10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как уже испытанный</w:t>
            </w:r>
          </w:p>
        </w:tc>
      </w:tr>
      <w:tr w:rsidR="00DA227A" w:rsidRPr="00E93F40" w14:paraId="679019C8" w14:textId="77777777">
        <w:tc>
          <w:tcPr>
            <w:tcW w:w="3794" w:type="dxa"/>
          </w:tcPr>
          <w:p w14:paraId="751BB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3F34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 и принятый на снабжение в</w:t>
            </w:r>
          </w:p>
        </w:tc>
      </w:tr>
      <w:tr w:rsidR="00DA227A" w:rsidRPr="00E93F40" w14:paraId="69E53D95" w14:textId="77777777">
        <w:tc>
          <w:tcPr>
            <w:tcW w:w="3794" w:type="dxa"/>
          </w:tcPr>
          <w:p w14:paraId="1E39FA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138C4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мае текущего года.</w:t>
            </w:r>
          </w:p>
        </w:tc>
      </w:tr>
      <w:tr w:rsidR="00DA227A" w:rsidRPr="00E93F40" w14:paraId="50F51778" w14:textId="77777777">
        <w:tc>
          <w:tcPr>
            <w:tcW w:w="3794" w:type="dxa"/>
          </w:tcPr>
          <w:p w14:paraId="1A785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20-ти метровый грузовой парашют</w:t>
            </w:r>
          </w:p>
        </w:tc>
        <w:tc>
          <w:tcPr>
            <w:tcW w:w="4394" w:type="dxa"/>
          </w:tcPr>
          <w:p w14:paraId="164E3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как уже испытанный</w:t>
            </w:r>
          </w:p>
        </w:tc>
      </w:tr>
      <w:tr w:rsidR="00DA227A" w:rsidRPr="00E93F40" w14:paraId="29913B5C" w14:textId="77777777">
        <w:tc>
          <w:tcPr>
            <w:tcW w:w="3794" w:type="dxa"/>
          </w:tcPr>
          <w:p w14:paraId="65923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5C03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 и принятый на снабжение в</w:t>
            </w:r>
          </w:p>
        </w:tc>
      </w:tr>
      <w:tr w:rsidR="00DA227A" w:rsidRPr="00E93F40" w14:paraId="35A4FB13" w14:textId="77777777">
        <w:tc>
          <w:tcPr>
            <w:tcW w:w="3794" w:type="dxa"/>
          </w:tcPr>
          <w:p w14:paraId="439F0F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813A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мае текущего года.</w:t>
            </w:r>
          </w:p>
        </w:tc>
      </w:tr>
      <w:tr w:rsidR="00DA227A" w:rsidRPr="00E93F40" w14:paraId="54CC16F6" w14:textId="77777777">
        <w:tc>
          <w:tcPr>
            <w:tcW w:w="3794" w:type="dxa"/>
          </w:tcPr>
          <w:p w14:paraId="1540C6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местная кабина под ТБ-3</w:t>
            </w:r>
          </w:p>
        </w:tc>
        <w:tc>
          <w:tcPr>
            <w:tcW w:w="4394" w:type="dxa"/>
          </w:tcPr>
          <w:p w14:paraId="7107D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испытана из-за отсутствия ТБ-3.</w:t>
            </w:r>
          </w:p>
        </w:tc>
      </w:tr>
      <w:tr w:rsidR="00DA227A" w:rsidRPr="00E93F40" w14:paraId="238B150E" w14:textId="77777777">
        <w:tc>
          <w:tcPr>
            <w:tcW w:w="3794" w:type="dxa"/>
          </w:tcPr>
          <w:p w14:paraId="3499B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 метровый парашют</w:t>
            </w:r>
          </w:p>
        </w:tc>
        <w:tc>
          <w:tcPr>
            <w:tcW w:w="4394" w:type="dxa"/>
          </w:tcPr>
          <w:p w14:paraId="088CF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испытана из-за отсутствия ТБ-3.</w:t>
            </w:r>
          </w:p>
        </w:tc>
      </w:tr>
      <w:tr w:rsidR="00DA227A" w:rsidRPr="00E93F40" w14:paraId="4AEB68B5" w14:textId="77777777">
        <w:tc>
          <w:tcPr>
            <w:tcW w:w="3794" w:type="dxa"/>
          </w:tcPr>
          <w:p w14:paraId="29B37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Буксируемый планер</w:t>
            </w:r>
          </w:p>
        </w:tc>
        <w:tc>
          <w:tcPr>
            <w:tcW w:w="4394" w:type="dxa"/>
          </w:tcPr>
          <w:p w14:paraId="6592C7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испытаний из-за повреждений</w:t>
            </w:r>
          </w:p>
        </w:tc>
      </w:tr>
      <w:tr w:rsidR="00DA227A" w:rsidRPr="00E93F40" w14:paraId="16B47D03" w14:textId="77777777">
        <w:tc>
          <w:tcPr>
            <w:tcW w:w="3794" w:type="dxa"/>
          </w:tcPr>
          <w:p w14:paraId="441CD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212154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испытаний.</w:t>
            </w:r>
          </w:p>
        </w:tc>
      </w:tr>
      <w:tr w:rsidR="00DA227A" w:rsidRPr="00E93F40" w14:paraId="2E863C96" w14:textId="77777777">
        <w:tc>
          <w:tcPr>
            <w:tcW w:w="3794" w:type="dxa"/>
          </w:tcPr>
          <w:p w14:paraId="252C97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Треугольный конус для воздушной стрельбы</w:t>
            </w:r>
          </w:p>
        </w:tc>
        <w:tc>
          <w:tcPr>
            <w:tcW w:w="4394" w:type="dxa"/>
          </w:tcPr>
          <w:p w14:paraId="3ACB9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из-за неокончания</w:t>
            </w:r>
          </w:p>
        </w:tc>
      </w:tr>
      <w:tr w:rsidR="00DA227A" w:rsidRPr="00E93F40" w14:paraId="4AF05D02" w14:textId="77777777">
        <w:tc>
          <w:tcPr>
            <w:tcW w:w="3794" w:type="dxa"/>
          </w:tcPr>
          <w:p w14:paraId="6ECF1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19D63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проработки.</w:t>
            </w:r>
          </w:p>
        </w:tc>
      </w:tr>
      <w:tr w:rsidR="00DA227A" w:rsidRPr="00E93F40" w14:paraId="777CAA94" w14:textId="77777777">
        <w:tc>
          <w:tcPr>
            <w:tcW w:w="3794" w:type="dxa"/>
          </w:tcPr>
          <w:p w14:paraId="022CEE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Радио-танк и самолет</w:t>
            </w:r>
          </w:p>
        </w:tc>
        <w:tc>
          <w:tcPr>
            <w:tcW w:w="4394" w:type="dxa"/>
          </w:tcPr>
          <w:p w14:paraId="10BE81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из-за неокончания</w:t>
            </w:r>
          </w:p>
        </w:tc>
      </w:tr>
      <w:tr w:rsidR="00DA227A" w:rsidRPr="00E93F40" w14:paraId="761E8501" w14:textId="77777777">
        <w:tc>
          <w:tcPr>
            <w:tcW w:w="3794" w:type="dxa"/>
          </w:tcPr>
          <w:p w14:paraId="04A8F4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60CB6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проработки.</w:t>
            </w:r>
          </w:p>
        </w:tc>
      </w:tr>
      <w:tr w:rsidR="00DA227A" w:rsidRPr="00E93F40" w14:paraId="50944EF0" w14:textId="77777777">
        <w:tc>
          <w:tcPr>
            <w:tcW w:w="3794" w:type="dxa"/>
          </w:tcPr>
          <w:p w14:paraId="0BE17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Переливка бензина в воздухе с Р-5 на ТБ1</w:t>
            </w:r>
          </w:p>
        </w:tc>
        <w:tc>
          <w:tcPr>
            <w:tcW w:w="4394" w:type="dxa"/>
          </w:tcPr>
          <w:p w14:paraId="647DFE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испытано из-за низкой облачности</w:t>
            </w:r>
          </w:p>
        </w:tc>
      </w:tr>
      <w:tr w:rsidR="00DA227A" w:rsidRPr="00E93F40" w14:paraId="590B4510" w14:textId="77777777">
        <w:tc>
          <w:tcPr>
            <w:tcW w:w="3794" w:type="dxa"/>
          </w:tcPr>
          <w:p w14:paraId="64A531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06977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сильных ветров.</w:t>
            </w:r>
          </w:p>
        </w:tc>
      </w:tr>
      <w:tr w:rsidR="00DA227A" w:rsidRPr="00E93F40" w14:paraId="3898D163" w14:textId="77777777">
        <w:tc>
          <w:tcPr>
            <w:tcW w:w="3794" w:type="dxa"/>
          </w:tcPr>
          <w:p w14:paraId="20655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 парашют</w:t>
            </w:r>
          </w:p>
        </w:tc>
        <w:tc>
          <w:tcPr>
            <w:tcW w:w="4394" w:type="dxa"/>
          </w:tcPr>
          <w:p w14:paraId="6A32C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 с испытания из-за недоработки</w:t>
            </w:r>
          </w:p>
        </w:tc>
      </w:tr>
      <w:tr w:rsidR="009D12BD" w:rsidRPr="00E93F40" w14:paraId="5012E386" w14:textId="77777777">
        <w:tc>
          <w:tcPr>
            <w:tcW w:w="3794" w:type="dxa"/>
          </w:tcPr>
          <w:p w14:paraId="59A59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19A1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конструкции (8853,125-127)</w:t>
            </w:r>
          </w:p>
        </w:tc>
      </w:tr>
    </w:tbl>
    <w:p w14:paraId="7FAF5D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A89E92" w14:textId="77777777" w:rsidR="00826173" w:rsidRPr="00E93F40" w:rsidRDefault="00826173" w:rsidP="00E93F40">
      <w:pPr>
        <w:spacing w:after="0" w:line="240" w:lineRule="auto"/>
        <w:jc w:val="both"/>
        <w:rPr>
          <w:rStyle w:val="ucoz-forum-post"/>
          <w:rFonts w:ascii="Times New Roman" w:eastAsiaTheme="majorEastAsia"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5 октября 1932 года</w:t>
      </w:r>
      <w:r w:rsidRPr="00E93F40">
        <w:rPr>
          <w:rStyle w:val="ucoz-forum-post"/>
          <w:rFonts w:ascii="Times New Roman" w:eastAsiaTheme="majorEastAsia" w:hAnsi="Times New Roman"/>
          <w:color w:val="000000" w:themeColor="text1"/>
          <w:sz w:val="16"/>
          <w:szCs w:val="16"/>
        </w:rPr>
        <w:t xml:space="preserve"> Окончание перелета (начало 29.09) аэропоезда в составе самолета-буксировщика У-2 под руководством В.К. Грибовского и планера Г-9, пилотированного В.А. Степанченком по маршруту Москва - Рязань - Тамбов - Задонск - Воронеж - Евдоково - Кантемировка - Луганск - Ейск - Черноерковский - Керчь - Коктебель. Маршрут дальностью 1660 км пройден за 19 ч. 10 мин (14790).</w:t>
      </w:r>
    </w:p>
    <w:p w14:paraId="30D804DB" w14:textId="77777777" w:rsidR="00826173" w:rsidRPr="00E93F40" w:rsidRDefault="00826173" w:rsidP="00E93F40">
      <w:pPr>
        <w:spacing w:after="0" w:line="240" w:lineRule="auto"/>
        <w:jc w:val="both"/>
        <w:rPr>
          <w:rStyle w:val="ucoz-forum-post"/>
          <w:rFonts w:ascii="Times New Roman" w:eastAsiaTheme="majorEastAsia" w:hAnsi="Times New Roman"/>
          <w:color w:val="000000" w:themeColor="text1"/>
          <w:sz w:val="16"/>
          <w:szCs w:val="16"/>
        </w:rPr>
      </w:pPr>
    </w:p>
    <w:p w14:paraId="6A3F19C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1CCC76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0B7C28"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октября 1932</w:t>
      </w:r>
    </w:p>
    <w:p w14:paraId="6BA70962"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Сов.Секретно </w:t>
      </w:r>
    </w:p>
    <w:p w14:paraId="021FE260"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Экз. № 2 </w:t>
      </w:r>
    </w:p>
    <w:p w14:paraId="1C3C3466"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ТАБЛИЦА </w:t>
      </w:r>
    </w:p>
    <w:p w14:paraId="4CB2F763"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выполнению системы авто-броне-танкового вооружения </w:t>
      </w:r>
    </w:p>
    <w:p w14:paraId="08C962A4"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документе помета: «В дело 10/Х.32 подпись» </w:t>
      </w:r>
    </w:p>
    <w:p w14:paraId="30D9E09B"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Фонд 31811 Опись 3 Дело 81 лист 39 – 40</w:t>
      </w:r>
    </w:p>
    <w:p w14:paraId="318A6889"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МАТЕРИАЛЫ </w:t>
      </w:r>
    </w:p>
    <w:p w14:paraId="25D91B86"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отчетного доклада по боевой подготовке для пленума РВС СССР </w:t>
      </w:r>
    </w:p>
    <w:p w14:paraId="1501AFA9"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Раздел 1. Рост материально-технической части.</w:t>
      </w:r>
    </w:p>
    <w:p w14:paraId="7CBCA0E9"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Осуществление системы вооружения.</w:t>
      </w:r>
    </w:p>
    <w:p w14:paraId="6B760586"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Система броне-танкового вооружения, утвержденная РВС СССР 18 июля 1929 г., на сегодняшний день не только выполнена, но и перевыполнена по опытным образцам, что характеризуется следующими показателями: </w:t>
      </w:r>
    </w:p>
    <w:p w14:paraId="29BEE1B0"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За 1932 год построены в опытных образцах три типа сверх-легких плавающих танков "Амфибия" – Т-33, Т-41 и Т-37, причем подобный тип танка совершенно не предусматривался системой вооружения. </w:t>
      </w:r>
    </w:p>
    <w:p w14:paraId="1AE4E818"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своим боевым и техническим качествам эти образцы не уступают английскому плавучему танку "Амфибия" завода Виккерс и выполнены с применением отечественных силовых агрегатов Форд АА и АМО-3. </w:t>
      </w:r>
    </w:p>
    <w:p w14:paraId="5AA89B50"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Заканчивается изготовлением быстроходный 14-тн. колесно-гусеничный плавучий танк, также совершенно не предусматривавшейся системой вооружения. Этот тип танка при благоприятных результатах испытаний по своим боевым качествам будет являться наиболее совершенной колесно-гусеничной машиной быстроходного типа. </w:t>
      </w:r>
    </w:p>
    <w:p w14:paraId="115B278E"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В том же самом 1932 г. закончен постройкой опытный образец тяжелого танка прорыва Т-35 весом 35 – 38 тн., также изготовленный сверх системы вооружения. </w:t>
      </w:r>
    </w:p>
    <w:p w14:paraId="71091DBE"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Введен на серийное производство в 1932 г. быстроходный танк БТ колесно-гусеничного типа весом около 11 тн., также не предусмотренный системой вооружения и являющийся одним из самых современных танков в мире. </w:t>
      </w:r>
    </w:p>
    <w:p w14:paraId="05C6F3D8"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Принятый на вооружение танк Т-26 по своим боевым качествам превосходит требования, поставленные системой вооружения и благодаря работам по усовершенствованию его конструкции, произведенным в 1932 г., в связи с постановкой в него 45 мм пушки с оптическими приборами для прицеливания и наблюдения, а также дальнейшей работе по установке в него 76 мм пушки – значительно повышает свои боевые качества и является также одним из самых лучших легких танков в мире. </w:t>
      </w:r>
    </w:p>
    <w:p w14:paraId="3C8555A6"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Построенные образцы мостового танка на шасси Т-26 также являются объектами, не предусмотренными системой вооружения. </w:t>
      </w:r>
    </w:p>
    <w:p w14:paraId="62339346"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Новый опытный образец среднего танка Т-28, построенный в 1932 г. и идущий на смену танку Т-24, по всем своим основным боевым качествам также превосходит требования системы вооружения. </w:t>
      </w:r>
    </w:p>
    <w:p w14:paraId="6FA5D9B1"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Все это дает право утверждать о том, что система броне-танкового вооружения перевыполнена не только качественном отношении, но и в количественном, благодаря многообразию выполненных образцов и их высоким боевым качествам. </w:t>
      </w:r>
    </w:p>
    <w:p w14:paraId="489D3F68"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Мы имеем вполне освоенное производство танкетки Т-27, легкого танка Т-26, быстроходного танка БТ и предполагаем в 1933 г., кроме указанных типов, внедрить в производство один из плавучих сверх-легких танков "Амфибия", средний танк Т-28 и танк прорыва Т-35. </w:t>
      </w:r>
    </w:p>
    <w:p w14:paraId="53964608"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Кроме того, в 1932 г. построен в опытных сериях и осваивается в серийном производстве химизированный танк на шасси Т-26, вооруженный приборами дымопуска, заражения и огнеметания, и химизированные танкетки Т-27. Эти типы машин также не предусматривались системой вооружения. </w:t>
      </w:r>
    </w:p>
    <w:p w14:paraId="47098529"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3465115"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Что касается выполнения системы вооружения по бронемашинам, то в категории легкого, среднего и тяжелого бронеавтомобиля имеются пущенные в серийное производство образцы двух следующих типов: </w:t>
      </w:r>
    </w:p>
    <w:p w14:paraId="4BA16EA4"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Легкая бронемашина на шасси Форд А с вооружением в башне с круговым обстрелом и </w:t>
      </w:r>
    </w:p>
    <w:p w14:paraId="0B1E6585"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Средняя бронемашина на трехосном шасси Форд 3А, причем последний тип машины по своим боевым качествам превосходит требования системы вооружения, предъявляемых даже к тяжелому бронеавтомобилю. </w:t>
      </w:r>
    </w:p>
    <w:p w14:paraId="28294DEC"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тракторам выполнены новые образцы быстроходного гусеничного трактора типа Карден-Лойд с мотором АМО-3 для перевозки дивизионной артиллерии весом до 4,5 тн. и со скоростями свыше 20 клм/час (максимальная скорость трактора 40 клм). </w:t>
      </w:r>
    </w:p>
    <w:p w14:paraId="539F2FD3"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Кроме того, в разряде средних тракторов выполнены новые образцы трактора Коминтерн со скоростью 30 клм в час для корпусной артиллерии и АРГК, и построен трактор "Сталинец" с дизельмотором и повышенной скоростью движения 13 клм/час (вместо 6 клм/час). </w:t>
      </w:r>
    </w:p>
    <w:p w14:paraId="1CFA8A5F"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Оба трактора предположено внедрить в производство на наших тракторных заводах. </w:t>
      </w:r>
    </w:p>
    <w:p w14:paraId="529B1462"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году проведены опыты с изготовлением образцов применения автомобильных силовых агрегатов к легкому танку типа Т-26 для получения конструктивных образцов танков вторых эшелонов. </w:t>
      </w:r>
    </w:p>
    <w:p w14:paraId="2269E472"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самоходным установкам выполнены и заказаны в опытной серии самоходные установки полковой 76 мм пушки на трехосном шасси Мореланд, а также выполнены опытные образцы установки той же пушки на трехосном шасси Форд 3А. </w:t>
      </w:r>
    </w:p>
    <w:p w14:paraId="536DB205"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Кроме того, заканчивается испытание опытной самоходной установки 76 мм пушки ДРП на трехосном легковом шасси Форд А. </w:t>
      </w:r>
    </w:p>
    <w:p w14:paraId="32534408"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Таким образом, на 1933 год мы выходим с значительно большим количеством опытных образцов бронетанкового вооружения, вполне пригодных для постановки на серийное производство, чем это было в предыдущие годы. </w:t>
      </w:r>
    </w:p>
    <w:p w14:paraId="3F65B50F"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5.Х.</w:t>
      </w:r>
    </w:p>
    <w:p w14:paraId="3BDFC53C" w14:textId="77777777" w:rsidR="002A11F1" w:rsidRPr="00E93F40" w:rsidRDefault="002A11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Фонд 31811 Опись 3 Дело 81 лист 37 (17950).</w:t>
      </w:r>
    </w:p>
    <w:p w14:paraId="129E5EE6" w14:textId="77777777" w:rsidR="002A11F1" w:rsidRPr="00E93F40" w:rsidRDefault="002A11F1" w:rsidP="00E93F40">
      <w:pPr>
        <w:spacing w:after="0" w:line="240" w:lineRule="auto"/>
        <w:jc w:val="both"/>
        <w:rPr>
          <w:rFonts w:ascii="Times New Roman" w:hAnsi="Times New Roman"/>
          <w:color w:val="000000" w:themeColor="text1"/>
          <w:sz w:val="16"/>
          <w:szCs w:val="16"/>
        </w:rPr>
      </w:pPr>
    </w:p>
    <w:p w14:paraId="60AB57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октября 1931 г. на расширенном заседании ве</w:t>
      </w:r>
      <w:r w:rsidRPr="00E93F40">
        <w:rPr>
          <w:rFonts w:ascii="Times New Roman" w:hAnsi="Times New Roman"/>
          <w:color w:val="000000" w:themeColor="text1"/>
          <w:sz w:val="16"/>
          <w:szCs w:val="16"/>
        </w:rPr>
        <w:softHyphen/>
        <w:t>домств и организаций, созванном в Главмашпроме ВСНХ СССР, наконец-то признали, что мотоцикл нужен не только для нужд обороны страны, но и для удовлетворения на</w:t>
      </w:r>
      <w:r w:rsidRPr="00E93F40">
        <w:rPr>
          <w:rFonts w:ascii="Times New Roman" w:hAnsi="Times New Roman"/>
          <w:color w:val="000000" w:themeColor="text1"/>
          <w:sz w:val="16"/>
          <w:szCs w:val="16"/>
        </w:rPr>
        <w:softHyphen/>
        <w:t>сущных потребностей «трудового населения». В принятом Поста</w:t>
      </w:r>
      <w:r w:rsidRPr="00E93F40">
        <w:rPr>
          <w:rFonts w:ascii="Times New Roman" w:hAnsi="Times New Roman"/>
          <w:color w:val="000000" w:themeColor="text1"/>
          <w:sz w:val="16"/>
          <w:szCs w:val="16"/>
        </w:rPr>
        <w:softHyphen/>
        <w:t>новлении, подписанном руководителем Главмашпрома А. Медве</w:t>
      </w:r>
      <w:r w:rsidRPr="00E93F40">
        <w:rPr>
          <w:rFonts w:ascii="Times New Roman" w:hAnsi="Times New Roman"/>
          <w:color w:val="000000" w:themeColor="text1"/>
          <w:sz w:val="16"/>
          <w:szCs w:val="16"/>
        </w:rPr>
        <w:softHyphen/>
        <w:t>девым, намечалось на ХАЗе в 1932 г. изготовить 3 тыс. мотоцик</w:t>
      </w:r>
      <w:r w:rsidRPr="00E93F40">
        <w:rPr>
          <w:rFonts w:ascii="Times New Roman" w:hAnsi="Times New Roman"/>
          <w:color w:val="000000" w:themeColor="text1"/>
          <w:sz w:val="16"/>
          <w:szCs w:val="16"/>
        </w:rPr>
        <w:softHyphen/>
        <w:t>лов [3.109]. Однако завод к этому не был подготовлен. Но и Главмашпром не располагал необходимыми и притом очень крупны</w:t>
      </w:r>
      <w:r w:rsidRPr="00E93F40">
        <w:rPr>
          <w:rFonts w:ascii="Times New Roman" w:hAnsi="Times New Roman"/>
          <w:color w:val="000000" w:themeColor="text1"/>
          <w:sz w:val="16"/>
          <w:szCs w:val="16"/>
        </w:rPr>
        <w:softHyphen/>
        <w:t>ми средствами для финансирования такой программы. Размыш</w:t>
      </w:r>
      <w:r w:rsidRPr="00E93F40">
        <w:rPr>
          <w:rFonts w:ascii="Times New Roman" w:hAnsi="Times New Roman"/>
          <w:color w:val="000000" w:themeColor="text1"/>
          <w:sz w:val="16"/>
          <w:szCs w:val="16"/>
        </w:rPr>
        <w:softHyphen/>
        <w:t>ляя о событиях тех дней, приходишь к убеждению, что заявление руководителя Главмашпрома можно расценить либо как полити</w:t>
      </w:r>
      <w:r w:rsidRPr="00E93F40">
        <w:rPr>
          <w:rFonts w:ascii="Times New Roman" w:hAnsi="Times New Roman"/>
          <w:color w:val="000000" w:themeColor="text1"/>
          <w:sz w:val="16"/>
          <w:szCs w:val="16"/>
        </w:rPr>
        <w:softHyphen/>
        <w:t>ческий блеф, либо, что представляется более вероятным, как по</w:t>
      </w:r>
      <w:r w:rsidRPr="00E93F40">
        <w:rPr>
          <w:rFonts w:ascii="Times New Roman" w:hAnsi="Times New Roman"/>
          <w:color w:val="000000" w:themeColor="text1"/>
          <w:sz w:val="16"/>
          <w:szCs w:val="16"/>
        </w:rPr>
        <w:softHyphen/>
        <w:t>пытку представить свою не бог весть какую профессиональную квалификацию в наилучшем свете. О последнем свидетельствует его же очередное заявление, сделанное в журнальной статье (Мо</w:t>
      </w:r>
      <w:r w:rsidRPr="00E93F40">
        <w:rPr>
          <w:rFonts w:ascii="Times New Roman" w:hAnsi="Times New Roman"/>
          <w:color w:val="000000" w:themeColor="text1"/>
          <w:sz w:val="16"/>
          <w:szCs w:val="16"/>
        </w:rPr>
        <w:softHyphen/>
        <w:t>тор. № 7, 1931 г.). В ней он утверждал, что в 1932 г. ХАЗ выпус</w:t>
      </w:r>
      <w:r w:rsidRPr="00E93F40">
        <w:rPr>
          <w:rFonts w:ascii="Times New Roman" w:hAnsi="Times New Roman"/>
          <w:color w:val="000000" w:themeColor="text1"/>
          <w:sz w:val="16"/>
          <w:szCs w:val="16"/>
        </w:rPr>
        <w:softHyphen/>
        <w:t>тит уже не 3 тыс., а всего лишь 1800 мотоциклов [3.110]. Всё это нелицеприятно характеризовало руководителя Главмашпрома. И, как предполагали специалисты, за его пассажами в прессе ни</w:t>
      </w:r>
      <w:r w:rsidRPr="00E93F40">
        <w:rPr>
          <w:rFonts w:ascii="Times New Roman" w:hAnsi="Times New Roman"/>
          <w:color w:val="000000" w:themeColor="text1"/>
          <w:sz w:val="16"/>
          <w:szCs w:val="16"/>
        </w:rPr>
        <w:softHyphen/>
        <w:t>чего не последует, что, кстати, так и оказалось. А на ХАЗе дела развивались своим чередом (11429).</w:t>
      </w:r>
    </w:p>
    <w:p w14:paraId="285046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9CE4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октября 1932 г. Перевод химического полигона НИХП (Москва, Кузьминки) из подчинения ХКУКС РККА в прямое подчинение ВОХИМУ РККА. Впоследствии НИХП был переведен в подчинение НИХИ РККА в качестве его полевого отдела, а в 1938 г. вновь возвращен в ВОХИМУ (4423).</w:t>
      </w:r>
    </w:p>
    <w:p w14:paraId="5FF3F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B68E1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2751C1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C33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августа 1932 г. Из письма Сталина от</w:t>
      </w:r>
    </w:p>
    <w:p w14:paraId="0A726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Товарищам Кагановичу, Молотову и Ворошилову </w:t>
      </w:r>
    </w:p>
    <w:p w14:paraId="62411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Преобразовать "Свердловку" (Коммунистический университет им. Я. М. Свердлова) и областные комвузы, дающие теперь не нужных нам всезнаек, в сельскохозяйственную школу нового типа, могущую дать нам вполне современных и хозяйственно подкованных начальников МТС, секретарей райкомов, предриков (председателей райисполкомов), заведующих отделениями зерносовхозов и фермами колхозов и животноводческих совхозов... </w:t>
      </w:r>
    </w:p>
    <w:p w14:paraId="77308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04B11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809D57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C4FB6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 7 ноября 1932 года совершил первые полеты дирижабль В-4. По сравнению с «Комсомольской правдой» скорость В-4 увеличилась, устойчивость полета улучшилась (10731).</w:t>
      </w:r>
    </w:p>
    <w:p w14:paraId="691E54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7424A4" w14:textId="77777777" w:rsidR="00B95352" w:rsidRPr="00E93F40" w:rsidRDefault="00B953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октября 1932 г. закончился первый в СССР буксирный перелет на планере, начатый 29 сентября. Планерист В.А.Стспанченок на планере В.К.Грибовского Г-9, буксируемом самолетом У-2 /летчик В.К.Грибовский прилетел из Тушино в Коктебель на планерные состязания, покрыв расстояние 1700 км за 19 часов летного времени. Маршрут полета проходил по ломаной лини через Тамбов-Воронеж-Ейск. Новизна дела и неблагоприятная погода затрудняли перелет, однако, он прошел удачно.</w:t>
      </w:r>
    </w:p>
    <w:p w14:paraId="51AE5AAE" w14:textId="35201C23" w:rsidR="00B95352" w:rsidRPr="00E93F40" w:rsidRDefault="00B953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Этот опыт положил начало буксирным перелетам на дальние расстояния и стал, своего рода, воздушным спортом. Начиная с 1933 года на планерные состязания в Коктебель многие планеры доставлялись воздушным путем, появились своего рода «воздушные поезда».</w:t>
      </w:r>
    </w:p>
    <w:p w14:paraId="28D99A68" w14:textId="77777777" w:rsidR="00B95352" w:rsidRPr="00E93F40" w:rsidRDefault="00B953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ЦИК СССР» за 8 окт. 1932; "Самолет", 1932, № 12/ (23370).</w:t>
      </w:r>
    </w:p>
    <w:p w14:paraId="3F054F6A" w14:textId="77777777" w:rsidR="00B95352" w:rsidRPr="00E93F40" w:rsidRDefault="00B95352" w:rsidP="00E93F40">
      <w:pPr>
        <w:spacing w:after="0" w:line="240" w:lineRule="auto"/>
        <w:jc w:val="both"/>
        <w:rPr>
          <w:rFonts w:ascii="Times New Roman" w:hAnsi="Times New Roman"/>
          <w:color w:val="000000" w:themeColor="text1"/>
          <w:sz w:val="16"/>
          <w:szCs w:val="16"/>
        </w:rPr>
      </w:pPr>
    </w:p>
    <w:p w14:paraId="4BA4F7F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2C90EB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45D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Утром 6 октября 1932 года, когда стартовая команда заправляла ракету «HWR-2» топливом, было обнаружено, что пусковые клапаны окислителя и горючего протекают. Никто не подозревал, что электрон коррозирует при воздействии морской воды. Экспериментаторы решили рискнуть и продуть корпус ракеты азотом непосредственно перед запуском. Это было сделано, но, по-видимому, недостаточно тщательно. Когда включили воспламенитель, между внешней обшивкой ракеты, баками и камерой сгорания еще оставалось достаточно взрывчатой смеси, и ракета взорвалась. Все были глубоко разочарованы. Винклер вернулся на фирму «Юнкерс».</w:t>
      </w:r>
    </w:p>
    <w:p w14:paraId="00960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Пытаясь не отстать от своих коллег, Иоганн Винклер в рамках шестимесячного контракта с авиационной фирмой «Юнкерс» он провел испытания и классификацию всех известных пороховых ракет, используя специальную контрольно-измерительную аппаратуру для регистрации их характеристик. Затем он изготовил цилиндрическую камеру сгорания с длинным коническим соплом, использовав тонкий слой магнезитового огнеупорного материала. Впоследствии по возобновленному контракту Винклер провел натурные испытания гидросамолета с пороховыми ускорителями для фирмы «Юнкерс».</w:t>
      </w:r>
    </w:p>
    <w:p w14:paraId="1724D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Ободренный результатами испытаний «HWR-1» Винклер приступил к созданию большой ракеты на жидком кислороде и метане, которая, как он предполагал, была способна достичь высоты 5000 м. По предложению фабриканта Хюккеля, который финансировал разработки Винклера и некоторые проекты Небеля, было решено перевести лабораторию Винклера из Дессау на ракетный полигон в Рейникендорфе, чтобы объединить ее с «Ракетенфлюгплатц» в единый центр и получить максимальную результативность при ограниченных ресурсах. Объединенная исследовательская организация получила название: Винклеровский исследовательский институт реактивного движения. В рамках этого института Винклер создал ракету «HWR-2» («ХВР-2»), которая имела длину 1,9 м и для своего времени отличалась высоким техническим совершенством. Топливные клапаны ракеты были изготовлены из нового сплава алюминия с магнием – электрона (11688).</w:t>
      </w:r>
    </w:p>
    <w:p w14:paraId="7A80A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A91783" w14:textId="6D166216" w:rsidR="002545EC" w:rsidRPr="00E93F40" w:rsidRDefault="002545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октября 1932 г. во время заполнения топливных баков HW-2 Винклер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Энгель заметили, что их пусковые клапаны разгерметизированы. Но поскольку собралось много зрителей, включая представителей магистрата Кёнигсберга, они решили пойти на риск. Тогда еще никто не знал, что электрон корродирует при воздействии соленой влаги. Энгель позже писал: Мы решили рискнуть и продуть корпус ракеты азотом непосредственно перед запуском. Это было сделано, но, по-видимому, недостаточно тщательно. Когда был включен воспламенитель, Винклер со своей ракетой HW-2 74 между внешней обшивкой ракеты, баками и камерой сгорания еще оставалось достаточно взрывчатой смеси /метана и кислорода/, и наша прекрасная ракета разорвалась на куски. Она успела подняться на высоту всего лишь 15 метров. Все были глубоко разочарованы. Хюккель отказался финансировать дальнейшие работы (23372).</w:t>
      </w:r>
    </w:p>
    <w:p w14:paraId="3DF7D767" w14:textId="77777777" w:rsidR="002545EC" w:rsidRPr="00E93F40" w:rsidRDefault="002545EC" w:rsidP="00E93F40">
      <w:pPr>
        <w:spacing w:after="0" w:line="240" w:lineRule="auto"/>
        <w:jc w:val="both"/>
        <w:rPr>
          <w:rFonts w:ascii="Times New Roman" w:hAnsi="Times New Roman"/>
          <w:color w:val="000000" w:themeColor="text1"/>
          <w:sz w:val="16"/>
          <w:szCs w:val="16"/>
        </w:rPr>
      </w:pPr>
    </w:p>
    <w:p w14:paraId="344493D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5E7AE7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1DC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октября 1932 года возник Комитет по постройке самолета "Максим Горький". Через некоторое время сфера деятельности Комитета и его задачи расширились, превратив Комитет во "Всесоюзный Комитет по постройке самолета-гиганта и особой эскадрильи имени Максима Горького".</w:t>
      </w:r>
    </w:p>
    <w:p w14:paraId="66028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Лучшие конструкторские силы во главе с заслуженным деятелем науки и техники СССР - А.Н.Туполевым - откликнулись на призыв Всесоюзного Комитета и приступили к конструированию самолета-гиганта - "Максим Горький".</w:t>
      </w:r>
    </w:p>
    <w:p w14:paraId="0A3424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марта 1933 года постройка самолета была передана Центральному аэро-гидродинамическому институту имени профессора Жуковского в Москве - ЦАГИ </w:t>
      </w:r>
    </w:p>
    <w:p w14:paraId="0D674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апреля 1934 года самолет был закончен и перевезен на аэродром, где и приступили к испытанию и освоению его сложного оборудования (12024).</w:t>
      </w:r>
    </w:p>
    <w:p w14:paraId="4D8B7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D8F14D" w14:textId="77777777" w:rsidR="002E36C2" w:rsidRPr="00E93F40" w:rsidRDefault="002E36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первых числах октября 1932 начал рабо</w:t>
      </w:r>
      <w:r w:rsidRPr="00E93F40">
        <w:rPr>
          <w:rFonts w:ascii="Times New Roman" w:hAnsi="Times New Roman"/>
          <w:color w:val="000000" w:themeColor="text1"/>
          <w:sz w:val="16"/>
          <w:szCs w:val="16"/>
          <w:lang w:eastAsia="ru-RU" w:bidi="ru-RU"/>
        </w:rPr>
        <w:softHyphen/>
        <w:t>тать образованный Кольцовым Комитет по постройке самолета «Максим Горь</w:t>
      </w:r>
      <w:r w:rsidRPr="00E93F40">
        <w:rPr>
          <w:rFonts w:ascii="Times New Roman" w:hAnsi="Times New Roman"/>
          <w:color w:val="000000" w:themeColor="text1"/>
          <w:sz w:val="16"/>
          <w:szCs w:val="16"/>
          <w:lang w:eastAsia="ru-RU" w:bidi="ru-RU"/>
        </w:rPr>
        <w:softHyphen/>
        <w:t>кий». Для решения конкретных задач в составе Комитета были организованы от</w:t>
      </w:r>
      <w:r w:rsidRPr="00E93F40">
        <w:rPr>
          <w:rFonts w:ascii="Times New Roman" w:hAnsi="Times New Roman"/>
          <w:color w:val="000000" w:themeColor="text1"/>
          <w:sz w:val="16"/>
          <w:szCs w:val="16"/>
          <w:lang w:eastAsia="ru-RU" w:bidi="ru-RU"/>
        </w:rPr>
        <w:softHyphen/>
        <w:t>делы, наибольшие сложности выпали на долю агитмассового и строительного. Агитмассовый отдел должен был обеспе</w:t>
      </w:r>
      <w:r w:rsidRPr="00E93F40">
        <w:rPr>
          <w:rFonts w:ascii="Times New Roman" w:hAnsi="Times New Roman"/>
          <w:color w:val="000000" w:themeColor="text1"/>
          <w:sz w:val="16"/>
          <w:szCs w:val="16"/>
          <w:lang w:eastAsia="ru-RU" w:bidi="ru-RU"/>
        </w:rPr>
        <w:softHyphen/>
        <w:t>чить поступление средств, и немалых, не</w:t>
      </w:r>
      <w:r w:rsidRPr="00E93F40">
        <w:rPr>
          <w:rFonts w:ascii="Times New Roman" w:hAnsi="Times New Roman"/>
          <w:color w:val="000000" w:themeColor="text1"/>
          <w:sz w:val="16"/>
          <w:szCs w:val="16"/>
          <w:lang w:eastAsia="ru-RU" w:bidi="ru-RU"/>
        </w:rPr>
        <w:softHyphen/>
        <w:t>обходимых для проектирования и пост</w:t>
      </w:r>
      <w:r w:rsidRPr="00E93F40">
        <w:rPr>
          <w:rFonts w:ascii="Times New Roman" w:hAnsi="Times New Roman"/>
          <w:color w:val="000000" w:themeColor="text1"/>
          <w:sz w:val="16"/>
          <w:szCs w:val="16"/>
          <w:lang w:eastAsia="ru-RU" w:bidi="ru-RU"/>
        </w:rPr>
        <w:softHyphen/>
        <w:t>ройки задуманного самолета (21240).</w:t>
      </w:r>
    </w:p>
    <w:p w14:paraId="2CADFC0D" w14:textId="77777777" w:rsidR="002E36C2" w:rsidRPr="00E93F40" w:rsidRDefault="002E36C2" w:rsidP="00E93F40">
      <w:pPr>
        <w:spacing w:after="0" w:line="240" w:lineRule="auto"/>
        <w:jc w:val="both"/>
        <w:rPr>
          <w:rFonts w:ascii="Times New Roman" w:hAnsi="Times New Roman"/>
          <w:color w:val="000000" w:themeColor="text1"/>
          <w:sz w:val="16"/>
          <w:szCs w:val="16"/>
        </w:rPr>
      </w:pPr>
    </w:p>
    <w:p w14:paraId="7A8156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w:t>
      </w:r>
      <w:r w:rsidRPr="00E93F40">
        <w:rPr>
          <w:rFonts w:ascii="Times New Roman" w:hAnsi="Times New Roman"/>
          <w:color w:val="000000" w:themeColor="text1"/>
          <w:sz w:val="16"/>
          <w:szCs w:val="16"/>
        </w:rPr>
        <w:softHyphen/>
        <w:t>чалу октября 1932 г. в мастерских ИАМ сделали пять М-34, из них один - макетный для ЦАГИ (11848).</w:t>
      </w:r>
    </w:p>
    <w:p w14:paraId="4EE1A10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EB930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874A60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E1201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года вышел Отчет об испытании полуавтоматики пушек самолета Z системы "Л" стрельбой на Ногинском полигоне, произведенном представителями завода N 39 Григорович, Агокас, Кутеповым, Легчаковым и от НИИ ВВС Мельниковым и Андреевым</w:t>
      </w:r>
    </w:p>
    <w:p w14:paraId="33C7F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1A53E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Определить надежность работы полуавтоматики сист. "Л". Выяснить характер задержки:</w:t>
      </w:r>
    </w:p>
    <w:p w14:paraId="20ED2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 вине полуавтоматики</w:t>
      </w:r>
    </w:p>
    <w:p w14:paraId="4506B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вине боевых припасов (3536,26-29).</w:t>
      </w:r>
    </w:p>
    <w:p w14:paraId="2EDC2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CBD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было подписано заключение по гос. испытаниям десантной кабины КП-1 Гроховского (подвеска под ТБ-1 для 16 чел.):</w:t>
      </w:r>
    </w:p>
    <w:p w14:paraId="5AD60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...Десантную кабину на 16 чел. под ТБ-1 - принять на снабжение ВВС РККА...(2186,20).</w:t>
      </w:r>
    </w:p>
    <w:p w14:paraId="604633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Десантная кабина (КП-1) — предназначается для подвески под самолетом типа ТБ-1 и переброски по воздуху авиадесантного отря</w:t>
      </w:r>
      <w:r w:rsidRPr="00E93F40">
        <w:rPr>
          <w:rFonts w:ascii="Times New Roman" w:hAnsi="Times New Roman"/>
          <w:color w:val="000000" w:themeColor="text1"/>
          <w:sz w:val="16"/>
          <w:szCs w:val="16"/>
        </w:rPr>
        <w:softHyphen/>
        <w:t>да в 16 чел. с последующим 'Сбрасыванием бойцов — на парашютах — з тылу противника.</w:t>
      </w:r>
    </w:p>
    <w:p w14:paraId="00435C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 КП-1 дает возможность кучного сбрасывания пара</w:t>
      </w:r>
      <w:r w:rsidRPr="00E93F40">
        <w:rPr>
          <w:rFonts w:ascii="Times New Roman" w:hAnsi="Times New Roman"/>
          <w:color w:val="000000" w:themeColor="text1"/>
          <w:sz w:val="16"/>
          <w:szCs w:val="16"/>
        </w:rPr>
        <w:softHyphen/>
        <w:t>шютно-десантного отряда для выполнения спец. заданий в тылу про</w:t>
      </w:r>
      <w:r w:rsidRPr="00E93F40">
        <w:rPr>
          <w:rFonts w:ascii="Times New Roman" w:hAnsi="Times New Roman"/>
          <w:color w:val="000000" w:themeColor="text1"/>
          <w:sz w:val="16"/>
          <w:szCs w:val="16"/>
        </w:rPr>
        <w:softHyphen/>
        <w:t>тивника — в составе унитарного подразделения, а кроме того, —. сообщает бомбардировочному самолету типа ТБ-1 — свойства десант</w:t>
      </w:r>
      <w:r w:rsidRPr="00E93F40">
        <w:rPr>
          <w:rFonts w:ascii="Times New Roman" w:hAnsi="Times New Roman"/>
          <w:color w:val="000000" w:themeColor="text1"/>
          <w:sz w:val="16"/>
          <w:szCs w:val="16"/>
        </w:rPr>
        <w:softHyphen/>
        <w:t>ного корабля, расширяя варианты тактико-оперативного использова</w:t>
      </w:r>
      <w:r w:rsidRPr="00E93F40">
        <w:rPr>
          <w:rFonts w:ascii="Times New Roman" w:hAnsi="Times New Roman"/>
          <w:color w:val="000000" w:themeColor="text1"/>
          <w:sz w:val="16"/>
          <w:szCs w:val="16"/>
        </w:rPr>
        <w:softHyphen/>
        <w:t>ния обычного бомбардировщика.</w:t>
      </w:r>
    </w:p>
    <w:p w14:paraId="3338AE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Подвешивается кабина под фюзеляжем самолета.</w:t>
      </w:r>
    </w:p>
    <w:p w14:paraId="209869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Вооруженный парашютно-десантный отряд производит посадку в кабину через люк в полу ее </w:t>
      </w:r>
      <w:r w:rsidRPr="00E93F40">
        <w:rPr>
          <w:rFonts w:ascii="Times New Roman" w:hAnsi="Times New Roman"/>
          <w:smallCaps/>
          <w:color w:val="000000" w:themeColor="text1"/>
          <w:sz w:val="16"/>
          <w:szCs w:val="16"/>
        </w:rPr>
        <w:t xml:space="preserve">«особой </w:t>
      </w:r>
      <w:r w:rsidRPr="00E93F40">
        <w:rPr>
          <w:rFonts w:ascii="Times New Roman" w:hAnsi="Times New Roman"/>
          <w:color w:val="000000" w:themeColor="text1"/>
          <w:sz w:val="16"/>
          <w:szCs w:val="16"/>
        </w:rPr>
        <w:t>части. '</w:t>
      </w:r>
    </w:p>
    <w:p w14:paraId="120655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Поднявшийся в воздух самолет, подходит к месту, заданному для высадки отряда, где через открытый люк кабины первым пры</w:t>
      </w:r>
      <w:r w:rsidRPr="00E93F40">
        <w:rPr>
          <w:rFonts w:ascii="Times New Roman" w:hAnsi="Times New Roman"/>
          <w:color w:val="000000" w:themeColor="text1"/>
          <w:sz w:val="16"/>
          <w:szCs w:val="16"/>
        </w:rPr>
        <w:softHyphen/>
        <w:t>гает командир отряда, а за ним, в установленном порядке с интерва</w:t>
      </w:r>
      <w:r w:rsidRPr="00E93F40">
        <w:rPr>
          <w:rFonts w:ascii="Times New Roman" w:hAnsi="Times New Roman"/>
          <w:color w:val="000000" w:themeColor="text1"/>
          <w:sz w:val="16"/>
          <w:szCs w:val="16"/>
        </w:rPr>
        <w:softHyphen/>
        <w:t>лом 1—2 секунды — бойцы оставляют кабину.</w:t>
      </w:r>
    </w:p>
    <w:p w14:paraId="1811D8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Приземлившийся вооруженный парашютно-десантный отряд, — оставляет парашюты и приступает к выполнению боевой задачи.</w:t>
      </w:r>
    </w:p>
    <w:p w14:paraId="7FAFE8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из заключения по госиспытаниям.</w:t>
      </w:r>
    </w:p>
    <w:p w14:paraId="1A6A40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«Десантную кабину на 16 чел. под самолет ТБ-1 — принять на снабжение ВВС РККА»...</w:t>
      </w:r>
    </w:p>
    <w:p w14:paraId="793F96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комиссии:</w:t>
      </w:r>
    </w:p>
    <w:p w14:paraId="178121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ком. войсками ЛВО Флоренский.</w:t>
      </w:r>
    </w:p>
    <w:p w14:paraId="4FDEF0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нач. 1-го Управления штаба ВВС РККА Лазаревич.</w:t>
      </w:r>
    </w:p>
    <w:p w14:paraId="36C7ED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комиссии:</w:t>
      </w:r>
    </w:p>
    <w:p w14:paraId="2EECD82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5-го отдела НИИ ВВС РККА Соловьев.</w:t>
      </w:r>
    </w:p>
    <w:p w14:paraId="4F2D0A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Мл. инженер 5-го Отдела НИИ ВВС РККА Данилов.</w:t>
      </w:r>
    </w:p>
    <w:p w14:paraId="0DF177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 ОО № 3 Бойцов.</w:t>
      </w:r>
    </w:p>
    <w:p w14:paraId="03730A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 бюро вооружений Штаба РККА Золотое.</w:t>
      </w:r>
    </w:p>
    <w:p w14:paraId="6F6E17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Представитель ПУРККА Октябрьский.</w:t>
      </w:r>
    </w:p>
    <w:p w14:paraId="6D968B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Осконпробюро ВВС РККА Гроховский.</w:t>
      </w:r>
    </w:p>
    <w:p w14:paraId="4368C3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Представитель ОО ЛВО Смирнов,</w:t>
      </w:r>
    </w:p>
    <w:p w14:paraId="251E4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B76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официально приняли на снабжение ВВС подвесную кабину для ТБ-1.</w:t>
      </w:r>
    </w:p>
    <w:p w14:paraId="5A5C95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Первая такая кабина была сделана в 1931 г. для ТБ-1. Кабина КГ1-1 крепилась под фюзеляжем и была рассчитана на 16 человек. Весила она около тонны. У самолета-носителя уменьшались скорость и потолок, ухудшалась маневренность, увеличивался разбег на взлете. Но десантникам в КП-1, безусловно, было комфортнее, чем в "люльках". Со второго раза в 1932 г. кабина преодолела рубеж государственных испытаний. </w:t>
      </w:r>
    </w:p>
    <w:p w14:paraId="2CD07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1932-1933 годах промышленность выпустила КП-1 в 50 экземплярах.</w:t>
      </w:r>
    </w:p>
    <w:p w14:paraId="550231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Подобная кабина под ТБ-3 вмещала 35 десантников. Планом на 1933-1934 годы предусматривалось изготовить не менее 100 штук, но доводка затянулась, а в декабре 1933 г. начальник ВВС РККА Я.И. Алкснис предложил вообще от кабин отказаться из соображений экономии (они должны были обойтись в 2,5 миллиона рублей) (12036). </w:t>
      </w:r>
    </w:p>
    <w:p w14:paraId="502F11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233E31"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октября 1932 г. подвесную кабину для ТБ-1 официально приняли на снабжение ВВС. В 1932-1933 го</w:t>
      </w:r>
      <w:r w:rsidRPr="00142305">
        <w:rPr>
          <w:rFonts w:ascii="Times New Roman" w:hAnsi="Times New Roman"/>
          <w:color w:val="0070C0"/>
          <w:sz w:val="16"/>
          <w:szCs w:val="16"/>
        </w:rPr>
        <w:softHyphen/>
        <w:t>дах промышленность выпустила КП -1 в 50 экземплярах.</w:t>
      </w:r>
    </w:p>
    <w:p w14:paraId="6715C068"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Кабина КП -1 крепилась под фю</w:t>
      </w:r>
      <w:r w:rsidRPr="00142305">
        <w:rPr>
          <w:rFonts w:ascii="Times New Roman" w:hAnsi="Times New Roman"/>
          <w:color w:val="0070C0"/>
          <w:sz w:val="16"/>
          <w:szCs w:val="16"/>
        </w:rPr>
        <w:softHyphen/>
        <w:t>зеляжем и была рассчитана на 16 человек. Весила она около тонны. У самолета-носителя уменьшались скорость и по</w:t>
      </w:r>
      <w:r w:rsidRPr="00142305">
        <w:rPr>
          <w:rFonts w:ascii="Times New Roman" w:hAnsi="Times New Roman"/>
          <w:color w:val="0070C0"/>
          <w:sz w:val="16"/>
          <w:szCs w:val="16"/>
        </w:rPr>
        <w:softHyphen/>
        <w:t>толок, ухудшалась маневренность, увеличивался разбег на взлете. Но десантникам в КП -1, безусловно, было комфор</w:t>
      </w:r>
      <w:r w:rsidRPr="00142305">
        <w:rPr>
          <w:rFonts w:ascii="Times New Roman" w:hAnsi="Times New Roman"/>
          <w:color w:val="0070C0"/>
          <w:sz w:val="16"/>
          <w:szCs w:val="16"/>
        </w:rPr>
        <w:softHyphen/>
        <w:t>тнее, чем в «люльках». Со второго раза в 1932 г. кабина пре</w:t>
      </w:r>
      <w:r w:rsidRPr="00142305">
        <w:rPr>
          <w:rFonts w:ascii="Times New Roman" w:hAnsi="Times New Roman"/>
          <w:color w:val="0070C0"/>
          <w:sz w:val="16"/>
          <w:szCs w:val="16"/>
        </w:rPr>
        <w:softHyphen/>
        <w:t>одолела рубеж государственных испытаний.</w:t>
      </w:r>
    </w:p>
    <w:p w14:paraId="4883311E"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Подобная кабина под ТБ-3 вмещала 35 десантников. Планом на 1933-1934 годы предусматривалось изготовить не менее 100 штук, но доводка затянулась, а в декабре 1933 г. начальник ВВС РККА Я.И. Алкснис предложил вообще от кабин отказаться из соображений экономии (они должны были обойтись в 2,5 миллиона рублей) (24977).</w:t>
      </w:r>
    </w:p>
    <w:p w14:paraId="6C0035D8" w14:textId="77777777" w:rsidR="009623CF" w:rsidRPr="00142305" w:rsidRDefault="009623CF" w:rsidP="009623CF">
      <w:pPr>
        <w:spacing w:after="0" w:line="240" w:lineRule="auto"/>
        <w:jc w:val="both"/>
        <w:rPr>
          <w:rFonts w:ascii="Times New Roman" w:hAnsi="Times New Roman"/>
          <w:color w:val="0070C0"/>
          <w:sz w:val="16"/>
          <w:szCs w:val="16"/>
        </w:rPr>
      </w:pPr>
    </w:p>
    <w:p w14:paraId="4D9D3701"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октября 1932 г. подвесную кабину КП-1 для ТБ-1 официально приняли на снабжение ВВС. В 1932-33 годах промышленность выпустила 50 штук КП-1.</w:t>
      </w:r>
    </w:p>
    <w:p w14:paraId="2353F4E9"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Кабина КП-1 крепилась под фюзеляжем и была рассчитана на 16 человек. Весила она около тонны. У самолета-носителя уменьшались скорость и потолок, ухудшалась маневренность, увеличивался разбег. Но десантникам в КП-1, безусловно, было комфортнее, чем в "люльках-гробиках". В 1932 году кабина со второго захода преодолела рубеж государственных испытаний. </w:t>
      </w:r>
    </w:p>
    <w:p w14:paraId="66E7566C"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Подобная кабина под ТБ-3 вмещала уже 35 десантников. Планом на 1933-34 годы предусматривалось изготовить не менее 100 штук, но доводка затянулась, а в декабре 1933 г. начальник ВВС РККА Я. И. Алкснис решил из экономии вообще от кабин отказаться (они должны были обойтись казне в 2,5 млн. руб.) (25356).</w:t>
      </w:r>
    </w:p>
    <w:p w14:paraId="53EB6DE3" w14:textId="77777777" w:rsidR="009623CF" w:rsidRPr="00142305" w:rsidRDefault="009623CF" w:rsidP="009623CF">
      <w:pPr>
        <w:spacing w:after="0" w:line="240" w:lineRule="auto"/>
        <w:jc w:val="both"/>
        <w:rPr>
          <w:rFonts w:ascii="Times New Roman" w:hAnsi="Times New Roman"/>
          <w:color w:val="0070C0"/>
          <w:sz w:val="16"/>
          <w:szCs w:val="16"/>
        </w:rPr>
      </w:pPr>
    </w:p>
    <w:p w14:paraId="38B92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было подписано заключение по гос. испытаниям грузовых парашютов ПГ Гроховского (на ПД 30 м можно было сбрасывать танкетку Т-27):</w:t>
      </w:r>
    </w:p>
    <w:p w14:paraId="3164D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...Парашюты из авиаполотна диаметром 25 и 30 м - принять на снабжение ВВС РККА для спуска на них грузов методом срыва и допустить на войсковые испытания...(2186,26).</w:t>
      </w:r>
    </w:p>
    <w:p w14:paraId="04CB12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Грузовые парашюты—диаметром в 3, 8, 12, 20, 25 и 30 м пред</w:t>
      </w:r>
      <w:r w:rsidRPr="00E93F40">
        <w:rPr>
          <w:rFonts w:ascii="Times New Roman" w:hAnsi="Times New Roman"/>
          <w:color w:val="000000" w:themeColor="text1"/>
          <w:sz w:val="16"/>
          <w:szCs w:val="16"/>
        </w:rPr>
        <w:softHyphen/>
        <w:t>назначены для приземления сброшенных с самолетов различных гру</w:t>
      </w:r>
      <w:r w:rsidRPr="00E93F40">
        <w:rPr>
          <w:rFonts w:ascii="Times New Roman" w:hAnsi="Times New Roman"/>
          <w:color w:val="000000" w:themeColor="text1"/>
          <w:sz w:val="16"/>
          <w:szCs w:val="16"/>
        </w:rPr>
        <w:softHyphen/>
        <w:t>зов весом от 20 до 1650 кг.</w:t>
      </w:r>
    </w:p>
    <w:p w14:paraId="7D8C2E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Грузовые парашюты изготовляются из авиационного полотна или перкаля.</w:t>
      </w:r>
    </w:p>
    <w:p w14:paraId="05D0D3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Комплект парашюта состоит из следующих частей:</w:t>
      </w:r>
    </w:p>
    <w:p w14:paraId="37521A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купола;</w:t>
      </w:r>
    </w:p>
    <w:p w14:paraId="63C9C8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строп с коушем, и</w:t>
      </w:r>
    </w:p>
    <w:p w14:paraId="4F0AE2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чехла.</w:t>
      </w:r>
    </w:p>
    <w:p w14:paraId="6F9A40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Основные данные грузовых парашютов.</w:t>
      </w:r>
    </w:p>
    <w:p w14:paraId="0B9DFC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Таблица применения грузовых парашютов</w:t>
      </w:r>
    </w:p>
    <w:p w14:paraId="46FA42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 применении грузовых парашютов диаметром 3, 8 я 12 м — последние укладываются в специальные парашютные камеры, имею</w:t>
      </w:r>
      <w:r w:rsidRPr="00E93F40">
        <w:rPr>
          <w:rFonts w:ascii="Times New Roman" w:hAnsi="Times New Roman"/>
          <w:color w:val="000000" w:themeColor="text1"/>
          <w:sz w:val="16"/>
          <w:szCs w:val="16"/>
        </w:rPr>
        <w:softHyphen/>
        <w:t>щиеся в транспортных приспособлениях (ПГ-2к, ПД—ММ. ПД—ББ, ПД—Кор и др.).</w:t>
      </w:r>
    </w:p>
    <w:p w14:paraId="09C443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Парашюты диаметром 20, 25 и 30 м, служащие для сбрасывания тяжелых грузов, — укладываются в специальные цилиндры, и подве</w:t>
      </w:r>
      <w:r w:rsidRPr="00E93F40">
        <w:rPr>
          <w:rFonts w:ascii="Times New Roman" w:hAnsi="Times New Roman"/>
          <w:color w:val="000000" w:themeColor="text1"/>
          <w:sz w:val="16"/>
          <w:szCs w:val="16"/>
        </w:rPr>
        <w:softHyphen/>
        <w:t>шиваются в них под самолетами.</w:t>
      </w:r>
    </w:p>
    <w:p w14:paraId="495916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Парашют диаметром 12 м. применяемый</w:t>
      </w:r>
    </w:p>
    <w:p w14:paraId="79BE7D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сбрасывания ПД—М-1 укладывается в специальный цилиндр.</w:t>
      </w:r>
    </w:p>
    <w:p w14:paraId="1BDD09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Парашютный цилиндр — состоит из трех частей: 1) рабочей ча</w:t>
      </w:r>
      <w:r w:rsidRPr="00E93F40">
        <w:rPr>
          <w:rFonts w:ascii="Times New Roman" w:hAnsi="Times New Roman"/>
          <w:color w:val="000000" w:themeColor="text1"/>
          <w:sz w:val="16"/>
          <w:szCs w:val="16"/>
        </w:rPr>
        <w:softHyphen/>
        <w:t>сти, 2) обтекателя, 3) обхвата с ушком бомбового типа, 4) авиазенто-вого мешка.</w:t>
      </w:r>
    </w:p>
    <w:p w14:paraId="09BD43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Вес цилиндра для парашюта д-12 м — 10,2 кг.</w:t>
      </w:r>
    </w:p>
    <w:p w14:paraId="3CC8C7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Вес цилиндра для парашюта д-20 м — 25,5 кг.</w:t>
      </w:r>
    </w:p>
    <w:p w14:paraId="7D8787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Вес цилиндра для парашюта д-25 м — 31,5 кг.</w:t>
      </w:r>
    </w:p>
    <w:p w14:paraId="536F73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Вес цилиндра для парашюта д-30 м — 35,5 кг.</w:t>
      </w:r>
    </w:p>
    <w:p w14:paraId="759E34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из заключения по госиспытаниям.</w:t>
      </w:r>
    </w:p>
    <w:p w14:paraId="515137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«Парашюты из авиаполотна диаметром 25 и 30 метров, — при</w:t>
      </w:r>
      <w:r w:rsidRPr="00E93F40">
        <w:rPr>
          <w:rFonts w:ascii="Times New Roman" w:hAnsi="Times New Roman"/>
          <w:color w:val="000000" w:themeColor="text1"/>
          <w:sz w:val="16"/>
          <w:szCs w:val="16"/>
        </w:rPr>
        <w:softHyphen/>
        <w:t>нять на снабжение_ВВС РККА для спуска на них грузов методом сры</w:t>
      </w:r>
      <w:r w:rsidRPr="00E93F40">
        <w:rPr>
          <w:rFonts w:ascii="Times New Roman" w:hAnsi="Times New Roman"/>
          <w:color w:val="000000" w:themeColor="text1"/>
          <w:sz w:val="16"/>
          <w:szCs w:val="16"/>
        </w:rPr>
        <w:softHyphen/>
        <w:t>ва и допустить на" войсковые испытания»...</w:t>
      </w:r>
    </w:p>
    <w:p w14:paraId="33BF36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комиссии:</w:t>
      </w:r>
    </w:p>
    <w:p w14:paraId="499050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ком. войсками ЛВО Флоровский.</w:t>
      </w:r>
    </w:p>
    <w:p w14:paraId="40749F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комиссии:</w:t>
      </w:r>
    </w:p>
    <w:p w14:paraId="551D54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нач. 1-го Управления штаба ВВС РККА Лазаревич.</w:t>
      </w:r>
    </w:p>
    <w:p w14:paraId="61496B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5-го отдела НИИ ВВС РККА Соловьев. Мл. инженер 5-го Отдела НИИ ВВС РККА Данилов. Командир ОО № 3 Бойцов.</w:t>
      </w:r>
    </w:p>
    <w:p w14:paraId="58BA2C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Пом. нач. бюро вооружений Штаба РККА Золотое. Представитель ПУРККА Октябрьский. Нач. Осконпробюро ВВС РККА Гроховский. </w:t>
      </w:r>
      <w:r w:rsidRPr="00E93F40">
        <w:rPr>
          <w:rFonts w:ascii="Times New Roman" w:hAnsi="Times New Roman"/>
          <w:color w:val="000000" w:themeColor="text1"/>
          <w:sz w:val="16"/>
          <w:szCs w:val="16"/>
          <w:lang w:val="en-US"/>
        </w:rPr>
        <w:t>I</w:t>
      </w:r>
      <w:r w:rsidRPr="00E93F40">
        <w:rPr>
          <w:rFonts w:ascii="Times New Roman" w:hAnsi="Times New Roman"/>
          <w:color w:val="000000" w:themeColor="text1"/>
          <w:sz w:val="16"/>
          <w:szCs w:val="16"/>
        </w:rPr>
        <w:t xml:space="preserve"> Представитель ОО ЛВО Смирнов.</w:t>
      </w:r>
    </w:p>
    <w:p w14:paraId="7957B8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г.</w:t>
      </w:r>
    </w:p>
    <w:p w14:paraId="353BE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Грузовые парашюты диаметром 3. 8, 12 и 20 м приняты на снабжение ВС РККА совместно с транспортными приспособлениями соответственно к ним относящимися (карто</w:t>
      </w:r>
      <w:r w:rsidRPr="00E93F40">
        <w:rPr>
          <w:rFonts w:ascii="Times New Roman" w:hAnsi="Times New Roman"/>
          <w:color w:val="000000" w:themeColor="text1"/>
          <w:sz w:val="16"/>
          <w:szCs w:val="16"/>
        </w:rPr>
        <w:softHyphen/>
        <w:t>нажный мешок, мягкий мешок и овальный цилиндр).</w:t>
      </w:r>
    </w:p>
    <w:p w14:paraId="56671D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EAB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было подписано заключение по гос. испытаниям подвески двух мотоциклов (под Р-5):</w:t>
      </w:r>
    </w:p>
    <w:p w14:paraId="6478C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...Подвеску мотоциклов Харлей Давидсон 3,5 нр для сбрасывания на парашюте принять для снабжения ВВС РККА...(2186,44).</w:t>
      </w:r>
    </w:p>
    <w:p w14:paraId="0872DB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для мотоциклов «Харлей Давидсон» 3,5 НР — приспо</w:t>
      </w:r>
      <w:r w:rsidRPr="00E93F40">
        <w:rPr>
          <w:rFonts w:ascii="Times New Roman" w:hAnsi="Times New Roman"/>
          <w:color w:val="000000" w:themeColor="text1"/>
          <w:sz w:val="16"/>
          <w:szCs w:val="16"/>
        </w:rPr>
        <w:softHyphen/>
        <w:t>собление для подвески 2 мотоциклов под плоскостями самолета Р-5, транспортировки и сбрасывания на парашюте д=12 м.</w:t>
      </w:r>
    </w:p>
    <w:p w14:paraId="3961E3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Сброшенные в условиях авиадесантной операции в тылу про</w:t>
      </w:r>
      <w:r w:rsidRPr="00E93F40">
        <w:rPr>
          <w:rFonts w:ascii="Times New Roman" w:hAnsi="Times New Roman"/>
          <w:color w:val="000000" w:themeColor="text1"/>
          <w:sz w:val="16"/>
          <w:szCs w:val="16"/>
        </w:rPr>
        <w:softHyphen/>
        <w:t>тивника, мотоциклы могут быть применены как средства связи, раз</w:t>
      </w:r>
      <w:r w:rsidRPr="00E93F40">
        <w:rPr>
          <w:rFonts w:ascii="Times New Roman" w:hAnsi="Times New Roman"/>
          <w:color w:val="000000" w:themeColor="text1"/>
          <w:sz w:val="16"/>
          <w:szCs w:val="16"/>
        </w:rPr>
        <w:softHyphen/>
        <w:t>ведки и транспорта. '</w:t>
      </w:r>
    </w:p>
    <w:p w14:paraId="7B6157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Мотоциклы подвешиваются в двух замках балок Дер-7 —, каж</w:t>
      </w:r>
      <w:r w:rsidRPr="00E93F40">
        <w:rPr>
          <w:rFonts w:ascii="Times New Roman" w:hAnsi="Times New Roman"/>
          <w:color w:val="000000" w:themeColor="text1"/>
          <w:sz w:val="16"/>
          <w:szCs w:val="16"/>
        </w:rPr>
        <w:softHyphen/>
        <w:t>дый, под левой и правой плоскостями самолета.</w:t>
      </w:r>
    </w:p>
    <w:p w14:paraId="606E62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Рядом с ними, с помощью дополнительного приспособления, под-вешмрается цилиндр с уложенным парашютом (соединенным тросами с мотоциклом).</w:t>
      </w:r>
    </w:p>
    <w:p w14:paraId="05CCF3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Сбрасывание производится летнабом, — обычным способом, при котором падающий мотоцикл, действуя на вытяжной' трос, — извле</w:t>
      </w:r>
      <w:r w:rsidRPr="00E93F40">
        <w:rPr>
          <w:rFonts w:ascii="Times New Roman" w:hAnsi="Times New Roman"/>
          <w:color w:val="000000" w:themeColor="text1"/>
          <w:sz w:val="16"/>
          <w:szCs w:val="16"/>
        </w:rPr>
        <w:softHyphen/>
        <w:t>кает парашют из цилиндра.</w:t>
      </w:r>
    </w:p>
    <w:p w14:paraId="2296D4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раскрывается и приземляет мотоцикл.</w:t>
      </w:r>
    </w:p>
    <w:p w14:paraId="0F72A5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из заключения по госиспытаниям.</w:t>
      </w:r>
    </w:p>
    <w:p w14:paraId="3C40CB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«Подвеску мотоциклов «Харлей Давидсон» 3,5 НР для сбрасыва</w:t>
      </w:r>
      <w:r w:rsidRPr="00E93F40">
        <w:rPr>
          <w:rFonts w:ascii="Times New Roman" w:hAnsi="Times New Roman"/>
          <w:color w:val="000000" w:themeColor="text1"/>
          <w:sz w:val="16"/>
          <w:szCs w:val="16"/>
        </w:rPr>
        <w:softHyphen/>
        <w:t>ния на парашюте принять на снабжение ВВС РККА»...</w:t>
      </w:r>
    </w:p>
    <w:p w14:paraId="1CC1ED6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комиссии: ,</w:t>
      </w:r>
    </w:p>
    <w:p w14:paraId="56BD67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ком. войсками ЛВО Флоренский.</w:t>
      </w:r>
    </w:p>
    <w:p w14:paraId="3B2A27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комиссии:</w:t>
      </w:r>
    </w:p>
    <w:p w14:paraId="5B304F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нач. 1 управления Штаба</w:t>
      </w:r>
    </w:p>
    <w:p w14:paraId="676A14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РККА Лазаревич.</w:t>
      </w:r>
    </w:p>
    <w:p w14:paraId="6B90C3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5 отдела НИИ ВВС РККА Соловьев.</w:t>
      </w:r>
    </w:p>
    <w:p w14:paraId="2BAB61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Мл. инженер 5 отдела НИИ ВВС РККА Данилов.</w:t>
      </w:r>
    </w:p>
    <w:p w14:paraId="68B60A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 ОО № 3 Бойцов.</w:t>
      </w:r>
    </w:p>
    <w:p w14:paraId="2AC962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 Бюро вооружений Штаба РККА Золотев.</w:t>
      </w:r>
    </w:p>
    <w:p w14:paraId="0ADC02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Представитель ПУРКК'А Октябрьский.</w:t>
      </w:r>
    </w:p>
    <w:p w14:paraId="355FBA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Оскоппробюро ВВС РККА Гроховский.</w:t>
      </w:r>
    </w:p>
    <w:p w14:paraId="346FAE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Представитель ОО ЛВО Смирнов.</w:t>
      </w:r>
    </w:p>
    <w:p w14:paraId="3B8CF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AFE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было подписано заключение по гос. испытаниям грузовой клети КГ Гроховского (подвеска под ТБ-1):</w:t>
      </w:r>
    </w:p>
    <w:p w14:paraId="5CB6C3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...Клеть для сбрасывания грузов с самолета ТБ-1, - принять на снабжение ВВС РККА и передать на войсковые испытания...(2186,66).</w:t>
      </w:r>
    </w:p>
    <w:p w14:paraId="6A7D47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27CF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было подписано заключение по гос. испытаниям установки для 2-х мотоциклов Харлей Давидсон с колясками ПД-М2 Гроховского (подвеска под ТБ-1):</w:t>
      </w:r>
    </w:p>
    <w:p w14:paraId="0953C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для сбрасывания мотоциклов Харлей Давидсон с колясками на парашютах с самолета ТБ-1 - принять на снабжение ВВС РККА и допустить к войсковым испытаниям...(2186,68).</w:t>
      </w:r>
    </w:p>
    <w:p w14:paraId="6E79E6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ПД-М2 предназначена для подвески под самолетом ти</w:t>
      </w:r>
      <w:r w:rsidRPr="00E93F40">
        <w:rPr>
          <w:rFonts w:ascii="Times New Roman" w:hAnsi="Times New Roman"/>
          <w:color w:val="000000" w:themeColor="text1"/>
          <w:sz w:val="16"/>
          <w:szCs w:val="16"/>
        </w:rPr>
        <w:softHyphen/>
        <w:t>па ТБ-1 клети с 2 мотоциклами «</w:t>
      </w:r>
      <w:r w:rsidRPr="00E93F40">
        <w:rPr>
          <w:rFonts w:ascii="Times New Roman" w:hAnsi="Times New Roman"/>
          <w:color w:val="000000" w:themeColor="text1"/>
          <w:sz w:val="16"/>
          <w:szCs w:val="16"/>
          <w:lang w:val="en-US"/>
        </w:rPr>
        <w:t>X</w:t>
      </w:r>
      <w:r w:rsidRPr="00E93F40">
        <w:rPr>
          <w:rFonts w:ascii="Times New Roman" w:hAnsi="Times New Roman"/>
          <w:color w:val="000000" w:themeColor="text1"/>
          <w:sz w:val="16"/>
          <w:szCs w:val="16"/>
        </w:rPr>
        <w:t>. Д.» с колясками, транспортировки, ее по воздуху и сбрасывания методом -срыва на грузовом парашюте д = 25 м. Клеть так же может быть использована для переброски раз</w:t>
      </w:r>
      <w:r w:rsidRPr="00E93F40">
        <w:rPr>
          <w:rFonts w:ascii="Times New Roman" w:hAnsi="Times New Roman"/>
          <w:color w:val="000000" w:themeColor="text1"/>
          <w:sz w:val="16"/>
          <w:szCs w:val="16"/>
        </w:rPr>
        <w:softHyphen/>
        <w:t>ных грузов весом</w:t>
      </w:r>
      <w:r w:rsidRPr="00E93F40">
        <w:rPr>
          <w:rFonts w:ascii="Times New Roman" w:hAnsi="Times New Roman"/>
          <w:color w:val="000000" w:themeColor="text1"/>
          <w:sz w:val="16"/>
          <w:szCs w:val="16"/>
          <w:vertAlign w:val="superscript"/>
        </w:rPr>
        <w:t>1</w:t>
      </w:r>
      <w:r w:rsidRPr="00E93F40">
        <w:rPr>
          <w:rFonts w:ascii="Times New Roman" w:hAnsi="Times New Roman"/>
          <w:color w:val="000000" w:themeColor="text1"/>
          <w:sz w:val="16"/>
          <w:szCs w:val="16"/>
        </w:rPr>
        <w:t xml:space="preserve"> до 1000 кг.</w:t>
      </w:r>
    </w:p>
    <w:p w14:paraId="558AB2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из заключения по госиспытаниям.</w:t>
      </w:r>
    </w:p>
    <w:p w14:paraId="44E71C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для сбрасывания мотоциклов «Харлей Дэвидсон» с колясками на парашютах с самолета ТБ-1 — принять на снабжение ВВС РККА и допустить</w:t>
      </w:r>
      <w:r w:rsidRPr="00E93F40">
        <w:rPr>
          <w:rFonts w:ascii="Times New Roman" w:hAnsi="Times New Roman"/>
          <w:color w:val="000000" w:themeColor="text1"/>
          <w:sz w:val="16"/>
          <w:szCs w:val="16"/>
          <w:vertAlign w:val="subscript"/>
        </w:rPr>
        <w:t>е</w:t>
      </w:r>
      <w:r w:rsidRPr="00E93F40">
        <w:rPr>
          <w:rFonts w:ascii="Times New Roman" w:hAnsi="Times New Roman"/>
          <w:color w:val="000000" w:themeColor="text1"/>
          <w:sz w:val="16"/>
          <w:szCs w:val="16"/>
        </w:rPr>
        <w:t>к войсковым испытаниям»...</w:t>
      </w:r>
    </w:p>
    <w:p w14:paraId="71489C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комиссии:</w:t>
      </w:r>
    </w:p>
    <w:p w14:paraId="09A3AF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ком. войсками ЛВО Флоровский.</w:t>
      </w:r>
    </w:p>
    <w:p w14:paraId="6789A9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комиссии:</w:t>
      </w:r>
    </w:p>
    <w:p w14:paraId="273067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нач. 1 управления Штаба</w:t>
      </w:r>
    </w:p>
    <w:p w14:paraId="06F32D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РККА Лазаревич.</w:t>
      </w:r>
    </w:p>
    <w:p w14:paraId="3A2ED0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Представитель ОО ЛВО Смирнов. Нач. 5 отдела НИИ ВВС РККА Соловьев. Мл. инженер 5 отдела НИИ ВВС РККА Данилов. Командир ОО № 3 Бойцов.</w:t>
      </w:r>
    </w:p>
    <w:p w14:paraId="31076F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 Бюро вооружений Штаба РККА Золотое. Представитель ПУРКК'А Октябрьский. ( Нач. Осконпробюро ВВС РККА Гроховский.</w:t>
      </w:r>
    </w:p>
    <w:p w14:paraId="054BB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E012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было подписано заключение по гос. испытаниям установки для 76 мм пушек обр. 1913 ПД-О Гроховского (подвеска под ТБ-1):</w:t>
      </w:r>
    </w:p>
    <w:p w14:paraId="40319B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для сбрасывания полковой 76 мм пушки - принять на снабжение ВВС РККА и допустить к войсковым испытаниям...(2186,71).</w:t>
      </w:r>
    </w:p>
    <w:p w14:paraId="4A1FAF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ПД-0 предназначена для подвески под самолетом типа ТБ-1 одной 76-мм пушки образца 1913 г., транспортировки по воз</w:t>
      </w:r>
      <w:r w:rsidRPr="00E93F40">
        <w:rPr>
          <w:rFonts w:ascii="Times New Roman" w:hAnsi="Times New Roman"/>
          <w:color w:val="000000" w:themeColor="text1"/>
          <w:sz w:val="16"/>
          <w:szCs w:val="16"/>
        </w:rPr>
        <w:softHyphen/>
        <w:t>духу и сбрасывания методом срыва на парашюте д = 25 м в целях придания артиллерийских средств действующему в тылу противника авиадесанту.</w:t>
      </w:r>
    </w:p>
    <w:p w14:paraId="3CA2EC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Пушка подвешивается под фюзеляжем самолета.</w:t>
      </w:r>
    </w:p>
    <w:p w14:paraId="515E22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Сзади, лод фюзеляжем, на балке Дер-13 подвешивается цилиндр с уложенным и соединенным с пушкой парашютом.</w:t>
      </w:r>
    </w:p>
    <w:p w14:paraId="236911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Подойдя к назначенному месту, летнаб, действуя «методом сры</w:t>
      </w:r>
      <w:r w:rsidRPr="00E93F40">
        <w:rPr>
          <w:rFonts w:ascii="Times New Roman" w:hAnsi="Times New Roman"/>
          <w:color w:val="000000" w:themeColor="text1"/>
          <w:sz w:val="16"/>
          <w:szCs w:val="16"/>
        </w:rPr>
        <w:softHyphen/>
        <w:t>ва», сбрасывает пушку на парашюте.</w:t>
      </w:r>
    </w:p>
    <w:p w14:paraId="10C3A5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из заключения по госиспытаниям.</w:t>
      </w:r>
    </w:p>
    <w:p w14:paraId="3C9E45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для сбрасывания полковой 76-мм пушки — принять на снабжение ВВС РККА и допустить к войсковым испытаниям»...</w:t>
      </w:r>
    </w:p>
    <w:p w14:paraId="1EDCF8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комиссии:</w:t>
      </w:r>
    </w:p>
    <w:p w14:paraId="1E25A9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ком. войсками ЛВО Флоровский.</w:t>
      </w:r>
    </w:p>
    <w:p w14:paraId="25EC05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комиссии:</w:t>
      </w:r>
    </w:p>
    <w:p w14:paraId="6AA498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нач. 1 управления Штаба</w:t>
      </w:r>
    </w:p>
    <w:p w14:paraId="477277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РККА Лазаревич. Нач. 5 отдела НИИ ВВС РККА Соловьев. Мл. инженер 5 отдела НИИ ВВС РККА Данилов. , Командир ОО № 3 Бойцов.</w:t>
      </w:r>
    </w:p>
    <w:p w14:paraId="0D6E44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5A36ED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3530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7 октября 1932 было подписано заключение по гос. испытаниям установки для сбрасывания танкетки английского образца системы Карден-Ллойд ПД-Т Гроховского (подвеска под ТБ-1):</w:t>
      </w:r>
    </w:p>
    <w:p w14:paraId="7B998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для сбрасывания танкетки английского образца - принять на снабжение ВВС РККА и допустить к войсковым испытаниям...(2186,74).</w:t>
      </w:r>
    </w:p>
    <w:p w14:paraId="4CE5B9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предназначена для подвески под самолетом типа ТБ-1 2-местной танкетки английского образца, транспортировки по воз</w:t>
      </w:r>
      <w:r w:rsidRPr="00E93F40">
        <w:rPr>
          <w:rFonts w:ascii="Times New Roman" w:hAnsi="Times New Roman"/>
          <w:color w:val="000000" w:themeColor="text1"/>
          <w:sz w:val="16"/>
          <w:szCs w:val="16"/>
        </w:rPr>
        <w:softHyphen/>
        <w:t>духу и сбрасывания на парашюте д = 30 м.</w:t>
      </w:r>
    </w:p>
    <w:p w14:paraId="23F9E5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 установки открывает возможность парашютного сбрасывания в тылу противника легких мото-мехсоединений или от</w:t>
      </w:r>
      <w:r w:rsidRPr="00E93F40">
        <w:rPr>
          <w:rFonts w:ascii="Times New Roman" w:hAnsi="Times New Roman"/>
          <w:color w:val="000000" w:themeColor="text1"/>
          <w:sz w:val="16"/>
          <w:szCs w:val="16"/>
        </w:rPr>
        <w:softHyphen/>
        <w:t>дельных мото-мехединиц для целей разведки и связи, прикрытия, веде</w:t>
      </w:r>
      <w:r w:rsidRPr="00E93F40">
        <w:rPr>
          <w:rFonts w:ascii="Times New Roman" w:hAnsi="Times New Roman"/>
          <w:color w:val="000000" w:themeColor="text1"/>
          <w:sz w:val="16"/>
          <w:szCs w:val="16"/>
        </w:rPr>
        <w:softHyphen/>
        <w:t>ния огня и поддержки ранее высаженных или сброшенных авиадесант</w:t>
      </w:r>
      <w:r w:rsidRPr="00E93F40">
        <w:rPr>
          <w:rFonts w:ascii="Times New Roman" w:hAnsi="Times New Roman"/>
          <w:color w:val="000000" w:themeColor="text1"/>
          <w:sz w:val="16"/>
          <w:szCs w:val="16"/>
        </w:rPr>
        <w:softHyphen/>
        <w:t>ных подразделений.</w:t>
      </w:r>
    </w:p>
    <w:p w14:paraId="44F738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Цилиндр с уложенным парашютом подвешивается в замке балки Дер-13 позади танкетки.</w:t>
      </w:r>
    </w:p>
    <w:p w14:paraId="5B4AD9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Сбрасывание производится летнабом «методом срыва».</w:t>
      </w:r>
    </w:p>
    <w:p w14:paraId="618DAD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из заключения по госиспытаниям.</w:t>
      </w:r>
    </w:p>
    <w:p w14:paraId="1343C1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для сбрасывания танкетки английского образца — принять на снабжение ВВС РККА и допустить к войсковым испыта</w:t>
      </w:r>
      <w:r w:rsidRPr="00E93F40">
        <w:rPr>
          <w:rFonts w:ascii="Times New Roman" w:hAnsi="Times New Roman"/>
          <w:color w:val="000000" w:themeColor="text1"/>
          <w:sz w:val="16"/>
          <w:szCs w:val="16"/>
        </w:rPr>
        <w:softHyphen/>
        <w:t>ниям»...</w:t>
      </w:r>
    </w:p>
    <w:p w14:paraId="2974C2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комиссии:</w:t>
      </w:r>
    </w:p>
    <w:p w14:paraId="7F4906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ком. войсками ЛВО Флоренский.</w:t>
      </w:r>
    </w:p>
    <w:p w14:paraId="2F7B9B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w:t>
      </w:r>
    </w:p>
    <w:p w14:paraId="341647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нач. 1 управления Штаба ВВС РККА Лазаревич.</w:t>
      </w:r>
    </w:p>
    <w:p w14:paraId="55CC21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5 отдела НИИ ВВС РККА Соловьев.</w:t>
      </w:r>
    </w:p>
    <w:p w14:paraId="131C59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Мл. инженер 5 отдела НИИ ВВС РККА Данилов,</w:t>
      </w:r>
    </w:p>
    <w:p w14:paraId="41A6EC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 ОО № 3 Бойцов.</w:t>
      </w:r>
    </w:p>
    <w:p w14:paraId="3BC026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 Бюро вооружений Штаба РККА Золотое.</w:t>
      </w:r>
    </w:p>
    <w:p w14:paraId="55899C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Представитель ПУРКК'А Октябрьский.</w:t>
      </w:r>
    </w:p>
    <w:p w14:paraId="1B44EB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Осконпробюро ВВС РККА Гроховский.</w:t>
      </w:r>
    </w:p>
    <w:p w14:paraId="3E1DD9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Представитель ОО ЛВО Смирнов.</w:t>
      </w:r>
    </w:p>
    <w:p w14:paraId="1A1E5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04F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было подписано заключение по гос. испытаниям установки для п/грузового автомобиля Форд-А ПД-А Гроховского (подвеска под ТБ-1):</w:t>
      </w:r>
    </w:p>
    <w:p w14:paraId="1221F2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для сбрасывания на парашюте автомобиля Форд - принять на снабжение ВВС РККА и передать на войсковые испытания...(2186,78).</w:t>
      </w:r>
    </w:p>
    <w:p w14:paraId="3B4EF1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ПД-А предназначена для подвески под самолетом типа ТБ-1 л/грузового автомобиля «Форд-А», транспортировки и сбрасы</w:t>
      </w:r>
      <w:r w:rsidRPr="00E93F40">
        <w:rPr>
          <w:rFonts w:ascii="Times New Roman" w:hAnsi="Times New Roman"/>
          <w:color w:val="000000" w:themeColor="text1"/>
          <w:sz w:val="16"/>
          <w:szCs w:val="16"/>
        </w:rPr>
        <w:softHyphen/>
        <w:t>вания на парашюте д = 30 м, для придания авиадесантным подразде</w:t>
      </w:r>
      <w:r w:rsidRPr="00E93F40">
        <w:rPr>
          <w:rFonts w:ascii="Times New Roman" w:hAnsi="Times New Roman"/>
          <w:color w:val="000000" w:themeColor="text1"/>
          <w:sz w:val="16"/>
          <w:szCs w:val="16"/>
        </w:rPr>
        <w:softHyphen/>
        <w:t>лениям, действующим в тылу противника, автотранспортных средств в целях перевозки бойцов и грузов.</w:t>
      </w:r>
    </w:p>
    <w:p w14:paraId="5E9C37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Автомашина «Форд-А» подвергается некоторому видоизменению, заключающемуся в том, что взамен снятого заднего сидения, ставит</w:t>
      </w:r>
      <w:r w:rsidRPr="00E93F40">
        <w:rPr>
          <w:rFonts w:ascii="Times New Roman" w:hAnsi="Times New Roman"/>
          <w:color w:val="000000" w:themeColor="text1"/>
          <w:sz w:val="16"/>
          <w:szCs w:val="16"/>
        </w:rPr>
        <w:softHyphen/>
        <w:t>ся легкая рама с кузовом, складывающимся во время полета, для уменьшения лобового сопротивления, а на оси ставится добавочные амортизаторы, рассчитанные на нагрузку в 1 т.</w:t>
      </w:r>
    </w:p>
    <w:p w14:paraId="2A1295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Автомашина подвешивается под фюзеляжем самолета.</w:t>
      </w:r>
    </w:p>
    <w:p w14:paraId="25F147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Цилиндр с уложенным и соединенным тросами с автомашиной — парашютом — подвешивается сзади автомашины.</w:t>
      </w:r>
    </w:p>
    <w:p w14:paraId="345A3B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Сбрасывание осуществляется летнабом «методом срыва», т. е, сбрасыванием цилиндра с парашютом и последующим отделением из-под самолета автомобиля. </w:t>
      </w:r>
    </w:p>
    <w:p w14:paraId="04B925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из заключения по госиспытаниям.</w:t>
      </w:r>
    </w:p>
    <w:p w14:paraId="4DD106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«Установку для сбрасывания на парашюте автомобиля «Форд» — принять на снабжение ВВС РККА и передать на войсковые испы</w:t>
      </w:r>
      <w:r w:rsidRPr="00E93F40">
        <w:rPr>
          <w:rFonts w:ascii="Times New Roman" w:hAnsi="Times New Roman"/>
          <w:color w:val="000000" w:themeColor="text1"/>
          <w:sz w:val="16"/>
          <w:szCs w:val="16"/>
        </w:rPr>
        <w:softHyphen/>
        <w:t>тания»...</w:t>
      </w:r>
    </w:p>
    <w:p w14:paraId="66F51A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комиссии:</w:t>
      </w:r>
    </w:p>
    <w:p w14:paraId="63FBF6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ком. войсками ЛВО Флоровский.</w:t>
      </w:r>
    </w:p>
    <w:p w14:paraId="541CB4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комиссии:</w:t>
      </w:r>
    </w:p>
    <w:p w14:paraId="6C3580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нач. 1 управления Штаба</w:t>
      </w:r>
    </w:p>
    <w:p w14:paraId="5B99B1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РККА Лазаревич.</w:t>
      </w:r>
    </w:p>
    <w:p w14:paraId="3242F9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5 отдела НИИ ВВС РККА Соловьев.</w:t>
      </w:r>
    </w:p>
    <w:p w14:paraId="4E674C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Мл. инженер 5 отдела НИИ ВВС РККА Данилов.</w:t>
      </w:r>
    </w:p>
    <w:p w14:paraId="6BDF26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 ОО № 3 Бойцов.</w:t>
      </w:r>
    </w:p>
    <w:p w14:paraId="6AE1AB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 Бюро вооружений Штаба РККА Золотой. Представитель ПУРКК'А Октябрьский. Нач. Осконпробюро ВВС РККА Гроховский. Представитель ОО ЛВО Смирнов.</w:t>
      </w:r>
    </w:p>
    <w:p w14:paraId="6E859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607D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было подписано заключение по гос. испытаниям...(2186,78).</w:t>
      </w:r>
    </w:p>
    <w:p w14:paraId="31CB01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срыва для сбрасывания тяжелых грузов и об'ектов на па</w:t>
      </w:r>
      <w:r w:rsidRPr="00E93F40">
        <w:rPr>
          <w:rFonts w:ascii="Times New Roman" w:hAnsi="Times New Roman"/>
          <w:color w:val="000000" w:themeColor="text1"/>
          <w:sz w:val="16"/>
          <w:szCs w:val="16"/>
        </w:rPr>
        <w:softHyphen/>
        <w:t>рашютах — является наиболее безотказным и целесообразным спосо</w:t>
      </w:r>
      <w:r w:rsidRPr="00E93F40">
        <w:rPr>
          <w:rFonts w:ascii="Times New Roman" w:hAnsi="Times New Roman"/>
          <w:color w:val="000000" w:themeColor="text1"/>
          <w:sz w:val="16"/>
          <w:szCs w:val="16"/>
        </w:rPr>
        <w:softHyphen/>
        <w:t>бом указанного назначения.</w:t>
      </w:r>
    </w:p>
    <w:p w14:paraId="540E0B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отличие от ранее применявшегося способа освобождения и рас</w:t>
      </w:r>
      <w:r w:rsidRPr="00E93F40">
        <w:rPr>
          <w:rFonts w:ascii="Times New Roman" w:hAnsi="Times New Roman"/>
          <w:color w:val="000000" w:themeColor="text1"/>
          <w:sz w:val="16"/>
          <w:szCs w:val="16"/>
        </w:rPr>
        <w:softHyphen/>
        <w:t>крытия парашюта под действием падающего груза, — метод срыва обеспечивает безотказность действия всей системы и создает ряд преимуществ, устраняющих возможность аварии груза, нераскрытие или свертывание парашюта в воздухе.</w:t>
      </w:r>
    </w:p>
    <w:p w14:paraId="39D23F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метода срыва при сбрасывании тяжелых грузов с па</w:t>
      </w:r>
      <w:r w:rsidRPr="00E93F40">
        <w:rPr>
          <w:rFonts w:ascii="Times New Roman" w:hAnsi="Times New Roman"/>
          <w:color w:val="000000" w:themeColor="text1"/>
          <w:sz w:val="16"/>
          <w:szCs w:val="16"/>
        </w:rPr>
        <w:softHyphen/>
        <w:t>рашютом, показали, что по сравнению с прежними методами сбра</w:t>
      </w:r>
      <w:r w:rsidRPr="00E93F40">
        <w:rPr>
          <w:rFonts w:ascii="Times New Roman" w:hAnsi="Times New Roman"/>
          <w:color w:val="000000" w:themeColor="text1"/>
          <w:sz w:val="16"/>
          <w:szCs w:val="16"/>
        </w:rPr>
        <w:softHyphen/>
        <w:t>сывания:</w:t>
      </w:r>
    </w:p>
    <w:p w14:paraId="51CB08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Нагрузка на парашютную систему, образующаяся при сбрасы</w:t>
      </w:r>
      <w:r w:rsidRPr="00E93F40">
        <w:rPr>
          <w:rFonts w:ascii="Times New Roman" w:hAnsi="Times New Roman"/>
          <w:color w:val="000000" w:themeColor="text1"/>
          <w:sz w:val="16"/>
          <w:szCs w:val="16"/>
        </w:rPr>
        <w:softHyphen/>
        <w:t>вании груза — меньше.</w:t>
      </w:r>
    </w:p>
    <w:p w14:paraId="751605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Отсутствует всякая опасность при сбрасывании — для само</w:t>
      </w:r>
      <w:r w:rsidRPr="00E93F40">
        <w:rPr>
          <w:rFonts w:ascii="Times New Roman" w:hAnsi="Times New Roman"/>
          <w:color w:val="000000" w:themeColor="text1"/>
          <w:sz w:val="16"/>
          <w:szCs w:val="16"/>
        </w:rPr>
        <w:softHyphen/>
        <w:t>лета.</w:t>
      </w:r>
    </w:p>
    <w:p w14:paraId="68DB7F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Значительно уменьшается аэродинамический удар, образую</w:t>
      </w:r>
      <w:r w:rsidRPr="00E93F40">
        <w:rPr>
          <w:rFonts w:ascii="Times New Roman" w:hAnsi="Times New Roman"/>
          <w:color w:val="000000" w:themeColor="text1"/>
          <w:sz w:val="16"/>
          <w:szCs w:val="16"/>
        </w:rPr>
        <w:softHyphen/>
        <w:t>щийся при полном раскрытии парашюта.</w:t>
      </w:r>
    </w:p>
    <w:p w14:paraId="47B4DF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Понижается минимальная высота, необходимая для сбрасыва</w:t>
      </w:r>
      <w:r w:rsidRPr="00E93F40">
        <w:rPr>
          <w:rFonts w:ascii="Times New Roman" w:hAnsi="Times New Roman"/>
          <w:color w:val="000000" w:themeColor="text1"/>
          <w:sz w:val="16"/>
          <w:szCs w:val="16"/>
        </w:rPr>
        <w:softHyphen/>
        <w:t>ния тяжелых грузов. .</w:t>
      </w:r>
    </w:p>
    <w:p w14:paraId="00E771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Уменьшается средняя скорость снижения сброшенного груза.</w:t>
      </w:r>
    </w:p>
    <w:p w14:paraId="49EF99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Ускоряется затухание парашюта после приземления.</w:t>
      </w:r>
    </w:p>
    <w:p w14:paraId="07D754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Исключается возможность отказа в действии всей системы.</w:t>
      </w:r>
    </w:p>
    <w:p w14:paraId="6AE455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Сущность применения метода срыва заключается в том, что вн&lt;1-чале сбрасывается цилиндр с парашютом. Под действием тяжести па</w:t>
      </w:r>
      <w:r w:rsidRPr="00E93F40">
        <w:rPr>
          <w:rFonts w:ascii="Times New Roman" w:hAnsi="Times New Roman"/>
          <w:color w:val="000000" w:themeColor="text1"/>
          <w:sz w:val="16"/>
          <w:szCs w:val="16"/>
        </w:rPr>
        <w:softHyphen/>
        <w:t>дающего цилиндра, купол грузового парашюта, уложенного в нем,. освобождается из цилиндра, и, попадая под действие встречного гоз-душного потока от работающих винтов, — раскрывается наполови</w:t>
      </w:r>
      <w:r w:rsidRPr="00E93F40">
        <w:rPr>
          <w:rFonts w:ascii="Times New Roman" w:hAnsi="Times New Roman"/>
          <w:color w:val="000000" w:themeColor="text1"/>
          <w:sz w:val="16"/>
          <w:szCs w:val="16"/>
        </w:rPr>
        <w:softHyphen/>
        <w:t>ну — под углом к фюзеляжу самолета и в сторону, противоположную линии полета.</w:t>
      </w:r>
    </w:p>
    <w:p w14:paraId="54A9AB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Действуя на вытяжные тросы, укрепленные к коушу,»— парашют вытаскивает шпильки из отверстий конусов балки м/с, ушки об'екта соскальзывают с конусных головок, и груз приземляется на ранее уже раскрывшемся парашюте.</w:t>
      </w:r>
    </w:p>
    <w:p w14:paraId="0C1280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Выписка из заключения по госиспытаниям.</w:t>
      </w:r>
    </w:p>
    <w:p w14:paraId="3CE836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 срыва признать наиболее целесообразным для сбрасыва</w:t>
      </w:r>
      <w:r w:rsidRPr="00E93F40">
        <w:rPr>
          <w:rFonts w:ascii="Times New Roman" w:hAnsi="Times New Roman"/>
          <w:color w:val="000000" w:themeColor="text1"/>
          <w:sz w:val="16"/>
          <w:szCs w:val="16"/>
        </w:rPr>
        <w:softHyphen/>
        <w:t>ния тяжелых грузов на парашютах, как вполне себя оправдавший»...</w:t>
      </w:r>
    </w:p>
    <w:p w14:paraId="338FD2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комиссии:</w:t>
      </w:r>
    </w:p>
    <w:p w14:paraId="2F7D00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ком войсками ЛВО Флоренский.</w:t>
      </w:r>
    </w:p>
    <w:p w14:paraId="6976BD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нач. 1 управления Штаба</w:t>
      </w:r>
    </w:p>
    <w:p w14:paraId="0B49D6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РККА Лазаревич.</w:t>
      </w:r>
    </w:p>
    <w:p w14:paraId="2AA91D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комиссии:</w:t>
      </w:r>
    </w:p>
    <w:p w14:paraId="34E69C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 5 отдела НИИ ВВС РККА Соловьев. Мл. инженер 5 отдела НИИ ВВС РККА Данилов. Командир ОО № 3 Бойцов.</w:t>
      </w:r>
    </w:p>
    <w:p w14:paraId="0E0ACC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4F53F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1DD3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было подписано заключение по гос. испытаниям...(2186,78).</w:t>
      </w:r>
    </w:p>
    <w:p w14:paraId="673B27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Тренировочная парашютная вышка предназначена для обучения технике прыжка и приземления парашютистов и отработки в них во</w:t>
      </w:r>
      <w:r w:rsidRPr="00E93F40">
        <w:rPr>
          <w:rFonts w:ascii="Times New Roman" w:hAnsi="Times New Roman"/>
          <w:color w:val="000000" w:themeColor="text1"/>
          <w:sz w:val="16"/>
          <w:szCs w:val="16"/>
        </w:rPr>
        <w:softHyphen/>
        <w:t>левых качеств: смелости, решительности и уверенности в действиях.</w:t>
      </w:r>
    </w:p>
    <w:p w14:paraId="636A6E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емировочная парашютная вышка (общий вид).</w:t>
      </w:r>
    </w:p>
    <w:p w14:paraId="052B4E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зышка, являясь лучшим учебно-тренировочный при</w:t>
      </w:r>
      <w:r w:rsidRPr="00E93F40">
        <w:rPr>
          <w:rFonts w:ascii="Times New Roman" w:hAnsi="Times New Roman"/>
          <w:color w:val="000000" w:themeColor="text1"/>
          <w:sz w:val="16"/>
          <w:szCs w:val="16"/>
        </w:rPr>
        <w:softHyphen/>
        <w:t>способлением для массовой подготовки парашютистов в организа</w:t>
      </w:r>
      <w:r w:rsidRPr="00E93F40">
        <w:rPr>
          <w:rFonts w:ascii="Times New Roman" w:hAnsi="Times New Roman"/>
          <w:color w:val="000000" w:themeColor="text1"/>
          <w:sz w:val="16"/>
          <w:szCs w:val="16"/>
        </w:rPr>
        <w:softHyphen/>
        <w:t>циях Осоавиахима, аэроклубах и др. — вместе с тем служит для на</w:t>
      </w:r>
      <w:r w:rsidRPr="00E93F40">
        <w:rPr>
          <w:rFonts w:ascii="Times New Roman" w:hAnsi="Times New Roman"/>
          <w:color w:val="000000" w:themeColor="text1"/>
          <w:sz w:val="16"/>
          <w:szCs w:val="16"/>
        </w:rPr>
        <w:softHyphen/>
        <w:t>чального обучения бойцов парашютно-десантных подразделений, со</w:t>
      </w:r>
      <w:r w:rsidRPr="00E93F40">
        <w:rPr>
          <w:rFonts w:ascii="Times New Roman" w:hAnsi="Times New Roman"/>
          <w:color w:val="000000" w:themeColor="text1"/>
          <w:sz w:val="16"/>
          <w:szCs w:val="16"/>
        </w:rPr>
        <w:softHyphen/>
        <w:t>общая им навыки, необходимые для освоения прыжков с самолетов.</w:t>
      </w:r>
    </w:p>
    <w:p w14:paraId="695C47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Конструктивно, тренировочная вышка представляет собой бревен</w:t>
      </w:r>
      <w:r w:rsidRPr="00E93F40">
        <w:rPr>
          <w:rFonts w:ascii="Times New Roman" w:hAnsi="Times New Roman"/>
          <w:color w:val="000000" w:themeColor="text1"/>
          <w:sz w:val="16"/>
          <w:szCs w:val="16"/>
        </w:rPr>
        <w:softHyphen/>
        <w:t>чатую трехгранную башню-пирамиду высотой в 25 и 35 м.</w:t>
      </w:r>
    </w:p>
    <w:p w14:paraId="143633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Вышка разделена на 4 яруса-этажа, сообщающихся лестницами-Прыжки производятся 'с площадки 4 этажа на раскрытом пара</w:t>
      </w:r>
      <w:r w:rsidRPr="00E93F40">
        <w:rPr>
          <w:rFonts w:ascii="Times New Roman" w:hAnsi="Times New Roman"/>
          <w:color w:val="000000" w:themeColor="text1"/>
          <w:sz w:val="16"/>
          <w:szCs w:val="16"/>
        </w:rPr>
        <w:softHyphen/>
        <w:t>шюте д = 8 м с подвесной системой.</w:t>
      </w:r>
    </w:p>
    <w:p w14:paraId="7E6860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«Вышку для тренировки парашютистов принять на снабжение ВВС РКК'А»...</w:t>
      </w:r>
    </w:p>
    <w:p w14:paraId="055AC3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комиссии:</w:t>
      </w:r>
    </w:p>
    <w:p w14:paraId="060265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кои. войсками ЛВО Флоровский.</w:t>
      </w:r>
    </w:p>
    <w:p w14:paraId="2504FF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Врид. нач. 1 управления Штаба ВВС РККА Лазаревич Нач. 5 отдела НИИ ВВС РККА Соловьев. Мл. инженер 5 отдела НИИ ВВС РККА Данилов. Командир ОО № 3 Бойцов.</w:t>
      </w:r>
    </w:p>
    <w:p w14:paraId="4BB8E9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0FD4E1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C86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РВС одо</w:t>
      </w:r>
      <w:r w:rsidR="00826173" w:rsidRPr="00E93F40">
        <w:rPr>
          <w:rFonts w:ascii="Times New Roman" w:hAnsi="Times New Roman"/>
          <w:color w:val="000000" w:themeColor="text1"/>
          <w:sz w:val="16"/>
          <w:szCs w:val="16"/>
        </w:rPr>
        <w:t>б</w:t>
      </w:r>
      <w:r w:rsidRPr="00E93F40">
        <w:rPr>
          <w:rFonts w:ascii="Times New Roman" w:hAnsi="Times New Roman"/>
          <w:color w:val="000000" w:themeColor="text1"/>
          <w:sz w:val="16"/>
          <w:szCs w:val="16"/>
        </w:rPr>
        <w:t>рил рез</w:t>
      </w:r>
      <w:r w:rsidR="00826173" w:rsidRPr="00E93F40">
        <w:rPr>
          <w:rFonts w:ascii="Times New Roman" w:hAnsi="Times New Roman"/>
          <w:color w:val="000000" w:themeColor="text1"/>
          <w:sz w:val="16"/>
          <w:szCs w:val="16"/>
        </w:rPr>
        <w:t>ульта</w:t>
      </w:r>
      <w:r w:rsidRPr="00E93F40">
        <w:rPr>
          <w:rFonts w:ascii="Times New Roman" w:hAnsi="Times New Roman"/>
          <w:color w:val="000000" w:themeColor="text1"/>
          <w:sz w:val="16"/>
          <w:szCs w:val="16"/>
        </w:rPr>
        <w:t>ты полигонных испытаний ШКАС (3996, 71).</w:t>
      </w:r>
    </w:p>
    <w:p w14:paraId="46DADD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760F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г. Реввоенсовет одобрил результаты полигонных испытании пулемета и 11 октября 1932 г. принял постановление о принятии его на вооружение под наименованием «7,62-мм авиаци</w:t>
      </w:r>
      <w:r w:rsidRPr="00E93F40">
        <w:rPr>
          <w:rFonts w:ascii="Times New Roman" w:hAnsi="Times New Roman"/>
          <w:color w:val="000000" w:themeColor="text1"/>
          <w:sz w:val="16"/>
          <w:szCs w:val="16"/>
        </w:rPr>
        <w:softHyphen/>
        <w:t>онный скорострельный пулемет системы Шпитального—Комариц-кого обр. 1932 г. ШКАС». Запирание канала ствола осуществлялось перекосом затвора вниз. Ударно-спусковой механизм действовал от возвратно-боевой пружины. Спусковой механизм обеспечивал ведение только непре</w:t>
      </w:r>
      <w:r w:rsidRPr="00E93F40">
        <w:rPr>
          <w:rFonts w:ascii="Times New Roman" w:hAnsi="Times New Roman"/>
          <w:color w:val="000000" w:themeColor="text1"/>
          <w:sz w:val="16"/>
          <w:szCs w:val="16"/>
        </w:rPr>
        <w:softHyphen/>
        <w:t>рывного огня. Он снабжался предохранителем флажкового типа, запирающим шептало. Питание патронами производилось из ме</w:t>
      </w:r>
      <w:r w:rsidRPr="00E93F40">
        <w:rPr>
          <w:rFonts w:ascii="Times New Roman" w:hAnsi="Times New Roman"/>
          <w:color w:val="000000" w:themeColor="text1"/>
          <w:sz w:val="16"/>
          <w:szCs w:val="16"/>
        </w:rPr>
        <w:softHyphen/>
        <w:t>таллической звеньевой разъемной ленты. Механизм подачи ленты к приемнику барабанного типа приводился в действие от затвор</w:t>
      </w:r>
      <w:r w:rsidRPr="00E93F40">
        <w:rPr>
          <w:rFonts w:ascii="Times New Roman" w:hAnsi="Times New Roman"/>
          <w:color w:val="000000" w:themeColor="text1"/>
          <w:sz w:val="16"/>
          <w:szCs w:val="16"/>
        </w:rPr>
        <w:softHyphen/>
        <w:t>ной рамы. Экстракция стреляной гильзы производилась лапками затвора, а ее отражение — подвижным отражателем, связанным со штоком затворной рамы. Пулемет снабжен пружинными буферами затворной рамы и затвора. Высокий темп стрельбы в пулемете ШКАС получен за счет ко</w:t>
      </w:r>
      <w:r w:rsidRPr="00E93F40">
        <w:rPr>
          <w:rFonts w:ascii="Times New Roman" w:hAnsi="Times New Roman"/>
          <w:color w:val="000000" w:themeColor="text1"/>
          <w:sz w:val="16"/>
          <w:szCs w:val="16"/>
        </w:rPr>
        <w:softHyphen/>
        <w:t>роткого хода подвижных частей автоматики и совмещения ряда операций по перезаряжанию. Во избежание демонтажа патрона его извлечение из звена ленты осуществлялось за десять циклов рабо</w:t>
      </w:r>
      <w:r w:rsidRPr="00E93F40">
        <w:rPr>
          <w:rFonts w:ascii="Times New Roman" w:hAnsi="Times New Roman"/>
          <w:color w:val="000000" w:themeColor="text1"/>
          <w:sz w:val="16"/>
          <w:szCs w:val="16"/>
        </w:rPr>
        <w:softHyphen/>
        <w:t>ты автоматики, что достигалось за счет винтового паза на кожухе зубчатки. Для смягчения ударов при посадке подвижных частей на шептало после окончания очереди шептало имело буферную пружину. Шпитальному и Комарицкому удалось создать оригинальную конструкцию, в которой впервые в мировой оружейной практике был осуществлен ряд смелых решений: непрерывное питание осо</w:t>
      </w:r>
      <w:r w:rsidRPr="00E93F40">
        <w:rPr>
          <w:rFonts w:ascii="Times New Roman" w:hAnsi="Times New Roman"/>
          <w:color w:val="000000" w:themeColor="text1"/>
          <w:sz w:val="16"/>
          <w:szCs w:val="16"/>
        </w:rPr>
        <w:softHyphen/>
        <w:t>бого устройства, многожильная возвратная пружина высокой жи</w:t>
      </w:r>
      <w:r w:rsidRPr="00E93F40">
        <w:rPr>
          <w:rFonts w:ascii="Times New Roman" w:hAnsi="Times New Roman"/>
          <w:color w:val="000000" w:themeColor="text1"/>
          <w:sz w:val="16"/>
          <w:szCs w:val="16"/>
        </w:rPr>
        <w:softHyphen/>
        <w:t>вучести и т. п. Несмотря на малый вес и компактность, пулемет обладал ис</w:t>
      </w:r>
      <w:r w:rsidRPr="00E93F40">
        <w:rPr>
          <w:rFonts w:ascii="Times New Roman" w:hAnsi="Times New Roman"/>
          <w:color w:val="000000" w:themeColor="text1"/>
          <w:sz w:val="16"/>
          <w:szCs w:val="16"/>
        </w:rPr>
        <w:softHyphen/>
        <w:t>ключительно высоким темпом стрельбы — 1800 выстр./мин, кото</w:t>
      </w:r>
      <w:r w:rsidRPr="00E93F40">
        <w:rPr>
          <w:rFonts w:ascii="Times New Roman" w:hAnsi="Times New Roman"/>
          <w:color w:val="000000" w:themeColor="text1"/>
          <w:sz w:val="16"/>
          <w:szCs w:val="16"/>
        </w:rPr>
        <w:softHyphen/>
        <w:t>рый не был достигнут ни в одном иностранном образце автомати</w:t>
      </w:r>
      <w:r w:rsidRPr="00E93F40">
        <w:rPr>
          <w:rFonts w:ascii="Times New Roman" w:hAnsi="Times New Roman"/>
          <w:color w:val="000000" w:themeColor="text1"/>
          <w:sz w:val="16"/>
          <w:szCs w:val="16"/>
        </w:rPr>
        <w:softHyphen/>
        <w:t>ческого оружия. Так, американский пулемет Кольта-Браунинга МЗ, английский пулемет Виккерса, французский пулемет Дарна, германский пулемет МО-15 и другие, имея примерно такой же вес и калибр, как советский образец, и равную или меньшую началь</w:t>
      </w:r>
      <w:r w:rsidRPr="00E93F40">
        <w:rPr>
          <w:rFonts w:ascii="Times New Roman" w:hAnsi="Times New Roman"/>
          <w:color w:val="000000" w:themeColor="text1"/>
          <w:sz w:val="16"/>
          <w:szCs w:val="16"/>
        </w:rPr>
        <w:softHyphen/>
        <w:t>ную скорость пули, давали темп стрельбы 900—1100 выстр./мин. Для пулемета ШКАС под руководством Н.М. Елизарова были созданы специальные патроны, которые имели трассирующие, за</w:t>
      </w:r>
      <w:r w:rsidRPr="00E93F40">
        <w:rPr>
          <w:rFonts w:ascii="Times New Roman" w:hAnsi="Times New Roman"/>
          <w:color w:val="000000" w:themeColor="text1"/>
          <w:sz w:val="16"/>
          <w:szCs w:val="16"/>
        </w:rPr>
        <w:softHyphen/>
        <w:t>жигательные и комбинированного действия бронебойно-зажига-телъные пули, способные воспламенять бензиновые баки, защи</w:t>
      </w:r>
      <w:r w:rsidRPr="00E93F40">
        <w:rPr>
          <w:rFonts w:ascii="Times New Roman" w:hAnsi="Times New Roman"/>
          <w:color w:val="000000" w:themeColor="text1"/>
          <w:sz w:val="16"/>
          <w:szCs w:val="16"/>
        </w:rPr>
        <w:softHyphen/>
        <w:t>щенные броней. Патроны к пулемету ШКАС в значительной степени повышали его эффективность. Они явились первыми в мире авиационными патронами. При всех достоинствах пулемета системы ШКАС его первые се</w:t>
      </w:r>
      <w:r w:rsidRPr="00E93F40">
        <w:rPr>
          <w:rFonts w:ascii="Times New Roman" w:hAnsi="Times New Roman"/>
          <w:color w:val="000000" w:themeColor="text1"/>
          <w:sz w:val="16"/>
          <w:szCs w:val="16"/>
        </w:rPr>
        <w:softHyphen/>
        <w:t>рии, изготовленные по чертежам опытного образца, имели недо</w:t>
      </w:r>
      <w:r w:rsidRPr="00E93F40">
        <w:rPr>
          <w:rFonts w:ascii="Times New Roman" w:hAnsi="Times New Roman"/>
          <w:color w:val="000000" w:themeColor="text1"/>
          <w:sz w:val="16"/>
          <w:szCs w:val="16"/>
        </w:rPr>
        <w:softHyphen/>
        <w:t>статочную живучесть — около 1500—2000 выстрелов. Советское правительство, давая в марте 1933 г. заказ на первую крупную пар</w:t>
      </w:r>
      <w:r w:rsidRPr="00E93F40">
        <w:rPr>
          <w:rFonts w:ascii="Times New Roman" w:hAnsi="Times New Roman"/>
          <w:color w:val="000000" w:themeColor="text1"/>
          <w:sz w:val="16"/>
          <w:szCs w:val="16"/>
        </w:rPr>
        <w:softHyphen/>
        <w:t>тию пулеметов, предложило конструкторам повысить их живу</w:t>
      </w:r>
      <w:r w:rsidRPr="00E93F40">
        <w:rPr>
          <w:rFonts w:ascii="Times New Roman" w:hAnsi="Times New Roman"/>
          <w:color w:val="000000" w:themeColor="text1"/>
          <w:sz w:val="16"/>
          <w:szCs w:val="16"/>
        </w:rPr>
        <w:softHyphen/>
        <w:t>честь, доведя ее до 5000 выстрелов. (10695).</w:t>
      </w:r>
    </w:p>
    <w:p w14:paraId="2D3ADE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62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г. Реввоенсовет одобрил результаты полигонных испытании пулемета и 11 октября 1932 г. принял постановление о принятии его на вооружение под наименованием «7,62-мм авиационный скорострельный пулемет системы Шпитального - Комарицкого обр. 1932 г. ШКАС (Шпитального - Комарицкого авиационный скорострельный) »(ВИМАИВС, ф. 6р, оп. 1, д. 56, л. 9.) (11316).</w:t>
      </w:r>
    </w:p>
    <w:p w14:paraId="245294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29F360" w14:textId="77777777" w:rsidR="009623CF" w:rsidRPr="00142305" w:rsidRDefault="009623CF" w:rsidP="009623CF">
      <w:pPr>
        <w:widowControl w:val="0"/>
        <w:tabs>
          <w:tab w:val="left" w:pos="495"/>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7 октября 1932 г. Реввоенсовет одобрил результаты полигонных испытаний ШКАСа, и пулемет приняли на вооружение ВВС РККА. Несмотря на ряд недостатков, таких как малая живучесть ствола </w:t>
      </w:r>
      <w:r w:rsidRPr="00142305">
        <w:rPr>
          <w:rFonts w:ascii="Times New Roman" w:hAnsi="Times New Roman"/>
          <w:color w:val="0070C0"/>
          <w:sz w:val="16"/>
          <w:szCs w:val="16"/>
          <w:shd w:val="clear" w:color="auto" w:fill="FFFFFF"/>
        </w:rPr>
        <w:t>и частые задержки при стрельбе, ШКАС к 1936 году занял домини</w:t>
      </w:r>
      <w:r w:rsidRPr="00142305">
        <w:rPr>
          <w:rFonts w:ascii="Times New Roman" w:hAnsi="Times New Roman"/>
          <w:color w:val="0070C0"/>
          <w:sz w:val="16"/>
          <w:szCs w:val="16"/>
          <w:shd w:val="clear" w:color="auto" w:fill="FFFFFF"/>
        </w:rPr>
        <w:softHyphen/>
        <w:t>рующее положение в</w:t>
      </w:r>
      <w:r w:rsidRPr="00142305">
        <w:rPr>
          <w:rFonts w:ascii="Times New Roman" w:hAnsi="Times New Roman"/>
          <w:color w:val="0070C0"/>
          <w:sz w:val="16"/>
          <w:szCs w:val="16"/>
        </w:rPr>
        <w:t xml:space="preserve"> системе вооружения советской авиации: все военные самолеты этого периода оснащались только этими пулеметами. Если в 1933 г. завод выпустил 365 ШКАСа, то в следующем - 2476, а в 1940 г. - уже 34 233 единицы. При этом конструкторы создали три варианта оружия: крыльевой, турельный и синхронный.</w:t>
      </w:r>
    </w:p>
    <w:p w14:paraId="4B6A710E"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процессе эксплуатации выяснилось, что механизмы пулемета настолько быстро извлекали патрон из ленты и досылали его в патронник, что возникавшие при этом инерционные перегрузки иногда приводили к демонтажу патрона. Задержки, которые возникали при стрельбе из ШКАСа обыкновенными патронами (демонтаж и излом патрона, выпадение капсюля, западание пули в гильзу, разрушение капсюльного состава), были вызваны именно инерционными перегрузками. Устранение большинства из упомянутых задержек требовало разборки пулемета,</w:t>
      </w:r>
    </w:p>
    <w:p w14:paraId="4D80155B"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что было невозможно во время полета. Несовершенство патронов ставило под угрозу жизни экипажей и выпол</w:t>
      </w:r>
      <w:r w:rsidRPr="00142305">
        <w:rPr>
          <w:rFonts w:ascii="Times New Roman" w:hAnsi="Times New Roman"/>
          <w:color w:val="0070C0"/>
          <w:sz w:val="16"/>
          <w:szCs w:val="16"/>
        </w:rPr>
        <w:softHyphen/>
        <w:t>нение боевых задач. Отлично спроектированное оружие, как выяснилось, обогнало по совершенству патроны, которыми стреляло - довольно редкое явление в истории оружейной техники. Выход из создавшегося положения напрашивался сам собой: необходимы специальные авиационные патроны. За их разработку взялся коллектив конструкторов во главе с Н.М. Елизаровым. К середине 30-х годов работа была завершена, и в результате появились 7,62-мм патроны для пулемета ШКАС. Для увеличения прочности крепления пули в гильзе патроны имели двойной обжим дульца гильзы по высоте. По сравнению с гильзой обычного патрона гильзы для патронов к пулемету ШКАС имели увеличенную толщину стенок и дна. Это повышало их прочность и позволило значительно уменьшить вероят</w:t>
      </w:r>
      <w:r w:rsidRPr="00142305">
        <w:rPr>
          <w:rFonts w:ascii="Times New Roman" w:hAnsi="Times New Roman"/>
          <w:color w:val="0070C0"/>
          <w:sz w:val="16"/>
          <w:szCs w:val="16"/>
        </w:rPr>
        <w:softHyphen/>
        <w:t>ность поперечного разрыва гильз при выстреле - задержки, абсолютно неустранимой в полете. Гильзы к патронам ШКАС изготавливались как из латуни, так и из биметалла (сталь, плакированная томпаком).</w:t>
      </w:r>
    </w:p>
    <w:p w14:paraId="45C013C8"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отличия 7,62-мм «шкасовских» патронов от обыкно</w:t>
      </w:r>
      <w:r w:rsidRPr="00142305">
        <w:rPr>
          <w:rFonts w:ascii="Times New Roman" w:hAnsi="Times New Roman"/>
          <w:color w:val="0070C0"/>
          <w:sz w:val="16"/>
          <w:szCs w:val="16"/>
        </w:rPr>
        <w:softHyphen/>
        <w:t>венных с 1938 г. на фланце гильзы выштамповывалась буква «Ш». Патроны к пулемёту ШКАС, как и прочие, укупо</w:t>
      </w:r>
      <w:r w:rsidRPr="00142305">
        <w:rPr>
          <w:rFonts w:ascii="Times New Roman" w:hAnsi="Times New Roman"/>
          <w:color w:val="0070C0"/>
          <w:sz w:val="16"/>
          <w:szCs w:val="16"/>
        </w:rPr>
        <w:softHyphen/>
        <w:t>ривались в «цинки» и деревянные ящики, на которые наносился специальный знак - надпись «ШКАС». Допол</w:t>
      </w:r>
      <w:r w:rsidRPr="00142305">
        <w:rPr>
          <w:rFonts w:ascii="Times New Roman" w:hAnsi="Times New Roman"/>
          <w:color w:val="0070C0"/>
          <w:sz w:val="16"/>
          <w:szCs w:val="16"/>
        </w:rPr>
        <w:softHyphen/>
        <w:t>нительно наносился знак в виде красного или черного пропеллера. Наличие красного пропеллера обозначало, что патроны допущены к стрельбе через винт самолёта. Такие патроны подвергались тщательной аттестации в части времени срабатывания капсюльного состава, от которого существенно зависит момент, когда пуля покидает канал ствола оружия. Кроме того, более строго проверялись баллистические характеристики, герметичность патронов и др. Патроны, у которых на ящике имелся знак в виде черного пропеллера, были допущены для стрельбы из всех авиапу</w:t>
      </w:r>
      <w:r w:rsidRPr="00142305">
        <w:rPr>
          <w:rFonts w:ascii="Times New Roman" w:hAnsi="Times New Roman"/>
          <w:color w:val="0070C0"/>
          <w:sz w:val="16"/>
          <w:szCs w:val="16"/>
        </w:rPr>
        <w:softHyphen/>
        <w:t>лемётов, кроме синхронных (24933).</w:t>
      </w:r>
    </w:p>
    <w:p w14:paraId="74C3C3AF" w14:textId="77777777" w:rsidR="009623CF" w:rsidRPr="00142305" w:rsidRDefault="009623CF" w:rsidP="009623CF">
      <w:pPr>
        <w:spacing w:after="0" w:line="240" w:lineRule="auto"/>
        <w:jc w:val="both"/>
        <w:rPr>
          <w:rFonts w:ascii="Times New Roman" w:hAnsi="Times New Roman"/>
          <w:color w:val="0070C0"/>
          <w:sz w:val="16"/>
          <w:szCs w:val="16"/>
        </w:rPr>
      </w:pPr>
    </w:p>
    <w:p w14:paraId="1536FD39"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октября 1932 г. Реввоенсовет одобрил результаты полигонных испытаний пулемета ШКАС, а постановлением от 11 октября 1932 года принял пулемет на вооружение.</w:t>
      </w:r>
    </w:p>
    <w:p w14:paraId="799D35DE" w14:textId="77777777" w:rsidR="009623CF" w:rsidRPr="00142305" w:rsidRDefault="009623CF" w:rsidP="009623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Производство пулемета, освоенное Тульским оружейным заводом, проводилось полукустарными методами из-за чересчур сложной конструкции оружия. Переход советской оружейной промышленности к изготовлению авиационного автоматического оружия с высокой скорострельностью потребовал повышения производственной культуры, большой точности в чертежах, расчетах допусков, применения особенно качественных сталей и термической обработки деталей, определявших живучесть и безотказность работы автоматики. Отечественные оружейные производства, хотя они и находились на достаточно высоком техническом уровне, все же оказались неподготовленными для изготовления оружия такого класса. Наибольшие трудности возникли при подборе высокопрочных специальных сталей для самых напряженных деталей и пружин, а также при создании технологии их термической обработки. Именно этим объясняется очень малая живучесть первых пулеметов ШКАС, составлявших на первых порах ничтожные 1500-2000 выстрелов (25380).</w:t>
      </w:r>
    </w:p>
    <w:p w14:paraId="1F286E67" w14:textId="77777777" w:rsidR="009623CF" w:rsidRPr="00142305" w:rsidRDefault="009623CF" w:rsidP="009623CF">
      <w:pPr>
        <w:spacing w:after="0" w:line="240" w:lineRule="auto"/>
        <w:jc w:val="both"/>
        <w:rPr>
          <w:rFonts w:ascii="Times New Roman" w:hAnsi="Times New Roman"/>
          <w:color w:val="0070C0"/>
          <w:sz w:val="16"/>
          <w:szCs w:val="16"/>
        </w:rPr>
      </w:pPr>
    </w:p>
    <w:p w14:paraId="0F1ABB6C" w14:textId="77777777" w:rsidR="00826173" w:rsidRPr="00E93F40" w:rsidRDefault="00826173" w:rsidP="00E93F40">
      <w:pPr>
        <w:spacing w:after="0" w:line="240" w:lineRule="auto"/>
        <w:jc w:val="both"/>
        <w:rPr>
          <w:rStyle w:val="ucoz-forum-post"/>
          <w:rFonts w:ascii="Times New Roman" w:eastAsiaTheme="majorEastAsia"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7 октября 1932 года</w:t>
      </w:r>
      <w:r w:rsidRPr="00E93F40">
        <w:rPr>
          <w:rStyle w:val="ucoz-forum-post"/>
          <w:rFonts w:ascii="Times New Roman" w:eastAsiaTheme="majorEastAsia" w:hAnsi="Times New Roman"/>
          <w:color w:val="000000" w:themeColor="text1"/>
          <w:sz w:val="16"/>
          <w:szCs w:val="16"/>
        </w:rPr>
        <w:t xml:space="preserve"> состоялся беспосадочный перелет летчиц В.С. Гризодубовой, П.Д. Осипенко и М.М. Расковой по маршруту Москва-Дальний Восток (14792).</w:t>
      </w:r>
    </w:p>
    <w:p w14:paraId="0F94E6EB" w14:textId="77777777" w:rsidR="00826173" w:rsidRPr="00E93F40" w:rsidRDefault="00826173" w:rsidP="00E93F40">
      <w:pPr>
        <w:spacing w:after="0" w:line="240" w:lineRule="auto"/>
        <w:jc w:val="both"/>
        <w:rPr>
          <w:rStyle w:val="ucoz-forum-post"/>
          <w:rFonts w:ascii="Times New Roman" w:eastAsiaTheme="majorEastAsia" w:hAnsi="Times New Roman"/>
          <w:color w:val="000000" w:themeColor="text1"/>
          <w:sz w:val="16"/>
          <w:szCs w:val="16"/>
        </w:rPr>
      </w:pPr>
    </w:p>
    <w:p w14:paraId="5E6B803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D21A1D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E4A2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г. руководство ОГПУ и УВМС поддерживало Асафова и РВС СССР утвердил общий проект IV серии со следующими основными элементами: надводное водоизмещение 931 т, предельная глубина погружения 72 м, максимальная ско</w:t>
      </w:r>
      <w:r w:rsidRPr="00E93F40">
        <w:rPr>
          <w:rFonts w:ascii="Times New Roman" w:hAnsi="Times New Roman"/>
          <w:color w:val="000000" w:themeColor="text1"/>
          <w:sz w:val="16"/>
          <w:szCs w:val="16"/>
        </w:rPr>
        <w:softHyphen/>
        <w:t>рость 23 уз. К этому времени общая готовность "Правды" достигла 25%, "Звезды" - 20% и "Искры" - 10% (3898).</w:t>
      </w:r>
    </w:p>
    <w:p w14:paraId="2EC1D3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E3B9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г. утвердили проект п/л Правда" (тип "П" IV серии), однако и тогда остался ряд спорных моментов, связанных, прежде всего с глубиной погружения (10672).</w:t>
      </w:r>
    </w:p>
    <w:p w14:paraId="27438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BD885A" w14:textId="759DB337" w:rsidR="00BC161D" w:rsidRPr="00E93F40" w:rsidRDefault="00BC161D" w:rsidP="00E93F40">
      <w:pPr>
        <w:pStyle w:val="rtejustify"/>
        <w:spacing w:before="0" w:after="0"/>
        <w:rPr>
          <w:color w:val="000000" w:themeColor="text1"/>
          <w:sz w:val="16"/>
          <w:szCs w:val="16"/>
        </w:rPr>
      </w:pPr>
      <w:r w:rsidRPr="00E93F40">
        <w:rPr>
          <w:rStyle w:val="af0"/>
          <w:i w:val="0"/>
          <w:color w:val="000000" w:themeColor="text1"/>
          <w:sz w:val="16"/>
          <w:szCs w:val="16"/>
        </w:rPr>
        <w:t>7</w:t>
      </w:r>
      <w:r w:rsidR="007C1411" w:rsidRPr="00E93F40">
        <w:rPr>
          <w:rStyle w:val="af0"/>
          <w:i w:val="0"/>
          <w:color w:val="000000" w:themeColor="text1"/>
          <w:sz w:val="16"/>
          <w:szCs w:val="16"/>
        </w:rPr>
        <w:t xml:space="preserve"> </w:t>
      </w:r>
      <w:r w:rsidRPr="00E93F40">
        <w:rPr>
          <w:rStyle w:val="af0"/>
          <w:i w:val="0"/>
          <w:color w:val="000000" w:themeColor="text1"/>
          <w:sz w:val="16"/>
          <w:szCs w:val="16"/>
        </w:rPr>
        <w:t>октября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21.</w:t>
      </w:r>
      <w:r w:rsidRPr="00E93F40">
        <w:rPr>
          <w:color w:val="000000" w:themeColor="text1"/>
          <w:sz w:val="16"/>
          <w:szCs w:val="16"/>
        </w:rPr>
        <w:t xml:space="preserve"> 1.</w:t>
      </w:r>
      <w:r w:rsidR="007C1411" w:rsidRPr="00E93F40">
        <w:rPr>
          <w:color w:val="000000" w:themeColor="text1"/>
          <w:sz w:val="16"/>
          <w:szCs w:val="16"/>
        </w:rPr>
        <w:t xml:space="preserve"> </w:t>
      </w:r>
      <w:r w:rsidRPr="00E93F40">
        <w:rPr>
          <w:color w:val="000000" w:themeColor="text1"/>
          <w:sz w:val="16"/>
          <w:szCs w:val="16"/>
        </w:rPr>
        <w:t>О проекте большой подлодки типа «Правда». (Орлов, Асафов). 2.</w:t>
      </w:r>
      <w:r w:rsidR="007C1411" w:rsidRPr="00E93F40">
        <w:rPr>
          <w:color w:val="000000" w:themeColor="text1"/>
          <w:sz w:val="16"/>
          <w:szCs w:val="16"/>
        </w:rPr>
        <w:t xml:space="preserve"> </w:t>
      </w:r>
      <w:r w:rsidRPr="00E93F40">
        <w:rPr>
          <w:color w:val="000000" w:themeColor="text1"/>
          <w:sz w:val="16"/>
          <w:szCs w:val="16"/>
        </w:rPr>
        <w:t>О проекте малой подлодки типа «Малютка». (Орлов, Асафов). 3.</w:t>
      </w:r>
      <w:r w:rsidR="007C1411" w:rsidRPr="00E93F40">
        <w:rPr>
          <w:color w:val="000000" w:themeColor="text1"/>
          <w:sz w:val="16"/>
          <w:szCs w:val="16"/>
        </w:rPr>
        <w:t xml:space="preserve"> </w:t>
      </w:r>
      <w:r w:rsidRPr="00E93F40">
        <w:rPr>
          <w:color w:val="000000" w:themeColor="text1"/>
          <w:sz w:val="16"/>
          <w:szCs w:val="16"/>
        </w:rPr>
        <w:t>Утверждение тактико-технических требований к эсминцам. (Егоров). 4.</w:t>
      </w:r>
      <w:r w:rsidR="007C1411" w:rsidRPr="00E93F40">
        <w:rPr>
          <w:color w:val="000000" w:themeColor="text1"/>
          <w:sz w:val="16"/>
          <w:szCs w:val="16"/>
        </w:rPr>
        <w:t xml:space="preserve"> </w:t>
      </w:r>
      <w:r w:rsidRPr="00E93F40">
        <w:rPr>
          <w:color w:val="000000" w:themeColor="text1"/>
          <w:sz w:val="16"/>
          <w:szCs w:val="16"/>
        </w:rPr>
        <w:t>О вводе в строй сторожевых кораблей (Орлов). 5.</w:t>
      </w:r>
      <w:r w:rsidR="007C1411" w:rsidRPr="00E93F40">
        <w:rPr>
          <w:color w:val="000000" w:themeColor="text1"/>
          <w:sz w:val="16"/>
          <w:szCs w:val="16"/>
        </w:rPr>
        <w:t xml:space="preserve"> </w:t>
      </w:r>
      <w:r w:rsidRPr="00E93F40">
        <w:rPr>
          <w:color w:val="000000" w:themeColor="text1"/>
          <w:sz w:val="16"/>
          <w:szCs w:val="16"/>
        </w:rPr>
        <w:t>О принятии на снабжение ВМС РККА гирокомпаса, мод[ель]</w:t>
      </w:r>
      <w:r w:rsidR="007C1411" w:rsidRPr="00E93F40">
        <w:rPr>
          <w:color w:val="000000" w:themeColor="text1"/>
          <w:sz w:val="16"/>
          <w:szCs w:val="16"/>
        </w:rPr>
        <w:t xml:space="preserve"> </w:t>
      </w:r>
      <w:r w:rsidRPr="00E93F40">
        <w:rPr>
          <w:color w:val="000000" w:themeColor="text1"/>
          <w:sz w:val="16"/>
          <w:szCs w:val="16"/>
        </w:rPr>
        <w:t>1, мар[ка]</w:t>
      </w:r>
      <w:r w:rsidR="007C1411" w:rsidRPr="00E93F40">
        <w:rPr>
          <w:color w:val="000000" w:themeColor="text1"/>
          <w:sz w:val="16"/>
          <w:szCs w:val="16"/>
        </w:rPr>
        <w:t xml:space="preserve"> </w:t>
      </w:r>
      <w:r w:rsidRPr="00E93F40">
        <w:rPr>
          <w:color w:val="000000" w:themeColor="text1"/>
          <w:sz w:val="16"/>
          <w:szCs w:val="16"/>
        </w:rPr>
        <w:t>1. (Лудри). 17.</w:t>
      </w:r>
      <w:r w:rsidR="007C1411" w:rsidRPr="00E93F40">
        <w:rPr>
          <w:color w:val="000000" w:themeColor="text1"/>
          <w:sz w:val="16"/>
          <w:szCs w:val="16"/>
        </w:rPr>
        <w:t xml:space="preserve"> </w:t>
      </w:r>
      <w:r w:rsidRPr="00E93F40">
        <w:rPr>
          <w:color w:val="000000" w:themeColor="text1"/>
          <w:sz w:val="16"/>
          <w:szCs w:val="16"/>
        </w:rPr>
        <w:t>О вводе на вооружение РККА скорострельного 7,62</w:t>
      </w:r>
      <w:r w:rsidRPr="00E93F40">
        <w:rPr>
          <w:color w:val="000000" w:themeColor="text1"/>
          <w:sz w:val="16"/>
          <w:szCs w:val="16"/>
        </w:rPr>
        <w:noBreakHyphen/>
        <w:t>мм пулемета системы Шпитального-Комарицкого (Ефимов).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433</w:t>
      </w:r>
      <w:r w:rsidRPr="00E93F40">
        <w:rPr>
          <w:color w:val="000000" w:themeColor="text1"/>
          <w:sz w:val="16"/>
          <w:szCs w:val="16"/>
        </w:rPr>
        <w:noBreakHyphen/>
        <w:t>434, 436) (12342).</w:t>
      </w:r>
    </w:p>
    <w:p w14:paraId="3324E114" w14:textId="0AC3465D" w:rsidR="00BC161D" w:rsidRPr="00E93F40" w:rsidRDefault="00BC161D" w:rsidP="00E93F40">
      <w:pPr>
        <w:pStyle w:val="rtejustify"/>
        <w:spacing w:before="0" w:after="0"/>
        <w:rPr>
          <w:color w:val="000000" w:themeColor="text1"/>
          <w:sz w:val="16"/>
          <w:szCs w:val="16"/>
        </w:rPr>
      </w:pPr>
    </w:p>
    <w:p w14:paraId="06777D6D" w14:textId="485CB538" w:rsidR="009623CF" w:rsidRPr="00E93F40" w:rsidRDefault="009623CF" w:rsidP="009623CF">
      <w:pPr>
        <w:pStyle w:val="rtejustify"/>
        <w:spacing w:before="0" w:after="0"/>
        <w:rPr>
          <w:i/>
          <w:iCs/>
          <w:color w:val="000000" w:themeColor="text1"/>
          <w:sz w:val="16"/>
          <w:szCs w:val="16"/>
        </w:rPr>
      </w:pPr>
      <w:r>
        <w:rPr>
          <w:i/>
          <w:iCs/>
          <w:color w:val="000000" w:themeColor="text1"/>
          <w:sz w:val="16"/>
          <w:szCs w:val="16"/>
        </w:rPr>
        <w:t>Жизнь и внутренняя политика</w:t>
      </w:r>
      <w:r w:rsidRPr="00E93F40">
        <w:rPr>
          <w:i/>
          <w:iCs/>
          <w:color w:val="000000" w:themeColor="text1"/>
          <w:sz w:val="16"/>
          <w:szCs w:val="16"/>
        </w:rPr>
        <w:t>:</w:t>
      </w:r>
    </w:p>
    <w:p w14:paraId="3113645D" w14:textId="77777777" w:rsidR="009623CF" w:rsidRPr="00E93F40" w:rsidRDefault="009623CF" w:rsidP="009623CF">
      <w:pPr>
        <w:pStyle w:val="rtejustify"/>
        <w:spacing w:before="0" w:after="0"/>
        <w:rPr>
          <w:i/>
          <w:iCs/>
          <w:color w:val="000000" w:themeColor="text1"/>
          <w:sz w:val="16"/>
          <w:szCs w:val="16"/>
        </w:rPr>
      </w:pPr>
    </w:p>
    <w:p w14:paraId="7D6BAD36" w14:textId="77777777" w:rsidR="009623CF" w:rsidRPr="00142305" w:rsidRDefault="009623CF" w:rsidP="009623CF">
      <w:pPr>
        <w:pStyle w:val="45"/>
        <w:spacing w:before="0" w:line="240" w:lineRule="auto"/>
        <w:jc w:val="both"/>
        <w:rPr>
          <w:rFonts w:ascii="Times New Roman" w:cs="Times New Roman"/>
          <w:color w:val="0070C0"/>
          <w:sz w:val="16"/>
          <w:szCs w:val="16"/>
        </w:rPr>
      </w:pPr>
      <w:r w:rsidRPr="00142305">
        <w:rPr>
          <w:rStyle w:val="46"/>
          <w:rFonts w:ascii="Times New Roman" w:cs="Times New Roman"/>
          <w:color w:val="0070C0"/>
          <w:sz w:val="16"/>
          <w:szCs w:val="16"/>
        </w:rPr>
        <w:t>7 октября 1932 года город Нижний Новгород переименовали в Горький. Соот</w:t>
      </w:r>
      <w:r w:rsidRPr="00142305">
        <w:rPr>
          <w:rStyle w:val="46"/>
          <w:rFonts w:ascii="Times New Roman" w:cs="Times New Roman"/>
          <w:color w:val="0070C0"/>
          <w:sz w:val="16"/>
          <w:szCs w:val="16"/>
        </w:rPr>
        <w:softHyphen/>
        <w:t>ветственно изменились и название завода, и автомобиля: начиная с шасси под номером 3800 - ГАЗ-АА. С 1932 по 1938 год их из горьковских деталей также собирали в Москве, а с апреля 1939 по декабрь 1940 года в Ростове-на-Дону.</w:t>
      </w:r>
    </w:p>
    <w:p w14:paraId="26E0F504" w14:textId="77777777" w:rsidR="009623CF" w:rsidRPr="00142305" w:rsidRDefault="009623CF" w:rsidP="009623CF">
      <w:pPr>
        <w:pStyle w:val="45"/>
        <w:spacing w:before="0" w:line="240" w:lineRule="auto"/>
        <w:jc w:val="both"/>
        <w:rPr>
          <w:rFonts w:ascii="Times New Roman" w:cs="Times New Roman"/>
          <w:color w:val="0070C0"/>
          <w:sz w:val="16"/>
          <w:szCs w:val="16"/>
        </w:rPr>
      </w:pPr>
      <w:r w:rsidRPr="00142305">
        <w:rPr>
          <w:rStyle w:val="46"/>
          <w:rFonts w:ascii="Times New Roman" w:cs="Times New Roman"/>
          <w:color w:val="0070C0"/>
          <w:sz w:val="16"/>
          <w:szCs w:val="16"/>
        </w:rPr>
        <w:t>Последняя «полуторка» выехала за во</w:t>
      </w:r>
      <w:r w:rsidRPr="00142305">
        <w:rPr>
          <w:rStyle w:val="46"/>
          <w:rFonts w:ascii="Times New Roman" w:cs="Times New Roman"/>
          <w:color w:val="0070C0"/>
          <w:sz w:val="16"/>
          <w:szCs w:val="16"/>
        </w:rPr>
        <w:softHyphen/>
        <w:t>рота ГАЗа 10 октября 1949 года. Всего в Горьком построили 829 808 автомобилей этого семейства. С 1947 по 1951 год на за</w:t>
      </w:r>
      <w:r w:rsidRPr="00142305">
        <w:rPr>
          <w:rStyle w:val="46"/>
          <w:rFonts w:ascii="Times New Roman" w:cs="Times New Roman"/>
          <w:color w:val="0070C0"/>
          <w:sz w:val="16"/>
          <w:szCs w:val="16"/>
        </w:rPr>
        <w:softHyphen/>
        <w:t>воде УльЗИС в Ульяновске собрали около 76 тысяч ГАЗ-ММ (25699).</w:t>
      </w:r>
    </w:p>
    <w:p w14:paraId="1F2472CC" w14:textId="77777777" w:rsidR="009623CF" w:rsidRPr="00142305" w:rsidRDefault="009623CF" w:rsidP="009623CF">
      <w:pPr>
        <w:spacing w:after="0" w:line="240" w:lineRule="auto"/>
        <w:jc w:val="both"/>
        <w:rPr>
          <w:rFonts w:ascii="Times New Roman" w:hAnsi="Times New Roman"/>
          <w:color w:val="0070C0"/>
          <w:sz w:val="16"/>
          <w:szCs w:val="16"/>
        </w:rPr>
      </w:pPr>
    </w:p>
    <w:p w14:paraId="006F1277" w14:textId="13722ACF" w:rsidR="00B86825" w:rsidRPr="00E93F40" w:rsidRDefault="00B86825" w:rsidP="00E93F40">
      <w:pPr>
        <w:pStyle w:val="rtejustify"/>
        <w:spacing w:before="0" w:after="0"/>
        <w:rPr>
          <w:i/>
          <w:iCs/>
          <w:color w:val="000000" w:themeColor="text1"/>
          <w:sz w:val="16"/>
          <w:szCs w:val="16"/>
        </w:rPr>
      </w:pPr>
      <w:r w:rsidRPr="00E93F40">
        <w:rPr>
          <w:i/>
          <w:iCs/>
          <w:color w:val="000000" w:themeColor="text1"/>
          <w:sz w:val="16"/>
          <w:szCs w:val="16"/>
        </w:rPr>
        <w:t>За рубежом:</w:t>
      </w:r>
    </w:p>
    <w:p w14:paraId="412B2FBB" w14:textId="77777777" w:rsidR="00B86825" w:rsidRPr="00E93F40" w:rsidRDefault="00B86825" w:rsidP="00E93F40">
      <w:pPr>
        <w:pStyle w:val="rtejustify"/>
        <w:spacing w:before="0" w:after="0"/>
        <w:rPr>
          <w:i/>
          <w:iCs/>
          <w:color w:val="000000" w:themeColor="text1"/>
          <w:sz w:val="16"/>
          <w:szCs w:val="16"/>
        </w:rPr>
      </w:pPr>
    </w:p>
    <w:p w14:paraId="202ACB56"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состоялся первый полет Стипа-Капрони (20803).</w:t>
      </w:r>
    </w:p>
    <w:p w14:paraId="24C75C50" w14:textId="77777777" w:rsidR="00B86825" w:rsidRPr="00E93F40" w:rsidRDefault="00B86825" w:rsidP="00E93F40">
      <w:pPr>
        <w:spacing w:after="0" w:line="240" w:lineRule="auto"/>
        <w:jc w:val="both"/>
        <w:rPr>
          <w:rFonts w:ascii="Times New Roman" w:hAnsi="Times New Roman"/>
          <w:color w:val="000000" w:themeColor="text1"/>
          <w:sz w:val="16"/>
          <w:szCs w:val="16"/>
        </w:rPr>
      </w:pPr>
    </w:p>
    <w:p w14:paraId="0F2D3A23"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первый полет ковыль-Капроните, прототип самолета, использующего тягу в трубе Луиджи Štípa - предвестник реактивного движения и импеллер для самолетов (20803.</w:t>
      </w:r>
    </w:p>
    <w:p w14:paraId="551C18B8" w14:textId="77777777" w:rsidR="00B86825" w:rsidRPr="00E93F40" w:rsidRDefault="00B86825" w:rsidP="00E93F40">
      <w:pPr>
        <w:spacing w:after="0" w:line="240" w:lineRule="auto"/>
        <w:jc w:val="both"/>
        <w:rPr>
          <w:rFonts w:ascii="Times New Roman" w:hAnsi="Times New Roman"/>
          <w:color w:val="000000" w:themeColor="text1"/>
          <w:sz w:val="16"/>
          <w:szCs w:val="16"/>
        </w:rPr>
      </w:pPr>
    </w:p>
    <w:p w14:paraId="31ED3A0A" w14:textId="68D0323C"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 года — первый полёт экспериментального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Stipa-Caproni. /Италия/</w:t>
      </w:r>
    </w:p>
    <w:p w14:paraId="74D85A63" w14:textId="758082CD"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1930-х годов военный инженер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Луиджи Стипа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придумал развить идею импеллера и превратить весь фюзеляж самолёта в своеобразное кольцо. Он запатентовал концепцию</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«интубированного пропеллера»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на заводе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Società Caproni e Comitti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построил самолёт для практической проверки своих идей.</w:t>
      </w:r>
    </w:p>
    <w:p w14:paraId="2B10701E" w14:textId="4FBE2C96"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 Stipa-Caproni имел бочкообразную форму с расположенным внутри двигателем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de Havilland Gipsy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пропеллером. Крыло — среднерасположенное. Наверху фюзеляжа находились кабины экипажа — 1 или 2 человек. Максимальная скорость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w:t>
      </w:r>
    </w:p>
    <w:p w14:paraId="30A9F4F5" w14:textId="4B822B69"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испытаниях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«летающий бочонок»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Луиджи Стипы показал хорошие лётные характеристики. 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максимальная скорость не устроили военных и проект был остановлен. Единственный построенный самолёт разобрали. В 2001 году в Австралии была построена летающая реплика Stipa-Caproni в масштабе 3/5. Сегодня она находится в музее при аэропорте Тувумба (22300).</w:t>
      </w:r>
    </w:p>
    <w:p w14:paraId="03272E7A" w14:textId="77777777" w:rsidR="00B86825" w:rsidRPr="00E93F40" w:rsidRDefault="00B86825" w:rsidP="00E93F40">
      <w:pPr>
        <w:spacing w:after="0" w:line="240" w:lineRule="auto"/>
        <w:jc w:val="both"/>
        <w:rPr>
          <w:rFonts w:ascii="Times New Roman" w:hAnsi="Times New Roman"/>
          <w:color w:val="000000" w:themeColor="text1"/>
          <w:sz w:val="16"/>
          <w:szCs w:val="16"/>
        </w:rPr>
      </w:pPr>
    </w:p>
    <w:p w14:paraId="112EBF23" w14:textId="330FAC6E"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полет Stipa-Caproni. В начале 30-х годов инженер Луиджи Стипа (Luigi Stipa) служивший в ВВС Италии предложил оригинальную идею с использованием фюзеляжа-трубы для увеличения эффективности винтов. Эта концепция получила наименование "Ala a turbina".</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Фюзеляж самолета имел бочкообразную форму. Оба винта и 120-сильный двигатель de Havilland Gipsy III</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размещался внутри фюзеляжа. Основной принцип идеи Стипа заключался в установке воздушного винта и двигателя внутри фюзеляжа (т.н.</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импеллер - это пропеллер, заключённый в кольцо для снижения энергетических потерь из-за перетекания воздуха на законцовках лопастей). Таким образом, винт использовался в качестве вентилятора находящегося в кольцевом обтекателе. Луиджи Стипа назвал данное направление в дизайне летательных аппаратов "интубированым пропеллером". Для того времени это был один из самых радикальных способов повысить эффективность двигателей самолетов.</w:t>
      </w:r>
      <w:r w:rsidRPr="00E93F40">
        <w:rPr>
          <w:rFonts w:ascii="Times New Roman" w:hAnsi="Times New Roman"/>
          <w:color w:val="000000" w:themeColor="text1"/>
          <w:sz w:val="16"/>
          <w:szCs w:val="16"/>
        </w:rPr>
        <w:br/>
        <w:t>Самолёт оказался отличным. По крайней мере с точки зрения пилота-испытателя Доменико Антонини. Во</w:t>
      </w:r>
      <w:r w:rsidRPr="00E93F40">
        <w:rPr>
          <w:rFonts w:ascii="Times New Roman" w:hAnsi="Times New Roman"/>
          <w:color w:val="000000" w:themeColor="text1"/>
          <w:sz w:val="16"/>
          <w:szCs w:val="16"/>
        </w:rPr>
        <w:noBreakHyphen/>
        <w:t>первых, он был значительно мощнее, чем аналоги с точно таким же двигателем. Во</w:t>
      </w:r>
      <w:r w:rsidRPr="00E93F40">
        <w:rPr>
          <w:rFonts w:ascii="Times New Roman" w:hAnsi="Times New Roman"/>
          <w:color w:val="000000" w:themeColor="text1"/>
          <w:sz w:val="16"/>
          <w:szCs w:val="16"/>
        </w:rPr>
        <w:noBreakHyphen/>
        <w:t>вторых, труба-фюзеляж создавала дополнительную подъёмную силу. В-третьих, он был очень стабилен в полёте. Только вот аэродинамическое сопротивление было таким сильным, что больше чем до 131 км/ч самолёт разогнаться не мог никоим образом.</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Полученные результаты не удовлетворили военных и в 1933 году он был демонтирован (22344).</w:t>
      </w:r>
    </w:p>
    <w:p w14:paraId="496759C3" w14:textId="77777777" w:rsidR="00B86825" w:rsidRPr="00E93F40" w:rsidRDefault="00B86825" w:rsidP="00E93F40">
      <w:pPr>
        <w:spacing w:after="0" w:line="240" w:lineRule="auto"/>
        <w:jc w:val="both"/>
        <w:rPr>
          <w:rFonts w:ascii="Times New Roman" w:hAnsi="Times New Roman"/>
          <w:color w:val="000000" w:themeColor="text1"/>
          <w:sz w:val="16"/>
          <w:szCs w:val="16"/>
        </w:rPr>
      </w:pPr>
    </w:p>
    <w:p w14:paraId="28DB83D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85CFB0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2176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 был первый полет ХАИ-1 И.Г.Немана и была достигнута скорость 300 км/ч (89,99). Это было раньше, чем Хейнкель 70, который полетел 1 декабря 1932. Было построено 43 в серии (88,117) - летал Б.Н.Кудрин (1076,625).</w:t>
      </w:r>
    </w:p>
    <w:p w14:paraId="0740D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строился по заказу и на средства Осоавиахима (80,376) - на аэродроме харьковского завода (143,22).</w:t>
      </w:r>
    </w:p>
    <w:p w14:paraId="5C917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Летал Б.Н.Кудрин (374,91), а И.Г.Неман в первом полете был пассажиром (562,44).</w:t>
      </w:r>
    </w:p>
    <w:p w14:paraId="52C3F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7A7B32" w14:textId="77777777" w:rsidR="00826173" w:rsidRPr="00E93F40" w:rsidRDefault="00826173"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8 октября </w:t>
      </w:r>
      <w:r w:rsidRPr="00E93F40">
        <w:rPr>
          <w:rFonts w:ascii="Times New Roman" w:hAnsi="Times New Roman"/>
          <w:color w:val="000000" w:themeColor="text1"/>
          <w:sz w:val="16"/>
          <w:szCs w:val="16"/>
        </w:rPr>
        <w:t>в 1932 году первый полёт пассажирского самолёта ХАИ-1 конструкции И.Г.Немана с двигателем М-22, на котором впервые в СССР использовали убираемое шасси, Б.Н.Кудрин. По скорости ХАИ-1 уступал только американскому “Lockheed Orion”. Благодаря обтекаемой форме и убираемому шасси он развивал до 324 км/час. Всего было построено 43 самолёта. Шестиместный лайнер летал на линиях Аэрофлота Москва-Харьков, Москва - Симферополь, Москва - Минеральные Воды, на линиях Кавказа (14793).</w:t>
      </w:r>
    </w:p>
    <w:p w14:paraId="4CD50162" w14:textId="77777777" w:rsidR="00826173" w:rsidRPr="00E93F40" w:rsidRDefault="00826173" w:rsidP="00E93F40">
      <w:pPr>
        <w:spacing w:after="0" w:line="240" w:lineRule="auto"/>
        <w:jc w:val="both"/>
        <w:rPr>
          <w:rStyle w:val="ucoz-forum-post"/>
          <w:rFonts w:ascii="Times New Roman" w:eastAsiaTheme="majorEastAsia" w:hAnsi="Times New Roman"/>
          <w:bCs/>
          <w:color w:val="000000" w:themeColor="text1"/>
          <w:sz w:val="16"/>
          <w:szCs w:val="16"/>
        </w:rPr>
      </w:pPr>
    </w:p>
    <w:p w14:paraId="77221CA5" w14:textId="77777777" w:rsidR="00EF272A" w:rsidRPr="00E93F40" w:rsidRDefault="00EF272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 г. в Харькове состоялся первый испытательный полет пассажирского самолета ХАИ-1, построенного Харьковским авиационным институтом по проекту инж. Иосифа Григорьевича Немана. ХАИ-1 – свободнонесущий цельнодоревянный низкоплан с фюзеляжем типа монокок на 6 пассажиров, с мотором м-22 мощностью 480 л.с. Это был первый в советском союзе самолет о убирающимся в полете насси. Испытывал летчик В.Н.Кудрин. На первом экземпляре была достигнута скорость 290 км/час, на серийном - 326 км/час /С.А.Табаровский, 1934/. ХАИ-1 строился серийно и в небольшом количестве эксплуатировался в ГВФ., был на уровне лучших пассажирских самолетов в мире. Модификацию ХАИ под названием Р-10 была на вооружении ВВС в качестве скоростного разведчика.</w:t>
      </w:r>
    </w:p>
    <w:p w14:paraId="72B1E10C" w14:textId="7B5E8DBA" w:rsidR="00EF272A" w:rsidRPr="00E93F40" w:rsidRDefault="00EF272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1935 № 4; "Гражданская авиация", 1935 № 8/ (23370).</w:t>
      </w:r>
    </w:p>
    <w:p w14:paraId="75701C84" w14:textId="77777777" w:rsidR="00EF272A" w:rsidRPr="00E93F40" w:rsidRDefault="00EF272A" w:rsidP="00E93F40">
      <w:pPr>
        <w:spacing w:after="0" w:line="240" w:lineRule="auto"/>
        <w:jc w:val="both"/>
        <w:rPr>
          <w:rFonts w:ascii="Times New Roman" w:hAnsi="Times New Roman"/>
          <w:color w:val="000000" w:themeColor="text1"/>
          <w:sz w:val="16"/>
          <w:szCs w:val="16"/>
        </w:rPr>
      </w:pPr>
    </w:p>
    <w:p w14:paraId="2B1E617B" w14:textId="49547E54" w:rsidR="00B86825" w:rsidRPr="00E93F40" w:rsidRDefault="00B86825"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rPr>
        <w:t>8 октября 1932 г. летчик Б.Н. Кудрин, известный впоследствии полетами на многих «нестандартных» самолетах, в том числе на первом советском реактивном истребителе БИ, впервые поднял ХАИ-1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небо. На испытаниях ХАИ-1 летал на скорости 324 км/ч, быстрее истребителей тех лет. Он пошел в серию в Горьком и в Киеве, а в Харькове только что сформированное студенческое КБ ХАИ И.Г. Немана начало проектирование военных вариантов машины. Главным итогом их работы стал ближний разведчик и бомбардировщик Р-10 (ХАИ-5). Завод с 1937 по 1939 гг. построил 355 Р-10, внеся в конструкцию много полезных усовершенствований. Самолеты Р-10 воевали с Японией на Хасане и Халхин-Голе, в «зимней войне» с Финляндией 1939-1940 гг. и в Великой Отечественной. За создание Р-10 Неман в 1937 году был представлен к правительственной награде, но в декабре он неожиданно был арестован по ложному навету (22829).</w:t>
      </w:r>
    </w:p>
    <w:p w14:paraId="478E6920" w14:textId="77777777" w:rsidR="00B86825" w:rsidRPr="00E93F40" w:rsidRDefault="00B86825" w:rsidP="00E93F40">
      <w:pPr>
        <w:spacing w:after="0" w:line="240" w:lineRule="auto"/>
        <w:jc w:val="both"/>
        <w:rPr>
          <w:rFonts w:ascii="Times New Roman" w:hAnsi="Times New Roman"/>
          <w:color w:val="000000" w:themeColor="text1"/>
          <w:sz w:val="16"/>
          <w:szCs w:val="16"/>
        </w:rPr>
      </w:pPr>
    </w:p>
    <w:p w14:paraId="22A2ECBD" w14:textId="77777777" w:rsidR="00826173" w:rsidRPr="00E93F40" w:rsidRDefault="00826173" w:rsidP="00E93F40">
      <w:pPr>
        <w:spacing w:after="0" w:line="240" w:lineRule="auto"/>
        <w:jc w:val="both"/>
        <w:rPr>
          <w:rStyle w:val="ucoz-forum-post"/>
          <w:rFonts w:ascii="Times New Roman" w:eastAsiaTheme="majorEastAsia"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8 октября 1932 года</w:t>
      </w:r>
      <w:r w:rsidRPr="00E93F40">
        <w:rPr>
          <w:rStyle w:val="ucoz-forum-post"/>
          <w:rFonts w:ascii="Times New Roman" w:eastAsiaTheme="majorEastAsia" w:hAnsi="Times New Roman"/>
          <w:color w:val="000000" w:themeColor="text1"/>
          <w:sz w:val="16"/>
          <w:szCs w:val="16"/>
        </w:rPr>
        <w:t xml:space="preserve"> Состоялся первый полет пассажирского самолета ХАИ-1 конструкции И.Г.Немана (и студентов Харьковского авиационного института) с двигателем М-22, Б.Н.Кудрин. На самолете впервые в отечественном авиастроении было применено убирающееся шасси. По скорости ХАИ-1 уступал только американскому Lockheed Orion (14793).</w:t>
      </w:r>
    </w:p>
    <w:p w14:paraId="5F60C3DC" w14:textId="77777777" w:rsidR="00826173" w:rsidRPr="00E93F40" w:rsidRDefault="00826173" w:rsidP="00E93F40">
      <w:pPr>
        <w:spacing w:after="0" w:line="240" w:lineRule="auto"/>
        <w:jc w:val="both"/>
        <w:rPr>
          <w:rStyle w:val="ucoz-forum-post"/>
          <w:rFonts w:ascii="Times New Roman" w:eastAsiaTheme="majorEastAsia" w:hAnsi="Times New Roman"/>
          <w:color w:val="000000" w:themeColor="text1"/>
          <w:sz w:val="16"/>
          <w:szCs w:val="16"/>
        </w:rPr>
      </w:pPr>
    </w:p>
    <w:p w14:paraId="1E46A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 Первый полет на заводском аэродроме опытного самолета ХАИ-1. Пилот Б.Н.Кудрин (10674).</w:t>
      </w:r>
    </w:p>
    <w:p w14:paraId="17915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D7EAFE" w14:textId="77777777" w:rsidR="002545EC" w:rsidRPr="00E93F40" w:rsidRDefault="002545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 состоялся первый полет ХАИ-1 Немана. Машину пилотировал Борис Николаевич Кудрин, на борту также был главный конструктор машины. Самолёт показал хорошую управляемость. В январе 1933 впервые была опробована уборка шасси в полёте. С убранным шасси скорость достигла 292 км/час. 17 февраля 1933 Кудрин перегнал ХАИ-1 в Москву за рекордное время 2 часа 54 минут. Испытания продолжались на московском Центральном аэродроме. 26 марта 1933 самолёт впервые полетел со штатным двигателем М-22.</w:t>
      </w:r>
    </w:p>
    <w:p w14:paraId="205EE7EB" w14:textId="77777777" w:rsidR="002545EC" w:rsidRPr="00E93F40" w:rsidRDefault="002545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испытаний выявились серьёзные проблемы с механизмом уборки шасси. Лётчику приходилось прилагать огромные физические усилия для вращения рукоятки привода. Перед каждым полётом приходилось тратить много времени на проверку правильности укладки тросов в канавках шкива. Происходили отказы замков фиксации стоек шасси. По этой причине 16 июня 1933 прототип потерпел аварию - при разбеге стойки сложились. Также выявилась недостаточная прочность ряда элементов конструкции. Потребовали длительные доработки. Кроме устранения этих недостатков они заключались в увеличении руля направления, улучшения звукоизоляции салона, также появился туалет, увеличено багажное отделение. Государственные испытания доработанного самолёта проводились в ноябре 1934, в НИИ ГУ ГВФ (пилот С.И. Таборовский). (24249).</w:t>
      </w:r>
    </w:p>
    <w:p w14:paraId="73F3ED72" w14:textId="77777777" w:rsidR="002545EC" w:rsidRPr="00E93F40" w:rsidRDefault="002545EC" w:rsidP="00E93F40">
      <w:pPr>
        <w:spacing w:after="0" w:line="240" w:lineRule="auto"/>
        <w:jc w:val="both"/>
        <w:rPr>
          <w:rFonts w:ascii="Times New Roman" w:hAnsi="Times New Roman"/>
          <w:color w:val="000000" w:themeColor="text1"/>
          <w:sz w:val="16"/>
          <w:szCs w:val="16"/>
        </w:rPr>
      </w:pPr>
    </w:p>
    <w:p w14:paraId="3D709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 10 бригадой ЦАГИ было поручено задание на СК-1 (1072).</w:t>
      </w:r>
    </w:p>
    <w:p w14:paraId="22C23B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7B6642" w14:textId="77777777" w:rsidR="00BC161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90EB137" w14:textId="77777777" w:rsidR="00BC161D" w:rsidRPr="00E93F40" w:rsidRDefault="00BC161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3B1708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 г. — Из аналитического обзора Госплана СССР «К вопросу о развитии производства порохов и взрывчатых веществ в первую пятилетку»</w:t>
      </w:r>
    </w:p>
    <w:p w14:paraId="793609C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292246D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w:t>
      </w:r>
    </w:p>
    <w:p w14:paraId="2304E327" w14:textId="0C6208B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Непрерывное совершенство и рост военной техники (рост авиации, танков, артиллерии, рост автоматического оружия, увеличение калибров и скорострельности) создает огромный спрос па пороха и взрывчатые вещества. Еще в мировую войну 1914</w:t>
      </w:r>
      <w:r w:rsidRPr="00E93F40">
        <w:rPr>
          <w:rFonts w:ascii="Times New Roman" w:hAnsi="Times New Roman"/>
          <w:color w:val="000000" w:themeColor="text1"/>
          <w:sz w:val="16"/>
          <w:szCs w:val="16"/>
        </w:rPr>
        <w:noBreakHyphen/>
        <w:t>1917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потребность царской России на год войны исчислялась в таких огромных цифрах, как 72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пороха для 1916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123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для 1917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95,6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взрывчатых веществ для 1916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примерно 160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для 1917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(Барсуков «Работа промышленности на боевое снабжение русской армии»). После мировой войны масштабы потребности в порохах и взрывчатых веществах, несомненно, возросли. К началу первой пятилетки состояние нашей химической промышленности и, в частности, производства порохов и взрывчатых веществ далеко не отвечало масштабам этих потребностей. От царской России мы унаследовали исключительно неразвитую химическую промышленность и крайне незначительное производство </w:t>
      </w:r>
      <w:r w:rsidRPr="00E93F40">
        <w:rPr>
          <w:rFonts w:ascii="Times New Roman" w:hAnsi="Times New Roman"/>
          <w:color w:val="000000" w:themeColor="text1"/>
          <w:sz w:val="16"/>
          <w:szCs w:val="16"/>
        </w:rPr>
        <w:lastRenderedPageBreak/>
        <w:t>порохов и ВВ. Достигнув к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довоенного уровня, наша химическая промышленность и производства порохов и ВВ характеризовались следующими данными: мы только что поставили производство синтетического аммиака на ЧХК. В 1927/28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было добыто синтетического аммиака всего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 этом же году азотной кислоты было произведено всего только 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Если учесть, что на производство тонны пороха требуется немного больше тонны азотной кислоты, то станет ясным, какую исключительно узкую сырьевую базу мы имели на начало пятилетки. К тому времени производственные мощности по пороху составляли 14,5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производственные мощности по ВВ насчитывали тогда (вместе с ам[миачной] селитрой) 24,84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(также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D8B0D5D" w14:textId="1A1B980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пороха на начало пятилетки было сосредоточено на следующих 4 заводах: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40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Ленина,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Казань с произв[одственными] мощн[остями]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пор[охам]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 пироксил[ину]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«Красный боевик»,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Тамбов по пор[охам]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 пироксил[ину]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0;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 Шостка, Украина по пор[охам]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 пироксил[ину]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Косякова, Московская обл. по пор[охам]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 пироксил[ину]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Кроме того, давали пироксилин: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Морозова, Ленинград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Охтинский, Ленинград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Это были, как видно из приводимых цифр, небольшие заводы (за исключением 40</w:t>
      </w:r>
      <w:r w:rsidRPr="00E93F40">
        <w:rPr>
          <w:rFonts w:ascii="Times New Roman" w:hAnsi="Times New Roman"/>
          <w:color w:val="000000" w:themeColor="text1"/>
          <w:sz w:val="16"/>
          <w:szCs w:val="16"/>
        </w:rPr>
        <w:noBreakHyphen/>
        <w:t>го), к тому же в большинстве лишенные кислотной базы, с изношенным оборудованием либо недостроенные («Красный боевик»).</w:t>
      </w:r>
    </w:p>
    <w:p w14:paraId="2A8C531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взрывчатых веществ было сосредоточено на следующих заводах:</w:t>
      </w:r>
    </w:p>
    <w:p w14:paraId="645D97CA" w14:textId="75A3EA3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80 Нижегор[одской] области с мощностью]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ксилолу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900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 тетрилу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 Самара, с мощн[остью] по тетрилу 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Кроме того, оба завода вместе располагали мощностями по тротилу в 9640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Славянский завод, Украина, с мощн[остью] по пикриновой кислоте в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Рубежанский завод, Украина, по динитронафталину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Сталинский, Украина, по ам[миачной] селитре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Петровского, Украина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ксилола.</w:t>
      </w:r>
    </w:p>
    <w:p w14:paraId="7594FDD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Ульяновский и Морозовский заводы давали динамит.</w:t>
      </w:r>
    </w:p>
    <w:p w14:paraId="6FDA282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Незначительный уровень производства порохов и ВВ создавал тогда угрожающее положение для дела обороны СССР. Выходы, которые находило во время империалистической войны царское правительство, импортируя огромное количество пороха и ВВ из-за границы и стреляя на ⅔ этим привозным порохом и ВВ, были повторно закрыты для нас. Нужно было создавать свое мощное взрывчатое и пороховое производство, опирающееся на свою внутреннюю сырьевую базу.</w:t>
      </w:r>
    </w:p>
    <w:p w14:paraId="1F43F388" w14:textId="49EB63D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этим на первое пятилетие были выдвинуты следующие основные задачи: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Количественный рост мощностей путем расширения существующих заводов и, особенно, путем привлечения к изготовлению ВВ и порохов гражданских предприятий.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Повышение использования основных фондов кадровой военной промышленности путем ассимиляции.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Расширение сырьевой базы порохов и ВВ и, прежде всего, развитие азотной промышленности.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Улучшение техники и технологии производства и качества изделий.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Накопление кадров и повышение производительности труда.</w:t>
      </w:r>
    </w:p>
    <w:p w14:paraId="0CE2704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w:t>
      </w:r>
    </w:p>
    <w:p w14:paraId="65F99B98" w14:textId="771146F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Задача увеличения мощностей разрешалась двумя путями: наращиванием мощностей существующих кадровых заводов и приспособлением гражданских предприятий к изготовлению ВВ и порохов. Второй путь считался основным, так как после опыта мировой войны очевидной истиной стало положение, что вести современную войну, базируясь на одной лишь только военной промышленности, невозможно. Основными показателями работы на первом пути являются: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размеры капитальных вложений в кадровые заводы;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рост основных фондов заводов;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рост мощностей кадровых заводов.</w:t>
      </w:r>
    </w:p>
    <w:p w14:paraId="33D30D95" w14:textId="687730F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Капитальные вложения по фактическому выполнению по кадровым заводам ВХО (включая снаряжательные) составляли: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64,8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особый квартал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(план). Этот непрерывно возраставший объем капитальных вложений привел к значительному росту основного капитала заводов. В целом по заводам ВХО основной капитал (основные фонды) составлял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сравнимых ценах):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006,9;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178,1;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185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242,1;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651,6;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293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873,9...¹*</w:t>
      </w:r>
    </w:p>
    <w:p w14:paraId="42BCCE2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мощности по порохам и ВВ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52"/>
        <w:gridCol w:w="1486"/>
        <w:gridCol w:w="2249"/>
        <w:gridCol w:w="1486"/>
        <w:gridCol w:w="2249"/>
      </w:tblGrid>
      <w:tr w:rsidR="00DA227A" w:rsidRPr="00E93F40" w14:paraId="26843008" w14:textId="77777777" w:rsidTr="00BC161D">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3E1492" w14:textId="651C1979"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8A813C8" w14:textId="54E4A09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0BCB53" w14:textId="0057F89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060E2895" w14:textId="77777777" w:rsidTr="00BC161D">
        <w:tc>
          <w:tcPr>
            <w:tcW w:w="0" w:type="auto"/>
            <w:vMerge/>
            <w:tcBorders>
              <w:top w:val="outset" w:sz="6" w:space="0" w:color="auto"/>
              <w:left w:val="outset" w:sz="6" w:space="0" w:color="auto"/>
              <w:bottom w:val="outset" w:sz="6" w:space="0" w:color="auto"/>
              <w:right w:val="outset" w:sz="6" w:space="0" w:color="auto"/>
            </w:tcBorders>
            <w:vAlign w:val="center"/>
            <w:hideMark/>
          </w:tcPr>
          <w:p w14:paraId="38336691" w14:textId="77777777" w:rsidR="00BC161D" w:rsidRPr="00E93F40" w:rsidRDefault="00BC161D"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F2A357" w14:textId="6AC35B7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1123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Граж[данская]</w:t>
            </w:r>
          </w:p>
          <w:p w14:paraId="1DD4275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4FA68" w14:textId="6553276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7598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Гражд[анская]</w:t>
            </w:r>
          </w:p>
          <w:p w14:paraId="3172395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Промышлен[ность]</w:t>
            </w:r>
          </w:p>
        </w:tc>
      </w:tr>
      <w:tr w:rsidR="00DA227A" w:rsidRPr="00E93F40" w14:paraId="5A51E4C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837802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CD99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5871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C97D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A9B3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7AC766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2C25E91" w14:textId="5102982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вместе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аммиачной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селитрой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2A3F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8F28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8800²*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DF16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32 560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3B32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72 300³*</w:t>
            </w:r>
          </w:p>
        </w:tc>
      </w:tr>
    </w:tbl>
    <w:p w14:paraId="4E46E65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большие сдвиги в этом направлении должны будут произойти в ближайшие годы, так как вступление в работу комбината «К», Клинской вискозной фабрики, Пермьволокностроя передвинет по порохам центр тяжести мощностей в гражданскую промышленность, а вступление мощностей Бобриков и Березников по мелиниту и ам[миачной] селитре еще больше повысит удельный вес гражданской промышленности в производстве ВВ.</w:t>
      </w:r>
    </w:p>
    <w:p w14:paraId="110090A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картина развития мощностей по годам пятилетки такова: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1"/>
        <w:gridCol w:w="988"/>
        <w:gridCol w:w="988"/>
        <w:gridCol w:w="1147"/>
        <w:gridCol w:w="912"/>
        <w:gridCol w:w="1147"/>
        <w:gridCol w:w="912"/>
        <w:gridCol w:w="1147"/>
        <w:gridCol w:w="912"/>
        <w:gridCol w:w="1147"/>
        <w:gridCol w:w="1221"/>
      </w:tblGrid>
      <w:tr w:rsidR="00DA227A" w:rsidRPr="00E93F40" w14:paraId="28D1204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DB9E461" w14:textId="15794DB3"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B404B" w14:textId="33D37AA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5C07" w14:textId="6D7BD47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D7022" w14:textId="78F09F8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Проценты к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377EE" w14:textId="50D85FA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CCC6B" w14:textId="3DC7070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Проценты к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AC803" w14:textId="048491D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7FC33" w14:textId="6FD5D0C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Проценты к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30AAA" w14:textId="7508E2F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D094E" w14:textId="5E9762F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Проценты к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ABE3D" w14:textId="2ADC6AC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Проценты к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75E3BA5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9CEF4E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6A1A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46C3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77C8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2048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406E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8D82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9380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6E83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75C0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1338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w:t>
            </w:r>
          </w:p>
        </w:tc>
      </w:tr>
      <w:tr w:rsidR="00DA227A" w:rsidRPr="00E93F40" w14:paraId="13C190C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C70305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C1F6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D6E1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425C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9B4C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852A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8912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4C0E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9724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47 860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1DA2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A9AC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302</w:t>
            </w:r>
          </w:p>
        </w:tc>
      </w:tr>
      <w:tr w:rsidR="00DA227A" w:rsidRPr="00E93F40" w14:paraId="31F457E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3DAED4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Аммиачная</w:t>
            </w:r>
          </w:p>
          <w:p w14:paraId="00CD298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52D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92B4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DA0F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659E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227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B6C3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2BE1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4335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2F53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5F99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w:t>
            </w:r>
          </w:p>
        </w:tc>
      </w:tr>
    </w:tbl>
    <w:p w14:paraId="05DC976E" w14:textId="3776376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этом необходимо учесть наличие потенциальных мощностей (в виде неоконченного строительства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которые будут входить как действующие в ближайшие годы, и в частности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Это существенно отличает положение с мощностями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 г, 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 потенциальных мощностей можно было бы отметить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мелинита на Бобриках,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вискозного пороха на Клинской фабрике,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ам[миачной] селитры на Бобриках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7AAA0304" w14:textId="5836F01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вопросом развития мощностей необходимо коснуться оценки капитального строительства. Капстроительство, помимо общеизвестного недостатка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дороговизны, страдало еще следующими двумя недостатками.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медленными темпами строительства и освоения новых производств и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некомплектностью строительства. В свое время вредители усиленно работали в отношении создания и углубления этих недостатков. Медленность темпов капстроительства может быть охарактеризована такими фактами, как затяжка строительства Бобриковского и Березниковского комбинатов, Березниковское строительство (первая очередь) шло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в то время как за границей такого рода строительство определяется продолжительностью 18</w:t>
      </w:r>
      <w:r w:rsidRPr="00E93F40">
        <w:rPr>
          <w:rFonts w:ascii="Times New Roman" w:hAnsi="Times New Roman"/>
          <w:color w:val="000000" w:themeColor="text1"/>
          <w:sz w:val="16"/>
          <w:szCs w:val="16"/>
        </w:rPr>
        <w:noBreakHyphen/>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 Пороховой завод «Красный боевик» за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достиг мощности в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против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 то время как во Франции в 1915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в Тулузии на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строили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 в Англии пороховой завод Грэтна на 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Медленные темпы строительства означали большое омертвление капиталов в виде сумм незавершенного строительства.</w:t>
      </w:r>
    </w:p>
    <w:p w14:paraId="6742A929" w14:textId="349D00B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Медленность освоения новых производств может быть показана на примере Рубежанского завода, который, построив производство ксилола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 сих пор еще не освоил его и предполагает достигнуть установленной мощности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только на 7</w:t>
      </w:r>
      <w:r w:rsidRPr="00E93F40">
        <w:rPr>
          <w:rFonts w:ascii="Times New Roman" w:hAnsi="Times New Roman"/>
          <w:color w:val="000000" w:themeColor="text1"/>
          <w:sz w:val="16"/>
          <w:szCs w:val="16"/>
        </w:rPr>
        <w:noBreakHyphen/>
        <w:t>м месяце войны. Этот же завод, поставив в 1930</w:t>
      </w:r>
      <w:r w:rsidRPr="00E93F40">
        <w:rPr>
          <w:rFonts w:ascii="Times New Roman" w:hAnsi="Times New Roman"/>
          <w:color w:val="000000" w:themeColor="text1"/>
          <w:sz w:val="16"/>
          <w:szCs w:val="16"/>
        </w:rPr>
        <w:noBreakHyphen/>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производство пикриновой кислоты мощностью на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 год, пустил его в эксплуатацию только во второй половине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только с октября будет достигнута мощность в 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да и то еще не вполне освоенной.</w:t>
      </w:r>
    </w:p>
    <w:p w14:paraId="03607BB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Характеристикой некомплектности строительства могут быть следующие данные.</w:t>
      </w:r>
    </w:p>
    <w:p w14:paraId="2776CB96" w14:textId="053BF86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Косякова в то время имел мощность по производственным аппаратам в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пороха, а по силовым установкам только 50% этой цифры.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 обеспечивал в то время свои мощности, исчисленные по оборудованию паром только на 80%, водой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50%, энергией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40%. Заводы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 40, «Красный боевик» также имели эти несоответствия.</w:t>
      </w:r>
    </w:p>
    <w:p w14:paraId="136D0480" w14:textId="19C94C5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данным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по заводу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 строительные работы по пироксилину показывают 40% готовности, в то время как по пороху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75%, а по пару и энергии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50%. По «Красному боевику» строительные работы по пироксилину и пороху дают 80</w:t>
      </w:r>
      <w:r w:rsidRPr="00E93F40">
        <w:rPr>
          <w:rFonts w:ascii="Times New Roman" w:hAnsi="Times New Roman"/>
          <w:color w:val="000000" w:themeColor="text1"/>
          <w:sz w:val="16"/>
          <w:szCs w:val="16"/>
        </w:rPr>
        <w:noBreakHyphen/>
        <w:t>90% готовности, а по пару и энергии только 25%.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Косякова по пироксилину по оборудованию дает 80% готовности, а по воде только 50%. Строительство тротила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 при готовности по пару и энергии на 90% имеет готовность по воде только на 50%. По заводу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80 обеспеченность водой тротилового производства составляет только 25% при готовности по другим объектам на 80%.</w:t>
      </w:r>
    </w:p>
    <w:p w14:paraId="58524F2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отмеченные недостатки капстроительства не устранены и по сие время. Однако можно отметить некоторое улучшение хода капстроительства по части освоения ассигнованных на капстроительство сумм. Об этом говорят данные выполнения плана капстроительства по заводам ВХО.</w:t>
      </w:r>
    </w:p>
    <w:p w14:paraId="68B39542" w14:textId="3BAB1C9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 плана капитального строительства (по ВХО),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21"/>
        <w:gridCol w:w="1378"/>
        <w:gridCol w:w="3211"/>
        <w:gridCol w:w="2612"/>
      </w:tblGrid>
      <w:tr w:rsidR="00DA227A" w:rsidRPr="00E93F40" w14:paraId="543A3F9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C71FC1D" w14:textId="4397AF24"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1B70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7873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B5CF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Проценты</w:t>
            </w:r>
          </w:p>
        </w:tc>
      </w:tr>
      <w:tr w:rsidR="00DA227A" w:rsidRPr="00E93F40" w14:paraId="1B77667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9A6E8E9" w14:textId="45A6322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2170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B107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438E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w:t>
            </w:r>
          </w:p>
        </w:tc>
      </w:tr>
      <w:tr w:rsidR="00DA227A" w:rsidRPr="00E93F40" w14:paraId="667B6FE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EA36CDA" w14:textId="7791534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3BDC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5AD8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DF8B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p>
        </w:tc>
      </w:tr>
      <w:tr w:rsidR="00DA227A" w:rsidRPr="00E93F40" w14:paraId="3A71E9E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881C31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Особый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5599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9C2D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5015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w:t>
            </w:r>
          </w:p>
        </w:tc>
      </w:tr>
      <w:tr w:rsidR="00DA227A" w:rsidRPr="00E93F40" w14:paraId="1A9784E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F28428D" w14:textId="012AB6D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DF51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F387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6C66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w:t>
            </w:r>
          </w:p>
        </w:tc>
      </w:tr>
      <w:tr w:rsidR="00DA227A" w:rsidRPr="00E93F40" w14:paraId="76A7637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1D2D0C3" w14:textId="5B83984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F94D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CF6C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537B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73/66</w:t>
            </w:r>
          </w:p>
        </w:tc>
      </w:tr>
    </w:tbl>
    <w:p w14:paraId="0EA07D7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видно из таблицы, процент выполнения плана несколько повысился (от 58</w:t>
      </w:r>
      <w:r w:rsidRPr="00E93F40">
        <w:rPr>
          <w:rFonts w:ascii="Times New Roman" w:hAnsi="Times New Roman"/>
          <w:color w:val="000000" w:themeColor="text1"/>
          <w:sz w:val="16"/>
          <w:szCs w:val="16"/>
        </w:rPr>
        <w:noBreakHyphen/>
        <w:t>57 до 81</w:t>
      </w:r>
      <w:r w:rsidRPr="00E93F40">
        <w:rPr>
          <w:rFonts w:ascii="Times New Roman" w:hAnsi="Times New Roman"/>
          <w:color w:val="000000" w:themeColor="text1"/>
          <w:sz w:val="16"/>
          <w:szCs w:val="16"/>
        </w:rPr>
        <w:noBreakHyphen/>
        <w:t>77%).</w:t>
      </w:r>
    </w:p>
    <w:p w14:paraId="3DFAFE8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III.</w:t>
      </w:r>
    </w:p>
    <w:p w14:paraId="61042E67" w14:textId="31B84B5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Использование основных фондов промышленности ВХО на начало пятилетки было крайне низким.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основного капитала военно-химическая промышленность выпускала 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продукции, в то время как вся хим[ическая] промышленность на тот же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основного капитала давала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продукции. Мощности по порохам винтовочным и орудийным были фактически загружены только на 15%. Это бездействие основных фондов означало не только лишние тяготы на народное хозяйство, но и отрицательно влияло на мобготовность самой военно-хим[ической| промышленности, поскольку режим ее работы резко отличался от режима военного времени, требовалось ограниченное количество рабсилы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w:t>
      </w:r>
    </w:p>
    <w:p w14:paraId="787514AF" w14:textId="10D00FB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годы пятилетки кадровая промышленность значительно подвинулась вперед в использовании основного капитала. Выпуск валовой продукции по годам пятилетки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составлял: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931;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007;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449;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243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322;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(план)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457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071. Выпуск продукции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основного капитала повысился следующим образом: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Однако это улучшение в использовании оборудования шло главным образом за счет роста заказов НКВМора. Это видно из следующих данных: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0"/>
        <w:gridCol w:w="929"/>
        <w:gridCol w:w="963"/>
        <w:gridCol w:w="929"/>
        <w:gridCol w:w="963"/>
        <w:gridCol w:w="651"/>
        <w:gridCol w:w="963"/>
        <w:gridCol w:w="724"/>
        <w:gridCol w:w="963"/>
        <w:gridCol w:w="724"/>
        <w:gridCol w:w="963"/>
      </w:tblGrid>
      <w:tr w:rsidR="00DA227A" w:rsidRPr="00E93F40" w14:paraId="1215F73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EA773A9" w14:textId="4455E4C4"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CFE6D" w14:textId="6B68679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961E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w:t>
            </w:r>
            <w:r w:rsidRPr="00E93F40">
              <w:rPr>
                <w:rFonts w:ascii="Times New Roman" w:hAnsi="Times New Roman"/>
                <w:color w:val="000000" w:themeColor="text1"/>
                <w:sz w:val="16"/>
                <w:szCs w:val="16"/>
              </w:rPr>
              <w:softHyphen/>
              <w:t>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CDD1D" w14:textId="225B031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B7C5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w:t>
            </w:r>
            <w:r w:rsidRPr="00E93F40">
              <w:rPr>
                <w:rFonts w:ascii="Times New Roman" w:hAnsi="Times New Roman"/>
                <w:color w:val="000000" w:themeColor="text1"/>
                <w:sz w:val="16"/>
                <w:szCs w:val="16"/>
              </w:rPr>
              <w:softHyphen/>
              <w:t>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E41DE" w14:textId="39B0D18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1ABE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w:t>
            </w:r>
            <w:r w:rsidRPr="00E93F40">
              <w:rPr>
                <w:rFonts w:ascii="Times New Roman" w:hAnsi="Times New Roman"/>
                <w:color w:val="000000" w:themeColor="text1"/>
                <w:sz w:val="16"/>
                <w:szCs w:val="16"/>
              </w:rPr>
              <w:softHyphen/>
              <w:t>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C96FB" w14:textId="27CFC44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901C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w:t>
            </w:r>
            <w:r w:rsidRPr="00E93F40">
              <w:rPr>
                <w:rFonts w:ascii="Times New Roman" w:hAnsi="Times New Roman"/>
                <w:color w:val="000000" w:themeColor="text1"/>
                <w:sz w:val="16"/>
                <w:szCs w:val="16"/>
              </w:rPr>
              <w:softHyphen/>
              <w:t>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562DD" w14:textId="6A28E47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EADF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w:t>
            </w:r>
            <w:r w:rsidRPr="00E93F40">
              <w:rPr>
                <w:rFonts w:ascii="Times New Roman" w:hAnsi="Times New Roman"/>
                <w:color w:val="000000" w:themeColor="text1"/>
                <w:sz w:val="16"/>
                <w:szCs w:val="16"/>
              </w:rPr>
              <w:softHyphen/>
              <w:t>центы</w:t>
            </w:r>
          </w:p>
        </w:tc>
      </w:tr>
      <w:tr w:rsidR="00DA227A" w:rsidRPr="00E93F40" w14:paraId="0AFE432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FB8C75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3A1A8" w14:textId="400A78F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D701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1F5D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55 530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086D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516D" w14:textId="53CE7FE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D975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CF28" w14:textId="628A50B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EF03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37BFF" w14:textId="0B26BB8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8E10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r>
      <w:tr w:rsidR="00DA227A" w:rsidRPr="00E93F40" w14:paraId="07B87D4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762248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10DB6" w14:textId="368A188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ECC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4BE6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52 831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9635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4C5FD" w14:textId="6FDEDED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C5C6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14E3A" w14:textId="5331586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3087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8D81B" w14:textId="3FCFBF6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76EF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w:t>
            </w:r>
          </w:p>
        </w:tc>
      </w:tr>
    </w:tbl>
    <w:p w14:paraId="4BA9EEB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порядочный абсолютный рост по удельному весу мирная продукция находится на том же уровне, что и в начале пятилетки. По характеру выпускаемой мирной продукции также не произошло никаких сколько-нибудь существенных изменений...⁶*</w:t>
      </w:r>
    </w:p>
    <w:p w14:paraId="5136F27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w:t>
      </w:r>
    </w:p>
    <w:p w14:paraId="440083DD" w14:textId="21C91FD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Рост химической промышленности привел к расширению сырьевой и полупродуктовой базы порохов и ВВ. По наиболее важному объекту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азоту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это расширение было особенно значительно. Производство аммиака (сиит[етического] вместе с ам[миачной] водой, в тоннах): 1927/28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2300;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2899;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5212;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417;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947;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p>
    <w:p w14:paraId="62CF9DCF" w14:textId="3A2A139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Сопоставляя в целом все возможное производство важнейших химпродуктов, идущих для изготовления порохов и ВВ, по 1928/29 и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(военным), получаем рост в 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69"/>
        <w:gridCol w:w="2813"/>
        <w:gridCol w:w="4630"/>
        <w:gridCol w:w="2310"/>
      </w:tblGrid>
      <w:tr w:rsidR="00DA227A" w:rsidRPr="00E93F40" w14:paraId="1AAA2F4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1E5F6F3" w14:textId="0433608A"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F9F9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1928/29 в[оенного]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96EF7" w14:textId="75E631C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1932 воен[ного] года (май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май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2EC25" w14:textId="7BDE4F3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процентах</w:t>
            </w:r>
          </w:p>
        </w:tc>
      </w:tr>
      <w:tr w:rsidR="00DA227A" w:rsidRPr="00E93F40" w14:paraId="46F0845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DE520A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22FF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6B7E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AC47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1230</w:t>
            </w:r>
          </w:p>
        </w:tc>
      </w:tr>
      <w:tr w:rsidR="00DA227A" w:rsidRPr="00E93F40" w14:paraId="3810D35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410E4E8" w14:textId="16C5DB9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Азот[ная]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A44B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AEF4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B607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920</w:t>
            </w:r>
          </w:p>
        </w:tc>
      </w:tr>
      <w:tr w:rsidR="00DA227A" w:rsidRPr="00E93F40" w14:paraId="61E5B86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888216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5FE6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D7FA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7C38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63A5CB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4E16DB7" w14:textId="1739C04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Ам[миачная]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AD4D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B09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9859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670</w:t>
            </w:r>
          </w:p>
        </w:tc>
      </w:tr>
      <w:tr w:rsidR="00DA227A" w:rsidRPr="00E93F40" w14:paraId="7532BB4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A88D6F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C550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661A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C3BE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w:t>
            </w:r>
          </w:p>
        </w:tc>
      </w:tr>
      <w:tr w:rsidR="00DA227A" w:rsidRPr="00E93F40" w14:paraId="57B7194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6483D2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Фенол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F0CC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9578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FA2D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410</w:t>
            </w:r>
          </w:p>
        </w:tc>
      </w:tr>
      <w:tr w:rsidR="00DA227A" w:rsidRPr="00E93F40" w14:paraId="51223A7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651865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Дифениламин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BB7B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4720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6478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2640</w:t>
            </w:r>
          </w:p>
        </w:tc>
      </w:tr>
      <w:tr w:rsidR="00DA227A" w:rsidRPr="00E93F40" w14:paraId="32AA1F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928D054" w14:textId="1EDD630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Диметил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анил[ина]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E0B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66B4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F757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2800</w:t>
            </w:r>
          </w:p>
        </w:tc>
      </w:tr>
      <w:tr w:rsidR="00DA227A" w:rsidRPr="00E93F40" w14:paraId="1FC5028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393304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FD2B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43FF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63C5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6BBFE57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3FE249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Ксилол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DCBB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DA4D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9B92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444</w:t>
            </w:r>
          </w:p>
        </w:tc>
      </w:tr>
      <w:tr w:rsidR="00DA227A" w:rsidRPr="00E93F40" w14:paraId="4C4F549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BD365E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8BD50" w14:textId="08CE7A7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467⁷*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3659A" w14:textId="3D84F52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840⁸*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D9FF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440</w:t>
            </w:r>
          </w:p>
        </w:tc>
      </w:tr>
    </w:tbl>
    <w:p w14:paraId="1A6E3BF2" w14:textId="1029154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больший рост получится, если мы сопоставим производство 1927/28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1932 мирного года. На основе такого роста химсырья несколько повысилось текущее снабжение военно-химических заводов. Это, несомненно, положительный факт, так как недоснабжение сырьем кадровых заводов было и пока еще остается тормозом в их развитии...⁹*</w:t>
      </w:r>
    </w:p>
    <w:p w14:paraId="11FE60C6" w14:textId="3EFFDD1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Отмечая небольшое улучшение снабжения, нужно вместе с тем со всей силой подчеркнуть, что отставание химпромышленности в выполнении своего пятилетнего плана имело последствием то, что и по настоящий момент главное условие мобготовности по порохам и ВВ (достаточная сырьевая база) является пока необеспеченным. В химпромышленности наиболее отсталым по выполнению плана является основная химия и искусственное волокно,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как раз те отрасли, которые считаются главной базой для производства порохов и ВВ. Внутри основной химии самым отсталым является азот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наиболее важный для нас продукт. В качестве справки об отставании химии можно привести следующие данные. При наметках на последний год пятилетки 1249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азотистых удобрений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ожидается получить всего только 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7% к плану. Основная химия даст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только 57,6%, а искусственное волокно 48,5% валовой продукции по отношению к первоначальным наметкам пятилетнего плана (вся химпромышленность должна дать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91,5% к своему плану, намеченному на последний год пятилетки).</w:t>
      </w:r>
    </w:p>
    <w:p w14:paraId="66D345B3" w14:textId="5AD62EB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Последствием отставания химпромышленности является, во-первых, ограниченное, неполное использование возможностей текущего производства кадровых заводов ввиду недоснабжения сырьем. Программа мирного года этих заводов ни в одном году не удовлетворялась на 100% сырьем. Недоснабжение вело к снятию ряда изделий с планов производства. Так,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программа мирной продукции была сокращена на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за счет снятия лакокрасочной продукции ввиду того, что заводы быв. Всехимпрома не дали растворителей. В 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из-за недостатка ам[миачной] селитры ВХО было вынуждено снять с программы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аммонала, сняло также около 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динамита. Как видно из приведенной выше таблицы, положение со снабжением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несколько улучшилось, но все же остается еще совершенно неудовлетворительным. Во-вторых, отставание означает узость сырьевой базы для военного года. По сравнению с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эта узость базы даже возросла. Причина здесь заключается в том, что требования военного года выросли гораздо больше, чем возможности производства в химпромышленности.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84"/>
        <w:gridCol w:w="3378"/>
        <w:gridCol w:w="1083"/>
        <w:gridCol w:w="3253"/>
        <w:gridCol w:w="1724"/>
      </w:tblGrid>
      <w:tr w:rsidR="00DA227A" w:rsidRPr="00E93F40" w14:paraId="0DCFC66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225BF97" w14:textId="18974886"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3DC5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1928/29 в[оенного]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909A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Мобзадание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4959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1932 воен[ного]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BFC6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Мобзадание МВ</w:t>
            </w:r>
            <w:r w:rsidRPr="00E93F40">
              <w:rPr>
                <w:rFonts w:ascii="Times New Roman" w:hAnsi="Times New Roman"/>
                <w:color w:val="000000" w:themeColor="text1"/>
                <w:sz w:val="16"/>
                <w:szCs w:val="16"/>
              </w:rPr>
              <w:noBreakHyphen/>
              <w:t>10</w:t>
            </w:r>
          </w:p>
        </w:tc>
      </w:tr>
      <w:tr w:rsidR="00DA227A" w:rsidRPr="00E93F40" w14:paraId="571C797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6FA368D" w14:textId="0C0AEFA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Азот[ная]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BABB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78C4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D894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89B5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285 500</w:t>
            </w:r>
          </w:p>
        </w:tc>
      </w:tr>
      <w:tr w:rsidR="00DA227A" w:rsidRPr="00E93F40" w14:paraId="6FEE780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A6D167B" w14:textId="6AD0061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Ам[миачная]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472B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2482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5C57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48DB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137 000</w:t>
            </w:r>
          </w:p>
        </w:tc>
      </w:tr>
      <w:tr w:rsidR="00DA227A" w:rsidRPr="00E93F40" w14:paraId="608894F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A7EB16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Фенол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7A92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4CD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A82A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2796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7168</w:t>
            </w:r>
          </w:p>
        </w:tc>
      </w:tr>
      <w:tr w:rsidR="00DA227A" w:rsidRPr="00E93F40" w14:paraId="07678F8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2C7060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EBC3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67DA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ECE4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B46C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17 800</w:t>
            </w:r>
          </w:p>
        </w:tc>
      </w:tr>
      <w:tr w:rsidR="00DA227A" w:rsidRPr="00E93F40" w14:paraId="38E1574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AFAB18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Ксилол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915F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0FC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33E2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4377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8250</w:t>
            </w:r>
          </w:p>
        </w:tc>
      </w:tr>
      <w:tr w:rsidR="00DA227A" w:rsidRPr="00E93F40" w14:paraId="0AB3A91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7DF1B3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3B23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8F2B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5728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6DF5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252 000</w:t>
            </w:r>
          </w:p>
        </w:tc>
      </w:tr>
    </w:tbl>
    <w:p w14:paraId="296B651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в военный год придется столкнуться по линии базы с огромными трудностями. Весь азот придется брать для военных надобностей, оставив сельское хозяйство без азотистых удобрений. Но и при этом мобзадание будет не покрыто. Кроме азота, наиболее «узкими» местами по базе являются ксилол, пикриновая кислота, толуол и лесохимические продукты. Это подтверждает и текущее удовлетворение сырьем военно-хим[ической] промышленности, номенклатура производства которой не отличается сейчас существенным образом от номенклатуры военного года. Слабое все еще развитие базы порохового и взрывчатого производства обуславливает собой и весьма высокий удельный вес военно-хим[ической] промышленности в балансе потребления химпродукции мирного года. В 1932 мирном году потребности одного быв. ВХО составляют по ам[миачной] воде 12%, по аммиаку 24% и азотной кислоте 51% ко всему производству. Учитывая, что исходным продуктом азотной кислоты является тот же аммиак и ам[миачная] вода, становится понятным, насколько велик в балансе удельный вес военно-хим[ической] промышленности, которая даже в мирное время берет больше 50% всего азота. Этот факт лишний раз подчеркивает низкий уровень нашей азотной промышленности. По производству азота мы пока отстаем от всех важнейших капиталистических стран, включая и Японию, отстаем даже от Польши, несмотря на рекордные темпы роста нашей азотной промышленности...¹⁰*</w:t>
      </w:r>
    </w:p>
    <w:p w14:paraId="18124654" w14:textId="33E2BE8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Общее положение с сырьевой базой на конец пятилетки необходимо формулировать следующим образом: в настоящий момент химпромышленность еще не готова к массовому питанию сырьем военных потребностей при современном удовлетворении минимальных мирных потребностей. Сырьевая база порохов и ВВ является сейчас слабейшим местом нашей мобготовности по порохам и ВВ, потому что, в конце концов, в случае войны нам будет гораздо легче создать дополнительные мощности по пороху и ВВ, чем по азоту, лесохимии, толуолу, ксилолу, фенолу,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широкому фронту химпромышленности, без которого нет комплектной подачи сырья, а следовательно, нет и готового изделия.</w:t>
      </w:r>
    </w:p>
    <w:p w14:paraId="1020BA9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w:t>
      </w:r>
    </w:p>
    <w:p w14:paraId="52A3F86B" w14:textId="1AF8572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области техники и технологии производства порохов и ВВ за годы первой пятилетки достигнуты незначительные успехи. К числу успехов нужно отнести разработку в опытном полузаводском масштабе новых мощных ВВ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тэна и гексогена, получение на полузаводской установке винтовочных и вискозных порохов, а также нитрошелковых винтовочных и пушечных порохов, освоение древ[есной] целлюлозы как основного сырья для получения пироксилина, выработку и применение в валовом масштабе незамерзающих и не чувствительных к прострелу пули динамитов, более широкое суррогатирование пороха (селитро-уг[ольные] добавки) и ВВ (ам[миачная] селитра). Кроме того, имеются отдельные достижения на заводах рационализаторского порядка (перевод прессов на электроэнергию, улавливание отходов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замена некоторых видов дефицитного сырья (калиевой селитры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синтетической натровой, глицерина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гликолем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д.). В целом же нынешнее состояние техники и технологии продолжает еще быть отсталым. Тезисы ВХНИИ, представленные в Сектор обороны, так оценивают нынешнее положение: «Военно-хим[ическая] промышленность лишь недавно вступила на путь реконструкции. Отсталость военно-химической технологии обуславливает большие производственные потери, малую производительность труда, длительность производственных циклов, высокую себестоимость при посредственном качестве продукции и дороговизне </w:t>
      </w:r>
      <w:r w:rsidRPr="00E93F40">
        <w:rPr>
          <w:rFonts w:ascii="Times New Roman" w:hAnsi="Times New Roman"/>
          <w:color w:val="000000" w:themeColor="text1"/>
          <w:sz w:val="16"/>
          <w:szCs w:val="16"/>
        </w:rPr>
        <w:lastRenderedPageBreak/>
        <w:t>капитального строительства». В частности, «пороховые заводы работают в настоящее время с чрезвычайными производственными потерями». Снижения норм расходуемого сырья за годы пятилетки почти не произошло. Данные по удельным нормам расхода основного сырья на единицу продукции показывают следующее: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40"/>
        <w:gridCol w:w="1994"/>
        <w:gridCol w:w="1113"/>
        <w:gridCol w:w="1113"/>
        <w:gridCol w:w="2462"/>
      </w:tblGrid>
      <w:tr w:rsidR="00DA227A" w:rsidRPr="00E93F40" w14:paraId="427F0D7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77E0379" w14:textId="1D4E758D"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83AA9" w14:textId="36FE390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г.¹¹*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F290E" w14:textId="60E273F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6D8C0" w14:textId="746A5C8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60F5A" w14:textId="3A70C7A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8D79BC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процентах</w:t>
            </w:r>
          </w:p>
        </w:tc>
      </w:tr>
      <w:tr w:rsidR="00DA227A" w:rsidRPr="00E93F40" w14:paraId="309EC763" w14:textId="77777777" w:rsidTr="00BC161D">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F34333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 ВЛ</w:t>
            </w:r>
          </w:p>
        </w:tc>
      </w:tr>
      <w:tr w:rsidR="00DA227A" w:rsidRPr="00E93F40" w14:paraId="26BBE1E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653F01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Спирт ректификат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750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B684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B44C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64D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98,3</w:t>
            </w:r>
          </w:p>
        </w:tc>
      </w:tr>
      <w:tr w:rsidR="00DA227A" w:rsidRPr="00E93F40" w14:paraId="3DC01C5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0D530A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Дифиниламин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9690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F78B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6639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7554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117,5</w:t>
            </w:r>
          </w:p>
        </w:tc>
      </w:tr>
      <w:tr w:rsidR="00DA227A" w:rsidRPr="00E93F40" w14:paraId="4BCD6D4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E0C771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Пироксилин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0C73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E62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5E14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F481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100,9</w:t>
            </w:r>
          </w:p>
        </w:tc>
      </w:tr>
      <w:tr w:rsidR="00DA227A" w:rsidRPr="00E93F40" w14:paraId="7BD0F2E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2E6FFB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Эфир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DA43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0BDE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2E39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133E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106,5</w:t>
            </w:r>
          </w:p>
        </w:tc>
      </w:tr>
      <w:tr w:rsidR="00DA227A" w:rsidRPr="00E93F40" w14:paraId="264A7279" w14:textId="77777777" w:rsidTr="00BC161D">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A03FE9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 передел[очный]</w:t>
            </w:r>
          </w:p>
        </w:tc>
      </w:tr>
      <w:tr w:rsidR="00DA227A" w:rsidRPr="00E93F40" w14:paraId="298AD86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116455B" w14:textId="62D1831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Спирт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ректиф[ицированный]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6CC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CFB6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F0C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6377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91,7</w:t>
            </w:r>
          </w:p>
        </w:tc>
      </w:tr>
      <w:tr w:rsidR="00DA227A" w:rsidRPr="00E93F40" w14:paraId="3801035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E9BB64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Дифиниламин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CFF7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03B4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E4F6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A23E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r>
      <w:tr w:rsidR="00DA227A" w:rsidRPr="00E93F40" w14:paraId="2994AF6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9E98B4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Эфир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FF90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084A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D42E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2C2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w:t>
            </w:r>
          </w:p>
        </w:tc>
      </w:tr>
      <w:tr w:rsidR="00DA227A" w:rsidRPr="00E93F40" w14:paraId="0A8C7CE0" w14:textId="77777777" w:rsidTr="00BC161D">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819382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Тротил</w:t>
            </w:r>
          </w:p>
        </w:tc>
      </w:tr>
      <w:tr w:rsidR="00DA227A" w:rsidRPr="00E93F40" w14:paraId="51EE4F3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A9F5A2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1FCD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D447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8F90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586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w:t>
            </w:r>
          </w:p>
        </w:tc>
      </w:tr>
      <w:tr w:rsidR="00DA227A" w:rsidRPr="00E93F40" w14:paraId="355A743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E6220B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Азот[ная]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D7C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DDC7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F4A1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97F0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99,8</w:t>
            </w:r>
          </w:p>
        </w:tc>
      </w:tr>
      <w:tr w:rsidR="00DA227A" w:rsidRPr="00E93F40" w14:paraId="12DE1F4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A28A7C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8B88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B36C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2660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3357,1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1420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w:t>
            </w:r>
          </w:p>
        </w:tc>
      </w:tr>
      <w:tr w:rsidR="00DA227A" w:rsidRPr="00E93F40" w14:paraId="3734ADA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E634E8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Серная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9239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6D2F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8EEE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105B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23,7</w:t>
            </w:r>
          </w:p>
        </w:tc>
      </w:tr>
      <w:tr w:rsidR="00DA227A" w:rsidRPr="00E93F40" w14:paraId="4548B1E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AF76CC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Спирт рект[ифицированный]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62C6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3026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F003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8B73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88,7</w:t>
            </w:r>
          </w:p>
        </w:tc>
      </w:tr>
      <w:tr w:rsidR="00DA227A" w:rsidRPr="00E93F40" w14:paraId="0CF621FD" w14:textId="77777777" w:rsidTr="00BC161D">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0DD183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 охотничий</w:t>
            </w:r>
          </w:p>
        </w:tc>
      </w:tr>
      <w:tr w:rsidR="00DA227A" w:rsidRPr="00E93F40" w14:paraId="5CD48D6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982A8F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Селитра кал[иевая]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206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844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1AF1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63B7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w:t>
            </w:r>
          </w:p>
        </w:tc>
      </w:tr>
      <w:tr w:rsidR="00DA227A" w:rsidRPr="00E93F40" w14:paraId="7EC5FD8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141EA0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C1C8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F6F4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C3FB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562A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100,5</w:t>
            </w:r>
          </w:p>
        </w:tc>
      </w:tr>
      <w:tr w:rsidR="00DA227A" w:rsidRPr="00E93F40" w14:paraId="28592BE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C9BF69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0C57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45DA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A312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B87E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bl>
    <w:p w14:paraId="7FF69409" w14:textId="247DFD8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 дают вместе с тем значительный процент брака. За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особый квартал из 9001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изготовленного пороха забракованными оказались 1242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13,8%.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нет сводных данных, но имеющиеся данные по всем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пороховым заводам показывают не менее значительный процент брака.</w:t>
      </w:r>
    </w:p>
    <w:p w14:paraId="319A09E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брака по заводам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03"/>
        <w:gridCol w:w="1699"/>
        <w:gridCol w:w="1529"/>
        <w:gridCol w:w="1390"/>
        <w:gridCol w:w="1501"/>
      </w:tblGrid>
      <w:tr w:rsidR="00DA227A" w:rsidRPr="00E93F40" w14:paraId="17E921A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D7B3E88" w14:textId="5861F437"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D027" w14:textId="1A3DDA5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065F9" w14:textId="4CC32F5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4DA6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B45D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«Красный</w:t>
            </w:r>
          </w:p>
          <w:p w14:paraId="0132E0D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боевик»</w:t>
            </w:r>
          </w:p>
        </w:tc>
      </w:tr>
      <w:tr w:rsidR="00DA227A" w:rsidRPr="00E93F40" w14:paraId="11B3EE1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5BCD351" w14:textId="2EC6F34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св[ежего]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пирокс[илина]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3B2F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66CE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D91D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0EBD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31,9</w:t>
            </w:r>
          </w:p>
        </w:tc>
      </w:tr>
      <w:tr w:rsidR="00DA227A" w:rsidRPr="00E93F40" w14:paraId="146A223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EC2E764" w14:textId="7387CD9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переделочн[ые]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3AFC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B7E4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9000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1EA6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25,3</w:t>
            </w:r>
          </w:p>
        </w:tc>
      </w:tr>
    </w:tbl>
    <w:p w14:paraId="46AEBB85" w14:textId="6C69E06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Причины брака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отклонениях от кондиций по стойкости, весу заряда, соотношению скоростей и давления, однообразию действия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Отмечая эти недостатки и незначительные успехи в деле улучшения техники и технологии производства, нужно указать на то, что в результате роста химпромышленности и разворота в последние годы научно-исследовательской работы мы подошли вплотную к целому комплексу новых технических и технологических проблем, полное решение которых падает на ближайшие годы второй пятилетки. Сюда относится, прежде всего, получение порохов на базе искусственного волокна. Заканчивая приспособление Клинской вискозной фабрики под пороха и ведя строительство Пермского комбината искусственного волокна, мы тем самым приступаем к освоению широких промышленных масштабов производства пороха на основе искусственного волокна. Сокращение сроков пускового периода и овладение техникой этого нового в СССР производства потребует особого внимания. Разрешив эту задачу, мы тем самым вовлекаем в сферу производства порохов новую отрасль промышленности, в мирных условиях могущую полностью работать на нужды народного хозяйства.</w:t>
      </w:r>
    </w:p>
    <w:p w14:paraId="385CB19D" w14:textId="66C3A64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отношении ВВ перед промышленностью вплотную стоит задача освоения в производстве новых ВВ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тэна и герцогена (Карповский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80), освоение в широких масштабах мелинита (на Бобриках и Березниках), освоение проектирующегося по новому итальянскому методу производства тротила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Все это настоятельно требует широкого развития научно-технической опытной работы, подготовки технических кадров и широкого развития химического машиностроения. В частности, химмашиностроение является непременным условием осуществления той технической реконструкции, в которую вплотную вступает наша военно-химическая промышленность. До сих пор наше химическое машиностроение является слабейшим участком машиностроительного фронта. Здесь пока велика зависимость от импорта. Следующая таблица характеризует это.</w:t>
      </w:r>
    </w:p>
    <w:p w14:paraId="571694C6" w14:textId="0FA375A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Удовлетворение потребности химической аппаратуры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16"/>
        <w:gridCol w:w="1279"/>
        <w:gridCol w:w="2527"/>
      </w:tblGrid>
      <w:tr w:rsidR="00DA227A" w:rsidRPr="00E93F40" w14:paraId="59538DF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8564760" w14:textId="56958D00"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CE060" w14:textId="71D42E4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8AD0C" w14:textId="40186CA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(план)</w:t>
            </w:r>
          </w:p>
        </w:tc>
      </w:tr>
      <w:tr w:rsidR="00DA227A" w:rsidRPr="00E93F40" w14:paraId="075827C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579DFB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88F6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147B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151,5</w:t>
            </w:r>
          </w:p>
        </w:tc>
      </w:tr>
      <w:tr w:rsidR="00DA227A" w:rsidRPr="00E93F40" w14:paraId="44E5277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BFA7B9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импорта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3631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C1A2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86,5</w:t>
            </w:r>
          </w:p>
        </w:tc>
      </w:tr>
      <w:tr w:rsidR="00DA227A" w:rsidRPr="00E93F40" w14:paraId="0413E13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628928B" w14:textId="5C0A422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счет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произв[одства]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нашими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B7C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A6DD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w:t>
            </w:r>
          </w:p>
        </w:tc>
      </w:tr>
    </w:tbl>
    <w:p w14:paraId="09B4B3BC" w14:textId="04760A8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меньшее значение имеет развитие производства энергооборудования, которое за годы пятилетки очень значительно лимитировало оборонное химическое строительство, сплошь и рядом лимитировало еще больше, чем химаппаратура. Решение XVII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партконференции о развитии машиностроения во второй пятилетке в 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раза создает предпосылки для полного разрешения задач технической реконструкции в[оенной] химпромышленности.</w:t>
      </w:r>
    </w:p>
    <w:p w14:paraId="745FED3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w:t>
      </w:r>
    </w:p>
    <w:p w14:paraId="1F1C407B" w14:textId="1513165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специальной оборонной промышленности задача организации труда в широком смысле этого слова имеет значение не меньшее, а большее, чем в гражданской промышленности. Причина в том, что военная промышленность еще в мирное время по темпам своего производства должна приближаться к военным условиям, добиться высокой производительности труда и экономии материалов. Именно в этих интересах по отношению к военной промышленности проводится особая политика цен. Кроме того, для военной промышленности крайне важным является накопление и закрепление опытных кадров и широкое техническое обучение рабочих, учитывая необходимость ее развертывания во время войны. Переходя к результатам работы по выполнению этих задач, необходимо прежде всего отметить весьма значительный рост числа рабочих по кадровым заводам ВХО. При росте основного капитала завода в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раза число рабочих увеличилось в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04"/>
        <w:gridCol w:w="598"/>
        <w:gridCol w:w="858"/>
        <w:gridCol w:w="657"/>
        <w:gridCol w:w="858"/>
        <w:gridCol w:w="657"/>
        <w:gridCol w:w="858"/>
        <w:gridCol w:w="657"/>
        <w:gridCol w:w="858"/>
        <w:gridCol w:w="1217"/>
      </w:tblGrid>
      <w:tr w:rsidR="00DA227A" w:rsidRPr="00E93F40" w14:paraId="6D200981" w14:textId="77777777" w:rsidTr="00BC161D">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E27EEF" w14:textId="5E0EE36C"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2C5EE8" w14:textId="79D1583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41BA15" w14:textId="674F10D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8C7C43" w14:textId="15B7E11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87FEDD" w14:textId="6C229E9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E494D1C" w14:textId="3ABA949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план</w:t>
            </w:r>
          </w:p>
        </w:tc>
      </w:tr>
      <w:tr w:rsidR="00DA227A" w:rsidRPr="00E93F40" w14:paraId="2B0917DB" w14:textId="77777777" w:rsidTr="00BC161D">
        <w:tc>
          <w:tcPr>
            <w:tcW w:w="0" w:type="auto"/>
            <w:vMerge/>
            <w:tcBorders>
              <w:top w:val="outset" w:sz="6" w:space="0" w:color="auto"/>
              <w:left w:val="outset" w:sz="6" w:space="0" w:color="auto"/>
              <w:bottom w:val="outset" w:sz="6" w:space="0" w:color="auto"/>
              <w:right w:val="outset" w:sz="6" w:space="0" w:color="auto"/>
            </w:tcBorders>
            <w:vAlign w:val="center"/>
            <w:hideMark/>
          </w:tcPr>
          <w:p w14:paraId="01198E02" w14:textId="77777777" w:rsidR="00BC161D" w:rsidRPr="00E93F40" w:rsidRDefault="00BC161D" w:rsidP="00E93F4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6984D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9389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p>
          <w:p w14:paraId="6D9BF48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0E7C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8F6E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p>
          <w:p w14:paraId="4CB45FB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9F0D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9226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p>
          <w:p w14:paraId="1919890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AD9E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6AFF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w:t>
            </w:r>
          </w:p>
          <w:p w14:paraId="004954E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[ически]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4BB26F" w14:textId="77777777" w:rsidR="00BC161D" w:rsidRPr="00E93F40" w:rsidRDefault="00BC161D" w:rsidP="00E93F40">
            <w:pPr>
              <w:spacing w:after="0" w:line="240" w:lineRule="auto"/>
              <w:jc w:val="both"/>
              <w:rPr>
                <w:rFonts w:ascii="Times New Roman" w:hAnsi="Times New Roman"/>
                <w:color w:val="000000" w:themeColor="text1"/>
                <w:sz w:val="16"/>
                <w:szCs w:val="16"/>
              </w:rPr>
            </w:pPr>
          </w:p>
        </w:tc>
      </w:tr>
      <w:tr w:rsidR="00DA227A" w:rsidRPr="00E93F40" w14:paraId="0578634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6E4F200" w14:textId="14C2B9F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рабочих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основ[ного]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4B3F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87C31" w14:textId="76A37DF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15ADD" w14:textId="6662245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79BD0" w14:textId="0027131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15801" w14:textId="7785785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9BEE3" w14:textId="422AF9E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CB77F" w14:textId="2BF593A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87A56" w14:textId="1F8C83E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A25C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43 900</w:t>
            </w:r>
          </w:p>
        </w:tc>
      </w:tr>
      <w:tr w:rsidR="00DA227A" w:rsidRPr="00E93F40" w14:paraId="224AA62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684F9F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6B03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39B2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316B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EFC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E615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9269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A3C7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F1B6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B9E7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3100</w:t>
            </w:r>
          </w:p>
        </w:tc>
      </w:tr>
    </w:tbl>
    <w:p w14:paraId="24D5E49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как видно из таблицы, обеспеченность рабсилой была все время выше плана. Это неизбежно влекло за собой перерасходы в фонде зарплаты и являлось большим минусом в работе военно-химической промышленности. Фонд зарплаты по плану и отчету составлял:</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46"/>
        <w:gridCol w:w="2096"/>
        <w:gridCol w:w="2096"/>
        <w:gridCol w:w="1757"/>
        <w:gridCol w:w="1757"/>
        <w:gridCol w:w="1470"/>
      </w:tblGrid>
      <w:tr w:rsidR="00DA227A" w:rsidRPr="00E93F40" w14:paraId="013BAFF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CB033D3" w14:textId="387D3705"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108DB" w14:textId="4A66EF4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DA647" w14:textId="5106614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0E124" w14:textId="3DD0288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9D268" w14:textId="47CF89A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9BFB0" w14:textId="689639C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24CF66B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9DA2ED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47421" w14:textId="4293CD5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802DC" w14:textId="4D9DA3C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288E9" w14:textId="3033026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B4E6D" w14:textId="42C33E3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C8822" w14:textId="60B1083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843</w:t>
            </w:r>
          </w:p>
        </w:tc>
      </w:tr>
      <w:tr w:rsidR="00DA227A" w:rsidRPr="00E93F40" w14:paraId="02F27D0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3A3E5E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69E17" w14:textId="52CF4D2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B986B" w14:textId="48FAB1F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32653" w14:textId="58587D9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22CBF" w14:textId="597596D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B791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bl>
    <w:p w14:paraId="2BB2EBE1" w14:textId="081F530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Обеспеченность заводов инженерно-техническим персоналом резко повысилась. Число ИТР: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1238,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1595,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2715,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(план)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3800. Для 1930 и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этот состав ИТР по квалификации распределялся:</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06"/>
        <w:gridCol w:w="1158"/>
        <w:gridCol w:w="1158"/>
      </w:tblGrid>
      <w:tr w:rsidR="00DA227A" w:rsidRPr="00E93F40" w14:paraId="1BFC4E1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A0FE006" w14:textId="45F57DE1"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0306" w14:textId="53370A7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AC38A" w14:textId="619CAB7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63D6BD0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94D853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Инженеров со спец[иальным] высшим обр[азованием]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CE1F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620D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497</w:t>
            </w:r>
          </w:p>
        </w:tc>
      </w:tr>
      <w:tr w:rsidR="00DA227A" w:rsidRPr="00E93F40" w14:paraId="407075E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01ECF7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Инженеров-практиков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925B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8235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314</w:t>
            </w:r>
          </w:p>
        </w:tc>
      </w:tr>
      <w:tr w:rsidR="00DA227A" w:rsidRPr="00E93F40" w14:paraId="225807E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567184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Техников со средним образов[анием]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AFF9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CD6C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447</w:t>
            </w:r>
          </w:p>
        </w:tc>
      </w:tr>
      <w:tr w:rsidR="00DA227A" w:rsidRPr="00E93F40" w14:paraId="50C7B5B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633F59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Техников-практиков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0B4E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9247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1429</w:t>
            </w:r>
          </w:p>
        </w:tc>
      </w:tr>
    </w:tbl>
    <w:p w14:paraId="18928C24" w14:textId="51781F8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Техническая учеба рабочих была развернута бурными темпами. Так, количество учащихся в школах ФЗУ составляло: в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780, 1930/31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1400,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4145. По остальным видам учебной сети, поданным за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1930/31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количество учащихся насчитывало: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46"/>
        <w:gridCol w:w="2138"/>
        <w:gridCol w:w="2138"/>
      </w:tblGrid>
      <w:tr w:rsidR="00DA227A" w:rsidRPr="00E93F40" w14:paraId="0AA8340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916FB13" w14:textId="112B3EF2"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AD202" w14:textId="6924043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762DA" w14:textId="10ABD9E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75A0B33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1E049B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ЦУМТ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615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7979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r>
      <w:tr w:rsidR="00DA227A" w:rsidRPr="00E93F40" w14:paraId="395EE54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108E40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0DBA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759D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r>
      <w:tr w:rsidR="00DA227A" w:rsidRPr="00E93F40" w14:paraId="205C206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88E898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Шост[кинский] институт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F6E8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0843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707</w:t>
            </w:r>
          </w:p>
        </w:tc>
      </w:tr>
      <w:tr w:rsidR="00DA227A" w:rsidRPr="00E93F40" w14:paraId="353921C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9539F4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Шост[кинский] техникум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33A4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0299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w:t>
            </w:r>
          </w:p>
        </w:tc>
      </w:tr>
      <w:tr w:rsidR="00DA227A" w:rsidRPr="00E93F40" w14:paraId="5060DA9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BD0F26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Дзержин[ский] институт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F6A7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3975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367</w:t>
            </w:r>
          </w:p>
        </w:tc>
      </w:tr>
      <w:tr w:rsidR="00DA227A" w:rsidRPr="00E93F40" w14:paraId="767797E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EAE965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Чапаев[ский] институт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B6C5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8176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w:t>
            </w:r>
          </w:p>
        </w:tc>
      </w:tr>
      <w:tr w:rsidR="00DA227A" w:rsidRPr="00E93F40" w14:paraId="7C43A65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50C251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Веч[ерние] курсы и техник[умы]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7634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8940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475</w:t>
            </w:r>
          </w:p>
        </w:tc>
      </w:tr>
    </w:tbl>
    <w:p w14:paraId="4A510A42" w14:textId="3630D22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наличии всех этих достижений по росту и подготовке кадров планы по производительности труда и снижению себестоимости не выполняли систематически и значительно. Среднегодовая выработка на одного рабочего по плану и фактически в ценах 1926/27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составляла: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31"/>
        <w:gridCol w:w="2069"/>
        <w:gridCol w:w="2069"/>
        <w:gridCol w:w="1451"/>
        <w:gridCol w:w="1451"/>
        <w:gridCol w:w="1451"/>
      </w:tblGrid>
      <w:tr w:rsidR="00DA227A" w:rsidRPr="00E93F40" w14:paraId="2621734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20357BA" w14:textId="558F6C74"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93490" w14:textId="1539760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268C8" w14:textId="0907387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A8CDD" w14:textId="1534CB2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AA358" w14:textId="66FEFB3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9557C" w14:textId="0329DD8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7A5A733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C4F4C1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7198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A02D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AD21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963E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9DE85" w14:textId="415EBFC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400</w:t>
            </w:r>
          </w:p>
        </w:tc>
      </w:tr>
      <w:tr w:rsidR="00DA227A" w:rsidRPr="00E93F40" w14:paraId="408394B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B043D6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4B2F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3AFF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33E2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4FFE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A9D5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bl>
    <w:p w14:paraId="12EDC0A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Снижение себестоимости по плану и фактически проходило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48"/>
        <w:gridCol w:w="2373"/>
        <w:gridCol w:w="2373"/>
        <w:gridCol w:w="1664"/>
        <w:gridCol w:w="1664"/>
      </w:tblGrid>
      <w:tr w:rsidR="00DA227A" w:rsidRPr="00E93F40" w14:paraId="122BE20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60362D0" w14:textId="425D23E0"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2913E" w14:textId="5C15CF4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ABC89" w14:textId="3C1BC80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F926A" w14:textId="7C7956D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09A4A" w14:textId="1FEDC14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7CB4BAF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88BC60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96C1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55F6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9446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25C1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r>
      <w:tr w:rsidR="00DA227A" w:rsidRPr="00E93F40" w14:paraId="5A02550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C76A93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6A86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84AB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6541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611B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bl>
    <w:p w14:paraId="268596B6" w14:textId="0F9F9C4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...¹²* Снижение себестоимости и поднятие производительности труда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эти два показателя тесным образом связаны между собой. Главная причина невыполнения планов по этим показателям коренится, несомненно, в недостатках самой военно-химической промышленности. Недостатки в организации труда, отмеченные для всей промышленности,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обезличка, уравниловка, текучесть рабочей силы, недостатки хозяйственного и технического руководства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имели и имеют еще место и в военно-химической промышленности. Обращает на себя внимание большая текучесть рабсилы. В целом по объединению процент сменившихся за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составлял 138,1% и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114% ко всему составу рабочих.</w:t>
      </w:r>
    </w:p>
    <w:p w14:paraId="6DF3866D" w14:textId="44D3B69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причинами этого ВХО считает: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слабую постановку техники безопасности и охраны труда; 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переход в отрасли с более высоким уровнем зарплаты;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неудовлетворительное жилищное положение и 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недостатки снабжения. Охват разными формами сдельной оплаты составлял в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40%,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49,7% и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должен подняться до 70%. В соцсоревновании участвовало в особом квартале 52% всех рабочих,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54,7%.</w:t>
      </w:r>
    </w:p>
    <w:p w14:paraId="3278FA49" w14:textId="31FC954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вывод можно сделать следующий: организация труда на кадровых заводах Вохимтреста является одним из самых слабых и запущенных участков. Некоторое улучшение за последние два года в сокращении текучести, росте сдельщины, охвате соцсоревнованием нашли пока очень слабое выражение в повышении выполнения плана производительности труда. А по снижению себестоимости нет еще никакого перелома. Результатом прежде всего роста себестоимости являются огромные убытки ВХО, которые за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составили 9049,5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6626919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VII.</w:t>
      </w:r>
    </w:p>
    <w:p w14:paraId="70AB59B7" w14:textId="77777777"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В заключение остановимся на основных итогах пятилетки:</w:t>
      </w:r>
    </w:p>
    <w:p w14:paraId="789DACD9" w14:textId="5079F301"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1.</w:t>
      </w:r>
      <w:r w:rsidR="007C1411" w:rsidRPr="00E93F40">
        <w:rPr>
          <w:color w:val="000000" w:themeColor="text1"/>
          <w:sz w:val="16"/>
          <w:szCs w:val="16"/>
        </w:rPr>
        <w:t xml:space="preserve"> </w:t>
      </w:r>
      <w:r w:rsidRPr="00E93F40">
        <w:rPr>
          <w:color w:val="000000" w:themeColor="text1"/>
          <w:sz w:val="16"/>
          <w:szCs w:val="16"/>
        </w:rPr>
        <w:t>Достижением первой пятилетки является, прежде всего, значительный рост мощностей и расширение сырьевой базы. Производство пороха доведено на 1</w:t>
      </w:r>
      <w:r w:rsidR="007C1411" w:rsidRPr="00E93F40">
        <w:rPr>
          <w:color w:val="000000" w:themeColor="text1"/>
          <w:sz w:val="16"/>
          <w:szCs w:val="16"/>
        </w:rPr>
        <w:t xml:space="preserve"> </w:t>
      </w:r>
      <w:r w:rsidRPr="00E93F40">
        <w:rPr>
          <w:color w:val="000000" w:themeColor="text1"/>
          <w:sz w:val="16"/>
          <w:szCs w:val="16"/>
        </w:rPr>
        <w:t>января 1933</w:t>
      </w:r>
      <w:r w:rsidR="007C1411" w:rsidRPr="00E93F40">
        <w:rPr>
          <w:color w:val="000000" w:themeColor="text1"/>
          <w:sz w:val="16"/>
          <w:szCs w:val="16"/>
        </w:rPr>
        <w:t xml:space="preserve"> </w:t>
      </w:r>
      <w:r w:rsidRPr="00E93F40">
        <w:rPr>
          <w:color w:val="000000" w:themeColor="text1"/>
          <w:sz w:val="16"/>
          <w:szCs w:val="16"/>
        </w:rPr>
        <w:t>г.¹³* до 41,3</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против 14,5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 Производство ВВ доведено до 47,86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на 1</w:t>
      </w:r>
      <w:r w:rsidR="007C1411" w:rsidRPr="00E93F40">
        <w:rPr>
          <w:color w:val="000000" w:themeColor="text1"/>
          <w:sz w:val="16"/>
          <w:szCs w:val="16"/>
        </w:rPr>
        <w:t xml:space="preserve"> </w:t>
      </w:r>
      <w:r w:rsidRPr="00E93F40">
        <w:rPr>
          <w:color w:val="000000" w:themeColor="text1"/>
          <w:sz w:val="16"/>
          <w:szCs w:val="16"/>
        </w:rPr>
        <w:t>января 1933</w:t>
      </w:r>
      <w:r w:rsidR="007C1411" w:rsidRPr="00E93F40">
        <w:rPr>
          <w:color w:val="000000" w:themeColor="text1"/>
          <w:sz w:val="16"/>
          <w:szCs w:val="16"/>
        </w:rPr>
        <w:t xml:space="preserve"> </w:t>
      </w:r>
      <w:r w:rsidRPr="00E93F40">
        <w:rPr>
          <w:color w:val="000000" w:themeColor="text1"/>
          <w:sz w:val="16"/>
          <w:szCs w:val="16"/>
        </w:rPr>
        <w:t>г. против 15,84</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на 1</w:t>
      </w:r>
      <w:r w:rsidR="007C1411" w:rsidRPr="00E93F40">
        <w:rPr>
          <w:color w:val="000000" w:themeColor="text1"/>
          <w:sz w:val="16"/>
          <w:szCs w:val="16"/>
        </w:rPr>
        <w:t xml:space="preserve"> </w:t>
      </w:r>
      <w:r w:rsidRPr="00E93F40">
        <w:rPr>
          <w:color w:val="000000" w:themeColor="text1"/>
          <w:sz w:val="16"/>
          <w:szCs w:val="16"/>
        </w:rPr>
        <w:t>октября 1928</w:t>
      </w:r>
      <w:r w:rsidR="007C1411" w:rsidRPr="00E93F40">
        <w:rPr>
          <w:color w:val="000000" w:themeColor="text1"/>
          <w:sz w:val="16"/>
          <w:szCs w:val="16"/>
        </w:rPr>
        <w:t xml:space="preserve"> </w:t>
      </w:r>
      <w:r w:rsidRPr="00E93F40">
        <w:rPr>
          <w:color w:val="000000" w:themeColor="text1"/>
          <w:sz w:val="16"/>
          <w:szCs w:val="16"/>
        </w:rPr>
        <w:t>г.¹⁴* Кроме того, мощности по аммиачной селитре подняты с 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до 57</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Добыча азота выросла с 2,5</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до 50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Эти мощности не только выше в несколько раз тех, которые имела царская Россия в лучшие для нее годы империалистической войны, но превосходят также мощности, с которыми некоторые передовые капиталистические страны вступали в войну 1914</w:t>
      </w:r>
      <w:r w:rsidRPr="00E93F40">
        <w:rPr>
          <w:color w:val="000000" w:themeColor="text1"/>
          <w:sz w:val="16"/>
          <w:szCs w:val="16"/>
        </w:rPr>
        <w:noBreakHyphen/>
        <w:t>1917</w:t>
      </w:r>
      <w:r w:rsidR="007C1411" w:rsidRPr="00E93F40">
        <w:rPr>
          <w:color w:val="000000" w:themeColor="text1"/>
          <w:sz w:val="16"/>
          <w:szCs w:val="16"/>
        </w:rPr>
        <w:t xml:space="preserve"> </w:t>
      </w:r>
      <w:r w:rsidRPr="00E93F40">
        <w:rPr>
          <w:color w:val="000000" w:themeColor="text1"/>
          <w:sz w:val="16"/>
          <w:szCs w:val="16"/>
        </w:rPr>
        <w:t>гг. (Германия в 1915</w:t>
      </w:r>
      <w:r w:rsidR="007C1411" w:rsidRPr="00E93F40">
        <w:rPr>
          <w:color w:val="000000" w:themeColor="text1"/>
          <w:sz w:val="16"/>
          <w:szCs w:val="16"/>
        </w:rPr>
        <w:t xml:space="preserve"> </w:t>
      </w:r>
      <w:r w:rsidRPr="00E93F40">
        <w:rPr>
          <w:color w:val="000000" w:themeColor="text1"/>
          <w:sz w:val="16"/>
          <w:szCs w:val="16"/>
        </w:rPr>
        <w:t>г. выработала всего 36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пороха).</w:t>
      </w:r>
    </w:p>
    <w:p w14:paraId="53FD0C46" w14:textId="60567A2F"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2.</w:t>
      </w:r>
      <w:r w:rsidR="007C1411" w:rsidRPr="00E93F40">
        <w:rPr>
          <w:color w:val="000000" w:themeColor="text1"/>
          <w:sz w:val="16"/>
          <w:szCs w:val="16"/>
        </w:rPr>
        <w:t xml:space="preserve"> </w:t>
      </w:r>
      <w:r w:rsidRPr="00E93F40">
        <w:rPr>
          <w:color w:val="000000" w:themeColor="text1"/>
          <w:sz w:val="16"/>
          <w:szCs w:val="16"/>
        </w:rPr>
        <w:t>За годы первой пятилетки изменился сам облик военно-химической промышленности. Мелкие по мощностям пороховые взрывчатые кадровые заводы превратились в основном в мощные оборудованные заводы. Вместе с тем к производству порохов и ВВ привлечена целая очередь крупных гражданских предприятий, которые начинают играть в производстве ВВ и порохов большую роль.</w:t>
      </w:r>
    </w:p>
    <w:p w14:paraId="2DCCB49E" w14:textId="69DFE228"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3.</w:t>
      </w:r>
      <w:r w:rsidR="007C1411" w:rsidRPr="00E93F40">
        <w:rPr>
          <w:color w:val="000000" w:themeColor="text1"/>
          <w:sz w:val="16"/>
          <w:szCs w:val="16"/>
        </w:rPr>
        <w:t xml:space="preserve"> </w:t>
      </w:r>
      <w:r w:rsidRPr="00E93F40">
        <w:rPr>
          <w:color w:val="000000" w:themeColor="text1"/>
          <w:sz w:val="16"/>
          <w:szCs w:val="16"/>
        </w:rPr>
        <w:t>В результате опытной научно-исследовательской работы мы подошли вплотную к освоению новых видов порохов и ВВ, а также к освоению новых методов производства. Разрешение этих задач в совокупности будет означать ликвидацию нашей отсталости в области техники и технологии производства от передовых капиталистических стран.</w:t>
      </w:r>
    </w:p>
    <w:p w14:paraId="2139ED6A" w14:textId="4954CDC4"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4.</w:t>
      </w:r>
      <w:r w:rsidR="007C1411" w:rsidRPr="00E93F40">
        <w:rPr>
          <w:color w:val="000000" w:themeColor="text1"/>
          <w:sz w:val="16"/>
          <w:szCs w:val="16"/>
        </w:rPr>
        <w:t xml:space="preserve"> </w:t>
      </w:r>
      <w:r w:rsidRPr="00E93F40">
        <w:rPr>
          <w:color w:val="000000" w:themeColor="text1"/>
          <w:sz w:val="16"/>
          <w:szCs w:val="16"/>
        </w:rPr>
        <w:t>Достигнуты большие успехи в области накопления и подготовки кадров.</w:t>
      </w:r>
    </w:p>
    <w:p w14:paraId="4655B115" w14:textId="72AC4BB9"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Сделаны крупнейшие и решающие шаги в отношении освобождения от импортной зависимости. Показателем этого является справка об импорте по быв. ВХО. Было импортировано: 1929/30</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7</w:t>
      </w:r>
      <w:r w:rsidR="007C1411" w:rsidRPr="00E93F40">
        <w:rPr>
          <w:color w:val="000000" w:themeColor="text1"/>
          <w:sz w:val="16"/>
          <w:szCs w:val="16"/>
        </w:rPr>
        <w:t xml:space="preserve"> </w:t>
      </w:r>
      <w:r w:rsidRPr="00E93F40">
        <w:rPr>
          <w:color w:val="000000" w:themeColor="text1"/>
          <w:sz w:val="16"/>
          <w:szCs w:val="16"/>
        </w:rPr>
        <w:t>658</w:t>
      </w:r>
      <w:r w:rsidR="007C1411" w:rsidRPr="00E93F40">
        <w:rPr>
          <w:color w:val="000000" w:themeColor="text1"/>
          <w:sz w:val="16"/>
          <w:szCs w:val="16"/>
        </w:rPr>
        <w:t xml:space="preserve"> </w:t>
      </w:r>
      <w:r w:rsidRPr="00E93F40">
        <w:rPr>
          <w:color w:val="000000" w:themeColor="text1"/>
          <w:sz w:val="16"/>
          <w:szCs w:val="16"/>
        </w:rPr>
        <w:t>439; особый кв[артал]</w:t>
      </w:r>
      <w:r w:rsidR="007C1411" w:rsidRPr="00E93F40">
        <w:rPr>
          <w:color w:val="000000" w:themeColor="text1"/>
          <w:sz w:val="16"/>
          <w:szCs w:val="16"/>
        </w:rPr>
        <w:t xml:space="preserve"> </w:t>
      </w:r>
      <w:r w:rsidRPr="00E93F40">
        <w:rPr>
          <w:color w:val="000000" w:themeColor="text1"/>
          <w:sz w:val="16"/>
          <w:szCs w:val="16"/>
        </w:rPr>
        <w:t>— 4</w:t>
      </w:r>
      <w:r w:rsidR="007C1411" w:rsidRPr="00E93F40">
        <w:rPr>
          <w:color w:val="000000" w:themeColor="text1"/>
          <w:sz w:val="16"/>
          <w:szCs w:val="16"/>
        </w:rPr>
        <w:t xml:space="preserve"> </w:t>
      </w:r>
      <w:r w:rsidRPr="00E93F40">
        <w:rPr>
          <w:color w:val="000000" w:themeColor="text1"/>
          <w:sz w:val="16"/>
          <w:szCs w:val="16"/>
        </w:rPr>
        <w:t>709</w:t>
      </w:r>
      <w:r w:rsidR="007C1411" w:rsidRPr="00E93F40">
        <w:rPr>
          <w:color w:val="000000" w:themeColor="text1"/>
          <w:sz w:val="16"/>
          <w:szCs w:val="16"/>
        </w:rPr>
        <w:t xml:space="preserve"> </w:t>
      </w:r>
      <w:r w:rsidRPr="00E93F40">
        <w:rPr>
          <w:color w:val="000000" w:themeColor="text1"/>
          <w:sz w:val="16"/>
          <w:szCs w:val="16"/>
        </w:rPr>
        <w:t>225; 1931</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3237</w:t>
      </w:r>
      <w:r w:rsidR="007C1411" w:rsidRPr="00E93F40">
        <w:rPr>
          <w:color w:val="000000" w:themeColor="text1"/>
          <w:sz w:val="16"/>
          <w:szCs w:val="16"/>
        </w:rPr>
        <w:t xml:space="preserve"> </w:t>
      </w:r>
      <w:r w:rsidRPr="00E93F40">
        <w:rPr>
          <w:color w:val="000000" w:themeColor="text1"/>
          <w:sz w:val="16"/>
          <w:szCs w:val="16"/>
        </w:rPr>
        <w:t>тыс.; 1932</w:t>
      </w:r>
      <w:r w:rsidR="007C1411" w:rsidRPr="00E93F40">
        <w:rPr>
          <w:color w:val="000000" w:themeColor="text1"/>
          <w:sz w:val="16"/>
          <w:szCs w:val="16"/>
        </w:rPr>
        <w:t xml:space="preserve"> </w:t>
      </w:r>
      <w:r w:rsidRPr="00E93F40">
        <w:rPr>
          <w:color w:val="000000" w:themeColor="text1"/>
          <w:sz w:val="16"/>
          <w:szCs w:val="16"/>
        </w:rPr>
        <w:t>г.: контин.</w:t>
      </w:r>
      <w:r w:rsidR="007C1411" w:rsidRPr="00E93F40">
        <w:rPr>
          <w:color w:val="000000" w:themeColor="text1"/>
          <w:sz w:val="16"/>
          <w:szCs w:val="16"/>
        </w:rPr>
        <w:t xml:space="preserve"> </w:t>
      </w:r>
      <w:r w:rsidRPr="00E93F40">
        <w:rPr>
          <w:color w:val="000000" w:themeColor="text1"/>
          <w:sz w:val="16"/>
          <w:szCs w:val="16"/>
        </w:rPr>
        <w:t>— 1,5</w:t>
      </w:r>
      <w:r w:rsidR="007C1411" w:rsidRPr="00E93F40">
        <w:rPr>
          <w:color w:val="000000" w:themeColor="text1"/>
          <w:sz w:val="16"/>
          <w:szCs w:val="16"/>
        </w:rPr>
        <w:t xml:space="preserve"> </w:t>
      </w:r>
      <w:r w:rsidRPr="00E93F40">
        <w:rPr>
          <w:color w:val="000000" w:themeColor="text1"/>
          <w:sz w:val="16"/>
          <w:szCs w:val="16"/>
        </w:rPr>
        <w:t>млн., размещено</w:t>
      </w:r>
      <w:r w:rsidR="007C1411" w:rsidRPr="00E93F40">
        <w:rPr>
          <w:color w:val="000000" w:themeColor="text1"/>
          <w:sz w:val="16"/>
          <w:szCs w:val="16"/>
        </w:rPr>
        <w:t xml:space="preserve"> </w:t>
      </w:r>
      <w:r w:rsidRPr="00E93F40">
        <w:rPr>
          <w:color w:val="000000" w:themeColor="text1"/>
          <w:sz w:val="16"/>
          <w:szCs w:val="16"/>
        </w:rPr>
        <w:t>— 453</w:t>
      </w:r>
      <w:r w:rsidR="007C1411" w:rsidRPr="00E93F40">
        <w:rPr>
          <w:color w:val="000000" w:themeColor="text1"/>
          <w:sz w:val="16"/>
          <w:szCs w:val="16"/>
        </w:rPr>
        <w:t xml:space="preserve"> </w:t>
      </w:r>
      <w:r w:rsidRPr="00E93F40">
        <w:rPr>
          <w:color w:val="000000" w:themeColor="text1"/>
          <w:sz w:val="16"/>
          <w:szCs w:val="16"/>
        </w:rPr>
        <w:t>603.</w:t>
      </w:r>
    </w:p>
    <w:p w14:paraId="60774799" w14:textId="22F52A3E"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6.</w:t>
      </w:r>
      <w:r w:rsidR="007C1411" w:rsidRPr="00E93F40">
        <w:rPr>
          <w:color w:val="000000" w:themeColor="text1"/>
          <w:sz w:val="16"/>
          <w:szCs w:val="16"/>
        </w:rPr>
        <w:t xml:space="preserve"> </w:t>
      </w:r>
      <w:r w:rsidRPr="00E93F40">
        <w:rPr>
          <w:color w:val="000000" w:themeColor="text1"/>
          <w:sz w:val="16"/>
          <w:szCs w:val="16"/>
        </w:rPr>
        <w:t>Пятилетний план, разработанный ВСНХ для промышленности, ВХО (см. докл[ад] Рухимовича и Урываева в СТО от 6</w:t>
      </w:r>
      <w:r w:rsidR="007C1411" w:rsidRPr="00E93F40">
        <w:rPr>
          <w:color w:val="000000" w:themeColor="text1"/>
          <w:sz w:val="16"/>
          <w:szCs w:val="16"/>
        </w:rPr>
        <w:t xml:space="preserve"> </w:t>
      </w:r>
      <w:r w:rsidRPr="00E93F40">
        <w:rPr>
          <w:color w:val="000000" w:themeColor="text1"/>
          <w:sz w:val="16"/>
          <w:szCs w:val="16"/>
        </w:rPr>
        <w:t>октября 1929</w:t>
      </w:r>
      <w:r w:rsidR="007C1411" w:rsidRPr="00E93F40">
        <w:rPr>
          <w:color w:val="000000" w:themeColor="text1"/>
          <w:sz w:val="16"/>
          <w:szCs w:val="16"/>
        </w:rPr>
        <w:t xml:space="preserve"> </w:t>
      </w:r>
      <w:r w:rsidRPr="00E93F40">
        <w:rPr>
          <w:color w:val="000000" w:themeColor="text1"/>
          <w:sz w:val="16"/>
          <w:szCs w:val="16"/>
        </w:rPr>
        <w:t>г.) был перевыполнен, за исключением наметок по мирной промышленности.</w:t>
      </w:r>
    </w:p>
    <w:p w14:paraId="5B0291AC" w14:textId="77777777" w:rsidR="00BC161D" w:rsidRPr="00E93F40" w:rsidRDefault="00BC161D" w:rsidP="00E93F40">
      <w:pPr>
        <w:pStyle w:val="ae"/>
        <w:spacing w:before="0" w:after="0"/>
        <w:jc w:val="both"/>
        <w:rPr>
          <w:color w:val="000000" w:themeColor="text1"/>
          <w:sz w:val="16"/>
          <w:szCs w:val="16"/>
        </w:rPr>
      </w:pPr>
      <w:r w:rsidRPr="00E93F40">
        <w:rPr>
          <w:rStyle w:val="a7"/>
          <w:rFonts w:eastAsia="Times New Roman"/>
          <w:b w:val="0"/>
          <w:color w:val="000000" w:themeColor="text1"/>
          <w:sz w:val="16"/>
          <w:szCs w:val="16"/>
        </w:rPr>
        <w:t>Выполнение плана по промышленности быв. ВХО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7"/>
        <w:gridCol w:w="1649"/>
        <w:gridCol w:w="1764"/>
        <w:gridCol w:w="1764"/>
        <w:gridCol w:w="1649"/>
        <w:gridCol w:w="1649"/>
      </w:tblGrid>
      <w:tr w:rsidR="00DA227A" w:rsidRPr="00E93F40" w14:paraId="2FB8C30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C9B4C34" w14:textId="01F586DE"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71CC4" w14:textId="48FC2F5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755AF" w14:textId="0DEB325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EE32E" w14:textId="7150DF0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E35ED" w14:textId="7EEDA47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933F" w14:textId="6AEE46A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6663B665" w14:textId="77777777" w:rsidTr="00BC161D">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E1F008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Style w:val="a7"/>
                <w:rFonts w:ascii="Times New Roman" w:eastAsia="Times New Roman" w:hAnsi="Times New Roman"/>
                <w:b w:val="0"/>
                <w:color w:val="000000" w:themeColor="text1"/>
                <w:sz w:val="16"/>
                <w:szCs w:val="16"/>
              </w:rPr>
              <w:t>а) Стоимость основного капитала</w:t>
            </w:r>
          </w:p>
        </w:tc>
      </w:tr>
      <w:tr w:rsidR="00DA227A" w:rsidRPr="00E93F40" w14:paraId="0CAD2A1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A5936DB" w14:textId="55C26EE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Фактич[еское]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полож[ение]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A343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1245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B6CF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0911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A997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293,8</w:t>
            </w:r>
          </w:p>
        </w:tc>
      </w:tr>
      <w:tr w:rsidR="00DA227A" w:rsidRPr="00E93F40" w14:paraId="3ED27B3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A357ED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ВСНХ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0C67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9B4F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5DD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0B8B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200¹⁵*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C8C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318¹⁶*</w:t>
            </w:r>
          </w:p>
        </w:tc>
      </w:tr>
      <w:tr w:rsidR="00DA227A" w:rsidRPr="00E93F40" w14:paraId="3C07A07F" w14:textId="77777777" w:rsidTr="00BC161D">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BCEEA8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Style w:val="a7"/>
                <w:rFonts w:ascii="Times New Roman" w:eastAsia="Times New Roman" w:hAnsi="Times New Roman"/>
                <w:b w:val="0"/>
                <w:color w:val="000000" w:themeColor="text1"/>
                <w:sz w:val="16"/>
                <w:szCs w:val="16"/>
              </w:rPr>
              <w:t>б) Выпуск валовой продукции</w:t>
            </w:r>
          </w:p>
        </w:tc>
      </w:tr>
      <w:tr w:rsidR="00DA227A" w:rsidRPr="00E93F40" w14:paraId="1233D34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BA4FA1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Фактич[еское] полож[ение]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BD31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D3DA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2B03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E2C2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D03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457</w:t>
            </w:r>
          </w:p>
        </w:tc>
      </w:tr>
      <w:tr w:rsidR="00DA227A" w:rsidRPr="00E93F40" w14:paraId="5E8F472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93D2A0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ВСНХ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2233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DB23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A115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8F78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CA83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332,6</w:t>
            </w:r>
          </w:p>
        </w:tc>
      </w:tr>
    </w:tbl>
    <w:p w14:paraId="39AACF29" w14:textId="119676E3"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Все отмеченное является громадным шагом вперед в деле укрепления обороноспособности СССР. Однако достигнутый уровень производства является еще далеко недостаточным для удовлетворения потребностей современной войны. Передовые капиталистические страны имеют мощности, в несколько раз превышающие достигнутые нами. Так, Франция имеет к настоящему моменту приблизительно 200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пороха и 330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ВВ. Англия имеет около 180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пороха.</w:t>
      </w:r>
    </w:p>
    <w:p w14:paraId="68DA1FC0" w14:textId="1999C3AA"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В итоге первой пятилетки остается еще много доделок на существующих кадровых заводах, для того чтобы выровнять их мощности, обеспечить их необходимым для выполнения военной программы подсобным хозяйством. Не развернута сколько-нибудь удовлетворительно рационализаторская работа на заводах. Остается еще отсталость техники и технологии производства порохов и ВВ, имеющая результатом большие производственные потери и неудовлетворительное качество продукции. Совершенно слаба еще ассимиляция кадровых заводов с мирными изделиями. Неудовлетворительной является организация труда на заводах и качество административно-хозяйственного и технического руководства. Вместе с этим не преодолена еще узость сырьевой полупродуктовой базы порохов и ВВ. Ликвидация отставания химии означала бы создание дополнительных широких возможностей быстрейшего роста производства порохов и ВВ во время самой войны. Об этом говорит нам опыт Германии. Германия, имевшая до войны сильно развитую химпромышленность, поднимала производство пороха следующим образом: 1914</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14</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1915</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36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1916</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67</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1917</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100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1918</w:t>
      </w:r>
      <w:r w:rsidR="007C1411" w:rsidRPr="00E93F40">
        <w:rPr>
          <w:color w:val="000000" w:themeColor="text1"/>
          <w:sz w:val="16"/>
          <w:szCs w:val="16"/>
        </w:rPr>
        <w:t xml:space="preserve"> </w:t>
      </w:r>
      <w:r w:rsidRPr="00E93F40">
        <w:rPr>
          <w:color w:val="000000" w:themeColor="text1"/>
          <w:sz w:val="16"/>
          <w:szCs w:val="16"/>
        </w:rPr>
        <w:t>г.</w:t>
      </w:r>
      <w:r w:rsidR="007C1411" w:rsidRPr="00E93F40">
        <w:rPr>
          <w:color w:val="000000" w:themeColor="text1"/>
          <w:sz w:val="16"/>
          <w:szCs w:val="16"/>
        </w:rPr>
        <w:t xml:space="preserve"> </w:t>
      </w:r>
      <w:r w:rsidRPr="00E93F40">
        <w:rPr>
          <w:color w:val="000000" w:themeColor="text1"/>
          <w:sz w:val="16"/>
          <w:szCs w:val="16"/>
        </w:rPr>
        <w:t>— 140</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w:t>
      </w:r>
    </w:p>
    <w:p w14:paraId="1300EA03" w14:textId="77777777"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Дороговизна и некомплектность капстроительства, медленные темпы строительства и освоения новых производств все еще являются большой помехой в деле развития мощностей.</w:t>
      </w:r>
    </w:p>
    <w:p w14:paraId="251E1FBA" w14:textId="42F38E30"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Таким образом, нам предстоит в дальнейшем огромная работа по дальнейшему развитию порохового и взрывчатого производства. Решения XVII</w:t>
      </w:r>
      <w:r w:rsidR="007C1411" w:rsidRPr="00E93F40">
        <w:rPr>
          <w:color w:val="000000" w:themeColor="text1"/>
          <w:sz w:val="16"/>
          <w:szCs w:val="16"/>
        </w:rPr>
        <w:t xml:space="preserve"> </w:t>
      </w:r>
      <w:r w:rsidRPr="00E93F40">
        <w:rPr>
          <w:color w:val="000000" w:themeColor="text1"/>
          <w:sz w:val="16"/>
          <w:szCs w:val="16"/>
        </w:rPr>
        <w:t>партконференции о ликвидации отставания химии, о догоне и перегоне в техническом отношении передовых капиталистических стран Европы создают необходимые условия для быстрейшего развития производства порохов и ВВ во втором пятилетии.</w:t>
      </w:r>
    </w:p>
    <w:p w14:paraId="0FB3E39D" w14:textId="77777777" w:rsidR="00BC161D" w:rsidRPr="00E93F40" w:rsidRDefault="00BC161D" w:rsidP="00E93F40">
      <w:pPr>
        <w:pStyle w:val="ae"/>
        <w:spacing w:before="0" w:after="0"/>
        <w:jc w:val="both"/>
        <w:rPr>
          <w:color w:val="000000" w:themeColor="text1"/>
          <w:sz w:val="16"/>
          <w:szCs w:val="16"/>
        </w:rPr>
      </w:pPr>
      <w:r w:rsidRPr="00E93F40">
        <w:rPr>
          <w:rStyle w:val="af0"/>
          <w:i w:val="0"/>
          <w:color w:val="000000" w:themeColor="text1"/>
          <w:sz w:val="16"/>
          <w:szCs w:val="16"/>
        </w:rPr>
        <w:t>Макаров</w:t>
      </w:r>
    </w:p>
    <w:p w14:paraId="032FA4A1" w14:textId="77777777" w:rsidR="00BC161D" w:rsidRPr="00E93F40" w:rsidRDefault="00BC161D"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55CB5681" w14:textId="3C854450"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данные об уставном капитале и развитии мощностей по конкретным заводам.</w:t>
      </w:r>
    </w:p>
    <w:p w14:paraId="74C27E89" w14:textId="2F1A02BD"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 6</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ам[миачной] селитры и 2,8</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других ВВ (</w:t>
      </w:r>
      <w:r w:rsidRPr="00E93F40">
        <w:rPr>
          <w:rStyle w:val="af0"/>
          <w:i w:val="0"/>
          <w:color w:val="000000" w:themeColor="text1"/>
          <w:sz w:val="16"/>
          <w:szCs w:val="16"/>
        </w:rPr>
        <w:t>Прим. док.</w:t>
      </w:r>
      <w:r w:rsidRPr="00E93F40">
        <w:rPr>
          <w:color w:val="000000" w:themeColor="text1"/>
          <w:sz w:val="16"/>
          <w:szCs w:val="16"/>
        </w:rPr>
        <w:t>).</w:t>
      </w:r>
    </w:p>
    <w:p w14:paraId="647D3F49" w14:textId="1AD55049"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57</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ам[миачной] селитры и 15,3</w:t>
      </w:r>
      <w:r w:rsidR="007C1411" w:rsidRPr="00E93F40">
        <w:rPr>
          <w:color w:val="000000" w:themeColor="text1"/>
          <w:sz w:val="16"/>
          <w:szCs w:val="16"/>
        </w:rPr>
        <w:t xml:space="preserve"> </w:t>
      </w:r>
      <w:r w:rsidRPr="00E93F40">
        <w:rPr>
          <w:color w:val="000000" w:themeColor="text1"/>
          <w:sz w:val="16"/>
          <w:szCs w:val="16"/>
        </w:rPr>
        <w:t>тыс.</w:t>
      </w:r>
      <w:r w:rsidR="007C1411" w:rsidRPr="00E93F40">
        <w:rPr>
          <w:color w:val="000000" w:themeColor="text1"/>
          <w:sz w:val="16"/>
          <w:szCs w:val="16"/>
        </w:rPr>
        <w:t xml:space="preserve"> </w:t>
      </w:r>
      <w:r w:rsidRPr="00E93F40">
        <w:rPr>
          <w:color w:val="000000" w:themeColor="text1"/>
          <w:sz w:val="16"/>
          <w:szCs w:val="16"/>
        </w:rPr>
        <w:t>т других ВВ (</w:t>
      </w:r>
      <w:r w:rsidRPr="00E93F40">
        <w:rPr>
          <w:rStyle w:val="af0"/>
          <w:i w:val="0"/>
          <w:color w:val="000000" w:themeColor="text1"/>
          <w:sz w:val="16"/>
          <w:szCs w:val="16"/>
        </w:rPr>
        <w:t>Прим. док</w:t>
      </w:r>
      <w:r w:rsidRPr="00E93F40">
        <w:rPr>
          <w:color w:val="000000" w:themeColor="text1"/>
          <w:sz w:val="16"/>
          <w:szCs w:val="16"/>
        </w:rPr>
        <w:t>.).</w:t>
      </w:r>
    </w:p>
    <w:p w14:paraId="33F1B48D" w14:textId="34391BC8"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Текст поврежден.</w:t>
      </w:r>
    </w:p>
    <w:p w14:paraId="5AA867AD" w14:textId="22494633"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Строка написана от руки.</w:t>
      </w:r>
    </w:p>
    <w:p w14:paraId="099E4B9E" w14:textId="392652F4"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данные о выпуске продукции гражданского производства по видам продукции.</w:t>
      </w:r>
    </w:p>
    <w:p w14:paraId="18C791DE" w14:textId="55FECE05"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7</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—138</w:t>
      </w:r>
      <w:r w:rsidR="007C1411" w:rsidRPr="00E93F40">
        <w:rPr>
          <w:color w:val="000000" w:themeColor="text1"/>
          <w:sz w:val="16"/>
          <w:szCs w:val="16"/>
        </w:rPr>
        <w:t xml:space="preserve"> </w:t>
      </w:r>
      <w:r w:rsidRPr="00E93F40">
        <w:rPr>
          <w:color w:val="000000" w:themeColor="text1"/>
          <w:sz w:val="16"/>
          <w:szCs w:val="16"/>
        </w:rPr>
        <w:t>067.</w:t>
      </w:r>
    </w:p>
    <w:p w14:paraId="3B339E3B" w14:textId="6F98907F"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8</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По подсчетам составителей</w:t>
      </w:r>
      <w:r w:rsidR="007C1411" w:rsidRPr="00E93F40">
        <w:rPr>
          <w:color w:val="000000" w:themeColor="text1"/>
          <w:sz w:val="16"/>
          <w:szCs w:val="16"/>
        </w:rPr>
        <w:t xml:space="preserve"> </w:t>
      </w:r>
      <w:r w:rsidRPr="00E93F40">
        <w:rPr>
          <w:color w:val="000000" w:themeColor="text1"/>
          <w:sz w:val="16"/>
          <w:szCs w:val="16"/>
        </w:rPr>
        <w:t>— 582</w:t>
      </w:r>
      <w:r w:rsidR="007C1411" w:rsidRPr="00E93F40">
        <w:rPr>
          <w:color w:val="000000" w:themeColor="text1"/>
          <w:sz w:val="16"/>
          <w:szCs w:val="16"/>
        </w:rPr>
        <w:t xml:space="preserve"> </w:t>
      </w:r>
      <w:r w:rsidRPr="00E93F40">
        <w:rPr>
          <w:color w:val="000000" w:themeColor="text1"/>
          <w:sz w:val="16"/>
          <w:szCs w:val="16"/>
        </w:rPr>
        <w:t>340.</w:t>
      </w:r>
    </w:p>
    <w:p w14:paraId="464A1A32" w14:textId="6EA31DDA"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9</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Опущена таблица о снабжении заводов ВХО химматериалами за 1931</w:t>
      </w:r>
      <w:r w:rsidR="007C1411" w:rsidRPr="00E93F40">
        <w:rPr>
          <w:color w:val="000000" w:themeColor="text1"/>
          <w:sz w:val="16"/>
          <w:szCs w:val="16"/>
        </w:rPr>
        <w:t xml:space="preserve"> </w:t>
      </w:r>
      <w:r w:rsidRPr="00E93F40">
        <w:rPr>
          <w:color w:val="000000" w:themeColor="text1"/>
          <w:sz w:val="16"/>
          <w:szCs w:val="16"/>
        </w:rPr>
        <w:t>г. и I</w:t>
      </w:r>
      <w:r w:rsidR="007C1411" w:rsidRPr="00E93F40">
        <w:rPr>
          <w:color w:val="000000" w:themeColor="text1"/>
          <w:sz w:val="16"/>
          <w:szCs w:val="16"/>
        </w:rPr>
        <w:t xml:space="preserve"> </w:t>
      </w:r>
      <w:r w:rsidRPr="00E93F40">
        <w:rPr>
          <w:color w:val="000000" w:themeColor="text1"/>
          <w:sz w:val="16"/>
          <w:szCs w:val="16"/>
        </w:rPr>
        <w:t>квартал 1932</w:t>
      </w:r>
      <w:r w:rsidR="007C1411" w:rsidRPr="00E93F40">
        <w:rPr>
          <w:color w:val="000000" w:themeColor="text1"/>
          <w:sz w:val="16"/>
          <w:szCs w:val="16"/>
        </w:rPr>
        <w:t xml:space="preserve"> </w:t>
      </w:r>
      <w:r w:rsidRPr="00E93F40">
        <w:rPr>
          <w:color w:val="000000" w:themeColor="text1"/>
          <w:sz w:val="16"/>
          <w:szCs w:val="16"/>
        </w:rPr>
        <w:t>г.</w:t>
      </w:r>
    </w:p>
    <w:p w14:paraId="23DBC50F" w14:textId="2E9E89AB"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10</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Опущена таблица о производстве азота в зарубежных странах.</w:t>
      </w:r>
    </w:p>
    <w:p w14:paraId="4123A292" w14:textId="4C733CAB"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Цифры 1928/29</w:t>
      </w:r>
      <w:r w:rsidR="007C1411" w:rsidRPr="00E93F40">
        <w:rPr>
          <w:color w:val="000000" w:themeColor="text1"/>
          <w:sz w:val="16"/>
          <w:szCs w:val="16"/>
        </w:rPr>
        <w:t xml:space="preserve"> </w:t>
      </w:r>
      <w:r w:rsidRPr="00E93F40">
        <w:rPr>
          <w:color w:val="000000" w:themeColor="text1"/>
          <w:sz w:val="16"/>
          <w:szCs w:val="16"/>
        </w:rPr>
        <w:t>г. взяты для сравнения по заводам №</w:t>
      </w:r>
      <w:r w:rsidR="007C1411" w:rsidRPr="00E93F40">
        <w:rPr>
          <w:color w:val="000000" w:themeColor="text1"/>
          <w:sz w:val="16"/>
          <w:szCs w:val="16"/>
        </w:rPr>
        <w:t xml:space="preserve"> </w:t>
      </w:r>
      <w:r w:rsidRPr="00E93F40">
        <w:rPr>
          <w:color w:val="000000" w:themeColor="text1"/>
          <w:sz w:val="16"/>
          <w:szCs w:val="16"/>
        </w:rPr>
        <w:t>40 и 80, так как сводных цифр по всей промышленности достать за этот год не удалось (</w:t>
      </w:r>
      <w:r w:rsidRPr="00E93F40">
        <w:rPr>
          <w:rStyle w:val="af0"/>
          <w:i w:val="0"/>
          <w:color w:val="000000" w:themeColor="text1"/>
          <w:sz w:val="16"/>
          <w:szCs w:val="16"/>
        </w:rPr>
        <w:t>Прим. док</w:t>
      </w:r>
      <w:r w:rsidRPr="00E93F40">
        <w:rPr>
          <w:color w:val="000000" w:themeColor="text1"/>
          <w:sz w:val="16"/>
          <w:szCs w:val="16"/>
        </w:rPr>
        <w:t>.).</w:t>
      </w:r>
    </w:p>
    <w:p w14:paraId="0F2097E1" w14:textId="0C9FB7C4"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данные о снижении себестоимости по отдельным заводам и видам продукции.</w:t>
      </w:r>
    </w:p>
    <w:p w14:paraId="706F483C" w14:textId="15499620"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Так в тексте. Вероятно, речь идет о предполагаемом выполнении плана.</w:t>
      </w:r>
    </w:p>
    <w:p w14:paraId="78331A28" w14:textId="30674241"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lastRenderedPageBreak/>
        <w:t>14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В тексте, видимо, ошибочно указана дата 1</w:t>
      </w:r>
      <w:r w:rsidR="007C1411" w:rsidRPr="00E93F40">
        <w:rPr>
          <w:color w:val="000000" w:themeColor="text1"/>
          <w:sz w:val="16"/>
          <w:szCs w:val="16"/>
        </w:rPr>
        <w:t xml:space="preserve"> </w:t>
      </w:r>
      <w:r w:rsidRPr="00E93F40">
        <w:rPr>
          <w:color w:val="000000" w:themeColor="text1"/>
          <w:sz w:val="16"/>
          <w:szCs w:val="16"/>
        </w:rPr>
        <w:t>января 1928</w:t>
      </w:r>
      <w:r w:rsidR="007C1411" w:rsidRPr="00E93F40">
        <w:rPr>
          <w:color w:val="000000" w:themeColor="text1"/>
          <w:sz w:val="16"/>
          <w:szCs w:val="16"/>
        </w:rPr>
        <w:t xml:space="preserve"> </w:t>
      </w:r>
      <w:r w:rsidRPr="00E93F40">
        <w:rPr>
          <w:color w:val="000000" w:themeColor="text1"/>
          <w:sz w:val="16"/>
          <w:szCs w:val="16"/>
        </w:rPr>
        <w:t>г.</w:t>
      </w:r>
    </w:p>
    <w:p w14:paraId="5B7F742E" w14:textId="5EA0F05B"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На 1 октября 1931</w:t>
      </w:r>
      <w:r w:rsidR="007C1411" w:rsidRPr="00E93F40">
        <w:rPr>
          <w:color w:val="000000" w:themeColor="text1"/>
          <w:sz w:val="16"/>
          <w:szCs w:val="16"/>
        </w:rPr>
        <w:t xml:space="preserve"> </w:t>
      </w:r>
      <w:r w:rsidRPr="00E93F40">
        <w:rPr>
          <w:color w:val="000000" w:themeColor="text1"/>
          <w:sz w:val="16"/>
          <w:szCs w:val="16"/>
        </w:rPr>
        <w:t>г. (</w:t>
      </w:r>
      <w:r w:rsidRPr="00E93F40">
        <w:rPr>
          <w:rStyle w:val="af0"/>
          <w:i w:val="0"/>
          <w:color w:val="000000" w:themeColor="text1"/>
          <w:sz w:val="16"/>
          <w:szCs w:val="16"/>
        </w:rPr>
        <w:t>Прим. док</w:t>
      </w:r>
      <w:r w:rsidRPr="00E93F40">
        <w:rPr>
          <w:color w:val="000000" w:themeColor="text1"/>
          <w:sz w:val="16"/>
          <w:szCs w:val="16"/>
        </w:rPr>
        <w:t>.).</w:t>
      </w:r>
    </w:p>
    <w:p w14:paraId="4398E818" w14:textId="30125925"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На 1 октября 1932</w:t>
      </w:r>
      <w:r w:rsidR="007C1411" w:rsidRPr="00E93F40">
        <w:rPr>
          <w:color w:val="000000" w:themeColor="text1"/>
          <w:sz w:val="16"/>
          <w:szCs w:val="16"/>
        </w:rPr>
        <w:t xml:space="preserve"> </w:t>
      </w:r>
      <w:r w:rsidRPr="00E93F40">
        <w:rPr>
          <w:color w:val="000000" w:themeColor="text1"/>
          <w:sz w:val="16"/>
          <w:szCs w:val="16"/>
        </w:rPr>
        <w:t>г. (</w:t>
      </w:r>
      <w:r w:rsidRPr="00E93F40">
        <w:rPr>
          <w:rStyle w:val="af0"/>
          <w:i w:val="0"/>
          <w:color w:val="000000" w:themeColor="text1"/>
          <w:sz w:val="16"/>
          <w:szCs w:val="16"/>
        </w:rPr>
        <w:t>Прим. док</w:t>
      </w:r>
      <w:r w:rsidRPr="00E93F40">
        <w:rPr>
          <w:color w:val="000000" w:themeColor="text1"/>
          <w:sz w:val="16"/>
          <w:szCs w:val="16"/>
        </w:rPr>
        <w:t>.).</w:t>
      </w:r>
    </w:p>
    <w:p w14:paraId="5C0CC353" w14:textId="5B713E61"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rPr>
        <w:t>РГАЭ. Ф. 4372. Оп. 91. Д. 1104. Л. 19—18, 17—12</w:t>
      </w:r>
      <w:r w:rsidR="007C1411" w:rsidRPr="00E93F40">
        <w:rPr>
          <w:color w:val="000000" w:themeColor="text1"/>
          <w:sz w:val="16"/>
          <w:szCs w:val="16"/>
        </w:rPr>
        <w:t xml:space="preserve"> </w:t>
      </w:r>
      <w:r w:rsidRPr="00E93F40">
        <w:rPr>
          <w:color w:val="000000" w:themeColor="text1"/>
          <w:sz w:val="16"/>
          <w:szCs w:val="16"/>
        </w:rPr>
        <w:t>об. Подлинник.</w:t>
      </w:r>
    </w:p>
    <w:p w14:paraId="70AE227D" w14:textId="31A3050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РГАЭ. Ф. 4372. Оп. 91. Д. 1104. Л. 19—18, 17—12 об. Подлинник. </w:t>
      </w:r>
    </w:p>
    <w:p w14:paraId="636DFF5B" w14:textId="32ADD5A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722-735 (12574).</w:t>
      </w:r>
    </w:p>
    <w:p w14:paraId="0DEA4045" w14:textId="77777777" w:rsidR="00BC161D" w:rsidRPr="00E93F40" w:rsidRDefault="00BC161D" w:rsidP="00E93F40">
      <w:pPr>
        <w:spacing w:after="0" w:line="240" w:lineRule="auto"/>
        <w:jc w:val="both"/>
        <w:rPr>
          <w:rFonts w:ascii="Times New Roman" w:hAnsi="Times New Roman"/>
          <w:color w:val="000000" w:themeColor="text1"/>
          <w:sz w:val="16"/>
          <w:szCs w:val="16"/>
        </w:rPr>
      </w:pPr>
    </w:p>
    <w:p w14:paraId="3448E860"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октября 1932 состоялось заседание ПБ (Протокол № 118) </w:t>
      </w:r>
    </w:p>
    <w:p w14:paraId="6C0784F0"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 Дженерал-Моторс.</w:t>
      </w:r>
    </w:p>
    <w:p w14:paraId="7783D1C3"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Межлаук).</w:t>
      </w:r>
    </w:p>
    <w:p w14:paraId="1713194F"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Ответить отказом на предложение фирмы о приезде уполномоченного для переговоров о продаже новых авто</w:t>
      </w:r>
      <w:r w:rsidRPr="00E93F40">
        <w:rPr>
          <w:rFonts w:ascii="Times New Roman" w:hAnsi="Times New Roman"/>
          <w:color w:val="000000" w:themeColor="text1"/>
          <w:sz w:val="16"/>
          <w:szCs w:val="16"/>
        </w:rPr>
        <w:softHyphen/>
        <w:t>мобилей.</w:t>
      </w:r>
    </w:p>
    <w:p w14:paraId="52BE9BBA"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Межлауку, Пятакову.</w:t>
      </w:r>
    </w:p>
    <w:p w14:paraId="756918F7"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 опросом членов ПБ</w:t>
      </w:r>
    </w:p>
    <w:p w14:paraId="5BEFB93C"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97/77.- 0 переговорах с Фордом.</w:t>
      </w:r>
    </w:p>
    <w:p w14:paraId="16A2163B"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Отлоэить вопрос на год и воспретить НКВТ дальнейший ввоз запчастей ля автомобилей за, исключением оборудования для автозавода, а также ведение каких-либо переговоров с Фордом.</w:t>
      </w:r>
    </w:p>
    <w:p w14:paraId="633B8A55" w14:textId="77777777" w:rsidR="00B86825" w:rsidRPr="00E93F40" w:rsidRDefault="00B868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Орджоникидзе (23063).</w:t>
      </w:r>
    </w:p>
    <w:p w14:paraId="7E36C1DB" w14:textId="77777777" w:rsidR="00B86825" w:rsidRPr="00E93F40" w:rsidRDefault="00B86825" w:rsidP="00E93F40">
      <w:pPr>
        <w:spacing w:after="0" w:line="240" w:lineRule="auto"/>
        <w:jc w:val="both"/>
        <w:rPr>
          <w:rFonts w:ascii="Times New Roman" w:hAnsi="Times New Roman"/>
          <w:color w:val="000000" w:themeColor="text1"/>
          <w:sz w:val="16"/>
          <w:szCs w:val="16"/>
        </w:rPr>
      </w:pPr>
    </w:p>
    <w:p w14:paraId="6EB0545B"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8 октября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118. 5. О строительстве Челябинского тракторного завода (Ловин, Орджоникидзе, Микоян и др.). (Политбюро... Т. 2. С. 357) (12416).</w:t>
      </w:r>
    </w:p>
    <w:p w14:paraId="7DA11739"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p>
    <w:p w14:paraId="2804E2C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E7C32D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DB696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8 и 14 октября 1932. Из протокола заседания Политбюро № 118, 1932 г.</w:t>
      </w:r>
    </w:p>
    <w:p w14:paraId="40B00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театре, бывшем Корша </w:t>
      </w:r>
    </w:p>
    <w:p w14:paraId="3B5DBB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согласованное с московской организацией предложение о передаче, театра бывшего Корша, Художественному театру им. Горького, поручив тов. Енукидзе обеспечить интересы коллектива работников театра, бывшего Корша (11652).</w:t>
      </w:r>
    </w:p>
    <w:p w14:paraId="15F3C7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268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8 и 14 октября 1932. Из протокола заседания Политбюро № 118, 1932 г.</w:t>
      </w:r>
    </w:p>
    <w:p w14:paraId="154C51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коммерческой торговле совхозов мясом и маслом </w:t>
      </w:r>
    </w:p>
    <w:p w14:paraId="2BEEED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совхозы прекратить коммерческую и некоммерческую торговлю мясом и маслом (11652).</w:t>
      </w:r>
    </w:p>
    <w:p w14:paraId="08154948" w14:textId="242905F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D57DD6" w14:textId="0F754D9D" w:rsidR="00BA0A13" w:rsidRPr="00E93F40" w:rsidRDefault="00BA0A13"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218F262F" w14:textId="77777777" w:rsidR="00BA0A13" w:rsidRPr="00E93F40" w:rsidRDefault="00BA0A13"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4CC65202" w14:textId="336E6F0A"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 в одной из гостиниц Магдебурга состоялась встреча ракетчиков ОМП с руководством города: заместителем главы региона, начальником полиции, военным комендантом, представителями муниципалитета, городского совета и командования гражданской обороны. О теории «полой Земли» здесь речь не шла: оказалось, что эти солидные люди желают войти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историю своим участием в организации первого в истории полёта ракеты с человеком на борту.</w:t>
      </w:r>
    </w:p>
    <w:p w14:paraId="6F44ECD1" w14:textId="4863689A"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Небель заявил, что это вполне возможно, и в общих чертах обрисовал проект. Пилотируемая ракета должна быть большой (высота — 7,62 м) с мощным двигателем (тяга 750 кг/сек). В её верхнем отсеке будут размещены двигатели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парашют,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нижнем</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топливные баки и кабина пилота. Ракета достигнет высоты 1000 м. Для реализации проекта требуются 40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тысяч марок. Магдебургский городской банк был готов выдать указанную сумму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кредит под поручительство местных оргнов власти, городских фирм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крупных предпринимателей. Если бы полёт состоялся, на одном только размещении рекламы они заработали бы намного больше (23372).</w:t>
      </w:r>
    </w:p>
    <w:p w14:paraId="423E02D0" w14:textId="77777777" w:rsidR="00D30D2C" w:rsidRPr="00E93F40" w:rsidRDefault="00D30D2C" w:rsidP="00E93F40">
      <w:pPr>
        <w:spacing w:after="0" w:line="240" w:lineRule="auto"/>
        <w:jc w:val="both"/>
        <w:rPr>
          <w:rFonts w:ascii="Times New Roman" w:hAnsi="Times New Roman"/>
          <w:color w:val="000000" w:themeColor="text1"/>
          <w:sz w:val="16"/>
          <w:szCs w:val="16"/>
        </w:rPr>
      </w:pPr>
    </w:p>
    <w:p w14:paraId="36E38490" w14:textId="77777777" w:rsidR="00BA0A13" w:rsidRPr="00E93F40" w:rsidRDefault="00BA0A1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 основаны ВВС Индии как вспомогательные военно-воздушные силы Индийской империи (20803).</w:t>
      </w:r>
    </w:p>
    <w:p w14:paraId="51615A49" w14:textId="77777777" w:rsidR="00BA0A13" w:rsidRPr="00E93F40" w:rsidRDefault="00BA0A13" w:rsidP="00E93F40">
      <w:pPr>
        <w:spacing w:after="0" w:line="240" w:lineRule="auto"/>
        <w:jc w:val="both"/>
        <w:rPr>
          <w:rFonts w:ascii="Times New Roman" w:hAnsi="Times New Roman"/>
          <w:color w:val="000000" w:themeColor="text1"/>
          <w:sz w:val="16"/>
          <w:szCs w:val="16"/>
        </w:rPr>
      </w:pPr>
    </w:p>
    <w:p w14:paraId="1ED1716C" w14:textId="0B7F3729" w:rsidR="00BA0A13" w:rsidRPr="00E93F40" w:rsidRDefault="00BA0A1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Созданы ВВС Индии. Первая эскадрилья появилась в их составе 1 апреля 1933 года. Они сыграли важную роль в боевых действиях на бирманском фронте в ходе Второй мировой войны. В 1945—1950 годах ВВС Индии носили приставку «королевские». Индийская авиация приняла активное участие в войнах с Пакистаном, а также в ряде более мелких операций и конфликтов (22342).</w:t>
      </w:r>
    </w:p>
    <w:p w14:paraId="63F8F9F9" w14:textId="77777777" w:rsidR="00BA0A13" w:rsidRPr="00E93F40" w:rsidRDefault="00BA0A13" w:rsidP="00E93F40">
      <w:pPr>
        <w:spacing w:after="0" w:line="240" w:lineRule="auto"/>
        <w:jc w:val="both"/>
        <w:rPr>
          <w:rFonts w:ascii="Times New Roman" w:hAnsi="Times New Roman"/>
          <w:color w:val="000000" w:themeColor="text1"/>
          <w:sz w:val="16"/>
          <w:szCs w:val="16"/>
        </w:rPr>
      </w:pPr>
    </w:p>
    <w:p w14:paraId="33A8F49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3BD4AB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E7DE8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сентября и 9 октября 1932 года группой самолетов Истребительного отряда авиабригады НИИ ВВС был выполнен высотный перелет на основании пожелания начальника ВВС. Состав группы: 3 самолета Р-6, один самолет Р-5 и один самолет И-4 (6774).</w:t>
      </w:r>
    </w:p>
    <w:p w14:paraId="3D5042F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CE57AF" w14:textId="6B056645" w:rsidR="00D30D2C" w:rsidRPr="00E93F40" w:rsidRDefault="00D30D2C"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8DB8AF1" w14:textId="77777777" w:rsidR="00D30D2C" w:rsidRPr="00E93F40" w:rsidRDefault="00D30D2C"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696E04A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октября 1932 г., К.Ф. Челпан отправил еще одно </w:t>
      </w:r>
      <w:hyperlink r:id="rId239" w:tgtFrame="_blank" w:history="1">
        <w:r w:rsidRPr="00E93F40">
          <w:rPr>
            <w:rStyle w:val="a5"/>
            <w:rFonts w:ascii="Times New Roman" w:hAnsi="Times New Roman"/>
            <w:color w:val="000000" w:themeColor="text1"/>
            <w:sz w:val="16"/>
            <w:szCs w:val="16"/>
          </w:rPr>
          <w:t>письмо</w:t>
        </w:r>
      </w:hyperlink>
      <w:r w:rsidRPr="00E93F40">
        <w:rPr>
          <w:rFonts w:ascii="Times New Roman" w:hAnsi="Times New Roman"/>
          <w:color w:val="000000" w:themeColor="text1"/>
          <w:sz w:val="16"/>
          <w:szCs w:val="16"/>
        </w:rPr>
        <w:t xml:space="preserve"> в УММ РККА, на этот раз лично председателю НТК А.И. Лебедеву:</w:t>
      </w:r>
    </w:p>
    <w:p w14:paraId="3CB4A6D3"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прошлом м-це по в/записке был любезно принят в Ленинграде и имел возможность подробно ознакомиться с конструкцией мотора ПГЕ. Остались самые лучшие впечатления, больше того, если процесс зарядки и горения окажется удовлетворительным, мотор имеет большие перспективы в смысле облегчения веса и габарита. Можно из этого мотора сделать вполне удовлетворительный двигатель д/наших целей.</w:t>
      </w:r>
    </w:p>
    <w:p w14:paraId="7970BCA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для нас, ХПЗ, сейчас упирается следовательно в результаты испытаний двигателя в работе при нагрузке; если он даст проектную мощность мы будем вполне удовлетворены. Поэтому состояние дела на сегодняшний день нас интересует чрезвычайно. Мне обещали в ОГПУ сообщить о времени сдаточных испытаний, которые предполагались в двадцатых числах прошлого м-ца, однако до сих пор не имею никаких известий. Очень прошу сообщить н/представителю тов. Горенбургу состояние дела и время испытаний для возможности участия в них.</w:t>
      </w:r>
    </w:p>
    <w:p w14:paraId="7503126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того чтобы мы были вполне и своевременно подготовлены, на случай если мотор даст удовлетворительные результаты, прошу не задержать передачу нам чертежей, как с нами было договорено в прошлый раз. Тогда подготовка у нас к производству этих моторов займет, в случае надобности, минимальное время.</w:t>
      </w:r>
    </w:p>
    <w:p w14:paraId="11E53C34"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Чертежи н/опытной секции [дизель БД-14] передаст В/Т Горенбург, также и главные чертежи н/тракторного дизеля для "Коминтерна" [дизель ТД-16]. Основной проект дизеля для БТ [дизель БД-2] в основном закончен, начинается выпуск рабочих чертежей. Его характеристика: 400 л.с. при 1700 об/мин, Д = 150 мм, ход – 180 мм, 12 цилиндров V-образно расположенных. Конструкция блочная, хорошо продумана, при проектировании пользовались материалами последних (новейших) авиационных и танковых моторов. По габаритам вполне подходит, имеется запас мощности. По мере изготовления чертежей будем В/посылать синьки, если Вы этого пожелаете».</w:t>
      </w:r>
    </w:p>
    <w:p w14:paraId="2243617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3. Д. 51. Л. 201 – 206] (24856).</w:t>
      </w:r>
    </w:p>
    <w:p w14:paraId="0DFE21FE" w14:textId="77777777" w:rsidR="00D30D2C" w:rsidRPr="00E93F40" w:rsidRDefault="00D30D2C" w:rsidP="00E93F40">
      <w:pPr>
        <w:spacing w:after="0" w:line="240" w:lineRule="auto"/>
        <w:jc w:val="both"/>
        <w:rPr>
          <w:rFonts w:ascii="Times New Roman" w:hAnsi="Times New Roman"/>
          <w:color w:val="000000" w:themeColor="text1"/>
          <w:sz w:val="16"/>
          <w:szCs w:val="16"/>
        </w:rPr>
      </w:pPr>
    </w:p>
    <w:p w14:paraId="4B2710B2" w14:textId="0806D30F"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4B8514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E122D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октября 1932 из партии были исключены “сообщники Рютина”, в т.ч. Каменев и Зиновьев, которых отправили в ссылку (3908,338).</w:t>
      </w:r>
    </w:p>
    <w:p w14:paraId="3A6BC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535889" w14:textId="77777777" w:rsidR="00E62702" w:rsidRPr="00E93F40" w:rsidRDefault="00E627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октября 1932 из партии исключили и отправили в ссылку Каменева и Зиновьева (21176).</w:t>
      </w:r>
    </w:p>
    <w:p w14:paraId="6E787062" w14:textId="77777777" w:rsidR="00E62702" w:rsidRPr="00E93F40" w:rsidRDefault="00E62702" w:rsidP="00E93F40">
      <w:pPr>
        <w:spacing w:after="0" w:line="240" w:lineRule="auto"/>
        <w:jc w:val="both"/>
        <w:rPr>
          <w:rFonts w:ascii="Times New Roman" w:hAnsi="Times New Roman"/>
          <w:color w:val="000000" w:themeColor="text1"/>
          <w:sz w:val="16"/>
          <w:szCs w:val="16"/>
        </w:rPr>
      </w:pPr>
    </w:p>
    <w:p w14:paraId="52D0C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октября 1932 параграфом 1 приказа № 10 по Дмитровскому ИТЛ (ДИТЛАГ, ДИТЛ) объявлялись «правила внутреннего распорядка жизни лагеря»:</w:t>
      </w:r>
    </w:p>
    <w:p w14:paraId="2E45F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Подъем 5 час. 30 мин (7560).</w:t>
      </w:r>
    </w:p>
    <w:p w14:paraId="4C427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Завтрак с 5-45 до 6-30 м (7560).</w:t>
      </w:r>
    </w:p>
    <w:p w14:paraId="2D74C0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Развод на работу с 6-30 до 7 час (7560).</w:t>
      </w:r>
    </w:p>
    <w:p w14:paraId="72F7C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выходе на работу партиями з/к установить строго по 5 чел. замкнутыми рядами (7560).</w:t>
      </w:r>
    </w:p>
    <w:p w14:paraId="27682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4) Рабочий день считать с 7 час. до 17 час В течение этого времени з/к. з/к. [видимо, к этому моменту аббревиатура з/к - заключенный - употреблялась лишь в единственном числе] выполняют заданные им трудовые нормы, по окончании работ выстраиваются стройными рядами по 5 в ряду и следуют в таком порядке в лагерь (7560).</w:t>
      </w:r>
    </w:p>
    <w:p w14:paraId="62AE4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Обед с 17 до 19 часов, во время обеда з/к. з/к. соблюдают полный порядок очереди за получением такового на кухне поротно отнюдь не допуская сутолоки, толкотни, ругани (7560).</w:t>
      </w:r>
    </w:p>
    <w:p w14:paraId="51EBC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Вечер пункта с 19 до 22 ч., который представляется для работы КВЧ (7560).</w:t>
      </w:r>
    </w:p>
    <w:p w14:paraId="5C858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Отбой на сон в 22 часа 5 мин. После отбоя приостанавливается всякое движение по лагерю з/к. з/к за исключением выхода для отправления естественных надобностей. З/к.з/к должны быть всегда раздеты и спать не допуская переговоров с соседями. Верхняя одежда должна быть опрятно сложена (7560).</w:t>
      </w:r>
    </w:p>
    <w:p w14:paraId="093FC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лагпункта определить запретную зону хождения з/к. з/к., каковую воспретить особенно в ночное время; одновременно разъяснить всем з/к. з/к., что при появлении в ночное время з/к. з/к. на линии огня за запретной зоной будут рассматриваться как попытка совершить побег, а поэтому часовые стоящие на постах будут применять оружие без предупреждения (7560).</w:t>
      </w:r>
    </w:p>
    <w:p w14:paraId="6ED54D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Разжигание костров после отбоя не разрешается» (7560).</w:t>
      </w:r>
    </w:p>
    <w:p w14:paraId="080AC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Вторым параграфом того же приказа зачислялись «в списки и все виды довольствия согласно списка» заключенные, прибывшие из следующих лагерей ОГПУ: Белбалтлага - 12 человек (прибыли с 8 октября), Свирлага - 144 человека (с 5 октября), Темлага - 1 (с 5 октября), Балахнинского ИТЛ - 5 человек (с 5 октября). Параграф третий предписывал пятерых «скрывшихся заключенных из ДИТЛАГа ОГПУ... исключить из списков лагеря и всех видов довольствия... , а унесенное обмундирование согласно арматурного списка - списать» (7560).</w:t>
      </w:r>
    </w:p>
    <w:p w14:paraId="214EF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E8647B" w14:textId="77777777" w:rsidR="00BC161D"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A63BAF2" w14:textId="77777777" w:rsidR="00BC161D" w:rsidRPr="00E93F40" w:rsidRDefault="00BC161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F079DEB"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9 октября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1260/369сс об обеспечении оборонительных работ ОКДВА (ГА РФ. Ф. Р?8418. Оп. 28. Д. 1а. Л. 372?374) (12415).</w:t>
      </w:r>
    </w:p>
    <w:p w14:paraId="72422F90"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p>
    <w:p w14:paraId="7027966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9C2E23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6C18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октября 1932 Рейхстаг дал чрезвычайные полномочия правительству Штреземана (2443,402).</w:t>
      </w:r>
    </w:p>
    <w:p w14:paraId="41F07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ED176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FA88B1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ED9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начались гос. испытания серийного АНТ-6 (ТБ-3) и после них начали производство на трех заводах: 22 и 39, а 38 по кооперации поставлял комплекты хвостов. Первая серия из 10 была выпущена в апреле 1932 - для первомайского парада (156,17).</w:t>
      </w:r>
    </w:p>
    <w:p w14:paraId="1967A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9E41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Ст. техником самолетной группы Гольцманом для нач. НТОС Машкевича была подготовлена докладная записка N 0-90/63?? о состоянии работ по опытным самолетам:</w:t>
      </w:r>
    </w:p>
    <w:p w14:paraId="2A47F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 4М-34</w:t>
      </w:r>
    </w:p>
    <w:p w14:paraId="25C6B8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производством в ЗОК ЦАГИ заканчивается. Все основные агрегаты машины изготовлены: выхлопа, водорадиаторы, моторные установки, бензобаки, маслобаки, винты, вооружение, капоты, производятся мелкие доделки и подгонка к радиаторам, которая д. закончится к 10 октября 1932...</w:t>
      </w:r>
    </w:p>
    <w:p w14:paraId="53AE4E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Четыре мотора с завода 24 получены и установлены. Срок выхода на заводские испытания по темпу работ д.б. выдержан согласно плану.</w:t>
      </w:r>
    </w:p>
    <w:p w14:paraId="61092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 2М-34</w:t>
      </w:r>
    </w:p>
    <w:p w14:paraId="380C69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Проектированием машина закончена. Чертежи получены полностью кроме доводок. Срок начала подачи доводок - 20.09. Основное производство машины закончено. Подготовлены и собраны все основные агрегаты. Оборудование машины закончено, кроме фотооборудования и радио. Монтаж масляных и бензопроводов по макетам выполнен. Макеты сняты, моторы отсутствуют... Машине срочно необходимы моторы. Срок выхода на аэродром 1 января 1933.</w:t>
      </w:r>
    </w:p>
    <w:p w14:paraId="4F269D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Дублер</w:t>
      </w:r>
    </w:p>
    <w:p w14:paraId="177A8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Находится в постройке, собраны фюзеляж и крылья. Производится доделка центроплана и хвостовой части фюзеляжа. Передние части заканчиваются сборкой каркаса. Изготовлены отъемные элероны крыльев. Производятся мелкие работы по оперению.</w:t>
      </w:r>
    </w:p>
    <w:p w14:paraId="52204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С-62 М-34</w:t>
      </w:r>
    </w:p>
    <w:p w14:paraId="3A799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Моторная рама под М-34 изготовлена и смонтирована на лодке С-62. Мотор отсутствует. Доп. баки бензина не закончены вследствие загрузки цеха срочными работами по другим объектам. Маслобаки не готовы. Срок их изготовления намечен к 15 октября 1932... Машина при получении мотора и соответствующего испытания д.б. отправлена на завод 31.</w:t>
      </w:r>
    </w:p>
    <w:p w14:paraId="64A237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6М-34</w:t>
      </w:r>
    </w:p>
    <w:p w14:paraId="3E4AA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Основное производство машины закончено. Оборудование машины почти закончено. Отсутствует установка радиостанции и фототурели. Агрегаты вооружения подготовлены для установки. 8 октября д.б. закончена установка тандема. Происходит задержка в производстве бензо и маслобака за недостатком квалифицированной РС. заканчиваются в работе стойки шасси, производится сборка амортизаторов. Отмечается несвоевременная подача чертежей по моторной части, тандему, спецоборудованию... Водяные радиаторы находятся на испытаниях на 32 заводе. К моменту выпуска машины все агрегаты д.б. закончены. На машине отсутствуют летные моторы, что задерживает производство работ.</w:t>
      </w:r>
    </w:p>
    <w:p w14:paraId="4FECF2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головной</w:t>
      </w:r>
    </w:p>
    <w:p w14:paraId="5018E4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Изготовлены крылья. Изготовлены узлы лонжерона центроплана и произведена правка их профилей. Ведется работа по центроплану. Чертежи по лонжеронам цп получены полностью. Чертежи нервюр и передней части фюзеляжа получены. Ощущается задержка по чертежам хвостовой части фюзеляжа.</w:t>
      </w:r>
    </w:p>
    <w:p w14:paraId="65FCD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М-34</w:t>
      </w:r>
    </w:p>
    <w:p w14:paraId="2F213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находится в ЗОК ЦАГИ. Мотор отсутствует, что тормозит работу. В ближайшие дни машина д.б. передана для дооборудования и отделки на завод 1</w:t>
      </w:r>
    </w:p>
    <w:p w14:paraId="27C2A8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И-13</w:t>
      </w:r>
    </w:p>
    <w:p w14:paraId="71B4A9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Ведутся подготовительные работы по проектированию самолета.</w:t>
      </w:r>
    </w:p>
    <w:p w14:paraId="3AE3C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w:t>
      </w:r>
    </w:p>
    <w:p w14:paraId="50539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Чертежи в основное производство сданы, осталось частично сдать чертежи по фюзеляжу, по ножному и ручному управлению и общий вид крыла с обшивками. Окончательный срок сдачи всех чертежей - 20 ноября. Между бригадой и плановым отделом заключен хозрасчетный договор. Мотор предполагается поставить заграничный.</w:t>
      </w:r>
    </w:p>
    <w:p w14:paraId="31F8A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ЛР</w:t>
      </w:r>
    </w:p>
    <w:p w14:paraId="2B98FD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Сданы чертежи центроплана полностью. Частично сданы чертежи крыльев. В ближайшие дни сдаются чертежи по ВМГ. 30 октября чертежи будут полностью выполнены и 30 декабря все чертежи будут сданы на завод. Сроки работ опережают намеченный план.</w:t>
      </w:r>
    </w:p>
    <w:p w14:paraId="2753C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МДР-3бис</w:t>
      </w:r>
    </w:p>
    <w:p w14:paraId="548DF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начаты подготовительные работы, каковые впоследствии приостановлены вследствие усиления работ по МК</w:t>
      </w:r>
    </w:p>
    <w:p w14:paraId="65B72B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МК-1</w:t>
      </w:r>
    </w:p>
    <w:p w14:paraId="3F14C7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Производится проектирование машины. все чертежи сдаются к 1 января 1933. К 15 января сдаются все мелкие доделки. процент подачи конструкторских чертежей на 1 октября выражается в 55%. Выход самолета на аэродром предполагается ранее установленного срока - к 1 июля 1933.</w:t>
      </w:r>
    </w:p>
    <w:p w14:paraId="1B2AC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w:t>
      </w:r>
    </w:p>
    <w:p w14:paraId="5225DC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Изготовлены отъемные части фюзеляжа. Работы ведутся по центроплану, элеронам. Отсутствуют чертежи по хвостовой и передней части фюзеляжа, оперению и моторному хозяйству.</w:t>
      </w:r>
    </w:p>
    <w:p w14:paraId="117DD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СК-1</w:t>
      </w:r>
    </w:p>
    <w:p w14:paraId="23555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машины начато с 15 сентября 1932. Изготовлены чертежи на макет и модели. Чертежи на: крылья, элероны, моторамы, фюзеляж и оперение д.б. поданы за ноябрь и декабрь. Для проектирования машины заключен хозрасчетный договор с 10 бригадой, каковая обязуется изготовить все чертежи за 6 месяцев, т.е. к 30 марта 1933.</w:t>
      </w:r>
    </w:p>
    <w:p w14:paraId="1B4369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М-34</w:t>
      </w:r>
    </w:p>
    <w:p w14:paraId="04344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в последнее время была в полетах и с увеличением маслорадиаторов до 1.4 кв. м результаты оказались неудовлетворительными. При 7-8 гр. наружной темп. темп. масла - 97. Мотор требует подогрева. Проводится работа по установке добавочного маслорадиатора от ТБ-3. Т.о. охлаждающая площадь будет равна 7 кв. м. Ставится подогрев и отводы в всасывающие патрубки на бока. Машина будет готова к новым испытаниям к 12 октября 1932.</w:t>
      </w:r>
    </w:p>
    <w:p w14:paraId="65CDC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Р-6-2202</w:t>
      </w:r>
    </w:p>
    <w:p w14:paraId="214D52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Машина отправлена летом в Таганрог 27 сентября 1932 для совместных испытаний с НИИ. Оттуда полетела в Севастополь для испытаний поплавкового шасси и поплавков.</w:t>
      </w:r>
    </w:p>
    <w:p w14:paraId="2E59E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 2202</w:t>
      </w:r>
    </w:p>
    <w:p w14:paraId="49F06B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Производится испытание установленного вооружения. Частично испытаны башни и укороченные балки. Ввиду необходимости замены на машине 4-х моторов по причине их изношенности и в то же время отсутствие этих моторов может отразится на сроке дальнейшей эксплуатации самолета. Для окончания испытания вооружения необходимо сделать 8-10 полетов. При условии удовлетворительной работы мотора, испытание м.б. окончено к 22-23 октября.</w:t>
      </w:r>
    </w:p>
    <w:p w14:paraId="2745B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М-17 с тормозными колесами</w:t>
      </w:r>
    </w:p>
    <w:p w14:paraId="39637B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машина прошла полностью. Из-за частой поломки узла крепления костыля, он будет переконструирован с установкой соответствующего ролика. В настоящее время все костыльное хозяйство усиливается. машина будет окончательно готова к 9 октября. тормозные колеса также прошли полностью свои испытания, сделаны 150 посадок и действие их оказалось удовлетворительным. Предстоит сдача самолета в НИИ 10-12 октября.</w:t>
      </w:r>
    </w:p>
    <w:p w14:paraId="38798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w:t>
      </w:r>
    </w:p>
    <w:p w14:paraId="285ACA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перелетел в Монино с целью испытания действия орудий. Результаты считать вполне удовлетворительными нельзя. На это имеется соответствующий акт. Решено машину разобрать, моторы снять, отправить орудие с хвостовым оперением на завод 8 для дальнейшего испытания. Отправка намечена на 13-14 октября.</w:t>
      </w:r>
    </w:p>
    <w:p w14:paraId="3E099F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И-4 1649</w:t>
      </w:r>
    </w:p>
    <w:p w14:paraId="12274C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для испытания действия орудий направлена в Монино, где отстреливалась уменьшенным снарядом. Несмотря на это действие на фюзеляж сказывается. Соответствующий акт по этому испытанию имеется и д.б. прислан в НТОС. дальнейшие опыты с установкой этих пушек на этой машине производить видно не будут, по согласованию с нач. ЦКБ ЦАГИ.</w:t>
      </w:r>
    </w:p>
    <w:p w14:paraId="08A60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Р-7 АНТ-10</w:t>
      </w:r>
    </w:p>
    <w:p w14:paraId="65522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Сдана в НИИ</w:t>
      </w:r>
    </w:p>
    <w:p w14:paraId="1B1A33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 с поворотными стойками</w:t>
      </w:r>
    </w:p>
    <w:p w14:paraId="572FF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прошел предварительные испытания на штопор, на виражи, пикирование и началось испытание на штопор. При посадке произошла поломка правого нижнего крыла. Самолетному тресту отдан приказ НТОС о даче срочного наряда на крыло заводу 21. испытание поворотных стоек приостановлено впредь до получения крыла.</w:t>
      </w:r>
    </w:p>
    <w:p w14:paraId="6692EB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w:t>
      </w:r>
    </w:p>
    <w:p w14:paraId="2D5B0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химвооружения. В ЗОК даны указания по исправлению химвооружения, каковые д.б. закончены в октябре.</w:t>
      </w:r>
    </w:p>
    <w:p w14:paraId="177FC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К-7</w:t>
      </w:r>
    </w:p>
    <w:p w14:paraId="1D3F7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самолета закончено. Полностью проведен аэродинамический расчет для различных вариантов нагрузок и назначений самолета. Построен на производстве пъедистальный стапель, на котором будет производится сборка самолета. Изготовляется на производстве крылья с центропланом, хвостовые фермы, детали управления, бензиновые баки, маслобаки. Изготовлены детали для статиспытания, моторама, рубка, нервюры и лонжероны крыла. Производится закалка и отпуск хромомолибденовых труб. Сделано всякого рода большое количество приспособлений для сварки (2314).</w:t>
      </w:r>
    </w:p>
    <w:p w14:paraId="26D9A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84A5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был подготовлен Доклад в комиссию обороны с проектом постановления (3082)О срыве постановления СТО от 5.04. и ЦК ВКП(б) от 5.07.32 г. по вооружению тяжелой авиации радиостанциями.</w:t>
      </w:r>
    </w:p>
    <w:p w14:paraId="06C98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постановления: Обязать НКТП под ответственность Орджоникидзе поставить к 1.01.33 г.</w:t>
      </w:r>
    </w:p>
    <w:p w14:paraId="7BE3A1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радиостанции II-СК - 500 штук</w:t>
      </w:r>
    </w:p>
    <w:p w14:paraId="66C24C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радиостанции II-АК - 40 штук.</w:t>
      </w:r>
    </w:p>
    <w:p w14:paraId="46F4F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пред. РВС от 20.12.32 г. (3082).</w:t>
      </w:r>
    </w:p>
    <w:p w14:paraId="3E02F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1EF88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впервые в СССР была выполнена слепая посадка на У-2 (система Н.А.Корбанского) (271,130).</w:t>
      </w:r>
    </w:p>
    <w:p w14:paraId="2D4F21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A72D06" w14:textId="366FCCFB" w:rsidR="009B2B83" w:rsidRPr="00E93F40" w:rsidRDefault="009B2B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Впервые в СССР осуществлена слепая посадка самолета У-2 (по системе военинженера 1 ранга Н.А. Корбанского) (22341).</w:t>
      </w:r>
    </w:p>
    <w:p w14:paraId="1F771D84" w14:textId="77777777" w:rsidR="009B2B83" w:rsidRPr="00E93F40" w:rsidRDefault="009B2B83" w:rsidP="00E93F40">
      <w:pPr>
        <w:spacing w:after="0" w:line="240" w:lineRule="auto"/>
        <w:jc w:val="both"/>
        <w:rPr>
          <w:rFonts w:ascii="Times New Roman" w:hAnsi="Times New Roman"/>
          <w:color w:val="000000" w:themeColor="text1"/>
          <w:sz w:val="16"/>
          <w:szCs w:val="16"/>
        </w:rPr>
      </w:pPr>
    </w:p>
    <w:p w14:paraId="2D672206"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октября 1932 года впервые в нашей стране лётчиком В.М. Жарковским на лёгком биплане У-2 при полном отсутствии видимости земли была выполнена «слепая» посадка (25129).</w:t>
      </w:r>
    </w:p>
    <w:p w14:paraId="6891044A" w14:textId="77777777" w:rsidR="00BB5252" w:rsidRPr="00142305" w:rsidRDefault="00BB5252" w:rsidP="00BB5252">
      <w:pPr>
        <w:spacing w:after="0" w:line="240" w:lineRule="auto"/>
        <w:jc w:val="both"/>
        <w:rPr>
          <w:rFonts w:ascii="Times New Roman" w:hAnsi="Times New Roman"/>
          <w:color w:val="0070C0"/>
          <w:sz w:val="16"/>
          <w:szCs w:val="16"/>
        </w:rPr>
      </w:pPr>
    </w:p>
    <w:p w14:paraId="4FC59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мотор М-58 был поставлен на гос. испытания (2310,130).</w:t>
      </w:r>
    </w:p>
    <w:p w14:paraId="69E2B5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46D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10 октября 1932 начались 8 Всесоюзные планерные состязания и шли до 31 октября (271,130), а по другим данным - до 10 ноября 1932 (438,637).</w:t>
      </w:r>
    </w:p>
    <w:p w14:paraId="6DDE5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69A4D34" w14:textId="77777777" w:rsidR="009B2B83" w:rsidRPr="00E93F40" w:rsidRDefault="009B2B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г. в Хлебникове на бывшей воздухоплава</w:t>
      </w:r>
      <w:r w:rsidRPr="00E93F40">
        <w:rPr>
          <w:rFonts w:ascii="Times New Roman" w:hAnsi="Times New Roman"/>
          <w:color w:val="000000" w:themeColor="text1"/>
          <w:sz w:val="16"/>
          <w:szCs w:val="16"/>
        </w:rPr>
        <w:softHyphen/>
        <w:t>тельной базе Осоавиахима впервые получили водород щёлочно-кремниевым методом. На Челябинском заводе освоили производство отечественного силиколя (чистотой 75%) (20120).</w:t>
      </w:r>
    </w:p>
    <w:p w14:paraId="38909470" w14:textId="77777777" w:rsidR="009B2B83" w:rsidRPr="00E93F40" w:rsidRDefault="009B2B83" w:rsidP="00E93F40">
      <w:pPr>
        <w:spacing w:after="0" w:line="240" w:lineRule="auto"/>
        <w:jc w:val="both"/>
        <w:rPr>
          <w:rFonts w:ascii="Times New Roman" w:hAnsi="Times New Roman"/>
          <w:color w:val="000000" w:themeColor="text1"/>
          <w:sz w:val="16"/>
          <w:szCs w:val="16"/>
        </w:rPr>
      </w:pPr>
    </w:p>
    <w:p w14:paraId="04FC354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A937FB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04BACF" w14:textId="504C1B6A" w:rsidR="007C2F54" w:rsidRPr="00E93F40" w:rsidRDefault="007C2F5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г. С целью выявления «узких мест» в работе военных предприятий и их устранения в Научно-техническом управлении (НТУ) АУ было проведено совещание по минометному производству с участием представителей военного ведомства и заводов кооперации, на котором обсуждался широкий спектр тем, касающихся выбора материалов и технологий и вариантов их замены, учитывая текущую обеспеченность сырьем и производственные возможности предприятий, чтобы в конечном итоге удовлетворять требованиям заказчика. В частности, обсуждались вопросы выбора типа стали для стволов минометов (легированная, углеродистая, термически обработанная, цементированная), необходимости механической обработки (шлифовки) канала ствола миномета и возможности снижения требований по допускам на такую обработку и т.д.203 (20074).</w:t>
      </w:r>
    </w:p>
    <w:p w14:paraId="4C7F570A" w14:textId="77777777" w:rsidR="007C2F54" w:rsidRPr="00E93F40" w:rsidRDefault="007C2F54" w:rsidP="00E93F40">
      <w:pPr>
        <w:spacing w:after="0" w:line="240" w:lineRule="auto"/>
        <w:jc w:val="both"/>
        <w:rPr>
          <w:rFonts w:ascii="Times New Roman" w:hAnsi="Times New Roman"/>
          <w:color w:val="000000" w:themeColor="text1"/>
          <w:sz w:val="16"/>
          <w:szCs w:val="16"/>
        </w:rPr>
      </w:pPr>
    </w:p>
    <w:p w14:paraId="679844EF" w14:textId="77777777" w:rsidR="001E30C2" w:rsidRPr="00E93F40" w:rsidRDefault="001E30C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в Харьковском физико-техническом институте впервые в СССР проведена ядерная реакция по расщеплению атомного ядра лития (12629).</w:t>
      </w:r>
    </w:p>
    <w:p w14:paraId="57996568" w14:textId="77777777" w:rsidR="001E30C2" w:rsidRPr="00E93F40" w:rsidRDefault="001E30C2" w:rsidP="00E93F40">
      <w:pPr>
        <w:autoSpaceDE w:val="0"/>
        <w:autoSpaceDN w:val="0"/>
        <w:adjustRightInd w:val="0"/>
        <w:spacing w:after="0" w:line="240" w:lineRule="auto"/>
        <w:jc w:val="both"/>
        <w:rPr>
          <w:rFonts w:ascii="Times New Roman" w:hAnsi="Times New Roman"/>
          <w:color w:val="000000" w:themeColor="text1"/>
          <w:sz w:val="16"/>
          <w:szCs w:val="16"/>
        </w:rPr>
      </w:pPr>
    </w:p>
    <w:p w14:paraId="6956286F" w14:textId="77777777" w:rsidR="007C2F54" w:rsidRPr="00E93F40" w:rsidRDefault="007C2F54"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в Харьковском физико-техническом институте впервые в СССР проведена ядерная реакция по расщеплению атомного ядра лития (4962).</w:t>
      </w:r>
    </w:p>
    <w:p w14:paraId="295A20B6" w14:textId="77777777" w:rsidR="007C2F54" w:rsidRPr="00E93F40" w:rsidRDefault="007C2F54"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C1A4DB" w14:textId="77777777" w:rsidR="007C2F54" w:rsidRPr="00E93F40" w:rsidRDefault="007C2F5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года В Харьковском физико-техническом институте впервые в СССР проведена ядерная реакция по расщеплению атомного ядра лития. Расщепление ядра атома лития провели Антон Вальтер, Георгий Латышев, Александр Лейпунский и Кирилл Синельников. В дальнейшем, в УФТИ получили жидкий водород и жидкий гелий, построили первую радиолокационную установку, институт также является первопроходцем советской высоковакуумной техники, развившейся в промышленную вакуумную металлургию (21176).</w:t>
      </w:r>
    </w:p>
    <w:p w14:paraId="0CDE3702" w14:textId="77777777" w:rsidR="007C2F54" w:rsidRPr="00E93F40" w:rsidRDefault="007C2F54" w:rsidP="00E93F40">
      <w:pPr>
        <w:spacing w:after="0" w:line="240" w:lineRule="auto"/>
        <w:jc w:val="both"/>
        <w:rPr>
          <w:rFonts w:ascii="Times New Roman" w:hAnsi="Times New Roman"/>
          <w:color w:val="000000" w:themeColor="text1"/>
          <w:sz w:val="16"/>
          <w:szCs w:val="16"/>
        </w:rPr>
      </w:pPr>
    </w:p>
    <w:p w14:paraId="32D42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г. головная лодка серии Vбис "Стерлядь" (Щ-113) была заложена на ленинградском заводе им. А. Марти, собрана на Дальзаводе и вступила в строй Морских сил Дальнего Востока в январе 1935 г. Эти же заводы построили лодки "Севрюга" (Щ-114), "Осетр" (Щ-116), "Белуга" (Щ-119) и "Навага" (Щ-120). Одновременно Балтийский завод и Дальзавод построили лодки "Скат" (Щ-115), "Макрель" (Щ-117) и "Кефаль" (Щ-118). Всего до марта 1935 г. в состав Морских сил Дальнего Востока по</w:t>
      </w:r>
      <w:r w:rsidRPr="00E93F40">
        <w:rPr>
          <w:rFonts w:ascii="Times New Roman" w:hAnsi="Times New Roman"/>
          <w:color w:val="000000" w:themeColor="text1"/>
          <w:sz w:val="16"/>
          <w:szCs w:val="16"/>
        </w:rPr>
        <w:softHyphen/>
        <w:t>ступили восемь подводных лодок Убис серии, которые довели об</w:t>
      </w:r>
      <w:r w:rsidRPr="00E93F40">
        <w:rPr>
          <w:rFonts w:ascii="Times New Roman" w:hAnsi="Times New Roman"/>
          <w:color w:val="000000" w:themeColor="text1"/>
          <w:sz w:val="16"/>
          <w:szCs w:val="16"/>
        </w:rPr>
        <w:softHyphen/>
        <w:t>щее количество лодок типа "Щука" на этом театре до 20.</w:t>
      </w:r>
    </w:p>
    <w:p w14:paraId="0FBA9C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Четыре лодки Убис серии были построены для Морских сил Черного моря. Из них "Сазан" (Щ-201), "Сельдь" (Щ-202) и "Ми</w:t>
      </w:r>
      <w:r w:rsidRPr="00E93F40">
        <w:rPr>
          <w:rFonts w:ascii="Times New Roman" w:hAnsi="Times New Roman"/>
          <w:color w:val="000000" w:themeColor="text1"/>
          <w:sz w:val="16"/>
          <w:szCs w:val="16"/>
        </w:rPr>
        <w:softHyphen/>
        <w:t>нога" (Щ-204) — заводом им. А. Марти в Ленинграде со сборкой на николаевском заводе им. 61 Коммунара. "Камбалу" (Щ-203) собра</w:t>
      </w:r>
      <w:r w:rsidRPr="00E93F40">
        <w:rPr>
          <w:rFonts w:ascii="Times New Roman" w:hAnsi="Times New Roman"/>
          <w:color w:val="000000" w:themeColor="text1"/>
          <w:sz w:val="16"/>
          <w:szCs w:val="16"/>
        </w:rPr>
        <w:softHyphen/>
        <w:t>ли там же, но из секций, изготовленных на Балтийском заводе. Для Морских сил Балтийского моря завод им. А. Марти построил "Линь" (Щ-305), а завод "Красное Сормово" — "Семгу" (Щ-308). Последней вступила в строй в декабре 1935 г. Щ-204. Таким обра</w:t>
      </w:r>
      <w:r w:rsidRPr="00E93F40">
        <w:rPr>
          <w:rFonts w:ascii="Times New Roman" w:hAnsi="Times New Roman"/>
          <w:color w:val="000000" w:themeColor="text1"/>
          <w:sz w:val="16"/>
          <w:szCs w:val="16"/>
        </w:rPr>
        <w:softHyphen/>
        <w:t>зом, всю серию создали в течение немногим более трех лет. (По другим, менее достоверным, данным, подводная лодка Щ-204 от</w:t>
      </w:r>
      <w:r w:rsidRPr="00E93F40">
        <w:rPr>
          <w:rFonts w:ascii="Times New Roman" w:hAnsi="Times New Roman"/>
          <w:color w:val="000000" w:themeColor="text1"/>
          <w:sz w:val="16"/>
          <w:szCs w:val="16"/>
        </w:rPr>
        <w:softHyphen/>
        <w:t>носилась уже к следующей серии лодок типа "Щука", а последним кораблем Убис серии была Щ-308, вступившая в строй в ноябре 1935 г.)</w:t>
      </w:r>
    </w:p>
    <w:p w14:paraId="05131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Лодки Убис серии практически повторяли предыдущие, от ко</w:t>
      </w:r>
      <w:r w:rsidRPr="00E93F40">
        <w:rPr>
          <w:rFonts w:ascii="Times New Roman" w:hAnsi="Times New Roman"/>
          <w:color w:val="000000" w:themeColor="text1"/>
          <w:sz w:val="16"/>
          <w:szCs w:val="16"/>
        </w:rPr>
        <w:softHyphen/>
        <w:t>торых отличались несколько измененными обводами носовой час</w:t>
      </w:r>
      <w:r w:rsidRPr="00E93F40">
        <w:rPr>
          <w:rFonts w:ascii="Times New Roman" w:hAnsi="Times New Roman"/>
          <w:color w:val="000000" w:themeColor="text1"/>
          <w:sz w:val="16"/>
          <w:szCs w:val="16"/>
        </w:rPr>
        <w:softHyphen/>
        <w:t>ти корпуса (длина 58,8 м). Скорость надводного хода составила 12,3 уз. (3898).</w:t>
      </w:r>
    </w:p>
    <w:p w14:paraId="486CB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5CF5F8" w14:textId="2129AF7F" w:rsidR="00826173" w:rsidRPr="00E93F40" w:rsidRDefault="00826173" w:rsidP="00E93F40">
      <w:pPr>
        <w:pStyle w:val="rtejustify"/>
        <w:spacing w:before="0" w:after="0"/>
        <w:rPr>
          <w:color w:val="000000" w:themeColor="text1"/>
          <w:sz w:val="16"/>
          <w:szCs w:val="16"/>
        </w:rPr>
      </w:pPr>
      <w:r w:rsidRPr="00E93F40">
        <w:rPr>
          <w:color w:val="000000" w:themeColor="text1"/>
          <w:sz w:val="16"/>
          <w:szCs w:val="16"/>
        </w:rPr>
        <w:t>10</w:t>
      </w:r>
      <w:r w:rsidR="007C1411" w:rsidRPr="00E93F40">
        <w:rPr>
          <w:color w:val="000000" w:themeColor="text1"/>
          <w:sz w:val="16"/>
          <w:szCs w:val="16"/>
        </w:rPr>
        <w:t xml:space="preserve"> </w:t>
      </w:r>
      <w:r w:rsidRPr="00E93F40">
        <w:rPr>
          <w:color w:val="000000" w:themeColor="text1"/>
          <w:sz w:val="16"/>
          <w:szCs w:val="16"/>
        </w:rPr>
        <w:t>октября 1932</w:t>
      </w:r>
      <w:r w:rsidR="007C1411" w:rsidRPr="00E93F40">
        <w:rPr>
          <w:color w:val="000000" w:themeColor="text1"/>
          <w:sz w:val="16"/>
          <w:szCs w:val="16"/>
        </w:rPr>
        <w:t xml:space="preserve"> </w:t>
      </w:r>
      <w:r w:rsidRPr="00E93F40">
        <w:rPr>
          <w:color w:val="000000" w:themeColor="text1"/>
          <w:sz w:val="16"/>
          <w:szCs w:val="16"/>
        </w:rPr>
        <w:t>г. Головная</w:t>
      </w:r>
      <w:r w:rsidR="007C1411" w:rsidRPr="00E93F40">
        <w:rPr>
          <w:color w:val="000000" w:themeColor="text1"/>
          <w:sz w:val="16"/>
          <w:szCs w:val="16"/>
        </w:rPr>
        <w:t xml:space="preserve"> </w:t>
      </w:r>
      <w:r w:rsidRPr="00E93F40">
        <w:rPr>
          <w:color w:val="000000" w:themeColor="text1"/>
          <w:sz w:val="16"/>
          <w:szCs w:val="16"/>
        </w:rPr>
        <w:t>— «Стерлядь»</w:t>
      </w:r>
      <w:r w:rsidR="007C1411" w:rsidRPr="00E93F40">
        <w:rPr>
          <w:color w:val="000000" w:themeColor="text1"/>
          <w:sz w:val="16"/>
          <w:szCs w:val="16"/>
        </w:rPr>
        <w:t xml:space="preserve"> </w:t>
      </w:r>
      <w:r w:rsidRPr="00E93F40">
        <w:rPr>
          <w:color w:val="000000" w:themeColor="text1"/>
          <w:sz w:val="16"/>
          <w:szCs w:val="16"/>
        </w:rPr>
        <w:t>— была заложена на Ленинградском заводе им.</w:t>
      </w:r>
      <w:r w:rsidR="007C1411" w:rsidRPr="00E93F40">
        <w:rPr>
          <w:color w:val="000000" w:themeColor="text1"/>
          <w:sz w:val="16"/>
          <w:szCs w:val="16"/>
        </w:rPr>
        <w:t xml:space="preserve"> </w:t>
      </w:r>
      <w:r w:rsidRPr="00E93F40">
        <w:rPr>
          <w:color w:val="000000" w:themeColor="text1"/>
          <w:sz w:val="16"/>
          <w:szCs w:val="16"/>
        </w:rPr>
        <w:t>Марти, собрана на Дальзаводе и вступила в строй морских сил Дальнего Востока в январе 1935</w:t>
      </w:r>
      <w:r w:rsidR="007C1411" w:rsidRPr="00E93F40">
        <w:rPr>
          <w:color w:val="000000" w:themeColor="text1"/>
          <w:sz w:val="16"/>
          <w:szCs w:val="16"/>
        </w:rPr>
        <w:t xml:space="preserve"> </w:t>
      </w:r>
      <w:r w:rsidRPr="00E93F40">
        <w:rPr>
          <w:color w:val="000000" w:themeColor="text1"/>
          <w:sz w:val="16"/>
          <w:szCs w:val="16"/>
        </w:rPr>
        <w:t>г. Строительство шло также на Балтийском заводе и Дальзаводе. Всего до марта 1935</w:t>
      </w:r>
      <w:r w:rsidR="007C1411" w:rsidRPr="00E93F40">
        <w:rPr>
          <w:color w:val="000000" w:themeColor="text1"/>
          <w:sz w:val="16"/>
          <w:szCs w:val="16"/>
        </w:rPr>
        <w:t xml:space="preserve"> </w:t>
      </w:r>
      <w:r w:rsidRPr="00E93F40">
        <w:rPr>
          <w:color w:val="000000" w:themeColor="text1"/>
          <w:sz w:val="16"/>
          <w:szCs w:val="16"/>
        </w:rPr>
        <w:t>г. в состав морских сил Дальнего Востока поступили восемь подводных лодок V</w:t>
      </w:r>
      <w:r w:rsidRPr="00E93F40">
        <w:rPr>
          <w:color w:val="000000" w:themeColor="text1"/>
          <w:sz w:val="16"/>
          <w:szCs w:val="16"/>
        </w:rPr>
        <w:noBreakHyphen/>
        <w:t>бис серии. Четыре лодки V</w:t>
      </w:r>
      <w:r w:rsidRPr="00E93F40">
        <w:rPr>
          <w:color w:val="000000" w:themeColor="text1"/>
          <w:sz w:val="16"/>
          <w:szCs w:val="16"/>
        </w:rPr>
        <w:noBreakHyphen/>
        <w:t>бис серии были построены для морских сил Черного моря на заводе им.</w:t>
      </w:r>
      <w:r w:rsidR="007C1411" w:rsidRPr="00E93F40">
        <w:rPr>
          <w:color w:val="000000" w:themeColor="text1"/>
          <w:sz w:val="16"/>
          <w:szCs w:val="16"/>
        </w:rPr>
        <w:t xml:space="preserve"> </w:t>
      </w:r>
      <w:r w:rsidRPr="00E93F40">
        <w:rPr>
          <w:color w:val="000000" w:themeColor="text1"/>
          <w:sz w:val="16"/>
          <w:szCs w:val="16"/>
        </w:rPr>
        <w:t>Марти в Ленинграде со сборкой на заводе им.</w:t>
      </w:r>
      <w:r w:rsidR="007C1411" w:rsidRPr="00E93F40">
        <w:rPr>
          <w:color w:val="000000" w:themeColor="text1"/>
          <w:sz w:val="16"/>
          <w:szCs w:val="16"/>
        </w:rPr>
        <w:t xml:space="preserve"> </w:t>
      </w:r>
      <w:r w:rsidRPr="00E93F40">
        <w:rPr>
          <w:color w:val="000000" w:themeColor="text1"/>
          <w:sz w:val="16"/>
          <w:szCs w:val="16"/>
        </w:rPr>
        <w:t>«61</w:t>
      </w:r>
      <w:r w:rsidR="007C1411" w:rsidRPr="00E93F40">
        <w:rPr>
          <w:color w:val="000000" w:themeColor="text1"/>
          <w:sz w:val="16"/>
          <w:szCs w:val="16"/>
        </w:rPr>
        <w:t xml:space="preserve"> </w:t>
      </w:r>
      <w:r w:rsidRPr="00E93F40">
        <w:rPr>
          <w:color w:val="000000" w:themeColor="text1"/>
          <w:sz w:val="16"/>
          <w:szCs w:val="16"/>
        </w:rPr>
        <w:t>коммунара» (г.</w:t>
      </w:r>
      <w:r w:rsidR="007C1411" w:rsidRPr="00E93F40">
        <w:rPr>
          <w:color w:val="000000" w:themeColor="text1"/>
          <w:sz w:val="16"/>
          <w:szCs w:val="16"/>
        </w:rPr>
        <w:t xml:space="preserve"> </w:t>
      </w:r>
      <w:r w:rsidRPr="00E93F40">
        <w:rPr>
          <w:color w:val="000000" w:themeColor="text1"/>
          <w:sz w:val="16"/>
          <w:szCs w:val="16"/>
        </w:rPr>
        <w:t>Николаев). Последняя лодка этой серии вступила в строй в декабре 1935</w:t>
      </w:r>
      <w:r w:rsidR="007C1411" w:rsidRPr="00E93F40">
        <w:rPr>
          <w:color w:val="000000" w:themeColor="text1"/>
          <w:sz w:val="16"/>
          <w:szCs w:val="16"/>
        </w:rPr>
        <w:t xml:space="preserve"> </w:t>
      </w:r>
      <w:r w:rsidRPr="00E93F40">
        <w:rPr>
          <w:color w:val="000000" w:themeColor="text1"/>
          <w:sz w:val="16"/>
          <w:szCs w:val="16"/>
        </w:rPr>
        <w:t>г. Одновременно с разработкой общего проекта V</w:t>
      </w:r>
      <w:r w:rsidRPr="00E93F40">
        <w:rPr>
          <w:color w:val="000000" w:themeColor="text1"/>
          <w:sz w:val="16"/>
          <w:szCs w:val="16"/>
        </w:rPr>
        <w:noBreakHyphen/>
        <w:t xml:space="preserve">бис серии </w:t>
      </w:r>
      <w:r w:rsidRPr="00E93F40">
        <w:rPr>
          <w:color w:val="000000" w:themeColor="text1"/>
          <w:sz w:val="16"/>
          <w:szCs w:val="16"/>
        </w:rPr>
        <w:lastRenderedPageBreak/>
        <w:t>ЦКБС</w:t>
      </w:r>
      <w:r w:rsidRPr="00E93F40">
        <w:rPr>
          <w:color w:val="000000" w:themeColor="text1"/>
          <w:sz w:val="16"/>
          <w:szCs w:val="16"/>
        </w:rPr>
        <w:noBreakHyphen/>
        <w:t>2 разработало улучшенный проект средней лодки VIII</w:t>
      </w:r>
      <w:r w:rsidR="007C1411" w:rsidRPr="00E93F40">
        <w:rPr>
          <w:color w:val="000000" w:themeColor="text1"/>
          <w:sz w:val="16"/>
          <w:szCs w:val="16"/>
        </w:rPr>
        <w:t xml:space="preserve"> </w:t>
      </w:r>
      <w:r w:rsidRPr="00E93F40">
        <w:rPr>
          <w:color w:val="000000" w:themeColor="text1"/>
          <w:sz w:val="16"/>
          <w:szCs w:val="16"/>
        </w:rPr>
        <w:t>серии (позже V</w:t>
      </w:r>
      <w:r w:rsidRPr="00E93F40">
        <w:rPr>
          <w:color w:val="000000" w:themeColor="text1"/>
          <w:sz w:val="16"/>
          <w:szCs w:val="16"/>
        </w:rPr>
        <w:noBreakHyphen/>
        <w:t>бис II</w:t>
      </w:r>
      <w:r w:rsidR="007C1411" w:rsidRPr="00E93F40">
        <w:rPr>
          <w:color w:val="000000" w:themeColor="text1"/>
          <w:sz w:val="16"/>
          <w:szCs w:val="16"/>
        </w:rPr>
        <w:t xml:space="preserve"> </w:t>
      </w:r>
      <w:r w:rsidRPr="00E93F40">
        <w:rPr>
          <w:color w:val="000000" w:themeColor="text1"/>
          <w:sz w:val="16"/>
          <w:szCs w:val="16"/>
        </w:rPr>
        <w:t>серии) по заданию на «Щуку</w:t>
      </w:r>
      <w:r w:rsidRPr="00E93F40">
        <w:rPr>
          <w:color w:val="000000" w:themeColor="text1"/>
          <w:sz w:val="16"/>
          <w:szCs w:val="16"/>
        </w:rPr>
        <w:noBreakHyphen/>
        <w:t>Б». Головная лодка этой серии «Треска» была заложена на Балтийском заводе 6</w:t>
      </w:r>
      <w:r w:rsidR="007C1411" w:rsidRPr="00E93F40">
        <w:rPr>
          <w:color w:val="000000" w:themeColor="text1"/>
          <w:sz w:val="16"/>
          <w:szCs w:val="16"/>
        </w:rPr>
        <w:t xml:space="preserve"> </w:t>
      </w:r>
      <w:r w:rsidRPr="00E93F40">
        <w:rPr>
          <w:color w:val="000000" w:themeColor="text1"/>
          <w:sz w:val="16"/>
          <w:szCs w:val="16"/>
        </w:rPr>
        <w:t>ноября 1933</w:t>
      </w:r>
      <w:r w:rsidR="007C1411" w:rsidRPr="00E93F40">
        <w:rPr>
          <w:color w:val="000000" w:themeColor="text1"/>
          <w:sz w:val="16"/>
          <w:szCs w:val="16"/>
        </w:rPr>
        <w:t xml:space="preserve"> </w:t>
      </w:r>
      <w:r w:rsidRPr="00E93F40">
        <w:rPr>
          <w:color w:val="000000" w:themeColor="text1"/>
          <w:sz w:val="16"/>
          <w:szCs w:val="16"/>
        </w:rPr>
        <w:t>г., спущена на воду 1</w:t>
      </w:r>
      <w:r w:rsidR="007C1411" w:rsidRPr="00E93F40">
        <w:rPr>
          <w:color w:val="000000" w:themeColor="text1"/>
          <w:sz w:val="16"/>
          <w:szCs w:val="16"/>
        </w:rPr>
        <w:t xml:space="preserve"> </w:t>
      </w:r>
      <w:r w:rsidRPr="00E93F40">
        <w:rPr>
          <w:color w:val="000000" w:themeColor="text1"/>
          <w:sz w:val="16"/>
          <w:szCs w:val="16"/>
        </w:rPr>
        <w:t>августа 1934</w:t>
      </w:r>
      <w:r w:rsidR="007C1411" w:rsidRPr="00E93F40">
        <w:rPr>
          <w:color w:val="000000" w:themeColor="text1"/>
          <w:sz w:val="16"/>
          <w:szCs w:val="16"/>
        </w:rPr>
        <w:t xml:space="preserve"> </w:t>
      </w:r>
      <w:r w:rsidRPr="00E93F40">
        <w:rPr>
          <w:color w:val="000000" w:themeColor="text1"/>
          <w:sz w:val="16"/>
          <w:szCs w:val="16"/>
        </w:rPr>
        <w:t>г. Строительство велось также на заводе «Красное Сормово». Последняя лодка, предназначенная для тихоокеанского флота, вступила в строй в ноябре 1935</w:t>
      </w:r>
      <w:r w:rsidR="007C1411" w:rsidRPr="00E93F40">
        <w:rPr>
          <w:color w:val="000000" w:themeColor="text1"/>
          <w:sz w:val="16"/>
          <w:szCs w:val="16"/>
        </w:rPr>
        <w:t xml:space="preserve"> </w:t>
      </w:r>
      <w:r w:rsidRPr="00E93F40">
        <w:rPr>
          <w:color w:val="000000" w:themeColor="text1"/>
          <w:sz w:val="16"/>
          <w:szCs w:val="16"/>
        </w:rPr>
        <w:t>г., а последняя черноморская</w:t>
      </w:r>
      <w:r w:rsidR="007C1411" w:rsidRPr="00E93F40">
        <w:rPr>
          <w:color w:val="000000" w:themeColor="text1"/>
          <w:sz w:val="16"/>
          <w:szCs w:val="16"/>
        </w:rPr>
        <w:t xml:space="preserve"> </w:t>
      </w:r>
      <w:r w:rsidRPr="00E93F40">
        <w:rPr>
          <w:color w:val="000000" w:themeColor="text1"/>
          <w:sz w:val="16"/>
          <w:szCs w:val="16"/>
        </w:rPr>
        <w:t>— в декабре 1936</w:t>
      </w:r>
      <w:r w:rsidR="007C1411" w:rsidRPr="00E93F40">
        <w:rPr>
          <w:color w:val="000000" w:themeColor="text1"/>
          <w:sz w:val="16"/>
          <w:szCs w:val="16"/>
        </w:rPr>
        <w:t xml:space="preserve"> </w:t>
      </w:r>
      <w:r w:rsidRPr="00E93F40">
        <w:rPr>
          <w:color w:val="000000" w:themeColor="text1"/>
          <w:sz w:val="16"/>
          <w:szCs w:val="16"/>
        </w:rPr>
        <w:t>г. В ходе эксплуатации подводные лодки типа «Щука» всех серий (43</w:t>
      </w:r>
      <w:r w:rsidR="007C1411" w:rsidRPr="00E93F40">
        <w:rPr>
          <w:color w:val="000000" w:themeColor="text1"/>
          <w:sz w:val="16"/>
          <w:szCs w:val="16"/>
        </w:rPr>
        <w:t xml:space="preserve"> </w:t>
      </w:r>
      <w:r w:rsidRPr="00E93F40">
        <w:rPr>
          <w:color w:val="000000" w:themeColor="text1"/>
          <w:sz w:val="16"/>
          <w:szCs w:val="16"/>
        </w:rPr>
        <w:t>лодки) показали себя достаточно надежными кораблями (15280).</w:t>
      </w:r>
    </w:p>
    <w:p w14:paraId="4254F4C0" w14:textId="77777777" w:rsidR="00826173" w:rsidRPr="00E93F40" w:rsidRDefault="00826173" w:rsidP="00E93F40">
      <w:pPr>
        <w:pStyle w:val="rtejustify"/>
        <w:spacing w:before="0" w:after="0"/>
        <w:rPr>
          <w:color w:val="000000" w:themeColor="text1"/>
          <w:sz w:val="16"/>
          <w:szCs w:val="16"/>
        </w:rPr>
      </w:pPr>
    </w:p>
    <w:p w14:paraId="503E326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D21872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DA967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был пуск гидроэлектростанции на Днепре (Днепрогэс), снабжающей энергией металлургические и химические предприятия Днепропетровска и Запорожья (4962).</w:t>
      </w:r>
    </w:p>
    <w:p w14:paraId="64CB923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4248EA" w14:textId="77777777" w:rsidR="007C2F54" w:rsidRPr="00E93F40" w:rsidRDefault="007C2F5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гидростанция на Днепре вступила в строй действующих. Митинг на площади Днепрогэса слушал весь мир. Здесь Михаил Иванович Калинин сообщил собравшимся, что Днепрогэсу присвоено имя В. И. Ленина (21176).</w:t>
      </w:r>
    </w:p>
    <w:p w14:paraId="5FF407E8" w14:textId="77777777" w:rsidR="007C2F54" w:rsidRPr="00E93F40" w:rsidRDefault="007C2F54" w:rsidP="00E93F40">
      <w:pPr>
        <w:spacing w:after="0" w:line="240" w:lineRule="auto"/>
        <w:jc w:val="both"/>
        <w:rPr>
          <w:rFonts w:ascii="Times New Roman" w:hAnsi="Times New Roman"/>
          <w:color w:val="000000" w:themeColor="text1"/>
          <w:sz w:val="16"/>
          <w:szCs w:val="16"/>
        </w:rPr>
      </w:pPr>
    </w:p>
    <w:p w14:paraId="70B56E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введена в эксплуатацию Днепровская ГЭС (11437).</w:t>
      </w:r>
    </w:p>
    <w:p w14:paraId="7B61A2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A01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октября 1932 был торжественно пущен Днепрогэс (1348,200).</w:t>
      </w:r>
    </w:p>
    <w:p w14:paraId="78C8F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580433" w14:textId="77777777" w:rsidR="00826173" w:rsidRPr="00E93F40" w:rsidRDefault="00826173"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10 октября </w:t>
      </w:r>
      <w:r w:rsidRPr="00E93F40">
        <w:rPr>
          <w:rFonts w:ascii="Times New Roman" w:hAnsi="Times New Roman"/>
          <w:color w:val="000000" w:themeColor="text1"/>
          <w:sz w:val="16"/>
          <w:szCs w:val="16"/>
        </w:rPr>
        <w:t>в 1932 году cостоялся торжественный митинг, приуроченный пуску первой очереди (пяти энергоблоков) Днепровской гидроэлектростанции имени В.И.Ленина (на Днепре, у города Запорожья, ниже днепровских порогов). Этот день принято считать официальной датой ввода станции в эксплуатацию. Однако первую электроэнергию Днепрогэс выдал 1 мая 1932 года, когда в 6 часов 30 минут был пущен первый агрегат гидростанции. Монтаж оборудования был завершен 16 апреля 1939 года. После запуска девятого гидроагрегата станция вышла на проектную мощность — 560 тысяч киловатт (14795).</w:t>
      </w:r>
    </w:p>
    <w:p w14:paraId="5BA5F98F" w14:textId="77777777" w:rsidR="00826173" w:rsidRPr="00E93F40" w:rsidRDefault="00826173" w:rsidP="00E93F40">
      <w:pPr>
        <w:spacing w:after="0" w:line="240" w:lineRule="auto"/>
        <w:jc w:val="both"/>
        <w:rPr>
          <w:rFonts w:ascii="Times New Roman" w:hAnsi="Times New Roman"/>
          <w:color w:val="000000" w:themeColor="text1"/>
          <w:sz w:val="16"/>
          <w:szCs w:val="16"/>
        </w:rPr>
      </w:pPr>
    </w:p>
    <w:p w14:paraId="0963C56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398F42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DC7AE7"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октября 1932 г. с Конструктором Рафаэлянцем заключили договор №173129 на проведение работ по летающему танку. Согласно скорректированных требований и дополнительных условий, Рафаэлянц и его соратники — Никитин, Государев, Флеров, Шварц, Ермонский, Кургузов, Астахов, Асахин, Гришин — должны были предоставить военному заказчику «общий проект» в следующем объеме:</w:t>
      </w:r>
    </w:p>
    <w:p w14:paraId="7E63C2DC"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 аэродинамический расчет всей конструкции,</w:t>
      </w:r>
    </w:p>
    <w:p w14:paraId="5437750C"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тяговый расчет </w:t>
      </w:r>
      <w:hyperlink r:id="rId240"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w:t>
      </w:r>
    </w:p>
    <w:p w14:paraId="6E922267"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расчет весов,</w:t>
      </w:r>
    </w:p>
    <w:p w14:paraId="773EA979"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общая компановка всей конструкции летающего </w:t>
      </w:r>
      <w:hyperlink r:id="rId241"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w:t>
      </w:r>
    </w:p>
    <w:p w14:paraId="39F88211"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 конструкции </w:t>
      </w:r>
      <w:hyperlink r:id="rId242"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для движения по земле,</w:t>
      </w:r>
    </w:p>
    <w:p w14:paraId="0DA28A70"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 —//— управления летающим </w:t>
      </w:r>
      <w:hyperlink r:id="rId243"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ом при полете в воздухе и оборудования летающего </w:t>
      </w:r>
      <w:hyperlink r:id="rId244"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w:t>
      </w:r>
    </w:p>
    <w:p w14:paraId="2FA5B05F"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ж) —//— конструкции включения приспособлений для полетов </w:t>
      </w:r>
      <w:hyperlink r:id="rId245"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w:t>
      </w:r>
    </w:p>
    <w:p w14:paraId="026C0382"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 этом отмечалось, что если в процессе разработки общего проекта выяснится невозможность спроектировать летающий </w:t>
      </w:r>
      <w:hyperlink r:id="rId246"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 в соответствии с тактико-технической характеристикой заказчика, Рафаэлянц «оставляет за собой право возбудить вопрос об изменении технических условий», а также, в случае несогласия военных изменить технические условия и досрочного прекращения разработки проекта, заказчик уплачивал исполнителю сумму за выполненную часть заказа. Военным надлежало обеспечить:</w:t>
      </w:r>
    </w:p>
    <w:p w14:paraId="04CF4149"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Консультацию в процессе проектирования.</w:t>
      </w:r>
    </w:p>
    <w:p w14:paraId="1E0843B3"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Предоставление сборочных чертежей </w:t>
      </w:r>
      <w:hyperlink r:id="rId247"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етки Т-27 и </w:t>
      </w:r>
      <w:hyperlink r:id="rId248"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ов БТ, Т-26.</w:t>
      </w:r>
    </w:p>
    <w:p w14:paraId="3E19DAA6" w14:textId="77777777" w:rsidR="0082622D" w:rsidRPr="00E93F40" w:rsidRDefault="0082622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«Содействие в подыскании для постоянного участия в проектировании конструктора </w:t>
      </w:r>
      <w:hyperlink r:id="rId249"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иста» (15632).</w:t>
      </w:r>
    </w:p>
    <w:p w14:paraId="00E5D87B" w14:textId="77777777" w:rsidR="0082622D" w:rsidRPr="00E93F40" w:rsidRDefault="0082622D" w:rsidP="00E93F40">
      <w:pPr>
        <w:spacing w:after="0" w:line="240" w:lineRule="auto"/>
        <w:jc w:val="both"/>
        <w:rPr>
          <w:rFonts w:ascii="Times New Roman" w:hAnsi="Times New Roman"/>
          <w:color w:val="000000" w:themeColor="text1"/>
          <w:sz w:val="16"/>
          <w:szCs w:val="16"/>
        </w:rPr>
      </w:pPr>
    </w:p>
    <w:p w14:paraId="0CAE8B1A"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11 октября 1932 с конструктором Рафаэлянцем, УММ был заключён соответствующий договор на проведение работ по летающему танку Рафаэлянца.</w:t>
      </w:r>
    </w:p>
    <w:p w14:paraId="1F1B2290"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Согласно ТЗ, приложенному к договору, конструкторская группа должна была предоставить общий проект танка. при этом в пакет документов в обязательном порядке должны были входить:</w:t>
      </w:r>
    </w:p>
    <w:p w14:paraId="6F09C38A"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Полный аэродинамический расчёт танка в сборе;</w:t>
      </w:r>
    </w:p>
    <w:p w14:paraId="649F89CB"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Его тяговый расчёт;</w:t>
      </w:r>
    </w:p>
    <w:p w14:paraId="57760E55"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Весовые расчёты;</w:t>
      </w:r>
    </w:p>
    <w:p w14:paraId="6710A7B2"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Общая компоновка изделия;</w:t>
      </w:r>
    </w:p>
    <w:p w14:paraId="04FE492F"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Компоновка в варианте наземного использования;</w:t>
      </w:r>
    </w:p>
    <w:p w14:paraId="2A4A4AAB"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Конструкция элементов управления полётом танка;</w:t>
      </w:r>
    </w:p>
    <w:p w14:paraId="7F1F5D9B"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Конструкция элементов включения и отключения элементов управления полётом.</w:t>
      </w:r>
    </w:p>
    <w:p w14:paraId="7156FB31"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Причём в данном случае представители УММ проявили неслыханную до этого покладистость. В договор был включён пункт, разрешавший Рафаэлянцу менять ТУ, если они, по его мнению, будут препятствовать доведению конструкции. а в тех случаях, когда предлагаемые им изменения отвергаются заказчиком, конструктор имел право прекратить работы и получить с заказчика деньги за реально выполненную часть работ (19529).</w:t>
      </w:r>
    </w:p>
    <w:p w14:paraId="30EF789E" w14:textId="77777777" w:rsidR="00EC0BF1" w:rsidRPr="00E93F40" w:rsidRDefault="00EC0BF1" w:rsidP="00E93F40">
      <w:pPr>
        <w:spacing w:after="0" w:line="240" w:lineRule="auto"/>
        <w:jc w:val="both"/>
        <w:rPr>
          <w:rFonts w:ascii="Times New Roman" w:eastAsia="Times New Roman" w:hAnsi="Times New Roman"/>
          <w:color w:val="000000" w:themeColor="text1"/>
          <w:sz w:val="16"/>
          <w:szCs w:val="16"/>
          <w:lang w:eastAsia="ru-RU"/>
        </w:rPr>
      </w:pPr>
    </w:p>
    <w:p w14:paraId="6DF31BF0" w14:textId="77777777" w:rsidR="00EC0BF1" w:rsidRPr="00E93F40" w:rsidRDefault="00EC0BF1" w:rsidP="00E93F40">
      <w:pPr>
        <w:pStyle w:val="ae"/>
        <w:shd w:val="clear" w:color="auto" w:fill="FFFFFF"/>
        <w:spacing w:before="0" w:after="0"/>
        <w:jc w:val="both"/>
        <w:rPr>
          <w:color w:val="000000" w:themeColor="text1"/>
          <w:sz w:val="16"/>
          <w:szCs w:val="16"/>
        </w:rPr>
      </w:pPr>
      <w:r w:rsidRPr="00E93F40">
        <w:rPr>
          <w:color w:val="000000" w:themeColor="text1"/>
          <w:sz w:val="16"/>
          <w:szCs w:val="16"/>
        </w:rPr>
        <w:t>11 октября 1932 г. с Рафаэлянцем заключили договор №173129 на проведение работ. Согласно скорректированных требований и дополнительных условий, Рафаэлянц и его соратники — Никитин, Государев, Флеров, Шварц, Ермонский, Кургузов, Астахов, Асахин, Гришин — должны были предоставить военному заказчику «общий проект» в следующем объеме:</w:t>
      </w:r>
    </w:p>
    <w:p w14:paraId="2283BE86" w14:textId="77777777" w:rsidR="00EC0BF1" w:rsidRPr="00E93F40" w:rsidRDefault="00EC0BF1"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«a) аэродинамический расчет всей конструкции,</w:t>
      </w:r>
    </w:p>
    <w:p w14:paraId="3330E9BB" w14:textId="77777777" w:rsidR="00EC0BF1" w:rsidRPr="00E93F40" w:rsidRDefault="00EC0BF1"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б) тяговый расчет танка,</w:t>
      </w:r>
    </w:p>
    <w:p w14:paraId="7683769C" w14:textId="77777777" w:rsidR="00EC0BF1" w:rsidRPr="00E93F40" w:rsidRDefault="00EC0BF1"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в) расчет весов,</w:t>
      </w:r>
    </w:p>
    <w:p w14:paraId="2C6A2A0C" w14:textId="77777777" w:rsidR="00EC0BF1" w:rsidRPr="00E93F40" w:rsidRDefault="00EC0BF1"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г) общая компановка всей конструкции летающего танка,</w:t>
      </w:r>
    </w:p>
    <w:p w14:paraId="7FDBCD12" w14:textId="77777777" w:rsidR="00EC0BF1" w:rsidRPr="00E93F40" w:rsidRDefault="00EC0BF1"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д) —//— конструкции танка для движения по земле,</w:t>
      </w:r>
    </w:p>
    <w:p w14:paraId="2E572D04" w14:textId="77777777" w:rsidR="00EC0BF1" w:rsidRPr="00E93F40" w:rsidRDefault="00EC0BF1"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е) —//— управления летающим танком при полете в воздухе и оборудования летающего танка,</w:t>
      </w:r>
    </w:p>
    <w:p w14:paraId="6166C77F" w14:textId="77777777" w:rsidR="00EC0BF1" w:rsidRPr="00E93F40" w:rsidRDefault="00EC0BF1"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ж) —//— конструкции включения приспособлений для полетов танка.».</w:t>
      </w:r>
    </w:p>
    <w:p w14:paraId="3F003332" w14:textId="77777777" w:rsidR="00EC0BF1" w:rsidRPr="00E93F40" w:rsidRDefault="00EC0BF1" w:rsidP="00E93F40">
      <w:pPr>
        <w:pStyle w:val="ae"/>
        <w:shd w:val="clear" w:color="auto" w:fill="FFFFFF"/>
        <w:spacing w:before="0" w:after="0"/>
        <w:jc w:val="both"/>
        <w:rPr>
          <w:color w:val="000000" w:themeColor="text1"/>
          <w:sz w:val="16"/>
          <w:szCs w:val="16"/>
        </w:rPr>
      </w:pPr>
      <w:r w:rsidRPr="00E93F40">
        <w:rPr>
          <w:color w:val="000000" w:themeColor="text1"/>
          <w:sz w:val="16"/>
          <w:szCs w:val="16"/>
        </w:rPr>
        <w:t>При этом отмечалось, что если в процессе разработки общего проекта выяснится невозможность спроектировать летающий танк в соответствии с тактико-технической характеристикой заказчика, Рафаэлянц «оставляет за собой право возбудить вопрос об изменении технических условий», а также, в случае несогласия военных изменить технические условия и досрочного прекращения разработки проекта, заказчик уплачивал исполнителю сумму за выполненную часть заказа. Военным надлежало обеспечить:</w:t>
      </w:r>
    </w:p>
    <w:p w14:paraId="05B8D9C3" w14:textId="77777777" w:rsidR="00EC0BF1" w:rsidRPr="00E93F40" w:rsidRDefault="00EC0BF1" w:rsidP="00E93F40">
      <w:pPr>
        <w:pStyle w:val="ae"/>
        <w:shd w:val="clear" w:color="auto" w:fill="FFFFFF"/>
        <w:spacing w:before="0" w:after="0"/>
        <w:jc w:val="both"/>
        <w:rPr>
          <w:color w:val="000000" w:themeColor="text1"/>
          <w:sz w:val="16"/>
          <w:szCs w:val="16"/>
        </w:rPr>
      </w:pPr>
      <w:r w:rsidRPr="00E93F40">
        <w:rPr>
          <w:color w:val="000000" w:themeColor="text1"/>
          <w:sz w:val="16"/>
          <w:szCs w:val="16"/>
        </w:rPr>
        <w:t>1) Консультацию в процессе проектирования.</w:t>
      </w:r>
    </w:p>
    <w:p w14:paraId="1F86C417" w14:textId="77777777" w:rsidR="00EC0BF1" w:rsidRPr="00E93F40" w:rsidRDefault="00EC0BF1" w:rsidP="00E93F40">
      <w:pPr>
        <w:pStyle w:val="ae"/>
        <w:shd w:val="clear" w:color="auto" w:fill="FFFFFF"/>
        <w:spacing w:before="0" w:after="0"/>
        <w:jc w:val="both"/>
        <w:rPr>
          <w:color w:val="000000" w:themeColor="text1"/>
          <w:sz w:val="16"/>
          <w:szCs w:val="16"/>
        </w:rPr>
      </w:pPr>
      <w:r w:rsidRPr="00E93F40">
        <w:rPr>
          <w:color w:val="000000" w:themeColor="text1"/>
          <w:sz w:val="16"/>
          <w:szCs w:val="16"/>
        </w:rPr>
        <w:t>2) Предоставление сборочных чертежей танкетки Т-27 и танков БТ, Т-26.</w:t>
      </w:r>
    </w:p>
    <w:p w14:paraId="101D6D51" w14:textId="77777777" w:rsidR="00EC0BF1" w:rsidRPr="00E93F40" w:rsidRDefault="00EC0BF1" w:rsidP="00E93F40">
      <w:pPr>
        <w:pStyle w:val="ae"/>
        <w:shd w:val="clear" w:color="auto" w:fill="FFFFFF"/>
        <w:spacing w:before="0" w:after="0"/>
        <w:jc w:val="both"/>
        <w:rPr>
          <w:iCs/>
          <w:color w:val="000000" w:themeColor="text1"/>
          <w:sz w:val="16"/>
          <w:szCs w:val="16"/>
        </w:rPr>
      </w:pPr>
      <w:r w:rsidRPr="00E93F40">
        <w:rPr>
          <w:color w:val="000000" w:themeColor="text1"/>
          <w:sz w:val="16"/>
          <w:szCs w:val="16"/>
        </w:rPr>
        <w:t xml:space="preserve">3) </w:t>
      </w:r>
      <w:r w:rsidRPr="00E93F40">
        <w:rPr>
          <w:iCs/>
          <w:color w:val="000000" w:themeColor="text1"/>
          <w:sz w:val="16"/>
          <w:szCs w:val="16"/>
        </w:rPr>
        <w:t>«Содействие в подыскании для постоянного участия в проектировании конструктора танкиста» (19530).</w:t>
      </w:r>
    </w:p>
    <w:p w14:paraId="53F7706D" w14:textId="77777777" w:rsidR="00EC0BF1" w:rsidRPr="00E93F40" w:rsidRDefault="00EC0BF1" w:rsidP="00E93F40">
      <w:pPr>
        <w:pStyle w:val="ae"/>
        <w:shd w:val="clear" w:color="auto" w:fill="FFFFFF"/>
        <w:spacing w:before="0" w:after="0"/>
        <w:jc w:val="both"/>
        <w:rPr>
          <w:color w:val="000000" w:themeColor="text1"/>
          <w:sz w:val="16"/>
          <w:szCs w:val="16"/>
        </w:rPr>
      </w:pPr>
    </w:p>
    <w:p w14:paraId="54032ADE"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октября 1932 г. с конструктором Рафаэлянце на основании эскизного проекта танка заключили договор №173129 на проведение работ. Согласно скорректированных требований и дополнительных условий, Рафаэлянц и его соратники — Никитин, Государев, Флеров, Шварц, Ермонский, Кургузов, Астахов, Асахин, Гришин — должны были предоставить военному заказчику «общий проект» в следующем объеме:</w:t>
      </w:r>
    </w:p>
    <w:p w14:paraId="18906CDA"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 аэродинамический расчет всей конструкции,</w:t>
      </w:r>
    </w:p>
    <w:p w14:paraId="77ACB7BD"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б) тяговый расчет танка,</w:t>
      </w:r>
    </w:p>
    <w:p w14:paraId="3811D7FB"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в) расчет весов,</w:t>
      </w:r>
    </w:p>
    <w:p w14:paraId="1F9777A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г) общая компановка всей конструкции летающего танка,</w:t>
      </w:r>
    </w:p>
    <w:p w14:paraId="10D5EF61"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д) —//— конструкции танка для движения по земле,</w:t>
      </w:r>
    </w:p>
    <w:p w14:paraId="7A4D0811"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е) —//— управления летающим танком при полете в воздухе и оборудования летающего танка,</w:t>
      </w:r>
    </w:p>
    <w:p w14:paraId="783B7E57"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ж) —//— конструкции включения приспособлений для полетов танка.».</w:t>
      </w:r>
    </w:p>
    <w:p w14:paraId="1D6ACDB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 этом отмечалось, что если в процессе разработки общего проекта выяснится невозможность спроектировать летающий танк в соответствии с тактико-технической характеристикой заказчика, Рафаэлянц «оставляет за собой право возбудить вопрос об изменении технических условий», а также, в случае несогласия военных изменить технические условия и досрочного прекращения разработки проекта, заказчик уплачивал исполнителю сумму за выполненную часть заказа. Военным надлежало обеспечить:</w:t>
      </w:r>
    </w:p>
    <w:p w14:paraId="25628D9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Консультацию в процессе проектирования.</w:t>
      </w:r>
    </w:p>
    <w:p w14:paraId="50DDD455"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2) Предоставление сборочных чертежей танкетки Т-27 и танков БТ, Т-26.</w:t>
      </w:r>
    </w:p>
    <w:p w14:paraId="6927A6DB"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p w14:paraId="31390191"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«Содействие в подыскании для постоянного участия в проектировании конструктора танкиста» (24266).</w:t>
      </w:r>
    </w:p>
    <w:p w14:paraId="72FDE1A1" w14:textId="77777777" w:rsidR="00D30D2C" w:rsidRPr="00E93F40" w:rsidRDefault="00D30D2C" w:rsidP="00E93F40">
      <w:pPr>
        <w:spacing w:after="0" w:line="240" w:lineRule="auto"/>
        <w:jc w:val="both"/>
        <w:rPr>
          <w:rFonts w:ascii="Times New Roman" w:hAnsi="Times New Roman"/>
          <w:color w:val="000000" w:themeColor="text1"/>
          <w:sz w:val="16"/>
          <w:szCs w:val="16"/>
        </w:rPr>
      </w:pPr>
    </w:p>
    <w:p w14:paraId="56A0E1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октября 1932 Реввоенсовет принял ШКАС на вооружение (86,232). Для ШКАС Н.М.Елизаров разработал патроны трассирующие, зажигательные и комбинированные бронебойно-зажигательные - первые в мире авиапатроны (86,233).</w:t>
      </w:r>
    </w:p>
    <w:p w14:paraId="74FED9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Б.Г.Шпитальный и И.А.Комарицкий были из Тулы (85,440).</w:t>
      </w:r>
    </w:p>
    <w:p w14:paraId="6FEA14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227EF3" w14:textId="77777777" w:rsidR="00C17607" w:rsidRPr="00E93F40" w:rsidRDefault="00C176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11 октября </w:t>
      </w:r>
      <w:r w:rsidRPr="00E93F40">
        <w:rPr>
          <w:rFonts w:ascii="Times New Roman" w:hAnsi="Times New Roman"/>
          <w:color w:val="000000" w:themeColor="text1"/>
          <w:sz w:val="16"/>
          <w:szCs w:val="16"/>
        </w:rPr>
        <w:t>в 1932 году государственная комиссия приняла на вооружение ВВС Красной Армии авиационный скорострельный пулемет (ШКАС) конструкторов Б.Г.Шпитального, И.А.Комарицкого (14796).</w:t>
      </w:r>
    </w:p>
    <w:p w14:paraId="006CE628" w14:textId="77777777" w:rsidR="00C17607" w:rsidRPr="00E93F40" w:rsidRDefault="00C17607" w:rsidP="00E93F40">
      <w:pPr>
        <w:spacing w:after="0" w:line="240" w:lineRule="auto"/>
        <w:jc w:val="both"/>
        <w:rPr>
          <w:rFonts w:ascii="Times New Roman" w:hAnsi="Times New Roman"/>
          <w:color w:val="000000" w:themeColor="text1"/>
          <w:sz w:val="16"/>
          <w:szCs w:val="16"/>
        </w:rPr>
      </w:pPr>
    </w:p>
    <w:p w14:paraId="6CC630A6" w14:textId="77777777" w:rsidR="00C17607" w:rsidRPr="00E93F40" w:rsidRDefault="00C17607"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11 октября 1932 года</w:t>
      </w:r>
      <w:r w:rsidRPr="00E93F40">
        <w:rPr>
          <w:rFonts w:ascii="Times New Roman" w:hAnsi="Times New Roman"/>
          <w:color w:val="000000" w:themeColor="text1"/>
          <w:sz w:val="16"/>
          <w:szCs w:val="16"/>
        </w:rPr>
        <w:t xml:space="preserve"> Реввоенсовет СССР принял постановление о принятии на вооружение ВВС КА скорострельного авиационного пулемета под наименованием «7,62-мм авиационный скорострельный пулемет системы Шпитального — Комарицкого обр, 1932 г. ШКАС » (Шпитального — Комарицкого авиационный скорострельный (14796).</w:t>
      </w:r>
    </w:p>
    <w:p w14:paraId="0A452FE9" w14:textId="77777777" w:rsidR="00C17607" w:rsidRPr="00E93F40" w:rsidRDefault="00C17607" w:rsidP="00E93F40">
      <w:pPr>
        <w:spacing w:after="0" w:line="240" w:lineRule="auto"/>
        <w:jc w:val="both"/>
        <w:rPr>
          <w:rFonts w:ascii="Times New Roman" w:hAnsi="Times New Roman"/>
          <w:color w:val="000000" w:themeColor="text1"/>
          <w:sz w:val="16"/>
          <w:szCs w:val="16"/>
        </w:rPr>
      </w:pPr>
    </w:p>
    <w:p w14:paraId="1B4BBBC3" w14:textId="34D74F74" w:rsidR="0082622D" w:rsidRPr="00E93F40" w:rsidRDefault="0082622D" w:rsidP="00E93F40">
      <w:pPr>
        <w:pStyle w:val="rtejustify"/>
        <w:spacing w:before="0" w:after="0"/>
        <w:rPr>
          <w:color w:val="000000" w:themeColor="text1"/>
          <w:sz w:val="16"/>
          <w:szCs w:val="16"/>
        </w:rPr>
      </w:pPr>
      <w:r w:rsidRPr="00E93F40">
        <w:rPr>
          <w:color w:val="000000" w:themeColor="text1"/>
          <w:sz w:val="16"/>
          <w:szCs w:val="16"/>
        </w:rPr>
        <w:t>11</w:t>
      </w:r>
      <w:r w:rsidR="007C1411" w:rsidRPr="00E93F40">
        <w:rPr>
          <w:color w:val="000000" w:themeColor="text1"/>
          <w:sz w:val="16"/>
          <w:szCs w:val="16"/>
        </w:rPr>
        <w:t xml:space="preserve"> </w:t>
      </w:r>
      <w:r w:rsidRPr="00E93F40">
        <w:rPr>
          <w:color w:val="000000" w:themeColor="text1"/>
          <w:sz w:val="16"/>
          <w:szCs w:val="16"/>
        </w:rPr>
        <w:t>октября 1932</w:t>
      </w:r>
      <w:r w:rsidR="007C1411" w:rsidRPr="00E93F40">
        <w:rPr>
          <w:color w:val="000000" w:themeColor="text1"/>
          <w:sz w:val="16"/>
          <w:szCs w:val="16"/>
        </w:rPr>
        <w:t xml:space="preserve"> </w:t>
      </w:r>
      <w:r w:rsidRPr="00E93F40">
        <w:rPr>
          <w:color w:val="000000" w:themeColor="text1"/>
          <w:sz w:val="16"/>
          <w:szCs w:val="16"/>
        </w:rPr>
        <w:t xml:space="preserve">г. Реввоенсовет СССР принял постановление о постановке пулемета </w:t>
      </w:r>
      <w:r w:rsidRPr="00E93F40">
        <w:rPr>
          <w:rStyle w:val="af0"/>
          <w:bCs/>
          <w:i w:val="0"/>
          <w:color w:val="000000" w:themeColor="text1"/>
          <w:sz w:val="16"/>
          <w:szCs w:val="16"/>
        </w:rPr>
        <w:t>ШКАС (Шпитальный-Комарицкий авиационный скорострельный)</w:t>
      </w:r>
      <w:r w:rsidRPr="00E93F40">
        <w:rPr>
          <w:color w:val="000000" w:themeColor="text1"/>
          <w:sz w:val="16"/>
          <w:szCs w:val="16"/>
        </w:rPr>
        <w:t>на вооружение под наименованием «7,62</w:t>
      </w:r>
      <w:r w:rsidRPr="00E93F40">
        <w:rPr>
          <w:color w:val="000000" w:themeColor="text1"/>
          <w:sz w:val="16"/>
          <w:szCs w:val="16"/>
        </w:rPr>
        <w:noBreakHyphen/>
        <w:t>мм авиационный скорострельный пулемет системы Шпитального-Комарицкого образца 1932</w:t>
      </w:r>
      <w:r w:rsidR="007C1411" w:rsidRPr="00E93F40">
        <w:rPr>
          <w:color w:val="000000" w:themeColor="text1"/>
          <w:sz w:val="16"/>
          <w:szCs w:val="16"/>
        </w:rPr>
        <w:t xml:space="preserve"> </w:t>
      </w:r>
      <w:r w:rsidRPr="00E93F40">
        <w:rPr>
          <w:color w:val="000000" w:themeColor="text1"/>
          <w:sz w:val="16"/>
          <w:szCs w:val="16"/>
        </w:rPr>
        <w:t>г.». Однако работы по массовому выпуску ШКАС на Тульском оружейном заводе шли с большим трудом. Согласно справке Особого отдела ОГПУ от 15</w:t>
      </w:r>
      <w:r w:rsidR="007C1411" w:rsidRPr="00E93F40">
        <w:rPr>
          <w:color w:val="000000" w:themeColor="text1"/>
          <w:sz w:val="16"/>
          <w:szCs w:val="16"/>
        </w:rPr>
        <w:t xml:space="preserve"> </w:t>
      </w:r>
      <w:r w:rsidRPr="00E93F40">
        <w:rPr>
          <w:color w:val="000000" w:themeColor="text1"/>
          <w:sz w:val="16"/>
          <w:szCs w:val="16"/>
        </w:rPr>
        <w:t>февраля 1934</w:t>
      </w:r>
      <w:r w:rsidR="007C1411" w:rsidRPr="00E93F40">
        <w:rPr>
          <w:color w:val="000000" w:themeColor="text1"/>
          <w:sz w:val="16"/>
          <w:szCs w:val="16"/>
        </w:rPr>
        <w:t xml:space="preserve"> </w:t>
      </w:r>
      <w:r w:rsidRPr="00E93F40">
        <w:rPr>
          <w:color w:val="000000" w:themeColor="text1"/>
          <w:sz w:val="16"/>
          <w:szCs w:val="16"/>
        </w:rPr>
        <w:t>г. в первом полугодии 1933</w:t>
      </w:r>
      <w:r w:rsidR="007C1411" w:rsidRPr="00E93F40">
        <w:rPr>
          <w:color w:val="000000" w:themeColor="text1"/>
          <w:sz w:val="16"/>
          <w:szCs w:val="16"/>
        </w:rPr>
        <w:t xml:space="preserve"> </w:t>
      </w:r>
      <w:r w:rsidRPr="00E93F40">
        <w:rPr>
          <w:color w:val="000000" w:themeColor="text1"/>
          <w:sz w:val="16"/>
          <w:szCs w:val="16"/>
        </w:rPr>
        <w:t>г. было изготовлено всего 75</w:t>
      </w:r>
      <w:r w:rsidR="007C1411" w:rsidRPr="00E93F40">
        <w:rPr>
          <w:color w:val="000000" w:themeColor="text1"/>
          <w:sz w:val="16"/>
          <w:szCs w:val="16"/>
        </w:rPr>
        <w:t xml:space="preserve"> </w:t>
      </w:r>
      <w:r w:rsidRPr="00E93F40">
        <w:rPr>
          <w:color w:val="000000" w:themeColor="text1"/>
          <w:sz w:val="16"/>
          <w:szCs w:val="16"/>
        </w:rPr>
        <w:t>пулеметов, причем, только 13 из них измененной конструкции и удовлетворительного качества. Причиной плохого качества пулеметов была названа недоброкачественная сталь. За 1933</w:t>
      </w:r>
      <w:r w:rsidR="007C1411" w:rsidRPr="00E93F40">
        <w:rPr>
          <w:color w:val="000000" w:themeColor="text1"/>
          <w:sz w:val="16"/>
          <w:szCs w:val="16"/>
        </w:rPr>
        <w:t xml:space="preserve"> </w:t>
      </w:r>
      <w:r w:rsidRPr="00E93F40">
        <w:rPr>
          <w:color w:val="000000" w:themeColor="text1"/>
          <w:sz w:val="16"/>
          <w:szCs w:val="16"/>
        </w:rPr>
        <w:t>г. из опытной партии в 500</w:t>
      </w:r>
      <w:r w:rsidR="007C1411" w:rsidRPr="00E93F40">
        <w:rPr>
          <w:color w:val="000000" w:themeColor="text1"/>
          <w:sz w:val="16"/>
          <w:szCs w:val="16"/>
        </w:rPr>
        <w:t xml:space="preserve"> </w:t>
      </w:r>
      <w:r w:rsidRPr="00E93F40">
        <w:rPr>
          <w:color w:val="000000" w:themeColor="text1"/>
          <w:sz w:val="16"/>
          <w:szCs w:val="16"/>
        </w:rPr>
        <w:t>пулеметов ШКАС ТОЗом было сдано военной приемке 374</w:t>
      </w:r>
      <w:r w:rsidR="007C1411" w:rsidRPr="00E93F40">
        <w:rPr>
          <w:color w:val="000000" w:themeColor="text1"/>
          <w:sz w:val="16"/>
          <w:szCs w:val="16"/>
        </w:rPr>
        <w:t xml:space="preserve"> </w:t>
      </w:r>
      <w:r w:rsidRPr="00E93F40">
        <w:rPr>
          <w:color w:val="000000" w:themeColor="text1"/>
          <w:sz w:val="16"/>
          <w:szCs w:val="16"/>
        </w:rPr>
        <w:t>шт., а из валового заказа в 1</w:t>
      </w:r>
      <w:r w:rsidR="007C1411" w:rsidRPr="00E93F40">
        <w:rPr>
          <w:color w:val="000000" w:themeColor="text1"/>
          <w:sz w:val="16"/>
          <w:szCs w:val="16"/>
        </w:rPr>
        <w:t xml:space="preserve"> </w:t>
      </w:r>
      <w:r w:rsidRPr="00E93F40">
        <w:rPr>
          <w:color w:val="000000" w:themeColor="text1"/>
          <w:sz w:val="16"/>
          <w:szCs w:val="16"/>
        </w:rPr>
        <w:t>тыс. пулеметов военной приемкой принято 165</w:t>
      </w:r>
      <w:r w:rsidR="007C1411" w:rsidRPr="00E93F40">
        <w:rPr>
          <w:color w:val="000000" w:themeColor="text1"/>
          <w:sz w:val="16"/>
          <w:szCs w:val="16"/>
        </w:rPr>
        <w:t xml:space="preserve"> </w:t>
      </w:r>
      <w:r w:rsidRPr="00E93F40">
        <w:rPr>
          <w:color w:val="000000" w:themeColor="text1"/>
          <w:sz w:val="16"/>
          <w:szCs w:val="16"/>
        </w:rPr>
        <w:t>шт. По сведениям, изложенным в докладной записке членов Комиссии партийного контроля в Комиссию обороны от 10</w:t>
      </w:r>
      <w:r w:rsidR="007C1411" w:rsidRPr="00E93F40">
        <w:rPr>
          <w:color w:val="000000" w:themeColor="text1"/>
          <w:sz w:val="16"/>
          <w:szCs w:val="16"/>
        </w:rPr>
        <w:t xml:space="preserve"> </w:t>
      </w:r>
      <w:r w:rsidRPr="00E93F40">
        <w:rPr>
          <w:color w:val="000000" w:themeColor="text1"/>
          <w:sz w:val="16"/>
          <w:szCs w:val="16"/>
        </w:rPr>
        <w:t>ноября 1935</w:t>
      </w:r>
      <w:r w:rsidR="007C1411" w:rsidRPr="00E93F40">
        <w:rPr>
          <w:color w:val="000000" w:themeColor="text1"/>
          <w:sz w:val="16"/>
          <w:szCs w:val="16"/>
        </w:rPr>
        <w:t xml:space="preserve"> </w:t>
      </w:r>
      <w:r w:rsidRPr="00E93F40">
        <w:rPr>
          <w:color w:val="000000" w:themeColor="text1"/>
          <w:sz w:val="16"/>
          <w:szCs w:val="16"/>
        </w:rPr>
        <w:t>г., бывшими работниками конструкторского бюро Шпитального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w:t>
      </w:r>
      <w:r w:rsidR="007C1411" w:rsidRPr="00E93F40">
        <w:rPr>
          <w:color w:val="000000" w:themeColor="text1"/>
          <w:sz w:val="16"/>
          <w:szCs w:val="16"/>
        </w:rPr>
        <w:t xml:space="preserve"> </w:t>
      </w:r>
      <w:r w:rsidRPr="00E93F40">
        <w:rPr>
          <w:color w:val="000000" w:themeColor="text1"/>
          <w:sz w:val="16"/>
          <w:szCs w:val="16"/>
        </w:rPr>
        <w:t>тыс. выстрелов в минуту. Была также значительно упрощена общая конструкция. ШКАС имел 138</w:t>
      </w:r>
      <w:r w:rsidR="007C1411" w:rsidRPr="00E93F40">
        <w:rPr>
          <w:color w:val="000000" w:themeColor="text1"/>
          <w:sz w:val="16"/>
          <w:szCs w:val="16"/>
        </w:rPr>
        <w:t xml:space="preserve"> </w:t>
      </w:r>
      <w:r w:rsidRPr="00E93F40">
        <w:rPr>
          <w:color w:val="000000" w:themeColor="text1"/>
          <w:sz w:val="16"/>
          <w:szCs w:val="16"/>
        </w:rPr>
        <w:t>деталей, новый пулемет Савина и Норова</w:t>
      </w:r>
      <w:r w:rsidR="007C1411" w:rsidRPr="00E93F40">
        <w:rPr>
          <w:color w:val="000000" w:themeColor="text1"/>
          <w:sz w:val="16"/>
          <w:szCs w:val="16"/>
        </w:rPr>
        <w:t xml:space="preserve"> </w:t>
      </w:r>
      <w:r w:rsidRPr="00E93F40">
        <w:rPr>
          <w:color w:val="000000" w:themeColor="text1"/>
          <w:sz w:val="16"/>
          <w:szCs w:val="16"/>
        </w:rPr>
        <w:t>—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w:t>
      </w:r>
      <w:r w:rsidR="007C1411" w:rsidRPr="00E93F40">
        <w:rPr>
          <w:color w:val="000000" w:themeColor="text1"/>
          <w:sz w:val="16"/>
          <w:szCs w:val="16"/>
        </w:rPr>
        <w:t xml:space="preserve"> </w:t>
      </w:r>
      <w:r w:rsidRPr="00E93F40">
        <w:rPr>
          <w:color w:val="000000" w:themeColor="text1"/>
          <w:sz w:val="16"/>
          <w:szCs w:val="16"/>
        </w:rPr>
        <w:t>сентября-15</w:t>
      </w:r>
      <w:r w:rsidR="007C1411" w:rsidRPr="00E93F40">
        <w:rPr>
          <w:color w:val="000000" w:themeColor="text1"/>
          <w:sz w:val="16"/>
          <w:szCs w:val="16"/>
        </w:rPr>
        <w:t xml:space="preserve"> </w:t>
      </w:r>
      <w:r w:rsidRPr="00E93F40">
        <w:rPr>
          <w:color w:val="000000" w:themeColor="text1"/>
          <w:sz w:val="16"/>
          <w:szCs w:val="16"/>
        </w:rPr>
        <w:t>ноября 1935</w:t>
      </w:r>
      <w:r w:rsidR="007C1411" w:rsidRPr="00E93F40">
        <w:rPr>
          <w:color w:val="000000" w:themeColor="text1"/>
          <w:sz w:val="16"/>
          <w:szCs w:val="16"/>
        </w:rPr>
        <w:t xml:space="preserve"> </w:t>
      </w:r>
      <w:r w:rsidRPr="00E93F40">
        <w:rPr>
          <w:color w:val="000000" w:themeColor="text1"/>
          <w:sz w:val="16"/>
          <w:szCs w:val="16"/>
        </w:rPr>
        <w:t>г.). Комиссией партийного контроля пулемет Савина, Норова был рекомендован к освоению в серийном производстве, и к окончательному испытанию в 1</w:t>
      </w:r>
      <w:r w:rsidRPr="00E93F40">
        <w:rPr>
          <w:color w:val="000000" w:themeColor="text1"/>
          <w:sz w:val="16"/>
          <w:szCs w:val="16"/>
        </w:rPr>
        <w:noBreakHyphen/>
        <w:t>м</w:t>
      </w:r>
      <w:r w:rsidR="007C1411" w:rsidRPr="00E93F40">
        <w:rPr>
          <w:color w:val="000000" w:themeColor="text1"/>
          <w:sz w:val="16"/>
          <w:szCs w:val="16"/>
        </w:rPr>
        <w:t xml:space="preserve"> </w:t>
      </w:r>
      <w:r w:rsidRPr="00E93F40">
        <w:rPr>
          <w:color w:val="000000" w:themeColor="text1"/>
          <w:sz w:val="16"/>
          <w:szCs w:val="16"/>
        </w:rPr>
        <w:t>полугодии 1936</w:t>
      </w:r>
      <w:r w:rsidR="007C1411" w:rsidRPr="00E93F40">
        <w:rPr>
          <w:color w:val="000000" w:themeColor="text1"/>
          <w:sz w:val="16"/>
          <w:szCs w:val="16"/>
        </w:rPr>
        <w:t xml:space="preserve"> </w:t>
      </w:r>
      <w:r w:rsidRPr="00E93F40">
        <w:rPr>
          <w:color w:val="000000" w:themeColor="text1"/>
          <w:sz w:val="16"/>
          <w:szCs w:val="16"/>
        </w:rPr>
        <w:t>г.». Впоследствии работы по усовершенствованию пулемета ШКАС продолжались, и на протяжении 1933</w:t>
      </w:r>
      <w:r w:rsidRPr="00E93F40">
        <w:rPr>
          <w:color w:val="000000" w:themeColor="text1"/>
          <w:sz w:val="16"/>
          <w:szCs w:val="16"/>
        </w:rPr>
        <w:noBreakHyphen/>
        <w:t>1937 гг. были разработаны механическая спарка пулеметов ШКАС, модификация ультра ШКАС, турельный и крыльевой варианты пулемета. К 1936</w:t>
      </w:r>
      <w:r w:rsidR="007C1411" w:rsidRPr="00E93F40">
        <w:rPr>
          <w:color w:val="000000" w:themeColor="text1"/>
          <w:sz w:val="16"/>
          <w:szCs w:val="16"/>
        </w:rPr>
        <w:t xml:space="preserve"> </w:t>
      </w:r>
      <w:r w:rsidRPr="00E93F40">
        <w:rPr>
          <w:color w:val="000000" w:themeColor="text1"/>
          <w:sz w:val="16"/>
          <w:szCs w:val="16"/>
        </w:rPr>
        <w:t>г. пулеметы системы ШКАС заняли главенствующее положение в системе вооружения советской авиации. (ГАРФ. Ф.</w:t>
      </w:r>
      <w:r w:rsidR="007C1411" w:rsidRPr="00E93F40">
        <w:rPr>
          <w:color w:val="000000" w:themeColor="text1"/>
          <w:sz w:val="16"/>
          <w:szCs w:val="16"/>
        </w:rPr>
        <w:t xml:space="preserve"> </w:t>
      </w:r>
      <w:r w:rsidRPr="00E93F40">
        <w:rPr>
          <w:color w:val="000000" w:themeColor="text1"/>
          <w:sz w:val="16"/>
          <w:szCs w:val="16"/>
        </w:rPr>
        <w:t>Р</w:t>
      </w:r>
      <w:r w:rsidRPr="00E93F40">
        <w:rPr>
          <w:color w:val="000000" w:themeColor="text1"/>
          <w:sz w:val="16"/>
          <w:szCs w:val="16"/>
        </w:rPr>
        <w:noBreakHyphen/>
        <w:t>8418. Оп.</w:t>
      </w:r>
      <w:r w:rsidR="007C1411" w:rsidRPr="00E93F40">
        <w:rPr>
          <w:color w:val="000000" w:themeColor="text1"/>
          <w:sz w:val="16"/>
          <w:szCs w:val="16"/>
        </w:rPr>
        <w:t xml:space="preserve"> </w:t>
      </w:r>
      <w:r w:rsidRPr="00E93F40">
        <w:rPr>
          <w:color w:val="000000" w:themeColor="text1"/>
          <w:sz w:val="16"/>
          <w:szCs w:val="16"/>
        </w:rPr>
        <w:t>9. Д.</w:t>
      </w:r>
      <w:r w:rsidR="007C1411" w:rsidRPr="00E93F40">
        <w:rPr>
          <w:color w:val="000000" w:themeColor="text1"/>
          <w:sz w:val="16"/>
          <w:szCs w:val="16"/>
        </w:rPr>
        <w:t xml:space="preserve"> </w:t>
      </w:r>
      <w:r w:rsidRPr="00E93F40">
        <w:rPr>
          <w:color w:val="000000" w:themeColor="text1"/>
          <w:sz w:val="16"/>
          <w:szCs w:val="16"/>
        </w:rPr>
        <w:t>29. Л.</w:t>
      </w:r>
      <w:r w:rsidR="007C1411" w:rsidRPr="00E93F40">
        <w:rPr>
          <w:color w:val="000000" w:themeColor="text1"/>
          <w:sz w:val="16"/>
          <w:szCs w:val="16"/>
        </w:rPr>
        <w:t xml:space="preserve"> </w:t>
      </w:r>
      <w:r w:rsidRPr="00E93F40">
        <w:rPr>
          <w:color w:val="000000" w:themeColor="text1"/>
          <w:sz w:val="16"/>
          <w:szCs w:val="16"/>
        </w:rPr>
        <w:t>61</w:t>
      </w:r>
      <w:r w:rsidRPr="00E93F40">
        <w:rPr>
          <w:color w:val="000000" w:themeColor="text1"/>
          <w:sz w:val="16"/>
          <w:szCs w:val="16"/>
        </w:rPr>
        <w:noBreakHyphen/>
        <w:t>64; АП</w:t>
      </w:r>
      <w:r w:rsidR="007C1411" w:rsidRPr="00E93F40">
        <w:rPr>
          <w:color w:val="000000" w:themeColor="text1"/>
          <w:sz w:val="16"/>
          <w:szCs w:val="16"/>
        </w:rPr>
        <w:t xml:space="preserve"> </w:t>
      </w:r>
      <w:r w:rsidRPr="00E93F40">
        <w:rPr>
          <w:color w:val="000000" w:themeColor="text1"/>
          <w:sz w:val="16"/>
          <w:szCs w:val="16"/>
        </w:rPr>
        <w:t>РФ. Ф.</w:t>
      </w:r>
      <w:r w:rsidR="007C1411" w:rsidRPr="00E93F40">
        <w:rPr>
          <w:color w:val="000000" w:themeColor="text1"/>
          <w:sz w:val="16"/>
          <w:szCs w:val="16"/>
        </w:rPr>
        <w:t xml:space="preserve"> </w:t>
      </w:r>
      <w:r w:rsidRPr="00E93F40">
        <w:rPr>
          <w:color w:val="000000" w:themeColor="text1"/>
          <w:sz w:val="16"/>
          <w:szCs w:val="16"/>
        </w:rPr>
        <w:t>3. Оп.</w:t>
      </w:r>
      <w:r w:rsidR="007C1411" w:rsidRPr="00E93F40">
        <w:rPr>
          <w:color w:val="000000" w:themeColor="text1"/>
          <w:sz w:val="16"/>
          <w:szCs w:val="16"/>
        </w:rPr>
        <w:t xml:space="preserve"> </w:t>
      </w:r>
      <w:r w:rsidRPr="00E93F40">
        <w:rPr>
          <w:color w:val="000000" w:themeColor="text1"/>
          <w:sz w:val="16"/>
          <w:szCs w:val="16"/>
        </w:rPr>
        <w:t>46. Д.</w:t>
      </w:r>
      <w:r w:rsidR="007C1411" w:rsidRPr="00E93F40">
        <w:rPr>
          <w:color w:val="000000" w:themeColor="text1"/>
          <w:sz w:val="16"/>
          <w:szCs w:val="16"/>
        </w:rPr>
        <w:t xml:space="preserve"> </w:t>
      </w:r>
      <w:r w:rsidRPr="00E93F40">
        <w:rPr>
          <w:color w:val="000000" w:themeColor="text1"/>
          <w:sz w:val="16"/>
          <w:szCs w:val="16"/>
        </w:rPr>
        <w:t>336. Л.</w:t>
      </w:r>
      <w:r w:rsidR="007C1411" w:rsidRPr="00E93F40">
        <w:rPr>
          <w:color w:val="000000" w:themeColor="text1"/>
          <w:sz w:val="16"/>
          <w:szCs w:val="16"/>
        </w:rPr>
        <w:t xml:space="preserve"> </w:t>
      </w:r>
      <w:r w:rsidRPr="00E93F40">
        <w:rPr>
          <w:color w:val="000000" w:themeColor="text1"/>
          <w:sz w:val="16"/>
          <w:szCs w:val="16"/>
        </w:rPr>
        <w:t>126</w:t>
      </w:r>
      <w:r w:rsidRPr="00E93F40">
        <w:rPr>
          <w:color w:val="000000" w:themeColor="text1"/>
          <w:sz w:val="16"/>
          <w:szCs w:val="16"/>
        </w:rPr>
        <w:noBreakHyphen/>
        <w:t>129) (15276).</w:t>
      </w:r>
    </w:p>
    <w:p w14:paraId="436EF192" w14:textId="77777777" w:rsidR="0082622D" w:rsidRPr="00E93F40" w:rsidRDefault="0082622D" w:rsidP="00E93F40">
      <w:pPr>
        <w:pStyle w:val="rtejustify"/>
        <w:spacing w:before="0" w:after="0"/>
        <w:rPr>
          <w:color w:val="000000" w:themeColor="text1"/>
          <w:sz w:val="16"/>
          <w:szCs w:val="16"/>
        </w:rPr>
      </w:pPr>
    </w:p>
    <w:p w14:paraId="12363DB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5E9660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FAD868"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11 октября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1287/374сс о финансировании заводов военной промышленности по капитальным работам (ГА РФ. Ф. Р?8418. Оп. 28. Д. 1а. Л. 375) (12415).</w:t>
      </w:r>
    </w:p>
    <w:p w14:paraId="234CCF6C" w14:textId="77777777" w:rsidR="00BC161D" w:rsidRPr="00E93F40" w:rsidRDefault="00BC161D" w:rsidP="00E93F40">
      <w:pPr>
        <w:spacing w:after="0" w:line="240" w:lineRule="auto"/>
        <w:jc w:val="both"/>
        <w:rPr>
          <w:rFonts w:ascii="Times New Roman" w:hAnsi="Times New Roman"/>
          <w:color w:val="000000" w:themeColor="text1"/>
          <w:sz w:val="16"/>
          <w:szCs w:val="16"/>
          <w:u w:color="002060"/>
        </w:rPr>
      </w:pPr>
    </w:p>
    <w:p w14:paraId="54BE1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октября 1932 г. руководство УВМС на основе изучения материа</w:t>
      </w:r>
      <w:r w:rsidRPr="00E93F40">
        <w:rPr>
          <w:rFonts w:ascii="Times New Roman" w:hAnsi="Times New Roman"/>
          <w:color w:val="000000" w:themeColor="text1"/>
          <w:sz w:val="16"/>
          <w:szCs w:val="16"/>
        </w:rPr>
        <w:softHyphen/>
        <w:t>лов НТК, ЦКБС-1 и итальянских фирм, добилось утверждения наркомвоенмором тактико-технических зада</w:t>
      </w:r>
      <w:r w:rsidRPr="00E93F40">
        <w:rPr>
          <w:rFonts w:ascii="Times New Roman" w:hAnsi="Times New Roman"/>
          <w:color w:val="000000" w:themeColor="text1"/>
          <w:sz w:val="16"/>
          <w:szCs w:val="16"/>
        </w:rPr>
        <w:softHyphen/>
        <w:t>ний на "однотрубный одномачтовый" эсминец стандартным водо</w:t>
      </w:r>
      <w:r w:rsidRPr="00E93F40">
        <w:rPr>
          <w:rFonts w:ascii="Times New Roman" w:hAnsi="Times New Roman"/>
          <w:color w:val="000000" w:themeColor="text1"/>
          <w:sz w:val="16"/>
          <w:szCs w:val="16"/>
        </w:rPr>
        <w:softHyphen/>
        <w:t>измещением 1300 т со скоростью хода 40—42 уз при почти преж</w:t>
      </w:r>
      <w:r w:rsidRPr="00E93F40">
        <w:rPr>
          <w:rFonts w:ascii="Times New Roman" w:hAnsi="Times New Roman"/>
          <w:color w:val="000000" w:themeColor="text1"/>
          <w:sz w:val="16"/>
          <w:szCs w:val="16"/>
        </w:rPr>
        <w:softHyphen/>
        <w:t>нем торпедном и артиллерийском вооружении. По ходатайству Реввоенсовета вскоре было получено разрешение Комиссии оборо</w:t>
      </w:r>
      <w:r w:rsidRPr="00E93F40">
        <w:rPr>
          <w:rFonts w:ascii="Times New Roman" w:hAnsi="Times New Roman"/>
          <w:color w:val="000000" w:themeColor="text1"/>
          <w:sz w:val="16"/>
          <w:szCs w:val="16"/>
        </w:rPr>
        <w:softHyphen/>
        <w:t>ны СТО на помощь итальянцев в проектировании турбин и в по</w:t>
      </w:r>
      <w:r w:rsidRPr="00E93F40">
        <w:rPr>
          <w:rFonts w:ascii="Times New Roman" w:hAnsi="Times New Roman"/>
          <w:color w:val="000000" w:themeColor="text1"/>
          <w:sz w:val="16"/>
          <w:szCs w:val="16"/>
        </w:rPr>
        <w:softHyphen/>
        <w:t>становке турбинного производства. Договор на сотрудничество бьш заключен с фирмой "Ансальдо", которая предоставила теоретиче</w:t>
      </w:r>
      <w:r w:rsidRPr="00E93F40">
        <w:rPr>
          <w:rFonts w:ascii="Times New Roman" w:hAnsi="Times New Roman"/>
          <w:color w:val="000000" w:themeColor="text1"/>
          <w:sz w:val="16"/>
          <w:szCs w:val="16"/>
        </w:rPr>
        <w:softHyphen/>
        <w:t>ский чертеж несколько увеличенного корабля новой серии типа "Маестрале" и чертежи машинно-котельной установки, а также до</w:t>
      </w:r>
      <w:r w:rsidRPr="00E93F40">
        <w:rPr>
          <w:rFonts w:ascii="Times New Roman" w:hAnsi="Times New Roman"/>
          <w:color w:val="000000" w:themeColor="text1"/>
          <w:sz w:val="16"/>
          <w:szCs w:val="16"/>
        </w:rPr>
        <w:softHyphen/>
        <w:t>пустила советских специалистов к изучению производства и при</w:t>
      </w:r>
      <w:r w:rsidRPr="00E93F40">
        <w:rPr>
          <w:rFonts w:ascii="Times New Roman" w:hAnsi="Times New Roman"/>
          <w:color w:val="000000" w:themeColor="text1"/>
          <w:sz w:val="16"/>
          <w:szCs w:val="16"/>
        </w:rPr>
        <w:softHyphen/>
        <w:t>слала своих для внедрения технологии. Были приняты и итальян</w:t>
      </w:r>
      <w:r w:rsidRPr="00E93F40">
        <w:rPr>
          <w:rFonts w:ascii="Times New Roman" w:hAnsi="Times New Roman"/>
          <w:color w:val="000000" w:themeColor="text1"/>
          <w:sz w:val="16"/>
          <w:szCs w:val="16"/>
        </w:rPr>
        <w:softHyphen/>
        <w:t>ские схемы приборов управления огнем для главного и зенитного калибров, которые предстояло освоить на советских заводах.</w:t>
      </w:r>
    </w:p>
    <w:p w14:paraId="1C0031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конструкторам ЦКБС-1 ставилась задача вме</w:t>
      </w:r>
      <w:r w:rsidRPr="00E93F40">
        <w:rPr>
          <w:rFonts w:ascii="Times New Roman" w:hAnsi="Times New Roman"/>
          <w:color w:val="000000" w:themeColor="text1"/>
          <w:sz w:val="16"/>
          <w:szCs w:val="16"/>
        </w:rPr>
        <w:softHyphen/>
        <w:t>стить заданное УВМС достаточно сильное вооружение в избранные по прототипу "готовые" обводы корпуса эсминца, получавшего так</w:t>
      </w:r>
      <w:r w:rsidRPr="00E93F40">
        <w:rPr>
          <w:rFonts w:ascii="Times New Roman" w:hAnsi="Times New Roman"/>
          <w:color w:val="000000" w:themeColor="text1"/>
          <w:sz w:val="16"/>
          <w:szCs w:val="16"/>
        </w:rPr>
        <w:softHyphen/>
        <w:t>же спроектированные в Италии главные и вспомогательные механизмы с линейным расположением трех кот</w:t>
      </w:r>
      <w:r w:rsidRPr="00E93F40">
        <w:rPr>
          <w:rFonts w:ascii="Times New Roman" w:hAnsi="Times New Roman"/>
          <w:color w:val="000000" w:themeColor="text1"/>
          <w:sz w:val="16"/>
          <w:szCs w:val="16"/>
        </w:rPr>
        <w:softHyphen/>
        <w:t>лов и двух главных турбозубчатых агрегатов (ГТЗА) (3898).</w:t>
      </w:r>
    </w:p>
    <w:p w14:paraId="4E65C8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BEA45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9B2BC6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F364E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октября 1932 в Харьковском физико-техническом институте впервые в СССР проведена ядерная реакция по расщеплению атомного ядра лития (4962).</w:t>
      </w:r>
    </w:p>
    <w:p w14:paraId="0C72107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D667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октября 1932 пущен в строй Днепрогэс (4962).</w:t>
      </w:r>
    </w:p>
    <w:p w14:paraId="4480AB8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09B6B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октября 1932 г. из сводки по опытным работам, составленной И.Л. Кинсбургским:</w:t>
      </w:r>
    </w:p>
    <w:p w14:paraId="72B28E0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ПРОЕКТИРОВАНИЯ И ИЗГОТОВЛЕНИЯ ОПЫТНЫХ ДИЗЕЛЬ МОТОРОВ.</w:t>
      </w:r>
    </w:p>
    <w:p w14:paraId="46FF6155"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МОТОРУ БД-14.</w:t>
      </w:r>
    </w:p>
    <w:p w14:paraId="4E45DC1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Осталось закончить механическую обработку 13 деталей и тогда мотор будет окончательно собран и поставлен на станд [«станд» – «стенд» в терминологии того времени] для испытания.</w:t>
      </w:r>
    </w:p>
    <w:p w14:paraId="6919FD07"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&lt;...&gt;</w:t>
      </w:r>
    </w:p>
    <w:p w14:paraId="250CF419"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СОСТОЯНИЕ ПРОЕКТИРОВАНИЯ ПО МОТОРУ БД-2.</w:t>
      </w:r>
    </w:p>
    <w:p w14:paraId="7CFD34E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Коренной вал – рабоч. чертежи разработаны в карандаше.</w:t>
      </w:r>
    </w:p>
    <w:p w14:paraId="18E3693F"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верхний картер – раб. чертежи выполнены на 50 %.</w:t>
      </w:r>
    </w:p>
    <w:p w14:paraId="67495BF1"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нижний картер – раб. чертежи выполнены на 40 %.</w:t>
      </w:r>
    </w:p>
    <w:p w14:paraId="04592663"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Блок со втулками – раб. чертежи выполнены на 60 %.</w:t>
      </w:r>
    </w:p>
    <w:p w14:paraId="6B2264C7"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Поршень с шатунами в стадии разработки.</w:t>
      </w:r>
    </w:p>
    <w:p w14:paraId="218104B4"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Головка – Эскизный проект выполнен на 80 %.</w:t>
      </w:r>
    </w:p>
    <w:p w14:paraId="6D9E422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Клапана всасывающие и выхлопные – раб. чертежи выполнены в карандаше.</w:t>
      </w:r>
    </w:p>
    <w:p w14:paraId="6B5BFCE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 Распределительный вал – в стадии разработки.</w:t>
      </w:r>
    </w:p>
    <w:p w14:paraId="4301E8C8"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Водяной насос – сделан сборный чертеж.</w:t>
      </w:r>
    </w:p>
    <w:p w14:paraId="3B4C29C8"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Остальные комплекты мотора еще не начаты».</w:t>
      </w:r>
    </w:p>
    <w:p w14:paraId="73EBB16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3. Д. 79. Л. 402]</w:t>
      </w:r>
    </w:p>
    <w:p w14:paraId="34027F49"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второй декаде октября 1932 г. коллективу Дизельного отдела ХПЗ удалось завершить изготовление всех деталей опытного двухцилиндрового дизеля БД-14 и к 21 октября 1932 г. полностью собрать и поставить двигатель на стенд для проведения испытаний.</w:t>
      </w:r>
    </w:p>
    <w:p w14:paraId="5ED9E185"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Стендовые испытания дизеля БД-14 были начаты в третьей декаде октября 1932 г. Согласно </w:t>
      </w:r>
      <w:hyperlink r:id="rId250" w:tgtFrame="_blank" w:history="1">
        <w:r w:rsidRPr="00E93F40">
          <w:rPr>
            <w:rStyle w:val="a5"/>
            <w:rFonts w:ascii="Times New Roman" w:hAnsi="Times New Roman"/>
            <w:color w:val="000000" w:themeColor="text1"/>
            <w:sz w:val="16"/>
            <w:szCs w:val="16"/>
          </w:rPr>
          <w:t>Программе испытаний</w:t>
        </w:r>
      </w:hyperlink>
      <w:r w:rsidRPr="00E93F40">
        <w:rPr>
          <w:rFonts w:ascii="Times New Roman" w:hAnsi="Times New Roman"/>
          <w:color w:val="000000" w:themeColor="text1"/>
          <w:sz w:val="16"/>
          <w:szCs w:val="16"/>
        </w:rPr>
        <w:t>, специалистам Дизельного отдела ХПЗ сначала предстояло произвести обкатку дизеля, а затем провести испытания по определению его фактических тактико-технических характеристик и эксплуатационных качеств. На завершающей стадии испытаний планировалось проведение ряда экспериментальных работ, заключавшихся в установке на дизель БД-14 и испытании различных конструкций форсунок и топливных насосов высокого давления, как собственной разработки ХПЗ, так и немецкой фирмы «Bosch», а также экспериментальные работы по изменению формы камеры сгорания и переводу работы дизеля с четырехтактного цикла работы на двухтактный (24856).</w:t>
      </w:r>
    </w:p>
    <w:p w14:paraId="67AD8886" w14:textId="77777777" w:rsidR="00D30D2C" w:rsidRPr="00E93F40" w:rsidRDefault="00D30D2C" w:rsidP="00E93F40">
      <w:pPr>
        <w:spacing w:after="0" w:line="240" w:lineRule="auto"/>
        <w:jc w:val="both"/>
        <w:rPr>
          <w:rFonts w:ascii="Times New Roman" w:hAnsi="Times New Roman"/>
          <w:color w:val="000000" w:themeColor="text1"/>
          <w:sz w:val="16"/>
          <w:szCs w:val="16"/>
        </w:rPr>
      </w:pPr>
    </w:p>
    <w:p w14:paraId="075B7B63"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11 Октября 1932 г. </w:t>
      </w:r>
    </w:p>
    <w:p w14:paraId="5B993E5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РГВА Фонд 31811 Опись 3 Дело 79 лист 399 – 400 </w:t>
      </w:r>
    </w:p>
    <w:p w14:paraId="20FA2E8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Секретно </w:t>
      </w:r>
    </w:p>
    <w:p w14:paraId="38D6F7F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СОСТОЯНИИ ОПЫТНЫХ РАБОТ ПО ОТДЕЛУ Т2 ХПЗ </w:t>
      </w:r>
    </w:p>
    <w:p w14:paraId="29F35DD4"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11 Октября 1932 г. </w:t>
      </w:r>
    </w:p>
    <w:p w14:paraId="78635019"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ПРОЕКТИРОВАНИЯ ОПЫТНЫХ МАШИН В Т2К.</w:t>
      </w:r>
    </w:p>
    <w:p w14:paraId="1504D73B"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ПО БТ-5. </w:t>
      </w:r>
    </w:p>
    <w:p w14:paraId="75C1A78E"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Разработаны все чертежи за исключением: </w:t>
      </w:r>
    </w:p>
    <w:p w14:paraId="2145EA79"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антенны и ввода ее (14-го будет готово) </w:t>
      </w:r>
    </w:p>
    <w:p w14:paraId="1240EF6A"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смотрового прибора в щитке водителя (чертежи будут выпущены после проверки на 1-м опытном образце) </w:t>
      </w:r>
    </w:p>
    <w:p w14:paraId="602D659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броневой установки оптического прибора. Разработанный вариант по чертежам Ворошиловского завода ввиду отсутствия специального оборудования на Мариупольском и Ижорском заводах последним отказа в изготовлении. </w:t>
      </w:r>
    </w:p>
    <w:p w14:paraId="48A0030A"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Присланная Ворошиловским заводом новая конструкция броневой установки оптического прибора не обеспечивает плотного закрывания люка вентиляции. </w:t>
      </w:r>
    </w:p>
    <w:p w14:paraId="3DA169A7"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Т2К разработан вариант и послан на Ворошиловский завод на согласование. После получения положительного ответа чертежи броневой установки буду немедленно выпущены. </w:t>
      </w:r>
    </w:p>
    <w:p w14:paraId="745F0F65"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Что касается 10 опытных машин БТ-5 то дело обстоит так: </w:t>
      </w:r>
    </w:p>
    <w:p w14:paraId="7DDE8CD3"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сего месяца будет закончена сборка механизмов лишь первого образца, причем опробывание монтажа машины будет не раньше 13-го. Полная же сборка машины с башней, укладкой боеприпасов и остальной аппаратурой будет закончена не раньше 25-го октября. Остальные девять машин будут собираться на сборке в Т2 по мере прибывания готовых корпусов из АВО (автогенный отдел). Поступление корпусов БТ-5 из АВО в Т2 намечено провести в следующем порядке: </w:t>
      </w:r>
    </w:p>
    <w:p w14:paraId="5DCD73A9"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2-й корпус – 17.Х с.г. </w:t>
      </w:r>
    </w:p>
    <w:p w14:paraId="2DDB01B9"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3-й корпус – 19.Х с.г. </w:t>
      </w:r>
    </w:p>
    <w:p w14:paraId="45DDDC31"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4-й корпус – 20.Х с.г. </w:t>
      </w:r>
    </w:p>
    <w:p w14:paraId="6B55104D"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5-й и 6-й корпус – 21.Х с.г. </w:t>
      </w:r>
    </w:p>
    <w:p w14:paraId="395F4545"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7-й и 8-й корпус – 23.Х с.г. </w:t>
      </w:r>
    </w:p>
    <w:p w14:paraId="16F1461B"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9-й и 10-й корпус – 24.Х с.г. </w:t>
      </w:r>
    </w:p>
    <w:p w14:paraId="411B2BB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заявлению Зав. Производством Т2 для сборки опытной машины необходимо не меньше 16 – 18 дней, поэтому есть опасность, что не все машины к Октябрьским торжествам будут собраны. С моей стороны принимаются меры, чтобы все корпуса передать из АВО в Т2 не позже 20-го и ускорить процесс сборки. </w:t>
      </w:r>
    </w:p>
    <w:p w14:paraId="4A68BDE8"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ПО БТ-6. </w:t>
      </w:r>
    </w:p>
    <w:p w14:paraId="2F4A507D"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Проектирование возобновлено и находится в следующем состоянии: </w:t>
      </w:r>
    </w:p>
    <w:p w14:paraId="50FE91C4"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ИЗГОТОВЛЕНО: </w:t>
      </w:r>
    </w:p>
    <w:p w14:paraId="512AFB8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Общий вид насоса. </w:t>
      </w:r>
    </w:p>
    <w:p w14:paraId="7901008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Арка над водителем. </w:t>
      </w:r>
    </w:p>
    <w:p w14:paraId="367F012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Средняя перегородка. </w:t>
      </w:r>
    </w:p>
    <w:p w14:paraId="415B3C0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Задняя перегородка. </w:t>
      </w:r>
    </w:p>
    <w:p w14:paraId="6419FD94"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Поддон бензобака. </w:t>
      </w:r>
    </w:p>
    <w:p w14:paraId="5422035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Жалюзи. </w:t>
      </w:r>
    </w:p>
    <w:p w14:paraId="37E6DBA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Полка для гусеницы. </w:t>
      </w:r>
    </w:p>
    <w:p w14:paraId="2E854E3D"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Колпаки для радиаторов. </w:t>
      </w:r>
    </w:p>
    <w:p w14:paraId="4B17595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Крыша над мотором. </w:t>
      </w:r>
    </w:p>
    <w:p w14:paraId="59CA6C7D"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Грязевые крылья. </w:t>
      </w:r>
    </w:p>
    <w:p w14:paraId="45B0DF1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Проектный чертеж бронировки картера, трубы бортовой передачи и гитары. Бронировка указанных механизмов увеличивает вес машины приблизительно на 100 кг. </w:t>
      </w:r>
    </w:p>
    <w:p w14:paraId="2D6C1DFF"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РАБОТЕ: </w:t>
      </w:r>
    </w:p>
    <w:p w14:paraId="27C79DE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Пылеочиститель. </w:t>
      </w:r>
    </w:p>
    <w:p w14:paraId="3001475D"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Задний мост. </w:t>
      </w:r>
    </w:p>
    <w:p w14:paraId="3C1B873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ОСТАЛОСЬ СДЕЛАТЬ. </w:t>
      </w:r>
    </w:p>
    <w:p w14:paraId="071F06F3"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общих видов корпуса и детали и изменения, какие окажутся после проверки сделанных общих видов. </w:t>
      </w:r>
    </w:p>
    <w:p w14:paraId="4C5A541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По установке мотора М17(б). </w:t>
      </w:r>
    </w:p>
    <w:p w14:paraId="40580E6E"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Разработка этой конструкции передана другому конструктору и не раньше 25-го с.м. конструкторское бюро обещает точно установить к какому сроку можно будет выполнить опытный первый образец. Причем установка мотора М17 сейчас совершенно обставлена, т.к. она требует изменения габаритов самого корпуса. </w:t>
      </w:r>
    </w:p>
    <w:p w14:paraId="0D2E6E47"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Одновременно с этим дано задание другому конструктору разработать отдельный вариант коробки и фрикционов с расчетом на передачу мощности мотора М17(б) и увеличить боевое помещение не меньше чем на 300 – 400 мм. </w:t>
      </w:r>
    </w:p>
    <w:p w14:paraId="494944E0"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В отношении проектирования и изготовления 2-х опытных образцов установки рации 72ТК в танке БТ с 45 мм пушечной установкой, то до сих пор еще не приступлено несмотря на мои неоднократные напоминания. Также не приступлено к разработке корпуса с установкой 76 мм по тем же причинам, к тому же до сих пор нет опытного заказа. </w:t>
      </w:r>
    </w:p>
    <w:p w14:paraId="1AE4303A"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По работе опытной секции. </w:t>
      </w:r>
    </w:p>
    <w:p w14:paraId="3F1AD54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Проведены испытания бортового фрикциона с 32-я дисками, причем машина подвергалась поворотам по разным радиусам и подъему на разные углы возвышения до 40° и больше. После испытания разобранные диски оказались в удовлетворительном состоянии. Протоколы испытания будут досланы. </w:t>
      </w:r>
    </w:p>
    <w:p w14:paraId="03758F3E"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Испытание дополнительных бензиновых бачков показало неудовлетворительность монтажа с точки зрения конструкции, т.к. приходится вести бензинопровод внутри машинного и трансмиссионного отделений, что очень неудобно и в случае поломки или аварии опасно. Разрабатывается новая конструкция монтажа с самостоятельной системой питания карбюратора горючим. </w:t>
      </w:r>
    </w:p>
    <w:p w14:paraId="5004EDB4"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Всю дальнейшую работу опытной секции на Октябрь месяц намечено сосредоточить главным образом на испытании грузошин, а также на завершении определения расхода смазки и размера необходимого масляного бачка и др. </w:t>
      </w:r>
    </w:p>
    <w:p w14:paraId="681FE45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ПРИЛОЖЕНИЕ: Программа испытания опытных грузошин. </w:t>
      </w:r>
    </w:p>
    <w:p w14:paraId="2A8892B0"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ускорения испытания грузошин последние установлены и на первый опытный образец БТ-5. </w:t>
      </w:r>
    </w:p>
    <w:p w14:paraId="547027AD"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изменениях, вводимых в серийное производство. </w:t>
      </w:r>
    </w:p>
    <w:p w14:paraId="6DAF0B7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Упор под каблук правой ноги водителя. Чертеж разработан и 11-го будет спущен в цех для изготовления образца. </w:t>
      </w:r>
    </w:p>
    <w:p w14:paraId="6F57921E"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Управление жалюзями. Чертежи наконец-то разработаны, но в цех еще не спущены.</w:t>
      </w:r>
    </w:p>
    <w:p w14:paraId="0D8D8A9A"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СТАРШИЙ ВОЕННЫЙ ПРЕДСТАВИТЕЛЬ УММ РККА </w:t>
      </w:r>
    </w:p>
    <w:p w14:paraId="0A0AF99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ОПЫТНЫМ РАБОТАМ НА ХПЗ подпись (КИНСБУРГСКИЙ)</w:t>
      </w:r>
    </w:p>
    <w:p w14:paraId="621689F8"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11/X-32 г. </w:t>
      </w:r>
    </w:p>
    <w:p w14:paraId="15B7E70F" w14:textId="77777777" w:rsidR="00D30D2C" w:rsidRPr="00E93F40" w:rsidRDefault="00D30D2C" w:rsidP="00E93F40">
      <w:pPr>
        <w:spacing w:after="0" w:line="240" w:lineRule="auto"/>
        <w:jc w:val="both"/>
        <w:rPr>
          <w:rFonts w:ascii="Times New Roman" w:hAnsi="Times New Roman"/>
          <w:color w:val="000000" w:themeColor="text1"/>
          <w:sz w:val="16"/>
          <w:szCs w:val="16"/>
        </w:rPr>
      </w:pPr>
    </w:p>
    <w:p w14:paraId="4B27D68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октября 1932 г.</w:t>
      </w:r>
    </w:p>
    <w:p w14:paraId="525D0B92"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Фонд 31811 Опись 3 Дело 79 лист 402</w:t>
      </w:r>
    </w:p>
    <w:p w14:paraId="5691D1C7"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ПРОЕКТИРОВАНИЯ И ИЗГОТОВЛЕНИЯ ОПЫТНЫХ ДИЗЕЛЬ МОТОРОВ.</w:t>
      </w:r>
    </w:p>
    <w:p w14:paraId="3329B528"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ПО МОТОРУ БД-14. </w:t>
      </w:r>
    </w:p>
    <w:p w14:paraId="62178EA7"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Осталось закончить механическую обработку 13 деталей и тогда мотор будет окончательно собран и поставлен на станд для испытания. </w:t>
      </w:r>
    </w:p>
    <w:p w14:paraId="3CC895AD"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ПО МОТОРУ 0-1 (двухцилиндровая секция мотора Д-300). </w:t>
      </w:r>
    </w:p>
    <w:p w14:paraId="7622F519"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Изготовлены только 33 наименования мелких деталей. </w:t>
      </w:r>
    </w:p>
    <w:p w14:paraId="3621A576"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СОСТОЯНИЕ ПРОЕКТИРОВАНИЯ ПО МОТОРУ БД-2. </w:t>
      </w:r>
    </w:p>
    <w:p w14:paraId="43D57091"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Коренной вал – рабоч. чертежи разработаны в карандаше. </w:t>
      </w:r>
    </w:p>
    <w:p w14:paraId="6E4C3633"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верхний картер – раб. чертежи выполнены на 50 %. </w:t>
      </w:r>
    </w:p>
    <w:p w14:paraId="7CC84653"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нижний картер – раб. чертежи выполнены на 40 %. </w:t>
      </w:r>
    </w:p>
    <w:p w14:paraId="2A3ECB79"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 Блок со втулками – раб. чертежи выполнены на 60 %. </w:t>
      </w:r>
    </w:p>
    <w:p w14:paraId="4610BB65"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Поршень с шатунами в стадии разработки. </w:t>
      </w:r>
    </w:p>
    <w:p w14:paraId="0AF1F4C0"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 Головка – Эскизный проект выполнен на 80 %. </w:t>
      </w:r>
    </w:p>
    <w:p w14:paraId="7F47222B"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ж) Клапана всасывающие и выхлопные – раб. чертежи выполнены в карандаше. </w:t>
      </w:r>
    </w:p>
    <w:p w14:paraId="66F6C334"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з) Распределительный вал – в стадии разработки. </w:t>
      </w:r>
    </w:p>
    <w:p w14:paraId="23AB9E33"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 Водяной насос – сделан сборный чертеж. </w:t>
      </w:r>
    </w:p>
    <w:p w14:paraId="09E0CB1F"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Остальные комплекты мотора еще не начаты.</w:t>
      </w:r>
    </w:p>
    <w:p w14:paraId="0FDD0768"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СТАРШИЙ ВОЕННЫЙ ПРЕДСТАВИТЕЛЬ УММ РККА </w:t>
      </w:r>
    </w:p>
    <w:p w14:paraId="2D71DB87"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ОПЫТНЫМ РАБОТАМ НА ХПЗ подпись (КИНСБУРГСКИЙ)</w:t>
      </w:r>
    </w:p>
    <w:p w14:paraId="03FF8D1C" w14:textId="77777777" w:rsidR="00D30D2C" w:rsidRPr="00E93F40" w:rsidRDefault="00D30D2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11/X-32 г. (24879).</w:t>
      </w:r>
    </w:p>
    <w:p w14:paraId="7DD50E16" w14:textId="77777777" w:rsidR="00D30D2C" w:rsidRPr="00E93F40" w:rsidRDefault="00D30D2C" w:rsidP="00E93F40">
      <w:pPr>
        <w:spacing w:after="0" w:line="240" w:lineRule="auto"/>
        <w:jc w:val="both"/>
        <w:rPr>
          <w:rFonts w:ascii="Times New Roman" w:hAnsi="Times New Roman"/>
          <w:color w:val="000000" w:themeColor="text1"/>
          <w:sz w:val="16"/>
          <w:szCs w:val="16"/>
        </w:rPr>
      </w:pPr>
    </w:p>
    <w:p w14:paraId="17418B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11 октября 1932-го Приказом ОГПУ № 963/с структура ЭКУ была вновь пересмотрена и число отделений увеличено до одиннадцати. Вводимый с 1 октября в действие штат выглядел так: </w:t>
      </w:r>
    </w:p>
    <w:p w14:paraId="48907F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начальник ЭКУ (Л.Г.Миронов), заместитель начальника ЭКУ (М.И.Гай), помощники начальника ЭКУ (А.М.Минаев-Цикановский, Д.М.Дмитриев), секретарь ЭКУ (А.А.Агеев), </w:t>
      </w:r>
    </w:p>
    <w:p w14:paraId="6A7BAD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отделение (машиностроение, топливо, энергетика, - начальник Я.П.Ржавский), </w:t>
      </w:r>
    </w:p>
    <w:p w14:paraId="25BC0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отделение (черная и цветная металлургия, - Я.Ш.Дашевский), </w:t>
      </w:r>
    </w:p>
    <w:p w14:paraId="3A270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отделение (резиновая, химическая, строительная промышленность и Госплан, - Я.Г.Рыбальский), </w:t>
      </w:r>
    </w:p>
    <w:p w14:paraId="07667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отделение (военная промышленность, - вакансия), </w:t>
      </w:r>
    </w:p>
    <w:p w14:paraId="01842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отделение (легкая промышленность, - Н.М.Счастливцев), </w:t>
      </w:r>
    </w:p>
    <w:p w14:paraId="46E0D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отделение (снабжение и кооперация, - И.И.Ильицкий), </w:t>
      </w:r>
    </w:p>
    <w:p w14:paraId="399A6F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7 отделение (внешняя торговля, - Д.М.Дмитриев, он же помощник начальника ЭКУ), </w:t>
      </w:r>
    </w:p>
    <w:p w14:paraId="74A99D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отделение (сельское хозяйство, - Д.З.Апресян), </w:t>
      </w:r>
    </w:p>
    <w:p w14:paraId="2A025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отделение (финансы и кредит, - Я.Б.Лоев), </w:t>
      </w:r>
    </w:p>
    <w:p w14:paraId="3680D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 отделение (техническая разведка, - М.Е.Соколов), </w:t>
      </w:r>
    </w:p>
    <w:p w14:paraId="07A81A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отделение (специально-техническое, - А.Г.Горянов-Горный) (7557).</w:t>
      </w:r>
    </w:p>
    <w:p w14:paraId="56FB9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844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октября 1932 -- ЗИНОВЬЕВ и КАМЕНЕВ вторично исключаются из партии - до окончательного разгрома ленинградской оппозиции Кремлю остаются считанные дни. В первый раз их вышибли после XV съезда в 1928 году, они покаялись и попросились обратно. Их восстановили, теперь снова исключили, потом арестуют, дважды будут судить и, в конце концов, расстреляют (10739).</w:t>
      </w:r>
    </w:p>
    <w:p w14:paraId="267116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689AC9" w14:textId="77777777" w:rsidR="007A6D51"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7070096" w14:textId="77777777" w:rsidR="007A6D51" w:rsidRPr="00E93F40" w:rsidRDefault="007A6D5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2AE661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октября 1932 г. — Из аналитического обзора Госплана СССР «Итоги оборонной подготовки промышленности в первой пятилетке»</w:t>
      </w:r>
    </w:p>
    <w:p w14:paraId="378F53E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10928CB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 Заявка НКВМ на год ведения войны</w:t>
      </w:r>
    </w:p>
    <w:p w14:paraId="612C8950" w14:textId="52088A9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Подводя итоги работе промышленности в первой пятилетке, мы, естественно, отправляемся от самого пятилетнего плана и сравниваем с его наметками и планировками те результаты, с которыми мы вступаем во второе пятилетие. Попытка сделать то же при подведении итогов оборонной подготовки промышленности уперлись бы в отсутствие такой специальной пятилетки. Однако это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только кажущееся затруднение: поскольку нам нужно сравнить достигнутые результаты с ранее поставленными заданиями, такие задания есть, и они сформулированы вполне четко в утвержденных правительством заявках НКВМ на год ведения войны.</w:t>
      </w:r>
    </w:p>
    <w:p w14:paraId="049CBD8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Заявка НКВМ является тем связующим звеном, посредством которого подготовка промышленности и всех других отраслей народного хозяйства направляется в общее русло. Она не есть только ведомственный документ: в системе планового социалистического хозяйства она строится на основе учета общих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задания отдельным отраслям народного хозяйства, тем самым определяет и размер изъятий из народнохозяйственных ресурсов, которые придется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Поэтому заявка НКВМ является важнейшей политико-экономической директивой, а, сопоставляя итоги оборонной подготовки промышленности с заявками НКВМ, мы тем самым проверяем выполнение этой директивы.</w:t>
      </w:r>
    </w:p>
    <w:p w14:paraId="0C206487" w14:textId="0CB1641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Заявка НКВМ промышленности на год ведения войны испытывала на протяжении всего первого пятилетия непрерывные изменения. Эти изменения являются совершенно естественными и неизбежными, так как в них отражается индустриальный рост СССР и технической вооруженности самой армии. Мы начинаем анализ с заявки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Формально в основе оборонной подготовки промышленности в истекшем четырехлетии лежала заявка НКВМ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утвержденная РЗ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СТО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еще до начала пятилетки. В действительности эта подготовка несла на себе в течение всего 1928</w:t>
      </w:r>
      <w:r w:rsidRPr="00E93F40">
        <w:rPr>
          <w:rFonts w:ascii="Times New Roman" w:hAnsi="Times New Roman"/>
          <w:color w:val="000000" w:themeColor="text1"/>
          <w:sz w:val="16"/>
          <w:szCs w:val="16"/>
        </w:rPr>
        <w:noBreakHyphen/>
        <w:t>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печать заявки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превращение заявки НКВМ в систему промышленных мобилизационных заданий есть сложное и длительное дело, и всякие изменения в заявке влекут в оборонной подготовке промышленности такие затруднения организационного, технического и экономического порядка, что лишь при условии значительной гибкости руководящих оборонных органов промышленности эти изменения могут быть быстро доведены до предприятий и реально проведены в жизнь. В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промышленность с такой задачей не справилась и, несмотря на наличие новой заявки, построила план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основном на базе заявки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г.¹* С этой точки зрения тот факт, что позднее промышленность сумела перейти в течение примерно одного года на новые образцы вооружения, свидетельствует о большом организационном росте и улучшении руководства оборонной подготовкой промышленности.</w:t>
      </w:r>
    </w:p>
    <w:p w14:paraId="51BD3927" w14:textId="001070B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Динамика заявок НКВМ показана в таблице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 и диаграмме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1²*, приуроченных к основным рубежам, на которых фиксировались изменения. В действительности, однако, процесс изменения заявок шел непрерывно, и редкая позиция не изменялась по несколько раз чуть ли не на протяжении одного года. Причины этого становятся совершенно ясны, если учесть, что все эти изменения являлись отражением гигантского процесса перевооружения РККА, опиравшегося на бурные темпы индустриализации СССР. Заявка здесь, однако, помимо всего прочего,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и исходное задание для оборонной подготовки промышленности; выше указано, с какими трудностями для промышленности связаны изменения в заявках; процесс беспрерывного изменения заявок есть одновременно процесс большей или меньшей ломки мобилизационных заданий предприятиям. С этой точки зрения, достигнутая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относительная стабильность заявки есть большое организационное достижение. Линии технического перевооружения РККА к настоящему времени определились настолько, что есть возможность полностью упорядочить дело изменения заявок НКВМ и связать эти изменения с определенными календарными рубежами (подготовка к очередным годовым контрольным цифрам) при обеспечении устойчивости основных установок заявки в течение более длительного срока.</w:t>
      </w:r>
    </w:p>
    <w:p w14:paraId="63466A27" w14:textId="3E0672A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Основная линия, проходящая через все разновременно данные заявки НКВМ, есть линия роста технической вооруженности РККА, До разработки задания МВ</w:t>
      </w:r>
      <w:r w:rsidRPr="00E93F40">
        <w:rPr>
          <w:rFonts w:ascii="Times New Roman" w:hAnsi="Times New Roman"/>
          <w:color w:val="000000" w:themeColor="text1"/>
          <w:sz w:val="16"/>
          <w:szCs w:val="16"/>
        </w:rPr>
        <w:noBreakHyphen/>
        <w:t>10 (осень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заявка росла главным образом в количественном отношении: по всем основным номенклатурам заявка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намечает весьма значительное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50</w:t>
      </w:r>
      <w:r w:rsidRPr="00E93F40">
        <w:rPr>
          <w:rFonts w:ascii="Times New Roman" w:hAnsi="Times New Roman"/>
          <w:color w:val="000000" w:themeColor="text1"/>
          <w:sz w:val="16"/>
          <w:szCs w:val="16"/>
        </w:rPr>
        <w:noBreakHyphen/>
        <w:t>100%), но почти равномерное увеличение против заявки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значительно растет заявка на ручные пулеметы при стабильности цифры станковых, а решительный скачок делается только по танкам (+600% к заявке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Если учесть, что в заявке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танки значились в цифре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этот скачок свидетельствует лишь о начавшемся выравнивании уровня вооружения РККА с западноевропейскими армиями. Задание МВ</w:t>
      </w:r>
      <w:r w:rsidRPr="00E93F40">
        <w:rPr>
          <w:rFonts w:ascii="Times New Roman" w:hAnsi="Times New Roman"/>
          <w:color w:val="000000" w:themeColor="text1"/>
          <w:sz w:val="16"/>
          <w:szCs w:val="16"/>
        </w:rPr>
        <w:noBreakHyphen/>
        <w:t>10³* делает решительный упор на качественное изменение, на структуру боеснабжения РККА, оставляя почти стабильные цифры по стрелковому оружию, по легкой полевой артиллерии. Задание МВ</w:t>
      </w:r>
      <w:r w:rsidRPr="00E93F40">
        <w:rPr>
          <w:rFonts w:ascii="Times New Roman" w:hAnsi="Times New Roman"/>
          <w:color w:val="000000" w:themeColor="text1"/>
          <w:sz w:val="16"/>
          <w:szCs w:val="16"/>
        </w:rPr>
        <w:noBreakHyphen/>
        <w:t>10 намечает большой скачок по гаубичной и тяжелой артиллерии (+200</w:t>
      </w:r>
      <w:r w:rsidRPr="00E93F40">
        <w:rPr>
          <w:rFonts w:ascii="Times New Roman" w:hAnsi="Times New Roman"/>
          <w:color w:val="000000" w:themeColor="text1"/>
          <w:sz w:val="16"/>
          <w:szCs w:val="16"/>
        </w:rPr>
        <w:noBreakHyphen/>
        <w:t>300%), мелкокалиберной артиллерии (+600%) и танкам (+1200% к заявке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удвоение заявки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Наконец,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серия постановлений правительства, определяя перспективы развития по ряду производств, вносит ряд корректив и в задание МВ</w:t>
      </w:r>
      <w:r w:rsidRPr="00E93F40">
        <w:rPr>
          <w:rFonts w:ascii="Times New Roman" w:hAnsi="Times New Roman"/>
          <w:color w:val="000000" w:themeColor="text1"/>
          <w:sz w:val="16"/>
          <w:szCs w:val="16"/>
        </w:rPr>
        <w:noBreakHyphen/>
        <w:t>10 и устанавливает новые задания к весне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своих постановлениях СНК, еще более подчеркивая тенденции, наметившиеся в задании МВ</w:t>
      </w:r>
      <w:r w:rsidRPr="00E93F40">
        <w:rPr>
          <w:rFonts w:ascii="Times New Roman" w:hAnsi="Times New Roman"/>
          <w:color w:val="000000" w:themeColor="text1"/>
          <w:sz w:val="16"/>
          <w:szCs w:val="16"/>
        </w:rPr>
        <w:noBreakHyphen/>
        <w:t>10 (рост средних и тяжелых калибров артиллерии, мелкокалиберной артиллерии и танков), задает большие темпы роста корпусным пушкам и намечает решительный сдвиг в отношении авиации, выдвигая ее по темпам роста на одно из первых мест наряду с танками (+1000% к заявке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весне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больше чем утроение заявки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Теми же постановлениями намечается перспектива дальнейшего, еще более быстрого, роста авиации в первые годы второго пятилетия.</w:t>
      </w:r>
    </w:p>
    <w:p w14:paraId="1F6343F8" w14:textId="236346E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всех этих изменений мы пришли к настоящему моменту ко вполне современной военной заявке, современной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 точки зрения структуры военного снабжения в крупнейших капиталистических армиях. Количественно, однако, мы еще отстаем весьма значительно...⁴*</w:t>
      </w:r>
    </w:p>
    <w:p w14:paraId="3E3346D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Изложенный выше процесс роста количественного и военно-технического уровня заявок НКВМ есть выражение и следствие общего индустриального роста СССР и успехов, достигнутых на фронте социалистического строительства. Эти успехи создали материальную основу для роста РККА, и заявки НКВМ в общем должны были лишь формулировать требования, предпосылка для удовлетворения которых создавались самим ходом социалистического строительства. Военно-техническая отсталость наших заявок, будучи выражением общей отсталости РККА на первых этапах ее развития, была вместе с тем следствием общей техноэкономической отсталости СССР. Тот факт, что на сегодня мы имеем вполне современную военную заявку, означает, что достигнутые уже к сегодняшнему дню успехи социалистической индустриализации СССР вывели РККА в один ряд с передовыми западноевропейскими армиями. Задание МВ</w:t>
      </w:r>
      <w:r w:rsidRPr="00E93F40">
        <w:rPr>
          <w:rFonts w:ascii="Times New Roman" w:hAnsi="Times New Roman"/>
          <w:color w:val="000000" w:themeColor="text1"/>
          <w:sz w:val="16"/>
          <w:szCs w:val="16"/>
        </w:rPr>
        <w:noBreakHyphen/>
        <w:t>10, прокорректированное постановлениями правительства, есть конкретное выражение, мерило зависимости нашей сегодняшней военно-технической мощи от достигнутого нами уровня развития в технико-экономическом отношении, ибо «ничто так не зависит в такой степени от экономических условий, как армия и флот» (Энгельс).</w:t>
      </w:r>
    </w:p>
    <w:p w14:paraId="5031F72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Задачей дальнейшего анализа должно быть выяснение того, в какой мере полно использованы наши ресурсы для обороны, насколько соответствуют результаты нашей оборонной подготовки тем объективным возможностям, которыми располагает СССР в конце четвертого, завершающего, года пятилетки.</w:t>
      </w:r>
    </w:p>
    <w:p w14:paraId="27E38AD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Удовлетворение военной заявки промышленностью</w:t>
      </w:r>
    </w:p>
    <w:p w14:paraId="5F51C3E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истекшее четырехлетие наша промышленность имеет очень большие достижения по линии производства предметов снабжения РККА. Эти достижения относятся, прежде всего, к освоению новой военной техники.</w:t>
      </w:r>
    </w:p>
    <w:p w14:paraId="5ED63DE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основе оборонной подготовки промышленности в начале пятилетия лежала, в общем, та военная техника, с которой выступала в мировой войне царская Россия. Это нашло свое выражение в том, что Красная армия не располагала целым рядом важных номенклатур боевого и военно-технического снабжения, которые являются совершенно обязательными в современных армиях...⁵*</w:t>
      </w:r>
    </w:p>
    <w:p w14:paraId="5C129D5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 этим, то, что Красная армия имела, характеризовалось крайней технической отсталостью и устарелостью, абсолютно устарела и отстала материальная часть нашей артиллерии, корпуса снарядов, взрыватели и трубки к ним, самолеты и моторы.</w:t>
      </w:r>
    </w:p>
    <w:p w14:paraId="512AF031" w14:textId="6F43232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достигнутые в борьбе за преодоление нашей военно-технической отсталости в истекшем четырехлетии, громадны. Мы имеем ручной пулемет Дегтярева, являющийся одним из лучших в мире; заново создана мелкокалиберная и полковая артиллерия, освоена в производстве 203</w:t>
      </w:r>
      <w:r w:rsidRPr="00E93F40">
        <w:rPr>
          <w:rFonts w:ascii="Times New Roman" w:hAnsi="Times New Roman"/>
          <w:color w:val="000000" w:themeColor="text1"/>
          <w:sz w:val="16"/>
          <w:szCs w:val="16"/>
        </w:rPr>
        <w:noBreakHyphen/>
        <w:t>дюймовая гаубица и 180</w:t>
      </w:r>
      <w:r w:rsidRPr="00E93F40">
        <w:rPr>
          <w:rFonts w:ascii="Times New Roman" w:hAnsi="Times New Roman"/>
          <w:color w:val="000000" w:themeColor="text1"/>
          <w:sz w:val="16"/>
          <w:szCs w:val="16"/>
        </w:rPr>
        <w:noBreakHyphen/>
        <w:t>дюймовая морская пушка; модернизированы все образцы полевой артиллерии и 6</w:t>
      </w:r>
      <w:r w:rsidRPr="00E93F40">
        <w:rPr>
          <w:rFonts w:ascii="Times New Roman" w:hAnsi="Times New Roman"/>
          <w:color w:val="000000" w:themeColor="text1"/>
          <w:sz w:val="16"/>
          <w:szCs w:val="16"/>
        </w:rPr>
        <w:noBreakHyphen/>
        <w:t>дюймовая тяжелая пушка. На протяжении немногим более года решительно перестроена металлическая часть выстрела: налажено производство современного снаряда и вполне удовлетворительных взрывателей и трубок; наша авиация практически осуществляет лозунг «перегнать», а танки стали в один ряд с лучшими современными образцами; Красная армия получила также вполне реальную и мощную базу снабжения военно-техническим имуществом новейших образцов (радио, прожекторы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 и механизированным транспортом. Осталось еще много пробелов в типах и качестве нашего вооружения, но все же итог первой пятилетки подводится в этой части с плюсом: мы в основном освоили и в производстве современную передовую военную технику; мы уже приступили к «перегону» по авиации; в дальнейшей борьбе за качество боевого и технического снабжения РККА задача сегодняшнего дня есть уже в основном задача «перегона», и этот факт сам по себе является крупнейшим достижением.</w:t>
      </w:r>
    </w:p>
    <w:p w14:paraId="774D5C9E" w14:textId="2FBAE14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Промышленность имеет также серьезные количественные достижения в производстве снабжения РККА и подготовке базы этого снабжения на время войны. В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общая стоимость всех военных заказов промышленности за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 (1928/29</w:t>
      </w:r>
      <w:r w:rsidRPr="00E93F40">
        <w:rPr>
          <w:rFonts w:ascii="Times New Roman" w:hAnsi="Times New Roman"/>
          <w:color w:val="000000" w:themeColor="text1"/>
          <w:sz w:val="16"/>
          <w:szCs w:val="16"/>
        </w:rPr>
        <w:noBreakHyphen/>
        <w:t>1932/33) проектировалась в сумме 2960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Фактически выпущено военной продукции только по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военным трестам и объединениям (авиационному, химическому, орудийному, оружейному и патронно-трубочному) с 1928/29 по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включительно,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за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предполагаемый выпуск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этой же группе составит грубо около 1200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выпуск за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составит 2300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руб....⁶*</w:t>
      </w:r>
    </w:p>
    <w:p w14:paraId="6DE70AE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вывод, вытекающий из оценки возможных размеров подачи готовой продукции в первый год войны и их сопоставления с заданием сводится к тому, что за первую пятилетку промышленность добилась больших успехов в освоении передовой военной техники и создании материальной базы обороны; количественные размеры этой базы, однако, отстают от того, что нам необходимо, в особенности в части выстрела.</w:t>
      </w:r>
    </w:p>
    <w:p w14:paraId="539A940A" w14:textId="4643034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Постановления правительства, установившие жесткие сроки для обеспечения этих минимальных потребностей, не выполнены; количественная недостаточность подготовленных возможностей поставки военного снабжения промышленностью и неравномерность удовлетворения заявки НКВМ в значительной мере обесценивают наметившиеся качественные сдвиги и препятствуют выравниванию уровня боевой и технической вооруженности РККА с передовыми иностранными армиями. Задача дальнейшего анализа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вскрыть причины такого положения.</w:t>
      </w:r>
    </w:p>
    <w:p w14:paraId="6C2E262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Сырье и материальное обеспечение</w:t>
      </w:r>
    </w:p>
    <w:p w14:paraId="417AEDA1" w14:textId="2AE0A25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протяжении всего первого пятилетия обеспечение подачи военной продукции в год войны сырьем и материалами составляло одну из самых трудных задач мобилизационного планирования, которая никогда не разрешалась полностью. Уже в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 первом подходе к этой проблеме потребовалось создание мобилизационных запасов импортного сырья и материалов стоимостью в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золотом при минимальной заявленной потребности в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отвечавшей только задаче обеспечения военной заявки⁷*. Не менее значительна была и заявленная потребность в мобилизационных запасах полуфабрикатов, материалов и предметов технического снабжения (инструмент, приспособления) отечественного происхождения, которые должны были обеспечить хотя бы минимально приемлемые сроки мобилизационного развертывания: в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эта потребность исчислялась в размере 170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Если бы даже оказалось возможным накопить эти запасы, то, не говоря уже об опасности их устаревания, действительное обеспечение обороноспособности СССР все же не было бы достигнуто этим путем: помимо военных производств, предъявляла требования, и притом гораздо большие, вся промышленность, являющаяся их непосредственным тылом; не обеспечив работы металлургии, машиностроения, топливной промышленности, транспорта, мы не могли бы рассчитывать на бесперебойную работу военных производств. Совершенно очевидно, однако, что обеспечить мобилизационными запасами работу всей промышленности в обстановке войны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дело безнадежное.</w:t>
      </w:r>
    </w:p>
    <w:p w14:paraId="23FB015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Огромные цифры заявленных потребностей в мобилизационных запасах для военных производств отражали одно из основных противоречий экономики СССР эпохи восстановительного периода и первых лет реконструктивного периода: страна, далеко отставшая в технико-экономическом отношении от своих главных капиталистических противников, должна ориентировать свою оборонную подготовку на возможность полной блокады. Единственным действительным разрешением этого противоречия мог быть и был таковым в действительности курс на индустриализацию СССР и обеспечение его экономической независимости. Рост наших возможностей сырьевого и материального обеспечения требований обороны за истекшее пятилетие является прямым показателем роста нашей экономической независимости, мерилом успехов индустриализации СССР⁸*.</w:t>
      </w:r>
    </w:p>
    <w:p w14:paraId="6F6F6E3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Техническое снабжение</w:t>
      </w:r>
    </w:p>
    <w:p w14:paraId="20E47812" w14:textId="1A9DCEF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Номенклатура технического снабжения, чрезвычайно разнообразная вообще, очень велика, в частности, в группе военных производств. Она складывается из отдельных мелких деталей, узлов или механизмов, приборов, инструмента, материалов, участвующих в той или иной форме в изготовлении военных изделий. Магнето, шарикоподшипники, помпы и карбюраторы для авиации, тончайшая проволока для телефонного кабеля, двигатели для радиостанций, вертикальные отражатели, детали приборов связи, пружинная сталь для взрывателей, разные измерительные приборы, наконец, мерительный и режущий инструменты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 это перечисление может дать лишь отдаленное представление о той громадной массе всяких «мелочей», без которых, однако, выпуск целого ряда ответственейших предметов военного снабжения становится невозможен. Номенклатура была в первые годы пятилетки в основном импортная или основана на импортном сырье. Значительные средства были израсходованы на заготовление мобилизационных запасов технического снабжения. Потребность, однако, далеко превышала валютные возможности, и вопрос обеспечения предметами технического снабжения оставался одним из наиболее острых и неблагополучно обстоящих в оборонной подготовке промышленности.</w:t>
      </w:r>
    </w:p>
    <w:p w14:paraId="77DF0BA6" w14:textId="351C018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Значительный интерес представляет проблема инструмента, в первую очередь мерительного: наличие некоторых минимальных запасов мерительного инструмента и в еще большей мере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обеспечение возможности его массового изготовления во время войны есть обязательное условие мобилизационной подготовки военных производств. Стоимость необходимых запасов, рассчитанная в условиях крайней слабости инструментального хозяйства военных заводов и еще большей слабости инструментального производства в стране в целом, измерялась десятками миллионов рублей. С начала пятилетки начали отпускаться некоторые весьма недостаточные средства на заготовление инструмента. Фактически вплоть до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большинство заводов военного значения, в особенности, не входившие в состав военной промышленности, никаких запасов не имели. Известно, что срыв опытной мобилизации на Самарском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42 произошел в первую очередь в результате неготовности его инструментального цеха, который так и не удалось наладить на протяжении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w:t>
      </w:r>
    </w:p>
    <w:p w14:paraId="42CED996" w14:textId="79F9984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наметился перелом, обусловленный громадным ростом военных заказов и возросшими мощностями инструментальных заводов и цехов. С пуском «Калибра» вопрос обеспечения военных производств мерительным инструментом сводится в значительной мере к организации, к составлению четкого плана и его технической разработке (чертежи); производственная мощность инструментальной базы перестает быть «узким» местом.</w:t>
      </w:r>
    </w:p>
    <w:p w14:paraId="147E3A1E" w14:textId="7A73194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Следует отметить, что развернувшийся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переход промышленности на новые образцы военных изделий обесценил и превратил в лом значительные накопленные к тому времени запасы мерительного инструмента (главным образом снарядного и взрывательного); все проделанные работы по существу оказались ни к чему. Это было неизбежно, так как в начале пятилетки было невозможно идти на сокращение запасов. Теперь, когда имеются мощные заводы и инструментальные цеха, когда хромированием (фактически осуществляемым) инструмента резко увеличивается его живучесть, когда, наконец, заводы имеют значительные заказы и, стало быть, имеют, с чем начать мобилизацию, содержание подобных масс инструмента в запасе, безусловно, нецелесообразно. Вопрос должен решаться, как уже отмечено, в первую очередь четкой организацией, обеспечивающей необходимое и своевременное развертывание производства инструмента, с тем, чтобы наиболее ответственная и дефицитная часть его хранилась в неприкосновенном запасе.</w:t>
      </w:r>
    </w:p>
    <w:p w14:paraId="49885695" w14:textId="1A5ED19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Назрел также вопрос лучшей организации инструментального хозяйства. На первых порах все заводы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военные и военного значения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стремились создать у себя цеха по производству мерительного инструмента. При слабой механизации этого производства и его зависимости от наличия рабочих высочайшей квалификации (лекальщиков) инструментальное хозяйство фактически организовывалось в виде массы распыленных более или менее кустарных мастерских, руководить которыми предприятия не умели да и не имели времени. Производство мерительного инструмента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дело настолько специальное и выгоды его механизации настолько очевидны и велики, что в настоящее время, когда острота положения смягчена, есть полная возможность и является совершенно необходимым приступить к его коренной реконструкции и реорганизации на началах большей централизации, хотя бы в форме двух центральных инструментальных заводов для каждого военного треста и связанных с ним гражданских заводов.</w:t>
      </w:r>
    </w:p>
    <w:p w14:paraId="0E6E692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Положение с другими видами технического снабжения также характеризуется огромными сдвигами к лучшему, достигнутыми к концу первого пятилетия: пуска «Шарикоподшипника», начало выпуска магнето на «Электрозаводе», создание целой базы подсобных производств авиационной промышленности, развертывание производства тонкой и тончайшей проволоки на «Красном гвоздильщике» и на Белорецком заводе, наконец, работа, проделанная рядом заводов по освобождению от </w:t>
      </w:r>
      <w:r w:rsidRPr="00E93F40">
        <w:rPr>
          <w:rFonts w:ascii="Times New Roman" w:hAnsi="Times New Roman"/>
          <w:color w:val="000000" w:themeColor="text1"/>
          <w:sz w:val="16"/>
          <w:szCs w:val="16"/>
        </w:rPr>
        <w:lastRenderedPageBreak/>
        <w:t>импортной зависимости, привели к коренному изменению положения по ряду отраслей. Еще остались «узкие» места; к числу их надо прежде всего отнести производство измерительных приборов: если налажено производство приборов для авиации, автомобилей, то очень плохо обстоит дело с измерительными приборами для предприятий: пуск Бобриковского аммиачного завода на сегодняшний день задерживается в результате задержки с доставкой заказанных за границей приборов; строительство ряда других предприятий, в особенности химических, неизменно упирается в вопрос о приборах. Примерно так же обстоит дело с лабораторным имуществом и реактивами. Кампания, поднятая в текущем году, за освобождение от иностранной зависимости «не только в блюминге, но и в трикотажной игле» еще не дала должных результатов. В военное время это может послужить источником целого ряда затруднений, возникающих по мелочам, но не становящихся от этого меньше. Можно сослаться для примера на швейную промышленность, которая рискует буквально повиснуть в воздухе в случае войны, так как единственный завод, изготовляющий запасные части к швейным машинам, мобилизуется в военное время для другого производства. Вопрос освобождения всей промышленности СССР от импортной зависимости в части технического снабжения есть один из серьезнейших вопросов нашей обороноспособности. В большинстве случаев разрешение этой задачи не должно даже потребовать и средств, по крайней мере больших, и требует лишь авторитетного толчка.</w:t>
      </w:r>
    </w:p>
    <w:p w14:paraId="3CC39FA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Общие выводы по сырьевой базе</w:t>
      </w:r>
    </w:p>
    <w:p w14:paraId="37D1B2C0" w14:textId="00FDE26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первой пятилетке оборонная подготовка промышленности находила свой основной лимит в сырье: отсталость СССР от передовых капиталистических стран в технико-экономическом отношении отразилась на оборонной подготовке промышленности в первую очередь в форме «узости» сырьевой базы обороны и громадной зависимости от импорта. Достигнув решающих сдвигов в этом отношении за истекшие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мы в результате невыполнения планов капитального строительства все еще упираемся в неизжитую остроту сырьевой проблемы, в первую очередь по цветным металлам и химии (азот); недостаточное развитие этих отраслей не позволяет нам использовать для обороны все существующие в промышленности ресурсы, в частности ресурсы главного сырья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металла.</w:t>
      </w:r>
    </w:p>
    <w:p w14:paraId="02C32FB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наличие значительных трудностей в области обеспечения оборонной подготовки сырьем и материалами, работа по освобождению от импортной зависимости развернута недостаточно и совершенно неудовлетворительно обстоит дело с экономным использованием сырья для обороны.</w:t>
      </w:r>
    </w:p>
    <w:p w14:paraId="150B4426" w14:textId="5D6EB13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Намеченные грандиозные сдвиги во второй пятилетке должны коренным образом изменить проблему сырья; это, однако, сможет быть достигнуто при непременном условии лучшей организации подготовки в этом отношении, развертывании действительной борьбы за ликвидацию «узких» мест и за жесточайшую экономию сырья. Разрешение этих вопросов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целиком в руках промышленности.</w:t>
      </w:r>
    </w:p>
    <w:p w14:paraId="6C421B2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Организация военных производств</w:t>
      </w:r>
    </w:p>
    <w:p w14:paraId="3F18A49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Центральным вопросом организации военных производств является вопрос о соотношении между военной и мобилизованной гражданской промышленностью. В крупнейших капиталистических странах этот вопрос решался по-разному во время мировой войны, решается по-разному сейчас, в ходе их подготовки ко второй мировой войне. Известен «американский тип» подготовки производственной базы обороны с его равнением на широкое использование гражданской промышленности, на применение методов ее ассимиляции и кооперирования; известен и противоположный «французский тип», характеризующийся большим удельным весом военной промышленности. В данной работе мы не имеем надобности распространяться на тему о том, насколько велики эти различия в действительности. Ясно также, что различия в подготовке этих стран к войне, поскольку они есть, вытекают из различий в их технико-экономическом уровне, из особенностей их исторического развития и обуславливаются, в конечном счете, законом неравномерного развития капитализма. Совершенно ясно, что в СССР вопрос об организации военных производств стоит совершенно по-иному; само понятие военной промышленности у нас изменилось коренным образом. В СССР военная промышленность является планомерно организованной отраслью, объединяющей кадровые военные предприятия. Вопрос о том, как развивать данное военное производство, каков должен быть удельный вес кадровой части этого производства есть в СССР вопрос плана. То или иное решение этого вопроса определяет необходимый размер затрат и народнохозяйственный эффект нашего оборонного строительства. Именно потому чрезвычайно важно оценить сложившееся у нас в результате работ первой пятилетки соотношение между кадровыми (военными) и не кадровыми (гражданскими) предприятиями. На этом пути мы найдем ответ на вопрос о том, все ли ресурсы мы использовали и насколько эффективны оказались наши затраты.</w:t>
      </w:r>
    </w:p>
    <w:p w14:paraId="2F6F5E1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точки зрения соотношения между военной и гражданской промышленностью построение военных производств складывается у нас к концу первой пятилетки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7"/>
        <w:gridCol w:w="883"/>
        <w:gridCol w:w="8832"/>
      </w:tblGrid>
      <w:tr w:rsidR="00DA227A" w:rsidRPr="00E93F40" w14:paraId="1C1143F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E7A8B4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Номенклатура</w:t>
            </w:r>
          </w:p>
          <w:p w14:paraId="1E3CF4B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5AC03" w14:textId="226D38F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Удельный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вес</w:t>
            </w:r>
          </w:p>
          <w:p w14:paraId="5A24AF2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мощности</w:t>
            </w:r>
          </w:p>
          <w:p w14:paraId="4C60509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военных</w:t>
            </w:r>
          </w:p>
          <w:p w14:paraId="2601BB5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заводов в</w:t>
            </w:r>
          </w:p>
          <w:p w14:paraId="2B7D528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общ[ей]</w:t>
            </w:r>
          </w:p>
          <w:p w14:paraId="01D2B412" w14:textId="617565F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p>
          <w:p w14:paraId="0B52D987" w14:textId="7C7236B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весне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г.⁹*</w:t>
            </w:r>
          </w:p>
          <w:p w14:paraId="046FD25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5D46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Форма участи[я] гражданской промышленности</w:t>
            </w:r>
          </w:p>
        </w:tc>
      </w:tr>
      <w:tr w:rsidR="00DA227A" w:rsidRPr="00E93F40" w14:paraId="25BDCCC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D692C8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F048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E5B3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винтовок частично поставляются гражд[анскими] заводами. Полностью вынесено в гражданскую промышленность производство принадлежностей к винтовкам</w:t>
            </w:r>
          </w:p>
        </w:tc>
      </w:tr>
      <w:tr w:rsidR="00DA227A" w:rsidRPr="00E93F40" w14:paraId="4640247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D64F36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AE12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D7A0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Вынесено в гражданскую промышленность производство принадлежностей; выносится производство пулеметных станков</w:t>
            </w:r>
          </w:p>
        </w:tc>
      </w:tr>
      <w:tr w:rsidR="00DA227A" w:rsidRPr="00E93F40" w14:paraId="733448E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5C461E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D490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7E83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Полностью сконцентрировано в гражд[анской] промышленности производство оптики; ставится производство мелкокалиберных] орудий</w:t>
            </w:r>
          </w:p>
        </w:tc>
      </w:tr>
      <w:tr w:rsidR="00DA227A" w:rsidRPr="00E93F40" w14:paraId="67A2983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7DD348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Корпуса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5403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D4CA7" w14:textId="1B5EDA1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41 снарядного завода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заводов входит в состав военной промышленности, остальные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гражданские</w:t>
            </w:r>
          </w:p>
        </w:tc>
      </w:tr>
      <w:tr w:rsidR="00DA227A" w:rsidRPr="00E93F40" w14:paraId="31CB898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3B6E90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Взрыватели и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7547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1252A" w14:textId="69B4F83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20 заводов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гражданских</w:t>
            </w:r>
          </w:p>
        </w:tc>
      </w:tr>
      <w:tr w:rsidR="00DA227A" w:rsidRPr="00E93F40" w14:paraId="7F00921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867247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F5DD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1100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 искусственного волокна, приспособляемые для производства пороха, также включены в состав военной промышленности</w:t>
            </w:r>
          </w:p>
        </w:tc>
      </w:tr>
      <w:tr w:rsidR="00DA227A" w:rsidRPr="00E93F40" w14:paraId="1B0047E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3F25DD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E6E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1791F" w14:textId="6238B91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11 заводов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гражданских</w:t>
            </w:r>
          </w:p>
        </w:tc>
      </w:tr>
      <w:tr w:rsidR="00DA227A" w:rsidRPr="00E93F40" w14:paraId="13FC121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4D2E76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4DBC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0F88E" w14:textId="45B9FC3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15 заводов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гражданских (намечается передача в воен[ную] промышленность еще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заводов)</w:t>
            </w:r>
          </w:p>
        </w:tc>
      </w:tr>
      <w:tr w:rsidR="00DA227A" w:rsidRPr="00E93F40" w14:paraId="70A05EF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84EC02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Снаряжение снарядов, мин и аэробомб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EF3D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E0846" w14:textId="1F5665E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9 заводов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гражданских</w:t>
            </w:r>
          </w:p>
        </w:tc>
      </w:tr>
      <w:tr w:rsidR="00DA227A" w:rsidRPr="00E93F40" w14:paraId="785FA06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367F52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Торпеды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5E29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3995E" w14:textId="35A082A1"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16784F6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799C05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4047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17¹⁰*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B7083" w14:textId="0B1D894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16 заводов 14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гражданских</w:t>
            </w:r>
          </w:p>
        </w:tc>
      </w:tr>
      <w:tr w:rsidR="00DA227A" w:rsidRPr="00E93F40" w14:paraId="378926D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08AAEA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Ручные и ружейные гранаты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A47A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ACFF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производство организовано на гражданских заводах</w:t>
            </w:r>
          </w:p>
        </w:tc>
      </w:tr>
      <w:tr w:rsidR="00DA227A" w:rsidRPr="00E93F40" w14:paraId="58BF707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3A33C4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Противогазы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D3309" w14:textId="3AF9639E"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BAAA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противогазов организовано в основном в гражданской промышленности. Военная промышленность участвует (считая по основной номенклатуре), в производстве респир[аторных] коробок (15%, 1 завод из 12) и активированного угля (40%, 3 завода из 4), Кроме того, в военной промышленности целиком организовано снаряжение респираторных коробок</w:t>
            </w:r>
          </w:p>
        </w:tc>
      </w:tr>
      <w:tr w:rsidR="00DA227A" w:rsidRPr="00E93F40" w14:paraId="35C1FA3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34B236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Минно-тральное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9346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B358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производство организовано на гражданских заводах</w:t>
            </w:r>
          </w:p>
        </w:tc>
      </w:tr>
      <w:tr w:rsidR="00DA227A" w:rsidRPr="00E93F40" w14:paraId="71D40A3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DA8552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7EF8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D85D6" w14:textId="2DF148D3"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r w:rsidR="00DA227A" w:rsidRPr="00E93F40" w14:paraId="3E74130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E9948B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7287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90A12" w14:textId="7C13689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военную промышленность входит кадровый танковый завод, работающий в кооперации с несколькими гражданскими заводами. Все остальные заводы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гражданские и, за исключением XП3, входят в ВАТО</w:t>
            </w:r>
          </w:p>
        </w:tc>
      </w:tr>
      <w:tr w:rsidR="00DA227A" w:rsidRPr="00E93F40" w14:paraId="7D24213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60AE01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Военное судостроение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499F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2917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Целиком в Союзверфи</w:t>
            </w:r>
          </w:p>
        </w:tc>
      </w:tr>
      <w:tr w:rsidR="00DA227A" w:rsidRPr="00E93F40" w14:paraId="4CCC6CF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E1ABBF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Оптика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9676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13D6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Целиком в ВООМПе</w:t>
            </w:r>
          </w:p>
        </w:tc>
      </w:tr>
      <w:tr w:rsidR="00DA227A" w:rsidRPr="00E93F40" w14:paraId="4D7194E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97DC29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Электротехника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A3F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93D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Целиком в ВЭСО и ВЭО¹¹*</w:t>
            </w:r>
          </w:p>
        </w:tc>
      </w:tr>
    </w:tbl>
    <w:p w14:paraId="1969DD5A" w14:textId="21177AE4"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первое пятилетие имеются несомненные успехи в использовании гражданской промышленности для обороны, данные частично приведены в таблице на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51¹²*. Из них мы видим, что в гражданской промышленности организована основная часть танкового производства, имеется солидная группа снарядных и взрывательных заводов, производство аэробомб, минно-трального имущества, ручных и ружейных гранат, противогазов. Кроме того, в гражданской промышленности организовано в некоторой части производство пушечных гильз (свертных и цельнотянутых), арсенального имущества, платформ и установок к зенитным орудиям; полностью размещено производство газометов и минометов, защитной одежды.</w:t>
      </w:r>
    </w:p>
    <w:p w14:paraId="0D5D761A" w14:textId="1CD3676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Часть этих производств организована в виде специальных цехов. Сюда относятся, главным образом, снарядные заводы, которые отличаются от входящих в военную промышленность меньшей мощностью (средняя мощность первых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снарядов, вторых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то же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взрывательные заводы (соответственно 2750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и 7000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взрыв[ателей]).</w:t>
      </w:r>
    </w:p>
    <w:p w14:paraId="558883F5" w14:textId="581312A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ряде других производств мы наблюдаем уже применение принципов ассимиляции,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использования готовых площадей, оборудования и кадров действующих заводов для военных производств; в ряде случаев применено и кооперирование предприятий между собой. Так, организованы производства респираторных коробок, ручных и ружейных гранат; кооперировано производство винтовок, частично взрывателей (Московский куст). Наконец,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кооперируется такое ответственное производство, как танковое. Успехи несомненны.</w:t>
      </w:r>
    </w:p>
    <w:p w14:paraId="713B36E7" w14:textId="1630638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Нам приходится, однако, сугубо подчеркнуть скромность этих успехов. Мы сделали только первые шаги в использовании гражданской промышленности. В целом ряде случаев, где использование гражданской промышленности напрашивалось само собой, мы не сумели этого сделать. Так, например,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тянется вопрос о выносе на гражданский завод производства пулеметных станков с Тульского оружейного завода. Вопрос проработан, эффект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виде роста мощности ТОЗа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несомненен, но и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станки продолжают производиться на ТОЗе. Или вот другой пример: имея большой опыт производства взрывателей в гражданской промышленности, мы все же строим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 Ярославском снарядном заводе цех взрывателей МД</w:t>
      </w:r>
      <w:r w:rsidRPr="00E93F40">
        <w:rPr>
          <w:rFonts w:ascii="Times New Roman" w:hAnsi="Times New Roman"/>
          <w:color w:val="000000" w:themeColor="text1"/>
          <w:sz w:val="16"/>
          <w:szCs w:val="16"/>
        </w:rPr>
        <w:noBreakHyphen/>
        <w:t>2 и МГ</w:t>
      </w:r>
      <w:r w:rsidRPr="00E93F40">
        <w:rPr>
          <w:rFonts w:ascii="Times New Roman" w:hAnsi="Times New Roman"/>
          <w:color w:val="000000" w:themeColor="text1"/>
          <w:sz w:val="16"/>
          <w:szCs w:val="16"/>
        </w:rPr>
        <w:noBreakHyphen/>
        <w:t>2, очень простых по конструкции, которые, вне всякого сомнения, можно было бы производить и на гражданском предприятии. Мы строим металлургический цех при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который до сих пор обходился без него. Между тем в Америке орудийное производство, как правило, организовывалось раздельно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металлургия и мех[аническая] обработка,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и это давало очень хорошие результаты. Производство мелкокалиберных орудий сейчас ассимилируется на заводе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Сталина (быв. «Триер»); если бы это сделали раньше, мы сэкономили бы немало денег по заводу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Таких примеров можно набрать множество.</w:t>
      </w:r>
    </w:p>
    <w:p w14:paraId="07B62126" w14:textId="3C237A3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особо подчеркнуть, что развертывание военных производств в гражданской промышленности наталкивалось на громадное сопротивление не только со стороны консервативно настроенных специалистов военных производственников, но и со стороны самой гражданской промышленности: уклонение от специальных заданий под всяческими предлогами, невнимание к специальным производствам, медленные темпы выполнения работ, плохое выполнение военных заказов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 эти явления не изжиты до сих пор.</w:t>
      </w:r>
    </w:p>
    <w:p w14:paraId="71227190" w14:textId="6DA7538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Сама динамика использования гражданской промышленности неблагоприятна: вот табличка, показывающая отношение основных фондов военной промышленности (металлическая группа) к основным фондам машиностроения. Отношение: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27,9%,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28,4%,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31,2%. Мы не только недостаточно использовали возможности машиностроительной промышленности, но это использование становится с каждым годом относительно хуже. По существу это же можно сказать об использовании для обороны гражданской промышленности в целом.</w:t>
      </w:r>
    </w:p>
    <w:p w14:paraId="516B9B72" w14:textId="4200FD3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Анализируя вопрос о направлении нашего строительства по военным производствам, [мы] не можем отвлечься от вопроса о внутренних возможностях самой военной промышленности, об учете ее производственных мощностей. Этот вопрос стоял с исключительной остротой в первые годы пятилетки, одним из основных методов вредительства явилось скрытие мощностей и раздувание в связи с этим размеров необходимых капитальных затрат. Значение этого факта иллюстрируется скачками цифр мощности по Ковровскому пулеметному заводу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по ТОЗу (16</w:t>
      </w:r>
      <w:r w:rsidRPr="00E93F40">
        <w:rPr>
          <w:rFonts w:ascii="Times New Roman" w:hAnsi="Times New Roman"/>
          <w:color w:val="000000" w:themeColor="text1"/>
          <w:sz w:val="16"/>
          <w:szCs w:val="16"/>
        </w:rPr>
        <w:noBreakHyphen/>
        <w:t>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пулеметов и 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по заводу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Ворошилова (скачок от проектной мощности в 250</w:t>
      </w:r>
      <w:r w:rsidRPr="00E93F40">
        <w:rPr>
          <w:rFonts w:ascii="Times New Roman" w:hAnsi="Times New Roman"/>
          <w:color w:val="000000" w:themeColor="text1"/>
          <w:sz w:val="16"/>
          <w:szCs w:val="16"/>
        </w:rPr>
        <w:noBreakHyphen/>
        <w:t>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станков до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p>
    <w:p w14:paraId="2837414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Большая работа по ликвидации последствий вредительства, проделанная в промышленности, покончила и с данным вопросом в такой его постановке: мощности перестали скрываться. Это не значит, однако, что уже учтены все действительные возможности военных производств.</w:t>
      </w:r>
    </w:p>
    <w:p w14:paraId="6ACF101C" w14:textId="5CF7E14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Одним из основных, далеко еще не использованных ресурсов военных производств является их рационализация, модернизация и улучшение технологических процессов. Тот большой рост мощностей снарядных заводов, о котором упоминалось выше, в значительной мере связан с улучшением производственного процесса, ужесточением норм, повышением выходов со станка. Но и в снарядном производстве еще имеются большие возможности: применение лучших инструментальных сталей, частичное освежение совершенно устаревшего оборудования, механизация производственных процессов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Эти возможности есть и в других производствах.</w:t>
      </w:r>
    </w:p>
    <w:p w14:paraId="24A9F68A" w14:textId="187231F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Показателем отсталости наших технологических процессов служит тот факт, что лишь теперь начинает обеспечиваться взаимозаменяемость частей и деталей артсистем на заводе «Баррикады», только для этого завода разработана система допусков. Орудийщики считают, что проведение этой системы на МЗМ могло бы повысить его возможности на 25</w:t>
      </w:r>
      <w:r w:rsidRPr="00E93F40">
        <w:rPr>
          <w:rFonts w:ascii="Times New Roman" w:hAnsi="Times New Roman"/>
          <w:color w:val="000000" w:themeColor="text1"/>
          <w:sz w:val="16"/>
          <w:szCs w:val="16"/>
        </w:rPr>
        <w:noBreakHyphen/>
        <w:t>30%. Наше пироксилиновое производство механизировано, по расчетам пороховников (данные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только на 4%. Оно является одним из наиболее трудоемких, и существующая технология связана с громадными затратами сырья (расход кислот, превышает теоретически почти в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раза). Частично проводимая механизация снаряжательного производства обещает повысить мощности наших снаряжательных заводов в несколько раз.</w:t>
      </w:r>
    </w:p>
    <w:p w14:paraId="2763C30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бы своевременно был проведен правильный учет производственных возможностей наших военных производств и изучены все возможности их рационализации, наши затраты на оборонное капитальное строительство в первой пятилетке выглядели бы во многом по иному. Все категорические директивы правительства по этому вопросу остались невыполненными.</w:t>
      </w:r>
    </w:p>
    <w:p w14:paraId="393ECF65" w14:textId="44B47D1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причиной недостаточного использования внутренних возможностей военной промышленности, слабого использования гражданской промышленности, медленных темпов развертывания ассимиляции и кооперирования является слабость оборонной научно-исследовательской работы и недочеты технического руководства военными производствами. Развертывание работы в этих областях шло в промышленности крайне медленно; первые практические шаги относятся лишь к началу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9A73154" w14:textId="411E3A0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Печать кустарничества, лежавшая на всей оборонной работе промышленности в первые годы пятилетки, выделялась особенно рельефно именно здесь. Важнейшая проблема ассимиляции пороха с искусственным волокном, разрешенная лабораторно еще в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получила заводскую проверку лишь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не нашлось организации, которая сумела бы поставить это дело по-боевому. Примерно так же разрешалась проблема изготовления патронов из плакированного железа и самой плакировки. Характерной для первых лет пятилетки является техническая беспомощность органов управления оборонной подготовкой промышленности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беспомощность, в значительной части вызванная чрезмерной централизацией работы. Система оборонных органов воспроизводила в концентрированном и преувеличенном виде те недочеты общего аппарата управления промышленностью, которые нашли свою исчерпывающую оценку в постановлении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г.¹³*</w:t>
      </w:r>
    </w:p>
    <w:p w14:paraId="5E1C42F9" w14:textId="1EFD4C1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настоящему времени военные производства, организовавшись в виде ряда четко обособленных отраслей, в основном закончили и развертывание органов технического руководства: созданы конструкторские бюро, научно-исследовательские и опытные центры, специализированные проектирующие организации. Вся эта система находится еще, однако, в стадии «становления», темпы развертывания работы и ее качество крайне неравномерны: наряду с мощным техническим центром на ОВ (1</w:t>
      </w:r>
      <w:r w:rsidRPr="00E93F40">
        <w:rPr>
          <w:rFonts w:ascii="Times New Roman" w:hAnsi="Times New Roman"/>
          <w:color w:val="000000" w:themeColor="text1"/>
          <w:sz w:val="16"/>
          <w:szCs w:val="16"/>
        </w:rPr>
        <w:noBreakHyphen/>
        <w:t>й Химтрест), имеющим опыт и ряд достижений, мы видим молодое, только становящееся на ноги техническое руководство снарядным производством, которое еще не сумели наладить на своих же трестовских заводах, не говоря уже о гражданских, литье снарядов сталистого чугуна. Отдельные участки системы еще не организованы вовсе: не обеспечено техническое руководство теми производствами, которые полностью размещены в гражданской промышленности. Быстрейшее развертывание и активизация сети органов технического руководства военными производствами, охват их работой не только военных, но и гражданских заводов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первоочередная задача, без разрешения которой невозможно увеличение эффективности оборонных затрат.</w:t>
      </w:r>
    </w:p>
    <w:p w14:paraId="7D423407" w14:textId="2B435F6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в частности, обратить особое внимание на такие участки, как конструкторская работа и проектирование. Несмотря на передачу конструкторских работ промышленности, все еще плохо обстоит дело с обеспечением производственной целесообразности конструкций: мы стоим сейчас перед затратой значительных средств на организацию газовых мин только потому, что конструктор запроектировал мины из цельнотянутых стальных труб вместо сварных; громадные отходы металла в снарядном производстве определяются в значительной мере особенностями конструкции; несовершенства конструкции нередко обуславливают невыгодную технологию производства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6FD2EE1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Высокие затраты на организацию военных производств коренятся, равным образом, в дефектах проектирования: как правило, общие проектные организации не увязывают свою работу с мобилизационными заданиями, и обратно, специально проектирующие организации совершенно обходят вопрос о мирной загрузке проектируемых военных заводов. Между тем задача ассимиляции разрешается прежде всего в процессе проектирования, при существующей практике провалы в этой области неустранимы. Опыт Уралмашстроя, в проекте которого органически увязана общая и специальная часть, говорит о том, какие результаты могут быть достигнуты при правильной организации проектирования.</w:t>
      </w:r>
    </w:p>
    <w:p w14:paraId="0A060597" w14:textId="7174803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Техника планирования наших военных производств также является немаловажным источником недочетов в их организации и фактором чрезмерных затрат. Главным недочетом в этой области является отсутствие перспективного плана развития военных производств. Задача перспективного планирования военных производств была неправильно понята руководящими оборонными органами промышленности: задача сводилась ими к тому, чтобы, получив на соответствующий отрезок времени заявку НКВМ, разработать на ее основе систему мобилизационных заданий предприятиям и определить необходимые затраты; отсутствие утвержденной заявки НКВМ на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 было поэтому принято как формальное основание к тому, чтобы пятилетку не составлять. Отметим попутно, что, располагая в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заявкой, рассчитанной на 2</w:t>
      </w:r>
      <w:r w:rsidRPr="00E93F40">
        <w:rPr>
          <w:rFonts w:ascii="Times New Roman" w:hAnsi="Times New Roman"/>
          <w:color w:val="000000" w:themeColor="text1"/>
          <w:sz w:val="16"/>
          <w:szCs w:val="16"/>
        </w:rPr>
        <w:noBreakHyphen/>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и имея ориентировку на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 вперед, промышленность, однако, не превратила заявку 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перспективный план; одно это доказывает, что дело было не в заявке.</w:t>
      </w:r>
    </w:p>
    <w:p w14:paraId="24111BB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Результатом такой неправильной установки явилась работа годовыми эшелонами, не основанными на единой перспективе: вместо того чтобы наметить систему мероприятий на ряд лет и ежегодно осуществлять их часть, по возможности увязанную и представляющую законченное целое, промышленность шла обратным путем: сначала был составлен план литеры «С», потом литеры «П» (отмененный сразу же); имелось в виду идти так и дальше, пока не будет достигнут уровень, заданный заявкой.</w:t>
      </w:r>
    </w:p>
    <w:p w14:paraId="3F62101B" w14:textId="34738CB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Результатом такой системы планирования, которую энергично использовали вредители, было то, что ни один завод не знал своей перспективы, и ежегодно наслаивавшиеся одно на другое новые задания систематически упирались в их несогласованность с обслуживающим хозяйством предприятия: возникали «узкие» места по пару, энергии, воде, транспорту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Стало физически невозможным составление генеральных планов реконструкции предприятий и их специализации.</w:t>
      </w:r>
    </w:p>
    <w:p w14:paraId="3010AB9C" w14:textId="0C402D36"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Возникла, наконец, значительная «текучесть» предприятий, получая постоянно новые задания, новые не только по количеству, но и по номенклатуре, предприятия переспециализировались, переходили из одной группы в другую. Иллюстрацией могут служить данные об изменениях в составе снарядных заводов: в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их было 38,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их числится 41. Однако только 22 завода являются общими в списке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заводов «выбыло» и 19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включено в список вновь; за эти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состав снарядных заводов обновился на 50%. Точно так же обновился на 35% состав взрывательных и трубочных заводов, имеются большие изменения в заводах, производящих элементы противогазов, ручные и руж[ейные] гранаты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0A94444F" w14:textId="64B48A3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конца 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г.—начала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начинаются попытки выдачи заводам твердых окончательных заданий, рассчитанных на определенную перспективу. К настоящему времени эта работа в основном закончена по оружейным и орудийным заводам, которые в этом наиболее заинтересованы, так как они имеют большую и сложную номенклатуру производства; стала возможной разработка генеральных планов их реконструкции. До сих пор не установлены окончательные задания для снаряжательных заводов, для больших химических заводов (Рубежная, ЧХК). Ее нельзя считать законченной и по группе снарядных заводов: с одной стороны, продолжают нанизываться задания на большие заводы (задания на мины для ТОЗа), с другой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мобплане фигурирует ряд мелких заданий, не имеющих смысла при значительно выросшей в настоящее время средней мощности снарядных заводов. Так, например, до сих пор сохранилось задание на 280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полевых 76</w:t>
      </w:r>
      <w:r w:rsidRPr="00E93F40">
        <w:rPr>
          <w:rFonts w:ascii="Times New Roman" w:hAnsi="Times New Roman"/>
          <w:color w:val="000000" w:themeColor="text1"/>
          <w:sz w:val="16"/>
          <w:szCs w:val="16"/>
        </w:rPr>
        <w:noBreakHyphen/>
        <w:t>дюймовых шрапнелей Днепропетровскому гиганту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заводу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Либкнехта, задание явно никчемное для такого завода и не играющее никакой роли в общей подаче; то же на заводе «Красная Звезда»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w:t>
      </w:r>
    </w:p>
    <w:p w14:paraId="750D4CD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пятилетки и недостаточная техническая грамотность имели своим последствием тот основной недочет в планировании развития военных производств, что промышленность не только не могла предвидеть изменений военной заявки, но, получая их, всегда встречала затруднения в их реализации и не всегда могла найти наилучшее решение.</w:t>
      </w:r>
    </w:p>
    <w:p w14:paraId="1A4A7CA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 пятилетки вся научно-исследовательская оборонная работа и вся работа по использованию гражданской промышленности вообще, новостроек в частности, лишена целеустремленности, носит разрозненный и случайный характер. В такой обстановке единственным путем развития военных производств неизбежно становится путь специального строительства, ориентация на все большее развертывание военной промышленности. Только разработка пятилетки развития военных производств и, в частности, перспективного плана научно-исследовательских работ может дать плановым органам действительное оружие, обеспечивающее организованную борьбу за эффективность оборонных затрат¹⁴*.</w:t>
      </w:r>
    </w:p>
    <w:p w14:paraId="369DA9E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 Хозяйственная деятельность военной промышленности</w:t>
      </w:r>
    </w:p>
    <w:p w14:paraId="598CC1F6" w14:textId="0FA5864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Военная промышленность СССР представляет собой в настоящее время громадную отрасль с основным капиталом в 1400</w:t>
      </w:r>
      <w:r w:rsidRPr="00E93F40">
        <w:rPr>
          <w:rFonts w:ascii="Times New Roman" w:hAnsi="Times New Roman"/>
          <w:color w:val="000000" w:themeColor="text1"/>
          <w:sz w:val="16"/>
          <w:szCs w:val="16"/>
        </w:rPr>
        <w:noBreakHyphen/>
        <w:t>1500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с производственной программой в 2400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на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 армией рабочих и служащих в 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 Изучение итогов хозяйственной деятельности этой отрасли в первой пятилетке представляет значительный интерес. Поскольку, однако, мы ограничили задачу настоящей работы вопросами оборонной подготовки промышленности, мы оставляем общий экономический анализ военной промышленности в стороне; мы будем рассматривать итоги ее хозяйственной деятельности лишь в той части, которая связана с общим ходом оборонной подготовки промышленности СССР.</w:t>
      </w:r>
    </w:p>
    <w:p w14:paraId="07F9E48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Отметим сразу, что общее состояние отчетных материалов лишает нас возможности охватить в намеченном разрезе все военные производства, хотя это могло бы дать очень интересные результаты. Военные производства гражданской промышленности несколько распылены, а учет их работы поставлен настолько неудовлетворительно, что нет никакой возможности дать какой-либо сводный материал об их функционировании на протяжении истекших лет.</w:t>
      </w:r>
    </w:p>
    <w:p w14:paraId="18C16AB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Хозяйственная деятельность военной промышленности в мирное время есть нераздельная часть ее оборонной подготовки и одна из главных основ таковой. С точки зрения изучения хозяйственного состояния военной промышленности есть один из лучших способов проверки ее мобилизационной готовности. Этой установки мы и намерены держаться в последующем анализе.</w:t>
      </w:r>
    </w:p>
    <w:p w14:paraId="4F2877A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Производство</w:t>
      </w:r>
    </w:p>
    <w:p w14:paraId="5E8314D6" w14:textId="47BDBCE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Таблица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 (сводная) и трестовские таблицы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w:t>
      </w:r>
      <w:r w:rsidRPr="00E93F40">
        <w:rPr>
          <w:rFonts w:ascii="Times New Roman" w:hAnsi="Times New Roman"/>
          <w:color w:val="000000" w:themeColor="text1"/>
          <w:sz w:val="16"/>
          <w:szCs w:val="16"/>
        </w:rPr>
        <w:noBreakHyphen/>
        <w:t>16) демонстрируют бурный рост продукции военной промышленности на протяжении первой пятилетки; темпы ее роста обгоняют не только общепромышленные, но и темпы роста продукции родственных отраслей...¹⁵*</w:t>
      </w:r>
    </w:p>
    <w:p w14:paraId="65C34768" w14:textId="2654447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из тех же таблиц мы видим, что рост продукции имел место при громадном недовыполнении планов: на протяжении первой пятилетки план был выполнен всей военной промышленностью только один раз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 все последующие годы мы наблюдаем систематическое и притом все большее недовыполнение плана. Выполнение плана в процентах: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100,2;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87,2; ос[обый] кв[артал]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80,2;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83,2;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ориентир[овочно]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70.</w:t>
      </w:r>
    </w:p>
    <w:p w14:paraId="0F974FAE" w14:textId="21322F8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Причины недовыполнения планов у военной промышленности в основном те же, что и в прочих отраслях промышленности;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условий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Сталина относятся к военной промышленности не менее чем ко всей прочей. Но военная промышленность имеет и свои специфические причины, к ним в первую очередь относится плохое освоение производств.</w:t>
      </w:r>
    </w:p>
    <w:p w14:paraId="3AD87318" w14:textId="58E28FC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Успехи военной промышленности в области освоения новых производств значительны; о них отчасти говорено выше. Мы все же должны усиленно подчеркнуть, что решающего перелома в этой области мы еще не достигли; освоение производства продолжает оставаться в военной промышленности и еще более в военных производствах гражданской промышленности длительным и мучительным процессом. Только недавно еще закончилось освоение моторов М</w:t>
      </w:r>
      <w:r w:rsidRPr="00E93F40">
        <w:rPr>
          <w:rFonts w:ascii="Times New Roman" w:hAnsi="Times New Roman"/>
          <w:color w:val="000000" w:themeColor="text1"/>
          <w:sz w:val="16"/>
          <w:szCs w:val="16"/>
        </w:rPr>
        <w:noBreakHyphen/>
        <w:t>17 и М</w:t>
      </w:r>
      <w:r w:rsidRPr="00E93F40">
        <w:rPr>
          <w:rFonts w:ascii="Times New Roman" w:hAnsi="Times New Roman"/>
          <w:color w:val="000000" w:themeColor="text1"/>
          <w:sz w:val="16"/>
          <w:szCs w:val="16"/>
        </w:rPr>
        <w:noBreakHyphen/>
        <w:t>22 в авиационной промышленности, длившееся около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 еще не закончено освоение снарядов увеличенной дальности и литых (сталистого чугуна) на всех снарядных заводах; почти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осваиваем 107 систему на «Баррикадах», свыше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лет осваивали полевые 76</w:t>
      </w:r>
      <w:r w:rsidRPr="00E93F40">
        <w:rPr>
          <w:rFonts w:ascii="Times New Roman" w:hAnsi="Times New Roman"/>
          <w:color w:val="000000" w:themeColor="text1"/>
          <w:sz w:val="16"/>
          <w:szCs w:val="16"/>
        </w:rPr>
        <w:noBreakHyphen/>
        <w:t>мм орудия на «Новом Сормове». Наше отставание в этой области становится особенно наглядным при анализе иностранного опыта...¹⁶*</w:t>
      </w:r>
    </w:p>
    <w:p w14:paraId="1CC431FE" w14:textId="1AC844F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Особенно тревожным является тот факт, что мы зачастую бьемся месяцами и даже годами над освоением уже известных производств, которые существовали и во время мировой войны: так идет у нас освоение производства бронебойных снарядов, освоение порохового производства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 так шло развертывание производства динитронафталина на заводах Анилообъединения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2DBEA1AF" w14:textId="5EEDB74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Медленные темпы освоения производства сопровождаются чудовищными цифрами брака, превосходящими всякие плановые и мобилизационные расчеты: по Таганрогскому заводу брак по взрывателю РГ</w:t>
      </w:r>
      <w:r w:rsidRPr="00E93F40">
        <w:rPr>
          <w:rFonts w:ascii="Times New Roman" w:hAnsi="Times New Roman"/>
          <w:color w:val="000000" w:themeColor="text1"/>
          <w:sz w:val="16"/>
          <w:szCs w:val="16"/>
        </w:rPr>
        <w:noBreakHyphen/>
        <w:t>6 составил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во 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54%, в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93,6% и только в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снизился до 13,3%, что само по себе слишком много. Брак по мех[анической] обработке 152 снарядных корпусов на Высокоирском заводе, привлекавшемся осенью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 опытной мобилизации, составил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87,6%, во 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97,4%, в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65,7%, в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41,1%.</w:t>
      </w:r>
    </w:p>
    <w:p w14:paraId="054D8A3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ясно, что в основе всех этих явлений лежит плохое техническое руководство. Выше мы об этом уже говорили. Но если техническое руководство военными производствами не справляется с их налаживанием в мирное время, при сравнительно небольшом объеме производства, как оно справится с этим разрешением в условиях мобилизации, когда объем производства должен будет возрасти в несколько раз? Основная производственная задача мобилизации будет состоять как раз в одновременном освоении производства на множестве военных и гражданских предприятий. Только достижение решительного перелома в этом отношении в мирное время на основе укрепления и улучшения технического руководства может обеспечить развертывание производства в условиях мобилизации.</w:t>
      </w:r>
    </w:p>
    <w:p w14:paraId="0ABB6EEB" w14:textId="305EEBE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Неблагоприятно складываются показатели товарности продукции военной промышленности (отношение товарной продукции к валовой): процент товарности, колеблясь в общем между 70 и 90 по отдельным трестам, падает временами до совершенно недопустимых цифр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44,8% товарности по авиационной промышленности в особом квартале, 62,3% по ВОАО тогда же, 74,1% по Вохимобъединепию в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(см. табл.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диаграмму). Низкий процент товарности свидетельствует о большой длительности производственного цикла по военным производствам. Так, по средним калибрам артиллерии он колеблется около 9</w:t>
      </w:r>
      <w:r w:rsidRPr="00E93F40">
        <w:rPr>
          <w:rFonts w:ascii="Times New Roman" w:hAnsi="Times New Roman"/>
          <w:color w:val="000000" w:themeColor="text1"/>
          <w:sz w:val="16"/>
          <w:szCs w:val="16"/>
        </w:rPr>
        <w:noBreakHyphen/>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 и доходит до года, по пороху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дней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Сокращение длительности производственного цикла является серьезным, еще не использованным ресурсом для увеличения производственных мощностей военных.</w:t>
      </w:r>
    </w:p>
    <w:p w14:paraId="539ADD2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Практика выполнения мирных промфинпланов сигнализирует, наконец, о возможности прорыва в военное время и по линии работы кооперированных предприятий, помимо ряда срывов в выполнении танковой программы Ленинградским кустом. Это особенно ярко демонстрируется работой заводов, изготовляющих выстрелы: в их работе беспрерывно «заедает» производство то того, то другого элемента выстрела, а в целом задает большое недовыполнение программы.</w:t>
      </w:r>
    </w:p>
    <w:p w14:paraId="7723DCD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Недовыполнение планов военной промышленностью в мирное время есть прямая угроза намечаемым расчетам подачи в год войны: ведь эти расчеты составляются, исходя из предположений о 100</w:t>
      </w:r>
      <w:r w:rsidRPr="00E93F40">
        <w:rPr>
          <w:rFonts w:ascii="Times New Roman" w:hAnsi="Times New Roman"/>
          <w:color w:val="000000" w:themeColor="text1"/>
          <w:sz w:val="16"/>
          <w:szCs w:val="16"/>
        </w:rPr>
        <w:noBreakHyphen/>
        <w:t>процентном выполнении плана. Невозможно предположить, что 70</w:t>
      </w:r>
      <w:r w:rsidRPr="00E93F40">
        <w:rPr>
          <w:rFonts w:ascii="Times New Roman" w:hAnsi="Times New Roman"/>
          <w:color w:val="000000" w:themeColor="text1"/>
          <w:sz w:val="16"/>
          <w:szCs w:val="16"/>
        </w:rPr>
        <w:noBreakHyphen/>
        <w:t>процентное выполнение в мирное время сразу сменится на 100</w:t>
      </w:r>
      <w:r w:rsidRPr="00E93F40">
        <w:rPr>
          <w:rFonts w:ascii="Times New Roman" w:hAnsi="Times New Roman"/>
          <w:color w:val="000000" w:themeColor="text1"/>
          <w:sz w:val="16"/>
          <w:szCs w:val="16"/>
        </w:rPr>
        <w:noBreakHyphen/>
        <w:t>процентное выполнение при мобилизации. Поэтому борьба за 100</w:t>
      </w:r>
      <w:r w:rsidRPr="00E93F40">
        <w:rPr>
          <w:rFonts w:ascii="Times New Roman" w:hAnsi="Times New Roman"/>
          <w:color w:val="000000" w:themeColor="text1"/>
          <w:sz w:val="16"/>
          <w:szCs w:val="16"/>
        </w:rPr>
        <w:noBreakHyphen/>
        <w:t>процентное выполнение производственной программы военной промышленности приобретает исключительное значение с точки зрения ее оборонной подготовки¹⁷*.</w:t>
      </w:r>
    </w:p>
    <w:p w14:paraId="35DC079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Вопросы труда</w:t>
      </w:r>
    </w:p>
    <w:p w14:paraId="551CCDE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общей установкой, которой мы решили придерживаться при анализе показателей хозяйственной деятельности военной промышленности, мы в данном случае затронем лишь вопросы, имеющие непосредственное отношение к ее оборонной подготовке.</w:t>
      </w:r>
    </w:p>
    <w:p w14:paraId="4D13F5C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Сопоставление динамики рабочей силы за первое пятилетие с данными по родственным отраслям промышленности показывает, что военная промышленность идет в этом отношении впереди, как оказалась она впереди и по темпам выпускаемой продукции.</w:t>
      </w:r>
    </w:p>
    <w:p w14:paraId="11C8AB7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Рост числа занятых рабочих (в процентах к пред[ыдущему] году)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97"/>
        <w:gridCol w:w="1287"/>
        <w:gridCol w:w="1287"/>
        <w:gridCol w:w="1051"/>
      </w:tblGrid>
      <w:tr w:rsidR="00DA227A" w:rsidRPr="00E93F40" w14:paraId="499B759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A6785D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Отрасли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77CF9" w14:textId="5288F17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48CD" w14:textId="4731B3F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FD357" w14:textId="2540ECE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16BC9A7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BFBED0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16CC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6E78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D330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w:t>
            </w:r>
          </w:p>
        </w:tc>
      </w:tr>
      <w:tr w:rsidR="00DA227A" w:rsidRPr="00E93F40" w14:paraId="1CD64E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C7DD2A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Машиностроение (в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6C58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3BD3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F525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143,5</w:t>
            </w:r>
          </w:p>
        </w:tc>
      </w:tr>
      <w:tr w:rsidR="00DA227A" w:rsidRPr="00E93F40" w14:paraId="5C7228B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49A436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 ч. Произ[водственное] и общее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797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5FEB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A3BB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138,7</w:t>
            </w:r>
          </w:p>
        </w:tc>
      </w:tr>
      <w:tr w:rsidR="00DA227A" w:rsidRPr="00E93F40" w14:paraId="3F39391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290956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Металлическая группа военной про[мышленнос]ти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BF53C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 к 2 135,5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CB85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182</w:t>
            </w:r>
          </w:p>
        </w:tc>
      </w:tr>
      <w:tr w:rsidR="00DA227A" w:rsidRPr="00E93F40" w14:paraId="2DE97FA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1505D3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Хим[ическая] пром[ышленно]сть (в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48E0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958D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30A9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136,1</w:t>
            </w:r>
          </w:p>
        </w:tc>
      </w:tr>
      <w:tr w:rsidR="00DA227A" w:rsidRPr="00E93F40" w14:paraId="2829DBC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1D2B96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F83C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0322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0E47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142,3</w:t>
            </w:r>
          </w:p>
        </w:tc>
      </w:tr>
      <w:tr w:rsidR="00DA227A" w:rsidRPr="00E93F40" w14:paraId="093CF5E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8E1821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Основн[ая] 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87E8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BCB0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8A34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154,5</w:t>
            </w:r>
          </w:p>
        </w:tc>
      </w:tr>
      <w:tr w:rsidR="00DA227A" w:rsidRPr="00E93F40" w14:paraId="3EB1E6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2B22BE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Военно-химическое объединение¹⁸*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A40D7" w14:textId="3C4C80A6"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63361" w14:textId="64EAA3FD"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DCE58" w14:textId="1D6D37C3" w:rsidR="00BC161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r>
    </w:tbl>
    <w:p w14:paraId="49F09DD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частности военная химия опережает основную не только по темпам роста, но и по абсолютной численности рабочей силы. Это лишний раз свидетельствует об отставании химической базы обороны.</w:t>
      </w:r>
    </w:p>
    <w:p w14:paraId="2EE3361D" w14:textId="3490BA5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однако, учесть, что в начале первой пятилетки наша военная промышленность находилась почти в состоянии консервации, то указанные темпы оказываются все еще недостаточными. Основная суть вопроса состоит в недостаточной насыщенности военной промышленности рабочей силой; это есть другое выражение недостаточной загруженности ее основного капитала¹⁹*. За первую пятилетку уровень этой насыщенности почти не повысился, основные фонды военной промышленности (металлической группы) составляли в первые три года пятилетки 27</w:t>
      </w:r>
      <w:r w:rsidRPr="00E93F40">
        <w:rPr>
          <w:rFonts w:ascii="Times New Roman" w:hAnsi="Times New Roman"/>
          <w:color w:val="000000" w:themeColor="text1"/>
          <w:sz w:val="16"/>
          <w:szCs w:val="16"/>
        </w:rPr>
        <w:noBreakHyphen/>
        <w:t>31% основных фондов машиностроения, а соответственное отношение численности рабочих колебалось около 18</w:t>
      </w:r>
      <w:r w:rsidRPr="00E93F40">
        <w:rPr>
          <w:rFonts w:ascii="Times New Roman" w:hAnsi="Times New Roman"/>
          <w:color w:val="000000" w:themeColor="text1"/>
          <w:sz w:val="16"/>
          <w:szCs w:val="16"/>
        </w:rPr>
        <w:noBreakHyphen/>
        <w:t>20%. Иными словами, рост числа рабочих все время отставал от роста основных фондов на 35%, если за норму взять насыщенность машиностроения рабочей силой; такое же сопоставление военно-химической промышленности с химической дает отношение основных фондов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24,9%, а числа рабочих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14,7%: отставание на 40%. Эти цифры говорят сами за себя. Скорейшее насыщение военной промышленности рабочей силой на основе ее загрузки мирными производствами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основной путь к обеспечению ее мобилизационной готовности.</w:t>
      </w:r>
    </w:p>
    <w:p w14:paraId="5D9FD28C" w14:textId="3F373AC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Вопросы производительности труда обстояли в военной промышленности в первой пятилетке неудовлетворительно. По размерам выработки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рабочего военная промышленность отстает от всех родственных отраслей:</w:t>
      </w:r>
    </w:p>
    <w:p w14:paraId="575D20CC" w14:textId="535F9E2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Среднегодовая выработка на 1 рабочего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цены 1926/27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41"/>
        <w:gridCol w:w="1474"/>
        <w:gridCol w:w="1474"/>
        <w:gridCol w:w="1033"/>
      </w:tblGrid>
      <w:tr w:rsidR="00DA227A" w:rsidRPr="00E93F40" w14:paraId="5CF6261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AC0071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Отрасли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C635B" w14:textId="474222B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C72C6" w14:textId="18A0AA6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BF22B" w14:textId="5E81C7F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0EE1676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A207C0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Машиностроение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3D8E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63D5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BF77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5409</w:t>
            </w:r>
          </w:p>
        </w:tc>
      </w:tr>
      <w:tr w:rsidR="00DA227A" w:rsidRPr="00E93F40" w14:paraId="181440C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8478AD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 ч. производственное и общее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3AF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D16B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DBC0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5514</w:t>
            </w:r>
          </w:p>
        </w:tc>
      </w:tr>
      <w:tr w:rsidR="00DA227A" w:rsidRPr="00E93F40" w14:paraId="0A62CB1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C06B88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Точная механика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2453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6734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2116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5798</w:t>
            </w:r>
          </w:p>
        </w:tc>
      </w:tr>
      <w:tr w:rsidR="00DA227A" w:rsidRPr="00E93F40" w14:paraId="1067C23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B15814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Метизы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C5CE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5C06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3BE4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6266</w:t>
            </w:r>
          </w:p>
        </w:tc>
      </w:tr>
      <w:tr w:rsidR="00DA227A" w:rsidRPr="00E93F40" w14:paraId="518404D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791E389" w14:textId="704DCBF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группа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2E3C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8F71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B6D1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5475</w:t>
            </w:r>
          </w:p>
        </w:tc>
      </w:tr>
      <w:tr w:rsidR="00DA227A" w:rsidRPr="00E93F40" w14:paraId="2BB65E7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0BB440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Химическая промышленность группы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DFE7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8C67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3BBC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11 686</w:t>
            </w:r>
          </w:p>
        </w:tc>
      </w:tr>
      <w:tr w:rsidR="00DA227A" w:rsidRPr="00E93F40" w14:paraId="174310D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E539B8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Основная 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36EA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7DA6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15E1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8590</w:t>
            </w:r>
          </w:p>
        </w:tc>
      </w:tr>
      <w:tr w:rsidR="00DA227A" w:rsidRPr="00E93F40" w14:paraId="6332301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2EAC1D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Военно-химическое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AD02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08F3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1EA3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8177</w:t>
            </w:r>
          </w:p>
        </w:tc>
      </w:tr>
    </w:tbl>
    <w:p w14:paraId="176CD255" w14:textId="18612CD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Такие же неблагоприятные показатели дает сопоставление динамики основных фондов с ростом выработки (см.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табл.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№²⁰*). Оно показывает, что выработка отстает, хотя рост основных фондов, естественно, ведет к лучшему техническому вооружению рабочих. Особенно велико отставание в авиационной промышленности и в Патронно-трубочном объединении.</w:t>
      </w:r>
    </w:p>
    <w:p w14:paraId="44CDBBC7" w14:textId="6583D90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Предварительные данные за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говорят о некотором намечающемся переломе в вопросах производительности труда: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69"/>
        <w:gridCol w:w="3561"/>
        <w:gridCol w:w="814"/>
        <w:gridCol w:w="1385"/>
        <w:gridCol w:w="1247"/>
        <w:gridCol w:w="2846"/>
      </w:tblGrid>
      <w:tr w:rsidR="00DA227A" w:rsidRPr="00E93F40" w14:paraId="6631CD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3A9A44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Тресты и объединения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FE93F" w14:textId="0A5CC95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Ожидаемая выработка на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рабочего (средне</w:t>
            </w:r>
            <w:r w:rsidRPr="00E93F40">
              <w:rPr>
                <w:rFonts w:ascii="Times New Roman" w:hAnsi="Times New Roman"/>
                <w:color w:val="000000" w:themeColor="text1"/>
                <w:sz w:val="16"/>
                <w:szCs w:val="16"/>
              </w:rPr>
              <w:softHyphen/>
              <w:t>годовая,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3EB3C" w14:textId="39C2A66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40C0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 выполнения</w:t>
            </w:r>
          </w:p>
          <w:p w14:paraId="491D467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56E12" w14:textId="2CC180A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Проценты к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C6169" w14:textId="0FE1740B"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Прирост с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включительно</w:t>
            </w:r>
          </w:p>
        </w:tc>
      </w:tr>
      <w:tr w:rsidR="00DA227A" w:rsidRPr="00E93F40" w14:paraId="5B63B43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FB19F2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32E9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E98F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145F"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D55C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A84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+42,6</w:t>
            </w:r>
          </w:p>
        </w:tc>
      </w:tr>
      <w:tr w:rsidR="00DA227A" w:rsidRPr="00E93F40" w14:paraId="1D4729A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B0532F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1F6A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0C108"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A319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E287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3C55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+52,4</w:t>
            </w:r>
          </w:p>
        </w:tc>
      </w:tr>
      <w:tr w:rsidR="00DA227A" w:rsidRPr="00E93F40" w14:paraId="6ECDD8D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E14927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32FE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0860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1C83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A45B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03FD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w:t>
            </w:r>
          </w:p>
        </w:tc>
      </w:tr>
    </w:tbl>
    <w:p w14:paraId="6A04CA15" w14:textId="7363BBA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недовыполнение плана, ВО АО перекрывает за один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весь прирост за предыдущие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а Патрубвзрывобъединение впервые переваливает уровень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около которого оно топталось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Закрепление наметившегося перелома и быстрое поднятие производительности труда до уровня передовых отраслей машиностроения есть первоочередная задача военной промышленности, размещение которой прямым образом обеспечивает выполнение мобилизационных заданий.</w:t>
      </w:r>
    </w:p>
    <w:p w14:paraId="54C96BF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Одним из серьезнейших вопросов, связанных с обеспечением военной промышленности рабочей силы как в мирное время, так, и в особенности, в военное время является обеспечение жилищами. Острота этого вопроса тем больше, что военные заводы в основной массе были построены еще во время мировой войны и жилищного хозяйства почти не имели.</w:t>
      </w:r>
    </w:p>
    <w:p w14:paraId="4E3F7829" w14:textId="175AFB9F"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первую пятилетку военная промышленность израсходовала на жилищное и культурно-бытовое строительство около 200</w:t>
      </w:r>
      <w:r w:rsidRPr="00E93F40">
        <w:rPr>
          <w:rFonts w:ascii="Times New Roman" w:hAnsi="Times New Roman"/>
          <w:color w:val="000000" w:themeColor="text1"/>
          <w:sz w:val="16"/>
          <w:szCs w:val="16"/>
        </w:rPr>
        <w:noBreakHyphen/>
        <w:t>240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1928/29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19,4; 1929/30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25,1; ос[обый] квартал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11,7;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75,8;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100</w:t>
      </w:r>
      <w:r w:rsidRPr="00E93F40">
        <w:rPr>
          <w:rFonts w:ascii="Times New Roman" w:hAnsi="Times New Roman"/>
          <w:color w:val="000000" w:themeColor="text1"/>
          <w:sz w:val="16"/>
          <w:szCs w:val="16"/>
        </w:rPr>
        <w:noBreakHyphen/>
        <w:t>110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К началу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военная промышленность располагала жилплощадью в 830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м², на которой было поселено 65,4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 работающих, а с членами семей 192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 Однако военная промышленность может обслужить этой площадью только ¼ всех работающих при совершенно недопустимой норме площади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около 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м² на человека.</w:t>
      </w:r>
    </w:p>
    <w:p w14:paraId="73F194C8" w14:textId="072C0F2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Жилищное хозяйство военной промышленности не блещет особой организованностью: наряду с дешевой нормой ВОАО в 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м² ПТТ обеспечивает почти 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м² на душу, хотя использует при этом только 63,5% всей имеющейся площади²¹*. С другой стороны, коэффициент семейности на заводах ВОАО достигает неслыханной цифры в 5,15. Это говорит о полном отсутствии руководства в области жилстроительства военной промышленности.</w:t>
      </w:r>
    </w:p>
    <w:p w14:paraId="15E5BF5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с точки зрения мобилизационного обеспечения, так и учитывая необходимость быстрейшего развертывания производства в мирное время, форсированное жилищное строительство в военной промышленности является совершенно обязательным; надо также покончить и с самотеком, царящим здесь, и обеспечить твердое руководство этим делом.</w:t>
      </w:r>
    </w:p>
    <w:p w14:paraId="29E9F15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Капитальное строительство</w:t>
      </w:r>
    </w:p>
    <w:p w14:paraId="0EDBE80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первой пятилетке капитальное строительство являлось, как мы видели, основным способом организации военных производств: громадный прирост производственных мощностей военных производств за первое пятилетие есть прямое следствие произведенных капитальных затрат и мера их эффективности.</w:t>
      </w:r>
    </w:p>
    <w:p w14:paraId="25602297" w14:textId="7D8529C0"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сумма затрат на капитальное строительство военных производств в первом пятилетии составляет грубо около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млрд.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из которых 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млрд. падает на военную промышленность (см. табл.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28), при этом затраты (фактические)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капитальное строительство военной промышленности составляют около 800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 столько же, сколько составили затраты за 3 предыдущих года вместе взятые. Вот основные работы, выполненные в первом пятилетии: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27"/>
        <w:gridCol w:w="9395"/>
      </w:tblGrid>
      <w:tr w:rsidR="00DA227A" w:rsidRPr="00E93F40" w14:paraId="44ADFEE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41BC57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3FC9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Выполненные капитальные работы</w:t>
            </w:r>
          </w:p>
        </w:tc>
      </w:tr>
      <w:tr w:rsidR="00DA227A" w:rsidRPr="00E93F40" w14:paraId="2883D7F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218B9C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Оружейное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C3400"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 Ковровский пулеметный завод; построен новый пулеметный цех при Тульском заводе; расширено винтовочное производство, мощность увеличена втрое.</w:t>
            </w:r>
          </w:p>
        </w:tc>
      </w:tr>
      <w:tr w:rsidR="00DA227A" w:rsidRPr="00E93F40" w14:paraId="184E3F9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501E5A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Патронное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3B18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 новый патронный завод в Туле; реконструирован (по существу создан заново) патронный завод в Подольске; реконструированы прочие патронные заводы, и мощность их увеличена вчетверо</w:t>
            </w:r>
          </w:p>
        </w:tc>
      </w:tr>
      <w:tr w:rsidR="00DA227A" w:rsidRPr="00E93F40" w14:paraId="6AEC382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CE96802"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Орудийное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7CF65" w14:textId="14805F33"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строительство «Нового Сормово» (начато освоение производства); восстановлены и расширяются «Баррикады» (работы не закончены); реконструирован (по существу выстроен заново)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мелкокалиберной артиллерии, рост мощности примерно в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 построен орудийный цех при Уралмашстрое; расширено орудийное производство на МЗМ и на заводе «Большевик»; построены новые цеха на Брянском арсенале</w:t>
            </w:r>
          </w:p>
        </w:tc>
      </w:tr>
      <w:tr w:rsidR="00DA227A" w:rsidRPr="00E93F40" w14:paraId="56DC243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332D75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C97E6" w14:textId="35DECD8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Восстановлены и расширены снарядные заводы (рост мощности в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w:t>
            </w:r>
          </w:p>
        </w:tc>
      </w:tr>
      <w:tr w:rsidR="00DA227A" w:rsidRPr="00E93F40" w14:paraId="355AD7E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666B576"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Взрывательное и трубочное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C5B64" w14:textId="7545A07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 новый цех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50; построен завод им. Дзержинского (быв. Сепаратора); восстановлены и расширены гражданские взрыват[ельные] заводы</w:t>
            </w:r>
          </w:p>
        </w:tc>
      </w:tr>
      <w:tr w:rsidR="00DA227A" w:rsidRPr="00E93F40" w14:paraId="02AAD98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919AB2E"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903FC" w14:textId="045E173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 новый пороховой завод в Казани; то же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Тамбове; заканчивается сооружение завода нитроглицеринового пороха в Штеровке; заканчивается расширение заводов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Косякова и Шостенского</w:t>
            </w:r>
          </w:p>
        </w:tc>
      </w:tr>
      <w:tr w:rsidR="00DA227A" w:rsidRPr="00E93F40" w14:paraId="75E4951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F68CB7D"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36F61" w14:textId="7BBBDBC8"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Построены мелинитовые цеха при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 и в Рубежной; расширены тротиловые цеха на заводах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80 и 15; восстановлены все прочие установки ВВ</w:t>
            </w:r>
          </w:p>
        </w:tc>
      </w:tr>
      <w:tr w:rsidR="00DA227A" w:rsidRPr="00E93F40" w14:paraId="293C508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D3927D7"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A46D5" w14:textId="1862E24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установки созданы заново. Реконструирован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tc>
      </w:tr>
      <w:tr w:rsidR="00DA227A" w:rsidRPr="00E93F40" w14:paraId="69A14EC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9E9AA9A"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296D5"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строительство завода в Донбассе</w:t>
            </w:r>
          </w:p>
        </w:tc>
      </w:tr>
      <w:tr w:rsidR="00DA227A" w:rsidRPr="00E93F40" w14:paraId="65E78AF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C573919"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5F01"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Создана в основном заново</w:t>
            </w:r>
          </w:p>
        </w:tc>
      </w:tr>
      <w:tr w:rsidR="00DA227A" w:rsidRPr="00E93F40" w14:paraId="1D1000C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ECC261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Танковое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EF954"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заново</w:t>
            </w:r>
          </w:p>
        </w:tc>
      </w:tr>
    </w:tbl>
    <w:p w14:paraId="09FAB67A" w14:textId="1463AA3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Кроме того, произведены большие работы по сооружению заготовительных и вспомогательных цехов (кузнечно-прессовые, обдирочные, термические, инструментальные, ремонтные, кислотное хозяйство), на ряде заводов созданы заново, реконструированы или расширены паросиловое хозяйство, транспорт, складское хозяйство; отремонтировано и обновлено оборудование: за первую пятилетку затраты на оборудование составили только по военной промышленности </w:t>
      </w:r>
      <w:r w:rsidRPr="00E93F40">
        <w:rPr>
          <w:rFonts w:ascii="Times New Roman" w:hAnsi="Times New Roman"/>
          <w:color w:val="000000" w:themeColor="text1"/>
          <w:sz w:val="16"/>
          <w:szCs w:val="16"/>
        </w:rPr>
        <w:lastRenderedPageBreak/>
        <w:t>650</w:t>
      </w:r>
      <w:r w:rsidRPr="00E93F40">
        <w:rPr>
          <w:rFonts w:ascii="Times New Roman" w:hAnsi="Times New Roman"/>
          <w:color w:val="000000" w:themeColor="text1"/>
          <w:sz w:val="16"/>
          <w:szCs w:val="16"/>
        </w:rPr>
        <w:noBreakHyphen/>
        <w:t>700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При всем этом капитальное строительство все же остается одним из самых отстающих и неблагополучных участков оборонной подготовки промышленности...²²*</w:t>
      </w:r>
    </w:p>
    <w:p w14:paraId="7237142C"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Общие выводы о хозяйственной деятельности военной промышленности</w:t>
      </w:r>
    </w:p>
    <w:p w14:paraId="460DE27B"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Показатели работ военной промышленности в первой пятилетке свидетельствуют об определенной угрозе ее мобилизационной готовности с этой стороны: военная промышленность, не выполняющая в мирное время производственных программ, с недозагруженным основным капиталом, слабо насыщенная рабочими, с недостаточным и плохо организованным жилфондом, плохо ведущая капитальное строительство, не может рассчитывать на удачную мобилизацию и бесперебойное развертывание производства продукции для фронта во время войны. При всех успехах и достижениях, которые военная промышленность имеет за первую пятилетку, эти выводы являются решающими для оценки положения; на ликвидацию отмеченных недочетов должно быть направлено все внимание. Основным звеном здесь должно явиться улучшение организационной работы: улучшение планирования, обеспечение технического руководства, хорошая организация капитального строительства, общее хозяйственное оздоровление военной промышленности являются основным условием, обеспечивающим выполнение еще более ответственных задач, встающих перед нею во второй пятилетке²³*.</w:t>
      </w:r>
    </w:p>
    <w:p w14:paraId="1DB66453" w14:textId="77777777"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VII. Основные задачи оборонной подготовки промышленности во второй пятилетке</w:t>
      </w:r>
    </w:p>
    <w:p w14:paraId="79337D3F" w14:textId="64CEFB9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Намечаемые на основе директивы XVII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партконференции²⁴* темпы индустриализации СССР, бурный рост машиностроения, завершение технической реконструкции народного хозяйства СССР и выход на первое место в Европе в техническом отношении, наконец, ликвидация экономической зависимости от заграницы,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 эти установки второй пятилетки означают создание новой основы для оборонной подготовки промышленности, ее качественное изменение и поднятие на высшую ступень. Создаются громадные возможности повышения обороноспособности СССР, и на их основе оборонная подготовка промышленности должна разрешить ряд новых ответственных задач.</w:t>
      </w:r>
    </w:p>
    <w:p w14:paraId="4758C376" w14:textId="051BB50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Оборонная подготовка промышленности должна быть ориентирована на обеспечение высокого уровня военного снабжения, отвечающего требованиям современной войны и передового в техническом отношении; относительное отставание выстрела должно быть ликвидировано. При этом остающиеся в распоряжении тыла ресурсы должны быть достаточны для обеспечения его бесперебойной работой в условиях войны.</w:t>
      </w:r>
    </w:p>
    <w:p w14:paraId="334F5D29" w14:textId="6043AD2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Производственные возможности военных производств должны быть приведены в соответствие с требованиями заявки НКВМ; должна быть обеспечена полная комплектность военных производств и ликвидация «узких» мест (порох).</w:t>
      </w:r>
    </w:p>
    <w:p w14:paraId="06B5B8D4" w14:textId="4E82B515"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Необходимо окончательно ликвидировать диспропорцию между химией и металлом с тем, чтобы обеспечить полное использование для обороны наших ресурсов металла.</w:t>
      </w:r>
    </w:p>
    <w:p w14:paraId="048042B5" w14:textId="16B1A299"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Вся оборонная подготовка промышленности должна быть подчинена принципу жесточайшей экономии (сырья, оборудования, человеческих ресурсов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w:t>
      </w:r>
    </w:p>
    <w:p w14:paraId="478BDB3E" w14:textId="1900B1B2"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Опираясь на мощную военную промышленность, созданную в первой пятилетке, ориентировать дальнейшее развертывание военных производств в основном на гражданскую промышленность. Новое специальное строительство ограничить до минимума. В отдельных случаях практиковать создание специальных цехов при гражданских предприятиях вместо строительства целых заводов. Вновь сооружаемые специальные предприятия (цеха) должны получать полную загрузку в мирное время с момента пуска их. При организации менее сложных производств отнесение строительства (или его части) на военное время, если налицо имеются достаточные подготовленные мощности и при условии тщательной подготовки строительства.</w:t>
      </w:r>
    </w:p>
    <w:p w14:paraId="5B66A9EC" w14:textId="0647D3B1"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Устранить основные неувязки в географическом размещении военных производств.</w:t>
      </w:r>
    </w:p>
    <w:p w14:paraId="0C9198C1" w14:textId="2B31B94E"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Завершить организацию и развертывание органов технического руководства, охватив ими все основные военные производства; обеспечить тесную связь конструкторской работы с производством; направить научно-исследовательскую работу на систематическое улучшение и рационализацию производственных процессов; привлечь проектирующие организации к разработке вопросов ассимиляции и кооперирования гражданских предприятий для военных производств и мирной загрузки специальных предприятий (цехов); организовать обмен опыта и техническую помощь.</w:t>
      </w:r>
    </w:p>
    <w:p w14:paraId="489DEBAB" w14:textId="08E711A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Добиться хозяйственного оздоровления военной промышленности, в первую очередь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на основе полной загрузки ее основного капитала в мирное время.</w:t>
      </w:r>
    </w:p>
    <w:p w14:paraId="6D66EADE" w14:textId="7895926A"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Улучшить практику военного планирования; разработать перспективный план развития военных производств.</w:t>
      </w:r>
    </w:p>
    <w:p w14:paraId="204D2822" w14:textId="4674738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Охватить оборонной подготовкой всю сумму вопросов, связанных с переходом промышленности к работе в условиях войны; обеспечить наибольшую планомерность процесса ее перестройки при мобилизации и подготовить кадры для руководства этим процессом.</w:t>
      </w:r>
    </w:p>
    <w:p w14:paraId="4B095FF7" w14:textId="1929CF8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Подведем общий итог нашей работы: каков основной результат оборонной подготовки промышленности в первой пятилетке и что должно явиться главным в дальнейшем? В двух словах это, как нам кажется, можно бы сформулировать так: промышленность имеет значительные успехи в ходе своей оборонной подготовки в первой пятилетке. Однако достигнутый ею уровень оборонных возможностей совершенно недостаточен, и имеющиеся ресурсы не были использованы. Во второй пятилетке мы должны ликвидировать свое отставание. Основной путь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широкое использование гражданской промышленности для обороны. Основные условия успеха подготовки: обеспечение технического руководства военными производствами, хозяйственное оздоровление и укрепление военной промышленности, организационное улучшение оборонной подготовки и распространение ее на всю промышленность.</w:t>
      </w:r>
    </w:p>
    <w:p w14:paraId="41B368BD" w14:textId="77777777" w:rsidR="00BC161D" w:rsidRPr="00E93F40" w:rsidRDefault="00BC161D" w:rsidP="00E93F40">
      <w:pPr>
        <w:pStyle w:val="ae"/>
        <w:spacing w:before="0" w:after="0"/>
        <w:jc w:val="both"/>
        <w:rPr>
          <w:color w:val="000000" w:themeColor="text1"/>
          <w:sz w:val="16"/>
          <w:szCs w:val="16"/>
        </w:rPr>
      </w:pPr>
      <w:r w:rsidRPr="00E93F40">
        <w:rPr>
          <w:rStyle w:val="af0"/>
          <w:i w:val="0"/>
          <w:color w:val="000000" w:themeColor="text1"/>
          <w:sz w:val="16"/>
          <w:szCs w:val="16"/>
        </w:rPr>
        <w:t>Примечания</w:t>
      </w:r>
      <w:r w:rsidRPr="00E93F40">
        <w:rPr>
          <w:color w:val="000000" w:themeColor="text1"/>
          <w:sz w:val="16"/>
          <w:szCs w:val="16"/>
        </w:rPr>
        <w:t>:</w:t>
      </w:r>
    </w:p>
    <w:p w14:paraId="1AC5E49E" w14:textId="242A999E"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Отчетный доклад МПУ ВСНХ СССР, 1—1929</w:t>
      </w:r>
      <w:r w:rsidR="007C1411" w:rsidRPr="00E93F40">
        <w:rPr>
          <w:color w:val="000000" w:themeColor="text1"/>
          <w:sz w:val="16"/>
          <w:szCs w:val="16"/>
        </w:rPr>
        <w:t xml:space="preserve"> </w:t>
      </w:r>
      <w:r w:rsidRPr="00E93F40">
        <w:rPr>
          <w:color w:val="000000" w:themeColor="text1"/>
          <w:sz w:val="16"/>
          <w:szCs w:val="16"/>
        </w:rPr>
        <w:t>г. (</w:t>
      </w:r>
      <w:r w:rsidRPr="00E93F40">
        <w:rPr>
          <w:rStyle w:val="af0"/>
          <w:i w:val="0"/>
          <w:color w:val="000000" w:themeColor="text1"/>
          <w:sz w:val="16"/>
          <w:szCs w:val="16"/>
        </w:rPr>
        <w:t>Прим. док</w:t>
      </w:r>
      <w:r w:rsidRPr="00E93F40">
        <w:rPr>
          <w:color w:val="000000" w:themeColor="text1"/>
          <w:sz w:val="16"/>
          <w:szCs w:val="16"/>
        </w:rPr>
        <w:t>.).</w:t>
      </w:r>
    </w:p>
    <w:p w14:paraId="34E03F97" w14:textId="67795FE5"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Здесь и далее таблицы и диаграммы не публикуются. Диаграммы см. там же, л.</w:t>
      </w:r>
      <w:r w:rsidR="007C1411" w:rsidRPr="00E93F40">
        <w:rPr>
          <w:color w:val="000000" w:themeColor="text1"/>
          <w:sz w:val="16"/>
          <w:szCs w:val="16"/>
        </w:rPr>
        <w:t xml:space="preserve"> </w:t>
      </w:r>
      <w:r w:rsidRPr="00E93F40">
        <w:rPr>
          <w:color w:val="000000" w:themeColor="text1"/>
          <w:sz w:val="16"/>
          <w:szCs w:val="16"/>
        </w:rPr>
        <w:t>100, 97, 92, 65, 59, 55, 53, 51, 46, 44. Таблицы см. там же, л.</w:t>
      </w:r>
      <w:r w:rsidR="007C1411" w:rsidRPr="00E93F40">
        <w:rPr>
          <w:color w:val="000000" w:themeColor="text1"/>
          <w:sz w:val="16"/>
          <w:szCs w:val="16"/>
        </w:rPr>
        <w:t xml:space="preserve"> </w:t>
      </w:r>
      <w:r w:rsidRPr="00E93F40">
        <w:rPr>
          <w:color w:val="000000" w:themeColor="text1"/>
          <w:sz w:val="16"/>
          <w:szCs w:val="16"/>
        </w:rPr>
        <w:t>32</w:t>
      </w:r>
      <w:r w:rsidRPr="00E93F40">
        <w:rPr>
          <w:color w:val="000000" w:themeColor="text1"/>
          <w:sz w:val="16"/>
          <w:szCs w:val="16"/>
        </w:rPr>
        <w:noBreakHyphen/>
        <w:t>1.</w:t>
      </w:r>
    </w:p>
    <w:p w14:paraId="19F4548E" w14:textId="3A8A8655"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Термин «задание МВ</w:t>
      </w:r>
      <w:r w:rsidRPr="00E93F40">
        <w:rPr>
          <w:color w:val="000000" w:themeColor="text1"/>
          <w:sz w:val="16"/>
          <w:szCs w:val="16"/>
        </w:rPr>
        <w:noBreakHyphen/>
        <w:t>10» встречается в данной работе в двояком смысле: он означает последний вариант заявки НКВМ, причем в тех случаях, когда имеются в виду поправки, внесенные в эту заявку правительством; мы говорим «исправленное задание МВ</w:t>
      </w:r>
      <w:r w:rsidRPr="00E93F40">
        <w:rPr>
          <w:color w:val="000000" w:themeColor="text1"/>
          <w:sz w:val="16"/>
          <w:szCs w:val="16"/>
        </w:rPr>
        <w:noBreakHyphen/>
        <w:t>10», он означает также мобилизац[ионное] задание, выданное промышленностью по последнему варианту мобплана промышленности. Во всех этих случаях цифры разные (</w:t>
      </w:r>
      <w:r w:rsidRPr="00E93F40">
        <w:rPr>
          <w:rStyle w:val="af0"/>
          <w:i w:val="0"/>
          <w:color w:val="000000" w:themeColor="text1"/>
          <w:sz w:val="16"/>
          <w:szCs w:val="16"/>
        </w:rPr>
        <w:t>Прим. док</w:t>
      </w:r>
      <w:r w:rsidRPr="00E93F40">
        <w:rPr>
          <w:color w:val="000000" w:themeColor="text1"/>
          <w:sz w:val="16"/>
          <w:szCs w:val="16"/>
        </w:rPr>
        <w:t>.).</w:t>
      </w:r>
    </w:p>
    <w:p w14:paraId="4D5C971D" w14:textId="477C88B0"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 сравнительный анализ задания МВ-10 с уровнем военного производства западных стран в 1918</w:t>
      </w:r>
      <w:r w:rsidR="007C1411" w:rsidRPr="00E93F40">
        <w:rPr>
          <w:color w:val="000000" w:themeColor="text1"/>
          <w:sz w:val="16"/>
          <w:szCs w:val="16"/>
        </w:rPr>
        <w:t xml:space="preserve"> </w:t>
      </w:r>
      <w:r w:rsidRPr="00E93F40">
        <w:rPr>
          <w:color w:val="000000" w:themeColor="text1"/>
          <w:sz w:val="16"/>
          <w:szCs w:val="16"/>
        </w:rPr>
        <w:t>г. и динамики заявок НКВМ на артиллерийский выстрел.</w:t>
      </w:r>
    </w:p>
    <w:p w14:paraId="741E10F8" w14:textId="54963AE3"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 перечень вооружений, отсутствующих в Красной армии.</w:t>
      </w:r>
    </w:p>
    <w:p w14:paraId="407DE757" w14:textId="087F9605"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 анализ возможностей «подачи» промышленностью военной продукции в военное время в первой пятилетке.</w:t>
      </w:r>
    </w:p>
    <w:p w14:paraId="3920C827" w14:textId="36E70530"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7</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В настоящее время эта потребность исчисляется ГВМУ в 75</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(Прим. док.).</w:t>
      </w:r>
    </w:p>
    <w:p w14:paraId="39AB47F3" w14:textId="7F932FFD"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8</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п.</w:t>
      </w:r>
      <w:r w:rsidR="007C1411" w:rsidRPr="00E93F40">
        <w:rPr>
          <w:color w:val="000000" w:themeColor="text1"/>
          <w:sz w:val="16"/>
          <w:szCs w:val="16"/>
        </w:rPr>
        <w:t xml:space="preserve"> </w:t>
      </w:r>
      <w:r w:rsidRPr="00E93F40">
        <w:rPr>
          <w:color w:val="000000" w:themeColor="text1"/>
          <w:sz w:val="16"/>
          <w:szCs w:val="16"/>
        </w:rPr>
        <w:t>“А”, “Б”, “В” о снабжении военного производства сырьем и материалами по конкретным номенклатурам.</w:t>
      </w:r>
    </w:p>
    <w:p w14:paraId="7AF40F90" w14:textId="6FA35DE2"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9</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В этой таблице удельный вес военной промышленности рассчитан исходя из соотношения соответствующих, заданных по исправленному МВ</w:t>
      </w:r>
      <w:r w:rsidRPr="00E93F40">
        <w:rPr>
          <w:color w:val="000000" w:themeColor="text1"/>
          <w:sz w:val="16"/>
          <w:szCs w:val="16"/>
        </w:rPr>
        <w:noBreakHyphen/>
        <w:t>10 мощностей с учетом полного их достижения (</w:t>
      </w:r>
      <w:r w:rsidRPr="00E93F40">
        <w:rPr>
          <w:rStyle w:val="af0"/>
          <w:i w:val="0"/>
          <w:color w:val="000000" w:themeColor="text1"/>
          <w:sz w:val="16"/>
          <w:szCs w:val="16"/>
        </w:rPr>
        <w:t>Прим. док</w:t>
      </w:r>
      <w:r w:rsidRPr="00E93F40">
        <w:rPr>
          <w:color w:val="000000" w:themeColor="text1"/>
          <w:sz w:val="16"/>
          <w:szCs w:val="16"/>
        </w:rPr>
        <w:t>.).</w:t>
      </w:r>
    </w:p>
    <w:p w14:paraId="000602CC" w14:textId="15E08E6F"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10</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Процент вычислен по тоннажу аэробомб (</w:t>
      </w:r>
      <w:r w:rsidRPr="00E93F40">
        <w:rPr>
          <w:rStyle w:val="af0"/>
          <w:i w:val="0"/>
          <w:color w:val="000000" w:themeColor="text1"/>
          <w:sz w:val="16"/>
          <w:szCs w:val="16"/>
        </w:rPr>
        <w:t>Прим. док</w:t>
      </w:r>
      <w:r w:rsidRPr="00E93F40">
        <w:rPr>
          <w:color w:val="000000" w:themeColor="text1"/>
          <w:sz w:val="16"/>
          <w:szCs w:val="16"/>
        </w:rPr>
        <w:t>.).</w:t>
      </w:r>
    </w:p>
    <w:p w14:paraId="01A60CC7" w14:textId="3890FDE5"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Далее опущен анализ данных, приведенных в таблице.</w:t>
      </w:r>
    </w:p>
    <w:p w14:paraId="5A44D867" w14:textId="3124403F"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См. вышеприведенную таблицу.</w:t>
      </w:r>
    </w:p>
    <w:p w14:paraId="1E2ED210" w14:textId="356B2D8C"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5</w:t>
      </w:r>
      <w:r w:rsidR="007C1411" w:rsidRPr="00E93F40">
        <w:rPr>
          <w:color w:val="000000" w:themeColor="text1"/>
          <w:sz w:val="16"/>
          <w:szCs w:val="16"/>
        </w:rPr>
        <w:t xml:space="preserve"> </w:t>
      </w:r>
      <w:r w:rsidRPr="00E93F40">
        <w:rPr>
          <w:color w:val="000000" w:themeColor="text1"/>
          <w:sz w:val="16"/>
          <w:szCs w:val="16"/>
        </w:rPr>
        <w:t>декабря 1929</w:t>
      </w:r>
      <w:r w:rsidR="007C1411" w:rsidRPr="00E93F40">
        <w:rPr>
          <w:color w:val="000000" w:themeColor="text1"/>
          <w:sz w:val="16"/>
          <w:szCs w:val="16"/>
        </w:rPr>
        <w:t xml:space="preserve"> </w:t>
      </w:r>
      <w:r w:rsidRPr="00E93F40">
        <w:rPr>
          <w:color w:val="000000" w:themeColor="text1"/>
          <w:sz w:val="16"/>
          <w:szCs w:val="16"/>
        </w:rPr>
        <w:t>г. ЦК</w:t>
      </w:r>
      <w:r w:rsidR="007C1411" w:rsidRPr="00E93F40">
        <w:rPr>
          <w:color w:val="000000" w:themeColor="text1"/>
          <w:sz w:val="16"/>
          <w:szCs w:val="16"/>
        </w:rPr>
        <w:t xml:space="preserve"> </w:t>
      </w:r>
      <w:r w:rsidRPr="00E93F40">
        <w:rPr>
          <w:color w:val="000000" w:themeColor="text1"/>
          <w:sz w:val="16"/>
          <w:szCs w:val="16"/>
        </w:rPr>
        <w:t xml:space="preserve">ВКП(б) в </w:t>
      </w:r>
      <w:r w:rsidRPr="00E93F40">
        <w:rPr>
          <w:rStyle w:val="af0"/>
          <w:i w:val="0"/>
          <w:color w:val="000000" w:themeColor="text1"/>
          <w:sz w:val="16"/>
          <w:szCs w:val="16"/>
        </w:rPr>
        <w:t>постановлении о реорганизации управления промышленностью</w:t>
      </w:r>
      <w:r w:rsidRPr="00E93F40">
        <w:rPr>
          <w:color w:val="000000" w:themeColor="text1"/>
          <w:sz w:val="16"/>
          <w:szCs w:val="16"/>
        </w:rPr>
        <w:t xml:space="preserve"> констатировал, что «до настоящего времени перевод на хозяйственный расчет совершился далеко не на всех предприятиях», и потребовал решительного проведения этого мероприятия в ближайшее время «на всех без исключения предприятиях госпромышленности». Одновременно ЦК</w:t>
      </w:r>
      <w:r w:rsidR="007C1411" w:rsidRPr="00E93F40">
        <w:rPr>
          <w:color w:val="000000" w:themeColor="text1"/>
          <w:sz w:val="16"/>
          <w:szCs w:val="16"/>
        </w:rPr>
        <w:t xml:space="preserve"> </w:t>
      </w:r>
      <w:r w:rsidRPr="00E93F40">
        <w:rPr>
          <w:color w:val="000000" w:themeColor="text1"/>
          <w:sz w:val="16"/>
          <w:szCs w:val="16"/>
        </w:rPr>
        <w:t>ВКП(б) потребовал улучшения технического обслуживания и технического руководства предприятиями, предложив ВСНХ</w:t>
      </w:r>
      <w:r w:rsidR="007C1411" w:rsidRPr="00E93F40">
        <w:rPr>
          <w:color w:val="000000" w:themeColor="text1"/>
          <w:sz w:val="16"/>
          <w:szCs w:val="16"/>
        </w:rPr>
        <w:t xml:space="preserve"> </w:t>
      </w:r>
      <w:r w:rsidRPr="00E93F40">
        <w:rPr>
          <w:color w:val="000000" w:themeColor="text1"/>
          <w:sz w:val="16"/>
          <w:szCs w:val="16"/>
        </w:rPr>
        <w:t>СССР обратить особое внимание на развитие сети фабрично-заводских лабораторий, на увеличение числа занятых на производстве специалистов и на введение в состав технических совещаний предприятий наиболее выдающихся рабочих, заводских изобретателей и молодых инженеров. ЦК</w:t>
      </w:r>
      <w:r w:rsidR="007C1411" w:rsidRPr="00E93F40">
        <w:rPr>
          <w:color w:val="000000" w:themeColor="text1"/>
          <w:sz w:val="16"/>
          <w:szCs w:val="16"/>
        </w:rPr>
        <w:t xml:space="preserve"> </w:t>
      </w:r>
      <w:r w:rsidRPr="00E93F40">
        <w:rPr>
          <w:color w:val="000000" w:themeColor="text1"/>
          <w:sz w:val="16"/>
          <w:szCs w:val="16"/>
        </w:rPr>
        <w:t>ВКП(б) указал, что в разработке контрольных цифр и промфинпланов, в разверстке заданий по трестам, предприятиям и цехам должны принимать участие все профорганизации (от фабзавкома до ВЦСПС) и хозорганы. Особое внимание ЦК</w:t>
      </w:r>
      <w:r w:rsidR="007C1411" w:rsidRPr="00E93F40">
        <w:rPr>
          <w:color w:val="000000" w:themeColor="text1"/>
          <w:sz w:val="16"/>
          <w:szCs w:val="16"/>
        </w:rPr>
        <w:t xml:space="preserve"> </w:t>
      </w:r>
      <w:r w:rsidRPr="00E93F40">
        <w:rPr>
          <w:color w:val="000000" w:themeColor="text1"/>
          <w:sz w:val="16"/>
          <w:szCs w:val="16"/>
        </w:rPr>
        <w:t>ВКП(б) рекомендовал обратить на создание условий для развертывания соцсоревнования. (Решения партии и правительства по хозяйственным вопросам. Т.</w:t>
      </w:r>
      <w:r w:rsidR="007C1411" w:rsidRPr="00E93F40">
        <w:rPr>
          <w:color w:val="000000" w:themeColor="text1"/>
          <w:sz w:val="16"/>
          <w:szCs w:val="16"/>
        </w:rPr>
        <w:t xml:space="preserve"> </w:t>
      </w:r>
      <w:r w:rsidRPr="00E93F40">
        <w:rPr>
          <w:color w:val="000000" w:themeColor="text1"/>
          <w:sz w:val="16"/>
          <w:szCs w:val="16"/>
        </w:rPr>
        <w:t>2. М., 1967. С.</w:t>
      </w:r>
      <w:r w:rsidR="007C1411" w:rsidRPr="00E93F40">
        <w:rPr>
          <w:color w:val="000000" w:themeColor="text1"/>
          <w:sz w:val="16"/>
          <w:szCs w:val="16"/>
        </w:rPr>
        <w:t xml:space="preserve"> </w:t>
      </w:r>
      <w:r w:rsidRPr="00E93F40">
        <w:rPr>
          <w:color w:val="000000" w:themeColor="text1"/>
          <w:sz w:val="16"/>
          <w:szCs w:val="16"/>
        </w:rPr>
        <w:t>136</w:t>
      </w:r>
      <w:r w:rsidRPr="00E93F40">
        <w:rPr>
          <w:color w:val="000000" w:themeColor="text1"/>
          <w:sz w:val="16"/>
          <w:szCs w:val="16"/>
        </w:rPr>
        <w:noBreakHyphen/>
        <w:t>142).</w:t>
      </w:r>
    </w:p>
    <w:p w14:paraId="053D622B" w14:textId="219C2E71"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14</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Опущена часть раздела о географическом размещении военных производств.</w:t>
      </w:r>
    </w:p>
    <w:p w14:paraId="1EEBC17F" w14:textId="6052F005"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15</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Опущена таблица «Рост продукции в процентах к предыдущему году».</w:t>
      </w:r>
    </w:p>
    <w:p w14:paraId="556AEF9D" w14:textId="64BB4E6B"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16</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данные о ходе развертывания военного производства на американских заводах.</w:t>
      </w:r>
    </w:p>
    <w:p w14:paraId="02774902" w14:textId="540B7F6C"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17</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Опущена часть раздела о загрузке в мирное время основного капитала военной промышленности.</w:t>
      </w:r>
    </w:p>
    <w:p w14:paraId="35388594" w14:textId="7DA7BE73"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18</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Данные отсутствуют.</w:t>
      </w:r>
    </w:p>
    <w:p w14:paraId="54694CEB" w14:textId="49CC35A9"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19</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Мы имеем в данном случае в виду недостаточность наличных кадров рабочих по отношению к мобилизационной] потребности военной пр[омышленнос]ти, по фактическому] выпуску продукции в мирное время не только достаточно, но есть даже избыток (см. табл.</w:t>
      </w:r>
      <w:r w:rsidR="007C1411" w:rsidRPr="00E93F40">
        <w:rPr>
          <w:color w:val="000000" w:themeColor="text1"/>
          <w:sz w:val="16"/>
          <w:szCs w:val="16"/>
        </w:rPr>
        <w:t xml:space="preserve"> </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11</w:t>
      </w:r>
      <w:r w:rsidRPr="00E93F40">
        <w:rPr>
          <w:color w:val="000000" w:themeColor="text1"/>
          <w:sz w:val="16"/>
          <w:szCs w:val="16"/>
        </w:rPr>
        <w:noBreakHyphen/>
        <w:t>16) (</w:t>
      </w:r>
      <w:r w:rsidRPr="00E93F40">
        <w:rPr>
          <w:rStyle w:val="af0"/>
          <w:i w:val="0"/>
          <w:color w:val="000000" w:themeColor="text1"/>
          <w:sz w:val="16"/>
          <w:szCs w:val="16"/>
        </w:rPr>
        <w:t>Прим. док.</w:t>
      </w:r>
      <w:r w:rsidRPr="00E93F40">
        <w:rPr>
          <w:color w:val="000000" w:themeColor="text1"/>
          <w:sz w:val="16"/>
          <w:szCs w:val="16"/>
        </w:rPr>
        <w:t>).</w:t>
      </w:r>
    </w:p>
    <w:p w14:paraId="66B8AF28" w14:textId="64D905C8"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20</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Номер не указан.</w:t>
      </w:r>
    </w:p>
    <w:p w14:paraId="56247EED" w14:textId="00BFF496"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21</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См. табл. №</w:t>
      </w:r>
      <w:r w:rsidR="007C1411" w:rsidRPr="00E93F40">
        <w:rPr>
          <w:color w:val="000000" w:themeColor="text1"/>
          <w:sz w:val="16"/>
          <w:szCs w:val="16"/>
        </w:rPr>
        <w:t xml:space="preserve"> </w:t>
      </w:r>
      <w:r w:rsidRPr="00E93F40">
        <w:rPr>
          <w:color w:val="000000" w:themeColor="text1"/>
          <w:sz w:val="16"/>
          <w:szCs w:val="16"/>
        </w:rPr>
        <w:t>27: к началу 1932</w:t>
      </w:r>
      <w:r w:rsidR="007C1411" w:rsidRPr="00E93F40">
        <w:rPr>
          <w:color w:val="000000" w:themeColor="text1"/>
          <w:sz w:val="16"/>
          <w:szCs w:val="16"/>
        </w:rPr>
        <w:t xml:space="preserve"> </w:t>
      </w:r>
      <w:r w:rsidRPr="00E93F40">
        <w:rPr>
          <w:color w:val="000000" w:themeColor="text1"/>
          <w:sz w:val="16"/>
          <w:szCs w:val="16"/>
        </w:rPr>
        <w:t>г. часть жилплощади ПТТ не была сдана в эксплуатацию (</w:t>
      </w:r>
      <w:r w:rsidRPr="00E93F40">
        <w:rPr>
          <w:rStyle w:val="af0"/>
          <w:i w:val="0"/>
          <w:color w:val="000000" w:themeColor="text1"/>
          <w:sz w:val="16"/>
          <w:szCs w:val="16"/>
        </w:rPr>
        <w:t>Прим. док</w:t>
      </w:r>
      <w:r w:rsidRPr="00E93F40">
        <w:rPr>
          <w:color w:val="000000" w:themeColor="text1"/>
          <w:sz w:val="16"/>
          <w:szCs w:val="16"/>
        </w:rPr>
        <w:t>.).</w:t>
      </w:r>
    </w:p>
    <w:p w14:paraId="51262B6E" w14:textId="08A77299"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22</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Опущены данные о выполнении планов капитального строительства за первую пятилетку.</w:t>
      </w:r>
    </w:p>
    <w:p w14:paraId="405CF2ED" w14:textId="507E89BB"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23</w:t>
      </w: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Опущен раздел «VI.</w:t>
      </w:r>
      <w:r w:rsidR="007C1411" w:rsidRPr="00E93F40">
        <w:rPr>
          <w:color w:val="000000" w:themeColor="text1"/>
          <w:sz w:val="16"/>
          <w:szCs w:val="16"/>
        </w:rPr>
        <w:t xml:space="preserve"> </w:t>
      </w:r>
      <w:r w:rsidRPr="00E93F40">
        <w:rPr>
          <w:color w:val="000000" w:themeColor="text1"/>
          <w:sz w:val="16"/>
          <w:szCs w:val="16"/>
        </w:rPr>
        <w:t>Общая подготовка промышленности к работе в условиях войны».</w:t>
      </w:r>
    </w:p>
    <w:p w14:paraId="48E05161" w14:textId="155258B6" w:rsidR="00BC161D" w:rsidRPr="00E93F40" w:rsidRDefault="00BC161D" w:rsidP="00E93F40">
      <w:pPr>
        <w:pStyle w:val="rtejustify"/>
        <w:spacing w:before="0" w:after="0"/>
        <w:rPr>
          <w:color w:val="000000" w:themeColor="text1"/>
          <w:sz w:val="16"/>
          <w:szCs w:val="16"/>
        </w:rPr>
      </w:pPr>
      <w:r w:rsidRPr="00E93F40">
        <w:rPr>
          <w:color w:val="000000" w:themeColor="text1"/>
          <w:sz w:val="16"/>
          <w:szCs w:val="16"/>
          <w:vertAlign w:val="superscript"/>
        </w:rPr>
        <w:t>24</w:t>
      </w:r>
      <w:r w:rsidRPr="00E93F40">
        <w:rPr>
          <w:color w:val="000000" w:themeColor="text1"/>
          <w:sz w:val="16"/>
          <w:szCs w:val="16"/>
        </w:rPr>
        <w:t>*</w:t>
      </w:r>
      <w:r w:rsidR="007C1411" w:rsidRPr="00E93F40">
        <w:rPr>
          <w:color w:val="000000" w:themeColor="text1"/>
          <w:sz w:val="16"/>
          <w:szCs w:val="16"/>
        </w:rPr>
        <w:t xml:space="preserve"> </w:t>
      </w:r>
      <w:r w:rsidRPr="00E93F40">
        <w:rPr>
          <w:rStyle w:val="af0"/>
          <w:i w:val="0"/>
          <w:color w:val="000000" w:themeColor="text1"/>
          <w:sz w:val="16"/>
          <w:szCs w:val="16"/>
        </w:rPr>
        <w:t>XVII конференция ВКП(б)</w:t>
      </w:r>
      <w:r w:rsidRPr="00E93F40">
        <w:rPr>
          <w:color w:val="000000" w:themeColor="text1"/>
          <w:sz w:val="16"/>
          <w:szCs w:val="16"/>
        </w:rPr>
        <w:t xml:space="preserve"> проходила с 30</w:t>
      </w:r>
      <w:r w:rsidR="007C1411" w:rsidRPr="00E93F40">
        <w:rPr>
          <w:color w:val="000000" w:themeColor="text1"/>
          <w:sz w:val="16"/>
          <w:szCs w:val="16"/>
        </w:rPr>
        <w:t xml:space="preserve"> </w:t>
      </w:r>
      <w:r w:rsidRPr="00E93F40">
        <w:rPr>
          <w:color w:val="000000" w:themeColor="text1"/>
          <w:sz w:val="16"/>
          <w:szCs w:val="16"/>
        </w:rPr>
        <w:t>января по 4</w:t>
      </w:r>
      <w:r w:rsidR="007C1411" w:rsidRPr="00E93F40">
        <w:rPr>
          <w:color w:val="000000" w:themeColor="text1"/>
          <w:sz w:val="16"/>
          <w:szCs w:val="16"/>
        </w:rPr>
        <w:t xml:space="preserve"> </w:t>
      </w:r>
      <w:r w:rsidRPr="00E93F40">
        <w:rPr>
          <w:color w:val="000000" w:themeColor="text1"/>
          <w:sz w:val="16"/>
          <w:szCs w:val="16"/>
        </w:rPr>
        <w:t>февраля 1932</w:t>
      </w:r>
      <w:r w:rsidR="007C1411" w:rsidRPr="00E93F40">
        <w:rPr>
          <w:color w:val="000000" w:themeColor="text1"/>
          <w:sz w:val="16"/>
          <w:szCs w:val="16"/>
        </w:rPr>
        <w:t xml:space="preserve"> </w:t>
      </w:r>
      <w:r w:rsidRPr="00E93F40">
        <w:rPr>
          <w:color w:val="000000" w:themeColor="text1"/>
          <w:sz w:val="16"/>
          <w:szCs w:val="16"/>
        </w:rPr>
        <w:t>г. Одобрив план развития промышленности на 1932</w:t>
      </w:r>
      <w:r w:rsidR="007C1411" w:rsidRPr="00E93F40">
        <w:rPr>
          <w:color w:val="000000" w:themeColor="text1"/>
          <w:sz w:val="16"/>
          <w:szCs w:val="16"/>
        </w:rPr>
        <w:t xml:space="preserve"> </w:t>
      </w:r>
      <w:r w:rsidRPr="00E93F40">
        <w:rPr>
          <w:color w:val="000000" w:themeColor="text1"/>
          <w:sz w:val="16"/>
          <w:szCs w:val="16"/>
        </w:rPr>
        <w:t>г., конференция приняла директивы по составлению второго пятилетнего плана социалистического строительства. В хозяйственной области главная задача пятилетки заключалась в завершении реконструкции народного хозяйства на новой технической базе. (См.: КПСС в резолюциях и решениях съездов, конференций и пленумов ЦК. Изд.</w:t>
      </w:r>
      <w:r w:rsidR="007C1411" w:rsidRPr="00E93F40">
        <w:rPr>
          <w:color w:val="000000" w:themeColor="text1"/>
          <w:sz w:val="16"/>
          <w:szCs w:val="16"/>
        </w:rPr>
        <w:t xml:space="preserve"> </w:t>
      </w:r>
      <w:r w:rsidRPr="00E93F40">
        <w:rPr>
          <w:color w:val="000000" w:themeColor="text1"/>
          <w:sz w:val="16"/>
          <w:szCs w:val="16"/>
        </w:rPr>
        <w:t>9. Т.</w:t>
      </w:r>
      <w:r w:rsidR="007C1411" w:rsidRPr="00E93F40">
        <w:rPr>
          <w:color w:val="000000" w:themeColor="text1"/>
          <w:sz w:val="16"/>
          <w:szCs w:val="16"/>
        </w:rPr>
        <w:t xml:space="preserve"> </w:t>
      </w:r>
      <w:r w:rsidRPr="00E93F40">
        <w:rPr>
          <w:color w:val="000000" w:themeColor="text1"/>
          <w:sz w:val="16"/>
          <w:szCs w:val="16"/>
        </w:rPr>
        <w:t>5. М., 1984. С.</w:t>
      </w:r>
      <w:r w:rsidR="007C1411" w:rsidRPr="00E93F40">
        <w:rPr>
          <w:color w:val="000000" w:themeColor="text1"/>
          <w:sz w:val="16"/>
          <w:szCs w:val="16"/>
        </w:rPr>
        <w:t xml:space="preserve"> </w:t>
      </w:r>
      <w:r w:rsidRPr="00E93F40">
        <w:rPr>
          <w:color w:val="000000" w:themeColor="text1"/>
          <w:sz w:val="16"/>
          <w:szCs w:val="16"/>
        </w:rPr>
        <w:t>391</w:t>
      </w:r>
      <w:r w:rsidRPr="00E93F40">
        <w:rPr>
          <w:color w:val="000000" w:themeColor="text1"/>
          <w:sz w:val="16"/>
          <w:szCs w:val="16"/>
        </w:rPr>
        <w:noBreakHyphen/>
        <w:t>399).</w:t>
      </w:r>
    </w:p>
    <w:p w14:paraId="609EC390" w14:textId="143D77DB" w:rsidR="00BC161D" w:rsidRPr="00E93F40" w:rsidRDefault="00BC161D" w:rsidP="00E93F40">
      <w:pPr>
        <w:pStyle w:val="ae"/>
        <w:spacing w:before="0" w:after="0"/>
        <w:jc w:val="both"/>
        <w:rPr>
          <w:color w:val="000000" w:themeColor="text1"/>
          <w:sz w:val="16"/>
          <w:szCs w:val="16"/>
        </w:rPr>
      </w:pPr>
      <w:r w:rsidRPr="00E93F40">
        <w:rPr>
          <w:color w:val="000000" w:themeColor="text1"/>
          <w:sz w:val="16"/>
          <w:szCs w:val="16"/>
        </w:rPr>
        <w:t>РГАЭ. Ф.</w:t>
      </w:r>
      <w:r w:rsidR="007C1411" w:rsidRPr="00E93F40">
        <w:rPr>
          <w:color w:val="000000" w:themeColor="text1"/>
          <w:sz w:val="16"/>
          <w:szCs w:val="16"/>
        </w:rPr>
        <w:t xml:space="preserve"> </w:t>
      </w:r>
      <w:r w:rsidRPr="00E93F40">
        <w:rPr>
          <w:color w:val="000000" w:themeColor="text1"/>
          <w:sz w:val="16"/>
          <w:szCs w:val="16"/>
        </w:rPr>
        <w:t>4372. Оп.</w:t>
      </w:r>
      <w:r w:rsidR="007C1411" w:rsidRPr="00E93F40">
        <w:rPr>
          <w:color w:val="000000" w:themeColor="text1"/>
          <w:sz w:val="16"/>
          <w:szCs w:val="16"/>
        </w:rPr>
        <w:t xml:space="preserve"> </w:t>
      </w:r>
      <w:r w:rsidRPr="00E93F40">
        <w:rPr>
          <w:color w:val="000000" w:themeColor="text1"/>
          <w:sz w:val="16"/>
          <w:szCs w:val="16"/>
        </w:rPr>
        <w:t>91. Д.</w:t>
      </w:r>
      <w:r w:rsidR="007C1411" w:rsidRPr="00E93F40">
        <w:rPr>
          <w:color w:val="000000" w:themeColor="text1"/>
          <w:sz w:val="16"/>
          <w:szCs w:val="16"/>
        </w:rPr>
        <w:t xml:space="preserve"> </w:t>
      </w:r>
      <w:r w:rsidRPr="00E93F40">
        <w:rPr>
          <w:color w:val="000000" w:themeColor="text1"/>
          <w:sz w:val="16"/>
          <w:szCs w:val="16"/>
        </w:rPr>
        <w:t>312. Л.</w:t>
      </w:r>
      <w:r w:rsidR="007C1411" w:rsidRPr="00E93F40">
        <w:rPr>
          <w:color w:val="000000" w:themeColor="text1"/>
          <w:sz w:val="16"/>
          <w:szCs w:val="16"/>
        </w:rPr>
        <w:t xml:space="preserve"> </w:t>
      </w:r>
      <w:r w:rsidRPr="00E93F40">
        <w:rPr>
          <w:color w:val="000000" w:themeColor="text1"/>
          <w:sz w:val="16"/>
          <w:szCs w:val="16"/>
        </w:rPr>
        <w:t>102—101об., 99, 96об.—94об., 88—87об., 78—74, 72—67, 60—60об., 58—58об., 56—56об., 54, 50—47, 42—42об., 35—34об. Копия.</w:t>
      </w:r>
    </w:p>
    <w:p w14:paraId="45C15689" w14:textId="4CC3104D"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Архив: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РГАЭ. Ф. 4372. Оп. 91. Д. 312. Л. 102—101об., 99, 96об.—94об., 88—87об., 78—74, 72—67, 60—60об., 58—58об., 56—56об., 54, 50—47, 42—42об., 35—34об. Копия. </w:t>
      </w:r>
    </w:p>
    <w:p w14:paraId="25219CD7" w14:textId="48E28D8C" w:rsidR="00BC161D" w:rsidRPr="00E93F40" w:rsidRDefault="00BC16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Становление оборонно-промышленного комплекса СССР (1927-1932). М. 2008, стр. 735-755 (12575).</w:t>
      </w:r>
    </w:p>
    <w:p w14:paraId="158A9A22" w14:textId="77777777" w:rsidR="00BC161D" w:rsidRPr="00E93F40" w:rsidRDefault="00BC161D" w:rsidP="00E93F40">
      <w:pPr>
        <w:spacing w:after="0" w:line="240" w:lineRule="auto"/>
        <w:jc w:val="both"/>
        <w:rPr>
          <w:rFonts w:ascii="Times New Roman" w:hAnsi="Times New Roman"/>
          <w:color w:val="000000" w:themeColor="text1"/>
          <w:sz w:val="16"/>
          <w:szCs w:val="16"/>
        </w:rPr>
      </w:pPr>
    </w:p>
    <w:p w14:paraId="0147BC68" w14:textId="77777777" w:rsidR="00F171EF" w:rsidRPr="00E93F40" w:rsidRDefault="00F171EF" w:rsidP="00E93F40">
      <w:pPr>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12 октября 1932 года фактически закончилась история испытаний Großtraktor в Казани. В этот день генерал Освальд Лутц, отвечавший за вопросы моторизации Рейхсвера, сделал однозначный выбор в пользу танков Rheinmetall. Впрочем, сам по себе Großtraktor уже не устраивал немецкое руководство. Идея плавающего среднего танка была забракована. Вместо него началась разработка машины, поначалу называвшейся mittele Traktor. Что же касается Großtraktor, то в 1933 году все эти танки вернулись в Германию. После прихода к власти Гитлера работы на ТЕКО были свёрнуты (17713).</w:t>
      </w:r>
    </w:p>
    <w:p w14:paraId="3813A225" w14:textId="77777777"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p>
    <w:p w14:paraId="6440406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FF3A85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8E64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октября 1932 в заметке "Итоги конкурса" сообщается: "6 тыс.р. премирован инженер Королев С.П., автор проекта легкого электронного (клепаного) самолета". Проект был представлен на конкурс под девизом "Высокий путь" (см.: 10 сентября 1931 г.; 10 июня 1932 г.) (газ. "Известия", 13 октября 1932 г.) (10676).</w:t>
      </w:r>
    </w:p>
    <w:p w14:paraId="1EC4B4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75CD26" w14:textId="77777777" w:rsidR="00EF272A" w:rsidRPr="00E93F40" w:rsidRDefault="00EF272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октября 1932 г. отряд авиабригады под командованием летчика Томаса Федоовича Сузи совершил высотный перелет из Москвы в Харьков и обратно. Beсь перелет проходил на высоте 5000 м. В нем участвовали также инженеры, метеорологи, врачи - всего 15 человек /на 5 самолетах/ и все пользовались кислородными приборами. Перелет имел опытный характер и являлся крупной победой в деле овладения высотными полетами.</w:t>
      </w:r>
    </w:p>
    <w:p w14:paraId="204C3127" w14:textId="77777777" w:rsidR="00EF272A" w:rsidRPr="00E93F40" w:rsidRDefault="00EF272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/«Красная звезда» за 15 окт. 1932; ’’Известия ЦИК СССР” за 16 окт./ (23370).</w:t>
      </w:r>
    </w:p>
    <w:p w14:paraId="260672DF" w14:textId="77777777" w:rsidR="00EF272A" w:rsidRPr="00E93F40" w:rsidRDefault="00EF272A" w:rsidP="00E93F40">
      <w:pPr>
        <w:spacing w:after="0" w:line="240" w:lineRule="auto"/>
        <w:jc w:val="both"/>
        <w:rPr>
          <w:rFonts w:ascii="Times New Roman" w:hAnsi="Times New Roman"/>
          <w:color w:val="000000" w:themeColor="text1"/>
          <w:sz w:val="16"/>
          <w:szCs w:val="16"/>
        </w:rPr>
      </w:pPr>
    </w:p>
    <w:p w14:paraId="7B467E0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A5E0DB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40F5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октября 1932 года начальник НИИ ВВС Зильберт писал письмо N 251сс председателю РВС Ворошилову.</w:t>
      </w:r>
    </w:p>
    <w:p w14:paraId="08144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состоянии работ по опытному моторо- и самолетостроению на 1-ое октября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264"/>
      </w:tblGrid>
      <w:tr w:rsidR="00DA227A" w:rsidRPr="00E93F40" w14:paraId="35A2C266" w14:textId="77777777">
        <w:tc>
          <w:tcPr>
            <w:tcW w:w="1024" w:type="dxa"/>
          </w:tcPr>
          <w:p w14:paraId="0E3BF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моторам.</w:t>
            </w:r>
          </w:p>
        </w:tc>
        <w:tc>
          <w:tcPr>
            <w:tcW w:w="1024" w:type="dxa"/>
          </w:tcPr>
          <w:p w14:paraId="2D26E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FB1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A0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8582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A4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40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244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16DCF4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F0393B" w14:textId="77777777">
        <w:tc>
          <w:tcPr>
            <w:tcW w:w="1024" w:type="dxa"/>
          </w:tcPr>
          <w:p w14:paraId="400896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1024" w:type="dxa"/>
          </w:tcPr>
          <w:p w14:paraId="24723A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w:t>
            </w:r>
          </w:p>
        </w:tc>
        <w:tc>
          <w:tcPr>
            <w:tcW w:w="1024" w:type="dxa"/>
          </w:tcPr>
          <w:p w14:paraId="4D402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w:t>
            </w:r>
          </w:p>
        </w:tc>
        <w:tc>
          <w:tcPr>
            <w:tcW w:w="1024" w:type="dxa"/>
          </w:tcPr>
          <w:p w14:paraId="3189B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w:t>
            </w:r>
          </w:p>
        </w:tc>
        <w:tc>
          <w:tcPr>
            <w:tcW w:w="1024" w:type="dxa"/>
          </w:tcPr>
          <w:p w14:paraId="0A6FFA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w:t>
            </w:r>
          </w:p>
        </w:tc>
        <w:tc>
          <w:tcPr>
            <w:tcW w:w="1024" w:type="dxa"/>
          </w:tcPr>
          <w:p w14:paraId="04D998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w:t>
            </w:r>
          </w:p>
        </w:tc>
        <w:tc>
          <w:tcPr>
            <w:tcW w:w="1024" w:type="dxa"/>
          </w:tcPr>
          <w:p w14:paraId="2ABD1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w:t>
            </w:r>
          </w:p>
        </w:tc>
        <w:tc>
          <w:tcPr>
            <w:tcW w:w="1024" w:type="dxa"/>
          </w:tcPr>
          <w:p w14:paraId="33FD3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w:t>
            </w:r>
          </w:p>
        </w:tc>
        <w:tc>
          <w:tcPr>
            <w:tcW w:w="2264" w:type="dxa"/>
          </w:tcPr>
          <w:p w14:paraId="156DF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 октября 1932 года</w:t>
            </w:r>
          </w:p>
        </w:tc>
      </w:tr>
      <w:tr w:rsidR="00DA227A" w:rsidRPr="00E93F40" w14:paraId="7F90227E" w14:textId="77777777">
        <w:tc>
          <w:tcPr>
            <w:tcW w:w="1024" w:type="dxa"/>
          </w:tcPr>
          <w:p w14:paraId="38D060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w:t>
            </w:r>
          </w:p>
        </w:tc>
        <w:tc>
          <w:tcPr>
            <w:tcW w:w="1024" w:type="dxa"/>
          </w:tcPr>
          <w:p w14:paraId="2D078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w:t>
            </w:r>
          </w:p>
        </w:tc>
        <w:tc>
          <w:tcPr>
            <w:tcW w:w="1024" w:type="dxa"/>
          </w:tcPr>
          <w:p w14:paraId="14E90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28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9D2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кг</w:t>
            </w:r>
          </w:p>
        </w:tc>
        <w:tc>
          <w:tcPr>
            <w:tcW w:w="1024" w:type="dxa"/>
          </w:tcPr>
          <w:p w14:paraId="629EE0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1024" w:type="dxa"/>
          </w:tcPr>
          <w:p w14:paraId="04131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274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2264" w:type="dxa"/>
          </w:tcPr>
          <w:p w14:paraId="52577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B17BA0" w14:textId="77777777">
        <w:tc>
          <w:tcPr>
            <w:tcW w:w="1024" w:type="dxa"/>
          </w:tcPr>
          <w:p w14:paraId="578845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EA4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A725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599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5B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08F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8DD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E3C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w:t>
            </w:r>
          </w:p>
        </w:tc>
        <w:tc>
          <w:tcPr>
            <w:tcW w:w="2264" w:type="dxa"/>
          </w:tcPr>
          <w:p w14:paraId="1AE65E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595BE8" w14:textId="77777777">
        <w:tc>
          <w:tcPr>
            <w:tcW w:w="1024" w:type="dxa"/>
          </w:tcPr>
          <w:p w14:paraId="3DE05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B7B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2CC1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27B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47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5B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162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FFD0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w:t>
            </w:r>
          </w:p>
        </w:tc>
        <w:tc>
          <w:tcPr>
            <w:tcW w:w="2264" w:type="dxa"/>
          </w:tcPr>
          <w:p w14:paraId="11EC0A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555554" w14:textId="77777777">
        <w:tc>
          <w:tcPr>
            <w:tcW w:w="1024" w:type="dxa"/>
          </w:tcPr>
          <w:p w14:paraId="2A279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0D1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BBC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E0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B714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59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33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2AB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2264" w:type="dxa"/>
          </w:tcPr>
          <w:p w14:paraId="6D999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A6C0EA" w14:textId="77777777">
        <w:tc>
          <w:tcPr>
            <w:tcW w:w="1024" w:type="dxa"/>
          </w:tcPr>
          <w:p w14:paraId="5FB74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1024" w:type="dxa"/>
          </w:tcPr>
          <w:p w14:paraId="1479F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1024" w:type="dxa"/>
          </w:tcPr>
          <w:p w14:paraId="26B5E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w:t>
            </w:r>
          </w:p>
        </w:tc>
        <w:tc>
          <w:tcPr>
            <w:tcW w:w="1024" w:type="dxa"/>
          </w:tcPr>
          <w:p w14:paraId="2AB341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1024" w:type="dxa"/>
          </w:tcPr>
          <w:p w14:paraId="39F115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w:t>
            </w:r>
          </w:p>
        </w:tc>
        <w:tc>
          <w:tcPr>
            <w:tcW w:w="1024" w:type="dxa"/>
          </w:tcPr>
          <w:p w14:paraId="70C6D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0,75</w:t>
            </w:r>
          </w:p>
        </w:tc>
        <w:tc>
          <w:tcPr>
            <w:tcW w:w="1024" w:type="dxa"/>
          </w:tcPr>
          <w:p w14:paraId="16E4CB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255D6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2264" w:type="dxa"/>
          </w:tcPr>
          <w:p w14:paraId="120C0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 внедряется в серийное производство на </w:t>
            </w:r>
          </w:p>
        </w:tc>
      </w:tr>
      <w:tr w:rsidR="00DA227A" w:rsidRPr="00E93F40" w14:paraId="0E5D7952" w14:textId="77777777">
        <w:tc>
          <w:tcPr>
            <w:tcW w:w="1024" w:type="dxa"/>
          </w:tcPr>
          <w:p w14:paraId="5F43D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AF6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920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B50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69E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57B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41C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9DF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57897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заводе N 24.</w:t>
            </w:r>
          </w:p>
        </w:tc>
      </w:tr>
      <w:tr w:rsidR="00DA227A" w:rsidRPr="00E93F40" w14:paraId="7E2F92BF" w14:textId="77777777">
        <w:tc>
          <w:tcPr>
            <w:tcW w:w="1024" w:type="dxa"/>
          </w:tcPr>
          <w:p w14:paraId="3303E8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w:t>
            </w:r>
          </w:p>
        </w:tc>
        <w:tc>
          <w:tcPr>
            <w:tcW w:w="1024" w:type="dxa"/>
          </w:tcPr>
          <w:p w14:paraId="37E81E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ED74D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4BB2B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1024" w:type="dxa"/>
          </w:tcPr>
          <w:p w14:paraId="1B733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620</w:t>
            </w:r>
          </w:p>
        </w:tc>
        <w:tc>
          <w:tcPr>
            <w:tcW w:w="1024" w:type="dxa"/>
          </w:tcPr>
          <w:p w14:paraId="2D6B5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B461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1BA27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2264" w:type="dxa"/>
          </w:tcPr>
          <w:p w14:paraId="43DC8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вторично предъявлен на гос. испытания,</w:t>
            </w:r>
          </w:p>
        </w:tc>
      </w:tr>
      <w:tr w:rsidR="00DA227A" w:rsidRPr="00E93F40" w14:paraId="072982D9" w14:textId="77777777">
        <w:tc>
          <w:tcPr>
            <w:tcW w:w="1024" w:type="dxa"/>
          </w:tcPr>
          <w:p w14:paraId="021D9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98D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4D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61A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3B1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6A5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B1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428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24310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т.к. первые испытания аннулированы из-за</w:t>
            </w:r>
          </w:p>
        </w:tc>
      </w:tr>
      <w:tr w:rsidR="00DA227A" w:rsidRPr="00E93F40" w14:paraId="2C35DFF0" w14:textId="77777777">
        <w:tc>
          <w:tcPr>
            <w:tcW w:w="1024" w:type="dxa"/>
          </w:tcPr>
          <w:p w14:paraId="5E8D8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893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B3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EB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8F2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ED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14F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96FD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7888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поломки задней крышки.</w:t>
            </w:r>
          </w:p>
        </w:tc>
      </w:tr>
      <w:tr w:rsidR="00DA227A" w:rsidRPr="00E93F40" w14:paraId="3627D5CB" w14:textId="77777777">
        <w:tc>
          <w:tcPr>
            <w:tcW w:w="1024" w:type="dxa"/>
          </w:tcPr>
          <w:p w14:paraId="29DCB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tc>
        <w:tc>
          <w:tcPr>
            <w:tcW w:w="1024" w:type="dxa"/>
          </w:tcPr>
          <w:p w14:paraId="146648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301ED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C127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1024" w:type="dxa"/>
          </w:tcPr>
          <w:p w14:paraId="1C118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024" w:type="dxa"/>
          </w:tcPr>
          <w:p w14:paraId="67398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24279E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1F02D9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2264" w:type="dxa"/>
          </w:tcPr>
          <w:p w14:paraId="4B69D5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Производится опытная нарезка шестерен</w:t>
            </w:r>
          </w:p>
        </w:tc>
      </w:tr>
      <w:tr w:rsidR="00DA227A" w:rsidRPr="00E93F40" w14:paraId="57D65A8E" w14:textId="77777777">
        <w:tc>
          <w:tcPr>
            <w:tcW w:w="1024" w:type="dxa"/>
          </w:tcPr>
          <w:p w14:paraId="31418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E92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3C2C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0F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D32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34D3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FB9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68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60EBF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редуктора.</w:t>
            </w:r>
          </w:p>
        </w:tc>
      </w:tr>
      <w:tr w:rsidR="00DA227A" w:rsidRPr="00E93F40" w14:paraId="0DE911F8" w14:textId="77777777">
        <w:tc>
          <w:tcPr>
            <w:tcW w:w="1024" w:type="dxa"/>
          </w:tcPr>
          <w:p w14:paraId="555CE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w:t>
            </w:r>
          </w:p>
        </w:tc>
        <w:tc>
          <w:tcPr>
            <w:tcW w:w="1024" w:type="dxa"/>
          </w:tcPr>
          <w:p w14:paraId="68BCC5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2CDEF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11975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1024" w:type="dxa"/>
          </w:tcPr>
          <w:p w14:paraId="48BA2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w:t>
            </w:r>
          </w:p>
        </w:tc>
        <w:tc>
          <w:tcPr>
            <w:tcW w:w="1024" w:type="dxa"/>
          </w:tcPr>
          <w:p w14:paraId="28131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028B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58C6F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w:t>
            </w:r>
          </w:p>
        </w:tc>
        <w:tc>
          <w:tcPr>
            <w:tcW w:w="2264" w:type="dxa"/>
          </w:tcPr>
          <w:p w14:paraId="678C5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в механической обработке.</w:t>
            </w:r>
          </w:p>
        </w:tc>
      </w:tr>
      <w:tr w:rsidR="00DA227A" w:rsidRPr="00E93F40" w14:paraId="2DF96195" w14:textId="77777777">
        <w:tc>
          <w:tcPr>
            <w:tcW w:w="1024" w:type="dxa"/>
          </w:tcPr>
          <w:p w14:paraId="416301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F25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B8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506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86A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B708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BBFC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266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7E94C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C43E47" w14:textId="77777777">
        <w:tc>
          <w:tcPr>
            <w:tcW w:w="1024" w:type="dxa"/>
          </w:tcPr>
          <w:p w14:paraId="53216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w:t>
            </w:r>
          </w:p>
        </w:tc>
        <w:tc>
          <w:tcPr>
            <w:tcW w:w="1024" w:type="dxa"/>
          </w:tcPr>
          <w:p w14:paraId="4405F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4F8F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1024" w:type="dxa"/>
          </w:tcPr>
          <w:p w14:paraId="4E9CD1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 л.с.</w:t>
            </w:r>
          </w:p>
        </w:tc>
        <w:tc>
          <w:tcPr>
            <w:tcW w:w="1024" w:type="dxa"/>
          </w:tcPr>
          <w:p w14:paraId="71230D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460</w:t>
            </w:r>
          </w:p>
        </w:tc>
        <w:tc>
          <w:tcPr>
            <w:tcW w:w="1024" w:type="dxa"/>
          </w:tcPr>
          <w:p w14:paraId="68D110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0,84</w:t>
            </w:r>
          </w:p>
        </w:tc>
        <w:tc>
          <w:tcPr>
            <w:tcW w:w="1024" w:type="dxa"/>
          </w:tcPr>
          <w:p w14:paraId="3784F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03778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w:t>
            </w:r>
          </w:p>
        </w:tc>
        <w:tc>
          <w:tcPr>
            <w:tcW w:w="2264" w:type="dxa"/>
          </w:tcPr>
          <w:p w14:paraId="1BA18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проходит заводские испытания.</w:t>
            </w:r>
          </w:p>
        </w:tc>
      </w:tr>
      <w:tr w:rsidR="00DA227A" w:rsidRPr="00E93F40" w14:paraId="0A635772" w14:textId="77777777">
        <w:tc>
          <w:tcPr>
            <w:tcW w:w="1024" w:type="dxa"/>
          </w:tcPr>
          <w:p w14:paraId="6995DD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5671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563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77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4B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7E7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6B3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39F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0FFA2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E30AE8" w14:textId="77777777">
        <w:tc>
          <w:tcPr>
            <w:tcW w:w="1024" w:type="dxa"/>
          </w:tcPr>
          <w:p w14:paraId="201E6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w:t>
            </w:r>
          </w:p>
        </w:tc>
        <w:tc>
          <w:tcPr>
            <w:tcW w:w="1024" w:type="dxa"/>
          </w:tcPr>
          <w:p w14:paraId="49FC07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4AD9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w:t>
            </w:r>
          </w:p>
        </w:tc>
        <w:tc>
          <w:tcPr>
            <w:tcW w:w="1024" w:type="dxa"/>
          </w:tcPr>
          <w:p w14:paraId="730D1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660 л.с.</w:t>
            </w:r>
          </w:p>
        </w:tc>
        <w:tc>
          <w:tcPr>
            <w:tcW w:w="1024" w:type="dxa"/>
          </w:tcPr>
          <w:p w14:paraId="57848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1024" w:type="dxa"/>
          </w:tcPr>
          <w:p w14:paraId="11C4B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w:t>
            </w:r>
          </w:p>
        </w:tc>
        <w:tc>
          <w:tcPr>
            <w:tcW w:w="1024" w:type="dxa"/>
          </w:tcPr>
          <w:p w14:paraId="42211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0A9FBA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2264" w:type="dxa"/>
          </w:tcPr>
          <w:p w14:paraId="2CC5DE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сборка мотора.</w:t>
            </w:r>
          </w:p>
        </w:tc>
      </w:tr>
      <w:tr w:rsidR="00DA227A" w:rsidRPr="00E93F40" w14:paraId="0AD01A6C" w14:textId="77777777">
        <w:tc>
          <w:tcPr>
            <w:tcW w:w="1024" w:type="dxa"/>
          </w:tcPr>
          <w:p w14:paraId="4A263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F55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42B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79B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545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45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1DB4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9B9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19A5DB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EFE504" w14:textId="77777777">
        <w:tc>
          <w:tcPr>
            <w:tcW w:w="1024" w:type="dxa"/>
          </w:tcPr>
          <w:p w14:paraId="6C925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М-35</w:t>
            </w:r>
          </w:p>
        </w:tc>
        <w:tc>
          <w:tcPr>
            <w:tcW w:w="1024" w:type="dxa"/>
          </w:tcPr>
          <w:p w14:paraId="465DE9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1BD5C0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2441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 л.с.</w:t>
            </w:r>
          </w:p>
        </w:tc>
        <w:tc>
          <w:tcPr>
            <w:tcW w:w="1024" w:type="dxa"/>
          </w:tcPr>
          <w:p w14:paraId="3A7DB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1024" w:type="dxa"/>
          </w:tcPr>
          <w:p w14:paraId="045D33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0,86</w:t>
            </w:r>
          </w:p>
        </w:tc>
        <w:tc>
          <w:tcPr>
            <w:tcW w:w="1024" w:type="dxa"/>
          </w:tcPr>
          <w:p w14:paraId="0690BB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79643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2264" w:type="dxa"/>
          </w:tcPr>
          <w:p w14:paraId="145D3C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не строится т.к. не удовлетворяет</w:t>
            </w:r>
          </w:p>
        </w:tc>
      </w:tr>
      <w:tr w:rsidR="00DA227A" w:rsidRPr="00E93F40" w14:paraId="3B3194A6" w14:textId="77777777">
        <w:tc>
          <w:tcPr>
            <w:tcW w:w="1024" w:type="dxa"/>
          </w:tcPr>
          <w:p w14:paraId="2931B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19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FA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DEF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270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9A04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A9D9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14F9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2BBD6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тактическим требованиям.</w:t>
            </w:r>
          </w:p>
        </w:tc>
      </w:tr>
      <w:tr w:rsidR="00DA227A" w:rsidRPr="00E93F40" w14:paraId="17EDAD2C" w14:textId="77777777">
        <w:tc>
          <w:tcPr>
            <w:tcW w:w="1024" w:type="dxa"/>
          </w:tcPr>
          <w:p w14:paraId="782067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М-44</w:t>
            </w:r>
          </w:p>
        </w:tc>
        <w:tc>
          <w:tcPr>
            <w:tcW w:w="1024" w:type="dxa"/>
          </w:tcPr>
          <w:p w14:paraId="0E300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402F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1D4F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л.с.</w:t>
            </w:r>
          </w:p>
        </w:tc>
        <w:tc>
          <w:tcPr>
            <w:tcW w:w="1024" w:type="dxa"/>
          </w:tcPr>
          <w:p w14:paraId="42FE1C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1024" w:type="dxa"/>
          </w:tcPr>
          <w:p w14:paraId="2996F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0,75</w:t>
            </w:r>
          </w:p>
        </w:tc>
        <w:tc>
          <w:tcPr>
            <w:tcW w:w="1024" w:type="dxa"/>
          </w:tcPr>
          <w:p w14:paraId="203BB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 м</w:t>
            </w:r>
          </w:p>
        </w:tc>
        <w:tc>
          <w:tcPr>
            <w:tcW w:w="1024" w:type="dxa"/>
          </w:tcPr>
          <w:p w14:paraId="2E89F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2264" w:type="dxa"/>
          </w:tcPr>
          <w:p w14:paraId="7D2F3A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в механической обработке.</w:t>
            </w:r>
          </w:p>
        </w:tc>
      </w:tr>
      <w:tr w:rsidR="00DA227A" w:rsidRPr="00E93F40" w14:paraId="30731AFB" w14:textId="77777777">
        <w:tc>
          <w:tcPr>
            <w:tcW w:w="1024" w:type="dxa"/>
          </w:tcPr>
          <w:p w14:paraId="141927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00F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E2F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469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4D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EC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35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E3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1E474D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35420F" w14:textId="77777777">
        <w:tc>
          <w:tcPr>
            <w:tcW w:w="1024" w:type="dxa"/>
          </w:tcPr>
          <w:p w14:paraId="4ADEDF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w:t>
            </w:r>
          </w:p>
        </w:tc>
        <w:tc>
          <w:tcPr>
            <w:tcW w:w="1024" w:type="dxa"/>
          </w:tcPr>
          <w:p w14:paraId="6339EC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041A6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18F9F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 л.с.</w:t>
            </w:r>
          </w:p>
        </w:tc>
        <w:tc>
          <w:tcPr>
            <w:tcW w:w="1024" w:type="dxa"/>
          </w:tcPr>
          <w:p w14:paraId="6DE9A4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024" w:type="dxa"/>
          </w:tcPr>
          <w:p w14:paraId="3765AF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2FD96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5902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2264" w:type="dxa"/>
          </w:tcPr>
          <w:p w14:paraId="657BE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в механической обработке.</w:t>
            </w:r>
          </w:p>
        </w:tc>
      </w:tr>
      <w:tr w:rsidR="00DA227A" w:rsidRPr="00E93F40" w14:paraId="5DCC3EFD" w14:textId="77777777">
        <w:tc>
          <w:tcPr>
            <w:tcW w:w="1024" w:type="dxa"/>
          </w:tcPr>
          <w:p w14:paraId="5F3422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3B5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2E0E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01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5F5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2D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897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0C6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280B8A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045374" w14:textId="77777777">
        <w:tc>
          <w:tcPr>
            <w:tcW w:w="1024" w:type="dxa"/>
          </w:tcPr>
          <w:p w14:paraId="7F995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w:t>
            </w:r>
          </w:p>
        </w:tc>
        <w:tc>
          <w:tcPr>
            <w:tcW w:w="1024" w:type="dxa"/>
          </w:tcPr>
          <w:p w14:paraId="3824CB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6A3F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BCA66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 л.с.</w:t>
            </w:r>
          </w:p>
        </w:tc>
        <w:tc>
          <w:tcPr>
            <w:tcW w:w="1024" w:type="dxa"/>
          </w:tcPr>
          <w:p w14:paraId="6ED322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c>
          <w:tcPr>
            <w:tcW w:w="1024" w:type="dxa"/>
          </w:tcPr>
          <w:p w14:paraId="34E1F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B8DA4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63D9A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w:t>
            </w:r>
          </w:p>
        </w:tc>
        <w:tc>
          <w:tcPr>
            <w:tcW w:w="2264" w:type="dxa"/>
          </w:tcPr>
          <w:p w14:paraId="30675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Разрабатывается конструкция.</w:t>
            </w:r>
          </w:p>
        </w:tc>
      </w:tr>
      <w:tr w:rsidR="00DA227A" w:rsidRPr="00E93F40" w14:paraId="0CAA0E82" w14:textId="77777777">
        <w:tc>
          <w:tcPr>
            <w:tcW w:w="1024" w:type="dxa"/>
          </w:tcPr>
          <w:p w14:paraId="29022C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F67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CF72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6A2E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5A5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DA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21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06A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45709F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D17EADB" w14:textId="77777777">
        <w:tc>
          <w:tcPr>
            <w:tcW w:w="1024" w:type="dxa"/>
          </w:tcPr>
          <w:p w14:paraId="72FB4B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Н-2</w:t>
            </w:r>
          </w:p>
        </w:tc>
        <w:tc>
          <w:tcPr>
            <w:tcW w:w="1024" w:type="dxa"/>
          </w:tcPr>
          <w:p w14:paraId="2D819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ВНИДИ</w:t>
            </w:r>
          </w:p>
        </w:tc>
        <w:tc>
          <w:tcPr>
            <w:tcW w:w="1024" w:type="dxa"/>
          </w:tcPr>
          <w:p w14:paraId="5F105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121054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л.с.</w:t>
            </w:r>
          </w:p>
        </w:tc>
        <w:tc>
          <w:tcPr>
            <w:tcW w:w="1024" w:type="dxa"/>
          </w:tcPr>
          <w:p w14:paraId="178B6C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1024" w:type="dxa"/>
          </w:tcPr>
          <w:p w14:paraId="5AD3CC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1024" w:type="dxa"/>
          </w:tcPr>
          <w:p w14:paraId="0A6122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4B7A6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2264" w:type="dxa"/>
          </w:tcPr>
          <w:p w14:paraId="3143B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механическая обработка</w:t>
            </w:r>
          </w:p>
        </w:tc>
      </w:tr>
      <w:tr w:rsidR="00DA227A" w:rsidRPr="00E93F40" w14:paraId="1C00A15A" w14:textId="77777777">
        <w:tc>
          <w:tcPr>
            <w:tcW w:w="1024" w:type="dxa"/>
          </w:tcPr>
          <w:p w14:paraId="69997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A0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C3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3863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DC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51A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1AED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C7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5B8518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деталей.</w:t>
            </w:r>
          </w:p>
        </w:tc>
      </w:tr>
      <w:tr w:rsidR="00DA227A" w:rsidRPr="00E93F40" w14:paraId="165EC149" w14:textId="77777777">
        <w:tc>
          <w:tcPr>
            <w:tcW w:w="1024" w:type="dxa"/>
          </w:tcPr>
          <w:p w14:paraId="5F3AB9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w:t>
            </w:r>
          </w:p>
        </w:tc>
        <w:tc>
          <w:tcPr>
            <w:tcW w:w="1024" w:type="dxa"/>
          </w:tcPr>
          <w:p w14:paraId="6AE9A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УИДВС</w:t>
            </w:r>
          </w:p>
        </w:tc>
        <w:tc>
          <w:tcPr>
            <w:tcW w:w="1024" w:type="dxa"/>
          </w:tcPr>
          <w:p w14:paraId="21AFD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1C45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л.с.</w:t>
            </w:r>
          </w:p>
        </w:tc>
        <w:tc>
          <w:tcPr>
            <w:tcW w:w="1024" w:type="dxa"/>
          </w:tcPr>
          <w:p w14:paraId="15753C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1024" w:type="dxa"/>
          </w:tcPr>
          <w:p w14:paraId="4D8BD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9B51B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03DC94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2264" w:type="dxa"/>
          </w:tcPr>
          <w:p w14:paraId="404446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 опытный одноцилиндровый</w:t>
            </w:r>
          </w:p>
        </w:tc>
      </w:tr>
      <w:tr w:rsidR="00DA227A" w:rsidRPr="00E93F40" w14:paraId="3CBBF8A8" w14:textId="77777777">
        <w:tc>
          <w:tcPr>
            <w:tcW w:w="1024" w:type="dxa"/>
          </w:tcPr>
          <w:p w14:paraId="4C29C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35C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61F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2BB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E0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6AA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15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10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20176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показавший удовлетворительн.</w:t>
            </w:r>
          </w:p>
        </w:tc>
      </w:tr>
      <w:tr w:rsidR="00DA227A" w:rsidRPr="00E93F40" w14:paraId="1A9AC42C" w14:textId="77777777">
        <w:tc>
          <w:tcPr>
            <w:tcW w:w="1024" w:type="dxa"/>
          </w:tcPr>
          <w:p w14:paraId="123F0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F6DC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94A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6CD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F0C2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2F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A5CB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EE8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B8A7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постройка Н-3 не размещена</w:t>
            </w:r>
          </w:p>
        </w:tc>
      </w:tr>
      <w:tr w:rsidR="00DA227A" w:rsidRPr="00E93F40" w14:paraId="306AD0BB" w14:textId="77777777">
        <w:tc>
          <w:tcPr>
            <w:tcW w:w="1024" w:type="dxa"/>
          </w:tcPr>
          <w:p w14:paraId="3E6478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808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F2C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0AA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BFA7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6C0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A7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7C9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FE21C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промышленности.</w:t>
            </w:r>
          </w:p>
        </w:tc>
      </w:tr>
      <w:tr w:rsidR="00DA227A" w:rsidRPr="00E93F40" w14:paraId="756B405E" w14:textId="77777777">
        <w:tc>
          <w:tcPr>
            <w:tcW w:w="1024" w:type="dxa"/>
          </w:tcPr>
          <w:p w14:paraId="0CD66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Н-4</w:t>
            </w:r>
          </w:p>
        </w:tc>
        <w:tc>
          <w:tcPr>
            <w:tcW w:w="1024" w:type="dxa"/>
          </w:tcPr>
          <w:p w14:paraId="17EFC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C56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14D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5EB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6B7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DB7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43D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2927C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94697B" w14:textId="77777777">
        <w:tc>
          <w:tcPr>
            <w:tcW w:w="1024" w:type="dxa"/>
          </w:tcPr>
          <w:p w14:paraId="2E915D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(двухтактный)</w:t>
            </w:r>
          </w:p>
        </w:tc>
        <w:tc>
          <w:tcPr>
            <w:tcW w:w="1024" w:type="dxa"/>
          </w:tcPr>
          <w:p w14:paraId="19B02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w:t>
            </w:r>
          </w:p>
        </w:tc>
        <w:tc>
          <w:tcPr>
            <w:tcW w:w="1024" w:type="dxa"/>
          </w:tcPr>
          <w:p w14:paraId="14E52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75591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л.с.</w:t>
            </w:r>
          </w:p>
        </w:tc>
        <w:tc>
          <w:tcPr>
            <w:tcW w:w="1024" w:type="dxa"/>
          </w:tcPr>
          <w:p w14:paraId="68BF3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024" w:type="dxa"/>
          </w:tcPr>
          <w:p w14:paraId="0A1A7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024" w:type="dxa"/>
          </w:tcPr>
          <w:p w14:paraId="341C6A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 м</w:t>
            </w:r>
          </w:p>
        </w:tc>
        <w:tc>
          <w:tcPr>
            <w:tcW w:w="1024" w:type="dxa"/>
          </w:tcPr>
          <w:p w14:paraId="413E0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2264" w:type="dxa"/>
          </w:tcPr>
          <w:p w14:paraId="02BD0C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Строится опытный одноцилиндровый</w:t>
            </w:r>
          </w:p>
        </w:tc>
      </w:tr>
      <w:tr w:rsidR="00DA227A" w:rsidRPr="00E93F40" w14:paraId="09AF92E5" w14:textId="77777777">
        <w:tc>
          <w:tcPr>
            <w:tcW w:w="1024" w:type="dxa"/>
          </w:tcPr>
          <w:p w14:paraId="3D9F60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CCD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9AB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A9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CE9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A4C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8FB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C63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2CDF3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r>
      <w:tr w:rsidR="00DA227A" w:rsidRPr="00E93F40" w14:paraId="2ABAEC35" w14:textId="77777777">
        <w:tc>
          <w:tcPr>
            <w:tcW w:w="1024" w:type="dxa"/>
          </w:tcPr>
          <w:p w14:paraId="2FA31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Н-5</w:t>
            </w:r>
          </w:p>
        </w:tc>
        <w:tc>
          <w:tcPr>
            <w:tcW w:w="1024" w:type="dxa"/>
          </w:tcPr>
          <w:p w14:paraId="1E5C7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c>
          <w:tcPr>
            <w:tcW w:w="1024" w:type="dxa"/>
          </w:tcPr>
          <w:p w14:paraId="5D4567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4A9C2D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л.с.</w:t>
            </w:r>
          </w:p>
        </w:tc>
        <w:tc>
          <w:tcPr>
            <w:tcW w:w="1024" w:type="dxa"/>
          </w:tcPr>
          <w:p w14:paraId="647D62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1024" w:type="dxa"/>
          </w:tcPr>
          <w:p w14:paraId="39450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024" w:type="dxa"/>
          </w:tcPr>
          <w:p w14:paraId="27FD7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 м</w:t>
            </w:r>
          </w:p>
        </w:tc>
        <w:tc>
          <w:tcPr>
            <w:tcW w:w="1024" w:type="dxa"/>
          </w:tcPr>
          <w:p w14:paraId="413D3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2264" w:type="dxa"/>
          </w:tcPr>
          <w:p w14:paraId="63721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механическая обработка.</w:t>
            </w:r>
          </w:p>
        </w:tc>
      </w:tr>
      <w:tr w:rsidR="00DA227A" w:rsidRPr="00E93F40" w14:paraId="6B4753E5" w14:textId="77777777">
        <w:tc>
          <w:tcPr>
            <w:tcW w:w="1024" w:type="dxa"/>
          </w:tcPr>
          <w:p w14:paraId="60047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B5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ОГПУ</w:t>
            </w:r>
          </w:p>
        </w:tc>
        <w:tc>
          <w:tcPr>
            <w:tcW w:w="1024" w:type="dxa"/>
          </w:tcPr>
          <w:p w14:paraId="3CF66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001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A32F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FB8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050A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1AB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44A0E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63FFB1" w14:textId="77777777">
        <w:tc>
          <w:tcPr>
            <w:tcW w:w="1024" w:type="dxa"/>
          </w:tcPr>
          <w:p w14:paraId="2A6A5B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Н-6</w:t>
            </w:r>
          </w:p>
        </w:tc>
        <w:tc>
          <w:tcPr>
            <w:tcW w:w="1024" w:type="dxa"/>
          </w:tcPr>
          <w:p w14:paraId="4D4C9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F523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1024" w:type="dxa"/>
          </w:tcPr>
          <w:p w14:paraId="60637F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л.с.</w:t>
            </w:r>
          </w:p>
        </w:tc>
        <w:tc>
          <w:tcPr>
            <w:tcW w:w="1024" w:type="dxa"/>
          </w:tcPr>
          <w:p w14:paraId="642F0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w:t>
            </w:r>
          </w:p>
        </w:tc>
        <w:tc>
          <w:tcPr>
            <w:tcW w:w="1024" w:type="dxa"/>
          </w:tcPr>
          <w:p w14:paraId="7AFF7D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36785E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 м</w:t>
            </w:r>
          </w:p>
        </w:tc>
        <w:tc>
          <w:tcPr>
            <w:tcW w:w="1024" w:type="dxa"/>
          </w:tcPr>
          <w:p w14:paraId="42DF83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2264" w:type="dxa"/>
          </w:tcPr>
          <w:p w14:paraId="13BCA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разработка проекта.</w:t>
            </w:r>
          </w:p>
        </w:tc>
      </w:tr>
      <w:tr w:rsidR="00DA227A" w:rsidRPr="00E93F40" w14:paraId="18C1F456" w14:textId="77777777">
        <w:tc>
          <w:tcPr>
            <w:tcW w:w="1024" w:type="dxa"/>
          </w:tcPr>
          <w:p w14:paraId="62550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(двухтактный)</w:t>
            </w:r>
          </w:p>
        </w:tc>
        <w:tc>
          <w:tcPr>
            <w:tcW w:w="1024" w:type="dxa"/>
          </w:tcPr>
          <w:p w14:paraId="7246AF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BB0B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EF9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9BD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E41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5F5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76C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787AC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Производственной базой мотор не обеспечен.</w:t>
            </w:r>
          </w:p>
        </w:tc>
      </w:tr>
      <w:tr w:rsidR="00DA227A" w:rsidRPr="00E93F40" w14:paraId="0435C97F" w14:textId="77777777">
        <w:tc>
          <w:tcPr>
            <w:tcW w:w="1024" w:type="dxa"/>
          </w:tcPr>
          <w:p w14:paraId="63C74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буквой "Н" обозначены нефтяные моторы.</w:t>
            </w:r>
          </w:p>
        </w:tc>
        <w:tc>
          <w:tcPr>
            <w:tcW w:w="1024" w:type="dxa"/>
          </w:tcPr>
          <w:p w14:paraId="6F0D2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A5D0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66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6D2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B49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A92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072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6FF0C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A9552D" w14:textId="77777777">
        <w:tc>
          <w:tcPr>
            <w:tcW w:w="1024" w:type="dxa"/>
          </w:tcPr>
          <w:p w14:paraId="1E7FD0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Особые двигатели.</w:t>
            </w:r>
          </w:p>
        </w:tc>
        <w:tc>
          <w:tcPr>
            <w:tcW w:w="1024" w:type="dxa"/>
          </w:tcPr>
          <w:p w14:paraId="2868B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3C8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277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06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D7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30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3747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CB0E0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D538B5" w14:textId="77777777">
        <w:tc>
          <w:tcPr>
            <w:tcW w:w="1024" w:type="dxa"/>
          </w:tcPr>
          <w:p w14:paraId="633555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Паровая</w:t>
            </w:r>
          </w:p>
        </w:tc>
        <w:tc>
          <w:tcPr>
            <w:tcW w:w="1024" w:type="dxa"/>
          </w:tcPr>
          <w:p w14:paraId="101EB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Турбо</w:t>
            </w:r>
          </w:p>
        </w:tc>
        <w:tc>
          <w:tcPr>
            <w:tcW w:w="1024" w:type="dxa"/>
          </w:tcPr>
          <w:p w14:paraId="052C3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0D90F9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 л.с.</w:t>
            </w:r>
          </w:p>
        </w:tc>
        <w:tc>
          <w:tcPr>
            <w:tcW w:w="1024" w:type="dxa"/>
          </w:tcPr>
          <w:p w14:paraId="0DAE1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тн</w:t>
            </w:r>
          </w:p>
        </w:tc>
        <w:tc>
          <w:tcPr>
            <w:tcW w:w="1024" w:type="dxa"/>
          </w:tcPr>
          <w:p w14:paraId="6B57FE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024" w:type="dxa"/>
          </w:tcPr>
          <w:p w14:paraId="29DD9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 м</w:t>
            </w:r>
          </w:p>
        </w:tc>
        <w:tc>
          <w:tcPr>
            <w:tcW w:w="1024" w:type="dxa"/>
          </w:tcPr>
          <w:p w14:paraId="34936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w:t>
            </w:r>
          </w:p>
        </w:tc>
        <w:tc>
          <w:tcPr>
            <w:tcW w:w="2264" w:type="dxa"/>
          </w:tcPr>
          <w:p w14:paraId="15E413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проект и поверочный расчет.</w:t>
            </w:r>
          </w:p>
        </w:tc>
      </w:tr>
      <w:tr w:rsidR="00DA227A" w:rsidRPr="00E93F40" w14:paraId="0B7D0EA0" w14:textId="77777777">
        <w:tc>
          <w:tcPr>
            <w:tcW w:w="1024" w:type="dxa"/>
          </w:tcPr>
          <w:p w14:paraId="33ED60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турбина</w:t>
            </w:r>
          </w:p>
        </w:tc>
        <w:tc>
          <w:tcPr>
            <w:tcW w:w="1024" w:type="dxa"/>
          </w:tcPr>
          <w:p w14:paraId="34A78B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строй</w:t>
            </w:r>
          </w:p>
        </w:tc>
        <w:tc>
          <w:tcPr>
            <w:tcW w:w="1024" w:type="dxa"/>
          </w:tcPr>
          <w:p w14:paraId="1AA4C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5A2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2DB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632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B7DF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03F1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2264" w:type="dxa"/>
          </w:tcPr>
          <w:p w14:paraId="6C5EC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Договор с промышленностью заключен.</w:t>
            </w:r>
          </w:p>
        </w:tc>
      </w:tr>
      <w:tr w:rsidR="00DA227A" w:rsidRPr="00E93F40" w14:paraId="211B89D0" w14:textId="77777777">
        <w:tc>
          <w:tcPr>
            <w:tcW w:w="1024" w:type="dxa"/>
          </w:tcPr>
          <w:p w14:paraId="57A6CC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03AD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Харьков</w:t>
            </w:r>
          </w:p>
        </w:tc>
        <w:tc>
          <w:tcPr>
            <w:tcW w:w="1024" w:type="dxa"/>
          </w:tcPr>
          <w:p w14:paraId="69147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F2F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1E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FF7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554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3CD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50E4F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20295D" w14:textId="77777777">
        <w:tc>
          <w:tcPr>
            <w:tcW w:w="1024" w:type="dxa"/>
          </w:tcPr>
          <w:p w14:paraId="3882B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Внеплановые работы:</w:t>
            </w:r>
          </w:p>
        </w:tc>
        <w:tc>
          <w:tcPr>
            <w:tcW w:w="1024" w:type="dxa"/>
          </w:tcPr>
          <w:p w14:paraId="0A70D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6AD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83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89F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E8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EA9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CF3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BD8B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2BAFB0" w14:textId="77777777">
        <w:tc>
          <w:tcPr>
            <w:tcW w:w="1024" w:type="dxa"/>
          </w:tcPr>
          <w:p w14:paraId="70DFB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М-51</w:t>
            </w:r>
          </w:p>
        </w:tc>
        <w:tc>
          <w:tcPr>
            <w:tcW w:w="1024" w:type="dxa"/>
          </w:tcPr>
          <w:p w14:paraId="51E18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p>
        </w:tc>
        <w:tc>
          <w:tcPr>
            <w:tcW w:w="1024" w:type="dxa"/>
          </w:tcPr>
          <w:p w14:paraId="552F9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1024" w:type="dxa"/>
          </w:tcPr>
          <w:p w14:paraId="1DAD9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 л.с.</w:t>
            </w:r>
          </w:p>
        </w:tc>
        <w:tc>
          <w:tcPr>
            <w:tcW w:w="1024" w:type="dxa"/>
          </w:tcPr>
          <w:p w14:paraId="26D654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w:t>
            </w:r>
          </w:p>
        </w:tc>
        <w:tc>
          <w:tcPr>
            <w:tcW w:w="1024" w:type="dxa"/>
          </w:tcPr>
          <w:p w14:paraId="0772D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c>
          <w:tcPr>
            <w:tcW w:w="1024" w:type="dxa"/>
          </w:tcPr>
          <w:p w14:paraId="5C3843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5936F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2264" w:type="dxa"/>
          </w:tcPr>
          <w:p w14:paraId="341B4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предъявлен на гос. испытания.</w:t>
            </w:r>
          </w:p>
        </w:tc>
      </w:tr>
      <w:tr w:rsidR="00DA227A" w:rsidRPr="00E93F40" w14:paraId="1B374E0A" w14:textId="77777777">
        <w:tc>
          <w:tcPr>
            <w:tcW w:w="1024" w:type="dxa"/>
          </w:tcPr>
          <w:p w14:paraId="24FFAC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модификация</w:t>
            </w:r>
          </w:p>
        </w:tc>
        <w:tc>
          <w:tcPr>
            <w:tcW w:w="1024" w:type="dxa"/>
          </w:tcPr>
          <w:p w14:paraId="7F7798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 29</w:t>
            </w:r>
          </w:p>
        </w:tc>
        <w:tc>
          <w:tcPr>
            <w:tcW w:w="1024" w:type="dxa"/>
          </w:tcPr>
          <w:p w14:paraId="2A217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E7CA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EE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407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26B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DB33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3B4D3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4E013D" w14:textId="77777777">
        <w:tc>
          <w:tcPr>
            <w:tcW w:w="1024" w:type="dxa"/>
          </w:tcPr>
          <w:p w14:paraId="33B987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М-11</w:t>
            </w:r>
          </w:p>
        </w:tc>
        <w:tc>
          <w:tcPr>
            <w:tcW w:w="1024" w:type="dxa"/>
          </w:tcPr>
          <w:p w14:paraId="6F916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83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C34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5D7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74F6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068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EE1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1086C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4F13F2" w14:textId="77777777">
        <w:tc>
          <w:tcPr>
            <w:tcW w:w="1024" w:type="dxa"/>
          </w:tcPr>
          <w:p w14:paraId="54923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М-48</w:t>
            </w:r>
          </w:p>
        </w:tc>
        <w:tc>
          <w:tcPr>
            <w:tcW w:w="1024" w:type="dxa"/>
          </w:tcPr>
          <w:p w14:paraId="087E5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2C03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43704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 л.с.</w:t>
            </w:r>
          </w:p>
        </w:tc>
        <w:tc>
          <w:tcPr>
            <w:tcW w:w="1024" w:type="dxa"/>
          </w:tcPr>
          <w:p w14:paraId="5DA58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1024" w:type="dxa"/>
          </w:tcPr>
          <w:p w14:paraId="338E29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6FD4F7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58167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w:t>
            </w:r>
          </w:p>
        </w:tc>
        <w:tc>
          <w:tcPr>
            <w:tcW w:w="2264" w:type="dxa"/>
          </w:tcPr>
          <w:p w14:paraId="72056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Проходит заводские испытания.</w:t>
            </w:r>
          </w:p>
        </w:tc>
      </w:tr>
      <w:tr w:rsidR="00DA227A" w:rsidRPr="00E93F40" w14:paraId="5B3FB220" w14:textId="77777777">
        <w:tc>
          <w:tcPr>
            <w:tcW w:w="1024" w:type="dxa"/>
          </w:tcPr>
          <w:p w14:paraId="1BBD19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858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A8E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E9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9709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539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97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4F8F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262E5A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383C88" w14:textId="77777777">
        <w:tc>
          <w:tcPr>
            <w:tcW w:w="1024" w:type="dxa"/>
          </w:tcPr>
          <w:p w14:paraId="35A16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М-22у</w:t>
            </w:r>
          </w:p>
        </w:tc>
        <w:tc>
          <w:tcPr>
            <w:tcW w:w="1024" w:type="dxa"/>
          </w:tcPr>
          <w:p w14:paraId="0BED71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2F340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79E6D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630 л.с.</w:t>
            </w:r>
          </w:p>
        </w:tc>
        <w:tc>
          <w:tcPr>
            <w:tcW w:w="1024" w:type="dxa"/>
          </w:tcPr>
          <w:p w14:paraId="2923D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420</w:t>
            </w:r>
          </w:p>
        </w:tc>
        <w:tc>
          <w:tcPr>
            <w:tcW w:w="1024" w:type="dxa"/>
          </w:tcPr>
          <w:p w14:paraId="5FC4E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024" w:type="dxa"/>
          </w:tcPr>
          <w:p w14:paraId="211B0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1024" w:type="dxa"/>
          </w:tcPr>
          <w:p w14:paraId="25733B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2264" w:type="dxa"/>
          </w:tcPr>
          <w:p w14:paraId="50B3BB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заканчивает сборку. 20 октября</w:t>
            </w:r>
          </w:p>
        </w:tc>
      </w:tr>
      <w:tr w:rsidR="009D12BD" w:rsidRPr="00E93F40" w14:paraId="01CA4BC0" w14:textId="77777777">
        <w:tc>
          <w:tcPr>
            <w:tcW w:w="1024" w:type="dxa"/>
          </w:tcPr>
          <w:p w14:paraId="7A76E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A6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6A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BBA4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94E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1AB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20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5E70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2264" w:type="dxa"/>
          </w:tcPr>
          <w:p w14:paraId="55142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встанет на заводские испытания.</w:t>
            </w:r>
          </w:p>
        </w:tc>
      </w:tr>
    </w:tbl>
    <w:p w14:paraId="48C8C0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3883"/>
      </w:tblGrid>
      <w:tr w:rsidR="00DA227A" w:rsidRPr="00E93F40" w14:paraId="612E2695" w14:textId="77777777">
        <w:tc>
          <w:tcPr>
            <w:tcW w:w="939" w:type="dxa"/>
          </w:tcPr>
          <w:p w14:paraId="58980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 самолетам (морским).</w:t>
            </w:r>
          </w:p>
        </w:tc>
        <w:tc>
          <w:tcPr>
            <w:tcW w:w="939" w:type="dxa"/>
          </w:tcPr>
          <w:p w14:paraId="5C114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425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A2F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F314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5DF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DE6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5225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2F462D" w14:textId="77777777">
        <w:tc>
          <w:tcPr>
            <w:tcW w:w="939" w:type="dxa"/>
          </w:tcPr>
          <w:p w14:paraId="428B1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939" w:type="dxa"/>
          </w:tcPr>
          <w:p w14:paraId="6E3B0D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w:t>
            </w:r>
          </w:p>
        </w:tc>
        <w:tc>
          <w:tcPr>
            <w:tcW w:w="939" w:type="dxa"/>
          </w:tcPr>
          <w:p w14:paraId="6A8F4D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w:t>
            </w:r>
          </w:p>
        </w:tc>
        <w:tc>
          <w:tcPr>
            <w:tcW w:w="939" w:type="dxa"/>
          </w:tcPr>
          <w:p w14:paraId="168D7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c>
          <w:tcPr>
            <w:tcW w:w="939" w:type="dxa"/>
          </w:tcPr>
          <w:p w14:paraId="4C190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939" w:type="dxa"/>
          </w:tcPr>
          <w:p w14:paraId="77C67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w:t>
            </w:r>
          </w:p>
        </w:tc>
        <w:tc>
          <w:tcPr>
            <w:tcW w:w="939" w:type="dxa"/>
          </w:tcPr>
          <w:p w14:paraId="1324A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w:t>
            </w:r>
          </w:p>
        </w:tc>
        <w:tc>
          <w:tcPr>
            <w:tcW w:w="3883" w:type="dxa"/>
          </w:tcPr>
          <w:p w14:paraId="00EF87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 октября 1932 года.</w:t>
            </w:r>
          </w:p>
        </w:tc>
      </w:tr>
      <w:tr w:rsidR="00DA227A" w:rsidRPr="00E93F40" w14:paraId="18A4E331" w14:textId="77777777">
        <w:tc>
          <w:tcPr>
            <w:tcW w:w="939" w:type="dxa"/>
          </w:tcPr>
          <w:p w14:paraId="30A3D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w:t>
            </w:r>
          </w:p>
        </w:tc>
        <w:tc>
          <w:tcPr>
            <w:tcW w:w="939" w:type="dxa"/>
          </w:tcPr>
          <w:p w14:paraId="1789D8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w:t>
            </w:r>
          </w:p>
        </w:tc>
        <w:tc>
          <w:tcPr>
            <w:tcW w:w="939" w:type="dxa"/>
          </w:tcPr>
          <w:p w14:paraId="1E54AA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939" w:type="dxa"/>
          </w:tcPr>
          <w:p w14:paraId="3123D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8A05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115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w:t>
            </w:r>
          </w:p>
        </w:tc>
        <w:tc>
          <w:tcPr>
            <w:tcW w:w="939" w:type="dxa"/>
          </w:tcPr>
          <w:p w14:paraId="558DF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w:t>
            </w:r>
          </w:p>
        </w:tc>
        <w:tc>
          <w:tcPr>
            <w:tcW w:w="3883" w:type="dxa"/>
          </w:tcPr>
          <w:p w14:paraId="41453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D9D74B" w14:textId="77777777">
        <w:tc>
          <w:tcPr>
            <w:tcW w:w="939" w:type="dxa"/>
          </w:tcPr>
          <w:p w14:paraId="08AC7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EF3C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ECE4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 на</w:t>
            </w:r>
          </w:p>
        </w:tc>
        <w:tc>
          <w:tcPr>
            <w:tcW w:w="939" w:type="dxa"/>
          </w:tcPr>
          <w:p w14:paraId="3208E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211A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0C9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4D61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w:t>
            </w:r>
          </w:p>
        </w:tc>
        <w:tc>
          <w:tcPr>
            <w:tcW w:w="3883" w:type="dxa"/>
          </w:tcPr>
          <w:p w14:paraId="7CAB3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A4F272" w14:textId="77777777">
        <w:tc>
          <w:tcPr>
            <w:tcW w:w="939" w:type="dxa"/>
          </w:tcPr>
          <w:p w14:paraId="73253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2A3A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0822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высоте</w:t>
            </w:r>
          </w:p>
        </w:tc>
        <w:tc>
          <w:tcPr>
            <w:tcW w:w="939" w:type="dxa"/>
          </w:tcPr>
          <w:p w14:paraId="4C30BA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803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F1B3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90D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3883" w:type="dxa"/>
          </w:tcPr>
          <w:p w14:paraId="6D3DB0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8C2528" w14:textId="77777777">
        <w:tc>
          <w:tcPr>
            <w:tcW w:w="939" w:type="dxa"/>
          </w:tcPr>
          <w:p w14:paraId="3CF605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МДР3-4М17</w:t>
            </w:r>
          </w:p>
        </w:tc>
        <w:tc>
          <w:tcPr>
            <w:tcW w:w="939" w:type="dxa"/>
          </w:tcPr>
          <w:p w14:paraId="452B18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939" w:type="dxa"/>
          </w:tcPr>
          <w:p w14:paraId="21648D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939" w:type="dxa"/>
          </w:tcPr>
          <w:p w14:paraId="29A5A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4500-5000</w:t>
            </w:r>
          </w:p>
        </w:tc>
        <w:tc>
          <w:tcPr>
            <w:tcW w:w="939" w:type="dxa"/>
          </w:tcPr>
          <w:p w14:paraId="524B7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w:t>
            </w:r>
          </w:p>
        </w:tc>
        <w:tc>
          <w:tcPr>
            <w:tcW w:w="939" w:type="dxa"/>
          </w:tcPr>
          <w:p w14:paraId="33994A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1000-1200</w:t>
            </w:r>
          </w:p>
        </w:tc>
        <w:tc>
          <w:tcPr>
            <w:tcW w:w="939" w:type="dxa"/>
          </w:tcPr>
          <w:p w14:paraId="1ADBAC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Pr>
          <w:p w14:paraId="787D49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Предложение НИИ ВВС о доводке и </w:t>
            </w:r>
          </w:p>
        </w:tc>
      </w:tr>
      <w:tr w:rsidR="00DA227A" w:rsidRPr="00E93F40" w14:paraId="0550E146" w14:textId="77777777">
        <w:tc>
          <w:tcPr>
            <w:tcW w:w="939" w:type="dxa"/>
          </w:tcPr>
          <w:p w14:paraId="107A5C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48F1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266AB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66F7C1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B67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автопуш.</w:t>
            </w:r>
          </w:p>
        </w:tc>
        <w:tc>
          <w:tcPr>
            <w:tcW w:w="939" w:type="dxa"/>
          </w:tcPr>
          <w:p w14:paraId="78827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35CD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3883" w:type="dxa"/>
          </w:tcPr>
          <w:p w14:paraId="0E1CE3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переделке самолета экземпляра, прошедш.</w:t>
            </w:r>
          </w:p>
        </w:tc>
      </w:tr>
      <w:tr w:rsidR="00DA227A" w:rsidRPr="00E93F40" w14:paraId="017E6BCD" w14:textId="77777777">
        <w:tc>
          <w:tcPr>
            <w:tcW w:w="939" w:type="dxa"/>
          </w:tcPr>
          <w:p w14:paraId="0ADEF5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736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8E29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D3D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9F5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кг бомб</w:t>
            </w:r>
          </w:p>
        </w:tc>
        <w:tc>
          <w:tcPr>
            <w:tcW w:w="939" w:type="dxa"/>
          </w:tcPr>
          <w:p w14:paraId="774A31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613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вторич.</w:t>
            </w:r>
          </w:p>
        </w:tc>
        <w:tc>
          <w:tcPr>
            <w:tcW w:w="3883" w:type="dxa"/>
          </w:tcPr>
          <w:p w14:paraId="4FEAE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 командованием ВВС не разрешено в</w:t>
            </w:r>
          </w:p>
        </w:tc>
      </w:tr>
      <w:tr w:rsidR="00DA227A" w:rsidRPr="00E93F40" w14:paraId="2E8CD2BF" w14:textId="77777777">
        <w:tc>
          <w:tcPr>
            <w:tcW w:w="939" w:type="dxa"/>
          </w:tcPr>
          <w:p w14:paraId="69FA3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FAD6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FFAA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4820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098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645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37A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вариант</w:t>
            </w:r>
          </w:p>
        </w:tc>
        <w:tc>
          <w:tcPr>
            <w:tcW w:w="3883" w:type="dxa"/>
          </w:tcPr>
          <w:p w14:paraId="07AA6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окончательной форме. Постановление</w:t>
            </w:r>
          </w:p>
        </w:tc>
      </w:tr>
      <w:tr w:rsidR="00DA227A" w:rsidRPr="00E93F40" w14:paraId="1DFB7ED6" w14:textId="77777777">
        <w:tc>
          <w:tcPr>
            <w:tcW w:w="939" w:type="dxa"/>
          </w:tcPr>
          <w:p w14:paraId="6B7DA3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E351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B4C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C6A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A346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CFE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017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не</w:t>
            </w:r>
          </w:p>
        </w:tc>
        <w:tc>
          <w:tcPr>
            <w:tcW w:w="3883" w:type="dxa"/>
          </w:tcPr>
          <w:p w14:paraId="4D2BA2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Комиссии обороны от 4 июля 1932 года</w:t>
            </w:r>
          </w:p>
        </w:tc>
      </w:tr>
      <w:tr w:rsidR="00DA227A" w:rsidRPr="00E93F40" w14:paraId="729E4EEF" w14:textId="77777777">
        <w:tc>
          <w:tcPr>
            <w:tcW w:w="939" w:type="dxa"/>
          </w:tcPr>
          <w:p w14:paraId="543DA3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B8E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1BA2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2E85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7E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75E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631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w:t>
            </w:r>
          </w:p>
        </w:tc>
        <w:tc>
          <w:tcPr>
            <w:tcW w:w="3883" w:type="dxa"/>
          </w:tcPr>
          <w:p w14:paraId="1FD96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 строительства на 1932-34 г.г.</w:t>
            </w:r>
          </w:p>
        </w:tc>
      </w:tr>
      <w:tr w:rsidR="00DA227A" w:rsidRPr="00E93F40" w14:paraId="6FFAB088" w14:textId="77777777">
        <w:tc>
          <w:tcPr>
            <w:tcW w:w="939" w:type="dxa"/>
          </w:tcPr>
          <w:p w14:paraId="3E472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778B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3DF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239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3A79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49D7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E5C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B2CC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этот самолет значится под маркой МДР3</w:t>
            </w:r>
          </w:p>
        </w:tc>
      </w:tr>
      <w:tr w:rsidR="00DA227A" w:rsidRPr="00E93F40" w14:paraId="0504C5EF" w14:textId="77777777">
        <w:tc>
          <w:tcPr>
            <w:tcW w:w="939" w:type="dxa"/>
          </w:tcPr>
          <w:p w14:paraId="7F534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776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3F1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CA0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A1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07C0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5F4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831AE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бис с 3-мя моторами М34. Летно-тактич.</w:t>
            </w:r>
          </w:p>
        </w:tc>
      </w:tr>
      <w:tr w:rsidR="00DA227A" w:rsidRPr="00E93F40" w14:paraId="5C6371FA" w14:textId="77777777">
        <w:tc>
          <w:tcPr>
            <w:tcW w:w="939" w:type="dxa"/>
          </w:tcPr>
          <w:p w14:paraId="232A0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AE26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F7ED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57EF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844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2604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9A4B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04AB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устанавливаются РВС и согласовыв.</w:t>
            </w:r>
          </w:p>
        </w:tc>
      </w:tr>
      <w:tr w:rsidR="00DA227A" w:rsidRPr="00E93F40" w14:paraId="33C39B61" w14:textId="77777777">
        <w:tc>
          <w:tcPr>
            <w:tcW w:w="939" w:type="dxa"/>
          </w:tcPr>
          <w:p w14:paraId="6E1867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467D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3B0B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2E02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1C6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315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59A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DC2C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Глававиапромом.</w:t>
            </w:r>
          </w:p>
        </w:tc>
      </w:tr>
      <w:tr w:rsidR="00DA227A" w:rsidRPr="00E93F40" w14:paraId="17A5C4C2" w14:textId="77777777">
        <w:tc>
          <w:tcPr>
            <w:tcW w:w="939" w:type="dxa"/>
          </w:tcPr>
          <w:p w14:paraId="722CB7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8771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1EEA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24A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C12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76F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5C6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DC41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ЦКБ ЦАГИ этот самолет был предложен во</w:t>
            </w:r>
          </w:p>
        </w:tc>
      </w:tr>
      <w:tr w:rsidR="00DA227A" w:rsidRPr="00E93F40" w14:paraId="0B4E9E60" w14:textId="77777777">
        <w:tc>
          <w:tcPr>
            <w:tcW w:w="939" w:type="dxa"/>
          </w:tcPr>
          <w:p w14:paraId="4D7A04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0F0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3DAD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463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3201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68A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1C26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80C4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изменение самолета МДР3-4М17. Предвар.</w:t>
            </w:r>
          </w:p>
        </w:tc>
      </w:tr>
      <w:tr w:rsidR="00DA227A" w:rsidRPr="00E93F40" w14:paraId="01B6ACD0" w14:textId="77777777">
        <w:tc>
          <w:tcPr>
            <w:tcW w:w="939" w:type="dxa"/>
          </w:tcPr>
          <w:p w14:paraId="621E8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B4C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39F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E94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542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054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B35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7EFB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 самолета МДР3бис-3М34 по летно</w:t>
            </w:r>
          </w:p>
        </w:tc>
      </w:tr>
      <w:tr w:rsidR="00DA227A" w:rsidRPr="00E93F40" w14:paraId="00F25C41" w14:textId="77777777">
        <w:tc>
          <w:tcPr>
            <w:tcW w:w="939" w:type="dxa"/>
          </w:tcPr>
          <w:p w14:paraId="58105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AC7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78B5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C7F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6D4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A9AF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AF9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6ED1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 данным не превосходят МДР3-4М17.</w:t>
            </w:r>
          </w:p>
        </w:tc>
      </w:tr>
      <w:tr w:rsidR="00DA227A" w:rsidRPr="00E93F40" w14:paraId="6AAD9B0A" w14:textId="77777777">
        <w:tc>
          <w:tcPr>
            <w:tcW w:w="939" w:type="dxa"/>
          </w:tcPr>
          <w:p w14:paraId="6CC9D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AC9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4DE9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FD9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5F5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D13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DAC9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969C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Конструктивно самолет видоизменяется</w:t>
            </w:r>
          </w:p>
        </w:tc>
      </w:tr>
      <w:tr w:rsidR="00DA227A" w:rsidRPr="00E93F40" w14:paraId="5ADE1FC5" w14:textId="77777777">
        <w:tc>
          <w:tcPr>
            <w:tcW w:w="939" w:type="dxa"/>
          </w:tcPr>
          <w:p w14:paraId="2121C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E0D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EE8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934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44B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4F6B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CED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40EE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почти целиком.</w:t>
            </w:r>
          </w:p>
        </w:tc>
      </w:tr>
      <w:tr w:rsidR="00DA227A" w:rsidRPr="00E93F40" w14:paraId="7DC4EF18" w14:textId="77777777">
        <w:tc>
          <w:tcPr>
            <w:tcW w:w="939" w:type="dxa"/>
          </w:tcPr>
          <w:p w14:paraId="1675B3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626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BFAC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403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3081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E5B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4B06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24C8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Предложено ЦАГИ дать расчет на самолет с</w:t>
            </w:r>
          </w:p>
        </w:tc>
      </w:tr>
      <w:tr w:rsidR="00DA227A" w:rsidRPr="00E93F40" w14:paraId="21B4BD69" w14:textId="77777777">
        <w:tc>
          <w:tcPr>
            <w:tcW w:w="939" w:type="dxa"/>
          </w:tcPr>
          <w:p w14:paraId="071572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E282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B872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1FF3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D714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3DF1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580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5031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4-мя моторами М34.</w:t>
            </w:r>
          </w:p>
        </w:tc>
      </w:tr>
      <w:tr w:rsidR="00DA227A" w:rsidRPr="00E93F40" w14:paraId="077C2F11" w14:textId="77777777">
        <w:tc>
          <w:tcPr>
            <w:tcW w:w="939" w:type="dxa"/>
          </w:tcPr>
          <w:p w14:paraId="2DD33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AE6C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734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759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F4C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885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035A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8BE4C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постановлении Комиссии обороны не</w:t>
            </w:r>
          </w:p>
        </w:tc>
      </w:tr>
      <w:tr w:rsidR="00DA227A" w:rsidRPr="00E93F40" w14:paraId="1B6B0B83" w14:textId="77777777">
        <w:tc>
          <w:tcPr>
            <w:tcW w:w="939" w:type="dxa"/>
          </w:tcPr>
          <w:p w14:paraId="42264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EA7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14E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F758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1BB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E846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EE1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2233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указаны сроки предъявления на госиспыт.</w:t>
            </w:r>
          </w:p>
        </w:tc>
      </w:tr>
      <w:tr w:rsidR="00DA227A" w:rsidRPr="00E93F40" w14:paraId="658DA4D1" w14:textId="77777777">
        <w:tc>
          <w:tcPr>
            <w:tcW w:w="939" w:type="dxa"/>
          </w:tcPr>
          <w:p w14:paraId="74A56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B309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80F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A6A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7F4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178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08D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4A33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Украинцев.</w:t>
            </w:r>
          </w:p>
        </w:tc>
      </w:tr>
      <w:tr w:rsidR="00DA227A" w:rsidRPr="00E93F40" w14:paraId="139EFD67" w14:textId="77777777">
        <w:tc>
          <w:tcPr>
            <w:tcW w:w="939" w:type="dxa"/>
          </w:tcPr>
          <w:p w14:paraId="05F8C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МК1-4М34</w:t>
            </w:r>
          </w:p>
        </w:tc>
        <w:tc>
          <w:tcPr>
            <w:tcW w:w="939" w:type="dxa"/>
          </w:tcPr>
          <w:p w14:paraId="354018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215/4000</w:t>
            </w:r>
          </w:p>
        </w:tc>
        <w:tc>
          <w:tcPr>
            <w:tcW w:w="939" w:type="dxa"/>
          </w:tcPr>
          <w:p w14:paraId="76FC18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404C3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46A23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w:t>
            </w:r>
          </w:p>
        </w:tc>
        <w:tc>
          <w:tcPr>
            <w:tcW w:w="939" w:type="dxa"/>
          </w:tcPr>
          <w:p w14:paraId="58FD72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при</w:t>
            </w:r>
          </w:p>
        </w:tc>
        <w:tc>
          <w:tcPr>
            <w:tcW w:w="939" w:type="dxa"/>
          </w:tcPr>
          <w:p w14:paraId="0E21CC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w:t>
            </w:r>
          </w:p>
        </w:tc>
        <w:tc>
          <w:tcPr>
            <w:tcW w:w="3883" w:type="dxa"/>
          </w:tcPr>
          <w:p w14:paraId="41BD3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Перелома в работе ЦКБ ЦАГИ об ускорении</w:t>
            </w:r>
          </w:p>
        </w:tc>
      </w:tr>
      <w:tr w:rsidR="00DA227A" w:rsidRPr="00E93F40" w14:paraId="04987431" w14:textId="77777777">
        <w:tc>
          <w:tcPr>
            <w:tcW w:w="939" w:type="dxa"/>
          </w:tcPr>
          <w:p w14:paraId="556C22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781A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A449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A64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D21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939" w:type="dxa"/>
          </w:tcPr>
          <w:p w14:paraId="36CE54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w:t>
            </w:r>
          </w:p>
        </w:tc>
        <w:tc>
          <w:tcPr>
            <w:tcW w:w="939" w:type="dxa"/>
          </w:tcPr>
          <w:p w14:paraId="2492B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2A867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сроков проектирования и постройки с-та</w:t>
            </w:r>
          </w:p>
        </w:tc>
      </w:tr>
      <w:tr w:rsidR="00DA227A" w:rsidRPr="00E93F40" w14:paraId="26F4E6AF" w14:textId="77777777">
        <w:tc>
          <w:tcPr>
            <w:tcW w:w="939" w:type="dxa"/>
          </w:tcPr>
          <w:p w14:paraId="67AE1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FCE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B539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6ED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FDCD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w:t>
            </w:r>
          </w:p>
        </w:tc>
        <w:tc>
          <w:tcPr>
            <w:tcW w:w="939" w:type="dxa"/>
          </w:tcPr>
          <w:p w14:paraId="09B4FB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939" w:type="dxa"/>
          </w:tcPr>
          <w:p w14:paraId="7F1CB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вторич.</w:t>
            </w:r>
          </w:p>
        </w:tc>
        <w:tc>
          <w:tcPr>
            <w:tcW w:w="3883" w:type="dxa"/>
          </w:tcPr>
          <w:p w14:paraId="0B751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сего времени нет. Расчет в ЦАГИ</w:t>
            </w:r>
          </w:p>
        </w:tc>
      </w:tr>
      <w:tr w:rsidR="00DA227A" w:rsidRPr="00E93F40" w14:paraId="203541FA" w14:textId="77777777">
        <w:tc>
          <w:tcPr>
            <w:tcW w:w="939" w:type="dxa"/>
          </w:tcPr>
          <w:p w14:paraId="1C429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8AE4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6AE9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8884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4E62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снаряжен.</w:t>
            </w:r>
          </w:p>
        </w:tc>
        <w:tc>
          <w:tcPr>
            <w:tcW w:w="939" w:type="dxa"/>
          </w:tcPr>
          <w:p w14:paraId="721C4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 км</w:t>
            </w:r>
          </w:p>
        </w:tc>
        <w:tc>
          <w:tcPr>
            <w:tcW w:w="939" w:type="dxa"/>
          </w:tcPr>
          <w:p w14:paraId="42791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3883" w:type="dxa"/>
          </w:tcPr>
          <w:p w14:paraId="3A1A5B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ведется на 6 моторов М34. Необходимо:</w:t>
            </w:r>
          </w:p>
        </w:tc>
      </w:tr>
      <w:tr w:rsidR="00DA227A" w:rsidRPr="00E93F40" w14:paraId="026FBC8A" w14:textId="77777777">
        <w:tc>
          <w:tcPr>
            <w:tcW w:w="939" w:type="dxa"/>
          </w:tcPr>
          <w:p w14:paraId="3630CC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2976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C5E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EF0E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132A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оборуд.</w:t>
            </w:r>
          </w:p>
        </w:tc>
        <w:tc>
          <w:tcPr>
            <w:tcW w:w="939" w:type="dxa"/>
          </w:tcPr>
          <w:p w14:paraId="794B17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D649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Pr>
          <w:p w14:paraId="47D99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 работе ЦАГИ считать этот самолет</w:t>
            </w:r>
          </w:p>
        </w:tc>
      </w:tr>
      <w:tr w:rsidR="00DA227A" w:rsidRPr="00E93F40" w14:paraId="61A9820E" w14:textId="77777777">
        <w:tc>
          <w:tcPr>
            <w:tcW w:w="939" w:type="dxa"/>
          </w:tcPr>
          <w:p w14:paraId="13A0B0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AF8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A752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16C0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F1CF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1850 кг,</w:t>
            </w:r>
          </w:p>
        </w:tc>
        <w:tc>
          <w:tcPr>
            <w:tcW w:w="939" w:type="dxa"/>
          </w:tcPr>
          <w:p w14:paraId="0ABAE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1209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пост.</w:t>
            </w:r>
          </w:p>
        </w:tc>
        <w:tc>
          <w:tcPr>
            <w:tcW w:w="3883" w:type="dxa"/>
          </w:tcPr>
          <w:p w14:paraId="0F058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ударным объектом.</w:t>
            </w:r>
          </w:p>
        </w:tc>
      </w:tr>
      <w:tr w:rsidR="00DA227A" w:rsidRPr="00E93F40" w14:paraId="3BE8FFB8" w14:textId="77777777">
        <w:tc>
          <w:tcPr>
            <w:tcW w:w="939" w:type="dxa"/>
          </w:tcPr>
          <w:p w14:paraId="3EEF3E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307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DFE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D952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4FB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огн.</w:t>
            </w:r>
          </w:p>
        </w:tc>
        <w:tc>
          <w:tcPr>
            <w:tcW w:w="939" w:type="dxa"/>
          </w:tcPr>
          <w:p w14:paraId="76031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C0E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 Об.</w:t>
            </w:r>
          </w:p>
        </w:tc>
        <w:tc>
          <w:tcPr>
            <w:tcW w:w="3883" w:type="dxa"/>
          </w:tcPr>
          <w:p w14:paraId="34A51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Требовать от ЦАГИ предъявления</w:t>
            </w:r>
          </w:p>
        </w:tc>
      </w:tr>
      <w:tr w:rsidR="00DA227A" w:rsidRPr="00E93F40" w14:paraId="05C141F4" w14:textId="77777777">
        <w:tc>
          <w:tcPr>
            <w:tcW w:w="939" w:type="dxa"/>
          </w:tcPr>
          <w:p w14:paraId="74A70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7EE4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1DF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BD27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A307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точек.</w:t>
            </w:r>
          </w:p>
        </w:tc>
        <w:tc>
          <w:tcPr>
            <w:tcW w:w="939" w:type="dxa"/>
          </w:tcPr>
          <w:p w14:paraId="3A68F9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4B4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C424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макета не позднее 1 ноября с.г.</w:t>
            </w:r>
          </w:p>
        </w:tc>
      </w:tr>
      <w:tr w:rsidR="00DA227A" w:rsidRPr="00E93F40" w14:paraId="34E3A2A2" w14:textId="77777777">
        <w:tc>
          <w:tcPr>
            <w:tcW w:w="939" w:type="dxa"/>
          </w:tcPr>
          <w:p w14:paraId="620BD5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160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34F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FEC2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80E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w:t>
            </w:r>
          </w:p>
        </w:tc>
        <w:tc>
          <w:tcPr>
            <w:tcW w:w="939" w:type="dxa"/>
          </w:tcPr>
          <w:p w14:paraId="244CC2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D5A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3649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Приблизить срок предъявления на госисп.</w:t>
            </w:r>
          </w:p>
        </w:tc>
      </w:tr>
      <w:tr w:rsidR="00DA227A" w:rsidRPr="00E93F40" w14:paraId="5C376E4E" w14:textId="77777777">
        <w:tc>
          <w:tcPr>
            <w:tcW w:w="939" w:type="dxa"/>
          </w:tcPr>
          <w:p w14:paraId="1BE2F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D7F4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BACB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18F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217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бомбовая </w:t>
            </w:r>
          </w:p>
        </w:tc>
        <w:tc>
          <w:tcPr>
            <w:tcW w:w="939" w:type="dxa"/>
          </w:tcPr>
          <w:p w14:paraId="13040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9C1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8486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октября 1933 года.</w:t>
            </w:r>
          </w:p>
        </w:tc>
      </w:tr>
      <w:tr w:rsidR="00DA227A" w:rsidRPr="00E93F40" w14:paraId="41DFA196" w14:textId="77777777">
        <w:tc>
          <w:tcPr>
            <w:tcW w:w="939" w:type="dxa"/>
          </w:tcPr>
          <w:p w14:paraId="558F98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D58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8C0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7E1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1DD6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 2,5 т</w:t>
            </w:r>
          </w:p>
        </w:tc>
        <w:tc>
          <w:tcPr>
            <w:tcW w:w="939" w:type="dxa"/>
          </w:tcPr>
          <w:p w14:paraId="5BAC51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C30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1CE49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нач. отдела Ганулич.</w:t>
            </w:r>
          </w:p>
        </w:tc>
      </w:tr>
      <w:tr w:rsidR="00DA227A" w:rsidRPr="00E93F40" w14:paraId="0DDB4AE4" w14:textId="77777777">
        <w:tc>
          <w:tcPr>
            <w:tcW w:w="939" w:type="dxa"/>
          </w:tcPr>
          <w:p w14:paraId="3B46C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МТБ3-4М34</w:t>
            </w:r>
          </w:p>
        </w:tc>
        <w:tc>
          <w:tcPr>
            <w:tcW w:w="939" w:type="dxa"/>
          </w:tcPr>
          <w:p w14:paraId="2532E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250/5000</w:t>
            </w:r>
          </w:p>
        </w:tc>
        <w:tc>
          <w:tcPr>
            <w:tcW w:w="939" w:type="dxa"/>
          </w:tcPr>
          <w:p w14:paraId="2DF6DB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7256A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222BC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w:t>
            </w:r>
          </w:p>
        </w:tc>
        <w:tc>
          <w:tcPr>
            <w:tcW w:w="939" w:type="dxa"/>
          </w:tcPr>
          <w:p w14:paraId="09B3C1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 км</w:t>
            </w:r>
          </w:p>
        </w:tc>
        <w:tc>
          <w:tcPr>
            <w:tcW w:w="939" w:type="dxa"/>
          </w:tcPr>
          <w:p w14:paraId="50113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3883" w:type="dxa"/>
          </w:tcPr>
          <w:p w14:paraId="3ED85F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значится в прежних отчетах, как</w:t>
            </w:r>
          </w:p>
        </w:tc>
      </w:tr>
      <w:tr w:rsidR="00DA227A" w:rsidRPr="00E93F40" w14:paraId="023E9739" w14:textId="77777777">
        <w:tc>
          <w:tcPr>
            <w:tcW w:w="939" w:type="dxa"/>
          </w:tcPr>
          <w:p w14:paraId="30D4B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или 2 М35</w:t>
            </w:r>
          </w:p>
        </w:tc>
        <w:tc>
          <w:tcPr>
            <w:tcW w:w="939" w:type="dxa"/>
          </w:tcPr>
          <w:p w14:paraId="6B1EF6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DC2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0EBD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809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пулем-ты</w:t>
            </w:r>
          </w:p>
        </w:tc>
        <w:tc>
          <w:tcPr>
            <w:tcW w:w="939" w:type="dxa"/>
          </w:tcPr>
          <w:p w14:paraId="6BD83C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A55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Pr>
          <w:p w14:paraId="1F1EF8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включенный в план строительства по</w:t>
            </w:r>
          </w:p>
        </w:tc>
      </w:tr>
      <w:tr w:rsidR="00DA227A" w:rsidRPr="00E93F40" w14:paraId="304ACC80" w14:textId="77777777">
        <w:tc>
          <w:tcPr>
            <w:tcW w:w="939" w:type="dxa"/>
          </w:tcPr>
          <w:p w14:paraId="363C2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429E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D58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BBA7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1297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462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4A8A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w:t>
            </w:r>
          </w:p>
        </w:tc>
        <w:tc>
          <w:tcPr>
            <w:tcW w:w="3883" w:type="dxa"/>
          </w:tcPr>
          <w:p w14:paraId="18B69A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проекту плана N 2. В плане, утвержденном</w:t>
            </w:r>
          </w:p>
        </w:tc>
      </w:tr>
      <w:tr w:rsidR="00DA227A" w:rsidRPr="00E93F40" w14:paraId="214EEC4A" w14:textId="77777777">
        <w:tc>
          <w:tcPr>
            <w:tcW w:w="939" w:type="dxa"/>
          </w:tcPr>
          <w:p w14:paraId="40941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6BB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4BA9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BFA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502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435E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825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w:t>
            </w:r>
          </w:p>
        </w:tc>
        <w:tc>
          <w:tcPr>
            <w:tcW w:w="3883" w:type="dxa"/>
          </w:tcPr>
          <w:p w14:paraId="49501B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 Обороны от 4 июля с.г. этот с-т</w:t>
            </w:r>
          </w:p>
        </w:tc>
      </w:tr>
      <w:tr w:rsidR="00DA227A" w:rsidRPr="00E93F40" w14:paraId="6247BB72" w14:textId="77777777">
        <w:tc>
          <w:tcPr>
            <w:tcW w:w="939" w:type="dxa"/>
          </w:tcPr>
          <w:p w14:paraId="6BCBA6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CDD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D67B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52B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BC01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9EB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23FA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 2</w:t>
            </w:r>
          </w:p>
        </w:tc>
        <w:tc>
          <w:tcPr>
            <w:tcW w:w="3883" w:type="dxa"/>
          </w:tcPr>
          <w:p w14:paraId="314C9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стоит.</w:t>
            </w:r>
          </w:p>
        </w:tc>
      </w:tr>
      <w:tr w:rsidR="00DA227A" w:rsidRPr="00E93F40" w14:paraId="6AC9D703" w14:textId="77777777">
        <w:tc>
          <w:tcPr>
            <w:tcW w:w="939" w:type="dxa"/>
          </w:tcPr>
          <w:p w14:paraId="74EEF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634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6D9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D8FB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2F7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EC8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473D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w:t>
            </w:r>
          </w:p>
        </w:tc>
        <w:tc>
          <w:tcPr>
            <w:tcW w:w="3883" w:type="dxa"/>
          </w:tcPr>
          <w:p w14:paraId="6F1745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22271D" w14:textId="77777777">
        <w:tc>
          <w:tcPr>
            <w:tcW w:w="939" w:type="dxa"/>
          </w:tcPr>
          <w:p w14:paraId="5C4A71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F796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5182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045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9D98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E6A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64C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 г.</w:t>
            </w:r>
          </w:p>
        </w:tc>
        <w:tc>
          <w:tcPr>
            <w:tcW w:w="3883" w:type="dxa"/>
          </w:tcPr>
          <w:p w14:paraId="137406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0D95C2" w14:textId="77777777">
        <w:tc>
          <w:tcPr>
            <w:tcW w:w="939" w:type="dxa"/>
          </w:tcPr>
          <w:p w14:paraId="6A436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МБР5</w:t>
            </w:r>
          </w:p>
        </w:tc>
        <w:tc>
          <w:tcPr>
            <w:tcW w:w="939" w:type="dxa"/>
          </w:tcPr>
          <w:p w14:paraId="37DBD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Pr>
          <w:p w14:paraId="06ED82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60A8EE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39" w:type="dxa"/>
          </w:tcPr>
          <w:p w14:paraId="4BC882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w:t>
            </w:r>
          </w:p>
        </w:tc>
        <w:tc>
          <w:tcPr>
            <w:tcW w:w="939" w:type="dxa"/>
          </w:tcPr>
          <w:p w14:paraId="66501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при</w:t>
            </w:r>
          </w:p>
        </w:tc>
        <w:tc>
          <w:tcPr>
            <w:tcW w:w="939" w:type="dxa"/>
          </w:tcPr>
          <w:p w14:paraId="2A5187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w:t>
            </w:r>
          </w:p>
        </w:tc>
        <w:tc>
          <w:tcPr>
            <w:tcW w:w="3883" w:type="dxa"/>
          </w:tcPr>
          <w:p w14:paraId="14BD8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Самолет-амфибия включен в план стр-ва,</w:t>
            </w:r>
          </w:p>
        </w:tc>
      </w:tr>
      <w:tr w:rsidR="00DA227A" w:rsidRPr="00E93F40" w14:paraId="7AC2139C" w14:textId="77777777">
        <w:tc>
          <w:tcPr>
            <w:tcW w:w="939" w:type="dxa"/>
          </w:tcPr>
          <w:p w14:paraId="12371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амфибия</w:t>
            </w:r>
          </w:p>
        </w:tc>
        <w:tc>
          <w:tcPr>
            <w:tcW w:w="939" w:type="dxa"/>
          </w:tcPr>
          <w:p w14:paraId="66B2FA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4D7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D574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DF1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пулем-ты</w:t>
            </w:r>
          </w:p>
        </w:tc>
        <w:tc>
          <w:tcPr>
            <w:tcW w:w="939" w:type="dxa"/>
          </w:tcPr>
          <w:p w14:paraId="69B09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w:t>
            </w:r>
          </w:p>
        </w:tc>
        <w:tc>
          <w:tcPr>
            <w:tcW w:w="939" w:type="dxa"/>
          </w:tcPr>
          <w:p w14:paraId="36746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Pr>
          <w:p w14:paraId="2A7C3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утвержденный Комис. Обороны от 4 июля </w:t>
            </w:r>
          </w:p>
        </w:tc>
      </w:tr>
      <w:tr w:rsidR="00DA227A" w:rsidRPr="00E93F40" w14:paraId="01F7C2FD" w14:textId="77777777">
        <w:tc>
          <w:tcPr>
            <w:tcW w:w="939" w:type="dxa"/>
          </w:tcPr>
          <w:p w14:paraId="02773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EB32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EEF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1D51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C8D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D010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939" w:type="dxa"/>
          </w:tcPr>
          <w:p w14:paraId="7C25D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1B40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с.г. Несмотря на постановление Комис.</w:t>
            </w:r>
          </w:p>
        </w:tc>
      </w:tr>
      <w:tr w:rsidR="00DA227A" w:rsidRPr="00E93F40" w14:paraId="1B4090B4" w14:textId="77777777">
        <w:tc>
          <w:tcPr>
            <w:tcW w:w="939" w:type="dxa"/>
          </w:tcPr>
          <w:p w14:paraId="19000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9FC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3E22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B0B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25A4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3007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8ED2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B327F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Обороны НИИ ГУГВФ проектирование и</w:t>
            </w:r>
          </w:p>
        </w:tc>
      </w:tr>
      <w:tr w:rsidR="00DA227A" w:rsidRPr="00E93F40" w14:paraId="4734C3B1" w14:textId="77777777">
        <w:tc>
          <w:tcPr>
            <w:tcW w:w="939" w:type="dxa"/>
          </w:tcPr>
          <w:p w14:paraId="16FC1C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E64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E5C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51C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909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040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F565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B3D3C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постройку этого самолета на себя не</w:t>
            </w:r>
          </w:p>
        </w:tc>
      </w:tr>
      <w:tr w:rsidR="00DA227A" w:rsidRPr="00E93F40" w14:paraId="479DA304" w14:textId="77777777">
        <w:tc>
          <w:tcPr>
            <w:tcW w:w="939" w:type="dxa"/>
          </w:tcPr>
          <w:p w14:paraId="4E442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8E8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33A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81B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077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9137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00E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1355F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берет. Необходимо проектирование и </w:t>
            </w:r>
          </w:p>
        </w:tc>
      </w:tr>
      <w:tr w:rsidR="00DA227A" w:rsidRPr="00E93F40" w14:paraId="51146C63" w14:textId="77777777">
        <w:tc>
          <w:tcPr>
            <w:tcW w:w="939" w:type="dxa"/>
          </w:tcPr>
          <w:p w14:paraId="0583B1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39E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04E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ECE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E66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3C84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B5E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29B7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постройку передать НИАИ ГУГВФ г. </w:t>
            </w:r>
          </w:p>
        </w:tc>
      </w:tr>
      <w:tr w:rsidR="00DA227A" w:rsidRPr="00E93F40" w14:paraId="1FAAB464" w14:textId="77777777">
        <w:tc>
          <w:tcPr>
            <w:tcW w:w="939" w:type="dxa"/>
          </w:tcPr>
          <w:p w14:paraId="178EE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E51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6D1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5CB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51F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8273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9D6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28D3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w:t>
            </w:r>
          </w:p>
        </w:tc>
      </w:tr>
      <w:tr w:rsidR="00DA227A" w:rsidRPr="00E93F40" w14:paraId="18BC78BD" w14:textId="77777777">
        <w:tc>
          <w:tcPr>
            <w:tcW w:w="939" w:type="dxa"/>
          </w:tcPr>
          <w:p w14:paraId="72D71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252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0BD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C6F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1654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AEAB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F27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0AA1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Красильников.</w:t>
            </w:r>
          </w:p>
        </w:tc>
      </w:tr>
      <w:tr w:rsidR="00DA227A" w:rsidRPr="00E93F40" w14:paraId="2C930F33" w14:textId="77777777">
        <w:tc>
          <w:tcPr>
            <w:tcW w:w="939" w:type="dxa"/>
          </w:tcPr>
          <w:p w14:paraId="1170A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 самолеты и модификации из сухопутных.</w:t>
            </w:r>
          </w:p>
        </w:tc>
        <w:tc>
          <w:tcPr>
            <w:tcW w:w="939" w:type="dxa"/>
          </w:tcPr>
          <w:p w14:paraId="2A948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5FC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ECF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0844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471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48F5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BFFBA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ECE203" w14:textId="77777777">
        <w:tc>
          <w:tcPr>
            <w:tcW w:w="939" w:type="dxa"/>
          </w:tcPr>
          <w:p w14:paraId="20BAE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МДР2-2М17</w:t>
            </w:r>
          </w:p>
        </w:tc>
        <w:tc>
          <w:tcPr>
            <w:tcW w:w="939" w:type="dxa"/>
          </w:tcPr>
          <w:p w14:paraId="3C607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178/2000</w:t>
            </w:r>
          </w:p>
        </w:tc>
        <w:tc>
          <w:tcPr>
            <w:tcW w:w="939" w:type="dxa"/>
          </w:tcPr>
          <w:p w14:paraId="5ACD8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39,5'/</w:t>
            </w:r>
          </w:p>
        </w:tc>
        <w:tc>
          <w:tcPr>
            <w:tcW w:w="939" w:type="dxa"/>
          </w:tcPr>
          <w:p w14:paraId="19C80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3300</w:t>
            </w:r>
          </w:p>
        </w:tc>
        <w:tc>
          <w:tcPr>
            <w:tcW w:w="939" w:type="dxa"/>
          </w:tcPr>
          <w:p w14:paraId="29BB4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пулем.</w:t>
            </w:r>
          </w:p>
        </w:tc>
        <w:tc>
          <w:tcPr>
            <w:tcW w:w="939" w:type="dxa"/>
          </w:tcPr>
          <w:p w14:paraId="11B040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c>
          <w:tcPr>
            <w:tcW w:w="939" w:type="dxa"/>
          </w:tcPr>
          <w:p w14:paraId="319999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w:t>
            </w:r>
          </w:p>
        </w:tc>
        <w:tc>
          <w:tcPr>
            <w:tcW w:w="3883" w:type="dxa"/>
          </w:tcPr>
          <w:p w14:paraId="6C97C1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 вр. не решен вопрос относительно</w:t>
            </w:r>
          </w:p>
        </w:tc>
      </w:tr>
      <w:tr w:rsidR="00DA227A" w:rsidRPr="00E93F40" w14:paraId="2C572AAE" w14:textId="77777777">
        <w:tc>
          <w:tcPr>
            <w:tcW w:w="939" w:type="dxa"/>
          </w:tcPr>
          <w:p w14:paraId="5EA74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1CC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9AC4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3079D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B03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огн.</w:t>
            </w:r>
          </w:p>
        </w:tc>
        <w:tc>
          <w:tcPr>
            <w:tcW w:w="939" w:type="dxa"/>
          </w:tcPr>
          <w:p w14:paraId="1EBBF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233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 г.</w:t>
            </w:r>
          </w:p>
        </w:tc>
        <w:tc>
          <w:tcPr>
            <w:tcW w:w="3883" w:type="dxa"/>
          </w:tcPr>
          <w:p w14:paraId="00007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серийной постройки. Опытный экземпляр</w:t>
            </w:r>
          </w:p>
        </w:tc>
      </w:tr>
      <w:tr w:rsidR="00DA227A" w:rsidRPr="00E93F40" w14:paraId="79A86E18" w14:textId="77777777">
        <w:tc>
          <w:tcPr>
            <w:tcW w:w="939" w:type="dxa"/>
          </w:tcPr>
          <w:p w14:paraId="270D11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74B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B017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8E8B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9856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точки)</w:t>
            </w:r>
          </w:p>
        </w:tc>
        <w:tc>
          <w:tcPr>
            <w:tcW w:w="939" w:type="dxa"/>
          </w:tcPr>
          <w:p w14:paraId="3B2B3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104B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3226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 в настоящее время находится в </w:t>
            </w:r>
          </w:p>
        </w:tc>
      </w:tr>
      <w:tr w:rsidR="00DA227A" w:rsidRPr="00E93F40" w14:paraId="6A4481B3" w14:textId="77777777">
        <w:tc>
          <w:tcPr>
            <w:tcW w:w="939" w:type="dxa"/>
          </w:tcPr>
          <w:p w14:paraId="4D949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D41E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A4E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0D00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EA88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w:t>
            </w:r>
          </w:p>
        </w:tc>
        <w:tc>
          <w:tcPr>
            <w:tcW w:w="939" w:type="dxa"/>
          </w:tcPr>
          <w:p w14:paraId="56704F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A5C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D0C4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Севастополе на 45-м заводе. После пользов.</w:t>
            </w:r>
          </w:p>
        </w:tc>
      </w:tr>
      <w:tr w:rsidR="00DA227A" w:rsidRPr="00E93F40" w14:paraId="6E144536" w14:textId="77777777">
        <w:tc>
          <w:tcPr>
            <w:tcW w:w="939" w:type="dxa"/>
          </w:tcPr>
          <w:p w14:paraId="6130AD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785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BBC2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1BD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FBF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бомбовая</w:t>
            </w:r>
          </w:p>
        </w:tc>
        <w:tc>
          <w:tcPr>
            <w:tcW w:w="939" w:type="dxa"/>
          </w:tcPr>
          <w:p w14:paraId="1CC68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56A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57D2C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самолетом ЦАГИ, с-т имеет ряд поврежден.</w:t>
            </w:r>
          </w:p>
        </w:tc>
      </w:tr>
      <w:tr w:rsidR="00DA227A" w:rsidRPr="00E93F40" w14:paraId="460FD8EB" w14:textId="77777777">
        <w:tc>
          <w:tcPr>
            <w:tcW w:w="939" w:type="dxa"/>
          </w:tcPr>
          <w:p w14:paraId="1AB00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4C5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B76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89E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DAA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w:t>
            </w:r>
          </w:p>
        </w:tc>
        <w:tc>
          <w:tcPr>
            <w:tcW w:w="939" w:type="dxa"/>
          </w:tcPr>
          <w:p w14:paraId="7E4A3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69D0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97C06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требует ремонта.</w:t>
            </w:r>
          </w:p>
        </w:tc>
      </w:tr>
      <w:tr w:rsidR="00DA227A" w:rsidRPr="00E93F40" w14:paraId="61DDC3D7" w14:textId="77777777">
        <w:tc>
          <w:tcPr>
            <w:tcW w:w="939" w:type="dxa"/>
          </w:tcPr>
          <w:p w14:paraId="69018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BA4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0DD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E21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A26B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828 кг</w:t>
            </w:r>
          </w:p>
        </w:tc>
        <w:tc>
          <w:tcPr>
            <w:tcW w:w="939" w:type="dxa"/>
          </w:tcPr>
          <w:p w14:paraId="20032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F19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6825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Тимофеев.</w:t>
            </w:r>
          </w:p>
        </w:tc>
      </w:tr>
      <w:tr w:rsidR="00DA227A" w:rsidRPr="00E93F40" w14:paraId="427365F8" w14:textId="77777777">
        <w:tc>
          <w:tcPr>
            <w:tcW w:w="939" w:type="dxa"/>
          </w:tcPr>
          <w:p w14:paraId="13AEE7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 с</w:t>
            </w:r>
          </w:p>
        </w:tc>
        <w:tc>
          <w:tcPr>
            <w:tcW w:w="939" w:type="dxa"/>
          </w:tcPr>
          <w:p w14:paraId="38031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не предъявлены</w:t>
            </w:r>
          </w:p>
        </w:tc>
        <w:tc>
          <w:tcPr>
            <w:tcW w:w="939" w:type="dxa"/>
          </w:tcPr>
          <w:p w14:paraId="6AD852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DE7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4E13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456C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50B9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февр.</w:t>
            </w:r>
          </w:p>
        </w:tc>
        <w:tc>
          <w:tcPr>
            <w:tcW w:w="3883" w:type="dxa"/>
          </w:tcPr>
          <w:p w14:paraId="17EEE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Сроки предъявления с-та на гос. испытания </w:t>
            </w:r>
          </w:p>
        </w:tc>
      </w:tr>
      <w:tr w:rsidR="00DA227A" w:rsidRPr="00E93F40" w14:paraId="0ABB7DB8" w14:textId="77777777">
        <w:tc>
          <w:tcPr>
            <w:tcW w:w="939" w:type="dxa"/>
          </w:tcPr>
          <w:p w14:paraId="601BB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применением</w:t>
            </w:r>
          </w:p>
        </w:tc>
        <w:tc>
          <w:tcPr>
            <w:tcW w:w="939" w:type="dxa"/>
          </w:tcPr>
          <w:p w14:paraId="22CAD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8F4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D25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FC98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7D0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9FA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6F041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стороны ГДЛ совершенно не выдержив.,</w:t>
            </w:r>
          </w:p>
        </w:tc>
      </w:tr>
      <w:tr w:rsidR="00DA227A" w:rsidRPr="00E93F40" w14:paraId="1A5EA7D3" w14:textId="77777777">
        <w:tc>
          <w:tcPr>
            <w:tcW w:w="939" w:type="dxa"/>
          </w:tcPr>
          <w:p w14:paraId="55D2B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 для</w:t>
            </w:r>
          </w:p>
        </w:tc>
        <w:tc>
          <w:tcPr>
            <w:tcW w:w="939" w:type="dxa"/>
          </w:tcPr>
          <w:p w14:paraId="0FEA1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C5B9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6D0F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010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3ACD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DCB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4B3A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частично проведенные испытания по взлету</w:t>
            </w:r>
          </w:p>
        </w:tc>
      </w:tr>
      <w:tr w:rsidR="00DA227A" w:rsidRPr="00E93F40" w14:paraId="33C679A0" w14:textId="77777777">
        <w:tc>
          <w:tcPr>
            <w:tcW w:w="939" w:type="dxa"/>
          </w:tcPr>
          <w:p w14:paraId="3C58FE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ускорения</w:t>
            </w:r>
          </w:p>
        </w:tc>
        <w:tc>
          <w:tcPr>
            <w:tcW w:w="939" w:type="dxa"/>
          </w:tcPr>
          <w:p w14:paraId="3D190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C70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BF0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9E2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41E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6152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CA5E8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закончены в связи с износом с-та. С-т</w:t>
            </w:r>
          </w:p>
        </w:tc>
      </w:tr>
      <w:tr w:rsidR="00DA227A" w:rsidRPr="00E93F40" w14:paraId="6DE44EDF" w14:textId="77777777">
        <w:tc>
          <w:tcPr>
            <w:tcW w:w="939" w:type="dxa"/>
          </w:tcPr>
          <w:p w14:paraId="6034C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взлета</w:t>
            </w:r>
          </w:p>
        </w:tc>
        <w:tc>
          <w:tcPr>
            <w:tcW w:w="939" w:type="dxa"/>
          </w:tcPr>
          <w:p w14:paraId="63E63F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13E7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9EB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DBF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19BD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76B6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633D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требует ремонта и передан в 18-й склад.</w:t>
            </w:r>
          </w:p>
        </w:tc>
      </w:tr>
      <w:tr w:rsidR="00DA227A" w:rsidRPr="00E93F40" w14:paraId="0A4765A8" w14:textId="77777777">
        <w:tc>
          <w:tcPr>
            <w:tcW w:w="939" w:type="dxa"/>
          </w:tcPr>
          <w:p w14:paraId="6AB2A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91FC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7DA1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B17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A6BC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9382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0E2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F89F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ремонта слишком затягивается.</w:t>
            </w:r>
          </w:p>
        </w:tc>
      </w:tr>
      <w:tr w:rsidR="00DA227A" w:rsidRPr="00E93F40" w14:paraId="302781E5" w14:textId="77777777">
        <w:tc>
          <w:tcPr>
            <w:tcW w:w="939" w:type="dxa"/>
          </w:tcPr>
          <w:p w14:paraId="70139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857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50E6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ADB0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5F7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738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4497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968A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Тимофеев.</w:t>
            </w:r>
          </w:p>
        </w:tc>
      </w:tr>
      <w:tr w:rsidR="00DA227A" w:rsidRPr="00E93F40" w14:paraId="07FB0697" w14:textId="77777777">
        <w:tc>
          <w:tcPr>
            <w:tcW w:w="939" w:type="dxa"/>
          </w:tcPr>
          <w:p w14:paraId="76AEFB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ТБ1/а-2М17</w:t>
            </w:r>
          </w:p>
        </w:tc>
        <w:tc>
          <w:tcPr>
            <w:tcW w:w="939" w:type="dxa"/>
          </w:tcPr>
          <w:p w14:paraId="31E2A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не предъявлены</w:t>
            </w:r>
          </w:p>
        </w:tc>
        <w:tc>
          <w:tcPr>
            <w:tcW w:w="939" w:type="dxa"/>
          </w:tcPr>
          <w:p w14:paraId="5E923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E75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09F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ED5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344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октябрь</w:t>
            </w:r>
          </w:p>
        </w:tc>
        <w:tc>
          <w:tcPr>
            <w:tcW w:w="3883" w:type="dxa"/>
          </w:tcPr>
          <w:p w14:paraId="7494B5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прошел гос. испытания. Установка</w:t>
            </w:r>
          </w:p>
        </w:tc>
      </w:tr>
      <w:tr w:rsidR="00DA227A" w:rsidRPr="00E93F40" w14:paraId="2C225FE7" w14:textId="77777777">
        <w:tc>
          <w:tcPr>
            <w:tcW w:w="939" w:type="dxa"/>
          </w:tcPr>
          <w:p w14:paraId="44387F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79CD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D61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3CA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E542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2E9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27C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3883" w:type="dxa"/>
          </w:tcPr>
          <w:p w14:paraId="6FDDD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и поплавков показали удовлетворит.</w:t>
            </w:r>
          </w:p>
        </w:tc>
      </w:tr>
      <w:tr w:rsidR="00DA227A" w:rsidRPr="00E93F40" w14:paraId="66FFF4A1" w14:textId="77777777">
        <w:tc>
          <w:tcPr>
            <w:tcW w:w="939" w:type="dxa"/>
          </w:tcPr>
          <w:p w14:paraId="3DC5D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CAE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5384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FDE1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D32C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578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3638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D328A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качества. С опытного строительства с-т</w:t>
            </w:r>
          </w:p>
        </w:tc>
      </w:tr>
      <w:tr w:rsidR="00DA227A" w:rsidRPr="00E93F40" w14:paraId="6C9EB6AE" w14:textId="77777777">
        <w:tc>
          <w:tcPr>
            <w:tcW w:w="939" w:type="dxa"/>
          </w:tcPr>
          <w:p w14:paraId="0458A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AA58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019C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CF8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5139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12E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9F18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F899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снять.</w:t>
            </w:r>
          </w:p>
        </w:tc>
      </w:tr>
      <w:tr w:rsidR="00DA227A" w:rsidRPr="00E93F40" w14:paraId="162F70FA" w14:textId="77777777">
        <w:tc>
          <w:tcPr>
            <w:tcW w:w="939" w:type="dxa"/>
          </w:tcPr>
          <w:p w14:paraId="1FD324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2A3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A7CB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40A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C87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CF7C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E2A3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29E8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Тимофеев.</w:t>
            </w:r>
          </w:p>
        </w:tc>
      </w:tr>
      <w:tr w:rsidR="00DA227A" w:rsidRPr="00E93F40" w14:paraId="7199C091" w14:textId="77777777">
        <w:tc>
          <w:tcPr>
            <w:tcW w:w="939" w:type="dxa"/>
          </w:tcPr>
          <w:p w14:paraId="350DDF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Р6/а-2М17</w:t>
            </w:r>
          </w:p>
        </w:tc>
        <w:tc>
          <w:tcPr>
            <w:tcW w:w="939" w:type="dxa"/>
          </w:tcPr>
          <w:p w14:paraId="7042D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не предъявлены</w:t>
            </w:r>
          </w:p>
        </w:tc>
        <w:tc>
          <w:tcPr>
            <w:tcW w:w="939" w:type="dxa"/>
          </w:tcPr>
          <w:p w14:paraId="4F001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A47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D93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DF96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8D7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w:t>
            </w:r>
          </w:p>
        </w:tc>
        <w:tc>
          <w:tcPr>
            <w:tcW w:w="3883" w:type="dxa"/>
          </w:tcPr>
          <w:p w14:paraId="282D6C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включен в план опытного стр-ва,</w:t>
            </w:r>
          </w:p>
        </w:tc>
      </w:tr>
      <w:tr w:rsidR="00DA227A" w:rsidRPr="00E93F40" w14:paraId="19A11C01" w14:textId="77777777">
        <w:tc>
          <w:tcPr>
            <w:tcW w:w="939" w:type="dxa"/>
          </w:tcPr>
          <w:p w14:paraId="327D7C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24D8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8DF1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815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36A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E91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281E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3533A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утвержденный Комис. Обороны от 4-го июля</w:t>
            </w:r>
          </w:p>
        </w:tc>
      </w:tr>
      <w:tr w:rsidR="00DA227A" w:rsidRPr="00E93F40" w14:paraId="64CE51C6" w14:textId="77777777">
        <w:tc>
          <w:tcPr>
            <w:tcW w:w="939" w:type="dxa"/>
          </w:tcPr>
          <w:p w14:paraId="54BC14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74E1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EA2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F0A9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95FE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5A2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0912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A25B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с.г. Самолет для установки на поплавки</w:t>
            </w:r>
          </w:p>
        </w:tc>
      </w:tr>
      <w:tr w:rsidR="00DA227A" w:rsidRPr="00E93F40" w14:paraId="77FDF7C8" w14:textId="77777777">
        <w:tc>
          <w:tcPr>
            <w:tcW w:w="939" w:type="dxa"/>
          </w:tcPr>
          <w:p w14:paraId="5A240C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F3B5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82D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F816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77F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3CF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6941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C0FD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получен и переправлен на завод N 31.</w:t>
            </w:r>
          </w:p>
        </w:tc>
      </w:tr>
      <w:tr w:rsidR="00DA227A" w:rsidRPr="00E93F40" w14:paraId="384D3372" w14:textId="77777777">
        <w:tc>
          <w:tcPr>
            <w:tcW w:w="939" w:type="dxa"/>
          </w:tcPr>
          <w:p w14:paraId="65179C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C9B9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E98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F66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0C7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84C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31E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CFED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 поступит в конце октября</w:t>
            </w:r>
          </w:p>
        </w:tc>
      </w:tr>
      <w:tr w:rsidR="00DA227A" w:rsidRPr="00E93F40" w14:paraId="5B6FDEA9" w14:textId="77777777">
        <w:tc>
          <w:tcPr>
            <w:tcW w:w="939" w:type="dxa"/>
          </w:tcPr>
          <w:p w14:paraId="04BB69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A2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6F2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9CA1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E93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050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9B8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F347B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с.г.</w:t>
            </w:r>
          </w:p>
        </w:tc>
      </w:tr>
      <w:tr w:rsidR="00DA227A" w:rsidRPr="00E93F40" w14:paraId="7E33D6C9" w14:textId="77777777">
        <w:tc>
          <w:tcPr>
            <w:tcW w:w="939" w:type="dxa"/>
          </w:tcPr>
          <w:p w14:paraId="6DBDDF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4620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5904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0A7E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99E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E901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F10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11AD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Тимофеев.</w:t>
            </w:r>
          </w:p>
        </w:tc>
      </w:tr>
      <w:tr w:rsidR="00DA227A" w:rsidRPr="00E93F40" w14:paraId="24892EFD" w14:textId="77777777">
        <w:tc>
          <w:tcPr>
            <w:tcW w:w="939" w:type="dxa"/>
          </w:tcPr>
          <w:p w14:paraId="25C3E1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Р5/а-М17</w:t>
            </w:r>
          </w:p>
        </w:tc>
        <w:tc>
          <w:tcPr>
            <w:tcW w:w="939" w:type="dxa"/>
          </w:tcPr>
          <w:p w14:paraId="66BA0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164/3000</w:t>
            </w:r>
          </w:p>
        </w:tc>
        <w:tc>
          <w:tcPr>
            <w:tcW w:w="939" w:type="dxa"/>
          </w:tcPr>
          <w:p w14:paraId="09F93B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27/3000</w:t>
            </w:r>
          </w:p>
        </w:tc>
        <w:tc>
          <w:tcPr>
            <w:tcW w:w="939" w:type="dxa"/>
          </w:tcPr>
          <w:p w14:paraId="395AE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4350</w:t>
            </w:r>
          </w:p>
        </w:tc>
        <w:tc>
          <w:tcPr>
            <w:tcW w:w="939" w:type="dxa"/>
          </w:tcPr>
          <w:p w14:paraId="6F196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пулем.</w:t>
            </w:r>
          </w:p>
        </w:tc>
        <w:tc>
          <w:tcPr>
            <w:tcW w:w="939" w:type="dxa"/>
          </w:tcPr>
          <w:p w14:paraId="3D031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 при</w:t>
            </w:r>
          </w:p>
        </w:tc>
        <w:tc>
          <w:tcPr>
            <w:tcW w:w="939" w:type="dxa"/>
          </w:tcPr>
          <w:p w14:paraId="3BC4F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июля</w:t>
            </w:r>
          </w:p>
        </w:tc>
        <w:tc>
          <w:tcPr>
            <w:tcW w:w="3883" w:type="dxa"/>
          </w:tcPr>
          <w:p w14:paraId="0F0096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идет в серийную постройку. </w:t>
            </w:r>
          </w:p>
        </w:tc>
      </w:tr>
      <w:tr w:rsidR="00DA227A" w:rsidRPr="00E93F40" w14:paraId="2DA74E0A" w14:textId="77777777">
        <w:tc>
          <w:tcPr>
            <w:tcW w:w="939" w:type="dxa"/>
          </w:tcPr>
          <w:p w14:paraId="3DDC7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E430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18E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3486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178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огн.</w:t>
            </w:r>
          </w:p>
        </w:tc>
        <w:tc>
          <w:tcPr>
            <w:tcW w:w="939" w:type="dxa"/>
          </w:tcPr>
          <w:p w14:paraId="58CC17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w:t>
            </w:r>
          </w:p>
        </w:tc>
        <w:tc>
          <w:tcPr>
            <w:tcW w:w="939" w:type="dxa"/>
          </w:tcPr>
          <w:p w14:paraId="28AD2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15D1D3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Разработаны техтребования к эталону 1933</w:t>
            </w:r>
          </w:p>
        </w:tc>
      </w:tr>
      <w:tr w:rsidR="00DA227A" w:rsidRPr="00E93F40" w14:paraId="244393A4" w14:textId="77777777">
        <w:tc>
          <w:tcPr>
            <w:tcW w:w="939" w:type="dxa"/>
          </w:tcPr>
          <w:p w14:paraId="06699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D16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2C35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1CA0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4E0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точки)</w:t>
            </w:r>
          </w:p>
        </w:tc>
        <w:tc>
          <w:tcPr>
            <w:tcW w:w="939" w:type="dxa"/>
          </w:tcPr>
          <w:p w14:paraId="183C1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939" w:type="dxa"/>
          </w:tcPr>
          <w:p w14:paraId="5349D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2AF2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года. Требования еще не утверждены</w:t>
            </w:r>
          </w:p>
        </w:tc>
      </w:tr>
      <w:tr w:rsidR="00DA227A" w:rsidRPr="00E93F40" w14:paraId="164B548A" w14:textId="77777777">
        <w:tc>
          <w:tcPr>
            <w:tcW w:w="939" w:type="dxa"/>
          </w:tcPr>
          <w:p w14:paraId="4F83C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A75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F48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1256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989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 кг</w:t>
            </w:r>
          </w:p>
        </w:tc>
        <w:tc>
          <w:tcPr>
            <w:tcW w:w="939" w:type="dxa"/>
          </w:tcPr>
          <w:p w14:paraId="59DC9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884F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E6F1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командованием.</w:t>
            </w:r>
          </w:p>
        </w:tc>
      </w:tr>
      <w:tr w:rsidR="00DA227A" w:rsidRPr="00E93F40" w14:paraId="6C72AC08" w14:textId="77777777">
        <w:tc>
          <w:tcPr>
            <w:tcW w:w="939" w:type="dxa"/>
          </w:tcPr>
          <w:p w14:paraId="62F6F9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CD2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7A9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F49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467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w:t>
            </w:r>
          </w:p>
        </w:tc>
        <w:tc>
          <w:tcPr>
            <w:tcW w:w="939" w:type="dxa"/>
          </w:tcPr>
          <w:p w14:paraId="6A7058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051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6462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F60778" w14:textId="77777777">
        <w:tc>
          <w:tcPr>
            <w:tcW w:w="939" w:type="dxa"/>
          </w:tcPr>
          <w:p w14:paraId="063E9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СПЛ (с-т</w:t>
            </w:r>
          </w:p>
        </w:tc>
        <w:tc>
          <w:tcPr>
            <w:tcW w:w="939" w:type="dxa"/>
          </w:tcPr>
          <w:p w14:paraId="2AE818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Требования устанавливаются особо.</w:t>
            </w:r>
          </w:p>
        </w:tc>
        <w:tc>
          <w:tcPr>
            <w:tcW w:w="939" w:type="dxa"/>
          </w:tcPr>
          <w:p w14:paraId="24FA9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1362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BBA3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8EF1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C67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3883" w:type="dxa"/>
          </w:tcPr>
          <w:p w14:paraId="4E423B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включен в план опытного стр-ва</w:t>
            </w:r>
          </w:p>
        </w:tc>
      </w:tr>
      <w:tr w:rsidR="00DA227A" w:rsidRPr="00E93F40" w14:paraId="28447DCF" w14:textId="77777777">
        <w:tc>
          <w:tcPr>
            <w:tcW w:w="939" w:type="dxa"/>
          </w:tcPr>
          <w:p w14:paraId="428976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подлодок)</w:t>
            </w:r>
          </w:p>
        </w:tc>
        <w:tc>
          <w:tcPr>
            <w:tcW w:w="939" w:type="dxa"/>
          </w:tcPr>
          <w:p w14:paraId="2E840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31C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D660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3BD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3F4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AF8F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Pr>
          <w:p w14:paraId="6F298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число экспериментальных по постановл.</w:t>
            </w:r>
          </w:p>
        </w:tc>
      </w:tr>
      <w:tr w:rsidR="00DA227A" w:rsidRPr="00E93F40" w14:paraId="621BC84E" w14:textId="77777777">
        <w:tc>
          <w:tcPr>
            <w:tcW w:w="939" w:type="dxa"/>
          </w:tcPr>
          <w:p w14:paraId="669B2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64B0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61D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569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F170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722D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58EF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CF1C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 Обороны от 4 июля с.г. Согласно</w:t>
            </w:r>
          </w:p>
        </w:tc>
      </w:tr>
      <w:tr w:rsidR="00DA227A" w:rsidRPr="00E93F40" w14:paraId="4691B389" w14:textId="77777777">
        <w:tc>
          <w:tcPr>
            <w:tcW w:w="939" w:type="dxa"/>
          </w:tcPr>
          <w:p w14:paraId="5EE031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E63A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6083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A71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2A02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C06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8A7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1117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постановления Комис. Обороны проектир. и</w:t>
            </w:r>
          </w:p>
        </w:tc>
      </w:tr>
      <w:tr w:rsidR="00DA227A" w:rsidRPr="00E93F40" w14:paraId="29AE46A4" w14:textId="77777777">
        <w:tc>
          <w:tcPr>
            <w:tcW w:w="939" w:type="dxa"/>
          </w:tcPr>
          <w:p w14:paraId="5EA15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261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92BF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C88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198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6AB0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033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9D273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постройки находит УВВС. По предв.</w:t>
            </w:r>
          </w:p>
        </w:tc>
      </w:tr>
      <w:tr w:rsidR="00DA227A" w:rsidRPr="00E93F40" w14:paraId="30374091" w14:textId="77777777">
        <w:tc>
          <w:tcPr>
            <w:tcW w:w="939" w:type="dxa"/>
          </w:tcPr>
          <w:p w14:paraId="1DD8D1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EAFA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9D39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ACC1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987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412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2B5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E95B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договоренности и выяснении вопроса с-т</w:t>
            </w:r>
          </w:p>
        </w:tc>
      </w:tr>
      <w:tr w:rsidR="00DA227A" w:rsidRPr="00E93F40" w14:paraId="37CEF25F" w14:textId="77777777">
        <w:tc>
          <w:tcPr>
            <w:tcW w:w="939" w:type="dxa"/>
          </w:tcPr>
          <w:p w14:paraId="52B4D0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AB8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101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2347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6E6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221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DE6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33DE0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дать проектировать и построить НИИ </w:t>
            </w:r>
          </w:p>
        </w:tc>
      </w:tr>
      <w:tr w:rsidR="00DA227A" w:rsidRPr="00E93F40" w14:paraId="6AF106F8" w14:textId="77777777">
        <w:tc>
          <w:tcPr>
            <w:tcW w:w="939" w:type="dxa"/>
          </w:tcPr>
          <w:p w14:paraId="19350B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FEF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02A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304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B8A2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2D88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E0C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C559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ГУГВФ под руководством инж. Четверикова.</w:t>
            </w:r>
          </w:p>
        </w:tc>
      </w:tr>
      <w:tr w:rsidR="00DA227A" w:rsidRPr="00E93F40" w14:paraId="1E726FE4" w14:textId="77777777">
        <w:tc>
          <w:tcPr>
            <w:tcW w:w="939" w:type="dxa"/>
          </w:tcPr>
          <w:p w14:paraId="3BA55A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83E9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B49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0DE4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FA28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F22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B42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16C2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Балыков.</w:t>
            </w:r>
          </w:p>
        </w:tc>
      </w:tr>
      <w:tr w:rsidR="00DA227A" w:rsidRPr="00E93F40" w14:paraId="28D05DFA" w14:textId="77777777">
        <w:tc>
          <w:tcPr>
            <w:tcW w:w="939" w:type="dxa"/>
          </w:tcPr>
          <w:p w14:paraId="273B3B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Внеплановые.</w:t>
            </w:r>
          </w:p>
        </w:tc>
        <w:tc>
          <w:tcPr>
            <w:tcW w:w="939" w:type="dxa"/>
          </w:tcPr>
          <w:p w14:paraId="26777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F595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789E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7567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1AF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B5A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BFA9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38DF68" w14:textId="77777777">
        <w:tc>
          <w:tcPr>
            <w:tcW w:w="939" w:type="dxa"/>
          </w:tcPr>
          <w:p w14:paraId="5CB1FA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МБР2-М17</w:t>
            </w:r>
          </w:p>
        </w:tc>
        <w:tc>
          <w:tcPr>
            <w:tcW w:w="939" w:type="dxa"/>
          </w:tcPr>
          <w:p w14:paraId="32E92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195/3000</w:t>
            </w:r>
          </w:p>
        </w:tc>
        <w:tc>
          <w:tcPr>
            <w:tcW w:w="939" w:type="dxa"/>
          </w:tcPr>
          <w:p w14:paraId="36D438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20'/3000</w:t>
            </w:r>
          </w:p>
        </w:tc>
        <w:tc>
          <w:tcPr>
            <w:tcW w:w="939" w:type="dxa"/>
          </w:tcPr>
          <w:p w14:paraId="06950F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6030</w:t>
            </w:r>
          </w:p>
        </w:tc>
        <w:tc>
          <w:tcPr>
            <w:tcW w:w="939" w:type="dxa"/>
          </w:tcPr>
          <w:p w14:paraId="1F91F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w:t>
            </w:r>
          </w:p>
        </w:tc>
        <w:tc>
          <w:tcPr>
            <w:tcW w:w="939" w:type="dxa"/>
          </w:tcPr>
          <w:p w14:paraId="3D939F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w:t>
            </w:r>
          </w:p>
        </w:tc>
        <w:tc>
          <w:tcPr>
            <w:tcW w:w="939" w:type="dxa"/>
          </w:tcPr>
          <w:p w14:paraId="634F1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3883" w:type="dxa"/>
          </w:tcPr>
          <w:p w14:paraId="6C9DC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 прошел испытания. Заключение нач. </w:t>
            </w:r>
          </w:p>
        </w:tc>
      </w:tr>
      <w:tr w:rsidR="00DA227A" w:rsidRPr="00E93F40" w14:paraId="77C984E6" w14:textId="77777777">
        <w:tc>
          <w:tcPr>
            <w:tcW w:w="939" w:type="dxa"/>
          </w:tcPr>
          <w:p w14:paraId="2CDF8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5C2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испыт.</w:t>
            </w:r>
          </w:p>
        </w:tc>
        <w:tc>
          <w:tcPr>
            <w:tcW w:w="939" w:type="dxa"/>
          </w:tcPr>
          <w:p w14:paraId="68FFC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4932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350C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огн.</w:t>
            </w:r>
          </w:p>
        </w:tc>
        <w:tc>
          <w:tcPr>
            <w:tcW w:w="939" w:type="dxa"/>
          </w:tcPr>
          <w:p w14:paraId="6D2555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505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w:t>
            </w:r>
          </w:p>
        </w:tc>
        <w:tc>
          <w:tcPr>
            <w:tcW w:w="3883" w:type="dxa"/>
          </w:tcPr>
          <w:p w14:paraId="41410E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построить серию с-тов в 15 штук,</w:t>
            </w:r>
          </w:p>
        </w:tc>
      </w:tr>
      <w:tr w:rsidR="00DA227A" w:rsidRPr="00E93F40" w14:paraId="5EB04C74" w14:textId="77777777">
        <w:tc>
          <w:tcPr>
            <w:tcW w:w="939" w:type="dxa"/>
          </w:tcPr>
          <w:p w14:paraId="08FC6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09D6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209 у</w:t>
            </w:r>
          </w:p>
        </w:tc>
        <w:tc>
          <w:tcPr>
            <w:tcW w:w="939" w:type="dxa"/>
          </w:tcPr>
          <w:p w14:paraId="75856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27B1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CFC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точки)</w:t>
            </w:r>
          </w:p>
        </w:tc>
        <w:tc>
          <w:tcPr>
            <w:tcW w:w="939" w:type="dxa"/>
          </w:tcPr>
          <w:p w14:paraId="17F62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2BC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w:t>
            </w:r>
          </w:p>
        </w:tc>
        <w:tc>
          <w:tcPr>
            <w:tcW w:w="3883" w:type="dxa"/>
          </w:tcPr>
          <w:p w14:paraId="5BF846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устранив дефекты и довести настоящий</w:t>
            </w:r>
          </w:p>
        </w:tc>
      </w:tr>
      <w:tr w:rsidR="00DA227A" w:rsidRPr="00E93F40" w14:paraId="2606F402" w14:textId="77777777">
        <w:tc>
          <w:tcPr>
            <w:tcW w:w="939" w:type="dxa"/>
          </w:tcPr>
          <w:p w14:paraId="2C71E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185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земли</w:t>
            </w:r>
          </w:p>
        </w:tc>
        <w:tc>
          <w:tcPr>
            <w:tcW w:w="939" w:type="dxa"/>
          </w:tcPr>
          <w:p w14:paraId="48D26A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3CF8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259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кг</w:t>
            </w:r>
          </w:p>
        </w:tc>
        <w:tc>
          <w:tcPr>
            <w:tcW w:w="939" w:type="dxa"/>
          </w:tcPr>
          <w:p w14:paraId="26E32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94E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3883" w:type="dxa"/>
          </w:tcPr>
          <w:p w14:paraId="55512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С-т находится в Морской Исп.</w:t>
            </w:r>
          </w:p>
        </w:tc>
      </w:tr>
      <w:tr w:rsidR="00DA227A" w:rsidRPr="00E93F40" w14:paraId="61084B0C" w14:textId="77777777">
        <w:tc>
          <w:tcPr>
            <w:tcW w:w="939" w:type="dxa"/>
          </w:tcPr>
          <w:p w14:paraId="73CBB3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A336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7B2E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A14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741D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в</w:t>
            </w:r>
          </w:p>
        </w:tc>
        <w:tc>
          <w:tcPr>
            <w:tcW w:w="939" w:type="dxa"/>
          </w:tcPr>
          <w:p w14:paraId="379B7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E687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прошел</w:t>
            </w:r>
          </w:p>
        </w:tc>
        <w:tc>
          <w:tcPr>
            <w:tcW w:w="3883" w:type="dxa"/>
          </w:tcPr>
          <w:p w14:paraId="40E66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станции в НИИ в Севастополе и проходит</w:t>
            </w:r>
          </w:p>
        </w:tc>
      </w:tr>
      <w:tr w:rsidR="00DA227A" w:rsidRPr="00E93F40" w14:paraId="1036111F" w14:textId="77777777">
        <w:tc>
          <w:tcPr>
            <w:tcW w:w="939" w:type="dxa"/>
          </w:tcPr>
          <w:p w14:paraId="16340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2E16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15E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444A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E8CB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счет</w:t>
            </w:r>
          </w:p>
        </w:tc>
        <w:tc>
          <w:tcPr>
            <w:tcW w:w="939" w:type="dxa"/>
          </w:tcPr>
          <w:p w14:paraId="72C7A6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5B14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w:t>
            </w:r>
          </w:p>
        </w:tc>
        <w:tc>
          <w:tcPr>
            <w:tcW w:w="3883" w:type="dxa"/>
          </w:tcPr>
          <w:p w14:paraId="71316D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эксплоатационные испытания. Составлены</w:t>
            </w:r>
          </w:p>
        </w:tc>
      </w:tr>
      <w:tr w:rsidR="00DA227A" w:rsidRPr="00E93F40" w14:paraId="1BBBE370" w14:textId="77777777">
        <w:tc>
          <w:tcPr>
            <w:tcW w:w="939" w:type="dxa"/>
          </w:tcPr>
          <w:p w14:paraId="053B8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CB7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EA0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10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EFB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перегруз.</w:t>
            </w:r>
          </w:p>
        </w:tc>
        <w:tc>
          <w:tcPr>
            <w:tcW w:w="939" w:type="dxa"/>
          </w:tcPr>
          <w:p w14:paraId="18B9D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6FA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Pr>
          <w:p w14:paraId="530FAF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техтребвания к эталону на 1933 год.</w:t>
            </w:r>
          </w:p>
        </w:tc>
      </w:tr>
      <w:tr w:rsidR="00DA227A" w:rsidRPr="00E93F40" w14:paraId="61946A48" w14:textId="77777777">
        <w:tc>
          <w:tcPr>
            <w:tcW w:w="939" w:type="dxa"/>
          </w:tcPr>
          <w:p w14:paraId="121105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07E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D5FE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88EC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ED2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дер.</w:t>
            </w:r>
          </w:p>
        </w:tc>
        <w:tc>
          <w:tcPr>
            <w:tcW w:w="939" w:type="dxa"/>
          </w:tcPr>
          <w:p w14:paraId="33404D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DA96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0D1F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дальнейшем перейти на МБР2-М34.</w:t>
            </w:r>
          </w:p>
        </w:tc>
      </w:tr>
      <w:tr w:rsidR="00DA227A" w:rsidRPr="00E93F40" w14:paraId="5B695151" w14:textId="77777777">
        <w:tc>
          <w:tcPr>
            <w:tcW w:w="939" w:type="dxa"/>
          </w:tcPr>
          <w:p w14:paraId="15BE3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906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70D3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725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C18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1000 кг</w:t>
            </w:r>
          </w:p>
        </w:tc>
        <w:tc>
          <w:tcPr>
            <w:tcW w:w="939" w:type="dxa"/>
          </w:tcPr>
          <w:p w14:paraId="74883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B70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08F1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Балыков.</w:t>
            </w:r>
          </w:p>
        </w:tc>
      </w:tr>
      <w:tr w:rsidR="00DA227A" w:rsidRPr="00E93F40" w14:paraId="09FD4535" w14:textId="77777777">
        <w:tc>
          <w:tcPr>
            <w:tcW w:w="939" w:type="dxa"/>
          </w:tcPr>
          <w:p w14:paraId="726180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МБР4-АССО 750</w:t>
            </w:r>
          </w:p>
        </w:tc>
        <w:tc>
          <w:tcPr>
            <w:tcW w:w="939" w:type="dxa"/>
          </w:tcPr>
          <w:p w14:paraId="217DDE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самолета С62 бис АССО 750</w:t>
            </w:r>
          </w:p>
        </w:tc>
        <w:tc>
          <w:tcPr>
            <w:tcW w:w="939" w:type="dxa"/>
          </w:tcPr>
          <w:p w14:paraId="74D1F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36A9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1FE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0FF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7B58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6FF44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принят на гос. испытания 23 </w:t>
            </w:r>
          </w:p>
        </w:tc>
      </w:tr>
      <w:tr w:rsidR="00DA227A" w:rsidRPr="00E93F40" w14:paraId="03B3D588" w14:textId="77777777">
        <w:tc>
          <w:tcPr>
            <w:tcW w:w="939" w:type="dxa"/>
          </w:tcPr>
          <w:p w14:paraId="5454B2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4B3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A6AE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85C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350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60A4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885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B02C1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сентября с.г. Задержки в предъявлении</w:t>
            </w:r>
          </w:p>
        </w:tc>
      </w:tr>
      <w:tr w:rsidR="00DA227A" w:rsidRPr="00E93F40" w14:paraId="26475894" w14:textId="77777777">
        <w:tc>
          <w:tcPr>
            <w:tcW w:w="939" w:type="dxa"/>
          </w:tcPr>
          <w:p w14:paraId="251367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7369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AC2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64A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A31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759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464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21838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стороны 31-го завода на 5 месяцев. С-т</w:t>
            </w:r>
          </w:p>
        </w:tc>
      </w:tr>
      <w:tr w:rsidR="00DA227A" w:rsidRPr="00E93F40" w14:paraId="72DCD0DC" w14:textId="77777777">
        <w:tc>
          <w:tcPr>
            <w:tcW w:w="939" w:type="dxa"/>
          </w:tcPr>
          <w:p w14:paraId="1A1DE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03D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52C8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E51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B1F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EE8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38A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F6077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имеет ряд дефектов. Заключение будет дано</w:t>
            </w:r>
          </w:p>
        </w:tc>
      </w:tr>
      <w:tr w:rsidR="00DA227A" w:rsidRPr="00E93F40" w14:paraId="032AD30D" w14:textId="77777777">
        <w:tc>
          <w:tcPr>
            <w:tcW w:w="939" w:type="dxa"/>
          </w:tcPr>
          <w:p w14:paraId="1C458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A68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1BE4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1C1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B3B9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DE74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369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0771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испытания, которое с-т проходит в</w:t>
            </w:r>
          </w:p>
        </w:tc>
      </w:tr>
      <w:tr w:rsidR="00DA227A" w:rsidRPr="00E93F40" w14:paraId="420931C6" w14:textId="77777777">
        <w:tc>
          <w:tcPr>
            <w:tcW w:w="939" w:type="dxa"/>
          </w:tcPr>
          <w:p w14:paraId="1CEF4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A27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F61F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2E7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D644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033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7BF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9AD8D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настоящее время.</w:t>
            </w:r>
          </w:p>
        </w:tc>
      </w:tr>
      <w:tr w:rsidR="009D12BD" w:rsidRPr="00E93F40" w14:paraId="5B8C23A1" w14:textId="77777777">
        <w:tc>
          <w:tcPr>
            <w:tcW w:w="939" w:type="dxa"/>
          </w:tcPr>
          <w:p w14:paraId="75C741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2FB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B4A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2913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CC0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5DB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F609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2CC1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 инж. Украинцев.</w:t>
            </w:r>
          </w:p>
        </w:tc>
      </w:tr>
    </w:tbl>
    <w:p w14:paraId="2A3FB4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Layout w:type="fixed"/>
        <w:tblLook w:val="0000" w:firstRow="0" w:lastRow="0" w:firstColumn="0" w:lastColumn="0" w:noHBand="0" w:noVBand="0"/>
      </w:tblPr>
      <w:tblGrid>
        <w:gridCol w:w="939"/>
        <w:gridCol w:w="939"/>
        <w:gridCol w:w="939"/>
        <w:gridCol w:w="939"/>
        <w:gridCol w:w="939"/>
        <w:gridCol w:w="939"/>
        <w:gridCol w:w="939"/>
        <w:gridCol w:w="3883"/>
      </w:tblGrid>
      <w:tr w:rsidR="00DA227A" w:rsidRPr="00E93F40" w14:paraId="4273C08D" w14:textId="77777777">
        <w:tc>
          <w:tcPr>
            <w:tcW w:w="939" w:type="dxa"/>
            <w:tcBorders>
              <w:top w:val="single" w:sz="6" w:space="0" w:color="auto"/>
              <w:left w:val="single" w:sz="6" w:space="0" w:color="auto"/>
              <w:bottom w:val="single" w:sz="6" w:space="0" w:color="auto"/>
              <w:right w:val="single" w:sz="6" w:space="0" w:color="auto"/>
            </w:tcBorders>
          </w:tcPr>
          <w:p w14:paraId="68FB6F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самолетам (сухопутные).</w:t>
            </w:r>
          </w:p>
        </w:tc>
        <w:tc>
          <w:tcPr>
            <w:tcW w:w="939" w:type="dxa"/>
            <w:tcBorders>
              <w:top w:val="single" w:sz="6" w:space="0" w:color="auto"/>
              <w:left w:val="single" w:sz="6" w:space="0" w:color="auto"/>
              <w:bottom w:val="single" w:sz="6" w:space="0" w:color="auto"/>
              <w:right w:val="single" w:sz="6" w:space="0" w:color="auto"/>
            </w:tcBorders>
          </w:tcPr>
          <w:p w14:paraId="10FB2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B67A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9035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6BC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2B1F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7504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F2CB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658689" w14:textId="77777777">
        <w:tc>
          <w:tcPr>
            <w:tcW w:w="939" w:type="dxa"/>
            <w:tcBorders>
              <w:top w:val="single" w:sz="6" w:space="0" w:color="auto"/>
              <w:left w:val="single" w:sz="6" w:space="0" w:color="auto"/>
              <w:bottom w:val="single" w:sz="6" w:space="0" w:color="auto"/>
              <w:right w:val="single" w:sz="6" w:space="0" w:color="auto"/>
            </w:tcBorders>
          </w:tcPr>
          <w:p w14:paraId="6DAEA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c>
        <w:tc>
          <w:tcPr>
            <w:tcW w:w="939" w:type="dxa"/>
            <w:tcBorders>
              <w:top w:val="single" w:sz="6" w:space="0" w:color="auto"/>
              <w:left w:val="single" w:sz="6" w:space="0" w:color="auto"/>
              <w:bottom w:val="single" w:sz="6" w:space="0" w:color="auto"/>
              <w:right w:val="single" w:sz="6" w:space="0" w:color="auto"/>
            </w:tcBorders>
          </w:tcPr>
          <w:p w14:paraId="61261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873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FE6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8431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5F47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58A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2FA1E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5B1F85" w14:textId="77777777">
        <w:tc>
          <w:tcPr>
            <w:tcW w:w="939" w:type="dxa"/>
            <w:tcBorders>
              <w:top w:val="single" w:sz="6" w:space="0" w:color="auto"/>
              <w:left w:val="single" w:sz="6" w:space="0" w:color="auto"/>
              <w:bottom w:val="single" w:sz="6" w:space="0" w:color="auto"/>
              <w:right w:val="single" w:sz="6" w:space="0" w:color="auto"/>
            </w:tcBorders>
          </w:tcPr>
          <w:p w14:paraId="71E700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ТБ6-М44 или</w:t>
            </w:r>
          </w:p>
        </w:tc>
        <w:tc>
          <w:tcPr>
            <w:tcW w:w="939" w:type="dxa"/>
            <w:tcBorders>
              <w:top w:val="single" w:sz="6" w:space="0" w:color="auto"/>
              <w:left w:val="single" w:sz="6" w:space="0" w:color="auto"/>
              <w:bottom w:val="single" w:sz="6" w:space="0" w:color="auto"/>
              <w:right w:val="single" w:sz="6" w:space="0" w:color="auto"/>
            </w:tcBorders>
          </w:tcPr>
          <w:p w14:paraId="46185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250/5000</w:t>
            </w:r>
          </w:p>
        </w:tc>
        <w:tc>
          <w:tcPr>
            <w:tcW w:w="939" w:type="dxa"/>
            <w:tcBorders>
              <w:top w:val="single" w:sz="6" w:space="0" w:color="auto"/>
              <w:left w:val="single" w:sz="6" w:space="0" w:color="auto"/>
              <w:bottom w:val="single" w:sz="6" w:space="0" w:color="auto"/>
              <w:right w:val="single" w:sz="6" w:space="0" w:color="auto"/>
            </w:tcBorders>
          </w:tcPr>
          <w:p w14:paraId="2FFA7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7BF9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939" w:type="dxa"/>
            <w:tcBorders>
              <w:top w:val="single" w:sz="6" w:space="0" w:color="auto"/>
              <w:left w:val="single" w:sz="6" w:space="0" w:color="auto"/>
              <w:bottom w:val="single" w:sz="6" w:space="0" w:color="auto"/>
              <w:right w:val="single" w:sz="6" w:space="0" w:color="auto"/>
            </w:tcBorders>
          </w:tcPr>
          <w:p w14:paraId="4B407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w:t>
            </w:r>
          </w:p>
        </w:tc>
        <w:tc>
          <w:tcPr>
            <w:tcW w:w="939" w:type="dxa"/>
            <w:tcBorders>
              <w:top w:val="single" w:sz="6" w:space="0" w:color="auto"/>
              <w:left w:val="single" w:sz="6" w:space="0" w:color="auto"/>
              <w:bottom w:val="single" w:sz="6" w:space="0" w:color="auto"/>
              <w:right w:val="single" w:sz="6" w:space="0" w:color="auto"/>
            </w:tcBorders>
          </w:tcPr>
          <w:p w14:paraId="045EC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939" w:type="dxa"/>
            <w:tcBorders>
              <w:top w:val="single" w:sz="6" w:space="0" w:color="auto"/>
              <w:left w:val="single" w:sz="6" w:space="0" w:color="auto"/>
              <w:bottom w:val="single" w:sz="6" w:space="0" w:color="auto"/>
              <w:right w:val="single" w:sz="6" w:space="0" w:color="auto"/>
            </w:tcBorders>
          </w:tcPr>
          <w:p w14:paraId="43C747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4F0BC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ведет определение основн. размеров</w:t>
            </w:r>
          </w:p>
        </w:tc>
      </w:tr>
      <w:tr w:rsidR="00DA227A" w:rsidRPr="00E93F40" w14:paraId="73CCC3D2" w14:textId="77777777">
        <w:tc>
          <w:tcPr>
            <w:tcW w:w="939" w:type="dxa"/>
            <w:tcBorders>
              <w:top w:val="single" w:sz="6" w:space="0" w:color="auto"/>
              <w:left w:val="single" w:sz="6" w:space="0" w:color="auto"/>
              <w:bottom w:val="single" w:sz="6" w:space="0" w:color="auto"/>
              <w:right w:val="single" w:sz="6" w:space="0" w:color="auto"/>
            </w:tcBorders>
          </w:tcPr>
          <w:p w14:paraId="4CD4E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нефтян. (Тяж.</w:t>
            </w:r>
          </w:p>
        </w:tc>
        <w:tc>
          <w:tcPr>
            <w:tcW w:w="939" w:type="dxa"/>
            <w:tcBorders>
              <w:top w:val="single" w:sz="6" w:space="0" w:color="auto"/>
              <w:left w:val="single" w:sz="6" w:space="0" w:color="auto"/>
              <w:bottom w:val="single" w:sz="6" w:space="0" w:color="auto"/>
              <w:right w:val="single" w:sz="6" w:space="0" w:color="auto"/>
            </w:tcBorders>
          </w:tcPr>
          <w:p w14:paraId="1EB32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E1E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A301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8AD9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 кг</w:t>
            </w:r>
          </w:p>
        </w:tc>
        <w:tc>
          <w:tcPr>
            <w:tcW w:w="939" w:type="dxa"/>
            <w:tcBorders>
              <w:top w:val="single" w:sz="6" w:space="0" w:color="auto"/>
              <w:left w:val="single" w:sz="6" w:space="0" w:color="auto"/>
              <w:bottom w:val="single" w:sz="6" w:space="0" w:color="auto"/>
              <w:right w:val="single" w:sz="6" w:space="0" w:color="auto"/>
            </w:tcBorders>
          </w:tcPr>
          <w:p w14:paraId="27D4F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7C9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 г.</w:t>
            </w:r>
          </w:p>
        </w:tc>
        <w:tc>
          <w:tcPr>
            <w:tcW w:w="3883" w:type="dxa"/>
            <w:tcBorders>
              <w:top w:val="single" w:sz="6" w:space="0" w:color="auto"/>
              <w:left w:val="single" w:sz="6" w:space="0" w:color="auto"/>
              <w:bottom w:val="single" w:sz="6" w:space="0" w:color="auto"/>
              <w:right w:val="single" w:sz="6" w:space="0" w:color="auto"/>
            </w:tcBorders>
          </w:tcPr>
          <w:p w14:paraId="59678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и аэродинамические расчеты.</w:t>
            </w:r>
          </w:p>
        </w:tc>
      </w:tr>
      <w:tr w:rsidR="00DA227A" w:rsidRPr="00E93F40" w14:paraId="2D6A2096" w14:textId="77777777">
        <w:tc>
          <w:tcPr>
            <w:tcW w:w="939" w:type="dxa"/>
            <w:tcBorders>
              <w:top w:val="single" w:sz="6" w:space="0" w:color="auto"/>
              <w:left w:val="single" w:sz="6" w:space="0" w:color="auto"/>
              <w:bottom w:val="single" w:sz="6" w:space="0" w:color="auto"/>
              <w:right w:val="single" w:sz="6" w:space="0" w:color="auto"/>
            </w:tcBorders>
          </w:tcPr>
          <w:p w14:paraId="118156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w:t>
            </w:r>
          </w:p>
        </w:tc>
        <w:tc>
          <w:tcPr>
            <w:tcW w:w="939" w:type="dxa"/>
            <w:tcBorders>
              <w:top w:val="single" w:sz="6" w:space="0" w:color="auto"/>
              <w:left w:val="single" w:sz="6" w:space="0" w:color="auto"/>
              <w:bottom w:val="single" w:sz="6" w:space="0" w:color="auto"/>
              <w:right w:val="single" w:sz="6" w:space="0" w:color="auto"/>
            </w:tcBorders>
          </w:tcPr>
          <w:p w14:paraId="29E19A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EBBE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F416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FD4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w:t>
            </w:r>
          </w:p>
        </w:tc>
        <w:tc>
          <w:tcPr>
            <w:tcW w:w="939" w:type="dxa"/>
            <w:tcBorders>
              <w:top w:val="single" w:sz="6" w:space="0" w:color="auto"/>
              <w:left w:val="single" w:sz="6" w:space="0" w:color="auto"/>
              <w:bottom w:val="single" w:sz="6" w:space="0" w:color="auto"/>
              <w:right w:val="single" w:sz="6" w:space="0" w:color="auto"/>
            </w:tcBorders>
          </w:tcPr>
          <w:p w14:paraId="2A447D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84F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8E9D3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Предположена конструкция моноплана с</w:t>
            </w:r>
          </w:p>
        </w:tc>
      </w:tr>
      <w:tr w:rsidR="00DA227A" w:rsidRPr="00E93F40" w14:paraId="1795CE9F" w14:textId="77777777">
        <w:tc>
          <w:tcPr>
            <w:tcW w:w="939" w:type="dxa"/>
            <w:tcBorders>
              <w:top w:val="single" w:sz="6" w:space="0" w:color="auto"/>
              <w:left w:val="single" w:sz="6" w:space="0" w:color="auto"/>
              <w:bottom w:val="single" w:sz="6" w:space="0" w:color="auto"/>
              <w:right w:val="single" w:sz="6" w:space="0" w:color="auto"/>
            </w:tcBorders>
          </w:tcPr>
          <w:p w14:paraId="5B70E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пасажир.)</w:t>
            </w:r>
          </w:p>
        </w:tc>
        <w:tc>
          <w:tcPr>
            <w:tcW w:w="939" w:type="dxa"/>
            <w:tcBorders>
              <w:top w:val="single" w:sz="6" w:space="0" w:color="auto"/>
              <w:left w:val="single" w:sz="6" w:space="0" w:color="auto"/>
              <w:bottom w:val="single" w:sz="6" w:space="0" w:color="auto"/>
              <w:right w:val="single" w:sz="6" w:space="0" w:color="auto"/>
            </w:tcBorders>
          </w:tcPr>
          <w:p w14:paraId="16A7F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447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D7F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05D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65E5F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854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D94F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очень большим размахом (около 100 м).</w:t>
            </w:r>
          </w:p>
        </w:tc>
      </w:tr>
      <w:tr w:rsidR="00DA227A" w:rsidRPr="00E93F40" w14:paraId="61A39BC2" w14:textId="77777777">
        <w:tc>
          <w:tcPr>
            <w:tcW w:w="939" w:type="dxa"/>
            <w:tcBorders>
              <w:top w:val="single" w:sz="6" w:space="0" w:color="auto"/>
              <w:left w:val="single" w:sz="6" w:space="0" w:color="auto"/>
              <w:bottom w:val="single" w:sz="6" w:space="0" w:color="auto"/>
              <w:right w:val="single" w:sz="6" w:space="0" w:color="auto"/>
            </w:tcBorders>
          </w:tcPr>
          <w:p w14:paraId="69246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52E5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30B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07B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0E8B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пушки</w:t>
            </w:r>
          </w:p>
        </w:tc>
        <w:tc>
          <w:tcPr>
            <w:tcW w:w="939" w:type="dxa"/>
            <w:tcBorders>
              <w:top w:val="single" w:sz="6" w:space="0" w:color="auto"/>
              <w:left w:val="single" w:sz="6" w:space="0" w:color="auto"/>
              <w:bottom w:val="single" w:sz="6" w:space="0" w:color="auto"/>
              <w:right w:val="single" w:sz="6" w:space="0" w:color="auto"/>
            </w:tcBorders>
          </w:tcPr>
          <w:p w14:paraId="440CD1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F51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45165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8D84C1" w14:textId="77777777">
        <w:tc>
          <w:tcPr>
            <w:tcW w:w="939" w:type="dxa"/>
            <w:tcBorders>
              <w:top w:val="single" w:sz="6" w:space="0" w:color="auto"/>
              <w:left w:val="single" w:sz="6" w:space="0" w:color="auto"/>
              <w:bottom w:val="single" w:sz="6" w:space="0" w:color="auto"/>
              <w:right w:val="single" w:sz="6" w:space="0" w:color="auto"/>
            </w:tcBorders>
          </w:tcPr>
          <w:p w14:paraId="5C9B39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Д1-10М34 (Тяж.</w:t>
            </w:r>
          </w:p>
        </w:tc>
        <w:tc>
          <w:tcPr>
            <w:tcW w:w="939" w:type="dxa"/>
            <w:tcBorders>
              <w:top w:val="single" w:sz="6" w:space="0" w:color="auto"/>
              <w:left w:val="single" w:sz="6" w:space="0" w:color="auto"/>
              <w:bottom w:val="single" w:sz="6" w:space="0" w:color="auto"/>
              <w:right w:val="single" w:sz="6" w:space="0" w:color="auto"/>
            </w:tcBorders>
          </w:tcPr>
          <w:p w14:paraId="49FD4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939" w:type="dxa"/>
            <w:tcBorders>
              <w:top w:val="single" w:sz="6" w:space="0" w:color="auto"/>
              <w:left w:val="single" w:sz="6" w:space="0" w:color="auto"/>
              <w:bottom w:val="single" w:sz="6" w:space="0" w:color="auto"/>
              <w:right w:val="single" w:sz="6" w:space="0" w:color="auto"/>
            </w:tcBorders>
          </w:tcPr>
          <w:p w14:paraId="149C68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F747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4219F9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797F5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939" w:type="dxa"/>
            <w:tcBorders>
              <w:top w:val="single" w:sz="6" w:space="0" w:color="auto"/>
              <w:left w:val="single" w:sz="6" w:space="0" w:color="auto"/>
              <w:bottom w:val="single" w:sz="6" w:space="0" w:color="auto"/>
              <w:right w:val="single" w:sz="6" w:space="0" w:color="auto"/>
            </w:tcBorders>
          </w:tcPr>
          <w:p w14:paraId="25655F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3D1180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 истекший квартал продолжалось </w:t>
            </w:r>
          </w:p>
        </w:tc>
      </w:tr>
      <w:tr w:rsidR="00DA227A" w:rsidRPr="00E93F40" w14:paraId="2F58DA70" w14:textId="77777777">
        <w:tc>
          <w:tcPr>
            <w:tcW w:w="939" w:type="dxa"/>
            <w:tcBorders>
              <w:top w:val="single" w:sz="6" w:space="0" w:color="auto"/>
              <w:left w:val="single" w:sz="6" w:space="0" w:color="auto"/>
              <w:bottom w:val="single" w:sz="6" w:space="0" w:color="auto"/>
              <w:right w:val="single" w:sz="6" w:space="0" w:color="auto"/>
            </w:tcBorders>
          </w:tcPr>
          <w:p w14:paraId="472AD8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w:t>
            </w:r>
          </w:p>
        </w:tc>
        <w:tc>
          <w:tcPr>
            <w:tcW w:w="939" w:type="dxa"/>
            <w:tcBorders>
              <w:top w:val="single" w:sz="6" w:space="0" w:color="auto"/>
              <w:left w:val="single" w:sz="6" w:space="0" w:color="auto"/>
              <w:bottom w:val="single" w:sz="6" w:space="0" w:color="auto"/>
              <w:right w:val="single" w:sz="6" w:space="0" w:color="auto"/>
            </w:tcBorders>
          </w:tcPr>
          <w:p w14:paraId="51B02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47F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3B6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197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28EC1C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FEE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1532F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самолета. Согласно</w:t>
            </w:r>
          </w:p>
        </w:tc>
      </w:tr>
      <w:tr w:rsidR="00DA227A" w:rsidRPr="00E93F40" w14:paraId="4B3D8B43" w14:textId="77777777">
        <w:tc>
          <w:tcPr>
            <w:tcW w:w="939" w:type="dxa"/>
            <w:tcBorders>
              <w:top w:val="single" w:sz="6" w:space="0" w:color="auto"/>
              <w:left w:val="single" w:sz="6" w:space="0" w:color="auto"/>
              <w:bottom w:val="single" w:sz="6" w:space="0" w:color="auto"/>
              <w:right w:val="single" w:sz="6" w:space="0" w:color="auto"/>
            </w:tcBorders>
          </w:tcPr>
          <w:p w14:paraId="7EC0C5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5E8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061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BF2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5FC4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F0D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31C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D680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РВС от 11 августа 1932 года</w:t>
            </w:r>
          </w:p>
        </w:tc>
      </w:tr>
      <w:tr w:rsidR="00DA227A" w:rsidRPr="00E93F40" w14:paraId="2B22D94A" w14:textId="77777777">
        <w:tc>
          <w:tcPr>
            <w:tcW w:w="939" w:type="dxa"/>
            <w:tcBorders>
              <w:top w:val="single" w:sz="6" w:space="0" w:color="auto"/>
              <w:left w:val="single" w:sz="6" w:space="0" w:color="auto"/>
              <w:bottom w:val="single" w:sz="6" w:space="0" w:color="auto"/>
              <w:right w:val="single" w:sz="6" w:space="0" w:color="auto"/>
            </w:tcBorders>
          </w:tcPr>
          <w:p w14:paraId="13145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2AF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A02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24E9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151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67C8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8D5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D4D5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полное развертывание постройки самолета</w:t>
            </w:r>
          </w:p>
        </w:tc>
      </w:tr>
      <w:tr w:rsidR="00DA227A" w:rsidRPr="00E93F40" w14:paraId="51AAD783" w14:textId="77777777">
        <w:tc>
          <w:tcPr>
            <w:tcW w:w="939" w:type="dxa"/>
            <w:tcBorders>
              <w:top w:val="single" w:sz="6" w:space="0" w:color="auto"/>
              <w:left w:val="single" w:sz="6" w:space="0" w:color="auto"/>
              <w:bottom w:val="single" w:sz="6" w:space="0" w:color="auto"/>
              <w:right w:val="single" w:sz="6" w:space="0" w:color="auto"/>
            </w:tcBorders>
          </w:tcPr>
          <w:p w14:paraId="72F6B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90D8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CCF6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144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688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0DD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B2E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F314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должно быть поставлено в зависимость</w:t>
            </w:r>
          </w:p>
        </w:tc>
      </w:tr>
      <w:tr w:rsidR="00DA227A" w:rsidRPr="00E93F40" w14:paraId="64C758B5" w14:textId="77777777">
        <w:tc>
          <w:tcPr>
            <w:tcW w:w="939" w:type="dxa"/>
            <w:tcBorders>
              <w:top w:val="single" w:sz="6" w:space="0" w:color="auto"/>
              <w:left w:val="single" w:sz="6" w:space="0" w:color="auto"/>
              <w:bottom w:val="single" w:sz="6" w:space="0" w:color="auto"/>
              <w:right w:val="single" w:sz="6" w:space="0" w:color="auto"/>
            </w:tcBorders>
          </w:tcPr>
          <w:p w14:paraId="221AA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79BB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0AD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0A3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DEF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9DDE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777C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E01C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успешности решения вопроса с</w:t>
            </w:r>
          </w:p>
        </w:tc>
      </w:tr>
      <w:tr w:rsidR="00DA227A" w:rsidRPr="00E93F40" w14:paraId="6E02B0ED" w14:textId="77777777">
        <w:tc>
          <w:tcPr>
            <w:tcW w:w="939" w:type="dxa"/>
            <w:tcBorders>
              <w:top w:val="single" w:sz="6" w:space="0" w:color="auto"/>
              <w:left w:val="single" w:sz="6" w:space="0" w:color="auto"/>
              <w:bottom w:val="single" w:sz="6" w:space="0" w:color="auto"/>
              <w:right w:val="single" w:sz="6" w:space="0" w:color="auto"/>
            </w:tcBorders>
          </w:tcPr>
          <w:p w14:paraId="4EA2F5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A7F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03B9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FE0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58EC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840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F8E7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7DC00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передачей от моторов на винты.</w:t>
            </w:r>
          </w:p>
        </w:tc>
      </w:tr>
      <w:tr w:rsidR="00DA227A" w:rsidRPr="00E93F40" w14:paraId="0D6AD3F6" w14:textId="77777777">
        <w:tc>
          <w:tcPr>
            <w:tcW w:w="939" w:type="dxa"/>
            <w:tcBorders>
              <w:top w:val="single" w:sz="6" w:space="0" w:color="auto"/>
              <w:left w:val="single" w:sz="6" w:space="0" w:color="auto"/>
              <w:bottom w:val="single" w:sz="6" w:space="0" w:color="auto"/>
              <w:right w:val="single" w:sz="6" w:space="0" w:color="auto"/>
            </w:tcBorders>
          </w:tcPr>
          <w:p w14:paraId="784A6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 (Тяж.</w:t>
            </w:r>
          </w:p>
        </w:tc>
        <w:tc>
          <w:tcPr>
            <w:tcW w:w="939" w:type="dxa"/>
            <w:tcBorders>
              <w:top w:val="single" w:sz="6" w:space="0" w:color="auto"/>
              <w:left w:val="single" w:sz="6" w:space="0" w:color="auto"/>
              <w:bottom w:val="single" w:sz="6" w:space="0" w:color="auto"/>
              <w:right w:val="single" w:sz="6" w:space="0" w:color="auto"/>
            </w:tcBorders>
          </w:tcPr>
          <w:p w14:paraId="58BEBD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288915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E0F5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1E834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600 кг</w:t>
            </w:r>
          </w:p>
        </w:tc>
        <w:tc>
          <w:tcPr>
            <w:tcW w:w="939" w:type="dxa"/>
            <w:tcBorders>
              <w:top w:val="single" w:sz="6" w:space="0" w:color="auto"/>
              <w:left w:val="single" w:sz="6" w:space="0" w:color="auto"/>
              <w:bottom w:val="single" w:sz="6" w:space="0" w:color="auto"/>
              <w:right w:val="single" w:sz="6" w:space="0" w:color="auto"/>
            </w:tcBorders>
          </w:tcPr>
          <w:p w14:paraId="2C834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43226C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нояб. </w:t>
            </w:r>
          </w:p>
        </w:tc>
        <w:tc>
          <w:tcPr>
            <w:tcW w:w="3883" w:type="dxa"/>
            <w:tcBorders>
              <w:top w:val="single" w:sz="6" w:space="0" w:color="auto"/>
              <w:left w:val="single" w:sz="6" w:space="0" w:color="auto"/>
              <w:bottom w:val="single" w:sz="6" w:space="0" w:color="auto"/>
              <w:right w:val="single" w:sz="6" w:space="0" w:color="auto"/>
            </w:tcBorders>
          </w:tcPr>
          <w:p w14:paraId="1ABADA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истекший квартал продолжалась</w:t>
            </w:r>
          </w:p>
        </w:tc>
      </w:tr>
      <w:tr w:rsidR="00DA227A" w:rsidRPr="00E93F40" w14:paraId="51E677E4" w14:textId="77777777">
        <w:tc>
          <w:tcPr>
            <w:tcW w:w="939" w:type="dxa"/>
            <w:tcBorders>
              <w:top w:val="single" w:sz="6" w:space="0" w:color="auto"/>
              <w:left w:val="single" w:sz="6" w:space="0" w:color="auto"/>
              <w:bottom w:val="single" w:sz="6" w:space="0" w:color="auto"/>
              <w:right w:val="single" w:sz="6" w:space="0" w:color="auto"/>
            </w:tcBorders>
          </w:tcPr>
          <w:p w14:paraId="56523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бомбовоз)</w:t>
            </w:r>
          </w:p>
        </w:tc>
        <w:tc>
          <w:tcPr>
            <w:tcW w:w="939" w:type="dxa"/>
            <w:tcBorders>
              <w:top w:val="single" w:sz="6" w:space="0" w:color="auto"/>
              <w:left w:val="single" w:sz="6" w:space="0" w:color="auto"/>
              <w:bottom w:val="single" w:sz="6" w:space="0" w:color="auto"/>
              <w:right w:val="single" w:sz="6" w:space="0" w:color="auto"/>
            </w:tcBorders>
          </w:tcPr>
          <w:p w14:paraId="2AA291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BDC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3D18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E0E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08ECF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4FB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5DCB0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самолета. Основная задержка</w:t>
            </w:r>
          </w:p>
        </w:tc>
      </w:tr>
      <w:tr w:rsidR="00DA227A" w:rsidRPr="00E93F40" w14:paraId="6E3B9BEC" w14:textId="77777777">
        <w:tc>
          <w:tcPr>
            <w:tcW w:w="939" w:type="dxa"/>
            <w:tcBorders>
              <w:top w:val="single" w:sz="6" w:space="0" w:color="auto"/>
              <w:left w:val="single" w:sz="6" w:space="0" w:color="auto"/>
              <w:bottom w:val="single" w:sz="6" w:space="0" w:color="auto"/>
              <w:right w:val="single" w:sz="6" w:space="0" w:color="auto"/>
            </w:tcBorders>
          </w:tcPr>
          <w:p w14:paraId="11924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7E7F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77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331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83BD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2C119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AE9D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7DDA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выпуске самолета, втом , что ЦАГИ</w:t>
            </w:r>
          </w:p>
        </w:tc>
      </w:tr>
      <w:tr w:rsidR="00DA227A" w:rsidRPr="00E93F40" w14:paraId="72B42C6A" w14:textId="77777777">
        <w:tc>
          <w:tcPr>
            <w:tcW w:w="939" w:type="dxa"/>
            <w:tcBorders>
              <w:top w:val="single" w:sz="6" w:space="0" w:color="auto"/>
              <w:left w:val="single" w:sz="6" w:space="0" w:color="auto"/>
              <w:bottom w:val="single" w:sz="6" w:space="0" w:color="auto"/>
              <w:right w:val="single" w:sz="6" w:space="0" w:color="auto"/>
            </w:tcBorders>
          </w:tcPr>
          <w:p w14:paraId="7FD9B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4D9F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DB22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C615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2B54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476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8E8A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55115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наст. вр. не получило моторов М34</w:t>
            </w:r>
          </w:p>
        </w:tc>
      </w:tr>
      <w:tr w:rsidR="00DA227A" w:rsidRPr="00E93F40" w14:paraId="76A25604" w14:textId="77777777">
        <w:tc>
          <w:tcPr>
            <w:tcW w:w="939" w:type="dxa"/>
            <w:tcBorders>
              <w:top w:val="single" w:sz="6" w:space="0" w:color="auto"/>
              <w:left w:val="single" w:sz="6" w:space="0" w:color="auto"/>
              <w:bottom w:val="single" w:sz="6" w:space="0" w:color="auto"/>
              <w:right w:val="single" w:sz="6" w:space="0" w:color="auto"/>
            </w:tcBorders>
          </w:tcPr>
          <w:p w14:paraId="0518E4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F694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A5F9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6CA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DAC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CCD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AD73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2FC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установки их на самолет. При </w:t>
            </w:r>
          </w:p>
        </w:tc>
      </w:tr>
      <w:tr w:rsidR="00DA227A" w:rsidRPr="00E93F40" w14:paraId="42481C4C" w14:textId="77777777">
        <w:tc>
          <w:tcPr>
            <w:tcW w:w="939" w:type="dxa"/>
            <w:tcBorders>
              <w:top w:val="single" w:sz="6" w:space="0" w:color="auto"/>
              <w:left w:val="single" w:sz="6" w:space="0" w:color="auto"/>
              <w:bottom w:val="single" w:sz="6" w:space="0" w:color="auto"/>
              <w:right w:val="single" w:sz="6" w:space="0" w:color="auto"/>
            </w:tcBorders>
          </w:tcPr>
          <w:p w14:paraId="4CCAC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929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CFD8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BA08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E4E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A90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22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0CC8C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немедленном получении моторов с-т мог</w:t>
            </w:r>
          </w:p>
        </w:tc>
      </w:tr>
      <w:tr w:rsidR="00DA227A" w:rsidRPr="00E93F40" w14:paraId="3BC67050" w14:textId="77777777">
        <w:tc>
          <w:tcPr>
            <w:tcW w:w="939" w:type="dxa"/>
            <w:tcBorders>
              <w:top w:val="single" w:sz="6" w:space="0" w:color="auto"/>
              <w:left w:val="single" w:sz="6" w:space="0" w:color="auto"/>
              <w:bottom w:val="single" w:sz="6" w:space="0" w:color="auto"/>
              <w:right w:val="single" w:sz="6" w:space="0" w:color="auto"/>
            </w:tcBorders>
          </w:tcPr>
          <w:p w14:paraId="637257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86DD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EB1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ECF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585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8AFA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29B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9D35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быть выпущен в воздух в начале ноября.</w:t>
            </w:r>
          </w:p>
        </w:tc>
      </w:tr>
      <w:tr w:rsidR="00DA227A" w:rsidRPr="00E93F40" w14:paraId="6945274F" w14:textId="77777777">
        <w:tc>
          <w:tcPr>
            <w:tcW w:w="939" w:type="dxa"/>
            <w:tcBorders>
              <w:top w:val="single" w:sz="6" w:space="0" w:color="auto"/>
              <w:left w:val="single" w:sz="6" w:space="0" w:color="auto"/>
              <w:bottom w:val="single" w:sz="6" w:space="0" w:color="auto"/>
              <w:right w:val="single" w:sz="6" w:space="0" w:color="auto"/>
            </w:tcBorders>
          </w:tcPr>
          <w:p w14:paraId="46CF8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w:t>
            </w:r>
          </w:p>
        </w:tc>
        <w:tc>
          <w:tcPr>
            <w:tcW w:w="939" w:type="dxa"/>
            <w:tcBorders>
              <w:top w:val="single" w:sz="6" w:space="0" w:color="auto"/>
              <w:left w:val="single" w:sz="6" w:space="0" w:color="auto"/>
              <w:bottom w:val="single" w:sz="6" w:space="0" w:color="auto"/>
              <w:right w:val="single" w:sz="6" w:space="0" w:color="auto"/>
            </w:tcBorders>
          </w:tcPr>
          <w:p w14:paraId="235D1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44B81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5DD66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79ABA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600 кг</w:t>
            </w:r>
          </w:p>
        </w:tc>
        <w:tc>
          <w:tcPr>
            <w:tcW w:w="939" w:type="dxa"/>
            <w:tcBorders>
              <w:top w:val="single" w:sz="6" w:space="0" w:color="auto"/>
              <w:left w:val="single" w:sz="6" w:space="0" w:color="auto"/>
              <w:bottom w:val="single" w:sz="6" w:space="0" w:color="auto"/>
              <w:right w:val="single" w:sz="6" w:space="0" w:color="auto"/>
            </w:tcBorders>
          </w:tcPr>
          <w:p w14:paraId="4A8465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5431F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1B035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истекший квартал разработаны рабочие</w:t>
            </w:r>
          </w:p>
        </w:tc>
      </w:tr>
      <w:tr w:rsidR="00DA227A" w:rsidRPr="00E93F40" w14:paraId="6E1118EA" w14:textId="77777777">
        <w:tc>
          <w:tcPr>
            <w:tcW w:w="939" w:type="dxa"/>
            <w:tcBorders>
              <w:top w:val="single" w:sz="6" w:space="0" w:color="auto"/>
              <w:left w:val="single" w:sz="6" w:space="0" w:color="auto"/>
              <w:bottom w:val="single" w:sz="6" w:space="0" w:color="auto"/>
              <w:right w:val="single" w:sz="6" w:space="0" w:color="auto"/>
            </w:tcBorders>
          </w:tcPr>
          <w:p w14:paraId="1D01E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(Головной</w:t>
            </w:r>
          </w:p>
        </w:tc>
        <w:tc>
          <w:tcPr>
            <w:tcW w:w="939" w:type="dxa"/>
            <w:tcBorders>
              <w:top w:val="single" w:sz="6" w:space="0" w:color="auto"/>
              <w:left w:val="single" w:sz="6" w:space="0" w:color="auto"/>
              <w:bottom w:val="single" w:sz="6" w:space="0" w:color="auto"/>
              <w:right w:val="single" w:sz="6" w:space="0" w:color="auto"/>
            </w:tcBorders>
          </w:tcPr>
          <w:p w14:paraId="6C446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B5F6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CEF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A52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3D9A96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900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264CD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чертежи крыльев. Продолжается</w:t>
            </w:r>
          </w:p>
        </w:tc>
      </w:tr>
      <w:tr w:rsidR="00DA227A" w:rsidRPr="00E93F40" w14:paraId="649ABFD3" w14:textId="77777777">
        <w:tc>
          <w:tcPr>
            <w:tcW w:w="939" w:type="dxa"/>
            <w:tcBorders>
              <w:top w:val="single" w:sz="6" w:space="0" w:color="auto"/>
              <w:left w:val="single" w:sz="6" w:space="0" w:color="auto"/>
              <w:bottom w:val="single" w:sz="6" w:space="0" w:color="auto"/>
              <w:right w:val="single" w:sz="6" w:space="0" w:color="auto"/>
            </w:tcBorders>
          </w:tcPr>
          <w:p w14:paraId="20F5BB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серийный)</w:t>
            </w:r>
          </w:p>
        </w:tc>
        <w:tc>
          <w:tcPr>
            <w:tcW w:w="939" w:type="dxa"/>
            <w:tcBorders>
              <w:top w:val="single" w:sz="6" w:space="0" w:color="auto"/>
              <w:left w:val="single" w:sz="6" w:space="0" w:color="auto"/>
              <w:bottom w:val="single" w:sz="6" w:space="0" w:color="auto"/>
              <w:right w:val="single" w:sz="6" w:space="0" w:color="auto"/>
            </w:tcBorders>
          </w:tcPr>
          <w:p w14:paraId="0E2CA5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E34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4678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92A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36534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7E38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C459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проектировка фюзеляжа, который будет</w:t>
            </w:r>
          </w:p>
        </w:tc>
      </w:tr>
      <w:tr w:rsidR="00DA227A" w:rsidRPr="00E93F40" w14:paraId="53E79148" w14:textId="77777777">
        <w:tc>
          <w:tcPr>
            <w:tcW w:w="939" w:type="dxa"/>
            <w:tcBorders>
              <w:top w:val="single" w:sz="6" w:space="0" w:color="auto"/>
              <w:left w:val="single" w:sz="6" w:space="0" w:color="auto"/>
              <w:bottom w:val="single" w:sz="6" w:space="0" w:color="auto"/>
              <w:right w:val="single" w:sz="6" w:space="0" w:color="auto"/>
            </w:tcBorders>
          </w:tcPr>
          <w:p w14:paraId="1FBDDD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ABE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A77D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8FBA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FBC0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240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71B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C3C6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отличаться от опытного самолета ТБ-4</w:t>
            </w:r>
          </w:p>
        </w:tc>
      </w:tr>
      <w:tr w:rsidR="00DA227A" w:rsidRPr="00E93F40" w14:paraId="601885EE" w14:textId="77777777">
        <w:tc>
          <w:tcPr>
            <w:tcW w:w="939" w:type="dxa"/>
            <w:tcBorders>
              <w:top w:val="single" w:sz="6" w:space="0" w:color="auto"/>
              <w:left w:val="single" w:sz="6" w:space="0" w:color="auto"/>
              <w:bottom w:val="single" w:sz="6" w:space="0" w:color="auto"/>
              <w:right w:val="single" w:sz="6" w:space="0" w:color="auto"/>
            </w:tcBorders>
          </w:tcPr>
          <w:p w14:paraId="75BD6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F55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B6F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9B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2C5A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A654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FB33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BF3B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своей шириной. Построен макет фюзеляжа.</w:t>
            </w:r>
          </w:p>
        </w:tc>
      </w:tr>
      <w:tr w:rsidR="00DA227A" w:rsidRPr="00E93F40" w14:paraId="6C07CAD7" w14:textId="77777777">
        <w:tc>
          <w:tcPr>
            <w:tcW w:w="939" w:type="dxa"/>
            <w:tcBorders>
              <w:top w:val="single" w:sz="6" w:space="0" w:color="auto"/>
              <w:left w:val="single" w:sz="6" w:space="0" w:color="auto"/>
              <w:bottom w:val="single" w:sz="6" w:space="0" w:color="auto"/>
              <w:right w:val="single" w:sz="6" w:space="0" w:color="auto"/>
            </w:tcBorders>
          </w:tcPr>
          <w:p w14:paraId="27D6D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Х1-2М34 (Тяж.</w:t>
            </w:r>
          </w:p>
        </w:tc>
        <w:tc>
          <w:tcPr>
            <w:tcW w:w="939" w:type="dxa"/>
            <w:tcBorders>
              <w:top w:val="single" w:sz="6" w:space="0" w:color="auto"/>
              <w:left w:val="single" w:sz="6" w:space="0" w:color="auto"/>
              <w:bottom w:val="single" w:sz="6" w:space="0" w:color="auto"/>
              <w:right w:val="single" w:sz="6" w:space="0" w:color="auto"/>
            </w:tcBorders>
          </w:tcPr>
          <w:p w14:paraId="77D5D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625BC4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590BF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1051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кг ОВ</w:t>
            </w:r>
          </w:p>
        </w:tc>
        <w:tc>
          <w:tcPr>
            <w:tcW w:w="939" w:type="dxa"/>
            <w:tcBorders>
              <w:top w:val="single" w:sz="6" w:space="0" w:color="auto"/>
              <w:left w:val="single" w:sz="6" w:space="0" w:color="auto"/>
              <w:bottom w:val="single" w:sz="6" w:space="0" w:color="auto"/>
              <w:right w:val="single" w:sz="6" w:space="0" w:color="auto"/>
            </w:tcBorders>
          </w:tcPr>
          <w:p w14:paraId="0605CD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939" w:type="dxa"/>
            <w:tcBorders>
              <w:top w:val="single" w:sz="6" w:space="0" w:color="auto"/>
              <w:left w:val="single" w:sz="6" w:space="0" w:color="auto"/>
              <w:bottom w:val="single" w:sz="6" w:space="0" w:color="auto"/>
              <w:right w:val="single" w:sz="6" w:space="0" w:color="auto"/>
            </w:tcBorders>
          </w:tcPr>
          <w:p w14:paraId="27B46D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авг.</w:t>
            </w:r>
          </w:p>
        </w:tc>
        <w:tc>
          <w:tcPr>
            <w:tcW w:w="3883" w:type="dxa"/>
            <w:tcBorders>
              <w:top w:val="single" w:sz="6" w:space="0" w:color="auto"/>
              <w:left w:val="single" w:sz="6" w:space="0" w:color="auto"/>
              <w:bottom w:val="single" w:sz="6" w:space="0" w:color="auto"/>
              <w:right w:val="single" w:sz="6" w:space="0" w:color="auto"/>
            </w:tcBorders>
          </w:tcPr>
          <w:p w14:paraId="4FDCFD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НИИ ГУГВФ продолжалась разработка</w:t>
            </w:r>
          </w:p>
        </w:tc>
      </w:tr>
      <w:tr w:rsidR="00DA227A" w:rsidRPr="00E93F40" w14:paraId="659FAD2B" w14:textId="77777777">
        <w:tc>
          <w:tcPr>
            <w:tcW w:w="939" w:type="dxa"/>
            <w:tcBorders>
              <w:top w:val="single" w:sz="6" w:space="0" w:color="auto"/>
              <w:left w:val="single" w:sz="6" w:space="0" w:color="auto"/>
              <w:bottom w:val="single" w:sz="6" w:space="0" w:color="auto"/>
              <w:right w:val="single" w:sz="6" w:space="0" w:color="auto"/>
            </w:tcBorders>
          </w:tcPr>
          <w:p w14:paraId="01FD79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химич. боевик,</w:t>
            </w:r>
          </w:p>
        </w:tc>
        <w:tc>
          <w:tcPr>
            <w:tcW w:w="939" w:type="dxa"/>
            <w:tcBorders>
              <w:top w:val="single" w:sz="6" w:space="0" w:color="auto"/>
              <w:left w:val="single" w:sz="6" w:space="0" w:color="auto"/>
              <w:bottom w:val="single" w:sz="6" w:space="0" w:color="auto"/>
              <w:right w:val="single" w:sz="6" w:space="0" w:color="auto"/>
            </w:tcBorders>
          </w:tcPr>
          <w:p w14:paraId="7424D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CCE7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E89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249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26BD13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8EC7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0682DE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эскизного проекта самолета. Констр.</w:t>
            </w:r>
          </w:p>
        </w:tc>
      </w:tr>
      <w:tr w:rsidR="00DA227A" w:rsidRPr="00E93F40" w14:paraId="05299A08" w14:textId="77777777">
        <w:tc>
          <w:tcPr>
            <w:tcW w:w="939" w:type="dxa"/>
            <w:tcBorders>
              <w:top w:val="single" w:sz="6" w:space="0" w:color="auto"/>
              <w:left w:val="single" w:sz="6" w:space="0" w:color="auto"/>
              <w:bottom w:val="single" w:sz="6" w:space="0" w:color="auto"/>
              <w:right w:val="single" w:sz="6" w:space="0" w:color="auto"/>
            </w:tcBorders>
          </w:tcPr>
          <w:p w14:paraId="39C339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с-т для</w:t>
            </w:r>
          </w:p>
        </w:tc>
        <w:tc>
          <w:tcPr>
            <w:tcW w:w="939" w:type="dxa"/>
            <w:tcBorders>
              <w:top w:val="single" w:sz="6" w:space="0" w:color="auto"/>
              <w:left w:val="single" w:sz="6" w:space="0" w:color="auto"/>
              <w:bottom w:val="single" w:sz="6" w:space="0" w:color="auto"/>
              <w:right w:val="single" w:sz="6" w:space="0" w:color="auto"/>
            </w:tcBorders>
          </w:tcPr>
          <w:p w14:paraId="117F7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051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32D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FC1C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3D88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81A3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957B7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Путилов остановился на схеме двуххвостки.</w:t>
            </w:r>
          </w:p>
        </w:tc>
      </w:tr>
      <w:tr w:rsidR="00DA227A" w:rsidRPr="00E93F40" w14:paraId="3C45DEB0" w14:textId="77777777">
        <w:tc>
          <w:tcPr>
            <w:tcW w:w="939" w:type="dxa"/>
            <w:tcBorders>
              <w:top w:val="single" w:sz="6" w:space="0" w:color="auto"/>
              <w:left w:val="single" w:sz="6" w:space="0" w:color="auto"/>
              <w:bottom w:val="single" w:sz="6" w:space="0" w:color="auto"/>
              <w:right w:val="single" w:sz="6" w:space="0" w:color="auto"/>
            </w:tcBorders>
          </w:tcPr>
          <w:p w14:paraId="2806D7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перевозки </w:t>
            </w:r>
          </w:p>
        </w:tc>
        <w:tc>
          <w:tcPr>
            <w:tcW w:w="939" w:type="dxa"/>
            <w:tcBorders>
              <w:top w:val="single" w:sz="6" w:space="0" w:color="auto"/>
              <w:left w:val="single" w:sz="6" w:space="0" w:color="auto"/>
              <w:bottom w:val="single" w:sz="6" w:space="0" w:color="auto"/>
              <w:right w:val="single" w:sz="6" w:space="0" w:color="auto"/>
            </w:tcBorders>
          </w:tcPr>
          <w:p w14:paraId="29829A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7F6B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41F2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0F7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4D9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2A0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27A6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Сделана модель для продувки.</w:t>
            </w:r>
          </w:p>
        </w:tc>
      </w:tr>
      <w:tr w:rsidR="00DA227A" w:rsidRPr="00E93F40" w14:paraId="05C9AE67" w14:textId="77777777">
        <w:tc>
          <w:tcPr>
            <w:tcW w:w="939" w:type="dxa"/>
            <w:tcBorders>
              <w:top w:val="single" w:sz="6" w:space="0" w:color="auto"/>
              <w:left w:val="single" w:sz="6" w:space="0" w:color="auto"/>
              <w:bottom w:val="single" w:sz="6" w:space="0" w:color="auto"/>
              <w:right w:val="single" w:sz="6" w:space="0" w:color="auto"/>
            </w:tcBorders>
          </w:tcPr>
          <w:p w14:paraId="5F7CC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горюч. и пассаж.)</w:t>
            </w:r>
          </w:p>
        </w:tc>
        <w:tc>
          <w:tcPr>
            <w:tcW w:w="939" w:type="dxa"/>
            <w:tcBorders>
              <w:top w:val="single" w:sz="6" w:space="0" w:color="auto"/>
              <w:left w:val="single" w:sz="6" w:space="0" w:color="auto"/>
              <w:bottom w:val="single" w:sz="6" w:space="0" w:color="auto"/>
              <w:right w:val="single" w:sz="6" w:space="0" w:color="auto"/>
            </w:tcBorders>
          </w:tcPr>
          <w:p w14:paraId="516B8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E4D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478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FF7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5084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0AE6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F39C1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C0D813" w14:textId="77777777">
        <w:tc>
          <w:tcPr>
            <w:tcW w:w="939" w:type="dxa"/>
            <w:tcBorders>
              <w:top w:val="single" w:sz="6" w:space="0" w:color="auto"/>
              <w:left w:val="single" w:sz="6" w:space="0" w:color="auto"/>
              <w:bottom w:val="single" w:sz="6" w:space="0" w:color="auto"/>
              <w:right w:val="single" w:sz="6" w:space="0" w:color="auto"/>
            </w:tcBorders>
          </w:tcPr>
          <w:p w14:paraId="253450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К1-2М34</w:t>
            </w:r>
          </w:p>
        </w:tc>
        <w:tc>
          <w:tcPr>
            <w:tcW w:w="939" w:type="dxa"/>
            <w:tcBorders>
              <w:top w:val="single" w:sz="6" w:space="0" w:color="auto"/>
              <w:left w:val="single" w:sz="6" w:space="0" w:color="auto"/>
              <w:bottom w:val="single" w:sz="6" w:space="0" w:color="auto"/>
              <w:right w:val="single" w:sz="6" w:space="0" w:color="auto"/>
            </w:tcBorders>
          </w:tcPr>
          <w:p w14:paraId="630F8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270-300/</w:t>
            </w:r>
          </w:p>
        </w:tc>
        <w:tc>
          <w:tcPr>
            <w:tcW w:w="939" w:type="dxa"/>
            <w:tcBorders>
              <w:top w:val="single" w:sz="6" w:space="0" w:color="auto"/>
              <w:left w:val="single" w:sz="6" w:space="0" w:color="auto"/>
              <w:bottom w:val="single" w:sz="6" w:space="0" w:color="auto"/>
              <w:right w:val="single" w:sz="6" w:space="0" w:color="auto"/>
            </w:tcBorders>
          </w:tcPr>
          <w:p w14:paraId="65FC27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57F5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BB00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0E027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600-1000</w:t>
            </w:r>
          </w:p>
        </w:tc>
        <w:tc>
          <w:tcPr>
            <w:tcW w:w="939" w:type="dxa"/>
            <w:tcBorders>
              <w:top w:val="single" w:sz="6" w:space="0" w:color="auto"/>
              <w:left w:val="single" w:sz="6" w:space="0" w:color="auto"/>
              <w:bottom w:val="single" w:sz="6" w:space="0" w:color="auto"/>
              <w:right w:val="single" w:sz="6" w:space="0" w:color="auto"/>
            </w:tcBorders>
          </w:tcPr>
          <w:p w14:paraId="0F7676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4E9CDC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Произведены предварительные изыскания </w:t>
            </w:r>
          </w:p>
        </w:tc>
      </w:tr>
      <w:tr w:rsidR="00DA227A" w:rsidRPr="00E93F40" w14:paraId="69C8980B" w14:textId="77777777">
        <w:tc>
          <w:tcPr>
            <w:tcW w:w="939" w:type="dxa"/>
            <w:tcBorders>
              <w:top w:val="single" w:sz="6" w:space="0" w:color="auto"/>
              <w:left w:val="single" w:sz="6" w:space="0" w:color="auto"/>
              <w:bottom w:val="single" w:sz="6" w:space="0" w:color="auto"/>
              <w:right w:val="single" w:sz="6" w:space="0" w:color="auto"/>
            </w:tcBorders>
          </w:tcPr>
          <w:p w14:paraId="6B2E3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 сухопут.,</w:t>
            </w:r>
          </w:p>
        </w:tc>
        <w:tc>
          <w:tcPr>
            <w:tcW w:w="939" w:type="dxa"/>
            <w:tcBorders>
              <w:top w:val="single" w:sz="6" w:space="0" w:color="auto"/>
              <w:left w:val="single" w:sz="6" w:space="0" w:color="auto"/>
              <w:bottom w:val="single" w:sz="6" w:space="0" w:color="auto"/>
              <w:right w:val="single" w:sz="6" w:space="0" w:color="auto"/>
            </w:tcBorders>
          </w:tcPr>
          <w:p w14:paraId="67FEEC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39B77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7AB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E6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8381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39D6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7D38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моторы М-32 и М-34.</w:t>
            </w:r>
          </w:p>
        </w:tc>
      </w:tr>
      <w:tr w:rsidR="00DA227A" w:rsidRPr="00E93F40" w14:paraId="4352D91B" w14:textId="77777777">
        <w:tc>
          <w:tcPr>
            <w:tcW w:w="939" w:type="dxa"/>
            <w:tcBorders>
              <w:top w:val="single" w:sz="6" w:space="0" w:color="auto"/>
              <w:left w:val="single" w:sz="6" w:space="0" w:color="auto"/>
              <w:bottom w:val="single" w:sz="6" w:space="0" w:color="auto"/>
              <w:right w:val="single" w:sz="6" w:space="0" w:color="auto"/>
            </w:tcBorders>
          </w:tcPr>
          <w:p w14:paraId="4F7DD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средний бомбардир.,</w:t>
            </w:r>
          </w:p>
        </w:tc>
        <w:tc>
          <w:tcPr>
            <w:tcW w:w="939" w:type="dxa"/>
            <w:tcBorders>
              <w:top w:val="single" w:sz="6" w:space="0" w:color="auto"/>
              <w:left w:val="single" w:sz="6" w:space="0" w:color="auto"/>
              <w:bottom w:val="single" w:sz="6" w:space="0" w:color="auto"/>
              <w:right w:val="single" w:sz="6" w:space="0" w:color="auto"/>
            </w:tcBorders>
          </w:tcPr>
          <w:p w14:paraId="2AB97C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ED6C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E7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AB5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875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E7EA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261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AB5AF5" w14:textId="77777777">
        <w:tc>
          <w:tcPr>
            <w:tcW w:w="939" w:type="dxa"/>
            <w:tcBorders>
              <w:top w:val="single" w:sz="6" w:space="0" w:color="auto"/>
              <w:left w:val="single" w:sz="6" w:space="0" w:color="auto"/>
              <w:bottom w:val="single" w:sz="6" w:space="0" w:color="auto"/>
              <w:right w:val="single" w:sz="6" w:space="0" w:color="auto"/>
            </w:tcBorders>
          </w:tcPr>
          <w:p w14:paraId="5C5FB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 Разведчик)</w:t>
            </w:r>
          </w:p>
        </w:tc>
        <w:tc>
          <w:tcPr>
            <w:tcW w:w="939" w:type="dxa"/>
            <w:tcBorders>
              <w:top w:val="single" w:sz="6" w:space="0" w:color="auto"/>
              <w:left w:val="single" w:sz="6" w:space="0" w:color="auto"/>
              <w:bottom w:val="single" w:sz="6" w:space="0" w:color="auto"/>
              <w:right w:val="single" w:sz="6" w:space="0" w:color="auto"/>
            </w:tcBorders>
          </w:tcPr>
          <w:p w14:paraId="5EDBC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23D5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CCC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A20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E9FA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341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B72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A93338" w14:textId="77777777">
        <w:tc>
          <w:tcPr>
            <w:tcW w:w="939" w:type="dxa"/>
            <w:tcBorders>
              <w:top w:val="single" w:sz="6" w:space="0" w:color="auto"/>
              <w:left w:val="single" w:sz="6" w:space="0" w:color="auto"/>
              <w:bottom w:val="single" w:sz="6" w:space="0" w:color="auto"/>
              <w:right w:val="single" w:sz="6" w:space="0" w:color="auto"/>
            </w:tcBorders>
          </w:tcPr>
          <w:p w14:paraId="2FCD1B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w:t>
            </w:r>
          </w:p>
        </w:tc>
        <w:tc>
          <w:tcPr>
            <w:tcW w:w="939" w:type="dxa"/>
            <w:tcBorders>
              <w:top w:val="single" w:sz="6" w:space="0" w:color="auto"/>
              <w:left w:val="single" w:sz="6" w:space="0" w:color="auto"/>
              <w:bottom w:val="single" w:sz="6" w:space="0" w:color="auto"/>
              <w:right w:val="single" w:sz="6" w:space="0" w:color="auto"/>
            </w:tcBorders>
          </w:tcPr>
          <w:p w14:paraId="6A998E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939" w:type="dxa"/>
            <w:tcBorders>
              <w:top w:val="single" w:sz="6" w:space="0" w:color="auto"/>
              <w:left w:val="single" w:sz="6" w:space="0" w:color="auto"/>
              <w:bottom w:val="single" w:sz="6" w:space="0" w:color="auto"/>
              <w:right w:val="single" w:sz="6" w:space="0" w:color="auto"/>
            </w:tcBorders>
          </w:tcPr>
          <w:p w14:paraId="1FFEB0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08BE8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7000-8000</w:t>
            </w:r>
          </w:p>
        </w:tc>
        <w:tc>
          <w:tcPr>
            <w:tcW w:w="939" w:type="dxa"/>
            <w:tcBorders>
              <w:top w:val="single" w:sz="6" w:space="0" w:color="auto"/>
              <w:left w:val="single" w:sz="6" w:space="0" w:color="auto"/>
              <w:bottom w:val="single" w:sz="6" w:space="0" w:color="auto"/>
              <w:right w:val="single" w:sz="6" w:space="0" w:color="auto"/>
            </w:tcBorders>
          </w:tcPr>
          <w:p w14:paraId="116FB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тяж. пулем.</w:t>
            </w:r>
          </w:p>
        </w:tc>
        <w:tc>
          <w:tcPr>
            <w:tcW w:w="939" w:type="dxa"/>
            <w:tcBorders>
              <w:top w:val="single" w:sz="6" w:space="0" w:color="auto"/>
              <w:left w:val="single" w:sz="6" w:space="0" w:color="auto"/>
              <w:bottom w:val="single" w:sz="6" w:space="0" w:color="auto"/>
              <w:right w:val="single" w:sz="6" w:space="0" w:color="auto"/>
            </w:tcBorders>
          </w:tcPr>
          <w:p w14:paraId="06F93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39" w:type="dxa"/>
            <w:tcBorders>
              <w:top w:val="single" w:sz="6" w:space="0" w:color="auto"/>
              <w:left w:val="single" w:sz="6" w:space="0" w:color="auto"/>
              <w:bottom w:val="single" w:sz="6" w:space="0" w:color="auto"/>
              <w:right w:val="single" w:sz="6" w:space="0" w:color="auto"/>
            </w:tcBorders>
          </w:tcPr>
          <w:p w14:paraId="2184F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3883" w:type="dxa"/>
            <w:tcBorders>
              <w:top w:val="single" w:sz="6" w:space="0" w:color="auto"/>
              <w:left w:val="single" w:sz="6" w:space="0" w:color="auto"/>
              <w:bottom w:val="single" w:sz="6" w:space="0" w:color="auto"/>
              <w:right w:val="single" w:sz="6" w:space="0" w:color="auto"/>
            </w:tcBorders>
          </w:tcPr>
          <w:p w14:paraId="0602FC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Постройка самолета закончена. Выпуск его </w:t>
            </w:r>
          </w:p>
        </w:tc>
      </w:tr>
      <w:tr w:rsidR="00DA227A" w:rsidRPr="00E93F40" w14:paraId="34EF291E" w14:textId="77777777">
        <w:tc>
          <w:tcPr>
            <w:tcW w:w="939" w:type="dxa"/>
            <w:tcBorders>
              <w:top w:val="single" w:sz="6" w:space="0" w:color="auto"/>
              <w:left w:val="single" w:sz="6" w:space="0" w:color="auto"/>
              <w:bottom w:val="single" w:sz="6" w:space="0" w:color="auto"/>
              <w:right w:val="single" w:sz="6" w:space="0" w:color="auto"/>
            </w:tcBorders>
          </w:tcPr>
          <w:p w14:paraId="651EB0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w:t>
            </w:r>
          </w:p>
        </w:tc>
        <w:tc>
          <w:tcPr>
            <w:tcW w:w="939" w:type="dxa"/>
            <w:tcBorders>
              <w:top w:val="single" w:sz="6" w:space="0" w:color="auto"/>
              <w:left w:val="single" w:sz="6" w:space="0" w:color="auto"/>
              <w:bottom w:val="single" w:sz="6" w:space="0" w:color="auto"/>
              <w:right w:val="single" w:sz="6" w:space="0" w:color="auto"/>
            </w:tcBorders>
          </w:tcPr>
          <w:p w14:paraId="656BD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7444B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E2F5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02B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легких</w:t>
            </w:r>
          </w:p>
        </w:tc>
        <w:tc>
          <w:tcPr>
            <w:tcW w:w="939" w:type="dxa"/>
            <w:tcBorders>
              <w:top w:val="single" w:sz="6" w:space="0" w:color="auto"/>
              <w:left w:val="single" w:sz="6" w:space="0" w:color="auto"/>
              <w:bottom w:val="single" w:sz="6" w:space="0" w:color="auto"/>
              <w:right w:val="single" w:sz="6" w:space="0" w:color="auto"/>
            </w:tcBorders>
          </w:tcPr>
          <w:p w14:paraId="0B2B2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CCA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2A16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аэродром задерживается непредставлн.</w:t>
            </w:r>
          </w:p>
        </w:tc>
      </w:tr>
      <w:tr w:rsidR="00DA227A" w:rsidRPr="00E93F40" w14:paraId="0E557CAF" w14:textId="77777777">
        <w:tc>
          <w:tcPr>
            <w:tcW w:w="939" w:type="dxa"/>
            <w:tcBorders>
              <w:top w:val="single" w:sz="6" w:space="0" w:color="auto"/>
              <w:left w:val="single" w:sz="6" w:space="0" w:color="auto"/>
              <w:bottom w:val="single" w:sz="6" w:space="0" w:color="auto"/>
              <w:right w:val="single" w:sz="6" w:space="0" w:color="auto"/>
            </w:tcBorders>
          </w:tcPr>
          <w:p w14:paraId="56093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398CE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2B1A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B5B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BF5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CFDD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7D8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(выход</w:t>
            </w:r>
          </w:p>
        </w:tc>
        <w:tc>
          <w:tcPr>
            <w:tcW w:w="3883" w:type="dxa"/>
            <w:tcBorders>
              <w:top w:val="single" w:sz="6" w:space="0" w:color="auto"/>
              <w:left w:val="single" w:sz="6" w:space="0" w:color="auto"/>
              <w:bottom w:val="single" w:sz="6" w:space="0" w:color="auto"/>
              <w:right w:val="single" w:sz="6" w:space="0" w:color="auto"/>
            </w:tcBorders>
          </w:tcPr>
          <w:p w14:paraId="1F39FA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моторов М-34. Производится постр.</w:t>
            </w:r>
          </w:p>
        </w:tc>
      </w:tr>
      <w:tr w:rsidR="00DA227A" w:rsidRPr="00E93F40" w14:paraId="495A0AF5" w14:textId="77777777">
        <w:tc>
          <w:tcPr>
            <w:tcW w:w="939" w:type="dxa"/>
            <w:tcBorders>
              <w:top w:val="single" w:sz="6" w:space="0" w:color="auto"/>
              <w:left w:val="single" w:sz="6" w:space="0" w:color="auto"/>
              <w:bottom w:val="single" w:sz="6" w:space="0" w:color="auto"/>
              <w:right w:val="single" w:sz="6" w:space="0" w:color="auto"/>
            </w:tcBorders>
          </w:tcPr>
          <w:p w14:paraId="009CE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256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29C9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65A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5AEC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24B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3BC6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w:t>
            </w:r>
          </w:p>
        </w:tc>
        <w:tc>
          <w:tcPr>
            <w:tcW w:w="3883" w:type="dxa"/>
            <w:tcBorders>
              <w:top w:val="single" w:sz="6" w:space="0" w:color="auto"/>
              <w:left w:val="single" w:sz="6" w:space="0" w:color="auto"/>
              <w:bottom w:val="single" w:sz="6" w:space="0" w:color="auto"/>
              <w:right w:val="single" w:sz="6" w:space="0" w:color="auto"/>
            </w:tcBorders>
          </w:tcPr>
          <w:p w14:paraId="24361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2-го экземпляра самолета, отличающегося</w:t>
            </w:r>
          </w:p>
        </w:tc>
      </w:tr>
      <w:tr w:rsidR="00DA227A" w:rsidRPr="00E93F40" w14:paraId="1FAA6FDD" w14:textId="77777777">
        <w:tc>
          <w:tcPr>
            <w:tcW w:w="939" w:type="dxa"/>
            <w:tcBorders>
              <w:top w:val="single" w:sz="6" w:space="0" w:color="auto"/>
              <w:left w:val="single" w:sz="6" w:space="0" w:color="auto"/>
              <w:bottom w:val="single" w:sz="6" w:space="0" w:color="auto"/>
              <w:right w:val="single" w:sz="6" w:space="0" w:color="auto"/>
            </w:tcBorders>
          </w:tcPr>
          <w:p w14:paraId="1E634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C45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2657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0962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107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CB9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A7E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w:t>
            </w:r>
          </w:p>
        </w:tc>
        <w:tc>
          <w:tcPr>
            <w:tcW w:w="3883" w:type="dxa"/>
            <w:tcBorders>
              <w:top w:val="single" w:sz="6" w:space="0" w:color="auto"/>
              <w:left w:val="single" w:sz="6" w:space="0" w:color="auto"/>
              <w:bottom w:val="single" w:sz="6" w:space="0" w:color="auto"/>
              <w:right w:val="single" w:sz="6" w:space="0" w:color="auto"/>
            </w:tcBorders>
          </w:tcPr>
          <w:p w14:paraId="46D97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1-го более широким фюзеляжем.</w:t>
            </w:r>
          </w:p>
        </w:tc>
      </w:tr>
      <w:tr w:rsidR="00DA227A" w:rsidRPr="00E93F40" w14:paraId="7D7B2398" w14:textId="77777777">
        <w:tc>
          <w:tcPr>
            <w:tcW w:w="939" w:type="dxa"/>
            <w:tcBorders>
              <w:top w:val="single" w:sz="6" w:space="0" w:color="auto"/>
              <w:left w:val="single" w:sz="6" w:space="0" w:color="auto"/>
              <w:bottom w:val="single" w:sz="6" w:space="0" w:color="auto"/>
              <w:right w:val="single" w:sz="6" w:space="0" w:color="auto"/>
            </w:tcBorders>
          </w:tcPr>
          <w:p w14:paraId="68924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ДИП1-2М34</w:t>
            </w:r>
          </w:p>
        </w:tc>
        <w:tc>
          <w:tcPr>
            <w:tcW w:w="939" w:type="dxa"/>
            <w:tcBorders>
              <w:top w:val="single" w:sz="6" w:space="0" w:color="auto"/>
              <w:left w:val="single" w:sz="6" w:space="0" w:color="auto"/>
              <w:bottom w:val="single" w:sz="6" w:space="0" w:color="auto"/>
              <w:right w:val="single" w:sz="6" w:space="0" w:color="auto"/>
            </w:tcBorders>
          </w:tcPr>
          <w:p w14:paraId="4DCC2E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325/5000</w:t>
            </w:r>
          </w:p>
        </w:tc>
        <w:tc>
          <w:tcPr>
            <w:tcW w:w="939" w:type="dxa"/>
            <w:tcBorders>
              <w:top w:val="single" w:sz="6" w:space="0" w:color="auto"/>
              <w:left w:val="single" w:sz="6" w:space="0" w:color="auto"/>
              <w:bottom w:val="single" w:sz="6" w:space="0" w:color="auto"/>
              <w:right w:val="single" w:sz="6" w:space="0" w:color="auto"/>
            </w:tcBorders>
          </w:tcPr>
          <w:p w14:paraId="2D1314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4FF67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939" w:type="dxa"/>
            <w:tcBorders>
              <w:top w:val="single" w:sz="6" w:space="0" w:color="auto"/>
              <w:left w:val="single" w:sz="6" w:space="0" w:color="auto"/>
              <w:bottom w:val="single" w:sz="6" w:space="0" w:color="auto"/>
              <w:right w:val="single" w:sz="6" w:space="0" w:color="auto"/>
            </w:tcBorders>
          </w:tcPr>
          <w:p w14:paraId="3D496A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Пушка ДРП</w:t>
            </w:r>
          </w:p>
        </w:tc>
        <w:tc>
          <w:tcPr>
            <w:tcW w:w="939" w:type="dxa"/>
            <w:tcBorders>
              <w:top w:val="single" w:sz="6" w:space="0" w:color="auto"/>
              <w:left w:val="single" w:sz="6" w:space="0" w:color="auto"/>
              <w:bottom w:val="single" w:sz="6" w:space="0" w:color="auto"/>
              <w:right w:val="single" w:sz="6" w:space="0" w:color="auto"/>
            </w:tcBorders>
          </w:tcPr>
          <w:p w14:paraId="4496F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6D96C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4CABFF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Продолжается разработка варианта с-та с</w:t>
            </w:r>
          </w:p>
        </w:tc>
      </w:tr>
      <w:tr w:rsidR="00DA227A" w:rsidRPr="00E93F40" w14:paraId="49CE74A1" w14:textId="77777777">
        <w:tc>
          <w:tcPr>
            <w:tcW w:w="939" w:type="dxa"/>
            <w:tcBorders>
              <w:top w:val="single" w:sz="6" w:space="0" w:color="auto"/>
              <w:left w:val="single" w:sz="6" w:space="0" w:color="auto"/>
              <w:bottom w:val="single" w:sz="6" w:space="0" w:color="auto"/>
              <w:right w:val="single" w:sz="6" w:space="0" w:color="auto"/>
            </w:tcBorders>
          </w:tcPr>
          <w:p w14:paraId="781189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w:t>
            </w:r>
          </w:p>
        </w:tc>
        <w:tc>
          <w:tcPr>
            <w:tcW w:w="939" w:type="dxa"/>
            <w:tcBorders>
              <w:top w:val="single" w:sz="6" w:space="0" w:color="auto"/>
              <w:left w:val="single" w:sz="6" w:space="0" w:color="auto"/>
              <w:bottom w:val="single" w:sz="6" w:space="0" w:color="auto"/>
              <w:right w:val="single" w:sz="6" w:space="0" w:color="auto"/>
            </w:tcBorders>
          </w:tcPr>
          <w:p w14:paraId="53D254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EF1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5DAED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34A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легк.</w:t>
            </w:r>
          </w:p>
        </w:tc>
        <w:tc>
          <w:tcPr>
            <w:tcW w:w="939" w:type="dxa"/>
            <w:tcBorders>
              <w:top w:val="single" w:sz="6" w:space="0" w:color="auto"/>
              <w:left w:val="single" w:sz="6" w:space="0" w:color="auto"/>
              <w:bottom w:val="single" w:sz="6" w:space="0" w:color="auto"/>
              <w:right w:val="single" w:sz="6" w:space="0" w:color="auto"/>
            </w:tcBorders>
          </w:tcPr>
          <w:p w14:paraId="5B13B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B3D4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3F2E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пушкой ДРП, установленной внутри ф-жа.</w:t>
            </w:r>
          </w:p>
        </w:tc>
      </w:tr>
      <w:tr w:rsidR="00DA227A" w:rsidRPr="00E93F40" w14:paraId="3528B4D0" w14:textId="77777777">
        <w:tc>
          <w:tcPr>
            <w:tcW w:w="939" w:type="dxa"/>
            <w:tcBorders>
              <w:top w:val="single" w:sz="6" w:space="0" w:color="auto"/>
              <w:left w:val="single" w:sz="6" w:space="0" w:color="auto"/>
              <w:bottom w:val="single" w:sz="6" w:space="0" w:color="auto"/>
              <w:right w:val="single" w:sz="6" w:space="0" w:color="auto"/>
            </w:tcBorders>
          </w:tcPr>
          <w:p w14:paraId="105D11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5D842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8B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7071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C23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649F5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EA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FC575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411B43" w14:textId="77777777">
        <w:tc>
          <w:tcPr>
            <w:tcW w:w="939" w:type="dxa"/>
            <w:tcBorders>
              <w:top w:val="single" w:sz="6" w:space="0" w:color="auto"/>
              <w:left w:val="single" w:sz="6" w:space="0" w:color="auto"/>
              <w:bottom w:val="single" w:sz="6" w:space="0" w:color="auto"/>
              <w:right w:val="single" w:sz="6" w:space="0" w:color="auto"/>
            </w:tcBorders>
          </w:tcPr>
          <w:p w14:paraId="75AD6C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Пушечный)</w:t>
            </w:r>
          </w:p>
        </w:tc>
        <w:tc>
          <w:tcPr>
            <w:tcW w:w="939" w:type="dxa"/>
            <w:tcBorders>
              <w:top w:val="single" w:sz="6" w:space="0" w:color="auto"/>
              <w:left w:val="single" w:sz="6" w:space="0" w:color="auto"/>
              <w:bottom w:val="single" w:sz="6" w:space="0" w:color="auto"/>
              <w:right w:val="single" w:sz="6" w:space="0" w:color="auto"/>
            </w:tcBorders>
          </w:tcPr>
          <w:p w14:paraId="1932C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06F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3AB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3C12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964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2FA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1584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45C489" w14:textId="77777777">
        <w:tc>
          <w:tcPr>
            <w:tcW w:w="939" w:type="dxa"/>
            <w:tcBorders>
              <w:top w:val="single" w:sz="6" w:space="0" w:color="auto"/>
              <w:left w:val="single" w:sz="6" w:space="0" w:color="auto"/>
              <w:bottom w:val="single" w:sz="6" w:space="0" w:color="auto"/>
              <w:right w:val="single" w:sz="6" w:space="0" w:color="auto"/>
            </w:tcBorders>
          </w:tcPr>
          <w:p w14:paraId="36BF92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ЛР-М34</w:t>
            </w:r>
          </w:p>
        </w:tc>
        <w:tc>
          <w:tcPr>
            <w:tcW w:w="939" w:type="dxa"/>
            <w:tcBorders>
              <w:top w:val="single" w:sz="6" w:space="0" w:color="auto"/>
              <w:left w:val="single" w:sz="6" w:space="0" w:color="auto"/>
              <w:bottom w:val="single" w:sz="6" w:space="0" w:color="auto"/>
              <w:right w:val="single" w:sz="6" w:space="0" w:color="auto"/>
            </w:tcBorders>
          </w:tcPr>
          <w:p w14:paraId="6E5BD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300-310/</w:t>
            </w:r>
          </w:p>
        </w:tc>
        <w:tc>
          <w:tcPr>
            <w:tcW w:w="939" w:type="dxa"/>
            <w:tcBorders>
              <w:top w:val="single" w:sz="6" w:space="0" w:color="auto"/>
              <w:left w:val="single" w:sz="6" w:space="0" w:color="auto"/>
              <w:bottom w:val="single" w:sz="6" w:space="0" w:color="auto"/>
              <w:right w:val="single" w:sz="6" w:space="0" w:color="auto"/>
            </w:tcBorders>
          </w:tcPr>
          <w:p w14:paraId="54339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AF422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62E186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00DEB6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7B0A0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w:t>
            </w:r>
          </w:p>
        </w:tc>
        <w:tc>
          <w:tcPr>
            <w:tcW w:w="3883" w:type="dxa"/>
            <w:tcBorders>
              <w:top w:val="single" w:sz="6" w:space="0" w:color="auto"/>
              <w:left w:val="single" w:sz="6" w:space="0" w:color="auto"/>
              <w:bottom w:val="single" w:sz="6" w:space="0" w:color="auto"/>
              <w:right w:val="single" w:sz="6" w:space="0" w:color="auto"/>
            </w:tcBorders>
          </w:tcPr>
          <w:p w14:paraId="4A5537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Ведется детальная разработка конструкции</w:t>
            </w:r>
          </w:p>
        </w:tc>
      </w:tr>
      <w:tr w:rsidR="00DA227A" w:rsidRPr="00E93F40" w14:paraId="02E5CFCE" w14:textId="77777777">
        <w:tc>
          <w:tcPr>
            <w:tcW w:w="939" w:type="dxa"/>
            <w:tcBorders>
              <w:top w:val="single" w:sz="6" w:space="0" w:color="auto"/>
              <w:left w:val="single" w:sz="6" w:space="0" w:color="auto"/>
              <w:bottom w:val="single" w:sz="6" w:space="0" w:color="auto"/>
              <w:right w:val="single" w:sz="6" w:space="0" w:color="auto"/>
            </w:tcBorders>
          </w:tcPr>
          <w:p w14:paraId="099189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2F5C4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23F6B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1537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FB73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77868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3484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9C12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С-т спроектирован в виде</w:t>
            </w:r>
          </w:p>
        </w:tc>
      </w:tr>
      <w:tr w:rsidR="00DA227A" w:rsidRPr="00E93F40" w14:paraId="4290C6A8" w14:textId="77777777">
        <w:tc>
          <w:tcPr>
            <w:tcW w:w="939" w:type="dxa"/>
            <w:tcBorders>
              <w:top w:val="single" w:sz="6" w:space="0" w:color="auto"/>
              <w:left w:val="single" w:sz="6" w:space="0" w:color="auto"/>
              <w:bottom w:val="single" w:sz="6" w:space="0" w:color="auto"/>
              <w:right w:val="single" w:sz="6" w:space="0" w:color="auto"/>
            </w:tcBorders>
          </w:tcPr>
          <w:p w14:paraId="4561C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522EE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73C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BC4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4817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B5B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8BF3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(выход</w:t>
            </w:r>
          </w:p>
        </w:tc>
        <w:tc>
          <w:tcPr>
            <w:tcW w:w="3883" w:type="dxa"/>
            <w:tcBorders>
              <w:top w:val="single" w:sz="6" w:space="0" w:color="auto"/>
              <w:left w:val="single" w:sz="6" w:space="0" w:color="auto"/>
              <w:bottom w:val="single" w:sz="6" w:space="0" w:color="auto"/>
              <w:right w:val="single" w:sz="6" w:space="0" w:color="auto"/>
            </w:tcBorders>
          </w:tcPr>
          <w:p w14:paraId="6D1B12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полутораплана. Стрелок и летчик </w:t>
            </w:r>
          </w:p>
        </w:tc>
      </w:tr>
      <w:tr w:rsidR="00DA227A" w:rsidRPr="00E93F40" w14:paraId="71AA92CB" w14:textId="77777777">
        <w:tc>
          <w:tcPr>
            <w:tcW w:w="939" w:type="dxa"/>
            <w:tcBorders>
              <w:top w:val="single" w:sz="6" w:space="0" w:color="auto"/>
              <w:left w:val="single" w:sz="6" w:space="0" w:color="auto"/>
              <w:bottom w:val="single" w:sz="6" w:space="0" w:color="auto"/>
              <w:right w:val="single" w:sz="6" w:space="0" w:color="auto"/>
            </w:tcBorders>
          </w:tcPr>
          <w:p w14:paraId="4721E2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FE80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8A8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35C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A88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01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794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p>
        </w:tc>
        <w:tc>
          <w:tcPr>
            <w:tcW w:w="3883" w:type="dxa"/>
            <w:tcBorders>
              <w:top w:val="single" w:sz="6" w:space="0" w:color="auto"/>
              <w:left w:val="single" w:sz="6" w:space="0" w:color="auto"/>
              <w:bottom w:val="single" w:sz="6" w:space="0" w:color="auto"/>
              <w:right w:val="single" w:sz="6" w:space="0" w:color="auto"/>
            </w:tcBorders>
          </w:tcPr>
          <w:p w14:paraId="4C7CFA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находятся в закрытых кабинах).</w:t>
            </w:r>
          </w:p>
        </w:tc>
      </w:tr>
      <w:tr w:rsidR="00DA227A" w:rsidRPr="00E93F40" w14:paraId="341E9900" w14:textId="77777777">
        <w:tc>
          <w:tcPr>
            <w:tcW w:w="939" w:type="dxa"/>
            <w:tcBorders>
              <w:top w:val="single" w:sz="6" w:space="0" w:color="auto"/>
              <w:left w:val="single" w:sz="6" w:space="0" w:color="auto"/>
              <w:bottom w:val="single" w:sz="6" w:space="0" w:color="auto"/>
              <w:right w:val="single" w:sz="6" w:space="0" w:color="auto"/>
            </w:tcBorders>
          </w:tcPr>
          <w:p w14:paraId="37CE7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2816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E47B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70F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83F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737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CC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w:t>
            </w:r>
          </w:p>
        </w:tc>
        <w:tc>
          <w:tcPr>
            <w:tcW w:w="3883" w:type="dxa"/>
            <w:tcBorders>
              <w:top w:val="single" w:sz="6" w:space="0" w:color="auto"/>
              <w:left w:val="single" w:sz="6" w:space="0" w:color="auto"/>
              <w:bottom w:val="single" w:sz="6" w:space="0" w:color="auto"/>
              <w:right w:val="single" w:sz="6" w:space="0" w:color="auto"/>
            </w:tcBorders>
          </w:tcPr>
          <w:p w14:paraId="1304A4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34DF95" w14:textId="77777777">
        <w:tc>
          <w:tcPr>
            <w:tcW w:w="939" w:type="dxa"/>
            <w:tcBorders>
              <w:top w:val="single" w:sz="6" w:space="0" w:color="auto"/>
              <w:left w:val="single" w:sz="6" w:space="0" w:color="auto"/>
              <w:bottom w:val="single" w:sz="6" w:space="0" w:color="auto"/>
              <w:right w:val="single" w:sz="6" w:space="0" w:color="auto"/>
            </w:tcBorders>
          </w:tcPr>
          <w:p w14:paraId="14E05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Ди6-М34 или</w:t>
            </w:r>
          </w:p>
        </w:tc>
        <w:tc>
          <w:tcPr>
            <w:tcW w:w="939" w:type="dxa"/>
            <w:tcBorders>
              <w:top w:val="single" w:sz="6" w:space="0" w:color="auto"/>
              <w:left w:val="single" w:sz="6" w:space="0" w:color="auto"/>
              <w:bottom w:val="single" w:sz="6" w:space="0" w:color="auto"/>
              <w:right w:val="single" w:sz="6" w:space="0" w:color="auto"/>
            </w:tcBorders>
          </w:tcPr>
          <w:p w14:paraId="7D460B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350-375/</w:t>
            </w:r>
          </w:p>
        </w:tc>
        <w:tc>
          <w:tcPr>
            <w:tcW w:w="939" w:type="dxa"/>
            <w:tcBorders>
              <w:top w:val="single" w:sz="6" w:space="0" w:color="auto"/>
              <w:left w:val="single" w:sz="6" w:space="0" w:color="auto"/>
              <w:bottom w:val="single" w:sz="6" w:space="0" w:color="auto"/>
              <w:right w:val="single" w:sz="6" w:space="0" w:color="auto"/>
            </w:tcBorders>
          </w:tcPr>
          <w:p w14:paraId="0324BD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9/5000</w:t>
            </w:r>
          </w:p>
        </w:tc>
        <w:tc>
          <w:tcPr>
            <w:tcW w:w="939" w:type="dxa"/>
            <w:tcBorders>
              <w:top w:val="single" w:sz="6" w:space="0" w:color="auto"/>
              <w:left w:val="single" w:sz="6" w:space="0" w:color="auto"/>
              <w:bottom w:val="single" w:sz="6" w:space="0" w:color="auto"/>
              <w:right w:val="single" w:sz="6" w:space="0" w:color="auto"/>
            </w:tcBorders>
          </w:tcPr>
          <w:p w14:paraId="337F6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3A133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w:t>
            </w:r>
          </w:p>
        </w:tc>
        <w:tc>
          <w:tcPr>
            <w:tcW w:w="939" w:type="dxa"/>
            <w:tcBorders>
              <w:top w:val="single" w:sz="6" w:space="0" w:color="auto"/>
              <w:left w:val="single" w:sz="6" w:space="0" w:color="auto"/>
              <w:bottom w:val="single" w:sz="6" w:space="0" w:color="auto"/>
              <w:right w:val="single" w:sz="6" w:space="0" w:color="auto"/>
            </w:tcBorders>
          </w:tcPr>
          <w:p w14:paraId="0E65D3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73633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3F3CFF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работе по самолетам ЦАГИ не приступало</w:t>
            </w:r>
          </w:p>
        </w:tc>
      </w:tr>
      <w:tr w:rsidR="00DA227A" w:rsidRPr="00E93F40" w14:paraId="208E96CA" w14:textId="77777777">
        <w:tc>
          <w:tcPr>
            <w:tcW w:w="939" w:type="dxa"/>
            <w:tcBorders>
              <w:top w:val="single" w:sz="6" w:space="0" w:color="auto"/>
              <w:left w:val="single" w:sz="6" w:space="0" w:color="auto"/>
              <w:bottom w:val="single" w:sz="6" w:space="0" w:color="auto"/>
              <w:right w:val="single" w:sz="6" w:space="0" w:color="auto"/>
            </w:tcBorders>
          </w:tcPr>
          <w:p w14:paraId="61720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М32</w:t>
            </w:r>
          </w:p>
        </w:tc>
        <w:tc>
          <w:tcPr>
            <w:tcW w:w="939" w:type="dxa"/>
            <w:tcBorders>
              <w:top w:val="single" w:sz="6" w:space="0" w:color="auto"/>
              <w:left w:val="single" w:sz="6" w:space="0" w:color="auto"/>
              <w:bottom w:val="single" w:sz="6" w:space="0" w:color="auto"/>
              <w:right w:val="single" w:sz="6" w:space="0" w:color="auto"/>
            </w:tcBorders>
          </w:tcPr>
          <w:p w14:paraId="6FABC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BF90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D6C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2199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720BF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904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A6F0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CDD35B" w14:textId="77777777">
        <w:tc>
          <w:tcPr>
            <w:tcW w:w="939" w:type="dxa"/>
            <w:tcBorders>
              <w:top w:val="single" w:sz="6" w:space="0" w:color="auto"/>
              <w:left w:val="single" w:sz="6" w:space="0" w:color="auto"/>
              <w:bottom w:val="single" w:sz="6" w:space="0" w:color="auto"/>
              <w:right w:val="single" w:sz="6" w:space="0" w:color="auto"/>
            </w:tcBorders>
          </w:tcPr>
          <w:p w14:paraId="193B78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 местн.</w:t>
            </w:r>
          </w:p>
        </w:tc>
        <w:tc>
          <w:tcPr>
            <w:tcW w:w="939" w:type="dxa"/>
            <w:tcBorders>
              <w:top w:val="single" w:sz="6" w:space="0" w:color="auto"/>
              <w:left w:val="single" w:sz="6" w:space="0" w:color="auto"/>
              <w:bottom w:val="single" w:sz="6" w:space="0" w:color="auto"/>
              <w:right w:val="single" w:sz="6" w:space="0" w:color="auto"/>
            </w:tcBorders>
          </w:tcPr>
          <w:p w14:paraId="198AE4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766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1552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055E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045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00B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AECF7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645FF5" w14:textId="77777777">
        <w:tc>
          <w:tcPr>
            <w:tcW w:w="939" w:type="dxa"/>
            <w:tcBorders>
              <w:top w:val="single" w:sz="6" w:space="0" w:color="auto"/>
              <w:left w:val="single" w:sz="6" w:space="0" w:color="auto"/>
              <w:bottom w:val="single" w:sz="6" w:space="0" w:color="auto"/>
              <w:right w:val="single" w:sz="6" w:space="0" w:color="auto"/>
            </w:tcBorders>
          </w:tcPr>
          <w:p w14:paraId="16324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220181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E3C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BB0A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96F7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A2E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DF36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9464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129EE5" w14:textId="77777777">
        <w:tc>
          <w:tcPr>
            <w:tcW w:w="939" w:type="dxa"/>
            <w:tcBorders>
              <w:top w:val="single" w:sz="6" w:space="0" w:color="auto"/>
              <w:left w:val="single" w:sz="6" w:space="0" w:color="auto"/>
              <w:bottom w:val="single" w:sz="6" w:space="0" w:color="auto"/>
              <w:right w:val="single" w:sz="6" w:space="0" w:color="auto"/>
            </w:tcBorders>
          </w:tcPr>
          <w:p w14:paraId="20C1F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И13-М32</w:t>
            </w:r>
          </w:p>
        </w:tc>
        <w:tc>
          <w:tcPr>
            <w:tcW w:w="939" w:type="dxa"/>
            <w:tcBorders>
              <w:top w:val="single" w:sz="6" w:space="0" w:color="auto"/>
              <w:left w:val="single" w:sz="6" w:space="0" w:color="auto"/>
              <w:bottom w:val="single" w:sz="6" w:space="0" w:color="auto"/>
              <w:right w:val="single" w:sz="6" w:space="0" w:color="auto"/>
            </w:tcBorders>
          </w:tcPr>
          <w:p w14:paraId="4D2D3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350-400/</w:t>
            </w:r>
          </w:p>
        </w:tc>
        <w:tc>
          <w:tcPr>
            <w:tcW w:w="939" w:type="dxa"/>
            <w:tcBorders>
              <w:top w:val="single" w:sz="6" w:space="0" w:color="auto"/>
              <w:left w:val="single" w:sz="6" w:space="0" w:color="auto"/>
              <w:bottom w:val="single" w:sz="6" w:space="0" w:color="auto"/>
              <w:right w:val="single" w:sz="6" w:space="0" w:color="auto"/>
            </w:tcBorders>
          </w:tcPr>
          <w:p w14:paraId="5B9A29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4443A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8000-9000</w:t>
            </w:r>
          </w:p>
        </w:tc>
        <w:tc>
          <w:tcPr>
            <w:tcW w:w="939" w:type="dxa"/>
            <w:tcBorders>
              <w:top w:val="single" w:sz="6" w:space="0" w:color="auto"/>
              <w:left w:val="single" w:sz="6" w:space="0" w:color="auto"/>
              <w:bottom w:val="single" w:sz="6" w:space="0" w:color="auto"/>
              <w:right w:val="single" w:sz="6" w:space="0" w:color="auto"/>
            </w:tcBorders>
          </w:tcPr>
          <w:p w14:paraId="71C96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562D97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2E204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27E144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работе по самолетам ЦАГИ не приступало</w:t>
            </w:r>
          </w:p>
        </w:tc>
      </w:tr>
      <w:tr w:rsidR="00DA227A" w:rsidRPr="00E93F40" w14:paraId="5D494F91" w14:textId="77777777">
        <w:tc>
          <w:tcPr>
            <w:tcW w:w="939" w:type="dxa"/>
            <w:tcBorders>
              <w:top w:val="single" w:sz="6" w:space="0" w:color="auto"/>
              <w:left w:val="single" w:sz="6" w:space="0" w:color="auto"/>
              <w:bottom w:val="single" w:sz="6" w:space="0" w:color="auto"/>
              <w:right w:val="single" w:sz="6" w:space="0" w:color="auto"/>
            </w:tcBorders>
          </w:tcPr>
          <w:p w14:paraId="4D6678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w:t>
            </w:r>
          </w:p>
        </w:tc>
        <w:tc>
          <w:tcPr>
            <w:tcW w:w="939" w:type="dxa"/>
            <w:tcBorders>
              <w:top w:val="single" w:sz="6" w:space="0" w:color="auto"/>
              <w:left w:val="single" w:sz="6" w:space="0" w:color="auto"/>
              <w:bottom w:val="single" w:sz="6" w:space="0" w:color="auto"/>
              <w:right w:val="single" w:sz="6" w:space="0" w:color="auto"/>
            </w:tcBorders>
          </w:tcPr>
          <w:p w14:paraId="6F363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E8FB9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CB1F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80F1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76C882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3FE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E960B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C81822" w14:textId="77777777">
        <w:tc>
          <w:tcPr>
            <w:tcW w:w="939" w:type="dxa"/>
            <w:tcBorders>
              <w:top w:val="single" w:sz="6" w:space="0" w:color="auto"/>
              <w:left w:val="single" w:sz="6" w:space="0" w:color="auto"/>
              <w:bottom w:val="single" w:sz="6" w:space="0" w:color="auto"/>
              <w:right w:val="single" w:sz="6" w:space="0" w:color="auto"/>
            </w:tcBorders>
          </w:tcPr>
          <w:p w14:paraId="607E68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6C7B2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927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799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27D7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8A8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CDD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BEFD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52D59C" w14:textId="77777777">
        <w:tc>
          <w:tcPr>
            <w:tcW w:w="939" w:type="dxa"/>
            <w:tcBorders>
              <w:top w:val="single" w:sz="6" w:space="0" w:color="auto"/>
              <w:left w:val="single" w:sz="6" w:space="0" w:color="auto"/>
              <w:bottom w:val="single" w:sz="6" w:space="0" w:color="auto"/>
              <w:right w:val="single" w:sz="6" w:space="0" w:color="auto"/>
            </w:tcBorders>
          </w:tcPr>
          <w:p w14:paraId="5952A5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И14-М38</w:t>
            </w:r>
          </w:p>
        </w:tc>
        <w:tc>
          <w:tcPr>
            <w:tcW w:w="939" w:type="dxa"/>
            <w:tcBorders>
              <w:top w:val="single" w:sz="6" w:space="0" w:color="auto"/>
              <w:left w:val="single" w:sz="6" w:space="0" w:color="auto"/>
              <w:bottom w:val="single" w:sz="6" w:space="0" w:color="auto"/>
              <w:right w:val="single" w:sz="6" w:space="0" w:color="auto"/>
            </w:tcBorders>
          </w:tcPr>
          <w:p w14:paraId="529A34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340-400/</w:t>
            </w:r>
          </w:p>
        </w:tc>
        <w:tc>
          <w:tcPr>
            <w:tcW w:w="939" w:type="dxa"/>
            <w:tcBorders>
              <w:top w:val="single" w:sz="6" w:space="0" w:color="auto"/>
              <w:left w:val="single" w:sz="6" w:space="0" w:color="auto"/>
              <w:bottom w:val="single" w:sz="6" w:space="0" w:color="auto"/>
              <w:right w:val="single" w:sz="6" w:space="0" w:color="auto"/>
            </w:tcBorders>
          </w:tcPr>
          <w:p w14:paraId="00CA0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62772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107371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37D04C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939" w:type="dxa"/>
            <w:tcBorders>
              <w:top w:val="single" w:sz="6" w:space="0" w:color="auto"/>
              <w:left w:val="single" w:sz="6" w:space="0" w:color="auto"/>
              <w:bottom w:val="single" w:sz="6" w:space="0" w:color="auto"/>
              <w:right w:val="single" w:sz="6" w:space="0" w:color="auto"/>
            </w:tcBorders>
          </w:tcPr>
          <w:p w14:paraId="4D00B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марта</w:t>
            </w:r>
          </w:p>
        </w:tc>
        <w:tc>
          <w:tcPr>
            <w:tcW w:w="3883" w:type="dxa"/>
            <w:tcBorders>
              <w:top w:val="single" w:sz="6" w:space="0" w:color="auto"/>
              <w:left w:val="single" w:sz="6" w:space="0" w:color="auto"/>
              <w:bottom w:val="single" w:sz="6" w:space="0" w:color="auto"/>
              <w:right w:val="single" w:sz="6" w:space="0" w:color="auto"/>
            </w:tcBorders>
          </w:tcPr>
          <w:p w14:paraId="2FC7F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ведет разработку 2-х вариантов с-та.</w:t>
            </w:r>
          </w:p>
        </w:tc>
      </w:tr>
      <w:tr w:rsidR="00DA227A" w:rsidRPr="00E93F40" w14:paraId="1FC58E05" w14:textId="77777777">
        <w:tc>
          <w:tcPr>
            <w:tcW w:w="939" w:type="dxa"/>
            <w:tcBorders>
              <w:top w:val="single" w:sz="6" w:space="0" w:color="auto"/>
              <w:left w:val="single" w:sz="6" w:space="0" w:color="auto"/>
              <w:bottom w:val="single" w:sz="6" w:space="0" w:color="auto"/>
              <w:right w:val="single" w:sz="6" w:space="0" w:color="auto"/>
            </w:tcBorders>
          </w:tcPr>
          <w:p w14:paraId="75D98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w:t>
            </w:r>
          </w:p>
        </w:tc>
        <w:tc>
          <w:tcPr>
            <w:tcW w:w="939" w:type="dxa"/>
            <w:tcBorders>
              <w:top w:val="single" w:sz="6" w:space="0" w:color="auto"/>
              <w:left w:val="single" w:sz="6" w:space="0" w:color="auto"/>
              <w:bottom w:val="single" w:sz="6" w:space="0" w:color="auto"/>
              <w:right w:val="single" w:sz="6" w:space="0" w:color="auto"/>
            </w:tcBorders>
          </w:tcPr>
          <w:p w14:paraId="3510A6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5AC560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0584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939" w:type="dxa"/>
            <w:tcBorders>
              <w:top w:val="single" w:sz="6" w:space="0" w:color="auto"/>
              <w:left w:val="single" w:sz="6" w:space="0" w:color="auto"/>
              <w:bottom w:val="single" w:sz="6" w:space="0" w:color="auto"/>
              <w:right w:val="single" w:sz="6" w:space="0" w:color="auto"/>
            </w:tcBorders>
          </w:tcPr>
          <w:p w14:paraId="2BC41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D027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F3FD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5419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первом варианте самолет является</w:t>
            </w:r>
          </w:p>
        </w:tc>
      </w:tr>
      <w:tr w:rsidR="00DA227A" w:rsidRPr="00E93F40" w14:paraId="14A86152" w14:textId="77777777">
        <w:tc>
          <w:tcPr>
            <w:tcW w:w="939" w:type="dxa"/>
            <w:tcBorders>
              <w:top w:val="single" w:sz="6" w:space="0" w:color="auto"/>
              <w:left w:val="single" w:sz="6" w:space="0" w:color="auto"/>
              <w:bottom w:val="single" w:sz="6" w:space="0" w:color="auto"/>
              <w:right w:val="single" w:sz="6" w:space="0" w:color="auto"/>
            </w:tcBorders>
          </w:tcPr>
          <w:p w14:paraId="78E616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2DF93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AC0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3BE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DFF6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64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53A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5C07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металлич. монопланом, низкопланом, </w:t>
            </w:r>
          </w:p>
        </w:tc>
      </w:tr>
      <w:tr w:rsidR="00DA227A" w:rsidRPr="00E93F40" w14:paraId="475CAE9D" w14:textId="77777777">
        <w:tc>
          <w:tcPr>
            <w:tcW w:w="939" w:type="dxa"/>
            <w:tcBorders>
              <w:top w:val="single" w:sz="6" w:space="0" w:color="auto"/>
              <w:left w:val="single" w:sz="6" w:space="0" w:color="auto"/>
              <w:bottom w:val="single" w:sz="6" w:space="0" w:color="auto"/>
              <w:right w:val="single" w:sz="6" w:space="0" w:color="auto"/>
            </w:tcBorders>
          </w:tcPr>
          <w:p w14:paraId="1AAA53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5E4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78C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B85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7E1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2CF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C1E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3C35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вооруженным двумя пушками ДРП и легким</w:t>
            </w:r>
          </w:p>
        </w:tc>
      </w:tr>
      <w:tr w:rsidR="00DA227A" w:rsidRPr="00E93F40" w14:paraId="5AFF6687" w14:textId="77777777">
        <w:tc>
          <w:tcPr>
            <w:tcW w:w="939" w:type="dxa"/>
            <w:tcBorders>
              <w:top w:val="single" w:sz="6" w:space="0" w:color="auto"/>
              <w:left w:val="single" w:sz="6" w:space="0" w:color="auto"/>
              <w:bottom w:val="single" w:sz="6" w:space="0" w:color="auto"/>
              <w:right w:val="single" w:sz="6" w:space="0" w:color="auto"/>
            </w:tcBorders>
          </w:tcPr>
          <w:p w14:paraId="49A38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B20E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E7F4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914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9E4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E9B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3FF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67CC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пулеметом. Поскольку в данном варианте</w:t>
            </w:r>
          </w:p>
        </w:tc>
      </w:tr>
      <w:tr w:rsidR="00DA227A" w:rsidRPr="00E93F40" w14:paraId="5213AD7C" w14:textId="77777777">
        <w:tc>
          <w:tcPr>
            <w:tcW w:w="939" w:type="dxa"/>
            <w:tcBorders>
              <w:top w:val="single" w:sz="6" w:space="0" w:color="auto"/>
              <w:left w:val="single" w:sz="6" w:space="0" w:color="auto"/>
              <w:bottom w:val="single" w:sz="6" w:space="0" w:color="auto"/>
              <w:right w:val="single" w:sz="6" w:space="0" w:color="auto"/>
            </w:tcBorders>
          </w:tcPr>
          <w:p w14:paraId="130D2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E34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C3A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FA58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112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0705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59D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2CBD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не сможет удовлетоврить требов.</w:t>
            </w:r>
          </w:p>
        </w:tc>
      </w:tr>
      <w:tr w:rsidR="00DA227A" w:rsidRPr="00E93F40" w14:paraId="488E913B" w14:textId="77777777">
        <w:tc>
          <w:tcPr>
            <w:tcW w:w="939" w:type="dxa"/>
            <w:tcBorders>
              <w:top w:val="single" w:sz="6" w:space="0" w:color="auto"/>
              <w:left w:val="single" w:sz="6" w:space="0" w:color="auto"/>
              <w:bottom w:val="single" w:sz="6" w:space="0" w:color="auto"/>
              <w:right w:val="single" w:sz="6" w:space="0" w:color="auto"/>
            </w:tcBorders>
          </w:tcPr>
          <w:p w14:paraId="57F35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6152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A2B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2BB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E3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340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2CEE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BD86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маневренности, 2-й вариант его разрабатыв.</w:t>
            </w:r>
          </w:p>
        </w:tc>
      </w:tr>
      <w:tr w:rsidR="00DA227A" w:rsidRPr="00E93F40" w14:paraId="3A28FAA4" w14:textId="77777777">
        <w:tc>
          <w:tcPr>
            <w:tcW w:w="939" w:type="dxa"/>
            <w:tcBorders>
              <w:top w:val="single" w:sz="6" w:space="0" w:color="auto"/>
              <w:left w:val="single" w:sz="6" w:space="0" w:color="auto"/>
              <w:bottom w:val="single" w:sz="6" w:space="0" w:color="auto"/>
              <w:right w:val="single" w:sz="6" w:space="0" w:color="auto"/>
            </w:tcBorders>
          </w:tcPr>
          <w:p w14:paraId="20666C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54F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7799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445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2C1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A38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F17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E0D3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виде нормального биплана с возможно</w:t>
            </w:r>
          </w:p>
        </w:tc>
      </w:tr>
      <w:tr w:rsidR="00DA227A" w:rsidRPr="00E93F40" w14:paraId="770611B9" w14:textId="77777777">
        <w:tc>
          <w:tcPr>
            <w:tcW w:w="939" w:type="dxa"/>
            <w:tcBorders>
              <w:top w:val="single" w:sz="6" w:space="0" w:color="auto"/>
              <w:left w:val="single" w:sz="6" w:space="0" w:color="auto"/>
              <w:bottom w:val="single" w:sz="6" w:space="0" w:color="auto"/>
              <w:right w:val="single" w:sz="6" w:space="0" w:color="auto"/>
            </w:tcBorders>
          </w:tcPr>
          <w:p w14:paraId="51244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2E6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E66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C24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071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9DB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F70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0F74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малыми размерами. Макеты обоих вар-тов</w:t>
            </w:r>
          </w:p>
        </w:tc>
      </w:tr>
      <w:tr w:rsidR="00DA227A" w:rsidRPr="00E93F40" w14:paraId="21F6B81A" w14:textId="77777777">
        <w:tc>
          <w:tcPr>
            <w:tcW w:w="939" w:type="dxa"/>
            <w:tcBorders>
              <w:top w:val="single" w:sz="6" w:space="0" w:color="auto"/>
              <w:left w:val="single" w:sz="6" w:space="0" w:color="auto"/>
              <w:bottom w:val="single" w:sz="6" w:space="0" w:color="auto"/>
              <w:right w:val="single" w:sz="6" w:space="0" w:color="auto"/>
            </w:tcBorders>
          </w:tcPr>
          <w:p w14:paraId="3EE2C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F98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AC5A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0FC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D59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CCF8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646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075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находятся в постройке. Конструкция </w:t>
            </w:r>
          </w:p>
        </w:tc>
      </w:tr>
      <w:tr w:rsidR="00DA227A" w:rsidRPr="00E93F40" w14:paraId="56E596B3" w14:textId="77777777">
        <w:tc>
          <w:tcPr>
            <w:tcW w:w="939" w:type="dxa"/>
            <w:tcBorders>
              <w:top w:val="single" w:sz="6" w:space="0" w:color="auto"/>
              <w:left w:val="single" w:sz="6" w:space="0" w:color="auto"/>
              <w:bottom w:val="single" w:sz="6" w:space="0" w:color="auto"/>
              <w:right w:val="single" w:sz="6" w:space="0" w:color="auto"/>
            </w:tcBorders>
          </w:tcPr>
          <w:p w14:paraId="11017E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6C8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16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631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4CF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0B38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7BB5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4E6D7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первого варианта разрабатывается.</w:t>
            </w:r>
          </w:p>
        </w:tc>
      </w:tr>
      <w:tr w:rsidR="00DA227A" w:rsidRPr="00E93F40" w14:paraId="35041450" w14:textId="77777777">
        <w:tc>
          <w:tcPr>
            <w:tcW w:w="939" w:type="dxa"/>
            <w:tcBorders>
              <w:top w:val="single" w:sz="6" w:space="0" w:color="auto"/>
              <w:left w:val="single" w:sz="6" w:space="0" w:color="auto"/>
              <w:bottom w:val="single" w:sz="6" w:space="0" w:color="auto"/>
              <w:right w:val="single" w:sz="6" w:space="0" w:color="auto"/>
            </w:tcBorders>
          </w:tcPr>
          <w:p w14:paraId="40D32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ВС2-2М52</w:t>
            </w:r>
          </w:p>
        </w:tc>
        <w:tc>
          <w:tcPr>
            <w:tcW w:w="939" w:type="dxa"/>
            <w:tcBorders>
              <w:top w:val="single" w:sz="6" w:space="0" w:color="auto"/>
              <w:left w:val="single" w:sz="6" w:space="0" w:color="auto"/>
              <w:bottom w:val="single" w:sz="6" w:space="0" w:color="auto"/>
              <w:right w:val="single" w:sz="6" w:space="0" w:color="auto"/>
            </w:tcBorders>
          </w:tcPr>
          <w:p w14:paraId="7F45E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3701A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12/3000</w:t>
            </w:r>
          </w:p>
        </w:tc>
        <w:tc>
          <w:tcPr>
            <w:tcW w:w="939" w:type="dxa"/>
            <w:tcBorders>
              <w:top w:val="single" w:sz="6" w:space="0" w:color="auto"/>
              <w:left w:val="single" w:sz="6" w:space="0" w:color="auto"/>
              <w:bottom w:val="single" w:sz="6" w:space="0" w:color="auto"/>
              <w:right w:val="single" w:sz="6" w:space="0" w:color="auto"/>
            </w:tcBorders>
          </w:tcPr>
          <w:p w14:paraId="561CB2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5FC8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652439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c>
          <w:tcPr>
            <w:tcW w:w="939" w:type="dxa"/>
            <w:tcBorders>
              <w:top w:val="single" w:sz="6" w:space="0" w:color="auto"/>
              <w:left w:val="single" w:sz="6" w:space="0" w:color="auto"/>
              <w:bottom w:val="single" w:sz="6" w:space="0" w:color="auto"/>
              <w:right w:val="single" w:sz="6" w:space="0" w:color="auto"/>
            </w:tcBorders>
          </w:tcPr>
          <w:p w14:paraId="39BFD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1076B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(ГРОСС) к работам по самолету не</w:t>
            </w:r>
          </w:p>
        </w:tc>
      </w:tr>
      <w:tr w:rsidR="00DA227A" w:rsidRPr="00E93F40" w14:paraId="12A55CB1" w14:textId="77777777">
        <w:tc>
          <w:tcPr>
            <w:tcW w:w="939" w:type="dxa"/>
            <w:tcBorders>
              <w:top w:val="single" w:sz="6" w:space="0" w:color="auto"/>
              <w:left w:val="single" w:sz="6" w:space="0" w:color="auto"/>
              <w:bottom w:val="single" w:sz="6" w:space="0" w:color="auto"/>
              <w:right w:val="single" w:sz="6" w:space="0" w:color="auto"/>
            </w:tcBorders>
          </w:tcPr>
          <w:p w14:paraId="788C1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w:t>
            </w:r>
          </w:p>
        </w:tc>
        <w:tc>
          <w:tcPr>
            <w:tcW w:w="939" w:type="dxa"/>
            <w:tcBorders>
              <w:top w:val="single" w:sz="6" w:space="0" w:color="auto"/>
              <w:left w:val="single" w:sz="6" w:space="0" w:color="auto"/>
              <w:bottom w:val="single" w:sz="6" w:space="0" w:color="auto"/>
              <w:right w:val="single" w:sz="6" w:space="0" w:color="auto"/>
            </w:tcBorders>
          </w:tcPr>
          <w:p w14:paraId="3291D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7261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0A8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A52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27CBC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2C10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8760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приступало ввиду загруженности по</w:t>
            </w:r>
          </w:p>
        </w:tc>
      </w:tr>
      <w:tr w:rsidR="00DA227A" w:rsidRPr="00E93F40" w14:paraId="7EAD5684" w14:textId="77777777">
        <w:tc>
          <w:tcPr>
            <w:tcW w:w="939" w:type="dxa"/>
            <w:tcBorders>
              <w:top w:val="single" w:sz="6" w:space="0" w:color="auto"/>
              <w:left w:val="single" w:sz="6" w:space="0" w:color="auto"/>
              <w:bottom w:val="single" w:sz="6" w:space="0" w:color="auto"/>
              <w:right w:val="single" w:sz="6" w:space="0" w:color="auto"/>
            </w:tcBorders>
          </w:tcPr>
          <w:p w14:paraId="6CE1B3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29C0D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D8CE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780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A521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0E4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E39D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0141D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самолету К-7.</w:t>
            </w:r>
          </w:p>
        </w:tc>
      </w:tr>
      <w:tr w:rsidR="00DA227A" w:rsidRPr="00E93F40" w14:paraId="2C774076" w14:textId="77777777">
        <w:tc>
          <w:tcPr>
            <w:tcW w:w="939" w:type="dxa"/>
            <w:tcBorders>
              <w:top w:val="single" w:sz="6" w:space="0" w:color="auto"/>
              <w:left w:val="single" w:sz="6" w:space="0" w:color="auto"/>
              <w:bottom w:val="single" w:sz="6" w:space="0" w:color="auto"/>
              <w:right w:val="single" w:sz="6" w:space="0" w:color="auto"/>
            </w:tcBorders>
          </w:tcPr>
          <w:p w14:paraId="5ADD11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Корректир.,</w:t>
            </w:r>
          </w:p>
        </w:tc>
        <w:tc>
          <w:tcPr>
            <w:tcW w:w="939" w:type="dxa"/>
            <w:tcBorders>
              <w:top w:val="single" w:sz="6" w:space="0" w:color="auto"/>
              <w:left w:val="single" w:sz="6" w:space="0" w:color="auto"/>
              <w:bottom w:val="single" w:sz="6" w:space="0" w:color="auto"/>
              <w:right w:val="single" w:sz="6" w:space="0" w:color="auto"/>
            </w:tcBorders>
          </w:tcPr>
          <w:p w14:paraId="6DF9C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D73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E189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66E4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AD8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309A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8980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153B62" w14:textId="77777777">
        <w:tc>
          <w:tcPr>
            <w:tcW w:w="939" w:type="dxa"/>
            <w:tcBorders>
              <w:top w:val="single" w:sz="6" w:space="0" w:color="auto"/>
              <w:left w:val="single" w:sz="6" w:space="0" w:color="auto"/>
              <w:bottom w:val="single" w:sz="6" w:space="0" w:color="auto"/>
              <w:right w:val="single" w:sz="6" w:space="0" w:color="auto"/>
            </w:tcBorders>
          </w:tcPr>
          <w:p w14:paraId="75F0C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31B25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74D4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003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259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459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3437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43576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7F6235" w14:textId="77777777">
        <w:tc>
          <w:tcPr>
            <w:tcW w:w="939" w:type="dxa"/>
            <w:tcBorders>
              <w:top w:val="single" w:sz="6" w:space="0" w:color="auto"/>
              <w:left w:val="single" w:sz="6" w:space="0" w:color="auto"/>
              <w:bottom w:val="single" w:sz="6" w:space="0" w:color="auto"/>
              <w:right w:val="single" w:sz="6" w:space="0" w:color="auto"/>
            </w:tcBorders>
          </w:tcPr>
          <w:p w14:paraId="7393F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химический,</w:t>
            </w:r>
          </w:p>
        </w:tc>
        <w:tc>
          <w:tcPr>
            <w:tcW w:w="939" w:type="dxa"/>
            <w:tcBorders>
              <w:top w:val="single" w:sz="6" w:space="0" w:color="auto"/>
              <w:left w:val="single" w:sz="6" w:space="0" w:color="auto"/>
              <w:bottom w:val="single" w:sz="6" w:space="0" w:color="auto"/>
              <w:right w:val="single" w:sz="6" w:space="0" w:color="auto"/>
            </w:tcBorders>
          </w:tcPr>
          <w:p w14:paraId="0E333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E941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7DC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F9D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B904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FBA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D02A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D74132" w14:textId="77777777">
        <w:tc>
          <w:tcPr>
            <w:tcW w:w="939" w:type="dxa"/>
            <w:tcBorders>
              <w:top w:val="single" w:sz="6" w:space="0" w:color="auto"/>
              <w:left w:val="single" w:sz="6" w:space="0" w:color="auto"/>
              <w:bottom w:val="single" w:sz="6" w:space="0" w:color="auto"/>
              <w:right w:val="single" w:sz="6" w:space="0" w:color="auto"/>
            </w:tcBorders>
          </w:tcPr>
          <w:p w14:paraId="56E77A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фотосъемщик,</w:t>
            </w:r>
          </w:p>
        </w:tc>
        <w:tc>
          <w:tcPr>
            <w:tcW w:w="939" w:type="dxa"/>
            <w:tcBorders>
              <w:top w:val="single" w:sz="6" w:space="0" w:color="auto"/>
              <w:left w:val="single" w:sz="6" w:space="0" w:color="auto"/>
              <w:bottom w:val="single" w:sz="6" w:space="0" w:color="auto"/>
              <w:right w:val="single" w:sz="6" w:space="0" w:color="auto"/>
            </w:tcBorders>
          </w:tcPr>
          <w:p w14:paraId="094E76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2B1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1DEE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596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946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0F7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ACB0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2F7365" w14:textId="77777777">
        <w:tc>
          <w:tcPr>
            <w:tcW w:w="939" w:type="dxa"/>
            <w:tcBorders>
              <w:top w:val="single" w:sz="6" w:space="0" w:color="auto"/>
              <w:left w:val="single" w:sz="6" w:space="0" w:color="auto"/>
              <w:bottom w:val="single" w:sz="6" w:space="0" w:color="auto"/>
              <w:right w:val="single" w:sz="6" w:space="0" w:color="auto"/>
            </w:tcBorders>
          </w:tcPr>
          <w:p w14:paraId="54ECF0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санитарный,</w:t>
            </w:r>
          </w:p>
        </w:tc>
        <w:tc>
          <w:tcPr>
            <w:tcW w:w="939" w:type="dxa"/>
            <w:tcBorders>
              <w:top w:val="single" w:sz="6" w:space="0" w:color="auto"/>
              <w:left w:val="single" w:sz="6" w:space="0" w:color="auto"/>
              <w:bottom w:val="single" w:sz="6" w:space="0" w:color="auto"/>
              <w:right w:val="single" w:sz="6" w:space="0" w:color="auto"/>
            </w:tcBorders>
          </w:tcPr>
          <w:p w14:paraId="20C24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5A5A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5D1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843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F843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33B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0710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FB9909" w14:textId="77777777">
        <w:tc>
          <w:tcPr>
            <w:tcW w:w="939" w:type="dxa"/>
            <w:tcBorders>
              <w:top w:val="single" w:sz="6" w:space="0" w:color="auto"/>
              <w:left w:val="single" w:sz="6" w:space="0" w:color="auto"/>
              <w:bottom w:val="single" w:sz="6" w:space="0" w:color="auto"/>
              <w:right w:val="single" w:sz="6" w:space="0" w:color="auto"/>
            </w:tcBorders>
          </w:tcPr>
          <w:p w14:paraId="196AD6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w:t>
            </w:r>
          </w:p>
        </w:tc>
        <w:tc>
          <w:tcPr>
            <w:tcW w:w="939" w:type="dxa"/>
            <w:tcBorders>
              <w:top w:val="single" w:sz="6" w:space="0" w:color="auto"/>
              <w:left w:val="single" w:sz="6" w:space="0" w:color="auto"/>
              <w:bottom w:val="single" w:sz="6" w:space="0" w:color="auto"/>
              <w:right w:val="single" w:sz="6" w:space="0" w:color="auto"/>
            </w:tcBorders>
          </w:tcPr>
          <w:p w14:paraId="32BEC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2BC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B9D1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A1D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E404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9B88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8C8A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393C5F" w14:textId="77777777">
        <w:tc>
          <w:tcPr>
            <w:tcW w:w="939" w:type="dxa"/>
            <w:tcBorders>
              <w:top w:val="single" w:sz="6" w:space="0" w:color="auto"/>
              <w:left w:val="single" w:sz="6" w:space="0" w:color="auto"/>
              <w:bottom w:val="single" w:sz="6" w:space="0" w:color="auto"/>
              <w:right w:val="single" w:sz="6" w:space="0" w:color="auto"/>
            </w:tcBorders>
          </w:tcPr>
          <w:p w14:paraId="532AE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П3-М52</w:t>
            </w:r>
          </w:p>
        </w:tc>
        <w:tc>
          <w:tcPr>
            <w:tcW w:w="939" w:type="dxa"/>
            <w:tcBorders>
              <w:top w:val="single" w:sz="6" w:space="0" w:color="auto"/>
              <w:left w:val="single" w:sz="6" w:space="0" w:color="auto"/>
              <w:bottom w:val="single" w:sz="6" w:space="0" w:color="auto"/>
              <w:right w:val="single" w:sz="6" w:space="0" w:color="auto"/>
            </w:tcBorders>
          </w:tcPr>
          <w:p w14:paraId="2F819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1A317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63680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3E06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73BFC8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1F8E8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3AB65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ГУГВФ до наст. вр. работы по самолету</w:t>
            </w:r>
          </w:p>
        </w:tc>
      </w:tr>
      <w:tr w:rsidR="00DA227A" w:rsidRPr="00E93F40" w14:paraId="6DB92676" w14:textId="77777777">
        <w:tc>
          <w:tcPr>
            <w:tcW w:w="939" w:type="dxa"/>
            <w:tcBorders>
              <w:top w:val="single" w:sz="6" w:space="0" w:color="auto"/>
              <w:left w:val="single" w:sz="6" w:space="0" w:color="auto"/>
              <w:bottom w:val="single" w:sz="6" w:space="0" w:color="auto"/>
              <w:right w:val="single" w:sz="6" w:space="0" w:color="auto"/>
            </w:tcBorders>
          </w:tcPr>
          <w:p w14:paraId="0BCDB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 для</w:t>
            </w:r>
          </w:p>
        </w:tc>
        <w:tc>
          <w:tcPr>
            <w:tcW w:w="939" w:type="dxa"/>
            <w:tcBorders>
              <w:top w:val="single" w:sz="6" w:space="0" w:color="auto"/>
              <w:left w:val="single" w:sz="6" w:space="0" w:color="auto"/>
              <w:bottom w:val="single" w:sz="6" w:space="0" w:color="auto"/>
              <w:right w:val="single" w:sz="6" w:space="0" w:color="auto"/>
            </w:tcBorders>
          </w:tcPr>
          <w:p w14:paraId="6D5E7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752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22D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271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645FA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BFD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2C5C58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ведет.</w:t>
            </w:r>
          </w:p>
        </w:tc>
      </w:tr>
      <w:tr w:rsidR="00DA227A" w:rsidRPr="00E93F40" w14:paraId="4C4EDB5B" w14:textId="77777777">
        <w:tc>
          <w:tcPr>
            <w:tcW w:w="939" w:type="dxa"/>
            <w:tcBorders>
              <w:top w:val="single" w:sz="6" w:space="0" w:color="auto"/>
              <w:left w:val="single" w:sz="6" w:space="0" w:color="auto"/>
              <w:bottom w:val="single" w:sz="6" w:space="0" w:color="auto"/>
              <w:right w:val="single" w:sz="6" w:space="0" w:color="auto"/>
            </w:tcBorders>
          </w:tcPr>
          <w:p w14:paraId="730567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школ, корпусн.</w:t>
            </w:r>
          </w:p>
        </w:tc>
        <w:tc>
          <w:tcPr>
            <w:tcW w:w="939" w:type="dxa"/>
            <w:tcBorders>
              <w:top w:val="single" w:sz="6" w:space="0" w:color="auto"/>
              <w:left w:val="single" w:sz="6" w:space="0" w:color="auto"/>
              <w:bottom w:val="single" w:sz="6" w:space="0" w:color="auto"/>
              <w:right w:val="single" w:sz="6" w:space="0" w:color="auto"/>
            </w:tcBorders>
          </w:tcPr>
          <w:p w14:paraId="314ED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0D4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79EB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3D0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0247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8A2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3BFB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5DAE61" w14:textId="77777777">
        <w:tc>
          <w:tcPr>
            <w:tcW w:w="939" w:type="dxa"/>
            <w:tcBorders>
              <w:top w:val="single" w:sz="6" w:space="0" w:color="auto"/>
              <w:left w:val="single" w:sz="6" w:space="0" w:color="auto"/>
              <w:bottom w:val="single" w:sz="6" w:space="0" w:color="auto"/>
              <w:right w:val="single" w:sz="6" w:space="0" w:color="auto"/>
            </w:tcBorders>
          </w:tcPr>
          <w:p w14:paraId="0841F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669341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566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02CE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C22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3D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4DB2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8D7B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6CC1F7" w14:textId="77777777">
        <w:tc>
          <w:tcPr>
            <w:tcW w:w="939" w:type="dxa"/>
            <w:tcBorders>
              <w:top w:val="single" w:sz="6" w:space="0" w:color="auto"/>
              <w:left w:val="single" w:sz="6" w:space="0" w:color="auto"/>
              <w:bottom w:val="single" w:sz="6" w:space="0" w:color="auto"/>
              <w:right w:val="single" w:sz="6" w:space="0" w:color="auto"/>
            </w:tcBorders>
          </w:tcPr>
          <w:p w14:paraId="32F7A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местной</w:t>
            </w:r>
          </w:p>
        </w:tc>
        <w:tc>
          <w:tcPr>
            <w:tcW w:w="939" w:type="dxa"/>
            <w:tcBorders>
              <w:top w:val="single" w:sz="6" w:space="0" w:color="auto"/>
              <w:left w:val="single" w:sz="6" w:space="0" w:color="auto"/>
              <w:bottom w:val="single" w:sz="6" w:space="0" w:color="auto"/>
              <w:right w:val="single" w:sz="6" w:space="0" w:color="auto"/>
            </w:tcBorders>
          </w:tcPr>
          <w:p w14:paraId="60F1B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269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94F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B0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21D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9B0C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42988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38BABC" w14:textId="77777777">
        <w:tc>
          <w:tcPr>
            <w:tcW w:w="939" w:type="dxa"/>
            <w:tcBorders>
              <w:top w:val="single" w:sz="6" w:space="0" w:color="auto"/>
              <w:left w:val="single" w:sz="6" w:space="0" w:color="auto"/>
              <w:bottom w:val="single" w:sz="6" w:space="0" w:color="auto"/>
              <w:right w:val="single" w:sz="6" w:space="0" w:color="auto"/>
            </w:tcBorders>
          </w:tcPr>
          <w:p w14:paraId="2F5A0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авиации)</w:t>
            </w:r>
          </w:p>
        </w:tc>
        <w:tc>
          <w:tcPr>
            <w:tcW w:w="939" w:type="dxa"/>
            <w:tcBorders>
              <w:top w:val="single" w:sz="6" w:space="0" w:color="auto"/>
              <w:left w:val="single" w:sz="6" w:space="0" w:color="auto"/>
              <w:bottom w:val="single" w:sz="6" w:space="0" w:color="auto"/>
              <w:right w:val="single" w:sz="6" w:space="0" w:color="auto"/>
            </w:tcBorders>
          </w:tcPr>
          <w:p w14:paraId="2B3BF5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4E0E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9B87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BC3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E77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71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D058E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3BB242" w14:textId="77777777">
        <w:tc>
          <w:tcPr>
            <w:tcW w:w="939" w:type="dxa"/>
            <w:tcBorders>
              <w:top w:val="single" w:sz="6" w:space="0" w:color="auto"/>
              <w:left w:val="single" w:sz="6" w:space="0" w:color="auto"/>
              <w:bottom w:val="single" w:sz="6" w:space="0" w:color="auto"/>
              <w:right w:val="single" w:sz="6" w:space="0" w:color="auto"/>
            </w:tcBorders>
          </w:tcPr>
          <w:p w14:paraId="1060B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У3-М48</w:t>
            </w:r>
          </w:p>
        </w:tc>
        <w:tc>
          <w:tcPr>
            <w:tcW w:w="939" w:type="dxa"/>
            <w:tcBorders>
              <w:top w:val="single" w:sz="6" w:space="0" w:color="auto"/>
              <w:left w:val="single" w:sz="6" w:space="0" w:color="auto"/>
              <w:bottom w:val="single" w:sz="6" w:space="0" w:color="auto"/>
              <w:right w:val="single" w:sz="6" w:space="0" w:color="auto"/>
            </w:tcBorders>
          </w:tcPr>
          <w:p w14:paraId="6856DE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180/1000</w:t>
            </w:r>
          </w:p>
        </w:tc>
        <w:tc>
          <w:tcPr>
            <w:tcW w:w="939" w:type="dxa"/>
            <w:tcBorders>
              <w:top w:val="single" w:sz="6" w:space="0" w:color="auto"/>
              <w:left w:val="single" w:sz="6" w:space="0" w:color="auto"/>
              <w:bottom w:val="single" w:sz="6" w:space="0" w:color="auto"/>
              <w:right w:val="single" w:sz="6" w:space="0" w:color="auto"/>
            </w:tcBorders>
          </w:tcPr>
          <w:p w14:paraId="67AEE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C07D7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13E1CD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588D8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939" w:type="dxa"/>
            <w:tcBorders>
              <w:top w:val="single" w:sz="6" w:space="0" w:color="auto"/>
              <w:left w:val="single" w:sz="6" w:space="0" w:color="auto"/>
              <w:bottom w:val="single" w:sz="6" w:space="0" w:color="auto"/>
              <w:right w:val="single" w:sz="6" w:space="0" w:color="auto"/>
            </w:tcBorders>
          </w:tcPr>
          <w:p w14:paraId="478D4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марта</w:t>
            </w:r>
          </w:p>
        </w:tc>
        <w:tc>
          <w:tcPr>
            <w:tcW w:w="3883" w:type="dxa"/>
            <w:tcBorders>
              <w:top w:val="single" w:sz="6" w:space="0" w:color="auto"/>
              <w:left w:val="single" w:sz="6" w:space="0" w:color="auto"/>
              <w:bottom w:val="single" w:sz="6" w:space="0" w:color="auto"/>
              <w:right w:val="single" w:sz="6" w:space="0" w:color="auto"/>
            </w:tcBorders>
          </w:tcPr>
          <w:p w14:paraId="121BB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 приступил к разработке конструкции</w:t>
            </w:r>
          </w:p>
        </w:tc>
      </w:tr>
      <w:tr w:rsidR="00DA227A" w:rsidRPr="00E93F40" w14:paraId="3D2D42DE" w14:textId="77777777">
        <w:tc>
          <w:tcPr>
            <w:tcW w:w="939" w:type="dxa"/>
            <w:tcBorders>
              <w:top w:val="single" w:sz="6" w:space="0" w:color="auto"/>
              <w:left w:val="single" w:sz="6" w:space="0" w:color="auto"/>
              <w:bottom w:val="single" w:sz="6" w:space="0" w:color="auto"/>
              <w:right w:val="single" w:sz="6" w:space="0" w:color="auto"/>
            </w:tcBorders>
          </w:tcPr>
          <w:p w14:paraId="29327C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(Учебный</w:t>
            </w:r>
          </w:p>
        </w:tc>
        <w:tc>
          <w:tcPr>
            <w:tcW w:w="939" w:type="dxa"/>
            <w:tcBorders>
              <w:top w:val="single" w:sz="6" w:space="0" w:color="auto"/>
              <w:left w:val="single" w:sz="6" w:space="0" w:color="auto"/>
              <w:bottom w:val="single" w:sz="6" w:space="0" w:color="auto"/>
              <w:right w:val="single" w:sz="6" w:space="0" w:color="auto"/>
            </w:tcBorders>
          </w:tcPr>
          <w:p w14:paraId="10E4A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735A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66A3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8A07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455E3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3986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1BE863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w:t>
            </w:r>
          </w:p>
        </w:tc>
      </w:tr>
      <w:tr w:rsidR="00DA227A" w:rsidRPr="00E93F40" w14:paraId="38A6E48F" w14:textId="77777777">
        <w:tc>
          <w:tcPr>
            <w:tcW w:w="939" w:type="dxa"/>
            <w:tcBorders>
              <w:top w:val="single" w:sz="6" w:space="0" w:color="auto"/>
              <w:left w:val="single" w:sz="6" w:space="0" w:color="auto"/>
              <w:bottom w:val="single" w:sz="6" w:space="0" w:color="auto"/>
              <w:right w:val="single" w:sz="6" w:space="0" w:color="auto"/>
            </w:tcBorders>
          </w:tcPr>
          <w:p w14:paraId="0C6B01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001C2D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FDD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043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F8D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C64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CDB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30883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6B90A1" w14:textId="77777777">
        <w:tc>
          <w:tcPr>
            <w:tcW w:w="939" w:type="dxa"/>
            <w:tcBorders>
              <w:top w:val="single" w:sz="6" w:space="0" w:color="auto"/>
              <w:left w:val="single" w:sz="6" w:space="0" w:color="auto"/>
              <w:bottom w:val="single" w:sz="6" w:space="0" w:color="auto"/>
              <w:right w:val="single" w:sz="6" w:space="0" w:color="auto"/>
            </w:tcBorders>
          </w:tcPr>
          <w:p w14:paraId="759B1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для</w:t>
            </w:r>
          </w:p>
        </w:tc>
        <w:tc>
          <w:tcPr>
            <w:tcW w:w="939" w:type="dxa"/>
            <w:tcBorders>
              <w:top w:val="single" w:sz="6" w:space="0" w:color="auto"/>
              <w:left w:val="single" w:sz="6" w:space="0" w:color="auto"/>
              <w:bottom w:val="single" w:sz="6" w:space="0" w:color="auto"/>
              <w:right w:val="single" w:sz="6" w:space="0" w:color="auto"/>
            </w:tcBorders>
          </w:tcPr>
          <w:p w14:paraId="59695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9C8D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E872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776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6977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196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D932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FDB327" w14:textId="77777777">
        <w:tc>
          <w:tcPr>
            <w:tcW w:w="939" w:type="dxa"/>
            <w:tcBorders>
              <w:top w:val="single" w:sz="6" w:space="0" w:color="auto"/>
              <w:left w:val="single" w:sz="6" w:space="0" w:color="auto"/>
              <w:bottom w:val="single" w:sz="6" w:space="0" w:color="auto"/>
              <w:right w:val="single" w:sz="6" w:space="0" w:color="auto"/>
            </w:tcBorders>
          </w:tcPr>
          <w:p w14:paraId="239870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связи и</w:t>
            </w:r>
          </w:p>
        </w:tc>
        <w:tc>
          <w:tcPr>
            <w:tcW w:w="939" w:type="dxa"/>
            <w:tcBorders>
              <w:top w:val="single" w:sz="6" w:space="0" w:color="auto"/>
              <w:left w:val="single" w:sz="6" w:space="0" w:color="auto"/>
              <w:bottom w:val="single" w:sz="6" w:space="0" w:color="auto"/>
              <w:right w:val="single" w:sz="6" w:space="0" w:color="auto"/>
            </w:tcBorders>
          </w:tcPr>
          <w:p w14:paraId="2A13E8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D9C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FE8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59A2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C070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A99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44A50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3950DF" w14:textId="77777777">
        <w:tc>
          <w:tcPr>
            <w:tcW w:w="939" w:type="dxa"/>
            <w:tcBorders>
              <w:top w:val="single" w:sz="6" w:space="0" w:color="auto"/>
              <w:left w:val="single" w:sz="6" w:space="0" w:color="auto"/>
              <w:bottom w:val="nil"/>
              <w:right w:val="single" w:sz="6" w:space="0" w:color="auto"/>
            </w:tcBorders>
          </w:tcPr>
          <w:p w14:paraId="5CCED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сопровожд.,</w:t>
            </w:r>
          </w:p>
        </w:tc>
        <w:tc>
          <w:tcPr>
            <w:tcW w:w="939" w:type="dxa"/>
            <w:tcBorders>
              <w:top w:val="single" w:sz="6" w:space="0" w:color="auto"/>
              <w:left w:val="single" w:sz="6" w:space="0" w:color="auto"/>
              <w:bottom w:val="nil"/>
              <w:right w:val="single" w:sz="6" w:space="0" w:color="auto"/>
            </w:tcBorders>
          </w:tcPr>
          <w:p w14:paraId="06D217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44D83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35B7C6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664F82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34FF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7DFB0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nil"/>
              <w:right w:val="single" w:sz="6" w:space="0" w:color="auto"/>
            </w:tcBorders>
          </w:tcPr>
          <w:p w14:paraId="216664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9C568A" w14:textId="77777777">
        <w:tc>
          <w:tcPr>
            <w:tcW w:w="939" w:type="dxa"/>
            <w:tcBorders>
              <w:top w:val="single" w:sz="6" w:space="0" w:color="auto"/>
              <w:left w:val="single" w:sz="6" w:space="0" w:color="auto"/>
              <w:bottom w:val="single" w:sz="6" w:space="0" w:color="auto"/>
              <w:right w:val="single" w:sz="6" w:space="0" w:color="auto"/>
            </w:tcBorders>
          </w:tcPr>
          <w:p w14:paraId="61E07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туризма,</w:t>
            </w:r>
          </w:p>
        </w:tc>
        <w:tc>
          <w:tcPr>
            <w:tcW w:w="939" w:type="dxa"/>
            <w:tcBorders>
              <w:top w:val="single" w:sz="6" w:space="0" w:color="auto"/>
              <w:left w:val="single" w:sz="6" w:space="0" w:color="auto"/>
              <w:bottom w:val="single" w:sz="6" w:space="0" w:color="auto"/>
              <w:right w:val="single" w:sz="6" w:space="0" w:color="auto"/>
            </w:tcBorders>
          </w:tcPr>
          <w:p w14:paraId="7B4B6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7B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E7D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DDD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AF13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8DDE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79977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0CE154" w14:textId="77777777">
        <w:tc>
          <w:tcPr>
            <w:tcW w:w="939" w:type="dxa"/>
            <w:tcBorders>
              <w:top w:val="single" w:sz="6" w:space="0" w:color="auto"/>
              <w:left w:val="single" w:sz="6" w:space="0" w:color="auto"/>
              <w:bottom w:val="single" w:sz="6" w:space="0" w:color="auto"/>
              <w:right w:val="single" w:sz="6" w:space="0" w:color="auto"/>
            </w:tcBorders>
          </w:tcPr>
          <w:p w14:paraId="59B09F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местн.</w:t>
            </w:r>
          </w:p>
        </w:tc>
        <w:tc>
          <w:tcPr>
            <w:tcW w:w="939" w:type="dxa"/>
            <w:tcBorders>
              <w:top w:val="single" w:sz="6" w:space="0" w:color="auto"/>
              <w:left w:val="single" w:sz="6" w:space="0" w:color="auto"/>
              <w:bottom w:val="single" w:sz="6" w:space="0" w:color="auto"/>
              <w:right w:val="single" w:sz="6" w:space="0" w:color="auto"/>
            </w:tcBorders>
          </w:tcPr>
          <w:p w14:paraId="67EDB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48D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7EDA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800F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EAC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F9BE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5142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797B02" w14:textId="77777777">
        <w:tc>
          <w:tcPr>
            <w:tcW w:w="939" w:type="dxa"/>
            <w:tcBorders>
              <w:top w:val="single" w:sz="6" w:space="0" w:color="auto"/>
              <w:left w:val="single" w:sz="6" w:space="0" w:color="auto"/>
              <w:bottom w:val="single" w:sz="6" w:space="0" w:color="auto"/>
              <w:right w:val="single" w:sz="6" w:space="0" w:color="auto"/>
            </w:tcBorders>
          </w:tcPr>
          <w:p w14:paraId="732D54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авиации,</w:t>
            </w:r>
          </w:p>
        </w:tc>
        <w:tc>
          <w:tcPr>
            <w:tcW w:w="939" w:type="dxa"/>
            <w:tcBorders>
              <w:top w:val="single" w:sz="6" w:space="0" w:color="auto"/>
              <w:left w:val="single" w:sz="6" w:space="0" w:color="auto"/>
              <w:bottom w:val="single" w:sz="6" w:space="0" w:color="auto"/>
              <w:right w:val="single" w:sz="6" w:space="0" w:color="auto"/>
            </w:tcBorders>
          </w:tcPr>
          <w:p w14:paraId="2D02CA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2B7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32C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5C7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304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6150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356E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3B6DB1" w14:textId="77777777">
        <w:tc>
          <w:tcPr>
            <w:tcW w:w="939" w:type="dxa"/>
            <w:tcBorders>
              <w:top w:val="single" w:sz="6" w:space="0" w:color="auto"/>
              <w:left w:val="single" w:sz="6" w:space="0" w:color="auto"/>
              <w:bottom w:val="single" w:sz="6" w:space="0" w:color="auto"/>
              <w:right w:val="single" w:sz="6" w:space="0" w:color="auto"/>
            </w:tcBorders>
          </w:tcPr>
          <w:p w14:paraId="6A70D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055F1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33A2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E75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443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0788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0BA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20F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660108" w14:textId="77777777">
        <w:tc>
          <w:tcPr>
            <w:tcW w:w="939" w:type="dxa"/>
            <w:tcBorders>
              <w:top w:val="single" w:sz="6" w:space="0" w:color="auto"/>
              <w:left w:val="single" w:sz="6" w:space="0" w:color="auto"/>
              <w:bottom w:val="single" w:sz="6" w:space="0" w:color="auto"/>
              <w:right w:val="single" w:sz="6" w:space="0" w:color="auto"/>
            </w:tcBorders>
          </w:tcPr>
          <w:p w14:paraId="36EC07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w:t>
            </w:r>
          </w:p>
        </w:tc>
        <w:tc>
          <w:tcPr>
            <w:tcW w:w="939" w:type="dxa"/>
            <w:tcBorders>
              <w:top w:val="single" w:sz="6" w:space="0" w:color="auto"/>
              <w:left w:val="single" w:sz="6" w:space="0" w:color="auto"/>
              <w:bottom w:val="single" w:sz="6" w:space="0" w:color="auto"/>
              <w:right w:val="single" w:sz="6" w:space="0" w:color="auto"/>
            </w:tcBorders>
          </w:tcPr>
          <w:p w14:paraId="17E992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B629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560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59B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F23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8FBA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EF52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C77B7A" w14:textId="77777777">
        <w:tc>
          <w:tcPr>
            <w:tcW w:w="939" w:type="dxa"/>
            <w:tcBorders>
              <w:top w:val="single" w:sz="6" w:space="0" w:color="auto"/>
              <w:left w:val="single" w:sz="6" w:space="0" w:color="auto"/>
              <w:bottom w:val="single" w:sz="6" w:space="0" w:color="auto"/>
              <w:right w:val="single" w:sz="6" w:space="0" w:color="auto"/>
            </w:tcBorders>
          </w:tcPr>
          <w:p w14:paraId="1A425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К7-7М34</w:t>
            </w:r>
          </w:p>
        </w:tc>
        <w:tc>
          <w:tcPr>
            <w:tcW w:w="939" w:type="dxa"/>
            <w:tcBorders>
              <w:top w:val="single" w:sz="6" w:space="0" w:color="auto"/>
              <w:left w:val="single" w:sz="6" w:space="0" w:color="auto"/>
              <w:bottom w:val="single" w:sz="6" w:space="0" w:color="auto"/>
              <w:right w:val="single" w:sz="6" w:space="0" w:color="auto"/>
            </w:tcBorders>
          </w:tcPr>
          <w:p w14:paraId="7E0E1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82C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B0E1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CB1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9E38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FC2F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EB43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77A13D" w14:textId="77777777">
        <w:tc>
          <w:tcPr>
            <w:tcW w:w="939" w:type="dxa"/>
            <w:tcBorders>
              <w:top w:val="single" w:sz="6" w:space="0" w:color="auto"/>
              <w:left w:val="single" w:sz="6" w:space="0" w:color="auto"/>
              <w:bottom w:val="single" w:sz="6" w:space="0" w:color="auto"/>
              <w:right w:val="single" w:sz="6" w:space="0" w:color="auto"/>
            </w:tcBorders>
          </w:tcPr>
          <w:p w14:paraId="66D8A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(Тяж. бомбовоз,</w:t>
            </w:r>
          </w:p>
        </w:tc>
        <w:tc>
          <w:tcPr>
            <w:tcW w:w="939" w:type="dxa"/>
            <w:tcBorders>
              <w:top w:val="single" w:sz="6" w:space="0" w:color="auto"/>
              <w:left w:val="single" w:sz="6" w:space="0" w:color="auto"/>
              <w:bottom w:val="single" w:sz="6" w:space="0" w:color="auto"/>
              <w:right w:val="single" w:sz="6" w:space="0" w:color="auto"/>
            </w:tcBorders>
          </w:tcPr>
          <w:p w14:paraId="2087A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w:t>
            </w:r>
          </w:p>
        </w:tc>
        <w:tc>
          <w:tcPr>
            <w:tcW w:w="939" w:type="dxa"/>
            <w:tcBorders>
              <w:top w:val="single" w:sz="6" w:space="0" w:color="auto"/>
              <w:left w:val="single" w:sz="6" w:space="0" w:color="auto"/>
              <w:bottom w:val="single" w:sz="6" w:space="0" w:color="auto"/>
              <w:right w:val="single" w:sz="6" w:space="0" w:color="auto"/>
            </w:tcBorders>
          </w:tcPr>
          <w:p w14:paraId="0FF1C0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87BA7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3650</w:t>
            </w:r>
          </w:p>
        </w:tc>
        <w:tc>
          <w:tcPr>
            <w:tcW w:w="939" w:type="dxa"/>
            <w:tcBorders>
              <w:top w:val="single" w:sz="6" w:space="0" w:color="auto"/>
              <w:left w:val="single" w:sz="6" w:space="0" w:color="auto"/>
              <w:bottom w:val="single" w:sz="6" w:space="0" w:color="auto"/>
              <w:right w:val="single" w:sz="6" w:space="0" w:color="auto"/>
            </w:tcBorders>
          </w:tcPr>
          <w:p w14:paraId="4AC41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Пушки и</w:t>
            </w:r>
          </w:p>
        </w:tc>
        <w:tc>
          <w:tcPr>
            <w:tcW w:w="939" w:type="dxa"/>
            <w:tcBorders>
              <w:top w:val="single" w:sz="6" w:space="0" w:color="auto"/>
              <w:left w:val="single" w:sz="6" w:space="0" w:color="auto"/>
              <w:bottom w:val="single" w:sz="6" w:space="0" w:color="auto"/>
              <w:right w:val="single" w:sz="6" w:space="0" w:color="auto"/>
            </w:tcBorders>
          </w:tcPr>
          <w:p w14:paraId="5F424C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0D866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793C0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конструкции самолета</w:t>
            </w:r>
          </w:p>
        </w:tc>
      </w:tr>
      <w:tr w:rsidR="00DA227A" w:rsidRPr="00E93F40" w14:paraId="4ACC102E" w14:textId="77777777">
        <w:tc>
          <w:tcPr>
            <w:tcW w:w="939" w:type="dxa"/>
            <w:tcBorders>
              <w:top w:val="single" w:sz="6" w:space="0" w:color="auto"/>
              <w:left w:val="single" w:sz="6" w:space="0" w:color="auto"/>
              <w:bottom w:val="single" w:sz="6" w:space="0" w:color="auto"/>
              <w:right w:val="single" w:sz="6" w:space="0" w:color="auto"/>
            </w:tcBorders>
          </w:tcPr>
          <w:p w14:paraId="1E715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w:t>
            </w:r>
          </w:p>
        </w:tc>
        <w:tc>
          <w:tcPr>
            <w:tcW w:w="939" w:type="dxa"/>
            <w:tcBorders>
              <w:top w:val="single" w:sz="6" w:space="0" w:color="auto"/>
              <w:left w:val="single" w:sz="6" w:space="0" w:color="auto"/>
              <w:bottom w:val="single" w:sz="6" w:space="0" w:color="auto"/>
              <w:right w:val="single" w:sz="6" w:space="0" w:color="auto"/>
            </w:tcBorders>
          </w:tcPr>
          <w:p w14:paraId="7C55C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E8C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EFB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A935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 и</w:t>
            </w:r>
          </w:p>
        </w:tc>
        <w:tc>
          <w:tcPr>
            <w:tcW w:w="939" w:type="dxa"/>
            <w:tcBorders>
              <w:top w:val="single" w:sz="6" w:space="0" w:color="auto"/>
              <w:left w:val="single" w:sz="6" w:space="0" w:color="auto"/>
              <w:bottom w:val="single" w:sz="6" w:space="0" w:color="auto"/>
              <w:right w:val="single" w:sz="6" w:space="0" w:color="auto"/>
            </w:tcBorders>
          </w:tcPr>
          <w:p w14:paraId="4E851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D87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9793A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полностью закончено. Находится в</w:t>
            </w:r>
          </w:p>
        </w:tc>
      </w:tr>
      <w:tr w:rsidR="00DA227A" w:rsidRPr="00E93F40" w14:paraId="02C73A6B" w14:textId="77777777">
        <w:tc>
          <w:tcPr>
            <w:tcW w:w="939" w:type="dxa"/>
            <w:tcBorders>
              <w:top w:val="single" w:sz="6" w:space="0" w:color="auto"/>
              <w:left w:val="single" w:sz="6" w:space="0" w:color="auto"/>
              <w:bottom w:val="single" w:sz="6" w:space="0" w:color="auto"/>
              <w:right w:val="single" w:sz="6" w:space="0" w:color="auto"/>
            </w:tcBorders>
          </w:tcPr>
          <w:p w14:paraId="119583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E9BB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D09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74BE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CE6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пулем.</w:t>
            </w:r>
          </w:p>
        </w:tc>
        <w:tc>
          <w:tcPr>
            <w:tcW w:w="939" w:type="dxa"/>
            <w:tcBorders>
              <w:top w:val="single" w:sz="6" w:space="0" w:color="auto"/>
              <w:left w:val="single" w:sz="6" w:space="0" w:color="auto"/>
              <w:bottom w:val="single" w:sz="6" w:space="0" w:color="auto"/>
              <w:right w:val="single" w:sz="6" w:space="0" w:color="auto"/>
            </w:tcBorders>
          </w:tcPr>
          <w:p w14:paraId="286A94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C0A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постройке.</w:t>
            </w:r>
          </w:p>
        </w:tc>
        <w:tc>
          <w:tcPr>
            <w:tcW w:w="3883" w:type="dxa"/>
            <w:tcBorders>
              <w:top w:val="single" w:sz="6" w:space="0" w:color="auto"/>
              <w:left w:val="single" w:sz="6" w:space="0" w:color="auto"/>
              <w:bottom w:val="single" w:sz="6" w:space="0" w:color="auto"/>
              <w:right w:val="single" w:sz="6" w:space="0" w:color="auto"/>
            </w:tcBorders>
          </w:tcPr>
          <w:p w14:paraId="49D17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1EA6F2" w14:textId="77777777">
        <w:tc>
          <w:tcPr>
            <w:tcW w:w="939" w:type="dxa"/>
            <w:tcBorders>
              <w:top w:val="single" w:sz="6" w:space="0" w:color="auto"/>
              <w:left w:val="single" w:sz="6" w:space="0" w:color="auto"/>
              <w:bottom w:val="single" w:sz="6" w:space="0" w:color="auto"/>
              <w:right w:val="single" w:sz="6" w:space="0" w:color="auto"/>
            </w:tcBorders>
          </w:tcPr>
          <w:p w14:paraId="3018D6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 самолеты.</w:t>
            </w:r>
          </w:p>
        </w:tc>
        <w:tc>
          <w:tcPr>
            <w:tcW w:w="939" w:type="dxa"/>
            <w:tcBorders>
              <w:top w:val="single" w:sz="6" w:space="0" w:color="auto"/>
              <w:left w:val="single" w:sz="6" w:space="0" w:color="auto"/>
              <w:bottom w:val="single" w:sz="6" w:space="0" w:color="auto"/>
              <w:right w:val="single" w:sz="6" w:space="0" w:color="auto"/>
            </w:tcBorders>
          </w:tcPr>
          <w:p w14:paraId="43ED2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4EDC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76B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C81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D22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37C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7D16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C0D1D8" w14:textId="77777777">
        <w:tc>
          <w:tcPr>
            <w:tcW w:w="939" w:type="dxa"/>
            <w:tcBorders>
              <w:top w:val="single" w:sz="6" w:space="0" w:color="auto"/>
              <w:left w:val="single" w:sz="6" w:space="0" w:color="auto"/>
              <w:bottom w:val="single" w:sz="6" w:space="0" w:color="auto"/>
              <w:right w:val="single" w:sz="6" w:space="0" w:color="auto"/>
            </w:tcBorders>
          </w:tcPr>
          <w:p w14:paraId="0AF76C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w:t>
            </w:r>
          </w:p>
        </w:tc>
        <w:tc>
          <w:tcPr>
            <w:tcW w:w="939" w:type="dxa"/>
            <w:tcBorders>
              <w:top w:val="single" w:sz="6" w:space="0" w:color="auto"/>
              <w:left w:val="single" w:sz="6" w:space="0" w:color="auto"/>
              <w:bottom w:val="single" w:sz="6" w:space="0" w:color="auto"/>
              <w:right w:val="single" w:sz="6" w:space="0" w:color="auto"/>
            </w:tcBorders>
          </w:tcPr>
          <w:p w14:paraId="5115D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E7E6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3708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939" w:type="dxa"/>
            <w:tcBorders>
              <w:top w:val="single" w:sz="6" w:space="0" w:color="auto"/>
              <w:left w:val="single" w:sz="6" w:space="0" w:color="auto"/>
              <w:bottom w:val="single" w:sz="6" w:space="0" w:color="auto"/>
              <w:right w:val="single" w:sz="6" w:space="0" w:color="auto"/>
            </w:tcBorders>
          </w:tcPr>
          <w:p w14:paraId="6E19B5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B521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7F0E0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апр.</w:t>
            </w:r>
          </w:p>
        </w:tc>
        <w:tc>
          <w:tcPr>
            <w:tcW w:w="3883" w:type="dxa"/>
            <w:tcBorders>
              <w:top w:val="single" w:sz="6" w:space="0" w:color="auto"/>
              <w:left w:val="single" w:sz="6" w:space="0" w:color="auto"/>
              <w:bottom w:val="single" w:sz="6" w:space="0" w:color="auto"/>
              <w:right w:val="single" w:sz="6" w:space="0" w:color="auto"/>
            </w:tcBorders>
          </w:tcPr>
          <w:p w14:paraId="7ED80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по самолету ведется в ЦАГИ и</w:t>
            </w:r>
          </w:p>
        </w:tc>
      </w:tr>
      <w:tr w:rsidR="00DA227A" w:rsidRPr="00E93F40" w14:paraId="39A57242" w14:textId="77777777">
        <w:tc>
          <w:tcPr>
            <w:tcW w:w="939" w:type="dxa"/>
            <w:tcBorders>
              <w:top w:val="single" w:sz="6" w:space="0" w:color="auto"/>
              <w:left w:val="single" w:sz="6" w:space="0" w:color="auto"/>
              <w:bottom w:val="single" w:sz="6" w:space="0" w:color="auto"/>
              <w:right w:val="single" w:sz="6" w:space="0" w:color="auto"/>
            </w:tcBorders>
          </w:tcPr>
          <w:p w14:paraId="403F22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511F9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FE4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F06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A64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881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6DD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BED4C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БНК. ЦАГИ разработало общую схему и </w:t>
            </w:r>
          </w:p>
        </w:tc>
      </w:tr>
      <w:tr w:rsidR="00DA227A" w:rsidRPr="00E93F40" w14:paraId="0760E3FC" w14:textId="77777777">
        <w:tc>
          <w:tcPr>
            <w:tcW w:w="939" w:type="dxa"/>
            <w:tcBorders>
              <w:top w:val="single" w:sz="6" w:space="0" w:color="auto"/>
              <w:left w:val="single" w:sz="6" w:space="0" w:color="auto"/>
              <w:bottom w:val="single" w:sz="6" w:space="0" w:color="auto"/>
              <w:right w:val="single" w:sz="6" w:space="0" w:color="auto"/>
            </w:tcBorders>
          </w:tcPr>
          <w:p w14:paraId="1B1D1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w:t>
            </w:r>
          </w:p>
        </w:tc>
        <w:tc>
          <w:tcPr>
            <w:tcW w:w="939" w:type="dxa"/>
            <w:tcBorders>
              <w:top w:val="single" w:sz="6" w:space="0" w:color="auto"/>
              <w:left w:val="single" w:sz="6" w:space="0" w:color="auto"/>
              <w:bottom w:val="single" w:sz="6" w:space="0" w:color="auto"/>
              <w:right w:val="single" w:sz="6" w:space="0" w:color="auto"/>
            </w:tcBorders>
          </w:tcPr>
          <w:p w14:paraId="46EF6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718C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302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4DC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1FA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EEA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B4CAB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ведет проектирование по герметической</w:t>
            </w:r>
          </w:p>
        </w:tc>
      </w:tr>
      <w:tr w:rsidR="00DA227A" w:rsidRPr="00E93F40" w14:paraId="3890C456" w14:textId="77777777">
        <w:tc>
          <w:tcPr>
            <w:tcW w:w="939" w:type="dxa"/>
            <w:tcBorders>
              <w:top w:val="single" w:sz="6" w:space="0" w:color="auto"/>
              <w:left w:val="single" w:sz="6" w:space="0" w:color="auto"/>
              <w:bottom w:val="single" w:sz="6" w:space="0" w:color="auto"/>
              <w:right w:val="single" w:sz="6" w:space="0" w:color="auto"/>
            </w:tcBorders>
          </w:tcPr>
          <w:p w14:paraId="2B16F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w:t>
            </w:r>
          </w:p>
        </w:tc>
        <w:tc>
          <w:tcPr>
            <w:tcW w:w="939" w:type="dxa"/>
            <w:tcBorders>
              <w:top w:val="single" w:sz="6" w:space="0" w:color="auto"/>
              <w:left w:val="single" w:sz="6" w:space="0" w:color="auto"/>
              <w:bottom w:val="single" w:sz="6" w:space="0" w:color="auto"/>
              <w:right w:val="single" w:sz="6" w:space="0" w:color="auto"/>
            </w:tcBorders>
          </w:tcPr>
          <w:p w14:paraId="2A0C6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4A46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77F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6A48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728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048B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9623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кабине.</w:t>
            </w:r>
          </w:p>
        </w:tc>
      </w:tr>
      <w:tr w:rsidR="00DA227A" w:rsidRPr="00E93F40" w14:paraId="0AD31668" w14:textId="77777777">
        <w:tc>
          <w:tcPr>
            <w:tcW w:w="939" w:type="dxa"/>
            <w:tcBorders>
              <w:top w:val="single" w:sz="6" w:space="0" w:color="auto"/>
              <w:left w:val="single" w:sz="6" w:space="0" w:color="auto"/>
              <w:bottom w:val="single" w:sz="6" w:space="0" w:color="auto"/>
              <w:right w:val="single" w:sz="6" w:space="0" w:color="auto"/>
            </w:tcBorders>
          </w:tcPr>
          <w:p w14:paraId="24C8E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939" w:type="dxa"/>
            <w:tcBorders>
              <w:top w:val="single" w:sz="6" w:space="0" w:color="auto"/>
              <w:left w:val="single" w:sz="6" w:space="0" w:color="auto"/>
              <w:bottom w:val="single" w:sz="6" w:space="0" w:color="auto"/>
              <w:right w:val="single" w:sz="6" w:space="0" w:color="auto"/>
            </w:tcBorders>
          </w:tcPr>
          <w:p w14:paraId="4AF54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CD1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80E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7EF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8C2E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EA1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98AB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A74324" w14:textId="77777777">
        <w:tc>
          <w:tcPr>
            <w:tcW w:w="939" w:type="dxa"/>
            <w:tcBorders>
              <w:top w:val="single" w:sz="6" w:space="0" w:color="auto"/>
              <w:left w:val="single" w:sz="6" w:space="0" w:color="auto"/>
              <w:bottom w:val="single" w:sz="6" w:space="0" w:color="auto"/>
              <w:right w:val="single" w:sz="6" w:space="0" w:color="auto"/>
            </w:tcBorders>
          </w:tcPr>
          <w:p w14:paraId="5F0F4D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692A75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CE1A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6C6C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312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AD86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AA2AB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5D91D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срок предъявления самолета не</w:t>
            </w:r>
          </w:p>
        </w:tc>
      </w:tr>
      <w:tr w:rsidR="00DA227A" w:rsidRPr="00E93F40" w14:paraId="17DBD451" w14:textId="77777777">
        <w:tc>
          <w:tcPr>
            <w:tcW w:w="939" w:type="dxa"/>
            <w:tcBorders>
              <w:top w:val="single" w:sz="6" w:space="0" w:color="auto"/>
              <w:left w:val="single" w:sz="6" w:space="0" w:color="auto"/>
              <w:bottom w:val="single" w:sz="6" w:space="0" w:color="auto"/>
              <w:right w:val="single" w:sz="6" w:space="0" w:color="auto"/>
            </w:tcBorders>
          </w:tcPr>
          <w:p w14:paraId="31C799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летающее</w:t>
            </w:r>
          </w:p>
        </w:tc>
        <w:tc>
          <w:tcPr>
            <w:tcW w:w="939" w:type="dxa"/>
            <w:tcBorders>
              <w:top w:val="single" w:sz="6" w:space="0" w:color="auto"/>
              <w:left w:val="single" w:sz="6" w:space="0" w:color="auto"/>
              <w:bottom w:val="single" w:sz="6" w:space="0" w:color="auto"/>
              <w:right w:val="single" w:sz="6" w:space="0" w:color="auto"/>
            </w:tcBorders>
          </w:tcPr>
          <w:p w14:paraId="5161C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93D9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17B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8228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53A7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5EA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FBF4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выдержало. Не предъявлен мотор М34.</w:t>
            </w:r>
          </w:p>
        </w:tc>
      </w:tr>
      <w:tr w:rsidR="00DA227A" w:rsidRPr="00E93F40" w14:paraId="6F8F16AC" w14:textId="77777777">
        <w:tc>
          <w:tcPr>
            <w:tcW w:w="939" w:type="dxa"/>
            <w:tcBorders>
              <w:top w:val="single" w:sz="6" w:space="0" w:color="auto"/>
              <w:left w:val="single" w:sz="6" w:space="0" w:color="auto"/>
              <w:bottom w:val="single" w:sz="6" w:space="0" w:color="auto"/>
              <w:right w:val="single" w:sz="6" w:space="0" w:color="auto"/>
            </w:tcBorders>
          </w:tcPr>
          <w:p w14:paraId="676CF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2М11</w:t>
            </w:r>
          </w:p>
        </w:tc>
        <w:tc>
          <w:tcPr>
            <w:tcW w:w="939" w:type="dxa"/>
            <w:tcBorders>
              <w:top w:val="single" w:sz="6" w:space="0" w:color="auto"/>
              <w:left w:val="single" w:sz="6" w:space="0" w:color="auto"/>
              <w:bottom w:val="single" w:sz="6" w:space="0" w:color="auto"/>
              <w:right w:val="single" w:sz="6" w:space="0" w:color="auto"/>
            </w:tcBorders>
          </w:tcPr>
          <w:p w14:paraId="59D0F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934A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AEFD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3D44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850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3F2C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688F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проектированию самолета, стоящего в</w:t>
            </w:r>
          </w:p>
        </w:tc>
      </w:tr>
      <w:tr w:rsidR="00DA227A" w:rsidRPr="00E93F40" w14:paraId="55E4F9A9" w14:textId="77777777">
        <w:tc>
          <w:tcPr>
            <w:tcW w:w="939" w:type="dxa"/>
            <w:tcBorders>
              <w:top w:val="single" w:sz="6" w:space="0" w:color="auto"/>
              <w:left w:val="single" w:sz="6" w:space="0" w:color="auto"/>
              <w:bottom w:val="single" w:sz="6" w:space="0" w:color="auto"/>
              <w:right w:val="single" w:sz="6" w:space="0" w:color="auto"/>
            </w:tcBorders>
          </w:tcPr>
          <w:p w14:paraId="5F65B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(Парабола</w:t>
            </w:r>
          </w:p>
        </w:tc>
        <w:tc>
          <w:tcPr>
            <w:tcW w:w="939" w:type="dxa"/>
            <w:tcBorders>
              <w:top w:val="single" w:sz="6" w:space="0" w:color="auto"/>
              <w:left w:val="single" w:sz="6" w:space="0" w:color="auto"/>
              <w:bottom w:val="single" w:sz="6" w:space="0" w:color="auto"/>
              <w:right w:val="single" w:sz="6" w:space="0" w:color="auto"/>
            </w:tcBorders>
          </w:tcPr>
          <w:p w14:paraId="5BD8E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38A4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FD78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FB2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5B2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E7D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F12F8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 ЦАГИ не приступало. Парабола с</w:t>
            </w:r>
          </w:p>
        </w:tc>
      </w:tr>
      <w:tr w:rsidR="00DA227A" w:rsidRPr="00E93F40" w14:paraId="67B1E065" w14:textId="77777777">
        <w:tc>
          <w:tcPr>
            <w:tcW w:w="939" w:type="dxa"/>
            <w:tcBorders>
              <w:top w:val="single" w:sz="6" w:space="0" w:color="auto"/>
              <w:left w:val="single" w:sz="6" w:space="0" w:color="auto"/>
              <w:bottom w:val="single" w:sz="6" w:space="0" w:color="auto"/>
              <w:right w:val="single" w:sz="6" w:space="0" w:color="auto"/>
            </w:tcBorders>
          </w:tcPr>
          <w:p w14:paraId="4C4AA6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Чарановского</w:t>
            </w:r>
          </w:p>
        </w:tc>
        <w:tc>
          <w:tcPr>
            <w:tcW w:w="939" w:type="dxa"/>
            <w:tcBorders>
              <w:top w:val="single" w:sz="6" w:space="0" w:color="auto"/>
              <w:left w:val="single" w:sz="6" w:space="0" w:color="auto"/>
              <w:bottom w:val="single" w:sz="6" w:space="0" w:color="auto"/>
              <w:right w:val="single" w:sz="6" w:space="0" w:color="auto"/>
            </w:tcBorders>
          </w:tcPr>
          <w:p w14:paraId="66E28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A5CD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D322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D8D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251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B868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4A06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мотором Люцифар выпущена на аэродром, </w:t>
            </w:r>
          </w:p>
        </w:tc>
      </w:tr>
      <w:tr w:rsidR="00DA227A" w:rsidRPr="00E93F40" w14:paraId="22CF3FFB" w14:textId="77777777">
        <w:tc>
          <w:tcPr>
            <w:tcW w:w="939" w:type="dxa"/>
            <w:tcBorders>
              <w:top w:val="single" w:sz="6" w:space="0" w:color="auto"/>
              <w:left w:val="single" w:sz="6" w:space="0" w:color="auto"/>
              <w:bottom w:val="single" w:sz="6" w:space="0" w:color="auto"/>
              <w:right w:val="single" w:sz="6" w:space="0" w:color="auto"/>
            </w:tcBorders>
          </w:tcPr>
          <w:p w14:paraId="2DFA6D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3AC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3F6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A0D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7235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7BE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678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C4088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но после первого полета, благодаря </w:t>
            </w:r>
          </w:p>
        </w:tc>
      </w:tr>
      <w:tr w:rsidR="00DA227A" w:rsidRPr="00E93F40" w14:paraId="13C9EC8E" w14:textId="77777777">
        <w:tc>
          <w:tcPr>
            <w:tcW w:w="939" w:type="dxa"/>
            <w:tcBorders>
              <w:top w:val="single" w:sz="6" w:space="0" w:color="auto"/>
              <w:left w:val="single" w:sz="6" w:space="0" w:color="auto"/>
              <w:bottom w:val="single" w:sz="6" w:space="0" w:color="auto"/>
              <w:right w:val="single" w:sz="6" w:space="0" w:color="auto"/>
            </w:tcBorders>
          </w:tcPr>
          <w:p w14:paraId="03D65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7F3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0B5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C5BF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5153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0769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5B0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14A8B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неудачной конструкции шасси, оно </w:t>
            </w:r>
          </w:p>
        </w:tc>
      </w:tr>
      <w:tr w:rsidR="00DA227A" w:rsidRPr="00E93F40" w14:paraId="3516AC9B" w14:textId="77777777">
        <w:tc>
          <w:tcPr>
            <w:tcW w:w="939" w:type="dxa"/>
            <w:tcBorders>
              <w:top w:val="single" w:sz="6" w:space="0" w:color="auto"/>
              <w:left w:val="single" w:sz="6" w:space="0" w:color="auto"/>
              <w:bottom w:val="single" w:sz="6" w:space="0" w:color="auto"/>
              <w:right w:val="single" w:sz="6" w:space="0" w:color="auto"/>
            </w:tcBorders>
          </w:tcPr>
          <w:p w14:paraId="4484C7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EDD5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2EE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26DB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CFF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373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D48B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CE91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оказалось деформированным.</w:t>
            </w:r>
          </w:p>
        </w:tc>
      </w:tr>
      <w:tr w:rsidR="00DA227A" w:rsidRPr="00E93F40" w14:paraId="47AFF545" w14:textId="77777777">
        <w:tc>
          <w:tcPr>
            <w:tcW w:w="939" w:type="dxa"/>
            <w:tcBorders>
              <w:top w:val="single" w:sz="6" w:space="0" w:color="auto"/>
              <w:left w:val="single" w:sz="6" w:space="0" w:color="auto"/>
              <w:bottom w:val="single" w:sz="6" w:space="0" w:color="auto"/>
              <w:right w:val="single" w:sz="6" w:space="0" w:color="auto"/>
            </w:tcBorders>
          </w:tcPr>
          <w:p w14:paraId="41E889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10DDB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6127D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55F9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415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D667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FB2A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54AE8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Построено опытное крыло для статич.</w:t>
            </w:r>
          </w:p>
        </w:tc>
      </w:tr>
      <w:tr w:rsidR="00DA227A" w:rsidRPr="00E93F40" w14:paraId="7CB25E1A" w14:textId="77777777">
        <w:tc>
          <w:tcPr>
            <w:tcW w:w="939" w:type="dxa"/>
            <w:tcBorders>
              <w:top w:val="single" w:sz="6" w:space="0" w:color="auto"/>
              <w:left w:val="single" w:sz="6" w:space="0" w:color="auto"/>
              <w:bottom w:val="single" w:sz="6" w:space="0" w:color="auto"/>
              <w:right w:val="single" w:sz="6" w:space="0" w:color="auto"/>
            </w:tcBorders>
          </w:tcPr>
          <w:p w14:paraId="44613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особым типом</w:t>
            </w:r>
          </w:p>
        </w:tc>
        <w:tc>
          <w:tcPr>
            <w:tcW w:w="939" w:type="dxa"/>
            <w:tcBorders>
              <w:top w:val="single" w:sz="6" w:space="0" w:color="auto"/>
              <w:left w:val="single" w:sz="6" w:space="0" w:color="auto"/>
              <w:bottom w:val="single" w:sz="6" w:space="0" w:color="auto"/>
              <w:right w:val="single" w:sz="6" w:space="0" w:color="auto"/>
            </w:tcBorders>
          </w:tcPr>
          <w:p w14:paraId="60F515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3CD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E1A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5B9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053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FFD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1313E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испытаний.</w:t>
            </w:r>
          </w:p>
        </w:tc>
      </w:tr>
      <w:tr w:rsidR="00DA227A" w:rsidRPr="00E93F40" w14:paraId="2DB086C2" w14:textId="77777777">
        <w:tc>
          <w:tcPr>
            <w:tcW w:w="939" w:type="dxa"/>
            <w:tcBorders>
              <w:top w:val="single" w:sz="6" w:space="0" w:color="auto"/>
              <w:left w:val="single" w:sz="6" w:space="0" w:color="auto"/>
              <w:bottom w:val="single" w:sz="6" w:space="0" w:color="auto"/>
              <w:right w:val="single" w:sz="6" w:space="0" w:color="auto"/>
            </w:tcBorders>
          </w:tcPr>
          <w:p w14:paraId="61D0F4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разрезных</w:t>
            </w:r>
          </w:p>
        </w:tc>
        <w:tc>
          <w:tcPr>
            <w:tcW w:w="939" w:type="dxa"/>
            <w:tcBorders>
              <w:top w:val="single" w:sz="6" w:space="0" w:color="auto"/>
              <w:left w:val="single" w:sz="6" w:space="0" w:color="auto"/>
              <w:bottom w:val="single" w:sz="6" w:space="0" w:color="auto"/>
              <w:right w:val="single" w:sz="6" w:space="0" w:color="auto"/>
            </w:tcBorders>
          </w:tcPr>
          <w:p w14:paraId="284918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428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3CB1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797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AA8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905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A933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500E4D" w14:textId="77777777">
        <w:tc>
          <w:tcPr>
            <w:tcW w:w="939" w:type="dxa"/>
            <w:tcBorders>
              <w:top w:val="single" w:sz="6" w:space="0" w:color="auto"/>
              <w:left w:val="single" w:sz="6" w:space="0" w:color="auto"/>
              <w:bottom w:val="single" w:sz="6" w:space="0" w:color="auto"/>
              <w:right w:val="single" w:sz="6" w:space="0" w:color="auto"/>
            </w:tcBorders>
          </w:tcPr>
          <w:p w14:paraId="682E93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крыльев</w:t>
            </w:r>
          </w:p>
        </w:tc>
        <w:tc>
          <w:tcPr>
            <w:tcW w:w="939" w:type="dxa"/>
            <w:tcBorders>
              <w:top w:val="single" w:sz="6" w:space="0" w:color="auto"/>
              <w:left w:val="single" w:sz="6" w:space="0" w:color="auto"/>
              <w:bottom w:val="single" w:sz="6" w:space="0" w:color="auto"/>
              <w:right w:val="single" w:sz="6" w:space="0" w:color="auto"/>
            </w:tcBorders>
          </w:tcPr>
          <w:p w14:paraId="5DE03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074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45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8B2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F488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183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BF7A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1D7EEC" w14:textId="77777777">
        <w:tc>
          <w:tcPr>
            <w:tcW w:w="939" w:type="dxa"/>
            <w:tcBorders>
              <w:top w:val="single" w:sz="6" w:space="0" w:color="auto"/>
              <w:left w:val="single" w:sz="6" w:space="0" w:color="auto"/>
              <w:bottom w:val="single" w:sz="6" w:space="0" w:color="auto"/>
              <w:right w:val="single" w:sz="6" w:space="0" w:color="auto"/>
            </w:tcBorders>
          </w:tcPr>
          <w:p w14:paraId="154169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(системы</w:t>
            </w:r>
          </w:p>
        </w:tc>
        <w:tc>
          <w:tcPr>
            <w:tcW w:w="939" w:type="dxa"/>
            <w:tcBorders>
              <w:top w:val="single" w:sz="6" w:space="0" w:color="auto"/>
              <w:left w:val="single" w:sz="6" w:space="0" w:color="auto"/>
              <w:bottom w:val="single" w:sz="6" w:space="0" w:color="auto"/>
              <w:right w:val="single" w:sz="6" w:space="0" w:color="auto"/>
            </w:tcBorders>
          </w:tcPr>
          <w:p w14:paraId="096FA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9257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2DDF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F18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86B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570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85E13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A37C90" w14:textId="77777777">
        <w:tc>
          <w:tcPr>
            <w:tcW w:w="939" w:type="dxa"/>
            <w:tcBorders>
              <w:top w:val="single" w:sz="6" w:space="0" w:color="auto"/>
              <w:left w:val="single" w:sz="6" w:space="0" w:color="auto"/>
              <w:bottom w:val="single" w:sz="6" w:space="0" w:color="auto"/>
              <w:right w:val="single" w:sz="6" w:space="0" w:color="auto"/>
            </w:tcBorders>
          </w:tcPr>
          <w:p w14:paraId="629AC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Кричевского)</w:t>
            </w:r>
          </w:p>
        </w:tc>
        <w:tc>
          <w:tcPr>
            <w:tcW w:w="939" w:type="dxa"/>
            <w:tcBorders>
              <w:top w:val="single" w:sz="6" w:space="0" w:color="auto"/>
              <w:left w:val="single" w:sz="6" w:space="0" w:color="auto"/>
              <w:bottom w:val="single" w:sz="6" w:space="0" w:color="auto"/>
              <w:right w:val="single" w:sz="6" w:space="0" w:color="auto"/>
            </w:tcBorders>
          </w:tcPr>
          <w:p w14:paraId="674AD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B86B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F91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C259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F36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C15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65F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0C54CD" w14:textId="77777777">
        <w:tc>
          <w:tcPr>
            <w:tcW w:w="939" w:type="dxa"/>
            <w:tcBorders>
              <w:top w:val="single" w:sz="6" w:space="0" w:color="auto"/>
              <w:left w:val="single" w:sz="6" w:space="0" w:color="auto"/>
              <w:bottom w:val="single" w:sz="6" w:space="0" w:color="auto"/>
              <w:right w:val="single" w:sz="6" w:space="0" w:color="auto"/>
            </w:tcBorders>
          </w:tcPr>
          <w:p w14:paraId="11EE7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ВГ-2</w:t>
            </w:r>
          </w:p>
        </w:tc>
        <w:tc>
          <w:tcPr>
            <w:tcW w:w="939" w:type="dxa"/>
            <w:tcBorders>
              <w:top w:val="single" w:sz="6" w:space="0" w:color="auto"/>
              <w:left w:val="single" w:sz="6" w:space="0" w:color="auto"/>
              <w:bottom w:val="single" w:sz="6" w:space="0" w:color="auto"/>
              <w:right w:val="single" w:sz="6" w:space="0" w:color="auto"/>
            </w:tcBorders>
          </w:tcPr>
          <w:p w14:paraId="059A3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79B3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84704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7869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24FFA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14C3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42FB84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проводимые ЦАГИ показали,</w:t>
            </w:r>
          </w:p>
        </w:tc>
      </w:tr>
      <w:tr w:rsidR="00DA227A" w:rsidRPr="00E93F40" w14:paraId="18CEC158" w14:textId="77777777">
        <w:tc>
          <w:tcPr>
            <w:tcW w:w="939" w:type="dxa"/>
            <w:tcBorders>
              <w:top w:val="single" w:sz="6" w:space="0" w:color="auto"/>
              <w:left w:val="single" w:sz="6" w:space="0" w:color="auto"/>
              <w:bottom w:val="single" w:sz="6" w:space="0" w:color="auto"/>
              <w:right w:val="single" w:sz="6" w:space="0" w:color="auto"/>
            </w:tcBorders>
          </w:tcPr>
          <w:p w14:paraId="621E0A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w:t>
            </w:r>
          </w:p>
        </w:tc>
        <w:tc>
          <w:tcPr>
            <w:tcW w:w="939" w:type="dxa"/>
            <w:tcBorders>
              <w:top w:val="single" w:sz="6" w:space="0" w:color="auto"/>
              <w:left w:val="single" w:sz="6" w:space="0" w:color="auto"/>
              <w:bottom w:val="single" w:sz="6" w:space="0" w:color="auto"/>
              <w:right w:val="single" w:sz="6" w:space="0" w:color="auto"/>
            </w:tcBorders>
          </w:tcPr>
          <w:p w14:paraId="3598C0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14AC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1ED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FA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A7E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6DE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610BB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геликоптер обладает данными,</w:t>
            </w:r>
          </w:p>
        </w:tc>
      </w:tr>
      <w:tr w:rsidR="00DA227A" w:rsidRPr="00E93F40" w14:paraId="47B5D132" w14:textId="77777777">
        <w:tc>
          <w:tcPr>
            <w:tcW w:w="939" w:type="dxa"/>
            <w:tcBorders>
              <w:top w:val="single" w:sz="6" w:space="0" w:color="auto"/>
              <w:left w:val="single" w:sz="6" w:space="0" w:color="auto"/>
              <w:bottom w:val="single" w:sz="6" w:space="0" w:color="auto"/>
              <w:right w:val="single" w:sz="6" w:space="0" w:color="auto"/>
            </w:tcBorders>
          </w:tcPr>
          <w:p w14:paraId="4EDBF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A54B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529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595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6117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DCF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0F6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DFAC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являющимися для аппаратов этого типа</w:t>
            </w:r>
          </w:p>
        </w:tc>
      </w:tr>
      <w:tr w:rsidR="00DA227A" w:rsidRPr="00E93F40" w14:paraId="3449C3EF" w14:textId="77777777">
        <w:tc>
          <w:tcPr>
            <w:tcW w:w="939" w:type="dxa"/>
            <w:tcBorders>
              <w:top w:val="single" w:sz="6" w:space="0" w:color="auto"/>
              <w:left w:val="single" w:sz="6" w:space="0" w:color="auto"/>
              <w:bottom w:val="single" w:sz="6" w:space="0" w:color="auto"/>
              <w:right w:val="single" w:sz="6" w:space="0" w:color="auto"/>
            </w:tcBorders>
          </w:tcPr>
          <w:p w14:paraId="25274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F684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415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68A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683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B97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E86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13A4A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мировым достижением. Геликоптер достиг</w:t>
            </w:r>
          </w:p>
        </w:tc>
      </w:tr>
      <w:tr w:rsidR="00DA227A" w:rsidRPr="00E93F40" w14:paraId="44086080" w14:textId="77777777">
        <w:tc>
          <w:tcPr>
            <w:tcW w:w="939" w:type="dxa"/>
            <w:tcBorders>
              <w:top w:val="single" w:sz="6" w:space="0" w:color="auto"/>
              <w:left w:val="single" w:sz="6" w:space="0" w:color="auto"/>
              <w:bottom w:val="single" w:sz="6" w:space="0" w:color="auto"/>
              <w:right w:val="single" w:sz="6" w:space="0" w:color="auto"/>
            </w:tcBorders>
          </w:tcPr>
          <w:p w14:paraId="0CEE6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C10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C9D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4836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FD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64CE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489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9102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высоты 600 м. Благодаря недостаточной</w:t>
            </w:r>
          </w:p>
        </w:tc>
      </w:tr>
      <w:tr w:rsidR="00DA227A" w:rsidRPr="00E93F40" w14:paraId="756172A1" w14:textId="77777777">
        <w:tc>
          <w:tcPr>
            <w:tcW w:w="939" w:type="dxa"/>
            <w:tcBorders>
              <w:top w:val="single" w:sz="6" w:space="0" w:color="auto"/>
              <w:left w:val="single" w:sz="6" w:space="0" w:color="auto"/>
              <w:bottom w:val="single" w:sz="6" w:space="0" w:color="auto"/>
              <w:right w:val="single" w:sz="6" w:space="0" w:color="auto"/>
            </w:tcBorders>
          </w:tcPr>
          <w:p w14:paraId="106AD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946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B93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42B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058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A2B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54E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BFAF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устойчивости геликоптер при спуске с</w:t>
            </w:r>
          </w:p>
        </w:tc>
      </w:tr>
      <w:tr w:rsidR="00DA227A" w:rsidRPr="00E93F40" w14:paraId="69F4AB82" w14:textId="77777777">
        <w:tc>
          <w:tcPr>
            <w:tcW w:w="939" w:type="dxa"/>
            <w:tcBorders>
              <w:top w:val="single" w:sz="6" w:space="0" w:color="auto"/>
              <w:left w:val="single" w:sz="6" w:space="0" w:color="auto"/>
              <w:bottom w:val="single" w:sz="6" w:space="0" w:color="auto"/>
              <w:right w:val="single" w:sz="6" w:space="0" w:color="auto"/>
            </w:tcBorders>
          </w:tcPr>
          <w:p w14:paraId="36777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1407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7F4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ED0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4F18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608F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5DE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04E6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высоты 600 м потрепел аварию. В наст.</w:t>
            </w:r>
          </w:p>
        </w:tc>
      </w:tr>
      <w:tr w:rsidR="00DA227A" w:rsidRPr="00E93F40" w14:paraId="11B19145" w14:textId="77777777">
        <w:tc>
          <w:tcPr>
            <w:tcW w:w="939" w:type="dxa"/>
            <w:tcBorders>
              <w:top w:val="single" w:sz="6" w:space="0" w:color="auto"/>
              <w:left w:val="single" w:sz="6" w:space="0" w:color="auto"/>
              <w:bottom w:val="single" w:sz="6" w:space="0" w:color="auto"/>
              <w:right w:val="single" w:sz="6" w:space="0" w:color="auto"/>
            </w:tcBorders>
          </w:tcPr>
          <w:p w14:paraId="6A6498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34C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336E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B6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C116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7C6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078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F21E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вр. геликоптер исправлен. Дублер </w:t>
            </w:r>
          </w:p>
        </w:tc>
      </w:tr>
      <w:tr w:rsidR="00DA227A" w:rsidRPr="00E93F40" w14:paraId="338B0BB0" w14:textId="77777777">
        <w:tc>
          <w:tcPr>
            <w:tcW w:w="939" w:type="dxa"/>
            <w:tcBorders>
              <w:top w:val="single" w:sz="6" w:space="0" w:color="auto"/>
              <w:left w:val="single" w:sz="6" w:space="0" w:color="auto"/>
              <w:bottom w:val="single" w:sz="6" w:space="0" w:color="auto"/>
              <w:right w:val="single" w:sz="6" w:space="0" w:color="auto"/>
            </w:tcBorders>
          </w:tcPr>
          <w:p w14:paraId="641EA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2F4F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148A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0D0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220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EC6C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021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1ADC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испытываемого геликоптера заканчивается</w:t>
            </w:r>
          </w:p>
        </w:tc>
      </w:tr>
      <w:tr w:rsidR="00DA227A" w:rsidRPr="00E93F40" w14:paraId="38093EA7" w14:textId="77777777">
        <w:tc>
          <w:tcPr>
            <w:tcW w:w="939" w:type="dxa"/>
            <w:tcBorders>
              <w:top w:val="single" w:sz="6" w:space="0" w:color="auto"/>
              <w:left w:val="single" w:sz="6" w:space="0" w:color="auto"/>
              <w:bottom w:val="single" w:sz="6" w:space="0" w:color="auto"/>
              <w:right w:val="single" w:sz="6" w:space="0" w:color="auto"/>
            </w:tcBorders>
          </w:tcPr>
          <w:p w14:paraId="784C3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58F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77A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D592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610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DD7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56F4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FD9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постройкой и в ближайшее время будет</w:t>
            </w:r>
          </w:p>
        </w:tc>
      </w:tr>
      <w:tr w:rsidR="00DA227A" w:rsidRPr="00E93F40" w14:paraId="7325B338" w14:textId="77777777">
        <w:tc>
          <w:tcPr>
            <w:tcW w:w="939" w:type="dxa"/>
            <w:tcBorders>
              <w:top w:val="single" w:sz="6" w:space="0" w:color="auto"/>
              <w:left w:val="single" w:sz="6" w:space="0" w:color="auto"/>
              <w:bottom w:val="single" w:sz="6" w:space="0" w:color="auto"/>
              <w:right w:val="single" w:sz="6" w:space="0" w:color="auto"/>
            </w:tcBorders>
          </w:tcPr>
          <w:p w14:paraId="55B557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E2D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180B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032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608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84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E94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A059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выпущен на аэродром. ЦАГИ ведет работы</w:t>
            </w:r>
          </w:p>
        </w:tc>
      </w:tr>
      <w:tr w:rsidR="00DA227A" w:rsidRPr="00E93F40" w14:paraId="748B2E19" w14:textId="77777777">
        <w:tc>
          <w:tcPr>
            <w:tcW w:w="939" w:type="dxa"/>
            <w:tcBorders>
              <w:top w:val="single" w:sz="6" w:space="0" w:color="auto"/>
              <w:left w:val="single" w:sz="6" w:space="0" w:color="auto"/>
              <w:bottom w:val="single" w:sz="6" w:space="0" w:color="auto"/>
              <w:right w:val="single" w:sz="6" w:space="0" w:color="auto"/>
            </w:tcBorders>
          </w:tcPr>
          <w:p w14:paraId="08596D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D027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9AC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F4E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E4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1A5E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9DFA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8E2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модификации конструкции с целью</w:t>
            </w:r>
          </w:p>
        </w:tc>
      </w:tr>
      <w:tr w:rsidR="00DA227A" w:rsidRPr="00E93F40" w14:paraId="0A42BC3E" w14:textId="77777777">
        <w:tc>
          <w:tcPr>
            <w:tcW w:w="939" w:type="dxa"/>
            <w:tcBorders>
              <w:top w:val="single" w:sz="6" w:space="0" w:color="auto"/>
              <w:left w:val="single" w:sz="6" w:space="0" w:color="auto"/>
              <w:bottom w:val="single" w:sz="6" w:space="0" w:color="auto"/>
              <w:right w:val="single" w:sz="6" w:space="0" w:color="auto"/>
            </w:tcBorders>
          </w:tcPr>
          <w:p w14:paraId="1A747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149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80E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2035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BAF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1B3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5A7A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C23F3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устранения дефектов.</w:t>
            </w:r>
          </w:p>
        </w:tc>
      </w:tr>
      <w:tr w:rsidR="00DA227A" w:rsidRPr="00E93F40" w14:paraId="7FCE5312" w14:textId="77777777">
        <w:tc>
          <w:tcPr>
            <w:tcW w:w="939" w:type="dxa"/>
            <w:tcBorders>
              <w:top w:val="single" w:sz="6" w:space="0" w:color="auto"/>
              <w:left w:val="single" w:sz="6" w:space="0" w:color="auto"/>
              <w:bottom w:val="single" w:sz="6" w:space="0" w:color="auto"/>
              <w:right w:val="single" w:sz="6" w:space="0" w:color="auto"/>
            </w:tcBorders>
          </w:tcPr>
          <w:p w14:paraId="3D3C58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w:t>
            </w:r>
          </w:p>
        </w:tc>
        <w:tc>
          <w:tcPr>
            <w:tcW w:w="939" w:type="dxa"/>
            <w:tcBorders>
              <w:top w:val="single" w:sz="6" w:space="0" w:color="auto"/>
              <w:left w:val="single" w:sz="6" w:space="0" w:color="auto"/>
              <w:bottom w:val="single" w:sz="6" w:space="0" w:color="auto"/>
              <w:right w:val="single" w:sz="6" w:space="0" w:color="auto"/>
            </w:tcBorders>
          </w:tcPr>
          <w:p w14:paraId="4F1D5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428E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FFF7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635E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E032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A8FE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w:t>
            </w:r>
          </w:p>
        </w:tc>
        <w:tc>
          <w:tcPr>
            <w:tcW w:w="3883" w:type="dxa"/>
            <w:tcBorders>
              <w:top w:val="single" w:sz="6" w:space="0" w:color="auto"/>
              <w:left w:val="single" w:sz="6" w:space="0" w:color="auto"/>
              <w:bottom w:val="single" w:sz="6" w:space="0" w:color="auto"/>
              <w:right w:val="single" w:sz="6" w:space="0" w:color="auto"/>
            </w:tcBorders>
          </w:tcPr>
          <w:p w14:paraId="5C994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автожир ЦАГИ с мотором Титан</w:t>
            </w:r>
          </w:p>
        </w:tc>
      </w:tr>
      <w:tr w:rsidR="00DA227A" w:rsidRPr="00E93F40" w14:paraId="14EB7330" w14:textId="77777777">
        <w:tc>
          <w:tcPr>
            <w:tcW w:w="939" w:type="dxa"/>
            <w:tcBorders>
              <w:top w:val="single" w:sz="6" w:space="0" w:color="auto"/>
              <w:left w:val="single" w:sz="6" w:space="0" w:color="auto"/>
              <w:bottom w:val="single" w:sz="6" w:space="0" w:color="auto"/>
              <w:right w:val="single" w:sz="6" w:space="0" w:color="auto"/>
            </w:tcBorders>
          </w:tcPr>
          <w:p w14:paraId="2955D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мотором М-11</w:t>
            </w:r>
          </w:p>
        </w:tc>
        <w:tc>
          <w:tcPr>
            <w:tcW w:w="939" w:type="dxa"/>
            <w:tcBorders>
              <w:top w:val="single" w:sz="6" w:space="0" w:color="auto"/>
              <w:left w:val="single" w:sz="6" w:space="0" w:color="auto"/>
              <w:bottom w:val="single" w:sz="6" w:space="0" w:color="auto"/>
              <w:right w:val="single" w:sz="6" w:space="0" w:color="auto"/>
            </w:tcBorders>
          </w:tcPr>
          <w:p w14:paraId="5CD16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B5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2AA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9B4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25A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E26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2A36D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заканыивает заводские испытания. </w:t>
            </w:r>
          </w:p>
        </w:tc>
      </w:tr>
      <w:tr w:rsidR="00DA227A" w:rsidRPr="00E93F40" w14:paraId="34963480" w14:textId="77777777">
        <w:tc>
          <w:tcPr>
            <w:tcW w:w="939" w:type="dxa"/>
            <w:tcBorders>
              <w:top w:val="single" w:sz="6" w:space="0" w:color="auto"/>
              <w:left w:val="single" w:sz="6" w:space="0" w:color="auto"/>
              <w:bottom w:val="single" w:sz="6" w:space="0" w:color="auto"/>
              <w:right w:val="single" w:sz="6" w:space="0" w:color="auto"/>
            </w:tcBorders>
          </w:tcPr>
          <w:p w14:paraId="27AEA4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w:t>
            </w:r>
          </w:p>
        </w:tc>
        <w:tc>
          <w:tcPr>
            <w:tcW w:w="939" w:type="dxa"/>
            <w:tcBorders>
              <w:top w:val="single" w:sz="6" w:space="0" w:color="auto"/>
              <w:left w:val="single" w:sz="6" w:space="0" w:color="auto"/>
              <w:bottom w:val="single" w:sz="6" w:space="0" w:color="auto"/>
              <w:right w:val="single" w:sz="6" w:space="0" w:color="auto"/>
            </w:tcBorders>
          </w:tcPr>
          <w:p w14:paraId="71F7C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AA06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6BDF4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04D9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C16C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1CFB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янв.</w:t>
            </w:r>
          </w:p>
        </w:tc>
        <w:tc>
          <w:tcPr>
            <w:tcW w:w="3883" w:type="dxa"/>
            <w:tcBorders>
              <w:top w:val="single" w:sz="6" w:space="0" w:color="auto"/>
              <w:left w:val="single" w:sz="6" w:space="0" w:color="auto"/>
              <w:bottom w:val="single" w:sz="6" w:space="0" w:color="auto"/>
              <w:right w:val="single" w:sz="6" w:space="0" w:color="auto"/>
            </w:tcBorders>
          </w:tcPr>
          <w:p w14:paraId="6830D6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Выяснено, что автожир обладает</w:t>
            </w:r>
          </w:p>
        </w:tc>
      </w:tr>
      <w:tr w:rsidR="00DA227A" w:rsidRPr="00E93F40" w14:paraId="51AC06E5" w14:textId="77777777">
        <w:tc>
          <w:tcPr>
            <w:tcW w:w="939" w:type="dxa"/>
            <w:tcBorders>
              <w:top w:val="single" w:sz="6" w:space="0" w:color="auto"/>
              <w:left w:val="single" w:sz="6" w:space="0" w:color="auto"/>
              <w:bottom w:val="single" w:sz="6" w:space="0" w:color="auto"/>
              <w:right w:val="single" w:sz="6" w:space="0" w:color="auto"/>
            </w:tcBorders>
          </w:tcPr>
          <w:p w14:paraId="0168E1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мотором М-22</w:t>
            </w:r>
          </w:p>
        </w:tc>
        <w:tc>
          <w:tcPr>
            <w:tcW w:w="939" w:type="dxa"/>
            <w:tcBorders>
              <w:top w:val="single" w:sz="6" w:space="0" w:color="auto"/>
              <w:left w:val="single" w:sz="6" w:space="0" w:color="auto"/>
              <w:bottom w:val="single" w:sz="6" w:space="0" w:color="auto"/>
              <w:right w:val="single" w:sz="6" w:space="0" w:color="auto"/>
            </w:tcBorders>
          </w:tcPr>
          <w:p w14:paraId="2F9BE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72F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0D1F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72AB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16F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B9BD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49E2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потолком 4000 м и скоростью около</w:t>
            </w:r>
          </w:p>
        </w:tc>
      </w:tr>
      <w:tr w:rsidR="00DA227A" w:rsidRPr="00E93F40" w14:paraId="03F82166" w14:textId="77777777">
        <w:tc>
          <w:tcPr>
            <w:tcW w:w="939" w:type="dxa"/>
            <w:tcBorders>
              <w:top w:val="single" w:sz="6" w:space="0" w:color="auto"/>
              <w:left w:val="single" w:sz="6" w:space="0" w:color="auto"/>
              <w:bottom w:val="single" w:sz="6" w:space="0" w:color="auto"/>
              <w:right w:val="single" w:sz="6" w:space="0" w:color="auto"/>
            </w:tcBorders>
          </w:tcPr>
          <w:p w14:paraId="4F916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7B5D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C94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419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E516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9F7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65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E0D0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 км/час. Автожир с мотором М-25</w:t>
            </w:r>
          </w:p>
        </w:tc>
      </w:tr>
      <w:tr w:rsidR="00DA227A" w:rsidRPr="00E93F40" w14:paraId="7E87F23F" w14:textId="77777777">
        <w:tc>
          <w:tcPr>
            <w:tcW w:w="939" w:type="dxa"/>
            <w:tcBorders>
              <w:top w:val="single" w:sz="6" w:space="0" w:color="auto"/>
              <w:left w:val="single" w:sz="6" w:space="0" w:color="auto"/>
              <w:bottom w:val="single" w:sz="6" w:space="0" w:color="auto"/>
              <w:right w:val="single" w:sz="6" w:space="0" w:color="auto"/>
            </w:tcBorders>
          </w:tcPr>
          <w:p w14:paraId="6125F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6FA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5655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8D3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9917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396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B3C0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E202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производством. В наст. вр.</w:t>
            </w:r>
          </w:p>
        </w:tc>
      </w:tr>
      <w:tr w:rsidR="00DA227A" w:rsidRPr="00E93F40" w14:paraId="2BE0A303" w14:textId="77777777">
        <w:tc>
          <w:tcPr>
            <w:tcW w:w="939" w:type="dxa"/>
            <w:tcBorders>
              <w:top w:val="single" w:sz="6" w:space="0" w:color="auto"/>
              <w:left w:val="single" w:sz="6" w:space="0" w:color="auto"/>
              <w:bottom w:val="single" w:sz="6" w:space="0" w:color="auto"/>
              <w:right w:val="single" w:sz="6" w:space="0" w:color="auto"/>
            </w:tcBorders>
          </w:tcPr>
          <w:p w14:paraId="40654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A41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7475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CB0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C47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1BD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9F3D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405C1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начаты его заводские испытания. Головной</w:t>
            </w:r>
          </w:p>
        </w:tc>
      </w:tr>
      <w:tr w:rsidR="00DA227A" w:rsidRPr="00E93F40" w14:paraId="717434E5" w14:textId="77777777">
        <w:tc>
          <w:tcPr>
            <w:tcW w:w="939" w:type="dxa"/>
            <w:tcBorders>
              <w:top w:val="single" w:sz="6" w:space="0" w:color="auto"/>
              <w:left w:val="single" w:sz="6" w:space="0" w:color="auto"/>
              <w:bottom w:val="single" w:sz="6" w:space="0" w:color="auto"/>
              <w:right w:val="single" w:sz="6" w:space="0" w:color="auto"/>
            </w:tcBorders>
          </w:tcPr>
          <w:p w14:paraId="63DA65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808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C9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D7C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FC9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BF8F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F860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6944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серийный автожир с мотором М-26 из серии</w:t>
            </w:r>
          </w:p>
        </w:tc>
      </w:tr>
      <w:tr w:rsidR="00DA227A" w:rsidRPr="00E93F40" w14:paraId="26B42B78" w14:textId="77777777">
        <w:tc>
          <w:tcPr>
            <w:tcW w:w="939" w:type="dxa"/>
            <w:tcBorders>
              <w:top w:val="single" w:sz="6" w:space="0" w:color="auto"/>
              <w:left w:val="single" w:sz="6" w:space="0" w:color="auto"/>
              <w:bottom w:val="single" w:sz="6" w:space="0" w:color="auto"/>
              <w:right w:val="single" w:sz="6" w:space="0" w:color="auto"/>
            </w:tcBorders>
          </w:tcPr>
          <w:p w14:paraId="121E1E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97BC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155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988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BDF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F6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64E0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D15C1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10 автожиров, строящихся в Киеве будет</w:t>
            </w:r>
          </w:p>
        </w:tc>
      </w:tr>
      <w:tr w:rsidR="00DA227A" w:rsidRPr="00E93F40" w14:paraId="503C3121" w14:textId="77777777">
        <w:tc>
          <w:tcPr>
            <w:tcW w:w="939" w:type="dxa"/>
            <w:tcBorders>
              <w:top w:val="single" w:sz="6" w:space="0" w:color="auto"/>
              <w:left w:val="single" w:sz="6" w:space="0" w:color="auto"/>
              <w:bottom w:val="single" w:sz="6" w:space="0" w:color="auto"/>
              <w:right w:val="single" w:sz="6" w:space="0" w:color="auto"/>
            </w:tcBorders>
          </w:tcPr>
          <w:p w14:paraId="68F46C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FB85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3650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B2F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695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A5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9E4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11D68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в конце октября с.г.</w:t>
            </w:r>
          </w:p>
        </w:tc>
      </w:tr>
      <w:tr w:rsidR="00DA227A" w:rsidRPr="00E93F40" w14:paraId="773DAC6D" w14:textId="77777777">
        <w:tc>
          <w:tcPr>
            <w:tcW w:w="939" w:type="dxa"/>
            <w:tcBorders>
              <w:top w:val="single" w:sz="6" w:space="0" w:color="auto"/>
              <w:left w:val="single" w:sz="6" w:space="0" w:color="auto"/>
              <w:bottom w:val="single" w:sz="6" w:space="0" w:color="auto"/>
              <w:right w:val="single" w:sz="6" w:space="0" w:color="auto"/>
            </w:tcBorders>
          </w:tcPr>
          <w:p w14:paraId="3035B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F20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81C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9F2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4B8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532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5D28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9E31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мотором М-11 в проектировании</w:t>
            </w:r>
          </w:p>
        </w:tc>
      </w:tr>
      <w:tr w:rsidR="00DA227A" w:rsidRPr="00E93F40" w14:paraId="397CDC2B" w14:textId="77777777">
        <w:tc>
          <w:tcPr>
            <w:tcW w:w="939" w:type="dxa"/>
            <w:tcBorders>
              <w:top w:val="single" w:sz="6" w:space="0" w:color="auto"/>
              <w:left w:val="single" w:sz="6" w:space="0" w:color="auto"/>
              <w:bottom w:val="single" w:sz="6" w:space="0" w:color="auto"/>
              <w:right w:val="single" w:sz="6" w:space="0" w:color="auto"/>
            </w:tcBorders>
          </w:tcPr>
          <w:p w14:paraId="140CCE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5AFC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A54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751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C5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B013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E05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39EAD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находится в постройке. Проектир.</w:t>
            </w:r>
          </w:p>
        </w:tc>
      </w:tr>
      <w:tr w:rsidR="00DA227A" w:rsidRPr="00E93F40" w14:paraId="0E4C623B" w14:textId="77777777">
        <w:tc>
          <w:tcPr>
            <w:tcW w:w="939" w:type="dxa"/>
            <w:tcBorders>
              <w:top w:val="single" w:sz="6" w:space="0" w:color="auto"/>
              <w:left w:val="single" w:sz="6" w:space="0" w:color="auto"/>
              <w:bottom w:val="single" w:sz="6" w:space="0" w:color="auto"/>
              <w:right w:val="single" w:sz="6" w:space="0" w:color="auto"/>
            </w:tcBorders>
          </w:tcPr>
          <w:p w14:paraId="06173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CB6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72E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D594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A9D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220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3D6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AD5F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автожира с мотором М-22 заканчивается.</w:t>
            </w:r>
          </w:p>
        </w:tc>
      </w:tr>
      <w:tr w:rsidR="00DA227A" w:rsidRPr="00E93F40" w14:paraId="4314CF80" w14:textId="77777777">
        <w:tc>
          <w:tcPr>
            <w:tcW w:w="939" w:type="dxa"/>
            <w:tcBorders>
              <w:top w:val="single" w:sz="6" w:space="0" w:color="auto"/>
              <w:left w:val="single" w:sz="6" w:space="0" w:color="auto"/>
              <w:bottom w:val="single" w:sz="6" w:space="0" w:color="auto"/>
              <w:right w:val="single" w:sz="6" w:space="0" w:color="auto"/>
            </w:tcBorders>
          </w:tcPr>
          <w:p w14:paraId="236126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1F6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9EB7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007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13E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8D4B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8A37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B735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Частично начата постройка.</w:t>
            </w:r>
          </w:p>
        </w:tc>
      </w:tr>
      <w:tr w:rsidR="00DA227A" w:rsidRPr="00E93F40" w14:paraId="7BBA704D" w14:textId="77777777">
        <w:tc>
          <w:tcPr>
            <w:tcW w:w="939" w:type="dxa"/>
            <w:tcBorders>
              <w:top w:val="single" w:sz="6" w:space="0" w:color="auto"/>
              <w:left w:val="single" w:sz="6" w:space="0" w:color="auto"/>
              <w:bottom w:val="single" w:sz="6" w:space="0" w:color="auto"/>
              <w:right w:val="single" w:sz="6" w:space="0" w:color="auto"/>
            </w:tcBorders>
          </w:tcPr>
          <w:p w14:paraId="10694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314CB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7E10B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F7E3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7589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DA20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B449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70FED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ГИРД Осоавиахима закончил постройку</w:t>
            </w:r>
          </w:p>
        </w:tc>
      </w:tr>
      <w:tr w:rsidR="00DA227A" w:rsidRPr="00E93F40" w14:paraId="2F325714" w14:textId="77777777">
        <w:tc>
          <w:tcPr>
            <w:tcW w:w="939" w:type="dxa"/>
            <w:tcBorders>
              <w:top w:val="single" w:sz="6" w:space="0" w:color="auto"/>
              <w:left w:val="single" w:sz="6" w:space="0" w:color="auto"/>
              <w:bottom w:val="single" w:sz="6" w:space="0" w:color="auto"/>
              <w:right w:val="single" w:sz="6" w:space="0" w:color="auto"/>
            </w:tcBorders>
          </w:tcPr>
          <w:p w14:paraId="3A733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реактивным</w:t>
            </w:r>
          </w:p>
        </w:tc>
        <w:tc>
          <w:tcPr>
            <w:tcW w:w="939" w:type="dxa"/>
            <w:tcBorders>
              <w:top w:val="single" w:sz="6" w:space="0" w:color="auto"/>
              <w:left w:val="single" w:sz="6" w:space="0" w:color="auto"/>
              <w:bottom w:val="single" w:sz="6" w:space="0" w:color="auto"/>
              <w:right w:val="single" w:sz="6" w:space="0" w:color="auto"/>
            </w:tcBorders>
          </w:tcPr>
          <w:p w14:paraId="7174A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A30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DB6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3A3D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537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1228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FB0D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реактивного двигателя для легкого с-та.</w:t>
            </w:r>
          </w:p>
        </w:tc>
      </w:tr>
      <w:tr w:rsidR="00DA227A" w:rsidRPr="00E93F40" w14:paraId="6400F0A0" w14:textId="77777777">
        <w:tc>
          <w:tcPr>
            <w:tcW w:w="939" w:type="dxa"/>
            <w:tcBorders>
              <w:top w:val="single" w:sz="6" w:space="0" w:color="auto"/>
              <w:left w:val="single" w:sz="6" w:space="0" w:color="auto"/>
              <w:bottom w:val="single" w:sz="6" w:space="0" w:color="auto"/>
              <w:right w:val="single" w:sz="6" w:space="0" w:color="auto"/>
            </w:tcBorders>
          </w:tcPr>
          <w:p w14:paraId="39437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6C373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1B5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C87F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DFC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E09E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724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8C18B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проходит исследовательсике</w:t>
            </w:r>
          </w:p>
        </w:tc>
      </w:tr>
      <w:tr w:rsidR="00DA227A" w:rsidRPr="00E93F40" w14:paraId="4C0B040E" w14:textId="77777777">
        <w:tc>
          <w:tcPr>
            <w:tcW w:w="939" w:type="dxa"/>
            <w:tcBorders>
              <w:top w:val="single" w:sz="6" w:space="0" w:color="auto"/>
              <w:left w:val="single" w:sz="6" w:space="0" w:color="auto"/>
              <w:bottom w:val="single" w:sz="6" w:space="0" w:color="auto"/>
              <w:right w:val="single" w:sz="6" w:space="0" w:color="auto"/>
            </w:tcBorders>
          </w:tcPr>
          <w:p w14:paraId="131C2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3A6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9D6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1649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016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A6BD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B9B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11E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Бесхвостый легкий самолет под</w:t>
            </w:r>
          </w:p>
        </w:tc>
      </w:tr>
      <w:tr w:rsidR="00DA227A" w:rsidRPr="00E93F40" w14:paraId="7F9A43BC" w14:textId="77777777">
        <w:tc>
          <w:tcPr>
            <w:tcW w:w="939" w:type="dxa"/>
            <w:tcBorders>
              <w:top w:val="single" w:sz="6" w:space="0" w:color="auto"/>
              <w:left w:val="single" w:sz="6" w:space="0" w:color="auto"/>
              <w:bottom w:val="single" w:sz="6" w:space="0" w:color="auto"/>
              <w:right w:val="single" w:sz="6" w:space="0" w:color="auto"/>
            </w:tcBorders>
          </w:tcPr>
          <w:p w14:paraId="5DA76F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6655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E2A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957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E9CA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05F9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4E0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A6B4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реактивный двигатель построен и облетан</w:t>
            </w:r>
          </w:p>
        </w:tc>
      </w:tr>
      <w:tr w:rsidR="00DA227A" w:rsidRPr="00E93F40" w14:paraId="6C99BC09" w14:textId="77777777">
        <w:tc>
          <w:tcPr>
            <w:tcW w:w="939" w:type="dxa"/>
            <w:tcBorders>
              <w:top w:val="single" w:sz="6" w:space="0" w:color="auto"/>
              <w:left w:val="single" w:sz="6" w:space="0" w:color="auto"/>
              <w:bottom w:val="single" w:sz="6" w:space="0" w:color="auto"/>
              <w:right w:val="single" w:sz="6" w:space="0" w:color="auto"/>
            </w:tcBorders>
          </w:tcPr>
          <w:p w14:paraId="5C258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3E1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FAD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9C7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ACD7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E29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8E23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3EBEA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планер.</w:t>
            </w:r>
          </w:p>
        </w:tc>
      </w:tr>
      <w:tr w:rsidR="00DA227A" w:rsidRPr="00E93F40" w14:paraId="6BF58439" w14:textId="77777777">
        <w:tc>
          <w:tcPr>
            <w:tcW w:w="939" w:type="dxa"/>
            <w:tcBorders>
              <w:top w:val="single" w:sz="6" w:space="0" w:color="auto"/>
              <w:left w:val="single" w:sz="6" w:space="0" w:color="auto"/>
              <w:bottom w:val="single" w:sz="6" w:space="0" w:color="auto"/>
              <w:right w:val="single" w:sz="6" w:space="0" w:color="auto"/>
            </w:tcBorders>
          </w:tcPr>
          <w:p w14:paraId="60CFA1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1881EA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B1DD2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2345F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E320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FCF4D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EEBBC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64AD6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ГУГВФ к работам по с-ту не приступало.</w:t>
            </w:r>
          </w:p>
        </w:tc>
      </w:tr>
      <w:tr w:rsidR="00DA227A" w:rsidRPr="00E93F40" w14:paraId="3CD6B913" w14:textId="77777777">
        <w:tc>
          <w:tcPr>
            <w:tcW w:w="939" w:type="dxa"/>
            <w:tcBorders>
              <w:top w:val="single" w:sz="6" w:space="0" w:color="auto"/>
              <w:left w:val="single" w:sz="6" w:space="0" w:color="auto"/>
              <w:bottom w:val="single" w:sz="6" w:space="0" w:color="auto"/>
              <w:right w:val="single" w:sz="6" w:space="0" w:color="auto"/>
            </w:tcBorders>
          </w:tcPr>
          <w:p w14:paraId="44DE67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Разрезными</w:t>
            </w:r>
          </w:p>
        </w:tc>
        <w:tc>
          <w:tcPr>
            <w:tcW w:w="939" w:type="dxa"/>
            <w:tcBorders>
              <w:top w:val="single" w:sz="6" w:space="0" w:color="auto"/>
              <w:left w:val="single" w:sz="6" w:space="0" w:color="auto"/>
              <w:bottom w:val="single" w:sz="6" w:space="0" w:color="auto"/>
              <w:right w:val="single" w:sz="6" w:space="0" w:color="auto"/>
            </w:tcBorders>
          </w:tcPr>
          <w:p w14:paraId="23398A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8492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014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4406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B026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C8B6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21BB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749278" w14:textId="77777777">
        <w:tc>
          <w:tcPr>
            <w:tcW w:w="939" w:type="dxa"/>
            <w:tcBorders>
              <w:top w:val="single" w:sz="6" w:space="0" w:color="auto"/>
              <w:left w:val="single" w:sz="6" w:space="0" w:color="auto"/>
              <w:bottom w:val="single" w:sz="6" w:space="0" w:color="auto"/>
              <w:right w:val="single" w:sz="6" w:space="0" w:color="auto"/>
            </w:tcBorders>
          </w:tcPr>
          <w:p w14:paraId="1486E9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крыльями</w:t>
            </w:r>
          </w:p>
        </w:tc>
        <w:tc>
          <w:tcPr>
            <w:tcW w:w="939" w:type="dxa"/>
            <w:tcBorders>
              <w:top w:val="single" w:sz="6" w:space="0" w:color="auto"/>
              <w:left w:val="single" w:sz="6" w:space="0" w:color="auto"/>
              <w:bottom w:val="single" w:sz="6" w:space="0" w:color="auto"/>
              <w:right w:val="single" w:sz="6" w:space="0" w:color="auto"/>
            </w:tcBorders>
          </w:tcPr>
          <w:p w14:paraId="16B472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A6E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051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4774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5DC7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C88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ADDAE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898E72" w14:textId="77777777">
        <w:tc>
          <w:tcPr>
            <w:tcW w:w="939" w:type="dxa"/>
            <w:tcBorders>
              <w:top w:val="single" w:sz="6" w:space="0" w:color="auto"/>
              <w:left w:val="single" w:sz="6" w:space="0" w:color="auto"/>
              <w:bottom w:val="single" w:sz="6" w:space="0" w:color="auto"/>
              <w:right w:val="single" w:sz="6" w:space="0" w:color="auto"/>
            </w:tcBorders>
          </w:tcPr>
          <w:p w14:paraId="7423D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1F2E37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B1E7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A226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61E55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4B3C1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F0C89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2EF6B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ГУГВФ к работам по с-ту не приступало.</w:t>
            </w:r>
          </w:p>
        </w:tc>
      </w:tr>
      <w:tr w:rsidR="00DA227A" w:rsidRPr="00E93F40" w14:paraId="4CC188BC" w14:textId="77777777">
        <w:tc>
          <w:tcPr>
            <w:tcW w:w="939" w:type="dxa"/>
            <w:tcBorders>
              <w:top w:val="single" w:sz="6" w:space="0" w:color="auto"/>
              <w:left w:val="single" w:sz="6" w:space="0" w:color="auto"/>
              <w:bottom w:val="single" w:sz="6" w:space="0" w:color="auto"/>
              <w:right w:val="single" w:sz="6" w:space="0" w:color="auto"/>
            </w:tcBorders>
          </w:tcPr>
          <w:p w14:paraId="3D2A8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нефтян.</w:t>
            </w:r>
          </w:p>
        </w:tc>
        <w:tc>
          <w:tcPr>
            <w:tcW w:w="939" w:type="dxa"/>
            <w:tcBorders>
              <w:top w:val="single" w:sz="6" w:space="0" w:color="auto"/>
              <w:left w:val="single" w:sz="6" w:space="0" w:color="auto"/>
              <w:bottom w:val="single" w:sz="6" w:space="0" w:color="auto"/>
              <w:right w:val="single" w:sz="6" w:space="0" w:color="auto"/>
            </w:tcBorders>
          </w:tcPr>
          <w:p w14:paraId="24243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4503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A3B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A907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852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41A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C32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5DDD93" w14:textId="77777777">
        <w:tc>
          <w:tcPr>
            <w:tcW w:w="939" w:type="dxa"/>
            <w:tcBorders>
              <w:top w:val="single" w:sz="6" w:space="0" w:color="auto"/>
              <w:left w:val="single" w:sz="6" w:space="0" w:color="auto"/>
              <w:bottom w:val="single" w:sz="6" w:space="0" w:color="auto"/>
              <w:right w:val="single" w:sz="6" w:space="0" w:color="auto"/>
            </w:tcBorders>
          </w:tcPr>
          <w:p w14:paraId="37A77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2F9A6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068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8925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67A8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B807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075A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B2436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B44182" w14:textId="77777777">
        <w:tc>
          <w:tcPr>
            <w:tcW w:w="939" w:type="dxa"/>
            <w:tcBorders>
              <w:top w:val="single" w:sz="6" w:space="0" w:color="auto"/>
              <w:left w:val="single" w:sz="6" w:space="0" w:color="auto"/>
              <w:bottom w:val="single" w:sz="6" w:space="0" w:color="auto"/>
              <w:right w:val="single" w:sz="6" w:space="0" w:color="auto"/>
            </w:tcBorders>
          </w:tcPr>
          <w:p w14:paraId="170A3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Паккард</w:t>
            </w:r>
          </w:p>
        </w:tc>
        <w:tc>
          <w:tcPr>
            <w:tcW w:w="939" w:type="dxa"/>
            <w:tcBorders>
              <w:top w:val="single" w:sz="6" w:space="0" w:color="auto"/>
              <w:left w:val="single" w:sz="6" w:space="0" w:color="auto"/>
              <w:bottom w:val="single" w:sz="6" w:space="0" w:color="auto"/>
              <w:right w:val="single" w:sz="6" w:space="0" w:color="auto"/>
            </w:tcBorders>
          </w:tcPr>
          <w:p w14:paraId="7E2B4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10E8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B6A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0424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E730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35F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0314F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0A60B3" w14:textId="77777777">
        <w:tc>
          <w:tcPr>
            <w:tcW w:w="939" w:type="dxa"/>
            <w:tcBorders>
              <w:top w:val="single" w:sz="6" w:space="0" w:color="auto"/>
              <w:left w:val="single" w:sz="6" w:space="0" w:color="auto"/>
              <w:bottom w:val="single" w:sz="6" w:space="0" w:color="auto"/>
              <w:right w:val="single" w:sz="6" w:space="0" w:color="auto"/>
            </w:tcBorders>
          </w:tcPr>
          <w:p w14:paraId="2441E0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Особой группы.</w:t>
            </w:r>
          </w:p>
        </w:tc>
        <w:tc>
          <w:tcPr>
            <w:tcW w:w="939" w:type="dxa"/>
            <w:tcBorders>
              <w:top w:val="single" w:sz="6" w:space="0" w:color="auto"/>
              <w:left w:val="single" w:sz="6" w:space="0" w:color="auto"/>
              <w:bottom w:val="single" w:sz="6" w:space="0" w:color="auto"/>
              <w:right w:val="single" w:sz="6" w:space="0" w:color="auto"/>
            </w:tcBorders>
          </w:tcPr>
          <w:p w14:paraId="0E49E6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178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3D4E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E93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75D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A557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C18DE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4A959E" w14:textId="77777777">
        <w:tc>
          <w:tcPr>
            <w:tcW w:w="939" w:type="dxa"/>
            <w:tcBorders>
              <w:top w:val="single" w:sz="6" w:space="0" w:color="auto"/>
              <w:left w:val="single" w:sz="6" w:space="0" w:color="auto"/>
              <w:bottom w:val="single" w:sz="6" w:space="0" w:color="auto"/>
              <w:right w:val="single" w:sz="6" w:space="0" w:color="auto"/>
            </w:tcBorders>
          </w:tcPr>
          <w:p w14:paraId="262C8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1583F9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09E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D61E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EF185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292DA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6DF99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0B1366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БНК ведет работу по самолету летающей </w:t>
            </w:r>
          </w:p>
        </w:tc>
      </w:tr>
      <w:tr w:rsidR="00DA227A" w:rsidRPr="00E93F40" w14:paraId="65C3E5D3" w14:textId="77777777">
        <w:tc>
          <w:tcPr>
            <w:tcW w:w="939" w:type="dxa"/>
            <w:tcBorders>
              <w:top w:val="single" w:sz="6" w:space="0" w:color="auto"/>
              <w:left w:val="single" w:sz="6" w:space="0" w:color="auto"/>
              <w:bottom w:val="single" w:sz="6" w:space="0" w:color="auto"/>
              <w:right w:val="single" w:sz="6" w:space="0" w:color="auto"/>
            </w:tcBorders>
          </w:tcPr>
          <w:p w14:paraId="025A7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Таран</w:t>
            </w:r>
          </w:p>
        </w:tc>
        <w:tc>
          <w:tcPr>
            <w:tcW w:w="939" w:type="dxa"/>
            <w:tcBorders>
              <w:top w:val="single" w:sz="6" w:space="0" w:color="auto"/>
              <w:left w:val="single" w:sz="6" w:space="0" w:color="auto"/>
              <w:bottom w:val="single" w:sz="6" w:space="0" w:color="auto"/>
              <w:right w:val="single" w:sz="6" w:space="0" w:color="auto"/>
            </w:tcBorders>
          </w:tcPr>
          <w:p w14:paraId="63D68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5886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CD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ED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AD0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860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0D63B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мине управляемый по радио. Проект с-та </w:t>
            </w:r>
          </w:p>
        </w:tc>
      </w:tr>
      <w:tr w:rsidR="00DA227A" w:rsidRPr="00E93F40" w14:paraId="2028258A" w14:textId="77777777">
        <w:tc>
          <w:tcPr>
            <w:tcW w:w="939" w:type="dxa"/>
            <w:tcBorders>
              <w:top w:val="single" w:sz="6" w:space="0" w:color="auto"/>
              <w:left w:val="single" w:sz="6" w:space="0" w:color="auto"/>
              <w:bottom w:val="single" w:sz="6" w:space="0" w:color="auto"/>
              <w:right w:val="single" w:sz="6" w:space="0" w:color="auto"/>
            </w:tcBorders>
          </w:tcPr>
          <w:p w14:paraId="2754C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665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91D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609D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7E6F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764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B90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173B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Построен макет. Частично</w:t>
            </w:r>
          </w:p>
        </w:tc>
      </w:tr>
      <w:tr w:rsidR="00DA227A" w:rsidRPr="00E93F40" w14:paraId="21D157D3" w14:textId="77777777">
        <w:tc>
          <w:tcPr>
            <w:tcW w:w="939" w:type="dxa"/>
            <w:tcBorders>
              <w:top w:val="single" w:sz="6" w:space="0" w:color="auto"/>
              <w:left w:val="single" w:sz="6" w:space="0" w:color="auto"/>
              <w:bottom w:val="single" w:sz="6" w:space="0" w:color="auto"/>
              <w:right w:val="single" w:sz="6" w:space="0" w:color="auto"/>
            </w:tcBorders>
          </w:tcPr>
          <w:p w14:paraId="3F34F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126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216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A6B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676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8CBE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6D2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7C23D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начата постройка.</w:t>
            </w:r>
          </w:p>
        </w:tc>
      </w:tr>
      <w:tr w:rsidR="00DA227A" w:rsidRPr="00E93F40" w14:paraId="5A09D218" w14:textId="77777777">
        <w:tc>
          <w:tcPr>
            <w:tcW w:w="939" w:type="dxa"/>
            <w:tcBorders>
              <w:top w:val="single" w:sz="6" w:space="0" w:color="auto"/>
              <w:left w:val="single" w:sz="6" w:space="0" w:color="auto"/>
              <w:bottom w:val="single" w:sz="6" w:space="0" w:color="auto"/>
              <w:right w:val="single" w:sz="6" w:space="0" w:color="auto"/>
            </w:tcBorders>
          </w:tcPr>
          <w:p w14:paraId="7722F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Модификации</w:t>
            </w:r>
          </w:p>
        </w:tc>
        <w:tc>
          <w:tcPr>
            <w:tcW w:w="939" w:type="dxa"/>
            <w:tcBorders>
              <w:top w:val="single" w:sz="6" w:space="0" w:color="auto"/>
              <w:left w:val="single" w:sz="6" w:space="0" w:color="auto"/>
              <w:bottom w:val="single" w:sz="6" w:space="0" w:color="auto"/>
              <w:right w:val="single" w:sz="6" w:space="0" w:color="auto"/>
            </w:tcBorders>
          </w:tcPr>
          <w:p w14:paraId="13F545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738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FEC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846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C36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4CB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4CE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A155D9" w14:textId="77777777">
        <w:tc>
          <w:tcPr>
            <w:tcW w:w="939" w:type="dxa"/>
            <w:tcBorders>
              <w:top w:val="single" w:sz="6" w:space="0" w:color="auto"/>
              <w:left w:val="single" w:sz="6" w:space="0" w:color="auto"/>
              <w:bottom w:val="single" w:sz="6" w:space="0" w:color="auto"/>
              <w:right w:val="single" w:sz="6" w:space="0" w:color="auto"/>
            </w:tcBorders>
          </w:tcPr>
          <w:p w14:paraId="45CDD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047941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модификации</w:t>
            </w:r>
          </w:p>
        </w:tc>
        <w:tc>
          <w:tcPr>
            <w:tcW w:w="939" w:type="dxa"/>
            <w:tcBorders>
              <w:top w:val="single" w:sz="6" w:space="0" w:color="auto"/>
              <w:left w:val="single" w:sz="6" w:space="0" w:color="auto"/>
              <w:bottom w:val="single" w:sz="6" w:space="0" w:color="auto"/>
              <w:right w:val="single" w:sz="6" w:space="0" w:color="auto"/>
            </w:tcBorders>
          </w:tcPr>
          <w:p w14:paraId="3AC242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1B5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3D90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EA85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1495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3883" w:type="dxa"/>
            <w:tcBorders>
              <w:top w:val="single" w:sz="6" w:space="0" w:color="auto"/>
              <w:left w:val="single" w:sz="6" w:space="0" w:color="auto"/>
              <w:bottom w:val="single" w:sz="6" w:space="0" w:color="auto"/>
              <w:right w:val="single" w:sz="6" w:space="0" w:color="auto"/>
            </w:tcBorders>
          </w:tcPr>
          <w:p w14:paraId="36A601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 октября 1932 года.</w:t>
            </w:r>
          </w:p>
        </w:tc>
      </w:tr>
      <w:tr w:rsidR="00DA227A" w:rsidRPr="00E93F40" w14:paraId="7B169D93" w14:textId="77777777">
        <w:tc>
          <w:tcPr>
            <w:tcW w:w="939" w:type="dxa"/>
            <w:tcBorders>
              <w:top w:val="single" w:sz="6" w:space="0" w:color="auto"/>
              <w:left w:val="single" w:sz="6" w:space="0" w:color="auto"/>
              <w:bottom w:val="single" w:sz="6" w:space="0" w:color="auto"/>
              <w:right w:val="single" w:sz="6" w:space="0" w:color="auto"/>
            </w:tcBorders>
          </w:tcPr>
          <w:p w14:paraId="5D671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939" w:type="dxa"/>
            <w:tcBorders>
              <w:top w:val="single" w:sz="6" w:space="0" w:color="auto"/>
              <w:left w:val="single" w:sz="6" w:space="0" w:color="auto"/>
              <w:bottom w:val="single" w:sz="6" w:space="0" w:color="auto"/>
              <w:right w:val="single" w:sz="6" w:space="0" w:color="auto"/>
            </w:tcBorders>
          </w:tcPr>
          <w:p w14:paraId="56E6C1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6D9A82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896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F3D5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4E0A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E7A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40BF0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полностью подготовлен к установке моторов М34. Установка не </w:t>
            </w:r>
          </w:p>
        </w:tc>
      </w:tr>
      <w:tr w:rsidR="00DA227A" w:rsidRPr="00E93F40" w14:paraId="771BAE2B" w14:textId="77777777">
        <w:tc>
          <w:tcPr>
            <w:tcW w:w="939" w:type="dxa"/>
            <w:tcBorders>
              <w:top w:val="single" w:sz="6" w:space="0" w:color="auto"/>
              <w:left w:val="single" w:sz="6" w:space="0" w:color="auto"/>
              <w:bottom w:val="single" w:sz="6" w:space="0" w:color="auto"/>
              <w:right w:val="single" w:sz="6" w:space="0" w:color="auto"/>
            </w:tcBorders>
          </w:tcPr>
          <w:p w14:paraId="2DA80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6F8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EEFE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A0D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3BE2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6871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DE4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6F53A6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произведена ввиду отсутствия моторов.</w:t>
            </w:r>
          </w:p>
        </w:tc>
      </w:tr>
      <w:tr w:rsidR="00DA227A" w:rsidRPr="00E93F40" w14:paraId="27B47810" w14:textId="77777777">
        <w:tc>
          <w:tcPr>
            <w:tcW w:w="939" w:type="dxa"/>
            <w:tcBorders>
              <w:top w:val="single" w:sz="6" w:space="0" w:color="auto"/>
              <w:left w:val="single" w:sz="6" w:space="0" w:color="auto"/>
              <w:bottom w:val="single" w:sz="6" w:space="0" w:color="auto"/>
              <w:right w:val="single" w:sz="6" w:space="0" w:color="auto"/>
            </w:tcBorders>
          </w:tcPr>
          <w:p w14:paraId="7BF59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ТШ2-М17</w:t>
            </w:r>
          </w:p>
        </w:tc>
        <w:tc>
          <w:tcPr>
            <w:tcW w:w="939" w:type="dxa"/>
            <w:tcBorders>
              <w:top w:val="single" w:sz="6" w:space="0" w:color="auto"/>
              <w:left w:val="single" w:sz="6" w:space="0" w:color="auto"/>
              <w:bottom w:val="single" w:sz="6" w:space="0" w:color="auto"/>
              <w:right w:val="single" w:sz="6" w:space="0" w:color="auto"/>
            </w:tcBorders>
          </w:tcPr>
          <w:p w14:paraId="17D2B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09BC4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63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A896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AF06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A2D5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22E0DE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затруднений с работой мотора М-17 с гликолевым охлаждением на</w:t>
            </w:r>
          </w:p>
        </w:tc>
      </w:tr>
      <w:tr w:rsidR="00DA227A" w:rsidRPr="00E93F40" w14:paraId="660D2F8A" w14:textId="77777777">
        <w:tc>
          <w:tcPr>
            <w:tcW w:w="939" w:type="dxa"/>
            <w:tcBorders>
              <w:top w:val="single" w:sz="6" w:space="0" w:color="auto"/>
              <w:left w:val="single" w:sz="6" w:space="0" w:color="auto"/>
              <w:bottom w:val="single" w:sz="6" w:space="0" w:color="auto"/>
              <w:right w:val="single" w:sz="6" w:space="0" w:color="auto"/>
            </w:tcBorders>
          </w:tcPr>
          <w:p w14:paraId="516ECC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AD6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C5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A4D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9AE3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24B3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FCDA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38606B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самолете ТШ-2 М-17 СТО приняло решение обязывающее ГУАП представить </w:t>
            </w:r>
          </w:p>
        </w:tc>
      </w:tr>
      <w:tr w:rsidR="00DA227A" w:rsidRPr="00E93F40" w14:paraId="5DF76569" w14:textId="77777777">
        <w:tc>
          <w:tcPr>
            <w:tcW w:w="939" w:type="dxa"/>
            <w:tcBorders>
              <w:top w:val="single" w:sz="6" w:space="0" w:color="auto"/>
              <w:left w:val="single" w:sz="6" w:space="0" w:color="auto"/>
              <w:bottom w:val="single" w:sz="6" w:space="0" w:color="auto"/>
              <w:right w:val="single" w:sz="6" w:space="0" w:color="auto"/>
            </w:tcBorders>
          </w:tcPr>
          <w:p w14:paraId="22E5A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8DE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FA2E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E12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B39D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B8A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34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0094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гос. испытание самолет ТШ3-М34 к 1 апреля 1933 года. ЦАГИ ведется </w:t>
            </w:r>
          </w:p>
        </w:tc>
      </w:tr>
      <w:tr w:rsidR="00DA227A" w:rsidRPr="00E93F40" w14:paraId="5B489D9D" w14:textId="77777777">
        <w:tc>
          <w:tcPr>
            <w:tcW w:w="939" w:type="dxa"/>
            <w:tcBorders>
              <w:top w:val="single" w:sz="6" w:space="0" w:color="auto"/>
              <w:left w:val="single" w:sz="6" w:space="0" w:color="auto"/>
              <w:bottom w:val="single" w:sz="6" w:space="0" w:color="auto"/>
              <w:right w:val="single" w:sz="6" w:space="0" w:color="auto"/>
            </w:tcBorders>
          </w:tcPr>
          <w:p w14:paraId="76FA5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36E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9134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8ED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C73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0F80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28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7A8A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предварительная компановка самолета.</w:t>
            </w:r>
          </w:p>
        </w:tc>
      </w:tr>
      <w:tr w:rsidR="00DA227A" w:rsidRPr="00E93F40" w14:paraId="300C8D57" w14:textId="77777777">
        <w:tc>
          <w:tcPr>
            <w:tcW w:w="939" w:type="dxa"/>
            <w:tcBorders>
              <w:top w:val="single" w:sz="6" w:space="0" w:color="auto"/>
              <w:left w:val="single" w:sz="6" w:space="0" w:color="auto"/>
              <w:bottom w:val="single" w:sz="6" w:space="0" w:color="auto"/>
              <w:right w:val="single" w:sz="6" w:space="0" w:color="auto"/>
            </w:tcBorders>
          </w:tcPr>
          <w:p w14:paraId="0BD38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М34</w:t>
            </w:r>
          </w:p>
        </w:tc>
        <w:tc>
          <w:tcPr>
            <w:tcW w:w="939" w:type="dxa"/>
            <w:tcBorders>
              <w:top w:val="single" w:sz="6" w:space="0" w:color="auto"/>
              <w:left w:val="single" w:sz="6" w:space="0" w:color="auto"/>
              <w:bottom w:val="single" w:sz="6" w:space="0" w:color="auto"/>
              <w:right w:val="single" w:sz="6" w:space="0" w:color="auto"/>
            </w:tcBorders>
          </w:tcPr>
          <w:p w14:paraId="4C3D7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эталона с-та.</w:t>
            </w:r>
          </w:p>
        </w:tc>
        <w:tc>
          <w:tcPr>
            <w:tcW w:w="939" w:type="dxa"/>
            <w:tcBorders>
              <w:top w:val="single" w:sz="6" w:space="0" w:color="auto"/>
              <w:left w:val="single" w:sz="6" w:space="0" w:color="auto"/>
              <w:bottom w:val="single" w:sz="6" w:space="0" w:color="auto"/>
              <w:right w:val="single" w:sz="6" w:space="0" w:color="auto"/>
            </w:tcBorders>
          </w:tcPr>
          <w:p w14:paraId="6E0E4F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1FB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F9F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B7C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A63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w:t>
            </w:r>
          </w:p>
        </w:tc>
        <w:tc>
          <w:tcPr>
            <w:tcW w:w="3883" w:type="dxa"/>
            <w:tcBorders>
              <w:top w:val="single" w:sz="6" w:space="0" w:color="auto"/>
              <w:left w:val="single" w:sz="6" w:space="0" w:color="auto"/>
              <w:bottom w:val="single" w:sz="6" w:space="0" w:color="auto"/>
              <w:right w:val="single" w:sz="6" w:space="0" w:color="auto"/>
            </w:tcBorders>
          </w:tcPr>
          <w:p w14:paraId="444BEE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прошел заводские испытания, которые показали необходимость</w:t>
            </w:r>
          </w:p>
        </w:tc>
      </w:tr>
      <w:tr w:rsidR="00DA227A" w:rsidRPr="00E93F40" w14:paraId="597D7041" w14:textId="77777777">
        <w:tc>
          <w:tcPr>
            <w:tcW w:w="939" w:type="dxa"/>
            <w:tcBorders>
              <w:top w:val="single" w:sz="6" w:space="0" w:color="auto"/>
              <w:left w:val="single" w:sz="6" w:space="0" w:color="auto"/>
              <w:bottom w:val="single" w:sz="6" w:space="0" w:color="auto"/>
              <w:right w:val="single" w:sz="6" w:space="0" w:color="auto"/>
            </w:tcBorders>
          </w:tcPr>
          <w:p w14:paraId="6C9719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C67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E792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E3C2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B03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3896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025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6AFF26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больших масляных радиаторах и в улучшении карбюрации. Самолет </w:t>
            </w:r>
          </w:p>
        </w:tc>
      </w:tr>
      <w:tr w:rsidR="00DA227A" w:rsidRPr="00E93F40" w14:paraId="1281A783" w14:textId="77777777">
        <w:tc>
          <w:tcPr>
            <w:tcW w:w="939" w:type="dxa"/>
            <w:tcBorders>
              <w:top w:val="single" w:sz="6" w:space="0" w:color="auto"/>
              <w:left w:val="single" w:sz="6" w:space="0" w:color="auto"/>
              <w:bottom w:val="single" w:sz="6" w:space="0" w:color="auto"/>
              <w:right w:val="single" w:sz="6" w:space="0" w:color="auto"/>
            </w:tcBorders>
          </w:tcPr>
          <w:p w14:paraId="3C486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BB5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65E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FC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3459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682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C377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BC7F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проходивший испытания не является эталоном Р5-М34. Работа по эталониров.</w:t>
            </w:r>
          </w:p>
        </w:tc>
      </w:tr>
      <w:tr w:rsidR="00DA227A" w:rsidRPr="00E93F40" w14:paraId="7856019C" w14:textId="77777777">
        <w:tc>
          <w:tcPr>
            <w:tcW w:w="939" w:type="dxa"/>
            <w:tcBorders>
              <w:top w:val="single" w:sz="6" w:space="0" w:color="auto"/>
              <w:left w:val="single" w:sz="6" w:space="0" w:color="auto"/>
              <w:bottom w:val="single" w:sz="6" w:space="0" w:color="auto"/>
              <w:right w:val="single" w:sz="6" w:space="0" w:color="auto"/>
            </w:tcBorders>
          </w:tcPr>
          <w:p w14:paraId="13041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7A3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15A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043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1D4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1F8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800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EF3C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ведется ЦАГИ и заводом N 1. Ввиду отсутствия моторов М-34</w:t>
            </w:r>
          </w:p>
        </w:tc>
      </w:tr>
      <w:tr w:rsidR="00DA227A" w:rsidRPr="00E93F40" w14:paraId="00F2A703" w14:textId="77777777">
        <w:tc>
          <w:tcPr>
            <w:tcW w:w="939" w:type="dxa"/>
            <w:tcBorders>
              <w:top w:val="single" w:sz="6" w:space="0" w:color="auto"/>
              <w:left w:val="single" w:sz="6" w:space="0" w:color="auto"/>
              <w:bottom w:val="single" w:sz="6" w:space="0" w:color="auto"/>
              <w:right w:val="single" w:sz="6" w:space="0" w:color="auto"/>
            </w:tcBorders>
          </w:tcPr>
          <w:p w14:paraId="1688B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F8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029B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201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17E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47DA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9AD2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39B1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выдержан не будет.</w:t>
            </w:r>
          </w:p>
        </w:tc>
      </w:tr>
      <w:tr w:rsidR="00DA227A" w:rsidRPr="00E93F40" w14:paraId="532D4DCA" w14:textId="77777777">
        <w:tc>
          <w:tcPr>
            <w:tcW w:w="939" w:type="dxa"/>
            <w:tcBorders>
              <w:top w:val="single" w:sz="6" w:space="0" w:color="auto"/>
              <w:left w:val="single" w:sz="6" w:space="0" w:color="auto"/>
              <w:bottom w:val="single" w:sz="6" w:space="0" w:color="auto"/>
              <w:right w:val="single" w:sz="6" w:space="0" w:color="auto"/>
            </w:tcBorders>
          </w:tcPr>
          <w:p w14:paraId="77FDCB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М-17</w:t>
            </w:r>
          </w:p>
        </w:tc>
        <w:tc>
          <w:tcPr>
            <w:tcW w:w="939" w:type="dxa"/>
            <w:tcBorders>
              <w:top w:val="single" w:sz="6" w:space="0" w:color="auto"/>
              <w:left w:val="single" w:sz="6" w:space="0" w:color="auto"/>
              <w:bottom w:val="single" w:sz="6" w:space="0" w:color="auto"/>
              <w:right w:val="single" w:sz="6" w:space="0" w:color="auto"/>
            </w:tcBorders>
          </w:tcPr>
          <w:p w14:paraId="5E664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тормозн. колес</w:t>
            </w:r>
          </w:p>
        </w:tc>
        <w:tc>
          <w:tcPr>
            <w:tcW w:w="939" w:type="dxa"/>
            <w:tcBorders>
              <w:top w:val="single" w:sz="6" w:space="0" w:color="auto"/>
              <w:left w:val="single" w:sz="6" w:space="0" w:color="auto"/>
              <w:bottom w:val="single" w:sz="6" w:space="0" w:color="auto"/>
              <w:right w:val="single" w:sz="6" w:space="0" w:color="auto"/>
            </w:tcBorders>
          </w:tcPr>
          <w:p w14:paraId="145D9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7656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D116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5939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005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авг.</w:t>
            </w:r>
          </w:p>
        </w:tc>
        <w:tc>
          <w:tcPr>
            <w:tcW w:w="3883" w:type="dxa"/>
            <w:tcBorders>
              <w:top w:val="single" w:sz="6" w:space="0" w:color="auto"/>
              <w:left w:val="single" w:sz="6" w:space="0" w:color="auto"/>
              <w:bottom w:val="single" w:sz="6" w:space="0" w:color="auto"/>
              <w:right w:val="single" w:sz="6" w:space="0" w:color="auto"/>
            </w:tcBorders>
          </w:tcPr>
          <w:p w14:paraId="5D2E4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с тормозными колесами прошел испытания в ЦАГИ и передается в НИИ</w:t>
            </w:r>
          </w:p>
        </w:tc>
      </w:tr>
      <w:tr w:rsidR="00DA227A" w:rsidRPr="00E93F40" w14:paraId="162F7905" w14:textId="77777777">
        <w:tc>
          <w:tcPr>
            <w:tcW w:w="939" w:type="dxa"/>
            <w:tcBorders>
              <w:top w:val="single" w:sz="6" w:space="0" w:color="auto"/>
              <w:left w:val="single" w:sz="6" w:space="0" w:color="auto"/>
              <w:bottom w:val="single" w:sz="6" w:space="0" w:color="auto"/>
              <w:right w:val="single" w:sz="6" w:space="0" w:color="auto"/>
            </w:tcBorders>
          </w:tcPr>
          <w:p w14:paraId="0C0E15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653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разрезных крыльев.</w:t>
            </w:r>
          </w:p>
        </w:tc>
        <w:tc>
          <w:tcPr>
            <w:tcW w:w="939" w:type="dxa"/>
            <w:tcBorders>
              <w:top w:val="single" w:sz="6" w:space="0" w:color="auto"/>
              <w:left w:val="single" w:sz="6" w:space="0" w:color="auto"/>
              <w:bottom w:val="single" w:sz="6" w:space="0" w:color="auto"/>
              <w:right w:val="single" w:sz="6" w:space="0" w:color="auto"/>
            </w:tcBorders>
          </w:tcPr>
          <w:p w14:paraId="2D3B00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84E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7941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C19D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D1F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410C7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Первый экземпляр самолета Р5 с разрезными крыльями прошел испыт.</w:t>
            </w:r>
          </w:p>
        </w:tc>
      </w:tr>
      <w:tr w:rsidR="00DA227A" w:rsidRPr="00E93F40" w14:paraId="77A4FFE6" w14:textId="77777777">
        <w:tc>
          <w:tcPr>
            <w:tcW w:w="939" w:type="dxa"/>
            <w:tcBorders>
              <w:top w:val="single" w:sz="6" w:space="0" w:color="auto"/>
              <w:left w:val="single" w:sz="6" w:space="0" w:color="auto"/>
              <w:bottom w:val="single" w:sz="6" w:space="0" w:color="auto"/>
              <w:right w:val="single" w:sz="6" w:space="0" w:color="auto"/>
            </w:tcBorders>
          </w:tcPr>
          <w:p w14:paraId="36428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E945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2B9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BF9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807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CCB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E389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164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НИИ ВВС. Ухудшение летных данных самолета не позволяет ввести в серию</w:t>
            </w:r>
          </w:p>
        </w:tc>
      </w:tr>
      <w:tr w:rsidR="00DA227A" w:rsidRPr="00E93F40" w14:paraId="34BEC392" w14:textId="77777777">
        <w:tc>
          <w:tcPr>
            <w:tcW w:w="939" w:type="dxa"/>
            <w:tcBorders>
              <w:top w:val="single" w:sz="6" w:space="0" w:color="auto"/>
              <w:left w:val="single" w:sz="6" w:space="0" w:color="auto"/>
              <w:bottom w:val="single" w:sz="6" w:space="0" w:color="auto"/>
              <w:right w:val="single" w:sz="6" w:space="0" w:color="auto"/>
            </w:tcBorders>
          </w:tcPr>
          <w:p w14:paraId="0FFA08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1E3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0BE7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CEA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4590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5BF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42A1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147A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испытываемый тип разрезных крыльев. Второй экземпляр самолета Р5 с</w:t>
            </w:r>
          </w:p>
        </w:tc>
      </w:tr>
      <w:tr w:rsidR="00DA227A" w:rsidRPr="00E93F40" w14:paraId="671944B7" w14:textId="77777777">
        <w:tc>
          <w:tcPr>
            <w:tcW w:w="939" w:type="dxa"/>
            <w:tcBorders>
              <w:top w:val="single" w:sz="6" w:space="0" w:color="auto"/>
              <w:left w:val="single" w:sz="6" w:space="0" w:color="auto"/>
              <w:bottom w:val="single" w:sz="6" w:space="0" w:color="auto"/>
              <w:right w:val="single" w:sz="6" w:space="0" w:color="auto"/>
            </w:tcBorders>
          </w:tcPr>
          <w:p w14:paraId="15618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65AA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4DB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BF5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7637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49A9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02C2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4FC1E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разрезными крыльями видоизмененной конструкции заканчивается </w:t>
            </w:r>
          </w:p>
        </w:tc>
      </w:tr>
      <w:tr w:rsidR="00DA227A" w:rsidRPr="00E93F40" w14:paraId="1DCFEB68" w14:textId="77777777">
        <w:tc>
          <w:tcPr>
            <w:tcW w:w="939" w:type="dxa"/>
            <w:tcBorders>
              <w:top w:val="single" w:sz="6" w:space="0" w:color="auto"/>
              <w:left w:val="single" w:sz="6" w:space="0" w:color="auto"/>
              <w:bottom w:val="single" w:sz="6" w:space="0" w:color="auto"/>
              <w:right w:val="single" w:sz="6" w:space="0" w:color="auto"/>
            </w:tcBorders>
          </w:tcPr>
          <w:p w14:paraId="4F6E0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0BAC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DAE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15B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8CDF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68F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A86B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73DE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постройкой и будет выпущен на аэродром в конце октября с.г.</w:t>
            </w:r>
          </w:p>
        </w:tc>
      </w:tr>
      <w:tr w:rsidR="00DA227A" w:rsidRPr="00E93F40" w14:paraId="6008C35A" w14:textId="77777777">
        <w:tc>
          <w:tcPr>
            <w:tcW w:w="939" w:type="dxa"/>
            <w:tcBorders>
              <w:top w:val="single" w:sz="6" w:space="0" w:color="auto"/>
              <w:left w:val="single" w:sz="6" w:space="0" w:color="auto"/>
              <w:bottom w:val="single" w:sz="6" w:space="0" w:color="auto"/>
              <w:right w:val="single" w:sz="6" w:space="0" w:color="auto"/>
            </w:tcBorders>
          </w:tcPr>
          <w:p w14:paraId="4C86C7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И12-2М22</w:t>
            </w:r>
          </w:p>
        </w:tc>
        <w:tc>
          <w:tcPr>
            <w:tcW w:w="939" w:type="dxa"/>
            <w:tcBorders>
              <w:top w:val="single" w:sz="6" w:space="0" w:color="auto"/>
              <w:left w:val="single" w:sz="6" w:space="0" w:color="auto"/>
              <w:bottom w:val="single" w:sz="6" w:space="0" w:color="auto"/>
              <w:right w:val="single" w:sz="6" w:space="0" w:color="auto"/>
            </w:tcBorders>
          </w:tcPr>
          <w:p w14:paraId="69AEC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второго</w:t>
            </w:r>
          </w:p>
        </w:tc>
        <w:tc>
          <w:tcPr>
            <w:tcW w:w="939" w:type="dxa"/>
            <w:tcBorders>
              <w:top w:val="single" w:sz="6" w:space="0" w:color="auto"/>
              <w:left w:val="single" w:sz="6" w:space="0" w:color="auto"/>
              <w:bottom w:val="single" w:sz="6" w:space="0" w:color="auto"/>
              <w:right w:val="single" w:sz="6" w:space="0" w:color="auto"/>
            </w:tcBorders>
          </w:tcPr>
          <w:p w14:paraId="7117F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44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594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0A3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BAAB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w:t>
            </w:r>
          </w:p>
        </w:tc>
        <w:tc>
          <w:tcPr>
            <w:tcW w:w="3883" w:type="dxa"/>
            <w:tcBorders>
              <w:top w:val="single" w:sz="6" w:space="0" w:color="auto"/>
              <w:left w:val="single" w:sz="6" w:space="0" w:color="auto"/>
              <w:bottom w:val="single" w:sz="6" w:space="0" w:color="auto"/>
              <w:right w:val="single" w:sz="6" w:space="0" w:color="auto"/>
            </w:tcBorders>
          </w:tcPr>
          <w:p w14:paraId="245806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находится в постройке.</w:t>
            </w:r>
          </w:p>
        </w:tc>
      </w:tr>
      <w:tr w:rsidR="00DA227A" w:rsidRPr="00E93F40" w14:paraId="49E84237" w14:textId="77777777">
        <w:tc>
          <w:tcPr>
            <w:tcW w:w="939" w:type="dxa"/>
            <w:tcBorders>
              <w:top w:val="single" w:sz="6" w:space="0" w:color="auto"/>
              <w:left w:val="single" w:sz="6" w:space="0" w:color="auto"/>
              <w:bottom w:val="single" w:sz="6" w:space="0" w:color="auto"/>
              <w:right w:val="single" w:sz="6" w:space="0" w:color="auto"/>
            </w:tcBorders>
          </w:tcPr>
          <w:p w14:paraId="4B3B43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32C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модифицированного экз.</w:t>
            </w:r>
          </w:p>
        </w:tc>
        <w:tc>
          <w:tcPr>
            <w:tcW w:w="939" w:type="dxa"/>
            <w:tcBorders>
              <w:top w:val="single" w:sz="6" w:space="0" w:color="auto"/>
              <w:left w:val="single" w:sz="6" w:space="0" w:color="auto"/>
              <w:bottom w:val="single" w:sz="6" w:space="0" w:color="auto"/>
              <w:right w:val="single" w:sz="6" w:space="0" w:color="auto"/>
            </w:tcBorders>
          </w:tcPr>
          <w:p w14:paraId="182AD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925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6B6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F1C6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5D3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5129C1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ED24E5" w14:textId="77777777">
        <w:tc>
          <w:tcPr>
            <w:tcW w:w="939" w:type="dxa"/>
            <w:tcBorders>
              <w:top w:val="single" w:sz="6" w:space="0" w:color="auto"/>
              <w:left w:val="single" w:sz="6" w:space="0" w:color="auto"/>
              <w:bottom w:val="single" w:sz="6" w:space="0" w:color="auto"/>
              <w:right w:val="single" w:sz="6" w:space="0" w:color="auto"/>
            </w:tcBorders>
          </w:tcPr>
          <w:p w14:paraId="6E412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939" w:type="dxa"/>
            <w:tcBorders>
              <w:top w:val="single" w:sz="6" w:space="0" w:color="auto"/>
              <w:left w:val="single" w:sz="6" w:space="0" w:color="auto"/>
              <w:bottom w:val="single" w:sz="6" w:space="0" w:color="auto"/>
              <w:right w:val="single" w:sz="6" w:space="0" w:color="auto"/>
            </w:tcBorders>
          </w:tcPr>
          <w:p w14:paraId="53ED79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 емкости баков.</w:t>
            </w:r>
          </w:p>
        </w:tc>
        <w:tc>
          <w:tcPr>
            <w:tcW w:w="939" w:type="dxa"/>
            <w:tcBorders>
              <w:top w:val="single" w:sz="6" w:space="0" w:color="auto"/>
              <w:left w:val="single" w:sz="6" w:space="0" w:color="auto"/>
              <w:bottom w:val="single" w:sz="6" w:space="0" w:color="auto"/>
              <w:right w:val="single" w:sz="6" w:space="0" w:color="auto"/>
            </w:tcBorders>
          </w:tcPr>
          <w:p w14:paraId="584B2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53E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4819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FE5C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1CA0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мая</w:t>
            </w:r>
          </w:p>
        </w:tc>
        <w:tc>
          <w:tcPr>
            <w:tcW w:w="3883" w:type="dxa"/>
            <w:tcBorders>
              <w:top w:val="single" w:sz="6" w:space="0" w:color="auto"/>
              <w:left w:val="single" w:sz="6" w:space="0" w:color="auto"/>
              <w:bottom w:val="single" w:sz="6" w:space="0" w:color="auto"/>
              <w:right w:val="single" w:sz="6" w:space="0" w:color="auto"/>
            </w:tcBorders>
          </w:tcPr>
          <w:p w14:paraId="0851B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проходит испытания в НИИ.</w:t>
            </w:r>
          </w:p>
        </w:tc>
      </w:tr>
      <w:tr w:rsidR="00DA227A" w:rsidRPr="00E93F40" w14:paraId="2B733AE2" w14:textId="77777777">
        <w:tc>
          <w:tcPr>
            <w:tcW w:w="939" w:type="dxa"/>
            <w:tcBorders>
              <w:top w:val="single" w:sz="6" w:space="0" w:color="auto"/>
              <w:left w:val="single" w:sz="6" w:space="0" w:color="auto"/>
              <w:bottom w:val="single" w:sz="6" w:space="0" w:color="auto"/>
              <w:right w:val="single" w:sz="6" w:space="0" w:color="auto"/>
            </w:tcBorders>
          </w:tcPr>
          <w:p w14:paraId="1EAD3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32E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D2F1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75E0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260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BA18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39F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2D297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5CB05F" w14:textId="77777777">
        <w:tc>
          <w:tcPr>
            <w:tcW w:w="939" w:type="dxa"/>
            <w:tcBorders>
              <w:top w:val="single" w:sz="6" w:space="0" w:color="auto"/>
              <w:left w:val="single" w:sz="6" w:space="0" w:color="auto"/>
              <w:bottom w:val="single" w:sz="6" w:space="0" w:color="auto"/>
              <w:right w:val="single" w:sz="6" w:space="0" w:color="auto"/>
            </w:tcBorders>
          </w:tcPr>
          <w:p w14:paraId="7EA6C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не вошедшие в план.</w:t>
            </w:r>
          </w:p>
        </w:tc>
        <w:tc>
          <w:tcPr>
            <w:tcW w:w="939" w:type="dxa"/>
            <w:tcBorders>
              <w:top w:val="single" w:sz="6" w:space="0" w:color="auto"/>
              <w:left w:val="single" w:sz="6" w:space="0" w:color="auto"/>
              <w:bottom w:val="single" w:sz="6" w:space="0" w:color="auto"/>
              <w:right w:val="single" w:sz="6" w:space="0" w:color="auto"/>
            </w:tcBorders>
          </w:tcPr>
          <w:p w14:paraId="6016A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3C6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5B9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C278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A6DF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CD17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027C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0D27B4" w14:textId="77777777">
        <w:tc>
          <w:tcPr>
            <w:tcW w:w="939" w:type="dxa"/>
            <w:tcBorders>
              <w:top w:val="single" w:sz="6" w:space="0" w:color="auto"/>
              <w:left w:val="single" w:sz="6" w:space="0" w:color="auto"/>
              <w:bottom w:val="single" w:sz="6" w:space="0" w:color="auto"/>
              <w:right w:val="single" w:sz="6" w:space="0" w:color="auto"/>
            </w:tcBorders>
          </w:tcPr>
          <w:p w14:paraId="28E6FD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ДИ4-Кертисс</w:t>
            </w:r>
          </w:p>
        </w:tc>
        <w:tc>
          <w:tcPr>
            <w:tcW w:w="939" w:type="dxa"/>
            <w:tcBorders>
              <w:top w:val="single" w:sz="6" w:space="0" w:color="auto"/>
              <w:left w:val="single" w:sz="6" w:space="0" w:color="auto"/>
              <w:bottom w:val="single" w:sz="6" w:space="0" w:color="auto"/>
              <w:right w:val="single" w:sz="6" w:space="0" w:color="auto"/>
            </w:tcBorders>
          </w:tcPr>
          <w:p w14:paraId="408CCC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808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767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81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5CC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F713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сент.</w:t>
            </w:r>
          </w:p>
        </w:tc>
        <w:tc>
          <w:tcPr>
            <w:tcW w:w="3883" w:type="dxa"/>
            <w:tcBorders>
              <w:top w:val="single" w:sz="6" w:space="0" w:color="auto"/>
              <w:left w:val="single" w:sz="6" w:space="0" w:color="auto"/>
              <w:bottom w:val="single" w:sz="6" w:space="0" w:color="auto"/>
              <w:right w:val="single" w:sz="6" w:space="0" w:color="auto"/>
            </w:tcBorders>
          </w:tcPr>
          <w:p w14:paraId="59B17C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самолета и его доводка закончены. Самолет передается</w:t>
            </w:r>
          </w:p>
        </w:tc>
      </w:tr>
      <w:tr w:rsidR="00DA227A" w:rsidRPr="00E93F40" w14:paraId="3EA17742" w14:textId="77777777">
        <w:tc>
          <w:tcPr>
            <w:tcW w:w="939" w:type="dxa"/>
            <w:tcBorders>
              <w:top w:val="single" w:sz="6" w:space="0" w:color="auto"/>
              <w:left w:val="single" w:sz="6" w:space="0" w:color="auto"/>
              <w:bottom w:val="single" w:sz="6" w:space="0" w:color="auto"/>
              <w:right w:val="single" w:sz="6" w:space="0" w:color="auto"/>
            </w:tcBorders>
          </w:tcPr>
          <w:p w14:paraId="58B8E1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Конкверор</w:t>
            </w:r>
          </w:p>
        </w:tc>
        <w:tc>
          <w:tcPr>
            <w:tcW w:w="939" w:type="dxa"/>
            <w:tcBorders>
              <w:top w:val="single" w:sz="6" w:space="0" w:color="auto"/>
              <w:left w:val="single" w:sz="6" w:space="0" w:color="auto"/>
              <w:bottom w:val="single" w:sz="6" w:space="0" w:color="auto"/>
              <w:right w:val="single" w:sz="6" w:space="0" w:color="auto"/>
            </w:tcBorders>
          </w:tcPr>
          <w:p w14:paraId="47AE20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2BE2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90FC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428C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084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FD70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3883" w:type="dxa"/>
            <w:tcBorders>
              <w:top w:val="single" w:sz="6" w:space="0" w:color="auto"/>
              <w:left w:val="single" w:sz="6" w:space="0" w:color="auto"/>
              <w:bottom w:val="single" w:sz="6" w:space="0" w:color="auto"/>
              <w:right w:val="single" w:sz="6" w:space="0" w:color="auto"/>
            </w:tcBorders>
          </w:tcPr>
          <w:p w14:paraId="1ED724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сипытания в НИИ.</w:t>
            </w:r>
          </w:p>
        </w:tc>
      </w:tr>
      <w:tr w:rsidR="00DA227A" w:rsidRPr="00E93F40" w14:paraId="4BC61A86" w14:textId="77777777">
        <w:tc>
          <w:tcPr>
            <w:tcW w:w="939" w:type="dxa"/>
            <w:tcBorders>
              <w:top w:val="single" w:sz="6" w:space="0" w:color="auto"/>
              <w:left w:val="single" w:sz="6" w:space="0" w:color="auto"/>
              <w:bottom w:val="single" w:sz="6" w:space="0" w:color="auto"/>
              <w:right w:val="single" w:sz="6" w:space="0" w:color="auto"/>
            </w:tcBorders>
          </w:tcPr>
          <w:p w14:paraId="5368F0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7BDF29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94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C99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0BE6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879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7133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55D79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совместных с заводом N 39 испытаниях самолет показал время подъема</w:t>
            </w:r>
          </w:p>
        </w:tc>
      </w:tr>
      <w:tr w:rsidR="00DA227A" w:rsidRPr="00E93F40" w14:paraId="77FFBA90" w14:textId="77777777">
        <w:tc>
          <w:tcPr>
            <w:tcW w:w="939" w:type="dxa"/>
            <w:tcBorders>
              <w:top w:val="single" w:sz="6" w:space="0" w:color="auto"/>
              <w:left w:val="single" w:sz="6" w:space="0" w:color="auto"/>
              <w:bottom w:val="single" w:sz="6" w:space="0" w:color="auto"/>
              <w:right w:val="single" w:sz="6" w:space="0" w:color="auto"/>
            </w:tcBorders>
          </w:tcPr>
          <w:p w14:paraId="09F47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"ЗЕТ" с М-22</w:t>
            </w:r>
          </w:p>
        </w:tc>
        <w:tc>
          <w:tcPr>
            <w:tcW w:w="939" w:type="dxa"/>
            <w:tcBorders>
              <w:top w:val="single" w:sz="6" w:space="0" w:color="auto"/>
              <w:left w:val="single" w:sz="6" w:space="0" w:color="auto"/>
              <w:bottom w:val="single" w:sz="6" w:space="0" w:color="auto"/>
              <w:right w:val="single" w:sz="6" w:space="0" w:color="auto"/>
            </w:tcBorders>
          </w:tcPr>
          <w:p w14:paraId="01A003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B48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8EF2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05B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7D27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665A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1A5F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5000 м - 16,7 мин. Максимальную скорость у земли 253 км/час. Завод</w:t>
            </w:r>
          </w:p>
        </w:tc>
      </w:tr>
      <w:tr w:rsidR="00DA227A" w:rsidRPr="00E93F40" w14:paraId="0FB30BEB" w14:textId="77777777">
        <w:tc>
          <w:tcPr>
            <w:tcW w:w="939" w:type="dxa"/>
            <w:tcBorders>
              <w:top w:val="single" w:sz="6" w:space="0" w:color="auto"/>
              <w:left w:val="single" w:sz="6" w:space="0" w:color="auto"/>
              <w:bottom w:val="single" w:sz="6" w:space="0" w:color="auto"/>
              <w:right w:val="single" w:sz="6" w:space="0" w:color="auto"/>
            </w:tcBorders>
          </w:tcPr>
          <w:p w14:paraId="28A52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9E0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DD9D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F6D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958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51D6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91C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2BCC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продолжает работу по улучшению максимальной скорости и доводке пушечн.</w:t>
            </w:r>
          </w:p>
        </w:tc>
      </w:tr>
      <w:tr w:rsidR="00DA227A" w:rsidRPr="00E93F40" w14:paraId="00CA3E9F" w14:textId="77777777">
        <w:tc>
          <w:tcPr>
            <w:tcW w:w="939" w:type="dxa"/>
            <w:tcBorders>
              <w:top w:val="single" w:sz="6" w:space="0" w:color="auto"/>
              <w:left w:val="single" w:sz="6" w:space="0" w:color="auto"/>
              <w:bottom w:val="single" w:sz="6" w:space="0" w:color="auto"/>
              <w:right w:val="single" w:sz="6" w:space="0" w:color="auto"/>
            </w:tcBorders>
          </w:tcPr>
          <w:p w14:paraId="62DCE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6B76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BB41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C59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03D1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7B37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0E3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DEDA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вооружения.</w:t>
            </w:r>
          </w:p>
        </w:tc>
      </w:tr>
    </w:tbl>
    <w:p w14:paraId="69D11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(3029,56-66).</w:t>
      </w:r>
    </w:p>
    <w:p w14:paraId="1648B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30A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октября 1932 была подготовлена Производственная программа на 1933 год 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DA227A" w:rsidRPr="00E93F40" w14:paraId="5497FAA1" w14:textId="77777777">
        <w:tc>
          <w:tcPr>
            <w:tcW w:w="3757" w:type="dxa"/>
          </w:tcPr>
          <w:p w14:paraId="2B4DCB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NN</w:t>
            </w:r>
          </w:p>
        </w:tc>
        <w:tc>
          <w:tcPr>
            <w:tcW w:w="3757" w:type="dxa"/>
          </w:tcPr>
          <w:p w14:paraId="629717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самолета и</w:t>
            </w:r>
          </w:p>
        </w:tc>
        <w:tc>
          <w:tcPr>
            <w:tcW w:w="3757" w:type="dxa"/>
          </w:tcPr>
          <w:p w14:paraId="59600B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Кол-во</w:t>
            </w:r>
          </w:p>
        </w:tc>
      </w:tr>
      <w:tr w:rsidR="00DA227A" w:rsidRPr="00E93F40" w14:paraId="6C34EF31" w14:textId="77777777">
        <w:tc>
          <w:tcPr>
            <w:tcW w:w="3757" w:type="dxa"/>
          </w:tcPr>
          <w:p w14:paraId="6576E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заводов</w:t>
            </w:r>
          </w:p>
        </w:tc>
        <w:tc>
          <w:tcPr>
            <w:tcW w:w="3757" w:type="dxa"/>
          </w:tcPr>
          <w:p w14:paraId="1D6937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w:t>
            </w:r>
          </w:p>
        </w:tc>
        <w:tc>
          <w:tcPr>
            <w:tcW w:w="3757" w:type="dxa"/>
          </w:tcPr>
          <w:p w14:paraId="6885B3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с-тов</w:t>
            </w:r>
          </w:p>
        </w:tc>
      </w:tr>
      <w:tr w:rsidR="00DA227A" w:rsidRPr="00E93F40" w14:paraId="1BDCE6C5" w14:textId="77777777">
        <w:tc>
          <w:tcPr>
            <w:tcW w:w="3757" w:type="dxa"/>
          </w:tcPr>
          <w:p w14:paraId="45C92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14CF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10C31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1933 г.</w:t>
            </w:r>
          </w:p>
        </w:tc>
      </w:tr>
      <w:tr w:rsidR="00DA227A" w:rsidRPr="00E93F40" w14:paraId="3F0C2DF3" w14:textId="77777777">
        <w:tc>
          <w:tcPr>
            <w:tcW w:w="3757" w:type="dxa"/>
          </w:tcPr>
          <w:p w14:paraId="048DD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3757" w:type="dxa"/>
          </w:tcPr>
          <w:p w14:paraId="50448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Р6-М17</w:t>
            </w:r>
          </w:p>
        </w:tc>
        <w:tc>
          <w:tcPr>
            <w:tcW w:w="3757" w:type="dxa"/>
          </w:tcPr>
          <w:p w14:paraId="7063C8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2225</w:t>
            </w:r>
          </w:p>
        </w:tc>
      </w:tr>
      <w:tr w:rsidR="00DA227A" w:rsidRPr="00E93F40" w14:paraId="5C9B94AB" w14:textId="77777777">
        <w:tc>
          <w:tcPr>
            <w:tcW w:w="3757" w:type="dxa"/>
          </w:tcPr>
          <w:p w14:paraId="514B99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C5E9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МР5-М17</w:t>
            </w:r>
          </w:p>
        </w:tc>
        <w:tc>
          <w:tcPr>
            <w:tcW w:w="3757" w:type="dxa"/>
          </w:tcPr>
          <w:p w14:paraId="3506B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r>
      <w:tr w:rsidR="00DA227A" w:rsidRPr="00E93F40" w14:paraId="670DF418" w14:textId="77777777">
        <w:tc>
          <w:tcPr>
            <w:tcW w:w="3757" w:type="dxa"/>
          </w:tcPr>
          <w:p w14:paraId="57A35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F5B7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И7-М17</w:t>
            </w:r>
          </w:p>
        </w:tc>
        <w:tc>
          <w:tcPr>
            <w:tcW w:w="3757" w:type="dxa"/>
          </w:tcPr>
          <w:p w14:paraId="630C39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18C20B5D" w14:textId="77777777">
        <w:tc>
          <w:tcPr>
            <w:tcW w:w="3757" w:type="dxa"/>
          </w:tcPr>
          <w:p w14:paraId="1D5A3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3757" w:type="dxa"/>
          </w:tcPr>
          <w:p w14:paraId="280E50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ТБ3-4М74</w:t>
            </w:r>
          </w:p>
        </w:tc>
        <w:tc>
          <w:tcPr>
            <w:tcW w:w="3757" w:type="dxa"/>
          </w:tcPr>
          <w:p w14:paraId="482D9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r>
      <w:tr w:rsidR="00DA227A" w:rsidRPr="00E93F40" w14:paraId="5D389339" w14:textId="77777777">
        <w:tc>
          <w:tcPr>
            <w:tcW w:w="3757" w:type="dxa"/>
          </w:tcPr>
          <w:p w14:paraId="673AB5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2555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ТБ3-4М34</w:t>
            </w:r>
          </w:p>
        </w:tc>
        <w:tc>
          <w:tcPr>
            <w:tcW w:w="3757" w:type="dxa"/>
          </w:tcPr>
          <w:p w14:paraId="2E9D22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w:t>
            </w:r>
          </w:p>
        </w:tc>
      </w:tr>
      <w:tr w:rsidR="00DA227A" w:rsidRPr="00E93F40" w14:paraId="6C1E700F" w14:textId="77777777">
        <w:tc>
          <w:tcPr>
            <w:tcW w:w="3757" w:type="dxa"/>
          </w:tcPr>
          <w:p w14:paraId="5E74C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166C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ТБ4-6М34</w:t>
            </w:r>
          </w:p>
        </w:tc>
        <w:tc>
          <w:tcPr>
            <w:tcW w:w="3757" w:type="dxa"/>
          </w:tcPr>
          <w:p w14:paraId="201BF8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r>
      <w:tr w:rsidR="00DA227A" w:rsidRPr="00E93F40" w14:paraId="2503EDC8" w14:textId="77777777">
        <w:tc>
          <w:tcPr>
            <w:tcW w:w="3757" w:type="dxa"/>
          </w:tcPr>
          <w:p w14:paraId="66BDF0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c>
          <w:tcPr>
            <w:tcW w:w="3757" w:type="dxa"/>
          </w:tcPr>
          <w:p w14:paraId="1FBC6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3757" w:type="dxa"/>
          </w:tcPr>
          <w:p w14:paraId="1A400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r>
      <w:tr w:rsidR="00DA227A" w:rsidRPr="00E93F40" w14:paraId="60AAE07D" w14:textId="77777777">
        <w:tc>
          <w:tcPr>
            <w:tcW w:w="3757" w:type="dxa"/>
          </w:tcPr>
          <w:p w14:paraId="22C5E0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C52EB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ТБ3-4М34</w:t>
            </w:r>
          </w:p>
        </w:tc>
        <w:tc>
          <w:tcPr>
            <w:tcW w:w="3757" w:type="dxa"/>
          </w:tcPr>
          <w:p w14:paraId="340FE4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r>
      <w:tr w:rsidR="00DA227A" w:rsidRPr="00E93F40" w14:paraId="06B671AC" w14:textId="77777777">
        <w:tc>
          <w:tcPr>
            <w:tcW w:w="3757" w:type="dxa"/>
          </w:tcPr>
          <w:p w14:paraId="16730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3757" w:type="dxa"/>
          </w:tcPr>
          <w:p w14:paraId="568763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3757" w:type="dxa"/>
          </w:tcPr>
          <w:p w14:paraId="230B6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r w:rsidR="00DA227A" w:rsidRPr="00E93F40" w14:paraId="0A1D4FFA" w14:textId="77777777">
        <w:tc>
          <w:tcPr>
            <w:tcW w:w="3757" w:type="dxa"/>
          </w:tcPr>
          <w:p w14:paraId="203375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13B1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ЗЭТ-М22</w:t>
            </w:r>
          </w:p>
        </w:tc>
        <w:tc>
          <w:tcPr>
            <w:tcW w:w="3757" w:type="dxa"/>
          </w:tcPr>
          <w:p w14:paraId="037A69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tc>
      </w:tr>
      <w:tr w:rsidR="00DA227A" w:rsidRPr="00E93F40" w14:paraId="20CA7A32" w14:textId="77777777">
        <w:tc>
          <w:tcPr>
            <w:tcW w:w="3757" w:type="dxa"/>
          </w:tcPr>
          <w:p w14:paraId="2191D0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1E6B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w:t>
            </w:r>
          </w:p>
        </w:tc>
        <w:tc>
          <w:tcPr>
            <w:tcW w:w="3757" w:type="dxa"/>
          </w:tcPr>
          <w:p w14:paraId="3AC132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tc>
      </w:tr>
      <w:tr w:rsidR="00DA227A" w:rsidRPr="00E93F40" w14:paraId="0A5B3941" w14:textId="77777777">
        <w:tc>
          <w:tcPr>
            <w:tcW w:w="3757" w:type="dxa"/>
          </w:tcPr>
          <w:p w14:paraId="12BEA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6DD6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И1..-М32</w:t>
            </w:r>
          </w:p>
        </w:tc>
        <w:tc>
          <w:tcPr>
            <w:tcW w:w="3757" w:type="dxa"/>
          </w:tcPr>
          <w:p w14:paraId="660289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CE3A2F" w14:textId="77777777">
        <w:tc>
          <w:tcPr>
            <w:tcW w:w="3757" w:type="dxa"/>
          </w:tcPr>
          <w:p w14:paraId="68B02F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A082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И14-М38</w:t>
            </w:r>
          </w:p>
        </w:tc>
        <w:tc>
          <w:tcPr>
            <w:tcW w:w="3757" w:type="dxa"/>
          </w:tcPr>
          <w:p w14:paraId="3525A8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6CA6ED4B" w14:textId="77777777">
        <w:tc>
          <w:tcPr>
            <w:tcW w:w="3757" w:type="dxa"/>
          </w:tcPr>
          <w:p w14:paraId="029AC5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69336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ДИ6-М34</w:t>
            </w:r>
          </w:p>
        </w:tc>
        <w:tc>
          <w:tcPr>
            <w:tcW w:w="3757" w:type="dxa"/>
          </w:tcPr>
          <w:p w14:paraId="5891C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388F30" w14:textId="77777777">
        <w:tc>
          <w:tcPr>
            <w:tcW w:w="3757" w:type="dxa"/>
          </w:tcPr>
          <w:p w14:paraId="5AEA5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c>
          <w:tcPr>
            <w:tcW w:w="3757" w:type="dxa"/>
          </w:tcPr>
          <w:p w14:paraId="6AC12E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И5-М22</w:t>
            </w:r>
          </w:p>
        </w:tc>
        <w:tc>
          <w:tcPr>
            <w:tcW w:w="3757" w:type="dxa"/>
          </w:tcPr>
          <w:p w14:paraId="101ED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r>
      <w:tr w:rsidR="00DA227A" w:rsidRPr="00E93F40" w14:paraId="05EE389D" w14:textId="77777777">
        <w:tc>
          <w:tcPr>
            <w:tcW w:w="3757" w:type="dxa"/>
          </w:tcPr>
          <w:p w14:paraId="59D9C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3757" w:type="dxa"/>
          </w:tcPr>
          <w:p w14:paraId="13C46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3757" w:type="dxa"/>
          </w:tcPr>
          <w:p w14:paraId="71D4A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r>
      <w:tr w:rsidR="00DA227A" w:rsidRPr="00E93F40" w14:paraId="7BB6ECE0" w14:textId="77777777">
        <w:tc>
          <w:tcPr>
            <w:tcW w:w="3757" w:type="dxa"/>
          </w:tcPr>
          <w:p w14:paraId="1EFE8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55353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АП-М11</w:t>
            </w:r>
          </w:p>
        </w:tc>
        <w:tc>
          <w:tcPr>
            <w:tcW w:w="3757" w:type="dxa"/>
          </w:tcPr>
          <w:p w14:paraId="08C15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r>
      <w:tr w:rsidR="00DA227A" w:rsidRPr="00E93F40" w14:paraId="1A27806D" w14:textId="77777777">
        <w:tc>
          <w:tcPr>
            <w:tcW w:w="3757" w:type="dxa"/>
          </w:tcPr>
          <w:p w14:paraId="33AA3E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3757" w:type="dxa"/>
          </w:tcPr>
          <w:p w14:paraId="252A5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МБР4-М34</w:t>
            </w:r>
          </w:p>
        </w:tc>
        <w:tc>
          <w:tcPr>
            <w:tcW w:w="3757" w:type="dxa"/>
          </w:tcPr>
          <w:p w14:paraId="63B10C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6392642E" w14:textId="77777777">
        <w:tc>
          <w:tcPr>
            <w:tcW w:w="3757" w:type="dxa"/>
          </w:tcPr>
          <w:p w14:paraId="787690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7868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3757" w:type="dxa"/>
          </w:tcPr>
          <w:p w14:paraId="7E677F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r>
      <w:tr w:rsidR="00DA227A" w:rsidRPr="00E93F40" w14:paraId="119AF625" w14:textId="77777777">
        <w:tc>
          <w:tcPr>
            <w:tcW w:w="3757" w:type="dxa"/>
          </w:tcPr>
          <w:p w14:paraId="021A1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D353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АШ-М11</w:t>
            </w:r>
          </w:p>
        </w:tc>
        <w:tc>
          <w:tcPr>
            <w:tcW w:w="3757" w:type="dxa"/>
          </w:tcPr>
          <w:p w14:paraId="3E8BB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1DD17A2F" w14:textId="77777777">
        <w:tc>
          <w:tcPr>
            <w:tcW w:w="3757" w:type="dxa"/>
          </w:tcPr>
          <w:p w14:paraId="00E19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6A001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АНТ9-2М17</w:t>
            </w:r>
          </w:p>
        </w:tc>
        <w:tc>
          <w:tcPr>
            <w:tcW w:w="3757" w:type="dxa"/>
          </w:tcPr>
          <w:p w14:paraId="20BA1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9D12BD" w:rsidRPr="00E93F40" w14:paraId="2FD80C4B" w14:textId="77777777">
        <w:tc>
          <w:tcPr>
            <w:tcW w:w="3757" w:type="dxa"/>
          </w:tcPr>
          <w:p w14:paraId="08490C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w:t>
            </w:r>
          </w:p>
        </w:tc>
        <w:tc>
          <w:tcPr>
            <w:tcW w:w="3757" w:type="dxa"/>
          </w:tcPr>
          <w:p w14:paraId="757D09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К5-М22</w:t>
            </w:r>
          </w:p>
        </w:tc>
        <w:tc>
          <w:tcPr>
            <w:tcW w:w="3757" w:type="dxa"/>
          </w:tcPr>
          <w:p w14:paraId="58DCF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 (2286,6)</w:t>
            </w:r>
          </w:p>
        </w:tc>
      </w:tr>
    </w:tbl>
    <w:p w14:paraId="0E5C5C3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4B2C1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6E7FE7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D1B1D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октября 1932 г. В Москве в Центральном парке культуры и отдыха открыта выставка телевизионной аппаратуры и показан прием изображений по радио. Один из отделов выставки был посвящен ультракоротким волнам (9923).</w:t>
      </w:r>
    </w:p>
    <w:p w14:paraId="243B8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94F1E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F11364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5C6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15 и 21 октября 1932. Из протокола заседания Политбюро № 119, 1932 г.</w:t>
      </w:r>
    </w:p>
    <w:p w14:paraId="1D41EC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продовольственном снабжении рабочих автозавода им. Молотова </w:t>
      </w:r>
    </w:p>
    <w:p w14:paraId="052AF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Утвердить нормы продовольственного снабжения рабочих автозавода им. Молотова на IV квартал в размере: </w:t>
      </w:r>
    </w:p>
    <w:p w14:paraId="5CAF55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на основных производственных рабочих и ИТР, исходя из контингента в количестве 22 тысяч человек,— мяса 1 кило в месяц на рабочего по индивидуальному снабжению и 1 кило на рабочего по общественному питанию; </w:t>
      </w:r>
    </w:p>
    <w:p w14:paraId="4D829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на всех рабочих, включая строителей, монтажников, подсобные предприятия, обслуживающий персонал и др., согласно контингентам, утвержденным Наркомснабом на IV квартал, масла растительного — 400 г на рабочего в месяц по индивидуальному снабжению, крупы — 2 кило в месяц на рабочего и 1 кило на члена семьи по индивидуальному снабжению; сельди — 1 кило в месяц на рабочего и сахара — 800 г на рабочего и 600 г на члена семьи (11652).</w:t>
      </w:r>
    </w:p>
    <w:p w14:paraId="25B845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46ED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15 и 21 октября 1932. Из протокола заседания Политбюро № 119, 1932 г.</w:t>
      </w:r>
    </w:p>
    <w:p w14:paraId="2111C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Заявление т. Сталина </w:t>
      </w:r>
    </w:p>
    <w:p w14:paraId="429DCD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Указать Секретному отделу ЦК на необходимость прекратить проведение голосования опросом во время заседаний Политбюро, чтобы не отвлекать внимания членов Политбюро от вопросов, стоящих на повестке (11652).</w:t>
      </w:r>
    </w:p>
    <w:p w14:paraId="3AE73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FB0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15 и 21 октября 1932. Из протокола заседания Политбюро № 119, 1932 г.</w:t>
      </w:r>
    </w:p>
    <w:p w14:paraId="023FD8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оказании помощи пострадавшим от землетрясения в Грузии </w:t>
      </w:r>
    </w:p>
    <w:p w14:paraId="6662D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Просьбу Исполкома Общества Красного Креста и Красного Полумесяца об оказании помощи пострадавшим от землетрясения в Грузии отклонить. </w:t>
      </w:r>
    </w:p>
    <w:p w14:paraId="79430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7DAB5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F23D3F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86B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15 и 21 октября 1932. Из протокола заседания Политбюро № 119, 1932 г.</w:t>
      </w:r>
    </w:p>
    <w:p w14:paraId="373A28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финансировании издания сочинений В. И. Ленина на иностранных языках </w:t>
      </w:r>
    </w:p>
    <w:p w14:paraId="4D374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Утвердить следующее постановление СНК СССР: </w:t>
      </w:r>
    </w:p>
    <w:p w14:paraId="5DD567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Отпустить Редиздату ИККИ из резервного фонда СНК СССР аванс на расходы по изданию сочинений В. И. Ленина на иностранных языках 600 000 рублей. </w:t>
      </w:r>
    </w:p>
    <w:p w14:paraId="5EEFAE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1795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15 и 21 октября 1932. Из протокола заседания Политбюро № 119, 1932 г.</w:t>
      </w:r>
    </w:p>
    <w:p w14:paraId="1FC53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разрешении взимания с граждан, эмигрирующих из СССР, паспортных и других сборов в иностранной валюте </w:t>
      </w:r>
    </w:p>
    <w:p w14:paraId="6B5F5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Предложить Инотделам Исполкомов в облегченном порядке оформлять паспорта совграждан, выезжающих из СССР, если ходатайства о их выезде поступают через "Интурист". </w:t>
      </w:r>
    </w:p>
    <w:p w14:paraId="42AD7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Установить паспортный сбор с лиц, эмигрирующих за границу, для трудящегося элемента в размере 500 руб. и для нетрудящегося элемента в размере 1000 руб. Разрешить Адмотделам в особо уважительных случаях взимать сбор в пониженном против указанного размере. </w:t>
      </w:r>
    </w:p>
    <w:p w14:paraId="13D19E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CA6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15 и 21 октября 1932. Из протокола заседания Политбюро № 119, 1932 г.</w:t>
      </w:r>
    </w:p>
    <w:p w14:paraId="4ED0E0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заметке в "Правде" о развале предприятий Форда </w:t>
      </w:r>
    </w:p>
    <w:p w14:paraId="3E4F9A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Указать редакции "Правды" на безграмотность так называемой "правки" сообщения о развале предприятий Форда ("Правда" N 237 от 16.Х.32 г.), из которого (сообщения) изъята самая интересная часть о том, как виднейшие фордовские руководители производства вынуждены в результате кризиса перейти к станку. </w:t>
      </w:r>
    </w:p>
    <w:p w14:paraId="0EE762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редакции "Правды" и "Известий" опубликовать упомянутое сообщение и дать завтра же (17.Х) на первой странице по статье по поводу этого сообщения, сравнив положение специалистов за границей и в Советском Союзе (11652).</w:t>
      </w:r>
    </w:p>
    <w:p w14:paraId="5DC2D9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17 октября 1932 г., "Правда", N238 </w:t>
      </w:r>
    </w:p>
    <w:p w14:paraId="17108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Специалисты Форда — не исключение... </w:t>
      </w:r>
    </w:p>
    <w:p w14:paraId="703981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Печатаемое нами сообщение о кризисе на заводах Форда заслуживает исключительного внимания читателей. Заводы Форда — прославленная цитадель капиталистической рационализации, вершина достижений капиталистического автомобилестроения — катится сейчас в пропасть. Кризис давно уже добрался до фордовского производства — заводы Форда не были исключением из общего правила. Но Форд все же пытался удержаться на поверхности, замазать бреши. Он стал выпускать новые модели, снижал зарплату рабочим, пускал в ход рекламу, все силы, всю изобретательность, чтобы скрыть истинное положение вещей. Ничто не помогло. Логика небывалого кризиса оказалась сильнее. Заводы Форда работают на 6 проц. своей мощности. Число рабочих сокращено с 120 тыс. до 15 тыс. Он уволил своих лучших специалистов, работавших на его заводах в течение десятилетий. Форд опускается на дно. Это вынуждена признать даже капиталистическая пресса... Форд расстается со своими "генералами", с людьми, которые с самого начала руководили его огромными заводами. "Мейо, главный инженер, ушел. Брэдли и Мамиллэн, начальники литейной и модельной, уволены. Все работали с Фордом 30 лет". Им больше нечего делать. Крупнейшие специалисты должны забыть свои знания, производственный опыт, науку. Чтобы не умереть с голоду, они становятся у станка в качестве рабочих (выделено нами). Так разрушает капитализм им же созданный производственный аппарат... (11652)</w:t>
      </w:r>
    </w:p>
    <w:p w14:paraId="69339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9DAC37" w14:textId="77777777" w:rsidR="00F32A3B" w:rsidRPr="00E93F40" w:rsidRDefault="00F32A3B"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15 октября </w:t>
      </w:r>
      <w:r w:rsidRPr="00E93F40">
        <w:rPr>
          <w:rFonts w:ascii="Times New Roman" w:hAnsi="Times New Roman"/>
          <w:color w:val="000000" w:themeColor="text1"/>
          <w:sz w:val="16"/>
          <w:szCs w:val="16"/>
        </w:rPr>
        <w:t>в 1932 году в Индии создана авиакомпания «Tata Airlines». Ныне она носит название «Air-India» и является национальным перевозчиком крупнейшей страны Южной Азии (14800).</w:t>
      </w:r>
    </w:p>
    <w:p w14:paraId="6AE4C1E6" w14:textId="2B492937" w:rsidR="00F32A3B" w:rsidRPr="00E93F40" w:rsidRDefault="00F32A3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BEDF73" w14:textId="49955872" w:rsidR="007C2F54" w:rsidRPr="00E93F40" w:rsidRDefault="007C2F54" w:rsidP="00E93F40">
      <w:pPr>
        <w:autoSpaceDE w:val="0"/>
        <w:autoSpaceDN w:val="0"/>
        <w:adjustRightInd w:val="0"/>
        <w:spacing w:after="0" w:line="240" w:lineRule="auto"/>
        <w:jc w:val="both"/>
        <w:rPr>
          <w:rFonts w:ascii="Times New Roman" w:hAnsi="Times New Roman"/>
          <w:i/>
          <w:color w:val="000000" w:themeColor="text1"/>
          <w:sz w:val="16"/>
          <w:szCs w:val="16"/>
        </w:rPr>
      </w:pPr>
      <w:r w:rsidRPr="00E93F40">
        <w:rPr>
          <w:rFonts w:ascii="Times New Roman" w:hAnsi="Times New Roman"/>
          <w:i/>
          <w:color w:val="000000" w:themeColor="text1"/>
          <w:sz w:val="16"/>
          <w:szCs w:val="16"/>
        </w:rPr>
        <w:t>За рубежом:</w:t>
      </w:r>
    </w:p>
    <w:p w14:paraId="7B4BF29D" w14:textId="77777777" w:rsidR="007C2F54" w:rsidRPr="00E93F40" w:rsidRDefault="007C2F54" w:rsidP="00E93F40">
      <w:pPr>
        <w:autoSpaceDE w:val="0"/>
        <w:autoSpaceDN w:val="0"/>
        <w:adjustRightInd w:val="0"/>
        <w:spacing w:after="0" w:line="240" w:lineRule="auto"/>
        <w:jc w:val="both"/>
        <w:rPr>
          <w:rFonts w:ascii="Times New Roman" w:hAnsi="Times New Roman"/>
          <w:i/>
          <w:color w:val="000000" w:themeColor="text1"/>
          <w:sz w:val="16"/>
          <w:szCs w:val="16"/>
        </w:rPr>
      </w:pPr>
    </w:p>
    <w:p w14:paraId="01360775" w14:textId="77777777" w:rsidR="007C2F54" w:rsidRPr="00E93F40" w:rsidRDefault="007C2F5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15 октября 1932 Tata Sons открывает маршрут авиапочты между Карачи и Мадрасом - это первое регулярное воздушное сообщение в Индии, созданное Air India (20803).</w:t>
      </w:r>
    </w:p>
    <w:p w14:paraId="10C8D479" w14:textId="77777777" w:rsidR="007C2F54" w:rsidRPr="00E93F40" w:rsidRDefault="007C2F54" w:rsidP="00E93F40">
      <w:pPr>
        <w:spacing w:after="0" w:line="240" w:lineRule="auto"/>
        <w:jc w:val="both"/>
        <w:rPr>
          <w:rFonts w:ascii="Times New Roman" w:hAnsi="Times New Roman"/>
          <w:color w:val="000000" w:themeColor="text1"/>
          <w:sz w:val="16"/>
          <w:szCs w:val="16"/>
        </w:rPr>
      </w:pPr>
    </w:p>
    <w:p w14:paraId="038BDC94" w14:textId="2950EFCE" w:rsidR="007C2F54" w:rsidRPr="00E93F40" w:rsidRDefault="007C2F5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Индии создана авиакомпания Tata Airlines. 15 октября 1932 года Дж. Р. Д. Тата совершил полёт в качестве пилота на одномоторном De Havilland Puss Moth, перевозящем почту (авиапочта Imperial Airways) из Карачи в Бомбей через Ахмедабад. Далее самолёт следовал в Мадрас через Беллари, на этом участке самолёт пилотировал бывший пилот Королевских ВВС Невилл Винтсент. Ныне она носит название Air-India и является национальным перевозчиком крупнейшей страны Южной Азии (22336).</w:t>
      </w:r>
    </w:p>
    <w:p w14:paraId="2799CA14" w14:textId="77777777" w:rsidR="007C2F54" w:rsidRPr="00E93F40" w:rsidRDefault="007C2F54" w:rsidP="00E93F40">
      <w:pPr>
        <w:spacing w:after="0" w:line="240" w:lineRule="auto"/>
        <w:jc w:val="both"/>
        <w:rPr>
          <w:rFonts w:ascii="Times New Roman" w:hAnsi="Times New Roman"/>
          <w:color w:val="000000" w:themeColor="text1"/>
          <w:sz w:val="16"/>
          <w:szCs w:val="16"/>
        </w:rPr>
      </w:pPr>
    </w:p>
    <w:p w14:paraId="64EF819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34AC95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71A8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середине октября 1932 общий план хлебопоставок главных зерновых районов страны был выполнен только на 15-20 % (10687).</w:t>
      </w:r>
    </w:p>
    <w:p w14:paraId="50EEE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7BC0E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EA3F3C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CCB473" w14:textId="77777777" w:rsidR="007A6D51" w:rsidRPr="00E93F40" w:rsidRDefault="007A6D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середине октября 1932 завод № 31 в Таганроге подготовил поплавковый Р-6 (планировали выставить на испытания к 1 сентября 1932 г.). Поплавки и дополнительное оборудование увеличили вес самолёта на 735 кг, т.е. примерно на 16%. Нормальный полётный вес составлял 6410 кг, а максимально разрешённый - 7500 кг.</w:t>
      </w:r>
    </w:p>
    <w:p w14:paraId="7233635C" w14:textId="77777777" w:rsidR="007A6D51" w:rsidRPr="00E93F40" w:rsidRDefault="007A6D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начались 19 октября и продолжались до 1 ноября. За это время сломали один винт и заменили один двигатель. 9 декабря машину передали в морской отдел НИИ ВВС в Севастополе для проведения государственных испытаний.</w:t>
      </w:r>
    </w:p>
    <w:p w14:paraId="3877BA7B" w14:textId="77777777" w:rsidR="007A6D51" w:rsidRPr="00E93F40" w:rsidRDefault="007A6D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на следующий день лётчик Рябенко совершил на Р-ба первый полёт. Дополнительный вес и аэродинамическое сопротивление поплавков отрицательно сказались на лётных данных. По сравнению с серийной колёсной машиной максимальная скорость упала примерно на 20 км/ч, не превышая 235 км/ч. Уменьшился практический потолок, ухудшилась скороподъёмность. Расход бензина возрос примерно на 10%. Взлётно-посадочные качества тоже оставляли желать лучшего. Кроме того, поплавки сузили сектор обстрела из подфюзеляж- ной башни.</w:t>
      </w:r>
    </w:p>
    <w:p w14:paraId="6439D679" w14:textId="77777777" w:rsidR="007A6D51" w:rsidRPr="00E93F40" w:rsidRDefault="007A6D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Выявились и другие недостатки. Например, деревянные воздушные винты под воздействием морской воды начинали быстро трескаться. Возникли проблемы с запуском моторов; пневмостартёры на холоде не всегда надёжно работали, а специальных ручек для механической раскрутки с поплавков не предусмотрели.</w:t>
      </w:r>
    </w:p>
    <w:p w14:paraId="19E5DF56" w14:textId="77777777" w:rsidR="007A6D51" w:rsidRPr="00E93F40" w:rsidRDefault="007A6D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27 декабря Чёрное море уже замёрзло, и полёты отложили до весны. Вернулись к ним 17 апреля. Общая оценка самолёта была положительной, но радиус действия в 360 км (при перегрузочном весе - 470 км) сочли недостаточным. Предложено было увеличить запас бензина с 1660 л до 2000 л, что довело бы боевой радиус до 700 км.</w:t>
      </w:r>
    </w:p>
    <w:p w14:paraId="22B5B7FE" w14:textId="77777777" w:rsidR="007A6D51" w:rsidRPr="00E93F40" w:rsidRDefault="007A6D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завершения испытаний первый Р-ба оставили ВВС Черноморского флота, но эксплуатировался он там недолго.</w:t>
      </w:r>
    </w:p>
    <w:p w14:paraId="30604545" w14:textId="77777777" w:rsidR="007A6D51" w:rsidRPr="00E93F40" w:rsidRDefault="007A6D5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Морские лётчики хотели превратить Р-ба в универсальный самолёт, который можно было бы использовать не только как многоместный истребитель сопровождения и дальний разведчик, но и как бомбардировщик-торпедоносец. Нормальная бомбовая нагрузка для Р-ба составляла всего 192 кг. Предполагалось довести ее до 1000 кг; возможные комбинации - две бомбы по 500 кг, четыре по 250 кг, восемь по 100 кг плюс четыре пристрелочных или осветительных. Альтернативно под фюзеляжем на держателе ТН-18 самолёт должен был нести торпеду ТАН-12 (ВВС-12) (12264).</w:t>
      </w:r>
    </w:p>
    <w:p w14:paraId="784E322B" w14:textId="77777777" w:rsidR="007A6D51" w:rsidRPr="00E93F40" w:rsidRDefault="007A6D51" w:rsidP="00E93F40">
      <w:pPr>
        <w:spacing w:after="0" w:line="240" w:lineRule="auto"/>
        <w:jc w:val="both"/>
        <w:rPr>
          <w:rFonts w:ascii="Times New Roman" w:hAnsi="Times New Roman"/>
          <w:color w:val="000000" w:themeColor="text1"/>
          <w:sz w:val="16"/>
          <w:szCs w:val="16"/>
        </w:rPr>
      </w:pPr>
    </w:p>
    <w:p w14:paraId="6AE78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октября 1932 года ст. военпред УВВС писал письмо N 501 начальнику 8 сектора 5-го управления УВВС.</w:t>
      </w:r>
    </w:p>
    <w:p w14:paraId="5043B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этом для Вашего сведения представляю материал на серийный самолет МБР4 за N ОЕ75, переданный на гос. испытание.</w:t>
      </w:r>
    </w:p>
    <w:p w14:paraId="50CFF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Акт</w:t>
      </w:r>
    </w:p>
    <w:p w14:paraId="55CEA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Настоящий акт составлен 20 сентября 1932 года о передаче на гос. испытание в НИИ ВВС первого серийного самолета МБР-4 АССО-750 заводской N ОВ-75 предъявленного отношением завода за N 1866с от 16 сентября 1932 года.</w:t>
      </w:r>
    </w:p>
    <w:p w14:paraId="7448E0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должен был быть предъявлен 5 марта согласно договоренности с заводом и ВАО. Фактически предъявлен 16 сентября с.г., т.о. срок заводом не выдержан на 5 с половиной месяцев.</w:t>
      </w:r>
    </w:p>
    <w:p w14:paraId="2AD2A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После осмотра самолета 28 августа была обнаружена масса дефектов - завод обещал устранить их в течение 5 дней, но срок не был выдержан и самолет был предъявлен только 11 сентября с.г.</w:t>
      </w:r>
    </w:p>
    <w:p w14:paraId="6E772A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осмотра 11 сентября было обнаружено 84 дефекта. Вторично самолет был предъявлен 16 сентября с.г. После осмотра также были обнаружены дефекты.</w:t>
      </w:r>
    </w:p>
    <w:p w14:paraId="6CB7B8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Представители НИИ отмечают, что завод устранял некоторые дефекты за счет ослабления прочности.</w:t>
      </w:r>
    </w:p>
    <w:p w14:paraId="5F3547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При приемке самолета в воздухе последний имеет тенденцию к кабрированию и наворачиванию вправо.</w:t>
      </w:r>
    </w:p>
    <w:p w14:paraId="1A01F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Означенный самолет МБР-4 заводской N ОЕ75 с указанными в данном акте дефектами и отклонениями от макета принимается на гос. испытание.</w:t>
      </w:r>
    </w:p>
    <w:p w14:paraId="580B7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о приемке серии подлежит решению 3-го управления ВВС совместно с ГУАП.</w:t>
      </w:r>
    </w:p>
    <w:p w14:paraId="4AD5C7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Окончательная оценка конструкции и эксплуатационных качеств самолета будет дана после гос. испытаний. (2996,16-24).</w:t>
      </w:r>
    </w:p>
    <w:p w14:paraId="06558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Особое мнение</w:t>
      </w:r>
    </w:p>
    <w:p w14:paraId="1B7186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представителей завода N 31 к акту от 20 сентября 1932 года</w:t>
      </w:r>
    </w:p>
    <w:p w14:paraId="6D462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передаче на гос. испытания самолета МБР-4 зав. N ОЕ-75.</w:t>
      </w:r>
    </w:p>
    <w:p w14:paraId="373370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по договору с УВВС должен был быть предъявлен не 5 марта, а вообще в марте. Предъявлен же воен. представит. 22 июля по извещен. N 1457с и отклонен за отсутствием вооружения, бензиномеров и неясности вопроса о центровке.</w:t>
      </w:r>
    </w:p>
    <w:p w14:paraId="4B7C3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Заводские испытания начаты 26 августа и окончены 30 августа.</w:t>
      </w:r>
    </w:p>
    <w:p w14:paraId="7882D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Завод не согласен с тем, что устранение дефектов повело к ослаблению прочности самолета. (2996,29-31).</w:t>
      </w:r>
    </w:p>
    <w:p w14:paraId="4E2EA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EBD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октября 1932 года успешно закончились гос. испытания мотора М-51: Мощность – 100 л.с., Вес – 155 кг, Госиспытания – январь 1932 года, Завод № 29. Мотор предназначается для замены М-11 на маломощных самолетах. В конструкции мотора проведена задача простоты, надежности и эксплуатации и удобства в производстве. На удовлетворительно пройденных заводских испытаниях мотор проработал 86 часов, после чего устранен ряд небольших неполадок и был затем предъявлен на госиспытания (3530,70-86).</w:t>
      </w:r>
    </w:p>
    <w:p w14:paraId="0AF9A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FE45D1" w14:textId="20377ACE"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октября 1932 г. Протокол ПБ № 119</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п.24: О переговорах с представителями фирмы "Спери" - ОП. Приняты решения: а) Признать необходимым начать беседу с представителями фирмы "Сперри" по вопросам приобретения ряда приборов по управлению самолетами, артиллерийским огнем и др. б) Ведение беседы поручить Жукову и военным по указанию Ворошилова (15904).</w:t>
      </w:r>
    </w:p>
    <w:p w14:paraId="26C91A86" w14:textId="77777777" w:rsidR="00F01A58" w:rsidRPr="00E93F40" w:rsidRDefault="00F01A58" w:rsidP="00E93F40">
      <w:pPr>
        <w:spacing w:after="0" w:line="240" w:lineRule="auto"/>
        <w:jc w:val="both"/>
        <w:rPr>
          <w:rFonts w:ascii="Times New Roman" w:hAnsi="Times New Roman"/>
          <w:color w:val="000000" w:themeColor="text1"/>
          <w:sz w:val="16"/>
          <w:szCs w:val="16"/>
        </w:rPr>
      </w:pPr>
    </w:p>
    <w:p w14:paraId="0C0B57FB" w14:textId="77777777" w:rsidR="004A2CF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A3AEEBC" w14:textId="77777777" w:rsidR="004A2CF3" w:rsidRPr="00E93F40" w:rsidRDefault="004A2CF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E55EC4"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16 октября 1932</w:t>
      </w:r>
      <w:r w:rsidRPr="00E93F40">
        <w:rPr>
          <w:rFonts w:ascii="Times New Roman" w:hAnsi="Times New Roman"/>
          <w:color w:val="000000" w:themeColor="text1"/>
          <w:sz w:val="16"/>
          <w:szCs w:val="16"/>
        </w:rPr>
        <w:t>Политбюро ЦК ВКП (б) приняло постановления: об улучшении организации строительства и изменении срока пуска Луганского паровозостроительного завода, об улучшении организации строительства и изменении срока пуска Нижне-Тагильского вагоностроительного завода (12265).</w:t>
      </w:r>
    </w:p>
    <w:p w14:paraId="47714F15" w14:textId="797F7BB5" w:rsidR="004A2CF3"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60F3B636"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октября 1932</w:t>
      </w:r>
    </w:p>
    <w:p w14:paraId="00A230CE" w14:textId="7C762EF5"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119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6936F3A0" w14:textId="3264D31A"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16</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7C2D2214" w14:textId="5A77D031"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24: О переговорах с представителями фирмы “Спери”</w:t>
      </w:r>
    </w:p>
    <w:p w14:paraId="6A816694" w14:textId="1D52430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01492BCA" w14:textId="3B3D4296"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Признать необходимым начать беседу с представителями фирмы “Спери” по вопросам приобретения ряда приборов по управлению самолетами, артиллерийским огнем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w:t>
      </w:r>
    </w:p>
    <w:p w14:paraId="6F2186B3" w14:textId="74FE3EB9"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Ведение беседы поручить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Жукову и военным по указанию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Ворошилова.</w:t>
      </w:r>
    </w:p>
    <w:p w14:paraId="74396235"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58798742"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Жукову, Ворошилову (18134).</w:t>
      </w:r>
    </w:p>
    <w:p w14:paraId="4946E07E" w14:textId="77777777" w:rsidR="00575CA3" w:rsidRPr="00E93F40" w:rsidRDefault="00575CA3" w:rsidP="00E93F40">
      <w:pPr>
        <w:spacing w:after="0" w:line="240" w:lineRule="auto"/>
        <w:jc w:val="both"/>
        <w:rPr>
          <w:rFonts w:ascii="Times New Roman" w:hAnsi="Times New Roman"/>
          <w:color w:val="000000" w:themeColor="text1"/>
          <w:sz w:val="16"/>
          <w:szCs w:val="16"/>
        </w:rPr>
      </w:pPr>
    </w:p>
    <w:p w14:paraId="3F1F22BB" w14:textId="77777777" w:rsidR="004A2CF3" w:rsidRPr="00E93F40" w:rsidRDefault="004A2CF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16 октября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xml:space="preserve">. Протокол заседания Политбюро ЦК ВКП(б) № 119. 6. О строительстве судостроительного завода в ДВК (Орджоникидзе, Каттель, Доценко и др.). 9. О форсировании производства никеля, олова, алюминия и ферросплавов (ПБ от 8 сентября 1932 г., пр. № 115, п. 7в). 14. О постройке завода механических трубок (Молотов, Ворошилов). Постановили: а) завод строить не в Пушкине, а южнее Москвы согласно обмену мнений; б) поручить комиссии в составе т. Павлуновского (созыв комиссии), Тухачевского, Боева и Гришина проверить валютные расходы, имея в виду их сокращение. 24. О переговорах с представителями фирмы «Сперри». </w:t>
      </w:r>
      <w:r w:rsidRPr="00E93F40">
        <w:rPr>
          <w:rFonts w:ascii="Times New Roman" w:hAnsi="Times New Roman"/>
          <w:color w:val="000000" w:themeColor="text1"/>
          <w:sz w:val="16"/>
          <w:szCs w:val="16"/>
          <w:u w:color="002060"/>
        </w:rPr>
        <w:lastRenderedPageBreak/>
        <w:t>Постановили: а) признать необходимым начать беседу с представителями фирмы «Сперри» по вопросам приобретения ряда приборов по управлению самолетами, артиллерийским огнем и пр.; б) ведение беседы поручить т. Жукову и военным по указанию т. Ворошилова. (Политбюро... Т. 2. С. 361; РГАСПИ. Ф. 17. Оп. 162. Д. 13. Л. 127) (12416).</w:t>
      </w:r>
    </w:p>
    <w:p w14:paraId="28843B6C" w14:textId="77777777" w:rsidR="004A2CF3" w:rsidRPr="00E93F40" w:rsidRDefault="004A2CF3" w:rsidP="00E93F40">
      <w:pPr>
        <w:spacing w:after="0" w:line="240" w:lineRule="auto"/>
        <w:jc w:val="both"/>
        <w:rPr>
          <w:rFonts w:ascii="Times New Roman" w:hAnsi="Times New Roman"/>
          <w:color w:val="000000" w:themeColor="text1"/>
          <w:sz w:val="16"/>
          <w:szCs w:val="16"/>
          <w:u w:color="002060"/>
        </w:rPr>
      </w:pPr>
    </w:p>
    <w:p w14:paraId="4DA138BC"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октября 1932 состоялось заседание ПБ (Протокол № 119) </w:t>
      </w:r>
    </w:p>
    <w:p w14:paraId="3D0A5C43"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О строительстве судостроительного завода, в ДВК (т.т. Орджоникидзе, Каттель, Доценко, Костенко, Бергавинов, Гамарник, Руденко, Павлуновский).</w:t>
      </w:r>
    </w:p>
    <w:p w14:paraId="5182599E"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Предложить НКТяжпрому, на основе обмена мнений, представить в двухнедельный срок соображения о плане строительства и о закладке нескольких единиц в 1933-24 г.г.</w:t>
      </w:r>
    </w:p>
    <w:p w14:paraId="10B4F617"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Предложить т.Каттелю переработать свои заявки на основе обмена мнений и представить в Политбюро.</w:t>
      </w:r>
    </w:p>
    <w:p w14:paraId="09519538"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Принять к сведению заявление т. Костенко, что новый технический проект будет готов к концу декабря 1932 г.</w:t>
      </w:r>
    </w:p>
    <w:p w14:paraId="19D6360D"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Каттелю.</w:t>
      </w:r>
    </w:p>
    <w:p w14:paraId="49E446BF"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О постройке завода механических трубок</w:t>
      </w:r>
    </w:p>
    <w:p w14:paraId="557AE5CD"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Молотов, Ворошилов).</w:t>
      </w:r>
    </w:p>
    <w:p w14:paraId="66CED033"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3авод строить не в Пушкине, а южнее Москвы, согласно обмена мнений.</w:t>
      </w:r>
    </w:p>
    <w:p w14:paraId="27160F7E"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комиссии в составе т.т. Павлуновского (созыв комиссии), Тухачевского, Боева и Гришина проверить валютные расходы, имея в виду их сокращение.</w:t>
      </w:r>
    </w:p>
    <w:p w14:paraId="145D1BE2"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т.т.Орджоникидзе, Павлуновскому, Тухачевскому, Боеву, Гришину.</w:t>
      </w:r>
    </w:p>
    <w:p w14:paraId="53036F0A"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О переговорах с представителями фирмыиСпери",</w:t>
      </w:r>
    </w:p>
    <w:p w14:paraId="45C7A67A"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Признать необходимым начать беседу с представи</w:t>
      </w:r>
      <w:r w:rsidRPr="00E93F40">
        <w:rPr>
          <w:rFonts w:ascii="Times New Roman" w:hAnsi="Times New Roman"/>
          <w:color w:val="000000" w:themeColor="text1"/>
          <w:sz w:val="16"/>
          <w:szCs w:val="16"/>
        </w:rPr>
        <w:softHyphen/>
        <w:t>телями фирмы "Сперм" по вопросам приобретения ряда приборов по управлению самолетами, артиллерийским огнем и пр.</w:t>
      </w:r>
    </w:p>
    <w:p w14:paraId="174A79FA"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Ведение беседы поручить т. Жукову и военным по указанию т. Ворошилова.</w:t>
      </w:r>
    </w:p>
    <w:p w14:paraId="1F3635A1"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Жукову, Ворошилову</w:t>
      </w:r>
    </w:p>
    <w:p w14:paraId="7DB411BD"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октября опросом членов ПБ</w:t>
      </w:r>
    </w:p>
    <w:p w14:paraId="00197EF8"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81/54.- О расторжении договора с фирмой "МАККИ</w:t>
      </w:r>
    </w:p>
    <w:p w14:paraId="6D289495"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т.Пятакова о расторжении договора по техпомощи с фирмой "МАККИ" без обострения отношений.</w:t>
      </w:r>
    </w:p>
    <w:p w14:paraId="48D90394" w14:textId="77777777" w:rsidR="006D5B7A" w:rsidRPr="00E93F40" w:rsidRDefault="006D5B7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Пятакову, Керженцеву, Розенгольцу (23064).</w:t>
      </w:r>
    </w:p>
    <w:p w14:paraId="486B1829" w14:textId="77777777" w:rsidR="006D5B7A" w:rsidRPr="00E93F40" w:rsidRDefault="006D5B7A" w:rsidP="00E93F40">
      <w:pPr>
        <w:spacing w:after="0" w:line="240" w:lineRule="auto"/>
        <w:jc w:val="both"/>
        <w:rPr>
          <w:rFonts w:ascii="Times New Roman" w:hAnsi="Times New Roman"/>
          <w:color w:val="000000" w:themeColor="text1"/>
          <w:sz w:val="16"/>
          <w:szCs w:val="16"/>
        </w:rPr>
      </w:pPr>
    </w:p>
    <w:p w14:paraId="73E86FC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71430E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CA5F10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октября 1932 года начальник НИИ ВВС Зильберт писал письмо № сс219 начальнику ВВС.</w:t>
      </w:r>
    </w:p>
    <w:p w14:paraId="251B855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Доношу, что 10 октября 1932 года в 18 час. 15 мин. прикомандированным к НИИ летчиком Жарновским с контролером нач. 15 отдела летчиком Спириным на самолете У2 № 3251 произведен полный слепой полет продолжительностью 20 минут.</w:t>
      </w:r>
    </w:p>
    <w:p w14:paraId="2BD7032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(6778, 188).</w:t>
      </w:r>
    </w:p>
    <w:p w14:paraId="72A0602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96B85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октября 1932 закончилось гос. испытание санитарного У-2, которое проходило с 1 сентября 1932 (6778).</w:t>
      </w:r>
    </w:p>
    <w:p w14:paraId="6A2A2C7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F94C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октября 1932 в Москве в КЗДСовета чевствовали К.Э.Ц. и наградили орденом ТКЗн (438,635).</w:t>
      </w:r>
    </w:p>
    <w:p w14:paraId="6D05A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2692F3" w14:textId="66881502" w:rsidR="00493370" w:rsidRPr="00E93F40" w:rsidRDefault="004933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октября 1932 г. в Москве, в Доме союзов состоялось торжественное че</w:t>
      </w:r>
      <w:r w:rsidRPr="00E93F40">
        <w:rPr>
          <w:rFonts w:ascii="Times New Roman" w:hAnsi="Times New Roman"/>
          <w:color w:val="000000" w:themeColor="text1"/>
          <w:sz w:val="16"/>
          <w:szCs w:val="16"/>
        </w:rPr>
        <w:softHyphen/>
        <w:t>ствование К.Э.Циолковского по случаю 75-летия со дня его рождения и 60-летия его научно-изобретательской деятельности. В адрес юби</w:t>
      </w:r>
      <w:r w:rsidRPr="00E93F40">
        <w:rPr>
          <w:rFonts w:ascii="Times New Roman" w:hAnsi="Times New Roman"/>
          <w:color w:val="000000" w:themeColor="text1"/>
          <w:sz w:val="16"/>
          <w:szCs w:val="16"/>
        </w:rPr>
        <w:softHyphen/>
        <w:t xml:space="preserve">ляра и юбилейной комиссии поступило много приветствий от научных к общественных учреждений, в том числе и от иностранных, а также и от частных лиц. Юбиляр </w:t>
      </w:r>
      <w:r w:rsidR="00EA20A1" w:rsidRPr="00E93F40">
        <w:rPr>
          <w:rFonts w:ascii="Times New Roman" w:hAnsi="Times New Roman"/>
          <w:color w:val="000000" w:themeColor="text1"/>
          <w:sz w:val="16"/>
          <w:szCs w:val="16"/>
        </w:rPr>
        <w:t xml:space="preserve">27 октября </w:t>
      </w:r>
      <w:r w:rsidRPr="00E93F40">
        <w:rPr>
          <w:rFonts w:ascii="Times New Roman" w:hAnsi="Times New Roman"/>
          <w:color w:val="000000" w:themeColor="text1"/>
          <w:sz w:val="16"/>
          <w:szCs w:val="16"/>
        </w:rPr>
        <w:t>был награжден орденом Трудового Красного Замени.</w:t>
      </w:r>
    </w:p>
    <w:p w14:paraId="3DE0358A" w14:textId="77777777" w:rsidR="00493370" w:rsidRPr="00E93F40" w:rsidRDefault="004933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ЦИК СССР» за 19 октября 1932/ (23370).</w:t>
      </w:r>
    </w:p>
    <w:p w14:paraId="5D72D0FD" w14:textId="77777777" w:rsidR="00493370" w:rsidRPr="00E93F40" w:rsidRDefault="00493370" w:rsidP="00E93F40">
      <w:pPr>
        <w:spacing w:after="0" w:line="240" w:lineRule="auto"/>
        <w:jc w:val="both"/>
        <w:rPr>
          <w:rFonts w:ascii="Times New Roman" w:hAnsi="Times New Roman"/>
          <w:color w:val="000000" w:themeColor="text1"/>
          <w:sz w:val="16"/>
          <w:szCs w:val="16"/>
        </w:rPr>
      </w:pPr>
    </w:p>
    <w:p w14:paraId="0DA43207" w14:textId="77777777" w:rsidR="004A2CF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F1FE8AB" w14:textId="77777777" w:rsidR="004A2CF3" w:rsidRPr="00E93F40" w:rsidRDefault="004A2CF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62DD5D1" w14:textId="77777777" w:rsidR="00575CA3" w:rsidRPr="00E93F40" w:rsidRDefault="00575CA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color w:val="000000" w:themeColor="text1"/>
          <w:sz w:val="16"/>
          <w:szCs w:val="16"/>
        </w:rPr>
        <w:t>17 октября 1932 г.</w:t>
      </w:r>
    </w:p>
    <w:p w14:paraId="177089C5" w14:textId="77777777" w:rsidR="00575CA3" w:rsidRPr="00E93F40" w:rsidRDefault="00575CA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color w:val="000000" w:themeColor="text1"/>
          <w:sz w:val="16"/>
          <w:szCs w:val="16"/>
        </w:rPr>
        <w:t xml:space="preserve">Сообщение ОГПУ о постройке нового пассажирского паровоза. </w:t>
      </w:r>
    </w:p>
    <w:p w14:paraId="5362120C" w14:textId="54B9FCCA" w:rsidR="00575CA3" w:rsidRPr="00E93F40" w:rsidRDefault="00575CA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Источник:</w:t>
      </w:r>
      <w:r w:rsidR="007C1411" w:rsidRPr="00E93F40">
        <w:rPr>
          <w:rFonts w:ascii="Times New Roman" w:hAnsi="Times New Roman"/>
          <w:bCs/>
          <w:color w:val="000000" w:themeColor="text1"/>
          <w:sz w:val="16"/>
          <w:szCs w:val="16"/>
        </w:rPr>
        <w:t xml:space="preserve"> </w:t>
      </w:r>
    </w:p>
    <w:p w14:paraId="745B3B23"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 Лубянка — Сталину о положении в стране (1922-1934 гг.)</w:t>
      </w:r>
    </w:p>
    <w:p w14:paraId="6AF89351" w14:textId="39BA17E3" w:rsidR="00575CA3" w:rsidRPr="00E93F40" w:rsidRDefault="00575CA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Архив:</w:t>
      </w:r>
      <w:r w:rsidR="007C1411" w:rsidRPr="00E93F40">
        <w:rPr>
          <w:rFonts w:ascii="Times New Roman" w:hAnsi="Times New Roman"/>
          <w:bCs/>
          <w:color w:val="000000" w:themeColor="text1"/>
          <w:sz w:val="16"/>
          <w:szCs w:val="16"/>
        </w:rPr>
        <w:t xml:space="preserve"> </w:t>
      </w:r>
    </w:p>
    <w:p w14:paraId="5D386FF4"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 2. Оп. 10. Д. 21. Л. 214. Копия</w:t>
      </w:r>
    </w:p>
    <w:p w14:paraId="592BC246" w14:textId="77777777" w:rsidR="00575CA3" w:rsidRPr="00E93F40" w:rsidRDefault="00575CA3" w:rsidP="00E93F40">
      <w:pPr>
        <w:pStyle w:val="ae"/>
        <w:spacing w:before="0" w:after="0"/>
        <w:jc w:val="both"/>
        <w:rPr>
          <w:color w:val="000000" w:themeColor="text1"/>
          <w:sz w:val="16"/>
          <w:szCs w:val="16"/>
        </w:rPr>
      </w:pPr>
      <w:r w:rsidRPr="00E93F40">
        <w:rPr>
          <w:color w:val="000000" w:themeColor="text1"/>
          <w:sz w:val="16"/>
          <w:szCs w:val="16"/>
        </w:rPr>
        <w:t>17 октября 1932 г.</w:t>
      </w:r>
    </w:p>
    <w:p w14:paraId="7EC8E113" w14:textId="77777777" w:rsidR="00575CA3" w:rsidRPr="00E93F40" w:rsidRDefault="00575CA3" w:rsidP="00E93F40">
      <w:pPr>
        <w:pStyle w:val="ae"/>
        <w:spacing w:before="0" w:after="0"/>
        <w:jc w:val="both"/>
        <w:rPr>
          <w:color w:val="000000" w:themeColor="text1"/>
          <w:sz w:val="16"/>
          <w:szCs w:val="16"/>
        </w:rPr>
      </w:pPr>
      <w:r w:rsidRPr="00E93F40">
        <w:rPr>
          <w:color w:val="000000" w:themeColor="text1"/>
          <w:sz w:val="16"/>
          <w:szCs w:val="16"/>
        </w:rPr>
        <w:t>№ 40556</w:t>
      </w:r>
    </w:p>
    <w:p w14:paraId="7B6F9A72" w14:textId="77777777" w:rsidR="00575CA3" w:rsidRPr="00E93F40" w:rsidRDefault="00575CA3" w:rsidP="00E93F40">
      <w:pPr>
        <w:pStyle w:val="ae"/>
        <w:spacing w:before="0" w:after="0"/>
        <w:jc w:val="both"/>
        <w:rPr>
          <w:color w:val="000000" w:themeColor="text1"/>
          <w:sz w:val="16"/>
          <w:szCs w:val="16"/>
        </w:rPr>
      </w:pPr>
      <w:r w:rsidRPr="00E93F40">
        <w:rPr>
          <w:color w:val="000000" w:themeColor="text1"/>
          <w:sz w:val="16"/>
          <w:szCs w:val="16"/>
        </w:rPr>
        <w:t>Секретарю ЦК ВКП(б) т. Сталину</w:t>
      </w:r>
    </w:p>
    <w:p w14:paraId="0385140F" w14:textId="77777777"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Сообщаю, что 15 октября с.г. закончен постройкой на Коломенском заводе сверхмощный пассажирский паровоз типа 1-4-2 с нагрузкой в 20 т на ось согласно проекту, разработанного ТО ОГПУ по заданию т. Благонравова и представленного Вам 3 ноября 1931 г. за № 40858.</w:t>
      </w:r>
    </w:p>
    <w:p w14:paraId="235F34AE" w14:textId="77777777"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Паровоз 1-4-2 построен исключительно из советских материалов по последнему слову американкой техники и, являясь самым мощным пассажирским паровозом на европейских ж.д., отвечает следующим важнейшим требованиям:</w:t>
      </w:r>
    </w:p>
    <w:p w14:paraId="1674B7A7" w14:textId="3814446B"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1.</w:t>
      </w:r>
      <w:r w:rsidR="00DD74E1">
        <w:rPr>
          <w:color w:val="000000" w:themeColor="text1"/>
          <w:sz w:val="16"/>
          <w:szCs w:val="16"/>
        </w:rPr>
        <w:t xml:space="preserve"> </w:t>
      </w:r>
      <w:r w:rsidRPr="00E93F40">
        <w:rPr>
          <w:color w:val="000000" w:themeColor="text1"/>
          <w:sz w:val="16"/>
          <w:szCs w:val="16"/>
        </w:rPr>
        <w:t xml:space="preserve"> Повышает пассажирскую провозную способность наиболее загруженных направлений наших железных дорог на 55 %;</w:t>
      </w:r>
    </w:p>
    <w:p w14:paraId="16B63D3D" w14:textId="74C61E86"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2.</w:t>
      </w:r>
      <w:r w:rsidR="00DD74E1">
        <w:rPr>
          <w:color w:val="000000" w:themeColor="text1"/>
          <w:sz w:val="16"/>
          <w:szCs w:val="16"/>
        </w:rPr>
        <w:t xml:space="preserve"> </w:t>
      </w:r>
      <w:r w:rsidRPr="00E93F40">
        <w:rPr>
          <w:color w:val="000000" w:themeColor="text1"/>
          <w:sz w:val="16"/>
          <w:szCs w:val="16"/>
        </w:rPr>
        <w:t xml:space="preserve"> предельно использует современный рельсовый путь нашей ж.-д. сети, уложенный рельсами типа П-а, по которому он может обращаться с предельной скоростью в 100 км/ч;</w:t>
      </w:r>
    </w:p>
    <w:p w14:paraId="68581025" w14:textId="33E18D3B"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3.</w:t>
      </w:r>
      <w:r w:rsidR="00DD74E1">
        <w:rPr>
          <w:color w:val="000000" w:themeColor="text1"/>
          <w:sz w:val="16"/>
          <w:szCs w:val="16"/>
        </w:rPr>
        <w:t xml:space="preserve"> </w:t>
      </w:r>
      <w:r w:rsidRPr="00E93F40">
        <w:rPr>
          <w:color w:val="000000" w:themeColor="text1"/>
          <w:sz w:val="16"/>
          <w:szCs w:val="16"/>
        </w:rPr>
        <w:t xml:space="preserve"> имеет взаимозаменяемые части с построенным по проекту ТО ОГПУ товарным паровозом серии ФД: котел с арматурой и гарнитурой, паровые цилиндры со штоками и крейцкопфами, золотники, буксы и подшипники, что удешевляет и облегчает постройку, ремонт и обслуживание обоих типов паровозов.</w:t>
      </w:r>
    </w:p>
    <w:p w14:paraId="1570441F" w14:textId="77777777" w:rsidR="00575CA3" w:rsidRPr="00E93F40" w:rsidRDefault="00575CA3" w:rsidP="00E93F40">
      <w:pPr>
        <w:pStyle w:val="ae"/>
        <w:spacing w:before="0" w:after="0"/>
        <w:jc w:val="both"/>
        <w:rPr>
          <w:color w:val="000000" w:themeColor="text1"/>
          <w:sz w:val="16"/>
          <w:szCs w:val="16"/>
        </w:rPr>
      </w:pPr>
      <w:r w:rsidRPr="00E93F40">
        <w:rPr>
          <w:color w:val="000000" w:themeColor="text1"/>
          <w:sz w:val="16"/>
          <w:szCs w:val="16"/>
        </w:rPr>
        <w:t>Председатель ОГПУ Менжинский</w:t>
      </w:r>
    </w:p>
    <w:p w14:paraId="0EF2033A" w14:textId="77777777" w:rsidR="00575CA3" w:rsidRPr="00E93F40" w:rsidRDefault="00575CA3" w:rsidP="00E93F40">
      <w:pPr>
        <w:pStyle w:val="ae"/>
        <w:spacing w:before="0" w:after="0"/>
        <w:jc w:val="both"/>
        <w:rPr>
          <w:color w:val="000000" w:themeColor="text1"/>
          <w:sz w:val="16"/>
          <w:szCs w:val="16"/>
        </w:rPr>
      </w:pPr>
      <w:r w:rsidRPr="00E93F40">
        <w:rPr>
          <w:rStyle w:val="af0"/>
          <w:i w:val="0"/>
          <w:color w:val="000000" w:themeColor="text1"/>
          <w:sz w:val="16"/>
          <w:szCs w:val="16"/>
        </w:rPr>
        <w:t>Ф. 2. Оп. 10. Д. 21. Л. 214. Копия (18163)</w:t>
      </w:r>
      <w:r w:rsidRPr="00E93F40">
        <w:rPr>
          <w:color w:val="000000" w:themeColor="text1"/>
          <w:sz w:val="16"/>
          <w:szCs w:val="16"/>
        </w:rPr>
        <w:t>.</w:t>
      </w:r>
    </w:p>
    <w:p w14:paraId="757270C1" w14:textId="77777777" w:rsidR="00575CA3" w:rsidRPr="00E93F40" w:rsidRDefault="00575CA3" w:rsidP="00E93F40">
      <w:pPr>
        <w:spacing w:after="0" w:line="240" w:lineRule="auto"/>
        <w:jc w:val="both"/>
        <w:rPr>
          <w:rFonts w:ascii="Times New Roman" w:hAnsi="Times New Roman"/>
          <w:color w:val="000000" w:themeColor="text1"/>
          <w:sz w:val="16"/>
          <w:szCs w:val="16"/>
        </w:rPr>
      </w:pPr>
    </w:p>
    <w:p w14:paraId="287617D9"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октября 1932 г. ДОКЛАДНАЯ ЗАПИСКА ОГПУ № 40557</w:t>
      </w:r>
    </w:p>
    <w:p w14:paraId="557D999A"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сравнительных характеристиках отечественного товарного паровоза с американскими аналогами</w:t>
      </w:r>
    </w:p>
    <w:p w14:paraId="4E7A8482"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4D3A47B7"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Секретарю ЦК ВКП(б) т. Сталину</w:t>
      </w:r>
    </w:p>
    <w:p w14:paraId="4FDE252D"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этом направляю для сведения материал «Сравнение паровозов ФД, советского товарного паровоза, построенного по проекту ТО ОГПУ, и ТА и ТБ - американских мощных товарных паровозов, по опытным данным». Из прилагаемого материала видно, что:</w:t>
      </w:r>
    </w:p>
    <w:p w14:paraId="18450631"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Паровоз ФД не только оправдал проектные данные, но и значительно их превысил.</w:t>
      </w:r>
    </w:p>
    <w:p w14:paraId="2B0B4D49"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Паровоз ФД дает возможность повысить пропускную и провозную способность наиболее загруженных ж.-д. магистралей не на 40 %, как это предполагалось проектом, а на 75 %.</w:t>
      </w:r>
    </w:p>
    <w:p w14:paraId="6BA0A7EF"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Испытаниями паровоза ФД установлено, что благодаря правильно выбранным размерам котла и машины, он может работать на смесях с преобладающим количеством тощих углей, что освобождает транспорт от перевозки на далекие расстояния жирных спекающихся углей для его нужд и открывает широкие возможности использования залежей местных углей.</w:t>
      </w:r>
    </w:p>
    <w:p w14:paraId="0D57616E"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Дает на руководящем подъеме скорость 22,5 км/ч, чем обеспечивает перевозку больших составов с повышенными скоростями.</w:t>
      </w:r>
    </w:p>
    <w:p w14:paraId="6C417820"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Максимально использует существующую винтовую стяжку, существующий путь и искусственные сооружения, не требуя немедленной реконструкции.</w:t>
      </w:r>
    </w:p>
    <w:p w14:paraId="26AA4230"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Сравнение показателей испытания паровозов ФД советского и ТА и ТБ американских выявляет, что американские паровозы уступают ФД по всем измерителям. Таким образом, социалистический транспорт в лице паровоза ФД, являющегося мощным и экономным локомотивом, получил первую крупную помощь.</w:t>
      </w:r>
    </w:p>
    <w:p w14:paraId="6CB9E7E7"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ОГПУ Менжинский</w:t>
      </w:r>
    </w:p>
    <w:p w14:paraId="33027929"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 2. Оп. 10. Д. 21. Л. 215-216. Копия (23781).</w:t>
      </w:r>
    </w:p>
    <w:p w14:paraId="00EEF7A2" w14:textId="77777777" w:rsidR="00F867F1" w:rsidRPr="00E93F40" w:rsidRDefault="00F867F1" w:rsidP="00E93F40">
      <w:pPr>
        <w:spacing w:after="0" w:line="240" w:lineRule="auto"/>
        <w:jc w:val="both"/>
        <w:rPr>
          <w:rFonts w:ascii="Times New Roman" w:hAnsi="Times New Roman"/>
          <w:color w:val="000000" w:themeColor="text1"/>
          <w:sz w:val="16"/>
          <w:szCs w:val="16"/>
        </w:rPr>
      </w:pPr>
    </w:p>
    <w:p w14:paraId="425C8E28" w14:textId="77777777" w:rsidR="00575CA3" w:rsidRPr="00E93F40" w:rsidRDefault="00575CA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color w:val="000000" w:themeColor="text1"/>
          <w:sz w:val="16"/>
          <w:szCs w:val="16"/>
        </w:rPr>
        <w:t>17 октября 1932 г.</w:t>
      </w:r>
    </w:p>
    <w:p w14:paraId="73C659B0" w14:textId="77777777" w:rsidR="00575CA3" w:rsidRPr="00E93F40" w:rsidRDefault="00575CA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color w:val="000000" w:themeColor="text1"/>
          <w:sz w:val="16"/>
          <w:szCs w:val="16"/>
        </w:rPr>
        <w:lastRenderedPageBreak/>
        <w:t>Докладная записка ОГПУ сравнительных характеристиках отечественного товарного паровоза с американскими аналогами. 17 октября 1932 г.</w:t>
      </w:r>
    </w:p>
    <w:p w14:paraId="1B6BA7E1" w14:textId="3568729D" w:rsidR="00575CA3" w:rsidRPr="00E93F40" w:rsidRDefault="00575CA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Источник:</w:t>
      </w:r>
      <w:r w:rsidR="007C1411" w:rsidRPr="00E93F40">
        <w:rPr>
          <w:rFonts w:ascii="Times New Roman" w:hAnsi="Times New Roman"/>
          <w:bCs/>
          <w:color w:val="000000" w:themeColor="text1"/>
          <w:sz w:val="16"/>
          <w:szCs w:val="16"/>
        </w:rPr>
        <w:t xml:space="preserve"> </w:t>
      </w:r>
    </w:p>
    <w:p w14:paraId="0C142ECB"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 Лубянка — Сталину о положении в стране (1922-1934 гг.)</w:t>
      </w:r>
    </w:p>
    <w:p w14:paraId="7D53E33B" w14:textId="73D42772" w:rsidR="00575CA3" w:rsidRPr="00E93F40" w:rsidRDefault="00575CA3"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Архив:</w:t>
      </w:r>
      <w:r w:rsidR="007C1411" w:rsidRPr="00E93F40">
        <w:rPr>
          <w:rFonts w:ascii="Times New Roman" w:hAnsi="Times New Roman"/>
          <w:bCs/>
          <w:color w:val="000000" w:themeColor="text1"/>
          <w:sz w:val="16"/>
          <w:szCs w:val="16"/>
        </w:rPr>
        <w:t xml:space="preserve"> </w:t>
      </w:r>
    </w:p>
    <w:p w14:paraId="16414533"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Ф.2. Оп. 10. Д. 21. Л. 215-216. Копия</w:t>
      </w:r>
    </w:p>
    <w:p w14:paraId="61086541" w14:textId="77777777" w:rsidR="00575CA3" w:rsidRPr="00E93F40" w:rsidRDefault="00575CA3" w:rsidP="00E93F40">
      <w:pPr>
        <w:pStyle w:val="rteright"/>
        <w:spacing w:before="0" w:after="0"/>
        <w:jc w:val="both"/>
        <w:rPr>
          <w:color w:val="000000" w:themeColor="text1"/>
          <w:sz w:val="16"/>
          <w:szCs w:val="16"/>
        </w:rPr>
      </w:pPr>
      <w:r w:rsidRPr="00E93F40">
        <w:rPr>
          <w:color w:val="000000" w:themeColor="text1"/>
          <w:sz w:val="16"/>
          <w:szCs w:val="16"/>
        </w:rPr>
        <w:t>17 октября 1932 г.</w:t>
      </w:r>
    </w:p>
    <w:p w14:paraId="1A216381" w14:textId="77777777" w:rsidR="00575CA3" w:rsidRPr="00E93F40" w:rsidRDefault="00575CA3" w:rsidP="00E93F40">
      <w:pPr>
        <w:pStyle w:val="rteright"/>
        <w:spacing w:before="0" w:after="0"/>
        <w:jc w:val="both"/>
        <w:rPr>
          <w:color w:val="000000" w:themeColor="text1"/>
          <w:sz w:val="16"/>
          <w:szCs w:val="16"/>
        </w:rPr>
      </w:pPr>
      <w:r w:rsidRPr="00E93F40">
        <w:rPr>
          <w:color w:val="000000" w:themeColor="text1"/>
          <w:sz w:val="16"/>
          <w:szCs w:val="16"/>
        </w:rPr>
        <w:t>№ 40557</w:t>
      </w:r>
    </w:p>
    <w:p w14:paraId="0DF30D21" w14:textId="77777777" w:rsidR="00575CA3" w:rsidRPr="00E93F40" w:rsidRDefault="00575CA3" w:rsidP="00E93F40">
      <w:pPr>
        <w:pStyle w:val="rteright"/>
        <w:spacing w:before="0" w:after="0"/>
        <w:jc w:val="both"/>
        <w:rPr>
          <w:color w:val="000000" w:themeColor="text1"/>
          <w:sz w:val="16"/>
          <w:szCs w:val="16"/>
        </w:rPr>
      </w:pPr>
      <w:r w:rsidRPr="00E93F40">
        <w:rPr>
          <w:color w:val="000000" w:themeColor="text1"/>
          <w:sz w:val="16"/>
          <w:szCs w:val="16"/>
        </w:rPr>
        <w:t>Совершенно секретно</w:t>
      </w:r>
    </w:p>
    <w:p w14:paraId="404B667B" w14:textId="77777777" w:rsidR="00575CA3" w:rsidRPr="00E93F40" w:rsidRDefault="00575CA3" w:rsidP="00E93F40">
      <w:pPr>
        <w:pStyle w:val="ae"/>
        <w:spacing w:before="0" w:after="0"/>
        <w:jc w:val="both"/>
        <w:rPr>
          <w:color w:val="000000" w:themeColor="text1"/>
          <w:sz w:val="16"/>
          <w:szCs w:val="16"/>
        </w:rPr>
      </w:pPr>
      <w:r w:rsidRPr="00E93F40">
        <w:rPr>
          <w:color w:val="000000" w:themeColor="text1"/>
          <w:sz w:val="16"/>
          <w:szCs w:val="16"/>
        </w:rPr>
        <w:t>Секретарю ЦК ВКП(б) т. Сталину</w:t>
      </w:r>
    </w:p>
    <w:p w14:paraId="27A75F11" w14:textId="77777777"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При этом направляю для сведения материал «Сравнение паровозов ФД, советского товарного паровоза, построенного по проекту ТО ОГПУ, и ТА и ТБ — американских мощных товарных паровозов, по опытным данным»*. Из прилагаемого материала видно, что:</w:t>
      </w:r>
    </w:p>
    <w:p w14:paraId="5AF6D59B" w14:textId="77777777"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1. Паровоз ФД не только оправдал проектные данные, но и значительно их превысил.</w:t>
      </w:r>
    </w:p>
    <w:p w14:paraId="4A6D919F" w14:textId="77777777"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2. Паровоз ФД дает возможность повысить пропускную и провозную способность наиболее загруженных ж.-д. магистралей не на 40 %, как это предполагалось проектом, а на 75 %.</w:t>
      </w:r>
    </w:p>
    <w:p w14:paraId="68785355" w14:textId="77777777"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3. Испытаниями паровоза ФД установлено, что благодаря правильно выбранным размерам котла и машины, он может работать на смесях с преобладающим количеством тощих углей, что освобождает транспорт от перевозки на далекие расстояния жирных спекающихся углей для его нужд и открывает широкие возможности использования залежей местных углей.</w:t>
      </w:r>
    </w:p>
    <w:p w14:paraId="6B21C429" w14:textId="77777777"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4. Дает на руководящем подъеме скорость 22,5 км/ч, чем обеспечивает перевозку больших составов с повышенными скоростями.</w:t>
      </w:r>
    </w:p>
    <w:p w14:paraId="096F4266" w14:textId="77777777"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5. Максимально использует существующую винтовую стяжку, существующий путь и искусственные сооружения, не требуя немедленной реконструкции.</w:t>
      </w:r>
    </w:p>
    <w:p w14:paraId="0C52ECF1" w14:textId="77777777" w:rsidR="00575CA3" w:rsidRPr="00E93F40" w:rsidRDefault="00575CA3" w:rsidP="00E93F40">
      <w:pPr>
        <w:pStyle w:val="rtejustify"/>
        <w:spacing w:before="0" w:after="0"/>
        <w:rPr>
          <w:color w:val="000000" w:themeColor="text1"/>
          <w:sz w:val="16"/>
          <w:szCs w:val="16"/>
        </w:rPr>
      </w:pPr>
      <w:r w:rsidRPr="00E93F40">
        <w:rPr>
          <w:color w:val="000000" w:themeColor="text1"/>
          <w:sz w:val="16"/>
          <w:szCs w:val="16"/>
        </w:rPr>
        <w:t>Сравнение показателей испытания паровозов ФД советского и ТА и ТБ американских выявляет, что американские паровозы уступают ФД по всем измерителям. Таким образом, социалистический транспорт в лице паровоза ФД, являющегося мощным и экономным локомотивом, получил первую крупную помощь.</w:t>
      </w:r>
    </w:p>
    <w:p w14:paraId="6458A1A1" w14:textId="77777777" w:rsidR="00575CA3" w:rsidRPr="00E93F40" w:rsidRDefault="00575CA3" w:rsidP="00E93F40">
      <w:pPr>
        <w:pStyle w:val="ae"/>
        <w:spacing w:before="0" w:after="0"/>
        <w:jc w:val="both"/>
        <w:rPr>
          <w:color w:val="000000" w:themeColor="text1"/>
          <w:sz w:val="16"/>
          <w:szCs w:val="16"/>
        </w:rPr>
      </w:pPr>
      <w:r w:rsidRPr="00E93F40">
        <w:rPr>
          <w:color w:val="000000" w:themeColor="text1"/>
          <w:sz w:val="16"/>
          <w:szCs w:val="16"/>
        </w:rPr>
        <w:t>Председатель ОГПУ Менжинский</w:t>
      </w:r>
    </w:p>
    <w:p w14:paraId="373D93A7" w14:textId="77777777" w:rsidR="00575CA3" w:rsidRPr="00E93F40" w:rsidRDefault="00575CA3" w:rsidP="00E93F40">
      <w:pPr>
        <w:pStyle w:val="ae"/>
        <w:spacing w:before="0" w:after="0"/>
        <w:jc w:val="both"/>
        <w:rPr>
          <w:color w:val="000000" w:themeColor="text1"/>
          <w:sz w:val="16"/>
          <w:szCs w:val="16"/>
        </w:rPr>
      </w:pPr>
      <w:r w:rsidRPr="00E93F40">
        <w:rPr>
          <w:rStyle w:val="af0"/>
          <w:i w:val="0"/>
          <w:color w:val="000000" w:themeColor="text1"/>
          <w:sz w:val="16"/>
          <w:szCs w:val="16"/>
        </w:rPr>
        <w:t>Ф.2. Оп. 10. Д. 21. Л. 215-216. Копия</w:t>
      </w:r>
      <w:r w:rsidRPr="00E93F40">
        <w:rPr>
          <w:color w:val="000000" w:themeColor="text1"/>
          <w:sz w:val="16"/>
          <w:szCs w:val="16"/>
        </w:rPr>
        <w:t>.</w:t>
      </w:r>
    </w:p>
    <w:p w14:paraId="5056324D" w14:textId="77777777" w:rsidR="00575CA3" w:rsidRPr="00E93F40" w:rsidRDefault="00575CA3" w:rsidP="00E93F40">
      <w:pPr>
        <w:pStyle w:val="ae"/>
        <w:spacing w:before="0" w:after="0"/>
        <w:jc w:val="both"/>
        <w:rPr>
          <w:color w:val="000000" w:themeColor="text1"/>
          <w:sz w:val="16"/>
          <w:szCs w:val="16"/>
        </w:rPr>
      </w:pPr>
      <w:r w:rsidRPr="00E93F40">
        <w:rPr>
          <w:color w:val="000000" w:themeColor="text1"/>
          <w:sz w:val="16"/>
          <w:szCs w:val="16"/>
        </w:rPr>
        <w:t>* Приложение в деле отсутствует (19164).</w:t>
      </w:r>
    </w:p>
    <w:p w14:paraId="15D49C80" w14:textId="77777777" w:rsidR="00575CA3" w:rsidRPr="00E93F40" w:rsidRDefault="00575CA3" w:rsidP="00E93F40">
      <w:pPr>
        <w:spacing w:after="0" w:line="240" w:lineRule="auto"/>
        <w:jc w:val="both"/>
        <w:rPr>
          <w:rFonts w:ascii="Times New Roman" w:hAnsi="Times New Roman"/>
          <w:color w:val="000000" w:themeColor="text1"/>
          <w:sz w:val="16"/>
          <w:szCs w:val="16"/>
        </w:rPr>
      </w:pPr>
    </w:p>
    <w:p w14:paraId="18849CE4" w14:textId="77777777" w:rsidR="004A2CF3" w:rsidRPr="00E93F40" w:rsidRDefault="004A2CF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17 октября 1932 г. Постановление СТО СССР и Комиссии обороны № 1313/382сс о передаче Наркомвоенмору судов Наркомснаба в Тихоокеанском бассейне (ГА РФ. Ф. Р?8418. Оп. 28. Д. 1а. Л. 376) (12415).</w:t>
      </w:r>
    </w:p>
    <w:p w14:paraId="328387C2" w14:textId="77777777" w:rsidR="004A2CF3" w:rsidRPr="00E93F40" w:rsidRDefault="004A2CF3" w:rsidP="00E93F40">
      <w:pPr>
        <w:spacing w:after="0" w:line="240" w:lineRule="auto"/>
        <w:jc w:val="both"/>
        <w:rPr>
          <w:rFonts w:ascii="Times New Roman" w:hAnsi="Times New Roman"/>
          <w:color w:val="000000" w:themeColor="text1"/>
          <w:sz w:val="16"/>
          <w:szCs w:val="16"/>
          <w:u w:color="002060"/>
        </w:rPr>
      </w:pPr>
    </w:p>
    <w:p w14:paraId="7AFBE86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D0FA9D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CF33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октября 1932 Великобритания расторгла торговый договор с СССР (3186).</w:t>
      </w:r>
    </w:p>
    <w:p w14:paraId="29C3D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69C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17 октября 1932 г., "Правда", N238 </w:t>
      </w:r>
    </w:p>
    <w:p w14:paraId="281BB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Специалисты Форда — не исключение... </w:t>
      </w:r>
    </w:p>
    <w:p w14:paraId="49F477CA" w14:textId="1E47D91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Печатаемое нами сообщение о кризисе на заводах Форда заслуживает исключительного внимания читателей. Заводы Форда — прославленная цитадель капиталистической рационализации, вершина достижений капиталистического автомобилестроения — катится сейчас в пропасть. Кризис давно уже добрался до фордовского производства — заводы Форда не были исключением из общего правила. Но Форд все же пытался удержаться на поверхности, замазать бреши. Он стал выпускать новые модели, снижал зарплату рабочим, пускал в ход рекламу, все силы, всю изобретательность, чтобы скрыть истинное положение вещей. Ничто не помогло. Логика небывалого кризиса оказалась сильнее. Заводы Форда работают на 6 проц. своей мощности. Число рабочих сокращено с 120 тыс. до 15 тыс. Он уволил своих лучших специалистов, работавших на его заводах в течение десятилетий. Форд опускается на дно. Это вынуждена признать даже капиталистическая пресса... Форд расстается со своими "генералами", с людьми, которые с самого начала руководили его огромными заводами. "Мейо, главный инженер, ушел. Брэдли и Мамиллэн, начальники литейной и модельной, уволены. Все работали с Фордом 30 лет". Им больше нечего делать. Крупнейшие специалисты должны забыть свои знания, производственный опыт, науку. Чтобы не умереть с голоду, они становятся у станка в качестве рабочих (выделено нами). Так разрушает капитализм им же созданный производственный аппарат... (11652)</w:t>
      </w:r>
      <w:r w:rsidR="00BB5252">
        <w:rPr>
          <w:rFonts w:ascii="Times New Roman" w:hAnsi="Times New Roman"/>
          <w:color w:val="000000" w:themeColor="text1"/>
          <w:sz w:val="16"/>
          <w:szCs w:val="16"/>
        </w:rPr>
        <w:t>.</w:t>
      </w:r>
    </w:p>
    <w:p w14:paraId="42A44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34C4C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76CE98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485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октября 1932 АНТ-9 с 2хМ-17 выполнила перелет из СНИИ ГВФ в Киев, приуроченный к пленуму Комитета содействия развитию ГА. В Киеве катали народ и вернулись в Москву 20 октября 1932 (10542,32).</w:t>
      </w:r>
    </w:p>
    <w:p w14:paraId="69BD5B65" w14:textId="41130633"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770F53"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октября 1932 г. АНТ-9 2хМ-17 совершила перелет Москва - Киев, приуроченный к пленуму Ко</w:t>
      </w:r>
      <w:r w:rsidRPr="00142305">
        <w:rPr>
          <w:rFonts w:ascii="Times New Roman" w:hAnsi="Times New Roman"/>
          <w:color w:val="0070C0"/>
          <w:sz w:val="16"/>
          <w:szCs w:val="16"/>
        </w:rPr>
        <w:softHyphen/>
        <w:t>митета содействия гражданской авиации. Она доставила в столицу Украины почту, свежие газеты и делегацию объединения «Трансавиация», в которое тогда входили регулярные авиалинии. Несмотря на непо</w:t>
      </w:r>
      <w:r w:rsidRPr="00142305">
        <w:rPr>
          <w:rFonts w:ascii="Times New Roman" w:hAnsi="Times New Roman"/>
          <w:color w:val="0070C0"/>
          <w:sz w:val="16"/>
          <w:szCs w:val="16"/>
        </w:rPr>
        <w:softHyphen/>
        <w:t>году, «самолет показал себя чрезвычайно маневренным, устойчивым, моторы рабо</w:t>
      </w:r>
      <w:r w:rsidRPr="00142305">
        <w:rPr>
          <w:rFonts w:ascii="Times New Roman" w:hAnsi="Times New Roman"/>
          <w:color w:val="0070C0"/>
          <w:sz w:val="16"/>
          <w:szCs w:val="16"/>
        </w:rPr>
        <w:softHyphen/>
        <w:t>тали отлично». В Киеве на этом АНТ-9 ка</w:t>
      </w:r>
      <w:r w:rsidRPr="00142305">
        <w:rPr>
          <w:rFonts w:ascii="Times New Roman" w:hAnsi="Times New Roman"/>
          <w:color w:val="0070C0"/>
          <w:sz w:val="16"/>
          <w:szCs w:val="16"/>
        </w:rPr>
        <w:softHyphen/>
        <w:t>тали ударников строительства аэропорта. 20 октября машина вернулась в Москву.</w:t>
      </w:r>
    </w:p>
    <w:p w14:paraId="5793B965"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Эксплуатационные испытания голо</w:t>
      </w:r>
      <w:r w:rsidRPr="00142305">
        <w:rPr>
          <w:rFonts w:ascii="Times New Roman" w:hAnsi="Times New Roman"/>
          <w:color w:val="0070C0"/>
          <w:sz w:val="16"/>
          <w:szCs w:val="16"/>
        </w:rPr>
        <w:softHyphen/>
        <w:t>вного образца с М-17 продолжались до 1 ноября 1933 г. Не все остались доволь</w:t>
      </w:r>
      <w:r w:rsidRPr="00142305">
        <w:rPr>
          <w:rFonts w:ascii="Times New Roman" w:hAnsi="Times New Roman"/>
          <w:color w:val="0070C0"/>
          <w:sz w:val="16"/>
          <w:szCs w:val="16"/>
        </w:rPr>
        <w:softHyphen/>
        <w:t>ны результатом переделки. Участвова</w:t>
      </w:r>
      <w:r w:rsidRPr="00142305">
        <w:rPr>
          <w:rFonts w:ascii="Times New Roman" w:hAnsi="Times New Roman"/>
          <w:color w:val="0070C0"/>
          <w:sz w:val="16"/>
          <w:szCs w:val="16"/>
        </w:rPr>
        <w:softHyphen/>
        <w:t>вший в испытаниях известный летчик Э.И. Шварц написал, что эксплуатация самолета будет нерентабельной из-за ма</w:t>
      </w:r>
      <w:r w:rsidRPr="00142305">
        <w:rPr>
          <w:rFonts w:ascii="Times New Roman" w:hAnsi="Times New Roman"/>
          <w:color w:val="0070C0"/>
          <w:sz w:val="16"/>
          <w:szCs w:val="16"/>
        </w:rPr>
        <w:softHyphen/>
        <w:t>лой полезной нагрузки. Кроме того, из-за большой нагрузки на крыло машина не могла лететь на одном двигателе (24949).</w:t>
      </w:r>
    </w:p>
    <w:p w14:paraId="593C3427" w14:textId="77777777" w:rsidR="00BB5252" w:rsidRPr="00142305" w:rsidRDefault="00BB5252" w:rsidP="00BB5252">
      <w:pPr>
        <w:spacing w:after="0" w:line="240" w:lineRule="auto"/>
        <w:jc w:val="both"/>
        <w:rPr>
          <w:rFonts w:ascii="Times New Roman" w:hAnsi="Times New Roman"/>
          <w:color w:val="0070C0"/>
          <w:sz w:val="16"/>
          <w:szCs w:val="16"/>
        </w:rPr>
      </w:pPr>
    </w:p>
    <w:p w14:paraId="11E1B476" w14:textId="2332D771" w:rsidR="007642A9" w:rsidRPr="00E93F40" w:rsidRDefault="007642A9" w:rsidP="00E93F40">
      <w:pPr>
        <w:autoSpaceDE w:val="0"/>
        <w:autoSpaceDN w:val="0"/>
        <w:adjustRightInd w:val="0"/>
        <w:spacing w:after="0" w:line="240" w:lineRule="auto"/>
        <w:jc w:val="both"/>
        <w:rPr>
          <w:rFonts w:ascii="Times New Roman" w:hAnsi="Times New Roman"/>
          <w:i/>
          <w:color w:val="000000" w:themeColor="text1"/>
          <w:sz w:val="16"/>
          <w:szCs w:val="16"/>
        </w:rPr>
      </w:pPr>
      <w:r w:rsidRPr="00E93F40">
        <w:rPr>
          <w:rFonts w:ascii="Times New Roman" w:hAnsi="Times New Roman"/>
          <w:i/>
          <w:color w:val="000000" w:themeColor="text1"/>
          <w:sz w:val="16"/>
          <w:szCs w:val="16"/>
        </w:rPr>
        <w:t>За рубежом:</w:t>
      </w:r>
    </w:p>
    <w:p w14:paraId="721CF4DE" w14:textId="77777777" w:rsidR="007642A9" w:rsidRPr="00E93F40" w:rsidRDefault="007642A9" w:rsidP="00E93F40">
      <w:pPr>
        <w:autoSpaceDE w:val="0"/>
        <w:autoSpaceDN w:val="0"/>
        <w:adjustRightInd w:val="0"/>
        <w:spacing w:after="0" w:line="240" w:lineRule="auto"/>
        <w:jc w:val="both"/>
        <w:rPr>
          <w:rFonts w:ascii="Times New Roman" w:hAnsi="Times New Roman"/>
          <w:i/>
          <w:color w:val="000000" w:themeColor="text1"/>
          <w:sz w:val="16"/>
          <w:szCs w:val="16"/>
        </w:rPr>
      </w:pPr>
    </w:p>
    <w:p w14:paraId="59C17800" w14:textId="77777777" w:rsidR="007642A9" w:rsidRPr="00E93F40" w:rsidRDefault="007642A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октября 1932 французский летчик Жан Мармоз вылетает из Истра, Франция, на Bernard 81 GR, чтобы попытаться установить новый мировой рекорд дальности без дозаправки в замкнутом цикле без дозаправки, но замечает вялость и вибрацию элеронов и большие колебания крыльев. Он сливает топливо и прерывает полет (20803).</w:t>
      </w:r>
    </w:p>
    <w:p w14:paraId="6E25755C" w14:textId="77777777" w:rsidR="007642A9" w:rsidRPr="00E93F40" w:rsidRDefault="007642A9" w:rsidP="00E93F40">
      <w:pPr>
        <w:spacing w:after="0" w:line="240" w:lineRule="auto"/>
        <w:jc w:val="both"/>
        <w:rPr>
          <w:rFonts w:ascii="Times New Roman" w:hAnsi="Times New Roman"/>
          <w:color w:val="000000" w:themeColor="text1"/>
          <w:sz w:val="16"/>
          <w:szCs w:val="16"/>
        </w:rPr>
      </w:pPr>
    </w:p>
    <w:p w14:paraId="206820F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5C54D1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D2B4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 года зам. начальника НИИ ВВС Аузан писал письмо № 300 счII начальнику Штаба ВВС Меженинову</w:t>
      </w:r>
    </w:p>
    <w:p w14:paraId="51914F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об утверждении технических требований на гидросамолеты: Амфибию МБР5 и самолет подводной лодки СПЛ, предусмотренных планом опытного строительства на 1932-34 г.г., утвержденного комиссией обороны от 4 июля 1932 года.</w:t>
      </w:r>
    </w:p>
    <w:p w14:paraId="4E9A0C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этим прошу об утверждении технических требований эталона гидросамолета Р5а-М17 и МБР2-М17 постройки 1933 года (7428, 54).</w:t>
      </w:r>
    </w:p>
    <w:p w14:paraId="06D541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315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 октября по 1 ноября 1932 в Таганроге проходили заводские испытания АНТ-7 Р-6 N 2202, производства 22 завода, переданного на завод 31 для постановки поплавков (1017,198).</w:t>
      </w:r>
    </w:p>
    <w:p w14:paraId="058B47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457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19 октября по 1 ноября 1932 года проводились заводские испытания вооруженного самолета Р6 2М17 N 2202 на поплавках (3899).</w:t>
      </w:r>
    </w:p>
    <w:p w14:paraId="442B26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5F8D60"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 начались заводские испытания Р-6 на поплавках и продолжались до 1 ноября. За это время сломали один винт и заменили один двигатель. 9 декабря машину передали в морской отдел НИИ ВВС в Севастополе для проведения государственных испытаний.</w:t>
      </w:r>
    </w:p>
    <w:p w14:paraId="5ABF6EBF"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Уже на следующий день лётчик Рябен ко совершил на Р-ба первый полёт. Дополнительный вес и аэродинамическое сопротивление поплавков отрицательно сказались на лётных данных. По сравнению с серийной колёсной машиной максимальная скорость упала примерно на 20 км/ч, не превышая 235 км/ч. Уменьшился практический потолок, ухудшилась скороподъёмность. Расход бензина возрос примерно на 10%. Взлётно-посадочные качества тоже оставляли желать лучшего. Кроме того, поплавки сузили сектор обстрела из подфюзеляж- ной башни.</w:t>
      </w:r>
    </w:p>
    <w:p w14:paraId="7D086B2D"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Выявились и другие недостатки. Например, деревянные воздушные винты под воздействием морской воды начинали быстро трескаться. Возникли проблемы с запуском моторов; пневмостартёры на холоде не всегда надёжно работали, а специальных ручек для механической раскрутки с поплавков не предусмотрели.</w:t>
      </w:r>
    </w:p>
    <w:p w14:paraId="47049CBA"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 27 декабря Чёрное море уже замёрзло, и полёты отложили до весны. Вернулись к ним 17 апреля. Общая оценка самолёта была положительной, но радиус действия в 360 км (при перегрузочном весе - 470 км) сочли недостаточным. Предложено было увеличить запас бензина с 1660 л до 2000 л, что довело бы боевой радиус до 700 км.</w:t>
      </w:r>
    </w:p>
    <w:p w14:paraId="16FD5D52"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завершения испытаний первый Р-ба оставили ВВС Черноморского флота, но эксплуатировался он там недолго.</w:t>
      </w:r>
    </w:p>
    <w:p w14:paraId="10F1CCC9"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Морские лётчики хотели превратить Р-ба в универсальный самолёт, который можно было бы использовать не только как многоместный истребитель сопровождения и дальний разведчик, но и как бомбардировщик-торпедоносец. Нормальная бомбовая нагрузка для Р-ба составляла всего 192 кг. Предполагалось довести ее до 1000 кг; возможные комбинации - две бомбы по 500 кг, четыре по 250 кг, восемь по 100 кг плюс четыре пристрелочных или осветительных. Альтернативно под фюзеляжем на держателе ТН-18 самолёт должен был нести торпеду ТАН-12 (ВВС-12) (12264).</w:t>
      </w:r>
    </w:p>
    <w:p w14:paraId="274A0520" w14:textId="77777777" w:rsidR="004A2CF3" w:rsidRPr="00E93F40" w:rsidRDefault="004A2CF3" w:rsidP="00E93F40">
      <w:pPr>
        <w:spacing w:after="0" w:line="240" w:lineRule="auto"/>
        <w:jc w:val="both"/>
        <w:rPr>
          <w:rFonts w:ascii="Times New Roman" w:hAnsi="Times New Roman"/>
          <w:color w:val="000000" w:themeColor="text1"/>
          <w:sz w:val="16"/>
          <w:szCs w:val="16"/>
        </w:rPr>
      </w:pPr>
    </w:p>
    <w:p w14:paraId="5DB36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 состоялся первый полет модифицированного в БОК ЦАГИ БИЧ-7 - БИЧ-7А и летал Н.П.Благов 25 мин. Пилотажные свойства - улучшились. До конца года выполнили 15 полетов продолжительностью 8:05. Люцифер 100 нр не годился, вибрировал и в мотораме появились трещины. Полеты прекратили (2544,53).</w:t>
      </w:r>
    </w:p>
    <w:p w14:paraId="46C67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A5B951" w14:textId="4D935D02"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19 октября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начались официальные испытания БИЧ-7А. Пилотировал самолёт И.И. Благин, вместо пассажира на заднее сидение клали груз весом 80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Полёт продолжался 25 минут. Пилотажные характеристики, по сравнению с БИЧ 7, были заметно лучше. После ряда регулировок самолёт стал устойчив в горизонтальном полете, нормально управлялся, мог делать виражи с креном до 60°. Максимальная скорость и скороподъёмность оказались больше, чем у учебного У-2 с таким же по мощности двигателем. Несколько разочаровала весовая отдача машины в 30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от «бесхвостки» ожидали большего: 40–45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 </w:t>
      </w:r>
      <w:hyperlink r:id="rId251" w:history="1">
        <w:r w:rsidRPr="00E93F40">
          <w:rPr>
            <w:rFonts w:ascii="Times New Roman" w:eastAsia="Times New Roman" w:hAnsi="Times New Roman"/>
            <w:color w:val="000000" w:themeColor="text1"/>
            <w:sz w:val="16"/>
            <w:szCs w:val="16"/>
            <w:lang w:eastAsia="ru-RU"/>
          </w:rPr>
          <w:t>[48]</w:t>
        </w:r>
      </w:hyperlink>
      <w:r w:rsidRPr="00E93F40">
        <w:rPr>
          <w:rFonts w:ascii="Times New Roman" w:eastAsia="Times New Roman" w:hAnsi="Times New Roman"/>
          <w:color w:val="000000" w:themeColor="text1"/>
          <w:sz w:val="16"/>
          <w:szCs w:val="16"/>
          <w:lang w:eastAsia="ru-RU"/>
        </w:rPr>
        <w:t xml:space="preserve"> .</w:t>
      </w:r>
    </w:p>
    <w:p w14:paraId="3BC32ED2" w14:textId="77777777"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Выполнению полного цикла испытаний помешал плохой двигатель. Трёхцилиндровый «Люцифер» на больших оборотах так сильно вибрировал, что в конструкции моторамы появились трещины и полёты прекратили (17489).</w:t>
      </w:r>
    </w:p>
    <w:p w14:paraId="49E7F253" w14:textId="77777777"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Выдержка из календаря испытаний БИЧ-7А:</w:t>
      </w:r>
    </w:p>
    <w:p w14:paraId="6248314B" w14:textId="1444EA49"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19 октября. Полет по кругу на высоте 1000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 Сделано 3 круга над аэродромом. Отмечено сильное давление на ручку, создающее впечатление тяги самолёта на нос. Продолжительность полёта 25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0697ED9B" w14:textId="2E9FCBBF"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23 октября. Тренировочный полёт. Сделано 4 круга над аэродромом. Для уменьшения давления на руль высоты тяги элеронов были подкручены на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6 ниток. Давление уменьшилось, но недостаточно. Продолжительность полёта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40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0D83013E" w14:textId="21F4294B"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26 октября. Полёт в зоне на управляемость. Сделано 8 виражей вправо и 8 влево. Самолёт зарывается носом, 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 имеется большое усилие на рукоятку.</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Отмечена разница в управлении при моторе на полном газу и на малом. Продолжительность полёта 40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75D36842" w14:textId="047C347A"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27 октября. Полёт в зону с перегрузочным прибором. Сделаны виражи и восьмерки… Прежняя тяга на нос. Продолжительность 35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4A53A9C8" w14:textId="0FF9A4EB"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29 октября. Испытание изменённых рулей высоты путём укрепления на них отогнутой металлической пластинки, играющей роль флетнеровского руля. Давление на ручку резко уменьшилось, но за счёт неодинаковости подгиба кромки самолёт стало валить влево. Продолжительность 30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06A5369A" w14:textId="4D80FB57"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29 октября. Изменен угол изгиба полоски и тяга левого элерона подкручена на 5 ниток. Результат достигнут: получена возможность летать с брошенной рукояткой. Управляемость сразу улучшилась и самолёт легко и нормально делает глубокие виражи и восьмёрки. Продолжительность полёта 40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0B2C565D" w14:textId="23EDEF89"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5 ноября. Испытание на устойчивость с увеличенной площадью флетнеров. Получились обратные усилия на ручку, что дало впечатление кабрирования самолёта в нормальном полете. Продолжительность полёта 30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3EF9EBE7" w14:textId="19336A43"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9 ноября. 2 полёта. То же с изменённым углом флетнеров, результат тот же, самолёт кабрирует. Продолжительность каждого полёта 40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14DBC6A6" w14:textId="122C40EF"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ноября. Испытание на устойчивость. Достигнута опять возможность полёта с брошенной ручкой. На скорости 110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 при 1400 оборотах самолёт идёт с брошенной ручкой по горизонтали. Сделано 2 отклонения руля высоты, доведя полёт до скорости 120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 после чего бросалось управление.</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Самолёт возвращался в исходное положение после 2-х колебаний. Задание полностью не выполнено из-за плохой работы мотора. Продолжительность полёта 35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4E609DF4" w14:textId="01D1C871"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11</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ноября. Полёт на высоту. За 37</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 набрана высота 3800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 Работа мотора во время полёта всё время была неровная. Должных оборотов не было.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Продолжительность полёта 1</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ч. 20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6B9876B3" w14:textId="61D8E882"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13 ноября. Полёт на высоту и площадку. Не выполнен из-за отказа мотора. Продолжительность полёта 10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530EA1CB" w14:textId="537DAA44"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13 ноября. То же, результаты те же, мотор сдал на 100 метрах. Продолжительность 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 При осмотре моторного хозяйства обнаружены трещины на ушах моторной рамы.</w:t>
      </w:r>
    </w:p>
    <w:p w14:paraId="7361D0D2" w14:textId="161B0F7E"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21 декабря. Полёт на устойчивость. Самолёт идет с брошенной ручкой по горизонтали на скорости 110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 при 1300 обор. При изменении скорости на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 самолёт самостоятельно возвращается в исходное положение. При изменении скорости на 20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 получилось затягивание самолёта (в пикирование) до скорости 195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 после чего было вмешательство пилота. Максимальную скорость по горизонтали самолёт дает 165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 по прибору при 1580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об/мин. Замерено время полного круга на 360° вправо и влево. Продолжительность полёта 35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мин.</w:t>
      </w:r>
    </w:p>
    <w:p w14:paraId="0A94ED98" w14:textId="2CB748A6"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Всего сделано 15 полётов общей продолжительностью 8 часов 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мин. </w:t>
      </w:r>
      <w:hyperlink r:id="rId252" w:history="1">
        <w:r w:rsidRPr="00E93F40">
          <w:rPr>
            <w:rFonts w:ascii="Times New Roman" w:eastAsia="Times New Roman" w:hAnsi="Times New Roman"/>
            <w:color w:val="000000" w:themeColor="text1"/>
            <w:sz w:val="16"/>
            <w:szCs w:val="16"/>
            <w:lang w:eastAsia="ru-RU"/>
          </w:rPr>
          <w:t>[49]</w:t>
        </w:r>
      </w:hyperlink>
      <w:r w:rsidRPr="00E93F40">
        <w:rPr>
          <w:rFonts w:ascii="Times New Roman" w:eastAsia="Times New Roman" w:hAnsi="Times New Roman"/>
          <w:color w:val="000000" w:themeColor="text1"/>
          <w:sz w:val="16"/>
          <w:szCs w:val="16"/>
          <w:lang w:eastAsia="ru-RU"/>
        </w:rPr>
        <w:t xml:space="preserve"> (17489).</w:t>
      </w:r>
    </w:p>
    <w:p w14:paraId="0E6BA9E0" w14:textId="77777777" w:rsidR="00F171EF" w:rsidRPr="00E93F40" w:rsidRDefault="00F171EF" w:rsidP="00E93F40">
      <w:pPr>
        <w:spacing w:after="0" w:line="240" w:lineRule="auto"/>
        <w:jc w:val="both"/>
        <w:rPr>
          <w:rFonts w:ascii="Times New Roman" w:eastAsia="Times New Roman" w:hAnsi="Times New Roman"/>
          <w:color w:val="000000" w:themeColor="text1"/>
          <w:sz w:val="16"/>
          <w:szCs w:val="16"/>
          <w:lang w:eastAsia="ru-RU"/>
        </w:rPr>
      </w:pPr>
    </w:p>
    <w:p w14:paraId="12B1D984"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 г. состоялся первый вылет на БИЧ-7А. Испытывал самолет Н.П.Благин. Первый полет продолжался 25 минут. Пилотажные характеристики, по сравнению с БИЧ-7, стали заметно лучше. В частности, возросла эффективность руля направления, обдуваемого теперь струей от винта. Замеченное в первом полете значительное продольное усилие на ручке из-за действия горизонтальных рулей, под влиянием аэродинамических сил стремящихся отклониться вниз, удалось устранить благодаря установке на рулях специальной балансировочной пластины — триммера. После этого машина стала устойчиво летать, даже если летчик отпускал ручку.</w:t>
      </w:r>
    </w:p>
    <w:p w14:paraId="4BF259DF"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до конца года на БИЧ-7А выполнили 15 полетов общей продолжительностью 8 часов 5 минут. Как и при испытаниях БИЧ-7, летчик обычно летал один, вместо пассажира на заднее сидение клали груз весом 80 кг. Самолет нормально управлялся, мог делать виражи с креном до 60°. Максимальная достигнутая скорость была 165 км/ч — на 25 км/ч больше, чем у учебного У-2 с таким же по мощности двигателем, потолок — около 4000 м. Несколько разочаровала весовая отдача машины — 30%; от "бесхвостки" ожидали большего: 40 — 45%.</w:t>
      </w:r>
    </w:p>
    <w:p w14:paraId="2B6E8D57" w14:textId="77777777" w:rsidR="00F867F1" w:rsidRPr="00E93F40" w:rsidRDefault="00F867F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Проведению полного цикла испытаний помешал плохой двигатель. Трехцилиндровый "Люцифер" на больших оборотах так сильно вибрировал, что в конструкции моторамы появились трещины, и в декабре 1932 г. полеты прекратили (24253).</w:t>
      </w:r>
    </w:p>
    <w:p w14:paraId="4B310777" w14:textId="77777777" w:rsidR="00F867F1" w:rsidRPr="00E93F40" w:rsidRDefault="00F867F1" w:rsidP="00E93F40">
      <w:pPr>
        <w:spacing w:after="0" w:line="240" w:lineRule="auto"/>
        <w:jc w:val="both"/>
        <w:rPr>
          <w:rFonts w:ascii="Times New Roman" w:hAnsi="Times New Roman"/>
          <w:color w:val="000000" w:themeColor="text1"/>
          <w:sz w:val="16"/>
          <w:szCs w:val="16"/>
        </w:rPr>
      </w:pPr>
    </w:p>
    <w:p w14:paraId="5360BF0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18E5D4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D9CEA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 года по настоянию НТК, поддержанному академиком А. Н. Крыловым, Реввоенсовет принял решение о достройке "Правды" в качестве экспериментальной и о консервации двух однотипных подводных лодок. Для проверки проекта создали комиссию с участием П. Ф. Папковича и Ю. А. Шиманского, в которую были включены также освобожден</w:t>
      </w:r>
      <w:r w:rsidRPr="00E93F40">
        <w:rPr>
          <w:rFonts w:ascii="Times New Roman" w:hAnsi="Times New Roman"/>
          <w:color w:val="000000" w:themeColor="text1"/>
          <w:sz w:val="16"/>
          <w:szCs w:val="16"/>
        </w:rPr>
        <w:softHyphen/>
        <w:t>ные к тому времени Б. М. Малинин, Э. Э. Крюгер и С. А. Базилевский.</w:t>
      </w:r>
    </w:p>
    <w:p w14:paraId="57CD86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переделке проекта и достройке "Правды" заняли око</w:t>
      </w:r>
      <w:r w:rsidRPr="00E93F40">
        <w:rPr>
          <w:rFonts w:ascii="Times New Roman" w:hAnsi="Times New Roman"/>
          <w:color w:val="000000" w:themeColor="text1"/>
          <w:sz w:val="16"/>
          <w:szCs w:val="16"/>
        </w:rPr>
        <w:softHyphen/>
        <w:t>ло трех лет. При этом прочный корпус усилили установкой проме</w:t>
      </w:r>
      <w:r w:rsidRPr="00E93F40">
        <w:rPr>
          <w:rFonts w:ascii="Times New Roman" w:hAnsi="Times New Roman"/>
          <w:color w:val="000000" w:themeColor="text1"/>
          <w:sz w:val="16"/>
          <w:szCs w:val="16"/>
        </w:rPr>
        <w:softHyphen/>
        <w:t>жуточных шпангоутов. Для сохранения водоизмещения из нагруз</w:t>
      </w:r>
      <w:r w:rsidRPr="00E93F40">
        <w:rPr>
          <w:rFonts w:ascii="Times New Roman" w:hAnsi="Times New Roman"/>
          <w:color w:val="000000" w:themeColor="text1"/>
          <w:sz w:val="16"/>
          <w:szCs w:val="16"/>
        </w:rPr>
        <w:softHyphen/>
        <w:t>ки исключили вспомогательный дизель-генератор мощностью в 800 л. с., уменьшили калибр главной артиллерии с 130 до 100 мм. Расчеты прочности корпуса подвергли опытной проверке: отсек подводной лодки в натуральную величину испытывался в запол</w:t>
      </w:r>
      <w:r w:rsidRPr="00E93F40">
        <w:rPr>
          <w:rFonts w:ascii="Times New Roman" w:hAnsi="Times New Roman"/>
          <w:color w:val="000000" w:themeColor="text1"/>
          <w:sz w:val="16"/>
          <w:szCs w:val="16"/>
        </w:rPr>
        <w:softHyphen/>
        <w:t>ненном водой баке до деформации (3898).</w:t>
      </w:r>
    </w:p>
    <w:p w14:paraId="02A3C5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CD4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 выходит постановление Комитета обороны о продолжении строительства только головной как опытной и консервации остальных двух корпусов (10672).</w:t>
      </w:r>
    </w:p>
    <w:p w14:paraId="60772A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9CA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 в Николаеве на заводе им. А.Марти был заложен головной корабль Черного моря по проекту 1 — «Харьков» (заводской номер С-223), а 29 октября второй — «Москва» (заводской номер С-224). В канун 15-й годовщины Октябрьской револю­ции, 5 ноября того же года, на Северной судостроительной верфи в Ленинграде за­ложили головной корабль проекта 1 для Балтийского моря «Ленинград» (заводской номер С-450). Строительство кораблей по проекту 1 было поручено наиболее подготовленным в то время судостроительным предприяти­ям: Северной судостроительной верфи в Ленинграде и заводу им. А.Марти в Нико­лаеве. Впоследствии для постройки лиде­ров проекта 38 к ним прибавился вновь со­зданный завод в Комсомольске-на-Амуре. Для обеспечения поставок по кооперации привлекались другие заводы, в том числе Ижорский завод (сталь, прокат), заводы «Большевик» и им.Калинина (артустановки), Харьковский турбогенераторный (11866).</w:t>
      </w:r>
    </w:p>
    <w:p w14:paraId="52140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74BB18" w14:textId="77777777" w:rsidR="00F01A58"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4A3A763D" w14:textId="77777777" w:rsidR="00F01A58" w:rsidRPr="00E93F40" w:rsidRDefault="00F01A5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D6D8ED"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 чтобы не ссориться с УВВС, чиновники НКИД также быстро доставили отчёт Волын</w:t>
      </w:r>
      <w:r w:rsidRPr="00E93F40">
        <w:rPr>
          <w:rFonts w:ascii="Times New Roman" w:hAnsi="Times New Roman"/>
          <w:color w:val="000000" w:themeColor="text1"/>
          <w:sz w:val="16"/>
          <w:szCs w:val="16"/>
        </w:rPr>
        <w:softHyphen/>
        <w:t>ченко за год работы лётной группы в Синьцзяне, где очень сухо описаны все вышеопи</w:t>
      </w:r>
      <w:r w:rsidRPr="00E93F40">
        <w:rPr>
          <w:rFonts w:ascii="Times New Roman" w:hAnsi="Times New Roman"/>
          <w:color w:val="000000" w:themeColor="text1"/>
          <w:sz w:val="16"/>
          <w:szCs w:val="16"/>
        </w:rPr>
        <w:softHyphen/>
        <w:t xml:space="preserve">санные «авиаприключения», начиная с декабря 1931 г. О работе школы сообщалось, что «из подавших заявления 50 человек китайских граждан </w:t>
      </w:r>
      <w:r w:rsidRPr="00E93F40">
        <w:rPr>
          <w:rFonts w:ascii="Times New Roman" w:hAnsi="Times New Roman"/>
          <w:color w:val="000000" w:themeColor="text1"/>
          <w:sz w:val="16"/>
          <w:szCs w:val="16"/>
        </w:rPr>
        <w:lastRenderedPageBreak/>
        <w:t>в возрасте от 17 до 21 го</w:t>
      </w:r>
      <w:r w:rsidRPr="00E93F40">
        <w:rPr>
          <w:rFonts w:ascii="Times New Roman" w:hAnsi="Times New Roman"/>
          <w:color w:val="000000" w:themeColor="text1"/>
          <w:sz w:val="16"/>
          <w:szCs w:val="16"/>
        </w:rPr>
        <w:softHyphen/>
        <w:t>да, принято 15. В школу техников принято 10 чел., из состава рабочих гаража и пат</w:t>
      </w:r>
      <w:r w:rsidRPr="00E93F40">
        <w:rPr>
          <w:rFonts w:ascii="Times New Roman" w:hAnsi="Times New Roman"/>
          <w:color w:val="000000" w:themeColor="text1"/>
          <w:sz w:val="16"/>
          <w:szCs w:val="16"/>
        </w:rPr>
        <w:softHyphen/>
        <w:t>ронного завода». Излагая выработанную на месте теоретическую программу, лётчик отметил, что «военные дисциплины преподавались китайскими лётчиками».</w:t>
      </w:r>
    </w:p>
    <w:p w14:paraId="304CE2FA"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рапорте особо подчеркивалось, что «матчасть оставшихся самолётов неудовле</w:t>
      </w:r>
      <w:r w:rsidRPr="00E93F40">
        <w:rPr>
          <w:rFonts w:ascii="Times New Roman" w:hAnsi="Times New Roman"/>
          <w:color w:val="000000" w:themeColor="text1"/>
          <w:sz w:val="16"/>
          <w:szCs w:val="16"/>
        </w:rPr>
        <w:softHyphen/>
        <w:t>творительна, все самолёты имеют сильные коробления обтяжки полотна, ввиду дол</w:t>
      </w:r>
      <w:r w:rsidRPr="00E93F40">
        <w:rPr>
          <w:rFonts w:ascii="Times New Roman" w:hAnsi="Times New Roman"/>
          <w:color w:val="000000" w:themeColor="text1"/>
          <w:sz w:val="16"/>
          <w:szCs w:val="16"/>
        </w:rPr>
        <w:softHyphen/>
        <w:t>гого пребывания и под дождем, и при очень высокой температуре. Ленты нарисовали. Количество часов, налётанных за время пребывания в Урумчи, равняется 80-85 час. Итого на лётчика 40 час. Внеаэродромные полёты составили 30 час... Аэ</w:t>
      </w:r>
      <w:r w:rsidRPr="00E93F40">
        <w:rPr>
          <w:rFonts w:ascii="Times New Roman" w:hAnsi="Times New Roman"/>
          <w:color w:val="000000" w:themeColor="text1"/>
          <w:sz w:val="16"/>
          <w:szCs w:val="16"/>
        </w:rPr>
        <w:softHyphen/>
        <w:t>родром после каждого дождя размывается и требует выравнивания...».</w:t>
      </w:r>
    </w:p>
    <w:p w14:paraId="10AC535C"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заканчивался жалобами: «Все мои указания как по хранению самолётов, зап</w:t>
      </w:r>
      <w:r w:rsidRPr="00E93F40">
        <w:rPr>
          <w:rFonts w:ascii="Times New Roman" w:hAnsi="Times New Roman"/>
          <w:color w:val="000000" w:themeColor="text1"/>
          <w:sz w:val="16"/>
          <w:szCs w:val="16"/>
        </w:rPr>
        <w:softHyphen/>
        <w:t>частей, ремонту ангаров, аэродрома, выполняются очень неохотно, а иногда вовсе иг</w:t>
      </w:r>
      <w:r w:rsidRPr="00E93F40">
        <w:rPr>
          <w:rFonts w:ascii="Times New Roman" w:hAnsi="Times New Roman"/>
          <w:color w:val="000000" w:themeColor="text1"/>
          <w:sz w:val="16"/>
          <w:szCs w:val="16"/>
        </w:rPr>
        <w:softHyphen/>
        <w:t>норируются. На некоторые мои доклады председателю правительства о недостатках в работе ответа не получил. На мое заявление о том, что если всё будет продолжаться по-прежнему, и обстановка в работе не изменится, то я снимаю с себя всякую ответ</w:t>
      </w:r>
      <w:r w:rsidRPr="00E93F40">
        <w:rPr>
          <w:rFonts w:ascii="Times New Roman" w:hAnsi="Times New Roman"/>
          <w:color w:val="000000" w:themeColor="text1"/>
          <w:sz w:val="16"/>
          <w:szCs w:val="16"/>
        </w:rPr>
        <w:softHyphen/>
        <w:t>ственность за сохранение матчасти и дальнейшую работу, я получил ответ, что все ука</w:t>
      </w:r>
      <w:r w:rsidRPr="00E93F40">
        <w:rPr>
          <w:rFonts w:ascii="Times New Roman" w:hAnsi="Times New Roman"/>
          <w:color w:val="000000" w:themeColor="text1"/>
          <w:sz w:val="16"/>
          <w:szCs w:val="16"/>
        </w:rPr>
        <w:softHyphen/>
        <w:t>зания, даваемые мною, будут выполнены, однако ничего не изменилось, и даже больше, некоторые мои распоряжения, даваемые китайским лётчикам при работе на самолёте, не выполнялись, от китайских лётчиков получал оскорбительные ответы на указания в ошибке пилотирования, которые, считаю, унижали мое достоинство.</w:t>
      </w:r>
    </w:p>
    <w:p w14:paraId="3E06AF4A"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основании вышеизложенного и приложения к сему, докладываю, что условия ра</w:t>
      </w:r>
      <w:r w:rsidRPr="00E93F40">
        <w:rPr>
          <w:rFonts w:ascii="Times New Roman" w:hAnsi="Times New Roman"/>
          <w:color w:val="000000" w:themeColor="text1"/>
          <w:sz w:val="16"/>
          <w:szCs w:val="16"/>
        </w:rPr>
        <w:softHyphen/>
        <w:t>боты очень тяжёлые и я считаю себя продолжать работу в дальнейшем не в силах и про</w:t>
      </w:r>
      <w:r w:rsidRPr="00E93F40">
        <w:rPr>
          <w:rFonts w:ascii="Times New Roman" w:hAnsi="Times New Roman"/>
          <w:color w:val="000000" w:themeColor="text1"/>
          <w:sz w:val="16"/>
          <w:szCs w:val="16"/>
        </w:rPr>
        <w:softHyphen/>
        <w:t>шу направить меня на медкомиссию, на предмет моей пригодности к лётной работе и предоставления мне возможности лечиться. 19.10.32» (15802).</w:t>
      </w:r>
    </w:p>
    <w:p w14:paraId="217F6C92" w14:textId="600DBD3F" w:rsidR="00F01A58" w:rsidRPr="00E93F40" w:rsidRDefault="00F01A58" w:rsidP="00E93F40">
      <w:pPr>
        <w:spacing w:after="0" w:line="240" w:lineRule="auto"/>
        <w:jc w:val="both"/>
        <w:rPr>
          <w:rFonts w:ascii="Times New Roman" w:hAnsi="Times New Roman"/>
          <w:color w:val="000000" w:themeColor="text1"/>
          <w:sz w:val="16"/>
          <w:szCs w:val="16"/>
        </w:rPr>
      </w:pPr>
    </w:p>
    <w:p w14:paraId="0A220869" w14:textId="4BF0DD46" w:rsidR="0025088D" w:rsidRPr="00E93F40" w:rsidRDefault="0025088D"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391D65BD" w14:textId="77777777" w:rsidR="0025088D" w:rsidRPr="00E93F40" w:rsidRDefault="0025088D" w:rsidP="00E93F40">
      <w:pPr>
        <w:spacing w:after="0" w:line="240" w:lineRule="auto"/>
        <w:jc w:val="both"/>
        <w:rPr>
          <w:rFonts w:ascii="Times New Roman" w:hAnsi="Times New Roman"/>
          <w:i/>
          <w:iCs/>
          <w:color w:val="000000" w:themeColor="text1"/>
          <w:sz w:val="16"/>
          <w:szCs w:val="16"/>
        </w:rPr>
      </w:pPr>
    </w:p>
    <w:p w14:paraId="6B6EB905"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 состоялся первый полет Mitsubishi 3MT5 (20803).</w:t>
      </w:r>
    </w:p>
    <w:p w14:paraId="11BCD999" w14:textId="77777777" w:rsidR="0025088D" w:rsidRPr="00E93F40" w:rsidRDefault="0025088D" w:rsidP="00E93F40">
      <w:pPr>
        <w:spacing w:after="0" w:line="240" w:lineRule="auto"/>
        <w:jc w:val="both"/>
        <w:rPr>
          <w:rFonts w:ascii="Times New Roman" w:hAnsi="Times New Roman"/>
          <w:color w:val="000000" w:themeColor="text1"/>
          <w:sz w:val="16"/>
          <w:szCs w:val="16"/>
        </w:rPr>
      </w:pPr>
    </w:p>
    <w:p w14:paraId="14F481E6" w14:textId="305971D4"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полет Mitsubishi 3MT5. Это двухмоторный биплан который должен был работать с японских авианосцев, но оказались непригодны и одиннадцать построенных самолетов использовались как наземные учебно-тренировочные (22332).</w:t>
      </w:r>
    </w:p>
    <w:p w14:paraId="03281AB1" w14:textId="77777777" w:rsidR="0025088D" w:rsidRPr="00E93F40" w:rsidRDefault="0025088D" w:rsidP="00E93F40">
      <w:pPr>
        <w:spacing w:after="0" w:line="240" w:lineRule="auto"/>
        <w:jc w:val="both"/>
        <w:rPr>
          <w:rFonts w:ascii="Times New Roman" w:hAnsi="Times New Roman"/>
          <w:color w:val="000000" w:themeColor="text1"/>
          <w:sz w:val="16"/>
          <w:szCs w:val="16"/>
        </w:rPr>
      </w:pPr>
    </w:p>
    <w:p w14:paraId="3074E9D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03BBDE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EF187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октября 1932 Нач. моторной группы Дубровским для нач. НТОС Машкевича была подготовлена докладная записка N 0-91/63?? (вход. № ПГУ/15100) о состоянии работ в ЦИАМ по М-33, М-32, М-34, ГМ-34, М-44, М-170, М-52, МФ-1, 30-1, ВПШ, ОНД, Т-17, ОП-1, ОН-2, ОН-2а, ОН-2б, АН-1, АН-2, АН-4, паровой турбине ХАИ на 17 октября 1932:</w:t>
      </w:r>
    </w:p>
    <w:p w14:paraId="72EA52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w:t>
      </w:r>
    </w:p>
    <w:p w14:paraId="22740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Мотор наработал с 1 октября на “Зеппелере” лколо 20 час. 5-часовыми этапами. Производилась проверка установки и снятие характеристик. Продолжают сильно разбылтываться рычаги и тяги клапанов. Предложено ставить новые рычаги. В настоящее время мотор перебирается и к 20 будет установлен на “Ханан-Фруд” на 25-часовык испытания по 5-часовым этапам. Всего с начала испытаний 1 мая 1932 мотор проработал около 115 час.</w:t>
      </w:r>
    </w:p>
    <w:p w14:paraId="575E4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 Последний срок выхода на обкатку установлен был на 1 октября 1932. В данное время мотор не собран. Не хватает около 7-ми наименований деталей, главным образом, цилиндров и поршневых колец. Предполагают выпустить на обкатку к 1 ноября 1932.</w:t>
      </w:r>
    </w:p>
    <w:p w14:paraId="56A339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 Устанавливались и менялись следующие сроки выхода на испытания: 15 сентября, 20 сентября, 20 октября. В данное время не собран. Значительное количество деталей ждет по механическому цеху, главным образом: головки цилиндров требуют около 300 час., поршневые кольца - около 100 час., цилиндр и ряд других деталей. Поковками и литьем мотор обеспечен. На мотор предполагается ставить головку новой конструкции.</w:t>
      </w:r>
    </w:p>
    <w:p w14:paraId="4ED6B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4 Последний намеченный срок выхода установлен на 20 октября. В данное время мотор не собран и не обеспечен деталями.</w:t>
      </w:r>
    </w:p>
    <w:p w14:paraId="1F48F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w:t>
      </w:r>
    </w:p>
    <w:p w14:paraId="4E7755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Сроки выхода на обкатку устанавливались и менялись на 5 октября, 15 октября, 20 октября. Мотор сборкой заканчивается. Отсутствуют литые трубопроводы к нагнетателю.</w:t>
      </w:r>
    </w:p>
    <w:p w14:paraId="530BE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 Последний срок 25 октября выхода на испытания перенесен на 7 нояюря. Мотор сборкой не начат. Некоторые детали ждут по механическому цеху и требуют не менее 300 час.</w:t>
      </w:r>
    </w:p>
    <w:p w14:paraId="0A351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 Последний срок выходжа намечен на 1 ноября. К сборке не приступлено. Недостает значительное количество деталей, идущих по механическому цеху. Из низ наиболее трудоемкие требуют: картер - 120 ч/ч, коленвал - 200 ч/ч, шатуны - 100 ч/ч, шестерни редуктора - 50 ч/ч, поршневые кольца - 180 ч/ч, головки - 80 ч/ч, рубашки - 80 ч/ч. Поковками и литьем мотор обеспечен.</w:t>
      </w:r>
    </w:p>
    <w:p w14:paraId="33129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Нагнетатель № 1 будет собран 20 октября</w:t>
      </w:r>
    </w:p>
    <w:p w14:paraId="6A6E8A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Нагнетатель № 2 будет собран к 15 ноября</w:t>
      </w:r>
    </w:p>
    <w:p w14:paraId="2DC36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ВЗО динамо будет доставлено к 1 нояюря 1932.</w:t>
      </w:r>
    </w:p>
    <w:p w14:paraId="3BD4D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М-44</w:t>
      </w:r>
    </w:p>
    <w:p w14:paraId="6EDA7A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выхода из сборки, намеченный на 1 января 1932, в данное время перенесен на март-апрель. Запущены в производство все детали. Верхняя половина картера отлита удовлетворительно. Пол наиболее трудоемким деталям остается проработать: коленчатый вал - 1500 ч/ч (ввиду недостаточной мощности станка 16 октября отправлен на завод Красный Пролетарий, шатун - 2600 ч/ч, распределительные валики - 1100 ч/ч, цилиндры - 1700 ч/ч.</w:t>
      </w:r>
    </w:p>
    <w:p w14:paraId="4E887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Чертежи нагнетателя будут закончены 6 ноября 1932.</w:t>
      </w:r>
    </w:p>
    <w:p w14:paraId="654DA1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М-170</w:t>
      </w:r>
    </w:p>
    <w:p w14:paraId="6E3D1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 вызода из сборки намечались на 1 октября, 15 октября и 1 ноября. К сборке не приступлено. Мотор встал в ремонт ввиду произошедшей в январе 1932 аварии в картере. Картер начали делать с марта месяца (это одноцилиндровый двигатель)ю К механической обработке приступили с июля. За 7 месяцева изготовления запороли 8 шт. чугунных картеров для одноцилиндровой установки.</w:t>
      </w:r>
    </w:p>
    <w:p w14:paraId="37F96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 Н.П.Сердюков, не ожидая пока будут запороты еще десятки картеров, тонный чугуена уйдут в брак, а сотни рабочих часов - пойдут на ветер - решил пойти на риск и пустить в сборку бракованный картер с трещиной в подшипнике у силовой шпильке.</w:t>
      </w:r>
    </w:p>
    <w:p w14:paraId="76911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таким “ударным” производством, безусловно, ни один, утвержденный Правительством срок, не сможет “соревноваться” и, конечно, трудно даже приблизительно предусмотреть с-ть подобных работ по объектам.</w:t>
      </w:r>
    </w:p>
    <w:p w14:paraId="3805D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М-34-1 проходит 100 час. испытание и на 16 октября наработал 80 час. 100-часовые испытания планируют закончить 20 октября. За время 80 час. мотор имел три вынужденные остановки и разборки по дефектам: течь воды из головки, поломки 4-х линейных клапанных прудин и образование трещин в прорезе для замка картера.</w:t>
      </w:r>
    </w:p>
    <w:p w14:paraId="5395E5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М-34-2 - находися в сборке. Готовится для испытания коленчатого вала на крутильные колебания. Сборка мотора окончится к 20 октября. Основные детали торсиографа поступили в монтаж.</w:t>
      </w:r>
    </w:p>
    <w:p w14:paraId="389D5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М-34-3 - на моторе испытывается карбюратор 100 ДСР, которые проведены уже на 50%</w:t>
      </w:r>
    </w:p>
    <w:p w14:paraId="079F7A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М-34-4 - подготовлен сборкой. Юудет подан на испытательную стенцию к концу месяца.</w:t>
      </w:r>
    </w:p>
    <w:p w14:paraId="0C3B7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М-34-5 - находился в ЦАГИ как макет, В настоящее время находится в переборке. После обкатки подается на формированные испытания.</w:t>
      </w:r>
    </w:p>
    <w:p w14:paraId="6025A0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М-34-6 подготовляется к испытанию нагнетателя</w:t>
      </w:r>
    </w:p>
    <w:p w14:paraId="1E7B4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М-34-7 передан в ЦАГИ как макет вместо 5</w:t>
      </w:r>
    </w:p>
    <w:p w14:paraId="7B945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w:t>
      </w:r>
    </w:p>
    <w:p w14:paraId="05EC8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Н-1 - находится в монтаже и будет готов к 20 октября с усиленной задней крышкой улитки. Нагнетатель будет смонтирован к мотору № 6 для испытания.</w:t>
      </w:r>
    </w:p>
    <w:p w14:paraId="5D5D89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Н-2 - монтаж предлагается закончить 20 октября и передать на испытания в 1-ю лабораторию.</w:t>
      </w:r>
    </w:p>
    <w:p w14:paraId="68787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Н-3 - в сборке и будет собран 10 нояюря и смонтируется на мотор № 2012</w:t>
      </w:r>
    </w:p>
    <w:p w14:paraId="71AC2C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w:t>
      </w:r>
    </w:p>
    <w:p w14:paraId="753B3D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Р-1 - в сборке, намечен к выходу из сборки 3 -5 ноября. Детали редуктора в основном закончены обработкой, за исключением коленчатого вала....</w:t>
      </w:r>
    </w:p>
    <w:p w14:paraId="7CA1B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 идет условно (для опыта).</w:t>
      </w:r>
    </w:p>
    <w:p w14:paraId="632CD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верхнем картере - пористость, а в нижнем - пробоина.</w:t>
      </w:r>
    </w:p>
    <w:p w14:paraId="494B0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отметить, что вопрос с отливкой нижнего картера находится в плохом состоянии. Отлито 48 картеров и все пошли в брак.</w:t>
      </w:r>
    </w:p>
    <w:p w14:paraId="5DE92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Р-2 - в производстве и может выйти не ранее 15 ноября</w:t>
      </w:r>
    </w:p>
    <w:p w14:paraId="553EF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Р-3 и 4 - Намечено выпустить из сборки к 1 декабря</w:t>
      </w:r>
    </w:p>
    <w:p w14:paraId="6B79E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 выходом намечен на 15 декабря</w:t>
      </w:r>
    </w:p>
    <w:p w14:paraId="3FDB9F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w:t>
      </w:r>
    </w:p>
    <w:p w14:paraId="67849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 Намечен выходом из сборки 31 октября 1932 с тем, чтобы к 1 ноября мотор был запущен на испытательной стнции</w:t>
      </w:r>
    </w:p>
    <w:p w14:paraId="643285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2 - Может выйти из сборки 15 декабря</w:t>
      </w:r>
    </w:p>
    <w:p w14:paraId="0147F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3 - Выход намечен на 30 декабря</w:t>
      </w:r>
    </w:p>
    <w:p w14:paraId="408200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Собрана уже бензиновая помпа и масляная помпа будет готова на 20%</w:t>
      </w:r>
    </w:p>
    <w:p w14:paraId="5654C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w:t>
      </w:r>
    </w:p>
    <w:p w14:paraId="0E015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 находится в сборке. Намечен выход на испытательную станцию 1 ноября 1932. К мотору отсутствует винт.</w:t>
      </w:r>
    </w:p>
    <w:p w14:paraId="64DA0D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2 - Намечен выходом на 15 ноября.</w:t>
      </w:r>
    </w:p>
    <w:p w14:paraId="1C45B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МФ-1 и ЭО-1</w:t>
      </w:r>
    </w:p>
    <w:p w14:paraId="39D90C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окончания механической обратотки намечался на 1 января 1933.</w:t>
      </w:r>
    </w:p>
    <w:p w14:paraId="56CA0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Начатые работы по производству данных установок с начала октября приостановлены. Модели готовы.</w:t>
      </w:r>
    </w:p>
    <w:p w14:paraId="20C9B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ВПШ</w:t>
      </w:r>
    </w:p>
    <w:p w14:paraId="75BD7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Лысенко</w:t>
      </w:r>
    </w:p>
    <w:p w14:paraId="7FBCD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Заканчиваются испытания в воздухе. Идет обработка рез-тов испытаний.</w:t>
      </w:r>
    </w:p>
    <w:p w14:paraId="0BCD1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Орлов</w:t>
      </w:r>
    </w:p>
    <w:p w14:paraId="562D06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октября начнется разработка компоновки Глостера</w:t>
      </w:r>
    </w:p>
    <w:p w14:paraId="185B4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ОНД</w:t>
      </w:r>
    </w:p>
    <w:p w14:paraId="003E6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ОН-1 - отлит картер и пущен в мехобработку. Окончание сборки намечается на 7 ноября, после чего будет пробный пуск.</w:t>
      </w:r>
    </w:p>
    <w:p w14:paraId="756BE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ОН-2 - после конструктивных изменений была произведена продувка, причем коэффициент продувки поднялся на 20%.</w:t>
      </w:r>
    </w:p>
    <w:p w14:paraId="482444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данное время ведется регулировки и снятие характеристик</w:t>
      </w:r>
    </w:p>
    <w:p w14:paraId="3258A2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ОН-3а - с согласия начальника ОНД задержан в производстве из-за загрузки завода работами по М-32, М-38 и др.</w:t>
      </w:r>
    </w:p>
    <w:p w14:paraId="0D6A89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ОН-3б - установлен и залит фундамент. С 20 октября начнется холодная обкатка. С 25 октября намечается пустить под газ</w:t>
      </w:r>
    </w:p>
    <w:p w14:paraId="4B2DF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Т-17</w:t>
      </w:r>
    </w:p>
    <w:p w14:paraId="3D9662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 установкой. С 20 октября холодная обкатка и затем - под газ. В конце октября будет производится снятие характеристик.</w:t>
      </w:r>
    </w:p>
    <w:p w14:paraId="4D5E5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АН-1</w:t>
      </w:r>
    </w:p>
    <w:p w14:paraId="3773D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Чертежи предположено закончить к 7 нояюря 1932</w:t>
      </w:r>
    </w:p>
    <w:p w14:paraId="72FD2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АН-2 (Мартенса)</w:t>
      </w:r>
    </w:p>
    <w:p w14:paraId="757A1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Приступлено к изготовлению коленвала, картера и ряда мелких деталей.</w:t>
      </w:r>
    </w:p>
    <w:p w14:paraId="6808D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намечается к 1 января 1933</w:t>
      </w:r>
    </w:p>
    <w:p w14:paraId="370F5D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АН-4 (Цветков ХАИ)</w:t>
      </w:r>
    </w:p>
    <w:p w14:paraId="638CE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Одноцилиндровая установка изготовлена на 80% Харьковским авторемонтным з-дом им. Лозовского. Отливка картера, поршня, головки, все цветное литье, механическая обработка отливок, поковка и обработка коленчатого вала производится ХПЗ.</w:t>
      </w:r>
    </w:p>
    <w:p w14:paraId="2F4D0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Сборка на заводе Лозовского.</w:t>
      </w:r>
    </w:p>
    <w:p w14:paraId="3876A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окончания сборки 5 ноября 1932.</w:t>
      </w:r>
    </w:p>
    <w:p w14:paraId="3C048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 Бошевского насоса и форсунок. По основному двигателю Н-4 на 80% изготовлены рабочие чертежи. Срок окончания - 1 ноября.</w:t>
      </w:r>
    </w:p>
    <w:p w14:paraId="13C4D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ХПЗ и заводом Лозовского имеется согласие на изготовление основных деталей двигателя.</w:t>
      </w:r>
    </w:p>
    <w:p w14:paraId="02AF5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Паровая турбина ХАИ</w:t>
      </w:r>
    </w:p>
    <w:p w14:paraId="1C163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 нр Три агрегата по 5000 нр. Тепловой расчет проверен.</w:t>
      </w:r>
    </w:p>
    <w:p w14:paraId="1A4E6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котлу тепловой расчет окончен и сделаны эскизные чертежи.</w:t>
      </w:r>
    </w:p>
    <w:p w14:paraId="4C036B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ноября 1932 должен быть представлен эскизный проект всей турбины.</w:t>
      </w:r>
    </w:p>
    <w:p w14:paraId="3A3B03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Есть соглашение с Харьковским турбинным заводом на изготовление к 1 января 1934.</w:t>
      </w:r>
    </w:p>
    <w:p w14:paraId="04F71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Ориентировочная сумма - 1000000 руб. (2314,7).</w:t>
      </w:r>
    </w:p>
    <w:p w14:paraId="164B28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564B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октября 1932 года первый экземпляр М-32 запустили на стенде. В процессе доводки усилили рубашки блоков, затем выявилось растрескивание коренных под</w:t>
      </w:r>
      <w:r w:rsidRPr="00E93F40">
        <w:rPr>
          <w:rFonts w:ascii="Times New Roman" w:hAnsi="Times New Roman"/>
          <w:color w:val="000000" w:themeColor="text1"/>
          <w:sz w:val="16"/>
          <w:szCs w:val="16"/>
        </w:rPr>
        <w:softHyphen/>
        <w:t>шипников и головок блоков. Со второго экзем</w:t>
      </w:r>
      <w:r w:rsidRPr="00E93F40">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E93F40">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75A976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Известны модификации:</w:t>
      </w:r>
    </w:p>
    <w:p w14:paraId="01318B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М-32, первоначальный вариант без редук</w:t>
      </w:r>
      <w:r w:rsidRPr="00E93F40">
        <w:rPr>
          <w:rFonts w:ascii="Times New Roman" w:hAnsi="Times New Roman"/>
          <w:color w:val="000000" w:themeColor="text1"/>
          <w:sz w:val="16"/>
          <w:szCs w:val="16"/>
        </w:rPr>
        <w:softHyphen/>
        <w:t>тора и ПЦН, изготовлен в одном экзем</w:t>
      </w:r>
      <w:r w:rsidRPr="00E93F40">
        <w:rPr>
          <w:rFonts w:ascii="Times New Roman" w:hAnsi="Times New Roman"/>
          <w:color w:val="000000" w:themeColor="text1"/>
          <w:sz w:val="16"/>
          <w:szCs w:val="16"/>
        </w:rPr>
        <w:softHyphen/>
        <w:t>пляре. Вес по заданию 400 кг, фактически 430 кг.</w:t>
      </w:r>
    </w:p>
    <w:p w14:paraId="64AEFA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М-32РН, вариант с редуктором и одно-скоростным ПЦН. В дальнейшем предпо</w:t>
      </w:r>
      <w:r w:rsidRPr="00E93F40">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27D3EA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07D587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16-цилиндровый, рядный У-образный, че</w:t>
      </w:r>
      <w:r w:rsidRPr="00E93F40">
        <w:rPr>
          <w:rFonts w:ascii="Times New Roman" w:hAnsi="Times New Roman"/>
          <w:color w:val="000000" w:themeColor="text1"/>
          <w:sz w:val="16"/>
          <w:szCs w:val="16"/>
        </w:rPr>
        <w:softHyphen/>
        <w:t>тырехтактный, водяного охлаждения;</w:t>
      </w:r>
    </w:p>
    <w:p w14:paraId="25CE71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600/750 л.с. (по заданию 650/700 л.с.);</w:t>
      </w:r>
    </w:p>
    <w:p w14:paraId="7BF7CD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120/120 мм;</w:t>
      </w:r>
    </w:p>
    <w:p w14:paraId="6C948C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21,7 л;</w:t>
      </w:r>
    </w:p>
    <w:p w14:paraId="19F16A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6,0;</w:t>
      </w:r>
    </w:p>
    <w:p w14:paraId="5D8BB6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безредукторный.</w:t>
      </w:r>
    </w:p>
    <w:p w14:paraId="53E818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Предлагался для истребителей И-9, И-13, ДИ-6.</w:t>
      </w:r>
    </w:p>
    <w:p w14:paraId="09FAB3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71D34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149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октября 1932 нач. ПТЭС ГУАП подтовил справку</w:t>
      </w:r>
    </w:p>
    <w:p w14:paraId="7BA777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дислокации существующих и строящихся заводов авиапромышленности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2693"/>
        <w:gridCol w:w="3969"/>
      </w:tblGrid>
      <w:tr w:rsidR="00DA227A" w:rsidRPr="00E93F40" w14:paraId="759AFBD6" w14:textId="77777777">
        <w:tc>
          <w:tcPr>
            <w:tcW w:w="1101" w:type="dxa"/>
            <w:tcBorders>
              <w:top w:val="single" w:sz="12" w:space="0" w:color="auto"/>
            </w:tcBorders>
          </w:tcPr>
          <w:p w14:paraId="628D36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завода</w:t>
            </w:r>
          </w:p>
        </w:tc>
        <w:tc>
          <w:tcPr>
            <w:tcW w:w="2693" w:type="dxa"/>
            <w:tcBorders>
              <w:top w:val="single" w:sz="12" w:space="0" w:color="auto"/>
            </w:tcBorders>
          </w:tcPr>
          <w:p w14:paraId="5E8133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Месторасположение</w:t>
            </w:r>
          </w:p>
        </w:tc>
        <w:tc>
          <w:tcPr>
            <w:tcW w:w="3969" w:type="dxa"/>
            <w:tcBorders>
              <w:top w:val="single" w:sz="12" w:space="0" w:color="auto"/>
            </w:tcBorders>
          </w:tcPr>
          <w:p w14:paraId="1D9198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w:t>
            </w:r>
          </w:p>
        </w:tc>
      </w:tr>
      <w:tr w:rsidR="00DA227A" w:rsidRPr="00E93F40" w14:paraId="3277145D" w14:textId="77777777">
        <w:tc>
          <w:tcPr>
            <w:tcW w:w="1101" w:type="dxa"/>
          </w:tcPr>
          <w:p w14:paraId="55BC3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316AB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Авиамоторостроительные заводы</w:t>
            </w:r>
          </w:p>
        </w:tc>
        <w:tc>
          <w:tcPr>
            <w:tcW w:w="3969" w:type="dxa"/>
          </w:tcPr>
          <w:p w14:paraId="66E9CD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CF54CB" w14:textId="77777777">
        <w:tc>
          <w:tcPr>
            <w:tcW w:w="1101" w:type="dxa"/>
          </w:tcPr>
          <w:p w14:paraId="1D550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63406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Существующие</w:t>
            </w:r>
          </w:p>
        </w:tc>
        <w:tc>
          <w:tcPr>
            <w:tcW w:w="3969" w:type="dxa"/>
          </w:tcPr>
          <w:p w14:paraId="37EBB6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A96E8E" w14:textId="77777777">
        <w:tc>
          <w:tcPr>
            <w:tcW w:w="1101" w:type="dxa"/>
          </w:tcPr>
          <w:p w14:paraId="74F4D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6FD79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основные</w:t>
            </w:r>
          </w:p>
        </w:tc>
        <w:tc>
          <w:tcPr>
            <w:tcW w:w="3969" w:type="dxa"/>
          </w:tcPr>
          <w:p w14:paraId="3D5A2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D8F6AF" w14:textId="77777777">
        <w:tc>
          <w:tcPr>
            <w:tcW w:w="1101" w:type="dxa"/>
          </w:tcPr>
          <w:p w14:paraId="100310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2693" w:type="dxa"/>
          </w:tcPr>
          <w:p w14:paraId="60A6AD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75659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tc>
      </w:tr>
      <w:tr w:rsidR="00DA227A" w:rsidRPr="00E93F40" w14:paraId="34CAAE23" w14:textId="77777777">
        <w:tc>
          <w:tcPr>
            <w:tcW w:w="1101" w:type="dxa"/>
          </w:tcPr>
          <w:p w14:paraId="7F7C6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tc>
        <w:tc>
          <w:tcPr>
            <w:tcW w:w="2693" w:type="dxa"/>
          </w:tcPr>
          <w:p w14:paraId="62F84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Рыбинск</w:t>
            </w:r>
          </w:p>
        </w:tc>
        <w:tc>
          <w:tcPr>
            <w:tcW w:w="3969" w:type="dxa"/>
          </w:tcPr>
          <w:p w14:paraId="6AD97E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tc>
      </w:tr>
      <w:tr w:rsidR="00DA227A" w:rsidRPr="00E93F40" w14:paraId="2A6ACB03" w14:textId="77777777">
        <w:tc>
          <w:tcPr>
            <w:tcW w:w="1101" w:type="dxa"/>
          </w:tcPr>
          <w:p w14:paraId="5E873F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2693" w:type="dxa"/>
          </w:tcPr>
          <w:p w14:paraId="059309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Запорожье</w:t>
            </w:r>
          </w:p>
        </w:tc>
        <w:tc>
          <w:tcPr>
            <w:tcW w:w="3969" w:type="dxa"/>
          </w:tcPr>
          <w:p w14:paraId="74E5A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данное время строит М-11 и М-22</w:t>
            </w:r>
          </w:p>
        </w:tc>
      </w:tr>
      <w:tr w:rsidR="00DA227A" w:rsidRPr="00E93F40" w14:paraId="10C9A4D2" w14:textId="77777777">
        <w:tc>
          <w:tcPr>
            <w:tcW w:w="1101" w:type="dxa"/>
          </w:tcPr>
          <w:p w14:paraId="5DFAF3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7F56A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подсобные</w:t>
            </w:r>
          </w:p>
        </w:tc>
        <w:tc>
          <w:tcPr>
            <w:tcW w:w="3969" w:type="dxa"/>
          </w:tcPr>
          <w:p w14:paraId="3A19F4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7C1E2AB" w14:textId="77777777">
        <w:tc>
          <w:tcPr>
            <w:tcW w:w="1101" w:type="dxa"/>
          </w:tcPr>
          <w:p w14:paraId="22C4B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2693" w:type="dxa"/>
          </w:tcPr>
          <w:p w14:paraId="708D78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7E64B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Помпы, нормали и др.</w:t>
            </w:r>
          </w:p>
        </w:tc>
      </w:tr>
      <w:tr w:rsidR="00DA227A" w:rsidRPr="00E93F40" w14:paraId="40B27577" w14:textId="77777777">
        <w:tc>
          <w:tcPr>
            <w:tcW w:w="1101" w:type="dxa"/>
          </w:tcPr>
          <w:p w14:paraId="6421AA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tc>
        <w:tc>
          <w:tcPr>
            <w:tcW w:w="2693" w:type="dxa"/>
          </w:tcPr>
          <w:p w14:paraId="7A88E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7265A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Карбюраторы и др.</w:t>
            </w:r>
          </w:p>
        </w:tc>
      </w:tr>
      <w:tr w:rsidR="00DA227A" w:rsidRPr="00E93F40" w14:paraId="241CEAEC" w14:textId="77777777">
        <w:tc>
          <w:tcPr>
            <w:tcW w:w="1101" w:type="dxa"/>
          </w:tcPr>
          <w:p w14:paraId="195129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9BC7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Строящиеся</w:t>
            </w:r>
          </w:p>
        </w:tc>
        <w:tc>
          <w:tcPr>
            <w:tcW w:w="3969" w:type="dxa"/>
          </w:tcPr>
          <w:p w14:paraId="2F63D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49EF57" w14:textId="77777777">
        <w:tc>
          <w:tcPr>
            <w:tcW w:w="1101" w:type="dxa"/>
          </w:tcPr>
          <w:p w14:paraId="046D2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6980B9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основные</w:t>
            </w:r>
          </w:p>
        </w:tc>
        <w:tc>
          <w:tcPr>
            <w:tcW w:w="3969" w:type="dxa"/>
          </w:tcPr>
          <w:p w14:paraId="0A5A4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974D4D" w14:textId="77777777">
        <w:tc>
          <w:tcPr>
            <w:tcW w:w="1101" w:type="dxa"/>
          </w:tcPr>
          <w:p w14:paraId="406FC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c>
          <w:tcPr>
            <w:tcW w:w="2693" w:type="dxa"/>
          </w:tcPr>
          <w:p w14:paraId="1B7465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Пермь</w:t>
            </w:r>
          </w:p>
        </w:tc>
        <w:tc>
          <w:tcPr>
            <w:tcW w:w="3969" w:type="dxa"/>
          </w:tcPr>
          <w:p w14:paraId="5B67E3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tc>
      </w:tr>
      <w:tr w:rsidR="00DA227A" w:rsidRPr="00E93F40" w14:paraId="225823FF" w14:textId="77777777">
        <w:tc>
          <w:tcPr>
            <w:tcW w:w="1101" w:type="dxa"/>
          </w:tcPr>
          <w:p w14:paraId="367D65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3B75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подсобные</w:t>
            </w:r>
          </w:p>
        </w:tc>
        <w:tc>
          <w:tcPr>
            <w:tcW w:w="3969" w:type="dxa"/>
          </w:tcPr>
          <w:p w14:paraId="2BF99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36093D" w14:textId="77777777">
        <w:tc>
          <w:tcPr>
            <w:tcW w:w="1101" w:type="dxa"/>
          </w:tcPr>
          <w:p w14:paraId="2A69B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tc>
        <w:tc>
          <w:tcPr>
            <w:tcW w:w="2693" w:type="dxa"/>
          </w:tcPr>
          <w:p w14:paraId="34E2F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Реутово</w:t>
            </w:r>
          </w:p>
        </w:tc>
        <w:tc>
          <w:tcPr>
            <w:tcW w:w="3969" w:type="dxa"/>
          </w:tcPr>
          <w:p w14:paraId="03442B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Литье</w:t>
            </w:r>
          </w:p>
        </w:tc>
      </w:tr>
      <w:tr w:rsidR="00DA227A" w:rsidRPr="00E93F40" w14:paraId="069CC7EC" w14:textId="77777777">
        <w:tc>
          <w:tcPr>
            <w:tcW w:w="1101" w:type="dxa"/>
          </w:tcPr>
          <w:p w14:paraId="590D5A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w:t>
            </w:r>
          </w:p>
        </w:tc>
        <w:tc>
          <w:tcPr>
            <w:tcW w:w="2693" w:type="dxa"/>
          </w:tcPr>
          <w:p w14:paraId="70681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Реутово</w:t>
            </w:r>
          </w:p>
        </w:tc>
        <w:tc>
          <w:tcPr>
            <w:tcW w:w="3969" w:type="dxa"/>
          </w:tcPr>
          <w:p w14:paraId="642BF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Втулки и винты</w:t>
            </w:r>
          </w:p>
        </w:tc>
      </w:tr>
      <w:tr w:rsidR="00DA227A" w:rsidRPr="00E93F40" w14:paraId="2D2E4338" w14:textId="77777777">
        <w:tc>
          <w:tcPr>
            <w:tcW w:w="1101" w:type="dxa"/>
          </w:tcPr>
          <w:p w14:paraId="47AE6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w:t>
            </w:r>
          </w:p>
        </w:tc>
        <w:tc>
          <w:tcPr>
            <w:tcW w:w="2693" w:type="dxa"/>
          </w:tcPr>
          <w:p w14:paraId="088CE4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Реутово</w:t>
            </w:r>
          </w:p>
        </w:tc>
        <w:tc>
          <w:tcPr>
            <w:tcW w:w="3969" w:type="dxa"/>
          </w:tcPr>
          <w:p w14:paraId="202100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Двигатели</w:t>
            </w:r>
          </w:p>
        </w:tc>
      </w:tr>
      <w:tr w:rsidR="00DA227A" w:rsidRPr="00E93F40" w14:paraId="33B7E4C3" w14:textId="77777777">
        <w:tc>
          <w:tcPr>
            <w:tcW w:w="1101" w:type="dxa"/>
          </w:tcPr>
          <w:p w14:paraId="62D586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2693" w:type="dxa"/>
          </w:tcPr>
          <w:p w14:paraId="34873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42723D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Приспособления для моторостроительных заводов</w:t>
            </w:r>
          </w:p>
        </w:tc>
      </w:tr>
      <w:tr w:rsidR="00DA227A" w:rsidRPr="00E93F40" w14:paraId="0DB025B9" w14:textId="77777777">
        <w:tc>
          <w:tcPr>
            <w:tcW w:w="1101" w:type="dxa"/>
          </w:tcPr>
          <w:p w14:paraId="30CFE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w:t>
            </w:r>
          </w:p>
        </w:tc>
        <w:tc>
          <w:tcPr>
            <w:tcW w:w="2693" w:type="dxa"/>
          </w:tcPr>
          <w:p w14:paraId="334D0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2E04E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Кольца моторов</w:t>
            </w:r>
          </w:p>
        </w:tc>
      </w:tr>
      <w:tr w:rsidR="00DA227A" w:rsidRPr="00E93F40" w14:paraId="53CFD75F" w14:textId="77777777">
        <w:tc>
          <w:tcPr>
            <w:tcW w:w="1101" w:type="dxa"/>
          </w:tcPr>
          <w:p w14:paraId="39A3D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CAD8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 Самолетостроительные заводы</w:t>
            </w:r>
          </w:p>
        </w:tc>
        <w:tc>
          <w:tcPr>
            <w:tcW w:w="3969" w:type="dxa"/>
          </w:tcPr>
          <w:p w14:paraId="087035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6E9D24" w14:textId="77777777">
        <w:tc>
          <w:tcPr>
            <w:tcW w:w="1101" w:type="dxa"/>
          </w:tcPr>
          <w:p w14:paraId="678641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247EA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Существующие</w:t>
            </w:r>
          </w:p>
        </w:tc>
        <w:tc>
          <w:tcPr>
            <w:tcW w:w="3969" w:type="dxa"/>
          </w:tcPr>
          <w:p w14:paraId="28D00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188690" w14:textId="77777777">
        <w:tc>
          <w:tcPr>
            <w:tcW w:w="1101" w:type="dxa"/>
          </w:tcPr>
          <w:p w14:paraId="618F5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24AE2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основные</w:t>
            </w:r>
          </w:p>
        </w:tc>
        <w:tc>
          <w:tcPr>
            <w:tcW w:w="3969" w:type="dxa"/>
          </w:tcPr>
          <w:p w14:paraId="1DE35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A6C94D" w14:textId="77777777">
        <w:tc>
          <w:tcPr>
            <w:tcW w:w="1101" w:type="dxa"/>
          </w:tcPr>
          <w:p w14:paraId="65EF25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2693" w:type="dxa"/>
          </w:tcPr>
          <w:p w14:paraId="22796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264853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63487B04" w14:textId="77777777">
        <w:tc>
          <w:tcPr>
            <w:tcW w:w="1101" w:type="dxa"/>
          </w:tcPr>
          <w:p w14:paraId="7C857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c>
          <w:tcPr>
            <w:tcW w:w="2693" w:type="dxa"/>
          </w:tcPr>
          <w:p w14:paraId="2709C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Нижний Новгород</w:t>
            </w:r>
          </w:p>
        </w:tc>
        <w:tc>
          <w:tcPr>
            <w:tcW w:w="3969" w:type="dxa"/>
          </w:tcPr>
          <w:p w14:paraId="3E47CB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0C5D2EAA" w14:textId="77777777">
        <w:tc>
          <w:tcPr>
            <w:tcW w:w="1101" w:type="dxa"/>
          </w:tcPr>
          <w:p w14:paraId="6EA43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22</w:t>
            </w:r>
          </w:p>
        </w:tc>
        <w:tc>
          <w:tcPr>
            <w:tcW w:w="2693" w:type="dxa"/>
          </w:tcPr>
          <w:p w14:paraId="2C6AC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 (Фили)</w:t>
            </w:r>
          </w:p>
        </w:tc>
        <w:tc>
          <w:tcPr>
            <w:tcW w:w="3969" w:type="dxa"/>
          </w:tcPr>
          <w:p w14:paraId="17E377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7FBC124B" w14:textId="77777777">
        <w:tc>
          <w:tcPr>
            <w:tcW w:w="1101" w:type="dxa"/>
          </w:tcPr>
          <w:p w14:paraId="6DD3D9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2693" w:type="dxa"/>
          </w:tcPr>
          <w:p w14:paraId="735716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w:t>
            </w:r>
          </w:p>
        </w:tc>
        <w:tc>
          <w:tcPr>
            <w:tcW w:w="3969" w:type="dxa"/>
          </w:tcPr>
          <w:p w14:paraId="6F112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7FF0AA59" w14:textId="77777777">
        <w:tc>
          <w:tcPr>
            <w:tcW w:w="1101" w:type="dxa"/>
          </w:tcPr>
          <w:p w14:paraId="6D16D6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2693" w:type="dxa"/>
          </w:tcPr>
          <w:p w14:paraId="2021BF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Таганрог</w:t>
            </w:r>
          </w:p>
        </w:tc>
        <w:tc>
          <w:tcPr>
            <w:tcW w:w="3969" w:type="dxa"/>
          </w:tcPr>
          <w:p w14:paraId="49AFF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229CD8B9" w14:textId="77777777">
        <w:tc>
          <w:tcPr>
            <w:tcW w:w="1101" w:type="dxa"/>
          </w:tcPr>
          <w:p w14:paraId="4EC407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w:t>
            </w:r>
          </w:p>
        </w:tc>
        <w:tc>
          <w:tcPr>
            <w:tcW w:w="2693" w:type="dxa"/>
          </w:tcPr>
          <w:p w14:paraId="514D6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22C60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67DC07A9" w14:textId="77777777">
        <w:tc>
          <w:tcPr>
            <w:tcW w:w="1101" w:type="dxa"/>
          </w:tcPr>
          <w:p w14:paraId="7632E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1A30F7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подсобные</w:t>
            </w:r>
          </w:p>
        </w:tc>
        <w:tc>
          <w:tcPr>
            <w:tcW w:w="3969" w:type="dxa"/>
          </w:tcPr>
          <w:p w14:paraId="63845C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768190" w14:textId="77777777">
        <w:tc>
          <w:tcPr>
            <w:tcW w:w="1101" w:type="dxa"/>
          </w:tcPr>
          <w:p w14:paraId="7F1ED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c>
          <w:tcPr>
            <w:tcW w:w="2693" w:type="dxa"/>
          </w:tcPr>
          <w:p w14:paraId="5CD2F6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2440AE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Винты и лыжи</w:t>
            </w:r>
          </w:p>
        </w:tc>
      </w:tr>
      <w:tr w:rsidR="00DA227A" w:rsidRPr="00E93F40" w14:paraId="786102EB" w14:textId="77777777">
        <w:tc>
          <w:tcPr>
            <w:tcW w:w="1101" w:type="dxa"/>
          </w:tcPr>
          <w:p w14:paraId="3D555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w:t>
            </w:r>
          </w:p>
        </w:tc>
        <w:tc>
          <w:tcPr>
            <w:tcW w:w="2693" w:type="dxa"/>
          </w:tcPr>
          <w:p w14:paraId="0F448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52BEA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Колеса и радиаторы</w:t>
            </w:r>
          </w:p>
        </w:tc>
      </w:tr>
      <w:tr w:rsidR="00DA227A" w:rsidRPr="00E93F40" w14:paraId="4BADDF6D" w14:textId="77777777">
        <w:tc>
          <w:tcPr>
            <w:tcW w:w="1101" w:type="dxa"/>
          </w:tcPr>
          <w:p w14:paraId="3CB9D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4178C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Строящиеся</w:t>
            </w:r>
          </w:p>
        </w:tc>
        <w:tc>
          <w:tcPr>
            <w:tcW w:w="3969" w:type="dxa"/>
          </w:tcPr>
          <w:p w14:paraId="51B299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086E14" w14:textId="77777777">
        <w:tc>
          <w:tcPr>
            <w:tcW w:w="1101" w:type="dxa"/>
          </w:tcPr>
          <w:p w14:paraId="68613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7431E0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основные</w:t>
            </w:r>
          </w:p>
        </w:tc>
        <w:tc>
          <w:tcPr>
            <w:tcW w:w="3969" w:type="dxa"/>
          </w:tcPr>
          <w:p w14:paraId="3878A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75FD136" w14:textId="77777777">
        <w:tc>
          <w:tcPr>
            <w:tcW w:w="1101" w:type="dxa"/>
          </w:tcPr>
          <w:p w14:paraId="4673A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2693" w:type="dxa"/>
          </w:tcPr>
          <w:p w14:paraId="5CE40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Воронеж</w:t>
            </w:r>
          </w:p>
        </w:tc>
        <w:tc>
          <w:tcPr>
            <w:tcW w:w="3969" w:type="dxa"/>
          </w:tcPr>
          <w:p w14:paraId="31FF3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29D30660" w14:textId="77777777">
        <w:tc>
          <w:tcPr>
            <w:tcW w:w="1101" w:type="dxa"/>
          </w:tcPr>
          <w:p w14:paraId="21E9D0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c>
          <w:tcPr>
            <w:tcW w:w="2693" w:type="dxa"/>
          </w:tcPr>
          <w:p w14:paraId="21F43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Воронеж</w:t>
            </w:r>
          </w:p>
        </w:tc>
        <w:tc>
          <w:tcPr>
            <w:tcW w:w="3969" w:type="dxa"/>
          </w:tcPr>
          <w:p w14:paraId="31191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06F1913C" w14:textId="77777777">
        <w:tc>
          <w:tcPr>
            <w:tcW w:w="1101" w:type="dxa"/>
          </w:tcPr>
          <w:p w14:paraId="1FA85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w:t>
            </w:r>
          </w:p>
        </w:tc>
        <w:tc>
          <w:tcPr>
            <w:tcW w:w="2693" w:type="dxa"/>
          </w:tcPr>
          <w:p w14:paraId="18DC7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Казань</w:t>
            </w:r>
          </w:p>
        </w:tc>
        <w:tc>
          <w:tcPr>
            <w:tcW w:w="3969" w:type="dxa"/>
          </w:tcPr>
          <w:p w14:paraId="5D32F5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53223570" w14:textId="77777777">
        <w:tc>
          <w:tcPr>
            <w:tcW w:w="1101" w:type="dxa"/>
          </w:tcPr>
          <w:p w14:paraId="7C5D5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c>
          <w:tcPr>
            <w:tcW w:w="2693" w:type="dxa"/>
          </w:tcPr>
          <w:p w14:paraId="2355A7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Иркутск</w:t>
            </w:r>
          </w:p>
        </w:tc>
        <w:tc>
          <w:tcPr>
            <w:tcW w:w="3969" w:type="dxa"/>
          </w:tcPr>
          <w:p w14:paraId="281545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7B35D447" w14:textId="77777777">
        <w:tc>
          <w:tcPr>
            <w:tcW w:w="1101" w:type="dxa"/>
          </w:tcPr>
          <w:p w14:paraId="6268DD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126</w:t>
            </w:r>
          </w:p>
        </w:tc>
        <w:tc>
          <w:tcPr>
            <w:tcW w:w="2693" w:type="dxa"/>
          </w:tcPr>
          <w:p w14:paraId="6BFC0E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Район Хабаровска</w:t>
            </w:r>
          </w:p>
        </w:tc>
        <w:tc>
          <w:tcPr>
            <w:tcW w:w="3969" w:type="dxa"/>
          </w:tcPr>
          <w:p w14:paraId="3FC81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12BD9A50" w14:textId="77777777">
        <w:tc>
          <w:tcPr>
            <w:tcW w:w="1101" w:type="dxa"/>
          </w:tcPr>
          <w:p w14:paraId="5B1D9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2693" w:type="dxa"/>
          </w:tcPr>
          <w:p w14:paraId="19083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Переяславль (б. Ейск)</w:t>
            </w:r>
          </w:p>
        </w:tc>
        <w:tc>
          <w:tcPr>
            <w:tcW w:w="3969" w:type="dxa"/>
          </w:tcPr>
          <w:p w14:paraId="6A8F33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r>
      <w:tr w:rsidR="00DA227A" w:rsidRPr="00E93F40" w14:paraId="10D58203" w14:textId="77777777">
        <w:tc>
          <w:tcPr>
            <w:tcW w:w="1101" w:type="dxa"/>
          </w:tcPr>
          <w:p w14:paraId="0ED5A0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34703D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 Опытные</w:t>
            </w:r>
          </w:p>
        </w:tc>
        <w:tc>
          <w:tcPr>
            <w:tcW w:w="3969" w:type="dxa"/>
          </w:tcPr>
          <w:p w14:paraId="51003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B9281C" w14:textId="77777777">
        <w:tc>
          <w:tcPr>
            <w:tcW w:w="1101" w:type="dxa"/>
          </w:tcPr>
          <w:p w14:paraId="69E972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3BEAA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Существующие</w:t>
            </w:r>
          </w:p>
        </w:tc>
        <w:tc>
          <w:tcPr>
            <w:tcW w:w="3969" w:type="dxa"/>
          </w:tcPr>
          <w:p w14:paraId="34EEC2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625675" w14:textId="77777777">
        <w:tc>
          <w:tcPr>
            <w:tcW w:w="1101" w:type="dxa"/>
          </w:tcPr>
          <w:p w14:paraId="48449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w:t>
            </w:r>
          </w:p>
        </w:tc>
        <w:tc>
          <w:tcPr>
            <w:tcW w:w="2693" w:type="dxa"/>
          </w:tcPr>
          <w:p w14:paraId="0AC0DF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24442C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Самолетостроение</w:t>
            </w:r>
          </w:p>
        </w:tc>
      </w:tr>
      <w:tr w:rsidR="00DA227A" w:rsidRPr="00E93F40" w14:paraId="55358E0A" w14:textId="77777777">
        <w:tc>
          <w:tcPr>
            <w:tcW w:w="1101" w:type="dxa"/>
          </w:tcPr>
          <w:p w14:paraId="659BC4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2693" w:type="dxa"/>
          </w:tcPr>
          <w:p w14:paraId="23BE4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5541B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Моторостроение</w:t>
            </w:r>
          </w:p>
        </w:tc>
      </w:tr>
      <w:tr w:rsidR="00DA227A" w:rsidRPr="00E93F40" w14:paraId="5664C806" w14:textId="77777777">
        <w:tc>
          <w:tcPr>
            <w:tcW w:w="1101" w:type="dxa"/>
          </w:tcPr>
          <w:p w14:paraId="0296E9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ВИАМ</w:t>
            </w:r>
          </w:p>
        </w:tc>
        <w:tc>
          <w:tcPr>
            <w:tcW w:w="2693" w:type="dxa"/>
          </w:tcPr>
          <w:p w14:paraId="728AB0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4DAF3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материалов</w:t>
            </w:r>
          </w:p>
        </w:tc>
      </w:tr>
      <w:tr w:rsidR="00DA227A" w:rsidRPr="00E93F40" w14:paraId="1167CA02" w14:textId="77777777">
        <w:tc>
          <w:tcPr>
            <w:tcW w:w="1101" w:type="dxa"/>
          </w:tcPr>
          <w:p w14:paraId="735A6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ХАЗОС</w:t>
            </w:r>
          </w:p>
        </w:tc>
        <w:tc>
          <w:tcPr>
            <w:tcW w:w="2693" w:type="dxa"/>
          </w:tcPr>
          <w:p w14:paraId="6D5B44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Харьков</w:t>
            </w:r>
          </w:p>
        </w:tc>
        <w:tc>
          <w:tcPr>
            <w:tcW w:w="3969" w:type="dxa"/>
          </w:tcPr>
          <w:p w14:paraId="6168E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Самолетостроение</w:t>
            </w:r>
          </w:p>
        </w:tc>
      </w:tr>
      <w:tr w:rsidR="00DA227A" w:rsidRPr="00E93F40" w14:paraId="52A796C8" w14:textId="77777777">
        <w:tc>
          <w:tcPr>
            <w:tcW w:w="1101" w:type="dxa"/>
          </w:tcPr>
          <w:p w14:paraId="55BD56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BA9EA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1У Подсобные</w:t>
            </w:r>
          </w:p>
        </w:tc>
        <w:tc>
          <w:tcPr>
            <w:tcW w:w="3969" w:type="dxa"/>
          </w:tcPr>
          <w:p w14:paraId="20A41A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2A51BF" w14:textId="77777777">
        <w:tc>
          <w:tcPr>
            <w:tcW w:w="1101" w:type="dxa"/>
          </w:tcPr>
          <w:p w14:paraId="02505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E6F06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Существующие</w:t>
            </w:r>
          </w:p>
        </w:tc>
        <w:tc>
          <w:tcPr>
            <w:tcW w:w="3969" w:type="dxa"/>
          </w:tcPr>
          <w:p w14:paraId="64660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28C857" w14:textId="77777777">
        <w:tc>
          <w:tcPr>
            <w:tcW w:w="1101" w:type="dxa"/>
          </w:tcPr>
          <w:p w14:paraId="278EF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w:t>
            </w:r>
          </w:p>
        </w:tc>
        <w:tc>
          <w:tcPr>
            <w:tcW w:w="2693" w:type="dxa"/>
          </w:tcPr>
          <w:p w14:paraId="31C6BD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306E86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Металлургический</w:t>
            </w:r>
          </w:p>
        </w:tc>
      </w:tr>
      <w:tr w:rsidR="00DA227A" w:rsidRPr="00E93F40" w14:paraId="67A59502" w14:textId="77777777">
        <w:tc>
          <w:tcPr>
            <w:tcW w:w="1101" w:type="dxa"/>
          </w:tcPr>
          <w:p w14:paraId="069A6D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tc>
        <w:tc>
          <w:tcPr>
            <w:tcW w:w="2693" w:type="dxa"/>
          </w:tcPr>
          <w:p w14:paraId="6D77D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29CE3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Аэролаки и краски</w:t>
            </w:r>
          </w:p>
        </w:tc>
      </w:tr>
      <w:tr w:rsidR="00DA227A" w:rsidRPr="00E93F40" w14:paraId="11267F6D" w14:textId="77777777">
        <w:tc>
          <w:tcPr>
            <w:tcW w:w="1101" w:type="dxa"/>
          </w:tcPr>
          <w:p w14:paraId="56526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2693" w:type="dxa"/>
          </w:tcPr>
          <w:p w14:paraId="333636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41CDD9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Распиловка леса</w:t>
            </w:r>
          </w:p>
        </w:tc>
      </w:tr>
      <w:tr w:rsidR="00DA227A" w:rsidRPr="00E93F40" w14:paraId="50128F9F" w14:textId="77777777">
        <w:tc>
          <w:tcPr>
            <w:tcW w:w="1101" w:type="dxa"/>
          </w:tcPr>
          <w:p w14:paraId="0CF33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c>
          <w:tcPr>
            <w:tcW w:w="2693" w:type="dxa"/>
          </w:tcPr>
          <w:p w14:paraId="6A9228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Бердянск</w:t>
            </w:r>
          </w:p>
        </w:tc>
        <w:tc>
          <w:tcPr>
            <w:tcW w:w="3969" w:type="dxa"/>
          </w:tcPr>
          <w:p w14:paraId="041C6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Станки</w:t>
            </w:r>
          </w:p>
        </w:tc>
      </w:tr>
      <w:tr w:rsidR="00DA227A" w:rsidRPr="00E93F40" w14:paraId="706344C3" w14:textId="77777777">
        <w:tc>
          <w:tcPr>
            <w:tcW w:w="1101" w:type="dxa"/>
          </w:tcPr>
          <w:p w14:paraId="731CA2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2693" w:type="dxa"/>
          </w:tcPr>
          <w:p w14:paraId="2CA32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Москва</w:t>
            </w:r>
          </w:p>
        </w:tc>
        <w:tc>
          <w:tcPr>
            <w:tcW w:w="3969" w:type="dxa"/>
          </w:tcPr>
          <w:p w14:paraId="094D2A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Инструмент</w:t>
            </w:r>
          </w:p>
        </w:tc>
      </w:tr>
      <w:tr w:rsidR="00DA227A" w:rsidRPr="00E93F40" w14:paraId="656B7D9A" w14:textId="77777777">
        <w:tc>
          <w:tcPr>
            <w:tcW w:w="1101" w:type="dxa"/>
          </w:tcPr>
          <w:p w14:paraId="2B51E0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7F282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Ремонтные</w:t>
            </w:r>
          </w:p>
        </w:tc>
        <w:tc>
          <w:tcPr>
            <w:tcW w:w="3969" w:type="dxa"/>
          </w:tcPr>
          <w:p w14:paraId="4244D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9AABCF" w14:textId="77777777">
        <w:tc>
          <w:tcPr>
            <w:tcW w:w="1101" w:type="dxa"/>
          </w:tcPr>
          <w:p w14:paraId="67BE5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C6D4A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Существующие</w:t>
            </w:r>
          </w:p>
        </w:tc>
        <w:tc>
          <w:tcPr>
            <w:tcW w:w="3969" w:type="dxa"/>
          </w:tcPr>
          <w:p w14:paraId="57D6E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BB4383" w14:textId="77777777">
        <w:tc>
          <w:tcPr>
            <w:tcW w:w="1101" w:type="dxa"/>
          </w:tcPr>
          <w:p w14:paraId="4ABE1C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c>
          <w:tcPr>
            <w:tcW w:w="2693" w:type="dxa"/>
          </w:tcPr>
          <w:p w14:paraId="7A4E0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Смоленск</w:t>
            </w:r>
          </w:p>
        </w:tc>
        <w:tc>
          <w:tcPr>
            <w:tcW w:w="3969" w:type="dxa"/>
          </w:tcPr>
          <w:p w14:paraId="1DDD16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и моторы</w:t>
            </w:r>
          </w:p>
        </w:tc>
      </w:tr>
      <w:tr w:rsidR="00DA227A" w:rsidRPr="00E93F40" w14:paraId="6598523C" w14:textId="77777777">
        <w:tc>
          <w:tcPr>
            <w:tcW w:w="1101" w:type="dxa"/>
          </w:tcPr>
          <w:p w14:paraId="3C19C4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w:t>
            </w:r>
          </w:p>
        </w:tc>
        <w:tc>
          <w:tcPr>
            <w:tcW w:w="2693" w:type="dxa"/>
          </w:tcPr>
          <w:p w14:paraId="4396C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Киев</w:t>
            </w:r>
          </w:p>
        </w:tc>
        <w:tc>
          <w:tcPr>
            <w:tcW w:w="3969" w:type="dxa"/>
          </w:tcPr>
          <w:p w14:paraId="0BA575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и моторы</w:t>
            </w:r>
          </w:p>
        </w:tc>
      </w:tr>
      <w:tr w:rsidR="00DA227A" w:rsidRPr="00E93F40" w14:paraId="56AA6BA7" w14:textId="77777777">
        <w:tc>
          <w:tcPr>
            <w:tcW w:w="1101" w:type="dxa"/>
          </w:tcPr>
          <w:p w14:paraId="1F97B9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c>
          <w:tcPr>
            <w:tcW w:w="2693" w:type="dxa"/>
          </w:tcPr>
          <w:p w14:paraId="1AAA3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Севастополь</w:t>
            </w:r>
          </w:p>
        </w:tc>
        <w:tc>
          <w:tcPr>
            <w:tcW w:w="3969" w:type="dxa"/>
          </w:tcPr>
          <w:p w14:paraId="0E791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Гидросамолеты и моторы</w:t>
            </w:r>
          </w:p>
        </w:tc>
      </w:tr>
      <w:tr w:rsidR="009D12BD" w:rsidRPr="00E93F40" w14:paraId="050B838F" w14:textId="77777777">
        <w:tc>
          <w:tcPr>
            <w:tcW w:w="1101" w:type="dxa"/>
            <w:tcBorders>
              <w:bottom w:val="single" w:sz="12" w:space="0" w:color="auto"/>
            </w:tcBorders>
          </w:tcPr>
          <w:p w14:paraId="62F0DB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w:t>
            </w:r>
          </w:p>
        </w:tc>
        <w:tc>
          <w:tcPr>
            <w:tcW w:w="2693" w:type="dxa"/>
            <w:tcBorders>
              <w:bottom w:val="single" w:sz="12" w:space="0" w:color="auto"/>
            </w:tcBorders>
          </w:tcPr>
          <w:p w14:paraId="4D0EA0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w:t>
            </w:r>
          </w:p>
        </w:tc>
        <w:tc>
          <w:tcPr>
            <w:tcW w:w="3969" w:type="dxa"/>
            <w:tcBorders>
              <w:bottom w:val="single" w:sz="12" w:space="0" w:color="auto"/>
            </w:tcBorders>
          </w:tcPr>
          <w:p w14:paraId="452DB1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и моторы (2329)</w:t>
            </w:r>
          </w:p>
        </w:tc>
      </w:tr>
    </w:tbl>
    <w:p w14:paraId="25C2B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68582A" w14:textId="1C4769EF"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20-25 ок</w:t>
      </w:r>
      <w:r w:rsidRPr="00142305">
        <w:rPr>
          <w:rFonts w:ascii="Times New Roman" w:hAnsi="Times New Roman"/>
          <w:color w:val="0070C0"/>
          <w:sz w:val="16"/>
          <w:szCs w:val="16"/>
        </w:rPr>
        <w:softHyphen/>
        <w:t>тября 1932 г.</w:t>
      </w:r>
      <w:r w:rsidR="00DD74E1">
        <w:rPr>
          <w:rFonts w:ascii="Times New Roman" w:hAnsi="Times New Roman"/>
          <w:color w:val="0070C0"/>
          <w:sz w:val="16"/>
          <w:szCs w:val="16"/>
        </w:rPr>
        <w:t xml:space="preserve"> </w:t>
      </w:r>
      <w:r w:rsidRPr="00142305">
        <w:rPr>
          <w:rFonts w:ascii="Times New Roman" w:hAnsi="Times New Roman"/>
          <w:color w:val="0070C0"/>
          <w:sz w:val="16"/>
          <w:szCs w:val="16"/>
        </w:rPr>
        <w:t>Председатель Осоавиахима Р. П. Эйдеман говорил на совещании в Реввоенсовете о том, что в 1933 г. Центральный Совет (ЦС) Осоавиахима, помимо нескольких десятков планерных и авиационных школ, предполагает приступить к широкому развитию сети аэродромов, а также раз</w:t>
      </w:r>
      <w:r w:rsidRPr="00142305">
        <w:rPr>
          <w:rFonts w:ascii="Times New Roman" w:hAnsi="Times New Roman"/>
          <w:color w:val="0070C0"/>
          <w:sz w:val="16"/>
          <w:szCs w:val="16"/>
        </w:rPr>
        <w:softHyphen/>
        <w:t>вернуть в ближайшее время в стране подготовку тысяч летчиков без отрыва от производства. В конце 1935 г., по словам Эйдемана, планеризмом должно было быть охвачено не менее 200 тысяч человек.</w:t>
      </w:r>
    </w:p>
    <w:p w14:paraId="460B1262"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Е. Ворошилов после этого выступления председателя Осоавиахима ска</w:t>
      </w:r>
      <w:r w:rsidRPr="00142305">
        <w:rPr>
          <w:rFonts w:ascii="Times New Roman" w:hAnsi="Times New Roman"/>
          <w:color w:val="0070C0"/>
          <w:sz w:val="16"/>
          <w:szCs w:val="16"/>
        </w:rPr>
        <w:softHyphen/>
        <w:t>зал: «Когда мы говорим о кадрах, мы очень редко, обычно в высокоторжествен</w:t>
      </w:r>
      <w:r w:rsidRPr="00142305">
        <w:rPr>
          <w:rFonts w:ascii="Times New Roman" w:hAnsi="Times New Roman"/>
          <w:color w:val="0070C0"/>
          <w:sz w:val="16"/>
          <w:szCs w:val="16"/>
        </w:rPr>
        <w:softHyphen/>
        <w:t>ные дни вспоминаем, что у нас имеется могущественная организация - Осоавиахим, которая должна быть чрезвычайно полезна в нашей работе. Такой ор</w:t>
      </w:r>
      <w:r w:rsidRPr="00142305">
        <w:rPr>
          <w:rFonts w:ascii="Times New Roman" w:hAnsi="Times New Roman"/>
          <w:color w:val="0070C0"/>
          <w:sz w:val="16"/>
          <w:szCs w:val="16"/>
        </w:rPr>
        <w:softHyphen/>
        <w:t>ганизации, как Осоавиахим, включающей в себя десяток с лишним миллионов рабочих и крестьян, мир не знает. ЦК партии обратил внимание на эту организа</w:t>
      </w:r>
      <w:r w:rsidRPr="00142305">
        <w:rPr>
          <w:rFonts w:ascii="Times New Roman" w:hAnsi="Times New Roman"/>
          <w:color w:val="0070C0"/>
          <w:sz w:val="16"/>
          <w:szCs w:val="16"/>
        </w:rPr>
        <w:softHyphen/>
        <w:t>цию, приказал и нам помочь ей, чтобы наилучшим образом использовать это доб</w:t>
      </w:r>
      <w:r w:rsidRPr="00142305">
        <w:rPr>
          <w:rFonts w:ascii="Times New Roman" w:hAnsi="Times New Roman"/>
          <w:color w:val="0070C0"/>
          <w:sz w:val="16"/>
          <w:szCs w:val="16"/>
        </w:rPr>
        <w:softHyphen/>
        <w:t>ровольное рабоче-крестьянское общество в интересах обороны. (...)</w:t>
      </w:r>
    </w:p>
    <w:p w14:paraId="31CD0C40"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Наша армия количественно сейчас довольно значительна, но она мала по сравнению с той армией, которая будет воевать, чтобы бойцы и, особенно коман</w:t>
      </w:r>
      <w:r w:rsidRPr="00142305">
        <w:rPr>
          <w:rFonts w:ascii="Times New Roman" w:hAnsi="Times New Roman"/>
          <w:color w:val="0070C0"/>
          <w:sz w:val="16"/>
          <w:szCs w:val="16"/>
        </w:rPr>
        <w:softHyphen/>
        <w:t>диры, которые во время войны вольются в армию уже теперь, будучи в запасе, в своей военной подготовке возможно меньше отставали от наших кадров. А это от</w:t>
      </w:r>
      <w:r w:rsidRPr="00142305">
        <w:rPr>
          <w:rFonts w:ascii="Times New Roman" w:hAnsi="Times New Roman"/>
          <w:color w:val="0070C0"/>
          <w:sz w:val="16"/>
          <w:szCs w:val="16"/>
        </w:rPr>
        <w:softHyphen/>
        <w:t>ставание в настоящее время прямо угрожающее. Значительная часть запаса начсо</w:t>
      </w:r>
      <w:r w:rsidRPr="00142305">
        <w:rPr>
          <w:rFonts w:ascii="Times New Roman" w:hAnsi="Times New Roman"/>
          <w:color w:val="0070C0"/>
          <w:sz w:val="16"/>
          <w:szCs w:val="16"/>
        </w:rPr>
        <w:softHyphen/>
        <w:t>става, вневойсковики, должны быть на попечении тт. Эйдемана и Белицкого. Кроме того, у нас в армии очень усложнилась работа и перед нами слишком много задач. Включение Осоавиахима в конкретную работу над нашими кадрами свяжет его с Красной Армией, наполнит его общественную работу осязательно полезным содержанием. Реввоенсовет Союза помогает т. Эйдеману, но этого недостаточно. Необходимо, чтобы на местах со стороны командующих округами, командиров корпусов, дивизий и полков, организациям Осоавиахима была оказана самая широ</w:t>
      </w:r>
      <w:r w:rsidRPr="00142305">
        <w:rPr>
          <w:rFonts w:ascii="Times New Roman" w:hAnsi="Times New Roman"/>
          <w:color w:val="0070C0"/>
          <w:sz w:val="16"/>
          <w:szCs w:val="16"/>
        </w:rPr>
        <w:softHyphen/>
        <w:t xml:space="preserve">кая помощь. Этим самым громадную работу по подготовке кадров командного и </w:t>
      </w:r>
      <w:r w:rsidRPr="00142305">
        <w:rPr>
          <w:rFonts w:ascii="Times New Roman" w:eastAsia="Arial" w:hAnsi="Times New Roman"/>
          <w:color w:val="0070C0"/>
          <w:sz w:val="16"/>
          <w:szCs w:val="16"/>
        </w:rPr>
        <w:t xml:space="preserve">142 </w:t>
      </w:r>
      <w:r w:rsidRPr="00142305">
        <w:rPr>
          <w:rFonts w:ascii="Times New Roman" w:hAnsi="Times New Roman"/>
          <w:color w:val="0070C0"/>
          <w:sz w:val="16"/>
          <w:szCs w:val="16"/>
        </w:rPr>
        <w:t>рядового состава запаса значительно двинем вперед» (24968).</w:t>
      </w:r>
    </w:p>
    <w:p w14:paraId="225BB424" w14:textId="77777777" w:rsidR="00BB5252" w:rsidRPr="00BB5252" w:rsidRDefault="00BB5252" w:rsidP="00BB5252">
      <w:pPr>
        <w:pStyle w:val="aff2"/>
        <w:tabs>
          <w:tab w:val="left" w:pos="594"/>
        </w:tabs>
        <w:spacing w:line="240" w:lineRule="auto"/>
        <w:rPr>
          <w:rFonts w:ascii="Times New Roman" w:hAnsi="Times New Roman" w:cs="Times New Roman"/>
          <w:i w:val="0"/>
          <w:iCs w:val="0"/>
          <w:color w:val="0070C0"/>
          <w:sz w:val="16"/>
          <w:szCs w:val="16"/>
          <w:lang w:val="ru-RU"/>
        </w:rPr>
      </w:pPr>
    </w:p>
    <w:p w14:paraId="39D6A305" w14:textId="77777777" w:rsidR="00F01A58"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A38D4A0" w14:textId="77777777" w:rsidR="00F01A58" w:rsidRPr="00E93F40" w:rsidRDefault="00F01A5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41E7D9" w14:textId="045D850B" w:rsidR="00F01A58" w:rsidRPr="00E93F40" w:rsidRDefault="00F01A58" w:rsidP="00E93F40">
      <w:pPr>
        <w:pStyle w:val="rtejustify"/>
        <w:spacing w:before="0" w:after="0"/>
        <w:rPr>
          <w:color w:val="000000" w:themeColor="text1"/>
          <w:sz w:val="16"/>
          <w:szCs w:val="16"/>
        </w:rPr>
      </w:pPr>
      <w:r w:rsidRPr="00E93F40">
        <w:rPr>
          <w:color w:val="000000" w:themeColor="text1"/>
          <w:sz w:val="16"/>
          <w:szCs w:val="16"/>
        </w:rPr>
        <w:t>20</w:t>
      </w:r>
      <w:r w:rsidR="007C1411" w:rsidRPr="00E93F40">
        <w:rPr>
          <w:color w:val="000000" w:themeColor="text1"/>
          <w:sz w:val="16"/>
          <w:szCs w:val="16"/>
        </w:rPr>
        <w:t xml:space="preserve"> </w:t>
      </w:r>
      <w:r w:rsidRPr="00E93F40">
        <w:rPr>
          <w:color w:val="000000" w:themeColor="text1"/>
          <w:sz w:val="16"/>
          <w:szCs w:val="16"/>
        </w:rPr>
        <w:t>октября 1932</w:t>
      </w:r>
      <w:r w:rsidR="007C1411" w:rsidRPr="00E93F40">
        <w:rPr>
          <w:color w:val="000000" w:themeColor="text1"/>
          <w:sz w:val="16"/>
          <w:szCs w:val="16"/>
        </w:rPr>
        <w:t xml:space="preserve"> </w:t>
      </w:r>
      <w:r w:rsidRPr="00E93F40">
        <w:rPr>
          <w:color w:val="000000" w:themeColor="text1"/>
          <w:sz w:val="16"/>
          <w:szCs w:val="16"/>
        </w:rPr>
        <w:t xml:space="preserve">г. было образовано </w:t>
      </w:r>
      <w:r w:rsidRPr="00E93F40">
        <w:rPr>
          <w:rStyle w:val="af0"/>
          <w:bCs/>
          <w:i w:val="0"/>
          <w:color w:val="000000" w:themeColor="text1"/>
          <w:sz w:val="16"/>
          <w:szCs w:val="16"/>
        </w:rPr>
        <w:t>Главное управление автотракторной промышленности (ГУТАП)</w:t>
      </w:r>
      <w:r w:rsidRPr="00E93F40">
        <w:rPr>
          <w:color w:val="000000" w:themeColor="text1"/>
          <w:sz w:val="16"/>
          <w:szCs w:val="16"/>
        </w:rPr>
        <w:t xml:space="preserve"> Наркомата тяжелой промышленности СССР приказом НКТП №</w:t>
      </w:r>
      <w:r w:rsidR="007C1411" w:rsidRPr="00E93F40">
        <w:rPr>
          <w:color w:val="000000" w:themeColor="text1"/>
          <w:sz w:val="16"/>
          <w:szCs w:val="16"/>
        </w:rPr>
        <w:t xml:space="preserve"> </w:t>
      </w:r>
      <w:r w:rsidRPr="00E93F40">
        <w:rPr>
          <w:color w:val="000000" w:themeColor="text1"/>
          <w:sz w:val="16"/>
          <w:szCs w:val="16"/>
        </w:rPr>
        <w:t>711 в связи с ликвидацией и на базе Всесоюзного объединения автотракторной промышленности (ВАТО). ГУТАП занимался производством и сбытом грузовых и легковых автомашин, тракторов, запасных частей и принадлежностей к ним. Его структура была утверждена 27</w:t>
      </w:r>
      <w:r w:rsidR="007C1411" w:rsidRPr="00E93F40">
        <w:rPr>
          <w:color w:val="000000" w:themeColor="text1"/>
          <w:sz w:val="16"/>
          <w:szCs w:val="16"/>
        </w:rPr>
        <w:t xml:space="preserve"> </w:t>
      </w:r>
      <w:r w:rsidRPr="00E93F40">
        <w:rPr>
          <w:color w:val="000000" w:themeColor="text1"/>
          <w:sz w:val="16"/>
          <w:szCs w:val="16"/>
        </w:rPr>
        <w:t>января 1934</w:t>
      </w:r>
      <w:r w:rsidR="007C1411" w:rsidRPr="00E93F40">
        <w:rPr>
          <w:color w:val="000000" w:themeColor="text1"/>
          <w:sz w:val="16"/>
          <w:szCs w:val="16"/>
        </w:rPr>
        <w:t xml:space="preserve"> </w:t>
      </w:r>
      <w:r w:rsidRPr="00E93F40">
        <w:rPr>
          <w:color w:val="000000" w:themeColor="text1"/>
          <w:sz w:val="16"/>
          <w:szCs w:val="16"/>
        </w:rPr>
        <w:t>г. В числе секторов выделялись: технико-производственный, планово-экономический, смежных производств, капитального строительства, снабжения, кадров и труда и</w:t>
      </w:r>
      <w:r w:rsidR="007C1411" w:rsidRPr="00E93F40">
        <w:rPr>
          <w:color w:val="000000" w:themeColor="text1"/>
          <w:sz w:val="16"/>
          <w:szCs w:val="16"/>
        </w:rPr>
        <w:t xml:space="preserve"> </w:t>
      </w:r>
      <w:r w:rsidRPr="00E93F40">
        <w:rPr>
          <w:color w:val="000000" w:themeColor="text1"/>
          <w:sz w:val="16"/>
          <w:szCs w:val="16"/>
        </w:rPr>
        <w:t>др. По постановлению СНК</w:t>
      </w:r>
      <w:r w:rsidR="007C1411" w:rsidRPr="00E93F40">
        <w:rPr>
          <w:color w:val="000000" w:themeColor="text1"/>
          <w:sz w:val="16"/>
          <w:szCs w:val="16"/>
        </w:rPr>
        <w:t xml:space="preserve"> </w:t>
      </w:r>
      <w:r w:rsidRPr="00E93F40">
        <w:rPr>
          <w:color w:val="000000" w:themeColor="text1"/>
          <w:sz w:val="16"/>
          <w:szCs w:val="16"/>
        </w:rPr>
        <w:t>СССР от 29</w:t>
      </w:r>
      <w:r w:rsidR="007C1411" w:rsidRPr="00E93F40">
        <w:rPr>
          <w:color w:val="000000" w:themeColor="text1"/>
          <w:sz w:val="16"/>
          <w:szCs w:val="16"/>
        </w:rPr>
        <w:t xml:space="preserve"> </w:t>
      </w:r>
      <w:r w:rsidRPr="00E93F40">
        <w:rPr>
          <w:color w:val="000000" w:themeColor="text1"/>
          <w:sz w:val="16"/>
          <w:szCs w:val="16"/>
        </w:rPr>
        <w:t>августа 1937</w:t>
      </w:r>
      <w:r w:rsidR="007C1411" w:rsidRPr="00E93F40">
        <w:rPr>
          <w:color w:val="000000" w:themeColor="text1"/>
          <w:sz w:val="16"/>
          <w:szCs w:val="16"/>
        </w:rPr>
        <w:t xml:space="preserve"> </w:t>
      </w:r>
      <w:r w:rsidRPr="00E93F40">
        <w:rPr>
          <w:color w:val="000000" w:themeColor="text1"/>
          <w:sz w:val="16"/>
          <w:szCs w:val="16"/>
        </w:rPr>
        <w:t>г. был создан Наркомат машиностроения СССР. В соответствии с приказом НКТП СССР и Наркомата машиностроения №</w:t>
      </w:r>
      <w:r w:rsidR="007C1411" w:rsidRPr="00E93F40">
        <w:rPr>
          <w:color w:val="000000" w:themeColor="text1"/>
          <w:sz w:val="16"/>
          <w:szCs w:val="16"/>
        </w:rPr>
        <w:t xml:space="preserve"> </w:t>
      </w:r>
      <w:r w:rsidRPr="00E93F40">
        <w:rPr>
          <w:color w:val="000000" w:themeColor="text1"/>
          <w:sz w:val="16"/>
          <w:szCs w:val="16"/>
        </w:rPr>
        <w:t>743/3 от 4</w:t>
      </w:r>
      <w:r w:rsidR="007C1411" w:rsidRPr="00E93F40">
        <w:rPr>
          <w:color w:val="000000" w:themeColor="text1"/>
          <w:sz w:val="16"/>
          <w:szCs w:val="16"/>
        </w:rPr>
        <w:t xml:space="preserve"> </w:t>
      </w:r>
      <w:r w:rsidRPr="00E93F40">
        <w:rPr>
          <w:color w:val="000000" w:themeColor="text1"/>
          <w:sz w:val="16"/>
          <w:szCs w:val="16"/>
        </w:rPr>
        <w:t>сентября 1937</w:t>
      </w:r>
      <w:r w:rsidR="007C1411" w:rsidRPr="00E93F40">
        <w:rPr>
          <w:color w:val="000000" w:themeColor="text1"/>
          <w:sz w:val="16"/>
          <w:szCs w:val="16"/>
        </w:rPr>
        <w:t xml:space="preserve"> </w:t>
      </w:r>
      <w:r w:rsidRPr="00E93F40">
        <w:rPr>
          <w:color w:val="000000" w:themeColor="text1"/>
          <w:sz w:val="16"/>
          <w:szCs w:val="16"/>
        </w:rPr>
        <w:t>г. ГУТАП был передан в состав Наркомата машиностроения СССР. Приказом Наркоммаша СССР №</w:t>
      </w:r>
      <w:r w:rsidR="007C1411" w:rsidRPr="00E93F40">
        <w:rPr>
          <w:color w:val="000000" w:themeColor="text1"/>
          <w:sz w:val="16"/>
          <w:szCs w:val="16"/>
        </w:rPr>
        <w:t xml:space="preserve"> </w:t>
      </w:r>
      <w:r w:rsidRPr="00E93F40">
        <w:rPr>
          <w:color w:val="000000" w:themeColor="text1"/>
          <w:sz w:val="16"/>
          <w:szCs w:val="16"/>
        </w:rPr>
        <w:t>107 от 26</w:t>
      </w:r>
      <w:r w:rsidR="007C1411" w:rsidRPr="00E93F40">
        <w:rPr>
          <w:color w:val="000000" w:themeColor="text1"/>
          <w:sz w:val="16"/>
          <w:szCs w:val="16"/>
        </w:rPr>
        <w:t xml:space="preserve"> </w:t>
      </w:r>
      <w:r w:rsidRPr="00E93F40">
        <w:rPr>
          <w:color w:val="000000" w:themeColor="text1"/>
          <w:sz w:val="16"/>
          <w:szCs w:val="16"/>
        </w:rPr>
        <w:t>ноября 1937</w:t>
      </w:r>
      <w:r w:rsidR="007C1411" w:rsidRPr="00E93F40">
        <w:rPr>
          <w:color w:val="000000" w:themeColor="text1"/>
          <w:sz w:val="16"/>
          <w:szCs w:val="16"/>
        </w:rPr>
        <w:t xml:space="preserve"> </w:t>
      </w:r>
      <w:r w:rsidRPr="00E93F40">
        <w:rPr>
          <w:color w:val="000000" w:themeColor="text1"/>
          <w:sz w:val="16"/>
          <w:szCs w:val="16"/>
        </w:rPr>
        <w:t>г. было произведено разукрупнение ГУТАП. На его базе были созданы 4 главных управления: Глававтопром, Главтракторопром, Главтрактородеталь, Глававторемонт. (РГАЭ. Ф.</w:t>
      </w:r>
      <w:r w:rsidR="007C1411" w:rsidRPr="00E93F40">
        <w:rPr>
          <w:color w:val="000000" w:themeColor="text1"/>
          <w:sz w:val="16"/>
          <w:szCs w:val="16"/>
        </w:rPr>
        <w:t xml:space="preserve"> </w:t>
      </w:r>
      <w:r w:rsidRPr="00E93F40">
        <w:rPr>
          <w:color w:val="000000" w:themeColor="text1"/>
          <w:sz w:val="16"/>
          <w:szCs w:val="16"/>
        </w:rPr>
        <w:t>7622. Оп.</w:t>
      </w:r>
      <w:r w:rsidR="007C1411" w:rsidRPr="00E93F40">
        <w:rPr>
          <w:color w:val="000000" w:themeColor="text1"/>
          <w:sz w:val="16"/>
          <w:szCs w:val="16"/>
        </w:rPr>
        <w:t xml:space="preserve"> </w:t>
      </w:r>
      <w:r w:rsidRPr="00E93F40">
        <w:rPr>
          <w:color w:val="000000" w:themeColor="text1"/>
          <w:sz w:val="16"/>
          <w:szCs w:val="16"/>
        </w:rPr>
        <w:t>1.) (15320).</w:t>
      </w:r>
    </w:p>
    <w:p w14:paraId="08685510" w14:textId="77777777" w:rsidR="00F01A58" w:rsidRPr="00E93F40" w:rsidRDefault="00F01A5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94099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B40202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1F14A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октября 1932 «Правда» впервые опубликовала лозунг «Динамо» - это сила в движении» (4962).</w:t>
      </w:r>
    </w:p>
    <w:p w14:paraId="1168D86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430A6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CF2546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79DB9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октября 1932 года зам. начальника сектора кадров НКТП Раскин писал письмо № 382сс в Комиссию обороны, копия в РВС Фельдману</w:t>
      </w:r>
    </w:p>
    <w:p w14:paraId="68D41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Комиссии обороны от 4 июля 1932 года сов. секретно, по вопросу опытного самолето и моторостроения было решено откомандировать в ЦИАМ персонально 4-х специалистов из НКТП, в т.ч. Петрова и Кирсанова.</w:t>
      </w:r>
    </w:p>
    <w:p w14:paraId="2B9A6F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распоряжению наркома Орджоникидзе от 5 октября 1932 года № 0121720, директор НАТИ Зеленский 11 октября 1932 года указанных специалистов откомандировал в распоряжение Сектора кадров НКТП для оформления откомандирования в ЦИАМ, но специалисты, вместо того, чтобы явиться по назначению, без ведома и согласия Сектора кадров НКТП устроились на работу Военную академию моторизации и механизации РККА.</w:t>
      </w:r>
    </w:p>
    <w:p w14:paraId="5EAF76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обращении Сектора кадров НКТП к начальнику Военной академии, от последнего получен ответ, что откомандированы быть не могут.</w:t>
      </w:r>
    </w:p>
    <w:p w14:paraId="0C521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Ставя Вас в известность о вышеизложенном, просим принять меры, обязывающие начальника Военной академии немедленно откомандировать указанных специалистов в распоряжение ЦИАМ и указать на недопустимость нарушения постановления КОС об откомандировании указанных специалистов (3530,45).</w:t>
      </w:r>
    </w:p>
    <w:p w14:paraId="453E07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633B6D" w14:textId="77777777" w:rsidR="0010442F" w:rsidRPr="00E93F40" w:rsidRDefault="0010442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октября 1932 заместитель М.Н.Тухачевского начальник ГАУ Н.А.Ефимов подготовил и направил в секретариат ЦК ВКП(б) письмо «Об организации Реактивного института РККА», где была изложена конкретная программа действий. 20 ноября Ту</w:t>
      </w:r>
      <w:r w:rsidRPr="00E93F40">
        <w:rPr>
          <w:rFonts w:ascii="Times New Roman" w:hAnsi="Times New Roman"/>
          <w:color w:val="000000" w:themeColor="text1"/>
          <w:sz w:val="16"/>
          <w:szCs w:val="16"/>
        </w:rPr>
        <w:softHyphen/>
        <w:t>хачевский был утвержден председателем комиссии по органи</w:t>
      </w:r>
      <w:r w:rsidRPr="00E93F40">
        <w:rPr>
          <w:rFonts w:ascii="Times New Roman" w:hAnsi="Times New Roman"/>
          <w:color w:val="000000" w:themeColor="text1"/>
          <w:sz w:val="16"/>
          <w:szCs w:val="16"/>
        </w:rPr>
        <w:softHyphen/>
        <w:t>зации РНИИ (23510).</w:t>
      </w:r>
    </w:p>
    <w:p w14:paraId="27EB6F9C" w14:textId="77777777" w:rsidR="0010442F" w:rsidRPr="00E93F40" w:rsidRDefault="0010442F" w:rsidP="00E93F40">
      <w:pPr>
        <w:spacing w:after="0" w:line="240" w:lineRule="auto"/>
        <w:jc w:val="both"/>
        <w:rPr>
          <w:rFonts w:ascii="Times New Roman" w:hAnsi="Times New Roman"/>
          <w:color w:val="000000" w:themeColor="text1"/>
          <w:sz w:val="16"/>
          <w:szCs w:val="16"/>
        </w:rPr>
      </w:pPr>
    </w:p>
    <w:p w14:paraId="77C3DCD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FFB8BE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3303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21 октября 1932 на ХПЗ собрали опытный образец БТ-5 с М-5, но еще без башни, хотя срок УММ был - первая половина сентября (3880,4).</w:t>
      </w:r>
    </w:p>
    <w:p w14:paraId="2019E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F44DE5" w14:textId="77777777" w:rsidR="00BB5252" w:rsidRPr="00E93F40" w:rsidRDefault="00BB5252" w:rsidP="00BB5252">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85D1365" w14:textId="77777777" w:rsidR="00BB5252" w:rsidRPr="00E93F40" w:rsidRDefault="00BB5252" w:rsidP="00BB5252">
      <w:pPr>
        <w:autoSpaceDE w:val="0"/>
        <w:autoSpaceDN w:val="0"/>
        <w:adjustRightInd w:val="0"/>
        <w:spacing w:after="0" w:line="240" w:lineRule="auto"/>
        <w:jc w:val="both"/>
        <w:rPr>
          <w:rFonts w:ascii="Times New Roman" w:hAnsi="Times New Roman"/>
          <w:iCs/>
          <w:color w:val="000000" w:themeColor="text1"/>
          <w:sz w:val="16"/>
          <w:szCs w:val="16"/>
        </w:rPr>
      </w:pPr>
    </w:p>
    <w:p w14:paraId="7A393296"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октября 1932 года в СССР прибыли последние из заказанных во</w:t>
      </w:r>
      <w:r w:rsidRPr="00142305">
        <w:rPr>
          <w:rFonts w:ascii="Times New Roman" w:hAnsi="Times New Roman"/>
          <w:color w:val="0070C0"/>
          <w:sz w:val="16"/>
          <w:szCs w:val="16"/>
        </w:rPr>
        <w:softHyphen/>
        <w:t xml:space="preserve">сьми амфибий </w:t>
      </w:r>
      <w:r w:rsidRPr="00142305">
        <w:rPr>
          <w:rFonts w:ascii="Times New Roman" w:hAnsi="Times New Roman"/>
          <w:color w:val="0070C0"/>
          <w:sz w:val="16"/>
          <w:szCs w:val="16"/>
          <w:lang w:val="en-US"/>
        </w:rPr>
        <w:t>Vickers</w:t>
      </w:r>
      <w:r w:rsidRPr="00142305">
        <w:rPr>
          <w:rFonts w:ascii="Times New Roman" w:hAnsi="Times New Roman"/>
          <w:color w:val="0070C0"/>
          <w:sz w:val="16"/>
          <w:szCs w:val="16"/>
        </w:rPr>
        <w:t>-</w:t>
      </w:r>
      <w:r w:rsidRPr="00142305">
        <w:rPr>
          <w:rFonts w:ascii="Times New Roman" w:hAnsi="Times New Roman"/>
          <w:color w:val="0070C0"/>
          <w:sz w:val="16"/>
          <w:szCs w:val="16"/>
          <w:lang w:val="en-US"/>
        </w:rPr>
        <w:t>Carden</w:t>
      </w:r>
      <w:r w:rsidRPr="00142305">
        <w:rPr>
          <w:rFonts w:ascii="Times New Roman" w:hAnsi="Times New Roman"/>
          <w:color w:val="0070C0"/>
          <w:sz w:val="16"/>
          <w:szCs w:val="16"/>
        </w:rPr>
        <w:t>-</w:t>
      </w:r>
      <w:r w:rsidRPr="00142305">
        <w:rPr>
          <w:rFonts w:ascii="Times New Roman" w:hAnsi="Times New Roman"/>
          <w:color w:val="0070C0"/>
          <w:sz w:val="16"/>
          <w:szCs w:val="16"/>
          <w:lang w:val="en-US"/>
        </w:rPr>
        <w:t>Loyd</w:t>
      </w:r>
      <w:r w:rsidRPr="00142305">
        <w:rPr>
          <w:rFonts w:ascii="Times New Roman" w:hAnsi="Times New Roman"/>
          <w:color w:val="0070C0"/>
          <w:sz w:val="16"/>
          <w:szCs w:val="16"/>
        </w:rPr>
        <w:t>.</w:t>
      </w:r>
    </w:p>
    <w:p w14:paraId="7F56967E"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Прибывшие амфибии прошли испыта</w:t>
      </w:r>
      <w:r w:rsidRPr="00142305">
        <w:rPr>
          <w:rFonts w:ascii="Times New Roman" w:hAnsi="Times New Roman"/>
          <w:color w:val="0070C0"/>
          <w:sz w:val="16"/>
          <w:szCs w:val="16"/>
        </w:rPr>
        <w:softHyphen/>
        <w:t>ния на НИБТ полигоне под Москвой, а так</w:t>
      </w:r>
      <w:r w:rsidRPr="00142305">
        <w:rPr>
          <w:rFonts w:ascii="Times New Roman" w:hAnsi="Times New Roman"/>
          <w:color w:val="0070C0"/>
          <w:sz w:val="16"/>
          <w:szCs w:val="16"/>
        </w:rPr>
        <w:softHyphen/>
        <w:t>же были отправлены на заводы и в танко</w:t>
      </w:r>
      <w:r w:rsidRPr="00142305">
        <w:rPr>
          <w:rFonts w:ascii="Times New Roman" w:hAnsi="Times New Roman"/>
          <w:color w:val="0070C0"/>
          <w:sz w:val="16"/>
          <w:szCs w:val="16"/>
        </w:rPr>
        <w:softHyphen/>
        <w:t>вые части для изучения. Следует отметить, что первые амфибии Vickers-Carden-Loyd прибыли в Советский Союз уже тогда, ког</w:t>
      </w:r>
      <w:r w:rsidRPr="00142305">
        <w:rPr>
          <w:rFonts w:ascii="Times New Roman" w:hAnsi="Times New Roman"/>
          <w:color w:val="0070C0"/>
          <w:sz w:val="16"/>
          <w:szCs w:val="16"/>
        </w:rPr>
        <w:softHyphen/>
        <w:t>да были изготовлены и проходили испы</w:t>
      </w:r>
      <w:r w:rsidRPr="00142305">
        <w:rPr>
          <w:rFonts w:ascii="Times New Roman" w:hAnsi="Times New Roman"/>
          <w:color w:val="0070C0"/>
          <w:sz w:val="16"/>
          <w:szCs w:val="16"/>
        </w:rPr>
        <w:softHyphen/>
        <w:t>тания опытные образцы советских плава</w:t>
      </w:r>
      <w:r w:rsidRPr="00142305">
        <w:rPr>
          <w:rFonts w:ascii="Times New Roman" w:hAnsi="Times New Roman"/>
          <w:color w:val="0070C0"/>
          <w:sz w:val="16"/>
          <w:szCs w:val="16"/>
        </w:rPr>
        <w:softHyphen/>
        <w:t>ющих танков Т-33, Т-41 и Т-37. Поэтому утверждение о том, что большинство техни</w:t>
      </w:r>
      <w:r w:rsidRPr="00142305">
        <w:rPr>
          <w:rFonts w:ascii="Times New Roman" w:hAnsi="Times New Roman"/>
          <w:color w:val="0070C0"/>
          <w:sz w:val="16"/>
          <w:szCs w:val="16"/>
        </w:rPr>
        <w:softHyphen/>
        <w:t>ческих решений первых образцов отечест</w:t>
      </w:r>
      <w:r w:rsidRPr="00142305">
        <w:rPr>
          <w:rFonts w:ascii="Times New Roman" w:hAnsi="Times New Roman"/>
          <w:color w:val="0070C0"/>
          <w:sz w:val="16"/>
          <w:szCs w:val="16"/>
        </w:rPr>
        <w:softHyphen/>
        <w:t>венных амфибий (в особенности Т-33) было скопировано у английской машины, явля</w:t>
      </w:r>
      <w:r w:rsidRPr="00142305">
        <w:rPr>
          <w:rFonts w:ascii="Times New Roman" w:hAnsi="Times New Roman"/>
          <w:color w:val="0070C0"/>
          <w:sz w:val="16"/>
          <w:szCs w:val="16"/>
        </w:rPr>
        <w:softHyphen/>
        <w:t>ется некорректным (25019).</w:t>
      </w:r>
    </w:p>
    <w:p w14:paraId="37D85AE2" w14:textId="77777777" w:rsidR="00BB5252" w:rsidRPr="00BB5252" w:rsidRDefault="00BB5252" w:rsidP="00BB5252">
      <w:pPr>
        <w:pStyle w:val="aff2"/>
        <w:tabs>
          <w:tab w:val="left" w:pos="594"/>
        </w:tabs>
        <w:spacing w:line="240" w:lineRule="auto"/>
        <w:rPr>
          <w:rFonts w:ascii="Times New Roman" w:hAnsi="Times New Roman" w:cs="Times New Roman"/>
          <w:i w:val="0"/>
          <w:iCs w:val="0"/>
          <w:color w:val="0070C0"/>
          <w:sz w:val="16"/>
          <w:szCs w:val="16"/>
          <w:lang w:val="ru-RU"/>
        </w:rPr>
      </w:pPr>
    </w:p>
    <w:p w14:paraId="1D85D69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286DFD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46D5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октября 1932 Политбюро ЦК ВКП(б) решило послать на Украину и на Северный Кавказ две чрезвычайные комиссии, одну под руководством В.Молотова, другую под руководством Л.Кагановича с целью "ускорения хлебозаготовок" (10687).</w:t>
      </w:r>
    </w:p>
    <w:p w14:paraId="67854C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DC5B72" w14:textId="70B771FE" w:rsidR="00882380" w:rsidRPr="00E93F40" w:rsidRDefault="00882380" w:rsidP="00E93F40">
      <w:pPr>
        <w:spacing w:after="0" w:line="240" w:lineRule="auto"/>
        <w:jc w:val="both"/>
        <w:rPr>
          <w:rFonts w:ascii="Times New Roman" w:hAnsi="Times New Roman"/>
          <w:color w:val="000000" w:themeColor="text1"/>
          <w:sz w:val="16"/>
          <w:szCs w:val="16"/>
          <w:lang w:eastAsia="ru-RU"/>
        </w:rPr>
      </w:pPr>
      <w:r w:rsidRPr="00E93F40">
        <w:rPr>
          <w:rFonts w:ascii="Times New Roman" w:hAnsi="Times New Roman"/>
          <w:color w:val="000000" w:themeColor="text1"/>
          <w:sz w:val="16"/>
          <w:szCs w:val="16"/>
        </w:rPr>
        <w:t>22 октября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Политбюро ЦК ВКП(б) приняло решение: «В целях усиления хлебозаготовок командировать на две декады полномочные комиссии под руководством В.М. Молотова на Украину и под руководством Л.М. Кагановича - в Северо-Кавказский край».</w:t>
      </w:r>
    </w:p>
    <w:p w14:paraId="43AD1E3F" w14:textId="77777777" w:rsidR="00882380" w:rsidRPr="00E93F40" w:rsidRDefault="008823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Комиссии Политбюро не случайно были посланы на Украину и Северный Кавказ, так как на эти регионы приходилась почти половина заготавливаемого в зерновых районах хлеба.</w:t>
      </w:r>
    </w:p>
    <w:p w14:paraId="636E3E36" w14:textId="77777777" w:rsidR="00882380" w:rsidRPr="00E93F40" w:rsidRDefault="008823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состав комиссии ЦК во главе с Л.М. Кагановичем вошли А.И. Микоян (Наркомат снабжения), М.А. Чернов (Комитет заготовок), Т.А. Юркин (Наркомат совхозов), Я.Б. Гамарник (Политуправление Красной Армии), М.Ф. Шкирятов (ЦКК ВКП(б)), </w:t>
      </w:r>
      <w:hyperlink r:id="rId253" w:history="1">
        <w:r w:rsidRPr="00E93F40">
          <w:rPr>
            <w:rStyle w:val="a5"/>
            <w:rFonts w:ascii="Times New Roman" w:hAnsi="Times New Roman"/>
            <w:color w:val="000000" w:themeColor="text1"/>
            <w:sz w:val="16"/>
            <w:szCs w:val="16"/>
            <w:u w:val="none"/>
          </w:rPr>
          <w:t>Г.Г. Ягода</w:t>
        </w:r>
      </w:hyperlink>
      <w:r w:rsidRPr="00E93F40">
        <w:rPr>
          <w:rFonts w:ascii="Times New Roman" w:hAnsi="Times New Roman"/>
          <w:color w:val="000000" w:themeColor="text1"/>
          <w:sz w:val="16"/>
          <w:szCs w:val="16"/>
        </w:rPr>
        <w:t xml:space="preserve"> (ОГПУ), А.В. Косарев (ЦК ВЛКСМ).</w:t>
      </w:r>
    </w:p>
    <w:p w14:paraId="175589F7" w14:textId="77777777" w:rsidR="00882380" w:rsidRPr="00E93F40" w:rsidRDefault="0088238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2 ноября комиссия Кагановича прибыла в Ростов-на-Дону. В тот же день было созвано совещание секретарей сельских райкомов партии, а 4 ноября - совещание директоров совхозов края. Тогда же состоялось заседание бюро крайкома ВКП(б) с участием членов комиссии ЦК. В постановлении «О ходе хлебозаготовок и сева на Кубани», принятом 4 ноября Северо-Кавказским крайкомом партии, говорилось: «Ввиду особо позорного провала плана хлебозаготовок и озимого сева на Кубани поставить перед парторганизацией в районах Кубани боевую задачу - сломить саботаж хлебозаготовок села и сева, организованный кулацким контрреволюционным элементом, уничтожить сопротивление части сельских коммунистов, ставших фактическими проводниками саботажа, и ликвидировать несовместимую со званием члена партии пассивность и примиренчество к саботажникам (17254).</w:t>
      </w:r>
    </w:p>
    <w:p w14:paraId="479A953B" w14:textId="77777777" w:rsidR="00882380" w:rsidRPr="00E93F40" w:rsidRDefault="0088238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F77548"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октября 1932 опросом членов ПБ</w:t>
      </w:r>
    </w:p>
    <w:p w14:paraId="0A5B0FDE" w14:textId="4C27DE2C"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46/19.- О строительстве морских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судов_на_заводе в _с. Пермском</w:t>
      </w:r>
    </w:p>
    <w:p w14:paraId="627C80C7"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решение К.О. о включении строи</w:t>
      </w:r>
      <w:r w:rsidRPr="00E93F40">
        <w:rPr>
          <w:rFonts w:ascii="Times New Roman" w:hAnsi="Times New Roman"/>
          <w:color w:val="000000" w:themeColor="text1"/>
          <w:sz w:val="16"/>
          <w:szCs w:val="16"/>
        </w:rPr>
        <w:softHyphen/>
        <w:t>тельства больших подводных лодок на заводе в с. Пермском.</w:t>
      </w:r>
    </w:p>
    <w:p w14:paraId="5D6536EC"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Bыписки посланы: т.т. Орджоникидзе, Молотову (К.О.), Ворошилову.</w:t>
      </w:r>
    </w:p>
    <w:p w14:paraId="0EF8D367"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октября 1932 состоялось заседание ПБ (Протокол № 120) (23065).</w:t>
      </w:r>
    </w:p>
    <w:p w14:paraId="7AD2DDD2" w14:textId="77777777" w:rsidR="0025088D" w:rsidRPr="00E93F40" w:rsidRDefault="0025088D" w:rsidP="00E93F40">
      <w:pPr>
        <w:spacing w:after="0" w:line="240" w:lineRule="auto"/>
        <w:jc w:val="both"/>
        <w:rPr>
          <w:rFonts w:ascii="Times New Roman" w:hAnsi="Times New Roman"/>
          <w:color w:val="000000" w:themeColor="text1"/>
          <w:sz w:val="16"/>
          <w:szCs w:val="16"/>
        </w:rPr>
      </w:pPr>
    </w:p>
    <w:p w14:paraId="105BE3B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03C5AF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67AB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октября 1932 были датированы снимки БИЧ-7 Черановского на испытаниях (2307). В этот день был выполнен тренировочный полет и выполнили 4 круга над аэродромом. Летали 40 мин. Для уменьшения давления на РВ, тяги элеронов были пдкручены на 6 ниток. Давление уменьшилось, но недостаточно. (2307).</w:t>
      </w:r>
    </w:p>
    <w:p w14:paraId="7C660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092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октября 1932 года начальник 1 отдела НИИ ВВС Горощенко писал письмо N 2/329с начальнику 5 управления ВВС.</w:t>
      </w:r>
    </w:p>
    <w:p w14:paraId="076FED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препровождается отчет по испытанию металлических винтов различных диаметров и сравнение с деревянными на сам. И5 ЮVI.</w:t>
      </w:r>
    </w:p>
    <w:p w14:paraId="6BE45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Отчет</w:t>
      </w:r>
    </w:p>
    <w:p w14:paraId="31A34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 испытаниях металлического винта N 181 Д = 2,85 и обрезанных N 182 Д=2,808 и N 182 Д=2,75 производства завода N 28 на самолете И5 N 4302 с кольцевыми капотами (мотор ЮVI АД N 42077 - 1930 г. К=6,5.</w:t>
      </w:r>
    </w:p>
    <w:p w14:paraId="605EA3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 исполнители:</w:t>
      </w:r>
    </w:p>
    <w:p w14:paraId="29AEBB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инж. 1-го отдела Осипенко</w:t>
      </w:r>
    </w:p>
    <w:p w14:paraId="2F5EA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инж. летчик 1-го отдела Филин</w:t>
      </w:r>
    </w:p>
    <w:p w14:paraId="5D8B2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 Сузи.</w:t>
      </w:r>
    </w:p>
    <w:p w14:paraId="3FB1E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испытания,</w:t>
      </w:r>
    </w:p>
    <w:p w14:paraId="273632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Получение летных данных самолета И5 с металлическими винтами различного диаметра и сравнения с данными деревянными, для определения возможности замены деревянного винта на металлический.</w:t>
      </w:r>
    </w:p>
    <w:p w14:paraId="654E1C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начато 5 августа 1932 года</w:t>
      </w:r>
    </w:p>
    <w:p w14:paraId="00AFD9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закончено 11 сентября 1932 года.</w:t>
      </w:r>
    </w:p>
    <w:p w14:paraId="752DE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испытание затрачено 37 календарных дней, из которых:</w:t>
      </w:r>
    </w:p>
    <w:p w14:paraId="7E03C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дней, в которые производились испытания 8, общий налет - 19 полетов, 27 час. 20 мин.</w:t>
      </w:r>
    </w:p>
    <w:p w14:paraId="72818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6DC48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наличия ряда преимуществ металлического винта по сравнению с деревянным серию изготовленных заводом N 28 металлических винтов с тонкими лопастями, обрезанных до диаметра Д=2,75 м с целью получения эксплуатационных характеристик, пустить в опытную эксплуатацию в одну из строевых частей ВВС (3002).</w:t>
      </w:r>
    </w:p>
    <w:p w14:paraId="28ACA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22DFC4" w14:textId="77777777" w:rsidR="004A2CF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EEF0306" w14:textId="77777777" w:rsidR="004A2CF3" w:rsidRPr="00E93F40" w:rsidRDefault="004A2CF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53C617" w14:textId="77777777" w:rsidR="004A2CF3" w:rsidRPr="00E93F40" w:rsidRDefault="004A2CF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октября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120. 10. О заводе механических трубок. 136. О производстве вооружения на заводе К. Маркса (Орджоникидзе). 14. О форсировании производства никеля, олова, алюминия и ферросплавов (ПБ от 8 сентября 1932 г., пр. № 115, п. 7в). (Орджоникидзе, Серебровский, Кравченко). 16. О реконструкции уральских металлургических заводов (ПБ от 1 апреля 1932 г., пр. № 94, п. 8). 17а. Об усилении строительства Казанского вагоностроительного завода. Опросом членов ПБ от 21 октября 1932 г. 46/19. О строительстве морских судов на заводе в с. Пермское. — ОП. Постановили: утвердить решение КО о включении строительства больших подводных лодок на заводе. (Политбюро... Т. 2. С. 364, 365; РГАСПИ. Ф. 17. Оп. 162. Д. 13. Л. 134) (12416).</w:t>
      </w:r>
    </w:p>
    <w:p w14:paraId="62E320B8" w14:textId="77777777" w:rsidR="004A2CF3" w:rsidRPr="00E93F40" w:rsidRDefault="004A2CF3" w:rsidP="00E93F40">
      <w:pPr>
        <w:spacing w:after="0" w:line="240" w:lineRule="auto"/>
        <w:jc w:val="both"/>
        <w:rPr>
          <w:rFonts w:ascii="Times New Roman" w:hAnsi="Times New Roman"/>
          <w:color w:val="000000" w:themeColor="text1"/>
          <w:sz w:val="16"/>
          <w:szCs w:val="16"/>
          <w:u w:color="002060"/>
        </w:rPr>
      </w:pPr>
    </w:p>
    <w:p w14:paraId="3E6B0DCF"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23 октября 1932</w:t>
      </w:r>
      <w:r w:rsidRPr="00E93F40">
        <w:rPr>
          <w:rFonts w:ascii="Times New Roman" w:hAnsi="Times New Roman"/>
          <w:color w:val="000000" w:themeColor="text1"/>
          <w:sz w:val="16"/>
          <w:szCs w:val="16"/>
        </w:rPr>
        <w:t>Политбюро ЦК ВКП (б) приняло постановления: о форсировании производства никеля, о сроке пуска Уфалейского никелевого завода; одобрило Проект постановления СНК об увольнении за прогулы (12265).</w:t>
      </w:r>
    </w:p>
    <w:p w14:paraId="2BFD9C50" w14:textId="69F8F467" w:rsidR="004A2CF3"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3B6261E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853E27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24DF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октября 1932 Постановлениями Политбюро (№ 11120/18с от) и СНК СССР (№ 1650/340с от 27 октября 1932-го) на ОГПУ возлагалось строительство Байкало-Амурской железной дороги (БАМ) (7560).</w:t>
      </w:r>
    </w:p>
    <w:p w14:paraId="02996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59F3EE" w14:textId="40D7C712"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FEFCA07" w14:textId="6D69C6B8"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p>
    <w:p w14:paraId="0D2653D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http://sovdoc.rusarchives.ru</w:t>
      </w:r>
    </w:p>
    <w:p w14:paraId="126B757D" w14:textId="37937E3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p>
    <w:p w14:paraId="3F87051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 Ф. 17. Оп. 3. Д. 904. Л. 30-36, 46-52.</w:t>
      </w:r>
    </w:p>
    <w:p w14:paraId="39DB248A" w14:textId="074FCEBB"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w:t>
      </w:r>
    </w:p>
    <w:p w14:paraId="27158C2A" w14:textId="61D731EC"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18 пр. ПБ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120.</w:t>
      </w:r>
    </w:p>
    <w:p w14:paraId="00AEEC6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Предварительная редакция </w:t>
      </w:r>
    </w:p>
    <w:p w14:paraId="51B0917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Совета Труда и Обороны.</w:t>
      </w:r>
    </w:p>
    <w:p w14:paraId="7DC8B4A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 строительстве Байкало-Амурской магистрали.</w:t>
      </w:r>
    </w:p>
    <w:p w14:paraId="17C85C97" w14:textId="2045AA6B"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(Утверждено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7C94DD8D" w14:textId="5978197D"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развитие и в дополнение постановления СТО и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от 13.IV.1932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544, 19.IV.1932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407/139, 25.IV.1932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612, З.V.1932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456, 7.V.1932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478/162 и 4.VII.1932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1056,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Совет Труда и Обороны постановляет:</w:t>
      </w:r>
    </w:p>
    <w:p w14:paraId="76045C1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Возложить на ОГПУ строительство Байкало-Амурский железной дороги с использованием для этого строительства заключенных исправительно-трудовых лагерей ОГПУ.</w:t>
      </w:r>
    </w:p>
    <w:p w14:paraId="204EA1F9" w14:textId="3ADAB7F8"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СНК о назначении начальником строительства Байкало-Амурской железной дороги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Мрачковского оставить в силе.</w:t>
      </w:r>
    </w:p>
    <w:p w14:paraId="03A8946B" w14:textId="1EB3FEB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Проект, объем работ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финансирование.</w:t>
      </w:r>
    </w:p>
    <w:p w14:paraId="755280D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Предложить НКПС:</w:t>
      </w:r>
    </w:p>
    <w:p w14:paraId="7926C718" w14:textId="3FFEDD0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Обеспечить окончание проекта трассы в пределах ст.ст.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Ольдой Уссурийской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и поселков: Тында, Дамбуки и Стойба на протяжении ориентировочно 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1.V.19ЗЗ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 полностью проект всей трассы (ориентировочно протяжением 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1.XII.1933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FB0ED10" w14:textId="1D68AD0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Направление трассы утвердить с прохождением, после примыкания у ст.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Ольдой Уссурийской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через поселок Тынду и по пойме реки Гилюй на расстоянии не более 120</w:t>
      </w:r>
      <w:r w:rsidRPr="00E93F40">
        <w:rPr>
          <w:rFonts w:ascii="Times New Roman" w:hAnsi="Times New Roman"/>
          <w:color w:val="000000" w:themeColor="text1"/>
          <w:sz w:val="16"/>
          <w:szCs w:val="16"/>
        </w:rPr>
        <w:noBreakHyphen/>
        <w:t>160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от существующей Уссурийской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В пределах от поселка Стойба до озера Эверон направление трассы утвердить по южному варианту с переходом реки Бурей у Усть-Нимана.</w:t>
      </w:r>
    </w:p>
    <w:p w14:paraId="218356B5" w14:textId="2E4F4865"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Утвердить план работ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Байкало-Амурской магистрали из расчета на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укладки,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куб.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 земляных работ и развертывание подготовительных работ по всей магистрали.</w:t>
      </w:r>
    </w:p>
    <w:p w14:paraId="46A213B4" w14:textId="69B62BF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Госплан в плане капитальных работ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предусмотреть на постройку Байкало-Амурской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магистрали ориентировочно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w:t>
      </w:r>
    </w:p>
    <w:p w14:paraId="52DAB1D6" w14:textId="7610DEF2"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Предусмотреть выделение в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счет предусмотренных НКПС'ом ассигнований на капитальное строительство сверх ассигнованных уже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 отпуск 10</w:t>
      </w:r>
      <w:r w:rsidRPr="00E93F40">
        <w:rPr>
          <w:rFonts w:ascii="Times New Roman" w:hAnsi="Times New Roman"/>
          <w:color w:val="000000" w:themeColor="text1"/>
          <w:sz w:val="16"/>
          <w:szCs w:val="16"/>
        </w:rPr>
        <w:noBreakHyphen/>
        <w:t>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 для БАМ для завоза материалов, рабсилы и закупки необходимого оборудования.</w:t>
      </w:r>
    </w:p>
    <w:p w14:paraId="2AE5499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Техническое вооружение.</w:t>
      </w:r>
    </w:p>
    <w:p w14:paraId="39450072" w14:textId="156FBE3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Для освоения Байкало-Амурским строительством программы работ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определить нижеследующий отпуск строительных и транспортных механизмов:</w:t>
      </w:r>
    </w:p>
    <w:p w14:paraId="272EE00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Экскаваторы ......................... 25 шт.</w:t>
      </w:r>
    </w:p>
    <w:p w14:paraId="4C55DC8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Узкоколейные паровозы и мотовозы .... 60 шт.</w:t>
      </w:r>
    </w:p>
    <w:p w14:paraId="14FA6C1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Вагонетки костромские .............. 775 шт.</w:t>
      </w:r>
    </w:p>
    <w:p w14:paraId="661216B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Вагонетки Коппеля ...................2000 шт</w:t>
      </w:r>
    </w:p>
    <w:p w14:paraId="5EFE01D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Узкоколейные рельсы ................. 125 км</w:t>
      </w:r>
    </w:p>
    <w:p w14:paraId="519A222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Компрессора ......................... 45 шт.</w:t>
      </w:r>
    </w:p>
    <w:p w14:paraId="211DD63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Перфораторы ........................ 180 шт.</w:t>
      </w:r>
    </w:p>
    <w:p w14:paraId="10B0BD5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Пневматические кузницы .............. 10 шт.</w:t>
      </w:r>
    </w:p>
    <w:p w14:paraId="675CDB5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Установки для жидкого воздуха ........ 5 шт.</w:t>
      </w:r>
    </w:p>
    <w:p w14:paraId="70579AE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Центробежные насосы с двигателями .. 35 шт.</w:t>
      </w:r>
    </w:p>
    <w:p w14:paraId="6BDE8B3F"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Насосы Летостю ..................... 50 шт.</w:t>
      </w:r>
    </w:p>
    <w:p w14:paraId="5390EF7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Насосы диафрагмовые (ручные) ...... 100 шт.</w:t>
      </w:r>
    </w:p>
    <w:p w14:paraId="7A40752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Станки по дереву ................... 60 шт.</w:t>
      </w:r>
    </w:p>
    <w:p w14:paraId="15DA9AA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Станки по металлу ...................90 шт.</w:t>
      </w:r>
    </w:p>
    <w:p w14:paraId="7E6CCC7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Локомобили ......................... 17 шт.</w:t>
      </w:r>
    </w:p>
    <w:p w14:paraId="2EECE77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Электромоторы ..................... 162 шт.</w:t>
      </w:r>
    </w:p>
    <w:p w14:paraId="5178B25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Динамомашины ....................... 28 шт.</w:t>
      </w:r>
    </w:p>
    <w:p w14:paraId="1E5ECC5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Лесопильные рамы .................... 8 шт.</w:t>
      </w:r>
    </w:p>
    <w:p w14:paraId="35D0D39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Грузовые автомашины ............... 150 шт.</w:t>
      </w:r>
    </w:p>
    <w:p w14:paraId="2751CFA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Легковые автомашины ................ 35 шт.</w:t>
      </w:r>
    </w:p>
    <w:p w14:paraId="0897E8F4"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Тракторы на обыкновенном ходу ..... 450 шт.</w:t>
      </w:r>
    </w:p>
    <w:p w14:paraId="46D07D5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Тракторы гусеничные ЧТЗ ........... 100 шт.</w:t>
      </w:r>
    </w:p>
    <w:p w14:paraId="4765E60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Катера 75-сильные .................. 30 шт.</w:t>
      </w:r>
    </w:p>
    <w:p w14:paraId="2B3739F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Буксиры-пароходы .................... 6 шт.</w:t>
      </w:r>
    </w:p>
    <w:p w14:paraId="00B7B03F"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Баржи .............................. 15 шт.</w:t>
      </w:r>
    </w:p>
    <w:p w14:paraId="21F1098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Паровые котлы ...................... 40 шт.</w:t>
      </w:r>
    </w:p>
    <w:p w14:paraId="3706383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Корчевальные машины тракторные ..... 50 шт.</w:t>
      </w:r>
    </w:p>
    <w:p w14:paraId="04A7444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Бетономешалки ...................... 20 шт.</w:t>
      </w:r>
    </w:p>
    <w:p w14:paraId="1FF2182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Камнедробилки ....................... 5 шт.</w:t>
      </w:r>
    </w:p>
    <w:p w14:paraId="25946B6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Телефонные установки .............. 150 шт.</w:t>
      </w:r>
    </w:p>
    <w:p w14:paraId="49E917D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Телеграфные аппараты ............... 40 шт.</w:t>
      </w:r>
    </w:p>
    <w:p w14:paraId="0E44B9F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 Дрезины-качалки .................... 10 шт.</w:t>
      </w:r>
    </w:p>
    <w:p w14:paraId="7D9F4CA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 Дрезины лебедочные ................. 10 шт.</w:t>
      </w:r>
    </w:p>
    <w:p w14:paraId="634BF87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Путевые вагончики .................. 40 шт.</w:t>
      </w:r>
    </w:p>
    <w:p w14:paraId="74887CD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Шаровые мельницы .................... 2 шт.</w:t>
      </w:r>
    </w:p>
    <w:p w14:paraId="332A5578" w14:textId="60A612D5"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Обязать НКПС в счет вышеуказанного оборудования выделить в течение 4</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 имеющегося парка:</w:t>
      </w:r>
    </w:p>
    <w:p w14:paraId="7A1D9EC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Экскаваторы ......................... 25 шт.</w:t>
      </w:r>
    </w:p>
    <w:p w14:paraId="5D603AD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Узкоколейных паровозов .............. 10 шт.</w:t>
      </w:r>
    </w:p>
    <w:p w14:paraId="4FBF07B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Вагонеток костромских .............. 200 шт.</w:t>
      </w:r>
    </w:p>
    <w:p w14:paraId="6E98436F"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Вагонеток Коппеля .................. 200 шт.</w:t>
      </w:r>
    </w:p>
    <w:p w14:paraId="625FE37F"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Рельс узкоколейных ................... 30 км</w:t>
      </w:r>
    </w:p>
    <w:p w14:paraId="13A767D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Компрессоров ........................ 10 шт.</w:t>
      </w:r>
    </w:p>
    <w:p w14:paraId="184666E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Перфораторов ........................ 20 шт.</w:t>
      </w:r>
    </w:p>
    <w:p w14:paraId="5FE5E18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Пневматических кузниц ................ 1 шт.</w:t>
      </w:r>
    </w:p>
    <w:p w14:paraId="110950A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Центробежных насосов с двигателями ... 5 шт.</w:t>
      </w:r>
    </w:p>
    <w:p w14:paraId="2D671BD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Насосы Летостю ..................... 60 шт.</w:t>
      </w:r>
    </w:p>
    <w:p w14:paraId="67A4ABE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Насосы диафрагмовые ............... 100 шт.</w:t>
      </w:r>
    </w:p>
    <w:p w14:paraId="3364773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Бетономешалок ....................... 5 шт.</w:t>
      </w:r>
    </w:p>
    <w:p w14:paraId="303F5EB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Камнедробилок ....................... 2 шт.</w:t>
      </w:r>
    </w:p>
    <w:p w14:paraId="0A2065A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Телефонных установок .............. 150 шт.</w:t>
      </w:r>
    </w:p>
    <w:p w14:paraId="17E75CE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Телефонных аппаратов ............... 40 шт.</w:t>
      </w:r>
    </w:p>
    <w:p w14:paraId="21E2EE9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Дрезин качалочных .................. 10 шт.</w:t>
      </w:r>
    </w:p>
    <w:p w14:paraId="19E8024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Дрезины лебедочные ................. 10 шт.</w:t>
      </w:r>
    </w:p>
    <w:p w14:paraId="74AD2FF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Путевые вагончики .................. 40 шт.</w:t>
      </w:r>
    </w:p>
    <w:p w14:paraId="331526F0" w14:textId="58A7BA0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НКТП в течение 4</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выделить из действующего парка:</w:t>
      </w:r>
    </w:p>
    <w:p w14:paraId="4D839EB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Экскаваторы .......................... 5 шт.</w:t>
      </w:r>
    </w:p>
    <w:p w14:paraId="4D6D21B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Вагонеток костромских .............. 200 шт.</w:t>
      </w:r>
    </w:p>
    <w:p w14:paraId="6EB3ECC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Компрессоров ........................ 10 шт.</w:t>
      </w:r>
    </w:p>
    <w:p w14:paraId="07908DE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Установки для жидкого воздуха ........ 2 шт.</w:t>
      </w:r>
    </w:p>
    <w:p w14:paraId="4FA196F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установка с завода РОГАЗ и 1 — с Днепростроя)</w:t>
      </w:r>
    </w:p>
    <w:p w14:paraId="052846DD" w14:textId="402D957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Обязать НКТП отгрузить в счет фонда НКПС'а следующее оборудование для БАМ'а с окончанием отгрузки до 15</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75333F4F"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Узкоколейных паровозов .............. 30 шт.</w:t>
      </w:r>
    </w:p>
    <w:p w14:paraId="4A10AE4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Мотовозов ........................... 30 шт.</w:t>
      </w:r>
    </w:p>
    <w:p w14:paraId="7CFB18A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Костромских вагонеток .............. 275 шт.</w:t>
      </w:r>
    </w:p>
    <w:p w14:paraId="47ECF13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4. Коппельских вагонеток .............. 800 шт.</w:t>
      </w:r>
    </w:p>
    <w:p w14:paraId="67EDC5D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Узкоколейных рельс ................... 70 км</w:t>
      </w:r>
    </w:p>
    <w:p w14:paraId="27CB5ED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Компрессоров ........................ 10 шт.</w:t>
      </w:r>
    </w:p>
    <w:p w14:paraId="40020525" w14:textId="0B4F089B" w:rsidR="000E60FD"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E60FD" w:rsidRPr="00E93F40">
        <w:rPr>
          <w:rFonts w:ascii="Times New Roman" w:hAnsi="Times New Roman"/>
          <w:color w:val="000000" w:themeColor="text1"/>
          <w:sz w:val="16"/>
          <w:szCs w:val="16"/>
        </w:rPr>
        <w:t>(в Ш кв. и 15 шт. во П кв.)</w:t>
      </w:r>
    </w:p>
    <w:p w14:paraId="288C284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Перфораторов ....................... 160 шт.</w:t>
      </w:r>
    </w:p>
    <w:p w14:paraId="23F1B204"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Центробежных насосов с двигателями .. 25 шт.</w:t>
      </w:r>
    </w:p>
    <w:p w14:paraId="0A46F9D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Станки по дереву .................... 40 шт.</w:t>
      </w:r>
    </w:p>
    <w:p w14:paraId="5FEBF516" w14:textId="3A843434" w:rsidR="000E60FD"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E60FD" w:rsidRPr="00E93F40">
        <w:rPr>
          <w:rFonts w:ascii="Times New Roman" w:hAnsi="Times New Roman"/>
          <w:color w:val="000000" w:themeColor="text1"/>
          <w:sz w:val="16"/>
          <w:szCs w:val="16"/>
        </w:rPr>
        <w:t>(и до 1.VII — 20 шт.)</w:t>
      </w:r>
    </w:p>
    <w:p w14:paraId="7A26457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Станки по металлу .................. 90 шт.</w:t>
      </w:r>
    </w:p>
    <w:p w14:paraId="2944362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Локомобили ......................... 17 шт.</w:t>
      </w:r>
    </w:p>
    <w:p w14:paraId="38DE787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Электромоторы ..................... 162 шт.</w:t>
      </w:r>
    </w:p>
    <w:p w14:paraId="49C0689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Динамо-машины ...................... 20 шт.</w:t>
      </w:r>
    </w:p>
    <w:p w14:paraId="7578356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Лесопильные рамы .................... 6 шт.</w:t>
      </w:r>
    </w:p>
    <w:p w14:paraId="1FA5892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Паровые котлы ...................... 40 шт.</w:t>
      </w:r>
    </w:p>
    <w:p w14:paraId="2C8AB99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Бетономешалок ...................... 15 шт.</w:t>
      </w:r>
    </w:p>
    <w:p w14:paraId="60FEA05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Камнедробилки ....................... 3 шт.</w:t>
      </w:r>
    </w:p>
    <w:p w14:paraId="2359CBD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Шаровые мельницы .................... 2 шт.</w:t>
      </w:r>
    </w:p>
    <w:p w14:paraId="46EE1E0C" w14:textId="01F93294"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Обязать Госплан предусмотреть в плане распределения тракторов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550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тракторов для Байкало-Амурской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магистрали, из них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тракторов на гусеничном ходу. В IV</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отгрузить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по фонду НКПС.</w:t>
      </w:r>
    </w:p>
    <w:p w14:paraId="38038083" w14:textId="59EE10B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Обязать Госплан предусмотреть в плане распределения автомашин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фонду НКПС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грузовых машин для БАМ'а с отгрузкой в I</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и во II</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w:t>
      </w:r>
    </w:p>
    <w:p w14:paraId="7965E65F"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Обязать НКЗем выделить из имеющегося парка:</w:t>
      </w:r>
    </w:p>
    <w:p w14:paraId="5543C0F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Экскаваторы .......................... 5 шт.</w:t>
      </w:r>
    </w:p>
    <w:p w14:paraId="234EF10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Костромских вагонеток ............... 50 шт.</w:t>
      </w:r>
    </w:p>
    <w:p w14:paraId="2681EBA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Узкоколейных рельс ................. 12,5 км</w:t>
      </w:r>
    </w:p>
    <w:p w14:paraId="6139D8B4" w14:textId="07C13D6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Обязать НКВод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Янсон выделить не за счет Амурского бассейна с доставкой на место работы к началу навигации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буксирных пароходов и изготовить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баржей по соглашению с Начальником Байкало-Амурского Строительства.</w:t>
      </w:r>
    </w:p>
    <w:p w14:paraId="033B6156" w14:textId="259EAA4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Предложить НКТП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Доценко по соглашению с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Мрачковским обеспечить изготовление и доставку к апрелю месяцу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Байкало-Амурскому строительству 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75</w:t>
      </w:r>
      <w:r w:rsidRPr="00E93F40">
        <w:rPr>
          <w:rFonts w:ascii="Times New Roman" w:hAnsi="Times New Roman"/>
          <w:color w:val="000000" w:themeColor="text1"/>
          <w:sz w:val="16"/>
          <w:szCs w:val="16"/>
        </w:rPr>
        <w:noBreakHyphen/>
        <w:t>сильных моторов для буксирных катеров.</w:t>
      </w:r>
    </w:p>
    <w:p w14:paraId="1811E1F5" w14:textId="4B96D99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Предложить ОГПУ на территории Строительства организовать свои подсобные хозяйственные предприятия (цементный, кирпичный, черепичный заводы, деревообделочные и механические мастерские) для максимального использования местных строительных материалов и производства всех видов ремонта строймеханизмов, обязав Госплан, совместно с НКПС'ом и НКТП предусмотреть в балансе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необходимое оборудование для цементного завода.</w:t>
      </w:r>
    </w:p>
    <w:p w14:paraId="011632F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Материалы.</w:t>
      </w:r>
    </w:p>
    <w:p w14:paraId="4BAD4E92" w14:textId="3A197E6C"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Обязать Госплан СССР предусмотреть отпуск ОГПУ по фондам НКПС’а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нижеуказанную потребность Байкало-Амурского Строительства в главнейших материалах: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71"/>
        <w:gridCol w:w="2873"/>
        <w:gridCol w:w="3278"/>
      </w:tblGrid>
      <w:tr w:rsidR="00DA227A" w:rsidRPr="00E93F40" w14:paraId="548C621D"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C1D04" w14:textId="37604D8A" w:rsidR="000E60F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20FE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Общее 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9B90A" w14:textId="38CFA679"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4415440A"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9CD631" w14:textId="6419B68B"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Рельс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новых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типа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1DF9B" w14:textId="543EEAD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C13E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0AE6EE28"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FFE6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Скреплений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FE69F" w14:textId="532522C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F51E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3B1F410"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B2E13" w14:textId="0F2E913A"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Стрелочные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переводы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37BEC" w14:textId="1D1C39D9"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5F196" w14:textId="6CEDB503"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r>
      <w:tr w:rsidR="00DA227A" w:rsidRPr="00E93F40" w14:paraId="5FB51A8B"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ECEB4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B8225" w14:textId="79630BB0"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CC6D8" w14:textId="745D2FF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6E5E4942"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C82AA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сортовое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A0311" w14:textId="4AF170C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4834E" w14:textId="5408015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5DA7A025"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2D67F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арматурное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ADD88" w14:textId="1D65DC69"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1599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A390891"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B7898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4C575" w14:textId="1AD1437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7EE2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0A7F1B37"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0A82CF" w14:textId="34B64845"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Проволока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строительная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91AC2" w14:textId="0FC0C7F3"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4835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4B5DDDC6"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3BD7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81F59" w14:textId="73EC3F5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77E1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01F5CCD3"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11DA7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кровельное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69911" w14:textId="6F73FB89"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ADDA4" w14:textId="54960523"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62814CAE"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BF71E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оцинкованное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07332" w14:textId="068EE07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02753" w14:textId="382C67ED"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22D2678C"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678B8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06521" w14:textId="6695040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46779" w14:textId="3486AC5D"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574198E1"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B307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Изоляторы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001F3" w14:textId="69D3FACC"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7BFB0" w14:textId="0E15E8B0"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r>
      <w:tr w:rsidR="00DA227A" w:rsidRPr="00E93F40" w14:paraId="0EAD9EFA"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2D6B1" w14:textId="36FE4D1D"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Проволока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железная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оцинкованая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30DCE" w14:textId="5BB1A5E9"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578F2" w14:textId="544197A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bl>
    <w:p w14:paraId="35B8A61A" w14:textId="352DFE3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Обязать НКПС выделить из своих фондов на 4</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БАМ материалы, согласно вышеприведенной таблицы (за исключением сортового железа).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сортового железа выделить из резерва СНК.</w:t>
      </w:r>
    </w:p>
    <w:p w14:paraId="07C8FFA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При составлении баланса распределения леса по Дальнему Востоку предусмотреть выделение Управлению Строительства БАМ необходимого количества леса для размещения первых партий рабочих, обязав Строительство немедленно развернуть собственные лесоразработки.</w:t>
      </w:r>
    </w:p>
    <w:p w14:paraId="450452B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НКПС выделить необходимый инструмент для ведения лесоразработок.</w:t>
      </w:r>
    </w:p>
    <w:p w14:paraId="51E69817" w14:textId="629BDB6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Обязать Госплан предусмотреть для обеспечения нужд Байкало-Амурской магистрали 12.000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рулонов толя кровельного; и 158.400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стекла оконного, из коих в IV</w:t>
      </w:r>
      <w:r w:rsidRPr="00E93F40">
        <w:rPr>
          <w:rFonts w:ascii="Times New Roman" w:hAnsi="Times New Roman"/>
          <w:color w:val="000000" w:themeColor="text1"/>
          <w:sz w:val="16"/>
          <w:szCs w:val="16"/>
        </w:rPr>
        <w:noBreakHyphen/>
        <w:t>м квартале выделить 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рулонов толя кровельного за счет НКПС и 20.000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стекла оконного за счет снижения остатков на заводах, обязав НКПС вывезти это стекло для БАМ.</w:t>
      </w:r>
    </w:p>
    <w:p w14:paraId="1665812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Кадры.</w:t>
      </w:r>
    </w:p>
    <w:p w14:paraId="4F176923" w14:textId="2CE6912A"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Предложить НКПС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Андрееву по списку представленному начальником строительства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Мрачковским, направить в распоряжение строительства опытных инженеров путей сообщения с достаточным строительным стажем, а также по мере развертывания работ обеспечить выделение недостающего количества старшего и среднего инженерно-технического персонала из числа имеющегося в распоряжении НКПС'а и оканчивающих транспортные ВТУЗ-ы.</w:t>
      </w:r>
    </w:p>
    <w:p w14:paraId="50294C9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Предложить НКТруду по согласованию с ОГПУ в декадный срок издать постановление о льготах для лиц, занятых на строительстве БАМ.</w:t>
      </w:r>
    </w:p>
    <w:p w14:paraId="5B6D0843" w14:textId="504EDA09"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Разрешить ОГПУ для заключенных, занятых на строительстве БАМ'а применять льготы, предусмотренные постановлением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от 23.XI.1931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23.</w:t>
      </w:r>
    </w:p>
    <w:p w14:paraId="00E2DB6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Обязать наркоматы и ведомства, специалистов, изъявивших желание работать на строительство БАМ и работающих в других отраслях народного хозяйства, немедленно отпускать в распоряжение строительства. Возложить на НКТруд обязанность принятия соответствующих мер к освобождению вышеуказанных специалистов.</w:t>
      </w:r>
    </w:p>
    <w:p w14:paraId="1A07582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Спецодежда, постельные принадлежности и бытовой инвентарь.</w:t>
      </w:r>
    </w:p>
    <w:p w14:paraId="26CCCACC" w14:textId="31FA3865"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Обязать Комитет Товарных Фондов и регулирования торговли при СТО, с привлечением Наркомтруда, определить количество спецодежды, постельных принадлежностей и бытового инвентаря, необходимое для строительства БАМ, выделить соответствующие фонды на IV</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определить количество и сроки завоза промтоваров.</w:t>
      </w:r>
    </w:p>
    <w:p w14:paraId="198CCD2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Лошади и фураж.</w:t>
      </w:r>
    </w:p>
    <w:p w14:paraId="49A7864F" w14:textId="4139693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Обязать Заготконь и строительство БАМ закупить для нужд строительства 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лошадей, из коих в 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во 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и в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3AD84FD1" w14:textId="20455D9B"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Обязать Комитет Заготовок сельхозпродуктов и Комитет Резервов при СТО определить, исходя из заданной программы и установленной численности лошадей, количество фуража, подлежащего выделению для строительства БАМ в IV</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выделить таковое.</w:t>
      </w:r>
    </w:p>
    <w:p w14:paraId="177ACF4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Рабочее снабжение.</w:t>
      </w:r>
    </w:p>
    <w:p w14:paraId="5D6DD1A5" w14:textId="3E1D10D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Признать необходимым установить для снабжения рабочих строительства БАМ специальные нормы пайкового госснабжения и обязать Наркомснаб и ОГПУ в декадный срок разработать таковые и ввести их в действие с 1.I.1933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910896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Обязать Комитет Товарных Фондов и регулирования торговли при СТО, Наркомснаб, Наркомлегпром обеспечить выделение и своевременную заброску продовольственных и промтоварных фондов по заявке БАМ, составляемым на основе контингентов рабочих строительства, соответственно производственным программам и планам.</w:t>
      </w:r>
    </w:p>
    <w:p w14:paraId="6A73DB74" w14:textId="254C8C5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27. Обязать Наркомснаб проверить и выделить для строительства БАМ по его заявке, согласованный с Центросоюзом (Транлосекцией), фонд специальных видов продовольственного снабжения из расчета в 1</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по наличному числу работающих в изыскательских партиях и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 расчета 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w:t>
      </w:r>
    </w:p>
    <w:p w14:paraId="79B6E354" w14:textId="02B1B18D"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Предложить ОГПУ организовать и развить в течение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свою сельскохозяйственную базу на территории строительства, для чего в декадный срок договориться с Наркомсовхозов и Заготскотом о передаче совхозов и выделении коров, свиноматок и кролико-маток.</w:t>
      </w:r>
    </w:p>
    <w:p w14:paraId="783C06D2" w14:textId="57AD669D"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Обязать Госплан и наркоматы при рассмотрении фондов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обеспечить потребность строительства Амуро-Байкальской магистрали в финансах, материалах и оборудовании, особым параграфом, как строительство особого назначения.</w:t>
      </w:r>
    </w:p>
    <w:p w14:paraId="31DEA97D" w14:textId="62FEC354"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Подтвердить постановление Совета Народных Комиссаров СССР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612/150/с от 25.IV</w:t>
      </w:r>
      <w:r w:rsidRPr="00E93F40">
        <w:rPr>
          <w:rFonts w:ascii="Times New Roman" w:hAnsi="Times New Roman"/>
          <w:color w:val="000000" w:themeColor="text1"/>
          <w:sz w:val="16"/>
          <w:szCs w:val="16"/>
        </w:rPr>
        <w:noBreakHyphen/>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 включении строительства Байкало-Амурской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магистрали в список строек оборонного значения и обязать заинтересованные ведомства и организации выделить в З</w:t>
      </w:r>
      <w:r w:rsidRPr="00E93F40">
        <w:rPr>
          <w:rFonts w:ascii="Times New Roman" w:hAnsi="Times New Roman"/>
          <w:color w:val="000000" w:themeColor="text1"/>
          <w:sz w:val="16"/>
          <w:szCs w:val="16"/>
        </w:rPr>
        <w:noBreakHyphen/>
        <w:t>дневный срок специальных лиц из руководящего состава, персонально ответственных за выполнение настоящего постановления. Фамилии и должности выделенных лиц сообщить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w:t>
      </w:r>
    </w:p>
    <w:p w14:paraId="4618FC5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Учитывая особую важность данного строительства, возложить на НКПС своевременное обеспечение БАМ специальным техническим вооружением, подвижным составом и кадрами специалистов.</w:t>
      </w:r>
    </w:p>
    <w:p w14:paraId="4795B74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 Возложить на Комитет Содействия строительству Байкало-Амурской железнодорожной магистрали проверку исполнения указанными наркоматами и организациями настоящего постановления.</w:t>
      </w:r>
    </w:p>
    <w:p w14:paraId="55A5DE10" w14:textId="3870BED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Совета Труда и Обороны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Молотов (Скрябин).</w:t>
      </w:r>
    </w:p>
    <w:p w14:paraId="5744E487" w14:textId="10E8BA6A"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секретаря Совета Труда и Обороны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Межлаук.</w:t>
      </w:r>
    </w:p>
    <w:p w14:paraId="08FFEB4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Окончательная редакция.</w:t>
      </w:r>
    </w:p>
    <w:p w14:paraId="5CF1F3A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Совета Народных Комиссаров Союза ССР.</w:t>
      </w:r>
    </w:p>
    <w:p w14:paraId="491C7CD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строительстве Байкало-Амурской магистрали.</w:t>
      </w:r>
    </w:p>
    <w:p w14:paraId="64ED5E80" w14:textId="034B5EA9"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(Утверждено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23.X.1932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14F4905" w14:textId="02DCB03C"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развитие и в дополнение постановления СТО и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от 13.IV.1932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544, 19.IV.1932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407/139, 25.IV.1932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612, З.V.1932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456, 7.V.1932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478/162 и 4.VII.1932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1056,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Совет Народных Комиссаров постановляет:</w:t>
      </w:r>
    </w:p>
    <w:p w14:paraId="59B0E33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Возложить на ОГПУ строительство Байкало-Амурский железной дороги с использованием для этого строительства заключенных исправительно-трудовых лагерей ОГПУ.</w:t>
      </w:r>
    </w:p>
    <w:p w14:paraId="720A6B42" w14:textId="5E8C0AE0"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НКПС в соответствии с этим отменить свой приказ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726/ц от 8.Х.1932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 передаче в ведение Управления Байкало-Амурского строительства других строительных работ на Дальнем Востоке.</w:t>
      </w:r>
    </w:p>
    <w:p w14:paraId="14C1AEF4" w14:textId="75F5B3F5"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СНК о назначении начальником строительства Байкало-Амурской железной дороги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Мрачковского оставить в силе.</w:t>
      </w:r>
    </w:p>
    <w:p w14:paraId="65617060" w14:textId="6C39963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Проект, объем работ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финансирование.</w:t>
      </w:r>
    </w:p>
    <w:p w14:paraId="6620F36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Предложить НКПС:</w:t>
      </w:r>
    </w:p>
    <w:p w14:paraId="1925CEA5" w14:textId="4D2AA5B4"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Обеспечить окончание проекта трассы в пределах ст.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Ольдой Уссурийской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и поселков: Тында, Дамбуки и Стойба на протяжении ориентировочно 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1.V.19ЗЗ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 полностью проект всей трассы (ориентировочно протяжением 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к 1.XII.1933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A7553D3" w14:textId="4C30FBA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Направление трассы утвердить с прохождением, после примыкания у ст.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Ольдой Уссурийской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через поселок Тынду и по пойме реки Гилюй на расстоянии не более 120</w:t>
      </w:r>
      <w:r w:rsidRPr="00E93F40">
        <w:rPr>
          <w:rFonts w:ascii="Times New Roman" w:hAnsi="Times New Roman"/>
          <w:color w:val="000000" w:themeColor="text1"/>
          <w:sz w:val="16"/>
          <w:szCs w:val="16"/>
        </w:rPr>
        <w:noBreakHyphen/>
        <w:t>160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от существующей Уссурийской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В пределах от поселка Стойба до озера Эверон направление трассы утвердить по южному варианту с переходом реки Бурей у Усть-Нимана.</w:t>
      </w:r>
    </w:p>
    <w:p w14:paraId="621DB538" w14:textId="2652C21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Утвердить план работ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Байкало-Амурской магистрали из расчета на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укладки,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куб.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 земляных работ и развертывание подготовительных работ по всей магистрали.</w:t>
      </w:r>
    </w:p>
    <w:p w14:paraId="28BE10F1" w14:textId="1572D86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Госплан в плане капитальных работ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предусмотреть на постройку Байкало-Амурской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магистрали ориентировочно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 уточнив эту сумму при составлении плана капитальных работ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E9CC119" w14:textId="5494A144"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Принять к сведению сообщение НКПС о том, что им выделено для строительства БАМ на IV</w:t>
      </w:r>
      <w:r w:rsidRPr="00E93F40">
        <w:rPr>
          <w:rFonts w:ascii="Times New Roman" w:hAnsi="Times New Roman"/>
          <w:color w:val="000000" w:themeColor="text1"/>
          <w:sz w:val="16"/>
          <w:szCs w:val="16"/>
        </w:rPr>
        <w:noBreakHyphen/>
        <w:t>й квартал в счет его лимитов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7EA8A3D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НКПС передать эти средства в распоряжение ОГПУ для строительства БАМ.</w:t>
      </w:r>
    </w:p>
    <w:p w14:paraId="26A32F9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ОГПУ и НКПС в 2</w:t>
      </w:r>
      <w:r w:rsidRPr="00E93F40">
        <w:rPr>
          <w:rFonts w:ascii="Times New Roman" w:hAnsi="Times New Roman"/>
          <w:color w:val="000000" w:themeColor="text1"/>
          <w:sz w:val="16"/>
          <w:szCs w:val="16"/>
        </w:rPr>
        <w:noBreakHyphen/>
        <w:t>декадный срок предоставить через Госплан на утверждение СТО уточненный расчет финансирования, необходимого в IV</w:t>
      </w:r>
      <w:r w:rsidRPr="00E93F40">
        <w:rPr>
          <w:rFonts w:ascii="Times New Roman" w:hAnsi="Times New Roman"/>
          <w:color w:val="000000" w:themeColor="text1"/>
          <w:sz w:val="16"/>
          <w:szCs w:val="16"/>
        </w:rPr>
        <w:noBreakHyphen/>
        <w:t>м квартале.</w:t>
      </w:r>
    </w:p>
    <w:p w14:paraId="5D64EF98" w14:textId="231553F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Техническое вооружение.</w:t>
      </w:r>
    </w:p>
    <w:p w14:paraId="04488838" w14:textId="75EB4723"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Для освоения Байкало-Амурским строительством программы работ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определить нижеследующий отпуск строительных и транспортных механизмов:</w:t>
      </w:r>
    </w:p>
    <w:p w14:paraId="6D9E7254"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Экскаваторы ......................... 15 шт.</w:t>
      </w:r>
    </w:p>
    <w:p w14:paraId="7295043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Узкоколейные паровозы и мотовозы .... 45 шт.</w:t>
      </w:r>
    </w:p>
    <w:p w14:paraId="59D07E9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Вагонетки костромские .............. 570 шт.</w:t>
      </w:r>
    </w:p>
    <w:p w14:paraId="2E95260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Вагонетки Коппеля ...................2000 шт</w:t>
      </w:r>
    </w:p>
    <w:p w14:paraId="2AE06C6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Узкоколейные рельсы ................. 125 км</w:t>
      </w:r>
    </w:p>
    <w:p w14:paraId="7EAA818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Компрессора ......................... 45 шт.</w:t>
      </w:r>
    </w:p>
    <w:p w14:paraId="6E3906E4"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Перфораторы ........................ 180 шт.</w:t>
      </w:r>
    </w:p>
    <w:p w14:paraId="1CCA3EA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Пневматические кузницы .............. 10 шт.</w:t>
      </w:r>
    </w:p>
    <w:p w14:paraId="15D2872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Установки для жидкого воздуха ........ 5 шт.</w:t>
      </w:r>
    </w:p>
    <w:p w14:paraId="4898A28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Центробежные насосы с двигателями .. 35 шт.</w:t>
      </w:r>
    </w:p>
    <w:p w14:paraId="229F5B4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Насосы Летостю ..................... 50 шт.</w:t>
      </w:r>
    </w:p>
    <w:p w14:paraId="567D648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Насосы диафрагмовые (ручные) ...... 100 шт.</w:t>
      </w:r>
    </w:p>
    <w:p w14:paraId="238719B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Станки по дереву ................... 60 шт.</w:t>
      </w:r>
    </w:p>
    <w:p w14:paraId="10F2469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Станки по металлу ...................90 шт.</w:t>
      </w:r>
    </w:p>
    <w:p w14:paraId="3989EE4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Локомобили ......................... 17 шт.</w:t>
      </w:r>
    </w:p>
    <w:p w14:paraId="7B87368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Электромоторы ..................... 162 шт.</w:t>
      </w:r>
    </w:p>
    <w:p w14:paraId="0D444C0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Динамомашины ....................... 28 шт.</w:t>
      </w:r>
    </w:p>
    <w:p w14:paraId="1025D18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Лесопильные рамы .................... 8 шт.</w:t>
      </w:r>
    </w:p>
    <w:p w14:paraId="15E332B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Грузовые автомашины ............... 150 шт.</w:t>
      </w:r>
    </w:p>
    <w:p w14:paraId="481D125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Легковые автомашины ................ 35 шт.</w:t>
      </w:r>
    </w:p>
    <w:p w14:paraId="1E562DA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Тракторы на обыкновенном ходу ..... 450 шт.</w:t>
      </w:r>
    </w:p>
    <w:p w14:paraId="6B21945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Тракторы гусеничные ЧТЗ ........... 100 шт.</w:t>
      </w:r>
    </w:p>
    <w:p w14:paraId="02459EF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Катера 75-сильные .................. 30 шт.</w:t>
      </w:r>
    </w:p>
    <w:p w14:paraId="43EF071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Буксиры-пароходы .................... 6 шт.</w:t>
      </w:r>
    </w:p>
    <w:p w14:paraId="43EF2BF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Баржи .............................. 15 шт.</w:t>
      </w:r>
    </w:p>
    <w:p w14:paraId="4977495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Паровые котлы ...................... 40 шт.</w:t>
      </w:r>
    </w:p>
    <w:p w14:paraId="0045BD44"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Корчевальные машины тракторные ..... 50 шт.</w:t>
      </w:r>
    </w:p>
    <w:p w14:paraId="0E7A9CB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Бетономешалки ...................... 20 шт.</w:t>
      </w:r>
    </w:p>
    <w:p w14:paraId="10D9F49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Камнедробилки ....................... 5 шт.</w:t>
      </w:r>
    </w:p>
    <w:p w14:paraId="148A09B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Телефонные установки .............. 150 шт.</w:t>
      </w:r>
    </w:p>
    <w:p w14:paraId="0EA3F6A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Телеграфные аппараты ............... 40 шт.</w:t>
      </w:r>
    </w:p>
    <w:p w14:paraId="433B092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 Дрезины-качалки .................... 10 шт.</w:t>
      </w:r>
    </w:p>
    <w:p w14:paraId="4ADB9D1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 Дрезины лебедочные ................. 10 шт.</w:t>
      </w:r>
    </w:p>
    <w:p w14:paraId="6626E2B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Путевые вагончики .................. 40 шт.</w:t>
      </w:r>
    </w:p>
    <w:p w14:paraId="7CD51C8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Шаровые мельницы .................... 2 шт.</w:t>
      </w:r>
    </w:p>
    <w:p w14:paraId="16B4B699" w14:textId="7E4DE93A"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Обязать НКПС в счет вышеуказанного оборудования выделить в течение 4</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 имеющегося парка:</w:t>
      </w:r>
    </w:p>
    <w:p w14:paraId="2DCDC4C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Экскаваторы ......................... 10 шт.</w:t>
      </w:r>
    </w:p>
    <w:p w14:paraId="4A01EA4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Узкоколейных паровозов .............. 10 шт.</w:t>
      </w:r>
    </w:p>
    <w:p w14:paraId="4686125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Вагонеток костромских .............. 200 шт.</w:t>
      </w:r>
    </w:p>
    <w:p w14:paraId="207A7E4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Вагонеток Коппеля .................. 200 шт.</w:t>
      </w:r>
    </w:p>
    <w:p w14:paraId="164C42F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Рельс узкоколейных ................... 30 км</w:t>
      </w:r>
    </w:p>
    <w:p w14:paraId="06B2B6C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Компрессоров ........................ 10 шт.</w:t>
      </w:r>
    </w:p>
    <w:p w14:paraId="111AEC74"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Перфораторов ........................ 20 шт.</w:t>
      </w:r>
    </w:p>
    <w:p w14:paraId="50EDD0CB"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8. Пневматических кузниц ................ 1 шт.</w:t>
      </w:r>
    </w:p>
    <w:p w14:paraId="4E6FCD7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Центробежных насосов с двигателями ... 5 шт.</w:t>
      </w:r>
    </w:p>
    <w:p w14:paraId="322B3B2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Насосы Летостю ..................... 60 шт.</w:t>
      </w:r>
    </w:p>
    <w:p w14:paraId="3F88517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Насосы диафрагмовые ............... 100 шт.</w:t>
      </w:r>
    </w:p>
    <w:p w14:paraId="6BA9C1A1"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Бетономешалок ....................... 5 шт.</w:t>
      </w:r>
    </w:p>
    <w:p w14:paraId="6A762C4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Камнедробилок ....................... 2 шт.</w:t>
      </w:r>
    </w:p>
    <w:p w14:paraId="528E9F0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Телефонных установок .............. 150 шт.</w:t>
      </w:r>
    </w:p>
    <w:p w14:paraId="4478931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Телефонных аппаратов ............... 40 шт.</w:t>
      </w:r>
    </w:p>
    <w:p w14:paraId="60AF72E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Дрезин качалочных .................. 10 шт.</w:t>
      </w:r>
    </w:p>
    <w:p w14:paraId="45D805C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Дрезины лебедочные ................. 10 шт.</w:t>
      </w:r>
    </w:p>
    <w:p w14:paraId="0B6342F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Путевые вагончики .................. 40 шт.</w:t>
      </w:r>
    </w:p>
    <w:p w14:paraId="7A0BFD9A" w14:textId="1FE3C72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НКТП в течение IV</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I</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выделить из действующего парка:</w:t>
      </w:r>
    </w:p>
    <w:p w14:paraId="390CE5E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Компрессоров ......................... 5 шт.</w:t>
      </w:r>
    </w:p>
    <w:p w14:paraId="3EDD54A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Установки для жидкого воздуха ........ 2 шт.</w:t>
      </w:r>
    </w:p>
    <w:p w14:paraId="4C05037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установка с завода РОГАЗ и 1 — с Днепростроя)</w:t>
      </w:r>
    </w:p>
    <w:p w14:paraId="7763285F" w14:textId="66FE3F72"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Обязать НКТП отгрузить ОГПУ в счет фонда НКТПрома следующее оборудование для БАМ'а с окончанием отгрузки до 15</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3210C88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Узкоколейных паровозов .............. 30 шт.</w:t>
      </w:r>
    </w:p>
    <w:p w14:paraId="48EA0BB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Мотовозов ........................... 30 шт.</w:t>
      </w:r>
    </w:p>
    <w:p w14:paraId="55CFF3B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Костромских вагонеток .............. 320 шт.</w:t>
      </w:r>
    </w:p>
    <w:p w14:paraId="25C5D94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Коппельских вагонеток .............. 800 шт.</w:t>
      </w:r>
    </w:p>
    <w:p w14:paraId="322E115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Узкоколейных рельс ................... 70 км</w:t>
      </w:r>
    </w:p>
    <w:p w14:paraId="2C5B7964"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Компрессоров .............. (в I кв.) 10 шт.</w:t>
      </w:r>
    </w:p>
    <w:p w14:paraId="4C4CBBCE" w14:textId="36108875" w:rsidR="000E60FD"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E60FD" w:rsidRPr="00E93F40">
        <w:rPr>
          <w:rFonts w:ascii="Times New Roman" w:hAnsi="Times New Roman"/>
          <w:color w:val="000000" w:themeColor="text1"/>
          <w:sz w:val="16"/>
          <w:szCs w:val="16"/>
        </w:rPr>
        <w:t xml:space="preserve"> (во II кв.) 15 шт.</w:t>
      </w:r>
    </w:p>
    <w:p w14:paraId="36CDBCCE" w14:textId="3A2AFC50" w:rsidR="000E60FD"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E60FD" w:rsidRPr="00E93F40">
        <w:rPr>
          <w:rFonts w:ascii="Times New Roman" w:hAnsi="Times New Roman"/>
          <w:color w:val="000000" w:themeColor="text1"/>
          <w:sz w:val="16"/>
          <w:szCs w:val="16"/>
        </w:rPr>
        <w:t xml:space="preserve"> (в III кв.)</w:t>
      </w:r>
      <w:r>
        <w:rPr>
          <w:rFonts w:ascii="Times New Roman" w:hAnsi="Times New Roman"/>
          <w:color w:val="000000" w:themeColor="text1"/>
          <w:sz w:val="16"/>
          <w:szCs w:val="16"/>
        </w:rPr>
        <w:t xml:space="preserve"> </w:t>
      </w:r>
      <w:r w:rsidR="000E60FD" w:rsidRPr="00E93F40">
        <w:rPr>
          <w:rFonts w:ascii="Times New Roman" w:hAnsi="Times New Roman"/>
          <w:color w:val="000000" w:themeColor="text1"/>
          <w:sz w:val="16"/>
          <w:szCs w:val="16"/>
        </w:rPr>
        <w:t>5 шт.</w:t>
      </w:r>
    </w:p>
    <w:p w14:paraId="0DD1050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Перфораторов ....................... 160 шт.</w:t>
      </w:r>
    </w:p>
    <w:p w14:paraId="26BB91E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Центробежных насосов с двигателями .. 25 шт.</w:t>
      </w:r>
    </w:p>
    <w:p w14:paraId="04D8032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Станки по дереву .................... 40 шт.</w:t>
      </w:r>
    </w:p>
    <w:p w14:paraId="6DFE0BFE" w14:textId="23E6711B" w:rsidR="000E60FD" w:rsidRPr="00E93F40" w:rsidRDefault="00DD74E1" w:rsidP="00E93F4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E60FD" w:rsidRPr="00E93F40">
        <w:rPr>
          <w:rFonts w:ascii="Times New Roman" w:hAnsi="Times New Roman"/>
          <w:color w:val="000000" w:themeColor="text1"/>
          <w:sz w:val="16"/>
          <w:szCs w:val="16"/>
        </w:rPr>
        <w:t>(и до 1.VII) 20 шт.</w:t>
      </w:r>
    </w:p>
    <w:p w14:paraId="461EEFC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Станки по металлу .................. 90 шт.</w:t>
      </w:r>
    </w:p>
    <w:p w14:paraId="2BE1A3B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Локомобили ......................... 17 шт.</w:t>
      </w:r>
    </w:p>
    <w:p w14:paraId="0A51CDE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Электромоторы ..................... 162 шт.</w:t>
      </w:r>
    </w:p>
    <w:p w14:paraId="7F55533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Динамо-машины ...................... 20 шт.</w:t>
      </w:r>
    </w:p>
    <w:p w14:paraId="07662A3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Лесопильные рамы .................... 8 шт.</w:t>
      </w:r>
    </w:p>
    <w:p w14:paraId="756E538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Паровые котлы ...................... 40 шт.</w:t>
      </w:r>
    </w:p>
    <w:p w14:paraId="248729D4"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Бетономешалок ...................... 15 шт.</w:t>
      </w:r>
    </w:p>
    <w:p w14:paraId="705C5E1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Камнедробилки ....................... 3 шт.</w:t>
      </w:r>
    </w:p>
    <w:p w14:paraId="22927B6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Шаровые мельницы .................... 2 шт.</w:t>
      </w:r>
    </w:p>
    <w:p w14:paraId="68954A14" w14:textId="1FFE24B0"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Обязать Госплан предусмотреть в плане распределения тракторов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550 тракторов для Байкало-Амурской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магистрали, из них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тракторов на гусеничном ходу. В IV</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отгрузить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4247C06D" w14:textId="64A274A4"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Обязать Госплан предусмотреть в плане распределения автомашин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грузовых машин для БАМ'а с отгрузкой в I</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и во II</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w:t>
      </w:r>
    </w:p>
    <w:p w14:paraId="55ADE34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Обязать НКЗем выделить из имеющегося парка:</w:t>
      </w:r>
    </w:p>
    <w:p w14:paraId="0AF5C25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Экскаваторы .......................... 5 шт.</w:t>
      </w:r>
    </w:p>
    <w:p w14:paraId="112C398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Костромских вагонеток ............... 50 шт.</w:t>
      </w:r>
    </w:p>
    <w:p w14:paraId="68A7A7F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Узкоколейных рельс ................. 12,5 км</w:t>
      </w:r>
    </w:p>
    <w:p w14:paraId="02E28F5D" w14:textId="1A67AA22"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Обязать НКВод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Янсона выделить не за счет Амурского бассейна с доставкой на место работы к началу навигации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буксирных пароходов и изготовить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баржей по соглашению с начальником Байкало-Амурского Строительства.</w:t>
      </w:r>
    </w:p>
    <w:p w14:paraId="48A288D9" w14:textId="266A488E"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Предложить НКТП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Доценко по соглашению с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Мрачковским обеспечить изготовление и доставку к апрелю месяцу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Байкало-Амурскому строительству 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75</w:t>
      </w:r>
      <w:r w:rsidRPr="00E93F40">
        <w:rPr>
          <w:rFonts w:ascii="Times New Roman" w:hAnsi="Times New Roman"/>
          <w:color w:val="000000" w:themeColor="text1"/>
          <w:sz w:val="16"/>
          <w:szCs w:val="16"/>
        </w:rPr>
        <w:noBreakHyphen/>
        <w:t>сильных моторов для буксирных катеров.</w:t>
      </w:r>
    </w:p>
    <w:p w14:paraId="1E68D12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Предложить ОГПУ на территории строительства организовать свои подсобные хозяйственные предприятия: кирпичный, черепичный заводы, деревообделочные и механические мастерские для максимального использования местных строительных материалов и производства всех видов ремонта строймеханизмов.</w:t>
      </w:r>
    </w:p>
    <w:p w14:paraId="362D0B0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Материалы.</w:t>
      </w:r>
    </w:p>
    <w:p w14:paraId="790DE6E8" w14:textId="5B74A0C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Обязать Госплан СССР предусмотреть отпуск ОГПУ по фондам НКПС’а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нижеуказанную потребность Байкало-Амурского строительства в главнейших материалах: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71"/>
        <w:gridCol w:w="2873"/>
        <w:gridCol w:w="3278"/>
      </w:tblGrid>
      <w:tr w:rsidR="00DA227A" w:rsidRPr="00E93F40" w14:paraId="1D17EAFD"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6055C8" w14:textId="1581A069" w:rsidR="000E60FD"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7AB1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Общее 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BEF4B" w14:textId="1A489792"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2D535D17"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9E9E1D" w14:textId="01BF579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Рельс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новых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типа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48CD7" w14:textId="3BD2BB9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BC07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79B31B5"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6F63F"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Скреплений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1C63F" w14:textId="79A01D83"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F465D"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1CBA22D"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CEB104" w14:textId="244DC808"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Стрелочные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переводы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9AC24" w14:textId="26846613"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D91B4" w14:textId="59D33E7B"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r>
      <w:tr w:rsidR="00DA227A" w:rsidRPr="00E93F40" w14:paraId="6F8CD605"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194E8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62AAC" w14:textId="5A3F8049"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FC09A" w14:textId="3BFBF038"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0F34BC4B"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B7B53"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сортовое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6DC38" w14:textId="405845C2"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B2B9C" w14:textId="5C560CB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6ED85D9B"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83AB2"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арматурное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0BA5F" w14:textId="68850F44"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AA42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2A828F67"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8C03A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54A13" w14:textId="61534C6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7B97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783FF84C"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42A59" w14:textId="75E9EFF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Проволока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строительная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9808F" w14:textId="5D361E7C"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5BAE7"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FABB8FF"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56748"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80FBF" w14:textId="28CA550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0DD04"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478630B1"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E4E09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кровельное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98F93" w14:textId="4753349D"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5B824" w14:textId="184E8C30"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3B070F7E"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06DA8F"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Железо оцинкованное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B54C6" w14:textId="6C15E50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00BF1" w14:textId="445C2C98"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291F86F4"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EA20A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466C2" w14:textId="50701B3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71F7C" w14:textId="2042E55B"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r w:rsidR="00DA227A" w:rsidRPr="00E93F40" w14:paraId="5215CC05"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90D3E"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Изоляторы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DE2C2" w14:textId="730CB66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10125" w14:textId="2716718A"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tc>
      </w:tr>
      <w:tr w:rsidR="00DA227A" w:rsidRPr="00E93F40" w14:paraId="6FF04172"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0C504" w14:textId="2A04E2CA"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Проволока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железная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оцинкованая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30531" w14:textId="1517C7C1"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B015E" w14:textId="40BCAEA3"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tc>
      </w:tr>
    </w:tbl>
    <w:p w14:paraId="6F0BAB7F" w14:textId="52E6EF43"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Обязать НКПС выделить из своих фондов на IV</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БАМ материалы, согласно вышеприведенной таблицы (за исключением сортового железа). 100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сортового железа выделить из резерва СНК.</w:t>
      </w:r>
    </w:p>
    <w:p w14:paraId="2DBF155C"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При составлении баланса распределения леса по Дальнему Востоку предусмотреть выделение Управлению строительства БАМ необходимого количества леса для размещения первых партий рабочих, обязав строительство немедленно развернуть собственные лесоразработки.</w:t>
      </w:r>
    </w:p>
    <w:p w14:paraId="16A32565" w14:textId="1D5FDD9A"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НКПС на IV</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выделить необходимый инструмент для ведения лесоразработок.</w:t>
      </w:r>
    </w:p>
    <w:p w14:paraId="0BDE454C" w14:textId="1FE5AE78"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Обязать Госплан предусмотреть ориентировочно для обеспечения нужд Байкало-Амурской магистрали 12.000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рулонов толя кровельного; и 150.000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стекла оконного, из коих в IV</w:t>
      </w:r>
      <w:r w:rsidRPr="00E93F40">
        <w:rPr>
          <w:rFonts w:ascii="Times New Roman" w:hAnsi="Times New Roman"/>
          <w:color w:val="000000" w:themeColor="text1"/>
          <w:sz w:val="16"/>
          <w:szCs w:val="16"/>
        </w:rPr>
        <w:noBreakHyphen/>
        <w:t>м квартале выделить 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рулонов толя кровельного за счет НКПС и 20.000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стекла оконного за счет снижения остатков на заводах, обязав НКПС вывезти это стекло для БАМ.</w:t>
      </w:r>
    </w:p>
    <w:p w14:paraId="6915318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Кадры.</w:t>
      </w:r>
    </w:p>
    <w:p w14:paraId="6D19D55E" w14:textId="7DAF81B9"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Предложить НКПС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Андрееву по списку представленному начальником строительства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Мрачковским, направить в распоряжение строительства опытных инженеров путей сообщения с достаточным строительным стажем, а также по мере развертывания работ обеспечить выделение недостающего количества старшего и среднего инженерно-технического персонала из числа имеющегося в распоряжении НКПС'а и оканчивающих транспортные ВТУЗы.</w:t>
      </w:r>
    </w:p>
    <w:p w14:paraId="131B6260"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Предложить НКТруду по согласованию с ОГПУ в декадный срок издать постановление о льготах для лиц, занятых на строительстве БАМ.</w:t>
      </w:r>
    </w:p>
    <w:p w14:paraId="1C99ADA8" w14:textId="4309DF2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20. Разрешить ОГПУ для заключенных, занятых на строительстве БАМ'а применять льготы, предусмотренные постановлением ЦИК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от 23.XI.1931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23.</w:t>
      </w:r>
    </w:p>
    <w:p w14:paraId="4EA7C306"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Обязать наркоматы и ведомства, специалистов, изъявивших желание работать на строительстве БАМ и работающих в других отраслях народного хозяйства, немедленно отпускать в распоряжение строительства. Возложить на НКТруд обязанность принятия соответствующих мер к освобождению вышеуказанных специалистов.</w:t>
      </w:r>
    </w:p>
    <w:p w14:paraId="14F1917A"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Спецодежда, постельные принадлежности и бытовой инвентарь.</w:t>
      </w:r>
    </w:p>
    <w:p w14:paraId="1266B610" w14:textId="2A6948C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Обязать Комитет Товарных Фондов и регулирования торговли при СТО, с привлечением Наркомтруда, определить количество спецодежды, постельных принадлежностей и бытового инвентаря, необходимое для строительства БАМ, выделить соответствующие фонды на IV</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определить количество и сроки завоза промтоваров.</w:t>
      </w:r>
    </w:p>
    <w:p w14:paraId="096334E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Лошади и фураж.</w:t>
      </w:r>
    </w:p>
    <w:p w14:paraId="3DF0E7B2" w14:textId="173A5CE4"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Обязать Заготконь и строительство БАМ закупить для нужд строительства 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лошадей, из коих в 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во 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и в III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5DF55B79" w14:textId="72510772"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Обязать Комитет Заготовок сельхозпродуктов и Комитет Резервов при СТО определить, исходя из заданной программы и установленной численности лошадей, количество фуража, подлежащего выделению для строительства БАМ в IV</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выделить таковое.</w:t>
      </w:r>
    </w:p>
    <w:p w14:paraId="28C3198F"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Рабочее снабжение.</w:t>
      </w:r>
    </w:p>
    <w:p w14:paraId="5FB84C4D" w14:textId="3852E6A6"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Признать необходимым установить для снабжения рабочих строительства БАМ специальные нормы пайкового госснабжения и обязать Наркомснаб и ОГПУ в декадный срок разработать таковые и ввести их в действие с 1.I.1933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C541F82" w14:textId="14D50CD2"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Обязать Комитет Заготовок при СТО выделить ОГПУ 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мяса (живым скотом).</w:t>
      </w:r>
    </w:p>
    <w:p w14:paraId="02498989"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Обязать Комитет Товарных Фондов и регулирования торговли при СТО, Наркомснаб, Наркомлегпром обеспечить выделение и своевременную заброску продовольственных и промтоварных фондов по заявке БАМ, составляемым на основе контингентов рабочих строительства, соответственно производственным программам и планам.</w:t>
      </w:r>
    </w:p>
    <w:p w14:paraId="5A2DEEF0" w14:textId="0860240D"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Обязать Наркомснаб проверить и выделить для строительства БАМ по его заявке, согласованный с Центросоюзом (Транспосекцией), фонд специальных видов продовольственного снабжения из расчета в IV</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по наличному числу работающих в изыскательские партиях и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 расчета 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w:t>
      </w:r>
    </w:p>
    <w:p w14:paraId="2F344070" w14:textId="082350CC"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Предложить ОГПУ организовать и развить в течение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свою сельско-хозяйственную базу на территории строительства, для чего в декадный срок договориться с Наркомсовхозом и Заготскотом о передаче совхозов и выделении коров, свиноматок и кроликоматок.</w:t>
      </w:r>
    </w:p>
    <w:p w14:paraId="0298CB9A" w14:textId="09484B2C"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Обязать Госплан и наркоматы при рассмотрении фондов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обеспечить потребность строительства Амуро-Байкальской магистрали в финансах, материалах и оборудовании, особым параграфом; как строительство особого назначения.</w:t>
      </w:r>
    </w:p>
    <w:p w14:paraId="3AC78E4A" w14:textId="1A5DB7FF"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Подтвердить постановление Совета Народных Комиссаров СССР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612/150</w:t>
      </w:r>
      <w:r w:rsidRPr="00E93F40">
        <w:rPr>
          <w:rFonts w:ascii="Times New Roman" w:hAnsi="Times New Roman"/>
          <w:color w:val="000000" w:themeColor="text1"/>
          <w:sz w:val="16"/>
          <w:szCs w:val="16"/>
        </w:rPr>
        <w:noBreakHyphen/>
        <w:t>с от 25.IV.1932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 включении строительства Байкало-Амурской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магистрали в список строек оборонного значения и обязать заинтересованные ведомства и организации выделить в 3</w:t>
      </w:r>
      <w:r w:rsidRPr="00E93F40">
        <w:rPr>
          <w:rFonts w:ascii="Times New Roman" w:hAnsi="Times New Roman"/>
          <w:color w:val="000000" w:themeColor="text1"/>
          <w:sz w:val="16"/>
          <w:szCs w:val="16"/>
        </w:rPr>
        <w:noBreakHyphen/>
        <w:t>дневный срок специальных лиц из руководящего состава, персонально ответственных за выполнение настоящего постановления. Фамилии и должности выделенных лиц сообщить СНК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w:t>
      </w:r>
    </w:p>
    <w:p w14:paraId="14AA8155" w14:textId="77777777"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 Учитывая особую важность данного строительства, возложить на НКПС своевременное обеспечение БАМ специальным техническим вооружением, подвижным составом и кадрами специалистов.</w:t>
      </w:r>
    </w:p>
    <w:p w14:paraId="6C305931" w14:textId="77580293"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 Возложить на Комитет Содействия строительству Байкало-Амурской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магистрали проверку исполнения указанными наркоматами и организациями настоящего постановления.</w:t>
      </w:r>
    </w:p>
    <w:p w14:paraId="15DA994D" w14:textId="1833F730"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Совета Народных Комиссаров Союза ССР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Молотов (Скрябин).</w:t>
      </w:r>
    </w:p>
    <w:p w14:paraId="7E37D30B" w14:textId="36FBAF5D" w:rsidR="000E60FD" w:rsidRPr="00E93F40" w:rsidRDefault="000E60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Управляющий Делами Совета Народных Комиссаров Союза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Керженцев (17834).</w:t>
      </w:r>
    </w:p>
    <w:p w14:paraId="3EA8566A" w14:textId="77777777" w:rsidR="000E60FD" w:rsidRPr="00E93F40" w:rsidRDefault="000E60FD" w:rsidP="00E93F40">
      <w:pPr>
        <w:spacing w:after="0" w:line="240" w:lineRule="auto"/>
        <w:jc w:val="both"/>
        <w:rPr>
          <w:rFonts w:ascii="Times New Roman" w:hAnsi="Times New Roman"/>
          <w:color w:val="000000" w:themeColor="text1"/>
          <w:sz w:val="16"/>
          <w:szCs w:val="16"/>
        </w:rPr>
      </w:pPr>
    </w:p>
    <w:p w14:paraId="5B07FF71" w14:textId="6D36CE17" w:rsidR="000B4F2C" w:rsidRPr="00E93F40" w:rsidRDefault="000B4F2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октября</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об «извращениях» в просмотре книжных фондов нарком просвещения А.С.Бубнов (1880-1949), доложил в Политбюро. Было принято решение «В виду совершенно недопустимого, по существу антисоветского характера, который приобрела чистка библиотек за последние два года, немедленно прекратить чистку, перевозку и перепродажу книг из всех библиотек». Кроме этого, было решено создать при Президиуме ЦКК комиссию "для выявления действительных виновников преступного проведения чистки и для разработки мероприятий". Член Президиума ЦКК Н.К.Антипов (1894-1938) подготовил список состава «комиссии ЦКК по библиотечному делу», который достаточно формально был утвержден опросом членов Политбюро 30 октября. В комиссию под председательством члена Президиума Центрального Исполнительного Комитета (ЦИК) СССР и члена ЦКК А.С.Енукидзе (1877-1937) вошли 23 человека, среди них представители Наркомпроса (Н.Н.Колотилов, Н.В.Мальцев и Н.К.Крупская), Главлита (А.А.Сольц), директора Публичной Библиотеки им. М.Е.Салтыкова-Щедрина, Публичной им. В.И.Ленина и Библиотеки МГУ. 8</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ноября</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после отчета ЦКК, Политбюро передало этот вопрос в Оргбюро ЦК для окончательного разрешения (17273).</w:t>
      </w:r>
    </w:p>
    <w:p w14:paraId="5CDF7135" w14:textId="77777777" w:rsidR="000B4F2C" w:rsidRPr="00E93F40" w:rsidRDefault="000B4F2C" w:rsidP="00E93F40">
      <w:pPr>
        <w:autoSpaceDE w:val="0"/>
        <w:autoSpaceDN w:val="0"/>
        <w:adjustRightInd w:val="0"/>
        <w:spacing w:after="0" w:line="240" w:lineRule="auto"/>
        <w:jc w:val="both"/>
        <w:rPr>
          <w:rFonts w:ascii="Times New Roman" w:hAnsi="Times New Roman"/>
          <w:color w:val="000000" w:themeColor="text1"/>
          <w:sz w:val="16"/>
          <w:szCs w:val="16"/>
        </w:rPr>
      </w:pPr>
    </w:p>
    <w:p w14:paraId="0306F252" w14:textId="77777777" w:rsidR="00575CA3" w:rsidRPr="00E93F40" w:rsidRDefault="00575CA3"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C8AF521" w14:textId="77777777" w:rsidR="00575CA3" w:rsidRPr="00E93F40" w:rsidRDefault="00575CA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EAB574"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октября 1932</w:t>
      </w:r>
    </w:p>
    <w:p w14:paraId="7C3FF209" w14:textId="3FDCDE35"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120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23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3C354DBD" w14:textId="46083FA2"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 ВКП(б) от 23</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октября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63F418E9" w14:textId="5D44C4FC"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18: О строительстве Байкало-Амурский магистрали (проект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предложений)</w:t>
      </w:r>
    </w:p>
    <w:p w14:paraId="266C86E7" w14:textId="58F3B08F"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16.X.32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119,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21).</w:t>
      </w:r>
    </w:p>
    <w:p w14:paraId="2C8000BE"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(Молотов, Ягода).</w:t>
      </w:r>
    </w:p>
    <w:p w14:paraId="45A95509" w14:textId="2DB21389"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Утвердить представленный комиссией проект постановления о строительстве Байкало-Амурской ж.</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магистрали (</w:t>
      </w:r>
      <w:hyperlink r:id="rId254"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4</w:t>
        </w:r>
      </w:hyperlink>
      <w:r w:rsidRPr="00E93F40">
        <w:rPr>
          <w:rFonts w:ascii="Times New Roman" w:hAnsi="Times New Roman"/>
          <w:color w:val="000000" w:themeColor="text1"/>
          <w:sz w:val="16"/>
          <w:szCs w:val="16"/>
        </w:rPr>
        <w:t>).</w:t>
      </w:r>
    </w:p>
    <w:p w14:paraId="0C301636" w14:textId="6E3234FB"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 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2BD0C439" w14:textId="23CA5098"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 связи с возложением на ОГПУ двух важнейших строительств: Волга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Москва и БАМ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запретить возложение на лагеря ОГПУ каких бы то ни было новых работ, считая для лагерей ОГПУ основными работами следующие объекты:</w:t>
      </w:r>
    </w:p>
    <w:p w14:paraId="030497CD"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окончание работ на Белморстрое,</w:t>
      </w:r>
    </w:p>
    <w:p w14:paraId="624045D3" w14:textId="62D8D748"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канала Волга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Москва,</w:t>
      </w:r>
    </w:p>
    <w:p w14:paraId="56C38BE4"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Байкало-Амурской магистрали,</w:t>
      </w:r>
    </w:p>
    <w:p w14:paraId="26DA8B50"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Колыма,</w:t>
      </w:r>
    </w:p>
    <w:p w14:paraId="291F3B9A"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Ухте и Печоре,</w:t>
      </w:r>
    </w:p>
    <w:p w14:paraId="2E3E5DFC"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заготовка дров для Ленинграда и Москвы в существующих программах.</w:t>
      </w:r>
    </w:p>
    <w:p w14:paraId="29A85AA0" w14:textId="13A8EF46"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Ввиду возложения на ОГПУ строительства перечисленных важнейших объектов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прекратить передачу вольных и заключенных специалистов лагерей ОГПУ другим организациям.</w:t>
      </w:r>
    </w:p>
    <w:p w14:paraId="3AA969F1"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105216C6" w14:textId="77777777"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Керженцеву, Менжинскому, Берзину (18134).</w:t>
      </w:r>
    </w:p>
    <w:p w14:paraId="384063B3" w14:textId="77777777" w:rsidR="00575CA3" w:rsidRPr="00E93F40" w:rsidRDefault="00575CA3" w:rsidP="00E93F40">
      <w:pPr>
        <w:spacing w:after="0" w:line="240" w:lineRule="auto"/>
        <w:jc w:val="both"/>
        <w:rPr>
          <w:rFonts w:ascii="Times New Roman" w:hAnsi="Times New Roman"/>
          <w:color w:val="000000" w:themeColor="text1"/>
          <w:sz w:val="16"/>
          <w:szCs w:val="16"/>
        </w:rPr>
      </w:pPr>
    </w:p>
    <w:p w14:paraId="193DA598" w14:textId="77777777" w:rsidR="00F01A58"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D066A58" w14:textId="77777777" w:rsidR="00F01A58" w:rsidRPr="00E93F40" w:rsidRDefault="00F01A5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A2A9FAA"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октября 1932, как сообщали НКИД и БОП ВСНХ в РВС, Восточную Комиссию СТО и УВВС:</w:t>
      </w:r>
    </w:p>
    <w:p w14:paraId="403C139A"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...Военный лётчик т. Антипов и воентехник т. Климович погибли 23.10. с.г. в Урум</w:t>
      </w:r>
      <w:r w:rsidRPr="00E93F40">
        <w:rPr>
          <w:rFonts w:ascii="Times New Roman" w:hAnsi="Times New Roman"/>
          <w:color w:val="000000" w:themeColor="text1"/>
          <w:sz w:val="16"/>
          <w:szCs w:val="16"/>
        </w:rPr>
        <w:softHyphen/>
        <w:t>чи на самолёте Р-1 по собственной вине несчастного Антипова, который, со свойст</w:t>
      </w:r>
      <w:r w:rsidRPr="00E93F40">
        <w:rPr>
          <w:rFonts w:ascii="Times New Roman" w:hAnsi="Times New Roman"/>
          <w:color w:val="000000" w:themeColor="text1"/>
          <w:sz w:val="16"/>
          <w:szCs w:val="16"/>
        </w:rPr>
        <w:softHyphen/>
        <w:t>венным ему неосторожностью вздумал на — по уставу недопустимой — недостаточной высоте произвести боевой разворот.</w:t>
      </w:r>
    </w:p>
    <w:p w14:paraId="5BC8C26D"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говоря уже о гибели 2 товарищей, печально, что катастрофа произошла на китайском самолёте, пилотируемом советскими лётчиками, не состоящими на китайской службе.</w:t>
      </w:r>
    </w:p>
    <w:p w14:paraId="3FD7B460"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Style w:val="171"/>
          <w:rFonts w:ascii="Times New Roman" w:hAnsi="Times New Roman" w:cs="Times New Roman"/>
          <w:color w:val="000000" w:themeColor="text1"/>
          <w:sz w:val="16"/>
          <w:szCs w:val="16"/>
          <w:u w:val="none"/>
        </w:rPr>
        <w:t>По моему мнению, в этой бестактности: допущение полёта т. Антипова виноват ис</w:t>
      </w:r>
      <w:r w:rsidRPr="00E93F40">
        <w:rPr>
          <w:rStyle w:val="171"/>
          <w:rFonts w:ascii="Times New Roman" w:hAnsi="Times New Roman" w:cs="Times New Roman"/>
          <w:color w:val="000000" w:themeColor="text1"/>
          <w:sz w:val="16"/>
          <w:szCs w:val="16"/>
          <w:u w:val="none"/>
        </w:rPr>
        <w:softHyphen/>
        <w:t>ключительно Генконсул в Урумчи т. Златкин</w:t>
      </w:r>
      <w:r w:rsidRPr="00E93F40">
        <w:rPr>
          <w:rFonts w:ascii="Times New Roman" w:hAnsi="Times New Roman"/>
          <w:color w:val="000000" w:themeColor="text1"/>
          <w:sz w:val="16"/>
          <w:szCs w:val="16"/>
        </w:rPr>
        <w:t xml:space="preserve"> (выделено красным в документе).</w:t>
      </w:r>
    </w:p>
    <w:p w14:paraId="512FAC7A"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Лётчик Антипов в Урумчи должен был выполнять приказания только т. Златкина, по</w:t>
      </w:r>
      <w:r w:rsidRPr="00E93F40">
        <w:rPr>
          <w:rFonts w:ascii="Times New Roman" w:hAnsi="Times New Roman"/>
          <w:color w:val="000000" w:themeColor="text1"/>
          <w:sz w:val="16"/>
          <w:szCs w:val="16"/>
        </w:rPr>
        <w:softHyphen/>
        <w:t>скольку он никаких обязательств перед китайцами ещё не имел.</w:t>
      </w:r>
    </w:p>
    <w:p w14:paraId="2CF8A9DA"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Таким образом, получается такое положение, что </w:t>
      </w:r>
      <w:r w:rsidRPr="00E93F40">
        <w:rPr>
          <w:rStyle w:val="171"/>
          <w:rFonts w:ascii="Times New Roman" w:hAnsi="Times New Roman" w:cs="Times New Roman"/>
          <w:color w:val="000000" w:themeColor="text1"/>
          <w:sz w:val="16"/>
          <w:szCs w:val="16"/>
          <w:u w:val="none"/>
        </w:rPr>
        <w:t>мы разбили китайский самолёт и очевидно, будем вынуждены возместить эту потерю бесплатно</w:t>
      </w:r>
      <w:r w:rsidRPr="00E93F40">
        <w:rPr>
          <w:rFonts w:ascii="Times New Roman" w:hAnsi="Times New Roman"/>
          <w:color w:val="000000" w:themeColor="text1"/>
          <w:sz w:val="16"/>
          <w:szCs w:val="16"/>
        </w:rPr>
        <w:t>.</w:t>
      </w:r>
    </w:p>
    <w:p w14:paraId="5A98C864"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Style w:val="171"/>
          <w:rFonts w:ascii="Times New Roman" w:hAnsi="Times New Roman" w:cs="Times New Roman"/>
          <w:color w:val="000000" w:themeColor="text1"/>
          <w:sz w:val="16"/>
          <w:szCs w:val="16"/>
          <w:u w:val="none"/>
        </w:rPr>
        <w:t>О невыгодном для нас впечатлении на китайцев и иностранцев, которое не могла не произвести катастрофа, я уже не говорю</w:t>
      </w:r>
      <w:r w:rsidRPr="00E93F40">
        <w:rPr>
          <w:rFonts w:ascii="Times New Roman" w:hAnsi="Times New Roman"/>
          <w:color w:val="000000" w:themeColor="text1"/>
          <w:sz w:val="16"/>
          <w:szCs w:val="16"/>
        </w:rPr>
        <w:t>, (выделено в оригинале)</w:t>
      </w:r>
    </w:p>
    <w:p w14:paraId="324C8703"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Юридически и по существу, ни авиапромышленность, ни Восточная Комиссия, ника</w:t>
      </w:r>
      <w:r w:rsidRPr="00E93F40">
        <w:rPr>
          <w:rFonts w:ascii="Times New Roman" w:hAnsi="Times New Roman"/>
          <w:color w:val="000000" w:themeColor="text1"/>
          <w:sz w:val="16"/>
          <w:szCs w:val="16"/>
        </w:rPr>
        <w:softHyphen/>
        <w:t>кой ответственности за этот трагический инцидент не несут.</w:t>
      </w:r>
    </w:p>
    <w:p w14:paraId="3CE43A08"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три Р-1, хотя и не специально изготовлены, а получены по наряду от УВВС, были тщательно испытаны перед сдачей китайцам.</w:t>
      </w:r>
    </w:p>
    <w:p w14:paraId="1A932ABD"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Style w:val="171"/>
          <w:rFonts w:ascii="Times New Roman" w:hAnsi="Times New Roman" w:cs="Times New Roman"/>
          <w:color w:val="000000" w:themeColor="text1"/>
          <w:sz w:val="16"/>
          <w:szCs w:val="16"/>
          <w:u w:val="none"/>
        </w:rPr>
        <w:t>Справка</w:t>
      </w:r>
      <w:r w:rsidRPr="00E93F40">
        <w:rPr>
          <w:rFonts w:ascii="Times New Roman" w:hAnsi="Times New Roman"/>
          <w:color w:val="000000" w:themeColor="text1"/>
          <w:sz w:val="16"/>
          <w:szCs w:val="16"/>
        </w:rPr>
        <w:t>. Это подтвердили Берестецкий, Табаровский и Волынченко.</w:t>
      </w:r>
    </w:p>
    <w:p w14:paraId="1ADB425E" w14:textId="77777777" w:rsidR="00F01A58" w:rsidRPr="00E93F40" w:rsidRDefault="00F01A58" w:rsidP="00E93F40">
      <w:pPr>
        <w:tabs>
          <w:tab w:val="left" w:pos="43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Известно, что по приказанию Ворошилова для Синьцзяна готовят новых лётчиков- инструкторов и механиков. Надо приветствовать, но за 10-дневный срок их подгото</w:t>
      </w:r>
      <w:r w:rsidRPr="00E93F40">
        <w:rPr>
          <w:rFonts w:ascii="Times New Roman" w:hAnsi="Times New Roman"/>
          <w:color w:val="000000" w:themeColor="text1"/>
          <w:sz w:val="16"/>
          <w:szCs w:val="16"/>
        </w:rPr>
        <w:softHyphen/>
        <w:t>вить нереально. Надо тщательно инструктировать, [провести] ряд бесед. Привлечь Берестецкого и Табаровского (без торопливости).</w:t>
      </w:r>
    </w:p>
    <w:p w14:paraId="688DE258" w14:textId="77777777" w:rsidR="00F01A58" w:rsidRPr="00E93F40" w:rsidRDefault="00F01A58" w:rsidP="00E93F40">
      <w:pPr>
        <w:tabs>
          <w:tab w:val="left" w:pos="43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Летчики Шевченко, Антипов, Климович, Прокопенко задержаны по личному при</w:t>
      </w:r>
      <w:r w:rsidRPr="00E93F40">
        <w:rPr>
          <w:rFonts w:ascii="Times New Roman" w:hAnsi="Times New Roman"/>
          <w:color w:val="000000" w:themeColor="text1"/>
          <w:sz w:val="16"/>
          <w:szCs w:val="16"/>
        </w:rPr>
        <w:softHyphen/>
        <w:t>казанию Златкина, их содержание [возложено] на НКИД...». 15.11.32.</w:t>
      </w:r>
    </w:p>
    <w:p w14:paraId="26312DC6"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Хотя письмо и заканчивалось словами — «надо позаботиться особо о вдовах Анти</w:t>
      </w:r>
      <w:r w:rsidRPr="00E93F40">
        <w:rPr>
          <w:rFonts w:ascii="Times New Roman" w:hAnsi="Times New Roman"/>
          <w:color w:val="000000" w:themeColor="text1"/>
          <w:sz w:val="16"/>
          <w:szCs w:val="16"/>
        </w:rPr>
        <w:softHyphen/>
        <w:t>пова и Климовича, дать путевки в санаторий, комнаты в Москве» — но главное, что больше всего обеспокоило чиновника, это «невыгодное впечатление на китайцев и иностранцев». Об оргвыводах на «высшем уровне» ничего не известно, судя по всему, всю вину списали на погибших.</w:t>
      </w:r>
    </w:p>
    <w:p w14:paraId="47B5DCAC"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Волынченко в этом лётном происшествии как «стрелочник» не упоминался, и в те же дни И.Г. Берестецкий как руководитель экспедиции по итогам годичной работы в Синь</w:t>
      </w:r>
      <w:r w:rsidRPr="00E93F40">
        <w:rPr>
          <w:rFonts w:ascii="Times New Roman" w:hAnsi="Times New Roman"/>
          <w:color w:val="000000" w:themeColor="text1"/>
          <w:sz w:val="16"/>
          <w:szCs w:val="16"/>
        </w:rPr>
        <w:softHyphen/>
        <w:t>цзяне выдал ему отличную характеристику, особо отмечая «блестящий перелёт» в де</w:t>
      </w:r>
      <w:r w:rsidRPr="00E93F40">
        <w:rPr>
          <w:rFonts w:ascii="Times New Roman" w:hAnsi="Times New Roman"/>
          <w:color w:val="000000" w:themeColor="text1"/>
          <w:sz w:val="16"/>
          <w:szCs w:val="16"/>
        </w:rPr>
        <w:softHyphen/>
        <w:t>кабре 1931 г. Подчеркивалось, что за время работы ответственные китайские чиновники отзывались о нем хорошо, он «зарекомендовал себя своими хорошими лётными каче</w:t>
      </w:r>
      <w:r w:rsidRPr="00E93F40">
        <w:rPr>
          <w:rFonts w:ascii="Times New Roman" w:hAnsi="Times New Roman"/>
          <w:color w:val="000000" w:themeColor="text1"/>
          <w:sz w:val="16"/>
          <w:szCs w:val="16"/>
        </w:rPr>
        <w:softHyphen/>
        <w:t>ствами и особенно... техникой пилотирования». Для перелётов ответственных членов Правительства по территории Синьцзяна всегда приглашался Волынченко.</w:t>
      </w:r>
    </w:p>
    <w:p w14:paraId="26DF80DC"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особую заслугу начальнику лётной группы Берестецкий поставил и то, что китайцы неоднократно просили Волынченко остаться работать в Урумчи ещё на один год и «гла</w:t>
      </w:r>
      <w:r w:rsidRPr="00E93F40">
        <w:rPr>
          <w:rFonts w:ascii="Times New Roman" w:hAnsi="Times New Roman"/>
          <w:color w:val="000000" w:themeColor="text1"/>
          <w:sz w:val="16"/>
          <w:szCs w:val="16"/>
        </w:rPr>
        <w:softHyphen/>
        <w:t xml:space="preserve">ва Правительства, лично просивший т. Волынченко, был очень недоволен тем, что [тот] отказался продлить договор (не имел разрешения как Москвы, так и других инстанций...). Также отмечалось, что «Волынченко провёл </w:t>
      </w:r>
      <w:r w:rsidRPr="00E93F40">
        <w:rPr>
          <w:rStyle w:val="171"/>
          <w:rFonts w:ascii="Times New Roman" w:hAnsi="Times New Roman" w:cs="Times New Roman"/>
          <w:color w:val="000000" w:themeColor="text1"/>
          <w:sz w:val="16"/>
          <w:szCs w:val="16"/>
          <w:u w:val="none"/>
        </w:rPr>
        <w:t>необходимую для нас секретную работу</w:t>
      </w:r>
      <w:r w:rsidRPr="00E93F40">
        <w:rPr>
          <w:rFonts w:ascii="Times New Roman" w:hAnsi="Times New Roman"/>
          <w:color w:val="000000" w:themeColor="text1"/>
          <w:sz w:val="16"/>
          <w:szCs w:val="16"/>
        </w:rPr>
        <w:t>» (15802).</w:t>
      </w:r>
    </w:p>
    <w:p w14:paraId="675F519C" w14:textId="77777777" w:rsidR="00F01A58" w:rsidRPr="00E93F40" w:rsidRDefault="00F01A58" w:rsidP="00E93F40">
      <w:pPr>
        <w:spacing w:after="0" w:line="240" w:lineRule="auto"/>
        <w:jc w:val="both"/>
        <w:rPr>
          <w:rFonts w:ascii="Times New Roman" w:hAnsi="Times New Roman"/>
          <w:color w:val="000000" w:themeColor="text1"/>
          <w:sz w:val="16"/>
          <w:szCs w:val="16"/>
        </w:rPr>
      </w:pPr>
    </w:p>
    <w:p w14:paraId="4ECAB7C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1F8E23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0A8C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октября 1932 в Москву из Бельгии или Англии прибыл Файрфлай IIM N F.1876, закупленный через Арков, выполнявшего функции торгпредства в Англии, в сопровождении целой бригады под руководством Л. Ван де Вельде. Хотели собирать и проводить сдаточные испытания на ЦА. Сборку закончили 30 октября 1932 (2611,20).</w:t>
      </w:r>
    </w:p>
    <w:p w14:paraId="33A9D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6354B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EB5F3F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650BDE" w14:textId="5E035F3E"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октября 1932 года — первый полёт транспортного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Bloch MB.120. /Франция/</w:t>
      </w:r>
    </w:p>
    <w:p w14:paraId="2D852F52" w14:textId="154FD650"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правительство Франции объявило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программу развития авиации для своих колоний. В рамках неё должны были разработать транспортные, полицейские и санитарные самолёты.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Société des avions Marcel Bloch</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апреле 1932 года представила самолёт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MB.70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колониальной полиции. Позднее компания решила спроектировать его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увеличенную версию для перевозки грузов и пассажиров. Новый самолёт получил обозначение MB.120.</w:t>
      </w:r>
    </w:p>
    <w:p w14:paraId="6975374D"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Похожий на Fokker Trimotor, MB.70 был высокопланом с неубирающимся шасси и толстым крылом. Оснащался 3 × двигателями Lorraine 9Na Algol (300 л.с.). Крейсерская скорость — 200 км/ч, дальность полёта — 1000 км. На борту размещалось до 10 пассажиров + 2-3 члена экипажа.</w:t>
      </w:r>
    </w:p>
    <w:p w14:paraId="50D76EFF" w14:textId="66497CB1"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MB.120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выбрали для серийного производства и использования в колониях. Выпустили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самолётов. 6 из них использовала а/к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Air Afrique, ещё 4 отправились в ВВС Франции. Последние MB.120 были списаны в 1943 году (22300).</w:t>
      </w:r>
    </w:p>
    <w:p w14:paraId="73CA074C" w14:textId="77777777" w:rsidR="0025088D" w:rsidRPr="00E93F40" w:rsidRDefault="0025088D" w:rsidP="00E93F40">
      <w:pPr>
        <w:spacing w:after="0" w:line="240" w:lineRule="auto"/>
        <w:jc w:val="both"/>
        <w:rPr>
          <w:rFonts w:ascii="Times New Roman" w:hAnsi="Times New Roman"/>
          <w:color w:val="000000" w:themeColor="text1"/>
          <w:sz w:val="16"/>
          <w:szCs w:val="16"/>
        </w:rPr>
      </w:pPr>
    </w:p>
    <w:p w14:paraId="455DB58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октября 1932 американец Пленни Винго завершил самое длительное путешествие задом наперед, пройдя спиной вперед из Калифорнии в Стамбул (12875 км) (4962).</w:t>
      </w:r>
    </w:p>
    <w:p w14:paraId="370AEC7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1E6FF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FB93AC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11C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25 октября по 8 декабря 1932 г. самолет Р-5, модифицированный в 252-й авиабригаде в Гомеле по инициативе комбрига А.А. Туржанского и инженера Павлова летом 1932 в штурмовик, проходил испытания в НИИ ВВС Конструкцию в целом одобрили, но испытатели высказали ряд замечаний. Машину доработали в мастерских НИИ ВВС под руководством инженера Бобовникова. Количество замков бомбодержателей увеличили до 40, что позволило эффективнее применять бомбы малого калибра. Нормальная бомбовая нагрузка Р-5Ш составляла 320 кг, максимальная - 400 кг (40 штук АО-10). Использование боеприпасов калибром более 100 кг не предусматривалось.</w:t>
      </w:r>
    </w:p>
    <w:p w14:paraId="25A1C0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вооружить все наши штурмовые части полностью пулеметными батареями по образцу (способу) Туржанского-Павлова... ". К февралю 1933 г. не успели. Лишь в начале года удалось договориться с промышленностью о выпуске 220 комплектов для переделки Р-5. Завод № 1 обязался сдать 10 эталонных Р-5Ш, которые должны были стать образцами для мастерских ВВС. Исходный же опытный образец после внесения изменений продемонстрировали на Центральном аэродроме комиссии РВС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w:t>
      </w:r>
    </w:p>
    <w:p w14:paraId="4954A5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1 строил Р-5Ш в 1933-34 гг. Кроме того, в частях под этот стандарт переделывали самолеты разных серий. Поэтому точно оценить количество Р-5Ш не удается. Судя по наличию их в ВВС, всего существовало около 500 машин (11936).</w:t>
      </w:r>
    </w:p>
    <w:p w14:paraId="4F5949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68E7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25 октября по 8 декабря 1932 г. Р-5Ш проходил испытания в НИИ ВВС.</w:t>
      </w:r>
    </w:p>
    <w:p w14:paraId="66746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Летом 1932 г. в 252-й авиабригаде в Гомеле по инициативе комбрига А.А. Туржанского и инженера Павлова доработали один Р-5, смонтировав дополнительные неподвижные пулеметы над нижним крылом. За основу при этом взяли установку, сделанную ранее для самолета Р-1. С каждой стороны стояла пара ПВ-1 под обшим обтекателем. Таким образом, вперед стреляли пять пулеметов одновременно.</w:t>
      </w:r>
    </w:p>
    <w:p w14:paraId="1B5BA3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Испытывал машину сам Туржанский. На полигоне установили мишени, изображавшие колонну пехоты на марше. С одного захода пулеметным огнем удалось поразить до половины мишеней, причем в некоторых было до че- тырех-пяти пробоин. После демонстрации штурмовика представителю УВВС А. В. Хрипину последовало распоряжение отправить его в Москву для ознакомления.</w:t>
      </w:r>
    </w:p>
    <w:p w14:paraId="25A037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бригаде модернизировали и бомбовое вооружение Р-5. Под бомбодержателями закрепили дополнительные балочки с ухватами, увеличивавшие количество подвешиваемых бомб до 30. Механизм сбрасывания усложнился, а усилие возросло, но зато появилась весьма важная для штурмовика возможность нести много бомб мелкого калибра.</w:t>
      </w:r>
    </w:p>
    <w:p w14:paraId="0E78E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в целом одобрили, но испытатели высказали ряд замечаний. В частности, имелись сомнения в достаточной прочности нижнего крыла. Машина дорабатывалась в мастерских НИИ ВВС под руководством инженера Бобовникова. Количество замков бомбодержателей увеличили с исходных 30 до 40. Нормальная бомбовая нагрузка штурмовика Р-5Ш составляла 320 кг, максимальная - 400 кг (40 штук АО-10). Использование боеприпасов калибром более 100 кг не предусматривалось.</w:t>
      </w:r>
    </w:p>
    <w:p w14:paraId="4EE76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вооружите все наши штурмовые части полностью пулеметными батареями по образцу (способу) Туржанского - Павлова... "</w:t>
      </w:r>
    </w:p>
    <w:p w14:paraId="1EA3A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февралю 1933 г., конечно, не успели. Лишь в начале года удалось договориться с промышленностью о выпуске 220 комплектов для переделки обычных Р-5 в штурмовики. Завод № 1 обязался сдать десять эталонных Р-5Ш, которые должны были стать образцами для мастерских ВВС. Исходный же опытный образец после внесения изменений продемонстрировали на московском Центральном аэродроме комиссии Реввоенсовета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 (12034).</w:t>
      </w:r>
    </w:p>
    <w:p w14:paraId="084FD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632D4F"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25 октяб</w:t>
      </w:r>
      <w:r w:rsidRPr="00142305">
        <w:rPr>
          <w:rFonts w:ascii="Times New Roman" w:hAnsi="Times New Roman"/>
          <w:color w:val="0070C0"/>
          <w:sz w:val="16"/>
          <w:szCs w:val="16"/>
        </w:rPr>
        <w:softHyphen/>
        <w:t>ря по 8 декабря 1932 г. самолет Р-5, модифицированный в штурмовик в 252-й авиабригаде в Гомеле по инициа</w:t>
      </w:r>
      <w:r w:rsidRPr="00142305">
        <w:rPr>
          <w:rFonts w:ascii="Times New Roman" w:hAnsi="Times New Roman"/>
          <w:color w:val="0070C0"/>
          <w:sz w:val="16"/>
          <w:szCs w:val="16"/>
        </w:rPr>
        <w:softHyphen/>
        <w:t>тиве комбрига А.А. Туржанского и инженера Павлова проходил испытания в НИИ ВВС Конструкция в целом одобрили, но испытатели высказали ряд замечаний. В частности, име</w:t>
      </w:r>
      <w:r w:rsidRPr="00142305">
        <w:rPr>
          <w:rFonts w:ascii="Times New Roman" w:hAnsi="Times New Roman"/>
          <w:color w:val="0070C0"/>
          <w:sz w:val="16"/>
          <w:szCs w:val="16"/>
        </w:rPr>
        <w:softHyphen/>
        <w:t>лись сомнения в достаточной прочности нижнего крыла. Машина дорабатывалась в мастерских НИИ ВВС под ру</w:t>
      </w:r>
      <w:r w:rsidRPr="00142305">
        <w:rPr>
          <w:rFonts w:ascii="Times New Roman" w:hAnsi="Times New Roman"/>
          <w:color w:val="0070C0"/>
          <w:sz w:val="16"/>
          <w:szCs w:val="16"/>
        </w:rPr>
        <w:softHyphen/>
        <w:t>ководством инженера Бобовникова. Количество замков бомбодержателей увеличили с исходных 30 до 40. Нор</w:t>
      </w:r>
      <w:r w:rsidRPr="00142305">
        <w:rPr>
          <w:rFonts w:ascii="Times New Roman" w:hAnsi="Times New Roman"/>
          <w:color w:val="0070C0"/>
          <w:sz w:val="16"/>
          <w:szCs w:val="16"/>
        </w:rPr>
        <w:softHyphen/>
        <w:t>мальная бомбовая нагрузка штурмовика Р-5Ш составляла 320 кг, максимальная - 400 кг (40 штук АО-10). Использо</w:t>
      </w:r>
      <w:r w:rsidRPr="00142305">
        <w:rPr>
          <w:rFonts w:ascii="Times New Roman" w:hAnsi="Times New Roman"/>
          <w:color w:val="0070C0"/>
          <w:sz w:val="16"/>
          <w:szCs w:val="16"/>
        </w:rPr>
        <w:softHyphen/>
        <w:t>вание боеприпасов калибром более 100 кг не предусмат</w:t>
      </w:r>
      <w:r w:rsidRPr="00142305">
        <w:rPr>
          <w:rFonts w:ascii="Times New Roman" w:hAnsi="Times New Roman"/>
          <w:color w:val="0070C0"/>
          <w:sz w:val="16"/>
          <w:szCs w:val="16"/>
        </w:rPr>
        <w:softHyphen/>
        <w:t>ривалось.</w:t>
      </w:r>
    </w:p>
    <w:p w14:paraId="6ECE2B2E"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Еще когда проходили испытания, Алкснис отдал распо</w:t>
      </w:r>
      <w:r w:rsidRPr="00142305">
        <w:rPr>
          <w:rFonts w:ascii="Times New Roman" w:hAnsi="Times New Roman"/>
          <w:color w:val="0070C0"/>
          <w:sz w:val="16"/>
          <w:szCs w:val="16"/>
        </w:rPr>
        <w:softHyphen/>
        <w:t>ряжение: «К 15-й годовщине РККА вооружите все наши штурмовые части полностью пулеметными батареями по образцу (способу) Туржанского — Павлова... » (24990).</w:t>
      </w:r>
    </w:p>
    <w:p w14:paraId="765B6ABC" w14:textId="77777777" w:rsidR="00BB5252" w:rsidRPr="00142305" w:rsidRDefault="00BB5252" w:rsidP="00BB5252">
      <w:pPr>
        <w:spacing w:after="0" w:line="240" w:lineRule="auto"/>
        <w:jc w:val="both"/>
        <w:rPr>
          <w:rFonts w:ascii="Times New Roman" w:hAnsi="Times New Roman"/>
          <w:color w:val="0070C0"/>
          <w:sz w:val="16"/>
          <w:szCs w:val="16"/>
        </w:rPr>
      </w:pPr>
    </w:p>
    <w:p w14:paraId="7A506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октября 1932 года Базилевич писал письмо № 1679/ко в НКВМ Фельдману</w:t>
      </w:r>
    </w:p>
    <w:p w14:paraId="7AE11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 382с НКТП</w:t>
      </w:r>
    </w:p>
    <w:p w14:paraId="281CB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Довожу до Вашего сведения, что постановлением КО от 4 июля 1932 года действительно Петров и Кирсанов подлежат направлению в ЦИАМ.</w:t>
      </w:r>
    </w:p>
    <w:p w14:paraId="71ADF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принять зависящие от Вас меры в соответствии с указанным постановлением (3530,46).</w:t>
      </w:r>
    </w:p>
    <w:p w14:paraId="3AC20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E61FE5" w14:textId="77777777" w:rsidR="004A2CF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A626DA7" w14:textId="77777777" w:rsidR="004A2CF3" w:rsidRPr="00E93F40" w:rsidRDefault="004A2CF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159B3A" w14:textId="77777777" w:rsidR="004A2CF3" w:rsidRPr="00E93F40" w:rsidRDefault="004A2CF3" w:rsidP="00E93F40">
      <w:pPr>
        <w:pStyle w:val="Blockquote"/>
        <w:spacing w:before="0" w:after="0"/>
        <w:ind w:left="0" w:right="0"/>
        <w:jc w:val="both"/>
        <w:rPr>
          <w:color w:val="000000" w:themeColor="text1"/>
          <w:sz w:val="16"/>
          <w:szCs w:val="16"/>
          <w:lang w:val="ru-RU"/>
        </w:rPr>
      </w:pPr>
      <w:r w:rsidRPr="00E93F40">
        <w:rPr>
          <w:color w:val="000000" w:themeColor="text1"/>
          <w:sz w:val="16"/>
          <w:szCs w:val="16"/>
          <w:lang w:val="ru-RU"/>
        </w:rPr>
        <w:t xml:space="preserve">25 октября 1932 г. вышло Постановление СНК СССР № 1639/33Зсс "Об объектах строительств, выполняемых силами ОГПУ" </w:t>
      </w:r>
    </w:p>
    <w:p w14:paraId="30F0C7C7" w14:textId="77777777" w:rsidR="004A2CF3" w:rsidRPr="00E93F40" w:rsidRDefault="004A2CF3" w:rsidP="00E93F40">
      <w:pPr>
        <w:pStyle w:val="Blockquote"/>
        <w:spacing w:before="0" w:after="0"/>
        <w:ind w:left="0" w:right="0"/>
        <w:jc w:val="both"/>
        <w:rPr>
          <w:color w:val="000000" w:themeColor="text1"/>
          <w:sz w:val="16"/>
          <w:szCs w:val="16"/>
          <w:lang w:val="ru-RU"/>
        </w:rPr>
      </w:pPr>
      <w:r w:rsidRPr="00E93F40">
        <w:rPr>
          <w:color w:val="000000" w:themeColor="text1"/>
          <w:sz w:val="16"/>
          <w:szCs w:val="16"/>
          <w:lang w:val="ru-RU"/>
        </w:rPr>
        <w:t>Сов. секретно</w:t>
      </w:r>
    </w:p>
    <w:p w14:paraId="202CF09E"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Совет Народных Комиссаров СССР постановляет: </w:t>
      </w:r>
    </w:p>
    <w:p w14:paraId="77179046"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В связи с возложением на ОГПУ двух важнейших строительств: канала Волга - Москва и Байкало-Амурской магистрали - запретить возложение на лагеря ОГПУ каких бы то ни было новых работ. Считая для лагерей ОГПУ основными работами следующие объекты: а) окончание работ на Беломорстрое; б) строительство канала Волга - Москва; в) строительство Байкало-Амурской магистрали; г) Колыма; д) работы по Ухте и Печоре; е) заготовка дров для Москвы и Ленинграда в существующих программах. </w:t>
      </w:r>
    </w:p>
    <w:p w14:paraId="5E06B414" w14:textId="77777777" w:rsidR="004A2CF3" w:rsidRPr="00E93F40" w:rsidRDefault="004A2CF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Ввиду возложения на ОГПУ строительства перечисленных важнейших объектов - прекратить передачу вольных и заключенных специалистов лагерей ОГПУ другим организациям. </w:t>
      </w:r>
    </w:p>
    <w:p w14:paraId="42375DC6" w14:textId="77777777" w:rsidR="004A2CF3" w:rsidRPr="00E93F40" w:rsidRDefault="004A2CF3" w:rsidP="00E93F40">
      <w:pPr>
        <w:pStyle w:val="Blockquote"/>
        <w:spacing w:before="0" w:after="0"/>
        <w:ind w:left="0" w:right="0"/>
        <w:jc w:val="both"/>
        <w:rPr>
          <w:color w:val="000000" w:themeColor="text1"/>
          <w:sz w:val="16"/>
          <w:szCs w:val="16"/>
          <w:lang w:val="ru-RU"/>
        </w:rPr>
      </w:pPr>
      <w:r w:rsidRPr="00E93F40">
        <w:rPr>
          <w:color w:val="000000" w:themeColor="text1"/>
          <w:sz w:val="16"/>
          <w:szCs w:val="16"/>
          <w:lang w:val="ru-RU"/>
        </w:rPr>
        <w:t>Председатель Совета Народных Комиссаров Союза ССР В. Молотов (Скрябин). Управляющий делами Совета Народных Комиссаров СССР П. Керженцев (12129).</w:t>
      </w:r>
    </w:p>
    <w:p w14:paraId="61154E18" w14:textId="77777777" w:rsidR="004A2CF3" w:rsidRPr="00E93F40" w:rsidRDefault="004A2CF3" w:rsidP="00E93F40">
      <w:pPr>
        <w:spacing w:after="0" w:line="240" w:lineRule="auto"/>
        <w:jc w:val="both"/>
        <w:rPr>
          <w:rFonts w:ascii="Times New Roman" w:hAnsi="Times New Roman"/>
          <w:color w:val="000000" w:themeColor="text1"/>
          <w:sz w:val="16"/>
          <w:szCs w:val="16"/>
        </w:rPr>
      </w:pPr>
    </w:p>
    <w:p w14:paraId="0961CE6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08381D8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BD1D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октября 1932 «железный зампред» (формулировка лагерного журнала «На штурм трассы») Ягода подписал приказ ОГПУ № 995с «О мероприятиях со стороны ПП ОГПУ, Транспортных органов ОГПУ и Управлений РКМ [Рабоче-Крестьянской милиции] по борьбе с побегами из Дмитровского лагеря ОГПУ»:</w:t>
      </w:r>
    </w:p>
    <w:p w14:paraId="6CE34E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канала Волга -Москва возложено на ОГПУ и осуществляется вновь организованным Дмитровским лагерем ОГПУ (7560).</w:t>
      </w:r>
    </w:p>
    <w:p w14:paraId="673C3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Особые условия работы Дмитровского лагеря ОГПУ, несколько десятков тысяч заключенных которого работают в непосредственной близости от Москвы, ставят особенно остро вопросы агентурно-оперативного обслуживания заключенных и требуют от всех органов ОГПУ и РКМ всемерного содействия Дмитровскому лагерю в этом отношении (7560).</w:t>
      </w:r>
    </w:p>
    <w:p w14:paraId="0B8BC7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ПП ОГПУ МО и ГУЛАГ ОГПУ мною поставлена задача полностью ликвидировать побеги из Дмитровского лагеря (7560).</w:t>
      </w:r>
    </w:p>
    <w:p w14:paraId="0C810D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этой работе особенно важно четкое содействие всех органов ОГПУ, как территориальных, так и транспортных, и органов милиции. Приказываю:</w:t>
      </w:r>
    </w:p>
    <w:p w14:paraId="4DFF7C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Всем ПП ОГПУ, всем транспортным органам ОГПУ и всем органам РК милиции задания ГУЛАГ ОГПУ, Дмитровского лагеря ОГПУ и ПП ОГПУ МО в отношении запросов, установок, обысков, арестов, засад и т. д., касающиеся беглецов из Дмитровского лагеря - исполнять в 24 часа и немедленно сообщать результаты по заданию (7560).</w:t>
      </w:r>
    </w:p>
    <w:p w14:paraId="5D5591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Начальнику ГУЛАГ ОГПУ и ПП ОГПУ МО докладывать мне об эффективности мероприятий органов ОГПУ и РКМ по данному вопросу» (7560).</w:t>
      </w:r>
    </w:p>
    <w:p w14:paraId="36BCD4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3B2C30"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октября 1932 г.</w:t>
      </w:r>
    </w:p>
    <w:p w14:paraId="4A1AD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Постановление СНК СССР № 1639/33Зсс "Об объектах строительств, выполняемых силами ОГПУ" </w:t>
      </w:r>
    </w:p>
    <w:p w14:paraId="03BA881E"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 секретно</w:t>
      </w:r>
    </w:p>
    <w:p w14:paraId="260487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Совет Народных Комиссаров СССР постановляет: </w:t>
      </w:r>
    </w:p>
    <w:p w14:paraId="16C347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В связи с возложением на ОГПУ двух важнейших строительств: канала Волга - Москва и Байкало-Амурской магистрали - запретить возложение на лагеря ОГПУ каких бы то ни было новых работ. Считая для лагерей ОГПУ основными работами следующие объекты: а) окончание работ на Беломорстрое; б) строительство канала Волга - Москва; в) строительство Байкало-Амурской магистрали; г) Колыма; д) работы по Ухте и Печоре; е) заготовка дров для Москвы и Ленинграда в существующих программах. </w:t>
      </w:r>
    </w:p>
    <w:p w14:paraId="5CA0BE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Ввиду возложения на ОГПУ строительства перечисленных важнейших объектов - прекратить передачу вольных и заключенных специалистов лагерей ОГПУ другим организациям. </w:t>
      </w:r>
    </w:p>
    <w:p w14:paraId="1DAF0B92"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 Совета Народных Комиссаров Союза ССР В. Молотов (Скрябин). Управляющий делами Совета Народных Комиссаров СССР П. Керженцев (12107).</w:t>
      </w:r>
    </w:p>
    <w:p w14:paraId="5F5B9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FA77D4"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25 октября </w:t>
      </w:r>
      <w:r w:rsidRPr="00E93F40">
        <w:rPr>
          <w:rFonts w:ascii="Times New Roman" w:hAnsi="Times New Roman"/>
          <w:color w:val="000000" w:themeColor="text1"/>
          <w:sz w:val="16"/>
          <w:szCs w:val="16"/>
        </w:rPr>
        <w:t>в 1932 году начала промысел дальневосточная китобойная флотилия “Алеут”, первая в СССР китобойная флотилия, осуществлявшая добычу китов в морях Дальнего Востока. В 1929 г. Акционерное Камчатское общество купило в Англии судно “Геленд-Ридж”, которое решили переоборудовать под китобойное. Ленинградский Адмиралтейский завод два года реконструировал судно. В Норвегии были закуплены 3 китобойца, получивших название “Трудфронт”, “Авангард” и “Энтузиаст”. Китобаза получила имя “Алеут”. В 1932 г. она совершила переход из Ленинграда во Владивосток, во время которого 25 октября 1932 г. добыла первых двух китов. Эту дату принято считать началом китобойного промысла в СССР. В первый промысловый сезон плавбаза “Алеут” отправилась в 1933 г. с гарпунерами, рабочими-раздельщиками из Норвегии. В течение пяти лет они вели на флотилии обучение. В 1938 г. флотилия отказалась от иностранных рабочих. В годы Великой Отечественной войны “Алеут” обеспечивал население Дальнего Востока китовым мясом, медицинские учреждения снабжались витамином А, полученным из печени китов. В 1957 г. флотилия “Алеут” за успехи в работе была награждена орденом Трудового Красного Знамени. В 1967 г. в связи с полным износом база “Алеут” была списана (14810).</w:t>
      </w:r>
    </w:p>
    <w:p w14:paraId="3ED3F414" w14:textId="77777777" w:rsidR="00F01A58" w:rsidRPr="00E93F40" w:rsidRDefault="00F01A58" w:rsidP="00E93F40">
      <w:pPr>
        <w:spacing w:after="0" w:line="240" w:lineRule="auto"/>
        <w:jc w:val="both"/>
        <w:rPr>
          <w:rFonts w:ascii="Times New Roman" w:hAnsi="Times New Roman"/>
          <w:color w:val="000000" w:themeColor="text1"/>
          <w:sz w:val="16"/>
          <w:szCs w:val="16"/>
        </w:rPr>
      </w:pPr>
    </w:p>
    <w:p w14:paraId="64478AF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7AB0E8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5A3B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октября 1932 был выполнен полет на управляемость на БИЧ-7 Черановского на испытаниях. Сделали 8 виражей вправо и 8 влево. Отметили, что машина зарывается носом, т.к. имеется большое усилие на рукоятку. Отмечена разница в управлении при моторе, работающем на полном газу и на малом. Продолжительность 0:40 (2307).</w:t>
      </w:r>
    </w:p>
    <w:p w14:paraId="68B6BA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22F20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8AAF4B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17A0C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октября 1932 г. приказом наркома Тяжелого маши</w:t>
      </w:r>
      <w:r w:rsidRPr="00E93F40">
        <w:rPr>
          <w:rFonts w:ascii="Times New Roman" w:hAnsi="Times New Roman"/>
          <w:color w:val="000000" w:themeColor="text1"/>
          <w:sz w:val="16"/>
          <w:szCs w:val="16"/>
        </w:rPr>
        <w:softHyphen/>
        <w:t>ностроения Г. Орджоникидзе был создан Трест Специаль</w:t>
      </w:r>
      <w:r w:rsidRPr="00E93F40">
        <w:rPr>
          <w:rFonts w:ascii="Times New Roman" w:hAnsi="Times New Roman"/>
          <w:color w:val="000000" w:themeColor="text1"/>
          <w:sz w:val="16"/>
          <w:szCs w:val="16"/>
        </w:rPr>
        <w:softHyphen/>
        <w:t>ного Машиностроения (СПЕЦМАШТРЕСТ) в составе Ле</w:t>
      </w:r>
      <w:r w:rsidRPr="00E93F40">
        <w:rPr>
          <w:rFonts w:ascii="Times New Roman" w:hAnsi="Times New Roman"/>
          <w:color w:val="000000" w:themeColor="text1"/>
          <w:sz w:val="16"/>
          <w:szCs w:val="16"/>
        </w:rPr>
        <w:softHyphen/>
        <w:t>нинградского завода им. Ворошилова (бывший завод «Большевик»), завода «Красный Октябрь», 2-го завода ВАТО в Москве и Харьковского паровозостроительного за</w:t>
      </w:r>
      <w:r w:rsidRPr="00E93F40">
        <w:rPr>
          <w:rFonts w:ascii="Times New Roman" w:hAnsi="Times New Roman"/>
          <w:color w:val="000000" w:themeColor="text1"/>
          <w:sz w:val="16"/>
          <w:szCs w:val="16"/>
        </w:rPr>
        <w:softHyphen/>
        <w:t>вода (ХПЗ) им. Коминтерна. Запроектированное широкое кооперирование произ</w:t>
      </w:r>
      <w:r w:rsidRPr="00E93F40">
        <w:rPr>
          <w:rFonts w:ascii="Times New Roman" w:hAnsi="Times New Roman"/>
          <w:color w:val="000000" w:themeColor="text1"/>
          <w:sz w:val="16"/>
          <w:szCs w:val="16"/>
        </w:rPr>
        <w:softHyphen/>
        <w:t>водства с другими заводами вследствие затруднений в освоении ими намеченных по плану деталей и несоблюде</w:t>
      </w:r>
      <w:r w:rsidRPr="00E93F40">
        <w:rPr>
          <w:rFonts w:ascii="Times New Roman" w:hAnsi="Times New Roman"/>
          <w:color w:val="000000" w:themeColor="text1"/>
          <w:sz w:val="16"/>
          <w:szCs w:val="16"/>
        </w:rPr>
        <w:softHyphen/>
        <w:t>нии сроков поставки могли сорвать выполнение програм</w:t>
      </w:r>
      <w:r w:rsidRPr="00E93F40">
        <w:rPr>
          <w:rFonts w:ascii="Times New Roman" w:hAnsi="Times New Roman"/>
          <w:color w:val="000000" w:themeColor="text1"/>
          <w:sz w:val="16"/>
          <w:szCs w:val="16"/>
        </w:rPr>
        <w:softHyphen/>
        <w:t>мы заводами треста. В начале второго полугодия выявилась невозможность получения необходимого оборудования и трудности в снабжении производства инструментом и при</w:t>
      </w:r>
      <w:r w:rsidRPr="00E93F40">
        <w:rPr>
          <w:rFonts w:ascii="Times New Roman" w:hAnsi="Times New Roman"/>
          <w:color w:val="000000" w:themeColor="text1"/>
          <w:sz w:val="16"/>
          <w:szCs w:val="16"/>
        </w:rPr>
        <w:softHyphen/>
        <w:t>способлениями. Это положение усугубляло и без того не</w:t>
      </w:r>
      <w:r w:rsidRPr="00E93F40">
        <w:rPr>
          <w:rFonts w:ascii="Times New Roman" w:hAnsi="Times New Roman"/>
          <w:color w:val="000000" w:themeColor="text1"/>
          <w:sz w:val="16"/>
          <w:szCs w:val="16"/>
        </w:rPr>
        <w:softHyphen/>
        <w:t>удовлетворительно поставленное планирование производ</w:t>
      </w:r>
      <w:r w:rsidRPr="00E93F40">
        <w:rPr>
          <w:rFonts w:ascii="Times New Roman" w:hAnsi="Times New Roman"/>
          <w:color w:val="000000" w:themeColor="text1"/>
          <w:sz w:val="16"/>
          <w:szCs w:val="16"/>
        </w:rPr>
        <w:softHyphen/>
        <w:t>ства на заводах и отсутствие точно установленного техпро-цесса производства танков. Учитывая мощности заводов и их опыт в создании слож</w:t>
      </w:r>
      <w:r w:rsidRPr="00E93F40">
        <w:rPr>
          <w:rFonts w:ascii="Times New Roman" w:hAnsi="Times New Roman"/>
          <w:color w:val="000000" w:themeColor="text1"/>
          <w:sz w:val="16"/>
          <w:szCs w:val="16"/>
        </w:rPr>
        <w:softHyphen/>
        <w:t>ных машин, Совет Народных Комиссаров принял решение о широком кооперировании танкостроителей с другими смежными предприятиями. При этом необходимо отметить, что производство целого ряда сложных деталей и агрегатов впервые устанавливалось на кооперированных заводах и требовало определенного периода освоения. Наряду с необ</w:t>
      </w:r>
      <w:r w:rsidRPr="00E93F40">
        <w:rPr>
          <w:rFonts w:ascii="Times New Roman" w:hAnsi="Times New Roman"/>
          <w:color w:val="000000" w:themeColor="text1"/>
          <w:sz w:val="16"/>
          <w:szCs w:val="16"/>
        </w:rPr>
        <w:softHyphen/>
        <w:t>ходимостью дооборудования заводов рост программы тре</w:t>
      </w:r>
      <w:r w:rsidRPr="00E93F40">
        <w:rPr>
          <w:rFonts w:ascii="Times New Roman" w:hAnsi="Times New Roman"/>
          <w:color w:val="000000" w:themeColor="text1"/>
          <w:sz w:val="16"/>
          <w:szCs w:val="16"/>
        </w:rPr>
        <w:softHyphen/>
        <w:t>бовал привлечения большого числа новых рабочих, преиму</w:t>
      </w:r>
      <w:r w:rsidRPr="00E93F40">
        <w:rPr>
          <w:rFonts w:ascii="Times New Roman" w:hAnsi="Times New Roman"/>
          <w:color w:val="000000" w:themeColor="text1"/>
          <w:sz w:val="16"/>
          <w:szCs w:val="16"/>
        </w:rPr>
        <w:softHyphen/>
        <w:t>щественно высококвалифицированных, и специально под</w:t>
      </w:r>
      <w:r w:rsidRPr="00E93F40">
        <w:rPr>
          <w:rFonts w:ascii="Times New Roman" w:hAnsi="Times New Roman"/>
          <w:color w:val="000000" w:themeColor="text1"/>
          <w:sz w:val="16"/>
          <w:szCs w:val="16"/>
        </w:rPr>
        <w:softHyphen/>
        <w:t>готовленного инженерно-технического персонала. Так, при условии занятых в производстве танков в 1931 г. 17 тыс. рабочих к концу 1932 г. намечалось увеличить их чис</w:t>
      </w:r>
      <w:r w:rsidRPr="00E93F40">
        <w:rPr>
          <w:rFonts w:ascii="Times New Roman" w:hAnsi="Times New Roman"/>
          <w:color w:val="000000" w:themeColor="text1"/>
          <w:sz w:val="16"/>
          <w:szCs w:val="16"/>
        </w:rPr>
        <w:softHyphen/>
        <w:t>ленность до 28 500 чел. Однако осуществить это было чрезвычайно трудно, особенно если учесть катастрофический недостаток специальных учебных заведений. Слабая квалификация рабочей силы при неосвоенности производства, новизна программы и частые изменения, вносимые в конструкции основных изделий, часто приводили к браку. При размер брака получался не только за счет заводов треста, но и в значительной степени по вине кооперированных предприятий других отраслей. Все это определило к концу года невозможность выполнения заводами намеченной производственной программы, в результате чего план был пересмотрен правительством в сторону его снижения, а также поднят вопрос об образо</w:t>
      </w:r>
      <w:r w:rsidRPr="00E93F40">
        <w:rPr>
          <w:rFonts w:ascii="Times New Roman" w:hAnsi="Times New Roman"/>
          <w:color w:val="000000" w:themeColor="text1"/>
          <w:sz w:val="16"/>
          <w:szCs w:val="16"/>
        </w:rPr>
        <w:softHyphen/>
        <w:t>вании нового машиностроительного треста для изготовле</w:t>
      </w:r>
      <w:r w:rsidRPr="00E93F40">
        <w:rPr>
          <w:rFonts w:ascii="Times New Roman" w:hAnsi="Times New Roman"/>
          <w:color w:val="000000" w:themeColor="text1"/>
          <w:sz w:val="16"/>
          <w:szCs w:val="16"/>
        </w:rPr>
        <w:softHyphen/>
        <w:t>ния современной бронетанковой техники. Перед руководством только что образованного треста были поставлены задачи не только обеспечить массовый выпуск находящихся в производстве танков, но и провести опытно-конструкторские работы по созданию новых, бо</w:t>
      </w:r>
      <w:r w:rsidRPr="00E93F40">
        <w:rPr>
          <w:rFonts w:ascii="Times New Roman" w:hAnsi="Times New Roman"/>
          <w:color w:val="000000" w:themeColor="text1"/>
          <w:sz w:val="16"/>
          <w:szCs w:val="16"/>
        </w:rPr>
        <w:softHyphen/>
        <w:t>лее совершенных боевых машин. На большинстве заводов, вошедших в трест, производст</w:t>
      </w:r>
      <w:r w:rsidRPr="00E93F40">
        <w:rPr>
          <w:rFonts w:ascii="Times New Roman" w:hAnsi="Times New Roman"/>
          <w:color w:val="000000" w:themeColor="text1"/>
          <w:sz w:val="16"/>
          <w:szCs w:val="16"/>
        </w:rPr>
        <w:softHyphen/>
        <w:t>во танков велось с 1927—29 гг. Причем если на заводе им. Во</w:t>
      </w:r>
      <w:r w:rsidRPr="00E93F40">
        <w:rPr>
          <w:rFonts w:ascii="Times New Roman" w:hAnsi="Times New Roman"/>
          <w:color w:val="000000" w:themeColor="text1"/>
          <w:sz w:val="16"/>
          <w:szCs w:val="16"/>
        </w:rPr>
        <w:softHyphen/>
        <w:t>рошилова и 2-м заводе ВАТО это производство к осени 1932 г. уже носило серийный характер, то ХПЗ готовился к крупносерийному производству танков БТ. Завод «Красный Октябрь», прежде специализировавшийся главным образом на производстве запасных частей для тракторов, с 1932 г. также был переведен на выпуск деталей танков для завода им. Ворошилова и ремонт двигателей М-5 для ХПЗ. В 1932 г. был также образован опытный завод Спецмаштреста, в 1936 г. получивший собственный номер 185. В 1933-34 гг. в состав треста были включены дополни</w:t>
      </w:r>
      <w:r w:rsidRPr="00E93F40">
        <w:rPr>
          <w:rFonts w:ascii="Times New Roman" w:hAnsi="Times New Roman"/>
          <w:color w:val="000000" w:themeColor="text1"/>
          <w:sz w:val="16"/>
          <w:szCs w:val="16"/>
        </w:rPr>
        <w:softHyphen/>
        <w:t>тельно ремонтные заводы № 104 и 105, Киевский завод им. В.Я. Чубаря и Харьковский автосборочный завод (с 1936 г. завод № 48). Собственно, именно благодаря созданию треста освое</w:t>
      </w:r>
      <w:r w:rsidRPr="00E93F40">
        <w:rPr>
          <w:rFonts w:ascii="Times New Roman" w:hAnsi="Times New Roman"/>
          <w:color w:val="000000" w:themeColor="text1"/>
          <w:sz w:val="16"/>
          <w:szCs w:val="16"/>
        </w:rPr>
        <w:softHyphen/>
        <w:t>ние закупленных за рубежом танков было осуществлено в сравнительно короткие сроки на отечественном оборудо</w:t>
      </w:r>
      <w:r w:rsidRPr="00E93F40">
        <w:rPr>
          <w:rFonts w:ascii="Times New Roman" w:hAnsi="Times New Roman"/>
          <w:color w:val="000000" w:themeColor="text1"/>
          <w:sz w:val="16"/>
          <w:szCs w:val="16"/>
        </w:rPr>
        <w:softHyphen/>
        <w:t>вании из отечественных материалов (10733,140).</w:t>
      </w:r>
    </w:p>
    <w:p w14:paraId="423CBC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45220B"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октября 1932 года для выправления сложившегося положе</w:t>
      </w:r>
      <w:r w:rsidRPr="00142305">
        <w:rPr>
          <w:rFonts w:ascii="Times New Roman" w:hAnsi="Times New Roman"/>
          <w:color w:val="0070C0"/>
          <w:sz w:val="16"/>
          <w:szCs w:val="16"/>
        </w:rPr>
        <w:softHyphen/>
        <w:t>ния и организации производства танков в СССР, на основании приказа по Народному комиссариату тяжелого машиностроения (НКТП) № 733 в сис</w:t>
      </w:r>
      <w:r w:rsidRPr="00142305">
        <w:rPr>
          <w:rFonts w:ascii="Times New Roman" w:hAnsi="Times New Roman"/>
          <w:color w:val="0070C0"/>
          <w:sz w:val="16"/>
          <w:szCs w:val="16"/>
        </w:rPr>
        <w:softHyphen/>
        <w:t>теме НКТП «с 1.11.32 г. создается трест спе</w:t>
      </w:r>
      <w:r w:rsidRPr="00142305">
        <w:rPr>
          <w:rFonts w:ascii="Times New Roman" w:hAnsi="Times New Roman"/>
          <w:color w:val="0070C0"/>
          <w:sz w:val="16"/>
          <w:szCs w:val="16"/>
        </w:rPr>
        <w:softHyphen/>
        <w:t>циального машиностроения (спецмаштрест) в составе четырех заводов: имени Ворошило</w:t>
      </w:r>
      <w:r w:rsidRPr="00142305">
        <w:rPr>
          <w:rFonts w:ascii="Times New Roman" w:hAnsi="Times New Roman"/>
          <w:color w:val="0070C0"/>
          <w:sz w:val="16"/>
          <w:szCs w:val="16"/>
        </w:rPr>
        <w:softHyphen/>
        <w:t>ва, «Красный Октябрь», № 37 и Харьковско</w:t>
      </w:r>
      <w:r w:rsidRPr="00142305">
        <w:rPr>
          <w:rFonts w:ascii="Times New Roman" w:hAnsi="Times New Roman"/>
          <w:color w:val="0070C0"/>
          <w:sz w:val="16"/>
          <w:szCs w:val="16"/>
        </w:rPr>
        <w:softHyphen/>
        <w:t>го паровозостроительного завода (ХПЗ)». Уп</w:t>
      </w:r>
      <w:r w:rsidRPr="00142305">
        <w:rPr>
          <w:rFonts w:ascii="Times New Roman" w:hAnsi="Times New Roman"/>
          <w:color w:val="0070C0"/>
          <w:sz w:val="16"/>
          <w:szCs w:val="16"/>
        </w:rPr>
        <w:softHyphen/>
        <w:t>равляющим трестом был назначен Нейман (24999).</w:t>
      </w:r>
    </w:p>
    <w:p w14:paraId="4837AAB4" w14:textId="77777777" w:rsidR="00BB5252" w:rsidRPr="00142305" w:rsidRDefault="00BB5252" w:rsidP="00BB5252">
      <w:pPr>
        <w:spacing w:after="0" w:line="240" w:lineRule="auto"/>
        <w:jc w:val="both"/>
        <w:rPr>
          <w:rFonts w:ascii="Times New Roman" w:hAnsi="Times New Roman"/>
          <w:color w:val="0070C0"/>
          <w:sz w:val="16"/>
          <w:szCs w:val="16"/>
        </w:rPr>
      </w:pPr>
    </w:p>
    <w:p w14:paraId="2F144B0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88E424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4915A4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26 октября 1932 на встрече с писателями И. Сталин назвал их «инженерами человеческих душ» (4962).</w:t>
      </w:r>
    </w:p>
    <w:p w14:paraId="1740863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9EFE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826524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6A1FA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октября 1932 г. был датирован документ "Перспективы боевого применения Г-1", в котором указывалось: "Несомненно, однако, что противник не рискнет... на бой одиночного самолета с кораблем Г-1, ибо этот самолет наверняка будет сбит". Конструкторы считали, что гигантский самолет сможет отразить атаку до девяти истребителей одновременно, успешно ведя бой с любым количеством противников, которое было бы меньше, чем число огневых точек.</w:t>
      </w:r>
    </w:p>
    <w:p w14:paraId="1F127B9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5FE8976"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октября 1932 г. в документе «Перспективы боевого применения Г-l» указывается: «Несом</w:t>
      </w:r>
      <w:r w:rsidRPr="00142305">
        <w:rPr>
          <w:rFonts w:ascii="Times New Roman" w:hAnsi="Times New Roman"/>
          <w:color w:val="0070C0"/>
          <w:sz w:val="16"/>
          <w:szCs w:val="16"/>
        </w:rPr>
        <w:softHyphen/>
        <w:t>ненно, однако, что противник не рискнет... на бой одиночного самолета с кораблем Г-1, ибо этот самолет наверняка будет сбит». Конструкторы считали, что гигантский самолет сможет отразить атаку до девяти истребителей одновремен</w:t>
      </w:r>
      <w:r w:rsidRPr="00142305">
        <w:rPr>
          <w:rFonts w:ascii="Times New Roman" w:hAnsi="Times New Roman"/>
          <w:color w:val="0070C0"/>
          <w:sz w:val="16"/>
          <w:szCs w:val="16"/>
        </w:rPr>
        <w:softHyphen/>
        <w:t>но, успешно ведя бой с любым количеством противников, которое было бы меньше, чем число огневых точек.</w:t>
      </w:r>
    </w:p>
    <w:p w14:paraId="60EC3BA6"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Г-1, защищаясь, мог пустить в ход не только пушки и пулеметы. В хвосте располагались «баллоны самообороны», разбрызгивавшие отравляющие вещества. Из специальных отсеков выбрасывались небольшие бомбочки с дистанци</w:t>
      </w:r>
      <w:r w:rsidRPr="00142305">
        <w:rPr>
          <w:rFonts w:ascii="Times New Roman" w:hAnsi="Times New Roman"/>
          <w:color w:val="0070C0"/>
          <w:sz w:val="16"/>
          <w:szCs w:val="16"/>
        </w:rPr>
        <w:softHyphen/>
        <w:t>онными взрывателями - прообраз будущих авиационных гранат. И, наконец, Г -1 мог поставить за собой дымовую за</w:t>
      </w:r>
      <w:r w:rsidRPr="00142305">
        <w:rPr>
          <w:rFonts w:ascii="Times New Roman" w:hAnsi="Times New Roman"/>
          <w:color w:val="0070C0"/>
          <w:sz w:val="16"/>
          <w:szCs w:val="16"/>
        </w:rPr>
        <w:softHyphen/>
        <w:t>весу, для чего имелся специальный бак на две тонны смеси. Смесь могла быть как обычной С-4, так и ядовитой.</w:t>
      </w:r>
    </w:p>
    <w:p w14:paraId="61B92997"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бомбардировщика Г -1 имел максимальную нагрузку 25 т, нормальную 15 т - как ТБ-6 (АНТ-26). Мак</w:t>
      </w:r>
      <w:r w:rsidRPr="00142305">
        <w:rPr>
          <w:rFonts w:ascii="Times New Roman" w:hAnsi="Times New Roman"/>
          <w:color w:val="0070C0"/>
          <w:sz w:val="16"/>
          <w:szCs w:val="16"/>
        </w:rPr>
        <w:softHyphen/>
        <w:t>симальная дальность с 5000 кг бомб по расчетам составля</w:t>
      </w:r>
      <w:r w:rsidRPr="00142305">
        <w:rPr>
          <w:rFonts w:ascii="Times New Roman" w:hAnsi="Times New Roman"/>
          <w:color w:val="0070C0"/>
          <w:sz w:val="16"/>
          <w:szCs w:val="16"/>
        </w:rPr>
        <w:softHyphen/>
        <w:t>ла 2200 км. Самые большие бомбы, которые можно было использовать, - ФАБ-2000. Предусматривалась и подвеска одноразовых бомбовых кассет РРАБ. Как бомбардировщик Г-1 был эквивалентен сразу десяти ТБ-3. Вместо бомб мож</w:t>
      </w:r>
      <w:r w:rsidRPr="00142305">
        <w:rPr>
          <w:rFonts w:ascii="Times New Roman" w:hAnsi="Times New Roman"/>
          <w:color w:val="0070C0"/>
          <w:sz w:val="16"/>
          <w:szCs w:val="16"/>
        </w:rPr>
        <w:softHyphen/>
        <w:t>но было взять химические выливные приборы с общим ве</w:t>
      </w:r>
      <w:r w:rsidRPr="00142305">
        <w:rPr>
          <w:rFonts w:ascii="Times New Roman" w:hAnsi="Times New Roman"/>
          <w:color w:val="0070C0"/>
          <w:sz w:val="16"/>
          <w:szCs w:val="16"/>
        </w:rPr>
        <w:softHyphen/>
        <w:t>сом отравляющих веществ до 20 т. Суммарный нормальный взлетный вес Г-1 определялся примерно в 40 т (24977).</w:t>
      </w:r>
    </w:p>
    <w:p w14:paraId="177D8157" w14:textId="77777777" w:rsidR="00BB5252" w:rsidRPr="00142305" w:rsidRDefault="00BB5252" w:rsidP="00BB5252">
      <w:pPr>
        <w:spacing w:after="0" w:line="240" w:lineRule="auto"/>
        <w:jc w:val="both"/>
        <w:rPr>
          <w:rFonts w:ascii="Times New Roman" w:hAnsi="Times New Roman"/>
          <w:color w:val="0070C0"/>
          <w:sz w:val="16"/>
          <w:szCs w:val="16"/>
        </w:rPr>
      </w:pPr>
    </w:p>
    <w:p w14:paraId="52665426" w14:textId="77777777" w:rsidR="00BB5252" w:rsidRPr="00E93F40" w:rsidRDefault="00BB5252" w:rsidP="00BB525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октября 1932 был выполнен еще один полет на управляемость на БИЧ-7 Черановского на испытаниях. Замеряли перегрузки и делали правые и левые виражи и восьмерки. Летали 35 мин. Время виража с заходом и выходом правого 25-26 сек., левого - 28-29 сек., восьмерка левая с заходом и выходом - 1:08, правая - 1:10 Передняя тяга на нос (2307).</w:t>
      </w:r>
    </w:p>
    <w:p w14:paraId="3AB72898" w14:textId="77777777" w:rsidR="00BB5252" w:rsidRPr="00E93F40" w:rsidRDefault="00BB5252" w:rsidP="00BB5252">
      <w:pPr>
        <w:autoSpaceDE w:val="0"/>
        <w:autoSpaceDN w:val="0"/>
        <w:adjustRightInd w:val="0"/>
        <w:spacing w:after="0" w:line="240" w:lineRule="auto"/>
        <w:jc w:val="both"/>
        <w:rPr>
          <w:rFonts w:ascii="Times New Roman" w:hAnsi="Times New Roman"/>
          <w:color w:val="000000" w:themeColor="text1"/>
          <w:sz w:val="16"/>
          <w:szCs w:val="16"/>
        </w:rPr>
      </w:pPr>
    </w:p>
    <w:p w14:paraId="231C8AA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8FFFBF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F72F2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27 октября 1932 ВВС успели принять уже 93 ТБ-3, из которых один уже разбился в катастрофе (7668).</w:t>
      </w:r>
    </w:p>
    <w:p w14:paraId="67C08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3CC557"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27 октября 1932 г. ВВС успели принять уже 93 ТБ-3, из которых один успел разбиться в катастрофе (24838).</w:t>
      </w:r>
    </w:p>
    <w:p w14:paraId="156B9D5C" w14:textId="77777777" w:rsidR="00BB5252" w:rsidRPr="00142305" w:rsidRDefault="00BB5252" w:rsidP="00BB5252">
      <w:pPr>
        <w:spacing w:after="0" w:line="240" w:lineRule="auto"/>
        <w:jc w:val="both"/>
        <w:rPr>
          <w:rFonts w:ascii="Times New Roman" w:hAnsi="Times New Roman"/>
          <w:color w:val="0070C0"/>
          <w:sz w:val="16"/>
          <w:szCs w:val="16"/>
        </w:rPr>
      </w:pPr>
    </w:p>
    <w:p w14:paraId="5F59967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AEF77B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D10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и 29 октября 1932 П.М.Стефановский летал на ТБ-3 с Ж.В.Пуантисом - французом-эмигрантом для испытания оборудования для слепых полетов. Летали в облаках (2921,91).</w:t>
      </w:r>
    </w:p>
    <w:p w14:paraId="30599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62BB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28/31 октября 1932 года начальник штаба А. Егоров и начальник 1 управления штаба С. Обысов писали письмо N 30/25551сс начальнику ВВС.</w:t>
      </w:r>
    </w:p>
    <w:p w14:paraId="7EC9E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N 51/00994.</w:t>
      </w:r>
    </w:p>
    <w:p w14:paraId="240040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достаточного количества самолетов АНТ-9 и К-5 исключает возможность развертывать за их счет бомбардировочные части и эти самолеты по МР-15 предназначены для комплектования частей только вспомогательного назначения (транспортные и санитарные).</w:t>
      </w:r>
    </w:p>
    <w:p w14:paraId="38C27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Считаю, что в будущем, при наличии большого количества указанных самолетов в ГВФ они могут быть использованы в качестве бомбардировщиков. Поэтому, вопросы перевооружения самолетов АНТ-9 и К-5 с гражданских в боевые (бомбардировщики) должны быть отработаны в надлежащей степени. (3070,26).</w:t>
      </w:r>
    </w:p>
    <w:p w14:paraId="179D3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5ADFDC" w14:textId="77777777" w:rsidR="0025088D" w:rsidRPr="00E93F40" w:rsidRDefault="0025088D"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34ACE78" w14:textId="77777777" w:rsidR="0025088D" w:rsidRPr="00E93F40" w:rsidRDefault="0025088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61388E"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28 октября 1932 состоялось заседание ПБ (Протокол № 120) </w:t>
      </w:r>
    </w:p>
    <w:p w14:paraId="76C37D9E"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10.-О заводе механических трубок</w:t>
      </w:r>
    </w:p>
    <w:p w14:paraId="44B71507"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16.Х.32г., пр. № 119, п. 14-8)</w:t>
      </w:r>
    </w:p>
    <w:p w14:paraId="3EAE867C"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Павлуновский, Боев).</w:t>
      </w:r>
    </w:p>
    <w:p w14:paraId="486A0DD3"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Построить завод механических трубок в г. Пензе при существующем трубочном заводе.</w:t>
      </w:r>
    </w:p>
    <w:p w14:paraId="27A13C22"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комиссии в составе т.т. Павлуновского, Ефи</w:t>
      </w:r>
      <w:r w:rsidRPr="00E93F40">
        <w:rPr>
          <w:rFonts w:ascii="Times New Roman" w:hAnsi="Times New Roman"/>
          <w:color w:val="000000" w:themeColor="text1"/>
          <w:sz w:val="16"/>
          <w:szCs w:val="16"/>
        </w:rPr>
        <w:softHyphen/>
        <w:t>мов а и Боева в 3-дневный срок определить окончательную сумму валютных ассигновании, имея ввиду ее сокращение.</w:t>
      </w:r>
    </w:p>
    <w:p w14:paraId="6F8CAE14"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Предложить НКВТ немедленно приступить к размещению заграницей оборудования для завода механических трубок.</w:t>
      </w:r>
    </w:p>
    <w:p w14:paraId="02FF2B48"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Весь импортный контингент отнести за счет контин</w:t>
      </w:r>
      <w:r w:rsidRPr="00E93F40">
        <w:rPr>
          <w:rFonts w:ascii="Times New Roman" w:hAnsi="Times New Roman"/>
          <w:color w:val="000000" w:themeColor="text1"/>
          <w:sz w:val="16"/>
          <w:szCs w:val="16"/>
        </w:rPr>
        <w:softHyphen/>
        <w:t>гента НКТП по 1933 г.</w:t>
      </w:r>
    </w:p>
    <w:p w14:paraId="122C1FEF"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Павлуновскому, Орджоникидзе, Розенгольцу - все; Ефимову, Боеву - б.</w:t>
      </w:r>
    </w:p>
    <w:p w14:paraId="41D1BED6"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 О снабжении тракторов запасными частям.</w:t>
      </w:r>
    </w:p>
    <w:p w14:paraId="2692EC43"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(ПВ от 8.Х.32г., пр. № 118, п. 4-ж; з).</w:t>
      </w:r>
    </w:p>
    <w:p w14:paraId="6D7E9BFB"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.Антипов, Розенгольц, Павлуновский, Благонравов, Яковлев, Юркин, Каганович, Розовских).</w:t>
      </w:r>
    </w:p>
    <w:p w14:paraId="2D32DDA0"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Утвердить с поправками постановление комиссии т. Рудзутака об импорте запасных частой к тракторам им</w:t>
      </w:r>
      <w:r w:rsidRPr="00E93F40">
        <w:rPr>
          <w:rFonts w:ascii="Times New Roman" w:hAnsi="Times New Roman"/>
          <w:color w:val="000000" w:themeColor="text1"/>
          <w:sz w:val="16"/>
          <w:szCs w:val="16"/>
        </w:rPr>
        <w:softHyphen/>
        <w:t>портных марок и оборудования (см.приложение).</w:t>
      </w:r>
    </w:p>
    <w:p w14:paraId="136D1D44"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Считать, что настоящим решением об ассигновании валюты на запасные части и оборудование вопрос об импорте исчерпан на дальнейшее время с тем, чтобы все дальне шее производство запчастей к тракторам было поставлено внутри СССР.</w:t>
      </w:r>
    </w:p>
    <w:p w14:paraId="5C0880E2"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Яковлеву, Юркину, Орджоникидзе, Керженцеву, Розенгольцу.</w:t>
      </w:r>
    </w:p>
    <w:p w14:paraId="4D454D5F"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О строительстве Байкало-Амурской магистрали (проект предложений).</w:t>
      </w:r>
    </w:p>
    <w:p w14:paraId="76B6053B"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(ПВ от 16.X.32 г., Пр № 119, п. 21).</w:t>
      </w:r>
    </w:p>
    <w:p w14:paraId="3FF3B2D4"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Молотов, Ягода).</w:t>
      </w:r>
    </w:p>
    <w:p w14:paraId="03203561"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 связи с возложением на ОГПУ двух важнейших строительств: Волга-Москва и БАМ - запретить возло</w:t>
      </w:r>
      <w:r w:rsidRPr="00E93F40">
        <w:rPr>
          <w:rFonts w:ascii="Times New Roman" w:hAnsi="Times New Roman"/>
          <w:color w:val="000000" w:themeColor="text1"/>
          <w:sz w:val="16"/>
          <w:szCs w:val="16"/>
        </w:rPr>
        <w:softHyphen/>
        <w:t>жение на лагеря ОГПУ каких бы то ни было новых работ, считая для лагерей: ОГПУ основными работами следую</w:t>
      </w:r>
      <w:r w:rsidRPr="00E93F40">
        <w:rPr>
          <w:rFonts w:ascii="Times New Roman" w:hAnsi="Times New Roman"/>
          <w:color w:val="000000" w:themeColor="text1"/>
          <w:sz w:val="16"/>
          <w:szCs w:val="16"/>
        </w:rPr>
        <w:softHyphen/>
        <w:t>щие б"екты:</w:t>
      </w:r>
    </w:p>
    <w:p w14:paraId="05AC6CDC"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окончание работ на Белморстроо,</w:t>
      </w:r>
    </w:p>
    <w:p w14:paraId="42D8E441"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строительство канала Волга-Москва,</w:t>
      </w:r>
    </w:p>
    <w:p w14:paraId="15B96228"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строительство Байкало-Амурской магистрали,</w:t>
      </w:r>
    </w:p>
    <w:p w14:paraId="03F746D7"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Колыма,</w:t>
      </w:r>
    </w:p>
    <w:p w14:paraId="40656352"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работы по Ухте и Печоре,</w:t>
      </w:r>
    </w:p>
    <w:p w14:paraId="0CA029FE"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заготовка дров для Ленинграда и Москвы в существующих программах.</w:t>
      </w:r>
    </w:p>
    <w:p w14:paraId="7777A9A5"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Ввиду возложения на ОГПУ строительства перечисленных важнейших об"ектов - прекратить передачу вольных и заключенных специалистов лагерей ОГПУ дру</w:t>
      </w:r>
      <w:r w:rsidRPr="00E93F40">
        <w:rPr>
          <w:rFonts w:ascii="Times New Roman" w:hAnsi="Times New Roman"/>
          <w:color w:val="000000" w:themeColor="text1"/>
          <w:sz w:val="16"/>
          <w:szCs w:val="16"/>
        </w:rPr>
        <w:softHyphen/>
        <w:t>гим организациям.</w:t>
      </w:r>
    </w:p>
    <w:p w14:paraId="44B41DDF"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Керженцеву, Менжинскому, Берзину.</w:t>
      </w:r>
    </w:p>
    <w:p w14:paraId="4CEAC276"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октября 1932 опросом членов ПБ</w:t>
      </w:r>
    </w:p>
    <w:p w14:paraId="65330986" w14:textId="44FDD78C"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46/19.- О строительстве морских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судов_на_заводе в _с. Пермском</w:t>
      </w:r>
    </w:p>
    <w:p w14:paraId="72013FA8"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решение К.О. о включении строи</w:t>
      </w:r>
      <w:r w:rsidRPr="00E93F40">
        <w:rPr>
          <w:rFonts w:ascii="Times New Roman" w:hAnsi="Times New Roman"/>
          <w:color w:val="000000" w:themeColor="text1"/>
          <w:sz w:val="16"/>
          <w:szCs w:val="16"/>
        </w:rPr>
        <w:softHyphen/>
        <w:t>тельства больших подводных лодок на заводе в с. Пермском.</w:t>
      </w:r>
    </w:p>
    <w:p w14:paraId="34F3F20A" w14:textId="77777777" w:rsidR="0025088D" w:rsidRPr="00E93F40" w:rsidRDefault="0025088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Bыписки посланы: т.т. Орджоникидзе, Молотову (К.О.), Ворошилову (23065).</w:t>
      </w:r>
    </w:p>
    <w:p w14:paraId="0D993397" w14:textId="77777777" w:rsidR="0025088D" w:rsidRPr="00E93F40" w:rsidRDefault="0025088D" w:rsidP="00E93F40">
      <w:pPr>
        <w:spacing w:after="0" w:line="240" w:lineRule="auto"/>
        <w:jc w:val="both"/>
        <w:rPr>
          <w:rFonts w:ascii="Times New Roman" w:hAnsi="Times New Roman"/>
          <w:color w:val="000000" w:themeColor="text1"/>
          <w:sz w:val="16"/>
          <w:szCs w:val="16"/>
        </w:rPr>
      </w:pPr>
    </w:p>
    <w:p w14:paraId="7D8495D4" w14:textId="77777777" w:rsidR="0010442F" w:rsidRPr="00E93F40" w:rsidRDefault="0010442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октября 1932 г. не дожидаясь изготовления опытного образца, танк Т-28 был принят на вооружение. А 14 ноября создатели новой машины за успешное конструирование были удостоены ордена Ленина[67].</w:t>
      </w:r>
    </w:p>
    <w:p w14:paraId="6274D6EE" w14:textId="77777777" w:rsidR="0010442F" w:rsidRPr="00E93F40" w:rsidRDefault="0010442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Следовательно, новая машина была принята к серийному производству без детальной проработки.</w:t>
      </w:r>
    </w:p>
    <w:p w14:paraId="37665E79" w14:textId="77777777" w:rsidR="0010442F" w:rsidRPr="00E93F40" w:rsidRDefault="0010442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Уже к апрелю следующего года удалось собрать 12 новых танков, и они даже приняли участие в первомайских парадах в Москве и Ленинграде (10 и 2 машины соответственно). Но сразу же после парадных мероприятий танки были возвращены в цеха для доработки. Окончательно первая партия (14 танков) была готова только к 1 октября 1933 г., а всего до конца года была выпущена 41 машина из 90 запланированных[68]. Исследователь М.В. Коломиец считает, что фактически освоение </w:t>
      </w:r>
      <w:r w:rsidRPr="00E93F40">
        <w:rPr>
          <w:rFonts w:ascii="Times New Roman" w:hAnsi="Times New Roman"/>
          <w:color w:val="000000" w:themeColor="text1"/>
          <w:sz w:val="16"/>
          <w:szCs w:val="16"/>
        </w:rPr>
        <w:lastRenderedPageBreak/>
        <w:t>производства было завершено уже в следующем году[69]. Сами кировские танкостроители считали, что серийное производство Т-28 началось в 1934-1935 годах. А в 1932-1933 годах были изготовлены только «первые образцы» [70] (23536).</w:t>
      </w:r>
    </w:p>
    <w:p w14:paraId="6D432504" w14:textId="77777777" w:rsidR="0010442F" w:rsidRPr="00E93F40" w:rsidRDefault="0010442F" w:rsidP="00E93F40">
      <w:pPr>
        <w:spacing w:after="0" w:line="240" w:lineRule="auto"/>
        <w:jc w:val="both"/>
        <w:rPr>
          <w:rFonts w:ascii="Times New Roman" w:hAnsi="Times New Roman"/>
          <w:color w:val="000000" w:themeColor="text1"/>
          <w:sz w:val="16"/>
          <w:szCs w:val="16"/>
        </w:rPr>
      </w:pPr>
    </w:p>
    <w:p w14:paraId="04CA0875"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5B324A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920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октября 1932 в очередном, за № 1652/342, постановлении СНК СССР «О строительстве канала Волга-Москва» было записано:</w:t>
      </w:r>
    </w:p>
    <w:p w14:paraId="00CAD4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Не возражать против использования рабочих и технических сил Беломорстроя для строительства канала Волга-Москва и Истринской плотины, возложив на ОГПУ организацию и руководство этим делом.</w:t>
      </w:r>
    </w:p>
    <w:p w14:paraId="0058D9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Строительство окончить к августу 1934 года» (7560).</w:t>
      </w:r>
    </w:p>
    <w:p w14:paraId="6B963D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D2FE0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268652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FE5B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октября 1932 по заданию № 6 было испытание на БИЧ-7 измененных рулей высоты, путем укрепления на них отогнутой металлической пластинки, играющей роль флетнеровского руля. Давление на ручку резко уменьшилось, но за счет неодинакового подгиба кромки, ст-т стало валить влево. Продолжительность 0:30.</w:t>
      </w:r>
    </w:p>
    <w:p w14:paraId="4E022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заданию № 7 летали после изменения изгиба флетнера и подкутки тяги левого элерона на 5 ниток. Результат достигнут. Получена возможность летать с брошенной ручкой. Кправляемость сразу улучшилась и самолет легко и нормально делал глубокие виражи и восьмерки. Продолжительность 0:40 (2707).</w:t>
      </w:r>
    </w:p>
    <w:p w14:paraId="43E48D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ноября 1932 на БИЧ-7 Черановского выполняли полет на устойчивость. Летали 30 мин. (2307).</w:t>
      </w:r>
    </w:p>
    <w:p w14:paraId="3205F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6BF6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октября 1932 были представлены техтребования к ЛР-М34НР (7415, 16).</w:t>
      </w:r>
    </w:p>
    <w:p w14:paraId="0AD035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ACD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октября и 8 декабря 1932 были представлены техтребования к И-15 М-58 (М38) (7415, 16).</w:t>
      </w:r>
    </w:p>
    <w:p w14:paraId="31337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388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октября и 8 декабря 1932 были представлены техтребования к самолету И-14 М-38 (7415, 16).</w:t>
      </w:r>
    </w:p>
    <w:p w14:paraId="79999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FED6C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F82F68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3939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октября 1932 г. на николаевском заводе им. А. Марти были за</w:t>
      </w:r>
      <w:r w:rsidRPr="00E93F40">
        <w:rPr>
          <w:rFonts w:ascii="Times New Roman" w:hAnsi="Times New Roman"/>
          <w:color w:val="000000" w:themeColor="text1"/>
          <w:sz w:val="16"/>
          <w:szCs w:val="16"/>
        </w:rPr>
        <w:softHyphen/>
        <w:t>ложены два черноморских лидера — "Москва" и "Харьков", а 5 ноября того же года на Северной верфи в Ленинграде был заложен третий лидер — "Ленинград", ставший головным в I серии (3898).</w:t>
      </w:r>
    </w:p>
    <w:p w14:paraId="646622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4CF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октября 1932 в Николаеве на заводе им. А.Марти был заложен второй корабль Черного моря по проекту 1 — «Москва» (заводской номер С-224). В канун 15-й годовщины Октябрьской револю­ции, 5 ноября того же года, на Северной судостроительной верфи в Ленинграде за­ложили головной корабль проекта 1 для Балтийского моря «Ленинград» (заводской номер С-450). Строительство кораблей по проекту 1 было поручено наиболее подготовленным в то время судостроительным предприяти­ям: Северной судостроительной верфи в Ленинграде и заводу им. А.Марти в Нико­лаеве. Впоследствии для постройки лиде­ров проекта 38 к ним прибавился вновь со­зданный завод в Комсомольске-на-Амуре. Для обеспечения поставок по кооперации привлекались другие заводы, в том числе Ижорский завод (сталь, прокат), заводы «Большевик» и им.Калинина (артустановки), Харьковский турбогенераторный (11866).</w:t>
      </w:r>
    </w:p>
    <w:p w14:paraId="4D293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BAF527" w14:textId="77777777" w:rsidR="00F01A58"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F5BA704" w14:textId="77777777" w:rsidR="00F01A58" w:rsidRPr="00E93F40" w:rsidRDefault="00F01A5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A233A17"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eastAsiaTheme="majorEastAsia" w:hAnsi="Times New Roman"/>
          <w:bCs/>
          <w:color w:val="000000" w:themeColor="text1"/>
          <w:sz w:val="16"/>
          <w:szCs w:val="16"/>
        </w:rPr>
        <w:t xml:space="preserve">29 октября </w:t>
      </w:r>
      <w:r w:rsidRPr="00E93F40">
        <w:rPr>
          <w:rFonts w:ascii="Times New Roman" w:hAnsi="Times New Roman"/>
          <w:color w:val="000000" w:themeColor="text1"/>
          <w:sz w:val="16"/>
          <w:szCs w:val="16"/>
        </w:rPr>
        <w:t>в 1932 году подписан Советско-французский пакт о ненападении (14810).</w:t>
      </w:r>
    </w:p>
    <w:p w14:paraId="147864F1" w14:textId="77777777" w:rsidR="00F01A58" w:rsidRPr="00E93F40" w:rsidRDefault="00F01A58" w:rsidP="00E93F40">
      <w:pPr>
        <w:spacing w:after="0" w:line="240" w:lineRule="auto"/>
        <w:jc w:val="both"/>
        <w:rPr>
          <w:rFonts w:ascii="Times New Roman" w:hAnsi="Times New Roman"/>
          <w:color w:val="000000" w:themeColor="text1"/>
          <w:sz w:val="16"/>
          <w:szCs w:val="16"/>
        </w:rPr>
      </w:pPr>
    </w:p>
    <w:p w14:paraId="69C52A3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BF0A64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285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октября 1932 на ЦА закончили сборку Файрфлай IIM N F.1876, закупленного через Арков, выполнявшего функции торгпредства в Англии, который 24 октября 1932 прибыл в Москву из Бельгии или Англии в сопровождении целой бригады под руководством Л. Ван де Вельде (2611,20).</w:t>
      </w:r>
    </w:p>
    <w:p w14:paraId="284B0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E76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октября 1932 был готов аэродром НИИ ВВС в Щелково (172,31).</w:t>
      </w:r>
    </w:p>
    <w:p w14:paraId="056269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8B9F60" w14:textId="77777777" w:rsidR="0084601C" w:rsidRPr="00E93F40" w:rsidRDefault="0084601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октября 1932 начальник строительства нового аэродрома для НИИ ВСС комбриг П.Г. Алексеев (ранее командовал ВВС Ленинградского военного округа), доложил в Управление ВВС о готовности аэродрома принять самолеты авиабригады НИИ (21339).</w:t>
      </w:r>
    </w:p>
    <w:p w14:paraId="136E130C" w14:textId="77777777" w:rsidR="0084601C" w:rsidRPr="00E93F40" w:rsidRDefault="0084601C" w:rsidP="00E93F40">
      <w:pPr>
        <w:spacing w:after="0" w:line="240" w:lineRule="auto"/>
        <w:jc w:val="both"/>
        <w:rPr>
          <w:rFonts w:ascii="Times New Roman" w:hAnsi="Times New Roman"/>
          <w:color w:val="000000" w:themeColor="text1"/>
          <w:sz w:val="16"/>
          <w:szCs w:val="16"/>
        </w:rPr>
      </w:pPr>
    </w:p>
    <w:p w14:paraId="3FB7F1F0" w14:textId="77777777" w:rsidR="00BB5252" w:rsidRPr="00E93F40" w:rsidRDefault="00BB5252" w:rsidP="00BB5252">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EC954BD" w14:textId="77777777" w:rsidR="00BB5252" w:rsidRPr="00E93F40" w:rsidRDefault="00BB5252" w:rsidP="00BB5252">
      <w:pPr>
        <w:autoSpaceDE w:val="0"/>
        <w:autoSpaceDN w:val="0"/>
        <w:adjustRightInd w:val="0"/>
        <w:spacing w:after="0" w:line="240" w:lineRule="auto"/>
        <w:jc w:val="both"/>
        <w:rPr>
          <w:rFonts w:ascii="Times New Roman" w:hAnsi="Times New Roman"/>
          <w:iCs/>
          <w:color w:val="000000" w:themeColor="text1"/>
          <w:sz w:val="16"/>
          <w:szCs w:val="16"/>
        </w:rPr>
      </w:pPr>
    </w:p>
    <w:p w14:paraId="6B7145ED"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октября 1932 года группа инженеров с «Красного Путиловца» – К. Титов, Ходин, Доброхотов, Четвериков и Белов – впервые ознакомились с чертежами Т-28 в КБ ОКМО, а в конце ноября чертежи поступили на завод для организации серийного производства нового танка.</w:t>
      </w:r>
    </w:p>
    <w:p w14:paraId="73949632"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 выпуск Т-28 выделили механический цех № 2 (МХ-2), до этого изготавливавший в небольших количествах драги, паровозы и подъемные крапы. Оборудование цеха было старым и не приспособленным для серийного изготовления деталей танков, требовавших высокой культуры производства. Руководству завода пришлось задействовать «скрытые» резервы – законсервированные станки, служившие на производстве массовых работ еще в Первую мировую войну, были модернизированы и пущены в работу. Кроме того, по распоряжению С.Кирова на «Красный Путиловец» доставили станки с других предприятий Ленинграда. Все это, а главным образом большой производственный опыт рабочих и мастеров цеха позволили к концу апреля 1933 года собрать первые 12 танков Т-28. Десять из них прошли на первомайском параде в Москве, а два в Ленинграде. После парадов машины вернулись на завод для доделок и устранения выявленных недостатков (24998).</w:t>
      </w:r>
    </w:p>
    <w:p w14:paraId="2652FB2B" w14:textId="77777777" w:rsidR="00BB5252" w:rsidRPr="00142305" w:rsidRDefault="00BB5252" w:rsidP="00BB5252">
      <w:pPr>
        <w:spacing w:after="0" w:line="240" w:lineRule="auto"/>
        <w:jc w:val="both"/>
        <w:rPr>
          <w:rFonts w:ascii="Times New Roman" w:hAnsi="Times New Roman"/>
          <w:color w:val="0070C0"/>
          <w:sz w:val="16"/>
          <w:szCs w:val="16"/>
        </w:rPr>
      </w:pPr>
    </w:p>
    <w:p w14:paraId="2B642097" w14:textId="77777777" w:rsidR="00F01A58"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B42FBAD" w14:textId="77777777" w:rsidR="00F01A58" w:rsidRPr="00E93F40" w:rsidRDefault="00F01A5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BDE5E1" w14:textId="77777777" w:rsidR="00F01A58" w:rsidRPr="00E93F40" w:rsidRDefault="00F01A58"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октября 1932 в Киеве было Выступление предс.Чрезвычайной комиссии по хлебозаготовкам В.Молотова на Политбюро ЦК КП(б)У. Он информировал, что по УССР установлен окончательный хлебозаготовительный план в объеме 282 млн.пудов, в том числе по крестьянскому сектору - 261 млн.пудов. [Иными словами, у крестьян требовалось изъять столько же, сколько уже было заготовлено с июня по октябрь]. Этим решением провоцировался голодомор 1933 года на Украине (10687).</w:t>
      </w:r>
    </w:p>
    <w:p w14:paraId="7728ADE5" w14:textId="77777777" w:rsidR="00F01A58" w:rsidRPr="00E93F40" w:rsidRDefault="00F01A58" w:rsidP="00E93F40">
      <w:pPr>
        <w:autoSpaceDE w:val="0"/>
        <w:autoSpaceDN w:val="0"/>
        <w:adjustRightInd w:val="0"/>
        <w:spacing w:after="0" w:line="240" w:lineRule="auto"/>
        <w:jc w:val="both"/>
        <w:rPr>
          <w:rFonts w:ascii="Times New Roman" w:hAnsi="Times New Roman"/>
          <w:color w:val="000000" w:themeColor="text1"/>
          <w:sz w:val="16"/>
          <w:szCs w:val="16"/>
        </w:rPr>
      </w:pPr>
    </w:p>
    <w:p w14:paraId="6EA41D2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8FE6D6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B7F0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октября 1932 г. при управлении ЧТЗ был создан монтажный отдел. Монтажом оборудования в инструментальном цехе руководил опытный специалист Г.А.Трегубов. Представители американской фирмы "Келлер", английской "Старк" и немецкой "Альфред-Шютте" не раз с уверенностью заявляли, что механизмы могут быть смонтированы лишь с помощью их рабочих. Однако наши монтажники не только сокращали сроки установки, но и в рекордно короткое время осваивали импортные механизмы. Так, фирме "Келлер" для наладки 10 копировально-фрезерных станков требовалось 45 дней. Рабочие ЧТЗ смонтировали первые восемь агрегатов и запустили их за 17 дней. При этом монтажники превысили производительность, указанную компанией. Отдельные операции были сокращены в полтора раза. Монтаж ковочных машин в кузнечном цехе производился под руководством А.Штеренберга. Никто из рабочих не знал этих машин, а фирма не прислала ни чертежей, ни инструмента. Начинали с разборки ковочных машин, внимательно изучали детали, наблюдали за их взаимодействием. Работали, не считаясь со временем. Задание было выполнено. В результате ремонтно-инструментальная кузница через три месяца смогла выполнить заказы для основных цехов завода. Имея в виду массовый энтузиазм строителей и самоотверженную помощь трудящихся страны в сооружении предприятия, Г.К.Орджоникидзе отмечал: "Я много видел у нас различных строек и хороших, и плохих, но такой прелестной стройки, как Челябинский тракторный завод, другой такой у нас нет" (11557).</w:t>
      </w:r>
    </w:p>
    <w:p w14:paraId="028C37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33B0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31 октября 1932 год - приказом Наркома тяжелой промышленности № 755 Московское отделение Ленинградского Государственного института по проектированию специальных металлических заводов "Гипроспецмет" было преобразовано в самостоятельный Государственный институт по проектированию специальных производств - "Гипроспец". 11 августа 1933 Народным Комиссаром тяжелой промышленности СССР Г. К. Орджоникидзе утвержден устав института "Гипроспец". 26 января 1938 год приказом Наркомата оборонной промышленности № 24 институт "Гипроспец" преобразован в Государственный союзный институт № 4 (ГСПИ № 4). В 1953 год - институт "Гипроспец" вошел в состав Министерства оборонной промышленности СССР. 1966 год - приказом Министерства оборонной </w:t>
      </w:r>
      <w:r w:rsidRPr="00E93F40">
        <w:rPr>
          <w:rFonts w:ascii="Times New Roman" w:hAnsi="Times New Roman"/>
          <w:color w:val="000000" w:themeColor="text1"/>
          <w:sz w:val="16"/>
          <w:szCs w:val="16"/>
        </w:rPr>
        <w:lastRenderedPageBreak/>
        <w:t>промышленности от 6 марта № 110 "Гипроспец" преобразован в Государственный Союзный институт по проектированию предприятий машиностроения "Союзмашпроект" (10774).</w:t>
      </w:r>
    </w:p>
    <w:p w14:paraId="51F91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DAD4F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2287ED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695D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октября 1932 прошел международный антифашистский митинг в Париже (3186).</w:t>
      </w:r>
    </w:p>
    <w:p w14:paraId="6DDF46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A4C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октября 1932 в Греции после парламентских выборов премьер-министр ушел в отставку и 4 ноября появился новый премьер (3907,174).</w:t>
      </w:r>
    </w:p>
    <w:p w14:paraId="31A44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E4D43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6AF1E0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71F9B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октября 1932 г. во исполнение постановления КО ЦАГИ спроектированы, построены и переданы на испытание тормозные колеса к самолету Р5. Испытание самолетов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Работа по устранению этого дефекта, не позволяющего устанавливать на самолет Р5 тормозные шасси велась ЦАГИ недостаточными темпами (3082).</w:t>
      </w:r>
    </w:p>
    <w:p w14:paraId="1295D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A571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октября 1932 года во исполнение постановления КО ЦАГИ были спроектированы, построены и переданы на испытание тормозные колеса к самолету Р5. Испытание самолета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(3530,91).</w:t>
      </w:r>
    </w:p>
    <w:p w14:paraId="1E0074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84F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октября 1932 специальная комиссия РККА принимала на ЦА метод срыва для десантирования тяжелой техники. Летал на ТБ-1 К.Холобаев и сбрасывали бочку и трехдюймовое орудие. Заключение - положительное (1101,117).</w:t>
      </w:r>
    </w:p>
    <w:p w14:paraId="12274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70D005"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DE901B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F3C8A2" w14:textId="5C6EAD51"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октября 1932 г. Совет труда и обороны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СССР принял решение об организации серийного производства танков Т-28 на заводе «Красный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путиловец» в Ленинграде. Подключение «Красного путиловца» к производству танков Т-26 и Т-28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вызвало необходимость создания на этом заводе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специального отдела «Бюро Т-26», вскоре получившее более общее название СКБ-2. Так было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положено начало производства танков на будущем Кировском заводе и развитию прославленного Особого конструкторского бюро танкостроения (ОКБТ). «Большевик» поделился с путиловцами и кадрами. В частности, на работу в «Бюро Т-26» перевели из ОКМО будущего начальника СКБ-2 Олимпия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Мефодьевича Иванова (15132).</w:t>
      </w:r>
    </w:p>
    <w:p w14:paraId="2964D20F" w14:textId="77777777" w:rsidR="00F01A58" w:rsidRPr="00E93F40" w:rsidRDefault="00F01A58" w:rsidP="00E93F40">
      <w:pPr>
        <w:spacing w:after="0" w:line="240" w:lineRule="auto"/>
        <w:jc w:val="both"/>
        <w:rPr>
          <w:rFonts w:ascii="Times New Roman" w:hAnsi="Times New Roman"/>
          <w:color w:val="000000" w:themeColor="text1"/>
          <w:sz w:val="16"/>
          <w:szCs w:val="16"/>
        </w:rPr>
      </w:pPr>
    </w:p>
    <w:p w14:paraId="1BDB4F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Конец октября 1932 года - погола была очень холодной: то шел мокрый снег, то наступали заморозки, то их отпускала оттепель. По старому Крымскому мосту—трубе с грохотом и ревом, поднимая фонтаны гря</w:t>
      </w:r>
      <w:r w:rsidRPr="00E93F40">
        <w:rPr>
          <w:rFonts w:ascii="Times New Roman" w:hAnsi="Times New Roman"/>
          <w:color w:val="000000" w:themeColor="text1"/>
          <w:sz w:val="16"/>
          <w:szCs w:val="16"/>
        </w:rPr>
        <w:softHyphen/>
        <w:t>зи двигался танк, непохожий ни на один из прежних. Танк по мосту шел на большой скорости, не уступая ничуть скорости тогдашнего автомоби</w:t>
      </w:r>
      <w:r w:rsidRPr="00E93F40">
        <w:rPr>
          <w:rFonts w:ascii="Times New Roman" w:hAnsi="Times New Roman"/>
          <w:color w:val="000000" w:themeColor="text1"/>
          <w:sz w:val="16"/>
          <w:szCs w:val="16"/>
        </w:rPr>
        <w:softHyphen/>
        <w:t>ля. Зрелище было впечатляющее, хоть и по мосту он проскочил почти мгновенно. Заслышав грохот, прохожие останавливались и таращили гла</w:t>
      </w:r>
      <w:r w:rsidRPr="00E93F40">
        <w:rPr>
          <w:rFonts w:ascii="Times New Roman" w:hAnsi="Times New Roman"/>
          <w:color w:val="000000" w:themeColor="text1"/>
          <w:sz w:val="16"/>
          <w:szCs w:val="16"/>
        </w:rPr>
        <w:softHyphen/>
        <w:t>за на, в общем-то, красивую машину. Удивительным было то, что опыт</w:t>
      </w:r>
      <w:r w:rsidRPr="00E93F40">
        <w:rPr>
          <w:rFonts w:ascii="Times New Roman" w:hAnsi="Times New Roman"/>
          <w:color w:val="000000" w:themeColor="text1"/>
          <w:sz w:val="16"/>
          <w:szCs w:val="16"/>
        </w:rPr>
        <w:softHyphen/>
        <w:t>ная боевая машина шла по городу с завода «Красный пролетарий», где он был изготовлен, на Хамовнический плац для показа Сталину, среди дня, без никакой дополнительной охраны, кроме двух милиционеров, запре</w:t>
      </w:r>
      <w:r w:rsidRPr="00E93F40">
        <w:rPr>
          <w:rFonts w:ascii="Times New Roman" w:hAnsi="Times New Roman"/>
          <w:color w:val="000000" w:themeColor="text1"/>
          <w:sz w:val="16"/>
          <w:szCs w:val="16"/>
        </w:rPr>
        <w:softHyphen/>
        <w:t>щавших другое движение, когда танк приближался к мосту на своем не</w:t>
      </w:r>
      <w:r w:rsidRPr="00E93F40">
        <w:rPr>
          <w:rFonts w:ascii="Times New Roman" w:hAnsi="Times New Roman"/>
          <w:color w:val="000000" w:themeColor="text1"/>
          <w:sz w:val="16"/>
          <w:szCs w:val="16"/>
        </w:rPr>
        <w:softHyphen/>
        <w:t>длинном пути от завода до Хамовнического плаца и обратно. Этот плац находился между казармами и церковью Николы по одну сторону, ко</w:t>
      </w:r>
      <w:r w:rsidRPr="00E93F40">
        <w:rPr>
          <w:rFonts w:ascii="Times New Roman" w:hAnsi="Times New Roman"/>
          <w:color w:val="000000" w:themeColor="text1"/>
          <w:sz w:val="16"/>
          <w:szCs w:val="16"/>
        </w:rPr>
        <w:softHyphen/>
        <w:t>нюшнями и так называемым шефским домом — по другую. Ширина пла</w:t>
      </w:r>
      <w:r w:rsidRPr="00E93F40">
        <w:rPr>
          <w:rFonts w:ascii="Times New Roman" w:hAnsi="Times New Roman"/>
          <w:color w:val="000000" w:themeColor="text1"/>
          <w:sz w:val="16"/>
          <w:szCs w:val="16"/>
        </w:rPr>
        <w:softHyphen/>
        <w:t>ца — метров 60-70, а длина — метров 250. Наиболее широкий вначале, у церкви, он переходил в узкую улицу, ведущую к Лужникам. Она, как и сам плац совсем не имела столичного вида. Грунтовое покрытие плаца вес</w:t>
      </w:r>
      <w:r w:rsidRPr="00E93F40">
        <w:rPr>
          <w:rFonts w:ascii="Times New Roman" w:hAnsi="Times New Roman"/>
          <w:color w:val="000000" w:themeColor="text1"/>
          <w:sz w:val="16"/>
          <w:szCs w:val="16"/>
        </w:rPr>
        <w:softHyphen/>
        <w:t>ной и осенью превращалось в почти непроходимую грязь.</w:t>
      </w:r>
    </w:p>
    <w:p w14:paraId="479181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Здесь-то в конце октября 1932 года и должны были показать Сталину колесно-гусеничный плавающий танк, получивший индекс ПТ-1 (плава</w:t>
      </w:r>
      <w:r w:rsidRPr="00E93F40">
        <w:rPr>
          <w:rFonts w:ascii="Times New Roman" w:hAnsi="Times New Roman"/>
          <w:color w:val="000000" w:themeColor="text1"/>
          <w:sz w:val="16"/>
          <w:szCs w:val="16"/>
        </w:rPr>
        <w:softHyphen/>
        <w:t>ющий танк, образец первый).</w:t>
      </w:r>
    </w:p>
    <w:p w14:paraId="341598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в 3-м квартале 1931 года АТТБ ТО ЭКУ ОГПУ поручили проек</w:t>
      </w:r>
      <w:r w:rsidRPr="00E93F40">
        <w:rPr>
          <w:rFonts w:ascii="Times New Roman" w:hAnsi="Times New Roman"/>
          <w:color w:val="000000" w:themeColor="text1"/>
          <w:sz w:val="16"/>
          <w:szCs w:val="16"/>
        </w:rPr>
        <w:softHyphen/>
        <w:t>тирование колесно-гусеничного плавающего танка ПТ-1, ХПЗ им. Ко</w:t>
      </w:r>
      <w:r w:rsidRPr="00E93F40">
        <w:rPr>
          <w:rFonts w:ascii="Times New Roman" w:hAnsi="Times New Roman"/>
          <w:color w:val="000000" w:themeColor="text1"/>
          <w:sz w:val="16"/>
          <w:szCs w:val="16"/>
        </w:rPr>
        <w:softHyphen/>
        <w:t>минтерна уже начал подготовку производства для выпуска колесно-гусе</w:t>
      </w:r>
      <w:r w:rsidRPr="00E93F40">
        <w:rPr>
          <w:rFonts w:ascii="Times New Roman" w:hAnsi="Times New Roman"/>
          <w:color w:val="000000" w:themeColor="text1"/>
          <w:sz w:val="16"/>
          <w:szCs w:val="16"/>
        </w:rPr>
        <w:softHyphen/>
        <w:t>ничного танка БТ-2 (неплавающего), принятого на вооружение по черте</w:t>
      </w:r>
      <w:r w:rsidRPr="00E93F40">
        <w:rPr>
          <w:rFonts w:ascii="Times New Roman" w:hAnsi="Times New Roman"/>
          <w:color w:val="000000" w:themeColor="text1"/>
          <w:sz w:val="16"/>
          <w:szCs w:val="16"/>
        </w:rPr>
        <w:softHyphen/>
        <w:t>жам в мае 1931 года.</w:t>
      </w:r>
    </w:p>
    <w:p w14:paraId="3B8487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ПТ-1 был очередной инициативой Тухачевского для претворения в жизнь своей концепции, гласившей: «При прочих равных условиях колесно-гусеничный танк имеет преимущества перед гусеничными» и «Точно также амфибия имеет преимущества перед неплавающим тан</w:t>
      </w:r>
      <w:r w:rsidRPr="00E93F40">
        <w:rPr>
          <w:rFonts w:ascii="Times New Roman" w:hAnsi="Times New Roman"/>
          <w:color w:val="000000" w:themeColor="text1"/>
          <w:sz w:val="16"/>
          <w:szCs w:val="16"/>
        </w:rPr>
        <w:softHyphen/>
        <w:t>ком». Это была и очередная дань заграничной моде.</w:t>
      </w:r>
    </w:p>
    <w:p w14:paraId="664868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США Уолтер Кристи работал в начале 20-х годов и над плавающим колесно-гусеничным танком и над летающей его модификацией. Плавающие танки М-1921, 1922 и 1923 имели скорость (для М-1923): на колесах 48 км/час, на гусеницах 30 км/час и на воде 12 км/час. Весил он 6,35 т. Приводился танк 6-цилиндровым двигателем Кристи с водяным охлаждением мощ</w:t>
      </w:r>
      <w:r w:rsidRPr="00E93F40">
        <w:rPr>
          <w:rFonts w:ascii="Times New Roman" w:hAnsi="Times New Roman"/>
          <w:color w:val="000000" w:themeColor="text1"/>
          <w:sz w:val="16"/>
          <w:szCs w:val="16"/>
        </w:rPr>
        <w:softHyphen/>
        <w:t>ностью 90 л.с. Управление этот танк имел: при движении на колесах — передними колесами, в воде — лишением привода одного из двух греб</w:t>
      </w:r>
      <w:r w:rsidRPr="00E93F40">
        <w:rPr>
          <w:rFonts w:ascii="Times New Roman" w:hAnsi="Times New Roman"/>
          <w:color w:val="000000" w:themeColor="text1"/>
          <w:sz w:val="16"/>
          <w:szCs w:val="16"/>
        </w:rPr>
        <w:softHyphen/>
        <w:t>ных винтов, на гусеницах — диференциалом. По сообщению американ</w:t>
      </w:r>
      <w:r w:rsidRPr="00E93F40">
        <w:rPr>
          <w:rFonts w:ascii="Times New Roman" w:hAnsi="Times New Roman"/>
          <w:color w:val="000000" w:themeColor="text1"/>
          <w:sz w:val="16"/>
          <w:szCs w:val="16"/>
        </w:rPr>
        <w:softHyphen/>
        <w:t>ского справочника, чертежи плавающего танка Кристи М-1923 были проданы в Японию, где на их основе мог быть построен аналогичный образец колесно-гусеничного плавающего танка.</w:t>
      </w:r>
    </w:p>
    <w:p w14:paraId="02D144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конструкцией колесно-гусеничных плавающих танков Кристи были знакомы сотрудники УММ РККА Лебедев и Тоскин. Они побывали в США в целях закупки образцов танка Кристи, который имел четыре пары ведущих колес и для передвижения по воде два гребных винта.</w:t>
      </w:r>
    </w:p>
    <w:p w14:paraId="314AB2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этой схеме было решено спроектировать колесно-гусеничный пла</w:t>
      </w:r>
      <w:r w:rsidRPr="00E93F40">
        <w:rPr>
          <w:rFonts w:ascii="Times New Roman" w:hAnsi="Times New Roman"/>
          <w:color w:val="000000" w:themeColor="text1"/>
          <w:sz w:val="16"/>
          <w:szCs w:val="16"/>
        </w:rPr>
        <w:softHyphen/>
        <w:t>вающий танк ПТ-1. При боевой массе в 14 тонн, по наличию пушечного вооружения, бронезащищенности, динамике на любом виде хода ПТ-1 заметно превосходил малые танки (разведывательные), концепция кото</w:t>
      </w:r>
      <w:r w:rsidRPr="00E93F40">
        <w:rPr>
          <w:rFonts w:ascii="Times New Roman" w:hAnsi="Times New Roman"/>
          <w:color w:val="000000" w:themeColor="text1"/>
          <w:sz w:val="16"/>
          <w:szCs w:val="16"/>
        </w:rPr>
        <w:softHyphen/>
        <w:t>рых была модной в 30-е годы, особенно в первой их половине.</w:t>
      </w:r>
    </w:p>
    <w:p w14:paraId="19A788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был красивый танк, не похожий ни на одну из машин Кристи, хотя в нем были воплощены его идеи. Танку ПТ-1 еще бы красивую кони</w:t>
      </w:r>
      <w:r w:rsidRPr="00E93F40">
        <w:rPr>
          <w:rFonts w:ascii="Times New Roman" w:hAnsi="Times New Roman"/>
          <w:color w:val="000000" w:themeColor="text1"/>
          <w:sz w:val="16"/>
          <w:szCs w:val="16"/>
        </w:rPr>
        <w:softHyphen/>
        <w:t>ческую башню, да в нее поместить помощнее пушку, танку бы цены не было и он мог стать полезной для Красной Армии боевой машиной.</w:t>
      </w:r>
    </w:p>
    <w:p w14:paraId="4B2B59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 ПТ-1 был универсальным. Однако позже убедились, что каждое новое «дополнительное качество», как правило, снижает уровень предыдущего.</w:t>
      </w:r>
    </w:p>
    <w:p w14:paraId="59168C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ПТ-1 был заложен колесно-гусеничный движитель с 8-ю ведущими колесами (из восьми пар колес), то есть гораздо более совершенный, чем на БТ-2, но и на порядок более сложный, чем на нем. Однако этот движи</w:t>
      </w:r>
      <w:r w:rsidRPr="00E93F40">
        <w:rPr>
          <w:rFonts w:ascii="Times New Roman" w:hAnsi="Times New Roman"/>
          <w:color w:val="000000" w:themeColor="text1"/>
          <w:sz w:val="16"/>
          <w:szCs w:val="16"/>
        </w:rPr>
        <w:softHyphen/>
        <w:t>тель хорошо вписывался в конструкцию танка ПТ-1 и за счет этого хотели увеличить универсальность применения (по дорогам с твердым покрыти</w:t>
      </w:r>
      <w:r w:rsidRPr="00E93F40">
        <w:rPr>
          <w:rFonts w:ascii="Times New Roman" w:hAnsi="Times New Roman"/>
          <w:color w:val="000000" w:themeColor="text1"/>
          <w:sz w:val="16"/>
          <w:szCs w:val="16"/>
        </w:rPr>
        <w:softHyphen/>
        <w:t>ем и по местности), повысить надежность ходовой части (оказалось на</w:t>
      </w:r>
      <w:r w:rsidRPr="00E93F40">
        <w:rPr>
          <w:rFonts w:ascii="Times New Roman" w:hAnsi="Times New Roman"/>
          <w:color w:val="000000" w:themeColor="text1"/>
          <w:sz w:val="16"/>
          <w:szCs w:val="16"/>
        </w:rPr>
        <w:softHyphen/>
        <w:t>оборот), довести максимальную скорость до 90 км/час, что можно было сделать только на колесах.</w:t>
      </w:r>
    </w:p>
    <w:p w14:paraId="5118D9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уже сказано, изготовил танк ПТ-1 «Красный пролетарий», правда не все его узлы. Завод получил элементы вооружения и оптические при</w:t>
      </w:r>
      <w:r w:rsidRPr="00E93F40">
        <w:rPr>
          <w:rFonts w:ascii="Times New Roman" w:hAnsi="Times New Roman"/>
          <w:color w:val="000000" w:themeColor="text1"/>
          <w:sz w:val="16"/>
          <w:szCs w:val="16"/>
        </w:rPr>
        <w:softHyphen/>
        <w:t>боры, авиационный двигатель М-17Т, а бронекорпус сделали на Ижорс-ком заводе. «Красный пролетарий» тогда был мощным предприятием и, хотя до ПТ-1 танков никогда не изготовлял, справился с этой, в общем, непростой задачей. В процессе испытаний производственных дефектов практически не выявили.</w:t>
      </w:r>
    </w:p>
    <w:p w14:paraId="414AA2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пишет в своих воспоминаниях НА. Астров, запомнивший этот день со многими подробностями: «в тот хмурый осенний день плац покрывали льдистые корки еще неплотно легшего снега. А поскольку сам он был не очень-то ровным, в некоторых местах стояли довольно большие лужи. Гря</w:t>
      </w:r>
      <w:r w:rsidRPr="00E93F40">
        <w:rPr>
          <w:rFonts w:ascii="Times New Roman" w:hAnsi="Times New Roman"/>
          <w:color w:val="000000" w:themeColor="text1"/>
          <w:sz w:val="16"/>
          <w:szCs w:val="16"/>
        </w:rPr>
        <w:softHyphen/>
        <w:t>зища была, можно сказать, полноценной — как раз для испытаний танков».</w:t>
      </w:r>
    </w:p>
    <w:p w14:paraId="67549A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Приехало всевозможное начальство во главе с заместителем наркома обороны, начальником вооружений РККА Тухачевским, влюбленным в идеи Уолтера Кристи. Тут же были начальник УММ РККА Халепский со своими заместителями и помощниками, начальник танкового треста и, конечно, всемогущий Ягода, Прокофьев, Вунштейн, в чьей «шарашке» проектировался этот танк. Они все сбились в довольно тесную группу рядом с большой лужей, видимо надеясь, что автомобили «хозяина» и его ближайшего окружения остановятся перед ней.</w:t>
      </w:r>
    </w:p>
    <w:p w14:paraId="33BF5A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Николай Александрович Астров так описывает эпизод встречи Стали</w:t>
      </w:r>
      <w:r w:rsidRPr="00E93F40">
        <w:rPr>
          <w:rFonts w:ascii="Times New Roman" w:hAnsi="Times New Roman"/>
          <w:color w:val="000000" w:themeColor="text1"/>
          <w:sz w:val="16"/>
          <w:szCs w:val="16"/>
        </w:rPr>
        <w:softHyphen/>
        <w:t>на и его ближайшего окружения в Хамовниках, во время показа танка ПТ-1: «Возможно так и случилось бы, будь плац сухим или по-летнему пыльным. Однако машина Сталина остановилась непосредственно у объекта демонстрации. Сталин вышел, а шофер очень медленно объехал, развернулся и встал в ожидании своего пассажира. Из его машины и двух или трех сопровождавших выскочила личная охрана вождя. Вдобавок весь плац был оцеплен солдатами, стоявшими спиной к прибывшим — чтобы вооруженные люди не могли видеть, кто именно приехал. Стояли по стой</w:t>
      </w:r>
      <w:r w:rsidRPr="00E93F40">
        <w:rPr>
          <w:rFonts w:ascii="Times New Roman" w:hAnsi="Times New Roman"/>
          <w:color w:val="000000" w:themeColor="text1"/>
          <w:sz w:val="16"/>
          <w:szCs w:val="16"/>
        </w:rPr>
        <w:softHyphen/>
        <w:t>ке смирно, не имея права даже переступить с ноги на ногу. «Инженерию, также в окружении солдат (а нас и было-то человек восемь—десять), тес</w:t>
      </w:r>
      <w:r w:rsidRPr="00E93F40">
        <w:rPr>
          <w:rFonts w:ascii="Times New Roman" w:hAnsi="Times New Roman"/>
          <w:color w:val="000000" w:themeColor="text1"/>
          <w:sz w:val="16"/>
          <w:szCs w:val="16"/>
        </w:rPr>
        <w:softHyphen/>
        <w:t>ной группой поставили на предполагавшемся пути движения танка. Впро</w:t>
      </w:r>
      <w:r w:rsidRPr="00E93F40">
        <w:rPr>
          <w:rFonts w:ascii="Times New Roman" w:hAnsi="Times New Roman"/>
          <w:color w:val="000000" w:themeColor="text1"/>
          <w:sz w:val="16"/>
          <w:szCs w:val="16"/>
        </w:rPr>
        <w:softHyphen/>
        <w:t>чем, по соображениям безопасности показ на ходу отменили».</w:t>
      </w:r>
    </w:p>
    <w:p w14:paraId="4F06B2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Было довольно-таки холодно, Сталин приехал в меховой дохе чуть ниже колен, на голове у него была глубоко нахлобученная меховая шапка с мод</w:t>
      </w:r>
      <w:r w:rsidRPr="00E93F40">
        <w:rPr>
          <w:rFonts w:ascii="Times New Roman" w:hAnsi="Times New Roman"/>
          <w:color w:val="000000" w:themeColor="text1"/>
          <w:sz w:val="16"/>
          <w:szCs w:val="16"/>
        </w:rPr>
        <w:softHyphen/>
        <w:t>ными в те годы непомерно длинными, чуть не до пояса, ушами. Сталин</w:t>
      </w:r>
    </w:p>
    <w:p w14:paraId="4EE7C6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 без перчаток. Цвет его лица и рук были одинаковыми — темно-корич</w:t>
      </w:r>
      <w:r w:rsidRPr="00E93F40">
        <w:rPr>
          <w:rFonts w:ascii="Times New Roman" w:hAnsi="Times New Roman"/>
          <w:color w:val="000000" w:themeColor="text1"/>
          <w:sz w:val="16"/>
          <w:szCs w:val="16"/>
        </w:rPr>
        <w:softHyphen/>
        <w:t>невыми, немного с зеленоватым оттенком. Лицо Сталина имело множе-,етво следов перенесенной когда-то оспы.</w:t>
      </w:r>
    </w:p>
    <w:p w14:paraId="2CBDAD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«Глаза — насквозь черные, — пишет в воспоминаниях Астров. — Дета</w:t>
      </w:r>
      <w:r w:rsidRPr="00E93F40">
        <w:rPr>
          <w:rFonts w:ascii="Times New Roman" w:hAnsi="Times New Roman"/>
          <w:color w:val="000000" w:themeColor="text1"/>
          <w:sz w:val="16"/>
          <w:szCs w:val="16"/>
        </w:rPr>
        <w:softHyphen/>
        <w:t>ли внешности я разглядел позже, оказавшись рядом.</w:t>
      </w:r>
    </w:p>
    <w:p w14:paraId="03B2C2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Чуть хрипловатым голосом, тихо, словно опасаясь простуды, он спро</w:t>
      </w:r>
      <w:r w:rsidRPr="00E93F40">
        <w:rPr>
          <w:rFonts w:ascii="Times New Roman" w:hAnsi="Times New Roman"/>
          <w:color w:val="000000" w:themeColor="text1"/>
          <w:sz w:val="16"/>
          <w:szCs w:val="16"/>
        </w:rPr>
        <w:softHyphen/>
        <w:t>сил, где докладчик. Астров, стоявший далеко, конечно, точно вопроса не слышал. Выступил вперед начальник АТТБ ТО ЭКУ ОГПУ Вунштейн и, боясь, что Сталин задаст вопросы, на которые ни один высокопоставлен</w:t>
      </w:r>
      <w:r w:rsidRPr="00E93F40">
        <w:rPr>
          <w:rFonts w:ascii="Times New Roman" w:hAnsi="Times New Roman"/>
          <w:color w:val="000000" w:themeColor="text1"/>
          <w:sz w:val="16"/>
          <w:szCs w:val="16"/>
        </w:rPr>
        <w:softHyphen/>
        <w:t>ный военный не сможет ответить, знавший роль Астрова в создании ПТ-1, тромко выкрикнул:</w:t>
      </w:r>
    </w:p>
    <w:p w14:paraId="7BCF3B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Горьянов! Астрова сюда, для доклада!</w:t>
      </w:r>
    </w:p>
    <w:p w14:paraId="5830DF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«Душа моя дошла до пяток, — вспоминает Николай Александрович,</w:t>
      </w:r>
    </w:p>
    <w:p w14:paraId="65F607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да и промерз я основательно — состояние не из приятных. Все же бод</w:t>
      </w:r>
      <w:r w:rsidRPr="00E93F40">
        <w:rPr>
          <w:rFonts w:ascii="Times New Roman" w:hAnsi="Times New Roman"/>
          <w:color w:val="000000" w:themeColor="text1"/>
          <w:sz w:val="16"/>
          <w:szCs w:val="16"/>
        </w:rPr>
        <w:softHyphen/>
        <w:t>рой рысью припустил к хозяину страны. Следуя в полушаге сзади, я по-возможности четко и, главное, громко (нас всех предупредили, что слух у него плохой) стал докладывать, а вернее, просто рассказывать об особен</w:t>
      </w:r>
      <w:r w:rsidRPr="00E93F40">
        <w:rPr>
          <w:rFonts w:ascii="Times New Roman" w:hAnsi="Times New Roman"/>
          <w:color w:val="000000" w:themeColor="text1"/>
          <w:sz w:val="16"/>
          <w:szCs w:val="16"/>
        </w:rPr>
        <w:softHyphen/>
        <w:t>ностях нового танка.</w:t>
      </w:r>
    </w:p>
    <w:p w14:paraId="2A9101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ПТ-1 имел массу 14,2 тонны, экипаж 4 человека, броня была 10-мм толщины, вооружен 45-мм пушкой и 4-мя пулеметами ДТ. Скорость танк развивал 62 км/час на гусеницах, 90 км/час на колесах и 6 км/час на пла</w:t>
      </w:r>
      <w:r w:rsidRPr="00E93F40">
        <w:rPr>
          <w:rFonts w:ascii="Times New Roman" w:hAnsi="Times New Roman"/>
          <w:color w:val="000000" w:themeColor="text1"/>
          <w:sz w:val="16"/>
          <w:szCs w:val="16"/>
        </w:rPr>
        <w:softHyphen/>
        <w:t>ву, для чего имел два гребных винта с реверс-редукторами.</w:t>
      </w:r>
    </w:p>
    <w:p w14:paraId="180248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грязь под ногами, Сталин обошел машину, внимательно слушал меня. Потом задал несколько вопросов, которые показывали, что он неплохо знает танки, и заметил, что в ПТ-1 многое необычно».</w:t>
      </w:r>
    </w:p>
    <w:p w14:paraId="2A9E1A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Сталин поинтересовался размерами и объемом башни. Отвечая Аст</w:t>
      </w:r>
      <w:r w:rsidRPr="00E93F40">
        <w:rPr>
          <w:rFonts w:ascii="Times New Roman" w:hAnsi="Times New Roman"/>
          <w:color w:val="000000" w:themeColor="text1"/>
          <w:sz w:val="16"/>
          <w:szCs w:val="16"/>
        </w:rPr>
        <w:softHyphen/>
        <w:t>ров заметил, что 45-мм пушка для такой машины слаба, ее следует заме</w:t>
      </w:r>
      <w:r w:rsidRPr="00E93F40">
        <w:rPr>
          <w:rFonts w:ascii="Times New Roman" w:hAnsi="Times New Roman"/>
          <w:color w:val="000000" w:themeColor="text1"/>
          <w:sz w:val="16"/>
          <w:szCs w:val="16"/>
        </w:rPr>
        <w:softHyphen/>
        <w:t>нить более мощной. И Сталин, и Астров знали, что на легких танках этого класса, стояли более слабые, чем «сорокопятка», 37-мм пушки Гочкиса. Сталин спросил:</w:t>
      </w:r>
    </w:p>
    <w:p w14:paraId="0E6BAC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какого калибра Вы считаете нужна для него пушка и когда, глав</w:t>
      </w:r>
      <w:r w:rsidRPr="00E93F40">
        <w:rPr>
          <w:rFonts w:ascii="Times New Roman" w:hAnsi="Times New Roman"/>
          <w:color w:val="000000" w:themeColor="text1"/>
          <w:sz w:val="16"/>
          <w:szCs w:val="16"/>
        </w:rPr>
        <w:softHyphen/>
        <w:t>ное, Вы ее сделаете, товарищ Астров?</w:t>
      </w:r>
    </w:p>
    <w:p w14:paraId="53B5D7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Товарищ Сталин, как только будет готова пушка, сами мы пушек делать не умеем.</w:t>
      </w:r>
    </w:p>
    <w:p w14:paraId="02157D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 ждать ее пришлось, увы, несколько лет, но об этом сказ еще впереди.</w:t>
      </w:r>
    </w:p>
    <w:p w14:paraId="0D7F9D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Сталин спросил, что за двигатель у танка и услышав, что авиацион</w:t>
      </w:r>
      <w:r w:rsidRPr="00E93F40">
        <w:rPr>
          <w:rFonts w:ascii="Times New Roman" w:hAnsi="Times New Roman"/>
          <w:color w:val="000000" w:themeColor="text1"/>
          <w:sz w:val="16"/>
          <w:szCs w:val="16"/>
        </w:rPr>
        <w:softHyphen/>
        <w:t>ный, пробормотал с тенью неудовольствия:</w:t>
      </w:r>
    </w:p>
    <w:p w14:paraId="73DACD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А обещали машину на дизеле...</w:t>
      </w:r>
    </w:p>
    <w:p w14:paraId="2C13B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Напомним, что дизель «ПГЕ», проектировавшийся в этой же «шараш</w:t>
      </w:r>
      <w:r w:rsidRPr="00E93F40">
        <w:rPr>
          <w:rFonts w:ascii="Times New Roman" w:hAnsi="Times New Roman"/>
          <w:color w:val="000000" w:themeColor="text1"/>
          <w:sz w:val="16"/>
          <w:szCs w:val="16"/>
        </w:rPr>
        <w:softHyphen/>
        <w:t>ке» под руководством Витта, был двухтактным, с поршневой продувкой отработавших газов, то есть теоретически он имел шесть цилиндров, кото</w:t>
      </w:r>
      <w:r w:rsidRPr="00E93F40">
        <w:rPr>
          <w:rFonts w:ascii="Times New Roman" w:hAnsi="Times New Roman"/>
          <w:color w:val="000000" w:themeColor="text1"/>
          <w:sz w:val="16"/>
          <w:szCs w:val="16"/>
        </w:rPr>
        <w:softHyphen/>
        <w:t>рые должны были иметь вдвое большую цилиндровую мощность, чем че</w:t>
      </w:r>
      <w:r w:rsidRPr="00E93F40">
        <w:rPr>
          <w:rFonts w:ascii="Times New Roman" w:hAnsi="Times New Roman"/>
          <w:color w:val="000000" w:themeColor="text1"/>
          <w:sz w:val="16"/>
          <w:szCs w:val="16"/>
        </w:rPr>
        <w:softHyphen/>
        <w:t>тырехтактный 12-ти цилиндровый дизель типа БД-2 (В-2). Так что цилин</w:t>
      </w:r>
      <w:r w:rsidRPr="00E93F40">
        <w:rPr>
          <w:rFonts w:ascii="Times New Roman" w:hAnsi="Times New Roman"/>
          <w:color w:val="000000" w:themeColor="text1"/>
          <w:sz w:val="16"/>
          <w:szCs w:val="16"/>
        </w:rPr>
        <w:softHyphen/>
        <w:t>дровая мощность в 66,7 л.с. не должна нас удивлять, к тому же цилиндры на «ПГЕ» были, как утверждали проектанты, переразмеренными. Кстати, на двигателе В-2, мощностью в 600 л.с. цилиндровая мощность была в 50 л.с.</w:t>
      </w:r>
    </w:p>
    <w:p w14:paraId="0C3089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Осмотр занял всего 5-8 минут. Слегка кивнув то ли охраннику, неотступно его сопровождаю</w:t>
      </w:r>
      <w:r w:rsidRPr="00E93F40">
        <w:rPr>
          <w:rFonts w:ascii="Times New Roman" w:hAnsi="Times New Roman"/>
          <w:color w:val="000000" w:themeColor="text1"/>
          <w:sz w:val="16"/>
          <w:szCs w:val="16"/>
        </w:rPr>
        <w:softHyphen/>
        <w:t>щему, то ли Астрову, Сталин тихо, как бы про себя, буркнул:</w:t>
      </w:r>
    </w:p>
    <w:p w14:paraId="3D1E70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Продолжайте! — И, не сделав никакого знака, даже не кивнув нико</w:t>
      </w:r>
      <w:r w:rsidRPr="00E93F40">
        <w:rPr>
          <w:rFonts w:ascii="Times New Roman" w:hAnsi="Times New Roman"/>
          <w:color w:val="000000" w:themeColor="text1"/>
          <w:sz w:val="16"/>
          <w:szCs w:val="16"/>
        </w:rPr>
        <w:softHyphen/>
        <w:t>му из начальников, уехал.</w:t>
      </w:r>
    </w:p>
    <w:p w14:paraId="53D9BF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учитывая опыт предыдущих показов, начальство, не посмев</w:t>
      </w:r>
      <w:r w:rsidRPr="00E93F40">
        <w:rPr>
          <w:rFonts w:ascii="Times New Roman" w:hAnsi="Times New Roman"/>
          <w:color w:val="000000" w:themeColor="text1"/>
          <w:sz w:val="16"/>
          <w:szCs w:val="16"/>
        </w:rPr>
        <w:softHyphen/>
        <w:t>шее и на полшага приблизиться к танку во время осмотра его «хозяином», поздравило Астрова с успехом.</w:t>
      </w:r>
    </w:p>
    <w:p w14:paraId="6382AB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Астров пишет: «Завершая этот эпизод, вернусь к впечатлению, которое на меня произвел Сталин. Очень темно-карие глаза его казались просто чер</w:t>
      </w:r>
      <w:r w:rsidRPr="00E93F40">
        <w:rPr>
          <w:rFonts w:ascii="Times New Roman" w:hAnsi="Times New Roman"/>
          <w:color w:val="000000" w:themeColor="text1"/>
          <w:sz w:val="16"/>
          <w:szCs w:val="16"/>
        </w:rPr>
        <w:softHyphen/>
        <w:t>ными, к тому же дело происходило перед закатом, а никаких фонарей на плацу не зажигали. Черный цвет зрачков сливался с темно-карими зеница</w:t>
      </w:r>
      <w:r w:rsidRPr="00E93F40">
        <w:rPr>
          <w:rFonts w:ascii="Times New Roman" w:hAnsi="Times New Roman"/>
          <w:color w:val="000000" w:themeColor="text1"/>
          <w:sz w:val="16"/>
          <w:szCs w:val="16"/>
        </w:rPr>
        <w:softHyphen/>
        <w:t>ми и смуглыми белками. Непросто было понять, на кого он смотрит, но это ничто по сравнению с прямо-таки гипнотической силой взгляда. Любой человек, на которого Сталин направлял свой взгляд, тут же поворачивался к нему лицом, настораживался, испытывая чувство беспричинной тревоги. Впрочем, далеко не для всех она оказывалась беспричинной.</w:t>
      </w:r>
    </w:p>
    <w:p w14:paraId="26F2FD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Увиденное странным образом как бы отпечатывалось в мозгу Сталина</w:t>
      </w:r>
    </w:p>
    <w:p w14:paraId="52EA23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это было больше, чем великолепная зрительная память. Достаточно оказалось той встречи на плацу, чтобы при последующих он всегда узна</w:t>
      </w:r>
      <w:r w:rsidRPr="00E93F40">
        <w:rPr>
          <w:rFonts w:ascii="Times New Roman" w:hAnsi="Times New Roman"/>
          <w:color w:val="000000" w:themeColor="text1"/>
          <w:sz w:val="16"/>
          <w:szCs w:val="16"/>
        </w:rPr>
        <w:softHyphen/>
        <w:t>вал меня. И иногда называл даже по фамилии. Особенно это поразило при второй встрече, отстоявшей от показа танка примерно на три года. Когда Сталин окликнул меня по фамилии, я настолько опешил, что не сразу ответил на его вопрос. Но это уже другая история» (11504).</w:t>
      </w:r>
    </w:p>
    <w:p w14:paraId="7B70B3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434FC"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октября 1932 г. инженеры «Красного Путиловца» приступили к разработке чертежей, а уже в марте 1933 г. началась сборка первой партии из десяти машин. Автомобиль получил временное обозначение «Легковой - первый» или сокращенно «Л-1», которое, впрочем, оказалось единственным -именно под этим именем автомобиль и вошел в историю. Все детали Л-1, за исключением части электрооборудования и некоторых измерительных приборов, были изготовлены в СССР - или на «Красном Путиловце», или на других предприятиях. Крупными смежниками числились Карбюраторный арматурный завод (будущий ЛенКарЗ) и завод «Вулкан». Шины поставлял ленинградский «Красный Треугольник». Шефство над постройкой взяло всесоюзное «Общество содействия развитию автомобилизма и улучшению дорог» - «Автодор». Заводское отделение этого общества сначала бездействовало, но потом, после ряда разоблачительных статей в прессе и соответствующих оргвыводов с заменой руководства, активизировалось. Совет «Автодора» создал специальный контрольный пост, который в каждом выпуске внутризаводской газеты давал сводки о ходе работ. Помощь общества носила не только характер «моральной поддержки». Например, при возникновении угрозы срыва своевременной поставки карбюраторов, бригада автодоровцев, командированная к смежнику, произвела сборку изделий, чем немало поспособствовала выполнению работы в срок. Для изготовления кузовных деталей и оперения опытной партии машин были найдены каретники, жестянщики и медники, которые кустарным способом выколотили эти детали на деревянном болване. Для будущего серийного производства планировалось, конечно, перейти к штампам и сборочному конвейеру, исключив «старорежимные» технологии (15591).</w:t>
      </w:r>
    </w:p>
    <w:p w14:paraId="0F91739A" w14:textId="77777777" w:rsidR="00F01A58" w:rsidRPr="00E93F40" w:rsidRDefault="00F01A58" w:rsidP="00E93F40">
      <w:pPr>
        <w:spacing w:after="0" w:line="240" w:lineRule="auto"/>
        <w:jc w:val="both"/>
        <w:rPr>
          <w:rFonts w:ascii="Times New Roman" w:hAnsi="Times New Roman"/>
          <w:color w:val="000000" w:themeColor="text1"/>
          <w:sz w:val="16"/>
          <w:szCs w:val="16"/>
        </w:rPr>
      </w:pPr>
    </w:p>
    <w:p w14:paraId="6E0691A8" w14:textId="43FFFF28"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октября 1932 г. группа специалистов ленинградского института «ЛенГипроВАТО»под руководством профессора Л.В. Клименко, в которую. вошли также и инженеры «Красного Путиловца» приступила к выполнени</w:t>
      </w:r>
      <w:r>
        <w:rPr>
          <w:rFonts w:ascii="Times New Roman" w:hAnsi="Times New Roman"/>
          <w:color w:val="0070C0"/>
          <w:sz w:val="16"/>
          <w:szCs w:val="16"/>
        </w:rPr>
        <w:t>ю</w:t>
      </w:r>
      <w:r w:rsidRPr="00142305">
        <w:rPr>
          <w:rFonts w:ascii="Times New Roman" w:hAnsi="Times New Roman"/>
          <w:color w:val="0070C0"/>
          <w:sz w:val="16"/>
          <w:szCs w:val="16"/>
        </w:rPr>
        <w:t xml:space="preserve"> чертежей по натурному образцу Б</w:t>
      </w:r>
      <w:r>
        <w:rPr>
          <w:rFonts w:ascii="Times New Roman" w:hAnsi="Times New Roman"/>
          <w:color w:val="0070C0"/>
          <w:sz w:val="16"/>
          <w:szCs w:val="16"/>
        </w:rPr>
        <w:t>ьюик</w:t>
      </w:r>
      <w:r w:rsidRPr="00142305">
        <w:rPr>
          <w:rFonts w:ascii="Times New Roman" w:hAnsi="Times New Roman"/>
          <w:color w:val="0070C0"/>
          <w:sz w:val="16"/>
          <w:szCs w:val="16"/>
        </w:rPr>
        <w:t>. Проектные работы шли ударными темпами — в духе эпохи. Уже в марте 1933 г. началась сборка первой партии из десяти машин. Автомобиль получил временное обозначение «Легковой — первый» или сокращенно «Л-1», которое впрочем, оказалось единственным -именно под этим именем автомобиль и вошел в историю.</w:t>
      </w:r>
    </w:p>
    <w:p w14:paraId="0D0EBD17" w14:textId="77777777" w:rsidR="00BB5252" w:rsidRPr="00142305" w:rsidRDefault="00BB5252" w:rsidP="00BB52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детали Л-1, за исключением части электрооборудования и некоторых измерительных приборов, были изготовлены в СССР — или на «Красном Путиловце», или на других предприятиях. Крупными смежниками числились Карбюраторный арматурный завод (будущий ЛенКарЗ) и завод «Вулкан». Шины поставлял ленинградский «Красный Треугольник». Шефство над постройкой взяло всесоюзное «Общество содействия развитию автомобилизма и улучшению дорог» — «Автодор». Заводское отделение этого общества сначала бездействовало, но потом, после ряда разоблачительных статей в прессе и соответствующих оргвыводов с заменой руководства, активизировалось. Совет «Автодора» создал специальный контрольный пост, который в каждом выпуске внутризаводской газеты давал сводки о ходе работ. Помощь общества носила не только характер «моральной поддержки». Например, при возникновении угрозы срыва своевременной поставки карбюраторов, бригада автодоровцев, командированная к смежнику, произвела сборку изделий, чем немало поспособствовала выполнению работы в срок. Для изготовления кузовных деталей и оперения опытной партии машин были найдены каретники, жестянщики и медники, которые кустарным способом выколотили эти детали на деревянном болване. Для будущего серийного производства планировалось, конечно, перейти к штампам и сборочному конвейеру, исключив «старорежимные» технологии (25591).</w:t>
      </w:r>
    </w:p>
    <w:p w14:paraId="0978D3EE" w14:textId="77777777" w:rsidR="00BB5252" w:rsidRPr="00142305" w:rsidRDefault="00BB5252" w:rsidP="00BB5252">
      <w:pPr>
        <w:spacing w:after="0" w:line="240" w:lineRule="auto"/>
        <w:jc w:val="both"/>
        <w:rPr>
          <w:rFonts w:ascii="Times New Roman" w:hAnsi="Times New Roman"/>
          <w:color w:val="0070C0"/>
          <w:sz w:val="16"/>
          <w:szCs w:val="16"/>
        </w:rPr>
      </w:pPr>
    </w:p>
    <w:p w14:paraId="5A0C9C6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0DA1EB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DEF026" w14:textId="77777777" w:rsidR="00291D62" w:rsidRPr="00E93F40" w:rsidRDefault="00291D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завод №1 достроил и направил в строевую часть ВВС РККА первые серийные самолеты Хейнкель И-7 в строевые части и до конца года завод сдал 45 самолетов этого типа.</w:t>
      </w:r>
    </w:p>
    <w:p w14:paraId="03AF9D4D" w14:textId="77777777" w:rsidR="00291D62" w:rsidRPr="00E93F40" w:rsidRDefault="00291D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Невыполнение плана заводом №1 объяснено недопоставкой ему в четвертом квартале этого года:</w:t>
      </w:r>
    </w:p>
    <w:p w14:paraId="03324EFF" w14:textId="77777777" w:rsidR="00291D62" w:rsidRPr="00E93F40" w:rsidRDefault="00291D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двигателей М-17Ф на комплектацию готовых самолетов;</w:t>
      </w:r>
    </w:p>
    <w:p w14:paraId="3C0D3834" w14:textId="77777777" w:rsidR="00291D62" w:rsidRPr="00E93F40" w:rsidRDefault="00291D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труб для изготовления оперения, центроплана и фюзеляжа.</w:t>
      </w:r>
    </w:p>
    <w:p w14:paraId="6231F9DC" w14:textId="77777777" w:rsidR="00291D62" w:rsidRPr="00E93F40" w:rsidRDefault="00291D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Недовыполнение программы 1932 г. по сдаче двигателей М-17Ф заводом №26 вызвано «большим браком, как деталей, так и моторов в целом, задержкой с подачей заводу поковок, валов, цилиндров и др.» (24331).</w:t>
      </w:r>
    </w:p>
    <w:p w14:paraId="324B5992" w14:textId="77777777" w:rsidR="00291D62" w:rsidRPr="00E93F40" w:rsidRDefault="00291D62" w:rsidP="00E93F40">
      <w:pPr>
        <w:spacing w:after="0" w:line="240" w:lineRule="auto"/>
        <w:jc w:val="both"/>
        <w:rPr>
          <w:rFonts w:ascii="Times New Roman" w:hAnsi="Times New Roman"/>
          <w:color w:val="000000" w:themeColor="text1"/>
          <w:sz w:val="16"/>
          <w:szCs w:val="16"/>
        </w:rPr>
      </w:pPr>
    </w:p>
    <w:p w14:paraId="3AD9753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года начальник и военком НИИ ВВС Коннэрт писал начальнику ВВС (6773):</w:t>
      </w:r>
    </w:p>
    <w:p w14:paraId="4372F9A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основе поставленной задачи зам. наркомвоенмора Тухачевским проработан материал изобретения, выяснены возможности и сроки реализации изобретения Самсонова и Добровольского …………..</w:t>
      </w:r>
    </w:p>
    <w:p w14:paraId="2CDF5AE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технического решения поставленной задачи намечается два этапа:</w:t>
      </w:r>
    </w:p>
    <w:p w14:paraId="0FADFE7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самой гусеницы с минимумом затраты времени и средств на изменение самолета.</w:t>
      </w:r>
    </w:p>
    <w:p w14:paraId="21090DA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разрешения используются части самолета А1-М11 (крылья, оперение, мотоустановки), вновь только проектируются и строятся металлическая лодка с гусеничным ходом.</w:t>
      </w:r>
    </w:p>
    <w:p w14:paraId="735E80E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B83528B"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летающего танка («Штурмовик-танк») с одновременной разработкой проблемы передачи от бронированного мотора танка к винтам и к гусенице.</w:t>
      </w:r>
    </w:p>
    <w:p w14:paraId="48025C7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трудности при проектировании:</w:t>
      </w:r>
    </w:p>
    <w:p w14:paraId="1DA1FD0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первом этапе:</w:t>
      </w:r>
    </w:p>
    <w:p w14:paraId="6A74A711"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Достижение необходимой величины взлетной скорости.</w:t>
      </w:r>
    </w:p>
    <w:p w14:paraId="183A39DA"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Подбор материалов гусеницы (металла).</w:t>
      </w:r>
    </w:p>
    <w:p w14:paraId="0CCA31A5"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DF4B6D"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Передача вращения на гусеницу перед посадкой.</w:t>
      </w:r>
    </w:p>
    <w:p w14:paraId="685D6F2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Легкость конструкции в целом.</w:t>
      </w:r>
    </w:p>
    <w:p w14:paraId="637F4F1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втором этапе.</w:t>
      </w:r>
    </w:p>
    <w:p w14:paraId="260915B8"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Изучение передачи мощности от мотора к винтам.</w:t>
      </w:r>
    </w:p>
    <w:p w14:paraId="459305D1"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Выбор материалов для легкой брони.</w:t>
      </w:r>
    </w:p>
    <w:p w14:paraId="3452F1D4"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Легкость конструкции освобождения «Танка-самолета» от крыльев, хвоста и носа.</w:t>
      </w:r>
    </w:p>
    <w:p w14:paraId="6D140FC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Наилучшее место реализации изобретения является место работы изобретателей, т.е. 2-я бригада ЦАГИ и ЗОК.</w:t>
      </w:r>
    </w:p>
    <w:p w14:paraId="35AD52B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Начало работы – 15 сентября 1932 года, предъявление на гос. испытания – 1 декабря 1933 года, самолета амфибия-танк – 1 апреля 1933 года (6773).</w:t>
      </w:r>
    </w:p>
    <w:p w14:paraId="554B8DE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F92B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был подготовлен Отчет о высотном перелете Москва-Харьков-Москва</w:t>
      </w:r>
    </w:p>
    <w:p w14:paraId="74FC280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 перелет был предпринят на основании пожелания начальника ВВС и был выполнен 28 сентября и 9 октября 1932 года группой самолетов Истребительного отряда авиабригады НИИ ВВС.</w:t>
      </w:r>
    </w:p>
    <w:p w14:paraId="0897B10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Состав группы: 3 самолета Р-6, один самолет Р-5 и один самолет И-4 (6774).</w:t>
      </w:r>
    </w:p>
    <w:p w14:paraId="3E6F9E1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105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октября 1932 г. в ЦАГИ развернулись полномасштабные работы по машине с порядковым номером АНТ-29. Но 26 декабря того же года требования УВВС к истребителю опять изменились: теперь необходимо было установить на нем два мотора М-34 мощностью по 750 л.с. каждый. Готовность самолета (заказ № 7091) на 1 января 1933 г. составляла 12 процентов (9538,27).</w:t>
      </w:r>
    </w:p>
    <w:p w14:paraId="1BDE4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C1E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начались работы над ТБ-6 М-44 А.Н.Т. (2287,131).</w:t>
      </w:r>
    </w:p>
    <w:p w14:paraId="02B7AD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D523EB"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октября 1932 г. в ЦАГИ начали работу по ТБ-6. Но мо</w:t>
      </w:r>
      <w:r w:rsidRPr="00142305">
        <w:rPr>
          <w:rFonts w:ascii="Times New Roman" w:hAnsi="Times New Roman"/>
          <w:color w:val="0070C0"/>
          <w:sz w:val="16"/>
          <w:szCs w:val="16"/>
        </w:rPr>
        <w:softHyphen/>
        <w:t>гучий мотор М-44 так и не смогли довести до летного со</w:t>
      </w:r>
      <w:r w:rsidRPr="00142305">
        <w:rPr>
          <w:rFonts w:ascii="Times New Roman" w:hAnsi="Times New Roman"/>
          <w:color w:val="0070C0"/>
          <w:sz w:val="16"/>
          <w:szCs w:val="16"/>
        </w:rPr>
        <w:softHyphen/>
        <w:t>стояния. Требовалось искать замену. Вот так вместо шести М-44 ТБ-6, обозначенный Туполевым как ЛИТ-26, полу</w:t>
      </w:r>
      <w:r w:rsidRPr="00142305">
        <w:rPr>
          <w:rFonts w:ascii="Times New Roman" w:hAnsi="Times New Roman"/>
          <w:color w:val="0070C0"/>
          <w:sz w:val="16"/>
          <w:szCs w:val="16"/>
        </w:rPr>
        <w:softHyphen/>
        <w:t>чил двенадцать М -34. Замена не была эквивалентной: шесть моторов по 2000 л.с. в сумме дают 12 000 л.с., а двенадцать М-34 — почти в два раза меньше. Правда, конструкторы рас</w:t>
      </w:r>
      <w:r w:rsidRPr="00142305">
        <w:rPr>
          <w:rFonts w:ascii="Times New Roman" w:hAnsi="Times New Roman"/>
          <w:color w:val="0070C0"/>
          <w:sz w:val="16"/>
          <w:szCs w:val="16"/>
        </w:rPr>
        <w:softHyphen/>
        <w:t>считывали получить пока еще не существующие, но тоже записанные в планах моторы М-34ФРН. С ними потери в мощности практически компенсировались. Но с дюжиной М-34ФРИ мотоустановка получалась существенно тяжелее, чем с шестью М -44, а аэродинамика ухудшалась. Положение не спасли бы и предложенные УВВС альтернативно дизели АН-1, которых тоже пока не имелось. Пришлось пойти на уменьшение нормальной бомбовой нагрузки до 10 т и отка</w:t>
      </w:r>
      <w:r w:rsidRPr="00142305">
        <w:rPr>
          <w:rFonts w:ascii="Times New Roman" w:hAnsi="Times New Roman"/>
          <w:color w:val="0070C0"/>
          <w:sz w:val="16"/>
          <w:szCs w:val="16"/>
        </w:rPr>
        <w:softHyphen/>
        <w:t>заться от широкого применения стали, предусмотренного в задании, но и это не помогло. Ничего не оставалось, как уве</w:t>
      </w:r>
      <w:r w:rsidRPr="00142305">
        <w:rPr>
          <w:rFonts w:ascii="Times New Roman" w:hAnsi="Times New Roman"/>
          <w:color w:val="0070C0"/>
          <w:sz w:val="16"/>
          <w:szCs w:val="16"/>
        </w:rPr>
        <w:softHyphen/>
        <w:t>личивать площадь и так огромного крыла.</w:t>
      </w:r>
    </w:p>
    <w:p w14:paraId="35CFC60A"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Восемь моторов разместили на передней кромке крыла и еще четыре — в двух тандемных установках сверху на фер</w:t>
      </w:r>
      <w:r w:rsidRPr="00142305">
        <w:rPr>
          <w:rFonts w:ascii="Times New Roman" w:hAnsi="Times New Roman"/>
          <w:color w:val="0070C0"/>
          <w:sz w:val="16"/>
          <w:szCs w:val="16"/>
        </w:rPr>
        <w:softHyphen/>
        <w:t>мах, но не над фюзеляжем, а над крылом. Размах крыла — 95 м, взлетный вес — около 70 т. Оперение выполнили трех</w:t>
      </w:r>
      <w:r w:rsidRPr="00142305">
        <w:rPr>
          <w:rFonts w:ascii="Times New Roman" w:hAnsi="Times New Roman"/>
          <w:color w:val="0070C0"/>
          <w:sz w:val="16"/>
          <w:szCs w:val="16"/>
        </w:rPr>
        <w:softHyphen/>
        <w:t>килевым — возможно, побоялись, что один огромный киль станет очень сложен в изготовлении и техническом обслужи</w:t>
      </w:r>
      <w:r w:rsidRPr="00142305">
        <w:rPr>
          <w:rFonts w:ascii="Times New Roman" w:hAnsi="Times New Roman"/>
          <w:color w:val="0070C0"/>
          <w:sz w:val="16"/>
          <w:szCs w:val="16"/>
        </w:rPr>
        <w:softHyphen/>
        <w:t>вании. Большой киль крепился к фюзеляжу, а два поменьше стояли на стабилизаторе примерно в трети размаха от него.</w:t>
      </w:r>
    </w:p>
    <w:p w14:paraId="7EED3509"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Туполев заложил в проект еще большую максимальную бомбовую нагрузку, чем предусматривалось заданием, — 25 000 кг. В огромном бомбоотсеке могли подвешиваться бомбы калибром в одну и две тонны.</w:t>
      </w:r>
    </w:p>
    <w:p w14:paraId="6D189E71"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проектирования в конструкцию, оборудование и вооружение самолета внесли много изменений, учитывая опыт создания ТБ-4, МГ и модернизации ТБ-З. Шасси в первоначальном виде имело огромные двухколесные тележки-тандем по типу ТБ-З, но без сдвига колес вбок. Оба ко</w:t>
      </w:r>
      <w:r w:rsidRPr="00142305">
        <w:rPr>
          <w:rFonts w:ascii="Times New Roman" w:hAnsi="Times New Roman"/>
          <w:color w:val="0070C0"/>
          <w:sz w:val="16"/>
          <w:szCs w:val="16"/>
        </w:rPr>
        <w:softHyphen/>
        <w:t>леса одной тележки шли по одной колее. Сбоку тележки за</w:t>
      </w:r>
      <w:r w:rsidRPr="00142305">
        <w:rPr>
          <w:rFonts w:ascii="Times New Roman" w:hAnsi="Times New Roman"/>
          <w:color w:val="0070C0"/>
          <w:sz w:val="16"/>
          <w:szCs w:val="16"/>
        </w:rPr>
        <w:softHyphen/>
        <w:t>крывались щитами, стойка тоже прикрывалась обтекателем. И хвостовое колесо тоже находилось в здоровенной алюми</w:t>
      </w:r>
      <w:r w:rsidRPr="00142305">
        <w:rPr>
          <w:rFonts w:ascii="Times New Roman" w:hAnsi="Times New Roman"/>
          <w:color w:val="0070C0"/>
          <w:sz w:val="16"/>
          <w:szCs w:val="16"/>
        </w:rPr>
        <w:softHyphen/>
        <w:t>ниевой капле. Позже самолет получил шасси по типу МГ с колесами, стоящими в тележках бок о бок. Вся стойка и верх</w:t>
      </w:r>
      <w:r w:rsidRPr="00142305">
        <w:rPr>
          <w:rFonts w:ascii="Times New Roman" w:hAnsi="Times New Roman"/>
          <w:color w:val="0070C0"/>
          <w:sz w:val="16"/>
          <w:szCs w:val="16"/>
        </w:rPr>
        <w:softHyphen/>
        <w:t>няя часть колеса прикрывались длинным обтекателем, пе</w:t>
      </w:r>
      <w:r w:rsidRPr="00142305">
        <w:rPr>
          <w:rFonts w:ascii="Times New Roman" w:hAnsi="Times New Roman"/>
          <w:color w:val="0070C0"/>
          <w:sz w:val="16"/>
          <w:szCs w:val="16"/>
        </w:rPr>
        <w:softHyphen/>
        <w:t>реходящим далее в огневую точку (нечто похожее сделали позже на ТБ-7 — Пе-8). Обтекатель хвостового колеса лик</w:t>
      </w:r>
      <w:r w:rsidRPr="00142305">
        <w:rPr>
          <w:rFonts w:ascii="Times New Roman" w:hAnsi="Times New Roman"/>
          <w:color w:val="0070C0"/>
          <w:sz w:val="16"/>
          <w:szCs w:val="16"/>
        </w:rPr>
        <w:softHyphen/>
        <w:t>видировали, посчитав бесполезным. И, наконец, попробо</w:t>
      </w:r>
      <w:r w:rsidRPr="00142305">
        <w:rPr>
          <w:rFonts w:ascii="Times New Roman" w:hAnsi="Times New Roman"/>
          <w:color w:val="0070C0"/>
          <w:sz w:val="16"/>
          <w:szCs w:val="16"/>
        </w:rPr>
        <w:softHyphen/>
        <w:t>вали ввести убирающееся, точнее, полуубирающееся шас</w:t>
      </w:r>
      <w:r w:rsidRPr="00142305">
        <w:rPr>
          <w:rFonts w:ascii="Times New Roman" w:hAnsi="Times New Roman"/>
          <w:color w:val="0070C0"/>
          <w:sz w:val="16"/>
          <w:szCs w:val="16"/>
        </w:rPr>
        <w:softHyphen/>
        <w:t>си. Стойка складывалась на середине длины и ее нижняя часть поворачивалась на 90°, поднимая колеса в нишу ог</w:t>
      </w:r>
      <w:r w:rsidRPr="00142305">
        <w:rPr>
          <w:rFonts w:ascii="Times New Roman" w:hAnsi="Times New Roman"/>
          <w:color w:val="0070C0"/>
          <w:sz w:val="16"/>
          <w:szCs w:val="16"/>
        </w:rPr>
        <w:softHyphen/>
        <w:t>ромного корыта обтекателя.</w:t>
      </w:r>
    </w:p>
    <w:p w14:paraId="64833EC6"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Меняли размеры и форму вертикального и горизонталь</w:t>
      </w:r>
      <w:r w:rsidRPr="00142305">
        <w:rPr>
          <w:rFonts w:ascii="Times New Roman" w:hAnsi="Times New Roman"/>
          <w:color w:val="0070C0"/>
          <w:sz w:val="16"/>
          <w:szCs w:val="16"/>
        </w:rPr>
        <w:softHyphen/>
        <w:t>ного оперения. Руль направления то увеличивали по пло</w:t>
      </w:r>
      <w:r w:rsidRPr="00142305">
        <w:rPr>
          <w:rFonts w:ascii="Times New Roman" w:hAnsi="Times New Roman"/>
          <w:color w:val="0070C0"/>
          <w:sz w:val="16"/>
          <w:szCs w:val="16"/>
        </w:rPr>
        <w:softHyphen/>
        <w:t>щади, то уменьшали. В последнем варианте средний киль вытянули вверх и сделали его законцовку округлой.</w:t>
      </w:r>
    </w:p>
    <w:p w14:paraId="1A0C1729"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Модернизировали мотоустановки, стараясь сделать их более обтекаемыми. Несколько раз переделывали радиато</w:t>
      </w:r>
      <w:r w:rsidRPr="00142305">
        <w:rPr>
          <w:rFonts w:ascii="Times New Roman" w:hAnsi="Times New Roman"/>
          <w:color w:val="0070C0"/>
          <w:sz w:val="16"/>
          <w:szCs w:val="16"/>
        </w:rPr>
        <w:softHyphen/>
        <w:t>ры, убранные в тоннели.</w:t>
      </w:r>
    </w:p>
    <w:p w14:paraId="5CE14294"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все это несравнимо с вариациями вооружения ги</w:t>
      </w:r>
      <w:r w:rsidRPr="00142305">
        <w:rPr>
          <w:rFonts w:ascii="Times New Roman" w:hAnsi="Times New Roman"/>
          <w:color w:val="0070C0"/>
          <w:sz w:val="16"/>
          <w:szCs w:val="16"/>
        </w:rPr>
        <w:softHyphen/>
        <w:t xml:space="preserve">гантского бомбовоза. Как и у МГ, сначала упор делали на пушки РМ или «Эрликон» </w:t>
      </w:r>
      <w:r w:rsidRPr="00142305">
        <w:rPr>
          <w:rFonts w:ascii="Times New Roman" w:hAnsi="Times New Roman"/>
          <w:smallCaps/>
          <w:color w:val="0070C0"/>
          <w:sz w:val="16"/>
          <w:szCs w:val="16"/>
        </w:rPr>
        <w:t>и</w:t>
      </w:r>
      <w:r w:rsidRPr="00142305">
        <w:rPr>
          <w:rFonts w:ascii="Times New Roman" w:hAnsi="Times New Roman"/>
          <w:color w:val="0070C0"/>
          <w:sz w:val="16"/>
          <w:szCs w:val="16"/>
        </w:rPr>
        <w:t xml:space="preserve"> пулеметы ДА, позднее вытес</w:t>
      </w:r>
      <w:r w:rsidRPr="00142305">
        <w:rPr>
          <w:rFonts w:ascii="Times New Roman" w:hAnsi="Times New Roman"/>
          <w:color w:val="0070C0"/>
          <w:sz w:val="16"/>
          <w:szCs w:val="16"/>
        </w:rPr>
        <w:softHyphen/>
        <w:t>ненные ШКАС и ШВАК. В одном из первых вариантов про</w:t>
      </w:r>
      <w:r w:rsidRPr="00142305">
        <w:rPr>
          <w:rFonts w:ascii="Times New Roman" w:hAnsi="Times New Roman"/>
          <w:color w:val="0070C0"/>
          <w:sz w:val="16"/>
          <w:szCs w:val="16"/>
        </w:rPr>
        <w:softHyphen/>
        <w:t>екта над фюзеляжем за крылом высилось сооружение, по форме подобное рубке подводной лодки, в котором распо</w:t>
      </w:r>
      <w:r w:rsidRPr="00142305">
        <w:rPr>
          <w:rFonts w:ascii="Times New Roman" w:hAnsi="Times New Roman"/>
          <w:color w:val="0070C0"/>
          <w:sz w:val="16"/>
          <w:szCs w:val="16"/>
        </w:rPr>
        <w:softHyphen/>
        <w:t>лагалась одна из огневых точек. В носовой части монтиро</w:t>
      </w:r>
      <w:r w:rsidRPr="00142305">
        <w:rPr>
          <w:rFonts w:ascii="Times New Roman" w:hAnsi="Times New Roman"/>
          <w:color w:val="0070C0"/>
          <w:sz w:val="16"/>
          <w:szCs w:val="16"/>
        </w:rPr>
        <w:softHyphen/>
        <w:t>валась экранированная пушечная установка. Такую же од</w:t>
      </w:r>
      <w:r w:rsidRPr="00142305">
        <w:rPr>
          <w:rFonts w:ascii="Times New Roman" w:hAnsi="Times New Roman"/>
          <w:color w:val="0070C0"/>
          <w:sz w:val="16"/>
          <w:szCs w:val="16"/>
        </w:rPr>
        <w:softHyphen/>
        <w:t>но время хотели разместить и в корме. Позже по типу ТБ-4 предусмотрели две открытые турели с пушками на фюзеля</w:t>
      </w:r>
      <w:r w:rsidRPr="00142305">
        <w:rPr>
          <w:rFonts w:ascii="Times New Roman" w:hAnsi="Times New Roman"/>
          <w:color w:val="0070C0"/>
          <w:sz w:val="16"/>
          <w:szCs w:val="16"/>
        </w:rPr>
        <w:softHyphen/>
        <w:t>же и одну в корме. Огневые точки располагались и на кры</w:t>
      </w:r>
      <w:r w:rsidRPr="00142305">
        <w:rPr>
          <w:rFonts w:ascii="Times New Roman" w:hAnsi="Times New Roman"/>
          <w:color w:val="0070C0"/>
          <w:sz w:val="16"/>
          <w:szCs w:val="16"/>
        </w:rPr>
        <w:softHyphen/>
        <w:t>льях. В отличие от проекта военного МГ их поместили не на верхнюю поверхность крыла, а выдвинули выступами из задней и передней кромок. Установки на крыле были экра</w:t>
      </w:r>
      <w:r w:rsidRPr="00142305">
        <w:rPr>
          <w:rFonts w:ascii="Times New Roman" w:hAnsi="Times New Roman"/>
          <w:color w:val="0070C0"/>
          <w:sz w:val="16"/>
          <w:szCs w:val="16"/>
        </w:rPr>
        <w:softHyphen/>
        <w:t>нированными. Передних огневых точек во всех вариантах было две, а задних - то две, то четыре. В некоторых случа</w:t>
      </w:r>
      <w:r w:rsidRPr="00142305">
        <w:rPr>
          <w:rFonts w:ascii="Times New Roman" w:hAnsi="Times New Roman"/>
          <w:color w:val="0070C0"/>
          <w:sz w:val="16"/>
          <w:szCs w:val="16"/>
        </w:rPr>
        <w:softHyphen/>
        <w:t>ях предусматривались еще пулеметы, стреляющие из окон фюзеляжа.</w:t>
      </w:r>
    </w:p>
    <w:p w14:paraId="48C41AEE"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Построили несколько макетов АНТ-26 </w:t>
      </w:r>
      <w:r w:rsidRPr="00142305">
        <w:rPr>
          <w:rFonts w:ascii="Times New Roman" w:hAnsi="Times New Roman"/>
          <w:smallCaps/>
          <w:color w:val="0070C0"/>
          <w:sz w:val="16"/>
          <w:szCs w:val="16"/>
        </w:rPr>
        <w:t>для</w:t>
      </w:r>
      <w:r w:rsidRPr="00142305">
        <w:rPr>
          <w:rFonts w:ascii="Times New Roman" w:hAnsi="Times New Roman"/>
          <w:color w:val="0070C0"/>
          <w:sz w:val="16"/>
          <w:szCs w:val="16"/>
        </w:rPr>
        <w:t xml:space="preserve"> продувки в аэ</w:t>
      </w:r>
      <w:r w:rsidRPr="00142305">
        <w:rPr>
          <w:rFonts w:ascii="Times New Roman" w:hAnsi="Times New Roman"/>
          <w:color w:val="0070C0"/>
          <w:sz w:val="16"/>
          <w:szCs w:val="16"/>
        </w:rPr>
        <w:softHyphen/>
        <w:t>родинамической трубе, а затем большой макет-планер с раз</w:t>
      </w:r>
      <w:r w:rsidRPr="00142305">
        <w:rPr>
          <w:rFonts w:ascii="Times New Roman" w:hAnsi="Times New Roman"/>
          <w:color w:val="0070C0"/>
          <w:sz w:val="16"/>
          <w:szCs w:val="16"/>
        </w:rPr>
        <w:softHyphen/>
        <w:t>махом крыла 24 м (то есть примерно в четверть настоящего). Его испытывали в полете в мае 1935 г. на буксире за самоле</w:t>
      </w:r>
      <w:r w:rsidRPr="00142305">
        <w:rPr>
          <w:rFonts w:ascii="Times New Roman" w:hAnsi="Times New Roman"/>
          <w:color w:val="0070C0"/>
          <w:sz w:val="16"/>
          <w:szCs w:val="16"/>
        </w:rPr>
        <w:softHyphen/>
        <w:t>том Р-5. Буксировал летчик В.В. Рябушкин, а пилотом плане</w:t>
      </w:r>
      <w:r w:rsidRPr="00142305">
        <w:rPr>
          <w:rFonts w:ascii="Times New Roman" w:hAnsi="Times New Roman"/>
          <w:color w:val="0070C0"/>
          <w:sz w:val="16"/>
          <w:szCs w:val="16"/>
        </w:rPr>
        <w:softHyphen/>
        <w:t>ра являлся Н.П. Благин, тот, который позже врезался на И-5 в крьшо «Максима Горького». В ЗОК ЦАГИ начали строить опытный образец самолета, но в том же 1935 г. прекратили, считая дальнейшую работу бесперспективной.</w:t>
      </w:r>
    </w:p>
    <w:p w14:paraId="2649FD45"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АНТ-26 канул в лету его военно-транспортный вариант АНТ- 28, предназначенный для перевозки и десан</w:t>
      </w:r>
      <w:r w:rsidRPr="00142305">
        <w:rPr>
          <w:rFonts w:ascii="Times New Roman" w:hAnsi="Times New Roman"/>
          <w:color w:val="0070C0"/>
          <w:sz w:val="16"/>
          <w:szCs w:val="16"/>
        </w:rPr>
        <w:softHyphen/>
        <w:t>тирования тяжелой военной техники. Он отличался конс</w:t>
      </w:r>
      <w:r w:rsidRPr="00142305">
        <w:rPr>
          <w:rFonts w:ascii="Times New Roman" w:hAnsi="Times New Roman"/>
          <w:color w:val="0070C0"/>
          <w:sz w:val="16"/>
          <w:szCs w:val="16"/>
        </w:rPr>
        <w:softHyphen/>
        <w:t>трукцией средней части фюзеляжа и специальным обору</w:t>
      </w:r>
      <w:r w:rsidRPr="00142305">
        <w:rPr>
          <w:rFonts w:ascii="Times New Roman" w:hAnsi="Times New Roman"/>
          <w:color w:val="0070C0"/>
          <w:sz w:val="16"/>
          <w:szCs w:val="16"/>
        </w:rPr>
        <w:softHyphen/>
        <w:t>дованием для разгрузки и погрузки. При необходимости он также мог быть использован как тяжелый бомбардировщик (24977).</w:t>
      </w:r>
    </w:p>
    <w:p w14:paraId="7F860D9D" w14:textId="77777777" w:rsidR="00E8111E" w:rsidRPr="00142305" w:rsidRDefault="00E8111E" w:rsidP="00E8111E">
      <w:pPr>
        <w:spacing w:after="0" w:line="240" w:lineRule="auto"/>
        <w:jc w:val="both"/>
        <w:rPr>
          <w:rFonts w:ascii="Times New Roman" w:hAnsi="Times New Roman"/>
          <w:color w:val="0070C0"/>
          <w:sz w:val="16"/>
          <w:szCs w:val="16"/>
        </w:rPr>
      </w:pPr>
    </w:p>
    <w:p w14:paraId="66C626DD" w14:textId="77777777" w:rsidR="0084601C" w:rsidRPr="00E93F40" w:rsidRDefault="0084601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когда постройка самолета К-7 уже шла, завершили выпуск рабочей КД (23097).</w:t>
      </w:r>
    </w:p>
    <w:p w14:paraId="5ACDE54B" w14:textId="77777777" w:rsidR="0084601C" w:rsidRPr="00E93F40" w:rsidRDefault="0084601C" w:rsidP="00E93F40">
      <w:pPr>
        <w:spacing w:after="0" w:line="240" w:lineRule="auto"/>
        <w:rPr>
          <w:rFonts w:ascii="Times New Roman" w:hAnsi="Times New Roman"/>
          <w:color w:val="000000" w:themeColor="text1"/>
          <w:sz w:val="16"/>
          <w:szCs w:val="16"/>
        </w:rPr>
      </w:pPr>
    </w:p>
    <w:p w14:paraId="0BBA86DE" w14:textId="77777777" w:rsidR="00456286" w:rsidRPr="00E93F40" w:rsidRDefault="00456286" w:rsidP="00E93F40">
      <w:pPr>
        <w:spacing w:after="0" w:line="240" w:lineRule="auto"/>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когда постройка самолета К-7 уже шла, завершили выпуск рабочей КД (23561).</w:t>
      </w:r>
    </w:p>
    <w:p w14:paraId="0DD4AB99" w14:textId="77777777" w:rsidR="00456286" w:rsidRPr="00E93F40" w:rsidRDefault="00456286" w:rsidP="00E93F40">
      <w:pPr>
        <w:spacing w:after="0" w:line="240" w:lineRule="auto"/>
        <w:rPr>
          <w:rFonts w:ascii="Times New Roman" w:hAnsi="Times New Roman"/>
          <w:color w:val="000000" w:themeColor="text1"/>
          <w:sz w:val="16"/>
          <w:szCs w:val="16"/>
        </w:rPr>
      </w:pPr>
    </w:p>
    <w:p w14:paraId="5B7AA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состоялся первый опытный полет ХАИ-1, а в январе 1933 пилот впервые убрал шасси в полете. Дополнительная скорость составила 40 км/ч. 30 января самолет развил скорость 292 км/ч, что сразу вывело его на первое место в Европе и второе в мире среди скоростных пассажирских машин. Весной 1933 года самолет был запущен в производство еще до окончания государственных испытаний (10674).</w:t>
      </w:r>
    </w:p>
    <w:p w14:paraId="0BC58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1C9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завод № 1, очевидно, достигнув предельной производительности, опять не смог угнаться за увеличивавшимся планом по Р-5. К концу года недостача достигла примерно 300 машин, хотя за год построили 884 Р-5.</w:t>
      </w:r>
    </w:p>
    <w:p w14:paraId="48977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несколькими случаями невыхода Р-5 из штопора на самолете попробовали установить модные тогда "поворотные стойки" - маленькие плоскости, вращавшиеся относительно передних труб стоек биплан- ной коробки. Но их эффективность оказалась недостаточной, а в ряде случаев они давали прямо противоположный желаемому результат. Эксперименты закончились катастрофой, в которой погиб испытатель B.C. Волковойнов. Конструкцию забраковали и более к ней не возвращались (11936).</w:t>
      </w:r>
    </w:p>
    <w:p w14:paraId="76B4F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58A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М.Е.Кольцов предложил организовать сбор средств для постройки самолета в ознаменование 10-летия общественной деятельности М.Г. (88,108).</w:t>
      </w:r>
    </w:p>
    <w:p w14:paraId="1CA60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715A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возник специальный комитет по постройке машины МГ, главой его избрали М.Е. Кольцова. Вскоре комитет приобрел статус Всесоюзного. Как водилось в СССР, областям и крупным городам раздали разнарядки - сколько сдавать. Выполнение контролировали партийные инстанции. Деньги изыскивали разными способами: продавали специальные марки и значки, собирали прямые взносы от населения, даже прямо на улицах, и по перечислению от организаций. К декабрю 1932 г. набрали уже полтора миллиона рублей. Это уже позволяло начать работу по проектированию машины. Всего же собрали более шести миллионов (12024).</w:t>
      </w:r>
    </w:p>
    <w:p w14:paraId="42ABA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4899B5" w14:textId="77777777" w:rsidR="0084601C" w:rsidRPr="00E93F40" w:rsidRDefault="0084601C"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октября 1932 г. в докладе начальника Глававиапрома П.И.Баранова [РГАЭ Ф. 8328 оп. 1 д. 702 лл. 21-25] отмечалось, что самолёт, получивший обозначение БНК4 (БНК-4) был цельнометаллический низкоплан двухбалочной схемы с фюзеляжной гондолой. Между балками располагалось горизонтальное оперение, посередине которого стоял одиночный киль с рулём направления. В задней части фюзеляжной гондолы располагался мотор с толкающим винтом. Как и на самолёте СС, на БНК-</w:t>
      </w:r>
      <w:r w:rsidRPr="00E93F40">
        <w:rPr>
          <w:rFonts w:ascii="Times New Roman" w:hAnsi="Times New Roman"/>
          <w:color w:val="000000" w:themeColor="text1"/>
          <w:sz w:val="16"/>
          <w:szCs w:val="16"/>
        </w:rPr>
        <w:lastRenderedPageBreak/>
        <w:t>4 предусматривалась герметическая кабина регенерационного типа, которая оснащалась кислородными баллонами для питания воздухом, а также поглотителями углекислоты по типу применявшихся на подводных лодках. Допускался вариант с наддувом кабины от компрессора мотора. Размещение этой «хорошо освещённой» (т.е. с достаточным остеклением) кабины в носовой части фюзеляжа обеспечивало хороший обзор. Экипаж из двух человек размещался в тандем. Герметичная кабина из высокопрочной стали представляла собой набор шпангоутов и стрингеров, к которым на электросварке крепилась обшивка из стальных листов. В этом заключалось отличие от концепции СС с его вкладной гермокабиной. Выводы управления самолётом и мотором через стенки кабины осуществлялись посредством воздушных цилиндров, поддерживаемых под постоянным давлением благодаря компрессору, работавшему от ветрянки, расположенной под кабиной. Первоначально проект БНК-4 разрабатывался под двигатель М-17 мощностью 500 л.с. с двухступенчатым центробежным нагнетателем, приводимым в действие паровой турбиной. Источником пара должен был служить паровой котёл, работающий от системы охлаждения двигателя, а также от подогрева выхлопными газами. Избыток этих газов при включении второй ступени нагнетателя (на высоте свыше 6500 м) работал непосредственно на турбину. Верхняя обшивка цельнометаллического крыла выполнялась двойной для конденсации выходящего из турбины пара. Металлический воздушный винт постоянного шага диаметром 4 м имел гидравлический привод от мотора. Был сделан выбор в пользу винта с переменной скоростью вращения, для которого требовалось разработать коробку передач. В дальнейшем мог быть установлен винт изменяемого шага. Самолёт имел неубираемое шасси с широкой колеёй и тормозными колёсами. Расчётные характеристики: площадь крыла – 45 м2 , полётный вес – 2300 кг, мощность двигателя 500 л.с., максимальная скорость на высоте 12.000 м – 400 км/ч, теоретический потолок – 14500 м, продолжительность полёта – 2 часа. Позднее проект был переработан под двигатель М-34 в сочетании с использованием турбокомпрессора, работающего от выхлопных газов, с соответствующим изменением характеристик самолёта (об этом ниже) (19876).</w:t>
      </w:r>
    </w:p>
    <w:p w14:paraId="2B3DA1A0" w14:textId="77777777" w:rsidR="0084601C" w:rsidRPr="00E93F40" w:rsidRDefault="0084601C" w:rsidP="00E93F40">
      <w:pPr>
        <w:shd w:val="clear" w:color="auto" w:fill="FFFFFF"/>
        <w:spacing w:after="0" w:line="240" w:lineRule="auto"/>
        <w:jc w:val="both"/>
        <w:rPr>
          <w:rFonts w:ascii="Times New Roman" w:hAnsi="Times New Roman"/>
          <w:color w:val="000000" w:themeColor="text1"/>
          <w:sz w:val="16"/>
          <w:szCs w:val="16"/>
        </w:rPr>
      </w:pPr>
    </w:p>
    <w:p w14:paraId="4E51D989" w14:textId="77777777" w:rsidR="00742933" w:rsidRPr="00E93F40" w:rsidRDefault="0074293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первые самолеты И-7 серийной постройки бы</w:t>
      </w:r>
      <w:r w:rsidRPr="00E93F40">
        <w:rPr>
          <w:rFonts w:ascii="Times New Roman" w:hAnsi="Times New Roman"/>
          <w:color w:val="000000" w:themeColor="text1"/>
          <w:sz w:val="16"/>
          <w:szCs w:val="16"/>
        </w:rPr>
        <w:softHyphen/>
        <w:t>ли готовы. Заказчику они не сдавались до накопления необходимого коли</w:t>
      </w:r>
      <w:r w:rsidRPr="00E93F40">
        <w:rPr>
          <w:rFonts w:ascii="Times New Roman" w:hAnsi="Times New Roman"/>
          <w:color w:val="000000" w:themeColor="text1"/>
          <w:sz w:val="16"/>
          <w:szCs w:val="16"/>
        </w:rPr>
        <w:softHyphen/>
        <w:t>чества готовых аппаратов. Были и другие при</w:t>
      </w:r>
      <w:r w:rsidRPr="00E93F40">
        <w:rPr>
          <w:rFonts w:ascii="Times New Roman" w:hAnsi="Times New Roman"/>
          <w:color w:val="000000" w:themeColor="text1"/>
          <w:sz w:val="16"/>
          <w:szCs w:val="16"/>
        </w:rPr>
        <w:softHyphen/>
        <w:t>чины, тормозившие процесс сдачи готовой продукции. Например, авиационная фанера, поставляемая в этот период на завод, не со</w:t>
      </w:r>
      <w:r w:rsidRPr="00E93F40">
        <w:rPr>
          <w:rFonts w:ascii="Times New Roman" w:hAnsi="Times New Roman"/>
          <w:color w:val="000000" w:themeColor="text1"/>
          <w:sz w:val="16"/>
          <w:szCs w:val="16"/>
        </w:rPr>
        <w:softHyphen/>
        <w:t>ответствовала необходимому качеству — бра</w:t>
      </w:r>
      <w:r w:rsidRPr="00E93F40">
        <w:rPr>
          <w:rFonts w:ascii="Times New Roman" w:hAnsi="Times New Roman"/>
          <w:color w:val="000000" w:themeColor="text1"/>
          <w:sz w:val="16"/>
          <w:szCs w:val="16"/>
        </w:rPr>
        <w:softHyphen/>
        <w:t>ковалось до 90% полученных листов. Уже на готовых самолетах фанера трещала, приходи</w:t>
      </w:r>
      <w:r w:rsidRPr="00E93F40">
        <w:rPr>
          <w:rFonts w:ascii="Times New Roman" w:hAnsi="Times New Roman"/>
          <w:color w:val="000000" w:themeColor="text1"/>
          <w:sz w:val="16"/>
          <w:szCs w:val="16"/>
        </w:rPr>
        <w:softHyphen/>
        <w:t>лось увеличивать ее толщину, что вело к по</w:t>
      </w:r>
      <w:r w:rsidRPr="00E93F40">
        <w:rPr>
          <w:rFonts w:ascii="Times New Roman" w:hAnsi="Times New Roman"/>
          <w:color w:val="000000" w:themeColor="text1"/>
          <w:sz w:val="16"/>
          <w:szCs w:val="16"/>
        </w:rPr>
        <w:softHyphen/>
        <w:t>вышению веса. Головной И-7 №4441 имел по</w:t>
      </w:r>
      <w:r w:rsidRPr="00E93F40">
        <w:rPr>
          <w:rFonts w:ascii="Times New Roman" w:hAnsi="Times New Roman"/>
          <w:color w:val="000000" w:themeColor="text1"/>
          <w:sz w:val="16"/>
          <w:szCs w:val="16"/>
        </w:rPr>
        <w:softHyphen/>
        <w:t>летный вес 1793 кг против заданных 1700 кг (12295).</w:t>
      </w:r>
    </w:p>
    <w:p w14:paraId="35134A17" w14:textId="77777777" w:rsidR="00742933" w:rsidRPr="00E93F40" w:rsidRDefault="00742933" w:rsidP="00E93F40">
      <w:pPr>
        <w:spacing w:after="0" w:line="240" w:lineRule="auto"/>
        <w:jc w:val="both"/>
        <w:rPr>
          <w:rFonts w:ascii="Times New Roman" w:hAnsi="Times New Roman"/>
          <w:color w:val="000000" w:themeColor="text1"/>
          <w:sz w:val="16"/>
          <w:szCs w:val="16"/>
        </w:rPr>
      </w:pPr>
    </w:p>
    <w:p w14:paraId="400E2E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началось проектирование экспериментального самолета СК 2М-32. Первоначально предназначался под М-34. так как не поступил М-32 решили поставить РЦ или Испано (2287,131).</w:t>
      </w:r>
    </w:p>
    <w:p w14:paraId="7B232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4CA1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проходили испытания Сталь-2 А.И.Путилова. Поставили на серию (91,60).</w:t>
      </w:r>
    </w:p>
    <w:p w14:paraId="2CD76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240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года был закончен проект самолета с разрезным крылом Кричевского, но вследствие произведенной исследовательской работы по крылу «Моноспар» (статиспытания) выяснилась непригодность данной конструкции крыла (3530,70-86).</w:t>
      </w:r>
    </w:p>
    <w:p w14:paraId="27314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496C36" w14:textId="3BA2F810" w:rsidR="00BD5738" w:rsidRPr="00E93F40" w:rsidRDefault="00BD573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октябре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были подведены итоги конкурса Осоравиахима на легкомоторный самолет. «6-ю тысячами рублей премирован инженер Королёв С.П.</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автор проекта лёгкого электронного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(клёпаного) самолёта»,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 отмечалось в решении жюри </w:t>
      </w:r>
      <w:hyperlink r:id="rId255" w:history="1">
        <w:r w:rsidRPr="00E93F40">
          <w:rPr>
            <w:rFonts w:ascii="Times New Roman" w:eastAsia="Times New Roman" w:hAnsi="Times New Roman"/>
            <w:color w:val="000000" w:themeColor="text1"/>
            <w:sz w:val="16"/>
            <w:szCs w:val="16"/>
            <w:lang w:eastAsia="ru-RU"/>
          </w:rPr>
          <w:t>[144]</w:t>
        </w:r>
      </w:hyperlink>
      <w:r w:rsidRPr="00E93F40">
        <w:rPr>
          <w:rFonts w:ascii="Times New Roman" w:eastAsia="Times New Roman" w:hAnsi="Times New Roman"/>
          <w:color w:val="000000" w:themeColor="text1"/>
          <w:sz w:val="16"/>
          <w:szCs w:val="16"/>
          <w:lang w:eastAsia="ru-RU"/>
        </w:rPr>
        <w:t xml:space="preserve"> .</w:t>
      </w:r>
    </w:p>
    <w:p w14:paraId="23C91FF9" w14:textId="5F2D724E" w:rsidR="00BD5738" w:rsidRPr="00E93F40" w:rsidRDefault="00BD573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Королёв был убежден в перспективности магниевого сплава. В рукописи «Лёгкий электронный самолёт „Высокий путь“»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г.) он писал: «Количество сырья в СССР для производства „электрона“ огромно; целый ряд заводов освоил выпуск этого сплава, и тем самым могут быть обеспечены постройка и ремонт „электронных“ самолётов; опасность коррозии „электрона“, его воспламеняемость и прочее следует считать сильно преувеличенными и не представляющими на сегодняшний день особой опасности для опытного самолётостроения, а в самом ближайшем будущем — и для значительных серий» </w:t>
      </w:r>
      <w:hyperlink r:id="rId256" w:history="1">
        <w:r w:rsidRPr="00E93F40">
          <w:rPr>
            <w:rFonts w:ascii="Times New Roman" w:eastAsia="Times New Roman" w:hAnsi="Times New Roman"/>
            <w:color w:val="000000" w:themeColor="text1"/>
            <w:sz w:val="16"/>
            <w:szCs w:val="16"/>
            <w:lang w:eastAsia="ru-RU"/>
          </w:rPr>
          <w:t>[145]</w:t>
        </w:r>
      </w:hyperlink>
      <w:r w:rsidRPr="00E93F40">
        <w:rPr>
          <w:rFonts w:ascii="Times New Roman" w:eastAsia="Times New Roman" w:hAnsi="Times New Roman"/>
          <w:color w:val="000000" w:themeColor="text1"/>
          <w:sz w:val="16"/>
          <w:szCs w:val="16"/>
          <w:lang w:eastAsia="ru-RU"/>
        </w:rPr>
        <w:t xml:space="preserve"> (17489).</w:t>
      </w:r>
    </w:p>
    <w:p w14:paraId="75DC4A74" w14:textId="77777777" w:rsidR="00BD5738" w:rsidRPr="00E93F40" w:rsidRDefault="00BD5738" w:rsidP="00E93F40">
      <w:pPr>
        <w:spacing w:after="0" w:line="240" w:lineRule="auto"/>
        <w:jc w:val="both"/>
        <w:rPr>
          <w:rFonts w:ascii="Times New Roman" w:eastAsia="Times New Roman" w:hAnsi="Times New Roman"/>
          <w:color w:val="000000" w:themeColor="text1"/>
          <w:sz w:val="16"/>
          <w:szCs w:val="16"/>
          <w:lang w:eastAsia="ru-RU"/>
        </w:rPr>
      </w:pPr>
    </w:p>
    <w:p w14:paraId="1F212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был полет десантного планера Г-63 Б.Д.Урлапова, который начал проектироваться в начале 1932 и через 8 месяцев был готов. В Гатчине, летал и П.И.Гроховский. Разбился, потом сделали в Москве Г-3-1, Г-31 - Яков Алкснис - в 1934. Десантники лежали в крыле. Потом на основе этого сделали планер-цисцерна (94,21). Считается, что это был первый в мире десантно-транспортный планер (107,3).</w:t>
      </w:r>
    </w:p>
    <w:p w14:paraId="56652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E7E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завершилась постройка и начались испытания Г-63 - десантного планера на 16 чел., разработанного Б.Урлаповым. Планер Г-63 представлял собой сво-боднонесущий моноплан с крылом размахом 28 м. Передняя часть фюзеляжа планера была выполнена в виде обтекаемой каплеообразной кабины пилота, а за крылом фюзеляж переходил в тонкую балку овального сечения, несущую хвостовое оперение. Для жесткости хвостовую балку расчалили тросами к крылу. Шестнадцать десантников размещались в лежачем положении в центроплане, разделенном на ячейки. Боковые стенки ячеек одновременно служили нервюрами крыла, а носовая часть центроплана представляла прозрачные откидывавшиеся вперед секции. Буксировался планер разведчиком Р-5 (7643,10).</w:t>
      </w:r>
    </w:p>
    <w:p w14:paraId="5CE255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E5B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на заводе 31 закончили первую лл S-62 (C-62КЭ), построенные по эскизам, снятым с полученных лодок, но сочли перетяжеленными и из ВВС 3 передали в ГВФ (2446,40).</w:t>
      </w:r>
    </w:p>
    <w:p w14:paraId="15934F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2C968F"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1932 г. КП-1 приняли на вооружение. В закрытой со всех сторон подфюзеляжной кабине КП-1 для ТБ-1 весила она около тонны и вмещала те же 16 человек. Они сиде</w:t>
      </w:r>
      <w:r w:rsidRPr="00142305">
        <w:rPr>
          <w:rFonts w:ascii="Times New Roman" w:hAnsi="Times New Roman"/>
          <w:color w:val="0070C0"/>
          <w:sz w:val="16"/>
          <w:szCs w:val="16"/>
        </w:rPr>
        <w:softHyphen/>
        <w:t>ли верхом на двух узких лавках. По сигналу командира бойцы скользили по лавкам вперед и один за другим падали в открытые вниз люки. Промышленность выпустила 50 серийных кабин (25004).</w:t>
      </w:r>
    </w:p>
    <w:p w14:paraId="6598D3DF" w14:textId="77777777" w:rsidR="00E8111E" w:rsidRPr="00142305" w:rsidRDefault="00E8111E" w:rsidP="00E8111E">
      <w:pPr>
        <w:spacing w:after="0" w:line="240" w:lineRule="auto"/>
        <w:jc w:val="both"/>
        <w:rPr>
          <w:rFonts w:ascii="Times New Roman" w:hAnsi="Times New Roman"/>
          <w:color w:val="0070C0"/>
          <w:sz w:val="16"/>
          <w:szCs w:val="16"/>
        </w:rPr>
      </w:pPr>
    </w:p>
    <w:p w14:paraId="4F648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на 1 заводе были готовы головные серийные и Хейнкель И-7. заказчику не сдавали до набора необходимого количества. Материалы не годились. Вес N 4441 достиг 1793 вместо 1700 кг. До конца года сделали 45. План был - 60 в 1932 и 100 в 1933. Сдавали в АБ в Витебске и на 01 января 1933 там была 21 машина (3202,4).</w:t>
      </w:r>
    </w:p>
    <w:p w14:paraId="5FC202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6AEE19"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1932 г. начальник ВВС Чёрно</w:t>
      </w:r>
      <w:r w:rsidRPr="00142305">
        <w:rPr>
          <w:rFonts w:ascii="Times New Roman" w:hAnsi="Times New Roman"/>
          <w:color w:val="0070C0"/>
          <w:sz w:val="16"/>
          <w:szCs w:val="16"/>
        </w:rPr>
        <w:softHyphen/>
        <w:t>го моря предложил опробовать базирова</w:t>
      </w:r>
      <w:r w:rsidRPr="00142305">
        <w:rPr>
          <w:rFonts w:ascii="Times New Roman" w:hAnsi="Times New Roman"/>
          <w:color w:val="0070C0"/>
          <w:sz w:val="16"/>
          <w:szCs w:val="16"/>
        </w:rPr>
        <w:softHyphen/>
        <w:t>ние Ш-2 на боевых кораблях как развед</w:t>
      </w:r>
      <w:r w:rsidRPr="00142305">
        <w:rPr>
          <w:rFonts w:ascii="Times New Roman" w:hAnsi="Times New Roman"/>
          <w:color w:val="0070C0"/>
          <w:sz w:val="16"/>
          <w:szCs w:val="16"/>
        </w:rPr>
        <w:softHyphen/>
        <w:t>чиков.</w:t>
      </w:r>
    </w:p>
    <w:p w14:paraId="083CEE8E"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Катапультировать амфибии было нельзя, они бы просто развалились. Но катапульт тогда у советского флота почти не имелось, зато подкупали компактность хранения со сложенным верхним крылом и возможность связных полётов с корабля на сушу и обратно. Однако данных о таких испытаниях обнаружить не удалось.</w:t>
      </w:r>
    </w:p>
    <w:p w14:paraId="24987D47"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Практика показала бесперспективность использования Ш-2 как ближнего раз</w:t>
      </w:r>
      <w:r w:rsidRPr="00142305">
        <w:rPr>
          <w:rFonts w:ascii="Times New Roman" w:hAnsi="Times New Roman"/>
          <w:color w:val="0070C0"/>
          <w:sz w:val="16"/>
          <w:szCs w:val="16"/>
        </w:rPr>
        <w:softHyphen/>
        <w:t>ведчика и противолодочного самолёта, и на его долю остались только вспомо</w:t>
      </w:r>
      <w:r w:rsidRPr="00142305">
        <w:rPr>
          <w:rFonts w:ascii="Times New Roman" w:hAnsi="Times New Roman"/>
          <w:color w:val="0070C0"/>
          <w:sz w:val="16"/>
          <w:szCs w:val="16"/>
        </w:rPr>
        <w:softHyphen/>
        <w:t>гательные задачи. Обороноспособность машины при этом практически была нулевой: тихоходна, маломанёвренна, пожароопасна, вооружение на неё так и не поставили. При этом работе на морях препятствовала плохая мореходность. Фактически взлёт и посадку ограничива</w:t>
      </w:r>
      <w:r w:rsidRPr="00142305">
        <w:rPr>
          <w:rFonts w:ascii="Times New Roman" w:hAnsi="Times New Roman"/>
          <w:color w:val="0070C0"/>
          <w:sz w:val="16"/>
          <w:szCs w:val="16"/>
        </w:rPr>
        <w:softHyphen/>
        <w:t>ли высотой волны 0,4 м. Зато машина хорошо вела себя на ре</w:t>
      </w:r>
      <w:r w:rsidRPr="00142305">
        <w:rPr>
          <w:rFonts w:ascii="Times New Roman" w:hAnsi="Times New Roman"/>
          <w:color w:val="0070C0"/>
          <w:sz w:val="16"/>
          <w:szCs w:val="16"/>
        </w:rPr>
        <w:softHyphen/>
        <w:t>ках и озерах. Это позволило эксплуати</w:t>
      </w:r>
      <w:r w:rsidRPr="00142305">
        <w:rPr>
          <w:rFonts w:ascii="Times New Roman" w:hAnsi="Times New Roman"/>
          <w:color w:val="0070C0"/>
          <w:sz w:val="16"/>
          <w:szCs w:val="16"/>
        </w:rPr>
        <w:softHyphen/>
        <w:t>ровать её в звеньях связи, приданных стрелковым дивизиям и корпусам, дис</w:t>
      </w:r>
      <w:r w:rsidRPr="00142305">
        <w:rPr>
          <w:rFonts w:ascii="Times New Roman" w:hAnsi="Times New Roman"/>
          <w:color w:val="0070C0"/>
          <w:sz w:val="16"/>
          <w:szCs w:val="16"/>
        </w:rPr>
        <w:softHyphen/>
        <w:t>лоцированным в районах, где приличных сухопутных площадок было мало, а воды - много. Ш-2 служили на Дальнем Вос</w:t>
      </w:r>
      <w:r w:rsidRPr="00142305">
        <w:rPr>
          <w:rFonts w:ascii="Times New Roman" w:hAnsi="Times New Roman"/>
          <w:color w:val="0070C0"/>
          <w:sz w:val="16"/>
          <w:szCs w:val="16"/>
        </w:rPr>
        <w:softHyphen/>
        <w:t>токе, в Карелии, Белоруссии. Например, амфибии наряду с У-2 имело звено связи при 54-й стрелковой дивизии в Карелии. Их выдавали в качестве «лошадок» не</w:t>
      </w:r>
      <w:r w:rsidRPr="00142305">
        <w:rPr>
          <w:rFonts w:ascii="Times New Roman" w:hAnsi="Times New Roman"/>
          <w:color w:val="0070C0"/>
          <w:sz w:val="16"/>
          <w:szCs w:val="16"/>
        </w:rPr>
        <w:softHyphen/>
        <w:t>которым авиационным соединениям. Так, в ОКДВА одна «шаврушка» летала в 26-й авиабригаде, вооружённой ТБ-3. Прида</w:t>
      </w:r>
      <w:r w:rsidRPr="00142305">
        <w:rPr>
          <w:rFonts w:ascii="Times New Roman" w:hAnsi="Times New Roman"/>
          <w:color w:val="0070C0"/>
          <w:sz w:val="16"/>
          <w:szCs w:val="16"/>
        </w:rPr>
        <w:softHyphen/>
        <w:t>вали их и речным флотилиям (24952).</w:t>
      </w:r>
    </w:p>
    <w:p w14:paraId="090ACF68" w14:textId="77777777" w:rsidR="00E8111E" w:rsidRPr="00142305" w:rsidRDefault="00E8111E" w:rsidP="00E8111E">
      <w:pPr>
        <w:spacing w:after="0" w:line="240" w:lineRule="auto"/>
        <w:jc w:val="both"/>
        <w:rPr>
          <w:rFonts w:ascii="Times New Roman" w:hAnsi="Times New Roman"/>
          <w:color w:val="0070C0"/>
          <w:sz w:val="16"/>
          <w:szCs w:val="16"/>
        </w:rPr>
      </w:pPr>
    </w:p>
    <w:p w14:paraId="30E2D97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года в ЦАГИ был построен Опытный экземпляр А-4 и на втором полете потерпел небольшую аварию, так что испытание пришлось проводить на головной серийной машине, выпущенной заводом в ноябре 1932 года (3849,13). 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 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 (3849,13).</w:t>
      </w:r>
    </w:p>
    <w:p w14:paraId="09BCD4D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C3D06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проходили госиспытания М-51 со своими оригинальными цилиндрами. Однако в обоих случаях испытания закончились неудачно. В июне 1933 г. М-51 испытывался на самолете У-2 (11478).</w:t>
      </w:r>
    </w:p>
    <w:p w14:paraId="3C370A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0AAC33"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1932 г. на заводе № 29 проходили госиспытания моторов М-51 со своими оригинальными цилиндрами. Испытания закончились неудачно. В июне 1933 г. М-51 испытывался на самолете У-2 (25397).</w:t>
      </w:r>
    </w:p>
    <w:p w14:paraId="7E7CF677" w14:textId="77777777" w:rsidR="00E8111E" w:rsidRPr="00142305" w:rsidRDefault="00E8111E" w:rsidP="00E8111E">
      <w:pPr>
        <w:spacing w:after="0" w:line="240" w:lineRule="auto"/>
        <w:jc w:val="both"/>
        <w:rPr>
          <w:rFonts w:ascii="Times New Roman" w:hAnsi="Times New Roman"/>
          <w:color w:val="0070C0"/>
          <w:sz w:val="16"/>
          <w:szCs w:val="16"/>
        </w:rPr>
      </w:pPr>
    </w:p>
    <w:p w14:paraId="24AE6405"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октября 1932 испытывался первый опытный образец М-58.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w:t>
      </w:r>
      <w:r w:rsidRPr="00E93F40">
        <w:rPr>
          <w:rFonts w:ascii="Times New Roman" w:hAnsi="Times New Roman"/>
          <w:color w:val="000000" w:themeColor="text1"/>
          <w:sz w:val="16"/>
          <w:szCs w:val="16"/>
        </w:rPr>
        <w:lastRenderedPageBreak/>
        <w:t>На последующих опытных образцах ввели вы</w:t>
      </w:r>
      <w:r w:rsidRPr="00E93F40">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E93F40">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E93F40">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E93F40">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E93F40">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E93F40">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513FD621"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19068050"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9-цилиндровый, звездообразный, четырехтактный, воздушного охлаж</w:t>
      </w:r>
      <w:r w:rsidRPr="00E93F40">
        <w:rPr>
          <w:rFonts w:ascii="Times New Roman" w:hAnsi="Times New Roman"/>
          <w:color w:val="000000" w:themeColor="text1"/>
          <w:sz w:val="16"/>
          <w:szCs w:val="16"/>
        </w:rPr>
        <w:softHyphen/>
        <w:t>дения, безредукторный, с одноступенчатым односкоростным ПЦН;</w:t>
      </w:r>
    </w:p>
    <w:p w14:paraId="29754C1D"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160/190 мм;</w:t>
      </w:r>
    </w:p>
    <w:p w14:paraId="13F5C037"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34,4 л;</w:t>
      </w:r>
    </w:p>
    <w:p w14:paraId="55DBC2FD"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5,5;</w:t>
      </w:r>
    </w:p>
    <w:p w14:paraId="6AD448E9"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по проекту 630/800 л.с., реально 630/785 л.с.;</w:t>
      </w:r>
    </w:p>
    <w:p w14:paraId="6CFE0D26"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в зависимости от модификации. Известны модификации:</w:t>
      </w:r>
    </w:p>
    <w:p w14:paraId="694B6A68"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М-58Н</w:t>
      </w:r>
    </w:p>
    <w:p w14:paraId="0D3DFE83"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М-58, три первых опытных экземпляра с полным наддувом, 630/680 л.с., вес 445^450 кг.</w:t>
      </w:r>
    </w:p>
    <w:p w14:paraId="1E599C31"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6EC9CAE8"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М-58Н, отличался от М-58МН передачей к ПЦН, крыльчаткой и диф</w:t>
      </w:r>
      <w:r w:rsidRPr="00E93F40">
        <w:rPr>
          <w:rFonts w:ascii="Times New Roman" w:hAnsi="Times New Roman"/>
          <w:color w:val="000000" w:themeColor="text1"/>
          <w:sz w:val="16"/>
          <w:szCs w:val="16"/>
        </w:rPr>
        <w:softHyphen/>
        <w:t>фузором.</w:t>
      </w:r>
    </w:p>
    <w:p w14:paraId="4E7A0E95"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B8E3DF9"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EC5D1C"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опытный образец М-38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E93F40">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38BCEB57"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E93F40">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429D3F39"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мощности двигателя заданию и превышения веса (по заданию не более 400 кг).</w:t>
      </w:r>
    </w:p>
    <w:p w14:paraId="258F46A6"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04961916"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9-цилиндровый, звездообразный, четырехтактный, воздушного охлаж</w:t>
      </w:r>
      <w:r w:rsidRPr="00E93F40">
        <w:rPr>
          <w:rFonts w:ascii="Times New Roman" w:hAnsi="Times New Roman"/>
          <w:color w:val="000000" w:themeColor="text1"/>
          <w:sz w:val="16"/>
          <w:szCs w:val="16"/>
        </w:rPr>
        <w:softHyphen/>
        <w:t>дения;</w:t>
      </w:r>
    </w:p>
    <w:p w14:paraId="0D4D1F1C"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безредукторный;</w:t>
      </w:r>
    </w:p>
    <w:p w14:paraId="62AF3EE6"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по проекту 570/600 л.с. (фактически получено 575 л.с.);</w:t>
      </w:r>
    </w:p>
    <w:p w14:paraId="780CF390"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460 кг (по заданию 450 кг);</w:t>
      </w:r>
    </w:p>
    <w:p w14:paraId="23E8DEBD"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135/160 мм;</w:t>
      </w:r>
    </w:p>
    <w:p w14:paraId="37B5C337"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полный рабочий объем 30,7 л;</w:t>
      </w:r>
    </w:p>
    <w:p w14:paraId="530EE48E"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6,0. Проектировались несколько модификаций:</w:t>
      </w:r>
    </w:p>
    <w:p w14:paraId="7D62F1AD"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М-38 без редуктора и нагнетателя.</w:t>
      </w:r>
    </w:p>
    <w:p w14:paraId="57DE6EBC"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М-38Н с односкоростным ПЦН.</w:t>
      </w:r>
    </w:p>
    <w:p w14:paraId="0B4B09ED"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М-38Г (М-38Гр) для гражданских самолетов на базе М-38Н.</w:t>
      </w:r>
    </w:p>
    <w:p w14:paraId="58C88497"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E93F40">
        <w:rPr>
          <w:rFonts w:ascii="Times New Roman" w:hAnsi="Times New Roman"/>
          <w:color w:val="000000" w:themeColor="text1"/>
          <w:sz w:val="16"/>
          <w:szCs w:val="16"/>
        </w:rPr>
        <w:softHyphen/>
        <w:t>ведчика КР-2 (11852).</w:t>
      </w:r>
    </w:p>
    <w:p w14:paraId="1F93773D" w14:textId="77777777" w:rsidR="00E8111E" w:rsidRPr="00E93F40" w:rsidRDefault="00E8111E" w:rsidP="00E8111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522597"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года был основан завод № 291</w:t>
      </w:r>
    </w:p>
    <w:p w14:paraId="2579082B"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 ввода в эксплуатацию:</w:t>
      </w:r>
    </w:p>
    <w:p w14:paraId="2F3B2C45"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частичного – 1940 года (реконструкция и строительство не закончены)</w:t>
      </w:r>
    </w:p>
    <w:p w14:paraId="0C1E13F5"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Реконструируемый</w:t>
      </w:r>
    </w:p>
    <w:p w14:paraId="78F05D04"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производства – индивидуальное</w:t>
      </w:r>
    </w:p>
    <w:p w14:paraId="382D5971"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производства – установки и гидротормоза для испытаний авиамоторов и других двигателей</w:t>
      </w:r>
    </w:p>
    <w:p w14:paraId="3ECD089C"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Тушино (Москва 171, п/я 2221)</w:t>
      </w:r>
    </w:p>
    <w:p w14:paraId="5AD02A3A"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291 организован по приказу НКАП № 142 от 23 марта 1940 года в соответствии с постановлением Правительства от 26 января 1940 года за № 132/66сс и от 27 марта 1940 года за № 420/159сс на базе спецтехбюро филиала завода № 25 для производства мотороиспытательных установок, агрегатов и приборов для заводов авиапромышленности.</w:t>
      </w:r>
    </w:p>
    <w:p w14:paraId="7EF0DFF0"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Устав завода утвержден приказом НКАП за № 92 от 4 апреля 1940 года.</w:t>
      </w:r>
    </w:p>
    <w:p w14:paraId="79CBF777"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качестве основной производственной базы заводу были переданы площади бывшего завода ГВФ в Тушино.</w:t>
      </w:r>
    </w:p>
    <w:p w14:paraId="20E1850C"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Принятые заводом № 291 в апреле 1940 года здания и сооружения совершенно не были приспособлены для производства испытательного оборудования. До частичного восстановления зданий завод размещался на территории МАИ.</w:t>
      </w:r>
    </w:p>
    <w:p w14:paraId="06B9D7BB"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НКАП № 271с от 8 июня 1940 года завод был обязан приступить к восстановлению завода на территории Тушино и к 25 июня 1940 года закончить все ремонтностроительные работы по механическому цеху……………..</w:t>
      </w:r>
    </w:p>
    <w:p w14:paraId="2295E785"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Установленные приказом НКАП сроки ввода цехов в эксплуатацию были не выполнены ………. В результате завод получил возможность приступить к монтажу оборудования и переводу цехов с территории МАИ только в августе 1940 года.</w:t>
      </w:r>
    </w:p>
    <w:p w14:paraId="6BDF90D6"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с этого периода и начинается производственная деятельность завода.</w:t>
      </w:r>
    </w:p>
    <w:p w14:paraId="7AC4526E"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заводе имеется ЦКБ, которое занимается не только разработкой конструкций опытного оборудования по договорам с заводами НКАП, но и ведет работы по госбюджетной тематике.</w:t>
      </w:r>
    </w:p>
    <w:p w14:paraId="589B4D5B"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ЦКБ из-за отсутствия помещения на заводе в Тушино продолжает оставаться на территории МАИ.</w:t>
      </w:r>
    </w:p>
    <w:p w14:paraId="58F37E97"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имеется испытательная станция, где ведутся испытания гидротормозов и одноцилиндровых двигателей с универсальным картером.</w:t>
      </w:r>
    </w:p>
    <w:p w14:paraId="104C3B3A"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Станция, впредь до сооружения специального здания на территории завода в Тушино, временно помещается на территории МАИ (9318).</w:t>
      </w:r>
    </w:p>
    <w:p w14:paraId="5788E7C7"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p>
    <w:p w14:paraId="26A41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Д.А.Кошиц выполнил круговой перелет на Г-8 В.К.Грибовского по маршруту Москва-Рязань-Казань-Самара-Саратов-Сталинград-Ростов-Запорожье-Феодосия-Зиновьевск-Полтава-Харьков общей протяженностью 4500 км (1076,793).</w:t>
      </w:r>
    </w:p>
    <w:p w14:paraId="7FE09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B323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октябре 1932 года завершилась постройка десантного планера на 16 человек аппарата конструктора Бориса Урлапова, получившего название Г-63, и начались испытания. Первые подлеты выполнил сам Гроховский, позднее его заменил летчик-испытатель и планерист В.А.Степанчонок. Планер Г-63 представлял собой свободнонесущий моноплан с крылом размахом 28 м. Передняя часть фюзеляжа планера была выполнена в виде обтекаемой каплеообразной кабины пилота, а за крылом фюзеляж переходил в тонкую балку овального сечения, несущую хвостовое оперение. Для жесткости хвостовую балку расчалили тросами к крылу. Шестнадцать десантников размещались в лежачем положении в центроплане, разделенном на ячейки. Боковые стенки ячеек одновременно служили нервюрами крыла, а носовая часть центроплана представляла прозрачные откидывавшиеся вперед секции. Буксировался планер разведчиком Р-5. В 1932-м в одном из полетов Г-63 потерпел аварию. Ремонт планера затянулся до августа 1933-го, при этом его конструкцию усовершенствовали: увеличили площадь руля направления, изменили углы отклонения рулей и элеронов, оборудовали место второго пилота и т.д. После восстановления планер переименовали в Г-31 (11810). </w:t>
      </w:r>
    </w:p>
    <w:p w14:paraId="0165E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077D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после доработки Г-9 приняли на вооружение. Подвеска Г-9 позволяла проделать это с американскими "Харлей-Дэвидсонами". По одному мотоциклу подвешивалось горизонтально под нижним крылом с обеих сторон. Но на государственных испытаниях покалечили все три сброшенных мотоцикла. Громоздкий груз значительно ухудшил летные данные биплана, при несинхронной отцепке самолет сразу начинало разворачивать. У Гроховского спроектировали также сходную систему Г-36А. А в 3-й авиабригаде особого назначения (авиадесантной) разработан! свою конструкцию, при которой мотоциклы подвешивались в вертикальном положении (12034).</w:t>
      </w:r>
    </w:p>
    <w:p w14:paraId="636AD4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05C9F1"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октябре 1932 г. после доработки подвеску мотоцикла под Г-5 под обозначением Г-9 приняли на вооружение. У Гроховского спроектировали также сход</w:t>
      </w:r>
      <w:r w:rsidRPr="00142305">
        <w:rPr>
          <w:rFonts w:ascii="Times New Roman" w:hAnsi="Times New Roman"/>
          <w:color w:val="0070C0"/>
          <w:sz w:val="16"/>
          <w:szCs w:val="16"/>
        </w:rPr>
        <w:softHyphen/>
        <w:t>ную систему Г-36А. А в 3-й авиабригаде особого назначе</w:t>
      </w:r>
      <w:r w:rsidRPr="00142305">
        <w:rPr>
          <w:rFonts w:ascii="Times New Roman" w:hAnsi="Times New Roman"/>
          <w:color w:val="0070C0"/>
          <w:sz w:val="16"/>
          <w:szCs w:val="16"/>
        </w:rPr>
        <w:softHyphen/>
        <w:t>ния (авиадесантной) разработали свою конструкцию, при которой мотоциклы подвеш и вались в вертикальном поло</w:t>
      </w:r>
      <w:r w:rsidRPr="00142305">
        <w:rPr>
          <w:rFonts w:ascii="Times New Roman" w:hAnsi="Times New Roman"/>
          <w:color w:val="0070C0"/>
          <w:sz w:val="16"/>
          <w:szCs w:val="16"/>
        </w:rPr>
        <w:softHyphen/>
        <w:t>жении (24990).</w:t>
      </w:r>
    </w:p>
    <w:p w14:paraId="4520F45F" w14:textId="77777777" w:rsidR="00E8111E" w:rsidRPr="00142305" w:rsidRDefault="00E8111E" w:rsidP="00E8111E">
      <w:pPr>
        <w:spacing w:after="0" w:line="240" w:lineRule="auto"/>
        <w:jc w:val="both"/>
        <w:rPr>
          <w:rFonts w:ascii="Times New Roman" w:hAnsi="Times New Roman"/>
          <w:color w:val="0070C0"/>
          <w:sz w:val="16"/>
          <w:szCs w:val="16"/>
        </w:rPr>
      </w:pPr>
    </w:p>
    <w:p w14:paraId="1C4BC7D7"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1932 г. на снабжение ВВС приняли систему Г-9. Два мотоцикла "Харлей-Дэвидсон" подвешивались на бомбодержателях под крыльями биплана Р-5.</w:t>
      </w:r>
    </w:p>
    <w:p w14:paraId="223E4917"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Каждый мотоцикл был заключен в специальную раму и снабжен двумя парашютами (все вместе весило 656 кг). Два десантных парашюта связывались через отверстие в центре купола и раскрывались один за другим. Позднее в Осконбюро сделали подвеску ПД-М2 для двух "Харлеев" с колясками. Ее мог нести под фюзеляжем бомбардировщик ТБ-1 (25356).</w:t>
      </w:r>
    </w:p>
    <w:p w14:paraId="4A86C3DB" w14:textId="77777777" w:rsidR="00E8111E" w:rsidRPr="00142305" w:rsidRDefault="00E8111E" w:rsidP="00E8111E">
      <w:pPr>
        <w:spacing w:after="0" w:line="240" w:lineRule="auto"/>
        <w:jc w:val="both"/>
        <w:rPr>
          <w:rFonts w:ascii="Times New Roman" w:hAnsi="Times New Roman"/>
          <w:color w:val="0070C0"/>
          <w:sz w:val="16"/>
          <w:szCs w:val="16"/>
        </w:rPr>
      </w:pPr>
    </w:p>
    <w:p w14:paraId="2F1493DB"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1932 г. приняли на вооружение мягкий мешок Г-4 и жесткий (фанерный, овального сечения) короб Г-5 Гроховского. Они оба были рассчитаны на 150-160 кг груза. В том же году представили короба Г-6 на 80 кг и Г-7 для крупногабаритных грузов, а также картонный цилиндр Г-8 для продовольствия.</w:t>
      </w:r>
    </w:p>
    <w:p w14:paraId="43791698"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Мешки, короба, а позже специальные баки для горючего ПДББ подвешивались на бомбодержателях и сбрасывались как обычные бомбы с помощью ручки бомбосбрасывателя. Позднее для больших самолетов стали делать так называемые "грузовые мосты" — съемные конструкции с большим количеством бомбодержателей. У ТБ-3 два таких моста грузоподъемностью по 1200 кг с шестью замками устанавливались на основных бомбодержателях под крылом, а под фюзеляжем — еще один, на 1600 кг с четырьмя замками.</w:t>
      </w:r>
    </w:p>
    <w:p w14:paraId="17649D7D"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Сброс небольших грузов осуществляли по традиционной схеме: сначала отделение от машины, потом открытие купола. Крупные пробовали сбрасывать методом срыва: сначала раскрывая купол, который вытягивает груз из самолета. Это позволяло уменьшить как динамический удар, так и минимально допустимую высоту сброса.</w:t>
      </w:r>
    </w:p>
    <w:p w14:paraId="09FA76D7"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Вся сбрасываемая тара комплектовалась специальными грузовыми парашютами. Диаметр купола варьировался от трех до 30 м. Купола могли быть одинарными или тандемными — подвешенными один над другим. В основном их шили из перкаля. Но в Осконбюро работали и над другими материалами. После долгих мучений там научились делать купола из марли (25356).</w:t>
      </w:r>
    </w:p>
    <w:p w14:paraId="68ADD2F2" w14:textId="77777777" w:rsidR="00E8111E" w:rsidRPr="00142305" w:rsidRDefault="00E8111E" w:rsidP="00E8111E">
      <w:pPr>
        <w:spacing w:after="0" w:line="240" w:lineRule="auto"/>
        <w:jc w:val="both"/>
        <w:rPr>
          <w:rFonts w:ascii="Times New Roman" w:hAnsi="Times New Roman"/>
          <w:color w:val="0070C0"/>
          <w:sz w:val="16"/>
          <w:szCs w:val="16"/>
        </w:rPr>
      </w:pPr>
    </w:p>
    <w:p w14:paraId="51D2C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октябре 1932 года Главное управление НКТП издает приказ № 502 о создании единой дирекции иркутского завода, подчинив ей стройку. Директором был назначен В. Г. Ирьянов, который и принял завод 9 ноября 1932 года. Стройка под Иркутском сразу почувствовала прилив новых, молодых сил. Новый директор завода Владимир Григорьевич Ирьянов имел все данные сильного руководителя. Волевой энергичный, он крепко взялся за дело, и его умелую руку сразу почувствовал коллектив. Все говорило о стабильности успехов, завод становится реальностью и выходит за пределы строительной площадки: возникает филиал завода в Москве. Дело в том, что на 1934 год назначался не только пуск завода, но и запуск в производство самолета. Предполагалось запускать самолет И-14, сконструированный П. О. Сухим. Это первый скоростной советский металлический истребитель. Иркутскому заводу предстояло наладить серийный выпуск этих машин. За четкое и быстрое исполнение работ коллективу была объявлена благодарность. 22 июля на завод приехала правительственная комиссия по приему предприятия в эксплуатацию. Она придирчиво осматривала молодой завод, который размещался в основном в одном корпусе. В нем были цеха: механослесарный, дюралевый, сборочный. Оборудование было не самым современным, но энтузиазм и работоспособность людей сделали свое дело: завод можно принять в строй действующих. 24 августа 1934 года на основании решений центральных организаций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«Сталинец».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выколоточные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1E74A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229114" w14:textId="77777777" w:rsidR="0044548C" w:rsidRPr="00142305" w:rsidRDefault="0044548C" w:rsidP="0044548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1932 г. во время маневров флота пара ТБ-1 залпом сбросила торпеды по буксируемому щиту в 15 милях от Херсонесского маяка. Обе торпеды промахнулись из-за того, что трудно было учесть снос парашютов ветром, но при этом механизмы торпед сработали исправно. Всего до 14 ноября выполни</w:t>
      </w:r>
      <w:r w:rsidRPr="00142305">
        <w:rPr>
          <w:rFonts w:ascii="Times New Roman" w:hAnsi="Times New Roman"/>
          <w:color w:val="0070C0"/>
          <w:sz w:val="16"/>
          <w:szCs w:val="16"/>
        </w:rPr>
        <w:softHyphen/>
        <w:t>ли девять сбрасываний. В первую очередь всех интересо</w:t>
      </w:r>
      <w:r w:rsidRPr="00142305">
        <w:rPr>
          <w:rFonts w:ascii="Times New Roman" w:hAnsi="Times New Roman"/>
          <w:color w:val="0070C0"/>
          <w:sz w:val="16"/>
          <w:szCs w:val="16"/>
        </w:rPr>
        <w:softHyphen/>
        <w:t>вала баллистика системы, и часто сбрасывали «болван</w:t>
      </w:r>
      <w:r w:rsidRPr="00142305">
        <w:rPr>
          <w:rFonts w:ascii="Times New Roman" w:hAnsi="Times New Roman"/>
          <w:color w:val="0070C0"/>
          <w:sz w:val="16"/>
          <w:szCs w:val="16"/>
        </w:rPr>
        <w:softHyphen/>
        <w:t>ки» - габаритно-весовые макеты без «начинки» (25004).</w:t>
      </w:r>
    </w:p>
    <w:p w14:paraId="5724964A" w14:textId="77777777" w:rsidR="0044548C" w:rsidRPr="00142305" w:rsidRDefault="0044548C" w:rsidP="0044548C">
      <w:pPr>
        <w:spacing w:after="0" w:line="240" w:lineRule="auto"/>
        <w:jc w:val="both"/>
        <w:rPr>
          <w:rFonts w:ascii="Times New Roman" w:hAnsi="Times New Roman"/>
          <w:color w:val="0070C0"/>
          <w:sz w:val="16"/>
          <w:szCs w:val="16"/>
        </w:rPr>
      </w:pPr>
    </w:p>
    <w:p w14:paraId="7D36D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года имело место совещание у нач. Штаба ВВС Меженинова, на котором Межениновым было дано указание о заказе следующих количеств парашютно-десантного имущества: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64952F4E" w14:textId="77777777">
        <w:tc>
          <w:tcPr>
            <w:tcW w:w="5636" w:type="dxa"/>
          </w:tcPr>
          <w:p w14:paraId="3D038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Десантн. людских тренировочн.</w:t>
            </w:r>
          </w:p>
        </w:tc>
        <w:tc>
          <w:tcPr>
            <w:tcW w:w="5636" w:type="dxa"/>
          </w:tcPr>
          <w:p w14:paraId="4A9F83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 шт.</w:t>
            </w:r>
          </w:p>
        </w:tc>
      </w:tr>
      <w:tr w:rsidR="00DA227A" w:rsidRPr="00E93F40" w14:paraId="5779923E" w14:textId="77777777">
        <w:tc>
          <w:tcPr>
            <w:tcW w:w="5636" w:type="dxa"/>
          </w:tcPr>
          <w:p w14:paraId="4A44A8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Десантн. людских боевых</w:t>
            </w:r>
          </w:p>
        </w:tc>
        <w:tc>
          <w:tcPr>
            <w:tcW w:w="5636" w:type="dxa"/>
          </w:tcPr>
          <w:p w14:paraId="46F24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7500 шт.</w:t>
            </w:r>
          </w:p>
        </w:tc>
      </w:tr>
      <w:tr w:rsidR="00DA227A" w:rsidRPr="00E93F40" w14:paraId="0E36AC15" w14:textId="77777777">
        <w:tc>
          <w:tcPr>
            <w:tcW w:w="5636" w:type="dxa"/>
          </w:tcPr>
          <w:p w14:paraId="6DEC33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Для сбрасывания вооружения</w:t>
            </w:r>
          </w:p>
        </w:tc>
        <w:tc>
          <w:tcPr>
            <w:tcW w:w="5636" w:type="dxa"/>
          </w:tcPr>
          <w:p w14:paraId="19708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 шт.</w:t>
            </w:r>
          </w:p>
        </w:tc>
      </w:tr>
      <w:tr w:rsidR="00DA227A" w:rsidRPr="00E93F40" w14:paraId="07BBF46A" w14:textId="77777777">
        <w:tc>
          <w:tcPr>
            <w:tcW w:w="5636" w:type="dxa"/>
          </w:tcPr>
          <w:p w14:paraId="627468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4. Для сбрасывания термосов</w:t>
            </w:r>
          </w:p>
        </w:tc>
        <w:tc>
          <w:tcPr>
            <w:tcW w:w="5636" w:type="dxa"/>
          </w:tcPr>
          <w:p w14:paraId="26C8FD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шт.</w:t>
            </w:r>
          </w:p>
        </w:tc>
      </w:tr>
      <w:tr w:rsidR="00DA227A" w:rsidRPr="00E93F40" w14:paraId="31F8B255" w14:textId="77777777">
        <w:tc>
          <w:tcPr>
            <w:tcW w:w="5636" w:type="dxa"/>
          </w:tcPr>
          <w:p w14:paraId="509C40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Для сбрасывания мотоциклов</w:t>
            </w:r>
          </w:p>
        </w:tc>
        <w:tc>
          <w:tcPr>
            <w:tcW w:w="5636" w:type="dxa"/>
          </w:tcPr>
          <w:p w14:paraId="15607F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 шт.</w:t>
            </w:r>
          </w:p>
        </w:tc>
      </w:tr>
      <w:tr w:rsidR="00DA227A" w:rsidRPr="00E93F40" w14:paraId="70352D41" w14:textId="77777777">
        <w:tc>
          <w:tcPr>
            <w:tcW w:w="5636" w:type="dxa"/>
          </w:tcPr>
          <w:p w14:paraId="2CDE2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Для сбрасывания автомоб. и танкет.</w:t>
            </w:r>
          </w:p>
        </w:tc>
        <w:tc>
          <w:tcPr>
            <w:tcW w:w="5636" w:type="dxa"/>
          </w:tcPr>
          <w:p w14:paraId="62BC6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 шт.</w:t>
            </w:r>
          </w:p>
        </w:tc>
      </w:tr>
      <w:tr w:rsidR="009D12BD" w:rsidRPr="00E93F40" w14:paraId="4D0BEE64" w14:textId="77777777">
        <w:tc>
          <w:tcPr>
            <w:tcW w:w="5636" w:type="dxa"/>
          </w:tcPr>
          <w:p w14:paraId="4315FF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Для сбрасывания баков горючего</w:t>
            </w:r>
          </w:p>
        </w:tc>
        <w:tc>
          <w:tcPr>
            <w:tcW w:w="5636" w:type="dxa"/>
          </w:tcPr>
          <w:p w14:paraId="3DE9CA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шт (3853).</w:t>
            </w:r>
          </w:p>
        </w:tc>
      </w:tr>
    </w:tbl>
    <w:p w14:paraId="5DC55F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ED7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прошел испытания «метод срыва», разработанный Гроховским, Титовым и Афанасьевым для сброса грузов свыше 0,5 т. Суть метода заключалась в том, что парашют раскрывался до отделения груза от носителя и укороченной стропой открывал замки крепления. К моменту отделения груза парашют оказывался раскрытым — так уменьшались динамические нагрузки. В 1934 г. «гроховчане» продемонстрировали возможность сброса таким образом автомобиля на грузовом парашюте с отстрелом строп после приземления — парашют предназначался также для сброса танкетки, пушки, мотоцикла. Демонстрация прошла, как обычно у Гроховского, с помпой, но продолжения работа не имела. Очевидно, сложности, связанные с доводкой объекта оказались «гроховчанам» не под силу — увы, так закончилась не одна разработка под руководством Гроховского. Метод срыва нашел себе применение на практике уже после Великой Отечественной войны. Малый танк или бронеавтомобиль могли бы десантироваться в сбрасываемой парашютной грузовой кабине самолета «Универсальное летающее крыло» Г-37, но работа по нему была прервана. В том же 1932 г. ОКБ Гроховского разработало так называемые «авиабусы» для беспарашютного сброса нескольких человек или грузов до 1 т, но испытания показали их низкую практическую пригодность даже при сбросе на ровную взлетно-посадочную полосу аэродрома. Для легкой БТТ подобные решенияудалось реализовать только через много лет. Пока же независимо от Гроховского в Военной академии моторизации и механизации РККА отрабатывали идею сброса плавающих танков на воду — эксперименты проводились в 1936-1937 гг. под Москвой. Танк Т-37 на деревянном поддоне-платформе сбрасывался из-под фюзеляжа ТБ-3 с высоты 5-6 м на скорости 160 км/ч, глиссировал 25-30 м, плавно садился в воду, отделялся от платформы. Предполагалось, что после этого он сможет выйти на берег самостоятельно. Однако приходилось высаживать и экипажи, и запас горючего (танк сбрасывался с пустыми баками) посадочным способом с того же самолета. В работах принимал участие начальник КБ научно-исследовательского отдела Академии военинженер 2-го ранга Ж.Я. Котин, защитивший в 1935 г. кандидатскую диссертацию по теме авиадесантного танка (Гроховский также пытался заняться у себя авиадесантным танком, но, поскольку соответствующих специалистов у него не было, дело не пошло дальше эскизов). И эти работы остались на уровне исследований (11915).</w:t>
      </w:r>
    </w:p>
    <w:p w14:paraId="6D04D1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04D58F" w14:textId="77777777" w:rsidR="00594A55" w:rsidRPr="00E93F40" w:rsidRDefault="00594A55"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заместитель начальника вооружений РККА H.A. Ефимов обращается в ЦК ВКП(б) с просьбой ускорить решение о создании РНИИ.</w:t>
      </w:r>
    </w:p>
    <w:p w14:paraId="2881AD36" w14:textId="77777777" w:rsidR="00594A55" w:rsidRPr="00E93F40" w:rsidRDefault="00594A55"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Судя по месячным сводкам о приеме посетителей Председателем СНК и СТО и его заместителей В.М. Молотов действительно занимался вопросом создания реактивного института и серьезно пытался разобраться в этом деле. За один только октябрь месяц у него по очереди перебывали все члены Комиссии, а ее председатель И.А. Акулов пять раз подряд, причем один раз с Перельманом." (РГАСПИ, ф. 82, оп. 2, д. 447, Списки с 1 по 30 октября 1932 г) (22685).</w:t>
      </w:r>
    </w:p>
    <w:p w14:paraId="11DEB76D" w14:textId="77777777" w:rsidR="00594A55" w:rsidRPr="00E93F40" w:rsidRDefault="00594A55" w:rsidP="00E93F40">
      <w:pPr>
        <w:spacing w:after="0" w:line="240" w:lineRule="auto"/>
        <w:jc w:val="both"/>
        <w:rPr>
          <w:rFonts w:ascii="Times New Roman" w:hAnsi="Times New Roman"/>
          <w:color w:val="000000" w:themeColor="text1"/>
          <w:sz w:val="16"/>
          <w:szCs w:val="16"/>
        </w:rPr>
      </w:pPr>
    </w:p>
    <w:p w14:paraId="29C7049D" w14:textId="6FA9F4D5" w:rsidR="00594A55" w:rsidRPr="00E93F40" w:rsidRDefault="00594A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октя</w:t>
      </w:r>
      <w:r w:rsidRPr="00E93F40">
        <w:rPr>
          <w:rFonts w:ascii="Times New Roman" w:hAnsi="Times New Roman"/>
          <w:color w:val="000000" w:themeColor="text1"/>
          <w:sz w:val="16"/>
          <w:szCs w:val="16"/>
        </w:rPr>
        <w:softHyphen/>
        <w:t>бря 1932 г. продолжал работу комитет содействия дирижаблестроению</w:t>
      </w:r>
      <w:r w:rsidR="0044548C">
        <w:rPr>
          <w:rFonts w:ascii="Times New Roman" w:hAnsi="Times New Roman"/>
          <w:color w:val="000000" w:themeColor="text1"/>
          <w:sz w:val="16"/>
          <w:szCs w:val="16"/>
        </w:rPr>
        <w:t>.</w:t>
      </w:r>
      <w:r w:rsidRPr="00E93F40">
        <w:rPr>
          <w:rFonts w:ascii="Times New Roman" w:hAnsi="Times New Roman"/>
          <w:color w:val="000000" w:themeColor="text1"/>
          <w:sz w:val="16"/>
          <w:szCs w:val="16"/>
        </w:rPr>
        <w:t xml:space="preserve"> В октябре, чтобы избежать параллелизма с «Дирижаблестроем», его преобразовали в ко</w:t>
      </w:r>
      <w:r w:rsidRPr="00E93F40">
        <w:rPr>
          <w:rFonts w:ascii="Times New Roman" w:hAnsi="Times New Roman"/>
          <w:color w:val="000000" w:themeColor="text1"/>
          <w:sz w:val="16"/>
          <w:szCs w:val="16"/>
        </w:rPr>
        <w:softHyphen/>
        <w:t>миссию по шефству над эскадрой дирижаблей имени Ленина (20120).</w:t>
      </w:r>
    </w:p>
    <w:p w14:paraId="5308B8A0" w14:textId="77777777" w:rsidR="00594A55" w:rsidRPr="00E93F40" w:rsidRDefault="00594A55" w:rsidP="00E93F40">
      <w:pPr>
        <w:spacing w:after="0" w:line="240" w:lineRule="auto"/>
        <w:jc w:val="both"/>
        <w:rPr>
          <w:rFonts w:ascii="Times New Roman" w:hAnsi="Times New Roman"/>
          <w:color w:val="000000" w:themeColor="text1"/>
          <w:sz w:val="16"/>
          <w:szCs w:val="16"/>
        </w:rPr>
      </w:pPr>
    </w:p>
    <w:p w14:paraId="6CE324D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108B7F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685C483"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проводились испытания 76-мм ДРП малой и большой мощности и 76-мм батальонной пушки Курчевского БПК:</w:t>
      </w:r>
    </w:p>
    <w:p w14:paraId="74D0AA42" w14:textId="77777777" w:rsidR="00F01A58" w:rsidRPr="00E93F40" w:rsidRDefault="00F01A58" w:rsidP="00E93F40">
      <w:pPr>
        <w:spacing w:after="0" w:line="240" w:lineRule="auto"/>
        <w:jc w:val="both"/>
        <w:rPr>
          <w:rFonts w:ascii="Times New Roman" w:hAnsi="Times New Roman"/>
          <w:bCs/>
          <w:color w:val="000000" w:themeColor="text1"/>
          <w:sz w:val="16"/>
          <w:szCs w:val="16"/>
        </w:rPr>
      </w:pPr>
      <w:bookmarkStart w:id="45" w:name="label32"/>
      <w:bookmarkEnd w:id="45"/>
      <w:r w:rsidRPr="00E93F40">
        <w:rPr>
          <w:rFonts w:ascii="Times New Roman" w:hAnsi="Times New Roman"/>
          <w:bCs/>
          <w:color w:val="000000" w:themeColor="text1"/>
          <w:sz w:val="16"/>
          <w:szCs w:val="16"/>
          <w:vertAlign w:val="superscript"/>
        </w:rPr>
        <w:t>Орудие …… ДРП-4 ММ — ДРП-4БМ — ВПК</w:t>
      </w:r>
    </w:p>
    <w:p w14:paraId="0420898F"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76,2 — 76,2 — 76,2</w:t>
      </w:r>
    </w:p>
    <w:p w14:paraId="6F49F5DC"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с воронкой, мм …… 1060 — 1447 — 1900</w:t>
      </w:r>
    </w:p>
    <w:p w14:paraId="0369DAA2"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тела орудия с воронкой, кг …… 56,4 — 66,1 — 90,5</w:t>
      </w:r>
    </w:p>
    <w:p w14:paraId="0EF526F0"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системы в боевом положении, кг …… 109 — 138 — 162,5</w:t>
      </w:r>
    </w:p>
    <w:p w14:paraId="6DE36D7F"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Скорострельность без изменения наводки, выстр/мин. …… — / 3 / 5-6</w:t>
      </w:r>
    </w:p>
    <w:p w14:paraId="48EC96B3"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снаряда, кг …… 6,41 — 6,5 — 4,7/6,5</w:t>
      </w:r>
    </w:p>
    <w:p w14:paraId="375E2AB8" w14:textId="77777777" w:rsidR="00F01A58" w:rsidRPr="00E93F40" w:rsidRDefault="00F01A5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Начальная скорость, м/с …… 160 — 265 — 350/252 (15117).</w:t>
      </w:r>
    </w:p>
    <w:p w14:paraId="32999894" w14:textId="77777777" w:rsidR="00F01A58" w:rsidRPr="00E93F40" w:rsidRDefault="00F01A58" w:rsidP="00E93F40">
      <w:pPr>
        <w:spacing w:after="0" w:line="240" w:lineRule="auto"/>
        <w:jc w:val="both"/>
        <w:rPr>
          <w:rFonts w:ascii="Times New Roman" w:hAnsi="Times New Roman"/>
          <w:color w:val="000000" w:themeColor="text1"/>
          <w:sz w:val="16"/>
          <w:szCs w:val="16"/>
        </w:rPr>
      </w:pPr>
    </w:p>
    <w:p w14:paraId="497F4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были организованы механические мастерские треста «Союзхиммонтаж», являвшиеся ремонтной базой соседнего химзавода. Организация мастерских не была зафиксирована в вышестоящих органах, и в связи с этим вышло постановление СНК «О безобразиях, творившихся в промышленности». Уже 5.12.1933 г. мастерские были преобразованы в завод «Химаппаратура».</w:t>
      </w:r>
    </w:p>
    <w:p w14:paraId="32E2E188" w14:textId="7776DD42"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 г. завод передан в ведение НКМ и переименован в Щелковский Государственный завод холодильного оборудования. С 1937 г. начато освоение производства холодильных установок, поршневых насосов, эфиризаторов. После начала П-й Мировой войны заводу был поручен выпуск 82-мм осколочных мин. В конце 1941 г. завод Холодильного оборудования был передан в ведение НКМВ. Суточный план завода по выпуску мин увеличен до 12 тыс. шт. В соответствии с пост, правительства № 837-430сс от 3.06.1942 г. и приказом НКМВ № 250с от 7.07.1942 г. завод Холодилного оборудования НКМВ переименован в завод № 725 в ведении 1ГУ (Завод № 725 НКМВ, Завод «Химаппаратура», Щелковский Государственный завод холодильного оборудования НКМВ, Щелковский завод малых гидротурбин ММиП, Щелковский насосный завод, ОАО «ЭНА» /г. Щелково Московской обл. «Турбина»/ /141101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Щелково Московской обл. ул. Заводская, 14/).</w:t>
      </w:r>
    </w:p>
    <w:p w14:paraId="44F2F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заводу поручено освоение производства гидротурбин малой мощности. В 07.1946 г. завод № 725 переименован в Щелковский завод малых гидротурбин, в 1947-48 г. - в ведении Главхиммаша ММиП.</w:t>
      </w:r>
    </w:p>
    <w:p w14:paraId="371C26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цехи: основные: гидротурбинный, электромоторный, ширпотреба, литейный, кузнечно- прессовый; вспомогательные: инструментальный.</w:t>
      </w:r>
    </w:p>
    <w:p w14:paraId="4E06179E" w14:textId="4677498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1950 г. начато производство насосов. В 06.1956 г. завод переименован в Щелковский насосный завод. Специализировался на выпуске центробежных насосов. 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реконструирован, расширены производственные площади.</w:t>
      </w:r>
    </w:p>
    <w:p w14:paraId="5AC4D9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9.10.1992 г. завод преобразован в ОАО «ЭНА».</w:t>
      </w:r>
    </w:p>
    <w:p w14:paraId="4CE33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(1939 г.)- 89 ед., (1946 г.)- 230 ед., (1947 г.)- 313 ед.</w:t>
      </w:r>
    </w:p>
    <w:p w14:paraId="44DF7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территории (1947 г.)- 7,1 га; застройки (1947 г.)- 9471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производственная (1939 г.)- 3390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(1946 г.)- 5975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(1947 г.)- 6308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4C5CE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(1939 г.)- 527 чел., (1946 г.)- 651 чел., (1947 г.)- 644 чел.</w:t>
      </w:r>
    </w:p>
    <w:p w14:paraId="23387CCE" w14:textId="3A64E88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(06.1942 г.)- Быков, (1948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 Седов, (16.03.1987 г.-)- Ю.В. Гусев. Гендиректор (1992 г.-)- Ю.В. Гусев.</w:t>
      </w:r>
    </w:p>
    <w:p w14:paraId="4918A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(1948 г.)- А.А. Демин.</w:t>
      </w:r>
    </w:p>
    <w:p w14:paraId="5266D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поршневые насосы «ДН» (193 7-); полуавтоматы ФОРА (1937-); корпуса 82-мм мин (1942); турбины: В059, ГТ2, ВТЗ, ВТ2; электродвигатели, печь «Чудо» (1947) (11982).</w:t>
      </w:r>
    </w:p>
    <w:p w14:paraId="4F7C3B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F415A1" w14:textId="77777777" w:rsidR="00575CA3" w:rsidRPr="00E93F40" w:rsidRDefault="00575CA3"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года переработанный вариант танка Т-28 приняли на вооружение Красной Армии, а Гинзбург получил Орден Ленина. Также его вручили Иванову и Барыкову (19634).</w:t>
      </w:r>
    </w:p>
    <w:p w14:paraId="0DEEC2BE" w14:textId="77777777" w:rsidR="00575CA3" w:rsidRPr="00E93F40" w:rsidRDefault="00575CA3" w:rsidP="00E93F40">
      <w:pPr>
        <w:shd w:val="clear" w:color="auto" w:fill="FFFFFF"/>
        <w:spacing w:after="0" w:line="240" w:lineRule="auto"/>
        <w:jc w:val="both"/>
        <w:rPr>
          <w:rFonts w:ascii="Times New Roman" w:hAnsi="Times New Roman"/>
          <w:color w:val="000000" w:themeColor="text1"/>
          <w:sz w:val="16"/>
          <w:szCs w:val="16"/>
        </w:rPr>
      </w:pPr>
    </w:p>
    <w:p w14:paraId="1BB1B3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в опытном отделе Т-2О (2-й танковый опытный) ХПХ под руководством А.О.Фирсова были проведены первые эскизные проработки, которые показали, что без изменения конструкции корпуса (против чего возражал КО) установить 76-мм пушку на БТ не удастся (3881,3).</w:t>
      </w:r>
    </w:p>
    <w:p w14:paraId="0B35F8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7F1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на Петрозаводе был изготовлен ножевой минный трал для Т-26. Прошел испытания на НИБТ полигоне (9527,238).</w:t>
      </w:r>
    </w:p>
    <w:p w14:paraId="16E6BE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29C1EE"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на Петрозаводе в г. Ленинграде изготовили ножевой противоминный трал для танка Т-26.</w:t>
      </w:r>
    </w:p>
    <w:p w14:paraId="3601879A"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образец трала представлял собой две отдельные секции, работающие совместно.</w:t>
      </w:r>
    </w:p>
    <w:p w14:paraId="73BBE500"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конструкцию трала входили: отвал, башмак, трубчатая рама, задвижка для ножей и ножи из инструментальной стали. Для левой и правой секции использовались ножи невзаимозаменя</w:t>
      </w:r>
      <w:r w:rsidRPr="00E93F40">
        <w:rPr>
          <w:rFonts w:ascii="Times New Roman" w:hAnsi="Times New Roman"/>
          <w:color w:val="000000" w:themeColor="text1"/>
          <w:sz w:val="16"/>
          <w:szCs w:val="16"/>
        </w:rPr>
        <w:softHyphen/>
        <w:t>емой конструкции. Каждая секция трала крепи</w:t>
      </w:r>
      <w:r w:rsidRPr="00E93F40">
        <w:rPr>
          <w:rFonts w:ascii="Times New Roman" w:hAnsi="Times New Roman"/>
          <w:color w:val="000000" w:themeColor="text1"/>
          <w:sz w:val="16"/>
          <w:szCs w:val="16"/>
        </w:rPr>
        <w:softHyphen/>
        <w:t>лась на двух специальных подшипниках, способ</w:t>
      </w:r>
      <w:r w:rsidRPr="00E93F40">
        <w:rPr>
          <w:rFonts w:ascii="Times New Roman" w:hAnsi="Times New Roman"/>
          <w:color w:val="000000" w:themeColor="text1"/>
          <w:sz w:val="16"/>
          <w:szCs w:val="16"/>
        </w:rPr>
        <w:softHyphen/>
        <w:t>ных сбрасывать трал с танка в случае необходи - мости. Для подъема и опускания трала приме</w:t>
      </w:r>
      <w:r w:rsidRPr="00E93F40">
        <w:rPr>
          <w:rFonts w:ascii="Times New Roman" w:hAnsi="Times New Roman"/>
          <w:color w:val="000000" w:themeColor="text1"/>
          <w:sz w:val="16"/>
          <w:szCs w:val="16"/>
        </w:rPr>
        <w:softHyphen/>
        <w:t>нялась лебедка с двумя блоками. Подъем и опус</w:t>
      </w:r>
      <w:r w:rsidRPr="00E93F40">
        <w:rPr>
          <w:rFonts w:ascii="Times New Roman" w:hAnsi="Times New Roman"/>
          <w:color w:val="000000" w:themeColor="text1"/>
          <w:sz w:val="16"/>
          <w:szCs w:val="16"/>
        </w:rPr>
        <w:softHyphen/>
        <w:t>кание трала ножным или ручным приводом осу</w:t>
      </w:r>
      <w:r w:rsidRPr="00E93F40">
        <w:rPr>
          <w:rFonts w:ascii="Times New Roman" w:hAnsi="Times New Roman"/>
          <w:color w:val="000000" w:themeColor="text1"/>
          <w:sz w:val="16"/>
          <w:szCs w:val="16"/>
        </w:rPr>
        <w:softHyphen/>
        <w:t>ществлял пулеметчик.</w:t>
      </w:r>
    </w:p>
    <w:p w14:paraId="0A4D2AD6"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Трал являлся средством индивидуального использования. Траление мин осуществлялось на двойной ширине колеи гусеницы танка на глубину до 250 мм со скоростью до 5 км/ч, при этом пропускались мины в межколейном про</w:t>
      </w:r>
      <w:r w:rsidRPr="00E93F40">
        <w:rPr>
          <w:rFonts w:ascii="Times New Roman" w:hAnsi="Times New Roman"/>
          <w:color w:val="000000" w:themeColor="text1"/>
          <w:sz w:val="16"/>
          <w:szCs w:val="16"/>
        </w:rPr>
        <w:softHyphen/>
        <w:t>странстве.</w:t>
      </w:r>
    </w:p>
    <w:p w14:paraId="4D7114B4"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1932-1933 гг. на полигоне ВИУ РККА были испытаны три образца противомин</w:t>
      </w:r>
      <w:r w:rsidRPr="00E93F40">
        <w:rPr>
          <w:rFonts w:ascii="Times New Roman" w:hAnsi="Times New Roman"/>
          <w:color w:val="000000" w:themeColor="text1"/>
          <w:sz w:val="16"/>
          <w:szCs w:val="16"/>
        </w:rPr>
        <w:softHyphen/>
        <w:t>ного трала ножевого типа.</w:t>
      </w:r>
    </w:p>
    <w:p w14:paraId="063429BE"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Перевод всех тралов из походного положе</w:t>
      </w:r>
      <w:r w:rsidRPr="00E93F40">
        <w:rPr>
          <w:rFonts w:ascii="Times New Roman" w:hAnsi="Times New Roman"/>
          <w:color w:val="000000" w:themeColor="text1"/>
          <w:sz w:val="16"/>
          <w:szCs w:val="16"/>
        </w:rPr>
        <w:softHyphen/>
        <w:t>ния в боевое осуществлялся без выхода эки</w:t>
      </w:r>
      <w:r w:rsidRPr="00E93F40">
        <w:rPr>
          <w:rFonts w:ascii="Times New Roman" w:hAnsi="Times New Roman"/>
          <w:color w:val="000000" w:themeColor="text1"/>
          <w:sz w:val="16"/>
          <w:szCs w:val="16"/>
        </w:rPr>
        <w:softHyphen/>
        <w:t>пажа из танка, Аварийная отцепка и поворот танка при движении в боевом положении были невозможны.</w:t>
      </w:r>
    </w:p>
    <w:p w14:paraId="1A32042A"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Рабочие органы ножевых тралов были не взрывоустойчивы, а при наезде на твердые предметы ножи ломались или деформировались настолько, что теряли </w:t>
      </w:r>
      <w:r w:rsidRPr="00E93F40">
        <w:rPr>
          <w:rFonts w:ascii="Times New Roman" w:hAnsi="Times New Roman"/>
          <w:color w:val="000000" w:themeColor="text1"/>
          <w:sz w:val="16"/>
          <w:szCs w:val="16"/>
        </w:rPr>
        <w:lastRenderedPageBreak/>
        <w:t>работоспособность.</w:t>
      </w:r>
    </w:p>
    <w:p w14:paraId="0BD68432"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три варианта ножевого трапа на испы</w:t>
      </w:r>
      <w:r w:rsidRPr="00E93F40">
        <w:rPr>
          <w:rFonts w:ascii="Times New Roman" w:hAnsi="Times New Roman"/>
          <w:color w:val="000000" w:themeColor="text1"/>
          <w:sz w:val="16"/>
          <w:szCs w:val="16"/>
        </w:rPr>
        <w:softHyphen/>
        <w:t>таниях показали неудовлетворительные резуль</w:t>
      </w:r>
      <w:r w:rsidRPr="00E93F40">
        <w:rPr>
          <w:rFonts w:ascii="Times New Roman" w:hAnsi="Times New Roman"/>
          <w:color w:val="000000" w:themeColor="text1"/>
          <w:sz w:val="16"/>
          <w:szCs w:val="16"/>
        </w:rPr>
        <w:softHyphen/>
        <w:t>таты и не были приняты на вооружение из-за целого ряда недостатков:</w:t>
      </w:r>
    </w:p>
    <w:p w14:paraId="3F9A29D6"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невозможности траления мин в твердых и мерзлых грунтах и на заросшей кустарником местности;</w:t>
      </w:r>
    </w:p>
    <w:p w14:paraId="1843CF03" w14:textId="77777777" w:rsidR="007B1D3C" w:rsidRPr="00E93F40" w:rsidRDefault="007B1D3C" w:rsidP="00E93F40">
      <w:pPr>
        <w:widowControl w:val="0"/>
        <w:tabs>
          <w:tab w:val="left" w:pos="187"/>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невозможности маневра машины при тра</w:t>
      </w:r>
      <w:r w:rsidRPr="00E93F40">
        <w:rPr>
          <w:rFonts w:ascii="Times New Roman" w:hAnsi="Times New Roman"/>
          <w:color w:val="000000" w:themeColor="text1"/>
          <w:sz w:val="16"/>
          <w:szCs w:val="16"/>
        </w:rPr>
        <w:softHyphen/>
        <w:t>лении мин;</w:t>
      </w:r>
    </w:p>
    <w:p w14:paraId="7C695883" w14:textId="77777777" w:rsidR="007B1D3C" w:rsidRPr="00E93F40" w:rsidRDefault="007B1D3C" w:rsidP="00E93F40">
      <w:pPr>
        <w:widowControl w:val="0"/>
        <w:tabs>
          <w:tab w:val="left" w:pos="197"/>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недостаточной прочности конструкции рамы и быстрого износа ножей;</w:t>
      </w:r>
    </w:p>
    <w:p w14:paraId="7075A328" w14:textId="77777777" w:rsidR="007B1D3C" w:rsidRPr="00E93F40" w:rsidRDefault="007B1D3C" w:rsidP="00E93F40">
      <w:pPr>
        <w:widowControl w:val="0"/>
        <w:tabs>
          <w:tab w:val="left" w:pos="183"/>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низкой скорости движения танка с тралом;</w:t>
      </w:r>
    </w:p>
    <w:p w14:paraId="6C012240" w14:textId="77777777" w:rsidR="007B1D3C" w:rsidRPr="00E93F40" w:rsidRDefault="007B1D3C" w:rsidP="00E93F40">
      <w:pPr>
        <w:widowControl w:val="0"/>
        <w:tabs>
          <w:tab w:val="left" w:pos="192"/>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зарезания ножей в фунт или самопроиз</w:t>
      </w:r>
      <w:r w:rsidRPr="00E93F40">
        <w:rPr>
          <w:rFonts w:ascii="Times New Roman" w:hAnsi="Times New Roman"/>
          <w:color w:val="000000" w:themeColor="text1"/>
          <w:sz w:val="16"/>
          <w:szCs w:val="16"/>
        </w:rPr>
        <w:softHyphen/>
        <w:t>вольного выхода из грунта.</w:t>
      </w:r>
    </w:p>
    <w:p w14:paraId="028BE0AC"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Наличие дефектов принципиального харак</w:t>
      </w:r>
      <w:r w:rsidRPr="00E93F40">
        <w:rPr>
          <w:rFonts w:ascii="Times New Roman" w:hAnsi="Times New Roman"/>
          <w:color w:val="000000" w:themeColor="text1"/>
          <w:sz w:val="16"/>
          <w:szCs w:val="16"/>
        </w:rPr>
        <w:softHyphen/>
        <w:t>тера, выявленных при испытаниях, привело к прекращению дальнейших работы по тралам ножевого типа.</w:t>
      </w:r>
    </w:p>
    <w:p w14:paraId="4B36DDDB"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Позднее, в 1936 г., были изготовлены и ис</w:t>
      </w:r>
      <w:r w:rsidRPr="00E93F40">
        <w:rPr>
          <w:rFonts w:ascii="Times New Roman" w:hAnsi="Times New Roman"/>
          <w:color w:val="000000" w:themeColor="text1"/>
          <w:sz w:val="16"/>
          <w:szCs w:val="16"/>
        </w:rPr>
        <w:softHyphen/>
        <w:t>пытаны опытные образцы тралов бойкового типа, которые устанавливались на танках Т-26, БТ.</w:t>
      </w:r>
    </w:p>
    <w:p w14:paraId="12E9FD52"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Трал крепился к передней части танка и был устроен следующим образом. На раме монти</w:t>
      </w:r>
      <w:r w:rsidRPr="00E93F40">
        <w:rPr>
          <w:rFonts w:ascii="Times New Roman" w:hAnsi="Times New Roman"/>
          <w:color w:val="000000" w:themeColor="text1"/>
          <w:sz w:val="16"/>
          <w:szCs w:val="16"/>
        </w:rPr>
        <w:softHyphen/>
        <w:t>ровались вращающиеся барабаны, приводимые в действие цепью «Галля» от ведущих колес. На барабанах с помощью тросов диаметром 10—12 мм фиксировались в определенном по</w:t>
      </w:r>
      <w:r w:rsidRPr="00E93F40">
        <w:rPr>
          <w:rFonts w:ascii="Times New Roman" w:hAnsi="Times New Roman"/>
          <w:color w:val="000000" w:themeColor="text1"/>
          <w:sz w:val="16"/>
          <w:szCs w:val="16"/>
        </w:rPr>
        <w:softHyphen/>
        <w:t>рядке 55 конических бойков, которые при ера- щении барабана ударяли по грунту и тем самым подрывали встречающиеся на пути мины.</w:t>
      </w:r>
    </w:p>
    <w:p w14:paraId="35A7E657"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Проведенные исследования бойковых тра</w:t>
      </w:r>
      <w:r w:rsidRPr="00E93F40">
        <w:rPr>
          <w:rFonts w:ascii="Times New Roman" w:hAnsi="Times New Roman"/>
          <w:color w:val="000000" w:themeColor="text1"/>
          <w:sz w:val="16"/>
          <w:szCs w:val="16"/>
        </w:rPr>
        <w:softHyphen/>
        <w:t>лов также выявили их существенные конструк</w:t>
      </w:r>
      <w:r w:rsidRPr="00E93F40">
        <w:rPr>
          <w:rFonts w:ascii="Times New Roman" w:hAnsi="Times New Roman"/>
          <w:color w:val="000000" w:themeColor="text1"/>
          <w:sz w:val="16"/>
          <w:szCs w:val="16"/>
        </w:rPr>
        <w:softHyphen/>
        <w:t>тивные недостатки и ограничения. В результате представленные образцы были забракованы, а дальнейшая их разработка — прекращена.</w:t>
      </w:r>
    </w:p>
    <w:p w14:paraId="053C7040"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Бойковый противоминный трал для танка Т-28 (ТР-28) был разработан в КБ завода №185 инженерами И.Г. Белогурцевым и А.В. Кал оевым. Установка трала предусматривала минимальные изменения в конструкции танка и обеспечивала траление мин перед идущей машиной на участ</w:t>
      </w:r>
      <w:r w:rsidRPr="00E93F40">
        <w:rPr>
          <w:rFonts w:ascii="Times New Roman" w:hAnsi="Times New Roman"/>
          <w:color w:val="000000" w:themeColor="text1"/>
          <w:sz w:val="16"/>
          <w:szCs w:val="16"/>
        </w:rPr>
        <w:softHyphen/>
        <w:t>ке шириной 3,5 м (12063).</w:t>
      </w:r>
    </w:p>
    <w:p w14:paraId="7AAAF627"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22B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началось и закончилось в феврале 1933 г. проектирование дизеля. 28 апреля собрали первый полноразмерный БД - 2, а в мае 1933 г. начались внутризаводские стендовые испытания. Для сборки первых БД-2 в дизель-ном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про-изводства ЧТЗ. К работе активно подключился вернувшийся в 1933 г. из США И.Я. Трашутин,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сек-цию (11224).</w:t>
      </w:r>
    </w:p>
    <w:p w14:paraId="4D2D7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8734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октября 1932 года по февраль 1933 года на ХПЗ группа конструкторов с огромным на</w:t>
      </w:r>
      <w:r w:rsidRPr="00E93F40">
        <w:rPr>
          <w:rFonts w:ascii="Times New Roman" w:hAnsi="Times New Roman"/>
          <w:color w:val="000000" w:themeColor="text1"/>
          <w:sz w:val="16"/>
          <w:szCs w:val="16"/>
        </w:rPr>
        <w:softHyphen/>
        <w:t>пряжением работала над проектированием дизеля. Изучая и опираясь на опыт авиационного моторостроения, творя новое и используя результа</w:t>
      </w:r>
      <w:r w:rsidRPr="00E93F40">
        <w:rPr>
          <w:rFonts w:ascii="Times New Roman" w:hAnsi="Times New Roman"/>
          <w:color w:val="000000" w:themeColor="text1"/>
          <w:sz w:val="16"/>
          <w:szCs w:val="16"/>
        </w:rPr>
        <w:softHyphen/>
        <w:t>ты экспериментальных работ, КБ дизельного отдела закончило проект мотора, названный «быстроходный дизель БД-1» (115404).</w:t>
      </w:r>
    </w:p>
    <w:p w14:paraId="0EFEEE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10A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октября 1932 г. по февраль 1933 г. продолжался выпуск рабочих чертежей для изготовления опытного образца дизеля. 28 апреля 1933 г. первый образец дизеля, получившего название «быстроходный дизель второй» - БД-2, был размещен на стенде для испытаний. Основными конструктивными особенностями опытного дизеля БД-2 были: картер, выполненный из алюминиевого сплава и с разъемом по оси коленчатого вала; общий на каждые шесть цилиндров алюминиевый блок со стальными «мокрыми» гильзами и общая алюминиевая распределительная головка и верхнеклапанный механизм газораспределения с одним впускным и одним выпускным клапанами. Нижний не несущий алюминиевый картер являлся поддоном для масла. Два шестисекционных насоса фирмы «Бош» располагались в развале цилиндров и соединялись трубопроводами с закрытыми форсунками «Бош», находившимися в головках цилиндров по оси поршня. Поршень - алюминиевый с камерой сгорания в поршне (типа Гессельмана). Коленчатый вал, шатуны, клапаны, шестерни - кованые, с последующей обработкой. Полгода проработал дизель БД-2 на стенде. </w:t>
      </w:r>
    </w:p>
    <w:p w14:paraId="3F8DB2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Испытания выявили много дефектов, конструктивных и производственных недостатков. Началась трудная, кропотливая конструкторская доводка дизеля. Наработка испытываемых на стенде двигателей до поломок сначала не превышала 10 - 15 часов. 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пробеговые испытания танка с новым двигателем по территории завода были «первыми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Трашутин,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3A003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F69C27"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w:t>
      </w:r>
    </w:p>
    <w:p w14:paraId="21D15CA9"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Фонд 31811 Опись 3 Дело 51 лист 201 – 206</w:t>
      </w:r>
    </w:p>
    <w:p w14:paraId="77DC86B9"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[рукописный документ на бланке ХПЗ «Службова записка»]</w:t>
      </w:r>
    </w:p>
    <w:p w14:paraId="62296469"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 тов. Лебедев.</w:t>
      </w:r>
    </w:p>
    <w:p w14:paraId="68FDFE10"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прошлом м-це по в/записке был любезно принят в Ленинграде и имел возможность подробно ознакомиться с конструкцией мотора ПГЕ. Остались самые лучшие впечатления, больше того, если процесс зарядки и горения окажется удовлетворительным, мотор имеет большие перспективы в смысле облегчения веса и габарита. Можно из этого мотора сделать вполне удовлетворительный двигатель д/наших целей. </w:t>
      </w:r>
    </w:p>
    <w:p w14:paraId="7308978E"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Вопрос для нас, ХПЗ, сейчас упирается следовательно в результаты испытаний двигателя в работе при нагрузке; если он даст проектную мощность мы будем вполне удовлетворены. Поэтому состояние дела на сегодняшний день нас интересует чрезвычайно. Мне обещали в ОГПУ сообщить о времени сдаточных испытаний, которые предполагались в двадцатых числах прошлого м-ца, однако до сих пор не имею никаких известий. Очень прошу сообщить н/представителю тов. Горенбургу состояние дела и время испытаний для возможности участия в них. </w:t>
      </w:r>
    </w:p>
    <w:p w14:paraId="2BAB2A6F"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того чтобы мы были вполне и своевременно подготовлены на случай если мотор даст удовлетворительные результаты, прошу не задержать передачу нам чертежей, как с нами было договорено в прошлый раз. Тогда подготовка у нас к производству этих моторов займет, в случае надобности, минимальное время. </w:t>
      </w:r>
    </w:p>
    <w:p w14:paraId="6087A3F0"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Чертежи н/опытной секции передаст В/Т Горенбург, также и главные чертежи н/тракторного дизеля для "Коминтерна". Основной проект дизеля для БТ в основном закончен, начинается выпуск рабочих чертежей. Его характеристика: 400 л.с. при 1700 об/мин, Д = 150 мм, ход – 180 мм, 12 цилиндров V-образно расположенных. Конструкция блочная, хорошо продумана, при проектировании пользовались материалами последних (новейших) авиационных и танковых моторов. По габаритам вполне подходит, имеется запас мощности. По мере изготовления чертежей будем В/посылать синьки, если Вы этого пожелаете. </w:t>
      </w:r>
    </w:p>
    <w:p w14:paraId="4EA91031"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Прошу высказать В/мнение по следующему вопросу: мы имеем возможность из 12-ти цилиндрового мотора (наша марка БД-2) переделать (изготовить) дизельный мотор для "Коминтерна" шестицилиндровый с одинаковыми главными размерами и с идентичными деталями [нечитаемо] поршень, шатун, вал блок и пр. В этом случае наш "Коминтерн" облегчился бы на [нечитаемо] по весу и имел бы возможность увеличить свою скорость до 40 км. Было бы это для Вас желательно или не нужно, принимая во внимание некоторое удорожание мотора? </w:t>
      </w:r>
    </w:p>
    <w:p w14:paraId="46DF181E"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извинить меня за то, что не заехал к Вам обратно из Ленинграда – немного прихворал тогда.</w:t>
      </w:r>
    </w:p>
    <w:p w14:paraId="77AD1B73" w14:textId="77777777" w:rsidR="00476C83" w:rsidRPr="00E93F40" w:rsidRDefault="00476C8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комприветом подпись К.Ф. Челпана (24878).</w:t>
      </w:r>
    </w:p>
    <w:p w14:paraId="470301D7" w14:textId="77777777" w:rsidR="00476C83" w:rsidRPr="00E93F40" w:rsidRDefault="00476C83" w:rsidP="00E93F40">
      <w:pPr>
        <w:spacing w:after="0" w:line="240" w:lineRule="auto"/>
        <w:jc w:val="both"/>
        <w:rPr>
          <w:rFonts w:ascii="Times New Roman" w:hAnsi="Times New Roman"/>
          <w:color w:val="000000" w:themeColor="text1"/>
          <w:sz w:val="16"/>
          <w:szCs w:val="16"/>
        </w:rPr>
      </w:pPr>
    </w:p>
    <w:p w14:paraId="0E535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закончились испытания газогенераторных установок на "Коммунарах", которые шли с марта. Преимуществом газогенераторных силовых установок являлась возможность их работы на дешевом местном топливе. К числу основных недостатков относились потери мощности, трудоемкость обслуживания и значительная собственная масса (3ГАРФ, ф. 4426, on. 1, д. 678, пл. 5-8об).</w:t>
      </w:r>
    </w:p>
    <w:p w14:paraId="2F856A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Для испытания готовых газогенераторных установок на тракторах в НАТИ был доставлен ряд образцов.</w:t>
      </w:r>
    </w:p>
    <w:p w14:paraId="2C4DF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Установка системы Введенского на тракторе "Коммунар".</w:t>
      </w:r>
    </w:p>
    <w:p w14:paraId="474F8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Установка ОКБ-8 Техотдела ОПТУ на тракторе "Катерпиллер-60"4.</w:t>
      </w:r>
    </w:p>
    <w:p w14:paraId="520ECC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Комплект для установки проволочных заграждений.</w:t>
      </w:r>
    </w:p>
    <w:p w14:paraId="1CCB67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Установка системы профессора Наумова на тракторе "Коммунар".</w:t>
      </w:r>
    </w:p>
    <w:p w14:paraId="4256A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Установка системы Декаленкова на тракторе "Коммунар".</w:t>
      </w:r>
    </w:p>
    <w:p w14:paraId="1247EF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Установка системы профессора Ветчинки на на тракторе "Коммунар".</w:t>
      </w:r>
    </w:p>
    <w:p w14:paraId="6CAFC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всех установок проводились на специально устроенном НАТИ полигоне. Первые четыре установки прошли полные испытания. Установку Ветчинкина, вследствие обнаруженных в ней неисправностей, по желанию конструктора сняли с испытаний, причем вместо нее должна была поступить новая установка с некоторыми конструктивными изменениями. Однако ее не успели изготовить в период испытаний.</w:t>
      </w:r>
    </w:p>
    <w:p w14:paraId="2F7C7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установке профессора Наумова использовался прямой процесс и топливом служил древесный уголь. Остальные установки обратного процесса работали на березовых чурках.</w:t>
      </w:r>
    </w:p>
    <w:p w14:paraId="550751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всех установок проводились рабочей бригадой НАТИ под общим руководством Семенова-Жукова и при наблюдении экспертов Абрамовича, Болтинекого, Кара- чана, Карельских, Михаловского и Тюляева.</w:t>
      </w:r>
    </w:p>
    <w:p w14:paraId="14CCB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испытаниях были сняты тяговые характеристики тракторов при работе на бензине и на газе, после чего все тракторы поступали в "рядовую" работу с прицепной нагрузкой, составлявшей около 80% наибольшей нагрузки, полученной при снятии характеристик. Каждая установка наработала около 20 ч. Кроме того, каждый трактор испытывался на холостом ходу в течение одного рабочего дня с наибольшей скоростью для выяснения влияния быстрого хода на прочность установок.</w:t>
      </w:r>
    </w:p>
    <w:p w14:paraId="0DBFF1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окончании "рядовой" работы установки разобрали с хронометражем времени и детальным осмотром на предмет износа и повреждений.</w:t>
      </w:r>
    </w:p>
    <w:p w14:paraId="1795E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Потери мощности и тягового усилия тракторов "Коммунар" с газогенераторными установками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DA227A" w:rsidRPr="00E93F40" w14:paraId="6D95E042" w14:textId="77777777">
        <w:tc>
          <w:tcPr>
            <w:tcW w:w="1401" w:type="dxa"/>
            <w:tcBorders>
              <w:top w:val="single" w:sz="12" w:space="0" w:color="auto"/>
            </w:tcBorders>
          </w:tcPr>
          <w:p w14:paraId="6CD0CB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w:t>
            </w:r>
          </w:p>
        </w:tc>
        <w:tc>
          <w:tcPr>
            <w:tcW w:w="1401" w:type="dxa"/>
            <w:tcBorders>
              <w:top w:val="single" w:sz="12" w:space="0" w:color="auto"/>
            </w:tcBorders>
          </w:tcPr>
          <w:p w14:paraId="211C1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на крюке при работе на бензине, л.с.</w:t>
            </w:r>
          </w:p>
        </w:tc>
        <w:tc>
          <w:tcPr>
            <w:tcW w:w="1401" w:type="dxa"/>
            <w:tcBorders>
              <w:top w:val="single" w:sz="12" w:space="0" w:color="auto"/>
            </w:tcBorders>
          </w:tcPr>
          <w:p w14:paraId="4CC4C7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на крюке при работе на газе, л.с.</w:t>
            </w:r>
          </w:p>
        </w:tc>
        <w:tc>
          <w:tcPr>
            <w:tcW w:w="1401" w:type="dxa"/>
            <w:tcBorders>
              <w:top w:val="single" w:sz="12" w:space="0" w:color="auto"/>
            </w:tcBorders>
          </w:tcPr>
          <w:p w14:paraId="341EA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Потери мощности на крюке, %</w:t>
            </w:r>
          </w:p>
        </w:tc>
        <w:tc>
          <w:tcPr>
            <w:tcW w:w="1401" w:type="dxa"/>
            <w:tcBorders>
              <w:top w:val="single" w:sz="12" w:space="0" w:color="auto"/>
            </w:tcBorders>
          </w:tcPr>
          <w:p w14:paraId="16BDE3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Потери тягового усилия,%</w:t>
            </w:r>
          </w:p>
        </w:tc>
        <w:tc>
          <w:tcPr>
            <w:tcW w:w="1401" w:type="dxa"/>
            <w:tcBorders>
              <w:top w:val="single" w:sz="12" w:space="0" w:color="auto"/>
            </w:tcBorders>
          </w:tcPr>
          <w:p w14:paraId="0DC9A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Полная мощность двигателя при работе на бензине, л.с.</w:t>
            </w:r>
          </w:p>
        </w:tc>
        <w:tc>
          <w:tcPr>
            <w:tcW w:w="1401" w:type="dxa"/>
            <w:tcBorders>
              <w:top w:val="single" w:sz="12" w:space="0" w:color="auto"/>
            </w:tcBorders>
          </w:tcPr>
          <w:p w14:paraId="0C85F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Полная мощность двигателя при работе на газе, л.с.</w:t>
            </w:r>
          </w:p>
        </w:tc>
        <w:tc>
          <w:tcPr>
            <w:tcW w:w="1401" w:type="dxa"/>
            <w:tcBorders>
              <w:top w:val="single" w:sz="12" w:space="0" w:color="auto"/>
            </w:tcBorders>
          </w:tcPr>
          <w:p w14:paraId="0B2D8D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Потеря полной мощности, %</w:t>
            </w:r>
          </w:p>
        </w:tc>
      </w:tr>
      <w:tr w:rsidR="00DA227A" w:rsidRPr="00E93F40" w14:paraId="340A02CF" w14:textId="77777777">
        <w:tc>
          <w:tcPr>
            <w:tcW w:w="1401" w:type="dxa"/>
          </w:tcPr>
          <w:p w14:paraId="29C94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Введенского</w:t>
            </w:r>
          </w:p>
        </w:tc>
        <w:tc>
          <w:tcPr>
            <w:tcW w:w="1401" w:type="dxa"/>
          </w:tcPr>
          <w:p w14:paraId="29BF4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63,7</w:t>
            </w:r>
          </w:p>
        </w:tc>
        <w:tc>
          <w:tcPr>
            <w:tcW w:w="1401" w:type="dxa"/>
          </w:tcPr>
          <w:p w14:paraId="29CA00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24,9</w:t>
            </w:r>
          </w:p>
        </w:tc>
        <w:tc>
          <w:tcPr>
            <w:tcW w:w="1401" w:type="dxa"/>
          </w:tcPr>
          <w:p w14:paraId="45825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60,9</w:t>
            </w:r>
          </w:p>
        </w:tc>
        <w:tc>
          <w:tcPr>
            <w:tcW w:w="1401" w:type="dxa"/>
          </w:tcPr>
          <w:p w14:paraId="3495F8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59,8</w:t>
            </w:r>
          </w:p>
        </w:tc>
        <w:tc>
          <w:tcPr>
            <w:tcW w:w="1401" w:type="dxa"/>
          </w:tcPr>
          <w:p w14:paraId="78669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91.7</w:t>
            </w:r>
          </w:p>
        </w:tc>
        <w:tc>
          <w:tcPr>
            <w:tcW w:w="1401" w:type="dxa"/>
          </w:tcPr>
          <w:p w14:paraId="1218D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42,4</w:t>
            </w:r>
          </w:p>
        </w:tc>
        <w:tc>
          <w:tcPr>
            <w:tcW w:w="1401" w:type="dxa"/>
          </w:tcPr>
          <w:p w14:paraId="5DFFA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53,8</w:t>
            </w:r>
          </w:p>
        </w:tc>
      </w:tr>
      <w:tr w:rsidR="00DA227A" w:rsidRPr="00E93F40" w14:paraId="7BC85CEA" w14:textId="77777777">
        <w:tc>
          <w:tcPr>
            <w:tcW w:w="1401" w:type="dxa"/>
          </w:tcPr>
          <w:p w14:paraId="7F1A8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Наумова</w:t>
            </w:r>
          </w:p>
        </w:tc>
        <w:tc>
          <w:tcPr>
            <w:tcW w:w="1401" w:type="dxa"/>
          </w:tcPr>
          <w:p w14:paraId="3709C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63,7</w:t>
            </w:r>
          </w:p>
        </w:tc>
        <w:tc>
          <w:tcPr>
            <w:tcW w:w="1401" w:type="dxa"/>
          </w:tcPr>
          <w:p w14:paraId="0E182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26,1</w:t>
            </w:r>
          </w:p>
        </w:tc>
        <w:tc>
          <w:tcPr>
            <w:tcW w:w="1401" w:type="dxa"/>
          </w:tcPr>
          <w:p w14:paraId="50796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1401" w:type="dxa"/>
          </w:tcPr>
          <w:p w14:paraId="5D203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53,8</w:t>
            </w:r>
          </w:p>
        </w:tc>
        <w:tc>
          <w:tcPr>
            <w:tcW w:w="1401" w:type="dxa"/>
          </w:tcPr>
          <w:p w14:paraId="37880D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91.7</w:t>
            </w:r>
          </w:p>
        </w:tc>
        <w:tc>
          <w:tcPr>
            <w:tcW w:w="1401" w:type="dxa"/>
          </w:tcPr>
          <w:p w14:paraId="797B6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42,9</w:t>
            </w:r>
          </w:p>
        </w:tc>
        <w:tc>
          <w:tcPr>
            <w:tcW w:w="1401" w:type="dxa"/>
          </w:tcPr>
          <w:p w14:paraId="0EDAD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53,3</w:t>
            </w:r>
          </w:p>
        </w:tc>
      </w:tr>
      <w:tr w:rsidR="00DA227A" w:rsidRPr="00E93F40" w14:paraId="233B6DA2" w14:textId="77777777">
        <w:tc>
          <w:tcPr>
            <w:tcW w:w="1401" w:type="dxa"/>
            <w:tcBorders>
              <w:bottom w:val="single" w:sz="12" w:space="0" w:color="auto"/>
            </w:tcBorders>
          </w:tcPr>
          <w:p w14:paraId="50A186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Декаленкова</w:t>
            </w:r>
          </w:p>
        </w:tc>
        <w:tc>
          <w:tcPr>
            <w:tcW w:w="1401" w:type="dxa"/>
            <w:tcBorders>
              <w:bottom w:val="single" w:sz="12" w:space="0" w:color="auto"/>
            </w:tcBorders>
          </w:tcPr>
          <w:p w14:paraId="5FBA6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61,2</w:t>
            </w:r>
          </w:p>
        </w:tc>
        <w:tc>
          <w:tcPr>
            <w:tcW w:w="1401" w:type="dxa"/>
            <w:tcBorders>
              <w:bottom w:val="single" w:sz="12" w:space="0" w:color="auto"/>
            </w:tcBorders>
          </w:tcPr>
          <w:p w14:paraId="0C4F0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22,2</w:t>
            </w:r>
          </w:p>
        </w:tc>
        <w:tc>
          <w:tcPr>
            <w:tcW w:w="1401" w:type="dxa"/>
            <w:tcBorders>
              <w:bottom w:val="single" w:sz="12" w:space="0" w:color="auto"/>
            </w:tcBorders>
          </w:tcPr>
          <w:p w14:paraId="4E117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63,7</w:t>
            </w:r>
          </w:p>
        </w:tc>
        <w:tc>
          <w:tcPr>
            <w:tcW w:w="1401" w:type="dxa"/>
            <w:tcBorders>
              <w:bottom w:val="single" w:sz="12" w:space="0" w:color="auto"/>
            </w:tcBorders>
          </w:tcPr>
          <w:p w14:paraId="0FAFBA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60,8</w:t>
            </w:r>
          </w:p>
        </w:tc>
        <w:tc>
          <w:tcPr>
            <w:tcW w:w="1401" w:type="dxa"/>
            <w:tcBorders>
              <w:bottom w:val="single" w:sz="12" w:space="0" w:color="auto"/>
            </w:tcBorders>
          </w:tcPr>
          <w:p w14:paraId="63816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87,6</w:t>
            </w:r>
          </w:p>
        </w:tc>
        <w:tc>
          <w:tcPr>
            <w:tcW w:w="1401" w:type="dxa"/>
            <w:tcBorders>
              <w:bottom w:val="single" w:sz="12" w:space="0" w:color="auto"/>
            </w:tcBorders>
          </w:tcPr>
          <w:p w14:paraId="7679FB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37,6</w:t>
            </w:r>
          </w:p>
        </w:tc>
        <w:tc>
          <w:tcPr>
            <w:tcW w:w="1401" w:type="dxa"/>
            <w:tcBorders>
              <w:bottom w:val="single" w:sz="12" w:space="0" w:color="auto"/>
            </w:tcBorders>
          </w:tcPr>
          <w:p w14:paraId="40C366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p>
        </w:tc>
      </w:tr>
    </w:tbl>
    <w:p w14:paraId="39E9A3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 традиционными для газогенераторных установок недостатками (см. таблицу) были зафиксированы и отдельные производственные и конструктивные дефекты. Например, в установке Декаленкова отмечалось большое число ненадежных болтовых соединений; установка системы Введенского отличалась неэффективностью примененных катализаторов; неудовлетворительную прочность кирпичной футеровки показала установка Наумова. Общим же недостатком всех установок стала неудовлетворительная очистка газа. По результатам испытаний была признана необходимость совершенствования всех представленных конструкций (12009).</w:t>
      </w:r>
    </w:p>
    <w:p w14:paraId="53411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зиме 1933-1934 гг. установка системы Введенского на тракторе 3-90 была в целом доведена и под обозначением В-3 представлена на госиспытания на предмет определения пригодности ее к использованию в военных целях (12009).</w:t>
      </w:r>
    </w:p>
    <w:p w14:paraId="0273A7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C78E05"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1932 года Ярославский автомобильный завод решительно вошел в когорту ведущих, наиболее крупных и прогрессивных автомобильных компаний мира, построив принципиально новый для тех времен и второй в мире тяжелый грузовик ЯГ-12 с колесной формулой 8×8, рассчитанный прежде всего на выполнение военных задач.</w:t>
      </w:r>
    </w:p>
    <w:p w14:paraId="68A00F95"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Его идея родилась весной 1931-го, когда британская компания Guy («Гай») построила и испытала первый в мире полноприводный артиллерийский тягач CAW (8×8). Руководство Красной армии сразу же распознало в нем будущее армейской автотехники и решило приобрести его для изучения и воспроизводства. Скудное финансирование сорвало эти планы, но фирма согласилась передать чертежи на свой грузовик советскому военному представителю. На их основе СКБ завода «Красный путиловец» приступило к разработке будущего четырехосника, основанного на иностранных узлах. Этот проект отвергли, и 16 мая 1932-го в работу включился Ярославский завод, где под руководством заведующего КБ А. С. Литвинова был построен свой 12-тонный автомобиль-вездеход. Первоначально ему присвоили индекс «Я-Гай», но потом его изменили на ЯГ-12. Из чувств национальной гордости и стратегической важности новой машины ей присвоили популярный в то время девиз «Наш ответ Чемберлену», обращенный британскому министру иностранных дел, ненавидевшему Советский Союз (25597).</w:t>
      </w:r>
    </w:p>
    <w:p w14:paraId="5F82C90E" w14:textId="77777777" w:rsidR="00E8111E" w:rsidRPr="00142305" w:rsidRDefault="00E8111E" w:rsidP="00E8111E">
      <w:pPr>
        <w:spacing w:after="0" w:line="240" w:lineRule="auto"/>
        <w:jc w:val="both"/>
        <w:rPr>
          <w:rFonts w:ascii="Times New Roman" w:hAnsi="Times New Roman"/>
          <w:color w:val="0070C0"/>
          <w:sz w:val="16"/>
          <w:szCs w:val="16"/>
        </w:rPr>
      </w:pPr>
    </w:p>
    <w:p w14:paraId="6C7109E6" w14:textId="77777777" w:rsidR="00E8111E" w:rsidRPr="00E93F40" w:rsidRDefault="00E8111E" w:rsidP="00E8111E">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первые тонны продукции дал второй завод синтетического каучука, построенный в Воронеже. Завод сооружался без иностранной помощи, и все оборудование, за исключением ряда контрольно-измерительных приборов, изготовлялось на советских заводах (18301).</w:t>
      </w:r>
    </w:p>
    <w:p w14:paraId="4795BC28" w14:textId="77777777" w:rsidR="00E8111E" w:rsidRPr="00E93F40" w:rsidRDefault="00E8111E" w:rsidP="00E8111E">
      <w:pPr>
        <w:spacing w:after="0" w:line="240" w:lineRule="auto"/>
        <w:jc w:val="both"/>
        <w:rPr>
          <w:rFonts w:ascii="Times New Roman" w:hAnsi="Times New Roman"/>
          <w:color w:val="000000" w:themeColor="text1"/>
          <w:sz w:val="16"/>
          <w:szCs w:val="16"/>
        </w:rPr>
      </w:pPr>
    </w:p>
    <w:p w14:paraId="29F3F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на территории "Заводстроя" (будущего завода № 80 им. Свердлова) в Дзержинске были созданы мастерские по изготовлению металлоконструкций для строящихся промышленных объектов. В 1940-41 гг. механические мастерские переехали на новое место, возле Игумновской ТЭЦ. В годы ВОВ мастерские выпускали множество наименований оборонной продукции, в т.ч. автоцистерны, противотанковые ежи, водомаслогрейки, рамы для "Катюш", стабилизаторы к авиабомбам. Правительство отметило самоотверженный труд работников механических мастерских, и 15 июля 1945 г. мастерские были преобразованы в Игумновский завод металлических конструкций. В 1947 г. заводу впервые было присуждено второе место во Всесоюзном соревновании строительных предприятий министерства. С тех пор прошло много лет, но "Дзержинскхиммаш" до сих пор является одним из самых крупнейших в России производителей специального, в т.ч. химического оборудования (9694).</w:t>
      </w:r>
    </w:p>
    <w:p w14:paraId="0FA64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2AE318" w14:textId="77777777" w:rsidR="00F01A58" w:rsidRPr="00E93F40" w:rsidRDefault="00F01A58"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по пр. НКТП московское отделение института «Гипроспецмет» было преобразовано в самостоятельный институт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По пр. НКОП № 0180 от 15.08.1937г. Гипроспец передан из 4ГУ в новое 13ГУ.</w:t>
      </w:r>
      <w:r w:rsidRPr="00E93F40">
        <w:rPr>
          <w:rFonts w:ascii="Times New Roman" w:hAnsi="Times New Roman"/>
          <w:color w:val="000000" w:themeColor="text1"/>
          <w:sz w:val="16"/>
          <w:szCs w:val="16"/>
          <w:vertAlign w:val="superscript"/>
        </w:rPr>
        <w:t>139</w:t>
      </w:r>
      <w:r w:rsidRPr="00E93F40">
        <w:rPr>
          <w:rFonts w:ascii="Times New Roman" w:hAnsi="Times New Roman"/>
          <w:color w:val="000000" w:themeColor="text1"/>
          <w:sz w:val="16"/>
          <w:szCs w:val="16"/>
        </w:rPr>
        <w:t xml:space="preserve"> По пр. № 27с от 2.02.1938г. Гипроспец переименован в ГСПИ № 4 НКОП, пр. № 24 от 26.01.1938г. утвержден Устав института. В 02.1939г. ГСПИ-4 13ГУ НКОП передан в ведение 13ГУ НКБ. В 06.1939г. институт размещался (временно) на площадке НИИ-24 НКБ.</w:t>
      </w:r>
      <w:r w:rsidRPr="00E93F40">
        <w:rPr>
          <w:rFonts w:ascii="Times New Roman" w:hAnsi="Times New Roman"/>
          <w:color w:val="000000" w:themeColor="text1"/>
          <w:sz w:val="16"/>
          <w:szCs w:val="16"/>
          <w:vertAlign w:val="superscript"/>
        </w:rPr>
        <w:t>132</w:t>
      </w:r>
    </w:p>
    <w:p w14:paraId="5A5705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предприятий по производству различных видов боеприпасов, с 1937 г. специализировался на проектировании патронных заводов. В 1937г. велось проектирование заводов № 17, 46, 179. Приказом № 154 от 21.04.1937г. институту предписано открыть к 10.05.1937г. отделение в Новосибирске для проектирования завода № 179; по пр. № 24 от 26.01.1938г. организовано отделение в Харькове. Пр. № 97сс от 19.03.1938г. поручено к 1.05.1938г. разработать проект модернизации заводов № 176 и № 187; пост, правительства № 1380/к от 2.04.1938г. требовалось к 1.08.1938г. закончить проект завода № 187, приказом № 273 от 20.07.1938г. срок изменен на 1.09.1938г. По пр. № 133 от 8.04.1938г. институту было необходимо к 15.04.1938г. закончить проект цеха средств обтюрации на заводе № 11; приказом № 191сс от 2.06.1938г. требовалось разработать к 1.10.1938г. техпроект переноса завода № 3; приказом № 218сс от 20/22.06.1938г. -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57897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4F2CB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02295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076BD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1945г. в институт переведена часть коллектива ликвидированного СТБ-1.</w:t>
      </w:r>
    </w:p>
    <w:p w14:paraId="4F28D4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6C691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1750A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0C5D6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764F15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52EF6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4642F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помещений (06.1939г.)- 525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11146A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E93F40">
        <w:rPr>
          <w:rFonts w:ascii="Times New Roman" w:hAnsi="Times New Roman"/>
          <w:color w:val="000000" w:themeColor="text1"/>
          <w:sz w:val="16"/>
          <w:szCs w:val="16"/>
          <w:vertAlign w:val="superscript"/>
        </w:rPr>
        <w:t>69</w:t>
      </w:r>
      <w:r w:rsidRPr="00E93F40">
        <w:rPr>
          <w:rFonts w:ascii="Times New Roman" w:hAnsi="Times New Roman"/>
          <w:color w:val="000000" w:themeColor="text1"/>
          <w:sz w:val="16"/>
          <w:szCs w:val="16"/>
        </w:rPr>
        <w:t xml:space="preserve"> (2003-09г.-)- Ю.М. Цой.</w:t>
      </w:r>
    </w:p>
    <w:p w14:paraId="574B8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08B654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инженер„(-06.1937-09.1938г.)- М.Ф. Беляев, (2009г.)- Л.М. Маслов.</w:t>
      </w:r>
    </w:p>
    <w:p w14:paraId="55C5C3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1EF1F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3-го (1938г.)- С.С. Смирнов (11982).</w:t>
      </w:r>
    </w:p>
    <w:p w14:paraId="444B3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B48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Ленречсудпроект закончил проектирование большого бронекатера (прю 1124). ГК Ю.Ю.Бенуа - из семьи художника, а чуть позже приступил к проектированию малого бронекатера проекта 1125. Доводил до ареста в 1937 (4305,30).</w:t>
      </w:r>
    </w:p>
    <w:p w14:paraId="4AF492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AED13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049D731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1DC3BF" w14:textId="77777777" w:rsidR="00291D62" w:rsidRPr="00E93F40" w:rsidRDefault="00291D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первые самолеты И-7 получила 6-я эскадрилья 201-й легкобомбардировочной бригады ВВС Белорусского Военного Округа, дислоцированная в Витебске (24331).</w:t>
      </w:r>
    </w:p>
    <w:p w14:paraId="41EB614F" w14:textId="77777777" w:rsidR="00291D62" w:rsidRPr="00E93F40" w:rsidRDefault="00291D62" w:rsidP="00E93F40">
      <w:pPr>
        <w:spacing w:after="0" w:line="240" w:lineRule="auto"/>
        <w:jc w:val="both"/>
        <w:rPr>
          <w:rFonts w:ascii="Times New Roman" w:hAnsi="Times New Roman"/>
          <w:color w:val="000000" w:themeColor="text1"/>
          <w:sz w:val="16"/>
          <w:szCs w:val="16"/>
        </w:rPr>
      </w:pPr>
    </w:p>
    <w:p w14:paraId="2755FF98" w14:textId="25F53616"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«испытательный» период в Липецке закончился,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там проходили обучение лишь молодые немецкие летчики.</w:t>
      </w:r>
    </w:p>
    <w:p w14:paraId="293B3ED1" w14:textId="723BDE99"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своей работе в Липецке немецкие военные исходили, безусловно, в первую очередь из собственных утилитарных интересов. Под руководством офицеров управления вооружений райхсвера и с привлечением технических специалистов соответствующих германских фирм-производителей в Липецке с 1927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проводились довольно интенсивные испытания новых боевых самолетов, авиационного оборудования и вооружения. Это позволило немцам подготовить там несколько (шесть — семь) типов самолетов, которые успешно прошли все испытания, считались годными для серийного производства и условно были приняты на вооружение райхсвера. Конкретно речь шла об истребителях, а также о самолетах-разведчиках ближнего и дальнего (их можно было использовать в качестве легких бомбардировщиков) радиусов действий. Немецкий исследователь О. Грелер считает, что в Липецке прошли испытания следующие типы самолетов: Хе-45, Хе-46, Хе-51, «Арадо 64–65», «Юнкере К-47», До-11.</w:t>
      </w:r>
    </w:p>
    <w:p w14:paraId="60E58E2C" w14:textId="064690DA"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По-настоящему интерес к научно-техническому опыту и испытательным работам немцев в Липецке у советской стороны проснулся где-то на рубеже 1927–1928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Она организовала там небольшие рабочие группы из своих летчиков и инженеров-самолетостроителей, которые теперь уже на постоянной основе подробно знакомились с работами германских специалистов. Появились там и ведущие специалисты ЦАГИ (Центральный аэрогидродинамический институт). Они участвовали во всех технических испытаниях немцев вплоть до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причем советские летчики испытывали немецкие самолеты в воздухе.</w:t>
      </w:r>
    </w:p>
    <w:p w14:paraId="618C1B4E" w14:textId="51148BC0" w:rsidR="00575CA3" w:rsidRPr="00E93F40" w:rsidRDefault="00575C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Советская сторона в 1930–1932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также устраивала показ своей авиационной техники и вооружений (например, авиационный пулемет Дегтярева в июле 1930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но лишь в сентябре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Тушине под Москвой была устроена широкая демонстрация советской авиатехники. Правда, по мнению немецких участников (Ф. Фельми, Х. Шпайдель, К. Друм, В. Виммер),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(18265).</w:t>
      </w:r>
    </w:p>
    <w:p w14:paraId="570059B3" w14:textId="77777777" w:rsidR="00575CA3" w:rsidRPr="00E93F40" w:rsidRDefault="00575CA3" w:rsidP="00E93F40">
      <w:pPr>
        <w:spacing w:after="0" w:line="240" w:lineRule="auto"/>
        <w:jc w:val="both"/>
        <w:rPr>
          <w:rFonts w:ascii="Times New Roman" w:hAnsi="Times New Roman"/>
          <w:color w:val="000000" w:themeColor="text1"/>
          <w:sz w:val="16"/>
          <w:szCs w:val="16"/>
        </w:rPr>
      </w:pPr>
    </w:p>
    <w:p w14:paraId="796C4AF6"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4A84AE43" w14:textId="77777777" w:rsidR="00E8111E" w:rsidRPr="00E93F40" w:rsidRDefault="00E8111E" w:rsidP="00E8111E">
      <w:pPr>
        <w:autoSpaceDE w:val="0"/>
        <w:autoSpaceDN w:val="0"/>
        <w:adjustRightInd w:val="0"/>
        <w:spacing w:after="0" w:line="240" w:lineRule="auto"/>
        <w:jc w:val="both"/>
        <w:rPr>
          <w:rFonts w:ascii="Times New Roman" w:hAnsi="Times New Roman"/>
          <w:color w:val="000000" w:themeColor="text1"/>
          <w:sz w:val="16"/>
          <w:szCs w:val="16"/>
        </w:rPr>
      </w:pPr>
    </w:p>
    <w:p w14:paraId="437E0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один "Голиаф", который числились в Ленинградском военном округе, опять стал летать. В ноябре 1933 г. он входил в 6-ю отдельную разведывательную эскадрилью в Красногвардейске. Эта машина эксплуатировалась, по крайней мере, до начала 1934 г., причем в ведомостях она шла по разряду строевых частей. Этот последний советский "Голиаф" пережил практически всех своих экспортных собратьев по семейству (11984).</w:t>
      </w:r>
    </w:p>
    <w:p w14:paraId="5470A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075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были созданы Морские силы Дальнего Востока с собственной авиацией (1085,94).</w:t>
      </w:r>
    </w:p>
    <w:p w14:paraId="6E041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8D64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были созданы Морские силы Даль</w:t>
      </w:r>
      <w:r w:rsidRPr="00E93F40">
        <w:rPr>
          <w:rFonts w:ascii="Times New Roman" w:hAnsi="Times New Roman"/>
          <w:color w:val="000000" w:themeColor="text1"/>
          <w:sz w:val="16"/>
          <w:szCs w:val="16"/>
        </w:rPr>
        <w:softHyphen/>
        <w:t>него Востока (МСДВ), авиацией ко</w:t>
      </w:r>
      <w:r w:rsidRPr="00E93F40">
        <w:rPr>
          <w:rFonts w:ascii="Times New Roman" w:hAnsi="Times New Roman"/>
          <w:color w:val="000000" w:themeColor="text1"/>
          <w:sz w:val="16"/>
          <w:szCs w:val="16"/>
        </w:rPr>
        <w:softHyphen/>
        <w:t>торых при подчинении ее команду</w:t>
      </w:r>
      <w:r w:rsidRPr="00E93F40">
        <w:rPr>
          <w:rFonts w:ascii="Times New Roman" w:hAnsi="Times New Roman"/>
          <w:color w:val="000000" w:themeColor="text1"/>
          <w:sz w:val="16"/>
          <w:szCs w:val="16"/>
        </w:rPr>
        <w:softHyphen/>
        <w:t>ющему МСДВ, руководил помощ</w:t>
      </w:r>
      <w:r w:rsidRPr="00E93F40">
        <w:rPr>
          <w:rFonts w:ascii="Times New Roman" w:hAnsi="Times New Roman"/>
          <w:color w:val="000000" w:themeColor="text1"/>
          <w:sz w:val="16"/>
          <w:szCs w:val="16"/>
        </w:rPr>
        <w:softHyphen/>
        <w:t>ник командующего Отдельной Краснознаменной Дальневосточ</w:t>
      </w:r>
      <w:r w:rsidRPr="00E93F40">
        <w:rPr>
          <w:rFonts w:ascii="Times New Roman" w:hAnsi="Times New Roman"/>
          <w:color w:val="000000" w:themeColor="text1"/>
          <w:sz w:val="16"/>
          <w:szCs w:val="16"/>
        </w:rPr>
        <w:softHyphen/>
        <w:t>ной армией по военно-воздушным силам. В состав авиации МСДВ вошла 19-я тяжелая бомбардиро</w:t>
      </w:r>
      <w:r w:rsidRPr="00E93F40">
        <w:rPr>
          <w:rFonts w:ascii="Times New Roman" w:hAnsi="Times New Roman"/>
          <w:color w:val="000000" w:themeColor="text1"/>
          <w:sz w:val="16"/>
          <w:szCs w:val="16"/>
        </w:rPr>
        <w:softHyphen/>
        <w:t>вочная авиабригада (командир — комбриг Добрележ), переименован</w:t>
      </w:r>
      <w:r w:rsidRPr="00E93F40">
        <w:rPr>
          <w:rFonts w:ascii="Times New Roman" w:hAnsi="Times New Roman"/>
          <w:color w:val="000000" w:themeColor="text1"/>
          <w:sz w:val="16"/>
          <w:szCs w:val="16"/>
        </w:rPr>
        <w:softHyphen/>
        <w:t>ная в марте 1933 г. в 28 тбаб. С аэродрома в Хабаровске она в апреле перебазировалась в При</w:t>
      </w:r>
      <w:r w:rsidRPr="00E93F40">
        <w:rPr>
          <w:rFonts w:ascii="Times New Roman" w:hAnsi="Times New Roman"/>
          <w:color w:val="000000" w:themeColor="text1"/>
          <w:sz w:val="16"/>
          <w:szCs w:val="16"/>
        </w:rPr>
        <w:softHyphen/>
        <w:t>морье. Три эскадрильи бригады: 55-я; 109-я и 110-я тбаэ, переименован</w:t>
      </w:r>
      <w:r w:rsidRPr="00E93F40">
        <w:rPr>
          <w:rFonts w:ascii="Times New Roman" w:hAnsi="Times New Roman"/>
          <w:color w:val="000000" w:themeColor="text1"/>
          <w:sz w:val="16"/>
          <w:szCs w:val="16"/>
        </w:rPr>
        <w:softHyphen/>
        <w:t>ные в 78-ю; 79-ю и 110-ю, обосно</w:t>
      </w:r>
      <w:r w:rsidRPr="00E93F40">
        <w:rPr>
          <w:rFonts w:ascii="Times New Roman" w:hAnsi="Times New Roman"/>
          <w:color w:val="000000" w:themeColor="text1"/>
          <w:sz w:val="16"/>
          <w:szCs w:val="16"/>
        </w:rPr>
        <w:softHyphen/>
        <w:t>вались на аэродроме Воздвижен</w:t>
      </w:r>
      <w:r w:rsidRPr="00E93F40">
        <w:rPr>
          <w:rFonts w:ascii="Times New Roman" w:hAnsi="Times New Roman"/>
          <w:color w:val="000000" w:themeColor="text1"/>
          <w:sz w:val="16"/>
          <w:szCs w:val="16"/>
        </w:rPr>
        <w:softHyphen/>
        <w:t>ка. 111-я тбаэ перебазировалась на аэродром Разъезд Дубинский, а 107-я эскадрилья, переименованная в 112-ю расположилась на аэро</w:t>
      </w:r>
      <w:r w:rsidRPr="00E93F40">
        <w:rPr>
          <w:rFonts w:ascii="Times New Roman" w:hAnsi="Times New Roman"/>
          <w:color w:val="000000" w:themeColor="text1"/>
          <w:sz w:val="16"/>
          <w:szCs w:val="16"/>
        </w:rPr>
        <w:softHyphen/>
        <w:t>дроме Михайловка.</w:t>
      </w:r>
    </w:p>
    <w:p w14:paraId="0142A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Европейской части СССР прибыли несколько подразделений: 28-я иаэ с дислокацией в Воздви</w:t>
      </w:r>
      <w:r w:rsidRPr="00E93F40">
        <w:rPr>
          <w:rFonts w:ascii="Times New Roman" w:hAnsi="Times New Roman"/>
          <w:color w:val="000000" w:themeColor="text1"/>
          <w:sz w:val="16"/>
          <w:szCs w:val="16"/>
        </w:rPr>
        <w:softHyphen/>
        <w:t>женке; 55-й и 65-й омрао - на базе Океанская, 8-я мдраэ - Петропав</w:t>
      </w:r>
      <w:r w:rsidRPr="00E93F40">
        <w:rPr>
          <w:rFonts w:ascii="Times New Roman" w:hAnsi="Times New Roman"/>
          <w:color w:val="000000" w:themeColor="text1"/>
          <w:sz w:val="16"/>
          <w:szCs w:val="16"/>
        </w:rPr>
        <w:softHyphen/>
        <w:t>ловск-Камчатский. В Воздвиженке также обосновались 28-я ШМАС и 28-я авиарота связи.</w:t>
      </w:r>
    </w:p>
    <w:p w14:paraId="74DC9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мая 1933 г. ввели должность помощника командующего МСДВ по ВВС, на которую назначили ком- кора Л.И.Никифорова. Ему переда</w:t>
      </w:r>
      <w:r w:rsidRPr="00E93F40">
        <w:rPr>
          <w:rFonts w:ascii="Times New Roman" w:hAnsi="Times New Roman"/>
          <w:color w:val="000000" w:themeColor="text1"/>
          <w:sz w:val="16"/>
          <w:szCs w:val="16"/>
        </w:rPr>
        <w:softHyphen/>
        <w:t>ли в подчинение все объединения и части ВВС МСДВ, а в октябре сфор</w:t>
      </w:r>
      <w:r w:rsidRPr="00E93F40">
        <w:rPr>
          <w:rFonts w:ascii="Times New Roman" w:hAnsi="Times New Roman"/>
          <w:color w:val="000000" w:themeColor="text1"/>
          <w:sz w:val="16"/>
          <w:szCs w:val="16"/>
        </w:rPr>
        <w:softHyphen/>
        <w:t>мировали Управление и штаб ВВС МСДВ, которые в июне 1935 г. пе</w:t>
      </w:r>
      <w:r w:rsidRPr="00E93F40">
        <w:rPr>
          <w:rFonts w:ascii="Times New Roman" w:hAnsi="Times New Roman"/>
          <w:color w:val="000000" w:themeColor="text1"/>
          <w:sz w:val="16"/>
          <w:szCs w:val="16"/>
        </w:rPr>
        <w:softHyphen/>
        <w:t>реименовали в Управление ВВС ТОФ (12084).</w:t>
      </w:r>
    </w:p>
    <w:p w14:paraId="4D211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5A58DC"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октябре 1932 г. среди планов десантов на разных театрах боевых действий, в которых скрупулезно подсчитывая необходимое количество людей, пулеметов и пушек, снарядов и патронов, вплоть до буханок хлеба и банок тушенки, был разработан для действий против Польши, которая тогда считалась одним из главных противников. Захватить мосты через Вислу на направлении главного удара должен был воздушный десант. </w:t>
      </w:r>
    </w:p>
    <w:p w14:paraId="040FE03E"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предполагалось начать со сброса парашютистов. Около 100 человек с пулеметами приземляются на западном берегу, уничтожают охрану мостов и занимают оборону на подступах к ним, а также вокруг площадок, намеченных для высадки посадочного десанта. Затем садятся самолеты с основной массой людей и техники. В общем счете для операции выделяли 300-350 человек пехоты, усиленную пулеметную роту, два-три взвода легких </w:t>
      </w:r>
      <w:hyperlink r:id="rId257"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ов, столько же </w:t>
      </w:r>
      <w:hyperlink r:id="rId258"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еток, дивизион батальонной артиллерии, дивизион 76-мм пушек, подразделения связи, ПВО и саперов. Для того чтобы все это доставить, требовалось ни много ни мало — 100-150 ТБ-3 или вдесятеро меньшее количество огромных Г-1 (которые в конце концов так и не появились). Десант должен был удерживать мосты до подхода авангарда механизированных и танковых частей.</w:t>
      </w:r>
    </w:p>
    <w:p w14:paraId="701A68C9"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Планировались и более крупные операции, в которых собирались задействовать силы, способные разбить пехотную дивизию. Чтобы выгрузить их на польской территории, 45 самолетов Г-1 должны были сделать по два рейса. А если использовать ТБ-3, то их для этого пришлось бы собирать по всей стране, от западных границ до Дальнего Востока.</w:t>
      </w:r>
    </w:p>
    <w:p w14:paraId="4032E50D"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Интересны планы уничтожения финских береговых батарей на побережье Балтийского моря. Сначала авиация должна была заставить солдат противника уйти в укрытия. Затем им на головы обрушивался парашютный десант. Дальше рассматривались два варианта. В первом парашютисты должны были заблокировать артиллеристов в их убежищах, пока корабли расстреляют молчащую батарею. Вопроса "а что же будет при обстреле с самими десантниками, находящимися вне укрытий?" почему-то ни у кого не возникло. По второму сценарию с десантом прибывали подрывники, уничтожавшие орудия и их расчеты в укрытиях. Во втором варианте явно прослеживается параллель с организацией весьма успешного немецкого десанта на бельгийский форт Эбен-Эмаель в мае 1940 г. (25356).</w:t>
      </w:r>
    </w:p>
    <w:p w14:paraId="7B89EB47" w14:textId="77777777" w:rsidR="00E8111E" w:rsidRPr="00142305" w:rsidRDefault="00E8111E" w:rsidP="00E8111E">
      <w:pPr>
        <w:spacing w:after="0" w:line="240" w:lineRule="auto"/>
        <w:jc w:val="both"/>
        <w:rPr>
          <w:rFonts w:ascii="Times New Roman" w:hAnsi="Times New Roman"/>
          <w:color w:val="0070C0"/>
          <w:sz w:val="16"/>
          <w:szCs w:val="16"/>
        </w:rPr>
      </w:pPr>
    </w:p>
    <w:p w14:paraId="09726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был разработан план десанта в Польшу.</w:t>
      </w:r>
    </w:p>
    <w:p w14:paraId="052CD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Воздушно-десантные войска только создавались, а в штабах уже думали о том, как реализовать ее возможности в будущих войнах. В частности, писали сценарии десантов на разных театрах боевых действий, скрупулезно подсчитывая количество доставляемых людей, пулеметов и пушек, снарядов и патронов, вплоть до буханок хлеба и банок тушенки.</w:t>
      </w:r>
    </w:p>
    <w:p w14:paraId="243090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Тогда одним из основных противников считалась Польша. Захватить мосты через Вислу на направлении главного удара должен был воздушный десант.</w:t>
      </w:r>
    </w:p>
    <w:p w14:paraId="7620B8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должно было начинаться со сброса парашютистов. Около 100 человек с пулеметами приземляются на западном берегу, уничтожают охрану мостов и занимают оборону на подступах к переправам и вокруг площадок, намеченных для высадки посадочного десанта. Затем начинается посадка самолетов с основной массой людей и техники. В общей сложности в операции участвовали 300 - 350 человек пехоты, усиленная пулеметная рота, два-три взвода легких танков, столько же танкеток, дивизион батальонной артиллерии, дивизион 76-мм пушек, подразделения связи, ПВО и саперов. Для того чтобы все это доставить, требовалось 100 - 150 ТБ-3 или вдесятеро меньшее количество огромных Г-1. Десант должен был удерживать мосты до подхода авангарда механизированных и танковых частей.</w:t>
      </w:r>
    </w:p>
    <w:p w14:paraId="605E74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Планировались и более крупные операции, в которых собирались задействовать силы, способные разбить пехотную дивизию. Чтобы выгрузить их на польской территории, 45 самолетов Г-1 должны были сделать по два рейса. Машин поменьше вместо них потребовалось бы намного больше. ТБ-3 для этого пришлось бы собирать по всей стране, от западных границ до Дальнего Востока (12036).</w:t>
      </w:r>
    </w:p>
    <w:p w14:paraId="229CBF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6AA6F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895580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5F0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Нижний Новгород переименовали в Горький (2344,17).</w:t>
      </w:r>
    </w:p>
    <w:p w14:paraId="7D3A3A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D27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года Нижний Новгород переименовали в Горький. Изменил название и автозавод (9649).</w:t>
      </w:r>
    </w:p>
    <w:p w14:paraId="4D840C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E0D3C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5288EF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6A0462" w14:textId="77777777" w:rsidR="00594A55" w:rsidRPr="00E93F40" w:rsidRDefault="00594A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1932-го подняли и отремонтировали Late 300 фирмы «Латекоер», затонувший в 1931 в одном из првых полетов. Испытания продолжились и шли учпешно. Эффектным завершением программы испытаний стал рекордный перелет Марсель — Сен-Луис (Сене</w:t>
      </w:r>
      <w:r w:rsidRPr="00E93F40">
        <w:rPr>
          <w:rFonts w:ascii="Times New Roman" w:hAnsi="Times New Roman"/>
          <w:color w:val="000000" w:themeColor="text1"/>
          <w:sz w:val="16"/>
          <w:szCs w:val="16"/>
        </w:rPr>
        <w:softHyphen/>
        <w:t>гал) протяженностью 3679 км. Машину, названную «Южный Крест», передали авиакомпании «Эр Франс», под флагом которой она начала успешные полеты в Африку и Латинскую Америку. Все шло хорошо, однако 7 декабря 1936 года «Южный Крест», совершавший под ко</w:t>
      </w:r>
      <w:r w:rsidRPr="00E93F40">
        <w:rPr>
          <w:rFonts w:ascii="Times New Roman" w:hAnsi="Times New Roman"/>
          <w:color w:val="000000" w:themeColor="text1"/>
          <w:sz w:val="16"/>
          <w:szCs w:val="16"/>
        </w:rPr>
        <w:softHyphen/>
        <w:t>мандованием Мермоза очередной рейс через Южную Атлантику, пропал без вести. Экипаж не был найден...(22803).</w:t>
      </w:r>
    </w:p>
    <w:p w14:paraId="4836FB7E" w14:textId="77777777" w:rsidR="00594A55" w:rsidRPr="00E93F40" w:rsidRDefault="00594A55" w:rsidP="00E93F40">
      <w:pPr>
        <w:spacing w:after="0" w:line="240" w:lineRule="auto"/>
        <w:jc w:val="both"/>
        <w:rPr>
          <w:rFonts w:ascii="Times New Roman" w:hAnsi="Times New Roman"/>
          <w:color w:val="000000" w:themeColor="text1"/>
          <w:sz w:val="16"/>
          <w:szCs w:val="16"/>
        </w:rPr>
      </w:pPr>
    </w:p>
    <w:p w14:paraId="24AC5BDC" w14:textId="77777777" w:rsidR="00291D62" w:rsidRPr="00E93F40" w:rsidRDefault="00291D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в министерстве рейхсве</w:t>
      </w:r>
      <w:r w:rsidRPr="00E93F40">
        <w:rPr>
          <w:rFonts w:ascii="Times New Roman" w:hAnsi="Times New Roman"/>
          <w:color w:val="000000" w:themeColor="text1"/>
          <w:sz w:val="16"/>
          <w:szCs w:val="16"/>
        </w:rPr>
        <w:softHyphen/>
        <w:t>ра обсуждался план развития воздушных сил Германии на период 1933—1937 гг. В этот план был включен т.н. «вооруженный самолет II» (Rustungflegzeug II) — одномо</w:t>
      </w:r>
      <w:r w:rsidRPr="00E93F40">
        <w:rPr>
          <w:rFonts w:ascii="Times New Roman" w:hAnsi="Times New Roman"/>
          <w:color w:val="000000" w:themeColor="text1"/>
          <w:sz w:val="16"/>
          <w:szCs w:val="16"/>
        </w:rPr>
        <w:softHyphen/>
        <w:t>торный двухместный боевой самолет, способный выполнять задачи истребителя сопровождения, разведчика и легкого бомбардировщика. По сути, речь шла о создании на новом техническом уровне самолета, соответствующего классу CI. Но дальше планов дело не пошло — после прихода к власти нацистов стало ясно, что требуется принципиально иная машина, более полно отвечающая наступательно</w:t>
      </w:r>
      <w:r w:rsidRPr="00E93F40">
        <w:rPr>
          <w:rFonts w:ascii="Times New Roman" w:hAnsi="Times New Roman"/>
          <w:color w:val="000000" w:themeColor="text1"/>
          <w:sz w:val="16"/>
          <w:szCs w:val="16"/>
        </w:rPr>
        <w:softHyphen/>
        <w:t>му характеру применения будущих люфт</w:t>
      </w:r>
      <w:r w:rsidRPr="00E93F40">
        <w:rPr>
          <w:rFonts w:ascii="Times New Roman" w:hAnsi="Times New Roman"/>
          <w:color w:val="000000" w:themeColor="text1"/>
          <w:sz w:val="16"/>
          <w:szCs w:val="16"/>
        </w:rPr>
        <w:softHyphen/>
        <w:t>ваффе. В то время умы военных занимала доктрина Дуэ, отводящая авиации роль самостоятельной силы, способной обес</w:t>
      </w:r>
      <w:r w:rsidRPr="00E93F40">
        <w:rPr>
          <w:rFonts w:ascii="Times New Roman" w:hAnsi="Times New Roman"/>
          <w:color w:val="000000" w:themeColor="text1"/>
          <w:sz w:val="16"/>
          <w:szCs w:val="16"/>
        </w:rPr>
        <w:softHyphen/>
        <w:t>печить победу в будущей войне. Главным компонентом воздушной мощи считались тяжелые бомбардировщики, а их действия должны были обеспечивать более легкие двухмоторные машины. То есть требовал</w:t>
      </w:r>
      <w:r w:rsidRPr="00E93F40">
        <w:rPr>
          <w:rFonts w:ascii="Times New Roman" w:hAnsi="Times New Roman"/>
          <w:color w:val="000000" w:themeColor="text1"/>
          <w:sz w:val="16"/>
          <w:szCs w:val="16"/>
        </w:rPr>
        <w:softHyphen/>
        <w:t>ся аналог уже не самолета класса CI, а скорее класса GI (24191).</w:t>
      </w:r>
    </w:p>
    <w:p w14:paraId="034CD23B" w14:textId="77777777" w:rsidR="00291D62" w:rsidRPr="00E93F40" w:rsidRDefault="00291D62" w:rsidP="00E93F40">
      <w:pPr>
        <w:spacing w:after="0" w:line="240" w:lineRule="auto"/>
        <w:jc w:val="both"/>
        <w:rPr>
          <w:rFonts w:ascii="Times New Roman" w:hAnsi="Times New Roman"/>
          <w:color w:val="000000" w:themeColor="text1"/>
          <w:sz w:val="16"/>
          <w:szCs w:val="16"/>
        </w:rPr>
      </w:pPr>
    </w:p>
    <w:p w14:paraId="43E8AA9D"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октябре 1932 г. английское министерство авиации сформулировало технические требования </w:t>
      </w:r>
      <w:r w:rsidRPr="00142305">
        <w:rPr>
          <w:rStyle w:val="aff"/>
          <w:rFonts w:ascii="Times New Roman" w:hAnsi="Times New Roman" w:cs="Times New Roman"/>
          <w:color w:val="0070C0"/>
          <w:spacing w:val="0"/>
          <w:sz w:val="16"/>
          <w:szCs w:val="16"/>
          <w:lang w:val="en-US"/>
        </w:rPr>
        <w:t>B</w:t>
      </w:r>
      <w:r w:rsidRPr="00142305">
        <w:rPr>
          <w:rStyle w:val="aff"/>
          <w:rFonts w:ascii="Times New Roman" w:hAnsi="Times New Roman" w:cs="Times New Roman"/>
          <w:color w:val="0070C0"/>
          <w:spacing w:val="0"/>
          <w:sz w:val="16"/>
          <w:szCs w:val="16"/>
        </w:rPr>
        <w:t>.9/32 к перспективному двухмоторному среднему бомбардировщику. Именно на них опирались разработчики двух массовых бомбовозов, опреде</w:t>
      </w:r>
      <w:r w:rsidRPr="00142305">
        <w:rPr>
          <w:rStyle w:val="aff"/>
          <w:rFonts w:ascii="Times New Roman" w:hAnsi="Times New Roman" w:cs="Times New Roman"/>
          <w:color w:val="0070C0"/>
          <w:spacing w:val="0"/>
          <w:sz w:val="16"/>
          <w:szCs w:val="16"/>
        </w:rPr>
        <w:softHyphen/>
        <w:t xml:space="preserve">ливших лицо Королевских ВВС на протяжении первых трех лет Второй мировой войны: </w:t>
      </w:r>
      <w:r w:rsidRPr="00142305">
        <w:rPr>
          <w:rStyle w:val="aff"/>
          <w:rFonts w:ascii="Times New Roman" w:hAnsi="Times New Roman" w:cs="Times New Roman"/>
          <w:color w:val="0070C0"/>
          <w:spacing w:val="0"/>
          <w:sz w:val="16"/>
          <w:szCs w:val="16"/>
          <w:lang w:val="en-US"/>
        </w:rPr>
        <w:t>Vickers</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Wellington</w:t>
      </w:r>
      <w:r w:rsidRPr="00142305">
        <w:rPr>
          <w:rStyle w:val="aff"/>
          <w:rFonts w:ascii="Times New Roman" w:hAnsi="Times New Roman" w:cs="Times New Roman"/>
          <w:color w:val="0070C0"/>
          <w:spacing w:val="0"/>
          <w:sz w:val="16"/>
          <w:szCs w:val="16"/>
        </w:rPr>
        <w:t xml:space="preserve"> (построено 11 461 машина) и </w:t>
      </w:r>
      <w:r w:rsidRPr="00142305">
        <w:rPr>
          <w:rStyle w:val="aff"/>
          <w:rFonts w:ascii="Times New Roman" w:hAnsi="Times New Roman" w:cs="Times New Roman"/>
          <w:color w:val="0070C0"/>
          <w:spacing w:val="0"/>
          <w:sz w:val="16"/>
          <w:szCs w:val="16"/>
          <w:lang w:val="en-US"/>
        </w:rPr>
        <w:t>Handley</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Page</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Hampden</w:t>
      </w:r>
      <w:r w:rsidRPr="00142305">
        <w:rPr>
          <w:rStyle w:val="aff"/>
          <w:rFonts w:ascii="Times New Roman" w:hAnsi="Times New Roman" w:cs="Times New Roman"/>
          <w:color w:val="0070C0"/>
          <w:spacing w:val="0"/>
          <w:sz w:val="16"/>
          <w:szCs w:val="16"/>
        </w:rPr>
        <w:t xml:space="preserve"> (построено 1432 машин). По техническим требованиям В.4/34 фирма </w:t>
      </w:r>
      <w:r w:rsidRPr="00142305">
        <w:rPr>
          <w:rStyle w:val="aff"/>
          <w:rFonts w:ascii="Times New Roman" w:hAnsi="Times New Roman" w:cs="Times New Roman"/>
          <w:color w:val="0070C0"/>
          <w:spacing w:val="0"/>
          <w:sz w:val="16"/>
          <w:szCs w:val="16"/>
          <w:lang w:val="en-US"/>
        </w:rPr>
        <w:t>Armstrong</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Whitworth</w:t>
      </w:r>
      <w:r w:rsidRPr="00142305">
        <w:rPr>
          <w:rStyle w:val="aff"/>
          <w:rFonts w:ascii="Times New Roman" w:hAnsi="Times New Roman" w:cs="Times New Roman"/>
          <w:color w:val="0070C0"/>
          <w:spacing w:val="0"/>
          <w:sz w:val="16"/>
          <w:szCs w:val="16"/>
        </w:rPr>
        <w:t xml:space="preserve"> «выдала» довольно причудливый бомбардировщик </w:t>
      </w:r>
      <w:r w:rsidRPr="00142305">
        <w:rPr>
          <w:rStyle w:val="aff"/>
          <w:rFonts w:ascii="Times New Roman" w:hAnsi="Times New Roman" w:cs="Times New Roman"/>
          <w:color w:val="0070C0"/>
          <w:spacing w:val="0"/>
          <w:sz w:val="16"/>
          <w:szCs w:val="16"/>
          <w:lang w:val="en-US"/>
        </w:rPr>
        <w:t>Whitley</w:t>
      </w:r>
      <w:r w:rsidRPr="00142305">
        <w:rPr>
          <w:rStyle w:val="aff"/>
          <w:rFonts w:ascii="Times New Roman" w:hAnsi="Times New Roman" w:cs="Times New Roman"/>
          <w:color w:val="0070C0"/>
          <w:spacing w:val="0"/>
          <w:sz w:val="16"/>
          <w:szCs w:val="16"/>
        </w:rPr>
        <w:t xml:space="preserve">, самый крупный в семействе двухмоторников (построено 1812 самолетов), а фирма </w:t>
      </w:r>
      <w:r w:rsidRPr="00142305">
        <w:rPr>
          <w:rStyle w:val="aff"/>
          <w:rFonts w:ascii="Times New Roman" w:hAnsi="Times New Roman" w:cs="Times New Roman"/>
          <w:color w:val="0070C0"/>
          <w:spacing w:val="0"/>
          <w:sz w:val="16"/>
          <w:szCs w:val="16"/>
          <w:lang w:val="en-US"/>
        </w:rPr>
        <w:t>Bristol</w:t>
      </w:r>
      <w:r w:rsidRPr="00142305">
        <w:rPr>
          <w:rStyle w:val="aff"/>
          <w:rFonts w:ascii="Times New Roman" w:hAnsi="Times New Roman" w:cs="Times New Roman"/>
          <w:color w:val="0070C0"/>
          <w:spacing w:val="0"/>
          <w:sz w:val="16"/>
          <w:szCs w:val="16"/>
        </w:rPr>
        <w:t xml:space="preserve"> разра</w:t>
      </w:r>
      <w:r w:rsidRPr="00142305">
        <w:rPr>
          <w:rStyle w:val="aff"/>
          <w:rFonts w:ascii="Times New Roman" w:hAnsi="Times New Roman" w:cs="Times New Roman"/>
          <w:color w:val="0070C0"/>
          <w:spacing w:val="0"/>
          <w:sz w:val="16"/>
          <w:szCs w:val="16"/>
        </w:rPr>
        <w:softHyphen/>
        <w:t xml:space="preserve">ботала инициативный, без формального задания от министерства авиации, а оттого самый маленький по массе и габаритам, но зато высокоскоростной по тогдашним меркам самолет </w:t>
      </w:r>
      <w:r w:rsidRPr="00142305">
        <w:rPr>
          <w:rStyle w:val="aff"/>
          <w:rFonts w:ascii="Times New Roman" w:hAnsi="Times New Roman" w:cs="Times New Roman"/>
          <w:color w:val="0070C0"/>
          <w:spacing w:val="0"/>
          <w:sz w:val="16"/>
          <w:szCs w:val="16"/>
          <w:lang w:val="en-US"/>
        </w:rPr>
        <w:t>Blenheim</w:t>
      </w:r>
      <w:r w:rsidRPr="00142305">
        <w:rPr>
          <w:rStyle w:val="aff"/>
          <w:rFonts w:ascii="Times New Roman" w:hAnsi="Times New Roman" w:cs="Times New Roman"/>
          <w:color w:val="0070C0"/>
          <w:spacing w:val="0"/>
          <w:sz w:val="16"/>
          <w:szCs w:val="16"/>
        </w:rPr>
        <w:t xml:space="preserve"> (построено 5774 машины). Все четыре двухмоторных бомбар</w:t>
      </w:r>
      <w:r w:rsidRPr="00142305">
        <w:rPr>
          <w:rStyle w:val="aff"/>
          <w:rFonts w:ascii="Times New Roman" w:hAnsi="Times New Roman" w:cs="Times New Roman"/>
          <w:color w:val="0070C0"/>
          <w:spacing w:val="0"/>
          <w:sz w:val="16"/>
          <w:szCs w:val="16"/>
        </w:rPr>
        <w:softHyphen/>
        <w:t xml:space="preserve">дировщика плюс легкий одномоторный </w:t>
      </w:r>
      <w:r w:rsidRPr="00142305">
        <w:rPr>
          <w:rStyle w:val="aff"/>
          <w:rFonts w:ascii="Times New Roman" w:hAnsi="Times New Roman" w:cs="Times New Roman"/>
          <w:color w:val="0070C0"/>
          <w:spacing w:val="0"/>
          <w:sz w:val="16"/>
          <w:szCs w:val="16"/>
          <w:lang w:val="en-US"/>
        </w:rPr>
        <w:t>Fairy</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Battle</w:t>
      </w:r>
      <w:r w:rsidRPr="00142305">
        <w:rPr>
          <w:rStyle w:val="aff"/>
          <w:rFonts w:ascii="Times New Roman" w:hAnsi="Times New Roman" w:cs="Times New Roman"/>
          <w:color w:val="0070C0"/>
          <w:spacing w:val="0"/>
          <w:sz w:val="16"/>
          <w:szCs w:val="16"/>
        </w:rPr>
        <w:t xml:space="preserve"> (2419 экземпляр), принятые на вооружение во второй половине тридцатых годов минувшего столетия, вскоре стремительно устарели – подобно совет</w:t>
      </w:r>
      <w:r w:rsidRPr="00142305">
        <w:rPr>
          <w:rStyle w:val="aff"/>
          <w:rFonts w:ascii="Times New Roman" w:hAnsi="Times New Roman" w:cs="Times New Roman"/>
          <w:color w:val="0070C0"/>
          <w:spacing w:val="0"/>
          <w:sz w:val="16"/>
          <w:szCs w:val="16"/>
        </w:rPr>
        <w:softHyphen/>
        <w:t xml:space="preserve">скому СБ, германскому </w:t>
      </w:r>
      <w:r w:rsidRPr="00142305">
        <w:rPr>
          <w:rStyle w:val="aff"/>
          <w:rFonts w:ascii="Times New Roman" w:hAnsi="Times New Roman" w:cs="Times New Roman"/>
          <w:color w:val="0070C0"/>
          <w:spacing w:val="0"/>
          <w:sz w:val="16"/>
          <w:szCs w:val="16"/>
          <w:lang w:val="en-US"/>
        </w:rPr>
        <w:t>Do</w:t>
      </w:r>
      <w:r w:rsidRPr="00142305">
        <w:rPr>
          <w:rStyle w:val="aff"/>
          <w:rFonts w:ascii="Times New Roman" w:hAnsi="Times New Roman" w:cs="Times New Roman"/>
          <w:color w:val="0070C0"/>
          <w:spacing w:val="0"/>
          <w:sz w:val="16"/>
          <w:szCs w:val="16"/>
        </w:rPr>
        <w:t xml:space="preserve"> 17, американскому В-18 и целому семейству французских одноклассников (25712).</w:t>
      </w:r>
    </w:p>
    <w:p w14:paraId="4FE61CA8" w14:textId="77777777" w:rsidR="00E8111E" w:rsidRPr="00142305" w:rsidRDefault="00E8111E" w:rsidP="00E8111E">
      <w:pPr>
        <w:spacing w:after="0" w:line="240" w:lineRule="auto"/>
        <w:jc w:val="both"/>
        <w:rPr>
          <w:rFonts w:ascii="Times New Roman" w:hAnsi="Times New Roman"/>
          <w:color w:val="0070C0"/>
          <w:sz w:val="16"/>
          <w:szCs w:val="16"/>
        </w:rPr>
      </w:pPr>
    </w:p>
    <w:p w14:paraId="3529C39A" w14:textId="77777777" w:rsidR="00291D62" w:rsidRPr="00E93F40" w:rsidRDefault="00291D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Вальтер Дорнбер</w:t>
      </w:r>
      <w:r w:rsidRPr="00E93F40">
        <w:rPr>
          <w:rFonts w:ascii="Times New Roman" w:hAnsi="Times New Roman"/>
          <w:color w:val="000000" w:themeColor="text1"/>
          <w:sz w:val="16"/>
          <w:szCs w:val="16"/>
        </w:rPr>
        <w:softHyphen/>
        <w:t>гер, который создал при отделе баллистики и боеприпасов Управления во</w:t>
      </w:r>
      <w:r w:rsidRPr="00E93F40">
        <w:rPr>
          <w:rFonts w:ascii="Times New Roman" w:hAnsi="Times New Roman"/>
          <w:color w:val="000000" w:themeColor="text1"/>
          <w:sz w:val="16"/>
          <w:szCs w:val="16"/>
        </w:rPr>
        <w:softHyphen/>
        <w:t>оружений и возглавил группу из нескольких сотрудников, на ко</w:t>
      </w:r>
      <w:r w:rsidRPr="00E93F40">
        <w:rPr>
          <w:rFonts w:ascii="Times New Roman" w:hAnsi="Times New Roman"/>
          <w:color w:val="000000" w:themeColor="text1"/>
          <w:sz w:val="16"/>
          <w:szCs w:val="16"/>
        </w:rPr>
        <w:softHyphen/>
        <w:t>торую были возложены исследо</w:t>
      </w:r>
      <w:r w:rsidRPr="00E93F40">
        <w:rPr>
          <w:rFonts w:ascii="Times New Roman" w:hAnsi="Times New Roman"/>
          <w:color w:val="000000" w:themeColor="text1"/>
          <w:sz w:val="16"/>
          <w:szCs w:val="16"/>
        </w:rPr>
        <w:softHyphen/>
        <w:t>вания ЖРД, переманил к себе из Рейникендорфа студента-физика Вернера фон Брауна, деятельность кото</w:t>
      </w:r>
      <w:r w:rsidRPr="00E93F40">
        <w:rPr>
          <w:rFonts w:ascii="Times New Roman" w:hAnsi="Times New Roman"/>
          <w:color w:val="000000" w:themeColor="text1"/>
          <w:sz w:val="16"/>
          <w:szCs w:val="16"/>
        </w:rPr>
        <w:softHyphen/>
        <w:t>рого высоко ценил. Фон Браун, которому тогда только что испол</w:t>
      </w:r>
      <w:r w:rsidRPr="00E93F40">
        <w:rPr>
          <w:rFonts w:ascii="Times New Roman" w:hAnsi="Times New Roman"/>
          <w:color w:val="000000" w:themeColor="text1"/>
          <w:sz w:val="16"/>
          <w:szCs w:val="16"/>
        </w:rPr>
        <w:softHyphen/>
        <w:t>нилось 20 лет, был представлен полковнику Беккеру, тот предложил сотрудничество. Позже он оправдывал свой шаг так: «Только финансирование со стороны Армии и военные заводы были единственной возможностью на пути к космическим полетам» (23488).</w:t>
      </w:r>
    </w:p>
    <w:p w14:paraId="1E41BE32" w14:textId="77777777" w:rsidR="00291D62" w:rsidRPr="00E93F40" w:rsidRDefault="00291D62" w:rsidP="00E93F40">
      <w:pPr>
        <w:spacing w:after="0" w:line="240" w:lineRule="auto"/>
        <w:jc w:val="both"/>
        <w:rPr>
          <w:rFonts w:ascii="Times New Roman" w:hAnsi="Times New Roman"/>
          <w:color w:val="000000" w:themeColor="text1"/>
          <w:sz w:val="16"/>
          <w:szCs w:val="16"/>
        </w:rPr>
      </w:pPr>
    </w:p>
    <w:p w14:paraId="5001A3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Вернер фон Браун пришел работать в только что созданную экспериментальную лабораторию по практическому созданию ЖРД для баллистических ракет (2489,16).</w:t>
      </w:r>
    </w:p>
    <w:p w14:paraId="69EE0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88386B" w14:textId="71035C3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октябре 1932 В. фон Браун - 20 </w:t>
      </w:r>
      <w:r w:rsidR="00E8111E">
        <w:rPr>
          <w:rFonts w:ascii="Times New Roman" w:hAnsi="Times New Roman"/>
          <w:color w:val="000000" w:themeColor="text1"/>
          <w:sz w:val="16"/>
          <w:szCs w:val="16"/>
        </w:rPr>
        <w:t>л</w:t>
      </w:r>
      <w:r w:rsidRPr="00E93F40">
        <w:rPr>
          <w:rFonts w:ascii="Times New Roman" w:hAnsi="Times New Roman"/>
          <w:color w:val="000000" w:themeColor="text1"/>
          <w:sz w:val="16"/>
          <w:szCs w:val="16"/>
        </w:rPr>
        <w:t>етний студент - пришел работать в экспериментальную лабораторию В.Дорнберга (1071,14).</w:t>
      </w:r>
    </w:p>
    <w:p w14:paraId="63E95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FEA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О.Мосли создал Британский союз фашистов и летом 1936 переименовал в союз национал-социалистов (3907,174).</w:t>
      </w:r>
    </w:p>
    <w:p w14:paraId="66DF9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F37E6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D45024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75DF05" w14:textId="77777777" w:rsidR="00575CA3" w:rsidRPr="00E93F40" w:rsidRDefault="00575CA3"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В октябре-ноябре 1932 после устранения дефектов начались летные испытания АИР-6. Программу их окончательно утвердили «задним числом» уже в декабре. Предусматривалось определение максимальной, крейсерской и минимальной скоростей на высоте 100 м, скороподъемности, практического потолка, разбега на взлете и пробега на посадке. Маневренность собирались оценивать по времени выполнения виражей и восьмерок на 800 м.</w:t>
      </w:r>
    </w:p>
    <w:p w14:paraId="53F9B2AF" w14:textId="77777777" w:rsidR="00575CA3" w:rsidRPr="00E93F40" w:rsidRDefault="00575CA3"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Летал на АИР-6 снова Ю.И. Пионтковский. Максимальную скорость сначала определяли по приборам, пересчитывая к нормальным условиям. Получилось около 170 км/ч. Затем дважды провели замеры на двухкилометровой дистанции в Химках. Там добились максимальной скорости 165,6 км/ч. Предполагали, что смогут «выжать» больше, до 175 км/ч, но никак не могли вывести мотор на максимальные обороты. Но и полученный результат превышал цифру, записанную в задании - 160 км/ч.</w:t>
      </w:r>
    </w:p>
    <w:p w14:paraId="2D48C4AF" w14:textId="77777777" w:rsidR="00575CA3" w:rsidRPr="00E93F40" w:rsidRDefault="00575CA3"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Крейсерскую скорость определяли в процессе двух полетов по треугольному маршруту Москва - Подольск - мост через Пахру-Москва. Насчитали 155 км/ч, но обороты двигателя на этот раз оказались завышенными по отношению к режиму, записанному в его формуляре. Посадочная скорость в момент касания земли равнялась 60 км/ч, что соответствовало требованиям.</w:t>
      </w:r>
    </w:p>
    <w:p w14:paraId="5BAE30A2" w14:textId="77777777" w:rsidR="00575CA3" w:rsidRPr="00E93F40" w:rsidRDefault="00575CA3"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На 1000 м АИР-6 поднимался за 6 мин 9 с, на 3000 м - за 29 мин 56 с. До потолка добраться не удалось, подъем прекратили на 4490 м «из-за плохих атмосферных условий», как записали в отчете. На эту высоту Пионтковский забирался почти час.</w:t>
      </w:r>
    </w:p>
    <w:p w14:paraId="448CA67F" w14:textId="77777777" w:rsidR="00575CA3" w:rsidRPr="00E93F40" w:rsidRDefault="00575CA3"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Благополучно замерили время выполнения виражей и восьмерок. Левый вираж самолет делал немного быстрее-за 16,7 с, правый - за 18,1 с. Восьмерка выполнялась за 37,7 с.</w:t>
      </w:r>
    </w:p>
    <w:p w14:paraId="62DC2256" w14:textId="77777777" w:rsidR="00575CA3" w:rsidRPr="00E93F40" w:rsidRDefault="00575CA3"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Разбег определили в 70 м, хотя в одном случае при сильном ветре он уменьшился до 40 м. То же самое произошло с пробегом на посадке. В обычных условиях он получился 117 м, но при сильном ветре сократился до 94 м. Предположив, что самолет должен пролетать над препятствиями высотой 20 м, сочли, что для взлета и посадки АИР-6 будет вполне достаточно площадки с размерами 400x400 м или даже 350x350 м.</w:t>
      </w:r>
    </w:p>
    <w:p w14:paraId="321E3308" w14:textId="77777777" w:rsidR="00575CA3" w:rsidRPr="00E93F40" w:rsidRDefault="00575CA3"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Интересен отзыв Пионтковского. Он писал: «Самолет в воздухе легко управляем, очень устойчив, допускает полет с брошенным управлением в болтовню... Очень нетребователен в отношении взлета и посадки... Для спортивного тренировочного самолета считаю большим преимуществом закрытую кабину, особенно в холодную погоду... Размещение приборов удобное, на доске размещены несколько высоко».</w:t>
      </w:r>
    </w:p>
    <w:p w14:paraId="4B988210" w14:textId="77777777" w:rsidR="00575CA3" w:rsidRPr="00E93F40" w:rsidRDefault="00575CA3"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Летчик рекомендовал увеличить площадь руля направления и отрицательный угол установки стабилизатора (19099).</w:t>
      </w:r>
    </w:p>
    <w:p w14:paraId="34C27695" w14:textId="77777777" w:rsidR="00575CA3" w:rsidRPr="00E93F40" w:rsidRDefault="00575CA3" w:rsidP="00E93F40">
      <w:pPr>
        <w:pStyle w:val="a8"/>
        <w:jc w:val="both"/>
        <w:rPr>
          <w:rFonts w:ascii="Times New Roman" w:hAnsi="Times New Roman" w:cs="Times New Roman"/>
          <w:color w:val="000000" w:themeColor="text1"/>
        </w:rPr>
      </w:pPr>
    </w:p>
    <w:p w14:paraId="76A30F39"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октябре-ноябре 1932 г. после устранения дефектов начали летные испытания АИР-6. Программу их оконча</w:t>
      </w:r>
      <w:r w:rsidRPr="00142305">
        <w:rPr>
          <w:rFonts w:ascii="Times New Roman" w:hAnsi="Times New Roman"/>
          <w:color w:val="0070C0"/>
          <w:sz w:val="16"/>
          <w:szCs w:val="16"/>
        </w:rPr>
        <w:softHyphen/>
        <w:t>тельно утвердили «задним числом» уже в декабре. Предусматривалось определе</w:t>
      </w:r>
      <w:r w:rsidRPr="00142305">
        <w:rPr>
          <w:rFonts w:ascii="Times New Roman" w:hAnsi="Times New Roman"/>
          <w:color w:val="0070C0"/>
          <w:sz w:val="16"/>
          <w:szCs w:val="16"/>
        </w:rPr>
        <w:softHyphen/>
        <w:t>ние максимальной, крейсерской и мини</w:t>
      </w:r>
      <w:r w:rsidRPr="00142305">
        <w:rPr>
          <w:rFonts w:ascii="Times New Roman" w:hAnsi="Times New Roman"/>
          <w:color w:val="0070C0"/>
          <w:sz w:val="16"/>
          <w:szCs w:val="16"/>
        </w:rPr>
        <w:softHyphen/>
        <w:t>мальной скоростей на высоте 100 м, ско</w:t>
      </w:r>
      <w:r w:rsidRPr="00142305">
        <w:rPr>
          <w:rFonts w:ascii="Times New Roman" w:hAnsi="Times New Roman"/>
          <w:color w:val="0070C0"/>
          <w:sz w:val="16"/>
          <w:szCs w:val="16"/>
        </w:rPr>
        <w:softHyphen/>
        <w:t>роподъемности, практического потолка, разбега на взлете и пробега на посадке. Маневренность собирались оценивать по времени выполнения виражей и восьме</w:t>
      </w:r>
      <w:r w:rsidRPr="00142305">
        <w:rPr>
          <w:rFonts w:ascii="Times New Roman" w:hAnsi="Times New Roman"/>
          <w:color w:val="0070C0"/>
          <w:sz w:val="16"/>
          <w:szCs w:val="16"/>
        </w:rPr>
        <w:softHyphen/>
        <w:t>рок на 800 м.</w:t>
      </w:r>
    </w:p>
    <w:p w14:paraId="688BF3B8"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Летал на АИР-6 снова Ю.И. Пионтков</w:t>
      </w:r>
      <w:r w:rsidRPr="00142305">
        <w:rPr>
          <w:rFonts w:ascii="Times New Roman" w:hAnsi="Times New Roman"/>
          <w:color w:val="0070C0"/>
          <w:sz w:val="16"/>
          <w:szCs w:val="16"/>
        </w:rPr>
        <w:softHyphen/>
        <w:t>ский. Максимальную скорость сначала определяли по приборам, пересчитывая к нормальным условиям. Получилось около 170 км/ч. Затем дважды провели замеры на двухкилометровой дистанции в Химках. Там добились максимальной скорости 165,6 км/ч. Предполагали, что смогут «выжать» больше, до 175 км/ч, но никак не могли вывести мотор на мак</w:t>
      </w:r>
      <w:r w:rsidRPr="00142305">
        <w:rPr>
          <w:rFonts w:ascii="Times New Roman" w:hAnsi="Times New Roman"/>
          <w:color w:val="0070C0"/>
          <w:sz w:val="16"/>
          <w:szCs w:val="16"/>
        </w:rPr>
        <w:softHyphen/>
        <w:t>симальные обороты. Но и полученный результат превышал цифру, записанную в задании - 160 км/ч.</w:t>
      </w:r>
    </w:p>
    <w:p w14:paraId="5C11B6FA"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Крейсерскую скорость определяли в процессе двух полетов по треугольному маршруту Москва - Подольск - мост че</w:t>
      </w:r>
      <w:r w:rsidRPr="00142305">
        <w:rPr>
          <w:rFonts w:ascii="Times New Roman" w:hAnsi="Times New Roman"/>
          <w:color w:val="0070C0"/>
          <w:sz w:val="16"/>
          <w:szCs w:val="16"/>
        </w:rPr>
        <w:softHyphen/>
        <w:t>рез Пахру-Москва. Насчитали 155 км/ч, но обороты двигателя на этот раз ока</w:t>
      </w:r>
      <w:r w:rsidRPr="00142305">
        <w:rPr>
          <w:rFonts w:ascii="Times New Roman" w:hAnsi="Times New Roman"/>
          <w:color w:val="0070C0"/>
          <w:sz w:val="16"/>
          <w:szCs w:val="16"/>
        </w:rPr>
        <w:softHyphen/>
        <w:t>зались завышенными по отношению к режиму, записанному в его формуляре. Посадочная скорость в момент касания земли равнялась 60 км/ч, что соответст</w:t>
      </w:r>
      <w:r w:rsidRPr="00142305">
        <w:rPr>
          <w:rFonts w:ascii="Times New Roman" w:hAnsi="Times New Roman"/>
          <w:color w:val="0070C0"/>
          <w:sz w:val="16"/>
          <w:szCs w:val="16"/>
        </w:rPr>
        <w:softHyphen/>
        <w:t>вовало требованиям.</w:t>
      </w:r>
    </w:p>
    <w:p w14:paraId="2EA58C8F"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1000 м АИР-6 поднимался за 6 мин 9 с, на 3000 м - за 29 мин 56 с. До потолка добраться не удалось, подъем прекратили на 4490 м «из-за плохих атмосферных ус</w:t>
      </w:r>
      <w:r w:rsidRPr="00142305">
        <w:rPr>
          <w:rFonts w:ascii="Times New Roman" w:hAnsi="Times New Roman"/>
          <w:color w:val="0070C0"/>
          <w:sz w:val="16"/>
          <w:szCs w:val="16"/>
        </w:rPr>
        <w:softHyphen/>
        <w:t>ловий», как записали в отчете. На эту вы</w:t>
      </w:r>
      <w:r w:rsidRPr="00142305">
        <w:rPr>
          <w:rFonts w:ascii="Times New Roman" w:hAnsi="Times New Roman"/>
          <w:color w:val="0070C0"/>
          <w:sz w:val="16"/>
          <w:szCs w:val="16"/>
        </w:rPr>
        <w:softHyphen/>
        <w:t>соту Пионтковский забирался почти час.</w:t>
      </w:r>
    </w:p>
    <w:p w14:paraId="200E0778"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Благополучно замерили время выпол</w:t>
      </w:r>
      <w:r w:rsidRPr="00142305">
        <w:rPr>
          <w:rFonts w:ascii="Times New Roman" w:hAnsi="Times New Roman"/>
          <w:color w:val="0070C0"/>
          <w:sz w:val="16"/>
          <w:szCs w:val="16"/>
        </w:rPr>
        <w:softHyphen/>
        <w:t>нения виражей и восьмерок. Левый ви</w:t>
      </w:r>
      <w:r w:rsidRPr="00142305">
        <w:rPr>
          <w:rFonts w:ascii="Times New Roman" w:hAnsi="Times New Roman"/>
          <w:color w:val="0070C0"/>
          <w:sz w:val="16"/>
          <w:szCs w:val="16"/>
        </w:rPr>
        <w:softHyphen/>
        <w:t>раж самолет делал немного быстрее-за 16,7 с, правый - за 18,1 с. Восьмерка выполнялась за 37,7 с.</w:t>
      </w:r>
    </w:p>
    <w:p w14:paraId="55413EF0"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Разбег определили в 70 м, хотя в одном случае при сильном ветре он уменьшился до 40 м. То же самое произошло с пробе</w:t>
      </w:r>
      <w:r w:rsidRPr="00142305">
        <w:rPr>
          <w:rFonts w:ascii="Times New Roman" w:hAnsi="Times New Roman"/>
          <w:color w:val="0070C0"/>
          <w:sz w:val="16"/>
          <w:szCs w:val="16"/>
        </w:rPr>
        <w:softHyphen/>
        <w:t>гом на посадке. В обычных условиях он получился 117 м, но при сильном ветре сократился до 94 м. Предположив, что са</w:t>
      </w:r>
      <w:r w:rsidRPr="00142305">
        <w:rPr>
          <w:rFonts w:ascii="Times New Roman" w:hAnsi="Times New Roman"/>
          <w:color w:val="0070C0"/>
          <w:sz w:val="16"/>
          <w:szCs w:val="16"/>
        </w:rPr>
        <w:softHyphen/>
        <w:t>молет должен пролетать над препятстви</w:t>
      </w:r>
      <w:r w:rsidRPr="00142305">
        <w:rPr>
          <w:rFonts w:ascii="Times New Roman" w:hAnsi="Times New Roman"/>
          <w:color w:val="0070C0"/>
          <w:sz w:val="16"/>
          <w:szCs w:val="16"/>
        </w:rPr>
        <w:softHyphen/>
        <w:t>ями высотой 20 м, сочли, что для взлета и посадки АИР-6 будет вполне достаточно площадки с размерами 400x400 м или даже 350x350 м.</w:t>
      </w:r>
    </w:p>
    <w:p w14:paraId="43186DCE"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Интересен отзыв Пионтковского. Он писал: «Самолет в воздухе легко управ</w:t>
      </w:r>
      <w:r w:rsidRPr="00142305">
        <w:rPr>
          <w:rFonts w:ascii="Times New Roman" w:hAnsi="Times New Roman"/>
          <w:color w:val="0070C0"/>
          <w:sz w:val="16"/>
          <w:szCs w:val="16"/>
        </w:rPr>
        <w:softHyphen/>
        <w:t>ляем, очень устойчив, допускает полет с брошенным управлением в болтовню... Очень нетребователен в отношении взле</w:t>
      </w:r>
      <w:r w:rsidRPr="00142305">
        <w:rPr>
          <w:rFonts w:ascii="Times New Roman" w:hAnsi="Times New Roman"/>
          <w:color w:val="0070C0"/>
          <w:sz w:val="16"/>
          <w:szCs w:val="16"/>
        </w:rPr>
        <w:softHyphen/>
        <w:t>та и посадки... Для спортивного трени</w:t>
      </w:r>
      <w:r w:rsidRPr="00142305">
        <w:rPr>
          <w:rFonts w:ascii="Times New Roman" w:hAnsi="Times New Roman"/>
          <w:color w:val="0070C0"/>
          <w:sz w:val="16"/>
          <w:szCs w:val="16"/>
        </w:rPr>
        <w:softHyphen/>
        <w:t>ровочного самолета считаю большим преимуществом закрытую кабину, осо</w:t>
      </w:r>
      <w:r w:rsidRPr="00142305">
        <w:rPr>
          <w:rFonts w:ascii="Times New Roman" w:hAnsi="Times New Roman"/>
          <w:color w:val="0070C0"/>
          <w:sz w:val="16"/>
          <w:szCs w:val="16"/>
        </w:rPr>
        <w:softHyphen/>
        <w:t>бенно в холодную погоду... Размещение приборов удобное, на доске размещены несколько высоко».</w:t>
      </w:r>
    </w:p>
    <w:p w14:paraId="1B3951E7"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Летчик рекомендовал увеличить пло</w:t>
      </w:r>
      <w:r w:rsidRPr="00142305">
        <w:rPr>
          <w:rFonts w:ascii="Times New Roman" w:hAnsi="Times New Roman"/>
          <w:color w:val="0070C0"/>
          <w:sz w:val="16"/>
          <w:szCs w:val="16"/>
        </w:rPr>
        <w:softHyphen/>
        <w:t>щадь руля направления и отрицательный угол установки стабилизатора (24945).</w:t>
      </w:r>
    </w:p>
    <w:p w14:paraId="0107CB23" w14:textId="77777777" w:rsidR="00E8111E" w:rsidRPr="00142305" w:rsidRDefault="00E8111E" w:rsidP="00E8111E">
      <w:pPr>
        <w:spacing w:after="0" w:line="240" w:lineRule="auto"/>
        <w:jc w:val="both"/>
        <w:rPr>
          <w:rFonts w:ascii="Times New Roman" w:hAnsi="Times New Roman"/>
          <w:color w:val="0070C0"/>
          <w:sz w:val="16"/>
          <w:szCs w:val="16"/>
        </w:rPr>
      </w:pPr>
    </w:p>
    <w:p w14:paraId="234BF2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октябре-ноябре 1932 г. прово</w:t>
      </w:r>
      <w:r w:rsidRPr="00E93F40">
        <w:rPr>
          <w:rFonts w:ascii="Times New Roman" w:hAnsi="Times New Roman"/>
          <w:color w:val="000000" w:themeColor="text1"/>
          <w:sz w:val="16"/>
          <w:szCs w:val="16"/>
        </w:rPr>
        <w:softHyphen/>
        <w:t>дились повторные государственные стендовые испытания мотора М-34 1-й се</w:t>
      </w:r>
      <w:r w:rsidRPr="00E93F40">
        <w:rPr>
          <w:rFonts w:ascii="Times New Roman" w:hAnsi="Times New Roman"/>
          <w:color w:val="000000" w:themeColor="text1"/>
          <w:sz w:val="16"/>
          <w:szCs w:val="16"/>
        </w:rPr>
        <w:softHyphen/>
        <w:t>рии («А») с отечественными карбю</w:t>
      </w:r>
      <w:r w:rsidRPr="00E93F40">
        <w:rPr>
          <w:rFonts w:ascii="Times New Roman" w:hAnsi="Times New Roman"/>
          <w:color w:val="000000" w:themeColor="text1"/>
          <w:sz w:val="16"/>
          <w:szCs w:val="16"/>
        </w:rPr>
        <w:softHyphen/>
        <w:t>раторами 92КД-3 (они потом обо</w:t>
      </w:r>
      <w:r w:rsidRPr="00E93F40">
        <w:rPr>
          <w:rFonts w:ascii="Times New Roman" w:hAnsi="Times New Roman"/>
          <w:color w:val="000000" w:themeColor="text1"/>
          <w:sz w:val="16"/>
          <w:szCs w:val="16"/>
        </w:rPr>
        <w:softHyphen/>
        <w:t>значались К-34), при которых опять выявили ряд дефектов. Не удивитель</w:t>
      </w:r>
      <w:r w:rsidRPr="00E93F40">
        <w:rPr>
          <w:rFonts w:ascii="Times New Roman" w:hAnsi="Times New Roman"/>
          <w:color w:val="000000" w:themeColor="text1"/>
          <w:sz w:val="16"/>
          <w:szCs w:val="16"/>
        </w:rPr>
        <w:softHyphen/>
        <w:t>но - эта серия из 34 штук позже была целиком забракована и использова</w:t>
      </w:r>
      <w:r w:rsidRPr="00E93F40">
        <w:rPr>
          <w:rFonts w:ascii="Times New Roman" w:hAnsi="Times New Roman"/>
          <w:color w:val="000000" w:themeColor="text1"/>
          <w:sz w:val="16"/>
          <w:szCs w:val="16"/>
        </w:rPr>
        <w:softHyphen/>
        <w:t>на для учебных целей. Однако, по крайней мере, пять двигателей из нее проходили летные испытания. 2-я серия («Б») получилось удач</w:t>
      </w:r>
      <w:r w:rsidRPr="00E93F40">
        <w:rPr>
          <w:rFonts w:ascii="Times New Roman" w:hAnsi="Times New Roman"/>
          <w:color w:val="000000" w:themeColor="text1"/>
          <w:sz w:val="16"/>
          <w:szCs w:val="16"/>
        </w:rPr>
        <w:softHyphen/>
        <w:t>нее, и к концу года ВВС сдали (прав</w:t>
      </w:r>
      <w:r w:rsidRPr="00E93F40">
        <w:rPr>
          <w:rFonts w:ascii="Times New Roman" w:hAnsi="Times New Roman"/>
          <w:color w:val="000000" w:themeColor="text1"/>
          <w:sz w:val="16"/>
          <w:szCs w:val="16"/>
        </w:rPr>
        <w:softHyphen/>
        <w:t>да, по каким требованиям - непо</w:t>
      </w:r>
      <w:r w:rsidRPr="00E93F40">
        <w:rPr>
          <w:rFonts w:ascii="Times New Roman" w:hAnsi="Times New Roman"/>
          <w:color w:val="000000" w:themeColor="text1"/>
          <w:sz w:val="16"/>
          <w:szCs w:val="16"/>
        </w:rPr>
        <w:softHyphen/>
        <w:t>нятно) 64 мотора (из 66 входивших в серию), признанных годными для опытной эксплуатации. Эти двигате</w:t>
      </w:r>
      <w:r w:rsidRPr="00E93F40">
        <w:rPr>
          <w:rFonts w:ascii="Times New Roman" w:hAnsi="Times New Roman"/>
          <w:color w:val="000000" w:themeColor="text1"/>
          <w:sz w:val="16"/>
          <w:szCs w:val="16"/>
        </w:rPr>
        <w:softHyphen/>
        <w:t>ли отправили в различные самоле</w:t>
      </w:r>
      <w:r w:rsidRPr="00E93F40">
        <w:rPr>
          <w:rFonts w:ascii="Times New Roman" w:hAnsi="Times New Roman"/>
          <w:color w:val="000000" w:themeColor="text1"/>
          <w:sz w:val="16"/>
          <w:szCs w:val="16"/>
        </w:rPr>
        <w:softHyphen/>
        <w:t>тостроительные конструкторские бюро для установки на опытные ма</w:t>
      </w:r>
      <w:r w:rsidRPr="00E93F40">
        <w:rPr>
          <w:rFonts w:ascii="Times New Roman" w:hAnsi="Times New Roman"/>
          <w:color w:val="000000" w:themeColor="text1"/>
          <w:sz w:val="16"/>
          <w:szCs w:val="16"/>
        </w:rPr>
        <w:softHyphen/>
        <w:t>шины. Впоследствии часть 2-й серии тоже отбраковали и пустили на учеб</w:t>
      </w:r>
      <w:r w:rsidRPr="00E93F40">
        <w:rPr>
          <w:rFonts w:ascii="Times New Roman" w:hAnsi="Times New Roman"/>
          <w:color w:val="000000" w:themeColor="text1"/>
          <w:sz w:val="16"/>
          <w:szCs w:val="16"/>
        </w:rPr>
        <w:softHyphen/>
        <w:t>ные пособия, а 14 моторов перебра</w:t>
      </w:r>
      <w:r w:rsidRPr="00E93F40">
        <w:rPr>
          <w:rFonts w:ascii="Times New Roman" w:hAnsi="Times New Roman"/>
          <w:color w:val="000000" w:themeColor="text1"/>
          <w:sz w:val="16"/>
          <w:szCs w:val="16"/>
        </w:rPr>
        <w:softHyphen/>
        <w:t>ли повторно. Как позже честно при</w:t>
      </w:r>
      <w:r w:rsidRPr="00E93F40">
        <w:rPr>
          <w:rFonts w:ascii="Times New Roman" w:hAnsi="Times New Roman"/>
          <w:color w:val="000000" w:themeColor="text1"/>
          <w:sz w:val="16"/>
          <w:szCs w:val="16"/>
        </w:rPr>
        <w:softHyphen/>
        <w:t>знали в ГУАП, «мотор запускался в производство конструктивно и техно</w:t>
      </w:r>
      <w:r w:rsidRPr="00E93F40">
        <w:rPr>
          <w:rFonts w:ascii="Times New Roman" w:hAnsi="Times New Roman"/>
          <w:color w:val="000000" w:themeColor="text1"/>
          <w:sz w:val="16"/>
          <w:szCs w:val="16"/>
        </w:rPr>
        <w:softHyphen/>
        <w:t>логически недоработанным». Действительно, на чертежах кое-где концы не сходились с концами. Шла путаница с многочисленными поправками и поправками к поправ</w:t>
      </w:r>
      <w:r w:rsidRPr="00E93F40">
        <w:rPr>
          <w:rFonts w:ascii="Times New Roman" w:hAnsi="Times New Roman"/>
          <w:color w:val="000000" w:themeColor="text1"/>
          <w:sz w:val="16"/>
          <w:szCs w:val="16"/>
        </w:rPr>
        <w:softHyphen/>
        <w:t>кам, которые делали и ИАМ, и за</w:t>
      </w:r>
      <w:r w:rsidRPr="00E93F40">
        <w:rPr>
          <w:rFonts w:ascii="Times New Roman" w:hAnsi="Times New Roman"/>
          <w:color w:val="000000" w:themeColor="text1"/>
          <w:sz w:val="16"/>
          <w:szCs w:val="16"/>
        </w:rPr>
        <w:softHyphen/>
        <w:t>вод. К началу 1933 г. в чертежи вне</w:t>
      </w:r>
      <w:r w:rsidRPr="00E93F40">
        <w:rPr>
          <w:rFonts w:ascii="Times New Roman" w:hAnsi="Times New Roman"/>
          <w:color w:val="000000" w:themeColor="text1"/>
          <w:sz w:val="16"/>
          <w:szCs w:val="16"/>
        </w:rPr>
        <w:softHyphen/>
        <w:t>сли более 2000 поправок. Но свою лепту внесли и производственники. Большие проблемы были с литьем крупных деталей, где шло до 60% брака. Еще хуже было положение в металлообрабатывающих цехах, где порой фиксировали до 80% брака! Но в это время сборка все рав</w:t>
      </w:r>
      <w:r w:rsidRPr="00E93F40">
        <w:rPr>
          <w:rFonts w:ascii="Times New Roman" w:hAnsi="Times New Roman"/>
          <w:color w:val="000000" w:themeColor="text1"/>
          <w:sz w:val="16"/>
          <w:szCs w:val="16"/>
        </w:rPr>
        <w:softHyphen/>
        <w:t>но набирала темп. В последние ме</w:t>
      </w:r>
      <w:r w:rsidRPr="00E93F40">
        <w:rPr>
          <w:rFonts w:ascii="Times New Roman" w:hAnsi="Times New Roman"/>
          <w:color w:val="000000" w:themeColor="text1"/>
          <w:sz w:val="16"/>
          <w:szCs w:val="16"/>
        </w:rPr>
        <w:softHyphen/>
        <w:t>сяцы 1932 г. она доходила до 40 моторов в месяц. Но это не помогло выполнить план - вместо 400 двига</w:t>
      </w:r>
      <w:r w:rsidRPr="00E93F40">
        <w:rPr>
          <w:rFonts w:ascii="Times New Roman" w:hAnsi="Times New Roman"/>
          <w:color w:val="000000" w:themeColor="text1"/>
          <w:sz w:val="16"/>
          <w:szCs w:val="16"/>
        </w:rPr>
        <w:softHyphen/>
        <w:t>телей по сводке ГУАП всего получи</w:t>
      </w:r>
      <w:r w:rsidRPr="00E93F40">
        <w:rPr>
          <w:rFonts w:ascii="Times New Roman" w:hAnsi="Times New Roman"/>
          <w:color w:val="000000" w:themeColor="text1"/>
          <w:sz w:val="16"/>
          <w:szCs w:val="16"/>
        </w:rPr>
        <w:softHyphen/>
        <w:t>лось 385 (считая и некондиционные). По документам же УВВС в 1932 г. выпущено 80 моторов, из них 25 негодных. Очевидно, руководство завода включило в отчетность всю некомплектную и незаконченную продукцию. Однако запуск М-34 в серию наверху расценили как большую победу. 21 февраля 1933 г. А.А. Микулина наградили орденом Крас</w:t>
      </w:r>
      <w:r w:rsidRPr="00E93F40">
        <w:rPr>
          <w:rFonts w:ascii="Times New Roman" w:hAnsi="Times New Roman"/>
          <w:color w:val="000000" w:themeColor="text1"/>
          <w:sz w:val="16"/>
          <w:szCs w:val="16"/>
        </w:rPr>
        <w:softHyphen/>
        <w:t>ной Звезды. 3-я серия («В») из 100 штук бла</w:t>
      </w:r>
      <w:r w:rsidRPr="00E93F40">
        <w:rPr>
          <w:rFonts w:ascii="Times New Roman" w:hAnsi="Times New Roman"/>
          <w:color w:val="000000" w:themeColor="text1"/>
          <w:sz w:val="16"/>
          <w:szCs w:val="16"/>
        </w:rPr>
        <w:softHyphen/>
        <w:t>гополучно прошла военную прием</w:t>
      </w:r>
      <w:r w:rsidRPr="00E93F40">
        <w:rPr>
          <w:rFonts w:ascii="Times New Roman" w:hAnsi="Times New Roman"/>
          <w:color w:val="000000" w:themeColor="text1"/>
          <w:sz w:val="16"/>
          <w:szCs w:val="16"/>
        </w:rPr>
        <w:softHyphen/>
        <w:t>ку к 27 января 1933 г. Зато в том же месяце М-34 в третий раз провалил госиспытания на стенде - на 35-м часу оборвался шатун. Вскрытие показало, что причиной оказалось выкрашивание баббита в шатунном вкладыше (11848).</w:t>
      </w:r>
    </w:p>
    <w:p w14:paraId="33A866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03B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 ноябре 1932 г. проводились повторные государственные стендовые испытания М-34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E93F40">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E93F40">
        <w:rPr>
          <w:rFonts w:ascii="Times New Roman" w:hAnsi="Times New Roman"/>
          <w:color w:val="000000" w:themeColor="text1"/>
          <w:sz w:val="16"/>
          <w:szCs w:val="16"/>
        </w:rPr>
        <w:softHyphen/>
        <w:t>кратно пытались восстановить вплоть до 1946 г., но этому мешала боль</w:t>
      </w:r>
      <w:r w:rsidRPr="00E93F40">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E93F40">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E93F40">
        <w:rPr>
          <w:rFonts w:ascii="Times New Roman" w:hAnsi="Times New Roman"/>
          <w:color w:val="000000" w:themeColor="text1"/>
          <w:sz w:val="16"/>
          <w:szCs w:val="16"/>
        </w:rPr>
        <w:softHyphen/>
        <w:t>катерах.</w:t>
      </w:r>
    </w:p>
    <w:p w14:paraId="12A952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04DE81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12-цилиндровый, рядный У-образный, четырехтактный, водяного охлаждения;</w:t>
      </w:r>
    </w:p>
    <w:p w14:paraId="6718D3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и вес в зависимости от модификации;</w:t>
      </w:r>
    </w:p>
    <w:p w14:paraId="3E6BFF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6,0 (у всех массовых модификаций);</w:t>
      </w:r>
    </w:p>
    <w:p w14:paraId="502C60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518823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полный рабочий объем у ранних модификаций 45,82 л, начиная с</w:t>
      </w:r>
    </w:p>
    <w:p w14:paraId="6ECF74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ФРН — 46,66 л. М-34 выпускался в следующих модификациях:</w:t>
      </w:r>
    </w:p>
    <w:p w14:paraId="27A517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E93F40">
        <w:rPr>
          <w:rFonts w:ascii="Times New Roman" w:hAnsi="Times New Roman"/>
          <w:color w:val="000000" w:themeColor="text1"/>
          <w:sz w:val="16"/>
          <w:szCs w:val="16"/>
        </w:rPr>
        <w:softHyphen/>
        <w:t>фикация выпускалась до конца 1939 г.</w:t>
      </w:r>
    </w:p>
    <w:p w14:paraId="038299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4435AF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 малая серия М-34 с форсированием по оборотам без вне</w:t>
      </w:r>
      <w:r w:rsidRPr="00E93F40">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5A98F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М-34Р. редукторный вариант, вес 677 кг, 750/800 л.с. Опытный об</w:t>
      </w:r>
      <w:r w:rsidRPr="00E93F40">
        <w:rPr>
          <w:rFonts w:ascii="Times New Roman" w:hAnsi="Times New Roman"/>
          <w:color w:val="000000" w:themeColor="text1"/>
          <w:sz w:val="16"/>
          <w:szCs w:val="16"/>
        </w:rPr>
        <w:softHyphen/>
        <w:t>разец сделали в ноябре 1932 г. Государственные испытания успешно</w:t>
      </w:r>
    </w:p>
    <w:p w14:paraId="393140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3190F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М-34РД (он же М-34РСп), двигатель типа М-34Р специального за</w:t>
      </w:r>
      <w:r w:rsidRPr="00E93F40">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E93F40">
        <w:rPr>
          <w:rFonts w:ascii="Times New Roman" w:hAnsi="Times New Roman"/>
          <w:color w:val="000000" w:themeColor="text1"/>
          <w:sz w:val="16"/>
          <w:szCs w:val="16"/>
        </w:rPr>
        <w:softHyphen/>
        <w:t>ляными и водяными насосами, распредвалами, конструкцией хво</w:t>
      </w:r>
      <w:r w:rsidRPr="00E93F40">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E93F40">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E93F40">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E93F40">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E93F40">
        <w:rPr>
          <w:rFonts w:ascii="Times New Roman" w:hAnsi="Times New Roman"/>
          <w:color w:val="000000" w:themeColor="text1"/>
          <w:sz w:val="16"/>
          <w:szCs w:val="16"/>
        </w:rPr>
        <w:softHyphen/>
        <w:t>дарств.</w:t>
      </w:r>
    </w:p>
    <w:p w14:paraId="208B29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E93F40">
        <w:rPr>
          <w:rFonts w:ascii="Times New Roman" w:hAnsi="Times New Roman"/>
          <w:color w:val="000000" w:themeColor="text1"/>
          <w:sz w:val="16"/>
          <w:szCs w:val="16"/>
        </w:rPr>
        <w:softHyphen/>
        <w:t>рованный П.И. Орловым, А.А. Микулиным и А.Н. Данилевским, ока</w:t>
      </w:r>
      <w:r w:rsidRPr="00E93F40">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E93F40">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15B6CA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М-34Н с паротурбинным нагнетателем ПТК; нагнетатель ПТК спро</w:t>
      </w:r>
      <w:r w:rsidRPr="00E93F40">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208B60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М-34Н с нагнетателем</w:t>
      </w:r>
    </w:p>
    <w:p w14:paraId="1DF500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E93F40">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5B0DEA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М-34РНА, редукторный с ПЦН, включал все мелкие усовер</w:t>
      </w:r>
      <w:r w:rsidRPr="00E93F40">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3FEBE1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М-34НБ, усовершенствованный вариант типа НА с ужесточенным картером, облегченным коленвалом с измененным носком, дорабо</w:t>
      </w:r>
      <w:r w:rsidRPr="00E93F40">
        <w:rPr>
          <w:rFonts w:ascii="Times New Roman" w:hAnsi="Times New Roman"/>
          <w:color w:val="000000" w:themeColor="text1"/>
          <w:sz w:val="16"/>
          <w:szCs w:val="16"/>
        </w:rPr>
        <w:softHyphen/>
        <w:t>танным ПЦН, 750/820 л.с., вес 638 кг.</w:t>
      </w:r>
    </w:p>
    <w:p w14:paraId="57478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E93F40">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E93F40">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E93F40">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E93F40">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E93F40">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E93F40">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E93F40">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E93F40">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E93F40">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E93F40">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6F5152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 для привода агрегата центрального наддува АЦН-1, сконструи</w:t>
      </w:r>
      <w:r w:rsidRPr="00E93F40">
        <w:rPr>
          <w:rFonts w:ascii="Times New Roman" w:hAnsi="Times New Roman"/>
          <w:color w:val="000000" w:themeColor="text1"/>
          <w:sz w:val="16"/>
          <w:szCs w:val="16"/>
        </w:rPr>
        <w:softHyphen/>
        <w:t>рованного под руководством С.А. Трескина в 1935 г. Проходил лет</w:t>
      </w:r>
      <w:r w:rsidRPr="00E93F40">
        <w:rPr>
          <w:rFonts w:ascii="Times New Roman" w:hAnsi="Times New Roman"/>
          <w:color w:val="000000" w:themeColor="text1"/>
          <w:sz w:val="16"/>
          <w:szCs w:val="16"/>
        </w:rPr>
        <w:softHyphen/>
        <w:t>ные испытания на ТБ-3.</w:t>
      </w:r>
    </w:p>
    <w:p w14:paraId="1DC443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E93F40">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E93F40">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D5ECD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М-34ФРНУ, проект форсированного до 900 л.с. М-34РН с удлинен</w:t>
      </w:r>
      <w:r w:rsidRPr="00E93F40">
        <w:rPr>
          <w:rFonts w:ascii="Times New Roman" w:hAnsi="Times New Roman"/>
          <w:color w:val="000000" w:themeColor="text1"/>
          <w:sz w:val="16"/>
          <w:szCs w:val="16"/>
        </w:rPr>
        <w:softHyphen/>
        <w:t>ным валом, 1933 г.</w:t>
      </w:r>
    </w:p>
    <w:p w14:paraId="08F820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М-34ФРНА, массовая серия на базе типа ФРН с четырьмя карбюра</w:t>
      </w:r>
      <w:r w:rsidRPr="00E93F40">
        <w:rPr>
          <w:rFonts w:ascii="Times New Roman" w:hAnsi="Times New Roman"/>
          <w:color w:val="000000" w:themeColor="text1"/>
          <w:sz w:val="16"/>
          <w:szCs w:val="16"/>
        </w:rPr>
        <w:softHyphen/>
        <w:t>торами.</w:t>
      </w:r>
    </w:p>
    <w:p w14:paraId="3200D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М-34ФРНБ, массовая серия на базе типа ФРН с шестью карбюрато</w:t>
      </w:r>
      <w:r w:rsidRPr="00E93F40">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E93F40">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E93F40">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E93F40">
        <w:rPr>
          <w:rFonts w:ascii="Times New Roman" w:hAnsi="Times New Roman"/>
          <w:color w:val="000000" w:themeColor="text1"/>
          <w:sz w:val="16"/>
          <w:szCs w:val="16"/>
        </w:rPr>
        <w:softHyphen/>
        <w:t>тирован с тремя вариантами редуктора и двумя типами ПЦН. Впер</w:t>
      </w:r>
      <w:r w:rsidRPr="00E93F40">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65D1F9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E93F40">
        <w:rPr>
          <w:rFonts w:ascii="Times New Roman" w:hAnsi="Times New Roman"/>
          <w:color w:val="000000" w:themeColor="text1"/>
          <w:sz w:val="16"/>
          <w:szCs w:val="16"/>
        </w:rPr>
        <w:softHyphen/>
        <w:t>тов, удлиненный носок редуктора, усиленный коленвал с измененной схе</w:t>
      </w:r>
      <w:r w:rsidRPr="00E93F40">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436F27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М-34НФ, опытный вариант с блоками от модификации ФРНВ, допол</w:t>
      </w:r>
      <w:r w:rsidRPr="00E93F40">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1A47C7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М-34ФРНВ-ТК, вариант предыдущего типа. Имел два турбонагнетате</w:t>
      </w:r>
      <w:r w:rsidRPr="00E93F40">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4EB1EA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М-34ФРГН, подробности неизвестны.</w:t>
      </w:r>
    </w:p>
    <w:p w14:paraId="1A7D73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М-34РБ, в 1938-1939 гг. переделывались из М-34РНБ путем демон</w:t>
      </w:r>
      <w:r w:rsidRPr="00E93F40">
        <w:rPr>
          <w:rFonts w:ascii="Times New Roman" w:hAnsi="Times New Roman"/>
          <w:color w:val="000000" w:themeColor="text1"/>
          <w:sz w:val="16"/>
          <w:szCs w:val="16"/>
        </w:rPr>
        <w:softHyphen/>
        <w:t>тажа ПЦН для повышения надежности и увеличения реечрса.</w:t>
      </w:r>
    </w:p>
    <w:p w14:paraId="59CAE1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М-34РБ</w:t>
      </w:r>
    </w:p>
    <w:p w14:paraId="573414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Катерный мотор ГМ-34 (ГАМ-34)</w:t>
      </w:r>
    </w:p>
    <w:p w14:paraId="03F25F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 двигатель для торпедных катеров с реверс-редуктором, муф</w:t>
      </w:r>
      <w:r w:rsidRPr="00E93F40">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0447ED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пару опытных двигателей установили на торпед</w:t>
      </w:r>
      <w:r w:rsidRPr="00E93F40">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675D6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01BA44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E93F40">
        <w:rPr>
          <w:rFonts w:ascii="Times New Roman" w:hAnsi="Times New Roman"/>
          <w:color w:val="000000" w:themeColor="text1"/>
          <w:sz w:val="16"/>
          <w:szCs w:val="16"/>
        </w:rPr>
        <w:softHyphen/>
        <w:t>ность 1200 л.с., вес 1110 кг. Работал на бензин-спиртовой смеси. Се</w:t>
      </w:r>
      <w:r w:rsidRPr="00E93F40">
        <w:rPr>
          <w:rFonts w:ascii="Times New Roman" w:hAnsi="Times New Roman"/>
          <w:color w:val="000000" w:themeColor="text1"/>
          <w:sz w:val="16"/>
          <w:szCs w:val="16"/>
        </w:rPr>
        <w:softHyphen/>
        <w:t>рийно выпускался с августа 1939 г.</w:t>
      </w:r>
    </w:p>
    <w:p w14:paraId="61D47B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2F8681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562AE0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ГМ-34БТ. вариант для танков на базе катерного с измененной си</w:t>
      </w:r>
      <w:r w:rsidRPr="00E93F40">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45E466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E93F40">
        <w:rPr>
          <w:rFonts w:ascii="Times New Roman" w:hAnsi="Times New Roman"/>
          <w:color w:val="000000" w:themeColor="text1"/>
          <w:sz w:val="16"/>
          <w:szCs w:val="16"/>
        </w:rPr>
        <w:softHyphen/>
        <w:t>строен), К-13, МК-1, «Сталь-МАИ», МИ-3. Их применение также предусма</w:t>
      </w:r>
      <w:r w:rsidRPr="00E93F40">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E93F40">
        <w:rPr>
          <w:rFonts w:ascii="Times New Roman" w:hAnsi="Times New Roman"/>
          <w:color w:val="000000" w:themeColor="text1"/>
          <w:sz w:val="16"/>
          <w:szCs w:val="16"/>
        </w:rPr>
        <w:softHyphen/>
        <w:t>ского на гусеничном ходу (на базе ТШ-2), танка-вертолета Камова.</w:t>
      </w:r>
    </w:p>
    <w:p w14:paraId="663BCA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ECDF6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5E6F80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A770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октябре-ноябре 1932 летчики Лунин и Синеокий с 2 колесных ТБ-1 9 АБ сбросили семь высотных торпед ВВС 10/15, но при температуре ниже -10-12 торпеды мерзли (561,6). Испытания вел тот же особый отряд 9 АБ, что и год назад 19 сентября 1931. Торпеды приняли на снабжение ВВС РККА под обозначением ТАВ-15 и к декабрю морские силы располагали 27 торпедами - 7 на ЧФ и 20 в ВВС ОКДВА (1966,11).</w:t>
      </w:r>
    </w:p>
    <w:p w14:paraId="10A0D0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73791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CF9FA5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D05CD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октябре-ноябре 1932 года на завод "Красный путиловец" (с 1934 года - "Кировский завод") с завода "Большевик" (выделенного в 1932 году в самостоятельный завод № 174 им К.Е.Ворошилова) поступили проектная документация и опытный образец танка Т-28. Серийное производство трехбашенного среднего танка было поручено заводу "Красный путиловец" в связи с загруженностью танкового производства завода "Большевик" программой выпуска танка T-26. На заводе "Красный путиловец" для обслуживания серийного производства при техническом отделе заводоуправления была создана специальная конструкторская группа, преобразованная в 1934 году в специальное конструкторское бюро СКБ-2, которое возглавил О.М.Иванов. Конструкторской же группой первоначально руководил Н.Ф.Комарчев, а с 1933 года А.Г.Ефимов. Для оказания помощи при организации серийного производства на "Красный путиловец" был направлен начальник ОКМО Н.В.Барыков. В мае 1937 года после ареста О.М.Иванова, начальником СКБ 2 стал 29-летний Ж.Я.Котин (3862).</w:t>
      </w:r>
    </w:p>
    <w:p w14:paraId="62A0BE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CAB69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ACC774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09D6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ноябрю 1932 был закончен мотор М-32 и начались его заводские испытания (2310,130).</w:t>
      </w:r>
    </w:p>
    <w:p w14:paraId="0167C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Срок предъявления на гос. испытание мотора М32 по плану 1.09.32 г.</w:t>
      </w:r>
    </w:p>
    <w:p w14:paraId="04CF1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построен, прошел 47 часов на заводских испытаниях.</w:t>
      </w:r>
    </w:p>
    <w:p w14:paraId="16DF0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Обнаружены дефекты.</w:t>
      </w:r>
    </w:p>
    <w:p w14:paraId="05C190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переделан и будет готов 20.03.33 г., после чего станет на заводские испытания с нагнетателем.</w:t>
      </w:r>
    </w:p>
    <w:p w14:paraId="6DCAAA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Предъявление на гос. испытания 1.08.33 г. (8032,6).</w:t>
      </w:r>
    </w:p>
    <w:p w14:paraId="1302C2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DE9E8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6750E9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BCA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ноябрю 1932 года КБ завода "Большевик" под руководством Магдасиева был разработан Технический проект Б-23. Стволы 203-мм пушки, 305-мм гаубицы и 400-мм мортиры имели почти одинаковое устройство. Ствол каждой системы (203-мм, 305-мм и 400-мм) был спроектирован в двух вариантах:</w:t>
      </w:r>
    </w:p>
    <w:p w14:paraId="56C6E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Скрепленный ствол состоял из внутренней трубы, оболочки, скрепляющей трубу до дула, кожуха, казенника и кольца.</w:t>
      </w:r>
    </w:p>
    <w:p w14:paraId="27D48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Ствол со свободным лейнером состоял из лейнера, оболочки, кожуха, казенника и кольца.</w:t>
      </w:r>
    </w:p>
    <w:p w14:paraId="1F105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Затворы у всех систем поршневые.</w:t>
      </w:r>
    </w:p>
    <w:p w14:paraId="51A27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Нарезы начинались на переднем скате каморы. Крутизна нарезов постоянная.</w:t>
      </w:r>
    </w:p>
    <w:p w14:paraId="62049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Самоход СУ-7 имел электрические приводы для прибойника, механизмов вертикального и горизонтального наведения и снарядного крана.</w:t>
      </w:r>
    </w:p>
    <w:p w14:paraId="6643D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в 1937 году к 203-мм пушке Б-23 был разработан подкалиберный снаряд 203/120 мм (калибр поддона/калибр активного снаряда). Вес подкалиберного снаряда 24 кг, начальная скорость 1400 мм/с, дальность стрельбы 78 км (3861).</w:t>
      </w:r>
    </w:p>
    <w:p w14:paraId="54E959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2B9D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ноябрю 1932 года был готов лафет к 152-мм пушке Б-10 № 1 (3861).</w:t>
      </w:r>
    </w:p>
    <w:p w14:paraId="7F4C1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31C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ноябрю 1932 года был построен макет Д-5 в натуральную величину, подготовлены чертежи и изготовлен ряд деталей и агрегатов (10291).</w:t>
      </w:r>
    </w:p>
    <w:p w14:paraId="00FA4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2C1820"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ноябрю 1932 года был построен макет Д-5 Дыренкова в натуральную величину, подготов</w:t>
      </w:r>
      <w:r w:rsidRPr="00142305">
        <w:rPr>
          <w:rFonts w:ascii="Times New Roman" w:hAnsi="Times New Roman"/>
          <w:color w:val="0070C0"/>
          <w:sz w:val="16"/>
          <w:szCs w:val="16"/>
        </w:rPr>
        <w:softHyphen/>
        <w:t>лены чертежи и изготовлен ряд деталей и агрегатов.</w:t>
      </w:r>
    </w:p>
    <w:p w14:paraId="1EA63D3F"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Помимо Д-4 и Д-5 Дыренков предло</w:t>
      </w:r>
      <w:r w:rsidRPr="00142305">
        <w:rPr>
          <w:rFonts w:ascii="Times New Roman" w:hAnsi="Times New Roman"/>
          <w:color w:val="0070C0"/>
          <w:sz w:val="16"/>
          <w:szCs w:val="16"/>
        </w:rPr>
        <w:softHyphen/>
        <w:t>жил и еще один проект «маневренно</w:t>
      </w:r>
      <w:r w:rsidRPr="00142305">
        <w:rPr>
          <w:rFonts w:ascii="Times New Roman" w:hAnsi="Times New Roman"/>
          <w:color w:val="0070C0"/>
          <w:sz w:val="16"/>
          <w:szCs w:val="16"/>
        </w:rPr>
        <w:softHyphen/>
        <w:t>го» танка. Дело в том, что после при</w:t>
      </w:r>
      <w:r w:rsidRPr="00142305">
        <w:rPr>
          <w:rFonts w:ascii="Times New Roman" w:hAnsi="Times New Roman"/>
          <w:color w:val="0070C0"/>
          <w:sz w:val="16"/>
          <w:szCs w:val="16"/>
        </w:rPr>
        <w:softHyphen/>
        <w:t>бытия в СССР танков Кристи, и вве</w:t>
      </w:r>
      <w:r w:rsidRPr="00142305">
        <w:rPr>
          <w:rFonts w:ascii="Times New Roman" w:hAnsi="Times New Roman"/>
          <w:color w:val="0070C0"/>
          <w:sz w:val="16"/>
          <w:szCs w:val="16"/>
        </w:rPr>
        <w:softHyphen/>
        <w:t>дения их в систему вооружения РККА в мае 1931 года, управление моториза</w:t>
      </w:r>
      <w:r w:rsidRPr="00142305">
        <w:rPr>
          <w:rFonts w:ascii="Times New Roman" w:hAnsi="Times New Roman"/>
          <w:color w:val="0070C0"/>
          <w:sz w:val="16"/>
          <w:szCs w:val="16"/>
        </w:rPr>
        <w:softHyphen/>
        <w:t>ции и механизации приняло решение о проектировании на основе танка Кри</w:t>
      </w:r>
      <w:r w:rsidRPr="00142305">
        <w:rPr>
          <w:rFonts w:ascii="Times New Roman" w:hAnsi="Times New Roman"/>
          <w:color w:val="0070C0"/>
          <w:sz w:val="16"/>
          <w:szCs w:val="16"/>
        </w:rPr>
        <w:softHyphen/>
        <w:t>сти машины с более высокими боевыми и техническими характеристиками (25010).</w:t>
      </w:r>
    </w:p>
    <w:p w14:paraId="6A886783" w14:textId="77777777" w:rsidR="00E8111E" w:rsidRPr="00142305" w:rsidRDefault="00E8111E" w:rsidP="00E8111E">
      <w:pPr>
        <w:spacing w:after="0" w:line="240" w:lineRule="auto"/>
        <w:jc w:val="both"/>
        <w:rPr>
          <w:rFonts w:ascii="Times New Roman" w:hAnsi="Times New Roman"/>
          <w:color w:val="0070C0"/>
          <w:sz w:val="16"/>
          <w:szCs w:val="16"/>
        </w:rPr>
      </w:pPr>
    </w:p>
    <w:p w14:paraId="1B93E7B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42D0DA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71B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в Таганроге закончились заводские испытания АНТ-7 Р-6 N 2202, производства 22 завода, переданного на завод 31 для постановки поплавков, которые проходили с 19 октября 1932 (1017,198).</w:t>
      </w:r>
    </w:p>
    <w:p w14:paraId="67B42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809FE8"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w:t>
      </w:r>
    </w:p>
    <w:p w14:paraId="32833417" w14:textId="33650CF2"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Политбюро от 1.XI.1932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E7221A8" w14:textId="5CEFEBE0"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 с.-х.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авиации</w:t>
      </w:r>
    </w:p>
    <w:p w14:paraId="2B8218ED"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(Постышев, Яковлев).</w:t>
      </w:r>
    </w:p>
    <w:p w14:paraId="39030F58" w14:textId="51A6189E"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комиссии в составе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Постышева, Яковлева и Гольцмана рассмотреть вопрос и внести свое предложение в Политбюро.</w:t>
      </w:r>
    </w:p>
    <w:p w14:paraId="4570753D" w14:textId="0A122FF8"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Созыв комиссии за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Постышевым.</w:t>
      </w:r>
    </w:p>
    <w:p w14:paraId="064E8FF0"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0EF49773" w14:textId="77777777" w:rsidR="0074293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862BF2A" w14:textId="77777777" w:rsidR="00742933" w:rsidRPr="00E93F40" w:rsidRDefault="0074293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0A440C"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в Москву с Ижев</w:t>
      </w:r>
      <w:r w:rsidRPr="00E93F40">
        <w:rPr>
          <w:rFonts w:ascii="Times New Roman" w:hAnsi="Times New Roman"/>
          <w:color w:val="000000" w:themeColor="text1"/>
          <w:sz w:val="16"/>
          <w:szCs w:val="16"/>
        </w:rPr>
        <w:softHyphen/>
        <w:t>ского завода прибыла бригада кон</w:t>
      </w:r>
      <w:r w:rsidRPr="00E93F40">
        <w:rPr>
          <w:rFonts w:ascii="Times New Roman" w:hAnsi="Times New Roman"/>
          <w:color w:val="000000" w:themeColor="text1"/>
          <w:sz w:val="16"/>
          <w:szCs w:val="16"/>
        </w:rPr>
        <w:softHyphen/>
        <w:t>структоров НАТИ, а с ними 30 ящи</w:t>
      </w:r>
      <w:r w:rsidRPr="00E93F40">
        <w:rPr>
          <w:rFonts w:ascii="Times New Roman" w:hAnsi="Times New Roman"/>
          <w:color w:val="000000" w:themeColor="text1"/>
          <w:sz w:val="16"/>
          <w:szCs w:val="16"/>
        </w:rPr>
        <w:softHyphen/>
        <w:t>ков с деталями автомобилей НАТИ-2. К 7 ноября предстояло собрать 3 машины. В сборке при</w:t>
      </w:r>
      <w:r w:rsidRPr="00E93F40">
        <w:rPr>
          <w:rFonts w:ascii="Times New Roman" w:hAnsi="Times New Roman"/>
          <w:color w:val="000000" w:themeColor="text1"/>
          <w:sz w:val="16"/>
          <w:szCs w:val="16"/>
        </w:rPr>
        <w:softHyphen/>
        <w:t>нимали участие: А.А. Липгарт, Е.В. Чарнко, М.К. Прошинский, С.И. Карзинкин, А.А. Гивартовский, Н.А. Лавров, К.А. Шарапов и др.</w:t>
      </w:r>
    </w:p>
    <w:p w14:paraId="18E13BA1"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Собираемые малолитраж</w:t>
      </w:r>
      <w:r w:rsidRPr="00E93F40">
        <w:rPr>
          <w:rFonts w:ascii="Times New Roman" w:hAnsi="Times New Roman"/>
          <w:color w:val="000000" w:themeColor="text1"/>
          <w:sz w:val="16"/>
          <w:szCs w:val="16"/>
        </w:rPr>
        <w:softHyphen/>
        <w:t>ные автомобили имели кузова фаэ</w:t>
      </w:r>
      <w:r w:rsidRPr="00E93F40">
        <w:rPr>
          <w:rFonts w:ascii="Times New Roman" w:hAnsi="Times New Roman"/>
          <w:color w:val="000000" w:themeColor="text1"/>
          <w:sz w:val="16"/>
          <w:szCs w:val="16"/>
        </w:rPr>
        <w:softHyphen/>
        <w:t>тон, родстер и пикап грузоподъем</w:t>
      </w:r>
      <w:r w:rsidRPr="00E93F40">
        <w:rPr>
          <w:rFonts w:ascii="Times New Roman" w:hAnsi="Times New Roman"/>
          <w:color w:val="000000" w:themeColor="text1"/>
          <w:sz w:val="16"/>
          <w:szCs w:val="16"/>
        </w:rPr>
        <w:softHyphen/>
        <w:t>ностью 500 кг. Максимальная ско</w:t>
      </w:r>
      <w:r w:rsidRPr="00E93F40">
        <w:rPr>
          <w:rFonts w:ascii="Times New Roman" w:hAnsi="Times New Roman"/>
          <w:color w:val="000000" w:themeColor="text1"/>
          <w:sz w:val="16"/>
          <w:szCs w:val="16"/>
        </w:rPr>
        <w:softHyphen/>
        <w:t>рость пикапа составляла 65 км/ч, фаэтон и родстер разгонялись до 75 км/ч. Родстер имел укорочен</w:t>
      </w:r>
      <w:r w:rsidRPr="00E93F40">
        <w:rPr>
          <w:rFonts w:ascii="Times New Roman" w:hAnsi="Times New Roman"/>
          <w:color w:val="000000" w:themeColor="text1"/>
          <w:sz w:val="16"/>
          <w:szCs w:val="16"/>
        </w:rPr>
        <w:softHyphen/>
        <w:t>ную с 2730 до 2300 мм базу. Все автомобили имели колею 1200 мм. В системе карбюрации и зажига</w:t>
      </w:r>
      <w:r w:rsidRPr="00E93F40">
        <w:rPr>
          <w:rFonts w:ascii="Times New Roman" w:hAnsi="Times New Roman"/>
          <w:color w:val="000000" w:themeColor="text1"/>
          <w:sz w:val="16"/>
          <w:szCs w:val="16"/>
        </w:rPr>
        <w:softHyphen/>
        <w:t>ния применены приборы и детали имеющихся стандартных образ</w:t>
      </w:r>
      <w:r w:rsidRPr="00E93F40">
        <w:rPr>
          <w:rFonts w:ascii="Times New Roman" w:hAnsi="Times New Roman"/>
          <w:color w:val="000000" w:themeColor="text1"/>
          <w:sz w:val="16"/>
          <w:szCs w:val="16"/>
        </w:rPr>
        <w:softHyphen/>
        <w:t>цов: вертикальный карбюратор Зенит типа 13Р с экономайзером, прерыватель и распределитель Бош, динамо ГАЗ и т.д. Тормоза были только на зад</w:t>
      </w:r>
      <w:r w:rsidRPr="00E93F40">
        <w:rPr>
          <w:rFonts w:ascii="Times New Roman" w:hAnsi="Times New Roman"/>
          <w:color w:val="000000" w:themeColor="text1"/>
          <w:sz w:val="16"/>
          <w:szCs w:val="16"/>
        </w:rPr>
        <w:softHyphen/>
        <w:t>них колесах, так как одинарные полукантилеверные рессоры, применяемые на передней подвеске НАТИ-2, не предусматривали установки тормозов. Оборудование почти исключительно ГАЗовское.</w:t>
      </w:r>
    </w:p>
    <w:p w14:paraId="13B95CF8"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автомобили вместе с другими конструк</w:t>
      </w:r>
      <w:r w:rsidRPr="00E93F40">
        <w:rPr>
          <w:rFonts w:ascii="Times New Roman" w:hAnsi="Times New Roman"/>
          <w:color w:val="000000" w:themeColor="text1"/>
          <w:sz w:val="16"/>
          <w:szCs w:val="16"/>
        </w:rPr>
        <w:softHyphen/>
        <w:t>циями были выставлены в центре Москвы на Совет</w:t>
      </w:r>
      <w:r w:rsidRPr="00E93F40">
        <w:rPr>
          <w:rFonts w:ascii="Times New Roman" w:hAnsi="Times New Roman"/>
          <w:color w:val="000000" w:themeColor="text1"/>
          <w:sz w:val="16"/>
          <w:szCs w:val="16"/>
        </w:rPr>
        <w:softHyphen/>
        <w:t>ской площади (22518).</w:t>
      </w:r>
    </w:p>
    <w:p w14:paraId="49304287" w14:textId="77777777" w:rsidR="000B6650" w:rsidRPr="00E93F40" w:rsidRDefault="000B6650" w:rsidP="00E93F40">
      <w:pPr>
        <w:spacing w:after="0" w:line="240" w:lineRule="auto"/>
        <w:jc w:val="both"/>
        <w:rPr>
          <w:rFonts w:ascii="Times New Roman" w:hAnsi="Times New Roman"/>
          <w:color w:val="000000" w:themeColor="text1"/>
          <w:sz w:val="16"/>
          <w:szCs w:val="16"/>
        </w:rPr>
      </w:pPr>
    </w:p>
    <w:p w14:paraId="7FB56AE4" w14:textId="77777777" w:rsidR="000500C4" w:rsidRPr="00E93F40" w:rsidRDefault="00050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 ноября 1932 г. и до конца июня 1934 г. Н.А. Кучеренко в КБ Т2К ХПЗ возглавляет конструкторскую секцию по текущему производству, участвует в разработке конструкторской документации для обеспечения серийного производства танков БТ-5 (23450).</w:t>
      </w:r>
    </w:p>
    <w:p w14:paraId="6DD2A71C" w14:textId="77777777" w:rsidR="000500C4" w:rsidRPr="00E93F40" w:rsidRDefault="000500C4" w:rsidP="00E93F40">
      <w:pPr>
        <w:spacing w:after="0" w:line="240" w:lineRule="auto"/>
        <w:jc w:val="both"/>
        <w:rPr>
          <w:rFonts w:ascii="Times New Roman" w:hAnsi="Times New Roman"/>
          <w:color w:val="000000" w:themeColor="text1"/>
          <w:sz w:val="16"/>
          <w:szCs w:val="16"/>
        </w:rPr>
      </w:pPr>
    </w:p>
    <w:p w14:paraId="50A7E4B1"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ноября 1932 г., согласно докладу о состоянии работ в конструкторском бюро Т2К на Харь</w:t>
      </w:r>
      <w:r w:rsidRPr="00142305">
        <w:rPr>
          <w:rFonts w:ascii="Times New Roman" w:hAnsi="Times New Roman"/>
          <w:color w:val="0070C0"/>
          <w:sz w:val="16"/>
          <w:szCs w:val="16"/>
        </w:rPr>
        <w:softHyphen/>
        <w:t>ковском паровозостроительном заводе по состоянию на 1 ноября 1932 года, го</w:t>
      </w:r>
      <w:r w:rsidRPr="00142305">
        <w:rPr>
          <w:rFonts w:ascii="Times New Roman" w:hAnsi="Times New Roman"/>
          <w:color w:val="0070C0"/>
          <w:sz w:val="16"/>
          <w:szCs w:val="16"/>
        </w:rPr>
        <w:softHyphen/>
        <w:t>ворилось:</w:t>
      </w:r>
    </w:p>
    <w:p w14:paraId="53FD4047"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«Конструкция БТ-5 до на</w:t>
      </w:r>
      <w:r w:rsidRPr="00142305">
        <w:rPr>
          <w:rFonts w:ascii="Times New Roman" w:hAnsi="Times New Roman"/>
          <w:color w:val="0070C0"/>
          <w:sz w:val="16"/>
          <w:szCs w:val="16"/>
        </w:rPr>
        <w:softHyphen/>
        <w:t>стоящего времени не получила оконча</w:t>
      </w:r>
      <w:r w:rsidRPr="00142305">
        <w:rPr>
          <w:rFonts w:ascii="Times New Roman" w:hAnsi="Times New Roman"/>
          <w:color w:val="0070C0"/>
          <w:sz w:val="16"/>
          <w:szCs w:val="16"/>
        </w:rPr>
        <w:softHyphen/>
        <w:t>тельного оформления. Нет еще закон</w:t>
      </w:r>
      <w:r w:rsidRPr="00142305">
        <w:rPr>
          <w:rFonts w:ascii="Times New Roman" w:hAnsi="Times New Roman"/>
          <w:color w:val="0070C0"/>
          <w:sz w:val="16"/>
          <w:szCs w:val="16"/>
        </w:rPr>
        <w:softHyphen/>
        <w:t>ченного опытного образца БТ-5.</w:t>
      </w:r>
    </w:p>
    <w:p w14:paraId="3597C5CD"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чертежах разработанной конструк</w:t>
      </w:r>
      <w:r w:rsidRPr="00142305">
        <w:rPr>
          <w:rFonts w:ascii="Times New Roman" w:hAnsi="Times New Roman"/>
          <w:color w:val="0070C0"/>
          <w:sz w:val="16"/>
          <w:szCs w:val="16"/>
        </w:rPr>
        <w:softHyphen/>
        <w:t>ции БТ-5 имеется довольно существен</w:t>
      </w:r>
      <w:r w:rsidRPr="00142305">
        <w:rPr>
          <w:rFonts w:ascii="Times New Roman" w:hAnsi="Times New Roman"/>
          <w:color w:val="0070C0"/>
          <w:sz w:val="16"/>
          <w:szCs w:val="16"/>
        </w:rPr>
        <w:softHyphen/>
        <w:t>ный недостаток, который заключается в том, что в них применены две системы резьб — дюймовая и метрическая. Мет</w:t>
      </w:r>
      <w:r w:rsidRPr="00142305">
        <w:rPr>
          <w:rFonts w:ascii="Times New Roman" w:hAnsi="Times New Roman"/>
          <w:color w:val="0070C0"/>
          <w:sz w:val="16"/>
          <w:szCs w:val="16"/>
        </w:rPr>
        <w:softHyphen/>
        <w:t>рическая охватывает:</w:t>
      </w:r>
    </w:p>
    <w:p w14:paraId="1A8C136E"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броневые листы корпуса;</w:t>
      </w:r>
    </w:p>
    <w:p w14:paraId="0AD22128"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детали башни;</w:t>
      </w:r>
    </w:p>
    <w:p w14:paraId="3A4EA5DE"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укладки боеприпасов;</w:t>
      </w:r>
    </w:p>
    <w:p w14:paraId="763E012C"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крепление радиаторов;</w:t>
      </w:r>
    </w:p>
    <w:p w14:paraId="43BFF8C9"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переднюю перегородку;</w:t>
      </w:r>
    </w:p>
    <w:p w14:paraId="36B7FDFA"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смотровые приборы в корпусе и баш</w:t>
      </w:r>
      <w:r w:rsidRPr="00142305">
        <w:rPr>
          <w:rFonts w:ascii="Times New Roman" w:hAnsi="Times New Roman"/>
          <w:color w:val="0070C0"/>
          <w:sz w:val="16"/>
          <w:szCs w:val="16"/>
        </w:rPr>
        <w:softHyphen/>
        <w:t>не.</w:t>
      </w:r>
    </w:p>
    <w:p w14:paraId="4B973A2F" w14:textId="77777777" w:rsidR="00E8111E" w:rsidRPr="00142305" w:rsidRDefault="00E8111E" w:rsidP="00E8111E">
      <w:pPr>
        <w:spacing w:after="0" w:line="240" w:lineRule="auto"/>
        <w:ind w:left="180"/>
        <w:jc w:val="both"/>
        <w:rPr>
          <w:rFonts w:ascii="Times New Roman" w:hAnsi="Times New Roman"/>
          <w:color w:val="0070C0"/>
          <w:sz w:val="16"/>
          <w:szCs w:val="16"/>
        </w:rPr>
      </w:pPr>
      <w:r w:rsidRPr="00142305">
        <w:rPr>
          <w:rFonts w:ascii="Times New Roman" w:hAnsi="Times New Roman"/>
          <w:color w:val="0070C0"/>
          <w:sz w:val="16"/>
          <w:szCs w:val="16"/>
        </w:rPr>
        <w:t>Дюймовая резьба охватывает: коробку скоростей;</w:t>
      </w:r>
    </w:p>
    <w:p w14:paraId="039FF92A"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бортовые и главные фрикционы;</w:t>
      </w:r>
    </w:p>
    <w:p w14:paraId="2B267CCD"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управление и т.д.</w:t>
      </w:r>
    </w:p>
    <w:p w14:paraId="7E8E9551"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Такая неоднородность резьб объясня</w:t>
      </w:r>
      <w:r w:rsidRPr="00142305">
        <w:rPr>
          <w:rFonts w:ascii="Times New Roman" w:hAnsi="Times New Roman"/>
          <w:color w:val="0070C0"/>
          <w:sz w:val="16"/>
          <w:szCs w:val="16"/>
        </w:rPr>
        <w:softHyphen/>
        <w:t>ется тем, что конструкция машины БТ-5 разрабатывалась на основе чертежей БТ-3, где предусматривалась метричес</w:t>
      </w:r>
      <w:r w:rsidRPr="00142305">
        <w:rPr>
          <w:rFonts w:ascii="Times New Roman" w:hAnsi="Times New Roman"/>
          <w:color w:val="0070C0"/>
          <w:sz w:val="16"/>
          <w:szCs w:val="16"/>
        </w:rPr>
        <w:softHyphen/>
        <w:t>кая резьба, а фактически изготавливает</w:t>
      </w:r>
      <w:r w:rsidRPr="00142305">
        <w:rPr>
          <w:rFonts w:ascii="Times New Roman" w:hAnsi="Times New Roman"/>
          <w:color w:val="0070C0"/>
          <w:sz w:val="16"/>
          <w:szCs w:val="16"/>
        </w:rPr>
        <w:softHyphen/>
        <w:t>ся на основе БТ-2 (с дюймовой резьбой), так как БТ-3 еще не введена в серию. По изготовлению 10 опытных машин БТ-5 состояние следующее:</w:t>
      </w:r>
    </w:p>
    <w:p w14:paraId="3F034441"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первый образец военпреду к прием</w:t>
      </w:r>
      <w:r w:rsidRPr="00142305">
        <w:rPr>
          <w:rFonts w:ascii="Times New Roman" w:hAnsi="Times New Roman"/>
          <w:color w:val="0070C0"/>
          <w:sz w:val="16"/>
          <w:szCs w:val="16"/>
        </w:rPr>
        <w:softHyphen/>
        <w:t>ке не предъявлен, так как окончательно к этому не подготовлен. Остальные 9 корпусов готовы, из них 4 находятся на сборке в Т2 в процессе монтажа» (25009).</w:t>
      </w:r>
    </w:p>
    <w:p w14:paraId="7B5E46F4"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1932 г. два бомбардировщика 105-й тбаэ гордо проплыли над Хабаровском в сопро</w:t>
      </w:r>
      <w:r w:rsidRPr="00142305">
        <w:rPr>
          <w:rFonts w:ascii="Times New Roman" w:hAnsi="Times New Roman"/>
          <w:color w:val="0070C0"/>
          <w:sz w:val="16"/>
          <w:szCs w:val="16"/>
        </w:rPr>
        <w:softHyphen/>
        <w:t>вождении пятерки Р-6 (24838).</w:t>
      </w:r>
    </w:p>
    <w:p w14:paraId="6AD4FA92" w14:textId="77777777" w:rsidR="00E8111E" w:rsidRPr="00142305" w:rsidRDefault="00E8111E" w:rsidP="00E8111E">
      <w:pPr>
        <w:spacing w:after="0" w:line="240" w:lineRule="auto"/>
        <w:jc w:val="both"/>
        <w:rPr>
          <w:rFonts w:ascii="Times New Roman" w:hAnsi="Times New Roman"/>
          <w:color w:val="0070C0"/>
          <w:sz w:val="16"/>
          <w:szCs w:val="16"/>
        </w:rPr>
      </w:pPr>
    </w:p>
    <w:p w14:paraId="079D9DAA" w14:textId="77777777" w:rsidR="00E8111E" w:rsidRPr="00142305" w:rsidRDefault="00E8111E" w:rsidP="00E811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ноября 1932 года завод № 1 ТО ОПТУ передали в состав наркомата путей сообщения (НКПС), и он стал называться «Можерез» -Московский железнодорожный ремонтный завод. Производство мотоброневагонов Д-2 Дыренкова на новом предприятии сосредоточили в специально организованном цехе (25568).</w:t>
      </w:r>
    </w:p>
    <w:p w14:paraId="44B64884" w14:textId="77777777" w:rsidR="00E8111E" w:rsidRPr="00142305" w:rsidRDefault="00E8111E" w:rsidP="00E8111E">
      <w:pPr>
        <w:spacing w:after="0" w:line="240" w:lineRule="auto"/>
        <w:jc w:val="both"/>
        <w:rPr>
          <w:rFonts w:ascii="Times New Roman" w:hAnsi="Times New Roman"/>
          <w:color w:val="0070C0"/>
          <w:sz w:val="16"/>
          <w:szCs w:val="16"/>
        </w:rPr>
      </w:pPr>
    </w:p>
    <w:p w14:paraId="5F4C846C"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 завод № 1 ТО ОПТУ передали в состав наркомата путей сообщения (НКПС), и он стал называться «Можерез» -Московский железнодорожный ремонтный завод. Производство мотоброневагонов на новом предприятии сосредоточили в специально организованном цехе. По состоянию на 5 ноября 1932 года ход работ «по серийным единицам в спеццехе завода «Можерез» был следующим:</w:t>
      </w:r>
    </w:p>
    <w:p w14:paraId="15811F18"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«Д-2 № 1 - готов, за исключением пулемета с новым приемником. Ведется регулировка сцепной муфты;</w:t>
      </w:r>
    </w:p>
    <w:p w14:paraId="159298DD"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2,3, о - кроме вышеуказанного - нет аппаратов СП-95, не закончена укладка;</w:t>
      </w:r>
    </w:p>
    <w:p w14:paraId="33FF1227"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4,5 - кроме вышеуказанного нет шаровых установок, редуктора, гидропомпы, телефона, вентилятора, бензобаков. Производится переделка поворотного механизма башен;</w:t>
      </w:r>
    </w:p>
    <w:p w14:paraId="5B684107"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7,8 - кроме вышеуказанного нет управления сцепной муфтой;</w:t>
      </w:r>
    </w:p>
    <w:p w14:paraId="499381BC"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9 - закончен корпус и башни, установлены рессорные буксовые стойки и рычажная передача тормоза, поставлены сцепные и ударные приборы;</w:t>
      </w:r>
    </w:p>
    <w:p w14:paraId="3AE4DB1F"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10 - корпус и башни закончены, установлены рессорные буксовые стойки и рычажная передача тормоза;</w:t>
      </w:r>
    </w:p>
    <w:p w14:paraId="78B6F539"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11,12,13,14 - изменений нет (закончены корпуса и башни, ведется изготовление рессорных буксовых стоек».</w:t>
      </w:r>
    </w:p>
    <w:p w14:paraId="1DEA780E"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до конца года Можерез так и не смог сдать ни одного мотоброневагона Д-2. Первый серийный образец, проходивший заводские испытания еще с июня, в очередной раз вышел из строя. Так, в сводке по заводу Можерез от 10 декабря 1932 года сообщалось, что в мотоброневагоне Д-2 № 1</w:t>
      </w:r>
    </w:p>
    <w:p w14:paraId="470C7DBD"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«устраняются дефекты реверса и переделывается фундамент под мотором» (15624).</w:t>
      </w:r>
    </w:p>
    <w:p w14:paraId="45408E88" w14:textId="77777777" w:rsidR="002812F6" w:rsidRPr="00E93F40" w:rsidRDefault="002812F6" w:rsidP="00E93F40">
      <w:pPr>
        <w:spacing w:after="0" w:line="240" w:lineRule="auto"/>
        <w:jc w:val="both"/>
        <w:rPr>
          <w:rFonts w:ascii="Times New Roman" w:hAnsi="Times New Roman"/>
          <w:color w:val="000000" w:themeColor="text1"/>
          <w:sz w:val="16"/>
          <w:szCs w:val="16"/>
        </w:rPr>
      </w:pPr>
    </w:p>
    <w:p w14:paraId="58A8CD33" w14:textId="03854310"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 завод № 1 ТО ОПТУ передали в состав наркомата путей сообщения (НКПС), и он стал называться «Можерез» -Московский железнодорожный ремонтный завод. Производство мотоброневагонов на новом предприятии сосредоточили в специально организованном цехе. По состоянию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 ноября 1932 года ход работ «по серийным единицам в спеццехе завода «Можерез» был следующим:</w:t>
      </w:r>
      <w:r w:rsidR="007C1411" w:rsidRPr="00E93F40">
        <w:rPr>
          <w:rFonts w:ascii="Times New Roman" w:hAnsi="Times New Roman"/>
          <w:color w:val="000000" w:themeColor="text1"/>
          <w:sz w:val="16"/>
          <w:szCs w:val="16"/>
        </w:rPr>
        <w:t xml:space="preserve"> </w:t>
      </w:r>
    </w:p>
    <w:p w14:paraId="5ED4F68A" w14:textId="519ECA54"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«Д-2 № 1 - готов, за исключением пулемета с новым приемником. Ведется регулировка сцепной муфты;</w:t>
      </w:r>
      <w:r w:rsidR="007C1411" w:rsidRPr="00E93F40">
        <w:rPr>
          <w:rFonts w:ascii="Times New Roman" w:hAnsi="Times New Roman"/>
          <w:color w:val="000000" w:themeColor="text1"/>
          <w:sz w:val="16"/>
          <w:szCs w:val="16"/>
        </w:rPr>
        <w:t xml:space="preserve"> </w:t>
      </w:r>
    </w:p>
    <w:p w14:paraId="2B03043F" w14:textId="41C3B35A"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 3, 6 - кроме вышеуказанного - нет аппаратов СП-95, не закончена укладка;</w:t>
      </w:r>
      <w:r w:rsidR="007C1411" w:rsidRPr="00E93F40">
        <w:rPr>
          <w:rFonts w:ascii="Times New Roman" w:hAnsi="Times New Roman"/>
          <w:color w:val="000000" w:themeColor="text1"/>
          <w:sz w:val="16"/>
          <w:szCs w:val="16"/>
        </w:rPr>
        <w:t xml:space="preserve"> </w:t>
      </w:r>
    </w:p>
    <w:p w14:paraId="2DC69EE2" w14:textId="0499013A"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4, 5 - кроме вышеуказанного нет шаровых установок, редуктора, гидропомпы, телефона, вентилятора, бензобаков. Производится переделка поворотного механизма башен;</w:t>
      </w:r>
      <w:r w:rsidR="007C1411" w:rsidRPr="00E93F40">
        <w:rPr>
          <w:rFonts w:ascii="Times New Roman" w:hAnsi="Times New Roman"/>
          <w:color w:val="000000" w:themeColor="text1"/>
          <w:sz w:val="16"/>
          <w:szCs w:val="16"/>
        </w:rPr>
        <w:t xml:space="preserve"> </w:t>
      </w:r>
    </w:p>
    <w:p w14:paraId="37CA0E35" w14:textId="6D0E8704"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7, 8 - кроме вышеуказанного нет управления сцепной муфтой;</w:t>
      </w:r>
      <w:r w:rsidR="007C1411" w:rsidRPr="00E93F40">
        <w:rPr>
          <w:rFonts w:ascii="Times New Roman" w:hAnsi="Times New Roman"/>
          <w:color w:val="000000" w:themeColor="text1"/>
          <w:sz w:val="16"/>
          <w:szCs w:val="16"/>
        </w:rPr>
        <w:t xml:space="preserve"> </w:t>
      </w:r>
    </w:p>
    <w:p w14:paraId="5D8FD361" w14:textId="03E8B4ED"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9 - закончен корпус и башни, установлены рессорные буксовые стойки и рычажная передача тормоза, поставлены сцепные и ударные приборы;</w:t>
      </w:r>
      <w:r w:rsidR="007C1411" w:rsidRPr="00E93F40">
        <w:rPr>
          <w:rFonts w:ascii="Times New Roman" w:hAnsi="Times New Roman"/>
          <w:color w:val="000000" w:themeColor="text1"/>
          <w:sz w:val="16"/>
          <w:szCs w:val="16"/>
        </w:rPr>
        <w:t xml:space="preserve"> </w:t>
      </w:r>
    </w:p>
    <w:p w14:paraId="71AD1F0E" w14:textId="4BB5673E"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10 - корпус и башни закончены, установлены рессорные буксовые стойки и рычажная передача тормоза;</w:t>
      </w:r>
      <w:r w:rsidR="007C1411" w:rsidRPr="00E93F40">
        <w:rPr>
          <w:rFonts w:ascii="Times New Roman" w:hAnsi="Times New Roman"/>
          <w:color w:val="000000" w:themeColor="text1"/>
          <w:sz w:val="16"/>
          <w:szCs w:val="16"/>
        </w:rPr>
        <w:t xml:space="preserve"> </w:t>
      </w:r>
    </w:p>
    <w:p w14:paraId="198D4EBB"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11, 12, 13, 14 - изменений нет (закончены корпуса и башни, ведется изготовление рессорных буксовых стоек» (18626).</w:t>
      </w:r>
    </w:p>
    <w:p w14:paraId="5D120C1C"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18678682"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 ноября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121. 19. Об увеличении производства олова (проект постановления) (ПБ от 23 октября 1932 г., пр. № 120, п. 14в). 22. О реконструкции уральских металлургических заводов (ПБ от 1 апреля 1932 г., пр. № 94, п. 8). 246. О производстве вооружения на заводе К. Маркса (проект постановления) (ПБ от 23 октября 1932 г., пр. № 120, п. 13). Опросом членов ПБ от 30 октября 1932 г. 54/26. О заводе механических трубок. 73/45. О металлургической базе в Восточной Сибири (ПБ от 1 июля 1932 г., пр. № 106, п. 18а). 78/50. О снабжении донецким топливом тяжелой промышленности на ноябрь. 81/53. О завозе олова, никеля и алюминия (записка Орджоникидзе). (Политбюро... Т. 2. С. 367, 368, 369) (12416).</w:t>
      </w:r>
    </w:p>
    <w:p w14:paraId="569FF820"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671F269A"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ноября 1932 состоялось заседание ПБ (Протокол № 121) </w:t>
      </w:r>
    </w:p>
    <w:p w14:paraId="3118CAD9"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октября 1932 опросом членов ПБ</w:t>
      </w:r>
    </w:p>
    <w:p w14:paraId="1F2AA5B3"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54/26.-О заводе механических трубок</w:t>
      </w:r>
    </w:p>
    <w:p w14:paraId="422386B7"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23.Х.32 прот. № 120, п. 10)</w:t>
      </w:r>
    </w:p>
    <w:p w14:paraId="67F3E748"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Определить импортный контингент для завода механических трубок в сумме 1.180 тыс. руб.</w:t>
      </w:r>
    </w:p>
    <w:p w14:paraId="12FC95F7"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Предложить Наркомвнешторгу приступить к не</w:t>
      </w:r>
      <w:r w:rsidRPr="00E93F40">
        <w:rPr>
          <w:rFonts w:ascii="Times New Roman" w:hAnsi="Times New Roman"/>
          <w:color w:val="000000" w:themeColor="text1"/>
          <w:sz w:val="16"/>
          <w:szCs w:val="16"/>
        </w:rPr>
        <w:softHyphen/>
        <w:t>медленному размещению заказов заграницей с учетом поставки оборудования в Союз не позднее П-Ш кварт. 1933 г.</w:t>
      </w:r>
    </w:p>
    <w:p w14:paraId="7F11F247" w14:textId="77777777" w:rsidR="000B6650" w:rsidRPr="00E93F40" w:rsidRDefault="000B665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Ворошилову, Павлуновскому (23066).</w:t>
      </w:r>
    </w:p>
    <w:p w14:paraId="6E888DEB" w14:textId="77777777" w:rsidR="000B6650" w:rsidRPr="00E93F40" w:rsidRDefault="000B6650" w:rsidP="00E93F40">
      <w:pPr>
        <w:spacing w:after="0" w:line="240" w:lineRule="auto"/>
        <w:jc w:val="both"/>
        <w:rPr>
          <w:rFonts w:ascii="Times New Roman" w:hAnsi="Times New Roman"/>
          <w:color w:val="000000" w:themeColor="text1"/>
          <w:sz w:val="16"/>
          <w:szCs w:val="16"/>
        </w:rPr>
      </w:pPr>
    </w:p>
    <w:p w14:paraId="51FEC7BA"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 ноября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1366/403с об изъятии строительства «Приборстроя» из Гражданстроя и передаче его ВОТИ для окончания строительства хозяйственным способом (ГА РФ. Ф. Р?8418. Оп. 28. Д. 1а. Л. 377) (12415).</w:t>
      </w:r>
    </w:p>
    <w:p w14:paraId="36411E30"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7B2FD55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517D2B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FB1F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ноября 1932 года Вернер фон Браун приступил к работе в Куммерсдорфе, под началом у Дорнбергера, постепенно набирая минимальный штат помощников. Первоначально весь его «штат» состоял из механика Генриха Грюнова, с которым они и трудились вдвоем; причем фон Браун, несмотря на баронский титул, никогда не гнушался самой черной работы. Неожиданное пополнение он получил со стороны бывших сотрудников Макса Валье. Валье погиб от взрыва жидкостного ракетного двигателя. Он умер от потери крови на руках своего ближайшего друга Вальтера Риделя (не путайте с Клаусом Риделем, работавшим с Обертом и в группе «Ракетенфлюгплатц»). После смерти Валье Ридель продолжал работы по заданиям армии – ему было поручено разработать и изготовить небольшой охлаждаемый двигатель с тягой всего в 20 кг для сравнительных испытаний различных топливных пар с целью подобрать наилучшую. После появления в Куммерсдорфе ракетчиков руководство армии решило объединить усилия, и вскоре Ридель был включен в группу фон Брауна. Фон Браун и Ридель удачно дополняли друг друга: первый оказался блестящим организатором и руководителем проектов в целом, второй – прирожденным конструктором. Кроме того, Ридель был из породы скептиков и не лез в карман за ехидным словом, когда его молодого коллегу заносило в фантазиях. Позднее с предприятия доктора Хейланда к ним перешел главный инженер Питч, предложивший управлению вооружений проект ракетного двигателя на спирте и жидком кислороде. Этот двигатель должен был обеспечивать в течение 60 секунд тягу порядка 295 кг. Питч получил аванс на закупку материалов и… исчез. В ходе выяснения обстоятельств дела его помощник Артур Рудольф заявил, что истинным создателем двигателя является он, и доказал это, закончив незавершенную работу. Став сотрудником полигона, Вернер получил через Беккера небольшую финансовую поддержку армии для проведения экспериментов, связанных с диссертацией. 27 июня 1934 года он с успехом защитил ее, став самым молодым доктором технических наук в Германии. Диссертация называлась «Конструктивные, теоретические и экспериментальные соображения к проблеме жидкостных ракет». Поскольку тема была секретной, она увидела свет лишь после 1945 года (11688).</w:t>
      </w:r>
    </w:p>
    <w:p w14:paraId="15F36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DB57CA"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t xml:space="preserve">1 ноября </w:t>
      </w:r>
      <w:r w:rsidRPr="00E93F40">
        <w:rPr>
          <w:rFonts w:ascii="Times New Roman" w:hAnsi="Times New Roman"/>
          <w:color w:val="000000" w:themeColor="text1"/>
          <w:sz w:val="16"/>
          <w:szCs w:val="16"/>
        </w:rPr>
        <w:t>в 1932 году Вернер фон Браун назначен руководителем германской программы по созданию ракет с жидкостными двигателями (14817).</w:t>
      </w:r>
    </w:p>
    <w:p w14:paraId="17C3B5BB" w14:textId="77777777" w:rsidR="002812F6" w:rsidRPr="00E93F40" w:rsidRDefault="002812F6" w:rsidP="00E93F40">
      <w:pPr>
        <w:spacing w:after="0" w:line="240" w:lineRule="auto"/>
        <w:jc w:val="both"/>
        <w:rPr>
          <w:rFonts w:ascii="Times New Roman" w:hAnsi="Times New Roman"/>
          <w:color w:val="000000" w:themeColor="text1"/>
          <w:sz w:val="16"/>
          <w:szCs w:val="16"/>
        </w:rPr>
      </w:pPr>
    </w:p>
    <w:p w14:paraId="4A1F762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404073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949A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ноября 1932 на ЦА английский л-и С.Трауэр выполнил первый полет Файрфлай IIM N F.1876, закупленного через Арков, выполнявшего функции торгпредства в Англии (2611,20).</w:t>
      </w:r>
    </w:p>
    <w:p w14:paraId="74F9CC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178964" w14:textId="77777777" w:rsidR="0074293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7FE7EB1" w14:textId="77777777" w:rsidR="00742933" w:rsidRPr="00E93F40" w:rsidRDefault="0074293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94F4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ноября 1932 г. ЛМЗ направил в АНИМИ третий вариант проекта 180-мм двухорудийной башенной установки, который и послужил основой для составления рабочих чертежей. Окончательный вариант предусматривал установку 180/57-мм орудий Б-1-П с затвором типа Виккерс. Затвор двухтактный поршневой с открыванием рамки затвора вверх. Первые экземпляры стволов Б-1-П для МБ-2-180 были изготовлены скрепленными, впоследствии стали применять лейнированные стволы с мелкой, а затем с глубокой нарезкой. Проектированием башенных установок руководили А.А. Флоренский и Н.В. Богданов (3861).</w:t>
      </w:r>
    </w:p>
    <w:p w14:paraId="50DAF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89CE6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3BF999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873D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ноября 1932 в Ростове-на-Дону Комиссия ЦК ВКП(б) по хлебозаготовкам под руководством Л.Кагановича, участником которой был и Г.Ягода созвала совещание всех секретарей парторганизаций Северокавказского региона, по окончании которого была принята следующая резолюция: "В связи с постыдным провалом плана заготовки зерновых, заставить местные парторганизации сломить саботаж, организованный кулацкими контрреволюционными элементами, подавить сопротивление сельских коммунистов и председателей колхозов, возглавляющих этот саботаж". Для округов, внесенных в "черный список" были приняты следующие меры: возврат всей продукции из магазинов, полная остановка торговли, немедленное закрытие всех текущих кредитов, обложение высокими налогами, арест всех саботажников, всех "социально чуждых и контрреволюционных элементов" и суд над ними по ускоренной процедуре, которую должно обеспечить ОГПУ. В случае, если саботаж будет продолжаться, население подвергнуть массовой депортации (10687).</w:t>
      </w:r>
    </w:p>
    <w:p w14:paraId="504FC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36E80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870D77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07F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ноября 1932 г. штаб ВВС распорядился установить добавочные баки на 300 Р-5. 20 декабря необходимую документацию передали Самолетному тресту.</w:t>
      </w:r>
    </w:p>
    <w:p w14:paraId="1810E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 на баки и арматуру получил завод № 18 в Воронеже. Из-за большой загрузки промышленности заказ приняли на 1933 г., но из-за нехватки листового металла выполнили лишь в начале следующего года. Самолеты с увеличенным запасом топлива поступили в основном вдаль- неразведывательные эскадрильи.</w:t>
      </w:r>
    </w:p>
    <w:p w14:paraId="5B2FC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Проводились работы по дальнейшему наращиванию запаса горючего. По расчетам НАГИ, его можно было довести максимально до 1300 кг. При этом полетный вес машины получался около 4000 кг. При таком весе самолет должен был разбегаться 600 м. Вот это и сочли главным ограничением - аэродромов больших размеров в стране имелось немного.</w:t>
      </w:r>
    </w:p>
    <w:p w14:paraId="53DE6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Исходя из этой цифры, на заводе № 39 выполнили проект модификации Р-5 с увеличенными баками в центроплане объемом 700 л. Вместе с дополнительными баками в фюзеляже они как раз обеспечивали запас в 1300 кг. Если на бомбардировщике подвесить 100 кг бомб, взять два пулемета ДА, от радиостанции оставить только приемник и урезать список электрооборудования, на этом бензине биплан мог пролететь 2900 км.</w:t>
      </w:r>
    </w:p>
    <w:p w14:paraId="1576B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 39 в мае 1933 г. по своему проекту переоборудовали один самолет. УВВС распорядилось с привлечением завода № 1 сделать еще четыре такие же машины (но под один пулемет ДА в задней кабине и с дополнительными маслобаками), и сдать все пять в НИИ ВВС. На них хотели проверить возможность осуществить рекордный перелет. Но данных об этом нет.</w:t>
      </w:r>
    </w:p>
    <w:p w14:paraId="07534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Рассматривались также варианты с подвесными баками, о которых толком ничего не известно (12034).</w:t>
      </w:r>
    </w:p>
    <w:p w14:paraId="21A7C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D29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ноября 1932 года в Севастополе закончились гос. испытания морского ближнего разведчика МБР-4 - АССО 750, которые проходили с 27 сентября 1932 года (3899).</w:t>
      </w:r>
    </w:p>
    <w:p w14:paraId="76FAE7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910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ноября 1932 на ЦА л-и И.Ф.Козлов выполнил полет Файрфлай IIM N F.1876, закупленного через Арков, выполнявшего функции торгпредства в Англии. Потом испытания в НИИ ВВС и ОЭЛИД ЦАГИ и опять в НИИ ВВС шли до августа 1933 (2611,20).</w:t>
      </w:r>
    </w:p>
    <w:p w14:paraId="61CED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AA6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ноября 1932 года был закончен первый экземпляр ГМ-34 с реверсом: Мощность – 750 л.с., 12 цилиндровый, Вес – 980 кг, Плановый срок госиспытаний – октябрь 1932 года, ЦИАМ. Предварительными работами послужило изготовление 2-х реверсов под мотор АССО, которые прошли госиспытания в августе 1932 года и тогда же были сданы УВМС. Мотор ГМ-34 представляет модификацию М-34 с целью применения его на морских быстроходных катерах, для чего требовалось снабдить его механизмом, обеспечивающим возможность перемены направления вращения винта. ЦИАМ должен был изготовлять детали для 3-х экземпляров моторов, отличные от мотора М-34, все же идентичные детали доставлялись заводом № 24 (3530,70-86).</w:t>
      </w:r>
    </w:p>
    <w:p w14:paraId="3F7C34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FF169E" w14:textId="77777777" w:rsidR="006E2EBF" w:rsidRPr="00E93F40" w:rsidRDefault="006E2EB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7135F79" w14:textId="77777777" w:rsidR="006E2EBF" w:rsidRPr="00E93F40" w:rsidRDefault="006E2EB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D428803"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ноября 1932. Газета "Вечерняя Москва" сообщала: "Сегодня днем на Советской площади, у здания Московского Совета выставлен экспонат Музея революции - шестидюймовая пушка. Из этой пушки в октябре 1917 года Военно-революционный комитет обстреливал Кремль, где засели юнкера" (18723).</w:t>
      </w:r>
    </w:p>
    <w:p w14:paraId="0C68B9E1"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28AF979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3579E8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6961A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ноября 1932 года ст. летчик Жарновский В.Н. совершил по радио взлет, полет и посадку в закрытой кабине на самолете У-2. Приземление и посадка с высоты 15 м были совершены при помощи щупа и лота.</w:t>
      </w:r>
    </w:p>
    <w:p w14:paraId="7CD34D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является в СССР первым действительно слепым полетом со слепой посадкой в полном смысле этого слова (7486, 193).</w:t>
      </w:r>
    </w:p>
    <w:p w14:paraId="51513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9A71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ноября 1932 г. первый образец ГМ-34 по</w:t>
      </w:r>
      <w:r w:rsidRPr="00E93F40">
        <w:rPr>
          <w:rFonts w:ascii="Times New Roman" w:hAnsi="Times New Roman"/>
          <w:color w:val="000000" w:themeColor="text1"/>
          <w:sz w:val="16"/>
          <w:szCs w:val="16"/>
        </w:rPr>
        <w:softHyphen/>
        <w:t>ставили на обкатку. 21 апреля 1933 г. за</w:t>
      </w:r>
      <w:r w:rsidRPr="00E93F40">
        <w:rPr>
          <w:rFonts w:ascii="Times New Roman" w:hAnsi="Times New Roman"/>
          <w:color w:val="000000" w:themeColor="text1"/>
          <w:sz w:val="16"/>
          <w:szCs w:val="16"/>
        </w:rPr>
        <w:softHyphen/>
        <w:t>вершились заводские испыта</w:t>
      </w:r>
      <w:r w:rsidRPr="00E93F40">
        <w:rPr>
          <w:rFonts w:ascii="Times New Roman" w:hAnsi="Times New Roman"/>
          <w:color w:val="000000" w:themeColor="text1"/>
          <w:sz w:val="16"/>
          <w:szCs w:val="16"/>
        </w:rPr>
        <w:softHyphen/>
        <w:t>ния мотора, 20 мая его выста</w:t>
      </w:r>
      <w:r w:rsidRPr="00E93F40">
        <w:rPr>
          <w:rFonts w:ascii="Times New Roman" w:hAnsi="Times New Roman"/>
          <w:color w:val="000000" w:themeColor="text1"/>
          <w:sz w:val="16"/>
          <w:szCs w:val="16"/>
        </w:rPr>
        <w:softHyphen/>
        <w:t>вили на государственные. На 48-м часу полетела водяная помпа, позже лопнул вал ре</w:t>
      </w:r>
      <w:r w:rsidRPr="00E93F40">
        <w:rPr>
          <w:rFonts w:ascii="Times New Roman" w:hAnsi="Times New Roman"/>
          <w:color w:val="000000" w:themeColor="text1"/>
          <w:sz w:val="16"/>
          <w:szCs w:val="16"/>
        </w:rPr>
        <w:softHyphen/>
        <w:t>верса. В ноябре 1933 г. на за</w:t>
      </w:r>
      <w:r w:rsidRPr="00E93F40">
        <w:rPr>
          <w:rFonts w:ascii="Times New Roman" w:hAnsi="Times New Roman"/>
          <w:color w:val="000000" w:themeColor="text1"/>
          <w:sz w:val="16"/>
          <w:szCs w:val="16"/>
        </w:rPr>
        <w:softHyphen/>
        <w:t>воде им. Марти в Ленинграде пару опытных двигателей уста</w:t>
      </w:r>
      <w:r w:rsidRPr="00E93F40">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-правого. 5 декабря катер при</w:t>
      </w:r>
      <w:r w:rsidRPr="00E93F40">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E93F40">
        <w:rPr>
          <w:rFonts w:ascii="Times New Roman" w:hAnsi="Times New Roman"/>
          <w:color w:val="000000" w:themeColor="text1"/>
          <w:sz w:val="16"/>
          <w:szCs w:val="16"/>
        </w:rPr>
        <w:softHyphen/>
        <w:t>рийно, к 1 июля изготовили 21 ка</w:t>
      </w:r>
      <w:r w:rsidRPr="00E93F40">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E93F40">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E93F40">
        <w:rPr>
          <w:rFonts w:ascii="Times New Roman" w:hAnsi="Times New Roman"/>
          <w:color w:val="000000" w:themeColor="text1"/>
          <w:sz w:val="16"/>
          <w:szCs w:val="16"/>
        </w:rPr>
        <w:softHyphen/>
        <w:t>вался параллельно с авиационным. Так, ГМ-34Ф имел коренные вклады</w:t>
      </w:r>
      <w:r w:rsidRPr="00E93F40">
        <w:rPr>
          <w:rFonts w:ascii="Times New Roman" w:hAnsi="Times New Roman"/>
          <w:color w:val="000000" w:themeColor="text1"/>
          <w:sz w:val="16"/>
          <w:szCs w:val="16"/>
        </w:rPr>
        <w:softHyphen/>
        <w:t>ши из бронзы, коленчатый вал, го</w:t>
      </w:r>
      <w:r w:rsidRPr="00E93F40">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E93F40">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E93F40">
        <w:rPr>
          <w:rFonts w:ascii="Times New Roman" w:hAnsi="Times New Roman"/>
          <w:color w:val="000000" w:themeColor="text1"/>
          <w:sz w:val="16"/>
          <w:szCs w:val="16"/>
        </w:rPr>
        <w:softHyphen/>
        <w:t>тельно, чтобы эта смесь использова</w:t>
      </w:r>
      <w:r w:rsidRPr="00E93F40">
        <w:rPr>
          <w:rFonts w:ascii="Times New Roman" w:hAnsi="Times New Roman"/>
          <w:color w:val="000000" w:themeColor="text1"/>
          <w:sz w:val="16"/>
          <w:szCs w:val="16"/>
        </w:rPr>
        <w:softHyphen/>
        <w:t>лась для серий-ных двигателей на флотах. Первые два ГМ-34Ф выпус</w:t>
      </w:r>
      <w:r w:rsidRPr="00E93F40">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E93F40">
        <w:rPr>
          <w:rFonts w:ascii="Times New Roman" w:hAnsi="Times New Roman"/>
          <w:color w:val="000000" w:themeColor="text1"/>
          <w:sz w:val="16"/>
          <w:szCs w:val="16"/>
        </w:rPr>
        <w:softHyphen/>
        <w:t>вершенствованной маслосистемой. Степень сжатия у него опять понизи</w:t>
      </w:r>
      <w:r w:rsidRPr="00E93F40">
        <w:rPr>
          <w:rFonts w:ascii="Times New Roman" w:hAnsi="Times New Roman"/>
          <w:color w:val="000000" w:themeColor="text1"/>
          <w:sz w:val="16"/>
          <w:szCs w:val="16"/>
        </w:rPr>
        <w:softHyphen/>
        <w:t>ли до 6,0, чтобы использовать низ</w:t>
      </w:r>
      <w:r w:rsidRPr="00E93F40">
        <w:rPr>
          <w:rFonts w:ascii="Times New Roman" w:hAnsi="Times New Roman"/>
          <w:color w:val="000000" w:themeColor="text1"/>
          <w:sz w:val="16"/>
          <w:szCs w:val="16"/>
        </w:rPr>
        <w:softHyphen/>
        <w:t>кокачественное топливо, но мощ</w:t>
      </w:r>
      <w:r w:rsidRPr="00E93F40">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E93F40">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E93F40">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E93F40">
        <w:rPr>
          <w:rFonts w:ascii="Times New Roman" w:hAnsi="Times New Roman"/>
          <w:color w:val="000000" w:themeColor="text1"/>
          <w:sz w:val="16"/>
          <w:szCs w:val="16"/>
        </w:rPr>
        <w:softHyphen/>
        <w:t>тью 850 л.с. для танков с изменен</w:t>
      </w:r>
      <w:r w:rsidRPr="00E93F40">
        <w:rPr>
          <w:rFonts w:ascii="Times New Roman" w:hAnsi="Times New Roman"/>
          <w:color w:val="000000" w:themeColor="text1"/>
          <w:sz w:val="16"/>
          <w:szCs w:val="16"/>
        </w:rPr>
        <w:softHyphen/>
        <w:t>ной системой охлаждения, вентиля</w:t>
      </w:r>
      <w:r w:rsidRPr="00E93F40">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E93F40">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E93F40">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E93F40">
        <w:rPr>
          <w:rFonts w:ascii="Times New Roman" w:hAnsi="Times New Roman"/>
          <w:color w:val="000000" w:themeColor="text1"/>
          <w:sz w:val="16"/>
          <w:szCs w:val="16"/>
        </w:rPr>
        <w:softHyphen/>
        <w:t>моходном орудии СУ-100у («Игрек», 1940 г.), применяв</w:t>
      </w:r>
      <w:r w:rsidRPr="00E93F40">
        <w:rPr>
          <w:rFonts w:ascii="Times New Roman" w:hAnsi="Times New Roman"/>
          <w:color w:val="000000" w:themeColor="text1"/>
          <w:sz w:val="16"/>
          <w:szCs w:val="16"/>
        </w:rPr>
        <w:softHyphen/>
        <w:t>шемся в боях под Москвой зимой 1941 г. (11848).</w:t>
      </w:r>
    </w:p>
    <w:p w14:paraId="24056C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0D1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 РВС N 0033 от 4 ноября 1932 года.</w:t>
      </w:r>
    </w:p>
    <w:p w14:paraId="3575D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Ввести на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DA227A" w:rsidRPr="00E93F40" w14:paraId="2F56A4B8" w14:textId="77777777">
        <w:tc>
          <w:tcPr>
            <w:tcW w:w="3757" w:type="dxa"/>
          </w:tcPr>
          <w:p w14:paraId="054B8B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10 кг осколочную авиабомбу</w:t>
            </w:r>
          </w:p>
        </w:tc>
        <w:tc>
          <w:tcPr>
            <w:tcW w:w="3757" w:type="dxa"/>
          </w:tcPr>
          <w:p w14:paraId="3E431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АО-10</w:t>
            </w:r>
          </w:p>
        </w:tc>
      </w:tr>
      <w:tr w:rsidR="00DA227A" w:rsidRPr="00E93F40" w14:paraId="1BF76D5B" w14:textId="77777777">
        <w:tc>
          <w:tcPr>
            <w:tcW w:w="3757" w:type="dxa"/>
          </w:tcPr>
          <w:p w14:paraId="29F9F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10 кг осколочно-хмич. авиабомбу</w:t>
            </w:r>
          </w:p>
        </w:tc>
        <w:tc>
          <w:tcPr>
            <w:tcW w:w="3757" w:type="dxa"/>
          </w:tcPr>
          <w:p w14:paraId="76C26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АОХ-10</w:t>
            </w:r>
          </w:p>
        </w:tc>
      </w:tr>
      <w:tr w:rsidR="00DA227A" w:rsidRPr="00E93F40" w14:paraId="3536F7BA" w14:textId="77777777">
        <w:tc>
          <w:tcPr>
            <w:tcW w:w="3757" w:type="dxa"/>
          </w:tcPr>
          <w:p w14:paraId="7E2B0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25 кг осколочную авиабомбу из 122 мм</w:t>
            </w:r>
          </w:p>
        </w:tc>
        <w:tc>
          <w:tcPr>
            <w:tcW w:w="3757" w:type="dxa"/>
          </w:tcPr>
          <w:p w14:paraId="532B0A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2FF28A" w14:textId="77777777">
        <w:tc>
          <w:tcPr>
            <w:tcW w:w="3757" w:type="dxa"/>
          </w:tcPr>
          <w:p w14:paraId="18CA66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осколоч. фугасн. Снаряда с увеличенной</w:t>
            </w:r>
          </w:p>
        </w:tc>
        <w:tc>
          <w:tcPr>
            <w:tcW w:w="3757" w:type="dxa"/>
          </w:tcPr>
          <w:p w14:paraId="27CCE9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C15C76" w14:textId="77777777">
        <w:tc>
          <w:tcPr>
            <w:tcW w:w="3757" w:type="dxa"/>
          </w:tcPr>
          <w:p w14:paraId="79789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дальностью</w:t>
            </w:r>
          </w:p>
        </w:tc>
        <w:tc>
          <w:tcPr>
            <w:tcW w:w="3757" w:type="dxa"/>
          </w:tcPr>
          <w:p w14:paraId="21D7F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АО-25</w:t>
            </w:r>
          </w:p>
        </w:tc>
      </w:tr>
      <w:tr w:rsidR="00DA227A" w:rsidRPr="00E93F40" w14:paraId="75E8692C" w14:textId="77777777">
        <w:tc>
          <w:tcPr>
            <w:tcW w:w="3757" w:type="dxa"/>
          </w:tcPr>
          <w:p w14:paraId="390523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100 кг фугасную авиабомбу с содержан.</w:t>
            </w:r>
          </w:p>
        </w:tc>
        <w:tc>
          <w:tcPr>
            <w:tcW w:w="3757" w:type="dxa"/>
          </w:tcPr>
          <w:p w14:paraId="1536E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267D997" w14:textId="77777777">
        <w:tc>
          <w:tcPr>
            <w:tcW w:w="3757" w:type="dxa"/>
          </w:tcPr>
          <w:p w14:paraId="7017A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взрывчатого вещества - 35% от веса бомбы</w:t>
            </w:r>
          </w:p>
        </w:tc>
        <w:tc>
          <w:tcPr>
            <w:tcW w:w="3757" w:type="dxa"/>
          </w:tcPr>
          <w:p w14:paraId="577D06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АФ-100</w:t>
            </w:r>
          </w:p>
        </w:tc>
      </w:tr>
      <w:tr w:rsidR="00DA227A" w:rsidRPr="00E93F40" w14:paraId="4221B6EA" w14:textId="77777777">
        <w:tc>
          <w:tcPr>
            <w:tcW w:w="3757" w:type="dxa"/>
          </w:tcPr>
          <w:p w14:paraId="15136E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Однокиллограммовую зажигательную</w:t>
            </w:r>
          </w:p>
        </w:tc>
        <w:tc>
          <w:tcPr>
            <w:tcW w:w="3757" w:type="dxa"/>
          </w:tcPr>
          <w:p w14:paraId="257CD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205988" w14:textId="77777777">
        <w:tc>
          <w:tcPr>
            <w:tcW w:w="3757" w:type="dxa"/>
          </w:tcPr>
          <w:p w14:paraId="2272F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авиабомбу</w:t>
            </w:r>
          </w:p>
        </w:tc>
        <w:tc>
          <w:tcPr>
            <w:tcW w:w="3757" w:type="dxa"/>
          </w:tcPr>
          <w:p w14:paraId="306112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АЭЗ-1</w:t>
            </w:r>
          </w:p>
        </w:tc>
      </w:tr>
      <w:tr w:rsidR="00DA227A" w:rsidRPr="00E93F40" w14:paraId="29BB36AF" w14:textId="77777777">
        <w:tc>
          <w:tcPr>
            <w:tcW w:w="3757" w:type="dxa"/>
          </w:tcPr>
          <w:p w14:paraId="4F176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50 кг фугасную авиабомбу</w:t>
            </w:r>
          </w:p>
        </w:tc>
        <w:tc>
          <w:tcPr>
            <w:tcW w:w="3757" w:type="dxa"/>
          </w:tcPr>
          <w:p w14:paraId="5128E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АФ-50</w:t>
            </w:r>
          </w:p>
        </w:tc>
      </w:tr>
      <w:tr w:rsidR="00DA227A" w:rsidRPr="00E93F40" w14:paraId="78F598D6" w14:textId="77777777">
        <w:tc>
          <w:tcPr>
            <w:tcW w:w="3757" w:type="dxa"/>
          </w:tcPr>
          <w:p w14:paraId="0E2D9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5 кг осветительную авиабомбу</w:t>
            </w:r>
          </w:p>
        </w:tc>
        <w:tc>
          <w:tcPr>
            <w:tcW w:w="3757" w:type="dxa"/>
          </w:tcPr>
          <w:p w14:paraId="06EE2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АС-5</w:t>
            </w:r>
          </w:p>
        </w:tc>
      </w:tr>
      <w:tr w:rsidR="00DA227A" w:rsidRPr="00E93F40" w14:paraId="1F57F597" w14:textId="77777777">
        <w:tc>
          <w:tcPr>
            <w:tcW w:w="3757" w:type="dxa"/>
          </w:tcPr>
          <w:p w14:paraId="00F54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Авиационную головную дистанционную</w:t>
            </w:r>
          </w:p>
        </w:tc>
        <w:tc>
          <w:tcPr>
            <w:tcW w:w="3757" w:type="dxa"/>
          </w:tcPr>
          <w:p w14:paraId="5D5EF7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B3E859" w14:textId="77777777">
        <w:tc>
          <w:tcPr>
            <w:tcW w:w="3757" w:type="dxa"/>
          </w:tcPr>
          <w:p w14:paraId="0C755D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трубку АГДТ</w:t>
            </w:r>
          </w:p>
        </w:tc>
        <w:tc>
          <w:tcPr>
            <w:tcW w:w="3757" w:type="dxa"/>
          </w:tcPr>
          <w:p w14:paraId="0D7F82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942BEE" w14:textId="77777777">
        <w:tc>
          <w:tcPr>
            <w:tcW w:w="3757" w:type="dxa"/>
          </w:tcPr>
          <w:p w14:paraId="63E593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Авиационный головной взрыватель с</w:t>
            </w:r>
          </w:p>
        </w:tc>
        <w:tc>
          <w:tcPr>
            <w:tcW w:w="3757" w:type="dxa"/>
          </w:tcPr>
          <w:p w14:paraId="794AD3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F04735" w14:textId="77777777">
        <w:tc>
          <w:tcPr>
            <w:tcW w:w="3757" w:type="dxa"/>
          </w:tcPr>
          <w:p w14:paraId="3D662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переменным замедлением и с установками</w:t>
            </w:r>
          </w:p>
        </w:tc>
        <w:tc>
          <w:tcPr>
            <w:tcW w:w="3757" w:type="dxa"/>
          </w:tcPr>
          <w:p w14:paraId="13060B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8BD20E" w14:textId="77777777">
        <w:tc>
          <w:tcPr>
            <w:tcW w:w="3757" w:type="dxa"/>
          </w:tcPr>
          <w:p w14:paraId="41E89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замедления на 0,01-0,05, 0,05-0,1 и от</w:t>
            </w:r>
          </w:p>
        </w:tc>
        <w:tc>
          <w:tcPr>
            <w:tcW w:w="3757" w:type="dxa"/>
          </w:tcPr>
          <w:p w14:paraId="143A38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273488" w14:textId="77777777">
        <w:tc>
          <w:tcPr>
            <w:tcW w:w="3757" w:type="dxa"/>
          </w:tcPr>
          <w:p w14:paraId="47061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до 30"</w:t>
            </w:r>
          </w:p>
        </w:tc>
        <w:tc>
          <w:tcPr>
            <w:tcW w:w="3757" w:type="dxa"/>
          </w:tcPr>
          <w:p w14:paraId="4F23A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АГП</w:t>
            </w:r>
          </w:p>
        </w:tc>
      </w:tr>
    </w:tbl>
    <w:p w14:paraId="49170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Для использования производственного брака текущего производства и имеющихся запасов некондиционных артснарядов и мин, допустить на снабжение: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227A" w:rsidRPr="00E93F40" w14:paraId="5528B5D2" w14:textId="77777777">
        <w:tc>
          <w:tcPr>
            <w:tcW w:w="5636" w:type="dxa"/>
          </w:tcPr>
          <w:p w14:paraId="12FD54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15 кг авиабомбу из 107 мм осколочного</w:t>
            </w:r>
          </w:p>
        </w:tc>
        <w:tc>
          <w:tcPr>
            <w:tcW w:w="5636" w:type="dxa"/>
          </w:tcPr>
          <w:p w14:paraId="1BA99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9D4D06" w14:textId="77777777">
        <w:tc>
          <w:tcPr>
            <w:tcW w:w="5636" w:type="dxa"/>
          </w:tcPr>
          <w:p w14:paraId="15D41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снаряда увеличенной дальности</w:t>
            </w:r>
          </w:p>
        </w:tc>
        <w:tc>
          <w:tcPr>
            <w:tcW w:w="5636" w:type="dxa"/>
          </w:tcPr>
          <w:p w14:paraId="04BAC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АО-15с</w:t>
            </w:r>
          </w:p>
        </w:tc>
      </w:tr>
      <w:tr w:rsidR="00DA227A" w:rsidRPr="00E93F40" w14:paraId="468874EA" w14:textId="77777777">
        <w:tc>
          <w:tcPr>
            <w:tcW w:w="5636" w:type="dxa"/>
          </w:tcPr>
          <w:p w14:paraId="2CA0A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25 кг осколочную бомбу из 122 мм</w:t>
            </w:r>
          </w:p>
        </w:tc>
        <w:tc>
          <w:tcPr>
            <w:tcW w:w="5636" w:type="dxa"/>
          </w:tcPr>
          <w:p w14:paraId="2965E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CB5FE5" w14:textId="77777777">
        <w:tc>
          <w:tcPr>
            <w:tcW w:w="5636" w:type="dxa"/>
          </w:tcPr>
          <w:p w14:paraId="7BFA0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фугасного снаряда старого чертежа</w:t>
            </w:r>
          </w:p>
        </w:tc>
        <w:tc>
          <w:tcPr>
            <w:tcW w:w="5636" w:type="dxa"/>
          </w:tcPr>
          <w:p w14:paraId="4115E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АО-25с</w:t>
            </w:r>
          </w:p>
        </w:tc>
      </w:tr>
      <w:tr w:rsidR="00DA227A" w:rsidRPr="00E93F40" w14:paraId="5B125797" w14:textId="77777777">
        <w:tc>
          <w:tcPr>
            <w:tcW w:w="5636" w:type="dxa"/>
          </w:tcPr>
          <w:p w14:paraId="382AD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50 кг фугасную авиабомбу из 152 мм</w:t>
            </w:r>
          </w:p>
        </w:tc>
        <w:tc>
          <w:tcPr>
            <w:tcW w:w="5636" w:type="dxa"/>
          </w:tcPr>
          <w:p w14:paraId="5EE38F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A7F3FA" w14:textId="77777777">
        <w:tc>
          <w:tcPr>
            <w:tcW w:w="5636" w:type="dxa"/>
          </w:tcPr>
          <w:p w14:paraId="69B71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фугасного снаряда старого чертежа,</w:t>
            </w:r>
          </w:p>
        </w:tc>
        <w:tc>
          <w:tcPr>
            <w:tcW w:w="5636" w:type="dxa"/>
          </w:tcPr>
          <w:p w14:paraId="309156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BC0E3E" w14:textId="77777777">
        <w:tc>
          <w:tcPr>
            <w:tcW w:w="5636" w:type="dxa"/>
          </w:tcPr>
          <w:p w14:paraId="1047A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длиною - 3,6 и 4 кал.</w:t>
            </w:r>
          </w:p>
        </w:tc>
        <w:tc>
          <w:tcPr>
            <w:tcW w:w="5636" w:type="dxa"/>
          </w:tcPr>
          <w:p w14:paraId="27C28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АФ-50с</w:t>
            </w:r>
          </w:p>
        </w:tc>
      </w:tr>
      <w:tr w:rsidR="00DA227A" w:rsidRPr="00E93F40" w14:paraId="26C94F17" w14:textId="77777777">
        <w:tc>
          <w:tcPr>
            <w:tcW w:w="5636" w:type="dxa"/>
          </w:tcPr>
          <w:p w14:paraId="057B51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80 кг фугасную авиабомбу из мин</w:t>
            </w:r>
          </w:p>
        </w:tc>
        <w:tc>
          <w:tcPr>
            <w:tcW w:w="5636" w:type="dxa"/>
          </w:tcPr>
          <w:p w14:paraId="66F02B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2C9FA7" w14:textId="77777777">
        <w:tc>
          <w:tcPr>
            <w:tcW w:w="5636" w:type="dxa"/>
          </w:tcPr>
          <w:p w14:paraId="13EBEF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"Ватиньоля"</w:t>
            </w:r>
          </w:p>
        </w:tc>
        <w:tc>
          <w:tcPr>
            <w:tcW w:w="5636" w:type="dxa"/>
          </w:tcPr>
          <w:p w14:paraId="5D59C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АФ-80с</w:t>
            </w:r>
          </w:p>
        </w:tc>
      </w:tr>
      <w:tr w:rsidR="00DA227A" w:rsidRPr="00E93F40" w14:paraId="01F21792" w14:textId="77777777">
        <w:tc>
          <w:tcPr>
            <w:tcW w:w="5636" w:type="dxa"/>
          </w:tcPr>
          <w:p w14:paraId="1FF5BD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220 кг бронебойную авиабомбу из</w:t>
            </w:r>
          </w:p>
        </w:tc>
        <w:tc>
          <w:tcPr>
            <w:tcW w:w="5636" w:type="dxa"/>
          </w:tcPr>
          <w:p w14:paraId="317F76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0699F85" w14:textId="77777777">
        <w:tc>
          <w:tcPr>
            <w:tcW w:w="5636" w:type="dxa"/>
          </w:tcPr>
          <w:p w14:paraId="3F7EF4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 м фугасного снаряда длиною 2,8 кал.</w:t>
            </w:r>
          </w:p>
        </w:tc>
        <w:tc>
          <w:tcPr>
            <w:tcW w:w="5636" w:type="dxa"/>
          </w:tcPr>
          <w:p w14:paraId="046F6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918A78" w14:textId="77777777">
        <w:tc>
          <w:tcPr>
            <w:tcW w:w="5636" w:type="dxa"/>
          </w:tcPr>
          <w:p w14:paraId="2F198E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пушкам 1847 г</w:t>
            </w:r>
          </w:p>
        </w:tc>
        <w:tc>
          <w:tcPr>
            <w:tcW w:w="5636" w:type="dxa"/>
          </w:tcPr>
          <w:p w14:paraId="027AC9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АВр-220с</w:t>
            </w:r>
          </w:p>
        </w:tc>
      </w:tr>
    </w:tbl>
    <w:p w14:paraId="5979FC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 8 кг осколочную авиабомбу АО8-М2, 8 кг осколочно-химическую авиабомбу АОХ-8, 16, 32 и 82 кг фугасные бомбы с 1933 года производством прекратить.</w:t>
      </w:r>
    </w:p>
    <w:p w14:paraId="37D11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Тухачевский (3947,66).</w:t>
      </w:r>
    </w:p>
    <w:p w14:paraId="6C692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EDB3A8" w14:textId="77777777" w:rsidR="00632C89" w:rsidRPr="00E93F40" w:rsidRDefault="00632C89"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0120EB2" w14:textId="77777777" w:rsidR="00632C89" w:rsidRPr="00E93F40" w:rsidRDefault="00632C8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8A8E026"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ноября 1932 опросом членов ПБ</w:t>
      </w:r>
    </w:p>
    <w:p w14:paraId="31AC0592"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37/13.-Предложение т. Ворошилова.</w:t>
      </w:r>
    </w:p>
    <w:p w14:paraId="2F5E7DDE"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т. Ворошилова об освобождении от наказания следующих работников ВВС РККА: 1) Журав</w:t>
      </w:r>
      <w:r w:rsidRPr="00E93F40">
        <w:rPr>
          <w:rFonts w:ascii="Times New Roman" w:hAnsi="Times New Roman"/>
          <w:color w:val="000000" w:themeColor="text1"/>
          <w:sz w:val="16"/>
          <w:szCs w:val="16"/>
        </w:rPr>
        <w:softHyphen/>
        <w:t>лева М.Н., 2 Кобякина И.Д., 3) Вернигород А.ЕХ 4) Гур</w:t>
      </w:r>
      <w:r w:rsidRPr="00E93F40">
        <w:rPr>
          <w:rFonts w:ascii="Times New Roman" w:hAnsi="Times New Roman"/>
          <w:color w:val="000000" w:themeColor="text1"/>
          <w:sz w:val="16"/>
          <w:szCs w:val="16"/>
        </w:rPr>
        <w:softHyphen/>
        <w:t>кина М.А., 5 Петрова А.С., 6) Карпенко С.Г., 7) Моро</w:t>
      </w:r>
      <w:r w:rsidRPr="00E93F40">
        <w:rPr>
          <w:rFonts w:ascii="Times New Roman" w:hAnsi="Times New Roman"/>
          <w:color w:val="000000" w:themeColor="text1"/>
          <w:sz w:val="16"/>
          <w:szCs w:val="16"/>
        </w:rPr>
        <w:softHyphen/>
        <w:t>зова В.С., 8 Селявко Д.М. и 9) Абухова К.И., осужденных согласно постановления ЦК и СНК "об аварийности в час</w:t>
      </w:r>
      <w:r w:rsidRPr="00E93F40">
        <w:rPr>
          <w:rFonts w:ascii="Times New Roman" w:hAnsi="Times New Roman"/>
          <w:color w:val="000000" w:themeColor="text1"/>
          <w:sz w:val="16"/>
          <w:szCs w:val="16"/>
        </w:rPr>
        <w:softHyphen/>
        <w:t>тях ВВС от 3 июля 1932 г." и восстановлении в рядах пар</w:t>
      </w:r>
      <w:r w:rsidRPr="00E93F40">
        <w:rPr>
          <w:rFonts w:ascii="Times New Roman" w:hAnsi="Times New Roman"/>
          <w:color w:val="000000" w:themeColor="text1"/>
          <w:sz w:val="16"/>
          <w:szCs w:val="16"/>
        </w:rPr>
        <w:softHyphen/>
        <w:t>тии бывших членов партии.</w:t>
      </w:r>
    </w:p>
    <w:p w14:paraId="570F8098"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Керженцеву, Ярославскому, Менжин</w:t>
      </w:r>
      <w:r w:rsidRPr="00E93F40">
        <w:rPr>
          <w:rFonts w:ascii="Times New Roman" w:hAnsi="Times New Roman"/>
          <w:color w:val="000000" w:themeColor="text1"/>
          <w:sz w:val="16"/>
          <w:szCs w:val="16"/>
        </w:rPr>
        <w:softHyphen/>
        <w:t>скому.</w:t>
      </w:r>
    </w:p>
    <w:p w14:paraId="08C523FC"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 /14. - О техпомощи по строительству морских судов.</w:t>
      </w:r>
    </w:p>
    <w:p w14:paraId="0E022915"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Считать необходимым привлечение иностранной технической помощи по проектированию и постройке на наших заводах больших и средних быстроходных подвод</w:t>
      </w:r>
      <w:r w:rsidRPr="00E93F40">
        <w:rPr>
          <w:rFonts w:ascii="Times New Roman" w:hAnsi="Times New Roman"/>
          <w:color w:val="000000" w:themeColor="text1"/>
          <w:sz w:val="16"/>
          <w:szCs w:val="16"/>
        </w:rPr>
        <w:softHyphen/>
        <w:t>ных лодок (600-700 и 1.000 - 1.200 тонн водоизмеще</w:t>
      </w:r>
      <w:r w:rsidRPr="00E93F40">
        <w:rPr>
          <w:rFonts w:ascii="Times New Roman" w:hAnsi="Times New Roman"/>
          <w:color w:val="000000" w:themeColor="text1"/>
          <w:sz w:val="16"/>
          <w:szCs w:val="16"/>
        </w:rPr>
        <w:softHyphen/>
        <w:t>ния), эсминцев-лидеров (3.000 тонн водоизмещения) и средних крейсеров (5.000 - 6.000 - 7.000 тонн водо</w:t>
      </w:r>
      <w:r w:rsidRPr="00E93F40">
        <w:rPr>
          <w:rFonts w:ascii="Times New Roman" w:hAnsi="Times New Roman"/>
          <w:color w:val="000000" w:themeColor="text1"/>
          <w:sz w:val="16"/>
          <w:szCs w:val="16"/>
        </w:rPr>
        <w:softHyphen/>
        <w:t>измещения.</w:t>
      </w:r>
    </w:p>
    <w:p w14:paraId="03EEB664"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Немедленно командировать в Германию т.т. Сив</w:t>
      </w:r>
      <w:r w:rsidRPr="00E93F40">
        <w:rPr>
          <w:rFonts w:ascii="Times New Roman" w:hAnsi="Times New Roman"/>
          <w:color w:val="000000" w:themeColor="text1"/>
          <w:sz w:val="16"/>
          <w:szCs w:val="16"/>
        </w:rPr>
        <w:softHyphen/>
        <w:t>кова, Ораса и Перегрудова от НКВМ и т. Никитина от НКТП для переговоров с фирмой J</w:t>
      </w:r>
      <w:r w:rsidRPr="00E93F40">
        <w:rPr>
          <w:rFonts w:ascii="Times New Roman" w:hAnsi="Times New Roman"/>
          <w:color w:val="000000" w:themeColor="text1"/>
          <w:sz w:val="16"/>
          <w:szCs w:val="16"/>
          <w:lang w:val="en-US"/>
        </w:rPr>
        <w:t>VS</w:t>
      </w:r>
      <w:r w:rsidRPr="00E93F40">
        <w:rPr>
          <w:rFonts w:ascii="Times New Roman" w:hAnsi="Times New Roman"/>
          <w:color w:val="000000" w:themeColor="text1"/>
          <w:sz w:val="16"/>
          <w:szCs w:val="16"/>
        </w:rPr>
        <w:t>; с целью выя</w:t>
      </w:r>
      <w:r w:rsidRPr="00E93F40">
        <w:rPr>
          <w:rFonts w:ascii="Times New Roman" w:hAnsi="Times New Roman"/>
          <w:color w:val="000000" w:themeColor="text1"/>
          <w:sz w:val="16"/>
          <w:szCs w:val="16"/>
        </w:rPr>
        <w:softHyphen/>
        <w:t>снения конкретных условий получения техпомощи по проектированию и постройке подлодок на заводах СССР.</w:t>
      </w:r>
    </w:p>
    <w:p w14:paraId="77D7D0CC"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Поручить этой же группе ознакомиться с гер</w:t>
      </w:r>
      <w:r w:rsidRPr="00E93F40">
        <w:rPr>
          <w:rFonts w:ascii="Times New Roman" w:hAnsi="Times New Roman"/>
          <w:color w:val="000000" w:themeColor="text1"/>
          <w:sz w:val="16"/>
          <w:szCs w:val="16"/>
        </w:rPr>
        <w:softHyphen/>
        <w:t>манскими заводами, производящими мощные дизеля, элек</w:t>
      </w:r>
      <w:r w:rsidRPr="00E93F40">
        <w:rPr>
          <w:rFonts w:ascii="Times New Roman" w:hAnsi="Times New Roman"/>
          <w:color w:val="000000" w:themeColor="text1"/>
          <w:sz w:val="16"/>
          <w:szCs w:val="16"/>
        </w:rPr>
        <w:softHyphen/>
        <w:t>трооборудование и другие механизмы для подлодок, вы</w:t>
      </w:r>
      <w:r w:rsidRPr="00E93F40">
        <w:rPr>
          <w:rFonts w:ascii="Times New Roman" w:hAnsi="Times New Roman"/>
          <w:color w:val="000000" w:themeColor="text1"/>
          <w:sz w:val="16"/>
          <w:szCs w:val="16"/>
        </w:rPr>
        <w:softHyphen/>
        <w:t>яснить все условия получения техпомощи по постановке производства в СССР тех аггрегатов и механизмов, ко</w:t>
      </w:r>
      <w:r w:rsidRPr="00E93F40">
        <w:rPr>
          <w:rFonts w:ascii="Times New Roman" w:hAnsi="Times New Roman"/>
          <w:color w:val="000000" w:themeColor="text1"/>
          <w:sz w:val="16"/>
          <w:szCs w:val="16"/>
        </w:rPr>
        <w:softHyphen/>
        <w:t>торые являются особо важными и наиболее трудными для нашего подводного судостроения, связав эти перегово</w:t>
      </w:r>
      <w:r w:rsidRPr="00E93F40">
        <w:rPr>
          <w:rFonts w:ascii="Times New Roman" w:hAnsi="Times New Roman"/>
          <w:color w:val="000000" w:themeColor="text1"/>
          <w:sz w:val="16"/>
          <w:szCs w:val="16"/>
        </w:rPr>
        <w:softHyphen/>
        <w:t>ры с заключением договора о техпомощи и по строитель</w:t>
      </w:r>
      <w:r w:rsidRPr="00E93F40">
        <w:rPr>
          <w:rFonts w:ascii="Times New Roman" w:hAnsi="Times New Roman"/>
          <w:color w:val="000000" w:themeColor="text1"/>
          <w:sz w:val="16"/>
          <w:szCs w:val="16"/>
        </w:rPr>
        <w:softHyphen/>
        <w:t>ству судов.</w:t>
      </w:r>
    </w:p>
    <w:p w14:paraId="2D722456"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Руководство группой возложить на т. Сивкова. Предложить т.т. Хинчуку и Вейцеру оказать т. Сивкову и его группе полное содействие.</w:t>
      </w:r>
    </w:p>
    <w:p w14:paraId="0EE8C565"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Одновременно пригласить в Москву представи</w:t>
      </w:r>
      <w:r w:rsidRPr="00E93F40">
        <w:rPr>
          <w:rFonts w:ascii="Times New Roman" w:hAnsi="Times New Roman"/>
          <w:color w:val="000000" w:themeColor="text1"/>
          <w:sz w:val="16"/>
          <w:szCs w:val="16"/>
        </w:rPr>
        <w:softHyphen/>
        <w:t>телей итальянских судостроительных фирм (Монфальконе, Франко-Тоэи, Ансальдо, Адриатические Верфи), с целью окончательных переговоров о приобретении проектов и техпомощи для постройки на заводах СССР эсминцев-ли</w:t>
      </w:r>
      <w:r w:rsidRPr="00E93F40">
        <w:rPr>
          <w:rFonts w:ascii="Times New Roman" w:hAnsi="Times New Roman"/>
          <w:color w:val="000000" w:themeColor="text1"/>
          <w:sz w:val="16"/>
          <w:szCs w:val="16"/>
        </w:rPr>
        <w:softHyphen/>
        <w:t>деров и средних крейсеров, а также - в случае неудачи переговоров в Германии - и подлодок различного тонна</w:t>
      </w:r>
      <w:r w:rsidRPr="00E93F40">
        <w:rPr>
          <w:rFonts w:ascii="Times New Roman" w:hAnsi="Times New Roman"/>
          <w:color w:val="000000" w:themeColor="text1"/>
          <w:sz w:val="16"/>
          <w:szCs w:val="16"/>
        </w:rPr>
        <w:softHyphen/>
        <w:t>жа. Поручить т.Сивкову из Берлина предварительно со</w:t>
      </w:r>
      <w:r w:rsidRPr="00E93F40">
        <w:rPr>
          <w:rFonts w:ascii="Times New Roman" w:hAnsi="Times New Roman"/>
          <w:color w:val="000000" w:themeColor="text1"/>
          <w:sz w:val="16"/>
          <w:szCs w:val="16"/>
        </w:rPr>
        <w:softHyphen/>
        <w:t>гласовать с указанными итальянскими фирмами все воп</w:t>
      </w:r>
      <w:r w:rsidRPr="00E93F40">
        <w:rPr>
          <w:rFonts w:ascii="Times New Roman" w:hAnsi="Times New Roman"/>
          <w:color w:val="000000" w:themeColor="text1"/>
          <w:sz w:val="16"/>
          <w:szCs w:val="16"/>
        </w:rPr>
        <w:softHyphen/>
        <w:t>росы, которые должны быть с ними рассмотрены в Москве.</w:t>
      </w:r>
    </w:p>
    <w:p w14:paraId="12E9787B"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 Сивкову возможно чаще информировать НКВМ о ходе переговоров.</w:t>
      </w:r>
    </w:p>
    <w:p w14:paraId="21BFB06C"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Орджоникидзе - все; Артузову – п. б</w:t>
      </w:r>
    </w:p>
    <w:p w14:paraId="51DFD961" w14:textId="77777777" w:rsidR="00632C89" w:rsidRPr="00E93F40" w:rsidRDefault="00632C8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ноября 1932 состоялось заседание ПБ (Протокол № 122) (23067).</w:t>
      </w:r>
    </w:p>
    <w:p w14:paraId="13A33648" w14:textId="61F19523" w:rsidR="00632C89" w:rsidRPr="00E93F40" w:rsidRDefault="00632C89" w:rsidP="00E93F40">
      <w:pPr>
        <w:spacing w:after="0" w:line="240" w:lineRule="auto"/>
        <w:jc w:val="both"/>
        <w:rPr>
          <w:rFonts w:ascii="Times New Roman" w:hAnsi="Times New Roman"/>
          <w:color w:val="000000" w:themeColor="text1"/>
          <w:sz w:val="16"/>
          <w:szCs w:val="16"/>
        </w:rPr>
      </w:pPr>
    </w:p>
    <w:p w14:paraId="0BF34A7E" w14:textId="134585BF" w:rsidR="00844066" w:rsidRPr="00E93F40" w:rsidRDefault="00844066"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5A660EA8" w14:textId="77777777" w:rsidR="00844066" w:rsidRPr="00E93F40" w:rsidRDefault="00844066" w:rsidP="00E93F40">
      <w:pPr>
        <w:spacing w:after="0" w:line="240" w:lineRule="auto"/>
        <w:jc w:val="both"/>
        <w:rPr>
          <w:rFonts w:ascii="Times New Roman" w:hAnsi="Times New Roman"/>
          <w:i/>
          <w:iCs/>
          <w:color w:val="000000" w:themeColor="text1"/>
          <w:sz w:val="16"/>
          <w:szCs w:val="16"/>
        </w:rPr>
      </w:pPr>
    </w:p>
    <w:p w14:paraId="1F00B94F" w14:textId="77777777" w:rsidR="00844066" w:rsidRPr="00E93F40" w:rsidRDefault="008440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ноября 1932 состоялся первый полет Бук Качокрыл (20803).</w:t>
      </w:r>
    </w:p>
    <w:p w14:paraId="79D1E024" w14:textId="77777777" w:rsidR="00844066" w:rsidRPr="00E93F40" w:rsidRDefault="00844066" w:rsidP="00E93F40">
      <w:pPr>
        <w:spacing w:after="0" w:line="240" w:lineRule="auto"/>
        <w:jc w:val="both"/>
        <w:rPr>
          <w:rFonts w:ascii="Times New Roman" w:hAnsi="Times New Roman"/>
          <w:color w:val="000000" w:themeColor="text1"/>
          <w:sz w:val="16"/>
          <w:szCs w:val="16"/>
        </w:rPr>
      </w:pPr>
    </w:p>
    <w:p w14:paraId="0390BA1F" w14:textId="72419C9A" w:rsidR="00844066" w:rsidRPr="00E93F40" w:rsidRDefault="008440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ноября 1932 года — первый полёт лёгкого многоцелевого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Beechcraft Model 17 Staggerwing. /США/</w:t>
      </w:r>
    </w:p>
    <w:p w14:paraId="6240E03F" w14:textId="3D3B8B45" w:rsidR="00844066" w:rsidRPr="00E93F40" w:rsidRDefault="008440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разгаре Великой депрессии в 1932 году авиатор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Уолтер Бич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(Walter Beech) вместе со своей женой основали компанию</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Beech Aircraft Company. Первенцем производителя стал пассажирский биплан, ориентированный на использование бизнесменами. Руководил проектом Model 17 Staggerwing конструктор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Тед Уэллс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(Ted Wells).</w:t>
      </w:r>
    </w:p>
    <w:p w14:paraId="6DE7B86F" w14:textId="717FA997" w:rsidR="00844066" w:rsidRPr="00E93F40" w:rsidRDefault="008440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Особенностью Staggerwing было смещение назад верхнего крыла — для лучшего обзора и устойчивости в полёте. На ранних моделях шасси было неубирающимся, позже его сделали убирающимся. Первые серийные самолёты оснащались двигателем Jacobs L-5. В кабине помещались 3-4 пассажира и 1 пилот. Максимальная скорость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341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 дальность полёта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1078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w:t>
      </w:r>
    </w:p>
    <w:p w14:paraId="6D9B7B93" w14:textId="716EB067" w:rsidR="00844066" w:rsidRPr="00E93F40" w:rsidRDefault="008440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Самолёт получился очень удачным. С 1933 по 1949 год выпустили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785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единиц Model 17. Они эксплуатировались как частными владельцами, так и ВВС разных стран. На сегодня сохранилось около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самолётов Model 17 Staggerwing. Одним из самых известных владельцев Staggerwing является Дэвид Гилмор из Pink Floyd (22300).</w:t>
      </w:r>
    </w:p>
    <w:p w14:paraId="00E09CFC" w14:textId="77777777" w:rsidR="00844066" w:rsidRPr="00E93F40" w:rsidRDefault="00844066" w:rsidP="00E93F40">
      <w:pPr>
        <w:spacing w:after="0" w:line="240" w:lineRule="auto"/>
        <w:jc w:val="both"/>
        <w:rPr>
          <w:rFonts w:ascii="Times New Roman" w:hAnsi="Times New Roman"/>
          <w:color w:val="000000" w:themeColor="text1"/>
          <w:sz w:val="16"/>
          <w:szCs w:val="16"/>
        </w:rPr>
      </w:pPr>
    </w:p>
    <w:p w14:paraId="43F31649" w14:textId="4A5F7A45" w:rsidR="00844066" w:rsidRPr="00E93F40" w:rsidRDefault="008440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val="en-US"/>
        </w:rPr>
        <w:t xml:space="preserve">4 </w:t>
      </w:r>
      <w:r w:rsidRPr="00E93F40">
        <w:rPr>
          <w:rFonts w:ascii="Times New Roman" w:hAnsi="Times New Roman"/>
          <w:color w:val="000000" w:themeColor="text1"/>
          <w:sz w:val="16"/>
          <w:szCs w:val="16"/>
        </w:rPr>
        <w:t>ноября</w:t>
      </w:r>
      <w:r w:rsidRPr="00E93F40">
        <w:rPr>
          <w:rFonts w:ascii="Times New Roman" w:hAnsi="Times New Roman"/>
          <w:color w:val="000000" w:themeColor="text1"/>
          <w:sz w:val="16"/>
          <w:szCs w:val="16"/>
          <w:lang w:val="en-US"/>
        </w:rPr>
        <w:t xml:space="preserve"> 1932</w:t>
      </w:r>
      <w:r w:rsidR="007C1411"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lang w:val="en-US"/>
        </w:rPr>
        <w:t>-</w:t>
      </w:r>
      <w:r w:rsidR="007C1411"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Первый</w:t>
      </w:r>
      <w:r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полёт</w:t>
      </w:r>
      <w:r w:rsidRPr="00E93F40">
        <w:rPr>
          <w:rFonts w:ascii="Times New Roman" w:hAnsi="Times New Roman"/>
          <w:color w:val="000000" w:themeColor="text1"/>
          <w:sz w:val="16"/>
          <w:szCs w:val="16"/>
          <w:lang w:val="en-US"/>
        </w:rPr>
        <w:t xml:space="preserve"> Beechcraft Model 17 Staggerwing. </w:t>
      </w:r>
      <w:r w:rsidRPr="00E93F40">
        <w:rPr>
          <w:rFonts w:ascii="Times New Roman" w:hAnsi="Times New Roman"/>
          <w:color w:val="000000" w:themeColor="text1"/>
          <w:sz w:val="16"/>
          <w:szCs w:val="16"/>
        </w:rPr>
        <w:t>В разгар Великой депрессии авиаконструктор Уолтер Х. Бич и авиаконструктор Тед А. Уэллс объединили усилия для совместной работы над проектом по созданию большого, мощного и быстрого биплана с кабиной, построенного специально для бизнесменов. Особенностью был вынос назад верхних крыльев биплана. Использовался в качестве самолёта представительского класса, его основными конкурентами были бипланы серии Waco Custom Cabin и Waco Standard Cabin (22316).</w:t>
      </w:r>
    </w:p>
    <w:p w14:paraId="5FAAC4D6" w14:textId="77777777" w:rsidR="00844066" w:rsidRPr="00E93F40" w:rsidRDefault="00844066" w:rsidP="00E93F40">
      <w:pPr>
        <w:spacing w:after="0" w:line="240" w:lineRule="auto"/>
        <w:jc w:val="both"/>
        <w:rPr>
          <w:rFonts w:ascii="Times New Roman" w:hAnsi="Times New Roman"/>
          <w:color w:val="000000" w:themeColor="text1"/>
          <w:sz w:val="16"/>
          <w:szCs w:val="16"/>
        </w:rPr>
      </w:pPr>
    </w:p>
    <w:p w14:paraId="182C226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02FD68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646CD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ноября 1932 на БИЧ-7 Черановского выполняли полет на устойчивость с увеличенной площадью фтетнеров. Получили обратные усилия на ручку, что дало впечатление кабрирования с-та в нормальном полете. Летали 30 мин. (2307).</w:t>
      </w:r>
    </w:p>
    <w:p w14:paraId="15586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AFD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ноября 1932 выпущенная головная машина автожир 4-ЭА с мотором М-26 совершила первый пробный полет над аэродромом на высоте примерно 120 метров. Пилотировал машину летчик Корзинщиков (3028).</w:t>
      </w:r>
    </w:p>
    <w:p w14:paraId="230E75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B09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ноября 1932 вышел приказ ГУАП НКТП о том, что в 1932 исполнилось 10 лет со дня организации Отдела испытаний авиационных материалов и конструкций (ОИАМиК) (173,334).</w:t>
      </w:r>
    </w:p>
    <w:p w14:paraId="1DA3B2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FFB7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ноября 1932 приказом № 173 по Авиатресту завод № 19 в Перми был зачислен в число действующих предприятий и началось освоение деталей М-22 (9088,183).</w:t>
      </w:r>
    </w:p>
    <w:p w14:paraId="0C1CE4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7BB59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3F2A8D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4510E8"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5 ноября 1932 года ход работ «по серийным единицам в спеццехе завода «Можерез» был следующим:</w:t>
      </w:r>
    </w:p>
    <w:p w14:paraId="47A68054"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«Д-2 № 1 - готов, за исключением пулемета с новым приемником. Ведется регулировка сцепной муфты;</w:t>
      </w:r>
    </w:p>
    <w:p w14:paraId="5995EDA8"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2,3, о - кроме вышеуказанного - нет аппаратов СП-95, не закончена укладка;</w:t>
      </w:r>
    </w:p>
    <w:p w14:paraId="67CB2962"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4,5 - кроме вышеуказанного нет шаровых установок, редуктора, гидропомпы, телефона, вентилятора, бензобаков. Производится переделка поворотного механизма башен;</w:t>
      </w:r>
    </w:p>
    <w:p w14:paraId="77FF8F42"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7,8 - кроме вышеуказанного нет управления сцепной муфтой;</w:t>
      </w:r>
    </w:p>
    <w:p w14:paraId="2227BE14"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9 - закончен корпус и башни, установлены рессорные буксовые стойки и рычажная передача тормоза, поставлены сцепные и ударные приборы;</w:t>
      </w:r>
    </w:p>
    <w:p w14:paraId="69B3DCB4"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10 - корпус и башни закончены, установлены рессорные буксовые стойки и рычажная передача тормоза;</w:t>
      </w:r>
    </w:p>
    <w:p w14:paraId="3426E49F"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11,12,13,14 - изменений нет (закончены корпуса и башни, ведется изготовление рессорных буксовых стоек».</w:t>
      </w:r>
    </w:p>
    <w:p w14:paraId="531D6B92"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до конца года Можерез так и не смог сдать ни одного мотоброневагона Д-2. Первый серийный образец, проходивший заводские испытания еще с июня, в очередной раз вышел из строя. Так, в сводке по заводу Можерез от 10 декабря 1932 года сообщалось, что в мотоброневагоне Д-2 № 1</w:t>
      </w:r>
    </w:p>
    <w:p w14:paraId="2AB4A8A4"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«устраняются дефекты реверса и переделывается фундамент под мотором» (15624).</w:t>
      </w:r>
    </w:p>
    <w:p w14:paraId="6FB664EE" w14:textId="77777777" w:rsidR="002812F6" w:rsidRPr="00E93F40" w:rsidRDefault="002812F6" w:rsidP="00E93F40">
      <w:pPr>
        <w:spacing w:after="0" w:line="240" w:lineRule="auto"/>
        <w:jc w:val="both"/>
        <w:rPr>
          <w:rFonts w:ascii="Times New Roman" w:hAnsi="Times New Roman"/>
          <w:color w:val="000000" w:themeColor="text1"/>
          <w:sz w:val="16"/>
          <w:szCs w:val="16"/>
        </w:rPr>
      </w:pPr>
    </w:p>
    <w:p w14:paraId="434AF7FF" w14:textId="591D7775"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 ноября 1932 года ход работ «по серийным единицам в спеццехе завода «Можерез» был следующим:</w:t>
      </w:r>
      <w:r w:rsidR="007C1411" w:rsidRPr="00E93F40">
        <w:rPr>
          <w:rFonts w:ascii="Times New Roman" w:hAnsi="Times New Roman"/>
          <w:color w:val="000000" w:themeColor="text1"/>
          <w:sz w:val="16"/>
          <w:szCs w:val="16"/>
        </w:rPr>
        <w:t xml:space="preserve"> </w:t>
      </w:r>
    </w:p>
    <w:p w14:paraId="2E18BD17" w14:textId="7B92D4C8"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«Д-2 № 1 - готов, за исключением пулемета с новым приемником. Ведется регулировка сцепной муфты;</w:t>
      </w:r>
      <w:r w:rsidR="007C1411" w:rsidRPr="00E93F40">
        <w:rPr>
          <w:rFonts w:ascii="Times New Roman" w:hAnsi="Times New Roman"/>
          <w:color w:val="000000" w:themeColor="text1"/>
          <w:sz w:val="16"/>
          <w:szCs w:val="16"/>
        </w:rPr>
        <w:t xml:space="preserve"> </w:t>
      </w:r>
    </w:p>
    <w:p w14:paraId="061AF1D4" w14:textId="727200BC"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 3, 6 - кроме вышеуказанного - нет аппаратов СП-95, не закончена укладка;</w:t>
      </w:r>
      <w:r w:rsidR="007C1411" w:rsidRPr="00E93F40">
        <w:rPr>
          <w:rFonts w:ascii="Times New Roman" w:hAnsi="Times New Roman"/>
          <w:color w:val="000000" w:themeColor="text1"/>
          <w:sz w:val="16"/>
          <w:szCs w:val="16"/>
        </w:rPr>
        <w:t xml:space="preserve"> </w:t>
      </w:r>
    </w:p>
    <w:p w14:paraId="52BBF6A8" w14:textId="18253E99"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4, 5 - кроме вышеуказанного нет шаровых установок, редуктора, гидропомпы, телефона, вентилятора, бензобаков. Производится переделка поворотного механизма башен;</w:t>
      </w:r>
      <w:r w:rsidR="007C1411" w:rsidRPr="00E93F40">
        <w:rPr>
          <w:rFonts w:ascii="Times New Roman" w:hAnsi="Times New Roman"/>
          <w:color w:val="000000" w:themeColor="text1"/>
          <w:sz w:val="16"/>
          <w:szCs w:val="16"/>
        </w:rPr>
        <w:t xml:space="preserve"> </w:t>
      </w:r>
    </w:p>
    <w:p w14:paraId="0FF25E0E" w14:textId="75DEE825"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7, 8 - кроме вышеуказанного нет управления сцепной муфтой;</w:t>
      </w:r>
      <w:r w:rsidR="007C1411" w:rsidRPr="00E93F40">
        <w:rPr>
          <w:rFonts w:ascii="Times New Roman" w:hAnsi="Times New Roman"/>
          <w:color w:val="000000" w:themeColor="text1"/>
          <w:sz w:val="16"/>
          <w:szCs w:val="16"/>
        </w:rPr>
        <w:t xml:space="preserve"> </w:t>
      </w:r>
    </w:p>
    <w:p w14:paraId="600EFC73" w14:textId="66B09409"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9 - закончен корпус и башни, установлены рессорные буксовые стойки и рычажная передача тормоза, поставлены сцепные и ударные приборы;</w:t>
      </w:r>
      <w:r w:rsidR="007C1411" w:rsidRPr="00E93F40">
        <w:rPr>
          <w:rFonts w:ascii="Times New Roman" w:hAnsi="Times New Roman"/>
          <w:color w:val="000000" w:themeColor="text1"/>
          <w:sz w:val="16"/>
          <w:szCs w:val="16"/>
        </w:rPr>
        <w:t xml:space="preserve"> </w:t>
      </w:r>
    </w:p>
    <w:p w14:paraId="39F7BEEA" w14:textId="75ADD39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10 - корпус и башни закончены, установлены рессорные буксовые стойки и рычажная передача тормоза;</w:t>
      </w:r>
      <w:r w:rsidR="007C1411" w:rsidRPr="00E93F40">
        <w:rPr>
          <w:rFonts w:ascii="Times New Roman" w:hAnsi="Times New Roman"/>
          <w:color w:val="000000" w:themeColor="text1"/>
          <w:sz w:val="16"/>
          <w:szCs w:val="16"/>
        </w:rPr>
        <w:t xml:space="preserve"> </w:t>
      </w:r>
    </w:p>
    <w:p w14:paraId="7063E980"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11, 12, 13, 14 - изменений нет (закончены корпуса и башни, ведется изготовление рессорных буксовых стоек» (18626).</w:t>
      </w:r>
    </w:p>
    <w:p w14:paraId="4401D32E"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599A4C2E"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5 ноября 1932 года ход работ «по серийным единицам в спеццехе завода «Можерез» был следующим:</w:t>
      </w:r>
    </w:p>
    <w:p w14:paraId="0F696112"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«Д-2 № 1 — готов, за исключением пулемета с новым приемником. Ведется регулировка сцепной муфты;</w:t>
      </w:r>
    </w:p>
    <w:p w14:paraId="58BDB9A4"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2,3, о — кроме вышеуказанного — нет аппаратов СП-95, не закончена укладка;</w:t>
      </w:r>
    </w:p>
    <w:p w14:paraId="0187BB13"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4,5 — кроме вышеуказанного нет шаровых установок, редуктора, гидропомпы, телефона, вентилятора, бензобаков. Производится переделка поворотного механизма башен;</w:t>
      </w:r>
    </w:p>
    <w:p w14:paraId="4F2069FE"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7,8 — кроме вышеуказанного нет управления сцепной муфтой;</w:t>
      </w:r>
    </w:p>
    <w:p w14:paraId="298F27EB"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9 — закончен корпус и башни, установлены рессорные буксовые стойки и рычажная передача тормоза, поставлены сцепные и ударные приборы;</w:t>
      </w:r>
    </w:p>
    <w:p w14:paraId="73FB1DDC"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10 — корпус и башни закончены, установлены рессорные буксовые стойки и рычажная передача тормоза;</w:t>
      </w:r>
    </w:p>
    <w:p w14:paraId="03B589AC"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11,12,13,14 — изменений нет (закончены корпуса и башни, ведется изготовление рессорных буксовых стоек».</w:t>
      </w:r>
    </w:p>
    <w:p w14:paraId="666F2BA0"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до конца года Можерез так и не смог сдать ни одного мотоброневагона Д-2. Первый серийный образец, проходивший заводские испытания еще с июня, в очередной раз вышел из строя (25568).</w:t>
      </w:r>
    </w:p>
    <w:p w14:paraId="51E99668" w14:textId="77777777" w:rsidR="00D33067" w:rsidRPr="00142305" w:rsidRDefault="00D33067" w:rsidP="00D33067">
      <w:pPr>
        <w:spacing w:after="0" w:line="240" w:lineRule="auto"/>
        <w:jc w:val="both"/>
        <w:rPr>
          <w:rFonts w:ascii="Times New Roman" w:hAnsi="Times New Roman"/>
          <w:color w:val="0070C0"/>
          <w:sz w:val="16"/>
          <w:szCs w:val="16"/>
        </w:rPr>
      </w:pPr>
    </w:p>
    <w:p w14:paraId="150F52F8" w14:textId="77777777" w:rsidR="006E2EBF" w:rsidRPr="00E93F40" w:rsidRDefault="006E2EBF"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color w:val="000000" w:themeColor="text1"/>
          <w:sz w:val="16"/>
          <w:szCs w:val="16"/>
        </w:rPr>
        <w:t>5 ноября 1932 г.</w:t>
      </w:r>
    </w:p>
    <w:p w14:paraId="07EEC3F9" w14:textId="77777777" w:rsidR="006E2EBF" w:rsidRPr="00E93F40" w:rsidRDefault="006E2EBF"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color w:val="000000" w:themeColor="text1"/>
          <w:sz w:val="16"/>
          <w:szCs w:val="16"/>
        </w:rPr>
        <w:t>Сообщение ОГПУ о постройке первого советского электровоза. 5 ноября 1932 г.</w:t>
      </w:r>
    </w:p>
    <w:p w14:paraId="6DE0CCB2" w14:textId="661A30C9" w:rsidR="006E2EBF" w:rsidRPr="00E93F40" w:rsidRDefault="006E2EBF"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Источник:</w:t>
      </w:r>
      <w:r w:rsidR="007C1411" w:rsidRPr="00E93F40">
        <w:rPr>
          <w:rFonts w:ascii="Times New Roman" w:hAnsi="Times New Roman"/>
          <w:bCs/>
          <w:color w:val="000000" w:themeColor="text1"/>
          <w:sz w:val="16"/>
          <w:szCs w:val="16"/>
        </w:rPr>
        <w:t xml:space="preserve"> </w:t>
      </w:r>
    </w:p>
    <w:p w14:paraId="6419AD11"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 Лубянка — Сталину о положении в стране (1922-1934 гг.)</w:t>
      </w:r>
    </w:p>
    <w:p w14:paraId="48114E4D" w14:textId="2E5106CA" w:rsidR="006E2EBF" w:rsidRPr="00E93F40" w:rsidRDefault="006E2EBF"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Архив:</w:t>
      </w:r>
      <w:r w:rsidR="007C1411" w:rsidRPr="00E93F40">
        <w:rPr>
          <w:rFonts w:ascii="Times New Roman" w:hAnsi="Times New Roman"/>
          <w:bCs/>
          <w:color w:val="000000" w:themeColor="text1"/>
          <w:sz w:val="16"/>
          <w:szCs w:val="16"/>
        </w:rPr>
        <w:t xml:space="preserve"> </w:t>
      </w:r>
    </w:p>
    <w:p w14:paraId="5AF5B3BE"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 2. Оп. 10. Д. 21. Л. 300. Копия</w:t>
      </w:r>
    </w:p>
    <w:p w14:paraId="1EFD5CB6" w14:textId="77777777" w:rsidR="006E2EBF" w:rsidRPr="00E93F40" w:rsidRDefault="006E2EBF" w:rsidP="00E93F40">
      <w:pPr>
        <w:pStyle w:val="rteright"/>
        <w:spacing w:before="0" w:after="0"/>
        <w:jc w:val="both"/>
        <w:rPr>
          <w:color w:val="000000" w:themeColor="text1"/>
          <w:sz w:val="16"/>
          <w:szCs w:val="16"/>
        </w:rPr>
      </w:pPr>
      <w:r w:rsidRPr="00E93F40">
        <w:rPr>
          <w:color w:val="000000" w:themeColor="text1"/>
          <w:sz w:val="16"/>
          <w:szCs w:val="16"/>
        </w:rPr>
        <w:t>5 ноября 1932 г.</w:t>
      </w:r>
    </w:p>
    <w:p w14:paraId="78DA800A" w14:textId="77777777" w:rsidR="006E2EBF" w:rsidRPr="00E93F40" w:rsidRDefault="006E2EBF" w:rsidP="00E93F40">
      <w:pPr>
        <w:pStyle w:val="rteright"/>
        <w:spacing w:before="0" w:after="0"/>
        <w:jc w:val="both"/>
        <w:rPr>
          <w:color w:val="000000" w:themeColor="text1"/>
          <w:sz w:val="16"/>
          <w:szCs w:val="16"/>
        </w:rPr>
      </w:pPr>
      <w:r w:rsidRPr="00E93F40">
        <w:rPr>
          <w:color w:val="000000" w:themeColor="text1"/>
          <w:sz w:val="16"/>
          <w:szCs w:val="16"/>
        </w:rPr>
        <w:t>№ 40590</w:t>
      </w:r>
    </w:p>
    <w:p w14:paraId="716EFC3C" w14:textId="77777777" w:rsidR="006E2EBF" w:rsidRPr="00E93F40" w:rsidRDefault="006E2EBF" w:rsidP="00E93F40">
      <w:pPr>
        <w:pStyle w:val="ae"/>
        <w:spacing w:before="0" w:after="0"/>
        <w:jc w:val="both"/>
        <w:rPr>
          <w:color w:val="000000" w:themeColor="text1"/>
          <w:sz w:val="16"/>
          <w:szCs w:val="16"/>
        </w:rPr>
      </w:pPr>
      <w:r w:rsidRPr="00E93F40">
        <w:rPr>
          <w:color w:val="000000" w:themeColor="text1"/>
          <w:sz w:val="16"/>
          <w:szCs w:val="16"/>
        </w:rPr>
        <w:t>Секретарю ЦК ВКП(б) т. Сталину</w:t>
      </w:r>
    </w:p>
    <w:p w14:paraId="49CF8CB2" w14:textId="77777777" w:rsidR="006E2EBF" w:rsidRPr="00E93F40" w:rsidRDefault="006E2EBF" w:rsidP="00E93F40">
      <w:pPr>
        <w:pStyle w:val="rtejustify"/>
        <w:spacing w:before="0" w:after="0"/>
        <w:rPr>
          <w:color w:val="000000" w:themeColor="text1"/>
          <w:sz w:val="16"/>
          <w:szCs w:val="16"/>
        </w:rPr>
      </w:pPr>
      <w:r w:rsidRPr="00E93F40">
        <w:rPr>
          <w:color w:val="000000" w:themeColor="text1"/>
          <w:sz w:val="16"/>
          <w:szCs w:val="16"/>
        </w:rPr>
        <w:t>Сообщаю, что к 15-й годовщине Октября закончен постройкой на Коломенском заводе и заводе «Динамо» первый советский электровоз для магистральных линий типа 0-3-0+0-3-0 с нагрузкой 19 т на ось согласно проекту, разработанного ТО ОГПУ по заданию т. Благонравова и представленного Вам 13 декабря 1931 г. за № 41060.</w:t>
      </w:r>
    </w:p>
    <w:p w14:paraId="3A556F17" w14:textId="77777777" w:rsidR="006E2EBF" w:rsidRPr="00E93F40" w:rsidRDefault="006E2EBF" w:rsidP="00E93F40">
      <w:pPr>
        <w:pStyle w:val="rtejustify"/>
        <w:spacing w:before="0" w:after="0"/>
        <w:rPr>
          <w:color w:val="000000" w:themeColor="text1"/>
          <w:sz w:val="16"/>
          <w:szCs w:val="16"/>
        </w:rPr>
      </w:pPr>
      <w:r w:rsidRPr="00E93F40">
        <w:rPr>
          <w:color w:val="000000" w:themeColor="text1"/>
          <w:sz w:val="16"/>
          <w:szCs w:val="16"/>
        </w:rPr>
        <w:t>Решениями собраний рабочих, инженеров, техников и служащих заводов, строивших электровоз, ему присвоена серия «ВЛ» (имени В.И. Ульянова-Ленина).</w:t>
      </w:r>
    </w:p>
    <w:p w14:paraId="7A93AACE" w14:textId="77777777" w:rsidR="006E2EBF" w:rsidRPr="00E93F40" w:rsidRDefault="006E2EBF" w:rsidP="00E93F40">
      <w:pPr>
        <w:pStyle w:val="rtejustify"/>
        <w:spacing w:before="0" w:after="0"/>
        <w:rPr>
          <w:color w:val="000000" w:themeColor="text1"/>
          <w:sz w:val="16"/>
          <w:szCs w:val="16"/>
        </w:rPr>
      </w:pPr>
      <w:r w:rsidRPr="00E93F40">
        <w:rPr>
          <w:color w:val="000000" w:themeColor="text1"/>
          <w:sz w:val="16"/>
          <w:szCs w:val="16"/>
        </w:rPr>
        <w:t>Электровоз ВЛ обладает силой тяги в 20 тыс. кг, одинаковой с силой тяги построенного по проекту ТО ОГПУ сверхмощного товарного паровоза серии ФД. Вместе с тем мощность электровоза ВЛ позволяет ему вести составы одинаковые по весу с составами паровоза ФД, но со скоростью (на расчетном подъеме), превосходящей соответствующую скорость паровоза ФД на 60-70 %.</w:t>
      </w:r>
    </w:p>
    <w:p w14:paraId="0E0C9ECB" w14:textId="77777777" w:rsidR="006E2EBF" w:rsidRPr="00E93F40" w:rsidRDefault="006E2EBF" w:rsidP="00E93F40">
      <w:pPr>
        <w:pStyle w:val="rtejustify"/>
        <w:spacing w:before="0" w:after="0"/>
        <w:rPr>
          <w:color w:val="000000" w:themeColor="text1"/>
          <w:sz w:val="16"/>
          <w:szCs w:val="16"/>
        </w:rPr>
      </w:pPr>
      <w:r w:rsidRPr="00E93F40">
        <w:rPr>
          <w:color w:val="000000" w:themeColor="text1"/>
          <w:sz w:val="16"/>
          <w:szCs w:val="16"/>
        </w:rPr>
        <w:t>Ходовые качества электровоза ВЛ дают ему возможность обслуживать также и тяжелые пассажирские поезда с предельными скоростями 70-80 км/ч.</w:t>
      </w:r>
    </w:p>
    <w:p w14:paraId="15349243" w14:textId="77777777" w:rsidR="006E2EBF" w:rsidRPr="00E93F40" w:rsidRDefault="006E2EBF" w:rsidP="00E93F40">
      <w:pPr>
        <w:pStyle w:val="rtejustify"/>
        <w:spacing w:before="0" w:after="0"/>
        <w:rPr>
          <w:color w:val="000000" w:themeColor="text1"/>
          <w:sz w:val="16"/>
          <w:szCs w:val="16"/>
        </w:rPr>
      </w:pPr>
      <w:r w:rsidRPr="00E93F40">
        <w:rPr>
          <w:color w:val="000000" w:themeColor="text1"/>
          <w:sz w:val="16"/>
          <w:szCs w:val="16"/>
        </w:rPr>
        <w:t>По своему электрооборудованию электровоз ВЛ может работать как на магистралях с напряжением тока в 3 тыс. вольт, так и на пригородных линиях с напряжением в 1500 вольт (при незначительных изменениях в схеме оборудования).</w:t>
      </w:r>
    </w:p>
    <w:p w14:paraId="1CDBD6E1" w14:textId="77777777" w:rsidR="006E2EBF" w:rsidRPr="00E93F40" w:rsidRDefault="006E2EBF" w:rsidP="00E93F40">
      <w:pPr>
        <w:pStyle w:val="ae"/>
        <w:spacing w:before="0" w:after="0"/>
        <w:jc w:val="both"/>
        <w:rPr>
          <w:color w:val="000000" w:themeColor="text1"/>
          <w:sz w:val="16"/>
          <w:szCs w:val="16"/>
        </w:rPr>
      </w:pPr>
      <w:r w:rsidRPr="00E93F40">
        <w:rPr>
          <w:color w:val="000000" w:themeColor="text1"/>
          <w:sz w:val="16"/>
          <w:szCs w:val="16"/>
        </w:rPr>
        <w:t>Председатель ОГПУ Менжинский</w:t>
      </w:r>
    </w:p>
    <w:p w14:paraId="38CF349B" w14:textId="77777777" w:rsidR="006E2EBF" w:rsidRPr="00E93F40" w:rsidRDefault="006E2EBF" w:rsidP="00E93F40">
      <w:pPr>
        <w:pStyle w:val="ae"/>
        <w:spacing w:before="0" w:after="0"/>
        <w:jc w:val="both"/>
        <w:rPr>
          <w:color w:val="000000" w:themeColor="text1"/>
          <w:sz w:val="16"/>
          <w:szCs w:val="16"/>
        </w:rPr>
      </w:pPr>
      <w:r w:rsidRPr="00E93F40">
        <w:rPr>
          <w:rStyle w:val="af0"/>
          <w:i w:val="0"/>
          <w:color w:val="000000" w:themeColor="text1"/>
          <w:sz w:val="16"/>
          <w:szCs w:val="16"/>
        </w:rPr>
        <w:t>Ф. 2. Оп. 10. Д. 21. Л. 300. Копия (19174)</w:t>
      </w:r>
      <w:r w:rsidRPr="00E93F40">
        <w:rPr>
          <w:color w:val="000000" w:themeColor="text1"/>
          <w:sz w:val="16"/>
          <w:szCs w:val="16"/>
        </w:rPr>
        <w:t>.</w:t>
      </w:r>
    </w:p>
    <w:p w14:paraId="0021E100"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2EC16371"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5 ноября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1387/408сс о зачислении слушателей промфакультетов, преподавательского и административно-технического состава Академии связи им. Подбельского на курсантский паек и получение военного обмундирования (ГА РФ. Ф. Р?8418. Оп. 28. Д. 1а. Л. 378) (12415).</w:t>
      </w:r>
    </w:p>
    <w:p w14:paraId="4C10A07F"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34EA0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ноября 1932 года на Северной верфи в Ленинграде был заложен третий лидер — "Ленинград", ставший головным в I серии (3898). Строи</w:t>
      </w:r>
      <w:r w:rsidRPr="00E93F40">
        <w:rPr>
          <w:rFonts w:ascii="Times New Roman" w:hAnsi="Times New Roman"/>
          <w:color w:val="000000" w:themeColor="text1"/>
          <w:sz w:val="16"/>
          <w:szCs w:val="16"/>
        </w:rPr>
        <w:softHyphen/>
        <w:t>телем "Ленинграда" стал инженер-кораблестроитель А. Н. Нейман, наблюдающим от ВМФ был назначен инженер А. Э. Цукшвердт (3898).</w:t>
      </w:r>
    </w:p>
    <w:p w14:paraId="10AB21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3F4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ноября 1932 года, на Северной судостроительной верфи в Ленинграде за­ложили головной корабль проекта 1 для Балтийского моря «Ленинград» (заводской номер С-450). Строительство кораблей по проекту 1 было поручено наиболее подготовленным в то время судостроительным предприяти­ям: Северной судостроительной верфи в Ленинграде и заводу им. А.Марти в Нико­лаеве. Впоследствии для постройки лиде­ров проекта 38 к ним прибавился вновь со­зданный завод в Комсомольске-на-Амуре. Для обеспечения поставок по кооперации привлекались другие заводы, в том числе Ижорский завод (сталь, прокат), заводы «Большевик» и им.Калинина (артустановки), Харьковский турбогенераторный (11866).</w:t>
      </w:r>
    </w:p>
    <w:p w14:paraId="65B15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031021" w14:textId="4A85B72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заводе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190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Жданова) в Ленинграде был заложен Лидер “Ленинград”. 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спущен на воду и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вступил в строй в составе Балтийского флота. До июля</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он фактически достраивался на плаву. 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1939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“Ленинград” поставили на капитальный ремонт, так как во время похода на скорости 18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узлов у котла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 стали лопаться трубки. В ходе ремонта на лидере сменили 732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трубки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старые оказались дефектными и недобросовестно смонтированными. В ноябре 1939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“Ленинград” был включен в состав группы кораблей эскадры Балтийского флота. Всего со времени окончания Финской войны и до 22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июня 1941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лидер 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708EB2D4" w14:textId="77777777" w:rsidR="00BD5738" w:rsidRPr="00E93F40" w:rsidRDefault="00BD5738" w:rsidP="00E93F40">
      <w:pPr>
        <w:spacing w:after="0" w:line="240" w:lineRule="auto"/>
        <w:jc w:val="both"/>
        <w:rPr>
          <w:rFonts w:ascii="Times New Roman" w:eastAsia="Times New Roman" w:hAnsi="Times New Roman"/>
          <w:color w:val="000000" w:themeColor="text1"/>
          <w:sz w:val="16"/>
          <w:szCs w:val="16"/>
          <w:lang w:eastAsia="ru-RU"/>
        </w:rPr>
      </w:pPr>
    </w:p>
    <w:p w14:paraId="2D6F5DF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47566D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F6F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ноября 1932 года были разработаны и представлены на утверждение КО календарный план устранения на самолетах ТБ-3, Р5 и Р6 в последующих сериях дефекты, обнаруженные в процессе эксплуатации (9530,107).</w:t>
      </w:r>
    </w:p>
    <w:p w14:paraId="0B1C8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D874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6 ноября 1932 г. был построен первый самолет "Сталь-2" - шестиместный пассажирский самолет. Испытали его летчики-испытатели Я.Г.Пауль и В.В.Карпов. Тушинский машиностроительный завод был создан для производства самолетов "Сталь-2" и "Сталь-3" КБ А.И.Путилова, на которых впервые в самолетостроительной практике были применены элементы конструкции из нержавеющих сталей и сварочные технологии. Подобную попытку уже предпринимал в 1913 г. конструктор Орлов на машине "Орлов-1", однако дальше "подскоков" дело у него не пошло. В книге "История конструкции самолетов в СССР" В.Б.Шавров пишет: "В результате работы этого коллектива меньше чем через год, 11 октября 1932 г., был испытан в первом полете самолет "Сталь-2", пущенный в серийное производство на еще строившемся тогда заводе № 81. В 1933 г. туда же было переведено и ОКБ А.И.Путилова. "Сталь-2" - пассажирский подкосный высокоплан, кабина летчика закрыта фонарем, пассажирская кабина - четырехместная, с дверью в левом борту. Конструкция фюзеляжа в плоскостях бортов - ферменная, в остальных плоскостях -расчалочная. Все стержни представляли собой закрытые тонкостенные гофрированные профили из стали "Энерж-6". Применялись также профили четырехгранные с толщиной листов 0,8...1,0 мм. Круглые профили из листов 0,3...0,5 мм стягивались хомутиками от выпучивания, в четырехгранных (более сильных) стержнях делались внутренние рамки. Концы стержней - шарнирные в виде листовых ушков, приваренные точками к гофру труб.</w:t>
      </w:r>
    </w:p>
    <w:p w14:paraId="0E03C6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Лонжероны крыла - ферменные, полки их - наборные из гофрированных листов различной толщины на точечной сварке. Специальные закрытые профили (из листов 0,1...0,15 мм) были отработаны для нервюр крыла, оперения и каркаса под полотняную обтяжку.</w:t>
      </w:r>
    </w:p>
    <w:p w14:paraId="41EC0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целом получилась конструкция более трудоемкая и дорогая, чем сварная ферма фюзеляжа из труб и деревянное крыло. Но преимущество в весе было неоспоримо. Весовая отдача самолета была высокой - 43 %. Серийный выпуск этих самолетов начался только с 1934 г.; за этот год было построено 87 самолетов, а всего их было выпущено 111 экземпляров. С 1935 г. он стал заменяться самолетом "Сталь-3".</w:t>
      </w:r>
    </w:p>
    <w:p w14:paraId="1665F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самолете "Сталь-2" был установлен двигатель "Райт" в 300 л.с. Как небольшой пассажирский самолет "Сталь-2" себя оправдал. Один экземпляр, снабженный щитками типа "фрайз", назывался "Сталь-2 бис".</w:t>
      </w:r>
    </w:p>
    <w:p w14:paraId="61082E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"Сталь-3" представлял собой развитие самолета "Сталь-2" с двигателем М-22 в 480 л.с. Самолет восьмиместный (шесть пассажиров). Схема и конструкция -те же, но были введены щелевые элероны и закрылки, двойное управление, колеса - тормозные в обтекателях, кольца Тауненда на двигателе. Весовая отдача -41 %. Опытный самолет был выпущен в 1933 г. Серийных было сдано за 1935...1936 гг. 79 экземпляров. На нескольких самолетах был установлен М-17 (позже), но это особых преимуществ не дало. "Сталь-3" с успехом применялся на воздушных линиях до самой войны. Эксплуатация самолетов "Сталь-2" и "Сталь-3" показала, что они вполне удовлетворяют своему назначению". Самолет "Сталь-2" получил высокую оценку на XIV международной выставке в Париже, имел большой успех и был назван "Русское Чудо Страны Советов". Самолеты использовались ГВФ на линии "Москва - Нижний Новгород" вплоть до 1941 года. До начала Великой Отечественной войны завод выпустил 111 самолетов "Сталь-2" и 79 самолетов "Сталь-3" (11200).</w:t>
      </w:r>
    </w:p>
    <w:p w14:paraId="11DC1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C0084C" w14:textId="77777777" w:rsidR="00844066" w:rsidRPr="00E93F40" w:rsidRDefault="00844066"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lastRenderedPageBreak/>
        <w:t>К 6 ноября 1932 г. в Тушино собрали первый серийный Сталь-2 с дви</w:t>
      </w:r>
      <w:r w:rsidRPr="00E93F40">
        <w:rPr>
          <w:rFonts w:ascii="Times New Roman" w:hAnsi="Times New Roman"/>
          <w:color w:val="000000" w:themeColor="text1"/>
          <w:sz w:val="16"/>
          <w:szCs w:val="16"/>
          <w:lang w:eastAsia="ru-RU" w:bidi="ru-RU"/>
        </w:rPr>
        <w:softHyphen/>
        <w:t>гателем М-26, который испытали летчики Я.Г.Пауль и В.В.Карпов. Этот экземпляр зарегистрировали как СССР-Л1101 в январе 1933 года. Чуть позднее в Тушино перевели Отдел опытного самолетостроения (ООС) Пути</w:t>
      </w:r>
      <w:r w:rsidRPr="00E93F40">
        <w:rPr>
          <w:rFonts w:ascii="Times New Roman" w:hAnsi="Times New Roman"/>
          <w:color w:val="000000" w:themeColor="text1"/>
          <w:sz w:val="16"/>
          <w:szCs w:val="16"/>
          <w:lang w:eastAsia="ru-RU" w:bidi="ru-RU"/>
        </w:rPr>
        <w:softHyphen/>
        <w:t>лова. В 1934 году Отдел слился с существующим конструк</w:t>
      </w:r>
      <w:r w:rsidRPr="00E93F40">
        <w:rPr>
          <w:rFonts w:ascii="Times New Roman" w:hAnsi="Times New Roman"/>
          <w:color w:val="000000" w:themeColor="text1"/>
          <w:sz w:val="16"/>
          <w:szCs w:val="16"/>
          <w:lang w:eastAsia="ru-RU" w:bidi="ru-RU"/>
        </w:rPr>
        <w:softHyphen/>
        <w:t>торским отделом завода и стал именоваться как Проект</w:t>
      </w:r>
      <w:r w:rsidRPr="00E93F40">
        <w:rPr>
          <w:rFonts w:ascii="Times New Roman" w:hAnsi="Times New Roman"/>
          <w:color w:val="000000" w:themeColor="text1"/>
          <w:sz w:val="16"/>
          <w:szCs w:val="16"/>
          <w:lang w:eastAsia="ru-RU" w:bidi="ru-RU"/>
        </w:rPr>
        <w:softHyphen/>
        <w:t>но-конструкторский отдел (ПКО), обслуживающий серий</w:t>
      </w:r>
      <w:r w:rsidRPr="00E93F40">
        <w:rPr>
          <w:rFonts w:ascii="Times New Roman" w:hAnsi="Times New Roman"/>
          <w:color w:val="000000" w:themeColor="text1"/>
          <w:sz w:val="16"/>
          <w:szCs w:val="16"/>
          <w:lang w:eastAsia="ru-RU" w:bidi="ru-RU"/>
        </w:rPr>
        <w:softHyphen/>
        <w:t>ное производство (20365).</w:t>
      </w:r>
    </w:p>
    <w:p w14:paraId="710B2BF7" w14:textId="77777777" w:rsidR="00844066" w:rsidRPr="00E93F40" w:rsidRDefault="00844066" w:rsidP="00E93F40">
      <w:pPr>
        <w:spacing w:after="0" w:line="240" w:lineRule="auto"/>
        <w:jc w:val="both"/>
        <w:rPr>
          <w:rFonts w:ascii="Times New Roman" w:hAnsi="Times New Roman"/>
          <w:color w:val="000000" w:themeColor="text1"/>
          <w:sz w:val="16"/>
          <w:szCs w:val="16"/>
        </w:rPr>
      </w:pPr>
    </w:p>
    <w:p w14:paraId="42E3E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ноября 1932 состоялся первый полет автожира ЦАГИ А-4 (237,165).</w:t>
      </w:r>
    </w:p>
    <w:p w14:paraId="3BF658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AD3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ноября 1932 года был закончен производством мотор М-34Р (с редуктором): Мощность 750 л.с., Вес 610 кг, Плановый срок госиспытаний 15 ноября 1932 года, ЦИАМ. Сразу же поступил на заводские испытания, на которых в течение 46 часов определен режим работы мотора:</w:t>
      </w:r>
    </w:p>
    <w:p w14:paraId="332CE1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 860 л.с. при оборот. = 1900</w:t>
      </w:r>
    </w:p>
    <w:p w14:paraId="5BE30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 800 л.с. при оборот. = 1850</w:t>
      </w:r>
    </w:p>
    <w:p w14:paraId="2FEE52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 725 л.с. при оборот. = 1785</w:t>
      </w:r>
    </w:p>
    <w:p w14:paraId="64EF1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время испытаний редуктор показал хорошие результаты (3530,70-86).</w:t>
      </w:r>
    </w:p>
    <w:p w14:paraId="446DB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262B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ноября 1932 г. изготовили первый опытный образец М-34Р; всего их сделали семь. Полгода продолжались завод</w:t>
      </w:r>
      <w:r w:rsidRPr="00E93F40">
        <w:rPr>
          <w:rFonts w:ascii="Times New Roman" w:hAnsi="Times New Roman"/>
          <w:color w:val="000000" w:themeColor="text1"/>
          <w:sz w:val="16"/>
          <w:szCs w:val="16"/>
        </w:rPr>
        <w:softHyphen/>
        <w:t>ские испытания и доводка, а в апре</w:t>
      </w:r>
      <w:r w:rsidRPr="00E93F40">
        <w:rPr>
          <w:rFonts w:ascii="Times New Roman" w:hAnsi="Times New Roman"/>
          <w:color w:val="000000" w:themeColor="text1"/>
          <w:sz w:val="16"/>
          <w:szCs w:val="16"/>
        </w:rPr>
        <w:softHyphen/>
        <w:t>ле-мае 1933 г. прошли государствен</w:t>
      </w:r>
      <w:r w:rsidRPr="00E93F40">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E93F40">
        <w:rPr>
          <w:rFonts w:ascii="Times New Roman" w:hAnsi="Times New Roman"/>
          <w:color w:val="000000" w:themeColor="text1"/>
          <w:sz w:val="16"/>
          <w:szCs w:val="16"/>
        </w:rPr>
        <w:softHyphen/>
        <w:t>шали замену и вторую попытку. В итоге — «удовлетворительно» (11848).</w:t>
      </w:r>
    </w:p>
    <w:p w14:paraId="706B34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0F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ноября 1932 г. ЯШЗ пущен в эксплуатацию, изготовлена первая автомобильная шина. В том же году началось производство катков для танка Т-26. В 1933 г. на заводе впервые в мире началось освоение синтетического каучука. С 1936 г. начат выпуск шин (7.00-16) для первого советского лимузина ГАЗ «М-1», с 1937 г. - шин 11.25- 20 для троллейбусов ЯТБ-3. В 1938 г. завод вышел на проектную мощность - 3.035.395 шин в год.</w:t>
      </w:r>
    </w:p>
    <w:p w14:paraId="7A76F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1929 г. с американской фирмой «Зайберлинг» заключен договор на разработку проекта шинного завода в составе ЯРАК мощностью 9 шин в минуту и оказание технической помощи в строительстве и пуске. ЯШЗ строился в 1930-32 г. в числе важнейших 518 строек 1 Пятилетки. На нем было предусмотрено внедрение передовых технологий Европы и Америки. На строительстве завода постоянно работала группа американских инженеров (В. Гувер, Татерсол, Уайт).</w:t>
      </w:r>
    </w:p>
    <w:p w14:paraId="4028AB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1936 г. на завод переведен аэроцех (по производству авиационных покрышек) с московского завода «Каучук». В 1940 г. ЯШЗ выделился из состава ЯРАК в самостоятельное предприятие.</w:t>
      </w:r>
    </w:p>
    <w:p w14:paraId="733B06A7" w14:textId="604ECEF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971 от 28.11.1941 г. ЯШЗ был эвакуирован. В соответствии с пост. ГКО № 1020 от 12.12.1941 г. о сохранении в Ярославле действующей мощности шинного завода он продолжил действовать на прежнем месте под № 736 (Завод № 736 НКРП, Ярославский шинный завод (ЯШЗ), ОАО «Ярославский Ордена Ленина и Ордена Октябрьской революции шинный завод» /150040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Ярославль ул. Советская, 81 тел. 30-54-43/).</w:t>
      </w:r>
    </w:p>
    <w:p w14:paraId="3A7B2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1941-42 г. был единственным шинным заводом в СССР. В годы войны- производство авиационных и автомобильных покрышек и камер, катков для танков, артиллерийских шин ГК с губчатым наполнителем, протектирующих материалов для бензобаков. В 06.1943 г. завод был сильно разрушен бомбежками (из 7 корпусов уцелел один), затем восстановлен. 24.06.1943 г. вышло постановление ГКО № 3643 о мерах неотложной помощи по восстановлению цехов завода; 13.07.1943 г. - постановление ГКО № 3737 о сроках восстановления завода. В соответствии с пост. ГКО № 4071 от 8.09.1943 г. на завод направлено 1000 работников. 6.03.1944 г. вышло распоряжение ГКО № 5325 о мерах по обеспечению производства автомобильных и специальных шин на заводе газовой сажей.</w:t>
      </w:r>
    </w:p>
    <w:p w14:paraId="22BF4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заводе в годы войны действовало КБ. В 1946 г. создано первое в СССР бюро конструирования авиационных шин. Завод стал головным в стране по разработке и производству авиационных шин.</w:t>
      </w:r>
    </w:p>
    <w:p w14:paraId="1FB8F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1946-47 г. начаты работы по механизации производственных процессов, создание и освоение новых видов продукции. Впервые в стране осуществлена замена ручной стыковки автокамер механической на специальных стыковочных станках с помощью приспособлений Н.С. Мишакова и Б.И. Лапина.</w:t>
      </w:r>
    </w:p>
    <w:p w14:paraId="1517EF51" w14:textId="5C337E3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впервые в стране начат выпуск бескамерных шин для автомобилей «Победа», «Волга», «ЗиМ». Освоены покрышки для 25-тонного грузовика МАЗ-525. С 1954 г.- производство шин для трактора «Беларусь», с 1958 г. - шины для автобуса ЗиЛ-58. С 1960 г. начат выпуск шин «РС» 7.50-20 для ГАЗ-51, в 1962 г. в связи с началом выпуска шин «Р» и «РС» начата реконструкция производства. В 1963 г. начат выпуск шин для тракторов Кировского, Харьковского и Белорусского заводов. С 1969 г. завод первым в стране начал выпуск шин для «Жигулей». В 1974 г. изготовлены эластичные поплавки для ВВА-14. В 1989 г. впервые в России выпущена опытная партия сверхпрочных цельнометаллокордных шин ЦМК (</w:t>
      </w:r>
      <w:r w:rsidRPr="00E93F40">
        <w:rPr>
          <w:rFonts w:ascii="Times New Roman" w:hAnsi="Times New Roman"/>
          <w:color w:val="000000" w:themeColor="text1"/>
          <w:sz w:val="16"/>
          <w:szCs w:val="16"/>
          <w:lang w:val="en-US"/>
        </w:rPr>
        <w:t>AllStill</w:t>
      </w:r>
      <w:r w:rsidRPr="00E93F40">
        <w:rPr>
          <w:rFonts w:ascii="Times New Roman" w:hAnsi="Times New Roman"/>
          <w:color w:val="000000" w:themeColor="text1"/>
          <w:sz w:val="16"/>
          <w:szCs w:val="16"/>
        </w:rPr>
        <w:t>) для грузовых машин, в начале 1990-х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освоено их серийное производство.</w:t>
      </w:r>
    </w:p>
    <w:p w14:paraId="5244A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1966 г. выпущена 100-миллионная шина, в 12.1981 г. - 200-миллионная.</w:t>
      </w:r>
    </w:p>
    <w:p w14:paraId="2FB82E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Генеральный разработчик (2002 г.) и основной отечественный производитель авиационных шин.</w:t>
      </w:r>
    </w:p>
    <w:p w14:paraId="47E71B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1996 г. завод преобразован в ОАО «ЯШЗ». Входил в холдинг ОАО «АК СИБУР» (2003 г.).</w:t>
      </w:r>
    </w:p>
    <w:p w14:paraId="08101E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(ВОВ)- П.Ф. Баденков. Гендиректор (1998-01.2003 г.)- Н.И. Тонкое, (17-31.01.2003 г.)- Ф. Дзапшба; И.О. гендиректора (31.01-27.02.2003 г.)- А. Казаринов; (03-11.2003 г.-)- А. Андреев (до этого был гл. инженером «Воронежшины»), (11.2003-05 г.-)- Д.В. Костыгин, (-2006-08 г.-)- В.Ю. Ионов.</w:t>
      </w:r>
    </w:p>
    <w:p w14:paraId="6D64D0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зам. гендиректора (-01.2003 г., 27.02.2003 г.-)- А. Казаринов.</w:t>
      </w:r>
    </w:p>
    <w:p w14:paraId="4FAEA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по персоналу (2007 г.)- </w:t>
      </w:r>
      <w:r w:rsidRPr="00E93F40">
        <w:rPr>
          <w:rFonts w:ascii="Times New Roman" w:hAnsi="Times New Roman"/>
          <w:color w:val="000000" w:themeColor="text1"/>
          <w:sz w:val="16"/>
          <w:szCs w:val="16"/>
          <w:lang w:val="en-US"/>
        </w:rPr>
        <w:t>P</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P</w:t>
      </w:r>
      <w:r w:rsidRPr="00E93F40">
        <w:rPr>
          <w:rFonts w:ascii="Times New Roman" w:hAnsi="Times New Roman"/>
          <w:color w:val="000000" w:themeColor="text1"/>
          <w:sz w:val="16"/>
          <w:szCs w:val="16"/>
        </w:rPr>
        <w:t>. Музафаров.</w:t>
      </w:r>
    </w:p>
    <w:p w14:paraId="7A3C16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АСУ (2007 г.)- М. Г. Потапова; рекламы (2002 г.)- А.Н. Петушкова.</w:t>
      </w:r>
      <w:r w:rsidRPr="00E93F40">
        <w:rPr>
          <w:rFonts w:ascii="Times New Roman" w:hAnsi="Times New Roman"/>
          <w:color w:val="000000" w:themeColor="text1"/>
          <w:sz w:val="16"/>
          <w:szCs w:val="16"/>
          <w:vertAlign w:val="superscript"/>
        </w:rPr>
        <w:t>101</w:t>
      </w:r>
    </w:p>
    <w:p w14:paraId="6E44AB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ЯШЗ</w:t>
      </w:r>
    </w:p>
    <w:p w14:paraId="5B7E5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годы войны усовершенствована конструкция танкового катка.</w:t>
      </w:r>
    </w:p>
    <w:p w14:paraId="18A873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1946 г. создано первое в СССР бюро конструирования авиационных шин, которое с тех пор стало единственным разработчиком в стране.</w:t>
      </w:r>
    </w:p>
    <w:p w14:paraId="11726FE2" w14:textId="236540D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Впервые в стране создана конструкция бескамерной арочной шины для ЗиЛ-150. В конце 1950-х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 использованием опыта и оборудования итальянской фирмы «Пирелли» создана принципиально новая конструкция покрышек с радиально расположенными нитями корда типа «Р», затем создана радиальная шина со съемным протектором «РС».</w:t>
      </w:r>
    </w:p>
    <w:p w14:paraId="6E3AEF37" w14:textId="4FBC596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(ВОВ-50-е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П.А. Шаркевич.</w:t>
      </w:r>
      <w:r w:rsidRPr="00E93F40">
        <w:rPr>
          <w:rFonts w:ascii="Times New Roman" w:hAnsi="Times New Roman"/>
          <w:color w:val="000000" w:themeColor="text1"/>
          <w:sz w:val="16"/>
          <w:szCs w:val="16"/>
          <w:vertAlign w:val="superscript"/>
        </w:rPr>
        <w:t>101</w:t>
      </w:r>
    </w:p>
    <w:p w14:paraId="65F801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Создано: шины:</w:t>
      </w:r>
      <w:r w:rsidRPr="00E93F40">
        <w:rPr>
          <w:rFonts w:ascii="Times New Roman" w:hAnsi="Times New Roman"/>
          <w:color w:val="000000" w:themeColor="text1"/>
          <w:sz w:val="16"/>
          <w:szCs w:val="16"/>
        </w:rPr>
        <w:t xml:space="preserve"> авиапокрышки с армированным протектором; бескамерные, арочные низкого давления для ЗиЛ-150, для автобуса ЗиЛ-58 с расчленением рисунка протектора (1958), радиальные типа «Р», грузовые со съемным протектором «РС».</w:t>
      </w:r>
    </w:p>
    <w:p w14:paraId="764E05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Ярославский резино-асбестовый комбинат (ЯРАК) ВСНХ, НКТП /г. Ярославль/</w:t>
      </w:r>
    </w:p>
    <w:p w14:paraId="2A37C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1928 г. принято постановление ВСНХ о строительстве ЯРАК в составе шинного, асбестового, механического и регенераторного заводов, кордной фабрики и теплоцентрали. В 1929 г. с американской фирмой «Зайберлинг» заключен договор на разработку проекта шинного завода мощностью 9 шин в минуту и оказание технической помощи в строительстве и пуске.</w:t>
      </w:r>
    </w:p>
    <w:p w14:paraId="3A17E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 г. введен в строй ремонтно-механический завод комбината (далее - ЗАО «Ярполимермаш-Татнефть», см. завод № 739 НКРП).</w:t>
      </w:r>
    </w:p>
    <w:p w14:paraId="43151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16.09.1932 г. в составе ЯРАК вступил в строй подошвенный завод (первый из группы резинообрабатывающих заводов комбината; далее - Ярославский завод РТИ, см. завод № 739 НКРП).</w:t>
      </w:r>
    </w:p>
    <w:p w14:paraId="1C3F0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06.1937 г. комбинат - в ведении НКТП. В 1940 г. ЯРАК разукрупнен, из его состава выделился в самостоятельное предприятие ЯШЗ. В 1948 г. регенераторный завод включен в состав Ярославского завода РТИ в качестве цеха.</w:t>
      </w:r>
    </w:p>
    <w:p w14:paraId="389925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Ярославский асбестовый завод</w:t>
      </w:r>
    </w:p>
    <w:p w14:paraId="662E8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1697 от 4.05.1942 г. эвакуированное оборудование возвращено на завод.</w:t>
      </w:r>
    </w:p>
    <w:p w14:paraId="22ABC2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Ярославская кордная фабрика</w:t>
      </w:r>
    </w:p>
    <w:p w14:paraId="324866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1944 г. - производство корда (11982).</w:t>
      </w:r>
    </w:p>
    <w:p w14:paraId="1E998DA4" w14:textId="77777777" w:rsidR="00BD5738" w:rsidRPr="00E93F40" w:rsidRDefault="00BD5738" w:rsidP="00E93F40">
      <w:pPr>
        <w:autoSpaceDE w:val="0"/>
        <w:autoSpaceDN w:val="0"/>
        <w:adjustRightInd w:val="0"/>
        <w:spacing w:after="0" w:line="240" w:lineRule="auto"/>
        <w:jc w:val="both"/>
        <w:rPr>
          <w:rFonts w:ascii="Times New Roman" w:hAnsi="Times New Roman"/>
          <w:color w:val="000000" w:themeColor="text1"/>
          <w:sz w:val="16"/>
          <w:szCs w:val="16"/>
        </w:rPr>
      </w:pPr>
    </w:p>
    <w:p w14:paraId="03DB9C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 7 ноября 1932 года дирижабль В-4 совершил первые полеты. По сравнению с «Комсомольской правдой» скорость В-4 увеличилась, устойчивость полета улучшилась (11324).</w:t>
      </w:r>
    </w:p>
    <w:p w14:paraId="1B10B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AD9C51" w14:textId="77777777" w:rsidR="008360A7"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E52B8EC" w14:textId="77777777" w:rsidR="008360A7" w:rsidRPr="00E93F40" w:rsidRDefault="008360A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8D2C59" w14:textId="77777777" w:rsidR="008360A7" w:rsidRPr="00E93F40" w:rsidRDefault="008360A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6 ноября 1932 года Совнарком и ЦК ВКП(б) вынесли следующее постановление: </w:t>
      </w:r>
    </w:p>
    <w:p w14:paraId="30EB1A7D" w14:textId="77777777" w:rsidR="008360A7" w:rsidRPr="00E93F40" w:rsidRDefault="008360A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«Из-за позорного срыва компании по уборке зерновых в некоторых районах Украины, Совет Народных Комиссаров и ЦК партии Украины приказывает местным партийным и руководящим органам покончить с саботажем зерна, который был организован контрреволюционными и кулацкими элементами. Необходимо заклеймить тех коммунистов, кто возглавил этот саботаж, и полностью ликвидировать пассивное отношение к нему со стороны некоторых партийных организаций. Совет Народных Комиссаров и Центральный Комитет совместно решили взять на заметку все те местности, в которых проводился преступный саботаж, и применить к ним следующие меры наказания: </w:t>
      </w:r>
    </w:p>
    <w:p w14:paraId="4664042D" w14:textId="77777777" w:rsidR="008360A7" w:rsidRPr="00E93F40" w:rsidRDefault="008360A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lastRenderedPageBreak/>
        <w:t xml:space="preserve">Приостановить в эти местности все поставки товаров государственной торговли и кооперативной сети. Закрыть все государственные и кооперативные торговые точки. Изъять все имеющиеся товары. </w:t>
      </w:r>
    </w:p>
    <w:p w14:paraId="0601193A" w14:textId="77777777" w:rsidR="008360A7" w:rsidRPr="00E93F40" w:rsidRDefault="008360A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Запретить продажу основных видов пищевых продуктов, находившихся ранее в ведении колхозов и частных владельцев. </w:t>
      </w:r>
    </w:p>
    <w:p w14:paraId="7331889B" w14:textId="77777777" w:rsidR="008360A7" w:rsidRPr="00E93F40" w:rsidRDefault="008360A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Приостановить выдачу всех кредитов этим местностям и немедленно аннулировать ранее выданные кредиты. </w:t>
      </w:r>
    </w:p>
    <w:p w14:paraId="4E528789" w14:textId="77777777" w:rsidR="008360A7" w:rsidRPr="00E93F40" w:rsidRDefault="008360A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Тщательно разобрать личные дела руководящих и хозяйственных организаций с целью выявления враждебных элементов. </w:t>
      </w:r>
    </w:p>
    <w:p w14:paraId="4F267BE5" w14:textId="77777777" w:rsidR="008360A7" w:rsidRPr="00E93F40" w:rsidRDefault="008360A7"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Произвести подобную работу в колхозах, чтобы выявить все враждебные элементы, принявшие участие в саботаже».</w:t>
      </w:r>
    </w:p>
    <w:p w14:paraId="126BD3F7" w14:textId="77777777" w:rsidR="008360A7" w:rsidRPr="00E93F40" w:rsidRDefault="008360A7"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eastAsia="Times New Roman" w:hAnsi="Times New Roman"/>
          <w:color w:val="000000" w:themeColor="text1"/>
          <w:sz w:val="16"/>
          <w:szCs w:val="16"/>
          <w:lang w:eastAsia="ru-RU"/>
        </w:rPr>
        <w:t>Декрет предусматривал составление черных списков тех деревень, которые признавались виновными в саботаже и диверсиях. Изначально в этих списках было 6 деревень, к 15 декабря 1932 года он включал 88 районов из 358, на которые была разделена Украина (17264).</w:t>
      </w:r>
    </w:p>
    <w:p w14:paraId="4DAF610E" w14:textId="77777777" w:rsidR="008360A7" w:rsidRPr="00E93F40" w:rsidRDefault="008360A7" w:rsidP="00E93F40">
      <w:pPr>
        <w:autoSpaceDE w:val="0"/>
        <w:autoSpaceDN w:val="0"/>
        <w:adjustRightInd w:val="0"/>
        <w:spacing w:after="0" w:line="240" w:lineRule="auto"/>
        <w:jc w:val="both"/>
        <w:rPr>
          <w:rFonts w:ascii="Times New Roman" w:hAnsi="Times New Roman"/>
          <w:color w:val="000000" w:themeColor="text1"/>
          <w:sz w:val="16"/>
          <w:szCs w:val="16"/>
        </w:rPr>
      </w:pPr>
    </w:p>
    <w:p w14:paraId="5C2B240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E115D5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3662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ноября 1932 на парламентских выборах в Германии фашисты получили 192, с/д - 121, коммунисты - 100, нац. народная партия - 52 (3481).</w:t>
      </w:r>
    </w:p>
    <w:p w14:paraId="706783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1EC655" w14:textId="6F63EEDF"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внеочередных выборах НСДАП набрала 11,7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голосов, потеряв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избирателей. После того, как со стороны крупных предпринимателей и банковских кругов, а также руководства партии Центра (Л. Каас) последовали призывы и требования о передаче власти в руки сильнейшей партии, Гинденбург был вынужден 17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отправить кабинет Папена в отставку.</w:t>
      </w:r>
    </w:p>
    <w:p w14:paraId="0DAB8505"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в ходе последовавших затем нескольких раундов переговоров Гинденбурга с Гитлером, президент, предложив Гитлеру возглавить кабинет, выставил ряд условий (включение в правительство представителей других партий, предоставление президенту права самому назначать министра иностранных дел и военного министра). Гитлер на это не пошел и тогда сформировать кабинет было поручено военному министру в кабинете Папена генералу райхсвера К. фон Шляйхеру, который в течение всего периода существования Ваймарской республики активно участвовал во всех внутриполитических комбинациях, сыграв, пожалуй, решающую роль в падении трех предшествовавших ему кабинетов Германии.</w:t>
      </w:r>
    </w:p>
    <w:p w14:paraId="081AD801" w14:textId="1DD67D0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он вместе с Зектом активно способствовал зарождению тайного германо-советского военного сотрудничества с целью возрождения военной и политической мощи Германии. Когда 3 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Гинденбург поручил ему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подал в отставку. 30 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(18265).</w:t>
      </w:r>
    </w:p>
    <w:p w14:paraId="08DD40E9"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2B0FD402" w14:textId="77777777" w:rsidR="00BB1BC5" w:rsidRPr="00E93F40" w:rsidRDefault="00BB1BC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6 ноября 1932 выборы продемонстрировали значительное падение популярности </w:t>
      </w:r>
      <w:hyperlink r:id="rId259" w:tooltip="Национал-социалистическая немецкая рабочая партия" w:history="1">
        <w:r w:rsidRPr="00E93F40">
          <w:rPr>
            <w:rStyle w:val="a5"/>
            <w:rFonts w:ascii="Times New Roman" w:hAnsi="Times New Roman"/>
            <w:color w:val="000000" w:themeColor="text1"/>
            <w:sz w:val="16"/>
            <w:szCs w:val="16"/>
            <w:u w:val="none"/>
          </w:rPr>
          <w:t>НСДАП</w:t>
        </w:r>
      </w:hyperlink>
      <w:r w:rsidRPr="00E93F40">
        <w:rPr>
          <w:rFonts w:ascii="Times New Roman" w:hAnsi="Times New Roman"/>
          <w:color w:val="000000" w:themeColor="text1"/>
          <w:sz w:val="16"/>
          <w:szCs w:val="16"/>
        </w:rPr>
        <w:t xml:space="preserve"> и рост популярности </w:t>
      </w:r>
      <w:hyperlink r:id="rId260" w:tooltip="Коммунистическая партия Германии" w:history="1">
        <w:r w:rsidRPr="00E93F40">
          <w:rPr>
            <w:rStyle w:val="a5"/>
            <w:rFonts w:ascii="Times New Roman" w:hAnsi="Times New Roman"/>
            <w:color w:val="000000" w:themeColor="text1"/>
            <w:sz w:val="16"/>
            <w:szCs w:val="16"/>
            <w:u w:val="none"/>
          </w:rPr>
          <w:t>Коммунистической партии</w:t>
        </w:r>
      </w:hyperlink>
      <w:r w:rsidRPr="00E93F40">
        <w:rPr>
          <w:rFonts w:ascii="Times New Roman" w:hAnsi="Times New Roman"/>
          <w:color w:val="000000" w:themeColor="text1"/>
          <w:sz w:val="16"/>
          <w:szCs w:val="16"/>
        </w:rPr>
        <w:t xml:space="preserve">, а также </w:t>
      </w:r>
      <w:hyperlink r:id="rId261" w:tooltip="Немецкая национальная народная партия" w:history="1">
        <w:r w:rsidRPr="00E93F40">
          <w:rPr>
            <w:rStyle w:val="a5"/>
            <w:rFonts w:ascii="Times New Roman" w:hAnsi="Times New Roman"/>
            <w:color w:val="000000" w:themeColor="text1"/>
            <w:sz w:val="16"/>
            <w:szCs w:val="16"/>
            <w:u w:val="none"/>
          </w:rPr>
          <w:t>Национал-народной партии</w:t>
        </w:r>
      </w:hyperlink>
      <w:r w:rsidRPr="00E93F40">
        <w:rPr>
          <w:rFonts w:ascii="Times New Roman" w:hAnsi="Times New Roman"/>
          <w:color w:val="000000" w:themeColor="text1"/>
          <w:sz w:val="16"/>
          <w:szCs w:val="16"/>
        </w:rPr>
        <w:t xml:space="preserve"> (17271).</w:t>
      </w:r>
    </w:p>
    <w:p w14:paraId="19450E65" w14:textId="77777777" w:rsidR="00BB1BC5" w:rsidRPr="00E93F40" w:rsidRDefault="00BB1BC5" w:rsidP="00E93F40">
      <w:pPr>
        <w:autoSpaceDE w:val="0"/>
        <w:autoSpaceDN w:val="0"/>
        <w:adjustRightInd w:val="0"/>
        <w:spacing w:after="0" w:line="240" w:lineRule="auto"/>
        <w:jc w:val="both"/>
        <w:rPr>
          <w:rFonts w:ascii="Times New Roman" w:hAnsi="Times New Roman"/>
          <w:color w:val="000000" w:themeColor="text1"/>
          <w:sz w:val="16"/>
          <w:szCs w:val="16"/>
        </w:rPr>
      </w:pPr>
    </w:p>
    <w:p w14:paraId="0945F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ноября 1932 г. внеочередных выборах НСДАП набрала 11,7 млн. голосов, потеряв 2 млн. избирателей. После того, как со стороны крупных предпринимателей и банковских кругов, а также руководства партии Центра (Л. Каас) последовали призывы и требования о передаче власти в руки сильнейшей партии, Гинденбург был вынужден 17 ноября 1932 г. отправить кабинет Папена в отставку. Однако в ходе последовавших затем нескольких раундов переговоров Гинденбурга с Гитлером, президент, предложив Гитлеру возглавить кабинет, выставил ряд условий (включение в правительство представителей других партий, предоставление президенту права самому назначать министра иностранных дел и военного министра). Гитлер на это не пошел и тогда сформировать кабинет было поручено военному министру в кабинете Папена генералу райхсвера К. фон Шляйхеру, который в течение всего периода существования Ваймарской республики активно участвовал во всех внутриполитических комбинациях, сыграв, пожалуй, решающую роль в падении трех предшествовавших ему кабинетов Германии (Подробнее об этом см.: Erickson John. Op. cit., p. 326—459; Wolfgang Ruge. Op. cit. S. 357-474.). Кроме того, он вместе с Зектом активно способствовал зарождению тайного германо-советского военного сотрудничества с целью возрождения военной и политической мощи Германии. Когда 3 декабря 1932 г. Гинденбург поручил ему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 г.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[291]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5D537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358C3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C50135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7029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ноября 1932 года мотор М-52: Мощность 400 л.с., 6 цилиндровый, Вес – 300 кг, Срок госиспытаний – 1 октября 1932 года, ЦИАМ был закончен производством и поступил на испытания, на которых дал мощность 480 л.с. при 1960 об/мин. Мотор предназначается для переходных типов самолетов (от учебного к боевому) в частях ВВС и для целой серии самолетов ГВФ. Создание этого мотора намечалось как модификация мотора М-34, путем уменьшения вдвое числа цилиндров мотора. ЦИАМ должен был изготовить 4 экземпляра мотора, из которых 2 экземпляра должны были быть установлены на самолеты. Части идентичные с мотором М-34 поставлялись заводом № 24, все же остальные изготовлялись в ЦИАМе. Ввиду аварии нижней половины картера, мотор находится на исправлении, после чего пройдет 50-часовое режимное испытание без переборки (3530,70-86).</w:t>
      </w:r>
    </w:p>
    <w:p w14:paraId="3904C6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396F4B" w14:textId="77777777" w:rsidR="006E2EBF" w:rsidRPr="00E93F40" w:rsidRDefault="006E2EB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16F3D81" w14:textId="77777777" w:rsidR="006E2EBF" w:rsidRPr="00E93F40" w:rsidRDefault="006E2EB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974C9C"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ноября 1932 руководство Метростроя распорядилось о прекращении работ глубокого залегания. Экспериментальный участок, теперь шахта № 29, был перестроен на первоначальную глубину. Прочие шахты были ликвидированы, и вновь перешли к открытому методу строительства{454}.</w:t>
      </w:r>
    </w:p>
    <w:p w14:paraId="3E62F934"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 деятельности Метростроя к концу 1932 г. выглядел неутешительно: с момента создания организации прошло 16 месяцев, а до сих пор не было утвержденного технического проекта, на основе которого можно было бы начать детальное проектирование, не говоря уже о самом строительстве{455}.Там, где, несмотря на отсутствие необходимых предпосылок, попытались приступить к прокладке шахт, потерпели неудачу. Инженеры и рабочие были разочарованы. ИнженерКучеренко вспоминал, что люди сидели у шахт и плакали. Он сам, инженер-мостостроитель и специалист по кессонной технике, трудился на постройке бараков на Арбатскомучастке, где царила полная неразбериха: «Ничего не знают, опять занялись бараками. Основные работы стояли. Никто не знал, каким способом строить: открытым ли, закрытым или траншейным. Идет дискуссия, идет борьба, а установки никакой нет. Посовещаемся вечером, посовещаемся днем, придешь, посмотришь на этот барак, и в конце концовдосовещались до того, что законсервировали Арбат как ненужный участок. Закрыли, ликвидировали его»{456} (18299).</w:t>
      </w:r>
    </w:p>
    <w:p w14:paraId="75FF1561"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Разочарованный ходом дела, заместитель начальника Метростроя инженер Осколков осенью 1932 г. написал заявление об уходе, заметив, что дешевле купить каждому десятому москвичу автомобиль, чем построить метро. Тогда люди могли бы реально ездить, в то время как при теперешних темпах проектирования и производства работ неизвестно, когда же метрополитен вступит в строй{457} (18299).</w:t>
      </w:r>
    </w:p>
    <w:p w14:paraId="55E4341B"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2EAFD20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A19A87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561C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английские л, прибывшие в Москву 24 октября в сопровождении Файрфлай IIM N F.1876, закупленного через Арков, выполнявшего функции торгпредства в Англии (2611,20).</w:t>
      </w:r>
    </w:p>
    <w:p w14:paraId="025AF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17F28C" w14:textId="77777777" w:rsidR="00742933" w:rsidRPr="00E93F40" w:rsidRDefault="0074293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г. во время праздничного парада в Хабаровске над центром города проплыли в строю ТБ-3, сопровождаемые пятёркой «крейсеров» из 78-й эскадрильи (12264).</w:t>
      </w:r>
    </w:p>
    <w:p w14:paraId="0FC0D136" w14:textId="77777777" w:rsidR="00742933" w:rsidRPr="00E93F40" w:rsidRDefault="00742933" w:rsidP="00E93F40">
      <w:pPr>
        <w:spacing w:after="0" w:line="240" w:lineRule="auto"/>
        <w:jc w:val="both"/>
        <w:rPr>
          <w:rFonts w:ascii="Times New Roman" w:hAnsi="Times New Roman"/>
          <w:color w:val="000000" w:themeColor="text1"/>
          <w:sz w:val="16"/>
          <w:szCs w:val="16"/>
        </w:rPr>
      </w:pPr>
    </w:p>
    <w:p w14:paraId="7326C1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в воздушном параде над Красной площадью строем прошли дирижабли В-1, В-2, В-3, В-4 (274).</w:t>
      </w:r>
    </w:p>
    <w:p w14:paraId="30E6F1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CE9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года над Красной площадью в кильватерной колонне прошли все четыре советских дирижабля — В-1, В-2, В-3 и В-4 (10731).</w:t>
      </w:r>
    </w:p>
    <w:p w14:paraId="5E4A4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AFA0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63A3F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301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два ТБ-3 (АНТ-6) 105 ТБАБ прошли над Хабаровском в сопровождении 5 Р-6 (АНТ-7) (1854,13).</w:t>
      </w:r>
    </w:p>
    <w:p w14:paraId="40E27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в ВВС было 13 вполне боеспособных ТБ-3 в ВВС ОКДВА (1854,13).</w:t>
      </w:r>
    </w:p>
    <w:p w14:paraId="4C3D7D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FA4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два бомбардировщика 105-й тяжелобомбардировочной эскадрильи (ТБАЭ) гордо проплыли над Хабаровском в сопровождении пятерки Р-6 (7668).</w:t>
      </w:r>
    </w:p>
    <w:p w14:paraId="3696C7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6F8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два бомбардировщика ТБ-1 105-й тяжелобомбардировочной эскадрильи гордо проплыли над Хабаровском в сопровождении пятерки Р-6 (12024).</w:t>
      </w:r>
    </w:p>
    <w:p w14:paraId="3DE06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835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в Хабаровске в параде участвовали 20 новых самолетов Р-5.</w:t>
      </w:r>
    </w:p>
    <w:p w14:paraId="7AE51E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становился массовым многоцелевым самолетом ВВС РККА, вытесняя устаревшие Р-1. Повсеместно эти машины встречали с энтузиазмом. Неудивительно - по своим возможностям разведчик Поликарпова существенно превосходил все имевшиеся тогда на вооружении нашей авиации самолеты этого назначения. "Это была замечательная по тем временам машина", - писал маршал авиации С.А. Красовский, в 1932 г. командовавший отрядом, который осваивал Р-5.</w:t>
      </w:r>
    </w:p>
    <w:p w14:paraId="42C37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тот год ставили задачу перевооружить этими машинами девять эскадрилий (шесть разведывательных, три штурмовых) и 27 отрядов (в том числе 36-й отдельный химический) и сформировать шесть новых эскадрилий (пять легкобомбардировочных и одну штурмовую). Р-5 входили также в штат тяжелобомбардировочных частей как тренировочные и вспомогательные. На 20 марта только в Европейской части страны уже эксплуатировались около 320 машин этого типа (12034).</w:t>
      </w:r>
    </w:p>
    <w:p w14:paraId="60654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057A01" w14:textId="77777777" w:rsidR="00844066" w:rsidRPr="00E93F40" w:rsidRDefault="008440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г. «СССР В-1» принял участие в параде над Красной площадью (20120).</w:t>
      </w:r>
    </w:p>
    <w:p w14:paraId="2E26458A" w14:textId="77777777" w:rsidR="00844066" w:rsidRPr="00E93F40" w:rsidRDefault="00844066" w:rsidP="00E93F40">
      <w:pPr>
        <w:spacing w:after="0" w:line="240" w:lineRule="auto"/>
        <w:jc w:val="both"/>
        <w:rPr>
          <w:rFonts w:ascii="Times New Roman" w:hAnsi="Times New Roman"/>
          <w:color w:val="000000" w:themeColor="text1"/>
          <w:sz w:val="16"/>
          <w:szCs w:val="16"/>
        </w:rPr>
      </w:pPr>
    </w:p>
    <w:p w14:paraId="0D469C6C" w14:textId="77777777" w:rsidR="00844066" w:rsidRPr="00E93F40" w:rsidRDefault="008440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г. над Красной площадью в кильватерной колонне прошли «СССР В-1», «СССР В-2» («Смольный»), «СССР В-3» («Крас</w:t>
      </w:r>
      <w:r w:rsidRPr="00E93F40">
        <w:rPr>
          <w:rFonts w:ascii="Times New Roman" w:hAnsi="Times New Roman"/>
          <w:color w:val="000000" w:themeColor="text1"/>
          <w:sz w:val="16"/>
          <w:szCs w:val="16"/>
        </w:rPr>
        <w:softHyphen/>
        <w:t>ная звезда») и «СССР В-4» («Комсомольская правда»). Они предназначавшиеся для учеб</w:t>
      </w:r>
      <w:r w:rsidRPr="00E93F40">
        <w:rPr>
          <w:rFonts w:ascii="Times New Roman" w:hAnsi="Times New Roman"/>
          <w:color w:val="000000" w:themeColor="text1"/>
          <w:sz w:val="16"/>
          <w:szCs w:val="16"/>
        </w:rPr>
        <w:softHyphen/>
        <w:t>но-агитационных полётов и накопления опыта применения дирижаблей в народном хозяйстве (20120).</w:t>
      </w:r>
    </w:p>
    <w:p w14:paraId="68EB942D" w14:textId="77777777" w:rsidR="00844066" w:rsidRPr="00E93F40" w:rsidRDefault="00844066" w:rsidP="00E93F40">
      <w:pPr>
        <w:spacing w:after="0" w:line="240" w:lineRule="auto"/>
        <w:jc w:val="both"/>
        <w:rPr>
          <w:rFonts w:ascii="Times New Roman" w:hAnsi="Times New Roman"/>
          <w:color w:val="000000" w:themeColor="text1"/>
          <w:sz w:val="16"/>
          <w:szCs w:val="16"/>
        </w:rPr>
      </w:pPr>
    </w:p>
    <w:p w14:paraId="4262B1FA" w14:textId="77777777" w:rsidR="00EA20A1" w:rsidRPr="00E93F40" w:rsidRDefault="00EA20A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г. В Москве над Красной площадью во время демонстрации трудящихся пролетела эскадра дирижаблей в составе четырех учебно-тренировочных кораблей В-1, В-2, В-3 и В-4 .Эскадра вылетела с двух подмосковных баз и, подчиняясь командам флагманского корабля, соединилась в назначенном месте и прошла над площадью строем кильватерной колонны. Это было первое участие дирижаблей в воздушном параде.</w:t>
      </w:r>
    </w:p>
    <w:p w14:paraId="5F52AAC5" w14:textId="77777777" w:rsidR="00EA20A1" w:rsidRPr="00E93F40" w:rsidRDefault="00EA20A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ЦИК СССР» за 11 ноября 1932/ (23370).</w:t>
      </w:r>
    </w:p>
    <w:p w14:paraId="016E3770" w14:textId="77777777" w:rsidR="00EA20A1" w:rsidRPr="00E93F40" w:rsidRDefault="00EA20A1" w:rsidP="00E93F40">
      <w:pPr>
        <w:spacing w:after="0" w:line="240" w:lineRule="auto"/>
        <w:jc w:val="both"/>
        <w:rPr>
          <w:rFonts w:ascii="Times New Roman" w:hAnsi="Times New Roman"/>
          <w:color w:val="000000" w:themeColor="text1"/>
          <w:sz w:val="16"/>
          <w:szCs w:val="16"/>
        </w:rPr>
      </w:pPr>
    </w:p>
    <w:p w14:paraId="30A08459" w14:textId="77777777" w:rsidR="00844066" w:rsidRPr="00E93F40" w:rsidRDefault="0084406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7 ноября 1932, в день 15-летия революции, над центром Москвы и самой Красной площадью, над головами сотен тысяч жителей и гостей столицы прошли уже целых четыре советских мягких дирижабля, наглядно продемонстрировав: Дирижаблестрой действует, флот растёт, а значит, среди облаков обязательно будет реять и Ленинская эскадра. Можно не сомневаться, что это небесное действо наблюдали и из кремлёвских окон (23192).</w:t>
      </w:r>
    </w:p>
    <w:p w14:paraId="190229CB" w14:textId="77777777" w:rsidR="00844066" w:rsidRPr="00E93F40" w:rsidRDefault="00844066" w:rsidP="00E93F40">
      <w:pPr>
        <w:spacing w:after="0" w:line="240" w:lineRule="auto"/>
        <w:jc w:val="both"/>
        <w:rPr>
          <w:rFonts w:ascii="Times New Roman" w:hAnsi="Times New Roman"/>
          <w:color w:val="000000" w:themeColor="text1"/>
          <w:sz w:val="16"/>
          <w:szCs w:val="16"/>
        </w:rPr>
      </w:pPr>
    </w:p>
    <w:p w14:paraId="17401EE7" w14:textId="77777777" w:rsidR="00D33067" w:rsidRPr="00E93F40" w:rsidRDefault="00D33067" w:rsidP="00D33067">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1EE32D4" w14:textId="77777777" w:rsidR="00D33067" w:rsidRPr="00E93F40" w:rsidRDefault="00D33067" w:rsidP="00D33067">
      <w:pPr>
        <w:autoSpaceDE w:val="0"/>
        <w:autoSpaceDN w:val="0"/>
        <w:adjustRightInd w:val="0"/>
        <w:spacing w:after="0" w:line="240" w:lineRule="auto"/>
        <w:jc w:val="both"/>
        <w:rPr>
          <w:rFonts w:ascii="Times New Roman" w:hAnsi="Times New Roman"/>
          <w:iCs/>
          <w:color w:val="000000" w:themeColor="text1"/>
          <w:sz w:val="16"/>
          <w:szCs w:val="16"/>
        </w:rPr>
      </w:pPr>
    </w:p>
    <w:p w14:paraId="37F31B2F"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1932 года Т-41 участвовали в параде на Красной площади, а затем были переданы в танковые части в качестве учебных машин. Некоторые из них эксплуатировались вплоть до 1939 года. Один серийный Т-41 летом 1945 года имелся в составе воздушно-десантных частей Московского военного округа. Эта машина использовалась для отработки воп</w:t>
      </w:r>
      <w:r w:rsidRPr="00142305">
        <w:rPr>
          <w:rFonts w:ascii="Times New Roman" w:hAnsi="Times New Roman"/>
          <w:color w:val="0070C0"/>
          <w:sz w:val="16"/>
          <w:szCs w:val="16"/>
        </w:rPr>
        <w:softHyphen/>
        <w:t>росов доставки танков по воздуху посадоч</w:t>
      </w:r>
      <w:r w:rsidRPr="00142305">
        <w:rPr>
          <w:rFonts w:ascii="Times New Roman" w:hAnsi="Times New Roman"/>
          <w:color w:val="0070C0"/>
          <w:sz w:val="16"/>
          <w:szCs w:val="16"/>
        </w:rPr>
        <w:softHyphen/>
        <w:t>ным способом (25019).</w:t>
      </w:r>
    </w:p>
    <w:p w14:paraId="04669CB0" w14:textId="77777777" w:rsidR="00D33067" w:rsidRPr="00142305" w:rsidRDefault="00D33067" w:rsidP="00D33067">
      <w:pPr>
        <w:spacing w:after="0" w:line="240" w:lineRule="auto"/>
        <w:jc w:val="both"/>
        <w:rPr>
          <w:rFonts w:ascii="Times New Roman" w:hAnsi="Times New Roman"/>
          <w:color w:val="0070C0"/>
          <w:sz w:val="16"/>
          <w:szCs w:val="16"/>
        </w:rPr>
      </w:pPr>
    </w:p>
    <w:p w14:paraId="72DB7836"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1932 г. четырехосный полноприводный ЯГ-12 ЯрАЗ прошел по Красной площади, а затем успешно одолел зимние испытания.</w:t>
      </w:r>
    </w:p>
    <w:p w14:paraId="689FB7AF"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Красной армии планировалось наладить серийный выпуск ЯГ-12 и на следующий год изготовить семь грузовиков, но в реальности это были пустые грёзы. К тому времени в СССР вообще не существовало колесных вездеходов, опыта их разработки и профессиональных кадров, а отечественные автозаводы не были готовы к выпуску столь сложной техники.</w:t>
      </w:r>
    </w:p>
    <w:p w14:paraId="5256AF62"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ЯГ-12 остался из ряда вон выходящим и в общем-то случайным высшим достижением отечественной военно-технической мысли. Советскому Союзу не удалось удержать и развить свое краткое превосходство, да и единственный экземпляр уникальной машины потом где-то затерялся (25597).</w:t>
      </w:r>
    </w:p>
    <w:p w14:paraId="62931146" w14:textId="77777777" w:rsidR="00D33067" w:rsidRPr="00142305" w:rsidRDefault="00D33067" w:rsidP="00D33067">
      <w:pPr>
        <w:spacing w:after="0" w:line="240" w:lineRule="auto"/>
        <w:jc w:val="both"/>
        <w:rPr>
          <w:rFonts w:ascii="Times New Roman" w:hAnsi="Times New Roman"/>
          <w:color w:val="0070C0"/>
          <w:sz w:val="16"/>
          <w:szCs w:val="16"/>
        </w:rPr>
      </w:pPr>
    </w:p>
    <w:p w14:paraId="5A652FCB" w14:textId="549C36CD" w:rsidR="000500C4" w:rsidRPr="00E93F40" w:rsidRDefault="000500C4"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23864C71" w14:textId="77777777" w:rsidR="000500C4" w:rsidRPr="00E93F40" w:rsidRDefault="000500C4"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722F5FCB" w14:textId="77777777" w:rsidR="000500C4" w:rsidRPr="00E93F40" w:rsidRDefault="000500C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г. два бомбардировщика 105-й тяжелобомбардировочной эскадрильи (тбаэ) впечатляюще проплыли над Хабаровском в со</w:t>
      </w:r>
      <w:r w:rsidRPr="00E93F40">
        <w:rPr>
          <w:rFonts w:ascii="Times New Roman" w:hAnsi="Times New Roman"/>
          <w:color w:val="000000" w:themeColor="text1"/>
          <w:sz w:val="16"/>
          <w:szCs w:val="16"/>
        </w:rPr>
        <w:softHyphen/>
        <w:t>провождении пятерки Р-6 (23469).</w:t>
      </w:r>
    </w:p>
    <w:p w14:paraId="1E7AD94C" w14:textId="77777777" w:rsidR="000500C4" w:rsidRPr="00E93F40" w:rsidRDefault="000500C4" w:rsidP="00E93F40">
      <w:pPr>
        <w:spacing w:after="0" w:line="240" w:lineRule="auto"/>
        <w:jc w:val="both"/>
        <w:rPr>
          <w:rFonts w:ascii="Times New Roman" w:hAnsi="Times New Roman"/>
          <w:color w:val="000000" w:themeColor="text1"/>
          <w:sz w:val="16"/>
          <w:szCs w:val="16"/>
        </w:rPr>
      </w:pPr>
    </w:p>
    <w:p w14:paraId="6E37DBC8"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1932 г. два бомбардировщика 105-й тяжелобомбардировоч</w:t>
      </w:r>
      <w:r w:rsidRPr="00142305">
        <w:rPr>
          <w:rFonts w:ascii="Times New Roman" w:hAnsi="Times New Roman"/>
          <w:color w:val="0070C0"/>
          <w:sz w:val="16"/>
          <w:szCs w:val="16"/>
        </w:rPr>
        <w:softHyphen/>
        <w:t>ной эскадрильи (тбаэ) гордо проплыли над Хабаровском в сопровождении пятерки Р-6 (24977).</w:t>
      </w:r>
    </w:p>
    <w:p w14:paraId="6FF77679" w14:textId="77777777" w:rsidR="00D33067" w:rsidRPr="00142305" w:rsidRDefault="00D33067" w:rsidP="00D33067">
      <w:pPr>
        <w:spacing w:after="0" w:line="240" w:lineRule="auto"/>
        <w:jc w:val="both"/>
        <w:rPr>
          <w:rFonts w:ascii="Times New Roman" w:hAnsi="Times New Roman"/>
          <w:color w:val="0070C0"/>
          <w:sz w:val="16"/>
          <w:szCs w:val="16"/>
        </w:rPr>
      </w:pPr>
    </w:p>
    <w:p w14:paraId="0388F2AD"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1932 г. в Хабаровске в параде участвовали 20 новых самолетов (20990).</w:t>
      </w:r>
    </w:p>
    <w:p w14:paraId="37D28DEC" w14:textId="77777777" w:rsidR="00D33067" w:rsidRPr="00142305" w:rsidRDefault="00D33067" w:rsidP="00D33067">
      <w:pPr>
        <w:spacing w:after="0" w:line="240" w:lineRule="auto"/>
        <w:jc w:val="both"/>
        <w:rPr>
          <w:rFonts w:ascii="Times New Roman" w:hAnsi="Times New Roman"/>
          <w:color w:val="0070C0"/>
          <w:sz w:val="16"/>
          <w:szCs w:val="16"/>
        </w:rPr>
      </w:pPr>
    </w:p>
    <w:p w14:paraId="29680C5F" w14:textId="76E753C9" w:rsidR="006E2EBF" w:rsidRPr="00E93F40" w:rsidRDefault="006E2EB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7AF5522" w14:textId="77777777" w:rsidR="006E2EBF" w:rsidRPr="00E93F40" w:rsidRDefault="006E2EB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61AACE"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7 ноября 1932 ЯАЗ выпустил новую конструкцию четырехосного автомобиля со всеми четырьмя ведущими осями грузоподъемностью в 12 тонн. Автомобиль такого рода является большой новинкой в мировой технике. Только две или три фирмы в мире выпустили подобные машины в 1931 и 1932 годах. Однако завод не имел ни иностранной технической помощи, ни образца, ни чертежей. Конструкция оригинальная и разработана заводом самостоятельно. Кроме огромного значения, которое может иметь эта машина как грузовик, работа эта открывает заводу перспективу постройки автобусного шасси под двухэтажный кузов на 100 сидячих мест и новые перспективы для работы с двух и трехосными автомобилями с передним приводом» (Из отчета директора В.А. Еленина о деятельности завода за 1932 год) (19729).</w:t>
      </w:r>
    </w:p>
    <w:p w14:paraId="09E2762F"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4FDC984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CCAC64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24FCD0"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7 ноября</w:t>
      </w:r>
      <w:r w:rsidRPr="00E93F40">
        <w:rPr>
          <w:rFonts w:ascii="Times New Roman" w:hAnsi="Times New Roman"/>
          <w:color w:val="000000" w:themeColor="text1"/>
          <w:sz w:val="16"/>
          <w:szCs w:val="16"/>
        </w:rPr>
        <w:t xml:space="preserve"> в 1932 году вся страна слушала радиорепортаж с Красной площади Москвы, посвященный празднованию 15-летия Великого Октября. Это был, отмечала на другой день пресса, «живой репортаж», который превратился в подлинно художественную, литературно яркую передачу. Репортаж вели писатели С.Третьяков, И.Сельвинский, А.Сурков, С.Кирсанов, В.Ардаматский, А.Жаров и другие. Для радиослушателей зарубежных стран репортаж с Красной площади велся на английском, французском и немецком языках (14823).</w:t>
      </w:r>
    </w:p>
    <w:p w14:paraId="280396CC" w14:textId="77777777" w:rsidR="002812F6" w:rsidRPr="00E93F40" w:rsidRDefault="002812F6" w:rsidP="00E93F40">
      <w:pPr>
        <w:spacing w:after="0" w:line="240" w:lineRule="auto"/>
        <w:jc w:val="both"/>
        <w:rPr>
          <w:rFonts w:ascii="Times New Roman" w:hAnsi="Times New Roman"/>
          <w:color w:val="000000" w:themeColor="text1"/>
          <w:sz w:val="16"/>
          <w:szCs w:val="16"/>
        </w:rPr>
      </w:pPr>
    </w:p>
    <w:p w14:paraId="2CBCE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в кинофильме Встречный впервые прозвучала песня на музыку Шостаковича "Утро красит..." (3481).</w:t>
      </w:r>
    </w:p>
    <w:p w14:paraId="65A189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331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в Ленинграде открылось новое здание ГПУ на Литейном (большой дом) (3481).</w:t>
      </w:r>
    </w:p>
    <w:p w14:paraId="205B07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360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на Литейном проспекте, дом 4 открыто новое здание ГПУ (Полномочного Представительства ОГПУ в Ленинградском военном округе), построенное по проекту архитекторов Н.А. Троцкого, А.А. Оля и А.И. Гегелло. В народе здание окрестили «Большим домом». Сегодня в нем размещается Петербургское управление ФСБ (10739).</w:t>
      </w:r>
    </w:p>
    <w:p w14:paraId="36A90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BBC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ноября 1932 появился приуроченный к «пятнадцатилетнему юбилею существования Советской власти» приказ по Строительству канала и Управлению Дмитлага № 34, призвавший «за полтора года соединить между собою каналом реку Волга с Москвой рекой, дать пролетарской столице воду и пропустить большие волжские пароходы в СЕРДЦЕ СОВЕТСКОГО СОЮЗА, В МОСКВУ. Сегодня, в день, когда КАНАЛОАРМЕЙЦЫ «БЕЛМОРСТРОЯ» сдают стране законченный в основном «БЕЛМОРСТРОЙ», заключенные Дмитровского лагеря ОГПУ должны объявить себя «КАНАЛОАРМЕЙЦАМИ» нового водного пути «Волга-Москва» река... Вы должны все как один вступить в ударные, штурмовые колонны КАНАЛОАРМЕЙЦЕВ ДМИТЛАГа ОГПУ и под победными знаменами «Белморстроя» стать незнающей поражений армией канала «Волга-Москва»». Приказ подписали начальник строительства канала Л. И. Коган и начальник Дмитлага А. Е Сорокин (7560).</w:t>
      </w:r>
    </w:p>
    <w:p w14:paraId="1A21A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154A45" w14:textId="77777777" w:rsidR="00BB1BC5" w:rsidRPr="00E93F40" w:rsidRDefault="00BB1BC5" w:rsidP="00E93F40">
      <w:pPr>
        <w:pStyle w:val="all-par"/>
        <w:spacing w:before="0" w:after="0" w:line="240" w:lineRule="auto"/>
        <w:ind w:left="0" w:right="0" w:firstLine="0"/>
        <w:rPr>
          <w:color w:val="000000" w:themeColor="text1"/>
          <w:sz w:val="16"/>
          <w:szCs w:val="16"/>
        </w:rPr>
      </w:pPr>
      <w:hyperlink r:id="rId262" w:tgtFrame="_blank" w:tooltip="Криминалные события 7 ноября. В новом окне" w:history="1">
        <w:r w:rsidRPr="00E93F40">
          <w:rPr>
            <w:rStyle w:val="a5"/>
            <w:color w:val="000000" w:themeColor="text1"/>
            <w:sz w:val="16"/>
            <w:szCs w:val="16"/>
            <w:u w:val="none"/>
          </w:rPr>
          <w:t>7 ноября</w:t>
        </w:r>
      </w:hyperlink>
      <w:r w:rsidRPr="00E93F40">
        <w:rPr>
          <w:color w:val="000000" w:themeColor="text1"/>
          <w:sz w:val="16"/>
          <w:szCs w:val="16"/>
        </w:rPr>
        <w:t xml:space="preserve"> 1932 года на банкете в квартире Ворошилова по случаю 15-летия Октябрьской революции</w:t>
      </w:r>
      <w:r w:rsidR="000B4F2C" w:rsidRPr="00E93F40">
        <w:rPr>
          <w:color w:val="000000" w:themeColor="text1"/>
          <w:sz w:val="16"/>
          <w:szCs w:val="16"/>
        </w:rPr>
        <w:t xml:space="preserve"> произошла последняя ссора Алилуевой с мужем</w:t>
      </w:r>
      <w:r w:rsidRPr="00E93F40">
        <w:rPr>
          <w:color w:val="000000" w:themeColor="text1"/>
          <w:sz w:val="16"/>
          <w:szCs w:val="16"/>
        </w:rPr>
        <w:t>. Говорят, что ссора произошла по пустяку. Сталин сказал: "Эй, ты, пей!". А Аллилуева крикнула: «Я тебе не – «Эй»!», встала и ушла из-за стола. Она уехала на квартиру в Кремль, а он отправился на дачу. Аллилуеву обнаружили мёртвой с «Вальтером» в руке на рассвете 9 ноября. Записки она не оставила. На следующий день газеты сообщили, что молодая жена Сталина скончалась в госпитале после неудачной операции аппендицита</w:t>
      </w:r>
      <w:r w:rsidR="000B4F2C" w:rsidRPr="00E93F40">
        <w:rPr>
          <w:color w:val="000000" w:themeColor="text1"/>
          <w:sz w:val="16"/>
          <w:szCs w:val="16"/>
        </w:rPr>
        <w:t xml:space="preserve"> (17272)</w:t>
      </w:r>
      <w:r w:rsidRPr="00E93F40">
        <w:rPr>
          <w:color w:val="000000" w:themeColor="text1"/>
          <w:sz w:val="16"/>
          <w:szCs w:val="16"/>
        </w:rPr>
        <w:t>.</w:t>
      </w:r>
    </w:p>
    <w:p w14:paraId="60CF06C4" w14:textId="77777777" w:rsidR="00BB1BC5" w:rsidRPr="00E93F40" w:rsidRDefault="00BB1BC5" w:rsidP="00E93F40">
      <w:pPr>
        <w:autoSpaceDE w:val="0"/>
        <w:autoSpaceDN w:val="0"/>
        <w:adjustRightInd w:val="0"/>
        <w:spacing w:after="0" w:line="240" w:lineRule="auto"/>
        <w:jc w:val="both"/>
        <w:rPr>
          <w:rFonts w:ascii="Times New Roman" w:hAnsi="Times New Roman"/>
          <w:color w:val="000000" w:themeColor="text1"/>
          <w:sz w:val="16"/>
          <w:szCs w:val="16"/>
        </w:rPr>
      </w:pPr>
    </w:p>
    <w:p w14:paraId="014374E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3E8AAB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FEB19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ноября 1932 в Ленинград отправлено шасси ЯА-1 для автобуса с пассажировместимостью до 80 человек (50 посадочных мест). Начало серийного выпуска автомобиля ЯГ-З грузоподъемностью 5 тонн с отечественным двигателем мощностью 62 л.с. Начало серийного производства трехосных автомобилей повышенной проходимости ЯГ-10. Разработан и построен опытный образец четырехосного автомобиля высокой проходимости ЯГ-12 грузоподъемностью 12 тонн с двигателем мощностью 120 л.с. (11246).</w:t>
      </w:r>
    </w:p>
    <w:p w14:paraId="5935D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A5BB22" w14:textId="6B4D3CD3" w:rsidR="00742933" w:rsidRPr="00E93F40" w:rsidRDefault="00742933" w:rsidP="00E93F40">
      <w:pPr>
        <w:pStyle w:val="rtejustify"/>
        <w:spacing w:before="0" w:after="0"/>
        <w:rPr>
          <w:color w:val="000000" w:themeColor="text1"/>
          <w:sz w:val="16"/>
          <w:szCs w:val="16"/>
        </w:rPr>
      </w:pPr>
      <w:r w:rsidRPr="00E93F40">
        <w:rPr>
          <w:color w:val="000000" w:themeColor="text1"/>
          <w:sz w:val="16"/>
          <w:szCs w:val="16"/>
        </w:rPr>
        <w:t>8</w:t>
      </w:r>
      <w:r w:rsidR="007C1411" w:rsidRPr="00E93F40">
        <w:rPr>
          <w:color w:val="000000" w:themeColor="text1"/>
          <w:sz w:val="16"/>
          <w:szCs w:val="16"/>
        </w:rPr>
        <w:t xml:space="preserve"> </w:t>
      </w:r>
      <w:r w:rsidRPr="00E93F40">
        <w:rPr>
          <w:color w:val="000000" w:themeColor="text1"/>
          <w:sz w:val="16"/>
          <w:szCs w:val="16"/>
        </w:rPr>
        <w:t>ноября 1932</w:t>
      </w:r>
      <w:r w:rsidR="007C1411" w:rsidRPr="00E93F40">
        <w:rPr>
          <w:color w:val="000000" w:themeColor="text1"/>
          <w:sz w:val="16"/>
          <w:szCs w:val="16"/>
        </w:rPr>
        <w:t xml:space="preserve"> </w:t>
      </w:r>
      <w:r w:rsidRPr="00E93F40">
        <w:rPr>
          <w:color w:val="000000" w:themeColor="text1"/>
          <w:sz w:val="16"/>
          <w:szCs w:val="16"/>
        </w:rPr>
        <w:t>г. СНК</w:t>
      </w:r>
      <w:r w:rsidR="007C1411" w:rsidRPr="00E93F40">
        <w:rPr>
          <w:color w:val="000000" w:themeColor="text1"/>
          <w:sz w:val="16"/>
          <w:szCs w:val="16"/>
        </w:rPr>
        <w:t xml:space="preserve"> </w:t>
      </w:r>
      <w:r w:rsidRPr="00E93F40">
        <w:rPr>
          <w:color w:val="000000" w:themeColor="text1"/>
          <w:sz w:val="16"/>
          <w:szCs w:val="16"/>
        </w:rPr>
        <w:t>СССР постановил ликвидировать большую часть объединений в промышленности и сельском хозяйстве.</w:t>
      </w:r>
    </w:p>
    <w:p w14:paraId="4E08B608" w14:textId="2361655D" w:rsidR="00742933" w:rsidRPr="00E93F40" w:rsidRDefault="00742933" w:rsidP="00E93F40">
      <w:pPr>
        <w:pStyle w:val="rtejustify"/>
        <w:spacing w:before="0" w:after="0"/>
        <w:rPr>
          <w:color w:val="000000" w:themeColor="text1"/>
          <w:sz w:val="16"/>
          <w:szCs w:val="16"/>
        </w:rPr>
      </w:pPr>
      <w:r w:rsidRPr="00E93F40">
        <w:rPr>
          <w:color w:val="000000" w:themeColor="text1"/>
          <w:sz w:val="16"/>
          <w:szCs w:val="16"/>
        </w:rPr>
        <w:t>Постановлением ЦИК и СНК</w:t>
      </w:r>
      <w:r w:rsidR="007C1411" w:rsidRPr="00E93F40">
        <w:rPr>
          <w:color w:val="000000" w:themeColor="text1"/>
          <w:sz w:val="16"/>
          <w:szCs w:val="16"/>
        </w:rPr>
        <w:t xml:space="preserve"> </w:t>
      </w:r>
      <w:r w:rsidRPr="00E93F40">
        <w:rPr>
          <w:color w:val="000000" w:themeColor="text1"/>
          <w:sz w:val="16"/>
          <w:szCs w:val="16"/>
        </w:rPr>
        <w:t>СССР от 5</w:t>
      </w:r>
      <w:r w:rsidR="007C1411" w:rsidRPr="00E93F40">
        <w:rPr>
          <w:color w:val="000000" w:themeColor="text1"/>
          <w:sz w:val="16"/>
          <w:szCs w:val="16"/>
        </w:rPr>
        <w:t xml:space="preserve"> </w:t>
      </w:r>
      <w:r w:rsidRPr="00E93F40">
        <w:rPr>
          <w:color w:val="000000" w:themeColor="text1"/>
          <w:sz w:val="16"/>
          <w:szCs w:val="16"/>
        </w:rPr>
        <w:t>января 1932</w:t>
      </w:r>
      <w:r w:rsidR="007C1411" w:rsidRPr="00E93F40">
        <w:rPr>
          <w:color w:val="000000" w:themeColor="text1"/>
          <w:sz w:val="16"/>
          <w:szCs w:val="16"/>
        </w:rPr>
        <w:t xml:space="preserve"> </w:t>
      </w:r>
      <w:r w:rsidRPr="00E93F40">
        <w:rPr>
          <w:color w:val="000000" w:themeColor="text1"/>
          <w:sz w:val="16"/>
          <w:szCs w:val="16"/>
        </w:rPr>
        <w:t>г. ВСНХ</w:t>
      </w:r>
      <w:r w:rsidR="007C1411" w:rsidRPr="00E93F40">
        <w:rPr>
          <w:color w:val="000000" w:themeColor="text1"/>
          <w:sz w:val="16"/>
          <w:szCs w:val="16"/>
        </w:rPr>
        <w:t xml:space="preserve"> </w:t>
      </w:r>
      <w:r w:rsidRPr="00E93F40">
        <w:rPr>
          <w:color w:val="000000" w:themeColor="text1"/>
          <w:sz w:val="16"/>
          <w:szCs w:val="16"/>
        </w:rPr>
        <w:t>СССР был преобразован в Народный комиссариат тяжелой промышленности СССР. Из его ведения были выделены легкая, лесная и лесообрабатывающая промышленность, для руководства которыми были созданы народные комиссариаты легкой и лесной промышленности. Ранее ВСНХ</w:t>
      </w:r>
      <w:r w:rsidR="007C1411" w:rsidRPr="00E93F40">
        <w:rPr>
          <w:color w:val="000000" w:themeColor="text1"/>
          <w:sz w:val="16"/>
          <w:szCs w:val="16"/>
        </w:rPr>
        <w:t xml:space="preserve"> </w:t>
      </w:r>
      <w:r w:rsidRPr="00E93F40">
        <w:rPr>
          <w:color w:val="000000" w:themeColor="text1"/>
          <w:sz w:val="16"/>
          <w:szCs w:val="16"/>
        </w:rPr>
        <w:t>СССР передал Наркомторгу СССР пищевую промышленность. Затем последовало разукрупнение главков в каждом из промышленных наркоматов (12268).</w:t>
      </w:r>
    </w:p>
    <w:p w14:paraId="3F3C30F7" w14:textId="77777777" w:rsidR="00742933" w:rsidRPr="00E93F40" w:rsidRDefault="00742933" w:rsidP="00E93F40">
      <w:pPr>
        <w:pStyle w:val="rtejustify"/>
        <w:spacing w:before="0" w:after="0"/>
        <w:rPr>
          <w:color w:val="000000" w:themeColor="text1"/>
          <w:sz w:val="16"/>
          <w:szCs w:val="16"/>
        </w:rPr>
      </w:pPr>
    </w:p>
    <w:p w14:paraId="032F53CB" w14:textId="2282C53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8 ноября 1932 года по 5 февраля 1933 года очередная комиссия, состоящая из военно-морских специалистов, конструкторов, представителей Народного комиссариата тяжелой промышленности (НКТП), работала в Германии, Испании, Италии. В ее состав входили А. К. Сивков, П. Ю. Орас, В. Н. Перегудов, В. А. Никитин</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[Там же, д. 165, л. 2]. Членам комиссии руководством страны были поставлены следующие задачи:</w:t>
      </w:r>
    </w:p>
    <w:p w14:paraId="49AE40FA"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Изучить вопрос о возможности привлечения иностранной технической помощи по проектированию и постройке на отечественных заводах больших и средних быстроходных подводных лодок (600-700 и 1.000-1.200 тонн водоизмещения), лидеров эсминцев (3.000 тонн водоизмещения) и крейсеров (5.000-7.000 тонн водоизмещения).</w:t>
      </w:r>
    </w:p>
    <w:p w14:paraId="3CFF936F"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Провести переговоры с немецкой фирмой ―I v S‖ с целью выяснения конкретных условий получения технической помощи по проектированию и постройке подводных лодок на заводах СССР.</w:t>
      </w:r>
    </w:p>
    <w:p w14:paraId="33C7E749"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Ознакомиться с германскими заводами, производящими мощные дизеля, электрооборудование и другие механизмы для подводных лодок. Выяснить все условия получения технической помощи по постановке производства в СССР тех агрегатов и механизмов, которые являются особо важными и наиболее трудными для отечественного судостроения, связав эти переговоры с заключением договора о технической помощи по строительству судов.</w:t>
      </w:r>
    </w:p>
    <w:p w14:paraId="1700ACD2"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Найти в Германии несколько специалистов, вполне компетентных в современном подводном и надводном судостроении, и выяснить условия, на которых они могли бы быть привлечены для службы на судостроительных и машиностроительных заводах СССР.</w:t>
      </w:r>
    </w:p>
    <w:p w14:paraId="0FF2AAD7"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Провести переговоры с профессором Фламмом и начальником Опытового бассейна в Гамбурге доктором Кемпфом с целью приглашения их в Советский Союз для чтения ряда лекций советским специалистам по теории подводных лодок и ходкости корабля» [Там же, л. 4-5].</w:t>
      </w:r>
    </w:p>
    <w:p w14:paraId="6B90B692"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том, как шли переговоры, члены комиссии докладывали руководству регулярно (18262).</w:t>
      </w:r>
    </w:p>
    <w:p w14:paraId="29B8EF49"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5762A6A7" w14:textId="2C9214B2" w:rsidR="00D80F52" w:rsidRPr="00E93F40" w:rsidRDefault="00D80F52" w:rsidP="00E93F4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 8 ноября 1932 года по 5 февраля 1933 года очередная комиссия, состоящая из военно-морских специалистов, конструкторов, представителей Народного комиссариата тяжелой промышленности (НКТП), работала в Германии, Испании, Италии. В ее состав входили А. К. Сивков, П. Ю. Орас, В. Н. Перегудов, В. А. Никитин</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[Там же, д. 165, л. 2]. Членам комиссии руководством страны были поставлены следующие задачи:</w:t>
      </w:r>
    </w:p>
    <w:p w14:paraId="7EA02CA1" w14:textId="77777777" w:rsidR="00D80F52" w:rsidRPr="00E93F40" w:rsidRDefault="00D80F52" w:rsidP="00E93F4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 Изучить вопрос о возможности привлечения иностранной технической помощи по проектированию и постройке на отечественных заводах больших и средних быстроходных подводных лодок (600-700 и 1.000-1.200 тонн водоизмещения), лидеров эсминцев (3.000 тонн водоизмещения) и крейсеров (5.000-7.000 тонн водоизмещения).</w:t>
      </w:r>
    </w:p>
    <w:p w14:paraId="61DD2621" w14:textId="77777777" w:rsidR="00D80F52" w:rsidRPr="00E93F40" w:rsidRDefault="00D80F52" w:rsidP="00E93F4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 Провести переговоры с немецкой фирмой ―I v S‖ с целью выяснения конкретных условий получения технической помощи по проектированию и постройке подводных лодок на заводах СССР.</w:t>
      </w:r>
    </w:p>
    <w:p w14:paraId="7C0CB3C0" w14:textId="77777777" w:rsidR="00D80F52" w:rsidRPr="00E93F40" w:rsidRDefault="00D80F52" w:rsidP="00E93F40">
      <w:pPr>
        <w:shd w:val="clear" w:color="auto" w:fill="FFFFFF"/>
        <w:spacing w:after="0" w:line="240" w:lineRule="auto"/>
        <w:jc w:val="both"/>
        <w:textAlignment w:val="baseline"/>
        <w:rPr>
          <w:rFonts w:ascii="Times New Roman" w:hAnsi="Times New Roman"/>
          <w:color w:val="000000" w:themeColor="text1"/>
          <w:sz w:val="16"/>
          <w:szCs w:val="16"/>
        </w:rPr>
      </w:pPr>
      <w:r w:rsidRPr="00E93F40">
        <w:rPr>
          <w:rFonts w:ascii="Times New Roman" w:hAnsi="Times New Roman"/>
          <w:color w:val="000000" w:themeColor="text1"/>
          <w:sz w:val="16"/>
          <w:szCs w:val="16"/>
        </w:rPr>
        <w:t>3. Ознакомиться с германскими заводами, производящими мощные дизеля, электрооборудование и другие механизмы для подводных лодок. Выяснить все условия получения технической помощи по постановке производства в СССР тех агрегатов и механизмов, которые являются особо важными и наиболее трудными для отечественного судостроения, связав эти переговоры с заключением договора о технической помощи по строительству судов.</w:t>
      </w:r>
    </w:p>
    <w:p w14:paraId="0E58BEF2" w14:textId="77777777" w:rsidR="00D80F52" w:rsidRPr="00E93F40" w:rsidRDefault="00D80F52" w:rsidP="00E93F40">
      <w:pPr>
        <w:shd w:val="clear" w:color="auto" w:fill="FFFFFF"/>
        <w:spacing w:after="0" w:line="240" w:lineRule="auto"/>
        <w:jc w:val="both"/>
        <w:textAlignment w:val="baseline"/>
        <w:rPr>
          <w:rFonts w:ascii="Times New Roman" w:hAnsi="Times New Roman"/>
          <w:color w:val="000000" w:themeColor="text1"/>
          <w:sz w:val="16"/>
          <w:szCs w:val="16"/>
        </w:rPr>
      </w:pPr>
      <w:r w:rsidRPr="00E93F40">
        <w:rPr>
          <w:rFonts w:ascii="Times New Roman" w:hAnsi="Times New Roman"/>
          <w:color w:val="000000" w:themeColor="text1"/>
          <w:sz w:val="16"/>
          <w:szCs w:val="16"/>
        </w:rPr>
        <w:t>4. Найти в Германии несколько специалистов, вполне компетентных в современном подводном и надводном судостроении, и выяснить условия, на которых они могли бы быть привлечены для службы на судостроительных и машиностроительных заводах СССР.</w:t>
      </w:r>
    </w:p>
    <w:p w14:paraId="7DA1F67E" w14:textId="167CEF14" w:rsidR="00D80F52" w:rsidRPr="00E93F40" w:rsidRDefault="00D80F52"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5.</w:t>
      </w:r>
      <w:r w:rsidR="00DD74E1">
        <w:rPr>
          <w:color w:val="000000" w:themeColor="text1"/>
          <w:sz w:val="16"/>
          <w:szCs w:val="16"/>
        </w:rPr>
        <w:t xml:space="preserve"> </w:t>
      </w:r>
      <w:r w:rsidRPr="00E93F40">
        <w:rPr>
          <w:color w:val="000000" w:themeColor="text1"/>
          <w:sz w:val="16"/>
          <w:szCs w:val="16"/>
        </w:rPr>
        <w:t>Провести переговоры с профессором Фламмом и начальником Опытового бассейна в Гамбурге доктором Кемпфом с целью приглашения их в Советский Союз для чтения ряда лекций советским специалистам по теории подводных лодок и ходкости корабля» [Там же, л. 4-5].</w:t>
      </w:r>
    </w:p>
    <w:p w14:paraId="497A42E6" w14:textId="77777777" w:rsidR="00D80F52" w:rsidRPr="00E93F40" w:rsidRDefault="00D80F52"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О том, как шли переговоры, члены комиссии докладывали руководству регулярно. Так, 9 ноября 1932 года председатель комиссии, Начальник управления кораблестроения Управления военно-морскими силами (УВМС) докладывал НКВМ К. Е. Ворошилову: «Переговоры с фирмой ―I v S‖ развиваются тяжело. Немцы создают вокруг наших переговоров обстановку большой секретности, я бы сказал, даже таинственности. Переговоры велись на частной квартире (не в Торговом представительстве и не в помещении Военного министерства)» [Там же, л. 22] (21528).</w:t>
      </w:r>
    </w:p>
    <w:p w14:paraId="72654698" w14:textId="77777777" w:rsidR="00D80F52" w:rsidRPr="00E93F40" w:rsidRDefault="00D80F52" w:rsidP="00E93F40">
      <w:pPr>
        <w:pStyle w:val="ae"/>
        <w:shd w:val="clear" w:color="auto" w:fill="FFFFFF"/>
        <w:spacing w:before="0" w:after="0"/>
        <w:jc w:val="both"/>
        <w:textAlignment w:val="baseline"/>
        <w:rPr>
          <w:color w:val="000000" w:themeColor="text1"/>
          <w:sz w:val="16"/>
          <w:szCs w:val="16"/>
        </w:rPr>
      </w:pPr>
    </w:p>
    <w:p w14:paraId="36C07AE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1375F9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5AC0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ноября 1932 застрелилась Н.С.Алилуева - жена И.В.С. (3263,636).</w:t>
      </w:r>
    </w:p>
    <w:p w14:paraId="78941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61C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ночь с 8 на 9 ноября 1932 застрелилась Н.С.Алилуева (3304,21).</w:t>
      </w:r>
    </w:p>
    <w:p w14:paraId="3A04FA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02BF0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ноября 1932 в ночь на 9 ноября былы смерть (самоубийство) при невыясненных обстоятельствах жены И.В.С.- Н. Аллилуевой (4962).</w:t>
      </w:r>
    </w:p>
    <w:p w14:paraId="40682B3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4EC08F"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ноября 1932 застрелилась Надежда Аллилуева, жена Сталина. Женщина, которую он безусловно любил. О причинах самоубийства можно гадать, но вот реакция Кобы бесспорна. Он был взбешен. "Ушла, как враг" (12629).</w:t>
      </w:r>
    </w:p>
    <w:p w14:paraId="233E1727" w14:textId="77777777" w:rsidR="00F6073C" w:rsidRPr="00E93F40" w:rsidRDefault="00F6073C" w:rsidP="00E93F40">
      <w:pPr>
        <w:autoSpaceDE w:val="0"/>
        <w:autoSpaceDN w:val="0"/>
        <w:adjustRightInd w:val="0"/>
        <w:spacing w:after="0" w:line="240" w:lineRule="auto"/>
        <w:jc w:val="both"/>
        <w:rPr>
          <w:rFonts w:ascii="Times New Roman" w:hAnsi="Times New Roman"/>
          <w:color w:val="000000" w:themeColor="text1"/>
          <w:sz w:val="16"/>
          <w:szCs w:val="16"/>
        </w:rPr>
      </w:pPr>
    </w:p>
    <w:p w14:paraId="200AE78C"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ноября 1932. Покончила жизнь самоубийством жена Сталина - Н. С. Аллилуева (18723).</w:t>
      </w:r>
    </w:p>
    <w:p w14:paraId="5D61980F"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 С. Хрущев вспоминал: "Посещение домашних обедов у Сталина было особенным приятным, пока была жива Надежда Сергеевна. Она была принципиальным партийным человеком, и в то же время чуткой и хлебосольной хозяйкой. Я очень сожалел, когда она умерла. Накануне ее кончины проходили октябрьские торжества... </w:t>
      </w:r>
      <w:r w:rsidRPr="00E93F40">
        <w:rPr>
          <w:rFonts w:ascii="Times New Roman" w:hAnsi="Times New Roman"/>
          <w:color w:val="000000" w:themeColor="text1"/>
          <w:sz w:val="16"/>
          <w:szCs w:val="16"/>
        </w:rPr>
        <w:lastRenderedPageBreak/>
        <w:t>Шла демонстрация, и я стоял возле мавзолея Ленина в группе актива. Аллилуева была рядом со мной, мы разговаривали* Было прохладно, и Сталин стоял на мавзолее в шинели (он, как всегда в ту пору, ходил в шинели). Крючки у него были расстегнуты, и полы распахнулись. Дул ветер, Аллилуева глянула и говорит: "Вот мой не взял шарф, простудится и опять будет болеть'. Все это было очень по-домашнему, и никак не вязалось с вросшими в наше сознание представлениями о Сталине, о вожде. Потом Кончилась демонстрация, все разошлись. А на следующий день Каганович собирает секретарей московских райкомов партии и говорит, что скоропостижно скончалась Надежда Сергеевна. Я тогда подумал: "Как же так" Я же с ней вчера разговаривал. Цветущая, красивая такая женщина была". Искренне пожалел: "Ну, что же, всякое бывает, умирают люди". Через день или два Каганович опять собирает тот же состав и говорит: "Я передаю поручение Сталина. Сталин велел сказать, что Аллилуева не умерла, а застрелилась". Вот и все. Причин, конечно, нам не излагали. Застрелилась, и все тут. Ее похоронили. Сталин ходил провожать ее на кладбище. По его лицу было видно, что он очень переживал, оплакивал ее. Уже после смерти Сталина я узнал причину смерти Надежды Сергеевны. На это есть документы. А мы спросили Власика, начальника охраны Сталина: "Какие причины побудили Надежду Сергеевну к самоубийству" Вот что он рассказал. После парада, как всегда, все пошли обедать к Ворошилову. (В Кремле у него большая квартира была. Я тоже там обедал несколько раз. Приходил туда узкий круг лиц: командующий парадом, в тот раз, по-моему, Корк, принимавший парад Ворошилов и некоторые члены Политбюро, самые близкие к Сталину. Шли туда прямо с Красной площади. Тогда демонстрации надолго затягивались.) Там они пообедали, выпили, как полагается и что полагается в таких случаях. Надежды Сергеевны там не было. Все разъехались, уехал и Сталин. Уехал, но домой не приехал. Было уже поздно. Надежда Сергеевна стала проявлять беспокойство - где же Сталин" Начала его искать по телефону. Прежде всего, она позвонила на дачу. Они жили тогда в Зубалове, но не там, где жил в последнее время Микоян, а через овраг. На звонок ответил дежурный. Надежда Сергеевна спросила: "Где товарищ Сталин" - "Товарищ Сталин здесь". - "Кто с ним" Тот назвал: "С ним жена Гусева". Утром, когда Сталин приехал, жена уже была мертва. Гусев - это военный, и он тоже присутствовал на обеде у Ворошилова. Когда Сталин уезжал, он взял жену Гусева с собой. Я Гусеву никогда не видел, но Микоян.говорил, что она очень красивая женщина. Когда Власик рассказывал эту историю, он так прокомментировал: "Черт его знает, дурак неопытный этот дежурный. Она спросила, а он так прямо и сказал ей". Тогда еще ходили глухие сплетни, что Сталин сам убил ее. Были такие слухи, и я лично их слышал. Видимо, и Сталин об этом знал. Раз слухи ходили, то, конечно, чекисты записывали и докладывали. Потом люди говорили, что Сталин пришел в спальню, где он и обнаружил мертвую Надежду Сергеевну. Не один пришел, а с Ворошиловым. Так ли это было, трудно сказать. Почему это вдруг в спальню нужно ходить с Ворошиловым" А если человек хочет взять свидетеля, то, значит, он знал, что ее уже нет" Одним словом, эта сторона дела до сих пор темна".</w:t>
      </w:r>
    </w:p>
    <w:p w14:paraId="04136C1E" w14:textId="77777777" w:rsidR="006E2EBF" w:rsidRPr="00E93F40" w:rsidRDefault="006E2E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Телохранитель Сталина А. Т. Рыбин вспоминал: "По словам Соловьева, коменданта дачи "Семеновское", в тот вечер за столом собрались члены правительства с женами. Понятно, сразу же возникла нескончаемая дискуссия об оппозиции. За скорую победу над ней налили вина. Все выпили. Только Надежда не сделала это. В то время она училась в Промакадемии, где шла ожесточенная борьба между ленинцами и Бухариным, Томским, Ухановым. Вероятно, она даже в чем-то разделяла их взгляды. Сталин резко спросил: "Ты что не пьешь" Надежда обиженно вышла из-за стола на крыльцо. Жена Молотова Полина стала ее успокаивать. Но Надежда была взвинчена до предела и дома застрелилась из маленького пистолета. Смерть жены Сталин переживал тяжко. Провожая покойную, он шел за гробом до Новодевичьего кладбища. Потом еще долго по ночам ездил к могиле. Бывало, заходил в беседку и задумчиво курил трубку за трубкой" (18723).</w:t>
      </w:r>
    </w:p>
    <w:p w14:paraId="78276741" w14:textId="77777777" w:rsidR="006E2EBF" w:rsidRPr="00E93F40" w:rsidRDefault="006E2EBF" w:rsidP="00E93F40">
      <w:pPr>
        <w:spacing w:after="0" w:line="240" w:lineRule="auto"/>
        <w:jc w:val="both"/>
        <w:rPr>
          <w:rFonts w:ascii="Times New Roman" w:hAnsi="Times New Roman"/>
          <w:color w:val="000000" w:themeColor="text1"/>
          <w:sz w:val="16"/>
          <w:szCs w:val="16"/>
        </w:rPr>
      </w:pPr>
    </w:p>
    <w:p w14:paraId="1AB11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ноября 1932 вышло Секретное постановление ЦК ВКП(б) приостановить отгрузку товаров для села всех областей Украины до выполнения ими плана хлебозаготовок (10687).</w:t>
      </w:r>
    </w:p>
    <w:p w14:paraId="16C5CA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FE801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A8488E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D212F8" w14:textId="77777777" w:rsidR="00D80F52" w:rsidRPr="00E93F40" w:rsidRDefault="00D80F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ноября 1932 состоялся первый полет Junkers Ju 60 (20803).</w:t>
      </w:r>
    </w:p>
    <w:p w14:paraId="2F2E9F64" w14:textId="77777777" w:rsidR="00D80F52" w:rsidRPr="00E93F40" w:rsidRDefault="00D80F52" w:rsidP="00E93F40">
      <w:pPr>
        <w:spacing w:after="0" w:line="240" w:lineRule="auto"/>
        <w:jc w:val="both"/>
        <w:rPr>
          <w:rFonts w:ascii="Times New Roman" w:hAnsi="Times New Roman"/>
          <w:color w:val="000000" w:themeColor="text1"/>
          <w:sz w:val="16"/>
          <w:szCs w:val="16"/>
        </w:rPr>
      </w:pPr>
    </w:p>
    <w:p w14:paraId="19851F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r w:rsidRPr="00E93F40">
        <w:rPr>
          <w:rFonts w:ascii="Times New Roman" w:hAnsi="Times New Roman"/>
          <w:color w:val="000000" w:themeColor="text1"/>
          <w:sz w:val="16"/>
          <w:szCs w:val="16"/>
          <w:lang w:val="en-US"/>
        </w:rPr>
        <w:t>November 8 1932 Roosevelt elected President of the United States (1050).</w:t>
      </w:r>
    </w:p>
    <w:p w14:paraId="23285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lang w:val="en-US"/>
        </w:rPr>
      </w:pPr>
    </w:p>
    <w:p w14:paraId="5DD0F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ноября 1932 Ф.Рузвельт был избран Президентом США (2100).</w:t>
      </w:r>
    </w:p>
    <w:p w14:paraId="33F3A8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87055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7E38E6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DBC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ноября 1932 на БИЧ-7 Черановского выполняли полет на устойчивость с увеличенным углом фтетнеров. Получили обратные усилия на ручку, что дало впечатление кабрирования с-та в нормальном полете. Летали 40 мин. Задание № 9</w:t>
      </w:r>
    </w:p>
    <w:p w14:paraId="2D5D4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Задание № 10 - то же, ручку бросить нельзя. Продолжительность - 0:40 (2307).</w:t>
      </w:r>
    </w:p>
    <w:p w14:paraId="6ED67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8329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ноября 1932 было предпринято вторичное летное испытание автожира 4-ЭА с мотором М-26. С высоты примерно 80 метров аппарат упал на землю. летчик никаких повреждений не получил. Из-за внезапной аварии лишились возможности провести полное испытание этого аппарата в те сроки, которые намечали раньше и это поставило в достаточно затруднительное положение в связи с окончанием постройки первой серийной машины на Киевском заводе N 43, которая была готова и которую нужно сейчас было принимать (3028,6).</w:t>
      </w:r>
    </w:p>
    <w:p w14:paraId="26E39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3A3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ноября 1932 года директор В. Г. Ирьянов принял завод. Стройка под Иркутском сразу почувствовала прилив новых, молодых сил. Новый директор завода Владимир Григорьевич Ирьянов имел все данные сильного руководителя. Волевой энергичный, он крепко взялся за дело, и его умелую руку сразу почувствовал коллектив. Все говорило о стабильности успехов, завод становится реальностью и выходит за пределы строительной площадки: возникает филиал завода в Москве. Дело в том, что на 1934 год назначался не только пуск завода, но и запуск в производство самолета. Предполагалось запускать самолет И-14, сконструированный П. О. Сухим. Это первый скоростной советский металлический истребитель. Иркутскому заводу предстояло наладить серийный выпуск этих машин. За четкое и быстрое исполнение работ коллективу была объявлена благодарность. 22 июля на завод приехала правительственная комиссия по приему предприятия в эксплуатацию. Она придирчиво осматривала молодой завод, который размещался в основном в одном корпусе. В нем были цеха: механослесарный, дюралевый, сборочный. Оборудование было не самым современным, но энтузиазм и работоспособность людей сделали свое дело: завод можно принять в строй действующих. 24 августа 1934 года на основании решений центральных организаций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«Сталинец».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выколоточные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w:t>
      </w:r>
      <w:r w:rsidRPr="00E93F40">
        <w:rPr>
          <w:rFonts w:ascii="Times New Roman" w:hAnsi="Times New Roman"/>
          <w:color w:val="000000" w:themeColor="text1"/>
          <w:sz w:val="16"/>
          <w:szCs w:val="16"/>
        </w:rPr>
        <w:lastRenderedPageBreak/>
        <w:t xml:space="preserve">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48BC69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365458" w14:textId="77777777" w:rsidR="00FE576A" w:rsidRPr="00E93F40" w:rsidRDefault="00FE576A"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24EA6FB" w14:textId="77777777" w:rsidR="00FE576A" w:rsidRPr="00E93F40" w:rsidRDefault="00FE576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E68E47D" w14:textId="4BF6751F"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Ворошилов, беседуя с преемником Хаммерштайна генералом Адамом, сказал:</w:t>
      </w:r>
    </w:p>
    <w:p w14:paraId="1912928A"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не могу поверить, что у вас нет большего, чем в Казани. Три года в Казани возятся и никакой новой материальной части. Все те же танки, что привезли сначала. Я говорил — шлите конструкторов — и Вы, и мы будем иметь танки».</w:t>
      </w:r>
    </w:p>
    <w:p w14:paraId="788C66C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возражение Адама о возросших расходах и ограниченности финансовых средств райхсвера Ворошилов ответил:</w:t>
      </w:r>
    </w:p>
    <w:p w14:paraId="3D51199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считаю, что мы можем многое улучшить в Казани, если ваши средства пойдут на технику и сама техника будет более реальной. Еще когда был здесь Хаммерштейн, я выдвигал перед ним необходимость прислать больше типов и конструкций. У нас есть уже промышленная база, но у нас пока мало людей-конструкторов. У Вас же люди есть, мы так и полагали, что Ваша сторона будет давать макеты, чертежи, проекты, идеи, конструкции, словом, что мы получим лаборатории и для Вас, и для нас».</w:t>
      </w:r>
    </w:p>
    <w:p w14:paraId="6B50BD8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немцы остались верны ранее принятой линии и дальше испытания, доработки и модернизации имевшихся в Казанской школе тяжелых, средних и легких танков не пошли. Правда, как и было оговорено, в этих работах принимали участие советские инженеры и техники (18265).</w:t>
      </w:r>
    </w:p>
    <w:p w14:paraId="1382E86A" w14:textId="77777777" w:rsidR="00FE576A" w:rsidRPr="00E93F40" w:rsidRDefault="00FE576A" w:rsidP="00E93F40">
      <w:pPr>
        <w:spacing w:after="0" w:line="240" w:lineRule="auto"/>
        <w:jc w:val="both"/>
        <w:rPr>
          <w:rFonts w:ascii="Times New Roman" w:hAnsi="Times New Roman"/>
          <w:color w:val="000000" w:themeColor="text1"/>
          <w:sz w:val="16"/>
          <w:szCs w:val="16"/>
        </w:rPr>
      </w:pPr>
    </w:p>
    <w:p w14:paraId="201AE960"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9 ноября 1932 года председатель комиссии, Начальник управления кораблестроения Управления военно-морскими силами (УВМС) докладывал НКВМ К. Е. Ворошилову: «Переговоры с фирмой ―I v S развиваются тяжело. Немцы создают вокруг наших переговоров обстановку большой секретности, я бы сказал, даже таинственности. Переговоры велись на частной квартире (не в Торговом представительстве и не в помещении Военного министерства)» [Там же, л. 22] (18262).</w:t>
      </w:r>
    </w:p>
    <w:p w14:paraId="4377CA90" w14:textId="77777777" w:rsidR="00FE576A" w:rsidRPr="00E93F40" w:rsidRDefault="00FE576A" w:rsidP="00E93F40">
      <w:pPr>
        <w:spacing w:after="0" w:line="240" w:lineRule="auto"/>
        <w:jc w:val="both"/>
        <w:rPr>
          <w:rFonts w:ascii="Times New Roman" w:hAnsi="Times New Roman"/>
          <w:color w:val="000000" w:themeColor="text1"/>
          <w:sz w:val="16"/>
          <w:szCs w:val="16"/>
        </w:rPr>
      </w:pPr>
    </w:p>
    <w:p w14:paraId="65A2C31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3024105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293CD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ноября 1932 г. Ворошилов, беседуя с преемником Хаммерштайна генералом Адамом, сказал: «Я не могу поверить, что у вас нет большего, чем в Казани. Три года в Казани возятся и никакой новой материальной части. Все те же танки, что привезли сначала. Я говорил — шлите конструкторов — и Вы, и мы будем иметь танки». На возражение Адама о возросших расходах и ограниченности финансовых средств райхсвера Ворошилов ответил: «Я считаю, что мы можем многое улучшить в Казани, если ваши средства пойдут на технику и сама техника будет более реальной. Еще когда был здесь Хаммерштейи, я выдвигал перед ним необходимость прислать больше типов и конструкций. У нас есть уже промышленная база, но у нас пока мало людей-конструкторов. У Вас же люди есть, мы так и полагали, что Ваша сторона будет давать макеты, чертежи, проекты, идеи, конструкции, словом, что мы получим лаборатории и для Вас, и для нас». Однако немцы остались верны ранее принятой линии и дальше испытания, доработки и модернизации имевшихся в Казанской школе тяжелых, средних и легких танков не пошли. Правда, как и было оговорено, в этих работах принимали участие советские инженеры и техники (11784).</w:t>
      </w:r>
    </w:p>
    <w:p w14:paraId="2B404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0D8D7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1F9932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E8E44F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ноября 1932 покончила с собой жена И. Сталина Надежда Аллилуева. (4962).</w:t>
      </w:r>
    </w:p>
    <w:p w14:paraId="42F8616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BD12DE" w14:textId="77777777" w:rsidR="000B4F2C" w:rsidRPr="00E93F40" w:rsidRDefault="000B4F2C" w:rsidP="00E93F40">
      <w:pPr>
        <w:pStyle w:val="all-par"/>
        <w:spacing w:before="0" w:after="0" w:line="240" w:lineRule="auto"/>
        <w:ind w:left="0" w:right="0" w:firstLine="0"/>
        <w:rPr>
          <w:color w:val="000000" w:themeColor="text1"/>
          <w:sz w:val="16"/>
          <w:szCs w:val="16"/>
        </w:rPr>
      </w:pPr>
      <w:r w:rsidRPr="00E93F40">
        <w:rPr>
          <w:color w:val="000000" w:themeColor="text1"/>
          <w:sz w:val="16"/>
          <w:szCs w:val="16"/>
        </w:rPr>
        <w:t xml:space="preserve">9 ноября 1932 на рассвете Аллилуеву обнаружили мёртвой с «Вальтером» в руке. Записки она не оставила. </w:t>
      </w:r>
      <w:hyperlink r:id="rId263" w:tgtFrame="_blank" w:tooltip="Криминалные события 7 ноября. В новом окне" w:history="1">
        <w:r w:rsidRPr="00E93F40">
          <w:rPr>
            <w:rStyle w:val="a5"/>
            <w:color w:val="000000" w:themeColor="text1"/>
            <w:sz w:val="16"/>
            <w:szCs w:val="16"/>
            <w:u w:val="none"/>
          </w:rPr>
          <w:t>7 ноября</w:t>
        </w:r>
      </w:hyperlink>
      <w:r w:rsidRPr="00E93F40">
        <w:rPr>
          <w:color w:val="000000" w:themeColor="text1"/>
          <w:sz w:val="16"/>
          <w:szCs w:val="16"/>
        </w:rPr>
        <w:t xml:space="preserve"> 1932 года на банкете в квартире Ворошилова по случаю 15-летия Октябрьской революции произошла последняя ссора Алилуевой с мужем. Говорят, что ссора произошла по пустяку. Сталин сказал: "Эй, ты, пей!". А Аллилуева крикнула: «Я тебе не – «Эй»!», встала и ушла из-за стола. Она уехала на квартиру в Кремль, а он отправился на дачу. На следующий день газеты сообщили, что молодая жена Сталина скончалась в госпитале после неудачной операции аппендицита (17272).</w:t>
      </w:r>
    </w:p>
    <w:p w14:paraId="6989AACF" w14:textId="77777777" w:rsidR="000B4F2C" w:rsidRPr="00E93F40" w:rsidRDefault="000B4F2C" w:rsidP="00E93F40">
      <w:pPr>
        <w:autoSpaceDE w:val="0"/>
        <w:autoSpaceDN w:val="0"/>
        <w:adjustRightInd w:val="0"/>
        <w:spacing w:after="0" w:line="240" w:lineRule="auto"/>
        <w:jc w:val="both"/>
        <w:rPr>
          <w:rFonts w:ascii="Times New Roman" w:hAnsi="Times New Roman"/>
          <w:color w:val="000000" w:themeColor="text1"/>
          <w:sz w:val="16"/>
          <w:szCs w:val="16"/>
        </w:rPr>
      </w:pPr>
    </w:p>
    <w:p w14:paraId="4835C478" w14:textId="77777777" w:rsidR="00D80F52" w:rsidRPr="00E93F40" w:rsidRDefault="00D80F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ноября 1932 года — день смерти Надежды Сергеевны Аллилуевой (22(9).09.1901 - 7.11.1932), жены Сталина (21176).</w:t>
      </w:r>
    </w:p>
    <w:p w14:paraId="51BEF893" w14:textId="33D620E9" w:rsidR="00D80F52" w:rsidRPr="00E93F40" w:rsidRDefault="00D80F52" w:rsidP="00E93F40">
      <w:pPr>
        <w:spacing w:after="0" w:line="240" w:lineRule="auto"/>
        <w:jc w:val="both"/>
        <w:rPr>
          <w:rFonts w:ascii="Times New Roman" w:hAnsi="Times New Roman"/>
          <w:color w:val="000000" w:themeColor="text1"/>
          <w:sz w:val="16"/>
          <w:szCs w:val="16"/>
        </w:rPr>
      </w:pPr>
    </w:p>
    <w:p w14:paraId="38B94BFC" w14:textId="5DCD1051" w:rsidR="00D80F52" w:rsidRPr="00E93F40" w:rsidRDefault="00D80F52"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4726BBFC" w14:textId="77777777" w:rsidR="00D80F52" w:rsidRPr="00E93F40" w:rsidRDefault="00D80F52" w:rsidP="00E93F40">
      <w:pPr>
        <w:spacing w:after="0" w:line="240" w:lineRule="auto"/>
        <w:jc w:val="both"/>
        <w:rPr>
          <w:rFonts w:ascii="Times New Roman" w:hAnsi="Times New Roman"/>
          <w:i/>
          <w:iCs/>
          <w:color w:val="000000" w:themeColor="text1"/>
          <w:sz w:val="16"/>
          <w:szCs w:val="16"/>
        </w:rPr>
      </w:pPr>
    </w:p>
    <w:p w14:paraId="4CB666D1" w14:textId="6F64BD61" w:rsidR="00D80F52" w:rsidRPr="00E93F40" w:rsidRDefault="00D80F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Вольфганг фон Гронау и его экипаж на гидросамолёте Dornier Wal завершили первый кругосветный перелёт. Их полет занял 111 дней (22310).</w:t>
      </w:r>
    </w:p>
    <w:p w14:paraId="0C934156" w14:textId="77777777" w:rsidR="00D80F52" w:rsidRPr="00E93F40" w:rsidRDefault="00D80F52" w:rsidP="00E93F40">
      <w:pPr>
        <w:spacing w:after="0" w:line="240" w:lineRule="auto"/>
        <w:jc w:val="both"/>
        <w:rPr>
          <w:rFonts w:ascii="Times New Roman" w:hAnsi="Times New Roman"/>
          <w:color w:val="000000" w:themeColor="text1"/>
          <w:sz w:val="16"/>
          <w:szCs w:val="16"/>
        </w:rPr>
      </w:pPr>
    </w:p>
    <w:p w14:paraId="616AB11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517F2A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C3E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года начальник ВВС Алкснис писал письмо № 1854/с председателю РВС Ворошилову и начальнику Глававиапрома Баранову</w:t>
      </w:r>
    </w:p>
    <w:p w14:paraId="001B3C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положении с постройкой сверхвысотного самолета.</w:t>
      </w:r>
    </w:p>
    <w:p w14:paraId="2FE0D6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 проблемы сверхвысотного полета в основном зависит от специального компрессора (нагнетателя), обеспечивающему авиамотору сохранение земной мощности до высоты 8-12 тыс. метров.</w:t>
      </w:r>
    </w:p>
    <w:p w14:paraId="5F9E51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со сверхвысотным мотором в настоящее время нижеследующее.</w:t>
      </w:r>
    </w:p>
    <w:p w14:paraId="579F9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Проектированием и разработкой сверхвысотных нагнетателей занимается ЦИАМ, Харьковский институт промэнергетики и Бюро новых конструкций Глававиапрома.</w:t>
      </w:r>
    </w:p>
    <w:p w14:paraId="1FA3E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 разработал и построил опытные образцы нагнетателя с высотностью до 5000 м, но при их испытании с моторами М-34 и М-38 оба нагнетателя не дали расчетных результатов. Точная причина недобора мощности, несмотря на принятые меры, до сих пор не установлена.</w:t>
      </w:r>
    </w:p>
    <w:p w14:paraId="6EEBF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Харьковский институт промэнергетики только приступил к разработке трехступенчатого компрессора на 8000 м с реализацией проекта в 1933 году.</w:t>
      </w:r>
    </w:p>
    <w:p w14:paraId="6EB3FB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Бюро новых конструкций Глававиапрома наметило пути для разработки оригинальных нагнетателей с применением паровой турбины (турбокомпрессоров). Эта работа новая и требует ряда длительных экспериментов.</w:t>
      </w:r>
    </w:p>
    <w:p w14:paraId="09B9C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вопрос постройки сверхвысотного компрессора (до 10-12 тыс. метров) в настоящее время в СССР не решен. Скорейшее разрешение вопроса о сверхвысотном моторе могло бы быть осуществлено закупкой у фирмы РАТО сверхвысотного компрессора на 8000 м для М-34 или М-32.</w:t>
      </w:r>
    </w:p>
    <w:p w14:paraId="36A4D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фирмы имеется предложение на постройку такого компрессора при условии не менее 20 штук, но в процессе переговоров вероятно она согластлась бы поставить и меньшее количество.</w:t>
      </w:r>
    </w:p>
    <w:p w14:paraId="6E2AA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изготовления 6-8 месяцев со дня получения заказа. Стоимость 6700 рублей за компрессор.</w:t>
      </w:r>
    </w:p>
    <w:p w14:paraId="75E7E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постройке компрессоров в Союзе нашими силами можно рассчитывать на получение их с высотностью в 8-12 тысяч метров не ранее 1934 года.</w:t>
      </w:r>
    </w:p>
    <w:p w14:paraId="5D208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Указанное выше состояние работ по мотору для сверхвысотного самолета в значительной степени тормозит работу и по его конструированию. Сверхвысотный самолет разрабатывается в ЦАГИ и в Бюро новых конструкций Глававиапрома.</w:t>
      </w:r>
    </w:p>
    <w:p w14:paraId="452970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ЦАГИ спроектирована опытная герметическая кабина для самолета и передана в производство.</w:t>
      </w:r>
    </w:p>
    <w:p w14:paraId="61C621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Ведется общая компановка самолета под мотор М-34 с нормальным нагнетателем (в 5000 м).</w:t>
      </w:r>
    </w:p>
    <w:p w14:paraId="0906A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самолете будет использовано большинство основных деталей конструкции самолета на предельную дальность. При установке мотора с редуктором и нагнетателем до 5000 м, потолок высотного самолета, по расчетам ЦАГИ, будет равен 11-12000 м.</w:t>
      </w:r>
    </w:p>
    <w:p w14:paraId="600D3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Бюро новых конструкций Глававиапрома , работая, как было указано выше над проблемой паровой турбины для нагнетателя, начало проектирование и самого самолета.</w:t>
      </w:r>
    </w:p>
    <w:p w14:paraId="751C1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задерживается неопределенностью в вопросе с мотором. Таким образом, общее состояние работ по сверхвысотному самолету таково. Что благодаря задержке с мотором, срок выпуска его на аэродром, установленный Правительством (1 апреля 1933 года), промышленностью выдержан не будет.</w:t>
      </w:r>
    </w:p>
    <w:p w14:paraId="513ECE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ускорения разрешения проблемы полета в стратосферу предлагаю:</w:t>
      </w:r>
    </w:p>
    <w:p w14:paraId="718F664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Допустить предъявление промышленностью к 1 апреля 1933 года самолет с мотором М-34 РН (с нагнетателем до 5000 м) с потолком 11-12 тысяч метров для производства предварительных испытаний и исследований высотного полета (кабины, нагнетателя, кислородных приборов, обогревателей и т.д.).</w:t>
      </w:r>
    </w:p>
    <w:p w14:paraId="2552D422"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Глававиапрому незамедлительно вступить в переговоры с фирмой РАТО на предмет постройки ею по нашему заданию в кратчайший срок нагнетателя под мотор М-34 или еще лучше М-32 с высотностью в 8-12 тыс. метров.</w:t>
      </w:r>
    </w:p>
    <w:p w14:paraId="75A0F46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промышленность выпустить 2-й последующий вариант сверхвысотного самолета с потолком не ниже 15 тысяч метров в начале 1934 года.</w:t>
      </w:r>
    </w:p>
    <w:p w14:paraId="3ACC8A9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Глававиапрому всеми путями и способами (легальными и нелегальными) возможно шире использовать заграничный опыт по проектированию и постройке сверхвысотного самолета.</w:t>
      </w:r>
    </w:p>
    <w:p w14:paraId="53ED191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Отпустить Глававиапрому для выполнения указанных заданий на внешнем рынке необходимую валюту (7439, 132-133).</w:t>
      </w:r>
    </w:p>
    <w:p w14:paraId="49E98D6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FE3A6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на БИЧ-7 Черановского выполняли полет на устойчивость. Достигли возможности лететь с брошенной ручкой на 110 км/час. при 1400 об./мин. по горизонтали. Сделали два отклонения РВ, доведя полет до скорости 120 км/час. После чего бросалось управление. С-т возвращался в исходное положение после 2-3 колебаний. Задание полностью не выполнено из-за плохой работы мотора. Летали 35 мин. (2307).</w:t>
      </w:r>
    </w:p>
    <w:p w14:paraId="7B7C37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F2F137" w14:textId="77777777" w:rsidR="00D80F52" w:rsidRPr="00E93F40" w:rsidRDefault="00D80F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г. начальник Управления ВВС Я.И. Алкснис подписал два важных приказа. Один - о приеме в эксплуатацию Щелковского аэродрома, другой - о перебазировании авиаторов с Центрального аэродрома им. Фрунзе на Щелковский аэродром. Идея выполнить перебазирование так, чтобы маршрут перелета проходил через Красную площадь, зародилась в «низах» НИИ ВВС и получила официальное одобрение 10 ноября. Начальник НИИ ВВС Н.В. Бузанов подписал приказ на перебазирование.</w:t>
      </w:r>
    </w:p>
    <w:p w14:paraId="451C874C" w14:textId="77777777" w:rsidR="00D80F52" w:rsidRPr="00E93F40" w:rsidRDefault="00D80F5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Основную часть колонны из 46-ти самолетов, прошедших над Красной площадью» составляли бомбардировщики ТБ-3 и ТБ-1, была также группа легких самолетов - из истребителей И-2, И-3, И-5 и самолетов-разведчиков. В голове колонны шел ТБ-3 с бортовым номером «311» (командир экипажа В.П. Чкалов), замыкал строй разведчик Р-5, пилот - комбриг А.И. Залевский (21339).</w:t>
      </w:r>
    </w:p>
    <w:p w14:paraId="727F50EA" w14:textId="77777777" w:rsidR="00D80F52" w:rsidRPr="00E93F40" w:rsidRDefault="00D80F52" w:rsidP="00E93F40">
      <w:pPr>
        <w:spacing w:after="0" w:line="240" w:lineRule="auto"/>
        <w:jc w:val="both"/>
        <w:rPr>
          <w:rFonts w:ascii="Times New Roman" w:hAnsi="Times New Roman"/>
          <w:color w:val="000000" w:themeColor="text1"/>
          <w:sz w:val="16"/>
          <w:szCs w:val="16"/>
        </w:rPr>
      </w:pPr>
    </w:p>
    <w:p w14:paraId="67578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НИИ ВВС получил разрешение пролететь над Красной площадью при переселения на новый аэродром. Начальником НИИ ВВС был Н.В.Бузанов, который подписал приказ N 103/359 (172,32).</w:t>
      </w:r>
    </w:p>
    <w:p w14:paraId="24F1CE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Перелет состоялся 11 ноября 1932 и колонна по 3 машины была 1.5 км длинной. Всего 46 машин и это был первый неофициальный парад НИИ ВВС.</w:t>
      </w:r>
    </w:p>
    <w:p w14:paraId="6B7EC6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 сел В.П.Ч. на ТБ-3 (173,312).</w:t>
      </w:r>
    </w:p>
    <w:p w14:paraId="79893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D1F7DC" w14:textId="77777777" w:rsidR="000500C4" w:rsidRPr="00E93F40" w:rsidRDefault="000500C4" w:rsidP="00E93F40">
      <w:pPr>
        <w:spacing w:after="0" w:line="240" w:lineRule="auto"/>
        <w:jc w:val="both"/>
        <w:rPr>
          <w:rFonts w:ascii="Times New Roman" w:hAnsi="Times New Roman"/>
          <w:color w:val="000000" w:themeColor="text1"/>
          <w:sz w:val="16"/>
          <w:szCs w:val="16"/>
        </w:rPr>
      </w:pPr>
      <w:bookmarkStart w:id="46" w:name="_Hlk152611081"/>
      <w:r w:rsidRPr="00E93F40">
        <w:rPr>
          <w:rFonts w:ascii="Times New Roman" w:hAnsi="Times New Roman"/>
          <w:color w:val="000000" w:themeColor="text1"/>
          <w:sz w:val="16"/>
          <w:szCs w:val="16"/>
        </w:rPr>
        <w:t>10 ноября 1932 г., когда туда из г. Москвы с Центрального аэродрома им. М.В. Фрунзе (Ходынское поле) были перебазированы самолёты Института (на</w:t>
      </w:r>
      <w:r w:rsidRPr="00E93F40">
        <w:rPr>
          <w:rFonts w:ascii="Times New Roman" w:hAnsi="Times New Roman"/>
          <w:color w:val="000000" w:themeColor="text1"/>
          <w:sz w:val="16"/>
          <w:szCs w:val="16"/>
        </w:rPr>
        <w:softHyphen/>
        <w:t>чальник - Н.В. Бузанов), счи</w:t>
      </w:r>
      <w:r w:rsidRPr="00E93F40">
        <w:rPr>
          <w:rFonts w:ascii="Times New Roman" w:hAnsi="Times New Roman"/>
          <w:color w:val="000000" w:themeColor="text1"/>
          <w:sz w:val="16"/>
          <w:szCs w:val="16"/>
        </w:rPr>
        <w:softHyphen/>
        <w:t>тается датой основания Щелковского аэродрома. Щёлковский аэ</w:t>
      </w:r>
      <w:r w:rsidRPr="00E93F40">
        <w:rPr>
          <w:rFonts w:ascii="Times New Roman" w:hAnsi="Times New Roman"/>
          <w:color w:val="000000" w:themeColor="text1"/>
          <w:sz w:val="16"/>
          <w:szCs w:val="16"/>
        </w:rPr>
        <w:softHyphen/>
        <w:t>родром оказался всего на год старше соседнего Монинского военного аэродрома, входившего в единый узел (24309).</w:t>
      </w:r>
    </w:p>
    <w:p w14:paraId="071EBE38" w14:textId="77777777" w:rsidR="000500C4" w:rsidRPr="00E93F40" w:rsidRDefault="000500C4" w:rsidP="00E93F40">
      <w:pPr>
        <w:spacing w:after="0" w:line="240" w:lineRule="auto"/>
        <w:jc w:val="both"/>
        <w:rPr>
          <w:rFonts w:ascii="Times New Roman" w:hAnsi="Times New Roman"/>
          <w:color w:val="000000" w:themeColor="text1"/>
          <w:sz w:val="16"/>
          <w:szCs w:val="16"/>
        </w:rPr>
      </w:pPr>
    </w:p>
    <w:bookmarkEnd w:id="46"/>
    <w:p w14:paraId="20A68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в Крыму закончились 8 всесоюзные планерные состязания. Было 80 планеристов с 40 планерами. Сделали 600 полетов, продолжительностью 672 час. (438,636).</w:t>
      </w:r>
    </w:p>
    <w:p w14:paraId="3048AC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A9EA80" w14:textId="77777777" w:rsidR="00DD60BF" w:rsidRPr="00E93F40" w:rsidRDefault="00DD60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г. в Крыму закончились У1 Всесоюзные планерные состяхания, продолжавшиеся целый месяц. В состязаниях участвовало около 80 планеристов с 40 планерами разных типов. Впервые на состязаниях участвовали инструкторы Центральной планерной школы, организованной в Коктебеле в 1931 году. Было совершено свыше 600 полетов общей продолжительностью 762 часа. Установлено семь всесоюзных рекордов, из коих четыре превышали достижения иностранцев.</w:t>
      </w:r>
    </w:p>
    <w:p w14:paraId="37962756" w14:textId="77777777" w:rsidR="00DD60BF" w:rsidRPr="00E93F40" w:rsidRDefault="00DD60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Продолжительность полота на двухместном планере - 10 ч. 56 мин. установленная одновременно 28-го октября П.Г.Головиным на планере Б.М.Шереметьева на планере Ш-4 и А.И.Плесковым на планере Эммера 3-3. Прежний рекорд 0 час. 21 мин, был установлен в 1926 г. в Германии.</w:t>
      </w:r>
    </w:p>
    <w:p w14:paraId="166FEB3B" w14:textId="77777777" w:rsidR="00DD60BF" w:rsidRPr="00E93F40" w:rsidRDefault="00DD60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Рекорд высоты с пассажиром - 1945 м, установленный А.И.Плесковым в том же полете 28-го октября. Прежний рекорд 1250 м был установлен в 1931 году немцем Тренгофом.</w:t>
      </w:r>
    </w:p>
    <w:p w14:paraId="5E9FF9DE" w14:textId="77777777" w:rsidR="00DD60BF" w:rsidRPr="00E93F40" w:rsidRDefault="00DD60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Про^од^ттолъность полета с двумя пасажирами - 4 ч. 1 минута, установленная В.Г.Бородиным на планере Шереметьева Ш-3. Рекорд установлен впервые.</w:t>
      </w:r>
    </w:p>
    <w:p w14:paraId="3A41A5C5" w14:textId="77777777" w:rsidR="00DD60BF" w:rsidRPr="00E93F40" w:rsidRDefault="00DD60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Макскмальное количество фигур высшего пилотажа на планере.</w:t>
      </w:r>
    </w:p>
    <w:p w14:paraId="03815488" w14:textId="77777777" w:rsidR="00DD60BF" w:rsidRPr="00E93F40" w:rsidRDefault="00DD60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Б.А.Степанченок за один полет продолжительностью 2 ч. 6 мин сделал на планере Г-9 115 мертвых петель, 13 витков штопора и полет на спине продолжительностью 1 мин. 8 секунд.</w:t>
      </w:r>
    </w:p>
    <w:p w14:paraId="13949058" w14:textId="77777777" w:rsidR="00DD60BF" w:rsidRPr="00E93F40" w:rsidRDefault="00DD60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Всесоюзные рекорды по классу одноместных планеров: высота 2230 и /С.Ф.Гаврнш, 31 окт./, продолжительность полета 14 ч.48 мин. /П.Годовкн/, дальность планирования 43 км /Баруздин /.</w:t>
      </w:r>
    </w:p>
    <w:p w14:paraId="45723684" w14:textId="77777777" w:rsidR="00DD60BF" w:rsidRPr="00E93F40" w:rsidRDefault="00DD60B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ЦИК СССР» за 3 дек. 1932; «Самолет», 1932, № 2/ (23370).</w:t>
      </w:r>
    </w:p>
    <w:p w14:paraId="49A248C9" w14:textId="77777777" w:rsidR="00DD60BF" w:rsidRPr="00E93F40" w:rsidRDefault="00DD60BF" w:rsidP="00E93F40">
      <w:pPr>
        <w:spacing w:after="0" w:line="240" w:lineRule="auto"/>
        <w:jc w:val="both"/>
        <w:rPr>
          <w:rFonts w:ascii="Times New Roman" w:hAnsi="Times New Roman"/>
          <w:color w:val="000000" w:themeColor="text1"/>
          <w:sz w:val="16"/>
          <w:szCs w:val="16"/>
        </w:rPr>
      </w:pPr>
    </w:p>
    <w:p w14:paraId="6EFE8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года зам. начальника сектора кадров НКТП Раскин писал письмо № 413сс в Комиссию обороны</w:t>
      </w:r>
    </w:p>
    <w:p w14:paraId="364340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Отношением от 21 октября 1932 года за № 382сс НКТП поставило в известность Комиссию обороны о том, что постановление Комиссии от 4 июля 1932 года в части откомандирования специалистов Петрова и Кирсанова не выполнено.</w:t>
      </w:r>
    </w:p>
    <w:p w14:paraId="4D02D8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Обращая Ваше внимание на вышеизложенное, Сектор кадров НКТП просил Вас принять меры, обязывающие начальника Военной академии (где они работают в настоящее время) немедленно откомандировать указанных специалистов в наше распоряжение для направления в ЦИАМ. До сих пор специалисты не откомандированы. Просьба сообщить о принятых Вами мерах (3530,47).</w:t>
      </w:r>
    </w:p>
    <w:p w14:paraId="013640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615CA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72B6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8E5B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Центрально-Черноземный обком ВКП(б) разослал повсеместно по области указание о том, что "годовой план хлебозаготовок должен быть во что бы то ни стало выполненным в кратчайшие сроки". Руководство обкома грозило применить "самые суровые репрессивные меры" к тем секретарям парторганизаций, которые не добьются "решающих успехов" (10687).</w:t>
      </w:r>
    </w:p>
    <w:p w14:paraId="5B5369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0923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во исполнение их приказом ОГПУ № 1020с создавался Байкало-Амурский ИТЛ (Бамлаг) ОГПУ с дислокацией управления в городе Свободный (ныне Амурская область). Начальником строительства БАМа был назначен С. В. Мрачковский, а начальником Бамлага - Н. Ф. Еремин с оставлением в должности помощника начальника ГУЛАГа (7560).</w:t>
      </w:r>
    </w:p>
    <w:p w14:paraId="3B9D2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717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г. приказом ОГПУ создается Байкало-Амурский ИТЛ, задачей которого является железнодорожное строительство. Первой целью стало сооружение вторых путей на участке Карымская-Хабаровск. Затем началось сооружение вторых путей на участке Хабаровск-Ворошиловск. В 1932-39гг. силами ГУЛАГ ОГПУ-НКВД СССР в Сибири и на Дальнем Востоке велось железнодорожное строительство следующих масштабов: строительство 2-х путей на участке Карымская-Хабаровск, Хабаровск-Ворошиловск, железнодорожные линии Волочаевка-Комсомольск, Биробиджан -Блюхерово, глубокие обходы ( в 70-80 км от государственной границы) с мостами через Бикин, Ишим, Уссури, Хор, железнодорожная ветка Улан-Удэ- Наушки, железная дорога Мундыбаш- Таштагол. При этом с мая 1935 г. на НКВД было возложено также сооружение станционных зданий, электростанций, депо и т. п. (9049).</w:t>
      </w:r>
    </w:p>
    <w:p w14:paraId="777297D6" w14:textId="576720B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5E7002" w14:textId="59FCE621" w:rsidR="004C42EE" w:rsidRPr="00E93F40" w:rsidRDefault="004C42EE"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6F40CBE6" w14:textId="77777777" w:rsidR="004C42EE" w:rsidRPr="00E93F40" w:rsidRDefault="004C42EE"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1CE2A06A" w14:textId="319FB81E" w:rsidR="004C42EE" w:rsidRPr="00E93F40" w:rsidRDefault="004C42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премьер-министр Великобритании Стэнли Болдуин в своей речи заявляет, что «бомбардировщик всегда пробьет оборону» (20803).</w:t>
      </w:r>
    </w:p>
    <w:p w14:paraId="3D30CE30" w14:textId="77777777" w:rsidR="004C42EE" w:rsidRPr="00E93F40" w:rsidRDefault="004C42EE" w:rsidP="00E93F40">
      <w:pPr>
        <w:spacing w:after="0" w:line="240" w:lineRule="auto"/>
        <w:jc w:val="both"/>
        <w:rPr>
          <w:rFonts w:ascii="Times New Roman" w:hAnsi="Times New Roman"/>
          <w:color w:val="000000" w:themeColor="text1"/>
          <w:sz w:val="16"/>
          <w:szCs w:val="16"/>
        </w:rPr>
      </w:pPr>
    </w:p>
    <w:p w14:paraId="0237F0B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7198B3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9FDC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ноября 1932 на БИЧ-7 Черановского выполняли полет на высоту по Заданию № 12 и за 37 мин. набрали 3800 м. Работа мотора во время полета все время была норовной. Должных оборотов не было. Летали 1:20 мин. (2307).</w:t>
      </w:r>
    </w:p>
    <w:p w14:paraId="490617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2E8B13" w14:textId="77777777" w:rsidR="004C42EE" w:rsidRPr="00E93F40" w:rsidRDefault="004C42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ноября 1932 г. Камов предлагает проект автожира-ав</w:t>
      </w:r>
      <w:r w:rsidRPr="00E93F40">
        <w:rPr>
          <w:rFonts w:ascii="Times New Roman" w:hAnsi="Times New Roman"/>
          <w:color w:val="000000" w:themeColor="text1"/>
          <w:sz w:val="16"/>
          <w:szCs w:val="16"/>
        </w:rPr>
        <w:softHyphen/>
        <w:t>томобиля с двигателем М-11. А несколько ранее, 18 сен</w:t>
      </w:r>
      <w:r w:rsidRPr="00E93F40">
        <w:rPr>
          <w:rFonts w:ascii="Times New Roman" w:hAnsi="Times New Roman"/>
          <w:color w:val="000000" w:themeColor="text1"/>
          <w:sz w:val="16"/>
          <w:szCs w:val="16"/>
        </w:rPr>
        <w:softHyphen/>
        <w:t>тября, на рассмотрение комиссии ЦАГИ предлагается ав</w:t>
      </w:r>
      <w:r w:rsidRPr="00E93F40">
        <w:rPr>
          <w:rFonts w:ascii="Times New Roman" w:hAnsi="Times New Roman"/>
          <w:color w:val="000000" w:themeColor="text1"/>
          <w:sz w:val="16"/>
          <w:szCs w:val="16"/>
        </w:rPr>
        <w:softHyphen/>
        <w:t>тожир-танк с двигателем М-34, с диаметром ротора 20 м и полетным весом 4000 кг (20361).</w:t>
      </w:r>
    </w:p>
    <w:p w14:paraId="6B9A39FB" w14:textId="77777777" w:rsidR="004C42EE" w:rsidRPr="00E93F40" w:rsidRDefault="004C42EE" w:rsidP="00E93F40">
      <w:pPr>
        <w:shd w:val="clear" w:color="auto" w:fill="FFFFFF"/>
        <w:spacing w:after="0" w:line="240" w:lineRule="auto"/>
        <w:jc w:val="both"/>
        <w:rPr>
          <w:rFonts w:ascii="Times New Roman" w:hAnsi="Times New Roman"/>
          <w:color w:val="000000" w:themeColor="text1"/>
          <w:sz w:val="16"/>
          <w:szCs w:val="16"/>
        </w:rPr>
      </w:pPr>
    </w:p>
    <w:p w14:paraId="16AF4979" w14:textId="77777777" w:rsidR="004C42EE" w:rsidRPr="00E93F40" w:rsidRDefault="004C42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ноября 1932 г. летчик Корзинщиков выполнил на автожире типа А-4 с заводским № 4301, изготовленном в Кие</w:t>
      </w:r>
      <w:r w:rsidRPr="00E93F40">
        <w:rPr>
          <w:rFonts w:ascii="Times New Roman" w:hAnsi="Times New Roman"/>
          <w:color w:val="000000" w:themeColor="text1"/>
          <w:sz w:val="16"/>
          <w:szCs w:val="16"/>
        </w:rPr>
        <w:softHyphen/>
        <w:t>ве, два пробных полета общей продолжительностью 18 минут. Затем А-4 № 4301 перевезли в Москву, где 20 февраля 1933 г. его демонстрировали участникам проходящего сельскохозяйственного съезда. Во время этой торжествен</w:t>
      </w:r>
      <w:r w:rsidRPr="00E93F40">
        <w:rPr>
          <w:rFonts w:ascii="Times New Roman" w:hAnsi="Times New Roman"/>
          <w:color w:val="000000" w:themeColor="text1"/>
          <w:sz w:val="16"/>
          <w:szCs w:val="16"/>
        </w:rPr>
        <w:softHyphen/>
        <w:t>ной демонстрации достижений цивилизации на Централь</w:t>
      </w:r>
      <w:r w:rsidRPr="00E93F40">
        <w:rPr>
          <w:rFonts w:ascii="Times New Roman" w:hAnsi="Times New Roman"/>
          <w:color w:val="000000" w:themeColor="text1"/>
          <w:sz w:val="16"/>
          <w:szCs w:val="16"/>
        </w:rPr>
        <w:softHyphen/>
        <w:t>ном аэродроме произошла очередная неприятность. При раскрутке ротора порыв ветра переместил лопасти в за</w:t>
      </w:r>
      <w:r w:rsidRPr="00E93F40">
        <w:rPr>
          <w:rFonts w:ascii="Times New Roman" w:hAnsi="Times New Roman"/>
          <w:color w:val="000000" w:themeColor="text1"/>
          <w:sz w:val="16"/>
          <w:szCs w:val="16"/>
        </w:rPr>
        <w:softHyphen/>
        <w:t>предельное нижнее положение, и они зацепили верхнюю часть руля поворота. Несмотря на эту небольшую поломку, эксперименты продолжили на следующий день. Для уменьшения вибра</w:t>
      </w:r>
      <w:r w:rsidRPr="00E93F40">
        <w:rPr>
          <w:rFonts w:ascii="Times New Roman" w:hAnsi="Times New Roman"/>
          <w:color w:val="000000" w:themeColor="text1"/>
          <w:sz w:val="16"/>
          <w:szCs w:val="16"/>
        </w:rPr>
        <w:softHyphen/>
        <w:t>ции ротора несколько раз меняли угол атаки лопастей. 22 февраля при выполнении Корзинщиковым полета по кру</w:t>
      </w:r>
      <w:r w:rsidRPr="00E93F40">
        <w:rPr>
          <w:rFonts w:ascii="Times New Roman" w:hAnsi="Times New Roman"/>
          <w:color w:val="000000" w:themeColor="text1"/>
          <w:sz w:val="16"/>
          <w:szCs w:val="16"/>
        </w:rPr>
        <w:softHyphen/>
        <w:t>гу на высоте 100 м автожир начал неожиданно снижаться помимо воли пилота. Для выявления причины произо</w:t>
      </w:r>
      <w:r w:rsidRPr="00E93F40">
        <w:rPr>
          <w:rFonts w:ascii="Times New Roman" w:hAnsi="Times New Roman"/>
          <w:color w:val="000000" w:themeColor="text1"/>
          <w:sz w:val="16"/>
          <w:szCs w:val="16"/>
        </w:rPr>
        <w:softHyphen/>
        <w:t>шедшего вновь пришлось снять ротор и заняться его улуч</w:t>
      </w:r>
      <w:r w:rsidRPr="00E93F40">
        <w:rPr>
          <w:rFonts w:ascii="Times New Roman" w:hAnsi="Times New Roman"/>
          <w:color w:val="000000" w:themeColor="text1"/>
          <w:sz w:val="16"/>
          <w:szCs w:val="16"/>
        </w:rPr>
        <w:softHyphen/>
        <w:t>шением (20361).</w:t>
      </w:r>
    </w:p>
    <w:p w14:paraId="5DA26106" w14:textId="77777777" w:rsidR="004C42EE" w:rsidRPr="00E93F40" w:rsidRDefault="004C42EE" w:rsidP="00E93F40">
      <w:pPr>
        <w:shd w:val="clear" w:color="auto" w:fill="FFFFFF"/>
        <w:spacing w:after="0" w:line="240" w:lineRule="auto"/>
        <w:jc w:val="both"/>
        <w:rPr>
          <w:rFonts w:ascii="Times New Roman" w:hAnsi="Times New Roman"/>
          <w:color w:val="000000" w:themeColor="text1"/>
          <w:sz w:val="16"/>
          <w:szCs w:val="16"/>
        </w:rPr>
      </w:pPr>
    </w:p>
    <w:p w14:paraId="09BAF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ноября 1932 года начальник ЦАГИ Харламов писал письмо N 2717с начальнику ВВС Алкснису, начальнику Авиаремонтного треста Кошелеву.</w:t>
      </w:r>
    </w:p>
    <w:p w14:paraId="64AAEE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Довожу до Вашего сведения, что выпущенная головная машина автожир 4-ЭА с мотором М-26 5 ноября с.г. совершила первый пробный полет над аэродромом на высоте примерно 120 метров. Пилотировал машину летчик Корзинщиков.</w:t>
      </w:r>
    </w:p>
    <w:p w14:paraId="0C7FC4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ноября было предпринято вторичное летное испытание этого аппарата. С высоты примерно 80 метров аппарат упал на землю. летчик никаких повреждений не получил.</w:t>
      </w:r>
    </w:p>
    <w:p w14:paraId="1CAC1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Из-за внезапной аварии мы лишены возможности провести полное испытание этого аппарата в те сроки, которые мы намечали раньше и это ставит нас в достаточно затруднительное положение в связи с окончанием постройки первой серийной машины на Киевском заводе N 43, которая готова и которую нужно сейчас уже принимать.</w:t>
      </w:r>
    </w:p>
    <w:p w14:paraId="111BC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Производить полную приемку аппарата в Киеве, не освоившись с данной машиной у себя, нам представляется совершенно невозможным, и поэтому мы выдвигаем следующее предложение: командированный в Киев летчик Корзинщиков производит первый пробный полет на машине в г. Киеве, затем эта машина срочно отправляется в Москву в наше распоряжение и здесь мы проведем, еще до окончания ремонта нашей машины, все основные испытания, которые надлежит провести при приемке машины и затем передадим эту машину по Вашему указанию НИИ ВВС или в одну из частей. (3028,6).</w:t>
      </w:r>
    </w:p>
    <w:p w14:paraId="712FF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DCBE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ноября 1932 был внеплановый воздушный парад над КП (2628,4).</w:t>
      </w:r>
    </w:p>
    <w:p w14:paraId="277C3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ноября 1932 НИИ ВВС получил разрешение пролететь над Красной площадью при переселения на новый аэродром. Начальником НИИ ВВС был Н.В.Бузанов, который подписал приказ N 103/359 (172,32).</w:t>
      </w:r>
    </w:p>
    <w:p w14:paraId="635EB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Перелет состоялся 11 ноября 1932 и колонна по 3 машины была 1.5 км длинной. Всего 46 машин и это был первый неофициальный парад НИИ ВВС.</w:t>
      </w:r>
    </w:p>
    <w:p w14:paraId="43169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 сел В.П.Ч. на ТБ-3 (173,312).</w:t>
      </w:r>
    </w:p>
    <w:p w14:paraId="54E8C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57D79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EF6356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66BE586" w14:textId="6E2FEF06"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заводе Красно Сормово была заложена вторая подводная лодка — Щ-308 «Семга». Затем постановлением правительства от 11 июля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«Красное Сормово» было возложено обязательство, помимо уже изготовляемых, построить в течение пяти лет еще 26 средних подлодок типа «Щука». А это уже было серьезно. Этим же постановлением «Красное Сормово» становилось дублером по производству торпедного вооружения (торпедных аппаратов, толкачей, компрессоров) для подлодок, мониторов и канонерских лодок с заданием произвести во второй пятилетке 900 единиц. Помимо этого, завод должен был организовать производство немецких дизелей специального типа мощностью 3000–4000 л.с. Директор завода В. Сурков и его окружение хватались за голову от полученных заданий партии, но наркомат тяжелой промышленности дополнительно поставил заводу задачу построить еще и семь речных мониторов и восемь канонерских лодок! При этом надо учесть, что, кроме основного производства, на «Красном Сормове» по-прежнему производились железнодорожные вагоны и трамваи, а также коленчатые валы для Коломенского завода (1700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 в год). [159 — ГУ ЦАНО, Ф. 15, Оп. 3, Д. 141, Л. 7–9.]. Ясно, что даже с учетом расширения производственных площадей и ликвидации вагоностроения столь масштабная и многообразная программа была заведомо невыполнимой. Только для производства механизмов подводных лодок требовались минимум 340 станков, а в наличии имелись лишь 70, не говоря уже о нехватке рабочей силы. Но и дальше «партия и правительство» не переставали «радовать» 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112 своими планами и заданиями, которые нередко и самым противоположным образом изменялись. Так, например, согласно постановлению СНК от 25 августа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«Красное Сормово» должно было приступить еще и к освоению производства мин. Для этого завод получил приказ прекратить уже налаженный выпуск 107 и 203-мм фугасных снарядов. Однако вскоре это решение признали нецелесообразным и отменили. В сентябре завод получил задание, кроме торпедных аппаратов, организовать производство «толкачей» для сбрасывания торпед с торпедных катеров. Однако из-за большой загруженности цехов оно так и не было выполнено. Заводы, входившие тогда в объединение «Союзверфь», не имели своих конструкторских бюро. Все проектирование и разработка рабочих чертежей выполнялись ЦКБ-18 и подчиненным ему ЦКБС-2, занимающимся подводными лодками. ЦКБС-2 с самого начала несвоевременно и некомплектно присылало необходимые чертежи, работая по принципу: «начинайте строить, а как строить, узнаете потом» (11741).</w:t>
      </w:r>
    </w:p>
    <w:p w14:paraId="345111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0B1BD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637124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0AC3188" w14:textId="6DAE5CB4" w:rsidR="004C42EE" w:rsidRPr="00E93F40" w:rsidRDefault="004C42E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Первый полёт пассажирского семиместного самолёта de Havilland DH.84 Dragon с аэродрома Stag Lane в Лондоне. Он выпускался много лет в разных модификациях, став основой для большого семейства конструктивно схожих машин, и даже являлся образцом для подражания в других странах. "Драконы" разных видов долго возили по всему миру пассажиров, почту и грузы и за свой век поучаствовали во множестве войн, в том числе и во Второй Мировой (22309).</w:t>
      </w:r>
    </w:p>
    <w:p w14:paraId="78F51AAD" w14:textId="77777777" w:rsidR="004C42EE" w:rsidRPr="00E93F40" w:rsidRDefault="004C42EE" w:rsidP="00E93F40">
      <w:pPr>
        <w:spacing w:after="0" w:line="240" w:lineRule="auto"/>
        <w:jc w:val="both"/>
        <w:rPr>
          <w:rFonts w:ascii="Times New Roman" w:hAnsi="Times New Roman"/>
          <w:color w:val="000000" w:themeColor="text1"/>
          <w:sz w:val="16"/>
          <w:szCs w:val="16"/>
        </w:rPr>
      </w:pPr>
    </w:p>
    <w:p w14:paraId="5B16B6F4" w14:textId="79D39BB1"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ноября 1932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ферме Холбрука возле Роузмонта состоялось испытание ракеты № 1 «Американского межпланетного общества» (American Interplanetary Society — AIS). Ракета примерно 25–30 секунд развивала тягу около 27 кг, при этом она приподнималась вверх. Но когда топливо кончилось, ракета осела назад. На следующий день сильный ветер повалил установку, и ракета получила повреждения, завершив этим падением свою короткую карьеру. Решили перестроить её в более прочную ракету № 2 (23372).</w:t>
      </w:r>
    </w:p>
    <w:p w14:paraId="1175A75A" w14:textId="77777777" w:rsidR="00220371" w:rsidRPr="00E93F40" w:rsidRDefault="00220371" w:rsidP="00E93F40">
      <w:pPr>
        <w:spacing w:after="0" w:line="240" w:lineRule="auto"/>
        <w:jc w:val="both"/>
        <w:rPr>
          <w:rFonts w:ascii="Times New Roman" w:hAnsi="Times New Roman"/>
          <w:color w:val="000000" w:themeColor="text1"/>
          <w:sz w:val="16"/>
          <w:szCs w:val="16"/>
        </w:rPr>
      </w:pPr>
    </w:p>
    <w:p w14:paraId="649F9034" w14:textId="77777777" w:rsidR="004C42EE" w:rsidRPr="00E93F40" w:rsidRDefault="004C42EE"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ноября 1932 крупнейшие немецкие промышленники и банкиры обратились к Президенту Германии с требованием передать власть А.Г. (3186).</w:t>
      </w:r>
    </w:p>
    <w:p w14:paraId="586BFC99" w14:textId="77777777" w:rsidR="004C42EE" w:rsidRPr="00E93F40" w:rsidRDefault="004C42EE" w:rsidP="00E93F40">
      <w:pPr>
        <w:autoSpaceDE w:val="0"/>
        <w:autoSpaceDN w:val="0"/>
        <w:adjustRightInd w:val="0"/>
        <w:spacing w:after="0" w:line="240" w:lineRule="auto"/>
        <w:jc w:val="both"/>
        <w:rPr>
          <w:rFonts w:ascii="Times New Roman" w:hAnsi="Times New Roman"/>
          <w:color w:val="000000" w:themeColor="text1"/>
          <w:sz w:val="16"/>
          <w:szCs w:val="16"/>
        </w:rPr>
      </w:pPr>
    </w:p>
    <w:p w14:paraId="444FA12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DE6EE7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F5686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ноября 1932 на БИЧ-7 по заданию № 13 летали на высоту и площадки. Не выполнено из-за отказа мотора. Продолжительность 0:10.</w:t>
      </w:r>
    </w:p>
    <w:p w14:paraId="1584C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заданию № 14 те же результаты. Мотор сдал на 100 м. Продолжительность 0:5.</w:t>
      </w:r>
    </w:p>
    <w:p w14:paraId="21B02CB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Был подготовлен Акт № 3, в котором отмечено, что при осмотре моторного хозяйства обнаружены трещины на ушах подмоторных рам (2307).</w:t>
      </w:r>
    </w:p>
    <w:p w14:paraId="7EAFF91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F4B3D0" w14:textId="77777777"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ноября 1932 г. Протокол ПБ № 122 п.32/8: О параде 7 ноября. а) Принять предложение Ворошилова об участии в параде 40 тыс. людей, 122 орудий, 483 разных машин и авиации от 125 до 150 самолетов; б) Принятие парада поручить Ворошилову; в) Командование парадом поручить Корку (15905).</w:t>
      </w:r>
    </w:p>
    <w:p w14:paraId="29A30A28" w14:textId="77777777" w:rsidR="002812F6" w:rsidRPr="00E93F40" w:rsidRDefault="002812F6" w:rsidP="00E93F40">
      <w:pPr>
        <w:spacing w:after="0" w:line="240" w:lineRule="auto"/>
        <w:jc w:val="both"/>
        <w:rPr>
          <w:rFonts w:ascii="Times New Roman" w:hAnsi="Times New Roman"/>
          <w:color w:val="000000" w:themeColor="text1"/>
          <w:sz w:val="16"/>
          <w:szCs w:val="16"/>
        </w:rPr>
      </w:pPr>
    </w:p>
    <w:p w14:paraId="6EC960F8" w14:textId="5BE24862" w:rsidR="002812F6" w:rsidRPr="00E93F40" w:rsidRDefault="002812F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ноября 1932 г. Протокол ПБ № 122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п.72/48: О поездке на международную авиационную выставку во Франции. Разрешить командировку на выставку следующим товарищам: Меженинову С.А., Рогова А.Ю. и Путилову (ГУГВФ). Срок командировки - 25 дней (15942).</w:t>
      </w:r>
    </w:p>
    <w:p w14:paraId="3E99EC07" w14:textId="77777777" w:rsidR="002812F6" w:rsidRPr="00E93F40" w:rsidRDefault="002812F6" w:rsidP="00E93F40">
      <w:pPr>
        <w:spacing w:after="0" w:line="240" w:lineRule="auto"/>
        <w:jc w:val="both"/>
        <w:rPr>
          <w:rFonts w:ascii="Times New Roman" w:hAnsi="Times New Roman"/>
          <w:color w:val="000000" w:themeColor="text1"/>
          <w:sz w:val="16"/>
          <w:szCs w:val="16"/>
        </w:rPr>
      </w:pPr>
    </w:p>
    <w:p w14:paraId="32008B9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9F8829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B6A70F"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ноября 1932</w:t>
      </w:r>
    </w:p>
    <w:p w14:paraId="5333B9DF" w14:textId="79F954BF"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w:t>
      </w:r>
    </w:p>
    <w:p w14:paraId="026E8E89" w14:textId="2C506B0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122.</w:t>
      </w:r>
    </w:p>
    <w:p w14:paraId="665ECE2C" w14:textId="54B572D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p>
    <w:p w14:paraId="5E1854DD"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http://sovdoc.rusarchives.ru</w:t>
      </w:r>
    </w:p>
    <w:p w14:paraId="667C7BD3" w14:textId="3D2D750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p>
    <w:p w14:paraId="50A729D0"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 Ф. 17. Оп. 3. Д. 906. Л. 21-25.</w:t>
      </w:r>
    </w:p>
    <w:p w14:paraId="37FBFA70" w14:textId="1B7D864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Постановление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13.XI.1932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8C3676A"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докладу о работе заводов ВОВАТ'а.</w:t>
      </w:r>
    </w:p>
    <w:p w14:paraId="5B632758" w14:textId="1E0EE5D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ЦК отмечает, что за последний год достигнуты существенные результаты в области организации новых видов вагоностроения, широкого внедрения электросварки и, что несмотря на рост выпуска по новым типам вагонов за истекший период по сравнению с соответствующим периодом 1931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(180%) и общем росте валовой продукции в размере 27,3%, имеет место значительное недовыполнение вагоностроительными заводами заданной программы: выполнение валовой продукции в размере 72,3% плана за 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 по грузовым вагонам при задании на 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месяцев 22.670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и в 2</w:t>
      </w:r>
      <w:r w:rsidRPr="00E93F40">
        <w:rPr>
          <w:rFonts w:ascii="Times New Roman" w:hAnsi="Times New Roman"/>
          <w:color w:val="000000" w:themeColor="text1"/>
          <w:sz w:val="16"/>
          <w:szCs w:val="16"/>
        </w:rPr>
        <w:noBreakHyphen/>
        <w:t>осном исчислении фактически выполнение составило 11.600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ед.(51,2%), по пассажирским вагонам при задании в 1297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фактически выполнено 790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(61%)</w:t>
      </w:r>
    </w:p>
    <w:p w14:paraId="05E95302"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Подчеркивая, что выполнение программы по вагоностроению является первоочередной хозяйственной задачей, ЦК предлагает:</w:t>
      </w:r>
    </w:p>
    <w:p w14:paraId="632226C0" w14:textId="035C184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Установить программу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по грузовым вагонам для НКПС в количестве 30.500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в 2</w:t>
      </w:r>
      <w:r w:rsidRPr="00E93F40">
        <w:rPr>
          <w:rFonts w:ascii="Times New Roman" w:hAnsi="Times New Roman"/>
          <w:color w:val="000000" w:themeColor="text1"/>
          <w:sz w:val="16"/>
          <w:szCs w:val="16"/>
        </w:rPr>
        <w:noBreakHyphen/>
        <w:t>осном исчислении, из них по заводам “ВОВАТ”а (“Красный Профинтерн”,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газеты “Правда”, Крюковскому заводу,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Урицкого и Усть-Катавскому) 25.900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по заводу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Андрэ Марти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1.800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4</w:t>
      </w:r>
      <w:r w:rsidRPr="00E93F40">
        <w:rPr>
          <w:rFonts w:ascii="Times New Roman" w:hAnsi="Times New Roman"/>
          <w:color w:val="000000" w:themeColor="text1"/>
          <w:sz w:val="16"/>
          <w:szCs w:val="16"/>
        </w:rPr>
        <w:noBreakHyphen/>
        <w:t>осных цистерн (3.600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в 2</w:t>
      </w:r>
      <w:r w:rsidRPr="00E93F40">
        <w:rPr>
          <w:rFonts w:ascii="Times New Roman" w:hAnsi="Times New Roman"/>
          <w:color w:val="000000" w:themeColor="text1"/>
          <w:sz w:val="16"/>
          <w:szCs w:val="16"/>
        </w:rPr>
        <w:noBreakHyphen/>
        <w:t>осном исчислении), по заводу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Январского Восстания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в 2</w:t>
      </w:r>
      <w:r w:rsidRPr="00E93F40">
        <w:rPr>
          <w:rFonts w:ascii="Times New Roman" w:hAnsi="Times New Roman"/>
          <w:color w:val="000000" w:themeColor="text1"/>
          <w:sz w:val="16"/>
          <w:szCs w:val="16"/>
        </w:rPr>
        <w:noBreakHyphen/>
        <w:t>осном исчислении.</w:t>
      </w:r>
    </w:p>
    <w:p w14:paraId="30358857" w14:textId="4D98A3C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для нужд промышленности изготовить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2900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 в 2</w:t>
      </w:r>
      <w:r w:rsidRPr="00E93F40">
        <w:rPr>
          <w:rFonts w:ascii="Times New Roman" w:hAnsi="Times New Roman"/>
          <w:color w:val="000000" w:themeColor="text1"/>
          <w:sz w:val="16"/>
          <w:szCs w:val="16"/>
        </w:rPr>
        <w:noBreakHyphen/>
        <w:t>осном исчислении, в том числе: платформ узкоколейных на Усть-Катавском заводе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дум-кар на Сормовском заводе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платформ на заводе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Коваля 1.500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w:t>
      </w:r>
    </w:p>
    <w:p w14:paraId="10BC3D5C" w14:textId="07F24EC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программу выпуска пассажирских вагонов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 заводам “ВОВАТ” в количестве 1750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физических единиц.</w:t>
      </w:r>
    </w:p>
    <w:p w14:paraId="208ABE67" w14:textId="1EFE174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Главтрансмаш, объединение “ВОВАТ” и директоров вагоностроительных заводов на протяжении IV</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провести все необходимые мероприятия в части организации производства, обеспечивающие необходимые условия выполнения программы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в частности, провести мероприятия по усилению работы действующих заготовительных цехов (кузниц, сталелитейных), проведя необходимый ремонт оборудования печей и агрегатов, закончить дооборудование заводов: Крюковского и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“Правда” под выпуск 4</w:t>
      </w:r>
      <w:r w:rsidRPr="00E93F40">
        <w:rPr>
          <w:rFonts w:ascii="Times New Roman" w:hAnsi="Times New Roman"/>
          <w:color w:val="000000" w:themeColor="text1"/>
          <w:sz w:val="16"/>
          <w:szCs w:val="16"/>
        </w:rPr>
        <w:noBreakHyphen/>
        <w:t>осных саморазгружающихся вагонов.</w:t>
      </w:r>
    </w:p>
    <w:p w14:paraId="05B72FF1" w14:textId="3AE442D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Обязать Главтрансмаш, объединение “ВОВАТ” и “Локомотив” обеспечить производство тележек для 4</w:t>
      </w:r>
      <w:r w:rsidRPr="00E93F40">
        <w:rPr>
          <w:rFonts w:ascii="Times New Roman" w:hAnsi="Times New Roman"/>
          <w:color w:val="000000" w:themeColor="text1"/>
          <w:sz w:val="16"/>
          <w:szCs w:val="16"/>
        </w:rPr>
        <w:noBreakHyphen/>
        <w:t>осных большегрузных вагонов в следующем количестве на заводах: “Красный Профинтерн”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“Правда”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Крюковском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и Сормовском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w:t>
      </w:r>
    </w:p>
    <w:p w14:paraId="5FB6DEB4" w14:textId="485DEC3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Для обеспечения намеченного выпуска вагонов осями и центрами, обязать директоров заводов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изготовить: на заводе “Красное Сормово” 85.000 катанных центров, из них: для заводов “ВОВАТ”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на Коломенском заводе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литых центров, 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кованных осей; на Луганском заводе 12.000 литых центров, для заводов “ВОВАТ”а; на Дзержинском заводе 9.000 сварных центров для заводов “ВОВАТ” и 60.000 кованных осей, из них: 25.000 для заводов “ВОВАТ”; на заводах Орудийно-Арсенального объединения (“Новое Сормово”, “Баррикады”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осей, из них: 16.000 для заводов “ВОВАТ”; “Красный Профинтерн”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20.000 кованных осей и 13.000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колес для своего производства. Усть-Катавский 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колес, Мытищинский завод 3.200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колес,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колес и 7.200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осей для своего производства.</w:t>
      </w:r>
    </w:p>
    <w:p w14:paraId="058A9B67" w14:textId="44D4543A"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НКТП распределить на других заводах промышленности производство литых чугунных и стальных центров, недостающих для выполнения намеченного выпуска вагонов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1786322" w14:textId="5C27BBA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 отношении обеспечения вагоностроения бандажами, прикрепить заводы: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газеты “Правда” и Крюковский по снабжению к заводу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Дзержинского,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Андрэ Марти и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Январского Восстания к Таганрогскому металлургическому заводу, а все остальные вагоностроительные заводы “ВОВАТ” к Кулебакскому заводу.</w:t>
      </w:r>
    </w:p>
    <w:p w14:paraId="727FE956"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Поручить Главтрансмашу, объединению “ВОВАТ” и директорам заводов на протяжении ближайшего полугодия добиться дальнейшего внедрения сварки и перехода на сварные конструкции. Поручить НКТП выделить для этой цели необходимое сварочное оборудование.</w:t>
      </w:r>
    </w:p>
    <w:p w14:paraId="30278E37" w14:textId="31F168D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Для проведения реконструкции действующих заводов, обеспечивающих указанный выпуск, установить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объем капитальных работ по заводам “ВОВАТ”а (грузового и пассажирского вагоностроения) в сумме 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 на Уралвагонстрой 62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w:t>
      </w:r>
    </w:p>
    <w:p w14:paraId="7887A520" w14:textId="36C7090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В плане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предусмотреть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 на разработку проекта и начало работ по Казанскому вагоностроительному заводу.</w:t>
      </w:r>
    </w:p>
    <w:p w14:paraId="06D6B1F7" w14:textId="1772EC5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Обязать НКТП пустить цех колес Гриффина на Уралвагонстрое не позднее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75761596" w14:textId="6497759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на заводе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Карла Либкнехта (Днепропетровск) в конце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заказанный стан цельно-катанных колес.</w:t>
      </w:r>
    </w:p>
    <w:p w14:paraId="4E2718EC"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В соответствии с установленным объемом капитальных работ, поручить НКТП в 2</w:t>
      </w:r>
      <w:r w:rsidRPr="00E93F40">
        <w:rPr>
          <w:rFonts w:ascii="Times New Roman" w:hAnsi="Times New Roman"/>
          <w:color w:val="000000" w:themeColor="text1"/>
          <w:sz w:val="16"/>
          <w:szCs w:val="16"/>
        </w:rPr>
        <w:noBreakHyphen/>
        <w:t>месячный срок разместить заказы по внутреннему оборудованию для вагоностроительный заводов.</w:t>
      </w:r>
    </w:p>
    <w:p w14:paraId="4CF3F245" w14:textId="45B1404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Признать необходимым обеспечить валютные контингенты для оборудования вагоностроительных заводов поручив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Орджоникидзе и Розенгольцу внести в ЦК предложения в декадный срок.</w:t>
      </w:r>
    </w:p>
    <w:p w14:paraId="45A2276B" w14:textId="075CCB1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Обязать директоров цементных и машиностроительных заводов обеспечить в IV</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полную отгрузку для вагоностроительных заводов материалов и оборудования по нарядам выданным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w:t>
      </w:r>
    </w:p>
    <w:p w14:paraId="78CF125A" w14:textId="4B438E8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выполнения работ в IV и 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кварталах поручить НКТП выделить добавочные фонды на стройматериалы (цемент, гвозди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проч.).</w:t>
      </w:r>
    </w:p>
    <w:p w14:paraId="3B0008C5" w14:textId="437F71A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Принять к сведению заявление НКТП, что им разработан и будет проведен с 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план прикрепления металлургических заводов и заводов, изготовляющих метизные изделия, к определенным вагоностроительным заводам по снабжению их металлом необходимого качества (сортовой лист, швеллера, осевая заготовка, сварочная проволока, гвозди и болтовые изделия).</w:t>
      </w:r>
    </w:p>
    <w:p w14:paraId="0B5D53FF"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Поручить Наркомлеспрому совместно с НКТП в декадный срок разработать и провести прикрепление вагоностроительных заводов к определенным пунктам снабжения пиленым и круглым лесом соответствующего качества в размерах, обеспечивающих бесперебойную работу заводов.</w:t>
      </w:r>
    </w:p>
    <w:p w14:paraId="166C1CBB" w14:textId="076F5DDA"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Наркомлес и НКТП обеспечить полностью отгрузку леса для вагоностроительных заводов по фондам, выделенным в IV</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w:t>
      </w:r>
    </w:p>
    <w:p w14:paraId="4C96E329" w14:textId="47253FEF"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Считать необходимым приравнять вагоностроительную промышленность в отнесении обеспечения огнеупорами к металлургическим заводам, поручив Огнеупору и ГУМП'у обеспечить в IV</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доставку заводам “ВОВАТ” 9.000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шамота, динаса и магнезита.</w:t>
      </w:r>
    </w:p>
    <w:p w14:paraId="539582B2"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Ранее находившийся в составе завода “Красный Профинтерн” огнеупорный завод, переданный Запстройматериалу, вернуть обратно заводу “Красный Профинтерн”.</w:t>
      </w:r>
    </w:p>
    <w:p w14:paraId="29C3C899" w14:textId="0F3C622E"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Для обеспечения программы IV</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обязать НКТП выделить необходимое количество металла и метизных изделий, а директоров металлургических заводов обязать обеспечить полное выполнение заказов и отгрузку для вагоностроительной промышленности.</w:t>
      </w:r>
    </w:p>
    <w:p w14:paraId="56F35891" w14:textId="111EF1FA"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Обязать Наркомвнешторг обеспечить срочную отгрузку металла, переданного к изготовлению заграницу по контингентам III</w:t>
      </w:r>
      <w:r w:rsidRPr="00E93F40">
        <w:rPr>
          <w:rFonts w:ascii="Times New Roman" w:hAnsi="Times New Roman"/>
          <w:color w:val="000000" w:themeColor="text1"/>
          <w:sz w:val="16"/>
          <w:szCs w:val="16"/>
        </w:rPr>
        <w:noBreakHyphen/>
        <w:t>го и IV</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кварталов, для вагоностроительных заводов: листового железа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сортового железа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13.864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 осевой заготовки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швеллеров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6.894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 а также обеспечить отгрузку до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4.500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кованных осей и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осей до 15/I</w:t>
      </w:r>
      <w:r w:rsidRPr="00E93F40">
        <w:rPr>
          <w:rFonts w:ascii="Times New Roman" w:hAnsi="Times New Roman"/>
          <w:color w:val="000000" w:themeColor="text1"/>
          <w:sz w:val="16"/>
          <w:szCs w:val="16"/>
        </w:rPr>
        <w:noBreakHyphen/>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0999B5A"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Разрешить “ВОВАТ”у командировать в Германию и Польшу по одному представителю для наблюдения за изготовлением кованных осей и приемки их.</w:t>
      </w:r>
    </w:p>
    <w:p w14:paraId="2FE99C05"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Обязать НКПС обеспечить своевременно вывозку металла и леса для вагоностроительных заводов.</w:t>
      </w:r>
    </w:p>
    <w:p w14:paraId="30133ADE" w14:textId="670BF7E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Для обеспечения бесперебойной работы вагоностроительных заводов, обязать Комитет по топливу при СТО включить заводы “ВОВАТ”а в список внеочередных получателей топлива и выделить в течение ноября-декабря заводам “ВОВАТ” дополнительный завоз угля и антрацита в количестве 24.000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нефтетоплива 32.000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из которых обеспечить завоз до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водой на Кулебакский завод 21.000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w:t>
      </w:r>
    </w:p>
    <w:p w14:paraId="6CC62253" w14:textId="66C3D39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Поручить Наркомлегпрому в декадный срок рассмотреть потребность вагоностроения в материалах (стекло, кожа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 выделив необходимые фонды и обеспечить своевременную отгрузку, взяв под особое наблюдение выполнение заказов для вагоностроения.</w:t>
      </w:r>
    </w:p>
    <w:p w14:paraId="081FB587"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В целях борьбы с текучестью и улучшения социально-бытового обслуживания рабочих вагоностроительной промышленности:</w:t>
      </w:r>
    </w:p>
    <w:p w14:paraId="4383BAC2" w14:textId="5D26B72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передать 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в непосредственное управление директоров заводов столовые, всю кооперативную сеть ЗРК вагоностроительных заводов со всеми подсобными предприятиями, оборудованием, инвентарем живым и мертвым, оборотными средствами, товарами и товарными фондами;</w:t>
      </w:r>
    </w:p>
    <w:p w14:paraId="2FA07F97" w14:textId="049739CF"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Центросоюз и Наркомлегпром для усиления снабжения рабочих и ИТР на заводах “ВОВАТ” выделить специальные товарные фонды предметов ширпотреба на сумму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 включив заводы “ВОВАТ”а в план первоочередного снабжения;</w:t>
      </w:r>
    </w:p>
    <w:p w14:paraId="3B4B98E6"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передать все пригородные хозяйства при заводах “ВОВАТ” со всем живым и мертвым инвентарем, имуществом и оборотными средствами в непосредственное ведение заводоуправлений.</w:t>
      </w:r>
    </w:p>
    <w:p w14:paraId="5E358F9C"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Наркомзем и НКСовхозов для расширения пригородных хозяйств заводов выделить предприятиям “ВОВАТ” с.</w:t>
      </w:r>
      <w:r w:rsidRPr="00E93F40">
        <w:rPr>
          <w:rFonts w:ascii="Times New Roman" w:hAnsi="Times New Roman"/>
          <w:color w:val="000000" w:themeColor="text1"/>
          <w:sz w:val="16"/>
          <w:szCs w:val="16"/>
        </w:rPr>
        <w:noBreakHyphen/>
        <w:t>х. и животноводческие совхозы и передать заводам со всем живым и мертвым, инвентарем, имуществом и оборотными средствами.</w:t>
      </w:r>
    </w:p>
    <w:p w14:paraId="47D34EA1"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Наркомзему, НКСовхозов и НКТП в декадный срок наметить по каждому заводу какие совхозы будут переданы вагоностроительным заводам.</w:t>
      </w:r>
    </w:p>
    <w:p w14:paraId="107C531A"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НКТП выделить для пригородных хозяйств заводов “ВОВАТ” необходимый сельскохозяйственный инвентарь и транспорт.</w:t>
      </w:r>
    </w:p>
    <w:p w14:paraId="0C8CD368" w14:textId="3D3DA22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плане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предусмотреть лимит по росту зарплаты работающих, обеспечивающий подтяжку зарплаты на заводах “ВОВАТ” до уровня таковой на прилегающих машиностроительных предприятиях.</w:t>
      </w:r>
    </w:p>
    <w:p w14:paraId="1196F0C9"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“ВОВАТ” и ЦК союза транспортного машиностроения расширить охват рабочих сдельными работами и обеспечить проведение всей работы по полной перестройке технормирования и организации труда, в соответствии с постановлением ЦК.</w:t>
      </w:r>
    </w:p>
    <w:p w14:paraId="66A004BE"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НКТП, “ВОВАТ” и ЦК ВСРТМ разработать стимулирующую систему премирования ИТР за выполнение промфинплана.</w:t>
      </w:r>
    </w:p>
    <w:p w14:paraId="23E2CFEE"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23. Поручить Распредотделу ЦК, совместно с сектором кадров НКТП в месячный срок выделить для укрепления руководящими кадрами вагоностроительных заводов не менее 20</w:t>
      </w:r>
      <w:r w:rsidRPr="00E93F40">
        <w:rPr>
          <w:rFonts w:ascii="Times New Roman" w:hAnsi="Times New Roman"/>
          <w:color w:val="000000" w:themeColor="text1"/>
          <w:sz w:val="16"/>
          <w:szCs w:val="16"/>
        </w:rPr>
        <w:noBreakHyphen/>
        <w:t>ти опытных работников, перебросить на вагоностроительные заводы не менее 50</w:t>
      </w:r>
      <w:r w:rsidRPr="00E93F40">
        <w:rPr>
          <w:rFonts w:ascii="Times New Roman" w:hAnsi="Times New Roman"/>
          <w:color w:val="000000" w:themeColor="text1"/>
          <w:sz w:val="16"/>
          <w:szCs w:val="16"/>
        </w:rPr>
        <w:noBreakHyphen/>
        <w:t>ти квалифицированных инженеров и техников и, в частности, специалистов-вагонщиков, работающих на других предприятиях, обратно на вагоностроительные заводы.</w:t>
      </w:r>
    </w:p>
    <w:p w14:paraId="4F4FAE4F" w14:textId="70E6886F"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распределении молодых специалистов выпуска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передать на вагоностроительные заводы “ВОВАТ” 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инженеров и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техников, закрепить за заводами “ВОВАТ”а всех выпускников из техникумов учебной сети объединения выпуска 1932</w:t>
      </w:r>
      <w:r w:rsidRPr="00E93F40">
        <w:rPr>
          <w:rFonts w:ascii="Times New Roman" w:hAnsi="Times New Roman"/>
          <w:color w:val="000000" w:themeColor="text1"/>
          <w:sz w:val="16"/>
          <w:szCs w:val="16"/>
        </w:rPr>
        <w:noBreakHyphen/>
        <w:t>33 и 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3EDEE62A"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Предложить областным комитетам: Западному, Московскому, Ленинградскому, Уральскому и ЦК Украины провести обследование состояния партийно-массовой работы на вагоностроительных заводах, укрепив партийное руководство на указанных заводах.</w:t>
      </w:r>
    </w:p>
    <w:p w14:paraId="0830AE74"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Обязать ЦК ВСРТМ проверить работу профорганизаций на заводах, укрепив руководство, послать на длительный срок ответственных работников ЦК для непосредственной помощи организациям (17863).</w:t>
      </w:r>
    </w:p>
    <w:p w14:paraId="4EA15FC6" w14:textId="77777777" w:rsidR="00BD5738" w:rsidRPr="00E93F40" w:rsidRDefault="00BD5738" w:rsidP="00E93F40">
      <w:pPr>
        <w:spacing w:after="0" w:line="240" w:lineRule="auto"/>
        <w:jc w:val="both"/>
        <w:rPr>
          <w:rFonts w:ascii="Times New Roman" w:hAnsi="Times New Roman"/>
          <w:color w:val="000000" w:themeColor="text1"/>
          <w:sz w:val="16"/>
          <w:szCs w:val="16"/>
        </w:rPr>
      </w:pPr>
    </w:p>
    <w:p w14:paraId="1FE3FB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ноября 1932 г. Г.К.Орджоникидзе отдал следующее «особое распоряжение» по заводу им. К.Маркса:</w:t>
      </w:r>
    </w:p>
    <w:p w14:paraId="082BD6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что завод им. КМаркса технически наиболее под</w:t>
      </w:r>
      <w:r w:rsidRPr="00E93F40">
        <w:rPr>
          <w:rFonts w:ascii="Times New Roman" w:hAnsi="Times New Roman"/>
          <w:color w:val="000000" w:themeColor="text1"/>
          <w:sz w:val="16"/>
          <w:szCs w:val="16"/>
        </w:rPr>
        <w:softHyphen/>
        <w:t>готовлен к освоению производства текстильных машин и являет</w:t>
      </w:r>
      <w:r w:rsidRPr="00E93F40">
        <w:rPr>
          <w:rFonts w:ascii="Times New Roman" w:hAnsi="Times New Roman"/>
          <w:color w:val="000000" w:themeColor="text1"/>
          <w:sz w:val="16"/>
          <w:szCs w:val="16"/>
        </w:rPr>
        <w:softHyphen/>
        <w:t>ся основным ведущим заводом по текстильному машинострое</w:t>
      </w:r>
      <w:r w:rsidRPr="00E93F40">
        <w:rPr>
          <w:rFonts w:ascii="Times New Roman" w:hAnsi="Times New Roman"/>
          <w:color w:val="000000" w:themeColor="text1"/>
          <w:sz w:val="16"/>
          <w:szCs w:val="16"/>
        </w:rPr>
        <w:softHyphen/>
        <w:t>нию, считать необходимым с 1933г. освободить все его основ</w:t>
      </w:r>
      <w:r w:rsidRPr="00E93F40">
        <w:rPr>
          <w:rFonts w:ascii="Times New Roman" w:hAnsi="Times New Roman"/>
          <w:color w:val="000000" w:themeColor="text1"/>
          <w:sz w:val="16"/>
          <w:szCs w:val="16"/>
        </w:rPr>
        <w:softHyphen/>
        <w:t>ные цеха от спецпродукции, для чего предложить НКТП:</w:t>
      </w:r>
    </w:p>
    <w:p w14:paraId="14D16C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завод им. К-Маркса не позже февраля 1933 г. за</w:t>
      </w:r>
      <w:r w:rsidRPr="00E93F40">
        <w:rPr>
          <w:rFonts w:ascii="Times New Roman" w:hAnsi="Times New Roman"/>
          <w:color w:val="000000" w:themeColor="text1"/>
          <w:sz w:val="16"/>
          <w:szCs w:val="16"/>
        </w:rPr>
        <w:softHyphen/>
        <w:t>кончить обработку деталей для подводных лодок V и VI се</w:t>
      </w:r>
      <w:r w:rsidRPr="00E93F40">
        <w:rPr>
          <w:rFonts w:ascii="Times New Roman" w:hAnsi="Times New Roman"/>
          <w:color w:val="000000" w:themeColor="text1"/>
          <w:sz w:val="16"/>
          <w:szCs w:val="16"/>
        </w:rPr>
        <w:softHyphen/>
        <w:t>рии, и после этого полностью переключиться на производ</w:t>
      </w:r>
      <w:r w:rsidRPr="00E93F40">
        <w:rPr>
          <w:rFonts w:ascii="Times New Roman" w:hAnsi="Times New Roman"/>
          <w:color w:val="000000" w:themeColor="text1"/>
          <w:sz w:val="16"/>
          <w:szCs w:val="16"/>
        </w:rPr>
        <w:softHyphen/>
        <w:t>ство текстильных машин;</w:t>
      </w:r>
    </w:p>
    <w:p w14:paraId="4131EA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«Союзверфь» с 15 ноября 1932 г. принять от заво</w:t>
      </w:r>
      <w:r w:rsidRPr="00E93F40">
        <w:rPr>
          <w:rFonts w:ascii="Times New Roman" w:hAnsi="Times New Roman"/>
          <w:color w:val="000000" w:themeColor="text1"/>
          <w:sz w:val="16"/>
          <w:szCs w:val="16"/>
        </w:rPr>
        <w:softHyphen/>
        <w:t>да им. К.Маркса все заказы по торпедному вооружению, компрессорам и ремонту вооружения судов;</w:t>
      </w:r>
    </w:p>
    <w:p w14:paraId="330F4C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обязать завод им.К.Маркса передать «Союзверфи» 3 меха</w:t>
      </w:r>
      <w:r w:rsidRPr="00E93F40">
        <w:rPr>
          <w:rFonts w:ascii="Times New Roman" w:hAnsi="Times New Roman"/>
          <w:color w:val="000000" w:themeColor="text1"/>
          <w:sz w:val="16"/>
          <w:szCs w:val="16"/>
        </w:rPr>
        <w:softHyphen/>
        <w:t>нические и 1 меднолитейную мастерскую со всем их обо</w:t>
      </w:r>
      <w:r w:rsidRPr="00E93F40">
        <w:rPr>
          <w:rFonts w:ascii="Times New Roman" w:hAnsi="Times New Roman"/>
          <w:color w:val="000000" w:themeColor="text1"/>
          <w:sz w:val="16"/>
          <w:szCs w:val="16"/>
        </w:rPr>
        <w:softHyphen/>
        <w:t>рудованием и личным составом (включая конструкторов)» (РГАЭ ф. 7297, оп. 38, д. 2, л. 248 (1566,95).</w:t>
      </w:r>
    </w:p>
    <w:p w14:paraId="6CE7B4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F9D7A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ноября 1932</w:t>
      </w:r>
    </w:p>
    <w:p w14:paraId="7ED41A7B" w14:textId="5133CBC8"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122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2A08CC95" w14:textId="23DDE88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13</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2E9D392F" w14:textId="48BE35D3"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14: а) Об оборудовании для текстильной промышленности.</w:t>
      </w:r>
    </w:p>
    <w:p w14:paraId="60A79DBC" w14:textId="2B75B29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 производстве вооружения на заводе 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Маркса</w:t>
      </w:r>
    </w:p>
    <w:p w14:paraId="195B1116" w14:textId="7AB6B38A"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23.X.32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120,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w:t>
      </w:r>
    </w:p>
    <w:p w14:paraId="55AB4006" w14:textId="3FB20B55"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(Каганович</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Орджоникидзе, Сталин, Любимов, Киров).</w:t>
      </w:r>
    </w:p>
    <w:p w14:paraId="25C40783" w14:textId="6662CAE4"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6C61048E" w14:textId="4B9903BC"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проект постановления, внесенный комиссией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Кагановича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с поправкой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Любимова о передаче в НКЛПпром двух заводов из системы Главтрансмаша (</w:t>
      </w:r>
      <w:hyperlink r:id="rId264"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4</w:t>
        </w:r>
      </w:hyperlink>
      <w:r w:rsidRPr="00E93F40">
        <w:rPr>
          <w:rFonts w:ascii="Times New Roman" w:hAnsi="Times New Roman"/>
          <w:color w:val="000000" w:themeColor="text1"/>
          <w:sz w:val="16"/>
          <w:szCs w:val="16"/>
        </w:rPr>
        <w:t>).</w:t>
      </w:r>
    </w:p>
    <w:p w14:paraId="60F89ED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3CF3780D" w14:textId="4795C6C5"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Орджоникидзе, Любимову, Керженцеву, Кагановичу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Межлауку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w:t>
      </w:r>
    </w:p>
    <w:p w14:paraId="6351568C" w14:textId="141AA8C6"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Цихону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из приложения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13</w:t>
      </w:r>
    </w:p>
    <w:p w14:paraId="4272322B" w14:textId="672C651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w:t>
      </w:r>
    </w:p>
    <w:p w14:paraId="31FB7862" w14:textId="4EA99D3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14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122.</w:t>
      </w:r>
    </w:p>
    <w:p w14:paraId="17461C80" w14:textId="4FCADDE5"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13.XI.1932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77C0064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развертывании текстильного машиностроения.</w:t>
      </w:r>
    </w:p>
    <w:p w14:paraId="1CBCEED1" w14:textId="5CC7F47E"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Потребность всех отраслей текстильной промышленности в оборудовании и запасных частях определяется уже на 1933</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в 193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 выдвигает текстильное машиностроение на одно из первых мест, диктуя необходимость срочного создания расширенной технико-производственной базы текстильного машиностроения путем расширения и реконструкции действующих заводов по текстильному машиностроению для максимального выпуска машин и деталей и вовлечения новых заводов для организации на них производства текстильных машин.</w:t>
      </w:r>
    </w:p>
    <w:p w14:paraId="17227D81" w14:textId="031F3C4A"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обеспечения машинами и деталями текстильной промышленности уже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и в последующие годы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постановляет:</w:t>
      </w:r>
    </w:p>
    <w:p w14:paraId="21356C79" w14:textId="29798BC5"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Предложить Наркомтяжпрому с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все заводы Союзтекстилькашины освободить от нетекстильных заказов, развернув на этих заводах исключительно производство текстильных машин и деталей.</w:t>
      </w:r>
    </w:p>
    <w:p w14:paraId="198F10B0" w14:textId="06167EE5"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Список и календарные сроки снятия с заводов Союзтекстильмашины нетекстильннх производств утвердить (</w:t>
      </w:r>
      <w:hyperlink r:id="rId265" w:anchor="p1"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1</w:t>
        </w:r>
      </w:hyperlink>
      <w:r w:rsidRPr="00E93F40">
        <w:rPr>
          <w:rFonts w:ascii="Times New Roman" w:hAnsi="Times New Roman"/>
          <w:color w:val="000000" w:themeColor="text1"/>
          <w:sz w:val="16"/>
          <w:szCs w:val="16"/>
        </w:rPr>
        <w:t>).</w:t>
      </w:r>
    </w:p>
    <w:p w14:paraId="207FE24B" w14:textId="041EA315"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Установить производственную программу по выпуску текстильных машин и деталей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на заводах Наркомтяжпрома в 80,3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w:t>
      </w:r>
      <w:hyperlink r:id="rId266" w:anchor="p2"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2</w:t>
        </w:r>
      </w:hyperlink>
      <w:r w:rsidRPr="00E93F40">
        <w:rPr>
          <w:rFonts w:ascii="Times New Roman" w:hAnsi="Times New Roman"/>
          <w:color w:val="000000" w:themeColor="text1"/>
          <w:sz w:val="16"/>
          <w:szCs w:val="16"/>
        </w:rPr>
        <w:t>) против выпуска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17,9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 по заводам Наркомлегпрома в 28,0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миллионов рублей (машин на 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 деталей на 19,0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против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5190D1E" w14:textId="0C132816"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Для выполнения программы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доведения выпуска машин и деталей на заводах Наркомтяжпрома в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до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(ориентировочно)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отпустить Наркомтяжпрому сверх общего лимита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дополнительно 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на расширение и реконструкцию заводов текстильного машиностроения (</w:t>
      </w:r>
      <w:hyperlink r:id="rId267" w:anchor="p3" w:history="1">
        <w:r w:rsidRPr="00E93F40">
          <w:rPr>
            <w:rStyle w:val="a5"/>
            <w:rFonts w:ascii="Times New Roman" w:hAnsi="Times New Roman"/>
            <w:color w:val="000000" w:themeColor="text1"/>
            <w:sz w:val="16"/>
            <w:szCs w:val="16"/>
          </w:rPr>
          <w:t>см.</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приложение</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w:t>
        </w:r>
        <w:r w:rsidR="007C1411" w:rsidRPr="00E93F40">
          <w:rPr>
            <w:rStyle w:val="a5"/>
            <w:rFonts w:ascii="Times New Roman" w:hAnsi="Times New Roman"/>
            <w:color w:val="000000" w:themeColor="text1"/>
            <w:sz w:val="16"/>
            <w:szCs w:val="16"/>
          </w:rPr>
          <w:t xml:space="preserve"> </w:t>
        </w:r>
        <w:r w:rsidRPr="00E93F40">
          <w:rPr>
            <w:rStyle w:val="a5"/>
            <w:rFonts w:ascii="Times New Roman" w:hAnsi="Times New Roman"/>
            <w:color w:val="000000" w:themeColor="text1"/>
            <w:sz w:val="16"/>
            <w:szCs w:val="16"/>
          </w:rPr>
          <w:t>3</w:t>
        </w:r>
      </w:hyperlink>
      <w:r w:rsidRPr="00E93F40">
        <w:rPr>
          <w:rFonts w:ascii="Times New Roman" w:hAnsi="Times New Roman"/>
          <w:color w:val="000000" w:themeColor="text1"/>
          <w:sz w:val="16"/>
          <w:szCs w:val="16"/>
        </w:rPr>
        <w:t>) сверх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намеченных Наркомтяжпромом на эту цель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w:t>
      </w:r>
    </w:p>
    <w:p w14:paraId="0D1928BE" w14:textId="09462F1C"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Предложить Наркомтяжпрому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выделить 900 металлорежущих станков заводам Союзтекстильмашины и 350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станков другим заводам НКТП, занимающимся текстильным машиностроением; Наркомтяжпрому обеспечить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импортные контингенты до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для закупки тех станков для заводов текстильного машиностроения, которые внутри страны не изготовляются.</w:t>
      </w:r>
    </w:p>
    <w:p w14:paraId="193CC9A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Предложить Наркомтяжпрому и Наркомлегпрому, по утверждении плана второй пятилетки по текстильной промышленности по всем волокнам, разработать план развития текстильного машиностроения в объеме, обеспечивающем покрытие потребности в машинах и деталях всех отраслей текстильной промышленности, входящих в систему Наркомлегпрома, Наркомтяжпрома и других ведомств.</w:t>
      </w:r>
    </w:p>
    <w:p w14:paraId="4C0FFFB4" w14:textId="572B9F28"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 связи с развертывающимся строительством текстильных фабрик в Сибири и Средней Азии,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считать необходимым создать машиностроительную базу по текстильному машиностроению для обслуживания этих районов, для чего предложить НКТП передать Союзтекстильмашине строительство Сибирского завода комбайнов для постройки и использования его под текстильное машиностроение и закончить в основном строительство этого завода для производства на нем текстильных машин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CD16A8B" w14:textId="5832F86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окончания постройки этого завода отпустить Наркомтяжпрому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сверх уже намеченных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 выделить 1.000 металлорежущих станков, обеспечив для этого завода завоз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соответствующего импортного оборудования, не изготовляемого внутри страны.</w:t>
      </w:r>
    </w:p>
    <w:p w14:paraId="28F11B48" w14:textId="1107EA6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Предложить Наркоктяжпрому при перепроектировке Сибкомбайна для производства на нем текстильных машин обеспечить возможность выпуска на этом заводе, кроме текстильных машин, до 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комбайнов.</w:t>
      </w:r>
    </w:p>
    <w:p w14:paraId="44B06941" w14:textId="46D4BEDE"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Предложить НКТП обеспечить все капитальные работы по заводам текстильного машиностроения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всеми видами материалов и оборудования, взяв их под особое наблюдение Коллегии.</w:t>
      </w:r>
    </w:p>
    <w:p w14:paraId="3EC2C31F" w14:textId="413F311E"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50C4544D" w14:textId="406B6616"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Учитывая, что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Маркса технически наиболее подготовлен к освоению текстильных машин и является основным ведущим заводом по текстильному машиностроению, считать необходимым с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освободить все его основные цеха текстильного машиностроения от спецпроизводства, для чего предложить Наркомтяжпрому:</w:t>
      </w:r>
    </w:p>
    <w:p w14:paraId="16E2F839" w14:textId="2D90AC6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Маркса не позже февраля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закончить во 2</w:t>
      </w:r>
      <w:r w:rsidRPr="00E93F40">
        <w:rPr>
          <w:rFonts w:ascii="Times New Roman" w:hAnsi="Times New Roman"/>
          <w:color w:val="000000" w:themeColor="text1"/>
          <w:sz w:val="16"/>
          <w:szCs w:val="16"/>
        </w:rPr>
        <w:noBreakHyphen/>
        <w:t>й механической мастерской обработку выполняемых ею деталей для подлодок 5</w:t>
      </w:r>
      <w:r w:rsidRPr="00E93F40">
        <w:rPr>
          <w:rFonts w:ascii="Times New Roman" w:hAnsi="Times New Roman"/>
          <w:color w:val="000000" w:themeColor="text1"/>
          <w:sz w:val="16"/>
          <w:szCs w:val="16"/>
        </w:rPr>
        <w:noBreakHyphen/>
        <w:t>й и 6</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серий и после этого полностью переключиться на производство текстильных машин и деталей, использовав для этого все свои цеха и оборудование.</w:t>
      </w:r>
    </w:p>
    <w:p w14:paraId="1C596BEA" w14:textId="6415D9D2"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Союзверфь с 15</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принять от завода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Маркса все заказы по торпедному вооружению, в том числе и для подлодок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бис элеваторам, паро и электрокомпрессорам, ремонту вооружения судов и прочим спецпроизводствам и организовать производство всех этих изделий на своих заводах (на заводе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Марти в Ленинграде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 части надводных аппаратов, толкачи для торпедных катеров и работы котельного характера; на заводе “Судомех”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снарядные элеваторы; на балтийском заводе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арматура высокого давления и на “Петрозаводе”— арматура низкого давления) в кооперации с передаваемыми Союзверфи заводом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Маркса двух мастерских и меднолитейной.</w:t>
      </w:r>
    </w:p>
    <w:p w14:paraId="2D8DB53E" w14:textId="694DF77F"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Обязать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Маркса в целях непрерывности производства вооружения для подлодок, не позднее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передать Союзверфи свои III и IV механические мастерские и меднолитейную со всем оборудованием и личным составом, а также конструкторов занятых спецпроизводством и весь монтажный отдел со всеми филиалами.</w:t>
      </w:r>
    </w:p>
    <w:p w14:paraId="306EDF12" w14:textId="3CE09964"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28707D52" w14:textId="11ACA7F4"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обеспечения трикотажной промышленности чулочными автоматами и ластичными машинами, освоенными уже заводом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Макса Гельца и дальнейшего увеличения их выпуска,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предложить Наркомтяжпрому снять с завода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Макса Гельца спецзаказ для Путиловского завода на 20</w:t>
      </w:r>
      <w:r w:rsidRPr="00E93F40">
        <w:rPr>
          <w:rFonts w:ascii="Times New Roman" w:hAnsi="Times New Roman"/>
          <w:color w:val="000000" w:themeColor="text1"/>
          <w:sz w:val="16"/>
          <w:szCs w:val="16"/>
        </w:rPr>
        <w:noBreakHyphen/>
        <w:t>К и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Макса Тельца спецзаказами не загружать, за исключением имеющегося у него производства взрывателей.</w:t>
      </w:r>
    </w:p>
    <w:p w14:paraId="7E848D13" w14:textId="726AFF6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11. Учитывая, что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Энгельса в Ленинграде является единственным заводом в стране, изготовляющим веретена для прядильных машин,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предложить Наркомтяжпрому освободить 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Энгельса от производства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тракторных клапанов, передав производство их на заводы Ватозапчасти.</w:t>
      </w:r>
    </w:p>
    <w:p w14:paraId="3E250D62" w14:textId="6B4477B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Исходя из намеченной производственной программы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возможностей технического освоения выпуска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новых, еще не изготовлявшихся в стране машин,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предложить Наркомтяжпрому обеспечить выпуск машин и сдачу их на заводах для Средне-Азиатского и Сибирского хлопчатобумажного комбинатов в следующие сроки:</w:t>
      </w:r>
    </w:p>
    <w:p w14:paraId="2E7F4FA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Средне-Азиатского комбината:</w:t>
      </w:r>
    </w:p>
    <w:p w14:paraId="651EA3F6"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машин (комплектно) — к 1.XII.1933 г.</w:t>
      </w:r>
    </w:p>
    <w:p w14:paraId="6384F15A" w14:textId="7AF5B7CA"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 машин (комплектно) — к</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1.II.1934 г.</w:t>
      </w:r>
    </w:p>
    <w:p w14:paraId="7E2BF37E"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машин (комплектно) — к 1.III.1934 г.</w:t>
      </w:r>
    </w:p>
    <w:p w14:paraId="772914E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Сибирского комбината:</w:t>
      </w:r>
    </w:p>
    <w:p w14:paraId="7E137339" w14:textId="51500662"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машин (комплектно) — к</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1.IV.1934 г.</w:t>
      </w:r>
    </w:p>
    <w:p w14:paraId="4B38506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 машин (комплектно) — к 15.VIII.1934 г.</w:t>
      </w:r>
    </w:p>
    <w:p w14:paraId="4A71ABFA" w14:textId="031FA39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машин (комплектно) — к</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1.X.1934 г.</w:t>
      </w:r>
    </w:p>
    <w:p w14:paraId="05DF7BE0" w14:textId="12417D7E"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Принимая во внимание, что намеченная программа по производству текстильных машин и деталей предусматривает необходимость освоения значительного количества новых машин технически очень сложных,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предложить Наркомтруду к Наркомтяжпрому, в целях усиления на предприятиях текстильного машиностроения технического руководства, не позднее 1.XII.1932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мобилизовать и командировать на заводы текстильного машиностроения всех инженерно-технических работников, работавших на заводах текстильного машиностроения до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9A002FC" w14:textId="57A8A8A3"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Учитывая огромное развитие текстильного машиностроения в 1933 и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и необходимость выпуска значительного количества новых машин,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предложить Наркомтяжпрому усилить предприятия текстильного машиностроения оборотными средствами на затраты по освоению новых машин и накоплению незавершенного производства и материальных ценностей, применительно к установленной по заводам текстильного машиностроения производственной программе.</w:t>
      </w:r>
    </w:p>
    <w:p w14:paraId="3A9F69BE" w14:textId="28A22429"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Предложить Наркомтяжпрому передать Наркомлегпрому для усиления его производственной базы по ремонту текстильных машин и производства немассовых детален Истинский завод в Старожилове, завод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в Москве к 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 Союзтекстильмашины в Вычуге и “Профинтерн” в Гусь-Хрустальном.</w:t>
      </w:r>
    </w:p>
    <w:p w14:paraId="10A882F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Наркомтяжпрому и Наркомлегпрому разработать в 2</w:t>
      </w:r>
      <w:r w:rsidRPr="00E93F40">
        <w:rPr>
          <w:rFonts w:ascii="Times New Roman" w:hAnsi="Times New Roman"/>
          <w:color w:val="000000" w:themeColor="text1"/>
          <w:sz w:val="16"/>
          <w:szCs w:val="16"/>
        </w:rPr>
        <w:noBreakHyphen/>
        <w:t>месячный срок вопрос о расширении ремонтной базы Наркомлегпрома по текстильной промышленности путем расширения ее укомплектования соответствующим оборудованием.</w:t>
      </w:r>
    </w:p>
    <w:p w14:paraId="2BB497D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Придавая делу текстильного машиностроения огромное политическо-хозяйственное значение, ЦК предлагает всем партийным, профессиональным, советским, общественным и хозяйственным организациям оказывать заводам текстильного машиностроения максимальную помощь в выполнении ими своих задач. Особое внимание уделить усилению на предприятиях технического и хозяйственного руководства.</w:t>
      </w:r>
    </w:p>
    <w:p w14:paraId="4A310A36" w14:textId="27FA5EBB" w:rsidR="00FE576A" w:rsidRPr="00E93F40" w:rsidRDefault="00FE576A" w:rsidP="00E93F40">
      <w:pPr>
        <w:spacing w:after="0" w:line="240" w:lineRule="auto"/>
        <w:jc w:val="both"/>
        <w:rPr>
          <w:rFonts w:ascii="Times New Roman" w:hAnsi="Times New Roman"/>
          <w:color w:val="000000" w:themeColor="text1"/>
          <w:sz w:val="16"/>
          <w:szCs w:val="16"/>
        </w:rPr>
      </w:pPr>
      <w:bookmarkStart w:id="47" w:name="p1"/>
      <w:bookmarkEnd w:id="47"/>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p>
    <w:p w14:paraId="566198E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Список и календарные сроки снятия с заводов Союзтекстильмашины нетекстильных производств.</w:t>
      </w:r>
    </w:p>
    <w:p w14:paraId="793497BB" w14:textId="766116F4"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Карла Маркса.</w:t>
      </w:r>
    </w:p>
    <w:p w14:paraId="71ADE6C1" w14:textId="6BC69F73"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Снимается с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77A63D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мялки 17 парвальные;</w:t>
      </w:r>
    </w:p>
    <w:p w14:paraId="6D54EDF8"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крановые тележки;</w:t>
      </w:r>
    </w:p>
    <w:p w14:paraId="6E3A2C2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тракторные части и детали и</w:t>
      </w:r>
    </w:p>
    <w:p w14:paraId="48BC5464" w14:textId="77615D5C"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спецпроизводство для торпедного вооружения во 2</w:t>
      </w:r>
      <w:r w:rsidRPr="00E93F40">
        <w:rPr>
          <w:rFonts w:ascii="Times New Roman" w:hAnsi="Times New Roman"/>
          <w:color w:val="000000" w:themeColor="text1"/>
          <w:sz w:val="16"/>
          <w:szCs w:val="16"/>
        </w:rPr>
        <w:noBreakHyphen/>
        <w:t>й механической 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7BFE6F25" w14:textId="07E279AC"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 Климовский.</w:t>
      </w:r>
    </w:p>
    <w:p w14:paraId="6AFAD114" w14:textId="5AD3F735"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Снижается с 1 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3333E92C"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мялки, трясилки и швинг-турбины для льна.</w:t>
      </w:r>
    </w:p>
    <w:p w14:paraId="69850F07" w14:textId="0714FC1D"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Зарод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Киселева в Иваново-Вознесенске.</w:t>
      </w:r>
    </w:p>
    <w:p w14:paraId="309E7BC6" w14:textId="6F223C35"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Снимается 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4AFF3AEA"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торфяные машины;</w:t>
      </w:r>
    </w:p>
    <w:p w14:paraId="3C83F0A2" w14:textId="5A53BBC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химическая аппаратура печи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аппарата Линде и химические центрифуги;</w:t>
      </w:r>
    </w:p>
    <w:p w14:paraId="2CB35796"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тракторные детали.</w:t>
      </w:r>
    </w:p>
    <w:p w14:paraId="7733DC12" w14:textId="2074C0B3"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 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Pr="00E93F40">
        <w:rPr>
          <w:rFonts w:ascii="Times New Roman" w:hAnsi="Times New Roman"/>
          <w:color w:val="000000" w:themeColor="text1"/>
          <w:sz w:val="16"/>
          <w:szCs w:val="16"/>
        </w:rPr>
        <w:noBreakHyphen/>
        <w:t>го августа в Москве.</w:t>
      </w:r>
    </w:p>
    <w:p w14:paraId="1B8EA2CA" w14:textId="0B2AD9AC"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Снимается 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4A07E9C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цепи Галля и</w:t>
      </w:r>
    </w:p>
    <w:p w14:paraId="2CA0AC06"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тракторные детали.</w:t>
      </w:r>
    </w:p>
    <w:p w14:paraId="2AF41A27" w14:textId="6D9D759C"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 в Орле имени Рыкова.</w:t>
      </w:r>
    </w:p>
    <w:p w14:paraId="719C17F1" w14:textId="4CEA0EC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Снимается 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C4F673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а)мялки;</w:t>
      </w:r>
    </w:p>
    <w:p w14:paraId="5D37B41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трясилки;</w:t>
      </w:r>
    </w:p>
    <w:p w14:paraId="3D05EED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швинг-турбины для пеньки и</w:t>
      </w:r>
    </w:p>
    <w:p w14:paraId="27A979D1" w14:textId="4614E0BF"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куделеочистительные, которые снимаются 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2BB2FF20"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снимаются на заводах не входящих в Союзтекстильмашину:</w:t>
      </w:r>
    </w:p>
    <w:p w14:paraId="0CF22AF2" w14:textId="32CBE1A1"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заводу имени Энгельса в Ленинграде с 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клапана для тракторов.</w:t>
      </w:r>
    </w:p>
    <w:p w14:paraId="416641DB" w14:textId="38A45C68"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заводу имени Макса Гельца спецзаказ для завода “Красный Путиловец” с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AF95464" w14:textId="218C58B4" w:rsidR="00FE576A" w:rsidRPr="00E93F40" w:rsidRDefault="00FE576A" w:rsidP="00E93F40">
      <w:pPr>
        <w:spacing w:after="0" w:line="240" w:lineRule="auto"/>
        <w:jc w:val="both"/>
        <w:rPr>
          <w:rFonts w:ascii="Times New Roman" w:hAnsi="Times New Roman"/>
          <w:color w:val="000000" w:themeColor="text1"/>
          <w:sz w:val="16"/>
          <w:szCs w:val="16"/>
        </w:rPr>
      </w:pPr>
      <w:bookmarkStart w:id="48" w:name="p2"/>
      <w:bookmarkEnd w:id="48"/>
      <w:r w:rsidRPr="00E93F40">
        <w:rPr>
          <w:rFonts w:ascii="Times New Roman" w:hAnsi="Times New Roman"/>
          <w:color w:val="000000" w:themeColor="text1"/>
          <w:sz w:val="16"/>
          <w:szCs w:val="16"/>
        </w:rPr>
        <w:t>Приложение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w:t>
      </w:r>
    </w:p>
    <w:p w14:paraId="1A272E09" w14:textId="7B596703"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 текстильных машин и деталей в 1933 и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на заводах Наркомтяжпрома.</w:t>
      </w:r>
    </w:p>
    <w:p w14:paraId="6C1DE177" w14:textId="1F586B72"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7068"/>
        <w:gridCol w:w="1367"/>
        <w:gridCol w:w="1367"/>
        <w:gridCol w:w="1520"/>
      </w:tblGrid>
      <w:tr w:rsidR="00DA227A" w:rsidRPr="00E93F40" w14:paraId="2086AB8C"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515F760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00F02" w14:textId="18BCCBC5"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CB476" w14:textId="04064C5E"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412EC" w14:textId="6ED2332B"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tc>
      </w:tr>
      <w:tr w:rsidR="00DA227A" w:rsidRPr="00E93F40" w14:paraId="2FBE479A"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696FDC18" w14:textId="3398067B"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Маркся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B747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EBFD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3263A"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41.500</w:t>
            </w:r>
          </w:p>
        </w:tc>
      </w:tr>
      <w:tr w:rsidR="00DA227A" w:rsidRPr="00E93F40" w14:paraId="1CF70154"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31CDB23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Климовский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9D413"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9A150"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E4DA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26.400</w:t>
            </w:r>
          </w:p>
        </w:tc>
      </w:tr>
      <w:tr w:rsidR="00DA227A" w:rsidRPr="00E93F40" w14:paraId="1A1D9CFD"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4AFAA35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Пресненский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8564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2EBA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794A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18.100</w:t>
            </w:r>
          </w:p>
        </w:tc>
      </w:tr>
      <w:tr w:rsidR="00DA227A" w:rsidRPr="00E93F40" w14:paraId="3A008B68"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7D1C47BC" w14:textId="4E9A96A9"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Киселева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8EF7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82903"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A1E13"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9.800</w:t>
            </w:r>
          </w:p>
        </w:tc>
      </w:tr>
      <w:tr w:rsidR="00DA227A" w:rsidRPr="00E93F40" w14:paraId="381E5FA2"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41F0D9B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Шуйский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D1F8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EE33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FB42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r>
      <w:tr w:rsidR="00DA227A" w:rsidRPr="00E93F40" w14:paraId="438891C0"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0047972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Вичугский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F849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DAC1C"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0729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4.600</w:t>
            </w:r>
          </w:p>
        </w:tc>
      </w:tr>
      <w:tr w:rsidR="00DA227A" w:rsidRPr="00E93F40" w14:paraId="7BD3145C"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694C417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Орловский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9A1A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BF29E"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7548A"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14.300</w:t>
            </w:r>
          </w:p>
        </w:tc>
      </w:tr>
      <w:tr w:rsidR="00DA227A" w:rsidRPr="00E93F40" w14:paraId="7A633657"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6BC112A4" w14:textId="6CFD6C74"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августа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51C48"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AD5FE"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30F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DA227A" w:rsidRPr="00E93F40" w14:paraId="37AEB7EA"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4B2893CD" w14:textId="32BC7D5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в Ленинграде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B0466"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4B09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794A8"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5.700</w:t>
            </w:r>
          </w:p>
        </w:tc>
      </w:tr>
      <w:tr w:rsidR="00DA227A" w:rsidRPr="00E93F40" w14:paraId="3CAB6A20"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44D25F67" w14:textId="61C50F2B"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2D2A0"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726A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2CF6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r>
      <w:tr w:rsidR="00DA227A" w:rsidRPr="00E93F40" w14:paraId="3D8F36BF"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171320F3"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заводам Союзсекстильмашины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3BD2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C67D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7B74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135.000</w:t>
            </w:r>
          </w:p>
        </w:tc>
      </w:tr>
      <w:tr w:rsidR="00DA227A" w:rsidRPr="00E93F40" w14:paraId="6C94A45D"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3A342550" w14:textId="433EB64D"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 в Ленинграде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8456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C5ED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FE5E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20.000</w:t>
            </w:r>
          </w:p>
        </w:tc>
      </w:tr>
      <w:tr w:rsidR="00DA227A" w:rsidRPr="00E93F40" w14:paraId="7F287001"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1D7279F3" w14:textId="73DEFF89"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Энгельса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D23FC"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6A0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E643"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12.000</w:t>
            </w:r>
          </w:p>
        </w:tc>
      </w:tr>
      <w:tr w:rsidR="00DA227A" w:rsidRPr="00E93F40" w14:paraId="62A22D81"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4D5DC422" w14:textId="7E3C2B66"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Гельца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A2A3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3307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80C7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r>
      <w:tr w:rsidR="00DA227A" w:rsidRPr="00E93F40" w14:paraId="40E9DC02"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02B8A1A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Путиловский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D695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E1B6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CFF45"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73D0D5CE"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66AA0AFF" w14:textId="463B519F"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Ленина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4C36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966C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83BF5"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r>
      <w:tr w:rsidR="00DA227A" w:rsidRPr="00E93F40" w14:paraId="1AF6FFB6"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2DA73BB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Киевский Красный Арсенал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9EFD0"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1B15E"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E1C78"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r>
      <w:tr w:rsidR="00DA227A" w:rsidRPr="00E93F40" w14:paraId="6057C9EB"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10BCB3F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Подольский завод Всесчетшвеймаш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11C8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0C61A"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CC9D5"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r>
      <w:tr w:rsidR="00DA227A" w:rsidRPr="00E93F40" w14:paraId="0F9A3F3A"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22EA188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Тульский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C034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6ADE3"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990F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21.000</w:t>
            </w:r>
          </w:p>
        </w:tc>
      </w:tr>
      <w:tr w:rsidR="00DA227A" w:rsidRPr="00E93F40" w14:paraId="320AFFC8"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2B78471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прочим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C584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49A7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6201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64.500</w:t>
            </w:r>
          </w:p>
        </w:tc>
      </w:tr>
      <w:tr w:rsidR="00DA227A" w:rsidRPr="00E93F40" w14:paraId="517AE305"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6B03702C"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по всем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343F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4326C"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80.З00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60A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199.500</w:t>
            </w:r>
          </w:p>
        </w:tc>
      </w:tr>
    </w:tbl>
    <w:p w14:paraId="72640B2F" w14:textId="478177BF" w:rsidR="00FE576A" w:rsidRPr="00E93F40" w:rsidRDefault="00FE576A" w:rsidP="00E93F40">
      <w:pPr>
        <w:spacing w:after="0" w:line="240" w:lineRule="auto"/>
        <w:jc w:val="both"/>
        <w:rPr>
          <w:rFonts w:ascii="Times New Roman" w:hAnsi="Times New Roman"/>
          <w:color w:val="000000" w:themeColor="text1"/>
          <w:sz w:val="16"/>
          <w:szCs w:val="16"/>
        </w:rPr>
      </w:pPr>
      <w:bookmarkStart w:id="49" w:name="p3"/>
      <w:bookmarkEnd w:id="49"/>
      <w:r w:rsidRPr="00E93F40">
        <w:rPr>
          <w:rFonts w:ascii="Times New Roman" w:hAnsi="Times New Roman"/>
          <w:color w:val="000000" w:themeColor="text1"/>
          <w:sz w:val="16"/>
          <w:szCs w:val="16"/>
        </w:rPr>
        <w:t>Приложение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w:t>
      </w:r>
    </w:p>
    <w:p w14:paraId="030E0F2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Потребные капиталовложения для развертывания текстильного машиностроения на заводах Наркомтяжпрома</w:t>
      </w:r>
    </w:p>
    <w:p w14:paraId="4D67EF0F" w14:textId="242DA04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941"/>
        <w:gridCol w:w="6339"/>
        <w:gridCol w:w="4042"/>
      </w:tblGrid>
      <w:tr w:rsidR="00DA227A" w:rsidRPr="00E93F40" w14:paraId="75C7A7B5"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274AEC8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0605B2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66AF3"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1961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Затраты, требуемые</w:t>
            </w:r>
          </w:p>
          <w:p w14:paraId="0037BFD9" w14:textId="63FABADF"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w:t>
            </w:r>
          </w:p>
        </w:tc>
      </w:tr>
      <w:tr w:rsidR="00DA227A" w:rsidRPr="00E93F40" w14:paraId="4614BEB7"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0779B1F9"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D543A" w14:textId="04A3A253"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52CC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r>
      <w:tr w:rsidR="00DA227A" w:rsidRPr="00E93F40" w14:paraId="483E2662"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24E5513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88F0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Климовский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4E62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7D47A648"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13534AA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2D1D5"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Пресненский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8E64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tc>
      </w:tr>
      <w:tr w:rsidR="00DA227A" w:rsidRPr="00E93F40" w14:paraId="3F983958"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40C30C98"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7078D" w14:textId="3DF2EFAC"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96805"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r>
      <w:tr w:rsidR="00DA227A" w:rsidRPr="00E93F40" w14:paraId="36020456"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4DDCC148"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FB89B" w14:textId="3498C336"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9D6CC"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1772FFDA"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066D21E0"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93E8E" w14:textId="77BB0DD8"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9F8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r>
      <w:tr w:rsidR="00DA227A" w:rsidRPr="00E93F40" w14:paraId="751C8FBC"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31CE0BF0"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CC370" w14:textId="5EDF6A0B"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283F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0,4</w:t>
            </w:r>
          </w:p>
        </w:tc>
      </w:tr>
      <w:tr w:rsidR="00DA227A" w:rsidRPr="00E93F40" w14:paraId="0FBDEEFC"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63C321AC"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F9F6C" w14:textId="04EE849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3C73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r>
      <w:tr w:rsidR="00DA227A" w:rsidRPr="00E93F40" w14:paraId="0070D9AE"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0485EBE7"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7B2CB" w14:textId="5DB83021"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2E03A"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w:t>
            </w:r>
          </w:p>
        </w:tc>
      </w:tr>
      <w:tr w:rsidR="00DA227A" w:rsidRPr="00E93F40" w14:paraId="21DF653C"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045B9C1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EDFF7" w14:textId="48F684C0"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2D703"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0,4</w:t>
            </w:r>
          </w:p>
        </w:tc>
      </w:tr>
      <w:tr w:rsidR="00DA227A" w:rsidRPr="00E93F40" w14:paraId="00AAA0B9"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123B6BC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2F8AE"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объединению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AEBF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r>
      <w:tr w:rsidR="00DA227A" w:rsidRPr="00E93F40" w14:paraId="43A2DC7E"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2CE48BB6" w14:textId="6DF76157" w:rsidR="00FE576A"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088ED" w14:textId="45BF5B4D"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Союзтекстильмашине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1E03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40,5</w:t>
            </w:r>
          </w:p>
        </w:tc>
      </w:tr>
      <w:tr w:rsidR="00DA227A" w:rsidRPr="00E93F40" w14:paraId="04CEA338"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59F1B10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2336A" w14:textId="51E66A4F"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B2E5E"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r>
      <w:tr w:rsidR="00DA227A" w:rsidRPr="00E93F40" w14:paraId="32B37C99"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0658515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65B9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38A0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22966A05"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2ABFC0B1"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0083E" w14:textId="1FFF8BCE"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Энгельса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8E002"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tc>
      </w:tr>
      <w:tr w:rsidR="00DA227A" w:rsidRPr="00E93F40" w14:paraId="429BFA7D"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7F6E0B9E"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0A961" w14:textId="00F5B923"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Гельца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EC72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r>
      <w:tr w:rsidR="00DA227A" w:rsidRPr="00E93F40" w14:paraId="4566BCA5"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74E571E3" w14:textId="4A4508C7" w:rsidR="00FE576A"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F018F"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по другим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B9A98"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w:t>
            </w:r>
          </w:p>
        </w:tc>
      </w:tr>
      <w:tr w:rsidR="00DA227A" w:rsidRPr="00E93F40" w14:paraId="44E8F124"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115FD080" w14:textId="0F1BA3AE" w:rsidR="00FE576A"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E67B6"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D8736"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50,6</w:t>
            </w:r>
          </w:p>
        </w:tc>
      </w:tr>
      <w:tr w:rsidR="00DA227A" w:rsidRPr="00E93F40" w14:paraId="785E747F"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3777D9B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7B040"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Сибкомбайн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14344"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r>
      <w:tr w:rsidR="00DA227A" w:rsidRPr="00E93F40" w14:paraId="58BC2093" w14:textId="77777777" w:rsidTr="001F390E">
        <w:tc>
          <w:tcPr>
            <w:tcW w:w="0" w:type="auto"/>
            <w:tcBorders>
              <w:top w:val="outset" w:sz="6" w:space="0" w:color="auto"/>
              <w:left w:val="outset" w:sz="6" w:space="0" w:color="auto"/>
              <w:bottom w:val="outset" w:sz="6" w:space="0" w:color="auto"/>
              <w:right w:val="outset" w:sz="6" w:space="0" w:color="auto"/>
            </w:tcBorders>
            <w:vAlign w:val="center"/>
            <w:hideMark/>
          </w:tcPr>
          <w:p w14:paraId="5AA82272" w14:textId="1CEFC07D" w:rsidR="00FE576A"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E686B"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 с Сибкомбайном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8DE7D"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75,6</w:t>
            </w:r>
          </w:p>
        </w:tc>
      </w:tr>
    </w:tbl>
    <w:p w14:paraId="443A85F6" w14:textId="77777777" w:rsidR="00FE576A" w:rsidRPr="00E93F40" w:rsidRDefault="00FE576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(18137).</w:t>
      </w:r>
    </w:p>
    <w:p w14:paraId="1432110D" w14:textId="77777777" w:rsidR="00FE576A" w:rsidRPr="00E93F40" w:rsidRDefault="00FE576A" w:rsidP="00E93F40">
      <w:pPr>
        <w:spacing w:after="0" w:line="240" w:lineRule="auto"/>
        <w:jc w:val="both"/>
        <w:rPr>
          <w:rFonts w:ascii="Times New Roman" w:hAnsi="Times New Roman"/>
          <w:color w:val="000000" w:themeColor="text1"/>
          <w:sz w:val="16"/>
          <w:szCs w:val="16"/>
        </w:rPr>
      </w:pPr>
    </w:p>
    <w:p w14:paraId="5FC4DBAA"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13 ноября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122. 11. О строительстве судостроительного завода в ДВК (ПБ от 16 октября 1932 г., пр. № 119, п. 6) (Орджоникидзе, Павлуновский). — ОП. 146. О производстве вооружения на заводе К. Маркса (ПБ от 23 октября 1932 г., пр. № 120, п. 13) (Каганович М., Орджоникидзе, Сталин и др.). — ОП. 19. О реконструкции уральских металлургических заводов (ПБ от 1 апреля 1932 г., пр. № 94, п. 8). Опросом членов ПБ: от 4 ноября 1932 г. 38/14. О техпомощи по строительству морских судов. — ОП. Постановили: а) считать необходимым привлечение иностранной технической помощи по проектированию и постройке на наших заводах больших и средних быстроходных подводных лодок (600?700 и 1?1,2 тыс. т водоизмещения), эсминцев-лидеров (3 тыс. т водоизмещения) и средних крейсеров (5?6?7 тыс. т водоизмещения); б) немедленно командировать в Германию т. Сивкова, Ораса и Перегрудова от НКВМ и т. Никитина от НКТП для переговоров с фирмой IVS с целью выяснения конкретных условий получения техпомощи по проектированию и постройке подлодок на заводах СССР; в) поручить этой же группе ознакомиться с германскими заводами, производящими мощные дизели, электрооборудование и другие механизмы для подлодок, выяснить все условия получения техпомощи по постановке производства в СССР тех агрегатов и механизмов, которые являются особо важными и наиболее трудными для нашего подводного судостроения, связав эти переговоры с заключением договора о техпомощи и по строительству судов; г) руководство группой возложить на т. Сивкова. Предложить т. Хинчуку и Вейцеру оказать т. Сивкову и его группе полное содействие; д) одновременно пригласить в Москву представителей итальянских судостроительных фирм (Монфальконе, Франко-Този, Ансальдо, Адриатические Верфи) с целью окончательных переговоров о приобретении проектов и техпомощи для постройки на заводах СССР эсминцев-лидеров и средних крейсеров, а также — в случае неудачи переговоров в Германии — и подлодок различного тоннажа. Поручить т. Сивкову из Берлина предварительно согласовать с указанными итальянскими фирмами все вопросы, которые должны быть с ними рассмотрены в Москве; е) т. Сивкову возможно чаще информировать НКВМ о ходе переговоров; от 6 ноября 1932 г. 53/29. О заявках НКВМора на предметы военно-хозяйственного снабжения (ПБ от 10 июля 1932 г., пр. № 107, п. 20); от 10 ноября 1932 г. 58/34. О жести и олове для консервной промышленности Наркомснаба. — ОП. 59/35. О Всесоюзном съезде по вопросам технической реконструкции дела связи и развития слаботочной промышленности. (Политбюро... Т. 2. С. 369, 370, 371; РГАСПИ. Ф. 17. Оп. 162. Д. 14. Л. 4). Приложения: к п. 11. Постановление ЦК ВКП(б) от 13 ноября 1932 г. по докладу Наркомтяжпрома о развитии Амурского судостроительного завода; к п. 14. Постановление ЦК ВКП(б) от 13 ноября 1932 г. о развертывании текстильного машиностроения. (РГАСПИ. Ф. 17. Оп. 162. Д. 14. Л. 11, 12) (12416).</w:t>
      </w:r>
    </w:p>
    <w:p w14:paraId="1E2BEE96"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50E97EB4"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13 ноября 1932 состоялось заседание ПБ (Протокол № 122) </w:t>
      </w:r>
    </w:p>
    <w:p w14:paraId="28AEA72B"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 строительстве судостроительного завода в ДВК</w:t>
      </w:r>
    </w:p>
    <w:p w14:paraId="4F4FE60D"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16.Х.32 г., пр. № 119, п. 6).</w:t>
      </w:r>
    </w:p>
    <w:p w14:paraId="47395ADC"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Орджоникидзе, Павлуновский).</w:t>
      </w:r>
    </w:p>
    <w:p w14:paraId="7E5F9777"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проект постановления, внесенный т. Орджоникид</w:t>
      </w:r>
      <w:r w:rsidRPr="00E93F40">
        <w:rPr>
          <w:rFonts w:ascii="Times New Roman" w:hAnsi="Times New Roman"/>
          <w:color w:val="000000" w:themeColor="text1"/>
          <w:sz w:val="16"/>
          <w:szCs w:val="16"/>
        </w:rPr>
        <w:softHyphen/>
        <w:t>зе (см. приложение о.п.).</w:t>
      </w:r>
    </w:p>
    <w:p w14:paraId="34429F80"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Каттелю, Бергавинову, Керженцеву - все; Розенгольцу - 14.</w:t>
      </w:r>
    </w:p>
    <w:p w14:paraId="7AEDC14C"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ЦЕНТРАЛЬНОГО КОМИТЕТА ВКП(б) от 13.Х1.32 г.</w:t>
      </w:r>
    </w:p>
    <w:p w14:paraId="0E1D6B9C"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ДОКЛАДУ – ПО НАРКОМТЯЖРОМА О РАЗВИТИИ МОРСКОГО СУДОСТРОЕНИЯ</w:t>
      </w:r>
    </w:p>
    <w:p w14:paraId="19B601D6"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Утвердить плановое задание для проектирования Амур</w:t>
      </w:r>
      <w:r w:rsidRPr="00E93F40">
        <w:rPr>
          <w:rFonts w:ascii="Times New Roman" w:hAnsi="Times New Roman"/>
          <w:color w:val="000000" w:themeColor="text1"/>
          <w:sz w:val="16"/>
          <w:szCs w:val="16"/>
        </w:rPr>
        <w:softHyphen/>
        <w:t>ской верфи, предназначенной исключительно для военного су</w:t>
      </w:r>
      <w:r w:rsidRPr="00E93F40">
        <w:rPr>
          <w:rFonts w:ascii="Times New Roman" w:hAnsi="Times New Roman"/>
          <w:color w:val="000000" w:themeColor="text1"/>
          <w:sz w:val="16"/>
          <w:szCs w:val="16"/>
        </w:rPr>
        <w:softHyphen/>
        <w:t>достроения. Мощность верфи определяется годовым выпуском:</w:t>
      </w:r>
    </w:p>
    <w:p w14:paraId="76713120"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больших подлодок,</w:t>
      </w:r>
    </w:p>
    <w:p w14:paraId="6F769647"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эсминца типа Лидер и</w:t>
      </w:r>
    </w:p>
    <w:p w14:paraId="33701329"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крейсера до 6000 тн. при двух стапелях для одновременной постройки.</w:t>
      </w:r>
    </w:p>
    <w:p w14:paraId="6D9BDEFD"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Установить следующие сроки строительства и пуска предприятий:</w:t>
      </w:r>
    </w:p>
    <w:p w14:paraId="0FC67A9C"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1.1Х.34 г. - готовность сооружений первой очереди для закладки 2-х больших подлодок и 2-х лидеров.</w:t>
      </w:r>
    </w:p>
    <w:p w14:paraId="4C5A7F53"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1.УП.35 г. - полная готовность 2-й очереди цехов и гидротехнических сооружений для спуска судов.</w:t>
      </w:r>
    </w:p>
    <w:p w14:paraId="46D36606"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1.1Х.35Г. - готовность стапелей для крейсеров всех промышленных цехов, а также жилищно-бытового фонда.</w:t>
      </w:r>
    </w:p>
    <w:p w14:paraId="36FDC9F9"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Программа закладки и выпуска судов с Амурского завода установись:</w:t>
      </w:r>
    </w:p>
    <w:p w14:paraId="413A2E79"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1.IX.34 г. - закладка двух подлодок, двух лидеров.</w:t>
      </w:r>
    </w:p>
    <w:p w14:paraId="7015A9B4"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1.1Х.35 г. - выпуск двух подлодок, закладка четырех подлодок и двух лидеров.</w:t>
      </w:r>
    </w:p>
    <w:p w14:paraId="0A1C3EC1"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1.УП.36 г. - выпуск двух лидеров, закладка двух крейсеров.</w:t>
      </w:r>
    </w:p>
    <w:p w14:paraId="78A01600"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Предложить Наркомвнешторгу СССР под ответствен</w:t>
      </w:r>
      <w:r w:rsidRPr="00E93F40">
        <w:rPr>
          <w:rFonts w:ascii="Times New Roman" w:hAnsi="Times New Roman"/>
          <w:color w:val="000000" w:themeColor="text1"/>
          <w:sz w:val="16"/>
          <w:szCs w:val="16"/>
        </w:rPr>
        <w:softHyphen/>
        <w:t>ность тов. Розенгольца, разместить за границей заказы Дальпромстроя на изготовление и поставку не позднее 1-го мар</w:t>
      </w:r>
      <w:r w:rsidRPr="00E93F40">
        <w:rPr>
          <w:rFonts w:ascii="Times New Roman" w:hAnsi="Times New Roman"/>
          <w:color w:val="000000" w:themeColor="text1"/>
          <w:sz w:val="16"/>
          <w:szCs w:val="16"/>
        </w:rPr>
        <w:softHyphen/>
        <w:t>та 1933 года:</w:t>
      </w:r>
    </w:p>
    <w:p w14:paraId="3078FE6E"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землечерпательный караван с рефулерным устройством мощностью 250 куб.мтр.в час;</w:t>
      </w:r>
    </w:p>
    <w:p w14:paraId="2CC58253"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буксиров 200-250 сил - 3 шт.;</w:t>
      </w:r>
    </w:p>
    <w:p w14:paraId="3025851E"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4-х кубовых экскаваторов - 2 шт.;</w:t>
      </w:r>
    </w:p>
    <w:p w14:paraId="2A709702"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Кранов гусеничных 15-ти тонных - 2 шт.;</w:t>
      </w:r>
    </w:p>
    <w:p w14:paraId="3C5DE9AA"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выделить на 1933 г. в распоряжение начальника Дальпромстроя ежемесячный контингент в магазинах Торгсина на 5.000 р. для обеспечения промтоварами семей высококвалифи</w:t>
      </w:r>
      <w:r w:rsidRPr="00E93F40">
        <w:rPr>
          <w:rFonts w:ascii="Times New Roman" w:hAnsi="Times New Roman"/>
          <w:color w:val="000000" w:themeColor="text1"/>
          <w:sz w:val="16"/>
          <w:szCs w:val="16"/>
        </w:rPr>
        <w:softHyphen/>
        <w:t>цированных специалистов, работающих на стооительстве;</w:t>
      </w:r>
    </w:p>
    <w:p w14:paraId="79D9F299"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выделить в распоряжение начальника строительства аварийный фонд в размере 25.000 р. (валютой) с правом заказа без лицензий в Японии и в Харбине строймеханизмов, инструмен</w:t>
      </w:r>
      <w:r w:rsidRPr="00E93F40">
        <w:rPr>
          <w:rFonts w:ascii="Times New Roman" w:hAnsi="Times New Roman"/>
          <w:color w:val="000000" w:themeColor="text1"/>
          <w:sz w:val="16"/>
          <w:szCs w:val="16"/>
        </w:rPr>
        <w:softHyphen/>
        <w:t>тов, запасных частей строймеханизмов и проч.;</w:t>
      </w:r>
    </w:p>
    <w:p w14:paraId="393CE19A"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разместить за границей заказы на оборудование Амур</w:t>
      </w:r>
      <w:r w:rsidRPr="00E93F40">
        <w:rPr>
          <w:rFonts w:ascii="Times New Roman" w:hAnsi="Times New Roman"/>
          <w:color w:val="000000" w:themeColor="text1"/>
          <w:sz w:val="16"/>
          <w:szCs w:val="16"/>
        </w:rPr>
        <w:softHyphen/>
        <w:t>ского судостроительного завода на сумму 1.300.000 р., инстру</w:t>
      </w:r>
      <w:r w:rsidRPr="00E93F40">
        <w:rPr>
          <w:rFonts w:ascii="Times New Roman" w:hAnsi="Times New Roman"/>
          <w:color w:val="000000" w:themeColor="text1"/>
          <w:sz w:val="16"/>
          <w:szCs w:val="16"/>
        </w:rPr>
        <w:softHyphen/>
        <w:t>мента на 100.000 т.р. с поставкой во П-м квартале 1933 г.</w:t>
      </w:r>
    </w:p>
    <w:p w14:paraId="6FA79AE6"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14.-а) Об оборудовании для текстильной промышленности.</w:t>
      </w:r>
    </w:p>
    <w:p w14:paraId="0BEE4E1D"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 производстве вооружения на заводе К.Маркса.</w:t>
      </w:r>
    </w:p>
    <w:p w14:paraId="50375905"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23.Х.32 г.,пр. № 120, п.13).</w:t>
      </w:r>
    </w:p>
    <w:p w14:paraId="765EEE47"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Каганович М., Орджоникидзе, Сталин, Любимов, Киров).</w:t>
      </w:r>
    </w:p>
    <w:p w14:paraId="32E8155A"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Принять проект постановления, внесенный комиссией т. Кагановича М., с поправкой т. Любимова о передаче в НКЛПром двух заводов из системы Главмашстроя (см.приложение о.п.).</w:t>
      </w:r>
    </w:p>
    <w:p w14:paraId="0C87E568"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к п. 14 оп прот. ПБ № 122</w:t>
      </w:r>
    </w:p>
    <w:p w14:paraId="547873BD"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Учитывая,что завод им. К.Маркса технически наиболее под</w:t>
      </w:r>
      <w:r w:rsidRPr="00E93F40">
        <w:rPr>
          <w:rFonts w:ascii="Times New Roman" w:hAnsi="Times New Roman"/>
          <w:color w:val="000000" w:themeColor="text1"/>
          <w:sz w:val="16"/>
          <w:szCs w:val="16"/>
        </w:rPr>
        <w:softHyphen/>
        <w:t>готовлен к освоению текстильных машин и является основным веду</w:t>
      </w:r>
      <w:r w:rsidRPr="00E93F40">
        <w:rPr>
          <w:rFonts w:ascii="Times New Roman" w:hAnsi="Times New Roman"/>
          <w:color w:val="000000" w:themeColor="text1"/>
          <w:sz w:val="16"/>
          <w:szCs w:val="16"/>
        </w:rPr>
        <w:softHyphen/>
        <w:t>щим заводом по текстильному машиностроению, считать необходи</w:t>
      </w:r>
      <w:r w:rsidRPr="00E93F40">
        <w:rPr>
          <w:rFonts w:ascii="Times New Roman" w:hAnsi="Times New Roman"/>
          <w:color w:val="000000" w:themeColor="text1"/>
          <w:sz w:val="16"/>
          <w:szCs w:val="16"/>
        </w:rPr>
        <w:softHyphen/>
        <w:t>мым с 1933 г. освободить все его основные цеха текстильного машиностроения от спецпроизводства, для чего предложить Нарком- тяжпрому:</w:t>
      </w:r>
    </w:p>
    <w:p w14:paraId="2BFCF2E7"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завод им. К. Маркса нс позже февраля 1933 года закончить во 2-й механической мастерской обработку выполняе</w:t>
      </w:r>
      <w:r w:rsidRPr="00E93F40">
        <w:rPr>
          <w:rFonts w:ascii="Times New Roman" w:hAnsi="Times New Roman"/>
          <w:color w:val="000000" w:themeColor="text1"/>
          <w:sz w:val="16"/>
          <w:szCs w:val="16"/>
        </w:rPr>
        <w:softHyphen/>
        <w:t>мых деталей для подлодок 5-й и 6-й серий и после этого полностью переключиться на производство текстильных машин и деталей, использовав для этого все свои цеха и оборудование.</w:t>
      </w:r>
    </w:p>
    <w:p w14:paraId="21FF4835"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Союзверфь с 15-го ноября 1932г. принять от завода им. К. Маркса все заказы по торпедному вооружению, в том числе и для подлодок 5 бис элеваторам, паро и электрокомпрессорам, ремонту вооружения судов и прочим спецпроизводствам и организовать производство всех этих изделий на своих заводах (на зав. Им. Марти в Ленинграде - все части надводных аппаратов, толкачи для торпедных катеров и работы котельного характера; на зав."Судомех" - снарядные элеваторы; на Бал</w:t>
      </w:r>
      <w:r w:rsidRPr="00E93F40">
        <w:rPr>
          <w:rFonts w:ascii="Times New Roman" w:hAnsi="Times New Roman"/>
          <w:color w:val="000000" w:themeColor="text1"/>
          <w:sz w:val="16"/>
          <w:szCs w:val="16"/>
        </w:rPr>
        <w:softHyphen/>
        <w:t>тийском заводе - арматура высокого давления и на "Петрозаводе" - арматура низкого давления) в кооперации с передаваемыми Союзверфи заводом им. К. Маркса двух мастерских и меднолитей</w:t>
      </w:r>
      <w:r w:rsidRPr="00E93F40">
        <w:rPr>
          <w:rFonts w:ascii="Times New Roman" w:hAnsi="Times New Roman"/>
          <w:color w:val="000000" w:themeColor="text1"/>
          <w:sz w:val="16"/>
          <w:szCs w:val="16"/>
        </w:rPr>
        <w:softHyphen/>
        <w:t>ной.</w:t>
      </w:r>
    </w:p>
    <w:p w14:paraId="5981ED3F"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Обязать завод им. К. Маркса в целях непрерывности произ</w:t>
      </w:r>
      <w:r w:rsidRPr="00E93F40">
        <w:rPr>
          <w:rFonts w:ascii="Times New Roman" w:hAnsi="Times New Roman"/>
          <w:color w:val="000000" w:themeColor="text1"/>
          <w:sz w:val="16"/>
          <w:szCs w:val="16"/>
        </w:rPr>
        <w:softHyphen/>
        <w:t>водства вооружения для подлодок, не позднее 15 ноября 1932г. передать Союзверфи свои Ш и 1У механические мастерские и медно-литейную со всем оборудованием и личным составом,а так</w:t>
      </w:r>
      <w:r w:rsidRPr="00E93F40">
        <w:rPr>
          <w:rFonts w:ascii="Times New Roman" w:hAnsi="Times New Roman"/>
          <w:color w:val="000000" w:themeColor="text1"/>
          <w:sz w:val="16"/>
          <w:szCs w:val="16"/>
        </w:rPr>
        <w:softHyphen/>
        <w:t>же конструкторов занятых спецпроизводством и весь монтажный отдел со всеми филиалами.</w:t>
      </w:r>
    </w:p>
    <w:p w14:paraId="68777B7A"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В целях обеспечения трикотажной промышленности чулочны</w:t>
      </w:r>
      <w:r w:rsidRPr="00E93F40">
        <w:rPr>
          <w:rFonts w:ascii="Times New Roman" w:hAnsi="Times New Roman"/>
          <w:color w:val="000000" w:themeColor="text1"/>
          <w:sz w:val="16"/>
          <w:szCs w:val="16"/>
        </w:rPr>
        <w:softHyphen/>
        <w:t>ми автоматами и ластичными машинами, освоенными уже заводом им. Макса Гельца и дальнейшего увеличения их выпуска,-пред</w:t>
      </w:r>
      <w:r w:rsidRPr="00E93F40">
        <w:rPr>
          <w:rFonts w:ascii="Times New Roman" w:hAnsi="Times New Roman"/>
          <w:color w:val="000000" w:themeColor="text1"/>
          <w:sz w:val="16"/>
          <w:szCs w:val="16"/>
        </w:rPr>
        <w:softHyphen/>
        <w:t>ложить Наркомтяжпрому снять с завода им. Макса Гельца спец- заказ для Путиловского завода на 20-К и в 1933г. завод им. Макса Гельца спецзаказами не загружать, за исключением имею</w:t>
      </w:r>
      <w:r w:rsidRPr="00E93F40">
        <w:rPr>
          <w:rFonts w:ascii="Times New Roman" w:hAnsi="Times New Roman"/>
          <w:color w:val="000000" w:themeColor="text1"/>
          <w:sz w:val="16"/>
          <w:szCs w:val="16"/>
        </w:rPr>
        <w:softHyphen/>
        <w:t>щегося у него производства взрывателей.</w:t>
      </w:r>
    </w:p>
    <w:p w14:paraId="4AC8DF3F"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Любимову, Керженцеву, Кагановичу М., Межлауку В.- все; Цихону - из прил. 13.</w:t>
      </w:r>
    </w:p>
    <w:p w14:paraId="17294B42"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ноября 1932 опросом членов ПБ</w:t>
      </w:r>
    </w:p>
    <w:p w14:paraId="2638CE83"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37/13.-Предложение т. Ворошилова.</w:t>
      </w:r>
    </w:p>
    <w:p w14:paraId="6C573F85"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предложение т. Ворошилова об освобождении от наказания следующих работников ВВС РККА: 1) Журав</w:t>
      </w:r>
      <w:r w:rsidRPr="00E93F40">
        <w:rPr>
          <w:rFonts w:ascii="Times New Roman" w:hAnsi="Times New Roman"/>
          <w:color w:val="000000" w:themeColor="text1"/>
          <w:sz w:val="16"/>
          <w:szCs w:val="16"/>
        </w:rPr>
        <w:softHyphen/>
        <w:t>лева М.Н., 2 Кобякина И.Д., 3) Вернигород А.ЕХ 4) Гур</w:t>
      </w:r>
      <w:r w:rsidRPr="00E93F40">
        <w:rPr>
          <w:rFonts w:ascii="Times New Roman" w:hAnsi="Times New Roman"/>
          <w:color w:val="000000" w:themeColor="text1"/>
          <w:sz w:val="16"/>
          <w:szCs w:val="16"/>
        </w:rPr>
        <w:softHyphen/>
        <w:t>кина М.А., 5 Петрова А.С., 6) Карпенко С.Г., 7) Моро</w:t>
      </w:r>
      <w:r w:rsidRPr="00E93F40">
        <w:rPr>
          <w:rFonts w:ascii="Times New Roman" w:hAnsi="Times New Roman"/>
          <w:color w:val="000000" w:themeColor="text1"/>
          <w:sz w:val="16"/>
          <w:szCs w:val="16"/>
        </w:rPr>
        <w:softHyphen/>
        <w:t>зова В.С., 8 Селявко Д.М. и 9) Абухова К.И., осужденных согласно постановления ЦК и СНК "об аварийности в час</w:t>
      </w:r>
      <w:r w:rsidRPr="00E93F40">
        <w:rPr>
          <w:rFonts w:ascii="Times New Roman" w:hAnsi="Times New Roman"/>
          <w:color w:val="000000" w:themeColor="text1"/>
          <w:sz w:val="16"/>
          <w:szCs w:val="16"/>
        </w:rPr>
        <w:softHyphen/>
        <w:t>тях ВВС от 3 июля 1932 г." и восстановлении в рядах пар</w:t>
      </w:r>
      <w:r w:rsidRPr="00E93F40">
        <w:rPr>
          <w:rFonts w:ascii="Times New Roman" w:hAnsi="Times New Roman"/>
          <w:color w:val="000000" w:themeColor="text1"/>
          <w:sz w:val="16"/>
          <w:szCs w:val="16"/>
        </w:rPr>
        <w:softHyphen/>
        <w:t>тии бывших членов партии.</w:t>
      </w:r>
    </w:p>
    <w:p w14:paraId="6A2CB98A"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Керженцеву, Ярославскому, Менжин</w:t>
      </w:r>
      <w:r w:rsidRPr="00E93F40">
        <w:rPr>
          <w:rFonts w:ascii="Times New Roman" w:hAnsi="Times New Roman"/>
          <w:color w:val="000000" w:themeColor="text1"/>
          <w:sz w:val="16"/>
          <w:szCs w:val="16"/>
        </w:rPr>
        <w:softHyphen/>
        <w:t>скому.</w:t>
      </w:r>
    </w:p>
    <w:p w14:paraId="50D6D672"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 /14. - О техпомощи по строительству морских судов.</w:t>
      </w:r>
    </w:p>
    <w:p w14:paraId="5CEDC228"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Считать необходимым привлечение иностранной технической помощи по проектированию и постройке на наших заводах больших и средних быстроходных подвод</w:t>
      </w:r>
      <w:r w:rsidRPr="00E93F40">
        <w:rPr>
          <w:rFonts w:ascii="Times New Roman" w:hAnsi="Times New Roman"/>
          <w:color w:val="000000" w:themeColor="text1"/>
          <w:sz w:val="16"/>
          <w:szCs w:val="16"/>
        </w:rPr>
        <w:softHyphen/>
        <w:t>ных лодок (600-700 и 1.000 - 1.200 тонн водоизмеще</w:t>
      </w:r>
      <w:r w:rsidRPr="00E93F40">
        <w:rPr>
          <w:rFonts w:ascii="Times New Roman" w:hAnsi="Times New Roman"/>
          <w:color w:val="000000" w:themeColor="text1"/>
          <w:sz w:val="16"/>
          <w:szCs w:val="16"/>
        </w:rPr>
        <w:softHyphen/>
        <w:t>ния), эсминцев-лидеров (3.000 тонн водоизмещения) и средних крейсеров (5.000 - 6.000 - 7.000 тонн водо</w:t>
      </w:r>
      <w:r w:rsidRPr="00E93F40">
        <w:rPr>
          <w:rFonts w:ascii="Times New Roman" w:hAnsi="Times New Roman"/>
          <w:color w:val="000000" w:themeColor="text1"/>
          <w:sz w:val="16"/>
          <w:szCs w:val="16"/>
        </w:rPr>
        <w:softHyphen/>
        <w:t>измещения.</w:t>
      </w:r>
    </w:p>
    <w:p w14:paraId="283E6434"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Немедленно командировать в Германию т.т. Сив</w:t>
      </w:r>
      <w:r w:rsidRPr="00E93F40">
        <w:rPr>
          <w:rFonts w:ascii="Times New Roman" w:hAnsi="Times New Roman"/>
          <w:color w:val="000000" w:themeColor="text1"/>
          <w:sz w:val="16"/>
          <w:szCs w:val="16"/>
        </w:rPr>
        <w:softHyphen/>
        <w:t>кова, Ораса и Перегрудова от НКВМ и т. Никитина от НКТП для переговоров с фирмой J</w:t>
      </w:r>
      <w:r w:rsidRPr="00E93F40">
        <w:rPr>
          <w:rFonts w:ascii="Times New Roman" w:hAnsi="Times New Roman"/>
          <w:color w:val="000000" w:themeColor="text1"/>
          <w:sz w:val="16"/>
          <w:szCs w:val="16"/>
          <w:lang w:val="en-US"/>
        </w:rPr>
        <w:t>VS</w:t>
      </w:r>
      <w:r w:rsidRPr="00E93F40">
        <w:rPr>
          <w:rFonts w:ascii="Times New Roman" w:hAnsi="Times New Roman"/>
          <w:color w:val="000000" w:themeColor="text1"/>
          <w:sz w:val="16"/>
          <w:szCs w:val="16"/>
        </w:rPr>
        <w:t>; с целью выя</w:t>
      </w:r>
      <w:r w:rsidRPr="00E93F40">
        <w:rPr>
          <w:rFonts w:ascii="Times New Roman" w:hAnsi="Times New Roman"/>
          <w:color w:val="000000" w:themeColor="text1"/>
          <w:sz w:val="16"/>
          <w:szCs w:val="16"/>
        </w:rPr>
        <w:softHyphen/>
        <w:t>снения конкретных условий получения техпомощи по проектированию и постройке подлодок на заводах СССР.</w:t>
      </w:r>
    </w:p>
    <w:p w14:paraId="7C96F967"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Поручить этой же группе ознакомиться с гер</w:t>
      </w:r>
      <w:r w:rsidRPr="00E93F40">
        <w:rPr>
          <w:rFonts w:ascii="Times New Roman" w:hAnsi="Times New Roman"/>
          <w:color w:val="000000" w:themeColor="text1"/>
          <w:sz w:val="16"/>
          <w:szCs w:val="16"/>
        </w:rPr>
        <w:softHyphen/>
        <w:t>манскими заводами, производящими мощные дизеля, элек</w:t>
      </w:r>
      <w:r w:rsidRPr="00E93F40">
        <w:rPr>
          <w:rFonts w:ascii="Times New Roman" w:hAnsi="Times New Roman"/>
          <w:color w:val="000000" w:themeColor="text1"/>
          <w:sz w:val="16"/>
          <w:szCs w:val="16"/>
        </w:rPr>
        <w:softHyphen/>
        <w:t>трооборудование и другие механизмы для подлодок, вы</w:t>
      </w:r>
      <w:r w:rsidRPr="00E93F40">
        <w:rPr>
          <w:rFonts w:ascii="Times New Roman" w:hAnsi="Times New Roman"/>
          <w:color w:val="000000" w:themeColor="text1"/>
          <w:sz w:val="16"/>
          <w:szCs w:val="16"/>
        </w:rPr>
        <w:softHyphen/>
        <w:t>яснить все условия получения техпомощи по постановке производства в СССР тех аггрегатов и механизмов, ко</w:t>
      </w:r>
      <w:r w:rsidRPr="00E93F40">
        <w:rPr>
          <w:rFonts w:ascii="Times New Roman" w:hAnsi="Times New Roman"/>
          <w:color w:val="000000" w:themeColor="text1"/>
          <w:sz w:val="16"/>
          <w:szCs w:val="16"/>
        </w:rPr>
        <w:softHyphen/>
        <w:t>торые являются особо важными и наиболее трудными для нашего подводного судостроения, связав эти перегово</w:t>
      </w:r>
      <w:r w:rsidRPr="00E93F40">
        <w:rPr>
          <w:rFonts w:ascii="Times New Roman" w:hAnsi="Times New Roman"/>
          <w:color w:val="000000" w:themeColor="text1"/>
          <w:sz w:val="16"/>
          <w:szCs w:val="16"/>
        </w:rPr>
        <w:softHyphen/>
        <w:t>ры с заключением договора о техпомощи и по строитель</w:t>
      </w:r>
      <w:r w:rsidRPr="00E93F40">
        <w:rPr>
          <w:rFonts w:ascii="Times New Roman" w:hAnsi="Times New Roman"/>
          <w:color w:val="000000" w:themeColor="text1"/>
          <w:sz w:val="16"/>
          <w:szCs w:val="16"/>
        </w:rPr>
        <w:softHyphen/>
        <w:t>ству судов.</w:t>
      </w:r>
    </w:p>
    <w:p w14:paraId="46EACE71"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Руководство группой возложить на т. Сивкова. Предложить т.т. Хинчуку и Вейцеру оказать т. Сивкову и его группе полное содействие.</w:t>
      </w:r>
    </w:p>
    <w:p w14:paraId="38FE9FCA"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Одновременно пригласить в Москву представи</w:t>
      </w:r>
      <w:r w:rsidRPr="00E93F40">
        <w:rPr>
          <w:rFonts w:ascii="Times New Roman" w:hAnsi="Times New Roman"/>
          <w:color w:val="000000" w:themeColor="text1"/>
          <w:sz w:val="16"/>
          <w:szCs w:val="16"/>
        </w:rPr>
        <w:softHyphen/>
        <w:t>телей итальянских судостроительных фирм (Монфальконе, Франко-Тоэи, Ансальдо, Адриатические Верфи), с целью окончательных переговоров о приобретении проектов и техпомощи для постройки на заводах СССР эсминцев-ли</w:t>
      </w:r>
      <w:r w:rsidRPr="00E93F40">
        <w:rPr>
          <w:rFonts w:ascii="Times New Roman" w:hAnsi="Times New Roman"/>
          <w:color w:val="000000" w:themeColor="text1"/>
          <w:sz w:val="16"/>
          <w:szCs w:val="16"/>
        </w:rPr>
        <w:softHyphen/>
        <w:t>деров и средних крейсеров, а также - в случае неудачи переговоров в Германии - и подлодок различного тонна</w:t>
      </w:r>
      <w:r w:rsidRPr="00E93F40">
        <w:rPr>
          <w:rFonts w:ascii="Times New Roman" w:hAnsi="Times New Roman"/>
          <w:color w:val="000000" w:themeColor="text1"/>
          <w:sz w:val="16"/>
          <w:szCs w:val="16"/>
        </w:rPr>
        <w:softHyphen/>
        <w:t>жа. Поручить т.Сивкову из Берлина предварительно со</w:t>
      </w:r>
      <w:r w:rsidRPr="00E93F40">
        <w:rPr>
          <w:rFonts w:ascii="Times New Roman" w:hAnsi="Times New Roman"/>
          <w:color w:val="000000" w:themeColor="text1"/>
          <w:sz w:val="16"/>
          <w:szCs w:val="16"/>
        </w:rPr>
        <w:softHyphen/>
        <w:t>гласовать с указанными итальянскими фирмами все воп</w:t>
      </w:r>
      <w:r w:rsidRPr="00E93F40">
        <w:rPr>
          <w:rFonts w:ascii="Times New Roman" w:hAnsi="Times New Roman"/>
          <w:color w:val="000000" w:themeColor="text1"/>
          <w:sz w:val="16"/>
          <w:szCs w:val="16"/>
        </w:rPr>
        <w:softHyphen/>
        <w:t>росы, которые должны быть с ними рассмотрены в Москве.</w:t>
      </w:r>
    </w:p>
    <w:p w14:paraId="1B44E0F3"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 Сивкову возможно чаще информировать НКВМ о ходе переговоров.</w:t>
      </w:r>
    </w:p>
    <w:p w14:paraId="3C769894" w14:textId="77777777" w:rsidR="009575E3" w:rsidRPr="00E93F40" w:rsidRDefault="009575E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Ворошилову, Орджоникидзе - все; Артузову – п. б (23067).</w:t>
      </w:r>
    </w:p>
    <w:p w14:paraId="2CC8387D" w14:textId="77777777" w:rsidR="009575E3" w:rsidRPr="00E93F40" w:rsidRDefault="009575E3" w:rsidP="00E93F40">
      <w:pPr>
        <w:spacing w:after="0" w:line="240" w:lineRule="auto"/>
        <w:jc w:val="both"/>
        <w:rPr>
          <w:rFonts w:ascii="Times New Roman" w:hAnsi="Times New Roman"/>
          <w:color w:val="000000" w:themeColor="text1"/>
          <w:sz w:val="16"/>
          <w:szCs w:val="16"/>
        </w:rPr>
      </w:pPr>
    </w:p>
    <w:p w14:paraId="166CC491" w14:textId="77777777" w:rsidR="00742933" w:rsidRPr="00E93F40" w:rsidRDefault="00742933"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13 ноября 1932 </w:t>
      </w:r>
      <w:r w:rsidRPr="00E93F40">
        <w:rPr>
          <w:rFonts w:ascii="Times New Roman" w:hAnsi="Times New Roman"/>
          <w:color w:val="000000" w:themeColor="text1"/>
          <w:sz w:val="16"/>
          <w:szCs w:val="16"/>
        </w:rPr>
        <w:t>Политбюро ЦК ВКП(б) приняло постановления: о строительстве судостроительного завода в Дальневосточном крае, о плане производства вагонов на 1933 г., о мероприятиях по реконструкции, улучшению снабжения и подготовке кадров для вагоностроительных заводов, о мероприятиях по увеличению производства текстильного оборудования в 1933 г., об организации Ухта-Печорского треста для разведки и эксплуатации ископаемых Печорского бассейна (12265).</w:t>
      </w:r>
    </w:p>
    <w:p w14:paraId="65BD9A82" w14:textId="1A94F900" w:rsidR="00742933"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3B9174B1"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13 ноября 1932 состоялось заседание ПБ (Протокол № 122) </w:t>
      </w:r>
    </w:p>
    <w:p w14:paraId="56367454"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 строительстве судостроительного завода в ДВК</w:t>
      </w:r>
    </w:p>
    <w:p w14:paraId="0219A60B"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16.Х.32 г., пр. № 119, п. 6).</w:t>
      </w:r>
    </w:p>
    <w:p w14:paraId="2D039A36"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Орджоникидзе, Павлуновский).</w:t>
      </w:r>
    </w:p>
    <w:p w14:paraId="7E3FD585"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проект постановления, внесенный т. Орджоникид</w:t>
      </w:r>
      <w:r w:rsidRPr="00E93F40">
        <w:rPr>
          <w:rFonts w:ascii="Times New Roman" w:hAnsi="Times New Roman"/>
          <w:color w:val="000000" w:themeColor="text1"/>
          <w:sz w:val="16"/>
          <w:szCs w:val="16"/>
        </w:rPr>
        <w:softHyphen/>
        <w:t>зе (см. приложение о.п.).</w:t>
      </w:r>
    </w:p>
    <w:p w14:paraId="71EF403B"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Каттелю, Бергавинову, Керженцеву - все; Розенгольцу - 14.</w:t>
      </w:r>
    </w:p>
    <w:p w14:paraId="02800D73"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ЦЕНТРАЛЬНОГО КОМИТЕТА ВКП(б) от 13.Х1.32 г.</w:t>
      </w:r>
    </w:p>
    <w:p w14:paraId="0590AB8E"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ДОКЛАДУ – ПО НАРКОМТЯЖРОМА О РАЗВИТИИ МОРСКОГО СУДОСТРОЕНИЯ</w:t>
      </w:r>
    </w:p>
    <w:p w14:paraId="1A12119A"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Утвердить плановое задание для проектирования Амур</w:t>
      </w:r>
      <w:r w:rsidRPr="00E93F40">
        <w:rPr>
          <w:rFonts w:ascii="Times New Roman" w:hAnsi="Times New Roman"/>
          <w:color w:val="000000" w:themeColor="text1"/>
          <w:sz w:val="16"/>
          <w:szCs w:val="16"/>
        </w:rPr>
        <w:softHyphen/>
        <w:t>ской верфи, предназначенной исключительно для военного су</w:t>
      </w:r>
      <w:r w:rsidRPr="00E93F40">
        <w:rPr>
          <w:rFonts w:ascii="Times New Roman" w:hAnsi="Times New Roman"/>
          <w:color w:val="000000" w:themeColor="text1"/>
          <w:sz w:val="16"/>
          <w:szCs w:val="16"/>
        </w:rPr>
        <w:softHyphen/>
        <w:t>достроения. Мощность верфи определяется годовым выпуском:</w:t>
      </w:r>
    </w:p>
    <w:p w14:paraId="4239EF18"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больших подлодок,</w:t>
      </w:r>
    </w:p>
    <w:p w14:paraId="4396321D"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эсминца типа Лидер и</w:t>
      </w:r>
    </w:p>
    <w:p w14:paraId="740D6224"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крейсера до 6000 тн. при двух стапелях для одновременной постройки.</w:t>
      </w:r>
    </w:p>
    <w:p w14:paraId="407AF697"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Установить следующие сроки строительства и пуска предприятий:</w:t>
      </w:r>
    </w:p>
    <w:p w14:paraId="4852CDE8"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1.1Х.34 г. - готовность сооружений первой очереди для закладки 2-х больших подлодок и 2-х лидеров.</w:t>
      </w:r>
    </w:p>
    <w:p w14:paraId="2BB208F6"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1.УП.35 г. - полная готовность 2-й очереди цехов и гидротехнических сооружений для спуска судов.</w:t>
      </w:r>
    </w:p>
    <w:p w14:paraId="680E8A60"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1.1Х.35Г. - готовность стапелей для крейсеров всех промышленных цехов, а также жилищно-бытового фонда.</w:t>
      </w:r>
    </w:p>
    <w:p w14:paraId="10DF69E2"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Программа закладки и выпуска судов с Амурского завода установись:</w:t>
      </w:r>
    </w:p>
    <w:p w14:paraId="65EDB0E1"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1.IX.34 г. - закладка двух подлодок, двух лидеров.</w:t>
      </w:r>
    </w:p>
    <w:p w14:paraId="6AA7A744"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1.1Х.35 г. - выпуск двух подлодок, закладка четырех подлодок и двух лидеров.</w:t>
      </w:r>
    </w:p>
    <w:p w14:paraId="3CC8BB63"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1.УП.36 г. - выпуск двух лидеров, закладка двух крейсеров.</w:t>
      </w:r>
    </w:p>
    <w:p w14:paraId="7BC99D14"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Предложить Наркомвнешторгу СССР под ответствен</w:t>
      </w:r>
      <w:r w:rsidRPr="00E93F40">
        <w:rPr>
          <w:rFonts w:ascii="Times New Roman" w:hAnsi="Times New Roman"/>
          <w:color w:val="000000" w:themeColor="text1"/>
          <w:sz w:val="16"/>
          <w:szCs w:val="16"/>
        </w:rPr>
        <w:softHyphen/>
        <w:t>ность тов. Розенгольца, разместить за границей заказы Дальпромстроя на изготовление и поставку не позднее 1-го мар</w:t>
      </w:r>
      <w:r w:rsidRPr="00E93F40">
        <w:rPr>
          <w:rFonts w:ascii="Times New Roman" w:hAnsi="Times New Roman"/>
          <w:color w:val="000000" w:themeColor="text1"/>
          <w:sz w:val="16"/>
          <w:szCs w:val="16"/>
        </w:rPr>
        <w:softHyphen/>
        <w:t>та 1933 года:</w:t>
      </w:r>
    </w:p>
    <w:p w14:paraId="009BF97D"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землечерпательный караван с рефулерным устройством мощностью 250 куб.мтр.в час;</w:t>
      </w:r>
    </w:p>
    <w:p w14:paraId="7ABECF34"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буксиров 200-250 сил - 3 шт.;</w:t>
      </w:r>
    </w:p>
    <w:p w14:paraId="051FF0D6"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4-х кубовых экскаваторов - 2 шт.;</w:t>
      </w:r>
    </w:p>
    <w:p w14:paraId="3566F2D2"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Кранов гусеничных 15-ти тонных - 2 шт.;</w:t>
      </w:r>
    </w:p>
    <w:p w14:paraId="497E3B27"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выделить на 1933 г. в распоряжение начальника Дальпромстроя ежемесячный контингент в магазинах Торгсина на 5.000 р. для обеспечения промтоварами семей высококвалифи</w:t>
      </w:r>
      <w:r w:rsidRPr="00E93F40">
        <w:rPr>
          <w:rFonts w:ascii="Times New Roman" w:hAnsi="Times New Roman"/>
          <w:color w:val="000000" w:themeColor="text1"/>
          <w:sz w:val="16"/>
          <w:szCs w:val="16"/>
        </w:rPr>
        <w:softHyphen/>
        <w:t>цированных специалистов, работающих на стооительстве;</w:t>
      </w:r>
    </w:p>
    <w:p w14:paraId="0AB03158"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выделить в распоряжение начальника строительства аварийный фонд в размере 25.000 р. (валютой) с правом заказа без лицензий в Японии и в Харбине строймеханизмов, инструмен</w:t>
      </w:r>
      <w:r w:rsidRPr="00E93F40">
        <w:rPr>
          <w:rFonts w:ascii="Times New Roman" w:hAnsi="Times New Roman"/>
          <w:color w:val="000000" w:themeColor="text1"/>
          <w:sz w:val="16"/>
          <w:szCs w:val="16"/>
        </w:rPr>
        <w:softHyphen/>
        <w:t>тов, запасных частей строймеханизмов и проч.;</w:t>
      </w:r>
    </w:p>
    <w:p w14:paraId="2461BF35"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разместить за границей заказы на оборудование Амур</w:t>
      </w:r>
      <w:r w:rsidRPr="00E93F40">
        <w:rPr>
          <w:rFonts w:ascii="Times New Roman" w:hAnsi="Times New Roman"/>
          <w:color w:val="000000" w:themeColor="text1"/>
          <w:sz w:val="16"/>
          <w:szCs w:val="16"/>
        </w:rPr>
        <w:softHyphen/>
        <w:t>ского судостроительного завода на сумму 1.300.000 р., инстру</w:t>
      </w:r>
      <w:r w:rsidRPr="00E93F40">
        <w:rPr>
          <w:rFonts w:ascii="Times New Roman" w:hAnsi="Times New Roman"/>
          <w:color w:val="000000" w:themeColor="text1"/>
          <w:sz w:val="16"/>
          <w:szCs w:val="16"/>
        </w:rPr>
        <w:softHyphen/>
        <w:t>мента на 100.000 т.р. с поставкой во П-м квартале 1933 г.</w:t>
      </w:r>
    </w:p>
    <w:p w14:paraId="54F11D9C"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14.-а) Об оборудовании для текстильной промышленности.</w:t>
      </w:r>
    </w:p>
    <w:p w14:paraId="4109BCD8"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 производстве вооружения на заводе К.Маркса.</w:t>
      </w:r>
    </w:p>
    <w:p w14:paraId="2D9E75C6"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23.Х.32 г.,пр. № 120, п.13).</w:t>
      </w:r>
    </w:p>
    <w:p w14:paraId="3318F576"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Каганович М., Орджоникидзе, Сталин, Любимов, Киров).</w:t>
      </w:r>
    </w:p>
    <w:p w14:paraId="5F8D831C"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Принять проект постановления, внесенный комиссией т. Кагановича М., с поправкой т. Любимова о передаче в НКЛПром двух заводов из системы Главмашстроя (см.приложение о.п.).</w:t>
      </w:r>
    </w:p>
    <w:p w14:paraId="52EBC1CE"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к п. 14 оп прот. ПБ № 122</w:t>
      </w:r>
    </w:p>
    <w:p w14:paraId="3976E69C"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Учитывая,что завод им. К.Маркса технически наиболее под</w:t>
      </w:r>
      <w:r w:rsidRPr="00E93F40">
        <w:rPr>
          <w:rFonts w:ascii="Times New Roman" w:hAnsi="Times New Roman"/>
          <w:color w:val="000000" w:themeColor="text1"/>
          <w:sz w:val="16"/>
          <w:szCs w:val="16"/>
        </w:rPr>
        <w:softHyphen/>
        <w:t>готовлен к освоению текстильных машин и является основным веду</w:t>
      </w:r>
      <w:r w:rsidRPr="00E93F40">
        <w:rPr>
          <w:rFonts w:ascii="Times New Roman" w:hAnsi="Times New Roman"/>
          <w:color w:val="000000" w:themeColor="text1"/>
          <w:sz w:val="16"/>
          <w:szCs w:val="16"/>
        </w:rPr>
        <w:softHyphen/>
        <w:t>щим заводом по текстильному машиностроению, считать необходи</w:t>
      </w:r>
      <w:r w:rsidRPr="00E93F40">
        <w:rPr>
          <w:rFonts w:ascii="Times New Roman" w:hAnsi="Times New Roman"/>
          <w:color w:val="000000" w:themeColor="text1"/>
          <w:sz w:val="16"/>
          <w:szCs w:val="16"/>
        </w:rPr>
        <w:softHyphen/>
        <w:t>мым с 1933 г. освободить все его основные цеха текстильного машиностроения от спецпроизводства, для чего предложить Нарком- тяжпрому:</w:t>
      </w:r>
    </w:p>
    <w:p w14:paraId="2179C24B"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обязать завод им. К. Маркса нс позже февраля 1933 года закончить во 2-й механической мастерской обработку выполняе</w:t>
      </w:r>
      <w:r w:rsidRPr="00E93F40">
        <w:rPr>
          <w:rFonts w:ascii="Times New Roman" w:hAnsi="Times New Roman"/>
          <w:color w:val="000000" w:themeColor="text1"/>
          <w:sz w:val="16"/>
          <w:szCs w:val="16"/>
        </w:rPr>
        <w:softHyphen/>
        <w:t>мых деталей для подлодок 5-й и 6-й серий и после этого полностью переключиться на производство текстильных машин и деталей, использовав для этого все свои цеха и оборудование.</w:t>
      </w:r>
    </w:p>
    <w:p w14:paraId="571F85FF"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обязать Союзверфь с 15-го ноября 1932г. принять от завода им. К. Маркса все заказы по торпедному вооружению, в том числе и для подлодок 5 бис элеваторам, паро и электрокомпрессорам, ремонту вооружения судов и прочим спецпроизводствам и организовать производство всех этих изделий на своих заводах (на зав. Им. Марти в Ленинграде - все части надводных аппаратов, толкачи для торпедных катеров и работы котельного характера; на зав."Судомех" - снарядные элеваторы; на Бал</w:t>
      </w:r>
      <w:r w:rsidRPr="00E93F40">
        <w:rPr>
          <w:rFonts w:ascii="Times New Roman" w:hAnsi="Times New Roman"/>
          <w:color w:val="000000" w:themeColor="text1"/>
          <w:sz w:val="16"/>
          <w:szCs w:val="16"/>
        </w:rPr>
        <w:softHyphen/>
        <w:t>тийском заводе - арматура высокого давления и на "Петрозаводе" - арматура низкого давления) в кооперации с передаваемыми Союзверфи заводом им. К. Маркса двух мастерских и меднолитей</w:t>
      </w:r>
      <w:r w:rsidRPr="00E93F40">
        <w:rPr>
          <w:rFonts w:ascii="Times New Roman" w:hAnsi="Times New Roman"/>
          <w:color w:val="000000" w:themeColor="text1"/>
          <w:sz w:val="16"/>
          <w:szCs w:val="16"/>
        </w:rPr>
        <w:softHyphen/>
        <w:t>ной.</w:t>
      </w:r>
    </w:p>
    <w:p w14:paraId="6F645DCD"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Обязать завод им. К. Маркса в целях непрерывности произ</w:t>
      </w:r>
      <w:r w:rsidRPr="00E93F40">
        <w:rPr>
          <w:rFonts w:ascii="Times New Roman" w:hAnsi="Times New Roman"/>
          <w:color w:val="000000" w:themeColor="text1"/>
          <w:sz w:val="16"/>
          <w:szCs w:val="16"/>
        </w:rPr>
        <w:softHyphen/>
        <w:t>водства вооружения для подлодок, не позднее 15 ноября 1932г. передать Союзверфи свои Ш и 1У механические мастерские и медно-литейную со всем оборудованием и личным составом,а так</w:t>
      </w:r>
      <w:r w:rsidRPr="00E93F40">
        <w:rPr>
          <w:rFonts w:ascii="Times New Roman" w:hAnsi="Times New Roman"/>
          <w:color w:val="000000" w:themeColor="text1"/>
          <w:sz w:val="16"/>
          <w:szCs w:val="16"/>
        </w:rPr>
        <w:softHyphen/>
        <w:t>же конструкторов занятых спецпроизводством и весь монтажный отдел со всеми филиалами.</w:t>
      </w:r>
    </w:p>
    <w:p w14:paraId="786F7D53"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В целях обеспечения трикотажной промышленности чулочны</w:t>
      </w:r>
      <w:r w:rsidRPr="00E93F40">
        <w:rPr>
          <w:rFonts w:ascii="Times New Roman" w:hAnsi="Times New Roman"/>
          <w:color w:val="000000" w:themeColor="text1"/>
          <w:sz w:val="16"/>
          <w:szCs w:val="16"/>
        </w:rPr>
        <w:softHyphen/>
        <w:t>ми автоматами и ластичными машинами, освоенными уже заводом им. Макса Гельца и дальнейшего увеличения их выпуска,-пред</w:t>
      </w:r>
      <w:r w:rsidRPr="00E93F40">
        <w:rPr>
          <w:rFonts w:ascii="Times New Roman" w:hAnsi="Times New Roman"/>
          <w:color w:val="000000" w:themeColor="text1"/>
          <w:sz w:val="16"/>
          <w:szCs w:val="16"/>
        </w:rPr>
        <w:softHyphen/>
        <w:t>ложить Наркомтяжпрому снять с завода им. Макса Гельца спец- заказ для Путиловского завода на 20-К и в 1933г. завод им. Макса Гельца спецзаказами не загружать, за исключением имею</w:t>
      </w:r>
      <w:r w:rsidRPr="00E93F40">
        <w:rPr>
          <w:rFonts w:ascii="Times New Roman" w:hAnsi="Times New Roman"/>
          <w:color w:val="000000" w:themeColor="text1"/>
          <w:sz w:val="16"/>
          <w:szCs w:val="16"/>
        </w:rPr>
        <w:softHyphen/>
        <w:t>щегося у него производства взрывателей.</w:t>
      </w:r>
    </w:p>
    <w:p w14:paraId="6827E318" w14:textId="77777777" w:rsidR="00705D79" w:rsidRPr="00E93F40" w:rsidRDefault="00705D7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Любимову, Керженцеву, Кагановичу М., Межлауку В.- все; Цихону - из прил. 13.</w:t>
      </w:r>
    </w:p>
    <w:p w14:paraId="5D3FF8FE" w14:textId="77777777" w:rsidR="00705D79" w:rsidRPr="00E93F40" w:rsidRDefault="00705D79" w:rsidP="00E93F40">
      <w:pPr>
        <w:spacing w:after="0" w:line="240" w:lineRule="auto"/>
        <w:jc w:val="both"/>
        <w:rPr>
          <w:rFonts w:ascii="Times New Roman" w:hAnsi="Times New Roman"/>
          <w:color w:val="000000" w:themeColor="text1"/>
          <w:sz w:val="16"/>
          <w:szCs w:val="16"/>
        </w:rPr>
      </w:pPr>
    </w:p>
    <w:p w14:paraId="35DD5108"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ноября 1932</w:t>
      </w:r>
    </w:p>
    <w:p w14:paraId="067A77A7" w14:textId="4AB6BF63"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w:t>
      </w:r>
    </w:p>
    <w:p w14:paraId="234CE9AF" w14:textId="7DA9064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11 пр.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ПБ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122.</w:t>
      </w:r>
    </w:p>
    <w:p w14:paraId="58AD91E6" w14:textId="50C01D6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Центрального Комитета ВКП(б) от 13.XI.1932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15C30EA8"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докладу Наркомтяжпрома о развитии Амурского судостроительного завода.</w:t>
      </w:r>
    </w:p>
    <w:p w14:paraId="7715FE4C" w14:textId="5F2EE3E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p>
    <w:p w14:paraId="21C99D73"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http://sovdoc.rusarchives.ru</w:t>
      </w:r>
    </w:p>
    <w:p w14:paraId="4EAA17B9" w14:textId="3B6E31B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p>
    <w:p w14:paraId="6E5CF0F7"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 Ф. 17. Оп. 3. Д. 906. Л. 26-33; Оп. 162. Д. 14. Л. 11.</w:t>
      </w:r>
    </w:p>
    <w:p w14:paraId="7E952EFC" w14:textId="5AEB707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3C38721B"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плановое задание для проектирования Амурской верфи, предназначенной исключительно для военного судостроения. Мощность верфи определяется годовым выпуском:</w:t>
      </w:r>
    </w:p>
    <w:p w14:paraId="5C7E59B0"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больших подлодок,</w:t>
      </w:r>
    </w:p>
    <w:p w14:paraId="764393A5"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эсминца типа Лидер и</w:t>
      </w:r>
    </w:p>
    <w:p w14:paraId="19841190" w14:textId="666CE5A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крейсера до 6000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при двух стопелях для одновременной постройки.</w:t>
      </w:r>
    </w:p>
    <w:p w14:paraId="7AA27516" w14:textId="27A9B151"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4572BA8A"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следующие сроки строительства и пуска предприятий:</w:t>
      </w:r>
    </w:p>
    <w:p w14:paraId="5D6B0930" w14:textId="630DEC0D"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1.IХ.1934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готовность сооружений первой очереди для закладки 2</w:t>
      </w:r>
      <w:r w:rsidRPr="00E93F40">
        <w:rPr>
          <w:rFonts w:ascii="Times New Roman" w:hAnsi="Times New Roman"/>
          <w:color w:val="000000" w:themeColor="text1"/>
          <w:sz w:val="16"/>
          <w:szCs w:val="16"/>
        </w:rPr>
        <w:noBreakHyphen/>
        <w:t>х больших подлодок и 2</w:t>
      </w:r>
      <w:r w:rsidRPr="00E93F40">
        <w:rPr>
          <w:rFonts w:ascii="Times New Roman" w:hAnsi="Times New Roman"/>
          <w:color w:val="000000" w:themeColor="text1"/>
          <w:sz w:val="16"/>
          <w:szCs w:val="16"/>
        </w:rPr>
        <w:noBreakHyphen/>
        <w:t>х лидеров.</w:t>
      </w:r>
    </w:p>
    <w:p w14:paraId="6E4C5418" w14:textId="108D961D"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1.VIII.1935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полная готовность 2</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очереди цехов и гидротехнических сооружений для спуска судов.</w:t>
      </w:r>
    </w:p>
    <w:p w14:paraId="01431EE0" w14:textId="33C4AA1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1.IX.1935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готовность стапелей для крейсеров всех промышленных цехов, а такие жилищно-бытового фонда.</w:t>
      </w:r>
    </w:p>
    <w:p w14:paraId="0704181F" w14:textId="7D606281"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431E1F33"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закладки и выпуска судов с Амурского завода установить:</w:t>
      </w:r>
    </w:p>
    <w:p w14:paraId="759FC6DF" w14:textId="56ED295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1.IX.1934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закладка двух подлодок, двух лидеров.</w:t>
      </w:r>
    </w:p>
    <w:p w14:paraId="0D9D4B5B" w14:textId="3B6CD33A"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1.IX.1935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выпуск двух подлодок, закладка четырех подлодок и двух лидеров.</w:t>
      </w:r>
    </w:p>
    <w:p w14:paraId="66609CBA" w14:textId="126CCAD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1.VII.1936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выпуск двух лидеров, закладка двух крейсеров.</w:t>
      </w:r>
    </w:p>
    <w:p w14:paraId="23696E07"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Учитывая особую важность строительства и исключительно трудные условия осуществления его, в целях выполнения установленных сроков строительства ЦК признает необходимым поставить строительство в отношении снабжения, техвооружения, снабжения транспортными средствами и кадрами в особые, по сравнению с другими потребителями условия, гарантирующие строительству полное и своевременное удовлетворение его требований.</w:t>
      </w:r>
    </w:p>
    <w:p w14:paraId="1EAECFF2"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частности постановляет: обязать Наркомтяжпром обеспечить выполнение проектов в следующие сроки:</w:t>
      </w:r>
    </w:p>
    <w:p w14:paraId="336C42BE" w14:textId="28701EE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дать строительству рабочий генплан верфи не позже 10</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5B4945F8" w14:textId="4A3D86C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закончить технические проекты по технологической и строительной части первой очереди строительства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250E17DB" w14:textId="20116D0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обеспечить строительство рабочими чертежами по цехам и сооружениям 1</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очереди к 1</w:t>
      </w:r>
      <w:r w:rsidRPr="00E93F40">
        <w:rPr>
          <w:rFonts w:ascii="Times New Roman" w:hAnsi="Times New Roman"/>
          <w:color w:val="000000" w:themeColor="text1"/>
          <w:sz w:val="16"/>
          <w:szCs w:val="16"/>
        </w:rPr>
        <w:noBreakHyphen/>
        <w:t>му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28B60174" w14:textId="2E25ED1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составление и передачу Дальпромстрою технических и рабочих проектов по внутренней и наружной сантехнике к 1</w:t>
      </w:r>
      <w:r w:rsidRPr="00E93F40">
        <w:rPr>
          <w:rFonts w:ascii="Times New Roman" w:hAnsi="Times New Roman"/>
          <w:color w:val="000000" w:themeColor="text1"/>
          <w:sz w:val="16"/>
          <w:szCs w:val="16"/>
        </w:rPr>
        <w:noBreakHyphen/>
        <w:t>му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69629143" w14:textId="6CDFB12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полное окончание проектов и рабочих чертежей завода 1</w:t>
      </w:r>
      <w:r w:rsidRPr="00E93F40">
        <w:rPr>
          <w:rFonts w:ascii="Times New Roman" w:hAnsi="Times New Roman"/>
          <w:color w:val="000000" w:themeColor="text1"/>
          <w:sz w:val="16"/>
          <w:szCs w:val="16"/>
        </w:rPr>
        <w:noBreakHyphen/>
        <w:t>ой и 2</w:t>
      </w:r>
      <w:r w:rsidRPr="00E93F40">
        <w:rPr>
          <w:rFonts w:ascii="Times New Roman" w:hAnsi="Times New Roman"/>
          <w:color w:val="000000" w:themeColor="text1"/>
          <w:sz w:val="16"/>
          <w:szCs w:val="16"/>
        </w:rPr>
        <w:noBreakHyphen/>
        <w:t>й очереди, а также генеральной сметы всего строительства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сентября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056B942E" w14:textId="5955D72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Обеспечить полное удовлетворение потребности 1933 и 1</w:t>
      </w:r>
      <w:r w:rsidRPr="00E93F40">
        <w:rPr>
          <w:rFonts w:ascii="Times New Roman" w:hAnsi="Times New Roman"/>
          <w:color w:val="000000" w:themeColor="text1"/>
          <w:sz w:val="16"/>
          <w:szCs w:val="16"/>
        </w:rPr>
        <w:noBreakHyphen/>
        <w:t>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половины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строительства стройматериалами, стройоборудованием и транспортом в I</w:t>
      </w:r>
      <w:r w:rsidRPr="00E93F40">
        <w:rPr>
          <w:rFonts w:ascii="Times New Roman" w:hAnsi="Times New Roman"/>
          <w:color w:val="000000" w:themeColor="text1"/>
          <w:sz w:val="16"/>
          <w:szCs w:val="16"/>
        </w:rPr>
        <w:noBreakHyphen/>
        <w:t>м и II</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из расчета переброски всех грузов в период навигации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B205E37" w14:textId="7372096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До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отправить строительству полное оборудование временной электрической станции мощностью 1200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кВт.</w:t>
      </w:r>
    </w:p>
    <w:p w14:paraId="73CB0B9D" w14:textId="72636FC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Разместить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заказы на турбины, дизеля, котлы, зубчатые передачи, трубы и металл с таким расчетом, чтобы дизеля подлодок могли быть отправлены на площадку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Котлы, турбины, зубчатые передачи для эсминцев могли быть отправлены на площадку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июля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Материал для корпусов подлодок в эсминцев мог быть отправлен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мая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4F89899C" w14:textId="2834FD1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Обеспечить размещение заказов на отечественное оборудование для Амурского судостроительного завода на сумму 3.500.500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с отправкой на строительство в течение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6A70FE03" w14:textId="5785229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Подтвердить приказ Наркомтяжпрома от 5</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 порядке снабжения и обеспечения строительства всеми потребными материальными, транспортными средствами, техвооружением и кадрами,</w:t>
      </w:r>
    </w:p>
    <w:p w14:paraId="0BCD98DA" w14:textId="000CBC88"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Предложить Наркомлегпрому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Любимова в месячный срок демонтировать и отгрузить Дальпромстрою с электростанций, неработающих в промышленности НКЛП,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генератора переменного трехфазного тока, напряжением 220/330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вольт, мощностью 140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кВт каждый, с комплектными к ним распределительными устройствами и электрооборудованием.</w:t>
      </w:r>
    </w:p>
    <w:p w14:paraId="696D9BEA" w14:textId="5B922298"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Разрешить НКТП отгрузить Дальпромстрою с ХПЗ за счет РККА тракторов гусеничных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до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2D034D1B"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Наркомтяжпрому выделить для Дальпромстроя:</w:t>
      </w:r>
    </w:p>
    <w:p w14:paraId="72B1CA44" w14:textId="3CF0AF41"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грузовых машин, с отгрузкой в IV</w:t>
      </w:r>
      <w:r w:rsidRPr="00E93F40">
        <w:rPr>
          <w:rFonts w:ascii="Times New Roman" w:hAnsi="Times New Roman"/>
          <w:color w:val="000000" w:themeColor="text1"/>
          <w:sz w:val="16"/>
          <w:szCs w:val="16"/>
        </w:rPr>
        <w:noBreakHyphen/>
        <w:t>м квартале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29A97B28" w14:textId="7646205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грузовых машин, с отгрузкой в I</w:t>
      </w:r>
      <w:r w:rsidRPr="00E93F40">
        <w:rPr>
          <w:rFonts w:ascii="Times New Roman" w:hAnsi="Times New Roman"/>
          <w:color w:val="000000" w:themeColor="text1"/>
          <w:sz w:val="16"/>
          <w:szCs w:val="16"/>
        </w:rPr>
        <w:noBreakHyphen/>
        <w:t>м квартале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не позднее февраля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машин.</w:t>
      </w:r>
    </w:p>
    <w:p w14:paraId="65E66919" w14:textId="0F34C6A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легковых машин, крытых типа Лимузин из импорта, с отгрузкой в ноябре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535ACD6E"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двойной комплект для указанных машин резины и соответствующее количество запасных частей.</w:t>
      </w:r>
    </w:p>
    <w:p w14:paraId="5D87DDA2" w14:textId="47FF08BE"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СНК СССР выделить Дальпромстрою дополнительные оборотные средства в размере 12.000.600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из них: в IV</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3.000.000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I</w:t>
      </w:r>
      <w:r w:rsidRPr="00E93F40">
        <w:rPr>
          <w:rFonts w:ascii="Times New Roman" w:hAnsi="Times New Roman"/>
          <w:color w:val="000000" w:themeColor="text1"/>
          <w:sz w:val="16"/>
          <w:szCs w:val="16"/>
        </w:rPr>
        <w:noBreakHyphen/>
        <w:t>м квартале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5.000.000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 во II</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4.000.000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w:t>
      </w:r>
    </w:p>
    <w:p w14:paraId="404E868A" w14:textId="513C4B8E"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Выделить Дальпромстрою для организации совхозного и огородного хозяйства 2.000.000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w:t>
      </w:r>
    </w:p>
    <w:p w14:paraId="1F8C2B2F" w14:textId="4BD67C7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5F6175C0" w14:textId="61519F2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Наркомвнешторгу СССР под ответственность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Розенгольца, разместить за границей заказы Дальпромстроя на изготовление и поставку не позднее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38EF321F" w14:textId="5AD6726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землечерпательный караван с рефулерным устройством мощностью 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в час;</w:t>
      </w:r>
    </w:p>
    <w:p w14:paraId="4B62B444" w14:textId="63A6064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буксиров 200</w:t>
      </w:r>
      <w:r w:rsidRPr="00E93F40">
        <w:rPr>
          <w:rFonts w:ascii="Times New Roman" w:hAnsi="Times New Roman"/>
          <w:color w:val="000000" w:themeColor="text1"/>
          <w:sz w:val="16"/>
          <w:szCs w:val="16"/>
        </w:rPr>
        <w:noBreakHyphen/>
        <w:t>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сил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24AA68D9" w14:textId="5B4F4DD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4</w:t>
      </w:r>
      <w:r w:rsidRPr="00E93F40">
        <w:rPr>
          <w:rFonts w:ascii="Times New Roman" w:hAnsi="Times New Roman"/>
          <w:color w:val="000000" w:themeColor="text1"/>
          <w:sz w:val="16"/>
          <w:szCs w:val="16"/>
        </w:rPr>
        <w:noBreakHyphen/>
        <w:t>х кубоядровых экскаваторов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388525FF" w14:textId="385A6BA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кранов гусеничных 15</w:t>
      </w:r>
      <w:r w:rsidRPr="00E93F40">
        <w:rPr>
          <w:rFonts w:ascii="Times New Roman" w:hAnsi="Times New Roman"/>
          <w:color w:val="000000" w:themeColor="text1"/>
          <w:sz w:val="16"/>
          <w:szCs w:val="16"/>
        </w:rPr>
        <w:noBreakHyphen/>
        <w:t>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670F8751" w14:textId="5203AD0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 выделить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распоряжение начальника Дальпромстроя ежемесячный контингент в магазинах Торгсина на 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для обеспечения промтоварами семей высококвалифицированных специалистов, работающих на строительстве;</w:t>
      </w:r>
    </w:p>
    <w:p w14:paraId="59C72CE7" w14:textId="588BDA8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выделить в распоряжение начальника строительства аварийный фонд в размере 25.000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(валютой) с правом заказа без лицензий в Японии и в Харбине строймеханизмов, инструментов, запасных частей строймеханизмов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проч.;</w:t>
      </w:r>
    </w:p>
    <w:p w14:paraId="49128B22" w14:textId="4099936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 разместить за границей заказы на оборудование Амурского судостроительного завода на сумму 1.300.000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инструмента на 100.000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 с поставкой во II</w:t>
      </w:r>
      <w:r w:rsidRPr="00E93F40">
        <w:rPr>
          <w:rFonts w:ascii="Times New Roman" w:hAnsi="Times New Roman"/>
          <w:color w:val="000000" w:themeColor="text1"/>
          <w:sz w:val="16"/>
          <w:szCs w:val="16"/>
        </w:rPr>
        <w:noBreakHyphen/>
        <w:t>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677082CC" w14:textId="641029CB"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Предложить Наркомснабу СССР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под ответственность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Микояна:</w:t>
      </w:r>
    </w:p>
    <w:p w14:paraId="6256B814" w14:textId="51ED1EA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установить для рабочих Дальпромстроя с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снабжение по воинским нормам;</w:t>
      </w:r>
    </w:p>
    <w:p w14:paraId="33E0CDA7" w14:textId="51157F8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выделить в распоряжение начальника Дальпромстроя для обеспечения семей ответственных, технических и партийных работников, приглашенных и мобилизованных на строительство пайки по категории литер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 в количестве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пайков;</w:t>
      </w:r>
    </w:p>
    <w:p w14:paraId="523E5935"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сделать распоряжение об оставлении на снабжении в закрытых распределителях по категориям соответствующих квалификаций семей рабочих и служащих, мобилизованных и приглашенных на строительство;</w:t>
      </w:r>
    </w:p>
    <w:p w14:paraId="3CF1226B" w14:textId="086DA61E"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выделить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в распоряжение начальника Дальпромстроя промтоварный фонд для премирования рабочих и служащих на сумму 300.000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w:t>
      </w:r>
    </w:p>
    <w:p w14:paraId="09C22663" w14:textId="6C12160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Предложить Комитету Товарных фондов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Квиринга выделить в распоряжение Дальпромстроя:</w:t>
      </w:r>
    </w:p>
    <w:p w14:paraId="78474A53" w14:textId="5C9BA5D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пар кожаной обуви, 300.000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 хлопчатобумажной ткани, 25.000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 шерстяной ткани, 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одеял, 10.000 комплектов постельных принадлежностей, суконных костюмов 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кожаных костюмов 250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подошвенной кожи для ремонта обуви (вал и полувал)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брезентовой ткани для пошивки брезентовых палаток и брезентов 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 джутовых мешков 50.000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и джутовой ткани 30.000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w:t>
      </w:r>
    </w:p>
    <w:p w14:paraId="61FB525A" w14:textId="3A2FE898"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Предложить Наркомлесу под личную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Лобова обеспечить строительство Дальпромстроя лесоматериалами в количестве 250.000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 метров круглого леса и дров 300.000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 метров.</w:t>
      </w:r>
    </w:p>
    <w:p w14:paraId="01933ECF" w14:textId="66E2B51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Предложить Наркомвоенмору оставить на строительстве призываемых граждан рождения 1910</w:t>
      </w:r>
      <w:r w:rsidRPr="00E93F40">
        <w:rPr>
          <w:rFonts w:ascii="Times New Roman" w:hAnsi="Times New Roman"/>
          <w:color w:val="000000" w:themeColor="text1"/>
          <w:sz w:val="16"/>
          <w:szCs w:val="16"/>
        </w:rPr>
        <w:noBreakHyphen/>
        <w:t>1911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а также соответственно отсрочить призыв граждан, пользующихся отсрочкой.</w:t>
      </w:r>
    </w:p>
    <w:p w14:paraId="08DD4533" w14:textId="056E540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Предложить ОГПУ под личную ответственность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Менжинского, обеспечить переброской с февраля по июль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на площадку строительства Дальпромстроя 10.000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спецпереселенцев рабочих (без учета семей).</w:t>
      </w:r>
    </w:p>
    <w:p w14:paraId="2BB45945" w14:textId="482304DE"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месячный срок передать дирекции Амурского судостроительного завода 28 инженеров производственников по списку дирекции, из коих: до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передать: Дормитонтова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 Конникова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 Розенберг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 Каразина, Ленникова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 Вельдемана, Калинина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Славинского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 Черкасова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Торопова.</w:t>
      </w:r>
    </w:p>
    <w:p w14:paraId="40D183B2" w14:textId="4C7BDA7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Обязать Наркомвод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Янсона:</w:t>
      </w:r>
    </w:p>
    <w:p w14:paraId="40B61AC5" w14:textId="085EB1C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произвести необходимые землечерпательные работы для обеспечения свободного прохода по Амуру и Татарскому проливу, в течение навигационного периода всех судов, выпускаемых Амурской верфью, начиная с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252DC44C" w14:textId="4C9A984E"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построить для Дальпромстроя на Дальневосточных верфях к началу навигации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барж деревянных 300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w:t>
      </w:r>
    </w:p>
    <w:p w14:paraId="67D04B15" w14:textId="5E47A46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 обеспечение перевозки грузов Дальпромстроя навигации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прикрепить за Дальпромстроем 700</w:t>
      </w:r>
      <w:r w:rsidRPr="00E93F40">
        <w:rPr>
          <w:rFonts w:ascii="Times New Roman" w:hAnsi="Times New Roman"/>
          <w:color w:val="000000" w:themeColor="text1"/>
          <w:sz w:val="16"/>
          <w:szCs w:val="16"/>
        </w:rPr>
        <w:noBreakHyphen/>
        <w:t>800</w:t>
      </w:r>
      <w:r w:rsidRPr="00E93F40">
        <w:rPr>
          <w:rFonts w:ascii="Times New Roman" w:hAnsi="Times New Roman"/>
          <w:color w:val="000000" w:themeColor="text1"/>
          <w:sz w:val="16"/>
          <w:szCs w:val="16"/>
        </w:rPr>
        <w:noBreakHyphen/>
        <w:t>тонных барж 12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и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пассажирских парохода, для перевозки рабочих.</w:t>
      </w:r>
    </w:p>
    <w:p w14:paraId="3CDD5CAA" w14:textId="649E575B"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Обязать Наркомсвязь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Рыкова закончить работы по прокладке кабеля через реку Амур и работы по установке прямого телеграфно-телефонного провода Хабаровск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Пермское 1</w:t>
      </w:r>
      <w:r w:rsidRPr="00E93F40">
        <w:rPr>
          <w:rFonts w:ascii="Times New Roman" w:hAnsi="Times New Roman"/>
          <w:color w:val="000000" w:themeColor="text1"/>
          <w:sz w:val="16"/>
          <w:szCs w:val="16"/>
        </w:rPr>
        <w:noBreakHyphen/>
        <w:t>го 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1338BF26" w14:textId="34DFE06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Обязать НКПС под ответственность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Андреева дать указания районным управлениям по перевозкам и управлениям железных дорог принимать к отправке невагонные грузы в адрес Дальпромстроя.</w:t>
      </w:r>
    </w:p>
    <w:p w14:paraId="0309E309"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Обеспечить внеочередную доставку грузов Дальпромстроя, приравняв таковые к срочным воинским грузам.</w:t>
      </w:r>
    </w:p>
    <w:p w14:paraId="2D5775A9" w14:textId="36BB620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Обязать Наркомздрав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Владимирского в месячный срок выделить на постоянную работу на площадке Дальпромстроя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врачей.</w:t>
      </w:r>
    </w:p>
    <w:p w14:paraId="0F49A061" w14:textId="6AF2CFAB"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Укомплектовать до мая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Стройздравотдел на площадке Дальпромстроя из расчета полного санитарного и медицинского обслуживания населения в количестве 35.000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w:t>
      </w:r>
    </w:p>
    <w:p w14:paraId="169A5466"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месячный срок выделить и отгрузить Дальпромстрою большой скоростью дезинфекционное оборудование для обслуживания строительства.</w:t>
      </w:r>
    </w:p>
    <w:p w14:paraId="39A49882" w14:textId="38564BD3"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Учраспреду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под ответственность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Ежова в декадный срок по согласованию с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Москвиным и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Каттель выделить ответственных работников:</w:t>
      </w:r>
    </w:p>
    <w:p w14:paraId="7A7B89B1"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 должность 1</w:t>
      </w:r>
      <w:r w:rsidRPr="00E93F40">
        <w:rPr>
          <w:rFonts w:ascii="Times New Roman" w:hAnsi="Times New Roman"/>
          <w:color w:val="000000" w:themeColor="text1"/>
          <w:sz w:val="16"/>
          <w:szCs w:val="16"/>
        </w:rPr>
        <w:noBreakHyphen/>
        <w:t>го заместителя начальника строительства;</w:t>
      </w:r>
    </w:p>
    <w:p w14:paraId="705E3CAA" w14:textId="7B76401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начальника Московской конторы Дальпромстроя и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ответственных партработников для работы на площадке на хозяйственных должностях.</w:t>
      </w:r>
    </w:p>
    <w:p w14:paraId="6A4A3F37" w14:textId="6645660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Предложить Дальневосточному крайисполкому под ответственность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Буценко обеспечить доставку Дальпромстрою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кирпича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 извести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туфа 17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а также продовольствия, соответственно, утвержденным контингентам.</w:t>
      </w:r>
    </w:p>
    <w:p w14:paraId="3D680BC1" w14:textId="291F3A4B"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 Народного комиссариата тяжелой промышленности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5B97BEBB"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обеспечения выполнения всех работ по строительству Амурской верфи в установленные сроки приказываю:</w:t>
      </w:r>
    </w:p>
    <w:p w14:paraId="677D010B" w14:textId="5B19F3BD"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Гинзбурга отгрузить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Дальпромстрою комплектное оборудование кирпичного завода, производительностью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кирпичей в год, переадресовав на Дальпромстрой, выполняемый заказ для Коммунснаба на заводе “Красный Октябрь” в городе Харькове машинное оборудование и других заводов транспортное, сушильное и прочее оборудование.</w:t>
      </w:r>
    </w:p>
    <w:p w14:paraId="419DFF87" w14:textId="54AA0BB3"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Отгрузить Дальпромстрою с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6560B389" w14:textId="5F7EE3B1"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камнедробилок с запасными частями “щеки” производительностью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в час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49D47246"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НКПС ....................... 4 шт.</w:t>
      </w:r>
    </w:p>
    <w:p w14:paraId="7630C9A8"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золотопромышленности ....... 1 шт.</w:t>
      </w:r>
    </w:p>
    <w:p w14:paraId="48B53741"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Восхимтреста ............... 1 шт.</w:t>
      </w:r>
    </w:p>
    <w:p w14:paraId="6B1590F4" w14:textId="6A876D8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вальцевую камнедробилку для дробления в песок с запасными частями, производительностью 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 в час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3566C066" w14:textId="3539BC41"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Отгрузить Дальпромстрою до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компрессоров передвижных, производительностью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 в минуту со своими двигателями внутреннего сгорания по продукции IV</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41EFE84A"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НКПС ....................... 2 шт.</w:t>
      </w:r>
    </w:p>
    <w:p w14:paraId="2BAF338E"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Угля ....................... 2 шт.</w:t>
      </w:r>
    </w:p>
    <w:p w14:paraId="7B598BCD" w14:textId="32E9869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Тоже на продукцию I</w:t>
      </w:r>
      <w:r w:rsidRPr="00E93F40">
        <w:rPr>
          <w:rFonts w:ascii="Times New Roman" w:hAnsi="Times New Roman"/>
          <w:color w:val="000000" w:themeColor="text1"/>
          <w:sz w:val="16"/>
          <w:szCs w:val="16"/>
        </w:rPr>
        <w:noBreakHyphen/>
        <w:t>го квартала с отгрузкой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355520AC"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Выделить и отгрузить Дальпромстрою перфораторов</w:t>
      </w:r>
    </w:p>
    <w:p w14:paraId="1DD3413A" w14:textId="07B3EEDA"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позднее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4C7A0046" w14:textId="77D9108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позднее 1</w:t>
      </w:r>
      <w:r w:rsidRPr="00E93F40">
        <w:rPr>
          <w:rFonts w:ascii="Times New Roman" w:hAnsi="Times New Roman"/>
          <w:color w:val="000000" w:themeColor="text1"/>
          <w:sz w:val="16"/>
          <w:szCs w:val="16"/>
        </w:rPr>
        <w:noBreakHyphen/>
        <w:t>го апреля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7F694BBA" w14:textId="62FD3F5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Выделить и отгрузить Дальпромстрою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058B17A9"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экскаваторов многоковшовых ................ 2 шт.</w:t>
      </w:r>
    </w:p>
    <w:p w14:paraId="44174FE3"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бетономешалок 750 литров .................. 6 шт.</w:t>
      </w:r>
    </w:p>
    <w:p w14:paraId="4D6098B9"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транспортеров ............................ 30 шт.</w:t>
      </w:r>
    </w:p>
    <w:p w14:paraId="0DCFC235" w14:textId="738C9CEF"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Доценко:</w:t>
      </w:r>
    </w:p>
    <w:p w14:paraId="765A2C4A" w14:textId="0D6A959D"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Выдать Дальпромстрою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200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вагонеток, типа Коппеля 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колеи, в том числе счет НКПС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 за счет Главцветметзолото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7C620632" w14:textId="2B31C3D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Выдать Дальпромстрою не позже 15.III.1933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полускатов 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колеи с подшипниками в количестве 150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штук.</w:t>
      </w:r>
    </w:p>
    <w:p w14:paraId="57949AFB" w14:textId="2BBE9B2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Выделить Дальпромстрою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 числа строящихся на Дальзаводе:</w:t>
      </w:r>
    </w:p>
    <w:p w14:paraId="7B0A81E5" w14:textId="48DE3EA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катеров железных 72</w:t>
      </w:r>
      <w:r w:rsidRPr="00E93F40">
        <w:rPr>
          <w:rFonts w:ascii="Times New Roman" w:hAnsi="Times New Roman"/>
          <w:color w:val="000000" w:themeColor="text1"/>
          <w:sz w:val="16"/>
          <w:szCs w:val="16"/>
        </w:rPr>
        <w:noBreakHyphen/>
        <w:t>120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сил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5D2631EA" w14:textId="1D63CCA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ДРСС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 1 шт.</w:t>
      </w:r>
    </w:p>
    <w:p w14:paraId="1D55C470" w14:textId="5253C28E"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СТФ</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 шт.</w:t>
      </w:r>
    </w:p>
    <w:p w14:paraId="7E5DBBC6"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Дальлеса — 1 шт.</w:t>
      </w:r>
    </w:p>
    <w:p w14:paraId="6CF998E2"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Дальрыба — 2 шт.</w:t>
      </w:r>
    </w:p>
    <w:p w14:paraId="3E6AFCFB" w14:textId="581B7AE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катеров деревянных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сил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2977EBCC" w14:textId="6B0DC37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СТФ</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 шт.</w:t>
      </w:r>
    </w:p>
    <w:p w14:paraId="789DB6F0" w14:textId="1F755DE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ДРСС</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 1 шт.</w:t>
      </w:r>
    </w:p>
    <w:p w14:paraId="5580207A" w14:textId="614B93E8"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АКО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 шт.</w:t>
      </w:r>
    </w:p>
    <w:p w14:paraId="2F6ADBF0" w14:textId="004F2993"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кранов 15</w:t>
      </w:r>
      <w:r w:rsidRPr="00E93F40">
        <w:rPr>
          <w:rFonts w:ascii="Times New Roman" w:hAnsi="Times New Roman"/>
          <w:color w:val="000000" w:themeColor="text1"/>
          <w:sz w:val="16"/>
          <w:szCs w:val="16"/>
        </w:rPr>
        <w:noBreakHyphen/>
        <w:t>ти тонных на рельсовом ходу новых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31844414" w14:textId="6341DE84"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Обязать проектирующие организации “Верфьстройпроект” сосредоточить по согласованию с Дальпромстроем разработку рабочих чертежей на площадке стооительства, для чего выделить 25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инженеров и техников проектировщиков.</w:t>
      </w:r>
    </w:p>
    <w:p w14:paraId="3A348E74" w14:textId="01D92DC8"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 Под ответственность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Бабаева:</w:t>
      </w:r>
    </w:p>
    <w:p w14:paraId="0D49D428" w14:textId="7440388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Немедленно выделить в IV</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Дальпромстрою 375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металла, 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Доценко обязать изготовить для Дальпромстроя барж металлических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тонных</w:t>
      </w:r>
    </w:p>
    <w:p w14:paraId="645CB81A" w14:textId="6BC03023"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1-му мая</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1933 г. ................... 1 шт.</w:t>
      </w:r>
    </w:p>
    <w:p w14:paraId="540FB8C7"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1-му июня 19ЗЗ г. ................... 1 шт.</w:t>
      </w:r>
    </w:p>
    <w:p w14:paraId="7A308361"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цистерн 100 тонных для керосина и бензина</w:t>
      </w:r>
    </w:p>
    <w:p w14:paraId="322D1F51"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1-му апреля 1933 г. ................ 1 шт.</w:t>
      </w:r>
    </w:p>
    <w:p w14:paraId="081742AB" w14:textId="1739F76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1-му мая</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1933 г. ................ 2 шт.</w:t>
      </w:r>
    </w:p>
    <w:p w14:paraId="7F653E3C" w14:textId="569B2B0A"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1-му июня</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 1933 г. ................ 2 шт.</w:t>
      </w:r>
    </w:p>
    <w:p w14:paraId="6A1172C3" w14:textId="6CF4F298"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Выдать до 1-го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Дальпромстрою узкоколейных рельс высотою 91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со скреплением и стрелочными переводами,</w:t>
      </w:r>
    </w:p>
    <w:p w14:paraId="3A6CA37E"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Угля .............. 500 тонн</w:t>
      </w:r>
    </w:p>
    <w:p w14:paraId="74C8EDE4"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Союзторфа ......... 250 тонн</w:t>
      </w:r>
    </w:p>
    <w:p w14:paraId="5B5B2ADA" w14:textId="32DCB06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Кагановича.</w:t>
      </w:r>
    </w:p>
    <w:p w14:paraId="5387E41B" w14:textId="2E650711"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Выделить Дальпромстрою не позже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 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лесопильных рам 750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м/м с необходимыми трансмиссиями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1F46C3C4"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НКПС ......... 2 шт.</w:t>
      </w:r>
    </w:p>
    <w:p w14:paraId="78D0F584"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числе за счет НКЛес ........ 2 шт.</w:t>
      </w:r>
    </w:p>
    <w:p w14:paraId="0367B574" w14:textId="6908FCE9"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Выделить Дальпромстрою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дорожных катков 2</w:t>
      </w:r>
      <w:r w:rsidRPr="00E93F40">
        <w:rPr>
          <w:rFonts w:ascii="Times New Roman" w:hAnsi="Times New Roman"/>
          <w:color w:val="000000" w:themeColor="text1"/>
          <w:sz w:val="16"/>
          <w:szCs w:val="16"/>
        </w:rPr>
        <w:noBreakHyphen/>
        <w:t>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тонных за счет Цудортранса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З</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3CA8D737" w14:textId="4D78DB7F"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Обязать завод “Рабочий Металлист”, “Кострома” изготовить Дальпромстрою 120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куб.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 вагонеток типа Вестерн в течении ноября-декабря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 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равными частями, а тов.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Бабаеву выделить для вышеуказанного завода 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тонн металла.</w:t>
      </w:r>
    </w:p>
    <w:p w14:paraId="34553C09" w14:textId="25E4FFCB"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Винтера:</w:t>
      </w:r>
    </w:p>
    <w:p w14:paraId="44ED040E" w14:textId="751D973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Выдать Дальпромстрою до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с Днепровского строительства</w:t>
      </w:r>
    </w:p>
    <w:p w14:paraId="53C15E4F" w14:textId="23527003"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станков глубокого бурения “Сандерса” или “Костона”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3C4BD2A4" w14:textId="08F8016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экскаваторов скальных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43DCC488" w14:textId="71D8649A"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кранов гусеничных 15</w:t>
      </w:r>
      <w:r w:rsidRPr="00E93F40">
        <w:rPr>
          <w:rFonts w:ascii="Times New Roman" w:hAnsi="Times New Roman"/>
          <w:color w:val="000000" w:themeColor="text1"/>
          <w:sz w:val="16"/>
          <w:szCs w:val="16"/>
        </w:rPr>
        <w:noBreakHyphen/>
        <w:t>ти тонных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076C5EEA" w14:textId="41BD8811"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Со Свирьстроя экскаваторов одноковшовых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6381F1C0" w14:textId="41BF3E2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Выдать до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Дальпромстрою с Рыковского Рудоуправления “Донбасс” комплектное оборудование электростанции, мощностью 1251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кВт турбогенераторов, распределительное устройство и электрооборудование.</w:t>
      </w:r>
    </w:p>
    <w:p w14:paraId="0B243C2D" w14:textId="6C889CBB"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Направить на площадку Дальпромстроя с Днепровского и других строительств Энергоцентра 29 высококвалифицированных специалистов по организации производства гидротехнических работ, из них: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человек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остальных не позже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февраля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082553A2" w14:textId="0668792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Ловина.</w:t>
      </w:r>
    </w:p>
    <w:p w14:paraId="1B0613B1" w14:textId="305BE7B6"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Выдать с Челябтракторостроя кран гусеничный 15</w:t>
      </w:r>
      <w:r w:rsidRPr="00E93F40">
        <w:rPr>
          <w:rFonts w:ascii="Times New Roman" w:hAnsi="Times New Roman"/>
          <w:color w:val="000000" w:themeColor="text1"/>
          <w:sz w:val="16"/>
          <w:szCs w:val="16"/>
        </w:rPr>
        <w:noBreakHyphen/>
        <w:t>ти тонный Дальпромстрою</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шт.</w:t>
      </w:r>
    </w:p>
    <w:p w14:paraId="532E3CB9" w14:textId="183A68DE"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Баранова.</w:t>
      </w:r>
    </w:p>
    <w:p w14:paraId="2FDC73BA" w14:textId="0D013D3A"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Выдать Дальпромстрою для обслуживания пассажирской и почтовой связи на линии Хабаровск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Пермская:</w:t>
      </w:r>
    </w:p>
    <w:p w14:paraId="37507D57"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гидро-самолетов .............. 2 шт.</w:t>
      </w:r>
    </w:p>
    <w:p w14:paraId="25E5331F" w14:textId="7777777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аэро-саней к 15 ноября 1932 г. 2 шт.</w:t>
      </w:r>
    </w:p>
    <w:p w14:paraId="64E6EECC" w14:textId="43C0AE83"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Жукова.</w:t>
      </w:r>
    </w:p>
    <w:p w14:paraId="0A63ED57" w14:textId="7B9360F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Для временной электростанции строительства Амурской судоверфи до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демонтировать и отгрузить Дальпромстрою со станции кр.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Коммунар котлы общей поверхности нагрева 1000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метров.</w:t>
      </w:r>
    </w:p>
    <w:p w14:paraId="3694E54B" w14:textId="4FFD8A7C"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Изготовить на Электрозаводе и отгрузить не позднее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апреля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силовой пониженный трансформатор 3</w:t>
      </w:r>
      <w:r w:rsidRPr="00E93F40">
        <w:rPr>
          <w:rFonts w:ascii="Times New Roman" w:hAnsi="Times New Roman"/>
          <w:color w:val="000000" w:themeColor="text1"/>
          <w:sz w:val="16"/>
          <w:szCs w:val="16"/>
        </w:rPr>
        <w:noBreakHyphen/>
        <w:t>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фазного переменного тока, мощностью 1260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кВт, коэффициент трансформации “3”, “50”, “350”.</w:t>
      </w:r>
    </w:p>
    <w:p w14:paraId="092D3B0D" w14:textId="75ABEB2F"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Из продукции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выделить и отгрузить Дальпромстрою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марта все недостающее для электростанции электрооборудование по спецификации Дальпромстроя.</w:t>
      </w:r>
    </w:p>
    <w:p w14:paraId="273F1C2B" w14:textId="0E73AF0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Серебровского.</w:t>
      </w:r>
    </w:p>
    <w:p w14:paraId="3B286B2C" w14:textId="6B0B0B9B"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Выделить для Дальпромстроя по его спецификациям не позже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кабеля бронированного в 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проводов и шнуров разных 150 километров.</w:t>
      </w:r>
    </w:p>
    <w:p w14:paraId="18A450C0" w14:textId="3C5A6ED2"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Москвина.</w:t>
      </w:r>
    </w:p>
    <w:p w14:paraId="72BAA073" w14:textId="4C8BC6B0"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Предложить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Москвину до 1</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января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со строек НКТП выделить 30 опытных инженеров и 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техников строителей.</w:t>
      </w:r>
    </w:p>
    <w:p w14:paraId="7CAA5FA6" w14:textId="4F541465"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Под ответственность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Смирнова.</w:t>
      </w:r>
    </w:p>
    <w:p w14:paraId="2F245785" w14:textId="09E17AF7"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Смирнова на действующих судостроительных заводах в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подготовить квалифицированных рабочих для Амурской судоверфи в количестве 3.500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чел.</w:t>
      </w:r>
    </w:p>
    <w:p w14:paraId="203E58AB" w14:textId="25D855AE"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Определить общий объем строительства Амурской судоверфи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году в сумме 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w:t>
      </w:r>
    </w:p>
    <w:p w14:paraId="12DC5950" w14:textId="4E41C1DA" w:rsidR="00BD5738" w:rsidRPr="00E93F40" w:rsidRDefault="00BD573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Народный комиссар тяжелой промышленности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Орджоникидзе (17862).</w:t>
      </w:r>
    </w:p>
    <w:p w14:paraId="2A5B0697" w14:textId="77777777" w:rsidR="00BD5738" w:rsidRPr="00E93F40" w:rsidRDefault="00BD5738" w:rsidP="00E93F40">
      <w:pPr>
        <w:spacing w:after="0" w:line="240" w:lineRule="auto"/>
        <w:jc w:val="both"/>
        <w:rPr>
          <w:rFonts w:ascii="Times New Roman" w:hAnsi="Times New Roman"/>
          <w:color w:val="000000" w:themeColor="text1"/>
          <w:sz w:val="16"/>
          <w:szCs w:val="16"/>
        </w:rPr>
      </w:pPr>
    </w:p>
    <w:p w14:paraId="01188F0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63292B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D328A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ноября 1932 Гроховский донес наркому о полетах в Красногвардейске на многоместном планере с полной нагрузкой, сообщив, что этим поставлен мировой рекорд (3822).</w:t>
      </w:r>
    </w:p>
    <w:p w14:paraId="16EA2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CE52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ноября 1932 вышло Постановление СТО N 1153-345сс о закупке технической помощи (3082).</w:t>
      </w:r>
    </w:p>
    <w:p w14:paraId="764802E8" w14:textId="77777777" w:rsidR="002812F6" w:rsidRPr="00E93F40" w:rsidRDefault="002812F6" w:rsidP="00E93F40">
      <w:pPr>
        <w:pStyle w:val="rtejustify"/>
        <w:spacing w:before="0" w:after="0"/>
        <w:rPr>
          <w:color w:val="000000" w:themeColor="text1"/>
          <w:sz w:val="16"/>
          <w:szCs w:val="16"/>
        </w:rPr>
      </w:pPr>
    </w:p>
    <w:p w14:paraId="43A4629C" w14:textId="3D5A3484" w:rsidR="002812F6" w:rsidRPr="00E93F40" w:rsidRDefault="002812F6" w:rsidP="00E93F40">
      <w:pPr>
        <w:pStyle w:val="rtejustify"/>
        <w:spacing w:before="0" w:after="0"/>
        <w:rPr>
          <w:color w:val="000000" w:themeColor="text1"/>
          <w:sz w:val="16"/>
          <w:szCs w:val="16"/>
        </w:rPr>
      </w:pPr>
      <w:r w:rsidRPr="00E93F40">
        <w:rPr>
          <w:color w:val="000000" w:themeColor="text1"/>
          <w:sz w:val="16"/>
          <w:szCs w:val="16"/>
        </w:rPr>
        <w:t>14</w:t>
      </w:r>
      <w:r w:rsidR="007C1411" w:rsidRPr="00E93F40">
        <w:rPr>
          <w:color w:val="000000" w:themeColor="text1"/>
          <w:sz w:val="16"/>
          <w:szCs w:val="16"/>
        </w:rPr>
        <w:t xml:space="preserve"> </w:t>
      </w:r>
      <w:r w:rsidRPr="00E93F40">
        <w:rPr>
          <w:color w:val="000000" w:themeColor="text1"/>
          <w:sz w:val="16"/>
          <w:szCs w:val="16"/>
        </w:rPr>
        <w:t>ноября 1932</w:t>
      </w:r>
      <w:r w:rsidR="007C1411" w:rsidRPr="00E93F40">
        <w:rPr>
          <w:color w:val="000000" w:themeColor="text1"/>
          <w:sz w:val="16"/>
          <w:szCs w:val="16"/>
        </w:rPr>
        <w:t xml:space="preserve"> </w:t>
      </w:r>
      <w:r w:rsidRPr="00E93F40">
        <w:rPr>
          <w:color w:val="000000" w:themeColor="text1"/>
          <w:sz w:val="16"/>
          <w:szCs w:val="16"/>
        </w:rPr>
        <w:t xml:space="preserve">г. на основании постановления особого совещания при Секторе обороны Госплана СССР для объединения и руководства </w:t>
      </w:r>
      <w:r w:rsidRPr="00E93F40">
        <w:rPr>
          <w:rStyle w:val="af0"/>
          <w:bCs/>
          <w:i w:val="0"/>
          <w:color w:val="000000" w:themeColor="text1"/>
          <w:sz w:val="16"/>
          <w:szCs w:val="16"/>
        </w:rPr>
        <w:t>работами по изучению стратосферы</w:t>
      </w:r>
      <w:r w:rsidRPr="00E93F40">
        <w:rPr>
          <w:color w:val="000000" w:themeColor="text1"/>
          <w:sz w:val="16"/>
          <w:szCs w:val="16"/>
        </w:rPr>
        <w:t xml:space="preserve"> была образована постоянная рабочая комиссия при Государственном геофизическом институте. В состав комиссии вошли постоянные представители УВВС, Академии военного флота, НИИ УВВС, ГУГВФ, Дирижаблестроя, ГУАП, ЦАГИ, Осоавиахима, Сектора обороны Госплана и Геофизического института. Комиссия находилась в ведении Сектора обороны, подчинялась его директивам и должна была организовывать, планировать и распределять работы по изучению стратосферы между отдельными учреждениями. В докладной записке И.</w:t>
      </w:r>
      <w:r w:rsidR="007C1411" w:rsidRPr="00E93F40">
        <w:rPr>
          <w:color w:val="000000" w:themeColor="text1"/>
          <w:sz w:val="16"/>
          <w:szCs w:val="16"/>
        </w:rPr>
        <w:t xml:space="preserve"> </w:t>
      </w:r>
      <w:r w:rsidRPr="00E93F40">
        <w:rPr>
          <w:color w:val="000000" w:themeColor="text1"/>
          <w:sz w:val="16"/>
          <w:szCs w:val="16"/>
        </w:rPr>
        <w:t>С.</w:t>
      </w:r>
      <w:r w:rsidR="007C1411" w:rsidRPr="00E93F40">
        <w:rPr>
          <w:color w:val="000000" w:themeColor="text1"/>
          <w:sz w:val="16"/>
          <w:szCs w:val="16"/>
        </w:rPr>
        <w:t xml:space="preserve"> </w:t>
      </w:r>
      <w:r w:rsidRPr="00E93F40">
        <w:rPr>
          <w:color w:val="000000" w:themeColor="text1"/>
          <w:sz w:val="16"/>
          <w:szCs w:val="16"/>
        </w:rPr>
        <w:t>Уншлихта в СТО</w:t>
      </w:r>
      <w:r w:rsidR="007C1411" w:rsidRPr="00E93F40">
        <w:rPr>
          <w:color w:val="000000" w:themeColor="text1"/>
          <w:sz w:val="16"/>
          <w:szCs w:val="16"/>
        </w:rPr>
        <w:t xml:space="preserve"> </w:t>
      </w:r>
      <w:r w:rsidRPr="00E93F40">
        <w:rPr>
          <w:color w:val="000000" w:themeColor="text1"/>
          <w:sz w:val="16"/>
          <w:szCs w:val="16"/>
        </w:rPr>
        <w:t>СССР от 17</w:t>
      </w:r>
      <w:r w:rsidR="007C1411" w:rsidRPr="00E93F40">
        <w:rPr>
          <w:color w:val="000000" w:themeColor="text1"/>
          <w:sz w:val="16"/>
          <w:szCs w:val="16"/>
        </w:rPr>
        <w:t xml:space="preserve"> </w:t>
      </w:r>
      <w:r w:rsidRPr="00E93F40">
        <w:rPr>
          <w:color w:val="000000" w:themeColor="text1"/>
          <w:sz w:val="16"/>
          <w:szCs w:val="16"/>
        </w:rPr>
        <w:t>января 1933</w:t>
      </w:r>
      <w:r w:rsidR="007C1411" w:rsidRPr="00E93F40">
        <w:rPr>
          <w:color w:val="000000" w:themeColor="text1"/>
          <w:sz w:val="16"/>
          <w:szCs w:val="16"/>
        </w:rPr>
        <w:t xml:space="preserve"> </w:t>
      </w:r>
      <w:r w:rsidRPr="00E93F40">
        <w:rPr>
          <w:color w:val="000000" w:themeColor="text1"/>
          <w:sz w:val="16"/>
          <w:szCs w:val="16"/>
        </w:rPr>
        <w:t>г. говорилось: «Супервысотная авиация, над созданием которой усиленно работают передовые капиталистические страны, имеет большое оборонное значение для СССР. Возможность получения больших скоростей полета в условиях наиболее благоприятных с метеорологической точки зрения, недосягаемость для зенитной артиллерии и скрытность самого полета, возможность открытия нового этапа в технике авиации</w:t>
      </w:r>
      <w:r w:rsidR="007C1411" w:rsidRPr="00E93F40">
        <w:rPr>
          <w:color w:val="000000" w:themeColor="text1"/>
          <w:sz w:val="16"/>
          <w:szCs w:val="16"/>
        </w:rPr>
        <w:t xml:space="preserve"> </w:t>
      </w:r>
      <w:r w:rsidRPr="00E93F40">
        <w:rPr>
          <w:color w:val="000000" w:themeColor="text1"/>
          <w:sz w:val="16"/>
          <w:szCs w:val="16"/>
        </w:rPr>
        <w:t>— все это обуславливает необходимость максимального форсирования развития этого дела в нашей стране». Подчеркивалось, что для решения проблем «суперавиации», необходимо решать две задачи: изучение стратосферы и строительство самих летательных аппаратов. Предлагалось руководство работой возложить на специальную организацию, способную обеспечить форсированный темп проведения работ и выделить 2,5</w:t>
      </w:r>
      <w:r w:rsidR="007C1411" w:rsidRPr="00E93F40">
        <w:rPr>
          <w:color w:val="000000" w:themeColor="text1"/>
          <w:sz w:val="16"/>
          <w:szCs w:val="16"/>
        </w:rPr>
        <w:t xml:space="preserve"> </w:t>
      </w:r>
      <w:r w:rsidRPr="00E93F40">
        <w:rPr>
          <w:color w:val="000000" w:themeColor="text1"/>
          <w:sz w:val="16"/>
          <w:szCs w:val="16"/>
        </w:rPr>
        <w:t>млн.</w:t>
      </w:r>
      <w:r w:rsidR="007C1411" w:rsidRPr="00E93F40">
        <w:rPr>
          <w:color w:val="000000" w:themeColor="text1"/>
          <w:sz w:val="16"/>
          <w:szCs w:val="16"/>
        </w:rPr>
        <w:t xml:space="preserve"> </w:t>
      </w:r>
      <w:r w:rsidRPr="00E93F40">
        <w:rPr>
          <w:color w:val="000000" w:themeColor="text1"/>
          <w:sz w:val="16"/>
          <w:szCs w:val="16"/>
        </w:rPr>
        <w:t>руб. для финансирования в плановом порядке. (РГАЭ. Ф.</w:t>
      </w:r>
      <w:r w:rsidR="007C1411" w:rsidRPr="00E93F40">
        <w:rPr>
          <w:color w:val="000000" w:themeColor="text1"/>
          <w:sz w:val="16"/>
          <w:szCs w:val="16"/>
        </w:rPr>
        <w:t xml:space="preserve"> </w:t>
      </w:r>
      <w:r w:rsidRPr="00E93F40">
        <w:rPr>
          <w:color w:val="000000" w:themeColor="text1"/>
          <w:sz w:val="16"/>
          <w:szCs w:val="16"/>
        </w:rPr>
        <w:t>4372. Оп.</w:t>
      </w:r>
      <w:r w:rsidR="007C1411" w:rsidRPr="00E93F40">
        <w:rPr>
          <w:color w:val="000000" w:themeColor="text1"/>
          <w:sz w:val="16"/>
          <w:szCs w:val="16"/>
        </w:rPr>
        <w:t xml:space="preserve"> </w:t>
      </w:r>
      <w:r w:rsidRPr="00E93F40">
        <w:rPr>
          <w:color w:val="000000" w:themeColor="text1"/>
          <w:sz w:val="16"/>
          <w:szCs w:val="16"/>
        </w:rPr>
        <w:t>91. Д.</w:t>
      </w:r>
      <w:r w:rsidR="007C1411" w:rsidRPr="00E93F40">
        <w:rPr>
          <w:color w:val="000000" w:themeColor="text1"/>
          <w:sz w:val="16"/>
          <w:szCs w:val="16"/>
        </w:rPr>
        <w:t xml:space="preserve"> </w:t>
      </w:r>
      <w:r w:rsidRPr="00E93F40">
        <w:rPr>
          <w:color w:val="000000" w:themeColor="text1"/>
          <w:sz w:val="16"/>
          <w:szCs w:val="16"/>
        </w:rPr>
        <w:t>1076. Л.</w:t>
      </w:r>
      <w:r w:rsidR="007C1411" w:rsidRPr="00E93F40">
        <w:rPr>
          <w:color w:val="000000" w:themeColor="text1"/>
          <w:sz w:val="16"/>
          <w:szCs w:val="16"/>
        </w:rPr>
        <w:t xml:space="preserve"> </w:t>
      </w:r>
      <w:r w:rsidRPr="00E93F40">
        <w:rPr>
          <w:color w:val="000000" w:themeColor="text1"/>
          <w:sz w:val="16"/>
          <w:szCs w:val="16"/>
        </w:rPr>
        <w:t>134</w:t>
      </w:r>
      <w:r w:rsidRPr="00E93F40">
        <w:rPr>
          <w:color w:val="000000" w:themeColor="text1"/>
          <w:sz w:val="16"/>
          <w:szCs w:val="16"/>
        </w:rPr>
        <w:noBreakHyphen/>
        <w:t>132; Л.</w:t>
      </w:r>
      <w:r w:rsidR="007C1411" w:rsidRPr="00E93F40">
        <w:rPr>
          <w:color w:val="000000" w:themeColor="text1"/>
          <w:sz w:val="16"/>
          <w:szCs w:val="16"/>
        </w:rPr>
        <w:t xml:space="preserve"> </w:t>
      </w:r>
      <w:r w:rsidRPr="00E93F40">
        <w:rPr>
          <w:color w:val="000000" w:themeColor="text1"/>
          <w:sz w:val="16"/>
          <w:szCs w:val="16"/>
        </w:rPr>
        <w:t>147</w:t>
      </w:r>
      <w:r w:rsidRPr="00E93F40">
        <w:rPr>
          <w:color w:val="000000" w:themeColor="text1"/>
          <w:sz w:val="16"/>
          <w:szCs w:val="16"/>
        </w:rPr>
        <w:noBreakHyphen/>
        <w:t>146) (15266).</w:t>
      </w:r>
    </w:p>
    <w:p w14:paraId="1467DCE8" w14:textId="77777777" w:rsidR="002812F6" w:rsidRPr="00E93F40" w:rsidRDefault="002812F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9268C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ECA727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96D0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ноября 1932 г. за успешное проектирование новых танков Т-26 и Т-28 решением КО СССР высшей наградой - орденом Ленина - были награждены начальник ОКМО Н. Баранов, технический руководитель ОКМО О. Иванов, начальник КБ ОКМО С. Гинзбург, руководитель опытного участка ОКМО И. Иванов (10733,233).</w:t>
      </w:r>
    </w:p>
    <w:p w14:paraId="0FDA9B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160AC5"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ноября 1932 года за успешно законченное конструирование танка Т-28 решением Комитета обороны СССР высшая награда СССР – орден Ленина – была вручена начальнику ОКМО Баранову Н.В., техническому руководителю конструкторского бюро ОКМО Иванову О.М., начальнику конструкторского бюро ОКМО Гинзбургу С.А. и бригадиру сборочного цеха ОКМО, руководившему сборкой опытного образца Т-28, Иванову И.И. Кроме того, пять рабочих и мастеров наградили орденами Трудового Красного Знамени и восемь человек почетными грамотами ВЦИКа (24998).</w:t>
      </w:r>
    </w:p>
    <w:p w14:paraId="18A8084D" w14:textId="77777777" w:rsidR="00D33067" w:rsidRPr="00142305" w:rsidRDefault="00D33067" w:rsidP="00D33067">
      <w:pPr>
        <w:spacing w:after="0" w:line="240" w:lineRule="auto"/>
        <w:jc w:val="both"/>
        <w:rPr>
          <w:rFonts w:ascii="Times New Roman" w:hAnsi="Times New Roman"/>
          <w:color w:val="0070C0"/>
          <w:sz w:val="16"/>
          <w:szCs w:val="16"/>
        </w:rPr>
      </w:pPr>
    </w:p>
    <w:p w14:paraId="509995B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2F109A8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0587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14 ноября 1932 в торпедном отряде, который с июля 1931 занимался испытаниями нового оружия под командованием летчика Морозова на аэродроме в Каче в ходе войсковых испытаний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0E3BBF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251E1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0E406B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585C8C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718B5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E6DE4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8EAA99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ABB3BA3"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14–18 ноября 1932 Эми Джонсон бьет рекорд скорости полета из Соединенного Королевства в Кейптаун, сокращая рекорд Моллисона, установленный в марте, на 11 часов. Она летает на мотыльке de Havilland Puss Moth (20803).</w:t>
      </w:r>
    </w:p>
    <w:p w14:paraId="4BEBA5CB" w14:textId="77777777" w:rsidR="00577A1D" w:rsidRPr="00E93F40" w:rsidRDefault="00577A1D" w:rsidP="00E93F40">
      <w:pPr>
        <w:spacing w:after="0" w:line="240" w:lineRule="auto"/>
        <w:jc w:val="both"/>
        <w:rPr>
          <w:rFonts w:ascii="Times New Roman" w:hAnsi="Times New Roman"/>
          <w:color w:val="000000" w:themeColor="text1"/>
          <w:sz w:val="16"/>
          <w:szCs w:val="16"/>
        </w:rPr>
      </w:pPr>
    </w:p>
    <w:p w14:paraId="5D796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ноября 1932 в Югославии сербские и хорватские демократы выступили против диктаторских полномочий и потребовали новой Конституции (3481).</w:t>
      </w:r>
    </w:p>
    <w:p w14:paraId="15A2B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22680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8FE9F8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B39D7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ноября 1932 г. вышл номер заводской газеты "Стальной Молотовец" (тушинский завод в ту пору носил имя В.М.Молотова) № 13, посвященной выпуску 1-го самолета.</w:t>
      </w:r>
    </w:p>
    <w:p w14:paraId="04FDE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Рапорт трудового коллектива (стиль и орфография сохранены): "Молотовцы приступили к массовому выпуску продукции.</w:t>
      </w:r>
    </w:p>
    <w:p w14:paraId="1B6C60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Генеральному секретарю ЦК ВКП(б) тов. Сталину, председателю совнаркома СССР тов. Молотову, секретарю МК ВКП(б) тов. Кагановичу, секретарю РК ВКП(б) тов. Тупину.</w:t>
      </w:r>
    </w:p>
    <w:p w14:paraId="27AC5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января 1932 г. была начата по постановлению правительства постройка завода, а 6 ноября через 101/2 месяцев коллектив рабочих, ИТР и служащих завода им. тов. Молотова под ленинским руководством ЦК ВКП(б), МК ВКП(б) и РК ВКП(б) в непримиримой борьбе с контрреволюционным троцкизмом, правым оппортунизмом, как главной опасностью на современном этапе социалистического строительства и примиренчества к ним, закончили выпуск первой продукции. Применение метода электросварки в корне меняет всю технику производства и открывает громадные перспективы. На смену индивидуальному методу обработки деталей выступает массовое производство. Эта победа рабочих, ИТР, пришедших на завод в своей массе почти без всякого опыта в области производства, освоивших новое, в большинстве своем, импортное оборудование и новую технику нашего производства - есть результат правильности генеральной линии партии, твердо проводимой большевистским ЦК ВКП(б) во главе с вождем партии тов. Сталиным, и результат упорной борьбы с трудностями роста нашего завода, партийной, профсоюзной и комсомольской организации, рабочих и ИТР завода им. Молотова. Ударники, рабочие и технический персонал завода, не взирая на достигнутые первые успехи, будут с еще большей энергией драться за полное проведение в жизнь 6 исторических условий тов. Сталина, за выполнение программы IV-го квартала, за обеспечениемассового производства продукции, за дальнейшее детальное овладение техникой на всех участках процесса производства, за построение бесклассового социалистического общества.</w:t>
      </w:r>
    </w:p>
    <w:p w14:paraId="1A5766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 здравствует ленинский ЦК ВКП(б)!</w:t>
      </w:r>
    </w:p>
    <w:p w14:paraId="260A20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 здравствует верный продолжатель дела Ленина, большевик из большевиков стальной Сталин.</w:t>
      </w:r>
    </w:p>
    <w:p w14:paraId="6D9B6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поручению собрания рабочих, ИТР. Директор завода им. Молотова Вяльцев. Секретарь парткома Павлинов. Пред. завкома Горошкин. Секретарь комитета КСМ Дорошенко ".</w:t>
      </w:r>
    </w:p>
    <w:p w14:paraId="7E8AC1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один документ.</w:t>
      </w:r>
    </w:p>
    <w:p w14:paraId="2C2CF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"Мастерская № 13 в борьбе за первую продукцию.</w:t>
      </w:r>
    </w:p>
    <w:p w14:paraId="54DE8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Поздно мастерская № 13 приступила к изготовлению деталей на первую продукцию. До этого времени мастерская работала по изготовлению приспособлений для других мастерских, а половина мастерской была откомандирована в помощь мастерской Зиновьева. Помня обещание, данное партии и правительству, на общем собрании мастерской мы объявили себя мобилизованными, и решили напрячь все силы, чтобы в срок выполнить программу. Дружно, по-большевистски, ударными темпами взялись за работу. Если бы не отсутствие деталей работа выполнена была бы раньше срока. Особенно выделялась бригада тов. Петрова, которая, чтобы изготовить приспособление для мастера Зиновьева, работала с 8 час. до 9 час. утра следующего дня, и каждый день работала по 15 час. Бригада тов. Алешина, следуя их примеру, тоже работала по 15 и по 20 час. в сутки. Остальные бригады по мере поступления деталей все свои силы отдавали, лишь бы выполнить программу.</w:t>
      </w:r>
    </w:p>
    <w:p w14:paraId="78CA2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Особенно примерно работал тов. Котов. Однако некоторые товарищи, как Артемьев и Гусев, не особенно добросовестно брались за работу. План по первой продукции выполнен. Но это лишь только начало нашей работы. Те ошибки и недочеты, тот опыт, который приобретен нами при выпуске первой продукции, должен быть использован в дальнейшем. Так же дружно и добросовестно пойдем к массовому выпуску продукции, которую ждет от нас партия и правительство.</w:t>
      </w:r>
    </w:p>
    <w:p w14:paraId="7E2A1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Успенский " (11200).</w:t>
      </w:r>
    </w:p>
    <w:p w14:paraId="2F6DF0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9EA68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C68067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CD5CAA"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ноября 1932 г.</w:t>
      </w:r>
    </w:p>
    <w:p w14:paraId="6C688FF1"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РГВА Фонд 31811 Опись 3 Дело 51 лист 293 </w:t>
      </w:r>
    </w:p>
    <w:p w14:paraId="0266F482"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Секретно </w:t>
      </w:r>
    </w:p>
    <w:p w14:paraId="42BEDEB1"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Лит. "А" </w:t>
      </w:r>
    </w:p>
    <w:p w14:paraId="2F720060"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Экз. № 1</w:t>
      </w:r>
    </w:p>
    <w:p w14:paraId="438525B6"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02168-К </w:t>
      </w:r>
    </w:p>
    <w:p w14:paraId="660491DA"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15/ХI-1932 г.</w:t>
      </w:r>
    </w:p>
    <w:p w14:paraId="585C571F"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опытных работ по дизельному отделу</w:t>
      </w:r>
    </w:p>
    <w:p w14:paraId="698734EC"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Проектирование Б-Д2 таково: коренной вал, верхний и нижний картеры, блок со впусками, поршень с шатуном, головка, всасывающие и выхлопные клапана, передача и водяной насос разработаны в рабочих чертежах и проверяются. Разработка остальных комплектов не начата. </w:t>
      </w:r>
    </w:p>
    <w:p w14:paraId="03063AD3"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обработке деталей мотора 0-1 НАТИ изготовлено 160 штук 58 наименований. </w:t>
      </w:r>
    </w:p>
    <w:p w14:paraId="210B5226"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Двухцилиндровая секция мотора БД-14 поставлена на станд и производится испытание. </w:t>
      </w:r>
    </w:p>
    <w:p w14:paraId="4A5B36B3"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программа испытания.</w:t>
      </w:r>
    </w:p>
    <w:p w14:paraId="284E5908"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 Военный Представитель по опытным работам </w:t>
      </w:r>
    </w:p>
    <w:p w14:paraId="60BA3FE0"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подпись (Кинсбургский)</w:t>
      </w:r>
    </w:p>
    <w:p w14:paraId="64316883"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Фонд 31811 Опись 3 Дело 51 лист 294 – 295</w:t>
      </w:r>
    </w:p>
    <w:p w14:paraId="56835842"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ПРОГРАММА ИСПЫТАНИЙ БД-14</w:t>
      </w:r>
    </w:p>
    <w:p w14:paraId="07DDC0AF"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Предварительные работы. </w:t>
      </w:r>
    </w:p>
    <w:p w14:paraId="6135B1D8"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Проверка правильности монтажа и освоение агрегата обслуживающим персоналом. </w:t>
      </w:r>
    </w:p>
    <w:p w14:paraId="63F4951E"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Определение способности исполненного двигателя работать на запроектированных оборотах. </w:t>
      </w:r>
    </w:p>
    <w:p w14:paraId="39097E16"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Определение истинной характеристики двигателя. </w:t>
      </w:r>
    </w:p>
    <w:p w14:paraId="3C36D1D5"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 Определение эксплоатационных качеств двигателя при 1 варианте комплектов. </w:t>
      </w:r>
    </w:p>
    <w:p w14:paraId="1E1CA8EE"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Экспериментальные работы.</w:t>
      </w:r>
    </w:p>
    <w:p w14:paraId="4C89700D"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А</w:t>
      </w:r>
    </w:p>
    <w:p w14:paraId="4F9C8866"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Предварительные работы заключаются в опробовании установки и механизмов, обслуживающих двигатель, к ним относится: </w:t>
      </w:r>
    </w:p>
    <w:p w14:paraId="43299D8D"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Опробование электрической части установки. </w:t>
      </w:r>
    </w:p>
    <w:p w14:paraId="2E8E04AA"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Опробование циркуляционной масляной установки. </w:t>
      </w:r>
    </w:p>
    <w:p w14:paraId="1955AA74"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Опробование системы топливо снабжения. </w:t>
      </w:r>
    </w:p>
    <w:p w14:paraId="0678DC91"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Опробование подачи охлаждающей воды. </w:t>
      </w:r>
    </w:p>
    <w:p w14:paraId="65B25188"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p>
    <w:p w14:paraId="04EECAB7"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Проверка качества монтажа и освоение агрегата персоналом заключается в 1) Осмотре соединений двигателя, 2) Проверки распределения, 3) Обкатка двигателя в холостую при выключенных топливных насосах с постепенным увеличением числа оборотов и длительностью непрерывной работы, 4) Обкатка двигателя в холостую при включенных топливных насосах с постепенным увеличением длительности и числа оборотов, 5) Тщательный осмотр двигателя с выемкой поршней, проверка распределения, осмотр и притирка клапанов, форсунок нефтяного насоса. </w:t>
      </w:r>
    </w:p>
    <w:p w14:paraId="57E38F11"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w:t>
      </w:r>
    </w:p>
    <w:p w14:paraId="4FF46F0B"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Постепенное увеличение от 0 до 100 % нагрузки, увеличение от 600 – 700 до 1600 – 1700 об/мин и увеличение длительности работы двигателя с доведением оборотов и нагрузки до 100 % и непрерывной длительности работы в 2 – 3 часа. </w:t>
      </w:r>
    </w:p>
    <w:p w14:paraId="6F54DA1A"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w:t>
      </w:r>
    </w:p>
    <w:p w14:paraId="254000DF"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Определение истинной характеристики двигателя будет заключаться в подборе, путем изменения, величин оборотов, нагрузки углов и качества подачи топлива для наиболее устойчивой работы двигателя при минимальной тепловой нагрузке на отдельные ею части при этом будут определяться следующие характерные величины: мощность, обороты, удельные расходы топлива, воды и смазки, т. давление вспышки, сжатия, наивыгоднейший угол подачи топлива. </w:t>
      </w:r>
    </w:p>
    <w:p w14:paraId="236E345E"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w:t>
      </w:r>
    </w:p>
    <w:p w14:paraId="55DBCD51"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Определение эксплоатационных качеств двигателя при работе на 1 варианте комплектов будет состоять в 1) Контрольных испытаниях на длительность безостановочной работы двигателя при полной нагрузке и оборотах в течение 10 часов с замерами расходов топлива, воды, смазки, температур. 2) Осмотр распределения и трущихся частей после контрольных испытаний. 3) 50 часов работы двигателя при полной нагрузке с последующим контрольным осмотром движения и распределения. </w:t>
      </w:r>
    </w:p>
    <w:p w14:paraId="6C608E17"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w:t>
      </w:r>
    </w:p>
    <w:p w14:paraId="4F37F740"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Экспериментальные работы будут заключаться в 1) работе на различных конструкциях форсунок конструкции ГХПЗ – открытая форсунка, форсунка "БОШ" с различным числом отверстий и диаметров в сопле. 2) В работе на разных насосах конструкции ГХПЗ с одной общей скалкой на 2 цилиндра, с отдельными скалками. Насос "БОШ". </w:t>
      </w:r>
    </w:p>
    <w:p w14:paraId="3115257F"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двигателя с разными формами камеры горения – изменение формы днища поршня. Переделка двигателя с четырехтактного на двухтактный и его испытания и т.д.</w:t>
      </w:r>
    </w:p>
    <w:p w14:paraId="134C4B69"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СЕКЦИЯ ИССЛЕДОВАНИЯ ДЗК подпись </w:t>
      </w:r>
    </w:p>
    <w:p w14:paraId="70F5BF8D" w14:textId="77777777" w:rsidR="00220371" w:rsidRPr="00E93F40" w:rsidRDefault="0022037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УТВЕРЖДАЮ: НАЧ. "ДзО" (24880).</w:t>
      </w:r>
    </w:p>
    <w:p w14:paraId="1EC27E35" w14:textId="77777777" w:rsidR="00220371" w:rsidRPr="00E93F40" w:rsidRDefault="00220371" w:rsidP="00E93F40">
      <w:pPr>
        <w:spacing w:after="0" w:line="240" w:lineRule="auto"/>
        <w:jc w:val="both"/>
        <w:rPr>
          <w:rFonts w:ascii="Times New Roman" w:hAnsi="Times New Roman"/>
          <w:color w:val="000000" w:themeColor="text1"/>
          <w:sz w:val="16"/>
          <w:szCs w:val="16"/>
        </w:rPr>
      </w:pPr>
    </w:p>
    <w:p w14:paraId="0DCC4F75" w14:textId="401197F0"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вышло постановление ЦИК и СНК СССР об ответственности за прогулы. Согласно ему, руководство заводов имело право за однократный прогул без уважительной причины уволить работника с лишением его продовольственных карточек и права на квартиру. По документам машиностроительного цеха видно, что после данного постановления начались массовые увольнения, главным образом за прогулы. Начальник цеха успел уволить 77 человек, после чего сам тоже был уволен за прогул. [105 — ГУ ЦАНО, Ф. 2941, Д. 27, Л. 78.]. В среднем в 1932–1933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на заводе Новое Сормово № 92 ежемесячно увольнялись в основном за прогулы 140–160 человек. Однако нередко бывали случаи, что подписанный на скорую руку приказ об увольнении впоследствии заменялся выговором или вообще отменялся. Например, помощник начальника отдела ОТК Поярков был уволен 13 февраля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 23 февраля восстановлен с одновременным выговором, [106 — Там же, Д. 15, Л. 123.] раздатчица Суворова уволена за прогул 19 марта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 затем 1 апреля восстановлена. Отмечались факты сокрытия прогульщиков, огромное количество административных отпусков, в основном оформленных задним числом. Имело место принятие рабочих и служащих на работу в обход приказов директора и даже отдела кадров. Одним из доказательств наличия на предприятии нелегальной рабочей силы является большое расхождение между официальным числом работающих и числом пайков, запрашиваемых цехами. Порой оно достигало 5–7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[107 — Там же, Л. 211.]</w:t>
      </w:r>
    </w:p>
    <w:p w14:paraId="721101A2" w14:textId="2AD8BFB9"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приказе по заводу от 27 января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отмечался ряд случаев использования нелегальной рабочей силы:</w:t>
      </w:r>
    </w:p>
    <w:p w14:paraId="1178A4A8" w14:textId="23DE34F0"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отделом рабочего снабжения (ОРС), помимо отдела найма, была принята на работу гражданка Беляева;</w:t>
      </w:r>
    </w:p>
    <w:p w14:paraId="5C517DCC" w14:textId="3860909E"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конторщица Воронова после приказа об увольнении фактически была переведена в сборочный цех;</w:t>
      </w:r>
    </w:p>
    <w:p w14:paraId="3D53E0DD" w14:textId="61A88F4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сотрудница главной бухгалтерии Бакорлова после приказа об увольнении была незаконно переведена в ремонтно-механический цех;</w:t>
      </w:r>
    </w:p>
    <w:p w14:paraId="55E64B63" w14:textId="433199F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маляр Скоробогатов, уволенный за прогул, фактически был переведен в сборочный цех. [108 — ГУ ЦАНО, Ф. 2941, Д. 111, Л. 34.]</w:t>
      </w:r>
    </w:p>
    <w:p w14:paraId="7EE6EB47" w14:textId="6BC5C7C2"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увольнения за прогулы стали редкостью, так как предприятие стало остро ощущать нехватку рабочей силы. В цеховых документах уже встречаются случаи, когда даже за прогулы четырех дней подряд рабочие отделывались строгим выговором (11741).</w:t>
      </w:r>
    </w:p>
    <w:p w14:paraId="7BDD0C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8B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15 ноября 1932 года по 1 января 1933 г. в КБ ЛМЗ были разработаны рабочие чертежи новых модернизированных 6/45-дюймовых станков с углом вертикального наведения +40. Впервые в 6/45-дюймовых станках был применен гидропневматический накатник вместо пружинного. Противооткатные устройства расположены над стволом. Ствол и затвор остались практически без изменений. Дульный тормоз отсутствовал. Приводы наведения ручные. Щит коробчатый. Прицел ЛМЗ обр. 1929 г. Предусмотрена возможность применения приборов управления артиллерийским огнем (ПУАО). Система предназначалась для военного округа на Дальнем Востоке (3861).</w:t>
      </w:r>
    </w:p>
    <w:p w14:paraId="1C0AFC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73E6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ноября 1932 г. Уральский научно-исследовательский углехимический институт. Приказами Наркомата тяжелой промышленности СССР переименовывался в Уральский углекоксовый институт, 1933 г. - в Свердловский научно-исследовательский углекоксовый институт "Углекокс", 8 декабря 1935 г. - в Восточный научно-исследовательский углехимический институт (ВУХИН) (12102).</w:t>
      </w:r>
    </w:p>
    <w:p w14:paraId="3556C335" w14:textId="77777777" w:rsidR="00742933" w:rsidRPr="00E93F40" w:rsidRDefault="0074293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8B9AC0"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15 ноября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1415/418сс о расчистке лесных площадей второй очереди для оборонных целей по БССР, УССР и Ленинградской области (ГА РФ. Ф. Р?8418. Оп. 28. Д. 1а. Л. 379) (12415).</w:t>
      </w:r>
    </w:p>
    <w:p w14:paraId="72BC9110"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4716006F" w14:textId="77777777" w:rsidR="00742933" w:rsidRPr="00E93F40" w:rsidRDefault="00742933"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15 ноября 1932 </w:t>
      </w:r>
      <w:r w:rsidRPr="00E93F40">
        <w:rPr>
          <w:rFonts w:ascii="Times New Roman" w:hAnsi="Times New Roman"/>
          <w:color w:val="000000" w:themeColor="text1"/>
          <w:sz w:val="16"/>
          <w:szCs w:val="16"/>
        </w:rPr>
        <w:t>ЦИК и СНК приняли постановление «Об увольнении за прогул без уважительных причин» (12265).</w:t>
      </w:r>
    </w:p>
    <w:p w14:paraId="321B7246" w14:textId="50EE4960" w:rsidR="00742933"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61FBBA0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11B724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FC1DA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ноября 1932 в СССР утверждено постановление об увольнении за прогул без уважительной причины (4962).</w:t>
      </w:r>
    </w:p>
    <w:p w14:paraId="370A864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CE403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ноября 1932 приняты новые меры по укреплению трудовой дисциплины: рабочий может быть уволен за один прогул (и теряет все преимущества, которые ему дает работа: жилье, продовольственную карточку и т.п.) (4962).</w:t>
      </w:r>
    </w:p>
    <w:p w14:paraId="688333F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6D29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ноября 1932 вышло постановление об укреплении трудовой дисциплины (1248,200) - рабочий за один прогул подлежал увольнению и утрачивал все преимущества, которые давала работу - жилье, продовольственную карточку (3908,338).</w:t>
      </w:r>
    </w:p>
    <w:p w14:paraId="52CACD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3B766E" w14:textId="332A88EA" w:rsidR="00446E58" w:rsidRPr="00E93F40" w:rsidRDefault="00446E5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По закону от 15 ноября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рабочий, отсутствовавший на работе в течение одного дня без уважительной причины, подлежит увольнению и - что является значительно более серьезной угрозой в русских условиях - подлежит выселению из квартиры, если он проживает в ведомственном доме, а это, как правило, обычно для промышленных рабочих, шахтеров и т. д.</w:t>
      </w:r>
    </w:p>
    <w:p w14:paraId="093B3142" w14:textId="5980333A" w:rsidR="00446E58" w:rsidRPr="00E93F40" w:rsidRDefault="00446E5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4 декабря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Совет Народных Комиссаров и Центральный Комитет партии издали другой указ, направленный против прогулов. На этот раз обеспечение продуктами питания и другими предметами первой необходимости было поставлено под контроль</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директоров</w:t>
      </w:r>
      <w:r w:rsidR="00DD74E1">
        <w:rPr>
          <w:rFonts w:ascii="Times New Roman" w:eastAsia="Times New Roman" w:hAnsi="Times New Roman"/>
          <w:color w:val="000000" w:themeColor="text1"/>
          <w:sz w:val="16"/>
          <w:szCs w:val="16"/>
          <w:lang w:eastAsia="ru-RU"/>
        </w:rPr>
        <w:t xml:space="preserve"> </w:t>
      </w:r>
      <w:bookmarkStart w:id="50" w:name="YANDEX_14"/>
      <w:bookmarkEnd w:id="50"/>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заводов</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(17248).</w:t>
      </w:r>
    </w:p>
    <w:p w14:paraId="3EDD558B" w14:textId="77777777" w:rsidR="00446E58" w:rsidRPr="00E93F40" w:rsidRDefault="00446E5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C2781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ноября 1932 в Казанском соборе открылся Музей истории религии и атеизма (1348,269).</w:t>
      </w:r>
    </w:p>
    <w:p w14:paraId="22A1BF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447984" w14:textId="77777777" w:rsidR="007B71B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7F692F9" w14:textId="77777777" w:rsidR="007B71BC" w:rsidRPr="00E93F40" w:rsidRDefault="007B71B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712204"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15 ноября 1932 НКИД и БОП ВСНХ сообщили в РВС, Восточную Комиссию СТО и УВВС:</w:t>
      </w:r>
    </w:p>
    <w:p w14:paraId="2432B8D7"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...Военный лётчик т. Антипов и воентехник т. Климович погибли 23.10. с.г. в Урум</w:t>
      </w:r>
      <w:r w:rsidRPr="00E93F40">
        <w:rPr>
          <w:rFonts w:ascii="Times New Roman" w:hAnsi="Times New Roman"/>
          <w:color w:val="000000" w:themeColor="text1"/>
          <w:sz w:val="16"/>
          <w:szCs w:val="16"/>
        </w:rPr>
        <w:softHyphen/>
        <w:t>чи на самолёте Р-1 по собственной вине несчастного Антипова, который, со свойст</w:t>
      </w:r>
      <w:r w:rsidRPr="00E93F40">
        <w:rPr>
          <w:rFonts w:ascii="Times New Roman" w:hAnsi="Times New Roman"/>
          <w:color w:val="000000" w:themeColor="text1"/>
          <w:sz w:val="16"/>
          <w:szCs w:val="16"/>
        </w:rPr>
        <w:softHyphen/>
        <w:t>венным ему неосторожностью вздумал на — по уставу недопустимой — недостаточной высоте произвести боевой разворот.</w:t>
      </w:r>
    </w:p>
    <w:p w14:paraId="48E9CB39"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говоря уже о гибели 2 товарищей, печально, что катастрофа произошла на китайском самолёте, пилотируемом советскими лётчиками, не состоящими на китайской службе.</w:t>
      </w:r>
    </w:p>
    <w:p w14:paraId="4C262F9C"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Style w:val="171"/>
          <w:rFonts w:ascii="Times New Roman" w:hAnsi="Times New Roman" w:cs="Times New Roman"/>
          <w:color w:val="000000" w:themeColor="text1"/>
          <w:sz w:val="16"/>
          <w:szCs w:val="16"/>
          <w:u w:val="none"/>
        </w:rPr>
        <w:t>По моему мнению, в этой бестактности: допущение полёта т. Антипова виноват ис</w:t>
      </w:r>
      <w:r w:rsidRPr="00E93F40">
        <w:rPr>
          <w:rStyle w:val="171"/>
          <w:rFonts w:ascii="Times New Roman" w:hAnsi="Times New Roman" w:cs="Times New Roman"/>
          <w:color w:val="000000" w:themeColor="text1"/>
          <w:sz w:val="16"/>
          <w:szCs w:val="16"/>
          <w:u w:val="none"/>
        </w:rPr>
        <w:softHyphen/>
        <w:t>ключительно Генконсул в Урумчи т. Златкин</w:t>
      </w:r>
      <w:r w:rsidRPr="00E93F40">
        <w:rPr>
          <w:rFonts w:ascii="Times New Roman" w:hAnsi="Times New Roman"/>
          <w:color w:val="000000" w:themeColor="text1"/>
          <w:sz w:val="16"/>
          <w:szCs w:val="16"/>
        </w:rPr>
        <w:t xml:space="preserve"> (выделено красным в документе).</w:t>
      </w:r>
    </w:p>
    <w:p w14:paraId="6FFD4EB5"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Лётчик Антипов в Урумчи должен был выполнять приказания только т. Златкина, по</w:t>
      </w:r>
      <w:r w:rsidRPr="00E93F40">
        <w:rPr>
          <w:rFonts w:ascii="Times New Roman" w:hAnsi="Times New Roman"/>
          <w:color w:val="000000" w:themeColor="text1"/>
          <w:sz w:val="16"/>
          <w:szCs w:val="16"/>
        </w:rPr>
        <w:softHyphen/>
        <w:t>скольку он никаких обязательств перед китайцами ещё не имел.</w:t>
      </w:r>
    </w:p>
    <w:p w14:paraId="63C16A31"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Таким образом, получается такое положение, что </w:t>
      </w:r>
      <w:r w:rsidRPr="00E93F40">
        <w:rPr>
          <w:rStyle w:val="171"/>
          <w:rFonts w:ascii="Times New Roman" w:hAnsi="Times New Roman" w:cs="Times New Roman"/>
          <w:color w:val="000000" w:themeColor="text1"/>
          <w:sz w:val="16"/>
          <w:szCs w:val="16"/>
          <w:u w:val="none"/>
        </w:rPr>
        <w:t>мы разбили китайский самолёт и очевидно, будем вынуждены возместить эту потерю бесплатно</w:t>
      </w:r>
      <w:r w:rsidRPr="00E93F40">
        <w:rPr>
          <w:rFonts w:ascii="Times New Roman" w:hAnsi="Times New Roman"/>
          <w:color w:val="000000" w:themeColor="text1"/>
          <w:sz w:val="16"/>
          <w:szCs w:val="16"/>
        </w:rPr>
        <w:t>.</w:t>
      </w:r>
    </w:p>
    <w:p w14:paraId="0E13BE22"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Style w:val="171"/>
          <w:rFonts w:ascii="Times New Roman" w:hAnsi="Times New Roman" w:cs="Times New Roman"/>
          <w:color w:val="000000" w:themeColor="text1"/>
          <w:sz w:val="16"/>
          <w:szCs w:val="16"/>
          <w:u w:val="none"/>
        </w:rPr>
        <w:t>О невыгодном для нас впечатлении на китайцев и иностранцев, которое не могла не произвести катастрофа, я уже не говорю</w:t>
      </w:r>
      <w:r w:rsidRPr="00E93F40">
        <w:rPr>
          <w:rFonts w:ascii="Times New Roman" w:hAnsi="Times New Roman"/>
          <w:color w:val="000000" w:themeColor="text1"/>
          <w:sz w:val="16"/>
          <w:szCs w:val="16"/>
        </w:rPr>
        <w:t>, (выделено в оригинале)</w:t>
      </w:r>
    </w:p>
    <w:p w14:paraId="2671DA25"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Юридически и по существу, ни авиапромышленность, ни Восточная Комиссия, ника</w:t>
      </w:r>
      <w:r w:rsidRPr="00E93F40">
        <w:rPr>
          <w:rFonts w:ascii="Times New Roman" w:hAnsi="Times New Roman"/>
          <w:color w:val="000000" w:themeColor="text1"/>
          <w:sz w:val="16"/>
          <w:szCs w:val="16"/>
        </w:rPr>
        <w:softHyphen/>
        <w:t>кой ответственности за этот трагический инцидент не несут.</w:t>
      </w:r>
    </w:p>
    <w:p w14:paraId="78CA9554"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три Р-1, хотя и не специально изготовлены, а получены по наряду от УВВС, были тщательно испытаны перед сдачей китайцам.</w:t>
      </w:r>
    </w:p>
    <w:p w14:paraId="0ECFBA32"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Style w:val="171"/>
          <w:rFonts w:ascii="Times New Roman" w:hAnsi="Times New Roman" w:cs="Times New Roman"/>
          <w:color w:val="000000" w:themeColor="text1"/>
          <w:sz w:val="16"/>
          <w:szCs w:val="16"/>
          <w:u w:val="none"/>
        </w:rPr>
        <w:t>Справка</w:t>
      </w:r>
      <w:r w:rsidRPr="00E93F40">
        <w:rPr>
          <w:rFonts w:ascii="Times New Roman" w:hAnsi="Times New Roman"/>
          <w:color w:val="000000" w:themeColor="text1"/>
          <w:sz w:val="16"/>
          <w:szCs w:val="16"/>
        </w:rPr>
        <w:t>. Это подтвердили Берестецкий, Табаровский и Волынченко.</w:t>
      </w:r>
    </w:p>
    <w:p w14:paraId="5226BB3F" w14:textId="77777777" w:rsidR="007B71BC" w:rsidRPr="00E93F40" w:rsidRDefault="007B71BC" w:rsidP="00E93F40">
      <w:pPr>
        <w:tabs>
          <w:tab w:val="left" w:pos="43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Известно, что по приказанию Ворошилова для Синьцзяна готовят новых лётчиков- инструкторов и механиков. Надо приветствовать, но за 10-дневный срок их подгото</w:t>
      </w:r>
      <w:r w:rsidRPr="00E93F40">
        <w:rPr>
          <w:rFonts w:ascii="Times New Roman" w:hAnsi="Times New Roman"/>
          <w:color w:val="000000" w:themeColor="text1"/>
          <w:sz w:val="16"/>
          <w:szCs w:val="16"/>
        </w:rPr>
        <w:softHyphen/>
        <w:t>вить нереально. Надо тщательно инструктировать, [провести] ряд бесед. Привлечь Берестецкого и Табаровского (без торопливости).</w:t>
      </w:r>
    </w:p>
    <w:p w14:paraId="32EA4ABC" w14:textId="77777777" w:rsidR="007B71BC" w:rsidRPr="00E93F40" w:rsidRDefault="007B71BC" w:rsidP="00E93F40">
      <w:pPr>
        <w:tabs>
          <w:tab w:val="left" w:pos="43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Летчики Шевченко, Антипов, Климович, Прокопенко задержаны по личному при</w:t>
      </w:r>
      <w:r w:rsidRPr="00E93F40">
        <w:rPr>
          <w:rFonts w:ascii="Times New Roman" w:hAnsi="Times New Roman"/>
          <w:color w:val="000000" w:themeColor="text1"/>
          <w:sz w:val="16"/>
          <w:szCs w:val="16"/>
        </w:rPr>
        <w:softHyphen/>
        <w:t>казанию Златкина, их содержание [возложено] на НКИД...». 15.11.32.</w:t>
      </w:r>
    </w:p>
    <w:p w14:paraId="6141E8E2"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письмо и заканчивалось словами — «надо позаботиться особо о вдовах Анти</w:t>
      </w:r>
      <w:r w:rsidRPr="00E93F40">
        <w:rPr>
          <w:rFonts w:ascii="Times New Roman" w:hAnsi="Times New Roman"/>
          <w:color w:val="000000" w:themeColor="text1"/>
          <w:sz w:val="16"/>
          <w:szCs w:val="16"/>
        </w:rPr>
        <w:softHyphen/>
        <w:t>пова и Климовича, дать путевки в санаторий, комнаты в Москве» — но главное, что больше всего обеспокоило чиновника, это «невыгодное впечатление на китайцев и иностранцев». Об оргвыводах на «высшем уровне» ничего не известно, судя по всему, всю вину списали на погибших.</w:t>
      </w:r>
    </w:p>
    <w:p w14:paraId="38901718"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Волынченко в этом лётном происшествии как «стрелочник» не упоминался, и в те же дни И.Г. Берестецкий как руководитель экспедиции по итогам годичной работы в Синь</w:t>
      </w:r>
      <w:r w:rsidRPr="00E93F40">
        <w:rPr>
          <w:rFonts w:ascii="Times New Roman" w:hAnsi="Times New Roman"/>
          <w:color w:val="000000" w:themeColor="text1"/>
          <w:sz w:val="16"/>
          <w:szCs w:val="16"/>
        </w:rPr>
        <w:softHyphen/>
        <w:t>цзяне выдал ему отличную характеристику, особо отмечая «блестящий перелёт» в де</w:t>
      </w:r>
      <w:r w:rsidRPr="00E93F40">
        <w:rPr>
          <w:rFonts w:ascii="Times New Roman" w:hAnsi="Times New Roman"/>
          <w:color w:val="000000" w:themeColor="text1"/>
          <w:sz w:val="16"/>
          <w:szCs w:val="16"/>
        </w:rPr>
        <w:softHyphen/>
        <w:t>кабре 1931 г. Подчеркивалось, что за время работы ответственные китайские чиновники отзывались о нем хорошо, он «зарекомендовал себя своими хорошими лётными каче</w:t>
      </w:r>
      <w:r w:rsidRPr="00E93F40">
        <w:rPr>
          <w:rFonts w:ascii="Times New Roman" w:hAnsi="Times New Roman"/>
          <w:color w:val="000000" w:themeColor="text1"/>
          <w:sz w:val="16"/>
          <w:szCs w:val="16"/>
        </w:rPr>
        <w:softHyphen/>
        <w:t>ствами и особенно... техникой пилотирования». Для перелётов ответственных членов Правительства по территории Синьцзяна всегда приглашался Волынченко.</w:t>
      </w:r>
    </w:p>
    <w:p w14:paraId="0AD2CA44"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особую заслугу начальнику лётной группы Берестецкий поставил и то, что китайцы неоднократно просили Волынченко остаться работать в Урумчи ещё на один год и «гла</w:t>
      </w:r>
      <w:r w:rsidRPr="00E93F40">
        <w:rPr>
          <w:rFonts w:ascii="Times New Roman" w:hAnsi="Times New Roman"/>
          <w:color w:val="000000" w:themeColor="text1"/>
          <w:sz w:val="16"/>
          <w:szCs w:val="16"/>
        </w:rPr>
        <w:softHyphen/>
        <w:t xml:space="preserve">ва Правительства, лично просивший т. Волынченко, был очень недоволен тем, что [тот] отказался продлить договор (не имел разрешения как Москвы, так и других инстанций...). Также отмечалось, что «Волынченко провёл </w:t>
      </w:r>
      <w:r w:rsidRPr="00E93F40">
        <w:rPr>
          <w:rStyle w:val="171"/>
          <w:rFonts w:ascii="Times New Roman" w:hAnsi="Times New Roman" w:cs="Times New Roman"/>
          <w:color w:val="000000" w:themeColor="text1"/>
          <w:sz w:val="16"/>
          <w:szCs w:val="16"/>
          <w:u w:val="none"/>
        </w:rPr>
        <w:t>необходимую для нас секретную работу</w:t>
      </w:r>
      <w:r w:rsidRPr="00E93F40">
        <w:rPr>
          <w:rFonts w:ascii="Times New Roman" w:hAnsi="Times New Roman"/>
          <w:color w:val="000000" w:themeColor="text1"/>
          <w:sz w:val="16"/>
          <w:szCs w:val="16"/>
        </w:rPr>
        <w:t>» (15802).</w:t>
      </w:r>
    </w:p>
    <w:p w14:paraId="53A63E4F" w14:textId="77777777" w:rsidR="007B71BC" w:rsidRPr="00E93F40" w:rsidRDefault="007B71BC" w:rsidP="00E93F40">
      <w:pPr>
        <w:spacing w:after="0" w:line="240" w:lineRule="auto"/>
        <w:jc w:val="both"/>
        <w:rPr>
          <w:rFonts w:ascii="Times New Roman" w:hAnsi="Times New Roman"/>
          <w:color w:val="000000" w:themeColor="text1"/>
          <w:sz w:val="16"/>
          <w:szCs w:val="16"/>
        </w:rPr>
      </w:pPr>
    </w:p>
    <w:p w14:paraId="2BB151F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CA22E7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DDA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ноября 1932 был разработан и представлен на утверждение КО календарный план устранения на самолетах ТБ-3, Р5, Р6 в последующих сериях дефекты, обнаруженные в процессе эксплуатации (3082).</w:t>
      </w:r>
    </w:p>
    <w:p w14:paraId="4617C6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27446B" w14:textId="77777777" w:rsidR="007B71B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2787286" w14:textId="77777777" w:rsidR="007B71BC" w:rsidRPr="00E93F40" w:rsidRDefault="007B71B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CE3441"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16 ноября </w:t>
      </w:r>
      <w:r w:rsidRPr="00E93F40">
        <w:rPr>
          <w:rFonts w:ascii="Times New Roman" w:hAnsi="Times New Roman"/>
          <w:color w:val="000000" w:themeColor="text1"/>
          <w:sz w:val="16"/>
          <w:szCs w:val="16"/>
        </w:rPr>
        <w:t>в 1932 году "Правда" опубликовала письмо вдовы Ленина Надежды Крупской Сталину в связи со смертью его второй жены Надежды Аллилуевой: "Эти дни как-то все думается о Вас и хочется пожать Вам руку. Тяжело терять близкого человека" (14832).</w:t>
      </w:r>
    </w:p>
    <w:p w14:paraId="4EB77695" w14:textId="77777777" w:rsidR="007B71BC" w:rsidRPr="00E93F40" w:rsidRDefault="007B71BC" w:rsidP="00E93F40">
      <w:pPr>
        <w:spacing w:after="0" w:line="240" w:lineRule="auto"/>
        <w:jc w:val="both"/>
        <w:rPr>
          <w:rFonts w:ascii="Times New Roman" w:hAnsi="Times New Roman"/>
          <w:color w:val="000000" w:themeColor="text1"/>
          <w:sz w:val="16"/>
          <w:szCs w:val="16"/>
        </w:rPr>
      </w:pPr>
    </w:p>
    <w:p w14:paraId="6F4D0B3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9B43C0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70E7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ноября 1932 года врид начальника штаба ВВС Богомягков писал письмо N 31/001806сс помкомвойск ЛВО по ВВС Фроловскому.</w:t>
      </w:r>
    </w:p>
    <w:p w14:paraId="107515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Гроховский донес наркому о полетах 14 ноября в Красногвардейске на многоместном планере с полной нагрузкой, сообщив, что этим поставлен мировой рекорд.</w:t>
      </w:r>
    </w:p>
    <w:p w14:paraId="76C652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Прошу к 25 ноября 1932 года представить краткий доклад с тактической оценкой этих полетов (3822,48).</w:t>
      </w:r>
    </w:p>
    <w:p w14:paraId="3151F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678233"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17 ноября. Постановление СТО СССР и Комиссии обороны № 1422/422сс о развитии Амурского судостроительного завода (ГА РФ. Ф. Р?8418. Оп. 28. Д. 1а. Л. 380?381) (12415).</w:t>
      </w:r>
    </w:p>
    <w:p w14:paraId="0DFAA6C3"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1425/425с о развитии Амурского судостроительного завода (ГА РФ. Ф. Р?8418. Оп. 28. Д. 1а. Л. 382?387) (12415).</w:t>
      </w:r>
    </w:p>
    <w:p w14:paraId="63DC3E36"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134B8060" w14:textId="77777777" w:rsidR="00FF7331" w:rsidRPr="00E93F40" w:rsidRDefault="00FF7331"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288A5C9" w14:textId="77777777" w:rsidR="00FF7331" w:rsidRPr="00E93F40" w:rsidRDefault="00FF733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F4CF1B9" w14:textId="77777777" w:rsidR="00FF7331" w:rsidRPr="00E93F40" w:rsidRDefault="00FF7331" w:rsidP="00E93F40">
      <w:pPr>
        <w:pStyle w:val="ae"/>
        <w:spacing w:before="0" w:after="0"/>
        <w:jc w:val="both"/>
        <w:rPr>
          <w:color w:val="000000" w:themeColor="text1"/>
          <w:sz w:val="16"/>
          <w:szCs w:val="16"/>
        </w:rPr>
      </w:pPr>
      <w:r w:rsidRPr="00E93F40">
        <w:rPr>
          <w:color w:val="000000" w:themeColor="text1"/>
          <w:sz w:val="16"/>
          <w:szCs w:val="16"/>
        </w:rPr>
        <w:t>17 ноября 1932 г. на заводе им. Ворошилова в НИОПИК (Научно-исследовательский институт полупродуктов и красителей) произошел взрыв опытной установки резиновых ускорителей, в результате которого погибли 4 и тяжело ранены 3 человека. Из расследования ЭКУ ОГПУ получился изобилующий крутыми поворотами сюжета детектив на производственную тему с элементами откровенно ненаучной фантастики. Ответ на главный вопрос, почему стал возможен взрыв на важном для обороны страны химическом предприятии, прятал концы в воду: инцидент объявили диверсией, произведенной "по прямому заданию представителя фирмы "И.Г." - Мирбаха (ныне выехал в Берлин)"</w:t>
      </w:r>
      <w:r w:rsidRPr="00E93F40">
        <w:rPr>
          <w:color w:val="000000" w:themeColor="text1"/>
          <w:sz w:val="16"/>
          <w:szCs w:val="16"/>
          <w:vertAlign w:val="superscript"/>
        </w:rPr>
        <w:t>12</w:t>
      </w:r>
      <w:r w:rsidRPr="00E93F40">
        <w:rPr>
          <w:color w:val="000000" w:themeColor="text1"/>
          <w:sz w:val="16"/>
          <w:szCs w:val="16"/>
        </w:rPr>
        <w:t>. Получалось, что главный диверсант со знакомой после покушения левых эсеров на германского посла (6 июля 1918 г.) фамилией скрылся, а его пособников чекисты почему-то выявлять не поспешили, сосредоточившись на куда более мелком вредительстве на трех химкомбинатах и попутно, похоже, зацепивших экономический шпионаж немцев, но без цели диверсии (18727).</w:t>
      </w:r>
    </w:p>
    <w:p w14:paraId="25E24104" w14:textId="77777777" w:rsidR="00FF7331" w:rsidRPr="00E93F40" w:rsidRDefault="00FF7331" w:rsidP="00E93F40">
      <w:pPr>
        <w:spacing w:after="0" w:line="240" w:lineRule="auto"/>
        <w:jc w:val="both"/>
        <w:rPr>
          <w:rFonts w:ascii="Times New Roman" w:hAnsi="Times New Roman"/>
          <w:color w:val="000000" w:themeColor="text1"/>
          <w:sz w:val="16"/>
          <w:szCs w:val="16"/>
          <w:shd w:val="clear" w:color="auto" w:fill="FFFFFF"/>
        </w:rPr>
      </w:pPr>
    </w:p>
    <w:p w14:paraId="73E5052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402923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AF1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ноября 1932 г. была подготовлена:</w:t>
      </w:r>
    </w:p>
    <w:p w14:paraId="14CA56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Докладная записка президиума ЦК профсоюза работников каменноугольной промышленности первому секретарю ВЦСПС Н.М.Швернику о причинах отъезда группы немецких рабочих из СССР в Германию</w:t>
      </w:r>
    </w:p>
    <w:p w14:paraId="316DD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5 ноября с.г. в 9 час. вечера из Кузбасса приехала группа иностранных рабочих в количестве 30 человек. Все приехавшие работали в Советском Союзе в Прокопьевском районе 14 дней. По их заявлению, главной причиной их отъезда из Советского Союза послужило недостаточное питание, ссылаясь на то, что два дня им не выдавали хлеба, а сахару в месяц выдают 500 грамм. В общественной столовой за время их пребывания на руднике выдавались борщ и каша. Заработная плата низкая, а с системой сдельной оплаты боролись у себя за границей и считают совершенно невозможным работать на сдельных условиях в Советском Союзе. </w:t>
      </w:r>
    </w:p>
    <w:p w14:paraId="5E247D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14 дней пребывания 30 человек - 6 не работали 10 дней из-за климатических условий по состоянию здоровья. Столовая отказалась выдавать усиленное питание, а также поступила жалоба о бюрократическом отношении заведующего Иностранным бюро т. Фридленда и о режиме самокритики со стороны секретаря ячейки тов. Степанова. Вот сумма причин, из-за которых, по их заявлению, они вынуждены были обратно выехать в Германию.</w:t>
      </w:r>
    </w:p>
    <w:p w14:paraId="38F28F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 время пребывания этой группы в Москве Центральным комитетом им была предоставлена гостиница, питание и культурное обслуживание (предоставление театров и т.д.). Председателем ЦК произведены были с ними беседы. Были приняты все меры к тому, чтобы они остались в Советском Союзе, но предъявленные требования - покрытие всех расходов их поездки в Москву, обеспечение не менее 2-х комнат с полной обстановкой вплоть до пианино, 100%-ое улучшение питания и снабжение всеми продуктами, требование немедленно подписать такой договор и только при таких условиях они смогут остаться работать в Советском Союзе. </w:t>
      </w:r>
    </w:p>
    <w:p w14:paraId="4C884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предъявлены требования о снижении нормы задания по программе, ибо они считают норму, которая дана у нас, преувеличенной, что не даст им возможности заработать столько, чтобы жить совершенно спокойно, не нуждаясь, Центральный комитет и хозяйственные организации удовлетворить не могли, поэтому группа выехала в Германию. А также нужно отметить, что отдельные лица из них до отъезда в Советский Союз состояли в фашистской организации. Таких лиц мы выявили 4, а именно: Шульт, Кобат, Патровнат, Ларке.</w:t>
      </w:r>
    </w:p>
    <w:p w14:paraId="22EF4B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чтобы предупредить отъезд других, Центральным комитетом для расследования и привлечения виновных к ответственности, в Прокопьевск командирован инструктор ЦК и поручено членам Президиума включиться в проверку, и о всех фактах, установленных и принятых мерах, Центральный комитет немедленно доведет до Вашего сведения.</w:t>
      </w:r>
    </w:p>
    <w:p w14:paraId="513E7B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ГАРФ. Ф. 7416. Оп. Т.Д. 151. Л. 53 об. (11531).</w:t>
      </w:r>
    </w:p>
    <w:p w14:paraId="65104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D3476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366B7F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6AB98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ноября 1932 Ф. фон Паппен ушел в отставку с поста канцлера Германии, чтобы дать возможность сформировать новую коалицию на следующих парламентских выборах (3481).</w:t>
      </w:r>
    </w:p>
    <w:p w14:paraId="001895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2837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ноября 1932 г. Гинденбург был вынужден отправить кабинет Папена в отставку. Однако в ходе последовавших затем нескольких раундов переговоров Гинденбурга с Гитлером, президент, предложив Гитлеру возглавить кабинет, выставил ряд условий (включение в правительство представителей других партий, предоставление президенту права самому назначать министра иностранных дел и военного министра). Гитлер на это не пошел и тогда сформировать кабинет было поручено военному министру в кабинете Папена генералу райхсвера К. фон Шляйхеру, который в течение всего периода существования Ваймарской республики активно участвовал во всех внутриполитических комбинациях, сыграв, пожалуй, решающую роль в падении трех предшествовавших ему кабинетов Германии (Подробнее об этом см.: Erickson John. Op. cit., p. 326—459; Wolfgang Ruge. Op. cit. S. 357-474.). Кроме того, он вместе с Зектом активно способствовал зарождению тайного германо-советского военного сотрудничества с целью возрождения военной и политической мощи Германии. Когда 3 декабря 1932 г. Гинденбург поручил ему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 г.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03D5E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643F02" w14:textId="77777777" w:rsidR="003D157F" w:rsidRPr="00E93F40" w:rsidRDefault="003D157F"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17 ноября 1932 г. появился меморандум о согласии с вооружением Германии (</w:t>
      </w:r>
      <w:r w:rsidRPr="00E93F40">
        <w:rPr>
          <w:rFonts w:ascii="Times New Roman" w:eastAsia="Times New Roman" w:hAnsi="Times New Roman"/>
          <w:bCs/>
          <w:iCs/>
          <w:color w:val="000000" w:themeColor="text1"/>
          <w:sz w:val="16"/>
          <w:szCs w:val="16"/>
          <w:lang w:eastAsia="ru-RU"/>
        </w:rPr>
        <w:t>«История дипломатии» под ред. Потемкина, М., ОГИЗ, (1941-1945)):</w:t>
      </w:r>
    </w:p>
    <w:p w14:paraId="3DD20CDD" w14:textId="77777777" w:rsidR="003D157F" w:rsidRPr="00E93F40" w:rsidRDefault="003D157F"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xml:space="preserve">Не будучи в состоянии достигнуть соглашения с Францией, требовавшей активных гарантий её безопасности, английское правительство Макдональда решило пойти на уступки Германии. </w:t>
      </w:r>
      <w:r w:rsidRPr="00E93F40">
        <w:rPr>
          <w:rFonts w:ascii="Times New Roman" w:eastAsia="Times New Roman" w:hAnsi="Times New Roman"/>
          <w:color w:val="000000" w:themeColor="text1"/>
          <w:sz w:val="16"/>
          <w:szCs w:val="16"/>
          <w:lang w:eastAsia="ru-RU"/>
        </w:rPr>
        <w:t>17 ноября 1932 г.</w:t>
      </w:r>
      <w:r w:rsidRPr="00E93F40">
        <w:rPr>
          <w:rFonts w:ascii="Times New Roman" w:eastAsia="Times New Roman" w:hAnsi="Times New Roman"/>
          <w:bCs/>
          <w:color w:val="000000" w:themeColor="text1"/>
          <w:sz w:val="16"/>
          <w:szCs w:val="16"/>
          <w:lang w:eastAsia="ru-RU"/>
        </w:rPr>
        <w:t xml:space="preserve"> оно опубликовало меморандум, развивавший ту мысль, что практически невозможно сократить вооружения держав настолько, чтобы на деле осуществить равенство вооружений. Поэтому английское правительство поддерживает требование Германии о её довооружении (17325).</w:t>
      </w:r>
    </w:p>
    <w:p w14:paraId="3E444BA8" w14:textId="77777777" w:rsidR="003D157F" w:rsidRPr="00E93F40" w:rsidRDefault="003D157F" w:rsidP="00E93F40">
      <w:pPr>
        <w:autoSpaceDE w:val="0"/>
        <w:autoSpaceDN w:val="0"/>
        <w:adjustRightInd w:val="0"/>
        <w:spacing w:after="0" w:line="240" w:lineRule="auto"/>
        <w:jc w:val="both"/>
        <w:rPr>
          <w:rFonts w:ascii="Times New Roman" w:hAnsi="Times New Roman"/>
          <w:color w:val="000000" w:themeColor="text1"/>
          <w:sz w:val="16"/>
          <w:szCs w:val="16"/>
        </w:rPr>
      </w:pPr>
    </w:p>
    <w:p w14:paraId="5D174FE9" w14:textId="77777777" w:rsidR="003D157F" w:rsidRPr="00E93F40" w:rsidRDefault="003D157F"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17 ноября 1932 г. открылась последняя </w:t>
      </w:r>
      <w:r w:rsidRPr="00E93F40">
        <w:rPr>
          <w:rFonts w:ascii="Times New Roman" w:hAnsi="Times New Roman"/>
          <w:bCs/>
          <w:iCs/>
          <w:color w:val="000000" w:themeColor="text1"/>
          <w:sz w:val="16"/>
          <w:szCs w:val="16"/>
        </w:rPr>
        <w:t>3-я Конференция</w:t>
      </w:r>
      <w:r w:rsidRPr="00E93F40">
        <w:rPr>
          <w:rFonts w:ascii="Times New Roman" w:hAnsi="Times New Roman"/>
          <w:color w:val="000000" w:themeColor="text1"/>
          <w:sz w:val="16"/>
          <w:szCs w:val="16"/>
        </w:rPr>
        <w:t xml:space="preserve"> «круглого стола», созываемая Англией для решения индийского вопроса. Две конференции завершились безрезультатно, третью конференцию Индийский Национальный Конгресс бойкотирует, и она превращается в формальность. Четвертую конференцию проводить было бессмысленно (17325).</w:t>
      </w:r>
    </w:p>
    <w:p w14:paraId="62617C5A" w14:textId="77777777" w:rsidR="003D157F" w:rsidRPr="00E93F40" w:rsidRDefault="003D157F" w:rsidP="00E93F40">
      <w:pPr>
        <w:autoSpaceDE w:val="0"/>
        <w:autoSpaceDN w:val="0"/>
        <w:adjustRightInd w:val="0"/>
        <w:spacing w:after="0" w:line="240" w:lineRule="auto"/>
        <w:jc w:val="both"/>
        <w:rPr>
          <w:rFonts w:ascii="Times New Roman" w:hAnsi="Times New Roman"/>
          <w:color w:val="000000" w:themeColor="text1"/>
          <w:sz w:val="16"/>
          <w:szCs w:val="16"/>
        </w:rPr>
      </w:pPr>
    </w:p>
    <w:p w14:paraId="50EC795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AF6CC2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901CE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ноября 1932 был заложен К-7 (1019) - официально, представителями ЦК КПБ (У) и редакции Известий ВЦИК (1076,594).</w:t>
      </w:r>
    </w:p>
    <w:p w14:paraId="25506D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состоялась закладка К-7 в стапеле специально построенного на ХОЗ сборочного цеха. Председатель ЦИУ УССР Г.И.Петровский зажег газовую горелку и провел сварку первого узла - сделал плохо, потом вырезали и заменили (70,215).</w:t>
      </w:r>
    </w:p>
    <w:p w14:paraId="19959F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1D3D66" w14:textId="77777777" w:rsidR="003D4634"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8C92695" w14:textId="77777777" w:rsidR="003D4634" w:rsidRPr="00E93F40" w:rsidRDefault="003D463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D9E244" w14:textId="742C3A4F" w:rsidR="003D4634" w:rsidRPr="00E93F40" w:rsidRDefault="003D4634"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18 ноября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ЦК КП(б) Украины при участии Молотова принял постановление «О мерах по усилению хлебозаготовок», которое предусматривало такие же драконовские меры воздействия на крестьян Украины, как и на Кубани (занесение на «черную доску» со всеми вытекающими из этого последствиями). На «черную доску» села заносились постановлением облисполкома. В постановлении особо подчеркивалось, что в период хлебозаготовок «вскрылось смыкание целых групп коммунистов и отдельных руководителей партячеек с кулачеством, петлюровщиной и т.п., что на деле превращает такого рода коммунистов и парторганизации в агентуру классового врага». Ввиду этого ЦК и ЦКК КП(б) Украины решили «немедленно произвести чистку ряда сельских парторганизаций, явно саботирующих выполнение плана хлебозаготовок и подрывающих доверие партии в рядах трудящихся». Чистка прежде всего должна была проводиться в Снегуров-ском и Фрунзенском районах Одесской области, Солонянском, Васильковском и Верхне-Лепетихском районах Днепропетровской области.</w:t>
      </w:r>
    </w:p>
    <w:p w14:paraId="0CCA3721" w14:textId="77777777" w:rsidR="003D4634" w:rsidRPr="00E93F40" w:rsidRDefault="003D4634" w:rsidP="00E93F40">
      <w:pPr>
        <w:spacing w:after="0" w:line="240" w:lineRule="auto"/>
        <w:jc w:val="both"/>
        <w:rPr>
          <w:rFonts w:ascii="Times New Roman" w:hAnsi="Times New Roman"/>
          <w:iCs/>
          <w:color w:val="000000" w:themeColor="text1"/>
          <w:sz w:val="16"/>
          <w:szCs w:val="16"/>
        </w:rPr>
      </w:pPr>
      <w:r w:rsidRPr="00E93F40">
        <w:rPr>
          <w:rFonts w:ascii="Times New Roman" w:eastAsia="Times New Roman" w:hAnsi="Times New Roman"/>
          <w:color w:val="000000" w:themeColor="text1"/>
          <w:sz w:val="16"/>
          <w:szCs w:val="16"/>
          <w:lang w:eastAsia="ru-RU"/>
        </w:rPr>
        <w:t>В отношении единоличников, не выполняющих план хлебозаготовок, предписывалось применять натуральные штрафы в виде установления дополнительных заданий по мясозаготовкам в размере 15-месячной нормы и годичной сдачи картофеля. Однако это не освобождало от хлебосдачи. Что касается кулаков, то к ним применялись репрессии, предусмотренные ст. 58 Уголовного кодекса (контрреволюционные преступления (17254).</w:t>
      </w:r>
    </w:p>
    <w:p w14:paraId="44B19A18" w14:textId="77777777" w:rsidR="003D4634" w:rsidRPr="00E93F40" w:rsidRDefault="003D463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C7171E5" w14:textId="77777777" w:rsidR="003D157F" w:rsidRPr="00E93F40" w:rsidRDefault="003D157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color w:val="000000" w:themeColor="text1"/>
          <w:sz w:val="16"/>
          <w:szCs w:val="16"/>
        </w:rPr>
        <w:t>18 ноября 1932 г. в Украине уже принято постановление ЦК КП(б)У «О мерах по усилению хлебозаготовок» — т.е. о поиске пресловутых «украденных» колосков, по которому позднее десятки тысяч «врагов» попали в жернова радянського правосудия. Историк Кульчицкий обвиняет в голоде 1932-33 гг. в Украине комиссию Молотова, но он не прав – Молотов был всего лишь чрезвычайно исполнительным сталинским назначенцем, а идея о «трех колосках», очевидно, принадлежала в РСФСР комиссару юстиции Николаю Крыленко, а в Украине ее поддерживал Председатель СНК Влас Чубарь (17325).</w:t>
      </w:r>
    </w:p>
    <w:p w14:paraId="572B3C9A" w14:textId="77777777" w:rsidR="003D157F" w:rsidRPr="00E93F40" w:rsidRDefault="003D157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C0B4B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BE0AE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92B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состоялся первый вылет АИР-7 и на следующий день с А.С.Я. в задней кабине была достигнута скорость 325 км/ч (212,14).</w:t>
      </w:r>
    </w:p>
    <w:p w14:paraId="077B96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Ю.Пионтковский летал в 6 утра один, а в задней кабине был груз в 80 кг, а А.С.Я. летал 20 и именно в этот день была достигнута рекордная скорость (1771,5).</w:t>
      </w:r>
    </w:p>
    <w:p w14:paraId="2B558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F23458"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t xml:space="preserve">19 ноября </w:t>
      </w:r>
      <w:r w:rsidRPr="00E93F40">
        <w:rPr>
          <w:rFonts w:ascii="Times New Roman" w:hAnsi="Times New Roman"/>
          <w:color w:val="000000" w:themeColor="text1"/>
          <w:sz w:val="16"/>
          <w:szCs w:val="16"/>
        </w:rPr>
        <w:t>в 1932 году первый полет скоростного (325 км/ч) легкого моноплана «АИР-7» ОКБ А.С.Яковлева, Ю.И.Пионтковского (14835).</w:t>
      </w:r>
    </w:p>
    <w:p w14:paraId="08CEC294" w14:textId="77777777" w:rsidR="007B71BC" w:rsidRPr="00E93F40" w:rsidRDefault="007B71BC" w:rsidP="00E93F40">
      <w:pPr>
        <w:spacing w:after="0" w:line="240" w:lineRule="auto"/>
        <w:jc w:val="both"/>
        <w:rPr>
          <w:rFonts w:ascii="Times New Roman" w:hAnsi="Times New Roman"/>
          <w:color w:val="000000" w:themeColor="text1"/>
          <w:sz w:val="16"/>
          <w:szCs w:val="16"/>
        </w:rPr>
      </w:pPr>
    </w:p>
    <w:p w14:paraId="7F0B5A7D"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г. в 6 часов утра пилот Юлиан Пионтковский занял переднюю кабину АИР-7. В задней кабине заранее закрепили груз 80 кг.</w:t>
      </w:r>
    </w:p>
    <w:p w14:paraId="719B6C7C"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Вот как описывает первый полет А.С. Яковлев:</w:t>
      </w:r>
    </w:p>
    <w:p w14:paraId="729DD3A5"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«Запустили мотор. Пионтковский тщательно его опробовал, сделал сначала несколько пробежек по земле, потом оторвался на два-три метра, пролетел около километра, приземлился, подрулил ко мне и сказал: «Все в порядке! Можно лететь?». Я разрешил полет. Сразу с места летчик дал полный газ. Мотор заревел. Самолет рванулся вперед и пошел в воздух. Мы следили, затаив дыхание. Самолет набрал высоту метров триста, развернулся, дал один круг над аэродромом, другой, третий.Чем больше летчик делал кругов, тем легче становилось у меня на сердце: значит, все в порядке. Наконец, самолет пошел на посадку. Мы, счастливые, побежали ему навстречу» (15548).</w:t>
      </w:r>
    </w:p>
    <w:p w14:paraId="2BCD51DC" w14:textId="77777777" w:rsidR="007B71BC" w:rsidRPr="00E93F40" w:rsidRDefault="007B71BC" w:rsidP="00E93F40">
      <w:pPr>
        <w:spacing w:after="0" w:line="240" w:lineRule="auto"/>
        <w:jc w:val="both"/>
        <w:rPr>
          <w:rFonts w:ascii="Times New Roman" w:hAnsi="Times New Roman"/>
          <w:color w:val="000000" w:themeColor="text1"/>
          <w:sz w:val="16"/>
          <w:szCs w:val="16"/>
        </w:rPr>
      </w:pPr>
    </w:p>
    <w:p w14:paraId="7ECA34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года была опубликована Сводка Результатов гос. испытаний морского ближнего разведчика МБР-4 - АССО 750, произведенных в Севастополе с 27 сентября 1932 года по 3 ноября 1932 года</w:t>
      </w:r>
    </w:p>
    <w:p w14:paraId="2E4FA2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испытаний</w:t>
      </w:r>
    </w:p>
    <w:p w14:paraId="400A8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Определить летные качества по стандартной программе, сравнив с сам. С62бис - АССО 750. Выявить дефекты, проверить взаимозаменяемость с самолетами МБР4 и с С62бис (3899,368-383).</w:t>
      </w:r>
    </w:p>
    <w:p w14:paraId="6F5CF1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 постройке принят в ноябре 1930 года, макет МБР-4 утвержден 19 января 1932 года.</w:t>
      </w:r>
    </w:p>
    <w:p w14:paraId="5BAC6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Предъявление по плану было назначено 5 марта 1932 года.</w:t>
      </w:r>
    </w:p>
    <w:p w14:paraId="007E58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Фактически предъявлен 16 сентября 1932 года.</w:t>
      </w:r>
    </w:p>
    <w:p w14:paraId="0A1F1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с 26 августа по 16 сентября 1932 года.</w:t>
      </w:r>
    </w:p>
    <w:p w14:paraId="65249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 на гос. испытания в Таганроге 20 сентября 1932 года.</w:t>
      </w:r>
    </w:p>
    <w:p w14:paraId="47178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испытанию приступлено в Севастополе 27 сентября 1932 года.</w:t>
      </w:r>
    </w:p>
    <w:p w14:paraId="6D788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объеме настоящей сводки испытание проведено к 4 сентября 1932 года.</w:t>
      </w:r>
    </w:p>
    <w:p w14:paraId="4501F5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Особенности схемы и конструкции. Материал.</w:t>
      </w:r>
    </w:p>
    <w:p w14:paraId="773E36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(Отличия от основного типа).</w:t>
      </w:r>
    </w:p>
    <w:p w14:paraId="28C70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 в основном по лицензионным чертежам С62бис __</w:t>
      </w:r>
    </w:p>
    <w:p w14:paraId="77A50B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Заменены некоторые иностранные материалы. Итальянское электрооборудование и вооружение заменено на отечественное.</w:t>
      </w:r>
    </w:p>
    <w:p w14:paraId="11B5EC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w:t>
      </w:r>
    </w:p>
    <w:p w14:paraId="0B43E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окончании гос. испытаний в части взлета и посадки на волну самолет N ОЕ75 вернуть заводу 31 для устранения дефектов. После подвергнуть в МИС НИИ 150 час. эксплуатационному испытанию, в процессе коего доиспытать спецоборудование и вооружение не испытанное в связи с неправильным креплением на самолете.</w:t>
      </w:r>
    </w:p>
    <w:p w14:paraId="481CA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Эксплуатационные испытания закончить к 1 апреля 1933 года.</w:t>
      </w:r>
    </w:p>
    <w:p w14:paraId="0E041F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эталоне 1933 года предусмотреть коренное улучшение центровки и облегчения самолета ___(3899,368-383).</w:t>
      </w:r>
    </w:p>
    <w:p w14:paraId="4F27C2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6D3D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при испытаниях БИЧ-7 был составлен Акт № 4, в котором был отмечен ряд дефектов в управлении с-том, подлежащих устранению (2307).</w:t>
      </w:r>
    </w:p>
    <w:p w14:paraId="50D4E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D98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была подготовлена справка Состояние работ по Б.Н.К. на 15/XI-32 года.</w:t>
      </w:r>
    </w:p>
    <w:p w14:paraId="1B8F5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БНК-4 (стратосферная).</w:t>
      </w:r>
    </w:p>
    <w:p w14:paraId="641AC0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Проектные работы.</w:t>
      </w:r>
    </w:p>
    <w:p w14:paraId="7145A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 проект и рабочие чертежи будут даны к 1/I-33 г.</w:t>
      </w:r>
    </w:p>
    <w:p w14:paraId="1962DF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 рабочие чертежи будут сданы в пр-во к 20/XI на кабину в масштабе 1/2,5 для испытаний, кабина делается из дюраля.</w:t>
      </w:r>
    </w:p>
    <w:p w14:paraId="0133C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 убирающееся. Проект будет готов к 1/I-33 года.</w:t>
      </w:r>
    </w:p>
    <w:p w14:paraId="39C83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 - балка, проект будет готов к 1/II-33 г.</w:t>
      </w:r>
    </w:p>
    <w:p w14:paraId="506D19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Винтомоторная группа.</w:t>
      </w:r>
    </w:p>
    <w:p w14:paraId="04786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Разрабатывается 3 варианта схемы установки, как-то</w:t>
      </w:r>
    </w:p>
    <w:p w14:paraId="1AB7D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Паро-котел + газовая турбина.</w:t>
      </w:r>
    </w:p>
    <w:p w14:paraId="1AC3FF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Наддув по схеме ЦИАМа + газовая турбина.</w:t>
      </w:r>
    </w:p>
    <w:p w14:paraId="6C2C9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Наддув по схеме ЦИАМа.</w:t>
      </w:r>
    </w:p>
    <w:p w14:paraId="05FD3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первому варианту проведены все расчеты и даны рабочие чертежи испарителя. Котел испарителя спущен в пр-во 15/Х. Задерживает отсутствие трубок 5х6 марки "М" которых нужно 400... Монтаж котла предполагается закончить в 1/XII-32 г. Делается эскизный проект турбокомпрессоров со сроком окончания 1/V-33 г.</w:t>
      </w:r>
    </w:p>
    <w:p w14:paraId="5DACD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удлиненного вала.</w:t>
      </w:r>
    </w:p>
    <w:p w14:paraId="49E716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на удлиненные валы сделан для моторов М17 и М-34.</w:t>
      </w:r>
    </w:p>
    <w:p w14:paraId="414D5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М-34 готова поковка. Необходимо размещать заказ на обработку 16 деталей. На сегодня БНК заказ не разместило. Так как конструкторская группа закончила в основном все конструкторские работы, то ей даны задачи</w:t>
      </w:r>
    </w:p>
    <w:p w14:paraId="4F477E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Работы по масляному передатчику.</w:t>
      </w:r>
    </w:p>
    <w:p w14:paraId="04BCD5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Работы по разведчику с автоматическим управлением (работа перспективная).</w:t>
      </w:r>
    </w:p>
    <w:p w14:paraId="5B68C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Группа БНК - 3 (скоростная).</w:t>
      </w:r>
    </w:p>
    <w:p w14:paraId="5CE030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Проектные работы по самолету БНК 3 в основном закончены 15/XI. Конструкторская группа в д/время работает с недогрузкой и находится накануне простоя.</w:t>
      </w:r>
    </w:p>
    <w:p w14:paraId="1F9FC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Фюзеляж предназначен для статиспытаний, которые окончатся к 1/I-33 г.</w:t>
      </w:r>
    </w:p>
    <w:p w14:paraId="4F1DE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Моторама - находится в производстве, за исключением 2-х узлов которые еще не заказаны, так как главный конструктор дал согласие на сварные узлы, отказавшись от штамповальных - то задержки ожидать не приходится.</w:t>
      </w:r>
    </w:p>
    <w:p w14:paraId="48946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 по плану из пр-ва выйдет к 1/I-33 г. Рабочие чертежи сданы в пр-во 15/VI. Самолет намечено выпустить к 1/II, но так как фюзеляж идет с опозданием на 1 - 1/2 месяца, то есть все основания полагать, что машина выйдет только к 1/IV-33 г.</w:t>
      </w:r>
    </w:p>
    <w:p w14:paraId="7FE0F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ДИ-4 - с мот. Кертис Конкверрор.</w:t>
      </w:r>
    </w:p>
    <w:p w14:paraId="73D503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Машина находится на испытаниях в НИИ ВВС. Последнее предъявило требование дооборудовать машину электрооборудованием, фото, радио, вооружением. На доводку потребуется не менее 2-х месяцев.</w:t>
      </w:r>
    </w:p>
    <w:p w14:paraId="4DEDB0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 Сборка автожира идет очень медленно. Рабочие чертежи не имеют нужных размеров. Сборкой руководит бригадир от ЦАГИ.</w:t>
      </w:r>
    </w:p>
    <w:p w14:paraId="3295B8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Вопросы же М-34 на ДИ-4 и по крылу И-7 мною не выявлены (2286,9).</w:t>
      </w:r>
    </w:p>
    <w:p w14:paraId="34E48E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331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постановлением ЦК ВКП(б) было организовано АВИАВНИТО (438,637).</w:t>
      </w:r>
    </w:p>
    <w:p w14:paraId="252EC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0B285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D17C7A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4544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19 и 25 ноября 1932. Из протокола заседания Политбюро № 122, 1932 г.</w:t>
      </w:r>
    </w:p>
    <w:p w14:paraId="60304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сокращении представительств хозяйственных советских организаций </w:t>
      </w:r>
    </w:p>
    <w:p w14:paraId="367F0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В связи с тем, что за последнее время представительства разного рода местных и областных учреждений возникли в Москве самостоятельно, без разрешения... ЦКК-НКРКИ утверждены списки представительств, существование которых разрешено, и которым установлены твердые штаты. Все остальные представительства обязаны в 10-дневный срок ликвидировать все свои дела, передав таковые, а также имущество соответствующим руководящим организациям, а жилплощадь — в распоряжение Моссовета... </w:t>
      </w:r>
    </w:p>
    <w:p w14:paraId="43598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Всякий обход постановления (так например, создание "хозрасчетной" организации, содержание за счет центральных органов, оставление под видом командировок, совместительство и т. д.) — будет рассматриваться как уголовное преступление и виновные будут привлекаться к судебной ответственности (11652).</w:t>
      </w:r>
    </w:p>
    <w:p w14:paraId="5C29DF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6B2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19 и 25 ноября 1932. Из протокола заседания Политбюро № 123, 1932 г.</w:t>
      </w:r>
    </w:p>
    <w:p w14:paraId="2264B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паспортной системе и разгрузке городов от лишних элементов </w:t>
      </w:r>
    </w:p>
    <w:p w14:paraId="0BC488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видах разгрузки Москвы и Ленинграда и других крупных городских центров СССР от... укрывающихся в городах кулацких, уголовных и других антиобщественных элементов, признать необходимым: </w:t>
      </w:r>
    </w:p>
    <w:p w14:paraId="0DABB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Ввести единую паспортную систему по СССР с отменой всех других видов удостоверений, выданных той или иной организацией и дававших до сих пор право на прописку в городах. </w:t>
      </w:r>
    </w:p>
    <w:p w14:paraId="0FD491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Организовать, в первую очередь в Москве и Ленинграде, аппарат учета и регистрации населения и регулирования въезда и выезда (11652).</w:t>
      </w:r>
    </w:p>
    <w:p w14:paraId="68D17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B779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19 и 25 ноября 1932. Из протокола заседания Политбюро № 123, 1932 г.</w:t>
      </w:r>
    </w:p>
    <w:p w14:paraId="07ABA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Телеграмма тт. Молотова, Чубаря, Строганова и Калмановича </w:t>
      </w:r>
    </w:p>
    <w:p w14:paraId="602565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Предоставить ЦК КП(б)У в лице специальной комиссии на период хлебозаготовок право окончательного решения вопросов о приговорах к высшей мере наказания (11652).</w:t>
      </w:r>
    </w:p>
    <w:p w14:paraId="15C32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F3ECAA"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1931 г.</w:t>
      </w:r>
    </w:p>
    <w:p w14:paraId="7ACB1FA1"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помощника начальника СО ОГПУ Иванова о Ф. Ф. Новицком и связях его с «Промпартией». </w:t>
      </w:r>
    </w:p>
    <w:p w14:paraId="5D8956A7" w14:textId="668970F1"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p>
    <w:p w14:paraId="78CE258C"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8366BF"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1931 г.</w:t>
      </w:r>
    </w:p>
    <w:p w14:paraId="27095CAB"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СЕКРЕТНО</w:t>
      </w:r>
    </w:p>
    <w:p w14:paraId="2D34D733"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СПРАВКА</w:t>
      </w:r>
    </w:p>
    <w:p w14:paraId="5F309984"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НОВИЦКИЙ Федор Федорович, 1870 г. р., Радомской губ.,</w:t>
      </w:r>
    </w:p>
    <w:p w14:paraId="667E3C8F"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дворянин, генерал Генерального штаба, русский, женат, беспартийный, подданный] СССР.</w:t>
      </w:r>
    </w:p>
    <w:p w14:paraId="13E63176"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Ряд членов ЦК к.-р. организации «Промпартии» в своих показаниях указывали, что руководителем военной организацией «Промпартии» являлся быв. генерал НОВИЦКИЙ Ф. Ф., работавший в Военно-воздушной Академии РККА.</w:t>
      </w:r>
    </w:p>
    <w:p w14:paraId="01044AD9"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РАМЗИН 14/ХII-30 г. показал:</w:t>
      </w:r>
    </w:p>
    <w:p w14:paraId="1CB8052E"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«Вследствие настойчивых требований “Торгпрома” и французского Генштаба, ЦК “Промпартии” на совещании весной [19]29 г. решил приступить к созданию военной организации “Промпартии”».</w:t>
      </w:r>
    </w:p>
    <w:p w14:paraId="5AAB7ED7"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[19]30 г. удалось завербовать следующих лиц: генерал НОВИЦКИЙ — Академия Воздушного флота, завербован КАЛИННИКОВЫМ во второй половине [19]29 г.».</w:t>
      </w:r>
    </w:p>
    <w:p w14:paraId="002DEE3D"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этим создались и небольшие военные ячейки “Промпартии”, а именно: в Академии Военно-Воздушного флота около 10 человек, в числе коих НОВИЦКИЙ, КАЛИННИКОВ, проф. СТЕЧКИН и проф. ЮРЬЕВ».</w:t>
      </w:r>
    </w:p>
    <w:p w14:paraId="7D195A25"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впервые встретился с генералом НОВИЦКИМ в первой половине января на квартире КАЛИННИКОВА и в присутствии последнего передал НОВИЦКОМУ основные установки ЦК и сформулировал ближайшие задачи, стоявшие перед военным центром: укрепление и расширение военных связей “Промпартией” по частям войск и особенно установление недостающих связей, стараясь выдерживать основной принцип построения “Промпартии” [-] цепочную структуру с вовлечением преимущественно руководящих оперативных работников и не поощряя местных ячеек за счет низовых работников. НОВИЦКИЙ [не раз] подтвердил свое согласие. Связь с НОВИЦКИМ поддерживалась далее КАЛИННИКОВЫМ, причем НОВИЦКОМУ были сообщены [данные] ранее завербованных военных членов “Промпартии” и было предложено установить с ними связь».</w:t>
      </w:r>
    </w:p>
    <w:p w14:paraId="50A4424A"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«Получив просьбу генерала ЛУКОМСКОГО об установлении прямой связи между ним и представителем военного центра “Промпартии” я поручил КАЛИННИКОВУ связать НОВИЦКОГО с французским генеральным штабом и ЛУКОМСКИМ через господина КЮФЕРА, что и было по моим сведениям сделано. Весной [19]30 г. КАЛИННИКОВ сообщил мне, что НОВИЦКИЙ установил некоторые новые связи в инженерных войсках и Штабе РККА».</w:t>
      </w:r>
    </w:p>
    <w:p w14:paraId="488FFB0E"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Аналогичные показания дали КАЛИННИКОВ, ЛАРИЧЕВ и другие.</w:t>
      </w:r>
    </w:p>
    <w:p w14:paraId="569F30AF"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Совокупность показаний членов ЦК «Промпартии» в отношении НОВИЦКОГО привели к аресту последнего.</w:t>
      </w:r>
    </w:p>
    <w:p w14:paraId="341B994B"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всем протяжении следствия НОВИЦКИЙ Ф. Ф. категорически отрицал какую бы то ни было связь с членами «Промпартии», указывая, что он кроме КАЛИННИКОВА, с которым встречался по совместной работе в Воздушной Академии, никого не знал.</w:t>
      </w:r>
    </w:p>
    <w:p w14:paraId="21D4A56B"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следствия поступило признание НОВИЦКОГО о том, что он является членом военной к.-р. организации, состоящей преимущественно из быв. офицеров Генерального Штаба.</w:t>
      </w:r>
    </w:p>
    <w:p w14:paraId="75DAC52C"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своих показаниях он указывает:</w:t>
      </w:r>
    </w:p>
    <w:p w14:paraId="64CB17E0"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«Политическое содержание этой организации основывалось на непримиримости с существующим Советским строем и мероприятиями последнего, а именно: отрицание частной собственности в той ее части, которая национализирована и, главным образом, в вопросах внутренней политики, особенно на последнем ее этапе».</w:t>
      </w:r>
    </w:p>
    <w:p w14:paraId="5E5FE5FB"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моментами, которые обсуждались среди членов организации, являлись важные факторы политики партии и правительства — крестьянский вопрос и нереальность плана в промышленности, получающего отражение в осуществлении пятилетки».</w:t>
      </w:r>
    </w:p>
    <w:p w14:paraId="2006C6D2"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Позднее НОВИЦКИЙ Ф. Ф. эти показания взял обратно, не отрицая связи с членами к.-р. военной организации.</w:t>
      </w:r>
    </w:p>
    <w:p w14:paraId="3F062AB3"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Коллегия ОГПУ осудила НОВИЦКОГО к высылке из Москвы на 3 года, запретив проживание в 12 пунктах, но, принимая во внимание преклонный возраст, болезненное состояние и заслуги в прошлом — постановила НОВИЦКОГО освободить и приговор считать условным.</w:t>
      </w:r>
    </w:p>
    <w:p w14:paraId="6AA0E8A5"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 НАЧ. СО ОГПУ &lt;Иванов&gt;</w:t>
      </w:r>
    </w:p>
    <w:p w14:paraId="3A09F70E"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1931 года.</w:t>
      </w:r>
    </w:p>
    <w:p w14:paraId="2B57AA41" w14:textId="77777777" w:rsidR="00FF7331" w:rsidRPr="00E93F40" w:rsidRDefault="00FF733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356. Л. 140-141. Машинописный подлинник, подпись — автограф (неразборчиво), рядом машинописью «(Иванов)». Гриф секретности машинописью (Л. 140, вверху справа), число в дате (Л. 141) от руки. На Л. 140 вверху слева — штампы с вписанными от руки данными о размножении (25экз.), рассылке документа (№П2838) и датой «30.XI.1931 г.», подпись-росчерк (неразборчиво); вверху справа — прямоугольный штамп «Прот. П.Б. № 78 п. 16» (цифры вписаны от руки). Рукописные пометы на Л. 140: вверху (слева и справа) одним почерком «Гамарник». «О Новицком»: </w:t>
      </w:r>
      <w:r w:rsidR="00367EA4" w:rsidRPr="00E93F40">
        <w:rPr>
          <w:rFonts w:ascii="Times New Roman" w:hAnsi="Times New Roman"/>
          <w:color w:val="000000" w:themeColor="text1"/>
          <w:sz w:val="16"/>
          <w:szCs w:val="16"/>
        </w:rPr>
        <w:t xml:space="preserve">в </w:t>
      </w:r>
      <w:r w:rsidRPr="00E93F40">
        <w:rPr>
          <w:rFonts w:ascii="Times New Roman" w:hAnsi="Times New Roman"/>
          <w:color w:val="000000" w:themeColor="text1"/>
          <w:sz w:val="16"/>
          <w:szCs w:val="16"/>
        </w:rPr>
        <w:t xml:space="preserve">левом </w:t>
      </w:r>
      <w:r w:rsidR="00367EA4" w:rsidRPr="00E93F40">
        <w:rPr>
          <w:rFonts w:ascii="Times New Roman" w:hAnsi="Times New Roman"/>
          <w:color w:val="000000" w:themeColor="text1"/>
          <w:sz w:val="16"/>
          <w:szCs w:val="16"/>
        </w:rPr>
        <w:t>у</w:t>
      </w:r>
      <w:r w:rsidRPr="00E93F40">
        <w:rPr>
          <w:rFonts w:ascii="Times New Roman" w:hAnsi="Times New Roman"/>
          <w:color w:val="000000" w:themeColor="text1"/>
          <w:sz w:val="16"/>
          <w:szCs w:val="16"/>
        </w:rPr>
        <w:t>гл</w:t>
      </w:r>
      <w:r w:rsidR="00367EA4" w:rsidRPr="00E93F40">
        <w:rPr>
          <w:rFonts w:ascii="Times New Roman" w:hAnsi="Times New Roman"/>
          <w:color w:val="000000" w:themeColor="text1"/>
          <w:sz w:val="16"/>
          <w:szCs w:val="16"/>
        </w:rPr>
        <w:t>у</w:t>
      </w:r>
      <w:r w:rsidRPr="00E93F40">
        <w:rPr>
          <w:rFonts w:ascii="Times New Roman" w:hAnsi="Times New Roman"/>
          <w:color w:val="000000" w:themeColor="text1"/>
          <w:sz w:val="16"/>
          <w:szCs w:val="16"/>
        </w:rPr>
        <w:t xml:space="preserve"> и вверху другим почерком «ЦК Сталину 19/XI31 г. &lt;...&gt;» (подпись неразборчива). В тесте документа (Л. 141) имеются подчеркивания карандашом: подчеркнуты строки в абзаце «На всем протяжении следствия НОВИЦКИЙ Ф. Ф. категорически отрицал [...]» и следующем «В процессе следствия поступило признание НОВИЦКОГО [...] офицеров Генерального Штаба» (рядом на полях слева поставлена вертикальная черта); также подчеркнуты слова предпоследнего абзаца «Позднее НОВИЦКИЙ Ф. Ф. эти показания взял обратно [...]» и в заключительной фразе «постановила НОВИЦКОГО освободить и приговор считать условным» (18678).</w:t>
      </w:r>
    </w:p>
    <w:p w14:paraId="5D2B551B" w14:textId="77777777" w:rsidR="00FF7331" w:rsidRPr="00E93F40" w:rsidRDefault="00FF7331" w:rsidP="00E93F40">
      <w:pPr>
        <w:spacing w:after="0" w:line="240" w:lineRule="auto"/>
        <w:jc w:val="both"/>
        <w:rPr>
          <w:rFonts w:ascii="Times New Roman" w:hAnsi="Times New Roman"/>
          <w:color w:val="000000" w:themeColor="text1"/>
          <w:sz w:val="16"/>
          <w:szCs w:val="16"/>
        </w:rPr>
      </w:pPr>
    </w:p>
    <w:p w14:paraId="626CD05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03806F4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3A6F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19 и 25 ноября 1932. Из протокола заседания Политбюро № 123, 1932 г.</w:t>
      </w:r>
    </w:p>
    <w:p w14:paraId="69C53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снабжении дипкорпуса </w:t>
      </w:r>
    </w:p>
    <w:p w14:paraId="4DDBC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Сохранить ныне существующий порядок беспошлинного ввоза продуктов и предметов широкого потребления для нужд Дипкорпуса... и распространить этот порядок также на иноконсульства... </w:t>
      </w:r>
    </w:p>
    <w:p w14:paraId="04505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Повысить для инкоров предельный вес заграничных почтовых посылок по пониженным таможенным ставкам до 20 кг в месяц (11652).</w:t>
      </w:r>
    </w:p>
    <w:p w14:paraId="19D28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5C264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336661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52E5DE"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Национальный памятник братьям Райт открыт в США в Китти Хок, Северная Каролина (20803).</w:t>
      </w:r>
    </w:p>
    <w:p w14:paraId="0B494E24" w14:textId="77777777" w:rsidR="00577A1D" w:rsidRPr="00E93F40" w:rsidRDefault="00577A1D" w:rsidP="00E93F40">
      <w:pPr>
        <w:spacing w:after="0" w:line="240" w:lineRule="auto"/>
        <w:jc w:val="both"/>
        <w:rPr>
          <w:rFonts w:ascii="Times New Roman" w:hAnsi="Times New Roman"/>
          <w:color w:val="000000" w:themeColor="text1"/>
          <w:sz w:val="16"/>
          <w:szCs w:val="16"/>
        </w:rPr>
      </w:pPr>
    </w:p>
    <w:p w14:paraId="1647826A"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состоялся первый полет ANF Les Mureau 170C.1 (20803).</w:t>
      </w:r>
    </w:p>
    <w:p w14:paraId="5062CCFC" w14:textId="77777777" w:rsidR="00577A1D" w:rsidRPr="00E93F40" w:rsidRDefault="00577A1D" w:rsidP="00E93F40">
      <w:pPr>
        <w:spacing w:after="0" w:line="240" w:lineRule="auto"/>
        <w:jc w:val="both"/>
        <w:rPr>
          <w:rFonts w:ascii="Times New Roman" w:hAnsi="Times New Roman"/>
          <w:color w:val="000000" w:themeColor="text1"/>
          <w:sz w:val="16"/>
          <w:szCs w:val="16"/>
        </w:rPr>
      </w:pPr>
    </w:p>
    <w:p w14:paraId="28F82F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19-14 ноября 1932 в Германии состоялись переговоры, в ходе которых президент Гинденбург предложил А.Г. собрать коалицию, которая получила бы в Парламенте поддержку большинства, однако, А.Г. потерпел неудачу (3481).</w:t>
      </w:r>
    </w:p>
    <w:p w14:paraId="5454F0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A96231"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t xml:space="preserve">19 ноября </w:t>
      </w:r>
      <w:r w:rsidRPr="00E93F40">
        <w:rPr>
          <w:rFonts w:ascii="Times New Roman" w:hAnsi="Times New Roman"/>
          <w:color w:val="000000" w:themeColor="text1"/>
          <w:sz w:val="16"/>
          <w:szCs w:val="16"/>
        </w:rPr>
        <w:t>в 1932 году в Германии президент Гинденбург предлагает Адольфу Гитлеру собрать коалицию, которая получила бы в парламенте поддержку большинства, однако лидер нацистов терпит неудачу (консультации продолжаются до 24 ноября) (14835).</w:t>
      </w:r>
    </w:p>
    <w:p w14:paraId="5228E112" w14:textId="77777777" w:rsidR="007B71BC" w:rsidRPr="00E93F40" w:rsidRDefault="007B71BC" w:rsidP="00E93F40">
      <w:pPr>
        <w:spacing w:after="0" w:line="240" w:lineRule="auto"/>
        <w:jc w:val="both"/>
        <w:rPr>
          <w:rFonts w:ascii="Times New Roman" w:hAnsi="Times New Roman"/>
          <w:color w:val="000000" w:themeColor="text1"/>
          <w:sz w:val="16"/>
          <w:szCs w:val="16"/>
        </w:rPr>
      </w:pPr>
    </w:p>
    <w:p w14:paraId="054F3F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в Лондоне открылся третий Круглый стол, который продолжался до 24 декабря (3907,174).</w:t>
      </w:r>
    </w:p>
    <w:p w14:paraId="4C3AD1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7EEFC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BC2271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263A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ноября 1932 г. по приказу ВВС РККА №300 было введено в действие «Техническое описание самолета И-5», утвержден</w:t>
      </w:r>
      <w:r w:rsidRPr="00E93F40">
        <w:rPr>
          <w:rFonts w:ascii="Times New Roman" w:hAnsi="Times New Roman"/>
          <w:color w:val="000000" w:themeColor="text1"/>
          <w:sz w:val="16"/>
          <w:szCs w:val="16"/>
        </w:rPr>
        <w:softHyphen/>
        <w:t>ное заместителем начальника ВВС Наумовым.</w:t>
      </w:r>
    </w:p>
    <w:p w14:paraId="54A6D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И-5 ЮП-</w:t>
      </w:r>
      <w:r w:rsidRPr="00E93F40">
        <w:rPr>
          <w:rFonts w:ascii="Times New Roman" w:hAnsi="Times New Roman"/>
          <w:color w:val="000000" w:themeColor="text1"/>
          <w:sz w:val="16"/>
          <w:szCs w:val="16"/>
          <w:lang w:val="en-US"/>
        </w:rPr>
        <w:t>VI</w:t>
      </w:r>
      <w:r w:rsidRPr="00E93F40">
        <w:rPr>
          <w:rFonts w:ascii="Times New Roman" w:hAnsi="Times New Roman"/>
          <w:color w:val="000000" w:themeColor="text1"/>
          <w:sz w:val="16"/>
          <w:szCs w:val="16"/>
        </w:rPr>
        <w:t xml:space="preserve"> представляет собой од</w:t>
      </w:r>
      <w:r w:rsidRPr="00E93F40">
        <w:rPr>
          <w:rFonts w:ascii="Times New Roman" w:hAnsi="Times New Roman"/>
          <w:color w:val="000000" w:themeColor="text1"/>
          <w:sz w:val="16"/>
          <w:szCs w:val="16"/>
        </w:rPr>
        <w:softHyphen/>
        <w:t>номестный одномоторный биплан с мотором воздушного охлаждения Гном-Рон «Юпитер» VI серии 480 л. с. с тянущим воздушным вин</w:t>
      </w:r>
      <w:r w:rsidRPr="00E93F40">
        <w:rPr>
          <w:rFonts w:ascii="Times New Roman" w:hAnsi="Times New Roman"/>
          <w:color w:val="000000" w:themeColor="text1"/>
          <w:sz w:val="16"/>
          <w:szCs w:val="16"/>
        </w:rPr>
        <w:softHyphen/>
        <w:t>том. Самолет И-5 принадлежит к типу само^- тов смешанной конструкции, имея деревян</w:t>
      </w:r>
      <w:r w:rsidRPr="00E93F40">
        <w:rPr>
          <w:rFonts w:ascii="Times New Roman" w:hAnsi="Times New Roman"/>
          <w:color w:val="000000" w:themeColor="text1"/>
          <w:sz w:val="16"/>
          <w:szCs w:val="16"/>
        </w:rPr>
        <w:softHyphen/>
        <w:t>ные крылья, стальной из сварных труб фюзе</w:t>
      </w:r>
      <w:r w:rsidRPr="00E93F40">
        <w:rPr>
          <w:rFonts w:ascii="Times New Roman" w:hAnsi="Times New Roman"/>
          <w:color w:val="000000" w:themeColor="text1"/>
          <w:sz w:val="16"/>
          <w:szCs w:val="16"/>
        </w:rPr>
        <w:softHyphen/>
        <w:t>ляж и дюралевое оперение и центроплан. Обтяжка всех указанных частей полотняная. Несущие поверхности (крылья) прямоуголь</w:t>
      </w:r>
      <w:r w:rsidRPr="00E93F40">
        <w:rPr>
          <w:rFonts w:ascii="Times New Roman" w:hAnsi="Times New Roman"/>
          <w:color w:val="000000" w:themeColor="text1"/>
          <w:sz w:val="16"/>
          <w:szCs w:val="16"/>
        </w:rPr>
        <w:softHyphen/>
        <w:t>ной формы с закругленными концами. Они связаны между собой парой И-образных стоек по одной с каждой стороны. Верхние поверх</w:t>
      </w:r>
      <w:r w:rsidRPr="00E93F40">
        <w:rPr>
          <w:rFonts w:ascii="Times New Roman" w:hAnsi="Times New Roman"/>
          <w:color w:val="000000" w:themeColor="text1"/>
          <w:sz w:val="16"/>
          <w:szCs w:val="16"/>
        </w:rPr>
        <w:softHyphen/>
        <w:t>ности имеют вынос вперед. Шасси металличе</w:t>
      </w:r>
      <w:r w:rsidRPr="00E93F40">
        <w:rPr>
          <w:rFonts w:ascii="Times New Roman" w:hAnsi="Times New Roman"/>
          <w:color w:val="000000" w:themeColor="text1"/>
          <w:sz w:val="16"/>
          <w:szCs w:val="16"/>
        </w:rPr>
        <w:softHyphen/>
        <w:t>ские с резиновыми кольцевыми амортизато</w:t>
      </w:r>
      <w:r w:rsidRPr="00E93F40">
        <w:rPr>
          <w:rFonts w:ascii="Times New Roman" w:hAnsi="Times New Roman"/>
          <w:color w:val="000000" w:themeColor="text1"/>
          <w:sz w:val="16"/>
          <w:szCs w:val="16"/>
        </w:rPr>
        <w:softHyphen/>
        <w:t>рами в передних ногах, задние ноги из дюра</w:t>
      </w:r>
      <w:r w:rsidRPr="00E93F40">
        <w:rPr>
          <w:rFonts w:ascii="Times New Roman" w:hAnsi="Times New Roman"/>
          <w:color w:val="000000" w:themeColor="text1"/>
          <w:sz w:val="16"/>
          <w:szCs w:val="16"/>
        </w:rPr>
        <w:softHyphen/>
        <w:t>левых профилированныхтруб.</w:t>
      </w:r>
    </w:p>
    <w:p w14:paraId="1FA3AD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характеристики самолета И-5 (приведены для головного серийного И-5 №4273)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196"/>
        <w:gridCol w:w="1843"/>
      </w:tblGrid>
      <w:tr w:rsidR="00DA227A" w:rsidRPr="00E93F40" w14:paraId="3968ECDC" w14:textId="77777777">
        <w:tc>
          <w:tcPr>
            <w:tcW w:w="7196" w:type="dxa"/>
            <w:tcBorders>
              <w:top w:val="single" w:sz="12" w:space="0" w:color="auto"/>
            </w:tcBorders>
          </w:tcPr>
          <w:p w14:paraId="6551F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верхнего крыла (м)</w:t>
            </w:r>
          </w:p>
        </w:tc>
        <w:tc>
          <w:tcPr>
            <w:tcW w:w="1843" w:type="dxa"/>
            <w:tcBorders>
              <w:top w:val="single" w:sz="12" w:space="0" w:color="auto"/>
            </w:tcBorders>
          </w:tcPr>
          <w:p w14:paraId="138D9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9,65</w:t>
            </w:r>
          </w:p>
        </w:tc>
      </w:tr>
      <w:tr w:rsidR="00DA227A" w:rsidRPr="00E93F40" w14:paraId="5C005A25" w14:textId="77777777">
        <w:tc>
          <w:tcPr>
            <w:tcW w:w="7196" w:type="dxa"/>
          </w:tcPr>
          <w:p w14:paraId="095386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нижнего крыла (м)</w:t>
            </w:r>
          </w:p>
        </w:tc>
        <w:tc>
          <w:tcPr>
            <w:tcW w:w="1843" w:type="dxa"/>
          </w:tcPr>
          <w:p w14:paraId="6466E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7,02</w:t>
            </w:r>
          </w:p>
        </w:tc>
      </w:tr>
      <w:tr w:rsidR="00DA227A" w:rsidRPr="00E93F40" w14:paraId="6C35183B" w14:textId="77777777">
        <w:tc>
          <w:tcPr>
            <w:tcW w:w="7196" w:type="dxa"/>
          </w:tcPr>
          <w:p w14:paraId="148F35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Полная длина самолета (м)</w:t>
            </w:r>
          </w:p>
        </w:tc>
        <w:tc>
          <w:tcPr>
            <w:tcW w:w="1843" w:type="dxa"/>
          </w:tcPr>
          <w:p w14:paraId="55064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6,81</w:t>
            </w:r>
          </w:p>
        </w:tc>
      </w:tr>
      <w:tr w:rsidR="00DA227A" w:rsidRPr="00E93F40" w14:paraId="573EF8DD" w14:textId="77777777">
        <w:tc>
          <w:tcPr>
            <w:tcW w:w="7196" w:type="dxa"/>
          </w:tcPr>
          <w:p w14:paraId="4BEF81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самолета (м)</w:t>
            </w:r>
          </w:p>
        </w:tc>
        <w:tc>
          <w:tcPr>
            <w:tcW w:w="1843" w:type="dxa"/>
          </w:tcPr>
          <w:p w14:paraId="3E5829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3,135</w:t>
            </w:r>
          </w:p>
        </w:tc>
      </w:tr>
      <w:tr w:rsidR="00DA227A" w:rsidRPr="00E93F40" w14:paraId="5A4FCF07" w14:textId="77777777">
        <w:tc>
          <w:tcPr>
            <w:tcW w:w="7196" w:type="dxa"/>
          </w:tcPr>
          <w:p w14:paraId="25DE0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хорды верхнего крыла (м)</w:t>
            </w:r>
          </w:p>
        </w:tc>
        <w:tc>
          <w:tcPr>
            <w:tcW w:w="1843" w:type="dxa"/>
          </w:tcPr>
          <w:p w14:paraId="529933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r>
      <w:tr w:rsidR="00DA227A" w:rsidRPr="00E93F40" w14:paraId="13285CF0" w14:textId="77777777">
        <w:tc>
          <w:tcPr>
            <w:tcW w:w="7196" w:type="dxa"/>
          </w:tcPr>
          <w:p w14:paraId="42C622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Длинахорды нижнего крыла (м)</w:t>
            </w:r>
          </w:p>
        </w:tc>
        <w:tc>
          <w:tcPr>
            <w:tcW w:w="1843" w:type="dxa"/>
          </w:tcPr>
          <w:p w14:paraId="4635A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r>
      <w:tr w:rsidR="00DA227A" w:rsidRPr="00E93F40" w14:paraId="36BC9DDA" w14:textId="77777777">
        <w:tc>
          <w:tcPr>
            <w:tcW w:w="7196" w:type="dxa"/>
          </w:tcPr>
          <w:p w14:paraId="0E8214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Расстояние между планами (м)</w:t>
            </w:r>
          </w:p>
        </w:tc>
        <w:tc>
          <w:tcPr>
            <w:tcW w:w="1843" w:type="dxa"/>
          </w:tcPr>
          <w:p w14:paraId="2F504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1,465</w:t>
            </w:r>
          </w:p>
        </w:tc>
      </w:tr>
      <w:tr w:rsidR="00DA227A" w:rsidRPr="00E93F40" w14:paraId="59336B74" w14:textId="77777777">
        <w:tc>
          <w:tcPr>
            <w:tcW w:w="7196" w:type="dxa"/>
          </w:tcPr>
          <w:p w14:paraId="7D007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Профиль крыльев</w:t>
            </w:r>
          </w:p>
        </w:tc>
        <w:tc>
          <w:tcPr>
            <w:tcW w:w="1843" w:type="dxa"/>
          </w:tcPr>
          <w:p w14:paraId="15CC4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Геттинген №436</w:t>
            </w:r>
          </w:p>
        </w:tc>
      </w:tr>
      <w:tr w:rsidR="00DA227A" w:rsidRPr="00E93F40" w14:paraId="3FC40C03" w14:textId="77777777">
        <w:tc>
          <w:tcPr>
            <w:tcW w:w="7196" w:type="dxa"/>
          </w:tcPr>
          <w:p w14:paraId="24AE39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крыльев (м</w:t>
            </w:r>
            <w:r w:rsidRPr="00E93F40">
              <w:rPr>
                <w:rFonts w:ascii="Times New Roman" w:hAnsi="Times New Roman"/>
                <w:color w:val="000000" w:themeColor="text1"/>
                <w:sz w:val="16"/>
                <w:szCs w:val="16"/>
                <w:vertAlign w:val="superscript"/>
              </w:rPr>
              <w:t>г</w:t>
            </w:r>
            <w:r w:rsidRPr="00E93F40">
              <w:rPr>
                <w:rFonts w:ascii="Times New Roman" w:hAnsi="Times New Roman"/>
                <w:color w:val="000000" w:themeColor="text1"/>
                <w:sz w:val="16"/>
                <w:szCs w:val="16"/>
              </w:rPr>
              <w:t>)</w:t>
            </w:r>
          </w:p>
        </w:tc>
        <w:tc>
          <w:tcPr>
            <w:tcW w:w="1843" w:type="dxa"/>
          </w:tcPr>
          <w:p w14:paraId="4AEB4B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21,03</w:t>
            </w:r>
          </w:p>
        </w:tc>
      </w:tr>
      <w:tr w:rsidR="00DA227A" w:rsidRPr="00E93F40" w14:paraId="7C22ADEB" w14:textId="77777777">
        <w:tc>
          <w:tcPr>
            <w:tcW w:w="7196" w:type="dxa"/>
          </w:tcPr>
          <w:p w14:paraId="5F0D9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Воздушный винт двухлопастный, деревянный с окованными листовой латунью концами ло</w:t>
            </w:r>
            <w:r w:rsidRPr="00E93F40">
              <w:rPr>
                <w:rFonts w:ascii="Times New Roman" w:hAnsi="Times New Roman"/>
                <w:color w:val="000000" w:themeColor="text1"/>
                <w:sz w:val="16"/>
                <w:szCs w:val="16"/>
              </w:rPr>
              <w:softHyphen/>
              <w:t>пастей.</w:t>
            </w:r>
          </w:p>
        </w:tc>
        <w:tc>
          <w:tcPr>
            <w:tcW w:w="1843" w:type="dxa"/>
          </w:tcPr>
          <w:p w14:paraId="286D17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B57330" w14:textId="77777777">
        <w:tc>
          <w:tcPr>
            <w:tcW w:w="7196" w:type="dxa"/>
          </w:tcPr>
          <w:p w14:paraId="59771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Диаметр винта (м)</w:t>
            </w:r>
          </w:p>
        </w:tc>
        <w:tc>
          <w:tcPr>
            <w:tcW w:w="1843" w:type="dxa"/>
          </w:tcPr>
          <w:p w14:paraId="493678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r>
      <w:tr w:rsidR="00DA227A" w:rsidRPr="00E93F40" w14:paraId="3333F807" w14:textId="77777777">
        <w:tc>
          <w:tcPr>
            <w:tcW w:w="7196" w:type="dxa"/>
          </w:tcPr>
          <w:p w14:paraId="5110D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Шаг винта (м)</w:t>
            </w:r>
          </w:p>
        </w:tc>
        <w:tc>
          <w:tcPr>
            <w:tcW w:w="1843" w:type="dxa"/>
          </w:tcPr>
          <w:p w14:paraId="0D208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r>
      <w:tr w:rsidR="00DA227A" w:rsidRPr="00E93F40" w14:paraId="7ED304DD" w14:textId="77777777">
        <w:tc>
          <w:tcPr>
            <w:tcW w:w="7196" w:type="dxa"/>
          </w:tcPr>
          <w:p w14:paraId="6BBEE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бензиновых баков:</w:t>
            </w:r>
          </w:p>
        </w:tc>
        <w:tc>
          <w:tcPr>
            <w:tcW w:w="1843" w:type="dxa"/>
          </w:tcPr>
          <w:p w14:paraId="16380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0A7BBB" w14:textId="77777777">
        <w:tc>
          <w:tcPr>
            <w:tcW w:w="7196" w:type="dxa"/>
          </w:tcPr>
          <w:p w14:paraId="006E9D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главного</w:t>
            </w:r>
          </w:p>
        </w:tc>
        <w:tc>
          <w:tcPr>
            <w:tcW w:w="1843" w:type="dxa"/>
          </w:tcPr>
          <w:p w14:paraId="2EA2E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205 л (160 кг),</w:t>
            </w:r>
          </w:p>
        </w:tc>
      </w:tr>
      <w:tr w:rsidR="00DA227A" w:rsidRPr="00E93F40" w14:paraId="08023DF1" w14:textId="77777777">
        <w:tc>
          <w:tcPr>
            <w:tcW w:w="7196" w:type="dxa"/>
          </w:tcPr>
          <w:p w14:paraId="3F397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дополнительного</w:t>
            </w:r>
          </w:p>
        </w:tc>
        <w:tc>
          <w:tcPr>
            <w:tcW w:w="1843" w:type="dxa"/>
          </w:tcPr>
          <w:p w14:paraId="1B00C7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л (40 кг).</w:t>
            </w:r>
          </w:p>
        </w:tc>
      </w:tr>
      <w:tr w:rsidR="00DA227A" w:rsidRPr="00E93F40" w14:paraId="2A56A6BD" w14:textId="77777777">
        <w:tc>
          <w:tcPr>
            <w:tcW w:w="7196" w:type="dxa"/>
          </w:tcPr>
          <w:p w14:paraId="590F0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1843" w:type="dxa"/>
          </w:tcPr>
          <w:p w14:paraId="30EDB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255 л (200 кг)</w:t>
            </w:r>
          </w:p>
        </w:tc>
      </w:tr>
      <w:tr w:rsidR="00DA227A" w:rsidRPr="00E93F40" w14:paraId="1248AB1F" w14:textId="77777777">
        <w:tc>
          <w:tcPr>
            <w:tcW w:w="7196" w:type="dxa"/>
          </w:tcPr>
          <w:p w14:paraId="59476F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Емкость масляного бака</w:t>
            </w:r>
          </w:p>
        </w:tc>
        <w:tc>
          <w:tcPr>
            <w:tcW w:w="1843" w:type="dxa"/>
          </w:tcPr>
          <w:p w14:paraId="249564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 л (38,6 кг)</w:t>
            </w:r>
          </w:p>
        </w:tc>
      </w:tr>
      <w:tr w:rsidR="00DA227A" w:rsidRPr="00E93F40" w14:paraId="0BF8BAFB" w14:textId="77777777">
        <w:tc>
          <w:tcPr>
            <w:tcW w:w="7196" w:type="dxa"/>
          </w:tcPr>
          <w:p w14:paraId="08D98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Расход горючего на высоте 3740 м</w:t>
            </w:r>
          </w:p>
        </w:tc>
        <w:tc>
          <w:tcPr>
            <w:tcW w:w="1843" w:type="dxa"/>
          </w:tcPr>
          <w:p w14:paraId="1B7FA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998C09" w14:textId="77777777">
        <w:tc>
          <w:tcPr>
            <w:tcW w:w="7196" w:type="dxa"/>
          </w:tcPr>
          <w:p w14:paraId="6029E8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1700 об/мин</w:t>
            </w:r>
          </w:p>
        </w:tc>
        <w:tc>
          <w:tcPr>
            <w:tcW w:w="1843" w:type="dxa"/>
          </w:tcPr>
          <w:p w14:paraId="42C974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 кг/час.</w:t>
            </w:r>
          </w:p>
        </w:tc>
      </w:tr>
      <w:tr w:rsidR="00DA227A" w:rsidRPr="00E93F40" w14:paraId="2D9D4A2A" w14:textId="77777777">
        <w:tc>
          <w:tcPr>
            <w:tcW w:w="7196" w:type="dxa"/>
          </w:tcPr>
          <w:p w14:paraId="2E9E20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Расход масла при 1700 об/мин.</w:t>
            </w:r>
          </w:p>
        </w:tc>
        <w:tc>
          <w:tcPr>
            <w:tcW w:w="1843" w:type="dxa"/>
          </w:tcPr>
          <w:p w14:paraId="0359F8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AFECF0" w14:textId="77777777">
        <w:tc>
          <w:tcPr>
            <w:tcW w:w="7196" w:type="dxa"/>
          </w:tcPr>
          <w:p w14:paraId="063306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 3740 м</w:t>
            </w:r>
          </w:p>
        </w:tc>
        <w:tc>
          <w:tcPr>
            <w:tcW w:w="1843" w:type="dxa"/>
          </w:tcPr>
          <w:p w14:paraId="6E989C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2,7-3 кг/час.</w:t>
            </w:r>
          </w:p>
        </w:tc>
      </w:tr>
      <w:tr w:rsidR="00DA227A" w:rsidRPr="00E93F40" w14:paraId="0C7E214A" w14:textId="77777777">
        <w:tc>
          <w:tcPr>
            <w:tcW w:w="7196" w:type="dxa"/>
          </w:tcPr>
          <w:p w14:paraId="4B21A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пустого самолета</w:t>
            </w:r>
          </w:p>
        </w:tc>
        <w:tc>
          <w:tcPr>
            <w:tcW w:w="1843" w:type="dxa"/>
          </w:tcPr>
          <w:p w14:paraId="64F7A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63D63B" w14:textId="77777777">
        <w:tc>
          <w:tcPr>
            <w:tcW w:w="7196" w:type="dxa"/>
          </w:tcPr>
          <w:p w14:paraId="5DCFC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(сдобавочным баком)</w:t>
            </w:r>
          </w:p>
        </w:tc>
        <w:tc>
          <w:tcPr>
            <w:tcW w:w="1843" w:type="dxa"/>
          </w:tcPr>
          <w:p w14:paraId="067EED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925 кг</w:t>
            </w:r>
          </w:p>
        </w:tc>
      </w:tr>
      <w:tr w:rsidR="00DA227A" w:rsidRPr="00E93F40" w14:paraId="5348726A" w14:textId="77777777">
        <w:tc>
          <w:tcPr>
            <w:tcW w:w="7196" w:type="dxa"/>
          </w:tcPr>
          <w:p w14:paraId="671E7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Нормальный полетный</w:t>
            </w:r>
          </w:p>
        </w:tc>
        <w:tc>
          <w:tcPr>
            <w:tcW w:w="1843" w:type="dxa"/>
          </w:tcPr>
          <w:p w14:paraId="167CF8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96809B" w14:textId="77777777">
        <w:tc>
          <w:tcPr>
            <w:tcW w:w="7196" w:type="dxa"/>
            <w:tcBorders>
              <w:bottom w:val="single" w:sz="12" w:space="0" w:color="auto"/>
            </w:tcBorders>
          </w:tcPr>
          <w:p w14:paraId="1D5A3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самолета</w:t>
            </w:r>
          </w:p>
        </w:tc>
        <w:tc>
          <w:tcPr>
            <w:tcW w:w="1843" w:type="dxa"/>
            <w:tcBorders>
              <w:bottom w:val="single" w:sz="12" w:space="0" w:color="auto"/>
            </w:tcBorders>
          </w:tcPr>
          <w:p w14:paraId="291318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1337 кг*</w:t>
            </w:r>
          </w:p>
        </w:tc>
      </w:tr>
    </w:tbl>
    <w:p w14:paraId="14D091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полной нагрузкой 412 кг (бензин 180 кг, Масло 25 кг, пилот 80 кг, два пулемета ПВ-1 32 кг и т.д.)</w:t>
      </w:r>
    </w:p>
    <w:p w14:paraId="207CE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перегрузку возможна установка двух пу</w:t>
      </w:r>
      <w:r w:rsidRPr="00E93F40">
        <w:rPr>
          <w:rFonts w:ascii="Times New Roman" w:hAnsi="Times New Roman"/>
          <w:color w:val="000000" w:themeColor="text1"/>
          <w:sz w:val="16"/>
          <w:szCs w:val="16"/>
        </w:rPr>
        <w:softHyphen/>
        <w:t>леметов ПВ-1 (вес в сборе двух пулеметов с механизмами крепления и перезарядки, 1000 патронов в ящиках 69,0 кг.), или радиостанция «КИР», или 2 осколочные авиабомбы по 10 кг на держателях ДЕР-5 (11974).</w:t>
      </w:r>
    </w:p>
    <w:p w14:paraId="7358E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AABA77" w14:textId="77777777" w:rsidR="00742933" w:rsidRPr="00E93F40" w:rsidRDefault="0074293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ноября 1932 г. «Технического описания самолета И-5» было вве</w:t>
      </w:r>
      <w:r w:rsidRPr="00E93F40">
        <w:rPr>
          <w:rFonts w:ascii="Times New Roman" w:hAnsi="Times New Roman"/>
          <w:color w:val="000000" w:themeColor="text1"/>
          <w:sz w:val="16"/>
          <w:szCs w:val="16"/>
        </w:rPr>
        <w:softHyphen/>
        <w:t>денного в действие согласно приказу ВВС РККА №300 и утвер</w:t>
      </w:r>
      <w:r w:rsidRPr="00E93F40">
        <w:rPr>
          <w:rFonts w:ascii="Times New Roman" w:hAnsi="Times New Roman"/>
          <w:color w:val="000000" w:themeColor="text1"/>
          <w:sz w:val="16"/>
          <w:szCs w:val="16"/>
        </w:rPr>
        <w:softHyphen/>
        <w:t>жденного заместителем начальника ВВС На</w:t>
      </w:r>
      <w:r w:rsidRPr="00E93F40">
        <w:rPr>
          <w:rFonts w:ascii="Times New Roman" w:hAnsi="Times New Roman"/>
          <w:color w:val="000000" w:themeColor="text1"/>
          <w:sz w:val="16"/>
          <w:szCs w:val="16"/>
        </w:rPr>
        <w:softHyphen/>
        <w:t>умовым. Текст приводится с максимальным сохранением оригинальной стилистики и орфографии.</w:t>
      </w:r>
    </w:p>
    <w:p w14:paraId="71C02618" w14:textId="77777777" w:rsidR="00742933" w:rsidRPr="00E93F40" w:rsidRDefault="0074293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И-5 ЮП-У! представляет собой одноместный, одномоторный биплан с мо</w:t>
      </w:r>
      <w:r w:rsidRPr="00E93F40">
        <w:rPr>
          <w:rFonts w:ascii="Times New Roman" w:hAnsi="Times New Roman"/>
          <w:color w:val="000000" w:themeColor="text1"/>
          <w:sz w:val="16"/>
          <w:szCs w:val="16"/>
        </w:rPr>
        <w:softHyphen/>
        <w:t>тором воздушного охлаждения Гном-Рон Юпитер VI серии 480 л. с. с тянущим воз</w:t>
      </w:r>
      <w:r w:rsidRPr="00E93F40">
        <w:rPr>
          <w:rFonts w:ascii="Times New Roman" w:hAnsi="Times New Roman"/>
          <w:color w:val="000000" w:themeColor="text1"/>
          <w:sz w:val="16"/>
          <w:szCs w:val="16"/>
        </w:rPr>
        <w:softHyphen/>
        <w:t>душным винтом. Самолет И-5 принадлежит к типу самолетов смешанной конструкции, имея деревянные крылья, стальной из свар</w:t>
      </w:r>
      <w:r w:rsidRPr="00E93F40">
        <w:rPr>
          <w:rFonts w:ascii="Times New Roman" w:hAnsi="Times New Roman"/>
          <w:color w:val="000000" w:themeColor="text1"/>
          <w:sz w:val="16"/>
          <w:szCs w:val="16"/>
        </w:rPr>
        <w:softHyphen/>
        <w:t>ных труб фюзеляж и дюралевое оперение и центроплан. Обтяжка всех указанных частей полотняная. Несущие поверхности (кры</w:t>
      </w:r>
      <w:r w:rsidRPr="00E93F40">
        <w:rPr>
          <w:rFonts w:ascii="Times New Roman" w:hAnsi="Times New Roman"/>
          <w:color w:val="000000" w:themeColor="text1"/>
          <w:sz w:val="16"/>
          <w:szCs w:val="16"/>
        </w:rPr>
        <w:softHyphen/>
        <w:t>лья) прямоугольной формы с закругленны</w:t>
      </w:r>
      <w:r w:rsidRPr="00E93F40">
        <w:rPr>
          <w:rFonts w:ascii="Times New Roman" w:hAnsi="Times New Roman"/>
          <w:color w:val="000000" w:themeColor="text1"/>
          <w:sz w:val="16"/>
          <w:szCs w:val="16"/>
        </w:rPr>
        <w:softHyphen/>
        <w:t>ми концами. Они связаны между собой па</w:t>
      </w:r>
      <w:r w:rsidRPr="00E93F40">
        <w:rPr>
          <w:rFonts w:ascii="Times New Roman" w:hAnsi="Times New Roman"/>
          <w:color w:val="000000" w:themeColor="text1"/>
          <w:sz w:val="16"/>
          <w:szCs w:val="16"/>
        </w:rPr>
        <w:softHyphen/>
        <w:t>рой И-образных стоек по одной с каждой стороны. Верхние поверхности имеют вынос вперед. Шасси металлические с резиновыми кольцевыми амортизаторами в передних но</w:t>
      </w:r>
      <w:r w:rsidRPr="00E93F40">
        <w:rPr>
          <w:rFonts w:ascii="Times New Roman" w:hAnsi="Times New Roman"/>
          <w:color w:val="000000" w:themeColor="text1"/>
          <w:sz w:val="16"/>
          <w:szCs w:val="16"/>
        </w:rPr>
        <w:softHyphen/>
        <w:t>гах, задние ноги из дюралевых профилиро</w:t>
      </w:r>
      <w:r w:rsidRPr="00E93F40">
        <w:rPr>
          <w:rFonts w:ascii="Times New Roman" w:hAnsi="Times New Roman"/>
          <w:color w:val="000000" w:themeColor="text1"/>
          <w:sz w:val="16"/>
          <w:szCs w:val="16"/>
        </w:rPr>
        <w:softHyphen/>
        <w:t>ванных труб (12295).</w:t>
      </w:r>
    </w:p>
    <w:p w14:paraId="73824FC4" w14:textId="77777777" w:rsidR="00742933" w:rsidRPr="00E93F40" w:rsidRDefault="00742933" w:rsidP="00E93F40">
      <w:pPr>
        <w:spacing w:after="0" w:line="240" w:lineRule="auto"/>
        <w:jc w:val="both"/>
        <w:rPr>
          <w:rFonts w:ascii="Times New Roman" w:hAnsi="Times New Roman"/>
          <w:color w:val="000000" w:themeColor="text1"/>
          <w:sz w:val="16"/>
          <w:szCs w:val="16"/>
        </w:rPr>
      </w:pPr>
    </w:p>
    <w:p w14:paraId="693B05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ноября 1932 на АИР-7 А.С.Я. была достигнута скорость 325 км/час (2483,17).</w:t>
      </w:r>
    </w:p>
    <w:p w14:paraId="184F87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188335"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ноября 1932, в полете с пассажиром на АИР-7, самим Яковлевым была получена рекордная для СССР скорость — 325 км/ч (15547).</w:t>
      </w:r>
    </w:p>
    <w:p w14:paraId="4D6E5EA5" w14:textId="77777777" w:rsidR="007B71BC" w:rsidRPr="00E93F40" w:rsidRDefault="007B71BC" w:rsidP="00E93F40">
      <w:pPr>
        <w:spacing w:after="0" w:line="240" w:lineRule="auto"/>
        <w:jc w:val="both"/>
        <w:rPr>
          <w:rFonts w:ascii="Times New Roman" w:hAnsi="Times New Roman"/>
          <w:color w:val="000000" w:themeColor="text1"/>
          <w:sz w:val="16"/>
          <w:szCs w:val="16"/>
        </w:rPr>
      </w:pPr>
    </w:p>
    <w:p w14:paraId="1E31C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ноября 1932 года зам. наркома НКТП и начальник Глававиапрома Баранов писал письмо № СУ-1251/с в СТО</w:t>
      </w:r>
    </w:p>
    <w:p w14:paraId="772C42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представляю доклад о полете в стратосфере.</w:t>
      </w:r>
    </w:p>
    <w:p w14:paraId="78097C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упомянутое.</w:t>
      </w:r>
    </w:p>
    <w:p w14:paraId="1F035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 в стратосферу</w:t>
      </w:r>
    </w:p>
    <w:p w14:paraId="5E8C1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09B4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IV При реализации стратосферного полета КО и БНК ЦАГИ пошли следующими путями:</w:t>
      </w:r>
    </w:p>
    <w:p w14:paraId="205199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Конструкторский отдел ЦАГИ</w:t>
      </w:r>
    </w:p>
    <w:p w14:paraId="756F6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Стратосферный самолет, разрабатываемый в бригаде № 6, представляет из себя моноплан, с низко расположенным крылом. Конструкция цельнометаллическая: дюралюминий и сталь. Размах 30 метров. Длина 12,5 м. Полетный вес 3,8 тонны.</w:t>
      </w:r>
    </w:p>
    <w:p w14:paraId="4E391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общей несущей поверхностью 79 кв. Метров отличается большим удлинением (11,5), что дает улучшение аэродинамических качеств крыла.</w:t>
      </w:r>
    </w:p>
    <w:p w14:paraId="7F9C1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Оперение рассчитано из условий улучшения управляемости самолета и обеспечения устойчивости полета с брошенной ручкой.</w:t>
      </w:r>
    </w:p>
    <w:p w14:paraId="21AC26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Герметическая кабина является совершенно самостоятельной от самолета конструкцией и вкладывается сверху фюзеляжа, скрепляясь с ним через амортизирующие прокладки. Кабина расчитана на 2-х человек и представляет из себя тело яйцеобразного сечения и имеет окна, дающие возможность обзора для летчика и пассажира.</w:t>
      </w:r>
    </w:p>
    <w:p w14:paraId="643E5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заднем днище кабины имеется герметически закрываемый люк. Кабина оборудуется кислородным питанием и поглотителем углекислоты, а также предусматривается отопление кабины отходящими от мотора газами.</w:t>
      </w:r>
    </w:p>
    <w:p w14:paraId="473352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обычного типа.</w:t>
      </w:r>
    </w:p>
    <w:p w14:paraId="16E169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Винтомоторная группа состоит из мотора М34 с 2-х ступенчатым импеллером, обеспечивающим мощность мотора на высоте 15 км в 470 НР. Охлаждение мотора – водяное, охлаждение воздуха, подаваемого из импеллера в мотор – воздушное.</w:t>
      </w:r>
    </w:p>
    <w:p w14:paraId="609F7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 предполагается с поворотными лопастями.</w:t>
      </w:r>
    </w:p>
    <w:p w14:paraId="61A8AE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расчетным данным самолет должен иметь следующие летные данные:</w:t>
      </w:r>
    </w:p>
    <w:p w14:paraId="1F34BC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Максимальную скорость на высоте 15 км – 300 км/час</w:t>
      </w:r>
    </w:p>
    <w:p w14:paraId="452EB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 – 16 км</w:t>
      </w:r>
    </w:p>
    <w:p w14:paraId="2D055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16 км – 1 час 10 минут</w:t>
      </w:r>
    </w:p>
    <w:p w14:paraId="421CFF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Горючее – на 3,5 часа</w:t>
      </w:r>
    </w:p>
    <w:p w14:paraId="6D76E9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полета – 1100 км</w:t>
      </w:r>
    </w:p>
    <w:p w14:paraId="05F5E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скорость – 85 км/час</w:t>
      </w:r>
    </w:p>
    <w:p w14:paraId="4551A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работ по высотному самолету на 1 октября 1932 года</w:t>
      </w:r>
    </w:p>
    <w:p w14:paraId="682B0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Приступлено к сдаче в производство чертежей отъемной части крыла. Закончен расчет хвостовой части фюзеляжа и начинается конструктивная разработка. Закончен расчет герметической кабины (2-й вариант) и разрабатывается ее конструкция.</w:t>
      </w:r>
    </w:p>
    <w:p w14:paraId="567A6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осуществлении этого проекта имеются трудности следующего порядка.</w:t>
      </w:r>
    </w:p>
    <w:p w14:paraId="3057878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готового высотного мотора. Вопрос импеллера – новый вопрос и требует большой работы по его осуществлению</w:t>
      </w:r>
    </w:p>
    <w:p w14:paraId="28F84F5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винта с поворотными лопастями. Необходимо разрешить задачу поворотной втулки к мотору М-34.</w:t>
      </w:r>
    </w:p>
    <w:p w14:paraId="5908A7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Новизна вопроса и отсутствие у нас опыта требуют специальных больших экспериментальных работ.</w:t>
      </w:r>
    </w:p>
    <w:p w14:paraId="3BFBA88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достаточного количества работников, что задерживает темп работы.</w:t>
      </w:r>
    </w:p>
    <w:p w14:paraId="407C40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Имеется еще много трудностей как например: получение вполне герметической кабины, осуществление вывода органов управления из кабины, сохранение при этом герметичности кабины, избежания вибрации крыла при конструировании крыла с большим удлинением и т.п., но они не являются непреодолимыми и их можно разрешить в порядке упорной конструкторской работы.</w:t>
      </w:r>
    </w:p>
    <w:p w14:paraId="79B878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Бюро новых конструкций</w:t>
      </w:r>
    </w:p>
    <w:p w14:paraId="34F8EC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Стратосферный самолет, проектируемый БНК, по своей схеме не отличается существенно от самолета нормального типа.</w:t>
      </w:r>
    </w:p>
    <w:p w14:paraId="4C8EB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Схема самолета.</w:t>
      </w:r>
    </w:p>
    <w:p w14:paraId="1A0A3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Аппарат представляет моноплан с низко расположенным крылом в 45 кв м несущей поверхности, общим полетным весом 2300 кг.</w:t>
      </w:r>
    </w:p>
    <w:p w14:paraId="1599FA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все расчеты ведутся под мотор М17 (500НР), но может быть придется перейти на мотор М34.</w:t>
      </w:r>
    </w:p>
    <w:p w14:paraId="4F35F3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хорошо освещенная и расположенная впереди крыла имеет 2 места тандем. Это расположение предоставляет экипажу прекрасный обзор вперед и вниз.</w:t>
      </w:r>
    </w:p>
    <w:p w14:paraId="63C8FF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кабиной расположена винтомоторная группа, состоящая из мотора и металлического винта диаметром 4 м, приводящегося посредством гидравлической передачи. Винт расположен позади задней кромки крыла.</w:t>
      </w:r>
    </w:p>
    <w:p w14:paraId="30FB0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Оперение моноплана поддерживается двумя расчлененными в плоскости балками, предназначенными для восприятия возникающих горизонтальных усилий как от вертикального оперения, так и при возникающем маневрировании полета.</w:t>
      </w:r>
    </w:p>
    <w:p w14:paraId="2A065A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нормального типа, безосное, с широкой колеей, с тормозными колесами.</w:t>
      </w:r>
    </w:p>
    <w:p w14:paraId="50DBB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Несущая поверхность.</w:t>
      </w:r>
    </w:p>
    <w:p w14:paraId="1925EE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моноплана в 45 м кв. с удлинением десяти спроектировано на основе принятого профиля так, чтобы угол максимальной скорости на высоте 14000 м соответствовал максимальному качеству.</w:t>
      </w:r>
    </w:p>
    <w:p w14:paraId="5F419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состоит из центроплана – размахом 4,5 м и из двух трапецевидных открылков с аллиптическими концами.</w:t>
      </w:r>
    </w:p>
    <w:p w14:paraId="72FDB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Листовая обшивка воспринимает разрывающие и скручивающие усилия. Обшивка верхней части крыла будет иметь двойные стенки для конденсации пара, выходящего из турбины.</w:t>
      </w:r>
    </w:p>
    <w:p w14:paraId="09DD3C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Кабина.</w:t>
      </w:r>
    </w:p>
    <w:p w14:paraId="0754A7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непроницаемая кабина намечается из стали высокого сопротивления. Она набирается из комплекта шпангоутов, соединенных стрингерами, к которым электрически приварены стальные листы, образующие обшивку. Этот способ обеспечивает кабине прекрасную герметичность и в то же время простую конструкцию.</w:t>
      </w:r>
    </w:p>
    <w:p w14:paraId="55A2B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Проходы тяг управления самолетом и мотором через стенки кабины осуществляются посредством воздушных цилиндров, поддерживаемых под постоянным давлением компрессора, приводимым в действие ветрянкой, расположенной под кабиной. Питание кабины воздухом будет происходить из баллонов, применяющихся при высотных полетах. Углекислота поглощается поглотителями типа, применяющегося в подводных лодках.</w:t>
      </w:r>
    </w:p>
    <w:p w14:paraId="5F6FBE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имеется вариант использовать компрессор мотора для питания кабины. Для обогревания кабины будет использован пар, выходящий из турбины.</w:t>
      </w:r>
    </w:p>
    <w:p w14:paraId="5CD8E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будет крепиться в 4-х точках. Такое устройство имеет цель – не подвергать кабину напряжениям, которые воспринимает планер, дабы не вызвать деформацию, нарушающую непроницаемость кабины.</w:t>
      </w:r>
    </w:p>
    <w:p w14:paraId="0882D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Винтомоторная группа.</w:t>
      </w:r>
    </w:p>
    <w:p w14:paraId="1F426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Винтомоторная группа состоит, как было сказано, из мотора в 500 НР, форсируемого центробежным компрессором в несколько степеней. Последний приводится паровой турбиной, питаемой паром, производящимся с одной стороны от охлаждения мотора и с другой – выхлопными газами.</w:t>
      </w:r>
    </w:p>
    <w:p w14:paraId="50F2FC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Центробежный компрессор имеет две ступени. Первая действует от земли до 6500 м и приводится в движение паровой турбиной работающей паром, получаемым из котла, подогреваемого выхлопными газами.</w:t>
      </w:r>
    </w:p>
    <w:p w14:paraId="14DF1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Вторая ступень включается на высоте 6500 м и приводится в движение газовой турбиной на газу, отходящем от котла, в то время как при работе только первой ступени газы выбрасываются наружу.</w:t>
      </w:r>
    </w:p>
    <w:p w14:paraId="4D2EC9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приводит масляную помпу, действующую под давлением в 150/200 кг/м кв.</w:t>
      </w:r>
    </w:p>
    <w:p w14:paraId="17076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отношении винта расчеты показаны, что целесообразнее иметь винт с переменным числом оборотов, т.е. коробку скоростей. Вопрос специальный и до сих пор не имевший решения, почему результаты его предвидеть сейчас трудно.</w:t>
      </w:r>
    </w:p>
    <w:p w14:paraId="123406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большей обеспеченности разработан БНК эскизный проект винта с поворотными лопастями.</w:t>
      </w:r>
    </w:p>
    <w:p w14:paraId="70DBB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самолета:</w:t>
      </w:r>
    </w:p>
    <w:p w14:paraId="392A5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Поверхность – 45 м кв.</w:t>
      </w:r>
    </w:p>
    <w:p w14:paraId="27980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полетный вес – 2300 кг</w:t>
      </w:r>
    </w:p>
    <w:p w14:paraId="0E99C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 500 НР</w:t>
      </w:r>
    </w:p>
    <w:p w14:paraId="3D3C8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на м кв. – 51 кг/ м кв.</w:t>
      </w:r>
    </w:p>
    <w:p w14:paraId="55E58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на силу – 4,6 кг НР</w:t>
      </w:r>
    </w:p>
    <w:p w14:paraId="60F1CB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скорость у земли – 225 км/час</w:t>
      </w:r>
    </w:p>
    <w:p w14:paraId="370B0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на высоте 12000 м – 400 км/час</w:t>
      </w:r>
    </w:p>
    <w:p w14:paraId="3DEC78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на 12000 м – 50 минут</w:t>
      </w:r>
    </w:p>
    <w:p w14:paraId="33E41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Теоретический потолок – 14500</w:t>
      </w:r>
    </w:p>
    <w:p w14:paraId="4F95E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полета – 2 часа</w:t>
      </w:r>
    </w:p>
    <w:p w14:paraId="43DB3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работы</w:t>
      </w:r>
    </w:p>
    <w:p w14:paraId="4BA092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октября 1932 года сделано следующее:</w:t>
      </w:r>
    </w:p>
    <w:p w14:paraId="6A1A2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Установлена конструкция крыла, центроплана и фермы, поддерживающей оперения. Сделан аэродинамический расчет. Построена испытательная станция для моторных установок. Спроектирован 1-й вариант котла и делается 2-й вариант. Разрабатывается коробка скоростей.</w:t>
      </w:r>
    </w:p>
    <w:p w14:paraId="07A33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предварительному плану в I квартале 1933 года должны быть закончены все расчеты и некоторые испытания по моторной части, результаты которых показать целесообразность выбранной схемы и определить дальнейшее направление в работе.</w:t>
      </w:r>
    </w:p>
    <w:p w14:paraId="1CA8C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четвертом квартале 1933 года машины предположены к выходу на аэродром.</w:t>
      </w:r>
    </w:p>
    <w:p w14:paraId="12059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работах ЦИАМа.</w:t>
      </w:r>
    </w:p>
    <w:p w14:paraId="7BD04D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основу было положено приспособить мотор М34 путем соответствующего наддува и обеспечить работу всех агрегатов.</w:t>
      </w:r>
    </w:p>
    <w:p w14:paraId="0136F8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Расчеты показали, что мощность для горизонтального полета на высоте 15000 м должна быть равна 450 л.с., мощность же поглощаемая нагнетателем – около 300 л. с. Этим требованиям мотор М34 удовлетворяет.</w:t>
      </w:r>
    </w:p>
    <w:p w14:paraId="34DBF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нагнетателю. (2-х ступенчатый приводной центробежный) выполнена рабочая компановка, но не разработана система охлаждения воздуха, подаваемого нагнетателем и не проведено механического испытания крыльчатки, окружная скорость которой выбрана порядка 400 м/сек., т.е. значительно выше, чем в существующих типах. (Рольс-Ройс – 270 м/сек, нагнетатель М34 – 340 м/сек.).</w:t>
      </w:r>
    </w:p>
    <w:p w14:paraId="756E7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работы по подготовке мотора и специального четырехлопастного винта переменного шага в ЦИАМе сейчас приостановлены и с плана сняты, ввиду перегрузки института работами по плану, утвержденному Правительством.</w:t>
      </w:r>
    </w:p>
    <w:p w14:paraId="2A753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конкретных результатов в текущем году от ЦИАМа ожидать нельзя. При включении в план этих работ в декабре 1932 года моторы с нагнетателем и четырехлопастной винт с переменным шагом можно ожидать в III квартале 1933 года (7439, 136-147).</w:t>
      </w:r>
    </w:p>
    <w:p w14:paraId="6E092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DBFA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ноября 1932 рабочие чертежи дизеля Н-1 были сданы в производство (2310,130).</w:t>
      </w:r>
    </w:p>
    <w:p w14:paraId="651F90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2786EF"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20 ноября 1932 КО рассматривала вопрос О председателе Комиссии по рассмотрению вопроса об организации Реактивного института ( от 20.11.1932 г.); (№ 1783/ко от 21.11.1932 г.) (21563).</w:t>
      </w:r>
    </w:p>
    <w:p w14:paraId="747061E0" w14:textId="77777777" w:rsidR="00577A1D" w:rsidRPr="00E93F40" w:rsidRDefault="00577A1D" w:rsidP="00E93F40">
      <w:pPr>
        <w:spacing w:after="0" w:line="240" w:lineRule="auto"/>
        <w:jc w:val="both"/>
        <w:rPr>
          <w:rFonts w:ascii="Times New Roman" w:hAnsi="Times New Roman"/>
          <w:color w:val="000000" w:themeColor="text1"/>
          <w:sz w:val="16"/>
          <w:szCs w:val="16"/>
        </w:rPr>
      </w:pPr>
    </w:p>
    <w:p w14:paraId="61AD3F7B" w14:textId="77777777" w:rsidR="00C1538C" w:rsidRPr="00E93F40" w:rsidRDefault="00C1538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ноября Ту</w:t>
      </w:r>
      <w:r w:rsidRPr="00E93F40">
        <w:rPr>
          <w:rFonts w:ascii="Times New Roman" w:hAnsi="Times New Roman"/>
          <w:color w:val="000000" w:themeColor="text1"/>
          <w:sz w:val="16"/>
          <w:szCs w:val="16"/>
        </w:rPr>
        <w:softHyphen/>
        <w:t>хачевский был утвержден председателем комиссии по органи</w:t>
      </w:r>
      <w:r w:rsidRPr="00E93F40">
        <w:rPr>
          <w:rFonts w:ascii="Times New Roman" w:hAnsi="Times New Roman"/>
          <w:color w:val="000000" w:themeColor="text1"/>
          <w:sz w:val="16"/>
          <w:szCs w:val="16"/>
        </w:rPr>
        <w:softHyphen/>
        <w:t>зации РНИИ. Несмотря на его усилия, решение о создании института задерживалось. Фор</w:t>
      </w:r>
      <w:r w:rsidRPr="00E93F40">
        <w:rPr>
          <w:rFonts w:ascii="Times New Roman" w:hAnsi="Times New Roman"/>
          <w:color w:val="000000" w:themeColor="text1"/>
          <w:sz w:val="16"/>
          <w:szCs w:val="16"/>
        </w:rPr>
        <w:softHyphen/>
        <w:t>мальной причиной стало отсутствие при</w:t>
      </w:r>
      <w:r w:rsidRPr="00E93F40">
        <w:rPr>
          <w:rFonts w:ascii="Times New Roman" w:hAnsi="Times New Roman"/>
          <w:color w:val="000000" w:themeColor="text1"/>
          <w:sz w:val="16"/>
          <w:szCs w:val="16"/>
        </w:rPr>
        <w:softHyphen/>
        <w:t>емлемого помещения. Реальная причина крылась в закулисных действиях Воро</w:t>
      </w:r>
      <w:r w:rsidRPr="00E93F40">
        <w:rPr>
          <w:rFonts w:ascii="Times New Roman" w:hAnsi="Times New Roman"/>
          <w:color w:val="000000" w:themeColor="text1"/>
          <w:sz w:val="16"/>
          <w:szCs w:val="16"/>
        </w:rPr>
        <w:softHyphen/>
        <w:t>шилова. Тухачевский становился ему все более неприятен, а поддержка его предло</w:t>
      </w:r>
      <w:r w:rsidRPr="00E93F40">
        <w:rPr>
          <w:rFonts w:ascii="Times New Roman" w:hAnsi="Times New Roman"/>
          <w:color w:val="000000" w:themeColor="text1"/>
          <w:sz w:val="16"/>
          <w:szCs w:val="16"/>
        </w:rPr>
        <w:softHyphen/>
        <w:t>жений Центральным Комитетом все более раздражала. Запрещать создание РНИИ он опасался, но и разрешать не хотел (23510).</w:t>
      </w:r>
    </w:p>
    <w:p w14:paraId="4E693DF4" w14:textId="77777777" w:rsidR="00C1538C" w:rsidRPr="00E93F40" w:rsidRDefault="00C1538C" w:rsidP="00E93F40">
      <w:pPr>
        <w:spacing w:after="0" w:line="240" w:lineRule="auto"/>
        <w:jc w:val="both"/>
        <w:rPr>
          <w:rFonts w:ascii="Times New Roman" w:hAnsi="Times New Roman"/>
          <w:color w:val="000000" w:themeColor="text1"/>
          <w:sz w:val="16"/>
          <w:szCs w:val="16"/>
        </w:rPr>
      </w:pPr>
    </w:p>
    <w:p w14:paraId="06FA67CB" w14:textId="77777777" w:rsidR="0074293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F6C8B0C" w14:textId="77777777" w:rsidR="00742933" w:rsidRPr="00E93F40" w:rsidRDefault="0074293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1F1CF6"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20 ноября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СНК СССР № 1717/356сс о порядке финансирования оборонных мероприятий в 1933 г. (ГА РФ. Ф. Р-8418. Оп. 28. Д. 146. Л. 149) (12415).</w:t>
      </w:r>
    </w:p>
    <w:p w14:paraId="4EA6B56D"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1440/428сс об утверждении баз по организации производства для объектов, связанных с обслуживанием вооруженных сил, подлежащих разгрузке из г. Ленинград с объявлением мобилизации и во время войны по особому распоряжению правительства (ГА РФ. Ф. Р?8418. Оп. 28. Д. 1а. Л. 388?391) (12415).</w:t>
      </w:r>
    </w:p>
    <w:p w14:paraId="6C8AE8F1"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Комиссии обороны № 1783/ко о председателе комиссии по рассмотрению вопроса об организации Реактивного института (ГА РФ. Ф. Р?8418. Оп. 28. Д. 25а. Л. 19) (12415).</w:t>
      </w:r>
    </w:p>
    <w:p w14:paraId="2817574B"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227CA7E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341D94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385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ноября 1932 вышло Постановление СНК УССР "О мерах по усилению хлебозаготовок". В постановлении был пункт о применении "натуральных штрафов", т.е о штрафовании мясом тех колхозов, которые задолжали по хлебозаготовкам, но не имели хлеба, чтобы рассчитаться с государством (10687).</w:t>
      </w:r>
    </w:p>
    <w:p w14:paraId="7D554A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16227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835702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1D17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ноября 1932 по постановлению СНК СССР сельхозавиацию перевели из Наркомзема в ГУ ГВФ (438,637).</w:t>
      </w:r>
    </w:p>
    <w:p w14:paraId="48121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9CDDA9" w14:textId="77777777" w:rsidR="0050073D" w:rsidRPr="00E93F40" w:rsidRDefault="005007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21 ноября 1932 г. СНК СССР вынес постановление о передаче сельско-хояйственной авиации /СХА/ из ведения Наркомзема СССР в ГУ ГВФ. СХА была организована в 1931 году в виде «баз СХА». В связи с увеличением объема работ СХА Наркомзем оказался не в состоянии руководить многочисленными кадрами авиационных специа</w:t>
      </w:r>
      <w:r w:rsidRPr="00E93F40">
        <w:rPr>
          <w:rFonts w:ascii="Times New Roman" w:hAnsi="Times New Roman"/>
          <w:color w:val="000000" w:themeColor="text1"/>
          <w:sz w:val="16"/>
          <w:szCs w:val="16"/>
        </w:rPr>
        <w:softHyphen/>
        <w:t>листов, что и вынудило СНК на передачу СХА гражд. воздушному флоту.</w:t>
      </w:r>
    </w:p>
    <w:p w14:paraId="16F06933" w14:textId="77777777" w:rsidR="0050073D" w:rsidRPr="00E93F40" w:rsidRDefault="0050073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/Сборник законов СССР 1932 г., ОТД. 1, № 79, стр. 486/ (23370)</w:t>
      </w:r>
    </w:p>
    <w:p w14:paraId="200083F9" w14:textId="77777777" w:rsidR="0050073D" w:rsidRPr="00E93F40" w:rsidRDefault="0050073D" w:rsidP="00E93F40">
      <w:pPr>
        <w:spacing w:after="0" w:line="240" w:lineRule="auto"/>
        <w:jc w:val="both"/>
        <w:rPr>
          <w:rFonts w:ascii="Times New Roman" w:hAnsi="Times New Roman"/>
          <w:color w:val="000000" w:themeColor="text1"/>
          <w:sz w:val="16"/>
          <w:szCs w:val="16"/>
        </w:rPr>
      </w:pPr>
    </w:p>
    <w:p w14:paraId="7A518FF4" w14:textId="77777777" w:rsidR="007B71BC" w:rsidRPr="00E93F40" w:rsidRDefault="007B71B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21 ноября </w:t>
      </w:r>
      <w:r w:rsidRPr="00E93F40">
        <w:rPr>
          <w:rFonts w:ascii="Times New Roman" w:hAnsi="Times New Roman"/>
          <w:color w:val="000000" w:themeColor="text1"/>
          <w:sz w:val="16"/>
          <w:szCs w:val="16"/>
        </w:rPr>
        <w:t>в 1932 году вся сельскохозяйственная авиация СССР передана в состав Главного Управления Гражданского Воздушного Флота СССР (Аэрофлота) (14836).</w:t>
      </w:r>
    </w:p>
    <w:p w14:paraId="260C9022" w14:textId="77777777" w:rsidR="007B71BC" w:rsidRPr="00E93F40" w:rsidRDefault="007B71BC" w:rsidP="00E93F40">
      <w:pPr>
        <w:spacing w:after="0" w:line="240" w:lineRule="auto"/>
        <w:jc w:val="both"/>
        <w:rPr>
          <w:rFonts w:ascii="Times New Roman" w:hAnsi="Times New Roman"/>
          <w:color w:val="000000" w:themeColor="text1"/>
          <w:sz w:val="16"/>
          <w:szCs w:val="16"/>
        </w:rPr>
      </w:pPr>
    </w:p>
    <w:p w14:paraId="4B02320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E453F6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9E59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ноября 1932 И.Халепский (согласно его письмо К.Е.В.) в 9 вечера был вы</w:t>
      </w:r>
      <w:r w:rsidR="00742933" w:rsidRPr="00E93F40">
        <w:rPr>
          <w:rFonts w:ascii="Times New Roman" w:hAnsi="Times New Roman"/>
          <w:color w:val="000000" w:themeColor="text1"/>
          <w:sz w:val="16"/>
          <w:szCs w:val="16"/>
        </w:rPr>
        <w:t>з</w:t>
      </w:r>
      <w:r w:rsidRPr="00E93F40">
        <w:rPr>
          <w:rFonts w:ascii="Times New Roman" w:hAnsi="Times New Roman"/>
          <w:color w:val="000000" w:themeColor="text1"/>
          <w:sz w:val="16"/>
          <w:szCs w:val="16"/>
        </w:rPr>
        <w:t>ван в кремлевскую квартиру Г.К.О., куда вскоре прибыл и И.В.С. В разговоре принял участие и Павлуновский и директор СТЗ Пудалов. Разговор шел о замене колесных тракторов типа Интернационал на гусеничные танки и о превращении СТЗ в базу танкостроения на годы войны. Потом Халепский составил ПЗ и потом их одобрило ПБ (9089,198).</w:t>
      </w:r>
    </w:p>
    <w:p w14:paraId="22EE22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B85800"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21 ноября 1932 состояние работ по изготовлению мотоброневагона Д-6 было следующим:</w:t>
      </w:r>
    </w:p>
    <w:p w14:paraId="4F14C493"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«Мотоброневагон с двигателем «Геркулес» 105 л.с. (Д-6). Изготовлены верхняя и нижняя часть корпуса, корпус башни без погонов, лафета и поворотного механизма. Установлена ходовая часть с ручными тормозами, мотор «Геркулес» с коробкой скоростей Я-5 и реверсом Д-35, радиатор типа «Коммунар». Установлены глушители, трубопроводы, а также временный бензобак и временное управление броневагоном.</w:t>
      </w:r>
    </w:p>
    <w:p w14:paraId="6AC62DAA"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указанном виде система будет готова к испытанию к 10.12.32 г. Дальнейшая сборка задержана за отсутствием чертежей». К этому времени военные отказались от услуг Дыренкова, и приказом по УММ РККА от 21 ноября 1932 года № 095 опытно-конструкторское и испытательное бюро расформировывалось с 1 декабря, а весь личный состав (за исключением Дыренкова) передавался в распоряжение директора завода Можерез «для окончания работ по заданиям УММ РККА».</w:t>
      </w:r>
    </w:p>
    <w:p w14:paraId="4FD2D309"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числе этих работ оказался и опытный вариант Д-6. Для ускорения его изготовления НТК УММ РККА предложил отказаться от его вооружения 107-мм орудием и установить на нем два 7б,2-мм орудия образца 1902 года в башнях, аналогичных серийным Д-2. Эти изменения в конструкцию внесли в короткие сроки, и в начале 1933 года мотоброневагон был готов (15624).</w:t>
      </w:r>
    </w:p>
    <w:p w14:paraId="65F6D8E8" w14:textId="77777777" w:rsidR="00666E99" w:rsidRPr="00E93F40" w:rsidRDefault="00666E99" w:rsidP="00E93F40">
      <w:pPr>
        <w:spacing w:after="0" w:line="240" w:lineRule="auto"/>
        <w:jc w:val="both"/>
        <w:rPr>
          <w:rFonts w:ascii="Times New Roman" w:hAnsi="Times New Roman"/>
          <w:color w:val="000000" w:themeColor="text1"/>
          <w:sz w:val="16"/>
          <w:szCs w:val="16"/>
        </w:rPr>
      </w:pPr>
    </w:p>
    <w:p w14:paraId="49EC37EA" w14:textId="4D47950C" w:rsidR="00367EA4" w:rsidRPr="00E93F40" w:rsidRDefault="00367E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21 ноября 1932 изготовление опытного образца Д-6 было следующим:</w:t>
      </w:r>
      <w:r w:rsidR="007C1411" w:rsidRPr="00E93F40">
        <w:rPr>
          <w:rFonts w:ascii="Times New Roman" w:hAnsi="Times New Roman"/>
          <w:color w:val="000000" w:themeColor="text1"/>
          <w:sz w:val="16"/>
          <w:szCs w:val="16"/>
        </w:rPr>
        <w:t xml:space="preserve"> </w:t>
      </w:r>
    </w:p>
    <w:p w14:paraId="0629DA9D" w14:textId="4DF7B8EC" w:rsidR="00367EA4" w:rsidRPr="00E93F40" w:rsidRDefault="00367E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«Мотоброневагон с двигателем «Геркулес» 105 л.с. (Д-6). Изготовлены верхняя и нижняя часть корпуса, корпус башни без погонов, лафета и поворотного механизма. Установлена ходовая часть с ручными тормозами, мотор «Геркулес» с коробкой скоростей Я-5 и реверсом Д-35, радиатор типа «Коммунар». Установ-</w:t>
      </w:r>
      <w:r w:rsidR="007C1411" w:rsidRPr="00E93F40">
        <w:rPr>
          <w:rFonts w:ascii="Times New Roman" w:hAnsi="Times New Roman"/>
          <w:color w:val="000000" w:themeColor="text1"/>
          <w:sz w:val="16"/>
          <w:szCs w:val="16"/>
        </w:rPr>
        <w:t xml:space="preserve"> </w:t>
      </w:r>
    </w:p>
    <w:p w14:paraId="0EB45AE8" w14:textId="77777777" w:rsidR="00367EA4" w:rsidRPr="00E93F40" w:rsidRDefault="00367E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лены глушители, трубопроводы, а также временный бензобак и временное управление броневагоном. В указанном виде система будет готова к испытанию к 10.12.32 г. Дальнейшая сборка задержана за отсутствием чертежей» (18626).</w:t>
      </w:r>
    </w:p>
    <w:p w14:paraId="38102DA7" w14:textId="77777777" w:rsidR="00367EA4" w:rsidRPr="00E93F40" w:rsidRDefault="00367EA4" w:rsidP="00E93F40">
      <w:pPr>
        <w:spacing w:after="0" w:line="240" w:lineRule="auto"/>
        <w:jc w:val="both"/>
        <w:rPr>
          <w:rFonts w:ascii="Times New Roman" w:hAnsi="Times New Roman"/>
          <w:color w:val="000000" w:themeColor="text1"/>
          <w:sz w:val="16"/>
          <w:szCs w:val="16"/>
        </w:rPr>
      </w:pPr>
    </w:p>
    <w:p w14:paraId="5FB4426C" w14:textId="06CF0494" w:rsidR="00367EA4" w:rsidRPr="00E93F40" w:rsidRDefault="00367E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ноября 1932 года № 095 приказом по УММ РККА опытно-конструкторское и испытательное бюро расформировывалось с 1 декабря, а весь личный состав (за исключением Дыренкова) передавался в распоряжение директора завода Можерез «для окончания работ по заданиям УММ РККА».</w:t>
      </w:r>
      <w:r w:rsidR="007C1411" w:rsidRPr="00E93F40">
        <w:rPr>
          <w:rFonts w:ascii="Times New Roman" w:hAnsi="Times New Roman"/>
          <w:color w:val="000000" w:themeColor="text1"/>
          <w:sz w:val="16"/>
          <w:szCs w:val="16"/>
        </w:rPr>
        <w:t xml:space="preserve"> </w:t>
      </w:r>
    </w:p>
    <w:p w14:paraId="21651283" w14:textId="4D418D3B" w:rsidR="00367EA4" w:rsidRPr="00E93F40" w:rsidRDefault="00367EA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числе этих работ оказался и опытный вариант Д-6. Для ускорения его изготовления НТК УММ РККА предложил отказаться от его вооружения 107-мм орудием и установить на нем два 76,2-мм орудия образца 1902 года в башнях, аналогичных серийным Д-2. Эти изменения в конструкцию внесли в короткие сроки, и в начале 1933 года мотоброневагон был готов.</w:t>
      </w:r>
      <w:r w:rsidR="007C1411" w:rsidRPr="00E93F40">
        <w:rPr>
          <w:rFonts w:ascii="Times New Roman" w:hAnsi="Times New Roman"/>
          <w:color w:val="000000" w:themeColor="text1"/>
          <w:sz w:val="16"/>
          <w:szCs w:val="16"/>
        </w:rPr>
        <w:t xml:space="preserve"> </w:t>
      </w:r>
    </w:p>
    <w:p w14:paraId="3D83E6EF" w14:textId="77777777" w:rsidR="00367EA4" w:rsidRPr="00E93F40" w:rsidRDefault="00367EA4" w:rsidP="00E93F40">
      <w:pPr>
        <w:spacing w:after="0" w:line="240" w:lineRule="auto"/>
        <w:jc w:val="both"/>
        <w:rPr>
          <w:rFonts w:ascii="Times New Roman" w:hAnsi="Times New Roman"/>
          <w:color w:val="000000" w:themeColor="text1"/>
          <w:sz w:val="16"/>
          <w:szCs w:val="16"/>
        </w:rPr>
      </w:pPr>
    </w:p>
    <w:p w14:paraId="73675B66"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ноября 1932 года начальник управ</w:t>
      </w:r>
      <w:r w:rsidRPr="00142305">
        <w:rPr>
          <w:rFonts w:ascii="Times New Roman" w:hAnsi="Times New Roman"/>
          <w:color w:val="0070C0"/>
          <w:sz w:val="16"/>
          <w:szCs w:val="16"/>
        </w:rPr>
        <w:softHyphen/>
        <w:t>ления механизации и моторизации РККА И. Халепский подписал приказ № 095, в котором говорилось:</w:t>
      </w:r>
    </w:p>
    <w:p w14:paraId="5F2A5003"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приказания Народного ко</w:t>
      </w:r>
      <w:r w:rsidRPr="00142305">
        <w:rPr>
          <w:rFonts w:ascii="Times New Roman" w:hAnsi="Times New Roman"/>
          <w:color w:val="0070C0"/>
          <w:sz w:val="16"/>
          <w:szCs w:val="16"/>
        </w:rPr>
        <w:softHyphen/>
        <w:t>миссара по военным и морским делам, опытно-конструкторское и испытатель</w:t>
      </w:r>
      <w:r w:rsidRPr="00142305">
        <w:rPr>
          <w:rFonts w:ascii="Times New Roman" w:hAnsi="Times New Roman"/>
          <w:color w:val="0070C0"/>
          <w:sz w:val="16"/>
          <w:szCs w:val="16"/>
        </w:rPr>
        <w:softHyphen/>
        <w:t>ное бюро УММ считать расформирован</w:t>
      </w:r>
      <w:r w:rsidRPr="00142305">
        <w:rPr>
          <w:rFonts w:ascii="Times New Roman" w:hAnsi="Times New Roman"/>
          <w:color w:val="0070C0"/>
          <w:sz w:val="16"/>
          <w:szCs w:val="16"/>
        </w:rPr>
        <w:softHyphen/>
        <w:t>ным с 1.12.1931 г...</w:t>
      </w:r>
    </w:p>
    <w:p w14:paraId="754C7BF2"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Весь личный состав бюро, за исклю</w:t>
      </w:r>
      <w:r w:rsidRPr="00142305">
        <w:rPr>
          <w:rFonts w:ascii="Times New Roman" w:hAnsi="Times New Roman"/>
          <w:color w:val="0070C0"/>
          <w:sz w:val="16"/>
          <w:szCs w:val="16"/>
        </w:rPr>
        <w:softHyphen/>
        <w:t>чением Начальника Бюро, временно, до моего распоряжения, остается в веде</w:t>
      </w:r>
      <w:r w:rsidRPr="00142305">
        <w:rPr>
          <w:rFonts w:ascii="Times New Roman" w:hAnsi="Times New Roman"/>
          <w:color w:val="0070C0"/>
          <w:sz w:val="16"/>
          <w:szCs w:val="16"/>
        </w:rPr>
        <w:softHyphen/>
        <w:t>нии директора завода Можерез для окон</w:t>
      </w:r>
      <w:r w:rsidRPr="00142305">
        <w:rPr>
          <w:rFonts w:ascii="Times New Roman" w:hAnsi="Times New Roman"/>
          <w:color w:val="0070C0"/>
          <w:sz w:val="16"/>
          <w:szCs w:val="16"/>
        </w:rPr>
        <w:softHyphen/>
        <w:t>чания работ по заданиям НТК УММ».</w:t>
      </w:r>
    </w:p>
    <w:p w14:paraId="123BF298"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по машинам Д-4 и Д-5 были выполнены следующие работы:</w:t>
      </w:r>
    </w:p>
    <w:p w14:paraId="20D6787A"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«Танк-вездеход Д-5 — приготовлены листы для разметки корпуса. Изготовле</w:t>
      </w:r>
      <w:r w:rsidRPr="00142305">
        <w:rPr>
          <w:rFonts w:ascii="Times New Roman" w:hAnsi="Times New Roman"/>
          <w:color w:val="0070C0"/>
          <w:sz w:val="16"/>
          <w:szCs w:val="16"/>
        </w:rPr>
        <w:softHyphen/>
        <w:t>ны рамы подъема мостика с пригонкой деталей, переделана и заварена с размет</w:t>
      </w:r>
      <w:r w:rsidRPr="00142305">
        <w:rPr>
          <w:rFonts w:ascii="Times New Roman" w:hAnsi="Times New Roman"/>
          <w:color w:val="0070C0"/>
          <w:sz w:val="16"/>
          <w:szCs w:val="16"/>
        </w:rPr>
        <w:softHyphen/>
        <w:t>кой под обработку коробка подъемно</w:t>
      </w:r>
      <w:r w:rsidRPr="00142305">
        <w:rPr>
          <w:rFonts w:ascii="Times New Roman" w:hAnsi="Times New Roman"/>
          <w:color w:val="0070C0"/>
          <w:sz w:val="16"/>
          <w:szCs w:val="16"/>
        </w:rPr>
        <w:softHyphen/>
        <w:t>го мостика. Все детали, изготовленные на кооперированных заводах, подготов</w:t>
      </w:r>
      <w:r w:rsidRPr="00142305">
        <w:rPr>
          <w:rFonts w:ascii="Times New Roman" w:hAnsi="Times New Roman"/>
          <w:color w:val="0070C0"/>
          <w:sz w:val="16"/>
          <w:szCs w:val="16"/>
        </w:rPr>
        <w:softHyphen/>
        <w:t>лены для сборки. Изготовлен макет кор</w:t>
      </w:r>
      <w:r w:rsidRPr="00142305">
        <w:rPr>
          <w:rFonts w:ascii="Times New Roman" w:hAnsi="Times New Roman"/>
          <w:color w:val="0070C0"/>
          <w:sz w:val="16"/>
          <w:szCs w:val="16"/>
        </w:rPr>
        <w:softHyphen/>
        <w:t>пуса с башнями. Часть деталей, заказан</w:t>
      </w:r>
      <w:r w:rsidRPr="00142305">
        <w:rPr>
          <w:rFonts w:ascii="Times New Roman" w:hAnsi="Times New Roman"/>
          <w:color w:val="0070C0"/>
          <w:sz w:val="16"/>
          <w:szCs w:val="16"/>
        </w:rPr>
        <w:softHyphen/>
        <w:t>ная на заводах Ростовский и Ижорский, еще не досланы. Все заказы и работы приостановлены.</w:t>
      </w:r>
    </w:p>
    <w:p w14:paraId="5ED8B031"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Танк-вездеход Д-4 — имеется изготов</w:t>
      </w:r>
      <w:r w:rsidRPr="00142305">
        <w:rPr>
          <w:rFonts w:ascii="Times New Roman" w:hAnsi="Times New Roman"/>
          <w:color w:val="0070C0"/>
          <w:sz w:val="16"/>
          <w:szCs w:val="16"/>
        </w:rPr>
        <w:softHyphen/>
        <w:t>ленный корпус танка с башнями, мости</w:t>
      </w:r>
      <w:r w:rsidRPr="00142305">
        <w:rPr>
          <w:rFonts w:ascii="Times New Roman" w:hAnsi="Times New Roman"/>
          <w:color w:val="0070C0"/>
          <w:sz w:val="16"/>
          <w:szCs w:val="16"/>
        </w:rPr>
        <w:softHyphen/>
        <w:t>ками, направляющими колесами, гусе</w:t>
      </w:r>
      <w:r w:rsidRPr="00142305">
        <w:rPr>
          <w:rFonts w:ascii="Times New Roman" w:hAnsi="Times New Roman"/>
          <w:color w:val="0070C0"/>
          <w:sz w:val="16"/>
          <w:szCs w:val="16"/>
        </w:rPr>
        <w:softHyphen/>
        <w:t>ницами и деталями механизмов в разо</w:t>
      </w:r>
      <w:r w:rsidRPr="00142305">
        <w:rPr>
          <w:rFonts w:ascii="Times New Roman" w:hAnsi="Times New Roman"/>
          <w:color w:val="0070C0"/>
          <w:sz w:val="16"/>
          <w:szCs w:val="16"/>
        </w:rPr>
        <w:softHyphen/>
        <w:t>бранном виде. Часть деталей переделаны для Д-5. Моторы установлены на Д-6 и Д-2 (опытные образцы мотоброневаго- нов конструкции Н. Дыренкова). С производства опытная едини</w:t>
      </w:r>
      <w:r w:rsidRPr="00142305">
        <w:rPr>
          <w:rFonts w:ascii="Times New Roman" w:hAnsi="Times New Roman"/>
          <w:color w:val="0070C0"/>
          <w:sz w:val="16"/>
          <w:szCs w:val="16"/>
        </w:rPr>
        <w:softHyphen/>
        <w:t>ца снята как год и подлежит разборке» (25010).</w:t>
      </w:r>
    </w:p>
    <w:p w14:paraId="39EC39C4" w14:textId="77777777" w:rsidR="00D33067" w:rsidRPr="00142305" w:rsidRDefault="00D33067" w:rsidP="00D33067">
      <w:pPr>
        <w:spacing w:after="0" w:line="240" w:lineRule="auto"/>
        <w:jc w:val="both"/>
        <w:rPr>
          <w:rFonts w:ascii="Times New Roman" w:hAnsi="Times New Roman"/>
          <w:color w:val="0070C0"/>
          <w:sz w:val="16"/>
          <w:szCs w:val="16"/>
        </w:rPr>
      </w:pPr>
    </w:p>
    <w:p w14:paraId="083F3346"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21 ноября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1447/431сс о назначении комиссии для обследования военно-химических заводов (ГА РФ. Ф. Р?8418. Оп. 28. Д. 1а. Л. 392?393) (12415).</w:t>
      </w:r>
    </w:p>
    <w:p w14:paraId="7B9EACBD"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1460/435сс об отпуске Наркомсвязи тракторов и оборудования для механизированных колонн (ГА РФ. Ф. Р?8418. Оп. 28. Д. 1а. Л. 394) (12415).</w:t>
      </w:r>
    </w:p>
    <w:p w14:paraId="1155C43A"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2255986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8C444C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8FD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ноября 1932 состоялось совещание у зам. начальника Самолетного треста Косткина по эталону первой половины 1933 года самолета Р-5 с М-17 (3064,203-208).</w:t>
      </w:r>
    </w:p>
    <w:p w14:paraId="25D1F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D47E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ноября 1932 года начальник ВВС Алкснис писал письмо N 52/03310с председателю РВС.</w:t>
      </w:r>
    </w:p>
    <w:p w14:paraId="2CFC78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задержке ГУАП"ом производства тормозных колес и разрезных крыльев.</w:t>
      </w:r>
    </w:p>
    <w:p w14:paraId="6CB32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ГУАП по внедрению в полетную практику разрезных крыльев и тормозных колес до сих пор не доведены до серийного производства.</w:t>
      </w:r>
    </w:p>
    <w:p w14:paraId="30E9A2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тормозным колесам.</w:t>
      </w:r>
    </w:p>
    <w:p w14:paraId="0DFA8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Специальным заданием Правительства - ГУАП был обязан уже в 1932 г. выпустить 100 самолетов Р5 и 100 самолетов ТБ3 с тормозными колесами.</w:t>
      </w:r>
    </w:p>
    <w:p w14:paraId="5E3D3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этого вопроса на сегодняшний день следующее: образцовое тормозное шасси и тормозные колеса самолету Р5, при испытании в ЦАГИ и НИИ ВВС дали вполне приемлемые результаты - уменьшение пробега самолета на земле на 50%.</w:t>
      </w:r>
    </w:p>
    <w:p w14:paraId="6D0FA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Закончены, установлены на самолет и проходят испытания в ЦАГИ тормозные колеса к самолету ТБ3.</w:t>
      </w:r>
    </w:p>
    <w:p w14:paraId="0C6EF7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разрезным крыльям.</w:t>
      </w:r>
    </w:p>
    <w:p w14:paraId="181744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то, что работа по разрезным крыльям ведется в ЦАГИ еще с 1928 года, лишь к лету 1932 г. был получен образец разрезного крыла для самолета Р5.</w:t>
      </w:r>
    </w:p>
    <w:p w14:paraId="4FB18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крыла наряду с некоторыми положительными данными, показало ряд существенных недостатков. Готовность улучшенного образца разрезного крыла ЦАГИ относит на вторую половину декабря с.г.</w:t>
      </w:r>
    </w:p>
    <w:p w14:paraId="67A15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разработки разрезных крыльев для других типов серийных самолетов остается до сего времени в ГУАП"е открытым, т.к. ЦАГИ предполагает в дальнейшем заниматься этими крыльями лишь параллельно с разработкой новых конструкций самолетов.</w:t>
      </w:r>
    </w:p>
    <w:p w14:paraId="33008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Доложенное положение дела ни в какой степени не обеспечивает тех срочных мероприятий, которые требуются в постановлении ЦК ВКП(б) и Правительства от 5.08.с.г. по созданию ВВС наиболее благоприятной технической обстановки реально обеспечивающей безопасность самолетовождения и изжития аварийности. (3045,397).</w:t>
      </w:r>
    </w:p>
    <w:p w14:paraId="35D1A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177B28"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ноября 1932 г. ко</w:t>
      </w:r>
      <w:r w:rsidRPr="00E93F40">
        <w:rPr>
          <w:rFonts w:ascii="Times New Roman" w:hAnsi="Times New Roman"/>
          <w:color w:val="000000" w:themeColor="text1"/>
          <w:sz w:val="16"/>
          <w:szCs w:val="16"/>
        </w:rPr>
        <w:softHyphen/>
        <w:t>мандиром части Г.А. Прокофьевым было подготовлено «Положение о бюро кон</w:t>
      </w:r>
      <w:r w:rsidRPr="00E93F40">
        <w:rPr>
          <w:rFonts w:ascii="Times New Roman" w:hAnsi="Times New Roman"/>
          <w:color w:val="000000" w:themeColor="text1"/>
          <w:sz w:val="16"/>
          <w:szCs w:val="16"/>
        </w:rPr>
        <w:softHyphen/>
        <w:t>струкции и организации полёта в стратосферу при командире 4 воздухоплавательного дивизио</w:t>
      </w:r>
      <w:r w:rsidRPr="00E93F40">
        <w:rPr>
          <w:rFonts w:ascii="Times New Roman" w:hAnsi="Times New Roman"/>
          <w:color w:val="000000" w:themeColor="text1"/>
          <w:sz w:val="16"/>
          <w:szCs w:val="16"/>
        </w:rPr>
        <w:softHyphen/>
        <w:t>на РККА». В нём отме</w:t>
      </w:r>
      <w:r w:rsidRPr="00E93F40">
        <w:rPr>
          <w:rFonts w:ascii="Times New Roman" w:hAnsi="Times New Roman"/>
          <w:color w:val="000000" w:themeColor="text1"/>
          <w:sz w:val="16"/>
          <w:szCs w:val="16"/>
        </w:rPr>
        <w:softHyphen/>
        <w:t>чалось:</w:t>
      </w:r>
    </w:p>
    <w:p w14:paraId="5BDC8FFC"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целью изучения атмосферы, её верхних слоёв — стратосферы, что является назревшей необходимо</w:t>
      </w:r>
      <w:r w:rsidRPr="00E93F40">
        <w:rPr>
          <w:rFonts w:ascii="Times New Roman" w:hAnsi="Times New Roman"/>
          <w:color w:val="000000" w:themeColor="text1"/>
          <w:sz w:val="16"/>
          <w:szCs w:val="16"/>
        </w:rPr>
        <w:softHyphen/>
        <w:t>стью с точки зрения решения задач научно-исследо</w:t>
      </w:r>
      <w:r w:rsidRPr="00E93F40">
        <w:rPr>
          <w:rFonts w:ascii="Times New Roman" w:hAnsi="Times New Roman"/>
          <w:color w:val="000000" w:themeColor="text1"/>
          <w:sz w:val="16"/>
          <w:szCs w:val="16"/>
        </w:rPr>
        <w:softHyphen/>
        <w:t>вательского порядка и практическим осуществлением построения стратосферических самолётов и полётов в стратосфере — в настоящее время в этой области должна быть развернута соответствующая работа.</w:t>
      </w:r>
    </w:p>
    <w:p w14:paraId="378CAA76"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Средством, при помощи которого может быть практически поставлено изучение стратосферы в весь</w:t>
      </w:r>
      <w:r w:rsidRPr="00E93F40">
        <w:rPr>
          <w:rFonts w:ascii="Times New Roman" w:hAnsi="Times New Roman"/>
          <w:color w:val="000000" w:themeColor="text1"/>
          <w:sz w:val="16"/>
          <w:szCs w:val="16"/>
        </w:rPr>
        <w:softHyphen/>
        <w:t>ма непродолжительные сроки, является сферический аэростат специальной конструкции.</w:t>
      </w:r>
    </w:p>
    <w:p w14:paraId="2A744AA2"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Базой для проведения всей организационно-под</w:t>
      </w:r>
      <w:r w:rsidRPr="00E93F40">
        <w:rPr>
          <w:rFonts w:ascii="Times New Roman" w:hAnsi="Times New Roman"/>
          <w:color w:val="000000" w:themeColor="text1"/>
          <w:sz w:val="16"/>
          <w:szCs w:val="16"/>
        </w:rPr>
        <w:softHyphen/>
        <w:t>готовительной работы и самого полёта, является в данном случае 4 Воздухоплавательный дивизион.</w:t>
      </w:r>
    </w:p>
    <w:p w14:paraId="4A5FF38E"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Имея в виду, что возложение этих задач целиком и полностью на Дивизион отвлечёт последний от не</w:t>
      </w:r>
      <w:r w:rsidRPr="00E93F40">
        <w:rPr>
          <w:rFonts w:ascii="Times New Roman" w:hAnsi="Times New Roman"/>
          <w:color w:val="000000" w:themeColor="text1"/>
          <w:sz w:val="16"/>
          <w:szCs w:val="16"/>
        </w:rPr>
        <w:softHyphen/>
        <w:t>посредственных задач боевой подготовки и усложнит задачу, связанную с конструкцией материальной ча</w:t>
      </w:r>
      <w:r w:rsidRPr="00E93F40">
        <w:rPr>
          <w:rFonts w:ascii="Times New Roman" w:hAnsi="Times New Roman"/>
          <w:color w:val="000000" w:themeColor="text1"/>
          <w:sz w:val="16"/>
          <w:szCs w:val="16"/>
        </w:rPr>
        <w:softHyphen/>
        <w:t>сти — создать при командире 4 Воздухоплавательного Дивизиона бюро по конструкции и проведению полё</w:t>
      </w:r>
      <w:r w:rsidRPr="00E93F40">
        <w:rPr>
          <w:rFonts w:ascii="Times New Roman" w:hAnsi="Times New Roman"/>
          <w:color w:val="000000" w:themeColor="text1"/>
          <w:sz w:val="16"/>
          <w:szCs w:val="16"/>
        </w:rPr>
        <w:softHyphen/>
        <w:t>та в стратосферу, считая целевой установкой в работе бюро: конструкцию материальной части, обеспечение научно-исследовательской стороны полёта и обработ</w:t>
      </w:r>
      <w:r w:rsidRPr="00E93F40">
        <w:rPr>
          <w:rFonts w:ascii="Times New Roman" w:hAnsi="Times New Roman"/>
          <w:color w:val="000000" w:themeColor="text1"/>
          <w:sz w:val="16"/>
          <w:szCs w:val="16"/>
        </w:rPr>
        <w:softHyphen/>
        <w:t>ку добытых материалов (20120).</w:t>
      </w:r>
    </w:p>
    <w:p w14:paraId="5E0F6C18" w14:textId="77777777" w:rsidR="00577A1D" w:rsidRPr="00E93F40" w:rsidRDefault="00577A1D" w:rsidP="00E93F40">
      <w:pPr>
        <w:spacing w:after="0" w:line="240" w:lineRule="auto"/>
        <w:jc w:val="both"/>
        <w:rPr>
          <w:rFonts w:ascii="Times New Roman" w:hAnsi="Times New Roman"/>
          <w:color w:val="000000" w:themeColor="text1"/>
          <w:sz w:val="16"/>
          <w:szCs w:val="16"/>
        </w:rPr>
      </w:pPr>
    </w:p>
    <w:p w14:paraId="47CFEA0C" w14:textId="77777777" w:rsidR="00F41990" w:rsidRPr="00E93F40" w:rsidRDefault="00F4199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E52A727" w14:textId="77777777" w:rsidR="00F41990" w:rsidRPr="00E93F40" w:rsidRDefault="00F4199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E34003" w14:textId="5022FF14" w:rsidR="00F41990" w:rsidRPr="00E93F40" w:rsidRDefault="00F4199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ноября 1932 года советская сторона передала представителям германской фирме «I v S» тактико-технические задания на два типа подводных лодок –</w:t>
      </w:r>
      <w:r w:rsidR="007C1411" w:rsidRPr="00E93F40">
        <w:rPr>
          <w:rFonts w:ascii="Times New Roman" w:hAnsi="Times New Roman"/>
          <w:color w:val="000000" w:themeColor="text1"/>
          <w:sz w:val="16"/>
          <w:szCs w:val="16"/>
        </w:rPr>
        <w:t xml:space="preserve"> </w:t>
      </w:r>
      <w:hyperlink r:id="rId268" w:history="1">
        <w:r w:rsidRPr="00E93F40">
          <w:rPr>
            <w:rStyle w:val="a5"/>
            <w:rFonts w:ascii="Times New Roman" w:hAnsi="Times New Roman"/>
            <w:color w:val="000000" w:themeColor="text1"/>
            <w:sz w:val="16"/>
            <w:szCs w:val="16"/>
            <w:u w:val="none"/>
          </w:rPr>
          <w:t>водоизмещением</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700 и 1 200 тонн, – которые были разработаны А. К. Сивковым по пути в Германию. Акцент в задании делался на достижение максимальной скорости хода, глубины и скорости погружения.</w:t>
      </w:r>
    </w:p>
    <w:p w14:paraId="101B7973" w14:textId="77777777" w:rsidR="00F41990" w:rsidRPr="00E93F40" w:rsidRDefault="00F4199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 председатель комиссии сообщал, [Там же, л. 39, 77] что переговоры с фирмой «I v S» по-прежнему шли с сильными перебоями. Фирма не сдержала обещания и представила проект договора по технической помощи не 25 ноября 1932 года, а лишь 1 декабря 1932 года. Проект договора был составлен настолько неудовлетворительно, что не мог являться основой для переговоров. По итогам переговоров советские специалисты не смогли сделать серьезного заключения о качестве продукции фирмы.</w:t>
      </w:r>
    </w:p>
    <w:p w14:paraId="090EF9C3" w14:textId="77F83668" w:rsidR="00F41990" w:rsidRPr="00E93F40" w:rsidRDefault="00F4199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Вместе с тем,</w:t>
      </w:r>
      <w:hyperlink r:id="rId269"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7 декабря</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1932 года заказанные проекты были выданы советской делегации для изучения, а подтверждая качество выпускаемой продукции, руководство фирмы «I v S» предложило осмотреть подводную лодку «E-1», построенную в</w:t>
      </w:r>
      <w:hyperlink r:id="rId270"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Испании</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по проекту, аналогичному 700-тонной версии. Испытания «E-1» подтвердили высокие характеристики проекта и значительные его преимущества перед советскими лодками: лодка отличалась более совершенной конструкцией корпуса и</w:t>
      </w:r>
      <w:hyperlink r:id="rId271"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цистерн,</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более рациональной компоновкой механизмов, системой продува балласта при помощи дизелей, а также высокой автономностью и глубиной погружения. Данная скрытность объяснялась тем, что, выполняя условия</w:t>
      </w:r>
      <w:hyperlink r:id="rId272"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Версальского договора,</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Германия не имела права строить собственный подводный флот. Однако заинтересованность в строительстве подводных лодок проявляло входившее в германскую компанию</w:t>
      </w:r>
      <w:r w:rsidR="007C1411" w:rsidRPr="00E93F40">
        <w:rPr>
          <w:rFonts w:ascii="Times New Roman" w:hAnsi="Times New Roman"/>
          <w:color w:val="000000" w:themeColor="text1"/>
          <w:sz w:val="16"/>
          <w:szCs w:val="16"/>
        </w:rPr>
        <w:t xml:space="preserve"> </w:t>
      </w:r>
      <w:hyperlink r:id="rId273" w:history="1">
        <w:r w:rsidRPr="00E93F40">
          <w:rPr>
            <w:rStyle w:val="a5"/>
            <w:rFonts w:ascii="Times New Roman" w:hAnsi="Times New Roman"/>
            <w:color w:val="000000" w:themeColor="text1"/>
            <w:sz w:val="16"/>
            <w:szCs w:val="16"/>
            <w:u w:val="none"/>
          </w:rPr>
          <w:t>«Дешимаг»</w:t>
        </w:r>
      </w:hyperlink>
      <w:hyperlink r:id="rId274"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голландское</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конструкторское бюро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NV Ingenieurskantoor voor Scheepsbouw</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(«I v S»), занимавшееся усовершенствованием проектов лучших немецких субмарин времѐн</w:t>
      </w:r>
      <w:hyperlink r:id="rId275"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Пер</w:t>
        </w:r>
      </w:hyperlink>
      <w:hyperlink r:id="rId276" w:history="1">
        <w:r w:rsidRPr="00E93F40">
          <w:rPr>
            <w:rStyle w:val="a5"/>
            <w:rFonts w:ascii="Times New Roman" w:hAnsi="Times New Roman"/>
            <w:color w:val="000000" w:themeColor="text1"/>
            <w:sz w:val="16"/>
            <w:szCs w:val="16"/>
            <w:u w:val="none"/>
          </w:rPr>
          <w:t>вой мировой войны</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и строительством подводных лодок на экспорт [1, с. 3]. Постройку субмарин фирма осуществляла в Испании (контрольным пакетом акций «I v S» владела германская компания «Дешимаг») (18262).</w:t>
      </w:r>
    </w:p>
    <w:p w14:paraId="1E905E2C" w14:textId="77777777" w:rsidR="00F41990" w:rsidRPr="00E93F40" w:rsidRDefault="00F41990" w:rsidP="00E93F40">
      <w:pPr>
        <w:spacing w:after="0" w:line="240" w:lineRule="auto"/>
        <w:jc w:val="both"/>
        <w:rPr>
          <w:rFonts w:ascii="Times New Roman" w:hAnsi="Times New Roman"/>
          <w:color w:val="000000" w:themeColor="text1"/>
          <w:sz w:val="16"/>
          <w:szCs w:val="16"/>
        </w:rPr>
      </w:pPr>
    </w:p>
    <w:p w14:paraId="44F87C55" w14:textId="52F155A7" w:rsidR="00577A1D" w:rsidRPr="00E93F40" w:rsidRDefault="00577A1D"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22 ноября 1932 года советская сторона передала представителям «I v S» тактико-технические задания на два типа подводных лодок –</w:t>
      </w:r>
      <w:r w:rsidR="007C1411" w:rsidRPr="00E93F40">
        <w:rPr>
          <w:color w:val="000000" w:themeColor="text1"/>
          <w:sz w:val="16"/>
          <w:szCs w:val="16"/>
        </w:rPr>
        <w:t xml:space="preserve"> </w:t>
      </w:r>
      <w:hyperlink r:id="rId277" w:history="1">
        <w:r w:rsidRPr="00E93F40">
          <w:rPr>
            <w:rStyle w:val="a5"/>
            <w:rFonts w:eastAsiaTheme="majorEastAsia"/>
            <w:color w:val="000000" w:themeColor="text1"/>
            <w:sz w:val="16"/>
            <w:szCs w:val="16"/>
            <w:bdr w:val="none" w:sz="0" w:space="0" w:color="auto" w:frame="1"/>
          </w:rPr>
          <w:t>водоизмещением</w:t>
        </w:r>
        <w:r w:rsidR="007C1411" w:rsidRPr="00E93F40">
          <w:rPr>
            <w:rStyle w:val="a5"/>
            <w:rFonts w:eastAsiaTheme="majorEastAsia"/>
            <w:color w:val="000000" w:themeColor="text1"/>
            <w:sz w:val="16"/>
            <w:szCs w:val="16"/>
            <w:bdr w:val="none" w:sz="0" w:space="0" w:color="auto" w:frame="1"/>
          </w:rPr>
          <w:t xml:space="preserve"> </w:t>
        </w:r>
      </w:hyperlink>
      <w:r w:rsidRPr="00E93F40">
        <w:rPr>
          <w:color w:val="000000" w:themeColor="text1"/>
          <w:sz w:val="16"/>
          <w:szCs w:val="16"/>
        </w:rPr>
        <w:t>700 и 1 200 тонн, – которые были разработаны А. К. Сивковым по пути в Германию. Акцент в задании делался на достижение максимальной скорости хода, глубины и скорости погружения (21528).</w:t>
      </w:r>
    </w:p>
    <w:p w14:paraId="0BC69276" w14:textId="77777777" w:rsidR="00577A1D" w:rsidRPr="00E93F40" w:rsidRDefault="00577A1D" w:rsidP="00E93F40">
      <w:pPr>
        <w:spacing w:after="0" w:line="240" w:lineRule="auto"/>
        <w:jc w:val="both"/>
        <w:rPr>
          <w:rFonts w:ascii="Times New Roman" w:hAnsi="Times New Roman"/>
          <w:color w:val="000000" w:themeColor="text1"/>
          <w:sz w:val="16"/>
          <w:szCs w:val="16"/>
        </w:rPr>
      </w:pPr>
    </w:p>
    <w:p w14:paraId="2379778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5EB631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4441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ноября 1932 решили демонстрировать АИР-7 начальству, но погода была плохой и до 11 ждали. Потом в заднюю кабину сел Л.П.Малиновский - зам. пред. ЦС Осоавиахима и тут то и оторвался кронштейн правого элерона и часть его обшивки (1771,6).</w:t>
      </w:r>
    </w:p>
    <w:p w14:paraId="7F980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C48EED" w14:textId="77777777" w:rsidR="00F41990" w:rsidRPr="00E93F40" w:rsidRDefault="00F41990"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23 ноября 1932 г. после аварии скоростного моноплана АИР-7 распоряжение о серии АИР-6 отменили. Тогда Яковлев решил построить еще два опытных образца, усовершенствованных по отношению к первому. Ведущим инженером по ним назначили Е.Г. Адлера. Изготовление этих машин осуществлялось на заводе № 39 (19099).</w:t>
      </w:r>
    </w:p>
    <w:p w14:paraId="60ABD2AB" w14:textId="77777777" w:rsidR="00F41990" w:rsidRPr="00E93F40" w:rsidRDefault="00F41990" w:rsidP="00E93F40">
      <w:pPr>
        <w:pStyle w:val="a8"/>
        <w:jc w:val="both"/>
        <w:rPr>
          <w:rFonts w:ascii="Times New Roman" w:hAnsi="Times New Roman" w:cs="Times New Roman"/>
          <w:color w:val="000000" w:themeColor="text1"/>
        </w:rPr>
      </w:pPr>
    </w:p>
    <w:p w14:paraId="3ABDC948"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23 ноября 1932 командование ВВС назначило демонстрацию самолета АИР-7. В это утро была плохая погода, низкая облачность, моросило, и когда приехало начальство, долго совещались, стоит ли выпускать машину в полет. Наконец, решили лететь. В одиннадцатом часу Пионтковский поднялся в воздух для показа АИР-7 командованию ВВС. В кабине пассажира— Л.П. Малиновский, заместитель председателя ЦС Осоавиахима.</w:t>
      </w:r>
    </w:p>
    <w:p w14:paraId="1DDF9CDC"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легко оторвался от земли, набрал высоту метров 200, развернулся над Петровским парком и на полной скорости низко промчался над Центральным аэродромом, следуя к селу Хорошево. Он должен был сделать еще два-три круга и сесть. Но вдруг, когда АИР-7 находился над южной границей аэродрома, от него оторвалась какая-то блестящая полоска и стала медленно падать на землю. Самолет, не уменьшая скорости, плавно пошел на снижение и скрылся за деревьями.</w:t>
      </w:r>
    </w:p>
    <w:p w14:paraId="26916543"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страшном предчувствии беды все бросились к автомобилям и помчались по шоссе в направлении скрывшегося АИРа. По дороге узнали, что самолет приземлился где-то за Ваганьковским кладбищем, в районе товарной станции. Когда приехали на место аварии, то наконец вздохнули с облегчением. На территории товарной станции, заваленной мусором и дровами, на совсем маленькой площадке стоял АИР-7. Летчик и пассажир не пострадали, но они уже уехали, а у машины дежурил милиционер.</w:t>
      </w:r>
    </w:p>
    <w:p w14:paraId="32E67DCD"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воспоминаниям Яковлева, он сразу заметил, что вырван правый элерон и размочаленная обшивка крыла повисла клочьями.</w:t>
      </w:r>
    </w:p>
    <w:p w14:paraId="4F74FFBB"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«Элерон оторвался в воздухе, его-то мы и видели с аэродрома. Это не кончилось катастрофой только потому, что летчик справился с пилотированием поврежденной машины, почти потерявшей управление, и сумел блестяще посадить ее на крохотную площадку».</w:t>
      </w:r>
    </w:p>
    <w:p w14:paraId="5683961A"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Синельщиков уточняет: элерон не оторвался целиком, а лишь один его кронштейн, и элерон торчал вверх. А оторвались и падали небольшая часть обшивки крыла и лючок перед элероном.</w:t>
      </w:r>
    </w:p>
    <w:p w14:paraId="1122563D"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благополучная посадка АИР-7 на небольшую площадку стала возможной не только благодаря искусству и мужеству Пионтковского, но и хорошим характеристикам устойчивости, управляемости и общей высокой прочности самолета. Несмотря на возникшие от эксцентричной нагрузки после отрыва элерона сильнейшие вибрации, крыло не разрушилось: сказался принятый при проектировании увеличенный запас прочности.</w:t>
      </w:r>
    </w:p>
    <w:p w14:paraId="6D532020"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АИР-7 разобрали и перевезли на завод, где тщательно обследовали поломку.</w:t>
      </w:r>
    </w:p>
    <w:p w14:paraId="29044DC8"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A. Яковлев:</w:t>
      </w:r>
    </w:p>
    <w:p w14:paraId="2528C9B3"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«Авария произошла из-за ошибки, допущенной мною в конструировании. Машина по сравнению с предыдущими дала большой скачок вперед по скорости. Нужно было особенно внимательно сделать расчет детали крепления элерона к крылу».</w:t>
      </w:r>
    </w:p>
    <w:p w14:paraId="28CE9BEA"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 самолета обвиняет себя, но фактически расчет делали Я. Суздальцев и С. Макаров. Они использовали старые нормы прочности. К. Синельщиков:</w:t>
      </w:r>
    </w:p>
    <w:p w14:paraId="19402937"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«Срезались дюралевые заклепки, соединявшие стальной кронштейн элерона со стальной трубкой».</w:t>
      </w:r>
    </w:p>
    <w:p w14:paraId="4D79E837"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B. Шавров:</w:t>
      </w:r>
    </w:p>
    <w:p w14:paraId="58CE5986"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«Элерон оторвался из-за флаттера, тогда еще совершенно не изученного».</w:t>
      </w:r>
    </w:p>
    <w:p w14:paraId="7F4D57D2"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считал и С. Макаров, сказавший много лет спустя, что</w:t>
      </w:r>
    </w:p>
    <w:p w14:paraId="552F13F1"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«сильные вибрации на большой скорости оторвали элерон, который не был сбалансирован».</w:t>
      </w:r>
    </w:p>
    <w:p w14:paraId="0A1CD9BF"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Аварийная комиссия Осоавиахима с участием видного авиаконструктора Дмитрия Григоровича не пришла к окончательному выводу об истинных причинах аварии, вследствие чего решили дополнительно исследовать поломку. Было только отмечено, что авария произошла из-за конструктивного дефекта, вызвавшего местное ослабление хвостовой части крыла, к которому и крепился оторвавшийся элерон.</w:t>
      </w:r>
    </w:p>
    <w:p w14:paraId="0FDA3C05"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1933 г. завод № 39 в очередной раз обследовала комиссия Военно-морской инспекции. Часть акта обследования посвящена АИР-7. Но комиссия, в духе того времени, не стала вникать в конструкцию самолета, а сосредоточила огонь на авторе, обвинив его даже в том, что он предложил построить АИР-7 по собственной инициативе.</w:t>
      </w:r>
    </w:p>
    <w:p w14:paraId="423D582B"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Комиссия, в составе которой были недоброжелатели Яковлева, не остановилась перед явной неправдой, написав, что запас прочности был избран произвольно, статические испытания не производились.</w:t>
      </w:r>
    </w:p>
    <w:p w14:paraId="466C46FB"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Единственная за восемь лет работы Яковлева авария представлена во множественном числе, утверждалось, что самолеты, якобы, создавались методами «угрожавшими катастрофой при первых же полетах».</w:t>
      </w:r>
    </w:p>
    <w:p w14:paraId="42EBF176"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Авторы отчета требовали не допускать самостоятельной работы Яковлева и отменить представление его к ордену за успехи в создании легких самолетов. Комиссия полностью игнорировала тот факт, что в аварии никто не пострадал, и машина осталась цела.</w:t>
      </w:r>
    </w:p>
    <w:p w14:paraId="709B1361"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Словом, делалась попытка скомпрометировать Яковлева как конструктора, перечеркнуть всю работу группы энтузиастов, создавших семь типов самолетов, из которых на АИР-1 и АИР-3 были установлены мировые рекорды, АИР-5 и АИР-6 рекомендованы в серийное производство, а АИР-7 открывал новый этап развития отечественной авиации. Но комиссии было необходимо лишь одно: дать «результат расследования» (15447).</w:t>
      </w:r>
    </w:p>
    <w:p w14:paraId="08437670" w14:textId="77777777" w:rsidR="00666E99" w:rsidRPr="00E93F40" w:rsidRDefault="00666E99" w:rsidP="00E93F40">
      <w:pPr>
        <w:spacing w:after="0" w:line="240" w:lineRule="auto"/>
        <w:jc w:val="both"/>
        <w:rPr>
          <w:rFonts w:ascii="Times New Roman" w:hAnsi="Times New Roman"/>
          <w:color w:val="000000" w:themeColor="text1"/>
          <w:sz w:val="16"/>
          <w:szCs w:val="16"/>
        </w:rPr>
      </w:pPr>
    </w:p>
    <w:p w14:paraId="25116E4A"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ноября 1932 г. после аварии скоростного моно</w:t>
      </w:r>
      <w:r w:rsidRPr="00142305">
        <w:rPr>
          <w:rFonts w:ascii="Times New Roman" w:hAnsi="Times New Roman"/>
          <w:color w:val="0070C0"/>
          <w:sz w:val="16"/>
          <w:szCs w:val="16"/>
        </w:rPr>
        <w:softHyphen/>
        <w:t>плана АИР-7 распо</w:t>
      </w:r>
      <w:r w:rsidRPr="00142305">
        <w:rPr>
          <w:rFonts w:ascii="Times New Roman" w:hAnsi="Times New Roman"/>
          <w:color w:val="0070C0"/>
          <w:sz w:val="16"/>
          <w:szCs w:val="16"/>
        </w:rPr>
        <w:softHyphen/>
        <w:t>ряжение о серии АИР-6 отменили. Тогда Яков</w:t>
      </w:r>
      <w:r w:rsidRPr="00142305">
        <w:rPr>
          <w:rFonts w:ascii="Times New Roman" w:hAnsi="Times New Roman"/>
          <w:color w:val="0070C0"/>
          <w:sz w:val="16"/>
          <w:szCs w:val="16"/>
        </w:rPr>
        <w:softHyphen/>
        <w:t>лев решил построить еще два опытных образца, усовершенствованных по отно</w:t>
      </w:r>
      <w:r w:rsidRPr="00142305">
        <w:rPr>
          <w:rFonts w:ascii="Times New Roman" w:hAnsi="Times New Roman"/>
          <w:color w:val="0070C0"/>
          <w:sz w:val="16"/>
          <w:szCs w:val="16"/>
        </w:rPr>
        <w:softHyphen/>
        <w:t>шению к первому. Ведущим инженером по ним назначили Е.Г. Адлера. Изготов</w:t>
      </w:r>
      <w:r w:rsidRPr="00142305">
        <w:rPr>
          <w:rFonts w:ascii="Times New Roman" w:hAnsi="Times New Roman"/>
          <w:color w:val="0070C0"/>
          <w:sz w:val="16"/>
          <w:szCs w:val="16"/>
        </w:rPr>
        <w:softHyphen/>
        <w:t>ление этих машин осуществлялось на заводе № 39 (24945).</w:t>
      </w:r>
    </w:p>
    <w:p w14:paraId="28C0D30E" w14:textId="77777777" w:rsidR="00D33067" w:rsidRPr="00142305" w:rsidRDefault="00D33067" w:rsidP="00D33067">
      <w:pPr>
        <w:spacing w:after="0" w:line="240" w:lineRule="auto"/>
        <w:jc w:val="both"/>
        <w:rPr>
          <w:rFonts w:ascii="Times New Roman" w:hAnsi="Times New Roman"/>
          <w:color w:val="0070C0"/>
          <w:sz w:val="16"/>
          <w:szCs w:val="16"/>
        </w:rPr>
      </w:pPr>
    </w:p>
    <w:p w14:paraId="1F236674" w14:textId="77777777" w:rsidR="0074293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lastRenderedPageBreak/>
        <w:t>Другие оборонные отрасли:</w:t>
      </w:r>
    </w:p>
    <w:p w14:paraId="2C1E39B9" w14:textId="77777777" w:rsidR="00742933" w:rsidRPr="00E93F40" w:rsidRDefault="0074293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E992FEC" w14:textId="54A70655" w:rsidR="00742933" w:rsidRPr="00E93F40" w:rsidRDefault="00742933" w:rsidP="00E93F40">
      <w:pPr>
        <w:pStyle w:val="rtejustify"/>
        <w:spacing w:before="0" w:after="0"/>
        <w:rPr>
          <w:color w:val="000000" w:themeColor="text1"/>
          <w:sz w:val="16"/>
          <w:szCs w:val="16"/>
        </w:rPr>
      </w:pPr>
      <w:r w:rsidRPr="00E93F40">
        <w:rPr>
          <w:rStyle w:val="af0"/>
          <w:i w:val="0"/>
          <w:color w:val="000000" w:themeColor="text1"/>
          <w:sz w:val="16"/>
          <w:szCs w:val="16"/>
        </w:rPr>
        <w:t>23</w:t>
      </w:r>
      <w:r w:rsidR="007C1411" w:rsidRPr="00E93F40">
        <w:rPr>
          <w:rStyle w:val="af0"/>
          <w:i w:val="0"/>
          <w:color w:val="000000" w:themeColor="text1"/>
          <w:sz w:val="16"/>
          <w:szCs w:val="16"/>
        </w:rPr>
        <w:t xml:space="preserve"> </w:t>
      </w:r>
      <w:r w:rsidRPr="00E93F40">
        <w:rPr>
          <w:rStyle w:val="af0"/>
          <w:i w:val="0"/>
          <w:color w:val="000000" w:themeColor="text1"/>
          <w:sz w:val="16"/>
          <w:szCs w:val="16"/>
        </w:rPr>
        <w:t>ноября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25.</w:t>
      </w:r>
      <w:r w:rsidRPr="00E93F40">
        <w:rPr>
          <w:color w:val="000000" w:themeColor="text1"/>
          <w:sz w:val="16"/>
          <w:szCs w:val="16"/>
        </w:rPr>
        <w:t xml:space="preserve"> 8.</w:t>
      </w:r>
      <w:r w:rsidR="007C1411" w:rsidRPr="00E93F40">
        <w:rPr>
          <w:color w:val="000000" w:themeColor="text1"/>
          <w:sz w:val="16"/>
          <w:szCs w:val="16"/>
        </w:rPr>
        <w:t xml:space="preserve"> </w:t>
      </w:r>
      <w:r w:rsidRPr="00E93F40">
        <w:rPr>
          <w:color w:val="000000" w:themeColor="text1"/>
          <w:sz w:val="16"/>
          <w:szCs w:val="16"/>
        </w:rPr>
        <w:t>О гусеничном тракторе средней мощности. (Халепский).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498,</w:t>
      </w:r>
      <w:r w:rsidR="007C1411" w:rsidRPr="00E93F40">
        <w:rPr>
          <w:color w:val="000000" w:themeColor="text1"/>
          <w:sz w:val="16"/>
          <w:szCs w:val="16"/>
        </w:rPr>
        <w:t xml:space="preserve"> </w:t>
      </w:r>
      <w:r w:rsidRPr="00E93F40">
        <w:rPr>
          <w:color w:val="000000" w:themeColor="text1"/>
          <w:sz w:val="16"/>
          <w:szCs w:val="16"/>
        </w:rPr>
        <w:t>499) (12342).</w:t>
      </w:r>
    </w:p>
    <w:p w14:paraId="75D02FAC" w14:textId="77777777" w:rsidR="00742933" w:rsidRPr="00E93F40" w:rsidRDefault="00742933" w:rsidP="00E93F40">
      <w:pPr>
        <w:pStyle w:val="rtejustify"/>
        <w:spacing w:before="0" w:after="0"/>
        <w:rPr>
          <w:color w:val="000000" w:themeColor="text1"/>
          <w:sz w:val="16"/>
          <w:szCs w:val="16"/>
        </w:rPr>
      </w:pPr>
    </w:p>
    <w:p w14:paraId="70093412"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ноября 1932 г.</w:t>
      </w:r>
    </w:p>
    <w:p w14:paraId="2C1F8416"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Телеграмма П.А. Богданова В.И. Романовскому О возможном заключении договора с фирмой «Сперри»</w:t>
      </w:r>
    </w:p>
    <w:p w14:paraId="501B090C"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ноября 1932 г.</w:t>
      </w:r>
    </w:p>
    <w:p w14:paraId="3836EF05"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Нью-Йорк</w:t>
      </w:r>
    </w:p>
    <w:p w14:paraId="2E7C6E9B"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Романовскому, Ленинград</w:t>
      </w:r>
    </w:p>
    <w:p w14:paraId="76ABF756"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Фирма «Сперри» официально полностью подтвердила предложение своего представителя Шейна, сделанное в письме на имя Романовского... 2 октября сего года. Необходимо согласовать с НКТП Логановским принципиальную основу торговой части проекта договора. Со своей стороны, Амторг считает возможным заключение договора на основе встречной сделки, но не прямого товарообмена. По получении одобрения НКТП Амторг практически разработает вопрос вместе с фирмой. Проработка технической стороны проекта Вашей комиссией, которую обещали назначить, может идти одновременно.</w:t>
      </w:r>
    </w:p>
    <w:p w14:paraId="3E3CA5F0"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Богданов</w:t>
      </w:r>
    </w:p>
    <w:p w14:paraId="37B6C03B"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 3. On. 66. Д. 343. Л. 93. Заверенная копия (20714).</w:t>
      </w:r>
    </w:p>
    <w:p w14:paraId="78F95B51" w14:textId="77777777" w:rsidR="00577A1D" w:rsidRPr="00E93F40" w:rsidRDefault="00577A1D" w:rsidP="00E93F40">
      <w:pPr>
        <w:spacing w:after="0" w:line="240" w:lineRule="auto"/>
        <w:jc w:val="both"/>
        <w:rPr>
          <w:rFonts w:ascii="Times New Roman" w:hAnsi="Times New Roman"/>
          <w:color w:val="000000" w:themeColor="text1"/>
          <w:sz w:val="16"/>
          <w:szCs w:val="16"/>
        </w:rPr>
      </w:pPr>
    </w:p>
    <w:p w14:paraId="113121FF"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ноября 1932 опросом членов ПБ</w:t>
      </w:r>
    </w:p>
    <w:p w14:paraId="24F1F8F3"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75/51.- О заводе механических тпубок.</w:t>
      </w:r>
    </w:p>
    <w:p w14:paraId="71E8366D"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23.Х.32г., № 120, п.10-а).</w:t>
      </w:r>
    </w:p>
    <w:p w14:paraId="747CDD9E"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изменение постановления Политбюро от 23 октября 1932 г. - определить место расположения завода механических трубок в районе г.Самары.</w:t>
      </w:r>
    </w:p>
    <w:p w14:paraId="754EF77F"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Павлуновскому, Гомарнику.</w:t>
      </w:r>
    </w:p>
    <w:p w14:paraId="7179C223"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ноября 1932 состоялось заседание ПБ (Протокол № 123) (23068).</w:t>
      </w:r>
    </w:p>
    <w:p w14:paraId="6719B46B" w14:textId="77777777" w:rsidR="00577A1D" w:rsidRPr="00E93F40" w:rsidRDefault="00577A1D" w:rsidP="00E93F40">
      <w:pPr>
        <w:spacing w:after="0" w:line="240" w:lineRule="auto"/>
        <w:jc w:val="both"/>
        <w:rPr>
          <w:rFonts w:ascii="Times New Roman" w:hAnsi="Times New Roman"/>
          <w:color w:val="000000" w:themeColor="text1"/>
          <w:sz w:val="16"/>
          <w:szCs w:val="16"/>
        </w:rPr>
      </w:pPr>
    </w:p>
    <w:p w14:paraId="4EC1C980" w14:textId="77777777" w:rsidR="00F41990" w:rsidRPr="00E93F40" w:rsidRDefault="00F4199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ноября 1931 г. успешно завершены войсковые испытания катеров волнового управления системы ЦЛПС образца 1930 – 1931 гг. (18667).</w:t>
      </w:r>
    </w:p>
    <w:p w14:paraId="7B5C229E" w14:textId="77777777" w:rsidR="00F41990" w:rsidRPr="00E93F40" w:rsidRDefault="00F41990" w:rsidP="00E93F40">
      <w:pPr>
        <w:spacing w:after="0" w:line="240" w:lineRule="auto"/>
        <w:jc w:val="both"/>
        <w:rPr>
          <w:rFonts w:ascii="Times New Roman" w:hAnsi="Times New Roman"/>
          <w:color w:val="000000" w:themeColor="text1"/>
          <w:sz w:val="16"/>
          <w:szCs w:val="16"/>
        </w:rPr>
      </w:pPr>
    </w:p>
    <w:p w14:paraId="18A8EF8D" w14:textId="77777777" w:rsidR="00666E9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3FABA48" w14:textId="77777777" w:rsidR="00666E99" w:rsidRPr="00E93F40" w:rsidRDefault="00666E9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C92FA0"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23 ноября </w:t>
      </w:r>
      <w:r w:rsidRPr="00E93F40">
        <w:rPr>
          <w:rFonts w:ascii="Times New Roman" w:hAnsi="Times New Roman"/>
          <w:color w:val="000000" w:themeColor="text1"/>
          <w:sz w:val="16"/>
          <w:szCs w:val="16"/>
        </w:rPr>
        <w:t>в 1932 году основана авиакомпания EgyptAir. Она была не только первой регулярной авиакомпанией в Египте, но и первой на Ближнем Востоке, начавшей летать на реактивных авиалайнерах (14838).</w:t>
      </w:r>
    </w:p>
    <w:p w14:paraId="1534F44E" w14:textId="77777777" w:rsidR="00666E99" w:rsidRPr="00E93F40" w:rsidRDefault="00666E99" w:rsidP="00E93F40">
      <w:pPr>
        <w:spacing w:after="0" w:line="240" w:lineRule="auto"/>
        <w:jc w:val="both"/>
        <w:rPr>
          <w:rFonts w:ascii="Times New Roman" w:hAnsi="Times New Roman"/>
          <w:color w:val="000000" w:themeColor="text1"/>
          <w:sz w:val="16"/>
          <w:szCs w:val="16"/>
        </w:rPr>
      </w:pPr>
    </w:p>
    <w:p w14:paraId="2B8D0C62" w14:textId="77777777" w:rsidR="00666E99"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D20E058" w14:textId="77777777" w:rsidR="00666E99" w:rsidRPr="00E93F40" w:rsidRDefault="00666E99"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4B7A84"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24 ноября </w:t>
      </w:r>
      <w:r w:rsidRPr="00E93F40">
        <w:rPr>
          <w:rFonts w:ascii="Times New Roman" w:hAnsi="Times New Roman"/>
          <w:color w:val="000000" w:themeColor="text1"/>
          <w:sz w:val="16"/>
          <w:szCs w:val="16"/>
        </w:rPr>
        <w:t>в 1932 году совершил первый полёт авиалайнер «De Havilland» «DH-84» «Dragon»». Хотя его схема - деревянный биплан, в те годы уже считалась устаревшей, самолёт оказался удачным. Он эксплуатировался на линиях до середины 1950-х. Несколько экземпляров сохранились до сих пор (14839).</w:t>
      </w:r>
    </w:p>
    <w:p w14:paraId="57A7FF08" w14:textId="77777777" w:rsidR="00666E99" w:rsidRPr="00E93F40" w:rsidRDefault="00666E99" w:rsidP="00E93F40">
      <w:pPr>
        <w:spacing w:after="0" w:line="240" w:lineRule="auto"/>
        <w:jc w:val="both"/>
        <w:rPr>
          <w:rFonts w:ascii="Times New Roman" w:hAnsi="Times New Roman"/>
          <w:color w:val="000000" w:themeColor="text1"/>
          <w:sz w:val="16"/>
          <w:szCs w:val="16"/>
        </w:rPr>
      </w:pPr>
    </w:p>
    <w:p w14:paraId="21665377" w14:textId="77777777" w:rsidR="00577A1D" w:rsidRPr="00E93F40" w:rsidRDefault="00577A1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ноября 1932 состоялся первый полет De Havilland Dragon (20803).</w:t>
      </w:r>
    </w:p>
    <w:p w14:paraId="6D9CAF41" w14:textId="77777777" w:rsidR="00577A1D" w:rsidRPr="00E93F40" w:rsidRDefault="00577A1D" w:rsidP="00E93F40">
      <w:pPr>
        <w:spacing w:after="0" w:line="240" w:lineRule="auto"/>
        <w:jc w:val="both"/>
        <w:rPr>
          <w:rFonts w:ascii="Times New Roman" w:hAnsi="Times New Roman"/>
          <w:color w:val="000000" w:themeColor="text1"/>
          <w:sz w:val="16"/>
          <w:szCs w:val="16"/>
        </w:rPr>
      </w:pPr>
    </w:p>
    <w:p w14:paraId="62EFB10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066E1D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F394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ноября 1932 года начальник и военком НИИ ВВС Зильберт писал письмо N сс-372с начальнику штаба ВВС.</w:t>
      </w:r>
    </w:p>
    <w:p w14:paraId="0CA73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представляю данные по высотному перелету Москва-Харьков-Москва.</w:t>
      </w:r>
    </w:p>
    <w:p w14:paraId="05C6EF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 перелет выполнен 23 сентября и 9 октября 1932 года группой самолетов Истребительного отряда авиабригады НИИ ВВС под командой командира Сузи.</w:t>
      </w:r>
    </w:p>
    <w:p w14:paraId="3BEE5E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Состав группы: 3 с-та Р-6, один самолет Р-5 и один самолет И-4.</w:t>
      </w:r>
    </w:p>
    <w:p w14:paraId="42A224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Маршрут: Москва-Харьков-Москва с посадкой в Харькове.</w:t>
      </w:r>
    </w:p>
    <w:p w14:paraId="616004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Высоты перелета: средняя 5000 м.</w:t>
      </w:r>
    </w:p>
    <w:p w14:paraId="3BA3B6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длина пути на высоте 5000 м - 1140 км. (3065,232-245).</w:t>
      </w:r>
    </w:p>
    <w:p w14:paraId="128E21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9596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25 ноября 1932 года На заседании Коллегии Главного Управления Гражданского воздушного флота (протокол № 27) Дирижаблестроительный факультет Дирижаблестроения реорганизован в Московский Дирижаблестроительный институт. Об этом свидетельствует письмо начальника управления кадров Главного Управления Гражданского воздушного флота председателю Комитета по высшей технической школе от 27 декабря 1932 года. На основании постановления Коллегии Аэрофлота СССР от 4 апреля 1933 года создан Дирижаблестроительный учебный комбинат путем слияния Московского Дирижаблестроительного института, факультета дирижаблестроения Ленинградского учебного комбината ГВФ и Воздухоплавательной школы Дирижаблестроения. </w:t>
      </w:r>
    </w:p>
    <w:p w14:paraId="12B31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7C79C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67C9B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промышлен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41341A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F8D0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ноября 1932 года состоялось заседание Коллегии Главного управления Гражданского воздушного флота, которое рассмотрело вопрос о подготовке кадров для Дирижаблестроя. По итогам этого заседания было подписано постановление, в котором говорилось о необходимости создания в Москве дирижаблестроительного института. Решение Коллегии ГУ ГВФ исполнили оперативно. 27 декабря 1932 года из Аэрофлота СССР в адрес Комитета по высшей технической школе было направлено письмо, в котором сообщалось о создании Московского дирижаблестроительного института. Начальником вновь созданного технического вуза стал А.Ф. Красных, который возглавлял Дирижеблестроительный факультет Дирижаблестроя в Тушино (11269).</w:t>
      </w:r>
    </w:p>
    <w:p w14:paraId="12585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5D5AF3" w14:textId="77777777" w:rsidR="00214F03" w:rsidRPr="00E93F40" w:rsidRDefault="00214F0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ноября 1932 г. ЦК ВЛКСМ вынес специальное постановление о шефстве над ВВС. В постановления предлагалось: а/ создать авиауголки при рабочих клубах, военно-учебных пунктах. Совхозах и колхозах; б/ организовать широкую сеть планерных кружков, кружков по изучению авиационной техники, по подготовке комсомольце в авиационные школы и к службе в ВВС и кружков юных авиамоделистов при пионерских отрядах и в школах.</w:t>
      </w:r>
    </w:p>
    <w:p w14:paraId="1376EE8D" w14:textId="77777777" w:rsidR="00214F03" w:rsidRPr="00E93F40" w:rsidRDefault="00214F0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/ВВФ, 1932 № 12, стр.26/ (23379).</w:t>
      </w:r>
    </w:p>
    <w:p w14:paraId="54AA5BA2" w14:textId="77777777" w:rsidR="00214F03" w:rsidRPr="00E93F40" w:rsidRDefault="00214F03" w:rsidP="00E93F40">
      <w:pPr>
        <w:spacing w:after="0" w:line="240" w:lineRule="auto"/>
        <w:jc w:val="both"/>
        <w:rPr>
          <w:rFonts w:ascii="Times New Roman" w:hAnsi="Times New Roman"/>
          <w:color w:val="000000" w:themeColor="text1"/>
          <w:sz w:val="16"/>
          <w:szCs w:val="16"/>
        </w:rPr>
      </w:pPr>
    </w:p>
    <w:p w14:paraId="61CB437A" w14:textId="77777777" w:rsidR="00742933"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DE8873F" w14:textId="77777777" w:rsidR="00742933" w:rsidRPr="00E93F40" w:rsidRDefault="00742933"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3CD562"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ноября 1932 состоялось заседание ПБ (Протокол № 123)</w:t>
      </w:r>
    </w:p>
    <w:p w14:paraId="39D3062A"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7.-О строительстве Челябинского тракторного заводе.</w:t>
      </w:r>
    </w:p>
    <w:p w14:paraId="6FA052F2"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8.X.32 г.,пр. № 118, п. 5 из прилож. п.п. 4, 18 и 19).</w:t>
      </w:r>
    </w:p>
    <w:p w14:paraId="749AF802"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(т.т.Орджоникидзе, Каганович, Антипов, Банников).</w:t>
      </w:r>
    </w:p>
    <w:p w14:paraId="78296CB8"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Утвердить с поправками внесенный т. Орджоникидзе проект постановления о строительстве Челябинского трак</w:t>
      </w:r>
      <w:r w:rsidRPr="00E93F40">
        <w:rPr>
          <w:rFonts w:ascii="Times New Roman" w:hAnsi="Times New Roman"/>
          <w:color w:val="000000" w:themeColor="text1"/>
          <w:sz w:val="16"/>
          <w:szCs w:val="16"/>
        </w:rPr>
        <w:softHyphen/>
        <w:t>торного завода (см. приложение).</w:t>
      </w:r>
    </w:p>
    <w:p w14:paraId="683CC2C1"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Утвердить внесенный т. Орджоникидзе проект постанов</w:t>
      </w:r>
      <w:r w:rsidRPr="00E93F40">
        <w:rPr>
          <w:rFonts w:ascii="Times New Roman" w:hAnsi="Times New Roman"/>
          <w:color w:val="000000" w:themeColor="text1"/>
          <w:sz w:val="16"/>
          <w:szCs w:val="16"/>
        </w:rPr>
        <w:softHyphen/>
        <w:t>ления об обеспечении выпуска тракторов ЧТЗ запасными частями (см. приложение).</w:t>
      </w:r>
    </w:p>
    <w:p w14:paraId="7E086650"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тов. Розенгольцу - п."а", из прил. п.п. 2,3. Орджоникидзе, Рудзутаку, Ловину, Уралобкому - все.</w:t>
      </w:r>
    </w:p>
    <w:p w14:paraId="234A031A"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ноября 1932 опросом членов ПБ</w:t>
      </w:r>
    </w:p>
    <w:p w14:paraId="6965AF9E"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60/35.- о Шарикоподшипниках и электродах.</w:t>
      </w:r>
    </w:p>
    <w:p w14:paraId="7D0F42EC"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 Для обеспечения бесперебойной работы промыш</w:t>
      </w:r>
      <w:r w:rsidRPr="00E93F40">
        <w:rPr>
          <w:rFonts w:ascii="Times New Roman" w:hAnsi="Times New Roman"/>
          <w:color w:val="000000" w:themeColor="text1"/>
          <w:sz w:val="16"/>
          <w:szCs w:val="16"/>
        </w:rPr>
        <w:softHyphen/>
        <w:t>ленности в 1-м квартале 1933 г. и ремонта тракторов г весенней кампании - обязать НКВТ немедленно разме</w:t>
      </w:r>
      <w:r w:rsidRPr="00E93F40">
        <w:rPr>
          <w:rFonts w:ascii="Times New Roman" w:hAnsi="Times New Roman"/>
          <w:color w:val="000000" w:themeColor="text1"/>
          <w:sz w:val="16"/>
          <w:szCs w:val="16"/>
        </w:rPr>
        <w:softHyphen/>
        <w:t>стить заказ на шарикоподшипники на сумму 1.600 т. руб., из коих 1.100 тыс. руб. для удовлетворения нужд НКТП1 и промышленности других наркоматов и 500 тыс. р. для ремонта тракторов (НКЗем, НКСовхозов).</w:t>
      </w:r>
    </w:p>
    <w:p w14:paraId="4D87419C"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НКТП, НКЗем и НКСовхозов в 3-дневннй срок передать НКВнешторгу необходимые для заказа спецификации.</w:t>
      </w:r>
    </w:p>
    <w:p w14:paraId="58ECCA79"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Завоз шарикоподшипников для завода им. Сталина (б. АМО) на сумму 200 тыс. руб.-произвести не позднее 1.1.33 г.,а для остальных потребителей - в течение января и первой половины февраля 1933 г.</w:t>
      </w:r>
    </w:p>
    <w:p w14:paraId="0F2064C5"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Предложить НКВТ немедленно разместить заказ на электроды на 500 тыс. руб.</w:t>
      </w:r>
    </w:p>
    <w:p w14:paraId="68C680C0"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т. Вейцера лично обеспечить немедленное размещение заказа и отгрузку электродов в кратчайший срок.</w:t>
      </w:r>
    </w:p>
    <w:p w14:paraId="224645E1"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НКТП в 3-дневный срок передать НКВнешторгу необходимые для заказа спецификации.</w:t>
      </w:r>
    </w:p>
    <w:p w14:paraId="7CF39370"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Ввиду полного распределения остатка контин</w:t>
      </w:r>
      <w:r w:rsidRPr="00E93F40">
        <w:rPr>
          <w:rFonts w:ascii="Times New Roman" w:hAnsi="Times New Roman"/>
          <w:color w:val="000000" w:themeColor="text1"/>
          <w:sz w:val="16"/>
          <w:szCs w:val="16"/>
        </w:rPr>
        <w:softHyphen/>
        <w:t>гента 1932 г. и заявления НКВТ, что весь остаток будет полностью реализован, отнести импорт шарикоподшипников на 1.600 тыс. руб. и электродов на 500 тыс. руб. за счет контингентов 1933г. с валютными платежами не ранее 1934 г.</w:t>
      </w:r>
    </w:p>
    <w:p w14:paraId="276C3390"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Отметить, что НКТП но уделял должного внимания организации производства электродов в Союзе, вслед</w:t>
      </w:r>
      <w:r w:rsidRPr="00E93F40">
        <w:rPr>
          <w:rFonts w:ascii="Times New Roman" w:hAnsi="Times New Roman"/>
          <w:color w:val="000000" w:themeColor="text1"/>
          <w:sz w:val="16"/>
          <w:szCs w:val="16"/>
        </w:rPr>
        <w:softHyphen/>
        <w:t>ствие чего строительство электродных заводов (Москва, Челябинск) затянулось и строящиеся заводы не обеспе</w:t>
      </w:r>
      <w:r w:rsidRPr="00E93F40">
        <w:rPr>
          <w:rFonts w:ascii="Times New Roman" w:hAnsi="Times New Roman"/>
          <w:color w:val="000000" w:themeColor="text1"/>
          <w:sz w:val="16"/>
          <w:szCs w:val="16"/>
        </w:rPr>
        <w:softHyphen/>
        <w:t>чены оборудованием в то время, как электроды импорти</w:t>
      </w:r>
      <w:r w:rsidRPr="00E93F40">
        <w:rPr>
          <w:rFonts w:ascii="Times New Roman" w:hAnsi="Times New Roman"/>
          <w:color w:val="000000" w:themeColor="text1"/>
          <w:sz w:val="16"/>
          <w:szCs w:val="16"/>
        </w:rPr>
        <w:softHyphen/>
        <w:t>руются в большом количестве и лимитируют работу черной и цветной, металлургии.</w:t>
      </w:r>
    </w:p>
    <w:p w14:paraId="7D02E929"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Обязать НКТП в -декадный срок войти в СТО с докладом об об"еме производства электродов в Союзе в 1933г. и, одновременно представить обосно</w:t>
      </w:r>
      <w:r w:rsidRPr="00E93F40">
        <w:rPr>
          <w:rFonts w:ascii="Times New Roman" w:hAnsi="Times New Roman"/>
          <w:color w:val="000000" w:themeColor="text1"/>
          <w:sz w:val="16"/>
          <w:szCs w:val="16"/>
        </w:rPr>
        <w:softHyphen/>
        <w:t>ванный план потреб сети в электродах на 1933 г.</w:t>
      </w:r>
    </w:p>
    <w:p w14:paraId="73B7BF87"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Розенгольцу, Орджоникидзе, Яковлеву, Юркину.</w:t>
      </w:r>
    </w:p>
    <w:p w14:paraId="6B3BA523"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ноября 1932 опросом членов ПБ</w:t>
      </w:r>
    </w:p>
    <w:p w14:paraId="6A3B1CBC"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75/51.- О заводе механических тпубок.</w:t>
      </w:r>
    </w:p>
    <w:p w14:paraId="78CA3D39"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(ПБ от 23.Х.32г., № 120, п.10-а).</w:t>
      </w:r>
    </w:p>
    <w:p w14:paraId="019BA740"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изменение постановления Политбюро от 23 октября 1932 г. - определить место расположения завода механических трубок в районе г.Самары.</w:t>
      </w:r>
    </w:p>
    <w:p w14:paraId="4B6BF952"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Павлуновскому, Гомарнику.</w:t>
      </w:r>
    </w:p>
    <w:p w14:paraId="0848AC0A"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ноября 1932 опросом членов ПБ</w:t>
      </w:r>
    </w:p>
    <w:p w14:paraId="66FCB420"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106/82.-О ипризводстве гусеничных тракторев на СТЗ</w:t>
      </w:r>
    </w:p>
    <w:p w14:paraId="07972E2F"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Перевести СТЗ с 1.УП.34 г. на производство гусеничных тракторов по типу Карден-Ллойд с дизель- мотором, из расчета выпуска при освоении полной мощности 40.000 тракторов в год, оставив на нем в военное время задачу массового производства тан</w:t>
      </w:r>
      <w:r w:rsidRPr="00E93F40">
        <w:rPr>
          <w:rFonts w:ascii="Times New Roman" w:hAnsi="Times New Roman"/>
          <w:color w:val="000000" w:themeColor="text1"/>
          <w:sz w:val="16"/>
          <w:szCs w:val="16"/>
        </w:rPr>
        <w:softHyphen/>
        <w:t>ка Виккерса (Т-26) с программой - 12.000 в год и 25% запчастей.</w:t>
      </w:r>
    </w:p>
    <w:p w14:paraId="4DD36C88"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Установить срок мобилизационной готовности СТЗ на ассимиляцию всего завода на производство танков Виккерса - 1.УШ.33 г. и начало серийного производства этих машин в опытном цеху - 1.УП.ЗЗ г.</w:t>
      </w:r>
    </w:p>
    <w:p w14:paraId="42F784BC"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Обязать НКТП:</w:t>
      </w:r>
    </w:p>
    <w:p w14:paraId="2CABE648"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 декадный срок рассмотреть генеральную сме</w:t>
      </w:r>
      <w:r w:rsidRPr="00E93F40">
        <w:rPr>
          <w:rFonts w:ascii="Times New Roman" w:hAnsi="Times New Roman"/>
          <w:color w:val="000000" w:themeColor="text1"/>
          <w:sz w:val="16"/>
          <w:szCs w:val="16"/>
        </w:rPr>
        <w:softHyphen/>
        <w:t>ту СТЗ и установить об’’ем капиталовложений в 1933 г. в соответствии с установленным техническим проек</w:t>
      </w:r>
      <w:r w:rsidRPr="00E93F40">
        <w:rPr>
          <w:rFonts w:ascii="Times New Roman" w:hAnsi="Times New Roman"/>
          <w:color w:val="000000" w:themeColor="text1"/>
          <w:sz w:val="16"/>
          <w:szCs w:val="16"/>
        </w:rPr>
        <w:softHyphen/>
        <w:t>том и генеральным планом завода.</w:t>
      </w:r>
    </w:p>
    <w:p w14:paraId="59AE24A8"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Для ускорения получения импортного оборудо</w:t>
      </w:r>
      <w:r w:rsidRPr="00E93F40">
        <w:rPr>
          <w:rFonts w:ascii="Times New Roman" w:hAnsi="Times New Roman"/>
          <w:color w:val="000000" w:themeColor="text1"/>
          <w:sz w:val="16"/>
          <w:szCs w:val="16"/>
        </w:rPr>
        <w:softHyphen/>
        <w:t>вания разрешить командировку заграницу 4-м наме</w:t>
      </w:r>
      <w:r w:rsidRPr="00E93F40">
        <w:rPr>
          <w:rFonts w:ascii="Times New Roman" w:hAnsi="Times New Roman"/>
          <w:color w:val="000000" w:themeColor="text1"/>
          <w:sz w:val="16"/>
          <w:szCs w:val="16"/>
        </w:rPr>
        <w:softHyphen/>
        <w:t>ченным заводее лицам.</w:t>
      </w:r>
    </w:p>
    <w:p w14:paraId="08C12C55"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 месячный срок выделить СТЗ все необходимое ему оборудование отечественного производства, строи</w:t>
      </w:r>
      <w:r w:rsidRPr="00E93F40">
        <w:rPr>
          <w:rFonts w:ascii="Times New Roman" w:hAnsi="Times New Roman"/>
          <w:color w:val="000000" w:themeColor="text1"/>
          <w:sz w:val="16"/>
          <w:szCs w:val="16"/>
        </w:rPr>
        <w:softHyphen/>
        <w:t>тельные и монтажные материалы со сроком отгрузок по календарному плану завода.</w:t>
      </w:r>
    </w:p>
    <w:p w14:paraId="75CE708C"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Обеспечить выполнение проектирующими и мон</w:t>
      </w:r>
      <w:r w:rsidRPr="00E93F40">
        <w:rPr>
          <w:rFonts w:ascii="Times New Roman" w:hAnsi="Times New Roman"/>
          <w:color w:val="000000" w:themeColor="text1"/>
          <w:sz w:val="16"/>
          <w:szCs w:val="16"/>
        </w:rPr>
        <w:softHyphen/>
        <w:t>тажными организациями проектов и монтажа всех обходимых СТЗ устройств, говоров.</w:t>
      </w:r>
    </w:p>
    <w:p w14:paraId="0BC0A97E"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Направить на СТЗ опытных инженеров: сталевара, формовщика, электрика для электропечей и механика.</w:t>
      </w:r>
    </w:p>
    <w:p w14:paraId="7932F959"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 Переключить работу Оргаметалла на проектиро</w:t>
      </w:r>
      <w:r w:rsidRPr="00E93F40">
        <w:rPr>
          <w:rFonts w:ascii="Times New Roman" w:hAnsi="Times New Roman"/>
          <w:color w:val="000000" w:themeColor="text1"/>
          <w:sz w:val="16"/>
          <w:szCs w:val="16"/>
        </w:rPr>
        <w:softHyphen/>
        <w:t>вание технологического процесса гусеничного трак</w:t>
      </w:r>
      <w:r w:rsidRPr="00E93F40">
        <w:rPr>
          <w:rFonts w:ascii="Times New Roman" w:hAnsi="Times New Roman"/>
          <w:color w:val="000000" w:themeColor="text1"/>
          <w:sz w:val="16"/>
          <w:szCs w:val="16"/>
        </w:rPr>
        <w:softHyphen/>
        <w:t>тора СТЗ, включая приспособления, инструменты, штампы и модели.</w:t>
      </w:r>
    </w:p>
    <w:p w14:paraId="3394BC7A"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Обязать НКТ в литерном порядке обеспечить строительство СТО необходимой рабочей силой.</w:t>
      </w:r>
    </w:p>
    <w:p w14:paraId="6C0F5295"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Признать строительство на СТО ударным.</w:t>
      </w:r>
    </w:p>
    <w:p w14:paraId="22E01C29"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Орджоникидзе, Павлуновскому, Пудалову- все; Цихону - п. 4 (23068).</w:t>
      </w:r>
    </w:p>
    <w:p w14:paraId="0AA51874" w14:textId="77777777" w:rsidR="00C43A0E" w:rsidRPr="00E93F40" w:rsidRDefault="00C43A0E" w:rsidP="00E93F40">
      <w:pPr>
        <w:spacing w:after="0" w:line="240" w:lineRule="auto"/>
        <w:jc w:val="both"/>
        <w:rPr>
          <w:rFonts w:ascii="Times New Roman" w:hAnsi="Times New Roman"/>
          <w:color w:val="000000" w:themeColor="text1"/>
          <w:sz w:val="16"/>
          <w:szCs w:val="16"/>
        </w:rPr>
      </w:pPr>
    </w:p>
    <w:p w14:paraId="6C995340"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25 ноября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123. 5. Об увеличении производства олова (проект постановления) (ПБ от 23 октября 1932 г., пр. № 120, п. 14в) (Серебровский). 7. О строительстве Челябинского тракторного завода (ПБ от 8 октября 1932 г., пр. № 118, п. 5, из прил. п. 4, 18 и 19) (Орджоникидзе, Каганович М., Антипов, Ванников). — ОП (п. 2, 3 приложения). 8. О реконструкции уральских металлургических заводов (ПБ от 1 апреля 1932 г., пр. № 94, п. 8) (Орджоникидзе, Гуревич). Опросом членов ПБ: от 17 ноября 1932 г. 54/30. Вопрос Ленобкома [о закупке моторно-парусных ботов в Финляндии]. — ОП; от 23 ноября 1932. 75/51. О заводе механических трубок — ОП; от 25 ноября 1932 г. 106/82. О производстве гусеничных тракторов на СТЗ. — ОП. Постановили: 1) перевести СТЗ с 1 июля 1934 г. на производство гусеничных тракторов по типу «Карден-Ллойд» с дизель-мотором, из расчета выпуска при освоении полной мощности 40 тыс. тракторов в год, оставив на нем в военное время задачу массового производства танка Виккерса (Т?26) с программой 12 тыс. в год и 25% запчастей; 2) установить срок мобилизационной готовности СТЗ на ассимиляцию всего завода на производство танков Виккерса — 1 августа 1933 г. и начало серийного производства этих машин в опытном цеху — 1 июля 1933 г. (Политбюро... Т. 2. С. 372, 374, 376; РГАСПИ. Ф. 17. Оп. 162. Д. 14. Л. 18) (12416).</w:t>
      </w:r>
    </w:p>
    <w:p w14:paraId="511BB682"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2F358799" w14:textId="77777777" w:rsidR="00742933" w:rsidRPr="00E93F40" w:rsidRDefault="00742933" w:rsidP="00E93F40">
      <w:pPr>
        <w:spacing w:after="0" w:line="240" w:lineRule="auto"/>
        <w:jc w:val="both"/>
        <w:rPr>
          <w:rFonts w:ascii="Times New Roman" w:hAnsi="Times New Roman"/>
          <w:color w:val="000000" w:themeColor="text1"/>
          <w:sz w:val="16"/>
          <w:szCs w:val="16"/>
        </w:rPr>
      </w:pPr>
      <w:r w:rsidRPr="00E93F40">
        <w:rPr>
          <w:rStyle w:val="a7"/>
          <w:rFonts w:ascii="Times New Roman" w:hAnsi="Times New Roman"/>
          <w:b w:val="0"/>
          <w:color w:val="000000" w:themeColor="text1"/>
          <w:sz w:val="16"/>
          <w:szCs w:val="16"/>
        </w:rPr>
        <w:t xml:space="preserve">25 ноября 1932 </w:t>
      </w:r>
      <w:r w:rsidRPr="00E93F40">
        <w:rPr>
          <w:rFonts w:ascii="Times New Roman" w:hAnsi="Times New Roman"/>
          <w:color w:val="000000" w:themeColor="text1"/>
          <w:sz w:val="16"/>
          <w:szCs w:val="16"/>
        </w:rPr>
        <w:t>Политбюро ЦК ВКП (б) приняло постановления: об увеличении производства олова, о сроке ввода в эксплуатацию и дальнейшем расширении Челябинского тракторного завода (12265).</w:t>
      </w:r>
    </w:p>
    <w:p w14:paraId="339FC16A" w14:textId="022C82CB" w:rsidR="00742933"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p>
    <w:p w14:paraId="12CBC84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ECE9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099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ноября 1932-го Постановление СНК СССР № 1639/333сс определяло важнейшие и ближайшие строительные объекты ОГПУ: окончание работ на Беломорстрое; строительство канала Москва-Волга; строительство БАМа; Колыма; работы на Ухте и Печоре; заготовка дров для Москвы и Ленинграда. О Свирском ИТЛ мы уже говорили; аналогичную задачу применительно к Москве выполнял созданный в июне 1931-го Темниковский ИТЛ ОГПУ с дислокацией управления в поселке Явас (и поныне остающемся центром знаменитых «Мордовских лагерей»; по данным на 1934 год, Темлаг один покрывал треть всех потребностей Москвы в дровах) (7560).</w:t>
      </w:r>
    </w:p>
    <w:p w14:paraId="56599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93BF3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01BF1B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156EB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года инспектор ВВС Хрипин писал письмо № 21682сс зам. председателя РВС Тухачевскому.</w:t>
      </w:r>
    </w:p>
    <w:p w14:paraId="6045763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ряда лет вопросы системы вооружения и опытного строительства в области воздушного флота разрешаются без надлежащей планомерности и руководство этим делом во многом страдает целым рядом крупных недостатков.</w:t>
      </w:r>
    </w:p>
    <w:p w14:paraId="63D5E37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сего времени нет основного центра по руководству модернизацией вооружения ВВС в части предварительной подготовки материалов, освещающих состояние и перспективы развития воздушного оружия у нас и за рубежом; в части исчерпывающей разработки самой системы вооружения и вытекающего из нее плана опытного строительства; в части ближайшего наблюдения за осуществлением этого плана и проведением практических мероприятий по перевооружению ВВС.</w:t>
      </w:r>
    </w:p>
    <w:p w14:paraId="1F8530B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УВВС, НИИ ВВС, Штаб РККА, Инспекция ВВС РККА, ГУАП и его органы – все занимаются разработкой разных проектов, вносят предложения в РВС по поводу изменений или дополнений плана опытного строительства и т.д. При таком положении дела нет необходимой ответственности за этот важнейший участок работы, нет объединения и правильного использования накапливаемого опыта и многообразных сведений об иностранных ВФ, о мировом техническом прогрессе в области усовершенствования воздушного оружия и т.д.</w:t>
      </w:r>
    </w:p>
    <w:p w14:paraId="53ABA5F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B09DBE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Рациональным решением поставленного мною вопроса является следующее:</w:t>
      </w:r>
    </w:p>
    <w:p w14:paraId="44450B9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Единым центром по разработке системы вооружения и плана опытного строительства ВВС, подготовляющим все материалы для РВС и осуществляющим его решения должен быть Штаб ВВС в лице особого органа (отдела), ведающего главнейшими общими вопросами развития и боевого применения ВВС.</w:t>
      </w:r>
    </w:p>
    <w:p w14:paraId="27DAC3B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E93739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Совершенно необходимо оживить опытную работу в КБ путем создания здорового соревнования их. Для этого требуется наряду с ЦАГИ укрепить 2-3 центра, работающих сейчас без необходимого к ним внимания и помощи (бюро Калинина, ВВА, НИИ ГУГВФ).</w:t>
      </w:r>
    </w:p>
    <w:p w14:paraId="49C52F9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Мне представляется целесообразным развитие следующих отдельных КБ:</w:t>
      </w:r>
    </w:p>
    <w:p w14:paraId="2CC0346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военным самолетам – при ВВА с необходимым расширением производственной базы Академии.</w:t>
      </w:r>
    </w:p>
    <w:p w14:paraId="64A77795"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гражданским самолетам – при МАИ ГУГВФ с перенесением туда части работ и с передачей необходимых сил НИИ ГУГВФ, за которым следует оставить только испытательные функции и конструктивно-изобретательскую работу в области оборудования воздушных судов и их эксплоатации, также как и для НИИ ВВС.</w:t>
      </w:r>
    </w:p>
    <w:p w14:paraId="07A38E5C"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 гражданским самолетам – бюро Калинина.</w:t>
      </w:r>
    </w:p>
    <w:p w14:paraId="2899233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укрепления конструкторских сил и надлежащего руководства бюро ВВА передать туда инженера Григоровича с кадрами его работников.</w:t>
      </w:r>
    </w:p>
    <w:p w14:paraId="15E9770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(6778, 274-279).</w:t>
      </w:r>
    </w:p>
    <w:p w14:paraId="38885DA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7C96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года закончилось дополнительное 50 часовое испытание мотора М-34 на полном газу с целью определения надежности. Мотор показал мощность 830-840 л.с. Задержками в выпуске серии служили: выкрашивание баббита в подшипниках, увеличенный расход масла, повышенный износ трущихся деталей (3530,70-86).</w:t>
      </w:r>
    </w:p>
    <w:p w14:paraId="609EAC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5C558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B4A626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FACF583"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26 ноября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1486/442сс о порядке снабжения материалами, инструментом, оборудованием и выполнения заказов Остехбюро Наркомвоенмора (ГА РФ. Ф. Р?8418. Оп. 28. Д. 1а. Л. 395) (12415).</w:t>
      </w:r>
    </w:p>
    <w:p w14:paraId="49536726" w14:textId="77777777" w:rsidR="00742933" w:rsidRPr="00E93F40" w:rsidRDefault="00742933" w:rsidP="00E93F40">
      <w:pPr>
        <w:spacing w:after="0" w:line="240" w:lineRule="auto"/>
        <w:jc w:val="both"/>
        <w:rPr>
          <w:rFonts w:ascii="Times New Roman" w:hAnsi="Times New Roman"/>
          <w:color w:val="000000" w:themeColor="text1"/>
          <w:sz w:val="16"/>
          <w:szCs w:val="16"/>
          <w:u w:color="002060"/>
        </w:rPr>
      </w:pPr>
    </w:p>
    <w:p w14:paraId="1FA8FE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руководство Сектора Обороны Госплана в докладе Правительству писало "Следует со всей решительностью подчеркнуть, что данные, относящиеся к первым годам пятилетки, настолько малодостоверны, что основываться на них почти невозможно" (1566,44).</w:t>
      </w:r>
    </w:p>
    <w:p w14:paraId="3132F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05A02B" w14:textId="6EEF7542" w:rsidR="00F41990" w:rsidRPr="00E93F40" w:rsidRDefault="00F4199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г. Сектор Обороны Госплана СССР в докладе правительству откровенно признавал: "Следует со всей решительностью подчеркнуть, что данные, относящиеся к первым годам пятилетки,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настолько малодостоверны, что основываться на них почти невозможно" (18389).</w:t>
      </w:r>
    </w:p>
    <w:p w14:paraId="4EDE39B5" w14:textId="77777777" w:rsidR="00F41990" w:rsidRPr="00E93F40" w:rsidRDefault="00F41990" w:rsidP="00E93F40">
      <w:pPr>
        <w:spacing w:after="0" w:line="240" w:lineRule="auto"/>
        <w:jc w:val="both"/>
        <w:rPr>
          <w:rFonts w:ascii="Times New Roman" w:hAnsi="Times New Roman"/>
          <w:color w:val="000000" w:themeColor="text1"/>
          <w:sz w:val="16"/>
          <w:szCs w:val="16"/>
        </w:rPr>
      </w:pPr>
    </w:p>
    <w:p w14:paraId="3E58B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И.Уншлихт - Зам. пред. Госплана - в тезисах "Об итогах первой пятилетки по оборонной промышленности" указал на опасность поражения в войне несмотря на колоссальные расходы (1566,88).</w:t>
      </w:r>
    </w:p>
    <w:p w14:paraId="6C3463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CB7E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г. за</w:t>
      </w:r>
      <w:r w:rsidRPr="00E93F40">
        <w:rPr>
          <w:rFonts w:ascii="Times New Roman" w:hAnsi="Times New Roman"/>
          <w:color w:val="000000" w:themeColor="text1"/>
          <w:sz w:val="16"/>
          <w:szCs w:val="16"/>
        </w:rPr>
        <w:softHyphen/>
        <w:t>меститель председателя Госплана СССР И.Уншлихт в тезисах до</w:t>
      </w:r>
      <w:r w:rsidRPr="00E93F40">
        <w:rPr>
          <w:rFonts w:ascii="Times New Roman" w:hAnsi="Times New Roman"/>
          <w:color w:val="000000" w:themeColor="text1"/>
          <w:sz w:val="16"/>
          <w:szCs w:val="16"/>
        </w:rPr>
        <w:softHyphen/>
        <w:t>клада «Об итогах первой пятилетки по оборонной промышленно</w:t>
      </w:r>
      <w:r w:rsidRPr="00E93F40">
        <w:rPr>
          <w:rFonts w:ascii="Times New Roman" w:hAnsi="Times New Roman"/>
          <w:color w:val="000000" w:themeColor="text1"/>
          <w:sz w:val="16"/>
          <w:szCs w:val="16"/>
        </w:rPr>
        <w:softHyphen/>
        <w:t>сти» довольно осторожно, но все же указал, на сохраняющуюся опасность поражения в войне, несмотря на колоссальные расходы по укреплению обороноспособности стра</w:t>
      </w:r>
      <w:r w:rsidRPr="00E93F40">
        <w:rPr>
          <w:rFonts w:ascii="Times New Roman" w:hAnsi="Times New Roman"/>
          <w:color w:val="000000" w:themeColor="text1"/>
          <w:sz w:val="16"/>
          <w:szCs w:val="16"/>
        </w:rPr>
        <w:softHyphen/>
        <w:t>ны: «При нынешней организации производства объявление войны вызвало бы громадное напряжение в экономике. Это является следствием того, что промышленность СССР проводила в первую пятилетку подготовку к обороне в основном только по линии во</w:t>
      </w:r>
      <w:r w:rsidRPr="00E93F40">
        <w:rPr>
          <w:rFonts w:ascii="Times New Roman" w:hAnsi="Times New Roman"/>
          <w:color w:val="000000" w:themeColor="text1"/>
          <w:sz w:val="16"/>
          <w:szCs w:val="16"/>
        </w:rPr>
        <w:softHyphen/>
        <w:t>енных производств; размещение мобилизационных заданий про</w:t>
      </w:r>
      <w:r w:rsidRPr="00E93F40">
        <w:rPr>
          <w:rFonts w:ascii="Times New Roman" w:hAnsi="Times New Roman"/>
          <w:color w:val="000000" w:themeColor="text1"/>
          <w:sz w:val="16"/>
          <w:szCs w:val="16"/>
        </w:rPr>
        <w:softHyphen/>
        <w:t>водилось без учета экономических последствий. Выход из со</w:t>
      </w:r>
      <w:r w:rsidRPr="00E93F40">
        <w:rPr>
          <w:rFonts w:ascii="Times New Roman" w:hAnsi="Times New Roman"/>
          <w:color w:val="000000" w:themeColor="text1"/>
          <w:sz w:val="16"/>
          <w:szCs w:val="16"/>
        </w:rPr>
        <w:softHyphen/>
        <w:t>здавшегося положения лежит в дальнейшей индустриализации страны» (ГАРФ ф. 8418, оп. 1, д. 157, л. 21) 91566, 88).</w:t>
      </w:r>
    </w:p>
    <w:p w14:paraId="09B7E7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268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26 ноября по 5 декабря 1932 г. в НИАП проходили первые испытания «улучшенной сварной башни» под 76 мм противоштурмовцю пушку “Гарфорда”. Башня была установлена на переработанный корпус танка Т-26. Большой размер круга обслуживания (погона) башни заставил наращивать длину подбашенной коробки Т-26 назад, что привело к установке кормового листа наклонно.</w:t>
      </w:r>
    </w:p>
    <w:p w14:paraId="355700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выявили большое количество недостатков, как в конструкции башни, так и в конструкции пушки. Неудачная конструкция погона заставляла прикладывать на маховик поворотного механизма чрезмерные усилия, особенно при страгивании башни с места. Полковую пушку установить в башню не представлялось возможным из-за чрезмерной длины отката (до 900 мм). Уменьшить откат путем применения дульного тормоза АНИИ не разрешил. Поэтому на эти испытания пришла башня А-43 с пушкой обр 1910 г (6469, 12).</w:t>
      </w:r>
    </w:p>
    <w:p w14:paraId="65AFE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ACBFC0"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26 ноября по 5 декабря 1932 г. в НИАП проходили сспытания «улучшенной сварной башни» Дыренкова, получившей индекс А-43, на </w:t>
      </w:r>
      <w:hyperlink r:id="rId278"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е Т-26. Эта башня была установлена на несколько переработанный корпус </w:t>
      </w:r>
      <w:hyperlink r:id="rId279"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а БТ. Большой размер круга обслуживания (погона) башни заставил нарастить длину подбашенного листа </w:t>
      </w:r>
      <w:hyperlink r:id="rId280"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назад, что привело к установке кормового листа под большим наклоном.</w:t>
      </w:r>
    </w:p>
    <w:p w14:paraId="2944EB83" w14:textId="77777777" w:rsidR="00666E99" w:rsidRPr="00E93F40" w:rsidRDefault="00666E9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Было выявлено большое количество недостатков как в конструкции самих башен, так и в конструкции пушки. Неудачный погон заставлял прикладывать на маховик поворотного механизма чрезмерные усилия, особенно при страгивании башни с места. Полковую пушку установить в башню не представлялось возможным из-за чрезмерной длины отката (до 900 мм). Уменьшить откат путем применения дульного тормоза АНИИ не разрешил. Поэтому башня А-43 испытывалась с пушкой «Гарфорда» (15619).</w:t>
      </w:r>
    </w:p>
    <w:p w14:paraId="540BD45C" w14:textId="77777777" w:rsidR="00666E99" w:rsidRPr="00E93F40" w:rsidRDefault="00666E99" w:rsidP="00E93F40">
      <w:pPr>
        <w:spacing w:after="0" w:line="240" w:lineRule="auto"/>
        <w:jc w:val="both"/>
        <w:rPr>
          <w:rFonts w:ascii="Times New Roman" w:hAnsi="Times New Roman"/>
          <w:color w:val="000000" w:themeColor="text1"/>
          <w:sz w:val="16"/>
          <w:szCs w:val="16"/>
        </w:rPr>
      </w:pPr>
    </w:p>
    <w:p w14:paraId="64DEAA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26 ноября по 5 декабря 1932 г. в НИАП проходили испытания «улучшенной сварной башни» Н.Дыренкова, получившей индекс А-43, на танке Т-26. Обе башни были установлены на не</w:t>
      </w:r>
      <w:r w:rsidRPr="00E93F40">
        <w:rPr>
          <w:rFonts w:ascii="Times New Roman" w:hAnsi="Times New Roman"/>
          <w:color w:val="000000" w:themeColor="text1"/>
          <w:sz w:val="16"/>
          <w:szCs w:val="16"/>
        </w:rPr>
        <w:softHyphen/>
        <w:t>сколько переработанный корпус танков соответственно БТ и Т-26. Большой размер круга обслуживания (погона) баш</w:t>
      </w:r>
      <w:r w:rsidRPr="00E93F40">
        <w:rPr>
          <w:rFonts w:ascii="Times New Roman" w:hAnsi="Times New Roman"/>
          <w:color w:val="000000" w:themeColor="text1"/>
          <w:sz w:val="16"/>
          <w:szCs w:val="16"/>
        </w:rPr>
        <w:softHyphen/>
        <w:t>ни заставил нарастить длину подбашенного листа указан</w:t>
      </w:r>
      <w:r w:rsidRPr="00E93F40">
        <w:rPr>
          <w:rFonts w:ascii="Times New Roman" w:hAnsi="Times New Roman"/>
          <w:color w:val="000000" w:themeColor="text1"/>
          <w:sz w:val="16"/>
          <w:szCs w:val="16"/>
        </w:rPr>
        <w:softHyphen/>
        <w:t>ных танков назад, что привело к установке их кормового листа под большим наклоном. Было выявлено большое количество недостатков как в конструкции самих башен, так и в конструкции пушки. Неудачный погон заставлял прикладывать на маховик поворотного механизма чрезмерные усилия, особенно пристрагивании башни с места. Полковую пушку установить в башню не представлялось возможным из-за чрезмерной длины отката (до 900 мм). Уменьшить откат путем приме</w:t>
      </w:r>
      <w:r w:rsidRPr="00E93F40">
        <w:rPr>
          <w:rFonts w:ascii="Times New Roman" w:hAnsi="Times New Roman"/>
          <w:color w:val="000000" w:themeColor="text1"/>
          <w:sz w:val="16"/>
          <w:szCs w:val="16"/>
        </w:rPr>
        <w:softHyphen/>
        <w:t>нения дульного тормоза АНИИ не разрешил. Поэтому башня А-43 испытывалась с пушкой «Гарфорда» (10733,335).</w:t>
      </w:r>
    </w:p>
    <w:p w14:paraId="4D30C2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30F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26 ноября по 5 декабря 1932 г. проходили первые испытания «улучшенной сварной башни», по</w:t>
      </w:r>
      <w:r w:rsidRPr="00E93F40">
        <w:rPr>
          <w:rFonts w:ascii="Times New Roman" w:hAnsi="Times New Roman"/>
          <w:color w:val="000000" w:themeColor="text1"/>
          <w:sz w:val="16"/>
          <w:szCs w:val="16"/>
        </w:rPr>
        <w:softHyphen/>
        <w:t>лучившей индекс А-43, в НИАП. Башня была установлена на переработан</w:t>
      </w:r>
      <w:r w:rsidRPr="00E93F40">
        <w:rPr>
          <w:rFonts w:ascii="Times New Roman" w:hAnsi="Times New Roman"/>
          <w:color w:val="000000" w:themeColor="text1"/>
          <w:sz w:val="16"/>
          <w:szCs w:val="16"/>
        </w:rPr>
        <w:softHyphen/>
        <w:t>ный корпус танка Т-26. Большой размер круга обслужива</w:t>
      </w:r>
      <w:r w:rsidRPr="00E93F40">
        <w:rPr>
          <w:rFonts w:ascii="Times New Roman" w:hAnsi="Times New Roman"/>
          <w:color w:val="000000" w:themeColor="text1"/>
          <w:sz w:val="16"/>
          <w:szCs w:val="16"/>
        </w:rPr>
        <w:softHyphen/>
        <w:t>ния (погона) башни заставил наращивать длину подба</w:t>
      </w:r>
      <w:r w:rsidRPr="00E93F40">
        <w:rPr>
          <w:rFonts w:ascii="Times New Roman" w:hAnsi="Times New Roman"/>
          <w:color w:val="000000" w:themeColor="text1"/>
          <w:sz w:val="16"/>
          <w:szCs w:val="16"/>
        </w:rPr>
        <w:softHyphen/>
        <w:t>шенной коробки Т-26 назад, что привело к установке кор</w:t>
      </w:r>
      <w:r w:rsidRPr="00E93F40">
        <w:rPr>
          <w:rFonts w:ascii="Times New Roman" w:hAnsi="Times New Roman"/>
          <w:color w:val="000000" w:themeColor="text1"/>
          <w:sz w:val="16"/>
          <w:szCs w:val="16"/>
        </w:rPr>
        <w:softHyphen/>
        <w:t>мового листа наклонно.</w:t>
      </w:r>
    </w:p>
    <w:p w14:paraId="3EBFBF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выявили большое количество недостатков как в конструкции башни, так и в конструкции пушки. Неудачная конструкция погона заставляла прикладывать на маховик поворотного механизма чрезмерные усилия, особенно при страгивании башни с места. Полковую пушку ус</w:t>
      </w:r>
      <w:r w:rsidRPr="00E93F40">
        <w:rPr>
          <w:rFonts w:ascii="Times New Roman" w:hAnsi="Times New Roman"/>
          <w:color w:val="000000" w:themeColor="text1"/>
          <w:sz w:val="16"/>
          <w:szCs w:val="16"/>
        </w:rPr>
        <w:softHyphen/>
        <w:t>тановить в башню не удалось из-за чрезмерной длины отка</w:t>
      </w:r>
      <w:r w:rsidRPr="00E93F40">
        <w:rPr>
          <w:rFonts w:ascii="Times New Roman" w:hAnsi="Times New Roman"/>
          <w:color w:val="000000" w:themeColor="text1"/>
          <w:sz w:val="16"/>
          <w:szCs w:val="16"/>
        </w:rPr>
        <w:softHyphen/>
        <w:t>та (до 900 мм). Уменьшить же откат путем применения дуль</w:t>
      </w:r>
      <w:r w:rsidRPr="00E93F40">
        <w:rPr>
          <w:rFonts w:ascii="Times New Roman" w:hAnsi="Times New Roman"/>
          <w:color w:val="000000" w:themeColor="text1"/>
          <w:sz w:val="16"/>
          <w:szCs w:val="16"/>
        </w:rPr>
        <w:softHyphen/>
        <w:t>ного тормоза АНИИ не разрешил. На эти испытания посту</w:t>
      </w:r>
      <w:r w:rsidRPr="00E93F40">
        <w:rPr>
          <w:rFonts w:ascii="Times New Roman" w:hAnsi="Times New Roman"/>
          <w:color w:val="000000" w:themeColor="text1"/>
          <w:sz w:val="16"/>
          <w:szCs w:val="16"/>
        </w:rPr>
        <w:softHyphen/>
        <w:t>пила башня А-43 с пушкой «Гарфорда» обр. 1910 г.</w:t>
      </w:r>
    </w:p>
    <w:p w14:paraId="5D26C9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1933 г. в этой же башне была смонтирована уже 76,2-мм пушка КТ обр. 1927/32 гг., представлявшая собой ту же полковую пушку, но с уменьшенной до 500 мм длиной отката. Конструкция башни была немного изме</w:t>
      </w:r>
      <w:r w:rsidRPr="00E93F40">
        <w:rPr>
          <w:rFonts w:ascii="Times New Roman" w:hAnsi="Times New Roman"/>
          <w:color w:val="000000" w:themeColor="text1"/>
          <w:sz w:val="16"/>
          <w:szCs w:val="16"/>
        </w:rPr>
        <w:softHyphen/>
        <w:t>нена, но кардинальных улучшений не последовало. Осо</w:t>
      </w:r>
      <w:r w:rsidRPr="00E93F40">
        <w:rPr>
          <w:rFonts w:ascii="Times New Roman" w:hAnsi="Times New Roman"/>
          <w:color w:val="000000" w:themeColor="text1"/>
          <w:sz w:val="16"/>
          <w:szCs w:val="16"/>
        </w:rPr>
        <w:softHyphen/>
        <w:t>бенно угнетала теснота в боевом отделении.</w:t>
      </w:r>
    </w:p>
    <w:p w14:paraId="3409F07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 при производстве выстрела заряжающему (он же пулеметчик) приходилось буквально вжиматься в правую стенку башни и, </w:t>
      </w:r>
      <w:r w:rsidRPr="00E93F40">
        <w:rPr>
          <w:rFonts w:ascii="Times New Roman" w:hAnsi="Times New Roman"/>
          <w:iCs/>
          <w:color w:val="000000" w:themeColor="text1"/>
          <w:sz w:val="16"/>
          <w:szCs w:val="16"/>
        </w:rPr>
        <w:t xml:space="preserve">«прерывая всякую возможность ведения стрельбы из пулемета», </w:t>
      </w:r>
      <w:r w:rsidRPr="00E93F40">
        <w:rPr>
          <w:rFonts w:ascii="Times New Roman" w:hAnsi="Times New Roman"/>
          <w:color w:val="000000" w:themeColor="text1"/>
          <w:sz w:val="16"/>
          <w:szCs w:val="16"/>
        </w:rPr>
        <w:t>прижимать к себе левую руку (что</w:t>
      </w:r>
      <w:r w:rsidRPr="00E93F40">
        <w:rPr>
          <w:rFonts w:ascii="Times New Roman" w:hAnsi="Times New Roman"/>
          <w:color w:val="000000" w:themeColor="text1"/>
          <w:sz w:val="16"/>
          <w:szCs w:val="16"/>
        </w:rPr>
        <w:softHyphen/>
        <w:t>бы его не ударило откатывающейся казенной частью). Механизированный спуск давал частые отказы, а произ</w:t>
      </w:r>
      <w:r w:rsidRPr="00E93F40">
        <w:rPr>
          <w:rFonts w:ascii="Times New Roman" w:hAnsi="Times New Roman"/>
          <w:color w:val="000000" w:themeColor="text1"/>
          <w:sz w:val="16"/>
          <w:szCs w:val="16"/>
        </w:rPr>
        <w:softHyphen/>
        <w:t>водить выстрел со шнура в такой тесноте было невозмож</w:t>
      </w:r>
      <w:r w:rsidRPr="00E93F40">
        <w:rPr>
          <w:rFonts w:ascii="Times New Roman" w:hAnsi="Times New Roman"/>
          <w:color w:val="000000" w:themeColor="text1"/>
          <w:sz w:val="16"/>
          <w:szCs w:val="16"/>
        </w:rPr>
        <w:softHyphen/>
        <w:t>но. Угол обстрела из башенного пулемета был никуда не годным. Обзор — ограниченным. Отсутствие вентиляции могло привести к угару экипажа при ведении огня с за</w:t>
      </w:r>
      <w:r w:rsidRPr="00E93F40">
        <w:rPr>
          <w:rFonts w:ascii="Times New Roman" w:hAnsi="Times New Roman"/>
          <w:color w:val="000000" w:themeColor="text1"/>
          <w:sz w:val="16"/>
          <w:szCs w:val="16"/>
        </w:rPr>
        <w:softHyphen/>
        <w:t>крытыми дверьми башни. По окончании этих испытаний башня была забракована УММ (11417).</w:t>
      </w:r>
    </w:p>
    <w:p w14:paraId="7C5B53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A53DF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C479A0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1ECE2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26 ноября и 2 декабря 1932. Из протокола заседания Политбюро № 124, 1932 г.</w:t>
      </w:r>
    </w:p>
    <w:p w14:paraId="77AE88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обеспечении учащихся общежитиями </w:t>
      </w:r>
    </w:p>
    <w:p w14:paraId="7DB0F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ЦК ВКП(б) констатирует, что наркоматы благодаря плохому регулированию приема учащихся допустили в общежитиях такое переуплотнение, когда на одного учащегося приходится в среднем не более 2-х кв. метров жилой площади, несмотря на новое строительство и расширение площади студенческих общежитий. ЦК считает совершенно недопустимым такое положение, когда в общежитиях живут семьи учащихся, когда под общежития заняты все подсобные помещения (коридоры, ванные и т. д.) и часть учебных заведений (аудитории, кабинеты и пр.), а наборы в учебные заведения производятся, не считаясь с этими невозможными и вредными жилищно-бытовыми условиями. ЦК считает особо преступным отношение к набору текущего года, который по большинству наркоматов не был обеспечен общежитиями, в результате чего студенты этого набора остались совершенно без жилья. ЦК ВКП(б) постановляет: </w:t>
      </w:r>
    </w:p>
    <w:p w14:paraId="09AD27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В двухдекадный срок под личную ответственность директоров учебных заведений и наркоматов освободить всю занятую под общежития учебную площадь (аудитории, кабинеты, лекционные залы и лаборатории). </w:t>
      </w:r>
    </w:p>
    <w:p w14:paraId="52C3F2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Привести наличный состав учащихся в соответствие с наличной жилой площадью исходя из минимума последней на человека на 1933 год — 3 кв. метра и на 1934 г.— 4,5 кв. метра. </w:t>
      </w:r>
    </w:p>
    <w:p w14:paraId="4232C2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соответствии с этим отчислить из учебных заведений г. Москвы (ВТУЗы, ВУЗы, академии, ИКП и др.) всех не обеспеченных общежитиями учащихся (10-11 тысяч человек, в том числе по учебным заведениям НКТП — 5250 человек, НКЛП — 700 человек, НКПС — 1000 человек, НКСнабу — 1250 человек, НКЗему — 800 человек, Центросоюзу — 400 человек). Всех освобождаемых от учебы студентов возвратить на места работы, занимаемые ими до поступления в учебные заведения, сократив в первую очередь учащихся первых курсов, а также неуспевающих в учебе. Отправку всех освобождаемых от учебы возложить на соответствующие наркоматы и за </w:t>
      </w:r>
      <w:r w:rsidRPr="00E93F40">
        <w:rPr>
          <w:rFonts w:ascii="Times New Roman" w:hAnsi="Times New Roman"/>
          <w:color w:val="000000" w:themeColor="text1"/>
          <w:sz w:val="16"/>
          <w:szCs w:val="16"/>
        </w:rPr>
        <w:lastRenderedPageBreak/>
        <w:t>их счет (оплата проездных, суточных). Отчисление из учебных заведений и отправку произвести в месячный срок под персональную ответственность по учебным заведениям... (11652).</w:t>
      </w:r>
    </w:p>
    <w:p w14:paraId="306306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F916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26 ноября и 2 декабря 1932. Из протокола заседания Политбюро № 123, 1932 г.</w:t>
      </w:r>
    </w:p>
    <w:p w14:paraId="2BD678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Протест т. Микояна против решения СНК СССР о выделении мяса ОГПУ сверх плана </w:t>
      </w:r>
    </w:p>
    <w:p w14:paraId="5DCB41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Поручить решение вопроса комиссии в составе тт. Куйбышева, Микояна и Ягоды (11652).</w:t>
      </w:r>
    </w:p>
    <w:p w14:paraId="599469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98C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26 ноября и 2 декабря 1932. Из протокола заседания Политбюро № 123, 1932 г.</w:t>
      </w:r>
    </w:p>
    <w:p w14:paraId="58736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перерасходовании фондов заработной платы </w:t>
      </w:r>
    </w:p>
    <w:p w14:paraId="5D674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Исходя из установленной строжайшей экономии в расходовании денег: </w:t>
      </w:r>
    </w:p>
    <w:p w14:paraId="5DE894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 воспретить под страхом уголовного наказания всякое повышение заработной платы без ведома ЦК как по группам городских рабочих и служащих, так и по линии сельского хозяйства; </w:t>
      </w:r>
    </w:p>
    <w:p w14:paraId="3E920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 предложить СНК Союза пересмотреть постановление о 20% прибавке милиционерам; </w:t>
      </w:r>
    </w:p>
    <w:p w14:paraId="02336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признать необходимым иметь по каждому предприятию и учреждению твердый фонд зарплаты, нарушение которого должно караться в уголовном порядке (11652).</w:t>
      </w:r>
    </w:p>
    <w:p w14:paraId="08999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00BC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на горе Ахун под Сочи было завершено строительство смотровой башни (3186).</w:t>
      </w:r>
    </w:p>
    <w:p w14:paraId="1F3A47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E72A0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нарком юстиции Украины издал приказ о применении карательных мер против кулаков и «классовых врагов», срывающих поставки хлеба (4962).</w:t>
      </w:r>
    </w:p>
    <w:p w14:paraId="5444C91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E3D3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г. ОГПУ было подготовлено сообщение № 40641</w:t>
      </w:r>
    </w:p>
    <w:p w14:paraId="5843D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 xml:space="preserve">Рез. Сталина: Молотову, Кагановичу, Ворошилову, Гамарнику, Постышеву (всем этим товарищам </w:t>
      </w:r>
      <w:r w:rsidRPr="00E93F40">
        <w:rPr>
          <w:rFonts w:ascii="Times New Roman" w:hAnsi="Times New Roman"/>
          <w:iCs/>
          <w:color w:val="000000" w:themeColor="text1"/>
          <w:sz w:val="16"/>
          <w:szCs w:val="16"/>
          <w:u w:val="single"/>
        </w:rPr>
        <w:t>лично</w:t>
      </w:r>
      <w:r w:rsidRPr="00E93F40">
        <w:rPr>
          <w:rFonts w:ascii="Times New Roman" w:hAnsi="Times New Roman"/>
          <w:iCs/>
          <w:color w:val="000000" w:themeColor="text1"/>
          <w:sz w:val="16"/>
          <w:szCs w:val="16"/>
        </w:rPr>
        <w:t xml:space="preserve">). Кроме того дать почитать </w:t>
      </w:r>
      <w:r w:rsidRPr="00E93F40">
        <w:rPr>
          <w:rFonts w:ascii="Times New Roman" w:hAnsi="Times New Roman"/>
          <w:iCs/>
          <w:color w:val="000000" w:themeColor="text1"/>
          <w:sz w:val="16"/>
          <w:szCs w:val="16"/>
          <w:u w:val="single"/>
        </w:rPr>
        <w:t>Карахану</w:t>
      </w:r>
      <w:r w:rsidRPr="00E93F40">
        <w:rPr>
          <w:rFonts w:ascii="Times New Roman" w:hAnsi="Times New Roman"/>
          <w:iCs/>
          <w:color w:val="000000" w:themeColor="text1"/>
          <w:sz w:val="16"/>
          <w:szCs w:val="16"/>
        </w:rPr>
        <w:t>.</w:t>
      </w:r>
    </w:p>
    <w:p w14:paraId="3E4098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продолжительной агентурной разработки, ЭКУ ОГПУ раскрыта крупная шпионско-диверсионная организация Японского Генерального Штаба, по всем данным являющаяся центральным нелегальным аппаратом японцев на территории Союза.</w:t>
      </w:r>
    </w:p>
    <w:p w14:paraId="4F2B0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Арестовано 25 человек – членов организации, в прошлом быв. белых офицеров, быв. торговцев, быв. кулаков и проч.; из них уже сознались в шпионской и диверсионной деятельности 11 человек, в том числе и глава организации Молгачев.</w:t>
      </w:r>
    </w:p>
    <w:p w14:paraId="401CB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Организация непосредственно руководилась японскими консулами во Владивостоке – вначале консулом Ватанабе, а затем Ямагуцци и военным агентом в г. Сахалине – Кумазова, а также начальником 2-го Отдела Японского Генштаба Кондо-Мосатане.</w:t>
      </w:r>
    </w:p>
    <w:p w14:paraId="29AB45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Организация действовала под флагом строительной конторы изобретателя Молгачева по механизации трудоемких процессов, заключая договора с хозорганами на устройство подвесных дорог, прокладывание трасс и просек в непосредственной близости к границам. По предварительному подсчету руководителем организации – Молгачевым – заключено договоров на сумму до 150 миллионов рублей. Договора выполнены на 15-20 %.</w:t>
      </w:r>
    </w:p>
    <w:p w14:paraId="2A975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Организация распространила свою работу почти по всей Маньчжурской границе, в приграничной полосе Казахстана на города: Ленинград, Москву, Астрахань, Баку, Майкоп, район Кузбасса, часть Украины, а также на ряд районов у польской границы. Центральным плацдармом деятельности организации являлся Дальний Восток, на котором шпионской и диверсионной работой охвачены 21 пункт.</w:t>
      </w:r>
    </w:p>
    <w:p w14:paraId="0A3AD4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организации представляет важнейшую составную часть японских планов по подготовке интервенции против Союза и должна была непосредственно обеспечить осуществление при открытии военных действии широко задуманного стратегического плана нападения войск на Советский Дальний Восток со стороны 3-х районов: Южный Сахалин, Северную Корею и Северную Маньчжурию.</w:t>
      </w:r>
    </w:p>
    <w:p w14:paraId="0DEC0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диверсионный план действия организации входило разрушение железнодорожных путей и мостов, в частности мостов крупнейшего стратегического значения: Амурский мост, Зейский мост, Уссурийский мост, Бурейский мост, через реку Левуха, мост через реку Раковку. Были намечены к разрушению тоннели в районе Владивостока, Дальзавод с доками, портовые сооружения, аэродром, электростанции Владивостока, радиостанции.</w:t>
      </w:r>
    </w:p>
    <w:p w14:paraId="327901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открытии венных действий диверсанты имели прямые поручения прервать всякую связь Владивостока с Хабаровском и другими пунктами.</w:t>
      </w:r>
    </w:p>
    <w:p w14:paraId="672A34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Членами организации осуществлено два диверсионных акта: поджог в 1929 г. складов Госрыбтреста во Владивостоке и поджог в 1930 г. большого склада машинных частей Госпароходства в гор. Благовещенске на Амуре, причинивших миллионные убытки.</w:t>
      </w:r>
    </w:p>
    <w:p w14:paraId="5932B7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Эти акты были произведены в виде пробного испытания для определения действенности низовой ячейки организации и проверки, удастся ли произвести диверсионные акты безнаказанно.</w:t>
      </w:r>
    </w:p>
    <w:p w14:paraId="09C3B6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организации проводили в самых широких размерах, по непосредственным заданиям Японского Генштаба, военный, политический и экономический шпионаж, непосредственно связанный с подготовкой военных мероприятий Японии против СССР. Членами организации были добыты и переданы японцам совершенно секретные географические карты (одноверстки, двухверстки) приграничных районов. По заданиям японцев производились топографические съемки важнейших стратегических пунктов, были составлены карты наиболее крупных промышленных пунктов, с расположенными вблизи заводами, доками, портами. Членами организации производилось фотографирование мостов и сооружений военного значения. Организация широко собирала сведения о политических настроениях рабочих, о положении спецпереселенцев, продовольственном положении, положении с зарплатой, сведения о конском составе, мясном и тягловом поголовье, об обеспеченности предприятий оборонного значения металлом, ходе выполнения промфинплана на предприятиях военного значения.</w:t>
      </w:r>
    </w:p>
    <w:p w14:paraId="3446E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этого, организация осуществляла под предлогом проведения строительных работ для хозорганов прокладку трасс, устройство просек в пограничных районах, что делало проходимыми для японских войск стратегических пунктов (районы: Сидими, Суражевка, Гродеково и проч.).</w:t>
      </w:r>
    </w:p>
    <w:p w14:paraId="1F75A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Произведенной Штабом РККА экспертизой сведений, переданных членами организации японцам, установлено, что шпионаж, осуществлявшийся организацией, причинил огромный ущерб делу обороны ДВК, а осуществление диверсионного плана должно было создать исключительные затруднения при отражении нападения японских войск.</w:t>
      </w:r>
    </w:p>
    <w:p w14:paraId="00E8DD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этого Штаба РККА указал на совпадение с его данными показаний обвиняемых о главных направлениях движения японских войск на ДВК при начале военных действий в СССР.</w:t>
      </w:r>
    </w:p>
    <w:p w14:paraId="00852E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Приводим выдержки из экспертизы Штаба РККА:</w:t>
      </w:r>
    </w:p>
    <w:p w14:paraId="1048F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уже переданных материалов по району Суражевка – г. Свободный Уссурийской ж. д. и подготовленных диверсионных актов в этом районе имеет исключительно важное военное значение в обороне ДВК для нас, так как с выходом японцев по Сунгари на Тихонькая – актом диверсии обеспечивается первый фланг действующих войск на коммуникации Сунгари. Взрыв величайшего в СССР Амурского моста у Хабаровска создает чрезвычайные затруднения в операциях Красной Армии.”</w:t>
      </w:r>
    </w:p>
    <w:p w14:paraId="5B654D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далее:</w:t>
      </w:r>
    </w:p>
    <w:p w14:paraId="585D7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шпионско-диверсионной организации по ДВК разработан с таким расчетом, что приведение его в исполнение ставит Д. В. Край, благодаря его географическим особенностям, в своей большей части (Уссурийский край, часть Амурской области и Сев. Сахалин) – в положение военной добычи японцам”.</w:t>
      </w:r>
    </w:p>
    <w:p w14:paraId="155781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Следствие продолжается форсированным темпом.</w:t>
      </w:r>
    </w:p>
    <w:p w14:paraId="591A12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сем прилагается сведения об арестованных.</w:t>
      </w:r>
    </w:p>
    <w:p w14:paraId="584DF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Пред. ОГПУ Прокофьев</w:t>
      </w:r>
    </w:p>
    <w:p w14:paraId="42B0C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 ЭКУ ОГПУ Миронов </w:t>
      </w:r>
    </w:p>
    <w:p w14:paraId="12DB7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РФ, ф.3, оп.58, д.240, л.141-144 (11462).</w:t>
      </w:r>
    </w:p>
    <w:p w14:paraId="08B9B6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3D39C5" w14:textId="77777777" w:rsidR="00C43A0E" w:rsidRPr="00E93F40" w:rsidRDefault="00C43A0E"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26 ноября 1932 вышло постановление № 1486/442сс РЗ СТО или КО (№ 1810/ко от 28.11.1932 г.) - О порядке снабжения материалами, инструментом, оборудованием и выполнения заказов Особого технического бюро НКВД (21564).</w:t>
      </w:r>
    </w:p>
    <w:p w14:paraId="1FDE1F1F" w14:textId="708D8D28" w:rsidR="00C43A0E" w:rsidRPr="00E93F40" w:rsidRDefault="00C43A0E" w:rsidP="00E93F40">
      <w:pPr>
        <w:spacing w:after="0" w:line="240" w:lineRule="auto"/>
        <w:jc w:val="both"/>
        <w:rPr>
          <w:rFonts w:ascii="Times New Roman" w:hAnsi="Times New Roman"/>
          <w:color w:val="000000" w:themeColor="text1"/>
          <w:sz w:val="16"/>
          <w:szCs w:val="16"/>
        </w:rPr>
      </w:pPr>
    </w:p>
    <w:p w14:paraId="016D2083" w14:textId="4DBD3021" w:rsidR="00C43A0E" w:rsidRPr="00E93F40" w:rsidRDefault="00C43A0E" w:rsidP="00E93F40">
      <w:pPr>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4EBDC140" w14:textId="77777777" w:rsidR="00C43A0E" w:rsidRPr="00E93F40" w:rsidRDefault="00C43A0E" w:rsidP="00E93F40">
      <w:pPr>
        <w:spacing w:after="0" w:line="240" w:lineRule="auto"/>
        <w:jc w:val="both"/>
        <w:rPr>
          <w:rFonts w:ascii="Times New Roman" w:hAnsi="Times New Roman"/>
          <w:i/>
          <w:iCs/>
          <w:color w:val="000000" w:themeColor="text1"/>
          <w:sz w:val="16"/>
          <w:szCs w:val="16"/>
        </w:rPr>
      </w:pPr>
    </w:p>
    <w:p w14:paraId="2C925767" w14:textId="05895A89"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ноября 1932 года — первый полёт пассажирского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Bratu 220.</w:t>
      </w:r>
    </w:p>
    <w:p w14:paraId="052FD20E" w14:textId="0BFFC80B"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1928 году инженер из Румынии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Ромулус Брату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(Romulus Bratu), работавший во Франции, смог убедить правительство страны профинансировать его проект авиалайнера. Была образована компания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Bratu, приглашены инженеры и работа над Bratu 220 началась.</w:t>
      </w:r>
    </w:p>
    <w:p w14:paraId="169A0914" w14:textId="4BADCAE8"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Самолёт был построен полностью из дерева и представлял собой высокоплан с неубирающимся шасси.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Оригинальная конструкция силовой установки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 × двигатель Gnome et Rhône 9A в носовой части + 2 × Gnome et Rhône 5K Titan в тандеме над фюзеляжем. Должен был брать на борт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пассажиров. Крейсерская скорость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170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 дальность полёта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w:t>
      </w:r>
    </w:p>
    <w:p w14:paraId="2E5AFB44" w14:textId="7B33E4C5"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Bratu 220 затянулась и правительство потеряло к нему интерес. Финансирование прекратили и проект был свёрнут.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Единственный прототип Bratu 220 в июне 1933 года повредил двигатель при посадке. Восстанавливать самолёт не стали и он был разобран. Другие проекты Брату финансирования не получили (22300).</w:t>
      </w:r>
    </w:p>
    <w:p w14:paraId="73661F9D" w14:textId="77777777" w:rsidR="00C43A0E" w:rsidRPr="00E93F40" w:rsidRDefault="00C43A0E" w:rsidP="00E93F40">
      <w:pPr>
        <w:spacing w:after="0" w:line="240" w:lineRule="auto"/>
        <w:jc w:val="both"/>
        <w:rPr>
          <w:rFonts w:ascii="Times New Roman" w:hAnsi="Times New Roman"/>
          <w:color w:val="000000" w:themeColor="text1"/>
          <w:sz w:val="16"/>
          <w:szCs w:val="16"/>
        </w:rPr>
      </w:pPr>
    </w:p>
    <w:p w14:paraId="5798F14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16E188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AFA8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ноября 1932 состоялось совещание по вопросу облегчения веса ТБ-3 (АНТ-6) и приняли перечень, одобренный заводом и ЦАГИ (1077,126).</w:t>
      </w:r>
    </w:p>
    <w:p w14:paraId="48E76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E37B20" w14:textId="77777777" w:rsidR="00746D3C" w:rsidRPr="00E93F40" w:rsidRDefault="00746D3C" w:rsidP="00E93F40">
      <w:pPr>
        <w:pStyle w:val="a3"/>
        <w:rPr>
          <w:color w:val="000000" w:themeColor="text1"/>
          <w:lang w:val="ru-RU"/>
        </w:rPr>
      </w:pPr>
      <w:r w:rsidRPr="00E93F40">
        <w:rPr>
          <w:color w:val="000000" w:themeColor="text1"/>
          <w:lang w:val="ru-RU"/>
        </w:rPr>
        <w:t>27 ноября 1932 г. Вахмистров подал на имя М.Н. Тухачевского докладную запи</w:t>
      </w:r>
      <w:r w:rsidRPr="00E93F40">
        <w:rPr>
          <w:color w:val="000000" w:themeColor="text1"/>
          <w:lang w:val="ru-RU"/>
        </w:rPr>
        <w:softHyphen/>
        <w:t>ску, в которой предлагал использовать ТБ-3. Но производство этих машин раз</w:t>
      </w:r>
      <w:r w:rsidRPr="00E93F40">
        <w:rPr>
          <w:color w:val="000000" w:themeColor="text1"/>
          <w:lang w:val="ru-RU"/>
        </w:rPr>
        <w:softHyphen/>
        <w:t>ворачивалось медленно и получить для экспериментов четырехмоторный гигант удалось только через полгода.</w:t>
      </w:r>
    </w:p>
    <w:p w14:paraId="61F77A14" w14:textId="77777777" w:rsidR="00746D3C" w:rsidRPr="00E93F40" w:rsidRDefault="00746D3C" w:rsidP="00E93F40">
      <w:pPr>
        <w:pStyle w:val="a3"/>
        <w:rPr>
          <w:color w:val="000000" w:themeColor="text1"/>
          <w:lang w:val="ru-RU"/>
        </w:rPr>
      </w:pPr>
      <w:r w:rsidRPr="00E93F40">
        <w:rPr>
          <w:color w:val="000000" w:themeColor="text1"/>
          <w:lang w:val="ru-RU"/>
        </w:rPr>
        <w:t>Вахмистров же проработал несколько вариантов размещения истребителей на ТБ-3. Например, сохранился чертеж, где бомбардировщик несет пять бипланов И-5: четыре стоят на крыле, а пятый - на фюзеляже. Существовал проект с уста</w:t>
      </w:r>
      <w:r w:rsidRPr="00E93F40">
        <w:rPr>
          <w:color w:val="000000" w:themeColor="text1"/>
          <w:lang w:val="ru-RU"/>
        </w:rPr>
        <w:softHyphen/>
        <w:t>новкой двух И-5 на крыле и подвеской двух монопланов И-Зет под ним. Но оста</w:t>
      </w:r>
      <w:r w:rsidRPr="00E93F40">
        <w:rPr>
          <w:color w:val="000000" w:themeColor="text1"/>
          <w:lang w:val="ru-RU"/>
        </w:rPr>
        <w:softHyphen/>
        <w:t>новился конструктор на комплекте из трех истребителей И-5: два на крыле и один - сверху на фюзеляже за кабиной летчиков. На плоскостях узлы крепления монтировались на консолях сразу же за внешними моторами. Взлетный вес со всеми истребителями увеличивался при</w:t>
      </w:r>
      <w:r w:rsidRPr="00E93F40">
        <w:rPr>
          <w:color w:val="000000" w:themeColor="text1"/>
          <w:lang w:val="ru-RU"/>
        </w:rPr>
        <w:softHyphen/>
        <w:t>мерно на 2500 кг и доходил до 19625 кг. Этот проект был назван «Звено-2». Вари</w:t>
      </w:r>
      <w:r w:rsidRPr="00E93F40">
        <w:rPr>
          <w:color w:val="000000" w:themeColor="text1"/>
          <w:lang w:val="ru-RU"/>
        </w:rPr>
        <w:softHyphen/>
        <w:t>ациями его являлись «Звено-2а» (с двумя И-5 на крыле) и «Звено-2б» (только с од</w:t>
      </w:r>
      <w:r w:rsidRPr="00E93F40">
        <w:rPr>
          <w:color w:val="000000" w:themeColor="text1"/>
          <w:lang w:val="ru-RU"/>
        </w:rPr>
        <w:softHyphen/>
        <w:t>ним на фюзеляже) (17741).</w:t>
      </w:r>
    </w:p>
    <w:p w14:paraId="6E132A0E"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p>
    <w:p w14:paraId="70413E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ноября 1932 года Алкснис писал письмо Зильберту, Хорькову, Жарову.</w:t>
      </w:r>
    </w:p>
    <w:p w14:paraId="11FF8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Мы имеем большой и интересный план опытного строительства. Помимо плана конструируется и строится целый ряд объектов по нашим заданиям различными организациями, основанных на новых принципах (паровые турбины, авиадвигатели на тяжелом топливе, ракетные двигатели и т.д. и т.п.) по всем отраслям строительства воздушного флота. Руководство и наблюдение по существующему положению возложено целиком и полностью на НИИ и он за это дело ответственен.</w:t>
      </w:r>
    </w:p>
    <w:p w14:paraId="134EC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мне думается, что было бы чрезвычайно полезно и прямо-таки необходимо, чтобы и ВВА участвовала в этом деле своей адъюнктурой и преподавательским составом. (3029,67).</w:t>
      </w:r>
    </w:p>
    <w:p w14:paraId="50697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CB723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FE8FBE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8156E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ноября 1932 г. было подготовлено письмо Начальнику УММ РККА</w:t>
      </w:r>
    </w:p>
    <w:p w14:paraId="092C5A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проекте самоходной пушки Курчевского большой и осо</w:t>
      </w:r>
      <w:r w:rsidRPr="00E93F40">
        <w:rPr>
          <w:rFonts w:ascii="Times New Roman" w:hAnsi="Times New Roman"/>
          <w:color w:val="000000" w:themeColor="text1"/>
          <w:sz w:val="16"/>
          <w:szCs w:val="16"/>
        </w:rPr>
        <w:softHyphen/>
        <w:t>бой мощности</w:t>
      </w:r>
    </w:p>
    <w:p w14:paraId="058AFA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Выполняя ваше пожелание о скорейшем создании са</w:t>
      </w:r>
      <w:r w:rsidRPr="00E93F40">
        <w:rPr>
          <w:rFonts w:ascii="Times New Roman" w:hAnsi="Times New Roman"/>
          <w:color w:val="000000" w:themeColor="text1"/>
          <w:sz w:val="16"/>
          <w:szCs w:val="16"/>
        </w:rPr>
        <w:softHyphen/>
        <w:t>моходной пушки большой или особой мощности, имею со</w:t>
      </w:r>
      <w:r w:rsidRPr="00E93F40">
        <w:rPr>
          <w:rFonts w:ascii="Times New Roman" w:hAnsi="Times New Roman"/>
          <w:color w:val="000000" w:themeColor="text1"/>
          <w:sz w:val="16"/>
          <w:szCs w:val="16"/>
        </w:rPr>
        <w:softHyphen/>
        <w:t>общить следующее... Проект пушки указанного типа вы</w:t>
      </w:r>
      <w:r w:rsidRPr="00E93F40">
        <w:rPr>
          <w:rFonts w:ascii="Times New Roman" w:hAnsi="Times New Roman"/>
          <w:color w:val="000000" w:themeColor="text1"/>
          <w:sz w:val="16"/>
          <w:szCs w:val="16"/>
        </w:rPr>
        <w:softHyphen/>
        <w:t>полнены, начиная со следующего месяца готовы начать из</w:t>
      </w:r>
      <w:r w:rsidRPr="00E93F40">
        <w:rPr>
          <w:rFonts w:ascii="Times New Roman" w:hAnsi="Times New Roman"/>
          <w:color w:val="000000" w:themeColor="text1"/>
          <w:sz w:val="16"/>
          <w:szCs w:val="16"/>
        </w:rPr>
        <w:softHyphen/>
        <w:t>готовление опытного образца.</w:t>
      </w:r>
    </w:p>
    <w:p w14:paraId="3FB36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изготовления самоходного станка под 203 — 305-мм опытную САУ инж Курчевского, нам необходимо получить части автомобиля «Форд -АА» согласно прилагаемого спис</w:t>
      </w:r>
      <w:r w:rsidRPr="00E93F40">
        <w:rPr>
          <w:rFonts w:ascii="Times New Roman" w:hAnsi="Times New Roman"/>
          <w:color w:val="000000" w:themeColor="text1"/>
          <w:sz w:val="16"/>
          <w:szCs w:val="16"/>
        </w:rPr>
        <w:softHyphen/>
        <w:t>ка. Просим вас предоставить указанные части в срок не позд</w:t>
      </w:r>
      <w:r w:rsidRPr="00E93F40">
        <w:rPr>
          <w:rFonts w:ascii="Times New Roman" w:hAnsi="Times New Roman"/>
          <w:color w:val="000000" w:themeColor="text1"/>
          <w:sz w:val="16"/>
          <w:szCs w:val="16"/>
        </w:rPr>
        <w:softHyphen/>
        <w:t>нее 20 дней с момента получения настоящего письма-Наумов ......................(11417).</w:t>
      </w:r>
    </w:p>
    <w:p w14:paraId="60C652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5C01B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BBB8C0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4F880C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ноября 1932 Сталин объяснил проблемы с голодом на Украине проникновением в колхозы саботажников (4962).</w:t>
      </w:r>
    </w:p>
    <w:p w14:paraId="1C7112A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E591FF" w14:textId="77777777" w:rsidR="00F41990" w:rsidRPr="00E93F40" w:rsidRDefault="00F4199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A1EAABE" w14:textId="77777777" w:rsidR="00F41990" w:rsidRPr="00E93F40" w:rsidRDefault="00F4199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5892352" w14:textId="77777777" w:rsidR="00F41990" w:rsidRPr="00E93F40" w:rsidRDefault="00F41990"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28 ноября 1932 завершили полеты на испытаниях АИР-6. В «Заключении о результатах испытаний» отметили: «Самолет в основном соответствует техническому заданию, нетребователен в эксплуатации и удобен для транспортировки, по летным данным удовлетворяет требованиям с превышением в части максимальной скорости и потолка. Длины разбега и пробега хуже заданных, но требование о размерах площадки выполнено.</w:t>
      </w:r>
    </w:p>
    <w:p w14:paraId="591CFAFF" w14:textId="77777777" w:rsidR="00F41990" w:rsidRPr="00E93F40" w:rsidRDefault="00F41990"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Самолет имеет простую конструкцию и дает удачное решение задачи наибольшей простоты, удобства и дешевизны в серийном производстве, легко допускает возможность кооперирования при постройке путем применения полуфабрикатов, отдельных деталей и целых агрегатов с других самолетов...</w:t>
      </w:r>
    </w:p>
    <w:p w14:paraId="47D5EC4B" w14:textId="77777777" w:rsidR="00F41990" w:rsidRPr="00E93F40" w:rsidRDefault="00F41990" w:rsidP="00E93F40">
      <w:pPr>
        <w:pStyle w:val="a8"/>
        <w:jc w:val="both"/>
        <w:rPr>
          <w:rFonts w:ascii="Times New Roman" w:hAnsi="Times New Roman" w:cs="Times New Roman"/>
          <w:color w:val="000000" w:themeColor="text1"/>
        </w:rPr>
      </w:pPr>
      <w:r w:rsidRPr="00E93F40">
        <w:rPr>
          <w:rFonts w:ascii="Times New Roman" w:hAnsi="Times New Roman" w:cs="Times New Roman"/>
          <w:color w:val="000000" w:themeColor="text1"/>
        </w:rPr>
        <w:t>Сравнение с зарубежными самолетами- лимузинами с двигателями мощностью 100 л.с. показывает что АИР-6 по своим характеристикам стоит на уровне современных европейских самолетов. В целом АИР-6 удовлетворительно решает задачу создания самолета массового применения» (19099).</w:t>
      </w:r>
    </w:p>
    <w:p w14:paraId="74D6C30C" w14:textId="77777777" w:rsidR="00F41990" w:rsidRPr="00E93F40" w:rsidRDefault="00F41990" w:rsidP="00E93F40">
      <w:pPr>
        <w:pStyle w:val="a8"/>
        <w:jc w:val="both"/>
        <w:rPr>
          <w:rFonts w:ascii="Times New Roman" w:hAnsi="Times New Roman" w:cs="Times New Roman"/>
          <w:color w:val="000000" w:themeColor="text1"/>
        </w:rPr>
      </w:pPr>
    </w:p>
    <w:p w14:paraId="43FD39A7"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ноября 1932 завершились испытательные полеты на АИР-6. В «За</w:t>
      </w:r>
      <w:r w:rsidRPr="00142305">
        <w:rPr>
          <w:rFonts w:ascii="Times New Roman" w:hAnsi="Times New Roman"/>
          <w:color w:val="0070C0"/>
          <w:sz w:val="16"/>
          <w:szCs w:val="16"/>
        </w:rPr>
        <w:softHyphen/>
        <w:t>ключении о результатах испытаний» отметили: «Самолет в основном соот</w:t>
      </w:r>
      <w:r w:rsidRPr="00142305">
        <w:rPr>
          <w:rFonts w:ascii="Times New Roman" w:hAnsi="Times New Roman"/>
          <w:color w:val="0070C0"/>
          <w:sz w:val="16"/>
          <w:szCs w:val="16"/>
        </w:rPr>
        <w:softHyphen/>
        <w:t>ветствует техническому заданию, не</w:t>
      </w:r>
      <w:r w:rsidRPr="00142305">
        <w:rPr>
          <w:rFonts w:ascii="Times New Roman" w:hAnsi="Times New Roman"/>
          <w:color w:val="0070C0"/>
          <w:sz w:val="16"/>
          <w:szCs w:val="16"/>
        </w:rPr>
        <w:softHyphen/>
        <w:t>требователен в эксплуатации и удобен для транспортировки, по летным данным удовлетворяет требованиям с превыше</w:t>
      </w:r>
      <w:r w:rsidRPr="00142305">
        <w:rPr>
          <w:rFonts w:ascii="Times New Roman" w:hAnsi="Times New Roman"/>
          <w:color w:val="0070C0"/>
          <w:sz w:val="16"/>
          <w:szCs w:val="16"/>
        </w:rPr>
        <w:softHyphen/>
        <w:t>нием в части максимальной скорости и потолка. Длины разбега и пробега хуже заданных, но требование о размерах пло</w:t>
      </w:r>
      <w:r w:rsidRPr="00142305">
        <w:rPr>
          <w:rFonts w:ascii="Times New Roman" w:hAnsi="Times New Roman"/>
          <w:color w:val="0070C0"/>
          <w:sz w:val="16"/>
          <w:szCs w:val="16"/>
        </w:rPr>
        <w:softHyphen/>
        <w:t>щадки выполнено.</w:t>
      </w:r>
    </w:p>
    <w:p w14:paraId="64998818"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имеет простую конструкцию и дает удачное решение задачи наиболь</w:t>
      </w:r>
      <w:r w:rsidRPr="00142305">
        <w:rPr>
          <w:rFonts w:ascii="Times New Roman" w:hAnsi="Times New Roman"/>
          <w:color w:val="0070C0"/>
          <w:sz w:val="16"/>
          <w:szCs w:val="16"/>
        </w:rPr>
        <w:softHyphen/>
        <w:t>шей простоты, удобства и дешевизны в серийном производстве, легко допускает возможность кооперирования при пост</w:t>
      </w:r>
      <w:r w:rsidRPr="00142305">
        <w:rPr>
          <w:rFonts w:ascii="Times New Roman" w:hAnsi="Times New Roman"/>
          <w:color w:val="0070C0"/>
          <w:sz w:val="16"/>
          <w:szCs w:val="16"/>
        </w:rPr>
        <w:softHyphen/>
        <w:t>ройке путем применения полуфабрика</w:t>
      </w:r>
      <w:r w:rsidRPr="00142305">
        <w:rPr>
          <w:rFonts w:ascii="Times New Roman" w:hAnsi="Times New Roman"/>
          <w:color w:val="0070C0"/>
          <w:sz w:val="16"/>
          <w:szCs w:val="16"/>
        </w:rPr>
        <w:softHyphen/>
        <w:t>тов, отдельных деталей и целых агрега</w:t>
      </w:r>
      <w:r w:rsidRPr="00142305">
        <w:rPr>
          <w:rFonts w:ascii="Times New Roman" w:hAnsi="Times New Roman"/>
          <w:color w:val="0070C0"/>
          <w:sz w:val="16"/>
          <w:szCs w:val="16"/>
        </w:rPr>
        <w:softHyphen/>
        <w:t>тов с других самолетов...</w:t>
      </w:r>
    </w:p>
    <w:p w14:paraId="7106E50C"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Сравнение с зарубежными самолетами- лимузинами с двигателями мощностью 100 л.с. показывает что АИР-6 по своим характеристикам стоит на уровне совре</w:t>
      </w:r>
      <w:r w:rsidRPr="00142305">
        <w:rPr>
          <w:rFonts w:ascii="Times New Roman" w:hAnsi="Times New Roman"/>
          <w:color w:val="0070C0"/>
          <w:sz w:val="16"/>
          <w:szCs w:val="16"/>
        </w:rPr>
        <w:softHyphen/>
        <w:t>менных европейских самолетов. В целом АИР-6 удовлетворительно решает задачу создания самолета массового примене</w:t>
      </w:r>
      <w:r w:rsidRPr="00142305">
        <w:rPr>
          <w:rFonts w:ascii="Times New Roman" w:hAnsi="Times New Roman"/>
          <w:color w:val="0070C0"/>
          <w:sz w:val="16"/>
          <w:szCs w:val="16"/>
        </w:rPr>
        <w:softHyphen/>
        <w:t>ния» (24945).</w:t>
      </w:r>
    </w:p>
    <w:p w14:paraId="308DDF84" w14:textId="77777777" w:rsidR="00D33067" w:rsidRPr="00142305" w:rsidRDefault="00D33067" w:rsidP="00D33067">
      <w:pPr>
        <w:spacing w:after="0" w:line="240" w:lineRule="auto"/>
        <w:jc w:val="both"/>
        <w:rPr>
          <w:rFonts w:ascii="Times New Roman" w:hAnsi="Times New Roman"/>
          <w:color w:val="0070C0"/>
          <w:sz w:val="16"/>
          <w:szCs w:val="16"/>
        </w:rPr>
      </w:pPr>
    </w:p>
    <w:p w14:paraId="6E05A05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8E5028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49F7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ноября 1932 в Воронеже вышла Секретная телеграмма И.Варейкиса И.Сталину: "Хлебозаготовки продвигаются очень туго и медленно; мне кажется, что по единоличному сектору, а в некоторых районах и по колхозному, план хлебозаготовок мы не выполним... Главная задача в данный момент заключается в том, чтобы обеспечить выполнение плана и взять все, что можно у колхозов и в единоличном секторе". Там же Варейкис оправдывался перед И.Сталиным за то, что не может обеспечить быстрый сбор требуемого количества продовольствия в ЦЧО. В свою защиту первый секретарь обкома писал, что будет стремиться собрать в области столько продовольствия, сколько это вообще возможно (10687).</w:t>
      </w:r>
    </w:p>
    <w:p w14:paraId="65F354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00044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2B1348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3399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ноября 1932 состоялось совещание в ЦАГИ по вопросу внедрения в серию ТБ-4 и Ми-3 (1077,175).</w:t>
      </w:r>
    </w:p>
    <w:p w14:paraId="22A43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252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ноября 1932 года Алкснис писал письмо N У1/0010 председателю РВС.</w:t>
      </w:r>
    </w:p>
    <w:p w14:paraId="369770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Представляя при сем на утверждение план работ особого конструкторско-производственного бюро ВВС на 1933 год, смету и перечень других мероприятий, необходимых для осуществления плана докладываю:</w:t>
      </w:r>
    </w:p>
    <w:p w14:paraId="6ABE5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плана работ ОСКОНПРОБЮРО, представленный Гроховским включал 48 объектов при смете 5255027 руб. И постоянном штате военнослужащих в 384 человека.</w:t>
      </w:r>
    </w:p>
    <w:p w14:paraId="229B6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трехдневного обсуждения представленных проектов плана, сметы и штатов с привлечением для работы в комиссиях специалистов из НИИ ВВС, ВВА, ЦАГИ, ВОХИМУ, Военсанупра, а также представителей ПУРККА и Инспекции ВВС, представляю на утверждение следующие предложения:</w:t>
      </w:r>
    </w:p>
    <w:p w14:paraId="3E1974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Оставить в плане ОСКОНПРОБЮРО ВВС на 1933 год 45 объектов, согласно приложения. Из этих 45 объектов все, кроме _Воздушного корабля-триплана_ никаких сомнений и возражений ни у кого не вызывают.</w:t>
      </w:r>
    </w:p>
    <w:p w14:paraId="71A7C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Предложения Гроховского по триплану имеют следующие возражения технической экспертизы:</w:t>
      </w:r>
    </w:p>
    <w:p w14:paraId="4C3A7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схема самолета аэродинамически невыгодна;</w:t>
      </w:r>
    </w:p>
    <w:p w14:paraId="793D8C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благодаря большому скручивающему моменту фюзеляж должен быть очень прочным и тяжелым;</w:t>
      </w:r>
    </w:p>
    <w:p w14:paraId="49465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продольная устойчивость корабля будет неудовлетворительной;</w:t>
      </w:r>
    </w:p>
    <w:p w14:paraId="2B0D0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неизбежно возникновение в полете опасных вибраций.</w:t>
      </w:r>
    </w:p>
    <w:p w14:paraId="2F1EE6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считаю, что корабль триплан по проекту Гроховского построить необходимо, осуществив сперва постройку и испытание модели, затем планера и только после получения положительных результатов испытаний, приступить к постройке самолета.</w:t>
      </w:r>
    </w:p>
    <w:p w14:paraId="4F759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Утвердить отпуск средств в размере 4000000 руб.</w:t>
      </w:r>
    </w:p>
    <w:p w14:paraId="6D1D6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Утвердить штат военнослужащих ОСКОНПРОБЮРО в 180 человек против существующего штата в 44 человека с тем, что в пределах отпущенных сумм будут использованы вольнонаемные сотрудники.</w:t>
      </w:r>
    </w:p>
    <w:p w14:paraId="1C222A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 работ ОСКОНПРОБЮРО ВВС на 1933 год</w:t>
      </w:r>
    </w:p>
    <w:p w14:paraId="65BFD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1-му отделу (самолетно-планерный)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DA227A" w:rsidRPr="00E93F40" w14:paraId="0E72B9A3" w14:textId="77777777">
        <w:tc>
          <w:tcPr>
            <w:tcW w:w="3794" w:type="dxa"/>
          </w:tcPr>
          <w:p w14:paraId="0CAB99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E3DA8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Буксируемая бронекабина (Г-35)</w:t>
            </w:r>
          </w:p>
        </w:tc>
      </w:tr>
      <w:tr w:rsidR="00DA227A" w:rsidRPr="00E93F40" w14:paraId="718ACC57" w14:textId="77777777">
        <w:tc>
          <w:tcPr>
            <w:tcW w:w="3794" w:type="dxa"/>
          </w:tcPr>
          <w:p w14:paraId="62484E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Цель и основные такт. Условия</w:t>
            </w:r>
          </w:p>
        </w:tc>
        <w:tc>
          <w:tcPr>
            <w:tcW w:w="5245" w:type="dxa"/>
          </w:tcPr>
          <w:p w14:paraId="0AF845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Бронекабина буксируется самолетом ТБ-1 на</w:t>
            </w:r>
          </w:p>
        </w:tc>
      </w:tr>
      <w:tr w:rsidR="00DA227A" w:rsidRPr="00E93F40" w14:paraId="02362EEE" w14:textId="77777777">
        <w:tc>
          <w:tcPr>
            <w:tcW w:w="3794" w:type="dxa"/>
          </w:tcPr>
          <w:p w14:paraId="74CE1C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2BB7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тросе с провисанием до 500 м и предназначена</w:t>
            </w:r>
          </w:p>
        </w:tc>
      </w:tr>
      <w:tr w:rsidR="00DA227A" w:rsidRPr="00E93F40" w14:paraId="5FD53B5A" w14:textId="77777777">
        <w:tc>
          <w:tcPr>
            <w:tcW w:w="3794" w:type="dxa"/>
          </w:tcPr>
          <w:p w14:paraId="73B30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366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фотосъемки, корректировки стрельбы и</w:t>
            </w:r>
          </w:p>
        </w:tc>
      </w:tr>
      <w:tr w:rsidR="00DA227A" w:rsidRPr="00E93F40" w14:paraId="4484B8E1" w14:textId="77777777">
        <w:tc>
          <w:tcPr>
            <w:tcW w:w="3794" w:type="dxa"/>
          </w:tcPr>
          <w:p w14:paraId="1252E6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535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бомбометания самолета, идущего за облаками, в </w:t>
            </w:r>
          </w:p>
        </w:tc>
      </w:tr>
      <w:tr w:rsidR="00DA227A" w:rsidRPr="00E93F40" w14:paraId="2EEF2124" w14:textId="77777777">
        <w:tc>
          <w:tcPr>
            <w:tcW w:w="3794" w:type="dxa"/>
          </w:tcPr>
          <w:p w14:paraId="32B567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4FA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облаках и тумане. Вооружена 2 спаренными</w:t>
            </w:r>
          </w:p>
        </w:tc>
      </w:tr>
      <w:tr w:rsidR="00DA227A" w:rsidRPr="00E93F40" w14:paraId="62867B87" w14:textId="77777777">
        <w:tc>
          <w:tcPr>
            <w:tcW w:w="3794" w:type="dxa"/>
          </w:tcPr>
          <w:p w14:paraId="26D725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D55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пулеметами. Имеющееся вооружение дает</w:t>
            </w:r>
          </w:p>
        </w:tc>
      </w:tr>
      <w:tr w:rsidR="00DA227A" w:rsidRPr="00E93F40" w14:paraId="21E82B12" w14:textId="77777777">
        <w:tc>
          <w:tcPr>
            <w:tcW w:w="3794" w:type="dxa"/>
          </w:tcPr>
          <w:p w14:paraId="5C3DE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D5070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 вести самостоятельный огонь</w:t>
            </w:r>
          </w:p>
        </w:tc>
      </w:tr>
      <w:tr w:rsidR="00DA227A" w:rsidRPr="00E93F40" w14:paraId="44F8D2A8" w14:textId="77777777">
        <w:tc>
          <w:tcPr>
            <w:tcW w:w="3794" w:type="dxa"/>
          </w:tcPr>
          <w:p w14:paraId="62C92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9505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строю самолетов противника, по </w:t>
            </w:r>
          </w:p>
        </w:tc>
      </w:tr>
      <w:tr w:rsidR="00DA227A" w:rsidRPr="00E93F40" w14:paraId="473B5A0A" w14:textId="77777777">
        <w:tc>
          <w:tcPr>
            <w:tcW w:w="3794" w:type="dxa"/>
          </w:tcPr>
          <w:p w14:paraId="18B64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45AB7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расположению и движущимся целям. Связь</w:t>
            </w:r>
          </w:p>
        </w:tc>
      </w:tr>
      <w:tr w:rsidR="00DA227A" w:rsidRPr="00E93F40" w14:paraId="3EF2E638" w14:textId="77777777">
        <w:tc>
          <w:tcPr>
            <w:tcW w:w="3794" w:type="dxa"/>
          </w:tcPr>
          <w:p w14:paraId="4AFA0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F03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самолетом осуществляется телефоном.</w:t>
            </w:r>
          </w:p>
        </w:tc>
      </w:tr>
      <w:tr w:rsidR="00DA227A" w:rsidRPr="00E93F40" w14:paraId="739EB157" w14:textId="77777777">
        <w:tc>
          <w:tcPr>
            <w:tcW w:w="3794" w:type="dxa"/>
          </w:tcPr>
          <w:p w14:paraId="0776D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476F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случай аварии - снабжена двойным</w:t>
            </w:r>
          </w:p>
        </w:tc>
      </w:tr>
      <w:tr w:rsidR="00DA227A" w:rsidRPr="00E93F40" w14:paraId="64AE8FEA" w14:textId="77777777">
        <w:tc>
          <w:tcPr>
            <w:tcW w:w="3794" w:type="dxa"/>
          </w:tcPr>
          <w:p w14:paraId="2A063E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93F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парашютом для приземления.</w:t>
            </w:r>
          </w:p>
        </w:tc>
      </w:tr>
      <w:tr w:rsidR="00DA227A" w:rsidRPr="00E93F40" w14:paraId="5113FA83" w14:textId="77777777">
        <w:tc>
          <w:tcPr>
            <w:tcW w:w="3794" w:type="dxa"/>
          </w:tcPr>
          <w:p w14:paraId="17D3E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384884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39000F71" w14:textId="77777777">
        <w:tc>
          <w:tcPr>
            <w:tcW w:w="3794" w:type="dxa"/>
          </w:tcPr>
          <w:p w14:paraId="067E4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34DDB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Воздушный корабль триплан (Г-36)</w:t>
            </w:r>
          </w:p>
        </w:tc>
      </w:tr>
      <w:tr w:rsidR="00DA227A" w:rsidRPr="00E93F40" w14:paraId="606417D8" w14:textId="77777777">
        <w:tc>
          <w:tcPr>
            <w:tcW w:w="3794" w:type="dxa"/>
          </w:tcPr>
          <w:p w14:paraId="525D2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5A03D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Триплан предназначен для переброски в</w:t>
            </w:r>
          </w:p>
        </w:tc>
      </w:tr>
      <w:tr w:rsidR="00DA227A" w:rsidRPr="00E93F40" w14:paraId="179B80C9" w14:textId="77777777">
        <w:tc>
          <w:tcPr>
            <w:tcW w:w="3794" w:type="dxa"/>
          </w:tcPr>
          <w:p w14:paraId="7AF3A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AE9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тыл или на территорию противника ПДО в</w:t>
            </w:r>
          </w:p>
        </w:tc>
      </w:tr>
      <w:tr w:rsidR="00DA227A" w:rsidRPr="00E93F40" w14:paraId="1A65213F" w14:textId="77777777">
        <w:tc>
          <w:tcPr>
            <w:tcW w:w="3794" w:type="dxa"/>
          </w:tcPr>
          <w:p w14:paraId="43A84D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A86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количестве до 50 чел. и может быть</w:t>
            </w:r>
          </w:p>
        </w:tc>
      </w:tr>
      <w:tr w:rsidR="00DA227A" w:rsidRPr="00E93F40" w14:paraId="22214D21" w14:textId="77777777">
        <w:tc>
          <w:tcPr>
            <w:tcW w:w="3794" w:type="dxa"/>
          </w:tcPr>
          <w:p w14:paraId="34B921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D55D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использован как бомбовоз. Корабль</w:t>
            </w:r>
          </w:p>
        </w:tc>
      </w:tr>
      <w:tr w:rsidR="00DA227A" w:rsidRPr="00E93F40" w14:paraId="6641F898" w14:textId="77777777">
        <w:tc>
          <w:tcPr>
            <w:tcW w:w="3794" w:type="dxa"/>
          </w:tcPr>
          <w:p w14:paraId="7298BB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6AD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представляет собой конструкцию</w:t>
            </w:r>
          </w:p>
        </w:tc>
      </w:tr>
      <w:tr w:rsidR="00DA227A" w:rsidRPr="00E93F40" w14:paraId="581720E7" w14:textId="77777777">
        <w:tc>
          <w:tcPr>
            <w:tcW w:w="3794" w:type="dxa"/>
          </w:tcPr>
          <w:p w14:paraId="0BEADB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BE62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соединенных под углом плоскостей,</w:t>
            </w:r>
          </w:p>
        </w:tc>
      </w:tr>
      <w:tr w:rsidR="00DA227A" w:rsidRPr="00E93F40" w14:paraId="0A833653" w14:textId="77777777">
        <w:tc>
          <w:tcPr>
            <w:tcW w:w="3794" w:type="dxa"/>
          </w:tcPr>
          <w:p w14:paraId="0A561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4A935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связанных общим фюзеляжем, и</w:t>
            </w:r>
          </w:p>
        </w:tc>
      </w:tr>
      <w:tr w:rsidR="00DA227A" w:rsidRPr="00E93F40" w14:paraId="6D213CDE" w14:textId="77777777">
        <w:tc>
          <w:tcPr>
            <w:tcW w:w="3794" w:type="dxa"/>
          </w:tcPr>
          <w:p w14:paraId="66C7D0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A954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снабженную 3 моторами по 150 НР каждый.</w:t>
            </w:r>
          </w:p>
        </w:tc>
      </w:tr>
      <w:tr w:rsidR="00DA227A" w:rsidRPr="00E93F40" w14:paraId="2CD0E6BF" w14:textId="77777777">
        <w:tc>
          <w:tcPr>
            <w:tcW w:w="3794" w:type="dxa"/>
          </w:tcPr>
          <w:p w14:paraId="2F2905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3BDA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плоскостях располагаются в спецотделениях</w:t>
            </w:r>
          </w:p>
        </w:tc>
      </w:tr>
      <w:tr w:rsidR="00DA227A" w:rsidRPr="00E93F40" w14:paraId="76093E99" w14:textId="77777777">
        <w:tc>
          <w:tcPr>
            <w:tcW w:w="3794" w:type="dxa"/>
          </w:tcPr>
          <w:p w14:paraId="65310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56D8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бойцы ПДО или бомбы. Вооружение</w:t>
            </w:r>
          </w:p>
        </w:tc>
      </w:tr>
      <w:tr w:rsidR="00DA227A" w:rsidRPr="00E93F40" w14:paraId="220DBD96" w14:textId="77777777">
        <w:tc>
          <w:tcPr>
            <w:tcW w:w="3794" w:type="dxa"/>
          </w:tcPr>
          <w:p w14:paraId="5BB378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F288F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корабля - 3 пулемета на турелях и 1</w:t>
            </w:r>
          </w:p>
        </w:tc>
      </w:tr>
      <w:tr w:rsidR="00DA227A" w:rsidRPr="00E93F40" w14:paraId="291ABF02" w14:textId="77777777">
        <w:tc>
          <w:tcPr>
            <w:tcW w:w="3794" w:type="dxa"/>
          </w:tcPr>
          <w:p w14:paraId="042EE3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E26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реактивная 76 мм пушка, что превращает</w:t>
            </w:r>
          </w:p>
        </w:tc>
      </w:tr>
      <w:tr w:rsidR="00DA227A" w:rsidRPr="00E93F40" w14:paraId="4B0F86B2" w14:textId="77777777">
        <w:tc>
          <w:tcPr>
            <w:tcW w:w="3794" w:type="dxa"/>
          </w:tcPr>
          <w:p w14:paraId="021E70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DE9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его в мощную боевую воздушную единицу.</w:t>
            </w:r>
          </w:p>
        </w:tc>
      </w:tr>
      <w:tr w:rsidR="00DA227A" w:rsidRPr="00E93F40" w14:paraId="453ACC75" w14:textId="77777777">
        <w:tc>
          <w:tcPr>
            <w:tcW w:w="3794" w:type="dxa"/>
          </w:tcPr>
          <w:p w14:paraId="2DAF3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35F9A4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6CF9898E" w14:textId="77777777">
        <w:tc>
          <w:tcPr>
            <w:tcW w:w="3794" w:type="dxa"/>
          </w:tcPr>
          <w:p w14:paraId="7BC282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70223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Универсальное “Летающее крыло” (Г-37)</w:t>
            </w:r>
          </w:p>
        </w:tc>
      </w:tr>
      <w:tr w:rsidR="00DA227A" w:rsidRPr="00E93F40" w14:paraId="69DD2506" w14:textId="77777777">
        <w:tc>
          <w:tcPr>
            <w:tcW w:w="3794" w:type="dxa"/>
          </w:tcPr>
          <w:p w14:paraId="3C1EF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тактические условия</w:t>
            </w:r>
          </w:p>
        </w:tc>
        <w:tc>
          <w:tcPr>
            <w:tcW w:w="5245" w:type="dxa"/>
          </w:tcPr>
          <w:p w14:paraId="0C350A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“Летающее крыло” представляет собой</w:t>
            </w:r>
          </w:p>
        </w:tc>
      </w:tr>
      <w:tr w:rsidR="00DA227A" w:rsidRPr="00E93F40" w14:paraId="6D84F038" w14:textId="77777777">
        <w:tc>
          <w:tcPr>
            <w:tcW w:w="3794" w:type="dxa"/>
          </w:tcPr>
          <w:p w14:paraId="63E250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47E7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ферменную конструкцию, связывающую двумя</w:t>
            </w:r>
          </w:p>
        </w:tc>
      </w:tr>
      <w:tr w:rsidR="00DA227A" w:rsidRPr="00E93F40" w14:paraId="709DA289" w14:textId="77777777">
        <w:tc>
          <w:tcPr>
            <w:tcW w:w="3794" w:type="dxa"/>
          </w:tcPr>
          <w:p w14:paraId="20008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809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балками плоскость с хвостовым оперением</w:t>
            </w:r>
          </w:p>
        </w:tc>
      </w:tr>
      <w:tr w:rsidR="00DA227A" w:rsidRPr="00E93F40" w14:paraId="18053098" w14:textId="77777777">
        <w:tc>
          <w:tcPr>
            <w:tcW w:w="3794" w:type="dxa"/>
          </w:tcPr>
          <w:p w14:paraId="6A715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21A6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снабженную спецприспособлением для</w:t>
            </w:r>
          </w:p>
        </w:tc>
      </w:tr>
      <w:tr w:rsidR="00DA227A" w:rsidRPr="00E93F40" w14:paraId="1BFA3352" w14:textId="77777777">
        <w:tc>
          <w:tcPr>
            <w:tcW w:w="3794" w:type="dxa"/>
          </w:tcPr>
          <w:p w14:paraId="1A25E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CBF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подвески кабин разного назначения.</w:t>
            </w:r>
          </w:p>
        </w:tc>
      </w:tr>
      <w:tr w:rsidR="00DA227A" w:rsidRPr="00E93F40" w14:paraId="069816AD" w14:textId="77777777">
        <w:tc>
          <w:tcPr>
            <w:tcW w:w="3794" w:type="dxa"/>
          </w:tcPr>
          <w:p w14:paraId="688FA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80A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Предназначен самолет для транспортных </w:t>
            </w:r>
          </w:p>
        </w:tc>
      </w:tr>
      <w:tr w:rsidR="00DA227A" w:rsidRPr="00E93F40" w14:paraId="282653F2" w14:textId="77777777">
        <w:tc>
          <w:tcPr>
            <w:tcW w:w="3794" w:type="dxa"/>
          </w:tcPr>
          <w:p w14:paraId="13AA95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2357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воздушных перебросок, осуществляющихся</w:t>
            </w:r>
          </w:p>
        </w:tc>
      </w:tr>
      <w:tr w:rsidR="00DA227A" w:rsidRPr="00E93F40" w14:paraId="2EDCA4E3" w14:textId="77777777">
        <w:tc>
          <w:tcPr>
            <w:tcW w:w="3794" w:type="dxa"/>
          </w:tcPr>
          <w:p w14:paraId="616F33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20FAF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подвеской разного типа кабин в зависимости</w:t>
            </w:r>
          </w:p>
        </w:tc>
      </w:tr>
      <w:tr w:rsidR="00DA227A" w:rsidRPr="00E93F40" w14:paraId="2269EAC7" w14:textId="77777777">
        <w:tc>
          <w:tcPr>
            <w:tcW w:w="3794" w:type="dxa"/>
          </w:tcPr>
          <w:p w14:paraId="61AE5C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91129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назначения, как-то боевых, пассажирских,</w:t>
            </w:r>
          </w:p>
        </w:tc>
      </w:tr>
      <w:tr w:rsidR="00DA227A" w:rsidRPr="00E93F40" w14:paraId="2375F931" w14:textId="77777777">
        <w:tc>
          <w:tcPr>
            <w:tcW w:w="3794" w:type="dxa"/>
          </w:tcPr>
          <w:p w14:paraId="5460A7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B082B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грузовых, агитационных, санитарных и т.п.</w:t>
            </w:r>
          </w:p>
        </w:tc>
      </w:tr>
      <w:tr w:rsidR="00DA227A" w:rsidRPr="00E93F40" w14:paraId="14B322CB" w14:textId="77777777">
        <w:tc>
          <w:tcPr>
            <w:tcW w:w="3794" w:type="dxa"/>
          </w:tcPr>
          <w:p w14:paraId="7FE5A0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481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плоскостях устанавливается 2 мотора по</w:t>
            </w:r>
          </w:p>
        </w:tc>
      </w:tr>
      <w:tr w:rsidR="00DA227A" w:rsidRPr="00E93F40" w14:paraId="5CF449CD" w14:textId="77777777">
        <w:tc>
          <w:tcPr>
            <w:tcW w:w="3794" w:type="dxa"/>
          </w:tcPr>
          <w:p w14:paraId="374A7B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F7DEC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 НР с передаточным управлением из</w:t>
            </w:r>
          </w:p>
        </w:tc>
      </w:tr>
      <w:tr w:rsidR="00DA227A" w:rsidRPr="00E93F40" w14:paraId="020D3081" w14:textId="77777777">
        <w:tc>
          <w:tcPr>
            <w:tcW w:w="3794" w:type="dxa"/>
          </w:tcPr>
          <w:p w14:paraId="22C01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E84A7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подвесной кабины. Каждая кабина снабжена</w:t>
            </w:r>
          </w:p>
        </w:tc>
      </w:tr>
      <w:tr w:rsidR="00DA227A" w:rsidRPr="00E93F40" w14:paraId="6AAD9B32" w14:textId="77777777">
        <w:tc>
          <w:tcPr>
            <w:tcW w:w="3794" w:type="dxa"/>
          </w:tcPr>
          <w:p w14:paraId="4F0A74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F195A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парашютом, находящемся в заднем обтекателе</w:t>
            </w:r>
          </w:p>
        </w:tc>
      </w:tr>
      <w:tr w:rsidR="00DA227A" w:rsidRPr="00E93F40" w14:paraId="031B0FF2" w14:textId="77777777">
        <w:tc>
          <w:tcPr>
            <w:tcW w:w="3794" w:type="dxa"/>
          </w:tcPr>
          <w:p w14:paraId="2127C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E8E4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предназначенном для приземления кабины</w:t>
            </w:r>
          </w:p>
        </w:tc>
      </w:tr>
      <w:tr w:rsidR="00DA227A" w:rsidRPr="00E93F40" w14:paraId="365602AE" w14:textId="77777777">
        <w:tc>
          <w:tcPr>
            <w:tcW w:w="3794" w:type="dxa"/>
          </w:tcPr>
          <w:p w14:paraId="403F7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B2F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ее содержимым - в случае аварии самолета.</w:t>
            </w:r>
          </w:p>
        </w:tc>
      </w:tr>
      <w:tr w:rsidR="00DA227A" w:rsidRPr="00E93F40" w14:paraId="636568AC" w14:textId="77777777">
        <w:tc>
          <w:tcPr>
            <w:tcW w:w="3794" w:type="dxa"/>
          </w:tcPr>
          <w:p w14:paraId="1CB1A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6A1AC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Отделение кабины производится методом</w:t>
            </w:r>
          </w:p>
        </w:tc>
      </w:tr>
      <w:tr w:rsidR="00DA227A" w:rsidRPr="00E93F40" w14:paraId="7520E7FB" w14:textId="77777777">
        <w:tc>
          <w:tcPr>
            <w:tcW w:w="3794" w:type="dxa"/>
          </w:tcPr>
          <w:p w14:paraId="446D8B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866D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срыва при действии на спецприспособлении</w:t>
            </w:r>
          </w:p>
        </w:tc>
      </w:tr>
      <w:tr w:rsidR="00DA227A" w:rsidRPr="00E93F40" w14:paraId="1D3B6B07" w14:textId="77777777">
        <w:tc>
          <w:tcPr>
            <w:tcW w:w="3794" w:type="dxa"/>
          </w:tcPr>
          <w:p w14:paraId="0A706B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E8C0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связанное с управлением самолета, что</w:t>
            </w:r>
          </w:p>
        </w:tc>
      </w:tr>
      <w:tr w:rsidR="00DA227A" w:rsidRPr="00E93F40" w14:paraId="10D27395" w14:textId="77777777">
        <w:tc>
          <w:tcPr>
            <w:tcW w:w="3794" w:type="dxa"/>
          </w:tcPr>
          <w:p w14:paraId="0B859A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801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обеспечивает полную сохранность всей</w:t>
            </w:r>
          </w:p>
        </w:tc>
      </w:tr>
      <w:tr w:rsidR="00DA227A" w:rsidRPr="00E93F40" w14:paraId="7A79A482" w14:textId="77777777">
        <w:tc>
          <w:tcPr>
            <w:tcW w:w="3794" w:type="dxa"/>
          </w:tcPr>
          <w:p w14:paraId="74A8D2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91F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подвески и исключает возможность ее</w:t>
            </w:r>
          </w:p>
        </w:tc>
      </w:tr>
      <w:tr w:rsidR="00DA227A" w:rsidRPr="00E93F40" w14:paraId="6BC9A74E" w14:textId="77777777">
        <w:tc>
          <w:tcPr>
            <w:tcW w:w="3794" w:type="dxa"/>
          </w:tcPr>
          <w:p w14:paraId="27A8F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7F34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гибели.</w:t>
            </w:r>
          </w:p>
        </w:tc>
      </w:tr>
      <w:tr w:rsidR="00DA227A" w:rsidRPr="00E93F40" w14:paraId="47904C6D" w14:textId="77777777">
        <w:tc>
          <w:tcPr>
            <w:tcW w:w="3794" w:type="dxa"/>
          </w:tcPr>
          <w:p w14:paraId="322444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3451F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 плану 1933 года в первую очередь</w:t>
            </w:r>
          </w:p>
        </w:tc>
      </w:tr>
      <w:tr w:rsidR="00DA227A" w:rsidRPr="00E93F40" w14:paraId="773CD282" w14:textId="77777777">
        <w:tc>
          <w:tcPr>
            <w:tcW w:w="3794" w:type="dxa"/>
          </w:tcPr>
          <w:p w14:paraId="05D0DF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1BB6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разработать подвесную кабину под самолет</w:t>
            </w:r>
          </w:p>
        </w:tc>
      </w:tr>
      <w:tr w:rsidR="00DA227A" w:rsidRPr="00E93F40" w14:paraId="163C96B2" w14:textId="77777777">
        <w:tc>
          <w:tcPr>
            <w:tcW w:w="3794" w:type="dxa"/>
          </w:tcPr>
          <w:p w14:paraId="7364AB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805EC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 включая и необходимые конструктивные</w:t>
            </w:r>
          </w:p>
        </w:tc>
      </w:tr>
      <w:tr w:rsidR="00DA227A" w:rsidRPr="00E93F40" w14:paraId="7EC481C5" w14:textId="77777777">
        <w:tc>
          <w:tcPr>
            <w:tcW w:w="3794" w:type="dxa"/>
          </w:tcPr>
          <w:p w14:paraId="2D6DE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D8AB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изменения самолета.</w:t>
            </w:r>
          </w:p>
        </w:tc>
      </w:tr>
      <w:tr w:rsidR="00DA227A" w:rsidRPr="00E93F40" w14:paraId="46A2F863" w14:textId="77777777">
        <w:tc>
          <w:tcPr>
            <w:tcW w:w="3794" w:type="dxa"/>
          </w:tcPr>
          <w:p w14:paraId="53B36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AD3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для испытания принципа взять самолет К-6.</w:t>
            </w:r>
          </w:p>
        </w:tc>
      </w:tr>
      <w:tr w:rsidR="00DA227A" w:rsidRPr="00E93F40" w14:paraId="2D4D3497" w14:textId="77777777">
        <w:tc>
          <w:tcPr>
            <w:tcW w:w="3794" w:type="dxa"/>
          </w:tcPr>
          <w:p w14:paraId="751FD7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1A26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внести изменения в проект: поместить</w:t>
            </w:r>
          </w:p>
        </w:tc>
      </w:tr>
      <w:tr w:rsidR="00DA227A" w:rsidRPr="00E93F40" w14:paraId="39CF3F4A" w14:textId="77777777">
        <w:tc>
          <w:tcPr>
            <w:tcW w:w="3794" w:type="dxa"/>
          </w:tcPr>
          <w:p w14:paraId="05E73D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297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летчиков в крыле и установить огневую точку</w:t>
            </w:r>
          </w:p>
        </w:tc>
      </w:tr>
      <w:tr w:rsidR="00DA227A" w:rsidRPr="00E93F40" w14:paraId="73530A6D" w14:textId="77777777">
        <w:tc>
          <w:tcPr>
            <w:tcW w:w="3794" w:type="dxa"/>
          </w:tcPr>
          <w:p w14:paraId="5EBBBA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2FBD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фюзеляже для обороны самолета на обратном</w:t>
            </w:r>
          </w:p>
        </w:tc>
      </w:tr>
      <w:tr w:rsidR="00DA227A" w:rsidRPr="00E93F40" w14:paraId="7CDA0E55" w14:textId="77777777">
        <w:tc>
          <w:tcPr>
            <w:tcW w:w="3794" w:type="dxa"/>
          </w:tcPr>
          <w:p w14:paraId="53C3E2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E44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пути.</w:t>
            </w:r>
          </w:p>
        </w:tc>
      </w:tr>
      <w:tr w:rsidR="00DA227A" w:rsidRPr="00E93F40" w14:paraId="66A8DEC3" w14:textId="77777777">
        <w:tc>
          <w:tcPr>
            <w:tcW w:w="3794" w:type="dxa"/>
          </w:tcPr>
          <w:p w14:paraId="5464D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3ADA60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Летающая мина</w:t>
            </w:r>
          </w:p>
        </w:tc>
      </w:tr>
      <w:tr w:rsidR="00DA227A" w:rsidRPr="00E93F40" w14:paraId="6805FA46" w14:textId="77777777">
        <w:tc>
          <w:tcPr>
            <w:tcW w:w="3794" w:type="dxa"/>
          </w:tcPr>
          <w:p w14:paraId="7776C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23329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Летающая мина - безмоторная самолетная</w:t>
            </w:r>
          </w:p>
        </w:tc>
      </w:tr>
      <w:tr w:rsidR="00DA227A" w:rsidRPr="00E93F40" w14:paraId="7D6DF8C9" w14:textId="77777777">
        <w:tc>
          <w:tcPr>
            <w:tcW w:w="3794" w:type="dxa"/>
          </w:tcPr>
          <w:p w14:paraId="485F3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79F18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плоскость, соединенная 2 фермами с хвостовым</w:t>
            </w:r>
          </w:p>
        </w:tc>
      </w:tr>
      <w:tr w:rsidR="00DA227A" w:rsidRPr="00E93F40" w14:paraId="0C625B35" w14:textId="77777777">
        <w:tc>
          <w:tcPr>
            <w:tcW w:w="3794" w:type="dxa"/>
          </w:tcPr>
          <w:p w14:paraId="7EEE43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AC41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оперением - конструкция устанавливается на 2</w:t>
            </w:r>
          </w:p>
        </w:tc>
      </w:tr>
      <w:tr w:rsidR="00DA227A" w:rsidRPr="00E93F40" w14:paraId="5F3A00A0" w14:textId="77777777">
        <w:tc>
          <w:tcPr>
            <w:tcW w:w="3794" w:type="dxa"/>
          </w:tcPr>
          <w:p w14:paraId="3451C3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FC763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колеса.</w:t>
            </w:r>
          </w:p>
        </w:tc>
      </w:tr>
      <w:tr w:rsidR="00DA227A" w:rsidRPr="00E93F40" w14:paraId="1D5FD263" w14:textId="77777777">
        <w:tc>
          <w:tcPr>
            <w:tcW w:w="3794" w:type="dxa"/>
          </w:tcPr>
          <w:p w14:paraId="4F36F1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9C9CA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плоскости расположены бензобаки (для </w:t>
            </w:r>
          </w:p>
        </w:tc>
      </w:tr>
      <w:tr w:rsidR="00DA227A" w:rsidRPr="00E93F40" w14:paraId="7AA6FC5F" w14:textId="77777777">
        <w:tc>
          <w:tcPr>
            <w:tcW w:w="3794" w:type="dxa"/>
          </w:tcPr>
          <w:p w14:paraId="0016E6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9862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питания моторов несущего мину истребителя)</w:t>
            </w:r>
          </w:p>
        </w:tc>
      </w:tr>
      <w:tr w:rsidR="00DA227A" w:rsidRPr="00E93F40" w14:paraId="0AAFAEBF" w14:textId="77777777">
        <w:tc>
          <w:tcPr>
            <w:tcW w:w="3794" w:type="dxa"/>
          </w:tcPr>
          <w:p w14:paraId="732CB4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26C0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взрыввещества. Мина снабжена 2 гироскопами</w:t>
            </w:r>
          </w:p>
        </w:tc>
      </w:tr>
      <w:tr w:rsidR="00DA227A" w:rsidRPr="00E93F40" w14:paraId="3C2484F3" w14:textId="77777777">
        <w:tc>
          <w:tcPr>
            <w:tcW w:w="3794" w:type="dxa"/>
          </w:tcPr>
          <w:p w14:paraId="10CF96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DBD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установленными на крыльях плоскости и </w:t>
            </w:r>
          </w:p>
        </w:tc>
      </w:tr>
      <w:tr w:rsidR="00DA227A" w:rsidRPr="00E93F40" w14:paraId="5BE8D51B" w14:textId="77777777">
        <w:tc>
          <w:tcPr>
            <w:tcW w:w="3794" w:type="dxa"/>
          </w:tcPr>
          <w:p w14:paraId="600D2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7148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вплотную примыкает к фюзеляжу несущего ее</w:t>
            </w:r>
          </w:p>
        </w:tc>
      </w:tr>
      <w:tr w:rsidR="00DA227A" w:rsidRPr="00E93F40" w14:paraId="2E019580" w14:textId="77777777">
        <w:tc>
          <w:tcPr>
            <w:tcW w:w="3794" w:type="dxa"/>
          </w:tcPr>
          <w:p w14:paraId="0E445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E28C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истребителя, так что колеса последнего входят</w:t>
            </w:r>
          </w:p>
        </w:tc>
      </w:tr>
      <w:tr w:rsidR="00DA227A" w:rsidRPr="00E93F40" w14:paraId="2044056C" w14:textId="77777777">
        <w:tc>
          <w:tcPr>
            <w:tcW w:w="3794" w:type="dxa"/>
          </w:tcPr>
          <w:p w14:paraId="0DD10D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09E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плоскости мины.</w:t>
            </w:r>
          </w:p>
        </w:tc>
      </w:tr>
      <w:tr w:rsidR="00DA227A" w:rsidRPr="00E93F40" w14:paraId="5F7CF10D" w14:textId="77777777">
        <w:tc>
          <w:tcPr>
            <w:tcW w:w="3794" w:type="dxa"/>
          </w:tcPr>
          <w:p w14:paraId="6C90B7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E37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Направленная в воздухе полетом истребителя</w:t>
            </w:r>
          </w:p>
        </w:tc>
      </w:tr>
      <w:tr w:rsidR="00DA227A" w:rsidRPr="00E93F40" w14:paraId="7F7826BD" w14:textId="77777777">
        <w:tc>
          <w:tcPr>
            <w:tcW w:w="3794" w:type="dxa"/>
          </w:tcPr>
          <w:p w14:paraId="57386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1840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мина отделяется от несущего самолета и</w:t>
            </w:r>
          </w:p>
        </w:tc>
      </w:tr>
      <w:tr w:rsidR="00DA227A" w:rsidRPr="00E93F40" w14:paraId="57468D32" w14:textId="77777777">
        <w:tc>
          <w:tcPr>
            <w:tcW w:w="3794" w:type="dxa"/>
          </w:tcPr>
          <w:p w14:paraId="3F7314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E925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предназначена для бомбардирования крупных</w:t>
            </w:r>
          </w:p>
        </w:tc>
      </w:tr>
      <w:tr w:rsidR="00DA227A" w:rsidRPr="00E93F40" w14:paraId="3F67A851" w14:textId="77777777">
        <w:tc>
          <w:tcPr>
            <w:tcW w:w="3794" w:type="dxa"/>
          </w:tcPr>
          <w:p w14:paraId="48A390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ED65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мертвых точек противника (городов) при</w:t>
            </w:r>
          </w:p>
        </w:tc>
      </w:tr>
      <w:tr w:rsidR="00DA227A" w:rsidRPr="00E93F40" w14:paraId="588E5D7E" w14:textId="77777777">
        <w:tc>
          <w:tcPr>
            <w:tcW w:w="3794" w:type="dxa"/>
          </w:tcPr>
          <w:p w14:paraId="06B0F7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100B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возможности ведения этих действий с</w:t>
            </w:r>
          </w:p>
        </w:tc>
      </w:tr>
      <w:tr w:rsidR="00DA227A" w:rsidRPr="00E93F40" w14:paraId="156D6B45" w14:textId="77777777">
        <w:tc>
          <w:tcPr>
            <w:tcW w:w="3794" w:type="dxa"/>
          </w:tcPr>
          <w:p w14:paraId="68A580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03C5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дальних расстояний. Мина может быть</w:t>
            </w:r>
          </w:p>
        </w:tc>
      </w:tr>
      <w:tr w:rsidR="00DA227A" w:rsidRPr="00E93F40" w14:paraId="75526397" w14:textId="77777777">
        <w:tc>
          <w:tcPr>
            <w:tcW w:w="3794" w:type="dxa"/>
          </w:tcPr>
          <w:p w14:paraId="21B8E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C1A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использована как агитпланер при условии</w:t>
            </w:r>
          </w:p>
        </w:tc>
      </w:tr>
      <w:tr w:rsidR="00DA227A" w:rsidRPr="00E93F40" w14:paraId="2F4D3E6E" w14:textId="77777777">
        <w:tc>
          <w:tcPr>
            <w:tcW w:w="3794" w:type="dxa"/>
          </w:tcPr>
          <w:p w14:paraId="74C382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82A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замены взрыввеществ в плоскостях</w:t>
            </w:r>
          </w:p>
        </w:tc>
      </w:tr>
      <w:tr w:rsidR="00DA227A" w:rsidRPr="00E93F40" w14:paraId="0C9432DA" w14:textId="77777777">
        <w:tc>
          <w:tcPr>
            <w:tcW w:w="3794" w:type="dxa"/>
          </w:tcPr>
          <w:p w14:paraId="4160DC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F6F7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агитлитературой с приспособлением, </w:t>
            </w:r>
          </w:p>
        </w:tc>
      </w:tr>
      <w:tr w:rsidR="00DA227A" w:rsidRPr="00E93F40" w14:paraId="036057F4" w14:textId="77777777">
        <w:tc>
          <w:tcPr>
            <w:tcW w:w="3794" w:type="dxa"/>
          </w:tcPr>
          <w:p w14:paraId="2C6F8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9ECE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выбрасывающим ее по заданному времени</w:t>
            </w:r>
          </w:p>
        </w:tc>
      </w:tr>
      <w:tr w:rsidR="00DA227A" w:rsidRPr="00E93F40" w14:paraId="5DF30C87" w14:textId="77777777">
        <w:tc>
          <w:tcPr>
            <w:tcW w:w="3794" w:type="dxa"/>
          </w:tcPr>
          <w:p w14:paraId="221AD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9C38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 и дает возможность глубокого</w:t>
            </w:r>
          </w:p>
        </w:tc>
      </w:tr>
      <w:tr w:rsidR="00DA227A" w:rsidRPr="00E93F40" w14:paraId="5B621AD5" w14:textId="77777777">
        <w:tc>
          <w:tcPr>
            <w:tcW w:w="3794" w:type="dxa"/>
          </w:tcPr>
          <w:p w14:paraId="50349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8729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залистовывания территории противника.</w:t>
            </w:r>
          </w:p>
        </w:tc>
      </w:tr>
      <w:tr w:rsidR="00DA227A" w:rsidRPr="00E93F40" w14:paraId="6297274F" w14:textId="77777777">
        <w:tc>
          <w:tcPr>
            <w:tcW w:w="3794" w:type="dxa"/>
          </w:tcPr>
          <w:p w14:paraId="5DAC5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372D5E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Учесть и использовать работы</w:t>
            </w:r>
          </w:p>
        </w:tc>
      </w:tr>
      <w:tr w:rsidR="00DA227A" w:rsidRPr="00E93F40" w14:paraId="51CBDE74" w14:textId="77777777">
        <w:tc>
          <w:tcPr>
            <w:tcW w:w="3794" w:type="dxa"/>
          </w:tcPr>
          <w:p w14:paraId="5BCBEE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8C2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Майзеля и Нюренберга в части автоматического</w:t>
            </w:r>
          </w:p>
        </w:tc>
      </w:tr>
      <w:tr w:rsidR="00DA227A" w:rsidRPr="00E93F40" w14:paraId="2591EE00" w14:textId="77777777">
        <w:tc>
          <w:tcPr>
            <w:tcW w:w="3794" w:type="dxa"/>
          </w:tcPr>
          <w:p w14:paraId="1521E8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ECC0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управления планера.</w:t>
            </w:r>
          </w:p>
        </w:tc>
      </w:tr>
      <w:tr w:rsidR="00DA227A" w:rsidRPr="00E93F40" w14:paraId="5FA246DC" w14:textId="77777777">
        <w:tc>
          <w:tcPr>
            <w:tcW w:w="3794" w:type="dxa"/>
          </w:tcPr>
          <w:p w14:paraId="6A643F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2F65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Буксируемый дирижабль (Г-49)</w:t>
            </w:r>
          </w:p>
        </w:tc>
      </w:tr>
      <w:tr w:rsidR="00DA227A" w:rsidRPr="00E93F40" w14:paraId="6D4E5AF4" w14:textId="77777777">
        <w:tc>
          <w:tcPr>
            <w:tcW w:w="3794" w:type="dxa"/>
          </w:tcPr>
          <w:p w14:paraId="6F8557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6986A3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Дирижабль мягкой конструкции с кабиной на</w:t>
            </w:r>
          </w:p>
        </w:tc>
      </w:tr>
      <w:tr w:rsidR="00DA227A" w:rsidRPr="00E93F40" w14:paraId="1BA12585" w14:textId="77777777">
        <w:tc>
          <w:tcPr>
            <w:tcW w:w="3794" w:type="dxa"/>
          </w:tcPr>
          <w:p w14:paraId="72044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9949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 человек буксируется самолетом Р-5 для</w:t>
            </w:r>
          </w:p>
        </w:tc>
      </w:tr>
      <w:tr w:rsidR="00DA227A" w:rsidRPr="00E93F40" w14:paraId="5E8E4A42" w14:textId="77777777">
        <w:tc>
          <w:tcPr>
            <w:tcW w:w="3794" w:type="dxa"/>
          </w:tcPr>
          <w:p w14:paraId="10292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F8B6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сбрасывания на парашютах десантного отряда</w:t>
            </w:r>
          </w:p>
        </w:tc>
      </w:tr>
      <w:tr w:rsidR="00DA227A" w:rsidRPr="00E93F40" w14:paraId="5BF570DA" w14:textId="77777777">
        <w:tc>
          <w:tcPr>
            <w:tcW w:w="3794" w:type="dxa"/>
          </w:tcPr>
          <w:p w14:paraId="13C3A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E7C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тыл и на территорию противника для </w:t>
            </w:r>
          </w:p>
        </w:tc>
      </w:tr>
      <w:tr w:rsidR="00DA227A" w:rsidRPr="00E93F40" w14:paraId="0D627C5B" w14:textId="77777777">
        <w:tc>
          <w:tcPr>
            <w:tcW w:w="3794" w:type="dxa"/>
          </w:tcPr>
          <w:p w14:paraId="71F747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91AB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выполнения диверсионных актов.</w:t>
            </w:r>
          </w:p>
        </w:tc>
      </w:tr>
      <w:tr w:rsidR="00DA227A" w:rsidRPr="00E93F40" w14:paraId="4FA519DE" w14:textId="77777777">
        <w:tc>
          <w:tcPr>
            <w:tcW w:w="3794" w:type="dxa"/>
          </w:tcPr>
          <w:p w14:paraId="16496F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1A587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Снять в силу нецелесообразности боевого</w:t>
            </w:r>
          </w:p>
        </w:tc>
      </w:tr>
      <w:tr w:rsidR="00DA227A" w:rsidRPr="00E93F40" w14:paraId="45479217" w14:textId="77777777">
        <w:tc>
          <w:tcPr>
            <w:tcW w:w="3794" w:type="dxa"/>
          </w:tcPr>
          <w:p w14:paraId="0BDE44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F976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Применения.</w:t>
            </w:r>
          </w:p>
        </w:tc>
      </w:tr>
      <w:tr w:rsidR="00DA227A" w:rsidRPr="00E93F40" w14:paraId="3EEB0265" w14:textId="77777777">
        <w:tc>
          <w:tcPr>
            <w:tcW w:w="3794" w:type="dxa"/>
          </w:tcPr>
          <w:p w14:paraId="65BC53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2-му отделу (реактивный)</w:t>
            </w:r>
          </w:p>
        </w:tc>
        <w:tc>
          <w:tcPr>
            <w:tcW w:w="5245" w:type="dxa"/>
          </w:tcPr>
          <w:p w14:paraId="04D37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6C47F2" w14:textId="77777777">
        <w:tc>
          <w:tcPr>
            <w:tcW w:w="3794" w:type="dxa"/>
          </w:tcPr>
          <w:p w14:paraId="58C7C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283FC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Реактивная 250 кг авиабомба (принцип</w:t>
            </w:r>
          </w:p>
        </w:tc>
      </w:tr>
      <w:tr w:rsidR="00DA227A" w:rsidRPr="00E93F40" w14:paraId="24E4A00E" w14:textId="77777777">
        <w:tc>
          <w:tcPr>
            <w:tcW w:w="3794" w:type="dxa"/>
          </w:tcPr>
          <w:p w14:paraId="0110CD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996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мгновенных взрывов) (Г-41)</w:t>
            </w:r>
          </w:p>
        </w:tc>
      </w:tr>
      <w:tr w:rsidR="00DA227A" w:rsidRPr="00E93F40" w14:paraId="553D1E8A" w14:textId="77777777">
        <w:tc>
          <w:tcPr>
            <w:tcW w:w="3794" w:type="dxa"/>
          </w:tcPr>
          <w:p w14:paraId="71DCFC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45D346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Реактивная авиабомба предназначена для</w:t>
            </w:r>
          </w:p>
        </w:tc>
      </w:tr>
      <w:tr w:rsidR="00DA227A" w:rsidRPr="00E93F40" w14:paraId="63F8A44B" w14:textId="77777777">
        <w:tc>
          <w:tcPr>
            <w:tcW w:w="3794" w:type="dxa"/>
          </w:tcPr>
          <w:p w14:paraId="24C965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5369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бомбометания с самолета по расположенным</w:t>
            </w:r>
          </w:p>
        </w:tc>
      </w:tr>
      <w:tr w:rsidR="00DA227A" w:rsidRPr="00E93F40" w14:paraId="7D4D23B8" w14:textId="77777777">
        <w:tc>
          <w:tcPr>
            <w:tcW w:w="3794" w:type="dxa"/>
          </w:tcPr>
          <w:p w14:paraId="54C3C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2A92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мостам и т.п., что благодаря принципу своей</w:t>
            </w:r>
          </w:p>
        </w:tc>
      </w:tr>
      <w:tr w:rsidR="00DA227A" w:rsidRPr="00E93F40" w14:paraId="76CF77D1" w14:textId="77777777">
        <w:tc>
          <w:tcPr>
            <w:tcW w:w="3794" w:type="dxa"/>
          </w:tcPr>
          <w:p w14:paraId="136044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3C49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конструкции и действия, достигается с</w:t>
            </w:r>
          </w:p>
        </w:tc>
      </w:tr>
      <w:tr w:rsidR="00DA227A" w:rsidRPr="00E93F40" w14:paraId="1EB6BDE8" w14:textId="77777777">
        <w:tc>
          <w:tcPr>
            <w:tcW w:w="3794" w:type="dxa"/>
          </w:tcPr>
          <w:p w14:paraId="10348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8D0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малейшим процентом рассеивания. Авиабомба</w:t>
            </w:r>
          </w:p>
        </w:tc>
      </w:tr>
      <w:tr w:rsidR="00DA227A" w:rsidRPr="00E93F40" w14:paraId="3689246B" w14:textId="77777777">
        <w:tc>
          <w:tcPr>
            <w:tcW w:w="3794" w:type="dxa"/>
          </w:tcPr>
          <w:p w14:paraId="63A025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C7BC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устанавливается в плоскости ТБ-1 в</w:t>
            </w:r>
          </w:p>
        </w:tc>
      </w:tr>
      <w:tr w:rsidR="00DA227A" w:rsidRPr="00E93F40" w14:paraId="3F48F4CE" w14:textId="77777777">
        <w:tc>
          <w:tcPr>
            <w:tcW w:w="3794" w:type="dxa"/>
          </w:tcPr>
          <w:p w14:paraId="4646D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7143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направляющей трубе с соплом на верхнем конце.</w:t>
            </w:r>
          </w:p>
        </w:tc>
      </w:tr>
      <w:tr w:rsidR="00DA227A" w:rsidRPr="00E93F40" w14:paraId="7954B60B" w14:textId="77777777">
        <w:tc>
          <w:tcPr>
            <w:tcW w:w="3794" w:type="dxa"/>
          </w:tcPr>
          <w:p w14:paraId="6CE464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0FA9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Электрозапалом воспламеняется взрыввещество</w:t>
            </w:r>
          </w:p>
        </w:tc>
      </w:tr>
      <w:tr w:rsidR="00DA227A" w:rsidRPr="00E93F40" w14:paraId="5D2D6735" w14:textId="77777777">
        <w:tc>
          <w:tcPr>
            <w:tcW w:w="3794" w:type="dxa"/>
          </w:tcPr>
          <w:p w14:paraId="41D8C8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49542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стакана авиабомбы, что приводит к </w:t>
            </w:r>
          </w:p>
        </w:tc>
      </w:tr>
      <w:tr w:rsidR="00DA227A" w:rsidRPr="00E93F40" w14:paraId="0D9C2671" w14:textId="77777777">
        <w:tc>
          <w:tcPr>
            <w:tcW w:w="3794" w:type="dxa"/>
          </w:tcPr>
          <w:p w14:paraId="31DD38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EC74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выбрасыванию бомбы вниз (со скоростью до</w:t>
            </w:r>
          </w:p>
        </w:tc>
      </w:tr>
      <w:tr w:rsidR="00DA227A" w:rsidRPr="00E93F40" w14:paraId="532C806A" w14:textId="77777777">
        <w:tc>
          <w:tcPr>
            <w:tcW w:w="3794" w:type="dxa"/>
          </w:tcPr>
          <w:p w14:paraId="3A7B70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C8A5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м/сек, а стакана вверх, тем самым</w:t>
            </w:r>
          </w:p>
        </w:tc>
      </w:tr>
      <w:tr w:rsidR="00DA227A" w:rsidRPr="00E93F40" w14:paraId="0108F79B" w14:textId="77777777">
        <w:tc>
          <w:tcPr>
            <w:tcW w:w="3794" w:type="dxa"/>
          </w:tcPr>
          <w:p w14:paraId="6D475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9D4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поглощая отдачу при взрыве.</w:t>
            </w:r>
          </w:p>
        </w:tc>
      </w:tr>
      <w:tr w:rsidR="00DA227A" w:rsidRPr="00E93F40" w14:paraId="6155A035" w14:textId="77777777">
        <w:tc>
          <w:tcPr>
            <w:tcW w:w="3794" w:type="dxa"/>
          </w:tcPr>
          <w:p w14:paraId="500FB4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058884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Включить в план разработку в первую</w:t>
            </w:r>
          </w:p>
        </w:tc>
      </w:tr>
      <w:tr w:rsidR="00DA227A" w:rsidRPr="00E93F40" w14:paraId="0BF3449D" w14:textId="77777777">
        <w:tc>
          <w:tcPr>
            <w:tcW w:w="3794" w:type="dxa"/>
          </w:tcPr>
          <w:p w14:paraId="2CEFE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1DA9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очередь 10-15 шт. Реактивных авиабомб по 50 кг.</w:t>
            </w:r>
          </w:p>
        </w:tc>
      </w:tr>
      <w:tr w:rsidR="00DA227A" w:rsidRPr="00E93F40" w14:paraId="52D47D21" w14:textId="77777777">
        <w:tc>
          <w:tcPr>
            <w:tcW w:w="3794" w:type="dxa"/>
          </w:tcPr>
          <w:p w14:paraId="0E9BE3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D6ABC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Реактивная 2-х дм. пушка (Г-42)</w:t>
            </w:r>
          </w:p>
        </w:tc>
      </w:tr>
      <w:tr w:rsidR="00DA227A" w:rsidRPr="00E93F40" w14:paraId="5AFEC451" w14:textId="77777777">
        <w:tc>
          <w:tcPr>
            <w:tcW w:w="3794" w:type="dxa"/>
          </w:tcPr>
          <w:p w14:paraId="3CD13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423A8B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Реактивная 2-х дм. пушка предназначена для</w:t>
            </w:r>
          </w:p>
        </w:tc>
      </w:tr>
      <w:tr w:rsidR="00DA227A" w:rsidRPr="00E93F40" w14:paraId="3176A74A" w14:textId="77777777">
        <w:tc>
          <w:tcPr>
            <w:tcW w:w="3794" w:type="dxa"/>
          </w:tcPr>
          <w:p w14:paraId="7ABE2B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CA5D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вооружения бойцов ПДО сильным </w:t>
            </w:r>
          </w:p>
        </w:tc>
      </w:tr>
      <w:tr w:rsidR="00DA227A" w:rsidRPr="00E93F40" w14:paraId="03F1B9FF" w14:textId="77777777">
        <w:tc>
          <w:tcPr>
            <w:tcW w:w="3794" w:type="dxa"/>
          </w:tcPr>
          <w:p w14:paraId="2FFC8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5400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приспособлением ведения боевого огня.</w:t>
            </w:r>
          </w:p>
        </w:tc>
      </w:tr>
      <w:tr w:rsidR="00DA227A" w:rsidRPr="00E93F40" w14:paraId="5A4C4209" w14:textId="77777777">
        <w:tc>
          <w:tcPr>
            <w:tcW w:w="3794" w:type="dxa"/>
          </w:tcPr>
          <w:p w14:paraId="6B790B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DC2E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Действуя на принципе реакции газов, пушка</w:t>
            </w:r>
          </w:p>
        </w:tc>
      </w:tr>
      <w:tr w:rsidR="00DA227A" w:rsidRPr="00E93F40" w14:paraId="15E3AE4A" w14:textId="77777777">
        <w:tc>
          <w:tcPr>
            <w:tcW w:w="3794" w:type="dxa"/>
          </w:tcPr>
          <w:p w14:paraId="3A8E3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D67E5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работает при полном погашении отдачи,</w:t>
            </w:r>
          </w:p>
        </w:tc>
      </w:tr>
      <w:tr w:rsidR="00DA227A" w:rsidRPr="00E93F40" w14:paraId="60A5102D" w14:textId="77777777">
        <w:tc>
          <w:tcPr>
            <w:tcW w:w="3794" w:type="dxa"/>
          </w:tcPr>
          <w:p w14:paraId="5AA211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83F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выбрасывая снаряд весом до 500 кг со скоростью</w:t>
            </w:r>
          </w:p>
        </w:tc>
      </w:tr>
      <w:tr w:rsidR="00DA227A" w:rsidRPr="00E93F40" w14:paraId="533570D8" w14:textId="77777777">
        <w:tc>
          <w:tcPr>
            <w:tcW w:w="3794" w:type="dxa"/>
          </w:tcPr>
          <w:p w14:paraId="376A8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7B6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 м/сек на расстоянии до 5 км.</w:t>
            </w:r>
          </w:p>
        </w:tc>
      </w:tr>
      <w:tr w:rsidR="00DA227A" w:rsidRPr="00E93F40" w14:paraId="14F34831" w14:textId="77777777">
        <w:tc>
          <w:tcPr>
            <w:tcW w:w="3794" w:type="dxa"/>
          </w:tcPr>
          <w:p w14:paraId="4436F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4C9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Незначительный вес тела пушки (8 кг) и </w:t>
            </w:r>
          </w:p>
        </w:tc>
      </w:tr>
      <w:tr w:rsidR="00DA227A" w:rsidRPr="00E93F40" w14:paraId="1C3360FD" w14:textId="77777777">
        <w:tc>
          <w:tcPr>
            <w:tcW w:w="3794" w:type="dxa"/>
          </w:tcPr>
          <w:p w14:paraId="54253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3C80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снаряда дают возможность вооружить ею</w:t>
            </w:r>
          </w:p>
        </w:tc>
      </w:tr>
      <w:tr w:rsidR="00DA227A" w:rsidRPr="00E93F40" w14:paraId="67D5F181" w14:textId="77777777">
        <w:tc>
          <w:tcPr>
            <w:tcW w:w="3794" w:type="dxa"/>
          </w:tcPr>
          <w:p w14:paraId="7A1C80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8D0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каждого бойца ПДО с запасом снарядов по 20</w:t>
            </w:r>
          </w:p>
        </w:tc>
      </w:tr>
      <w:tr w:rsidR="00DA227A" w:rsidRPr="00E93F40" w14:paraId="4BDFE992" w14:textId="77777777">
        <w:tc>
          <w:tcPr>
            <w:tcW w:w="3794" w:type="dxa"/>
          </w:tcPr>
          <w:p w14:paraId="159ED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9EB7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w:t>
            </w:r>
          </w:p>
        </w:tc>
      </w:tr>
      <w:tr w:rsidR="00DA227A" w:rsidRPr="00E93F40" w14:paraId="5FC0BE4A" w14:textId="77777777">
        <w:tc>
          <w:tcPr>
            <w:tcW w:w="3794" w:type="dxa"/>
          </w:tcPr>
          <w:p w14:paraId="68106D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5934F5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В целях стандартизации изменить</w:t>
            </w:r>
          </w:p>
        </w:tc>
      </w:tr>
      <w:tr w:rsidR="00DA227A" w:rsidRPr="00E93F40" w14:paraId="4D29F3D7" w14:textId="77777777">
        <w:tc>
          <w:tcPr>
            <w:tcW w:w="3794" w:type="dxa"/>
          </w:tcPr>
          <w:p w14:paraId="005106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F7A2D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на 37 мм.</w:t>
            </w:r>
          </w:p>
        </w:tc>
      </w:tr>
      <w:tr w:rsidR="00DA227A" w:rsidRPr="00E93F40" w14:paraId="3A23505B" w14:textId="77777777">
        <w:tc>
          <w:tcPr>
            <w:tcW w:w="3794" w:type="dxa"/>
          </w:tcPr>
          <w:p w14:paraId="5D7C5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74D43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Реактивная ручная граната (Г-43)</w:t>
            </w:r>
          </w:p>
        </w:tc>
      </w:tr>
      <w:tr w:rsidR="00DA227A" w:rsidRPr="00E93F40" w14:paraId="307067D3" w14:textId="77777777">
        <w:tc>
          <w:tcPr>
            <w:tcW w:w="3794" w:type="dxa"/>
          </w:tcPr>
          <w:p w14:paraId="77CE7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46E3E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РРГ служит для индивидуального вооружения</w:t>
            </w:r>
          </w:p>
        </w:tc>
      </w:tr>
      <w:tr w:rsidR="00DA227A" w:rsidRPr="00E93F40" w14:paraId="4E07390D" w14:textId="77777777">
        <w:tc>
          <w:tcPr>
            <w:tcW w:w="3794" w:type="dxa"/>
          </w:tcPr>
          <w:p w14:paraId="634BC3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CA341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бойца. Действуя на принципе реакции газов, </w:t>
            </w:r>
          </w:p>
        </w:tc>
      </w:tr>
      <w:tr w:rsidR="00DA227A" w:rsidRPr="00E93F40" w14:paraId="5EE65F02" w14:textId="77777777">
        <w:tc>
          <w:tcPr>
            <w:tcW w:w="3794" w:type="dxa"/>
          </w:tcPr>
          <w:p w14:paraId="06249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4D29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граната весом 400 гр., выпускаемая из спец.</w:t>
            </w:r>
          </w:p>
        </w:tc>
      </w:tr>
      <w:tr w:rsidR="00DA227A" w:rsidRPr="00E93F40" w14:paraId="10D1F800" w14:textId="77777777">
        <w:tc>
          <w:tcPr>
            <w:tcW w:w="3794" w:type="dxa"/>
          </w:tcPr>
          <w:p w14:paraId="46D7B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B8AD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выбрасывателя поражает цель на расстоянии</w:t>
            </w:r>
          </w:p>
        </w:tc>
      </w:tr>
      <w:tr w:rsidR="00DA227A" w:rsidRPr="00E93F40" w14:paraId="5D57DCF4" w14:textId="77777777">
        <w:tc>
          <w:tcPr>
            <w:tcW w:w="3794" w:type="dxa"/>
          </w:tcPr>
          <w:p w14:paraId="6223D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CB7B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2 км без необходимости приложения</w:t>
            </w:r>
          </w:p>
        </w:tc>
      </w:tr>
      <w:tr w:rsidR="00DA227A" w:rsidRPr="00E93F40" w14:paraId="331FFDCF" w14:textId="77777777">
        <w:tc>
          <w:tcPr>
            <w:tcW w:w="3794" w:type="dxa"/>
          </w:tcPr>
          <w:p w14:paraId="0EC452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A9A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мускульного усилия бойца, что неизбежно</w:t>
            </w:r>
          </w:p>
        </w:tc>
      </w:tr>
      <w:tr w:rsidR="00DA227A" w:rsidRPr="00E93F40" w14:paraId="5FA98A9C" w14:textId="77777777">
        <w:tc>
          <w:tcPr>
            <w:tcW w:w="3794" w:type="dxa"/>
          </w:tcPr>
          <w:p w14:paraId="6D58A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D812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пользовании ручными гранатами др. типов.</w:t>
            </w:r>
          </w:p>
        </w:tc>
      </w:tr>
      <w:tr w:rsidR="00DA227A" w:rsidRPr="00E93F40" w14:paraId="2156FDFC" w14:textId="77777777">
        <w:tc>
          <w:tcPr>
            <w:tcW w:w="3794" w:type="dxa"/>
          </w:tcPr>
          <w:p w14:paraId="06376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15CAD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0A8BB6CD" w14:textId="77777777">
        <w:tc>
          <w:tcPr>
            <w:tcW w:w="3794" w:type="dxa"/>
          </w:tcPr>
          <w:p w14:paraId="215A72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5E2D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Реактивная самолетная 76 мм пушка (Г-46)</w:t>
            </w:r>
          </w:p>
        </w:tc>
      </w:tr>
      <w:tr w:rsidR="00DA227A" w:rsidRPr="00E93F40" w14:paraId="307D4AA3" w14:textId="77777777">
        <w:tc>
          <w:tcPr>
            <w:tcW w:w="3794" w:type="dxa"/>
          </w:tcPr>
          <w:p w14:paraId="2CF08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236D3B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Самолетная пушка 76 калибра с оптическим</w:t>
            </w:r>
          </w:p>
        </w:tc>
      </w:tr>
      <w:tr w:rsidR="00DA227A" w:rsidRPr="00E93F40" w14:paraId="15E424AB" w14:textId="77777777">
        <w:tc>
          <w:tcPr>
            <w:tcW w:w="3794" w:type="dxa"/>
          </w:tcPr>
          <w:p w14:paraId="51A52E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8FC6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прицельным приспособлением устанавливается</w:t>
            </w:r>
          </w:p>
        </w:tc>
      </w:tr>
      <w:tr w:rsidR="00DA227A" w:rsidRPr="00E93F40" w14:paraId="68E2D919" w14:textId="77777777">
        <w:tc>
          <w:tcPr>
            <w:tcW w:w="3794" w:type="dxa"/>
          </w:tcPr>
          <w:p w14:paraId="6C5F78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58E8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турели самолета ТБ-1. Предназначена для </w:t>
            </w:r>
          </w:p>
        </w:tc>
      </w:tr>
      <w:tr w:rsidR="00DA227A" w:rsidRPr="00E93F40" w14:paraId="433B5979" w14:textId="77777777">
        <w:tc>
          <w:tcPr>
            <w:tcW w:w="3794" w:type="dxa"/>
          </w:tcPr>
          <w:p w14:paraId="61AF7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4C5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ведения бокового обстрела самолетов </w:t>
            </w:r>
          </w:p>
        </w:tc>
      </w:tr>
      <w:tr w:rsidR="00DA227A" w:rsidRPr="00E93F40" w14:paraId="06A3FF7B" w14:textId="77777777">
        <w:tc>
          <w:tcPr>
            <w:tcW w:w="3794" w:type="dxa"/>
          </w:tcPr>
          <w:p w14:paraId="56E446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E810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противника и земных целей. Действие на </w:t>
            </w:r>
          </w:p>
        </w:tc>
      </w:tr>
      <w:tr w:rsidR="00DA227A" w:rsidRPr="00E93F40" w14:paraId="5BFE1236" w14:textId="77777777">
        <w:tc>
          <w:tcPr>
            <w:tcW w:w="3794" w:type="dxa"/>
          </w:tcPr>
          <w:p w14:paraId="5C8CD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CD4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принципе реакции газов совершенно устраняет</w:t>
            </w:r>
          </w:p>
        </w:tc>
      </w:tr>
      <w:tr w:rsidR="00DA227A" w:rsidRPr="00E93F40" w14:paraId="72D33768" w14:textId="77777777">
        <w:tc>
          <w:tcPr>
            <w:tcW w:w="3794" w:type="dxa"/>
          </w:tcPr>
          <w:p w14:paraId="3D0D97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D849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отдачу при стрельбе, сообщая пушке</w:t>
            </w:r>
          </w:p>
        </w:tc>
      </w:tr>
      <w:tr w:rsidR="00DA227A" w:rsidRPr="00E93F40" w14:paraId="4F0BB6B2" w14:textId="77777777">
        <w:tc>
          <w:tcPr>
            <w:tcW w:w="3794" w:type="dxa"/>
          </w:tcPr>
          <w:p w14:paraId="2C0179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FA02D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исключительные качества мощного орудия</w:t>
            </w:r>
          </w:p>
        </w:tc>
      </w:tr>
      <w:tr w:rsidR="00DA227A" w:rsidRPr="00E93F40" w14:paraId="50CA1F53" w14:textId="77777777">
        <w:tc>
          <w:tcPr>
            <w:tcW w:w="3794" w:type="dxa"/>
          </w:tcPr>
          <w:p w14:paraId="0F6CB4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8625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воздушного боя при наличии 350 м/сек</w:t>
            </w:r>
          </w:p>
        </w:tc>
      </w:tr>
      <w:tr w:rsidR="00DA227A" w:rsidRPr="00E93F40" w14:paraId="2581F61D" w14:textId="77777777">
        <w:tc>
          <w:tcPr>
            <w:tcW w:w="3794" w:type="dxa"/>
          </w:tcPr>
          <w:p w14:paraId="752086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BCDE9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первоначальной скорости полета снаряда на</w:t>
            </w:r>
          </w:p>
        </w:tc>
      </w:tr>
      <w:tr w:rsidR="00DA227A" w:rsidRPr="00E93F40" w14:paraId="4CB27B93" w14:textId="77777777">
        <w:tc>
          <w:tcPr>
            <w:tcW w:w="3794" w:type="dxa"/>
          </w:tcPr>
          <w:p w14:paraId="05CB6A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7C005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расстоянии до 5 км.</w:t>
            </w:r>
          </w:p>
        </w:tc>
      </w:tr>
      <w:tr w:rsidR="00DA227A" w:rsidRPr="00E93F40" w14:paraId="1FF6DF4C" w14:textId="77777777">
        <w:tc>
          <w:tcPr>
            <w:tcW w:w="3794" w:type="dxa"/>
          </w:tcPr>
          <w:p w14:paraId="763B8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64B21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Предложить связаться с Курчевским</w:t>
            </w:r>
          </w:p>
        </w:tc>
      </w:tr>
      <w:tr w:rsidR="00DA227A" w:rsidRPr="00E93F40" w14:paraId="01EFAB4E" w14:textId="77777777">
        <w:tc>
          <w:tcPr>
            <w:tcW w:w="3794" w:type="dxa"/>
          </w:tcPr>
          <w:p w14:paraId="5CE13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67B44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использовав его опыт в части реактивной</w:t>
            </w:r>
          </w:p>
        </w:tc>
      </w:tr>
      <w:tr w:rsidR="00DA227A" w:rsidRPr="00E93F40" w14:paraId="487B6DD8" w14:textId="77777777">
        <w:tc>
          <w:tcPr>
            <w:tcW w:w="3794" w:type="dxa"/>
          </w:tcPr>
          <w:p w14:paraId="628B8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D14F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стрельбы в полете.</w:t>
            </w:r>
          </w:p>
        </w:tc>
      </w:tr>
      <w:tr w:rsidR="00DA227A" w:rsidRPr="00E93F40" w14:paraId="08136C62" w14:textId="77777777">
        <w:tc>
          <w:tcPr>
            <w:tcW w:w="3794" w:type="dxa"/>
          </w:tcPr>
          <w:p w14:paraId="4231E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E87BA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Реактивные мины (100 и 1000 кг) системы</w:t>
            </w:r>
          </w:p>
        </w:tc>
      </w:tr>
      <w:tr w:rsidR="00DA227A" w:rsidRPr="00E93F40" w14:paraId="502C95F1" w14:textId="77777777">
        <w:tc>
          <w:tcPr>
            <w:tcW w:w="3794" w:type="dxa"/>
          </w:tcPr>
          <w:p w14:paraId="6C319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45044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Тверского.</w:t>
            </w:r>
          </w:p>
        </w:tc>
      </w:tr>
      <w:tr w:rsidR="00DA227A" w:rsidRPr="00E93F40" w14:paraId="0B7E49AB" w14:textId="77777777">
        <w:tc>
          <w:tcPr>
            <w:tcW w:w="3794" w:type="dxa"/>
          </w:tcPr>
          <w:p w14:paraId="59812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4B014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06DCD1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3-му отделу (химический)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DA227A" w:rsidRPr="00E93F40" w14:paraId="7DCA8B86" w14:textId="77777777">
        <w:tc>
          <w:tcPr>
            <w:tcW w:w="3794" w:type="dxa"/>
          </w:tcPr>
          <w:p w14:paraId="60600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5E6FB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Химустановка для дымзавес (Г-50)</w:t>
            </w:r>
          </w:p>
        </w:tc>
      </w:tr>
      <w:tr w:rsidR="00DA227A" w:rsidRPr="00E93F40" w14:paraId="0941D08B" w14:textId="77777777">
        <w:tc>
          <w:tcPr>
            <w:tcW w:w="3794" w:type="dxa"/>
          </w:tcPr>
          <w:p w14:paraId="5E579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625245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бомбовых кассетах самолета ТБ-1 или Р-6</w:t>
            </w:r>
          </w:p>
        </w:tc>
      </w:tr>
      <w:tr w:rsidR="00DA227A" w:rsidRPr="00E93F40" w14:paraId="56CDB210" w14:textId="77777777">
        <w:tc>
          <w:tcPr>
            <w:tcW w:w="3794" w:type="dxa"/>
          </w:tcPr>
          <w:p w14:paraId="3CEA1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B110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устанавливается 2 бака, заполненные 1500 кг</w:t>
            </w:r>
          </w:p>
        </w:tc>
      </w:tr>
      <w:tr w:rsidR="00DA227A" w:rsidRPr="00E93F40" w14:paraId="696DD547" w14:textId="77777777">
        <w:tc>
          <w:tcPr>
            <w:tcW w:w="3794" w:type="dxa"/>
          </w:tcPr>
          <w:p w14:paraId="2C34F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0E30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 Открытие вентилей баков приводит к</w:t>
            </w:r>
          </w:p>
        </w:tc>
      </w:tr>
      <w:tr w:rsidR="00DA227A" w:rsidRPr="00E93F40" w14:paraId="13968572" w14:textId="77777777">
        <w:tc>
          <w:tcPr>
            <w:tcW w:w="3794" w:type="dxa"/>
          </w:tcPr>
          <w:p w14:paraId="359BF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7BB3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истечению ДВ из баков, которые химически</w:t>
            </w:r>
          </w:p>
        </w:tc>
      </w:tr>
      <w:tr w:rsidR="00DA227A" w:rsidRPr="00E93F40" w14:paraId="281596A4" w14:textId="77777777">
        <w:tc>
          <w:tcPr>
            <w:tcW w:w="3794" w:type="dxa"/>
          </w:tcPr>
          <w:p w14:paraId="108A18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E213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соединяясь при выходе из патрубков</w:t>
            </w:r>
          </w:p>
        </w:tc>
      </w:tr>
      <w:tr w:rsidR="00DA227A" w:rsidRPr="00E93F40" w14:paraId="0ECD2E95" w14:textId="77777777">
        <w:tc>
          <w:tcPr>
            <w:tcW w:w="3794" w:type="dxa"/>
          </w:tcPr>
          <w:p w14:paraId="5F40D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5F0B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образуют по бокам плоскостей 2 струи плотной</w:t>
            </w:r>
          </w:p>
        </w:tc>
      </w:tr>
      <w:tr w:rsidR="00DA227A" w:rsidRPr="00E93F40" w14:paraId="7133100C" w14:textId="77777777">
        <w:tc>
          <w:tcPr>
            <w:tcW w:w="3794" w:type="dxa"/>
          </w:tcPr>
          <w:p w14:paraId="7080C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846D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дымзавесы в 10 км.</w:t>
            </w:r>
          </w:p>
        </w:tc>
      </w:tr>
      <w:tr w:rsidR="00DA227A" w:rsidRPr="00E93F40" w14:paraId="0C72E7F9" w14:textId="77777777">
        <w:tc>
          <w:tcPr>
            <w:tcW w:w="3794" w:type="dxa"/>
          </w:tcPr>
          <w:p w14:paraId="4EFB91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2405C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со следующими дополнениями:</w:t>
            </w:r>
          </w:p>
        </w:tc>
      </w:tr>
      <w:tr w:rsidR="00DA227A" w:rsidRPr="00E93F40" w14:paraId="26E263FF" w14:textId="77777777">
        <w:tc>
          <w:tcPr>
            <w:tcW w:w="3794" w:type="dxa"/>
          </w:tcPr>
          <w:p w14:paraId="2F39E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CB85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иметь расчет на 2 компонента</w:t>
            </w:r>
          </w:p>
        </w:tc>
      </w:tr>
      <w:tr w:rsidR="00DA227A" w:rsidRPr="00E93F40" w14:paraId="2C7F54F5" w14:textId="77777777">
        <w:tc>
          <w:tcPr>
            <w:tcW w:w="3794" w:type="dxa"/>
          </w:tcPr>
          <w:p w14:paraId="56230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7EE4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производить горизонтзавесу</w:t>
            </w:r>
          </w:p>
        </w:tc>
      </w:tr>
      <w:tr w:rsidR="00DA227A" w:rsidRPr="00E93F40" w14:paraId="5A3F41E7" w14:textId="77777777">
        <w:tc>
          <w:tcPr>
            <w:tcW w:w="3794" w:type="dxa"/>
          </w:tcPr>
          <w:p w14:paraId="2BEB0F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C7F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произвести предварительные испытания </w:t>
            </w:r>
          </w:p>
        </w:tc>
      </w:tr>
      <w:tr w:rsidR="00DA227A" w:rsidRPr="00E93F40" w14:paraId="5F398539" w14:textId="77777777">
        <w:tc>
          <w:tcPr>
            <w:tcW w:w="3794" w:type="dxa"/>
          </w:tcPr>
          <w:p w14:paraId="47D016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ECE5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истечения большого количества жидкости</w:t>
            </w:r>
          </w:p>
        </w:tc>
      </w:tr>
      <w:tr w:rsidR="00DA227A" w:rsidRPr="00E93F40" w14:paraId="1D4A58ED" w14:textId="77777777">
        <w:tc>
          <w:tcPr>
            <w:tcW w:w="3794" w:type="dxa"/>
          </w:tcPr>
          <w:p w14:paraId="3CB8D7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1E73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больших баков.</w:t>
            </w:r>
          </w:p>
        </w:tc>
      </w:tr>
      <w:tr w:rsidR="00DA227A" w:rsidRPr="00E93F40" w14:paraId="1565AACC" w14:textId="77777777">
        <w:tc>
          <w:tcPr>
            <w:tcW w:w="3794" w:type="dxa"/>
          </w:tcPr>
          <w:p w14:paraId="484231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E83E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Зажигательная термиткассета (Г-51)</w:t>
            </w:r>
          </w:p>
        </w:tc>
      </w:tr>
      <w:tr w:rsidR="00DA227A" w:rsidRPr="00E93F40" w14:paraId="1344512E" w14:textId="77777777">
        <w:tc>
          <w:tcPr>
            <w:tcW w:w="3794" w:type="dxa"/>
          </w:tcPr>
          <w:p w14:paraId="78560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177C3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Бомбовые кассеты самолета ТБ-1 заполняются</w:t>
            </w:r>
          </w:p>
        </w:tc>
      </w:tr>
      <w:tr w:rsidR="00DA227A" w:rsidRPr="00E93F40" w14:paraId="1DD2C19C" w14:textId="77777777">
        <w:tc>
          <w:tcPr>
            <w:tcW w:w="3794" w:type="dxa"/>
          </w:tcPr>
          <w:p w14:paraId="3EEB0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8C87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шт. Термитпатронов, снабженными фитилем</w:t>
            </w:r>
          </w:p>
        </w:tc>
      </w:tr>
      <w:tr w:rsidR="00DA227A" w:rsidRPr="00E93F40" w14:paraId="749756E7" w14:textId="77777777">
        <w:tc>
          <w:tcPr>
            <w:tcW w:w="3794" w:type="dxa"/>
          </w:tcPr>
          <w:p w14:paraId="395A3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60AB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выбрасываемых автоматически через</w:t>
            </w:r>
          </w:p>
        </w:tc>
      </w:tr>
      <w:tr w:rsidR="00DA227A" w:rsidRPr="00E93F40" w14:paraId="647C512A" w14:textId="77777777">
        <w:tc>
          <w:tcPr>
            <w:tcW w:w="3794" w:type="dxa"/>
          </w:tcPr>
          <w:p w14:paraId="6CEDC4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88D6C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специальный люк. В конце люка устанавливается</w:t>
            </w:r>
          </w:p>
        </w:tc>
      </w:tr>
      <w:tr w:rsidR="00DA227A" w:rsidRPr="00E93F40" w14:paraId="196EDCA5" w14:textId="77777777">
        <w:tc>
          <w:tcPr>
            <w:tcW w:w="3794" w:type="dxa"/>
          </w:tcPr>
          <w:p w14:paraId="1042AF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526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 производящее вспышку</w:t>
            </w:r>
          </w:p>
        </w:tc>
      </w:tr>
      <w:tr w:rsidR="00DA227A" w:rsidRPr="00E93F40" w14:paraId="50DC0579" w14:textId="77777777">
        <w:tc>
          <w:tcPr>
            <w:tcW w:w="3794" w:type="dxa"/>
          </w:tcPr>
          <w:p w14:paraId="4D136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D5F6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бензина, пропускаемого в выходной конец</w:t>
            </w:r>
          </w:p>
        </w:tc>
      </w:tr>
      <w:tr w:rsidR="00DA227A" w:rsidRPr="00E93F40" w14:paraId="4FAB72AD" w14:textId="77777777">
        <w:tc>
          <w:tcPr>
            <w:tcW w:w="3794" w:type="dxa"/>
          </w:tcPr>
          <w:p w14:paraId="23CAD9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026A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люка через магнето с двумя электродами.</w:t>
            </w:r>
          </w:p>
        </w:tc>
      </w:tr>
      <w:tr w:rsidR="00DA227A" w:rsidRPr="00E93F40" w14:paraId="70454638" w14:textId="77777777">
        <w:tc>
          <w:tcPr>
            <w:tcW w:w="3794" w:type="dxa"/>
          </w:tcPr>
          <w:p w14:paraId="7F5B3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58EB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Образующее пламя от зажигания поданного</w:t>
            </w:r>
          </w:p>
        </w:tc>
      </w:tr>
      <w:tr w:rsidR="00DA227A" w:rsidRPr="00E93F40" w14:paraId="74968EB3" w14:textId="77777777">
        <w:tc>
          <w:tcPr>
            <w:tcW w:w="3794" w:type="dxa"/>
          </w:tcPr>
          <w:p w14:paraId="2CA3C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55D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бензина зажигает фитиль проходящего</w:t>
            </w:r>
          </w:p>
        </w:tc>
      </w:tr>
      <w:tr w:rsidR="00DA227A" w:rsidRPr="00E93F40" w14:paraId="33C97CE6" w14:textId="77777777">
        <w:tc>
          <w:tcPr>
            <w:tcW w:w="3794" w:type="dxa"/>
          </w:tcPr>
          <w:p w14:paraId="4EED4F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1083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термит. патрона и последний вспыхивая</w:t>
            </w:r>
          </w:p>
        </w:tc>
      </w:tr>
      <w:tr w:rsidR="00DA227A" w:rsidRPr="00E93F40" w14:paraId="77AB5A79" w14:textId="77777777">
        <w:tc>
          <w:tcPr>
            <w:tcW w:w="3794" w:type="dxa"/>
          </w:tcPr>
          <w:p w14:paraId="53C965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0473A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образует своим горением температуру</w:t>
            </w:r>
          </w:p>
        </w:tc>
      </w:tr>
      <w:tr w:rsidR="00DA227A" w:rsidRPr="00E93F40" w14:paraId="31F5AC51" w14:textId="77777777">
        <w:tc>
          <w:tcPr>
            <w:tcW w:w="3794" w:type="dxa"/>
          </w:tcPr>
          <w:p w14:paraId="03BAD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66E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3000 градусов, сжигая на земной</w:t>
            </w:r>
          </w:p>
        </w:tc>
      </w:tr>
      <w:tr w:rsidR="00DA227A" w:rsidRPr="00E93F40" w14:paraId="0BC6521A" w14:textId="77777777">
        <w:tc>
          <w:tcPr>
            <w:tcW w:w="3794" w:type="dxa"/>
          </w:tcPr>
          <w:p w14:paraId="38E06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6E5B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поверхности все попадающее в радиус</w:t>
            </w:r>
          </w:p>
        </w:tc>
      </w:tr>
      <w:tr w:rsidR="00DA227A" w:rsidRPr="00E93F40" w14:paraId="4DCC7557" w14:textId="77777777">
        <w:tc>
          <w:tcPr>
            <w:tcW w:w="3794" w:type="dxa"/>
          </w:tcPr>
          <w:p w14:paraId="52486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DB46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действия термит. патрона.</w:t>
            </w:r>
          </w:p>
        </w:tc>
      </w:tr>
      <w:tr w:rsidR="00DA227A" w:rsidRPr="00E93F40" w14:paraId="27D74534" w14:textId="77777777">
        <w:tc>
          <w:tcPr>
            <w:tcW w:w="3794" w:type="dxa"/>
          </w:tcPr>
          <w:p w14:paraId="37BE7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20819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768E12B5" w14:textId="77777777">
        <w:tc>
          <w:tcPr>
            <w:tcW w:w="3794" w:type="dxa"/>
          </w:tcPr>
          <w:p w14:paraId="0886A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31A087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Ампульный прибор для ОВ (Г-52)</w:t>
            </w:r>
          </w:p>
        </w:tc>
      </w:tr>
      <w:tr w:rsidR="00DA227A" w:rsidRPr="00E93F40" w14:paraId="081B4D22" w14:textId="77777777">
        <w:tc>
          <w:tcPr>
            <w:tcW w:w="3794" w:type="dxa"/>
          </w:tcPr>
          <w:p w14:paraId="437098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5188CC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кассетах, подвешиваемых под самолетом</w:t>
            </w:r>
          </w:p>
        </w:tc>
      </w:tr>
      <w:tr w:rsidR="00DA227A" w:rsidRPr="00E93F40" w14:paraId="7A8DDC74" w14:textId="77777777">
        <w:tc>
          <w:tcPr>
            <w:tcW w:w="3794" w:type="dxa"/>
          </w:tcPr>
          <w:p w14:paraId="1A6ACF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E94B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помещается 1600 стеклянных ампул,</w:t>
            </w:r>
          </w:p>
        </w:tc>
      </w:tr>
      <w:tr w:rsidR="00DA227A" w:rsidRPr="00E93F40" w14:paraId="4D2B688C" w14:textId="77777777">
        <w:tc>
          <w:tcPr>
            <w:tcW w:w="3794" w:type="dxa"/>
          </w:tcPr>
          <w:p w14:paraId="2F4F4F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0A2B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заполненных ОВ, упакованных пакетами.</w:t>
            </w:r>
          </w:p>
        </w:tc>
      </w:tr>
      <w:tr w:rsidR="00DA227A" w:rsidRPr="00E93F40" w14:paraId="2C518242" w14:textId="77777777">
        <w:tc>
          <w:tcPr>
            <w:tcW w:w="3794" w:type="dxa"/>
          </w:tcPr>
          <w:p w14:paraId="155695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C39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Сбрасываемые с самолета серией, залпом</w:t>
            </w:r>
          </w:p>
        </w:tc>
      </w:tr>
      <w:tr w:rsidR="00DA227A" w:rsidRPr="00E93F40" w14:paraId="3A54F524" w14:textId="77777777">
        <w:tc>
          <w:tcPr>
            <w:tcW w:w="3794" w:type="dxa"/>
          </w:tcPr>
          <w:p w14:paraId="4DFEF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86A8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пакеты по 8 ампул в каждом раскрываются</w:t>
            </w:r>
          </w:p>
        </w:tc>
      </w:tr>
      <w:tr w:rsidR="00DA227A" w:rsidRPr="00E93F40" w14:paraId="044C8F33" w14:textId="77777777">
        <w:tc>
          <w:tcPr>
            <w:tcW w:w="3794" w:type="dxa"/>
          </w:tcPr>
          <w:p w14:paraId="684D3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637A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полете и достигая поверхности куда</w:t>
            </w:r>
          </w:p>
        </w:tc>
      </w:tr>
      <w:tr w:rsidR="00DA227A" w:rsidRPr="00E93F40" w14:paraId="27ACE58F" w14:textId="77777777">
        <w:tc>
          <w:tcPr>
            <w:tcW w:w="3794" w:type="dxa"/>
          </w:tcPr>
          <w:p w14:paraId="081E3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250E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направлено сбрасывание, приводят к</w:t>
            </w:r>
          </w:p>
        </w:tc>
      </w:tr>
      <w:tr w:rsidR="00DA227A" w:rsidRPr="00E93F40" w14:paraId="63768FF5" w14:textId="77777777">
        <w:tc>
          <w:tcPr>
            <w:tcW w:w="3794" w:type="dxa"/>
          </w:tcPr>
          <w:p w14:paraId="2EEF7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383D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разбитию ампул и заражению местности</w:t>
            </w:r>
          </w:p>
        </w:tc>
      </w:tr>
      <w:tr w:rsidR="00DA227A" w:rsidRPr="00E93F40" w14:paraId="78AE68D8" w14:textId="77777777">
        <w:tc>
          <w:tcPr>
            <w:tcW w:w="3794" w:type="dxa"/>
          </w:tcPr>
          <w:p w14:paraId="567D8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ECB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ОВ.</w:t>
            </w:r>
          </w:p>
        </w:tc>
      </w:tr>
      <w:tr w:rsidR="00DA227A" w:rsidRPr="00E93F40" w14:paraId="0DE95DC1" w14:textId="77777777">
        <w:tc>
          <w:tcPr>
            <w:tcW w:w="3794" w:type="dxa"/>
          </w:tcPr>
          <w:p w14:paraId="55F92D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5358B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2F79608A" w14:textId="77777777">
        <w:tc>
          <w:tcPr>
            <w:tcW w:w="3794" w:type="dxa"/>
          </w:tcPr>
          <w:p w14:paraId="4CBE7F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433A5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Ударная ампульная бомба (Г-53)</w:t>
            </w:r>
          </w:p>
        </w:tc>
      </w:tr>
      <w:tr w:rsidR="00DA227A" w:rsidRPr="00E93F40" w14:paraId="57E8B1CB" w14:textId="77777777">
        <w:tc>
          <w:tcPr>
            <w:tcW w:w="3794" w:type="dxa"/>
          </w:tcPr>
          <w:p w14:paraId="5E795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71013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Металлический баллон заполняется</w:t>
            </w:r>
          </w:p>
        </w:tc>
      </w:tr>
      <w:tr w:rsidR="00DA227A" w:rsidRPr="00E93F40" w14:paraId="000738B8" w14:textId="77777777">
        <w:tc>
          <w:tcPr>
            <w:tcW w:w="3794" w:type="dxa"/>
          </w:tcPr>
          <w:p w14:paraId="14F99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50C0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кг ОВ и помещается в теле ударной</w:t>
            </w:r>
          </w:p>
        </w:tc>
      </w:tr>
      <w:tr w:rsidR="00DA227A" w:rsidRPr="00E93F40" w14:paraId="2985BC2B" w14:textId="77777777">
        <w:tc>
          <w:tcPr>
            <w:tcW w:w="3794" w:type="dxa"/>
          </w:tcPr>
          <w:p w14:paraId="3017A9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D94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бомбы. Сбрасываемая с самолета Р-6</w:t>
            </w:r>
          </w:p>
        </w:tc>
      </w:tr>
      <w:tr w:rsidR="00DA227A" w:rsidRPr="00E93F40" w14:paraId="4698C082" w14:textId="77777777">
        <w:tc>
          <w:tcPr>
            <w:tcW w:w="3794" w:type="dxa"/>
          </w:tcPr>
          <w:p w14:paraId="0A907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3BF8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ударная бомба, достигая земной поверхности</w:t>
            </w:r>
          </w:p>
        </w:tc>
      </w:tr>
      <w:tr w:rsidR="00DA227A" w:rsidRPr="00E93F40" w14:paraId="23427940" w14:textId="77777777">
        <w:tc>
          <w:tcPr>
            <w:tcW w:w="3794" w:type="dxa"/>
          </w:tcPr>
          <w:p w14:paraId="6D1E1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CD62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разрывается, выбрасывая баллон с ОВ в воздух</w:t>
            </w:r>
          </w:p>
        </w:tc>
      </w:tr>
      <w:tr w:rsidR="00DA227A" w:rsidRPr="00E93F40" w14:paraId="7CBF3378" w14:textId="77777777">
        <w:tc>
          <w:tcPr>
            <w:tcW w:w="3794" w:type="dxa"/>
          </w:tcPr>
          <w:p w14:paraId="483257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4D0B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свою очередь рвущийся (благодаря</w:t>
            </w:r>
          </w:p>
        </w:tc>
      </w:tr>
      <w:tr w:rsidR="00DA227A" w:rsidRPr="00E93F40" w14:paraId="3AF0BF9A" w14:textId="77777777">
        <w:tc>
          <w:tcPr>
            <w:tcW w:w="3794" w:type="dxa"/>
          </w:tcPr>
          <w:p w14:paraId="4E267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272C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специальному приспособлению) и с</w:t>
            </w:r>
          </w:p>
        </w:tc>
      </w:tr>
      <w:tr w:rsidR="00DA227A" w:rsidRPr="00E93F40" w14:paraId="6A036215" w14:textId="77777777">
        <w:tc>
          <w:tcPr>
            <w:tcW w:w="3794" w:type="dxa"/>
          </w:tcPr>
          <w:p w14:paraId="40F33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4FE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разбрызгивающейся ОВ на территорию</w:t>
            </w:r>
          </w:p>
        </w:tc>
      </w:tr>
      <w:tr w:rsidR="00DA227A" w:rsidRPr="00E93F40" w14:paraId="0082B31A" w14:textId="77777777">
        <w:tc>
          <w:tcPr>
            <w:tcW w:w="3794" w:type="dxa"/>
          </w:tcPr>
          <w:p w14:paraId="1ED6BF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F704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100 м.</w:t>
            </w:r>
          </w:p>
        </w:tc>
      </w:tr>
      <w:tr w:rsidR="00DA227A" w:rsidRPr="00E93F40" w14:paraId="0B39AA8B" w14:textId="77777777">
        <w:tc>
          <w:tcPr>
            <w:tcW w:w="3794" w:type="dxa"/>
          </w:tcPr>
          <w:p w14:paraId="311D90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564E0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Учесть опыты с ПАХ-50.</w:t>
            </w:r>
          </w:p>
        </w:tc>
      </w:tr>
      <w:tr w:rsidR="00DA227A" w:rsidRPr="00E93F40" w14:paraId="17235946" w14:textId="77777777">
        <w:tc>
          <w:tcPr>
            <w:tcW w:w="3794" w:type="dxa"/>
          </w:tcPr>
          <w:p w14:paraId="3E504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9ED7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 для ампульных бомб (Г-54)</w:t>
            </w:r>
          </w:p>
        </w:tc>
      </w:tr>
      <w:tr w:rsidR="00DA227A" w:rsidRPr="00E93F40" w14:paraId="66384971" w14:textId="77777777">
        <w:tc>
          <w:tcPr>
            <w:tcW w:w="3794" w:type="dxa"/>
          </w:tcPr>
          <w:p w14:paraId="42249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101A9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 кассет заполняется 100</w:t>
            </w:r>
          </w:p>
        </w:tc>
      </w:tr>
      <w:tr w:rsidR="00DA227A" w:rsidRPr="00E93F40" w14:paraId="6B1ABAE1" w14:textId="77777777">
        <w:tc>
          <w:tcPr>
            <w:tcW w:w="3794" w:type="dxa"/>
          </w:tcPr>
          <w:p w14:paraId="18665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D4FD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 ампульных бомб и подвешивается под</w:t>
            </w:r>
          </w:p>
        </w:tc>
      </w:tr>
      <w:tr w:rsidR="00DA227A" w:rsidRPr="00E93F40" w14:paraId="2B5A34E9" w14:textId="77777777">
        <w:tc>
          <w:tcPr>
            <w:tcW w:w="3794" w:type="dxa"/>
          </w:tcPr>
          <w:p w14:paraId="7B803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0AA96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самолетом Р-6. Действием летнаба на</w:t>
            </w:r>
          </w:p>
        </w:tc>
      </w:tr>
      <w:tr w:rsidR="00DA227A" w:rsidRPr="00E93F40" w14:paraId="3E6CC993" w14:textId="77777777">
        <w:tc>
          <w:tcPr>
            <w:tcW w:w="3794" w:type="dxa"/>
          </w:tcPr>
          <w:p w14:paraId="3EAC89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254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сбрасыватель, кассет освобождается от бомб,</w:t>
            </w:r>
          </w:p>
        </w:tc>
      </w:tr>
      <w:tr w:rsidR="00DA227A" w:rsidRPr="00E93F40" w14:paraId="1D545AD6" w14:textId="77777777">
        <w:tc>
          <w:tcPr>
            <w:tcW w:w="3794" w:type="dxa"/>
          </w:tcPr>
          <w:p w14:paraId="6E7DF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07D9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выбрасываемых при необходимости в</w:t>
            </w:r>
          </w:p>
        </w:tc>
      </w:tr>
      <w:tr w:rsidR="00DA227A" w:rsidRPr="00E93F40" w14:paraId="445639FA" w14:textId="77777777">
        <w:tc>
          <w:tcPr>
            <w:tcW w:w="3794" w:type="dxa"/>
          </w:tcPr>
          <w:p w14:paraId="482D86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825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одиночку, серией и залпом.</w:t>
            </w:r>
          </w:p>
        </w:tc>
      </w:tr>
      <w:tr w:rsidR="00DA227A" w:rsidRPr="00E93F40" w14:paraId="62F4B922" w14:textId="77777777">
        <w:tc>
          <w:tcPr>
            <w:tcW w:w="3794" w:type="dxa"/>
          </w:tcPr>
          <w:p w14:paraId="3AFAF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49126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Учесть опыты с ПАХ-50.</w:t>
            </w:r>
          </w:p>
        </w:tc>
      </w:tr>
      <w:tr w:rsidR="00DA227A" w:rsidRPr="00E93F40" w14:paraId="72458635" w14:textId="77777777">
        <w:tc>
          <w:tcPr>
            <w:tcW w:w="3794" w:type="dxa"/>
          </w:tcPr>
          <w:p w14:paraId="616F4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5B455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дистанционная химбомба (Г-55)</w:t>
            </w:r>
          </w:p>
        </w:tc>
      </w:tr>
      <w:tr w:rsidR="00DA227A" w:rsidRPr="00E93F40" w14:paraId="3881FDB7" w14:textId="77777777">
        <w:tc>
          <w:tcPr>
            <w:tcW w:w="3794" w:type="dxa"/>
          </w:tcPr>
          <w:p w14:paraId="703A8A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10D0E2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тело деревянного снаряда, соединенного</w:t>
            </w:r>
          </w:p>
        </w:tc>
      </w:tr>
      <w:tr w:rsidR="00DA227A" w:rsidRPr="00E93F40" w14:paraId="5DF70300" w14:textId="77777777">
        <w:tc>
          <w:tcPr>
            <w:tcW w:w="3794" w:type="dxa"/>
          </w:tcPr>
          <w:p w14:paraId="6DEF2A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47D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2-х м парашютом, заключенном в заднем</w:t>
            </w:r>
          </w:p>
        </w:tc>
      </w:tr>
      <w:tr w:rsidR="00DA227A" w:rsidRPr="00E93F40" w14:paraId="09355AD5" w14:textId="77777777">
        <w:tc>
          <w:tcPr>
            <w:tcW w:w="3794" w:type="dxa"/>
          </w:tcPr>
          <w:p w14:paraId="683AFB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D70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обтекателе снаряда и снаряженного</w:t>
            </w:r>
          </w:p>
        </w:tc>
      </w:tr>
      <w:tr w:rsidR="00DA227A" w:rsidRPr="00E93F40" w14:paraId="6FD8B57B" w14:textId="77777777">
        <w:tc>
          <w:tcPr>
            <w:tcW w:w="3794" w:type="dxa"/>
          </w:tcPr>
          <w:p w14:paraId="5EEA5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D36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грузиком на 50 м шнуре, помещенный в</w:t>
            </w:r>
          </w:p>
        </w:tc>
      </w:tr>
      <w:tr w:rsidR="00DA227A" w:rsidRPr="00E93F40" w14:paraId="46B48C11" w14:textId="77777777">
        <w:tc>
          <w:tcPr>
            <w:tcW w:w="3794" w:type="dxa"/>
          </w:tcPr>
          <w:p w14:paraId="67B71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793A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головке и заканчивающимся ударником,</w:t>
            </w:r>
          </w:p>
        </w:tc>
      </w:tr>
      <w:tr w:rsidR="00DA227A" w:rsidRPr="00E93F40" w14:paraId="639DF8F2" w14:textId="77777777">
        <w:tc>
          <w:tcPr>
            <w:tcW w:w="3794" w:type="dxa"/>
          </w:tcPr>
          <w:p w14:paraId="176E3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AC7F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вставляется баллон с ОВ. Сброшенная с</w:t>
            </w:r>
          </w:p>
        </w:tc>
      </w:tr>
      <w:tr w:rsidR="00DA227A" w:rsidRPr="00E93F40" w14:paraId="0FF649F5" w14:textId="77777777">
        <w:tc>
          <w:tcPr>
            <w:tcW w:w="3794" w:type="dxa"/>
          </w:tcPr>
          <w:p w14:paraId="3E6451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968E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Р-5 на парашюте, химбомба</w:t>
            </w:r>
          </w:p>
        </w:tc>
      </w:tr>
      <w:tr w:rsidR="00DA227A" w:rsidRPr="00E93F40" w14:paraId="65962823" w14:textId="77777777">
        <w:tc>
          <w:tcPr>
            <w:tcW w:w="3794" w:type="dxa"/>
          </w:tcPr>
          <w:p w14:paraId="767FF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DC1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взрывается от действия ударника о поверхность</w:t>
            </w:r>
          </w:p>
        </w:tc>
      </w:tr>
      <w:tr w:rsidR="00DA227A" w:rsidRPr="00E93F40" w14:paraId="0114DC35" w14:textId="77777777">
        <w:tc>
          <w:tcPr>
            <w:tcW w:w="3794" w:type="dxa"/>
          </w:tcPr>
          <w:p w14:paraId="4C8EB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92D7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разбрызгивает ОВ находящееся в</w:t>
            </w:r>
          </w:p>
        </w:tc>
      </w:tr>
      <w:tr w:rsidR="00DA227A" w:rsidRPr="00E93F40" w14:paraId="2A1AAE4B" w14:textId="77777777">
        <w:tc>
          <w:tcPr>
            <w:tcW w:w="3794" w:type="dxa"/>
          </w:tcPr>
          <w:p w14:paraId="18508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F87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баллоне, заражая поверхность на 20 м.</w:t>
            </w:r>
          </w:p>
        </w:tc>
      </w:tr>
      <w:tr w:rsidR="00DA227A" w:rsidRPr="00E93F40" w14:paraId="682B3B1E" w14:textId="77777777">
        <w:tc>
          <w:tcPr>
            <w:tcW w:w="3794" w:type="dxa"/>
          </w:tcPr>
          <w:p w14:paraId="5C9D34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15F16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0F207E28" w14:textId="77777777">
        <w:tc>
          <w:tcPr>
            <w:tcW w:w="3794" w:type="dxa"/>
          </w:tcPr>
          <w:p w14:paraId="5D87DA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3FCF4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К.П.Б. (Кабина парашютно-бактериологич.)</w:t>
            </w:r>
          </w:p>
        </w:tc>
      </w:tr>
      <w:tr w:rsidR="00DA227A" w:rsidRPr="00E93F40" w14:paraId="0D457BDA" w14:textId="77777777">
        <w:tc>
          <w:tcPr>
            <w:tcW w:w="3794" w:type="dxa"/>
          </w:tcPr>
          <w:p w14:paraId="6C947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77C0E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(Г-56)</w:t>
            </w:r>
          </w:p>
        </w:tc>
      </w:tr>
      <w:tr w:rsidR="00DA227A" w:rsidRPr="00E93F40" w14:paraId="41F6C85A" w14:textId="77777777">
        <w:tc>
          <w:tcPr>
            <w:tcW w:w="3794" w:type="dxa"/>
          </w:tcPr>
          <w:p w14:paraId="3DAD1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35ACD1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смешанной конструкции, разделенная</w:t>
            </w:r>
          </w:p>
        </w:tc>
      </w:tr>
      <w:tr w:rsidR="00DA227A" w:rsidRPr="00E93F40" w14:paraId="3C956F81" w14:textId="77777777">
        <w:tc>
          <w:tcPr>
            <w:tcW w:w="3794" w:type="dxa"/>
          </w:tcPr>
          <w:p w14:paraId="33710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491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отсеки, заполняется 500 шт. Крыс, зараженных</w:t>
            </w:r>
          </w:p>
        </w:tc>
      </w:tr>
      <w:tr w:rsidR="00DA227A" w:rsidRPr="00E93F40" w14:paraId="70639E77" w14:textId="77777777">
        <w:tc>
          <w:tcPr>
            <w:tcW w:w="3794" w:type="dxa"/>
          </w:tcPr>
          <w:p w14:paraId="4BE38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23B8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инфекционными болезнями. Сброшенная на</w:t>
            </w:r>
          </w:p>
        </w:tc>
      </w:tr>
      <w:tr w:rsidR="00DA227A" w:rsidRPr="00E93F40" w14:paraId="7D1F74F4" w14:textId="77777777">
        <w:tc>
          <w:tcPr>
            <w:tcW w:w="3794" w:type="dxa"/>
          </w:tcPr>
          <w:p w14:paraId="38C339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47B6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парашюте с самолета Р-6 в населенные местности</w:t>
            </w:r>
          </w:p>
        </w:tc>
      </w:tr>
      <w:tr w:rsidR="00DA227A" w:rsidRPr="00E93F40" w14:paraId="79A5E49F" w14:textId="77777777">
        <w:tc>
          <w:tcPr>
            <w:tcW w:w="3794" w:type="dxa"/>
          </w:tcPr>
          <w:p w14:paraId="3AD6C0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BB63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достигая земной поверхности,</w:t>
            </w:r>
          </w:p>
        </w:tc>
      </w:tr>
      <w:tr w:rsidR="00DA227A" w:rsidRPr="00E93F40" w14:paraId="1D1A0F22" w14:textId="77777777">
        <w:tc>
          <w:tcPr>
            <w:tcW w:w="3794" w:type="dxa"/>
          </w:tcPr>
          <w:p w14:paraId="6C40A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7575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 раскрывается, выпуская крыс.</w:t>
            </w:r>
          </w:p>
        </w:tc>
      </w:tr>
      <w:tr w:rsidR="00DA227A" w:rsidRPr="00E93F40" w14:paraId="5E870002" w14:textId="77777777">
        <w:tc>
          <w:tcPr>
            <w:tcW w:w="3794" w:type="dxa"/>
          </w:tcPr>
          <w:p w14:paraId="0BC357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Решения совещания у НВВС</w:t>
            </w:r>
          </w:p>
        </w:tc>
        <w:tc>
          <w:tcPr>
            <w:tcW w:w="5245" w:type="dxa"/>
          </w:tcPr>
          <w:p w14:paraId="5FEE9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045F3A34" w14:textId="77777777">
        <w:tc>
          <w:tcPr>
            <w:tcW w:w="3794" w:type="dxa"/>
          </w:tcPr>
          <w:p w14:paraId="7C184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4A71A1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 для бактериологических ампул (Г-57)</w:t>
            </w:r>
          </w:p>
        </w:tc>
      </w:tr>
      <w:tr w:rsidR="00DA227A" w:rsidRPr="00E93F40" w14:paraId="585AB8DB" w14:textId="77777777">
        <w:tc>
          <w:tcPr>
            <w:tcW w:w="3794" w:type="dxa"/>
          </w:tcPr>
          <w:p w14:paraId="54489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00ABC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4709FE" w14:textId="77777777">
        <w:tc>
          <w:tcPr>
            <w:tcW w:w="3794" w:type="dxa"/>
          </w:tcPr>
          <w:p w14:paraId="2B728E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64D12A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3571E80B" w14:textId="77777777">
        <w:tc>
          <w:tcPr>
            <w:tcW w:w="3794" w:type="dxa"/>
          </w:tcPr>
          <w:p w14:paraId="0B5723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9081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В.Б.Ф. (водный бактериологический фугас)</w:t>
            </w:r>
          </w:p>
        </w:tc>
      </w:tr>
      <w:tr w:rsidR="00DA227A" w:rsidRPr="00E93F40" w14:paraId="5A76AAF6" w14:textId="77777777">
        <w:tc>
          <w:tcPr>
            <w:tcW w:w="3794" w:type="dxa"/>
          </w:tcPr>
          <w:p w14:paraId="6DDFD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E583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(Г-58)</w:t>
            </w:r>
          </w:p>
        </w:tc>
      </w:tr>
      <w:tr w:rsidR="00DA227A" w:rsidRPr="00E93F40" w14:paraId="40928831" w14:textId="77777777">
        <w:tc>
          <w:tcPr>
            <w:tcW w:w="3794" w:type="dxa"/>
          </w:tcPr>
          <w:p w14:paraId="15897A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56381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Снаряд фугасного действия металлический,</w:t>
            </w:r>
          </w:p>
        </w:tc>
      </w:tr>
      <w:tr w:rsidR="00DA227A" w:rsidRPr="00E93F40" w14:paraId="0A0D941C" w14:textId="77777777">
        <w:tc>
          <w:tcPr>
            <w:tcW w:w="3794" w:type="dxa"/>
          </w:tcPr>
          <w:p w14:paraId="507F9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9A64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подвешивается под самолетом Р-6 и</w:t>
            </w:r>
          </w:p>
        </w:tc>
      </w:tr>
      <w:tr w:rsidR="00DA227A" w:rsidRPr="00E93F40" w14:paraId="05D09084" w14:textId="77777777">
        <w:tc>
          <w:tcPr>
            <w:tcW w:w="3794" w:type="dxa"/>
          </w:tcPr>
          <w:p w14:paraId="45F7B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67A9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заполняется жидкими инфекционными</w:t>
            </w:r>
          </w:p>
        </w:tc>
      </w:tr>
      <w:tr w:rsidR="00DA227A" w:rsidRPr="00E93F40" w14:paraId="3BCBE2AD" w14:textId="77777777">
        <w:tc>
          <w:tcPr>
            <w:tcW w:w="3794" w:type="dxa"/>
          </w:tcPr>
          <w:p w14:paraId="2D44C1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1C19D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культурами. При сбрасывании и ударе о</w:t>
            </w:r>
          </w:p>
        </w:tc>
      </w:tr>
      <w:tr w:rsidR="00DA227A" w:rsidRPr="00E93F40" w14:paraId="297A9231" w14:textId="77777777">
        <w:tc>
          <w:tcPr>
            <w:tcW w:w="3794" w:type="dxa"/>
          </w:tcPr>
          <w:p w14:paraId="17C3C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D289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водную поверхность фугас взрывается и</w:t>
            </w:r>
          </w:p>
        </w:tc>
      </w:tr>
      <w:tr w:rsidR="00DA227A" w:rsidRPr="00E93F40" w14:paraId="6D4B074A" w14:textId="77777777">
        <w:tc>
          <w:tcPr>
            <w:tcW w:w="3794" w:type="dxa"/>
          </w:tcPr>
          <w:p w14:paraId="5E473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C46A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разбрызгивая содержимое, отравляет</w:t>
            </w:r>
          </w:p>
        </w:tc>
      </w:tr>
      <w:tr w:rsidR="00DA227A" w:rsidRPr="00E93F40" w14:paraId="2B54E035" w14:textId="77777777">
        <w:tc>
          <w:tcPr>
            <w:tcW w:w="3794" w:type="dxa"/>
          </w:tcPr>
          <w:p w14:paraId="72638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CD20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водное пространство.</w:t>
            </w:r>
          </w:p>
        </w:tc>
      </w:tr>
      <w:tr w:rsidR="00DA227A" w:rsidRPr="00E93F40" w14:paraId="6B27322C" w14:textId="77777777">
        <w:tc>
          <w:tcPr>
            <w:tcW w:w="3794" w:type="dxa"/>
          </w:tcPr>
          <w:p w14:paraId="722A2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55319B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570D4378" w14:textId="77777777">
        <w:tc>
          <w:tcPr>
            <w:tcW w:w="3794" w:type="dxa"/>
          </w:tcPr>
          <w:p w14:paraId="59BCB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37AF3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Ударная зажигательная термитная бомба</w:t>
            </w:r>
          </w:p>
        </w:tc>
      </w:tr>
      <w:tr w:rsidR="00DA227A" w:rsidRPr="00E93F40" w14:paraId="62E1A1DE" w14:textId="77777777">
        <w:tc>
          <w:tcPr>
            <w:tcW w:w="3794" w:type="dxa"/>
          </w:tcPr>
          <w:p w14:paraId="32E22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84B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(Г-59)</w:t>
            </w:r>
          </w:p>
        </w:tc>
      </w:tr>
      <w:tr w:rsidR="00DA227A" w:rsidRPr="00E93F40" w14:paraId="196FD034" w14:textId="77777777">
        <w:tc>
          <w:tcPr>
            <w:tcW w:w="3794" w:type="dxa"/>
          </w:tcPr>
          <w:p w14:paraId="050BAC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2BE55E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кассет, подвешиваемый под самолетом Р-6,</w:t>
            </w:r>
          </w:p>
        </w:tc>
      </w:tr>
      <w:tr w:rsidR="00DA227A" w:rsidRPr="00E93F40" w14:paraId="2DEE07A4" w14:textId="77777777">
        <w:tc>
          <w:tcPr>
            <w:tcW w:w="3794" w:type="dxa"/>
          </w:tcPr>
          <w:p w14:paraId="71930B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11C83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помещается 300 шт. термитных бомб. При</w:t>
            </w:r>
          </w:p>
        </w:tc>
      </w:tr>
      <w:tr w:rsidR="00DA227A" w:rsidRPr="00E93F40" w14:paraId="37F66A8D" w14:textId="77777777">
        <w:tc>
          <w:tcPr>
            <w:tcW w:w="3794" w:type="dxa"/>
          </w:tcPr>
          <w:p w14:paraId="1FA7E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7D2AA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сбрасывании бомбы взрываются и выбрасывают</w:t>
            </w:r>
          </w:p>
        </w:tc>
      </w:tr>
      <w:tr w:rsidR="00DA227A" w:rsidRPr="00E93F40" w14:paraId="16861EC0" w14:textId="77777777">
        <w:tc>
          <w:tcPr>
            <w:tcW w:w="3794" w:type="dxa"/>
          </w:tcPr>
          <w:p w14:paraId="036277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8A2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зажженный термитный патрон, который</w:t>
            </w:r>
          </w:p>
        </w:tc>
      </w:tr>
      <w:tr w:rsidR="00DA227A" w:rsidRPr="00E93F40" w14:paraId="542C09D1" w14:textId="77777777">
        <w:tc>
          <w:tcPr>
            <w:tcW w:w="3794" w:type="dxa"/>
          </w:tcPr>
          <w:p w14:paraId="32565D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50C8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 воспламенение всех окружающих</w:t>
            </w:r>
          </w:p>
        </w:tc>
      </w:tr>
      <w:tr w:rsidR="00DA227A" w:rsidRPr="00E93F40" w14:paraId="1FE2F5C3" w14:textId="77777777">
        <w:tc>
          <w:tcPr>
            <w:tcW w:w="3794" w:type="dxa"/>
          </w:tcPr>
          <w:p w14:paraId="388183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B95E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предметов.</w:t>
            </w:r>
          </w:p>
        </w:tc>
      </w:tr>
      <w:tr w:rsidR="009D12BD" w:rsidRPr="00E93F40" w14:paraId="7FE3D858" w14:textId="77777777">
        <w:tc>
          <w:tcPr>
            <w:tcW w:w="3794" w:type="dxa"/>
          </w:tcPr>
          <w:p w14:paraId="60FAF1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16100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bl>
    <w:p w14:paraId="62EFB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DA227A" w:rsidRPr="00E93F40" w14:paraId="48C50DCE" w14:textId="77777777">
        <w:tc>
          <w:tcPr>
            <w:tcW w:w="3794" w:type="dxa"/>
          </w:tcPr>
          <w:p w14:paraId="207AC1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4 отделу (Т.С.П.)</w:t>
            </w:r>
          </w:p>
        </w:tc>
        <w:tc>
          <w:tcPr>
            <w:tcW w:w="5245" w:type="dxa"/>
          </w:tcPr>
          <w:p w14:paraId="205DC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DC07DA" w14:textId="77777777">
        <w:tc>
          <w:tcPr>
            <w:tcW w:w="3794" w:type="dxa"/>
          </w:tcPr>
          <w:p w14:paraId="4AAF7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4891A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Подвесная агиткабина (Г-60)</w:t>
            </w:r>
          </w:p>
        </w:tc>
      </w:tr>
      <w:tr w:rsidR="00DA227A" w:rsidRPr="00E93F40" w14:paraId="72346995" w14:textId="77777777">
        <w:tc>
          <w:tcPr>
            <w:tcW w:w="3794" w:type="dxa"/>
          </w:tcPr>
          <w:p w14:paraId="3525FC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0D50D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Агиткабина спецконструкции подвешивается</w:t>
            </w:r>
          </w:p>
        </w:tc>
      </w:tr>
      <w:tr w:rsidR="00DA227A" w:rsidRPr="00E93F40" w14:paraId="1BDAAF98" w14:textId="77777777">
        <w:tc>
          <w:tcPr>
            <w:tcW w:w="3794" w:type="dxa"/>
          </w:tcPr>
          <w:p w14:paraId="5FC37E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DE9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самолет ТБ-3 и оборудованная</w:t>
            </w:r>
          </w:p>
        </w:tc>
      </w:tr>
      <w:tr w:rsidR="00DA227A" w:rsidRPr="00E93F40" w14:paraId="40D1F1CB" w14:textId="77777777">
        <w:tc>
          <w:tcPr>
            <w:tcW w:w="3794" w:type="dxa"/>
          </w:tcPr>
          <w:p w14:paraId="2F8F1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0FEB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приемочно-передающей рацией , кассетами </w:t>
            </w:r>
          </w:p>
        </w:tc>
      </w:tr>
      <w:tr w:rsidR="00DA227A" w:rsidRPr="00E93F40" w14:paraId="67C9E05F" w14:textId="77777777">
        <w:tc>
          <w:tcPr>
            <w:tcW w:w="3794" w:type="dxa"/>
          </w:tcPr>
          <w:p w14:paraId="5135C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6CD2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агитзалистывания, дистан. ударными бомбами</w:t>
            </w:r>
          </w:p>
        </w:tc>
      </w:tr>
      <w:tr w:rsidR="00DA227A" w:rsidRPr="00E93F40" w14:paraId="6C1B5B2C" w14:textId="77777777">
        <w:tc>
          <w:tcPr>
            <w:tcW w:w="3794" w:type="dxa"/>
          </w:tcPr>
          <w:p w14:paraId="46B18C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4690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приспособления для сбрасывания</w:t>
            </w:r>
          </w:p>
        </w:tc>
      </w:tr>
      <w:tr w:rsidR="00DA227A" w:rsidRPr="00E93F40" w14:paraId="23F9FAB5" w14:textId="77777777">
        <w:tc>
          <w:tcPr>
            <w:tcW w:w="3794" w:type="dxa"/>
          </w:tcPr>
          <w:p w14:paraId="708597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0D29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частям литературы и газет.</w:t>
            </w:r>
          </w:p>
        </w:tc>
      </w:tr>
      <w:tr w:rsidR="00DA227A" w:rsidRPr="00E93F40" w14:paraId="59822762" w14:textId="77777777">
        <w:tc>
          <w:tcPr>
            <w:tcW w:w="3794" w:type="dxa"/>
          </w:tcPr>
          <w:p w14:paraId="4813C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396B0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с внутренними объектами:</w:t>
            </w:r>
          </w:p>
        </w:tc>
      </w:tr>
      <w:tr w:rsidR="00DA227A" w:rsidRPr="00E93F40" w14:paraId="4D5CC293" w14:textId="77777777">
        <w:tc>
          <w:tcPr>
            <w:tcW w:w="3794" w:type="dxa"/>
          </w:tcPr>
          <w:p w14:paraId="712DD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Радиоустановкой</w:t>
            </w:r>
          </w:p>
        </w:tc>
        <w:tc>
          <w:tcPr>
            <w:tcW w:w="5245" w:type="dxa"/>
          </w:tcPr>
          <w:p w14:paraId="05F970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F7344D" w14:textId="77777777">
        <w:tc>
          <w:tcPr>
            <w:tcW w:w="3794" w:type="dxa"/>
          </w:tcPr>
          <w:p w14:paraId="7AA15B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Кассетом агитзалиствания</w:t>
            </w:r>
          </w:p>
        </w:tc>
        <w:tc>
          <w:tcPr>
            <w:tcW w:w="5245" w:type="dxa"/>
          </w:tcPr>
          <w:p w14:paraId="1B3ECA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620E67" w14:textId="77777777">
        <w:tc>
          <w:tcPr>
            <w:tcW w:w="3794" w:type="dxa"/>
          </w:tcPr>
          <w:p w14:paraId="709E4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Дистанционными бомбами</w:t>
            </w:r>
          </w:p>
        </w:tc>
        <w:tc>
          <w:tcPr>
            <w:tcW w:w="5245" w:type="dxa"/>
          </w:tcPr>
          <w:p w14:paraId="02AEAE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F9827A" w14:textId="77777777">
        <w:tc>
          <w:tcPr>
            <w:tcW w:w="3794" w:type="dxa"/>
          </w:tcPr>
          <w:p w14:paraId="06CF4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Парашютными приспособлениями для</w:t>
            </w:r>
          </w:p>
        </w:tc>
        <w:tc>
          <w:tcPr>
            <w:tcW w:w="5245" w:type="dxa"/>
          </w:tcPr>
          <w:p w14:paraId="59309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69F6168" w14:textId="77777777">
        <w:tc>
          <w:tcPr>
            <w:tcW w:w="3794" w:type="dxa"/>
          </w:tcPr>
          <w:p w14:paraId="7A0F5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сбрасывания литературы</w:t>
            </w:r>
          </w:p>
        </w:tc>
        <w:tc>
          <w:tcPr>
            <w:tcW w:w="5245" w:type="dxa"/>
          </w:tcPr>
          <w:p w14:paraId="3ACDDC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4C8341" w14:textId="77777777">
        <w:tc>
          <w:tcPr>
            <w:tcW w:w="3794" w:type="dxa"/>
          </w:tcPr>
          <w:p w14:paraId="2B689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66C4E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Агитпланер (Г-61)</w:t>
            </w:r>
          </w:p>
        </w:tc>
      </w:tr>
      <w:tr w:rsidR="00DA227A" w:rsidRPr="00E93F40" w14:paraId="4ED8519F" w14:textId="77777777">
        <w:tc>
          <w:tcPr>
            <w:tcW w:w="3794" w:type="dxa"/>
          </w:tcPr>
          <w:p w14:paraId="54540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37A1A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Планер загруженный агитлитературой с</w:t>
            </w:r>
          </w:p>
        </w:tc>
      </w:tr>
      <w:tr w:rsidR="00DA227A" w:rsidRPr="00E93F40" w14:paraId="7A16332F" w14:textId="77777777">
        <w:tc>
          <w:tcPr>
            <w:tcW w:w="3794" w:type="dxa"/>
          </w:tcPr>
          <w:p w14:paraId="5BC02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6501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приспособлением для автоматического</w:t>
            </w:r>
          </w:p>
        </w:tc>
      </w:tr>
      <w:tr w:rsidR="00DA227A" w:rsidRPr="00E93F40" w14:paraId="0EDA2F2E" w14:textId="77777777">
        <w:tc>
          <w:tcPr>
            <w:tcW w:w="3794" w:type="dxa"/>
          </w:tcPr>
          <w:p w14:paraId="40B68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8106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действия, подводится легким самолетом</w:t>
            </w:r>
          </w:p>
        </w:tc>
      </w:tr>
      <w:tr w:rsidR="00DA227A" w:rsidRPr="00E93F40" w14:paraId="1EEAC4F9" w14:textId="77777777">
        <w:tc>
          <w:tcPr>
            <w:tcW w:w="3794" w:type="dxa"/>
          </w:tcPr>
          <w:p w14:paraId="6350AE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3CD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 500 м, откуда планирует на</w:t>
            </w:r>
          </w:p>
        </w:tc>
      </w:tr>
      <w:tr w:rsidR="00DA227A" w:rsidRPr="00E93F40" w14:paraId="7828AA82" w14:textId="77777777">
        <w:tc>
          <w:tcPr>
            <w:tcW w:w="3794" w:type="dxa"/>
          </w:tcPr>
          <w:p w14:paraId="2F933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E73B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территорию противника, залистовывая ее</w:t>
            </w:r>
          </w:p>
        </w:tc>
      </w:tr>
      <w:tr w:rsidR="00DA227A" w:rsidRPr="00E93F40" w14:paraId="472780FE" w14:textId="77777777">
        <w:tc>
          <w:tcPr>
            <w:tcW w:w="3794" w:type="dxa"/>
          </w:tcPr>
          <w:p w14:paraId="4B2246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F46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приведенным в действие автоматическим</w:t>
            </w:r>
          </w:p>
        </w:tc>
      </w:tr>
      <w:tr w:rsidR="00DA227A" w:rsidRPr="00E93F40" w14:paraId="130CA3C4" w14:textId="77777777">
        <w:tc>
          <w:tcPr>
            <w:tcW w:w="3794" w:type="dxa"/>
          </w:tcPr>
          <w:p w14:paraId="518C6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76B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приспособлением, выбрасывающим</w:t>
            </w:r>
          </w:p>
        </w:tc>
      </w:tr>
      <w:tr w:rsidR="00DA227A" w:rsidRPr="00E93F40" w14:paraId="070E2115" w14:textId="77777777">
        <w:tc>
          <w:tcPr>
            <w:tcW w:w="3794" w:type="dxa"/>
          </w:tcPr>
          <w:p w14:paraId="66F35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63A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листовки. При установке рулей планера</w:t>
            </w:r>
          </w:p>
        </w:tc>
      </w:tr>
      <w:tr w:rsidR="00DA227A" w:rsidRPr="00E93F40" w14:paraId="2C6B40ED" w14:textId="77777777">
        <w:tc>
          <w:tcPr>
            <w:tcW w:w="3794" w:type="dxa"/>
          </w:tcPr>
          <w:p w14:paraId="4417E2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35AC6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определенными углами, последний</w:t>
            </w:r>
          </w:p>
        </w:tc>
      </w:tr>
      <w:tr w:rsidR="00DA227A" w:rsidRPr="00E93F40" w14:paraId="3C526278" w14:textId="77777777">
        <w:tc>
          <w:tcPr>
            <w:tcW w:w="3794" w:type="dxa"/>
          </w:tcPr>
          <w:p w14:paraId="29A683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1A9E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момент отцепки от буксируемого</w:t>
            </w:r>
          </w:p>
        </w:tc>
      </w:tr>
      <w:tr w:rsidR="00DA227A" w:rsidRPr="00E93F40" w14:paraId="5E4F35D8" w14:textId="77777777">
        <w:tc>
          <w:tcPr>
            <w:tcW w:w="3794" w:type="dxa"/>
          </w:tcPr>
          <w:p w14:paraId="3F987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7A13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может описать планирующий</w:t>
            </w:r>
          </w:p>
        </w:tc>
      </w:tr>
      <w:tr w:rsidR="00DA227A" w:rsidRPr="00E93F40" w14:paraId="76E150EB" w14:textId="77777777">
        <w:tc>
          <w:tcPr>
            <w:tcW w:w="3794" w:type="dxa"/>
          </w:tcPr>
          <w:p w14:paraId="1FD17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2F973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круг.</w:t>
            </w:r>
          </w:p>
        </w:tc>
      </w:tr>
      <w:tr w:rsidR="00DA227A" w:rsidRPr="00E93F40" w14:paraId="4F3D3B2E" w14:textId="77777777">
        <w:tc>
          <w:tcPr>
            <w:tcW w:w="3794" w:type="dxa"/>
          </w:tcPr>
          <w:p w14:paraId="3CEA3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7F648B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Создать однотипным с летающей миной</w:t>
            </w:r>
          </w:p>
        </w:tc>
      </w:tr>
      <w:tr w:rsidR="00DA227A" w:rsidRPr="00E93F40" w14:paraId="65B815DE" w14:textId="77777777">
        <w:tc>
          <w:tcPr>
            <w:tcW w:w="3794" w:type="dxa"/>
          </w:tcPr>
          <w:p w14:paraId="7B1446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3D321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(объект 4 отд. 1), приспособив его для</w:t>
            </w:r>
          </w:p>
        </w:tc>
      </w:tr>
      <w:tr w:rsidR="00DA227A" w:rsidRPr="00E93F40" w14:paraId="2CF20642" w14:textId="77777777">
        <w:tc>
          <w:tcPr>
            <w:tcW w:w="3794" w:type="dxa"/>
          </w:tcPr>
          <w:p w14:paraId="622BC9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4E1F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агитцелей. Возвращение планера назад</w:t>
            </w:r>
          </w:p>
        </w:tc>
      </w:tr>
      <w:tr w:rsidR="00DA227A" w:rsidRPr="00E93F40" w14:paraId="725F5018" w14:textId="77777777">
        <w:tc>
          <w:tcPr>
            <w:tcW w:w="3794" w:type="dxa"/>
          </w:tcPr>
          <w:p w14:paraId="5BE6EC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088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из-за дороговизны автомата из требований</w:t>
            </w:r>
          </w:p>
        </w:tc>
      </w:tr>
      <w:tr w:rsidR="00DA227A" w:rsidRPr="00E93F40" w14:paraId="2391D8BF" w14:textId="77777777">
        <w:tc>
          <w:tcPr>
            <w:tcW w:w="3794" w:type="dxa"/>
          </w:tcPr>
          <w:p w14:paraId="4D90A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62A6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исключить.</w:t>
            </w:r>
          </w:p>
        </w:tc>
      </w:tr>
      <w:tr w:rsidR="00DA227A" w:rsidRPr="00E93F40" w14:paraId="1ECD9940" w14:textId="77777777">
        <w:tc>
          <w:tcPr>
            <w:tcW w:w="3794" w:type="dxa"/>
          </w:tcPr>
          <w:p w14:paraId="2D34E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60A46B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Парашютные агитстаты (Г-62)</w:t>
            </w:r>
          </w:p>
        </w:tc>
      </w:tr>
      <w:tr w:rsidR="00DA227A" w:rsidRPr="00E93F40" w14:paraId="20DCE619" w14:textId="77777777">
        <w:tc>
          <w:tcPr>
            <w:tcW w:w="3794" w:type="dxa"/>
          </w:tcPr>
          <w:p w14:paraId="507CF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64E42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линии фронта 12 м парашют с</w:t>
            </w:r>
          </w:p>
        </w:tc>
      </w:tr>
      <w:tr w:rsidR="00DA227A" w:rsidRPr="00E93F40" w14:paraId="2BEDB9FA" w14:textId="77777777">
        <w:tc>
          <w:tcPr>
            <w:tcW w:w="3794" w:type="dxa"/>
          </w:tcPr>
          <w:p w14:paraId="557415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15F9B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автоматической кассетой, заполненной</w:t>
            </w:r>
          </w:p>
        </w:tc>
      </w:tr>
      <w:tr w:rsidR="00DA227A" w:rsidRPr="00E93F40" w14:paraId="689B9F91" w14:textId="77777777">
        <w:tc>
          <w:tcPr>
            <w:tcW w:w="3794" w:type="dxa"/>
          </w:tcPr>
          <w:p w14:paraId="5A046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70A7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 кг агитлитературы, поднимается на</w:t>
            </w:r>
          </w:p>
        </w:tc>
      </w:tr>
      <w:tr w:rsidR="00DA227A" w:rsidRPr="00E93F40" w14:paraId="2FE35A57" w14:textId="77777777">
        <w:tc>
          <w:tcPr>
            <w:tcW w:w="3794" w:type="dxa"/>
          </w:tcPr>
          <w:p w14:paraId="35457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40C88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тросе, закрепленном на автомашине и</w:t>
            </w:r>
          </w:p>
        </w:tc>
      </w:tr>
      <w:tr w:rsidR="00DA227A" w:rsidRPr="00E93F40" w14:paraId="425BC666" w14:textId="77777777">
        <w:tc>
          <w:tcPr>
            <w:tcW w:w="3794" w:type="dxa"/>
          </w:tcPr>
          <w:p w14:paraId="400D96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44E6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действуя при ветре от 6 баллов выбрасывает</w:t>
            </w:r>
          </w:p>
        </w:tc>
      </w:tr>
      <w:tr w:rsidR="00DA227A" w:rsidRPr="00E93F40" w14:paraId="34C361B4" w14:textId="77777777">
        <w:tc>
          <w:tcPr>
            <w:tcW w:w="3794" w:type="dxa"/>
          </w:tcPr>
          <w:p w14:paraId="55D708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73C1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пачки литературы, относимые ветром на</w:t>
            </w:r>
          </w:p>
        </w:tc>
      </w:tr>
      <w:tr w:rsidR="00DA227A" w:rsidRPr="00E93F40" w14:paraId="4A94054D" w14:textId="77777777">
        <w:tc>
          <w:tcPr>
            <w:tcW w:w="3794" w:type="dxa"/>
          </w:tcPr>
          <w:p w14:paraId="468801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B8B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территорию противника.</w:t>
            </w:r>
          </w:p>
        </w:tc>
      </w:tr>
      <w:tr w:rsidR="00DA227A" w:rsidRPr="00E93F40" w14:paraId="033FDEB0" w14:textId="77777777">
        <w:tc>
          <w:tcPr>
            <w:tcW w:w="3794" w:type="dxa"/>
          </w:tcPr>
          <w:p w14:paraId="2B9C2D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218EE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с использованием запуска и</w:t>
            </w:r>
          </w:p>
        </w:tc>
      </w:tr>
      <w:tr w:rsidR="00DA227A" w:rsidRPr="00E93F40" w14:paraId="02C8998E" w14:textId="77777777">
        <w:tc>
          <w:tcPr>
            <w:tcW w:w="3794" w:type="dxa"/>
          </w:tcPr>
          <w:p w14:paraId="444EB0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9CA59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подвески на месте как воздушного змея.</w:t>
            </w:r>
          </w:p>
        </w:tc>
      </w:tr>
      <w:tr w:rsidR="00DA227A" w:rsidRPr="00E93F40" w14:paraId="05D593E7" w14:textId="77777777">
        <w:tc>
          <w:tcPr>
            <w:tcW w:w="3794" w:type="dxa"/>
          </w:tcPr>
          <w:p w14:paraId="64B79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729CD6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Вертикальная агитмина (Г-63)</w:t>
            </w:r>
          </w:p>
        </w:tc>
      </w:tr>
      <w:tr w:rsidR="00DA227A" w:rsidRPr="00E93F40" w14:paraId="63E36E83" w14:textId="77777777">
        <w:tc>
          <w:tcPr>
            <w:tcW w:w="3794" w:type="dxa"/>
          </w:tcPr>
          <w:p w14:paraId="6D97AF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6F2B1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Вертикальная агитмина подвешивается</w:t>
            </w:r>
          </w:p>
        </w:tc>
      </w:tr>
      <w:tr w:rsidR="00DA227A" w:rsidRPr="00E93F40" w14:paraId="256C5DD1" w14:textId="77777777">
        <w:tc>
          <w:tcPr>
            <w:tcW w:w="3794" w:type="dxa"/>
          </w:tcPr>
          <w:p w14:paraId="27138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DEB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самолете Р-5 и загруженная </w:t>
            </w:r>
          </w:p>
        </w:tc>
      </w:tr>
      <w:tr w:rsidR="00DA227A" w:rsidRPr="00E93F40" w14:paraId="6048B383" w14:textId="77777777">
        <w:tc>
          <w:tcPr>
            <w:tcW w:w="3794" w:type="dxa"/>
          </w:tcPr>
          <w:p w14:paraId="4957D7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9F1E7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агитлитературой в количестве 250 кг</w:t>
            </w:r>
          </w:p>
        </w:tc>
      </w:tr>
      <w:tr w:rsidR="00DA227A" w:rsidRPr="00E93F40" w14:paraId="68914E0A" w14:textId="77777777">
        <w:tc>
          <w:tcPr>
            <w:tcW w:w="3794" w:type="dxa"/>
          </w:tcPr>
          <w:p w14:paraId="601BA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750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отрываясь от самолета образует вертикальный</w:t>
            </w:r>
          </w:p>
        </w:tc>
      </w:tr>
      <w:tr w:rsidR="00DA227A" w:rsidRPr="00E93F40" w14:paraId="632218BD" w14:textId="77777777">
        <w:tc>
          <w:tcPr>
            <w:tcW w:w="3794" w:type="dxa"/>
          </w:tcPr>
          <w:p w14:paraId="296BB2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BEA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столб из разбрасываемых автоматических</w:t>
            </w:r>
          </w:p>
        </w:tc>
      </w:tr>
      <w:tr w:rsidR="00DA227A" w:rsidRPr="00E93F40" w14:paraId="12EE8CA1" w14:textId="77777777">
        <w:tc>
          <w:tcPr>
            <w:tcW w:w="3794" w:type="dxa"/>
          </w:tcPr>
          <w:p w14:paraId="2E1BE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FFFC9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листовок уносимых ветром на территорию</w:t>
            </w:r>
          </w:p>
        </w:tc>
      </w:tr>
      <w:tr w:rsidR="00DA227A" w:rsidRPr="00E93F40" w14:paraId="6637D1E9" w14:textId="77777777">
        <w:tc>
          <w:tcPr>
            <w:tcW w:w="3794" w:type="dxa"/>
          </w:tcPr>
          <w:p w14:paraId="6495C2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04F88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неприятеля - залистовывая ее 15 км.</w:t>
            </w:r>
          </w:p>
        </w:tc>
      </w:tr>
      <w:tr w:rsidR="00DA227A" w:rsidRPr="00E93F40" w14:paraId="4C4F8BA8" w14:textId="77777777">
        <w:tc>
          <w:tcPr>
            <w:tcW w:w="3794" w:type="dxa"/>
          </w:tcPr>
          <w:p w14:paraId="067CB5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79444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7BCAA907" w14:textId="77777777">
        <w:tc>
          <w:tcPr>
            <w:tcW w:w="3794" w:type="dxa"/>
          </w:tcPr>
          <w:p w14:paraId="22AD8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77150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 для ударных бомб (Г-64)</w:t>
            </w:r>
          </w:p>
        </w:tc>
      </w:tr>
      <w:tr w:rsidR="00DA227A" w:rsidRPr="00E93F40" w14:paraId="391E14DC" w14:textId="77777777">
        <w:tc>
          <w:tcPr>
            <w:tcW w:w="3794" w:type="dxa"/>
          </w:tcPr>
          <w:p w14:paraId="28C365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6B1253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Кассет с ударными агитбомбами подвешивается</w:t>
            </w:r>
          </w:p>
        </w:tc>
      </w:tr>
      <w:tr w:rsidR="00DA227A" w:rsidRPr="00E93F40" w14:paraId="04F7FBBC" w14:textId="77777777">
        <w:tc>
          <w:tcPr>
            <w:tcW w:w="3794" w:type="dxa"/>
          </w:tcPr>
          <w:p w14:paraId="521314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108A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самолетом ТБ-1 и при действии летнаба</w:t>
            </w:r>
          </w:p>
        </w:tc>
      </w:tr>
      <w:tr w:rsidR="00DA227A" w:rsidRPr="00E93F40" w14:paraId="24282008" w14:textId="77777777">
        <w:tc>
          <w:tcPr>
            <w:tcW w:w="3794" w:type="dxa"/>
          </w:tcPr>
          <w:p w14:paraId="3880FD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7D1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спецсистему приспособлений, производит</w:t>
            </w:r>
          </w:p>
        </w:tc>
      </w:tr>
      <w:tr w:rsidR="00DA227A" w:rsidRPr="00E93F40" w14:paraId="4E649F4C" w14:textId="77777777">
        <w:tc>
          <w:tcPr>
            <w:tcW w:w="3794" w:type="dxa"/>
          </w:tcPr>
          <w:p w14:paraId="32619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BD54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сбрасывание агитбомб серией, залпом или</w:t>
            </w:r>
          </w:p>
        </w:tc>
      </w:tr>
      <w:tr w:rsidR="00DA227A" w:rsidRPr="00E93F40" w14:paraId="1B3B2C76" w14:textId="77777777">
        <w:tc>
          <w:tcPr>
            <w:tcW w:w="3794" w:type="dxa"/>
          </w:tcPr>
          <w:p w14:paraId="053FF5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1B1C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одиночке, густо залистовывая территорию</w:t>
            </w:r>
          </w:p>
        </w:tc>
      </w:tr>
      <w:tr w:rsidR="00DA227A" w:rsidRPr="00E93F40" w14:paraId="1B085AB6" w14:textId="77777777">
        <w:tc>
          <w:tcPr>
            <w:tcW w:w="3794" w:type="dxa"/>
          </w:tcPr>
          <w:p w14:paraId="482567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05A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неприятеля.</w:t>
            </w:r>
          </w:p>
        </w:tc>
      </w:tr>
      <w:tr w:rsidR="00DA227A" w:rsidRPr="00E93F40" w14:paraId="15779B28" w14:textId="77777777">
        <w:tc>
          <w:tcPr>
            <w:tcW w:w="3794" w:type="dxa"/>
          </w:tcPr>
          <w:p w14:paraId="2A8CA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71383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Сделать один опытный образец.</w:t>
            </w:r>
          </w:p>
        </w:tc>
      </w:tr>
      <w:tr w:rsidR="00DA227A" w:rsidRPr="00E93F40" w14:paraId="08CF71FC" w14:textId="77777777">
        <w:tc>
          <w:tcPr>
            <w:tcW w:w="3794" w:type="dxa"/>
          </w:tcPr>
          <w:p w14:paraId="28880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69B24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Самолетная радиоустановка (Г-65)</w:t>
            </w:r>
          </w:p>
        </w:tc>
      </w:tr>
      <w:tr w:rsidR="00DA227A" w:rsidRPr="00E93F40" w14:paraId="4C78E134" w14:textId="77777777">
        <w:tc>
          <w:tcPr>
            <w:tcW w:w="3794" w:type="dxa"/>
          </w:tcPr>
          <w:p w14:paraId="19549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5CDAA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Радиоустановка на самолете ТБ-1</w:t>
            </w:r>
          </w:p>
        </w:tc>
      </w:tr>
      <w:tr w:rsidR="00DA227A" w:rsidRPr="00E93F40" w14:paraId="34B6DEB2" w14:textId="77777777">
        <w:tc>
          <w:tcPr>
            <w:tcW w:w="3794" w:type="dxa"/>
          </w:tcPr>
          <w:p w14:paraId="54645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4E1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предназначена для радиоагитвещания</w:t>
            </w:r>
          </w:p>
        </w:tc>
      </w:tr>
      <w:tr w:rsidR="00DA227A" w:rsidRPr="00E93F40" w14:paraId="0499091E" w14:textId="77777777">
        <w:tc>
          <w:tcPr>
            <w:tcW w:w="3794" w:type="dxa"/>
          </w:tcPr>
          <w:p w14:paraId="668A2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447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большой высоты при полете над</w:t>
            </w:r>
          </w:p>
        </w:tc>
      </w:tr>
      <w:tr w:rsidR="00DA227A" w:rsidRPr="00E93F40" w14:paraId="3B6B8FF8" w14:textId="77777777">
        <w:tc>
          <w:tcPr>
            <w:tcW w:w="3794" w:type="dxa"/>
          </w:tcPr>
          <w:p w14:paraId="7DFF79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E9AB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территорией противника и линией фронта.</w:t>
            </w:r>
          </w:p>
        </w:tc>
      </w:tr>
      <w:tr w:rsidR="00DA227A" w:rsidRPr="00E93F40" w14:paraId="1DC3D013" w14:textId="77777777">
        <w:tc>
          <w:tcPr>
            <w:tcW w:w="3794" w:type="dxa"/>
          </w:tcPr>
          <w:p w14:paraId="287EF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29C5A1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33B0C5E3" w14:textId="77777777">
        <w:tc>
          <w:tcPr>
            <w:tcW w:w="3794" w:type="dxa"/>
          </w:tcPr>
          <w:p w14:paraId="7C123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6191DB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Водные агитсредства (Г-66)</w:t>
            </w:r>
          </w:p>
        </w:tc>
      </w:tr>
      <w:tr w:rsidR="00DA227A" w:rsidRPr="00E93F40" w14:paraId="5D1CDC26" w14:textId="77777777">
        <w:tc>
          <w:tcPr>
            <w:tcW w:w="3794" w:type="dxa"/>
          </w:tcPr>
          <w:p w14:paraId="1FA454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7E4CA3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Самолетом, снабженным кассетой,</w:t>
            </w:r>
          </w:p>
        </w:tc>
      </w:tr>
      <w:tr w:rsidR="00DA227A" w:rsidRPr="00E93F40" w14:paraId="68BCFA9D" w14:textId="77777777">
        <w:tc>
          <w:tcPr>
            <w:tcW w:w="3794" w:type="dxa"/>
          </w:tcPr>
          <w:p w14:paraId="37367F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CF38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заполненной агитлистовками спец.</w:t>
            </w:r>
          </w:p>
        </w:tc>
      </w:tr>
      <w:tr w:rsidR="00DA227A" w:rsidRPr="00E93F40" w14:paraId="3CF01EA8" w14:textId="77777777">
        <w:tc>
          <w:tcPr>
            <w:tcW w:w="3794" w:type="dxa"/>
          </w:tcPr>
          <w:p w14:paraId="34E74F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EA3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изготовления по своему качеству</w:t>
            </w:r>
          </w:p>
        </w:tc>
      </w:tr>
      <w:tr w:rsidR="00DA227A" w:rsidRPr="00E93F40" w14:paraId="76CD2D5B" w14:textId="77777777">
        <w:tc>
          <w:tcPr>
            <w:tcW w:w="3794" w:type="dxa"/>
          </w:tcPr>
          <w:p w14:paraId="62D4D8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70D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водонепроникаемыми, залистовывается</w:t>
            </w:r>
          </w:p>
        </w:tc>
      </w:tr>
      <w:tr w:rsidR="00DA227A" w:rsidRPr="00E93F40" w14:paraId="39FA1B35" w14:textId="77777777">
        <w:tc>
          <w:tcPr>
            <w:tcW w:w="3794" w:type="dxa"/>
          </w:tcPr>
          <w:p w14:paraId="3851F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2D8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водная поверхность. Течением листовки</w:t>
            </w:r>
          </w:p>
        </w:tc>
      </w:tr>
      <w:tr w:rsidR="00DA227A" w:rsidRPr="00E93F40" w14:paraId="30B7079D" w14:textId="77777777">
        <w:tc>
          <w:tcPr>
            <w:tcW w:w="3794" w:type="dxa"/>
          </w:tcPr>
          <w:p w14:paraId="4AF282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934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прибиваются к берегу и достигают своей</w:t>
            </w:r>
          </w:p>
        </w:tc>
      </w:tr>
      <w:tr w:rsidR="00DA227A" w:rsidRPr="00E93F40" w14:paraId="1199384E" w14:textId="77777777">
        <w:tc>
          <w:tcPr>
            <w:tcW w:w="3794" w:type="dxa"/>
          </w:tcPr>
          <w:p w14:paraId="78ABDF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9EF7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цели у прибрежного населения, оторванного</w:t>
            </w:r>
          </w:p>
        </w:tc>
      </w:tr>
      <w:tr w:rsidR="00DA227A" w:rsidRPr="00E93F40" w14:paraId="2E0E6249" w14:textId="77777777">
        <w:tc>
          <w:tcPr>
            <w:tcW w:w="3794" w:type="dxa"/>
          </w:tcPr>
          <w:p w14:paraId="3E11C4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B21C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крупных центров и густо населенных</w:t>
            </w:r>
          </w:p>
        </w:tc>
      </w:tr>
      <w:tr w:rsidR="00DA227A" w:rsidRPr="00E93F40" w14:paraId="30366B9A" w14:textId="77777777">
        <w:tc>
          <w:tcPr>
            <w:tcW w:w="3794" w:type="dxa"/>
          </w:tcPr>
          <w:p w14:paraId="78DD5E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F829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дорог.</w:t>
            </w:r>
          </w:p>
        </w:tc>
      </w:tr>
      <w:tr w:rsidR="009D12BD" w:rsidRPr="00E93F40" w14:paraId="27179E96" w14:textId="77777777">
        <w:tc>
          <w:tcPr>
            <w:tcW w:w="3794" w:type="dxa"/>
          </w:tcPr>
          <w:p w14:paraId="32CAD1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29D9E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Снять.</w:t>
            </w:r>
          </w:p>
        </w:tc>
      </w:tr>
    </w:tbl>
    <w:p w14:paraId="502BA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DA227A" w:rsidRPr="00E93F40" w14:paraId="34DC3F70" w14:textId="77777777">
        <w:tc>
          <w:tcPr>
            <w:tcW w:w="3794" w:type="dxa"/>
          </w:tcPr>
          <w:p w14:paraId="34C10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5 отделу (моторизации и вооружения).</w:t>
            </w:r>
          </w:p>
          <w:p w14:paraId="6D1424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B62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E3FE9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765BC3" w14:textId="77777777">
        <w:tc>
          <w:tcPr>
            <w:tcW w:w="3794" w:type="dxa"/>
          </w:tcPr>
          <w:p w14:paraId="007A69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732E4E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Воздушный таран истребитель (Г-34)</w:t>
            </w:r>
          </w:p>
        </w:tc>
      </w:tr>
      <w:tr w:rsidR="00DA227A" w:rsidRPr="00E93F40" w14:paraId="50D71507" w14:textId="77777777">
        <w:tc>
          <w:tcPr>
            <w:tcW w:w="3794" w:type="dxa"/>
          </w:tcPr>
          <w:p w14:paraId="21AB2F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3F378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Таран предназначен для истребления</w:t>
            </w:r>
          </w:p>
        </w:tc>
      </w:tr>
      <w:tr w:rsidR="00DA227A" w:rsidRPr="00E93F40" w14:paraId="1EE47070" w14:textId="77777777">
        <w:tc>
          <w:tcPr>
            <w:tcW w:w="3794" w:type="dxa"/>
          </w:tcPr>
          <w:p w14:paraId="664E98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02D8F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самолетов противника в воздухе</w:t>
            </w:r>
          </w:p>
        </w:tc>
      </w:tr>
      <w:tr w:rsidR="00DA227A" w:rsidRPr="00E93F40" w14:paraId="372B8ADE" w14:textId="77777777">
        <w:tc>
          <w:tcPr>
            <w:tcW w:w="3794" w:type="dxa"/>
          </w:tcPr>
          <w:p w14:paraId="3CBA4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244DE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нанесением удара по конструкции самолета.</w:t>
            </w:r>
          </w:p>
        </w:tc>
      </w:tr>
      <w:tr w:rsidR="00DA227A" w:rsidRPr="00E93F40" w14:paraId="2FA6C5F9" w14:textId="77777777">
        <w:tc>
          <w:tcPr>
            <w:tcW w:w="3794" w:type="dxa"/>
          </w:tcPr>
          <w:p w14:paraId="1C7B4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FD028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тарана и бронированная 8 мм</w:t>
            </w:r>
          </w:p>
        </w:tc>
      </w:tr>
      <w:tr w:rsidR="00DA227A" w:rsidRPr="00E93F40" w14:paraId="47902044" w14:textId="77777777">
        <w:tc>
          <w:tcPr>
            <w:tcW w:w="3794" w:type="dxa"/>
          </w:tcPr>
          <w:p w14:paraId="2C05BD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4560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оболочка дают возможность ведения</w:t>
            </w:r>
          </w:p>
        </w:tc>
      </w:tr>
      <w:tr w:rsidR="00DA227A" w:rsidRPr="00E93F40" w14:paraId="58206B99" w14:textId="77777777">
        <w:tc>
          <w:tcPr>
            <w:tcW w:w="3794" w:type="dxa"/>
          </w:tcPr>
          <w:p w14:paraId="7F32AA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5B9E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огня по самолетам противника с минимально</w:t>
            </w:r>
          </w:p>
        </w:tc>
      </w:tr>
      <w:tr w:rsidR="00DA227A" w:rsidRPr="00E93F40" w14:paraId="6EFB808A" w14:textId="77777777">
        <w:tc>
          <w:tcPr>
            <w:tcW w:w="3794" w:type="dxa"/>
          </w:tcPr>
          <w:p w14:paraId="6ECCA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38E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близкого расстояния, а кроме того</w:t>
            </w:r>
          </w:p>
        </w:tc>
      </w:tr>
      <w:tr w:rsidR="00DA227A" w:rsidRPr="00E93F40" w14:paraId="64228729" w14:textId="77777777">
        <w:tc>
          <w:tcPr>
            <w:tcW w:w="3794" w:type="dxa"/>
          </w:tcPr>
          <w:p w14:paraId="417F2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0D4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штурмовать колонны противника на</w:t>
            </w:r>
          </w:p>
        </w:tc>
      </w:tr>
      <w:tr w:rsidR="00DA227A" w:rsidRPr="00E93F40" w14:paraId="3FC92E47" w14:textId="77777777">
        <w:tc>
          <w:tcPr>
            <w:tcW w:w="3794" w:type="dxa"/>
          </w:tcPr>
          <w:p w14:paraId="1BA82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27D9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земле с бреющего полета. Снабженный</w:t>
            </w:r>
          </w:p>
        </w:tc>
      </w:tr>
      <w:tr w:rsidR="00DA227A" w:rsidRPr="00E93F40" w14:paraId="497B2FED" w14:textId="77777777">
        <w:tc>
          <w:tcPr>
            <w:tcW w:w="3794" w:type="dxa"/>
          </w:tcPr>
          <w:p w14:paraId="24012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C3DC9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мотором М-34, заключенным в фюзеляже,</w:t>
            </w:r>
          </w:p>
        </w:tc>
      </w:tr>
      <w:tr w:rsidR="00DA227A" w:rsidRPr="00E93F40" w14:paraId="66248E8F" w14:textId="77777777">
        <w:tc>
          <w:tcPr>
            <w:tcW w:w="3794" w:type="dxa"/>
          </w:tcPr>
          <w:p w14:paraId="15EA6D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717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таран развивает скорость ото 300 до 600</w:t>
            </w:r>
          </w:p>
        </w:tc>
      </w:tr>
      <w:tr w:rsidR="00DA227A" w:rsidRPr="00E93F40" w14:paraId="724A37AE" w14:textId="77777777">
        <w:tc>
          <w:tcPr>
            <w:tcW w:w="3794" w:type="dxa"/>
          </w:tcPr>
          <w:p w14:paraId="237DE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002B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км/час. Вооружен таран 4 спаренными</w:t>
            </w:r>
          </w:p>
        </w:tc>
      </w:tr>
      <w:tr w:rsidR="00DA227A" w:rsidRPr="00E93F40" w14:paraId="47CE14F0" w14:textId="77777777">
        <w:tc>
          <w:tcPr>
            <w:tcW w:w="3794" w:type="dxa"/>
          </w:tcPr>
          <w:p w14:paraId="244708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151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пулеметами. Взлет осуществляется с</w:t>
            </w:r>
          </w:p>
        </w:tc>
      </w:tr>
      <w:tr w:rsidR="00DA227A" w:rsidRPr="00E93F40" w14:paraId="2DA58E2E" w14:textId="77777777">
        <w:tc>
          <w:tcPr>
            <w:tcW w:w="3794" w:type="dxa"/>
          </w:tcPr>
          <w:p w14:paraId="48060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2B0D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помощью катапульты установленной на</w:t>
            </w:r>
          </w:p>
        </w:tc>
      </w:tr>
      <w:tr w:rsidR="00DA227A" w:rsidRPr="00E93F40" w14:paraId="090C5698" w14:textId="77777777">
        <w:tc>
          <w:tcPr>
            <w:tcW w:w="3794" w:type="dxa"/>
          </w:tcPr>
          <w:p w14:paraId="434C4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0466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3-х осной машине, а посадка - при помощи</w:t>
            </w:r>
          </w:p>
        </w:tc>
      </w:tr>
      <w:tr w:rsidR="00DA227A" w:rsidRPr="00E93F40" w14:paraId="3CD9F3A9" w14:textId="77777777">
        <w:tc>
          <w:tcPr>
            <w:tcW w:w="3794" w:type="dxa"/>
          </w:tcPr>
          <w:p w14:paraId="3962B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D01C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парашюта заключенного в носовой части</w:t>
            </w:r>
          </w:p>
        </w:tc>
      </w:tr>
      <w:tr w:rsidR="00DA227A" w:rsidRPr="00E93F40" w14:paraId="35FFA419" w14:textId="77777777">
        <w:tc>
          <w:tcPr>
            <w:tcW w:w="3794" w:type="dxa"/>
          </w:tcPr>
          <w:p w14:paraId="10657D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09603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конструкции и приводимого в действие</w:t>
            </w:r>
          </w:p>
        </w:tc>
      </w:tr>
      <w:tr w:rsidR="00DA227A" w:rsidRPr="00E93F40" w14:paraId="3427D1AC" w14:textId="77777777">
        <w:tc>
          <w:tcPr>
            <w:tcW w:w="3794" w:type="dxa"/>
          </w:tcPr>
          <w:p w14:paraId="2B472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372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летчиком таран.</w:t>
            </w:r>
          </w:p>
        </w:tc>
      </w:tr>
      <w:tr w:rsidR="00DA227A" w:rsidRPr="00E93F40" w14:paraId="1ADD7E8F" w14:textId="77777777">
        <w:tc>
          <w:tcPr>
            <w:tcW w:w="3794" w:type="dxa"/>
          </w:tcPr>
          <w:p w14:paraId="76A375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77E803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4BB72569" w14:textId="77777777">
        <w:tc>
          <w:tcPr>
            <w:tcW w:w="3794" w:type="dxa"/>
          </w:tcPr>
          <w:p w14:paraId="3E4D06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BF75C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бронеточка (Г-38)</w:t>
            </w:r>
          </w:p>
        </w:tc>
      </w:tr>
      <w:tr w:rsidR="00DA227A" w:rsidRPr="00E93F40" w14:paraId="022BEE5F" w14:textId="77777777">
        <w:tc>
          <w:tcPr>
            <w:tcW w:w="3794" w:type="dxa"/>
          </w:tcPr>
          <w:p w14:paraId="4C22FC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7534B5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Бронеточка предназначается для сбрасывания</w:t>
            </w:r>
          </w:p>
        </w:tc>
      </w:tr>
      <w:tr w:rsidR="00DA227A" w:rsidRPr="00E93F40" w14:paraId="39A00777" w14:textId="77777777">
        <w:tc>
          <w:tcPr>
            <w:tcW w:w="3794" w:type="dxa"/>
          </w:tcPr>
          <w:p w14:paraId="6A6471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69D8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парашюте с самолета ТБ-1 в тыл</w:t>
            </w:r>
          </w:p>
        </w:tc>
      </w:tr>
      <w:tr w:rsidR="00DA227A" w:rsidRPr="00E93F40" w14:paraId="38FF1FE2" w14:textId="77777777">
        <w:tc>
          <w:tcPr>
            <w:tcW w:w="3794" w:type="dxa"/>
          </w:tcPr>
          <w:p w14:paraId="4B4B39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E89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противника и при наступлении впереди</w:t>
            </w:r>
          </w:p>
        </w:tc>
      </w:tr>
      <w:tr w:rsidR="00DA227A" w:rsidRPr="00E93F40" w14:paraId="17AFD86C" w14:textId="77777777">
        <w:tc>
          <w:tcPr>
            <w:tcW w:w="3794" w:type="dxa"/>
          </w:tcPr>
          <w:p w14:paraId="2E76EC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553A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атакующих частей для усиления боевых</w:t>
            </w:r>
          </w:p>
        </w:tc>
      </w:tr>
      <w:tr w:rsidR="00DA227A" w:rsidRPr="00E93F40" w14:paraId="5CB44B5C" w14:textId="77777777">
        <w:tc>
          <w:tcPr>
            <w:tcW w:w="3794" w:type="dxa"/>
          </w:tcPr>
          <w:p w14:paraId="500E52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8A1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действий огневой единицей.</w:t>
            </w:r>
          </w:p>
        </w:tc>
      </w:tr>
      <w:tr w:rsidR="00DA227A" w:rsidRPr="00E93F40" w14:paraId="689FE369" w14:textId="77777777">
        <w:tc>
          <w:tcPr>
            <w:tcW w:w="3794" w:type="dxa"/>
          </w:tcPr>
          <w:p w14:paraId="0BBBF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B26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Сбрасываемая _методом срыва_ бронеточка</w:t>
            </w:r>
          </w:p>
        </w:tc>
      </w:tr>
      <w:tr w:rsidR="00DA227A" w:rsidRPr="00E93F40" w14:paraId="606A3A50" w14:textId="77777777">
        <w:tc>
          <w:tcPr>
            <w:tcW w:w="3794" w:type="dxa"/>
          </w:tcPr>
          <w:p w14:paraId="58E43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9E2E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вооружена одной противотанковой пушкой</w:t>
            </w:r>
          </w:p>
        </w:tc>
      </w:tr>
      <w:tr w:rsidR="00DA227A" w:rsidRPr="00E93F40" w14:paraId="5F6BE606" w14:textId="77777777">
        <w:tc>
          <w:tcPr>
            <w:tcW w:w="3794" w:type="dxa"/>
          </w:tcPr>
          <w:p w14:paraId="664C0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6E6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одним пулеметом. В момент раскрытия</w:t>
            </w:r>
          </w:p>
        </w:tc>
      </w:tr>
      <w:tr w:rsidR="00DA227A" w:rsidRPr="00E93F40" w14:paraId="6346BE96" w14:textId="77777777">
        <w:tc>
          <w:tcPr>
            <w:tcW w:w="3794" w:type="dxa"/>
          </w:tcPr>
          <w:p w14:paraId="49645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3F8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парашюта конструкция автоматически</w:t>
            </w:r>
          </w:p>
        </w:tc>
      </w:tr>
      <w:tr w:rsidR="00DA227A" w:rsidRPr="00E93F40" w14:paraId="22688F7C" w14:textId="77777777">
        <w:tc>
          <w:tcPr>
            <w:tcW w:w="3794" w:type="dxa"/>
          </w:tcPr>
          <w:p w14:paraId="2C0A71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9F3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выпускает 4 упора, укрепляющих бронеточку</w:t>
            </w:r>
          </w:p>
        </w:tc>
      </w:tr>
      <w:tr w:rsidR="00DA227A" w:rsidRPr="00E93F40" w14:paraId="69173258" w14:textId="77777777">
        <w:tc>
          <w:tcPr>
            <w:tcW w:w="3794" w:type="dxa"/>
          </w:tcPr>
          <w:p w14:paraId="205554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49F2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земле и придающих ей устойчивость для</w:t>
            </w:r>
          </w:p>
        </w:tc>
      </w:tr>
      <w:tr w:rsidR="00DA227A" w:rsidRPr="00E93F40" w14:paraId="6546489F" w14:textId="77777777">
        <w:tc>
          <w:tcPr>
            <w:tcW w:w="3794" w:type="dxa"/>
          </w:tcPr>
          <w:p w14:paraId="39F35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B77D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ведения огня, а также амортизирующих</w:t>
            </w:r>
          </w:p>
        </w:tc>
      </w:tr>
      <w:tr w:rsidR="00DA227A" w:rsidRPr="00E93F40" w14:paraId="1361DFC5" w14:textId="77777777">
        <w:tc>
          <w:tcPr>
            <w:tcW w:w="3794" w:type="dxa"/>
          </w:tcPr>
          <w:p w14:paraId="545CE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DF5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удар при приземлении.</w:t>
            </w:r>
          </w:p>
        </w:tc>
      </w:tr>
      <w:tr w:rsidR="00DA227A" w:rsidRPr="00E93F40" w14:paraId="5579BA52" w14:textId="77777777">
        <w:tc>
          <w:tcPr>
            <w:tcW w:w="3794" w:type="dxa"/>
          </w:tcPr>
          <w:p w14:paraId="2CD25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1C0DB8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76C82138" w14:textId="77777777">
        <w:tc>
          <w:tcPr>
            <w:tcW w:w="3794" w:type="dxa"/>
          </w:tcPr>
          <w:p w14:paraId="39EDB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6EF63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танк-установка (Г-40)</w:t>
            </w:r>
          </w:p>
        </w:tc>
      </w:tr>
      <w:tr w:rsidR="00DA227A" w:rsidRPr="00E93F40" w14:paraId="24253843" w14:textId="77777777">
        <w:tc>
          <w:tcPr>
            <w:tcW w:w="3794" w:type="dxa"/>
          </w:tcPr>
          <w:p w14:paraId="76AF4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3D7DF4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 установка служит для сбрасывания</w:t>
            </w:r>
          </w:p>
        </w:tc>
      </w:tr>
      <w:tr w:rsidR="00DA227A" w:rsidRPr="00E93F40" w14:paraId="7705F06E" w14:textId="77777777">
        <w:tc>
          <w:tcPr>
            <w:tcW w:w="3794" w:type="dxa"/>
          </w:tcPr>
          <w:p w14:paraId="42EC2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8FC0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методом срыва на 2-х спаренных 30 м</w:t>
            </w:r>
          </w:p>
        </w:tc>
      </w:tr>
      <w:tr w:rsidR="00DA227A" w:rsidRPr="00E93F40" w14:paraId="43D18DBA" w14:textId="77777777">
        <w:tc>
          <w:tcPr>
            <w:tcW w:w="3794" w:type="dxa"/>
          </w:tcPr>
          <w:p w14:paraId="39E5B5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7A8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парашютах легкого танка, подвешенного</w:t>
            </w:r>
          </w:p>
        </w:tc>
      </w:tr>
      <w:tr w:rsidR="00DA227A" w:rsidRPr="00E93F40" w14:paraId="09B97B49" w14:textId="77777777">
        <w:tc>
          <w:tcPr>
            <w:tcW w:w="3794" w:type="dxa"/>
          </w:tcPr>
          <w:p w14:paraId="5936E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12C2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ТБ-3 и предназначенного для</w:t>
            </w:r>
          </w:p>
        </w:tc>
      </w:tr>
      <w:tr w:rsidR="00DA227A" w:rsidRPr="00E93F40" w14:paraId="0ADC0DE3" w14:textId="77777777">
        <w:tc>
          <w:tcPr>
            <w:tcW w:w="3794" w:type="dxa"/>
          </w:tcPr>
          <w:p w14:paraId="2BBB4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BD379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усиления ПДО мощной огневой единицей,</w:t>
            </w:r>
          </w:p>
        </w:tc>
      </w:tr>
      <w:tr w:rsidR="00DA227A" w:rsidRPr="00E93F40" w14:paraId="15E1350A" w14:textId="77777777">
        <w:tc>
          <w:tcPr>
            <w:tcW w:w="3794" w:type="dxa"/>
          </w:tcPr>
          <w:p w14:paraId="370D7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BB13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также средством разведки и связи, что</w:t>
            </w:r>
          </w:p>
        </w:tc>
      </w:tr>
      <w:tr w:rsidR="00DA227A" w:rsidRPr="00E93F40" w14:paraId="2D4C8B96" w14:textId="77777777">
        <w:tc>
          <w:tcPr>
            <w:tcW w:w="3794" w:type="dxa"/>
          </w:tcPr>
          <w:p w14:paraId="7BBC8A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2BE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достигается благодаря особым боевым</w:t>
            </w:r>
          </w:p>
        </w:tc>
      </w:tr>
      <w:tr w:rsidR="00DA227A" w:rsidRPr="00E93F40" w14:paraId="1C4209AC" w14:textId="77777777">
        <w:tc>
          <w:tcPr>
            <w:tcW w:w="3794" w:type="dxa"/>
          </w:tcPr>
          <w:p w14:paraId="6C93CD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D4D5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качествам танка, его маневренностью,</w:t>
            </w:r>
          </w:p>
        </w:tc>
      </w:tr>
      <w:tr w:rsidR="00DA227A" w:rsidRPr="00E93F40" w14:paraId="7698AC9E" w14:textId="77777777">
        <w:tc>
          <w:tcPr>
            <w:tcW w:w="3794" w:type="dxa"/>
          </w:tcPr>
          <w:p w14:paraId="2C79C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696E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быстротой и вездеходностью.</w:t>
            </w:r>
          </w:p>
        </w:tc>
      </w:tr>
      <w:tr w:rsidR="00DA227A" w:rsidRPr="00E93F40" w14:paraId="05E2A072" w14:textId="77777777">
        <w:tc>
          <w:tcPr>
            <w:tcW w:w="3794" w:type="dxa"/>
          </w:tcPr>
          <w:p w14:paraId="5A231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0F568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09B84E7D" w14:textId="77777777">
        <w:tc>
          <w:tcPr>
            <w:tcW w:w="3794" w:type="dxa"/>
          </w:tcPr>
          <w:p w14:paraId="6231EF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30B779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Подвесные аэросани (Г-67)</w:t>
            </w:r>
          </w:p>
        </w:tc>
      </w:tr>
      <w:tr w:rsidR="00DA227A" w:rsidRPr="00E93F40" w14:paraId="6DEA7A1C" w14:textId="77777777">
        <w:tc>
          <w:tcPr>
            <w:tcW w:w="3794" w:type="dxa"/>
          </w:tcPr>
          <w:p w14:paraId="7EA7D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084F86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Аэросани с мотором 250 НР вооружены</w:t>
            </w:r>
          </w:p>
        </w:tc>
      </w:tr>
      <w:tr w:rsidR="00DA227A" w:rsidRPr="00E93F40" w14:paraId="11B41EA2" w14:textId="77777777">
        <w:tc>
          <w:tcPr>
            <w:tcW w:w="3794" w:type="dxa"/>
          </w:tcPr>
          <w:p w14:paraId="575B73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7125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2-мя пулеметами и одной пушкой и закрыты</w:t>
            </w:r>
          </w:p>
        </w:tc>
      </w:tr>
      <w:tr w:rsidR="00DA227A" w:rsidRPr="00E93F40" w14:paraId="3A77B9BE" w14:textId="77777777">
        <w:tc>
          <w:tcPr>
            <w:tcW w:w="3794" w:type="dxa"/>
          </w:tcPr>
          <w:p w14:paraId="4607F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A3265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 мм броней, подвешиваются под самолетом</w:t>
            </w:r>
          </w:p>
        </w:tc>
      </w:tr>
      <w:tr w:rsidR="00DA227A" w:rsidRPr="00E93F40" w14:paraId="02BDD7E3" w14:textId="77777777">
        <w:tc>
          <w:tcPr>
            <w:tcW w:w="3794" w:type="dxa"/>
          </w:tcPr>
          <w:p w14:paraId="1E1D9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A40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 и сбрасываются на снежную поверхность</w:t>
            </w:r>
          </w:p>
        </w:tc>
      </w:tr>
      <w:tr w:rsidR="00DA227A" w:rsidRPr="00E93F40" w14:paraId="1800967B" w14:textId="77777777">
        <w:tc>
          <w:tcPr>
            <w:tcW w:w="3794" w:type="dxa"/>
          </w:tcPr>
          <w:p w14:paraId="480FD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192D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бреющего полета. Мотор и винт, находящиеся</w:t>
            </w:r>
          </w:p>
        </w:tc>
      </w:tr>
      <w:tr w:rsidR="00DA227A" w:rsidRPr="00E93F40" w14:paraId="1B646823" w14:textId="77777777">
        <w:tc>
          <w:tcPr>
            <w:tcW w:w="3794" w:type="dxa"/>
          </w:tcPr>
          <w:p w14:paraId="6999A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798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сложенном виде, приводятся в действие и</w:t>
            </w:r>
          </w:p>
        </w:tc>
      </w:tr>
      <w:tr w:rsidR="00DA227A" w:rsidRPr="00E93F40" w14:paraId="189433B2" w14:textId="77777777">
        <w:tc>
          <w:tcPr>
            <w:tcW w:w="3794" w:type="dxa"/>
          </w:tcPr>
          <w:p w14:paraId="75FBC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6DA8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сброшенные в тыл противника аэросани,</w:t>
            </w:r>
          </w:p>
        </w:tc>
      </w:tr>
      <w:tr w:rsidR="00DA227A" w:rsidRPr="00E93F40" w14:paraId="3ADB9D42" w14:textId="77777777">
        <w:tc>
          <w:tcPr>
            <w:tcW w:w="3794" w:type="dxa"/>
          </w:tcPr>
          <w:p w14:paraId="088FF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C82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окрашенные в белый цвет (защитный по</w:t>
            </w:r>
          </w:p>
        </w:tc>
      </w:tr>
      <w:tr w:rsidR="00DA227A" w:rsidRPr="00E93F40" w14:paraId="3B174C77" w14:textId="77777777">
        <w:tc>
          <w:tcPr>
            <w:tcW w:w="3794" w:type="dxa"/>
          </w:tcPr>
          <w:p w14:paraId="162CB6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502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местности) становятся сильной боевой </w:t>
            </w:r>
          </w:p>
        </w:tc>
      </w:tr>
      <w:tr w:rsidR="00DA227A" w:rsidRPr="00E93F40" w14:paraId="2064F574" w14:textId="77777777">
        <w:tc>
          <w:tcPr>
            <w:tcW w:w="3794" w:type="dxa"/>
          </w:tcPr>
          <w:p w14:paraId="07DD38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C44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единицей помощи ПДО.</w:t>
            </w:r>
          </w:p>
        </w:tc>
      </w:tr>
      <w:tr w:rsidR="00DA227A" w:rsidRPr="00E93F40" w14:paraId="44541327" w14:textId="77777777">
        <w:tc>
          <w:tcPr>
            <w:tcW w:w="3794" w:type="dxa"/>
          </w:tcPr>
          <w:p w14:paraId="5C292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30BFA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7BBADB7C" w14:textId="77777777">
        <w:tc>
          <w:tcPr>
            <w:tcW w:w="3794" w:type="dxa"/>
          </w:tcPr>
          <w:p w14:paraId="686F96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1BE358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Экспериментальная разработка мероприятий</w:t>
            </w:r>
          </w:p>
        </w:tc>
      </w:tr>
      <w:tr w:rsidR="00DA227A" w:rsidRPr="00E93F40" w14:paraId="0BA14831" w14:textId="77777777">
        <w:tc>
          <w:tcPr>
            <w:tcW w:w="3794" w:type="dxa"/>
          </w:tcPr>
          <w:p w14:paraId="4A8331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00E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созданию воздушных танк-отрядов (Г-68)</w:t>
            </w:r>
          </w:p>
        </w:tc>
      </w:tr>
      <w:tr w:rsidR="00DA227A" w:rsidRPr="00E93F40" w14:paraId="36394F88" w14:textId="77777777">
        <w:tc>
          <w:tcPr>
            <w:tcW w:w="3794" w:type="dxa"/>
          </w:tcPr>
          <w:p w14:paraId="455B3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5857AA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экспериментов и мероприятий</w:t>
            </w:r>
          </w:p>
        </w:tc>
      </w:tr>
      <w:tr w:rsidR="00DA227A" w:rsidRPr="00E93F40" w14:paraId="74D4A2D2" w14:textId="77777777">
        <w:tc>
          <w:tcPr>
            <w:tcW w:w="3794" w:type="dxa"/>
          </w:tcPr>
          <w:p w14:paraId="4FACEF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7ED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направлена на разрешение вопросов,</w:t>
            </w:r>
          </w:p>
        </w:tc>
      </w:tr>
      <w:tr w:rsidR="00DA227A" w:rsidRPr="00E93F40" w14:paraId="0E6FAC0D" w14:textId="77777777">
        <w:tc>
          <w:tcPr>
            <w:tcW w:w="3794" w:type="dxa"/>
          </w:tcPr>
          <w:p w14:paraId="1C774F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318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устанавливающих возможность самостоятельного</w:t>
            </w:r>
          </w:p>
        </w:tc>
      </w:tr>
      <w:tr w:rsidR="00DA227A" w:rsidRPr="00E93F40" w14:paraId="1EB23EC4" w14:textId="77777777">
        <w:tc>
          <w:tcPr>
            <w:tcW w:w="3794" w:type="dxa"/>
          </w:tcPr>
          <w:p w14:paraId="6D2829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DA0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 связи с ПДО) сбрасывания крупных</w:t>
            </w:r>
          </w:p>
        </w:tc>
      </w:tr>
      <w:tr w:rsidR="00DA227A" w:rsidRPr="00E93F40" w14:paraId="6F09BAAD" w14:textId="77777777">
        <w:tc>
          <w:tcPr>
            <w:tcW w:w="3794" w:type="dxa"/>
          </w:tcPr>
          <w:p w14:paraId="371EB3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FD08E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танковых соединений в ближайший тыл</w:t>
            </w:r>
          </w:p>
        </w:tc>
      </w:tr>
      <w:tr w:rsidR="00DA227A" w:rsidRPr="00E93F40" w14:paraId="36E4BDC0" w14:textId="77777777">
        <w:tc>
          <w:tcPr>
            <w:tcW w:w="3794" w:type="dxa"/>
          </w:tcPr>
          <w:p w14:paraId="634B5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879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противника, а при увязке этих действий с</w:t>
            </w:r>
          </w:p>
        </w:tc>
      </w:tr>
      <w:tr w:rsidR="00DA227A" w:rsidRPr="00E93F40" w14:paraId="5F0D1B74" w14:textId="77777777">
        <w:tc>
          <w:tcPr>
            <w:tcW w:w="3794" w:type="dxa"/>
          </w:tcPr>
          <w:p w14:paraId="005031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998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правильно налаженным снабжением горючим</w:t>
            </w:r>
          </w:p>
        </w:tc>
      </w:tr>
      <w:tr w:rsidR="00DA227A" w:rsidRPr="00E93F40" w14:paraId="16CC8A10" w14:textId="77777777">
        <w:tc>
          <w:tcPr>
            <w:tcW w:w="3794" w:type="dxa"/>
          </w:tcPr>
          <w:p w14:paraId="14E30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5DE2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вооружением с воздуха, для выполнения</w:t>
            </w:r>
          </w:p>
        </w:tc>
      </w:tr>
      <w:tr w:rsidR="00DA227A" w:rsidRPr="00E93F40" w14:paraId="7261EA7B" w14:textId="77777777">
        <w:tc>
          <w:tcPr>
            <w:tcW w:w="3794" w:type="dxa"/>
          </w:tcPr>
          <w:p w14:paraId="3FD94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904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боевых и диверсионных действий. Кроме </w:t>
            </w:r>
          </w:p>
        </w:tc>
      </w:tr>
      <w:tr w:rsidR="00DA227A" w:rsidRPr="00E93F40" w14:paraId="5738018B" w14:textId="77777777">
        <w:tc>
          <w:tcPr>
            <w:tcW w:w="3794" w:type="dxa"/>
          </w:tcPr>
          <w:p w14:paraId="316D5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4F1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того решение вопроса о возможности</w:t>
            </w:r>
          </w:p>
        </w:tc>
      </w:tr>
      <w:tr w:rsidR="00DA227A" w:rsidRPr="00E93F40" w14:paraId="2C791D9E" w14:textId="77777777">
        <w:tc>
          <w:tcPr>
            <w:tcW w:w="3794" w:type="dxa"/>
          </w:tcPr>
          <w:p w14:paraId="1AA00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D9F4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воздушных перебросок крупных танк-отрядов</w:t>
            </w:r>
          </w:p>
        </w:tc>
      </w:tr>
      <w:tr w:rsidR="00DA227A" w:rsidRPr="00E93F40" w14:paraId="058115D0" w14:textId="77777777">
        <w:tc>
          <w:tcPr>
            <w:tcW w:w="3794" w:type="dxa"/>
          </w:tcPr>
          <w:p w14:paraId="3D7203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A0B7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решает проблему максимально быстрого</w:t>
            </w:r>
          </w:p>
        </w:tc>
      </w:tr>
      <w:tr w:rsidR="00DA227A" w:rsidRPr="00E93F40" w14:paraId="606EA9EA" w14:textId="77777777">
        <w:tc>
          <w:tcPr>
            <w:tcW w:w="3794" w:type="dxa"/>
          </w:tcPr>
          <w:p w14:paraId="442E83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714B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насыщения своего фронта мощными средствами</w:t>
            </w:r>
          </w:p>
        </w:tc>
      </w:tr>
      <w:tr w:rsidR="00DA227A" w:rsidRPr="00E93F40" w14:paraId="24CF5626" w14:textId="77777777">
        <w:tc>
          <w:tcPr>
            <w:tcW w:w="3794" w:type="dxa"/>
          </w:tcPr>
          <w:p w14:paraId="107954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9B3E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ведения боя за счет переброски из отдельных</w:t>
            </w:r>
          </w:p>
        </w:tc>
      </w:tr>
      <w:tr w:rsidR="00DA227A" w:rsidRPr="00E93F40" w14:paraId="74C339D1" w14:textId="77777777">
        <w:tc>
          <w:tcPr>
            <w:tcW w:w="3794" w:type="dxa"/>
          </w:tcPr>
          <w:p w14:paraId="4128B0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F57C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участков фронта и из промышленного тыла</w:t>
            </w:r>
          </w:p>
        </w:tc>
      </w:tr>
      <w:tr w:rsidR="00DA227A" w:rsidRPr="00E93F40" w14:paraId="5EC22C7F" w14:textId="77777777">
        <w:tc>
          <w:tcPr>
            <w:tcW w:w="3794" w:type="dxa"/>
          </w:tcPr>
          <w:p w14:paraId="008DEE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0029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фронт для введения в действие.</w:t>
            </w:r>
          </w:p>
        </w:tc>
      </w:tr>
      <w:tr w:rsidR="00DA227A" w:rsidRPr="00E93F40" w14:paraId="516DC658" w14:textId="77777777">
        <w:tc>
          <w:tcPr>
            <w:tcW w:w="3794" w:type="dxa"/>
          </w:tcPr>
          <w:p w14:paraId="5A31F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49620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Снять. Разработку этого вопроса необходимо</w:t>
            </w:r>
          </w:p>
        </w:tc>
      </w:tr>
      <w:tr w:rsidR="00DA227A" w:rsidRPr="00E93F40" w14:paraId="22B41B60" w14:textId="77777777">
        <w:tc>
          <w:tcPr>
            <w:tcW w:w="3794" w:type="dxa"/>
          </w:tcPr>
          <w:p w14:paraId="7B5F0C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6EEE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возложить на парашютно-десантный отряд</w:t>
            </w:r>
          </w:p>
        </w:tc>
      </w:tr>
      <w:tr w:rsidR="00DA227A" w:rsidRPr="00E93F40" w14:paraId="64CE264C" w14:textId="77777777">
        <w:tc>
          <w:tcPr>
            <w:tcW w:w="3794" w:type="dxa"/>
          </w:tcPr>
          <w:p w14:paraId="728B02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E5ED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ЛВО.</w:t>
            </w:r>
          </w:p>
        </w:tc>
      </w:tr>
      <w:tr w:rsidR="00DA227A" w:rsidRPr="00E93F40" w14:paraId="1B6FD653" w14:textId="77777777">
        <w:tc>
          <w:tcPr>
            <w:tcW w:w="3794" w:type="dxa"/>
          </w:tcPr>
          <w:p w14:paraId="53A024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41ACC0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Санитарная авиаавтокабина ((Г-39)</w:t>
            </w:r>
          </w:p>
        </w:tc>
      </w:tr>
      <w:tr w:rsidR="00DA227A" w:rsidRPr="00E93F40" w14:paraId="1AB715F1" w14:textId="77777777">
        <w:tc>
          <w:tcPr>
            <w:tcW w:w="3794" w:type="dxa"/>
          </w:tcPr>
          <w:p w14:paraId="2C7DE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74346F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является составной частью санитарной</w:t>
            </w:r>
          </w:p>
        </w:tc>
      </w:tr>
      <w:tr w:rsidR="00DA227A" w:rsidRPr="00E93F40" w14:paraId="77E6EBA7" w14:textId="77777777">
        <w:tc>
          <w:tcPr>
            <w:tcW w:w="3794" w:type="dxa"/>
          </w:tcPr>
          <w:p w14:paraId="7CD18A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BF1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3-х осной автомашины и отделяясь от последней</w:t>
            </w:r>
          </w:p>
        </w:tc>
      </w:tr>
      <w:tr w:rsidR="00DA227A" w:rsidRPr="00E93F40" w14:paraId="4C65C305" w14:textId="77777777">
        <w:tc>
          <w:tcPr>
            <w:tcW w:w="3794" w:type="dxa"/>
          </w:tcPr>
          <w:p w14:paraId="70EB6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33F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подвешивается под фюзеляжем ТБ-1 для</w:t>
            </w:r>
          </w:p>
        </w:tc>
      </w:tr>
      <w:tr w:rsidR="00DA227A" w:rsidRPr="00E93F40" w14:paraId="61264FD6" w14:textId="77777777">
        <w:tc>
          <w:tcPr>
            <w:tcW w:w="3794" w:type="dxa"/>
          </w:tcPr>
          <w:p w14:paraId="76F76F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8FC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транспортирования или эвакуации 8 чел.</w:t>
            </w:r>
          </w:p>
        </w:tc>
      </w:tr>
      <w:tr w:rsidR="00DA227A" w:rsidRPr="00E93F40" w14:paraId="690E9694" w14:textId="77777777">
        <w:tc>
          <w:tcPr>
            <w:tcW w:w="3794" w:type="dxa"/>
          </w:tcPr>
          <w:p w14:paraId="15D1B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49B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больных и раненных в сопровождении 2-х чел.</w:t>
            </w:r>
          </w:p>
        </w:tc>
      </w:tr>
      <w:tr w:rsidR="00DA227A" w:rsidRPr="00E93F40" w14:paraId="28EF0A0E" w14:textId="77777777">
        <w:tc>
          <w:tcPr>
            <w:tcW w:w="3794" w:type="dxa"/>
          </w:tcPr>
          <w:p w14:paraId="6FB39E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8D971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медперсонала. На случай воздушной аварии</w:t>
            </w:r>
          </w:p>
        </w:tc>
      </w:tr>
      <w:tr w:rsidR="00DA227A" w:rsidRPr="00E93F40" w14:paraId="3C71C454" w14:textId="77777777">
        <w:tc>
          <w:tcPr>
            <w:tcW w:w="3794" w:type="dxa"/>
          </w:tcPr>
          <w:p w14:paraId="75619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5EBC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снабжена парашютной установкой,</w:t>
            </w:r>
          </w:p>
        </w:tc>
      </w:tr>
      <w:tr w:rsidR="00DA227A" w:rsidRPr="00E93F40" w14:paraId="2B0FB3A9" w14:textId="77777777">
        <w:tc>
          <w:tcPr>
            <w:tcW w:w="3794" w:type="dxa"/>
          </w:tcPr>
          <w:p w14:paraId="73859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71EFE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действующей _методом срыва_ и приземляющей</w:t>
            </w:r>
          </w:p>
        </w:tc>
      </w:tr>
      <w:tr w:rsidR="00DA227A" w:rsidRPr="00E93F40" w14:paraId="0E389C15" w14:textId="77777777">
        <w:tc>
          <w:tcPr>
            <w:tcW w:w="3794" w:type="dxa"/>
          </w:tcPr>
          <w:p w14:paraId="146C17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CA05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кабину, чем обеспечивает ее сохранность.</w:t>
            </w:r>
          </w:p>
        </w:tc>
      </w:tr>
      <w:tr w:rsidR="00DA227A" w:rsidRPr="00E93F40" w14:paraId="16E1C193" w14:textId="77777777">
        <w:tc>
          <w:tcPr>
            <w:tcW w:w="3794" w:type="dxa"/>
          </w:tcPr>
          <w:p w14:paraId="2CC88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4B32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дает возможность при действии</w:t>
            </w:r>
          </w:p>
        </w:tc>
      </w:tr>
      <w:tr w:rsidR="00DA227A" w:rsidRPr="00E93F40" w14:paraId="5B50A611" w14:textId="77777777">
        <w:tc>
          <w:tcPr>
            <w:tcW w:w="3794" w:type="dxa"/>
          </w:tcPr>
          <w:p w14:paraId="6DCBE6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25BEA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ее на земле (в виде санитарной автомашины)</w:t>
            </w:r>
          </w:p>
        </w:tc>
      </w:tr>
      <w:tr w:rsidR="00DA227A" w:rsidRPr="00E93F40" w14:paraId="4B87D914" w14:textId="77777777">
        <w:tc>
          <w:tcPr>
            <w:tcW w:w="3794" w:type="dxa"/>
          </w:tcPr>
          <w:p w14:paraId="3FFFD2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473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передвигаться по пересеченной местности,</w:t>
            </w:r>
          </w:p>
        </w:tc>
      </w:tr>
      <w:tr w:rsidR="00DA227A" w:rsidRPr="00E93F40" w14:paraId="002DF742" w14:textId="77777777">
        <w:tc>
          <w:tcPr>
            <w:tcW w:w="3794" w:type="dxa"/>
          </w:tcPr>
          <w:p w14:paraId="359FA3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83DA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подбирать раненных и исключает необходимость</w:t>
            </w:r>
          </w:p>
        </w:tc>
      </w:tr>
      <w:tr w:rsidR="00DA227A" w:rsidRPr="00E93F40" w14:paraId="1C475850" w14:textId="77777777">
        <w:tc>
          <w:tcPr>
            <w:tcW w:w="3794" w:type="dxa"/>
          </w:tcPr>
          <w:p w14:paraId="7E735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A1CD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лишний раз переноски их в самолет, т.к. может</w:t>
            </w:r>
          </w:p>
        </w:tc>
      </w:tr>
      <w:tr w:rsidR="00DA227A" w:rsidRPr="00E93F40" w14:paraId="1594A88A" w14:textId="77777777">
        <w:tc>
          <w:tcPr>
            <w:tcW w:w="3794" w:type="dxa"/>
          </w:tcPr>
          <w:p w14:paraId="7813A9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549A6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быть подвешена на самолет, отделившись от</w:t>
            </w:r>
          </w:p>
        </w:tc>
      </w:tr>
      <w:tr w:rsidR="00DA227A" w:rsidRPr="00E93F40" w14:paraId="0D387951" w14:textId="77777777">
        <w:tc>
          <w:tcPr>
            <w:tcW w:w="3794" w:type="dxa"/>
          </w:tcPr>
          <w:p w14:paraId="03126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1CBA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автомашины. Кроме того создание </w:t>
            </w:r>
          </w:p>
        </w:tc>
      </w:tr>
      <w:tr w:rsidR="00DA227A" w:rsidRPr="00E93F40" w14:paraId="28ECA247" w14:textId="77777777">
        <w:tc>
          <w:tcPr>
            <w:tcW w:w="3794" w:type="dxa"/>
          </w:tcPr>
          <w:p w14:paraId="4A92CD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D8EC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авиаавтокабины устраняет необходимость</w:t>
            </w:r>
          </w:p>
        </w:tc>
      </w:tr>
      <w:tr w:rsidR="00DA227A" w:rsidRPr="00E93F40" w14:paraId="78797C10" w14:textId="77777777">
        <w:tc>
          <w:tcPr>
            <w:tcW w:w="3794" w:type="dxa"/>
          </w:tcPr>
          <w:p w14:paraId="191A5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E8B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постройки специальных дорогостоящих</w:t>
            </w:r>
          </w:p>
        </w:tc>
      </w:tr>
      <w:tr w:rsidR="00DA227A" w:rsidRPr="00E93F40" w14:paraId="0BA553F9" w14:textId="77777777">
        <w:tc>
          <w:tcPr>
            <w:tcW w:w="3794" w:type="dxa"/>
          </w:tcPr>
          <w:p w14:paraId="679974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52230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санитарных самолетов, т.к. настоящая</w:t>
            </w:r>
          </w:p>
        </w:tc>
      </w:tr>
      <w:tr w:rsidR="00DA227A" w:rsidRPr="00E93F40" w14:paraId="6FA51E3E" w14:textId="77777777">
        <w:tc>
          <w:tcPr>
            <w:tcW w:w="3794" w:type="dxa"/>
          </w:tcPr>
          <w:p w14:paraId="60932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93920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дает возможность использовать</w:t>
            </w:r>
          </w:p>
        </w:tc>
      </w:tr>
      <w:tr w:rsidR="00DA227A" w:rsidRPr="00E93F40" w14:paraId="3295CF34" w14:textId="77777777">
        <w:tc>
          <w:tcPr>
            <w:tcW w:w="3794" w:type="dxa"/>
          </w:tcPr>
          <w:p w14:paraId="2C8630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F9C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санит. целей любой самолет тяжелого</w:t>
            </w:r>
          </w:p>
        </w:tc>
      </w:tr>
      <w:tr w:rsidR="00DA227A" w:rsidRPr="00E93F40" w14:paraId="1D0E0968" w14:textId="77777777">
        <w:tc>
          <w:tcPr>
            <w:tcW w:w="3794" w:type="dxa"/>
          </w:tcPr>
          <w:p w14:paraId="383AC2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13158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типа.</w:t>
            </w:r>
          </w:p>
        </w:tc>
      </w:tr>
      <w:tr w:rsidR="00DA227A" w:rsidRPr="00E93F40" w14:paraId="3A853642" w14:textId="77777777">
        <w:tc>
          <w:tcPr>
            <w:tcW w:w="3794" w:type="dxa"/>
          </w:tcPr>
          <w:p w14:paraId="3E8BAF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0FD6B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Снять. Создать как одну из кабин под объект</w:t>
            </w:r>
          </w:p>
        </w:tc>
      </w:tr>
      <w:tr w:rsidR="00DA227A" w:rsidRPr="00E93F40" w14:paraId="7CD8E7A8" w14:textId="77777777">
        <w:tc>
          <w:tcPr>
            <w:tcW w:w="3794" w:type="dxa"/>
          </w:tcPr>
          <w:p w14:paraId="237F5C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14B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N 3 отд. 1 летающее крыло.</w:t>
            </w:r>
          </w:p>
        </w:tc>
      </w:tr>
      <w:tr w:rsidR="00DA227A" w:rsidRPr="00E93F40" w14:paraId="1F8A945F" w14:textId="77777777">
        <w:tc>
          <w:tcPr>
            <w:tcW w:w="3794" w:type="dxa"/>
          </w:tcPr>
          <w:p w14:paraId="283C11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3697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Санитарные подвесные носилки под</w:t>
            </w:r>
          </w:p>
        </w:tc>
      </w:tr>
      <w:tr w:rsidR="00DA227A" w:rsidRPr="00E93F40" w14:paraId="159FA071" w14:textId="77777777">
        <w:tc>
          <w:tcPr>
            <w:tcW w:w="3794" w:type="dxa"/>
          </w:tcPr>
          <w:p w14:paraId="226AD1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6F44F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Р-5 (Г-69)</w:t>
            </w:r>
          </w:p>
        </w:tc>
      </w:tr>
      <w:tr w:rsidR="00DA227A" w:rsidRPr="00E93F40" w14:paraId="04F1C542" w14:textId="77777777">
        <w:tc>
          <w:tcPr>
            <w:tcW w:w="3794" w:type="dxa"/>
          </w:tcPr>
          <w:p w14:paraId="27DAD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118A6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Санитарные носилки, заключенные в</w:t>
            </w:r>
          </w:p>
        </w:tc>
      </w:tr>
      <w:tr w:rsidR="00DA227A" w:rsidRPr="00E93F40" w14:paraId="18585DCB" w14:textId="77777777">
        <w:tc>
          <w:tcPr>
            <w:tcW w:w="3794" w:type="dxa"/>
          </w:tcPr>
          <w:p w14:paraId="4A2939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7CFF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деревянный обтянутый брезентом обтекатель,</w:t>
            </w:r>
          </w:p>
        </w:tc>
      </w:tr>
      <w:tr w:rsidR="00DA227A" w:rsidRPr="00E93F40" w14:paraId="324B5AB8" w14:textId="77777777">
        <w:tc>
          <w:tcPr>
            <w:tcW w:w="3794" w:type="dxa"/>
          </w:tcPr>
          <w:p w14:paraId="1112E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8EED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подвешиваются к балкам бомбодержателей</w:t>
            </w:r>
          </w:p>
        </w:tc>
      </w:tr>
      <w:tr w:rsidR="00DA227A" w:rsidRPr="00E93F40" w14:paraId="709576B2" w14:textId="77777777">
        <w:tc>
          <w:tcPr>
            <w:tcW w:w="3794" w:type="dxa"/>
          </w:tcPr>
          <w:p w14:paraId="0FE41D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D549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легкого самолета по 2 под каждую плоскость</w:t>
            </w:r>
          </w:p>
        </w:tc>
      </w:tr>
      <w:tr w:rsidR="00DA227A" w:rsidRPr="00E93F40" w14:paraId="36D85B1B" w14:textId="77777777">
        <w:tc>
          <w:tcPr>
            <w:tcW w:w="3794" w:type="dxa"/>
          </w:tcPr>
          <w:p w14:paraId="30F77A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1ED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дают возможность быстрой переброски по</w:t>
            </w:r>
          </w:p>
        </w:tc>
      </w:tr>
      <w:tr w:rsidR="00DA227A" w:rsidRPr="00E93F40" w14:paraId="0C25E47C" w14:textId="77777777">
        <w:tc>
          <w:tcPr>
            <w:tcW w:w="3794" w:type="dxa"/>
          </w:tcPr>
          <w:p w14:paraId="252BD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1F3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воздуху 4 раненных или больных бойцов.</w:t>
            </w:r>
          </w:p>
        </w:tc>
      </w:tr>
      <w:tr w:rsidR="00DA227A" w:rsidRPr="00E93F40" w14:paraId="1B4C9B72" w14:textId="77777777">
        <w:tc>
          <w:tcPr>
            <w:tcW w:w="3794" w:type="dxa"/>
          </w:tcPr>
          <w:p w14:paraId="24BB18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B53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посадке самолета, снимается обтекатель</w:t>
            </w:r>
          </w:p>
        </w:tc>
      </w:tr>
      <w:tr w:rsidR="00DA227A" w:rsidRPr="00E93F40" w14:paraId="5508F6A5" w14:textId="77777777">
        <w:tc>
          <w:tcPr>
            <w:tcW w:w="3794" w:type="dxa"/>
          </w:tcPr>
          <w:p w14:paraId="64F42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4874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носилки с больными или раненными в</w:t>
            </w:r>
          </w:p>
        </w:tc>
      </w:tr>
      <w:tr w:rsidR="00DA227A" w:rsidRPr="00E93F40" w14:paraId="6296C89A" w14:textId="77777777">
        <w:tc>
          <w:tcPr>
            <w:tcW w:w="3794" w:type="dxa"/>
          </w:tcPr>
          <w:p w14:paraId="53EAE9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616C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обычном порядке могут переносится.</w:t>
            </w:r>
          </w:p>
        </w:tc>
      </w:tr>
      <w:tr w:rsidR="00DA227A" w:rsidRPr="00E93F40" w14:paraId="4F2B87F4" w14:textId="77777777">
        <w:tc>
          <w:tcPr>
            <w:tcW w:w="3794" w:type="dxa"/>
          </w:tcPr>
          <w:p w14:paraId="4D9AA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4236E6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194E0CA7" w14:textId="77777777">
        <w:tc>
          <w:tcPr>
            <w:tcW w:w="3794" w:type="dxa"/>
          </w:tcPr>
          <w:p w14:paraId="540B7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56872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Бактериологический процесс (Г-70)</w:t>
            </w:r>
          </w:p>
        </w:tc>
      </w:tr>
      <w:tr w:rsidR="00DA227A" w:rsidRPr="00E93F40" w14:paraId="0E732BE9" w14:textId="77777777">
        <w:tc>
          <w:tcPr>
            <w:tcW w:w="3794" w:type="dxa"/>
          </w:tcPr>
          <w:p w14:paraId="62482C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05EA7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E93F40" w14:paraId="25248F15" w14:textId="77777777">
        <w:tc>
          <w:tcPr>
            <w:tcW w:w="3794" w:type="dxa"/>
          </w:tcPr>
          <w:p w14:paraId="73682F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7EF557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bl>
    <w:p w14:paraId="0691D0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DA227A" w:rsidRPr="00E93F40" w14:paraId="1C067BE4" w14:textId="77777777">
        <w:tc>
          <w:tcPr>
            <w:tcW w:w="3794" w:type="dxa"/>
          </w:tcPr>
          <w:p w14:paraId="22F6B1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7 отделу (морской)</w:t>
            </w:r>
          </w:p>
        </w:tc>
        <w:tc>
          <w:tcPr>
            <w:tcW w:w="5245" w:type="dxa"/>
          </w:tcPr>
          <w:p w14:paraId="6D16B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2D43A0" w14:textId="77777777">
        <w:tc>
          <w:tcPr>
            <w:tcW w:w="3794" w:type="dxa"/>
          </w:tcPr>
          <w:p w14:paraId="3FCB9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0C4A6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Летающий парашют разведчик (Г-47)</w:t>
            </w:r>
          </w:p>
        </w:tc>
      </w:tr>
      <w:tr w:rsidR="00DA227A" w:rsidRPr="00E93F40" w14:paraId="033A1B70" w14:textId="77777777">
        <w:tc>
          <w:tcPr>
            <w:tcW w:w="3794" w:type="dxa"/>
          </w:tcPr>
          <w:p w14:paraId="4A880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60A3B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разведчик 12 м предназначен для</w:t>
            </w:r>
          </w:p>
        </w:tc>
      </w:tr>
      <w:tr w:rsidR="00DA227A" w:rsidRPr="00E93F40" w14:paraId="538D7460" w14:textId="77777777">
        <w:tc>
          <w:tcPr>
            <w:tcW w:w="3794" w:type="dxa"/>
          </w:tcPr>
          <w:p w14:paraId="673B3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66F3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осуществления службы наблюдения и</w:t>
            </w:r>
          </w:p>
        </w:tc>
      </w:tr>
      <w:tr w:rsidR="00DA227A" w:rsidRPr="00E93F40" w14:paraId="6D39BA68" w14:textId="77777777">
        <w:tc>
          <w:tcPr>
            <w:tcW w:w="3794" w:type="dxa"/>
          </w:tcPr>
          <w:p w14:paraId="74B67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3E4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разведки в морфлоте с идущих судов (крейсер,</w:t>
            </w:r>
          </w:p>
        </w:tc>
      </w:tr>
      <w:tr w:rsidR="00DA227A" w:rsidRPr="00E93F40" w14:paraId="1881BEA6" w14:textId="77777777">
        <w:tc>
          <w:tcPr>
            <w:tcW w:w="3794" w:type="dxa"/>
          </w:tcPr>
          <w:p w14:paraId="5AB12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0464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подлодка и т.п.) и представляет собой наиболее</w:t>
            </w:r>
          </w:p>
        </w:tc>
      </w:tr>
      <w:tr w:rsidR="00DA227A" w:rsidRPr="00E93F40" w14:paraId="6FAF23C0" w14:textId="77777777">
        <w:tc>
          <w:tcPr>
            <w:tcW w:w="3794" w:type="dxa"/>
          </w:tcPr>
          <w:p w14:paraId="447BA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5EC92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простой и легкоприменимый способ для</w:t>
            </w:r>
          </w:p>
        </w:tc>
      </w:tr>
      <w:tr w:rsidR="00DA227A" w:rsidRPr="00E93F40" w14:paraId="2F6C9B5C" w14:textId="77777777">
        <w:tc>
          <w:tcPr>
            <w:tcW w:w="3794" w:type="dxa"/>
          </w:tcPr>
          <w:p w14:paraId="2CFB7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3222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достижения указанной цели. Одетый на спину</w:t>
            </w:r>
          </w:p>
        </w:tc>
      </w:tr>
      <w:tr w:rsidR="00DA227A" w:rsidRPr="00E93F40" w14:paraId="3A547953" w14:textId="77777777">
        <w:tc>
          <w:tcPr>
            <w:tcW w:w="3794" w:type="dxa"/>
          </w:tcPr>
          <w:p w14:paraId="7490F0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7600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наблюдателя, стоящего на верхней части по</w:t>
            </w:r>
          </w:p>
        </w:tc>
      </w:tr>
      <w:tr w:rsidR="00DA227A" w:rsidRPr="00E93F40" w14:paraId="79E30F5A" w14:textId="77777777">
        <w:tc>
          <w:tcPr>
            <w:tcW w:w="3794" w:type="dxa"/>
          </w:tcPr>
          <w:p w14:paraId="55BF2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B00C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ходу идущего судна, парашют соединен</w:t>
            </w:r>
          </w:p>
        </w:tc>
      </w:tr>
      <w:tr w:rsidR="00DA227A" w:rsidRPr="00E93F40" w14:paraId="2EDD94BA" w14:textId="77777777">
        <w:tc>
          <w:tcPr>
            <w:tcW w:w="3794" w:type="dxa"/>
          </w:tcPr>
          <w:p w14:paraId="16D0E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2001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тросом с лебедкой и при вываливании из</w:t>
            </w:r>
          </w:p>
        </w:tc>
      </w:tr>
      <w:tr w:rsidR="00DA227A" w:rsidRPr="00E93F40" w14:paraId="59B6C395" w14:textId="77777777">
        <w:tc>
          <w:tcPr>
            <w:tcW w:w="3794" w:type="dxa"/>
          </w:tcPr>
          <w:p w14:paraId="059F6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ACE4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сумки от выдергивания наблюдателем кольца,</w:t>
            </w:r>
          </w:p>
        </w:tc>
      </w:tr>
      <w:tr w:rsidR="00DA227A" w:rsidRPr="00E93F40" w14:paraId="1CAAB1F6" w14:textId="77777777">
        <w:tc>
          <w:tcPr>
            <w:tcW w:w="3794" w:type="dxa"/>
          </w:tcPr>
          <w:p w14:paraId="537A0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CB87D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заполняется воздухом и подымается вверх</w:t>
            </w:r>
          </w:p>
        </w:tc>
      </w:tr>
      <w:tr w:rsidR="00DA227A" w:rsidRPr="00E93F40" w14:paraId="0AA80E39" w14:textId="77777777">
        <w:tc>
          <w:tcPr>
            <w:tcW w:w="3794" w:type="dxa"/>
          </w:tcPr>
          <w:p w14:paraId="5B79E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DCA7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откуда наблюдателем производится разведка</w:t>
            </w:r>
          </w:p>
        </w:tc>
      </w:tr>
      <w:tr w:rsidR="00DA227A" w:rsidRPr="00E93F40" w14:paraId="2E5BEB60" w14:textId="77777777">
        <w:tc>
          <w:tcPr>
            <w:tcW w:w="3794" w:type="dxa"/>
          </w:tcPr>
          <w:p w14:paraId="6C365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3F9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водного пространства. Спуск осуществляется</w:t>
            </w:r>
          </w:p>
        </w:tc>
      </w:tr>
      <w:tr w:rsidR="00DA227A" w:rsidRPr="00E93F40" w14:paraId="590D4C5C" w14:textId="77777777">
        <w:tc>
          <w:tcPr>
            <w:tcW w:w="3794" w:type="dxa"/>
          </w:tcPr>
          <w:p w14:paraId="17618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F92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травлением буксируемого троса моторной</w:t>
            </w:r>
          </w:p>
        </w:tc>
      </w:tr>
      <w:tr w:rsidR="00DA227A" w:rsidRPr="00E93F40" w14:paraId="402FD394" w14:textId="77777777">
        <w:tc>
          <w:tcPr>
            <w:tcW w:w="3794" w:type="dxa"/>
          </w:tcPr>
          <w:p w14:paraId="6E374E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AC48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лебедкой.</w:t>
            </w:r>
          </w:p>
        </w:tc>
      </w:tr>
      <w:tr w:rsidR="00DA227A" w:rsidRPr="00E93F40" w14:paraId="5717926E" w14:textId="77777777">
        <w:tc>
          <w:tcPr>
            <w:tcW w:w="3794" w:type="dxa"/>
          </w:tcPr>
          <w:p w14:paraId="05D4A8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4A526C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137A4315" w14:textId="77777777">
        <w:tc>
          <w:tcPr>
            <w:tcW w:w="3794" w:type="dxa"/>
          </w:tcPr>
          <w:p w14:paraId="3E595C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5331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Подвесной торпедкатер (Г-48)</w:t>
            </w:r>
          </w:p>
        </w:tc>
      </w:tr>
      <w:tr w:rsidR="00DA227A" w:rsidRPr="00E93F40" w14:paraId="4F9DA648" w14:textId="77777777">
        <w:tc>
          <w:tcPr>
            <w:tcW w:w="3794" w:type="dxa"/>
          </w:tcPr>
          <w:p w14:paraId="546C38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56CE9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Подвесной торпедкатер , снаряженный</w:t>
            </w:r>
          </w:p>
        </w:tc>
      </w:tr>
      <w:tr w:rsidR="00DA227A" w:rsidRPr="00E93F40" w14:paraId="1CEEE60F" w14:textId="77777777">
        <w:tc>
          <w:tcPr>
            <w:tcW w:w="3794" w:type="dxa"/>
          </w:tcPr>
          <w:p w14:paraId="6E00EB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464D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торпедой, подвешенный под фюзеляжем</w:t>
            </w:r>
          </w:p>
        </w:tc>
      </w:tr>
      <w:tr w:rsidR="00DA227A" w:rsidRPr="00E93F40" w14:paraId="6F83D3C0" w14:textId="77777777">
        <w:tc>
          <w:tcPr>
            <w:tcW w:w="3794" w:type="dxa"/>
          </w:tcPr>
          <w:p w14:paraId="13FC7C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8527C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тяжелого гидросамолета, сбрасывается на</w:t>
            </w:r>
          </w:p>
        </w:tc>
      </w:tr>
      <w:tr w:rsidR="00DA227A" w:rsidRPr="00E93F40" w14:paraId="1DBA623F" w14:textId="77777777">
        <w:tc>
          <w:tcPr>
            <w:tcW w:w="3794" w:type="dxa"/>
          </w:tcPr>
          <w:p w14:paraId="2F5F4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62C5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бреющем полете на море в районе идущего</w:t>
            </w:r>
          </w:p>
        </w:tc>
      </w:tr>
      <w:tr w:rsidR="00DA227A" w:rsidRPr="00E93F40" w14:paraId="69F6E957" w14:textId="77777777">
        <w:tc>
          <w:tcPr>
            <w:tcW w:w="3794" w:type="dxa"/>
          </w:tcPr>
          <w:p w14:paraId="1257D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032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боя и развивая своим мотором (М-34)</w:t>
            </w:r>
          </w:p>
        </w:tc>
      </w:tr>
      <w:tr w:rsidR="00DA227A" w:rsidRPr="00E93F40" w14:paraId="0D435987" w14:textId="77777777">
        <w:tc>
          <w:tcPr>
            <w:tcW w:w="3794" w:type="dxa"/>
          </w:tcPr>
          <w:p w14:paraId="40628E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0022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до 100 км/час направляется на судно</w:t>
            </w:r>
          </w:p>
        </w:tc>
      </w:tr>
      <w:tr w:rsidR="00DA227A" w:rsidRPr="00E93F40" w14:paraId="6C9F29F7" w14:textId="77777777">
        <w:tc>
          <w:tcPr>
            <w:tcW w:w="3794" w:type="dxa"/>
          </w:tcPr>
          <w:p w14:paraId="6BCE5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5CFB6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противника, выбрасывая на ходу торпеду,</w:t>
            </w:r>
          </w:p>
        </w:tc>
      </w:tr>
      <w:tr w:rsidR="00DA227A" w:rsidRPr="00E93F40" w14:paraId="022F397D" w14:textId="77777777">
        <w:tc>
          <w:tcPr>
            <w:tcW w:w="3794" w:type="dxa"/>
          </w:tcPr>
          <w:p w14:paraId="3119C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1643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чего резко меняет курс, что обеспечивает</w:t>
            </w:r>
          </w:p>
        </w:tc>
      </w:tr>
      <w:tr w:rsidR="00DA227A" w:rsidRPr="00E93F40" w14:paraId="2FF2A245" w14:textId="77777777">
        <w:tc>
          <w:tcPr>
            <w:tcW w:w="3794" w:type="dxa"/>
          </w:tcPr>
          <w:p w14:paraId="68BD2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194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его от орудийного огня с др. судов противника.</w:t>
            </w:r>
          </w:p>
        </w:tc>
      </w:tr>
      <w:tr w:rsidR="00DA227A" w:rsidRPr="00E93F40" w14:paraId="2A9295FD" w14:textId="77777777">
        <w:tc>
          <w:tcPr>
            <w:tcW w:w="3794" w:type="dxa"/>
          </w:tcPr>
          <w:p w14:paraId="0A47F1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050BA3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с использованием для подвески одной</w:t>
            </w:r>
          </w:p>
        </w:tc>
      </w:tr>
      <w:tr w:rsidR="00DA227A" w:rsidRPr="00E93F40" w14:paraId="04BC176A" w14:textId="77777777">
        <w:tc>
          <w:tcPr>
            <w:tcW w:w="3794" w:type="dxa"/>
          </w:tcPr>
          <w:p w14:paraId="5490C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22C3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существующих конструкций катера.</w:t>
            </w:r>
          </w:p>
        </w:tc>
      </w:tr>
      <w:tr w:rsidR="00DA227A" w:rsidRPr="00E93F40" w14:paraId="668DF8AA" w14:textId="77777777">
        <w:tc>
          <w:tcPr>
            <w:tcW w:w="3794" w:type="dxa"/>
          </w:tcPr>
          <w:p w14:paraId="3EDAE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6E845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Учебный гидро-планер (Г-71)</w:t>
            </w:r>
          </w:p>
        </w:tc>
      </w:tr>
      <w:tr w:rsidR="00DA227A" w:rsidRPr="00E93F40" w14:paraId="2B11AB8A" w14:textId="77777777">
        <w:tc>
          <w:tcPr>
            <w:tcW w:w="3794" w:type="dxa"/>
          </w:tcPr>
          <w:p w14:paraId="6F896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06815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 местный планер, поставленный на поплавки</w:t>
            </w:r>
          </w:p>
        </w:tc>
      </w:tr>
      <w:tr w:rsidR="00DA227A" w:rsidRPr="00E93F40" w14:paraId="298FFEF9" w14:textId="77777777">
        <w:tc>
          <w:tcPr>
            <w:tcW w:w="3794" w:type="dxa"/>
          </w:tcPr>
          <w:p w14:paraId="5FEE8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CD9C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буксируется при помощи троса быстроходным</w:t>
            </w:r>
          </w:p>
        </w:tc>
      </w:tr>
      <w:tr w:rsidR="00DA227A" w:rsidRPr="00E93F40" w14:paraId="3796698A" w14:textId="77777777">
        <w:tc>
          <w:tcPr>
            <w:tcW w:w="3794" w:type="dxa"/>
          </w:tcPr>
          <w:p w14:paraId="14356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F9F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моркатером, что приводит к взлету планера.</w:t>
            </w:r>
          </w:p>
        </w:tc>
      </w:tr>
      <w:tr w:rsidR="00DA227A" w:rsidRPr="00E93F40" w14:paraId="24428D54" w14:textId="77777777">
        <w:tc>
          <w:tcPr>
            <w:tcW w:w="3794" w:type="dxa"/>
          </w:tcPr>
          <w:p w14:paraId="205BA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70209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Гидро-планер служит для обучения морлетчиков</w:t>
            </w:r>
          </w:p>
        </w:tc>
      </w:tr>
      <w:tr w:rsidR="00DA227A" w:rsidRPr="00E93F40" w14:paraId="0FB2FED3" w14:textId="77777777">
        <w:tc>
          <w:tcPr>
            <w:tcW w:w="3794" w:type="dxa"/>
          </w:tcPr>
          <w:p w14:paraId="2834A2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3DE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технике пилотирования, давая возможность</w:t>
            </w:r>
          </w:p>
        </w:tc>
      </w:tr>
      <w:tr w:rsidR="00DA227A" w:rsidRPr="00E93F40" w14:paraId="52FC7B3B" w14:textId="77777777">
        <w:tc>
          <w:tcPr>
            <w:tcW w:w="3794" w:type="dxa"/>
          </w:tcPr>
          <w:p w14:paraId="60E68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056B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последним получить необходимые летные навыки</w:t>
            </w:r>
          </w:p>
        </w:tc>
      </w:tr>
      <w:tr w:rsidR="00DA227A" w:rsidRPr="00E93F40" w14:paraId="68DAE210" w14:textId="77777777">
        <w:tc>
          <w:tcPr>
            <w:tcW w:w="3794" w:type="dxa"/>
          </w:tcPr>
          <w:p w14:paraId="3B107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1244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 риска подвергнуться аварии.</w:t>
            </w:r>
          </w:p>
        </w:tc>
      </w:tr>
      <w:tr w:rsidR="00DA227A" w:rsidRPr="00E93F40" w14:paraId="1EFAAC43" w14:textId="77777777">
        <w:tc>
          <w:tcPr>
            <w:tcW w:w="3794" w:type="dxa"/>
          </w:tcPr>
          <w:p w14:paraId="301F6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3EC4C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7935188D" w14:textId="77777777">
        <w:tc>
          <w:tcPr>
            <w:tcW w:w="3794" w:type="dxa"/>
          </w:tcPr>
          <w:p w14:paraId="11AF3F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B272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Беспарашютный грузосбрасыватель (на 80 кг)</w:t>
            </w:r>
          </w:p>
        </w:tc>
      </w:tr>
      <w:tr w:rsidR="00DA227A" w:rsidRPr="00E93F40" w14:paraId="0EDCF72A" w14:textId="77777777">
        <w:tc>
          <w:tcPr>
            <w:tcW w:w="3794" w:type="dxa"/>
          </w:tcPr>
          <w:p w14:paraId="04FBC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9A66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(Г-72)</w:t>
            </w:r>
          </w:p>
        </w:tc>
      </w:tr>
      <w:tr w:rsidR="00DA227A" w:rsidRPr="00E93F40" w14:paraId="29416EAB" w14:textId="77777777">
        <w:tc>
          <w:tcPr>
            <w:tcW w:w="3794" w:type="dxa"/>
          </w:tcPr>
          <w:p w14:paraId="4E02B3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58AABD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Грузосбрасыватель удобообтекаемый снаряд</w:t>
            </w:r>
          </w:p>
        </w:tc>
      </w:tr>
      <w:tr w:rsidR="00DA227A" w:rsidRPr="00E93F40" w14:paraId="4E8203E9" w14:textId="77777777">
        <w:tc>
          <w:tcPr>
            <w:tcW w:w="3794" w:type="dxa"/>
          </w:tcPr>
          <w:p w14:paraId="4E3F6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201E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цилиндр подвешивается под фюзеляжем</w:t>
            </w:r>
          </w:p>
        </w:tc>
      </w:tr>
      <w:tr w:rsidR="00DA227A" w:rsidRPr="00E93F40" w14:paraId="7EE5A092" w14:textId="77777777">
        <w:tc>
          <w:tcPr>
            <w:tcW w:w="3794" w:type="dxa"/>
          </w:tcPr>
          <w:p w14:paraId="6CDCDE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05B70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гидросамолета в количестве шт., загруженный</w:t>
            </w:r>
          </w:p>
        </w:tc>
      </w:tr>
      <w:tr w:rsidR="00DA227A" w:rsidRPr="00E93F40" w14:paraId="67BFA0DA" w14:textId="77777777">
        <w:tc>
          <w:tcPr>
            <w:tcW w:w="3794" w:type="dxa"/>
          </w:tcPr>
          <w:p w14:paraId="4A4DE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A71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 кг различного груза (вооружение,</w:t>
            </w:r>
          </w:p>
        </w:tc>
      </w:tr>
      <w:tr w:rsidR="00DA227A" w:rsidRPr="00E93F40" w14:paraId="0565871A" w14:textId="77777777">
        <w:tc>
          <w:tcPr>
            <w:tcW w:w="3794" w:type="dxa"/>
          </w:tcPr>
          <w:p w14:paraId="3D8AA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34D8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продовольствие, одежда, медикаменты и т.п.)</w:t>
            </w:r>
          </w:p>
        </w:tc>
      </w:tr>
      <w:tr w:rsidR="00DA227A" w:rsidRPr="00E93F40" w14:paraId="776A25E7" w14:textId="77777777">
        <w:tc>
          <w:tcPr>
            <w:tcW w:w="3794" w:type="dxa"/>
          </w:tcPr>
          <w:p w14:paraId="22FCA2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E18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грузосбрасыватель может сбрасываться на</w:t>
            </w:r>
          </w:p>
        </w:tc>
      </w:tr>
      <w:tr w:rsidR="00DA227A" w:rsidRPr="00E93F40" w14:paraId="0E0F5DB4" w14:textId="77777777">
        <w:tc>
          <w:tcPr>
            <w:tcW w:w="3794" w:type="dxa"/>
          </w:tcPr>
          <w:p w14:paraId="3E3CFA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4550E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воду с любой высоты и благодаря спецустройству</w:t>
            </w:r>
          </w:p>
        </w:tc>
      </w:tr>
      <w:tr w:rsidR="00DA227A" w:rsidRPr="00E93F40" w14:paraId="4FD76245" w14:textId="77777777">
        <w:tc>
          <w:tcPr>
            <w:tcW w:w="3794" w:type="dxa"/>
          </w:tcPr>
          <w:p w14:paraId="7E8A7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003E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своего стабилизатора держится на поверхности</w:t>
            </w:r>
          </w:p>
        </w:tc>
      </w:tr>
      <w:tr w:rsidR="00DA227A" w:rsidRPr="00E93F40" w14:paraId="3F6EC474" w14:textId="77777777">
        <w:tc>
          <w:tcPr>
            <w:tcW w:w="3794" w:type="dxa"/>
          </w:tcPr>
          <w:p w14:paraId="14E1C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0C9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воды, откуда извлекается и освобождается от</w:t>
            </w:r>
          </w:p>
        </w:tc>
      </w:tr>
      <w:tr w:rsidR="00DA227A" w:rsidRPr="00E93F40" w14:paraId="27E5C801" w14:textId="77777777">
        <w:tc>
          <w:tcPr>
            <w:tcW w:w="3794" w:type="dxa"/>
          </w:tcPr>
          <w:p w14:paraId="17735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235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груза. Применим для ПДО, морских</w:t>
            </w:r>
          </w:p>
        </w:tc>
      </w:tr>
      <w:tr w:rsidR="00DA227A" w:rsidRPr="00E93F40" w14:paraId="792F74F5" w14:textId="77777777">
        <w:tc>
          <w:tcPr>
            <w:tcW w:w="3794" w:type="dxa"/>
          </w:tcPr>
          <w:p w14:paraId="35369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A47A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экспедиций, для помощи гибнущим судам и т.п.</w:t>
            </w:r>
          </w:p>
        </w:tc>
      </w:tr>
      <w:tr w:rsidR="009D12BD" w:rsidRPr="00E93F40" w14:paraId="77905DA0" w14:textId="77777777">
        <w:tc>
          <w:tcPr>
            <w:tcW w:w="3794" w:type="dxa"/>
          </w:tcPr>
          <w:p w14:paraId="2CA6C5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14FE3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bl>
    <w:p w14:paraId="7864B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DA227A" w:rsidRPr="00E93F40" w14:paraId="6E4360E9" w14:textId="77777777">
        <w:tc>
          <w:tcPr>
            <w:tcW w:w="3794" w:type="dxa"/>
          </w:tcPr>
          <w:p w14:paraId="4B7B4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8 отделу (парашютно-десантный)</w:t>
            </w:r>
          </w:p>
        </w:tc>
        <w:tc>
          <w:tcPr>
            <w:tcW w:w="5245" w:type="dxa"/>
          </w:tcPr>
          <w:p w14:paraId="543AC9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9E4589" w14:textId="77777777">
        <w:tc>
          <w:tcPr>
            <w:tcW w:w="3794" w:type="dxa"/>
          </w:tcPr>
          <w:p w14:paraId="29E9CD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09907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Оборудование десантного корабля К-7 (Г-45)</w:t>
            </w:r>
          </w:p>
        </w:tc>
      </w:tr>
      <w:tr w:rsidR="00DA227A" w:rsidRPr="00E93F40" w14:paraId="3BA9ED57" w14:textId="77777777">
        <w:tc>
          <w:tcPr>
            <w:tcW w:w="3794" w:type="dxa"/>
          </w:tcPr>
          <w:p w14:paraId="23DE4C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221FD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К-7 (заканчивающихся в настоящее</w:t>
            </w:r>
          </w:p>
        </w:tc>
      </w:tr>
      <w:tr w:rsidR="00DA227A" w:rsidRPr="00E93F40" w14:paraId="23F8CF55" w14:textId="77777777">
        <w:tc>
          <w:tcPr>
            <w:tcW w:w="3794" w:type="dxa"/>
          </w:tcPr>
          <w:p w14:paraId="0102F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DDE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постройкой) переоборудованный в своей</w:t>
            </w:r>
          </w:p>
        </w:tc>
      </w:tr>
      <w:tr w:rsidR="00DA227A" w:rsidRPr="00E93F40" w14:paraId="182A2952" w14:textId="77777777">
        <w:tc>
          <w:tcPr>
            <w:tcW w:w="3794" w:type="dxa"/>
          </w:tcPr>
          <w:p w14:paraId="1B36B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EBAB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внутренней части на 5 местные кабины,</w:t>
            </w:r>
          </w:p>
        </w:tc>
      </w:tr>
      <w:tr w:rsidR="00DA227A" w:rsidRPr="00E93F40" w14:paraId="2C6C9225" w14:textId="77777777">
        <w:tc>
          <w:tcPr>
            <w:tcW w:w="3794" w:type="dxa"/>
          </w:tcPr>
          <w:p w14:paraId="247FE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B915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расположенные в плоскости самолета,</w:t>
            </w:r>
          </w:p>
        </w:tc>
      </w:tr>
      <w:tr w:rsidR="00DA227A" w:rsidRPr="00E93F40" w14:paraId="768100B7" w14:textId="77777777">
        <w:tc>
          <w:tcPr>
            <w:tcW w:w="3794" w:type="dxa"/>
          </w:tcPr>
          <w:p w14:paraId="5C2F52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E7480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приспосабливается для боевых целей - </w:t>
            </w:r>
          </w:p>
        </w:tc>
      </w:tr>
      <w:tr w:rsidR="00DA227A" w:rsidRPr="00E93F40" w14:paraId="035A95BE" w14:textId="77777777">
        <w:tc>
          <w:tcPr>
            <w:tcW w:w="3794" w:type="dxa"/>
          </w:tcPr>
          <w:p w14:paraId="4E056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AE8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сбрасывания крупного ПДО в количестве до</w:t>
            </w:r>
          </w:p>
        </w:tc>
      </w:tr>
      <w:tr w:rsidR="00DA227A" w:rsidRPr="00E93F40" w14:paraId="07FDF452" w14:textId="77777777">
        <w:tc>
          <w:tcPr>
            <w:tcW w:w="3794" w:type="dxa"/>
          </w:tcPr>
          <w:p w14:paraId="452F54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3C56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 человек одновременно снабженного</w:t>
            </w:r>
          </w:p>
        </w:tc>
      </w:tr>
      <w:tr w:rsidR="00DA227A" w:rsidRPr="00E93F40" w14:paraId="58D0BFE5" w14:textId="77777777">
        <w:tc>
          <w:tcPr>
            <w:tcW w:w="3794" w:type="dxa"/>
          </w:tcPr>
          <w:p w14:paraId="34929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EE7A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автоматически раскрывающимися парашютами.</w:t>
            </w:r>
          </w:p>
        </w:tc>
      </w:tr>
      <w:tr w:rsidR="00DA227A" w:rsidRPr="00E93F40" w14:paraId="699DEB1B" w14:textId="77777777">
        <w:tc>
          <w:tcPr>
            <w:tcW w:w="3794" w:type="dxa"/>
          </w:tcPr>
          <w:p w14:paraId="5B5EA8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63E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Сбрасывание ПДО производится</w:t>
            </w:r>
          </w:p>
        </w:tc>
      </w:tr>
      <w:tr w:rsidR="00DA227A" w:rsidRPr="00E93F40" w14:paraId="60A645DA" w14:textId="77777777">
        <w:tc>
          <w:tcPr>
            <w:tcW w:w="3794" w:type="dxa"/>
          </w:tcPr>
          <w:p w14:paraId="6A514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B503F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спецприспосблением командиром корабля.</w:t>
            </w:r>
          </w:p>
        </w:tc>
      </w:tr>
      <w:tr w:rsidR="00DA227A" w:rsidRPr="00E93F40" w14:paraId="2369391A" w14:textId="77777777">
        <w:tc>
          <w:tcPr>
            <w:tcW w:w="3794" w:type="dxa"/>
          </w:tcPr>
          <w:p w14:paraId="65D29C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BD55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Корабль может быть использован для</w:t>
            </w:r>
          </w:p>
        </w:tc>
      </w:tr>
      <w:tr w:rsidR="00DA227A" w:rsidRPr="00E93F40" w14:paraId="7E90FCEA" w14:textId="77777777">
        <w:tc>
          <w:tcPr>
            <w:tcW w:w="3794" w:type="dxa"/>
          </w:tcPr>
          <w:p w14:paraId="16C06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DCA22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сбрасывания уже высаженному ПДО</w:t>
            </w:r>
          </w:p>
        </w:tc>
      </w:tr>
      <w:tr w:rsidR="00DA227A" w:rsidRPr="00E93F40" w14:paraId="76DF61C2" w14:textId="77777777">
        <w:tc>
          <w:tcPr>
            <w:tcW w:w="3794" w:type="dxa"/>
          </w:tcPr>
          <w:p w14:paraId="1B438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9860E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разного вооружения и снаряжения весом</w:t>
            </w:r>
          </w:p>
        </w:tc>
      </w:tr>
      <w:tr w:rsidR="00DA227A" w:rsidRPr="00E93F40" w14:paraId="43776B85" w14:textId="77777777">
        <w:tc>
          <w:tcPr>
            <w:tcW w:w="3794" w:type="dxa"/>
          </w:tcPr>
          <w:p w14:paraId="72B63B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1EFA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11 тонн (танки, танкетки, орудия,</w:t>
            </w:r>
          </w:p>
        </w:tc>
      </w:tr>
      <w:tr w:rsidR="00DA227A" w:rsidRPr="00E93F40" w14:paraId="1897238D" w14:textId="77777777">
        <w:tc>
          <w:tcPr>
            <w:tcW w:w="3794" w:type="dxa"/>
          </w:tcPr>
          <w:p w14:paraId="5764A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6D4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автомашины и т.п.).</w:t>
            </w:r>
          </w:p>
        </w:tc>
      </w:tr>
      <w:tr w:rsidR="00DA227A" w:rsidRPr="00E93F40" w14:paraId="210957B6" w14:textId="77777777">
        <w:tc>
          <w:tcPr>
            <w:tcW w:w="3794" w:type="dxa"/>
          </w:tcPr>
          <w:p w14:paraId="793BA1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7FACB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2CDBF2A1" w14:textId="77777777">
        <w:tc>
          <w:tcPr>
            <w:tcW w:w="3794" w:type="dxa"/>
          </w:tcPr>
          <w:p w14:paraId="7E76A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93D3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Парашютная автоматическая кабина</w:t>
            </w:r>
          </w:p>
        </w:tc>
      </w:tr>
      <w:tr w:rsidR="00DA227A" w:rsidRPr="00E93F40" w14:paraId="10D2DCAF" w14:textId="77777777">
        <w:tc>
          <w:tcPr>
            <w:tcW w:w="3794" w:type="dxa"/>
          </w:tcPr>
          <w:p w14:paraId="0CF7D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B5E6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(Г-73)</w:t>
            </w:r>
          </w:p>
        </w:tc>
      </w:tr>
      <w:tr w:rsidR="00DA227A" w:rsidRPr="00E93F40" w14:paraId="6DB42155" w14:textId="77777777">
        <w:tc>
          <w:tcPr>
            <w:tcW w:w="3794" w:type="dxa"/>
          </w:tcPr>
          <w:p w14:paraId="0468E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46F98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Десантная кабина с 16 бойцами ПДО</w:t>
            </w:r>
          </w:p>
        </w:tc>
      </w:tr>
      <w:tr w:rsidR="00DA227A" w:rsidRPr="00E93F40" w14:paraId="7F2E1490" w14:textId="77777777">
        <w:tc>
          <w:tcPr>
            <w:tcW w:w="3794" w:type="dxa"/>
          </w:tcPr>
          <w:p w14:paraId="326FB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3DAE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подвешивается под самолетом ТБ-1 и</w:t>
            </w:r>
          </w:p>
        </w:tc>
      </w:tr>
      <w:tr w:rsidR="00DA227A" w:rsidRPr="00E93F40" w14:paraId="67E7605B" w14:textId="77777777">
        <w:tc>
          <w:tcPr>
            <w:tcW w:w="3794" w:type="dxa"/>
          </w:tcPr>
          <w:p w14:paraId="25D7E0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5D64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снабженная 30 м парашютом методом</w:t>
            </w:r>
          </w:p>
        </w:tc>
      </w:tr>
      <w:tr w:rsidR="00DA227A" w:rsidRPr="00E93F40" w14:paraId="3979EE49" w14:textId="77777777">
        <w:tc>
          <w:tcPr>
            <w:tcW w:w="3794" w:type="dxa"/>
          </w:tcPr>
          <w:p w14:paraId="326876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C9209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срыва сбрасывается с бойцами на место</w:t>
            </w:r>
          </w:p>
        </w:tc>
      </w:tr>
      <w:tr w:rsidR="00DA227A" w:rsidRPr="00E93F40" w14:paraId="4C9E2404" w14:textId="77777777">
        <w:tc>
          <w:tcPr>
            <w:tcW w:w="3794" w:type="dxa"/>
          </w:tcPr>
          <w:p w14:paraId="15B741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499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необходимой высадки ПДО. Конструкция </w:t>
            </w:r>
          </w:p>
        </w:tc>
      </w:tr>
      <w:tr w:rsidR="00DA227A" w:rsidRPr="00E93F40" w14:paraId="79CCB73D" w14:textId="77777777">
        <w:tc>
          <w:tcPr>
            <w:tcW w:w="3794" w:type="dxa"/>
          </w:tcPr>
          <w:p w14:paraId="69D87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19D4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кабины снабжена амортизацией,</w:t>
            </w:r>
          </w:p>
        </w:tc>
      </w:tr>
      <w:tr w:rsidR="00DA227A" w:rsidRPr="00E93F40" w14:paraId="2C37B822" w14:textId="77777777">
        <w:tc>
          <w:tcPr>
            <w:tcW w:w="3794" w:type="dxa"/>
          </w:tcPr>
          <w:p w14:paraId="3D9E9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7719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поглощающей удар при приземлении и</w:t>
            </w:r>
          </w:p>
        </w:tc>
      </w:tr>
      <w:tr w:rsidR="00DA227A" w:rsidRPr="00E93F40" w14:paraId="57F8B930" w14:textId="77777777">
        <w:tc>
          <w:tcPr>
            <w:tcW w:w="3794" w:type="dxa"/>
          </w:tcPr>
          <w:p w14:paraId="709FC8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D1CE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принципу своего применения дает</w:t>
            </w:r>
          </w:p>
        </w:tc>
      </w:tr>
      <w:tr w:rsidR="00DA227A" w:rsidRPr="00E93F40" w14:paraId="7DB154DF" w14:textId="77777777">
        <w:tc>
          <w:tcPr>
            <w:tcW w:w="3794" w:type="dxa"/>
          </w:tcPr>
          <w:p w14:paraId="7BE55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6C38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 кучного накопления</w:t>
            </w:r>
          </w:p>
        </w:tc>
      </w:tr>
      <w:tr w:rsidR="00DA227A" w:rsidRPr="00E93F40" w14:paraId="59083EB3" w14:textId="77777777">
        <w:tc>
          <w:tcPr>
            <w:tcW w:w="3794" w:type="dxa"/>
          </w:tcPr>
          <w:p w14:paraId="1711F2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9FBC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сброшенного ПДО и лишает необходимости</w:t>
            </w:r>
          </w:p>
        </w:tc>
      </w:tr>
      <w:tr w:rsidR="00DA227A" w:rsidRPr="00E93F40" w14:paraId="4E979D56" w14:textId="77777777">
        <w:tc>
          <w:tcPr>
            <w:tcW w:w="3794" w:type="dxa"/>
          </w:tcPr>
          <w:p w14:paraId="2C5A39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60F4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индивидуального использования бойцами</w:t>
            </w:r>
          </w:p>
        </w:tc>
      </w:tr>
      <w:tr w:rsidR="00DA227A" w:rsidRPr="00E93F40" w14:paraId="0F0F9A1C" w14:textId="77777777">
        <w:tc>
          <w:tcPr>
            <w:tcW w:w="3794" w:type="dxa"/>
          </w:tcPr>
          <w:p w14:paraId="297BD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FBAD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ПДО парашютами.</w:t>
            </w:r>
          </w:p>
        </w:tc>
      </w:tr>
      <w:tr w:rsidR="00DA227A" w:rsidRPr="00E93F40" w14:paraId="0F86DBD9" w14:textId="77777777">
        <w:tc>
          <w:tcPr>
            <w:tcW w:w="3794" w:type="dxa"/>
          </w:tcPr>
          <w:p w14:paraId="6497E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338BA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под ТБ-3.</w:t>
            </w:r>
          </w:p>
        </w:tc>
      </w:tr>
      <w:tr w:rsidR="00DA227A" w:rsidRPr="00E93F40" w14:paraId="6F5DDDFD" w14:textId="77777777">
        <w:tc>
          <w:tcPr>
            <w:tcW w:w="3794" w:type="dxa"/>
          </w:tcPr>
          <w:p w14:paraId="43ACDD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59C82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Комбинированная грузовая кабина (Г-74)</w:t>
            </w:r>
          </w:p>
        </w:tc>
      </w:tr>
      <w:tr w:rsidR="00DA227A" w:rsidRPr="00E93F40" w14:paraId="0DA007EE" w14:textId="77777777">
        <w:tc>
          <w:tcPr>
            <w:tcW w:w="3794" w:type="dxa"/>
          </w:tcPr>
          <w:p w14:paraId="7F1A2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Цель и основные такт. условия</w:t>
            </w:r>
          </w:p>
        </w:tc>
        <w:tc>
          <w:tcPr>
            <w:tcW w:w="5245" w:type="dxa"/>
          </w:tcPr>
          <w:p w14:paraId="291109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Кабина может быть приспособлена для</w:t>
            </w:r>
          </w:p>
        </w:tc>
      </w:tr>
      <w:tr w:rsidR="00DA227A" w:rsidRPr="00E93F40" w14:paraId="507D1DD3" w14:textId="77777777">
        <w:tc>
          <w:tcPr>
            <w:tcW w:w="3794" w:type="dxa"/>
          </w:tcPr>
          <w:p w14:paraId="4F5CE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A1EF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одновременного транспортирования</w:t>
            </w:r>
          </w:p>
        </w:tc>
      </w:tr>
      <w:tr w:rsidR="00DA227A" w:rsidRPr="00E93F40" w14:paraId="535FD858" w14:textId="77777777">
        <w:tc>
          <w:tcPr>
            <w:tcW w:w="3794" w:type="dxa"/>
          </w:tcPr>
          <w:p w14:paraId="6AEE1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73B1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разного рода грузов независимо от</w:t>
            </w:r>
          </w:p>
        </w:tc>
      </w:tr>
      <w:tr w:rsidR="00DA227A" w:rsidRPr="00E93F40" w14:paraId="171B1E04" w14:textId="77777777">
        <w:tc>
          <w:tcPr>
            <w:tcW w:w="3794" w:type="dxa"/>
          </w:tcPr>
          <w:p w14:paraId="1EFB84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08CF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габаритов и содержания и подвешивается</w:t>
            </w:r>
          </w:p>
        </w:tc>
      </w:tr>
      <w:tr w:rsidR="00DA227A" w:rsidRPr="00E93F40" w14:paraId="4D9B3FBE" w14:textId="77777777">
        <w:tc>
          <w:tcPr>
            <w:tcW w:w="3794" w:type="dxa"/>
          </w:tcPr>
          <w:p w14:paraId="065B32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BDA6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самолетом ТБ-1 для сбрасывания на</w:t>
            </w:r>
          </w:p>
        </w:tc>
      </w:tr>
      <w:tr w:rsidR="00DA227A" w:rsidRPr="00E93F40" w14:paraId="333B4D3B" w14:textId="77777777">
        <w:tc>
          <w:tcPr>
            <w:tcW w:w="3794" w:type="dxa"/>
          </w:tcPr>
          <w:p w14:paraId="57E92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098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парашюте в целях снабжения ПДО.</w:t>
            </w:r>
          </w:p>
        </w:tc>
      </w:tr>
      <w:tr w:rsidR="00DA227A" w:rsidRPr="00E93F40" w14:paraId="2F82DF03" w14:textId="77777777">
        <w:tc>
          <w:tcPr>
            <w:tcW w:w="3794" w:type="dxa"/>
          </w:tcPr>
          <w:p w14:paraId="050EB1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1FC3A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под ТБ-3.</w:t>
            </w:r>
          </w:p>
        </w:tc>
      </w:tr>
      <w:tr w:rsidR="00DA227A" w:rsidRPr="00E93F40" w14:paraId="521ADF8C" w14:textId="77777777">
        <w:tc>
          <w:tcPr>
            <w:tcW w:w="3794" w:type="dxa"/>
          </w:tcPr>
          <w:p w14:paraId="4AB243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33C2C5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Универсальный парашют (Г-75)</w:t>
            </w:r>
          </w:p>
        </w:tc>
      </w:tr>
      <w:tr w:rsidR="00DA227A" w:rsidRPr="00E93F40" w14:paraId="1431C883" w14:textId="77777777">
        <w:tc>
          <w:tcPr>
            <w:tcW w:w="3794" w:type="dxa"/>
          </w:tcPr>
          <w:p w14:paraId="6BFED8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2ABF9E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Универсальный парашют представляет собой</w:t>
            </w:r>
          </w:p>
        </w:tc>
      </w:tr>
      <w:tr w:rsidR="00DA227A" w:rsidRPr="00E93F40" w14:paraId="1C3FC415" w14:textId="77777777">
        <w:tc>
          <w:tcPr>
            <w:tcW w:w="3794" w:type="dxa"/>
          </w:tcPr>
          <w:p w14:paraId="54E5FB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F96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систему единого парашюта, могущего</w:t>
            </w:r>
          </w:p>
        </w:tc>
      </w:tr>
      <w:tr w:rsidR="00DA227A" w:rsidRPr="00E93F40" w14:paraId="5FE34855" w14:textId="77777777">
        <w:tc>
          <w:tcPr>
            <w:tcW w:w="3794" w:type="dxa"/>
          </w:tcPr>
          <w:p w14:paraId="555221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DB7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быть принятым для использования во всех</w:t>
            </w:r>
          </w:p>
        </w:tc>
      </w:tr>
      <w:tr w:rsidR="00DA227A" w:rsidRPr="00E93F40" w14:paraId="4BF3018D" w14:textId="77777777">
        <w:tc>
          <w:tcPr>
            <w:tcW w:w="3794" w:type="dxa"/>
          </w:tcPr>
          <w:p w14:paraId="2D5ACC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F5BB3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случаях и для назначения, исключающий</w:t>
            </w:r>
          </w:p>
        </w:tc>
      </w:tr>
      <w:tr w:rsidR="00DA227A" w:rsidRPr="00E93F40" w14:paraId="07CAF36B" w14:textId="77777777">
        <w:tc>
          <w:tcPr>
            <w:tcW w:w="3794" w:type="dxa"/>
          </w:tcPr>
          <w:p w14:paraId="448F69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DE5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 создания отдельных видов</w:t>
            </w:r>
          </w:p>
        </w:tc>
      </w:tr>
      <w:tr w:rsidR="00DA227A" w:rsidRPr="00E93F40" w14:paraId="54AE6F8D" w14:textId="77777777">
        <w:tc>
          <w:tcPr>
            <w:tcW w:w="3794" w:type="dxa"/>
          </w:tcPr>
          <w:p w14:paraId="0FE904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951DD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парашюта (для летнаба, пилота десантный,</w:t>
            </w:r>
          </w:p>
        </w:tc>
      </w:tr>
      <w:tr w:rsidR="00DA227A" w:rsidRPr="00E93F40" w14:paraId="326C4A5F" w14:textId="77777777">
        <w:tc>
          <w:tcPr>
            <w:tcW w:w="3794" w:type="dxa"/>
          </w:tcPr>
          <w:p w14:paraId="42FA4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721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 и т.п.).</w:t>
            </w:r>
          </w:p>
        </w:tc>
      </w:tr>
      <w:tr w:rsidR="00DA227A" w:rsidRPr="00E93F40" w14:paraId="0757D740" w14:textId="77777777">
        <w:tc>
          <w:tcPr>
            <w:tcW w:w="3794" w:type="dxa"/>
          </w:tcPr>
          <w:p w14:paraId="7F6DED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374258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51E5E8E8" w14:textId="77777777">
        <w:tc>
          <w:tcPr>
            <w:tcW w:w="3794" w:type="dxa"/>
          </w:tcPr>
          <w:p w14:paraId="4FE978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4AB66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Зимний авиабус (Г-76)</w:t>
            </w:r>
          </w:p>
        </w:tc>
      </w:tr>
      <w:tr w:rsidR="00DA227A" w:rsidRPr="00E93F40" w14:paraId="783A483D" w14:textId="77777777">
        <w:tc>
          <w:tcPr>
            <w:tcW w:w="3794" w:type="dxa"/>
          </w:tcPr>
          <w:p w14:paraId="7C24EA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2F3DFD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Деревянная конструкция для сбрасывания</w:t>
            </w:r>
          </w:p>
        </w:tc>
      </w:tr>
      <w:tr w:rsidR="00DA227A" w:rsidRPr="00E93F40" w14:paraId="0992C6B1" w14:textId="77777777">
        <w:tc>
          <w:tcPr>
            <w:tcW w:w="3794" w:type="dxa"/>
          </w:tcPr>
          <w:p w14:paraId="6EF23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269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бреющем полете самолета различных грузов</w:t>
            </w:r>
          </w:p>
        </w:tc>
      </w:tr>
      <w:tr w:rsidR="00DA227A" w:rsidRPr="00E93F40" w14:paraId="403A69D9" w14:textId="77777777">
        <w:tc>
          <w:tcPr>
            <w:tcW w:w="3794" w:type="dxa"/>
          </w:tcPr>
          <w:p w14:paraId="5EDD1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3940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снежную и ледяную поверхность - для</w:t>
            </w:r>
          </w:p>
        </w:tc>
      </w:tr>
      <w:tr w:rsidR="00DA227A" w:rsidRPr="00E93F40" w14:paraId="6473EF8C" w14:textId="77777777">
        <w:tc>
          <w:tcPr>
            <w:tcW w:w="3794" w:type="dxa"/>
          </w:tcPr>
          <w:p w14:paraId="1BFB8B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222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снабжения и вооружения ПДО.</w:t>
            </w:r>
          </w:p>
        </w:tc>
      </w:tr>
      <w:tr w:rsidR="00DA227A" w:rsidRPr="00E93F40" w14:paraId="0E5A5983" w14:textId="77777777">
        <w:tc>
          <w:tcPr>
            <w:tcW w:w="3794" w:type="dxa"/>
          </w:tcPr>
          <w:p w14:paraId="4EB9C3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477C80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под Р-5 и Р-6.</w:t>
            </w:r>
          </w:p>
        </w:tc>
      </w:tr>
      <w:tr w:rsidR="00DA227A" w:rsidRPr="00E93F40" w14:paraId="3EDB0E92" w14:textId="77777777">
        <w:tc>
          <w:tcPr>
            <w:tcW w:w="3794" w:type="dxa"/>
          </w:tcPr>
          <w:p w14:paraId="3B28B4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3924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Легкая десантная кабина на 2 человека</w:t>
            </w:r>
          </w:p>
        </w:tc>
      </w:tr>
      <w:tr w:rsidR="00DA227A" w:rsidRPr="00E93F40" w14:paraId="4CFAE848" w14:textId="77777777">
        <w:tc>
          <w:tcPr>
            <w:tcW w:w="3794" w:type="dxa"/>
          </w:tcPr>
          <w:p w14:paraId="74CAD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C4B9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(Г-77)</w:t>
            </w:r>
          </w:p>
        </w:tc>
      </w:tr>
      <w:tr w:rsidR="00DA227A" w:rsidRPr="00E93F40" w14:paraId="64F1AA3A" w14:textId="77777777">
        <w:tc>
          <w:tcPr>
            <w:tcW w:w="3794" w:type="dxa"/>
          </w:tcPr>
          <w:p w14:paraId="50ADE8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3ABC4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Легкая десантная кабина рассчитана на</w:t>
            </w:r>
          </w:p>
        </w:tc>
      </w:tr>
      <w:tr w:rsidR="00DA227A" w:rsidRPr="00E93F40" w14:paraId="233A6B7A" w14:textId="77777777">
        <w:tc>
          <w:tcPr>
            <w:tcW w:w="3794" w:type="dxa"/>
          </w:tcPr>
          <w:p w14:paraId="261C56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1E08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подвеску под каждой плоскостью легкого</w:t>
            </w:r>
          </w:p>
        </w:tc>
      </w:tr>
      <w:tr w:rsidR="00DA227A" w:rsidRPr="00E93F40" w14:paraId="5E24274C" w14:textId="77777777">
        <w:tc>
          <w:tcPr>
            <w:tcW w:w="3794" w:type="dxa"/>
          </w:tcPr>
          <w:p w14:paraId="1339F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A77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с 4 чел. бойцами ПДО, находящихся</w:t>
            </w:r>
          </w:p>
        </w:tc>
      </w:tr>
      <w:tr w:rsidR="00DA227A" w:rsidRPr="00E93F40" w14:paraId="57023E4B" w14:textId="77777777">
        <w:tc>
          <w:tcPr>
            <w:tcW w:w="3794" w:type="dxa"/>
          </w:tcPr>
          <w:p w14:paraId="2C046D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F6C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лежачем положении - и тем самым</w:t>
            </w:r>
          </w:p>
        </w:tc>
      </w:tr>
      <w:tr w:rsidR="00DA227A" w:rsidRPr="00E93F40" w14:paraId="6811ECBB" w14:textId="77777777">
        <w:tc>
          <w:tcPr>
            <w:tcW w:w="3794" w:type="dxa"/>
          </w:tcPr>
          <w:p w14:paraId="0C1CA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3106C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устанавливает возможность использования</w:t>
            </w:r>
          </w:p>
        </w:tc>
      </w:tr>
      <w:tr w:rsidR="00DA227A" w:rsidRPr="00E93F40" w14:paraId="6C0D1E31" w14:textId="77777777">
        <w:tc>
          <w:tcPr>
            <w:tcW w:w="3794" w:type="dxa"/>
          </w:tcPr>
          <w:p w14:paraId="12B3B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70D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легких самолетов для целей переброски</w:t>
            </w:r>
          </w:p>
        </w:tc>
      </w:tr>
      <w:tr w:rsidR="00DA227A" w:rsidRPr="00E93F40" w14:paraId="79A3E38E" w14:textId="77777777">
        <w:tc>
          <w:tcPr>
            <w:tcW w:w="3794" w:type="dxa"/>
          </w:tcPr>
          <w:p w14:paraId="4E4C1F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5053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ПДО, до сих пор не использованной. При</w:t>
            </w:r>
          </w:p>
        </w:tc>
      </w:tr>
      <w:tr w:rsidR="00DA227A" w:rsidRPr="00E93F40" w14:paraId="7D72B62D" w14:textId="77777777">
        <w:tc>
          <w:tcPr>
            <w:tcW w:w="3794" w:type="dxa"/>
          </w:tcPr>
          <w:p w14:paraId="1F5DA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7428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помощи автоматически раскрывающихся</w:t>
            </w:r>
          </w:p>
        </w:tc>
      </w:tr>
      <w:tr w:rsidR="00DA227A" w:rsidRPr="00E93F40" w14:paraId="7C8BF1A2" w14:textId="77777777">
        <w:tc>
          <w:tcPr>
            <w:tcW w:w="3794" w:type="dxa"/>
          </w:tcPr>
          <w:p w14:paraId="34C3D6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7FF69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парашютов, бойцы ПДО сбрасываются в</w:t>
            </w:r>
          </w:p>
        </w:tc>
      </w:tr>
      <w:tr w:rsidR="00DA227A" w:rsidRPr="00E93F40" w14:paraId="069272A4" w14:textId="77777777">
        <w:tc>
          <w:tcPr>
            <w:tcW w:w="3794" w:type="dxa"/>
          </w:tcPr>
          <w:p w14:paraId="1FC1C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9DB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нужном месте в тылу на территории</w:t>
            </w:r>
          </w:p>
        </w:tc>
      </w:tr>
      <w:tr w:rsidR="00DA227A" w:rsidRPr="00E93F40" w14:paraId="72898E5F" w14:textId="77777777">
        <w:tc>
          <w:tcPr>
            <w:tcW w:w="3794" w:type="dxa"/>
          </w:tcPr>
          <w:p w14:paraId="3B44C1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7CD1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противника.</w:t>
            </w:r>
          </w:p>
        </w:tc>
      </w:tr>
      <w:tr w:rsidR="00DA227A" w:rsidRPr="00E93F40" w14:paraId="6CF8B202" w14:textId="77777777">
        <w:tc>
          <w:tcPr>
            <w:tcW w:w="3794" w:type="dxa"/>
          </w:tcPr>
          <w:p w14:paraId="2227CE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6C21EF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1758B499" w14:textId="77777777">
        <w:tc>
          <w:tcPr>
            <w:tcW w:w="3794" w:type="dxa"/>
          </w:tcPr>
          <w:p w14:paraId="1BD1D5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5BF31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 парашют автомат (Г-78)</w:t>
            </w:r>
          </w:p>
        </w:tc>
      </w:tr>
      <w:tr w:rsidR="00DA227A" w:rsidRPr="00E93F40" w14:paraId="6784189F" w14:textId="77777777">
        <w:tc>
          <w:tcPr>
            <w:tcW w:w="3794" w:type="dxa"/>
          </w:tcPr>
          <w:p w14:paraId="41150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5FAC1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десантного парашют-автомата</w:t>
            </w:r>
          </w:p>
        </w:tc>
      </w:tr>
      <w:tr w:rsidR="00DA227A" w:rsidRPr="00E93F40" w14:paraId="68AB6799" w14:textId="77777777">
        <w:tc>
          <w:tcPr>
            <w:tcW w:w="3794" w:type="dxa"/>
          </w:tcPr>
          <w:p w14:paraId="51B183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0303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исключает необходимость (при</w:t>
            </w:r>
          </w:p>
        </w:tc>
      </w:tr>
      <w:tr w:rsidR="00DA227A" w:rsidRPr="00E93F40" w14:paraId="23A9589F" w14:textId="77777777">
        <w:tc>
          <w:tcPr>
            <w:tcW w:w="3794" w:type="dxa"/>
          </w:tcPr>
          <w:p w14:paraId="12B247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C758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пользовании производить движения бойцу</w:t>
            </w:r>
          </w:p>
        </w:tc>
      </w:tr>
      <w:tr w:rsidR="00DA227A" w:rsidRPr="00E93F40" w14:paraId="0C362C6C" w14:textId="77777777">
        <w:tc>
          <w:tcPr>
            <w:tcW w:w="3794" w:type="dxa"/>
          </w:tcPr>
          <w:p w14:paraId="32B99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07D9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раскрытия парашюта, т.к. обеспечивает</w:t>
            </w:r>
          </w:p>
        </w:tc>
      </w:tr>
      <w:tr w:rsidR="00DA227A" w:rsidRPr="00E93F40" w14:paraId="2D4288EE" w14:textId="77777777">
        <w:tc>
          <w:tcPr>
            <w:tcW w:w="3794" w:type="dxa"/>
          </w:tcPr>
          <w:p w14:paraId="1552E0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817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автоматическое его раскрытие и действие,</w:t>
            </w:r>
          </w:p>
        </w:tc>
      </w:tr>
      <w:tr w:rsidR="00DA227A" w:rsidRPr="00E93F40" w14:paraId="66B89723" w14:textId="77777777">
        <w:tc>
          <w:tcPr>
            <w:tcW w:w="3794" w:type="dxa"/>
          </w:tcPr>
          <w:p w14:paraId="6C8BE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AD3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давая возможность</w:t>
            </w:r>
          </w:p>
        </w:tc>
      </w:tr>
      <w:tr w:rsidR="00DA227A" w:rsidRPr="00E93F40" w14:paraId="37140BD5" w14:textId="77777777">
        <w:tc>
          <w:tcPr>
            <w:tcW w:w="3794" w:type="dxa"/>
          </w:tcPr>
          <w:p w14:paraId="528B0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549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использования в ПДО личного состава - не</w:t>
            </w:r>
          </w:p>
        </w:tc>
      </w:tr>
      <w:tr w:rsidR="00DA227A" w:rsidRPr="00E93F40" w14:paraId="5532A80F" w14:textId="77777777">
        <w:tc>
          <w:tcPr>
            <w:tcW w:w="3794" w:type="dxa"/>
          </w:tcPr>
          <w:p w14:paraId="1716B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B4B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получившего предварительного тренажа по</w:t>
            </w:r>
          </w:p>
        </w:tc>
      </w:tr>
      <w:tr w:rsidR="00DA227A" w:rsidRPr="00E93F40" w14:paraId="613B7D06" w14:textId="77777777">
        <w:tc>
          <w:tcPr>
            <w:tcW w:w="3794" w:type="dxa"/>
          </w:tcPr>
          <w:p w14:paraId="13662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658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прыжкам с парашютом.</w:t>
            </w:r>
          </w:p>
        </w:tc>
      </w:tr>
      <w:tr w:rsidR="00DA227A" w:rsidRPr="00E93F40" w14:paraId="60702CFC" w14:textId="77777777">
        <w:tc>
          <w:tcPr>
            <w:tcW w:w="3794" w:type="dxa"/>
          </w:tcPr>
          <w:p w14:paraId="42382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7F50F9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w:t>
            </w:r>
          </w:p>
        </w:tc>
      </w:tr>
      <w:tr w:rsidR="00DA227A" w:rsidRPr="00E93F40" w14:paraId="5628CA65" w14:textId="77777777">
        <w:tc>
          <w:tcPr>
            <w:tcW w:w="3794" w:type="dxa"/>
          </w:tcPr>
          <w:p w14:paraId="4A7AAC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5F40D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Воздушная связь самолетом (Г-79)</w:t>
            </w:r>
          </w:p>
        </w:tc>
      </w:tr>
      <w:tr w:rsidR="00DA227A" w:rsidRPr="00E93F40" w14:paraId="34DA1798" w14:textId="77777777">
        <w:tc>
          <w:tcPr>
            <w:tcW w:w="3794" w:type="dxa"/>
          </w:tcPr>
          <w:p w14:paraId="75E96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161B6A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самолета, корректирующего</w:t>
            </w:r>
          </w:p>
        </w:tc>
      </w:tr>
      <w:tr w:rsidR="00DA227A" w:rsidRPr="00E93F40" w14:paraId="17E7ABBB" w14:textId="77777777">
        <w:tc>
          <w:tcPr>
            <w:tcW w:w="3794" w:type="dxa"/>
          </w:tcPr>
          <w:p w14:paraId="2DC7FA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BE6FF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артстрельбу, сбрасывается цилиндр с</w:t>
            </w:r>
          </w:p>
        </w:tc>
      </w:tr>
      <w:tr w:rsidR="00DA227A" w:rsidRPr="00E93F40" w14:paraId="3AC32F73" w14:textId="77777777">
        <w:tc>
          <w:tcPr>
            <w:tcW w:w="3794" w:type="dxa"/>
          </w:tcPr>
          <w:p w14:paraId="2DB3EC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78E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телефоном на парашюте на место </w:t>
            </w:r>
          </w:p>
        </w:tc>
      </w:tr>
      <w:tr w:rsidR="00DA227A" w:rsidRPr="00E93F40" w14:paraId="299B6997" w14:textId="77777777">
        <w:tc>
          <w:tcPr>
            <w:tcW w:w="3794" w:type="dxa"/>
          </w:tcPr>
          <w:p w14:paraId="6D003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B85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расположения огневой точки и делая виражи</w:t>
            </w:r>
          </w:p>
        </w:tc>
      </w:tr>
      <w:tr w:rsidR="00DA227A" w:rsidRPr="00E93F40" w14:paraId="0158C14B" w14:textId="77777777">
        <w:tc>
          <w:tcPr>
            <w:tcW w:w="3794" w:type="dxa"/>
          </w:tcPr>
          <w:p w14:paraId="4A2E8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6A12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над данной местностью при помощи</w:t>
            </w:r>
          </w:p>
        </w:tc>
      </w:tr>
      <w:tr w:rsidR="00DA227A" w:rsidRPr="00E93F40" w14:paraId="4496FCE7" w14:textId="77777777">
        <w:tc>
          <w:tcPr>
            <w:tcW w:w="3794" w:type="dxa"/>
          </w:tcPr>
          <w:p w14:paraId="44FC0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84C5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разматывающегося самолета кабеля сообщается</w:t>
            </w:r>
          </w:p>
        </w:tc>
      </w:tr>
      <w:tr w:rsidR="00DA227A" w:rsidRPr="00E93F40" w14:paraId="3557516C" w14:textId="77777777">
        <w:tc>
          <w:tcPr>
            <w:tcW w:w="3794" w:type="dxa"/>
          </w:tcPr>
          <w:p w14:paraId="6F711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FCC22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результатах наблюдения, после чего</w:t>
            </w:r>
          </w:p>
        </w:tc>
      </w:tr>
      <w:tr w:rsidR="00DA227A" w:rsidRPr="00E93F40" w14:paraId="13808FE8" w14:textId="77777777">
        <w:tc>
          <w:tcPr>
            <w:tcW w:w="3794" w:type="dxa"/>
          </w:tcPr>
          <w:p w14:paraId="71DB64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BB46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телефонный кабель отцепляется и самолет</w:t>
            </w:r>
          </w:p>
        </w:tc>
      </w:tr>
      <w:tr w:rsidR="00DA227A" w:rsidRPr="00E93F40" w14:paraId="43FAAF39" w14:textId="77777777">
        <w:tc>
          <w:tcPr>
            <w:tcW w:w="3794" w:type="dxa"/>
          </w:tcPr>
          <w:p w14:paraId="461D8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471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уходит в своем направлении.</w:t>
            </w:r>
          </w:p>
        </w:tc>
      </w:tr>
      <w:tr w:rsidR="00DA227A" w:rsidRPr="00E93F40" w14:paraId="1AD3129D" w14:textId="77777777">
        <w:tc>
          <w:tcPr>
            <w:tcW w:w="3794" w:type="dxa"/>
          </w:tcPr>
          <w:p w14:paraId="0320F4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22470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как общую связь с землей.</w:t>
            </w:r>
          </w:p>
        </w:tc>
      </w:tr>
      <w:tr w:rsidR="00DA227A" w:rsidRPr="00E93F40" w14:paraId="12B16E2B" w14:textId="77777777">
        <w:tc>
          <w:tcPr>
            <w:tcW w:w="3794" w:type="dxa"/>
          </w:tcPr>
          <w:p w14:paraId="2E7DB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 объекта</w:t>
            </w:r>
          </w:p>
        </w:tc>
        <w:tc>
          <w:tcPr>
            <w:tcW w:w="5245" w:type="dxa"/>
          </w:tcPr>
          <w:p w14:paraId="292530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Прокладка телефонного кабеля на 30 км</w:t>
            </w:r>
          </w:p>
        </w:tc>
      </w:tr>
      <w:tr w:rsidR="00DA227A" w:rsidRPr="00E93F40" w14:paraId="5CFB50A4" w14:textId="77777777">
        <w:tc>
          <w:tcPr>
            <w:tcW w:w="3794" w:type="dxa"/>
          </w:tcPr>
          <w:p w14:paraId="3BDC1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393D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(Г-80)</w:t>
            </w:r>
          </w:p>
        </w:tc>
      </w:tr>
      <w:tr w:rsidR="00DA227A" w:rsidRPr="00E93F40" w14:paraId="7ECFD88E" w14:textId="77777777">
        <w:tc>
          <w:tcPr>
            <w:tcW w:w="3794" w:type="dxa"/>
          </w:tcPr>
          <w:p w14:paraId="30519E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и основные такт. условия</w:t>
            </w:r>
          </w:p>
        </w:tc>
        <w:tc>
          <w:tcPr>
            <w:tcW w:w="5245" w:type="dxa"/>
          </w:tcPr>
          <w:p w14:paraId="463BC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Прокладка телефонного кабеля для связи базы</w:t>
            </w:r>
          </w:p>
        </w:tc>
      </w:tr>
      <w:tr w:rsidR="00DA227A" w:rsidRPr="00E93F40" w14:paraId="5B36E973" w14:textId="77777777">
        <w:tc>
          <w:tcPr>
            <w:tcW w:w="3794" w:type="dxa"/>
          </w:tcPr>
          <w:p w14:paraId="06B3C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E59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ПДО и между отдельными десантными</w:t>
            </w:r>
          </w:p>
        </w:tc>
      </w:tr>
      <w:tr w:rsidR="00DA227A" w:rsidRPr="00E93F40" w14:paraId="3FF65E19" w14:textId="77777777">
        <w:tc>
          <w:tcPr>
            <w:tcW w:w="3794" w:type="dxa"/>
          </w:tcPr>
          <w:p w14:paraId="64A6C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E7CAC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отрядами, осуществляется самолетом,</w:t>
            </w:r>
          </w:p>
        </w:tc>
      </w:tr>
      <w:tr w:rsidR="00DA227A" w:rsidRPr="00E93F40" w14:paraId="2112DECA" w14:textId="77777777">
        <w:tc>
          <w:tcPr>
            <w:tcW w:w="3794" w:type="dxa"/>
          </w:tcPr>
          <w:p w14:paraId="6984A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785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сбрасывающим телефонный аппарат на парашюте</w:t>
            </w:r>
          </w:p>
        </w:tc>
      </w:tr>
      <w:tr w:rsidR="00DA227A" w:rsidRPr="00E93F40" w14:paraId="0A04D7C4" w14:textId="77777777">
        <w:tc>
          <w:tcPr>
            <w:tcW w:w="3794" w:type="dxa"/>
          </w:tcPr>
          <w:p w14:paraId="6BF99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21992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разматывающий на ходу подвешенный</w:t>
            </w:r>
          </w:p>
        </w:tc>
      </w:tr>
      <w:tr w:rsidR="00DA227A" w:rsidRPr="00E93F40" w14:paraId="1D5AEFBC" w14:textId="77777777">
        <w:tc>
          <w:tcPr>
            <w:tcW w:w="3794" w:type="dxa"/>
          </w:tcPr>
          <w:p w14:paraId="76D62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FDFF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цилиндр с телефонным кабелем, что дает</w:t>
            </w:r>
          </w:p>
        </w:tc>
      </w:tr>
      <w:tr w:rsidR="00DA227A" w:rsidRPr="00E93F40" w14:paraId="02094EFC" w14:textId="77777777">
        <w:tc>
          <w:tcPr>
            <w:tcW w:w="3794" w:type="dxa"/>
          </w:tcPr>
          <w:p w14:paraId="44ABC0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F2F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возможность установления надежной связи</w:t>
            </w:r>
          </w:p>
        </w:tc>
      </w:tr>
      <w:tr w:rsidR="00DA227A" w:rsidRPr="00E93F40" w14:paraId="5EE237C0" w14:textId="77777777">
        <w:tc>
          <w:tcPr>
            <w:tcW w:w="3794" w:type="dxa"/>
          </w:tcPr>
          <w:p w14:paraId="3A27D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63D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30 км в кратчайший срок (15-20 м) вне </w:t>
            </w:r>
          </w:p>
        </w:tc>
      </w:tr>
      <w:tr w:rsidR="00DA227A" w:rsidRPr="00E93F40" w14:paraId="6A725369" w14:textId="77777777">
        <w:tc>
          <w:tcPr>
            <w:tcW w:w="3794" w:type="dxa"/>
          </w:tcPr>
          <w:p w14:paraId="2781B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787D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зависимости от местности и ее проходимости.</w:t>
            </w:r>
          </w:p>
        </w:tc>
      </w:tr>
      <w:tr w:rsidR="009D12BD" w:rsidRPr="00E93F40" w14:paraId="7023E48A" w14:textId="77777777">
        <w:tc>
          <w:tcPr>
            <w:tcW w:w="3794" w:type="dxa"/>
          </w:tcPr>
          <w:p w14:paraId="3EF6D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Решения совещания у НВВС</w:t>
            </w:r>
          </w:p>
        </w:tc>
        <w:tc>
          <w:tcPr>
            <w:tcW w:w="5245" w:type="dxa"/>
          </w:tcPr>
          <w:p w14:paraId="1E745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Принять (3853,6-18)</w:t>
            </w:r>
          </w:p>
        </w:tc>
      </w:tr>
    </w:tbl>
    <w:p w14:paraId="2C037FA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D4473A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6155C3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C7F19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ноября 1932 был подписан договор о ненападении СССР с Францией (1348,242) на 2 года (3908,338).</w:t>
      </w:r>
    </w:p>
    <w:p w14:paraId="13105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06355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ноября 1932 состоялось подписание договора о ненападении между СССР и Францией на 2 года, задуманный как противовес возрождению германского милитаризма (4962).</w:t>
      </w:r>
    </w:p>
    <w:p w14:paraId="0A39DFF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52D788" w14:textId="6D72EEA8" w:rsidR="00F41990" w:rsidRPr="00E93F40" w:rsidRDefault="00F4199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29 ноября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2A236874" w14:textId="77777777" w:rsidR="00F41990" w:rsidRPr="00E93F40" w:rsidRDefault="00F4199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2B6B0122" w14:textId="77777777" w:rsidR="00F41990" w:rsidRPr="00E93F40" w:rsidRDefault="00F41990" w:rsidP="00E93F40">
      <w:pPr>
        <w:spacing w:after="0" w:line="240" w:lineRule="auto"/>
        <w:jc w:val="both"/>
        <w:rPr>
          <w:rFonts w:ascii="Times New Roman" w:hAnsi="Times New Roman"/>
          <w:color w:val="000000" w:themeColor="text1"/>
          <w:sz w:val="16"/>
          <w:szCs w:val="16"/>
        </w:rPr>
      </w:pPr>
    </w:p>
    <w:p w14:paraId="43174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6F9C4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2A615B"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29 ноября 1932 г. советский посол Валериан Довгалевский и президент Франции Эдуард Эррио подписали исторический договор о ненападении (25668).</w:t>
      </w:r>
    </w:p>
    <w:p w14:paraId="3DE5C79C" w14:textId="77777777" w:rsidR="00D33067" w:rsidRPr="00142305" w:rsidRDefault="00D33067" w:rsidP="00D33067">
      <w:pPr>
        <w:spacing w:after="0" w:line="240" w:lineRule="auto"/>
        <w:jc w:val="both"/>
        <w:rPr>
          <w:rFonts w:ascii="Times New Roman" w:hAnsi="Times New Roman"/>
          <w:color w:val="0070C0"/>
          <w:sz w:val="16"/>
          <w:szCs w:val="16"/>
        </w:rPr>
      </w:pPr>
    </w:p>
    <w:p w14:paraId="58ED7FC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A4C93B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6CCC9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ноября 1932 Персия аннулировала договор 1901 о англо-персидской нефтяной компании (3907,174).</w:t>
      </w:r>
    </w:p>
    <w:p w14:paraId="0961A9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B6EB5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E6E9FB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4F17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ноября 1932 состоялся первый полет головного серийного автожира ЦАГИ А-4 и всего в Киеве (391,57) сделали 13 (237,165).</w:t>
      </w:r>
    </w:p>
    <w:p w14:paraId="2EE18E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3297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30 ноября 1932 НИИ ВВС получил новый аэродром вместо ЦА (172,31). Щелковский аэродром (172,66).</w:t>
      </w:r>
    </w:p>
    <w:p w14:paraId="15F32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88B601"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6BB1C2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334E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ноября 1932 г. после того, как в сентябре 1932 года качающаяся часть была отправлена на завод "Большевик" для установки на штатный лафет, испытания 152-мм дальнобойной пушки Б-10 были возобновлены на НИАПе и продолжались до 3 октября 1934 г. Испытывались стволы № 1 и № 2 на одном и том же лафете Б-10 (№ 1). Всего из ствола № 1 было сделано 336 выстрелов, после чего ствол № 1 был перенарезан (3861).</w:t>
      </w:r>
    </w:p>
    <w:p w14:paraId="5F6A7C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3CFD2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5C82C3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B540CA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ноября 1932 в США завершился самый длинный в истории танцевальный марафон, длившийся 4152,5 часа (с 6 июня) (4962).</w:t>
      </w:r>
    </w:p>
    <w:p w14:paraId="3276F72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F476C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57C669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786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ноября 1932 Ю.И.Пионтковский выполнил на АИР-6 последний полет в рамках официальных заводских испытаний. Отметил легкость управления, хорошую устойчивость, возможность полета с брошенной ручкой, нетребовательность в отношении взлета и посадки. В отчете отметили, что в основном соответствует ТЗ, нетребователен в эксплуатации и удобен для транспортировки. По ЛД удовлетворяет требованиям с превышением в части максимальной скорости и потолка. Длина разбега и пробега - хуже заданных, но требования о размерах площадки - выполнено. Решили, что стоит на уровне современных европейских самолетов и в целом удовлетворительно решает задачу создания самолета массового применения (3550,9).</w:t>
      </w:r>
    </w:p>
    <w:p w14:paraId="6583A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AD5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ноября 1932 на совещании у начальника ВВС РККА обсуждали проект самолета Г-37 "Универсальное крыло" (1023,23).</w:t>
      </w:r>
    </w:p>
    <w:p w14:paraId="4342BB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2331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ноября 1932 года состоялся последний серьезный визит советских военных в Германию, целью которого было знакомство с ВВС. Это были начальник отдела ПВО Штаба РККА комбриг М.Е. Медведев и комбриг С.А.Чернобровкин. СПРИХОДОМ в Германии к власти нацистов масштабы советско-германских военных связей значительно сужаются, но не настолько, чтобы говорить об окончательной смене внешнеполитического курса СССР и замораживании абсолютно всех военных контактов с рейхсвером. При этом обе стороны стараются направить былые связи в русло взаимовыгодного сотрудничества, включая обучение кадров. Об этом свидетельствуют очевидцы тех событий, в частности бывший военный атташе Германии в СССР генерал-лейтенант в отставке Эрнст Кёстринг. В своих мемуарах генерал вспоминает о том, что в 1935 году во время его беседы с начальником Штаба РККА А.И. Егоровым затрагивался вопрос о взаимном обучении военных специалистов обеих стран (</w:t>
      </w:r>
      <w:r w:rsidRPr="00E93F40">
        <w:rPr>
          <w:rFonts w:ascii="Times New Roman" w:hAnsi="Times New Roman"/>
          <w:iCs/>
          <w:color w:val="000000" w:themeColor="text1"/>
          <w:sz w:val="16"/>
          <w:szCs w:val="16"/>
        </w:rPr>
        <w:t xml:space="preserve">Захаров В.В. </w:t>
      </w:r>
      <w:r w:rsidRPr="00E93F40">
        <w:rPr>
          <w:rFonts w:ascii="Times New Roman" w:hAnsi="Times New Roman"/>
          <w:color w:val="000000" w:themeColor="text1"/>
          <w:sz w:val="16"/>
          <w:szCs w:val="16"/>
        </w:rPr>
        <w:t>В преддверии секретных протоколов (Советско-германские связи в военной области в 1934—1938 гг.). М.: ГА ВС, 1991. С. 20.). Но понадобился еще год, чтобы германские авиационно-технические достижения, хотя и в меньших масштабах, вновь стали изучать в СССР. Так, в 1936 году в Германию для ознакомления с опытом работы аэродинамических труб люфтваффе были направлены два ведущих отечественных специалиста в этой области: В.Ф. Болховитинов — начальник кафедры прочности авиаконструкций Военно-воздушной инженерной академии имени Н.Е.Жуковского и Н.Д. Доброхотов — начальник аэродинамической части НИИ ВВС РККА. Следует отметить, что командировки подобного рода в Германию в те годы уже носили закрытый характер (РГВА. Ф. 33987. Оп. 3. Д. 861. Л. 98.). Одна из последних заграничных командировок наших летчиков в Германию состоялась зимой 1936 года. Отряд авиационных командиров и инструкторов был направлен для обучения «слепому» самолетовождению в немецком воздушном обществе «Люфтганза». Подготовку там прошли командир Ейской летной школы С.И. Абрамычев, командир отряда высшей летно-тактической школы ВВС Н.И. Кидалинский, авиационные командиры В.С. Леонов и В.М. Ефимов (РГВА. Ф. 33987. Оп. 3. Д. 861. Л. 98.). Представители немецкой стороны, в порядке взаимности, также присутствовали в конце 1920 — начале 1930-х годов на учениях советских авиационных частей. В архивных документах фигурируют уже упоминавшиеся имена кадровых офицеров рейхсвера майора Г. Фельми, майора Лакнера, майора Мюллера, капитана Швабедиссена. Кроме того, в 1930 году генерал-майор рейхсвера Хальм побывал в 10-й летной бригаде Московского военного округа, а его коллега капитан Г. Ашенбреннер осмотрел 20-ю летную бригаду в Харькове (Там же. Ф. 4. Оп. 19. Д. 78. Л. 2.). Во второй половине 1930-х годов СССР внес определенные коррективы в военную политику по отношению к своим традиционным западным партнерам. Перемены затронули и такую важную сферу сотрудничества, как профессиональная подготовка кадров ВВС РККА, в результате чего предпочтение было отдано Франции, Англии и США (11173).</w:t>
      </w:r>
    </w:p>
    <w:p w14:paraId="4B3763F1" w14:textId="11B9E21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58686C" w14:textId="77777777" w:rsidR="00D33067" w:rsidRPr="00E93F40" w:rsidRDefault="00D33067" w:rsidP="00D33067">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8AAAE3C" w14:textId="77777777" w:rsidR="00D33067" w:rsidRPr="00E93F40" w:rsidRDefault="00D33067" w:rsidP="00D33067">
      <w:pPr>
        <w:autoSpaceDE w:val="0"/>
        <w:autoSpaceDN w:val="0"/>
        <w:adjustRightInd w:val="0"/>
        <w:spacing w:after="0" w:line="240" w:lineRule="auto"/>
        <w:jc w:val="both"/>
        <w:rPr>
          <w:rFonts w:ascii="Times New Roman" w:hAnsi="Times New Roman"/>
          <w:iCs/>
          <w:color w:val="000000" w:themeColor="text1"/>
          <w:sz w:val="16"/>
          <w:szCs w:val="16"/>
        </w:rPr>
      </w:pPr>
    </w:p>
    <w:p w14:paraId="0757C8F9"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ноября 1932 г. чертежи Т-28 поступили на завод «Красный Путиловец» для организации серийного производства но</w:t>
      </w:r>
      <w:r w:rsidRPr="00142305">
        <w:rPr>
          <w:rFonts w:ascii="Times New Roman" w:hAnsi="Times New Roman"/>
          <w:color w:val="0070C0"/>
          <w:sz w:val="16"/>
          <w:szCs w:val="16"/>
        </w:rPr>
        <w:softHyphen/>
        <w:t>вого танка.</w:t>
      </w:r>
    </w:p>
    <w:p w14:paraId="4DC5A976" w14:textId="77777777" w:rsidR="00D33067" w:rsidRPr="00142305" w:rsidRDefault="00D33067" w:rsidP="00D330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 выпуск Т-28 выделили механический цех № 2 (МХ-2), до этого изготавливавший в небольших количествах драги, паровозы и подъемные крапы. Оборудование цеха бы</w:t>
      </w:r>
      <w:r w:rsidRPr="00142305">
        <w:rPr>
          <w:rFonts w:ascii="Times New Roman" w:hAnsi="Times New Roman"/>
          <w:color w:val="0070C0"/>
          <w:sz w:val="16"/>
          <w:szCs w:val="16"/>
        </w:rPr>
        <w:softHyphen/>
        <w:t>ло старым и не приспособленным для серий</w:t>
      </w:r>
      <w:r w:rsidRPr="00142305">
        <w:rPr>
          <w:rFonts w:ascii="Times New Roman" w:hAnsi="Times New Roman"/>
          <w:color w:val="0070C0"/>
          <w:sz w:val="16"/>
          <w:szCs w:val="16"/>
        </w:rPr>
        <w:softHyphen/>
        <w:t>ного изготовления деталей танков, требовав</w:t>
      </w:r>
      <w:r w:rsidRPr="00142305">
        <w:rPr>
          <w:rFonts w:ascii="Times New Roman" w:hAnsi="Times New Roman"/>
          <w:color w:val="0070C0"/>
          <w:sz w:val="16"/>
          <w:szCs w:val="16"/>
        </w:rPr>
        <w:softHyphen/>
        <w:t>ших высокой культуры производства. Руко</w:t>
      </w:r>
      <w:r w:rsidRPr="00142305">
        <w:rPr>
          <w:rFonts w:ascii="Times New Roman" w:hAnsi="Times New Roman"/>
          <w:color w:val="0070C0"/>
          <w:sz w:val="16"/>
          <w:szCs w:val="16"/>
        </w:rPr>
        <w:softHyphen/>
        <w:t>водству завода пришлось задействовать «скрытые» резервы - законсервированные станки, служившие на производстве массо</w:t>
      </w:r>
      <w:r w:rsidRPr="00142305">
        <w:rPr>
          <w:rFonts w:ascii="Times New Roman" w:hAnsi="Times New Roman"/>
          <w:color w:val="0070C0"/>
          <w:sz w:val="16"/>
          <w:szCs w:val="16"/>
        </w:rPr>
        <w:softHyphen/>
        <w:t>вых работ еще в Первую Мировую войну, бы</w:t>
      </w:r>
      <w:r w:rsidRPr="00142305">
        <w:rPr>
          <w:rFonts w:ascii="Times New Roman" w:hAnsi="Times New Roman"/>
          <w:color w:val="0070C0"/>
          <w:sz w:val="16"/>
          <w:szCs w:val="16"/>
        </w:rPr>
        <w:softHyphen/>
        <w:t>ли модернизированы и пущены в работу. Кроме того, по распоряжению С. Кирова на «Красный Путиловец» доставили станки с других предприятий Ленинграда. Все это, а главным образом большой производствен</w:t>
      </w:r>
      <w:r w:rsidRPr="00142305">
        <w:rPr>
          <w:rFonts w:ascii="Times New Roman" w:hAnsi="Times New Roman"/>
          <w:color w:val="0070C0"/>
          <w:sz w:val="16"/>
          <w:szCs w:val="16"/>
        </w:rPr>
        <w:softHyphen/>
        <w:t>ный опыт рабочих и мастеров цеха позволили к концу апреля 1933 года собрать первые 12 танков Т-28 (25016).</w:t>
      </w:r>
    </w:p>
    <w:p w14:paraId="3302E5C4" w14:textId="77777777" w:rsidR="00D33067" w:rsidRPr="00142305" w:rsidRDefault="00D33067" w:rsidP="00D33067">
      <w:pPr>
        <w:spacing w:after="0" w:line="240" w:lineRule="auto"/>
        <w:jc w:val="both"/>
        <w:rPr>
          <w:rFonts w:ascii="Times New Roman" w:hAnsi="Times New Roman"/>
          <w:color w:val="0070C0"/>
          <w:sz w:val="16"/>
          <w:szCs w:val="16"/>
        </w:rPr>
      </w:pPr>
    </w:p>
    <w:p w14:paraId="2323E07B" w14:textId="54469098" w:rsidR="00C43A0E" w:rsidRPr="00E93F40" w:rsidRDefault="00C43A0E"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Внешняя политика:</w:t>
      </w:r>
    </w:p>
    <w:p w14:paraId="4943C1B2" w14:textId="77777777" w:rsidR="00C43A0E" w:rsidRPr="00E93F40" w:rsidRDefault="00C43A0E"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25D79E1E"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ноября 1932 года был последний серьезный визит советских военных в Германию, целью которого было знакомство с ВВС. Это были начальник отдела ПВО Штаба РККА комбриг М.Е. Медведев и комбриг С.А. Чернобровкин (21412).</w:t>
      </w:r>
    </w:p>
    <w:p w14:paraId="5BD9AEC7" w14:textId="77777777" w:rsidR="00C43A0E" w:rsidRPr="00E93F40" w:rsidRDefault="00C43A0E" w:rsidP="00E93F40">
      <w:pPr>
        <w:spacing w:after="0" w:line="240" w:lineRule="auto"/>
        <w:jc w:val="both"/>
        <w:rPr>
          <w:rFonts w:ascii="Times New Roman" w:hAnsi="Times New Roman"/>
          <w:color w:val="000000" w:themeColor="text1"/>
          <w:sz w:val="16"/>
          <w:szCs w:val="16"/>
        </w:rPr>
      </w:pPr>
    </w:p>
    <w:p w14:paraId="2701F76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17C347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4F63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ноября 1932 первый Хе-70 Блитц выкатили из цеха в Варнемюнде, но полоса была небольшой и решили испытывать в Травемюнде в 80 км и перелет 1 декабря совпал с первым вылетом. В этот день фирма Хейнкель праздновала десятилетие (1167,23).</w:t>
      </w:r>
    </w:p>
    <w:p w14:paraId="53A69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B71E9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11E745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862A2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проходили гос. испытания ХАИ-1 и была достигнута скорость 324 км/час, похоже на Хе-70 Блитц с 347.5 км/час. С 14 марта по 28 апреля 1933 были установлены рекорды (88,116).</w:t>
      </w:r>
    </w:p>
    <w:p w14:paraId="0B02A6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эти ХАИ-1 перелетел из Харькова в Москву (374,90).</w:t>
      </w:r>
    </w:p>
    <w:p w14:paraId="7FB5C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Нет, есть данные, что на гос. испытания машина полетела в Москву только в феврале 1933 (1148,27).</w:t>
      </w:r>
    </w:p>
    <w:p w14:paraId="7BEEF4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гос. испытания ХАИ-1 проходили только в марте-июне 1933.</w:t>
      </w:r>
    </w:p>
    <w:p w14:paraId="1928B6B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F751B1"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состоялось внедрение в серию эталона Р5-М17 (6778).</w:t>
      </w:r>
    </w:p>
    <w:p w14:paraId="3005D5C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E640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началось проектирование ДИП 2М-34 (2287,131).</w:t>
      </w:r>
    </w:p>
    <w:p w14:paraId="1E53C3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826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закончилось проектирование МДР-4 (1072).</w:t>
      </w:r>
    </w:p>
    <w:p w14:paraId="3B5B04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C95D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специальная комиссия ВВС осмотре</w:t>
      </w:r>
      <w:r w:rsidRPr="00E93F40">
        <w:rPr>
          <w:rFonts w:ascii="Times New Roman" w:hAnsi="Times New Roman"/>
          <w:color w:val="000000" w:themeColor="text1"/>
          <w:sz w:val="16"/>
          <w:szCs w:val="16"/>
        </w:rPr>
        <w:softHyphen/>
        <w:t>ла макет И-14 (10667).</w:t>
      </w:r>
    </w:p>
    <w:p w14:paraId="2117A2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C2C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были готовы макеты истребителей И-14 П.О.С. и И-14а Н.Н.П. и представлены макетной комиссии (228,86).</w:t>
      </w:r>
    </w:p>
    <w:p w14:paraId="260662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09B9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началось изготовление деталей И-14 АНТ-31 (1454,24).</w:t>
      </w:r>
    </w:p>
    <w:p w14:paraId="362E96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492D0A" w14:textId="77777777" w:rsidR="002630B3" w:rsidRPr="00E93F40" w:rsidRDefault="002630B3"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В ноябре 1932 были построены макеты самолетов И-14 с ДРП и И-14а - одноместноно истребителя с мотором воздушного охлаждения, вооруженного легкими пулеметами (19177).</w:t>
      </w:r>
    </w:p>
    <w:p w14:paraId="7651B863" w14:textId="77777777" w:rsidR="002630B3" w:rsidRPr="00E93F40" w:rsidRDefault="002630B3" w:rsidP="00E93F40">
      <w:pPr>
        <w:pStyle w:val="ae"/>
        <w:shd w:val="clear" w:color="auto" w:fill="FFFFFF"/>
        <w:spacing w:before="0" w:after="0"/>
        <w:jc w:val="both"/>
        <w:textAlignment w:val="baseline"/>
        <w:rPr>
          <w:color w:val="000000" w:themeColor="text1"/>
          <w:sz w:val="16"/>
          <w:szCs w:val="16"/>
        </w:rPr>
      </w:pPr>
    </w:p>
    <w:p w14:paraId="381BB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Завод опытных конструкций (ЗОК) ЦАГИ получил от КБ первые чертежи самолета И-14 и началась работа по основным агрегатам планера. Мотор был получен 25 января 1933 г.; консоли крыла сдали 25 апреля 1933 г.; центроплан - 16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19BEB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7EDF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макеты И-14 - моноплана П.О.С. и И-14а - полутороплана Н.Н.П. предъявили макетной комиссии. Как результат И-14а переименовали в И-15 и решили строить оба (2869,23).</w:t>
      </w:r>
    </w:p>
    <w:p w14:paraId="755E92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80EC9E" w14:textId="77777777" w:rsidR="00E466FE" w:rsidRPr="00E93F40" w:rsidRDefault="00E466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после работы макетной комиссии по И-14 и И-14 а последний получил обозначение И-15 (23595).</w:t>
      </w:r>
    </w:p>
    <w:p w14:paraId="58024ACE" w14:textId="77777777" w:rsidR="00E466FE" w:rsidRPr="00E93F40" w:rsidRDefault="00E466FE" w:rsidP="00E93F40">
      <w:pPr>
        <w:spacing w:after="0" w:line="240" w:lineRule="auto"/>
        <w:jc w:val="both"/>
        <w:rPr>
          <w:rFonts w:ascii="Times New Roman" w:hAnsi="Times New Roman"/>
          <w:color w:val="000000" w:themeColor="text1"/>
          <w:sz w:val="16"/>
          <w:szCs w:val="16"/>
        </w:rPr>
      </w:pPr>
    </w:p>
    <w:p w14:paraId="655304AD"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ноябре 1932 г. специальная комиссия ВВС осмотрела макет И-14 П.О.С. (25035). </w:t>
      </w:r>
    </w:p>
    <w:p w14:paraId="3CE757AF" w14:textId="77777777" w:rsidR="00481316" w:rsidRPr="00142305" w:rsidRDefault="00481316" w:rsidP="00481316">
      <w:pPr>
        <w:spacing w:after="0" w:line="240" w:lineRule="auto"/>
        <w:jc w:val="both"/>
        <w:rPr>
          <w:rFonts w:ascii="Times New Roman" w:hAnsi="Times New Roman"/>
          <w:color w:val="0070C0"/>
          <w:sz w:val="16"/>
          <w:szCs w:val="16"/>
        </w:rPr>
      </w:pPr>
    </w:p>
    <w:p w14:paraId="121BB190"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1932 года макет И-14 предъявили соответствующей комиссии, а в следую</w:t>
      </w:r>
      <w:r w:rsidRPr="00142305">
        <w:rPr>
          <w:rFonts w:ascii="Times New Roman" w:hAnsi="Times New Roman"/>
          <w:color w:val="0070C0"/>
          <w:sz w:val="16"/>
          <w:szCs w:val="16"/>
        </w:rPr>
        <w:softHyphen/>
        <w:t>щем месяце военные утвердили тактико-технические требования к машине. В окончатель</w:t>
      </w:r>
      <w:r w:rsidRPr="00142305">
        <w:rPr>
          <w:rFonts w:ascii="Times New Roman" w:hAnsi="Times New Roman"/>
          <w:color w:val="0070C0"/>
          <w:sz w:val="16"/>
          <w:szCs w:val="16"/>
        </w:rPr>
        <w:softHyphen/>
        <w:t>ном виде истребитель должен был летать со скоростью 375-400 км/с на высоте 5000 метров (посадочная - 90-105 км/ч), подниматься на эту высоту за 7-8 минут, иметь потолок 9000- 10 000 метров и радиус действия - 250 км. Кроме этого, задавались длины разбега и про</w:t>
      </w:r>
      <w:r w:rsidRPr="00142305">
        <w:rPr>
          <w:rFonts w:ascii="Times New Roman" w:hAnsi="Times New Roman"/>
          <w:color w:val="0070C0"/>
          <w:sz w:val="16"/>
          <w:szCs w:val="16"/>
        </w:rPr>
        <w:softHyphen/>
        <w:t>бега - 40 и 80 метров соответственно, а полезная нагрузка - 248 кг (нормальная) и 272 кг - перегрузочная.</w:t>
      </w:r>
    </w:p>
    <w:p w14:paraId="4B77A4BF"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Вначале рассматривался М-38 воздушного охлаждения, но в силу низкой надежности ставку сделали на 600-сильный высотный «Меркур» VS2 английской фирмы «Бристоль».</w:t>
      </w:r>
    </w:p>
    <w:p w14:paraId="47F81F82"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Вооружение предполагалось из двух динамореактивных орудий АПК-11 калибра 37 мм и двух пулеметов ПВ-1 (24991).</w:t>
      </w:r>
    </w:p>
    <w:p w14:paraId="14DD9C31" w14:textId="77777777" w:rsidR="00481316" w:rsidRPr="00142305" w:rsidRDefault="00481316" w:rsidP="00481316">
      <w:pPr>
        <w:spacing w:after="0" w:line="240" w:lineRule="auto"/>
        <w:jc w:val="both"/>
        <w:rPr>
          <w:rFonts w:ascii="Times New Roman" w:hAnsi="Times New Roman"/>
          <w:color w:val="0070C0"/>
          <w:sz w:val="16"/>
          <w:szCs w:val="16"/>
        </w:rPr>
      </w:pPr>
    </w:p>
    <w:p w14:paraId="482800D6"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первые 12 экзем</w:t>
      </w:r>
      <w:r w:rsidRPr="00E93F40">
        <w:rPr>
          <w:rFonts w:ascii="Times New Roman" w:hAnsi="Times New Roman"/>
          <w:color w:val="000000" w:themeColor="text1"/>
          <w:sz w:val="16"/>
          <w:szCs w:val="16"/>
        </w:rPr>
        <w:softHyphen/>
        <w:t>пляров поступили на вооружение 6-й армей</w:t>
      </w:r>
      <w:r w:rsidRPr="00E93F40">
        <w:rPr>
          <w:rFonts w:ascii="Times New Roman" w:hAnsi="Times New Roman"/>
          <w:color w:val="000000" w:themeColor="text1"/>
          <w:sz w:val="16"/>
          <w:szCs w:val="16"/>
        </w:rPr>
        <w:softHyphen/>
        <w:t>ской авиаэскадрильи в составе 201-й лбаб в Витебске, в декабре поста</w:t>
      </w:r>
      <w:r w:rsidRPr="00E93F40">
        <w:rPr>
          <w:rFonts w:ascii="Times New Roman" w:hAnsi="Times New Roman"/>
          <w:color w:val="000000" w:themeColor="text1"/>
          <w:sz w:val="16"/>
          <w:szCs w:val="16"/>
        </w:rPr>
        <w:softHyphen/>
        <w:t>вили еще десяток машин. По состоянию на 1 января 1933 г. в строю 6-й аэ находился 21 са</w:t>
      </w:r>
      <w:r w:rsidRPr="00E93F40">
        <w:rPr>
          <w:rFonts w:ascii="Times New Roman" w:hAnsi="Times New Roman"/>
          <w:color w:val="000000" w:themeColor="text1"/>
          <w:sz w:val="16"/>
          <w:szCs w:val="16"/>
        </w:rPr>
        <w:softHyphen/>
        <w:t>молет истребитель типа И-7 (12295).</w:t>
      </w:r>
    </w:p>
    <w:p w14:paraId="41B4E9C8" w14:textId="77777777" w:rsidR="00A634CB" w:rsidRPr="00E93F40" w:rsidRDefault="00A634CB" w:rsidP="00E93F40">
      <w:pPr>
        <w:spacing w:after="0" w:line="240" w:lineRule="auto"/>
        <w:jc w:val="both"/>
        <w:rPr>
          <w:rFonts w:ascii="Times New Roman" w:hAnsi="Times New Roman"/>
          <w:color w:val="000000" w:themeColor="text1"/>
          <w:sz w:val="16"/>
          <w:szCs w:val="16"/>
        </w:rPr>
      </w:pPr>
    </w:p>
    <w:p w14:paraId="547987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закончилось серийное производство К-5М-15 и началось К-5М-22. Срок сдачи чертежей, установленный П.И.Б., был 15 февраля 1932 (70,168).</w:t>
      </w:r>
    </w:p>
    <w:p w14:paraId="555F9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69B8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на ХАЗОС Заложены в стапеля первые агрегаты самолета-гиганта К-7 (10674).</w:t>
      </w:r>
    </w:p>
    <w:p w14:paraId="25DD6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AC2635"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на заводе № 135 состоялась закладка самолета К-7 в стапеле нового цеха М-2. Сварку первого узла выполнил лично Председатель Совнаркома Украинской ССР Г.И. Петровский (23098).</w:t>
      </w:r>
    </w:p>
    <w:p w14:paraId="27429EA4" w14:textId="77777777" w:rsidR="00C43A0E" w:rsidRPr="00E93F40" w:rsidRDefault="00C43A0E" w:rsidP="00E93F40">
      <w:pPr>
        <w:spacing w:after="0" w:line="240" w:lineRule="auto"/>
        <w:jc w:val="both"/>
        <w:rPr>
          <w:rFonts w:ascii="Times New Roman" w:hAnsi="Times New Roman"/>
          <w:color w:val="000000" w:themeColor="text1"/>
          <w:sz w:val="16"/>
          <w:szCs w:val="16"/>
        </w:rPr>
      </w:pPr>
    </w:p>
    <w:p w14:paraId="398B3431" w14:textId="52CA3499" w:rsidR="007B1D3C" w:rsidRPr="00E93F40" w:rsidRDefault="00C43A0E"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B1D3C" w:rsidRPr="00E93F40">
        <w:rPr>
          <w:rFonts w:ascii="Times New Roman" w:hAnsi="Times New Roman"/>
          <w:color w:val="000000" w:themeColor="text1"/>
          <w:sz w:val="16"/>
          <w:szCs w:val="16"/>
        </w:rPr>
        <w:t xml:space="preserve"> ноябре 1932 г. на ХАЗОС наконец-то сварили первый узел каркаса самолета. Выпуск хромомолибденовых труб в июне того же года освоили в Днепропетровске. Поначалу шло много брака, и встал вопрос о замене советских труб импортными. На исправление положения ушло шесть месяцев. Но ассортимент отечественных труб был уже, чем предусмотренный в проекте самолета. Самые большие диаметры, нужные для лонжеронов крыла, отсутствовали. Пришлось заменить их парами труб меньшего размера. Колеса для гиганта делали на заказ на заводе "Проводник", но в срок не успели и для первого опытного образца К-7 купили английскую резину "Пальмер" диаметром 2 м. Сами колеса с тормозами приобрели в Америке у фирмы "Гудьир".</w:t>
      </w:r>
    </w:p>
    <w:p w14:paraId="2C5E1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ТБ-4 в плане 1933 г. числился в разряде первоочередных работ, то К-7 расценивался как "экспериментальный" и считался как бы запасным. В одном из писем Я.И. Алкснис признавал, что поддерживает создание К-7 как альтернативу ТБ-4, поскольку побаивается установления монополии ЦАГИ на строительство тяжелых бомбардировщиков. Конкуренция должна была подстегнуть активность обоих конструкторских бюро.</w:t>
      </w:r>
    </w:p>
    <w:p w14:paraId="30824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сборку калининского гиганта ушло девять месяцев. Последние стадии шли просто на асфальтированной площадке, окруженной строительными лесами, поскольку ни в один цех огромный самолет целиком не влезал. Вес пустого самолета превысили по сравнению с расчетным почти на три тонны, он дошел до 22 900 кг, а полный взлетный вес машины оказался около 36 т.</w:t>
      </w:r>
    </w:p>
    <w:p w14:paraId="10B01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первом же запуске двигателей самолет начал вибрировать, хвостовые балки тряслись. Пришлось их усиливать. Вновь ввели подкосы, поддерживавшие кили, а поверху соединили их еще одной горизонтальной плоскостью, так что оно фактически стало бипланным (12036).</w:t>
      </w:r>
    </w:p>
    <w:p w14:paraId="4EE1A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6B9D0E" w14:textId="77777777" w:rsidR="00E466FE" w:rsidRPr="00E93F40" w:rsidRDefault="00E466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состоялась закладка самолета К-7 в стапеле нового цеха М-2 завода № 135. Сварку первого узла самолета К-7 выполнил лично Председатель Совнаркома Украинской ССР Г.И. Петровский.</w:t>
      </w:r>
    </w:p>
    <w:p w14:paraId="1E74ECF1" w14:textId="77777777" w:rsidR="00E466FE" w:rsidRPr="00E93F40" w:rsidRDefault="00E466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Вначале самолет строился под 6 моторов М-34Ф, но из-за перетяжеления планера на стадии постройки добавлен 7-й (толкающий) мотор того же типа.</w:t>
      </w:r>
    </w:p>
    <w:p w14:paraId="06B29EA3" w14:textId="77777777" w:rsidR="00E466FE" w:rsidRPr="00E93F40" w:rsidRDefault="00E466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был выпущен в варианте пассажирского на 128 мест (при 12 членах экипажа), но имел отдельные узлы бомбардировщика, например места под турели и усиления центроплана под крепление кассетных бомбодержателей.</w:t>
      </w:r>
    </w:p>
    <w:p w14:paraId="0D7C98D4" w14:textId="77777777" w:rsidR="00E466FE" w:rsidRPr="00E93F40" w:rsidRDefault="00E466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ходе постройки самолета 18 конструкторов ХАЗОС (в основном, молодых и не имеющих практического опыта) высказала сомнения в прочности и жесткости каркаса К-7, что подтверждалось поломками отдельных узлов на статиспытаниях, а также описанными в прессе случаями аварий самолетов с подобным каркасом за рубежом из-за бафтинга (23561).</w:t>
      </w:r>
    </w:p>
    <w:p w14:paraId="7FFFA6AC" w14:textId="77777777" w:rsidR="00E466FE" w:rsidRPr="00E93F40" w:rsidRDefault="00E466FE" w:rsidP="00E93F40">
      <w:pPr>
        <w:spacing w:after="0" w:line="240" w:lineRule="auto"/>
        <w:jc w:val="both"/>
        <w:rPr>
          <w:rFonts w:ascii="Times New Roman" w:hAnsi="Times New Roman"/>
          <w:color w:val="000000" w:themeColor="text1"/>
          <w:sz w:val="16"/>
          <w:szCs w:val="16"/>
        </w:rPr>
      </w:pPr>
    </w:p>
    <w:p w14:paraId="425FBBCB" w14:textId="77777777" w:rsidR="00E42D31" w:rsidRPr="00142305" w:rsidRDefault="00E42D31" w:rsidP="00E42D3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ноябре 1932 г. наконец-то сварили пер</w:t>
      </w:r>
      <w:r w:rsidRPr="00142305">
        <w:rPr>
          <w:rFonts w:ascii="Times New Roman" w:hAnsi="Times New Roman"/>
          <w:color w:val="0070C0"/>
          <w:sz w:val="16"/>
          <w:szCs w:val="16"/>
        </w:rPr>
        <w:softHyphen/>
        <w:t>вый узел каркаса самолета К-7. Выпуск хромомолибденовых труб в июне того же года освоили в Днепропетровске. По</w:t>
      </w:r>
      <w:r w:rsidRPr="00142305">
        <w:rPr>
          <w:rFonts w:ascii="Times New Roman" w:hAnsi="Times New Roman"/>
          <w:color w:val="0070C0"/>
          <w:sz w:val="16"/>
          <w:szCs w:val="16"/>
        </w:rPr>
        <w:softHyphen/>
        <w:t>началу шло много брака, и встал вопрос о замене советских труб импортными. На исправление положения ушло шесть месяцев. Но ассортимент отечественных труб был уже, чем предусмотренный в проекте самолета. Самые большие диа</w:t>
      </w:r>
      <w:r w:rsidRPr="00142305">
        <w:rPr>
          <w:rFonts w:ascii="Times New Roman" w:hAnsi="Times New Roman"/>
          <w:color w:val="0070C0"/>
          <w:sz w:val="16"/>
          <w:szCs w:val="16"/>
        </w:rPr>
        <w:softHyphen/>
        <w:t>метры, нужные для лонжеронов крыла, отсутствовали. При</w:t>
      </w:r>
      <w:r w:rsidRPr="00142305">
        <w:rPr>
          <w:rFonts w:ascii="Times New Roman" w:hAnsi="Times New Roman"/>
          <w:color w:val="0070C0"/>
          <w:sz w:val="16"/>
          <w:szCs w:val="16"/>
        </w:rPr>
        <w:softHyphen/>
        <w:t>шлось заменить их парами труб меньшего размера (24977).</w:t>
      </w:r>
    </w:p>
    <w:p w14:paraId="6DB42CCA" w14:textId="77777777" w:rsidR="00E42D31" w:rsidRPr="00142305" w:rsidRDefault="00E42D31" w:rsidP="00E42D31">
      <w:pPr>
        <w:spacing w:after="0" w:line="240" w:lineRule="auto"/>
        <w:jc w:val="both"/>
        <w:rPr>
          <w:rFonts w:ascii="Times New Roman" w:hAnsi="Times New Roman"/>
          <w:color w:val="0070C0"/>
          <w:sz w:val="16"/>
          <w:szCs w:val="16"/>
        </w:rPr>
      </w:pPr>
    </w:p>
    <w:p w14:paraId="421E01CD" w14:textId="77777777" w:rsidR="00E37962" w:rsidRPr="00E93F40" w:rsidRDefault="00E379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1932-го, предполагалось запретить Яковлеву самостоятельную работу, и отменили решение о серийном строительстве АИР-6. Тогда Яковлев решил использовать готовые чертежи для постройки дублера, а потом и третьего самолета АИР-6 на заводе №39. В конце 1932-го ведущим инженером по этим машинам был назначен 18-летний Евгений Адлер, инициативный и талантливый конструктор, сын Георгия Адлера, сотрудника Игоря Сикорского и боевого летчика в период Первой мировой войны. Впоследствии Яковлев писал: "Е.А.Адлер не только кабинетный конструктор, владеющий счетной линейкой и всеми чертежными доспехами, но и способный производственник". Второй и третий самолеты были готовы в июне и сентябре 1933-го(15727)</w:t>
      </w:r>
    </w:p>
    <w:p w14:paraId="1437FF46" w14:textId="77777777" w:rsidR="00E37962" w:rsidRPr="00E93F40" w:rsidRDefault="00E37962" w:rsidP="00E93F40">
      <w:pPr>
        <w:spacing w:after="0" w:line="240" w:lineRule="auto"/>
        <w:jc w:val="both"/>
        <w:rPr>
          <w:rFonts w:ascii="Times New Roman" w:hAnsi="Times New Roman"/>
          <w:color w:val="000000" w:themeColor="text1"/>
          <w:sz w:val="16"/>
          <w:szCs w:val="16"/>
        </w:rPr>
      </w:pPr>
    </w:p>
    <w:p w14:paraId="131F5404"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1932 завод № 31 сдал шесть серийных амфибий Ш-2. Больше до 1 декабря ни один Ш-2 через приёмку не прошёл. К это</w:t>
      </w:r>
      <w:r w:rsidRPr="00142305">
        <w:rPr>
          <w:rFonts w:ascii="Times New Roman" w:hAnsi="Times New Roman"/>
          <w:color w:val="0070C0"/>
          <w:sz w:val="16"/>
          <w:szCs w:val="16"/>
        </w:rPr>
        <w:softHyphen/>
        <w:t>му моменту на предприятии имелся задел деталей на 120 - 200 машин, в том числе 108 готовых лодок и 30 комплектов крыль</w:t>
      </w:r>
      <w:r w:rsidRPr="00142305">
        <w:rPr>
          <w:rFonts w:ascii="Times New Roman" w:hAnsi="Times New Roman"/>
          <w:color w:val="0070C0"/>
          <w:sz w:val="16"/>
          <w:szCs w:val="16"/>
        </w:rPr>
        <w:softHyphen/>
        <w:t>ев. Все изготовленные центропланы были длиннее на 1 - 2 мм и имели перекос. До конца 1932 г. удалось изготовить 30 Ш-2. Заказ ВВС выполнили полностью, а граж</w:t>
      </w:r>
      <w:r w:rsidRPr="00142305">
        <w:rPr>
          <w:rFonts w:ascii="Times New Roman" w:hAnsi="Times New Roman"/>
          <w:color w:val="0070C0"/>
          <w:sz w:val="16"/>
          <w:szCs w:val="16"/>
        </w:rPr>
        <w:softHyphen/>
        <w:t>данским пришлось подождать (24952).</w:t>
      </w:r>
    </w:p>
    <w:p w14:paraId="33E6E336" w14:textId="77777777" w:rsidR="00481316" w:rsidRPr="00142305" w:rsidRDefault="00481316" w:rsidP="00481316">
      <w:pPr>
        <w:spacing w:after="0" w:line="240" w:lineRule="auto"/>
        <w:jc w:val="both"/>
        <w:rPr>
          <w:rFonts w:ascii="Times New Roman" w:hAnsi="Times New Roman"/>
          <w:color w:val="0070C0"/>
          <w:sz w:val="16"/>
          <w:szCs w:val="16"/>
        </w:rPr>
      </w:pPr>
    </w:p>
    <w:p w14:paraId="4348E6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итальянская фирма Макки предложила свои лл MC.17, но интереса не вызвала и машины не заказывались (2446,41).</w:t>
      </w:r>
    </w:p>
    <w:p w14:paraId="5EB39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62783B0"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ноябре 1932 в печати появилось обращение ре</w:t>
      </w:r>
      <w:r w:rsidRPr="00E93F40">
        <w:rPr>
          <w:rFonts w:ascii="Times New Roman" w:hAnsi="Times New Roman"/>
          <w:color w:val="000000" w:themeColor="text1"/>
          <w:sz w:val="16"/>
          <w:szCs w:val="16"/>
          <w:lang w:eastAsia="ru-RU" w:bidi="ru-RU"/>
        </w:rPr>
        <w:softHyphen/>
        <w:t>дакции «Огонька». Вот его текст, опубли</w:t>
      </w:r>
      <w:r w:rsidRPr="00E93F40">
        <w:rPr>
          <w:rFonts w:ascii="Times New Roman" w:hAnsi="Times New Roman"/>
          <w:color w:val="000000" w:themeColor="text1"/>
          <w:sz w:val="16"/>
          <w:szCs w:val="16"/>
          <w:lang w:eastAsia="ru-RU" w:bidi="ru-RU"/>
        </w:rPr>
        <w:softHyphen/>
        <w:t>кованный журналом «Самолет» в №№ 10-11 за 1932 г.: «В ознаменование юбилея пролетарско</w:t>
      </w:r>
      <w:r w:rsidRPr="00E93F40">
        <w:rPr>
          <w:rFonts w:ascii="Times New Roman" w:hAnsi="Times New Roman"/>
          <w:color w:val="000000" w:themeColor="text1"/>
          <w:sz w:val="16"/>
          <w:szCs w:val="16"/>
          <w:lang w:eastAsia="ru-RU" w:bidi="ru-RU"/>
        </w:rPr>
        <w:softHyphen/>
        <w:t>го писателя М. Горького, по инициативе ре</w:t>
      </w:r>
      <w:r w:rsidRPr="00E93F40">
        <w:rPr>
          <w:rFonts w:ascii="Times New Roman" w:hAnsi="Times New Roman"/>
          <w:color w:val="000000" w:themeColor="text1"/>
          <w:sz w:val="16"/>
          <w:szCs w:val="16"/>
          <w:lang w:eastAsia="ru-RU" w:bidi="ru-RU"/>
        </w:rPr>
        <w:softHyphen/>
        <w:t>дакции журнала «Огонек», открыт сбор средств на постройку большого многомо</w:t>
      </w:r>
      <w:r w:rsidRPr="00E93F40">
        <w:rPr>
          <w:rFonts w:ascii="Times New Roman" w:hAnsi="Times New Roman"/>
          <w:color w:val="000000" w:themeColor="text1"/>
          <w:sz w:val="16"/>
          <w:szCs w:val="16"/>
          <w:lang w:eastAsia="ru-RU" w:bidi="ru-RU"/>
        </w:rPr>
        <w:softHyphen/>
        <w:t>торного агитационного самолета-гиганта «Максим Горький» (21240).</w:t>
      </w:r>
    </w:p>
    <w:p w14:paraId="04F3C2C5" w14:textId="77777777" w:rsidR="00C43A0E" w:rsidRPr="00E93F40" w:rsidRDefault="00C43A0E" w:rsidP="00E93F40">
      <w:pPr>
        <w:spacing w:after="0" w:line="240" w:lineRule="auto"/>
        <w:jc w:val="both"/>
        <w:rPr>
          <w:rFonts w:ascii="Times New Roman" w:hAnsi="Times New Roman"/>
          <w:color w:val="000000" w:themeColor="text1"/>
          <w:sz w:val="16"/>
          <w:szCs w:val="16"/>
        </w:rPr>
      </w:pPr>
    </w:p>
    <w:p w14:paraId="2BAA235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завод 43 выпустил головной серийный автожир А-4. 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 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 (3849,13).</w:t>
      </w:r>
    </w:p>
    <w:p w14:paraId="391B109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E58ED23"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старший инженер ЦАГИ А.М.Черёмухин Назвал идею Камова по поводу танка-вертолета «очень смелой, но не невозможной», Черёмухин, однако, отметил, что проект содержит много технических новинок и вызывает к жизни вопросы, «ответа на которые на данный момент в полной мере дать нельзя». Так, в числе новых и трудных аэродинамических мест он выделил: 1) управление всем аппаратом при помощи шаровой головки ротора – «по идее схема мыслима, но полная картина её работы не ясна с точки зрения устойчивости»; 2) «Вопрос о взлёте аппарата при помощи управления ротором (без горизонтального оперения) требует специальной проработки, просчётов и опытов, так же как и посадка». Итак, резюмировал он, идея «принципиально осуществимая, но связанная с целым рядом новых элементов, работа которых требует как теоретического, так и опытного освещения».</w:t>
      </w:r>
    </w:p>
    <w:p w14:paraId="148E47F6"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Известно, что начальник Управления моторизации и механизации РККА И.А.Халепский ставил перед начальником ВВС Алкснисом вопрос о необходимости организации работ по предложению Камова при ЦАГИ. Слабым местом проекта было то, что главный элемент машины – сам танк – нужно было проектировать «с нуля». Для этого требовалось создать отдельный коллектив специалистов. Могли, как отмечено выше, возникнуть проблемы и в связи с применением новой неопробованной втулки несущего винта. Для её испытания и доводки Камов намеревался сначала построить небольшой автожир. В итоге, как отмечал В.Р.Котельников, задачу сочли чрезмерно сложной, и проект остался нереализованным (19165).</w:t>
      </w:r>
    </w:p>
    <w:p w14:paraId="316B5F97" w14:textId="77777777" w:rsidR="002630B3" w:rsidRPr="00E93F40" w:rsidRDefault="002630B3" w:rsidP="00E93F40">
      <w:pPr>
        <w:spacing w:after="0" w:line="240" w:lineRule="auto"/>
        <w:jc w:val="both"/>
        <w:rPr>
          <w:rFonts w:ascii="Times New Roman" w:hAnsi="Times New Roman"/>
          <w:color w:val="000000" w:themeColor="text1"/>
          <w:sz w:val="16"/>
          <w:szCs w:val="16"/>
        </w:rPr>
      </w:pPr>
    </w:p>
    <w:p w14:paraId="7F3EF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ноября 1932 в производство была защена измененная конструкция цилиндров и других деталей М-38Н: Мощность – 600 л.с., Вес – 400 кг, Срок госиспытаний – август 1932 года, ЦИАМ. 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Был закончен производством к 1 мая 1932 года, в течение всего остального времени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 Суммарно мотор проработал около 200 часов, из них режимных около 80 часов. С другой стороны испытания показали, что в отношении развиваемой мощности, надежности работы отдельных деталей (кривошипно-шатунный механизм, картер и пр.) требуются доработки (3530,70-86).</w:t>
      </w:r>
    </w:p>
    <w:p w14:paraId="2DD6D0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F671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было закончено производство мотора М-32РН: Мощность – 600 л.с., 16 цилиндровый, Вес – 400 кг, Срок госиспытаний – ноябрь 1932 года. ЦИАМ. Этот мотор предназначается для быстроходных самолетов и для некоторых категорий разведывательных машин. Задержка произошла в силу большого литейного брака. На заводских испытаниях обнаружен ряд дефектов: недостаточная жесткость водяной рубашки (при затяжке болтов деформируется и пропускает воду), трещины и выдавливание баббита на всех вкладышах шатунных и коренных подшипников. Мотор не держит полного газа. Все неполадки устранены. Поставлены усиленные блоки и мотор продолжает испытываться. Мотор проработал вполне удовлетворительно 50 часов и дал мощность 606 л.с. (3530,70-86).</w:t>
      </w:r>
    </w:p>
    <w:p w14:paraId="1D5B2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4217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ноября 1932 года по февраль 1933 года было проведено ряд испытаний М-17, из которых наиболее длительными (200 часов) являются:</w:t>
      </w:r>
    </w:p>
    <w:p w14:paraId="1E80584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Испытание, проведенное в ЦИАМе, показавшее вполне удовлетворительные результаты с точки зрения состояния деталей и надежности работы.</w:t>
      </w:r>
    </w:p>
    <w:p w14:paraId="3CC6FBA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Испытание проведенное под руководством ЦИАМа на заводе № 26, показавшее совершенно неудовлетворительные результаты. Мотор проработал 195 часов, после чего произошла авария из-за обрыва цилиндра.</w:t>
      </w:r>
    </w:p>
    <w:p w14:paraId="38B0E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Ряд крайне существенных дефектов: обрыв 4-х цилиндров, сильное выкрашивание цементационного слоя шатунных шеек коленчатого вала, большой износ боковой поверхности роликовых обойм гл. шатунов и др., выявленных на последнем испытании, а также совершенно неудовлетворительное состояние производства на заводе № 26, не позволяют считать вопрос о доведении срока службы этого мотора до 200 часов между переборками (3530,107).</w:t>
      </w:r>
    </w:p>
    <w:p w14:paraId="765D1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310D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сдачей первой серии М-35 750 нр закончилась работа по внедрению данного мотора в производство (2281,67).</w:t>
      </w:r>
    </w:p>
    <w:p w14:paraId="0DE5E9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ABDB6F"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ноябре 1932 г. изготовили редукторный вариант мотора М-34Р. При прежней мощности его масса выросла до 677 кг. Государ</w:t>
      </w:r>
      <w:r w:rsidRPr="00142305">
        <w:rPr>
          <w:rStyle w:val="aff"/>
          <w:rFonts w:ascii="Times New Roman" w:hAnsi="Times New Roman" w:cs="Times New Roman"/>
          <w:color w:val="0070C0"/>
          <w:spacing w:val="0"/>
          <w:sz w:val="16"/>
          <w:szCs w:val="16"/>
        </w:rPr>
        <w:softHyphen/>
        <w:t>ственные испытания М-34Р успешно провели в марте – мае 1933 г., серийный выпуск начали с конца того же года, причем уже в следующем году удалось довести ресурс мотора до 500 ч. Мотор М-34Р в больших количествах выпускался до конца 1939 г. (25145).</w:t>
      </w:r>
    </w:p>
    <w:p w14:paraId="750E2EAD" w14:textId="77777777" w:rsidR="00481316" w:rsidRPr="00142305" w:rsidRDefault="00481316" w:rsidP="00481316">
      <w:pPr>
        <w:spacing w:after="0" w:line="240" w:lineRule="auto"/>
        <w:jc w:val="both"/>
        <w:rPr>
          <w:rFonts w:ascii="Times New Roman" w:hAnsi="Times New Roman"/>
          <w:color w:val="0070C0"/>
          <w:sz w:val="16"/>
          <w:szCs w:val="16"/>
        </w:rPr>
      </w:pPr>
    </w:p>
    <w:p w14:paraId="483158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пару опытных двигателей ГМ-34 установили на торпед</w:t>
      </w:r>
      <w:r w:rsidRPr="00E93F40">
        <w:rPr>
          <w:rFonts w:ascii="Times New Roman" w:hAnsi="Times New Roman"/>
          <w:color w:val="000000" w:themeColor="text1"/>
          <w:sz w:val="16"/>
          <w:szCs w:val="16"/>
        </w:rPr>
        <w:softHyphen/>
        <w:t>ный катер. ГМ-34, двигатель для торпедных катеров с реверс-редуктором, муф</w:t>
      </w:r>
      <w:r w:rsidRPr="00E93F40">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 Государственные испытания на нем завершились в августе 1934 г. С того же года мотор выпускался серийно, 750/800 л.с., вес 864 кг (с реверс-муфтой и коллекторами 1000 кг) (11852).</w:t>
      </w:r>
    </w:p>
    <w:p w14:paraId="281809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08C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были готовы рабочие чертежи дизельного двигателя, спроектированный Ленинградским дизельным институтом под руководством проф. Мартенса (4223).</w:t>
      </w:r>
    </w:p>
    <w:p w14:paraId="0A956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A976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были закончены и сданы в производство рабочие чертежи дизельного двигателя Н-1, спроектированного в Центральном институте авиамоторостроения (ЦИАМе) под руководством инженера Чаромского (4223).</w:t>
      </w:r>
    </w:p>
    <w:p w14:paraId="43278D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605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был изготовлен первый ГМ-34 для глиссеров (2281,66).</w:t>
      </w:r>
    </w:p>
    <w:p w14:paraId="0E52C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5C3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на ЧМ закончились дополнительные испытания торпеды АВ-15, которые шли с сентября 1932. Бросали с ТБ-1 с 2000-4000 на трех парашютах (1085,126).</w:t>
      </w:r>
    </w:p>
    <w:p w14:paraId="24FB6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0EBF5A" w14:textId="77777777" w:rsidR="006A7BBD" w:rsidRPr="00E93F40" w:rsidRDefault="006A7BB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ноябре 1932 на Балтике успешно закончили испытания авиаторпеды ВВС-15, снабженной электроподогревателем. 9.07.1933 эту торпеду тоже приняли на вооружение как ТАВ-15 (23464).</w:t>
      </w:r>
    </w:p>
    <w:p w14:paraId="0DCFD26A" w14:textId="77777777" w:rsidR="006A7BBD" w:rsidRPr="00E93F40" w:rsidRDefault="006A7BBD" w:rsidP="00E93F40">
      <w:pPr>
        <w:spacing w:after="0" w:line="240" w:lineRule="auto"/>
        <w:jc w:val="both"/>
        <w:rPr>
          <w:rFonts w:ascii="Times New Roman" w:hAnsi="Times New Roman"/>
          <w:color w:val="000000" w:themeColor="text1"/>
          <w:sz w:val="16"/>
          <w:szCs w:val="16"/>
        </w:rPr>
      </w:pPr>
    </w:p>
    <w:p w14:paraId="37D45AAF"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1932 г. авиаторы ВВС КБФ успешно закончили второй этап испытаний высотной торпеды ВВС-15. В постановлении Реввоенсовета СССР «О минно-торпедном вооружении ВВС РККА» от 9 июля 1933 г. отмечалось: «...на основании данных разведки, конструктивные достижения в использовании торпе- дометания мы имеем более значительные, чем за границей (торпедометание и постановка «Вомиз» с больших высот).</w:t>
      </w:r>
    </w:p>
    <w:p w14:paraId="68A7B2E7"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...РВС СССР постановляет: придать самый быстрый темп практическому внедрению низкого и высотного торпедо-минометания в военно-морском и воздушном флоте, для чего:</w:t>
      </w:r>
    </w:p>
    <w:p w14:paraId="04874521"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I. Принять на вооружение торпеды «ВВС-15» с присвоением им наименования «ТАВ-15» и мины</w:t>
      </w:r>
    </w:p>
    <w:p w14:paraId="5473A41B"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«Вомиза-100» с присвоением наименования «МАВ-1» как временные образцы до введения на воору</w:t>
      </w:r>
      <w:r w:rsidRPr="00142305">
        <w:rPr>
          <w:rFonts w:ascii="Times New Roman" w:hAnsi="Times New Roman"/>
          <w:color w:val="0070C0"/>
          <w:sz w:val="16"/>
          <w:szCs w:val="16"/>
        </w:rPr>
        <w:softHyphen/>
        <w:t>жение более современных видов торпедного оружия (торпеда 53 см и «Вомиза-250»).</w:t>
      </w:r>
    </w:p>
    <w:p w14:paraId="736B8496" w14:textId="77777777" w:rsidR="00481316" w:rsidRPr="00142305" w:rsidRDefault="00481316" w:rsidP="00481316">
      <w:pPr>
        <w:widowControl w:val="0"/>
        <w:tabs>
          <w:tab w:val="left" w:pos="632"/>
        </w:tabs>
        <w:spacing w:after="0" w:line="240" w:lineRule="auto"/>
        <w:jc w:val="both"/>
        <w:rPr>
          <w:rFonts w:ascii="Times New Roman" w:hAnsi="Times New Roman"/>
          <w:color w:val="0070C0"/>
          <w:sz w:val="16"/>
          <w:szCs w:val="16"/>
        </w:rPr>
      </w:pPr>
      <w:bookmarkStart w:id="51" w:name="bookmark195"/>
      <w:bookmarkEnd w:id="51"/>
      <w:r w:rsidRPr="00142305">
        <w:rPr>
          <w:rFonts w:ascii="Times New Roman" w:hAnsi="Times New Roman"/>
          <w:color w:val="0070C0"/>
          <w:sz w:val="16"/>
          <w:szCs w:val="16"/>
        </w:rPr>
        <w:t>П. Начальнику ВВС РККА:</w:t>
      </w:r>
    </w:p>
    <w:p w14:paraId="7ECA5417"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Немедленно выделить для специальной боевой подготовки по использованию минно</w:t>
      </w:r>
      <w:r w:rsidRPr="00142305">
        <w:rPr>
          <w:rFonts w:ascii="Times New Roman" w:hAnsi="Times New Roman"/>
          <w:color w:val="0070C0"/>
          <w:sz w:val="16"/>
          <w:szCs w:val="16"/>
        </w:rPr>
        <w:softHyphen/>
        <w:t>торпедного оружия следующие части: на морских силах Балтморя — 121 тяжелую эскадрилью — 12 самолетов ТБ-1а, на морских силах Дальнего Востока — 1 тяжелую эскадрилью — 12 самолетов ТБ-1, на морских силах Черного моря, как первый этап, выделить из состава 124 эскадрильи особый отряд в 4 самолета, перевооружив его самолетами ТБ-1а...</w:t>
      </w:r>
    </w:p>
    <w:p w14:paraId="3309023F"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Поставить перед промышленностью задачу приспособить Р-5 к высотному и низкому торпедо- минометанию для действия у своих берегов...</w:t>
      </w:r>
    </w:p>
    <w:p w14:paraId="7BA80985" w14:textId="77777777" w:rsidR="00481316" w:rsidRPr="00142305" w:rsidRDefault="00481316" w:rsidP="00481316">
      <w:pPr>
        <w:widowControl w:val="0"/>
        <w:tabs>
          <w:tab w:val="left" w:pos="678"/>
        </w:tabs>
        <w:spacing w:after="0" w:line="240" w:lineRule="auto"/>
        <w:jc w:val="both"/>
        <w:rPr>
          <w:rFonts w:ascii="Times New Roman" w:hAnsi="Times New Roman"/>
          <w:color w:val="0070C0"/>
          <w:sz w:val="16"/>
          <w:szCs w:val="16"/>
        </w:rPr>
      </w:pPr>
      <w:bookmarkStart w:id="52" w:name="bookmark196"/>
      <w:bookmarkEnd w:id="52"/>
      <w:r w:rsidRPr="00142305">
        <w:rPr>
          <w:rFonts w:ascii="Times New Roman" w:hAnsi="Times New Roman"/>
          <w:color w:val="0070C0"/>
          <w:sz w:val="16"/>
          <w:szCs w:val="16"/>
        </w:rPr>
        <w:t>Ш. Отметить исключительные заслуги Остехбюро и в особенности т. Бекаури по разработке ВВС-15 и «Вомиза-100». Тов. Тухачевскому, Алкснису, Орлову совместно с т. Павлуновским, в соответствии с постановлением КО от 27 апреля 1933 г. установить и представить на утверждение председателя РВСС размеры премирования т. Бекаури и его сотрудников, принимавших непосредственное участие в разра</w:t>
      </w:r>
      <w:r w:rsidRPr="00142305">
        <w:rPr>
          <w:rFonts w:ascii="Times New Roman" w:hAnsi="Times New Roman"/>
          <w:color w:val="0070C0"/>
          <w:sz w:val="16"/>
          <w:szCs w:val="16"/>
        </w:rPr>
        <w:softHyphen/>
        <w:t>ботке ТАВ-15 и МАВ-1.» (25937).</w:t>
      </w:r>
    </w:p>
    <w:p w14:paraId="78821CF6" w14:textId="77777777" w:rsidR="00481316" w:rsidRPr="00142305" w:rsidRDefault="00481316" w:rsidP="00481316">
      <w:pPr>
        <w:spacing w:after="0" w:line="240" w:lineRule="auto"/>
        <w:jc w:val="both"/>
        <w:rPr>
          <w:rFonts w:ascii="Times New Roman" w:hAnsi="Times New Roman"/>
          <w:color w:val="0070C0"/>
          <w:sz w:val="16"/>
          <w:szCs w:val="16"/>
        </w:rPr>
      </w:pPr>
    </w:p>
    <w:p w14:paraId="5AF1D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были начаты полигонные испытания "ВОМИЗА-250" (Воздушная мина заграждения с 250 кг зарядом взрывчатого вещества), которые были прекращены из-за неудовлетворительного действия механизмов отдачи мины от якоря, вторичные испытания (после значительной заводской переделки и заводских испытаний) начаты 4 июля и окончены 1 сентября 1933 года (3053).</w:t>
      </w:r>
    </w:p>
    <w:p w14:paraId="0B8702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производились в Финском заливе с сухопутного аэродрома (Комендантского)"ВОМИЗА-250" самолетами ТБ-1 и ТБ-3.</w:t>
      </w:r>
    </w:p>
    <w:p w14:paraId="55720E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С.М.Егер поступил на работу в ЦАГИ техником-конструктором в 6 бригаду КОСОС, нач. которой был В.А.Чижевский. В 1933 был переведен в ЦКБ-39. С 1934 работал в бригаде непосредственно под руководством С.В.И. и вскоре, еще учась в МАИ, стал у С.В.И. нач. группы общих видов (1835,2).</w:t>
      </w:r>
    </w:p>
    <w:p w14:paraId="13AC2C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35C0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ЦК ВКП(б) и СТО приняли решение реконструировать «Сибкомбайн» и поручить ему производство текстильных машин с одновременным выпуском 5 000 комбайнов в год. Предприятие получило новое наименование - «Сибтекстильмашстрой» (9684)</w:t>
      </w:r>
    </w:p>
    <w:p w14:paraId="5C1611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была организована и начата работа конструкторской группы по автопилотам на заводе № 214 (в то время завод «Метрон» - будущее ОКБ гл. конструктора Сорокина В.М.)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55A6B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w:t>
      </w:r>
    </w:p>
    <w:p w14:paraId="78A19A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Москва, ул. Образцова, д. 13, Дзержинский район</w:t>
      </w:r>
    </w:p>
    <w:p w14:paraId="6AA0F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Производственный профиль – опытный завод авиаприборов (9677).</w:t>
      </w:r>
    </w:p>
    <w:p w14:paraId="3B6D99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A917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пустили первую очередь завода № 19 им. Сталина. Сначала он работал, собирая из деталей завода № 29 моторы М-22, но в следующем году там начали осваивать производ</w:t>
      </w:r>
      <w:r w:rsidRPr="00E93F40">
        <w:rPr>
          <w:rFonts w:ascii="Times New Roman" w:hAnsi="Times New Roman"/>
          <w:color w:val="000000" w:themeColor="text1"/>
          <w:sz w:val="16"/>
          <w:szCs w:val="16"/>
        </w:rPr>
        <w:softHyphen/>
        <w:t>ство американских двигателей «Циклон». Это было вынужденной мерой. Планировали, что отпущенных правительством на лицензию денег хватит на оборудование нового завода в Горьком (ныне Нижний Новгород), но цены на оборудование оказались выше, чем предполагали, и пришлось перепрофилировать завод № 19 (11852).</w:t>
      </w:r>
    </w:p>
    <w:p w14:paraId="4FEFFE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21629" w14:textId="0125817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при заводе «Метрон»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Свердловск/ /620151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Екатеринбург ул. Горького, 17 тел. 51-90-94/) было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1648E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063D4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автопилотам: А-3 (шифр «80»), АПГ-1 для ДБ-3 и ТБ-7 (пнв в 1939-40 г.),</w:t>
      </w:r>
    </w:p>
    <w:p w14:paraId="786722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2795C7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38256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0F42BF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0EBCF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Руководитель/ гл. конструктор (1932-43 г.-)- В.М. Соркин (11982).</w:t>
      </w:r>
    </w:p>
    <w:p w14:paraId="02B9577D" w14:textId="77777777" w:rsidR="002630B3" w:rsidRPr="00E93F40" w:rsidRDefault="002630B3"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362D20AF"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Комиссия обороны СССР под председательством В.М. Молотова утверждает М.Н. Тухачевского председателем комиссии по созданию РНИИ (22685).</w:t>
      </w:r>
    </w:p>
    <w:p w14:paraId="7C4BB98E" w14:textId="77777777" w:rsidR="00C43A0E" w:rsidRPr="00E93F40" w:rsidRDefault="00C43A0E" w:rsidP="00E93F40">
      <w:pPr>
        <w:spacing w:after="0" w:line="240" w:lineRule="auto"/>
        <w:jc w:val="both"/>
        <w:rPr>
          <w:rFonts w:ascii="Times New Roman" w:hAnsi="Times New Roman"/>
          <w:color w:val="000000" w:themeColor="text1"/>
          <w:sz w:val="16"/>
          <w:szCs w:val="16"/>
        </w:rPr>
      </w:pPr>
    </w:p>
    <w:p w14:paraId="5B1E0ECE" w14:textId="77777777" w:rsidR="00A85543" w:rsidRPr="00E93F40" w:rsidRDefault="00A8554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организовалось Авиационное всесоюзное научное инженерно- техническое общество - АВИАВНИТО. Оно организовалось на основании становления ЦК ВКП/б/ от 19 ноября 1931 года об организации науч</w:t>
      </w:r>
      <w:r w:rsidRPr="00E93F40">
        <w:rPr>
          <w:rFonts w:ascii="Times New Roman" w:hAnsi="Times New Roman"/>
          <w:color w:val="000000" w:themeColor="text1"/>
          <w:sz w:val="16"/>
          <w:szCs w:val="16"/>
        </w:rPr>
        <w:softHyphen/>
        <w:t>ных и инженерно-технических обществ /НИТО/ в целях повышения квалификации своих членов, разработки научно-технических проблем, постановки и решения новых научно-исследовательских задач.</w:t>
      </w:r>
    </w:p>
    <w:p w14:paraId="2B2AE561" w14:textId="77777777" w:rsidR="00A85543" w:rsidRPr="00E93F40" w:rsidRDefault="00A8554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два первых года своей деятельности АВИАВНИТО организовало 90 ячеек, объединивших 6000 человек.</w:t>
      </w:r>
    </w:p>
    <w:p w14:paraId="27AE8D56" w14:textId="77777777" w:rsidR="00A85543" w:rsidRPr="00E93F40" w:rsidRDefault="00A8554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Деятельность общества состояла н пропаганде авиационных знаний, организации конкурсов на безопасный самолет и маломощный мотор и в проведении ряда других</w:t>
      </w:r>
    </w:p>
    <w:p w14:paraId="6E70E093" w14:textId="77777777" w:rsidR="00A85543" w:rsidRPr="00E93F40" w:rsidRDefault="00A8554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мероприятий. АВИАВНИТО существовало до Великой Отечественной войны.</w:t>
      </w:r>
    </w:p>
    <w:p w14:paraId="7B645A6A" w14:textId="77777777" w:rsidR="00A85543" w:rsidRPr="00E93F40" w:rsidRDefault="00A8554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1934 № 11/ (23370).</w:t>
      </w:r>
    </w:p>
    <w:p w14:paraId="53ED8DD1" w14:textId="77777777" w:rsidR="00A85543" w:rsidRPr="00E93F40" w:rsidRDefault="00A85543" w:rsidP="00E93F40">
      <w:pPr>
        <w:spacing w:after="0" w:line="240" w:lineRule="auto"/>
        <w:jc w:val="both"/>
        <w:rPr>
          <w:rFonts w:ascii="Times New Roman" w:hAnsi="Times New Roman"/>
          <w:color w:val="000000" w:themeColor="text1"/>
          <w:sz w:val="16"/>
          <w:szCs w:val="16"/>
        </w:rPr>
      </w:pPr>
    </w:p>
    <w:p w14:paraId="4EBF16D0"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1932 г. «старичок» ЮГ-1 № 906, зарегистрированный как Л990, с лета 1934 г. успешно эксплуатировался в Яку</w:t>
      </w:r>
      <w:r w:rsidRPr="00142305">
        <w:rPr>
          <w:rFonts w:ascii="Times New Roman" w:hAnsi="Times New Roman"/>
          <w:color w:val="0070C0"/>
          <w:sz w:val="16"/>
          <w:szCs w:val="16"/>
        </w:rPr>
        <w:softHyphen/>
        <w:t>тии. 19 августа пилот Гаранин открыл на нем регулярное воздушное сообщение между Якутском и Алданским прииском. А за день до этого, на празднике, пос</w:t>
      </w:r>
      <w:r w:rsidRPr="00142305">
        <w:rPr>
          <w:rFonts w:ascii="Times New Roman" w:hAnsi="Times New Roman"/>
          <w:color w:val="0070C0"/>
          <w:sz w:val="16"/>
          <w:szCs w:val="16"/>
        </w:rPr>
        <w:softHyphen/>
        <w:t>вященном Дню воздушного флота, на «юнкерсе» катали ударников. Взлет - по</w:t>
      </w:r>
      <w:r w:rsidRPr="00142305">
        <w:rPr>
          <w:rFonts w:ascii="Times New Roman" w:hAnsi="Times New Roman"/>
          <w:color w:val="0070C0"/>
          <w:sz w:val="16"/>
          <w:szCs w:val="16"/>
        </w:rPr>
        <w:softHyphen/>
        <w:t>садка, взлет - посадка - 150 человек (23940).</w:t>
      </w:r>
    </w:p>
    <w:p w14:paraId="13DAFB76" w14:textId="77777777" w:rsidR="00481316" w:rsidRPr="00142305" w:rsidRDefault="00481316" w:rsidP="00481316">
      <w:pPr>
        <w:spacing w:after="0" w:line="240" w:lineRule="auto"/>
        <w:jc w:val="both"/>
        <w:rPr>
          <w:rFonts w:ascii="Times New Roman" w:hAnsi="Times New Roman"/>
          <w:color w:val="0070C0"/>
          <w:sz w:val="16"/>
          <w:szCs w:val="16"/>
        </w:rPr>
      </w:pPr>
    </w:p>
    <w:p w14:paraId="1B5E132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3128B1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F2CB95"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1932 г. началось проектировании улучшенного ва</w:t>
      </w:r>
      <w:r w:rsidRPr="00142305">
        <w:rPr>
          <w:rFonts w:ascii="Times New Roman" w:hAnsi="Times New Roman"/>
          <w:color w:val="0070C0"/>
          <w:sz w:val="16"/>
          <w:szCs w:val="16"/>
        </w:rPr>
        <w:softHyphen/>
        <w:t>рианта тяжелого танка - Т-35-2. При этом основное внимание обращали на всемерное упрощение и уде</w:t>
      </w:r>
      <w:r w:rsidRPr="00142305">
        <w:rPr>
          <w:rFonts w:ascii="Times New Roman" w:hAnsi="Times New Roman"/>
          <w:color w:val="0070C0"/>
          <w:sz w:val="16"/>
          <w:szCs w:val="16"/>
        </w:rPr>
        <w:softHyphen/>
        <w:t>шевление образца.</w:t>
      </w:r>
    </w:p>
    <w:p w14:paraId="6C78E7A5"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новой машине отказались от использо</w:t>
      </w:r>
      <w:r w:rsidRPr="00142305">
        <w:rPr>
          <w:rFonts w:ascii="Times New Roman" w:hAnsi="Times New Roman"/>
          <w:color w:val="0070C0"/>
          <w:sz w:val="16"/>
          <w:szCs w:val="16"/>
        </w:rPr>
        <w:softHyphen/>
        <w:t>вания пневматической системы управления по типу ТГ, полусферическую штампован</w:t>
      </w:r>
      <w:r w:rsidRPr="00142305">
        <w:rPr>
          <w:rFonts w:ascii="Times New Roman" w:hAnsi="Times New Roman"/>
          <w:color w:val="0070C0"/>
          <w:sz w:val="16"/>
          <w:szCs w:val="16"/>
        </w:rPr>
        <w:softHyphen/>
        <w:t>ную башню заменили клепано-сварной ци</w:t>
      </w:r>
      <w:r w:rsidRPr="00142305">
        <w:rPr>
          <w:rFonts w:ascii="Times New Roman" w:hAnsi="Times New Roman"/>
          <w:color w:val="0070C0"/>
          <w:sz w:val="16"/>
          <w:szCs w:val="16"/>
        </w:rPr>
        <w:softHyphen/>
        <w:t>линдрической более приспособленной к се</w:t>
      </w:r>
      <w:r w:rsidRPr="00142305">
        <w:rPr>
          <w:rFonts w:ascii="Times New Roman" w:hAnsi="Times New Roman"/>
          <w:color w:val="0070C0"/>
          <w:sz w:val="16"/>
          <w:szCs w:val="16"/>
        </w:rPr>
        <w:softHyphen/>
        <w:t>рийному производству (25014).</w:t>
      </w:r>
    </w:p>
    <w:p w14:paraId="755BA0F2" w14:textId="77777777" w:rsidR="00481316" w:rsidRPr="00142305" w:rsidRDefault="00481316" w:rsidP="00481316">
      <w:pPr>
        <w:spacing w:after="0" w:line="240" w:lineRule="auto"/>
        <w:jc w:val="both"/>
        <w:rPr>
          <w:rFonts w:ascii="Times New Roman" w:hAnsi="Times New Roman"/>
          <w:color w:val="0070C0"/>
          <w:sz w:val="16"/>
          <w:szCs w:val="16"/>
        </w:rPr>
      </w:pPr>
    </w:p>
    <w:p w14:paraId="796F488C" w14:textId="66C72EEC"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ноябре 1932 г. СТО принял решение реконструировать «Сибкомбайн» (Комбинат № 179 НКОП, НКБ, п/я 155, завод «Сибкомбайн», «Сибтекстилыиашстрой», «Сибметаллстрой», завод «Сибсельмаш», ПО, ГУП «Машзавод ПО «Сибсельмаш» Росбоеприпаса, ОАО «Новосибирское ПО «Сибсельмаш» /630031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Новосибирск/) и поручить ему выпуск текстильных машин с одновременным выпуском 5000 комбайнов в год. Завод был переименован в «Сибтекстильмашстрой», а в 12.1933 г. - в «Сибметаллстрой». В 1932- 33</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введены в строй цеха: инструментальный, ремонтно-механический, деревообрабатывающий, литейный и транспортный.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В 1934-36 г. завод освоил выпуск запчастей к тракторам, автомобилям и текстильным машинам, оборудование для водного и железнодорожного транспорта, с 1937 г. начато освоение выпуска станков.</w:t>
      </w:r>
    </w:p>
    <w:p w14:paraId="3D3F16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НКОП № Обсс от 30.12.1936 г. «Сибметаллстрой» переименован в завод № 179. В 02-08.1937 г. - в ведении 4ГУ, по пр. № 0180 от 15.08.1937 г. передан в новое 13ГУ. В 02.1939 г. комбинат № 179 13ГУ НКОП передан в ведение 13ГУ НКБ.</w:t>
      </w:r>
      <w:r w:rsidRPr="00E93F40">
        <w:rPr>
          <w:rFonts w:ascii="Times New Roman" w:hAnsi="Times New Roman"/>
          <w:color w:val="000000" w:themeColor="text1"/>
          <w:sz w:val="16"/>
          <w:szCs w:val="16"/>
          <w:vertAlign w:val="superscript"/>
        </w:rPr>
        <w:t>132</w:t>
      </w:r>
    </w:p>
    <w:p w14:paraId="384E1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НКОП № 0025 от 4.02.1937 г. комбинату предписано к 1.01.1938 г. создать мощности по выпуску корпусов: 76-мм снарядов - 2,5 млн. шт. в год; взрывателей - 2,5 млн. шт.</w:t>
      </w:r>
    </w:p>
    <w:p w14:paraId="2776D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0222 от 28.09.1937 г. заводу была установлена программа по выпуску в 1938 г. 100 токарно- винторезных станков 161-А и спецмашин: для обжима оболочек ПЛ-25 - 100, для переобжима гильз - 40, для пробивки затравочных отверстий - 128, электроотжига - 12.</w:t>
      </w:r>
    </w:p>
    <w:p w14:paraId="1659C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00146 от 2.07.1937 г. требовалось к 1.01.1938 г.: закончить постройку: отделений холодной обработки и кузнечно-прессового корпуса «С» (снарядного); корпуса «В-1» (взрыватели); корпуса «П» (патронного); корпуса № 5 инструментального цеха; начать строительство гильзового и металлопрокатного цехов; на площадке № 2 начать строительство цехов первого производства с вводом мощностей по снаряжению 500 млн. патронов в 1 квартале 1938 г. «В связи с неудовлетворительными темпами работ» 13/20.01.1938 г. вышел приказ № Юс провести обследование строительства комбината.</w:t>
      </w:r>
    </w:p>
    <w:p w14:paraId="0CF237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комбината (1937 г.): корпус № 30 (термическое отделение и кузница), № 25 (ремонтно-механический цех); объекты: № 1- «С», 3- «П», 27- «В», 4- «Г», 2- литейный цех, 5- инструментальный, 30- кузнечно- термический, 21- лаборатория, 31- экспериментальный.</w:t>
      </w:r>
    </w:p>
    <w:p w14:paraId="433588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1 Юсс от 26.03.1938 г. комбинату выдано мобзадание по выпуску 12,7-мм патронов.</w:t>
      </w:r>
    </w:p>
    <w:p w14:paraId="77CE9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войной одновременно вводились в строй производства: № 1- снарядное (мощность- 11 млн. осколочно- фугасных снарядов 76-, 122- и 152-мм в год); № 2- взрывательное (16 млн. взрывателей типа ГВМЗ в год); № 3- патронное (1,5 млрд. 7,62-мм и 100 млн. 12,7-мм патронов в год); № 4а- второе снарядное (1939 г., полностью на оборудовании чешской фирмы "</w:t>
      </w:r>
      <w:r w:rsidRPr="00E93F40">
        <w:rPr>
          <w:rFonts w:ascii="Times New Roman" w:hAnsi="Times New Roman"/>
          <w:color w:val="000000" w:themeColor="text1"/>
          <w:sz w:val="16"/>
          <w:szCs w:val="16"/>
          <w:lang w:val="en-US"/>
        </w:rPr>
        <w:t>Skoda</w:t>
      </w:r>
      <w:r w:rsidRPr="00E93F40">
        <w:rPr>
          <w:rFonts w:ascii="Times New Roman" w:hAnsi="Times New Roman"/>
          <w:color w:val="000000" w:themeColor="text1"/>
          <w:sz w:val="16"/>
          <w:szCs w:val="16"/>
        </w:rPr>
        <w:t>", мощность- 2 млн. 122- и 152-мм снарядов в год); № 5- металлургическое (прокатное, заложено в 1939 г., мощностью 220 тыс. т биметаллической ленты в год). Кроме того, создавались производства: инструментальное, тарное, газогенераторное, компрессорное; ТЭЦ и др. объекты. Планировалось также создать собственные снаряжательное производство и испытательный полигон. Имел проектную мощность по выпуску 40-45% всей продукции НКБ, однако строительство шло тяжело, не хватало оборудования. 13.06.1940 г. Комитетом обороны принято решение о форсировании строительства комбината № 179 НКБ, по которому строительство должно быть закончено к 1.12.1941 г. Достроен комбинат в конце 1942 г. В 1940 г. начат выпуск снарядов, взрывателей и патронов. Пост. ГКО № 4779 от 15.12.1943 г. для работы на комбинате выделены военнослужащие, негодные к строевой службе.</w:t>
      </w:r>
    </w:p>
    <w:p w14:paraId="4B88F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началом войны сюда эвакуировано 15 предприятий НКБ, влитых в состав комбината: в т.ч. по Постановлению ГКО № 99сс от 11.07.1941 г. завод № 77; основная часть завода № 187 (производство 20-, 57-, 76- и 152-мм орудийных гильз, 20- и 23-мм корпусов снарядов, всего 1670 ед. оборудования, 2300 чел.), к 30.12.1941 г. прибыло 1136 ед., часть его смонтирована и введена в строй, к 30.01.1942 г. восстановлено производство мощностью: орудийные гильзы: 20-мм - 18 млн. шт. в год, 57-мм - 1 млн. шт., 76-мм - 2 млн. шт.; часть завода № 65 (производство 45-мм, 57-мм и 122-м снарядов, всего 1529 ед. оборудования, 1890 чел.), к 30.12.1941 г. основное количество оборудования прибыло, часть его смонтирована и введена в строй, к 30.01.1942 г. восстановлено производство корпусов: 45-мм - 840 тыс. шт. в год, 76-мм - 400 тыс. шт., 122-мм - 1 млн. шт., затем оборудование перепрофилировано на выпуск 120-мм мин и </w:t>
      </w:r>
      <w:r w:rsidRPr="00E93F40">
        <w:rPr>
          <w:rFonts w:ascii="Times New Roman" w:hAnsi="Times New Roman"/>
          <w:color w:val="000000" w:themeColor="text1"/>
          <w:sz w:val="16"/>
          <w:szCs w:val="16"/>
          <w:lang w:val="en-US"/>
        </w:rPr>
        <w:t>PC</w:t>
      </w:r>
      <w:r w:rsidRPr="00E93F40">
        <w:rPr>
          <w:rFonts w:ascii="Times New Roman" w:hAnsi="Times New Roman"/>
          <w:color w:val="000000" w:themeColor="text1"/>
          <w:sz w:val="16"/>
          <w:szCs w:val="16"/>
        </w:rPr>
        <w:t xml:space="preserve"> М-8; часть завода № 70 (производство 76-мм дистанционных гранат, 120 ед. оборудования), к 30.12.1941 г. прибыло лишь 14 ед. 22.09.1941 г. вышло постановление ГКО № 704 о комбинате № 179. Позже из состава комбината выделилось 5 самостоятельных заводов: № 188, № 556, № 677, металлургический № 702 на базе прокатного производства, вероятно, также завод № 325.</w:t>
      </w:r>
    </w:p>
    <w:p w14:paraId="5FBAE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12.1942-09.1944 г. - в ведении 4ГУ НКБ.</w:t>
      </w:r>
    </w:p>
    <w:p w14:paraId="1FA03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03.1942 г. заводу поручено разработать осколочную гранату для «двухфунтовой английской пушки» танка «Валентайн». 25.10.1944 г. вышло распоряжение ГКО № 6774 о мерах по изготовлению 200 тыс. корпусов 76-мм снарядов на комбинате в 4-м квартале 1944 г.</w:t>
      </w:r>
    </w:p>
    <w:p w14:paraId="607B1335" w14:textId="39ECBB3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 наименование «п/я 155». 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ведении Управления точного машиностроения Западно- Сибирского совнархоза.</w:t>
      </w:r>
    </w:p>
    <w:p w14:paraId="6C9CC4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552954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(1940 г.)- 5310 чел., (1942 г.)- 20.500 чел., (12.1942 г.)- 17690 чел.</w:t>
      </w:r>
      <w:r w:rsidRPr="00E93F40">
        <w:rPr>
          <w:rFonts w:ascii="Times New Roman" w:hAnsi="Times New Roman"/>
          <w:color w:val="000000" w:themeColor="text1"/>
          <w:sz w:val="16"/>
          <w:szCs w:val="16"/>
          <w:vertAlign w:val="superscript"/>
        </w:rPr>
        <w:t>132</w:t>
      </w:r>
    </w:p>
    <w:p w14:paraId="2DA37102" w14:textId="7E35A472"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(1930 г.-)- А.И. Морин, (-04-14.07.1937 г.)- А.В. Белов (снят), (15.07-10.1937 г.-&gt; А.В. Захаров, (1942- 43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Г.И. Ивановский (зам. НКБ), (-11.1943-46 г.)- г-м А.В. Саханицкий.</w:t>
      </w:r>
    </w:p>
    <w:p w14:paraId="723317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строительства (-06-07.1937 г.)- А.В. Белов, (16.08.1937 г.-)- А.В. Захаров. Зам. директора (- 28.02.1937 г.)- Б.А. Мощицкий, (06.1937 г.)- А.А. Калинин.</w:t>
      </w:r>
    </w:p>
    <w:p w14:paraId="2D1DE3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строительства (15.06.1938 г.-)- С.К. Полухин.</w:t>
      </w:r>
    </w:p>
    <w:p w14:paraId="6EB0CD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(-28.02.1937 г.)- Б .А. Мощицкий, (06.1937 г.)- А.А. Калинин, (15.06.1938 г.-)- С.К. Полухин.</w:t>
      </w:r>
    </w:p>
    <w:p w14:paraId="0FCB8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(09.1938 г.)- Роганов.</w:t>
      </w:r>
      <w:r w:rsidRPr="00E93F40">
        <w:rPr>
          <w:rFonts w:ascii="Times New Roman" w:hAnsi="Times New Roman"/>
          <w:color w:val="000000" w:themeColor="text1"/>
          <w:sz w:val="16"/>
          <w:szCs w:val="16"/>
          <w:vertAlign w:val="superscript"/>
        </w:rPr>
        <w:t>139</w:t>
      </w:r>
    </w:p>
    <w:p w14:paraId="0E6D5C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Производство: станки: токарно-винторезный 161-А (1937-); спецмашины </w:t>
      </w:r>
      <w:r w:rsidRPr="00E93F40">
        <w:rPr>
          <w:rFonts w:ascii="Times New Roman" w:hAnsi="Times New Roman"/>
          <w:color w:val="000000" w:themeColor="text1"/>
          <w:sz w:val="16"/>
          <w:szCs w:val="16"/>
          <w:lang w:val="en-US"/>
        </w:rPr>
        <w:t>IIJI</w:t>
      </w:r>
      <w:r w:rsidRPr="00E93F40">
        <w:rPr>
          <w:rFonts w:ascii="Times New Roman" w:hAnsi="Times New Roman"/>
          <w:color w:val="000000" w:themeColor="text1"/>
          <w:sz w:val="16"/>
          <w:szCs w:val="16"/>
        </w:rPr>
        <w:t xml:space="preserve">-25 (1937-), П-30, ЭО (1940-); снаряды: 76-мм (1940-44-) всего (ВОВ)- 125 млн., подкалиберные бронебойные 45-мм, 85-мм (1942-43-); мины; взрыватели: КТМ-1, ГВМЗ (1940-); ЗУР В-600П (С-125) (ВОВ); авиационная противолодочная ракета </w:t>
      </w:r>
      <w:r w:rsidRPr="00E93F40">
        <w:rPr>
          <w:rFonts w:ascii="Times New Roman" w:hAnsi="Times New Roman"/>
          <w:color w:val="000000" w:themeColor="text1"/>
          <w:sz w:val="16"/>
          <w:szCs w:val="16"/>
          <w:lang w:val="en-US"/>
        </w:rPr>
        <w:t>AIIP</w:t>
      </w:r>
      <w:r w:rsidRPr="00E93F40">
        <w:rPr>
          <w:rFonts w:ascii="Times New Roman" w:hAnsi="Times New Roman"/>
          <w:color w:val="000000" w:themeColor="text1"/>
          <w:sz w:val="16"/>
          <w:szCs w:val="16"/>
        </w:rPr>
        <w:t>-1 «Кондор» (-1974)- 263; задвижки, вентили, фланцы (2000-е).</w:t>
      </w:r>
    </w:p>
    <w:p w14:paraId="147C0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СКБ-179 МОП /г. Новосибирск/</w:t>
      </w:r>
    </w:p>
    <w:p w14:paraId="7472BF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бюро: (-1966 г.)- Е.К. Юровский (11982).</w:t>
      </w:r>
    </w:p>
    <w:p w14:paraId="711C75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E3782D" w14:textId="775CA70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решением СНК был создан НИСИ (НИИ-24 НКОП, НКБ, МСХМ, ММ, МОП, ГКОТ, Научно-исследовательский снарядный институт (НИСИ) НКТП, Научно-исследовательский машиностроительный институт (НИМИ) Росбоеприпаса, ГП, ФГУП «НИМИ» /125212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Москва Ленинградское ш., 58 тел. 452-11-72/) в ведении ГВМУ НКТП как специализированный головной НИИ по артвыстрелам, прежде всего, по подкалиберным снарядам. В первые два года выполнено 11 технологических работ по внедрению литья и штамповки в производство; 9 ОКР по созданию мало- и среднекалиберных снарядов и бомб. До 1934 г. состоял из небольшой исследовательской группы при заводе № 75. В 1934 г. в состав НИСИ включено ОКБ-7, в институте образован отдел «Станкокалибр» для проектирования спецстанков и приспособлений для модернизации снарядных заводов. На институт возложены задачи по отработке технологии производства корпусов снарядов, организации их серийного выпуска и подготовке гражданских заводов к их массовому Производству в условиях войны.</w:t>
      </w:r>
    </w:p>
    <w:p w14:paraId="10865A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Обсс от 30.12.1936 г. НИСИ переименован в НИИ-24 НКОП, в 1937 г. - в ведении 4ГУ. Приказом № 177 от 13.05.1937 г. утверждено Положение об институте, в 02.1938 г. институт - в ведении ИГУ. В 02.1939 г. НИИ № 24 11ГУ НКОП передан в ведение ИГУ НКБ, в 06.1939 г. - в ведении 4ГУ НКБ.</w:t>
      </w:r>
      <w:r w:rsidRPr="00E93F40">
        <w:rPr>
          <w:rFonts w:ascii="Times New Roman" w:hAnsi="Times New Roman"/>
          <w:color w:val="000000" w:themeColor="text1"/>
          <w:sz w:val="16"/>
          <w:szCs w:val="16"/>
          <w:vertAlign w:val="superscript"/>
        </w:rPr>
        <w:t>132</w:t>
      </w:r>
    </w:p>
    <w:p w14:paraId="0D3D2A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распоряжением правительства № 009 от 2.01.1937 г. и пр. № 00100 от 8.05.1937 г. на институт возложена разработка новых усовершенствованных конструкций снарядов, создание новых образцов артиллерийского оружия; проведение НИР по сухопутным и морским снарядам и по бронебойным авиабомбам. Для этого завод № 75 переведен на территорию института и включен в его состав в качестве опытного производства (предписывалась организация цехов: механического, ремонтного, инструментального, термического, прессового и опытно-литейного); также в состав института влито СКБ-28 (по балансу на 1.01.1937 г.), на базе которого организован Ленинградский филиал НИИ (в 1943 г. филиал объединен с институтом). Этим же приказом институт был отнесен к предприятиям 1-й группы; предполагалось полностью завершить его строительство в 1938 г.</w:t>
      </w:r>
    </w:p>
    <w:p w14:paraId="7E9E5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распоряжению № 6/07с от 16.01.1937 г. в составе НИИ-24 организовано бюро литых снарядов (БЛС).</w:t>
      </w:r>
    </w:p>
    <w:p w14:paraId="1B3787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правительства № 87сс от 13/15.08.1937 г. и пр. НКОП/НКМ № 00282/47сс от 25.12.1937 г. Ленинградскому отделению института поручено проектирование боеприпасов для морских орудий калибра 356,152 и 100 мм.</w:t>
      </w:r>
    </w:p>
    <w:p w14:paraId="3C6864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1937 г. институт стал единственным в стране разработчиком артиллерийских боеприпасов для полевой, зенитной, танковой, морской, а до 1943 г. - и авиационной артиллерии. Пр. № 95с от 16.03.1938 г. институту поручено изготовить к 1.06.1938 г. партию в 300 шт. опытных 122-мм химических снарядов СОВ. В 1938-41 г. разработано более 300 комплектов документации для серийного производства боеприпасов.</w:t>
      </w:r>
    </w:p>
    <w:p w14:paraId="0BEFE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 г. действовала лаборатория магнитной дефектоскопии, разработаны «дефектоскопы Карпова». «В связи со средоточением снарядного производства в ведении ИГУ» в состав института по пр. № 0277 от 21.12.1937 г. из ЦКБ-22 передана лаборатория № 5 по центробежной отливке снарядов и штамповке чугуна. По пр. № 147сс от 4.05.1938 г. специалисты по авиабомбам института переведены в созданное ГСКБ-47.</w:t>
      </w:r>
    </w:p>
    <w:p w14:paraId="0D15C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12с от 11.01.1938 г. при институте создано Бюро взаимозаменяемости по боеприпасам (БВБ). По пр. № 64с от 2.03.1938 г. измерительная лаборатория института передана в ведение БВБ с возложением обязанностей обслуживания производственной базы НИИ-24 на БВБ; в помещениях института для БВБ выделены дополнительные площади. Этим же приказом в институте организована опытная мастерская для работ по заменителям быстрорежущей стали и повышению стойкости режущего и мерительного инструмента.</w:t>
      </w:r>
    </w:p>
    <w:p w14:paraId="167C46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составе института (06.1939 г.): КБ, БЛС (с литейной лабораторией), технологическое бюро; лаборатории: металлов (в ее составе лаборатории: металлографическая, химическая, механическая, фото; механическая мастерская), дефектоскопии; строился кузнечно-прессовый цех площадью 2923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На площадке института в 1939 г. временно размещался ГСПИ-4, занимая 525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38AEC5B0" w14:textId="1C0768DF"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Ленинградский филиал НИИ-24 4ГУ был эвакуирован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Челябинск на площадку завода № 78. Затем сам НИИ-24 из Москвы эвакуирован в Новосибирск, а на старой территории создан Московский филиал. В 12.1942-09.1944 г. НИИ-24 4ГУ НКБ действовал в Москве.</w:t>
      </w:r>
    </w:p>
    <w:p w14:paraId="23E2C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годы войны внедрен в серию процесс изготовления стальных, термически необработанных корпусов осколочно-фугасных снарядов калибров 76, 85, 122 и 152 мм. Работы по подкалиберным бронебойно- трассирующим снарядам осуществлялись группой под руководством И.С. Бурмистрова и В.Н. Константинова. С 1942 г. начаты первые в СССР работы по бронебойным кумулятивным снарядам, 1.04.1942 г. 45-мм подкалиберный снаряд принят на вооружение. 9.08.1944 г. вышло постановление ГКО № 6361 о мерах помощи спецлаборатории № 1 при институте.</w:t>
      </w:r>
    </w:p>
    <w:p w14:paraId="4F2DD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08.1945 г. в институт переведен один из создателей РСЗО «Катюша» А. Г. Костиков, здесь он возглавил КБ активно-реактивных снарядов.</w:t>
      </w:r>
    </w:p>
    <w:p w14:paraId="2DC141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ВОВ - работы по подкалиберным оперенным снарядам для гладкоствольных танковых пушек и противотанковых орудий (под руководством В.В. Яворского, переведенного из НИИ-2); в 1950-52 г. - работы по созданию дальнобойного 305-мм снаряда (расчетная дальность - 127 км); с 1952 г. - по подкалиберным оперенным снарядам для зенитной артиллерии. К 1957 г. реализована концепция гладкоствольной танковой пушки (Т-12) с боекомплектом из бронебойных оперенных подкалиберных (БОПС), кумулятивных (КС) и осколочно-фугасных снарядов (ОФС). Велись работы по созданию новых марок сталей и внедрению технологий на боеприпасных заводах. Создана уникальная лабораторная база с взрывными, стрелковыми, газодинамическими, прочностными стендами; имелись баллистические установки, аэродинамические трубы, пневмоустановки, имитирующие выстрел калибром до 240 мм; комплексы для металлургических испытаний. Имелась (1950-е) база по испытанию торпед на оз. Иссык-Куль, далее - в составе ГНПП «Регион».</w:t>
      </w:r>
    </w:p>
    <w:p w14:paraId="6A098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с завода № 58 в НИИ-24 переведено ГСКБ-30.</w:t>
      </w:r>
    </w:p>
    <w:p w14:paraId="0A41E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1955 г. НИИ определен головным по разработке артвыстрелов среднего и крупного калибра всех типов.</w:t>
      </w:r>
    </w:p>
    <w:p w14:paraId="1C42B8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1958 г. начата разработка БЧ к ракетам различного назначения.</w:t>
      </w:r>
    </w:p>
    <w:p w14:paraId="46BC4E7C" w14:textId="67571F4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второй половины 1950-х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велись исследования по созданию активно-реактивных снарядов с ПВРД на твердом высокометаллизированном топливе СН-1, на гидрореагирующем топливе.</w:t>
      </w:r>
    </w:p>
    <w:p w14:paraId="411BB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правительства в 1960 г. институт определен головной организацией по скоростным противолодочным ракетам. Сюда переданы работы НИИ-1 МОП по реактивной кавитирующей торпеде РКТ-45, тема получила название ВА-111 «Шквал». Было построено несколько экспериментальных модификаций ракеты (М-1, М-3 (1963 г.), М-ЗМ, М-4, М-4В1, М-4-1М, М-5). Пост. СМ СССР № 1111-463 от 13.10.1963(0) г. были скорректированы сроки готовности ракеты. Испытания на Иссык-Кульском полигоне - с 1964 г.</w:t>
      </w:r>
    </w:p>
    <w:p w14:paraId="5FA25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1966 г. НИИ-24 переименован в НИМИ. 14.05.1969 г. на базе подразделений НИМИ и ГСКБ-47 создан самостоятельный НИИ 111 М, туда передана тематика подводной ракето-торпеды и специалисты по ее разработке.</w:t>
      </w:r>
    </w:p>
    <w:p w14:paraId="72FF06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CBA2C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к 2005 г. создано более 1000 образцов боеприпасов.</w:t>
      </w:r>
    </w:p>
    <w:p w14:paraId="4D55D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Площади: общая (06.1939 г.)- 12665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полезная (06.1939 г.)- 10975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70736F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(20.04.1939 г.)- 129 чел., (12.1942 г.)- 609 чел.</w:t>
      </w:r>
      <w:r w:rsidRPr="00E93F40">
        <w:rPr>
          <w:rFonts w:ascii="Times New Roman" w:hAnsi="Times New Roman"/>
          <w:color w:val="000000" w:themeColor="text1"/>
          <w:sz w:val="16"/>
          <w:szCs w:val="16"/>
          <w:vertAlign w:val="superscript"/>
        </w:rPr>
        <w:t>132</w:t>
      </w:r>
    </w:p>
    <w:p w14:paraId="1781EE69" w14:textId="04E7BFA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(-07-16.08.1937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Г. Гобар, (9.12.1937-05.1938 г.-)- А.В. Бери(е)кашвили, (ВОВ)- Ф.М. Аверченко, (11.1943 г.)- Г1.Л. Холодный, (01.1955 г.-)- Д. Г. Дятлов. Гендиректор (2000 г.)- В.П. Киреев, (2007 г.)- С. Русаков.</w:t>
      </w:r>
    </w:p>
    <w:p w14:paraId="6EA3F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(01.1937 г.)- А.В. Берекашвили. Помощник директора по найму и увольнению (15.03- 13.11.1937 г.)- В.В. Полетаев.</w:t>
      </w:r>
    </w:p>
    <w:p w14:paraId="23EE7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(05.1938 г.)- Матюшкин.</w:t>
      </w:r>
    </w:p>
    <w:p w14:paraId="0D6F2E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(ВОВ)- А.Н. Ахназаров, (1960 г.)- М.С. Меркулов.</w:t>
      </w:r>
    </w:p>
    <w:p w14:paraId="7D44C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филиала: Московского (1941 г.-)- П. Г. Бураков; Ленинградского (1941 г.)- А.В. Берекашвили.</w:t>
      </w:r>
    </w:p>
    <w:p w14:paraId="5319B7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Московского филиала (1941 г.-)- Я.С. Чупров.</w:t>
      </w:r>
      <w:r w:rsidRPr="00E93F40">
        <w:rPr>
          <w:rFonts w:ascii="Times New Roman" w:hAnsi="Times New Roman"/>
          <w:color w:val="000000" w:themeColor="text1"/>
          <w:sz w:val="16"/>
          <w:szCs w:val="16"/>
          <w:vertAlign w:val="superscript"/>
        </w:rPr>
        <w:t>101</w:t>
      </w:r>
    </w:p>
    <w:p w14:paraId="1CA21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КБ активно-реактивных снарядов (1945 г.-)- г-м А. Г. Костиков.</w:t>
      </w:r>
    </w:p>
    <w:p w14:paraId="11853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конструкторы: (1960-е)- Ю.М. Лещинский (БЧ для ОТРК «Луна-М»).</w:t>
      </w:r>
    </w:p>
    <w:p w14:paraId="3DC66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лабораторий: магнитной дефектоскопии (1937 г.)- Карпов.</w:t>
      </w:r>
    </w:p>
    <w:p w14:paraId="7EABF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групп (11.1937 г.)- Ушаков.</w:t>
      </w:r>
    </w:p>
    <w:p w14:paraId="262F54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осколочная дистанционная граната для 85-мм зенитного орудия (1938); выстрелы: с подкалиберными снарядами для артиллерийских и танковых орудий: 45-мм БР-240П (пнв 1.04.1942 г.), 57-мм, 76- мм БР-350П, 85-мм БР-365П для Т-34, 122-мм, 152-мм (ВОВ), к танковым пушкам: 100-мм Т-12, 115-мм У-5ТС, 125-мм Д-81; ЗВБМ17, ЗВОФЗб, ЗВОФ72, ЗВБК16, 3</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013; к САУ «Гиацинт», «Пион», «Тюльпан» (1970-е), «Мета» (1980-е); для корабельных артустановок типа АК-176, АК-100, АК-130, АК-725, САУ «Берег»; БЧ для ракет: пороховая для «036», для ЗРК «Куб», «Оса», «Стрела», «Стрела-2, -3», ОТРК «Луна-М» (1961), «Точка», «Точка-У», «Ока» (1960-е-70-е); снаряд-постановщик радиопомех, инженерные, холостые и практические боеприпасы (11982).</w:t>
      </w:r>
    </w:p>
    <w:p w14:paraId="00CB7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801E5E" w14:textId="2DC7188E" w:rsidR="00E37962" w:rsidRPr="00E93F40" w:rsidRDefault="00E37962" w:rsidP="00E93F40">
      <w:pPr>
        <w:pStyle w:val="rtejustify"/>
        <w:spacing w:before="0" w:after="0"/>
        <w:rPr>
          <w:color w:val="000000" w:themeColor="text1"/>
          <w:sz w:val="16"/>
          <w:szCs w:val="16"/>
        </w:rPr>
      </w:pPr>
      <w:r w:rsidRPr="00E93F40">
        <w:rPr>
          <w:color w:val="000000" w:themeColor="text1"/>
          <w:sz w:val="16"/>
          <w:szCs w:val="16"/>
        </w:rPr>
        <w:t>В ноябре 1932</w:t>
      </w:r>
      <w:r w:rsidR="007C1411" w:rsidRPr="00E93F40">
        <w:rPr>
          <w:color w:val="000000" w:themeColor="text1"/>
          <w:sz w:val="16"/>
          <w:szCs w:val="16"/>
        </w:rPr>
        <w:t xml:space="preserve"> </w:t>
      </w:r>
      <w:r w:rsidRPr="00E93F40">
        <w:rPr>
          <w:color w:val="000000" w:themeColor="text1"/>
          <w:sz w:val="16"/>
          <w:szCs w:val="16"/>
        </w:rPr>
        <w:t>г. на базе завода №</w:t>
      </w:r>
      <w:r w:rsidR="007C1411" w:rsidRPr="00E93F40">
        <w:rPr>
          <w:color w:val="000000" w:themeColor="text1"/>
          <w:sz w:val="16"/>
          <w:szCs w:val="16"/>
        </w:rPr>
        <w:t xml:space="preserve"> </w:t>
      </w:r>
      <w:r w:rsidRPr="00E93F40">
        <w:rPr>
          <w:color w:val="000000" w:themeColor="text1"/>
          <w:sz w:val="16"/>
          <w:szCs w:val="16"/>
        </w:rPr>
        <w:t xml:space="preserve">75 был создан </w:t>
      </w:r>
      <w:r w:rsidRPr="00E93F40">
        <w:rPr>
          <w:rStyle w:val="af0"/>
          <w:bCs/>
          <w:i w:val="0"/>
          <w:color w:val="000000" w:themeColor="text1"/>
          <w:sz w:val="16"/>
          <w:szCs w:val="16"/>
        </w:rPr>
        <w:t>Научно-исследовательский снарядный институт (НИСИ)</w:t>
      </w:r>
      <w:r w:rsidRPr="00E93F40">
        <w:rPr>
          <w:color w:val="000000" w:themeColor="text1"/>
          <w:sz w:val="16"/>
          <w:szCs w:val="16"/>
        </w:rPr>
        <w:t xml:space="preserve"> и занимался разработкой и проектированием артиллерийских снарядов. Организация работы по созданию НИСИ была поручена М.</w:t>
      </w:r>
      <w:r w:rsidR="007C1411" w:rsidRPr="00E93F40">
        <w:rPr>
          <w:color w:val="000000" w:themeColor="text1"/>
          <w:sz w:val="16"/>
          <w:szCs w:val="16"/>
        </w:rPr>
        <w:t xml:space="preserve"> </w:t>
      </w:r>
      <w:r w:rsidRPr="00E93F40">
        <w:rPr>
          <w:color w:val="000000" w:themeColor="text1"/>
          <w:sz w:val="16"/>
          <w:szCs w:val="16"/>
        </w:rPr>
        <w:t>Е.</w:t>
      </w:r>
      <w:r w:rsidR="007C1411" w:rsidRPr="00E93F40">
        <w:rPr>
          <w:color w:val="000000" w:themeColor="text1"/>
          <w:sz w:val="16"/>
          <w:szCs w:val="16"/>
        </w:rPr>
        <w:t xml:space="preserve"> </w:t>
      </w:r>
      <w:r w:rsidRPr="00E93F40">
        <w:rPr>
          <w:color w:val="000000" w:themeColor="text1"/>
          <w:sz w:val="16"/>
          <w:szCs w:val="16"/>
        </w:rPr>
        <w:t>Максимову, который стал первым его директором. Перед вновь созданным институтом были поставлены задачи: в кратчайшие сроки разработать и снабдить новые и модернизированные артиллерийские системы современными боеприпасами. Предусматривалось, прежде всего, увеличение мощности снарядов за счет улучшения конструктивных характеристик, применения новых, более прочных материалов для корпусов, изменения технологии снаряжения взрывчатыми веществами, разработки новых прогрессивных технологий производства снарядов, применения новых менее дефицитных материалов. Были организованы следующие подразделения института: 1.</w:t>
      </w:r>
      <w:r w:rsidR="007C1411" w:rsidRPr="00E93F40">
        <w:rPr>
          <w:color w:val="000000" w:themeColor="text1"/>
          <w:sz w:val="16"/>
          <w:szCs w:val="16"/>
        </w:rPr>
        <w:t xml:space="preserve"> </w:t>
      </w:r>
      <w:r w:rsidRPr="00E93F40">
        <w:rPr>
          <w:color w:val="000000" w:themeColor="text1"/>
          <w:sz w:val="16"/>
          <w:szCs w:val="16"/>
        </w:rPr>
        <w:t>Специальное бюро для конструирования снарядов по заданным тактико-техническим требованиям и под контролем ГАУ</w:t>
      </w:r>
      <w:r w:rsidR="007C1411" w:rsidRPr="00E93F40">
        <w:rPr>
          <w:color w:val="000000" w:themeColor="text1"/>
          <w:sz w:val="16"/>
          <w:szCs w:val="16"/>
        </w:rPr>
        <w:t xml:space="preserve"> </w:t>
      </w:r>
      <w:r w:rsidRPr="00E93F40">
        <w:rPr>
          <w:color w:val="000000" w:themeColor="text1"/>
          <w:sz w:val="16"/>
          <w:szCs w:val="16"/>
        </w:rPr>
        <w:t>РККА. 2.</w:t>
      </w:r>
      <w:r w:rsidR="007C1411" w:rsidRPr="00E93F40">
        <w:rPr>
          <w:color w:val="000000" w:themeColor="text1"/>
          <w:sz w:val="16"/>
          <w:szCs w:val="16"/>
        </w:rPr>
        <w:t xml:space="preserve"> </w:t>
      </w:r>
      <w:r w:rsidRPr="00E93F40">
        <w:rPr>
          <w:color w:val="000000" w:themeColor="text1"/>
          <w:sz w:val="16"/>
          <w:szCs w:val="16"/>
        </w:rPr>
        <w:t>Технологическое бюро, основной задачей которого было совершенствование технологии изготовления штампованных и литых снарядов. 3.</w:t>
      </w:r>
      <w:r w:rsidR="007C1411" w:rsidRPr="00E93F40">
        <w:rPr>
          <w:color w:val="000000" w:themeColor="text1"/>
          <w:sz w:val="16"/>
          <w:szCs w:val="16"/>
        </w:rPr>
        <w:t xml:space="preserve"> </w:t>
      </w:r>
      <w:r w:rsidRPr="00E93F40">
        <w:rPr>
          <w:color w:val="000000" w:themeColor="text1"/>
          <w:sz w:val="16"/>
          <w:szCs w:val="16"/>
        </w:rPr>
        <w:t>Подразделение по обмену опытом между заводами, выпускающими снаряды. 4.</w:t>
      </w:r>
      <w:r w:rsidR="007C1411" w:rsidRPr="00E93F40">
        <w:rPr>
          <w:color w:val="000000" w:themeColor="text1"/>
          <w:sz w:val="16"/>
          <w:szCs w:val="16"/>
        </w:rPr>
        <w:t xml:space="preserve"> </w:t>
      </w:r>
      <w:r w:rsidRPr="00E93F40">
        <w:rPr>
          <w:color w:val="000000" w:themeColor="text1"/>
          <w:sz w:val="16"/>
          <w:szCs w:val="16"/>
        </w:rPr>
        <w:t>Бюро информации о достижениях науки и техники в области создания и производства боеприпасов в СССР и за рубежом. С 7 по 11</w:t>
      </w:r>
      <w:r w:rsidR="007C1411" w:rsidRPr="00E93F40">
        <w:rPr>
          <w:color w:val="000000" w:themeColor="text1"/>
          <w:sz w:val="16"/>
          <w:szCs w:val="16"/>
        </w:rPr>
        <w:t xml:space="preserve"> </w:t>
      </w:r>
      <w:r w:rsidRPr="00E93F40">
        <w:rPr>
          <w:color w:val="000000" w:themeColor="text1"/>
          <w:sz w:val="16"/>
          <w:szCs w:val="16"/>
        </w:rPr>
        <w:t>сентября 1933</w:t>
      </w:r>
      <w:r w:rsidR="007C1411" w:rsidRPr="00E93F40">
        <w:rPr>
          <w:color w:val="000000" w:themeColor="text1"/>
          <w:sz w:val="16"/>
          <w:szCs w:val="16"/>
        </w:rPr>
        <w:t xml:space="preserve"> </w:t>
      </w:r>
      <w:r w:rsidRPr="00E93F40">
        <w:rPr>
          <w:color w:val="000000" w:themeColor="text1"/>
          <w:sz w:val="16"/>
          <w:szCs w:val="16"/>
        </w:rPr>
        <w:t>г., НИСИ организовал и провел Всесоюзную снарядную конференцию, где особое внимание уделялось вопросам создания менее трудоемких, дешевых методов изготовления снарядов без ущерба для качества и эффективности разрабатываемых образцов. После включения в состав НИСИ в 1934</w:t>
      </w:r>
      <w:r w:rsidR="007C1411" w:rsidRPr="00E93F40">
        <w:rPr>
          <w:color w:val="000000" w:themeColor="text1"/>
          <w:sz w:val="16"/>
          <w:szCs w:val="16"/>
        </w:rPr>
        <w:t xml:space="preserve"> </w:t>
      </w:r>
      <w:r w:rsidRPr="00E93F40">
        <w:rPr>
          <w:color w:val="000000" w:themeColor="text1"/>
          <w:sz w:val="16"/>
          <w:szCs w:val="16"/>
        </w:rPr>
        <w:t>г. ОКБ</w:t>
      </w:r>
      <w:r w:rsidRPr="00E93F40">
        <w:rPr>
          <w:color w:val="000000" w:themeColor="text1"/>
          <w:sz w:val="16"/>
          <w:szCs w:val="16"/>
        </w:rPr>
        <w:noBreakHyphen/>
        <w:t>3 РККА (проектирование боеприпасов) и организации отдела «Станкокалибр» (производство оборудования, оснастки и специального инструмента для производства снарядов) была создана возможность комплексного решения вопросов создания и производства боеприпасов (15270).</w:t>
      </w:r>
    </w:p>
    <w:p w14:paraId="6319B7B7" w14:textId="77777777" w:rsidR="00E37962" w:rsidRPr="00E93F40" w:rsidRDefault="00E37962" w:rsidP="00E93F40">
      <w:pPr>
        <w:pStyle w:val="rtejustify"/>
        <w:spacing w:before="0" w:after="0"/>
        <w:rPr>
          <w:color w:val="000000" w:themeColor="text1"/>
          <w:sz w:val="16"/>
          <w:szCs w:val="16"/>
        </w:rPr>
      </w:pPr>
    </w:p>
    <w:p w14:paraId="6CA9D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на НИАПе была испытана первая пушка Б-1-П, которая была запущена в производство вместо 180/57-мм пушки Б-1-К с клиновым затвором, испытания которой в 1931 оказались неудачными. Первоначально все стволы Б-1-П изготавливались скрепленными, но в июне 1932 года для получения технической помощи в производстве лейнеров был заключен договор с итальянской фирмой "Ансальдо". Согласно договору "Ансальдо" изготовила и смонтировала на "Большевике" автофрежекторную установку для изготовления лейнеров калибра 76-203 мм (3861).</w:t>
      </w:r>
    </w:p>
    <w:p w14:paraId="4B767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2B8D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на базе завода № 75 был создан специализированный головной НИИ по артвыстрелам, прежде всего, по подкалиберным снарядам. В 1938 г. создана осколочная дистанционная граната для 85-мм зенитного орудия.</w:t>
      </w:r>
    </w:p>
    <w:p w14:paraId="70EFC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время ВОВ основные сотрудники (конструкторы): И.С. Бурмистров, В.Н. Константинов, П.И. Барабанщиков, Д.П. Беляков, И.П. Дзюба, Д.Г. Дятлов, Н.П. Заплаткин, В.В. Иерусалимский, Н.П. Козейкин, И.П. Кучеренко, В.Я. Матюшкин.</w:t>
      </w:r>
    </w:p>
    <w:p w14:paraId="3ACC41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1941 г. НИИ-24 был эвакуирован в г. Новосибирск, а на старой территории создан Московский филиал. Директор филиала- П.Г. Бураков, гл. инженер- Я.С. Чупров. Также существовал Ленинградский филиал, руководитель- А.В. Берекашвили или (?) В.И. Лисицкий.</w:t>
      </w:r>
    </w:p>
    <w:p w14:paraId="48E8F2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 время ВОВ институт возглавляли Ф.М. Аверченко, П.Л. Холодный, гл. конструктор- А.Н.Ахназаров. </w:t>
      </w:r>
    </w:p>
    <w:p w14:paraId="2B9BD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подкалиберным бронебойно-трассирующим снарядам осуществлялись группой под руководством И.С. Бурмистрова и В.Н. Константинова. Созданы бронебойные подкалиберные снаряды (в том числе 85-мм для Т-34, 122 и 152-мм снаряды). Работы по бронебойным кумулятивным снарядам (первые работы в СССР, 1942 г.).</w:t>
      </w:r>
    </w:p>
    <w:p w14:paraId="15D463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После ВОВ- работы по подкалиберным оперенным снарядам для гладкоствольных танковых пушек и противотанковых орудий (под руководством В.В. Яворского), подкалиберным оперенным снарядам для зенитной артиллерии. </w:t>
      </w:r>
    </w:p>
    <w:p w14:paraId="10029C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После войны с завода № 58 в НИИ-24 переведено ГСКБ-30. </w:t>
      </w:r>
    </w:p>
    <w:p w14:paraId="4F483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Далее работали: Фятинов, И.П. Дзюба (начало 1950-х). </w:t>
      </w:r>
    </w:p>
    <w:p w14:paraId="21BB9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5C9F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Создано: пороховая БЧ для ракеты "036"; выстрелы с подкалиберными снарядами для артиллерийских и танковых орудий: 3ВБМ17, 3ВОФ36, 3ВОФ72, 3ВБК16, 3ВО13, для корабельных артустановок типа АК-176, АК-100, АК-130, АК-725.</w:t>
      </w:r>
    </w:p>
    <w:p w14:paraId="1F250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НИИ-24 НКБ, МСХМ, ММ, МОП, ГКОТ, Научно-исследовательский машиностроительный институт (НИМИ) Росбоеприпаса, ГП «НИМИ»</w:t>
      </w:r>
    </w:p>
    <w:p w14:paraId="69822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Москва, Ленинградское ш., 58 (10776).</w:t>
      </w:r>
    </w:p>
    <w:p w14:paraId="41D0AA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1DC0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ЦК ВКП(б) и СТО приняли решение реконструировать «Сибкомбайн» и поручить ему производство текстильных машин с одновременным выпуском 5 000 комбайнов в год. Предприятие получило новое наименование — «Сибтекстильмашстрой», в декабре 1933 г. измененное на «Сибметаллстрой».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(11591).</w:t>
      </w:r>
    </w:p>
    <w:p w14:paraId="795F05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585803" w14:textId="00755852" w:rsidR="00F5308A" w:rsidRPr="00E93F40" w:rsidRDefault="00F530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ноябре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СТО, с учетом того, что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начале 1930-х гг.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стране было построено три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производству комбайнов общей мощностью 40–60 тыс. машин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а развернувшееся строительство текстильных фабрик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Сибири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Средней Азии требовало создания соответствующего машиностроения, приняли решение реконструировать «Сибкомбайн»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поручить ему производство текстильных машин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одновременным выпуском 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000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комбайнов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 Предприятие получило новое наименование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«Сибтекстильмашстрой»,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измененное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«Сибметаллстрой». 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этому времени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материально-технической базе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произошли заметные изменения: действовали инструментальный, ремонтно-механический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деревообрабатывающий цехи.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начали действовать литейный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транспортный цехи. 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«Сибметаллстрой» становится машиностроительным</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заводом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выпускающим оборудование для текстильной промышленности, автотракторные детали, станки, мелкие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средние двигатели (15733).</w:t>
      </w:r>
    </w:p>
    <w:p w14:paraId="5135521E" w14:textId="77777777" w:rsidR="00F5308A" w:rsidRPr="00E93F40" w:rsidRDefault="00F5308A" w:rsidP="00E93F40">
      <w:pPr>
        <w:spacing w:after="0" w:line="240" w:lineRule="auto"/>
        <w:jc w:val="both"/>
        <w:rPr>
          <w:rFonts w:ascii="Times New Roman" w:hAnsi="Times New Roman"/>
          <w:color w:val="000000" w:themeColor="text1"/>
          <w:sz w:val="16"/>
          <w:szCs w:val="16"/>
        </w:rPr>
      </w:pPr>
    </w:p>
    <w:p w14:paraId="059C1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на ХПХ провели закладку 5 корпусов БТ-5 и на Мариупольском заводе было заказано 25 башен - 20 из конструкционной стали и 5 из закаленной по 45-мм пушку. КБ по заданию УММ РККА приступило к разработке командирского танка. ХПЗ планировал перейти на серию с 1 января 1933, начиная с 601 машины (3880,4).</w:t>
      </w:r>
    </w:p>
    <w:p w14:paraId="50862E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4FE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в КБ завода ХПЗ велись конструктивные проработки командирского танка КБТ-7, но опытный образец был изготовлен только в 1937 (9527,209).</w:t>
      </w:r>
    </w:p>
    <w:p w14:paraId="43E4E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87AB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«Чертежное хозяйство» по танку Т-28 было передано на «Красный Путиловец», а в декабре на завод поступили кондукторы и шаблоны для участка механичес</w:t>
      </w:r>
      <w:r w:rsidRPr="00E93F40">
        <w:rPr>
          <w:rFonts w:ascii="Times New Roman" w:hAnsi="Times New Roman"/>
          <w:color w:val="000000" w:themeColor="text1"/>
          <w:sz w:val="16"/>
          <w:szCs w:val="16"/>
        </w:rPr>
        <w:softHyphen/>
        <w:t>кой обработки. Для выпуска Т-28 на «Красном Путиловце» был выделен один из самых больших цехов — МХ-2 («вто</w:t>
      </w:r>
      <w:r w:rsidRPr="00E93F40">
        <w:rPr>
          <w:rFonts w:ascii="Times New Roman" w:hAnsi="Times New Roman"/>
          <w:color w:val="000000" w:themeColor="text1"/>
          <w:sz w:val="16"/>
          <w:szCs w:val="16"/>
        </w:rPr>
        <w:softHyphen/>
        <w:t>рой механический»), называемый также «паровозным». Так как цех долгое время простоял без работы, практи</w:t>
      </w:r>
      <w:r w:rsidRPr="00E93F40">
        <w:rPr>
          <w:rFonts w:ascii="Times New Roman" w:hAnsi="Times New Roman"/>
          <w:color w:val="000000" w:themeColor="text1"/>
          <w:sz w:val="16"/>
          <w:szCs w:val="16"/>
        </w:rPr>
        <w:softHyphen/>
        <w:t>чески все оборудование в нем было заброшено или закон</w:t>
      </w:r>
      <w:r w:rsidRPr="00E93F40">
        <w:rPr>
          <w:rFonts w:ascii="Times New Roman" w:hAnsi="Times New Roman"/>
          <w:color w:val="000000" w:themeColor="text1"/>
          <w:sz w:val="16"/>
          <w:szCs w:val="16"/>
        </w:rPr>
        <w:softHyphen/>
        <w:t>сервировано. Но в основном это все были станки дорево</w:t>
      </w:r>
      <w:r w:rsidRPr="00E93F40">
        <w:rPr>
          <w:rFonts w:ascii="Times New Roman" w:hAnsi="Times New Roman"/>
          <w:color w:val="000000" w:themeColor="text1"/>
          <w:sz w:val="16"/>
          <w:szCs w:val="16"/>
        </w:rPr>
        <w:softHyphen/>
        <w:t>люционного выпуска и потому слабо пригодные без допол</w:t>
      </w:r>
      <w:r w:rsidRPr="00E93F40">
        <w:rPr>
          <w:rFonts w:ascii="Times New Roman" w:hAnsi="Times New Roman"/>
          <w:color w:val="000000" w:themeColor="text1"/>
          <w:sz w:val="16"/>
          <w:szCs w:val="16"/>
        </w:rPr>
        <w:softHyphen/>
        <w:t>нительного усовершенствования. Практически полностью отсутствовал мерительный инструмент и резцы. Поэтому для оснащения завода по личному распоряжению С. Киро</w:t>
      </w:r>
      <w:r w:rsidRPr="00E93F40">
        <w:rPr>
          <w:rFonts w:ascii="Times New Roman" w:hAnsi="Times New Roman"/>
          <w:color w:val="000000" w:themeColor="text1"/>
          <w:sz w:val="16"/>
          <w:szCs w:val="16"/>
        </w:rPr>
        <w:softHyphen/>
        <w:t>ва необходимое оборудование собирали со всех простаи</w:t>
      </w:r>
      <w:r w:rsidRPr="00E93F40">
        <w:rPr>
          <w:rFonts w:ascii="Times New Roman" w:hAnsi="Times New Roman"/>
          <w:color w:val="000000" w:themeColor="text1"/>
          <w:sz w:val="16"/>
          <w:szCs w:val="16"/>
        </w:rPr>
        <w:softHyphen/>
        <w:t>вавших предприятий Ленинграда. Кроме того, на завод бы</w:t>
      </w:r>
      <w:r w:rsidRPr="00E93F40">
        <w:rPr>
          <w:rFonts w:ascii="Times New Roman" w:hAnsi="Times New Roman"/>
          <w:color w:val="000000" w:themeColor="text1"/>
          <w:sz w:val="16"/>
          <w:szCs w:val="16"/>
        </w:rPr>
        <w:softHyphen/>
        <w:t>ли переведены несколько мастеров и опытных рабочих с судостроительных предприятий, которые не имели преж</w:t>
      </w:r>
      <w:r w:rsidRPr="00E93F40">
        <w:rPr>
          <w:rFonts w:ascii="Times New Roman" w:hAnsi="Times New Roman"/>
          <w:color w:val="000000" w:themeColor="text1"/>
          <w:sz w:val="16"/>
          <w:szCs w:val="16"/>
        </w:rPr>
        <w:softHyphen/>
        <w:t>ней загрузки (10733,240).</w:t>
      </w:r>
    </w:p>
    <w:p w14:paraId="75D23B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AEE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начались работы над улучшенным танком, получившим индекс Т-35-2. Тогда же первый из</w:t>
      </w:r>
      <w:r w:rsidRPr="00E93F40">
        <w:rPr>
          <w:rFonts w:ascii="Times New Roman" w:hAnsi="Times New Roman"/>
          <w:color w:val="000000" w:themeColor="text1"/>
          <w:sz w:val="16"/>
          <w:szCs w:val="16"/>
        </w:rPr>
        <w:softHyphen/>
        <w:t>готовленный образец был переименован в Т-35-1 и в де</w:t>
      </w:r>
      <w:r w:rsidRPr="00E93F40">
        <w:rPr>
          <w:rFonts w:ascii="Times New Roman" w:hAnsi="Times New Roman"/>
          <w:color w:val="000000" w:themeColor="text1"/>
          <w:sz w:val="16"/>
          <w:szCs w:val="16"/>
        </w:rPr>
        <w:softHyphen/>
        <w:t>кабре был передан в распоряжение ЛБТКУКС (Ленинградских бронетанковых курсов усовершенствования ко</w:t>
      </w:r>
      <w:r w:rsidRPr="00E93F40">
        <w:rPr>
          <w:rFonts w:ascii="Times New Roman" w:hAnsi="Times New Roman"/>
          <w:color w:val="000000" w:themeColor="text1"/>
          <w:sz w:val="16"/>
          <w:szCs w:val="16"/>
        </w:rPr>
        <w:softHyphen/>
        <w:t>мандного состава) (10733,262).</w:t>
      </w:r>
    </w:p>
    <w:p w14:paraId="78E79D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852F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в рекомендациях, полученных УММ за под</w:t>
      </w:r>
      <w:r w:rsidRPr="00E93F40">
        <w:rPr>
          <w:rFonts w:ascii="Times New Roman" w:hAnsi="Times New Roman"/>
          <w:color w:val="000000" w:themeColor="text1"/>
          <w:sz w:val="16"/>
          <w:szCs w:val="16"/>
        </w:rPr>
        <w:softHyphen/>
        <w:t xml:space="preserve">писью М.Н. Тухачевского, говорилось: </w:t>
      </w:r>
      <w:r w:rsidRPr="00E93F40">
        <w:rPr>
          <w:rFonts w:ascii="Times New Roman" w:hAnsi="Times New Roman"/>
          <w:iCs/>
          <w:color w:val="000000" w:themeColor="text1"/>
          <w:sz w:val="16"/>
          <w:szCs w:val="16"/>
        </w:rPr>
        <w:t>«Не следует увле</w:t>
      </w:r>
      <w:r w:rsidRPr="00E93F40">
        <w:rPr>
          <w:rFonts w:ascii="Times New Roman" w:hAnsi="Times New Roman"/>
          <w:iCs/>
          <w:color w:val="000000" w:themeColor="text1"/>
          <w:sz w:val="16"/>
          <w:szCs w:val="16"/>
        </w:rPr>
        <w:softHyphen/>
        <w:t>каться созданием универсальных пушечных систем для осна</w:t>
      </w:r>
      <w:r w:rsidRPr="00E93F40">
        <w:rPr>
          <w:rFonts w:ascii="Times New Roman" w:hAnsi="Times New Roman"/>
          <w:iCs/>
          <w:color w:val="000000" w:themeColor="text1"/>
          <w:sz w:val="16"/>
          <w:szCs w:val="16"/>
        </w:rPr>
        <w:softHyphen/>
        <w:t>щения мотомеханизированных войск и пехоты...</w:t>
      </w:r>
    </w:p>
    <w:p w14:paraId="5882A4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Механизированные войска нуждаются более в мобильных легкозабронированных пушках и гаубицах, тогда как для пехо</w:t>
      </w:r>
      <w:r w:rsidRPr="00E93F40">
        <w:rPr>
          <w:rFonts w:ascii="Times New Roman" w:hAnsi="Times New Roman"/>
          <w:iCs/>
          <w:color w:val="000000" w:themeColor="text1"/>
          <w:sz w:val="16"/>
          <w:szCs w:val="16"/>
        </w:rPr>
        <w:softHyphen/>
        <w:t>ты нужны хорошо забронированные установки, которые мож</w:t>
      </w:r>
      <w:r w:rsidRPr="00E93F40">
        <w:rPr>
          <w:rFonts w:ascii="Times New Roman" w:hAnsi="Times New Roman"/>
          <w:iCs/>
          <w:color w:val="000000" w:themeColor="text1"/>
          <w:sz w:val="16"/>
          <w:szCs w:val="16"/>
        </w:rPr>
        <w:softHyphen/>
        <w:t>но использовать для укрытия от огня противника... Их воору</w:t>
      </w:r>
      <w:r w:rsidRPr="00E93F40">
        <w:rPr>
          <w:rFonts w:ascii="Times New Roman" w:hAnsi="Times New Roman"/>
          <w:iCs/>
          <w:color w:val="000000" w:themeColor="text1"/>
          <w:sz w:val="16"/>
          <w:szCs w:val="16"/>
        </w:rPr>
        <w:softHyphen/>
        <w:t>жение достаточно иметь в виде полковой или дивизионной пуш</w:t>
      </w:r>
      <w:r w:rsidRPr="00E93F40">
        <w:rPr>
          <w:rFonts w:ascii="Times New Roman" w:hAnsi="Times New Roman"/>
          <w:iCs/>
          <w:color w:val="000000" w:themeColor="text1"/>
          <w:sz w:val="16"/>
          <w:szCs w:val="16"/>
        </w:rPr>
        <w:softHyphen/>
        <w:t>ки калибра 76-мм с дальностью выстрела около 2000 мтр...» (11417).</w:t>
      </w:r>
    </w:p>
    <w:p w14:paraId="26DBE3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A83E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изготовили образцы хи</w:t>
      </w:r>
      <w:r w:rsidRPr="00E93F40">
        <w:rPr>
          <w:rFonts w:ascii="Times New Roman" w:hAnsi="Times New Roman"/>
          <w:color w:val="000000" w:themeColor="text1"/>
          <w:sz w:val="16"/>
          <w:szCs w:val="16"/>
        </w:rPr>
        <w:softHyphen/>
        <w:t>мических бронемашин - Д-18 на грузовом американском шасси «Мореланд» и Д-39 на базе «Форд-Тимкен». Д-18 и Д-39 имели бронекорпуса из 6-8 мм стали (не бро</w:t>
      </w:r>
      <w:r w:rsidRPr="00E93F40">
        <w:rPr>
          <w:rFonts w:ascii="Times New Roman" w:hAnsi="Times New Roman"/>
          <w:color w:val="000000" w:themeColor="text1"/>
          <w:sz w:val="16"/>
          <w:szCs w:val="16"/>
        </w:rPr>
        <w:softHyphen/>
        <w:t>невой), закрывающие двигатель, кабину и резервуары для хи</w:t>
      </w:r>
      <w:r w:rsidRPr="00E93F40">
        <w:rPr>
          <w:rFonts w:ascii="Times New Roman" w:hAnsi="Times New Roman"/>
          <w:color w:val="000000" w:themeColor="text1"/>
          <w:sz w:val="16"/>
          <w:szCs w:val="16"/>
        </w:rPr>
        <w:softHyphen/>
        <w:t>мических веществ. В зависимости от типа заправки резервуа</w:t>
      </w:r>
      <w:r w:rsidRPr="00E93F40">
        <w:rPr>
          <w:rFonts w:ascii="Times New Roman" w:hAnsi="Times New Roman"/>
          <w:color w:val="000000" w:themeColor="text1"/>
          <w:sz w:val="16"/>
          <w:szCs w:val="16"/>
        </w:rPr>
        <w:softHyphen/>
        <w:t>ра машины могли производить заражение местности отравля</w:t>
      </w:r>
      <w:r w:rsidRPr="00E93F40">
        <w:rPr>
          <w:rFonts w:ascii="Times New Roman" w:hAnsi="Times New Roman"/>
          <w:color w:val="000000" w:themeColor="text1"/>
          <w:sz w:val="16"/>
          <w:szCs w:val="16"/>
        </w:rPr>
        <w:softHyphen/>
        <w:t>ющими веществами, дегазацию или постановку дымовых завес. Выполнение этих задач осуществлялось при помощи центробежной помпы с приводом от двигателя автомобиля и трех распылителей. Машина Д-18 имела 2 резервуара для хи</w:t>
      </w:r>
      <w:r w:rsidRPr="00E93F40">
        <w:rPr>
          <w:rFonts w:ascii="Times New Roman" w:hAnsi="Times New Roman"/>
          <w:color w:val="000000" w:themeColor="text1"/>
          <w:sz w:val="16"/>
          <w:szCs w:val="16"/>
        </w:rPr>
        <w:softHyphen/>
        <w:t>мических веществ емкостью 1100 литров, а Д-39 один на 800 (11284).</w:t>
      </w:r>
    </w:p>
    <w:p w14:paraId="3D6CAA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A661B"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в Харькове началось строительство завода фотоаппаратов ВЭД (аналог немецкой Лейки), а через год он дал первую продукцию. Для отработки конструкции первого советского пленочного фотоаппарата при Харьковском институте метрологии и стандартизации было создано специальное конструкторское бюро, а в помощь новому производству Ленинградский оптико-механический завод направил группу специалистов, которые в октябре 1933 г. вручную собрали и настроили первые три пленочных фотоаппарата «ФЭД». Планировалось, что завод фотоаппаратов будет независимым предприятием, однако воспитанники коммуны, им. Дзержинского, принимавшие самое деятельное участие в его строительстве, были против и настояли на том, чтобы он оставался в составе коммуны. В этом их самым активным образом поддержал Макаренко. Коммуна продолжала работать, наряду с производством, вполне современным по тем временам, в ее составе действовали школа, рабфак и техникум, которые превращали малолетних бомжей в полноценных членов общества, открывая перед ними настоящую жизнь.</w:t>
      </w:r>
    </w:p>
    <w:p w14:paraId="25DC1D62"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Изготовление фотоаппарата — дело тонкое, сравнимое с работой часовщика, причем к механике подключается и оптика со своими специфическими требованиями. И такое производство удалось поставить на поток, организовать по всем правилам науки планирования. Успешное освоение выпуска пленочных фотоаппаратов означало новый этап развития коммуны.</w:t>
      </w:r>
    </w:p>
    <w:p w14:paraId="086010F2" w14:textId="77777777" w:rsidR="00C43A0E" w:rsidRPr="00E93F40" w:rsidRDefault="00C43A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был изготовлен десятитысячный фотоаппарат ФЭД, эта камера успела завоевать симпатии и любителей, и профессионалов. Она работала на земле, в небесах и на море, и в Сибири, и в Средней Азии, и даже на Северном полюсе в экспедиции Папанина был такой фотоаппарат. Росли объемы производства — так, за 1936 г. фотоаппаратов ФЭД было сделано уже 25000 штук. Но техника техникой, а главной задачей коммуны оставалось перевоспитание трудных подростков, и в силу требований времени руководить этим продолжали чекисты — начальниками коммуны были И.П. Судаков, П.К. Тихонов, а с 1936 г. — В.С. Берман (23014).</w:t>
      </w:r>
    </w:p>
    <w:p w14:paraId="6876CD4F" w14:textId="77777777" w:rsidR="00C43A0E" w:rsidRPr="00E93F40" w:rsidRDefault="00C43A0E" w:rsidP="00E93F40">
      <w:pPr>
        <w:spacing w:after="0" w:line="240" w:lineRule="auto"/>
        <w:jc w:val="both"/>
        <w:rPr>
          <w:rFonts w:ascii="Times New Roman" w:hAnsi="Times New Roman"/>
          <w:color w:val="000000" w:themeColor="text1"/>
          <w:sz w:val="16"/>
          <w:szCs w:val="16"/>
        </w:rPr>
      </w:pPr>
    </w:p>
    <w:p w14:paraId="186E7A44"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1932 г. в Испанию выехала группа специалистов под руководством начальника отдела кораблестроения ВМС А. К. Сивкова для ознакомления со средней подводной лодкой Е-1, построенной на экспорт на верфи в Кадиксе (Испания).</w:t>
      </w:r>
    </w:p>
    <w:p w14:paraId="61553E6B"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Подводная лодка Е-1 («Этчивариэтта») представляла собой двухвальную полуторакорпусную лодку водоизмещением 755 т, вооружённую четырьмя носовыми и двумя кормовыми 53-см торпедными аппаратами (запас торпед 12 штук), одним 100-мм орудием и одним 20-мм зенитным автоматом.</w:t>
      </w:r>
    </w:p>
    <w:p w14:paraId="1E488629"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Наибольшая надводная скорость при форсированной работе дизелей составляла 19,7 узла, крейсерская надводная скорость – 18 узлов, наибольшая подводная скорость – 9,4 узла, наименьшая подводная скорость – 1,5–1,7 узла. Глубина погружения 100 м. Автономность 30 суток. Команда 32 человека.</w:t>
      </w:r>
    </w:p>
    <w:p w14:paraId="5F4F8CF6"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Е-1 была спроектирована немецкой фирмой «Ingeneer Kontor vor Shiffbau» или сокращенно «IVS». Фирма находилась в Гааге, но фактически она была филиалом известной германской фирмы «Дешимаг». Директором «IVS» был бывший командир подводной лодки кайзеровского флота капитан Блюм, а техническим руководителем – известный конструктор довоенных немецких подводных лодок доктор Ганс Техель.</w:t>
      </w:r>
    </w:p>
    <w:p w14:paraId="09DFB0CE"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изучения полученных в Испании данных руководство ВМС решило заключить с фирмой «Дешимаг» договор на оказание Советскому Союзу технической помощи в строительстве подводных лодок. Помощь эта должна была заключаться в разработке фирмой по нашим тактико-техническим заданиям проекта подводной лодки среднего водоизмещения, предоставлении нам всех чертежей и материалов по подводной лодке Е-1 и содействии размещению на германских фирмах наших заказов на механизмы и предметы оборудования подводных лодок (25184).</w:t>
      </w:r>
    </w:p>
    <w:p w14:paraId="658E96D7" w14:textId="77777777" w:rsidR="00481316" w:rsidRPr="00142305" w:rsidRDefault="00481316" w:rsidP="00481316">
      <w:pPr>
        <w:spacing w:after="0" w:line="240" w:lineRule="auto"/>
        <w:jc w:val="both"/>
        <w:rPr>
          <w:rFonts w:ascii="Times New Roman" w:hAnsi="Times New Roman"/>
          <w:color w:val="0070C0"/>
          <w:sz w:val="16"/>
          <w:szCs w:val="16"/>
        </w:rPr>
      </w:pPr>
    </w:p>
    <w:p w14:paraId="0CE37B3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0DF99BE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DFDB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w:t>
      </w:r>
      <w:r w:rsidRPr="00E93F40">
        <w:rPr>
          <w:rFonts w:ascii="Times New Roman" w:hAnsi="Times New Roman"/>
          <w:color w:val="000000" w:themeColor="text1"/>
          <w:sz w:val="16"/>
          <w:szCs w:val="16"/>
        </w:rPr>
        <w:softHyphen/>
        <w:t>бре 1932 г. - 43 отряда ВВС имели на вооружении разведчи</w:t>
      </w:r>
      <w:r w:rsidRPr="00E93F40">
        <w:rPr>
          <w:rFonts w:ascii="Times New Roman" w:hAnsi="Times New Roman"/>
          <w:color w:val="000000" w:themeColor="text1"/>
          <w:sz w:val="16"/>
          <w:szCs w:val="16"/>
        </w:rPr>
        <w:softHyphen/>
        <w:t>ки и легкие бомбардировщики Р-1. Ряд подразделений, оснащенных другими машинами, использовали Р-1 в качестве связных самоле</w:t>
      </w:r>
      <w:r w:rsidRPr="00E93F40">
        <w:rPr>
          <w:rFonts w:ascii="Times New Roman" w:hAnsi="Times New Roman"/>
          <w:color w:val="000000" w:themeColor="text1"/>
          <w:sz w:val="16"/>
          <w:szCs w:val="16"/>
        </w:rPr>
        <w:softHyphen/>
        <w:t>тов. Рост числа подразделений, имевших на вооружении самолеты Р-1, отражал рост общей численности Р-1 в ВВС СССР: если в конце 1925 г. в ВВС находился 271 Р-1, то к началу 1931 г. их было уже 1510, да и позже, в 1933 г., хотя Р-1 уже снимались с вооружения, их остава</w:t>
      </w:r>
      <w:r w:rsidRPr="00E93F40">
        <w:rPr>
          <w:rFonts w:ascii="Times New Roman" w:hAnsi="Times New Roman"/>
          <w:color w:val="000000" w:themeColor="text1"/>
          <w:sz w:val="16"/>
          <w:szCs w:val="16"/>
        </w:rPr>
        <w:softHyphen/>
        <w:t>лось достаточно много — 1300 машин. Начиная с 1927 г., Р-1 стали поступать в тренировочные и учебные подраз</w:t>
      </w:r>
      <w:r w:rsidRPr="00E93F40">
        <w:rPr>
          <w:rFonts w:ascii="Times New Roman" w:hAnsi="Times New Roman"/>
          <w:color w:val="000000" w:themeColor="text1"/>
          <w:sz w:val="16"/>
          <w:szCs w:val="16"/>
        </w:rPr>
        <w:softHyphen/>
        <w:t>деления ВВС. И хотя с 1930 г. Р-1 стали заменять в строе</w:t>
      </w:r>
      <w:r w:rsidRPr="00E93F40">
        <w:rPr>
          <w:rFonts w:ascii="Times New Roman" w:hAnsi="Times New Roman"/>
          <w:color w:val="000000" w:themeColor="text1"/>
          <w:sz w:val="16"/>
          <w:szCs w:val="16"/>
        </w:rPr>
        <w:softHyphen/>
        <w:t>вых частях более совершенным самолетом Р-5, отдельные экземпляры существовали вплоть до 1935 г. (10667).</w:t>
      </w:r>
    </w:p>
    <w:p w14:paraId="1601B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5F74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ноябре 1932 г. планировалось сформировать в Забайкальском военном округе эскадрилью, вооруженную системой "Звено-1". В ее штат должны были войти шесть носителей и 12 истребителей И-4 (12001).</w:t>
      </w:r>
    </w:p>
    <w:p w14:paraId="1B133B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D3B3A0" w14:textId="77777777" w:rsidR="00746D3C" w:rsidRPr="00E93F40" w:rsidRDefault="00746D3C" w:rsidP="00E93F40">
      <w:pPr>
        <w:pStyle w:val="a3"/>
        <w:rPr>
          <w:color w:val="000000" w:themeColor="text1"/>
          <w:lang w:val="ru-RU"/>
        </w:rPr>
      </w:pPr>
      <w:r w:rsidRPr="00E93F40">
        <w:rPr>
          <w:color w:val="000000" w:themeColor="text1"/>
          <w:lang w:val="ru-RU"/>
        </w:rPr>
        <w:t>В ноябре 1932 г. Управление ВВС запла</w:t>
      </w:r>
      <w:r w:rsidRPr="00E93F40">
        <w:rPr>
          <w:color w:val="000000" w:themeColor="text1"/>
          <w:lang w:val="ru-RU"/>
        </w:rPr>
        <w:softHyphen/>
        <w:t>нировало сформировать в Забайкалье эскадрилью «звеньев» из шести носи</w:t>
      </w:r>
      <w:r w:rsidRPr="00E93F40">
        <w:rPr>
          <w:color w:val="000000" w:themeColor="text1"/>
          <w:lang w:val="ru-RU"/>
        </w:rPr>
        <w:softHyphen/>
        <w:t>телей и 12 истребителей И-4. Но вскоре войсковые испытания решили перене</w:t>
      </w:r>
      <w:r w:rsidRPr="00E93F40">
        <w:rPr>
          <w:color w:val="000000" w:themeColor="text1"/>
          <w:lang w:val="ru-RU"/>
        </w:rPr>
        <w:softHyphen/>
        <w:t>сти в Ленинградский военный округ, где в 3-й авиабригаде готовили эскадрилью с тем же штатом. Бомбардировщики бра</w:t>
      </w:r>
      <w:r w:rsidRPr="00E93F40">
        <w:rPr>
          <w:color w:val="000000" w:themeColor="text1"/>
          <w:lang w:val="ru-RU"/>
        </w:rPr>
        <w:softHyphen/>
        <w:t>ли из состава бригады, а истребители - из Воздушных сил Балтийского моря. Переделку намеревались осуществлять в Ленинграде.</w:t>
      </w:r>
    </w:p>
    <w:p w14:paraId="139EEAA1" w14:textId="77777777" w:rsidR="00746D3C" w:rsidRPr="00E93F40" w:rsidRDefault="00746D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 отличием серийного вари</w:t>
      </w:r>
      <w:r w:rsidRPr="00E93F40">
        <w:rPr>
          <w:rFonts w:ascii="Times New Roman" w:hAnsi="Times New Roman"/>
          <w:color w:val="000000" w:themeColor="text1"/>
          <w:sz w:val="16"/>
          <w:szCs w:val="16"/>
        </w:rPr>
        <w:softHyphen/>
        <w:t>анта должно было стать усиленное шас</w:t>
      </w:r>
      <w:r w:rsidRPr="00E93F40">
        <w:rPr>
          <w:rFonts w:ascii="Times New Roman" w:hAnsi="Times New Roman"/>
          <w:color w:val="000000" w:themeColor="text1"/>
          <w:sz w:val="16"/>
          <w:szCs w:val="16"/>
        </w:rPr>
        <w:softHyphen/>
        <w:t>си ТБ-1 (17741).</w:t>
      </w:r>
    </w:p>
    <w:p w14:paraId="529BCC5F"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p>
    <w:p w14:paraId="3DFC46F5" w14:textId="1F9E6AC3"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года первым заместителем председателя ОГПУ М. Фриновским был утвержден план формирования авиационных частей погранич</w:t>
      </w:r>
      <w:r w:rsidRPr="00E93F40">
        <w:rPr>
          <w:rFonts w:ascii="Times New Roman" w:hAnsi="Times New Roman"/>
          <w:color w:val="000000" w:themeColor="text1"/>
          <w:sz w:val="16"/>
          <w:szCs w:val="16"/>
        </w:rPr>
        <w:softHyphen/>
        <w:t>ных войск на 1932 — 1934 гг. В соответствии с этим планом к концу 1932 г. были сформированы первые отдельные авиаотряды в городах Алма-Ате, Тбилиси, Ташкенте, Казалинске, Мары, Харькове, Минске, а в 1933 — 1934 гг. — еще 7 авиаотрядов в городах Акмолинске, Петропавловске-Камчатском, Нагаеве, Хабаровске, Ташаузе, Владивостоке (морской авиаотряд), Ленинграде (12239).</w:t>
      </w:r>
    </w:p>
    <w:p w14:paraId="123AF4CE" w14:textId="77777777" w:rsidR="00A634CB" w:rsidRPr="00E93F40" w:rsidRDefault="00A634CB" w:rsidP="00E93F40">
      <w:pPr>
        <w:spacing w:after="0" w:line="240" w:lineRule="auto"/>
        <w:jc w:val="both"/>
        <w:rPr>
          <w:rFonts w:ascii="Times New Roman" w:hAnsi="Times New Roman"/>
          <w:color w:val="000000" w:themeColor="text1"/>
          <w:sz w:val="16"/>
          <w:szCs w:val="16"/>
        </w:rPr>
      </w:pPr>
    </w:p>
    <w:p w14:paraId="39890778" w14:textId="4CB97B8F"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1932 года Яков Алкснис</w:t>
      </w:r>
      <w:r w:rsidR="00DD74E1">
        <w:rPr>
          <w:rFonts w:ascii="Times New Roman" w:hAnsi="Times New Roman"/>
          <w:color w:val="0070C0"/>
          <w:sz w:val="16"/>
          <w:szCs w:val="16"/>
        </w:rPr>
        <w:t xml:space="preserve"> </w:t>
      </w:r>
      <w:r w:rsidRPr="00142305">
        <w:rPr>
          <w:rFonts w:ascii="Times New Roman" w:hAnsi="Times New Roman"/>
          <w:color w:val="0070C0"/>
          <w:sz w:val="16"/>
          <w:szCs w:val="16"/>
        </w:rPr>
        <w:t>внес в РВС предложение военных летчиков об организации Дня авиации. По мнению командующего ВВС, праздник должен был способствовать «дальнейшей популяризации гражданской и военной авиации в массах» (и, надо отметить, что действительно способствовал!). При этом командующий ВВС сразу предлагал сопровождать празднование авиационными парадами, в которых участвовали бы лучшие военные и гражданские летчики и демонстрировались передовые образцы военной и гражданской авиатехники.</w:t>
      </w:r>
    </w:p>
    <w:p w14:paraId="58F06035"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Предложение долго рассматривалось на высшем уровне — в правительстве и в Центральном комитете ВКП(б), и в конечном итоге 28 апреля 1933 года Совет народных комиссаров принял постановление за № 859, которое называлось «О праздновании дня воздушного флота Союза ССР». Документ этот невелик и достаточно важен, чтобы процитировать его текст целиком: «В честь выдающихся достижений ученых, авиаконструкторов, работников авиапромышленности, летного и технического состава ВВС в деле укрепления обороноспособности Советского государства, Совет народных комиссаров Союза ССР постановляет: Проводить ежегодно 18 августа празднование дня воздушного флота Союза ССР (дня авиации)». Подписали постановление председатель Совнаркома Вячеслав Молотов и управделами Совнаркома Иван Мирошников (25156).</w:t>
      </w:r>
    </w:p>
    <w:p w14:paraId="18A7B463" w14:textId="77777777" w:rsidR="00481316" w:rsidRPr="00142305" w:rsidRDefault="00481316" w:rsidP="00481316">
      <w:pPr>
        <w:spacing w:after="0" w:line="240" w:lineRule="auto"/>
        <w:jc w:val="both"/>
        <w:rPr>
          <w:rFonts w:ascii="Times New Roman" w:hAnsi="Times New Roman"/>
          <w:color w:val="0070C0"/>
          <w:sz w:val="16"/>
          <w:szCs w:val="16"/>
        </w:rPr>
      </w:pPr>
    </w:p>
    <w:p w14:paraId="74BFF95A"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1932 г. планировалось сформировать в Забай</w:t>
      </w:r>
      <w:r w:rsidRPr="00142305">
        <w:rPr>
          <w:rFonts w:ascii="Times New Roman" w:hAnsi="Times New Roman"/>
          <w:color w:val="0070C0"/>
          <w:sz w:val="16"/>
          <w:szCs w:val="16"/>
        </w:rPr>
        <w:softHyphen/>
        <w:t>кальском военном округе эскадрилью, вооруженную систе</w:t>
      </w:r>
      <w:r w:rsidRPr="00142305">
        <w:rPr>
          <w:rFonts w:ascii="Times New Roman" w:hAnsi="Times New Roman"/>
          <w:color w:val="0070C0"/>
          <w:sz w:val="16"/>
          <w:szCs w:val="16"/>
        </w:rPr>
        <w:softHyphen/>
        <w:t>мой «Звено-1». В ее штат должны были войти шесть носите</w:t>
      </w:r>
      <w:r w:rsidRPr="00142305">
        <w:rPr>
          <w:rFonts w:ascii="Times New Roman" w:hAnsi="Times New Roman"/>
          <w:color w:val="0070C0"/>
          <w:sz w:val="16"/>
          <w:szCs w:val="16"/>
        </w:rPr>
        <w:softHyphen/>
        <w:t>лей и 12 истребителей И-4. Но техника развивалась быстро. И-4 скоро устарели. Следующий вариант «авиаматки ». «Звено-1А», нес вмес</w:t>
      </w:r>
      <w:r w:rsidRPr="00142305">
        <w:rPr>
          <w:rFonts w:ascii="Times New Roman" w:hAnsi="Times New Roman"/>
          <w:color w:val="0070C0"/>
          <w:sz w:val="16"/>
          <w:szCs w:val="16"/>
        </w:rPr>
        <w:softHyphen/>
        <w:t>то И-4 пару истребителей И-5. Его испытывали в сентяб</w:t>
      </w:r>
      <w:r w:rsidRPr="00142305">
        <w:rPr>
          <w:rFonts w:ascii="Times New Roman" w:hAnsi="Times New Roman"/>
          <w:color w:val="0070C0"/>
          <w:sz w:val="16"/>
          <w:szCs w:val="16"/>
        </w:rPr>
        <w:softHyphen/>
        <w:t>ре 1933 г. ТБ-l пилотировал Стефановский, истребители — Коккинаки и Лагутин (24977).</w:t>
      </w:r>
    </w:p>
    <w:p w14:paraId="03CDE52A" w14:textId="77777777" w:rsidR="00481316" w:rsidRPr="00142305" w:rsidRDefault="00481316" w:rsidP="00481316">
      <w:pPr>
        <w:spacing w:after="0" w:line="240" w:lineRule="auto"/>
        <w:jc w:val="both"/>
        <w:rPr>
          <w:rFonts w:ascii="Times New Roman" w:hAnsi="Times New Roman"/>
          <w:color w:val="0070C0"/>
          <w:sz w:val="16"/>
          <w:szCs w:val="16"/>
        </w:rPr>
      </w:pPr>
    </w:p>
    <w:p w14:paraId="7ACE4778"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1931</w:t>
      </w:r>
    </w:p>
    <w:p w14:paraId="5698AF1E"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Записка Я. Б. Гамарника И. В. Сталину о нежелательности восстанавливать Ф. Ф. Новицкого в воинском звании. [Ноябрь 1931 г.]</w:t>
      </w:r>
    </w:p>
    <w:p w14:paraId="3A82FAB9" w14:textId="39A6B4D5"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p>
    <w:p w14:paraId="4DD96977"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AFE767"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 Сталин! т. Поскребышев запросил меня по вопросу о Ф. Новицком. Новицкий уволен из армии за контр-революцию. Сейчас он просит «вернуть воинское звание и дать работу в армии». Использовать его еще, конечно, можно, но неудобно осужденного за контр-рев[олюцию] (хотя бы и условно) восстанавливать в звании командира Красной армии.</w:t>
      </w:r>
    </w:p>
    <w:p w14:paraId="7F4D26D7"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Может быть, ГПУ изменит свое решение об осуждении Новицкого? Если этого ГПУ не сделает, то не следует его возвращать в армию.</w:t>
      </w:r>
    </w:p>
    <w:p w14:paraId="4DD810CC"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Гамарник</w:t>
      </w:r>
    </w:p>
    <w:p w14:paraId="75094456"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356. Л. 142. Рукописный подлинник, автограф Я. Б. Гамарника (листок из блокнота, надорван). Дата отсутствует. Датируется по сопутствующим документам (18679).</w:t>
      </w:r>
    </w:p>
    <w:p w14:paraId="7F8F9C76" w14:textId="77777777" w:rsidR="002630B3" w:rsidRPr="00E93F40" w:rsidRDefault="002630B3" w:rsidP="00E93F40">
      <w:pPr>
        <w:spacing w:after="0" w:line="240" w:lineRule="auto"/>
        <w:jc w:val="both"/>
        <w:rPr>
          <w:rFonts w:ascii="Times New Roman" w:hAnsi="Times New Roman"/>
          <w:color w:val="000000" w:themeColor="text1"/>
          <w:sz w:val="16"/>
          <w:szCs w:val="16"/>
        </w:rPr>
      </w:pPr>
    </w:p>
    <w:p w14:paraId="43725992" w14:textId="77777777" w:rsidR="00E37962"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14E315E0" w14:textId="77777777" w:rsidR="00E37962" w:rsidRPr="00E93F40" w:rsidRDefault="00E37962"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CAF210" w14:textId="77777777" w:rsidR="00E37962" w:rsidRPr="00E93F40" w:rsidRDefault="00E3796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г. началось формирование второй лётной группы для Китая. Одновременно воз</w:t>
      </w:r>
      <w:r w:rsidRPr="00E93F40">
        <w:rPr>
          <w:rFonts w:ascii="Times New Roman" w:hAnsi="Times New Roman"/>
          <w:color w:val="000000" w:themeColor="text1"/>
          <w:sz w:val="16"/>
          <w:szCs w:val="16"/>
        </w:rPr>
        <w:softHyphen/>
        <w:t>никла проблема с перезаключением индивидуальных договоров. В СССР рассчитывали на прежние условия содержания, а в Урумчи отказались от старых условий оплаты, на</w:t>
      </w:r>
      <w:r w:rsidRPr="00E93F40">
        <w:rPr>
          <w:rFonts w:ascii="Times New Roman" w:hAnsi="Times New Roman"/>
          <w:color w:val="000000" w:themeColor="text1"/>
          <w:sz w:val="16"/>
          <w:szCs w:val="16"/>
        </w:rPr>
        <w:softHyphen/>
        <w:t>стаивая на их значительном сокращении (15802).</w:t>
      </w:r>
    </w:p>
    <w:p w14:paraId="12B538CA" w14:textId="77777777" w:rsidR="00E37962" w:rsidRPr="00E93F40" w:rsidRDefault="00E37962" w:rsidP="00E93F40">
      <w:pPr>
        <w:spacing w:after="0" w:line="240" w:lineRule="auto"/>
        <w:jc w:val="both"/>
        <w:rPr>
          <w:rFonts w:ascii="Times New Roman" w:hAnsi="Times New Roman"/>
          <w:color w:val="000000" w:themeColor="text1"/>
          <w:sz w:val="16"/>
          <w:szCs w:val="16"/>
        </w:rPr>
      </w:pPr>
    </w:p>
    <w:p w14:paraId="4D50633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FFB19E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1DC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1932 в Испании выборы выиграло правое крыло (2283). Появился Биенно Негро (2954).</w:t>
      </w:r>
    </w:p>
    <w:p w14:paraId="35477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DCF3C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78148A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5CBFD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ноябре-декабре 1932 г. новая башня под 76-мм пушку КТ обр. 1927/32 гг. КБ завода им. Ворошилова была показана представителям АНИИ и УММ и была в целом одобрена. Установка 76-мм пушки КТ обр. 1927/32 гг. в новой увеличенной башне танка Т-26 полу</w:t>
      </w:r>
      <w:r w:rsidRPr="00E93F40">
        <w:rPr>
          <w:rFonts w:ascii="Times New Roman" w:hAnsi="Times New Roman"/>
          <w:color w:val="000000" w:themeColor="text1"/>
          <w:sz w:val="16"/>
          <w:szCs w:val="16"/>
        </w:rPr>
        <w:softHyphen/>
        <w:t>чила индекс КТ-26. На 1933 г. последовал заказ на 5 танков Т-26-КТ (то есть оснащенных новой башней), чуть позднееназванных Т-26-4, три из которых должны были быть воору</w:t>
      </w:r>
      <w:r w:rsidRPr="00E93F40">
        <w:rPr>
          <w:rFonts w:ascii="Times New Roman" w:hAnsi="Times New Roman"/>
          <w:color w:val="000000" w:themeColor="text1"/>
          <w:sz w:val="16"/>
          <w:szCs w:val="16"/>
        </w:rPr>
        <w:softHyphen/>
        <w:t>жены пушкой КТ, а два — новой 76-мм пушкой ПС-3 (10733,337).</w:t>
      </w:r>
    </w:p>
    <w:p w14:paraId="7DC781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C02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ноябре-декабре 1932 г. новая башня для 76 мм САУ была показана представителям АНИИ и УММ и была в целом одобрена. Установка 76-мм пушки КТ в новой увеличенной башне танка Т-26 получила индекс КТ-26. На 1933 год последовал заказ на 5 танков Т-26-КТ (то-есть оснащенных новой башней), более известных, как Т-26-4, три из которых должны были быть вооружены пушкой КТ, а два - новой 76-мм пушкой ПС-3. Несмотря на решение о производстве пробной серии танков Т-26-4, долгое время этот заказ не выполнялся, т.к. к изготовленным башням с орудиями УММ в 1933 г. не поставил ходовых частей, а единственный испытанный на НИБТполигоне танк с башней из некондиционной брони, простоял сломанным до 1934 г (6469, 12).</w:t>
      </w:r>
    </w:p>
    <w:p w14:paraId="528D6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3117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ноябре—декабре 1932 г. новая башня под 76,2-мм пушку КТ обр. 1927/32 гг., проектирование которой по</w:t>
      </w:r>
      <w:r w:rsidRPr="00E93F40">
        <w:rPr>
          <w:rFonts w:ascii="Times New Roman" w:hAnsi="Times New Roman"/>
          <w:color w:val="000000" w:themeColor="text1"/>
          <w:sz w:val="16"/>
          <w:szCs w:val="16"/>
        </w:rPr>
        <w:softHyphen/>
        <w:t>ручили заводу им. Ворошилова, была показана представителям АНИИ и УММ и была в целом одобрена. Установка 76-мм пушки КТ в новой увеличенной башне танка Т-26 получила индекс КТ-26. На 1933 г. последовал заказ на 5 танков Т-26-КТ (то есть осна</w:t>
      </w:r>
      <w:r w:rsidRPr="00E93F40">
        <w:rPr>
          <w:rFonts w:ascii="Times New Roman" w:hAnsi="Times New Roman"/>
          <w:color w:val="000000" w:themeColor="text1"/>
          <w:sz w:val="16"/>
          <w:szCs w:val="16"/>
        </w:rPr>
        <w:softHyphen/>
        <w:t>щенных новой башней), чуть позднее названных Т-26-4, три из которых должны были быть вооружены пушкой КТ, а два — новой 76,2-мм пушкой ПС-3 (11417).</w:t>
      </w:r>
    </w:p>
    <w:p w14:paraId="176340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C5A5E66" w14:textId="77777777" w:rsidR="00481316" w:rsidRPr="00E93F40" w:rsidRDefault="00481316" w:rsidP="00481316">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В ноябре — декаб</w:t>
      </w:r>
      <w:r w:rsidRPr="00E93F40">
        <w:rPr>
          <w:rFonts w:ascii="Times New Roman" w:cs="Times New Roman"/>
          <w:color w:val="000000" w:themeColor="text1"/>
          <w:spacing w:val="0"/>
        </w:rPr>
        <w:softHyphen/>
        <w:t>ре 1932 года проходили испытания разработанной Н.Дыренковым сварной башни А-43. Из-за большого диаметра башенного погона подбашенную коробку удлинили, установив кормовой лист на</w:t>
      </w:r>
      <w:r w:rsidRPr="00E93F40">
        <w:rPr>
          <w:rFonts w:ascii="Times New Roman" w:cs="Times New Roman"/>
          <w:color w:val="000000" w:themeColor="text1"/>
          <w:spacing w:val="0"/>
        </w:rPr>
        <w:softHyphen/>
        <w:t>клонно. Испытания выявили много претензий к конструкции башни и ее воору</w:t>
      </w:r>
      <w:r w:rsidRPr="00E93F40">
        <w:rPr>
          <w:rFonts w:ascii="Times New Roman" w:cs="Times New Roman"/>
          <w:color w:val="000000" w:themeColor="text1"/>
          <w:spacing w:val="0"/>
        </w:rPr>
        <w:softHyphen/>
        <w:t>жения. Иначе и быть не могло, посколь</w:t>
      </w:r>
      <w:r w:rsidRPr="00E93F40">
        <w:rPr>
          <w:rFonts w:ascii="Times New Roman" w:cs="Times New Roman"/>
          <w:color w:val="000000" w:themeColor="text1"/>
          <w:spacing w:val="0"/>
        </w:rPr>
        <w:softHyphen/>
        <w:t>ку в танке не удалось разместить полко</w:t>
      </w:r>
      <w:r w:rsidRPr="00E93F40">
        <w:rPr>
          <w:rFonts w:ascii="Times New Roman" w:cs="Times New Roman"/>
          <w:color w:val="000000" w:themeColor="text1"/>
          <w:spacing w:val="0"/>
        </w:rPr>
        <w:softHyphen/>
        <w:t>вую пушку обр. 1927 г. из-за большой длины отката, то на испытания пришла машина с 76-мм противоштурмовой пушкой обр. 1910 г. Однако и после уста</w:t>
      </w:r>
      <w:r w:rsidRPr="00E93F40">
        <w:rPr>
          <w:rFonts w:ascii="Times New Roman" w:cs="Times New Roman"/>
          <w:color w:val="000000" w:themeColor="text1"/>
          <w:spacing w:val="0"/>
        </w:rPr>
        <w:softHyphen/>
        <w:t>новки в 1933 году новой танковой пушки КТ избавиться от главного недостатка башни А-43 — тесноты — не получилось.</w:t>
      </w:r>
    </w:p>
    <w:p w14:paraId="51E41DA9" w14:textId="77777777" w:rsidR="00481316" w:rsidRPr="00E93F40" w:rsidRDefault="00481316" w:rsidP="00481316">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После провала испытаний башни Дыренкова разработку новой конструкции под пушку КТ поручили заводу № 174. Заводские конструкторы пошли по пути увеличения размеров штатной башни Т- 26 под 45-мм пушку. Установка 76-мм пушки в новой башне получила индекс КТ-26. В 1933 году УММ заказало пять танков Т-26-КТ, более известных как Т- 26-4, три из которых должны были быть вооружены пушкой КТ-26, а два — новой 76-мм пушкой ПС-3.</w:t>
      </w:r>
    </w:p>
    <w:p w14:paraId="3752B57C" w14:textId="77777777" w:rsidR="00481316" w:rsidRPr="00E93F40" w:rsidRDefault="00481316" w:rsidP="00481316">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Испытания танков с пушкой КТ-26 за</w:t>
      </w:r>
      <w:r w:rsidRPr="00E93F40">
        <w:rPr>
          <w:rFonts w:ascii="Times New Roman" w:cs="Times New Roman"/>
          <w:color w:val="000000" w:themeColor="text1"/>
          <w:spacing w:val="0"/>
        </w:rPr>
        <w:softHyphen/>
        <w:t>вершились более удачно, чем с ПС-3, хо</w:t>
      </w:r>
      <w:r w:rsidRPr="00E93F40">
        <w:rPr>
          <w:rFonts w:ascii="Times New Roman" w:cs="Times New Roman"/>
          <w:color w:val="000000" w:themeColor="text1"/>
          <w:spacing w:val="0"/>
        </w:rPr>
        <w:softHyphen/>
        <w:t>тя последняя, разработанная П.Сячинтовым, по ряду своих характеристик была иболее совершенной, чем КТ-26, и более мощной. Для стрельбы из нее использо</w:t>
      </w:r>
      <w:r w:rsidRPr="00E93F40">
        <w:rPr>
          <w:rFonts w:ascii="Times New Roman" w:cs="Times New Roman"/>
          <w:color w:val="000000" w:themeColor="text1"/>
          <w:spacing w:val="0"/>
        </w:rPr>
        <w:softHyphen/>
        <w:t>вались выстрелы от «трехдюймовки» — 76-мм пушки обр. 1902 г. Однако эта мощность оказалась избыточной, во вся</w:t>
      </w:r>
      <w:r w:rsidRPr="00E93F40">
        <w:rPr>
          <w:rFonts w:ascii="Times New Roman" w:cs="Times New Roman"/>
          <w:color w:val="000000" w:themeColor="text1"/>
          <w:spacing w:val="0"/>
        </w:rPr>
        <w:softHyphen/>
        <w:t>ком случае, при ее установке в Т-26-4. Испытания ПС-3 в этом танке привели к многочисленным поломкам: деформации погона башни, просадке рессор, прогибу подбашенного листа и т.д. Танк вышел из строя и требовал заводского ремонта. От установки ПС-3 в башне Т-26-4 отка</w:t>
      </w:r>
      <w:r w:rsidRPr="00E93F40">
        <w:rPr>
          <w:rFonts w:ascii="Times New Roman" w:cs="Times New Roman"/>
          <w:color w:val="000000" w:themeColor="text1"/>
          <w:spacing w:val="0"/>
        </w:rPr>
        <w:softHyphen/>
        <w:t>зались в пользу КТ-26.</w:t>
      </w:r>
    </w:p>
    <w:p w14:paraId="7B092EC2" w14:textId="77777777" w:rsidR="00481316" w:rsidRPr="00E93F40" w:rsidRDefault="00481316" w:rsidP="00481316">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Несмотря на принятое решение о вы</w:t>
      </w:r>
      <w:r w:rsidRPr="00E93F40">
        <w:rPr>
          <w:rFonts w:ascii="Times New Roman" w:cs="Times New Roman"/>
          <w:color w:val="000000" w:themeColor="text1"/>
          <w:spacing w:val="0"/>
        </w:rPr>
        <w:softHyphen/>
        <w:t>пуске пробной партии Т-26-4, этот заказ долго не выполнялся (15232).</w:t>
      </w:r>
    </w:p>
    <w:p w14:paraId="2A53CB14" w14:textId="77777777" w:rsidR="00481316" w:rsidRPr="00E93F40" w:rsidRDefault="00481316" w:rsidP="00481316">
      <w:pPr>
        <w:pStyle w:val="27"/>
        <w:shd w:val="clear" w:color="auto" w:fill="auto"/>
        <w:spacing w:after="0" w:line="240" w:lineRule="auto"/>
        <w:ind w:firstLine="0"/>
        <w:rPr>
          <w:rFonts w:ascii="Times New Roman" w:cs="Times New Roman"/>
          <w:color w:val="000000" w:themeColor="text1"/>
          <w:spacing w:val="0"/>
        </w:rPr>
      </w:pPr>
    </w:p>
    <w:p w14:paraId="05F04DF8" w14:textId="77777777" w:rsidR="00481316" w:rsidRPr="00E93F40" w:rsidRDefault="00481316" w:rsidP="00481316">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EEBDFDC" w14:textId="77777777" w:rsidR="00481316" w:rsidRPr="00E93F40" w:rsidRDefault="00481316" w:rsidP="00481316">
      <w:pPr>
        <w:autoSpaceDE w:val="0"/>
        <w:autoSpaceDN w:val="0"/>
        <w:adjustRightInd w:val="0"/>
        <w:spacing w:after="0" w:line="240" w:lineRule="auto"/>
        <w:jc w:val="both"/>
        <w:rPr>
          <w:rFonts w:ascii="Times New Roman" w:hAnsi="Times New Roman"/>
          <w:iCs/>
          <w:color w:val="000000" w:themeColor="text1"/>
          <w:sz w:val="16"/>
          <w:szCs w:val="16"/>
        </w:rPr>
      </w:pPr>
    </w:p>
    <w:p w14:paraId="5FE625EE"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Поздней осенью 1932, еще когда проходили испытания, Алкснис отдал распо</w:t>
      </w:r>
      <w:r w:rsidRPr="00142305">
        <w:rPr>
          <w:rFonts w:ascii="Times New Roman" w:hAnsi="Times New Roman"/>
          <w:color w:val="0070C0"/>
          <w:sz w:val="16"/>
          <w:szCs w:val="16"/>
        </w:rPr>
        <w:softHyphen/>
        <w:t>ряжение: «К 15-й годовщине РККА вооружите все наши штурмовые части полностью пулеметными батареями по образцу (способу) Туржанского — Павлова... ».</w:t>
      </w:r>
    </w:p>
    <w:p w14:paraId="1B4A03FD" w14:textId="77777777" w:rsidR="00481316" w:rsidRPr="00142305" w:rsidRDefault="00481316" w:rsidP="004813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февралю 1933 г., конечно, не успели. Лишь в начале года удалось договориться с промышленностью о выпус</w:t>
      </w:r>
      <w:r w:rsidRPr="00142305">
        <w:rPr>
          <w:rFonts w:ascii="Times New Roman" w:hAnsi="Times New Roman"/>
          <w:color w:val="0070C0"/>
          <w:sz w:val="16"/>
          <w:szCs w:val="16"/>
        </w:rPr>
        <w:softHyphen/>
        <w:t>ке 220 комплектов для переделки обычных Р-5 в штурмо</w:t>
      </w:r>
      <w:r w:rsidRPr="00142305">
        <w:rPr>
          <w:rFonts w:ascii="Times New Roman" w:hAnsi="Times New Roman"/>
          <w:color w:val="0070C0"/>
          <w:sz w:val="16"/>
          <w:szCs w:val="16"/>
        </w:rPr>
        <w:softHyphen/>
        <w:t>вики. Завод № I обязался сдать десять эталонных Р-5Ш, которые должны были стать образцами для мастерских ВВС. Исходный же опытный образец после внесения из</w:t>
      </w:r>
      <w:r w:rsidRPr="00142305">
        <w:rPr>
          <w:rFonts w:ascii="Times New Roman" w:hAnsi="Times New Roman"/>
          <w:color w:val="0070C0"/>
          <w:sz w:val="16"/>
          <w:szCs w:val="16"/>
        </w:rPr>
        <w:softHyphen/>
        <w:t>менений продемонстрировали на московском Централь</w:t>
      </w:r>
      <w:r w:rsidRPr="00142305">
        <w:rPr>
          <w:rFonts w:ascii="Times New Roman" w:hAnsi="Times New Roman"/>
          <w:color w:val="0070C0"/>
          <w:sz w:val="16"/>
          <w:szCs w:val="16"/>
        </w:rPr>
        <w:softHyphen/>
        <w:t>ном аэродроме комиссии Реввоенсовета СССР. Машина понравилась. Туржанского и Павлова наградили ордена</w:t>
      </w:r>
      <w:r w:rsidRPr="00142305">
        <w:rPr>
          <w:rFonts w:ascii="Times New Roman" w:hAnsi="Times New Roman"/>
          <w:color w:val="0070C0"/>
          <w:sz w:val="16"/>
          <w:szCs w:val="16"/>
        </w:rPr>
        <w:softHyphen/>
        <w:t>ми Красной Звезды. Но из-за нехватки пулеметов, доку</w:t>
      </w:r>
      <w:r w:rsidRPr="00142305">
        <w:rPr>
          <w:rFonts w:ascii="Times New Roman" w:hAnsi="Times New Roman"/>
          <w:color w:val="0070C0"/>
          <w:sz w:val="16"/>
          <w:szCs w:val="16"/>
        </w:rPr>
        <w:softHyphen/>
        <w:t>ментации. специалистов, работы фактически разверну</w:t>
      </w:r>
      <w:r w:rsidRPr="00142305">
        <w:rPr>
          <w:rFonts w:ascii="Times New Roman" w:hAnsi="Times New Roman"/>
          <w:color w:val="0070C0"/>
          <w:sz w:val="16"/>
          <w:szCs w:val="16"/>
        </w:rPr>
        <w:softHyphen/>
        <w:t>лись лишь в первой половине 1934 г. (24990).</w:t>
      </w:r>
    </w:p>
    <w:p w14:paraId="0187C34D" w14:textId="77777777" w:rsidR="00481316" w:rsidRPr="00142305" w:rsidRDefault="00481316" w:rsidP="00481316">
      <w:pPr>
        <w:spacing w:after="0" w:line="240" w:lineRule="auto"/>
        <w:jc w:val="both"/>
        <w:rPr>
          <w:rFonts w:ascii="Times New Roman" w:hAnsi="Times New Roman"/>
          <w:color w:val="0070C0"/>
          <w:sz w:val="16"/>
          <w:szCs w:val="16"/>
        </w:rPr>
      </w:pPr>
    </w:p>
    <w:p w14:paraId="55B5A6A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4C76B8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173D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декабрю 1932 г. на МГ набрали уже полтора миллиона рублей. Это уже позволяло начать работу по проектированию машины. Всего же собрали более шести миллионов (12024).</w:t>
      </w:r>
    </w:p>
    <w:p w14:paraId="3470BD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3B8238"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декабрю 1932 г. набрали полтора милли</w:t>
      </w:r>
      <w:r w:rsidRPr="00142305">
        <w:rPr>
          <w:rFonts w:ascii="Times New Roman" w:hAnsi="Times New Roman"/>
          <w:color w:val="0070C0"/>
          <w:sz w:val="16"/>
          <w:szCs w:val="16"/>
        </w:rPr>
        <w:softHyphen/>
        <w:t>она рублей на строительство самолета МГ (24977).</w:t>
      </w:r>
    </w:p>
    <w:p w14:paraId="26FF6142" w14:textId="77777777" w:rsidR="005669CF" w:rsidRPr="00142305" w:rsidRDefault="005669CF" w:rsidP="005669CF">
      <w:pPr>
        <w:spacing w:after="0" w:line="240" w:lineRule="auto"/>
        <w:jc w:val="both"/>
        <w:rPr>
          <w:rFonts w:ascii="Times New Roman" w:hAnsi="Times New Roman"/>
          <w:color w:val="0070C0"/>
          <w:sz w:val="16"/>
          <w:szCs w:val="16"/>
        </w:rPr>
      </w:pPr>
    </w:p>
    <w:p w14:paraId="2E42DC52"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декабрю 1932 г. завершили более 80% чертежей Д-1 или Г-1.</w:t>
      </w:r>
    </w:p>
    <w:p w14:paraId="560B0A3B"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проектировался в конструкторском бюро Воен</w:t>
      </w:r>
      <w:r w:rsidRPr="00142305">
        <w:rPr>
          <w:rFonts w:ascii="Times New Roman" w:hAnsi="Times New Roman"/>
          <w:color w:val="0070C0"/>
          <w:sz w:val="16"/>
          <w:szCs w:val="16"/>
        </w:rPr>
        <w:softHyphen/>
        <w:t>но-воздушной академии им. Жуковского под руководством С. Козлова. Его заместителем был В. Болховитинов. Там машина получила обозначение Г -1 (от «гигант» или «грузо</w:t>
      </w:r>
      <w:r w:rsidRPr="00142305">
        <w:rPr>
          <w:rFonts w:ascii="Times New Roman" w:hAnsi="Times New Roman"/>
          <w:color w:val="0070C0"/>
          <w:sz w:val="16"/>
          <w:szCs w:val="16"/>
        </w:rPr>
        <w:softHyphen/>
        <w:t>вой» — трудно сказать).</w:t>
      </w:r>
    </w:p>
    <w:p w14:paraId="00946E7A"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техническому заданию самолет Д-I был многоцеле</w:t>
      </w:r>
      <w:r w:rsidRPr="00142305">
        <w:rPr>
          <w:rFonts w:ascii="Times New Roman" w:hAnsi="Times New Roman"/>
          <w:color w:val="0070C0"/>
          <w:sz w:val="16"/>
          <w:szCs w:val="16"/>
        </w:rPr>
        <w:softHyphen/>
        <w:t>вым. Но в отличие от ТБ-3, ТБ-4 и ТБ-6, у которых на первый план выходили функции бомбардировщика, в первую очередь он являлся военно-транспортным. Причем упор делался не на снабжение фронта и не на быструю переброску войск, а на десантные операции. Д-I предназначался для высадки боль</w:t>
      </w:r>
      <w:r w:rsidRPr="00142305">
        <w:rPr>
          <w:rFonts w:ascii="Times New Roman" w:hAnsi="Times New Roman"/>
          <w:color w:val="0070C0"/>
          <w:sz w:val="16"/>
          <w:szCs w:val="16"/>
        </w:rPr>
        <w:softHyphen/>
        <w:t>ших воздушных парашютных и посадочных десантов. Отсюда и буква «Д» в обозначении — «десантный». Его, конечно, мог</w:t>
      </w:r>
      <w:r w:rsidRPr="00142305">
        <w:rPr>
          <w:rFonts w:ascii="Times New Roman" w:hAnsi="Times New Roman"/>
          <w:color w:val="0070C0"/>
          <w:sz w:val="16"/>
          <w:szCs w:val="16"/>
        </w:rPr>
        <w:softHyphen/>
        <w:t xml:space="preserve">ли использовать и для перевозки людей и грузов к фронту, а также для их «доставки... </w:t>
      </w:r>
      <w:r w:rsidRPr="00142305">
        <w:rPr>
          <w:rFonts w:ascii="Times New Roman" w:hAnsi="Times New Roman"/>
          <w:smallCaps/>
          <w:color w:val="0070C0"/>
          <w:sz w:val="16"/>
          <w:szCs w:val="16"/>
        </w:rPr>
        <w:t>в</w:t>
      </w:r>
      <w:r w:rsidRPr="00142305">
        <w:rPr>
          <w:rFonts w:ascii="Times New Roman" w:hAnsi="Times New Roman"/>
          <w:color w:val="0070C0"/>
          <w:sz w:val="16"/>
          <w:szCs w:val="16"/>
        </w:rPr>
        <w:t xml:space="preserve"> районы восстания в расположении противника». Д -1 должен был нести 180 — 200 человек или 25 т груза. Отсюда сразу следовал ряд его конструктивных особен</w:t>
      </w:r>
      <w:r w:rsidRPr="00142305">
        <w:rPr>
          <w:rFonts w:ascii="Times New Roman" w:hAnsi="Times New Roman"/>
          <w:color w:val="0070C0"/>
          <w:sz w:val="16"/>
          <w:szCs w:val="16"/>
        </w:rPr>
        <w:softHyphen/>
        <w:t>ностей — большие свободные объемы внутри крыла, возмож</w:t>
      </w:r>
      <w:r w:rsidRPr="00142305">
        <w:rPr>
          <w:rFonts w:ascii="Times New Roman" w:hAnsi="Times New Roman"/>
          <w:color w:val="0070C0"/>
          <w:sz w:val="16"/>
          <w:szCs w:val="16"/>
        </w:rPr>
        <w:softHyphen/>
        <w:t>ность наружной подвески громоздкой техники.</w:t>
      </w:r>
    </w:p>
    <w:p w14:paraId="595EE728"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должен был также использоваться в роли тяже</w:t>
      </w:r>
      <w:r w:rsidRPr="00142305">
        <w:rPr>
          <w:rFonts w:ascii="Times New Roman" w:hAnsi="Times New Roman"/>
          <w:color w:val="0070C0"/>
          <w:sz w:val="16"/>
          <w:szCs w:val="16"/>
        </w:rPr>
        <w:softHyphen/>
        <w:t>лого ночного бомбардировщика с бомбовой нагрузкой 15 т. Оборонительное вооружение складывалось из трех пушек, четырех крупнокалиберных и 10 обычных пулеметов. Зада</w:t>
      </w:r>
      <w:r w:rsidRPr="00142305">
        <w:rPr>
          <w:rFonts w:ascii="Times New Roman" w:hAnsi="Times New Roman"/>
          <w:color w:val="0070C0"/>
          <w:sz w:val="16"/>
          <w:szCs w:val="16"/>
        </w:rPr>
        <w:softHyphen/>
        <w:t xml:space="preserve">ние требовало максимальной скорости 250 км/ч на высоте 3000 м, практического потолка, равного 4500 м, и дальности полета с 15т бомб — 2000 </w:t>
      </w:r>
      <w:r w:rsidRPr="00142305">
        <w:rPr>
          <w:rFonts w:ascii="Times New Roman" w:hAnsi="Times New Roman"/>
          <w:smallCaps/>
          <w:color w:val="0070C0"/>
          <w:sz w:val="16"/>
          <w:szCs w:val="16"/>
        </w:rPr>
        <w:t>км.</w:t>
      </w:r>
      <w:r w:rsidRPr="00142305">
        <w:rPr>
          <w:rFonts w:ascii="Times New Roman" w:hAnsi="Times New Roman"/>
          <w:color w:val="0070C0"/>
          <w:sz w:val="16"/>
          <w:szCs w:val="16"/>
        </w:rPr>
        <w:t xml:space="preserve"> Самолет по заданию предпола</w:t>
      </w:r>
      <w:r w:rsidRPr="00142305">
        <w:rPr>
          <w:rFonts w:ascii="Times New Roman" w:hAnsi="Times New Roman"/>
          <w:color w:val="0070C0"/>
          <w:sz w:val="16"/>
          <w:szCs w:val="16"/>
        </w:rPr>
        <w:softHyphen/>
        <w:t>галось оснастить десятью моторами М-34ФРН.</w:t>
      </w:r>
    </w:p>
    <w:p w14:paraId="28D6C326"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проекту Г-1 имел схему, близкую к «летающему кры</w:t>
      </w:r>
      <w:r w:rsidRPr="00142305">
        <w:rPr>
          <w:rFonts w:ascii="Times New Roman" w:hAnsi="Times New Roman"/>
          <w:color w:val="0070C0"/>
          <w:sz w:val="16"/>
          <w:szCs w:val="16"/>
        </w:rPr>
        <w:softHyphen/>
        <w:t>лу». Толстое двухлонжеронное крыло имело трапециевид</w:t>
      </w:r>
      <w:r w:rsidRPr="00142305">
        <w:rPr>
          <w:rFonts w:ascii="Times New Roman" w:hAnsi="Times New Roman"/>
          <w:color w:val="0070C0"/>
          <w:sz w:val="16"/>
          <w:szCs w:val="16"/>
        </w:rPr>
        <w:softHyphen/>
        <w:t>ную в плане форму. Максимальная хорда равнялась 15 м, а размах превышал 60 м. Между ферменными лонжеронами проходил технический коридор, по которому в полный рост могли ходить члены экипажа. Внутри крыла предусматри</w:t>
      </w:r>
      <w:r w:rsidRPr="00142305">
        <w:rPr>
          <w:rFonts w:ascii="Times New Roman" w:hAnsi="Times New Roman"/>
          <w:color w:val="0070C0"/>
          <w:sz w:val="16"/>
          <w:szCs w:val="16"/>
        </w:rPr>
        <w:softHyphen/>
        <w:t>валось искусственное и естественное (через окна в верхней поверхности) освещение.</w:t>
      </w:r>
    </w:p>
    <w:p w14:paraId="52095109"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заданные двигатели отсутствовали, при</w:t>
      </w:r>
      <w:r w:rsidRPr="00142305">
        <w:rPr>
          <w:rFonts w:ascii="Times New Roman" w:hAnsi="Times New Roman"/>
          <w:color w:val="0070C0"/>
          <w:sz w:val="16"/>
          <w:szCs w:val="16"/>
        </w:rPr>
        <w:softHyphen/>
        <w:t>шлось взять другие, менее мощные и увеличить их количес</w:t>
      </w:r>
      <w:r w:rsidRPr="00142305">
        <w:rPr>
          <w:rFonts w:ascii="Times New Roman" w:hAnsi="Times New Roman"/>
          <w:color w:val="0070C0"/>
          <w:sz w:val="16"/>
          <w:szCs w:val="16"/>
        </w:rPr>
        <w:softHyphen/>
        <w:t>тво. Машина имела очень оригинальную мотоустановку. Двенадцать моторов стояли шестью парами, носок к нос</w:t>
      </w:r>
      <w:r w:rsidRPr="00142305">
        <w:rPr>
          <w:rFonts w:ascii="Times New Roman" w:hAnsi="Times New Roman"/>
          <w:color w:val="0070C0"/>
          <w:sz w:val="16"/>
          <w:szCs w:val="16"/>
        </w:rPr>
        <w:softHyphen/>
        <w:t>ку, у передней кромки крьша. Каждая пара работала на один редуктор, который через угловую передачу вращал длинный вал, идущий наверх. Там на высоких стойках располагались вторые угловые реддукторы, приводившие во вращение воз</w:t>
      </w:r>
      <w:r w:rsidRPr="00142305">
        <w:rPr>
          <w:rFonts w:ascii="Times New Roman" w:hAnsi="Times New Roman"/>
          <w:color w:val="0070C0"/>
          <w:sz w:val="16"/>
          <w:szCs w:val="16"/>
        </w:rPr>
        <w:softHyphen/>
        <w:t>душные винты. Винты были двухлопастные стальные диа</w:t>
      </w:r>
      <w:r w:rsidRPr="00142305">
        <w:rPr>
          <w:rFonts w:ascii="Times New Roman" w:hAnsi="Times New Roman"/>
          <w:color w:val="0070C0"/>
          <w:sz w:val="16"/>
          <w:szCs w:val="16"/>
        </w:rPr>
        <w:softHyphen/>
        <w:t>метром 4,5 м. Для обслуживания верхнего редуктора на стойку монтировалась съемная лестница. Механик мог выйти на крыло через один из люков в потолке.</w:t>
      </w:r>
    </w:p>
    <w:p w14:paraId="4A76A401"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Доступ к двигателям обеспечивался как изнутри крыла, так и снаружи. Часть носка крыла выполнялась откидной. Секции откидывались, превращаясь в рабочие платформы. Для замены мотора он выдвигался в технический коридор, на потолке которого имелась двигающаяся по рельсам таль. В полу коридора у каждой мотоустановки предусматривал</w:t>
      </w:r>
      <w:r w:rsidRPr="00142305">
        <w:rPr>
          <w:rFonts w:ascii="Times New Roman" w:hAnsi="Times New Roman"/>
          <w:color w:val="0070C0"/>
          <w:sz w:val="16"/>
          <w:szCs w:val="16"/>
        </w:rPr>
        <w:softHyphen/>
        <w:t>ся люк ДЛЯ опускания двигателя вниз.</w:t>
      </w:r>
    </w:p>
    <w:p w14:paraId="447E9D1E"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Бензобаки находились там же, в крыле, но отделялись от двигателей противопожарными перегородками. Всего их имелось 24. Запас горючего бьш очень велик — 24 т, пос</w:t>
      </w:r>
      <w:r w:rsidRPr="00142305">
        <w:rPr>
          <w:rFonts w:ascii="Times New Roman" w:hAnsi="Times New Roman"/>
          <w:color w:val="0070C0"/>
          <w:sz w:val="16"/>
          <w:szCs w:val="16"/>
        </w:rPr>
        <w:softHyphen/>
        <w:t>кольку расчетная продолжительность полета превышала 20 часов. Все баки выполнялись съемными; они монтирова</w:t>
      </w:r>
      <w:r w:rsidRPr="00142305">
        <w:rPr>
          <w:rFonts w:ascii="Times New Roman" w:hAnsi="Times New Roman"/>
          <w:color w:val="0070C0"/>
          <w:sz w:val="16"/>
          <w:szCs w:val="16"/>
        </w:rPr>
        <w:softHyphen/>
        <w:t>лись через люки в нижней поверхности крыла. Баки одно</w:t>
      </w:r>
      <w:r w:rsidRPr="00142305">
        <w:rPr>
          <w:rFonts w:ascii="Times New Roman" w:hAnsi="Times New Roman"/>
          <w:color w:val="0070C0"/>
          <w:sz w:val="16"/>
          <w:szCs w:val="16"/>
        </w:rPr>
        <w:softHyphen/>
        <w:t>го крыл соединялись общей магистралью с приемной гор</w:t>
      </w:r>
      <w:r w:rsidRPr="00142305">
        <w:rPr>
          <w:rFonts w:ascii="Times New Roman" w:hAnsi="Times New Roman"/>
          <w:color w:val="0070C0"/>
          <w:sz w:val="16"/>
          <w:szCs w:val="16"/>
        </w:rPr>
        <w:softHyphen/>
        <w:t>ловиной под крылом. Бензин туда подавался от заправщика с мощным насосом под давлением; по расчетам, полная за</w:t>
      </w:r>
      <w:r w:rsidRPr="00142305">
        <w:rPr>
          <w:rFonts w:ascii="Times New Roman" w:hAnsi="Times New Roman"/>
          <w:color w:val="0070C0"/>
          <w:sz w:val="16"/>
          <w:szCs w:val="16"/>
        </w:rPr>
        <w:softHyphen/>
        <w:t>правка самолета должна была занимать четыре часа. Каж</w:t>
      </w:r>
      <w:r w:rsidRPr="00142305">
        <w:rPr>
          <w:rFonts w:ascii="Times New Roman" w:hAnsi="Times New Roman"/>
          <w:color w:val="0070C0"/>
          <w:sz w:val="16"/>
          <w:szCs w:val="16"/>
        </w:rPr>
        <w:softHyphen/>
        <w:t>дый двигатель имел свой маслобак, всего их было 12 — в об</w:t>
      </w:r>
      <w:r w:rsidRPr="00142305">
        <w:rPr>
          <w:rFonts w:ascii="Times New Roman" w:hAnsi="Times New Roman"/>
          <w:color w:val="0070C0"/>
          <w:sz w:val="16"/>
          <w:szCs w:val="16"/>
        </w:rPr>
        <w:softHyphen/>
        <w:t>щей сложности на 2,5 т масла.</w:t>
      </w:r>
    </w:p>
    <w:p w14:paraId="485E712C"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Фюзеляжа, как такового, не существовало. По оси ма</w:t>
      </w:r>
      <w:r w:rsidRPr="00142305">
        <w:rPr>
          <w:rFonts w:ascii="Times New Roman" w:hAnsi="Times New Roman"/>
          <w:color w:val="0070C0"/>
          <w:sz w:val="16"/>
          <w:szCs w:val="16"/>
        </w:rPr>
        <w:softHyphen/>
        <w:t>шины из носка крыла «вырастала» гондола, где размеща</w:t>
      </w:r>
      <w:r w:rsidRPr="00142305">
        <w:rPr>
          <w:rFonts w:ascii="Times New Roman" w:hAnsi="Times New Roman"/>
          <w:color w:val="0070C0"/>
          <w:sz w:val="16"/>
          <w:szCs w:val="16"/>
        </w:rPr>
        <w:softHyphen/>
        <w:t>лись пилоты, штурманы и некоторые другие члены экипа</w:t>
      </w:r>
      <w:r w:rsidRPr="00142305">
        <w:rPr>
          <w:rFonts w:ascii="Times New Roman" w:hAnsi="Times New Roman"/>
          <w:color w:val="0070C0"/>
          <w:sz w:val="16"/>
          <w:szCs w:val="16"/>
        </w:rPr>
        <w:softHyphen/>
        <w:t>жа. Назад от крыла шли две массивные хвостовые балки, соединенные сзади стабилизатором. Килей было два — на каждой балке свой.</w:t>
      </w:r>
    </w:p>
    <w:p w14:paraId="6A2886B0"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Рули должны были управляться при помощи гидравли</w:t>
      </w:r>
      <w:r w:rsidRPr="00142305">
        <w:rPr>
          <w:rFonts w:ascii="Times New Roman" w:hAnsi="Times New Roman"/>
          <w:color w:val="0070C0"/>
          <w:sz w:val="16"/>
          <w:szCs w:val="16"/>
        </w:rPr>
        <w:softHyphen/>
        <w:t>ческих или электромеханических бустеров. Надо уточнить: вторые в СССР уже имелись, но были ненадежны, а первых вообще не существовало.</w:t>
      </w:r>
    </w:p>
    <w:p w14:paraId="2FC408BF"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Шасси у Г-1 выполнялось четырехточечным: две основ</w:t>
      </w:r>
      <w:r w:rsidRPr="00142305">
        <w:rPr>
          <w:rFonts w:ascii="Times New Roman" w:hAnsi="Times New Roman"/>
          <w:color w:val="0070C0"/>
          <w:sz w:val="16"/>
          <w:szCs w:val="16"/>
        </w:rPr>
        <w:softHyphen/>
        <w:t>ные опоры и два костыля. Основные опоры были четырех</w:t>
      </w:r>
      <w:r w:rsidRPr="00142305">
        <w:rPr>
          <w:rFonts w:ascii="Times New Roman" w:hAnsi="Times New Roman"/>
          <w:color w:val="0070C0"/>
          <w:sz w:val="16"/>
          <w:szCs w:val="16"/>
        </w:rPr>
        <w:softHyphen/>
        <w:t>колесными, но колеса стояли парами, каждая пара со своей стойкой и своими подкосами вбок и назад. Стойки наверху соединялись рычажной системой, передававшей усилие об</w:t>
      </w:r>
      <w:r w:rsidRPr="00142305">
        <w:rPr>
          <w:rFonts w:ascii="Times New Roman" w:hAnsi="Times New Roman"/>
          <w:color w:val="0070C0"/>
          <w:sz w:val="16"/>
          <w:szCs w:val="16"/>
        </w:rPr>
        <w:softHyphen/>
        <w:t>щему амортизатору, упрятанному внутрь крыла.</w:t>
      </w:r>
    </w:p>
    <w:p w14:paraId="0E905611"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Десантники и грузы размещались в центроплане. При погрузке их поднимали наверх специальные платформы- лифты. Эти же платформы использовались при выброс</w:t>
      </w:r>
      <w:r w:rsidRPr="00142305">
        <w:rPr>
          <w:rFonts w:ascii="Times New Roman" w:hAnsi="Times New Roman"/>
          <w:color w:val="0070C0"/>
          <w:sz w:val="16"/>
          <w:szCs w:val="16"/>
        </w:rPr>
        <w:softHyphen/>
        <w:t>ке парашютистов. Самолет мог перевозить пехотинцев со снаряжением и вооружением, парашютистов-десантни</w:t>
      </w:r>
      <w:r w:rsidRPr="00142305">
        <w:rPr>
          <w:rFonts w:ascii="Times New Roman" w:hAnsi="Times New Roman"/>
          <w:color w:val="0070C0"/>
          <w:sz w:val="16"/>
          <w:szCs w:val="16"/>
        </w:rPr>
        <w:softHyphen/>
        <w:t>ков, стрелковое оружие и пулеметы, инструмент, взрывча</w:t>
      </w:r>
      <w:r w:rsidRPr="00142305">
        <w:rPr>
          <w:rFonts w:ascii="Times New Roman" w:hAnsi="Times New Roman"/>
          <w:color w:val="0070C0"/>
          <w:sz w:val="16"/>
          <w:szCs w:val="16"/>
        </w:rPr>
        <w:softHyphen/>
        <w:t>тые вещества, боеприпасы, продовольствие, горючее и мас</w:t>
      </w:r>
      <w:r w:rsidRPr="00142305">
        <w:rPr>
          <w:rFonts w:ascii="Times New Roman" w:hAnsi="Times New Roman"/>
          <w:color w:val="0070C0"/>
          <w:sz w:val="16"/>
          <w:szCs w:val="16"/>
        </w:rPr>
        <w:softHyphen/>
        <w:t>ло в различной таре, артиллерийские орудия различного калибра и назначения (включая зенитные), легкие танки, танкетки, легковые и грузовые автомобили, бронемашины. Можно было также вывозить раненых. В качестве танкеров четыре-пять Г -1 могли обеспечить бензином ВВС целой ар</w:t>
      </w:r>
      <w:r w:rsidRPr="00142305">
        <w:rPr>
          <w:rFonts w:ascii="Times New Roman" w:hAnsi="Times New Roman"/>
          <w:color w:val="0070C0"/>
          <w:sz w:val="16"/>
          <w:szCs w:val="16"/>
        </w:rPr>
        <w:softHyphen/>
        <w:t>мии из бригады бомбардировщиков ТБ-l, трех бригад раз</w:t>
      </w:r>
      <w:r w:rsidRPr="00142305">
        <w:rPr>
          <w:rFonts w:ascii="Times New Roman" w:hAnsi="Times New Roman"/>
          <w:color w:val="0070C0"/>
          <w:sz w:val="16"/>
          <w:szCs w:val="16"/>
        </w:rPr>
        <w:softHyphen/>
        <w:t>ведчиков Р-5, трех бригад истребителей и двух эскадрилий «крейсеров» Р-6. Прорабатывался вариант «танкера сопро</w:t>
      </w:r>
      <w:r w:rsidRPr="00142305">
        <w:rPr>
          <w:rFonts w:ascii="Times New Roman" w:hAnsi="Times New Roman"/>
          <w:color w:val="0070C0"/>
          <w:sz w:val="16"/>
          <w:szCs w:val="16"/>
        </w:rPr>
        <w:softHyphen/>
        <w:t>вождения», способного проводить дозаправку самолетов в воздухе. Один такой самолет мог заправить более двух эс</w:t>
      </w:r>
      <w:r w:rsidRPr="00142305">
        <w:rPr>
          <w:rFonts w:ascii="Times New Roman" w:hAnsi="Times New Roman"/>
          <w:color w:val="0070C0"/>
          <w:sz w:val="16"/>
          <w:szCs w:val="16"/>
        </w:rPr>
        <w:softHyphen/>
        <w:t>кадрилий Р-6.</w:t>
      </w:r>
    </w:p>
    <w:p w14:paraId="52427303"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Г-1 в зависимости от выполняемого задания мог варьироваться от девяти до 18 человек. Был и более развернутый вариант штата. Его состав и названия должнос</w:t>
      </w:r>
      <w:r w:rsidRPr="00142305">
        <w:rPr>
          <w:rFonts w:ascii="Times New Roman" w:hAnsi="Times New Roman"/>
          <w:color w:val="0070C0"/>
          <w:sz w:val="16"/>
          <w:szCs w:val="16"/>
        </w:rPr>
        <w:softHyphen/>
        <w:t>тей были ближе к небольшому военному кораблю, неже</w:t>
      </w:r>
      <w:r w:rsidRPr="00142305">
        <w:rPr>
          <w:rFonts w:ascii="Times New Roman" w:hAnsi="Times New Roman"/>
          <w:color w:val="0070C0"/>
          <w:sz w:val="16"/>
          <w:szCs w:val="16"/>
        </w:rPr>
        <w:softHyphen/>
        <w:t>ли к самолету. На борту имелись освобожденный от прочих обязанностей командир, два пилота, два штурмана, глав</w:t>
      </w:r>
      <w:r w:rsidRPr="00142305">
        <w:rPr>
          <w:rFonts w:ascii="Times New Roman" w:hAnsi="Times New Roman"/>
          <w:color w:val="0070C0"/>
          <w:sz w:val="16"/>
          <w:szCs w:val="16"/>
        </w:rPr>
        <w:softHyphen/>
        <w:t>ный механик, четыре инженера и пять техников, главный артиллерист, два бортмеханика-моториста, радист и от пя</w:t>
      </w:r>
      <w:r w:rsidRPr="00142305">
        <w:rPr>
          <w:rFonts w:ascii="Times New Roman" w:hAnsi="Times New Roman"/>
          <w:color w:val="0070C0"/>
          <w:sz w:val="16"/>
          <w:szCs w:val="16"/>
        </w:rPr>
        <w:softHyphen/>
        <w:t>ти до девяти стрелков. Весь экипаж, кроме кормовых стрел</w:t>
      </w:r>
      <w:r w:rsidRPr="00142305">
        <w:rPr>
          <w:rFonts w:ascii="Times New Roman" w:hAnsi="Times New Roman"/>
          <w:color w:val="0070C0"/>
          <w:sz w:val="16"/>
          <w:szCs w:val="16"/>
        </w:rPr>
        <w:softHyphen/>
        <w:t>ков, поднимался по стремянкам в люки моторных коридо</w:t>
      </w:r>
      <w:r w:rsidRPr="00142305">
        <w:rPr>
          <w:rFonts w:ascii="Times New Roman" w:hAnsi="Times New Roman"/>
          <w:color w:val="0070C0"/>
          <w:sz w:val="16"/>
          <w:szCs w:val="16"/>
        </w:rPr>
        <w:softHyphen/>
        <w:t>ров, откуда расходился по рабочим местам. На земле одну гигантскую машину должны были обслуживать 69 человек.</w:t>
      </w:r>
    </w:p>
    <w:p w14:paraId="5A4313B4"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Внутренняя связь между членами экипажа обеспечива</w:t>
      </w:r>
      <w:r w:rsidRPr="00142305">
        <w:rPr>
          <w:rFonts w:ascii="Times New Roman" w:hAnsi="Times New Roman"/>
          <w:color w:val="0070C0"/>
          <w:sz w:val="16"/>
          <w:szCs w:val="16"/>
        </w:rPr>
        <w:softHyphen/>
        <w:t>лась переговорным устройством (внутренним телефоном) на 12 абонентов, пневмопочтой, сигнализацией цветны</w:t>
      </w:r>
      <w:r w:rsidRPr="00142305">
        <w:rPr>
          <w:rFonts w:ascii="Times New Roman" w:hAnsi="Times New Roman"/>
          <w:color w:val="0070C0"/>
          <w:sz w:val="16"/>
          <w:szCs w:val="16"/>
        </w:rPr>
        <w:softHyphen/>
        <w:t>ми лампочками и сиреной. У главного артиллериста и ко</w:t>
      </w:r>
      <w:r w:rsidRPr="00142305">
        <w:rPr>
          <w:rFonts w:ascii="Times New Roman" w:hAnsi="Times New Roman"/>
          <w:color w:val="0070C0"/>
          <w:sz w:val="16"/>
          <w:szCs w:val="16"/>
        </w:rPr>
        <w:softHyphen/>
        <w:t>мандира самолета кроме этого имелось электрическое уст</w:t>
      </w:r>
      <w:r w:rsidRPr="00142305">
        <w:rPr>
          <w:rFonts w:ascii="Times New Roman" w:hAnsi="Times New Roman"/>
          <w:color w:val="0070C0"/>
          <w:sz w:val="16"/>
          <w:szCs w:val="16"/>
        </w:rPr>
        <w:softHyphen/>
        <w:t>ройство, аналогичное корабельному машинному телеграфу. Его репитеры стояли на всех боевых постах. Вращающаяся стрелка указывала направление стрельбы. С помощью это</w:t>
      </w:r>
      <w:r w:rsidRPr="00142305">
        <w:rPr>
          <w:rFonts w:ascii="Times New Roman" w:hAnsi="Times New Roman"/>
          <w:color w:val="0070C0"/>
          <w:sz w:val="16"/>
          <w:szCs w:val="16"/>
        </w:rPr>
        <w:softHyphen/>
        <w:t>го устройства можно было отдать команду на сосредоточе</w:t>
      </w:r>
      <w:r w:rsidRPr="00142305">
        <w:rPr>
          <w:rFonts w:ascii="Times New Roman" w:hAnsi="Times New Roman"/>
          <w:color w:val="0070C0"/>
          <w:sz w:val="16"/>
          <w:szCs w:val="16"/>
        </w:rPr>
        <w:softHyphen/>
        <w:t>ние огня в определенном направлении. В кабине командира монтировалось панно сигнализации, показывающее состо</w:t>
      </w:r>
      <w:r w:rsidRPr="00142305">
        <w:rPr>
          <w:rFonts w:ascii="Times New Roman" w:hAnsi="Times New Roman"/>
          <w:color w:val="0070C0"/>
          <w:sz w:val="16"/>
          <w:szCs w:val="16"/>
        </w:rPr>
        <w:softHyphen/>
        <w:t>яние различных систем. Связь между самолетами в группе обеспечивалась по радио, пуском цветных ракет и... вымпе</w:t>
      </w:r>
      <w:r w:rsidRPr="00142305">
        <w:rPr>
          <w:rFonts w:ascii="Times New Roman" w:hAnsi="Times New Roman"/>
          <w:color w:val="0070C0"/>
          <w:sz w:val="16"/>
          <w:szCs w:val="16"/>
        </w:rPr>
        <w:softHyphen/>
        <w:t>лами, как на кораблях!</w:t>
      </w:r>
    </w:p>
    <w:p w14:paraId="5A57C385" w14:textId="77777777" w:rsidR="005669CF" w:rsidRPr="00142305" w:rsidRDefault="005669CF" w:rsidP="005669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Огневые точки располагались в самом носу центральной гондолы, в передних оконечностях хвостовых балок, прохо</w:t>
      </w:r>
      <w:r w:rsidRPr="00142305">
        <w:rPr>
          <w:rFonts w:ascii="Times New Roman" w:hAnsi="Times New Roman"/>
          <w:color w:val="0070C0"/>
          <w:sz w:val="16"/>
          <w:szCs w:val="16"/>
        </w:rPr>
        <w:softHyphen/>
        <w:t xml:space="preserve">дящих под крылом </w:t>
      </w:r>
      <w:r w:rsidRPr="00142305">
        <w:rPr>
          <w:rFonts w:ascii="Times New Roman" w:hAnsi="Times New Roman"/>
          <w:smallCaps/>
          <w:color w:val="0070C0"/>
          <w:sz w:val="16"/>
          <w:szCs w:val="16"/>
        </w:rPr>
        <w:t>и</w:t>
      </w:r>
      <w:r w:rsidRPr="00142305">
        <w:rPr>
          <w:rFonts w:ascii="Times New Roman" w:hAnsi="Times New Roman"/>
          <w:color w:val="0070C0"/>
          <w:sz w:val="16"/>
          <w:szCs w:val="16"/>
        </w:rPr>
        <w:t xml:space="preserve"> немного вьщающихся за его переднюю кромку, сверху на консолях, сверху посередине хвостовых ба</w:t>
      </w:r>
      <w:r w:rsidRPr="00142305">
        <w:rPr>
          <w:rFonts w:ascii="Times New Roman" w:hAnsi="Times New Roman"/>
          <w:color w:val="0070C0"/>
          <w:sz w:val="16"/>
          <w:szCs w:val="16"/>
        </w:rPr>
        <w:softHyphen/>
        <w:t>лок и в самых их концах, за стабилизатором. В носу и на кон</w:t>
      </w:r>
      <w:r w:rsidRPr="00142305">
        <w:rPr>
          <w:rFonts w:ascii="Times New Roman" w:hAnsi="Times New Roman"/>
          <w:color w:val="0070C0"/>
          <w:sz w:val="16"/>
          <w:szCs w:val="16"/>
        </w:rPr>
        <w:softHyphen/>
        <w:t>цах хвостовых балок монтировались пушки, в остальных ус</w:t>
      </w:r>
      <w:r w:rsidRPr="00142305">
        <w:rPr>
          <w:rFonts w:ascii="Times New Roman" w:hAnsi="Times New Roman"/>
          <w:color w:val="0070C0"/>
          <w:sz w:val="16"/>
          <w:szCs w:val="16"/>
        </w:rPr>
        <w:softHyphen/>
        <w:t>тановках - пулеметы. Управление огнем осуществлялось из двух рубок: передней — командира и задней — старшего ар</w:t>
      </w:r>
      <w:r w:rsidRPr="00142305">
        <w:rPr>
          <w:rFonts w:ascii="Times New Roman" w:hAnsi="Times New Roman"/>
          <w:color w:val="0070C0"/>
          <w:sz w:val="16"/>
          <w:szCs w:val="16"/>
        </w:rPr>
        <w:softHyphen/>
        <w:t>тиллериста (24977).</w:t>
      </w:r>
    </w:p>
    <w:p w14:paraId="73F4AB11" w14:textId="77777777" w:rsidR="005669CF" w:rsidRPr="00142305" w:rsidRDefault="005669CF" w:rsidP="005669CF">
      <w:pPr>
        <w:spacing w:after="0" w:line="240" w:lineRule="auto"/>
        <w:jc w:val="both"/>
        <w:rPr>
          <w:rFonts w:ascii="Times New Roman" w:hAnsi="Times New Roman"/>
          <w:color w:val="0070C0"/>
          <w:sz w:val="16"/>
          <w:szCs w:val="16"/>
        </w:rPr>
      </w:pPr>
    </w:p>
    <w:p w14:paraId="6433B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декабрю 1932 завершили более 80% чертежей Д-1 или Г-1. По техническому заданию самолет Д-1 был многоцелевым. Но в отличие от ТБ-3, ТБ-4 и ТБ-6, у которых на первый план выходили функции бомбардировщика, в первую очередь он являлся военно-транспортным. Причем упор делался не на снабжение фронта и не на быструю переброску войск, а на десантные операции. Д-1 предназначался для высадки больших воздушных парашютных и посадочных десантов. Отсюда и буква "Д" в обозначении - "десантный". Его, конечно, могли использовать и для перевозки людей и грузов к фронту, а также для их "доставки... в районы восстания в расположении противника". Д-1 должен был нести 180 - 200 человек или 25 т груза. Отсюда сразу следовал ряд его конструктивных особенностей - большие свободные объемы внутри крыла, возможность наружной подвески громоздкой техники.</w:t>
      </w:r>
    </w:p>
    <w:p w14:paraId="2F5463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должен был также использоваться в роли тяжелого ночного бомбардировщика с бомбовой нагрузкой 15 т. Оборонительное вооружение складывалось из трех пушек, четырех крупнокалиберных и 10 обычных пулеметов. Задание требовало максимальной скорости 250 км/ч на высоте 3000 м, практического потолка, равного 4500 м, и дальности полета с 15 т бомб - 2000 км. Самолет по заданию предполагалось оснастить десятью моторами М-34ФРН.</w:t>
      </w:r>
    </w:p>
    <w:p w14:paraId="536E39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проектировался в конструкторском бюро Военно-воздушной академии им. Жуковского под руководством С. Козлова. Его заместителем был В. Болховитинов. Там машина получила обозначение Г-1 (от "гигант" или "грузовой" - трудно сказать).</w:t>
      </w:r>
    </w:p>
    <w:p w14:paraId="469530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 проекту Г-1 имел схему, близкую к "летающему крылу". Толстое двухлонжеронное крыло имело трапециевидную в плане форму. Максимальная хорда равнялась 15 м, а размах превышал 60 м. Между ферменными лонжеронами проходил технический коридор, по которому в полный рост могли ходить члены экипажа. Внутри крыла предусматривалось искусственное и естественное (через окна в верхней поверхности) освещение.</w:t>
      </w:r>
    </w:p>
    <w:p w14:paraId="6478F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заданные двигатели отсутствовали, пришлось взять другие, менее мощные и увеличить их количество. Машина имела очень оригинальную мотоустановку. Двенадцать моторов стояли шестью парами, носок к носку, у передней кромки крыла. Каждая пара работала на один редуктор, который через угловую передачу вращал длинный вал, идущий наверх. Там на высоких стойках располагались вторые угловые редукторы, приводившие во вращение воздушные винты. Винты были двухлопастные стальные диаметром 4,5 м. Для обслуживания верхнего редуктора на стойку монтировалась съемная лестница. Механик мог выйти на крыло через один из люков в потолке.</w:t>
      </w:r>
    </w:p>
    <w:p w14:paraId="0F2163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Доступ к двигателям обеспечивался как изнутри крыла, так и снаружи. Часть носка крыла выполнялась откидной. Секции откидывались, превращаясь в рабочие платформы. Для замены мотора он выдвигался в технический коридор, на потолке которого имелась двигающаяся по рельсам таль. В полу коридора у каждой мотоустановки предусматривался люк для опускания двигателя вниз.</w:t>
      </w:r>
    </w:p>
    <w:p w14:paraId="0EF76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Бензобаки находились там же, в крыле, но отделялись от двигателей противопожарными перегородками. Всего их имелось 24. Запас горючего был очень велик - 24 т, поскольку расчетная продолжительность полета превышала 20 часов. Все баки выполнялись съемными; они монтировались через люки в нижней поверхности крыла. Баки одного крыла соединялись общей магистралью с приемной горловиной под крылом. Бензин туда подавался от заправщика с мощным насосом под давлением; по расчетам, полная заправка самолета должна была занимать четыре часа. Каждый двигатель имел свой маслобак, всего их было 12 - в общей сложности на 2,5 т масла.</w:t>
      </w:r>
    </w:p>
    <w:p w14:paraId="43EFC7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Фюзеляжа, как такового, не существовало. По оси машины из носка крыла "вырастала" гондола, где размещались пилоты, штурманы и некоторые другие члены экипажа. Назад от крыла шли две массивные хвостовые балки, соединенные сзади стабилизатором. Килей было два - на каждой балке свой.</w:t>
      </w:r>
    </w:p>
    <w:p w14:paraId="60B822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Рули должны были управляться при помощи гидравлических или электромеханических бустеров. Надо уточнить: вторые в СССР уже имелись, но были ненадежны, а первых вообще не существовало.</w:t>
      </w:r>
    </w:p>
    <w:p w14:paraId="130C6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Шасси у Г-1 выполнялось четырехточечным: две основные опоры и два костыля. Основные опоры были четырехколесными, но колеса стояли парами, каждая пара со своей стойкой и своими подкосами вбок и назад. Стойки наверху соединялись рычажной системой, передававшей усилие общему амортизатору, упрятанному внутрь крыла.</w:t>
      </w:r>
    </w:p>
    <w:p w14:paraId="5DD31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Десантники и грузы размещались в центроплане. При погрузке их поднимали наверх специальные платформы- лифты. Эти же платформы использовались при выброске парашютистов. Самолет мог перевозить пехотинцев со снаряжением и вооружением, парашютистов-десантников, стрелковое оружие и пулеметы, инструмент, взрывчатые вещества, боеприпасы, продовольствие, горючее и масло в различной таре, артиллерийские орудия различного калибра и назначения (включая зенитные), легкие танки, танкетки, легковые и грузовые автомобили, бронемашины. Можно было также вывозить раненых. В качестве танкеров четыре-пять Г-1 могли обеспечить бензином ВВС целой армии из бригады бомбардировщиков ТБ-1, трех бригад разведчиков Р-5, трех бригад истребителей и двух эскадрилий "крейсеров" Р-6. Прорабатывался вариант "танкера сопровождения", способного проводить дозаправку самолетов в воздухе. Один такой самолет мог заправить более двух эскадрилий Р-6.</w:t>
      </w:r>
    </w:p>
    <w:p w14:paraId="05D511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Г-1 в зависимости от выполняемого задания мог варьироваться от девяти до 18 человек. Был и более развернутый вариант штата. Его состав и названия должностей были ближе к небольшому военному кораблю, нежели к самолету. На борту имелись освобожденный от прочих обязанностей командир, два пилота, два штурмана, главный механик, четыре инженера и пять техников, главный артиллерист, два бортмеханика-моториста, радист и от пяти до девяти стрелков. Весь экипаж, кроме кормовых стрелков, поднимался по стремянкам в люки моторных коридоров, откуда расходился по рабочим местам. На земле одну гигантскую машину должны были обслуживать 69 человек.</w:t>
      </w:r>
    </w:p>
    <w:p w14:paraId="5A1978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Внутренняя связь между членами экипажа обеспечивалась переговорным устройством (внутренним телефоном) на 12 абонентов, пневмопочтой, сигнализацией цветными лампочками и сиреной. У главного артиллериста и командира самолета кроме этого имелось электрическое устройство, аналогичное корабельному машинному телеграфу. Его репитеры стояли на всех боевых постах. Вращающаяся стрелка указывала направление стрельбы. С помощью этого устройства можно было отдать команду на сосредоточение огня в определенном направлении. В кабине командира монтировалось панно сигнализации, показывающее состояние различных систем. Связь между самолетами в группе обеспечивалась по радио, пуском цветных ракет и... вымпелами, как на кораблях!</w:t>
      </w:r>
    </w:p>
    <w:p w14:paraId="1E2F12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Огневые точки располагались в самом носу центральной гондолы, в передних оконечностях хвостовых балок, проходящих под крылом и немного выдающихся за его переднюю кромку, сверху на консолях, сверху посередине хвостовых балок и в самых их концах, за стабилизатором. В носу и на концах хвостовых балок монтировались пушки, в остальных установках - пулеметы. Управление огнем осуществлялось из двух рубок: передней - командира и задней - старшего артиллериста. В документе "Перспективы боевого применения Г-1", датированном 27 октября 1932 г., указывается: "Несомненно, однако, что противник не рискнет... на бой одиночного самолета с кораблем Г-1, ибо этот самолет наверняка будет сбит". Конструкторы считали, что гигантский самолет сможет отразить атаку до девяти истребителей одновременно, успешно ведя бой с любым количеством противников, которое было бы меньше, чем число огневых точек.</w:t>
      </w:r>
    </w:p>
    <w:p w14:paraId="0ED8E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Г-1, защищаясь, мог пустить в ход не только пушки и пулеметы. В хвосте располагались "баллоны самообороны", разбрызгивавшие отравляющие вещества. Из специальных отсеков выбрасывались небольшие бомбочки с дистанционными взрывателями - прообраз будущих авиационных фанат. И, наконец, Г-1 мог поставить за собой дымовую завесу, для чего имелся специальный бак на две тонны смеси. Смесь могла быть как обычной С-4, так и ядовитой.</w:t>
      </w:r>
    </w:p>
    <w:p w14:paraId="32A99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качестве бомбардировщика Г-1 имел максимальную нагрузку 25 т, нормальную 15 т - как ТБ-6 (АНТ-26). Максимальная дальность с 5000 кг бомб по расчетам составляла 2200 км. Самые большие бомбы, которые можно было использовать, - ФАБ-2000. Предусматривалась и подвеска одноразовых бомбовых кассет РРАБ. Как бомбардировщик Г-1 был эквивалентен сразу десяти ТБ-3. Вместо бомб можно было взять химические выливные приборы с общим весом отравляющих веществ до 20 т. Суммарный нормальный взлетный вес Г-1 определялся примерно в 40 т (12036).</w:t>
      </w:r>
    </w:p>
    <w:p w14:paraId="30007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29CB1C" w14:textId="77777777" w:rsidR="00A41DB4" w:rsidRPr="00E93F40" w:rsidRDefault="00A41DB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декабрю 1932 г. завод № 31 уже изготовил 27 самолетов МБР-4 и 15 из них сдал военным, хотя только один гидроплан успели перегнать по назначению (21410).</w:t>
      </w:r>
    </w:p>
    <w:p w14:paraId="2961CC36" w14:textId="77777777" w:rsidR="00A41DB4" w:rsidRPr="00E93F40" w:rsidRDefault="00A41DB4" w:rsidP="00E93F40">
      <w:pPr>
        <w:spacing w:after="0" w:line="240" w:lineRule="auto"/>
        <w:jc w:val="both"/>
        <w:rPr>
          <w:rFonts w:ascii="Times New Roman" w:hAnsi="Times New Roman"/>
          <w:color w:val="000000" w:themeColor="text1"/>
          <w:sz w:val="16"/>
          <w:szCs w:val="16"/>
        </w:rPr>
      </w:pPr>
    </w:p>
    <w:p w14:paraId="2497D261" w14:textId="77777777" w:rsidR="00EA0EE9" w:rsidRPr="00142305" w:rsidRDefault="00EA0EE9" w:rsidP="00EA0EE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декабрю 1932 г. завод № 31 уже из</w:t>
      </w:r>
      <w:r w:rsidRPr="00142305">
        <w:rPr>
          <w:rFonts w:ascii="Times New Roman" w:hAnsi="Times New Roman"/>
          <w:color w:val="0070C0"/>
          <w:sz w:val="16"/>
          <w:szCs w:val="16"/>
        </w:rPr>
        <w:softHyphen/>
        <w:t>готовил 27 самолетов МБР-4 и 15 из них сдал военным, хотя только один гидроплан успели перегнать по назначению.</w:t>
      </w:r>
    </w:p>
    <w:p w14:paraId="6F6E9A6B" w14:textId="77777777" w:rsidR="00EA0EE9" w:rsidRPr="00142305" w:rsidRDefault="00EA0EE9" w:rsidP="00EA0EE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Производство постепенно ускорялось, хотя реальные цифры отставали от «вы</w:t>
      </w:r>
      <w:r w:rsidRPr="00142305">
        <w:rPr>
          <w:rFonts w:ascii="Times New Roman" w:hAnsi="Times New Roman"/>
          <w:color w:val="0070C0"/>
          <w:sz w:val="16"/>
          <w:szCs w:val="16"/>
        </w:rPr>
        <w:softHyphen/>
        <w:t>сосанных из пальца» планов. Ну, посуди</w:t>
      </w:r>
      <w:r w:rsidRPr="00142305">
        <w:rPr>
          <w:rFonts w:ascii="Times New Roman" w:hAnsi="Times New Roman"/>
          <w:color w:val="0070C0"/>
          <w:sz w:val="16"/>
          <w:szCs w:val="16"/>
        </w:rPr>
        <w:softHyphen/>
        <w:t>те сами, сравнительно небольшому пред</w:t>
      </w:r>
      <w:r w:rsidRPr="00142305">
        <w:rPr>
          <w:rFonts w:ascii="Times New Roman" w:hAnsi="Times New Roman"/>
          <w:color w:val="0070C0"/>
          <w:sz w:val="16"/>
          <w:szCs w:val="16"/>
        </w:rPr>
        <w:softHyphen/>
        <w:t>приятию спускают программу освоения сразу пяти типов машин - АНТ-9, Р-5, МБР-4, МДР-2 и Ш-2. По оценкам дирек</w:t>
      </w:r>
      <w:r w:rsidRPr="00142305">
        <w:rPr>
          <w:rFonts w:ascii="Times New Roman" w:hAnsi="Times New Roman"/>
          <w:color w:val="0070C0"/>
          <w:sz w:val="16"/>
          <w:szCs w:val="16"/>
        </w:rPr>
        <w:softHyphen/>
        <w:t>ции, завода численность работников для этого требовалось утроить, но тогда даже места для их размещения не хватало. И при всем при этом сказывалась посто</w:t>
      </w:r>
      <w:r w:rsidRPr="00142305">
        <w:rPr>
          <w:rFonts w:ascii="Times New Roman" w:hAnsi="Times New Roman"/>
          <w:color w:val="0070C0"/>
          <w:sz w:val="16"/>
          <w:szCs w:val="16"/>
        </w:rPr>
        <w:softHyphen/>
        <w:t>янная нехватка материалов и комплек</w:t>
      </w:r>
      <w:r w:rsidRPr="00142305">
        <w:rPr>
          <w:rFonts w:ascii="Times New Roman" w:hAnsi="Times New Roman"/>
          <w:color w:val="0070C0"/>
          <w:sz w:val="16"/>
          <w:szCs w:val="16"/>
        </w:rPr>
        <w:softHyphen/>
        <w:t>тующих.</w:t>
      </w:r>
    </w:p>
    <w:p w14:paraId="0126EA25" w14:textId="77777777" w:rsidR="00EA0EE9" w:rsidRPr="00142305" w:rsidRDefault="00EA0EE9" w:rsidP="00EA0EE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серийного производства в МБР-4 вносились небольшие изменения. На первых десяти лодках стояли тяжелые аккумуляторы 6АТ5, затем их сменили на 6АТЗ (как раз и предусматривавшиеся первоначально). С 21-го самолета внед</w:t>
      </w:r>
      <w:r w:rsidRPr="00142305">
        <w:rPr>
          <w:rFonts w:ascii="Times New Roman" w:hAnsi="Times New Roman"/>
          <w:color w:val="0070C0"/>
          <w:sz w:val="16"/>
          <w:szCs w:val="16"/>
        </w:rPr>
        <w:softHyphen/>
        <w:t>рили отечественную бензопомпу Агее</w:t>
      </w:r>
      <w:r w:rsidRPr="00142305">
        <w:rPr>
          <w:rFonts w:ascii="Times New Roman" w:hAnsi="Times New Roman"/>
          <w:color w:val="0070C0"/>
          <w:sz w:val="16"/>
          <w:szCs w:val="16"/>
        </w:rPr>
        <w:softHyphen/>
        <w:t>ва и изменили конструкцию нервюр: в средней части цельное ребро заменили фермой, спроектированной инженером Густодымом. С 25-й машины (ОЕ-99) стали ставить так называемые «факелы Хольта» - посадочные ракеты, закрепля</w:t>
      </w:r>
      <w:r w:rsidRPr="00142305">
        <w:rPr>
          <w:rFonts w:ascii="Times New Roman" w:hAnsi="Times New Roman"/>
          <w:color w:val="0070C0"/>
          <w:sz w:val="16"/>
          <w:szCs w:val="16"/>
        </w:rPr>
        <w:softHyphen/>
        <w:t>вшиеся в гнездах крыла; они стали полез</w:t>
      </w:r>
      <w:r w:rsidRPr="00142305">
        <w:rPr>
          <w:rFonts w:ascii="Times New Roman" w:hAnsi="Times New Roman"/>
          <w:color w:val="0070C0"/>
          <w:sz w:val="16"/>
          <w:szCs w:val="16"/>
        </w:rPr>
        <w:softHyphen/>
        <w:t>ным дополнением к фаре. С 26-го само</w:t>
      </w:r>
      <w:r w:rsidRPr="00142305">
        <w:rPr>
          <w:rFonts w:ascii="Times New Roman" w:hAnsi="Times New Roman"/>
          <w:color w:val="0070C0"/>
          <w:sz w:val="16"/>
          <w:szCs w:val="16"/>
        </w:rPr>
        <w:softHyphen/>
        <w:t>лета механический сбрасыватель Сбр-9 уступил место электрическому СР-ЦАГИ (конструкции Китенко). Он работал по электромагнитному принципу, вытаски</w:t>
      </w:r>
      <w:r w:rsidRPr="00142305">
        <w:rPr>
          <w:rFonts w:ascii="Times New Roman" w:hAnsi="Times New Roman"/>
          <w:color w:val="0070C0"/>
          <w:sz w:val="16"/>
          <w:szCs w:val="16"/>
        </w:rPr>
        <w:softHyphen/>
        <w:t>вая пальцы в замках бомбодержателей. Такая схема тогда считалась наиболее перспективной; позднее ее вытеснили</w:t>
      </w:r>
    </w:p>
    <w:p w14:paraId="4CF136E0" w14:textId="77777777" w:rsidR="00EA0EE9" w:rsidRPr="00142305" w:rsidRDefault="00EA0EE9" w:rsidP="00EA0EE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электропиротехнические механизмы, оказавшиеся более надежными.</w:t>
      </w:r>
    </w:p>
    <w:p w14:paraId="5CD31A5F" w14:textId="77777777" w:rsidR="00EA0EE9" w:rsidRPr="00142305" w:rsidRDefault="00EA0EE9" w:rsidP="00EA0EE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в целом никаких крупных переделок не происходило. Запланированные мото</w:t>
      </w:r>
      <w:r w:rsidRPr="00142305">
        <w:rPr>
          <w:rFonts w:ascii="Times New Roman" w:hAnsi="Times New Roman"/>
          <w:color w:val="0070C0"/>
          <w:sz w:val="16"/>
          <w:szCs w:val="16"/>
        </w:rPr>
        <w:softHyphen/>
        <w:t>ры М-27 в серию так и не пошли. Проект с М-34 завершили, и ЗОК ЦАГИ переделал один серийный МБР-4 под этот двигатель. Машина отличалась также горизонталь</w:t>
      </w:r>
      <w:r w:rsidRPr="00142305">
        <w:rPr>
          <w:rFonts w:ascii="Times New Roman" w:hAnsi="Times New Roman"/>
          <w:color w:val="0070C0"/>
          <w:sz w:val="16"/>
          <w:szCs w:val="16"/>
        </w:rPr>
        <w:softHyphen/>
        <w:t>ным оперением увеличенной площади. УВВС требовало одновременно провести облегчение конструкции, но новая моди</w:t>
      </w:r>
      <w:r w:rsidRPr="00142305">
        <w:rPr>
          <w:rFonts w:ascii="Times New Roman" w:hAnsi="Times New Roman"/>
          <w:color w:val="0070C0"/>
          <w:sz w:val="16"/>
          <w:szCs w:val="16"/>
        </w:rPr>
        <w:softHyphen/>
        <w:t>фикация стала лишь тяжелее (24948).</w:t>
      </w:r>
    </w:p>
    <w:p w14:paraId="29A7A281" w14:textId="77777777" w:rsidR="00EA0EE9" w:rsidRPr="00142305" w:rsidRDefault="00EA0EE9" w:rsidP="00EA0EE9">
      <w:pPr>
        <w:spacing w:after="0" w:line="240" w:lineRule="auto"/>
        <w:jc w:val="both"/>
        <w:rPr>
          <w:rFonts w:ascii="Times New Roman" w:hAnsi="Times New Roman"/>
          <w:color w:val="0070C0"/>
          <w:sz w:val="16"/>
          <w:szCs w:val="16"/>
        </w:rPr>
      </w:pPr>
    </w:p>
    <w:p w14:paraId="1E339F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декабрю 1932 на всю страну на складах ЧФ осталось всего 4 боевых мины ВОМИЗА, но вскоре начали их серийное производство под названием МАВ-1 (561,14).</w:t>
      </w:r>
    </w:p>
    <w:p w14:paraId="3D897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4FABF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5484AC2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CDE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декабрю 1932 г. ВВС РККА имели в общей сложности лишь десять самолетов ТБ-1,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7682D0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921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декабрю 1932 г. ВВС РККА имели в общей сложности 11 самолетов, оснащенных для подвески торпед и мин: четыре на Черном море, столько же на Балтике и три на Дальнем Востоке. Для них на складах лежало 27 боевых торпед и четыре мины (12002).</w:t>
      </w:r>
    </w:p>
    <w:p w14:paraId="659E9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501D8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C8909D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4AB8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началась постройка АНТ-22 (МК-1) на основе АНТ-11 (514).</w:t>
      </w:r>
    </w:p>
    <w:p w14:paraId="2D8E05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 другим данным она шла с февраля 1932 по август 1934 (1076,890).</w:t>
      </w:r>
    </w:p>
    <w:p w14:paraId="3C769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829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началась постройка АНТ-31 (И-14) (514).</w:t>
      </w:r>
    </w:p>
    <w:p w14:paraId="4B9548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0B90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 заседала комиссия во главе с представителем ЦАГИ В.Н.Чернышевым, созданная для оценки возможности ремонта бомбардировщика ТБ-5. Естественно, самолет безжалостно критиковали: конструкция перетяжелена, схема размещения двигателей неудачна, в полете наблюдались вибрации и т.д. Кроме того, на ТБ-5 были демонтированы моторы, оборудование, приборы, вооружение, и для приведения машины в летное состояние требовалось 75-100 тыс. руб. По оценке комиссии разумно было самолет переделать, разместив двигатели в крыле (какие - не называлось, но, очевидно, те же «Юпитеры»). Скорость при этом возрастала до 190-200 км/ч, потолок до 4000 м, но увеличивалась до 200 тыс. руб. и стоимость переделок. И все же такой вариант модернизации приняли, а сам ТБ-5 предложили вернуть изготовителям на завод №39. Однако позднее, на совещании в Управлении ВВС признавалось, что ТБ-5 и после столь существенных доработок не удовлетворяет желаемым требованиям (5854,34).</w:t>
      </w:r>
    </w:p>
    <w:p w14:paraId="0BC0A4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7B7F5A"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 заседала комиссия, созданная для оценки возможного ремонта ава</w:t>
      </w:r>
      <w:r w:rsidRPr="00E93F40">
        <w:rPr>
          <w:rFonts w:ascii="Times New Roman" w:hAnsi="Times New Roman"/>
          <w:color w:val="000000" w:themeColor="text1"/>
          <w:sz w:val="16"/>
          <w:szCs w:val="16"/>
        </w:rPr>
        <w:softHyphen/>
        <w:t>рийного бомбардировщика ТБ-5 во главе с представителем ЦАГИ В.Н. Чернышевым. Самолет по вполне понят</w:t>
      </w:r>
      <w:r w:rsidRPr="00E93F40">
        <w:rPr>
          <w:rFonts w:ascii="Times New Roman" w:hAnsi="Times New Roman"/>
          <w:color w:val="000000" w:themeColor="text1"/>
          <w:sz w:val="16"/>
          <w:szCs w:val="16"/>
        </w:rPr>
        <w:softHyphen/>
        <w:t>ным причинам безжалостно критиковался: конструкция перетяжелена, схема раз</w:t>
      </w:r>
      <w:r w:rsidRPr="00E93F40">
        <w:rPr>
          <w:rFonts w:ascii="Times New Roman" w:hAnsi="Times New Roman"/>
          <w:color w:val="000000" w:themeColor="text1"/>
          <w:sz w:val="16"/>
          <w:szCs w:val="16"/>
        </w:rPr>
        <w:softHyphen/>
        <w:t>мещения двигателей неудачна, в полете наблюдались вибрации и т.д. Кроме того, ТБ-5 находился в нелетном состоянии: моторы были сняты, демонтировано оборудование, приборы и вооружение. Для приведения его в летное состояние по примерным оценкам требовалось 75—100 тыс. рублей. При этом возвращались к тому результату, что уже имели ранее. По оценке комиссии, разумнее самолет было значительно усовершен</w:t>
      </w:r>
      <w:r w:rsidRPr="00E93F40">
        <w:rPr>
          <w:rFonts w:ascii="Times New Roman" w:hAnsi="Times New Roman"/>
          <w:color w:val="000000" w:themeColor="text1"/>
          <w:sz w:val="16"/>
          <w:szCs w:val="16"/>
        </w:rPr>
        <w:softHyphen/>
        <w:t>ствовать, а двигатели раз</w:t>
      </w:r>
      <w:r w:rsidRPr="00E93F40">
        <w:rPr>
          <w:rFonts w:ascii="Times New Roman" w:hAnsi="Times New Roman"/>
          <w:color w:val="000000" w:themeColor="text1"/>
          <w:sz w:val="16"/>
          <w:szCs w:val="16"/>
        </w:rPr>
        <w:softHyphen/>
        <w:t>местить в крыле (какие не назывались, но очевидно те же «Юпитеры»), Полетная скорость при этом возрас- таладо 190—200 км/ч, рабо</w:t>
      </w:r>
      <w:r w:rsidRPr="00E93F40">
        <w:rPr>
          <w:rFonts w:ascii="Times New Roman" w:hAnsi="Times New Roman"/>
          <w:color w:val="000000" w:themeColor="text1"/>
          <w:sz w:val="16"/>
          <w:szCs w:val="16"/>
        </w:rPr>
        <w:softHyphen/>
        <w:t>чий потолок — до 4000 м. Одновременно увеличива</w:t>
      </w:r>
      <w:r w:rsidRPr="00E93F40">
        <w:rPr>
          <w:rFonts w:ascii="Times New Roman" w:hAnsi="Times New Roman"/>
          <w:color w:val="000000" w:themeColor="text1"/>
          <w:sz w:val="16"/>
          <w:szCs w:val="16"/>
        </w:rPr>
        <w:softHyphen/>
        <w:t>лась до 200 тысяч рублей и стоимость переделок. В результате, последний вариант приняли, а ТБ-5 предложили вернуть изго</w:t>
      </w:r>
      <w:r w:rsidRPr="00E93F40">
        <w:rPr>
          <w:rFonts w:ascii="Times New Roman" w:hAnsi="Times New Roman"/>
          <w:color w:val="000000" w:themeColor="text1"/>
          <w:sz w:val="16"/>
          <w:szCs w:val="16"/>
        </w:rPr>
        <w:softHyphen/>
        <w:t>товителям, на завод №39.</w:t>
      </w:r>
    </w:p>
    <w:p w14:paraId="34D1AA77"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Чуть позднее, на сове</w:t>
      </w:r>
      <w:r w:rsidRPr="00E93F40">
        <w:rPr>
          <w:rFonts w:ascii="Times New Roman" w:hAnsi="Times New Roman"/>
          <w:color w:val="000000" w:themeColor="text1"/>
          <w:sz w:val="16"/>
          <w:szCs w:val="16"/>
        </w:rPr>
        <w:softHyphen/>
        <w:t>щании в Управлении ВВС признавалось, что ТБ-5 и в модифицированном варианте не удовлетворяет желаемым требованиям. В феврале 1933 г. Начальник ГУАП Баранов распоря</w:t>
      </w:r>
      <w:r w:rsidRPr="00E93F40">
        <w:rPr>
          <w:rFonts w:ascii="Times New Roman" w:hAnsi="Times New Roman"/>
          <w:color w:val="000000" w:themeColor="text1"/>
          <w:sz w:val="16"/>
          <w:szCs w:val="16"/>
        </w:rPr>
        <w:softHyphen/>
        <w:t>дился:</w:t>
      </w:r>
    </w:p>
    <w:p w14:paraId="6A8559FD"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разобрать.</w:t>
      </w:r>
    </w:p>
    <w:p w14:paraId="18DA390C"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Дальнейшие работы по этому самолету прекратить. ЦАГИ проработать вопрос создания тяжелого бомбардировщика из хромомолибденовых труб и полотняной обшивки в качестве дублера к ТБ-Х или классом ниже».</w:t>
      </w:r>
    </w:p>
    <w:p w14:paraId="06CB37B0"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этом история ТБ-5 закончилась. Переделывать его действительно не стали и передали в ОПАК ЦАГИ (Отдел проч</w:t>
      </w:r>
      <w:r w:rsidRPr="00E93F40">
        <w:rPr>
          <w:rFonts w:ascii="Times New Roman" w:hAnsi="Times New Roman"/>
          <w:color w:val="000000" w:themeColor="text1"/>
          <w:sz w:val="16"/>
          <w:szCs w:val="16"/>
        </w:rPr>
        <w:softHyphen/>
        <w:t>ности авиационных конструкций). ТБ-Х также не был реализован, ибо уже спустя всего несколько месяцев, в конце 1933 г., согласно новым ТТТ ВВС, нужны были бомбардировщики с гораздо более высо</w:t>
      </w:r>
      <w:r w:rsidRPr="00E93F40">
        <w:rPr>
          <w:rFonts w:ascii="Times New Roman" w:hAnsi="Times New Roman"/>
          <w:color w:val="000000" w:themeColor="text1"/>
          <w:sz w:val="16"/>
          <w:szCs w:val="16"/>
        </w:rPr>
        <w:softHyphen/>
        <w:t>кими характеристиками.</w:t>
      </w:r>
    </w:p>
    <w:p w14:paraId="3D240280"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 г. конструкция ТБ-5 использова</w:t>
      </w:r>
      <w:r w:rsidRPr="00E93F40">
        <w:rPr>
          <w:rFonts w:ascii="Times New Roman" w:hAnsi="Times New Roman"/>
          <w:color w:val="000000" w:themeColor="text1"/>
          <w:sz w:val="16"/>
          <w:szCs w:val="16"/>
        </w:rPr>
        <w:softHyphen/>
        <w:t>лась при создании гидросамолета МДР-3 (Самолет №11). МДР-3 имел такое же крыло, хвостовое оперение и ряд других силовых элементов, однако продолжения также как и ТБ-5 не получил.</w:t>
      </w:r>
    </w:p>
    <w:p w14:paraId="2980BEBF"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Бомбардировщик ТБ-5 стал не един</w:t>
      </w:r>
      <w:r w:rsidRPr="00E93F40">
        <w:rPr>
          <w:rFonts w:ascii="Times New Roman" w:hAnsi="Times New Roman"/>
          <w:color w:val="000000" w:themeColor="text1"/>
          <w:sz w:val="16"/>
          <w:szCs w:val="16"/>
        </w:rPr>
        <w:softHyphen/>
        <w:t xml:space="preserve">ственным самолетом, который после успеха ВТ-11 решили спроектировать в ЦКБ ОГПУ (12611). </w:t>
      </w:r>
    </w:p>
    <w:p w14:paraId="4B225B7C" w14:textId="77777777" w:rsidR="00A634CB" w:rsidRPr="00E93F40" w:rsidRDefault="00A634CB" w:rsidP="00E93F40">
      <w:pPr>
        <w:spacing w:after="0" w:line="240" w:lineRule="auto"/>
        <w:jc w:val="both"/>
        <w:rPr>
          <w:rFonts w:ascii="Times New Roman" w:hAnsi="Times New Roman"/>
          <w:color w:val="000000" w:themeColor="text1"/>
          <w:sz w:val="16"/>
          <w:szCs w:val="16"/>
        </w:rPr>
      </w:pPr>
    </w:p>
    <w:p w14:paraId="001C8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 декабря 1932 г. опытный образец мотоустановки для Д-1 или Г-1 - два спаренных М-27 (по фамилии конструктора основной редуктор в документах иногда именовали "агрегат т. Дзюбе") подготовили к испытаниям. Они начались с 23 января 1933 г. Но после многократных поломок 9 апреля запуски прекратили. Вместо двух М-27 поставили пару М-17 меньшей мощности. С ними до 20 июня "агрегат" наработал 58 ч.</w:t>
      </w:r>
    </w:p>
    <w:p w14:paraId="60EAF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30DB97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733D4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10877A" w14:textId="77777777" w:rsidR="00D3031D" w:rsidRPr="00142305" w:rsidRDefault="00D3031D" w:rsidP="00D30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декабря 1932 г. опытный образец мотоустановки для Г-1 под</w:t>
      </w:r>
      <w:r w:rsidRPr="00142305">
        <w:rPr>
          <w:rFonts w:ascii="Times New Roman" w:hAnsi="Times New Roman"/>
          <w:color w:val="0070C0"/>
          <w:sz w:val="16"/>
          <w:szCs w:val="16"/>
        </w:rPr>
        <w:softHyphen/>
        <w:t>готовили к испытаниям.</w:t>
      </w:r>
    </w:p>
    <w:p w14:paraId="602A1E66" w14:textId="77777777" w:rsidR="00D3031D" w:rsidRPr="00142305" w:rsidRDefault="00D3031D" w:rsidP="00D30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Опробовать принципиально новую мотоус</w:t>
      </w:r>
      <w:r w:rsidRPr="00142305">
        <w:rPr>
          <w:rFonts w:ascii="Times New Roman" w:hAnsi="Times New Roman"/>
          <w:color w:val="0070C0"/>
          <w:sz w:val="16"/>
          <w:szCs w:val="16"/>
        </w:rPr>
        <w:softHyphen/>
        <w:t>тановку решили, используя два двигателя М-27. По фами</w:t>
      </w:r>
      <w:r w:rsidRPr="00142305">
        <w:rPr>
          <w:rFonts w:ascii="Times New Roman" w:hAnsi="Times New Roman"/>
          <w:color w:val="0070C0"/>
          <w:sz w:val="16"/>
          <w:szCs w:val="16"/>
        </w:rPr>
        <w:softHyphen/>
        <w:t>лии конструктора основной редуктор в документах иногда именовали «агрегат т. Дзюбе». Из-за загруженности ави</w:t>
      </w:r>
      <w:r w:rsidRPr="00142305">
        <w:rPr>
          <w:rFonts w:ascii="Times New Roman" w:hAnsi="Times New Roman"/>
          <w:color w:val="0070C0"/>
          <w:sz w:val="16"/>
          <w:szCs w:val="16"/>
        </w:rPr>
        <w:softHyphen/>
        <w:t>ационных заводов пришлось привлечь заводы других ве</w:t>
      </w:r>
      <w:r w:rsidRPr="00142305">
        <w:rPr>
          <w:rFonts w:ascii="Times New Roman" w:hAnsi="Times New Roman"/>
          <w:color w:val="0070C0"/>
          <w:sz w:val="16"/>
          <w:szCs w:val="16"/>
        </w:rPr>
        <w:softHyphen/>
        <w:t>домств. Узлы опытной мотоустановки делали на разных предприятиях Москвы, в частности на заводе приспособле</w:t>
      </w:r>
      <w:r w:rsidRPr="00142305">
        <w:rPr>
          <w:rFonts w:ascii="Times New Roman" w:hAnsi="Times New Roman"/>
          <w:color w:val="0070C0"/>
          <w:sz w:val="16"/>
          <w:szCs w:val="16"/>
        </w:rPr>
        <w:softHyphen/>
        <w:t xml:space="preserve">ний треста «Оргаметалл» </w:t>
      </w:r>
      <w:r w:rsidRPr="00142305">
        <w:rPr>
          <w:rFonts w:ascii="Times New Roman" w:hAnsi="Times New Roman"/>
          <w:smallCaps/>
          <w:color w:val="0070C0"/>
          <w:sz w:val="16"/>
          <w:szCs w:val="16"/>
        </w:rPr>
        <w:t>и</w:t>
      </w:r>
      <w:r w:rsidRPr="00142305">
        <w:rPr>
          <w:rFonts w:ascii="Times New Roman" w:hAnsi="Times New Roman"/>
          <w:color w:val="0070C0"/>
          <w:sz w:val="16"/>
          <w:szCs w:val="16"/>
        </w:rPr>
        <w:t xml:space="preserve"> электромеханическом заводе им. Владимира Ильича. Втулку винта заказали автозаводу им. Сталина. Вынужденное обращение к предприятиям не ави</w:t>
      </w:r>
      <w:r w:rsidRPr="00142305">
        <w:rPr>
          <w:rFonts w:ascii="Times New Roman" w:hAnsi="Times New Roman"/>
          <w:color w:val="0070C0"/>
          <w:sz w:val="16"/>
          <w:szCs w:val="16"/>
        </w:rPr>
        <w:softHyphen/>
        <w:t>ационного профиля привело к отступлениям от чертежей и спецификаций по материалам и точности изготовления (24977).</w:t>
      </w:r>
    </w:p>
    <w:p w14:paraId="4ADD090B" w14:textId="77777777" w:rsidR="00D3031D" w:rsidRPr="00142305" w:rsidRDefault="00D3031D" w:rsidP="00D3031D">
      <w:pPr>
        <w:spacing w:after="0" w:line="240" w:lineRule="auto"/>
        <w:jc w:val="both"/>
        <w:rPr>
          <w:rFonts w:ascii="Times New Roman" w:hAnsi="Times New Roman"/>
          <w:color w:val="0070C0"/>
          <w:sz w:val="16"/>
          <w:szCs w:val="16"/>
        </w:rPr>
      </w:pPr>
    </w:p>
    <w:p w14:paraId="10C39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декабря 1932 учебный дирижабль В-3 под управлением И.И.Мейснера с командой 13 чел. и пассажирами совершил агитационный перелет Москва - Горький - Москва с остановкой в Горьком. Хотели испытать чтобы начать нерегулярную линию Москва - Свердловск (438,638).</w:t>
      </w:r>
    </w:p>
    <w:p w14:paraId="39D7F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09325B" w14:textId="77777777" w:rsidR="00410C65" w:rsidRPr="00E93F40" w:rsidRDefault="00410C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декабря 1932 г. учебный дирижабль В-3 /УК-1/ под управлением Ивана Ивановича Мейснера совершил опытный агитационно-показательный полет по маршруту Москва-Горький-Москва с остановкой в Горьком и показательными полетами над промышленными районами Горьковского края. На борту дирижабля находилось 13 человек команды и пассажиров. Полет имел и другую цель - выяснение условий зксплуатации дирижабля на проектируемой дирижабельной линии Москва-Свердловск.</w:t>
      </w:r>
    </w:p>
    <w:p w14:paraId="42DDC851" w14:textId="77777777" w:rsidR="00410C65" w:rsidRPr="00E93F40" w:rsidRDefault="00410C6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/"Известия ЦИК СССР" за 4 декабря 1932 г./ (23370).</w:t>
      </w:r>
    </w:p>
    <w:p w14:paraId="515A9D9F" w14:textId="77777777" w:rsidR="00410C65" w:rsidRPr="00E93F40" w:rsidRDefault="00410C65" w:rsidP="00E93F40">
      <w:pPr>
        <w:spacing w:after="0" w:line="240" w:lineRule="auto"/>
        <w:jc w:val="both"/>
        <w:rPr>
          <w:rFonts w:ascii="Times New Roman" w:hAnsi="Times New Roman"/>
          <w:color w:val="000000" w:themeColor="text1"/>
          <w:sz w:val="16"/>
          <w:szCs w:val="16"/>
        </w:rPr>
      </w:pPr>
    </w:p>
    <w:p w14:paraId="2D1155A6" w14:textId="77777777" w:rsidR="00610188" w:rsidRPr="00E93F40" w:rsidRDefault="00610188"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bCs/>
          <w:color w:val="000000" w:themeColor="text1"/>
          <w:sz w:val="16"/>
          <w:szCs w:val="16"/>
        </w:rPr>
        <w:t>1 декабря 1932 г.</w:t>
      </w:r>
      <w:r w:rsidRPr="00E93F40">
        <w:rPr>
          <w:rFonts w:ascii="Times New Roman" w:hAnsi="Times New Roman"/>
          <w:color w:val="000000" w:themeColor="text1"/>
          <w:sz w:val="16"/>
          <w:szCs w:val="16"/>
        </w:rPr>
        <w:t xml:space="preserve"> открылась авиалиния Хабаровск – Владивосток (17256).</w:t>
      </w:r>
    </w:p>
    <w:p w14:paraId="0D0F7B14" w14:textId="77777777" w:rsidR="00610188" w:rsidRPr="00E93F40" w:rsidRDefault="0061018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5732D2" w14:textId="77777777" w:rsidR="00D3031D" w:rsidRPr="00142305" w:rsidRDefault="00D3031D" w:rsidP="00D30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декабря 1932 г. в ГВФ имелись восемь ЮГ-1, но семь из них были не</w:t>
      </w:r>
      <w:r w:rsidRPr="00142305">
        <w:rPr>
          <w:rFonts w:ascii="Times New Roman" w:hAnsi="Times New Roman"/>
          <w:color w:val="0070C0"/>
          <w:sz w:val="16"/>
          <w:szCs w:val="16"/>
        </w:rPr>
        <w:softHyphen/>
        <w:t>исправны. А вот на 1 января 1933 г. их числится десять (летать могли два). Три самолета базировались в Хабаровске, шесть - в Ташкенте и один - в Иркутс</w:t>
      </w:r>
      <w:r w:rsidRPr="00142305">
        <w:rPr>
          <w:rFonts w:ascii="Times New Roman" w:hAnsi="Times New Roman"/>
          <w:color w:val="0070C0"/>
          <w:sz w:val="16"/>
          <w:szCs w:val="16"/>
        </w:rPr>
        <w:softHyphen/>
        <w:t>ке. К началу нового 1934 г. их осталось шесть (24940).</w:t>
      </w:r>
    </w:p>
    <w:p w14:paraId="0F457F0E" w14:textId="77777777" w:rsidR="00D3031D" w:rsidRPr="00142305" w:rsidRDefault="00D3031D" w:rsidP="00D3031D">
      <w:pPr>
        <w:spacing w:after="0" w:line="240" w:lineRule="auto"/>
        <w:jc w:val="both"/>
        <w:rPr>
          <w:rFonts w:ascii="Times New Roman" w:hAnsi="Times New Roman"/>
          <w:color w:val="0070C0"/>
          <w:sz w:val="16"/>
          <w:szCs w:val="16"/>
        </w:rPr>
      </w:pPr>
    </w:p>
    <w:p w14:paraId="25F1637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881A4B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991489" w14:textId="77777777"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 председатель комиссии сообщал, [Там же, л. 39, 77] что переговоры с фирмой «I v S» по-прежнему шли с сильными перебоями. Фирма не сдержала обещания и представила проект договора по технической помощи не 25 ноября 1932 года, а лишь 1 декабря 1932 года. Проект договора был составлен настолько неудовлетворительно, что не мог являться основой для переговоров. По итогам переговоров советские специалисты не смогли сделать серьезного заключения о качестве продукции фирмы.</w:t>
      </w:r>
    </w:p>
    <w:p w14:paraId="6BB5C8F9" w14:textId="551924FA" w:rsidR="002630B3" w:rsidRPr="00E93F40" w:rsidRDefault="002630B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Вместе с тем,</w:t>
      </w:r>
      <w:hyperlink r:id="rId281"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7 декабря</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1932 года заказанные проекты были выданы советской делегации для изучения, а подтверждая качество выпускаемой продукции, руководство фирмы «I v S» предложило осмотреть подводную лодку «E-1», построенную в</w:t>
      </w:r>
      <w:hyperlink r:id="rId282"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Испании</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по проекту, аналогичному 700-тонной версии. Испытания «E-1» подтвердили высокие характеристики проекта и значительные его преимущества перед советскими лодками: лодка отличалась более совершенной конструкцией корпуса и</w:t>
      </w:r>
      <w:hyperlink r:id="rId283"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цистерн,</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более рациональной компоновкой механизмов, системой продува балласта при помощи дизелей, а также высокой автономностью и глубиной погружения. Данная скрытность объяснялась тем, что, выполняя условия</w:t>
      </w:r>
      <w:hyperlink r:id="rId284"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Версальского договора,</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Германия не имела права строить собственный подводный флот. Однако заинтересованность в строительстве подводных лодок проявляло входившее в германскую компанию</w:t>
      </w:r>
      <w:r w:rsidR="007C1411" w:rsidRPr="00E93F40">
        <w:rPr>
          <w:rFonts w:ascii="Times New Roman" w:hAnsi="Times New Roman"/>
          <w:color w:val="000000" w:themeColor="text1"/>
          <w:sz w:val="16"/>
          <w:szCs w:val="16"/>
        </w:rPr>
        <w:t xml:space="preserve"> </w:t>
      </w:r>
      <w:hyperlink r:id="rId285" w:history="1">
        <w:r w:rsidRPr="00E93F40">
          <w:rPr>
            <w:rStyle w:val="a5"/>
            <w:rFonts w:ascii="Times New Roman" w:hAnsi="Times New Roman"/>
            <w:color w:val="000000" w:themeColor="text1"/>
            <w:sz w:val="16"/>
            <w:szCs w:val="16"/>
            <w:u w:val="none"/>
          </w:rPr>
          <w:t>«Дешимаг»</w:t>
        </w:r>
      </w:hyperlink>
      <w:hyperlink r:id="rId286"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голландское</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конструкторское бюро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NV Ingenieurskantoor voor Scheepsbouw</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(«I v S»), занимавшееся усовершенствованием проектов лучших немецких субмарин времѐн</w:t>
      </w:r>
      <w:hyperlink r:id="rId287"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Пер</w:t>
        </w:r>
      </w:hyperlink>
      <w:hyperlink r:id="rId288" w:history="1">
        <w:r w:rsidRPr="00E93F40">
          <w:rPr>
            <w:rStyle w:val="a5"/>
            <w:rFonts w:ascii="Times New Roman" w:hAnsi="Times New Roman"/>
            <w:color w:val="000000" w:themeColor="text1"/>
            <w:sz w:val="16"/>
            <w:szCs w:val="16"/>
            <w:u w:val="none"/>
          </w:rPr>
          <w:t>вой мировой войны</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и строительством подводных лодок на экспорт [1, с. 3]. Постройку субмарин фирма осуществляла в Испании (контрольным пакетом акций «I v S» владела германская компания «Дешимаг») (18262).</w:t>
      </w:r>
    </w:p>
    <w:p w14:paraId="37EBE64E" w14:textId="77777777" w:rsidR="002630B3" w:rsidRPr="00E93F40" w:rsidRDefault="002630B3" w:rsidP="00E93F40">
      <w:pPr>
        <w:spacing w:after="0" w:line="240" w:lineRule="auto"/>
        <w:jc w:val="both"/>
        <w:rPr>
          <w:rFonts w:ascii="Times New Roman" w:hAnsi="Times New Roman"/>
          <w:color w:val="000000" w:themeColor="text1"/>
          <w:sz w:val="16"/>
          <w:szCs w:val="16"/>
        </w:rPr>
      </w:pPr>
    </w:p>
    <w:p w14:paraId="6FEEF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 опытно-конструкторское и испытательное бюро расформировали и от дальнейших услуг Дыренкова отказались. Поэтому все работы по Д-5 были свернуты (10291).</w:t>
      </w:r>
    </w:p>
    <w:p w14:paraId="3E68F7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DC312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года было расформировано КБ Дыренкова на Ижорском заводе, созданное 29 октября 1930. За время его существования Дыренков спроектировал (часть была изготовлена) более 50 раз</w:t>
      </w:r>
      <w:r w:rsidRPr="00E93F40">
        <w:rPr>
          <w:rFonts w:ascii="Times New Roman" w:hAnsi="Times New Roman"/>
          <w:color w:val="000000" w:themeColor="text1"/>
          <w:sz w:val="16"/>
          <w:szCs w:val="16"/>
        </w:rPr>
        <w:softHyphen/>
        <w:t>личных боевых машин — танки, бронеавтомобили, мото-броневагоны, бронедрезины, вездеходы, танковые башни и коробки перемены передач и даже разработал танко</w:t>
      </w:r>
      <w:r w:rsidRPr="00E93F40">
        <w:rPr>
          <w:rFonts w:ascii="Times New Roman" w:hAnsi="Times New Roman"/>
          <w:color w:val="000000" w:themeColor="text1"/>
          <w:sz w:val="16"/>
          <w:szCs w:val="16"/>
        </w:rPr>
        <w:softHyphen/>
        <w:t>вую броню марки Д. Причем более 20 его машин были во</w:t>
      </w:r>
      <w:r w:rsidRPr="00E93F40">
        <w:rPr>
          <w:rFonts w:ascii="Times New Roman" w:hAnsi="Times New Roman"/>
          <w:color w:val="000000" w:themeColor="text1"/>
          <w:sz w:val="16"/>
          <w:szCs w:val="16"/>
        </w:rPr>
        <w:softHyphen/>
        <w:t>площены в металле! Поэтому ничего удивительного в том, что в ноябре 1930 года проектирование бронеавтомоби</w:t>
      </w:r>
      <w:r w:rsidRPr="00E93F40">
        <w:rPr>
          <w:rFonts w:ascii="Times New Roman" w:hAnsi="Times New Roman"/>
          <w:color w:val="000000" w:themeColor="text1"/>
          <w:sz w:val="16"/>
          <w:szCs w:val="16"/>
        </w:rPr>
        <w:softHyphen/>
        <w:t>лей передали из КБ Ижорского завода в КБ одаренного самоучки (11284).</w:t>
      </w:r>
    </w:p>
    <w:p w14:paraId="295692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3BBF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После того как 1 декабря 1932 года УММ РККА отказа</w:t>
      </w:r>
      <w:r w:rsidRPr="00E93F40">
        <w:rPr>
          <w:rFonts w:ascii="Times New Roman" w:hAnsi="Times New Roman"/>
          <w:color w:val="000000" w:themeColor="text1"/>
          <w:sz w:val="16"/>
          <w:szCs w:val="16"/>
        </w:rPr>
        <w:softHyphen/>
        <w:t>лось от услуг Дыренкова и Опытно-конструкторское и ис</w:t>
      </w:r>
      <w:r w:rsidRPr="00E93F40">
        <w:rPr>
          <w:rFonts w:ascii="Times New Roman" w:hAnsi="Times New Roman"/>
          <w:color w:val="000000" w:themeColor="text1"/>
          <w:sz w:val="16"/>
          <w:szCs w:val="16"/>
        </w:rPr>
        <w:softHyphen/>
        <w:t>пытательное бюро закрыли, работы по созданию боевых химических машин передали в КБ завода «Компрессор». Сюда же после испытаний передали опытные экземпляры Д-18 и Д-39, на основе которых началось проектирование новых образцов (11284).</w:t>
      </w:r>
    </w:p>
    <w:p w14:paraId="043DE1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1BC3C4"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 декабря 1932 г., как следует из сводки о состоянии опытно-конструкторских работат по дизельному отделу ХПЗ, сразу же после начала стендовых испытаний у опытного дизеля БД-14 были выявлены конструктивные и производственные недостатки:</w:t>
      </w:r>
    </w:p>
    <w:p w14:paraId="5B31E6AE"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«Проведена обкатка двигателя в течении 8 час от динамо [электродвигателя] без компрессии, причем при доведении числа оборотов до 1400 в мин. выплавился мотылевой [шатунный] подшипник вследствие плохой смазки по конструктивным и производственным недостаткам. Установленный новый подшипник дал надежную смазку. После этого мотор подвергался вторичной обкатке в общей сложности до 20 час. с доведением числа оборотов мотора до 1400 – 1700 и длительностью непрерывной работы до 1 часа.</w:t>
      </w:r>
    </w:p>
    <w:p w14:paraId="246B8F0F"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был также опробован самостоятельной работой на топливе (на смеси 50 % солярового масла и 50 % керосина) несколько раз по 5 – 6 минут.</w:t>
      </w:r>
    </w:p>
    <w:p w14:paraId="4D5C07DE"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производится регулировка топливного насоса (производства ХПЗ) т.к. при испытании выявлена неравномерность подачи топлива в цилиндры двигателя и отсутствие возможности ее регулировать».</w:t>
      </w:r>
    </w:p>
    <w:p w14:paraId="5EA6AC2F"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3. Д. 92. Л. 59 об., 60]</w:t>
      </w:r>
    </w:p>
    <w:p w14:paraId="3B286D6D"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отметить, что конструкция дизеля БД-14 оказалась далека от совершенства. «Этот мотор, – отмечено в монографии «Моторы (двигатели), применяемые в танках СССР. 1924 – 1939 г.», – имел передачу к клапанам от распределительного вала, помещенного в развале между цилиндрами, через штанги по типу "Даймлер-Бенц". Топливная аппаратура (форсунки и насос) были конструкции и производства ХПЗ. В этом двигателе очень неудачным оказались кривошипно-шатунный и распределительный механизм. Постройка этого двигателя преследовала собою цель изучения и проверки точности механического обработки и отдельных дефектов, которые были неизбежны, при переходе с постройки крупных тихоходных двигателей на легкие быстроходные. На этом же моторе вплотную столкнулись с проблемой поршней (частые аварии) и с проблемой нижней головки шатунов».</w:t>
      </w:r>
    </w:p>
    <w:p w14:paraId="18FACD16"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[ЦГАСПб Ф. 3209. Оп. 8. Д. 60. С. 43] (24856).</w:t>
      </w:r>
    </w:p>
    <w:p w14:paraId="689A7A57" w14:textId="77777777" w:rsidR="00B01CE8" w:rsidRPr="00E93F40" w:rsidRDefault="00B01CE8" w:rsidP="00E93F40">
      <w:pPr>
        <w:spacing w:after="0" w:line="240" w:lineRule="auto"/>
        <w:jc w:val="both"/>
        <w:rPr>
          <w:rFonts w:ascii="Times New Roman" w:hAnsi="Times New Roman"/>
          <w:color w:val="000000" w:themeColor="text1"/>
          <w:sz w:val="16"/>
          <w:szCs w:val="16"/>
        </w:rPr>
      </w:pPr>
    </w:p>
    <w:p w14:paraId="54F26B28"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 декабря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124. 11 а) о развитии производства алюминия; б) о форсировании производства ферросплавов (ПБ от 23 октября 1932 г., пр. № 120, п. 14г, д) (Орджоникидзе, Серебровский, Харитоненко, Васильев). Опросом членов ПБ от 30 ноября 1932 г. 47/29. О Чиатурской марганцевой промышленности (записка Берии). 50/32 а) о балансе каучука; б) о задержке НКВнешторгом заграничных заказов по линии Глававиапрома. (Политбюро... Т. 2. С. 376, 377, 378) (12416).</w:t>
      </w:r>
    </w:p>
    <w:p w14:paraId="7305B1E6"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p>
    <w:p w14:paraId="72D109FC" w14:textId="77777777" w:rsidR="007C40A5" w:rsidRPr="00E93F40" w:rsidRDefault="007C40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состоялось заседание ПБ (Протокол № 124)</w:t>
      </w:r>
    </w:p>
    <w:p w14:paraId="5879012E" w14:textId="77777777" w:rsidR="007C40A5" w:rsidRPr="00E93F40" w:rsidRDefault="007C40A5" w:rsidP="00E93F40">
      <w:pPr>
        <w:spacing w:after="0" w:line="240" w:lineRule="auto"/>
        <w:jc w:val="both"/>
        <w:rPr>
          <w:rFonts w:ascii="Times New Roman" w:hAnsi="Times New Roman"/>
          <w:color w:val="000000" w:themeColor="text1"/>
          <w:sz w:val="16"/>
          <w:szCs w:val="16"/>
        </w:rPr>
      </w:pPr>
      <w:bookmarkStart w:id="53" w:name="bookmark2"/>
      <w:r w:rsidRPr="00E93F40">
        <w:rPr>
          <w:rFonts w:ascii="Times New Roman" w:hAnsi="Times New Roman"/>
          <w:color w:val="000000" w:themeColor="text1"/>
          <w:sz w:val="16"/>
          <w:szCs w:val="16"/>
        </w:rPr>
        <w:t>4.- О предложениях фирмы «Сперри».</w:t>
      </w:r>
      <w:bookmarkEnd w:id="53"/>
    </w:p>
    <w:p w14:paraId="352F2CA2" w14:textId="77777777" w:rsidR="007C40A5" w:rsidRPr="00E93F40" w:rsidRDefault="007C40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Тухачевский, Жуков, Орджоникидзе, Гамарник).</w:t>
      </w:r>
    </w:p>
    <w:p w14:paraId="6DD02468" w14:textId="77777777" w:rsidR="007C40A5" w:rsidRPr="00E93F40" w:rsidRDefault="007C40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переговоров с фирмой "Сперри" послать комиссию в составе т.т. Халепского (председатель), Панова (от НКВМора), Летова, Изенбога С .А. и Илюшина С.В. (от НКТяжпрома).</w:t>
      </w:r>
    </w:p>
    <w:p w14:paraId="651196A6" w14:textId="77777777" w:rsidR="007C40A5" w:rsidRPr="00E93F40" w:rsidRDefault="007C40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Гамарнику, Орджоникидзе (23069).</w:t>
      </w:r>
    </w:p>
    <w:p w14:paraId="6ECD5BA8" w14:textId="77777777" w:rsidR="007C40A5" w:rsidRPr="00E93F40" w:rsidRDefault="007C40A5" w:rsidP="00E93F40">
      <w:pPr>
        <w:spacing w:after="0" w:line="240" w:lineRule="auto"/>
        <w:jc w:val="both"/>
        <w:rPr>
          <w:rFonts w:ascii="Times New Roman" w:hAnsi="Times New Roman"/>
          <w:color w:val="000000" w:themeColor="text1"/>
          <w:sz w:val="16"/>
          <w:szCs w:val="16"/>
        </w:rPr>
      </w:pPr>
    </w:p>
    <w:p w14:paraId="574237D0" w14:textId="77777777" w:rsidR="007C40A5" w:rsidRPr="00E93F40" w:rsidRDefault="007C40A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 декабря 1932 года председатель комиссии сообщал, [Там же, л. 39, 77] что переговоры с фирмой «I v S» по-прежнему шли с сильными перебоями. Фирма не сдержала обещания и представила проект договора по технической помощи не 25 ноября 1932 года, а лишь 1 декабря 1932 года. Проект договора был составлен настолько неудовлетворительно, что не мог являться основой для переговоров. По итогам переговоров советские специалисты не смогли сделать серьезного заключения о качестве продукции фирмы (21528).</w:t>
      </w:r>
    </w:p>
    <w:p w14:paraId="2264031A" w14:textId="77777777" w:rsidR="007C40A5" w:rsidRPr="00E93F40" w:rsidRDefault="007C40A5" w:rsidP="00E93F40">
      <w:pPr>
        <w:spacing w:after="0" w:line="240" w:lineRule="auto"/>
        <w:jc w:val="both"/>
        <w:rPr>
          <w:rFonts w:ascii="Times New Roman" w:hAnsi="Times New Roman"/>
          <w:color w:val="000000" w:themeColor="text1"/>
          <w:sz w:val="16"/>
          <w:szCs w:val="16"/>
        </w:rPr>
      </w:pPr>
    </w:p>
    <w:p w14:paraId="3C86B2A0" w14:textId="77777777" w:rsidR="00FB05FD" w:rsidRPr="00E93F40" w:rsidRDefault="00FB05FD"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167F7786" w14:textId="77777777" w:rsidR="00FB05FD" w:rsidRPr="00E93F40" w:rsidRDefault="00FB05F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3190987"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1931 г.</w:t>
      </w:r>
    </w:p>
    <w:p w14:paraId="628F3C35"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 Политбюро ЦК ВКП(б) об освобождении «от наказания» Ф. Ф. Новицкого, Из протокола заседания Политбюро № 78, и. 16 от 1 декабря 1931 г.</w:t>
      </w:r>
    </w:p>
    <w:p w14:paraId="2C05B7FD" w14:textId="32C0A07F"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w:t>
      </w:r>
      <w:r w:rsidR="007C1411" w:rsidRPr="00E93F40">
        <w:rPr>
          <w:rFonts w:ascii="Times New Roman" w:hAnsi="Times New Roman"/>
          <w:color w:val="000000" w:themeColor="text1"/>
          <w:sz w:val="16"/>
          <w:szCs w:val="16"/>
        </w:rPr>
        <w:t xml:space="preserve"> </w:t>
      </w:r>
    </w:p>
    <w:p w14:paraId="72702C9D"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6C7CB8" w14:textId="1E1DC16E"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Архив:</w:t>
      </w:r>
      <w:r w:rsidR="007C1411" w:rsidRPr="00E93F40">
        <w:rPr>
          <w:rFonts w:ascii="Times New Roman" w:hAnsi="Times New Roman"/>
          <w:color w:val="000000" w:themeColor="text1"/>
          <w:sz w:val="16"/>
          <w:szCs w:val="16"/>
        </w:rPr>
        <w:t xml:space="preserve"> </w:t>
      </w:r>
    </w:p>
    <w:p w14:paraId="60F97815"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 Ф. 17. On. 3. Д. 863. Л. 3.</w:t>
      </w:r>
    </w:p>
    <w:p w14:paraId="5D80A447"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1 декабря 1931 г.</w:t>
      </w:r>
    </w:p>
    <w:p w14:paraId="2B2B3227"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СТРОГО СЕКРЕТНО</w:t>
      </w:r>
    </w:p>
    <w:p w14:paraId="332FCD66"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O[собой] П[апки])</w:t>
      </w:r>
    </w:p>
    <w:p w14:paraId="4BE7839E" w14:textId="66A4E9AF"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 Ризенкампф и Новицком.</w:t>
      </w:r>
    </w:p>
    <w:p w14:paraId="0BB11BC5"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(т.т. Сталин, Менжинский, Гамарник).</w:t>
      </w:r>
    </w:p>
    <w:p w14:paraId="2483001A"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Новицкого от наказания освободить, высылку снять и допустить на работу в военном ведомстве.</w:t>
      </w:r>
    </w:p>
    <w:p w14:paraId="50A7AD60"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Поручить ОГПУ получить от Ризенкампфа требуемое заявление.</w:t>
      </w:r>
    </w:p>
    <w:p w14:paraId="4BB3241A"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СЕКРЕТАРЬ ЦК</w:t>
      </w:r>
    </w:p>
    <w:p w14:paraId="327CC653" w14:textId="01C2CC20"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356. Л. 139. Машинописная выписка на бланке ЦК ВКП(б). Номер протокола «№ П78/16-С» и дата «1 декабря 1931 г.» машинописью в графах бланка. Вверху машинописью адрес рассылки: «т.т. Менжинскому —</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все; Гамарнику — а».</w:t>
      </w:r>
    </w:p>
    <w:p w14:paraId="77D11F90"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РГАСПИ</w:t>
      </w:r>
      <w:r w:rsidRPr="00E93F40">
        <w:rPr>
          <w:rFonts w:ascii="Times New Roman" w:hAnsi="Times New Roman"/>
          <w:color w:val="000000" w:themeColor="text1"/>
          <w:sz w:val="16"/>
          <w:szCs w:val="16"/>
          <w:lang w:val="en-US"/>
        </w:rPr>
        <w:t xml:space="preserve">. </w:t>
      </w:r>
      <w:r w:rsidRPr="00E93F40">
        <w:rPr>
          <w:rFonts w:ascii="Times New Roman" w:hAnsi="Times New Roman"/>
          <w:color w:val="000000" w:themeColor="text1"/>
          <w:sz w:val="16"/>
          <w:szCs w:val="16"/>
        </w:rPr>
        <w:t>Ф</w:t>
      </w:r>
      <w:r w:rsidRPr="00E93F40">
        <w:rPr>
          <w:rFonts w:ascii="Times New Roman" w:hAnsi="Times New Roman"/>
          <w:color w:val="000000" w:themeColor="text1"/>
          <w:sz w:val="16"/>
          <w:szCs w:val="16"/>
          <w:lang w:val="en-US"/>
        </w:rPr>
        <w:t xml:space="preserve">. 17. On. 3. </w:t>
      </w:r>
      <w:r w:rsidRPr="00E93F40">
        <w:rPr>
          <w:rFonts w:ascii="Times New Roman" w:hAnsi="Times New Roman"/>
          <w:color w:val="000000" w:themeColor="text1"/>
          <w:sz w:val="16"/>
          <w:szCs w:val="16"/>
        </w:rPr>
        <w:t>Д</w:t>
      </w:r>
      <w:r w:rsidRPr="00E93F40">
        <w:rPr>
          <w:rFonts w:ascii="Times New Roman" w:hAnsi="Times New Roman"/>
          <w:color w:val="000000" w:themeColor="text1"/>
          <w:sz w:val="16"/>
          <w:szCs w:val="16"/>
          <w:lang w:val="en-US"/>
        </w:rPr>
        <w:t xml:space="preserve">. 863. </w:t>
      </w:r>
      <w:r w:rsidRPr="00E93F40">
        <w:rPr>
          <w:rFonts w:ascii="Times New Roman" w:hAnsi="Times New Roman"/>
          <w:color w:val="000000" w:themeColor="text1"/>
          <w:sz w:val="16"/>
          <w:szCs w:val="16"/>
        </w:rPr>
        <w:t>Л</w:t>
      </w:r>
      <w:r w:rsidRPr="00E93F40">
        <w:rPr>
          <w:rFonts w:ascii="Times New Roman" w:hAnsi="Times New Roman"/>
          <w:color w:val="000000" w:themeColor="text1"/>
          <w:sz w:val="16"/>
          <w:szCs w:val="16"/>
          <w:lang w:val="en-US"/>
        </w:rPr>
        <w:t xml:space="preserve">. 3. </w:t>
      </w:r>
      <w:r w:rsidRPr="00E93F40">
        <w:rPr>
          <w:rFonts w:ascii="Times New Roman" w:hAnsi="Times New Roman"/>
          <w:color w:val="000000" w:themeColor="text1"/>
          <w:sz w:val="16"/>
          <w:szCs w:val="16"/>
        </w:rPr>
        <w:t>«Подписной» протокол заседаний Политбюро ЦК ВКП(б) от 1 декабря 1931 г. Машинописная копия того времени, заверенная печатью ЦК ВКП(б), подпись-факсимиле И. В. Сталина. В п. 16 написано: «О Ризенкампф и Новицком»; вместо текста постановления записано «Решение — особая папка».</w:t>
      </w:r>
    </w:p>
    <w:p w14:paraId="2CB4C71B"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Там же. Ф. 17. On. 162. Д. 11. Л. 72. Протокол засекречен. Решение засекречено (18680).</w:t>
      </w:r>
    </w:p>
    <w:p w14:paraId="2E4730F3" w14:textId="77777777" w:rsidR="00FB05FD" w:rsidRPr="00E93F40" w:rsidRDefault="00FB05FD" w:rsidP="00E93F40">
      <w:pPr>
        <w:spacing w:after="0" w:line="240" w:lineRule="auto"/>
        <w:jc w:val="both"/>
        <w:rPr>
          <w:rFonts w:ascii="Times New Roman" w:hAnsi="Times New Roman"/>
          <w:color w:val="000000" w:themeColor="text1"/>
          <w:sz w:val="16"/>
          <w:szCs w:val="16"/>
        </w:rPr>
      </w:pPr>
    </w:p>
    <w:p w14:paraId="7C2DA175" w14:textId="77777777" w:rsidR="00DC020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D97F4C5"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961FBA" w14:textId="7C4AB5CE"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Комзаг</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E93F40">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и</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продкультур</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после 1 января»</w:t>
      </w:r>
      <w:r w:rsidRPr="00E93F40">
        <w:rPr>
          <w:rFonts w:ascii="Times New Roman" w:eastAsia="Times New Roman" w:hAnsi="Times New Roman"/>
          <w:color w:val="000000" w:themeColor="text1"/>
          <w:sz w:val="16"/>
          <w:szCs w:val="16"/>
          <w:lang w:eastAsia="ru-RU"/>
        </w:rPr>
        <w:t>.</w:t>
      </w:r>
    </w:p>
    <w:p w14:paraId="1F4C0DA5" w14:textId="42716559"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Политбюро</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E93F40">
        <w:rPr>
          <w:rFonts w:ascii="Times New Roman" w:eastAsia="Times New Roman" w:hAnsi="Times New Roman"/>
          <w:color w:val="000000" w:themeColor="text1"/>
          <w:sz w:val="16"/>
          <w:szCs w:val="16"/>
          <w:lang w:eastAsia="ru-RU"/>
        </w:rPr>
        <w:t>» и</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E93F40">
        <w:rPr>
          <w:rFonts w:ascii="Times New Roman" w:eastAsia="Times New Roman" w:hAnsi="Times New Roman"/>
          <w:color w:val="000000" w:themeColor="text1"/>
          <w:sz w:val="16"/>
          <w:szCs w:val="16"/>
          <w:lang w:eastAsia="ru-RU"/>
        </w:rPr>
        <w:t>».</w:t>
      </w:r>
    </w:p>
    <w:p w14:paraId="43B43C12" w14:textId="02781F7E"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xml:space="preserve">31 марта 1933 г. – </w:t>
      </w:r>
      <w:r w:rsidRPr="00E93F40">
        <w:rPr>
          <w:rFonts w:ascii="Times New Roman" w:eastAsia="Times New Roman" w:hAnsi="Times New Roman"/>
          <w:color w:val="000000" w:themeColor="text1"/>
          <w:sz w:val="16"/>
          <w:szCs w:val="16"/>
          <w:lang w:eastAsia="ru-RU"/>
        </w:rPr>
        <w:t>Принято решение: «</w:t>
      </w:r>
      <w:r w:rsidRPr="00E93F40">
        <w:rPr>
          <w:rFonts w:ascii="Times New Roman" w:eastAsia="Times New Roman" w:hAnsi="Times New Roman"/>
          <w:iCs/>
          <w:color w:val="000000" w:themeColor="text1"/>
          <w:sz w:val="16"/>
          <w:szCs w:val="16"/>
          <w:lang w:eastAsia="ru-RU"/>
        </w:rPr>
        <w:t>Прекратить экспорт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начиная с 1-4-1933» (12257).</w:t>
      </w:r>
    </w:p>
    <w:p w14:paraId="7471632A"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F6404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4E0D1E7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5DDABA" w14:textId="77777777" w:rsidR="0027661F" w:rsidRPr="00E93F40" w:rsidRDefault="002766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состоялся первый полет Heinkel He 70 (20803).</w:t>
      </w:r>
    </w:p>
    <w:p w14:paraId="279CE797" w14:textId="77777777" w:rsidR="0027661F" w:rsidRPr="00E93F40" w:rsidRDefault="0027661F" w:rsidP="00E93F40">
      <w:pPr>
        <w:spacing w:after="0" w:line="240" w:lineRule="auto"/>
        <w:jc w:val="both"/>
        <w:rPr>
          <w:rFonts w:ascii="Times New Roman" w:hAnsi="Times New Roman"/>
          <w:color w:val="000000" w:themeColor="text1"/>
          <w:sz w:val="16"/>
          <w:szCs w:val="16"/>
        </w:rPr>
      </w:pPr>
    </w:p>
    <w:p w14:paraId="496D5369" w14:textId="35709213" w:rsidR="0027661F" w:rsidRPr="00E93F40" w:rsidRDefault="002766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Первый полёт скоростного Heinkel He.70 Blitz, развивающего скорость 360 км/ч. С 1934 он работал на внутригерманских линиях Lufthansa (22703).</w:t>
      </w:r>
    </w:p>
    <w:p w14:paraId="0225CEE5" w14:textId="77777777" w:rsidR="0027661F" w:rsidRPr="00E93F40" w:rsidRDefault="0027661F" w:rsidP="00E93F40">
      <w:pPr>
        <w:spacing w:after="0" w:line="240" w:lineRule="auto"/>
        <w:jc w:val="both"/>
        <w:rPr>
          <w:rFonts w:ascii="Times New Roman" w:hAnsi="Times New Roman"/>
          <w:color w:val="000000" w:themeColor="text1"/>
          <w:sz w:val="16"/>
          <w:szCs w:val="16"/>
        </w:rPr>
      </w:pPr>
    </w:p>
    <w:p w14:paraId="68559A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совершил первый полет Хейнкель 70, а ХАИ-1 - 8 октября 1932 (2206,128).</w:t>
      </w:r>
    </w:p>
    <w:p w14:paraId="37127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3E45BD" w14:textId="77777777" w:rsidR="00F5308A" w:rsidRPr="00E93F40" w:rsidRDefault="00F5308A" w:rsidP="00E93F40">
      <w:pPr>
        <w:spacing w:after="0" w:line="240" w:lineRule="auto"/>
        <w:jc w:val="both"/>
        <w:rPr>
          <w:rStyle w:val="ucoz-forum-post"/>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lastRenderedPageBreak/>
        <w:t>1 декабря 1932 года</w:t>
      </w:r>
      <w:r w:rsidRPr="00E93F40">
        <w:rPr>
          <w:rStyle w:val="ucoz-forum-post"/>
          <w:rFonts w:ascii="Times New Roman" w:hAnsi="Times New Roman"/>
          <w:color w:val="000000" w:themeColor="text1"/>
          <w:sz w:val="16"/>
          <w:szCs w:val="16"/>
        </w:rPr>
        <w:t xml:space="preserve"> Первый полет первого в Европе (зарубежной) скоростного лайнера Heinkel He-70 Blitz развивающего скорость 360 км/ч. С 1934 он работал на внутригерманских линиях Lufthansa (14847).</w:t>
      </w:r>
    </w:p>
    <w:p w14:paraId="22063EB3" w14:textId="77777777" w:rsidR="00F5308A" w:rsidRPr="00E93F40" w:rsidRDefault="00F5308A" w:rsidP="00E93F40">
      <w:pPr>
        <w:spacing w:after="0" w:line="240" w:lineRule="auto"/>
        <w:jc w:val="both"/>
        <w:rPr>
          <w:rStyle w:val="ucoz-forum-post"/>
          <w:rFonts w:ascii="Times New Roman" w:hAnsi="Times New Roman"/>
          <w:color w:val="000000" w:themeColor="text1"/>
          <w:sz w:val="16"/>
          <w:szCs w:val="16"/>
        </w:rPr>
      </w:pPr>
    </w:p>
    <w:p w14:paraId="081DF3CA" w14:textId="3089FEE3" w:rsidR="0027661F" w:rsidRPr="00E93F40" w:rsidRDefault="002766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Первый полёт Bernard 200, пилот Роже Батист. Bernard 200 T (T - Tourisme) был первым из серии французских лёгких туристических самолётов с начала 1930-х годов (22703).</w:t>
      </w:r>
    </w:p>
    <w:p w14:paraId="001E548B" w14:textId="77777777" w:rsidR="0027661F" w:rsidRPr="00E93F40" w:rsidRDefault="0027661F" w:rsidP="00E93F40">
      <w:pPr>
        <w:spacing w:after="0" w:line="240" w:lineRule="auto"/>
        <w:jc w:val="both"/>
        <w:rPr>
          <w:rFonts w:ascii="Times New Roman" w:hAnsi="Times New Roman"/>
          <w:color w:val="000000" w:themeColor="text1"/>
          <w:sz w:val="16"/>
          <w:szCs w:val="16"/>
        </w:rPr>
      </w:pPr>
    </w:p>
    <w:p w14:paraId="13800BD1" w14:textId="77777777" w:rsidR="0027661F" w:rsidRPr="00E93F40" w:rsidRDefault="002766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декабря 1932 Pan American World Airways объявляет о планах обслуживания на Гавайях (20803).</w:t>
      </w:r>
    </w:p>
    <w:p w14:paraId="325213FD" w14:textId="77777777" w:rsidR="0027661F" w:rsidRPr="00E93F40" w:rsidRDefault="0027661F" w:rsidP="00E93F40">
      <w:pPr>
        <w:spacing w:after="0" w:line="240" w:lineRule="auto"/>
        <w:jc w:val="both"/>
        <w:rPr>
          <w:rFonts w:ascii="Times New Roman" w:hAnsi="Times New Roman"/>
          <w:color w:val="000000" w:themeColor="text1"/>
          <w:sz w:val="16"/>
          <w:szCs w:val="16"/>
        </w:rPr>
      </w:pPr>
    </w:p>
    <w:p w14:paraId="64A0271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F08F49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59D72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декабря 1932 г. был подготовлен доклад в СТО Базилевич О ходе выполнения заказов по автопилотам (3082).</w:t>
      </w:r>
    </w:p>
    <w:p w14:paraId="44387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B11302" w14:textId="77777777" w:rsidR="00FB05FD" w:rsidRPr="00E93F40" w:rsidRDefault="00FB05FD"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5330C38" w14:textId="77777777" w:rsidR="00FB05FD" w:rsidRPr="00E93F40" w:rsidRDefault="00FB05FD"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6887AE" w14:textId="77777777" w:rsidR="00FB05FD" w:rsidRPr="00E93F40" w:rsidRDefault="00FB05F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декабря 1931 г. завершено строительство завода Остехбюро НКВМ, получившего имя К.Е. Ворошилова. Директором назначен И.А. Муравкин (18667).</w:t>
      </w:r>
    </w:p>
    <w:p w14:paraId="7F29CEB0" w14:textId="77777777" w:rsidR="00FB05FD" w:rsidRPr="00E93F40" w:rsidRDefault="00FB05FD" w:rsidP="00E93F40">
      <w:pPr>
        <w:spacing w:after="0" w:line="240" w:lineRule="auto"/>
        <w:jc w:val="both"/>
        <w:rPr>
          <w:rFonts w:ascii="Times New Roman" w:hAnsi="Times New Roman"/>
          <w:color w:val="000000" w:themeColor="text1"/>
          <w:sz w:val="16"/>
          <w:szCs w:val="16"/>
        </w:rPr>
      </w:pPr>
    </w:p>
    <w:p w14:paraId="01EB23CA"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4C8AB8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168A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декабря 1932 появился приказ начальника Дмитлага № 62, скрепленный еще и подписью начальника Обще-административного отдела Бовшовера:</w:t>
      </w:r>
    </w:p>
    <w:p w14:paraId="766C2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«Наблюдаются случаи невыхода на работу з/к. з/к. по мотивам раздетости, в то время как обмундированием и обувью Отделения и л/п снабжены в достаточном количестве (7560).</w:t>
      </w:r>
    </w:p>
    <w:p w14:paraId="2DF8D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расследовании случая невыхода на работу 6 человек з/к. з/к.... , якобы по причине отсутствия обуви, оказалось что ботинки у этих з/к. з/к. были запрятаны под постельные принадлежности (7560).</w:t>
      </w:r>
    </w:p>
    <w:p w14:paraId="3E6D9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Такого рода действия отношу за счет халатности со стороны старостата и УРЧ [Учетно-распределительной части] (7560).</w:t>
      </w:r>
    </w:p>
    <w:p w14:paraId="0D303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избежание повторения такого рода ненормальных явлений ПРИКАЗЫВАЮ:</w:t>
      </w:r>
    </w:p>
    <w:p w14:paraId="0E101B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Старостату доносить в письменной форме Хозчасти накануне вечером о наличии з/к. з/к., кои по раздетости не могут выйти на работу (7560).</w:t>
      </w:r>
    </w:p>
    <w:p w14:paraId="1B0CD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Хозчасти немедленно проверять сведения старостата и в случаях действительной необходимости в выдаче обмундирования, обуви или починки таковых удовлетворять без замедления (7560).</w:t>
      </w:r>
    </w:p>
    <w:p w14:paraId="57963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 случаях, если по арматурным книжкам обмундирование и обувь числятся выданными з/к. и таковые промотаны, составлять акты в 3-х экз., из коих один передавать в ИСО [Информационно-следственный отдел, к тому времени уже ставший 3 отделом], второй - в Комиссию по списанию и третий остается в делах л./п (7560).</w:t>
      </w:r>
    </w:p>
    <w:p w14:paraId="386121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Обмундирование и обувь промотчикам выдаются второго срока (7560).</w:t>
      </w:r>
    </w:p>
    <w:p w14:paraId="015B6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Все случаи не выхода на работу з/к. з/к. по нераспорядительности начальников л/п., УРЧ и Хозчастей - Финотделу простой рабсилы относить за счет лиц персонально виновных в этом» (7560).</w:t>
      </w:r>
    </w:p>
    <w:p w14:paraId="2AF6C8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7B4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декабря 1932 г. СНК СССР принял постановление "О государственном обеспечении рядового состава рабоче-крестьянской, милиции", которое устанавливало, что "работники начальствующего и рядового состава РКМ и их семьи пользуются государственным обеспечением наравне с лицами среднего, старшего и высшего начсостава, лицами младшего и рядового состава сверхсрочной службы РККА и их семьями. Права по назначению пенсий и пособий в порядке государственного обеспечения в отношении работников милиции и их семей осуществляются начальниками главных управлений милиции союзных республик" (10303).</w:t>
      </w:r>
    </w:p>
    <w:p w14:paraId="0D1A22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BAEB1D" w14:textId="77777777" w:rsidR="00F5308A"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3DA8B88" w14:textId="77777777" w:rsidR="00F5308A" w:rsidRPr="00E93F40" w:rsidRDefault="00F5308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27ABA3" w14:textId="77777777" w:rsidR="00F5308A" w:rsidRPr="00E93F40" w:rsidRDefault="00F530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декабря 1932 Генконсул информировал шифротелеграммой, что Цзинь Шужэнь предлагает платить</w:t>
      </w:r>
      <w:r w:rsidRPr="00E93F40">
        <w:rPr>
          <w:rStyle w:val="0pt0"/>
          <w:rFonts w:eastAsia="Arial"/>
          <w:b w:val="0"/>
          <w:color w:val="000000" w:themeColor="text1"/>
          <w:spacing w:val="0"/>
          <w:sz w:val="16"/>
          <w:szCs w:val="16"/>
        </w:rPr>
        <w:t xml:space="preserve"> лётчикам</w:t>
      </w:r>
      <w:r w:rsidRPr="00E93F40">
        <w:rPr>
          <w:rFonts w:ascii="Times New Roman" w:hAnsi="Times New Roman"/>
          <w:color w:val="000000" w:themeColor="text1"/>
          <w:sz w:val="16"/>
          <w:szCs w:val="16"/>
        </w:rPr>
        <w:t xml:space="preserve"> по 4000 местных лан (т.е. 83 долл. США по текущему курсу) и 215 руб. в СССР, техникам 3500 лан (73 долл.) и 190 руб. От себя Златкин предлагал «заявить Цзиню, что если неприемлемы старые ус</w:t>
      </w:r>
      <w:r w:rsidRPr="00E93F40">
        <w:rPr>
          <w:rFonts w:ascii="Times New Roman" w:hAnsi="Times New Roman"/>
          <w:color w:val="000000" w:themeColor="text1"/>
          <w:sz w:val="16"/>
          <w:szCs w:val="16"/>
        </w:rPr>
        <w:softHyphen/>
        <w:t>ловия, то лётчики не приедут. Затягивать вопрос считаю недопустимым. Срочите»...</w:t>
      </w:r>
    </w:p>
    <w:p w14:paraId="16F04DC8" w14:textId="77777777" w:rsidR="00F5308A" w:rsidRPr="00E93F40" w:rsidRDefault="00F530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обсуждении в Москве вспомнили о новом приказе Наркома Обороны К.Е. Воро</w:t>
      </w:r>
      <w:r w:rsidRPr="00E93F40">
        <w:rPr>
          <w:rFonts w:ascii="Times New Roman" w:hAnsi="Times New Roman"/>
          <w:color w:val="000000" w:themeColor="text1"/>
          <w:sz w:val="16"/>
          <w:szCs w:val="16"/>
        </w:rPr>
        <w:softHyphen/>
        <w:t>шилова о повышении денежного содержания комсоставу. Китайцам предложили выпла</w:t>
      </w:r>
      <w:r w:rsidRPr="00E93F40">
        <w:rPr>
          <w:rFonts w:ascii="Times New Roman" w:hAnsi="Times New Roman"/>
          <w:color w:val="000000" w:themeColor="text1"/>
          <w:sz w:val="16"/>
          <w:szCs w:val="16"/>
        </w:rPr>
        <w:softHyphen/>
        <w:t>чивать нашим лётчикам в Союзе по 300-375 руб. (Позже эти ставки снизили до 150-200 рублей.) Командование УВВС подчеркивало, что НКИД ни в коем случае нельзя согла</w:t>
      </w:r>
      <w:r w:rsidRPr="00E93F40">
        <w:rPr>
          <w:rFonts w:ascii="Times New Roman" w:hAnsi="Times New Roman"/>
          <w:color w:val="000000" w:themeColor="text1"/>
          <w:sz w:val="16"/>
          <w:szCs w:val="16"/>
        </w:rPr>
        <w:softHyphen/>
        <w:t>шаться на местные ланы, так как за неделю доллар подскочил в цене с 35 до 45 лан, и всего лишь за один последний день подорожал ещё на 3 лана. От китайцев также по</w:t>
      </w:r>
      <w:r w:rsidRPr="00E93F40">
        <w:rPr>
          <w:rFonts w:ascii="Times New Roman" w:hAnsi="Times New Roman"/>
          <w:color w:val="000000" w:themeColor="text1"/>
          <w:sz w:val="16"/>
          <w:szCs w:val="16"/>
        </w:rPr>
        <w:softHyphen/>
        <w:t>требовали оформления страховки, которую те предлагали оплачивать самим лётчикам из жалованья, а также платить пилотам командировочные за полёты по трассе (таковых становилось все больше). Остальные условия не менялись.</w:t>
      </w:r>
    </w:p>
    <w:p w14:paraId="1BE4A2A9" w14:textId="77777777" w:rsidR="00F5308A" w:rsidRPr="00E93F40" w:rsidRDefault="00F530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договоре также особо подчеркивалось, что по аналогии с предыдущей лётной груп</w:t>
      </w:r>
      <w:r w:rsidRPr="00E93F40">
        <w:rPr>
          <w:rFonts w:ascii="Times New Roman" w:hAnsi="Times New Roman"/>
          <w:color w:val="000000" w:themeColor="text1"/>
          <w:sz w:val="16"/>
          <w:szCs w:val="16"/>
        </w:rPr>
        <w:softHyphen/>
        <w:t>пой лётчики обучают «только лиц китайского подданства, никогда не находившихся в другом подданстве... Исключается всякое участие... в боевых и разведывательных опе</w:t>
      </w:r>
      <w:r w:rsidRPr="00E93F40">
        <w:rPr>
          <w:rFonts w:ascii="Times New Roman" w:hAnsi="Times New Roman"/>
          <w:color w:val="000000" w:themeColor="text1"/>
          <w:sz w:val="16"/>
          <w:szCs w:val="16"/>
        </w:rPr>
        <w:softHyphen/>
        <w:t>рациях на территории Синьцзяна». Новым стало лишь то, что «лётно-технический со</w:t>
      </w:r>
      <w:r w:rsidRPr="00E93F40">
        <w:rPr>
          <w:rFonts w:ascii="Times New Roman" w:hAnsi="Times New Roman"/>
          <w:color w:val="000000" w:themeColor="text1"/>
          <w:sz w:val="16"/>
          <w:szCs w:val="16"/>
        </w:rPr>
        <w:softHyphen/>
        <w:t>став, по соглашению сторон, может принять участие в ликвидации банд, оперирующих на границе Синьцзяна и СССР, если эти банды направляют свои действия на СССР».</w:t>
      </w:r>
    </w:p>
    <w:p w14:paraId="2D40FF4B" w14:textId="77777777" w:rsidR="00F5308A" w:rsidRPr="00E93F40" w:rsidRDefault="00F530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Чем завершилась эта «торговля», проследить по документам не удалось (15802).</w:t>
      </w:r>
    </w:p>
    <w:p w14:paraId="318EA82E" w14:textId="77777777" w:rsidR="00F5308A" w:rsidRPr="00E93F40" w:rsidRDefault="00F5308A" w:rsidP="00E93F40">
      <w:pPr>
        <w:spacing w:after="0" w:line="240" w:lineRule="auto"/>
        <w:jc w:val="both"/>
        <w:rPr>
          <w:rFonts w:ascii="Times New Roman" w:hAnsi="Times New Roman"/>
          <w:color w:val="000000" w:themeColor="text1"/>
          <w:sz w:val="16"/>
          <w:szCs w:val="16"/>
        </w:rPr>
      </w:pPr>
    </w:p>
    <w:p w14:paraId="48D6AE9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EF40A4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33B2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декабря 1932 при испытаниях БИЧ-7 был дополнен Акт № 4 (2307).</w:t>
      </w:r>
    </w:p>
    <w:p w14:paraId="305003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A4C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декабря 1932 был выпущен первый экз. мотора М-52 - одноблочной версии М-34 (2310,130).</w:t>
      </w:r>
    </w:p>
    <w:p w14:paraId="354A1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BC1ACA"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3 декабря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1527/454сс о перенесении Тушинского авиастроительства на 1933 г. (ГА РФ. Ф. Р-8418. Оп. 28. Д. 1а. Л. 398) (12415).</w:t>
      </w:r>
    </w:p>
    <w:p w14:paraId="295CA9F3"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p>
    <w:p w14:paraId="21E867E4"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3 декабря 1932 вышло постановление № 1527/454сс РЗ СТО или КО (№ 1829/ко от 5.12.1932 г.) - О перенесении Тушинского авиастроительства на 1933 г. (21564)</w:t>
      </w:r>
    </w:p>
    <w:p w14:paraId="6BE65A63" w14:textId="77777777" w:rsidR="00872081" w:rsidRPr="00E93F40" w:rsidRDefault="00872081" w:rsidP="00E93F40">
      <w:pPr>
        <w:spacing w:after="0" w:line="240" w:lineRule="auto"/>
        <w:jc w:val="both"/>
        <w:rPr>
          <w:rFonts w:ascii="Times New Roman" w:hAnsi="Times New Roman"/>
          <w:color w:val="000000" w:themeColor="text1"/>
          <w:sz w:val="16"/>
          <w:szCs w:val="16"/>
        </w:rPr>
      </w:pPr>
    </w:p>
    <w:p w14:paraId="62F09EC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408076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3116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3 и 9 декабря 1932. Из протокола заседания Политбюро № 125, 1932 г.</w:t>
      </w:r>
    </w:p>
    <w:p w14:paraId="4D96BD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бюджете 1933 года </w:t>
      </w:r>
    </w:p>
    <w:p w14:paraId="2AE559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Предусмотреть реализацию пшеничной водки в 20 млн ведер с тем, чтобы получить дополнительных против расчетов НКФ 500 млн рублей (11652).</w:t>
      </w:r>
    </w:p>
    <w:p w14:paraId="3B9E9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94CF2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0DC13E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5F4B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декабря 1932 президент Германии Пауль фон Гинденбург после провала переговоров с А.Г. по вопросу о формировании правительства назначил новым рейхсканцлером г Курта фон Шлейхера (3186).</w:t>
      </w:r>
    </w:p>
    <w:p w14:paraId="493AC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A46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декабря 1932 г. Гинденбург поручил генералу райхсвера К. фон Шляйхеру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 г.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w:t>
      </w:r>
      <w:r w:rsidRPr="00E93F40">
        <w:rPr>
          <w:rFonts w:ascii="Times New Roman" w:hAnsi="Times New Roman"/>
          <w:color w:val="000000" w:themeColor="text1"/>
          <w:sz w:val="16"/>
          <w:szCs w:val="16"/>
        </w:rPr>
        <w:lastRenderedPageBreak/>
        <w:t>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338F9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CE7555"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977F61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28199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декабря 1932 в ряде районов Украины запрещена торговля мясом и скотом (4962).</w:t>
      </w:r>
    </w:p>
    <w:p w14:paraId="1F6A4B7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DCC72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FD0F73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A9B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декабря 1932 состоялось заседание (прот. 129) у начальника Глававиапрома П.И.Б. о мероприятиях по обеспечению производства ТБ-4 и Ми-3 (1077,175).</w:t>
      </w:r>
    </w:p>
    <w:p w14:paraId="0F05D3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A07CE5"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 4 декабря 1932 г. конструкция в целом оформилась, и параметры летающего </w:t>
      </w:r>
      <w:hyperlink r:id="rId289"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приняли следующий вид:</w:t>
      </w:r>
    </w:p>
    <w:p w14:paraId="40E44DCF"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Тип летающего </w:t>
      </w:r>
      <w:hyperlink r:id="rId290"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взят по типу Б-Т.</w:t>
      </w:r>
    </w:p>
    <w:p w14:paraId="1189D857"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 Боевой вес </w:t>
      </w:r>
      <w:hyperlink r:id="rId291"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со всеми приспособлениями для летания (крылья)...5-6 тон.</w:t>
      </w:r>
    </w:p>
    <w:p w14:paraId="703D48C9"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3. Боевой вес самого </w:t>
      </w:r>
      <w:hyperlink r:id="rId292"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при движении по земле 3,5 — 4 тон.</w:t>
      </w:r>
    </w:p>
    <w:p w14:paraId="7A1E3649"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Максимальная скорость на колесах ... 70-80 км/ч.</w:t>
      </w:r>
    </w:p>
    <w:p w14:paraId="741584AE"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гусеницах ... 50-60 км/ч.</w:t>
      </w:r>
    </w:p>
    <w:p w14:paraId="788FF248"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 воздухе ... 160 км/ч.</w:t>
      </w:r>
    </w:p>
    <w:p w14:paraId="454EA3B9"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высота полета ... 3000 мтр.</w:t>
      </w:r>
    </w:p>
    <w:p w14:paraId="74EBDBE0"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Продолжительность выключения летательного приспособления (крыльев) ... 5 мин.</w:t>
      </w:r>
    </w:p>
    <w:p w14:paraId="175F2141"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путь пробега при посадке ... 400 мтр.</w:t>
      </w:r>
    </w:p>
    <w:p w14:paraId="378B7E46"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Мощность мотора ... 650 л/с М-17.</w:t>
      </w:r>
    </w:p>
    <w:p w14:paraId="7D781E17"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Броня:</w:t>
      </w:r>
    </w:p>
    <w:p w14:paraId="04275052"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вертикальная ... 8 мм.</w:t>
      </w:r>
    </w:p>
    <w:p w14:paraId="734105EB"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горизонтальная ... 6 мм. дно ... 4 мм.</w:t>
      </w:r>
    </w:p>
    <w:p w14:paraId="208D080D"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Вооружение 1 — 20 мм автомат или пулемет ДТ.</w:t>
      </w:r>
    </w:p>
    <w:p w14:paraId="5D7AA1FA"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Команда ... 2 чел.</w:t>
      </w:r>
    </w:p>
    <w:p w14:paraId="44A4EA0F"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Запас горючего:</w:t>
      </w:r>
    </w:p>
    <w:p w14:paraId="05B40D0E"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 движении по дорогам ... на 150 км.</w:t>
      </w:r>
    </w:p>
    <w:p w14:paraId="67659020" w14:textId="77777777" w:rsidR="006E44D7" w:rsidRPr="00E93F40" w:rsidRDefault="006E44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при движении в воздухе ... на 250 км» (15632).</w:t>
      </w:r>
    </w:p>
    <w:p w14:paraId="3E5704C0" w14:textId="77777777" w:rsidR="006E44D7" w:rsidRPr="00E93F40" w:rsidRDefault="006E44D7" w:rsidP="00E93F40">
      <w:pPr>
        <w:spacing w:after="0" w:line="240" w:lineRule="auto"/>
        <w:jc w:val="both"/>
        <w:rPr>
          <w:rFonts w:ascii="Times New Roman" w:hAnsi="Times New Roman"/>
          <w:color w:val="000000" w:themeColor="text1"/>
          <w:sz w:val="16"/>
          <w:szCs w:val="16"/>
        </w:rPr>
      </w:pPr>
    </w:p>
    <w:p w14:paraId="2B5E0D85" w14:textId="77777777" w:rsidR="00DE34EC" w:rsidRPr="00E93F40" w:rsidRDefault="00DE34EC" w:rsidP="00E93F40">
      <w:pPr>
        <w:pStyle w:val="ae"/>
        <w:shd w:val="clear" w:color="auto" w:fill="FFFFFF"/>
        <w:spacing w:before="0" w:after="0"/>
        <w:jc w:val="both"/>
        <w:rPr>
          <w:color w:val="000000" w:themeColor="text1"/>
          <w:sz w:val="16"/>
          <w:szCs w:val="16"/>
        </w:rPr>
      </w:pPr>
      <w:r w:rsidRPr="00E93F40">
        <w:rPr>
          <w:color w:val="000000" w:themeColor="text1"/>
          <w:sz w:val="16"/>
          <w:szCs w:val="16"/>
        </w:rPr>
        <w:t>К 4 декабря 1932 г. конструкция летающего танка Рафаэлянца в целом оформилась, и параметры летающего танка приняли следующий вид:</w:t>
      </w:r>
    </w:p>
    <w:p w14:paraId="52398400"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 Тип летающего танка взят по типу Б-Т.</w:t>
      </w:r>
    </w:p>
    <w:p w14:paraId="0389E84B"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2. Боевой вес танка со всеми приспособлениями для летания (крылья)...5-6 тон.</w:t>
      </w:r>
    </w:p>
    <w:p w14:paraId="5CA13520"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3. Боевой вес самого танка при движении по земле 3,5 — 4 тон.</w:t>
      </w:r>
    </w:p>
    <w:p w14:paraId="2F7FE916" w14:textId="6EE056C8"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4. Максимальная скорость на колесах ... 70-80 км/ч.</w:t>
      </w:r>
      <w:r w:rsidR="007C1411" w:rsidRPr="00E93F40">
        <w:rPr>
          <w:iCs/>
          <w:color w:val="000000" w:themeColor="text1"/>
          <w:sz w:val="16"/>
          <w:szCs w:val="16"/>
        </w:rPr>
        <w:t xml:space="preserve"> </w:t>
      </w:r>
    </w:p>
    <w:p w14:paraId="591DD060" w14:textId="301EFFFC"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 на гусеницах ... 50-60 км/ч.</w:t>
      </w:r>
      <w:r w:rsidR="007C1411" w:rsidRPr="00E93F40">
        <w:rPr>
          <w:iCs/>
          <w:color w:val="000000" w:themeColor="text1"/>
          <w:sz w:val="16"/>
          <w:szCs w:val="16"/>
        </w:rPr>
        <w:t xml:space="preserve"> </w:t>
      </w:r>
    </w:p>
    <w:p w14:paraId="67CFD57B"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 в воздухе ... 160 км/ч.</w:t>
      </w:r>
    </w:p>
    <w:p w14:paraId="2B3DAB06"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 высота полета ... 3000 мтр.</w:t>
      </w:r>
    </w:p>
    <w:p w14:paraId="77D6C8C3"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5. Продолжительность выключения летательного приспособления (крыльев) ... 5 мин.</w:t>
      </w:r>
    </w:p>
    <w:p w14:paraId="05E0DAE7"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6. путь пробега при посадке ... 400 мтр.</w:t>
      </w:r>
    </w:p>
    <w:p w14:paraId="1E3A7F5A"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7. Мощность мотора ... 650 л/с М-17.</w:t>
      </w:r>
    </w:p>
    <w:p w14:paraId="45345259"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8. Броня:</w:t>
      </w:r>
    </w:p>
    <w:p w14:paraId="0347F215"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вертикальная ... 8 мм.</w:t>
      </w:r>
    </w:p>
    <w:p w14:paraId="7A1EC99F"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горизонтальная ... 6 мм. дно ... 4 мм.</w:t>
      </w:r>
    </w:p>
    <w:p w14:paraId="0A29C93C"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9. Вооружение 1 — 20 мм автомат или пулемет ДТ.</w:t>
      </w:r>
    </w:p>
    <w:p w14:paraId="0019BF91"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10. Команда ... 2 чел.</w:t>
      </w:r>
    </w:p>
    <w:p w14:paraId="76D6DD10"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11. Запас горючего:</w:t>
      </w:r>
    </w:p>
    <w:p w14:paraId="2BEBA248"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а) при движении по дорогам ... на 150 км.</w:t>
      </w:r>
    </w:p>
    <w:p w14:paraId="09BD61D3" w14:textId="77777777" w:rsidR="00DE34EC" w:rsidRPr="00E93F40" w:rsidRDefault="00DE34EC" w:rsidP="00E93F40">
      <w:pPr>
        <w:pStyle w:val="ae"/>
        <w:shd w:val="clear" w:color="auto" w:fill="FFFFFF"/>
        <w:spacing w:before="0" w:after="0"/>
        <w:jc w:val="both"/>
        <w:rPr>
          <w:iCs/>
          <w:color w:val="000000" w:themeColor="text1"/>
          <w:sz w:val="16"/>
          <w:szCs w:val="16"/>
        </w:rPr>
      </w:pPr>
      <w:r w:rsidRPr="00E93F40">
        <w:rPr>
          <w:iCs/>
          <w:color w:val="000000" w:themeColor="text1"/>
          <w:sz w:val="16"/>
          <w:szCs w:val="16"/>
        </w:rPr>
        <w:t>б) при движении в воздухе ... на 250 км» (19530).</w:t>
      </w:r>
    </w:p>
    <w:p w14:paraId="415EA1EF" w14:textId="77777777" w:rsidR="00DE34EC" w:rsidRPr="00E93F40" w:rsidRDefault="00DE34EC" w:rsidP="00E93F40">
      <w:pPr>
        <w:pStyle w:val="ae"/>
        <w:shd w:val="clear" w:color="auto" w:fill="FFFFFF"/>
        <w:spacing w:before="0" w:after="0"/>
        <w:jc w:val="both"/>
        <w:rPr>
          <w:iCs/>
          <w:color w:val="000000" w:themeColor="text1"/>
          <w:sz w:val="16"/>
          <w:szCs w:val="16"/>
        </w:rPr>
      </w:pPr>
    </w:p>
    <w:p w14:paraId="66773633"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 4 декабря 1932 были озвучены конкретные параметры, которым должен был соответствовать летающий танк Рафаэлянца.</w:t>
      </w:r>
    </w:p>
    <w:p w14:paraId="06671D58"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Тип прототипа – танк Б-Т;</w:t>
      </w:r>
    </w:p>
    <w:p w14:paraId="3CDD7224" w14:textId="64B30E80"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Боевая масса машины в сборе (с крыльями и т.п.)</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- 5-6 тонн;</w:t>
      </w:r>
    </w:p>
    <w:p w14:paraId="16709943"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Боевая масса танка на земле – 3,5-4 тонны;</w:t>
      </w:r>
    </w:p>
    <w:p w14:paraId="78B44C12"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Скорость максимальная на колёсах/гусеницах/в воздухе: 70-80/50-60/160 (км/час);</w:t>
      </w:r>
    </w:p>
    <w:p w14:paraId="37D7393D"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Высота полёта – до 3000 м;</w:t>
      </w:r>
    </w:p>
    <w:p w14:paraId="56BBA5D0"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Время отключения крыльев и иных приспособлений для летания – до 5 мин;</w:t>
      </w:r>
    </w:p>
    <w:p w14:paraId="77D4EF6E"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Размер посадочной полосы – до 400 м;</w:t>
      </w:r>
    </w:p>
    <w:p w14:paraId="3EF24B1E"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Мощность танкового двигателя М-17 – 650 л.с.;</w:t>
      </w:r>
    </w:p>
    <w:p w14:paraId="703896FC"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Бронирование 8 – 4 мм;</w:t>
      </w:r>
    </w:p>
    <w:p w14:paraId="460540A0"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Вооружение: пулемёт ДТ или 20 мм автоматическая пушка;</w:t>
      </w:r>
    </w:p>
    <w:p w14:paraId="528D165C"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Экипаж – 2 человека;</w:t>
      </w:r>
    </w:p>
    <w:p w14:paraId="099FB844"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Запас топлива для движения по земле – на 150 км, по воздуху – на 250 км.</w:t>
      </w:r>
    </w:p>
    <w:p w14:paraId="4F6CD14F"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Вся проектная документация и макет в масштабе 1:5 из дюраля были изготовлены к 15.01.33 г. (19529).</w:t>
      </w:r>
    </w:p>
    <w:p w14:paraId="1CA69DEA" w14:textId="77777777" w:rsidR="00DE34EC" w:rsidRPr="00E93F40" w:rsidRDefault="00DE34EC" w:rsidP="00E93F40">
      <w:pPr>
        <w:spacing w:after="0" w:line="240" w:lineRule="auto"/>
        <w:jc w:val="both"/>
        <w:rPr>
          <w:rFonts w:ascii="Times New Roman" w:eastAsia="Times New Roman" w:hAnsi="Times New Roman"/>
          <w:color w:val="000000" w:themeColor="text1"/>
          <w:sz w:val="16"/>
          <w:szCs w:val="16"/>
          <w:lang w:eastAsia="ru-RU"/>
        </w:rPr>
      </w:pPr>
    </w:p>
    <w:p w14:paraId="5F54B17C"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4 декабря 1932 г. конструкция в целом оформилась, и параметры летающего танка приняли следующий вид:</w:t>
      </w:r>
    </w:p>
    <w:p w14:paraId="4F29CE8B"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Тип летающего танка взят по типу Б-Т.</w:t>
      </w:r>
    </w:p>
    <w:p w14:paraId="11E584F0"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Боевой вес танка со всеми приспособлениями для летания (крылья)...5-6 тон.</w:t>
      </w:r>
    </w:p>
    <w:p w14:paraId="2D29A7E2"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Боевой вес самого танка при движении по земле 3,5 — 4 тон.</w:t>
      </w:r>
    </w:p>
    <w:p w14:paraId="321A4186"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4. Максимальная скорость на колесах ... 70-80 км/ч. </w:t>
      </w:r>
    </w:p>
    <w:p w14:paraId="345082E7"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на гусеницах ... 50-60 км/ч. </w:t>
      </w:r>
    </w:p>
    <w:p w14:paraId="0FBAADDD"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 —//— в воздухе ... 160 км/ч.</w:t>
      </w:r>
    </w:p>
    <w:p w14:paraId="07ACB7E1"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 высота полета ... 3000 мтр.</w:t>
      </w:r>
    </w:p>
    <w:p w14:paraId="0816D5E2"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Продолжительность выключения летательного приспособления (крыльев) ... 5 мин.</w:t>
      </w:r>
    </w:p>
    <w:p w14:paraId="6F17F9D8"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путь пробега при посадке ... 400 мтр.</w:t>
      </w:r>
    </w:p>
    <w:p w14:paraId="05D8BCE6"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Мощность мотора ... 650 л/с М-17.</w:t>
      </w:r>
    </w:p>
    <w:p w14:paraId="66D3668B"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Броня:</w:t>
      </w:r>
    </w:p>
    <w:p w14:paraId="5711DC07"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вертикальная ... 8 мм.</w:t>
      </w:r>
    </w:p>
    <w:p w14:paraId="6332EA35"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горизонтальная ... 6 мм. дно ... 4 мм.</w:t>
      </w:r>
    </w:p>
    <w:p w14:paraId="334FE226"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Вооружение 1 — 20 мм автомат или пулемет ДТ.</w:t>
      </w:r>
    </w:p>
    <w:p w14:paraId="1AA39F0D"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Команда ... 2 чел.</w:t>
      </w:r>
    </w:p>
    <w:p w14:paraId="121987FF"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Запас горючего:</w:t>
      </w:r>
    </w:p>
    <w:p w14:paraId="7883060B"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при движении по дорогам ... на 150 км.</w:t>
      </w:r>
    </w:p>
    <w:p w14:paraId="558BCDFA" w14:textId="77777777" w:rsidR="00B01CE8" w:rsidRPr="00E93F40" w:rsidRDefault="00B01CE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б) при движении в воздухе ... на 250 км» (24266).</w:t>
      </w:r>
    </w:p>
    <w:p w14:paraId="6F69E4EE" w14:textId="77777777" w:rsidR="00B01CE8" w:rsidRPr="00E93F40" w:rsidRDefault="00B01CE8" w:rsidP="00E93F40">
      <w:pPr>
        <w:spacing w:after="0" w:line="240" w:lineRule="auto"/>
        <w:jc w:val="both"/>
        <w:rPr>
          <w:rFonts w:ascii="Times New Roman" w:hAnsi="Times New Roman"/>
          <w:color w:val="000000" w:themeColor="text1"/>
          <w:sz w:val="16"/>
          <w:szCs w:val="16"/>
        </w:rPr>
      </w:pPr>
    </w:p>
    <w:p w14:paraId="3F04E82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A4B31A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BDB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декабря 1932 на основании протокола N 24 КО И.А.Халепскому было поручено ведение переговоров с Кристи о приобретении летающего танка модели 1932 (3879,36).</w:t>
      </w:r>
    </w:p>
    <w:p w14:paraId="1521A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CAACC7"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декабря 1932 года Комиссия Обороны СССР в своем протоколе «О покупке чертежей танка Кристи» по</w:t>
      </w:r>
      <w:r w:rsidRPr="00142305">
        <w:rPr>
          <w:rFonts w:ascii="Times New Roman" w:hAnsi="Times New Roman"/>
          <w:color w:val="0070C0"/>
          <w:sz w:val="16"/>
          <w:szCs w:val="16"/>
        </w:rPr>
        <w:softHyphen/>
        <w:t>становила:</w:t>
      </w:r>
    </w:p>
    <w:p w14:paraId="045306F1"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Поручить т Халепскому вести пере</w:t>
      </w:r>
      <w:r w:rsidRPr="00142305">
        <w:rPr>
          <w:rFonts w:ascii="Times New Roman" w:hAnsi="Times New Roman"/>
          <w:color w:val="0070C0"/>
          <w:sz w:val="16"/>
          <w:szCs w:val="16"/>
        </w:rPr>
        <w:softHyphen/>
        <w:t>говоры с Кристи о покупке чертежей об</w:t>
      </w:r>
      <w:r w:rsidRPr="00142305">
        <w:rPr>
          <w:rFonts w:ascii="Times New Roman" w:hAnsi="Times New Roman"/>
          <w:color w:val="0070C0"/>
          <w:sz w:val="16"/>
          <w:szCs w:val="16"/>
        </w:rPr>
        <w:softHyphen/>
        <w:t>разца летающего танка 1932 г.</w:t>
      </w:r>
    </w:p>
    <w:p w14:paraId="003E0B52" w14:textId="77777777" w:rsidR="00096529" w:rsidRPr="00142305" w:rsidRDefault="00096529" w:rsidP="00096529">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При наличии построенного танка образца 1932 года купить одну машину.</w:t>
      </w:r>
    </w:p>
    <w:p w14:paraId="6744EC01" w14:textId="77777777" w:rsidR="00096529" w:rsidRPr="00142305" w:rsidRDefault="00096529" w:rsidP="00096529">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От приглашения Кристи в СССР отказаться.</w:t>
      </w:r>
    </w:p>
    <w:p w14:paraId="5A1ECA70"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Председатель В. Молотов, секретарь Базилевич» (25009).</w:t>
      </w:r>
    </w:p>
    <w:p w14:paraId="6A491E60" w14:textId="77777777" w:rsidR="00096529" w:rsidRPr="00142305" w:rsidRDefault="00096529" w:rsidP="00096529">
      <w:pPr>
        <w:spacing w:after="0" w:line="240" w:lineRule="auto"/>
        <w:jc w:val="both"/>
        <w:rPr>
          <w:rFonts w:ascii="Times New Roman" w:hAnsi="Times New Roman"/>
          <w:color w:val="0070C0"/>
          <w:sz w:val="16"/>
          <w:szCs w:val="16"/>
        </w:rPr>
      </w:pPr>
    </w:p>
    <w:p w14:paraId="471874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декабря 1932 г. постановлением КО предписывалось вооружить 300 машин БТ (№№ 301-600) 37-мм пушкой Гочкиса, сняв ее с танков Т-18, а начиная с 1 января 1934 г. заменить на танках БТ башни на новые, оснащенные спаренной установкой 45-мм пушки обр. 1932 г. и пулемета. Но в 1933 г. все исправные пушки Гочкиса с танков Т-18 уже были переставлены на Т-26, а для БТ таковых найдено не было. Поэтому практически все БТ-2, на долю которых не хватило Б-3, были оснащены в 1933 г. пулеметной спаркой или же остались невооруженными. Всего в 1932 г. было изготовлено 396, а в 1933-м - 224 танка БТ. В том же 1933-м указанные танки получили но</w:t>
      </w:r>
      <w:r w:rsidRPr="00E93F40">
        <w:rPr>
          <w:rFonts w:ascii="Times New Roman" w:hAnsi="Times New Roman"/>
          <w:color w:val="000000" w:themeColor="text1"/>
          <w:sz w:val="16"/>
          <w:szCs w:val="16"/>
        </w:rPr>
        <w:softHyphen/>
        <w:t>вый индекс БТ-2, так как было принято решение об освое</w:t>
      </w:r>
      <w:r w:rsidRPr="00E93F40">
        <w:rPr>
          <w:rFonts w:ascii="Times New Roman" w:hAnsi="Times New Roman"/>
          <w:color w:val="000000" w:themeColor="text1"/>
          <w:sz w:val="16"/>
          <w:szCs w:val="16"/>
        </w:rPr>
        <w:softHyphen/>
        <w:t>нии новой модификации указанного танка (10733,204).</w:t>
      </w:r>
    </w:p>
    <w:p w14:paraId="10324B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871057" w14:textId="77777777" w:rsidR="00DE34EC" w:rsidRPr="00E93F40" w:rsidRDefault="00DE34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декабря 1932 г. Совнарком СССР и ЦК ВКП(б) издали постановление, согласно которому на 262 перечисленных крупных предприятиях закрытые рабочие кооперативы (ЗРК) передавались в руки заводской администрации и реорганизовывались в отделы рабочего снабжения (ОРС). На прочих предприятиях промышленности и транспорта ЗРК продолжали существовать в форме кооперативов, но были подчинены заводскому руководству{985}.</w:t>
      </w:r>
    </w:p>
    <w:p w14:paraId="7C8AC533" w14:textId="77777777" w:rsidR="00DE34EC" w:rsidRPr="00E93F40" w:rsidRDefault="00DE34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на крупные предприятия была возложена ответственность за снабжение своих рабочих. Система ордеров была сохранена, их выдавали рабочим вместе с заработной платой. При увольнении с предприятия рабочий был обязан вернуть все неиспользованные ордера. Отделы рабочего снабжения (ОРС) должны были сами покрывать потребность в продовольствии, которое отчасти производилось на собственных земельных участках, частью же закупалось в установленных правительством областях{986} (18299).</w:t>
      </w:r>
    </w:p>
    <w:p w14:paraId="72BC2F6F" w14:textId="77777777" w:rsidR="00DE34EC" w:rsidRPr="00E93F40" w:rsidRDefault="00DE34EC" w:rsidP="00E93F40">
      <w:pPr>
        <w:spacing w:after="0" w:line="240" w:lineRule="auto"/>
        <w:jc w:val="both"/>
        <w:rPr>
          <w:rFonts w:ascii="Times New Roman" w:hAnsi="Times New Roman"/>
          <w:color w:val="000000" w:themeColor="text1"/>
          <w:sz w:val="16"/>
          <w:szCs w:val="16"/>
        </w:rPr>
      </w:pPr>
    </w:p>
    <w:p w14:paraId="3874A38B"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DB2ECD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3458F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декабря 1932 в СССР принят декрет, запрещающий выдачу продовольственных карточек тунеядцам и паразитам (4962).</w:t>
      </w:r>
    </w:p>
    <w:p w14:paraId="6746789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8DFA4D" w14:textId="2DB93BE5" w:rsidR="00446E58" w:rsidRPr="00E93F40" w:rsidRDefault="00446E58"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4 декабря</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Совет Народных Комиссаров и Центральный Комитет партии издали другой указ, направленный против прогулов. На этот раз обеспечение продуктами питания и другими предметами первой необходимости было поставлено под контроль</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директоров</w:t>
      </w:r>
      <w:r w:rsidR="00DD74E1">
        <w:rPr>
          <w:rFonts w:ascii="Times New Roman" w:eastAsia="Times New Roman" w:hAnsi="Times New Roman"/>
          <w:color w:val="000000" w:themeColor="text1"/>
          <w:sz w:val="16"/>
          <w:szCs w:val="16"/>
          <w:lang w:eastAsia="ru-RU"/>
        </w:rPr>
        <w:t xml:space="preserve">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заводов</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(17248).</w:t>
      </w:r>
    </w:p>
    <w:p w14:paraId="02C81898" w14:textId="77777777" w:rsidR="00446E58" w:rsidRPr="00E93F40" w:rsidRDefault="00446E5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6430A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BAC0BD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24EB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декабря 1932 в германии К. Фон Шлейхер сформировал новое правительство центристов и левых партий (3907,174).</w:t>
      </w:r>
    </w:p>
    <w:p w14:paraId="7FD94B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41957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510BBA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499C845"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г. Постановлением СТО от на 1933 г. заводу №1 определен план выпуска 250 самолетов И-7 (наряду с др. типами) (24331).</w:t>
      </w:r>
    </w:p>
    <w:p w14:paraId="3AA4C92C" w14:textId="77777777" w:rsidR="00EC4193" w:rsidRPr="00E93F40" w:rsidRDefault="00EC4193" w:rsidP="00E93F40">
      <w:pPr>
        <w:spacing w:after="0" w:line="240" w:lineRule="auto"/>
        <w:jc w:val="both"/>
        <w:rPr>
          <w:rFonts w:ascii="Times New Roman" w:hAnsi="Times New Roman"/>
          <w:color w:val="000000" w:themeColor="text1"/>
          <w:sz w:val="16"/>
          <w:szCs w:val="16"/>
        </w:rPr>
      </w:pPr>
    </w:p>
    <w:p w14:paraId="2DFB7D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г. вышел Приказ НИИ ВВС N 120/416с:</w:t>
      </w:r>
    </w:p>
    <w:p w14:paraId="240EA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7 декабря начать испытания самолета У2-М11 (эталон 1933 года).</w:t>
      </w:r>
    </w:p>
    <w:p w14:paraId="621959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Испытания закончить в 10 летных дней.</w:t>
      </w:r>
    </w:p>
    <w:p w14:paraId="01896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Вед. летчик Каверин.</w:t>
      </w:r>
    </w:p>
    <w:p w14:paraId="0FEE7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и военком НИИ ВВС Зильберт, начальник штаба НИИ ВВС Трунов (3067,31).</w:t>
      </w:r>
    </w:p>
    <w:p w14:paraId="4B9EDF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 начало Голодомора на Украине. С 6 декабря 1932 был запрещен подвоз продуктов, так как многие области Украины были названы саботирующими хлебозаготовки. С 15 декабря целые районы вывозили на Север (70,219).</w:t>
      </w:r>
    </w:p>
    <w:p w14:paraId="28F58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6D40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был готов АНТ-5 ТБ-3 (АНТ-6) эталон для 1 половины 1933, построенный на 39 заводе (1017,168) и был получен в НИИ ВВС (3899).</w:t>
      </w:r>
    </w:p>
    <w:p w14:paraId="4D45E2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0CB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при испытаниях БИЧ-7 был составлен Акт № 5, в котором были отмечены дефекты в бензопроводе (2307).</w:t>
      </w:r>
    </w:p>
    <w:p w14:paraId="3BA6A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FC03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делегация для переговоров с фирмой «Райт» в США во главе с И.И. Побережским, в которую входили также А.Д. Швецов и Н.П. Базилев, прибыла в Нью-Йорк и с 7 декабря начала переговоры, завершившиеся 22 апреля 1933 г. Фирма выразила согласие подготовить всю документацию в метрической системе, изготовить и испытать образцы метрических моторов (11852).</w:t>
      </w:r>
    </w:p>
    <w:p w14:paraId="19272F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125D6"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w:t>
      </w:r>
      <w:r w:rsidRPr="00E93F40">
        <w:rPr>
          <w:rFonts w:ascii="Times New Roman" w:hAnsi="Times New Roman"/>
          <w:color w:val="000000" w:themeColor="text1"/>
          <w:sz w:val="16"/>
          <w:szCs w:val="16"/>
        </w:rPr>
        <w:softHyphen/>
        <w:t>бря 1932 г. делегация, возглавляемая начальником ЦИАМ И.И. Побережским и главным инжене</w:t>
      </w:r>
      <w:r w:rsidRPr="00E93F40">
        <w:rPr>
          <w:rFonts w:ascii="Times New Roman" w:hAnsi="Times New Roman"/>
          <w:color w:val="000000" w:themeColor="text1"/>
          <w:sz w:val="16"/>
          <w:szCs w:val="16"/>
        </w:rPr>
        <w:softHyphen/>
        <w:t>ром ГАЗ №24 А.Д. Швецовым, прибыла в Нью-Йорк.</w:t>
      </w:r>
    </w:p>
    <w:p w14:paraId="48B54A60"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По-видимому, Поликарпов знал о поездке этой делегации, ее целях и задачах. Вот почему при проектиро</w:t>
      </w:r>
      <w:r w:rsidRPr="00E93F40">
        <w:rPr>
          <w:rFonts w:ascii="Times New Roman" w:hAnsi="Times New Roman"/>
          <w:color w:val="000000" w:themeColor="text1"/>
          <w:sz w:val="16"/>
          <w:szCs w:val="16"/>
        </w:rPr>
        <w:softHyphen/>
        <w:t>вании новых машин И-15 и И-16 он ориентировался на моторы Райт «Ци</w:t>
      </w:r>
      <w:r w:rsidRPr="00E93F40">
        <w:rPr>
          <w:rFonts w:ascii="Times New Roman" w:hAnsi="Times New Roman"/>
          <w:color w:val="000000" w:themeColor="text1"/>
          <w:sz w:val="16"/>
          <w:szCs w:val="16"/>
        </w:rPr>
        <w:softHyphen/>
        <w:t>клон», не без основания полагая, что лицензия на их производство в СССР все же будет куплена.</w:t>
      </w:r>
    </w:p>
    <w:p w14:paraId="6DF31139"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действительно, нелегкие пе</w:t>
      </w:r>
      <w:r w:rsidRPr="00E93F40">
        <w:rPr>
          <w:rFonts w:ascii="Times New Roman" w:hAnsi="Times New Roman"/>
          <w:color w:val="000000" w:themeColor="text1"/>
          <w:sz w:val="16"/>
          <w:szCs w:val="16"/>
        </w:rPr>
        <w:softHyphen/>
        <w:t>реговоры завершились 22 апреля 1933 г. Фирма выразила согласие не только продать партию двига</w:t>
      </w:r>
      <w:r w:rsidRPr="00E93F40">
        <w:rPr>
          <w:rFonts w:ascii="Times New Roman" w:hAnsi="Times New Roman"/>
          <w:color w:val="000000" w:themeColor="text1"/>
          <w:sz w:val="16"/>
          <w:szCs w:val="16"/>
        </w:rPr>
        <w:softHyphen/>
        <w:t>телей, но и подготовить всю доку</w:t>
      </w:r>
      <w:r w:rsidRPr="00E93F40">
        <w:rPr>
          <w:rFonts w:ascii="Times New Roman" w:hAnsi="Times New Roman"/>
          <w:color w:val="000000" w:themeColor="text1"/>
          <w:sz w:val="16"/>
          <w:szCs w:val="16"/>
        </w:rPr>
        <w:softHyphen/>
        <w:t>ментацию на производство одного из лучших в те годы моторов Райт «Циклон» SGR-1820 F-3 в метриче</w:t>
      </w:r>
      <w:r w:rsidRPr="00E93F40">
        <w:rPr>
          <w:rFonts w:ascii="Times New Roman" w:hAnsi="Times New Roman"/>
          <w:color w:val="000000" w:themeColor="text1"/>
          <w:sz w:val="16"/>
          <w:szCs w:val="16"/>
        </w:rPr>
        <w:softHyphen/>
        <w:t>ской системе, изготовить и испытать образцы метрических моторов.</w:t>
      </w:r>
    </w:p>
    <w:p w14:paraId="20E8BB6F"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это соглашение было под</w:t>
      </w:r>
      <w:r w:rsidRPr="00E93F40">
        <w:rPr>
          <w:rFonts w:ascii="Times New Roman" w:hAnsi="Times New Roman"/>
          <w:color w:val="000000" w:themeColor="text1"/>
          <w:sz w:val="16"/>
          <w:szCs w:val="16"/>
        </w:rPr>
        <w:softHyphen/>
        <w:t>тверждено специальным решением советского Правительства. В поста</w:t>
      </w:r>
      <w:r w:rsidRPr="00E93F40">
        <w:rPr>
          <w:rFonts w:ascii="Times New Roman" w:hAnsi="Times New Roman"/>
          <w:color w:val="000000" w:themeColor="text1"/>
          <w:sz w:val="16"/>
          <w:szCs w:val="16"/>
        </w:rPr>
        <w:softHyphen/>
        <w:t>новлении Совета Труда и Обороны от 28 ноября 1933 г. говорилось о закупке 150 готовых моторов,100</w:t>
      </w:r>
    </w:p>
    <w:p w14:paraId="1B6B5164"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комплектов деталей (метрических) для запуска производства и о приобретении наиболее сложных в изготовлении деталей еще на 100 двигателей - всего на общую сумму 4350000 рублей. В январе 1934 г. фирма построила первый метрический мотор и установила его на стенд. В апреле он завершил 100-часовые испытания в США.</w:t>
      </w:r>
    </w:p>
    <w:p w14:paraId="7F1E286A"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Фирма по соглашению поставляла в СССР документацию, все необходи</w:t>
      </w:r>
      <w:r w:rsidRPr="00E93F40">
        <w:rPr>
          <w:rFonts w:ascii="Times New Roman" w:hAnsi="Times New Roman"/>
          <w:color w:val="000000" w:themeColor="text1"/>
          <w:sz w:val="16"/>
          <w:szCs w:val="16"/>
        </w:rPr>
        <w:softHyphen/>
        <w:t>мое станочное оборудование, приспо</w:t>
      </w:r>
      <w:r w:rsidRPr="00E93F40">
        <w:rPr>
          <w:rFonts w:ascii="Times New Roman" w:hAnsi="Times New Roman"/>
          <w:color w:val="000000" w:themeColor="text1"/>
          <w:sz w:val="16"/>
          <w:szCs w:val="16"/>
        </w:rPr>
        <w:softHyphen/>
        <w:t>собления и технологии, необходимые для оснащения авиамоторного завода. По указанию Правительства в двух ки</w:t>
      </w:r>
      <w:r w:rsidRPr="00E93F40">
        <w:rPr>
          <w:rFonts w:ascii="Times New Roman" w:hAnsi="Times New Roman"/>
          <w:color w:val="000000" w:themeColor="text1"/>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43016876"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Райт «Циклон» SGR-1820 F-3 в СССР получил новое обозна</w:t>
      </w:r>
      <w:r w:rsidRPr="00E93F40">
        <w:rPr>
          <w:rFonts w:ascii="Times New Roman" w:hAnsi="Times New Roman"/>
          <w:color w:val="000000" w:themeColor="text1"/>
          <w:sz w:val="16"/>
          <w:szCs w:val="16"/>
        </w:rPr>
        <w:softHyphen/>
        <w:t>чение - М-25 (23455).</w:t>
      </w:r>
    </w:p>
    <w:p w14:paraId="28115DBF" w14:textId="77777777" w:rsidR="00EC4193" w:rsidRPr="00E93F40" w:rsidRDefault="00EC4193" w:rsidP="00E93F40">
      <w:pPr>
        <w:spacing w:after="0" w:line="240" w:lineRule="auto"/>
        <w:jc w:val="both"/>
        <w:rPr>
          <w:rFonts w:ascii="Times New Roman" w:hAnsi="Times New Roman"/>
          <w:color w:val="000000" w:themeColor="text1"/>
          <w:sz w:val="16"/>
          <w:szCs w:val="16"/>
        </w:rPr>
      </w:pPr>
    </w:p>
    <w:p w14:paraId="1E9547D3"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5 декабря 1932 г. делегация во главе с И.И. Побережским, в то время заместителем начальника ГУАП при Наркомтяжпроме СССР (в состав комиссии входили также А.Д. Швецов и Н.П. Базилев) прибыла в Нью-Йорк для закупки </w:t>
      </w:r>
      <w:r w:rsidRPr="00142305">
        <w:rPr>
          <w:rStyle w:val="aff"/>
          <w:rFonts w:ascii="Times New Roman" w:hAnsi="Times New Roman" w:cs="Times New Roman"/>
          <w:color w:val="0070C0"/>
          <w:spacing w:val="0"/>
          <w:sz w:val="16"/>
          <w:szCs w:val="16"/>
          <w:lang w:val="en-US"/>
        </w:rPr>
        <w:t>Wright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Cyclone</w:t>
      </w:r>
      <w:r w:rsidRPr="00142305">
        <w:rPr>
          <w:rStyle w:val="aff"/>
          <w:rFonts w:ascii="Times New Roman" w:hAnsi="Times New Roman" w:cs="Times New Roman"/>
          <w:color w:val="0070C0"/>
          <w:spacing w:val="0"/>
          <w:sz w:val="16"/>
          <w:szCs w:val="16"/>
        </w:rPr>
        <w:t xml:space="preserve">-9 </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-1820. С 7 декабря начались переговоры, завершившиеся 22 апреля 1933 г. Большую часть времени советские инженеры проводили на заводе «Райт» в Патерсоне, однако успевали побывать в других заводах, производивших детали мотора. Съездили в Бостон, где осмотрели авиамоторную лабораторию. Фирма выразила согласие подготовить всю документацию в метрической системе, изготовить и испытать образцы «метрических» моторов (25145).</w:t>
      </w:r>
    </w:p>
    <w:p w14:paraId="5FF12CB6" w14:textId="77777777" w:rsidR="00096529" w:rsidRPr="00142305" w:rsidRDefault="00096529" w:rsidP="00096529">
      <w:pPr>
        <w:spacing w:after="0" w:line="240" w:lineRule="auto"/>
        <w:jc w:val="both"/>
        <w:rPr>
          <w:rFonts w:ascii="Times New Roman" w:hAnsi="Times New Roman"/>
          <w:color w:val="0070C0"/>
          <w:sz w:val="16"/>
          <w:szCs w:val="16"/>
        </w:rPr>
      </w:pPr>
    </w:p>
    <w:p w14:paraId="0F68D2B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года состоялось заседания комиссии по вопросам сверхвысотной авиации при Госплане:</w:t>
      </w:r>
    </w:p>
    <w:p w14:paraId="4368336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заседания комиссии по вопросам сверхвысотной авиации при Госплане от 5 декабря 1932 года</w:t>
      </w:r>
    </w:p>
    <w:p w14:paraId="0F890BD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w:t>
      </w:r>
    </w:p>
    <w:p w14:paraId="17977ED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Сообщение Зарзара об организационных формах работы Комиссии и ее задачах:</w:t>
      </w:r>
    </w:p>
    <w:p w14:paraId="29E9A1C6"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Изучение имеющегося опыта в СССР подготовки и полетов в высоту;</w:t>
      </w:r>
    </w:p>
    <w:p w14:paraId="02EFEE18"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Высотные моторы и винты;</w:t>
      </w:r>
    </w:p>
    <w:p w14:paraId="498DB4E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Реактивные двигатели;</w:t>
      </w:r>
    </w:p>
    <w:p w14:paraId="5C6300BA"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Высотные самолеты и их оборудование (кабина) (6779, 21-22).</w:t>
      </w:r>
    </w:p>
    <w:p w14:paraId="5D1FD07C"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8E1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Нач. Управления Военных Приборов (ВООМП) ГАУ РККА Орлов писал письмо N VII/Н/25673 ГУАП о том, что для успешного проектирования и опытного строительства прицелов и приборов вооружения необходима теоретическая и экспериментальная проработка ряда проблем в области воздушной стрельбы, механики, электротехники и оптики. ВООМП просил привлечь другие силы и приглашал 16 декабря на совещание по этим вопросам (2305,10).</w:t>
      </w:r>
    </w:p>
    <w:p w14:paraId="6EAE0B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успешного проектирования и опытного строительства прицелов и приборов вооружения ВВС РККА, удовлетворяющих современным ТТТ, необходима предварительная теоретическая и экспериментальная проработка ряда проблем в области воздушной стрельбы, механики, электротехники и оптики.</w:t>
      </w:r>
    </w:p>
    <w:p w14:paraId="260161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 проектирования в ВООМПе показывает, что без та</w:t>
      </w:r>
      <w:r w:rsidRPr="00E93F40">
        <w:rPr>
          <w:rFonts w:ascii="Times New Roman" w:hAnsi="Times New Roman"/>
          <w:color w:val="000000" w:themeColor="text1"/>
          <w:sz w:val="16"/>
          <w:szCs w:val="16"/>
        </w:rPr>
        <w:softHyphen/>
        <w:t>кой предварительной проработки этих проблем нормальное конструирование и изготовление прицелов не может быть постав</w:t>
      </w:r>
      <w:r w:rsidRPr="00E93F40">
        <w:rPr>
          <w:rFonts w:ascii="Times New Roman" w:hAnsi="Times New Roman"/>
          <w:color w:val="000000" w:themeColor="text1"/>
          <w:sz w:val="16"/>
          <w:szCs w:val="16"/>
        </w:rPr>
        <w:softHyphen/>
        <w:t>лено.</w:t>
      </w:r>
    </w:p>
    <w:p w14:paraId="1DF70A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Учитывал, что указанные проблемы не могут быть решены одним конструкторским бюро ВООМПа, Управление Военных Приборов считает необходимым привлечь к проработке этих проблем, возможно большее число научных сил.</w:t>
      </w:r>
    </w:p>
    <w:p w14:paraId="294A36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этой целью на 16-е декабря .с.г. в УВП ГАУ (2-1 дом РВС, Красная пл.) назначается конференция из представителей всех организаций и учреждений, как непос</w:t>
      </w:r>
      <w:r w:rsidRPr="00E93F40">
        <w:rPr>
          <w:rFonts w:ascii="Times New Roman" w:hAnsi="Times New Roman"/>
          <w:color w:val="000000" w:themeColor="text1"/>
          <w:sz w:val="16"/>
          <w:szCs w:val="16"/>
        </w:rPr>
        <w:softHyphen/>
        <w:t>редственно связанных в своей работе с вооружением ВВС при</w:t>
      </w:r>
      <w:r w:rsidRPr="00E93F40">
        <w:rPr>
          <w:rFonts w:ascii="Times New Roman" w:hAnsi="Times New Roman"/>
          <w:color w:val="000000" w:themeColor="text1"/>
          <w:sz w:val="16"/>
          <w:szCs w:val="16"/>
        </w:rPr>
        <w:softHyphen/>
        <w:t>целами и их использованием, так и могущих по роду своей деятельности принять участие в разработке этих вопросов</w:t>
      </w:r>
    </w:p>
    <w:p w14:paraId="1F15A3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Повестка конференции:</w:t>
      </w:r>
    </w:p>
    <w:p w14:paraId="1C1DD6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Доклад Начальника УБП о задачах конференции</w:t>
      </w:r>
    </w:p>
    <w:p w14:paraId="3FB471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Доклад НИИ ВВС РККА о тактико -технических требованиях к прицелам и приборам вооружения</w:t>
      </w:r>
    </w:p>
    <w:p w14:paraId="086737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Доклад 2-й секции НТК УВП об основных проблемах в области строительства прицелов и приборов вооружения ВВС.</w:t>
      </w:r>
    </w:p>
    <w:p w14:paraId="7AC417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Обсуждение и распределение тем по научно-исследовательским работам, обеспечивающим строительство новых приборо и прицелов.</w:t>
      </w:r>
    </w:p>
    <w:p w14:paraId="4FD1B0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Обсуждение вопроса о подготовке кадров до прицелам и приборам вооружения ВВС.</w:t>
      </w:r>
    </w:p>
    <w:p w14:paraId="3A6331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работы конференции предполагается 2 дня.</w:t>
      </w:r>
    </w:p>
    <w:p w14:paraId="0A60D3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участия в названной конференций, прошу командировать Ваших представителей (2305,10).</w:t>
      </w:r>
    </w:p>
    <w:p w14:paraId="3FAA08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4974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BCC675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B51CE9" w14:textId="77777777" w:rsidR="00872081" w:rsidRPr="00E93F40" w:rsidRDefault="0087208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5 декабря 1932 г. Постановление СТО установило объем военного заказа на следующий год в размере 1,753 млрд руб., что составляло 80% к уровню 1932 г. (Справка Начальника Военной группы Сектора Обороны Госплана Снитко по Наркомату Обороны за II пятилетие", 5.05.1937 // РГАЭ. Ф. 4372. ПП.91.Д 3290. Л. 2.). В сентябре сектор обороны Госплана, получив поддержку со стороны Наркомтяжпрома, признал заказ НКВМ в размере 4,6 млрд руб. и притязания военных на дефицитные материалы "неприемлемыми с точки зрения экономии". В ноябре Реввоенсовет сократил свои запросы до 2,6 млрд руб., но правительство пошло еще дальше.</w:t>
      </w:r>
    </w:p>
    <w:p w14:paraId="5E22F2BB" w14:textId="77777777" w:rsidR="00872081" w:rsidRPr="00E93F40" w:rsidRDefault="0087208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С другой стороны, Отчего работе военной промышленности в 1933 г., содержащий сведения о производстве главных видов вооружения в абсолютных цифрах и в процентах выполнения плана, не поддается сопоставлению с основанным на стоимостных показателях декабрьским решением СТО. Очевидно лишь то, что утвержденный 5 декабря план выпуска в 1933 г. самолетов и авиационных моторов был впоследствии существенно увеличен (см.: </w:t>
      </w:r>
      <w:r w:rsidRPr="00E93F40">
        <w:rPr>
          <w:rFonts w:ascii="Times New Roman" w:eastAsia="Times New Roman" w:hAnsi="Times New Roman"/>
          <w:color w:val="000000" w:themeColor="text1"/>
          <w:sz w:val="16"/>
          <w:szCs w:val="16"/>
          <w:lang w:val="en-US" w:eastAsia="ru-RU"/>
        </w:rPr>
        <w:t>SAMLELSON</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L</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Op</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cit</w:t>
      </w:r>
      <w:r w:rsidRPr="00E93F40">
        <w:rPr>
          <w:rFonts w:ascii="Times New Roman" w:eastAsia="Times New Roman" w:hAnsi="Times New Roman"/>
          <w:color w:val="000000" w:themeColor="text1"/>
          <w:sz w:val="16"/>
          <w:szCs w:val="16"/>
          <w:lang w:eastAsia="ru-RU"/>
        </w:rPr>
        <w:t>. Р. 234-237) (22725).</w:t>
      </w:r>
    </w:p>
    <w:p w14:paraId="7DC6D2D6" w14:textId="77777777" w:rsidR="00872081" w:rsidRPr="00E93F40" w:rsidRDefault="00872081" w:rsidP="00E93F40">
      <w:pPr>
        <w:spacing w:after="0" w:line="240" w:lineRule="auto"/>
        <w:jc w:val="both"/>
        <w:rPr>
          <w:rFonts w:ascii="Times New Roman" w:hAnsi="Times New Roman"/>
          <w:color w:val="000000" w:themeColor="text1"/>
          <w:sz w:val="16"/>
          <w:szCs w:val="16"/>
        </w:rPr>
      </w:pPr>
    </w:p>
    <w:p w14:paraId="3BA477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г. в НИАП закончились испытания «улучшенной сварной башни» Н.Дыренкова, получившей индекс А-43, на танке Т-26, которые проходили с 26 ноября. Обе башни были установлены на не</w:t>
      </w:r>
      <w:r w:rsidRPr="00E93F40">
        <w:rPr>
          <w:rFonts w:ascii="Times New Roman" w:hAnsi="Times New Roman"/>
          <w:color w:val="000000" w:themeColor="text1"/>
          <w:sz w:val="16"/>
          <w:szCs w:val="16"/>
        </w:rPr>
        <w:softHyphen/>
        <w:t>сколько переработанный корпус танков соответственно БТ и Т-26. Большой размер круга обслуживания (погона) баш</w:t>
      </w:r>
      <w:r w:rsidRPr="00E93F40">
        <w:rPr>
          <w:rFonts w:ascii="Times New Roman" w:hAnsi="Times New Roman"/>
          <w:color w:val="000000" w:themeColor="text1"/>
          <w:sz w:val="16"/>
          <w:szCs w:val="16"/>
        </w:rPr>
        <w:softHyphen/>
        <w:t>ни заставил нарастить длину подбашенного листа указан</w:t>
      </w:r>
      <w:r w:rsidRPr="00E93F40">
        <w:rPr>
          <w:rFonts w:ascii="Times New Roman" w:hAnsi="Times New Roman"/>
          <w:color w:val="000000" w:themeColor="text1"/>
          <w:sz w:val="16"/>
          <w:szCs w:val="16"/>
        </w:rPr>
        <w:softHyphen/>
        <w:t>ных танков назад, что привело к установке их кормового листа под большим наклоном. Было выявлено большое количество недостатков как в конструкции самих башен, так и в конструкции пушки. Неудачный погон заставлял прикладывать на маховик поворотного механизма чрезмерные усилия, особенно пристрагивании башни с места. Полковую пушку установить в башню не представлялось возможным из-за чрезмерной длины отката (до 900 мм). Уменьшить откат путем приме</w:t>
      </w:r>
      <w:r w:rsidRPr="00E93F40">
        <w:rPr>
          <w:rFonts w:ascii="Times New Roman" w:hAnsi="Times New Roman"/>
          <w:color w:val="000000" w:themeColor="text1"/>
          <w:sz w:val="16"/>
          <w:szCs w:val="16"/>
        </w:rPr>
        <w:softHyphen/>
        <w:t>нения дульного тормоза АНИИ не разрешил. Поэтому башня А-43 испытывалась с пушкой «Гарфорда» (10733,335).</w:t>
      </w:r>
    </w:p>
    <w:p w14:paraId="2F7FB0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358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г. Наркомтяжпрому был назначен Постановлением СТО общий объем выпуска на 1933 в размере 1778,5 млн. руб. Соответствующие заказы на вещевое и инженерно-тех</w:t>
      </w:r>
      <w:r w:rsidRPr="00E93F40">
        <w:rPr>
          <w:rFonts w:ascii="Times New Roman" w:hAnsi="Times New Roman"/>
          <w:color w:val="000000" w:themeColor="text1"/>
          <w:sz w:val="16"/>
          <w:szCs w:val="16"/>
        </w:rPr>
        <w:softHyphen/>
        <w:t>ническое имущество, строительные материалы и т.д. размещались и оплачивались решениями правительства по другим наркоматам. Так, в 1933 г. выполняли заказы Военного ведомства предприя</w:t>
      </w:r>
      <w:r w:rsidRPr="00E93F40">
        <w:rPr>
          <w:rFonts w:ascii="Times New Roman" w:hAnsi="Times New Roman"/>
          <w:color w:val="000000" w:themeColor="text1"/>
          <w:sz w:val="16"/>
          <w:szCs w:val="16"/>
        </w:rPr>
        <w:softHyphen/>
        <w:t>тия Наркомлегпрома (в размере 45,6 млн. руб.), Наркомлеса (в размере 43 млн. руб.), Наркомсвязи (в размере 5 млн. руб.) и Промкооперации (в размере 24,1 млн. руб.). Собственные пред</w:t>
      </w:r>
      <w:r w:rsidRPr="00E93F40">
        <w:rPr>
          <w:rFonts w:ascii="Times New Roman" w:hAnsi="Times New Roman"/>
          <w:color w:val="000000" w:themeColor="text1"/>
          <w:sz w:val="16"/>
          <w:szCs w:val="16"/>
        </w:rPr>
        <w:softHyphen/>
        <w:t>приятия Наркомата Обороны (снаряжательные и ремонтные заво</w:t>
      </w:r>
      <w:r w:rsidRPr="00E93F40">
        <w:rPr>
          <w:rFonts w:ascii="Times New Roman" w:hAnsi="Times New Roman"/>
          <w:color w:val="000000" w:themeColor="text1"/>
          <w:sz w:val="16"/>
          <w:szCs w:val="16"/>
        </w:rPr>
        <w:softHyphen/>
        <w:t>ды) имели в 1933 г. заказ на сумму 89,8 млн. руб. (РГАЭ ф. 7297, оп. 38, д. 2, л. 292 (1566,93).</w:t>
      </w:r>
    </w:p>
    <w:p w14:paraId="25830D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90C04"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5 декабря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1528/455сс о плане заказов Наркомвоенмора на 1933 г. по вооружению и боевой технике (ГА РФ. Ф. Р?8418. Оп. 28. Д. 1а. Л. 399?409) (12415).</w:t>
      </w:r>
    </w:p>
    <w:p w14:paraId="033EB140"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p>
    <w:p w14:paraId="172295C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4D8CF9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A155C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декабря 1932 у Тайваня в шторм затонул японский эсминец «Савараби», 105 человек погибли (4962).</w:t>
      </w:r>
    </w:p>
    <w:p w14:paraId="4463D54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F9206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45C66E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E3BB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6 декабря 1932 года на новом заводе в Нижнем Новгороде начался выпуск "Форд-А" (3862).</w:t>
      </w:r>
    </w:p>
    <w:p w14:paraId="46A3B1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EE391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E10758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799DE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декабря 1932 Совнарком Украины обвинил кулаков и контрреволюционеров в срыве хлебозаготовок (4962).</w:t>
      </w:r>
    </w:p>
    <w:p w14:paraId="6CAB62E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FF5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декабря 1932 вышло постановление СНК УССР и ЦК КП(б)У о занесении на "черную доску" сел, "злостно саботирующих хлебозаготовки" (10687).</w:t>
      </w:r>
    </w:p>
    <w:p w14:paraId="2FD41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A8E872" w14:textId="77777777" w:rsidR="008C3670" w:rsidRPr="00E93F40" w:rsidRDefault="008C367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5EA6051" w14:textId="77777777" w:rsidR="008C3670" w:rsidRPr="00E93F40" w:rsidRDefault="008C367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B7DC37E"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В начале декабря 1932 на совместном заседании в ЦАГИ было принято решение создать техническую комиссию, которой поручалось определить и предложить тип мотора (отечественного или зарубежного) для истребителя И-13, на тот случай, если возникнут затруднения с выпуском мотора М-32 (19177).</w:t>
      </w:r>
    </w:p>
    <w:p w14:paraId="12C177DE"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p>
    <w:p w14:paraId="5996CCBE"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начале декабря 1932 г. комиссия под председательством Начальника УВВС РККА Я.И. Алксниса ознакомилась с макетами истребителей И-14 и И-14а и постановила: И-14а переименовать в И-15; из-за неготовности отечественных моторов М-32 и М-38 опытные образцы И-14 и И-15 строить с моторами </w:t>
      </w:r>
      <w:r w:rsidRPr="00142305">
        <w:rPr>
          <w:rStyle w:val="aff"/>
          <w:rFonts w:ascii="Times New Roman" w:hAnsi="Times New Roman" w:cs="Times New Roman"/>
          <w:color w:val="0070C0"/>
          <w:spacing w:val="0"/>
          <w:sz w:val="16"/>
          <w:szCs w:val="16"/>
          <w:lang w:val="en-US"/>
        </w:rPr>
        <w:t>Bristol</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Mercury</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rPr>
        <w:lastRenderedPageBreak/>
        <w:t xml:space="preserve">или </w:t>
      </w:r>
      <w:r w:rsidRPr="00142305">
        <w:rPr>
          <w:rStyle w:val="aff"/>
          <w:rFonts w:ascii="Times New Roman" w:hAnsi="Times New Roman" w:cs="Times New Roman"/>
          <w:color w:val="0070C0"/>
          <w:spacing w:val="0"/>
          <w:sz w:val="16"/>
          <w:szCs w:val="16"/>
          <w:lang w:val="en-US"/>
        </w:rPr>
        <w:t>Wright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Cyclone</w:t>
      </w:r>
      <w:r w:rsidRPr="00142305">
        <w:rPr>
          <w:rStyle w:val="aff"/>
          <w:rFonts w:ascii="Times New Roman" w:hAnsi="Times New Roman" w:cs="Times New Roman"/>
          <w:color w:val="0070C0"/>
          <w:spacing w:val="0"/>
          <w:sz w:val="16"/>
          <w:szCs w:val="16"/>
        </w:rPr>
        <w:t>; самолет И-14 рассматривать как перехватчик, в связи с чем основным требованием считать достижение максимальной скорости; самолет И-15 проектировать и строить как высокоманевренный истребитель, основными требованиями считать достижение высокой маневренности и хорошей скороподъемности.</w:t>
      </w:r>
    </w:p>
    <w:p w14:paraId="09397563"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проектирования и постройки истребителя И-15 в КОСОС была образована бригада № 5 Н.Н. Поликарпова. В январе 1933 г., в связи с организацией на заводе № 39 им. В.Р. Менжинского нового конструкторского бюро (ЦКБ) под руководством С.В. Ильюшина, в него из КОСОС перевели несколько бригад, в том числе и бригаду Н.Н. Поликарпова (25667).</w:t>
      </w:r>
    </w:p>
    <w:p w14:paraId="7C58FAB4" w14:textId="77777777" w:rsidR="00096529" w:rsidRPr="00142305" w:rsidRDefault="00096529" w:rsidP="00096529">
      <w:pPr>
        <w:spacing w:after="0" w:line="240" w:lineRule="auto"/>
        <w:jc w:val="both"/>
        <w:rPr>
          <w:rFonts w:ascii="Times New Roman" w:hAnsi="Times New Roman"/>
          <w:color w:val="0070C0"/>
          <w:sz w:val="16"/>
          <w:szCs w:val="16"/>
        </w:rPr>
      </w:pPr>
    </w:p>
    <w:p w14:paraId="232030E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4FFE82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7AE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Ю.И.Пионтковский поднял в воздух первый АНТ-6 (ТБ-3), сделанный на 39 заводе (N 3901) и всего выпустили 50, причем большую часть облетал В.П.Ч. Представителем КБ был И.Ф.Незваль (346,27). На самом деле проходили гос. испытания машины N 3901, которые шли до 23 декабря 1932 (1017,169).</w:t>
      </w:r>
    </w:p>
    <w:p w14:paraId="6E2DD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56A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г. с аэродрома заводе №39 в Москве поднялась в воздух первая машина ТБ-3 (сер. №3901). Ее пилотировал экипаж Ю.И.Пионтковского. За год это предприятие выпустило пять ТБ-3, а в Филях изготовили 155 самолетов. Это составляло примерно половину планового задания. Существовавший в то время технологический уровень нашей авиаиндустрии явно не соответствовал сложности ТБ-3. Так, кронштейны крепления частей крыла делались «по месту», а стыковочные болты были нестандартны по длине и диаметру. Отмечалась плохая подгонка частей самолета, небрежная обработка стыков, невзаимозаменяемость узлов на машинах даже одной серии, волнистость поверхности крыла. Особенно много претензий предъявлялось к сборке и нивелировке бомбардировщика. ТБ-3 из-за требования возможности перевозки по железной дороге членился на очень большое количество узлов, даже крыло разделялось не только поперек, но и вдоль. Так вот, все это собиралось с большим трудом. Например, секции полукрыла оказывались лежащими не в одной плоскости. Щели в соединениях зияли такие, что на зиму их заклеивали полотном, чтобы не набивался снег. О том, что происходило внутри самолета, и говорить не приходится. В самой первой «Временной полетно-эсплуатационной инструкции» по ТБ-3, выпущенной УВВС в 1932 г., перечень наиболее распространенных производственных дефектов занимает шесть страниц, набранных убористым шрифтом! (7668).</w:t>
      </w:r>
    </w:p>
    <w:p w14:paraId="6B7AF2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B66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г. поднялась в воздух первая машина ТБ-3, сделанная на заводе № 39 (№3901). Её пилотировал экипаж известного лётчика-испытателя Ю.И.Пионтковского. За год это предприятие выпустило пять ТБ-3, а в Филях изготовили 155 самолетов. Это составляло примерно половину планового задания (8887).</w:t>
      </w:r>
    </w:p>
    <w:p w14:paraId="7DCE4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4097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г. поднялась в воздух первая машина ТБ-3, сделанная на заводе № 39 в Москве. За год это предприятие выпустило пять ТБ-3, а в Филях изготовили 155 самолетов. Это составляло примерно половину планового задания. Существовали еще планы строительства нового завода на Дальнем Востоке, в районе Болонь-Од- жен, который должен был выпускать до 200 ТБ-3 в год. Впоследствии для этого предприятия выбрали другую площадку - в нынешнем Комсомольске-на-Амуре, но ТБ-3 там не строили (12024).</w:t>
      </w:r>
    </w:p>
    <w:p w14:paraId="6203E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AE912F"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декабря 1932 г. поднялась в воздух первая сделанная на заводе № 39 машина ТБ-3 - № 3901. Ее пилотировал экипаж Ю.И Пи</w:t>
      </w:r>
      <w:r w:rsidRPr="00142305">
        <w:rPr>
          <w:rFonts w:ascii="Times New Roman" w:hAnsi="Times New Roman"/>
          <w:color w:val="0070C0"/>
          <w:sz w:val="16"/>
          <w:szCs w:val="16"/>
        </w:rPr>
        <w:softHyphen/>
        <w:t>онтковского. Бомбардировщики этого предприятия имели гладкий носок крыла и несколько меньший вес, чем продукция из Филей. За год это предприятие выпустило пять ТБ-3, а на заводе № 22 изготовили 155 самолетов. Это составляло примерно половину планового задания.</w:t>
      </w:r>
    </w:p>
    <w:p w14:paraId="6E04816D"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Существовали еще планы строительства нового завода на Дальнем Востоке, в райо</w:t>
      </w:r>
      <w:r w:rsidRPr="00142305">
        <w:rPr>
          <w:rFonts w:ascii="Times New Roman" w:hAnsi="Times New Roman"/>
          <w:color w:val="0070C0"/>
          <w:sz w:val="16"/>
          <w:szCs w:val="16"/>
        </w:rPr>
        <w:softHyphen/>
        <w:t>не Болонь-Оджен, который должен был выпускать до 200 ТБ-3 в год. Впоследствии для этого предприятия выбрали другую площадку - в нынешнем Комсомольске-на- Амуре, но ТБ-3 там не строили (24937).</w:t>
      </w:r>
    </w:p>
    <w:p w14:paraId="3DE62C22" w14:textId="77777777" w:rsidR="00096529" w:rsidRPr="00142305" w:rsidRDefault="00096529" w:rsidP="00096529">
      <w:pPr>
        <w:spacing w:after="0" w:line="240" w:lineRule="auto"/>
        <w:jc w:val="both"/>
        <w:rPr>
          <w:rFonts w:ascii="Times New Roman" w:hAnsi="Times New Roman"/>
          <w:color w:val="0070C0"/>
          <w:sz w:val="16"/>
          <w:szCs w:val="16"/>
        </w:rPr>
      </w:pPr>
    </w:p>
    <w:p w14:paraId="4237DFCE"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7 декабря 1932 </w:t>
      </w:r>
      <w:r w:rsidRPr="00142305">
        <w:rPr>
          <w:rFonts w:ascii="Times New Roman" w:hAnsi="Times New Roman"/>
          <w:smallCaps/>
          <w:color w:val="0070C0"/>
          <w:sz w:val="16"/>
          <w:szCs w:val="16"/>
        </w:rPr>
        <w:t>г.</w:t>
      </w:r>
      <w:r w:rsidRPr="00142305">
        <w:rPr>
          <w:rFonts w:ascii="Times New Roman" w:hAnsi="Times New Roman"/>
          <w:color w:val="0070C0"/>
          <w:sz w:val="16"/>
          <w:szCs w:val="16"/>
        </w:rPr>
        <w:t xml:space="preserve"> поднялась в воздух первая машина АНТ-6, сделанная на заводе № 39. За год это предпри</w:t>
      </w:r>
      <w:r w:rsidRPr="00142305">
        <w:rPr>
          <w:rFonts w:ascii="Times New Roman" w:hAnsi="Times New Roman"/>
          <w:color w:val="0070C0"/>
          <w:sz w:val="16"/>
          <w:szCs w:val="16"/>
        </w:rPr>
        <w:softHyphen/>
        <w:t>ятие выпустило пять ТБ-3, а в Филях изготовили 155 само</w:t>
      </w:r>
      <w:r w:rsidRPr="00142305">
        <w:rPr>
          <w:rFonts w:ascii="Times New Roman" w:hAnsi="Times New Roman"/>
          <w:color w:val="0070C0"/>
          <w:sz w:val="16"/>
          <w:szCs w:val="16"/>
        </w:rPr>
        <w:softHyphen/>
        <w:t>летов. Это составляло примерно половину планового зада</w:t>
      </w:r>
      <w:r w:rsidRPr="00142305">
        <w:rPr>
          <w:rFonts w:ascii="Times New Roman" w:hAnsi="Times New Roman"/>
          <w:color w:val="0070C0"/>
          <w:sz w:val="16"/>
          <w:szCs w:val="16"/>
        </w:rPr>
        <w:softHyphen/>
        <w:t>ния. Существовали еще планы строительства нового завода на Дальнем Востоке, в районе Болонь-Оджен, который дол</w:t>
      </w:r>
      <w:r w:rsidRPr="00142305">
        <w:rPr>
          <w:rFonts w:ascii="Times New Roman" w:hAnsi="Times New Roman"/>
          <w:color w:val="0070C0"/>
          <w:sz w:val="16"/>
          <w:szCs w:val="16"/>
        </w:rPr>
        <w:softHyphen/>
        <w:t>жен был выпускать до 200 ТБ-3 в год. Впоследствии для это</w:t>
      </w:r>
      <w:r w:rsidRPr="00142305">
        <w:rPr>
          <w:rFonts w:ascii="Times New Roman" w:hAnsi="Times New Roman"/>
          <w:color w:val="0070C0"/>
          <w:sz w:val="16"/>
          <w:szCs w:val="16"/>
        </w:rPr>
        <w:softHyphen/>
        <w:t>го предприятия выбрали другую площадку — в нынешнем Комсомольске-на-Амуре, но ТБ-3 там не строили (24977).</w:t>
      </w:r>
    </w:p>
    <w:p w14:paraId="7491B84D" w14:textId="77777777" w:rsidR="00096529" w:rsidRPr="00142305" w:rsidRDefault="00096529" w:rsidP="00096529">
      <w:pPr>
        <w:spacing w:after="0" w:line="240" w:lineRule="auto"/>
        <w:jc w:val="both"/>
        <w:rPr>
          <w:rFonts w:ascii="Times New Roman" w:hAnsi="Times New Roman"/>
          <w:color w:val="0070C0"/>
          <w:sz w:val="16"/>
          <w:szCs w:val="16"/>
        </w:rPr>
      </w:pPr>
    </w:p>
    <w:p w14:paraId="3EE0FAF6"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г. начались заводские ис</w:t>
      </w:r>
      <w:r w:rsidRPr="00E93F40">
        <w:rPr>
          <w:rFonts w:ascii="Times New Roman" w:hAnsi="Times New Roman"/>
          <w:color w:val="000000" w:themeColor="text1"/>
          <w:sz w:val="16"/>
          <w:szCs w:val="16"/>
        </w:rPr>
        <w:softHyphen/>
        <w:t>пытания в НИИ ВВС первую машину И-7 завода № 39 (№3901), которую поднял в воздух Ю.И. Пионтковский. Предприятие выпус</w:t>
      </w:r>
      <w:r w:rsidRPr="00E93F40">
        <w:rPr>
          <w:rFonts w:ascii="Times New Roman" w:hAnsi="Times New Roman"/>
          <w:color w:val="000000" w:themeColor="text1"/>
          <w:sz w:val="16"/>
          <w:szCs w:val="16"/>
        </w:rPr>
        <w:softHyphen/>
        <w:t>тило 50 самолетов. Большую часть из них облетал В.П. Чкалов. Представителем КБ на заводе №39 был И.Ф. Незваль (23474).</w:t>
      </w:r>
    </w:p>
    <w:p w14:paraId="58089053" w14:textId="77777777" w:rsidR="00EC4193" w:rsidRPr="00E93F40" w:rsidRDefault="00EC4193" w:rsidP="00E93F40">
      <w:pPr>
        <w:spacing w:after="0" w:line="240" w:lineRule="auto"/>
        <w:jc w:val="both"/>
        <w:rPr>
          <w:rFonts w:ascii="Times New Roman" w:hAnsi="Times New Roman"/>
          <w:color w:val="000000" w:themeColor="text1"/>
          <w:sz w:val="16"/>
          <w:szCs w:val="16"/>
        </w:rPr>
      </w:pPr>
    </w:p>
    <w:p w14:paraId="4AAE9F55"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1931 г. Заместитель Председателя РВС, Заместитель Наркома по Военным и Морским делам Я. Б. Гамарник сообщал, что на вооружение Красной Армии предлагается ввести самолет У-2 М-11 в качестве самолета-сопроводителя. Сопровождать предполагалось пехоту, кавалерию и моторизованные части на марше с целью разведки впереди лежащей местности. При этом рассчитывалось, что самолет-сопроводитель можно будет перевозить в боевых порядках походных колонн на буксире или в кузове полуторки.</w:t>
      </w:r>
    </w:p>
    <w:p w14:paraId="282349C3"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ВВС РККА Я. И. Алкснис согласился с этим предложением, но отметил, что при этом на У-2 необходимо установить вооружение. Такой вариант самолета У-2 — У-2ВС — был создан в ОКБ Поликарпова в 1932 г., а в 1933 г. успешно прошел государственные испытания и был принят на вооружение. В июне-июле 1933 г. У-2ВС проходил войсковые испытания в Борисоглебской школе. По их результатам сделали вывод о целесообразности использования самолета в качестве учебно-боевого. У-2ВС в 1935-36 годах выпускался относительно большой серией. Было построено 468 экземпляров. Приемка самолетов осуществлялась по требованиям, изложенным в авиационном стандарте 93 СТУ, разработанным Объединенным Бюро Стандартизации ГУАП.</w:t>
      </w:r>
    </w:p>
    <w:p w14:paraId="6CD1750F"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Стандарт определял основные геометрические размеры самолета У-2 М-11(воор) — У-2ВС.</w:t>
      </w:r>
    </w:p>
    <w:p w14:paraId="3A84BBA2"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Весовые характеристики: полетный вес — 1064,00 кг.</w:t>
      </w:r>
    </w:p>
    <w:p w14:paraId="111F0102"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пустого самолета — 726,22 кг,</w:t>
      </w:r>
    </w:p>
    <w:p w14:paraId="6D766451"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полной нагрузки — 237,76 кг.</w:t>
      </w:r>
    </w:p>
    <w:p w14:paraId="71F37946"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Стрелковое вооружение предусматривало использование переднего огня в виде синхронного крыльевого пулемета ПВ-1 с запасом 200 патронов (ленточное питание) и заднего огня — шкворневой турели ТУР-7 под пулемет Дегтярева ДТ с запасом 252 патрона, размещенных в четырех сменных магазинах.</w:t>
      </w:r>
    </w:p>
    <w:p w14:paraId="24806A64"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Бомбардировочное вооружение предусматривало подвеску шести бомб калибра 8 кг. Управление сбросом бомб механическое. Прицел для бомбометания — АП-2.</w:t>
      </w:r>
    </w:p>
    <w:p w14:paraId="6D7E50D2"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приборной доске летчика размещались: указатель скорости, высотомер, указатели поворота и скольжения, навигационные приборы — компас и часы, приборы контроля работы мотора — тахометр, манометр давления масла, термометр масла. Для улучшения обзора задней полусферы было установлено зеркало, предусматривалось переговорное устройство для связи между членами экипажа.</w:t>
      </w:r>
    </w:p>
    <w:p w14:paraId="21EF87F8"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Приборное оборудование кабины наблюдателя включало: указатель скорости, высотомер, манометр и термометр масла, компас.</w:t>
      </w:r>
    </w:p>
    <w:p w14:paraId="7D3FFC59"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обеспечения посадки в ночных условиях под нижним крылом устанавливались два посадочных факела.</w:t>
      </w:r>
    </w:p>
    <w:p w14:paraId="1AC0D892" w14:textId="77777777" w:rsidR="00A762CE" w:rsidRPr="00E93F40" w:rsidRDefault="00A762C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вначале планировалось использовать У-2ВС преимущественно как легкий боевой самолет, то позднее он, в основном, стал применяться как учебно-тренировочный для обучения использованию стрелкового и бомбардировочного вооружения. В частности, об этом говорилось в отчете по специальным испытаниям У-2ВС в начале 1938 г. На самолете дополнительно устанавливалась фотоустановка ФТ-1 для обучения ведению фоторазведки (15142).</w:t>
      </w:r>
    </w:p>
    <w:p w14:paraId="734124CA" w14:textId="77777777" w:rsidR="00A762CE" w:rsidRPr="00E93F40" w:rsidRDefault="00A762CE" w:rsidP="00E93F40">
      <w:pPr>
        <w:spacing w:after="0" w:line="240" w:lineRule="auto"/>
        <w:jc w:val="both"/>
        <w:rPr>
          <w:rFonts w:ascii="Times New Roman" w:hAnsi="Times New Roman"/>
          <w:color w:val="000000" w:themeColor="text1"/>
          <w:sz w:val="16"/>
          <w:szCs w:val="16"/>
        </w:rPr>
      </w:pPr>
    </w:p>
    <w:p w14:paraId="252D4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года приказ № 030 Управлению ВВС</w:t>
      </w:r>
    </w:p>
    <w:p w14:paraId="55BED93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ноября 1932 года ст. летчик Жарновский В.Н. совершил по радио взлет, полет и посадку в закрытой кабине на самолете У-2. Приземление и посадка с высоты 15 м были совершены при помощи щупа и лота.</w:t>
      </w:r>
    </w:p>
    <w:p w14:paraId="15A0DB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является в СССР первым действительно слепым полетом со слепой посадкой в полном смысле этого слова (7486, 193).</w:t>
      </w:r>
    </w:p>
    <w:p w14:paraId="57160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382C9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делегация для переговоров с фирмой «Райт» в США во главе с И.И. Побережским, в которую входили также А.Д. Швецов и Н.П. Базилев, начала переговоры, завершившиеся 22 апреля 1933 г. Фирма выразила согласие подготовить всю документацию в метрической системе, изготовить и испытать образцы метрических моторов (11852).</w:t>
      </w:r>
    </w:p>
    <w:p w14:paraId="4B7161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50C49E"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С 7 декабря 1932 г. начались переговоры делегация во главе с И.И. Побережским, в то время заместителем начальника ГУАП при Наркомтяжпроме СССР (в состав комиссии входили также А.Д. Швецов и Н.П. Базилев) по закупке </w:t>
      </w:r>
      <w:r w:rsidRPr="00142305">
        <w:rPr>
          <w:rStyle w:val="aff"/>
          <w:rFonts w:ascii="Times New Roman" w:hAnsi="Times New Roman" w:cs="Times New Roman"/>
          <w:color w:val="0070C0"/>
          <w:spacing w:val="0"/>
          <w:sz w:val="16"/>
          <w:szCs w:val="16"/>
          <w:lang w:val="en-US"/>
        </w:rPr>
        <w:t>Wright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Cyclone</w:t>
      </w:r>
      <w:r w:rsidRPr="00142305">
        <w:rPr>
          <w:rStyle w:val="aff"/>
          <w:rFonts w:ascii="Times New Roman" w:hAnsi="Times New Roman" w:cs="Times New Roman"/>
          <w:color w:val="0070C0"/>
          <w:spacing w:val="0"/>
          <w:sz w:val="16"/>
          <w:szCs w:val="16"/>
        </w:rPr>
        <w:t xml:space="preserve">-9 </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-1820, завершившиеся 22 апреля 1933 г. Большую часть времени советские инженеры проводили на заводе «Райт» в Патерсоне, однако успевали побывать в других заводах, производивших детали мотора. Съездили в Бостон, где осмотрели авиамоторную лабораторию. Фирма выразила согласие подготовить всю документацию в метрической системе, изготовить и испытать образцы «метрических» моторов (25145).</w:t>
      </w:r>
    </w:p>
    <w:p w14:paraId="7093D8D5" w14:textId="77777777" w:rsidR="00096529" w:rsidRPr="00142305" w:rsidRDefault="00096529" w:rsidP="00096529">
      <w:pPr>
        <w:spacing w:after="0" w:line="240" w:lineRule="auto"/>
        <w:jc w:val="both"/>
        <w:rPr>
          <w:rFonts w:ascii="Times New Roman" w:hAnsi="Times New Roman"/>
          <w:color w:val="0070C0"/>
          <w:sz w:val="16"/>
          <w:szCs w:val="16"/>
        </w:rPr>
      </w:pPr>
    </w:p>
    <w:p w14:paraId="57C65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начали производить авиавооружение на 32 заводе (2668).</w:t>
      </w:r>
    </w:p>
    <w:p w14:paraId="6E235A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49F502" w14:textId="77777777" w:rsidR="00A762CE" w:rsidRPr="00E93F40" w:rsidRDefault="00A762CE" w:rsidP="00E93F40">
      <w:pPr>
        <w:spacing w:after="0" w:line="240" w:lineRule="auto"/>
        <w:jc w:val="both"/>
        <w:rPr>
          <w:rStyle w:val="ucoz-forum-post"/>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t>7 декабря 1932 года</w:t>
      </w:r>
      <w:r w:rsidRPr="00E93F40">
        <w:rPr>
          <w:rStyle w:val="ucoz-forum-post"/>
          <w:rFonts w:ascii="Times New Roman" w:hAnsi="Times New Roman"/>
          <w:color w:val="000000" w:themeColor="text1"/>
          <w:sz w:val="16"/>
          <w:szCs w:val="16"/>
        </w:rPr>
        <w:t xml:space="preserve"> Начало производства авиационного вооружения на авиазаводе №32. В 1960 г. перепрофилирован на производство зенитных управляемых ракет (здесь также выпускаются самолетные катапультные кресла) Кировский машиностроительный завод им. ХХ партсъезда преобразовывался в КМСЗ им. ХХ партсъезда, КМПО им. ХХ партсъезда. В начале 1990-х гг. переименовано в «Вятское машиностроительное предприятие «Авитек». С 1999 г. – ФГУП «Вятское машиностроительное предприятие «Авитек», ныне АО «Вятское машиностроительное предприятие «Авитек» (14853).</w:t>
      </w:r>
    </w:p>
    <w:p w14:paraId="79492A8F" w14:textId="77777777" w:rsidR="00A762CE" w:rsidRPr="00E93F40" w:rsidRDefault="00A762CE" w:rsidP="00E93F40">
      <w:pPr>
        <w:spacing w:after="0" w:line="240" w:lineRule="auto"/>
        <w:jc w:val="both"/>
        <w:rPr>
          <w:rStyle w:val="ucoz-forum-post"/>
          <w:rFonts w:ascii="Times New Roman" w:hAnsi="Times New Roman"/>
          <w:color w:val="000000" w:themeColor="text1"/>
          <w:sz w:val="16"/>
          <w:szCs w:val="16"/>
        </w:rPr>
      </w:pPr>
    </w:p>
    <w:p w14:paraId="70C81930"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7 декабря 1932 при ВО ГВФ образовали производственно-экспериментальное предприятие строительства и эксплуатации дирижаблей, сокращенно «Дирижаблестрой». Придали ему как производственную базу Центральный порт и верфи, которые начали спешно возводить неподалеку от Москвы, на станции Долгопрудная. Именно там в самый сжатый срок предстояло построить серию воздушных кораблей полужесткого типа объемом до 150 тысяч кубометров для использования на внутрисоюзных линиях. Полагали, что первой из них откроют и самую протяженную. Проходящую вдоль чуть ли не всего побережья Ледовитого океана: Москва — Обдорск (Салехард)—Игарка — Тикси — Уэллен (20467).</w:t>
      </w:r>
    </w:p>
    <w:p w14:paraId="477B46A4" w14:textId="77777777" w:rsidR="00872081" w:rsidRPr="00E93F40" w:rsidRDefault="00872081" w:rsidP="00E93F40">
      <w:pPr>
        <w:spacing w:after="0" w:line="240" w:lineRule="auto"/>
        <w:jc w:val="both"/>
        <w:rPr>
          <w:rFonts w:ascii="Times New Roman" w:hAnsi="Times New Roman"/>
          <w:color w:val="000000" w:themeColor="text1"/>
          <w:sz w:val="16"/>
          <w:szCs w:val="16"/>
        </w:rPr>
      </w:pPr>
    </w:p>
    <w:p w14:paraId="06F2B22E" w14:textId="77777777" w:rsidR="008C3670" w:rsidRPr="00E93F40" w:rsidRDefault="008C3670"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7AA3680" w14:textId="77777777" w:rsidR="008C3670" w:rsidRPr="00E93F40" w:rsidRDefault="008C367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A5CF9F1"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опросом членов ПБ</w:t>
      </w:r>
    </w:p>
    <w:p w14:paraId="7BED46B3"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38/32.- Вопросы К.О.</w:t>
      </w:r>
    </w:p>
    <w:p w14:paraId="58BE2B0D"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 посылке комиссии для переговоров с фирмой Шнейдер-Крезо</w:t>
      </w:r>
    </w:p>
    <w:p w14:paraId="12866C77"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 Кристи.</w:t>
      </w:r>
    </w:p>
    <w:p w14:paraId="49FBC36F"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 размещении и поставке импортного оборудования для ВЭСО</w:t>
      </w:r>
    </w:p>
    <w:p w14:paraId="5A85479F"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следующие решения КО:</w:t>
      </w:r>
    </w:p>
    <w:p w14:paraId="461997D9"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1. НКВМору и НКТяжпрому немедленно коман</w:t>
      </w:r>
      <w:r w:rsidRPr="00E93F40">
        <w:rPr>
          <w:rFonts w:ascii="Times New Roman" w:hAnsi="Times New Roman"/>
          <w:color w:val="000000" w:themeColor="text1"/>
          <w:sz w:val="16"/>
          <w:szCs w:val="16"/>
        </w:rPr>
        <w:softHyphen/>
        <w:t>дировать во францию комиссию для посещения и веде</w:t>
      </w:r>
      <w:r w:rsidRPr="00E93F40">
        <w:rPr>
          <w:rFonts w:ascii="Times New Roman" w:hAnsi="Times New Roman"/>
          <w:color w:val="000000" w:themeColor="text1"/>
          <w:sz w:val="16"/>
          <w:szCs w:val="16"/>
        </w:rPr>
        <w:softHyphen/>
        <w:t>ния переговоров с фирмой Шнейдер-Крезо в отноше</w:t>
      </w:r>
      <w:r w:rsidRPr="00E93F40">
        <w:rPr>
          <w:rFonts w:ascii="Times New Roman" w:hAnsi="Times New Roman"/>
          <w:color w:val="000000" w:themeColor="text1"/>
          <w:sz w:val="16"/>
          <w:szCs w:val="16"/>
        </w:rPr>
        <w:softHyphen/>
        <w:t>нии дивизионной артиллерии.</w:t>
      </w:r>
    </w:p>
    <w:p w14:paraId="5EE327B0"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Состав комиссии: председатель - т. Симо</w:t>
      </w:r>
      <w:r w:rsidRPr="00E93F40">
        <w:rPr>
          <w:rFonts w:ascii="Times New Roman" w:hAnsi="Times New Roman"/>
          <w:color w:val="000000" w:themeColor="text1"/>
          <w:sz w:val="16"/>
          <w:szCs w:val="16"/>
        </w:rPr>
        <w:softHyphen/>
        <w:t>нов, члены - т.т. Железняков и Яковлев от НКВМ, т.т. Макулов и Сидоренко - от НКТП.</w:t>
      </w:r>
    </w:p>
    <w:p w14:paraId="4B766C32"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Комиссии закончить поездку в 2-месячный СРОК.</w:t>
      </w:r>
    </w:p>
    <w:p w14:paraId="19218B2A"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Ответственность за выполнение задания в срок возложить на т. Тухачевского.</w:t>
      </w:r>
    </w:p>
    <w:p w14:paraId="36E48B4C"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б)-1. Поручить т. Халепскому вести переговоры с Кристи о покупке чертежей образца нелетающего танка 1932 г.</w:t>
      </w:r>
    </w:p>
    <w:p w14:paraId="78C0AF8F"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При наличии построенного танка образца 1932г. купить одну машину.</w:t>
      </w:r>
    </w:p>
    <w:p w14:paraId="131BEFB2"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От приглашения Кристи в СССР отказаться.</w:t>
      </w:r>
    </w:p>
    <w:p w14:paraId="31C74520"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в)-1. Разрешить ВЭСО немедленно приступить к размещению импортных заказов 1933 г. в пределах половинной суммы против наметки комиссии т. Куйбы</w:t>
      </w:r>
      <w:r w:rsidRPr="00E93F40">
        <w:rPr>
          <w:rFonts w:ascii="Times New Roman" w:hAnsi="Times New Roman"/>
          <w:color w:val="000000" w:themeColor="text1"/>
          <w:sz w:val="16"/>
          <w:szCs w:val="16"/>
        </w:rPr>
        <w:softHyphen/>
        <w:t>шева И., а именно в пределах 600 тыс. рублей.</w:t>
      </w:r>
    </w:p>
    <w:p w14:paraId="44B39EB6"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НКВТорг принять все меры к раз</w:t>
      </w:r>
      <w:r w:rsidRPr="00E93F40">
        <w:rPr>
          <w:rFonts w:ascii="Times New Roman" w:hAnsi="Times New Roman"/>
          <w:color w:val="000000" w:themeColor="text1"/>
          <w:sz w:val="16"/>
          <w:szCs w:val="16"/>
        </w:rPr>
        <w:softHyphen/>
        <w:t>мещению заказов ВЭСО с тем, чтобы обеспечить мак</w:t>
      </w:r>
      <w:r w:rsidRPr="00E93F40">
        <w:rPr>
          <w:rFonts w:ascii="Times New Roman" w:hAnsi="Times New Roman"/>
          <w:color w:val="000000" w:themeColor="text1"/>
          <w:sz w:val="16"/>
          <w:szCs w:val="16"/>
        </w:rPr>
        <w:softHyphen/>
        <w:t>симальный завоз оборудования в 1 квартале 1933 г.</w:t>
      </w:r>
    </w:p>
    <w:p w14:paraId="39DC8DE6"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Окончательное решение о размерах импорт</w:t>
      </w:r>
      <w:r w:rsidRPr="00E93F40">
        <w:rPr>
          <w:rFonts w:ascii="Times New Roman" w:hAnsi="Times New Roman"/>
          <w:color w:val="000000" w:themeColor="text1"/>
          <w:sz w:val="16"/>
          <w:szCs w:val="16"/>
        </w:rPr>
        <w:softHyphen/>
        <w:t>ных и валютных контингентов по заказам ВЭСО на 1933 год принять через 2 декады при утверждении соответствующих контингентов по всем заказам НКВТорга.</w:t>
      </w:r>
    </w:p>
    <w:p w14:paraId="5D3C8BF7"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Базилевичу, Гамарнику - все; Орджоникидзе, Тухачевскому - а; Халепскому - б; Розенгольцу – в</w:t>
      </w:r>
    </w:p>
    <w:p w14:paraId="76D273A5" w14:textId="77777777" w:rsidR="00872081" w:rsidRPr="00E93F40" w:rsidRDefault="0087208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декабря 1932 состоялось заседание ПБ (Протокол № 125) (23070).</w:t>
      </w:r>
    </w:p>
    <w:p w14:paraId="02AB76E2" w14:textId="77777777" w:rsidR="00872081" w:rsidRPr="00E93F40" w:rsidRDefault="00872081" w:rsidP="00E93F40">
      <w:pPr>
        <w:spacing w:after="0" w:line="240" w:lineRule="auto"/>
        <w:jc w:val="both"/>
        <w:rPr>
          <w:rFonts w:ascii="Times New Roman" w:hAnsi="Times New Roman"/>
          <w:color w:val="000000" w:themeColor="text1"/>
          <w:sz w:val="16"/>
          <w:szCs w:val="16"/>
        </w:rPr>
      </w:pPr>
    </w:p>
    <w:p w14:paraId="47F99149" w14:textId="0C289C20" w:rsidR="008C3670" w:rsidRPr="00E93F40" w:rsidRDefault="008C3670" w:rsidP="00E93F40">
      <w:pPr>
        <w:spacing w:after="0" w:line="240" w:lineRule="auto"/>
        <w:jc w:val="both"/>
        <w:rPr>
          <w:rFonts w:ascii="Times New Roman" w:hAnsi="Times New Roman"/>
          <w:color w:val="000000" w:themeColor="text1"/>
          <w:sz w:val="16"/>
          <w:szCs w:val="16"/>
        </w:rPr>
      </w:pPr>
      <w:hyperlink r:id="rId293" w:history="1">
        <w:r w:rsidRPr="00E93F40">
          <w:rPr>
            <w:rStyle w:val="a5"/>
            <w:rFonts w:ascii="Times New Roman" w:hAnsi="Times New Roman"/>
            <w:color w:val="000000" w:themeColor="text1"/>
            <w:sz w:val="16"/>
            <w:szCs w:val="16"/>
            <w:u w:val="none"/>
          </w:rPr>
          <w:t>7 декабря</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1932 года заказанные проекты были выданы советской делегации для изучения, а подтверждая качество выпускаемой продукции, руководство фирмы «I v S» предложило осмотреть подводную лодку «E-1», построенную в</w:t>
      </w:r>
      <w:hyperlink r:id="rId294"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Испании</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по проекту, аналогичному 700-тонной версии. Испытания «E-1» подтвердили высокие характеристики проекта и значительные его преимущества перед советскими лодками: лодка отличалась более совершенной конструкцией корпуса и</w:t>
      </w:r>
      <w:hyperlink r:id="rId295"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цистерн,</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более рациональной компоновкой механизмов, системой продува балласта при помощи дизелей, а также высокой автономностью и глубиной погружения. Данная скрытность объяснялась тем, что, выполняя условия</w:t>
      </w:r>
      <w:hyperlink r:id="rId296"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Версальского договора,</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Германия не имела права строить собственный подводный флот. Однако заинтересованность в строительстве подводных лодок проявляло входившее в германскую компанию</w:t>
      </w:r>
      <w:r w:rsidR="007C1411" w:rsidRPr="00E93F40">
        <w:rPr>
          <w:rFonts w:ascii="Times New Roman" w:hAnsi="Times New Roman"/>
          <w:color w:val="000000" w:themeColor="text1"/>
          <w:sz w:val="16"/>
          <w:szCs w:val="16"/>
        </w:rPr>
        <w:t xml:space="preserve"> </w:t>
      </w:r>
      <w:hyperlink r:id="rId297" w:history="1">
        <w:r w:rsidRPr="00E93F40">
          <w:rPr>
            <w:rStyle w:val="a5"/>
            <w:rFonts w:ascii="Times New Roman" w:hAnsi="Times New Roman"/>
            <w:color w:val="000000" w:themeColor="text1"/>
            <w:sz w:val="16"/>
            <w:szCs w:val="16"/>
            <w:u w:val="none"/>
          </w:rPr>
          <w:t>«Дешимаг»</w:t>
        </w:r>
      </w:hyperlink>
      <w:hyperlink r:id="rId298"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голландское</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конструкторское бюро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NV Ingenieurskantoor voor Scheepsbouw</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(«I v S»), занимавшееся усовершенствованием проектов лучших немецких субмарин времѐн</w:t>
      </w:r>
      <w:hyperlink r:id="rId299" w:history="1">
        <w:r w:rsidR="007C1411" w:rsidRPr="00E93F40">
          <w:rPr>
            <w:rStyle w:val="a5"/>
            <w:rFonts w:ascii="Times New Roman" w:hAnsi="Times New Roman"/>
            <w:color w:val="000000" w:themeColor="text1"/>
            <w:sz w:val="16"/>
            <w:szCs w:val="16"/>
            <w:u w:val="none"/>
          </w:rPr>
          <w:t xml:space="preserve"> </w:t>
        </w:r>
        <w:r w:rsidRPr="00E93F40">
          <w:rPr>
            <w:rStyle w:val="a5"/>
            <w:rFonts w:ascii="Times New Roman" w:hAnsi="Times New Roman"/>
            <w:color w:val="000000" w:themeColor="text1"/>
            <w:sz w:val="16"/>
            <w:szCs w:val="16"/>
            <w:u w:val="none"/>
          </w:rPr>
          <w:t>Пер</w:t>
        </w:r>
      </w:hyperlink>
      <w:hyperlink r:id="rId300" w:history="1">
        <w:r w:rsidRPr="00E93F40">
          <w:rPr>
            <w:rStyle w:val="a5"/>
            <w:rFonts w:ascii="Times New Roman" w:hAnsi="Times New Roman"/>
            <w:color w:val="000000" w:themeColor="text1"/>
            <w:sz w:val="16"/>
            <w:szCs w:val="16"/>
            <w:u w:val="none"/>
          </w:rPr>
          <w:t>вой мировой войны</w:t>
        </w:r>
        <w:r w:rsidR="007C1411" w:rsidRPr="00E93F40">
          <w:rPr>
            <w:rStyle w:val="a5"/>
            <w:rFonts w:ascii="Times New Roman" w:hAnsi="Times New Roman"/>
            <w:color w:val="000000" w:themeColor="text1"/>
            <w:sz w:val="16"/>
            <w:szCs w:val="16"/>
            <w:u w:val="none"/>
          </w:rPr>
          <w:t xml:space="preserve"> </w:t>
        </w:r>
      </w:hyperlink>
      <w:r w:rsidRPr="00E93F40">
        <w:rPr>
          <w:rFonts w:ascii="Times New Roman" w:hAnsi="Times New Roman"/>
          <w:color w:val="000000" w:themeColor="text1"/>
          <w:sz w:val="16"/>
          <w:szCs w:val="16"/>
        </w:rPr>
        <w:t>и строительством подводных лодок на экспорт [1, с. 3]. Постройку субмарин фирма осуществляла в Испании (контрольным пакетом акций «I v S» владела германская компания «Дешимаг») (18262).</w:t>
      </w:r>
    </w:p>
    <w:p w14:paraId="4C476D9E" w14:textId="77777777" w:rsidR="008C3670" w:rsidRPr="00E93F40" w:rsidRDefault="008C3670" w:rsidP="00E93F40">
      <w:pPr>
        <w:spacing w:after="0" w:line="240" w:lineRule="auto"/>
        <w:jc w:val="both"/>
        <w:rPr>
          <w:rFonts w:ascii="Times New Roman" w:hAnsi="Times New Roman"/>
          <w:color w:val="000000" w:themeColor="text1"/>
          <w:sz w:val="16"/>
          <w:szCs w:val="16"/>
        </w:rPr>
      </w:pPr>
    </w:p>
    <w:p w14:paraId="6B4526E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6F26A5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CE5B6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закончились госиспытания в НИИ ВВС самолета Р-5, модифицированного в штурмовик в 252-й авиабригаде в Гомеле по инициативе комбрига А.А. Туржанского и инженера Павлова летом 1932, которые проходили с 25 октября. Конструкцию в целом одобрили, но испытатели высказали ряд замечаний. Машину доработали в мастерских НИИ ВВС под руководством инженера Бобовникова. Количество замков бомбодержателей увеличили до 40, что позволило эффективнее применять бомбы малого калибра. Нормальная бомбовая нагрузка Р-5Ш составляла 320 кг, максимальная - 400 кг (40 штук АО-10). Использование боеприпасов калибром более 100 кг не предусматривалось.</w:t>
      </w:r>
    </w:p>
    <w:p w14:paraId="03884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вооружить все наши штурмовые части полностью пулеметными батареями по образцу (способу) Туржанского-Павлова... ". К февралю 1933 г. не успели. Лишь в начале года удалось договориться с промышленностью о выпуске 220 комплектов для переделки Р-5. Завод № 1 обязался сдать 10 эталонных Р-5Ш, которые должны были стать образцами для мастерских ВВС. Исходный же опытный образец после внесения изменений продемонстрировали на Центральном аэродроме комиссии РВС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w:t>
      </w:r>
    </w:p>
    <w:p w14:paraId="1E0D7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1 строил Р-5Ш в 1933-34 гг. Кроме того, в частях под этот стандарт переделывали самолеты разных серий. Поэтому точно оценить количество Р-5Ш не удается. Судя по наличию их в ВВС, всего существовало около 500 машин (11936).</w:t>
      </w:r>
    </w:p>
    <w:p w14:paraId="05572C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4D63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Н.Н.П. получил в ЦКБ бригаду - после защиты 8 декабря проекта И-14а перед Я.И.Алкснисом. И-14а переименовали в И-15. Было решено, что И-14 будет рассматриваться как скоростной перехватчик, а И-15 - как высокоманевренный истребитель (167,20).</w:t>
      </w:r>
    </w:p>
    <w:p w14:paraId="3FE806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Где-то сразу появилась и самостоятельная бригада 5 Н.Н.П. (228,86).</w:t>
      </w:r>
    </w:p>
    <w:p w14:paraId="434D27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E1CD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А.Н.Т. утвердил схему И-14 (АНТ-31) М-38, представленную П.О.С. Это было на совещании по вопросу об истребителях И-14 и И-15. Присутствовал Я.И.Алкснис, Н.М.Харламов, А.Н.Т. (1102).</w:t>
      </w:r>
    </w:p>
    <w:p w14:paraId="4E9315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BF2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Нач. НИИ ВВС Горощенко утвердил технические требования к одноместному истребителю И-14 М-38 (1102).</w:t>
      </w:r>
    </w:p>
    <w:p w14:paraId="6F064F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3686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и 29 октября 1932 были представлены техтребования к самолету И-14 М-38 (7415, 16).</w:t>
      </w:r>
    </w:p>
    <w:p w14:paraId="26D99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0A1F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в ЦАГИ состоялось совещание по вопросу И-14 и договорились, что НИИ в 3-х дневный срок представит ТТ, однако, получили только 4 января (2305,3), а также определили "лицо" ЛР, в котором стоящего стрелка заменили сидящим (2305,3).</w:t>
      </w:r>
    </w:p>
    <w:p w14:paraId="13732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A857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специальном совещании рассматривался деревянный макет И-14а, который строился параллельно с макетом моноплана И-14 и рассматривался также одновременно с последним. Руководил совещанием заместитель начальника ВВС Яков Алкснис, который предложил строить обе машины - Поликарпова и Сухого. Одновременно, на И-14а отказались от убираемого шасси по причине вероятных технических затруднений. Самолет предлагалось именовать в дальнейшем И-15 и строить как тип высокоманевренного истребителя, у которого все подчинялось основному летно-тактическому требованию - высокой маневренности и скороподъемности.</w:t>
      </w:r>
    </w:p>
    <w:p w14:paraId="092D5B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выборе силовой установки ориентировались на английские двигатели Бристоль «Меркур» или американские Райт «Циклон». Поликарпов наиболее приемлемыми считал американские двигатели (6593).</w:t>
      </w:r>
    </w:p>
    <w:p w14:paraId="2C2AF5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06ADB1"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в ЦАГИ состоялось совместное заседание представителей ЦАГИ и УВВС под председательством Начальника ВВС РККА, на котором рассмотрели маке</w:t>
      </w:r>
      <w:r w:rsidRPr="00E93F40">
        <w:rPr>
          <w:rFonts w:ascii="Times New Roman" w:hAnsi="Times New Roman"/>
          <w:color w:val="000000" w:themeColor="text1"/>
          <w:sz w:val="16"/>
          <w:szCs w:val="16"/>
        </w:rPr>
        <w:softHyphen/>
        <w:t>ты истребителя И-14 с мотором воздушного охлаждения в двух вариантах:</w:t>
      </w:r>
    </w:p>
    <w:p w14:paraId="26420FDB"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«...И-14 — моноплан с низкорасположенным крылом дюралевой конструкции и пушеч</w:t>
      </w:r>
      <w:r w:rsidRPr="00E93F40">
        <w:rPr>
          <w:rFonts w:ascii="Times New Roman" w:hAnsi="Times New Roman"/>
          <w:color w:val="000000" w:themeColor="text1"/>
          <w:sz w:val="16"/>
          <w:szCs w:val="16"/>
        </w:rPr>
        <w:softHyphen/>
        <w:t>ным вооружением.</w:t>
      </w:r>
    </w:p>
    <w:p w14:paraId="4F671302"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И-14а — полутораплан с крылом типа «Чайка», смешанной конструкции (сварной стальной фюзеляж, деревянные крылья)...»</w:t>
      </w:r>
    </w:p>
    <w:p w14:paraId="40511462"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принятом по итогам совещания постановлении указывалось:</w:t>
      </w:r>
    </w:p>
    <w:p w14:paraId="0187D995"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I. О моторе под самолёты И-14. И-15. И-13</w:t>
      </w:r>
    </w:p>
    <w:p w14:paraId="53B2E4C5" w14:textId="77777777" w:rsidR="00F40724" w:rsidRPr="00E93F40" w:rsidRDefault="00F40724" w:rsidP="00E93F40">
      <w:pPr>
        <w:tabs>
          <w:tab w:val="left" w:pos="31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И-14а переименовать в И-15.</w:t>
      </w:r>
    </w:p>
    <w:p w14:paraId="10FF49E3" w14:textId="77777777" w:rsidR="00F40724" w:rsidRPr="00E93F40" w:rsidRDefault="00F40724" w:rsidP="00E93F40">
      <w:pPr>
        <w:tabs>
          <w:tab w:val="left" w:pos="47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Проектировать и строить все три самолёта твердо под наши опытные истребитель</w:t>
      </w:r>
      <w:r w:rsidRPr="00E93F40">
        <w:rPr>
          <w:rFonts w:ascii="Times New Roman" w:hAnsi="Times New Roman"/>
          <w:color w:val="000000" w:themeColor="text1"/>
          <w:sz w:val="16"/>
          <w:szCs w:val="16"/>
        </w:rPr>
        <w:softHyphen/>
        <w:t>ные моторы.</w:t>
      </w:r>
    </w:p>
    <w:p w14:paraId="2CC2531F" w14:textId="77777777" w:rsidR="00F40724" w:rsidRPr="00E93F40" w:rsidRDefault="00F40724" w:rsidP="00E93F40">
      <w:pPr>
        <w:tabs>
          <w:tab w:val="left" w:pos="502"/>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Ввиду некоторой затяжки выхода наших истребительных моторов и необходимо</w:t>
      </w:r>
      <w:r w:rsidRPr="00E93F40">
        <w:rPr>
          <w:rFonts w:ascii="Times New Roman" w:hAnsi="Times New Roman"/>
          <w:color w:val="000000" w:themeColor="text1"/>
          <w:sz w:val="16"/>
          <w:szCs w:val="16"/>
        </w:rPr>
        <w:softHyphen/>
        <w:t>сти форсировать выпуск опытных образцов истребителей, считать возможным допус</w:t>
      </w:r>
      <w:r w:rsidRPr="00E93F40">
        <w:rPr>
          <w:rFonts w:ascii="Times New Roman" w:hAnsi="Times New Roman"/>
          <w:color w:val="000000" w:themeColor="text1"/>
          <w:sz w:val="16"/>
          <w:szCs w:val="16"/>
        </w:rPr>
        <w:softHyphen/>
        <w:t>тить конструирование опытного образца И-14 и И-15 под один из двух следующих моторов воздушного охлаждения: Бристоль-Меркур или Райт-Циклон.</w:t>
      </w:r>
    </w:p>
    <w:p w14:paraId="35FB94F1" w14:textId="77777777" w:rsidR="00F40724" w:rsidRPr="00E93F40" w:rsidRDefault="00F40724" w:rsidP="00E93F40">
      <w:pPr>
        <w:tabs>
          <w:tab w:val="left" w:pos="502"/>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Создать техническую комиссию под председательством т. Левина (НИИ ВВС) в составе следующих товарищей:</w:t>
      </w:r>
    </w:p>
    <w:p w14:paraId="0F8DC2BC"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ЦАГИ — т.т. Сухой, Поликарпов, Оттэн.</w:t>
      </w:r>
    </w:p>
    <w:p w14:paraId="4C747053"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НИИ — (по усмотрению т. Левина).</w:t>
      </w:r>
    </w:p>
    <w:p w14:paraId="2A060BAD" w14:textId="77777777" w:rsidR="00F40724" w:rsidRPr="00E93F40" w:rsidRDefault="00F40724" w:rsidP="00E93F40">
      <w:pPr>
        <w:tabs>
          <w:tab w:val="left" w:pos="47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Поручить технической комиссии не позже 13.12.с.г. представить свои выводы и пред</w:t>
      </w:r>
      <w:r w:rsidRPr="00E93F40">
        <w:rPr>
          <w:rFonts w:ascii="Times New Roman" w:hAnsi="Times New Roman"/>
          <w:color w:val="000000" w:themeColor="text1"/>
          <w:sz w:val="16"/>
          <w:szCs w:val="16"/>
        </w:rPr>
        <w:softHyphen/>
        <w:t>ложения по выбору заграничного типа мотора для самолётов И-14 и И-15 (Бристоль- Меркур или Райт-Циклон). При выборе Бристоль-Меркура или Райт-Циклона для И-14 и И-15, учитывать (сопоставлять) все преимущества одного и другого: лётно-техничес- кие и тактические, производственные, вероятные сроки получения и т.д.</w:t>
      </w:r>
    </w:p>
    <w:p w14:paraId="44FAB86D" w14:textId="77777777" w:rsidR="00F40724" w:rsidRPr="00E93F40" w:rsidRDefault="00F40724" w:rsidP="00E93F40">
      <w:pPr>
        <w:tabs>
          <w:tab w:val="left" w:pos="48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6....Окончательный выбор типа мотора под И-14 и И-15 подлежит личному согласо</w:t>
      </w:r>
      <w:r w:rsidRPr="00E93F40">
        <w:rPr>
          <w:rFonts w:ascii="Times New Roman" w:hAnsi="Times New Roman"/>
          <w:color w:val="000000" w:themeColor="text1"/>
          <w:sz w:val="16"/>
          <w:szCs w:val="16"/>
        </w:rPr>
        <w:softHyphen/>
        <w:t>ванию между т. Алкснисом и т. Барановым до представления выбора типа для утвержде</w:t>
      </w:r>
      <w:r w:rsidRPr="00E93F40">
        <w:rPr>
          <w:rFonts w:ascii="Times New Roman" w:hAnsi="Times New Roman"/>
          <w:color w:val="000000" w:themeColor="text1"/>
          <w:sz w:val="16"/>
          <w:szCs w:val="16"/>
        </w:rPr>
        <w:softHyphen/>
        <w:t>ния в правительстве.</w:t>
      </w:r>
    </w:p>
    <w:p w14:paraId="6181F980"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О полезной нагрузке</w:t>
      </w:r>
    </w:p>
    <w:p w14:paraId="524D7D6A" w14:textId="77777777" w:rsidR="00F40724" w:rsidRPr="00E93F40" w:rsidRDefault="00F40724" w:rsidP="00E93F40">
      <w:pPr>
        <w:tabs>
          <w:tab w:val="left" w:pos="47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Нормальной нагрузкой самолёта И-14 считать 410 кг с непременным включением радио в эту нагрузку.</w:t>
      </w:r>
    </w:p>
    <w:p w14:paraId="01D12427"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Исходя из того, что самолёт уже спроектирован и рассчитан ЦАГИ под нагрузку 360 кг и имеет запас прочности на случай А равный 12, считать допустимым при нагрузке 410 кг соответствующее понижение коэффициентов прочности (на случай А до 11,5).</w:t>
      </w:r>
    </w:p>
    <w:p w14:paraId="4F649B13" w14:textId="77777777" w:rsidR="00F40724" w:rsidRPr="00E93F40" w:rsidRDefault="00F40724" w:rsidP="00E93F40">
      <w:pPr>
        <w:tabs>
          <w:tab w:val="left" w:pos="49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Посадочная скорость И-14 с нагрузкой 410 кг должна быть не выше 103 км/ч. Во всём остальном лётно-тактические требования НИИ на И-14 оставить без изменений.</w:t>
      </w:r>
    </w:p>
    <w:p w14:paraId="619DF681" w14:textId="77777777" w:rsidR="00F40724" w:rsidRPr="00E93F40" w:rsidRDefault="00F40724" w:rsidP="00E93F40">
      <w:pPr>
        <w:tabs>
          <w:tab w:val="left" w:pos="50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Самолёт И-14, как тип скоростной пушечной машины рассматривать, как пере</w:t>
      </w:r>
      <w:r w:rsidRPr="00E93F40">
        <w:rPr>
          <w:rFonts w:ascii="Times New Roman" w:hAnsi="Times New Roman"/>
          <w:color w:val="000000" w:themeColor="text1"/>
          <w:sz w:val="16"/>
          <w:szCs w:val="16"/>
        </w:rPr>
        <w:softHyphen/>
        <w:t>хватчик. В соответствии с этим основным и решающим лётно-тактическим требовани</w:t>
      </w:r>
      <w:r w:rsidRPr="00E93F40">
        <w:rPr>
          <w:rFonts w:ascii="Times New Roman" w:hAnsi="Times New Roman"/>
          <w:color w:val="000000" w:themeColor="text1"/>
          <w:sz w:val="16"/>
          <w:szCs w:val="16"/>
        </w:rPr>
        <w:softHyphen/>
        <w:t>ем считать возможно бо'лыиую горизонтальную скорость для быстрого достижения противника по вызову и при преследовании. Этому основному решающему требова</w:t>
      </w:r>
      <w:r w:rsidRPr="00E93F40">
        <w:rPr>
          <w:rFonts w:ascii="Times New Roman" w:hAnsi="Times New Roman"/>
          <w:color w:val="000000" w:themeColor="text1"/>
          <w:sz w:val="16"/>
          <w:szCs w:val="16"/>
        </w:rPr>
        <w:softHyphen/>
        <w:t>нию — подчинить все остальные лётно-тактические требования.</w:t>
      </w:r>
    </w:p>
    <w:p w14:paraId="0406921A"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Style w:val="Batang65pt0pt"/>
          <w:rFonts w:ascii="Times New Roman" w:hAnsi="Times New Roman" w:cs="Times New Roman"/>
          <w:b w:val="0"/>
          <w:color w:val="000000" w:themeColor="text1"/>
          <w:spacing w:val="0"/>
          <w:sz w:val="16"/>
          <w:szCs w:val="16"/>
        </w:rPr>
        <w:t>...6.</w:t>
      </w:r>
      <w:r w:rsidRPr="00E93F40">
        <w:rPr>
          <w:rFonts w:ascii="Times New Roman" w:hAnsi="Times New Roman"/>
          <w:color w:val="000000" w:themeColor="text1"/>
          <w:sz w:val="16"/>
          <w:szCs w:val="16"/>
        </w:rPr>
        <w:t xml:space="preserve"> Самолёт И-15 проектировать и строить, как тип высокоманевренного истреби</w:t>
      </w:r>
      <w:r w:rsidRPr="00E93F40">
        <w:rPr>
          <w:rFonts w:ascii="Times New Roman" w:hAnsi="Times New Roman"/>
          <w:color w:val="000000" w:themeColor="text1"/>
          <w:sz w:val="16"/>
          <w:szCs w:val="16"/>
        </w:rPr>
        <w:softHyphen/>
        <w:t>теля, у которого всё должно быть подчинено основному лётно-тактическому требова</w:t>
      </w:r>
      <w:r w:rsidRPr="00E93F40">
        <w:rPr>
          <w:rFonts w:ascii="Times New Roman" w:hAnsi="Times New Roman"/>
          <w:color w:val="000000" w:themeColor="text1"/>
          <w:sz w:val="16"/>
          <w:szCs w:val="16"/>
        </w:rPr>
        <w:softHyphen/>
        <w:t>нию — высокой маневренности и хорошей скороподъёмности...» (15823).</w:t>
      </w:r>
    </w:p>
    <w:p w14:paraId="0B1F9DC1" w14:textId="77777777" w:rsidR="00F40724" w:rsidRPr="00E93F40" w:rsidRDefault="00F40724" w:rsidP="00E93F40">
      <w:pPr>
        <w:spacing w:after="0" w:line="240" w:lineRule="auto"/>
        <w:jc w:val="both"/>
        <w:rPr>
          <w:rFonts w:ascii="Times New Roman" w:hAnsi="Times New Roman"/>
          <w:color w:val="000000" w:themeColor="text1"/>
          <w:sz w:val="16"/>
          <w:szCs w:val="16"/>
        </w:rPr>
      </w:pPr>
    </w:p>
    <w:p w14:paraId="56F3B2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состоялось заседание в ЦАГИ по рассмотрению проектов истребителей с приглашением на него начальника ВВС Я.И.Алксниса. На совещании об</w:t>
      </w:r>
      <w:r w:rsidRPr="00E93F40">
        <w:rPr>
          <w:rFonts w:ascii="Times New Roman" w:hAnsi="Times New Roman"/>
          <w:color w:val="000000" w:themeColor="text1"/>
          <w:sz w:val="16"/>
          <w:szCs w:val="16"/>
        </w:rPr>
        <w:softHyphen/>
        <w:t>суждались представленные проекты, степень их соот</w:t>
      </w:r>
      <w:r w:rsidRPr="00E93F40">
        <w:rPr>
          <w:rFonts w:ascii="Times New Roman" w:hAnsi="Times New Roman"/>
          <w:color w:val="000000" w:themeColor="text1"/>
          <w:sz w:val="16"/>
          <w:szCs w:val="16"/>
        </w:rPr>
        <w:softHyphen/>
        <w:t>ветствия заданию, увязка с планами производства и закупкой новых двигателей.</w:t>
      </w:r>
    </w:p>
    <w:p w14:paraId="5E0D29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работы было принято постановление:</w:t>
      </w:r>
    </w:p>
    <w:p w14:paraId="3A062C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И-14а переименовать в И-15.</w:t>
      </w:r>
    </w:p>
    <w:p w14:paraId="19DB38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Проектировать и строить все три самолета твердо под наши опытные истребительные моторы.</w:t>
      </w:r>
    </w:p>
    <w:p w14:paraId="0A2310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Ввиду некоторой задержки выхода наших опыт</w:t>
      </w:r>
      <w:r w:rsidRPr="00E93F40">
        <w:rPr>
          <w:rFonts w:ascii="Times New Roman" w:hAnsi="Times New Roman"/>
          <w:color w:val="000000" w:themeColor="text1"/>
          <w:sz w:val="16"/>
          <w:szCs w:val="16"/>
        </w:rPr>
        <w:softHyphen/>
        <w:t>ных истребительных моторов и необходимости форси</w:t>
      </w:r>
      <w:r w:rsidRPr="00E93F40">
        <w:rPr>
          <w:rFonts w:ascii="Times New Roman" w:hAnsi="Times New Roman"/>
          <w:color w:val="000000" w:themeColor="text1"/>
          <w:sz w:val="16"/>
          <w:szCs w:val="16"/>
        </w:rPr>
        <w:softHyphen/>
        <w:t>ровать выпуск опытных образцов истребителей, считать возможным допустить конструирование опыт</w:t>
      </w:r>
      <w:r w:rsidRPr="00E93F40">
        <w:rPr>
          <w:rFonts w:ascii="Times New Roman" w:hAnsi="Times New Roman"/>
          <w:color w:val="000000" w:themeColor="text1"/>
          <w:sz w:val="16"/>
          <w:szCs w:val="16"/>
        </w:rPr>
        <w:softHyphen/>
        <w:t>ного образца И-14 и И-15 под один из двух следующих моторов воздушного охлаждения Бристоль-Меркур или Райт-Циклон.</w:t>
      </w:r>
    </w:p>
    <w:p w14:paraId="7E4DE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Создать техническую комиссию под председатель</w:t>
      </w:r>
      <w:r w:rsidRPr="00E93F40">
        <w:rPr>
          <w:rFonts w:ascii="Times New Roman" w:hAnsi="Times New Roman"/>
          <w:color w:val="000000" w:themeColor="text1"/>
          <w:sz w:val="16"/>
          <w:szCs w:val="16"/>
        </w:rPr>
        <w:softHyphen/>
        <w:t>ством т. Левина (НИИ ВВС) в составе следующих това</w:t>
      </w:r>
      <w:r w:rsidRPr="00E93F40">
        <w:rPr>
          <w:rFonts w:ascii="Times New Roman" w:hAnsi="Times New Roman"/>
          <w:color w:val="000000" w:themeColor="text1"/>
          <w:sz w:val="16"/>
          <w:szCs w:val="16"/>
        </w:rPr>
        <w:softHyphen/>
        <w:t>рищей: от ЦАГИ - тт. Сухой, Поликарпов, Оттэн, от НИИ - (по усмотрению т. Левина).</w:t>
      </w:r>
    </w:p>
    <w:p w14:paraId="0D95C3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Поручить технической комиссии не позже 13.ХП.-с.г. представить свои выводы и предложения по выбору заграничного типа мотора для самолетов И-14 и И-15 (Бристоль-Меркур или Райт-Циклон); при выборе Бри-столь-Меркура или Райт-Циклона для И-14 и И-15 учи</w:t>
      </w:r>
      <w:r w:rsidRPr="00E93F40">
        <w:rPr>
          <w:rFonts w:ascii="Times New Roman" w:hAnsi="Times New Roman"/>
          <w:color w:val="000000" w:themeColor="text1"/>
          <w:sz w:val="16"/>
          <w:szCs w:val="16"/>
        </w:rPr>
        <w:softHyphen/>
        <w:t>тывать при этом (сопоставлять) все преимущества одного и другого: летно-технические и тактические, производственные, вероятные сроки получения и т.д.</w:t>
      </w:r>
    </w:p>
    <w:p w14:paraId="45696A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Созданной комиссии поручить обсудить вопрос и дать конкретные предложения о типе мотора (внутри</w:t>
      </w:r>
      <w:r w:rsidRPr="00E93F40">
        <w:rPr>
          <w:rFonts w:ascii="Times New Roman" w:hAnsi="Times New Roman"/>
          <w:color w:val="000000" w:themeColor="text1"/>
          <w:sz w:val="16"/>
          <w:szCs w:val="16"/>
        </w:rPr>
        <w:softHyphen/>
        <w:t>союзного и заграничного) с водяным охлаждением для самолета И-13 на тот случай, если бы возникли затруд</w:t>
      </w:r>
      <w:r w:rsidRPr="00E93F40">
        <w:rPr>
          <w:rFonts w:ascii="Times New Roman" w:hAnsi="Times New Roman"/>
          <w:color w:val="000000" w:themeColor="text1"/>
          <w:sz w:val="16"/>
          <w:szCs w:val="16"/>
        </w:rPr>
        <w:softHyphen/>
        <w:t>нения с выпуском М-32.</w:t>
      </w:r>
    </w:p>
    <w:p w14:paraId="7835C4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Окончательный выбор типа мотора под И-14 и И-15 подлежит личному согласованию между т. Алкснисом и т. Барановым до представления выбора типа для ут</w:t>
      </w:r>
      <w:r w:rsidRPr="00E93F40">
        <w:rPr>
          <w:rFonts w:ascii="Times New Roman" w:hAnsi="Times New Roman"/>
          <w:color w:val="000000" w:themeColor="text1"/>
          <w:sz w:val="16"/>
          <w:szCs w:val="16"/>
        </w:rPr>
        <w:softHyphen/>
        <w:t>верждения в Правительстве».</w:t>
      </w:r>
    </w:p>
    <w:p w14:paraId="41D28E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документах дополнительно указывалось, что:</w:t>
      </w:r>
    </w:p>
    <w:p w14:paraId="45A248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И-14, как тип скоростной пушечной маши</w:t>
      </w:r>
      <w:r w:rsidRPr="00E93F40">
        <w:rPr>
          <w:rFonts w:ascii="Times New Roman" w:hAnsi="Times New Roman"/>
          <w:color w:val="000000" w:themeColor="text1"/>
          <w:sz w:val="16"/>
          <w:szCs w:val="16"/>
        </w:rPr>
        <w:softHyphen/>
        <w:t>ны, рассматривать как перехватчик. В соответствии с этим основным и решающим летно-тактическим требованием считать возможно большую горизонтальную скорость для быстрого достижения противника по вызову и при преследовании. Этому основному решающему требова</w:t>
      </w:r>
      <w:r w:rsidRPr="00E93F40">
        <w:rPr>
          <w:rFonts w:ascii="Times New Roman" w:hAnsi="Times New Roman"/>
          <w:color w:val="000000" w:themeColor="text1"/>
          <w:sz w:val="16"/>
          <w:szCs w:val="16"/>
        </w:rPr>
        <w:softHyphen/>
        <w:t>нию - максимальной горизонтальной скорости - подчи</w:t>
      </w:r>
      <w:r w:rsidRPr="00E93F40">
        <w:rPr>
          <w:rFonts w:ascii="Times New Roman" w:hAnsi="Times New Roman"/>
          <w:color w:val="000000" w:themeColor="text1"/>
          <w:sz w:val="16"/>
          <w:szCs w:val="16"/>
        </w:rPr>
        <w:softHyphen/>
        <w:t>нить все остальные летно-тактические требования...</w:t>
      </w:r>
    </w:p>
    <w:p w14:paraId="7DD178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Самолет И-15 проектировать и строить как тип вы</w:t>
      </w:r>
      <w:r w:rsidRPr="00E93F40">
        <w:rPr>
          <w:rFonts w:ascii="Times New Roman" w:hAnsi="Times New Roman"/>
          <w:color w:val="000000" w:themeColor="text1"/>
          <w:sz w:val="16"/>
          <w:szCs w:val="16"/>
        </w:rPr>
        <w:softHyphen/>
        <w:t>сокоманевренного истребителя, у которого все должно быть подчинено основному летно-тактическому требо</w:t>
      </w:r>
      <w:r w:rsidRPr="00E93F40">
        <w:rPr>
          <w:rFonts w:ascii="Times New Roman" w:hAnsi="Times New Roman"/>
          <w:color w:val="000000" w:themeColor="text1"/>
          <w:sz w:val="16"/>
          <w:szCs w:val="16"/>
        </w:rPr>
        <w:softHyphen/>
        <w:t>ванию - высокой маневренности и скороподъемности. Конструкция должна быть смешанная (сварные хромо-молибденовые трубы, дюраль, дерево, полотно» (10667).</w:t>
      </w:r>
    </w:p>
    <w:p w14:paraId="680EB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A8EC72" w14:textId="77777777" w:rsidR="008C3670" w:rsidRPr="00E93F40" w:rsidRDefault="008C3670" w:rsidP="00E93F40">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8 декабря 1932 г. на спе</w:t>
      </w:r>
      <w:r w:rsidRPr="00E93F40">
        <w:rPr>
          <w:rFonts w:ascii="Times New Roman" w:cs="Times New Roman"/>
          <w:color w:val="000000" w:themeColor="text1"/>
          <w:spacing w:val="0"/>
        </w:rPr>
        <w:softHyphen/>
        <w:t>циальном совещании были рассмотрены полноразмерный макет само</w:t>
      </w:r>
      <w:r w:rsidRPr="00E93F40">
        <w:rPr>
          <w:rFonts w:ascii="Times New Roman" w:cs="Times New Roman"/>
          <w:color w:val="000000" w:themeColor="text1"/>
          <w:spacing w:val="0"/>
        </w:rPr>
        <w:softHyphen/>
        <w:t>лета И-14а Н.Н.П., а также макет моноплана И-14 П.О.С.</w:t>
      </w:r>
    </w:p>
    <w:p w14:paraId="238386EA" w14:textId="77777777" w:rsidR="008C3670" w:rsidRPr="00E93F40" w:rsidRDefault="008C3670" w:rsidP="00E93F40">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Поликарпов работал заме</w:t>
      </w:r>
      <w:r w:rsidRPr="00E93F40">
        <w:rPr>
          <w:rFonts w:ascii="Times New Roman" w:cs="Times New Roman"/>
          <w:color w:val="000000" w:themeColor="text1"/>
          <w:spacing w:val="0"/>
        </w:rPr>
        <w:softHyphen/>
        <w:t>стителем начальника конструкторской бригады № 3 в объеди</w:t>
      </w:r>
      <w:r w:rsidRPr="00E93F40">
        <w:rPr>
          <w:rFonts w:ascii="Times New Roman" w:cs="Times New Roman"/>
          <w:color w:val="000000" w:themeColor="text1"/>
          <w:spacing w:val="0"/>
        </w:rPr>
        <w:softHyphen/>
        <w:t>ненной организации ЦКБ-ЦАГИ. В этой бригаде, которую воз</w:t>
      </w:r>
      <w:r w:rsidRPr="00E93F40">
        <w:rPr>
          <w:rFonts w:ascii="Times New Roman" w:cs="Times New Roman"/>
          <w:color w:val="000000" w:themeColor="text1"/>
          <w:spacing w:val="0"/>
        </w:rPr>
        <w:softHyphen/>
        <w:t>главлял П.О. Сухой, тогда проектировали два типа истребите</w:t>
      </w:r>
      <w:r w:rsidRPr="00E93F40">
        <w:rPr>
          <w:rFonts w:ascii="Times New Roman" w:cs="Times New Roman"/>
          <w:color w:val="000000" w:themeColor="text1"/>
          <w:spacing w:val="0"/>
        </w:rPr>
        <w:softHyphen/>
        <w:t>лей: биплан И-13 с двигателем жидкостного охлаждения и моноплан И-14 с двигателем воздушного охлаждения. При этом основные усилия проектировщиков были направлены на созда</w:t>
      </w:r>
      <w:r w:rsidRPr="00E93F40">
        <w:rPr>
          <w:rFonts w:ascii="Times New Roman" w:cs="Times New Roman"/>
          <w:color w:val="000000" w:themeColor="text1"/>
          <w:spacing w:val="0"/>
        </w:rPr>
        <w:softHyphen/>
        <w:t>ние И-14. В нем реализовались основные идеи и технологии, используемые в ЦАГИ: свободнонесущее крыло, убираемое шасси, цельнометаллическая конструкция с гофрированной обшивкой.</w:t>
      </w:r>
    </w:p>
    <w:p w14:paraId="07DB8D03" w14:textId="77777777" w:rsidR="008C3670" w:rsidRPr="00E93F40" w:rsidRDefault="008C3670" w:rsidP="00E93F40">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Поликарпов, который имел свой взгляд на облик перспек</w:t>
      </w:r>
      <w:r w:rsidRPr="00E93F40">
        <w:rPr>
          <w:rFonts w:ascii="Times New Roman" w:cs="Times New Roman"/>
          <w:color w:val="000000" w:themeColor="text1"/>
          <w:spacing w:val="0"/>
        </w:rPr>
        <w:softHyphen/>
        <w:t>тивного истребителя, инициативно переработал проект И-13 под смешанную конструкцию и двигатель воздушного охлажде</w:t>
      </w:r>
      <w:r w:rsidRPr="00E93F40">
        <w:rPr>
          <w:rFonts w:ascii="Times New Roman" w:cs="Times New Roman"/>
          <w:color w:val="000000" w:themeColor="text1"/>
          <w:spacing w:val="0"/>
        </w:rPr>
        <w:softHyphen/>
        <w:t>ния. Этот самолет, который конструктор назвал И-14а, напоми</w:t>
      </w:r>
      <w:r w:rsidRPr="00E93F40">
        <w:rPr>
          <w:rFonts w:ascii="Times New Roman" w:cs="Times New Roman"/>
          <w:color w:val="000000" w:themeColor="text1"/>
          <w:spacing w:val="0"/>
        </w:rPr>
        <w:softHyphen/>
        <w:t>нал предыдущий биплан И-5, однако выполнен он был в более компактном и совершенном виде. Новшеством стали: закрытый фонарь кабины (так и не реализованный на практике), убирае</w:t>
      </w:r>
      <w:r w:rsidRPr="00E93F40">
        <w:rPr>
          <w:rFonts w:ascii="Times New Roman" w:cs="Times New Roman"/>
          <w:color w:val="000000" w:themeColor="text1"/>
          <w:spacing w:val="0"/>
        </w:rPr>
        <w:softHyphen/>
        <w:t>мое шасси в одном из возможных вариантов и центральная часть верхнего крыла типа «чайка». Вводя такую схему, Поликарпов хотел наряду с улучшением аэродинамики обеспе</w:t>
      </w:r>
      <w:r w:rsidRPr="00E93F40">
        <w:rPr>
          <w:rFonts w:ascii="Times New Roman" w:cs="Times New Roman"/>
          <w:color w:val="000000" w:themeColor="text1"/>
          <w:spacing w:val="0"/>
        </w:rPr>
        <w:softHyphen/>
        <w:t>чить истребителю наилучшую маневренность, особенно на глу</w:t>
      </w:r>
      <w:r w:rsidRPr="00E93F40">
        <w:rPr>
          <w:rFonts w:ascii="Times New Roman" w:cs="Times New Roman"/>
          <w:color w:val="000000" w:themeColor="text1"/>
          <w:spacing w:val="0"/>
        </w:rPr>
        <w:softHyphen/>
        <w:t>боком вираже.</w:t>
      </w:r>
    </w:p>
    <w:p w14:paraId="0CBD62F1" w14:textId="77777777" w:rsidR="008C3670" w:rsidRPr="00E93F40" w:rsidRDefault="008C3670" w:rsidP="00E93F40">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Руко</w:t>
      </w:r>
      <w:r w:rsidRPr="00E93F40">
        <w:rPr>
          <w:rFonts w:ascii="Times New Roman" w:cs="Times New Roman"/>
          <w:color w:val="000000" w:themeColor="text1"/>
          <w:spacing w:val="0"/>
        </w:rPr>
        <w:softHyphen/>
        <w:t>водил совещанием начальник ВВС Яков Алкснис, который предложил построить обе машины (19107).</w:t>
      </w:r>
    </w:p>
    <w:p w14:paraId="58896987" w14:textId="77777777" w:rsidR="008C3670" w:rsidRPr="00E93F40" w:rsidRDefault="008C3670" w:rsidP="00E93F40">
      <w:pPr>
        <w:pStyle w:val="27"/>
        <w:shd w:val="clear" w:color="auto" w:fill="auto"/>
        <w:spacing w:after="0" w:line="240" w:lineRule="auto"/>
        <w:ind w:firstLine="0"/>
        <w:rPr>
          <w:rFonts w:ascii="Times New Roman" w:cs="Times New Roman"/>
          <w:color w:val="000000" w:themeColor="text1"/>
          <w:spacing w:val="0"/>
        </w:rPr>
      </w:pPr>
    </w:p>
    <w:p w14:paraId="2AA23FCE"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8 декабря 1932 года в ЦАГИ состоялось совместное заседание представителей ЦАГИ и УВВС под председательством Начальника ВВС РККА Я. И. Алксниса, на котором были рассмотрены макеты истребителя И-14 с мотором воздушного охлаждения в двух вариантах:</w:t>
      </w:r>
    </w:p>
    <w:p w14:paraId="2D767A8F"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 И-14 – моноплан с низкорасположенным крылом дюралевой конструкции и пушечным вооружением.</w:t>
      </w:r>
    </w:p>
    <w:p w14:paraId="354886AF"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И-14а – полутораплан с крылом типа «Чайка», смешанной конструкции (сварной стальной фюзеляж, деревянные крылья). …»</w:t>
      </w:r>
    </w:p>
    <w:p w14:paraId="3A63AD09"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В принятом по итогам совещания постановлении указывалось:</w:t>
      </w:r>
    </w:p>
    <w:p w14:paraId="1CF1F45C"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«I. О моторе под самолеты И-14. И-15, И-13</w:t>
      </w:r>
    </w:p>
    <w:p w14:paraId="093828D8"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1. И-14а переименовать в И-15.</w:t>
      </w:r>
    </w:p>
    <w:p w14:paraId="4A839B85"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2. Проектировать и строить все три самолета твердо под наши опытные истребительные моторы.</w:t>
      </w:r>
    </w:p>
    <w:p w14:paraId="35F207DF" w14:textId="75EF639F"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3. Ввиду некоторой затяжки выхода наших истребительных моторов и необходимости форсировать выпуск опытных образцов истребителей, считать возможным допустить конструирование опытного образца И-14 и И-15 под один из двух следующих моторов воздушного охлаждения: Бристоль-Меркур или Райт-Циклон.</w:t>
      </w:r>
      <w:r w:rsidR="007C1411" w:rsidRPr="00E93F40">
        <w:rPr>
          <w:rStyle w:val="af0"/>
          <w:i w:val="0"/>
          <w:color w:val="000000" w:themeColor="text1"/>
          <w:sz w:val="16"/>
          <w:szCs w:val="16"/>
          <w:bdr w:val="none" w:sz="0" w:space="0" w:color="auto" w:frame="1"/>
        </w:rPr>
        <w:t xml:space="preserve"> </w:t>
      </w:r>
      <w:r w:rsidRPr="00E93F40">
        <w:rPr>
          <w:color w:val="000000" w:themeColor="text1"/>
          <w:sz w:val="16"/>
          <w:szCs w:val="16"/>
          <w:bdr w:val="none" w:sz="0" w:space="0" w:color="auto" w:frame="1"/>
        </w:rPr>
        <w:t>(Bristol Mercury, Wright Cyclone – прим. автора)</w:t>
      </w:r>
    </w:p>
    <w:p w14:paraId="2124C596"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4. Создать техническую комиссию под председательством т. Левина (НИИ ВВС) в составе следующих товарищей:</w:t>
      </w:r>
    </w:p>
    <w:p w14:paraId="1ABCE196"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от ЦАГИ – т.т. Сухой, Поликарпов, Оттэн.</w:t>
      </w:r>
    </w:p>
    <w:p w14:paraId="5B270604"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от НИИ – (по усмотрению т. Левина).</w:t>
      </w:r>
    </w:p>
    <w:p w14:paraId="031EAF15"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5. Поручить технической комиссии не позже 13.12 с.г. представить свои выводы и предложения по выбору заграничного типа мотора для самолетов И-14 и И-15 (Бристоль-Меркур или Райт-Циклон). При выборе Бристоль-Меркура или Райт-Циклона для И-14 и И-15, учитывать (сопоставлять) все преимущества одного и другого: летно-технические и тактические, производственные, вероятные сроки получения и т.д..</w:t>
      </w:r>
    </w:p>
    <w:p w14:paraId="4B2F741F"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6. …Окончательный выбор типа мотора под И-14 и И-15 подлежит личному согласованию между т. Алкснисом и т. Барановым до представления выбора типа для утверждения в правительстве.</w:t>
      </w:r>
    </w:p>
    <w:p w14:paraId="7686ABA4"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II. О полезной нагрузке</w:t>
      </w:r>
    </w:p>
    <w:p w14:paraId="2773B661"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1. Нормальной нагрузкой самолета И-14 считать 410 кг с непременным включением радио в эту нагрузку.</w:t>
      </w:r>
    </w:p>
    <w:p w14:paraId="1D286E33"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lastRenderedPageBreak/>
        <w:t>Исходя из того, что самолет уже спроектирован и рассчитан ЦАГИ под нагрузку 360 кг и имеет запас прочности на случай А равный 12, считать допустимым при нагрузке 410 кг соответствующее понижение коэффициентов прочности (на случай А до 11,5).</w:t>
      </w:r>
    </w:p>
    <w:p w14:paraId="33184E87"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2. Посадочная скорость самолета И-14 с нагрузкой 410 кг должна быть не выше 103 км/ч. Во всем остальном летно-тактические требования НИИ на И-14 оставить без изменений.</w:t>
      </w:r>
    </w:p>
    <w:p w14:paraId="46896D21"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rStyle w:val="af0"/>
          <w:i w:val="0"/>
          <w:color w:val="000000" w:themeColor="text1"/>
          <w:sz w:val="16"/>
          <w:szCs w:val="16"/>
          <w:bdr w:val="none" w:sz="0" w:space="0" w:color="auto" w:frame="1"/>
        </w:rPr>
        <w:t>3. Самолет И-14, как тип скоростной пушечной машины рассматривать, как перехватчик. В соответствии с этим основным и решающим летно-тактическим требованием считать возможно бóльшую горизонтальную скорость для быстрого достижения противника по вызову и при преследовании. Этому основному решающему требованию – подчинить все остальные летно-тактические требования.</w:t>
      </w:r>
    </w:p>
    <w:p w14:paraId="212C6DE5" w14:textId="77777777" w:rsidR="008C3670" w:rsidRPr="00E93F40" w:rsidRDefault="008C3670" w:rsidP="00E93F40">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E93F40">
        <w:rPr>
          <w:rStyle w:val="af0"/>
          <w:i w:val="0"/>
          <w:color w:val="000000" w:themeColor="text1"/>
          <w:sz w:val="16"/>
          <w:szCs w:val="16"/>
          <w:bdr w:val="none" w:sz="0" w:space="0" w:color="auto" w:frame="1"/>
        </w:rPr>
        <w:t>… 6. Самолет И-15 проектировать и строить, как тип высокоманевренного истребителя, у которого все должно быть подчинено основному летно-тактическому требованию -высокой маневренности и хорошей скороподъемности. …» (19177).</w:t>
      </w:r>
    </w:p>
    <w:p w14:paraId="4080BB0A"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p>
    <w:p w14:paraId="259448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начальник ВВС РККА Алкснис собрал в ЦАГИ совещание, темой которого была ситуация с проектированием новых истребителей. Вел совещание сам Алкснис, от ЦАГИ присутствовали начальник института Харламов, Туполев, Надашке- вич, Сухой, Кочеригин, Кондорский, Поликарпов и Бертош, от НИИ ВВС - Хринин, Богомятков, Залевский, Горощев, Трунов, Левин, Зильберт, Коннерт и Юмашев.</w:t>
      </w:r>
    </w:p>
    <w:p w14:paraId="449EBC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Военные осмотрели два макета, поскольку ЦАГИ предъявил самолет в двух вариантах: И-14 - моноплан с низкорасположенным крылом дюралевой конструкции и с пушечным вооружением и И- 14а - полутораплан с крылом типа "чайки" смешанной конструкции (сварной стальной фюзеляж, деревянные крылья ). Еще один проект - самолет И -13 (заводское обозначение АНТ-32) был показан только на чертежах и в виде модели.</w:t>
      </w:r>
    </w:p>
    <w:p w14:paraId="18A9B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Рассмотрев чертежи, различные схемы и плакаты, оценив макеты, члены совещания постановили:</w:t>
      </w:r>
    </w:p>
    <w:p w14:paraId="41EE9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И-14а переименовать И-14 в И -15.</w:t>
      </w:r>
    </w:p>
    <w:p w14:paraId="7A07F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Проектировать и строить все три самолета строго под наши опытные истребительные моторы.</w:t>
      </w:r>
    </w:p>
    <w:p w14:paraId="1E1A9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Ввиду некоторой затяжки выхода наших опытных истребительных моторов и необходимости форсировать выпуск опытных образцов истребителей, считать возможным допустить конструирование опытного образца И -14 и И -15 под один из двух следующих моторов воздушного охлаждения: Бристоль "Меркюр" или Райт "Циклон".</w:t>
      </w:r>
    </w:p>
    <w:p w14:paraId="7DA5AB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Создать техническую комиссию под председательстом т. Левина (НИИ ВВС) в составе...тт. Сухой, Поликарпов, Оттен...</w:t>
      </w:r>
    </w:p>
    <w:p w14:paraId="57ABF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Поручить технической комиссии не позже 13 декабря с.г. представить свои выводы и предложения по выбору заграничного типа мотора для самолетов И-14 и И-15, учитывая при этом все преимущества одного и другого: летно-технические и тактические, произведственные, вероятные сроки получения и т.д.</w:t>
      </w:r>
    </w:p>
    <w:p w14:paraId="7AF95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Созданной комиссии поручить обсудить вопрос и дать конкретные предложения о типе мотора (внутрисоюзного или заграничного) с водяным охлаждением для самолета И -13 на тот случай, если бы возникли затруднения с выпуском М-32.</w:t>
      </w:r>
    </w:p>
    <w:p w14:paraId="4B81E1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 полезной нагрузке.</w:t>
      </w:r>
    </w:p>
    <w:p w14:paraId="50B7F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Нормальной нагрузкой самолета И -14 считать 410 кг с непременным включением радио в эту нагрузку. Исходя из того, что самолет уже спроектирован и рассчитан ЦАГИ под нагрузку 360 кг... считать допустимым соответствующее понижение коэффициента прочности с А= 12 до А= 11,5.</w:t>
      </w:r>
    </w:p>
    <w:p w14:paraId="3CFCE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Посадочная скорость самолета И-14 с нагрузкой 410 кг должна быть не выше 103 км/ч.</w:t>
      </w:r>
    </w:p>
    <w:p w14:paraId="4CBFD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Самолет И-14 как тип скоростной пушечной машины рассматривать как перехватчик. В соответствии с этим основным и решающим летно-тактическим требованием считать возможно большую горизонтальную скорость для быстрого достижения противника по вызову и при преследовании. Этому основному решающему требованию - максимальной горизонтальной скорости - подчинить все остальные летно-тактические требования.</w:t>
      </w:r>
    </w:p>
    <w:p w14:paraId="775D3A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Самолет И -15 проектировать и строить как тип высокоманевренного истребителя, у которого все должно быть подчинено основному летно-тактическому требованию - высокой маневренности и хорошей скороподъемности. Конструкция должна быть смешанная (сварные хромомолибденовые трубы, дюраль, дерево, полотно)".</w:t>
      </w:r>
    </w:p>
    <w:p w14:paraId="4EAD2C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требованиях к И -13 в протоколе не было сказано ничего, видимо, он не очень интересовал заказчиков из Наркомата обороны, и за пределы стадии проектирования эта машина так и не вышла. Зато на совещании неожиданно всплыл вопрос о гидросамолете МК ("Морской крейсер") и тяжелом бомбардировщике ТБ-4 - по настоянию Алксни- са ЦАГИ было поручено через два дня сообщить НИИ ВВС срок предъявления макетов этих машин (12037).</w:t>
      </w:r>
    </w:p>
    <w:p w14:paraId="64A2E1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B9BDAA"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w:t>
      </w:r>
      <w:r w:rsidRPr="00E93F40">
        <w:rPr>
          <w:rFonts w:ascii="Times New Roman" w:hAnsi="Times New Roman"/>
          <w:color w:val="000000" w:themeColor="text1"/>
          <w:sz w:val="16"/>
          <w:szCs w:val="16"/>
        </w:rPr>
        <w:softHyphen/>
        <w:t>бря 1932 г. по инициативе С.В. Ильюшина состоялось совещание в ЦАГИ по обсуждению макетов и проектов истребителей, на которое был приглашен начальник ВВС Я.И. Алксниса, считая, что при</w:t>
      </w:r>
      <w:r w:rsidRPr="00E93F40">
        <w:rPr>
          <w:rFonts w:ascii="Times New Roman" w:hAnsi="Times New Roman"/>
          <w:color w:val="000000" w:themeColor="text1"/>
          <w:sz w:val="16"/>
          <w:szCs w:val="16"/>
        </w:rPr>
        <w:softHyphen/>
        <w:t>сутствие Алксниса направит обсу</w:t>
      </w:r>
      <w:r w:rsidRPr="00E93F40">
        <w:rPr>
          <w:rFonts w:ascii="Times New Roman" w:hAnsi="Times New Roman"/>
          <w:color w:val="000000" w:themeColor="text1"/>
          <w:sz w:val="16"/>
          <w:szCs w:val="16"/>
        </w:rPr>
        <w:softHyphen/>
        <w:t>ждение в определенное деловое русло и сдержит излишние эмоции.</w:t>
      </w:r>
    </w:p>
    <w:p w14:paraId="6FADCA8B"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С.В.И. попросил Поликарпова представить только один проект - проект истребителя И-14а</w:t>
      </w:r>
    </w:p>
    <w:p w14:paraId="794021A4"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нем обсуждались пред</w:t>
      </w:r>
      <w:r w:rsidRPr="00E93F40">
        <w:rPr>
          <w:rFonts w:ascii="Times New Roman" w:hAnsi="Times New Roman"/>
          <w:color w:val="000000" w:themeColor="text1"/>
          <w:sz w:val="16"/>
          <w:szCs w:val="16"/>
        </w:rPr>
        <w:softHyphen/>
        <w:t>ставленные проекты, степень их соответствия заданию, увязка с планами производства и закупкой новых двигателей.</w:t>
      </w:r>
    </w:p>
    <w:p w14:paraId="2C578731"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Туполев выразил мнение о не</w:t>
      </w:r>
      <w:r w:rsidRPr="00E93F40">
        <w:rPr>
          <w:rFonts w:ascii="Times New Roman" w:hAnsi="Times New Roman"/>
          <w:color w:val="000000" w:themeColor="text1"/>
          <w:sz w:val="16"/>
          <w:szCs w:val="16"/>
        </w:rPr>
        <w:softHyphen/>
        <w:t>обходимости «разнести» проекты И-14 и И-14а по целевому назначе</w:t>
      </w:r>
      <w:r w:rsidRPr="00E93F40">
        <w:rPr>
          <w:rFonts w:ascii="Times New Roman" w:hAnsi="Times New Roman"/>
          <w:color w:val="000000" w:themeColor="text1"/>
          <w:sz w:val="16"/>
          <w:szCs w:val="16"/>
        </w:rPr>
        <w:softHyphen/>
        <w:t>нию, чтобы избежать «ненужной» конкуренции.</w:t>
      </w:r>
    </w:p>
    <w:p w14:paraId="34EA2AF5"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работы было принято постановление:</w:t>
      </w:r>
    </w:p>
    <w:p w14:paraId="167ECFC6"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И-14а переименовать в И-15.</w:t>
      </w:r>
    </w:p>
    <w:p w14:paraId="19F59F72"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Проектировать и строить оба самолета твердо под наши опытные истребительные моторы.</w:t>
      </w:r>
    </w:p>
    <w:p w14:paraId="7EF29AF2"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Окончательный выбор типа мотора под И-14 и И-15 подлежит личному согласованию между т. АЛКСНИСОМ и т. БАРАНОВЫМ до представления выбора типа для ут</w:t>
      </w:r>
      <w:r w:rsidRPr="00E93F40">
        <w:rPr>
          <w:rFonts w:ascii="Times New Roman" w:hAnsi="Times New Roman"/>
          <w:color w:val="000000" w:themeColor="text1"/>
          <w:sz w:val="16"/>
          <w:szCs w:val="16"/>
        </w:rPr>
        <w:softHyphen/>
        <w:t>верждения в Правительстве».</w:t>
      </w:r>
    </w:p>
    <w:p w14:paraId="3C2F4182"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принятых документах допол</w:t>
      </w:r>
      <w:r w:rsidRPr="00E93F40">
        <w:rPr>
          <w:rFonts w:ascii="Times New Roman" w:hAnsi="Times New Roman"/>
          <w:color w:val="000000" w:themeColor="text1"/>
          <w:sz w:val="16"/>
          <w:szCs w:val="16"/>
        </w:rPr>
        <w:softHyphen/>
        <w:t>нительно указывалось, что:</w:t>
      </w:r>
    </w:p>
    <w:p w14:paraId="7BF0DAFC"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И-14, как тип ско</w:t>
      </w:r>
      <w:r w:rsidRPr="00E93F40">
        <w:rPr>
          <w:rFonts w:ascii="Times New Roman" w:hAnsi="Times New Roman"/>
          <w:color w:val="000000" w:themeColor="text1"/>
          <w:sz w:val="16"/>
          <w:szCs w:val="16"/>
        </w:rPr>
        <w:softHyphen/>
        <w:t>ростной пушечной машины, рас</w:t>
      </w:r>
      <w:r w:rsidRPr="00E93F40">
        <w:rPr>
          <w:rFonts w:ascii="Times New Roman" w:hAnsi="Times New Roman"/>
          <w:color w:val="000000" w:themeColor="text1"/>
          <w:sz w:val="16"/>
          <w:szCs w:val="16"/>
        </w:rPr>
        <w:softHyphen/>
        <w:t>сматривать как перехватчик. В соответствии с этим основным и решающим летно-тактическим требованием считать возможно большую горизонтальную скорость для быстрого достижения против</w:t>
      </w:r>
      <w:r w:rsidRPr="00E93F40">
        <w:rPr>
          <w:rFonts w:ascii="Times New Roman" w:hAnsi="Times New Roman"/>
          <w:color w:val="000000" w:themeColor="text1"/>
          <w:sz w:val="16"/>
          <w:szCs w:val="16"/>
        </w:rPr>
        <w:softHyphen/>
        <w:t>ника по вызову и при преследова</w:t>
      </w:r>
      <w:r w:rsidRPr="00E93F40">
        <w:rPr>
          <w:rFonts w:ascii="Times New Roman" w:hAnsi="Times New Roman"/>
          <w:color w:val="000000" w:themeColor="text1"/>
          <w:sz w:val="16"/>
          <w:szCs w:val="16"/>
        </w:rPr>
        <w:softHyphen/>
        <w:t>нии. Этому основному решающему требованию - максимальной гори</w:t>
      </w:r>
      <w:r w:rsidRPr="00E93F40">
        <w:rPr>
          <w:rFonts w:ascii="Times New Roman" w:hAnsi="Times New Roman"/>
          <w:color w:val="000000" w:themeColor="text1"/>
          <w:sz w:val="16"/>
          <w:szCs w:val="16"/>
        </w:rPr>
        <w:softHyphen/>
        <w:t>зонтальной скорости - подчинить все остальные летно-тактические требования...</w:t>
      </w:r>
    </w:p>
    <w:p w14:paraId="620DEFAE"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И-15 проектировать и строить как тип высокоманеврен</w:t>
      </w:r>
      <w:r w:rsidRPr="00E93F40">
        <w:rPr>
          <w:rFonts w:ascii="Times New Roman" w:hAnsi="Times New Roman"/>
          <w:color w:val="000000" w:themeColor="text1"/>
          <w:sz w:val="16"/>
          <w:szCs w:val="16"/>
        </w:rPr>
        <w:softHyphen/>
        <w:t>ного истребителя, у которого все должно быть подчинено основному летно-тактическому требованию - высокой маневренности и скоро</w:t>
      </w:r>
      <w:r w:rsidRPr="00E93F40">
        <w:rPr>
          <w:rFonts w:ascii="Times New Roman" w:hAnsi="Times New Roman"/>
          <w:color w:val="000000" w:themeColor="text1"/>
          <w:sz w:val="16"/>
          <w:szCs w:val="16"/>
        </w:rPr>
        <w:softHyphen/>
        <w:t>подъемности. Конструкция должна быть смешанная (сварные хромомо</w:t>
      </w:r>
      <w:r w:rsidRPr="00E93F40">
        <w:rPr>
          <w:rFonts w:ascii="Times New Roman" w:hAnsi="Times New Roman"/>
          <w:color w:val="000000" w:themeColor="text1"/>
          <w:sz w:val="16"/>
          <w:szCs w:val="16"/>
        </w:rPr>
        <w:softHyphen/>
        <w:t>либденовые трубы, дюраль, дерево, полотно».</w:t>
      </w:r>
    </w:p>
    <w:p w14:paraId="4BB0C30C"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то, что Поликарпов считал более перспективным уста</w:t>
      </w:r>
      <w:r w:rsidRPr="00E93F40">
        <w:rPr>
          <w:rFonts w:ascii="Times New Roman" w:hAnsi="Times New Roman"/>
          <w:color w:val="000000" w:themeColor="text1"/>
          <w:sz w:val="16"/>
          <w:szCs w:val="16"/>
        </w:rPr>
        <w:softHyphen/>
        <w:t>новку двигателя Райт «Циклон», по указанию комиссии он был вынуж</w:t>
      </w:r>
      <w:r w:rsidRPr="00E93F40">
        <w:rPr>
          <w:rFonts w:ascii="Times New Roman" w:hAnsi="Times New Roman"/>
          <w:color w:val="000000" w:themeColor="text1"/>
          <w:sz w:val="16"/>
          <w:szCs w:val="16"/>
        </w:rPr>
        <w:softHyphen/>
        <w:t>ден переделать проект под мотор Бристоль «Меркур». Но главное было достигнуто: он снова вер</w:t>
      </w:r>
      <w:r w:rsidRPr="00E93F40">
        <w:rPr>
          <w:rFonts w:ascii="Times New Roman" w:hAnsi="Times New Roman"/>
          <w:color w:val="000000" w:themeColor="text1"/>
          <w:sz w:val="16"/>
          <w:szCs w:val="16"/>
        </w:rPr>
        <w:softHyphen/>
        <w:t>нулся к любимому делу. 13 декабря 1932 г. Н.Н. Поликарпов, сутками работая с небольшим числом со</w:t>
      </w:r>
      <w:r w:rsidRPr="00E93F40">
        <w:rPr>
          <w:rFonts w:ascii="Times New Roman" w:hAnsi="Times New Roman"/>
          <w:color w:val="000000" w:themeColor="text1"/>
          <w:sz w:val="16"/>
          <w:szCs w:val="16"/>
        </w:rPr>
        <w:softHyphen/>
        <w:t>трудников, представил эскизный проект истребителя И-15 (23406).</w:t>
      </w:r>
    </w:p>
    <w:p w14:paraId="57377F38" w14:textId="77777777" w:rsidR="00EC4193" w:rsidRPr="00E93F40" w:rsidRDefault="00EC4193" w:rsidP="00E93F40">
      <w:pPr>
        <w:spacing w:after="0" w:line="240" w:lineRule="auto"/>
        <w:jc w:val="both"/>
        <w:rPr>
          <w:rFonts w:ascii="Times New Roman" w:hAnsi="Times New Roman"/>
          <w:color w:val="000000" w:themeColor="text1"/>
          <w:sz w:val="16"/>
          <w:szCs w:val="16"/>
        </w:rPr>
      </w:pPr>
    </w:p>
    <w:p w14:paraId="75BDE338"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декабря 1932 г. открылось совещание в ЦАГИ по обсуждению проектов истребителей (И-13 с двигателем жидкостного охлаждения М-32 Г. И. Бертоша, И-14 П.О.С., И-14а Н.Н.П.) и с участием в нем начальника ВВС Я. И. Алксниса, созванное С.В.И.</w:t>
      </w:r>
    </w:p>
    <w:p w14:paraId="10C2D4CE"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нем обсуждались представленные проекты, степень их соответствия заданию, увязка с планами производства и закупкой новых двигателей.</w:t>
      </w:r>
    </w:p>
    <w:p w14:paraId="1D6AA73F"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результатам работы было принято постановление:</w:t>
      </w:r>
    </w:p>
    <w:p w14:paraId="1F9EEF82"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 И- 14а переименовать в И-15. </w:t>
      </w:r>
    </w:p>
    <w:p w14:paraId="2F571CFA"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 Проектировать и строить все три самолета твердо под наши опытные истребительные моторы. </w:t>
      </w:r>
    </w:p>
    <w:p w14:paraId="3BFF78FD"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3. Ввиду некоторой задержки выхода наших опытных истребительных моторов и необходимости форсировать выпуск опытных образцов истребителей, считать возможным допустить конструирование опытного образца И-14 и И-15 под один из двух следующих моторов воздушного охлаждения Бристоль-Меркур или Райт-Циклон. </w:t>
      </w:r>
    </w:p>
    <w:p w14:paraId="52D15767"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4. Создать техническую комиссию под председательством т. ЛЕВИНА (НИИ ВВС) в составе следующих товарищей: от ЦАГИ — СУХОЙ, ПОЛИКАРПОВ, ОТТЭН, от НИИ — (по усмотрению т. Левина). </w:t>
      </w:r>
    </w:p>
    <w:p w14:paraId="4412EDEC"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5. Поручить технической комиссии не позже 13.Х11.-с. г. представить свои выводы и предложения по выбору заграничного типа мотора для самолетов И-14 и И-15 (Бристоль-Меркур или Райт-Циклон); при выборе Бристоль-Меркура или Райт-Циклона для И-14 и И-15 учитывать при этом (сопоставлять) все преимущества одного и другого: летно-технические и тактические, производственные, вероятные сроки получения и т. д. </w:t>
      </w:r>
    </w:p>
    <w:p w14:paraId="253E58F8"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б. Созданной комиссии поручить обсудить вопрос и дать конкретные предложения о типе мотора (внутрисоюзного и заграничного) с водяным охлаждением для самолета И-13 на тот случай, если бы возникли затруднения с выпуском М-32. </w:t>
      </w:r>
    </w:p>
    <w:p w14:paraId="63E7DA96"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Окончательный выбор типа мотора под И-14 и И-15 подлежит личному согласованию между т. АЛКСНИСОМ и т. БАРАНОВЫМ до представления выбора типа для утверждения в Правительстве». </w:t>
      </w:r>
    </w:p>
    <w:p w14:paraId="50B9AB0C"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принятых документах дополнительно указывалось, что:</w:t>
      </w:r>
    </w:p>
    <w:p w14:paraId="7DE3BD2D"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«Самолет И-14, как тип скоростной пушечной машины, рассматривать как перехватчик. В соответствии с этим основным и решающим летно-тактическим требованием считать возможно большую горизонтальную скорость для быстрого достижения противника по вызову и при преследовании. Этому основному решающему требованию — максимальной горизонтальной скорости — подчинить все остальные летно-тактические требования… </w:t>
      </w:r>
    </w:p>
    <w:p w14:paraId="24DD750A"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Самолет И-15 проектировать и строить как тип высокоманевренного истребителя, у которого все должно быть подчинено основному летно-тактическому требованию — высокой маневренности и скороподъемности. Конструкция должна быть смешанная (сварные хромамолибденовые трубы, дюраль, дерево, полотно». </w:t>
      </w:r>
    </w:p>
    <w:p w14:paraId="5EDFC6B0"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Несмотря на то, что Поликарпов считал более перспективным установку двигателя Райт «Циклон», по указанию комиссии он был вынужден переделать проект под мотор Бристоль «Меркур». Но главное было достигнуто: он снова вернулся к любимому делу (25035).</w:t>
      </w:r>
    </w:p>
    <w:p w14:paraId="49D647C5" w14:textId="77777777" w:rsidR="00096529" w:rsidRPr="00142305" w:rsidRDefault="00096529" w:rsidP="00096529">
      <w:pPr>
        <w:spacing w:after="0" w:line="240" w:lineRule="auto"/>
        <w:jc w:val="both"/>
        <w:rPr>
          <w:rFonts w:ascii="Times New Roman" w:hAnsi="Times New Roman"/>
          <w:color w:val="0070C0"/>
          <w:sz w:val="16"/>
          <w:szCs w:val="16"/>
        </w:rPr>
      </w:pPr>
    </w:p>
    <w:p w14:paraId="3C8C37BE"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декабря 1932 г. на специальном совещании деревянный макет поликарповского биплана И-14а рассматривался одновременно с макетом моноплана И-14 конструкции П. О. Сухого.</w:t>
      </w:r>
    </w:p>
    <w:p w14:paraId="6A43526E"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Руководил совещанием заместитель начальника ВВС Яков Алкснис, который предложил строить обе машины.</w:t>
      </w:r>
    </w:p>
    <w:p w14:paraId="33BE4112" w14:textId="77777777" w:rsidR="00096529" w:rsidRPr="00142305" w:rsidRDefault="00096529" w:rsidP="0009652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Одновременно на И-14а отказались от убираемого шасси и закрытого фонаря по причине вероятных технических затруднений. Самолет предлагалось именовать в дальнейшем И-15 и строить как тип высокоманевренного истребителя, у которого все подчинялось основному летно-тактическому требованию — высокой маневренности и скороподъемности (25292).</w:t>
      </w:r>
    </w:p>
    <w:p w14:paraId="24D313BA" w14:textId="77777777" w:rsidR="00096529" w:rsidRPr="00142305" w:rsidRDefault="00096529" w:rsidP="00096529">
      <w:pPr>
        <w:spacing w:after="0" w:line="240" w:lineRule="auto"/>
        <w:jc w:val="both"/>
        <w:rPr>
          <w:rFonts w:ascii="Times New Roman" w:hAnsi="Times New Roman"/>
          <w:color w:val="0070C0"/>
          <w:sz w:val="16"/>
          <w:szCs w:val="16"/>
        </w:rPr>
      </w:pPr>
    </w:p>
    <w:p w14:paraId="07187BB6"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начальник 2-й бригады ЦКБ-39 Поликарпов утвердил решение о разработке истребителя-биплана смешанной конструкции ЦКБ-3 (И-15) на замену самолету И-5, как это он предлагал еще в 1930 г., но столкнулся с резким сопротивлением со стороны ЦАГИ и лично Туполева и Сухого, которые считали это распылением сил и средств, которые надо сосредоточить на цельнометаллических монопланах, продвигая свой проект И-14 (23554).</w:t>
      </w:r>
    </w:p>
    <w:p w14:paraId="514EABF7" w14:textId="77777777" w:rsidR="00EC4193" w:rsidRPr="00E93F40" w:rsidRDefault="00EC4193" w:rsidP="00E93F40">
      <w:pPr>
        <w:spacing w:after="0" w:line="240" w:lineRule="auto"/>
        <w:jc w:val="both"/>
        <w:rPr>
          <w:rFonts w:ascii="Times New Roman" w:hAnsi="Times New Roman"/>
          <w:color w:val="000000" w:themeColor="text1"/>
          <w:sz w:val="16"/>
          <w:szCs w:val="16"/>
        </w:rPr>
      </w:pPr>
    </w:p>
    <w:p w14:paraId="57C3793A"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8 декабря 1932 года на состоявшемся совместном совещании НИИ ВВС было предложено в десятидневный срок представить ЦАГИ технические требования к машине ДИП 2М-34. ТТТ были получены ЦАГИ только 4 января 1933 года (19175).</w:t>
      </w:r>
    </w:p>
    <w:p w14:paraId="010E7E44"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p>
    <w:p w14:paraId="240EA2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и 29 октября 1932 были представлены техтребования к И-15 М-58 (М38) (7415, 16).</w:t>
      </w:r>
    </w:p>
    <w:p w14:paraId="606FE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DFEA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на специальном совещании, посвященном перспективным истребителям и проходившем под руководством начальника ВВС РККА Якова Алксниса, в отношении И-15, который разрабатывался Н.Н.П. с лета 1932, появляется заключение: «И-15 проектировать и строить как тип высокоманевренного истребителя, у которого все должно быть подчинено основному лет-но-тактическому требованию - высокой маневренности и скороподъемности.» (6592).</w:t>
      </w:r>
    </w:p>
    <w:p w14:paraId="0C283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82CA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на специальном совещании были рассмотрены полноразмерный макет самолета И-14а Н.Н.П., а также макет моноплана И-14 П.О.С.</w:t>
      </w:r>
    </w:p>
    <w:p w14:paraId="1D8E3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Поликарпов, который имел свой взгляд на концепцию и внешний облик перспективного истребителя, инициативно перерабатывает проект И-13 под смешанную конструкцию и двигатель воздушного охлаждения. Этот самолет, который конструктор назвал И-14а, весьма напоминал биплан И-5, однако выполнен он был в более компактном и совершенном виде. Новшеством явился закрытый фонарь кабины (так и не реализованный на практике) и убираемое шасси в одном из возможных вариантов. Новой стала и центральная часть верхнего крыла, особо изогнутого для соединения с фюзеляжем в виде "чайки". Вводя схему "чайки", Поликарпов хотел, наряду с улучшением аэродинамики, обеспечить истребителю наилучшую маневренность, особенно на глубоком вираже. При рассмотрении вариантов перспективных истребителей, проект И-14а заинтересовал руководство ЦКБ и его реализацию решили продолжить.</w:t>
      </w:r>
    </w:p>
    <w:p w14:paraId="738BB1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Руководил совещанием начальник ВВС Яков Алкснис, который предложил построить обе машины - Поликарпова и Сухого.</w:t>
      </w:r>
    </w:p>
    <w:p w14:paraId="512180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совершенствования и оптимизации проекта И-14а от убираемого шасси по причине вероятных технических затруднений отказались. В дальнейшем самолет предлагалось именовать И-15 и строить его как тип высокоманевренного истребителя, у которого все подчинялось основным летно-тактическим требованиям - высокой маневренности и скороподъемности.</w:t>
      </w:r>
    </w:p>
    <w:p w14:paraId="0D4F7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выборе силовой установки ориентировались на английские двигатели Бристоль "Меркур" или американские Райт "Циклон". Поликарпов наиболее приемлемыми считал американские двигатели (12014).</w:t>
      </w:r>
    </w:p>
    <w:p w14:paraId="3CE876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050412"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полноразмерный макет биплана Н.Н.П. И-14а вместе с макетом моноплана И-14 были рассмотрены на специальном совещании, которым руководил начальник ВВС Я.И. Апкснис. Он же предложил строить обе машины - Поликарпова и Сухого.</w:t>
      </w:r>
    </w:p>
    <w:p w14:paraId="047A075A"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совершенствования и оптимизации проекта И-14а от убираемого шасси по причине вероятных технических затруднений отказались. В дальнейшем самолёт предлагалось именовать И-15 и строить его как тип высокоманёвренного истребителя, основными требованиями к которому являлись обеспечение высоких манёвренности и скороподъёмности.</w:t>
      </w:r>
    </w:p>
    <w:p w14:paraId="5878AEE2"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выборе силовой установки ориентировались на английский двигатель Бристоль «Меркур» или американский Райт «Циклон». Поликарпов наиболее приемлемым считал американский мотор «ЦИКЛОН» (12261).</w:t>
      </w:r>
    </w:p>
    <w:p w14:paraId="28D9EDDE" w14:textId="77777777" w:rsidR="00A634CB" w:rsidRPr="00E93F40" w:rsidRDefault="00A634CB" w:rsidP="00E93F40">
      <w:pPr>
        <w:spacing w:after="0" w:line="240" w:lineRule="auto"/>
        <w:jc w:val="both"/>
        <w:rPr>
          <w:rFonts w:ascii="Times New Roman" w:hAnsi="Times New Roman"/>
          <w:color w:val="000000" w:themeColor="text1"/>
          <w:sz w:val="16"/>
          <w:szCs w:val="16"/>
        </w:rPr>
      </w:pPr>
    </w:p>
    <w:p w14:paraId="4B87285A" w14:textId="77777777" w:rsidR="00F40724" w:rsidRPr="00E93F40" w:rsidRDefault="00F4072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на совместном совещании НИИ ВВС с ЦАГИ предложили в десятидневный срок представить ЦАГИ технические требования к машине ДИП 2М-34. Однако ЦАГИ получил ТТТ только 4 января 1933 г. (15823).</w:t>
      </w:r>
    </w:p>
    <w:p w14:paraId="1B23E235" w14:textId="77777777" w:rsidR="00F40724" w:rsidRPr="00E93F40" w:rsidRDefault="00F40724" w:rsidP="00E93F40">
      <w:pPr>
        <w:spacing w:after="0" w:line="240" w:lineRule="auto"/>
        <w:jc w:val="both"/>
        <w:rPr>
          <w:rFonts w:ascii="Times New Roman" w:hAnsi="Times New Roman"/>
          <w:color w:val="000000" w:themeColor="text1"/>
          <w:sz w:val="16"/>
          <w:szCs w:val="16"/>
        </w:rPr>
      </w:pPr>
    </w:p>
    <w:p w14:paraId="4AA9D9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года из УВВС были получены детальные технические требования и определение лица машины ЛР-34 - легкого разведчика, дальность полета – 800 км., скорость 300-310 км/час. Тогда же было начальником ВВС решено заменить заднего стрелка (стоячего) проекта стрелком, стреляющим сидя, что заставило выбросить вполне готовый комплект чертежей и начать проектирование машины снова (3530,70-86).</w:t>
      </w:r>
    </w:p>
    <w:p w14:paraId="70FAB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C41F63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98F54B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AB14420" w14:textId="6F6B3390"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8 по 18 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90-й стрелковой дивизии Ленинградского военного округа проходили испытания гранатометов Таубина. Действие гранатометов безотказно. Гранатометы легко маскируются, «слабый звук выстрела». Отмечено лишь, что из-за большой глубины снега 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давали отказ. Кстати, подобная картина будет в Финскую войну и у минометов.</w:t>
      </w:r>
    </w:p>
    <w:p w14:paraId="3D8F4516" w14:textId="45D66490"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40,8-мм гранатомет испытывался на малом бронекатере типа «Д» Днепровской военной флотилии. Гранатомет был установлен на тумбе от пулемета ШВАК. Стрельба велась как на якоре, так и с ходу. Из заключения комиссии: «автоматика работала безотказно…, меткость удовлетворительная…, система при стрельбе не демаскируется благодаря слабому звуку выстрела и отсутствию пламени…, взрыватель работает безотказно как по воде, так и по грунту».</w:t>
      </w:r>
    </w:p>
    <w:p w14:paraId="3C5A1F14" w14:textId="4A8A356E"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Управление вооружений ВМФ 20 января 1939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заключило договор с ОКБ-16 на изготовление 40,8-мм и 60-мм корабельных гранатометов, но вскоре разорвало договор без объяснения причин.</w:t>
      </w:r>
    </w:p>
    <w:p w14:paraId="6867240B"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Гранатомет Таубина испытывался и в частях НКВД на Дальнем Востоке, где он также получил положительные отзывы (12705).</w:t>
      </w:r>
    </w:p>
    <w:p w14:paraId="57DEBBC5" w14:textId="77777777" w:rsidR="00C32CA8" w:rsidRPr="00E93F40" w:rsidRDefault="00C32CA8" w:rsidP="00E93F40">
      <w:pPr>
        <w:spacing w:after="0" w:line="240" w:lineRule="auto"/>
        <w:jc w:val="both"/>
        <w:rPr>
          <w:rFonts w:ascii="Times New Roman" w:hAnsi="Times New Roman"/>
          <w:color w:val="000000" w:themeColor="text1"/>
          <w:sz w:val="16"/>
          <w:szCs w:val="16"/>
        </w:rPr>
      </w:pPr>
    </w:p>
    <w:p w14:paraId="16D665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8 декабря 1932 г. собрали два первых экземпляра ГАЗ-А. Позже, в 1933 г., с конвейера стали сходить пикапы ГАЗ-4 с цельнометаллической кабиной и металлической платформой на 500 кг груза. Попытка начать изготовление закрытых машин ГАЗ-6 с четырехдверными кузовами седан успеха не принесла. Они требовали хорошей оснастки для сварки кузова. Наконец, нельзя не упомянуть о нескольких образцах ГАЗ-А с двухместным кузовом типа родстер. К сожалению, неизвестно, был ли им присвоен самостоятельный индекс, так же как и машине ГАЗ-А с медицинскими кузовами. В заднем отсеке этих медицинских автомобилей помещались носилки, которые устанавливались через дверцу в задней стенке кузова. ГАЗ-А сохранил такие же оперение, раму ветрового стекла, щиток приборов и передние дверцы, как у ГАЗ-АА. Одинаковыми были двигатель, рулевой механизм, электрооборудование. Однако шасси ГАЗ-А имело совершенно иную конструкцию, чем ГАЗ-АА. Передняя и задняя оси соединялись с легкой штампованной рамой лонжеронного типа двумя поперечными рессорами. ГАЗ-А стал первым отечественным автомобилем с гидравлическими амортизаторами в подвеске колес-по четыре на машину. Эти приборы относились к забытому ныне коловратному типу и создавали сопротивление колебаниям колес лишь в одном направлении- были одностороннего действия. Колеса с проволочными спицами, расположенными в три ряда, обладали большой жесткостью в продольной и поперечной плоскостях. Любопытная особенность-спицы не имели регулировочных ниппелей, а неподвижно фиксировались в ступице и на ободе. ГАЗ-А в реальной дорожной обстановке в Ленинградской области. Конструкция основных (рабочих) тормозов ГАЗ-А по принципу действия не отличалась от аналогичных систем на большинстве легковых автомобилей тех лет: колодочные тормоза на всех колесах с механическим приводом. Ручной (сегодня мы его назовем стояночным) тормоз действовал только на задние колеса и был... ленточным. Он размещался в ступенчатом заднем тормозном барабане: лента прижималась к цилиндрической поверхности малого диаметра, колодки ножного тормоза - к поверхности большого диаметра. Сам по себе автомобиль ГАЗ-А с большим дорожным просветом, трехступенчатой коробкой передач, подачей топлива к карбюратору самотеком, несложной электропроводкой соответствовал отечественным условиям эксплуатации и был легко освоен большинством водителей. Оборудование кузова ГАЗ-А создавало уже определенные удобства для водителя. На ветровом стекле находились вакуумный стеклоочиститель, зеркало заднего вида. Для удобства пользования педалью акселератора рядом с ней помещалась неподвижная опора для ступни. Лобовое стекло могло поворачиваться в ветровой раме, и его положение фиксировалось барашками. Для защиты от ветра с боков рамы лобового стекла были установлены поворотные форточки. Основные данные ГАЗ-А: количество мест - 5; двигатель: число цилиндров - 4, рабочий объем - 3285 см , мощность - 40 л. с. при 2200 об/мин; число передач - 3; размер шин - 5,50-19"; длина - 3790 мм, ширина - 1710 мм, высота - 1788 мм; база - 2630 мм. Масса в снаряженном состоянии-1080 кг. Наибольшая скорость - 90 км/ч. Время разгона с места до 80 км/ч - 38 с. Расход топлива-12- 13 л/100 км. ГАЗ-А за шесть лет </w:t>
      </w:r>
      <w:r w:rsidRPr="00E93F40">
        <w:rPr>
          <w:rFonts w:ascii="Times New Roman" w:hAnsi="Times New Roman"/>
          <w:color w:val="000000" w:themeColor="text1"/>
          <w:sz w:val="16"/>
          <w:szCs w:val="16"/>
        </w:rPr>
        <w:lastRenderedPageBreak/>
        <w:t>изготовлено 41 917 штук. Одна, собранная 17 апреля 1935 г., стала стотысячной машиной, сошедшей с заводского конвейера (стотысячный ЗИС был собран 1 апреля 1936 г.). Этот экземпляр отличался от серийного не только надписью "100000" на сердцевине радиатора, но специальной эмблемой на пробке радиатора, двухцветной окраской, двумя звуковыми сигналами и двумя фонарями на торпедо кузова. Для участия в Каракумском испытательном пробеге 1933 года несколько машин ГАЗ-А вместо серийных машин были оборудованы широкопрофильными покрышками "сверхбаллон". Эти автомобили продемонстрировали прекрасную проходимость. Но эти автомобили не являлись единственными примерами "вариаций на тему" ГАЗ-А. Поскольку ГАЗ не выпускал легковых машин с закрытыми кузовами, а фаэтоны в зимнее время, особенно при использовании в качестве такси, не обеспечивали пассажиров комфортом, завод "Аремкуз" в Москве с 1935 г. организовал на шасси ГАЗ-А выпуск малыми сериями четырехдверных закрытых кузовов. Они не были цельнометаллическими, а имели деревянный каркас. Длина "ГАЗ-А-Аремкуз" составляла 4286 мм. Машина выделялась и высотой (1720 мм), и массой (около 1350 кг). Московский инженер А. И. Никитин, избрав в качестве темы своей научной диссертации исследование аэродинамики автомобиля, построил в 1934 г. экспериментальную машину на шасси ГАЗ-А. Конструкция ее кузова с деревянным каркасом и металлической обшивкой включала такие элементы, как V-образное лобовое стекло, полностью закрытые обтекателями задние колеса, наполовину утопленные в крылья фары. Отсутствие выступающих подножек, буферов, запасного колеса и другие меры позволили довести коэффициент лобового сопротивления до величины вдвое меньшей, чем у серийного ГАЗ-А. Машина Никитина "ГАЗ-А-Аэро", оснащенная форсированным с 40 до 48 л. с. двигателем (алюминиевая головка цилиндров, повышенная до 5,45 степень сжатия), развивала скорость 106 км/ч, а разгон с места до 80 км/ч занимал 36 с. Благодаря более совершенной аэродинамике "ГАЗ-А-Аэро" на скорости 70 км/ч расходовал на 20% меньше горючего, чем ГАЗ-А, а на скорости 40 км/ч - на 8,2% меньше. Четырехместный автомобиль отличался, конечно, большими, чем у ГАЗ-А, габаритами: длина - 4970 мм, ширина - 1710 мм; высота- 1700 мм. Масса в снаряженном состоянии - 1270 кг. Помимо "ГАЗ-А-Аэро" на шасси ГАЗ-А различными организациями были построены опытные образцы спортивных автомобилей, о которых речь пойдет в самостоятельном разделе. Пикап ГАЗ-4. 1933 г. Что касается пикапа ГАЗ-4, то завод изготовил 10 648 таких машин, которые использовались для доставки почты, при перевозке малых партий грузов. В металлической грузовой платформе длиной 1,6 м и шириной 1,1 м размещались две продольные откидные скамьи на шесть человек. Для входа в заднем борту платформы предусмотрена дверца. Поскольку ни на платформе, ни под ней отсутствовало свободное пространство для запасного колеса, его устанавливали в нише переднего левого крыла. По габариту и массе ГАЗ-4 несколько отличался от ГАЗ-А: длина - 4080 мм, ширина - 1710 мм, высота - 1825 мм. Масса в снаряженном состоянии - 1120 кг (12098).</w:t>
      </w:r>
    </w:p>
    <w:p w14:paraId="3A001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04A4AD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D26821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9594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 из записки Культпропа ЦК ВКП(б) в секретариат Сталина:</w:t>
      </w:r>
    </w:p>
    <w:p w14:paraId="310F6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Договорено, что я займусь книгой о Сталине, о которой мы с вами говорили. Я буду очень счастлив посвятить все мои усилия к тому, чтобы нарисовать эту великую фигуру, которая выполняет сейчас такую гигантскую роль и которая действительно воплощает, как я мог убедиться при моей поездке по всей территории Союза, творческий энтузиазм революции. Но и я не могу взяться за такое большое дело, если я не буду аккуратно получать, с другой стороны, документов о политической деятельности Сталина с самого начала его деятельности. То, что мне об этом известно, мне кажется недостаточным. Я прошу Вас поэтому, принять необходимые шаги перед советскими товарищами... </w:t>
      </w:r>
    </w:p>
    <w:p w14:paraId="37745F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 письма Анри Барбюса видному деятелю Коминтерна Мюнценбергу, 1932 г. </w:t>
      </w:r>
    </w:p>
    <w:p w14:paraId="0692C0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Культпроп ЦК вносит следующее предложение... Предрешить, что предварительный просмотр работы тов. Барбюса должен быть возложен на тов. Товстуха (секретарь Сталина). Последнему определить материалы, которые можно дать А. Барбюсу... Тов. Мануильский считает, что А. Барбюсу это дело поручить можно и стоит, он напишет то, что ему посоветуют, в частности, о борьбе с троцкизмом.</w:t>
      </w:r>
    </w:p>
    <w:p w14:paraId="46E64D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Книга влиятельного французского писателя Анри Барбюса "Сталин" издана в 1935 г. (11652).</w:t>
      </w:r>
    </w:p>
    <w:p w14:paraId="0C3A5FE3" w14:textId="4B073D3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C4EE33" w14:textId="4AFFA797" w:rsidR="00421F5C" w:rsidRPr="00E93F40" w:rsidRDefault="00421F5C"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39EDA2C0" w14:textId="77777777" w:rsidR="00421F5C" w:rsidRPr="00E93F40" w:rsidRDefault="00421F5C"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537B9413" w14:textId="67C5E2C9"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декабря 1932 года — первый полёт транспортного самолёта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SPCA 90. /Франция/</w:t>
      </w:r>
    </w:p>
    <w:p w14:paraId="46EC6D27" w14:textId="651224D6"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развитии французских колоний важную роль играла авиация. Начиная от транспортно-пассажирского сообщения с метрополией и заканчивая самолётами для колониальной полиции. Именно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использования в колониях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разрабатывала свой самолёт SPCA 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компания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Société Provençale de Constructions Aéronautiques.</w:t>
      </w:r>
    </w:p>
    <w:p w14:paraId="7724393F" w14:textId="76EEF34B"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Внешне сильно похожий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Fokker Trimotor, SPCA 90 был высокопланом с неубирающимся шасси и толстым крылом. Оснащался 3 × двигателями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Gnome-Rhône 7Kd. Крейсерская скорость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км/ч, дальность полёта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В закрытом салоне могли разместиться либо 6 пассажиров, либо 2 больных на носилках и врач.</w:t>
      </w:r>
    </w:p>
    <w:p w14:paraId="43B51C0C" w14:textId="3AF8E696"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Выпустили всего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самолёта SPCA 90 — один в транспортной версии, второй был исключительно пассажирским. Они эксплуатировались во Французской Африке, в частности в Марокко (22300).</w:t>
      </w:r>
    </w:p>
    <w:p w14:paraId="1601E36F" w14:textId="77777777" w:rsidR="00421F5C" w:rsidRPr="00E93F40" w:rsidRDefault="00421F5C" w:rsidP="00E93F40">
      <w:pPr>
        <w:spacing w:after="0" w:line="240" w:lineRule="auto"/>
        <w:jc w:val="both"/>
        <w:rPr>
          <w:rFonts w:ascii="Times New Roman" w:hAnsi="Times New Roman"/>
          <w:color w:val="000000" w:themeColor="text1"/>
          <w:sz w:val="16"/>
          <w:szCs w:val="16"/>
        </w:rPr>
      </w:pPr>
    </w:p>
    <w:p w14:paraId="367D416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E42361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D225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декабря 1932 года в НИИ ВВС был предъявлен вооруженный самолет Р6 2М17 N 2202 на поплавках. Предъявление по плану было назначено 1 сентября 1932 года (3899).</w:t>
      </w:r>
    </w:p>
    <w:p w14:paraId="38F19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F39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декабря 1932 года был закончен Р5 2М-17 на поплавках (3530,91).</w:t>
      </w:r>
    </w:p>
    <w:p w14:paraId="48036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56B774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6CB50E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0ECA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декабря 1932 был рапорт заведующего магазина N 4 О. М. Файнштейна управляющему Киевской областной конторой Торгсина:</w:t>
      </w:r>
    </w:p>
    <w:p w14:paraId="1149A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"Довожу до В[ашего] сведения, что в день В[ашего] отъезда произошел следующий казус в магазине:</w:t>
      </w:r>
    </w:p>
    <w:p w14:paraId="515AC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Сотрудник розыска Казимиров ворвался в магазин с наганом в руке вслед за одним покупателем.</w:t>
      </w:r>
    </w:p>
    <w:p w14:paraId="23A2ED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 предложил Казимирову вложить в карман оружие и пошел сговориться по телефону с Нач[альником] Петровского района милиции... Придя в магазин, я предложил Казимирову принести ордер Эконом отдела или Оперода (оперативный отдел) на право ареста в н[ашем] магазине.</w:t>
      </w:r>
    </w:p>
    <w:p w14:paraId="3C8860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Мы прошли в район милиции по этому делу и там договорились на том же. Казимиров ушел за ордером и больше в магазин не являлся. Задержанный был в магазине до закрытия его, после чего его отпустили. Описывать панику не приходится. Ставлю Вас в известность, что задержанный гражданин не пошел с сотрудником розыска из-за того, что боялся за содержимое карманов. По его словам, Казимиров забрал у него за два дня до этого 1200 рублей совзнаками в проезде у одного еврея. Считаю, что это похоже на истину, т. к. Казимиров идет со своим отцом на операцию. В данном приключении я сам видел старика на углу, дожидающегося результатов. Об этом я также сообщил сотруднику Облрозыска т. Шапу 9.12.32"(11558).</w:t>
      </w:r>
    </w:p>
    <w:p w14:paraId="56F0C8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46BF30" w14:textId="77777777" w:rsidR="00DC0201"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2B21855B"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05C3B5" w14:textId="22F21B0E"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9 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Политбюро</w:t>
      </w:r>
      <w:r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E93F40">
        <w:rPr>
          <w:rFonts w:ascii="Times New Roman" w:eastAsia="Times New Roman" w:hAnsi="Times New Roman"/>
          <w:color w:val="000000" w:themeColor="text1"/>
          <w:sz w:val="16"/>
          <w:szCs w:val="16"/>
          <w:lang w:eastAsia="ru-RU"/>
        </w:rPr>
        <w:t>» и</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E93F40">
        <w:rPr>
          <w:rFonts w:ascii="Times New Roman" w:eastAsia="Times New Roman" w:hAnsi="Times New Roman"/>
          <w:color w:val="000000" w:themeColor="text1"/>
          <w:sz w:val="16"/>
          <w:szCs w:val="16"/>
          <w:lang w:eastAsia="ru-RU"/>
        </w:rPr>
        <w:t>».</w:t>
      </w:r>
    </w:p>
    <w:p w14:paraId="3831D3D1" w14:textId="5726B944" w:rsidR="00DC0201" w:rsidRPr="00E93F40" w:rsidRDefault="00DC0201"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 xml:space="preserve">31 марта 1933 г. – </w:t>
      </w:r>
      <w:r w:rsidRPr="00E93F40">
        <w:rPr>
          <w:rFonts w:ascii="Times New Roman" w:eastAsia="Times New Roman" w:hAnsi="Times New Roman"/>
          <w:color w:val="000000" w:themeColor="text1"/>
          <w:sz w:val="16"/>
          <w:szCs w:val="16"/>
          <w:lang w:eastAsia="ru-RU"/>
        </w:rPr>
        <w:t>Принято решение: «</w:t>
      </w:r>
      <w:r w:rsidRPr="00E93F40">
        <w:rPr>
          <w:rFonts w:ascii="Times New Roman" w:eastAsia="Times New Roman" w:hAnsi="Times New Roman"/>
          <w:iCs/>
          <w:color w:val="000000" w:themeColor="text1"/>
          <w:sz w:val="16"/>
          <w:szCs w:val="16"/>
          <w:lang w:eastAsia="ru-RU"/>
        </w:rPr>
        <w:t>Прекратить экспорт зерновых культур урожая</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начиная с 1-4-1933» (12257).</w:t>
      </w:r>
    </w:p>
    <w:p w14:paraId="6A97C354" w14:textId="77777777" w:rsidR="00DC0201" w:rsidRPr="00E93F40" w:rsidRDefault="00DC0201"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2D558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536874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7F0EF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декабря 1932 Япония вторглась в Джеол (3907,174).</w:t>
      </w:r>
    </w:p>
    <w:p w14:paraId="0126E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A5ED7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194115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86A7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декабря 1932 вместо планировавшегося 1 августа поступили моторы М-34 для ТБ-4 6М-34 и это сорвало выпуск самолета на заводские испытаний и машина была отправлена на аэродром только в марте 1933 (2310,143).</w:t>
      </w:r>
    </w:p>
    <w:p w14:paraId="07B84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D6C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декабря 1932 года ЦАГИ были получены моторы (вместо 1 августа 1932 года, намеченного по плану) для ТБ-4 6М-34 - тяжелого бомбовоза опытного, из дюраля, вооруженного 10 пулеметами и 2 пушками. Дальность полета – 1000 км, при перегрузке 2000 км (3530,70-86).</w:t>
      </w:r>
    </w:p>
    <w:p w14:paraId="44130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86E0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10 по 27 декабря 1932 (1017,205) проходили гос. испытания АНТ-7 Р-6 N 2202 производства 22 завода и установленного на поплавки на 31 заводе. НИИ ВВС дал заключение, что самолет может быть использован как воздушный крейсер, дальний разведчик, бомбардировщик, торпедоносец (1017,198) 17 апреля 1933 состоялись дополнительные испытания в вариантах многоместного истребителя и дальнего разведчика (1017,205).</w:t>
      </w:r>
    </w:p>
    <w:p w14:paraId="202F1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EC5B37" w14:textId="77777777" w:rsidR="00421F5C" w:rsidRPr="00E93F40" w:rsidRDefault="00421F5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hAnsi="Times New Roman"/>
          <w:color w:val="000000" w:themeColor="text1"/>
          <w:sz w:val="16"/>
          <w:szCs w:val="16"/>
        </w:rPr>
        <w:t>10 декабря 1932 г. М.Н. Тухачевский пишет письмо члену комиссии № 1103 секретарю ЦК и МК партии Л.М. Кагановичу с просьбой ускорить дело по созданию РНИИ (22685).</w:t>
      </w:r>
    </w:p>
    <w:p w14:paraId="297441CC" w14:textId="77777777" w:rsidR="00421F5C" w:rsidRPr="00E93F40" w:rsidRDefault="00421F5C"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7CDE37" w14:textId="77777777" w:rsidR="00A634C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365C769" w14:textId="77777777" w:rsidR="00A634CB" w:rsidRPr="00E93F40" w:rsidRDefault="00A634C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192C624"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декабря 1932 года в сводке по заводу Можерез сообщалось, что в мотоброневагоне Д-2 № 1 «устраняются дефекты реверса и переделывается фундамент под мотором». </w:t>
      </w:r>
    </w:p>
    <w:p w14:paraId="36C83862"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декабря 1932 г. Н. Н. Поликарпов, сутками работая с небольшим числом сотрудников, представил руководству эскизный проект истребителя И-15.</w:t>
      </w:r>
    </w:p>
    <w:p w14:paraId="3A27D142"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успешной переработки И-15 под указанные требования конструкторская группа Н. Н. Поликарпова была развернута в бригаду № 5.</w:t>
      </w:r>
    </w:p>
    <w:p w14:paraId="249399A9"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отъезда Алксниса напряженные отношения, возникшие между Ильюшиным, Туполевым, руководством ЦАГИ, постепенно сделали невозможной творческую работу коллектива. Ильюшин вынужден был искать поддержки у Баранова и Алксниса. К тому же время доказало необходимость разукрупнения ЦКБ (25035).</w:t>
      </w:r>
    </w:p>
    <w:p w14:paraId="4D7AA336" w14:textId="77777777" w:rsidR="00716D79" w:rsidRPr="00142305" w:rsidRDefault="00716D79" w:rsidP="00716D79">
      <w:pPr>
        <w:spacing w:after="0" w:line="240" w:lineRule="auto"/>
        <w:jc w:val="both"/>
        <w:rPr>
          <w:rFonts w:ascii="Times New Roman" w:hAnsi="Times New Roman"/>
          <w:color w:val="0070C0"/>
          <w:sz w:val="16"/>
          <w:szCs w:val="16"/>
        </w:rPr>
      </w:pPr>
    </w:p>
    <w:p w14:paraId="629FE268"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10 декабря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125. Опросом членов ПБ от 7 декабря 1932 г. 38/32. Вопросы КО. — ОП. Слушали: а) о посылке комиссии для переговоров с фирмой «Шнейдер-Крезо»; б) о «Кристи»; в) о размещении и поставке импортного оборудования для ВЭСО. Постановили: утвердить следующие решения КО: а) 1) НКВМору и НКТяжпрому немедленно командировать во Францию комиссию для посещения и ведения переговоров с фирмой «Шнейдер-Крезо» в отношении дивизионной артиллерии; 2) состав комиссии: председатель — т. Симонов, члены — т. Железняков и Доровлев от НКВМ, т. Макулов и Сидоренко от НКТП; 3) комиссии закончить поездку в 2?месячный срок; 4) ответственность за выполнение задания в срок возложить на т. Тухачевского; б) 1) поручить т. Халепскому вести переговоры с «Кристи» о покупке чертежей образца нелетающего танка 1932 г.; 2) при наличии построенного танка образца 1932 г. купить одну машину; 3) от приглашения «Кристи» в СССР отказаться; в) 1) разрешить ВЭСО немедленно приступить к размещению импортных заказов 1933 г. в пределах половинной суммы против наметки комиссии т. Куйбышева Н., а именно — в пределах 600 тыс. руб.; 2) обязать НКВТорг принять все меры к размещению заказов ВЭСО с тем, чтобы обеспечить максимальный завоз оборудования в I квартале 1933 г.; 3) окончательное решение о размерах импортных и валютных контингентов по заказам ВЭСО на 1933 г. принять через 2 декады при утверждении соответствующих контингентов по всем заказам НКВТорга. (Политбюро... Т. 2. С. 379; РГАСПИ. Ф. 17. Оп. 162. Д. 14. Л. 27) (12416).</w:t>
      </w:r>
    </w:p>
    <w:p w14:paraId="2ABD92C3"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p>
    <w:p w14:paraId="45B41AA8"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декабря 1932</w:t>
      </w:r>
    </w:p>
    <w:p w14:paraId="296F7460" w14:textId="609F8C4E"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125 заседания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33D05C72" w14:textId="41B86C4F"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Заседание Политбюро ЦК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ВКП(б) от 10</w:t>
      </w:r>
      <w:r w:rsidRPr="00E93F40">
        <w:rPr>
          <w:rFonts w:ascii="Times New Roman" w:hAnsi="Times New Roman"/>
          <w:color w:val="000000" w:themeColor="text1"/>
          <w:sz w:val="16"/>
          <w:szCs w:val="16"/>
        </w:rPr>
        <w:noBreakHyphen/>
        <w:t>го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w:t>
      </w:r>
    </w:p>
    <w:p w14:paraId="5B774586" w14:textId="3E21B5C3"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36/32: Вопросы 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w:t>
      </w:r>
    </w:p>
    <w:p w14:paraId="09B303CB"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 посылке комиссии для переговоров с фирмой Шнейдер-Крезо</w:t>
      </w:r>
    </w:p>
    <w:p w14:paraId="33A53B9E"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 Кристи</w:t>
      </w:r>
    </w:p>
    <w:p w14:paraId="64ECF111"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 размещении и поставке импортного оборудования для ВЭСО</w:t>
      </w:r>
    </w:p>
    <w:p w14:paraId="70E8FCC1" w14:textId="6F2DA0A1"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Решение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особая папка.</w:t>
      </w:r>
    </w:p>
    <w:p w14:paraId="35356150"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следующие решения КО:</w:t>
      </w:r>
    </w:p>
    <w:p w14:paraId="5BE314CD"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 1) НКВМору и НКТяжпрому немедленно командировать во Францию комиссию для посещения и ведения переговоров с фирмой Шнейдер-Крезо в отношении дивизионной артиллерии.</w:t>
      </w:r>
    </w:p>
    <w:p w14:paraId="31A1D50A" w14:textId="6C503EBE"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Состав комиссии: председатель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Симонов, члены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Железняков и Доровлев от НКВМ, т.т.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Макулов и Сидоренко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от НКТП.</w:t>
      </w:r>
    </w:p>
    <w:p w14:paraId="2876AEEF"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Комиссии закончить поездку в 2</w:t>
      </w:r>
      <w:r w:rsidRPr="00E93F40">
        <w:rPr>
          <w:rFonts w:ascii="Times New Roman" w:hAnsi="Times New Roman"/>
          <w:color w:val="000000" w:themeColor="text1"/>
          <w:sz w:val="16"/>
          <w:szCs w:val="16"/>
        </w:rPr>
        <w:noBreakHyphen/>
        <w:t>месячный срок.</w:t>
      </w:r>
    </w:p>
    <w:p w14:paraId="6C21D98B" w14:textId="27BBAC99"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Ответственность за выполнение задания в срок возложить на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Тухачевского.</w:t>
      </w:r>
    </w:p>
    <w:p w14:paraId="69A397B7" w14:textId="45C18509"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 Поручить 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Халепскому вести переговоры с Кристи о покупке чертежей образца нелетающего танка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440028D0" w14:textId="67D4700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При наличии построенного танка образца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купить одну машину.</w:t>
      </w:r>
    </w:p>
    <w:p w14:paraId="552A8B87"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От приглашения Кристи в СССР отказаться.</w:t>
      </w:r>
    </w:p>
    <w:p w14:paraId="5C379D52" w14:textId="6697C7CE"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 Разрешить ВЭСО немедленно приступить к размещению импортных заказов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пределах половинной суммы против наметки комиссии Куйбышева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 а именно в пределах 600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тыс.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рублей.</w:t>
      </w:r>
    </w:p>
    <w:p w14:paraId="5C9B467A" w14:textId="5E291262"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НКВТорг принять все меры к размещению заказов ВЭСО с тем, чтобы обеспечить максимальный завоз оборудования в 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квартале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4BEBA18B" w14:textId="18C8CBC2"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Окончательное решение о размерах импортных и валютных контингентов по заказам ВЭСО на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принять через 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декады при утверждении соответствующих контингентов по всем заказам НКВТорга.</w:t>
      </w:r>
    </w:p>
    <w:p w14:paraId="29A12891"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w:t>
      </w:r>
    </w:p>
    <w:p w14:paraId="269DF8B3" w14:textId="597AC443"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Базилевичу, Гамарнику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все;</w:t>
      </w:r>
    </w:p>
    <w:p w14:paraId="155AC372" w14:textId="2A625FD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Орджоникидзе, Тухачевскому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“а”;</w:t>
      </w:r>
    </w:p>
    <w:p w14:paraId="5608ACC7" w14:textId="191CEA8A"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Халепскому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“б”;</w:t>
      </w:r>
    </w:p>
    <w:p w14:paraId="25D92942" w14:textId="56BE902C"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Розенгольцу</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w:t>
      </w:r>
    </w:p>
    <w:p w14:paraId="17109016" w14:textId="77777777" w:rsidR="008C3670" w:rsidRPr="00E93F40" w:rsidRDefault="008C3670" w:rsidP="00E93F40">
      <w:pPr>
        <w:spacing w:after="0" w:line="240" w:lineRule="auto"/>
        <w:jc w:val="both"/>
        <w:rPr>
          <w:rFonts w:ascii="Times New Roman" w:hAnsi="Times New Roman"/>
          <w:color w:val="000000" w:themeColor="text1"/>
          <w:sz w:val="16"/>
          <w:szCs w:val="16"/>
        </w:rPr>
      </w:pPr>
    </w:p>
    <w:p w14:paraId="38C89760"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декабря 1932 состоялось заседание ПБ (Протокол № 125).</w:t>
      </w:r>
    </w:p>
    <w:p w14:paraId="026410E7"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декабря 1932 опросом членов ПБ</w:t>
      </w:r>
    </w:p>
    <w:p w14:paraId="53E91062"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38/32.- Вопросы К.О.</w:t>
      </w:r>
    </w:p>
    <w:p w14:paraId="2F266EB9"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 посылке комиссии для переговоров с фирмой Шнейдер-Крезо</w:t>
      </w:r>
    </w:p>
    <w:p w14:paraId="707287FF"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О Кристи.</w:t>
      </w:r>
    </w:p>
    <w:p w14:paraId="74D824D7"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 размещении и поставке импортного оборудования для ВЭСО</w:t>
      </w:r>
    </w:p>
    <w:p w14:paraId="230A38D4"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следующие решения КО:</w:t>
      </w:r>
    </w:p>
    <w:p w14:paraId="5A32E612"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1. НКВМору и НКТяжпрому немедленно коман</w:t>
      </w:r>
      <w:r w:rsidRPr="00E93F40">
        <w:rPr>
          <w:rFonts w:ascii="Times New Roman" w:hAnsi="Times New Roman"/>
          <w:color w:val="000000" w:themeColor="text1"/>
          <w:sz w:val="16"/>
          <w:szCs w:val="16"/>
        </w:rPr>
        <w:softHyphen/>
        <w:t>дировать во францию комиссию для посещения и веде</w:t>
      </w:r>
      <w:r w:rsidRPr="00E93F40">
        <w:rPr>
          <w:rFonts w:ascii="Times New Roman" w:hAnsi="Times New Roman"/>
          <w:color w:val="000000" w:themeColor="text1"/>
          <w:sz w:val="16"/>
          <w:szCs w:val="16"/>
        </w:rPr>
        <w:softHyphen/>
        <w:t>ния переговоров с фирмой Шнейдер-Крезо в отноше</w:t>
      </w:r>
      <w:r w:rsidRPr="00E93F40">
        <w:rPr>
          <w:rFonts w:ascii="Times New Roman" w:hAnsi="Times New Roman"/>
          <w:color w:val="000000" w:themeColor="text1"/>
          <w:sz w:val="16"/>
          <w:szCs w:val="16"/>
        </w:rPr>
        <w:softHyphen/>
        <w:t>нии дивизионной артиллерии.</w:t>
      </w:r>
    </w:p>
    <w:p w14:paraId="6DB11E32"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Состав комиссии: председатель - т. Симо</w:t>
      </w:r>
      <w:r w:rsidRPr="00E93F40">
        <w:rPr>
          <w:rFonts w:ascii="Times New Roman" w:hAnsi="Times New Roman"/>
          <w:color w:val="000000" w:themeColor="text1"/>
          <w:sz w:val="16"/>
          <w:szCs w:val="16"/>
        </w:rPr>
        <w:softHyphen/>
        <w:t>нов, члены - т.т. Железняков и Яковлев от НКВМ, т.т. Макулов и Сидоренко - от НКТП.</w:t>
      </w:r>
    </w:p>
    <w:p w14:paraId="3EE06651"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Комиссии закончить поездку в 2-месячный СРОК.</w:t>
      </w:r>
    </w:p>
    <w:p w14:paraId="41C1F888"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Ответственность за выполнение задания в срок возложить на т. Тухачевского.</w:t>
      </w:r>
    </w:p>
    <w:p w14:paraId="496861B5"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б)-1. Поручить т. Халепскому вести переговоры с Кристи о покупке чертежей образца нелетающего танка 1932 г.</w:t>
      </w:r>
    </w:p>
    <w:p w14:paraId="44793099"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При наличии построенного танка образца 1932г. купить одну машину.</w:t>
      </w:r>
    </w:p>
    <w:p w14:paraId="784A413C"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От приглашения Кристи в СССР отказаться.</w:t>
      </w:r>
    </w:p>
    <w:p w14:paraId="53B58AF7"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в)-1. Разрешить ВЭСО немедленно приступить к размещению импортных заказов 1933 г. в пределах половинной суммы против наметки комиссии т. Куйбы</w:t>
      </w:r>
      <w:r w:rsidRPr="00E93F40">
        <w:rPr>
          <w:rFonts w:ascii="Times New Roman" w:hAnsi="Times New Roman"/>
          <w:color w:val="000000" w:themeColor="text1"/>
          <w:sz w:val="16"/>
          <w:szCs w:val="16"/>
        </w:rPr>
        <w:softHyphen/>
        <w:t>шева И., а именно в пределах 600 тыс. рублей.</w:t>
      </w:r>
    </w:p>
    <w:p w14:paraId="76A0FC6B"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Обязать НКВТорг принять все меры к раз</w:t>
      </w:r>
      <w:r w:rsidRPr="00E93F40">
        <w:rPr>
          <w:rFonts w:ascii="Times New Roman" w:hAnsi="Times New Roman"/>
          <w:color w:val="000000" w:themeColor="text1"/>
          <w:sz w:val="16"/>
          <w:szCs w:val="16"/>
        </w:rPr>
        <w:softHyphen/>
        <w:t>мещению заказов ВЭСО с тем, чтобы обеспечить мак</w:t>
      </w:r>
      <w:r w:rsidRPr="00E93F40">
        <w:rPr>
          <w:rFonts w:ascii="Times New Roman" w:hAnsi="Times New Roman"/>
          <w:color w:val="000000" w:themeColor="text1"/>
          <w:sz w:val="16"/>
          <w:szCs w:val="16"/>
        </w:rPr>
        <w:softHyphen/>
        <w:t>симальный завоз оборудования в 1 квартале 1933 г.</w:t>
      </w:r>
    </w:p>
    <w:p w14:paraId="19009B25"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Окончательное решение о размерах импорт</w:t>
      </w:r>
      <w:r w:rsidRPr="00E93F40">
        <w:rPr>
          <w:rFonts w:ascii="Times New Roman" w:hAnsi="Times New Roman"/>
          <w:color w:val="000000" w:themeColor="text1"/>
          <w:sz w:val="16"/>
          <w:szCs w:val="16"/>
        </w:rPr>
        <w:softHyphen/>
        <w:t>ных и валютных контингентов по заказам ВЭСО на 1933 год принять через 2 декады при утверждении соответствующих контингентов по всем заказам НКВТорга.</w:t>
      </w:r>
    </w:p>
    <w:p w14:paraId="474CA119" w14:textId="77777777" w:rsidR="00421F5C" w:rsidRPr="00E93F40" w:rsidRDefault="00421F5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посланы: т.т. Базилевичу, Гамарнику - все; Орджоникидзе, Тухачевскому - а; Халепскому - б; Розенгольцу – в (23070).</w:t>
      </w:r>
    </w:p>
    <w:p w14:paraId="61CD20EF" w14:textId="77777777" w:rsidR="00421F5C" w:rsidRPr="00E93F40" w:rsidRDefault="00421F5C" w:rsidP="00E93F40">
      <w:pPr>
        <w:spacing w:after="0" w:line="240" w:lineRule="auto"/>
        <w:jc w:val="both"/>
        <w:rPr>
          <w:rFonts w:ascii="Times New Roman" w:hAnsi="Times New Roman"/>
          <w:color w:val="000000" w:themeColor="text1"/>
          <w:sz w:val="16"/>
          <w:szCs w:val="16"/>
        </w:rPr>
      </w:pPr>
    </w:p>
    <w:p w14:paraId="71745DE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844474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0673ABA" w14:textId="77777777" w:rsidR="00AC4C99" w:rsidRPr="00E93F40" w:rsidRDefault="00AC4C9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 xml:space="preserve">10 декабря 1932 Политбюро закрепило несомненный успех экспедиции Сибирякова решением: «Поручить комиссии в составе тт. Куйбышева (созыв), Шмидта О.Ю., Гамарника (с 1929 года — начальника Политуправления РККА) и Каменева С. С. (юридически остававшегося председателем Арктической комиссии) внести в Политбюро проект предложений, вытекающих из сообщения т. Шмидта об экспедиции «Сибирякова», предусмотрев для увенчания дела необходимость организации </w:t>
      </w:r>
      <w:r w:rsidRPr="00E93F40">
        <w:rPr>
          <w:rFonts w:ascii="Times New Roman" w:eastAsia="Times New Roman" w:hAnsi="Times New Roman"/>
          <w:color w:val="000000" w:themeColor="text1"/>
          <w:sz w:val="16"/>
          <w:szCs w:val="16"/>
          <w:lang w:eastAsia="ru-RU"/>
        </w:rPr>
        <w:lastRenderedPageBreak/>
        <w:t>специального государственного органа, имеющего основной задачей проложить окончательно Северный морской путь от Белого моря до Берингова пролива и держать его в сохранности.</w:t>
      </w:r>
    </w:p>
    <w:p w14:paraId="7344E33C" w14:textId="77777777" w:rsidR="00AC4C99" w:rsidRPr="00E93F40" w:rsidRDefault="00AC4C9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Комиссии обсудить также вопрос об улучшении конструкции ледоколов, в частности о возможности снабжения ледоколов аэропланами» (20467).</w:t>
      </w:r>
    </w:p>
    <w:p w14:paraId="34CE63B1" w14:textId="77777777" w:rsidR="00AC4C99" w:rsidRPr="00E93F40" w:rsidRDefault="00AC4C99" w:rsidP="00E93F40">
      <w:pPr>
        <w:spacing w:after="0" w:line="240" w:lineRule="auto"/>
        <w:jc w:val="both"/>
        <w:rPr>
          <w:rFonts w:ascii="Times New Roman" w:hAnsi="Times New Roman"/>
          <w:color w:val="000000" w:themeColor="text1"/>
          <w:sz w:val="16"/>
          <w:szCs w:val="16"/>
        </w:rPr>
      </w:pPr>
    </w:p>
    <w:p w14:paraId="0E705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декабря 1932 года было принято решение ЦК о проведении чистки в течение 1933 года. Оно было подтверждено январским пленумом ЦК и ЦКК, который постановил "организовать дело чистки партии таким образом, чтобы обеспечить в партии железную пролетарскую дисциплину и очищение партийных рядов от всех ненадежных, неустойчивых и примазавшихся элементов" (9492).</w:t>
      </w:r>
    </w:p>
    <w:p w14:paraId="07FBDF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CB3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декабря 1932 г. постановлением Президиума ВЦИК СССР село Пермское стало Комсомольском-на-Амуре (3898).</w:t>
      </w:r>
    </w:p>
    <w:p w14:paraId="645A68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F791C9"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10 декабря 1932 г. Политбюро ЦК ВКП(б) закрепило несомненный успех экспедиции Сибирякова решением: «Поручить комиссии в соста</w:t>
      </w:r>
      <w:r w:rsidRPr="00142305">
        <w:rPr>
          <w:rStyle w:val="aff"/>
          <w:rFonts w:ascii="Times New Roman" w:hAnsi="Times New Roman" w:cs="Times New Roman"/>
          <w:color w:val="0070C0"/>
          <w:spacing w:val="0"/>
          <w:sz w:val="16"/>
          <w:szCs w:val="16"/>
        </w:rPr>
        <w:softHyphen/>
        <w:t>ве тт. Куйбышева Н.П.. Шмидта О.Ю., Гамарника (с 1929 г. начальник Политуправления РККА) и Каменева С.С. (председатель Арктической комиссии) внести в По</w:t>
      </w:r>
      <w:r w:rsidRPr="00142305">
        <w:rPr>
          <w:rStyle w:val="aff"/>
          <w:rFonts w:ascii="Times New Roman" w:hAnsi="Times New Roman" w:cs="Times New Roman"/>
          <w:color w:val="0070C0"/>
          <w:spacing w:val="0"/>
          <w:sz w:val="16"/>
          <w:szCs w:val="16"/>
        </w:rPr>
        <w:softHyphen/>
        <w:t>литбюро проект предложений, вытекающих из сообщения т. Шмидта об экспедиции «Сибирякова», предусмотрев для увенчания дела необходимость организации специального государственного органа, имеющего основной задачей проло</w:t>
      </w:r>
      <w:r w:rsidRPr="00142305">
        <w:rPr>
          <w:rStyle w:val="aff"/>
          <w:rFonts w:ascii="Times New Roman" w:hAnsi="Times New Roman" w:cs="Times New Roman"/>
          <w:color w:val="0070C0"/>
          <w:spacing w:val="0"/>
          <w:sz w:val="16"/>
          <w:szCs w:val="16"/>
        </w:rPr>
        <w:softHyphen/>
        <w:t>жить окончательно Севеный морской путь от Белого моря до Берингова пролива и держать его в сохранности.</w:t>
      </w:r>
    </w:p>
    <w:p w14:paraId="2FA099CC"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Комиссии обсудить также вопрос об улучшении конструкции ледоколов, в частности о возможности снабже</w:t>
      </w:r>
      <w:r w:rsidRPr="00142305">
        <w:rPr>
          <w:rStyle w:val="aff"/>
          <w:rFonts w:ascii="Times New Roman" w:hAnsi="Times New Roman" w:cs="Times New Roman"/>
          <w:color w:val="0070C0"/>
          <w:spacing w:val="0"/>
          <w:sz w:val="16"/>
          <w:szCs w:val="16"/>
        </w:rPr>
        <w:softHyphen/>
        <w:t>ния ледоколов аэропланами» (25653).</w:t>
      </w:r>
    </w:p>
    <w:p w14:paraId="3F38EF6A" w14:textId="77777777" w:rsidR="00716D79" w:rsidRPr="00142305" w:rsidRDefault="00716D79" w:rsidP="00716D79">
      <w:pPr>
        <w:spacing w:after="0" w:line="240" w:lineRule="auto"/>
        <w:jc w:val="both"/>
        <w:rPr>
          <w:rFonts w:ascii="Times New Roman" w:hAnsi="Times New Roman"/>
          <w:color w:val="0070C0"/>
          <w:sz w:val="16"/>
          <w:szCs w:val="16"/>
        </w:rPr>
      </w:pPr>
    </w:p>
    <w:p w14:paraId="7B5E002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60385B5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D13F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10 и 16 декабря 1932. Из протокола заседания Политбюро № 123, 1932 г.</w:t>
      </w:r>
    </w:p>
    <w:p w14:paraId="330AF6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отпуске средств из резервного фонда СНК СССР </w:t>
      </w:r>
    </w:p>
    <w:p w14:paraId="46A69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Утвердить постановление СНК СССР об отпуске из резервного фонда СНК 15 тыс. рублей на покрытие расходов ВОКСа по приему Анри Барбюса (11652).</w:t>
      </w:r>
    </w:p>
    <w:p w14:paraId="012D7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9058A0" w14:textId="77777777" w:rsidR="00A634CB"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7A4BDF5" w14:textId="77777777" w:rsidR="00A634CB" w:rsidRPr="00E93F40" w:rsidRDefault="00A634C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618180D" w14:textId="494AEE30" w:rsidR="00A634CB" w:rsidRPr="00E93F40" w:rsidRDefault="00A634CB" w:rsidP="00E93F40">
      <w:pPr>
        <w:pStyle w:val="rtejustify"/>
        <w:spacing w:before="0" w:after="0"/>
        <w:rPr>
          <w:color w:val="000000" w:themeColor="text1"/>
          <w:sz w:val="16"/>
          <w:szCs w:val="16"/>
        </w:rPr>
      </w:pPr>
      <w:r w:rsidRPr="00E93F40">
        <w:rPr>
          <w:rStyle w:val="af0"/>
          <w:i w:val="0"/>
          <w:color w:val="000000" w:themeColor="text1"/>
          <w:sz w:val="16"/>
          <w:szCs w:val="16"/>
        </w:rPr>
        <w:t>11</w:t>
      </w:r>
      <w:r w:rsidR="007C1411" w:rsidRPr="00E93F40">
        <w:rPr>
          <w:rStyle w:val="af0"/>
          <w:i w:val="0"/>
          <w:color w:val="000000" w:themeColor="text1"/>
          <w:sz w:val="16"/>
          <w:szCs w:val="16"/>
        </w:rPr>
        <w:t xml:space="preserve"> </w:t>
      </w:r>
      <w:r w:rsidRPr="00E93F40">
        <w:rPr>
          <w:rStyle w:val="af0"/>
          <w:i w:val="0"/>
          <w:color w:val="000000" w:themeColor="text1"/>
          <w:sz w:val="16"/>
          <w:szCs w:val="16"/>
        </w:rPr>
        <w:t>декабря 1932 г. Протокол Реввоенсовета №</w:t>
      </w:r>
      <w:r w:rsidR="007C1411" w:rsidRPr="00E93F40">
        <w:rPr>
          <w:rStyle w:val="af0"/>
          <w:i w:val="0"/>
          <w:color w:val="000000" w:themeColor="text1"/>
          <w:sz w:val="16"/>
          <w:szCs w:val="16"/>
        </w:rPr>
        <w:t xml:space="preserve"> </w:t>
      </w:r>
      <w:r w:rsidRPr="00E93F40">
        <w:rPr>
          <w:rStyle w:val="af0"/>
          <w:i w:val="0"/>
          <w:color w:val="000000" w:themeColor="text1"/>
          <w:sz w:val="16"/>
          <w:szCs w:val="16"/>
        </w:rPr>
        <w:t>26.</w:t>
      </w:r>
      <w:r w:rsidRPr="00E93F40">
        <w:rPr>
          <w:color w:val="000000" w:themeColor="text1"/>
          <w:sz w:val="16"/>
          <w:szCs w:val="16"/>
        </w:rPr>
        <w:t xml:space="preserve"> 3.</w:t>
      </w:r>
      <w:r w:rsidR="007C1411" w:rsidRPr="00E93F40">
        <w:rPr>
          <w:color w:val="000000" w:themeColor="text1"/>
          <w:sz w:val="16"/>
          <w:szCs w:val="16"/>
        </w:rPr>
        <w:t xml:space="preserve"> </w:t>
      </w:r>
      <w:r w:rsidRPr="00E93F40">
        <w:rPr>
          <w:color w:val="000000" w:themeColor="text1"/>
          <w:sz w:val="16"/>
          <w:szCs w:val="16"/>
        </w:rPr>
        <w:t>О состоянии, работах Осконбюро и плане работ Осконбюро на 1933</w:t>
      </w:r>
      <w:r w:rsidR="007C1411" w:rsidRPr="00E93F40">
        <w:rPr>
          <w:color w:val="000000" w:themeColor="text1"/>
          <w:sz w:val="16"/>
          <w:szCs w:val="16"/>
        </w:rPr>
        <w:t xml:space="preserve"> </w:t>
      </w:r>
      <w:r w:rsidRPr="00E93F40">
        <w:rPr>
          <w:color w:val="000000" w:themeColor="text1"/>
          <w:sz w:val="16"/>
          <w:szCs w:val="16"/>
        </w:rPr>
        <w:t>г. (Хрипин). 4.</w:t>
      </w:r>
      <w:r w:rsidR="007C1411" w:rsidRPr="00E93F40">
        <w:rPr>
          <w:color w:val="000000" w:themeColor="text1"/>
          <w:sz w:val="16"/>
          <w:szCs w:val="16"/>
        </w:rPr>
        <w:t xml:space="preserve"> </w:t>
      </w:r>
      <w:r w:rsidRPr="00E93F40">
        <w:rPr>
          <w:color w:val="000000" w:themeColor="text1"/>
          <w:sz w:val="16"/>
          <w:szCs w:val="16"/>
        </w:rPr>
        <w:t>Ввод на вооружение ротативных рассеивающих авиабомб (Камер). 5.</w:t>
      </w:r>
      <w:r w:rsidR="007C1411" w:rsidRPr="00E93F40">
        <w:rPr>
          <w:color w:val="000000" w:themeColor="text1"/>
          <w:sz w:val="16"/>
          <w:szCs w:val="16"/>
        </w:rPr>
        <w:t xml:space="preserve"> </w:t>
      </w:r>
      <w:r w:rsidRPr="00E93F40">
        <w:rPr>
          <w:color w:val="000000" w:themeColor="text1"/>
          <w:sz w:val="16"/>
          <w:szCs w:val="16"/>
        </w:rPr>
        <w:t>О вводе на вооружение ВМС торпеды 1</w:t>
      </w:r>
      <w:r w:rsidRPr="00E93F40">
        <w:rPr>
          <w:color w:val="000000" w:themeColor="text1"/>
          <w:sz w:val="16"/>
          <w:szCs w:val="16"/>
        </w:rPr>
        <w:noBreakHyphen/>
        <w:t>ЛЗ. (Леонов). 6.</w:t>
      </w:r>
      <w:r w:rsidR="007C1411" w:rsidRPr="00E93F40">
        <w:rPr>
          <w:color w:val="000000" w:themeColor="text1"/>
          <w:sz w:val="16"/>
          <w:szCs w:val="16"/>
        </w:rPr>
        <w:t xml:space="preserve"> </w:t>
      </w:r>
      <w:r w:rsidRPr="00E93F40">
        <w:rPr>
          <w:color w:val="000000" w:themeColor="text1"/>
          <w:sz w:val="16"/>
          <w:szCs w:val="16"/>
        </w:rPr>
        <w:t>О вводе на вооружение новых модернизированных артиллерийских образцов ВМС. (Леонов). 8.</w:t>
      </w:r>
      <w:r w:rsidR="007C1411" w:rsidRPr="00E93F40">
        <w:rPr>
          <w:color w:val="000000" w:themeColor="text1"/>
          <w:sz w:val="16"/>
          <w:szCs w:val="16"/>
        </w:rPr>
        <w:t xml:space="preserve"> </w:t>
      </w:r>
      <w:r w:rsidRPr="00E93F40">
        <w:rPr>
          <w:color w:val="000000" w:themeColor="text1"/>
          <w:sz w:val="16"/>
          <w:szCs w:val="16"/>
        </w:rPr>
        <w:t>Об образцах дивизионной артиллерии (Тухачевский). (РГВА. Ф.</w:t>
      </w:r>
      <w:r w:rsidR="007C1411" w:rsidRPr="00E93F40">
        <w:rPr>
          <w:color w:val="000000" w:themeColor="text1"/>
          <w:sz w:val="16"/>
          <w:szCs w:val="16"/>
        </w:rPr>
        <w:t xml:space="preserve"> </w:t>
      </w:r>
      <w:r w:rsidRPr="00E93F40">
        <w:rPr>
          <w:color w:val="000000" w:themeColor="text1"/>
          <w:sz w:val="16"/>
          <w:szCs w:val="16"/>
        </w:rPr>
        <w:t>4. Оп.</w:t>
      </w:r>
      <w:r w:rsidR="007C1411" w:rsidRPr="00E93F40">
        <w:rPr>
          <w:color w:val="000000" w:themeColor="text1"/>
          <w:sz w:val="16"/>
          <w:szCs w:val="16"/>
        </w:rPr>
        <w:t xml:space="preserve"> </w:t>
      </w:r>
      <w:r w:rsidRPr="00E93F40">
        <w:rPr>
          <w:color w:val="000000" w:themeColor="text1"/>
          <w:sz w:val="16"/>
          <w:szCs w:val="16"/>
        </w:rPr>
        <w:t>18. Д.</w:t>
      </w:r>
      <w:r w:rsidR="007C1411" w:rsidRPr="00E93F40">
        <w:rPr>
          <w:color w:val="000000" w:themeColor="text1"/>
          <w:sz w:val="16"/>
          <w:szCs w:val="16"/>
        </w:rPr>
        <w:t xml:space="preserve"> </w:t>
      </w:r>
      <w:r w:rsidRPr="00E93F40">
        <w:rPr>
          <w:color w:val="000000" w:themeColor="text1"/>
          <w:sz w:val="16"/>
          <w:szCs w:val="16"/>
        </w:rPr>
        <w:t>22. Л.</w:t>
      </w:r>
      <w:r w:rsidR="007C1411" w:rsidRPr="00E93F40">
        <w:rPr>
          <w:color w:val="000000" w:themeColor="text1"/>
          <w:sz w:val="16"/>
          <w:szCs w:val="16"/>
        </w:rPr>
        <w:t xml:space="preserve"> </w:t>
      </w:r>
      <w:r w:rsidRPr="00E93F40">
        <w:rPr>
          <w:color w:val="000000" w:themeColor="text1"/>
          <w:sz w:val="16"/>
          <w:szCs w:val="16"/>
        </w:rPr>
        <w:t>506</w:t>
      </w:r>
      <w:r w:rsidRPr="00E93F40">
        <w:rPr>
          <w:color w:val="000000" w:themeColor="text1"/>
          <w:sz w:val="16"/>
          <w:szCs w:val="16"/>
        </w:rPr>
        <w:noBreakHyphen/>
        <w:t>508) (12342) (12342).</w:t>
      </w:r>
    </w:p>
    <w:p w14:paraId="755F7F77"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p>
    <w:p w14:paraId="6BA9E2C7"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F6DD18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30BC470"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11 декабря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1556/466сс об изменении п. 17 постановления СТО СССР № 1425/425с от 17 ноября 1932 г. (ГА РФ. Ф. Р?8418. Оп. 28. Д. 1а. Л. 421) (12415).</w:t>
      </w:r>
    </w:p>
    <w:p w14:paraId="557BF6E5"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1557/467сс о производстве гусеничных тракторов на СТЗ (ГА РФ. Ф. Р?8418. Оп. 28. Д. 1а. Л. 422?423) (12415).</w:t>
      </w:r>
    </w:p>
    <w:p w14:paraId="0FBB92D9"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1558/468сс о 76-миллиметровой зенитной пушке образца 1931 г. (ГА РФ. Ф. Р?8418. Оп. 28. Д. 1а. Л. 424) (12415).</w:t>
      </w:r>
    </w:p>
    <w:p w14:paraId="29FD58A3"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о производстве гусеничных тракторов на СТЗ (ГА РФ. Ф. Р?8418. Оп. 6. Д. 65. Л. 4) (12415).</w:t>
      </w:r>
    </w:p>
    <w:p w14:paraId="773E3BD4"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p>
    <w:p w14:paraId="298A3352"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декабря 1932 года пожарный мотоцикл Л-600 предстал перед объединенной комиссией, состоявшей из представителей пожарной охраны и Автодора. Она отметила, что двигатель легко запускается, быстро разгоняет машину с тремя пассажирами до 60 км/ч. Насос хорошо забирал воду с глубины 5—6 м, причем давление на выходе достигало 5 атм — благодаря этому два ствола выбрасывали мощные струи на высоту до 30 м.</w:t>
      </w:r>
    </w:p>
    <w:p w14:paraId="35DF9BA5"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канун Нового года аналогичные испытания провели и в Москве; на обе комиссии Л-600 произвел весьма благоприятное впечатление. Вскоре президиумы Пожарной секции ленинградского отделения и Центрального совета Авгодора обратились в правительство с предложением организовать выпуск пожарных мотоциклов на «Промете», поскольку это предприятие было к нему вполне подготовлено. Подчеркивалось, что Л-600 как нельзя лучше подходит для борьбы с малыми пожарами в условиях города, производится на базе освоенных агрегатов, причем обходится гораздо дешевле выпускавшихся тогда пожарных автомобилей.</w:t>
      </w:r>
    </w:p>
    <w:p w14:paraId="5E62CE06"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к пятилетию общества Автодор, ленинградцы завершили сборку опытного образца первого отечественного пожарного мотоцикла Л-600. Он был значительно тяжелее серийного Л-300, поэтому его «обули» ' в более солидные колеса. Да и внешне Л-600 производил внушительное впечатление — обмотанный двумя четырехметровыми заборными рукавами, с объемистым, двадцатилитровым бензобаком, двухступенчатым центробежным насосом в коляске, рядом с которым находились плотно скатанные брезентовые рукава общей длиной 105 м и два стальных ствола. Под седлом пассажира лежал комплект необходимых инструментов. Добавим, что переднее колесо крепилось на рычажной, двухпружинной подвеске, а заднее осью жестко монтировалось на раме. Кузов коляски подвешивался на двух эллиптических рессорах.</w:t>
      </w:r>
    </w:p>
    <w:p w14:paraId="0F86A828"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20-е годы мотоциклы все чаще стали применять в качестве средства «малой моторизации». Например, американцы оборудовали на них передвижные авторемонтные мастерские и перевозили небольшие партии товаров. В Германии, Италии и Франции их использовали в роли такси. Приглянулись эти недорогие маневренные машины и врачам. Широко стали использовать мотоциклы и военные: на них разъезжали не только разведчики, но и расчеты зенитных пулеметов и легких пушек, которые обычно монтировались на боковом прицепе.</w:t>
      </w:r>
    </w:p>
    <w:p w14:paraId="3BEDB031"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Осваивали скоростную, маневренную технику пожарные. Первое время в коляску просто укладывались пенные огнетушители, по 10—20 баллонов. Примчавшись на место пожара, водитель и боец доставали их и приступали к тушению очага возгорания. Немецкие же пожарные предпочли укладывать в коляску переносную мотопомпу, шланги и прочий необходимый на месте инвентарь.</w:t>
      </w:r>
    </w:p>
    <w:p w14:paraId="288D2158"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Побывав в Германии, советские специалисты отметили, что пожарные мотоциклы имелись почти в каждом селе. Было над чем поразмыслить, учитывая особенности наших деревень и провинциальных городков, где дома из дерева. В общем, за создание пожарного мотоцикла взялись и у нас.</w:t>
      </w:r>
    </w:p>
    <w:p w14:paraId="4944E2C4"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уже знакомом нам заводе «Промет» с 1931 года - выпускали моторизованную пожарную технику, в частности мотопомпы. Их оснащали двигателями, которые шли на серийные мотоциклы Л-300, но предварительно переделывали в двухцилиндровый, водяного охлаждения, подсоединяя к нему через резиновую муфту центробежный двухступенчатый насос. «Сельская мотопомпа» МП-2 при габаритах 860Х625X665 мм весила 140 кг. Внушительно, а ведь к ней полагались еще шланги, брезентовые рукава, стволы и прочий инвентарь. Словом, переносить все это с трудом удавалось четверым пожарным, да и то на небольшое расстояние.</w:t>
      </w:r>
    </w:p>
    <w:p w14:paraId="72BC6313"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освоения «Прометом» серийного выпуска Л-300 на этом заводе работал инженер по специальности и мотоспортсмен по увлечению А. Байков. Он и в мотоциклах разбирался, и противопожарную технику знал отменно. Ему-то и пришла идея создать специализированный пожарный мотоцикл на базе Л-300 и МП-2.</w:t>
      </w:r>
    </w:p>
    <w:p w14:paraId="4031C2FE"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последней позаимствовали водяной насос, коленвал, поршни, шатуны, карбюратор и систему охлаждения. Цилиндры двигателя рабочим объемом 600 см3 переделали на воздушное охлаждение, на хвостовик основного коленвала поставили крыльчатку центробежного вентилятора. Коробку передач Байков спроектировал сам, связав ее с мотором сухим, однодисковым сцеплением. Орудуя рычагом, водитель мог переключать двигатель на заднее колесо (три скорости вперед, одна назад) или на центробежный насос, размещенный в коляске. Возможно, впервые в практике мотоциклостроения Байков применил два коленвала (11396).</w:t>
      </w:r>
    </w:p>
    <w:p w14:paraId="5012641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производство Л-600 пошло не совсем так, как рассчитывали пожарные и конструкторы. Прежде всего дирекция «Промета» почему-то не разрешила Пожарной секции Ленавтодора провести тщательные испытания машины, потом запретила снимать копии с чертежей для производства Л-600 на другом предприятии, не включила в план 1934 года выпуск опытной партии из десяти машин и, наконец, под предлогом «испытаний двигателя» велела разобрать первый образец. Сейчас, пожалуй, не узнать причин столь странного поведения администрации завода.</w:t>
      </w:r>
    </w:p>
    <w:p w14:paraId="6C977E34"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спасла автодоровская общественность, которая, предприняв отчаянные усилия, сумела сломать глухое сопротивление бюрократов. С 1934 по 1939 годы на заводе «Промет» все-таки делали пожарные мотоциклы. Вскоре три машины приобрела московская Краснознаменная пожарная охрана. Проверив их в самых трудных условиях, москвичи выявили ни много ни мало 26 дефектов: изломы рамы, поломки конической шестерни привода заднего колеса, неплотное сочленение рукавов и многое другое. К чести конструкторов, они быстро учли советы и устранили производственные и инженерные дефекты.</w:t>
      </w:r>
    </w:p>
    <w:p w14:paraId="0AD190A6"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Л-600 поступали в подразделения пожарной охраны многих городов и прослужили довольно долго. «Однажды, летом 1942 года, при обстреле фашистами территории порта я оказался на мотоцикле в Балтийском поле в районе порта и увидел, что загорелся ангар с аэростатом,— рассказывал автору этих строк старый пожарный Н. Г. Лукашевич.— Я быстро установил мотоцикл у водоема, развернул шланги и дал струю из ствола на очаг возгорания. Мне помогали солдаты. Вскоре мы потушили пожар и спасли аэростат. Таких случаев во время войны, да и в мирное время было немало. Мотоцикл Л-600 мне нравился — он легко управлялся и безотказно забирал воду. Обслуживал его я сам, но иногда помогали шоферы из нашей пожарной части...»</w:t>
      </w:r>
    </w:p>
    <w:p w14:paraId="24A6D83E"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Добавим, что на базе Л-600 делали и машины другого назначения. Заменив насос генератором и разместив в коляске шесть прожекторов ПЭС-35 с лампами мощностью 500 Вт, получили передвижной осветительный агрегат. Создали мобильное сварочное устройство, применив переносный трансформатор АСП-1-2, катушки с кабелем длиной 30 м, пульт управления, а на раме между коляской и корпусом мотоцикла уложив складную семиметррвую стремянку. Пользуясь этой </w:t>
      </w:r>
      <w:r w:rsidRPr="00E93F40">
        <w:rPr>
          <w:rFonts w:ascii="Times New Roman" w:hAnsi="Times New Roman"/>
          <w:color w:val="000000" w:themeColor="text1"/>
          <w:sz w:val="16"/>
          <w:szCs w:val="16"/>
        </w:rPr>
        <w:lastRenderedPageBreak/>
        <w:t>машиной, монтеры оперативно чинили линии связи и электропередачи.</w:t>
      </w:r>
    </w:p>
    <w:p w14:paraId="2FC2953F"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историю отечественного машиностроения Л-600 вошел первым советским серийным мотоциклом с двухцилиндровым двигателем принудительного охлаждения, а главное, специального назначения. К величайшему сожалению, не сохранилось ни одного Л-600. После прекращения выпуска они, по мере износа, списывались в металлолом, словом, безвозвратно «сгорали в борьбе с пожарами»...(11396).</w:t>
      </w:r>
    </w:p>
    <w:p w14:paraId="56E459BE"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3AF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декабря 1932 г. после заводских испытаний Л-600 пред</w:t>
      </w:r>
      <w:r w:rsidRPr="00E93F40">
        <w:rPr>
          <w:rFonts w:ascii="Times New Roman" w:hAnsi="Times New Roman"/>
          <w:color w:val="000000" w:themeColor="text1"/>
          <w:sz w:val="16"/>
          <w:szCs w:val="16"/>
        </w:rPr>
        <w:softHyphen/>
        <w:t>ставили специальной комиссии в Ленинграде, а в конце декабря - более высокой комиссии с участием членов правительства и пре</w:t>
      </w:r>
      <w:r w:rsidRPr="00E93F40">
        <w:rPr>
          <w:rFonts w:ascii="Times New Roman" w:hAnsi="Times New Roman"/>
          <w:color w:val="000000" w:themeColor="text1"/>
          <w:sz w:val="16"/>
          <w:szCs w:val="16"/>
        </w:rPr>
        <w:softHyphen/>
        <w:t>зидиума пожарного бюро ЦС АВТОДОР в Москве. Новинка произвела хорошее впечатление [4.106]. Двигатель Л-600 разви</w:t>
      </w:r>
      <w:r w:rsidRPr="00E93F40">
        <w:rPr>
          <w:rFonts w:ascii="Times New Roman" w:hAnsi="Times New Roman"/>
          <w:color w:val="000000" w:themeColor="text1"/>
          <w:sz w:val="16"/>
          <w:szCs w:val="16"/>
        </w:rPr>
        <w:softHyphen/>
        <w:t>вал максимальную мощность 12 л.с., что обеспечивало давление воды в выходном стволе 6 кс/см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выброс струи до 30 м и произво</w:t>
      </w:r>
      <w:r w:rsidRPr="00E93F40">
        <w:rPr>
          <w:rFonts w:ascii="Times New Roman" w:hAnsi="Times New Roman"/>
          <w:color w:val="000000" w:themeColor="text1"/>
          <w:sz w:val="16"/>
          <w:szCs w:val="16"/>
        </w:rPr>
        <w:softHyphen/>
        <w:t>дительность насоса до 730 л/мин [4.105]. На заводе ПРОМЕТ создали мотоцикл для огнеборцев. По инициативе признанного в коллективе конструктора пожарной техники и известного в Ленинграде мотоциклиста ГЛ. Байкова, активно участвовавшего в изготовлении первых мото</w:t>
      </w:r>
      <w:r w:rsidRPr="00E93F40">
        <w:rPr>
          <w:rFonts w:ascii="Times New Roman" w:hAnsi="Times New Roman"/>
          <w:color w:val="000000" w:themeColor="text1"/>
          <w:sz w:val="16"/>
          <w:szCs w:val="16"/>
        </w:rPr>
        <w:softHyphen/>
        <w:t>циклов «ТРЕМАСС-300» и Л-300, в 1932 г. спроектировали первый в нашей стране пожарный мотоцикл Л-600, что означало - Ленин</w:t>
      </w:r>
      <w:r w:rsidRPr="00E93F40">
        <w:rPr>
          <w:rFonts w:ascii="Times New Roman" w:hAnsi="Times New Roman"/>
          <w:color w:val="000000" w:themeColor="text1"/>
          <w:sz w:val="16"/>
          <w:szCs w:val="16"/>
        </w:rPr>
        <w:softHyphen/>
        <w:t>градский, с двигателем рабочим объёмом 600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xml:space="preserve"> [4.103]. К тому времени в некоторых странах уже строили пожарные мотоциклы. Обычно использовали тяжёлую машину с коляской, в которую при выезде к очагу возгорания укладывали пожарную мо</w:t>
      </w:r>
      <w:r w:rsidRPr="00E93F40">
        <w:rPr>
          <w:rFonts w:ascii="Times New Roman" w:hAnsi="Times New Roman"/>
          <w:color w:val="000000" w:themeColor="text1"/>
          <w:sz w:val="16"/>
          <w:szCs w:val="16"/>
        </w:rPr>
        <w:softHyphen/>
        <w:t>топомпу, заборные и пожарные рукава, стволы и прочий пожарный инвентарь [4.104]. В коляску грузили комплект пожаротушения, на пожаре - выгружали и развёртывали. Требовалось возить и дер</w:t>
      </w:r>
      <w:r w:rsidRPr="00E93F40">
        <w:rPr>
          <w:rFonts w:ascii="Times New Roman" w:hAnsi="Times New Roman"/>
          <w:color w:val="000000" w:themeColor="text1"/>
          <w:sz w:val="16"/>
          <w:szCs w:val="16"/>
        </w:rPr>
        <w:softHyphen/>
        <w:t>жать в боевой готовности сразу два силовых агрегата: мотоцикл и мотопомпу, оснащённых к тому же ненадёжными двигателями. На заводе ПРОМЕТ впервые в Европе обошлись для этой цели одним силовым агрегатом. На более прочную (в сравнении с Л-300) эки</w:t>
      </w:r>
      <w:r w:rsidRPr="00E93F40">
        <w:rPr>
          <w:rFonts w:ascii="Times New Roman" w:hAnsi="Times New Roman"/>
          <w:color w:val="000000" w:themeColor="text1"/>
          <w:sz w:val="16"/>
          <w:szCs w:val="16"/>
        </w:rPr>
        <w:softHyphen/>
        <w:t>пажную часть продольно установили двухцилиндровый двухтакт</w:t>
      </w:r>
      <w:r w:rsidRPr="00E93F40">
        <w:rPr>
          <w:rFonts w:ascii="Times New Roman" w:hAnsi="Times New Roman"/>
          <w:color w:val="000000" w:themeColor="text1"/>
          <w:sz w:val="16"/>
          <w:szCs w:val="16"/>
        </w:rPr>
        <w:softHyphen/>
        <w:t>ный двигатель с трёхступенчатой КП и задним ходом. Привод зад</w:t>
      </w:r>
      <w:r w:rsidRPr="00E93F40">
        <w:rPr>
          <w:rFonts w:ascii="Times New Roman" w:hAnsi="Times New Roman"/>
          <w:color w:val="000000" w:themeColor="text1"/>
          <w:sz w:val="16"/>
          <w:szCs w:val="16"/>
        </w:rPr>
        <w:softHyphen/>
        <w:t>него колеса осуществлялся карданным валом. В коляске располо</w:t>
      </w:r>
      <w:r w:rsidRPr="00E93F40">
        <w:rPr>
          <w:rFonts w:ascii="Times New Roman" w:hAnsi="Times New Roman"/>
          <w:color w:val="000000" w:themeColor="text1"/>
          <w:sz w:val="16"/>
          <w:szCs w:val="16"/>
        </w:rPr>
        <w:softHyphen/>
        <w:t>жили центробежный пожарный насос, в отключаемом приводе ко</w:t>
      </w:r>
      <w:r w:rsidRPr="00E93F40">
        <w:rPr>
          <w:rFonts w:ascii="Times New Roman" w:hAnsi="Times New Roman"/>
          <w:color w:val="000000" w:themeColor="text1"/>
          <w:sz w:val="16"/>
          <w:szCs w:val="16"/>
        </w:rPr>
        <w:softHyphen/>
        <w:t>торого тоже использовался карданный вал. Мотор для работы в стационарном режиме снабдили системой воздушного охлаждения. При этом удлинили коленвал и выступавший хвостовик соединили с воздуходувкой. Мотоцикл перевозил трёх человек - вполне доста</w:t>
      </w:r>
      <w:r w:rsidRPr="00E93F40">
        <w:rPr>
          <w:rFonts w:ascii="Times New Roman" w:hAnsi="Times New Roman"/>
          <w:color w:val="000000" w:themeColor="text1"/>
          <w:sz w:val="16"/>
          <w:szCs w:val="16"/>
        </w:rPr>
        <w:softHyphen/>
        <w:t>точный штат для организации подачи первой струи и дальнейшего тушения пожара, если он оказывался небольшим [4.105]. Вслед за этим ЦС АВТОДОР ходатайствовал о развёртыва</w:t>
      </w:r>
      <w:r w:rsidRPr="00E93F40">
        <w:rPr>
          <w:rFonts w:ascii="Times New Roman" w:hAnsi="Times New Roman"/>
          <w:color w:val="000000" w:themeColor="text1"/>
          <w:sz w:val="16"/>
          <w:szCs w:val="16"/>
        </w:rPr>
        <w:softHyphen/>
        <w:t>нии серийного выпуска Л-600, указывая на возможности завода ПРОМЕТ справиться с этим [4.106]. Новый мотоцикл казался полезным для городов и сельской местности. Благодаря малым габаритам он проезжал по узким проходам между жилыми и за</w:t>
      </w:r>
      <w:r w:rsidRPr="00E93F40">
        <w:rPr>
          <w:rFonts w:ascii="Times New Roman" w:hAnsi="Times New Roman"/>
          <w:color w:val="000000" w:themeColor="text1"/>
          <w:sz w:val="16"/>
          <w:szCs w:val="16"/>
        </w:rPr>
        <w:softHyphen/>
        <w:t>водскими постройками, что улучшало пожаротушение в местах, недоступных для подъезда пожарных автомашин. В сельской ме</w:t>
      </w:r>
      <w:r w:rsidRPr="00E93F40">
        <w:rPr>
          <w:rFonts w:ascii="Times New Roman" w:hAnsi="Times New Roman"/>
          <w:color w:val="000000" w:themeColor="text1"/>
          <w:sz w:val="16"/>
          <w:szCs w:val="16"/>
        </w:rPr>
        <w:softHyphen/>
        <w:t>стности, помимо борьбы с огнем, его предполагали использовать для полива огородов и на других сельхозработах [4.104].</w:t>
      </w:r>
    </w:p>
    <w:p w14:paraId="52782E2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Л-600 казалось решенным, поскольку базирова</w:t>
      </w:r>
      <w:r w:rsidRPr="00E93F40">
        <w:rPr>
          <w:rFonts w:ascii="Times New Roman" w:hAnsi="Times New Roman"/>
          <w:color w:val="000000" w:themeColor="text1"/>
          <w:sz w:val="16"/>
          <w:szCs w:val="16"/>
        </w:rPr>
        <w:softHyphen/>
        <w:t>лось на широкой унификации с выпускаемой пожарной техникой на заводе ПРОМЕТ и мотоциклами на «Красном Октябре». Од</w:t>
      </w:r>
      <w:r w:rsidRPr="00E93F40">
        <w:rPr>
          <w:rFonts w:ascii="Times New Roman" w:hAnsi="Times New Roman"/>
          <w:color w:val="000000" w:themeColor="text1"/>
          <w:sz w:val="16"/>
          <w:szCs w:val="16"/>
        </w:rPr>
        <w:softHyphen/>
        <w:t>нако когда ЦС АВТОДОР предложил этим предприятиям выпус</w:t>
      </w:r>
      <w:r w:rsidRPr="00E93F40">
        <w:rPr>
          <w:rFonts w:ascii="Times New Roman" w:hAnsi="Times New Roman"/>
          <w:color w:val="000000" w:themeColor="text1"/>
          <w:sz w:val="16"/>
          <w:szCs w:val="16"/>
        </w:rPr>
        <w:softHyphen/>
        <w:t>тить 10 мотоциклов Л-600, они отказались, а директор завода ПРОМЕТ не разрешил передать Л-600 для испытаний Ленинградскому областному управлению пожарной охраны и приказал снять с него пожарную технику, полагая приспособить для транспорт</w:t>
      </w:r>
      <w:r w:rsidRPr="00E93F40">
        <w:rPr>
          <w:rFonts w:ascii="Times New Roman" w:hAnsi="Times New Roman"/>
          <w:color w:val="000000" w:themeColor="text1"/>
          <w:sz w:val="16"/>
          <w:szCs w:val="16"/>
        </w:rPr>
        <w:softHyphen/>
        <w:t>ных нужд завода [4.105]. Положение спасла широкая автодоров-ская общественность, сломившая глухое сопротивление бюрокра</w:t>
      </w:r>
      <w:r w:rsidRPr="00E93F40">
        <w:rPr>
          <w:rFonts w:ascii="Times New Roman" w:hAnsi="Times New Roman"/>
          <w:color w:val="000000" w:themeColor="text1"/>
          <w:sz w:val="16"/>
          <w:szCs w:val="16"/>
        </w:rPr>
        <w:softHyphen/>
        <w:t>тов. Благодаря её настойчивости в течение 1934—1939 гг. на заво</w:t>
      </w:r>
      <w:r w:rsidRPr="00E93F40">
        <w:rPr>
          <w:rFonts w:ascii="Times New Roman" w:hAnsi="Times New Roman"/>
          <w:color w:val="000000" w:themeColor="text1"/>
          <w:sz w:val="16"/>
          <w:szCs w:val="16"/>
        </w:rPr>
        <w:softHyphen/>
        <w:t>де ПРОМЕТ строили Л-600. Краснознамённая пожарная охрана столицы приобрела три машины [4.104]. Проверив их в самых трудных условиях, огнеборцы Москвы выявили 26 дефектов: изломы рамы, поломки шестерён главной передачи, несовершен</w:t>
      </w:r>
      <w:r w:rsidRPr="00E93F40">
        <w:rPr>
          <w:rFonts w:ascii="Times New Roman" w:hAnsi="Times New Roman"/>
          <w:color w:val="000000" w:themeColor="text1"/>
          <w:sz w:val="16"/>
          <w:szCs w:val="16"/>
        </w:rPr>
        <w:softHyphen/>
        <w:t>ство магнето и брони тросов, многое другое. Но особенно непри</w:t>
      </w:r>
      <w:r w:rsidRPr="00E93F40">
        <w:rPr>
          <w:rFonts w:ascii="Times New Roman" w:hAnsi="Times New Roman"/>
          <w:color w:val="000000" w:themeColor="text1"/>
          <w:sz w:val="16"/>
          <w:szCs w:val="16"/>
        </w:rPr>
        <w:softHyphen/>
        <w:t>ятным оказался большой расход топлива в 14 л на контрольной дистанции 100 км, в то время как автомобиль ГАЗ-А с рабочим объёмом двигателя 2,8 л расходовал 11л [4.107]. К чести заво</w:t>
      </w:r>
      <w:r w:rsidRPr="00E93F40">
        <w:rPr>
          <w:rFonts w:ascii="Times New Roman" w:hAnsi="Times New Roman"/>
          <w:color w:val="000000" w:themeColor="text1"/>
          <w:sz w:val="16"/>
          <w:szCs w:val="16"/>
        </w:rPr>
        <w:softHyphen/>
        <w:t>дских специалистов, они быстро устранили недоработки [4.105].</w:t>
      </w:r>
    </w:p>
    <w:p w14:paraId="678F75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 Л-600 применили и для других задач народного хо</w:t>
      </w:r>
      <w:r w:rsidRPr="00E93F40">
        <w:rPr>
          <w:rFonts w:ascii="Times New Roman" w:hAnsi="Times New Roman"/>
          <w:color w:val="000000" w:themeColor="text1"/>
          <w:sz w:val="16"/>
          <w:szCs w:val="16"/>
        </w:rPr>
        <w:softHyphen/>
        <w:t>зяйства. На его основе создали средство освещения на пожаре в задымлённых помещениях. Вместо пожарного насоса устанавли</w:t>
      </w:r>
      <w:r w:rsidRPr="00E93F40">
        <w:rPr>
          <w:rFonts w:ascii="Times New Roman" w:hAnsi="Times New Roman"/>
          <w:color w:val="000000" w:themeColor="text1"/>
          <w:sz w:val="16"/>
          <w:szCs w:val="16"/>
        </w:rPr>
        <w:softHyphen/>
        <w:t>вали электрогенератор с напряжением 120 В мощностью 3 кВт, а в коляске располагали три прожектора ПЗ-35 с электрическими лампами мощностью 500 Вт и необходимой линией подключения [4.108]. А для устранения обрывов линий электропередач создали мобильный сварочный аппарат на основе Л-600. В коляске распо</w:t>
      </w:r>
      <w:r w:rsidRPr="00E93F40">
        <w:rPr>
          <w:rFonts w:ascii="Times New Roman" w:hAnsi="Times New Roman"/>
          <w:color w:val="000000" w:themeColor="text1"/>
          <w:sz w:val="16"/>
          <w:szCs w:val="16"/>
        </w:rPr>
        <w:softHyphen/>
        <w:t>лагали электрогенератор и укладывали переносной понижающий трансформатор типа АСП-1-2, перевозимый в брезентовой сумке с ремнями для переноски вручную, а также сварочные клещи и соединявший их провод длиной 30 м, намотанный на катушку. Ток от генератора проходил через специальные щётки, закреп</w:t>
      </w:r>
      <w:r w:rsidRPr="00E93F40">
        <w:rPr>
          <w:rFonts w:ascii="Times New Roman" w:hAnsi="Times New Roman"/>
          <w:color w:val="000000" w:themeColor="text1"/>
          <w:sz w:val="16"/>
          <w:szCs w:val="16"/>
        </w:rPr>
        <w:softHyphen/>
        <w:t>лённые на корпусе катушки, и по проводам поступал в первичную обмотку трансформатора. Торцы концов свариваемых проводов воздушной линии сжимали специальными клещами встык. Затем разгоняли двигатель до полных оборотов и, нажимая кнопку на одной из рукояток клещей, пропускали электрический ток. Сжа</w:t>
      </w:r>
      <w:r w:rsidRPr="00E93F40">
        <w:rPr>
          <w:rFonts w:ascii="Times New Roman" w:hAnsi="Times New Roman"/>
          <w:color w:val="000000" w:themeColor="text1"/>
          <w:sz w:val="16"/>
          <w:szCs w:val="16"/>
        </w:rPr>
        <w:softHyphen/>
        <w:t>тые торцы проводов нагревались и сваривались [4.109].</w:t>
      </w:r>
    </w:p>
    <w:p w14:paraId="059E2E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 стал родиной отечественного серийного мотоцикла Л-300 и пожарного - Л-600, - единственного в мире на тот период (11429).</w:t>
      </w:r>
    </w:p>
    <w:p w14:paraId="207D8E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68858" w14:textId="77777777" w:rsidR="00A634CB"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40394C1F" w14:textId="77777777" w:rsidR="00A634CB" w:rsidRPr="00E93F40" w:rsidRDefault="00A634C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2A04EB" w14:textId="77777777" w:rsidR="00A634CB" w:rsidRPr="00E93F40" w:rsidRDefault="00A634CB"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11 декабря 1932 года Постановление Реввоенсовета положило начало созданию в составе ВВС массовых воздушно-десантных войск. В «целях решительного развития» воздушно-десантного дела, подготовки соответствующих кадров и подразделений в Ленинградском ВО разворачивалась 3-я авиационно-десантная бригада особого назначения под командованием М.В. Бойцова. В начале 1933 года в Приволжском, Белорусском, Украинском и Московском военных округах были сформированы соответственно 1, 2, 3, 4-й авиационные батальоны особого назначения. Несколько позже при кадровых дивизиях МВО, СКВО, САВО и Отдельной Краснознаменной Дальневосточной армии возникли нештатные отдельные стрелковые батальоны особого назначения. На ВВС возлагалось обеспечение их выброса в тыл противника, снабжения и связи в ходе боевых действий. К концу года было создано 29 таких батальонов общей численностью до 8000 человек (12623).</w:t>
      </w:r>
    </w:p>
    <w:p w14:paraId="740BAC65" w14:textId="77777777" w:rsidR="00A634CB" w:rsidRPr="00E93F40" w:rsidRDefault="00A634CB" w:rsidP="00E93F40">
      <w:pPr>
        <w:spacing w:after="0" w:line="240" w:lineRule="auto"/>
        <w:jc w:val="both"/>
        <w:rPr>
          <w:rFonts w:ascii="Times New Roman" w:hAnsi="Times New Roman"/>
          <w:bCs/>
          <w:color w:val="000000" w:themeColor="text1"/>
          <w:sz w:val="16"/>
          <w:szCs w:val="16"/>
        </w:rPr>
      </w:pPr>
    </w:p>
    <w:p w14:paraId="40EA7ECC"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декабря 1932 г. постановление Реввоенсовета СССР положило начало созданию массовых воздушно-десантных войск. К тому времени успехи в развитии авиации и создании парашютно-десантной техники позволяли создать в РККА новые боевые подразделения и соединения. Согласно этому постановлению отряд № 3 разворачивался в АБОН. В четырех военных округах в 1933 году создавалось по одному штатному ОСБОНу. Кроме того, в течение 1933 года было создано 29 нештатных ОСБОНов и несколько рот и взводов особого назначения. Такая организация ВДВ просуществовала до 1936 г. (21402).</w:t>
      </w:r>
    </w:p>
    <w:p w14:paraId="7F0F3BD6" w14:textId="77777777" w:rsidR="00F33C0A" w:rsidRPr="00E93F40" w:rsidRDefault="00F33C0A" w:rsidP="00E93F40">
      <w:pPr>
        <w:spacing w:after="0" w:line="240" w:lineRule="auto"/>
        <w:jc w:val="both"/>
        <w:rPr>
          <w:rFonts w:ascii="Times New Roman" w:hAnsi="Times New Roman"/>
          <w:color w:val="000000" w:themeColor="text1"/>
          <w:sz w:val="16"/>
          <w:szCs w:val="16"/>
        </w:rPr>
      </w:pPr>
    </w:p>
    <w:p w14:paraId="7EE196CC" w14:textId="77777777" w:rsidR="00935F02" w:rsidRPr="00E93F40" w:rsidRDefault="00935F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11 декабря</w:t>
      </w:r>
      <w:r w:rsidRPr="00E93F40">
        <w:rPr>
          <w:rFonts w:ascii="Times New Roman" w:hAnsi="Times New Roman"/>
          <w:color w:val="000000" w:themeColor="text1"/>
          <w:sz w:val="16"/>
          <w:szCs w:val="16"/>
        </w:rPr>
        <w:t xml:space="preserve"> в 1932 году постановление Реввоенсовета СССР о развертывании авиамотодесантных отрядов (14857).</w:t>
      </w:r>
    </w:p>
    <w:p w14:paraId="2F6316E8" w14:textId="77777777" w:rsidR="00935F02" w:rsidRPr="00E93F40" w:rsidRDefault="00935F02" w:rsidP="00E93F40">
      <w:pPr>
        <w:spacing w:after="0" w:line="240" w:lineRule="auto"/>
        <w:jc w:val="both"/>
        <w:rPr>
          <w:rFonts w:ascii="Times New Roman" w:hAnsi="Times New Roman"/>
          <w:color w:val="000000" w:themeColor="text1"/>
          <w:sz w:val="16"/>
          <w:szCs w:val="16"/>
        </w:rPr>
      </w:pPr>
    </w:p>
    <w:p w14:paraId="0772936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18EB1E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A4D0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декабря 1932 Великобритания, Франция, Германия и Италия опубликовали совместную Декларацию о неприменении силы, заявив о неприменении силы в решении международных и межгосударственных противоречий. После подписания Женевского протокола, признавшего полное равноправие Германии, Германия вернулась на Женевскую конференцию (3907,174).</w:t>
      </w:r>
    </w:p>
    <w:p w14:paraId="285B2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C34A6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декабря 1932 г. Шляйхер добился от четырех держав (Англия, Франция, США, Италия) подписания декларации о признании принципа равноправия Германии в вопросе о вооружениях («равноправие в рамках системы безопасности, одинаковой для всех стран») (Хайцман В. М. СССР и проблема разоружения (Между первой и второй мировыми войнами). М., 1959, с. 132-144,323,330.) (11784).</w:t>
      </w:r>
    </w:p>
    <w:p w14:paraId="1AD8F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91655C" w14:textId="5D3593D0"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Шляйхер добился от четырех держав (Англия, Франция, США, Италия) подписания декларации о признании принципа равноправия Германии в вопросе о вооружениях («равноправие в рамках системы безопасности, одинаковой для всех стран») (18265).</w:t>
      </w:r>
    </w:p>
    <w:p w14:paraId="57EA31DE" w14:textId="77777777" w:rsidR="008C3670" w:rsidRPr="00E93F40" w:rsidRDefault="008C3670" w:rsidP="00E93F40">
      <w:pPr>
        <w:spacing w:after="0" w:line="240" w:lineRule="auto"/>
        <w:jc w:val="both"/>
        <w:rPr>
          <w:rFonts w:ascii="Times New Roman" w:hAnsi="Times New Roman"/>
          <w:color w:val="000000" w:themeColor="text1"/>
          <w:sz w:val="16"/>
          <w:szCs w:val="16"/>
        </w:rPr>
      </w:pPr>
    </w:p>
    <w:p w14:paraId="4E87FB5F" w14:textId="77777777" w:rsidR="00935F02" w:rsidRPr="00E93F40" w:rsidRDefault="00935F02"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11 декабря</w:t>
      </w:r>
      <w:r w:rsidRPr="00E93F40">
        <w:rPr>
          <w:rFonts w:ascii="Times New Roman" w:hAnsi="Times New Roman"/>
          <w:color w:val="000000" w:themeColor="text1"/>
          <w:sz w:val="16"/>
          <w:szCs w:val="16"/>
        </w:rPr>
        <w:t xml:space="preserve"> в 1932 году Великобритания, Франция, Германия, и Италия публикуют совместную «Декларацию о неприменении силы», заявляющую о недопустимости применения силы при решении межгосударственных противоречий. После подписания Женевского протокола о признании полного равноправия Германии и остальных участников конференции делегация Германии возвращается на Женевскую конференцию по разоружению (14857).</w:t>
      </w:r>
    </w:p>
    <w:p w14:paraId="51C350AA" w14:textId="77777777" w:rsidR="00935F02" w:rsidRPr="00E93F40" w:rsidRDefault="00935F02" w:rsidP="00E93F40">
      <w:pPr>
        <w:spacing w:after="0" w:line="240" w:lineRule="auto"/>
        <w:jc w:val="both"/>
        <w:rPr>
          <w:rFonts w:ascii="Times New Roman" w:hAnsi="Times New Roman"/>
          <w:color w:val="000000" w:themeColor="text1"/>
          <w:sz w:val="16"/>
          <w:szCs w:val="16"/>
        </w:rPr>
      </w:pPr>
    </w:p>
    <w:p w14:paraId="4CFA6BD7" w14:textId="77777777" w:rsidR="00C421F0"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E07E807" w14:textId="77777777" w:rsidR="00C421F0" w:rsidRPr="00E93F40" w:rsidRDefault="00C421F0"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05D34FA"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декабря 1932 представитель УММ РККА и Угер, находящийся в США, сообщил И.А.Халепскому, что “авиационная часть летающего танка (Кристи) еще совершенно не разработана, люди, окружающие Кристи, не сведущие в авиации и мы возьмем на себя очень тяжелую ответственность, если закажем ему такого рода работу, не обратившись за ответствующим содействием к компетентной авиационной фирме.</w:t>
      </w:r>
    </w:p>
    <w:p w14:paraId="22C62BE5"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Кристи не договаривает, как он планирует реализовать проект сооружения летающего танка. Материальное положение Кристи очень настолько тяжелое, что он дает устное или письменное обещание продать нам все, что мы пожелаем купить, - ему нечего терять. Поэтому мы не можем на него положиться.</w:t>
      </w:r>
    </w:p>
    <w:p w14:paraId="278EB833"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что мы сможем добыть от Кристи - это в лучшем случае будет модель 1933 без какой либо авиачасти.</w:t>
      </w:r>
    </w:p>
    <w:p w14:paraId="293D455C"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Боевая машина мод. 1932 имеет корпус, изготовленный из дюраля (а не стальной). Вес уменьшен на 1/3 и составляет приблизительно 5.5 т (без брони). Колеса - пневматики. Скорость на колесном ходу - до 160 км/час. Идея авиатанка 9аэротанка) по мнению автора:</w:t>
      </w:r>
    </w:p>
    <w:p w14:paraId="2E9AA32E"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На земле и в воздухе танк передвигается самостоятельно за счет передачи крутящего момента от двигателя к пропеллеру. У танка свои крылья, которые после посадки отсоединяются, а пропеллер - отключается.</w:t>
      </w:r>
    </w:p>
    <w:p w14:paraId="7D72DD7F"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Этот вариант полностью раскритикован.</w:t>
      </w:r>
    </w:p>
    <w:p w14:paraId="3AA83D69"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Танк перевозится специально сконструированным самолетом с помощью специального приспособления.</w:t>
      </w:r>
    </w:p>
    <w:p w14:paraId="6348AAC0"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Только Сикорский считает возможным создание подобного самолета, т.к. у него также финансовые затруднения....Танк Кристи мод.1933 имеет двигатель горизонтального типа..., 8 цилиндров. Вес двигателя - 272 кг, мощность 450 нр при 4500 об.</w:t>
      </w:r>
    </w:p>
    <w:p w14:paraId="75CB7E22"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танка 4 т. Максимальная скорость на колесах - до 160 км/час, на гусеницах - 95-105 км/час. Вооружение - одна 48-мм пушка и пулемет. Экипаж - 3 чел.</w:t>
      </w:r>
    </w:p>
    <w:p w14:paraId="1AB2DE42"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модю1932 является улучшенной моделью старой конструкции боевой машины и могущей быть истребителем танков 975-мм пушка), то мод. 1933 является прототипом будущего летающего танка.” (3879,36).</w:t>
      </w:r>
    </w:p>
    <w:p w14:paraId="5B053FD9" w14:textId="77777777" w:rsidR="00C421F0" w:rsidRPr="00E93F40" w:rsidRDefault="00C421F0" w:rsidP="00E93F40">
      <w:pPr>
        <w:autoSpaceDE w:val="0"/>
        <w:autoSpaceDN w:val="0"/>
        <w:adjustRightInd w:val="0"/>
        <w:spacing w:after="0" w:line="240" w:lineRule="auto"/>
        <w:jc w:val="both"/>
        <w:rPr>
          <w:rFonts w:ascii="Times New Roman" w:hAnsi="Times New Roman"/>
          <w:color w:val="000000" w:themeColor="text1"/>
          <w:sz w:val="16"/>
          <w:szCs w:val="16"/>
        </w:rPr>
      </w:pPr>
    </w:p>
    <w:p w14:paraId="736F58A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11A9AD7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570156E" w14:textId="77777777" w:rsidR="00C421F0" w:rsidRPr="00E93F40" w:rsidRDefault="00C421F0"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12 декабря 1932 военпред УММ РККА на заводе ДРО докладывал: «ФАИ – ничего не сдано. Сдача 100 штук зависит сейчас от отпуска Правительством машин «Форд-А» под бронировку». Ситуация с производством легких бронемашин ФАИ начала выправляться только в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1934 г</w:t>
        </w:r>
      </w:smartTag>
      <w:r w:rsidRPr="00E93F40">
        <w:rPr>
          <w:rFonts w:ascii="Times New Roman" w:hAnsi="Times New Roman"/>
          <w:color w:val="000000" w:themeColor="text1"/>
          <w:sz w:val="16"/>
          <w:szCs w:val="16"/>
        </w:rPr>
        <w:t>., когда Выксунский завод ДРО сдал 135 бронемашин (включая 10 штук изготовления 1932 года), из них 115 ФАИ передали РККА и 20 – главному управлению пограничных войск ОГПУ. Причем с весны 1934 года ФАИ изготавливались на шасси отечественного легкового автомобиля ГАЗ-А, являвшегося аналогом «Форда». 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110 ФАИ, после чего их выпуск был прекращен. Таким образом, за все время производства завод ДРО изготовил 697 бронеавтомобилей ФАИ, из них 667 поступили в РККА, а 30 в части ОГПУ. К 1939 году большая часть бронеавтомобилей ФАИ, находившихся в войсках, сильно износилась в результате длительной эксплуатации. Ремонты машин, проводившиеся на рембазах наркомата обороны, не могли полностью решить этой проблемы, выход из создавшегося положения был найден путем перестановки броневого корпуса ФАИ на шасси легкового автомобиля ГАЗ-М-1, выпуск которого Горьковский автомобильный завод начал с 1936 года (15218).</w:t>
      </w:r>
    </w:p>
    <w:p w14:paraId="27F2F215" w14:textId="77777777" w:rsidR="00C421F0" w:rsidRPr="00E93F40" w:rsidRDefault="00C421F0" w:rsidP="00E93F40">
      <w:pPr>
        <w:widowControl w:val="0"/>
        <w:spacing w:after="0" w:line="240" w:lineRule="auto"/>
        <w:jc w:val="both"/>
        <w:rPr>
          <w:rFonts w:ascii="Times New Roman" w:hAnsi="Times New Roman"/>
          <w:color w:val="000000" w:themeColor="text1"/>
          <w:sz w:val="16"/>
          <w:szCs w:val="16"/>
        </w:rPr>
      </w:pPr>
    </w:p>
    <w:p w14:paraId="2E3DD04B"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146C9DB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5EB78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 декабря 1932 были восстановлены дип. отношения с Китаем (1348,242) перед лицом японской угрозы (3908,338).</w:t>
      </w:r>
    </w:p>
    <w:p w14:paraId="55874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B485AF" w14:textId="77777777" w:rsidR="00DC6CBE" w:rsidRPr="00E93F40" w:rsidRDefault="00DC6C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 xml:space="preserve">12 декабря </w:t>
      </w:r>
      <w:r w:rsidRPr="00E93F40">
        <w:rPr>
          <w:rFonts w:ascii="Times New Roman" w:hAnsi="Times New Roman"/>
          <w:color w:val="000000" w:themeColor="text1"/>
          <w:sz w:val="16"/>
          <w:szCs w:val="16"/>
        </w:rPr>
        <w:t>в 1932 году в Женеве М.М.Литвинов и глава китайской делегации на Конференции по сокращению и ограничению вооружений Янь Хойцин обменились нотами, объявившими о восстановлении нормальных дипломатических и консульских отношений между СССР и нанкинским правительством, отношений Москвы с тем режимом, который шестой год вел кровопролитную борьбу с коммунистами, с Китайской советской республикой. Но пакт о ненападении с Нанкином был заключен только 21 августа 1937 г., уже после открытой агрессии Японии против Китая (14858).</w:t>
      </w:r>
    </w:p>
    <w:p w14:paraId="45796889" w14:textId="77777777" w:rsidR="00DC6CBE" w:rsidRPr="00E93F40" w:rsidRDefault="00DC6CBE" w:rsidP="00E93F40">
      <w:pPr>
        <w:spacing w:after="0" w:line="240" w:lineRule="auto"/>
        <w:jc w:val="both"/>
        <w:rPr>
          <w:rFonts w:ascii="Times New Roman" w:hAnsi="Times New Roman"/>
          <w:color w:val="000000" w:themeColor="text1"/>
          <w:sz w:val="16"/>
          <w:szCs w:val="16"/>
        </w:rPr>
      </w:pPr>
    </w:p>
    <w:p w14:paraId="5DAC211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F7D661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C23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декабря 1932 Н.Н.П. представил эскизный проект И-15 (7383, 6).</w:t>
      </w:r>
    </w:p>
    <w:p w14:paraId="4EA434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8023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декабря 1932 г. Н.Н.Поликарпов, сут</w:t>
      </w:r>
      <w:r w:rsidRPr="00E93F40">
        <w:rPr>
          <w:rFonts w:ascii="Times New Roman" w:hAnsi="Times New Roman"/>
          <w:color w:val="000000" w:themeColor="text1"/>
          <w:sz w:val="16"/>
          <w:szCs w:val="16"/>
        </w:rPr>
        <w:softHyphen/>
        <w:t>ками работая с небольшим числом сотрудников, предста</w:t>
      </w:r>
      <w:r w:rsidRPr="00E93F40">
        <w:rPr>
          <w:rFonts w:ascii="Times New Roman" w:hAnsi="Times New Roman"/>
          <w:color w:val="000000" w:themeColor="text1"/>
          <w:sz w:val="16"/>
          <w:szCs w:val="16"/>
        </w:rPr>
        <w:softHyphen/>
        <w:t>вил эскизный проект истребителя И-15. Для успешной переработки И-15 под указанные тре</w:t>
      </w:r>
      <w:r w:rsidRPr="00E93F40">
        <w:rPr>
          <w:rFonts w:ascii="Times New Roman" w:hAnsi="Times New Roman"/>
          <w:color w:val="000000" w:themeColor="text1"/>
          <w:sz w:val="16"/>
          <w:szCs w:val="16"/>
        </w:rPr>
        <w:softHyphen/>
        <w:t>бования конструкторская группа Н.Н.Поликарпова бы</w:t>
      </w:r>
      <w:r w:rsidRPr="00E93F40">
        <w:rPr>
          <w:rFonts w:ascii="Times New Roman" w:hAnsi="Times New Roman"/>
          <w:color w:val="000000" w:themeColor="text1"/>
          <w:sz w:val="16"/>
          <w:szCs w:val="16"/>
        </w:rPr>
        <w:softHyphen/>
        <w:t>ла развернута в бригаду № 5 (10667).</w:t>
      </w:r>
    </w:p>
    <w:p w14:paraId="2AD0FE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2C18F0"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декабря 1932 г. Н.Н. Поликарпов, сутками работая с небольшим числом со</w:t>
      </w:r>
      <w:r w:rsidRPr="00E93F40">
        <w:rPr>
          <w:rFonts w:ascii="Times New Roman" w:hAnsi="Times New Roman"/>
          <w:color w:val="000000" w:themeColor="text1"/>
          <w:sz w:val="16"/>
          <w:szCs w:val="16"/>
        </w:rPr>
        <w:softHyphen/>
        <w:t>трудников, представил эскизный проект истребителя И-15. Для успешной переработки И-15 под заданные тактико-техни</w:t>
      </w:r>
      <w:r w:rsidRPr="00E93F40">
        <w:rPr>
          <w:rFonts w:ascii="Times New Roman" w:hAnsi="Times New Roman"/>
          <w:color w:val="000000" w:themeColor="text1"/>
          <w:sz w:val="16"/>
          <w:szCs w:val="16"/>
        </w:rPr>
        <w:softHyphen/>
        <w:t>ческие требования, конструктор</w:t>
      </w:r>
      <w:r w:rsidRPr="00E93F40">
        <w:rPr>
          <w:rFonts w:ascii="Times New Roman" w:hAnsi="Times New Roman"/>
          <w:color w:val="000000" w:themeColor="text1"/>
          <w:sz w:val="16"/>
          <w:szCs w:val="16"/>
        </w:rPr>
        <w:softHyphen/>
        <w:t>ская группа Н.Н. Поликарпова была развернута в бригаду №5 (23406).</w:t>
      </w:r>
    </w:p>
    <w:p w14:paraId="1BC571BA" w14:textId="77777777" w:rsidR="00EC4193" w:rsidRPr="00E93F40" w:rsidRDefault="00EC4193" w:rsidP="00E93F40">
      <w:pPr>
        <w:spacing w:after="0" w:line="240" w:lineRule="auto"/>
        <w:jc w:val="both"/>
        <w:rPr>
          <w:rFonts w:ascii="Times New Roman" w:hAnsi="Times New Roman"/>
          <w:color w:val="000000" w:themeColor="text1"/>
          <w:sz w:val="16"/>
          <w:szCs w:val="16"/>
        </w:rPr>
      </w:pPr>
    </w:p>
    <w:p w14:paraId="2ECD1AA8"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D845A6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98BE9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декабря 1932 г. у Тухачевского состоялось совещание, на котором присутствовали А.Ф. Иоффе, А.А. Черкашов, профес</w:t>
      </w:r>
      <w:r w:rsidRPr="00E93F40">
        <w:rPr>
          <w:rFonts w:ascii="Times New Roman" w:hAnsi="Times New Roman"/>
          <w:color w:val="000000" w:themeColor="text1"/>
          <w:sz w:val="16"/>
          <w:szCs w:val="16"/>
        </w:rPr>
        <w:softHyphen/>
        <w:t>сор Шулейкин и ряд других специалистов. Речь шла о новей</w:t>
      </w:r>
      <w:r w:rsidRPr="00E93F40">
        <w:rPr>
          <w:rFonts w:ascii="Times New Roman" w:hAnsi="Times New Roman"/>
          <w:color w:val="000000" w:themeColor="text1"/>
          <w:sz w:val="16"/>
          <w:szCs w:val="16"/>
        </w:rPr>
        <w:softHyphen/>
        <w:t>шем оружии — установке «Лучи смерти», разработанной Иоффе. Институ рентгенологии проектировали две установ - 6 мегавольт и в 20 мегавольт. «Лучи смерти», по замыслу Иоффе, должны были смертельно поражать людей на 300-400 м от установки. По результатам совещания реввоенсовет постановил работы над «лучами смерти» Иоффе сосредоточить в Государственном физико-рентгенологическом институте. «Наблюдение за работами» поручено товарищу Орджоникидзе и товарищу Ягоде (от НКВД). Нарком К.Е. Ворошилов сделал специальный доклад о “лучах смерти» В.М. Молотову (10675).</w:t>
      </w:r>
    </w:p>
    <w:p w14:paraId="7782BD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B4D6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5FC64EA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5C42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 декабря 1931 г. было интервью Сталина германскому писателю Эмилю Людвигу,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601ED0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41B71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919C08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BFBC6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декабря 1932 года состоялся перелет трех кораблей ТБ-3 Москва - Смоленск. Эскадрилья готовилась к полетам на устранение девиации двумя кораблями. Общее расстояние 373 км было покрыто за 2 час. 30 мин. Одновременно с Центрального аэродрома по этому же маршруту взлетел Р-6, который покрыл указанное расстояние за 2 час. 35 мин. (3056,2-3).</w:t>
      </w:r>
    </w:p>
    <w:p w14:paraId="44F50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FB4D8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EDA2CA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2F0D39F" w14:textId="77777777" w:rsidR="002A4AA5" w:rsidRPr="00E93F40" w:rsidRDefault="002A4AA5"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декабря 1932 года вышло секретное постановление ЦК ВКП(б) и СНК Союза ССР от «О хлебозаготовках на Украине, Северном Кавказе и в Западной области», подписанное В.Молотовым и И.Сталиным, определяло, как именно надлежит наказать «организаторов саботажа хлебозаготовок» (в том числе и тех, у кого был партбилет) - высылка, арест, заключение в концлагерь на длительный срок, расстрел, - постановление «предлагало» ЦК КП(б)У и СНК Украины «обратить серьезное внимание на правильное проведение украинизации, устранить механическое проведение ее, изгнать петлюровские и другие буржуазно-националистические элементы из партийных и советских организаций, тщательно подбирать и воспитывать украинские большевистские кадры, обеспечить систематическое партийное руководство и контроль за проведением украинизации» (17264).</w:t>
      </w:r>
    </w:p>
    <w:p w14:paraId="0BF34E63" w14:textId="77777777" w:rsidR="002A4AA5" w:rsidRPr="00E93F40" w:rsidRDefault="002A4AA5" w:rsidP="00E93F40">
      <w:pPr>
        <w:autoSpaceDE w:val="0"/>
        <w:autoSpaceDN w:val="0"/>
        <w:adjustRightInd w:val="0"/>
        <w:spacing w:after="0" w:line="240" w:lineRule="auto"/>
        <w:jc w:val="both"/>
        <w:rPr>
          <w:rFonts w:ascii="Times New Roman" w:hAnsi="Times New Roman"/>
          <w:color w:val="000000" w:themeColor="text1"/>
          <w:sz w:val="16"/>
          <w:szCs w:val="16"/>
        </w:rPr>
      </w:pPr>
    </w:p>
    <w:p w14:paraId="1012D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 декабря 1932 в Краснодарском крае было подавлено казачье восстание в стц.Полтавская. Согласно сообщению Г.Ягоды И.Сталину, все население станицы - 9 187 человек погрузили в пять эшелонов и отправили на Урал. Часть была отправлена в лагеря (10687).</w:t>
      </w:r>
    </w:p>
    <w:p w14:paraId="3D695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3631C8"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32082C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146A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декабря 1932 Нач. ЦАГИ Харламов и нач. КОСОС А.Н.Т. писали письмо N 9944с нач. ВВС Алкснису:</w:t>
      </w:r>
    </w:p>
    <w:p w14:paraId="4F9B1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протокольного постановления заседания от 8 декабря с.г. ЦАГИ сообщает, что исходя из загрузки КО, ближайший срок выпуска самолета И-15 на аэродром для заводских испытаний намечен на 1 сентября 1933." (2303,3).</w:t>
      </w:r>
    </w:p>
    <w:p w14:paraId="0CEF7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26D1F2"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4151189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F2A27D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декабря 1932 ЦК КП(б)У утвердил перечень из 82 районов Украины, куда прекращались поставки промышленных товаров за срыв хлебозаготовок (4962).</w:t>
      </w:r>
    </w:p>
    <w:p w14:paraId="6F48012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622EE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9AD609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5FDF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декабря 1932 г. началась и продолжалась вплоть до апреля 1934 г. работы по ши</w:t>
      </w:r>
      <w:r w:rsidRPr="00E93F40">
        <w:rPr>
          <w:rFonts w:ascii="Times New Roman" w:hAnsi="Times New Roman"/>
          <w:color w:val="000000" w:themeColor="text1"/>
          <w:sz w:val="16"/>
          <w:szCs w:val="16"/>
        </w:rPr>
        <w:softHyphen/>
        <w:t>рокомасштабной программе испытаний с целью «изыскания и подбора наилучших форм ракетных снарядов» (11402).</w:t>
      </w:r>
    </w:p>
    <w:p w14:paraId="28042B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07E5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и 26 декабря 1932 г. провели стрельбу из установки модели 762, предназначенной для самолета Р-5 и смонтированной «на станке от ми</w:t>
      </w:r>
      <w:r w:rsidRPr="00E93F40">
        <w:rPr>
          <w:rFonts w:ascii="Times New Roman" w:hAnsi="Times New Roman"/>
          <w:color w:val="000000" w:themeColor="text1"/>
          <w:sz w:val="16"/>
          <w:szCs w:val="16"/>
        </w:rPr>
        <w:softHyphen/>
        <w:t>номета Г-Р» с углом возвышения 35°. В общей сложности отстреляли 22 снаряда. Из них сборщики подобрали лишь 10. Позже они обнаружили еще пять снарядов, координаты точек падения которых еще больше ухудшили и без того неудовлетворительный результат. Кстати, один из снарядов упал рядом с забором механического завода «Краснознаме</w:t>
      </w:r>
      <w:r w:rsidRPr="00E93F40">
        <w:rPr>
          <w:rFonts w:ascii="Times New Roman" w:hAnsi="Times New Roman"/>
          <w:color w:val="000000" w:themeColor="text1"/>
          <w:sz w:val="16"/>
          <w:szCs w:val="16"/>
        </w:rPr>
        <w:softHyphen/>
        <w:t>нец», где изготавливали корпуса артснарядов и авиабомб (11402).</w:t>
      </w:r>
    </w:p>
    <w:p w14:paraId="20F427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19DA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02A497E"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1522C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16 декабря 1932 года начальник ГАУ приказал предусмотреть в 1933 - 1934 годах создание нового контрольно-испытательного полигона взамен Тоцкого и Гроховецкого полигонов. Существовавшие к 1933 году артиллерийские полигоны (Ленинградский, Гроховецкий, Тоцкий и Павлоградский) находились в ведении ГАУ РККА, обслуживали в основном нужды армии и не могли справиться со всёвозрастающими объёмом испытаний промышленной продукции. В этих условиях в 1932 - 33 годах руководством РККА и ГАУ были приняты меры по созданию в системе ГАУ РККА новых полигонов. Специально предназначенных для испытаний боеприпасов в интересах промышленности. </w:t>
      </w:r>
    </w:p>
    <w:p w14:paraId="3877B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Пунктом 2 Постановления РВС от 22 июня 1933 года было предложено организовать контрольно-испытательный полигон для испытаний безоткатных орудий системы Л.В.Курчевского. Штатное расписание контрольно-испытательного полигона было утверждено председателем Реввоенсовета М.Н.Тухачевским в количестве 36 человек и вводилось в действие с 01 октября 1932 года. Президиум Московского облисполкома 10 июля 1932 года постановил отвести земельный участок под полигон вблизи ст. Лосиностровская в районе артсклада №36 площадью 42 кв.км., однако уже 29 ноября 1932 года он отменил это решение и создание полигона на ранее отведённом месте и вообще в 50 километровой зоне вокруг Москвы запретил.</w:t>
      </w:r>
    </w:p>
    <w:p w14:paraId="646FA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участок для вновь создаваемого полигона был выбран в Софринском районе Московской области, в 18 км от ст. Софрино к северу от села Путилово.</w:t>
      </w:r>
    </w:p>
    <w:p w14:paraId="2B94EF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январе 1933 года в село Путилово под командованием военного инженера 1 ранга В.П.Серебрякова прибыли первые сотрудники полигона: М.Ф.Тимофеев, В.Д.Иващенко, Ф.В.Колимбет, Н.А.Тураев, И.Ф.Бодров и др. Начались изыскательские и геодезические работы, затем расчистка трассы.</w:t>
      </w:r>
    </w:p>
    <w:p w14:paraId="0BB565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организации полигон назывался Московским контрольно-испытательным полигоном опытно-артиллерийским полигоном. Впервые он упоминается как Софринский в постановлении СНК СССР №1917-421с от 05 сентября 1933 года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4903F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полигона – Серебряков В.П.</w:t>
      </w:r>
    </w:p>
    <w:p w14:paraId="38DFB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политрук – Турукин Г.М.</w:t>
      </w:r>
    </w:p>
    <w:p w14:paraId="7A783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технической части - Кораблин Н.П.</w:t>
      </w:r>
    </w:p>
    <w:p w14:paraId="702AB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АХЧ – Лазарев Д.Е.</w:t>
      </w:r>
    </w:p>
    <w:p w14:paraId="319AD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1C6120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также Тураев Н.А, руководивший переброской имущества расформированного склада №51 к месту строительства нового полигона и Бодров И.Ф. (12071)</w:t>
      </w:r>
    </w:p>
    <w:p w14:paraId="5528E481" w14:textId="25A823BF"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701F98" w14:textId="4D4B04C4" w:rsidR="00F33C0A" w:rsidRPr="00E93F40" w:rsidRDefault="00F33C0A"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Армия:</w:t>
      </w:r>
    </w:p>
    <w:p w14:paraId="2BBB68B0" w14:textId="77777777" w:rsidR="00F33C0A" w:rsidRPr="00E93F40" w:rsidRDefault="00F33C0A"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42D317A4"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декабря 1932 г. начальник УММ РККА И.А. Халепский отправил Сталину обзор опытных учений механизированной бригады английской армии в сентябре 1932 г. (РГАСПИ Ф. 558. Оп. 11. Д. 431. Л. 130–145) Обзор сопровождался письмом Халепского с многозначительной припиской: «Зная Ваше исключительное внимание и интерес к этому вопросу, представляю настоящий материал с целью информации» (РГАСПИ Ф. 558. Оп. 11. Д. 431. Л. 130–145).</w:t>
      </w:r>
    </w:p>
    <w:p w14:paraId="373EBB01"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Материалы об учениях английской механизированной бригады армии включали сообщение И.А. Халепского и приложение, составленное аналитиками УММ на основе обзора английской прессы. Начальник УММ обращал внимание Сталина на то, что являло собой «исключительную ценность» – «действия английской механизированной бригады против стрелковой дивизии, заблаговременно занявшей оборонительную полосу и подготовившейся к обороне против действий мехчастей» (РГАСПИ. Ф. 558. Оп. 11. Д. 431. Л. 130). Но, подчеркнув фразу Халепского, «выводы сводятся к следующему», Сталин не выделил ни один из его выводов. Он предпочел сам ознакомиться с документом в полном виде. В первую очередь его внимание привлекла впечатляющая картина разгрома обороняющейся стороны: «В результате двухчасового действия танков, разгром дивизии получился полнейший. Пехота была деморализована, орудия подавлены, штабы разгромлены. Пулеметные гнезда не имели никакого воздействия. Также не могла сдержать наступления танков полевая артиллерия» (здесь и далее подчеркнуто Сталиным при прочтении – А.К.). А вот потери атакующей танковой бригады и выводы английского командования о причинах разгрома обороны никакого интереса не вызвали (РГАСПИ. Ф. 558. Оп. 11. Д. 431. Л. 137). Из анализа действий танковой бригады на поле боя Сталин остановился лишь на выводах, касающихся средних танков: «Взята под сомнение необходимость средних танков, так как с их задачами вполне справились бы и легкие. Средние, как более тихоходные, привели к ненужным потерям». Но в отличие от английских аналитиков он поставил под сомнение не необходимость самого типа среднего танка, но его тихоходность, считая недостаток скорости причиной больших потерь. Вопросу о причинах и уроках разгрома стрелковой дивизии в обзоре была отведена основная часть доклада. Сталин подчеркнул нецелесообразность применения полевой артиллерии против танков и совершенно не придал значения возможности применять полевую артиллерию для ведения кинжального огня и ценности использования минных заграждений. (Напомним, что именно эти способы борьбы с танками нашли самое широкое применение в период Великой Отечественной войны.) Судя по отметкам в тексте, И.В. Сталин видел в качестве основного средства борьбы с танками артиллерию специального назначения – мобильную, противотанковую. Как всегда, наиболее важная часть информации содержалась в заключительной части документа: «Ответ был ясен еще до начала маневров. Целью этих маневров было доказать, насколько несовершенна организация современной английской дивизии на определенных театрах военных действий в борьбе с современной армией, вооруженной броневыми машинами. Дивизия, заняв позицию по ее же выбору, не может противостоять механизированной бригаде. Во время движения шансы дивизии будут еще меньше. Выражаясь в цифрах, можно сказать, что 15–20 тысяч человек не могут противостоять 500–600» (РГАСПИ. Ф. 558. Оп. 11. Д. 431. Л. 137). Сталин целиком подчеркнул приведенную цитату. Выделил он и объяснение причин сохранения несовершенной структуры, предложенное УММ: «Этот… ответ [находится] в английском консерватизме. До сих пор основная доктрина, по традиции, заключалась в том, что вооруженные силы всей империи должны быть вылиты в одну форму» (РГАСПИ. Ф. 558. Оп. 11. Д. 431. Л. 137). Из всего документа данный раздел привлек наибольшее внимание Сталина. Судя по всему, отмеченный вывод совпадал с его представлениями о взаимосвязи между военным могуществом страны и качествами ее политической системы, а также его отношением к Англии, как стране с устаревшей моделью государственного управления (21522).</w:t>
      </w:r>
    </w:p>
    <w:p w14:paraId="7C98F9B0" w14:textId="77777777" w:rsidR="00F33C0A" w:rsidRPr="00E93F40" w:rsidRDefault="00F33C0A" w:rsidP="00E93F40">
      <w:pPr>
        <w:spacing w:after="0" w:line="240" w:lineRule="auto"/>
        <w:jc w:val="both"/>
        <w:rPr>
          <w:rFonts w:ascii="Times New Roman" w:hAnsi="Times New Roman"/>
          <w:color w:val="000000" w:themeColor="text1"/>
          <w:sz w:val="16"/>
          <w:szCs w:val="16"/>
        </w:rPr>
      </w:pPr>
    </w:p>
    <w:p w14:paraId="1CD31B6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9D01A6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911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декабря 1932 вышло Постановление Северо-Кавказского Крайкома ВКП(б): "... В виду того, что станица Полтавская, несмотря на все принятые меры, продолжает злостно саботировать все хозяйственные мероприятия Советской власти и явно идет на поводу у кулака, признать необходимым выслать всех жителей станицы из пределов края, за исключением доказавших на деле свою преданность советской власти в гражданской войне и в борьбе с кулачеством. Предрешить оставление в ст.Полтавской коммуны имени т.Фрунзе. Полтавскую партийную организацию, как явно неспособную бороться за решения партии, распустить. На следующем заседании Бюро Крайкома рассмотреть вопрос о дополнительном занесении на черную доску в целом станиц, продолжающих упорно саботировать хлебозаготовки и особо в отношении единоличников" (10687).</w:t>
      </w:r>
    </w:p>
    <w:p w14:paraId="2B244C08" w14:textId="6AE56E22"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BEEFD4" w14:textId="1C165A8B" w:rsidR="00F33C0A" w:rsidRPr="00E93F40" w:rsidRDefault="00F33C0A"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Внешняя политика:</w:t>
      </w:r>
    </w:p>
    <w:p w14:paraId="6CC51923" w14:textId="77777777" w:rsidR="00F33C0A" w:rsidRPr="00E93F40" w:rsidRDefault="00F33C0A"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346ED849"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декабря 1932 состоялось заседание ПБ (Протокол № 126)</w:t>
      </w:r>
    </w:p>
    <w:p w14:paraId="1B6C3852"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декабря 1932 опросом членов ПБ</w:t>
      </w:r>
    </w:p>
    <w:p w14:paraId="21B9666D"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48/20.- Вопрос РВС СССР.</w:t>
      </w:r>
    </w:p>
    <w:p w14:paraId="609B25C2"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Командировать в германскую академию следующих товарищей:</w:t>
      </w:r>
    </w:p>
    <w:p w14:paraId="3B046C3A"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Дубового, Ивана Наумовича, - пом.командующего воисками УЗО.</w:t>
      </w:r>
    </w:p>
    <w:p w14:paraId="33B8C45D"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Примакова, Виталия Марковича, - пом.коман</w:t>
      </w:r>
      <w:r w:rsidRPr="00E93F40">
        <w:rPr>
          <w:rFonts w:ascii="Times New Roman" w:hAnsi="Times New Roman"/>
          <w:color w:val="000000" w:themeColor="text1"/>
          <w:sz w:val="16"/>
          <w:szCs w:val="16"/>
        </w:rPr>
        <w:softHyphen/>
        <w:t>дующего войсками ПРИВО.</w:t>
      </w:r>
    </w:p>
    <w:p w14:paraId="5251EEB6"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Левандовскрго, Михаила Карловича, -коман</w:t>
      </w:r>
      <w:r w:rsidRPr="00E93F40">
        <w:rPr>
          <w:rFonts w:ascii="Times New Roman" w:hAnsi="Times New Roman"/>
          <w:color w:val="000000" w:themeColor="text1"/>
          <w:sz w:val="16"/>
          <w:szCs w:val="16"/>
        </w:rPr>
        <w:softHyphen/>
        <w:t>дующего войсками СИБВО.</w:t>
      </w:r>
    </w:p>
    <w:p w14:paraId="2C3FAE89"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Урицкого Семена Петровича, - командира XШ корпуса.</w:t>
      </w:r>
    </w:p>
    <w:p w14:paraId="22177F42"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ВЫПИСКИ преданы: т.т. Гамарнику, Крестинскому, Артузову (23071).</w:t>
      </w:r>
    </w:p>
    <w:p w14:paraId="7A79D75F" w14:textId="77777777" w:rsidR="00F33C0A" w:rsidRPr="00E93F40" w:rsidRDefault="00F33C0A" w:rsidP="00E93F40">
      <w:pPr>
        <w:spacing w:after="0" w:line="240" w:lineRule="auto"/>
        <w:jc w:val="both"/>
        <w:rPr>
          <w:rFonts w:ascii="Times New Roman" w:hAnsi="Times New Roman"/>
          <w:color w:val="000000" w:themeColor="text1"/>
          <w:sz w:val="16"/>
          <w:szCs w:val="16"/>
        </w:rPr>
      </w:pPr>
    </w:p>
    <w:p w14:paraId="2A858F9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60E1A48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B7112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декабря 1932 национальный совет в Литве заявил о приверженности фашизму (3907,174).</w:t>
      </w:r>
    </w:p>
    <w:p w14:paraId="4BE27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A9D3FA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D9FA14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FFA7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декабря 1932 года командир в/ч 1134 писал письмо N 23 начальнику вооружений ВВС в сопровождении Отчета о перелете трех кораблей ТБ-3 Москва - Смоленск 14 декабря 1932 года.</w:t>
      </w:r>
    </w:p>
    <w:p w14:paraId="07E6F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Эскадрилья готовилась к полетам на устранение девиации двумя кораблями.</w:t>
      </w:r>
    </w:p>
    <w:p w14:paraId="43F47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Общее расстояние 373 км было покрыто за 2 час. 30 мин.</w:t>
      </w:r>
    </w:p>
    <w:p w14:paraId="138BC2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Центрального аэродрома по этому же маршруту взлетел Р-6, который покрыл указанное расстояние за 2 час. 35 мин. (3056,2-3).</w:t>
      </w:r>
    </w:p>
    <w:p w14:paraId="73A5FC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C5B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декабря 1932 был утвержден макет ЛР-М34НР (7415, 16).</w:t>
      </w:r>
    </w:p>
    <w:p w14:paraId="5964A3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D62F9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7EBF5E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8CF662"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декабря 1932 года СНК принял постановление «Об организации при СНК СССР Главного управления Северного морского пути» (21176).</w:t>
      </w:r>
    </w:p>
    <w:p w14:paraId="2ED4D0BD" w14:textId="77777777" w:rsidR="00F33C0A" w:rsidRPr="00E93F40" w:rsidRDefault="00F33C0A" w:rsidP="00E93F40">
      <w:pPr>
        <w:spacing w:after="0" w:line="240" w:lineRule="auto"/>
        <w:jc w:val="both"/>
        <w:rPr>
          <w:rFonts w:ascii="Times New Roman" w:hAnsi="Times New Roman"/>
          <w:color w:val="000000" w:themeColor="text1"/>
          <w:sz w:val="16"/>
          <w:szCs w:val="16"/>
        </w:rPr>
      </w:pPr>
    </w:p>
    <w:p w14:paraId="3558B2E9"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17 декабря 1932 последовало постановление правительства страны, не очень отличавшееся по смыслу от решения Политбюро: «1. Образовать при Совете народных комиссаров Союза ССР Главное управление Северного морского пути. Поставить перед ГУСМП задачу проложить окончательно Северный морской путь от Белого моря до Берингова пролива, оборудовать этот путь, держать его в исправном состоянии и обеспечить безопасность плавания по этому пути. 2. Передать в ведение ГУСМП все существующие метеорологические станции и радиостанции, расположенные на берегу и островах Ледовитого океана» (20467).</w:t>
      </w:r>
    </w:p>
    <w:p w14:paraId="26D45CBA" w14:textId="77777777" w:rsidR="00F33C0A" w:rsidRPr="00E93F40" w:rsidRDefault="00F33C0A" w:rsidP="00E93F40">
      <w:pPr>
        <w:spacing w:after="0" w:line="240" w:lineRule="auto"/>
        <w:jc w:val="both"/>
        <w:rPr>
          <w:rFonts w:ascii="Times New Roman" w:hAnsi="Times New Roman"/>
          <w:color w:val="000000" w:themeColor="text1"/>
          <w:sz w:val="16"/>
          <w:szCs w:val="16"/>
        </w:rPr>
      </w:pPr>
    </w:p>
    <w:p w14:paraId="2244F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декабря 1932 были созданы ГУ СМП во главе с О.Ю.Шмидтом (7375) и управление полярной авиации Главсевморпути (62,187) во главе с М.И.Шевелевым (7375).</w:t>
      </w:r>
    </w:p>
    <w:p w14:paraId="4BB831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4255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декабря 1932 года в со</w:t>
      </w:r>
      <w:r w:rsidRPr="00E93F40">
        <w:rPr>
          <w:rFonts w:ascii="Times New Roman" w:hAnsi="Times New Roman"/>
          <w:color w:val="000000" w:themeColor="text1"/>
          <w:sz w:val="16"/>
          <w:szCs w:val="16"/>
        </w:rPr>
        <w:softHyphen/>
        <w:t>ставе Главного управления Северного морского пути (ГУСМП) при СНК СССР было организовано Управление полярной авиации (УПА) (История гражданской авиации. С. 83.) (11710,359).</w:t>
      </w:r>
    </w:p>
    <w:p w14:paraId="2FCE29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85A6C" w14:textId="77777777" w:rsidR="00A03E14" w:rsidRPr="00E93F40" w:rsidRDefault="00A03E14"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t xml:space="preserve">17 декабря </w:t>
      </w:r>
      <w:r w:rsidRPr="00E93F40">
        <w:rPr>
          <w:rFonts w:ascii="Times New Roman" w:hAnsi="Times New Roman"/>
          <w:color w:val="000000" w:themeColor="text1"/>
          <w:sz w:val="16"/>
          <w:szCs w:val="16"/>
        </w:rPr>
        <w:t>в 1932 году СНК принял постановление «Об организации при СНК СССР Главного управления Северного морского пути». Ныне Администрация Северного морского пути при Федеральном агентстве морского и речного транспорта Российской Федерации (14863).</w:t>
      </w:r>
    </w:p>
    <w:p w14:paraId="2851A592" w14:textId="77777777" w:rsidR="00A03E14" w:rsidRPr="00E93F40" w:rsidRDefault="00A03E14" w:rsidP="00E93F40">
      <w:pPr>
        <w:spacing w:after="0" w:line="240" w:lineRule="auto"/>
        <w:jc w:val="both"/>
        <w:rPr>
          <w:rStyle w:val="ucoz-forum-post"/>
          <w:rFonts w:ascii="Times New Roman" w:hAnsi="Times New Roman"/>
          <w:bCs/>
          <w:color w:val="000000" w:themeColor="text1"/>
          <w:sz w:val="16"/>
          <w:szCs w:val="16"/>
        </w:rPr>
      </w:pPr>
    </w:p>
    <w:p w14:paraId="5F499EB0" w14:textId="77777777" w:rsidR="00A03E14" w:rsidRPr="00E93F40" w:rsidRDefault="00A03E14"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t xml:space="preserve">17 декабря </w:t>
      </w:r>
      <w:r w:rsidRPr="00E93F40">
        <w:rPr>
          <w:rFonts w:ascii="Times New Roman" w:hAnsi="Times New Roman"/>
          <w:color w:val="000000" w:themeColor="text1"/>
          <w:sz w:val="16"/>
          <w:szCs w:val="16"/>
        </w:rPr>
        <w:t>в 1932 году в составе Главсевморпути СССР основана Полярная Авиация. Основная цель - воздушные перевозки в полярных областях СССР и обеспечение проводки судов в Северном Ледовитом океане. Это предприятие прославилось в 1934 спасением полярной экспедиции с затонувшего парохода “Челюскин”. Полярная Авиация успешно обслуживала северные районы до января 1960, когда была передана в состав Аэрофлота (14863).</w:t>
      </w:r>
    </w:p>
    <w:p w14:paraId="2659BF2C" w14:textId="77777777" w:rsidR="00A03E14" w:rsidRPr="00E93F40" w:rsidRDefault="00A03E14" w:rsidP="00E93F40">
      <w:pPr>
        <w:spacing w:after="0" w:line="240" w:lineRule="auto"/>
        <w:jc w:val="both"/>
        <w:rPr>
          <w:rFonts w:ascii="Times New Roman" w:hAnsi="Times New Roman"/>
          <w:color w:val="000000" w:themeColor="text1"/>
          <w:sz w:val="16"/>
          <w:szCs w:val="16"/>
        </w:rPr>
      </w:pPr>
    </w:p>
    <w:p w14:paraId="5C07D0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 декабря 1932 г. при СНК СССР обра</w:t>
      </w:r>
      <w:r w:rsidRPr="00E93F40">
        <w:rPr>
          <w:rFonts w:ascii="Times New Roman" w:hAnsi="Times New Roman"/>
          <w:color w:val="000000" w:themeColor="text1"/>
          <w:sz w:val="16"/>
          <w:szCs w:val="16"/>
        </w:rPr>
        <w:softHyphen/>
        <w:t>зовано Главное управление Северного морского пути (Главсевморпуть). Эта крупная организация (фактически на правах наркомата) взяла на себя функции упраздненного Комсеверопути, колымских и ленских экспедиций Дальстроя и сосредоточила в своих руках руководство всем комплексом хозяйственных, транспортных и на</w:t>
      </w:r>
      <w:r w:rsidRPr="00E93F40">
        <w:rPr>
          <w:rFonts w:ascii="Times New Roman" w:hAnsi="Times New Roman"/>
          <w:color w:val="000000" w:themeColor="text1"/>
          <w:sz w:val="16"/>
          <w:szCs w:val="16"/>
        </w:rPr>
        <w:softHyphen/>
        <w:t>учных мероприятий по освоению Севера. Первым начальником Главсевморпути стал О. Ю. Шмидт. Задача этой организации бы</w:t>
      </w:r>
      <w:r w:rsidRPr="00E93F40">
        <w:rPr>
          <w:rFonts w:ascii="Times New Roman" w:hAnsi="Times New Roman"/>
          <w:color w:val="000000" w:themeColor="text1"/>
          <w:sz w:val="16"/>
          <w:szCs w:val="16"/>
        </w:rPr>
        <w:softHyphen/>
        <w:t>ла — "проложить окончательно морской путь от Белого моря до Бе</w:t>
      </w:r>
      <w:r w:rsidRPr="00E93F40">
        <w:rPr>
          <w:rFonts w:ascii="Times New Roman" w:hAnsi="Times New Roman"/>
          <w:color w:val="000000" w:themeColor="text1"/>
          <w:sz w:val="16"/>
          <w:szCs w:val="16"/>
        </w:rPr>
        <w:softHyphen/>
        <w:t>рингова пролива, оборудовать этот путь, держать его в исправном состоянии и обеспечить безопасность плавания по этому пути". Главсевморпуть, наряду с наркоматами по военным и морским де</w:t>
      </w:r>
      <w:r w:rsidRPr="00E93F40">
        <w:rPr>
          <w:rFonts w:ascii="Times New Roman" w:hAnsi="Times New Roman"/>
          <w:color w:val="000000" w:themeColor="text1"/>
          <w:sz w:val="16"/>
          <w:szCs w:val="16"/>
        </w:rPr>
        <w:softHyphen/>
        <w:t>лам, водного транспорта, снабжения и ОГПУ, стал одним из глав</w:t>
      </w:r>
      <w:r w:rsidRPr="00E93F40">
        <w:rPr>
          <w:rFonts w:ascii="Times New Roman" w:hAnsi="Times New Roman"/>
          <w:color w:val="000000" w:themeColor="text1"/>
          <w:sz w:val="16"/>
          <w:szCs w:val="16"/>
        </w:rPr>
        <w:softHyphen/>
        <w:t>ных заказчиков судов в СССР и за границей (3898).</w:t>
      </w:r>
    </w:p>
    <w:p w14:paraId="32E13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AD17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17 декабря 1932 было принято постановление МНК об организации Главного управления Северного морского пути (главсевморпуть). </w:t>
      </w:r>
    </w:p>
    <w:p w14:paraId="5C695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Главсевморпуть (начальник О. Ю. Шмидт) являлся единым транспортно-хозяйственным органом, на который возлагались техническое оборудование СМП, организация регулярных транспортных перевозок и обеспечение безопасности плавания кораблей и судов. Трасса СМП от Ленинграда до Владивостока составляет 14 280 км, что в два раза короче других морских путей из Северной Европы на Дальний Восток. Освоение морей Арктики и организация регулярного судоходства способствовали быстрому экономическому и культурному развитию районов Крайнего Севера. </w:t>
      </w:r>
    </w:p>
    <w:p w14:paraId="4F4C8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1933 было проведено первое опытное плавание парохода (неледокольного типа) «Челюскин» по СМП. В 1934 ледорез «Ф. Литке» (с научной экспедицией на борту во главе с В. Ю. Визе) прошел по СМП с востока на запад. Это было первое безаварийное плавание, совершенное за одну навигацию. </w:t>
      </w:r>
    </w:p>
    <w:p w14:paraId="45BED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обеспечения нормального мореплавания по СМП были введены в строй новые ледоколы и ледокольные суда, организована ледовая разведка, налажен выпуск надежных морских карт, на побережье и островах Арктики началось строительство полярных портов. угольных баз, маяков и т. д. </w:t>
      </w:r>
    </w:p>
    <w:p w14:paraId="44C0B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1935 началась практическая эксплуатация СМП на всем его протяжении. Сквозные грузовые рейсы совершили пароходы «Ванцетти» и «Искра» (с запада на восток), «Анадырь» и «Сталинград» (с востока на запад). </w:t>
      </w:r>
    </w:p>
    <w:p w14:paraId="30734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1937 начались исследования в Центральной Арктике. 22 марта из Москвы на Север вылетела экспедиция на 4 четырехмоторных самолетах. 21 мая после воздушной ледовой разведки на флагманском самолете М. В. Водопьянова с о. Рудольфа в район Северного полюса направились начальник экспедиции О. Ю. Шмидт и персонал дрейфующей станции. Самолет совершил посадку на льдину вблизи полюса. 6.6 дрейфующая станция «Северный пллюс-1» в составе И. Д. Папанина (начальник), Э. Т. Кренкеля (радист), П. П. Ширшова и Е. К. Федорова начала свою работу. За 275 суток дрейфа «СП-1» прошла по генеральному направлению 1134 мили. Систематически проводились научные наблюдения в Центральной Арктике. 19 февраля 1938 в точке 70°54' с. ш. и 19°48' з. д. л/п «Таймыр» и «Мурман» сняли папанинцев со льдины (11712).</w:t>
      </w:r>
    </w:p>
    <w:p w14:paraId="514C2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6892E7"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17 декабря 1932 г. последовало историческое постанов</w:t>
      </w:r>
      <w:r w:rsidRPr="00142305">
        <w:rPr>
          <w:rStyle w:val="aff"/>
          <w:rFonts w:ascii="Times New Roman" w:hAnsi="Times New Roman" w:cs="Times New Roman"/>
          <w:color w:val="0070C0"/>
          <w:spacing w:val="0"/>
          <w:sz w:val="16"/>
          <w:szCs w:val="16"/>
        </w:rPr>
        <w:softHyphen/>
        <w:t>ление СНК СССР №1873 «Об организации при Совете На</w:t>
      </w:r>
      <w:r w:rsidRPr="00142305">
        <w:rPr>
          <w:rStyle w:val="aff"/>
          <w:rFonts w:ascii="Times New Roman" w:hAnsi="Times New Roman" w:cs="Times New Roman"/>
          <w:color w:val="0070C0"/>
          <w:spacing w:val="0"/>
          <w:sz w:val="16"/>
          <w:szCs w:val="16"/>
        </w:rPr>
        <w:softHyphen/>
        <w:t>родных Комиссаров СССР Главного управления Северного морского пути» (ГУСМП):</w:t>
      </w:r>
    </w:p>
    <w:p w14:paraId="25D893BE"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Образовать при Совете Народных Комиссаров Союза ССР Главное управление Северного морского пути.</w:t>
      </w:r>
    </w:p>
    <w:p w14:paraId="00A8A230"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Поставить перед Главным управлением Северного мор</w:t>
      </w:r>
      <w:r w:rsidRPr="00142305">
        <w:rPr>
          <w:rStyle w:val="aff"/>
          <w:rFonts w:ascii="Times New Roman" w:hAnsi="Times New Roman" w:cs="Times New Roman"/>
          <w:color w:val="0070C0"/>
          <w:spacing w:val="0"/>
          <w:sz w:val="16"/>
          <w:szCs w:val="16"/>
        </w:rPr>
        <w:softHyphen/>
        <w:t>ского пути задачу проложить окончательно Северный мор</w:t>
      </w:r>
      <w:r w:rsidRPr="00142305">
        <w:rPr>
          <w:rStyle w:val="aff"/>
          <w:rFonts w:ascii="Times New Roman" w:hAnsi="Times New Roman" w:cs="Times New Roman"/>
          <w:color w:val="0070C0"/>
          <w:spacing w:val="0"/>
          <w:sz w:val="16"/>
          <w:szCs w:val="16"/>
        </w:rPr>
        <w:softHyphen/>
        <w:t>ской путь от Белого моря до Берингова пролива, оборудовать этот путь, держать его в исправном состоянии и обеспечить безопасность плавания по этому пути.</w:t>
      </w:r>
    </w:p>
    <w:p w14:paraId="6062CDD3" w14:textId="77777777" w:rsidR="00716D79" w:rsidRPr="00142305" w:rsidRDefault="00716D79" w:rsidP="00716D79">
      <w:pPr>
        <w:widowControl w:val="0"/>
        <w:tabs>
          <w:tab w:val="left" w:pos="582"/>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Передать в ведение Главного управления Северного морского пути все существующие метеорологические стан</w:t>
      </w:r>
      <w:r w:rsidRPr="00142305">
        <w:rPr>
          <w:rStyle w:val="aff"/>
          <w:rFonts w:ascii="Times New Roman" w:hAnsi="Times New Roman" w:cs="Times New Roman"/>
          <w:color w:val="0070C0"/>
          <w:spacing w:val="0"/>
          <w:sz w:val="16"/>
          <w:szCs w:val="16"/>
        </w:rPr>
        <w:softHyphen/>
        <w:t>ции и радиостанции, расположенные на берегу и островах Ледовитого океана» (25653).</w:t>
      </w:r>
    </w:p>
    <w:p w14:paraId="497EEEF2" w14:textId="77777777" w:rsidR="00716D79" w:rsidRPr="00142305" w:rsidRDefault="00716D79" w:rsidP="00716D79">
      <w:pPr>
        <w:spacing w:after="0" w:line="240" w:lineRule="auto"/>
        <w:jc w:val="both"/>
        <w:rPr>
          <w:rFonts w:ascii="Times New Roman" w:hAnsi="Times New Roman"/>
          <w:color w:val="0070C0"/>
          <w:sz w:val="16"/>
          <w:szCs w:val="16"/>
        </w:rPr>
      </w:pPr>
    </w:p>
    <w:p w14:paraId="72426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17 и 23 декабря 1932. Из протокола заседания Политбюро № 127, 1932 г.</w:t>
      </w:r>
    </w:p>
    <w:p w14:paraId="785118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организации отдела сельского хозяйства при ЦК ВКП(б) </w:t>
      </w:r>
    </w:p>
    <w:p w14:paraId="5A1467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 Для наблюдения за работой земорганов как по линии совхозов, так и колхозов и МТС, а также для улучшения работы парторганизаций в деревне создать в составе аппарата ЦК ВКП(б) отдел сельского хозяйства. </w:t>
      </w:r>
    </w:p>
    <w:p w14:paraId="5BDE8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Заведующим отделом сельского хозяйства при ЦК ВКП(б) назначить т. Кагановича Л. М. (11652).</w:t>
      </w:r>
    </w:p>
    <w:p w14:paraId="03A2FB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A26E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Между 17 и 23 декабря 1932. Из протокола заседания Политбюро № 127, 1932 г.</w:t>
      </w:r>
    </w:p>
    <w:p w14:paraId="5873B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Дне ударника </w:t>
      </w:r>
    </w:p>
    <w:p w14:paraId="6AD0E9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Удовлетворить просьбу президиума ВЦСПС о проведении 1 января Дня ударника, с тем чтобы был заострен вопрос о поднятии производительности труда (11652).</w:t>
      </w:r>
    </w:p>
    <w:p w14:paraId="6B9F0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18D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Между 17 и 23 декабря 1932. Из протокола заседания Политбюро № 127, 1932 г.</w:t>
      </w:r>
    </w:p>
    <w:p w14:paraId="2A985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Контрольные цифры и бюджет 1-го квартала 1933 года </w:t>
      </w:r>
    </w:p>
    <w:p w14:paraId="32427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Принять следующие предложения тт. Гринько и Калмановича: </w:t>
      </w:r>
    </w:p>
    <w:p w14:paraId="3A17A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Реализовать в 1-м квартале не менее 17,5 млн декалитров спирта (11652).</w:t>
      </w:r>
    </w:p>
    <w:p w14:paraId="39870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A2301F" w14:textId="77777777" w:rsidR="00C32CA8"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51CBF12" w14:textId="77777777" w:rsidR="00C32CA8" w:rsidRPr="00E93F40" w:rsidRDefault="00C32CA8"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ADAFD03" w14:textId="0ED49883"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90-й стрелковой дивизии Ленинградского военного округа закончились испытания гранатометов Таубина, которые проходили с 8 декабря. Действие гранатометов безотказно. Гранатометы легко маскируются, «слабый звук выстрела». Отмечено лишь, что из-за большой глубины снега 90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давали отказ. Кстати, подобная картина будет в Финскую войну и у минометов.</w:t>
      </w:r>
    </w:p>
    <w:p w14:paraId="3E295660" w14:textId="42958219"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ноябре 1938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40,8-мм гранатомет испытывался на малом бронекатере типа «Д» Днепровской военной флотилии. Гранатомет был установлен на тумбе от пулемета ШВАК. Стрельба велась как на якоре, так и с ходу. Из заключения комиссии: «автоматика работала безотказно…, меткость удовлетворительная…, система при стрельбе не демаскируется благодаря слабому звуку выстрела и отсутствию пламени…, взрыватель работает безотказно как по воде, так и по грунту».</w:t>
      </w:r>
    </w:p>
    <w:p w14:paraId="52E36522" w14:textId="0F10034B"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Управление вооружений ВМФ 20 января 1939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заключило договор с ОКБ-16 на изготовление 40,8-мм и 60-мм корабельных гранатометов, но вскоре разорвало договор без объяснения причин.</w:t>
      </w:r>
    </w:p>
    <w:p w14:paraId="78ABB565"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Гранатомет Таубина испытывался и в частях НКВД на Дальнем Востоке, где он также получил положительные отзывы (12705).</w:t>
      </w:r>
    </w:p>
    <w:p w14:paraId="6E5AE10B" w14:textId="77777777" w:rsidR="00C32CA8" w:rsidRPr="00E93F40" w:rsidRDefault="00C32CA8" w:rsidP="00E93F40">
      <w:pPr>
        <w:spacing w:after="0" w:line="240" w:lineRule="auto"/>
        <w:jc w:val="both"/>
        <w:rPr>
          <w:rFonts w:ascii="Times New Roman" w:hAnsi="Times New Roman"/>
          <w:color w:val="000000" w:themeColor="text1"/>
          <w:sz w:val="16"/>
          <w:szCs w:val="16"/>
        </w:rPr>
      </w:pPr>
    </w:p>
    <w:p w14:paraId="2F785EDB" w14:textId="77777777" w:rsidR="00A03E14" w:rsidRPr="00E93F40" w:rsidRDefault="00A03E14" w:rsidP="00E93F40">
      <w:pPr>
        <w:spacing w:after="0" w:line="240" w:lineRule="auto"/>
        <w:jc w:val="both"/>
        <w:rPr>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t xml:space="preserve">18 декабря </w:t>
      </w:r>
      <w:r w:rsidRPr="00E93F40">
        <w:rPr>
          <w:rFonts w:ascii="Times New Roman" w:hAnsi="Times New Roman"/>
          <w:color w:val="000000" w:themeColor="text1"/>
          <w:sz w:val="16"/>
          <w:szCs w:val="16"/>
        </w:rPr>
        <w:t>в 1932 году вступил в действие Козельский механический завод (14864).</w:t>
      </w:r>
    </w:p>
    <w:p w14:paraId="37DBB4C7" w14:textId="77777777" w:rsidR="00A03E14" w:rsidRPr="00E93F40" w:rsidRDefault="00A03E14" w:rsidP="00E93F40">
      <w:pPr>
        <w:spacing w:after="0" w:line="240" w:lineRule="auto"/>
        <w:jc w:val="both"/>
        <w:rPr>
          <w:rFonts w:ascii="Times New Roman" w:hAnsi="Times New Roman"/>
          <w:color w:val="000000" w:themeColor="text1"/>
          <w:sz w:val="16"/>
          <w:szCs w:val="16"/>
        </w:rPr>
      </w:pPr>
    </w:p>
    <w:p w14:paraId="02B2F92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270C41B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C425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 декабря 1932 во Франции правительство Эррио ушло в отставку после голосования в Парламенте о выплате долга США и новое правительство сформировал Ж.Поль-Бенкур (3907,174).</w:t>
      </w:r>
    </w:p>
    <w:p w14:paraId="37C90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D25A7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1E59CA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0B6F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декабря 1932 П.О.С. подписал рабочие чертежи общего вида АНТ-31 (И-14) (4020,10).</w:t>
      </w:r>
    </w:p>
    <w:p w14:paraId="46B0E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5142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декабря 1932 года начальник 2 сектора НИИ ВВС писал письмо начальнику ВВС Алкснису, начальнику ГУАП Баранову</w:t>
      </w:r>
    </w:p>
    <w:p w14:paraId="47639E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 Опытное гидросамолетостроение у нас идет не ладно. ЦАГИ за время с ноября 1930 года, выпустив МДР-2 2М-17 до сего времени ничего недал и примерно, до конца 1933 года по гидросамолетам не даст. Объясняется это конечно не тем, что в плане стоят только крупные объекты (МК1, МДР3 бис), требующие большого времени для постройки.</w:t>
      </w:r>
    </w:p>
    <w:p w14:paraId="53CDD1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тем, что гидросамолетостроение в опытной промышленности ГУАП не занимает того места и внимания, какое оно занимает в нашей системе вооружения.</w:t>
      </w:r>
    </w:p>
    <w:p w14:paraId="19E2D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работает вторая бригада ЦАГИ и какова ее производственная база: ни то, ни другое неудовлетворительно.</w:t>
      </w:r>
    </w:p>
    <w:p w14:paraId="2F63B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организации, вернее концентрации распыленных конструкторских сил имелась цель создать более мощную единицу. На деле получилось:</w:t>
      </w:r>
    </w:p>
    <w:p w14:paraId="1EF3A20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Постоянная перетасовка в ЦАГИ планов проектирования и постройки гидросамолетов в связи с загрузкой его сухопутными самолетами.</w:t>
      </w:r>
    </w:p>
    <w:p w14:paraId="039B686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"Зажим" гидросамолетов построенных вне ЦАГИ (МДР3, особенно же МБР-2), которые требовали и (пока еще не поздно) требуют естественной и быстрой доработки для пуска их в серию</w:t>
      </w:r>
    </w:p>
    <w:p w14:paraId="7C01991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"Монополия" ЦАГИ на постройку опытных гидросамолетов. Эта монополия оказалась вредной для гидросамолетостроения.</w:t>
      </w:r>
    </w:p>
    <w:p w14:paraId="645B582E"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Боязнь ЦАГИ деревянных и стальных гидросамолетов и нежелание переходить к амфибиям, как к неизвестным для ЦАГИ новшествам.</w:t>
      </w:r>
    </w:p>
    <w:p w14:paraId="1F52BF8B"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Плохая производственная база гидросамолетостроения, так как вопросы гидроавиации в ЗОКе на задворках (макет МК-1 строится уже в течении 4 месяцев).</w:t>
      </w:r>
    </w:p>
    <w:p w14:paraId="448B016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Распыление ведущих конструкторов-гидросамолетчиков, которые начали "выделяться" из ЦАГИ (Четвериков, наровят Самсонов и Добровольский).</w:t>
      </w:r>
    </w:p>
    <w:p w14:paraId="23C09D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Небольшой в сравнении с сухопутным самолетостроением, но вполне определенный объем сил и средств не подверженный частым изменениям должен быть гидроавиации твердо выделен.</w:t>
      </w:r>
    </w:p>
    <w:p w14:paraId="2F658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Предлагаю Вашему решению:</w:t>
      </w:r>
    </w:p>
    <w:p w14:paraId="65D3071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Выделить опытное гидросамолетостроение в организацию имеющую самостоятельную производственную и научную базу (гидроканал, испытательная морская станция).</w:t>
      </w:r>
    </w:p>
    <w:p w14:paraId="6BC3DE4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Оставить в плане ЦАГИ имеющиеся сейчас у него гидросамолеты МК1 и МДР3 бис.</w:t>
      </w:r>
    </w:p>
    <w:p w14:paraId="54347E8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в план организуемой единицы гидросамолеты: МБР2 амфибия, С62 бис амфибия, МБР5, КР2 (7486, 6-8).</w:t>
      </w:r>
    </w:p>
    <w:p w14:paraId="7CE7B8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AA22B5" w14:textId="77777777" w:rsidR="00A03E14"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A027276" w14:textId="77777777" w:rsidR="00A03E14" w:rsidRPr="00E93F40" w:rsidRDefault="00A03E1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EE0A9C" w14:textId="77777777" w:rsidR="00A03E14" w:rsidRPr="00E93F40" w:rsidRDefault="00A03E14"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19 декабря</w:t>
      </w:r>
      <w:r w:rsidRPr="00E93F40">
        <w:rPr>
          <w:rFonts w:ascii="Times New Roman" w:hAnsi="Times New Roman"/>
          <w:color w:val="000000" w:themeColor="text1"/>
          <w:sz w:val="16"/>
          <w:szCs w:val="16"/>
        </w:rPr>
        <w:t xml:space="preserve"> в 1932 году введен в строй Московский станкостроительный завод имени Серго Орджоникидзе. Ныне ОАО "Московский станкостроительный завод имени Серго Орджоникидзе"</w:t>
      </w:r>
    </w:p>
    <w:p w14:paraId="2919D253" w14:textId="77777777" w:rsidR="00A03E14" w:rsidRPr="00E93F40" w:rsidRDefault="00A03E14" w:rsidP="00E93F40">
      <w:pPr>
        <w:spacing w:after="0" w:line="240" w:lineRule="auto"/>
        <w:jc w:val="both"/>
        <w:rPr>
          <w:rFonts w:ascii="Times New Roman" w:hAnsi="Times New Roman"/>
          <w:color w:val="000000" w:themeColor="text1"/>
          <w:sz w:val="16"/>
          <w:szCs w:val="16"/>
        </w:rPr>
      </w:pPr>
    </w:p>
    <w:p w14:paraId="2DEB9343" w14:textId="77777777" w:rsidR="00F33C0A" w:rsidRPr="00E93F40" w:rsidRDefault="00F33C0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декабря 1932 года был введен в строй Московский станкостроительный завод им. Серго Орджоникидзе (21176).</w:t>
      </w:r>
    </w:p>
    <w:p w14:paraId="417D3107" w14:textId="77777777" w:rsidR="00F33C0A" w:rsidRPr="00E93F40" w:rsidRDefault="00F33C0A" w:rsidP="00E93F40">
      <w:pPr>
        <w:spacing w:after="0" w:line="240" w:lineRule="auto"/>
        <w:jc w:val="both"/>
        <w:rPr>
          <w:rFonts w:ascii="Times New Roman" w:hAnsi="Times New Roman"/>
          <w:color w:val="000000" w:themeColor="text1"/>
          <w:sz w:val="16"/>
          <w:szCs w:val="16"/>
        </w:rPr>
      </w:pPr>
    </w:p>
    <w:p w14:paraId="5EA670D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244259A"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B6346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декабря 1932 было организовано ГУ Севморпути при СНК СССР, которому подчинили и полярную авиацию (356,416).</w:t>
      </w:r>
    </w:p>
    <w:p w14:paraId="2A97A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F3C315" w14:textId="77777777" w:rsidR="00A03E14" w:rsidRPr="00E93F40" w:rsidRDefault="00A03E14"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19 декабря</w:t>
      </w:r>
      <w:r w:rsidRPr="00E93F40">
        <w:rPr>
          <w:rFonts w:ascii="Times New Roman" w:hAnsi="Times New Roman"/>
          <w:color w:val="000000" w:themeColor="text1"/>
          <w:sz w:val="16"/>
          <w:szCs w:val="16"/>
        </w:rPr>
        <w:t xml:space="preserve"> в 1932 году Центральный совет Осоавиахима утвердил значок «Ворошиловский стрелок» I и II ступеней. До начала Великой Отечественной Войны в стране было подготовлено более 6 млн. ворошиловских стрелков (14865).</w:t>
      </w:r>
    </w:p>
    <w:p w14:paraId="438FCBE7" w14:textId="77777777" w:rsidR="00A03E14" w:rsidRPr="00E93F40" w:rsidRDefault="00A03E14" w:rsidP="00E93F40">
      <w:pPr>
        <w:spacing w:after="0" w:line="240" w:lineRule="auto"/>
        <w:jc w:val="both"/>
        <w:rPr>
          <w:rFonts w:ascii="Times New Roman" w:hAnsi="Times New Roman"/>
          <w:color w:val="000000" w:themeColor="text1"/>
          <w:sz w:val="16"/>
          <w:szCs w:val="16"/>
        </w:rPr>
      </w:pPr>
    </w:p>
    <w:p w14:paraId="7E8E3D7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31DA368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B69FF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19 — 20 декабря 1932 г. </w:t>
      </w:r>
      <w:r w:rsidR="003D157F" w:rsidRPr="00E93F40">
        <w:rPr>
          <w:rFonts w:ascii="Times New Roman" w:hAnsi="Times New Roman"/>
          <w:color w:val="000000" w:themeColor="text1"/>
          <w:sz w:val="16"/>
          <w:szCs w:val="16"/>
        </w:rPr>
        <w:t>Литвинов</w:t>
      </w:r>
      <w:r w:rsidRPr="00E93F40">
        <w:rPr>
          <w:rFonts w:ascii="Times New Roman" w:hAnsi="Times New Roman"/>
          <w:color w:val="000000" w:themeColor="text1"/>
          <w:sz w:val="16"/>
          <w:szCs w:val="16"/>
        </w:rPr>
        <w:t xml:space="preserve"> встречался с райхсканцлером Шляйхером, а также министром иностранных дел К. фон Нойратом. 19 декабря Шляйхер заверил Литвинова в «своей приверженности германо-русской дружбе в политических и, как он именно сказал, в военных связях, с чем Литвинов живо согласился». Намекая на германских коммунистов, Шляйхер указал на их противоречивое поведение: с одной стороны, они делают вид, что борются против Версальского договора, с другой — они противодействуют любому усилению военной мощи Германии и разглашают это за границей. Литвинов по этому поводу сказал, что он считал бы вполне естественным, если бы с коммунистами в Германии обращались таким же образом, как в России имеют обыкновение обращаться с врагами государства. (sic!) Он особо отметил, что «нынешнее германское правительство более надежно и твердо, чем его предшественник. В то время как советское правительство с недоверием относилось к райхсканцлеру Папену, это не имеет место по отношению к правительству Шляйхера. Советское правительство будет неуклонно придерживаться германо-русской дружбы. Пакты о ненападении с Польшей и Францией никоим образом не направлены против Германии» (ADAP,Ser.B,Bd.XXI.S.481-482) (11784).</w:t>
      </w:r>
    </w:p>
    <w:p w14:paraId="4C760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42C84A" w14:textId="66D62CC0"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19–20 декабря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Литвинов, который участвовавший в работе Женевской конференции, приехал в Берлин и встречался с райхсканцлером Шляйхером, а также министром иностранных дел К. фон Нойратом. 19 декабря Шляйхер заверил Литвинова в «своей приверженности германо-русской дружбе в политических и, как он именно сказал, в военных связях, с чем Литвинов живо согласился». Намекая на германских коммунистов, Шляйхер указал на их противоречивое поведение: с одной стороны, они делают вид, что борются против Версальского договора, с другой — они противодействуют любому усилению военной мощи Германии и разглашают это за границей. Литвинов по этому поводу сказал, что он считал бы вполне естественным, если бы с коммунистами в Германии обращались таким же образом, как в России имеют обыкновение обращаться с врагами государства. (sic!) Он особо отметил, что «нынешнее германское правительство более надежно и твердо, чем его предшественник. В то время как советское правительство с недоверием относилось к райхсканцлеру Папену, это не имеет место по отношению к правительству Шляйхера. Советское правительство будет неуклонно придерживаться германо-русской дружбы. Пакты о ненападении с Польшей и Францией никоим образом не направлены против Германии».</w:t>
      </w:r>
    </w:p>
    <w:p w14:paraId="650AA42F"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беседе 20 декабря Шляйхер в свою очередь также заверил Литвинова, что «он в качестве канцлера является гарантией сохранения прежних советско-германских отношений, поскольку это зависит от Германии. Он, как и весь рейхсвер, иных отношений с нами не представляет себе». Литвинов и Шляйхер подробно беседовали «о женевских делах, а затем о рейхсвере». Почти весь этот же круг вопросов обсуждался и в беседе Литвинова с Нойратом (18265).</w:t>
      </w:r>
    </w:p>
    <w:p w14:paraId="64498F17" w14:textId="77777777" w:rsidR="008C3670" w:rsidRPr="00E93F40" w:rsidRDefault="008C3670" w:rsidP="00E93F40">
      <w:pPr>
        <w:spacing w:after="0" w:line="240" w:lineRule="auto"/>
        <w:jc w:val="both"/>
        <w:rPr>
          <w:rFonts w:ascii="Times New Roman" w:hAnsi="Times New Roman"/>
          <w:color w:val="000000" w:themeColor="text1"/>
          <w:sz w:val="16"/>
          <w:szCs w:val="16"/>
        </w:rPr>
      </w:pPr>
    </w:p>
    <w:p w14:paraId="75035465" w14:textId="77777777" w:rsidR="003D157F" w:rsidRPr="00E93F40" w:rsidRDefault="003D157F"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 декабря 1932 года</w:t>
      </w:r>
      <w:r w:rsidRPr="00E93F40">
        <w:rPr>
          <w:rFonts w:ascii="Times New Roman" w:hAnsi="Times New Roman"/>
          <w:bCs/>
          <w:color w:val="000000" w:themeColor="text1"/>
          <w:sz w:val="16"/>
          <w:szCs w:val="16"/>
        </w:rPr>
        <w:t xml:space="preserve"> нарком иностранных дел СССР Литвинов посещает нового рейхсканцлера - убежденного русофила, генерала Курта фон Шлейхера. Шлейхер открывает встречу заявлением о «приверженности германо-российской дружбе в политической и, особенно, военной сфере». Литвинов, в свою очередь, комментируя недавно заключенный советско-польский пакт о ненападении, делает замечательное заявление: «Если будет жесткое противостояние, то жизненная необходимость государства проявится сильнее, чем подобные пакты. Эта жизненная необходимость для России приведет ее на сторону Германии» (17325).</w:t>
      </w:r>
    </w:p>
    <w:p w14:paraId="1BC9AE3D" w14:textId="77777777" w:rsidR="003D157F" w:rsidRPr="00E93F40" w:rsidRDefault="003D157F" w:rsidP="00E93F40">
      <w:pPr>
        <w:autoSpaceDE w:val="0"/>
        <w:autoSpaceDN w:val="0"/>
        <w:adjustRightInd w:val="0"/>
        <w:spacing w:after="0" w:line="240" w:lineRule="auto"/>
        <w:jc w:val="both"/>
        <w:rPr>
          <w:rFonts w:ascii="Times New Roman" w:hAnsi="Times New Roman"/>
          <w:color w:val="000000" w:themeColor="text1"/>
          <w:sz w:val="16"/>
          <w:szCs w:val="16"/>
        </w:rPr>
      </w:pPr>
    </w:p>
    <w:p w14:paraId="232E244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C3210D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7BC8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декабря 1932 необходимую документацию по установке добавочных баков на 300 Р-5 передали Самолетному тресту.</w:t>
      </w:r>
    </w:p>
    <w:p w14:paraId="461A7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 на баки и арматуру получил завод № 18 в Воронеже. Из-за большой загрузки промышленности заказ приняли на 1933 г., но из-за нехватки листового металла выполнили лишь в начале следующего года. Самолеты с увеличенным запасом топлива поступили в основном вдаль- неразведывательные эскадрильи.</w:t>
      </w:r>
    </w:p>
    <w:p w14:paraId="000817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Проводились работы по дальнейшему наращиванию запаса горючего. По расчетам НАГИ, его можно было довести максимально до 1300 кг. При этом полетный вес машины получался около 4000 кг. При таком весе самолет должен был разбегаться 600 м. Вот это и сочли главным ограничением - аэродромов больших размеров в стране имелось немного.</w:t>
      </w:r>
    </w:p>
    <w:p w14:paraId="516F3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Исходя из этой цифры, на заводе № 39 выполнили проект модификации Р-5 с увеличенными баками в центроплане объемом 700 л. Вместе с дополнительными баками в фюзеляже они как раз обеспечивали запас в 1300 кг. Если на бомбардировщике подвесить 100 кг бомб, взять два пулемета ДА, от радиостанции оставить только приемник и урезать список электрооборудования, на этом бензине биплан мог пролететь 2900 км.</w:t>
      </w:r>
    </w:p>
    <w:p w14:paraId="32907B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 39 в мае 1933 г. по своему проекту переоборудовали один самолет. УВВС распорядилось с привлечением завода № 1 сделать еще четыре такие же машины (но под один пулемет ДА в задней кабине и с дополнительными маслобаками), и сдать все пять в НИИ ВВС. На них хотели проверить возможность осуществить рекордный перелет. Но данных об этом нет.</w:t>
      </w:r>
    </w:p>
    <w:p w14:paraId="6BEAA5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Рассматривались также варианты с подвесными баками, о которых толком ничего не известно (12034).</w:t>
      </w:r>
    </w:p>
    <w:p w14:paraId="23D01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4F4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декабря 1932 года президент Всеукраинской академии наук академик О. Богомолец писал письмо № 126 в Комиссию обороны, копия наркому тяжелой промышленности</w:t>
      </w:r>
    </w:p>
    <w:p w14:paraId="361780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Комиссии обороны от 4 июля 1932 года (параграф 1 (Пе) и распоряжением НКТП от 5 октября 1932 года откомандирован в ЦИАМ проф. Киевского машиностроительного института С.В. Серенсен. С. Серенсен является основным работником Всеукраинской академии наук, занимая должность ст. научного сотрудника и исполняя обязанности директора Институту строительной механики Академии. Являясь единственным высококвалифицированным специалистом по вопросам прочности в машиностроении Академии, руководя всей отраслью этой работы в Институте строительной механики Академии, имеющей важное промышленное и научно-принципиальное значение, С. Серенсен не может быть заменен по этой работе, а также по руководству всем Институтом другим работником. В Институте сосредоточено значительное импортное оборудование, подобранной к вышеуказанной отрасли исследовательской работы, это оборудование без квалифицированного руководства останется почти неиспользованным. Кроме того, постановлением Всеукраинского Центрального исполнительного комитета от 3 июля 1932 года Институт строительной механики должен быть значительно развернут для чего необходимо организационное руководство С. Серенсена, как одного из первоначальных организаторов Института и исполняющего обязанности директора после недавней смерти директора-академика.</w:t>
      </w:r>
    </w:p>
    <w:p w14:paraId="3EA2A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основании вышеприведенного Президиум Всеукраинской академии наук возражает против переброски С.В. Серенсена в ЦИАМ, которая не была согласована с Академией и Наркомроссом УССР и просит пересмотреть этот вопрос учтя значение работы С. Серенсена в Академии наук (основание: постанволение Президиума Всеукраинской академии наук от 14 декабря 1932 года, параграф 11) (3530,49).</w:t>
      </w:r>
    </w:p>
    <w:p w14:paraId="0157F5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74469E"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декабря 1932 г. Ильин – начальник ГДЛ писал:</w:t>
      </w:r>
    </w:p>
    <w:p w14:paraId="55C5E2CE"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Докладная записка</w:t>
      </w:r>
    </w:p>
    <w:p w14:paraId="239AE226"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ГAУ по заявке ГДЛ от 1931 г. выписано фотооборудование. Это оборудование из-за границы пришло больше месяца тому назад, до сего времени не выдается Лаборатории.</w:t>
      </w:r>
    </w:p>
    <w:p w14:paraId="07E29DC8"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виду того, что это оборудование крайне срочно необходимо Лаборатории прошу Вашего разрешения нач-ку ГАУ о немедленной выдаче прибывшего оборудования для Лаборатории…» (12702).</w:t>
      </w:r>
    </w:p>
    <w:p w14:paraId="1BCBAA32" w14:textId="77777777" w:rsidR="00C32CA8" w:rsidRPr="00E93F40" w:rsidRDefault="00C32CA8" w:rsidP="00E93F40">
      <w:pPr>
        <w:spacing w:after="0" w:line="240" w:lineRule="auto"/>
        <w:jc w:val="both"/>
        <w:rPr>
          <w:rFonts w:ascii="Times New Roman" w:eastAsia="TimesNewRoman" w:hAnsi="Times New Roman"/>
          <w:color w:val="000000" w:themeColor="text1"/>
          <w:sz w:val="16"/>
          <w:szCs w:val="16"/>
        </w:rPr>
      </w:pPr>
    </w:p>
    <w:p w14:paraId="7FEB1354" w14:textId="77777777" w:rsidR="00F33C0A" w:rsidRPr="00E93F40" w:rsidRDefault="00F33C0A"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85174B9" w14:textId="77777777" w:rsidR="00F33C0A" w:rsidRPr="00E93F40" w:rsidRDefault="00F33C0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E651F45" w14:textId="77777777" w:rsidR="00F33C0A" w:rsidRPr="00E93F40" w:rsidRDefault="00F33C0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20 декабря 1932 года вышло еще одно постановление Совнаркома СССР:</w:t>
      </w:r>
    </w:p>
    <w:p w14:paraId="386D909B" w14:textId="5C438AB1" w:rsidR="00F33C0A" w:rsidRPr="00E93F40" w:rsidRDefault="00F33C0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Утвердить передачу в ведение Главного управления Северного морского пути следующих метеорологических станций и радиостанций. Поручить Главсевморпути развить и реконструировать сеть метеорологических станций и радиостанций таким образом, чтобы в 1933 году была закончена работа первой очереди, необходимой для открытия плавания по Северному морскому пути. В течение 1933 года должны быть учреждены новые гидрометеостанции на острове Белом и в устье Колымы, а также совершенно заново построена станция на мысе Северном, проведена реконструкция остальных станций. Всего на старых и новых станциях должны быть установлены 7 новых длинноволновых установок и б новых коротковолновых установок (не менее 250 ватт).</w:t>
      </w:r>
    </w:p>
    <w:p w14:paraId="5E514B92" w14:textId="17131386" w:rsidR="00F33C0A" w:rsidRPr="00E93F40" w:rsidRDefault="00F33C0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Передать в ведение ГУСМП Арктический институт с тем, чтобы исследование Северного морского пути было основным содержанием его научной работы.</w:t>
      </w:r>
    </w:p>
    <w:p w14:paraId="6FCD01E5" w14:textId="37C2B421" w:rsidR="00F33C0A" w:rsidRPr="00E93F40" w:rsidRDefault="00F33C0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Передать в ГУСМП ледоколы (в действительности ледокольные пароходы) «Седов», «Сибиряков», «Таймыр» и подлежащий поднятию ледокол «Садко».</w:t>
      </w:r>
    </w:p>
    <w:p w14:paraId="26CE9093" w14:textId="66E1F130" w:rsidR="00F33C0A" w:rsidRPr="00E93F40" w:rsidRDefault="00F33C0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4.</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Предрешить передачу ГУСМП необходимых судов не ледокольного типа для обследования берегов, организации каботажного плавания, погрузочно-разгрузочных работ.</w:t>
      </w:r>
    </w:p>
    <w:p w14:paraId="5D8D1DE9" w14:textId="51969EFB" w:rsidR="00F33C0A" w:rsidRPr="00E93F40" w:rsidRDefault="00F33C0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Поручить ГУСМП: а) образовать в необходимых местах угольные базы и произвести элементарное портовое оборудование, в первую очередь на о. Диксон, в б. Тикси (устье Лены) и в устье Колымы; б) образовать в необходимых местах самостоятельные базы для постоянного наблюдения за льдом и содействия проводки судов, причем в 1933 году организовать также базы, в составе двух самолетов каждая, на о. Диксон, м. Челюскин и м. Северном; в) в двухмесячный срок разработать тип ледоколов, необходимых для Северного морского пути; г) разработать план аэрофотосъемки в течение 1–2 лет побережья Ледовитого океана»</w:t>
      </w:r>
    </w:p>
    <w:p w14:paraId="09C14A91" w14:textId="77777777" w:rsidR="00F33C0A" w:rsidRPr="00E93F40" w:rsidRDefault="00F33C0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hAnsi="Times New Roman"/>
          <w:color w:val="000000" w:themeColor="text1"/>
          <w:sz w:val="16"/>
          <w:szCs w:val="16"/>
          <w:shd w:val="clear" w:color="auto" w:fill="FFFFFF"/>
        </w:rPr>
        <w:t>в постановление от 20 декабря, хотя и в самый его конец, поместили три пункта, установивших для ГУСМП и решение хозяйственных задач. Ему предписывалось в следующем году совместно с «Комсеверопуть» провести очередную так называемую Ленскую операцию — доставку грузов из Архангельска и Владивостока в Тикси. Организовать аналогичный по характеру рейс из Владивостока в устье Колымы. Наконец, вместе с Союзгеологоразведкой приступить к поиску месторождений олова, вольфрама, молибдена на Таймыре и Северной Земле, промышленных запасов угля — в районах, прилегающих к побережью Ледовитого океана</w:t>
      </w:r>
      <w:r w:rsidRPr="00E93F40">
        <w:rPr>
          <w:rFonts w:ascii="Times New Roman" w:eastAsia="Times New Roman" w:hAnsi="Times New Roman"/>
          <w:color w:val="000000" w:themeColor="text1"/>
          <w:sz w:val="16"/>
          <w:szCs w:val="16"/>
          <w:lang w:eastAsia="ru-RU"/>
        </w:rPr>
        <w:t xml:space="preserve"> (20467).</w:t>
      </w:r>
    </w:p>
    <w:p w14:paraId="575644C3" w14:textId="77777777" w:rsidR="00F33C0A" w:rsidRPr="00E93F40" w:rsidRDefault="00F33C0A" w:rsidP="00E93F40">
      <w:pPr>
        <w:spacing w:after="0" w:line="240" w:lineRule="auto"/>
        <w:jc w:val="both"/>
        <w:rPr>
          <w:rFonts w:ascii="Times New Roman" w:hAnsi="Times New Roman"/>
          <w:color w:val="000000" w:themeColor="text1"/>
          <w:sz w:val="16"/>
          <w:szCs w:val="16"/>
        </w:rPr>
      </w:pPr>
    </w:p>
    <w:p w14:paraId="060A200B"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20 декабря 1932 г., через три дня, последовало новое постановление Совнар</w:t>
      </w:r>
      <w:r w:rsidRPr="00142305">
        <w:rPr>
          <w:rStyle w:val="aff"/>
          <w:rFonts w:ascii="Times New Roman" w:hAnsi="Times New Roman" w:cs="Times New Roman"/>
          <w:color w:val="0070C0"/>
          <w:spacing w:val="0"/>
          <w:sz w:val="16"/>
          <w:szCs w:val="16"/>
        </w:rPr>
        <w:softHyphen/>
        <w:t>кома, уточнившее роль и задачи ГУСМП и перечень органи</w:t>
      </w:r>
      <w:r w:rsidRPr="00142305">
        <w:rPr>
          <w:rStyle w:val="aff"/>
          <w:rFonts w:ascii="Times New Roman" w:hAnsi="Times New Roman" w:cs="Times New Roman"/>
          <w:color w:val="0070C0"/>
          <w:spacing w:val="0"/>
          <w:sz w:val="16"/>
          <w:szCs w:val="16"/>
        </w:rPr>
        <w:softHyphen/>
        <w:t>зационных структур, которые включались в него:</w:t>
      </w:r>
    </w:p>
    <w:p w14:paraId="4D7BFA85" w14:textId="77777777" w:rsidR="00716D79" w:rsidRPr="00142305" w:rsidRDefault="00716D79" w:rsidP="00716D79">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 Утвердить передачу в ведение Главного управления Северного морского пути следующих метеорологических стан</w:t>
      </w:r>
      <w:r w:rsidRPr="00142305">
        <w:rPr>
          <w:rStyle w:val="aff"/>
          <w:rFonts w:ascii="Times New Roman" w:hAnsi="Times New Roman" w:cs="Times New Roman"/>
          <w:color w:val="0070C0"/>
          <w:spacing w:val="0"/>
          <w:sz w:val="16"/>
          <w:szCs w:val="16"/>
        </w:rPr>
        <w:softHyphen/>
        <w:t xml:space="preserve">ций и радиостанций. </w:t>
      </w:r>
    </w:p>
    <w:p w14:paraId="2846A6D2"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Поручить Главсевморпути развить и реконструировать сеть метеорологических станций и радио</w:t>
      </w:r>
      <w:r w:rsidRPr="00142305">
        <w:rPr>
          <w:rStyle w:val="aff"/>
          <w:rFonts w:ascii="Times New Roman" w:hAnsi="Times New Roman" w:cs="Times New Roman"/>
          <w:color w:val="0070C0"/>
          <w:spacing w:val="0"/>
          <w:sz w:val="16"/>
          <w:szCs w:val="16"/>
        </w:rPr>
        <w:softHyphen/>
        <w:t>станций таким образом, чтобы в 1933 году была закончена работа первой очереди, необходимой для открытия плавания по Северному морскому пути. В течение 1933 года должны быть учреждены новые гидрометеостанции на острове Белом и в устье Колымы, а также совершенно заново построена стан</w:t>
      </w:r>
      <w:r w:rsidRPr="00142305">
        <w:rPr>
          <w:rStyle w:val="aff"/>
          <w:rFonts w:ascii="Times New Roman" w:hAnsi="Times New Roman" w:cs="Times New Roman"/>
          <w:color w:val="0070C0"/>
          <w:spacing w:val="0"/>
          <w:sz w:val="16"/>
          <w:szCs w:val="16"/>
        </w:rPr>
        <w:softHyphen/>
        <w:t>ция на мысе Северном, проведена реконструкция остальных станций. Всего на старых и новых' станциях должны быть установлены 7 новых длинноволновых установок и 6 новых коротковолновых установок (не менее 250 ватт).</w:t>
      </w:r>
    </w:p>
    <w:p w14:paraId="397A8C59" w14:textId="77777777" w:rsidR="00716D79" w:rsidRPr="00142305" w:rsidRDefault="00716D79" w:rsidP="00716D79">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3. Передать в ведение ГУСМП Арктический институт с тем, чтобы исследование Северного морского пути было основным содержанием его научной работы.</w:t>
      </w:r>
    </w:p>
    <w:p w14:paraId="2D6705CE" w14:textId="77777777" w:rsidR="00716D79" w:rsidRPr="00142305" w:rsidRDefault="00716D79" w:rsidP="00716D79">
      <w:pPr>
        <w:widowControl w:val="0"/>
        <w:tabs>
          <w:tab w:val="left" w:pos="53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Передать в ГУ С МП ледоколы (ледокольные пароходы. Авт.) «Седов», «Сибиряков». «Таймыр» и подлежащий под</w:t>
      </w:r>
      <w:r w:rsidRPr="00142305">
        <w:rPr>
          <w:rStyle w:val="aff"/>
          <w:rFonts w:ascii="Times New Roman" w:hAnsi="Times New Roman" w:cs="Times New Roman"/>
          <w:color w:val="0070C0"/>
          <w:spacing w:val="0"/>
          <w:sz w:val="16"/>
          <w:szCs w:val="16"/>
        </w:rPr>
        <w:softHyphen/>
        <w:t>нятию ледокол «Садко».</w:t>
      </w:r>
    </w:p>
    <w:p w14:paraId="645670A6" w14:textId="77777777" w:rsidR="00716D79" w:rsidRPr="00142305" w:rsidRDefault="00716D79" w:rsidP="00716D79">
      <w:pPr>
        <w:widowControl w:val="0"/>
        <w:tabs>
          <w:tab w:val="left" w:pos="55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5. Предрешить передачу ГУСМП необходимых судов не ледокольного типа для обследования берегов, организации каботажного плавания, погрузочно-разгрузочных работ.</w:t>
      </w:r>
    </w:p>
    <w:p w14:paraId="632C6EB6"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6. Поручить ГУСМП: а) образовать в необходимых ме</w:t>
      </w:r>
      <w:r w:rsidRPr="00142305">
        <w:rPr>
          <w:rStyle w:val="aff"/>
          <w:rFonts w:ascii="Times New Roman" w:hAnsi="Times New Roman" w:cs="Times New Roman"/>
          <w:color w:val="0070C0"/>
          <w:spacing w:val="0"/>
          <w:sz w:val="16"/>
          <w:szCs w:val="16"/>
        </w:rPr>
        <w:softHyphen/>
        <w:t>стах угольные базы и произвести элементарное портовое оборудование, в первую очередь на о. Диксон, в б. Тикси (устье Лены) и в устье Колымы; б) образовать в необходимых ме</w:t>
      </w:r>
      <w:r w:rsidRPr="00142305">
        <w:rPr>
          <w:rStyle w:val="aff"/>
          <w:rFonts w:ascii="Times New Roman" w:hAnsi="Times New Roman" w:cs="Times New Roman"/>
          <w:color w:val="0070C0"/>
          <w:spacing w:val="0"/>
          <w:sz w:val="16"/>
          <w:szCs w:val="16"/>
        </w:rPr>
        <w:softHyphen/>
        <w:t>стах самостоятельные базы для постоянного наблюдения за льдом и содействия проводке судов, причём в 1933 году организовать также базы, в составе двух самолётов каждая, на о Диксон, м. Челюскин и м. Северном; в) в двухмесячный срок разработать тип ледоколов, необходимых для Север</w:t>
      </w:r>
      <w:r w:rsidRPr="00142305">
        <w:rPr>
          <w:rStyle w:val="aff"/>
          <w:rFonts w:ascii="Times New Roman" w:hAnsi="Times New Roman" w:cs="Times New Roman"/>
          <w:color w:val="0070C0"/>
          <w:spacing w:val="0"/>
          <w:sz w:val="16"/>
          <w:szCs w:val="16"/>
        </w:rPr>
        <w:softHyphen/>
        <w:t>ного морского пути; г) разработать план аэрофотосъёмки в течение 1 2 лет побережья Ледовитого океана».</w:t>
      </w:r>
    </w:p>
    <w:p w14:paraId="3AA0373A"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постановления от 20 декабря ГУСМП предпи</w:t>
      </w:r>
      <w:r w:rsidRPr="00142305">
        <w:rPr>
          <w:rStyle w:val="aff"/>
          <w:rFonts w:ascii="Times New Roman" w:hAnsi="Times New Roman" w:cs="Times New Roman"/>
          <w:color w:val="0070C0"/>
          <w:spacing w:val="0"/>
          <w:sz w:val="16"/>
          <w:szCs w:val="16"/>
        </w:rPr>
        <w:softHyphen/>
        <w:t>сывалось и решение ряда хозяйственных задач. В частности, ему было необходимо провести в 1933 г. совместно с объеди</w:t>
      </w:r>
      <w:r w:rsidRPr="00142305">
        <w:rPr>
          <w:rStyle w:val="aff"/>
          <w:rFonts w:ascii="Times New Roman" w:hAnsi="Times New Roman" w:cs="Times New Roman"/>
          <w:color w:val="0070C0"/>
          <w:spacing w:val="0"/>
          <w:sz w:val="16"/>
          <w:szCs w:val="16"/>
        </w:rPr>
        <w:softHyphen/>
        <w:t xml:space="preserve">нением «Комсеверпуть» очередную Ленскую операцию обеспечить доставку грузов из Архангельска и Владивостока в Тикси. Организовать аналогичный по </w:t>
      </w:r>
      <w:r w:rsidRPr="00142305">
        <w:rPr>
          <w:rStyle w:val="aff"/>
          <w:rFonts w:ascii="Times New Roman" w:hAnsi="Times New Roman" w:cs="Times New Roman"/>
          <w:color w:val="0070C0"/>
          <w:spacing w:val="0"/>
          <w:sz w:val="16"/>
          <w:szCs w:val="16"/>
        </w:rPr>
        <w:lastRenderedPageBreak/>
        <w:t>характеру рейс из Владивостока в устье Колымы. И, наконец, вместе с Союзгеологоразведкой приступить к поиску месторождений олова, вольфрама, молибдена на Таймыре и Северной Земле, промышленных запасов угля - в районах, прилегающих к побережью Ледовитого океана.</w:t>
      </w:r>
    </w:p>
    <w:p w14:paraId="2F737042" w14:textId="77777777" w:rsidR="00716D79" w:rsidRPr="00142305" w:rsidRDefault="00716D79" w:rsidP="00716D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Начальником ГУСМП был утверждён </w:t>
      </w:r>
      <w:r w:rsidRPr="00142305">
        <w:rPr>
          <w:rStyle w:val="aff"/>
          <w:rFonts w:ascii="Times New Roman" w:hAnsi="Times New Roman" w:cs="Times New Roman"/>
          <w:color w:val="0070C0"/>
          <w:spacing w:val="0"/>
          <w:sz w:val="16"/>
          <w:szCs w:val="16"/>
          <w:lang w:val="en-US"/>
        </w:rPr>
        <w:t>O</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IO</w:t>
      </w:r>
      <w:r w:rsidRPr="00142305">
        <w:rPr>
          <w:rStyle w:val="aff"/>
          <w:rFonts w:ascii="Times New Roman" w:hAnsi="Times New Roman" w:cs="Times New Roman"/>
          <w:color w:val="0070C0"/>
          <w:spacing w:val="0"/>
          <w:sz w:val="16"/>
          <w:szCs w:val="16"/>
        </w:rPr>
        <w:t>. Шмидт (25653).</w:t>
      </w:r>
    </w:p>
    <w:p w14:paraId="7AA652B0" w14:textId="77777777" w:rsidR="00716D79" w:rsidRPr="00142305" w:rsidRDefault="00716D79" w:rsidP="00716D79">
      <w:pPr>
        <w:spacing w:after="0" w:line="240" w:lineRule="auto"/>
        <w:jc w:val="both"/>
        <w:rPr>
          <w:rFonts w:ascii="Times New Roman" w:hAnsi="Times New Roman"/>
          <w:color w:val="0070C0"/>
          <w:sz w:val="16"/>
          <w:szCs w:val="16"/>
        </w:rPr>
      </w:pPr>
    </w:p>
    <w:p w14:paraId="6F4CFDE7"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77B57A8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2A97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декабря 1932 в беседе Шляйхер в свою очередь также заверил Литвинова, что «он в качестве канцлера является гарантией сохранения прежних советско-германских отношений, поскольку это зависит от Германии. Он, как и весь рейхсвер, иных отношений с нами не представляет себе». Литвинов и Шляйхер подробно беседовали «о женевских делах, а затем о рейхсвере». Почти весь этот же круг вопросов обсуждался и в беседе Литвинова с Нойратом (АВП РФ, ф. 059, on. l, п. 138, д. 1053, л. 253-254) (11784).</w:t>
      </w:r>
    </w:p>
    <w:p w14:paraId="650BE9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0ABEE8" w14:textId="77777777" w:rsidR="00A03E14"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84A7C1B" w14:textId="77777777" w:rsidR="00A03E14" w:rsidRPr="00E93F40" w:rsidRDefault="00A03E1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C880FFE" w14:textId="77777777" w:rsidR="00A03E14" w:rsidRPr="00E93F40" w:rsidRDefault="00A03E14" w:rsidP="00E93F40">
      <w:pPr>
        <w:spacing w:after="0" w:line="240" w:lineRule="auto"/>
        <w:jc w:val="both"/>
        <w:rPr>
          <w:rStyle w:val="ucoz-forum-post"/>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t>20 декабря 1932 года</w:t>
      </w:r>
      <w:r w:rsidRPr="00E93F40">
        <w:rPr>
          <w:rStyle w:val="ucoz-forum-post"/>
          <w:rFonts w:ascii="Times New Roman" w:hAnsi="Times New Roman"/>
          <w:color w:val="000000" w:themeColor="text1"/>
          <w:sz w:val="16"/>
          <w:szCs w:val="16"/>
        </w:rPr>
        <w:t xml:space="preserve"> Первый полёт трехмоторного пассажирского подкосного высокоплана Romano R-6 оснащенного тремя звездообразными двигателями Гном-Рон (Gnome-Rhone) 7Kb мощностью 224 кВт (300 л.с.). Вмещал двух членов экипажа и восемь пассажиров (14866).</w:t>
      </w:r>
    </w:p>
    <w:p w14:paraId="4ADA6A99" w14:textId="77777777" w:rsidR="00A03E14" w:rsidRPr="00E93F40" w:rsidRDefault="00A03E14" w:rsidP="00E93F40">
      <w:pPr>
        <w:spacing w:after="0" w:line="240" w:lineRule="auto"/>
        <w:jc w:val="both"/>
        <w:rPr>
          <w:rStyle w:val="ucoz-forum-post"/>
          <w:rFonts w:ascii="Times New Roman" w:hAnsi="Times New Roman"/>
          <w:color w:val="000000" w:themeColor="text1"/>
          <w:sz w:val="16"/>
          <w:szCs w:val="16"/>
        </w:rPr>
      </w:pPr>
    </w:p>
    <w:p w14:paraId="38385BEE"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652B85F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1BF19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декабря 1932 состоялся последний, 15 полет БИЧ-7 Парабола и были закончены летные испытания машины, которые шли с 11 августа 1932 и 19 августа, когда был выполнен первый полет. Всего налетали 8:05. В последнем полете при испытании на устойчивость самолет показал возможность полета с брошенной ручкой. Макс. скорость по гор. - 165 км/час. Потом сравнивали с У-2. Летал л Благин, а ви был Победоносцев.</w:t>
      </w:r>
    </w:p>
    <w:p w14:paraId="2B486C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Задание № 15 - полет на устойчивость.</w:t>
      </w:r>
    </w:p>
    <w:p w14:paraId="148280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идет с брошенной ручкой по горизонтали на скорости 110 км/час при 1300 обор.</w:t>
      </w:r>
    </w:p>
    <w:p w14:paraId="6D75C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изменении скорости на 10-15 км/час с-т самостоятельно возвращается в исходное положение. При изменении скорости на 20 км/час получилось затягивание с-та до скорости 195 км/час, после чего потребовалось вмешательство пилота.</w:t>
      </w:r>
    </w:p>
    <w:p w14:paraId="5B1B5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Максимальную скорость на горизонтали с-т дает 165 км/час по прибору при 1580 об/мин. Замерено время полного круга вправо и влево. </w:t>
      </w:r>
    </w:p>
    <w:p w14:paraId="43565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полета 0:30 (2307).</w:t>
      </w:r>
    </w:p>
    <w:p w14:paraId="6391C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5C57D5" w14:textId="77777777" w:rsidR="00C225CF" w:rsidRPr="00E93F40" w:rsidRDefault="00C225CF"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4A27B7E" w14:textId="77777777" w:rsidR="00C225CF" w:rsidRPr="00E93F40" w:rsidRDefault="00C225CF"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44A1C38" w14:textId="77777777" w:rsidR="00C225CF" w:rsidRPr="00E93F40" w:rsidRDefault="00C225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декабря 1932 Начальник вооружений РККА Тухачевский обратился к Сталину с письмом, в котором протестовал против произведенных сокращений капвложений и военного заказа и просил вмешаться, прежде чем Госплан внесет в правительство окончательные планы оборонных капиталовложений (См. SAMLELSON L. Op. cit. P. 234-237. Из материалов Л. Самуэльсона неясно, предпринял ли Генеральный секретарь ожидаемые военными шаги. Отчего работе военной промышленности в 1933 г., содержащий сведения о производстве главных видов вооружения в абсолютных цифрах и в процентах выполнения плана, не поддается сопоставлению с основанным на стоимостных показателях декабрьским решением СТО.</w:t>
      </w:r>
    </w:p>
    <w:p w14:paraId="3A297AF8" w14:textId="77777777" w:rsidR="00C225CF" w:rsidRPr="00E93F40" w:rsidRDefault="00C225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Уменьшение заказов Наркомата по военным и морским делам позволило выполнить годовой план поставки вооружений и военного имущества по большинству показателей.</w:t>
      </w:r>
    </w:p>
    <w:p w14:paraId="645F41C6" w14:textId="77777777" w:rsidR="00C225CF" w:rsidRPr="00E93F40" w:rsidRDefault="00C225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Капиталовложения в военную промышленность в 1932 г. возросли на 58% (по наркомату тяжелой промышленности в целом их увеличение составило 39%), а выпуск военной продукции - на 67% (</w:t>
      </w:r>
      <w:r w:rsidRPr="00E93F40">
        <w:rPr>
          <w:rFonts w:ascii="Times New Roman" w:eastAsia="Times New Roman" w:hAnsi="Times New Roman"/>
          <w:color w:val="000000" w:themeColor="text1"/>
          <w:sz w:val="16"/>
          <w:szCs w:val="16"/>
          <w:lang w:val="en-US" w:eastAsia="ru-RU"/>
        </w:rPr>
        <w:t>DAVIES</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R</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W</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Soviet</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Military</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Expenditure</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and</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the</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Armaments</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Industry</w:t>
      </w:r>
      <w:r w:rsidRPr="00E93F40">
        <w:rPr>
          <w:rFonts w:ascii="Times New Roman" w:eastAsia="Times New Roman" w:hAnsi="Times New Roman"/>
          <w:color w:val="000000" w:themeColor="text1"/>
          <w:sz w:val="16"/>
          <w:szCs w:val="16"/>
          <w:lang w:eastAsia="ru-RU"/>
        </w:rPr>
        <w:t xml:space="preserve">, 1929-1933: </w:t>
      </w:r>
      <w:r w:rsidRPr="00E93F40">
        <w:rPr>
          <w:rFonts w:ascii="Times New Roman" w:eastAsia="Times New Roman" w:hAnsi="Times New Roman"/>
          <w:color w:val="000000" w:themeColor="text1"/>
          <w:sz w:val="16"/>
          <w:szCs w:val="16"/>
          <w:lang w:val="en-US" w:eastAsia="ru-RU"/>
        </w:rPr>
        <w:t>A</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Reconsideration</w:t>
      </w:r>
      <w:r w:rsidRPr="00E93F40">
        <w:rPr>
          <w:rFonts w:ascii="Times New Roman" w:eastAsia="Times New Roman" w:hAnsi="Times New Roman"/>
          <w:color w:val="000000" w:themeColor="text1"/>
          <w:sz w:val="16"/>
          <w:szCs w:val="16"/>
          <w:lang w:eastAsia="ru-RU"/>
        </w:rPr>
        <w:t xml:space="preserve"> // </w:t>
      </w:r>
      <w:r w:rsidRPr="00E93F40">
        <w:rPr>
          <w:rFonts w:ascii="Times New Roman" w:eastAsia="Times New Roman" w:hAnsi="Times New Roman"/>
          <w:color w:val="000000" w:themeColor="text1"/>
          <w:sz w:val="16"/>
          <w:szCs w:val="16"/>
          <w:lang w:val="en-US" w:eastAsia="ru-RU"/>
        </w:rPr>
        <w:t>Europe</w:t>
      </w:r>
      <w:r w:rsidRPr="00E93F40">
        <w:rPr>
          <w:rFonts w:ascii="Times New Roman" w:eastAsia="Times New Roman" w:hAnsi="Times New Roman"/>
          <w:color w:val="000000" w:themeColor="text1"/>
          <w:sz w:val="16"/>
          <w:szCs w:val="16"/>
          <w:lang w:eastAsia="ru-RU"/>
        </w:rPr>
        <w:t>-</w:t>
      </w:r>
      <w:r w:rsidRPr="00E93F40">
        <w:rPr>
          <w:rFonts w:ascii="Times New Roman" w:eastAsia="Times New Roman" w:hAnsi="Times New Roman"/>
          <w:color w:val="000000" w:themeColor="text1"/>
          <w:sz w:val="16"/>
          <w:szCs w:val="16"/>
          <w:lang w:val="en-US" w:eastAsia="ru-RU"/>
        </w:rPr>
        <w:t>Asia</w:t>
      </w:r>
      <w:r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val="en-US" w:eastAsia="ru-RU"/>
        </w:rPr>
        <w:t>Studies</w:t>
      </w:r>
      <w:r w:rsidRPr="00E93F40">
        <w:rPr>
          <w:rFonts w:ascii="Times New Roman" w:eastAsia="Times New Roman" w:hAnsi="Times New Roman"/>
          <w:color w:val="000000" w:themeColor="text1"/>
          <w:sz w:val="16"/>
          <w:szCs w:val="16"/>
          <w:lang w:eastAsia="ru-RU"/>
        </w:rPr>
        <w:t>. 1993. Vol.45, №4. P 588, 597</w:t>
      </w:r>
      <w:r w:rsidRPr="00E93F40">
        <w:rPr>
          <w:rFonts w:ascii="Times New Roman" w:hAnsi="Times New Roman"/>
          <w:color w:val="000000" w:themeColor="text1"/>
          <w:sz w:val="16"/>
          <w:szCs w:val="16"/>
        </w:rPr>
        <w:t>). Заказы НКВМ на боевую технику выросли по сравнению с 1931 г. в 2,5 раза и впервые составили свыше половины всего бюджета военного ведомства (34,2% в 1928/29 г. и 51,2% в 1932 г.). Программа выпуска 10 тыс. танков в 1932 г. была, разумеется, провалена, но армия все же получила около 2,5 тыс. машин (свыше половины из них составили танкетки Т-27). Из заказанных более чем 5 тыс. артиллерийских орудий у промышленности было принято около 1200, ни одно из произведенных в 1932 г. 164 тяжелых орудий не смогло пройти технический контроль.</w:t>
      </w:r>
    </w:p>
    <w:p w14:paraId="356B4649" w14:textId="77777777" w:rsidR="00C225CF" w:rsidRPr="00E93F40" w:rsidRDefault="00C225C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отношению к предыдущему году объем оборонительных работ в 1932 г. увеличился в 10 раз (достигнув 20% расходов НКВМ), а специального строительства - в 5 раз. При этом первоначально утвержденная смета Наркомата по военным и морским делам (2868 млн руб.) в течение 1932 г. дополнительными чрезвычайными м ассигнованиями была доведена до 4308 млн руб. В результате удельный вес расходов по НКВМ в бюджете Союза ССР, который ранее не превышал 10% (9,8% в 1929/30 г. и 8,7% в 1931 г.), взметнулся до 15,3% (два последующих года он не превышал 14%) (Справка Начальника Военной группы СО Госплана СССР Снитко "Очерк развития вооруженных сил за период от XVI к ХУП партсъезду", 31.01.1934 // РГАЭ. Ф. 4372. On. 1. Д 1824. Л. 56-54.).</w:t>
      </w:r>
    </w:p>
    <w:p w14:paraId="6F7433EF" w14:textId="77777777" w:rsidR="00C225CF" w:rsidRPr="00E93F40" w:rsidRDefault="00C225CF" w:rsidP="00E93F40">
      <w:pPr>
        <w:spacing w:after="0" w:line="240" w:lineRule="auto"/>
        <w:jc w:val="both"/>
        <w:rPr>
          <w:rFonts w:ascii="Times New Roman" w:hAnsi="Times New Roman"/>
          <w:color w:val="000000" w:themeColor="text1"/>
          <w:sz w:val="16"/>
          <w:szCs w:val="16"/>
        </w:rPr>
      </w:pPr>
    </w:p>
    <w:p w14:paraId="6AE897D6" w14:textId="77777777" w:rsidR="00A03E14"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7815CCA6" w14:textId="77777777" w:rsidR="00A03E14" w:rsidRPr="00E93F40" w:rsidRDefault="00A03E14"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758E953" w14:textId="77777777" w:rsidR="00A03E14" w:rsidRPr="00E93F40" w:rsidRDefault="00A03E14" w:rsidP="00E93F40">
      <w:pPr>
        <w:spacing w:after="0" w:line="240" w:lineRule="auto"/>
        <w:jc w:val="both"/>
        <w:rPr>
          <w:rStyle w:val="ucoz-forum-post"/>
          <w:rFonts w:ascii="Times New Roman" w:hAnsi="Times New Roman"/>
          <w:color w:val="000000" w:themeColor="text1"/>
          <w:sz w:val="16"/>
          <w:szCs w:val="16"/>
        </w:rPr>
      </w:pPr>
      <w:r w:rsidRPr="00E93F40">
        <w:rPr>
          <w:rStyle w:val="ucoz-forum-post"/>
          <w:rFonts w:ascii="Times New Roman" w:hAnsi="Times New Roman"/>
          <w:bCs/>
          <w:color w:val="000000" w:themeColor="text1"/>
          <w:sz w:val="16"/>
          <w:szCs w:val="16"/>
        </w:rPr>
        <w:t>21 декабря 1932 года</w:t>
      </w:r>
      <w:r w:rsidRPr="00E93F40">
        <w:rPr>
          <w:rStyle w:val="ucoz-forum-post"/>
          <w:rFonts w:ascii="Times New Roman" w:hAnsi="Times New Roman"/>
          <w:color w:val="000000" w:themeColor="text1"/>
          <w:sz w:val="16"/>
          <w:szCs w:val="16"/>
        </w:rPr>
        <w:t xml:space="preserve"> Первый полёт Vickers Vincent – английский многоцелевой самолет взаимодействия с сухопутными войсками. Цельнометаллический одномоторный биплан с неубирающимся шасси (колеса в обтекателях). Являлся модификацией бомбардировщика-торпедоносца "Уайлдбист" (14867).</w:t>
      </w:r>
    </w:p>
    <w:p w14:paraId="28FBFA15" w14:textId="77777777" w:rsidR="00A03E14" w:rsidRPr="00E93F40" w:rsidRDefault="00A03E14" w:rsidP="00E93F40">
      <w:pPr>
        <w:spacing w:after="0" w:line="240" w:lineRule="auto"/>
        <w:jc w:val="both"/>
        <w:rPr>
          <w:rStyle w:val="ucoz-forum-post"/>
          <w:rFonts w:ascii="Times New Roman" w:hAnsi="Times New Roman"/>
          <w:color w:val="000000" w:themeColor="text1"/>
          <w:sz w:val="16"/>
          <w:szCs w:val="16"/>
        </w:rPr>
      </w:pPr>
    </w:p>
    <w:p w14:paraId="1940609E"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декабря 1932 состоялся первый полет Викерс Винсент (20803).</w:t>
      </w:r>
    </w:p>
    <w:p w14:paraId="55C74957" w14:textId="77777777" w:rsidR="00D65060" w:rsidRPr="00E93F40" w:rsidRDefault="00D65060" w:rsidP="00E93F40">
      <w:pPr>
        <w:spacing w:after="0" w:line="240" w:lineRule="auto"/>
        <w:jc w:val="both"/>
        <w:rPr>
          <w:rFonts w:ascii="Times New Roman" w:hAnsi="Times New Roman"/>
          <w:color w:val="000000" w:themeColor="text1"/>
          <w:sz w:val="16"/>
          <w:szCs w:val="16"/>
        </w:rPr>
      </w:pPr>
    </w:p>
    <w:p w14:paraId="65B5C4E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94ECFF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F8E1E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декабря 1932 года начальник ВВС Алкснис писал письмо № 2496 председателю РВС</w:t>
      </w:r>
    </w:p>
    <w:p w14:paraId="7A3370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ходе работ по СТАЛЬ-6 конструкции Бартини</w:t>
      </w:r>
    </w:p>
    <w:p w14:paraId="227E43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(Резолюция зам. председателя РВС на контрольном листе от 23 декабря 1932 года: "УВВС. Оказать поддержку. Тухачевский".</w:t>
      </w:r>
    </w:p>
    <w:p w14:paraId="60F71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w:t>
      </w:r>
    </w:p>
    <w:p w14:paraId="0282C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Конструктором ВОГВФ Бартини конструируется скоростной самолет СТАЛЬ-6 в двух вариантах: гоночный и военный.</w:t>
      </w:r>
    </w:p>
    <w:p w14:paraId="6D7B5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гоночного варианта на сегодняшний день следующее: все рабочие чертежи закончены на 100%, причем расчетные данные самолета Сталь-6 (гоночного) под мотор Кертисс-Конкверор:</w:t>
      </w:r>
    </w:p>
    <w:p w14:paraId="2F2E4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460 км/час, горючее – на 1 час, вес – 1 тонна, потолок – 9000 метров. Никакой другой нагрузки, кроме летчика – 90 кг.</w:t>
      </w:r>
    </w:p>
    <w:p w14:paraId="1CCF9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Проведены статические испытания всех агрегатов (фюзеляжа, хвостового оперения, подмоторной рамы, шасси), кроме крыла.</w:t>
      </w:r>
    </w:p>
    <w:p w14:paraId="63744F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Статические испытания крыла задерживаются из-за неготовности последнего по причине неполучения хромомолибденовых труб и нержавеющей стали.</w:t>
      </w:r>
    </w:p>
    <w:p w14:paraId="000B4A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дожидаясь окончания статических испытаний самолета Сталь-6 гоночный уже выпущен в производство и на сегодня готовность его следующая:</w:t>
      </w:r>
    </w:p>
    <w:p w14:paraId="4C443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 – на 80%, хвостовое оперение – на 90%, управление – на 90%, моторная установка – на 60%. Крылья еще не начаты опять таки из-за недостатка труб и нержавеющей стали.</w:t>
      </w:r>
    </w:p>
    <w:p w14:paraId="6EFA9A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Оригинальными особенностями и экспериментальными работами конструкции являются:</w:t>
      </w:r>
    </w:p>
    <w:p w14:paraId="1F0DC203"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Крыльевые радиаторы для уменьшения лобового сопротивления и увеличения за этот счет скорости;</w:t>
      </w:r>
    </w:p>
    <w:p w14:paraId="6DD89FAA"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Конденсационные охлаждения – наполовину водой, наполовину паром при поддержании температуры 100 градусов для уменьшения веса и увеличения мощности мотора.</w:t>
      </w:r>
    </w:p>
    <w:p w14:paraId="2A722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хромомолибденовые трубы и нержавеющая сталь будут получены до конца января 1933 года, Бартини обещает выпустить этот гоночный Сталь-6 к 1 мая 1933 года.</w:t>
      </w:r>
    </w:p>
    <w:p w14:paraId="7957B5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Военный вариант – в эскизном проекте под мотор М-22 и Кертис-Конкверор будет предъявлен для рассмотрения Научно-испытательному институту 5 января 1933 года.</w:t>
      </w:r>
    </w:p>
    <w:p w14:paraId="34CEA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Расчетные данные военного варианта под М-22 и Кертис-Конкверор следующие:</w:t>
      </w:r>
    </w:p>
    <w:p w14:paraId="766C7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360 км/час, нагрузка 2 пулемета по 750 патронов каждый ПВ-1 или ШКАС с соответствующим увеличением патрон до 100 штук на каждый, радиус действия 2,5 часа.</w:t>
      </w:r>
    </w:p>
    <w:p w14:paraId="3A3454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Наблюдающим от НИИ как за гоночным вариантом, так и за военным является инженер Гребенев.</w:t>
      </w:r>
    </w:p>
    <w:p w14:paraId="049B07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Изложенное докладываю во исполнение Вашего указания (7486, 9).</w:t>
      </w:r>
    </w:p>
    <w:p w14:paraId="4A70E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C854DE" w14:textId="77777777" w:rsidR="00A03E14" w:rsidRPr="00E93F40" w:rsidRDefault="00A03E1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22 декабря 1932 г. был докладная записка начальника ВВС Я.В. Алкниса о ходе работ по «Сталь-6»: «</w:t>
      </w:r>
      <w:r w:rsidRPr="00E93F40">
        <w:rPr>
          <w:rStyle w:val="aff5"/>
          <w:rFonts w:ascii="Times New Roman" w:eastAsia="Arial Unicode MS" w:hAnsi="Times New Roman" w:cs="Times New Roman"/>
          <w:i w:val="0"/>
          <w:color w:val="000000" w:themeColor="text1"/>
        </w:rPr>
        <w:t>Конструктором ВО ГВФ</w:t>
      </w:r>
      <w:r w:rsidRPr="00E93F40">
        <w:rPr>
          <w:rFonts w:ascii="Times New Roman" w:hAnsi="Times New Roman"/>
          <w:color w:val="000000" w:themeColor="text1"/>
          <w:sz w:val="16"/>
          <w:szCs w:val="16"/>
        </w:rPr>
        <w:t xml:space="preserve"> (Всесоюзное объединение Гражданского Воздушного флота)</w:t>
      </w:r>
      <w:r w:rsidRPr="00E93F40">
        <w:rPr>
          <w:rStyle w:val="aff5"/>
          <w:rFonts w:ascii="Times New Roman" w:eastAsia="Arial Unicode MS" w:hAnsi="Times New Roman" w:cs="Times New Roman"/>
          <w:i w:val="0"/>
          <w:color w:val="000000" w:themeColor="text1"/>
        </w:rPr>
        <w:t xml:space="preserve"> Бартини конструируется скоростной самолёт Сталь-6 в двух вариантах: гоночный и военный.</w:t>
      </w:r>
    </w:p>
    <w:p w14:paraId="0B6CBDD7" w14:textId="77777777" w:rsidR="00A03E14" w:rsidRPr="00E93F40" w:rsidRDefault="00A03E14"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t>Состояние гоночного варианта на сегодняшний день следующее: все рабочие чертежи энчены на 100%, причём расчётные данные самолёта Сталь-6 (гоночного) под мотор тисс-Конкверор (М-32</w:t>
      </w:r>
      <w:r w:rsidRPr="00E93F40">
        <w:rPr>
          <w:rStyle w:val="4b"/>
          <w:rFonts w:ascii="Times New Roman" w:hAnsi="Times New Roman" w:cs="Times New Roman"/>
          <w:i w:val="0"/>
          <w:color w:val="000000" w:themeColor="text1"/>
          <w:sz w:val="16"/>
          <w:szCs w:val="16"/>
        </w:rPr>
        <w:t xml:space="preserve"> не прошёл испытаний, пришлось приобрести американский дви</w:t>
      </w:r>
      <w:r w:rsidRPr="00E93F40">
        <w:rPr>
          <w:rStyle w:val="4b"/>
          <w:rFonts w:ascii="Times New Roman" w:hAnsi="Times New Roman" w:cs="Times New Roman"/>
          <w:i w:val="0"/>
          <w:color w:val="000000" w:themeColor="text1"/>
          <w:sz w:val="16"/>
          <w:szCs w:val="16"/>
        </w:rPr>
        <w:softHyphen/>
        <w:t>нь. - прим. авт.):</w:t>
      </w:r>
      <w:r w:rsidRPr="00E93F40">
        <w:rPr>
          <w:rFonts w:ascii="Times New Roman" w:cs="Times New Roman"/>
          <w:color w:val="000000" w:themeColor="text1"/>
          <w:sz w:val="16"/>
          <w:szCs w:val="16"/>
        </w:rPr>
        <w:t xml:space="preserve"> скорость - 460 км/час, горючее - на 1 час, вес - 1 тонна, потолок - 90 метров. Никакой другой нагрузки, кроме лётчика - 90 кг.</w:t>
      </w:r>
    </w:p>
    <w:p w14:paraId="65BB97E0" w14:textId="77777777" w:rsidR="00A03E14" w:rsidRPr="00E93F40" w:rsidRDefault="00A03E14"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t>Проведены статические испытания всех агрегатов (фюзеляжа, хвостового оперения, под- эрной рамы, шасси), кроме крыла. Статические испытания крыла задерживаются из-за неготовности последнего по причине неполучения хромомолибденовых труб и нержавею</w:t>
      </w:r>
      <w:r w:rsidRPr="00E93F40">
        <w:rPr>
          <w:rFonts w:ascii="Times New Roman" w:cs="Times New Roman"/>
          <w:color w:val="000000" w:themeColor="text1"/>
          <w:sz w:val="16"/>
          <w:szCs w:val="16"/>
        </w:rPr>
        <w:softHyphen/>
        <w:t>щей стали.</w:t>
      </w:r>
    </w:p>
    <w:p w14:paraId="68BE641C" w14:textId="77777777" w:rsidR="00A03E14" w:rsidRPr="00E93F40" w:rsidRDefault="00A03E14"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t>Не дожидаясь окончания статических испытаний самолёта Сталь-6 гоночный уже выпу</w:t>
      </w:r>
      <w:r w:rsidRPr="00E93F40">
        <w:rPr>
          <w:rFonts w:ascii="Times New Roman" w:cs="Times New Roman"/>
          <w:color w:val="000000" w:themeColor="text1"/>
          <w:sz w:val="16"/>
          <w:szCs w:val="16"/>
        </w:rPr>
        <w:softHyphen/>
        <w:t>щен в производство и на сегодня готовность его следующая: фюзеляж - на 80%, хвостовое оперение - на 90%, управление - на 90%, моторная установка - на 60%. Крылья ещё не начаты опять таки из-за недостатка труб и нержавеющей стали...</w:t>
      </w:r>
    </w:p>
    <w:p w14:paraId="6B136A0D" w14:textId="77777777" w:rsidR="00A03E14" w:rsidRPr="00E93F40" w:rsidRDefault="00A03E14"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t>Если хромомолибденовые трубы и нержавеющая сталь будут получены до конца января 1933 года, Бартини обещает выпустить этот гоночный Сталь-6 к 1 мая 1933 года. Военный вариант - в эскизном проекте под мотор М-22 и Кертис-Конкверор будет предъявлен для рассмотрения Научно-испытательному институту 5 января 1933 года.</w:t>
      </w:r>
    </w:p>
    <w:p w14:paraId="62D8536E" w14:textId="77777777" w:rsidR="00A03E14" w:rsidRPr="00E93F40" w:rsidRDefault="00A03E14"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t>Расчётные данные военного варианта под М-22 или Кертис-Конкверор следующие: ско</w:t>
      </w:r>
      <w:r w:rsidRPr="00E93F40">
        <w:rPr>
          <w:rFonts w:ascii="Times New Roman" w:cs="Times New Roman"/>
          <w:color w:val="000000" w:themeColor="text1"/>
          <w:sz w:val="16"/>
          <w:szCs w:val="16"/>
        </w:rPr>
        <w:softHyphen/>
        <w:t xml:space="preserve">рость - 360 км/час, нагрузка - 2 пулемета по 750 патронов каждый ПВ-1 или </w:t>
      </w:r>
      <w:r w:rsidRPr="00E93F40">
        <w:rPr>
          <w:rFonts w:ascii="Times New Roman" w:cs="Times New Roman"/>
          <w:color w:val="000000" w:themeColor="text1"/>
          <w:sz w:val="16"/>
          <w:szCs w:val="16"/>
          <w:lang w:val="en-US"/>
        </w:rPr>
        <w:t>HI</w:t>
      </w:r>
      <w:r w:rsidRPr="00E93F40">
        <w:rPr>
          <w:rFonts w:ascii="Times New Roman" w:cs="Times New Roman"/>
          <w:color w:val="000000" w:themeColor="text1"/>
          <w:sz w:val="16"/>
          <w:szCs w:val="16"/>
        </w:rPr>
        <w:t>КАС с соответствующим увеличением патрон до 100 штук на каждый, радиус действия - 2,5 часа» (15844).</w:t>
      </w:r>
    </w:p>
    <w:p w14:paraId="20059395" w14:textId="77777777" w:rsidR="00A03E14" w:rsidRPr="00E93F40" w:rsidRDefault="00A03E14" w:rsidP="00E93F40">
      <w:pPr>
        <w:pStyle w:val="45"/>
        <w:shd w:val="clear" w:color="auto" w:fill="auto"/>
        <w:spacing w:before="0" w:line="240" w:lineRule="auto"/>
        <w:jc w:val="both"/>
        <w:rPr>
          <w:rFonts w:ascii="Times New Roman" w:cs="Times New Roman"/>
          <w:color w:val="000000" w:themeColor="text1"/>
          <w:sz w:val="16"/>
          <w:szCs w:val="16"/>
        </w:rPr>
      </w:pPr>
    </w:p>
    <w:p w14:paraId="10FB6ED5" w14:textId="1DB5C3B3"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22 декабря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в докладе начальника ВВС Я.В. Алксниса о ходе работ по «Сталь-6» говорилось:</w:t>
      </w:r>
    </w:p>
    <w:p w14:paraId="18D7A198" w14:textId="5A125841"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Научно-исследовательские работы, выполненные под руководством Бартини при проектировании самолётов «Сталь-6»</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и «Сталь-8». </w:t>
      </w:r>
    </w:p>
    <w:p w14:paraId="235F113F" w14:textId="3BDC3B9E"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«Конструктором ВО ГВФ (Всесоюзное объединение Гражданского воздушного флота.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Д.С.) Бартини конструируется скоростной самолёт Сталь-6 в двух вариантах: гоночный и военный.</w:t>
      </w:r>
    </w:p>
    <w:p w14:paraId="11256D3D" w14:textId="5FFB7986"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Состояние гоночного варианта на сегодняшний день следующее: все рабочие чертежи закончены на 100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причём расчётные данные самолёта Сталь-6 (гоночного) под мотор Кертисс-Конкверор (М-32 не прошёл испытаний, пришлось приобрести американский двигатель.</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Д.С): скорость — 460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км/час, горючее — на 1</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час, вес — 1 тонна, потолок — 9000 метров. Никакой другой нагрузки, кроме лётчика — 90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w:t>
      </w:r>
    </w:p>
    <w:p w14:paraId="63DC7E59"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Проведены статические испытания всех агрегатов (фюзеляжа, хвостового оперения, подмоторной рамы, шасси), кроме крыла. Статические испытания крыла задерживаются из-за неготовности последнего по причине неполучения хромомолибденовых труб и нержавеющей стали.</w:t>
      </w:r>
    </w:p>
    <w:p w14:paraId="1CE7F739" w14:textId="0202CE19"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Не дожидаясь окончания статических испытаний самолёта Сталь-6 гоночный уже выпущен в производство и на сегодня готовность его следующая: фюзеляж — на 80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хвостовое оперение — на 90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управление — на 90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моторная установка — на 60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Крылья ещё не начаты опять-таки из-за недостатка труб и нержавеющей стали.</w:t>
      </w:r>
    </w:p>
    <w:p w14:paraId="0A0405D9" w14:textId="4683FD8C"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…Если хромомолибденовые трубы и нержавеющая сталь будут получены до конца января 1933 года, Бартини обещает выпустить этот гоночный Сталь-6</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 1 мая 1933 года. Военный вариант — в эскизном проекте под мотор М-22 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Кертис-Конкверор будет предъявлен для рассмотрения Научно-испытательному институту 5 января 1933 года.</w:t>
      </w:r>
    </w:p>
    <w:p w14:paraId="57611BE4" w14:textId="0E8AEB3F"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Расчетные данные военного варианта под М-22 или Кертис-Конкверор следующие: скорость — 360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км/час, нагрузка — 2 пулемета по 750 патронов каждый ПВ-1 или ШКАС с соответствующим увеличением патрон до 1000 штук на каждый, радиус действия — 2,5 часа» </w:t>
      </w:r>
      <w:hyperlink r:id="rId301" w:history="1">
        <w:r w:rsidRPr="00E93F40">
          <w:rPr>
            <w:rFonts w:ascii="Times New Roman" w:eastAsia="Times New Roman" w:hAnsi="Times New Roman"/>
            <w:color w:val="000000" w:themeColor="text1"/>
            <w:sz w:val="16"/>
            <w:szCs w:val="16"/>
            <w:lang w:eastAsia="ru-RU"/>
          </w:rPr>
          <w:t>[113]</w:t>
        </w:r>
      </w:hyperlink>
      <w:r w:rsidRPr="00E93F40">
        <w:rPr>
          <w:rFonts w:ascii="Times New Roman" w:eastAsia="Times New Roman" w:hAnsi="Times New Roman"/>
          <w:color w:val="000000" w:themeColor="text1"/>
          <w:sz w:val="16"/>
          <w:szCs w:val="16"/>
          <w:lang w:eastAsia="ru-RU"/>
        </w:rPr>
        <w:t xml:space="preserve"> (17489).</w:t>
      </w:r>
    </w:p>
    <w:p w14:paraId="4377CD4C"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p>
    <w:p w14:paraId="0372856F"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декабря 1932 года начальник управления ВВС РККА Я.И. Алкснис написал письмо председателю РВС К.Е. Ворошилову «О ходе работ по «Сталь-6» конструкции Бартини»: «Конструктором ВОГВФ Бартини конструируется скоростной самолет «Сталь~6» в двух вариантах: гоночный и военный. Состояние гоночного варианта на сегодняшний день следующее: все рабочие чертежи закончены на 100%, причем расчетные данные самолета «Сталь-6» (гоночного) под мотор Кертисс-Конкверор.</w:t>
      </w:r>
    </w:p>
    <w:p w14:paraId="5B75AA52"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Сжорость 460 км/час, горючее - на 1 час, вес - 1 тонна, потолок ~ 9000 метров. Никакой другой нагрузки, кроме лет чика - 90 кг.</w:t>
      </w:r>
    </w:p>
    <w:p w14:paraId="4C13F211"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Проведены статические испытания всех агрегатов (фюзеляжа, хвостового оперения, подмоторной рамы, шасси), кроме крыла.</w:t>
      </w:r>
    </w:p>
    <w:p w14:paraId="343A4DB1"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Статические испытания крыла задерживаются из-за неготовности последнего по причине неполучения хромомолибденовых труб и нержавеющей стали.</w:t>
      </w:r>
    </w:p>
    <w:p w14:paraId="3BC35F22"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 дожидаясь окончания статических испытаний самолета «Сталь-6», гоночный уже выпущен в производство и на сегодня готовность его следующая: фюзеляж - на 80%, хвостовое оперение - на 90%, управление - на 90%, моторная установка - на 60%. Крылья еще не начаты опять-таки из-за недостатка труб и нержавеющей стали.</w:t>
      </w:r>
    </w:p>
    <w:p w14:paraId="51258167"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Оригинальными особенностями и экспериментальными работами конструкции являются: </w:t>
      </w:r>
    </w:p>
    <w:p w14:paraId="26E23565"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крыльевые радиаторы для уменьшения лобового сопротивления и увеличения за этот счет скорости;</w:t>
      </w:r>
    </w:p>
    <w:p w14:paraId="4F272986"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конденсационные охлаждения - наполовину водой, наполовину паром при поддержании температуры 100 градусов для уменьшения веса и увеличения мощности мотора.</w:t>
      </w:r>
    </w:p>
    <w:p w14:paraId="2C70DE9C"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Если хромомолибденовые трубы и нержавеющая сталь будут получены до конца января 1933 года, Бартини обещает выпустить этот гоночный «Сталь-6» к 1 мая 1933 года. </w:t>
      </w:r>
    </w:p>
    <w:p w14:paraId="0118D3DA"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Военный вариант - в эскизном проекте под мотор М-22 и Кертисс-Конкверор будет предъявлен для рассмотрения Научно-испытательному институту 5 января 1933 года.</w:t>
      </w:r>
    </w:p>
    <w:p w14:paraId="3084091E"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Расчетные данные военного варианта под М -22 и Кертисс-Конкверор следующие: скорость - 360 км/час, нагрузка - 2 пулемета по 750 патронов каждый ПВ-1 или ШКАС с соответствующим увеличением патрон до 100 штук на каждый, радиус действия - 2,5 часа.</w:t>
      </w:r>
    </w:p>
    <w:p w14:paraId="545EA335"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Наблюдающим от НИИ как за гоночным вариантом, так и за военным является инженер Гребенев.</w:t>
      </w:r>
    </w:p>
    <w:p w14:paraId="4DA80F64"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Изложенное докладываю во исполнение Вашего указания».</w:t>
      </w:r>
    </w:p>
    <w:p w14:paraId="43635D79" w14:textId="77777777" w:rsidR="00045DAA" w:rsidRPr="00142305" w:rsidRDefault="00045DAA" w:rsidP="00045D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Резолюция заместителя председателя РВС на контрольном листе от 23 декабря 1932 года: «УВВС. Оказать поддержку. Тухачевский» (25168). </w:t>
      </w:r>
    </w:p>
    <w:p w14:paraId="5605C53F" w14:textId="77777777" w:rsidR="00045DAA" w:rsidRPr="00142305" w:rsidRDefault="00045DAA" w:rsidP="00045DAA">
      <w:pPr>
        <w:spacing w:after="0" w:line="240" w:lineRule="auto"/>
        <w:jc w:val="both"/>
        <w:rPr>
          <w:rFonts w:ascii="Times New Roman" w:hAnsi="Times New Roman"/>
          <w:color w:val="0070C0"/>
          <w:sz w:val="16"/>
          <w:szCs w:val="16"/>
        </w:rPr>
      </w:pPr>
    </w:p>
    <w:p w14:paraId="660BC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декабря 1932 состоялось заседание макетной комиссии по осмотру макета головного ТБ-4 (1077,176).</w:t>
      </w:r>
    </w:p>
    <w:p w14:paraId="6C62D4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7C5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декабря 1932 в ЦАГИ поступили 2 мотора М-34 для МИ-3 вместо 1 сентября, как планировалось (2310,143).</w:t>
      </w:r>
    </w:p>
    <w:p w14:paraId="0ACA6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0527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декабря 1932 года начальник ЦАГИ Харламов писал в Комиссию обороны.</w:t>
      </w:r>
    </w:p>
    <w:p w14:paraId="6ABB4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Докладная записка</w:t>
      </w:r>
    </w:p>
    <w:p w14:paraId="2CAE3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о состоянии и развертывании работ в области разрешения проблемы геликоптера.</w:t>
      </w:r>
    </w:p>
    <w:p w14:paraId="323AB5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сегодняшний день наилучшие летные данные построенных геликоптеров сводятся к следующему:</w:t>
      </w:r>
    </w:p>
    <w:p w14:paraId="11529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Максимальная высота подъема - 18 м (Италия, геликоптер Асканио, осень 1930 г.).</w:t>
      </w:r>
    </w:p>
    <w:p w14:paraId="28449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Максимальная продолжительность пребывания в воздухе 8,5 мин. (Италия, геликоптер Асканио, осень 1930 г.).</w:t>
      </w:r>
    </w:p>
    <w:p w14:paraId="6BABD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Наибольший пройденный в воздухе путь 1100 м (Франция, геликоптер Эмишена, лето 1924 г.).</w:t>
      </w:r>
    </w:p>
    <w:p w14:paraId="3AB17B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над разрешением проблемы геликоптера начаты в ЦАГИ с 1925 г. и в основном могут быть разделены на следующие этапы:</w:t>
      </w:r>
    </w:p>
    <w:p w14:paraId="45D1D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1925-28 г.г.</w:t>
      </w:r>
    </w:p>
    <w:p w14:paraId="1F66D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Лабораторно-экспериментальные изыскания.</w:t>
      </w:r>
    </w:p>
    <w:p w14:paraId="46EAB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Теоретические просчеты.</w:t>
      </w:r>
    </w:p>
    <w:p w14:paraId="348EE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различных вариантов аппаратов.</w:t>
      </w:r>
    </w:p>
    <w:p w14:paraId="68CF86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с летающими моделями.</w:t>
      </w:r>
    </w:p>
    <w:p w14:paraId="7C5BB3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1928-39 г.г.</w:t>
      </w:r>
    </w:p>
    <w:p w14:paraId="65025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метода аэродинамического расчета геликоптера.</w:t>
      </w:r>
    </w:p>
    <w:p w14:paraId="256D97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Анализ разрабатываемых вариантов.</w:t>
      </w:r>
    </w:p>
    <w:p w14:paraId="784B1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аппарата по выбранной схеме.</w:t>
      </w:r>
    </w:p>
    <w:p w14:paraId="7307C5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его конструкции.</w:t>
      </w:r>
    </w:p>
    <w:p w14:paraId="0C22D0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Изготовление рабочих чертежей.</w:t>
      </w:r>
    </w:p>
    <w:p w14:paraId="2E9ABB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Наблюдение за постройкой аппарата в процессе производства.</w:t>
      </w:r>
    </w:p>
    <w:p w14:paraId="011BD2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1930-33 г.г.</w:t>
      </w:r>
    </w:p>
    <w:p w14:paraId="23738D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построенного аппарата на земле и в полете.</w:t>
      </w:r>
    </w:p>
    <w:p w14:paraId="23174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отдельных модификаций этого аппарата с целью его улучшения.</w:t>
      </w:r>
    </w:p>
    <w:p w14:paraId="4F3AF4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построен опытный геликоптер 1-ЭА).</w:t>
      </w:r>
    </w:p>
    <w:p w14:paraId="23B1C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испытаниям геликоптера 1-ЭА было приступлено 6 августа 1930 года.</w:t>
      </w:r>
    </w:p>
    <w:p w14:paraId="7600B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произведено свободных полетных испытаний - 21.</w:t>
      </w:r>
    </w:p>
    <w:p w14:paraId="13D4B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На сегодняшний день мы имеем следующие результаты летных испытаний этого геликоптера:</w:t>
      </w:r>
    </w:p>
    <w:p w14:paraId="630468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Наибольшая достигнутая высота полета 600 м.</w:t>
      </w:r>
    </w:p>
    <w:p w14:paraId="3B25A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летных испытаний от испытания к испытанию все время улучшались:</w:t>
      </w:r>
    </w:p>
    <w:p w14:paraId="2EE97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12.12.30 г. - высота 2 м</w:t>
      </w:r>
    </w:p>
    <w:p w14:paraId="4D4DC4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13.05.31 г. - высота 12 м</w:t>
      </w:r>
    </w:p>
    <w:p w14:paraId="3B87D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26.06.32 г. - высота 25 м</w:t>
      </w:r>
    </w:p>
    <w:p w14:paraId="65AE7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30.06.32 г. - высота 60 м</w:t>
      </w:r>
    </w:p>
    <w:p w14:paraId="70AEF3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28.07.32 г. - высота 90 м</w:t>
      </w:r>
    </w:p>
    <w:p w14:paraId="02C042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1.08.32 г. - высота 160 м</w:t>
      </w:r>
    </w:p>
    <w:p w14:paraId="24B3C5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3.08.32 г. - высота 230 м</w:t>
      </w:r>
    </w:p>
    <w:p w14:paraId="1FA59C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5.08.32 г. - высота 285 м</w:t>
      </w:r>
    </w:p>
    <w:p w14:paraId="2F6937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14.08.32 г. - высота 600 м</w:t>
      </w:r>
    </w:p>
    <w:p w14:paraId="727746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Наибольшая продолжительность пребывания в воздухе 13 мин.</w:t>
      </w:r>
    </w:p>
    <w:p w14:paraId="64C9B5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Наибольшая длина пройденного пути около 3 км.</w:t>
      </w:r>
    </w:p>
    <w:p w14:paraId="293C50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Скорость горизонтального перемещения 25 км/час.</w:t>
      </w:r>
    </w:p>
    <w:p w14:paraId="09ED7F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испытаний были выявлены следующие летные возможности данного геликоптера:</w:t>
      </w:r>
    </w:p>
    <w:p w14:paraId="774099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Вертикальный взлет прямо с места.</w:t>
      </w:r>
    </w:p>
    <w:p w14:paraId="045A35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Неподвижное висение в воздухе на одном месте.</w:t>
      </w:r>
    </w:p>
    <w:p w14:paraId="13C08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Поступательное передвижение вперед и назад.</w:t>
      </w:r>
    </w:p>
    <w:p w14:paraId="5C1BA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Поворот на любой угол на месте.</w:t>
      </w:r>
    </w:p>
    <w:p w14:paraId="2B36E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Совершенно вертикальная посадка.</w:t>
      </w:r>
    </w:p>
    <w:p w14:paraId="74E76C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всех летных испытаниях управлял машиной инженер секции Особых конструкций Черемухин А.М.</w:t>
      </w:r>
    </w:p>
    <w:p w14:paraId="6D304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Над проблемой геликоптера Секции особых конструкций работают следующие лица:</w:t>
      </w:r>
    </w:p>
    <w:p w14:paraId="703EC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Инженер Изаксон А.М. - начальник Секции особых конструкций. Работает с 1925 года. Общее руководство всеми работами. Работы в части экспериментально-аэродинамической, общее наблюдении за производством и участие во всех испытаниях.</w:t>
      </w:r>
    </w:p>
    <w:p w14:paraId="34231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Инженер Черемухин А.М. - зам. нач. Секции особых конструкций. Работает с 1926 года. Работы конструкторские, наблюдение за конструированием и производством и управление аппаратом при всех испытаниях (на земле и в воздухе).</w:t>
      </w:r>
    </w:p>
    <w:p w14:paraId="40914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Инженер Бункин К.А. Инженер Секции особых конструкций. Работает с 1926 года. Конструирование всей механической части, наблюдение за производством и участие во всех испытаниях.</w:t>
      </w:r>
    </w:p>
    <w:p w14:paraId="213A0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Профессор Юрьев Б.Н. - принимал участие в этих работах в период с 1925 по начало 1930 г.</w:t>
      </w:r>
    </w:p>
    <w:p w14:paraId="4B4D4F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Инженер Братухин И.П. Работает с 1926 г. Работы расчетно-конструкторские и разработка аэродинамики винта.</w:t>
      </w:r>
    </w:p>
    <w:p w14:paraId="6FE63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Инженер Солнцев Г.И. Работает с 1926 г. Работы конструкторские.</w:t>
      </w:r>
    </w:p>
    <w:p w14:paraId="6E2B1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Инженер Маурин А. Работает с 1926 г. Работы конструкторские.</w:t>
      </w:r>
    </w:p>
    <w:p w14:paraId="059F19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Инженер Кононов Н.Х. Работы чертежно-конструкторские (3082,37-39).</w:t>
      </w:r>
    </w:p>
    <w:p w14:paraId="4399D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F2B6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декабря 1932 состоялся первый полет "этажерки" Вахмистрова (172,292).</w:t>
      </w:r>
    </w:p>
    <w:p w14:paraId="40606D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- 3 декабря 1931, а есть данные, что и в 1930.</w:t>
      </w:r>
    </w:p>
    <w:p w14:paraId="4E4651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B30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декабря 1932 года были получены моторы (вместо 1 сентября 1932 года, намеченного по плану) для МИ-3 2М-34 - многоместного истребителя, вооруженного 6 пулеметами и 1 авт. пушкой. Дальность полета – 1000 км. Скорость – 300 км/час (3530,70-86).</w:t>
      </w:r>
    </w:p>
    <w:p w14:paraId="40F389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DCCADA" w14:textId="77777777" w:rsidR="00A634C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65EE9F6" w14:textId="77777777" w:rsidR="00A634CB" w:rsidRPr="00E93F40" w:rsidRDefault="00A634C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4230E7"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22 декабря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Постановление СТО СССР и Комиссии обороны № 1593/478сс о председателе Финансово-технической арбитражной комиссии НК РКИ СССР по заказам Наркомвоенмора (ГА РФ. Ф. Р?8418. Оп. 28. Д. 1а. Л. 425) (12415).</w:t>
      </w:r>
    </w:p>
    <w:p w14:paraId="405AB9AD"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Постановление СТО СССР и Комиссии обороны № 1594/479сс о мобзапасе снарядов (ГА РФ. Ф. Р?8418. Оп. 28. Д. 1а. Л. 426?427). (12415)</w:t>
      </w:r>
    </w:p>
    <w:p w14:paraId="7391FEAF" w14:textId="17E348C8" w:rsidR="00A634CB" w:rsidRPr="00E93F40" w:rsidRDefault="00A634CB" w:rsidP="00E93F40">
      <w:pPr>
        <w:spacing w:after="0" w:line="240" w:lineRule="auto"/>
        <w:jc w:val="both"/>
        <w:rPr>
          <w:rFonts w:ascii="Times New Roman" w:hAnsi="Times New Roman"/>
          <w:color w:val="000000" w:themeColor="text1"/>
          <w:sz w:val="16"/>
          <w:szCs w:val="16"/>
          <w:u w:color="002060"/>
        </w:rPr>
      </w:pPr>
    </w:p>
    <w:p w14:paraId="056BEBF7" w14:textId="31149DB0" w:rsidR="00D65060" w:rsidRPr="00E93F40" w:rsidRDefault="00D65060" w:rsidP="00E93F40">
      <w:pPr>
        <w:spacing w:after="0" w:line="240" w:lineRule="auto"/>
        <w:jc w:val="both"/>
        <w:rPr>
          <w:rFonts w:ascii="Times New Roman" w:hAnsi="Times New Roman"/>
          <w:i/>
          <w:iCs/>
          <w:color w:val="000000" w:themeColor="text1"/>
          <w:sz w:val="16"/>
          <w:szCs w:val="16"/>
          <w:u w:color="002060"/>
        </w:rPr>
      </w:pPr>
      <w:r w:rsidRPr="00E93F40">
        <w:rPr>
          <w:rFonts w:ascii="Times New Roman" w:hAnsi="Times New Roman"/>
          <w:i/>
          <w:iCs/>
          <w:color w:val="000000" w:themeColor="text1"/>
          <w:sz w:val="16"/>
          <w:szCs w:val="16"/>
          <w:u w:color="002060"/>
        </w:rPr>
        <w:t>За рубежом:</w:t>
      </w:r>
    </w:p>
    <w:p w14:paraId="1DF0BECD" w14:textId="77777777" w:rsidR="00D65060" w:rsidRPr="00E93F40" w:rsidRDefault="00D65060" w:rsidP="00E93F40">
      <w:pPr>
        <w:spacing w:after="0" w:line="240" w:lineRule="auto"/>
        <w:jc w:val="both"/>
        <w:rPr>
          <w:rFonts w:ascii="Times New Roman" w:hAnsi="Times New Roman"/>
          <w:i/>
          <w:iCs/>
          <w:color w:val="000000" w:themeColor="text1"/>
          <w:sz w:val="16"/>
          <w:szCs w:val="16"/>
          <w:u w:color="002060"/>
        </w:rPr>
      </w:pPr>
    </w:p>
    <w:p w14:paraId="5238F417"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декабря 1932 во время войны Чако, три боливийских самолета - два Curtiss-Wright CW-14 Osprey и Curtiss P-6 Hawk - делают три бомбардировки и обстреливать канонерку ARP Такуарей парагвайского флота, пока она находится на якоре в Река Парагвай в Баия-Негра, Парагвай; они сбрасывают 15 бомб, 11 из которых попадают в Такуарии. Tacuary поражает один из CW-14 снарядом 37 мм (1,46 дюйма ) и вскоре после этого CW-14 разбивается в Бразилии (20803).</w:t>
      </w:r>
    </w:p>
    <w:p w14:paraId="6DF90087" w14:textId="77777777" w:rsidR="00D65060" w:rsidRPr="00E93F40" w:rsidRDefault="00D65060" w:rsidP="00E93F40">
      <w:pPr>
        <w:spacing w:after="0" w:line="240" w:lineRule="auto"/>
        <w:jc w:val="both"/>
        <w:rPr>
          <w:rFonts w:ascii="Times New Roman" w:hAnsi="Times New Roman"/>
          <w:color w:val="000000" w:themeColor="text1"/>
          <w:sz w:val="16"/>
          <w:szCs w:val="16"/>
        </w:rPr>
      </w:pPr>
    </w:p>
    <w:p w14:paraId="42E4727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1071E0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190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декабря 1932 были представлены техтребования к самолету И-13 М-32Н (7415, 16).</w:t>
      </w:r>
    </w:p>
    <w:p w14:paraId="70B2D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2041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декабря 1932 закончились гос. испытания машины АНТ-6 (ТБ-3) N 3901 39 завода, головного на первую половину 1933, которые шли с 7 декабря 1932 (1017,169).</w:t>
      </w:r>
    </w:p>
    <w:p w14:paraId="2884B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569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декабря 1932 НКВМ в лице Тухачевского писал письмо N 1047сс НКТП Г.К.О. и Зам. НКТП П.И.Б. о форсировании опытных работ и подготовки серийного производства нагнетателей, редукторов и ВИШ (которое сильно перекликалось с письмом Тухачевского от 21 марта 1933) (2305,2).</w:t>
      </w:r>
    </w:p>
    <w:p w14:paraId="43586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резкого повышения летных данных самолетов как состоящих на вооружении ВВС РККА, так и строящихся опытных в основном зависит от авиационного мотора.</w:t>
      </w:r>
    </w:p>
    <w:p w14:paraId="31CE8D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в области самолетостроения мы в некоторой части даже перегнали заграницу, то наше моторостроение по прежнему значительно отстаёт от заграничных достижений.</w:t>
      </w:r>
    </w:p>
    <w:p w14:paraId="5C2648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Два качества современного авиа мотора делают его особенно ценным:</w:t>
      </w:r>
    </w:p>
    <w:p w14:paraId="43C207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Установка специальногонагнетателя (импеллера), сжимающего разреженный воздух для подачи его в мотор.</w:t>
      </w:r>
    </w:p>
    <w:p w14:paraId="05AC6E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2.Снабжение мотора передачей (редуктором), уменьшающим число оборотов винта по с равнению с числом оборотов мотора.</w:t>
      </w:r>
    </w:p>
    <w:p w14:paraId="432965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Благодаря нагнетателю (его характеристике) мотор сохраняет свою мощность неизменной до больших высот (4000-5000 и и выше), в силу чего летные данные с-та на этих боевых высотах резко увеличиваются.</w:t>
      </w:r>
    </w:p>
    <w:p w14:paraId="2638F6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Редуктор улучшает работу винта, на тяжелых самолетах с толстым крылом, в результате чего уменьшается время разбега самолета, увеличивается горизонталь скорость и улучшается скороподъемность.</w:t>
      </w:r>
    </w:p>
    <w:p w14:paraId="72654E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Насколько сильно влияет снабжение редуктором и нагнетателем на боевые ланные самолета, показывает следующая сравнительная таслица расчетов главного конструктора ЦАГИ тов. ТУПОЛЕВА 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701"/>
        <w:gridCol w:w="1701"/>
      </w:tblGrid>
      <w:tr w:rsidR="00DA227A" w:rsidRPr="00E93F40" w14:paraId="7D599863" w14:textId="77777777">
        <w:tc>
          <w:tcPr>
            <w:tcW w:w="959" w:type="dxa"/>
            <w:tcBorders>
              <w:top w:val="single" w:sz="12" w:space="0" w:color="auto"/>
            </w:tcBorders>
          </w:tcPr>
          <w:p w14:paraId="338014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1843" w:type="dxa"/>
            <w:tcBorders>
              <w:top w:val="single" w:sz="12" w:space="0" w:color="auto"/>
            </w:tcBorders>
          </w:tcPr>
          <w:p w14:paraId="53AAF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1701" w:type="dxa"/>
            <w:tcBorders>
              <w:top w:val="single" w:sz="12" w:space="0" w:color="auto"/>
            </w:tcBorders>
          </w:tcPr>
          <w:p w14:paraId="614A8E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 без редуктора и нагнетателя</w:t>
            </w:r>
          </w:p>
        </w:tc>
        <w:tc>
          <w:tcPr>
            <w:tcW w:w="1701" w:type="dxa"/>
            <w:tcBorders>
              <w:top w:val="single" w:sz="12" w:space="0" w:color="auto"/>
            </w:tcBorders>
          </w:tcPr>
          <w:p w14:paraId="04599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 с редуктором</w:t>
            </w:r>
          </w:p>
        </w:tc>
        <w:tc>
          <w:tcPr>
            <w:tcW w:w="1701" w:type="dxa"/>
            <w:tcBorders>
              <w:top w:val="single" w:sz="12" w:space="0" w:color="auto"/>
            </w:tcBorders>
          </w:tcPr>
          <w:p w14:paraId="7C5FA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 с нагнетателем до 5000 м</w:t>
            </w:r>
          </w:p>
        </w:tc>
      </w:tr>
      <w:tr w:rsidR="00DA227A" w:rsidRPr="00E93F40" w14:paraId="4AD6BD10" w14:textId="77777777">
        <w:tc>
          <w:tcPr>
            <w:tcW w:w="959" w:type="dxa"/>
          </w:tcPr>
          <w:p w14:paraId="71380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1843" w:type="dxa"/>
          </w:tcPr>
          <w:p w14:paraId="0DF49F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на 5000 м</w:t>
            </w:r>
          </w:p>
        </w:tc>
        <w:tc>
          <w:tcPr>
            <w:tcW w:w="1701" w:type="dxa"/>
          </w:tcPr>
          <w:p w14:paraId="7CA49D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w:t>
            </w:r>
          </w:p>
        </w:tc>
        <w:tc>
          <w:tcPr>
            <w:tcW w:w="1701" w:type="dxa"/>
          </w:tcPr>
          <w:p w14:paraId="5229BA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w:t>
            </w:r>
          </w:p>
        </w:tc>
        <w:tc>
          <w:tcPr>
            <w:tcW w:w="1701" w:type="dxa"/>
          </w:tcPr>
          <w:p w14:paraId="25D3D6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w:t>
            </w:r>
          </w:p>
        </w:tc>
      </w:tr>
      <w:tr w:rsidR="00DA227A" w:rsidRPr="00E93F40" w14:paraId="2BE09C7B" w14:textId="77777777">
        <w:tc>
          <w:tcPr>
            <w:tcW w:w="959" w:type="dxa"/>
          </w:tcPr>
          <w:p w14:paraId="2B1FE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2D3D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c>
          <w:tcPr>
            <w:tcW w:w="1701" w:type="dxa"/>
          </w:tcPr>
          <w:p w14:paraId="14328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5100</w:t>
            </w:r>
          </w:p>
        </w:tc>
        <w:tc>
          <w:tcPr>
            <w:tcW w:w="1701" w:type="dxa"/>
          </w:tcPr>
          <w:p w14:paraId="707E6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w:t>
            </w:r>
          </w:p>
        </w:tc>
        <w:tc>
          <w:tcPr>
            <w:tcW w:w="1701" w:type="dxa"/>
          </w:tcPr>
          <w:p w14:paraId="3CCD5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7100</w:t>
            </w:r>
          </w:p>
        </w:tc>
      </w:tr>
      <w:tr w:rsidR="00DA227A" w:rsidRPr="00E93F40" w14:paraId="76EEB447" w14:textId="77777777">
        <w:tc>
          <w:tcPr>
            <w:tcW w:w="959" w:type="dxa"/>
          </w:tcPr>
          <w:p w14:paraId="62DFF5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w:t>
            </w:r>
          </w:p>
        </w:tc>
        <w:tc>
          <w:tcPr>
            <w:tcW w:w="1843" w:type="dxa"/>
          </w:tcPr>
          <w:p w14:paraId="44EB2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на 5000 м</w:t>
            </w:r>
          </w:p>
        </w:tc>
        <w:tc>
          <w:tcPr>
            <w:tcW w:w="1701" w:type="dxa"/>
          </w:tcPr>
          <w:p w14:paraId="0C6654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255</w:t>
            </w:r>
          </w:p>
        </w:tc>
        <w:tc>
          <w:tcPr>
            <w:tcW w:w="1701" w:type="dxa"/>
          </w:tcPr>
          <w:p w14:paraId="4CB1A6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Pr>
          <w:p w14:paraId="563CD6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w:t>
            </w:r>
          </w:p>
        </w:tc>
      </w:tr>
      <w:tr w:rsidR="00DA227A" w:rsidRPr="00E93F40" w14:paraId="375485BF" w14:textId="77777777">
        <w:tc>
          <w:tcPr>
            <w:tcW w:w="959" w:type="dxa"/>
            <w:tcBorders>
              <w:bottom w:val="single" w:sz="12" w:space="0" w:color="auto"/>
            </w:tcBorders>
          </w:tcPr>
          <w:p w14:paraId="3E870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bottom w:val="single" w:sz="12" w:space="0" w:color="auto"/>
            </w:tcBorders>
          </w:tcPr>
          <w:p w14:paraId="5DEE6B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c>
          <w:tcPr>
            <w:tcW w:w="1701" w:type="dxa"/>
            <w:tcBorders>
              <w:bottom w:val="single" w:sz="12" w:space="0" w:color="auto"/>
            </w:tcBorders>
          </w:tcPr>
          <w:p w14:paraId="1EAFAA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1701" w:type="dxa"/>
            <w:tcBorders>
              <w:bottom w:val="single" w:sz="12" w:space="0" w:color="auto"/>
            </w:tcBorders>
          </w:tcPr>
          <w:p w14:paraId="543A77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61F96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8500</w:t>
            </w:r>
          </w:p>
        </w:tc>
      </w:tr>
    </w:tbl>
    <w:p w14:paraId="409BC8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Строящийся нами серийный мотор М34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т.е. на 5000 м, то он оказывается по своим качествам ниже средних современных заграничных моторов (т.к. без редуктора и нагнетателя).</w:t>
      </w:r>
    </w:p>
    <w:p w14:paraId="33790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Все наши тяжелые бомбардировщики и разведчики должны были базироваться на моторе М34 с нагнетателем и редуктором. Но М34 мы получаем без нагнетателя и редуктора.</w:t>
      </w:r>
    </w:p>
    <w:p w14:paraId="450C1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Опытные образцы истребителей по плану должны обеспечить моторы М38, М58 и М32 - все с нагнетателем. На сверх тяжелый бомбовоз ТБ-6, который выйдет в конце 1934 года по плану предусмотрено установить моторы М-44 по 2000 л.с. с нагнетателями.</w:t>
      </w:r>
    </w:p>
    <w:p w14:paraId="7CF22B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 одного из перечисленных моторов на сегодняшний день мы не имеем, хотя по плану срок выхода первых трех моторов был в 1932 году. Все эти моторы являлись главнейшими и от их выпуска зависит выполнение плана опытного самолетостроения.</w:t>
      </w:r>
    </w:p>
    <w:p w14:paraId="717370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промышленность не справится в кратчайший срок с выпуском мотора М-34 с нагнетателем и М-34 с редуктором, М38 с нагнетателем, М58 с нагнетателем, М32 с редуктором и нагнетателем и М-14 с нагнетагелец, то фактически план опытного самолет остр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74BA53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 конструкторских сил и недостаточным вниманием делу морского самолетостроения со стороны ЦАГИ.</w:t>
      </w:r>
    </w:p>
    <w:p w14:paraId="2B1FE5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1A4E2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см. Письмо Алксниса Ворошилову от 21 марта 1933 г. (2305,2).</w:t>
      </w:r>
    </w:p>
    <w:p w14:paraId="2D868A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7C5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декабря 1932 С.П.К. с Ф.А. Цандером подписал акт о готовности двигателя ОР-2 к предварительным испытаниям (ААН, р. 4, оп. 14, № 2, л. 21) (10676).</w:t>
      </w:r>
    </w:p>
    <w:p w14:paraId="463F1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E4E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декабря 1932 ОР-2 Ф.А.Цандера был принят специальной комиссией для практического использования (271,130).</w:t>
      </w:r>
    </w:p>
    <w:p w14:paraId="52416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11D3966" w14:textId="77777777" w:rsidR="002D4C6E" w:rsidRPr="00E93F40" w:rsidRDefault="002D4C6E"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23 декабря</w:t>
      </w:r>
      <w:r w:rsidRPr="00E93F40">
        <w:rPr>
          <w:rFonts w:ascii="Times New Roman" w:hAnsi="Times New Roman"/>
          <w:color w:val="000000" w:themeColor="text1"/>
          <w:sz w:val="16"/>
          <w:szCs w:val="16"/>
        </w:rPr>
        <w:t xml:space="preserve"> в 1932 году специальная комиссия приняла для практического использования первый в мире авиационный реактивный двигатель «ОР-2» конструкции Ф.О.Цандера (14869).</w:t>
      </w:r>
    </w:p>
    <w:p w14:paraId="492FC4F0" w14:textId="77777777" w:rsidR="002D4C6E" w:rsidRPr="00E93F40" w:rsidRDefault="002D4C6E" w:rsidP="00E93F40">
      <w:pPr>
        <w:spacing w:after="0" w:line="240" w:lineRule="auto"/>
        <w:jc w:val="both"/>
        <w:rPr>
          <w:rFonts w:ascii="Times New Roman" w:hAnsi="Times New Roman"/>
          <w:color w:val="000000" w:themeColor="text1"/>
          <w:sz w:val="16"/>
          <w:szCs w:val="16"/>
        </w:rPr>
      </w:pPr>
    </w:p>
    <w:p w14:paraId="0D024507"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23 декабря 1932 г. было завершено из</w:t>
      </w:r>
      <w:r w:rsidRPr="00E93F40">
        <w:rPr>
          <w:rFonts w:ascii="Times New Roman" w:hAnsi="Times New Roman"/>
          <w:color w:val="000000" w:themeColor="text1"/>
          <w:sz w:val="16"/>
          <w:szCs w:val="16"/>
        </w:rPr>
        <w:softHyphen/>
        <w:t>готовление двигателя Цандера ОР-2. Цандер уже планировал заняться новым двигателем, с тягой 600 кг/сек.</w:t>
      </w:r>
    </w:p>
    <w:p w14:paraId="2B1ED152"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ГИРД хотели как можно скорее увидеть полет ракето</w:t>
      </w:r>
      <w:r w:rsidRPr="00E93F40">
        <w:rPr>
          <w:rFonts w:ascii="Times New Roman" w:hAnsi="Times New Roman"/>
          <w:color w:val="000000" w:themeColor="text1"/>
          <w:sz w:val="16"/>
          <w:szCs w:val="16"/>
        </w:rPr>
        <w:softHyphen/>
        <w:t>плана и бескрылой ракеты. Их энтузиазм в наше время выглядит фантастическим. Почти все они работали бесплатно, в свободное время после работы, по ночам, в выходные дни. Вскоре появились ракеты конструкции Тихонравова, затем конструкции Цандера. Создание же ракетоплана затянулось.</w:t>
      </w:r>
    </w:p>
    <w:p w14:paraId="5850FDF8"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Цандер не увидел свою ракету в полете. Он сильно переутомился (проектировал ракеты и двигатели, разрабатывал новые конструкции, писал статьи, участвовал в общественной ра</w:t>
      </w:r>
      <w:r w:rsidRPr="00E93F40">
        <w:rPr>
          <w:rFonts w:ascii="Times New Roman" w:hAnsi="Times New Roman"/>
          <w:color w:val="000000" w:themeColor="text1"/>
          <w:sz w:val="16"/>
          <w:szCs w:val="16"/>
        </w:rPr>
        <w:softHyphen/>
        <w:t>боте, ухаживал за своей оранжереей, помогал жене, ведь в семье было двое маленьких детей).</w:t>
      </w:r>
    </w:p>
    <w:p w14:paraId="362C025D"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трудом уговорили его поехать отдохнуть в Кисловодск. Но в пути он заразился тифом. Слабый организм не выдержал, и 28 марта 1933 г. Фридрих Артурович скончался, не дожив до 46 лет. Его похоронили в Кисловодске.</w:t>
      </w:r>
    </w:p>
    <w:p w14:paraId="51637982" w14:textId="77777777" w:rsidR="00EC4193" w:rsidRPr="00E93F40" w:rsidRDefault="00EC419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Через полтора месяца после смерти Цандера его имя присво</w:t>
      </w:r>
      <w:r w:rsidRPr="00E93F40">
        <w:rPr>
          <w:rFonts w:ascii="Times New Roman" w:hAnsi="Times New Roman"/>
          <w:color w:val="000000" w:themeColor="text1"/>
          <w:sz w:val="16"/>
          <w:szCs w:val="16"/>
        </w:rPr>
        <w:softHyphen/>
        <w:t>или ГИРД, которая превратилась из общественного объединения в бюджетную организацию со своей производственной базой (пусть и маломощной) (23550).</w:t>
      </w:r>
    </w:p>
    <w:p w14:paraId="70395441" w14:textId="77777777" w:rsidR="00EC4193" w:rsidRPr="00E93F40" w:rsidRDefault="00EC4193" w:rsidP="00E93F40">
      <w:pPr>
        <w:spacing w:after="0" w:line="240" w:lineRule="auto"/>
        <w:jc w:val="both"/>
        <w:rPr>
          <w:rFonts w:ascii="Times New Roman" w:hAnsi="Times New Roman"/>
          <w:color w:val="000000" w:themeColor="text1"/>
          <w:sz w:val="16"/>
          <w:szCs w:val="16"/>
        </w:rPr>
      </w:pPr>
    </w:p>
    <w:p w14:paraId="48A2FE95" w14:textId="77777777" w:rsidR="00A634CB"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00D7A57" w14:textId="77777777" w:rsidR="00A634CB" w:rsidRPr="00E93F40" w:rsidRDefault="00A634CB"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01B17C7"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r w:rsidRPr="00E93F40">
        <w:rPr>
          <w:rFonts w:ascii="Times New Roman" w:hAnsi="Times New Roman"/>
          <w:color w:val="000000" w:themeColor="text1"/>
          <w:sz w:val="16"/>
          <w:szCs w:val="16"/>
          <w:u w:color="002060"/>
        </w:rPr>
        <w:t>23 декабря</w:t>
      </w:r>
      <w:r w:rsidRPr="00E93F40">
        <w:rPr>
          <w:rFonts w:ascii="Times New Roman" w:hAnsi="Times New Roman"/>
          <w:color w:val="000000" w:themeColor="text1"/>
          <w:sz w:val="16"/>
          <w:szCs w:val="16"/>
        </w:rPr>
        <w:t xml:space="preserve"> 1932 г</w:t>
      </w:r>
      <w:r w:rsidRPr="00E93F40">
        <w:rPr>
          <w:rFonts w:ascii="Times New Roman" w:hAnsi="Times New Roman"/>
          <w:color w:val="000000" w:themeColor="text1"/>
          <w:sz w:val="16"/>
          <w:szCs w:val="16"/>
          <w:u w:color="002060"/>
        </w:rPr>
        <w:t>. Протокол заседания Политбюро ЦК ВКП(б) № 127. Опросом членов ПБ от 22 декабря. 45/27. О Сталинградском тракторном заводе (ПБ от 25 ноября 1932 г., пр. № 123, п. 106/82а). 49/31. Об артиллерийских и верховых лошадях для УССР. (Политбюро... Т. 2. С. 385).</w:t>
      </w:r>
    </w:p>
    <w:p w14:paraId="7A6BDB4C" w14:textId="77777777" w:rsidR="00A634CB" w:rsidRPr="00E93F40" w:rsidRDefault="00A634CB" w:rsidP="00E93F40">
      <w:pPr>
        <w:spacing w:after="0" w:line="240" w:lineRule="auto"/>
        <w:jc w:val="both"/>
        <w:rPr>
          <w:rFonts w:ascii="Times New Roman" w:hAnsi="Times New Roman"/>
          <w:color w:val="000000" w:themeColor="text1"/>
          <w:sz w:val="16"/>
          <w:szCs w:val="16"/>
          <w:u w:color="002060"/>
        </w:rPr>
      </w:pPr>
    </w:p>
    <w:p w14:paraId="16C8E0A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360469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F8188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Между 24 и 31 декабря 1932. Из протокола заседания Политбюро N127, 1932 г. </w:t>
      </w:r>
    </w:p>
    <w:p w14:paraId="775F1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 отпуске средств из резервного фонда СНК СССР </w:t>
      </w:r>
    </w:p>
    <w:p w14:paraId="1554F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Утвердить постановление СНК СССР об отпуске из резервного фонда СНК СССР 250 000 рублей Западно-Сибирскому крайисполкому на мероприятия по борьбе с сыпно-тифозной вспышкой. </w:t>
      </w:r>
    </w:p>
    <w:p w14:paraId="770B17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9A1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Между 24 и 31 декабря 1932. Из протокола заседания Политбюро N127, 1932 г. </w:t>
      </w:r>
    </w:p>
    <w:p w14:paraId="562A6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 сокращении вузов по линии НКЗема и НКПС и научно-исследовательских институтов по линии НКТП, Наркомлегпрома, НКПС и ЦУдортранса </w:t>
      </w:r>
    </w:p>
    <w:p w14:paraId="3377CB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постановления СНК СССР о ВТУЗах и техникумах утвердить с тем, чтобы сокращаемые 3734 студента из ВТУЗов НКЗема были переведены в другие ВТУЗы и техникумы и частично направлены на производство (11652).</w:t>
      </w:r>
    </w:p>
    <w:p w14:paraId="15BF6161" w14:textId="5E8AA409"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C3D965" w14:textId="570C02B9" w:rsidR="00D65060" w:rsidRPr="00E93F40" w:rsidRDefault="00D65060"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рубежом:</w:t>
      </w:r>
    </w:p>
    <w:p w14:paraId="2D8C7B2E" w14:textId="77777777" w:rsidR="00D65060" w:rsidRPr="00E93F40" w:rsidRDefault="00D65060"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2A5E4588"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декабря 1932 два самолета Боливийского авиационного корпуса - CW-14 Osprey и P-6 Hawk - которые совершили авиаудар 22 декабря по канонерской лодке ВМС Парагвая ARP Tacuary в Баия-Негра, возвращаются, чтобы снова атаковать ее. На этот раз Tacuary уклоняется . Ни одна из бомб, сброшенных двумя самолетами, не попала в Такуари, но их обстрелы ранили нескольких ее членов экипажа. В результате атак 22 и 24 декабря на Tacuary в ее корпусе остались 29 осколков и 45 пулевых отверстий (20803).</w:t>
      </w:r>
    </w:p>
    <w:p w14:paraId="7D9E2A00" w14:textId="77777777" w:rsidR="00D65060" w:rsidRPr="00E93F40" w:rsidRDefault="00D65060" w:rsidP="00E93F40">
      <w:pPr>
        <w:spacing w:after="0" w:line="240" w:lineRule="auto"/>
        <w:jc w:val="both"/>
        <w:rPr>
          <w:rFonts w:ascii="Times New Roman" w:hAnsi="Times New Roman"/>
          <w:color w:val="000000" w:themeColor="text1"/>
          <w:sz w:val="16"/>
          <w:szCs w:val="16"/>
        </w:rPr>
      </w:pPr>
    </w:p>
    <w:p w14:paraId="6A078B3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E75D4E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750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25 октября по 8 декабря 1932 г. самолет Р-5, модифицированный в 252-й авиабригаде в Гомеле по инициативе комбрига А.А. Туржанского и инженера Павлова летом 1932, проходил испытания в НИИ ВВС Конструкцию в целом одобрили, но испытатели высказали ряд замечаний. Машину доработали в мастерских НИИ ВВС под руководством инженера Бобовникова. Количество замков бомбодержателей увеличили до 40, что позволило эффективнее применять бомбы малого калибра. Нормальная бомбовая нагрузка Р-5Ш составляла 320 кг, максимальная - 400 кг (40 штук АО-10). Использование боеприпасов калибром более 100 кг не предусматривалось.</w:t>
      </w:r>
    </w:p>
    <w:p w14:paraId="28FFE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вооружить все наши штурмовые части полностью пулеметными батареями по образцу (способу) Туржанского-Павлова... ". К февралю 1933 г. не успели. Лишь в начале года удалось договориться с промышленностью о выпуске 220 комплектов для переделки Р-5. Завод № 1 обязался сдать 10 эталонных Р-5Ш, которые должны были стать образцами для мастерских ВВС. Исходный же опытный образец после внесения изменений продемонстрировали на Центральном аэродроме комиссии РВС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w:t>
      </w:r>
    </w:p>
    <w:p w14:paraId="7BCC2A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1 строил Р-5Ш в 1933-34 гг. Кроме того, в частях под этот стандарт переделывали самолеты разных серий. Поэтому точно оценить количество Р-5Ш не удается. Судя по наличию их в ВВС, всего существовало около 500 машин (11936).</w:t>
      </w:r>
    </w:p>
    <w:p w14:paraId="62852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7D3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и 28 декабря 1932 в Глававиапроме состоялось заседание о выполнении мероприятий по обеспечению производства ТБ-4 и Ми-3 (1077,176).</w:t>
      </w:r>
    </w:p>
    <w:p w14:paraId="21F0B2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F9C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декабря 1932 состоялось заседание у Врид. нач. ГУАП Макаровского (протокол 156):</w:t>
      </w:r>
    </w:p>
    <w:p w14:paraId="6E0F52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 О выполнении мероприятий по обеспечению производства самолетов ТБ-4 и Ми-3 (протокол 129 заседания у нач. ГУАП от 4 декабря 1932) (2291,137).</w:t>
      </w:r>
    </w:p>
    <w:p w14:paraId="5CD447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C16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декабря 1932 на аэродром вышел ТБ-3 4М-34РН с моторами, но без редукторов. Моторы поступили только 17 декабря (2287,130).</w:t>
      </w:r>
    </w:p>
    <w:p w14:paraId="542A9D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E45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декабря 1932 С.П.К. с Ф.А. Цандером участвовал в первой серии испытаний ОР-2 с 26 декабря 1932 г. по 28 января 1933 г.; следующую серию испытаний Ф.А. Цандер провел с 14 по 19 февраля 1933 г. После его смерти испытания были возобновлены и проводились с участием СПК, Л.К. Корнеева и А.И. Полярного до 4 июля 1933 г. (Там же) (10676).</w:t>
      </w:r>
    </w:p>
    <w:p w14:paraId="307DE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A10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декабря 1932 г. Приказом ГУАП от № 604 завод № 125 передали от строительного треста "Авиастрой" в непосредственное введение Глававиапрома ГУАП НКТП. Но это мало что изменило в вопросах снабжения.</w:t>
      </w:r>
    </w:p>
    <w:p w14:paraId="61FF0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Владимир Ирьянов бесконечно писал в Наркомат и партийные органы, вплоть до ЦК ВКП(б), требуя прислать цемент, металл и даже строевой лес. Парадоксально, но, находясь посреди настоящего таежного моря, начальник строительства не имел полномочий использовать местную древесину, поскольку стройка велась под эгидой Москвы и Иркутская область не располагала фондами для ее снабжения.</w:t>
      </w:r>
    </w:p>
    <w:p w14:paraId="0EBD9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В.Г.Ирьянов поставил вопрос перед Правительством и ЦК ВКП (б) вопрос об организации в Москве филиала завода, который ведал бы подготовкой на авиационных заводах кадров для Иркутска, обеспечивал завод оборудованием, материалами, передавал бы технологии и рабочие чертежи планируемых к выпуску изделий. Для осуществления всех этих мероприятий были отведены кратчайшие сроки.</w:t>
      </w:r>
    </w:p>
    <w:p w14:paraId="195B9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Ирьянов направил в Москву качестве помощника директора завода и начальника филиала опытного снабженца Леванова. Наркомпротяжпром отвел филиалу помещение на Проломном проезде в Лефортово. По постановлению ЦК ВКП (б) с ряда авиационных заводов страны были мобилизованы несколько сот специалистов, которые составили костяк филиала завода. Несколько сот комсомольцев было направлено на стажировку на авиазаводы в Воронеж, Таганрог и другие города. По комсомольскому призыву В 1934 - 35 гг. на завод № 125 приехали свыше 150 выпускников авиационных техникумов Москвы, Воронежа, Таганрога.</w:t>
      </w:r>
    </w:p>
    <w:p w14:paraId="693560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Начали готовить специалистов и в Иркутске - в Политехническом институте и в авиатехникуме при заводе, который организовала и возглавила Ф.И.Ирьянова - жена В.Г.Ирьянова. Активная женщина вела еще большую работу по линии женсовета - был и такой орган в то время, - решая не менее сложные, чем ее супруг, задачи социально-бытовой и культурной сферы. Не без ее участия для улучшения бытового устройства специалистов, В.Г.Ирьянов добился для завода специальных ассигнований в объеме 20 тыс. руб. Примечательно, что Постановление о выделении средств подписал 20 декабря 1934 г. сам И.В.Сталин.</w:t>
      </w:r>
    </w:p>
    <w:p w14:paraId="3FD421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Руководители Наркомата, торопя события и понимая, что пока завод не в состоянии выполнять производстенную программу, предлагают Ирьянову договориться (именно так написано в оригинале документа) с московским заводом №1 об изготовлении там металлических узлов, приспособлений и инструментов для строительства самолетов Р- 5, для того, чтобы уже в третьем квартале следующего 1933 г. выпустить, ни много ни мало, 25 самолетов этого типа, а в четвертом квартале - еще 75!</w:t>
      </w:r>
    </w:p>
    <w:p w14:paraId="48036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это выполнено не было, хотя бы потому, что в 1933 г. завод просто еще не существовал как промышленное предприятие, а находился в стадии строительства. В конце августа ГУАП решил поручить Иркутску строить уже не устаревший биплан Р-5, а большую цельнометаллическую летающую лодку МДР-4. Заместитель Туполева по морскому самолетостроению И.И.По- госский собирался начать передачу чертежей на завод лишь 15 февраля 1934 г., что ГУАП счел неприемлемым. Технического директора 125-го завода Хомского приглашают в Москву для определения типа и количества станков, необходимых для развертывания строительства МДР-4 в 1-м квартале 1934 г., а Ирьянову высылают срочную депешу с требованием подготовки двухкилометрового гидроспуска к Ангаре. В связи с решением строить МДР-4 главк готов был даже пойти на реконструкцию недостроенных к тому моменту цехов - поднять опорные колонны и, соответственно, фермы перекрытий.</w:t>
      </w:r>
    </w:p>
    <w:p w14:paraId="4517B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завод явно шла борьба и побеждал в ней Туполев. Не без его влияния Совет Труда и Обороны принял 13 августа 1933 г. постановление о начале строительства МДР-4 на заводе №125 с января 1935 г. с темпом выпуска семь самолетов в месяц при трехсменной работе. Для этого утверждался объем капиталовложений в размере 9 млн руб., а на председателя Госплана Гинзбурга возлагалась личная ответственность за своевременную поставку в 1-м квартале 1934 г. 150 станков, стройматериалов, а также 10 грузовиков АМО и четырех автобусов "Форд".</w:t>
      </w:r>
    </w:p>
    <w:p w14:paraId="39750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Ирьянов, видя, что к "его объекту" наконец-то обратились лицом, требует электрооборудование для заводской ЛЭП - трансформаторы, семь тонн сталеалюминиевого провода, два трансформатора и даже котел- экономайзер для Иркутской ТЭЦ. Своего энергоузла завод тогда не имел и электроснабжение было ключевым вопросом строительства - оно осуществлялось по воздушной линии с городской электростанции, которая ограничивала мощность потребителей 600 квт.</w:t>
      </w:r>
    </w:p>
    <w:p w14:paraId="5901B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Затребованного оборудования в наличии не было, а потому начальник ГУАП П.И.Баранов поручает своему заместителю Елецкому выяснить, "за чей счет" его можно передать Иркутску. Присутствовавшие на заседании директора заводов №22 С.П.Горбунов, №24 - Марьямов и №39 - Марголин решили было, что все отберут у них, но в этот раз повезло - отобрали у ЦИАМ. Правда, только на словах, поскольку ничего в назначенные сроки завод №125 не получил...(12037).</w:t>
      </w:r>
    </w:p>
    <w:p w14:paraId="3144A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46591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4FD395C6"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75CCCD"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декабря 1932 г. в Дизельном отделе ХПЗ состоялось первое техническое совещание по вопросу «Об установке двигателя "БД-2" на машине БТ».</w:t>
      </w:r>
    </w:p>
    <w:p w14:paraId="2A3E8B79"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Председательствовал начальник Дизельного отдела К.Ф. Челпан, обязанности секретаря выполнял начальник конструкторского бюро Дизельного отдела Я.Е. Вихман. От танкового отдела Т2 в работе совещания приняли участие начальник отдела Т2 В.В. Фокин, заместитель начальника конструкторского бюро Т2К И.С. Бер и начальник опытного цеха Т2О К.А. Куликов. По итогам совещания было решено:</w:t>
      </w:r>
    </w:p>
    <w:p w14:paraId="3C7960DF"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Послать в Т2К чертежи всасывающего и выхлопного коллектора с тем, чтобы установка их на машине и концы были закончены и подтверждены Т2К.</w:t>
      </w:r>
    </w:p>
    <w:p w14:paraId="17862288"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Проверить возможность выемки форсунки через крышку над мотором.</w:t>
      </w:r>
    </w:p>
    <w:p w14:paraId="0FE774E1"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Просмотреть фундамент под БД-2 и установку аккумуляторов.</w:t>
      </w:r>
    </w:p>
    <w:p w14:paraId="3D7B9B6E"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Проверить возможность снятия водяного насоса и масляного насоса через боевое помещение [отделение].</w:t>
      </w:r>
    </w:p>
    <w:p w14:paraId="4A068D92"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Просмотреть возможность обслуживания крышки клапанов и возможность выключения отдельных цилиндров.</w:t>
      </w:r>
    </w:p>
    <w:p w14:paraId="7872063B"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Хвостовик [коленчатого] вала сделать по [типу двигателя] М-5 и дать в конец вала Т2К.</w:t>
      </w:r>
    </w:p>
    <w:p w14:paraId="496610BA"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На первые машины принять пуск от баллонов высокого давления, в дальнейшем также ориентироваться на воздушный пуск с отдельным компрессором.</w:t>
      </w:r>
    </w:p>
    <w:p w14:paraId="6B9C7CD2"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Выявить возможность получения у нас в Союзе компрессоров для пуска.</w:t>
      </w:r>
    </w:p>
    <w:p w14:paraId="6D6D688A"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Динамо [генератор] взять "Стинцилла" – 150 вольт × 1,5.</w:t>
      </w:r>
    </w:p>
    <w:p w14:paraId="195077D6"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Выписать чертежи бензинового насоса от завода "Красный Октябрь".</w:t>
      </w:r>
    </w:p>
    <w:p w14:paraId="3F121067"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 Объем масляных баков – 30 литров».</w:t>
      </w:r>
    </w:p>
    <w:p w14:paraId="330C1A15"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3. Д. 187. Л. 18] (24856).</w:t>
      </w:r>
    </w:p>
    <w:p w14:paraId="72516939" w14:textId="77777777" w:rsidR="005E3511" w:rsidRPr="00E93F40" w:rsidRDefault="005E3511" w:rsidP="00E93F40">
      <w:pPr>
        <w:spacing w:after="0" w:line="240" w:lineRule="auto"/>
        <w:jc w:val="both"/>
        <w:rPr>
          <w:rFonts w:ascii="Times New Roman" w:hAnsi="Times New Roman"/>
          <w:color w:val="000000" w:themeColor="text1"/>
          <w:sz w:val="16"/>
          <w:szCs w:val="16"/>
        </w:rPr>
      </w:pPr>
    </w:p>
    <w:p w14:paraId="07FB9F0F" w14:textId="77777777" w:rsidR="001C6637" w:rsidRPr="00142305" w:rsidRDefault="001C6637" w:rsidP="001C66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декабря 1932 г. под председательством начальника Дизельного отдела К.Ф. Челпана на ХПЗ состоялось первое техническое совещание по установке дизеля БД-2 в танк БТ-5. От Танкового отдела Т2 в работе совещания приняли участие начальник отдела Т2 В.В. Фокин, заместитель начальника Конструкторского бюро Т2К И.С. Бер и начальник Опытного цеха Т2О К.А. Куликов. На совещании были согласованы основные технические вопросы по установке дизеля БД-2 в моторное отделение танка БТ-5. Следующее совместное техническое совещание специалистов Дизельного и Танкового отделов ХПЗ по вопросу «Об установке мотора БД-2 и испытании его на машине БТ» состоялось 19 января 1933 г. (25046),</w:t>
      </w:r>
    </w:p>
    <w:p w14:paraId="5B11C522" w14:textId="77777777" w:rsidR="001C6637" w:rsidRPr="00142305" w:rsidRDefault="001C6637" w:rsidP="001C6637">
      <w:pPr>
        <w:spacing w:after="0" w:line="240" w:lineRule="auto"/>
        <w:jc w:val="both"/>
        <w:rPr>
          <w:rFonts w:ascii="Times New Roman" w:hAnsi="Times New Roman"/>
          <w:color w:val="0070C0"/>
          <w:sz w:val="16"/>
          <w:szCs w:val="16"/>
        </w:rPr>
      </w:pPr>
    </w:p>
    <w:p w14:paraId="0325BA67" w14:textId="77777777" w:rsidR="008C3670" w:rsidRPr="00E93F40" w:rsidRDefault="008C367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декабря 1932 г. завершение изготовления ЦЛПС аппаратуры для телеуправления танком типа Т-26 (18667).</w:t>
      </w:r>
    </w:p>
    <w:p w14:paraId="596CC35B" w14:textId="77777777" w:rsidR="008C3670" w:rsidRPr="00E93F40" w:rsidRDefault="008C3670" w:rsidP="00E93F40">
      <w:pPr>
        <w:spacing w:after="0" w:line="240" w:lineRule="auto"/>
        <w:jc w:val="both"/>
        <w:rPr>
          <w:rFonts w:ascii="Times New Roman" w:hAnsi="Times New Roman"/>
          <w:color w:val="000000" w:themeColor="text1"/>
          <w:sz w:val="16"/>
          <w:szCs w:val="16"/>
        </w:rPr>
      </w:pPr>
    </w:p>
    <w:p w14:paraId="3C8F4D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декабря 1932 г. был спущен на воду "Лосось", который вступил в строй Морских сил Дальнего Востока в сентябре 1933 г. Через год — в сентябре 1934 г. — флотом была принята последняя лодка V серии. Таким образом, на создание всей серии бьшо затрачено около 30 мес. Значение этого для ВМС РККА трудно переоце</w:t>
      </w:r>
      <w:r w:rsidRPr="00E93F40">
        <w:rPr>
          <w:rFonts w:ascii="Times New Roman" w:hAnsi="Times New Roman"/>
          <w:color w:val="000000" w:themeColor="text1"/>
          <w:sz w:val="16"/>
          <w:szCs w:val="16"/>
        </w:rPr>
        <w:softHyphen/>
        <w:t>нить. Впервые за предшествующие 30 лет флоту вероятного про</w:t>
      </w:r>
      <w:r w:rsidRPr="00E93F40">
        <w:rPr>
          <w:rFonts w:ascii="Times New Roman" w:hAnsi="Times New Roman"/>
          <w:color w:val="000000" w:themeColor="text1"/>
          <w:sz w:val="16"/>
          <w:szCs w:val="16"/>
        </w:rPr>
        <w:softHyphen/>
        <w:t>тивника была создана реальная угроза в пределах всего Японского моря (3898).</w:t>
      </w:r>
    </w:p>
    <w:p w14:paraId="60AC9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599B81" w14:textId="704860D3" w:rsidR="002D4C6E" w:rsidRPr="00E93F40" w:rsidRDefault="002D4C6E" w:rsidP="00E93F40">
      <w:pPr>
        <w:pStyle w:val="rtejustify"/>
        <w:spacing w:before="0" w:after="0"/>
        <w:rPr>
          <w:color w:val="000000" w:themeColor="text1"/>
          <w:sz w:val="16"/>
          <w:szCs w:val="16"/>
        </w:rPr>
      </w:pPr>
      <w:r w:rsidRPr="00E93F40">
        <w:rPr>
          <w:color w:val="000000" w:themeColor="text1"/>
          <w:sz w:val="16"/>
          <w:szCs w:val="16"/>
        </w:rPr>
        <w:t>25</w:t>
      </w:r>
      <w:r w:rsidR="007C1411" w:rsidRPr="00E93F40">
        <w:rPr>
          <w:color w:val="000000" w:themeColor="text1"/>
          <w:sz w:val="16"/>
          <w:szCs w:val="16"/>
        </w:rPr>
        <w:t xml:space="preserve"> </w:t>
      </w:r>
      <w:r w:rsidRPr="00E93F40">
        <w:rPr>
          <w:color w:val="000000" w:themeColor="text1"/>
          <w:sz w:val="16"/>
          <w:szCs w:val="16"/>
        </w:rPr>
        <w:t>декабря 1932</w:t>
      </w:r>
      <w:r w:rsidR="007C1411" w:rsidRPr="00E93F40">
        <w:rPr>
          <w:color w:val="000000" w:themeColor="text1"/>
          <w:sz w:val="16"/>
          <w:szCs w:val="16"/>
        </w:rPr>
        <w:t xml:space="preserve"> </w:t>
      </w:r>
      <w:r w:rsidRPr="00E93F40">
        <w:rPr>
          <w:color w:val="000000" w:themeColor="text1"/>
          <w:sz w:val="16"/>
          <w:szCs w:val="16"/>
        </w:rPr>
        <w:t>г. был спущен на воду, «Лосось» («Карась») и вступил в строй Морских сил Дальнего Востока в сентябре 1933</w:t>
      </w:r>
      <w:r w:rsidR="007C1411" w:rsidRPr="00E93F40">
        <w:rPr>
          <w:color w:val="000000" w:themeColor="text1"/>
          <w:sz w:val="16"/>
          <w:szCs w:val="16"/>
        </w:rPr>
        <w:t xml:space="preserve"> </w:t>
      </w:r>
      <w:r w:rsidRPr="00E93F40">
        <w:rPr>
          <w:color w:val="000000" w:themeColor="text1"/>
          <w:sz w:val="16"/>
          <w:szCs w:val="16"/>
        </w:rPr>
        <w:t>г. Через год</w:t>
      </w:r>
      <w:r w:rsidR="007C1411" w:rsidRPr="00E93F40">
        <w:rPr>
          <w:color w:val="000000" w:themeColor="text1"/>
          <w:sz w:val="16"/>
          <w:szCs w:val="16"/>
        </w:rPr>
        <w:t xml:space="preserve"> </w:t>
      </w:r>
      <w:r w:rsidRPr="00E93F40">
        <w:rPr>
          <w:color w:val="000000" w:themeColor="text1"/>
          <w:sz w:val="16"/>
          <w:szCs w:val="16"/>
        </w:rPr>
        <w:t>— в сентябре 1934</w:t>
      </w:r>
      <w:r w:rsidR="007C1411" w:rsidRPr="00E93F40">
        <w:rPr>
          <w:color w:val="000000" w:themeColor="text1"/>
          <w:sz w:val="16"/>
          <w:szCs w:val="16"/>
        </w:rPr>
        <w:t xml:space="preserve"> </w:t>
      </w:r>
      <w:r w:rsidRPr="00E93F40">
        <w:rPr>
          <w:color w:val="000000" w:themeColor="text1"/>
          <w:sz w:val="16"/>
          <w:szCs w:val="16"/>
        </w:rPr>
        <w:t>г. — флотом была принята последняя лодка V</w:t>
      </w:r>
      <w:r w:rsidR="007C1411" w:rsidRPr="00E93F40">
        <w:rPr>
          <w:color w:val="000000" w:themeColor="text1"/>
          <w:sz w:val="16"/>
          <w:szCs w:val="16"/>
        </w:rPr>
        <w:t xml:space="preserve"> </w:t>
      </w:r>
      <w:r w:rsidRPr="00E93F40">
        <w:rPr>
          <w:color w:val="000000" w:themeColor="text1"/>
          <w:sz w:val="16"/>
          <w:szCs w:val="16"/>
        </w:rPr>
        <w:t>серии (15280).</w:t>
      </w:r>
    </w:p>
    <w:p w14:paraId="23AF7B4F" w14:textId="77777777" w:rsidR="002D4C6E" w:rsidRPr="00E93F40" w:rsidRDefault="002D4C6E" w:rsidP="00E93F40">
      <w:pPr>
        <w:pStyle w:val="rtejustify"/>
        <w:spacing w:before="0" w:after="0"/>
        <w:rPr>
          <w:color w:val="000000" w:themeColor="text1"/>
          <w:sz w:val="16"/>
          <w:szCs w:val="16"/>
        </w:rPr>
      </w:pPr>
    </w:p>
    <w:p w14:paraId="1E1A3834"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EEAE6B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4A14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 декабря 1932 вышел приказ по ВВС N 0148:</w:t>
      </w:r>
    </w:p>
    <w:p w14:paraId="7A926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целях объединения вопросов по разработке системы вооружения ВВС и планирования работ по опытному строительству ВВС в соответствии с решениями РВС, а также для удовлетворения текущих потребностей ВВС в этой области:</w:t>
      </w:r>
    </w:p>
    <w:p w14:paraId="5EB327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Создать постоянный тактико-технический совет ВВС."</w:t>
      </w:r>
    </w:p>
    <w:p w14:paraId="1A048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 ВВС Наумов (2289,1).</w:t>
      </w:r>
    </w:p>
    <w:p w14:paraId="3B302B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FCCCE1"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A4CA6C3"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9A64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декабря 1932 была представлена боевая схема самолета И-14 М-38 (7415, 16).</w:t>
      </w:r>
    </w:p>
    <w:p w14:paraId="4A937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623BD0B" w14:textId="77777777" w:rsidR="006118EC" w:rsidRPr="00E93F40" w:rsidRDefault="006118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26 декабря 1932 г. руководство ЦАГИ направило начальнику УВВС общие виды и ожидаемые данные самолётов И-14 и И-15 с мотором Бристоль-Меркур IV. </w:t>
      </w:r>
    </w:p>
    <w:tbl>
      <w:tblPr>
        <w:tblStyle w:val="afff0"/>
        <w:tblW w:w="0" w:type="auto"/>
        <w:tblLook w:val="04A0" w:firstRow="1" w:lastRow="0" w:firstColumn="1" w:lastColumn="0" w:noHBand="0" w:noVBand="1"/>
      </w:tblPr>
      <w:tblGrid>
        <w:gridCol w:w="2888"/>
        <w:gridCol w:w="2888"/>
        <w:gridCol w:w="2889"/>
      </w:tblGrid>
      <w:tr w:rsidR="00DA227A" w:rsidRPr="00E93F40" w14:paraId="7B3B7E69" w14:textId="77777777" w:rsidTr="009047BE">
        <w:tc>
          <w:tcPr>
            <w:tcW w:w="2888" w:type="dxa"/>
          </w:tcPr>
          <w:p w14:paraId="741801F2" w14:textId="77777777" w:rsidR="009047BE" w:rsidRPr="00E93F40" w:rsidRDefault="009047BE" w:rsidP="00E93F40">
            <w:pPr>
              <w:spacing w:after="0" w:line="240" w:lineRule="auto"/>
              <w:jc w:val="both"/>
              <w:rPr>
                <w:rFonts w:ascii="Times New Roman" w:hAnsi="Times New Roman"/>
                <w:color w:val="000000" w:themeColor="text1"/>
                <w:sz w:val="16"/>
                <w:szCs w:val="16"/>
              </w:rPr>
            </w:pPr>
          </w:p>
        </w:tc>
        <w:tc>
          <w:tcPr>
            <w:tcW w:w="2888" w:type="dxa"/>
          </w:tcPr>
          <w:p w14:paraId="580F8E88"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w:t>
            </w:r>
          </w:p>
        </w:tc>
        <w:tc>
          <w:tcPr>
            <w:tcW w:w="2889" w:type="dxa"/>
          </w:tcPr>
          <w:p w14:paraId="67DBEDB7"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И-15</w:t>
            </w:r>
          </w:p>
        </w:tc>
      </w:tr>
      <w:tr w:rsidR="00DA227A" w:rsidRPr="00E93F40" w14:paraId="0F6AAAAC" w14:textId="77777777" w:rsidTr="009047BE">
        <w:tc>
          <w:tcPr>
            <w:tcW w:w="2888" w:type="dxa"/>
          </w:tcPr>
          <w:p w14:paraId="346D88CB"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Полный вес</w:t>
            </w:r>
          </w:p>
        </w:tc>
        <w:tc>
          <w:tcPr>
            <w:tcW w:w="2888" w:type="dxa"/>
          </w:tcPr>
          <w:p w14:paraId="692596F4"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1360</w:t>
            </w:r>
          </w:p>
        </w:tc>
        <w:tc>
          <w:tcPr>
            <w:tcW w:w="2889" w:type="dxa"/>
          </w:tcPr>
          <w:p w14:paraId="621D0C38"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1310</w:t>
            </w:r>
          </w:p>
        </w:tc>
      </w:tr>
      <w:tr w:rsidR="00DA227A" w:rsidRPr="00E93F40" w14:paraId="11FE2D40" w14:textId="77777777" w:rsidTr="009047BE">
        <w:tc>
          <w:tcPr>
            <w:tcW w:w="2888" w:type="dxa"/>
          </w:tcPr>
          <w:p w14:paraId="0A22324C"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Полная нагрузка</w:t>
            </w:r>
          </w:p>
        </w:tc>
        <w:tc>
          <w:tcPr>
            <w:tcW w:w="2888" w:type="dxa"/>
          </w:tcPr>
          <w:p w14:paraId="5CF04EB8"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410</w:t>
            </w:r>
          </w:p>
        </w:tc>
        <w:tc>
          <w:tcPr>
            <w:tcW w:w="2889" w:type="dxa"/>
          </w:tcPr>
          <w:p w14:paraId="0A08E321"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w:t>
            </w:r>
          </w:p>
        </w:tc>
      </w:tr>
      <w:tr w:rsidR="00DA227A" w:rsidRPr="00E93F40" w14:paraId="4D59DF81" w14:textId="77777777" w:rsidTr="009047BE">
        <w:tc>
          <w:tcPr>
            <w:tcW w:w="2888" w:type="dxa"/>
          </w:tcPr>
          <w:p w14:paraId="5F1AB5EF"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Боевая нагрузка</w:t>
            </w:r>
          </w:p>
        </w:tc>
        <w:tc>
          <w:tcPr>
            <w:tcW w:w="2888" w:type="dxa"/>
          </w:tcPr>
          <w:p w14:paraId="1EC268D1"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w:t>
            </w:r>
          </w:p>
        </w:tc>
        <w:tc>
          <w:tcPr>
            <w:tcW w:w="2889" w:type="dxa"/>
          </w:tcPr>
          <w:p w14:paraId="233BEF59"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205</w:t>
            </w:r>
          </w:p>
        </w:tc>
      </w:tr>
      <w:tr w:rsidR="00DA227A" w:rsidRPr="00E93F40" w14:paraId="468725FA" w14:textId="77777777" w:rsidTr="009047BE">
        <w:tc>
          <w:tcPr>
            <w:tcW w:w="2888" w:type="dxa"/>
          </w:tcPr>
          <w:p w14:paraId="0BE03E38"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Горючее</w:t>
            </w:r>
          </w:p>
        </w:tc>
        <w:tc>
          <w:tcPr>
            <w:tcW w:w="2888" w:type="dxa"/>
          </w:tcPr>
          <w:p w14:paraId="34BFA277"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w:t>
            </w:r>
          </w:p>
        </w:tc>
        <w:tc>
          <w:tcPr>
            <w:tcW w:w="2889" w:type="dxa"/>
          </w:tcPr>
          <w:p w14:paraId="36C88AF2"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w:t>
            </w:r>
          </w:p>
        </w:tc>
      </w:tr>
      <w:tr w:rsidR="00DA227A" w:rsidRPr="00E93F40" w14:paraId="27E49B55" w14:textId="77777777" w:rsidTr="009047BE">
        <w:tc>
          <w:tcPr>
            <w:tcW w:w="2888" w:type="dxa"/>
          </w:tcPr>
          <w:p w14:paraId="49C8CD46"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крыльев</w:t>
            </w:r>
          </w:p>
        </w:tc>
        <w:tc>
          <w:tcPr>
            <w:tcW w:w="2888" w:type="dxa"/>
          </w:tcPr>
          <w:p w14:paraId="3777CE06"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16,8 м</w:t>
            </w:r>
            <w:r w:rsidRPr="00E93F40">
              <w:rPr>
                <w:rFonts w:ascii="Times New Roman" w:hAnsi="Times New Roman"/>
                <w:color w:val="000000" w:themeColor="text1"/>
                <w:sz w:val="16"/>
                <w:szCs w:val="16"/>
                <w:vertAlign w:val="superscript"/>
              </w:rPr>
              <w:t>2</w:t>
            </w:r>
          </w:p>
        </w:tc>
        <w:tc>
          <w:tcPr>
            <w:tcW w:w="2889" w:type="dxa"/>
          </w:tcPr>
          <w:p w14:paraId="0A277C9F"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 м</w:t>
            </w:r>
            <w:r w:rsidRPr="00E93F40">
              <w:rPr>
                <w:rFonts w:ascii="Times New Roman" w:hAnsi="Times New Roman"/>
                <w:color w:val="000000" w:themeColor="text1"/>
                <w:sz w:val="16"/>
                <w:szCs w:val="16"/>
                <w:vertAlign w:val="superscript"/>
              </w:rPr>
              <w:t>2</w:t>
            </w:r>
          </w:p>
        </w:tc>
      </w:tr>
      <w:tr w:rsidR="00DA227A" w:rsidRPr="00E93F40" w14:paraId="3328EA5A" w14:textId="77777777" w:rsidTr="009047BE">
        <w:tc>
          <w:tcPr>
            <w:tcW w:w="2888" w:type="dxa"/>
          </w:tcPr>
          <w:p w14:paraId="0827CEDE"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горизонтального оперения</w:t>
            </w:r>
          </w:p>
        </w:tc>
        <w:tc>
          <w:tcPr>
            <w:tcW w:w="2888" w:type="dxa"/>
          </w:tcPr>
          <w:p w14:paraId="7A37DCF5"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м</w:t>
            </w:r>
            <w:r w:rsidRPr="00E93F40">
              <w:rPr>
                <w:rFonts w:ascii="Times New Roman" w:hAnsi="Times New Roman"/>
                <w:color w:val="000000" w:themeColor="text1"/>
                <w:sz w:val="16"/>
                <w:szCs w:val="16"/>
                <w:vertAlign w:val="superscript"/>
              </w:rPr>
              <w:t>2</w:t>
            </w:r>
          </w:p>
        </w:tc>
        <w:tc>
          <w:tcPr>
            <w:tcW w:w="2889" w:type="dxa"/>
          </w:tcPr>
          <w:p w14:paraId="4C2499B1"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2,88 м</w:t>
            </w:r>
            <w:r w:rsidRPr="00E93F40">
              <w:rPr>
                <w:rFonts w:ascii="Times New Roman" w:hAnsi="Times New Roman"/>
                <w:color w:val="000000" w:themeColor="text1"/>
                <w:sz w:val="16"/>
                <w:szCs w:val="16"/>
                <w:vertAlign w:val="superscript"/>
              </w:rPr>
              <w:t>2</w:t>
            </w:r>
          </w:p>
        </w:tc>
      </w:tr>
      <w:tr w:rsidR="00DA227A" w:rsidRPr="00E93F40" w14:paraId="3B6CC7F4" w14:textId="77777777" w:rsidTr="009047BE">
        <w:tc>
          <w:tcPr>
            <w:tcW w:w="2888" w:type="dxa"/>
          </w:tcPr>
          <w:p w14:paraId="43B34A5F"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вертикального оперения</w:t>
            </w:r>
          </w:p>
        </w:tc>
        <w:tc>
          <w:tcPr>
            <w:tcW w:w="2888" w:type="dxa"/>
          </w:tcPr>
          <w:p w14:paraId="503909E2"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м</w:t>
            </w:r>
            <w:r w:rsidRPr="00E93F40">
              <w:rPr>
                <w:rFonts w:ascii="Times New Roman" w:hAnsi="Times New Roman"/>
                <w:color w:val="000000" w:themeColor="text1"/>
                <w:sz w:val="16"/>
                <w:szCs w:val="16"/>
                <w:vertAlign w:val="superscript"/>
              </w:rPr>
              <w:t>2</w:t>
            </w:r>
          </w:p>
        </w:tc>
        <w:tc>
          <w:tcPr>
            <w:tcW w:w="2889" w:type="dxa"/>
          </w:tcPr>
          <w:p w14:paraId="373D081B"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1,27 м</w:t>
            </w:r>
            <w:r w:rsidRPr="00E93F40">
              <w:rPr>
                <w:rFonts w:ascii="Times New Roman" w:hAnsi="Times New Roman"/>
                <w:color w:val="000000" w:themeColor="text1"/>
                <w:sz w:val="16"/>
                <w:szCs w:val="16"/>
                <w:vertAlign w:val="superscript"/>
              </w:rPr>
              <w:t>2</w:t>
            </w:r>
          </w:p>
        </w:tc>
      </w:tr>
      <w:tr w:rsidR="00DA227A" w:rsidRPr="00E93F40" w14:paraId="0AE60D2E" w14:textId="77777777" w:rsidTr="009047BE">
        <w:tc>
          <w:tcPr>
            <w:tcW w:w="2888" w:type="dxa"/>
          </w:tcPr>
          <w:p w14:paraId="573FB4CE"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на 1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xml:space="preserve"> крыла</w:t>
            </w:r>
          </w:p>
        </w:tc>
        <w:tc>
          <w:tcPr>
            <w:tcW w:w="2888" w:type="dxa"/>
          </w:tcPr>
          <w:p w14:paraId="42082285"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 кг</w:t>
            </w:r>
          </w:p>
        </w:tc>
        <w:tc>
          <w:tcPr>
            <w:tcW w:w="2889" w:type="dxa"/>
          </w:tcPr>
          <w:p w14:paraId="4D21206E"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 кг</w:t>
            </w:r>
          </w:p>
        </w:tc>
      </w:tr>
      <w:tr w:rsidR="00DA227A" w:rsidRPr="00E93F40" w14:paraId="781DF12F" w14:textId="77777777" w:rsidTr="009047BE">
        <w:tc>
          <w:tcPr>
            <w:tcW w:w="2888" w:type="dxa"/>
          </w:tcPr>
          <w:p w14:paraId="369462CC"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на 1 л.с.</w:t>
            </w:r>
          </w:p>
        </w:tc>
        <w:tc>
          <w:tcPr>
            <w:tcW w:w="2888" w:type="dxa"/>
          </w:tcPr>
          <w:p w14:paraId="759EF1B7"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2,47 кг</w:t>
            </w:r>
          </w:p>
        </w:tc>
        <w:tc>
          <w:tcPr>
            <w:tcW w:w="2889" w:type="dxa"/>
          </w:tcPr>
          <w:p w14:paraId="6DABEFDD"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2,38 кг</w:t>
            </w:r>
          </w:p>
        </w:tc>
      </w:tr>
      <w:tr w:rsidR="00DA227A" w:rsidRPr="00E93F40" w14:paraId="3A1F1D5E" w14:textId="77777777" w:rsidTr="009047BE">
        <w:tc>
          <w:tcPr>
            <w:tcW w:w="2888" w:type="dxa"/>
          </w:tcPr>
          <w:p w14:paraId="2FBA9AAD"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на высоте 4500-5000 м</w:t>
            </w:r>
          </w:p>
        </w:tc>
        <w:tc>
          <w:tcPr>
            <w:tcW w:w="2888" w:type="dxa"/>
          </w:tcPr>
          <w:p w14:paraId="24CCA967"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 км/ч</w:t>
            </w:r>
          </w:p>
        </w:tc>
        <w:tc>
          <w:tcPr>
            <w:tcW w:w="2889" w:type="dxa"/>
          </w:tcPr>
          <w:p w14:paraId="5A8BA3FE"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 км/ч</w:t>
            </w:r>
          </w:p>
        </w:tc>
      </w:tr>
      <w:tr w:rsidR="00DA227A" w:rsidRPr="00E93F40" w14:paraId="38C6F1ED" w14:textId="77777777" w:rsidTr="009047BE">
        <w:tc>
          <w:tcPr>
            <w:tcW w:w="2888" w:type="dxa"/>
          </w:tcPr>
          <w:p w14:paraId="56B66DAC"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подъёма на 5000 м</w:t>
            </w:r>
          </w:p>
        </w:tc>
        <w:tc>
          <w:tcPr>
            <w:tcW w:w="2888" w:type="dxa"/>
          </w:tcPr>
          <w:p w14:paraId="2F9A471D"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 мин</w:t>
            </w:r>
          </w:p>
        </w:tc>
        <w:tc>
          <w:tcPr>
            <w:tcW w:w="2889" w:type="dxa"/>
          </w:tcPr>
          <w:p w14:paraId="4CA6DF07"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 мин</w:t>
            </w:r>
          </w:p>
        </w:tc>
      </w:tr>
      <w:tr w:rsidR="009D12BD" w:rsidRPr="00E93F40" w14:paraId="037F2DC6" w14:textId="77777777" w:rsidTr="009047BE">
        <w:tc>
          <w:tcPr>
            <w:tcW w:w="2888" w:type="dxa"/>
          </w:tcPr>
          <w:p w14:paraId="433BD788"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w:t>
            </w:r>
          </w:p>
        </w:tc>
        <w:tc>
          <w:tcPr>
            <w:tcW w:w="2888" w:type="dxa"/>
          </w:tcPr>
          <w:p w14:paraId="69C84C5A"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8500 м</w:t>
            </w:r>
          </w:p>
        </w:tc>
        <w:tc>
          <w:tcPr>
            <w:tcW w:w="2889" w:type="dxa"/>
          </w:tcPr>
          <w:p w14:paraId="442611A1" w14:textId="77777777" w:rsidR="009047BE" w:rsidRPr="00E93F40" w:rsidRDefault="009047B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 м (15823).</w:t>
            </w:r>
          </w:p>
        </w:tc>
      </w:tr>
    </w:tbl>
    <w:p w14:paraId="410BC811" w14:textId="77777777" w:rsidR="006118EC" w:rsidRPr="00E93F40" w:rsidRDefault="006118EC" w:rsidP="00E93F40">
      <w:pPr>
        <w:spacing w:after="0" w:line="240" w:lineRule="auto"/>
        <w:jc w:val="both"/>
        <w:rPr>
          <w:rFonts w:ascii="Times New Roman" w:hAnsi="Times New Roman"/>
          <w:color w:val="000000" w:themeColor="text1"/>
          <w:sz w:val="16"/>
          <w:szCs w:val="16"/>
        </w:rPr>
      </w:pPr>
    </w:p>
    <w:p w14:paraId="7C070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декабря 1932 была представлена боевая схема И-15 М-58 (М38) (7415, 16).</w:t>
      </w:r>
    </w:p>
    <w:p w14:paraId="34419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7E9029"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26 декабря 1932 года руководство ЦАГИ направило начальнику УВВС общие виды и ожидаемые данные самолетов И-14 и И-15 с мотором Бристоль-Меркур IV.</w:t>
      </w:r>
    </w:p>
    <w:p w14:paraId="5C6D4777"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t>Для проектирования и постройки истребителя И-15 в КОСОС ЦАГИ была образована бригада №5 Н. Н. Поликарпова (19177).</w:t>
      </w:r>
    </w:p>
    <w:p w14:paraId="675B8083" w14:textId="77777777" w:rsidR="008C3670" w:rsidRPr="00E93F40" w:rsidRDefault="008C3670" w:rsidP="00E93F40">
      <w:pPr>
        <w:pStyle w:val="ae"/>
        <w:shd w:val="clear" w:color="auto" w:fill="FFFFFF"/>
        <w:spacing w:before="0" w:after="0"/>
        <w:jc w:val="both"/>
        <w:textAlignment w:val="baseline"/>
        <w:rPr>
          <w:color w:val="000000" w:themeColor="text1"/>
          <w:sz w:val="16"/>
          <w:szCs w:val="16"/>
        </w:rPr>
      </w:pPr>
    </w:p>
    <w:p w14:paraId="3C5E0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декабря 1932 ВВС пересмотрели требования к ДИП (АНТ-29) и скорость хотели 375 км/час + 4 пулемета 7.62 мм (1454,23).</w:t>
      </w:r>
    </w:p>
    <w:p w14:paraId="7EDC41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CD9F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декабря 1932 требования УВВС к истребителю с АПК опять изменились: теперь необходимо было установить на нем два мотора М-34 мощностью по 750 л.с. каждый. Готовность самолета (заказ № 7091) на 1 января 1933 г. составляла 12 процентов (9538,27).</w:t>
      </w:r>
    </w:p>
    <w:p w14:paraId="05688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4D695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декабря 1932 года состоялось заседания комиссии по вопросам сверхвысотной авиации при Госплане:</w:t>
      </w:r>
    </w:p>
    <w:p w14:paraId="0FCFF51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Протокол заседания комиссии по вопросам сверхвысотной авиации при Госплане от 26 декабря 1932 года</w:t>
      </w:r>
    </w:p>
    <w:p w14:paraId="37F976A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w:t>
      </w:r>
    </w:p>
    <w:p w14:paraId="784A9B18"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моторе для сверхвысотной авиации и о работах ЦИАМа, проделанных в этом направлении.</w:t>
      </w:r>
    </w:p>
    <w:p w14:paraId="612CD629"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 винте для сверхвысотного мотора.</w:t>
      </w:r>
    </w:p>
    <w:p w14:paraId="1020D936"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Сообщение о работе БНК (6779, 23-24).</w:t>
      </w:r>
    </w:p>
    <w:p w14:paraId="573998D3"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A8B6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и 16 декабря 1932 г. провели стрельбу из установки модели 762, предназначенной для самолета Р-5 и смонтированной «на станке от ми</w:t>
      </w:r>
      <w:r w:rsidRPr="00E93F40">
        <w:rPr>
          <w:rFonts w:ascii="Times New Roman" w:hAnsi="Times New Roman"/>
          <w:color w:val="000000" w:themeColor="text1"/>
          <w:sz w:val="16"/>
          <w:szCs w:val="16"/>
        </w:rPr>
        <w:softHyphen/>
        <w:t>номета Г-Р» с углом возвышения 35°. В общей сложности отстреляли 22 снаряда. Из них сборщики подобрали лишь 10. Позже они обнаружили еще пять снарядов, координаты точек падения которых еще больше ухудшили и без того неудовлетворительный результат. Кстати, один из снарядов упал рядом с забором механического завода «Краснознаме</w:t>
      </w:r>
      <w:r w:rsidRPr="00E93F40">
        <w:rPr>
          <w:rFonts w:ascii="Times New Roman" w:hAnsi="Times New Roman"/>
          <w:color w:val="000000" w:themeColor="text1"/>
          <w:sz w:val="16"/>
          <w:szCs w:val="16"/>
        </w:rPr>
        <w:softHyphen/>
        <w:t>нец», где изготавливали корпуса артснарядов и авиабомб. В некоторых публикациях упоминается, что траектории боеприпа</w:t>
      </w:r>
      <w:r w:rsidRPr="00E93F40">
        <w:rPr>
          <w:rFonts w:ascii="Times New Roman" w:hAnsi="Times New Roman"/>
          <w:color w:val="000000" w:themeColor="text1"/>
          <w:sz w:val="16"/>
          <w:szCs w:val="16"/>
        </w:rPr>
        <w:softHyphen/>
        <w:t>сов без оперения были настолько непредсказуемы, что находиться по</w:t>
      </w:r>
      <w:r w:rsidRPr="00E93F40">
        <w:rPr>
          <w:rFonts w:ascii="Times New Roman" w:hAnsi="Times New Roman"/>
          <w:color w:val="000000" w:themeColor="text1"/>
          <w:sz w:val="16"/>
          <w:szCs w:val="16"/>
        </w:rPr>
        <w:softHyphen/>
        <w:t>близости при отстрелах оказывалось просто небезопасно. И хотя снаряжательного производства на заводе не было, а пустые корпуса боеприпасов на его складах и в цехах никогда не сдетонировали бы, очевидно именно об этом случае полвека спустя ветераны ГДЛ рас</w:t>
      </w:r>
      <w:r w:rsidRPr="00E93F40">
        <w:rPr>
          <w:rFonts w:ascii="Times New Roman" w:hAnsi="Times New Roman"/>
          <w:color w:val="000000" w:themeColor="text1"/>
          <w:sz w:val="16"/>
          <w:szCs w:val="16"/>
        </w:rPr>
        <w:softHyphen/>
        <w:t>сказывали, как о сцене из свежего американского триллера. Дословно об этом можно прочитать в одном из сборников трудов Академии естество</w:t>
      </w:r>
      <w:r w:rsidRPr="00E93F40">
        <w:rPr>
          <w:rFonts w:ascii="Times New Roman" w:hAnsi="Times New Roman"/>
          <w:color w:val="000000" w:themeColor="text1"/>
          <w:sz w:val="16"/>
          <w:szCs w:val="16"/>
        </w:rPr>
        <w:softHyphen/>
        <w:t>знания, науки и техники, посвященном круглой дате с начала испыта</w:t>
      </w:r>
      <w:r w:rsidRPr="00E93F40">
        <w:rPr>
          <w:rFonts w:ascii="Times New Roman" w:hAnsi="Times New Roman"/>
          <w:color w:val="000000" w:themeColor="text1"/>
          <w:sz w:val="16"/>
          <w:szCs w:val="16"/>
        </w:rPr>
        <w:softHyphen/>
        <w:t>ний «катюши». Смысл заявления — в том, что один из РС после старта круто развернулся и полетел в противоположную сторону, разбив вдре</w:t>
      </w:r>
      <w:r w:rsidRPr="00E93F40">
        <w:rPr>
          <w:rFonts w:ascii="Times New Roman" w:hAnsi="Times New Roman"/>
          <w:color w:val="000000" w:themeColor="text1"/>
          <w:sz w:val="16"/>
          <w:szCs w:val="16"/>
        </w:rPr>
        <w:softHyphen/>
        <w:t>безги пролет забора... По-видимому, это взорвался ракетный заряд дви</w:t>
      </w:r>
      <w:r w:rsidRPr="00E93F40">
        <w:rPr>
          <w:rFonts w:ascii="Times New Roman" w:hAnsi="Times New Roman"/>
          <w:color w:val="000000" w:themeColor="text1"/>
          <w:sz w:val="16"/>
          <w:szCs w:val="16"/>
        </w:rPr>
        <w:softHyphen/>
        <w:t>гателя. Хотя документального подтверждения этот факт пока не нашел. Уважаемому ветерану этот яркий эпизод запомнился своей неорди</w:t>
      </w:r>
      <w:r w:rsidRPr="00E93F40">
        <w:rPr>
          <w:rFonts w:ascii="Times New Roman" w:hAnsi="Times New Roman"/>
          <w:color w:val="000000" w:themeColor="text1"/>
          <w:sz w:val="16"/>
          <w:szCs w:val="16"/>
        </w:rPr>
        <w:softHyphen/>
        <w:t>нарностью больше, чем более ценная, но сухая информация. Плюс не</w:t>
      </w:r>
      <w:r w:rsidRPr="00E93F40">
        <w:rPr>
          <w:rFonts w:ascii="Times New Roman" w:hAnsi="Times New Roman"/>
          <w:color w:val="000000" w:themeColor="text1"/>
          <w:sz w:val="16"/>
          <w:szCs w:val="16"/>
        </w:rPr>
        <w:softHyphen/>
        <w:t>много фантазии, и дедушка в глазах пионеров-следопытов выглядит почти национальным героем! На самом деле разнести в щепки часть за</w:t>
      </w:r>
      <w:r w:rsidRPr="00E93F40">
        <w:rPr>
          <w:rFonts w:ascii="Times New Roman" w:hAnsi="Times New Roman"/>
          <w:color w:val="000000" w:themeColor="text1"/>
          <w:sz w:val="16"/>
          <w:szCs w:val="16"/>
        </w:rPr>
        <w:softHyphen/>
        <w:t>бора инертным боеприпасом — это давняя мечта испытателей. Однако, согласно беспристрастным отчетам, при стрельбе РС в деревянные щи</w:t>
      </w:r>
      <w:r w:rsidRPr="00E93F40">
        <w:rPr>
          <w:rFonts w:ascii="Times New Roman" w:hAnsi="Times New Roman"/>
          <w:color w:val="000000" w:themeColor="text1"/>
          <w:sz w:val="16"/>
          <w:szCs w:val="16"/>
        </w:rPr>
        <w:softHyphen/>
        <w:t>ты, в преграде они оставляли лишь не более чем эллиптические (реже — идеально круглые) отверстия.</w:t>
      </w:r>
    </w:p>
    <w:p w14:paraId="7E7ED8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Точность стрельбы РС-132 модели 561 испытатели признали неудов</w:t>
      </w:r>
      <w:r w:rsidRPr="00E93F40">
        <w:rPr>
          <w:rFonts w:ascii="Times New Roman" w:hAnsi="Times New Roman"/>
          <w:color w:val="000000" w:themeColor="text1"/>
          <w:sz w:val="16"/>
          <w:szCs w:val="16"/>
        </w:rPr>
        <w:softHyphen/>
        <w:t>летворительной. По их мнению, на величину рассеивания повлияло как начальное отклонение от направления стрельбы, так и «болтание снаря</w:t>
      </w:r>
      <w:r w:rsidRPr="00E93F40">
        <w:rPr>
          <w:rFonts w:ascii="Times New Roman" w:hAnsi="Times New Roman"/>
          <w:color w:val="000000" w:themeColor="text1"/>
          <w:sz w:val="16"/>
          <w:szCs w:val="16"/>
        </w:rPr>
        <w:softHyphen/>
        <w:t>да во время полета». В дальнейшем стрельбу ими решили прекратить. Повысить точность стрельбы ракетными снарядами конструкторы ре</w:t>
      </w:r>
      <w:r w:rsidRPr="00E93F40">
        <w:rPr>
          <w:rFonts w:ascii="Times New Roman" w:hAnsi="Times New Roman"/>
          <w:color w:val="000000" w:themeColor="text1"/>
          <w:sz w:val="16"/>
          <w:szCs w:val="16"/>
        </w:rPr>
        <w:softHyphen/>
        <w:t>шили, используя гироскопический принцип стабилизации на траекто</w:t>
      </w:r>
      <w:r w:rsidRPr="00E93F40">
        <w:rPr>
          <w:rFonts w:ascii="Times New Roman" w:hAnsi="Times New Roman"/>
          <w:color w:val="000000" w:themeColor="text1"/>
          <w:sz w:val="16"/>
          <w:szCs w:val="16"/>
        </w:rPr>
        <w:softHyphen/>
        <w:t>рии (подобно артснарядам). К примеру, 68-мм ракетные боеприпасы вспомогательного назначения, выполненные поданной конструктивной схеме, в 1932 г. продемонстрировали отнюдь неплохие результаты (под</w:t>
      </w:r>
      <w:r w:rsidRPr="00E93F40">
        <w:rPr>
          <w:rFonts w:ascii="Times New Roman" w:hAnsi="Times New Roman"/>
          <w:color w:val="000000" w:themeColor="text1"/>
          <w:sz w:val="16"/>
          <w:szCs w:val="16"/>
        </w:rPr>
        <w:softHyphen/>
        <w:t>робнее о них - в шестой главе).</w:t>
      </w:r>
    </w:p>
    <w:p w14:paraId="633DB8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достижения приемлемой точности стрельбы конструкторы не</w:t>
      </w:r>
      <w:r w:rsidRPr="00E93F40">
        <w:rPr>
          <w:rFonts w:ascii="Times New Roman" w:hAnsi="Times New Roman"/>
          <w:color w:val="000000" w:themeColor="text1"/>
          <w:sz w:val="16"/>
          <w:szCs w:val="16"/>
        </w:rPr>
        <w:softHyphen/>
        <w:t>сколько поступились характеристиками максимальной дальности. Для этого в стенке корпуса ракетного двигателя в поперечной плоскости требовалось выполнить дополнительные боковые сопла (отверстия по касательной). При запуске снарядов с наземного станка через них обыч</w:t>
      </w:r>
      <w:r w:rsidRPr="00E93F40">
        <w:rPr>
          <w:rFonts w:ascii="Times New Roman" w:hAnsi="Times New Roman"/>
          <w:color w:val="000000" w:themeColor="text1"/>
          <w:sz w:val="16"/>
          <w:szCs w:val="16"/>
        </w:rPr>
        <w:softHyphen/>
        <w:t>но заводили бикфордов шнур, посредством которого поджигали порохо</w:t>
      </w:r>
      <w:r w:rsidRPr="00E93F40">
        <w:rPr>
          <w:rFonts w:ascii="Times New Roman" w:hAnsi="Times New Roman"/>
          <w:color w:val="000000" w:themeColor="text1"/>
          <w:sz w:val="16"/>
          <w:szCs w:val="16"/>
        </w:rPr>
        <w:softHyphen/>
        <w:t>вой воспламенитель ракетного заряда. Частично расходуя энергию дви</w:t>
      </w:r>
      <w:r w:rsidRPr="00E93F40">
        <w:rPr>
          <w:rFonts w:ascii="Times New Roman" w:hAnsi="Times New Roman"/>
          <w:color w:val="000000" w:themeColor="text1"/>
          <w:sz w:val="16"/>
          <w:szCs w:val="16"/>
        </w:rPr>
        <w:softHyphen/>
        <w:t>гателя через такую турбину, снаряды получили способность вращения в полете вокруг своей продольной оси. Ряд боеприпасов, оснащенных подобными устройствами, получил наименование турбореактивных (в 1934-1935 гг. они упоминаются как ракетные жироскопические РЖС, в 1936 г. - турборакетные ТРС).</w:t>
      </w:r>
    </w:p>
    <w:p w14:paraId="51D80F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мастерских ГДЛ изготовили три партии по 30 штук 82-мм турборе</w:t>
      </w:r>
      <w:r w:rsidRPr="00E93F40">
        <w:rPr>
          <w:rFonts w:ascii="Times New Roman" w:hAnsi="Times New Roman"/>
          <w:color w:val="000000" w:themeColor="text1"/>
          <w:sz w:val="16"/>
          <w:szCs w:val="16"/>
        </w:rPr>
        <w:softHyphen/>
        <w:t>активных снарядов моделей 594 и 596, а также 132-мм турбореактивных снарядов модели 598. Боеприпасы первых двух моделей отличались толь</w:t>
      </w:r>
      <w:r w:rsidRPr="00E93F40">
        <w:rPr>
          <w:rFonts w:ascii="Times New Roman" w:hAnsi="Times New Roman"/>
          <w:color w:val="000000" w:themeColor="text1"/>
          <w:sz w:val="16"/>
          <w:szCs w:val="16"/>
        </w:rPr>
        <w:softHyphen/>
        <w:t>ко длиной ракетной камеры. Программа их наземных отстрелов была выполнена в период с января по март 1933 г. Помимо повышения устой</w:t>
      </w:r>
      <w:r w:rsidRPr="00E93F40">
        <w:rPr>
          <w:rFonts w:ascii="Times New Roman" w:hAnsi="Times New Roman"/>
          <w:color w:val="000000" w:themeColor="text1"/>
          <w:sz w:val="16"/>
          <w:szCs w:val="16"/>
        </w:rPr>
        <w:softHyphen/>
        <w:t>чивости полета, исследовали также «меткость и дальность, влияние дли</w:t>
      </w:r>
      <w:r w:rsidRPr="00E93F40">
        <w:rPr>
          <w:rFonts w:ascii="Times New Roman" w:hAnsi="Times New Roman"/>
          <w:color w:val="000000" w:themeColor="text1"/>
          <w:sz w:val="16"/>
          <w:szCs w:val="16"/>
        </w:rPr>
        <w:softHyphen/>
        <w:t>ны снарядов, скорости вращения, характера полета и разнообразия дуль</w:t>
      </w:r>
      <w:r w:rsidRPr="00E93F40">
        <w:rPr>
          <w:rFonts w:ascii="Times New Roman" w:hAnsi="Times New Roman"/>
          <w:color w:val="000000" w:themeColor="text1"/>
          <w:sz w:val="16"/>
          <w:szCs w:val="16"/>
        </w:rPr>
        <w:softHyphen/>
        <w:t>ных скоростей на меткость».</w:t>
      </w:r>
    </w:p>
    <w:p w14:paraId="68DA51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стрельбе ТРС-132 модели 598 первой опытной партии (с расхо</w:t>
      </w:r>
      <w:r w:rsidRPr="00E93F40">
        <w:rPr>
          <w:rFonts w:ascii="Times New Roman" w:hAnsi="Times New Roman"/>
          <w:color w:val="000000" w:themeColor="text1"/>
          <w:sz w:val="16"/>
          <w:szCs w:val="16"/>
        </w:rPr>
        <w:softHyphen/>
        <w:t>дом 15% массы РЗ на вращение) из восьми снарядов только два имели относительно правильный полет. Таким образом, средняя дальность со</w:t>
      </w:r>
      <w:r w:rsidRPr="00E93F40">
        <w:rPr>
          <w:rFonts w:ascii="Times New Roman" w:hAnsi="Times New Roman"/>
          <w:color w:val="000000" w:themeColor="text1"/>
          <w:sz w:val="16"/>
          <w:szCs w:val="16"/>
        </w:rPr>
        <w:softHyphen/>
        <w:t>ставила 2000 м вместо расчетных 3000 м. Незначительные мощности ме</w:t>
      </w:r>
      <w:r w:rsidRPr="00E93F40">
        <w:rPr>
          <w:rFonts w:ascii="Times New Roman" w:hAnsi="Times New Roman"/>
          <w:color w:val="000000" w:themeColor="text1"/>
          <w:sz w:val="16"/>
          <w:szCs w:val="16"/>
        </w:rPr>
        <w:softHyphen/>
        <w:t>ханических и снаряжательных мастерских ГДЛ УВИ НКВМ не позволи</w:t>
      </w:r>
      <w:r w:rsidRPr="00E93F40">
        <w:rPr>
          <w:rFonts w:ascii="Times New Roman" w:hAnsi="Times New Roman"/>
          <w:color w:val="000000" w:themeColor="text1"/>
          <w:sz w:val="16"/>
          <w:szCs w:val="16"/>
        </w:rPr>
        <w:softHyphen/>
        <w:t>ли изготовить боеприпасы в количестве, необходимом для детального исследования причин неустойчивого полета и изучения поведения ТРС на активном участке траектории.</w:t>
      </w:r>
    </w:p>
    <w:p w14:paraId="1A68C5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Подобные ограничения вынудили испытателей проводить последую</w:t>
      </w:r>
      <w:r w:rsidRPr="00E93F40">
        <w:rPr>
          <w:rFonts w:ascii="Times New Roman" w:hAnsi="Times New Roman"/>
          <w:color w:val="000000" w:themeColor="text1"/>
          <w:sz w:val="16"/>
          <w:szCs w:val="16"/>
        </w:rPr>
        <w:softHyphen/>
        <w:t>щие стрельбы по деревянному щиту, установленному в 100 м от пусково</w:t>
      </w:r>
      <w:r w:rsidRPr="00E93F40">
        <w:rPr>
          <w:rFonts w:ascii="Times New Roman" w:hAnsi="Times New Roman"/>
          <w:color w:val="000000" w:themeColor="text1"/>
          <w:sz w:val="16"/>
          <w:szCs w:val="16"/>
        </w:rPr>
        <w:softHyphen/>
        <w:t>го станка. Между тем, до конца года были изготовлены три незначитель</w:t>
      </w:r>
      <w:r w:rsidRPr="00E93F40">
        <w:rPr>
          <w:rFonts w:ascii="Times New Roman" w:hAnsi="Times New Roman"/>
          <w:color w:val="000000" w:themeColor="text1"/>
          <w:sz w:val="16"/>
          <w:szCs w:val="16"/>
        </w:rPr>
        <w:softHyphen/>
        <w:t>ные по размеру партии снарядов ТРС-132 модели 598 с различными тур</w:t>
      </w:r>
      <w:r w:rsidRPr="00E93F40">
        <w:rPr>
          <w:rFonts w:ascii="Times New Roman" w:hAnsi="Times New Roman"/>
          <w:color w:val="000000" w:themeColor="text1"/>
          <w:sz w:val="16"/>
          <w:szCs w:val="16"/>
        </w:rPr>
        <w:softHyphen/>
        <w:t>бинами. У первой она осталась без изменений. Боеприпасы второй опытной партии расходовали 20%, у снарядов третьей партии был 30-процентный расход энергии на вращение.</w:t>
      </w:r>
    </w:p>
    <w:p w14:paraId="406D82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шести снарядов первой партии в щит попали лишь два. Остальные рикошетировали от земли перед щитом. По характеру пробоин (они не были идеально круглыми) испытатели пришли к выводу о неустойчивом поведении боеприпасов на траектории. Результаты отстрела второй и третьей партий ТРС-132 (по четыре выстрела) оказались еще более плачевными — ни один из боеприпасов не попал в щит, а их неустойчи</w:t>
      </w:r>
      <w:r w:rsidRPr="00E93F40">
        <w:rPr>
          <w:rFonts w:ascii="Times New Roman" w:hAnsi="Times New Roman"/>
          <w:color w:val="000000" w:themeColor="text1"/>
          <w:sz w:val="16"/>
          <w:szCs w:val="16"/>
        </w:rPr>
        <w:softHyphen/>
        <w:t>вый полет был заметен даже невооруженным глазом. Снаряды также ри</w:t>
      </w:r>
      <w:r w:rsidRPr="00E93F40">
        <w:rPr>
          <w:rFonts w:ascii="Times New Roman" w:hAnsi="Times New Roman"/>
          <w:color w:val="000000" w:themeColor="text1"/>
          <w:sz w:val="16"/>
          <w:szCs w:val="16"/>
        </w:rPr>
        <w:softHyphen/>
        <w:t>кошетировали от земли и разлетались в стороны от щита. Вывод: «мет</w:t>
      </w:r>
      <w:r w:rsidRPr="00E93F40">
        <w:rPr>
          <w:rFonts w:ascii="Times New Roman" w:hAnsi="Times New Roman"/>
          <w:color w:val="000000" w:themeColor="text1"/>
          <w:sz w:val="16"/>
          <w:szCs w:val="16"/>
        </w:rPr>
        <w:softHyphen/>
        <w:t>кость ТРС-132 модели 598 неудовлетворительна».</w:t>
      </w:r>
    </w:p>
    <w:p w14:paraId="442278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Наземная стрельба ТРС-82 модели 594 по щиту 6x6 м, установлен</w:t>
      </w:r>
      <w:r w:rsidRPr="00E93F40">
        <w:rPr>
          <w:rFonts w:ascii="Times New Roman" w:hAnsi="Times New Roman"/>
          <w:color w:val="000000" w:themeColor="text1"/>
          <w:sz w:val="16"/>
          <w:szCs w:val="16"/>
        </w:rPr>
        <w:softHyphen/>
        <w:t>ному в 120 м от жестко закрепленного орудия с углом возвышения 2°, состоялась 8 апреля 1933 г. У снарядов первой партии для повышения точности стрельбы увеличили поступательную скорость за счет удли ненного вдвое РЗ и доли, расходуемой на вращение, до 30%. При этом сопло подобрали таким образом, что давление в камере двигателя воз</w:t>
      </w:r>
      <w:r w:rsidRPr="00E93F40">
        <w:rPr>
          <w:rFonts w:ascii="Times New Roman" w:hAnsi="Times New Roman"/>
          <w:color w:val="000000" w:themeColor="text1"/>
          <w:sz w:val="16"/>
          <w:szCs w:val="16"/>
        </w:rPr>
        <w:softHyphen/>
        <w:t>росло со 180 до 280 кг/см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Из 10 отстрелянных снарядов девять про</w:t>
      </w:r>
      <w:r w:rsidRPr="00E93F40">
        <w:rPr>
          <w:rFonts w:ascii="Times New Roman" w:hAnsi="Times New Roman"/>
          <w:color w:val="000000" w:themeColor="text1"/>
          <w:sz w:val="16"/>
          <w:szCs w:val="16"/>
        </w:rPr>
        <w:softHyphen/>
        <w:t>били шит, а один срикошетировал от земли, но все же пробил щит, со</w:t>
      </w:r>
      <w:r w:rsidRPr="00E93F40">
        <w:rPr>
          <w:rFonts w:ascii="Times New Roman" w:hAnsi="Times New Roman"/>
          <w:color w:val="000000" w:themeColor="text1"/>
          <w:sz w:val="16"/>
          <w:szCs w:val="16"/>
        </w:rPr>
        <w:softHyphen/>
        <w:t>здав пробоину эллиптической формы с диагоналями 82 и 84 мм. Про</w:t>
      </w:r>
      <w:r w:rsidRPr="00E93F40">
        <w:rPr>
          <w:rFonts w:ascii="Times New Roman" w:hAnsi="Times New Roman"/>
          <w:color w:val="000000" w:themeColor="text1"/>
          <w:sz w:val="16"/>
          <w:szCs w:val="16"/>
        </w:rPr>
        <w:softHyphen/>
        <w:t>боина восьмого выстрела оказалась эллиптической с большим диа</w:t>
      </w:r>
      <w:r w:rsidRPr="00E93F40">
        <w:rPr>
          <w:rFonts w:ascii="Times New Roman" w:hAnsi="Times New Roman"/>
          <w:color w:val="000000" w:themeColor="text1"/>
          <w:sz w:val="16"/>
          <w:szCs w:val="16"/>
        </w:rPr>
        <w:softHyphen/>
        <w:t>метром 86 мм.</w:t>
      </w:r>
    </w:p>
    <w:p w14:paraId="797589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десяти ТРС-82 модели 596 с расходом 15% массы РЗ на вращение, отстрелянных по щиту на расстоянии 100 м от орудия, не зафиксирова</w:t>
      </w:r>
      <w:r w:rsidRPr="00E93F40">
        <w:rPr>
          <w:rFonts w:ascii="Times New Roman" w:hAnsi="Times New Roman"/>
          <w:color w:val="000000" w:themeColor="text1"/>
          <w:sz w:val="16"/>
          <w:szCs w:val="16"/>
        </w:rPr>
        <w:softHyphen/>
        <w:t>ли ни одного попадания. Полет снарядов - неправильный. Из шести снарядов второй партии (с расходом 30% массы РЗ на вращение) в щит попал только один. Из восьми снарядов третьей партии (с расходом 40% массы РЗ на вращение) шесть дали правильные пробоины в щите, что подало испытателям надежду на «возможность получения устойчивости полета с помощью вращения снаряда вблизи орудия». После этого они повторили стрельбу десятью ТРС-82 модели 596 второй партии по щиту на расстоянии 100 м. Из них четыре дали правильные пробоины диамет</w:t>
      </w:r>
      <w:r w:rsidRPr="00E93F40">
        <w:rPr>
          <w:rFonts w:ascii="Times New Roman" w:hAnsi="Times New Roman"/>
          <w:color w:val="000000" w:themeColor="text1"/>
          <w:sz w:val="16"/>
          <w:szCs w:val="16"/>
        </w:rPr>
        <w:softHyphen/>
        <w:t>ром 86 мм.</w:t>
      </w:r>
    </w:p>
    <w:p w14:paraId="2D1CC3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результатам стрельбы ТРС испытатели пришли к выводам, что снаряды устойчивы за счет вращения при расходе 20-30% массы РЗ, что соответственно снижает поступательную скорость, а следовательно, и дальность на величину около 30%. Расход энергетики до 40% еще боль</w:t>
      </w:r>
      <w:r w:rsidRPr="00E93F40">
        <w:rPr>
          <w:rFonts w:ascii="Times New Roman" w:hAnsi="Times New Roman"/>
          <w:color w:val="000000" w:themeColor="text1"/>
          <w:sz w:val="16"/>
          <w:szCs w:val="16"/>
        </w:rPr>
        <w:softHyphen/>
        <w:t>ше улучшает устойчивость боеприпаса на траектории, а также еще боль</w:t>
      </w:r>
      <w:r w:rsidRPr="00E93F40">
        <w:rPr>
          <w:rFonts w:ascii="Times New Roman" w:hAnsi="Times New Roman"/>
          <w:color w:val="000000" w:themeColor="text1"/>
          <w:sz w:val="16"/>
          <w:szCs w:val="16"/>
        </w:rPr>
        <w:softHyphen/>
        <w:t>ше снижает максимальные значения скорости полета и дальности стрельбы. Уменьшение же максимальной скорости, в свою очередь, сни</w:t>
      </w:r>
      <w:r w:rsidRPr="00E93F40">
        <w:rPr>
          <w:rFonts w:ascii="Times New Roman" w:hAnsi="Times New Roman"/>
          <w:color w:val="000000" w:themeColor="text1"/>
          <w:sz w:val="16"/>
          <w:szCs w:val="16"/>
        </w:rPr>
        <w:softHyphen/>
        <w:t>жало и начальную скорость ТРС при старте, что увеличивало «разнооб</w:t>
      </w:r>
      <w:r w:rsidRPr="00E93F40">
        <w:rPr>
          <w:rFonts w:ascii="Times New Roman" w:hAnsi="Times New Roman"/>
          <w:color w:val="000000" w:themeColor="text1"/>
          <w:sz w:val="16"/>
          <w:szCs w:val="16"/>
        </w:rPr>
        <w:softHyphen/>
        <w:t>разие углов вылета» и отрицательно влияло на точность стрельбы в са</w:t>
      </w:r>
      <w:r w:rsidRPr="00E93F40">
        <w:rPr>
          <w:rFonts w:ascii="Times New Roman" w:hAnsi="Times New Roman"/>
          <w:color w:val="000000" w:themeColor="text1"/>
          <w:sz w:val="16"/>
          <w:szCs w:val="16"/>
        </w:rPr>
        <w:softHyphen/>
        <w:t>мом начале активного участка траектории.</w:t>
      </w:r>
    </w:p>
    <w:p w14:paraId="437ADC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Причинами неустойчивости вращающихся РС (с газодинамической стабилизацией) признали эксцентриситет масс (как результат не очень тщательного изготовления) и эксцентриситет реактивной силы относи</w:t>
      </w:r>
      <w:r w:rsidRPr="00E93F40">
        <w:rPr>
          <w:rFonts w:ascii="Times New Roman" w:hAnsi="Times New Roman"/>
          <w:color w:val="000000" w:themeColor="text1"/>
          <w:sz w:val="16"/>
          <w:szCs w:val="16"/>
        </w:rPr>
        <w:softHyphen/>
        <w:t xml:space="preserve">тельно центра масс снаряда (как следствие отклонения продольной оси сопла от продольной оси снаряда), а также </w:t>
      </w:r>
      <w:r w:rsidRPr="00E93F40">
        <w:rPr>
          <w:rFonts w:ascii="Times New Roman" w:hAnsi="Times New Roman"/>
          <w:color w:val="000000" w:themeColor="text1"/>
          <w:sz w:val="16"/>
          <w:szCs w:val="16"/>
        </w:rPr>
        <w:lastRenderedPageBreak/>
        <w:t>разнообразие размеров «каса</w:t>
      </w:r>
      <w:r w:rsidRPr="00E93F40">
        <w:rPr>
          <w:rFonts w:ascii="Times New Roman" w:hAnsi="Times New Roman"/>
          <w:color w:val="000000" w:themeColor="text1"/>
          <w:sz w:val="16"/>
          <w:szCs w:val="16"/>
        </w:rPr>
        <w:softHyphen/>
        <w:t>тельных отверстий» и их разгар. Это способствовало образованию, по</w:t>
      </w:r>
      <w:r w:rsidRPr="00E93F40">
        <w:rPr>
          <w:rFonts w:ascii="Times New Roman" w:hAnsi="Times New Roman"/>
          <w:color w:val="000000" w:themeColor="text1"/>
          <w:sz w:val="16"/>
          <w:szCs w:val="16"/>
        </w:rPr>
        <w:softHyphen/>
        <w:t>мимо вращательной пары сил, еще и силы, эксцентричной относитель</w:t>
      </w:r>
      <w:r w:rsidRPr="00E93F40">
        <w:rPr>
          <w:rFonts w:ascii="Times New Roman" w:hAnsi="Times New Roman"/>
          <w:color w:val="000000" w:themeColor="text1"/>
          <w:sz w:val="16"/>
          <w:szCs w:val="16"/>
        </w:rPr>
        <w:softHyphen/>
        <w:t>но центра масс снаряда. Наряду с этим, перемещение несгоревших час</w:t>
      </w:r>
      <w:r w:rsidRPr="00E93F40">
        <w:rPr>
          <w:rFonts w:ascii="Times New Roman" w:hAnsi="Times New Roman"/>
          <w:color w:val="000000" w:themeColor="text1"/>
          <w:sz w:val="16"/>
          <w:szCs w:val="16"/>
        </w:rPr>
        <w:softHyphen/>
        <w:t>тей РЗ и неравномерное распределение давлений, в свою очередь, вызы</w:t>
      </w:r>
      <w:r w:rsidRPr="00E93F40">
        <w:rPr>
          <w:rFonts w:ascii="Times New Roman" w:hAnsi="Times New Roman"/>
          <w:color w:val="000000" w:themeColor="text1"/>
          <w:sz w:val="16"/>
          <w:szCs w:val="16"/>
        </w:rPr>
        <w:softHyphen/>
        <w:t>вало вибрацию корпуса снаряда, чем еще больше увеличивало «разнооб</w:t>
      </w:r>
      <w:r w:rsidRPr="00E93F40">
        <w:rPr>
          <w:rFonts w:ascii="Times New Roman" w:hAnsi="Times New Roman"/>
          <w:color w:val="000000" w:themeColor="text1"/>
          <w:sz w:val="16"/>
          <w:szCs w:val="16"/>
        </w:rPr>
        <w:softHyphen/>
        <w:t>разие углов вылета» наряду с «неточной пригонкой снаряда и малой ве</w:t>
      </w:r>
      <w:r w:rsidRPr="00E93F40">
        <w:rPr>
          <w:rFonts w:ascii="Times New Roman" w:hAnsi="Times New Roman"/>
          <w:color w:val="000000" w:themeColor="text1"/>
          <w:sz w:val="16"/>
          <w:szCs w:val="16"/>
        </w:rPr>
        <w:softHyphen/>
        <w:t>личиной дульной скорости».</w:t>
      </w:r>
    </w:p>
    <w:p w14:paraId="5B5866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проектировании снарядов последующих опытных партий была поставлена задача «свести к минимуму эксцентриситеты реактивной си</w:t>
      </w:r>
      <w:r w:rsidRPr="00E93F40">
        <w:rPr>
          <w:rFonts w:ascii="Times New Roman" w:hAnsi="Times New Roman"/>
          <w:color w:val="000000" w:themeColor="text1"/>
          <w:sz w:val="16"/>
          <w:szCs w:val="16"/>
        </w:rPr>
        <w:softHyphen/>
        <w:t>лы и масс, предотвратить прогар отверстий в центрирующих утолщени</w:t>
      </w:r>
      <w:r w:rsidRPr="00E93F40">
        <w:rPr>
          <w:rFonts w:ascii="Times New Roman" w:hAnsi="Times New Roman"/>
          <w:color w:val="000000" w:themeColor="text1"/>
          <w:sz w:val="16"/>
          <w:szCs w:val="16"/>
        </w:rPr>
        <w:softHyphen/>
        <w:t>ях, увеличить дульную скорость за счет увеличения давления в камере после уплотнения пороха» (11402).</w:t>
      </w:r>
    </w:p>
    <w:p w14:paraId="6961AB98" w14:textId="53CB1F03"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719ADF" w14:textId="2809B70F" w:rsidR="00D65060" w:rsidRPr="00E93F40" w:rsidRDefault="00D65060" w:rsidP="00E93F40">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Внешняя политика:</w:t>
      </w:r>
    </w:p>
    <w:p w14:paraId="34FBA8C7" w14:textId="77777777" w:rsidR="00D65060" w:rsidRPr="00E93F40" w:rsidRDefault="00D65060" w:rsidP="00E93F40">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3EE5E898"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декабря 1932 г.</w:t>
      </w:r>
    </w:p>
    <w:p w14:paraId="1518EBD5"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Записка В.И. Межлаука И.В. Сталину и В.М. Молотову об организации советско-американского института по обмену опытом в области экономических исследований</w:t>
      </w:r>
    </w:p>
    <w:p w14:paraId="781C1155"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1182/2417сс </w:t>
      </w:r>
    </w:p>
    <w:p w14:paraId="67D1EA9B"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декабря 1932 г.</w:t>
      </w:r>
    </w:p>
    <w:p w14:paraId="7B22188B"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 секретно</w:t>
      </w:r>
    </w:p>
    <w:p w14:paraId="66147D56"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Экз. № 1</w:t>
      </w:r>
    </w:p>
    <w:p w14:paraId="3B193B5D"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 Сталину</w:t>
      </w:r>
    </w:p>
    <w:p w14:paraId="52072092"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 Молотову</w:t>
      </w:r>
    </w:p>
    <w:p w14:paraId="76796D4F"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ПБ тов. Осинскому и мне было поручено организовать советско-американский институт по обмену опытом в области экономических исследований.</w:t>
      </w:r>
    </w:p>
    <w:p w14:paraId="2B635B99"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Форма организации института такова:</w:t>
      </w:r>
    </w:p>
    <w:p w14:paraId="1DBDC5A4"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 главе института в каждой стране стоит совет из 7-ми человек. </w:t>
      </w:r>
    </w:p>
    <w:p w14:paraId="1453DBE1"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Оба совета образуют собой Объединенный совет института.</w:t>
      </w:r>
    </w:p>
    <w:p w14:paraId="7026FC29"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институт входят члены института из числа лиц, занятых экономическими исследованиями. Каждый член института утверждается обоими советами.</w:t>
      </w:r>
    </w:p>
    <w:p w14:paraId="22A49E4B"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устраивает раз в год конференцию, на которой обе части института, советская и американская, выступают со своими докладами.</w:t>
      </w:r>
    </w:p>
    <w:p w14:paraId="20595E38"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Созыв первой конференции намечается в мае месяце 1933 г. в Нью-Йорке, причем в программу конференции поставлен вопрос об экономике и технике американского машиностроения, в особенности станкостроения, и доклад советской части института о развитии машиностроения в СССР.</w:t>
      </w:r>
    </w:p>
    <w:p w14:paraId="1F803BF3"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американский совет образован в составе:</w:t>
      </w:r>
    </w:p>
    <w:p w14:paraId="15889632"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Мэри Ван Клик - директор департамента промышленных исследований известного в Америке Руссельского общества («Руссел Сэйдж фаундейшн»); бывший председатель Амстердамского конгресса в августе 1931 г. по вопросам международной социальной экономики, на котором выступали наши тт. Осинский, Краваль, Гайстер и Ронин.</w:t>
      </w:r>
    </w:p>
    <w:p w14:paraId="33F6C97E"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Проф. Сьюзен Кингсбери - директор отдела социальной экономики известного женского колледжа «Брин Мор» в штате Пенсильвания.</w:t>
      </w:r>
    </w:p>
    <w:p w14:paraId="1D9CABA3"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 Милдред Фэрчайлд - ассистент проф. Кингсбери в указанном колледже; негласный член американской компартии.</w:t>
      </w:r>
    </w:p>
    <w:p w14:paraId="1E713CEC"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Проф. Джордж Каунтс - профессор факультета педагогики Колумбийского университета в Нью-Йорке.</w:t>
      </w:r>
    </w:p>
    <w:p w14:paraId="793ADFC1"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 Харлоу Персон - директор научно-исследовательского общества «Тейлор сосайэти» в Нью-Йорке.</w:t>
      </w:r>
    </w:p>
    <w:p w14:paraId="62A6EDE4"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Проф. М.Л. Вильсон - директор отдела сельскохозяйственной экономики государственного университета Монтана.</w:t>
      </w:r>
    </w:p>
    <w:p w14:paraId="39012A8E"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Проф. Р.Г. Тагвелл - профессор по экономике в Колумбийском университете в г. Нью-Йорк.</w:t>
      </w:r>
    </w:p>
    <w:p w14:paraId="7CCA648C"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Председателем американского совета избрана Мэри Ван Клик.</w:t>
      </w:r>
    </w:p>
    <w:p w14:paraId="7B803C54"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Представителем американского совета в СССР является известный Вам журналист корреспондент «Нэйшн» Льюис Фишер.</w:t>
      </w:r>
    </w:p>
    <w:p w14:paraId="01974AE5"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утвердить в настоящее время совет, представляющий советскую часть института. Мы предлагаем следующий состав совета:</w:t>
      </w:r>
    </w:p>
    <w:p w14:paraId="2420E7B8"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 В.В. Осинский</w:t>
      </w:r>
    </w:p>
    <w:p w14:paraId="1D663DFC"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тов. В.И. Межлаук</w:t>
      </w:r>
    </w:p>
    <w:p w14:paraId="7664BE1A"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Гайстер</w:t>
      </w:r>
      <w:r w:rsidRPr="00E93F40">
        <w:rPr>
          <w:rFonts w:ascii="Times New Roman" w:hAnsi="Times New Roman"/>
          <w:color w:val="000000" w:themeColor="text1"/>
          <w:sz w:val="16"/>
          <w:szCs w:val="16"/>
        </w:rPr>
        <w:tab/>
        <w:t>- заместитель] председателя] Госплана СССР</w:t>
      </w:r>
    </w:p>
    <w:p w14:paraId="11DDF3EE"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Краваль</w:t>
      </w:r>
      <w:r w:rsidRPr="00E93F40">
        <w:rPr>
          <w:rFonts w:ascii="Times New Roman" w:hAnsi="Times New Roman"/>
          <w:color w:val="000000" w:themeColor="text1"/>
          <w:sz w:val="16"/>
          <w:szCs w:val="16"/>
        </w:rPr>
        <w:tab/>
        <w:t>- заместитель] наркомтруда</w:t>
      </w:r>
    </w:p>
    <w:p w14:paraId="0AE3B2BA"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Троицкий - директор Института экономичес- ких исследований Госплана СССР</w:t>
      </w:r>
    </w:p>
    <w:p w14:paraId="5C4C4510"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Хмельницкая « Шахновская</w:t>
      </w:r>
      <w:r w:rsidRPr="00E93F40">
        <w:rPr>
          <w:rFonts w:ascii="Times New Roman" w:hAnsi="Times New Roman"/>
          <w:color w:val="000000" w:themeColor="text1"/>
          <w:sz w:val="16"/>
          <w:szCs w:val="16"/>
        </w:rPr>
        <w:tab/>
        <w:t>- член Комитета товарных фондов.</w:t>
      </w:r>
    </w:p>
    <w:p w14:paraId="75025931"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Председателем совета в СССР следует назначить или тов. Осинского, или тов. Межлаука.</w:t>
      </w:r>
    </w:p>
    <w:p w14:paraId="76249998"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Председателем Объединенного совета американский совет (согласно приложенной телеграммы) выдвинул тов. Межлаука.</w:t>
      </w:r>
    </w:p>
    <w:p w14:paraId="75255287"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Мы просим одобрить выбранную нами форму организации и утвердить персональный состав совета.</w:t>
      </w:r>
    </w:p>
    <w:p w14:paraId="33DBFE0E"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 Межлаук</w:t>
      </w:r>
    </w:p>
    <w:p w14:paraId="19AE200D"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на 3-х листах: Устав института, телеграмма Ван Клик</w:t>
      </w:r>
    </w:p>
    <w:p w14:paraId="481058B5"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Приложение № 1</w:t>
      </w:r>
    </w:p>
    <w:p w14:paraId="3627E442"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телеграммы М. Ван Клик В.И. Межлауку о выдвижении его президентом Объединенного совета советско-американского института</w:t>
      </w:r>
    </w:p>
    <w:p w14:paraId="336C7CE9"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декабря 1932 г.</w:t>
      </w:r>
    </w:p>
    <w:p w14:paraId="6400D4AD"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Нью-Йорк</w:t>
      </w:r>
    </w:p>
    <w:p w14:paraId="0EEBEF7B"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Межлауку, Госплан, Москва</w:t>
      </w:r>
    </w:p>
    <w:p w14:paraId="0C4EF41D"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Совет организован. Ван Клик - председатель, Каунтс - секретарь. </w:t>
      </w:r>
    </w:p>
    <w:p w14:paraId="4BF7B960"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Единогласно выдвигаем Межлаука президентом Объеди…(20715).</w:t>
      </w:r>
    </w:p>
    <w:p w14:paraId="798F8498" w14:textId="77777777" w:rsidR="00D65060" w:rsidRPr="00E93F40" w:rsidRDefault="00D65060" w:rsidP="00E93F40">
      <w:pPr>
        <w:spacing w:after="0" w:line="240" w:lineRule="auto"/>
        <w:jc w:val="both"/>
        <w:rPr>
          <w:rFonts w:ascii="Times New Roman" w:hAnsi="Times New Roman"/>
          <w:color w:val="000000" w:themeColor="text1"/>
          <w:sz w:val="16"/>
          <w:szCs w:val="16"/>
        </w:rPr>
      </w:pPr>
    </w:p>
    <w:p w14:paraId="6300D7A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25E486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0BB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были представлены техтребования к самолету П3-М52 (7415, 16).</w:t>
      </w:r>
    </w:p>
    <w:p w14:paraId="6A8063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A802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были представлены техтребования к самолету ДИП-2М34РН (7415, 16).</w:t>
      </w:r>
    </w:p>
    <w:p w14:paraId="011F1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456A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(1017,205) закончились гос. испытания АНТ-7 Р-6 N 2202 производства 22 завода и установленного на поплавки на 31 заводе, которые начались 10 декабря. 17 апреля 1933 состоялись дополнительные испытания в вариантах многоместного истребителя и дальнего разведчика. Вопрос взлета с торпедой должен был быть изучен отдельно (1017,205).</w:t>
      </w:r>
    </w:p>
    <w:p w14:paraId="7F0E5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160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секция особых конструкций ЭАО была выделена и реорганизована в отдел винтовых аппаратов (ОВА) ЦАГИ (273,299).</w:t>
      </w:r>
    </w:p>
    <w:p w14:paraId="3B97D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90C113"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0B4BDD8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87E65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при ОГПУ образовали ГУ РКмилиции (3398,455).</w:t>
      </w:r>
    </w:p>
    <w:p w14:paraId="24180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685F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Постановлением ЦИК и СНК СССР № 1918 в составе ОГПУ было организовано Главное управление Рабоче-крестьянской милиции (ГУРКМ), куда были переданы все функции и личный состав ГИМ и УГРО. Начальником ГУРКМ при ОГПУ стал Г.Е.Прокофьев, а его заместителями - Д.В.Усов и С.Н.Маркарьян (оба с 29 марта 1933-го) (7557).</w:t>
      </w:r>
    </w:p>
    <w:p w14:paraId="442C06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0550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г. ЦИК и СНК СССР приняли постановление "Об образовании Главного управления рабоче-крестьянской милиции при ОГПУ СССР" и утвердили Положение о Главке. Милиция выводится из непосредственного ведения правительств союзных и автономных республик и передается в ОГПУ СССР. Начальник Главного управления милиции при ОГПУ становится одним из заместителей председателя ОГПУ. ЦИК и СНК приняли постановление "Об установлении единой паспортной системы по Союзу ССР и обязательной прописке паспортов" и утвердили положение "О паспортах". Проведение паспортизации было возложено на милицию, для чего в ее системе были созданы паспортные подразделения (отделы, отделения, группы, столы) (10303).</w:t>
      </w:r>
    </w:p>
    <w:p w14:paraId="2EF11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28FB35" w14:textId="77777777" w:rsidR="006118EC" w:rsidRPr="00E93F40" w:rsidRDefault="006118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27 декабря</w:t>
      </w:r>
      <w:r w:rsidRPr="00E93F40">
        <w:rPr>
          <w:rFonts w:ascii="Times New Roman" w:hAnsi="Times New Roman"/>
          <w:color w:val="000000" w:themeColor="text1"/>
          <w:sz w:val="16"/>
          <w:szCs w:val="16"/>
        </w:rPr>
        <w:t xml:space="preserve"> в 1932 году при ОГПУ было образовано Главное управление рабоче-крестьянской милиции, начальником которого был назначен заместитель председателя ОГПУ Георгий Е.Прокофьев, в 1935 году произведенный в комиссары госбезопасности 1-го ранга и расстрелянный в 1937 году (14873).</w:t>
      </w:r>
    </w:p>
    <w:p w14:paraId="063A28A1" w14:textId="77777777" w:rsidR="006118EC" w:rsidRPr="00E93F40" w:rsidRDefault="006118EC" w:rsidP="00E93F40">
      <w:pPr>
        <w:spacing w:after="0" w:line="240" w:lineRule="auto"/>
        <w:jc w:val="both"/>
        <w:rPr>
          <w:rFonts w:ascii="Times New Roman" w:hAnsi="Times New Roman"/>
          <w:color w:val="000000" w:themeColor="text1"/>
          <w:sz w:val="16"/>
          <w:szCs w:val="16"/>
        </w:rPr>
      </w:pPr>
    </w:p>
    <w:p w14:paraId="5B4810DD"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27 декабря 1932 года в Москве председателем ЦИК СССР М.И. Калининым, председателем Совнаркома СССР В.М. Молотовым и секретарем ЦИК СССР А.С. Енукидзе было подписано Постановление № 57/1917 "Об установлении единой паспортной системы по Союзу ССР и обязательной прописки паспортов".</w:t>
      </w:r>
    </w:p>
    <w:p w14:paraId="76BBDF33"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всех паспортизированных местностях паспорт становится единственным документом, "удостоверяющим личность владельца". В п.10 предписывалось: Паспортные книжки и бланки изготавливать по единому для всего Союза ССР образцу. Текст паспортных книжек и бланков для граждан различных союзных и автономных республик печатать на двух языках; на русском и на языке, общеупотребительном в данной союзной или автономной республике.</w:t>
      </w:r>
    </w:p>
    <w:p w14:paraId="206E9D77"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паспортах образца 1932 года указывались следующие сведения: имя, отчество, фамилия, время и место рождения, национальность, социальное положение постоянное местожительство и место работы, прохождение обязательной военной службы и документы, на основании которых выдавался паспорт.</w:t>
      </w:r>
    </w:p>
    <w:p w14:paraId="4E9BB479" w14:textId="77777777" w:rsidR="00D65060" w:rsidRPr="00E93F40" w:rsidRDefault="00D6506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с постановлением ЦИК и СНК СССР (Об Установлении единой паспортной системы по Союзу ССР и обязательной прописки паспортов) 27 декабря 1932 года было издано постановление "Об образовании Главного управления рабоче-крестьянской милиции при ОГПУ Союза ССР". Этот орган создавался для общего руководства работой управления рабоче-крестьянской милиции союзных республик, а также для введения по всему Советскому Союзу единой паспортной системы, прописки паспортов и для непосредственного руководства этим делом (21176).</w:t>
      </w:r>
    </w:p>
    <w:p w14:paraId="4667626B" w14:textId="77777777" w:rsidR="00D65060" w:rsidRPr="00E93F40" w:rsidRDefault="00D65060" w:rsidP="00E93F40">
      <w:pPr>
        <w:spacing w:after="0" w:line="240" w:lineRule="auto"/>
        <w:jc w:val="both"/>
        <w:rPr>
          <w:rFonts w:ascii="Times New Roman" w:hAnsi="Times New Roman"/>
          <w:color w:val="000000" w:themeColor="text1"/>
          <w:sz w:val="16"/>
          <w:szCs w:val="16"/>
        </w:rPr>
      </w:pPr>
    </w:p>
    <w:p w14:paraId="00354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ЦИК и СНК СССР утвердили "Положение о паспортах" и объявило об обязательной прописке городских жителей в целях ограничения исхода крестьянства из деревень, "ликвидации социального паразитизма" и остановки "проникновения кулаков в города". Города были разделены на две категории:"закрытые" и "открытые"; к "закрытым" городам отнесены Москва, Ленинград, Киев, Одесса, Минск, Владивосток, Харьков, Ростов-на-Дону. Крестьяне паспорта не получили и были прикреплены к колхозам. Появилась поговорка: ВКП(б) - Второе крепостное право (большевиков) (10687).</w:t>
      </w:r>
    </w:p>
    <w:p w14:paraId="17B47F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986BFE" w14:textId="77777777" w:rsidR="006118EC" w:rsidRPr="00E93F40" w:rsidRDefault="006118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27 декабря</w:t>
      </w:r>
      <w:r w:rsidRPr="00E93F40">
        <w:rPr>
          <w:rFonts w:ascii="Times New Roman" w:hAnsi="Times New Roman"/>
          <w:color w:val="000000" w:themeColor="text1"/>
          <w:sz w:val="16"/>
          <w:szCs w:val="16"/>
        </w:rPr>
        <w:t xml:space="preserve"> в 1932 году </w:t>
      </w:r>
      <w:hyperlink r:id="rId302" w:tgtFrame="_blank" w:history="1">
        <w:r w:rsidRPr="00E93F40">
          <w:rPr>
            <w:rFonts w:ascii="Times New Roman" w:hAnsi="Times New Roman"/>
            <w:color w:val="000000" w:themeColor="text1"/>
            <w:sz w:val="16"/>
            <w:szCs w:val="16"/>
          </w:rPr>
          <w:t xml:space="preserve">Постановление ЦИК СССР, СНК СССР от 27.12.1932 N 1917 "Об установлении единой паспортной системы по Союзу ССР и обязательной прописки паспортов" </w:t>
        </w:r>
      </w:hyperlink>
      <w:r w:rsidRPr="00E93F40">
        <w:rPr>
          <w:rFonts w:ascii="Times New Roman" w:hAnsi="Times New Roman"/>
          <w:color w:val="000000" w:themeColor="text1"/>
          <w:sz w:val="16"/>
          <w:szCs w:val="16"/>
        </w:rPr>
        <w:t>Основные цели, которые преследовались при введении единой паспортной системы заключались: - в улучшении учета населения городов, поселков и т. п. и разгрузки этих населенных мест от лиц не связанных с производством и работой, не занятых общественно-полезным трудом; - в очистке этих населенных мест от укрывающихся кулацких, уголовных и иных антиобщественных элементов. В милиции были образованы паспортные отделы, а в отделениях милиции - паспортные столы. Была также проведена реорганизация адресно-справочного бюро. Нормами паспортной системы устанавливалось, что все граждане в возрасте от 16 лет, проживающие в городах, рабочих поселках, а также проживающие в 100 километровой полосе вокруг Москвы, Ленинграда, в 50 километровой полосе вокруг Харькова, в 100 километровой полосе Западно-Европейской границы СССР обязаны были иметь паспорта и прописку. Во всех этих местностях паспорт признавался единственным документом, удостоверяющим личность его владельца. За нарушение паспортных правил, устанавливалась административная и уголовная ответственность. Паспорта должны были предъявляться при прописке, при поступлении на работу, а также по требованию милиции и других административных органов. Паспорта вводились только для жителей городов, рабочих поселков, совхозов и новостроек. Колхозники были лишены паспортов, и это обстоятельство сразу ставило их в положение «крепостных», прикрепленных к месту жительства. Только в 1960-е годы этот режим был ослаблен, появилась возможность уйти из колхоза, например, поступив по оргнабору на работу на промышленные предприятия. И лишь по новому «Положению о паспортной системе...» от 28 августа 1974 года паспорта стали выдавать всем гражданам СССР с 16-летнего возраста (14873).</w:t>
      </w:r>
    </w:p>
    <w:p w14:paraId="2C73A2CF" w14:textId="77777777" w:rsidR="006118EC" w:rsidRPr="00E93F40" w:rsidRDefault="006118EC" w:rsidP="00E93F40">
      <w:pPr>
        <w:spacing w:after="0" w:line="240" w:lineRule="auto"/>
        <w:jc w:val="both"/>
        <w:rPr>
          <w:rFonts w:ascii="Times New Roman" w:hAnsi="Times New Roman"/>
          <w:color w:val="000000" w:themeColor="text1"/>
          <w:sz w:val="16"/>
          <w:szCs w:val="16"/>
        </w:rPr>
      </w:pPr>
    </w:p>
    <w:p w14:paraId="6B399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вышло постановление ЦИК и СНК о введении в СССР паспортной системы и обязательной прописки (3263,759).</w:t>
      </w:r>
    </w:p>
    <w:p w14:paraId="1BBBF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C065F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в СССР восстановлена система внутренних паспортов, отмененная после революции (4962).</w:t>
      </w:r>
    </w:p>
    <w:p w14:paraId="1113C0BF"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D60BF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была вновь введена система внутренних паспортов (отмеченная после революции), которая позволяет контролировать и ограничивать миграцию городского населения, в особенности рабочих. Колхозникам паспорта не выдаются, и они отныне вновь прикрепляются к земле (4962).</w:t>
      </w:r>
    </w:p>
    <w:p w14:paraId="579605D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6B7774"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введение единой паспортной системы в СССР, образование паспортно-визовой службы (12629).</w:t>
      </w:r>
    </w:p>
    <w:p w14:paraId="02D26F44" w14:textId="77777777" w:rsidR="00F6073C" w:rsidRPr="00E93F40" w:rsidRDefault="00F6073C" w:rsidP="00E93F40">
      <w:pPr>
        <w:autoSpaceDE w:val="0"/>
        <w:autoSpaceDN w:val="0"/>
        <w:adjustRightInd w:val="0"/>
        <w:spacing w:after="0" w:line="240" w:lineRule="auto"/>
        <w:jc w:val="both"/>
        <w:rPr>
          <w:rFonts w:ascii="Times New Roman" w:hAnsi="Times New Roman"/>
          <w:color w:val="000000" w:themeColor="text1"/>
          <w:sz w:val="16"/>
          <w:szCs w:val="16"/>
        </w:rPr>
      </w:pPr>
    </w:p>
    <w:p w14:paraId="5E033A2D" w14:textId="4A3BF705" w:rsidR="00222F47" w:rsidRPr="00E93F40" w:rsidRDefault="00222F47"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декабря</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 принят закон о паспортизации. Паспортизация предусматривала прописку по месту жительства, которая закрепляла преимущество городского жителя, давала ему право на продуктовую карточку, обеспечивало право на жилье. Москва, Ленинград и другие крупные промышленные центры становились городами с ограниченной пропиской, которые имели преимущественное снабжение. В течение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стране было выдано 27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млн. паспортов. Сотни тысяч человек были задержаны за нарушение паспортного режима (11601).</w:t>
      </w:r>
    </w:p>
    <w:p w14:paraId="3CDBAC36" w14:textId="77777777" w:rsidR="00222F47" w:rsidRPr="00E93F40" w:rsidRDefault="00222F47" w:rsidP="00E93F40">
      <w:pPr>
        <w:autoSpaceDE w:val="0"/>
        <w:autoSpaceDN w:val="0"/>
        <w:adjustRightInd w:val="0"/>
        <w:spacing w:after="0" w:line="240" w:lineRule="auto"/>
        <w:jc w:val="both"/>
        <w:rPr>
          <w:rFonts w:ascii="Times New Roman" w:hAnsi="Times New Roman"/>
          <w:color w:val="000000" w:themeColor="text1"/>
          <w:sz w:val="16"/>
          <w:szCs w:val="16"/>
        </w:rPr>
      </w:pPr>
    </w:p>
    <w:p w14:paraId="526A78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года в Москве председателем ЦИК СССР М. И. Калининым, председателем Совнаркома СССР В. М. Молотовым и секретарем ЦИК СССР А. С. Енукидзе было подписано постановление № 57/1917 “Об установлении единой паспортной системы по Союзу ССР и обязательной прописки паспортов”. Миллионы “раскулаченных” и бежавших в страхе из деревни от “коллективизации” и непосильных хлебозаготовок людей надо было выявить, учесть, распределить на потоки в зависимости от “социального положения” и закрепить за государственными работами. С 1918 года документом, удостоверяющим личность гражданина РСФСР, начали считаться трудовые книжки. С 1924 года стали выдаваться удостоверения личности сроком на три года. С 1927 года юридическая сила подобных документов распространилась на метрические выписки о рождении или браке, справки домоуправлений и сельсоветов о проживании, служебные удостоверения, профсоюзные, военные, студенческие билеты и т. д. Положение о паспортах устанавливало, что “все граждане Союза ССР в возрасте от 16 лет, постоянно проживающие в городах, рабочих поселках, работающие на транспорте, в совхозах и на новостройках, обязаны иметь паспорта”. Отныне вся территория страны и ее население делились на две неравные части: ту, где была введена паспортная система, и ту, где ее не существовало. В паспортизированных местностях паспорт являлся единственным документом, “удостоверяющим личность владельца”. Все прежние удостоверения, ранее служившие видом на жительство, отменялись. Вводилась обязательная прописка паспортов в органах милиции “не позднее 24 часов по прибытии на новое местожительство”. Обязательной стала и выписка — для всех, кто выбывал “из пределов данного населенного пункта совсем или на срок более двух месяцев”; для всех, покидающих прежнее местожительство, обменивающих паспорта; заключенных; арестованных, содержащихся под стражей более двух месяцев. Помимо кратких сведений о владельце (имя, отчество, фамилия, время и место рождения, национальность) в паспорте указывались: социальное положение (взамен чинов и званий Российской империи советский новояз устанавливал для людей следующие социальные ярлыки: “рабочий”, “колхозник”, “крестьянин-единоличник”, “служащий”, “учащийся”, “писатель”, “художник”, “артист”, “скульптор”, “кустарь”, “пенсионер”, “иждивенец”, “без определенных занятий”), постоянное местожительство и место работы, прохождение обязательной военной службы и перечень документов, на основании которых выдавался паспорт. Предприятия и учреждения должны были требовать от принимаемых на работу паспорта (или временные удостоверения), отмечая в них время зачисления в штат. Главному управлению рабоче-крестьянской милиции при ОГПУ СССР поручалось в десятидневный срок представить в Совнарком инструкцию о “проведении постановления”. Минимальный срок подготовки инструкции, о котором говорится в постановлении, указывает: она была составлена и согласована во всех звеньях высшего партийно-государственного аппарата советской власти задолго до декабря 1932 года (9985).</w:t>
      </w:r>
    </w:p>
    <w:p w14:paraId="59A23F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7A807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369E751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7FF1832" w14:textId="77777777" w:rsidR="006118EC" w:rsidRPr="00E93F40" w:rsidRDefault="006118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27 декабря 1932 года</w:t>
      </w:r>
      <w:r w:rsidRPr="00E93F40">
        <w:rPr>
          <w:rFonts w:ascii="Times New Roman" w:hAnsi="Times New Roman"/>
          <w:color w:val="000000" w:themeColor="text1"/>
          <w:sz w:val="16"/>
          <w:szCs w:val="16"/>
        </w:rPr>
        <w:t xml:space="preserve"> Состоялся первый полет истребителя Fokker D.XVII разработанного фирмой Fokker для авиации Голландии. Это был стандартный для того времени расчалочный биплан с неубираемым шасси и открытой кабиной пилота. Фюзеляж самолета имел каркас из стальных труб и полотняную обшивку, крыло было изготовлено из фанеры и обтянуто полотном/ На нем устанавливался рядный двигатель Curtiss V-1570 "Conqueror" с двухлопастным деревянным винтом постоянного шага. По основным характеристикам он был аналогичен таким самолётам, как И-3 и Bristol "Bulldog", немного превосходя их в скорости (14873).</w:t>
      </w:r>
    </w:p>
    <w:p w14:paraId="10502762" w14:textId="77777777" w:rsidR="006118EC" w:rsidRPr="00E93F40" w:rsidRDefault="006118EC" w:rsidP="00E93F40">
      <w:pPr>
        <w:spacing w:after="0" w:line="240" w:lineRule="auto"/>
        <w:jc w:val="both"/>
        <w:rPr>
          <w:rFonts w:ascii="Times New Roman" w:hAnsi="Times New Roman"/>
          <w:color w:val="000000" w:themeColor="text1"/>
          <w:sz w:val="16"/>
          <w:szCs w:val="16"/>
        </w:rPr>
      </w:pPr>
    </w:p>
    <w:p w14:paraId="6E039FC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декабря 1932 в Нью-Йорке открыт самый большой в мире кинотеатр «Рэдио-Сити Мьюзик Холл» (на 5945 мест) (4962).</w:t>
      </w:r>
    </w:p>
    <w:p w14:paraId="1C14C86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597CEC"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81A519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B8B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декабря 1932 были представлены техтребования к самолету ВС2-2М52 (7415, 16).</w:t>
      </w:r>
    </w:p>
    <w:p w14:paraId="3D737B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62F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декабря 1932 состоялось заседание у зам нач. ГУАП Макаровского (протокол 26):</w:t>
      </w:r>
    </w:p>
    <w:p w14:paraId="7A52F0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Слушали: О выполнении мероприятий по обеспечению производства самолетов ТБ-4 и МИ-3 (протокол 156 от 25 декабря 1932) и моторное хозяйство (2291,137).</w:t>
      </w:r>
    </w:p>
    <w:p w14:paraId="5AE957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D9C614" w14:textId="77777777" w:rsidR="00887B13" w:rsidRPr="00E93F40" w:rsidRDefault="00887B1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декабря 1932 г. заместитель председателя РВС Тухачевский поддержал проект Вахмистрова и на</w:t>
      </w:r>
      <w:r w:rsidRPr="00E93F40">
        <w:rPr>
          <w:rFonts w:ascii="Times New Roman" w:hAnsi="Times New Roman"/>
          <w:color w:val="000000" w:themeColor="text1"/>
          <w:sz w:val="16"/>
          <w:szCs w:val="16"/>
        </w:rPr>
        <w:softHyphen/>
        <w:t>писал положительную резолюцию на предложение конст</w:t>
      </w:r>
      <w:r w:rsidRPr="00E93F40">
        <w:rPr>
          <w:rFonts w:ascii="Times New Roman" w:hAnsi="Times New Roman"/>
          <w:color w:val="000000" w:themeColor="text1"/>
          <w:sz w:val="16"/>
          <w:szCs w:val="16"/>
        </w:rPr>
        <w:softHyphen/>
        <w:t>руктора о создании «Тягача».</w:t>
      </w:r>
    </w:p>
    <w:p w14:paraId="7C90BB0A" w14:textId="77777777" w:rsidR="00887B13" w:rsidRPr="00E93F40" w:rsidRDefault="00887B1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Первоначальный вариант установки небольшого монопла</w:t>
      </w:r>
      <w:r w:rsidRPr="00E93F40">
        <w:rPr>
          <w:rFonts w:ascii="Times New Roman" w:hAnsi="Times New Roman"/>
          <w:color w:val="000000" w:themeColor="text1"/>
          <w:sz w:val="16"/>
          <w:szCs w:val="16"/>
        </w:rPr>
        <w:softHyphen/>
        <w:t>на, закрепленного сверху фюзеляжа ТБ-3, выполнил лич</w:t>
      </w:r>
      <w:r w:rsidRPr="00E93F40">
        <w:rPr>
          <w:rFonts w:ascii="Times New Roman" w:hAnsi="Times New Roman"/>
          <w:color w:val="000000" w:themeColor="text1"/>
          <w:sz w:val="16"/>
          <w:szCs w:val="16"/>
        </w:rPr>
        <w:softHyphen/>
        <w:t>но Вахмистров. Далее к продолжению работ по самолету «Тягач» удалось привлечь конструктора П.Д.Самсонова (он занимался морскими самолетами в ЦКБ, очевидно, что для него это была договорная работа), который разрабо</w:t>
      </w:r>
      <w:r w:rsidRPr="00E93F40">
        <w:rPr>
          <w:rFonts w:ascii="Times New Roman" w:hAnsi="Times New Roman"/>
          <w:color w:val="000000" w:themeColor="text1"/>
          <w:sz w:val="16"/>
          <w:szCs w:val="16"/>
        </w:rPr>
        <w:softHyphen/>
        <w:t>тал и в начале февраля 1933 г. представил эскизный про</w:t>
      </w:r>
      <w:r w:rsidRPr="00E93F40">
        <w:rPr>
          <w:rFonts w:ascii="Times New Roman" w:hAnsi="Times New Roman"/>
          <w:color w:val="000000" w:themeColor="text1"/>
          <w:sz w:val="16"/>
          <w:szCs w:val="16"/>
        </w:rPr>
        <w:softHyphen/>
        <w:t>ект изящного моноплана с верхним расположением кры</w:t>
      </w:r>
      <w:r w:rsidRPr="00E93F40">
        <w:rPr>
          <w:rFonts w:ascii="Times New Roman" w:hAnsi="Times New Roman"/>
          <w:color w:val="000000" w:themeColor="text1"/>
          <w:sz w:val="16"/>
          <w:szCs w:val="16"/>
        </w:rPr>
        <w:softHyphen/>
        <w:t>ла. Полная длина самолета составляла 8,1 метра, размах крыла - 12,0 метров. При подготовке проекта использовал</w:t>
      </w:r>
      <w:r w:rsidRPr="00E93F40">
        <w:rPr>
          <w:rFonts w:ascii="Times New Roman" w:hAnsi="Times New Roman"/>
          <w:color w:val="000000" w:themeColor="text1"/>
          <w:sz w:val="16"/>
          <w:szCs w:val="16"/>
        </w:rPr>
        <w:softHyphen/>
        <w:t>ся итальянский двигатель фирмы Изотта-Фраскини «Ассо-1000», развивающий на взлете мощность 1000 л.с. Двигатель был оснащен понижающим редуктором и впол</w:t>
      </w:r>
      <w:r w:rsidRPr="00E93F40">
        <w:rPr>
          <w:rFonts w:ascii="Times New Roman" w:hAnsi="Times New Roman"/>
          <w:color w:val="000000" w:themeColor="text1"/>
          <w:sz w:val="16"/>
          <w:szCs w:val="16"/>
        </w:rPr>
        <w:softHyphen/>
        <w:t>не подходил для вращения воздушного винта диаметром 4,5 метра. «Ассо-1000» появился в 1928 г. и спустя не</w:t>
      </w:r>
      <w:r w:rsidRPr="00E93F40">
        <w:rPr>
          <w:rFonts w:ascii="Times New Roman" w:hAnsi="Times New Roman"/>
          <w:color w:val="000000" w:themeColor="text1"/>
          <w:sz w:val="16"/>
          <w:szCs w:val="16"/>
        </w:rPr>
        <w:softHyphen/>
        <w:t>сколько лет по-прежнему считался одним из наиболее мощных двигателей в мире. При его установке на ма</w:t>
      </w:r>
      <w:r w:rsidRPr="00E93F40">
        <w:rPr>
          <w:rFonts w:ascii="Times New Roman" w:hAnsi="Times New Roman"/>
          <w:color w:val="000000" w:themeColor="text1"/>
          <w:sz w:val="16"/>
          <w:szCs w:val="16"/>
        </w:rPr>
        <w:softHyphen/>
        <w:t>ленький самолет действительно получался «летающий мо</w:t>
      </w:r>
      <w:r w:rsidRPr="00E93F40">
        <w:rPr>
          <w:rFonts w:ascii="Times New Roman" w:hAnsi="Times New Roman"/>
          <w:color w:val="000000" w:themeColor="text1"/>
          <w:sz w:val="16"/>
          <w:szCs w:val="16"/>
        </w:rPr>
        <w:softHyphen/>
        <w:t>тор» - «Ассо» весил около 900 кг, его полная длина превышала два метра, а габаритная ширина составляла 1060 мм. Сотрудничество с итальянскими моторными фирмами в тот период было в разгаре, поэтому возмож</w:t>
      </w:r>
      <w:r w:rsidRPr="00E93F40">
        <w:rPr>
          <w:rFonts w:ascii="Times New Roman" w:hAnsi="Times New Roman"/>
          <w:color w:val="000000" w:themeColor="text1"/>
          <w:sz w:val="16"/>
          <w:szCs w:val="16"/>
        </w:rPr>
        <w:softHyphen/>
        <w:t>ности получения «Ассо» были вполне реальными.</w:t>
      </w:r>
    </w:p>
    <w:p w14:paraId="57645D4D" w14:textId="77777777" w:rsidR="00887B13" w:rsidRPr="00E93F40" w:rsidRDefault="00887B1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Впрочем, до постройки экзотического летательного ап</w:t>
      </w:r>
      <w:r w:rsidRPr="00E93F40">
        <w:rPr>
          <w:rFonts w:ascii="Times New Roman" w:hAnsi="Times New Roman"/>
          <w:color w:val="000000" w:themeColor="text1"/>
          <w:sz w:val="16"/>
          <w:szCs w:val="16"/>
        </w:rPr>
        <w:softHyphen/>
        <w:t>парата дело не дошло, «Тягач» не вышел из состояния про</w:t>
      </w:r>
      <w:r w:rsidRPr="00E93F40">
        <w:rPr>
          <w:rFonts w:ascii="Times New Roman" w:hAnsi="Times New Roman"/>
          <w:color w:val="000000" w:themeColor="text1"/>
          <w:sz w:val="16"/>
          <w:szCs w:val="16"/>
        </w:rPr>
        <w:softHyphen/>
        <w:t>ектного варианта. Однако сама идея считалась актуальной еще года два. В частности, для улучшения летных данных ТБ-3 4М-17 сверху его фюзеляжа закрепили фюзеляж от истребителя И-5. На самом деле от системы З-2 (ТБ-3+ 3 И-5) использовали «наспинный» И-5, у которого сняли крылья (20345).</w:t>
      </w:r>
    </w:p>
    <w:p w14:paraId="405C37C0" w14:textId="77777777" w:rsidR="00887B13" w:rsidRPr="00E93F40" w:rsidRDefault="00887B13" w:rsidP="00E93F40">
      <w:pPr>
        <w:spacing w:after="0" w:line="240" w:lineRule="auto"/>
        <w:jc w:val="both"/>
        <w:rPr>
          <w:rFonts w:ascii="Times New Roman" w:hAnsi="Times New Roman"/>
          <w:color w:val="000000" w:themeColor="text1"/>
          <w:sz w:val="16"/>
          <w:szCs w:val="16"/>
        </w:rPr>
      </w:pPr>
    </w:p>
    <w:p w14:paraId="0D00BB1F"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декабря 1932 г. Заместитель председателя РВС Тухачевский поддержал проект Вахмистрова и на</w:t>
      </w:r>
      <w:r w:rsidRPr="00E93F40">
        <w:rPr>
          <w:rFonts w:ascii="Times New Roman" w:hAnsi="Times New Roman"/>
          <w:color w:val="000000" w:themeColor="text1"/>
          <w:sz w:val="16"/>
          <w:szCs w:val="16"/>
        </w:rPr>
        <w:softHyphen/>
        <w:t>писал положительную резолюцию на предложение конструктора о создании «Тягача».</w:t>
      </w:r>
    </w:p>
    <w:p w14:paraId="70174184"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пояснительной записке к этому проекту указывалось: «Тягач» — летающий мотор. Легкий, дешевый специальный самолет с мощным двигателем и со специально подобранным воздушным винтом. Может поднять в воздух и доста</w:t>
      </w:r>
      <w:r w:rsidRPr="00E93F40">
        <w:rPr>
          <w:rFonts w:ascii="Times New Roman" w:hAnsi="Times New Roman"/>
          <w:color w:val="000000" w:themeColor="text1"/>
          <w:sz w:val="16"/>
          <w:szCs w:val="16"/>
        </w:rPr>
        <w:softHyphen/>
        <w:t>вить к фронту тяжело нагруженный бомбардиров</w:t>
      </w:r>
      <w:r w:rsidRPr="00E93F40">
        <w:rPr>
          <w:rFonts w:ascii="Times New Roman" w:hAnsi="Times New Roman"/>
          <w:color w:val="000000" w:themeColor="text1"/>
          <w:sz w:val="16"/>
          <w:szCs w:val="16"/>
        </w:rPr>
        <w:softHyphen/>
        <w:t xml:space="preserve">щик». </w:t>
      </w:r>
    </w:p>
    <w:p w14:paraId="47395A11"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Первоначальный вариант установки небольшого моноплана, закрепленного сверху фюзеляжа ТБ-3, выполнил лично Вахмистров. Далее к продолжению работ по самолету «Тягач» удалось привлечь конст</w:t>
      </w:r>
      <w:r w:rsidRPr="00E93F40">
        <w:rPr>
          <w:rFonts w:ascii="Times New Roman" w:hAnsi="Times New Roman"/>
          <w:color w:val="000000" w:themeColor="text1"/>
          <w:sz w:val="16"/>
          <w:szCs w:val="16"/>
        </w:rPr>
        <w:softHyphen/>
        <w:t>руктора П.Д.Самсонова (он занимался морскими са</w:t>
      </w:r>
      <w:r w:rsidRPr="00E93F40">
        <w:rPr>
          <w:rFonts w:ascii="Times New Roman" w:hAnsi="Times New Roman"/>
          <w:color w:val="000000" w:themeColor="text1"/>
          <w:sz w:val="16"/>
          <w:szCs w:val="16"/>
        </w:rPr>
        <w:softHyphen/>
        <w:t>молетами в ЦКБ, очевидно, что для него это была договорная работа), который разработал и в начале февраля 1933 г. представил эскизный проект изящ</w:t>
      </w:r>
      <w:r w:rsidRPr="00E93F40">
        <w:rPr>
          <w:rFonts w:ascii="Times New Roman" w:hAnsi="Times New Roman"/>
          <w:color w:val="000000" w:themeColor="text1"/>
          <w:sz w:val="16"/>
          <w:szCs w:val="16"/>
        </w:rPr>
        <w:softHyphen/>
        <w:t>ного моноплана с верхним расположением крыла. Полная длина самолета составляла 8,1 метра, размах крыла — 12,0 метров. При подготовке проекта ис</w:t>
      </w:r>
      <w:r w:rsidRPr="00E93F40">
        <w:rPr>
          <w:rFonts w:ascii="Times New Roman" w:hAnsi="Times New Roman"/>
          <w:color w:val="000000" w:themeColor="text1"/>
          <w:sz w:val="16"/>
          <w:szCs w:val="16"/>
        </w:rPr>
        <w:softHyphen/>
        <w:t>пользовался итальянский двигатель фирмы Изотта- Фраскини «Ассо-1000», развивающий на взлете мощ</w:t>
      </w:r>
      <w:r w:rsidRPr="00E93F40">
        <w:rPr>
          <w:rFonts w:ascii="Times New Roman" w:hAnsi="Times New Roman"/>
          <w:color w:val="000000" w:themeColor="text1"/>
          <w:sz w:val="16"/>
          <w:szCs w:val="16"/>
        </w:rPr>
        <w:softHyphen/>
        <w:t>ность 1000 л.с. Двигатель был оснащен понижающим редуктором и весьма подходил для вращения воз</w:t>
      </w:r>
      <w:r w:rsidRPr="00E93F40">
        <w:rPr>
          <w:rFonts w:ascii="Times New Roman" w:hAnsi="Times New Roman"/>
          <w:color w:val="000000" w:themeColor="text1"/>
          <w:sz w:val="16"/>
          <w:szCs w:val="16"/>
        </w:rPr>
        <w:softHyphen/>
        <w:t>душного винта диаметром 4,5 метра. «Ассо-1000» по</w:t>
      </w:r>
      <w:r w:rsidRPr="00E93F40">
        <w:rPr>
          <w:rFonts w:ascii="Times New Roman" w:hAnsi="Times New Roman"/>
          <w:color w:val="000000" w:themeColor="text1"/>
          <w:sz w:val="16"/>
          <w:szCs w:val="16"/>
        </w:rPr>
        <w:softHyphen/>
        <w:t>явился в 1928 г. и спустя несколько лет по-прежнему считался одним из наиболее мощных двигателей в мире. При его установке на маленький самолет дей</w:t>
      </w:r>
      <w:r w:rsidRPr="00E93F40">
        <w:rPr>
          <w:rFonts w:ascii="Times New Roman" w:hAnsi="Times New Roman"/>
          <w:color w:val="000000" w:themeColor="text1"/>
          <w:sz w:val="16"/>
          <w:szCs w:val="16"/>
        </w:rPr>
        <w:softHyphen/>
        <w:t>ствительно получался «летающий мотор» — «Ассо» весил около 900 кг, его полная длина превышала два метра, а габаритная ширина составляла 1060 мм. Со</w:t>
      </w:r>
      <w:r w:rsidRPr="00E93F40">
        <w:rPr>
          <w:rFonts w:ascii="Times New Roman" w:hAnsi="Times New Roman"/>
          <w:color w:val="000000" w:themeColor="text1"/>
          <w:sz w:val="16"/>
          <w:szCs w:val="16"/>
        </w:rPr>
        <w:softHyphen/>
        <w:t>трудничество с итальянскими моторными фирмами в тот период было в разгаре, поэтому возможности по</w:t>
      </w:r>
      <w:r w:rsidRPr="00E93F40">
        <w:rPr>
          <w:rFonts w:ascii="Times New Roman" w:hAnsi="Times New Roman"/>
          <w:color w:val="000000" w:themeColor="text1"/>
          <w:sz w:val="16"/>
          <w:szCs w:val="16"/>
        </w:rPr>
        <w:softHyphen/>
        <w:t>лучения «Ассо» были вполне реальными.</w:t>
      </w:r>
    </w:p>
    <w:p w14:paraId="7E41146A" w14:textId="77777777" w:rsidR="005E3511" w:rsidRPr="00E93F40" w:rsidRDefault="005E35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Впрочем, до постройки экзотического летательно</w:t>
      </w:r>
      <w:r w:rsidRPr="00E93F40">
        <w:rPr>
          <w:rFonts w:ascii="Times New Roman" w:hAnsi="Times New Roman"/>
          <w:color w:val="000000" w:themeColor="text1"/>
          <w:sz w:val="16"/>
          <w:szCs w:val="16"/>
        </w:rPr>
        <w:softHyphen/>
        <w:t>го аппарата дело не дошло, «Тягач» не вышел из со</w:t>
      </w:r>
      <w:r w:rsidRPr="00E93F40">
        <w:rPr>
          <w:rFonts w:ascii="Times New Roman" w:hAnsi="Times New Roman"/>
          <w:color w:val="000000" w:themeColor="text1"/>
          <w:sz w:val="16"/>
          <w:szCs w:val="16"/>
        </w:rPr>
        <w:softHyphen/>
        <w:t>стояния проектного варианта. Однако сама идея счи</w:t>
      </w:r>
      <w:r w:rsidRPr="00E93F40">
        <w:rPr>
          <w:rFonts w:ascii="Times New Roman" w:hAnsi="Times New Roman"/>
          <w:color w:val="000000" w:themeColor="text1"/>
          <w:sz w:val="16"/>
          <w:szCs w:val="16"/>
        </w:rPr>
        <w:softHyphen/>
        <w:t>талась актуальной еще года два. В частности, для улучшения летных данных ТБ-3 4М-17 сверху его фюзеляжа закрепили фюзеляж от истребителя И-5. На самом деле от системы З-2 (ТБ-3+3 И-5) исполь</w:t>
      </w:r>
      <w:r w:rsidRPr="00E93F40">
        <w:rPr>
          <w:rFonts w:ascii="Times New Roman" w:hAnsi="Times New Roman"/>
          <w:color w:val="000000" w:themeColor="text1"/>
          <w:sz w:val="16"/>
          <w:szCs w:val="16"/>
        </w:rPr>
        <w:softHyphen/>
        <w:t>зовали «наспинный» И-5, у которого сняли крылья (23378).</w:t>
      </w:r>
    </w:p>
    <w:p w14:paraId="21B92956" w14:textId="77777777" w:rsidR="005E3511" w:rsidRPr="00E93F40" w:rsidRDefault="005E3511" w:rsidP="00E93F40">
      <w:pPr>
        <w:spacing w:after="0" w:line="240" w:lineRule="auto"/>
        <w:jc w:val="both"/>
        <w:rPr>
          <w:rFonts w:ascii="Times New Roman" w:hAnsi="Times New Roman"/>
          <w:color w:val="000000" w:themeColor="text1"/>
          <w:sz w:val="16"/>
          <w:szCs w:val="16"/>
        </w:rPr>
      </w:pPr>
    </w:p>
    <w:p w14:paraId="44D26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декабря 1932 года Базилевич писал письмо № 1989/ко в НКТП Баранову</w:t>
      </w:r>
    </w:p>
    <w:p w14:paraId="57E84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доклада Молотову В.М. прошу представить краткую справку о выполнении программы:</w:t>
      </w:r>
    </w:p>
    <w:p w14:paraId="04D091F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самолето и моторостроению за истекший год.</w:t>
      </w:r>
    </w:p>
    <w:p w14:paraId="507C488F"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капительному строительству, также</w:t>
      </w:r>
    </w:p>
    <w:p w14:paraId="4AF866A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итогам опытного строительства (3530,117).</w:t>
      </w:r>
    </w:p>
    <w:p w14:paraId="3686B9D5"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993FD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декабря 1932 года Мотор 3М-11 (внеплановый, мощность – 65 л.с., вес – 100 кг, завод № 29) успешно закончил 100 часовое госиспытание (3530,70-86).</w:t>
      </w:r>
    </w:p>
    <w:p w14:paraId="6D7D01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BB35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декабря 1932 вышло постановление Правительства о выпуске тормозных колес (1024,33).</w:t>
      </w:r>
    </w:p>
    <w:p w14:paraId="7C03E8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FB6013"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2A1903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B2599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декабря 1932 в США Конгресс проголосовал против аннулирования военных долгов Германии (3907,175).</w:t>
      </w:r>
    </w:p>
    <w:p w14:paraId="4C6EF9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70E26A"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декабря 1932 англичанами по амнистии выпущен из тюрьмы Махатма Ганди (4962).</w:t>
      </w:r>
    </w:p>
    <w:p w14:paraId="7DAAF34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43741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0C9378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264E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декабря 1932 года вышло постановление Комитета по воздушным экспедициям и перелетам при ГУГВФ о том, что в период с 10 февраля по 25 февраля 1933 года будет проведен опытный перелет на машине П-5 по трассе Москва - Петропавловск на Камчатке – Москва.</w:t>
      </w:r>
    </w:p>
    <w:p w14:paraId="432FD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 будет производиться в течение круглых суток.</w:t>
      </w:r>
    </w:p>
    <w:p w14:paraId="1D9CA3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 перелета:</w:t>
      </w:r>
    </w:p>
    <w:p w14:paraId="1D310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самолета и мотора.</w:t>
      </w:r>
    </w:p>
    <w:p w14:paraId="7C3BF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Готовность несменного летного состава к проведению дальних перелетов.</w:t>
      </w:r>
    </w:p>
    <w:p w14:paraId="235A2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Установление перелета в наикратчайший срок.</w:t>
      </w:r>
    </w:p>
    <w:p w14:paraId="54CB2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Демонстрация советских достижений для использования их в дальнейшем в регулярной работе воздухолиний.</w:t>
      </w:r>
    </w:p>
    <w:p w14:paraId="1072C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Плановые посадки самолетов в пунктах: Омск, Иркутск, Хабаровск, Николаевск и Петропавловск.</w:t>
      </w:r>
    </w:p>
    <w:p w14:paraId="1DEC5F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под начальством пилота Водопьянова вылетает из Москвы 10 февраля 1933 года в 1 час утра (7737, 65-68).</w:t>
      </w:r>
    </w:p>
    <w:p w14:paraId="101B3CE8" w14:textId="220653A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C3DF0B" w14:textId="7623AA25" w:rsidR="00887B13" w:rsidRPr="00E93F40" w:rsidRDefault="00887B13"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FC00EFD" w14:textId="77777777" w:rsidR="00887B13" w:rsidRPr="00E93F40" w:rsidRDefault="00887B13"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334C59E9" w14:textId="77777777" w:rsidR="00887B13" w:rsidRPr="00E93F40" w:rsidRDefault="00887B1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декабря 1932 под аплодисменты и крики «Ура!», звуки заводской сирены с конвейера сошел первый грузовой автомобиль Нижегородского авто</w:t>
      </w:r>
      <w:r w:rsidRPr="00E93F40">
        <w:rPr>
          <w:rFonts w:ascii="Times New Roman" w:hAnsi="Times New Roman"/>
          <w:color w:val="000000" w:themeColor="text1"/>
          <w:sz w:val="16"/>
          <w:szCs w:val="16"/>
        </w:rPr>
        <w:softHyphen/>
        <w:t>завода НАЗ-АА. Поскольку от смежников еще не по</w:t>
      </w:r>
      <w:r w:rsidRPr="00E93F40">
        <w:rPr>
          <w:rFonts w:ascii="Times New Roman" w:hAnsi="Times New Roman"/>
          <w:color w:val="000000" w:themeColor="text1"/>
          <w:sz w:val="16"/>
          <w:szCs w:val="16"/>
        </w:rPr>
        <w:softHyphen/>
        <w:t>ступила в достаточном количестве листовая сталь, кабины изготовили из фанеры (22518).</w:t>
      </w:r>
    </w:p>
    <w:p w14:paraId="1321FF1D" w14:textId="77777777" w:rsidR="00887B13" w:rsidRPr="00E93F40" w:rsidRDefault="00887B13" w:rsidP="00E93F40">
      <w:pPr>
        <w:spacing w:after="0" w:line="240" w:lineRule="auto"/>
        <w:jc w:val="both"/>
        <w:rPr>
          <w:rFonts w:ascii="Times New Roman" w:hAnsi="Times New Roman"/>
          <w:color w:val="000000" w:themeColor="text1"/>
          <w:sz w:val="16"/>
          <w:szCs w:val="16"/>
        </w:rPr>
      </w:pPr>
    </w:p>
    <w:p w14:paraId="7FFC5416"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0E32DEF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0A0265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декабря 1932 в СССР запрещено выдавать продовольственные карточки домработницам младше 36 лет (4962).</w:t>
      </w:r>
    </w:p>
    <w:p w14:paraId="2AEC6A9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C21485" w14:textId="77777777" w:rsidR="006118E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129A2137" w14:textId="77777777" w:rsidR="006118EC" w:rsidRPr="00E93F40" w:rsidRDefault="006118E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F8E7DD" w14:textId="77777777" w:rsidR="006118EC" w:rsidRPr="00E93F40" w:rsidRDefault="006118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декабря в 1932 году первый полет американского многоцелевого палубного истребителя «XFF-1» «Goblin» фирмы «Grumman Aircraft Engineering Corporation». Самолет перспективной конструкции полностью оправдал ожидания своих создателей. Его максимальная скорость составила 313,8 км/ч - на 11.3 км/ч больше, чем у основного палубного истребителя «Boeing» «F4B-2». В ходе испытаний летчики высказали несколько незначительных замечаний. В соответствии с ними конструкторы уменьшили количество переплетов в остеклении фонаря кабины, усилили стойки основного шасси и уменьшили количество прорезей для охлаждения на капотах, закрывающих носовую часть истребителя (14875).</w:t>
      </w:r>
    </w:p>
    <w:p w14:paraId="10E3DB8F" w14:textId="77777777" w:rsidR="006118EC" w:rsidRPr="00E93F40" w:rsidRDefault="006118EC" w:rsidP="00E93F40">
      <w:pPr>
        <w:spacing w:after="0" w:line="240" w:lineRule="auto"/>
        <w:jc w:val="both"/>
        <w:rPr>
          <w:rFonts w:ascii="Times New Roman" w:hAnsi="Times New Roman"/>
          <w:color w:val="000000" w:themeColor="text1"/>
          <w:sz w:val="16"/>
          <w:szCs w:val="16"/>
        </w:rPr>
      </w:pPr>
    </w:p>
    <w:p w14:paraId="106AC15D" w14:textId="77777777" w:rsidR="006118EC" w:rsidRPr="00E93F40" w:rsidRDefault="006118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декабря в 1932 году в честь председателя Реввоенсовета СССР, наркома по военным и морским делам Климента Ефремовича Ворошилова — «отличного стрелка из всех видов стрелкового оружия», Центральный комитет Осоавиахима установил почетное звание «Ворошиловский стрелок» 1-й и 2-й степеней, присваиваемое с вручением соответствующего нагрудного значка. Существовала и массовая добровольно-общественная конно-спортивная организация молодежи «Ворошиловский всадник» (14875).</w:t>
      </w:r>
    </w:p>
    <w:p w14:paraId="6A88BA0A" w14:textId="77777777" w:rsidR="006118EC" w:rsidRPr="00E93F40" w:rsidRDefault="006118EC" w:rsidP="00E93F40">
      <w:pPr>
        <w:spacing w:after="0" w:line="240" w:lineRule="auto"/>
        <w:jc w:val="both"/>
        <w:rPr>
          <w:rFonts w:ascii="Times New Roman" w:hAnsi="Times New Roman"/>
          <w:color w:val="000000" w:themeColor="text1"/>
          <w:sz w:val="16"/>
          <w:szCs w:val="16"/>
        </w:rPr>
      </w:pPr>
    </w:p>
    <w:p w14:paraId="1A5606C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14DA38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8854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декабря 1932 было определено "лицо" И-13 М-32 ЦАГИ - вариант развития И-8 (2305,3).</w:t>
      </w:r>
    </w:p>
    <w:p w14:paraId="6B0E6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8C55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30 декабря 1932 года ЦАГИ были получены Технические требования и лицо машины И13-М32 - одноместного истребителя, вооруженного легкими пулеметами, имеющего дальность полета 500 км при скорости 350-400 км/час - со стороны УВВС. По получении ЦАГИ должен начать проектированием новый самолет, так как работа, проводимая им до этого времени (вариант развития И-8), не может быть использована по прямому назначению (3530,70-86).</w:t>
      </w:r>
    </w:p>
    <w:p w14:paraId="7CBF5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33DF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декабря 1932 завод 31 предъявил на испытания Р-6а - МР-6 - переоборудованного Р-6 N 2202 на поплавках Шорт типа Ж как на ТБ-1. Первоначальный план был 1 сентября. Черное море замерзло и полеты отложили до весны (2766,33).</w:t>
      </w:r>
    </w:p>
    <w:p w14:paraId="65118C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1645CCE" w14:textId="77777777" w:rsidR="00887B13" w:rsidRPr="00E93F40" w:rsidRDefault="00887B13"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30 декабря 1932 перегруженный завод № 31 смог сдать первую машину Р-6а - самолет №2202.</w:t>
      </w:r>
    </w:p>
    <w:p w14:paraId="12491ACA" w14:textId="77777777" w:rsidR="00887B13" w:rsidRPr="00E93F40" w:rsidRDefault="00887B1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Поплавковый вариант «крейсера» Р-6а (он же Р-6п или МР-6) оказался менее удачен, чем аналогичная модификация ТБ-1. Для Р-6 поплавки типа «Ж» были великоваты. Взлетно-посадочные качества машины существенно ухуд</w:t>
      </w:r>
      <w:r w:rsidRPr="00E93F40">
        <w:rPr>
          <w:rFonts w:ascii="Times New Roman" w:hAnsi="Times New Roman"/>
          <w:color w:val="000000" w:themeColor="text1"/>
          <w:sz w:val="16"/>
          <w:szCs w:val="16"/>
          <w:lang w:eastAsia="ru-RU" w:bidi="ru-RU"/>
        </w:rPr>
        <w:softHyphen/>
        <w:t>шились и требовали от летчиков определенных навыков. Тем не менее, поплавковый вариант приняли к серийно</w:t>
      </w:r>
      <w:r w:rsidRPr="00E93F40">
        <w:rPr>
          <w:rFonts w:ascii="Times New Roman" w:hAnsi="Times New Roman"/>
          <w:color w:val="000000" w:themeColor="text1"/>
          <w:sz w:val="16"/>
          <w:szCs w:val="16"/>
          <w:lang w:eastAsia="ru-RU" w:bidi="ru-RU"/>
        </w:rPr>
        <w:softHyphen/>
        <w:t>му производству.</w:t>
      </w:r>
    </w:p>
    <w:p w14:paraId="19956398" w14:textId="77777777" w:rsidR="00887B13" w:rsidRPr="00E93F40" w:rsidRDefault="00887B1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За 1933 г. завод №31 выпустил уже 50 самолетов, частич</w:t>
      </w:r>
      <w:r w:rsidRPr="00E93F40">
        <w:rPr>
          <w:rFonts w:ascii="Times New Roman" w:hAnsi="Times New Roman"/>
          <w:color w:val="000000" w:themeColor="text1"/>
          <w:sz w:val="16"/>
          <w:szCs w:val="16"/>
          <w:lang w:eastAsia="ru-RU" w:bidi="ru-RU"/>
        </w:rPr>
        <w:softHyphen/>
        <w:t>но использовав задел, привезенный из Москвы (в частно</w:t>
      </w:r>
      <w:r w:rsidRPr="00E93F40">
        <w:rPr>
          <w:rFonts w:ascii="Times New Roman" w:hAnsi="Times New Roman"/>
          <w:color w:val="000000" w:themeColor="text1"/>
          <w:sz w:val="16"/>
          <w:szCs w:val="16"/>
          <w:lang w:eastAsia="ru-RU" w:bidi="ru-RU"/>
        </w:rPr>
        <w:softHyphen/>
        <w:t>сти, центропланы). При этом серийные машины могли ком</w:t>
      </w:r>
      <w:r w:rsidRPr="00E93F40">
        <w:rPr>
          <w:rFonts w:ascii="Times New Roman" w:hAnsi="Times New Roman"/>
          <w:color w:val="000000" w:themeColor="text1"/>
          <w:sz w:val="16"/>
          <w:szCs w:val="16"/>
          <w:lang w:eastAsia="ru-RU" w:bidi="ru-RU"/>
        </w:rPr>
        <w:softHyphen/>
        <w:t>плектоваться как сухопутным (колесным или лыжным), так и поплавковым шасси. Поплавковые машины ненамного отличались по комплектации. Они имели донный и плаву</w:t>
      </w:r>
      <w:r w:rsidRPr="00E93F40">
        <w:rPr>
          <w:rFonts w:ascii="Times New Roman" w:hAnsi="Times New Roman"/>
          <w:color w:val="000000" w:themeColor="text1"/>
          <w:sz w:val="16"/>
          <w:szCs w:val="16"/>
          <w:lang w:eastAsia="ru-RU" w:bidi="ru-RU"/>
        </w:rPr>
        <w:softHyphen/>
        <w:t>чий якоря, складную лестницу, бросательный конец.</w:t>
      </w:r>
    </w:p>
    <w:p w14:paraId="131A7824" w14:textId="77777777" w:rsidR="00887B13" w:rsidRPr="00E93F40" w:rsidRDefault="00887B1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Серийный Р-6 стоил недешево — 253 тысячи рублей. По тем временам это были большие деньги. Истребители обходились государству в 35-50 тысяч рублей, легкий бомбардировщик Р-5 — 36 тысяч, тяжелый четырехмотор</w:t>
      </w:r>
      <w:r w:rsidRPr="00E93F40">
        <w:rPr>
          <w:rFonts w:ascii="Times New Roman" w:hAnsi="Times New Roman"/>
          <w:color w:val="000000" w:themeColor="text1"/>
          <w:sz w:val="16"/>
          <w:szCs w:val="16"/>
          <w:lang w:eastAsia="ru-RU" w:bidi="ru-RU"/>
        </w:rPr>
        <w:softHyphen/>
        <w:t>ный ТБ-3 — 450 тысяч.</w:t>
      </w:r>
    </w:p>
    <w:p w14:paraId="797FC036" w14:textId="77777777" w:rsidR="00887B13" w:rsidRPr="00E93F40" w:rsidRDefault="00887B13"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Постройка в Таганроге устаревавших Р-6 постепенно сворачивалось — его полностью загружали программой по лодочным гидросамолетам. В 1934 г. сдали 20 машин и на этом производство закончили. Всего на заводе №31 был построен 71 самолет Р-6 в различных вариантах (20325).</w:t>
      </w:r>
    </w:p>
    <w:p w14:paraId="34FDCE3B" w14:textId="77777777" w:rsidR="00887B13" w:rsidRPr="00E93F40" w:rsidRDefault="00887B13" w:rsidP="00E93F40">
      <w:pPr>
        <w:spacing w:after="0" w:line="240" w:lineRule="auto"/>
        <w:jc w:val="both"/>
        <w:rPr>
          <w:rFonts w:ascii="Times New Roman" w:hAnsi="Times New Roman"/>
          <w:color w:val="000000" w:themeColor="text1"/>
          <w:sz w:val="16"/>
          <w:szCs w:val="16"/>
        </w:rPr>
      </w:pPr>
    </w:p>
    <w:p w14:paraId="6D55B4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декабря 1932г Совещание в ГДЛ по обсуждению проекта жидкостной ракеты РЛА-100 с участием Ветчинкина, Венцеля, Стечкина и др (11330).</w:t>
      </w:r>
    </w:p>
    <w:p w14:paraId="0BFD77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E7961C"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70765AB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78398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 декабря 1932 в СССР прекратили отоваривание карточек домашним хозяйкам. Для получения карточек необходимо было работать (2100).</w:t>
      </w:r>
    </w:p>
    <w:p w14:paraId="5E791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B27595"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4455C034"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8BB54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декабря 1932 года начальник НИИ ВВС Зильберт писал письмо N 315сс председателю РВС Ворошилову, зам. пред. РВС Тухачевскому, зам. пред. РВС Гамарнику, зам. пред. РВС Каменеву, начальнику штаба РККА Егорову, начальнику ВВС Алкснису, начальнику ВАО Баранову, ОО ОГПУ.</w:t>
      </w:r>
    </w:p>
    <w:p w14:paraId="35932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Доклад о состоянии работ по опытному моторо- и самолетостроению на 1-ое января 1933 года.</w:t>
      </w:r>
    </w:p>
    <w:p w14:paraId="69837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3086"/>
      </w:tblGrid>
      <w:tr w:rsidR="00DA227A" w:rsidRPr="00E93F40" w14:paraId="40E9E2AD" w14:textId="77777777">
        <w:tc>
          <w:tcPr>
            <w:tcW w:w="939" w:type="dxa"/>
          </w:tcPr>
          <w:p w14:paraId="732F6E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939" w:type="dxa"/>
          </w:tcPr>
          <w:p w14:paraId="7D9D2D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Кто</w:t>
            </w:r>
          </w:p>
        </w:tc>
        <w:tc>
          <w:tcPr>
            <w:tcW w:w="939" w:type="dxa"/>
          </w:tcPr>
          <w:p w14:paraId="11D74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Охлажд.</w:t>
            </w:r>
          </w:p>
        </w:tc>
        <w:tc>
          <w:tcPr>
            <w:tcW w:w="939" w:type="dxa"/>
          </w:tcPr>
          <w:p w14:paraId="0A0B6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w:t>
            </w:r>
          </w:p>
        </w:tc>
        <w:tc>
          <w:tcPr>
            <w:tcW w:w="939" w:type="dxa"/>
          </w:tcPr>
          <w:p w14:paraId="734063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w:t>
            </w:r>
          </w:p>
        </w:tc>
        <w:tc>
          <w:tcPr>
            <w:tcW w:w="939" w:type="dxa"/>
          </w:tcPr>
          <w:p w14:paraId="08402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Удельн.</w:t>
            </w:r>
          </w:p>
        </w:tc>
        <w:tc>
          <w:tcPr>
            <w:tcW w:w="939" w:type="dxa"/>
          </w:tcPr>
          <w:p w14:paraId="1F8BB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w:t>
            </w:r>
          </w:p>
        </w:tc>
        <w:tc>
          <w:tcPr>
            <w:tcW w:w="939" w:type="dxa"/>
          </w:tcPr>
          <w:p w14:paraId="4F0E4B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3086" w:type="dxa"/>
          </w:tcPr>
          <w:p w14:paraId="726FA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 января 1933 года</w:t>
            </w:r>
          </w:p>
        </w:tc>
      </w:tr>
      <w:tr w:rsidR="00DA227A" w:rsidRPr="00E93F40" w14:paraId="57F3BF93" w14:textId="77777777">
        <w:tc>
          <w:tcPr>
            <w:tcW w:w="939" w:type="dxa"/>
          </w:tcPr>
          <w:p w14:paraId="67A9E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мотора</w:t>
            </w:r>
          </w:p>
        </w:tc>
        <w:tc>
          <w:tcPr>
            <w:tcW w:w="939" w:type="dxa"/>
          </w:tcPr>
          <w:p w14:paraId="7B2911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w:t>
            </w:r>
          </w:p>
        </w:tc>
        <w:tc>
          <w:tcPr>
            <w:tcW w:w="939" w:type="dxa"/>
          </w:tcPr>
          <w:p w14:paraId="71818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495F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F1C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кг</w:t>
            </w:r>
          </w:p>
        </w:tc>
        <w:tc>
          <w:tcPr>
            <w:tcW w:w="939" w:type="dxa"/>
          </w:tcPr>
          <w:p w14:paraId="0E248D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c>
          <w:tcPr>
            <w:tcW w:w="939" w:type="dxa"/>
          </w:tcPr>
          <w:p w14:paraId="2B4EB4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61C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32044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w:t>
            </w:r>
          </w:p>
        </w:tc>
      </w:tr>
      <w:tr w:rsidR="00DA227A" w:rsidRPr="00E93F40" w14:paraId="1958CBD0" w14:textId="77777777">
        <w:tc>
          <w:tcPr>
            <w:tcW w:w="939" w:type="dxa"/>
          </w:tcPr>
          <w:p w14:paraId="3D095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ED3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0E9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F86B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4C5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E112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9233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BD1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AEF4C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w:t>
            </w:r>
          </w:p>
        </w:tc>
      </w:tr>
      <w:tr w:rsidR="00DA227A" w:rsidRPr="00E93F40" w14:paraId="1321E1A6" w14:textId="77777777">
        <w:tc>
          <w:tcPr>
            <w:tcW w:w="939" w:type="dxa"/>
          </w:tcPr>
          <w:p w14:paraId="7E8FB7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7D2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F93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C236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ADF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E38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8EE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A57A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948A6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r>
      <w:tr w:rsidR="00DA227A" w:rsidRPr="00E93F40" w14:paraId="6AC0415B" w14:textId="77777777">
        <w:tc>
          <w:tcPr>
            <w:tcW w:w="939" w:type="dxa"/>
          </w:tcPr>
          <w:p w14:paraId="15DA5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4E0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F59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439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65FC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8381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1656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0EE5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592C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w:t>
            </w:r>
          </w:p>
        </w:tc>
      </w:tr>
      <w:tr w:rsidR="00DA227A" w:rsidRPr="00E93F40" w14:paraId="67718439" w14:textId="77777777">
        <w:tc>
          <w:tcPr>
            <w:tcW w:w="939" w:type="dxa"/>
          </w:tcPr>
          <w:p w14:paraId="6C9830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8D57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5105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493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5250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DA57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66B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5C41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D43A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w:t>
            </w:r>
          </w:p>
        </w:tc>
      </w:tr>
      <w:tr w:rsidR="00DA227A" w:rsidRPr="00E93F40" w14:paraId="6B7832DA" w14:textId="77777777">
        <w:tc>
          <w:tcPr>
            <w:tcW w:w="939" w:type="dxa"/>
          </w:tcPr>
          <w:p w14:paraId="08EA69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EBC6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30F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2EB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E943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C51E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1CD1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A1AE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CA1E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ориентир.</w:t>
            </w:r>
          </w:p>
        </w:tc>
      </w:tr>
      <w:tr w:rsidR="00DA227A" w:rsidRPr="00E93F40" w14:paraId="479DC522" w14:textId="77777777">
        <w:tc>
          <w:tcPr>
            <w:tcW w:w="939" w:type="dxa"/>
          </w:tcPr>
          <w:p w14:paraId="7D43D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AC4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B2A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17F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F02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5C5F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D450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100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869A2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сроки</w:t>
            </w:r>
          </w:p>
        </w:tc>
      </w:tr>
      <w:tr w:rsidR="00DA227A" w:rsidRPr="00E93F40" w14:paraId="059119D6" w14:textId="77777777">
        <w:tc>
          <w:tcPr>
            <w:tcW w:w="939" w:type="dxa"/>
          </w:tcPr>
          <w:p w14:paraId="0AA076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E756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F69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EB3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B76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E671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9B8D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8EE0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84D3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w:t>
            </w:r>
          </w:p>
        </w:tc>
      </w:tr>
      <w:tr w:rsidR="00DA227A" w:rsidRPr="00E93F40" w14:paraId="6A3DE869" w14:textId="77777777">
        <w:tc>
          <w:tcPr>
            <w:tcW w:w="939" w:type="dxa"/>
          </w:tcPr>
          <w:p w14:paraId="2A98C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6BB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C62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AA02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36E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0F09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F642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5E2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3AF6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промыш.</w:t>
            </w:r>
          </w:p>
        </w:tc>
      </w:tr>
      <w:tr w:rsidR="00DA227A" w:rsidRPr="00E93F40" w14:paraId="7109F43A" w14:textId="77777777">
        <w:tc>
          <w:tcPr>
            <w:tcW w:w="939" w:type="dxa"/>
          </w:tcPr>
          <w:p w14:paraId="6409F8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A0AF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7FC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D03A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64AA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E007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CF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EF0A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577D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w:t>
            </w:r>
          </w:p>
        </w:tc>
      </w:tr>
      <w:tr w:rsidR="00DA227A" w:rsidRPr="00E93F40" w14:paraId="0A1E527D" w14:textId="77777777">
        <w:tc>
          <w:tcPr>
            <w:tcW w:w="939" w:type="dxa"/>
          </w:tcPr>
          <w:p w14:paraId="25EB39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115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93D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A9B5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9AC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0DF8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074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1AF2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BDF8C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r>
      <w:tr w:rsidR="00DA227A" w:rsidRPr="00E93F40" w14:paraId="2F023E64" w14:textId="77777777">
        <w:tc>
          <w:tcPr>
            <w:tcW w:w="939" w:type="dxa"/>
          </w:tcPr>
          <w:p w14:paraId="484F48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Бензиновые моторы.</w:t>
            </w:r>
          </w:p>
        </w:tc>
        <w:tc>
          <w:tcPr>
            <w:tcW w:w="939" w:type="dxa"/>
          </w:tcPr>
          <w:p w14:paraId="24909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812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139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F0B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41A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402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FBB1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DD21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7D298A" w14:textId="77777777">
        <w:tc>
          <w:tcPr>
            <w:tcW w:w="939" w:type="dxa"/>
          </w:tcPr>
          <w:p w14:paraId="042056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ФЭД с нагнетат.</w:t>
            </w:r>
          </w:p>
        </w:tc>
        <w:tc>
          <w:tcPr>
            <w:tcW w:w="939" w:type="dxa"/>
          </w:tcPr>
          <w:p w14:paraId="67A23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c>
          <w:tcPr>
            <w:tcW w:w="939" w:type="dxa"/>
          </w:tcPr>
          <w:p w14:paraId="55763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w:t>
            </w:r>
          </w:p>
        </w:tc>
        <w:tc>
          <w:tcPr>
            <w:tcW w:w="939" w:type="dxa"/>
          </w:tcPr>
          <w:p w14:paraId="3399D1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1100-1200</w:t>
            </w:r>
          </w:p>
        </w:tc>
        <w:tc>
          <w:tcPr>
            <w:tcW w:w="939" w:type="dxa"/>
          </w:tcPr>
          <w:p w14:paraId="2EF4EA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939" w:type="dxa"/>
          </w:tcPr>
          <w:p w14:paraId="04DEFF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7A0CE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939" w:type="dxa"/>
          </w:tcPr>
          <w:p w14:paraId="5CE1AB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1.09.32/-</w:t>
            </w:r>
          </w:p>
        </w:tc>
        <w:tc>
          <w:tcPr>
            <w:tcW w:w="3086" w:type="dxa"/>
          </w:tcPr>
          <w:p w14:paraId="5887CA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не производятся из-за отсутствия</w:t>
            </w:r>
          </w:p>
        </w:tc>
      </w:tr>
      <w:tr w:rsidR="00DA227A" w:rsidRPr="00E93F40" w14:paraId="510735CB" w14:textId="77777777">
        <w:tc>
          <w:tcPr>
            <w:tcW w:w="939" w:type="dxa"/>
          </w:tcPr>
          <w:p w14:paraId="18AF7D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5B82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AB55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095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C4C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2578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9AE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A442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A992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производственной базы.</w:t>
            </w:r>
          </w:p>
        </w:tc>
      </w:tr>
      <w:tr w:rsidR="00DA227A" w:rsidRPr="00E93F40" w14:paraId="49910CA7" w14:textId="77777777">
        <w:tc>
          <w:tcPr>
            <w:tcW w:w="939" w:type="dxa"/>
          </w:tcPr>
          <w:p w14:paraId="1CA78B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 с нагнетат.</w:t>
            </w:r>
          </w:p>
        </w:tc>
        <w:tc>
          <w:tcPr>
            <w:tcW w:w="939" w:type="dxa"/>
          </w:tcPr>
          <w:p w14:paraId="62A951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939" w:type="dxa"/>
          </w:tcPr>
          <w:p w14:paraId="149E8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FCBA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939" w:type="dxa"/>
          </w:tcPr>
          <w:p w14:paraId="63599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939" w:type="dxa"/>
          </w:tcPr>
          <w:p w14:paraId="7ECDB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360ED7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w:t>
            </w:r>
          </w:p>
        </w:tc>
        <w:tc>
          <w:tcPr>
            <w:tcW w:w="939" w:type="dxa"/>
          </w:tcPr>
          <w:p w14:paraId="72701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15.06.32/</w:t>
            </w:r>
          </w:p>
        </w:tc>
        <w:tc>
          <w:tcPr>
            <w:tcW w:w="3086" w:type="dxa"/>
          </w:tcPr>
          <w:p w14:paraId="522AA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Нагнетатель прошел лабораторные испытания,</w:t>
            </w:r>
          </w:p>
        </w:tc>
      </w:tr>
      <w:tr w:rsidR="00DA227A" w:rsidRPr="00E93F40" w14:paraId="52988017" w14:textId="77777777">
        <w:tc>
          <w:tcPr>
            <w:tcW w:w="939" w:type="dxa"/>
          </w:tcPr>
          <w:p w14:paraId="5C9F3D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17B6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BEE4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5EE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DCFE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2C4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E43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226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1.03.33 </w:t>
            </w:r>
          </w:p>
        </w:tc>
        <w:tc>
          <w:tcPr>
            <w:tcW w:w="3086" w:type="dxa"/>
          </w:tcPr>
          <w:p w14:paraId="25F567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испытании на моторе дала трещину крышка</w:t>
            </w:r>
          </w:p>
        </w:tc>
      </w:tr>
      <w:tr w:rsidR="00DA227A" w:rsidRPr="00E93F40" w14:paraId="34EDB0D0" w14:textId="77777777">
        <w:tc>
          <w:tcPr>
            <w:tcW w:w="939" w:type="dxa"/>
          </w:tcPr>
          <w:p w14:paraId="3F76DD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98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6CEC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CC5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3AA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27D3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F71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0E3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8580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нагнетателя при выхлопе в карбюратор. Крышка</w:t>
            </w:r>
          </w:p>
        </w:tc>
      </w:tr>
      <w:tr w:rsidR="00DA227A" w:rsidRPr="00E93F40" w14:paraId="788DB482" w14:textId="77777777">
        <w:tc>
          <w:tcPr>
            <w:tcW w:w="939" w:type="dxa"/>
          </w:tcPr>
          <w:p w14:paraId="1DA4E2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95C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557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30D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69EF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092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7D4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548C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891B3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нагнетателя усилена. При вторичном лабораторном</w:t>
            </w:r>
          </w:p>
        </w:tc>
      </w:tr>
      <w:tr w:rsidR="00DA227A" w:rsidRPr="00E93F40" w14:paraId="382E3476" w14:textId="77777777">
        <w:tc>
          <w:tcPr>
            <w:tcW w:w="939" w:type="dxa"/>
          </w:tcPr>
          <w:p w14:paraId="6F52DC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DF55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EE84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604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130C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E04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662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FDDB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7D8ED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испытании сгорела соталитовая передача. Собир.</w:t>
            </w:r>
          </w:p>
        </w:tc>
      </w:tr>
      <w:tr w:rsidR="00DA227A" w:rsidRPr="00E93F40" w14:paraId="73DE7808" w14:textId="77777777">
        <w:tc>
          <w:tcPr>
            <w:tcW w:w="939" w:type="dxa"/>
          </w:tcPr>
          <w:p w14:paraId="5F9F65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1499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45E3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4640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2C5E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2DF8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98E6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C10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2828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второй экз. нагнетателя для дальнейших испыт.</w:t>
            </w:r>
          </w:p>
        </w:tc>
      </w:tr>
      <w:tr w:rsidR="00DA227A" w:rsidRPr="00E93F40" w14:paraId="0BA3048F" w14:textId="77777777">
        <w:tc>
          <w:tcPr>
            <w:tcW w:w="939" w:type="dxa"/>
          </w:tcPr>
          <w:p w14:paraId="38AFAF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FC51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DA8B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2859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000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4AAE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242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CF4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D0108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Второй вариант невыключающегося нанетателя в</w:t>
            </w:r>
          </w:p>
        </w:tc>
      </w:tr>
      <w:tr w:rsidR="00DA227A" w:rsidRPr="00E93F40" w14:paraId="6ED744E3" w14:textId="77777777">
        <w:tc>
          <w:tcPr>
            <w:tcW w:w="939" w:type="dxa"/>
          </w:tcPr>
          <w:p w14:paraId="07F298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D122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74D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B727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61B1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E09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821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2A5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BD6E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w:t>
            </w:r>
          </w:p>
        </w:tc>
      </w:tr>
      <w:tr w:rsidR="00DA227A" w:rsidRPr="00E93F40" w14:paraId="28FCB3A0" w14:textId="77777777">
        <w:tc>
          <w:tcPr>
            <w:tcW w:w="939" w:type="dxa"/>
          </w:tcPr>
          <w:p w14:paraId="537AA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М-34Р (с </w:t>
            </w:r>
          </w:p>
        </w:tc>
        <w:tc>
          <w:tcPr>
            <w:tcW w:w="939" w:type="dxa"/>
          </w:tcPr>
          <w:p w14:paraId="230EAC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4F3A3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1C482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л.с.</w:t>
            </w:r>
          </w:p>
        </w:tc>
        <w:tc>
          <w:tcPr>
            <w:tcW w:w="939" w:type="dxa"/>
          </w:tcPr>
          <w:p w14:paraId="3ADE6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939" w:type="dxa"/>
          </w:tcPr>
          <w:p w14:paraId="012FD1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22879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47492B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15.11.32/</w:t>
            </w:r>
          </w:p>
        </w:tc>
        <w:tc>
          <w:tcPr>
            <w:tcW w:w="3086" w:type="dxa"/>
          </w:tcPr>
          <w:p w14:paraId="5D052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вариант (шавронный зуб). Мотор прошел</w:t>
            </w:r>
          </w:p>
        </w:tc>
      </w:tr>
      <w:tr w:rsidR="00DA227A" w:rsidRPr="00E93F40" w14:paraId="2F08F6A7" w14:textId="77777777">
        <w:tc>
          <w:tcPr>
            <w:tcW w:w="939" w:type="dxa"/>
          </w:tcPr>
          <w:p w14:paraId="0183B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редуктором)</w:t>
            </w:r>
          </w:p>
        </w:tc>
        <w:tc>
          <w:tcPr>
            <w:tcW w:w="939" w:type="dxa"/>
          </w:tcPr>
          <w:p w14:paraId="3560C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F9DD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A8EA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306C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C5F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6AB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F10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1.02.33</w:t>
            </w:r>
          </w:p>
        </w:tc>
        <w:tc>
          <w:tcPr>
            <w:tcW w:w="3086" w:type="dxa"/>
          </w:tcPr>
          <w:p w14:paraId="0D91D7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горячую обкатку в течение 6 часов. Обнаружены</w:t>
            </w:r>
          </w:p>
        </w:tc>
      </w:tr>
      <w:tr w:rsidR="00DA227A" w:rsidRPr="00E93F40" w14:paraId="6F0960B8" w14:textId="77777777">
        <w:tc>
          <w:tcPr>
            <w:tcW w:w="939" w:type="dxa"/>
          </w:tcPr>
          <w:p w14:paraId="05EB37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CFBE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BE9E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D1C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1F7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A78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127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32A7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5606B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дефекты. Мотор установлен для дальнейшего 10-ти</w:t>
            </w:r>
          </w:p>
        </w:tc>
      </w:tr>
      <w:tr w:rsidR="00DA227A" w:rsidRPr="00E93F40" w14:paraId="2932CC11" w14:textId="77777777">
        <w:tc>
          <w:tcPr>
            <w:tcW w:w="939" w:type="dxa"/>
          </w:tcPr>
          <w:p w14:paraId="55D07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1C82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BC00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6CE3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5809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6CF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8DCD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1C5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0D93E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часового режимного испытания. Второй вариант</w:t>
            </w:r>
          </w:p>
        </w:tc>
      </w:tr>
      <w:tr w:rsidR="00DA227A" w:rsidRPr="00E93F40" w14:paraId="724442D4" w14:textId="77777777">
        <w:tc>
          <w:tcPr>
            <w:tcW w:w="939" w:type="dxa"/>
          </w:tcPr>
          <w:p w14:paraId="1CCB76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9B6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5430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D3B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EC5D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BF3F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03F9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8A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2124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редуктора с прямым зубом в производстве, </w:t>
            </w:r>
          </w:p>
        </w:tc>
      </w:tr>
      <w:tr w:rsidR="00DA227A" w:rsidRPr="00E93F40" w14:paraId="5C8B7000" w14:textId="77777777">
        <w:tc>
          <w:tcPr>
            <w:tcW w:w="939" w:type="dxa"/>
          </w:tcPr>
          <w:p w14:paraId="3FC4C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AEF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3D9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225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43BF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1AF8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AF9F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916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E6CB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ориентировочный срок готовности к 15.01733 г.</w:t>
            </w:r>
          </w:p>
        </w:tc>
      </w:tr>
      <w:tr w:rsidR="00DA227A" w:rsidRPr="00E93F40" w14:paraId="6A086E89" w14:textId="77777777">
        <w:tc>
          <w:tcPr>
            <w:tcW w:w="939" w:type="dxa"/>
          </w:tcPr>
          <w:p w14:paraId="6C54A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 РН</w:t>
            </w:r>
          </w:p>
        </w:tc>
        <w:tc>
          <w:tcPr>
            <w:tcW w:w="939" w:type="dxa"/>
          </w:tcPr>
          <w:p w14:paraId="05DC24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7F86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C5426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234BB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w:t>
            </w:r>
          </w:p>
        </w:tc>
        <w:tc>
          <w:tcPr>
            <w:tcW w:w="939" w:type="dxa"/>
          </w:tcPr>
          <w:p w14:paraId="2C00C3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344B0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3E8C35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1.12.32/-</w:t>
            </w:r>
          </w:p>
        </w:tc>
        <w:tc>
          <w:tcPr>
            <w:tcW w:w="3086" w:type="dxa"/>
          </w:tcPr>
          <w:p w14:paraId="23FE3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Будет пущен в производство после окончания М34 Н</w:t>
            </w:r>
          </w:p>
        </w:tc>
      </w:tr>
      <w:tr w:rsidR="00DA227A" w:rsidRPr="00E93F40" w14:paraId="48ABD639" w14:textId="77777777">
        <w:tc>
          <w:tcPr>
            <w:tcW w:w="939" w:type="dxa"/>
          </w:tcPr>
          <w:p w14:paraId="60855A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F1C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990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BA59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151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6D7E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9DA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003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23F12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М34 Р.</w:t>
            </w:r>
          </w:p>
        </w:tc>
      </w:tr>
      <w:tr w:rsidR="00DA227A" w:rsidRPr="00E93F40" w14:paraId="4853E462" w14:textId="77777777">
        <w:tc>
          <w:tcPr>
            <w:tcW w:w="939" w:type="dxa"/>
          </w:tcPr>
          <w:p w14:paraId="034632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М34 Н (с электр.</w:t>
            </w:r>
          </w:p>
        </w:tc>
        <w:tc>
          <w:tcPr>
            <w:tcW w:w="939" w:type="dxa"/>
          </w:tcPr>
          <w:p w14:paraId="371241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706F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3E75B7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45085D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w:t>
            </w:r>
          </w:p>
        </w:tc>
        <w:tc>
          <w:tcPr>
            <w:tcW w:w="939" w:type="dxa"/>
          </w:tcPr>
          <w:p w14:paraId="6D063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220DF3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0C492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1.08.32/-</w:t>
            </w:r>
          </w:p>
        </w:tc>
        <w:tc>
          <w:tcPr>
            <w:tcW w:w="3086" w:type="dxa"/>
          </w:tcPr>
          <w:p w14:paraId="6D71F8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Отливки картера из электрона по моделям для</w:t>
            </w:r>
          </w:p>
        </w:tc>
      </w:tr>
      <w:tr w:rsidR="00DA227A" w:rsidRPr="00E93F40" w14:paraId="36361222" w14:textId="77777777">
        <w:tc>
          <w:tcPr>
            <w:tcW w:w="939" w:type="dxa"/>
          </w:tcPr>
          <w:p w14:paraId="556D5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картером)</w:t>
            </w:r>
          </w:p>
        </w:tc>
        <w:tc>
          <w:tcPr>
            <w:tcW w:w="939" w:type="dxa"/>
          </w:tcPr>
          <w:p w14:paraId="5DB260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225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94D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83AC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86F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075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972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ACEA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алюминиевого литья оказались неудовлетворительн.</w:t>
            </w:r>
          </w:p>
        </w:tc>
      </w:tr>
      <w:tr w:rsidR="00DA227A" w:rsidRPr="00E93F40" w14:paraId="50B54945" w14:textId="77777777">
        <w:tc>
          <w:tcPr>
            <w:tcW w:w="939" w:type="dxa"/>
          </w:tcPr>
          <w:p w14:paraId="53626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5AE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AF4A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C5E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AEB3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2FDE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682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C49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E265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Разрабатывается специальная конструкция картера</w:t>
            </w:r>
          </w:p>
        </w:tc>
      </w:tr>
      <w:tr w:rsidR="00DA227A" w:rsidRPr="00E93F40" w14:paraId="2E46A317" w14:textId="77777777">
        <w:tc>
          <w:tcPr>
            <w:tcW w:w="939" w:type="dxa"/>
          </w:tcPr>
          <w:p w14:paraId="55C8B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16C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510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3D5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54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64D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DC5B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AEFD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13F8E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электронного литья.</w:t>
            </w:r>
          </w:p>
        </w:tc>
      </w:tr>
      <w:tr w:rsidR="00DA227A" w:rsidRPr="00E93F40" w14:paraId="5FD51321" w14:textId="77777777">
        <w:tc>
          <w:tcPr>
            <w:tcW w:w="939" w:type="dxa"/>
          </w:tcPr>
          <w:p w14:paraId="66EB80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ГМ-34 (с</w:t>
            </w:r>
          </w:p>
        </w:tc>
        <w:tc>
          <w:tcPr>
            <w:tcW w:w="939" w:type="dxa"/>
          </w:tcPr>
          <w:p w14:paraId="73AD6B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0195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AC094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29081F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625</w:t>
            </w:r>
          </w:p>
        </w:tc>
        <w:tc>
          <w:tcPr>
            <w:tcW w:w="939" w:type="dxa"/>
          </w:tcPr>
          <w:p w14:paraId="379E2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48C6C2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C2AE4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1.10.32/</w:t>
            </w:r>
          </w:p>
        </w:tc>
        <w:tc>
          <w:tcPr>
            <w:tcW w:w="3086" w:type="dxa"/>
          </w:tcPr>
          <w:p w14:paraId="64926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прошел холодную обкатку и установлен на</w:t>
            </w:r>
          </w:p>
        </w:tc>
      </w:tr>
      <w:tr w:rsidR="00DA227A" w:rsidRPr="00E93F40" w14:paraId="43A1D1CD" w14:textId="77777777">
        <w:tc>
          <w:tcPr>
            <w:tcW w:w="939" w:type="dxa"/>
          </w:tcPr>
          <w:p w14:paraId="0C4BB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реверсом)</w:t>
            </w:r>
          </w:p>
        </w:tc>
        <w:tc>
          <w:tcPr>
            <w:tcW w:w="939" w:type="dxa"/>
          </w:tcPr>
          <w:p w14:paraId="5006D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4AC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D75A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BA6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03E4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620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6A5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1.02.33</w:t>
            </w:r>
          </w:p>
        </w:tc>
        <w:tc>
          <w:tcPr>
            <w:tcW w:w="3086" w:type="dxa"/>
          </w:tcPr>
          <w:p w14:paraId="465B9C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режимную работу.</w:t>
            </w:r>
          </w:p>
        </w:tc>
      </w:tr>
      <w:tr w:rsidR="00DA227A" w:rsidRPr="00E93F40" w14:paraId="1308954B" w14:textId="77777777">
        <w:tc>
          <w:tcPr>
            <w:tcW w:w="939" w:type="dxa"/>
          </w:tcPr>
          <w:p w14:paraId="31FA7B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(с нагнетат.)</w:t>
            </w:r>
          </w:p>
        </w:tc>
        <w:tc>
          <w:tcPr>
            <w:tcW w:w="939" w:type="dxa"/>
          </w:tcPr>
          <w:p w14:paraId="714F1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82FE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767A5C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939" w:type="dxa"/>
          </w:tcPr>
          <w:p w14:paraId="4F3F7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939" w:type="dxa"/>
          </w:tcPr>
          <w:p w14:paraId="515DC3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52106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2F003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15.08.31/</w:t>
            </w:r>
          </w:p>
        </w:tc>
        <w:tc>
          <w:tcPr>
            <w:tcW w:w="3086" w:type="dxa"/>
          </w:tcPr>
          <w:p w14:paraId="35F1A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находится на заводских испытаниях. В общей</w:t>
            </w:r>
          </w:p>
        </w:tc>
      </w:tr>
      <w:tr w:rsidR="00DA227A" w:rsidRPr="00E93F40" w14:paraId="1F446812" w14:textId="77777777">
        <w:tc>
          <w:tcPr>
            <w:tcW w:w="939" w:type="dxa"/>
          </w:tcPr>
          <w:p w14:paraId="4B5420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6EFE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2288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DED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83B1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308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1C9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225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1.03.33</w:t>
            </w:r>
          </w:p>
        </w:tc>
        <w:tc>
          <w:tcPr>
            <w:tcW w:w="3086" w:type="dxa"/>
          </w:tcPr>
          <w:p w14:paraId="0BC1A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сложности проработал около 200 часов, из них</w:t>
            </w:r>
          </w:p>
        </w:tc>
      </w:tr>
      <w:tr w:rsidR="00DA227A" w:rsidRPr="00E93F40" w14:paraId="77160955" w14:textId="77777777">
        <w:tc>
          <w:tcPr>
            <w:tcW w:w="939" w:type="dxa"/>
          </w:tcPr>
          <w:p w14:paraId="1E592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BA47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545D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8EE7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5D4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DBB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06F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7416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49018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режимных около 80 час. Обнаружены дефекты. </w:t>
            </w:r>
          </w:p>
        </w:tc>
      </w:tr>
      <w:tr w:rsidR="00DA227A" w:rsidRPr="00E93F40" w14:paraId="58167096" w14:textId="77777777">
        <w:tc>
          <w:tcPr>
            <w:tcW w:w="939" w:type="dxa"/>
          </w:tcPr>
          <w:p w14:paraId="2370E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47B5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064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264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42B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556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D8E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445E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48ED71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Изготовлено два опытынх цилиндра с измененным</w:t>
            </w:r>
          </w:p>
        </w:tc>
      </w:tr>
      <w:tr w:rsidR="00DA227A" w:rsidRPr="00E93F40" w14:paraId="58293441" w14:textId="77777777">
        <w:tc>
          <w:tcPr>
            <w:tcW w:w="939" w:type="dxa"/>
          </w:tcPr>
          <w:p w14:paraId="6FEA10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7B2E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A50F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4A3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8502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CE5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88AF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D426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9CFE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расположением ребер и другой жесткостью. Изгот.</w:t>
            </w:r>
          </w:p>
        </w:tc>
      </w:tr>
      <w:tr w:rsidR="00DA227A" w:rsidRPr="00E93F40" w14:paraId="44304EDE" w14:textId="77777777">
        <w:tc>
          <w:tcPr>
            <w:tcW w:w="939" w:type="dxa"/>
          </w:tcPr>
          <w:p w14:paraId="3FC68A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B6E9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186F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6E9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922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1B71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E8B5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808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992E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головка новой конструкции.</w:t>
            </w:r>
          </w:p>
        </w:tc>
      </w:tr>
      <w:tr w:rsidR="00DA227A" w:rsidRPr="00E93F40" w14:paraId="21F8A33A" w14:textId="77777777">
        <w:tc>
          <w:tcPr>
            <w:tcW w:w="939" w:type="dxa"/>
          </w:tcPr>
          <w:p w14:paraId="0C4E83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М38 (с нагнетат.</w:t>
            </w:r>
          </w:p>
        </w:tc>
        <w:tc>
          <w:tcPr>
            <w:tcW w:w="939" w:type="dxa"/>
          </w:tcPr>
          <w:p w14:paraId="3B13B7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6D9C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4E1082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6A671E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430</w:t>
            </w:r>
          </w:p>
        </w:tc>
        <w:tc>
          <w:tcPr>
            <w:tcW w:w="939" w:type="dxa"/>
          </w:tcPr>
          <w:p w14:paraId="11007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A7AC1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324E0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1.05.33</w:t>
            </w:r>
          </w:p>
        </w:tc>
        <w:tc>
          <w:tcPr>
            <w:tcW w:w="3086" w:type="dxa"/>
          </w:tcPr>
          <w:p w14:paraId="76F7F8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Будет пущен в производство после окончания М38</w:t>
            </w:r>
          </w:p>
        </w:tc>
      </w:tr>
      <w:tr w:rsidR="00DA227A" w:rsidRPr="00E93F40" w14:paraId="4AEB4E00" w14:textId="77777777">
        <w:tc>
          <w:tcPr>
            <w:tcW w:w="939" w:type="dxa"/>
          </w:tcPr>
          <w:p w14:paraId="5A9AA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редуктором)</w:t>
            </w:r>
          </w:p>
        </w:tc>
        <w:tc>
          <w:tcPr>
            <w:tcW w:w="939" w:type="dxa"/>
          </w:tcPr>
          <w:p w14:paraId="7A6A83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38CD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268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C3A9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4051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9366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30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 исп.</w:t>
            </w:r>
          </w:p>
        </w:tc>
        <w:tc>
          <w:tcPr>
            <w:tcW w:w="3086" w:type="dxa"/>
          </w:tcPr>
          <w:p w14:paraId="14423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нагнетателем.</w:t>
            </w:r>
          </w:p>
        </w:tc>
      </w:tr>
      <w:tr w:rsidR="00DA227A" w:rsidRPr="00E93F40" w14:paraId="07B4486E" w14:textId="77777777">
        <w:tc>
          <w:tcPr>
            <w:tcW w:w="939" w:type="dxa"/>
          </w:tcPr>
          <w:p w14:paraId="401C33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М35 (с нагнетат.</w:t>
            </w:r>
          </w:p>
        </w:tc>
        <w:tc>
          <w:tcPr>
            <w:tcW w:w="939" w:type="dxa"/>
          </w:tcPr>
          <w:p w14:paraId="14F3D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7186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4336C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w:t>
            </w:r>
          </w:p>
        </w:tc>
        <w:tc>
          <w:tcPr>
            <w:tcW w:w="939" w:type="dxa"/>
          </w:tcPr>
          <w:p w14:paraId="2860E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939" w:type="dxa"/>
          </w:tcPr>
          <w:p w14:paraId="29B134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E32E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52933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1.04.33</w:t>
            </w:r>
          </w:p>
        </w:tc>
        <w:tc>
          <w:tcPr>
            <w:tcW w:w="3086" w:type="dxa"/>
          </w:tcPr>
          <w:p w14:paraId="750624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 не строится. Первый вариант проекта </w:t>
            </w:r>
          </w:p>
        </w:tc>
      </w:tr>
      <w:tr w:rsidR="00DA227A" w:rsidRPr="00E93F40" w14:paraId="53F7F531" w14:textId="77777777">
        <w:tc>
          <w:tcPr>
            <w:tcW w:w="939" w:type="dxa"/>
          </w:tcPr>
          <w:p w14:paraId="2A4B61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редуктором)</w:t>
            </w:r>
          </w:p>
        </w:tc>
        <w:tc>
          <w:tcPr>
            <w:tcW w:w="939" w:type="dxa"/>
          </w:tcPr>
          <w:p w14:paraId="28E1A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687D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9ECB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F3CD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2CA7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1CA6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2F13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 исп.</w:t>
            </w:r>
          </w:p>
        </w:tc>
        <w:tc>
          <w:tcPr>
            <w:tcW w:w="3086" w:type="dxa"/>
          </w:tcPr>
          <w:p w14:paraId="1F09B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признан неудовлетворительным.</w:t>
            </w:r>
          </w:p>
        </w:tc>
      </w:tr>
      <w:tr w:rsidR="00DA227A" w:rsidRPr="00E93F40" w14:paraId="4CDAD228" w14:textId="77777777">
        <w:tc>
          <w:tcPr>
            <w:tcW w:w="939" w:type="dxa"/>
          </w:tcPr>
          <w:p w14:paraId="6A863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 (с нагнетат.</w:t>
            </w:r>
          </w:p>
        </w:tc>
        <w:tc>
          <w:tcPr>
            <w:tcW w:w="939" w:type="dxa"/>
          </w:tcPr>
          <w:p w14:paraId="3ACA1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F99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F956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111D8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939" w:type="dxa"/>
          </w:tcPr>
          <w:p w14:paraId="24986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52BF8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02E4C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1.11.32/</w:t>
            </w:r>
          </w:p>
        </w:tc>
        <w:tc>
          <w:tcPr>
            <w:tcW w:w="3086" w:type="dxa"/>
          </w:tcPr>
          <w:p w14:paraId="1E12A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прошел холодную обкатку 1 час 23 мин.,</w:t>
            </w:r>
          </w:p>
        </w:tc>
      </w:tr>
      <w:tr w:rsidR="00DA227A" w:rsidRPr="00E93F40" w14:paraId="16824555" w14:textId="77777777">
        <w:tc>
          <w:tcPr>
            <w:tcW w:w="939" w:type="dxa"/>
          </w:tcPr>
          <w:p w14:paraId="01BD3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редуктором)</w:t>
            </w:r>
          </w:p>
        </w:tc>
        <w:tc>
          <w:tcPr>
            <w:tcW w:w="939" w:type="dxa"/>
          </w:tcPr>
          <w:p w14:paraId="52D4B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54A4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3BDF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EC6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0D3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D52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996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1.03.33</w:t>
            </w:r>
          </w:p>
        </w:tc>
        <w:tc>
          <w:tcPr>
            <w:tcW w:w="3086" w:type="dxa"/>
          </w:tcPr>
          <w:p w14:paraId="281A5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горячую обкатку 7 час., при подборе регулировки</w:t>
            </w:r>
          </w:p>
        </w:tc>
      </w:tr>
      <w:tr w:rsidR="00DA227A" w:rsidRPr="00E93F40" w14:paraId="58BDF207" w14:textId="77777777">
        <w:tc>
          <w:tcPr>
            <w:tcW w:w="939" w:type="dxa"/>
          </w:tcPr>
          <w:p w14:paraId="1EAA8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0073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6C44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8086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C53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441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79D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4D6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3E2A4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карбюратора 16 час. и режимные работы 5 час.</w:t>
            </w:r>
          </w:p>
        </w:tc>
      </w:tr>
      <w:tr w:rsidR="00DA227A" w:rsidRPr="00E93F40" w14:paraId="77F2B02C" w14:textId="77777777">
        <w:tc>
          <w:tcPr>
            <w:tcW w:w="939" w:type="dxa"/>
          </w:tcPr>
          <w:p w14:paraId="09FAD1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35CF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78A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A0F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7B26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77D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AC9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9BE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74C5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Обнаружены дефекты. Нагнетатель к мотору </w:t>
            </w:r>
          </w:p>
        </w:tc>
      </w:tr>
      <w:tr w:rsidR="00DA227A" w:rsidRPr="00E93F40" w14:paraId="0ADE1EFE" w14:textId="77777777">
        <w:tc>
          <w:tcPr>
            <w:tcW w:w="939" w:type="dxa"/>
          </w:tcPr>
          <w:p w14:paraId="345D7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7E2A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4253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7A7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265C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B31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42F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9BD6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3771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проходит заводские испытания отдельно от мотора.</w:t>
            </w:r>
          </w:p>
        </w:tc>
      </w:tr>
      <w:tr w:rsidR="00DA227A" w:rsidRPr="00E93F40" w14:paraId="745F42DA" w14:textId="77777777">
        <w:tc>
          <w:tcPr>
            <w:tcW w:w="939" w:type="dxa"/>
          </w:tcPr>
          <w:p w14:paraId="0657B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М44 с нагнетат.</w:t>
            </w:r>
          </w:p>
        </w:tc>
        <w:tc>
          <w:tcPr>
            <w:tcW w:w="939" w:type="dxa"/>
          </w:tcPr>
          <w:p w14:paraId="6D235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D00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E7AAF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3A621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939" w:type="dxa"/>
          </w:tcPr>
          <w:p w14:paraId="67631D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60777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939" w:type="dxa"/>
          </w:tcPr>
          <w:p w14:paraId="61C32A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1.07.33/</w:t>
            </w:r>
          </w:p>
        </w:tc>
        <w:tc>
          <w:tcPr>
            <w:tcW w:w="3086" w:type="dxa"/>
          </w:tcPr>
          <w:p w14:paraId="17535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детали мотора в механич. обработке.</w:t>
            </w:r>
          </w:p>
        </w:tc>
      </w:tr>
      <w:tr w:rsidR="00DA227A" w:rsidRPr="00E93F40" w14:paraId="1D5CBDF8" w14:textId="77777777">
        <w:tc>
          <w:tcPr>
            <w:tcW w:w="939" w:type="dxa"/>
          </w:tcPr>
          <w:p w14:paraId="05949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EAD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818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ED92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097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799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F5BA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11A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1.03.33</w:t>
            </w:r>
          </w:p>
        </w:tc>
        <w:tc>
          <w:tcPr>
            <w:tcW w:w="3086" w:type="dxa"/>
          </w:tcPr>
          <w:p w14:paraId="3B2BE0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Отдельн. цилиндр мотора (опытный) испытывается</w:t>
            </w:r>
          </w:p>
        </w:tc>
      </w:tr>
      <w:tr w:rsidR="00DA227A" w:rsidRPr="00E93F40" w14:paraId="67301CA6" w14:textId="77777777">
        <w:tc>
          <w:tcPr>
            <w:tcW w:w="939" w:type="dxa"/>
          </w:tcPr>
          <w:p w14:paraId="09F09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3320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72F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91EF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8E2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1BA9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4853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B32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 исп.</w:t>
            </w:r>
          </w:p>
        </w:tc>
        <w:tc>
          <w:tcPr>
            <w:tcW w:w="3086" w:type="dxa"/>
          </w:tcPr>
          <w:p w14:paraId="59C49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лаборатории.</w:t>
            </w:r>
          </w:p>
        </w:tc>
      </w:tr>
      <w:tr w:rsidR="00DA227A" w:rsidRPr="00E93F40" w14:paraId="4341E355" w14:textId="77777777">
        <w:tc>
          <w:tcPr>
            <w:tcW w:w="939" w:type="dxa"/>
          </w:tcPr>
          <w:p w14:paraId="3BC7F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w:t>
            </w:r>
          </w:p>
        </w:tc>
        <w:tc>
          <w:tcPr>
            <w:tcW w:w="939" w:type="dxa"/>
          </w:tcPr>
          <w:p w14:paraId="02922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E44E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63A4F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4A785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Pr>
          <w:p w14:paraId="050CB1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2FE81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8C397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1.10.32/</w:t>
            </w:r>
          </w:p>
        </w:tc>
        <w:tc>
          <w:tcPr>
            <w:tcW w:w="3086" w:type="dxa"/>
          </w:tcPr>
          <w:p w14:paraId="5287E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прошел холодную и горячую обкатки и наход.</w:t>
            </w:r>
          </w:p>
        </w:tc>
      </w:tr>
      <w:tr w:rsidR="00DA227A" w:rsidRPr="00E93F40" w14:paraId="17152AF8" w14:textId="77777777">
        <w:tc>
          <w:tcPr>
            <w:tcW w:w="939" w:type="dxa"/>
          </w:tcPr>
          <w:p w14:paraId="51BB0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CDEB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D9AA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69C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72F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BA08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EA4E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C7C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1.02.33</w:t>
            </w:r>
          </w:p>
        </w:tc>
        <w:tc>
          <w:tcPr>
            <w:tcW w:w="3086" w:type="dxa"/>
          </w:tcPr>
          <w:p w14:paraId="3D4EE7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заводских испытаниях. Проработал в общей</w:t>
            </w:r>
          </w:p>
        </w:tc>
      </w:tr>
      <w:tr w:rsidR="00DA227A" w:rsidRPr="00E93F40" w14:paraId="5401FDD3" w14:textId="77777777">
        <w:tc>
          <w:tcPr>
            <w:tcW w:w="939" w:type="dxa"/>
          </w:tcPr>
          <w:p w14:paraId="221E28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0126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2CE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F0E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05F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13A8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275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8E3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F329E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сложности 22 час.</w:t>
            </w:r>
          </w:p>
        </w:tc>
      </w:tr>
      <w:tr w:rsidR="00DA227A" w:rsidRPr="00E93F40" w14:paraId="71ACE1B4" w14:textId="77777777">
        <w:tc>
          <w:tcPr>
            <w:tcW w:w="939" w:type="dxa"/>
          </w:tcPr>
          <w:p w14:paraId="6B737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М54 (форс. М34)</w:t>
            </w:r>
          </w:p>
        </w:tc>
        <w:tc>
          <w:tcPr>
            <w:tcW w:w="939" w:type="dxa"/>
          </w:tcPr>
          <w:p w14:paraId="47ABC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9F3F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C528D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5FFB6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939" w:type="dxa"/>
          </w:tcPr>
          <w:p w14:paraId="4E0DA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7C5DC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34EC1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1.05.33</w:t>
            </w:r>
          </w:p>
        </w:tc>
        <w:tc>
          <w:tcPr>
            <w:tcW w:w="3086" w:type="dxa"/>
          </w:tcPr>
          <w:p w14:paraId="61576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Производятся заводские испытания по выяснению</w:t>
            </w:r>
          </w:p>
        </w:tc>
      </w:tr>
      <w:tr w:rsidR="00DA227A" w:rsidRPr="00E93F40" w14:paraId="115649E3" w14:textId="77777777">
        <w:tc>
          <w:tcPr>
            <w:tcW w:w="939" w:type="dxa"/>
          </w:tcPr>
          <w:p w14:paraId="105BA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7C1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E5F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E1A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D810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0B0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674F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518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EFA3F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мотора на повышенных оборотах.</w:t>
            </w:r>
          </w:p>
        </w:tc>
      </w:tr>
      <w:tr w:rsidR="00DA227A" w:rsidRPr="00E93F40" w14:paraId="7737EDC5" w14:textId="77777777">
        <w:tc>
          <w:tcPr>
            <w:tcW w:w="939" w:type="dxa"/>
          </w:tcPr>
          <w:p w14:paraId="365D4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М55 (перевернут.</w:t>
            </w:r>
          </w:p>
        </w:tc>
        <w:tc>
          <w:tcPr>
            <w:tcW w:w="939" w:type="dxa"/>
          </w:tcPr>
          <w:p w14:paraId="33846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CB68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B61F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474C1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939" w:type="dxa"/>
          </w:tcPr>
          <w:p w14:paraId="4E622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276334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23F06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08-10.33/</w:t>
            </w:r>
          </w:p>
        </w:tc>
        <w:tc>
          <w:tcPr>
            <w:tcW w:w="3086" w:type="dxa"/>
          </w:tcPr>
          <w:p w14:paraId="5837F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не производятся.</w:t>
            </w:r>
          </w:p>
        </w:tc>
      </w:tr>
      <w:tr w:rsidR="00DA227A" w:rsidRPr="00E93F40" w14:paraId="110F4F58" w14:textId="77777777">
        <w:tc>
          <w:tcPr>
            <w:tcW w:w="939" w:type="dxa"/>
          </w:tcPr>
          <w:p w14:paraId="37A98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939" w:type="dxa"/>
          </w:tcPr>
          <w:p w14:paraId="7DCD2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0CF3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F4C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DB11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477B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552D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74B10C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472FD5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C4A696" w14:textId="77777777">
        <w:tc>
          <w:tcPr>
            <w:tcW w:w="939" w:type="dxa"/>
          </w:tcPr>
          <w:p w14:paraId="136390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М48</w:t>
            </w:r>
          </w:p>
        </w:tc>
        <w:tc>
          <w:tcPr>
            <w:tcW w:w="939" w:type="dxa"/>
          </w:tcPr>
          <w:p w14:paraId="6DBD8E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11A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З-д 29</w:t>
            </w:r>
          </w:p>
        </w:tc>
        <w:tc>
          <w:tcPr>
            <w:tcW w:w="939" w:type="dxa"/>
          </w:tcPr>
          <w:p w14:paraId="6BDB5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939" w:type="dxa"/>
          </w:tcPr>
          <w:p w14:paraId="598C9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c>
          <w:tcPr>
            <w:tcW w:w="939" w:type="dxa"/>
          </w:tcPr>
          <w:p w14:paraId="015CE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631E4D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C9D37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1.08.32/</w:t>
            </w:r>
          </w:p>
        </w:tc>
        <w:tc>
          <w:tcPr>
            <w:tcW w:w="3086" w:type="dxa"/>
          </w:tcPr>
          <w:p w14:paraId="5659B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 проходит заводские испытания. Обнаружены </w:t>
            </w:r>
          </w:p>
        </w:tc>
      </w:tr>
      <w:tr w:rsidR="00DA227A" w:rsidRPr="00E93F40" w14:paraId="5A4B8C19" w14:textId="77777777">
        <w:tc>
          <w:tcPr>
            <w:tcW w:w="939" w:type="dxa"/>
          </w:tcPr>
          <w:p w14:paraId="7537A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7DE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13B9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BE51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49D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83D6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D6F3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423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1.02.33</w:t>
            </w:r>
          </w:p>
        </w:tc>
        <w:tc>
          <w:tcPr>
            <w:tcW w:w="3086" w:type="dxa"/>
          </w:tcPr>
          <w:p w14:paraId="347728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дефекты.</w:t>
            </w:r>
          </w:p>
        </w:tc>
      </w:tr>
      <w:tr w:rsidR="00DA227A" w:rsidRPr="00E93F40" w14:paraId="379D0467" w14:textId="77777777">
        <w:tc>
          <w:tcPr>
            <w:tcW w:w="939" w:type="dxa"/>
          </w:tcPr>
          <w:p w14:paraId="1F4A7C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М51</w:t>
            </w:r>
          </w:p>
        </w:tc>
        <w:tc>
          <w:tcPr>
            <w:tcW w:w="939" w:type="dxa"/>
          </w:tcPr>
          <w:p w14:paraId="07998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BEC7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CE5D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78BE87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w:t>
            </w:r>
          </w:p>
        </w:tc>
        <w:tc>
          <w:tcPr>
            <w:tcW w:w="939" w:type="dxa"/>
          </w:tcPr>
          <w:p w14:paraId="404E2B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1F8C3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F5F7E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1.06.32/-</w:t>
            </w:r>
          </w:p>
        </w:tc>
        <w:tc>
          <w:tcPr>
            <w:tcW w:w="3086" w:type="dxa"/>
          </w:tcPr>
          <w:p w14:paraId="5D94FC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прошел гос. испытания на станке.</w:t>
            </w:r>
          </w:p>
        </w:tc>
      </w:tr>
      <w:tr w:rsidR="00DA227A" w:rsidRPr="00E93F40" w14:paraId="7807C5BB" w14:textId="77777777">
        <w:tc>
          <w:tcPr>
            <w:tcW w:w="939" w:type="dxa"/>
          </w:tcPr>
          <w:p w14:paraId="1DBEB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М58 (внепланов.)</w:t>
            </w:r>
          </w:p>
        </w:tc>
        <w:tc>
          <w:tcPr>
            <w:tcW w:w="939" w:type="dxa"/>
          </w:tcPr>
          <w:p w14:paraId="38FC6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8E5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03BF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750B8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420</w:t>
            </w:r>
          </w:p>
        </w:tc>
        <w:tc>
          <w:tcPr>
            <w:tcW w:w="939" w:type="dxa"/>
          </w:tcPr>
          <w:p w14:paraId="0ECF2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3D452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21B13C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-/1.02.33</w:t>
            </w:r>
          </w:p>
        </w:tc>
        <w:tc>
          <w:tcPr>
            <w:tcW w:w="3086" w:type="dxa"/>
          </w:tcPr>
          <w:p w14:paraId="275B6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проходит заводские испытания. Обнаружены</w:t>
            </w:r>
          </w:p>
        </w:tc>
      </w:tr>
      <w:tr w:rsidR="00DA227A" w:rsidRPr="00E93F40" w14:paraId="06BFDB8D" w14:textId="77777777">
        <w:tc>
          <w:tcPr>
            <w:tcW w:w="939" w:type="dxa"/>
          </w:tcPr>
          <w:p w14:paraId="5D399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F4F0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C062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9369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3270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1AF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9677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6F1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B7F1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дефекты.</w:t>
            </w:r>
          </w:p>
        </w:tc>
      </w:tr>
      <w:tr w:rsidR="00DA227A" w:rsidRPr="00E93F40" w14:paraId="3D51E061" w14:textId="77777777">
        <w:tc>
          <w:tcPr>
            <w:tcW w:w="939" w:type="dxa"/>
          </w:tcPr>
          <w:p w14:paraId="09566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3М11 (внепланов.)</w:t>
            </w:r>
          </w:p>
        </w:tc>
        <w:tc>
          <w:tcPr>
            <w:tcW w:w="939" w:type="dxa"/>
          </w:tcPr>
          <w:p w14:paraId="52809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6AE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62718A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38ECE9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73CDF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403538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4C2CE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3086" w:type="dxa"/>
          </w:tcPr>
          <w:p w14:paraId="5071E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прошел заводские испытания и прдъявлен</w:t>
            </w:r>
          </w:p>
        </w:tc>
      </w:tr>
      <w:tr w:rsidR="00DA227A" w:rsidRPr="00E93F40" w14:paraId="7E4EC87D" w14:textId="77777777">
        <w:tc>
          <w:tcPr>
            <w:tcW w:w="939" w:type="dxa"/>
          </w:tcPr>
          <w:p w14:paraId="0919C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FECC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ECD5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BB5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9DDA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E19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944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C7E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46A5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испытания.</w:t>
            </w:r>
          </w:p>
        </w:tc>
      </w:tr>
      <w:tr w:rsidR="00DA227A" w:rsidRPr="00E93F40" w14:paraId="12401099" w14:textId="77777777">
        <w:tc>
          <w:tcPr>
            <w:tcW w:w="939" w:type="dxa"/>
          </w:tcPr>
          <w:p w14:paraId="2F6E5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Нефтяные моторы.</w:t>
            </w:r>
          </w:p>
        </w:tc>
        <w:tc>
          <w:tcPr>
            <w:tcW w:w="939" w:type="dxa"/>
          </w:tcPr>
          <w:p w14:paraId="36FF06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9ED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8976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8EE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94D1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286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19C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111C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C3BC9D" w14:textId="77777777">
        <w:tc>
          <w:tcPr>
            <w:tcW w:w="939" w:type="dxa"/>
          </w:tcPr>
          <w:p w14:paraId="3EC97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Н1 (четырехтакт.)</w:t>
            </w:r>
          </w:p>
        </w:tc>
        <w:tc>
          <w:tcPr>
            <w:tcW w:w="939" w:type="dxa"/>
          </w:tcPr>
          <w:p w14:paraId="51F1B3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7BB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939" w:type="dxa"/>
          </w:tcPr>
          <w:p w14:paraId="658B2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вод.</w:t>
            </w:r>
          </w:p>
        </w:tc>
        <w:tc>
          <w:tcPr>
            <w:tcW w:w="939" w:type="dxa"/>
          </w:tcPr>
          <w:p w14:paraId="26CC7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c>
          <w:tcPr>
            <w:tcW w:w="939" w:type="dxa"/>
          </w:tcPr>
          <w:p w14:paraId="0D3A55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11E08F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6EEF2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1.03.33/</w:t>
            </w:r>
          </w:p>
        </w:tc>
        <w:tc>
          <w:tcPr>
            <w:tcW w:w="3086" w:type="dxa"/>
          </w:tcPr>
          <w:p w14:paraId="677508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мотора находятся в механической обработке.</w:t>
            </w:r>
          </w:p>
        </w:tc>
      </w:tr>
      <w:tr w:rsidR="00DA227A" w:rsidRPr="00E93F40" w14:paraId="767AF247" w14:textId="77777777">
        <w:tc>
          <w:tcPr>
            <w:tcW w:w="939" w:type="dxa"/>
          </w:tcPr>
          <w:p w14:paraId="63278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BC4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3B4C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0458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C7E0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00CA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6F91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3FF6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1.04.33</w:t>
            </w:r>
          </w:p>
        </w:tc>
        <w:tc>
          <w:tcPr>
            <w:tcW w:w="3086" w:type="dxa"/>
          </w:tcPr>
          <w:p w14:paraId="5DD95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цилиндр проходит лабораторные испытан.</w:t>
            </w:r>
          </w:p>
        </w:tc>
      </w:tr>
      <w:tr w:rsidR="00DA227A" w:rsidRPr="00E93F40" w14:paraId="184FE576" w14:textId="77777777">
        <w:tc>
          <w:tcPr>
            <w:tcW w:w="939" w:type="dxa"/>
          </w:tcPr>
          <w:p w14:paraId="65AD8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AEF2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A00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9462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8F91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C57A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EB31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CF7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32407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поступ. в</w:t>
            </w:r>
          </w:p>
        </w:tc>
      </w:tr>
      <w:tr w:rsidR="00DA227A" w:rsidRPr="00E93F40" w14:paraId="713D34F0" w14:textId="77777777">
        <w:tc>
          <w:tcPr>
            <w:tcW w:w="939" w:type="dxa"/>
          </w:tcPr>
          <w:p w14:paraId="4C22B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E24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AED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CAA8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A4F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DBB7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0B6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21A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FBFE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сборку</w:t>
            </w:r>
          </w:p>
        </w:tc>
      </w:tr>
      <w:tr w:rsidR="00DA227A" w:rsidRPr="00E93F40" w14:paraId="485FABB8" w14:textId="77777777">
        <w:tc>
          <w:tcPr>
            <w:tcW w:w="939" w:type="dxa"/>
          </w:tcPr>
          <w:p w14:paraId="5424C2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Н2 (четырехтакт.)</w:t>
            </w:r>
          </w:p>
        </w:tc>
        <w:tc>
          <w:tcPr>
            <w:tcW w:w="939" w:type="dxa"/>
          </w:tcPr>
          <w:p w14:paraId="213E68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511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ВНИДИ</w:t>
            </w:r>
          </w:p>
        </w:tc>
        <w:tc>
          <w:tcPr>
            <w:tcW w:w="939" w:type="dxa"/>
          </w:tcPr>
          <w:p w14:paraId="78DAB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78B6D2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939" w:type="dxa"/>
          </w:tcPr>
          <w:p w14:paraId="18C1D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EC38B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0EBC59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1.01.33/-</w:t>
            </w:r>
          </w:p>
        </w:tc>
        <w:tc>
          <w:tcPr>
            <w:tcW w:w="3086" w:type="dxa"/>
          </w:tcPr>
          <w:p w14:paraId="6ABBF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мотора находятся в механической обработке.</w:t>
            </w:r>
          </w:p>
        </w:tc>
      </w:tr>
      <w:tr w:rsidR="00DA227A" w:rsidRPr="00E93F40" w14:paraId="15977F53" w14:textId="77777777">
        <w:tc>
          <w:tcPr>
            <w:tcW w:w="939" w:type="dxa"/>
          </w:tcPr>
          <w:p w14:paraId="194B94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 (четырехтакт.)</w:t>
            </w:r>
          </w:p>
        </w:tc>
        <w:tc>
          <w:tcPr>
            <w:tcW w:w="939" w:type="dxa"/>
          </w:tcPr>
          <w:p w14:paraId="03823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319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Укр.</w:t>
            </w:r>
          </w:p>
        </w:tc>
        <w:tc>
          <w:tcPr>
            <w:tcW w:w="939" w:type="dxa"/>
          </w:tcPr>
          <w:p w14:paraId="270065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534A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939" w:type="dxa"/>
          </w:tcPr>
          <w:p w14:paraId="605C95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5ADA6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Pr>
          <w:p w14:paraId="08B8A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1.01.33/-</w:t>
            </w:r>
          </w:p>
        </w:tc>
        <w:tc>
          <w:tcPr>
            <w:tcW w:w="3086" w:type="dxa"/>
          </w:tcPr>
          <w:p w14:paraId="2E9E9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мотора не размещена в пром-ти.</w:t>
            </w:r>
          </w:p>
        </w:tc>
      </w:tr>
      <w:tr w:rsidR="00DA227A" w:rsidRPr="00E93F40" w14:paraId="0B4F5052" w14:textId="77777777">
        <w:tc>
          <w:tcPr>
            <w:tcW w:w="939" w:type="dxa"/>
          </w:tcPr>
          <w:p w14:paraId="6FFC55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61C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14F1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ИДВС</w:t>
            </w:r>
          </w:p>
        </w:tc>
        <w:tc>
          <w:tcPr>
            <w:tcW w:w="939" w:type="dxa"/>
          </w:tcPr>
          <w:p w14:paraId="666E8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067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196E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A28A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BA9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18D7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Опытные цилиндры проходят лабораторн. испытан.</w:t>
            </w:r>
          </w:p>
        </w:tc>
      </w:tr>
      <w:tr w:rsidR="00DA227A" w:rsidRPr="00E93F40" w14:paraId="55EDA8EE" w14:textId="77777777">
        <w:tc>
          <w:tcPr>
            <w:tcW w:w="939" w:type="dxa"/>
          </w:tcPr>
          <w:p w14:paraId="7CC906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Н4 (двухтакт.)</w:t>
            </w:r>
          </w:p>
        </w:tc>
        <w:tc>
          <w:tcPr>
            <w:tcW w:w="939" w:type="dxa"/>
          </w:tcPr>
          <w:p w14:paraId="4711C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02C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Харьк.</w:t>
            </w:r>
          </w:p>
        </w:tc>
        <w:tc>
          <w:tcPr>
            <w:tcW w:w="939" w:type="dxa"/>
          </w:tcPr>
          <w:p w14:paraId="554DC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24914A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500-600</w:t>
            </w:r>
          </w:p>
        </w:tc>
        <w:tc>
          <w:tcPr>
            <w:tcW w:w="939" w:type="dxa"/>
          </w:tcPr>
          <w:p w14:paraId="74E4C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8B035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6AEF54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1.05.33/-</w:t>
            </w:r>
          </w:p>
        </w:tc>
        <w:tc>
          <w:tcPr>
            <w:tcW w:w="3086" w:type="dxa"/>
          </w:tcPr>
          <w:p w14:paraId="7A8EDE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Закончено изгот. опытного цилиндра мотора.</w:t>
            </w:r>
          </w:p>
        </w:tc>
      </w:tr>
      <w:tr w:rsidR="00DA227A" w:rsidRPr="00E93F40" w14:paraId="4915BFED" w14:textId="77777777">
        <w:tc>
          <w:tcPr>
            <w:tcW w:w="939" w:type="dxa"/>
          </w:tcPr>
          <w:p w14:paraId="19768A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B7BA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7048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9AD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 ин-т</w:t>
            </w:r>
          </w:p>
        </w:tc>
        <w:tc>
          <w:tcPr>
            <w:tcW w:w="939" w:type="dxa"/>
          </w:tcPr>
          <w:p w14:paraId="0021E1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C39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139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DCD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50B2E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DA07D5" w14:textId="77777777">
        <w:tc>
          <w:tcPr>
            <w:tcW w:w="939" w:type="dxa"/>
          </w:tcPr>
          <w:p w14:paraId="6270C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Н5 (двухтакт.)</w:t>
            </w:r>
          </w:p>
        </w:tc>
        <w:tc>
          <w:tcPr>
            <w:tcW w:w="939" w:type="dxa"/>
          </w:tcPr>
          <w:p w14:paraId="1C7DF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F90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w:t>
            </w:r>
          </w:p>
        </w:tc>
        <w:tc>
          <w:tcPr>
            <w:tcW w:w="939" w:type="dxa"/>
          </w:tcPr>
          <w:p w14:paraId="3BCFE1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310C5B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939" w:type="dxa"/>
          </w:tcPr>
          <w:p w14:paraId="4211AF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3B93F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36C4D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1.08.32/-</w:t>
            </w:r>
          </w:p>
        </w:tc>
        <w:tc>
          <w:tcPr>
            <w:tcW w:w="3086" w:type="dxa"/>
          </w:tcPr>
          <w:p w14:paraId="38B1D2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Детали мотора находятся в механической обработке.</w:t>
            </w:r>
          </w:p>
        </w:tc>
      </w:tr>
      <w:tr w:rsidR="00DA227A" w:rsidRPr="00E93F40" w14:paraId="292BE3A9" w14:textId="77777777">
        <w:tc>
          <w:tcPr>
            <w:tcW w:w="939" w:type="dxa"/>
          </w:tcPr>
          <w:p w14:paraId="7F6B42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Н6 (двухтакт.)</w:t>
            </w:r>
          </w:p>
        </w:tc>
        <w:tc>
          <w:tcPr>
            <w:tcW w:w="939" w:type="dxa"/>
          </w:tcPr>
          <w:p w14:paraId="50DA9E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EEF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2A746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возд.</w:t>
            </w:r>
          </w:p>
        </w:tc>
        <w:tc>
          <w:tcPr>
            <w:tcW w:w="939" w:type="dxa"/>
          </w:tcPr>
          <w:p w14:paraId="665AD9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w:t>
            </w:r>
          </w:p>
        </w:tc>
        <w:tc>
          <w:tcPr>
            <w:tcW w:w="939" w:type="dxa"/>
          </w:tcPr>
          <w:p w14:paraId="46677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Pr>
          <w:p w14:paraId="0B0CA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00267F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1.12.32/-</w:t>
            </w:r>
          </w:p>
        </w:tc>
        <w:tc>
          <w:tcPr>
            <w:tcW w:w="3086" w:type="dxa"/>
          </w:tcPr>
          <w:p w14:paraId="5FE32C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 не строится, т.к. производственной базой не</w:t>
            </w:r>
          </w:p>
        </w:tc>
      </w:tr>
      <w:tr w:rsidR="00DA227A" w:rsidRPr="00E93F40" w14:paraId="3D80C31D" w14:textId="77777777">
        <w:tc>
          <w:tcPr>
            <w:tcW w:w="939" w:type="dxa"/>
          </w:tcPr>
          <w:p w14:paraId="13C98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CBF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84DD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3408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399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A960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DE4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8934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7B59E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обеспечен.</w:t>
            </w:r>
          </w:p>
        </w:tc>
      </w:tr>
      <w:tr w:rsidR="00DA227A" w:rsidRPr="00E93F40" w14:paraId="0FC01A23" w14:textId="77777777">
        <w:tc>
          <w:tcPr>
            <w:tcW w:w="939" w:type="dxa"/>
          </w:tcPr>
          <w:p w14:paraId="0FCA08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Экспериментальные работы.</w:t>
            </w:r>
          </w:p>
        </w:tc>
        <w:tc>
          <w:tcPr>
            <w:tcW w:w="939" w:type="dxa"/>
          </w:tcPr>
          <w:p w14:paraId="54C53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5B4D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C88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468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239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8F71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099B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7A8B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8DE4FA" w14:textId="77777777">
        <w:tc>
          <w:tcPr>
            <w:tcW w:w="939" w:type="dxa"/>
          </w:tcPr>
          <w:p w14:paraId="57B75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 переменного</w:t>
            </w:r>
          </w:p>
        </w:tc>
        <w:tc>
          <w:tcPr>
            <w:tcW w:w="939" w:type="dxa"/>
          </w:tcPr>
          <w:p w14:paraId="303B2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2AFF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939" w:type="dxa"/>
          </w:tcPr>
          <w:p w14:paraId="318AD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7A6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491E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1CC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473C7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1.09.32/-</w:t>
            </w:r>
          </w:p>
        </w:tc>
        <w:tc>
          <w:tcPr>
            <w:tcW w:w="3086" w:type="dxa"/>
          </w:tcPr>
          <w:p w14:paraId="767E1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Находятся в производстве два варианта винта </w:t>
            </w:r>
          </w:p>
        </w:tc>
      </w:tr>
      <w:tr w:rsidR="00DA227A" w:rsidRPr="00E93F40" w14:paraId="7728D7C0" w14:textId="77777777">
        <w:tc>
          <w:tcPr>
            <w:tcW w:w="939" w:type="dxa"/>
          </w:tcPr>
          <w:p w14:paraId="049638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шага</w:t>
            </w:r>
          </w:p>
        </w:tc>
        <w:tc>
          <w:tcPr>
            <w:tcW w:w="939" w:type="dxa"/>
          </w:tcPr>
          <w:p w14:paraId="11FA57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EF7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2510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E4A6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CE7A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4F9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1C5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43A99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переменного шага. Ориентировочный срок начала </w:t>
            </w:r>
          </w:p>
        </w:tc>
      </w:tr>
      <w:tr w:rsidR="00DA227A" w:rsidRPr="00E93F40" w14:paraId="2E05FDE2" w14:textId="77777777">
        <w:tc>
          <w:tcPr>
            <w:tcW w:w="939" w:type="dxa"/>
          </w:tcPr>
          <w:p w14:paraId="74E9D6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E0D3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30EF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57EE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677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8603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354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B212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08D76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заводских испытаний 1.05.33 г.</w:t>
            </w:r>
          </w:p>
        </w:tc>
      </w:tr>
      <w:tr w:rsidR="00DA227A" w:rsidRPr="00E93F40" w14:paraId="759DD27B" w14:textId="77777777">
        <w:tc>
          <w:tcPr>
            <w:tcW w:w="939" w:type="dxa"/>
          </w:tcPr>
          <w:p w14:paraId="36E994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Газовая турбина</w:t>
            </w:r>
          </w:p>
        </w:tc>
        <w:tc>
          <w:tcPr>
            <w:tcW w:w="939" w:type="dxa"/>
          </w:tcPr>
          <w:p w14:paraId="39ED24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AF5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Теплот.</w:t>
            </w:r>
          </w:p>
        </w:tc>
        <w:tc>
          <w:tcPr>
            <w:tcW w:w="939" w:type="dxa"/>
          </w:tcPr>
          <w:p w14:paraId="37080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E454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400-800</w:t>
            </w:r>
          </w:p>
        </w:tc>
        <w:tc>
          <w:tcPr>
            <w:tcW w:w="939" w:type="dxa"/>
          </w:tcPr>
          <w:p w14:paraId="57890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FE7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5-8000</w:t>
            </w:r>
          </w:p>
        </w:tc>
        <w:tc>
          <w:tcPr>
            <w:tcW w:w="939" w:type="dxa"/>
          </w:tcPr>
          <w:p w14:paraId="42FB45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1.09.32/-</w:t>
            </w:r>
          </w:p>
        </w:tc>
        <w:tc>
          <w:tcPr>
            <w:tcW w:w="3086" w:type="dxa"/>
          </w:tcPr>
          <w:p w14:paraId="3C9685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Производятся экспериментальн. подготовит. работы.</w:t>
            </w:r>
          </w:p>
        </w:tc>
      </w:tr>
      <w:tr w:rsidR="00DA227A" w:rsidRPr="00E93F40" w14:paraId="2C4393F8" w14:textId="77777777">
        <w:tc>
          <w:tcPr>
            <w:tcW w:w="939" w:type="dxa"/>
          </w:tcPr>
          <w:p w14:paraId="42A0A7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4C8B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A20B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918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ин-т</w:t>
            </w:r>
          </w:p>
        </w:tc>
        <w:tc>
          <w:tcPr>
            <w:tcW w:w="939" w:type="dxa"/>
          </w:tcPr>
          <w:p w14:paraId="149966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F88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6E25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ACC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CA2C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D932DE" w14:textId="77777777">
        <w:tc>
          <w:tcPr>
            <w:tcW w:w="939" w:type="dxa"/>
          </w:tcPr>
          <w:p w14:paraId="37906E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Паровая турбина</w:t>
            </w:r>
          </w:p>
        </w:tc>
        <w:tc>
          <w:tcPr>
            <w:tcW w:w="939" w:type="dxa"/>
          </w:tcPr>
          <w:p w14:paraId="3AD8FF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C2EB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ВОГ</w:t>
            </w:r>
          </w:p>
        </w:tc>
        <w:tc>
          <w:tcPr>
            <w:tcW w:w="939" w:type="dxa"/>
          </w:tcPr>
          <w:p w14:paraId="1DBFE2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6442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Pr>
          <w:p w14:paraId="52692F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4D6F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939" w:type="dxa"/>
          </w:tcPr>
          <w:p w14:paraId="3DCB6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1.01-33/-</w:t>
            </w:r>
          </w:p>
        </w:tc>
        <w:tc>
          <w:tcPr>
            <w:tcW w:w="3086" w:type="dxa"/>
          </w:tcPr>
          <w:p w14:paraId="3F0F7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 проект турбины и котла и идет</w:t>
            </w:r>
          </w:p>
        </w:tc>
      </w:tr>
      <w:tr w:rsidR="00DA227A" w:rsidRPr="00E93F40" w14:paraId="6D2B4339" w14:textId="77777777">
        <w:tc>
          <w:tcPr>
            <w:tcW w:w="939" w:type="dxa"/>
          </w:tcPr>
          <w:p w14:paraId="5A8145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455A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BD22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ВФ и ОКБ</w:t>
            </w:r>
          </w:p>
        </w:tc>
        <w:tc>
          <w:tcPr>
            <w:tcW w:w="939" w:type="dxa"/>
          </w:tcPr>
          <w:p w14:paraId="21F23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E4EC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46F9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EA4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F49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34445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размещение деталей в производстве.</w:t>
            </w:r>
          </w:p>
        </w:tc>
      </w:tr>
      <w:tr w:rsidR="00DA227A" w:rsidRPr="00E93F40" w14:paraId="1CDF42D5" w14:textId="77777777">
        <w:tc>
          <w:tcPr>
            <w:tcW w:w="939" w:type="dxa"/>
          </w:tcPr>
          <w:p w14:paraId="2FBEC7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Паровая турбина</w:t>
            </w:r>
          </w:p>
        </w:tc>
        <w:tc>
          <w:tcPr>
            <w:tcW w:w="939" w:type="dxa"/>
          </w:tcPr>
          <w:p w14:paraId="450AF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9B4B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ХАИ</w:t>
            </w:r>
          </w:p>
        </w:tc>
        <w:tc>
          <w:tcPr>
            <w:tcW w:w="939" w:type="dxa"/>
          </w:tcPr>
          <w:p w14:paraId="4DBD4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D095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9600</w:t>
            </w:r>
          </w:p>
        </w:tc>
        <w:tc>
          <w:tcPr>
            <w:tcW w:w="939" w:type="dxa"/>
          </w:tcPr>
          <w:p w14:paraId="0D040E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A7EE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4-5000</w:t>
            </w:r>
          </w:p>
        </w:tc>
        <w:tc>
          <w:tcPr>
            <w:tcW w:w="939" w:type="dxa"/>
          </w:tcPr>
          <w:p w14:paraId="18853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1.01.34/</w:t>
            </w:r>
          </w:p>
        </w:tc>
        <w:tc>
          <w:tcPr>
            <w:tcW w:w="3086" w:type="dxa"/>
          </w:tcPr>
          <w:p w14:paraId="4938A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Идет разработка проекта.</w:t>
            </w:r>
          </w:p>
        </w:tc>
      </w:tr>
      <w:tr w:rsidR="00DA227A" w:rsidRPr="00E93F40" w14:paraId="235229CC" w14:textId="77777777">
        <w:tc>
          <w:tcPr>
            <w:tcW w:w="939" w:type="dxa"/>
          </w:tcPr>
          <w:p w14:paraId="3C13B3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 пост.</w:t>
            </w:r>
          </w:p>
        </w:tc>
        <w:tc>
          <w:tcPr>
            <w:tcW w:w="939" w:type="dxa"/>
          </w:tcPr>
          <w:p w14:paraId="5AD56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D4A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023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1E0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16500</w:t>
            </w:r>
          </w:p>
        </w:tc>
        <w:tc>
          <w:tcPr>
            <w:tcW w:w="939" w:type="dxa"/>
          </w:tcPr>
          <w:p w14:paraId="7D03D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679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E46B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1.06.34</w:t>
            </w:r>
          </w:p>
        </w:tc>
        <w:tc>
          <w:tcPr>
            <w:tcW w:w="3086" w:type="dxa"/>
          </w:tcPr>
          <w:p w14:paraId="18F25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4373A1" w14:textId="77777777">
        <w:tc>
          <w:tcPr>
            <w:tcW w:w="939" w:type="dxa"/>
          </w:tcPr>
          <w:p w14:paraId="221A4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Правит.)</w:t>
            </w:r>
          </w:p>
        </w:tc>
        <w:tc>
          <w:tcPr>
            <w:tcW w:w="939" w:type="dxa"/>
          </w:tcPr>
          <w:p w14:paraId="64644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D232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E55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3ABF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DA37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8E6B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B0B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CC9EA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493C4B" w14:textId="77777777">
        <w:tc>
          <w:tcPr>
            <w:tcW w:w="939" w:type="dxa"/>
          </w:tcPr>
          <w:p w14:paraId="1BB7B7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Бесклапан. дв.</w:t>
            </w:r>
          </w:p>
        </w:tc>
        <w:tc>
          <w:tcPr>
            <w:tcW w:w="939" w:type="dxa"/>
          </w:tcPr>
          <w:p w14:paraId="72051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33C2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w:t>
            </w:r>
          </w:p>
        </w:tc>
        <w:tc>
          <w:tcPr>
            <w:tcW w:w="939" w:type="dxa"/>
          </w:tcPr>
          <w:p w14:paraId="04B04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B5C3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178A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166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3A82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1.07.32/-</w:t>
            </w:r>
          </w:p>
        </w:tc>
        <w:tc>
          <w:tcPr>
            <w:tcW w:w="3086" w:type="dxa"/>
          </w:tcPr>
          <w:p w14:paraId="70B46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Находится в производстве. Из-за загрузки завода</w:t>
            </w:r>
          </w:p>
        </w:tc>
      </w:tr>
      <w:tr w:rsidR="00DA227A" w:rsidRPr="00E93F40" w14:paraId="154ED39A" w14:textId="77777777">
        <w:tc>
          <w:tcPr>
            <w:tcW w:w="939" w:type="dxa"/>
          </w:tcPr>
          <w:p w14:paraId="189AF1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39FB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6B2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2C4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0A7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C392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C633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B8FD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AD41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мотора задерживается.</w:t>
            </w:r>
          </w:p>
        </w:tc>
      </w:tr>
    </w:tbl>
    <w:p w14:paraId="0C187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самолетам (сухопутным).</w:t>
      </w:r>
    </w:p>
    <w:tbl>
      <w:tblPr>
        <w:tblW w:w="0" w:type="auto"/>
        <w:tblLayout w:type="fixed"/>
        <w:tblLook w:val="0000" w:firstRow="0" w:lastRow="0" w:firstColumn="0" w:lastColumn="0" w:noHBand="0" w:noVBand="0"/>
      </w:tblPr>
      <w:tblGrid>
        <w:gridCol w:w="939"/>
        <w:gridCol w:w="939"/>
        <w:gridCol w:w="939"/>
        <w:gridCol w:w="939"/>
        <w:gridCol w:w="939"/>
        <w:gridCol w:w="939"/>
        <w:gridCol w:w="939"/>
        <w:gridCol w:w="4025"/>
      </w:tblGrid>
      <w:tr w:rsidR="00DA227A" w:rsidRPr="00E93F40" w14:paraId="7CD3D7E6" w14:textId="77777777">
        <w:tc>
          <w:tcPr>
            <w:tcW w:w="939" w:type="dxa"/>
            <w:tcBorders>
              <w:top w:val="single" w:sz="6" w:space="0" w:color="auto"/>
              <w:left w:val="single" w:sz="6" w:space="0" w:color="auto"/>
              <w:bottom w:val="single" w:sz="6" w:space="0" w:color="auto"/>
              <w:right w:val="single" w:sz="6" w:space="0" w:color="auto"/>
            </w:tcBorders>
          </w:tcPr>
          <w:p w14:paraId="21762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Опытные.</w:t>
            </w:r>
          </w:p>
        </w:tc>
        <w:tc>
          <w:tcPr>
            <w:tcW w:w="939" w:type="dxa"/>
            <w:tcBorders>
              <w:top w:val="single" w:sz="6" w:space="0" w:color="auto"/>
              <w:left w:val="single" w:sz="6" w:space="0" w:color="auto"/>
              <w:bottom w:val="single" w:sz="6" w:space="0" w:color="auto"/>
              <w:right w:val="single" w:sz="6" w:space="0" w:color="auto"/>
            </w:tcBorders>
          </w:tcPr>
          <w:p w14:paraId="4D2B2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57B8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49B8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3827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4E2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37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322E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068571" w14:textId="77777777">
        <w:tc>
          <w:tcPr>
            <w:tcW w:w="939" w:type="dxa"/>
            <w:tcBorders>
              <w:top w:val="single" w:sz="6" w:space="0" w:color="auto"/>
              <w:left w:val="single" w:sz="6" w:space="0" w:color="auto"/>
              <w:bottom w:val="single" w:sz="6" w:space="0" w:color="auto"/>
              <w:right w:val="single" w:sz="6" w:space="0" w:color="auto"/>
            </w:tcBorders>
          </w:tcPr>
          <w:p w14:paraId="660E8F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939" w:type="dxa"/>
            <w:tcBorders>
              <w:top w:val="single" w:sz="6" w:space="0" w:color="auto"/>
              <w:left w:val="single" w:sz="6" w:space="0" w:color="auto"/>
              <w:bottom w:val="single" w:sz="6" w:space="0" w:color="auto"/>
              <w:right w:val="single" w:sz="6" w:space="0" w:color="auto"/>
            </w:tcBorders>
          </w:tcPr>
          <w:p w14:paraId="57ADF3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летно-технические данные</w:t>
            </w:r>
          </w:p>
        </w:tc>
        <w:tc>
          <w:tcPr>
            <w:tcW w:w="939" w:type="dxa"/>
            <w:tcBorders>
              <w:top w:val="single" w:sz="6" w:space="0" w:color="auto"/>
              <w:left w:val="single" w:sz="6" w:space="0" w:color="auto"/>
              <w:bottom w:val="single" w:sz="6" w:space="0" w:color="auto"/>
              <w:right w:val="single" w:sz="6" w:space="0" w:color="auto"/>
            </w:tcBorders>
          </w:tcPr>
          <w:p w14:paraId="475F5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5D8B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0D6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22A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6F3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C0DD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792409" w14:textId="77777777">
        <w:tc>
          <w:tcPr>
            <w:tcW w:w="939" w:type="dxa"/>
            <w:tcBorders>
              <w:top w:val="single" w:sz="6" w:space="0" w:color="auto"/>
              <w:left w:val="single" w:sz="6" w:space="0" w:color="auto"/>
              <w:bottom w:val="single" w:sz="6" w:space="0" w:color="auto"/>
              <w:right w:val="single" w:sz="6" w:space="0" w:color="auto"/>
            </w:tcBorders>
          </w:tcPr>
          <w:p w14:paraId="3A3A2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w:t>
            </w:r>
          </w:p>
        </w:tc>
        <w:tc>
          <w:tcPr>
            <w:tcW w:w="939" w:type="dxa"/>
            <w:tcBorders>
              <w:top w:val="single" w:sz="6" w:space="0" w:color="auto"/>
              <w:left w:val="single" w:sz="6" w:space="0" w:color="auto"/>
              <w:bottom w:val="single" w:sz="6" w:space="0" w:color="auto"/>
              <w:right w:val="single" w:sz="6" w:space="0" w:color="auto"/>
            </w:tcBorders>
          </w:tcPr>
          <w:p w14:paraId="62F186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w:t>
            </w:r>
          </w:p>
        </w:tc>
        <w:tc>
          <w:tcPr>
            <w:tcW w:w="939" w:type="dxa"/>
            <w:tcBorders>
              <w:top w:val="single" w:sz="6" w:space="0" w:color="auto"/>
              <w:left w:val="single" w:sz="6" w:space="0" w:color="auto"/>
              <w:bottom w:val="single" w:sz="6" w:space="0" w:color="auto"/>
              <w:right w:val="single" w:sz="6" w:space="0" w:color="auto"/>
            </w:tcBorders>
          </w:tcPr>
          <w:p w14:paraId="66C6F3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w:t>
            </w:r>
          </w:p>
        </w:tc>
        <w:tc>
          <w:tcPr>
            <w:tcW w:w="939" w:type="dxa"/>
            <w:tcBorders>
              <w:top w:val="single" w:sz="6" w:space="0" w:color="auto"/>
              <w:left w:val="single" w:sz="6" w:space="0" w:color="auto"/>
              <w:bottom w:val="single" w:sz="6" w:space="0" w:color="auto"/>
              <w:right w:val="single" w:sz="6" w:space="0" w:color="auto"/>
            </w:tcBorders>
          </w:tcPr>
          <w:p w14:paraId="79802E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c>
          <w:tcPr>
            <w:tcW w:w="939" w:type="dxa"/>
            <w:tcBorders>
              <w:top w:val="single" w:sz="6" w:space="0" w:color="auto"/>
              <w:left w:val="single" w:sz="6" w:space="0" w:color="auto"/>
              <w:bottom w:val="single" w:sz="6" w:space="0" w:color="auto"/>
              <w:right w:val="single" w:sz="6" w:space="0" w:color="auto"/>
            </w:tcBorders>
          </w:tcPr>
          <w:p w14:paraId="4574D8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939" w:type="dxa"/>
            <w:tcBorders>
              <w:top w:val="single" w:sz="6" w:space="0" w:color="auto"/>
              <w:left w:val="single" w:sz="6" w:space="0" w:color="auto"/>
              <w:bottom w:val="single" w:sz="6" w:space="0" w:color="auto"/>
              <w:right w:val="single" w:sz="6" w:space="0" w:color="auto"/>
            </w:tcBorders>
          </w:tcPr>
          <w:p w14:paraId="2EAF51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w:t>
            </w:r>
          </w:p>
        </w:tc>
        <w:tc>
          <w:tcPr>
            <w:tcW w:w="939" w:type="dxa"/>
            <w:tcBorders>
              <w:top w:val="single" w:sz="6" w:space="0" w:color="auto"/>
              <w:left w:val="single" w:sz="6" w:space="0" w:color="auto"/>
              <w:bottom w:val="single" w:sz="6" w:space="0" w:color="auto"/>
              <w:right w:val="single" w:sz="6" w:space="0" w:color="auto"/>
            </w:tcBorders>
          </w:tcPr>
          <w:p w14:paraId="16CEB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w:t>
            </w:r>
          </w:p>
        </w:tc>
        <w:tc>
          <w:tcPr>
            <w:tcW w:w="4025" w:type="dxa"/>
            <w:tcBorders>
              <w:top w:val="single" w:sz="6" w:space="0" w:color="auto"/>
              <w:left w:val="single" w:sz="6" w:space="0" w:color="auto"/>
              <w:bottom w:val="single" w:sz="6" w:space="0" w:color="auto"/>
              <w:right w:val="single" w:sz="6" w:space="0" w:color="auto"/>
            </w:tcBorders>
          </w:tcPr>
          <w:p w14:paraId="141CD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1-е января 1933 года</w:t>
            </w:r>
          </w:p>
        </w:tc>
      </w:tr>
      <w:tr w:rsidR="00DA227A" w:rsidRPr="00E93F40" w14:paraId="402979CD" w14:textId="77777777">
        <w:tc>
          <w:tcPr>
            <w:tcW w:w="939" w:type="dxa"/>
            <w:tcBorders>
              <w:top w:val="single" w:sz="6" w:space="0" w:color="auto"/>
              <w:left w:val="single" w:sz="6" w:space="0" w:color="auto"/>
              <w:bottom w:val="single" w:sz="6" w:space="0" w:color="auto"/>
              <w:right w:val="single" w:sz="6" w:space="0" w:color="auto"/>
            </w:tcBorders>
          </w:tcPr>
          <w:p w14:paraId="32684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AACC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w:t>
            </w:r>
          </w:p>
        </w:tc>
        <w:tc>
          <w:tcPr>
            <w:tcW w:w="939" w:type="dxa"/>
            <w:tcBorders>
              <w:top w:val="single" w:sz="6" w:space="0" w:color="auto"/>
              <w:left w:val="single" w:sz="6" w:space="0" w:color="auto"/>
              <w:bottom w:val="single" w:sz="6" w:space="0" w:color="auto"/>
              <w:right w:val="single" w:sz="6" w:space="0" w:color="auto"/>
            </w:tcBorders>
          </w:tcPr>
          <w:p w14:paraId="647EAC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p>
        </w:tc>
        <w:tc>
          <w:tcPr>
            <w:tcW w:w="939" w:type="dxa"/>
            <w:tcBorders>
              <w:top w:val="single" w:sz="6" w:space="0" w:color="auto"/>
              <w:left w:val="single" w:sz="6" w:space="0" w:color="auto"/>
              <w:bottom w:val="single" w:sz="6" w:space="0" w:color="auto"/>
              <w:right w:val="single" w:sz="6" w:space="0" w:color="auto"/>
            </w:tcBorders>
          </w:tcPr>
          <w:p w14:paraId="6A9D82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A01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8A88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w:t>
            </w:r>
          </w:p>
        </w:tc>
        <w:tc>
          <w:tcPr>
            <w:tcW w:w="939" w:type="dxa"/>
            <w:tcBorders>
              <w:top w:val="single" w:sz="6" w:space="0" w:color="auto"/>
              <w:left w:val="single" w:sz="6" w:space="0" w:color="auto"/>
              <w:bottom w:val="single" w:sz="6" w:space="0" w:color="auto"/>
              <w:right w:val="single" w:sz="6" w:space="0" w:color="auto"/>
            </w:tcBorders>
          </w:tcPr>
          <w:p w14:paraId="44A0B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w:t>
            </w:r>
          </w:p>
        </w:tc>
        <w:tc>
          <w:tcPr>
            <w:tcW w:w="4025" w:type="dxa"/>
            <w:tcBorders>
              <w:top w:val="single" w:sz="6" w:space="0" w:color="auto"/>
              <w:left w:val="single" w:sz="6" w:space="0" w:color="auto"/>
              <w:bottom w:val="single" w:sz="6" w:space="0" w:color="auto"/>
              <w:right w:val="single" w:sz="6" w:space="0" w:color="auto"/>
            </w:tcBorders>
          </w:tcPr>
          <w:p w14:paraId="656A75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E57144" w14:textId="77777777">
        <w:tc>
          <w:tcPr>
            <w:tcW w:w="939" w:type="dxa"/>
            <w:tcBorders>
              <w:top w:val="single" w:sz="6" w:space="0" w:color="auto"/>
              <w:left w:val="single" w:sz="6" w:space="0" w:color="auto"/>
              <w:bottom w:val="single" w:sz="6" w:space="0" w:color="auto"/>
              <w:right w:val="single" w:sz="6" w:space="0" w:color="auto"/>
            </w:tcBorders>
          </w:tcPr>
          <w:p w14:paraId="123274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BD99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 на</w:t>
            </w:r>
          </w:p>
        </w:tc>
        <w:tc>
          <w:tcPr>
            <w:tcW w:w="939" w:type="dxa"/>
            <w:tcBorders>
              <w:top w:val="single" w:sz="6" w:space="0" w:color="auto"/>
              <w:left w:val="single" w:sz="6" w:space="0" w:color="auto"/>
              <w:bottom w:val="single" w:sz="6" w:space="0" w:color="auto"/>
              <w:right w:val="single" w:sz="6" w:space="0" w:color="auto"/>
            </w:tcBorders>
          </w:tcPr>
          <w:p w14:paraId="68B38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высоту</w:t>
            </w:r>
          </w:p>
        </w:tc>
        <w:tc>
          <w:tcPr>
            <w:tcW w:w="939" w:type="dxa"/>
            <w:tcBorders>
              <w:top w:val="single" w:sz="6" w:space="0" w:color="auto"/>
              <w:left w:val="single" w:sz="6" w:space="0" w:color="auto"/>
              <w:bottom w:val="single" w:sz="6" w:space="0" w:color="auto"/>
              <w:right w:val="single" w:sz="6" w:space="0" w:color="auto"/>
            </w:tcBorders>
          </w:tcPr>
          <w:p w14:paraId="49C79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17D9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03F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6759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госисп.</w:t>
            </w:r>
          </w:p>
        </w:tc>
        <w:tc>
          <w:tcPr>
            <w:tcW w:w="4025" w:type="dxa"/>
            <w:tcBorders>
              <w:top w:val="single" w:sz="6" w:space="0" w:color="auto"/>
              <w:left w:val="single" w:sz="6" w:space="0" w:color="auto"/>
              <w:bottom w:val="single" w:sz="6" w:space="0" w:color="auto"/>
              <w:right w:val="single" w:sz="6" w:space="0" w:color="auto"/>
            </w:tcBorders>
          </w:tcPr>
          <w:p w14:paraId="11D67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01DAA3" w14:textId="77777777">
        <w:tc>
          <w:tcPr>
            <w:tcW w:w="939" w:type="dxa"/>
            <w:tcBorders>
              <w:top w:val="single" w:sz="6" w:space="0" w:color="auto"/>
              <w:left w:val="single" w:sz="6" w:space="0" w:color="auto"/>
              <w:bottom w:val="single" w:sz="6" w:space="0" w:color="auto"/>
              <w:right w:val="single" w:sz="6" w:space="0" w:color="auto"/>
            </w:tcBorders>
          </w:tcPr>
          <w:p w14:paraId="5C373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298C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высоте</w:t>
            </w:r>
          </w:p>
        </w:tc>
        <w:tc>
          <w:tcPr>
            <w:tcW w:w="939" w:type="dxa"/>
            <w:tcBorders>
              <w:top w:val="single" w:sz="6" w:space="0" w:color="auto"/>
              <w:left w:val="single" w:sz="6" w:space="0" w:color="auto"/>
              <w:bottom w:val="single" w:sz="6" w:space="0" w:color="auto"/>
              <w:right w:val="single" w:sz="6" w:space="0" w:color="auto"/>
            </w:tcBorders>
          </w:tcPr>
          <w:p w14:paraId="4DF51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w:t>
            </w:r>
          </w:p>
        </w:tc>
        <w:tc>
          <w:tcPr>
            <w:tcW w:w="939" w:type="dxa"/>
            <w:tcBorders>
              <w:top w:val="single" w:sz="6" w:space="0" w:color="auto"/>
              <w:left w:val="single" w:sz="6" w:space="0" w:color="auto"/>
              <w:bottom w:val="single" w:sz="6" w:space="0" w:color="auto"/>
              <w:right w:val="single" w:sz="6" w:space="0" w:color="auto"/>
            </w:tcBorders>
          </w:tcPr>
          <w:p w14:paraId="4FB52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8CB1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88D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2E4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w:t>
            </w:r>
          </w:p>
        </w:tc>
        <w:tc>
          <w:tcPr>
            <w:tcW w:w="4025" w:type="dxa"/>
            <w:tcBorders>
              <w:top w:val="single" w:sz="6" w:space="0" w:color="auto"/>
              <w:left w:val="single" w:sz="6" w:space="0" w:color="auto"/>
              <w:bottom w:val="single" w:sz="6" w:space="0" w:color="auto"/>
              <w:right w:val="single" w:sz="6" w:space="0" w:color="auto"/>
            </w:tcBorders>
          </w:tcPr>
          <w:p w14:paraId="256B9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F9CC3C" w14:textId="77777777">
        <w:tc>
          <w:tcPr>
            <w:tcW w:w="939" w:type="dxa"/>
            <w:tcBorders>
              <w:top w:val="single" w:sz="6" w:space="0" w:color="auto"/>
              <w:left w:val="single" w:sz="6" w:space="0" w:color="auto"/>
              <w:bottom w:val="single" w:sz="6" w:space="0" w:color="auto"/>
              <w:right w:val="single" w:sz="6" w:space="0" w:color="auto"/>
            </w:tcBorders>
          </w:tcPr>
          <w:p w14:paraId="012D76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2264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км/час</w:t>
            </w:r>
          </w:p>
        </w:tc>
        <w:tc>
          <w:tcPr>
            <w:tcW w:w="939" w:type="dxa"/>
            <w:tcBorders>
              <w:top w:val="single" w:sz="6" w:space="0" w:color="auto"/>
              <w:left w:val="single" w:sz="6" w:space="0" w:color="auto"/>
              <w:bottom w:val="single" w:sz="6" w:space="0" w:color="auto"/>
              <w:right w:val="single" w:sz="6" w:space="0" w:color="auto"/>
            </w:tcBorders>
          </w:tcPr>
          <w:p w14:paraId="6A730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724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248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32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962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КО</w:t>
            </w:r>
          </w:p>
        </w:tc>
        <w:tc>
          <w:tcPr>
            <w:tcW w:w="4025" w:type="dxa"/>
            <w:tcBorders>
              <w:top w:val="single" w:sz="6" w:space="0" w:color="auto"/>
              <w:left w:val="single" w:sz="6" w:space="0" w:color="auto"/>
              <w:bottom w:val="single" w:sz="6" w:space="0" w:color="auto"/>
              <w:right w:val="single" w:sz="6" w:space="0" w:color="auto"/>
            </w:tcBorders>
          </w:tcPr>
          <w:p w14:paraId="27F5B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E37E30" w14:textId="77777777">
        <w:tc>
          <w:tcPr>
            <w:tcW w:w="939" w:type="dxa"/>
            <w:tcBorders>
              <w:top w:val="single" w:sz="6" w:space="0" w:color="auto"/>
              <w:left w:val="single" w:sz="6" w:space="0" w:color="auto"/>
              <w:bottom w:val="single" w:sz="6" w:space="0" w:color="auto"/>
              <w:right w:val="single" w:sz="6" w:space="0" w:color="auto"/>
            </w:tcBorders>
          </w:tcPr>
          <w:p w14:paraId="651CE6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D5BB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9047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0D6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AF9E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5D0B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9769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4.07.32/</w:t>
            </w:r>
          </w:p>
        </w:tc>
        <w:tc>
          <w:tcPr>
            <w:tcW w:w="4025" w:type="dxa"/>
            <w:tcBorders>
              <w:top w:val="single" w:sz="6" w:space="0" w:color="auto"/>
              <w:left w:val="single" w:sz="6" w:space="0" w:color="auto"/>
              <w:bottom w:val="single" w:sz="6" w:space="0" w:color="auto"/>
              <w:right w:val="single" w:sz="6" w:space="0" w:color="auto"/>
            </w:tcBorders>
          </w:tcPr>
          <w:p w14:paraId="73A65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E71D7C" w14:textId="77777777">
        <w:tc>
          <w:tcPr>
            <w:tcW w:w="939" w:type="dxa"/>
            <w:tcBorders>
              <w:top w:val="single" w:sz="6" w:space="0" w:color="auto"/>
              <w:left w:val="single" w:sz="6" w:space="0" w:color="auto"/>
              <w:bottom w:val="single" w:sz="6" w:space="0" w:color="auto"/>
              <w:right w:val="single" w:sz="6" w:space="0" w:color="auto"/>
            </w:tcBorders>
          </w:tcPr>
          <w:p w14:paraId="656CC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916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5793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3B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6DF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B2C0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981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ориентир.</w:t>
            </w:r>
          </w:p>
        </w:tc>
        <w:tc>
          <w:tcPr>
            <w:tcW w:w="4025" w:type="dxa"/>
            <w:tcBorders>
              <w:top w:val="single" w:sz="6" w:space="0" w:color="auto"/>
              <w:left w:val="single" w:sz="6" w:space="0" w:color="auto"/>
              <w:bottom w:val="single" w:sz="6" w:space="0" w:color="auto"/>
              <w:right w:val="single" w:sz="6" w:space="0" w:color="auto"/>
            </w:tcBorders>
          </w:tcPr>
          <w:p w14:paraId="1D116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A74BAF" w14:textId="77777777">
        <w:tc>
          <w:tcPr>
            <w:tcW w:w="939" w:type="dxa"/>
            <w:tcBorders>
              <w:top w:val="single" w:sz="6" w:space="0" w:color="auto"/>
              <w:left w:val="single" w:sz="6" w:space="0" w:color="auto"/>
              <w:bottom w:val="single" w:sz="6" w:space="0" w:color="auto"/>
              <w:right w:val="single" w:sz="6" w:space="0" w:color="auto"/>
            </w:tcBorders>
          </w:tcPr>
          <w:p w14:paraId="2062FE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D225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F069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FEE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992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A9EE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34FB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4025" w:type="dxa"/>
            <w:tcBorders>
              <w:top w:val="single" w:sz="6" w:space="0" w:color="auto"/>
              <w:left w:val="single" w:sz="6" w:space="0" w:color="auto"/>
              <w:bottom w:val="single" w:sz="6" w:space="0" w:color="auto"/>
              <w:right w:val="single" w:sz="6" w:space="0" w:color="auto"/>
            </w:tcBorders>
          </w:tcPr>
          <w:p w14:paraId="07A2E7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231932" w14:textId="77777777">
        <w:tc>
          <w:tcPr>
            <w:tcW w:w="939" w:type="dxa"/>
            <w:tcBorders>
              <w:top w:val="single" w:sz="6" w:space="0" w:color="auto"/>
              <w:left w:val="single" w:sz="6" w:space="0" w:color="auto"/>
              <w:bottom w:val="single" w:sz="6" w:space="0" w:color="auto"/>
              <w:right w:val="single" w:sz="6" w:space="0" w:color="auto"/>
            </w:tcBorders>
          </w:tcPr>
          <w:p w14:paraId="200F25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30EA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AF3A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74D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AC6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66E4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5EED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w:t>
            </w:r>
          </w:p>
        </w:tc>
        <w:tc>
          <w:tcPr>
            <w:tcW w:w="4025" w:type="dxa"/>
            <w:tcBorders>
              <w:top w:val="single" w:sz="6" w:space="0" w:color="auto"/>
              <w:left w:val="single" w:sz="6" w:space="0" w:color="auto"/>
              <w:bottom w:val="single" w:sz="6" w:space="0" w:color="auto"/>
              <w:right w:val="single" w:sz="6" w:space="0" w:color="auto"/>
            </w:tcBorders>
          </w:tcPr>
          <w:p w14:paraId="01D98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71A08F" w14:textId="77777777">
        <w:tc>
          <w:tcPr>
            <w:tcW w:w="939" w:type="dxa"/>
            <w:tcBorders>
              <w:top w:val="single" w:sz="6" w:space="0" w:color="auto"/>
              <w:left w:val="single" w:sz="6" w:space="0" w:color="auto"/>
              <w:bottom w:val="single" w:sz="6" w:space="0" w:color="auto"/>
              <w:right w:val="single" w:sz="6" w:space="0" w:color="auto"/>
            </w:tcBorders>
          </w:tcPr>
          <w:p w14:paraId="678A4D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CA7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6333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CE3B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D4B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F3D9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EFB8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пром-тью</w:t>
            </w:r>
          </w:p>
        </w:tc>
        <w:tc>
          <w:tcPr>
            <w:tcW w:w="4025" w:type="dxa"/>
            <w:tcBorders>
              <w:top w:val="single" w:sz="6" w:space="0" w:color="auto"/>
              <w:left w:val="single" w:sz="6" w:space="0" w:color="auto"/>
              <w:bottom w:val="single" w:sz="6" w:space="0" w:color="auto"/>
              <w:right w:val="single" w:sz="6" w:space="0" w:color="auto"/>
            </w:tcBorders>
          </w:tcPr>
          <w:p w14:paraId="62897C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7E99A8C" w14:textId="77777777">
        <w:tc>
          <w:tcPr>
            <w:tcW w:w="939" w:type="dxa"/>
            <w:tcBorders>
              <w:top w:val="single" w:sz="6" w:space="0" w:color="auto"/>
              <w:left w:val="single" w:sz="6" w:space="0" w:color="auto"/>
              <w:bottom w:val="single" w:sz="6" w:space="0" w:color="auto"/>
              <w:right w:val="single" w:sz="6" w:space="0" w:color="auto"/>
            </w:tcBorders>
          </w:tcPr>
          <w:p w14:paraId="55297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9EC9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A959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E74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E35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4C8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7628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w:t>
            </w:r>
          </w:p>
        </w:tc>
        <w:tc>
          <w:tcPr>
            <w:tcW w:w="4025" w:type="dxa"/>
            <w:tcBorders>
              <w:top w:val="single" w:sz="6" w:space="0" w:color="auto"/>
              <w:left w:val="single" w:sz="6" w:space="0" w:color="auto"/>
              <w:bottom w:val="single" w:sz="6" w:space="0" w:color="auto"/>
              <w:right w:val="single" w:sz="6" w:space="0" w:color="auto"/>
            </w:tcBorders>
          </w:tcPr>
          <w:p w14:paraId="46EFC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0E1D8D" w14:textId="77777777">
        <w:tc>
          <w:tcPr>
            <w:tcW w:w="939" w:type="dxa"/>
            <w:tcBorders>
              <w:top w:val="single" w:sz="6" w:space="0" w:color="auto"/>
              <w:left w:val="single" w:sz="6" w:space="0" w:color="auto"/>
              <w:bottom w:val="single" w:sz="6" w:space="0" w:color="auto"/>
              <w:right w:val="single" w:sz="6" w:space="0" w:color="auto"/>
            </w:tcBorders>
          </w:tcPr>
          <w:p w14:paraId="57DAE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ТБ-6 М-44 или</w:t>
            </w:r>
          </w:p>
        </w:tc>
        <w:tc>
          <w:tcPr>
            <w:tcW w:w="939" w:type="dxa"/>
            <w:tcBorders>
              <w:top w:val="single" w:sz="6" w:space="0" w:color="auto"/>
              <w:left w:val="single" w:sz="6" w:space="0" w:color="auto"/>
              <w:bottom w:val="single" w:sz="6" w:space="0" w:color="auto"/>
              <w:right w:val="single" w:sz="6" w:space="0" w:color="auto"/>
            </w:tcBorders>
          </w:tcPr>
          <w:p w14:paraId="03807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250/5000</w:t>
            </w:r>
          </w:p>
        </w:tc>
        <w:tc>
          <w:tcPr>
            <w:tcW w:w="939" w:type="dxa"/>
            <w:tcBorders>
              <w:top w:val="single" w:sz="6" w:space="0" w:color="auto"/>
              <w:left w:val="single" w:sz="6" w:space="0" w:color="auto"/>
              <w:bottom w:val="single" w:sz="6" w:space="0" w:color="auto"/>
              <w:right w:val="single" w:sz="6" w:space="0" w:color="auto"/>
            </w:tcBorders>
          </w:tcPr>
          <w:p w14:paraId="739E80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2B5C9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939" w:type="dxa"/>
            <w:tcBorders>
              <w:top w:val="single" w:sz="6" w:space="0" w:color="auto"/>
              <w:left w:val="single" w:sz="6" w:space="0" w:color="auto"/>
              <w:bottom w:val="single" w:sz="6" w:space="0" w:color="auto"/>
              <w:right w:val="single" w:sz="6" w:space="0" w:color="auto"/>
            </w:tcBorders>
          </w:tcPr>
          <w:p w14:paraId="330AD8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15000 кг</w:t>
            </w:r>
          </w:p>
        </w:tc>
        <w:tc>
          <w:tcPr>
            <w:tcW w:w="939" w:type="dxa"/>
            <w:tcBorders>
              <w:top w:val="single" w:sz="6" w:space="0" w:color="auto"/>
              <w:left w:val="single" w:sz="6" w:space="0" w:color="auto"/>
              <w:bottom w:val="single" w:sz="6" w:space="0" w:color="auto"/>
              <w:right w:val="single" w:sz="6" w:space="0" w:color="auto"/>
            </w:tcBorders>
          </w:tcPr>
          <w:p w14:paraId="42223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939" w:type="dxa"/>
            <w:tcBorders>
              <w:top w:val="single" w:sz="6" w:space="0" w:color="auto"/>
              <w:left w:val="single" w:sz="6" w:space="0" w:color="auto"/>
              <w:bottom w:val="single" w:sz="6" w:space="0" w:color="auto"/>
              <w:right w:val="single" w:sz="6" w:space="0" w:color="auto"/>
            </w:tcBorders>
          </w:tcPr>
          <w:p w14:paraId="350B4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1.12.34/-</w:t>
            </w:r>
          </w:p>
        </w:tc>
        <w:tc>
          <w:tcPr>
            <w:tcW w:w="4025" w:type="dxa"/>
            <w:tcBorders>
              <w:top w:val="single" w:sz="6" w:space="0" w:color="auto"/>
              <w:left w:val="single" w:sz="6" w:space="0" w:color="auto"/>
              <w:bottom w:val="single" w:sz="6" w:space="0" w:color="auto"/>
              <w:right w:val="single" w:sz="6" w:space="0" w:color="auto"/>
            </w:tcBorders>
          </w:tcPr>
          <w:p w14:paraId="0D980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находится в стадии уточнения осн.</w:t>
            </w:r>
          </w:p>
        </w:tc>
      </w:tr>
      <w:tr w:rsidR="00DA227A" w:rsidRPr="00E93F40" w14:paraId="07483B69" w14:textId="77777777">
        <w:tc>
          <w:tcPr>
            <w:tcW w:w="939" w:type="dxa"/>
            <w:tcBorders>
              <w:top w:val="single" w:sz="6" w:space="0" w:color="auto"/>
              <w:left w:val="single" w:sz="6" w:space="0" w:color="auto"/>
              <w:bottom w:val="single" w:sz="6" w:space="0" w:color="auto"/>
              <w:right w:val="single" w:sz="6" w:space="0" w:color="auto"/>
            </w:tcBorders>
          </w:tcPr>
          <w:p w14:paraId="419062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нефтян. (Тяж.</w:t>
            </w:r>
          </w:p>
        </w:tc>
        <w:tc>
          <w:tcPr>
            <w:tcW w:w="939" w:type="dxa"/>
            <w:tcBorders>
              <w:top w:val="single" w:sz="6" w:space="0" w:color="auto"/>
              <w:left w:val="single" w:sz="6" w:space="0" w:color="auto"/>
              <w:bottom w:val="single" w:sz="6" w:space="0" w:color="auto"/>
              <w:right w:val="single" w:sz="6" w:space="0" w:color="auto"/>
            </w:tcBorders>
          </w:tcPr>
          <w:p w14:paraId="5B16C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AF8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EB0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1724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пулем.</w:t>
            </w:r>
          </w:p>
        </w:tc>
        <w:tc>
          <w:tcPr>
            <w:tcW w:w="939" w:type="dxa"/>
            <w:tcBorders>
              <w:top w:val="single" w:sz="6" w:space="0" w:color="auto"/>
              <w:left w:val="single" w:sz="6" w:space="0" w:color="auto"/>
              <w:bottom w:val="single" w:sz="6" w:space="0" w:color="auto"/>
              <w:right w:val="single" w:sz="6" w:space="0" w:color="auto"/>
            </w:tcBorders>
          </w:tcPr>
          <w:p w14:paraId="77DA19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FE6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EEE4E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Размеров самолета, при чем ЦАГИ исходит из</w:t>
            </w:r>
          </w:p>
        </w:tc>
      </w:tr>
      <w:tr w:rsidR="00DA227A" w:rsidRPr="00E93F40" w14:paraId="091D9419" w14:textId="77777777">
        <w:tc>
          <w:tcPr>
            <w:tcW w:w="939" w:type="dxa"/>
            <w:tcBorders>
              <w:top w:val="single" w:sz="6" w:space="0" w:color="auto"/>
              <w:left w:val="single" w:sz="6" w:space="0" w:color="auto"/>
              <w:bottom w:val="single" w:sz="6" w:space="0" w:color="auto"/>
              <w:right w:val="single" w:sz="6" w:space="0" w:color="auto"/>
            </w:tcBorders>
          </w:tcPr>
          <w:p w14:paraId="791BE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бомбардировщик,</w:t>
            </w:r>
          </w:p>
        </w:tc>
        <w:tc>
          <w:tcPr>
            <w:tcW w:w="939" w:type="dxa"/>
            <w:tcBorders>
              <w:top w:val="single" w:sz="6" w:space="0" w:color="auto"/>
              <w:left w:val="single" w:sz="6" w:space="0" w:color="auto"/>
              <w:bottom w:val="single" w:sz="6" w:space="0" w:color="auto"/>
              <w:right w:val="single" w:sz="6" w:space="0" w:color="auto"/>
            </w:tcBorders>
          </w:tcPr>
          <w:p w14:paraId="3EE778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F4C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68C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4538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пушки</w:t>
            </w:r>
          </w:p>
        </w:tc>
        <w:tc>
          <w:tcPr>
            <w:tcW w:w="939" w:type="dxa"/>
            <w:tcBorders>
              <w:top w:val="single" w:sz="6" w:space="0" w:color="auto"/>
              <w:left w:val="single" w:sz="6" w:space="0" w:color="auto"/>
              <w:bottom w:val="single" w:sz="6" w:space="0" w:color="auto"/>
              <w:right w:val="single" w:sz="6" w:space="0" w:color="auto"/>
            </w:tcBorders>
          </w:tcPr>
          <w:p w14:paraId="0EA306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308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49BD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бомбовой нагрузки 10 тонн. Ведется проектир.</w:t>
            </w:r>
          </w:p>
        </w:tc>
      </w:tr>
      <w:tr w:rsidR="00DA227A" w:rsidRPr="00E93F40" w14:paraId="5BFC59E5" w14:textId="77777777">
        <w:tc>
          <w:tcPr>
            <w:tcW w:w="939" w:type="dxa"/>
            <w:tcBorders>
              <w:top w:val="single" w:sz="6" w:space="0" w:color="auto"/>
              <w:left w:val="single" w:sz="6" w:space="0" w:color="auto"/>
              <w:bottom w:val="single" w:sz="6" w:space="0" w:color="auto"/>
              <w:right w:val="single" w:sz="6" w:space="0" w:color="auto"/>
            </w:tcBorders>
          </w:tcPr>
          <w:p w14:paraId="4EC73F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пассажир.)</w:t>
            </w:r>
          </w:p>
        </w:tc>
        <w:tc>
          <w:tcPr>
            <w:tcW w:w="939" w:type="dxa"/>
            <w:tcBorders>
              <w:top w:val="single" w:sz="6" w:space="0" w:color="auto"/>
              <w:left w:val="single" w:sz="6" w:space="0" w:color="auto"/>
              <w:bottom w:val="single" w:sz="6" w:space="0" w:color="auto"/>
              <w:right w:val="single" w:sz="6" w:space="0" w:color="auto"/>
            </w:tcBorders>
          </w:tcPr>
          <w:p w14:paraId="4CE0A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7F0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9FE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12E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21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55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3068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основных узлов и элементов с-та с специальной</w:t>
            </w:r>
          </w:p>
        </w:tc>
      </w:tr>
      <w:tr w:rsidR="00DA227A" w:rsidRPr="00E93F40" w14:paraId="260C5998" w14:textId="77777777">
        <w:tc>
          <w:tcPr>
            <w:tcW w:w="939" w:type="dxa"/>
            <w:tcBorders>
              <w:top w:val="single" w:sz="6" w:space="0" w:color="auto"/>
              <w:left w:val="single" w:sz="6" w:space="0" w:color="auto"/>
              <w:bottom w:val="single" w:sz="6" w:space="0" w:color="auto"/>
              <w:right w:val="single" w:sz="6" w:space="0" w:color="auto"/>
            </w:tcBorders>
          </w:tcPr>
          <w:p w14:paraId="7B1186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4F7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111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01C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F12E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92E5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74C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A94B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целью выработки типовой конструкции отдельн.</w:t>
            </w:r>
          </w:p>
        </w:tc>
      </w:tr>
      <w:tr w:rsidR="00DA227A" w:rsidRPr="00E93F40" w14:paraId="1B589EB2" w14:textId="77777777">
        <w:tc>
          <w:tcPr>
            <w:tcW w:w="939" w:type="dxa"/>
            <w:tcBorders>
              <w:top w:val="single" w:sz="6" w:space="0" w:color="auto"/>
              <w:left w:val="single" w:sz="6" w:space="0" w:color="auto"/>
              <w:bottom w:val="single" w:sz="6" w:space="0" w:color="auto"/>
              <w:right w:val="single" w:sz="6" w:space="0" w:color="auto"/>
            </w:tcBorders>
          </w:tcPr>
          <w:p w14:paraId="42D5D8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DE02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076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3401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5EB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8C96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75E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FCB75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Элементов из хромо-молибденовой стали, которая</w:t>
            </w:r>
          </w:p>
        </w:tc>
      </w:tr>
      <w:tr w:rsidR="00DA227A" w:rsidRPr="00E93F40" w14:paraId="2DB74EB5" w14:textId="77777777">
        <w:tc>
          <w:tcPr>
            <w:tcW w:w="939" w:type="dxa"/>
            <w:tcBorders>
              <w:top w:val="single" w:sz="6" w:space="0" w:color="auto"/>
              <w:left w:val="single" w:sz="6" w:space="0" w:color="auto"/>
              <w:bottom w:val="single" w:sz="6" w:space="0" w:color="auto"/>
              <w:right w:val="single" w:sz="6" w:space="0" w:color="auto"/>
            </w:tcBorders>
          </w:tcPr>
          <w:p w14:paraId="31CCD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D1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E544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822E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346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BE4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17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3B12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явится основным материалом.</w:t>
            </w:r>
          </w:p>
        </w:tc>
      </w:tr>
      <w:tr w:rsidR="00DA227A" w:rsidRPr="00E93F40" w14:paraId="577AE31F" w14:textId="77777777">
        <w:tc>
          <w:tcPr>
            <w:tcW w:w="939" w:type="dxa"/>
            <w:tcBorders>
              <w:top w:val="single" w:sz="6" w:space="0" w:color="auto"/>
              <w:left w:val="single" w:sz="6" w:space="0" w:color="auto"/>
              <w:bottom w:val="single" w:sz="6" w:space="0" w:color="auto"/>
              <w:right w:val="single" w:sz="6" w:space="0" w:color="auto"/>
            </w:tcBorders>
          </w:tcPr>
          <w:p w14:paraId="6C534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AF4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6EB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B5CB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4ACF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FC8C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A25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38244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запроектирован в виде моноплана с</w:t>
            </w:r>
          </w:p>
        </w:tc>
      </w:tr>
      <w:tr w:rsidR="00DA227A" w:rsidRPr="00E93F40" w14:paraId="5DCF34A1" w14:textId="77777777">
        <w:tc>
          <w:tcPr>
            <w:tcW w:w="939" w:type="dxa"/>
            <w:tcBorders>
              <w:top w:val="single" w:sz="6" w:space="0" w:color="auto"/>
              <w:left w:val="single" w:sz="6" w:space="0" w:color="auto"/>
              <w:bottom w:val="single" w:sz="6" w:space="0" w:color="auto"/>
              <w:right w:val="single" w:sz="6" w:space="0" w:color="auto"/>
            </w:tcBorders>
          </w:tcPr>
          <w:p w14:paraId="20680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2220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47BD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D2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5E73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857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5489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D25C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очень большим размахом крыльев (около 100 м)</w:t>
            </w:r>
          </w:p>
        </w:tc>
      </w:tr>
      <w:tr w:rsidR="00DA227A" w:rsidRPr="00E93F40" w14:paraId="42A8268F" w14:textId="77777777">
        <w:tc>
          <w:tcPr>
            <w:tcW w:w="939" w:type="dxa"/>
            <w:tcBorders>
              <w:top w:val="single" w:sz="6" w:space="0" w:color="auto"/>
              <w:left w:val="single" w:sz="6" w:space="0" w:color="auto"/>
              <w:bottom w:val="single" w:sz="6" w:space="0" w:color="auto"/>
              <w:right w:val="single" w:sz="6" w:space="0" w:color="auto"/>
            </w:tcBorders>
          </w:tcPr>
          <w:p w14:paraId="7122EF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3BF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A1C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9520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08E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14A4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ECCF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0EC41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фюзеляжем близким по размерам к фюзеляжу ТБ-4.</w:t>
            </w:r>
          </w:p>
        </w:tc>
      </w:tr>
      <w:tr w:rsidR="00DA227A" w:rsidRPr="00E93F40" w14:paraId="7FAECC46" w14:textId="77777777">
        <w:tc>
          <w:tcPr>
            <w:tcW w:w="939" w:type="dxa"/>
            <w:tcBorders>
              <w:top w:val="single" w:sz="6" w:space="0" w:color="auto"/>
              <w:left w:val="single" w:sz="6" w:space="0" w:color="auto"/>
              <w:bottom w:val="single" w:sz="6" w:space="0" w:color="auto"/>
              <w:right w:val="single" w:sz="6" w:space="0" w:color="auto"/>
            </w:tcBorders>
          </w:tcPr>
          <w:p w14:paraId="47DC23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Д1-10М34 (Тяж.</w:t>
            </w:r>
          </w:p>
        </w:tc>
        <w:tc>
          <w:tcPr>
            <w:tcW w:w="939" w:type="dxa"/>
            <w:tcBorders>
              <w:top w:val="single" w:sz="6" w:space="0" w:color="auto"/>
              <w:left w:val="single" w:sz="6" w:space="0" w:color="auto"/>
              <w:bottom w:val="single" w:sz="6" w:space="0" w:color="auto"/>
              <w:right w:val="single" w:sz="6" w:space="0" w:color="auto"/>
            </w:tcBorders>
          </w:tcPr>
          <w:p w14:paraId="63422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215/3000</w:t>
            </w:r>
          </w:p>
        </w:tc>
        <w:tc>
          <w:tcPr>
            <w:tcW w:w="939" w:type="dxa"/>
            <w:tcBorders>
              <w:top w:val="single" w:sz="6" w:space="0" w:color="auto"/>
              <w:left w:val="single" w:sz="6" w:space="0" w:color="auto"/>
              <w:bottom w:val="single" w:sz="6" w:space="0" w:color="auto"/>
              <w:right w:val="single" w:sz="6" w:space="0" w:color="auto"/>
            </w:tcBorders>
          </w:tcPr>
          <w:p w14:paraId="7AF03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DA5D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F1DC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054F84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939" w:type="dxa"/>
            <w:tcBorders>
              <w:top w:val="single" w:sz="6" w:space="0" w:color="auto"/>
              <w:left w:val="single" w:sz="6" w:space="0" w:color="auto"/>
              <w:bottom w:val="single" w:sz="6" w:space="0" w:color="auto"/>
              <w:right w:val="single" w:sz="6" w:space="0" w:color="auto"/>
            </w:tcBorders>
          </w:tcPr>
          <w:p w14:paraId="56914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1.06.33/</w:t>
            </w:r>
          </w:p>
        </w:tc>
        <w:tc>
          <w:tcPr>
            <w:tcW w:w="4025" w:type="dxa"/>
            <w:tcBorders>
              <w:top w:val="single" w:sz="6" w:space="0" w:color="auto"/>
              <w:left w:val="single" w:sz="6" w:space="0" w:color="auto"/>
              <w:bottom w:val="single" w:sz="6" w:space="0" w:color="auto"/>
              <w:right w:val="single" w:sz="6" w:space="0" w:color="auto"/>
            </w:tcBorders>
          </w:tcPr>
          <w:p w14:paraId="1E034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Конструктивные чертежи самолета в основном</w:t>
            </w:r>
          </w:p>
        </w:tc>
      </w:tr>
      <w:tr w:rsidR="00DA227A" w:rsidRPr="00E93F40" w14:paraId="26739A49" w14:textId="77777777">
        <w:tc>
          <w:tcPr>
            <w:tcW w:w="939" w:type="dxa"/>
            <w:tcBorders>
              <w:top w:val="single" w:sz="6" w:space="0" w:color="auto"/>
              <w:left w:val="single" w:sz="6" w:space="0" w:color="auto"/>
              <w:bottom w:val="single" w:sz="6" w:space="0" w:color="auto"/>
              <w:right w:val="single" w:sz="6" w:space="0" w:color="auto"/>
            </w:tcBorders>
          </w:tcPr>
          <w:p w14:paraId="6FDF85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десантный)</w:t>
            </w:r>
          </w:p>
        </w:tc>
        <w:tc>
          <w:tcPr>
            <w:tcW w:w="939" w:type="dxa"/>
            <w:tcBorders>
              <w:top w:val="single" w:sz="6" w:space="0" w:color="auto"/>
              <w:left w:val="single" w:sz="6" w:space="0" w:color="auto"/>
              <w:bottom w:val="single" w:sz="6" w:space="0" w:color="auto"/>
              <w:right w:val="single" w:sz="6" w:space="0" w:color="auto"/>
            </w:tcBorders>
          </w:tcPr>
          <w:p w14:paraId="6D07D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E124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4BD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A1AF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3DD8A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EDE9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1.08.33</w:t>
            </w:r>
          </w:p>
        </w:tc>
        <w:tc>
          <w:tcPr>
            <w:tcW w:w="4025" w:type="dxa"/>
            <w:tcBorders>
              <w:top w:val="single" w:sz="6" w:space="0" w:color="auto"/>
              <w:left w:val="single" w:sz="6" w:space="0" w:color="auto"/>
              <w:bottom w:val="single" w:sz="6" w:space="0" w:color="auto"/>
              <w:right w:val="single" w:sz="6" w:space="0" w:color="auto"/>
            </w:tcBorders>
          </w:tcPr>
          <w:p w14:paraId="5424E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закончены). Ведется разработка рабочих чертежей.</w:t>
            </w:r>
          </w:p>
        </w:tc>
      </w:tr>
      <w:tr w:rsidR="00DA227A" w:rsidRPr="00E93F40" w14:paraId="5BDD5211" w14:textId="77777777">
        <w:tc>
          <w:tcPr>
            <w:tcW w:w="939" w:type="dxa"/>
            <w:tcBorders>
              <w:top w:val="single" w:sz="6" w:space="0" w:color="auto"/>
              <w:left w:val="single" w:sz="6" w:space="0" w:color="auto"/>
              <w:bottom w:val="single" w:sz="6" w:space="0" w:color="auto"/>
              <w:right w:val="single" w:sz="6" w:space="0" w:color="auto"/>
            </w:tcBorders>
          </w:tcPr>
          <w:p w14:paraId="3BF29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7E1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3E9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908D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8B2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953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9167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 исп.</w:t>
            </w:r>
          </w:p>
        </w:tc>
        <w:tc>
          <w:tcPr>
            <w:tcW w:w="4025" w:type="dxa"/>
            <w:tcBorders>
              <w:top w:val="single" w:sz="6" w:space="0" w:color="auto"/>
              <w:left w:val="single" w:sz="6" w:space="0" w:color="auto"/>
              <w:bottom w:val="single" w:sz="6" w:space="0" w:color="auto"/>
              <w:right w:val="single" w:sz="6" w:space="0" w:color="auto"/>
            </w:tcBorders>
          </w:tcPr>
          <w:p w14:paraId="792D59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пост. РВС от 11.08.32 г. согл. которому</w:t>
            </w:r>
          </w:p>
        </w:tc>
      </w:tr>
      <w:tr w:rsidR="00DA227A" w:rsidRPr="00E93F40" w14:paraId="56C5DD62" w14:textId="77777777">
        <w:tc>
          <w:tcPr>
            <w:tcW w:w="939" w:type="dxa"/>
            <w:tcBorders>
              <w:top w:val="single" w:sz="6" w:space="0" w:color="auto"/>
              <w:left w:val="single" w:sz="6" w:space="0" w:color="auto"/>
              <w:bottom w:val="single" w:sz="6" w:space="0" w:color="auto"/>
              <w:right w:val="single" w:sz="6" w:space="0" w:color="auto"/>
            </w:tcBorders>
          </w:tcPr>
          <w:p w14:paraId="54A24D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90E7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13D4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BFC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A0D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BFC7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500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70F08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полное разворачивание постройки самолета поставл.</w:t>
            </w:r>
          </w:p>
        </w:tc>
      </w:tr>
      <w:tr w:rsidR="00DA227A" w:rsidRPr="00E93F40" w14:paraId="08CEFCF9" w14:textId="77777777">
        <w:tc>
          <w:tcPr>
            <w:tcW w:w="939" w:type="dxa"/>
            <w:tcBorders>
              <w:top w:val="single" w:sz="6" w:space="0" w:color="auto"/>
              <w:left w:val="single" w:sz="6" w:space="0" w:color="auto"/>
              <w:bottom w:val="single" w:sz="6" w:space="0" w:color="auto"/>
              <w:right w:val="single" w:sz="6" w:space="0" w:color="auto"/>
            </w:tcBorders>
          </w:tcPr>
          <w:p w14:paraId="7FCACB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00D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18A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0BAE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2D3A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1F49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CB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50982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зависимость от результатов испытания передач</w:t>
            </w:r>
          </w:p>
        </w:tc>
      </w:tr>
      <w:tr w:rsidR="00DA227A" w:rsidRPr="00E93F40" w14:paraId="55C0B1EF" w14:textId="77777777">
        <w:tc>
          <w:tcPr>
            <w:tcW w:w="939" w:type="dxa"/>
            <w:tcBorders>
              <w:top w:val="single" w:sz="6" w:space="0" w:color="auto"/>
              <w:left w:val="single" w:sz="6" w:space="0" w:color="auto"/>
              <w:bottom w:val="single" w:sz="6" w:space="0" w:color="auto"/>
              <w:right w:val="single" w:sz="6" w:space="0" w:color="auto"/>
            </w:tcBorders>
          </w:tcPr>
          <w:p w14:paraId="07CBA4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76F1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72C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DD3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362B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35DB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307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A742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моторов к винтам, в наст. вр. находятся в</w:t>
            </w:r>
          </w:p>
        </w:tc>
      </w:tr>
      <w:tr w:rsidR="00DA227A" w:rsidRPr="00E93F40" w14:paraId="25EDF657" w14:textId="77777777">
        <w:tc>
          <w:tcPr>
            <w:tcW w:w="939" w:type="dxa"/>
            <w:tcBorders>
              <w:top w:val="single" w:sz="6" w:space="0" w:color="auto"/>
              <w:left w:val="single" w:sz="6" w:space="0" w:color="auto"/>
              <w:bottom w:val="single" w:sz="6" w:space="0" w:color="auto"/>
              <w:right w:val="single" w:sz="6" w:space="0" w:color="auto"/>
            </w:tcBorders>
          </w:tcPr>
          <w:p w14:paraId="5C76F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080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EB8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1AE1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59E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EC15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D57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51FF4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постройке лишь передачи, винты и отдельные </w:t>
            </w:r>
          </w:p>
        </w:tc>
      </w:tr>
      <w:tr w:rsidR="00DA227A" w:rsidRPr="00E93F40" w14:paraId="41E7B0D7" w14:textId="77777777">
        <w:tc>
          <w:tcPr>
            <w:tcW w:w="939" w:type="dxa"/>
            <w:tcBorders>
              <w:top w:val="single" w:sz="6" w:space="0" w:color="auto"/>
              <w:left w:val="single" w:sz="6" w:space="0" w:color="auto"/>
              <w:bottom w:val="single" w:sz="6" w:space="0" w:color="auto"/>
              <w:right w:val="single" w:sz="6" w:space="0" w:color="auto"/>
            </w:tcBorders>
          </w:tcPr>
          <w:p w14:paraId="351032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53D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C79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DBD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68D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42C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D82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6A87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элементы шасси. Поставленный РВС срок испытан.</w:t>
            </w:r>
          </w:p>
        </w:tc>
      </w:tr>
      <w:tr w:rsidR="00DA227A" w:rsidRPr="00E93F40" w14:paraId="055C3E74" w14:textId="77777777">
        <w:tc>
          <w:tcPr>
            <w:tcW w:w="939" w:type="dxa"/>
            <w:tcBorders>
              <w:top w:val="single" w:sz="6" w:space="0" w:color="auto"/>
              <w:left w:val="single" w:sz="6" w:space="0" w:color="auto"/>
              <w:bottom w:val="single" w:sz="6" w:space="0" w:color="auto"/>
              <w:right w:val="single" w:sz="6" w:space="0" w:color="auto"/>
            </w:tcBorders>
          </w:tcPr>
          <w:p w14:paraId="7077EF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3D91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087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FAE4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192E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1960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A762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97C6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передач в ноябре с.г. не выдержан., ввиду не</w:t>
            </w:r>
          </w:p>
        </w:tc>
      </w:tr>
      <w:tr w:rsidR="00DA227A" w:rsidRPr="00E93F40" w14:paraId="2D040BE4" w14:textId="77777777">
        <w:tc>
          <w:tcPr>
            <w:tcW w:w="939" w:type="dxa"/>
            <w:tcBorders>
              <w:top w:val="single" w:sz="6" w:space="0" w:color="auto"/>
              <w:left w:val="single" w:sz="6" w:space="0" w:color="auto"/>
              <w:bottom w:val="single" w:sz="6" w:space="0" w:color="auto"/>
              <w:right w:val="single" w:sz="6" w:space="0" w:color="auto"/>
            </w:tcBorders>
          </w:tcPr>
          <w:p w14:paraId="3ED49F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FB27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1C4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EE5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64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94B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010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1E72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изготовления передач. Испытание передач намечено</w:t>
            </w:r>
          </w:p>
        </w:tc>
      </w:tr>
      <w:tr w:rsidR="00DA227A" w:rsidRPr="00E93F40" w14:paraId="7FE87643" w14:textId="77777777">
        <w:tc>
          <w:tcPr>
            <w:tcW w:w="939" w:type="dxa"/>
            <w:tcBorders>
              <w:top w:val="single" w:sz="6" w:space="0" w:color="auto"/>
              <w:left w:val="single" w:sz="6" w:space="0" w:color="auto"/>
              <w:bottom w:val="single" w:sz="6" w:space="0" w:color="auto"/>
              <w:right w:val="single" w:sz="6" w:space="0" w:color="auto"/>
            </w:tcBorders>
          </w:tcPr>
          <w:p w14:paraId="0F48F6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1EDF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7D0C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5921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73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BD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AAC8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D6AE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произвести в январе-феврале 1933 г. Согласно</w:t>
            </w:r>
          </w:p>
        </w:tc>
      </w:tr>
      <w:tr w:rsidR="00DA227A" w:rsidRPr="00E93F40" w14:paraId="74894426" w14:textId="77777777">
        <w:tc>
          <w:tcPr>
            <w:tcW w:w="939" w:type="dxa"/>
            <w:tcBorders>
              <w:top w:val="single" w:sz="6" w:space="0" w:color="auto"/>
              <w:left w:val="single" w:sz="6" w:space="0" w:color="auto"/>
              <w:bottom w:val="single" w:sz="6" w:space="0" w:color="auto"/>
              <w:right w:val="single" w:sz="6" w:space="0" w:color="auto"/>
            </w:tcBorders>
          </w:tcPr>
          <w:p w14:paraId="140DE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C16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739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A8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FB3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751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4E92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F69A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РВС от 11.08.32 г. выпуск с-та на заводск.</w:t>
            </w:r>
          </w:p>
        </w:tc>
      </w:tr>
      <w:tr w:rsidR="00DA227A" w:rsidRPr="00E93F40" w14:paraId="622A890D" w14:textId="77777777">
        <w:tc>
          <w:tcPr>
            <w:tcW w:w="939" w:type="dxa"/>
            <w:tcBorders>
              <w:top w:val="single" w:sz="6" w:space="0" w:color="auto"/>
              <w:left w:val="single" w:sz="6" w:space="0" w:color="auto"/>
              <w:bottom w:val="single" w:sz="6" w:space="0" w:color="auto"/>
              <w:right w:val="single" w:sz="6" w:space="0" w:color="auto"/>
            </w:tcBorders>
          </w:tcPr>
          <w:p w14:paraId="51086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FEEF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2FE4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664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F43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3EF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2E5D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1D70D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перенесен на 1.08.33 г.</w:t>
            </w:r>
          </w:p>
        </w:tc>
      </w:tr>
      <w:tr w:rsidR="00DA227A" w:rsidRPr="00E93F40" w14:paraId="38A255C4" w14:textId="77777777">
        <w:tc>
          <w:tcPr>
            <w:tcW w:w="939" w:type="dxa"/>
            <w:tcBorders>
              <w:top w:val="single" w:sz="6" w:space="0" w:color="auto"/>
              <w:left w:val="single" w:sz="6" w:space="0" w:color="auto"/>
              <w:bottom w:val="single" w:sz="6" w:space="0" w:color="auto"/>
              <w:right w:val="single" w:sz="6" w:space="0" w:color="auto"/>
            </w:tcBorders>
          </w:tcPr>
          <w:p w14:paraId="14D8A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6М-34 (Тяж.</w:t>
            </w:r>
          </w:p>
        </w:tc>
        <w:tc>
          <w:tcPr>
            <w:tcW w:w="939" w:type="dxa"/>
            <w:tcBorders>
              <w:top w:val="single" w:sz="6" w:space="0" w:color="auto"/>
              <w:left w:val="single" w:sz="6" w:space="0" w:color="auto"/>
              <w:bottom w:val="single" w:sz="6" w:space="0" w:color="auto"/>
              <w:right w:val="single" w:sz="6" w:space="0" w:color="auto"/>
            </w:tcBorders>
          </w:tcPr>
          <w:p w14:paraId="5690E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10FD47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FAACD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36A65F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6000 кг</w:t>
            </w:r>
          </w:p>
        </w:tc>
        <w:tc>
          <w:tcPr>
            <w:tcW w:w="939" w:type="dxa"/>
            <w:tcBorders>
              <w:top w:val="single" w:sz="6" w:space="0" w:color="auto"/>
              <w:left w:val="single" w:sz="6" w:space="0" w:color="auto"/>
              <w:bottom w:val="single" w:sz="6" w:space="0" w:color="auto"/>
              <w:right w:val="single" w:sz="6" w:space="0" w:color="auto"/>
            </w:tcBorders>
          </w:tcPr>
          <w:p w14:paraId="27ABBC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02666B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1.11.32/</w:t>
            </w:r>
          </w:p>
        </w:tc>
        <w:tc>
          <w:tcPr>
            <w:tcW w:w="4025" w:type="dxa"/>
            <w:tcBorders>
              <w:top w:val="single" w:sz="6" w:space="0" w:color="auto"/>
              <w:left w:val="single" w:sz="6" w:space="0" w:color="auto"/>
              <w:bottom w:val="single" w:sz="6" w:space="0" w:color="auto"/>
              <w:right w:val="single" w:sz="6" w:space="0" w:color="auto"/>
            </w:tcBorders>
          </w:tcPr>
          <w:p w14:paraId="2E4218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Пр-во самолета закончено. Выпуск с-та на аэродром</w:t>
            </w:r>
          </w:p>
        </w:tc>
      </w:tr>
      <w:tr w:rsidR="00DA227A" w:rsidRPr="00E93F40" w14:paraId="057615A9" w14:textId="77777777">
        <w:tc>
          <w:tcPr>
            <w:tcW w:w="939" w:type="dxa"/>
            <w:tcBorders>
              <w:top w:val="single" w:sz="6" w:space="0" w:color="auto"/>
              <w:left w:val="single" w:sz="6" w:space="0" w:color="auto"/>
              <w:bottom w:val="single" w:sz="6" w:space="0" w:color="auto"/>
              <w:right w:val="single" w:sz="6" w:space="0" w:color="auto"/>
            </w:tcBorders>
          </w:tcPr>
          <w:p w14:paraId="46C107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бомбовоз)</w:t>
            </w:r>
          </w:p>
        </w:tc>
        <w:tc>
          <w:tcPr>
            <w:tcW w:w="939" w:type="dxa"/>
            <w:tcBorders>
              <w:top w:val="single" w:sz="6" w:space="0" w:color="auto"/>
              <w:left w:val="single" w:sz="6" w:space="0" w:color="auto"/>
              <w:bottom w:val="single" w:sz="6" w:space="0" w:color="auto"/>
              <w:right w:val="single" w:sz="6" w:space="0" w:color="auto"/>
            </w:tcBorders>
          </w:tcPr>
          <w:p w14:paraId="765948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5104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88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4C4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29564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42ED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02.33</w:t>
            </w:r>
          </w:p>
        </w:tc>
        <w:tc>
          <w:tcPr>
            <w:tcW w:w="4025" w:type="dxa"/>
            <w:tcBorders>
              <w:top w:val="single" w:sz="6" w:space="0" w:color="auto"/>
              <w:left w:val="single" w:sz="6" w:space="0" w:color="auto"/>
              <w:bottom w:val="single" w:sz="6" w:space="0" w:color="auto"/>
              <w:right w:val="single" w:sz="6" w:space="0" w:color="auto"/>
            </w:tcBorders>
          </w:tcPr>
          <w:p w14:paraId="75ACE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задерживается отсутствием моторов.</w:t>
            </w:r>
          </w:p>
        </w:tc>
      </w:tr>
      <w:tr w:rsidR="00DA227A" w:rsidRPr="00E93F40" w14:paraId="0BC06717" w14:textId="77777777">
        <w:tc>
          <w:tcPr>
            <w:tcW w:w="939" w:type="dxa"/>
            <w:tcBorders>
              <w:top w:val="single" w:sz="6" w:space="0" w:color="auto"/>
              <w:left w:val="single" w:sz="6" w:space="0" w:color="auto"/>
              <w:bottom w:val="single" w:sz="6" w:space="0" w:color="auto"/>
              <w:right w:val="single" w:sz="6" w:space="0" w:color="auto"/>
            </w:tcBorders>
          </w:tcPr>
          <w:p w14:paraId="1E299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B2C3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FD79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25AF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CD0B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144A3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CBFB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 исп.</w:t>
            </w:r>
          </w:p>
        </w:tc>
        <w:tc>
          <w:tcPr>
            <w:tcW w:w="4025" w:type="dxa"/>
            <w:tcBorders>
              <w:top w:val="single" w:sz="6" w:space="0" w:color="auto"/>
              <w:left w:val="single" w:sz="6" w:space="0" w:color="auto"/>
              <w:bottom w:val="single" w:sz="6" w:space="0" w:color="auto"/>
              <w:right w:val="single" w:sz="6" w:space="0" w:color="auto"/>
            </w:tcBorders>
          </w:tcPr>
          <w:p w14:paraId="158E3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6099B23" w14:textId="77777777">
        <w:tc>
          <w:tcPr>
            <w:tcW w:w="939" w:type="dxa"/>
            <w:tcBorders>
              <w:top w:val="single" w:sz="6" w:space="0" w:color="auto"/>
              <w:left w:val="single" w:sz="6" w:space="0" w:color="auto"/>
              <w:bottom w:val="single" w:sz="6" w:space="0" w:color="auto"/>
              <w:right w:val="single" w:sz="6" w:space="0" w:color="auto"/>
            </w:tcBorders>
          </w:tcPr>
          <w:p w14:paraId="6F3F8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ТБ-4 6М-34 (Голов.</w:t>
            </w:r>
          </w:p>
        </w:tc>
        <w:tc>
          <w:tcPr>
            <w:tcW w:w="939" w:type="dxa"/>
            <w:tcBorders>
              <w:top w:val="single" w:sz="6" w:space="0" w:color="auto"/>
              <w:left w:val="single" w:sz="6" w:space="0" w:color="auto"/>
              <w:bottom w:val="single" w:sz="6" w:space="0" w:color="auto"/>
              <w:right w:val="single" w:sz="6" w:space="0" w:color="auto"/>
            </w:tcBorders>
          </w:tcPr>
          <w:p w14:paraId="731A3E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50E6D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34C6B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65D54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6000 кг</w:t>
            </w:r>
          </w:p>
        </w:tc>
        <w:tc>
          <w:tcPr>
            <w:tcW w:w="939" w:type="dxa"/>
            <w:tcBorders>
              <w:top w:val="single" w:sz="6" w:space="0" w:color="auto"/>
              <w:left w:val="single" w:sz="6" w:space="0" w:color="auto"/>
              <w:bottom w:val="single" w:sz="6" w:space="0" w:color="auto"/>
              <w:right w:val="single" w:sz="6" w:space="0" w:color="auto"/>
            </w:tcBorders>
          </w:tcPr>
          <w:p w14:paraId="42306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55308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1.06.33/</w:t>
            </w:r>
          </w:p>
        </w:tc>
        <w:tc>
          <w:tcPr>
            <w:tcW w:w="4025" w:type="dxa"/>
            <w:tcBorders>
              <w:top w:val="single" w:sz="6" w:space="0" w:color="auto"/>
              <w:left w:val="single" w:sz="6" w:space="0" w:color="auto"/>
              <w:bottom w:val="single" w:sz="6" w:space="0" w:color="auto"/>
              <w:right w:val="single" w:sz="6" w:space="0" w:color="auto"/>
            </w:tcBorders>
          </w:tcPr>
          <w:p w14:paraId="42FC59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Проектирование самолета закончено. Утвержден </w:t>
            </w:r>
          </w:p>
        </w:tc>
      </w:tr>
      <w:tr w:rsidR="00DA227A" w:rsidRPr="00E93F40" w14:paraId="235A68C4" w14:textId="77777777">
        <w:tc>
          <w:tcPr>
            <w:tcW w:w="939" w:type="dxa"/>
            <w:tcBorders>
              <w:top w:val="single" w:sz="6" w:space="0" w:color="auto"/>
              <w:left w:val="single" w:sz="6" w:space="0" w:color="auto"/>
              <w:bottom w:val="single" w:sz="6" w:space="0" w:color="auto"/>
              <w:right w:val="single" w:sz="6" w:space="0" w:color="auto"/>
            </w:tcBorders>
          </w:tcPr>
          <w:p w14:paraId="199184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серийный)</w:t>
            </w:r>
          </w:p>
        </w:tc>
        <w:tc>
          <w:tcPr>
            <w:tcW w:w="939" w:type="dxa"/>
            <w:tcBorders>
              <w:top w:val="single" w:sz="6" w:space="0" w:color="auto"/>
              <w:left w:val="single" w:sz="6" w:space="0" w:color="auto"/>
              <w:bottom w:val="single" w:sz="6" w:space="0" w:color="auto"/>
              <w:right w:val="single" w:sz="6" w:space="0" w:color="auto"/>
            </w:tcBorders>
          </w:tcPr>
          <w:p w14:paraId="7E99D2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1D2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9EC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3D4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6ACFC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F85B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1.07.33</w:t>
            </w:r>
          </w:p>
        </w:tc>
        <w:tc>
          <w:tcPr>
            <w:tcW w:w="4025" w:type="dxa"/>
            <w:tcBorders>
              <w:top w:val="single" w:sz="6" w:space="0" w:color="auto"/>
              <w:left w:val="single" w:sz="6" w:space="0" w:color="auto"/>
              <w:bottom w:val="single" w:sz="6" w:space="0" w:color="auto"/>
              <w:right w:val="single" w:sz="6" w:space="0" w:color="auto"/>
            </w:tcBorders>
          </w:tcPr>
          <w:p w14:paraId="12C82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макет размещения всего оборудования и вооружения.</w:t>
            </w:r>
          </w:p>
        </w:tc>
      </w:tr>
      <w:tr w:rsidR="00DA227A" w:rsidRPr="00E93F40" w14:paraId="1A2C3103" w14:textId="77777777">
        <w:tc>
          <w:tcPr>
            <w:tcW w:w="939" w:type="dxa"/>
            <w:tcBorders>
              <w:top w:val="single" w:sz="6" w:space="0" w:color="auto"/>
              <w:left w:val="single" w:sz="6" w:space="0" w:color="auto"/>
              <w:bottom w:val="single" w:sz="6" w:space="0" w:color="auto"/>
              <w:right w:val="single" w:sz="6" w:space="0" w:color="auto"/>
            </w:tcBorders>
          </w:tcPr>
          <w:p w14:paraId="5E71F7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402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C30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EAA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0BF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05691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A17F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A43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Отдельные части конструкции находятся в постр.</w:t>
            </w:r>
          </w:p>
        </w:tc>
      </w:tr>
      <w:tr w:rsidR="00DA227A" w:rsidRPr="00E93F40" w14:paraId="07A39C19" w14:textId="77777777">
        <w:tc>
          <w:tcPr>
            <w:tcW w:w="939" w:type="dxa"/>
            <w:tcBorders>
              <w:top w:val="single" w:sz="6" w:space="0" w:color="auto"/>
              <w:left w:val="single" w:sz="6" w:space="0" w:color="auto"/>
              <w:bottom w:val="single" w:sz="6" w:space="0" w:color="auto"/>
              <w:right w:val="single" w:sz="6" w:space="0" w:color="auto"/>
            </w:tcBorders>
          </w:tcPr>
          <w:p w14:paraId="2C60ED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72B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06DA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EF03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714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C93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7854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83D0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N 22 ведется подготовка к пуску самолета</w:t>
            </w:r>
          </w:p>
        </w:tc>
      </w:tr>
      <w:tr w:rsidR="00DA227A" w:rsidRPr="00E93F40" w14:paraId="4BC27A9B" w14:textId="77777777">
        <w:tc>
          <w:tcPr>
            <w:tcW w:w="939" w:type="dxa"/>
            <w:tcBorders>
              <w:top w:val="single" w:sz="6" w:space="0" w:color="auto"/>
              <w:left w:val="single" w:sz="6" w:space="0" w:color="auto"/>
              <w:bottom w:val="single" w:sz="6" w:space="0" w:color="auto"/>
              <w:right w:val="single" w:sz="6" w:space="0" w:color="auto"/>
            </w:tcBorders>
          </w:tcPr>
          <w:p w14:paraId="2AA82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DF6C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449A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EC44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068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54BF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551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CB8E1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серию.</w:t>
            </w:r>
          </w:p>
        </w:tc>
      </w:tr>
      <w:tr w:rsidR="00DA227A" w:rsidRPr="00E93F40" w14:paraId="7F767398" w14:textId="77777777">
        <w:tc>
          <w:tcPr>
            <w:tcW w:w="939" w:type="dxa"/>
            <w:tcBorders>
              <w:top w:val="single" w:sz="6" w:space="0" w:color="auto"/>
              <w:left w:val="single" w:sz="6" w:space="0" w:color="auto"/>
              <w:bottom w:val="single" w:sz="6" w:space="0" w:color="auto"/>
              <w:right w:val="single" w:sz="6" w:space="0" w:color="auto"/>
            </w:tcBorders>
          </w:tcPr>
          <w:p w14:paraId="7EE66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ХI-2М34 (Тяж.</w:t>
            </w:r>
          </w:p>
        </w:tc>
        <w:tc>
          <w:tcPr>
            <w:tcW w:w="939" w:type="dxa"/>
            <w:tcBorders>
              <w:top w:val="single" w:sz="6" w:space="0" w:color="auto"/>
              <w:left w:val="single" w:sz="6" w:space="0" w:color="auto"/>
              <w:bottom w:val="single" w:sz="6" w:space="0" w:color="auto"/>
              <w:right w:val="single" w:sz="6" w:space="0" w:color="auto"/>
            </w:tcBorders>
          </w:tcPr>
          <w:p w14:paraId="674B78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555E0E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46A8F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6FF22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 кг ОВ</w:t>
            </w:r>
          </w:p>
        </w:tc>
        <w:tc>
          <w:tcPr>
            <w:tcW w:w="939" w:type="dxa"/>
            <w:tcBorders>
              <w:top w:val="single" w:sz="6" w:space="0" w:color="auto"/>
              <w:left w:val="single" w:sz="6" w:space="0" w:color="auto"/>
              <w:bottom w:val="single" w:sz="6" w:space="0" w:color="auto"/>
              <w:right w:val="single" w:sz="6" w:space="0" w:color="auto"/>
            </w:tcBorders>
          </w:tcPr>
          <w:p w14:paraId="14D45E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939" w:type="dxa"/>
            <w:tcBorders>
              <w:top w:val="single" w:sz="6" w:space="0" w:color="auto"/>
              <w:left w:val="single" w:sz="6" w:space="0" w:color="auto"/>
              <w:bottom w:val="single" w:sz="6" w:space="0" w:color="auto"/>
              <w:right w:val="single" w:sz="6" w:space="0" w:color="auto"/>
            </w:tcBorders>
          </w:tcPr>
          <w:p w14:paraId="323B70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1.08.33/</w:t>
            </w:r>
          </w:p>
        </w:tc>
        <w:tc>
          <w:tcPr>
            <w:tcW w:w="4025" w:type="dxa"/>
            <w:tcBorders>
              <w:top w:val="single" w:sz="6" w:space="0" w:color="auto"/>
              <w:left w:val="single" w:sz="6" w:space="0" w:color="auto"/>
              <w:bottom w:val="single" w:sz="6" w:space="0" w:color="auto"/>
              <w:right w:val="single" w:sz="6" w:space="0" w:color="auto"/>
            </w:tcBorders>
          </w:tcPr>
          <w:p w14:paraId="2D6464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связи с уходом из НИИ ГУГВФ инж. Путилова на </w:t>
            </w:r>
          </w:p>
        </w:tc>
      </w:tr>
      <w:tr w:rsidR="00DA227A" w:rsidRPr="00E93F40" w14:paraId="1B1C709B" w14:textId="77777777">
        <w:tc>
          <w:tcPr>
            <w:tcW w:w="939" w:type="dxa"/>
            <w:tcBorders>
              <w:top w:val="single" w:sz="6" w:space="0" w:color="auto"/>
              <w:left w:val="single" w:sz="6" w:space="0" w:color="auto"/>
              <w:bottom w:val="single" w:sz="6" w:space="0" w:color="auto"/>
              <w:right w:val="single" w:sz="6" w:space="0" w:color="auto"/>
            </w:tcBorders>
          </w:tcPr>
          <w:p w14:paraId="7E3D84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химич. боевик, он</w:t>
            </w:r>
          </w:p>
        </w:tc>
        <w:tc>
          <w:tcPr>
            <w:tcW w:w="939" w:type="dxa"/>
            <w:tcBorders>
              <w:top w:val="single" w:sz="6" w:space="0" w:color="auto"/>
              <w:left w:val="single" w:sz="6" w:space="0" w:color="auto"/>
              <w:bottom w:val="single" w:sz="6" w:space="0" w:color="auto"/>
              <w:right w:val="single" w:sz="6" w:space="0" w:color="auto"/>
            </w:tcBorders>
          </w:tcPr>
          <w:p w14:paraId="18FE0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A79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3CB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5482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5E1E1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063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III кв. 34</w:t>
            </w:r>
          </w:p>
        </w:tc>
        <w:tc>
          <w:tcPr>
            <w:tcW w:w="4025" w:type="dxa"/>
            <w:tcBorders>
              <w:top w:val="single" w:sz="6" w:space="0" w:color="auto"/>
              <w:left w:val="single" w:sz="6" w:space="0" w:color="auto"/>
              <w:bottom w:val="single" w:sz="6" w:space="0" w:color="auto"/>
              <w:right w:val="single" w:sz="6" w:space="0" w:color="auto"/>
            </w:tcBorders>
          </w:tcPr>
          <w:p w14:paraId="3CD38E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N 81, проектирование и постройка с-та будет</w:t>
            </w:r>
          </w:p>
        </w:tc>
      </w:tr>
      <w:tr w:rsidR="00DA227A" w:rsidRPr="00E93F40" w14:paraId="028FC6BC" w14:textId="77777777">
        <w:tc>
          <w:tcPr>
            <w:tcW w:w="939" w:type="dxa"/>
            <w:tcBorders>
              <w:top w:val="single" w:sz="6" w:space="0" w:color="auto"/>
              <w:left w:val="single" w:sz="6" w:space="0" w:color="auto"/>
              <w:bottom w:val="single" w:sz="6" w:space="0" w:color="auto"/>
              <w:right w:val="single" w:sz="6" w:space="0" w:color="auto"/>
            </w:tcBorders>
          </w:tcPr>
          <w:p w14:paraId="2D18A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же с-т для перевоз.</w:t>
            </w:r>
          </w:p>
        </w:tc>
        <w:tc>
          <w:tcPr>
            <w:tcW w:w="939" w:type="dxa"/>
            <w:tcBorders>
              <w:top w:val="single" w:sz="6" w:space="0" w:color="auto"/>
              <w:left w:val="single" w:sz="6" w:space="0" w:color="auto"/>
              <w:bottom w:val="single" w:sz="6" w:space="0" w:color="auto"/>
              <w:right w:val="single" w:sz="6" w:space="0" w:color="auto"/>
            </w:tcBorders>
          </w:tcPr>
          <w:p w14:paraId="25AECB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B192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47BF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880F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6DC72C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0392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D117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вестись в опытном отделе указанного завода. В</w:t>
            </w:r>
          </w:p>
        </w:tc>
      </w:tr>
      <w:tr w:rsidR="00DA227A" w:rsidRPr="00E93F40" w14:paraId="7DA9D063" w14:textId="77777777">
        <w:tc>
          <w:tcPr>
            <w:tcW w:w="939" w:type="dxa"/>
            <w:tcBorders>
              <w:top w:val="single" w:sz="6" w:space="0" w:color="auto"/>
              <w:left w:val="single" w:sz="6" w:space="0" w:color="auto"/>
              <w:bottom w:val="single" w:sz="6" w:space="0" w:color="auto"/>
              <w:right w:val="single" w:sz="6" w:space="0" w:color="auto"/>
            </w:tcBorders>
          </w:tcPr>
          <w:p w14:paraId="60C7C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горюч. и пассажир.)</w:t>
            </w:r>
          </w:p>
        </w:tc>
        <w:tc>
          <w:tcPr>
            <w:tcW w:w="939" w:type="dxa"/>
            <w:tcBorders>
              <w:top w:val="single" w:sz="6" w:space="0" w:color="auto"/>
              <w:left w:val="single" w:sz="6" w:space="0" w:color="auto"/>
              <w:bottom w:val="single" w:sz="6" w:space="0" w:color="auto"/>
              <w:right w:val="single" w:sz="6" w:space="0" w:color="auto"/>
            </w:tcBorders>
          </w:tcPr>
          <w:p w14:paraId="6C1CB7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B3E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B18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AFA7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B24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6366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95A06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наст. вр. прорабатывается схема с-та в виде</w:t>
            </w:r>
          </w:p>
        </w:tc>
      </w:tr>
      <w:tr w:rsidR="00DA227A" w:rsidRPr="00E93F40" w14:paraId="15E9CB3E" w14:textId="77777777">
        <w:tc>
          <w:tcPr>
            <w:tcW w:w="939" w:type="dxa"/>
            <w:tcBorders>
              <w:top w:val="single" w:sz="6" w:space="0" w:color="auto"/>
              <w:left w:val="single" w:sz="6" w:space="0" w:color="auto"/>
              <w:bottom w:val="single" w:sz="6" w:space="0" w:color="auto"/>
              <w:right w:val="single" w:sz="6" w:space="0" w:color="auto"/>
            </w:tcBorders>
          </w:tcPr>
          <w:p w14:paraId="76AC7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CC7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925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F59F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F42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A6C0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24A7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A3E5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летающего крыла и как перестраховочный вариант</w:t>
            </w:r>
          </w:p>
        </w:tc>
      </w:tr>
      <w:tr w:rsidR="00DA227A" w:rsidRPr="00E93F40" w14:paraId="7B3E1480" w14:textId="77777777">
        <w:tc>
          <w:tcPr>
            <w:tcW w:w="939" w:type="dxa"/>
            <w:tcBorders>
              <w:top w:val="single" w:sz="6" w:space="0" w:color="auto"/>
              <w:left w:val="single" w:sz="6" w:space="0" w:color="auto"/>
              <w:bottom w:val="single" w:sz="6" w:space="0" w:color="auto"/>
              <w:right w:val="single" w:sz="6" w:space="0" w:color="auto"/>
            </w:tcBorders>
          </w:tcPr>
          <w:p w14:paraId="4526B7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4785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C6DA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DDC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BF2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566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FBC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C2B7B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двухфюзеляжны самолет. КБ наметило постройку</w:t>
            </w:r>
          </w:p>
        </w:tc>
      </w:tr>
      <w:tr w:rsidR="00DA227A" w:rsidRPr="00E93F40" w14:paraId="5CD1562C" w14:textId="77777777">
        <w:tc>
          <w:tcPr>
            <w:tcW w:w="939" w:type="dxa"/>
            <w:tcBorders>
              <w:top w:val="single" w:sz="6" w:space="0" w:color="auto"/>
              <w:left w:val="single" w:sz="6" w:space="0" w:color="auto"/>
              <w:bottom w:val="single" w:sz="6" w:space="0" w:color="auto"/>
              <w:right w:val="single" w:sz="6" w:space="0" w:color="auto"/>
            </w:tcBorders>
          </w:tcPr>
          <w:p w14:paraId="17A57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F1A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6D80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ECD0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12E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E8D2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E133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5732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легкого с-та с двумя моторами по 20-30 л.с. являющ.</w:t>
            </w:r>
          </w:p>
        </w:tc>
      </w:tr>
      <w:tr w:rsidR="00DA227A" w:rsidRPr="00E93F40" w14:paraId="6A3677D6" w14:textId="77777777">
        <w:tc>
          <w:tcPr>
            <w:tcW w:w="939" w:type="dxa"/>
            <w:tcBorders>
              <w:top w:val="single" w:sz="6" w:space="0" w:color="auto"/>
              <w:left w:val="single" w:sz="6" w:space="0" w:color="auto"/>
              <w:bottom w:val="single" w:sz="6" w:space="0" w:color="auto"/>
              <w:right w:val="single" w:sz="6" w:space="0" w:color="auto"/>
            </w:tcBorders>
          </w:tcPr>
          <w:p w14:paraId="65E3A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D74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488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4CE2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95F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2893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B233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A6E0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летающей моделью с-та XI. Срок выпуска с-та, </w:t>
            </w:r>
          </w:p>
        </w:tc>
      </w:tr>
      <w:tr w:rsidR="00DA227A" w:rsidRPr="00E93F40" w14:paraId="23029536" w14:textId="77777777">
        <w:tc>
          <w:tcPr>
            <w:tcW w:w="939" w:type="dxa"/>
            <w:tcBorders>
              <w:top w:val="single" w:sz="6" w:space="0" w:color="auto"/>
              <w:left w:val="single" w:sz="6" w:space="0" w:color="auto"/>
              <w:bottom w:val="single" w:sz="6" w:space="0" w:color="auto"/>
              <w:right w:val="single" w:sz="6" w:space="0" w:color="auto"/>
            </w:tcBorders>
          </w:tcPr>
          <w:p w14:paraId="46A04C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A93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F3F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B08B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E52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27D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662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B9C37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установленный планом опытного строительства </w:t>
            </w:r>
          </w:p>
        </w:tc>
      </w:tr>
      <w:tr w:rsidR="00DA227A" w:rsidRPr="00E93F40" w14:paraId="5ED80162" w14:textId="77777777">
        <w:tc>
          <w:tcPr>
            <w:tcW w:w="939" w:type="dxa"/>
            <w:tcBorders>
              <w:top w:val="single" w:sz="6" w:space="0" w:color="auto"/>
              <w:left w:val="single" w:sz="6" w:space="0" w:color="auto"/>
              <w:bottom w:val="single" w:sz="6" w:space="0" w:color="auto"/>
              <w:right w:val="single" w:sz="6" w:space="0" w:color="auto"/>
            </w:tcBorders>
          </w:tcPr>
          <w:p w14:paraId="35230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0DA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2708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8C2C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9039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003A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D88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04B9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ГУГВФ не принимает, мотивируя сложностью </w:t>
            </w:r>
          </w:p>
        </w:tc>
      </w:tr>
      <w:tr w:rsidR="00DA227A" w:rsidRPr="00E93F40" w14:paraId="6E265D4C" w14:textId="77777777">
        <w:tc>
          <w:tcPr>
            <w:tcW w:w="939" w:type="dxa"/>
            <w:tcBorders>
              <w:top w:val="single" w:sz="6" w:space="0" w:color="auto"/>
              <w:left w:val="single" w:sz="6" w:space="0" w:color="auto"/>
              <w:bottom w:val="single" w:sz="6" w:space="0" w:color="auto"/>
              <w:right w:val="single" w:sz="6" w:space="0" w:color="auto"/>
            </w:tcBorders>
          </w:tcPr>
          <w:p w14:paraId="1FBA0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E913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A786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E8E0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F088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A674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19F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7B8F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проблемы постройки большого с-та в виде летающ.</w:t>
            </w:r>
          </w:p>
        </w:tc>
      </w:tr>
      <w:tr w:rsidR="00DA227A" w:rsidRPr="00E93F40" w14:paraId="19169C51" w14:textId="77777777">
        <w:tc>
          <w:tcPr>
            <w:tcW w:w="939" w:type="dxa"/>
            <w:tcBorders>
              <w:top w:val="single" w:sz="6" w:space="0" w:color="auto"/>
              <w:left w:val="single" w:sz="6" w:space="0" w:color="auto"/>
              <w:bottom w:val="single" w:sz="6" w:space="0" w:color="auto"/>
              <w:right w:val="single" w:sz="6" w:space="0" w:color="auto"/>
            </w:tcBorders>
          </w:tcPr>
          <w:p w14:paraId="50D62A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2E9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4F0D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65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96C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B2B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EF9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054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крыла.</w:t>
            </w:r>
          </w:p>
        </w:tc>
      </w:tr>
      <w:tr w:rsidR="00DA227A" w:rsidRPr="00E93F40" w14:paraId="21DD0AC4" w14:textId="77777777">
        <w:tc>
          <w:tcPr>
            <w:tcW w:w="939" w:type="dxa"/>
            <w:tcBorders>
              <w:top w:val="single" w:sz="6" w:space="0" w:color="auto"/>
              <w:left w:val="single" w:sz="6" w:space="0" w:color="auto"/>
              <w:bottom w:val="single" w:sz="6" w:space="0" w:color="auto"/>
              <w:right w:val="single" w:sz="6" w:space="0" w:color="auto"/>
            </w:tcBorders>
          </w:tcPr>
          <w:p w14:paraId="13779A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К1-2М34 (Крейсер</w:t>
            </w:r>
          </w:p>
        </w:tc>
        <w:tc>
          <w:tcPr>
            <w:tcW w:w="939" w:type="dxa"/>
            <w:tcBorders>
              <w:top w:val="single" w:sz="6" w:space="0" w:color="auto"/>
              <w:left w:val="single" w:sz="6" w:space="0" w:color="auto"/>
              <w:bottom w:val="single" w:sz="6" w:space="0" w:color="auto"/>
              <w:right w:val="single" w:sz="6" w:space="0" w:color="auto"/>
            </w:tcBorders>
          </w:tcPr>
          <w:p w14:paraId="6E806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270-300/</w:t>
            </w:r>
          </w:p>
        </w:tc>
        <w:tc>
          <w:tcPr>
            <w:tcW w:w="939" w:type="dxa"/>
            <w:tcBorders>
              <w:top w:val="single" w:sz="6" w:space="0" w:color="auto"/>
              <w:left w:val="single" w:sz="6" w:space="0" w:color="auto"/>
              <w:bottom w:val="single" w:sz="6" w:space="0" w:color="auto"/>
              <w:right w:val="single" w:sz="6" w:space="0" w:color="auto"/>
            </w:tcBorders>
          </w:tcPr>
          <w:p w14:paraId="4DF2A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0DCD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2A4EB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6BEA8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600-1000</w:t>
            </w:r>
          </w:p>
        </w:tc>
        <w:tc>
          <w:tcPr>
            <w:tcW w:w="939" w:type="dxa"/>
            <w:tcBorders>
              <w:top w:val="single" w:sz="6" w:space="0" w:color="auto"/>
              <w:left w:val="single" w:sz="6" w:space="0" w:color="auto"/>
              <w:bottom w:val="single" w:sz="6" w:space="0" w:color="auto"/>
              <w:right w:val="single" w:sz="6" w:space="0" w:color="auto"/>
            </w:tcBorders>
          </w:tcPr>
          <w:p w14:paraId="1E80D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1.10.33 г.</w:t>
            </w:r>
          </w:p>
        </w:tc>
        <w:tc>
          <w:tcPr>
            <w:tcW w:w="4025" w:type="dxa"/>
            <w:tcBorders>
              <w:top w:val="single" w:sz="6" w:space="0" w:color="auto"/>
              <w:left w:val="single" w:sz="6" w:space="0" w:color="auto"/>
              <w:bottom w:val="single" w:sz="6" w:space="0" w:color="auto"/>
              <w:right w:val="single" w:sz="6" w:space="0" w:color="auto"/>
            </w:tcBorders>
          </w:tcPr>
          <w:p w14:paraId="4F198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остановилось на применении к самолету К1</w:t>
            </w:r>
          </w:p>
        </w:tc>
      </w:tr>
      <w:tr w:rsidR="00DA227A" w:rsidRPr="00E93F40" w14:paraId="66A87D5E" w14:textId="77777777">
        <w:tc>
          <w:tcPr>
            <w:tcW w:w="939" w:type="dxa"/>
            <w:tcBorders>
              <w:top w:val="single" w:sz="6" w:space="0" w:color="auto"/>
              <w:left w:val="single" w:sz="6" w:space="0" w:color="auto"/>
              <w:bottom w:val="single" w:sz="6" w:space="0" w:color="auto"/>
              <w:right w:val="single" w:sz="6" w:space="0" w:color="auto"/>
            </w:tcBorders>
          </w:tcPr>
          <w:p w14:paraId="37F2CE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сухопутн., средн.</w:t>
            </w:r>
          </w:p>
        </w:tc>
        <w:tc>
          <w:tcPr>
            <w:tcW w:w="939" w:type="dxa"/>
            <w:tcBorders>
              <w:top w:val="single" w:sz="6" w:space="0" w:color="auto"/>
              <w:left w:val="single" w:sz="6" w:space="0" w:color="auto"/>
              <w:bottom w:val="single" w:sz="6" w:space="0" w:color="auto"/>
              <w:right w:val="single" w:sz="6" w:space="0" w:color="auto"/>
            </w:tcBorders>
          </w:tcPr>
          <w:p w14:paraId="78F85B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6ADFA5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D25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D52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4C19C5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AB7D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4F64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моторов М32, а не М34, поскольку установка моторов</w:t>
            </w:r>
          </w:p>
        </w:tc>
      </w:tr>
      <w:tr w:rsidR="00DA227A" w:rsidRPr="00E93F40" w14:paraId="22F801E6" w14:textId="77777777">
        <w:tc>
          <w:tcPr>
            <w:tcW w:w="939" w:type="dxa"/>
            <w:tcBorders>
              <w:top w:val="single" w:sz="6" w:space="0" w:color="auto"/>
              <w:left w:val="single" w:sz="6" w:space="0" w:color="auto"/>
              <w:bottom w:val="single" w:sz="6" w:space="0" w:color="auto"/>
              <w:right w:val="single" w:sz="6" w:space="0" w:color="auto"/>
            </w:tcBorders>
          </w:tcPr>
          <w:p w14:paraId="68DE6F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w:t>
            </w:r>
          </w:p>
        </w:tc>
        <w:tc>
          <w:tcPr>
            <w:tcW w:w="939" w:type="dxa"/>
            <w:tcBorders>
              <w:top w:val="single" w:sz="6" w:space="0" w:color="auto"/>
              <w:left w:val="single" w:sz="6" w:space="0" w:color="auto"/>
              <w:bottom w:val="single" w:sz="6" w:space="0" w:color="auto"/>
              <w:right w:val="single" w:sz="6" w:space="0" w:color="auto"/>
            </w:tcBorders>
          </w:tcPr>
          <w:p w14:paraId="3858A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023A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820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20EE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5B3C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1B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433D1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 позволяет уменьшить полетный вес самолета и</w:t>
            </w:r>
          </w:p>
        </w:tc>
      </w:tr>
      <w:tr w:rsidR="00DA227A" w:rsidRPr="00E93F40" w14:paraId="730A6248" w14:textId="77777777">
        <w:tc>
          <w:tcPr>
            <w:tcW w:w="939" w:type="dxa"/>
            <w:tcBorders>
              <w:top w:val="single" w:sz="6" w:space="0" w:color="auto"/>
              <w:left w:val="single" w:sz="6" w:space="0" w:color="auto"/>
              <w:bottom w:val="single" w:sz="6" w:space="0" w:color="auto"/>
              <w:right w:val="single" w:sz="6" w:space="0" w:color="auto"/>
            </w:tcBorders>
          </w:tcPr>
          <w:p w14:paraId="1F6DA0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дальний развед.)</w:t>
            </w:r>
          </w:p>
        </w:tc>
        <w:tc>
          <w:tcPr>
            <w:tcW w:w="939" w:type="dxa"/>
            <w:tcBorders>
              <w:top w:val="single" w:sz="6" w:space="0" w:color="auto"/>
              <w:left w:val="single" w:sz="6" w:space="0" w:color="auto"/>
              <w:bottom w:val="single" w:sz="6" w:space="0" w:color="auto"/>
              <w:right w:val="single" w:sz="6" w:space="0" w:color="auto"/>
            </w:tcBorders>
          </w:tcPr>
          <w:p w14:paraId="4BB18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51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D4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4DD7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57B7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2D57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375A3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его размеры. Заканчивается общая компановка с-та.</w:t>
            </w:r>
          </w:p>
        </w:tc>
      </w:tr>
      <w:tr w:rsidR="00DA227A" w:rsidRPr="00E93F40" w14:paraId="13C26F7B" w14:textId="77777777">
        <w:tc>
          <w:tcPr>
            <w:tcW w:w="939" w:type="dxa"/>
            <w:tcBorders>
              <w:top w:val="single" w:sz="6" w:space="0" w:color="auto"/>
              <w:left w:val="single" w:sz="6" w:space="0" w:color="auto"/>
              <w:bottom w:val="single" w:sz="6" w:space="0" w:color="auto"/>
              <w:right w:val="single" w:sz="6" w:space="0" w:color="auto"/>
            </w:tcBorders>
          </w:tcPr>
          <w:p w14:paraId="70696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FC86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C3B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00C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7A9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80AF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DD1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CD07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Находится в постройке макет.</w:t>
            </w:r>
          </w:p>
        </w:tc>
      </w:tr>
      <w:tr w:rsidR="00DA227A" w:rsidRPr="00E93F40" w14:paraId="594808E1" w14:textId="77777777">
        <w:tc>
          <w:tcPr>
            <w:tcW w:w="939" w:type="dxa"/>
            <w:tcBorders>
              <w:top w:val="single" w:sz="6" w:space="0" w:color="auto"/>
              <w:left w:val="single" w:sz="6" w:space="0" w:color="auto"/>
              <w:bottom w:val="single" w:sz="6" w:space="0" w:color="auto"/>
              <w:right w:val="single" w:sz="6" w:space="0" w:color="auto"/>
            </w:tcBorders>
          </w:tcPr>
          <w:p w14:paraId="253B77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МИ3-2М34</w:t>
            </w:r>
          </w:p>
        </w:tc>
        <w:tc>
          <w:tcPr>
            <w:tcW w:w="939" w:type="dxa"/>
            <w:tcBorders>
              <w:top w:val="single" w:sz="6" w:space="0" w:color="auto"/>
              <w:left w:val="single" w:sz="6" w:space="0" w:color="auto"/>
              <w:bottom w:val="single" w:sz="6" w:space="0" w:color="auto"/>
              <w:right w:val="single" w:sz="6" w:space="0" w:color="auto"/>
            </w:tcBorders>
          </w:tcPr>
          <w:p w14:paraId="7571F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300/5000</w:t>
            </w:r>
          </w:p>
        </w:tc>
        <w:tc>
          <w:tcPr>
            <w:tcW w:w="939" w:type="dxa"/>
            <w:tcBorders>
              <w:top w:val="single" w:sz="6" w:space="0" w:color="auto"/>
              <w:left w:val="single" w:sz="6" w:space="0" w:color="auto"/>
              <w:bottom w:val="single" w:sz="6" w:space="0" w:color="auto"/>
              <w:right w:val="single" w:sz="6" w:space="0" w:color="auto"/>
            </w:tcBorders>
          </w:tcPr>
          <w:p w14:paraId="2F80B3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7764D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7-8000</w:t>
            </w:r>
          </w:p>
        </w:tc>
        <w:tc>
          <w:tcPr>
            <w:tcW w:w="939" w:type="dxa"/>
            <w:tcBorders>
              <w:top w:val="single" w:sz="6" w:space="0" w:color="auto"/>
              <w:left w:val="single" w:sz="6" w:space="0" w:color="auto"/>
              <w:bottom w:val="single" w:sz="6" w:space="0" w:color="auto"/>
              <w:right w:val="single" w:sz="6" w:space="0" w:color="auto"/>
            </w:tcBorders>
          </w:tcPr>
          <w:p w14:paraId="72439D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тяж. пулем.</w:t>
            </w:r>
          </w:p>
        </w:tc>
        <w:tc>
          <w:tcPr>
            <w:tcW w:w="939" w:type="dxa"/>
            <w:tcBorders>
              <w:top w:val="single" w:sz="6" w:space="0" w:color="auto"/>
              <w:left w:val="single" w:sz="6" w:space="0" w:color="auto"/>
              <w:bottom w:val="single" w:sz="6" w:space="0" w:color="auto"/>
              <w:right w:val="single" w:sz="6" w:space="0" w:color="auto"/>
            </w:tcBorders>
          </w:tcPr>
          <w:p w14:paraId="26F75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39" w:type="dxa"/>
            <w:tcBorders>
              <w:top w:val="single" w:sz="6" w:space="0" w:color="auto"/>
              <w:left w:val="single" w:sz="6" w:space="0" w:color="auto"/>
              <w:bottom w:val="single" w:sz="6" w:space="0" w:color="auto"/>
              <w:right w:val="single" w:sz="6" w:space="0" w:color="auto"/>
            </w:tcBorders>
          </w:tcPr>
          <w:p w14:paraId="7A571F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1.01.33 г.</w:t>
            </w:r>
          </w:p>
        </w:tc>
        <w:tc>
          <w:tcPr>
            <w:tcW w:w="4025" w:type="dxa"/>
            <w:tcBorders>
              <w:top w:val="single" w:sz="6" w:space="0" w:color="auto"/>
              <w:left w:val="single" w:sz="6" w:space="0" w:color="auto"/>
              <w:bottom w:val="single" w:sz="6" w:space="0" w:color="auto"/>
              <w:right w:val="single" w:sz="6" w:space="0" w:color="auto"/>
            </w:tcBorders>
          </w:tcPr>
          <w:p w14:paraId="7B5079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с-та закончено. Выход его на аэродром</w:t>
            </w:r>
          </w:p>
        </w:tc>
      </w:tr>
      <w:tr w:rsidR="00DA227A" w:rsidRPr="00E93F40" w14:paraId="2E9A1C4B" w14:textId="77777777">
        <w:tc>
          <w:tcPr>
            <w:tcW w:w="939" w:type="dxa"/>
            <w:tcBorders>
              <w:top w:val="single" w:sz="6" w:space="0" w:color="auto"/>
              <w:left w:val="single" w:sz="6" w:space="0" w:color="auto"/>
              <w:bottom w:val="single" w:sz="6" w:space="0" w:color="auto"/>
              <w:right w:val="single" w:sz="6" w:space="0" w:color="auto"/>
            </w:tcBorders>
          </w:tcPr>
          <w:p w14:paraId="3B897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(Многоместный</w:t>
            </w:r>
          </w:p>
        </w:tc>
        <w:tc>
          <w:tcPr>
            <w:tcW w:w="939" w:type="dxa"/>
            <w:tcBorders>
              <w:top w:val="single" w:sz="6" w:space="0" w:color="auto"/>
              <w:left w:val="single" w:sz="6" w:space="0" w:color="auto"/>
              <w:bottom w:val="single" w:sz="6" w:space="0" w:color="auto"/>
              <w:right w:val="single" w:sz="6" w:space="0" w:color="auto"/>
            </w:tcBorders>
          </w:tcPr>
          <w:p w14:paraId="230CFF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BED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98A9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39" w:type="dxa"/>
            <w:tcBorders>
              <w:top w:val="single" w:sz="6" w:space="0" w:color="auto"/>
              <w:left w:val="single" w:sz="6" w:space="0" w:color="auto"/>
              <w:bottom w:val="single" w:sz="6" w:space="0" w:color="auto"/>
              <w:right w:val="single" w:sz="6" w:space="0" w:color="auto"/>
            </w:tcBorders>
          </w:tcPr>
          <w:p w14:paraId="20B11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легких</w:t>
            </w:r>
          </w:p>
        </w:tc>
        <w:tc>
          <w:tcPr>
            <w:tcW w:w="939" w:type="dxa"/>
            <w:tcBorders>
              <w:top w:val="single" w:sz="6" w:space="0" w:color="auto"/>
              <w:left w:val="single" w:sz="6" w:space="0" w:color="auto"/>
              <w:bottom w:val="single" w:sz="6" w:space="0" w:color="auto"/>
              <w:right w:val="single" w:sz="6" w:space="0" w:color="auto"/>
            </w:tcBorders>
          </w:tcPr>
          <w:p w14:paraId="445B3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A1A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 на</w:t>
            </w:r>
          </w:p>
        </w:tc>
        <w:tc>
          <w:tcPr>
            <w:tcW w:w="4025" w:type="dxa"/>
            <w:tcBorders>
              <w:top w:val="single" w:sz="6" w:space="0" w:color="auto"/>
              <w:left w:val="single" w:sz="6" w:space="0" w:color="auto"/>
              <w:bottom w:val="single" w:sz="6" w:space="0" w:color="auto"/>
              <w:right w:val="single" w:sz="6" w:space="0" w:color="auto"/>
            </w:tcBorders>
          </w:tcPr>
          <w:p w14:paraId="595861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задерживается отсутствием мотора М34. В наст. вр.</w:t>
            </w:r>
          </w:p>
        </w:tc>
      </w:tr>
      <w:tr w:rsidR="00DA227A" w:rsidRPr="00E93F40" w14:paraId="5281A9B7" w14:textId="77777777">
        <w:tc>
          <w:tcPr>
            <w:tcW w:w="939" w:type="dxa"/>
            <w:tcBorders>
              <w:top w:val="single" w:sz="6" w:space="0" w:color="auto"/>
              <w:left w:val="single" w:sz="6" w:space="0" w:color="auto"/>
              <w:bottom w:val="single" w:sz="6" w:space="0" w:color="auto"/>
              <w:right w:val="single" w:sz="6" w:space="0" w:color="auto"/>
            </w:tcBorders>
          </w:tcPr>
          <w:p w14:paraId="693C4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48A70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842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DEB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5D4B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21B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13B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w:t>
            </w:r>
          </w:p>
        </w:tc>
        <w:tc>
          <w:tcPr>
            <w:tcW w:w="4025" w:type="dxa"/>
            <w:tcBorders>
              <w:top w:val="single" w:sz="6" w:space="0" w:color="auto"/>
              <w:left w:val="single" w:sz="6" w:space="0" w:color="auto"/>
              <w:bottom w:val="single" w:sz="6" w:space="0" w:color="auto"/>
              <w:right w:val="single" w:sz="6" w:space="0" w:color="auto"/>
            </w:tcBorders>
          </w:tcPr>
          <w:p w14:paraId="4AAFB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 М34 ЦАГИ получены, выход с-та на аэродр.</w:t>
            </w:r>
          </w:p>
        </w:tc>
      </w:tr>
      <w:tr w:rsidR="00DA227A" w:rsidRPr="00E93F40" w14:paraId="0930B5C3" w14:textId="77777777">
        <w:tc>
          <w:tcPr>
            <w:tcW w:w="939" w:type="dxa"/>
            <w:tcBorders>
              <w:top w:val="single" w:sz="6" w:space="0" w:color="auto"/>
              <w:left w:val="single" w:sz="6" w:space="0" w:color="auto"/>
              <w:bottom w:val="single" w:sz="6" w:space="0" w:color="auto"/>
              <w:right w:val="single" w:sz="6" w:space="0" w:color="auto"/>
            </w:tcBorders>
          </w:tcPr>
          <w:p w14:paraId="5358C1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FB7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B3CC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E6F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FCA9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095B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0850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02.33 г.</w:t>
            </w:r>
          </w:p>
        </w:tc>
        <w:tc>
          <w:tcPr>
            <w:tcW w:w="4025" w:type="dxa"/>
            <w:tcBorders>
              <w:top w:val="single" w:sz="6" w:space="0" w:color="auto"/>
              <w:left w:val="single" w:sz="6" w:space="0" w:color="auto"/>
              <w:bottom w:val="single" w:sz="6" w:space="0" w:color="auto"/>
              <w:right w:val="single" w:sz="6" w:space="0" w:color="auto"/>
            </w:tcBorders>
          </w:tcPr>
          <w:p w14:paraId="410573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намечен на конец января-февраль 1933 г. Дублер</w:t>
            </w:r>
          </w:p>
        </w:tc>
      </w:tr>
      <w:tr w:rsidR="00DA227A" w:rsidRPr="00E93F40" w14:paraId="4D3657A6" w14:textId="77777777">
        <w:tc>
          <w:tcPr>
            <w:tcW w:w="939" w:type="dxa"/>
            <w:tcBorders>
              <w:top w:val="single" w:sz="6" w:space="0" w:color="auto"/>
              <w:left w:val="single" w:sz="6" w:space="0" w:color="auto"/>
              <w:bottom w:val="single" w:sz="6" w:space="0" w:color="auto"/>
              <w:right w:val="single" w:sz="6" w:space="0" w:color="auto"/>
            </w:tcBorders>
          </w:tcPr>
          <w:p w14:paraId="2CB9B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1544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E8DE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9FB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093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392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512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 исп.</w:t>
            </w:r>
          </w:p>
        </w:tc>
        <w:tc>
          <w:tcPr>
            <w:tcW w:w="4025" w:type="dxa"/>
            <w:tcBorders>
              <w:top w:val="single" w:sz="6" w:space="0" w:color="auto"/>
              <w:left w:val="single" w:sz="6" w:space="0" w:color="auto"/>
              <w:bottom w:val="single" w:sz="6" w:space="0" w:color="auto"/>
              <w:right w:val="single" w:sz="6" w:space="0" w:color="auto"/>
            </w:tcBorders>
          </w:tcPr>
          <w:p w14:paraId="426F91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 Ми3 находится в постройке.</w:t>
            </w:r>
          </w:p>
        </w:tc>
      </w:tr>
      <w:tr w:rsidR="00DA227A" w:rsidRPr="00E93F40" w14:paraId="2C9B544A" w14:textId="77777777">
        <w:tc>
          <w:tcPr>
            <w:tcW w:w="939" w:type="dxa"/>
            <w:tcBorders>
              <w:top w:val="single" w:sz="6" w:space="0" w:color="auto"/>
              <w:left w:val="single" w:sz="6" w:space="0" w:color="auto"/>
              <w:bottom w:val="single" w:sz="6" w:space="0" w:color="auto"/>
              <w:right w:val="single" w:sz="6" w:space="0" w:color="auto"/>
            </w:tcBorders>
          </w:tcPr>
          <w:p w14:paraId="38CD55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ДИП1-2М34</w:t>
            </w:r>
          </w:p>
        </w:tc>
        <w:tc>
          <w:tcPr>
            <w:tcW w:w="939" w:type="dxa"/>
            <w:tcBorders>
              <w:top w:val="single" w:sz="6" w:space="0" w:color="auto"/>
              <w:left w:val="single" w:sz="6" w:space="0" w:color="auto"/>
              <w:bottom w:val="single" w:sz="6" w:space="0" w:color="auto"/>
              <w:right w:val="single" w:sz="6" w:space="0" w:color="auto"/>
            </w:tcBorders>
          </w:tcPr>
          <w:p w14:paraId="384DF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325/5000</w:t>
            </w:r>
          </w:p>
        </w:tc>
        <w:tc>
          <w:tcPr>
            <w:tcW w:w="939" w:type="dxa"/>
            <w:tcBorders>
              <w:top w:val="single" w:sz="6" w:space="0" w:color="auto"/>
              <w:left w:val="single" w:sz="6" w:space="0" w:color="auto"/>
              <w:bottom w:val="single" w:sz="6" w:space="0" w:color="auto"/>
              <w:right w:val="single" w:sz="6" w:space="0" w:color="auto"/>
            </w:tcBorders>
          </w:tcPr>
          <w:p w14:paraId="23108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4CCC6D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939" w:type="dxa"/>
            <w:tcBorders>
              <w:top w:val="single" w:sz="6" w:space="0" w:color="auto"/>
              <w:left w:val="single" w:sz="6" w:space="0" w:color="auto"/>
              <w:bottom w:val="single" w:sz="6" w:space="0" w:color="auto"/>
              <w:right w:val="single" w:sz="6" w:space="0" w:color="auto"/>
            </w:tcBorders>
          </w:tcPr>
          <w:p w14:paraId="599A63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пушка ДРП</w:t>
            </w:r>
          </w:p>
        </w:tc>
        <w:tc>
          <w:tcPr>
            <w:tcW w:w="939" w:type="dxa"/>
            <w:tcBorders>
              <w:top w:val="single" w:sz="6" w:space="0" w:color="auto"/>
              <w:left w:val="single" w:sz="6" w:space="0" w:color="auto"/>
              <w:bottom w:val="single" w:sz="6" w:space="0" w:color="auto"/>
              <w:right w:val="single" w:sz="6" w:space="0" w:color="auto"/>
            </w:tcBorders>
          </w:tcPr>
          <w:p w14:paraId="12ED7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3B70E9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1.10.33/-</w:t>
            </w:r>
          </w:p>
        </w:tc>
        <w:tc>
          <w:tcPr>
            <w:tcW w:w="4025" w:type="dxa"/>
            <w:tcBorders>
              <w:top w:val="single" w:sz="6" w:space="0" w:color="auto"/>
              <w:left w:val="single" w:sz="6" w:space="0" w:color="auto"/>
              <w:bottom w:val="single" w:sz="6" w:space="0" w:color="auto"/>
              <w:right w:val="single" w:sz="6" w:space="0" w:color="auto"/>
            </w:tcBorders>
          </w:tcPr>
          <w:p w14:paraId="75ADE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шасси и моторные установки проектиров.</w:t>
            </w:r>
          </w:p>
        </w:tc>
      </w:tr>
      <w:tr w:rsidR="00DA227A" w:rsidRPr="00E93F40" w14:paraId="03D6BDDC" w14:textId="77777777">
        <w:tc>
          <w:tcPr>
            <w:tcW w:w="939" w:type="dxa"/>
            <w:tcBorders>
              <w:top w:val="single" w:sz="6" w:space="0" w:color="auto"/>
              <w:left w:val="single" w:sz="6" w:space="0" w:color="auto"/>
              <w:bottom w:val="single" w:sz="6" w:space="0" w:color="auto"/>
              <w:right w:val="single" w:sz="6" w:space="0" w:color="auto"/>
            </w:tcBorders>
          </w:tcPr>
          <w:p w14:paraId="5DFD7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(Двухместный</w:t>
            </w:r>
          </w:p>
        </w:tc>
        <w:tc>
          <w:tcPr>
            <w:tcW w:w="939" w:type="dxa"/>
            <w:tcBorders>
              <w:top w:val="single" w:sz="6" w:space="0" w:color="auto"/>
              <w:left w:val="single" w:sz="6" w:space="0" w:color="auto"/>
              <w:bottom w:val="single" w:sz="6" w:space="0" w:color="auto"/>
              <w:right w:val="single" w:sz="6" w:space="0" w:color="auto"/>
            </w:tcBorders>
          </w:tcPr>
          <w:p w14:paraId="600EE7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E31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41E4F6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C476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легк. пулем.</w:t>
            </w:r>
          </w:p>
        </w:tc>
        <w:tc>
          <w:tcPr>
            <w:tcW w:w="939" w:type="dxa"/>
            <w:tcBorders>
              <w:top w:val="single" w:sz="6" w:space="0" w:color="auto"/>
              <w:left w:val="single" w:sz="6" w:space="0" w:color="auto"/>
              <w:bottom w:val="single" w:sz="6" w:space="0" w:color="auto"/>
              <w:right w:val="single" w:sz="6" w:space="0" w:color="auto"/>
            </w:tcBorders>
          </w:tcPr>
          <w:p w14:paraId="1708FD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E74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98E51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закончены и находятся в производстве. Ведется</w:t>
            </w:r>
          </w:p>
        </w:tc>
      </w:tr>
      <w:tr w:rsidR="00DA227A" w:rsidRPr="00E93F40" w14:paraId="56A05BBD" w14:textId="77777777">
        <w:tc>
          <w:tcPr>
            <w:tcW w:w="939" w:type="dxa"/>
            <w:tcBorders>
              <w:top w:val="single" w:sz="6" w:space="0" w:color="auto"/>
              <w:left w:val="single" w:sz="6" w:space="0" w:color="auto"/>
              <w:bottom w:val="single" w:sz="6" w:space="0" w:color="auto"/>
              <w:right w:val="single" w:sz="6" w:space="0" w:color="auto"/>
            </w:tcBorders>
          </w:tcPr>
          <w:p w14:paraId="603E4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51108C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D984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B24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3598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3A2B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962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D844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фюзеляжа, хвостового оперения и</w:t>
            </w:r>
          </w:p>
        </w:tc>
      </w:tr>
      <w:tr w:rsidR="00DA227A" w:rsidRPr="00E93F40" w14:paraId="7ACA3670" w14:textId="77777777">
        <w:tc>
          <w:tcPr>
            <w:tcW w:w="939" w:type="dxa"/>
            <w:tcBorders>
              <w:top w:val="single" w:sz="6" w:space="0" w:color="auto"/>
              <w:left w:val="single" w:sz="6" w:space="0" w:color="auto"/>
              <w:bottom w:val="single" w:sz="6" w:space="0" w:color="auto"/>
              <w:right w:val="single" w:sz="6" w:space="0" w:color="auto"/>
            </w:tcBorders>
          </w:tcPr>
          <w:p w14:paraId="60EC43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пушечный)</w:t>
            </w:r>
          </w:p>
        </w:tc>
        <w:tc>
          <w:tcPr>
            <w:tcW w:w="939" w:type="dxa"/>
            <w:tcBorders>
              <w:top w:val="single" w:sz="6" w:space="0" w:color="auto"/>
              <w:left w:val="single" w:sz="6" w:space="0" w:color="auto"/>
              <w:bottom w:val="single" w:sz="6" w:space="0" w:color="auto"/>
              <w:right w:val="single" w:sz="6" w:space="0" w:color="auto"/>
            </w:tcBorders>
          </w:tcPr>
          <w:p w14:paraId="62E421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E49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F9A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BA8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18BE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5468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2B28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установок вооружения. Находится в постройке макет</w:t>
            </w:r>
          </w:p>
        </w:tc>
      </w:tr>
      <w:tr w:rsidR="00DA227A" w:rsidRPr="00E93F40" w14:paraId="7543D257" w14:textId="77777777">
        <w:tc>
          <w:tcPr>
            <w:tcW w:w="939" w:type="dxa"/>
            <w:tcBorders>
              <w:top w:val="single" w:sz="6" w:space="0" w:color="auto"/>
              <w:left w:val="single" w:sz="6" w:space="0" w:color="auto"/>
              <w:bottom w:val="single" w:sz="6" w:space="0" w:color="auto"/>
              <w:right w:val="single" w:sz="6" w:space="0" w:color="auto"/>
            </w:tcBorders>
          </w:tcPr>
          <w:p w14:paraId="3A9756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D7C7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2FF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1BF5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93B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079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BF8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0BD3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w:t>
            </w:r>
          </w:p>
        </w:tc>
      </w:tr>
      <w:tr w:rsidR="00DA227A" w:rsidRPr="00E93F40" w14:paraId="3523802C" w14:textId="77777777">
        <w:tc>
          <w:tcPr>
            <w:tcW w:w="939" w:type="dxa"/>
            <w:tcBorders>
              <w:top w:val="single" w:sz="6" w:space="0" w:color="auto"/>
              <w:left w:val="single" w:sz="6" w:space="0" w:color="auto"/>
              <w:bottom w:val="single" w:sz="6" w:space="0" w:color="auto"/>
              <w:right w:val="single" w:sz="6" w:space="0" w:color="auto"/>
            </w:tcBorders>
          </w:tcPr>
          <w:p w14:paraId="45E938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ЛР-М34 (Легк.</w:t>
            </w:r>
          </w:p>
        </w:tc>
        <w:tc>
          <w:tcPr>
            <w:tcW w:w="939" w:type="dxa"/>
            <w:tcBorders>
              <w:top w:val="single" w:sz="6" w:space="0" w:color="auto"/>
              <w:left w:val="single" w:sz="6" w:space="0" w:color="auto"/>
              <w:bottom w:val="single" w:sz="6" w:space="0" w:color="auto"/>
              <w:right w:val="single" w:sz="6" w:space="0" w:color="auto"/>
            </w:tcBorders>
          </w:tcPr>
          <w:p w14:paraId="1F2AB8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300-310/</w:t>
            </w:r>
          </w:p>
        </w:tc>
        <w:tc>
          <w:tcPr>
            <w:tcW w:w="939" w:type="dxa"/>
            <w:tcBorders>
              <w:top w:val="single" w:sz="6" w:space="0" w:color="auto"/>
              <w:left w:val="single" w:sz="6" w:space="0" w:color="auto"/>
              <w:bottom w:val="single" w:sz="6" w:space="0" w:color="auto"/>
              <w:right w:val="single" w:sz="6" w:space="0" w:color="auto"/>
            </w:tcBorders>
          </w:tcPr>
          <w:p w14:paraId="44F729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8F2A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706C5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0797D3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66A8B1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1.03.33</w:t>
            </w:r>
          </w:p>
        </w:tc>
        <w:tc>
          <w:tcPr>
            <w:tcW w:w="4025" w:type="dxa"/>
            <w:tcBorders>
              <w:top w:val="single" w:sz="6" w:space="0" w:color="auto"/>
              <w:left w:val="single" w:sz="6" w:space="0" w:color="auto"/>
              <w:bottom w:val="single" w:sz="6" w:space="0" w:color="auto"/>
              <w:right w:val="single" w:sz="6" w:space="0" w:color="auto"/>
            </w:tcBorders>
          </w:tcPr>
          <w:p w14:paraId="70BA46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без предварительного предъявления макета</w:t>
            </w:r>
          </w:p>
        </w:tc>
      </w:tr>
      <w:tr w:rsidR="00DA227A" w:rsidRPr="00E93F40" w14:paraId="261A15E2" w14:textId="77777777">
        <w:tc>
          <w:tcPr>
            <w:tcW w:w="939" w:type="dxa"/>
            <w:tcBorders>
              <w:top w:val="single" w:sz="6" w:space="0" w:color="auto"/>
              <w:left w:val="single" w:sz="6" w:space="0" w:color="auto"/>
              <w:bottom w:val="single" w:sz="6" w:space="0" w:color="auto"/>
              <w:right w:val="single" w:sz="6" w:space="0" w:color="auto"/>
            </w:tcBorders>
          </w:tcPr>
          <w:p w14:paraId="2DF8DE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3F821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7DD64E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8F98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E64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91E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7CEE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 на</w:t>
            </w:r>
          </w:p>
        </w:tc>
        <w:tc>
          <w:tcPr>
            <w:tcW w:w="4025" w:type="dxa"/>
            <w:tcBorders>
              <w:top w:val="single" w:sz="6" w:space="0" w:color="auto"/>
              <w:left w:val="single" w:sz="6" w:space="0" w:color="auto"/>
              <w:bottom w:val="single" w:sz="6" w:space="0" w:color="auto"/>
              <w:right w:val="single" w:sz="6" w:space="0" w:color="auto"/>
            </w:tcBorders>
          </w:tcPr>
          <w:p w14:paraId="16CF34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провело проектирование с-та с расположением</w:t>
            </w:r>
          </w:p>
        </w:tc>
      </w:tr>
      <w:tr w:rsidR="00DA227A" w:rsidRPr="00E93F40" w14:paraId="353A6993" w14:textId="77777777">
        <w:tc>
          <w:tcPr>
            <w:tcW w:w="939" w:type="dxa"/>
            <w:tcBorders>
              <w:top w:val="single" w:sz="6" w:space="0" w:color="auto"/>
              <w:left w:val="single" w:sz="6" w:space="0" w:color="auto"/>
              <w:bottom w:val="single" w:sz="6" w:space="0" w:color="auto"/>
              <w:right w:val="single" w:sz="6" w:space="0" w:color="auto"/>
            </w:tcBorders>
          </w:tcPr>
          <w:p w14:paraId="51C63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38C1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6FE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2254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0EC8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26E3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F28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w:t>
            </w:r>
          </w:p>
        </w:tc>
        <w:tc>
          <w:tcPr>
            <w:tcW w:w="4025" w:type="dxa"/>
            <w:tcBorders>
              <w:top w:val="single" w:sz="6" w:space="0" w:color="auto"/>
              <w:left w:val="single" w:sz="6" w:space="0" w:color="auto"/>
              <w:bottom w:val="single" w:sz="6" w:space="0" w:color="auto"/>
              <w:right w:val="single" w:sz="6" w:space="0" w:color="auto"/>
            </w:tcBorders>
          </w:tcPr>
          <w:p w14:paraId="036ADA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заднего стрелка стоя. Макет не был утвержден, в</w:t>
            </w:r>
          </w:p>
        </w:tc>
      </w:tr>
      <w:tr w:rsidR="00DA227A" w:rsidRPr="00E93F40" w14:paraId="2015DB45" w14:textId="77777777">
        <w:tc>
          <w:tcPr>
            <w:tcW w:w="939" w:type="dxa"/>
            <w:tcBorders>
              <w:top w:val="single" w:sz="6" w:space="0" w:color="auto"/>
              <w:left w:val="single" w:sz="6" w:space="0" w:color="auto"/>
              <w:bottom w:val="single" w:sz="6" w:space="0" w:color="auto"/>
              <w:right w:val="single" w:sz="6" w:space="0" w:color="auto"/>
            </w:tcBorders>
          </w:tcPr>
          <w:p w14:paraId="1CF10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A60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B05C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D7EC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A5C3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36E1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485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63F9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результате чего ЦАГИ ведет перепроектировку</w:t>
            </w:r>
          </w:p>
        </w:tc>
      </w:tr>
      <w:tr w:rsidR="00DA227A" w:rsidRPr="00E93F40" w14:paraId="2557D42D" w14:textId="77777777">
        <w:tc>
          <w:tcPr>
            <w:tcW w:w="939" w:type="dxa"/>
            <w:tcBorders>
              <w:top w:val="single" w:sz="6" w:space="0" w:color="auto"/>
              <w:left w:val="single" w:sz="6" w:space="0" w:color="auto"/>
              <w:bottom w:val="single" w:sz="6" w:space="0" w:color="auto"/>
              <w:right w:val="single" w:sz="6" w:space="0" w:color="auto"/>
            </w:tcBorders>
          </w:tcPr>
          <w:p w14:paraId="018997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97E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C7F8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A2B9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B4F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D0E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6189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2F53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с-та с учетом требования ВВС о расположении </w:t>
            </w:r>
          </w:p>
        </w:tc>
      </w:tr>
      <w:tr w:rsidR="00DA227A" w:rsidRPr="00E93F40" w14:paraId="2FD992E6" w14:textId="77777777">
        <w:tc>
          <w:tcPr>
            <w:tcW w:w="939" w:type="dxa"/>
            <w:tcBorders>
              <w:top w:val="single" w:sz="6" w:space="0" w:color="auto"/>
              <w:left w:val="single" w:sz="6" w:space="0" w:color="auto"/>
              <w:bottom w:val="single" w:sz="6" w:space="0" w:color="auto"/>
              <w:right w:val="single" w:sz="6" w:space="0" w:color="auto"/>
            </w:tcBorders>
          </w:tcPr>
          <w:p w14:paraId="35737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AF83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541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49E6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1969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EEF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260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E5F0F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стрелка сидя. Макет нового варианта самолета</w:t>
            </w:r>
          </w:p>
        </w:tc>
      </w:tr>
      <w:tr w:rsidR="00DA227A" w:rsidRPr="00E93F40" w14:paraId="5F732638" w14:textId="77777777">
        <w:tc>
          <w:tcPr>
            <w:tcW w:w="939" w:type="dxa"/>
            <w:tcBorders>
              <w:top w:val="single" w:sz="6" w:space="0" w:color="auto"/>
              <w:left w:val="single" w:sz="6" w:space="0" w:color="auto"/>
              <w:bottom w:val="single" w:sz="6" w:space="0" w:color="auto"/>
              <w:right w:val="single" w:sz="6" w:space="0" w:color="auto"/>
            </w:tcBorders>
          </w:tcPr>
          <w:p w14:paraId="48E558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888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D6F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92A5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B4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145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08FF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D408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утвержден. В связи с этим неизбежно не выполнен.</w:t>
            </w:r>
          </w:p>
        </w:tc>
      </w:tr>
      <w:tr w:rsidR="00DA227A" w:rsidRPr="00E93F40" w14:paraId="7041F32B" w14:textId="77777777">
        <w:tc>
          <w:tcPr>
            <w:tcW w:w="939" w:type="dxa"/>
            <w:tcBorders>
              <w:top w:val="single" w:sz="6" w:space="0" w:color="auto"/>
              <w:left w:val="single" w:sz="6" w:space="0" w:color="auto"/>
              <w:bottom w:val="single" w:sz="6" w:space="0" w:color="auto"/>
              <w:right w:val="single" w:sz="6" w:space="0" w:color="auto"/>
            </w:tcBorders>
          </w:tcPr>
          <w:p w14:paraId="5F8E2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3901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B32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9A0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FABE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66F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ADF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D70E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срока выпуска с-та на аэродром, указанного в плане</w:t>
            </w:r>
          </w:p>
        </w:tc>
      </w:tr>
      <w:tr w:rsidR="00DA227A" w:rsidRPr="00E93F40" w14:paraId="099938C6" w14:textId="77777777">
        <w:tc>
          <w:tcPr>
            <w:tcW w:w="939" w:type="dxa"/>
            <w:tcBorders>
              <w:top w:val="single" w:sz="6" w:space="0" w:color="auto"/>
              <w:left w:val="single" w:sz="6" w:space="0" w:color="auto"/>
              <w:bottom w:val="single" w:sz="6" w:space="0" w:color="auto"/>
              <w:right w:val="single" w:sz="6" w:space="0" w:color="auto"/>
            </w:tcBorders>
          </w:tcPr>
          <w:p w14:paraId="2D1A99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79F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2D97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1384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D2D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A5EA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2D27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3492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опытного строительства.</w:t>
            </w:r>
          </w:p>
        </w:tc>
      </w:tr>
      <w:tr w:rsidR="00DA227A" w:rsidRPr="00E93F40" w14:paraId="63214670" w14:textId="77777777">
        <w:tc>
          <w:tcPr>
            <w:tcW w:w="939" w:type="dxa"/>
            <w:tcBorders>
              <w:top w:val="single" w:sz="6" w:space="0" w:color="auto"/>
              <w:left w:val="single" w:sz="6" w:space="0" w:color="auto"/>
              <w:bottom w:val="single" w:sz="6" w:space="0" w:color="auto"/>
              <w:right w:val="single" w:sz="6" w:space="0" w:color="auto"/>
            </w:tcBorders>
          </w:tcPr>
          <w:p w14:paraId="5623CA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ДИ6-М34 или М38</w:t>
            </w:r>
          </w:p>
        </w:tc>
        <w:tc>
          <w:tcPr>
            <w:tcW w:w="939" w:type="dxa"/>
            <w:tcBorders>
              <w:top w:val="single" w:sz="6" w:space="0" w:color="auto"/>
              <w:left w:val="single" w:sz="6" w:space="0" w:color="auto"/>
              <w:bottom w:val="single" w:sz="6" w:space="0" w:color="auto"/>
              <w:right w:val="single" w:sz="6" w:space="0" w:color="auto"/>
            </w:tcBorders>
          </w:tcPr>
          <w:p w14:paraId="360E8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350-375/</w:t>
            </w:r>
          </w:p>
        </w:tc>
        <w:tc>
          <w:tcPr>
            <w:tcW w:w="939" w:type="dxa"/>
            <w:tcBorders>
              <w:top w:val="single" w:sz="6" w:space="0" w:color="auto"/>
              <w:left w:val="single" w:sz="6" w:space="0" w:color="auto"/>
              <w:bottom w:val="single" w:sz="6" w:space="0" w:color="auto"/>
              <w:right w:val="single" w:sz="6" w:space="0" w:color="auto"/>
            </w:tcBorders>
          </w:tcPr>
          <w:p w14:paraId="65A2B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9/5000</w:t>
            </w:r>
          </w:p>
        </w:tc>
        <w:tc>
          <w:tcPr>
            <w:tcW w:w="939" w:type="dxa"/>
            <w:tcBorders>
              <w:top w:val="single" w:sz="6" w:space="0" w:color="auto"/>
              <w:left w:val="single" w:sz="6" w:space="0" w:color="auto"/>
              <w:bottom w:val="single" w:sz="6" w:space="0" w:color="auto"/>
              <w:right w:val="single" w:sz="6" w:space="0" w:color="auto"/>
            </w:tcBorders>
          </w:tcPr>
          <w:p w14:paraId="2F676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2C5A3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w:t>
            </w:r>
          </w:p>
        </w:tc>
        <w:tc>
          <w:tcPr>
            <w:tcW w:w="939" w:type="dxa"/>
            <w:tcBorders>
              <w:top w:val="single" w:sz="6" w:space="0" w:color="auto"/>
              <w:left w:val="single" w:sz="6" w:space="0" w:color="auto"/>
              <w:bottom w:val="single" w:sz="6" w:space="0" w:color="auto"/>
              <w:right w:val="single" w:sz="6" w:space="0" w:color="auto"/>
            </w:tcBorders>
          </w:tcPr>
          <w:p w14:paraId="1BAA7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75A01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1.06.33/-</w:t>
            </w:r>
          </w:p>
        </w:tc>
        <w:tc>
          <w:tcPr>
            <w:tcW w:w="4025" w:type="dxa"/>
            <w:tcBorders>
              <w:top w:val="single" w:sz="6" w:space="0" w:color="auto"/>
              <w:left w:val="single" w:sz="6" w:space="0" w:color="auto"/>
              <w:bottom w:val="single" w:sz="6" w:space="0" w:color="auto"/>
              <w:right w:val="single" w:sz="6" w:space="0" w:color="auto"/>
            </w:tcBorders>
          </w:tcPr>
          <w:p w14:paraId="19C62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работам по с-ту ЦАГИ не приступало.</w:t>
            </w:r>
          </w:p>
        </w:tc>
      </w:tr>
      <w:tr w:rsidR="00DA227A" w:rsidRPr="00E93F40" w14:paraId="32B0FA51" w14:textId="77777777">
        <w:tc>
          <w:tcPr>
            <w:tcW w:w="939" w:type="dxa"/>
            <w:tcBorders>
              <w:top w:val="single" w:sz="6" w:space="0" w:color="auto"/>
              <w:left w:val="single" w:sz="6" w:space="0" w:color="auto"/>
              <w:bottom w:val="single" w:sz="6" w:space="0" w:color="auto"/>
              <w:right w:val="single" w:sz="6" w:space="0" w:color="auto"/>
            </w:tcBorders>
          </w:tcPr>
          <w:p w14:paraId="0E9811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М32 (Двухместн.</w:t>
            </w:r>
          </w:p>
        </w:tc>
        <w:tc>
          <w:tcPr>
            <w:tcW w:w="939" w:type="dxa"/>
            <w:tcBorders>
              <w:top w:val="single" w:sz="6" w:space="0" w:color="auto"/>
              <w:left w:val="single" w:sz="6" w:space="0" w:color="auto"/>
              <w:bottom w:val="single" w:sz="6" w:space="0" w:color="auto"/>
              <w:right w:val="single" w:sz="6" w:space="0" w:color="auto"/>
            </w:tcBorders>
          </w:tcPr>
          <w:p w14:paraId="7AD2FB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B1317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6A37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E601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09D43A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D45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5FDBF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121FA2" w14:textId="77777777">
        <w:tc>
          <w:tcPr>
            <w:tcW w:w="939" w:type="dxa"/>
            <w:tcBorders>
              <w:top w:val="single" w:sz="6" w:space="0" w:color="auto"/>
              <w:left w:val="single" w:sz="6" w:space="0" w:color="auto"/>
              <w:bottom w:val="single" w:sz="6" w:space="0" w:color="auto"/>
              <w:right w:val="single" w:sz="6" w:space="0" w:color="auto"/>
            </w:tcBorders>
          </w:tcPr>
          <w:p w14:paraId="4A7FD4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250E2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BD4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BF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CD7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F98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DF9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9CAC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B0ACBA" w14:textId="77777777">
        <w:tc>
          <w:tcPr>
            <w:tcW w:w="939" w:type="dxa"/>
            <w:tcBorders>
              <w:top w:val="single" w:sz="6" w:space="0" w:color="auto"/>
              <w:left w:val="single" w:sz="6" w:space="0" w:color="auto"/>
              <w:bottom w:val="single" w:sz="6" w:space="0" w:color="auto"/>
              <w:right w:val="single" w:sz="6" w:space="0" w:color="auto"/>
            </w:tcBorders>
          </w:tcPr>
          <w:p w14:paraId="06546B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И13-М32 </w:t>
            </w:r>
          </w:p>
        </w:tc>
        <w:tc>
          <w:tcPr>
            <w:tcW w:w="939" w:type="dxa"/>
            <w:tcBorders>
              <w:top w:val="single" w:sz="6" w:space="0" w:color="auto"/>
              <w:left w:val="single" w:sz="6" w:space="0" w:color="auto"/>
              <w:bottom w:val="single" w:sz="6" w:space="0" w:color="auto"/>
              <w:right w:val="single" w:sz="6" w:space="0" w:color="auto"/>
            </w:tcBorders>
          </w:tcPr>
          <w:p w14:paraId="6F9DE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350-400/</w:t>
            </w:r>
          </w:p>
        </w:tc>
        <w:tc>
          <w:tcPr>
            <w:tcW w:w="939" w:type="dxa"/>
            <w:tcBorders>
              <w:top w:val="single" w:sz="6" w:space="0" w:color="auto"/>
              <w:left w:val="single" w:sz="6" w:space="0" w:color="auto"/>
              <w:bottom w:val="single" w:sz="6" w:space="0" w:color="auto"/>
              <w:right w:val="single" w:sz="6" w:space="0" w:color="auto"/>
            </w:tcBorders>
          </w:tcPr>
          <w:p w14:paraId="16FA73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7-3/5000</w:t>
            </w:r>
          </w:p>
        </w:tc>
        <w:tc>
          <w:tcPr>
            <w:tcW w:w="939" w:type="dxa"/>
            <w:tcBorders>
              <w:top w:val="single" w:sz="6" w:space="0" w:color="auto"/>
              <w:left w:val="single" w:sz="6" w:space="0" w:color="auto"/>
              <w:bottom w:val="single" w:sz="6" w:space="0" w:color="auto"/>
              <w:right w:val="single" w:sz="6" w:space="0" w:color="auto"/>
            </w:tcBorders>
          </w:tcPr>
          <w:p w14:paraId="211B7A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8-9000</w:t>
            </w:r>
          </w:p>
        </w:tc>
        <w:tc>
          <w:tcPr>
            <w:tcW w:w="939" w:type="dxa"/>
            <w:tcBorders>
              <w:top w:val="single" w:sz="6" w:space="0" w:color="auto"/>
              <w:left w:val="single" w:sz="6" w:space="0" w:color="auto"/>
              <w:bottom w:val="single" w:sz="6" w:space="0" w:color="auto"/>
              <w:right w:val="single" w:sz="6" w:space="0" w:color="auto"/>
            </w:tcBorders>
          </w:tcPr>
          <w:p w14:paraId="36293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658C1B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4B0BE3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1.06.33/-</w:t>
            </w:r>
          </w:p>
        </w:tc>
        <w:tc>
          <w:tcPr>
            <w:tcW w:w="4025" w:type="dxa"/>
            <w:tcBorders>
              <w:top w:val="single" w:sz="6" w:space="0" w:color="auto"/>
              <w:left w:val="single" w:sz="6" w:space="0" w:color="auto"/>
              <w:bottom w:val="single" w:sz="6" w:space="0" w:color="auto"/>
              <w:right w:val="single" w:sz="6" w:space="0" w:color="auto"/>
            </w:tcBorders>
          </w:tcPr>
          <w:p w14:paraId="222FD9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Согласно разработанным техническим требованиям </w:t>
            </w:r>
          </w:p>
        </w:tc>
      </w:tr>
      <w:tr w:rsidR="00DA227A" w:rsidRPr="00E93F40" w14:paraId="0ABEE280" w14:textId="77777777">
        <w:tc>
          <w:tcPr>
            <w:tcW w:w="939" w:type="dxa"/>
            <w:tcBorders>
              <w:top w:val="single" w:sz="6" w:space="0" w:color="auto"/>
              <w:left w:val="single" w:sz="6" w:space="0" w:color="auto"/>
              <w:bottom w:val="single" w:sz="6" w:space="0" w:color="auto"/>
              <w:right w:val="single" w:sz="6" w:space="0" w:color="auto"/>
            </w:tcBorders>
          </w:tcPr>
          <w:p w14:paraId="34DF2D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w:t>
            </w:r>
          </w:p>
        </w:tc>
        <w:tc>
          <w:tcPr>
            <w:tcW w:w="939" w:type="dxa"/>
            <w:tcBorders>
              <w:top w:val="single" w:sz="6" w:space="0" w:color="auto"/>
              <w:left w:val="single" w:sz="6" w:space="0" w:color="auto"/>
              <w:bottom w:val="single" w:sz="6" w:space="0" w:color="auto"/>
              <w:right w:val="single" w:sz="6" w:space="0" w:color="auto"/>
            </w:tcBorders>
          </w:tcPr>
          <w:p w14:paraId="70D49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7998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03D8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27D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ED2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F34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D225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с-ту И13 ВВС приняло решение о вооружении с-та</w:t>
            </w:r>
          </w:p>
        </w:tc>
      </w:tr>
      <w:tr w:rsidR="00DA227A" w:rsidRPr="00E93F40" w14:paraId="2B51B188" w14:textId="77777777">
        <w:tc>
          <w:tcPr>
            <w:tcW w:w="939" w:type="dxa"/>
            <w:tcBorders>
              <w:top w:val="single" w:sz="6" w:space="0" w:color="auto"/>
              <w:left w:val="single" w:sz="6" w:space="0" w:color="auto"/>
              <w:bottom w:val="single" w:sz="6" w:space="0" w:color="auto"/>
              <w:right w:val="single" w:sz="6" w:space="0" w:color="auto"/>
            </w:tcBorders>
          </w:tcPr>
          <w:p w14:paraId="5803F5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2ADB23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EE7E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715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C85E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DD8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49F5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F542D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тяжелым и легким пулеметами. ЦАГИ ведет предвар.</w:t>
            </w:r>
          </w:p>
        </w:tc>
      </w:tr>
      <w:tr w:rsidR="00DA227A" w:rsidRPr="00E93F40" w14:paraId="0274446B" w14:textId="77777777">
        <w:tc>
          <w:tcPr>
            <w:tcW w:w="939" w:type="dxa"/>
            <w:tcBorders>
              <w:top w:val="single" w:sz="6" w:space="0" w:color="auto"/>
              <w:left w:val="single" w:sz="6" w:space="0" w:color="auto"/>
              <w:bottom w:val="single" w:sz="6" w:space="0" w:color="auto"/>
              <w:right w:val="single" w:sz="6" w:space="0" w:color="auto"/>
            </w:tcBorders>
          </w:tcPr>
          <w:p w14:paraId="781465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830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A4B2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574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681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CB2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3535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F5E5F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разработку схемы самолета.</w:t>
            </w:r>
          </w:p>
        </w:tc>
      </w:tr>
      <w:tr w:rsidR="00DA227A" w:rsidRPr="00E93F40" w14:paraId="4DFB7BAD" w14:textId="77777777">
        <w:tc>
          <w:tcPr>
            <w:tcW w:w="939" w:type="dxa"/>
            <w:tcBorders>
              <w:top w:val="single" w:sz="6" w:space="0" w:color="auto"/>
              <w:left w:val="single" w:sz="6" w:space="0" w:color="auto"/>
              <w:bottom w:val="single" w:sz="6" w:space="0" w:color="auto"/>
              <w:right w:val="single" w:sz="6" w:space="0" w:color="auto"/>
            </w:tcBorders>
          </w:tcPr>
          <w:p w14:paraId="41715E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И14-М38</w:t>
            </w:r>
          </w:p>
        </w:tc>
        <w:tc>
          <w:tcPr>
            <w:tcW w:w="939" w:type="dxa"/>
            <w:tcBorders>
              <w:top w:val="single" w:sz="6" w:space="0" w:color="auto"/>
              <w:left w:val="single" w:sz="6" w:space="0" w:color="auto"/>
              <w:bottom w:val="single" w:sz="6" w:space="0" w:color="auto"/>
              <w:right w:val="single" w:sz="6" w:space="0" w:color="auto"/>
            </w:tcBorders>
          </w:tcPr>
          <w:p w14:paraId="35497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340-400/</w:t>
            </w:r>
          </w:p>
        </w:tc>
        <w:tc>
          <w:tcPr>
            <w:tcW w:w="939" w:type="dxa"/>
            <w:tcBorders>
              <w:top w:val="single" w:sz="6" w:space="0" w:color="auto"/>
              <w:left w:val="single" w:sz="6" w:space="0" w:color="auto"/>
              <w:bottom w:val="single" w:sz="6" w:space="0" w:color="auto"/>
              <w:right w:val="single" w:sz="6" w:space="0" w:color="auto"/>
            </w:tcBorders>
          </w:tcPr>
          <w:p w14:paraId="5E54F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7B9D7D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63EF4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6D9ED3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939" w:type="dxa"/>
            <w:tcBorders>
              <w:top w:val="single" w:sz="6" w:space="0" w:color="auto"/>
              <w:left w:val="single" w:sz="6" w:space="0" w:color="auto"/>
              <w:bottom w:val="single" w:sz="6" w:space="0" w:color="auto"/>
              <w:right w:val="single" w:sz="6" w:space="0" w:color="auto"/>
            </w:tcBorders>
          </w:tcPr>
          <w:p w14:paraId="013332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15.03.33</w:t>
            </w:r>
          </w:p>
        </w:tc>
        <w:tc>
          <w:tcPr>
            <w:tcW w:w="4025" w:type="dxa"/>
            <w:tcBorders>
              <w:top w:val="single" w:sz="6" w:space="0" w:color="auto"/>
              <w:left w:val="single" w:sz="6" w:space="0" w:color="auto"/>
              <w:bottom w:val="single" w:sz="6" w:space="0" w:color="auto"/>
              <w:right w:val="single" w:sz="6" w:space="0" w:color="auto"/>
            </w:tcBorders>
          </w:tcPr>
          <w:p w14:paraId="24258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выдвинуло идею установки на с-те вместо</w:t>
            </w:r>
          </w:p>
        </w:tc>
      </w:tr>
      <w:tr w:rsidR="00DA227A" w:rsidRPr="00E93F40" w14:paraId="01FB147D" w14:textId="77777777">
        <w:tc>
          <w:tcPr>
            <w:tcW w:w="939" w:type="dxa"/>
            <w:tcBorders>
              <w:top w:val="single" w:sz="6" w:space="0" w:color="auto"/>
              <w:left w:val="single" w:sz="6" w:space="0" w:color="auto"/>
              <w:bottom w:val="single" w:sz="6" w:space="0" w:color="auto"/>
              <w:right w:val="single" w:sz="6" w:space="0" w:color="auto"/>
            </w:tcBorders>
          </w:tcPr>
          <w:p w14:paraId="43C475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w:t>
            </w:r>
          </w:p>
        </w:tc>
        <w:tc>
          <w:tcPr>
            <w:tcW w:w="939" w:type="dxa"/>
            <w:tcBorders>
              <w:top w:val="single" w:sz="6" w:space="0" w:color="auto"/>
              <w:left w:val="single" w:sz="6" w:space="0" w:color="auto"/>
              <w:bottom w:val="single" w:sz="6" w:space="0" w:color="auto"/>
              <w:right w:val="single" w:sz="6" w:space="0" w:color="auto"/>
            </w:tcBorders>
          </w:tcPr>
          <w:p w14:paraId="62D6C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640C7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50D4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939" w:type="dxa"/>
            <w:tcBorders>
              <w:top w:val="single" w:sz="6" w:space="0" w:color="auto"/>
              <w:left w:val="single" w:sz="6" w:space="0" w:color="auto"/>
              <w:bottom w:val="single" w:sz="6" w:space="0" w:color="auto"/>
              <w:right w:val="single" w:sz="6" w:space="0" w:color="auto"/>
            </w:tcBorders>
          </w:tcPr>
          <w:p w14:paraId="30E492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(заменены</w:t>
            </w:r>
          </w:p>
        </w:tc>
        <w:tc>
          <w:tcPr>
            <w:tcW w:w="939" w:type="dxa"/>
            <w:tcBorders>
              <w:top w:val="single" w:sz="6" w:space="0" w:color="auto"/>
              <w:left w:val="single" w:sz="6" w:space="0" w:color="auto"/>
              <w:bottom w:val="single" w:sz="6" w:space="0" w:color="auto"/>
              <w:right w:val="single" w:sz="6" w:space="0" w:color="auto"/>
            </w:tcBorders>
          </w:tcPr>
          <w:p w14:paraId="4BCE67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6747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D22FA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легких пулеметов двух легких пушек ДРП. Последнее </w:t>
            </w:r>
          </w:p>
        </w:tc>
      </w:tr>
      <w:tr w:rsidR="00DA227A" w:rsidRPr="00E93F40" w14:paraId="71719745" w14:textId="77777777">
        <w:tc>
          <w:tcPr>
            <w:tcW w:w="939" w:type="dxa"/>
            <w:tcBorders>
              <w:top w:val="single" w:sz="6" w:space="0" w:color="auto"/>
              <w:left w:val="single" w:sz="6" w:space="0" w:color="auto"/>
              <w:bottom w:val="single" w:sz="6" w:space="0" w:color="auto"/>
              <w:right w:val="single" w:sz="6" w:space="0" w:color="auto"/>
            </w:tcBorders>
          </w:tcPr>
          <w:p w14:paraId="184DA6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75F47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559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3638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240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пушками</w:t>
            </w:r>
          </w:p>
        </w:tc>
        <w:tc>
          <w:tcPr>
            <w:tcW w:w="939" w:type="dxa"/>
            <w:tcBorders>
              <w:top w:val="single" w:sz="6" w:space="0" w:color="auto"/>
              <w:left w:val="single" w:sz="6" w:space="0" w:color="auto"/>
              <w:bottom w:val="single" w:sz="6" w:space="0" w:color="auto"/>
              <w:right w:val="single" w:sz="6" w:space="0" w:color="auto"/>
            </w:tcBorders>
          </w:tcPr>
          <w:p w14:paraId="4E0837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562D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10D2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было принято начальником ВВС при условии принят.</w:t>
            </w:r>
          </w:p>
        </w:tc>
      </w:tr>
      <w:tr w:rsidR="00DA227A" w:rsidRPr="00E93F40" w14:paraId="17A04E46" w14:textId="77777777">
        <w:tc>
          <w:tcPr>
            <w:tcW w:w="939" w:type="dxa"/>
            <w:tcBorders>
              <w:top w:val="single" w:sz="6" w:space="0" w:color="auto"/>
              <w:left w:val="single" w:sz="6" w:space="0" w:color="auto"/>
              <w:bottom w:val="single" w:sz="6" w:space="0" w:color="auto"/>
              <w:right w:val="single" w:sz="6" w:space="0" w:color="auto"/>
            </w:tcBorders>
          </w:tcPr>
          <w:p w14:paraId="2DC531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0F5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CB32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6BBA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D9FB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ДРП)</w:t>
            </w:r>
          </w:p>
        </w:tc>
        <w:tc>
          <w:tcPr>
            <w:tcW w:w="939" w:type="dxa"/>
            <w:tcBorders>
              <w:top w:val="single" w:sz="6" w:space="0" w:color="auto"/>
              <w:left w:val="single" w:sz="6" w:space="0" w:color="auto"/>
              <w:bottom w:val="single" w:sz="6" w:space="0" w:color="auto"/>
              <w:right w:val="single" w:sz="6" w:space="0" w:color="auto"/>
            </w:tcBorders>
          </w:tcPr>
          <w:p w14:paraId="7FA446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1FC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CF8E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обязательства выпустить сверх плана опытн.</w:t>
            </w:r>
          </w:p>
        </w:tc>
      </w:tr>
      <w:tr w:rsidR="00DA227A" w:rsidRPr="00E93F40" w14:paraId="6DC5E829" w14:textId="77777777">
        <w:tc>
          <w:tcPr>
            <w:tcW w:w="939" w:type="dxa"/>
            <w:tcBorders>
              <w:top w:val="single" w:sz="6" w:space="0" w:color="auto"/>
              <w:left w:val="single" w:sz="6" w:space="0" w:color="auto"/>
              <w:bottom w:val="single" w:sz="6" w:space="0" w:color="auto"/>
              <w:right w:val="single" w:sz="6" w:space="0" w:color="auto"/>
            </w:tcBorders>
          </w:tcPr>
          <w:p w14:paraId="7BE790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9973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F6D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DF9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CDAA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11A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8910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958C6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строительства одноместный истребитель с мотором</w:t>
            </w:r>
          </w:p>
        </w:tc>
      </w:tr>
      <w:tr w:rsidR="00DA227A" w:rsidRPr="00E93F40" w14:paraId="7FEACF84" w14:textId="77777777">
        <w:tc>
          <w:tcPr>
            <w:tcW w:w="939" w:type="dxa"/>
            <w:tcBorders>
              <w:top w:val="single" w:sz="6" w:space="0" w:color="auto"/>
              <w:left w:val="single" w:sz="6" w:space="0" w:color="auto"/>
              <w:bottom w:val="single" w:sz="6" w:space="0" w:color="auto"/>
              <w:right w:val="single" w:sz="6" w:space="0" w:color="auto"/>
            </w:tcBorders>
          </w:tcPr>
          <w:p w14:paraId="5C685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EC63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C14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FC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69F6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1C77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28A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C897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воздушного охлаждения вооруженный легкими </w:t>
            </w:r>
          </w:p>
        </w:tc>
      </w:tr>
      <w:tr w:rsidR="00DA227A" w:rsidRPr="00E93F40" w14:paraId="6ED5B3EF" w14:textId="77777777">
        <w:tc>
          <w:tcPr>
            <w:tcW w:w="939" w:type="dxa"/>
            <w:tcBorders>
              <w:top w:val="single" w:sz="6" w:space="0" w:color="auto"/>
              <w:left w:val="single" w:sz="6" w:space="0" w:color="auto"/>
              <w:bottom w:val="single" w:sz="6" w:space="0" w:color="auto"/>
              <w:right w:val="single" w:sz="6" w:space="0" w:color="auto"/>
            </w:tcBorders>
          </w:tcPr>
          <w:p w14:paraId="6E280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E65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11B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E066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BA1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7377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BDB4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2D13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пулеметами. Такой самолет ЦАГИ принят под </w:t>
            </w:r>
          </w:p>
        </w:tc>
      </w:tr>
      <w:tr w:rsidR="00DA227A" w:rsidRPr="00E93F40" w14:paraId="3513758D" w14:textId="77777777">
        <w:tc>
          <w:tcPr>
            <w:tcW w:w="939" w:type="dxa"/>
            <w:tcBorders>
              <w:top w:val="single" w:sz="6" w:space="0" w:color="auto"/>
              <w:left w:val="single" w:sz="6" w:space="0" w:color="auto"/>
              <w:bottom w:val="single" w:sz="6" w:space="0" w:color="auto"/>
              <w:right w:val="single" w:sz="6" w:space="0" w:color="auto"/>
            </w:tcBorders>
          </w:tcPr>
          <w:p w14:paraId="1764C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6F9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10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AFD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D79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7FC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DBE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48E60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маркой И15 со сроком выпуска его к 1.09.33 г.</w:t>
            </w:r>
          </w:p>
        </w:tc>
      </w:tr>
      <w:tr w:rsidR="00DA227A" w:rsidRPr="00E93F40" w14:paraId="0D970965" w14:textId="77777777">
        <w:tc>
          <w:tcPr>
            <w:tcW w:w="939" w:type="dxa"/>
            <w:tcBorders>
              <w:top w:val="single" w:sz="6" w:space="0" w:color="auto"/>
              <w:left w:val="single" w:sz="6" w:space="0" w:color="auto"/>
              <w:bottom w:val="single" w:sz="6" w:space="0" w:color="auto"/>
              <w:right w:val="single" w:sz="6" w:space="0" w:color="auto"/>
            </w:tcBorders>
          </w:tcPr>
          <w:p w14:paraId="46916A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B661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6C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F87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41D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5AED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5701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AF394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самолета И14 (с пушками) законч.</w:t>
            </w:r>
          </w:p>
        </w:tc>
      </w:tr>
      <w:tr w:rsidR="00DA227A" w:rsidRPr="00E93F40" w14:paraId="1B0E7A3C" w14:textId="77777777">
        <w:tc>
          <w:tcPr>
            <w:tcW w:w="939" w:type="dxa"/>
            <w:tcBorders>
              <w:top w:val="single" w:sz="6" w:space="0" w:color="auto"/>
              <w:left w:val="single" w:sz="6" w:space="0" w:color="auto"/>
              <w:bottom w:val="single" w:sz="6" w:space="0" w:color="auto"/>
              <w:right w:val="single" w:sz="6" w:space="0" w:color="auto"/>
            </w:tcBorders>
          </w:tcPr>
          <w:p w14:paraId="76501A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09B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4A4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8B28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A723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140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EF05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E9FFF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с-та частично находится в произв-ве.</w:t>
            </w:r>
          </w:p>
        </w:tc>
      </w:tr>
      <w:tr w:rsidR="00DA227A" w:rsidRPr="00E93F40" w14:paraId="4BA7BB69" w14:textId="77777777">
        <w:tc>
          <w:tcPr>
            <w:tcW w:w="939" w:type="dxa"/>
            <w:tcBorders>
              <w:top w:val="single" w:sz="6" w:space="0" w:color="auto"/>
              <w:left w:val="single" w:sz="6" w:space="0" w:color="auto"/>
              <w:bottom w:val="single" w:sz="6" w:space="0" w:color="auto"/>
              <w:right w:val="single" w:sz="6" w:space="0" w:color="auto"/>
            </w:tcBorders>
          </w:tcPr>
          <w:p w14:paraId="15740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E7B8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8AE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3022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97D8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48E1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040A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823AC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Вивду не выхода мотора М38 на первом опытном</w:t>
            </w:r>
          </w:p>
        </w:tc>
      </w:tr>
      <w:tr w:rsidR="00DA227A" w:rsidRPr="00E93F40" w14:paraId="5BC3EAAC" w14:textId="77777777">
        <w:tc>
          <w:tcPr>
            <w:tcW w:w="939" w:type="dxa"/>
            <w:tcBorders>
              <w:top w:val="single" w:sz="6" w:space="0" w:color="auto"/>
              <w:left w:val="single" w:sz="6" w:space="0" w:color="auto"/>
              <w:bottom w:val="single" w:sz="6" w:space="0" w:color="auto"/>
              <w:right w:val="single" w:sz="6" w:space="0" w:color="auto"/>
            </w:tcBorders>
          </w:tcPr>
          <w:p w14:paraId="7CCD8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C0FA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4BF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63C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908E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C67D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D2D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75D92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экз. с-та И14 предположена установка мотора </w:t>
            </w:r>
          </w:p>
        </w:tc>
      </w:tr>
      <w:tr w:rsidR="00DA227A" w:rsidRPr="00E93F40" w14:paraId="47867654" w14:textId="77777777">
        <w:tc>
          <w:tcPr>
            <w:tcW w:w="939" w:type="dxa"/>
            <w:tcBorders>
              <w:top w:val="single" w:sz="6" w:space="0" w:color="auto"/>
              <w:left w:val="single" w:sz="6" w:space="0" w:color="auto"/>
              <w:bottom w:val="single" w:sz="6" w:space="0" w:color="auto"/>
              <w:right w:val="single" w:sz="6" w:space="0" w:color="auto"/>
            </w:tcBorders>
          </w:tcPr>
          <w:p w14:paraId="060EA5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DD97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FD2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6B8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1762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2F02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7AA8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6904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Бристоль-Меркур или Райт-Циклон.</w:t>
            </w:r>
          </w:p>
        </w:tc>
      </w:tr>
      <w:tr w:rsidR="00DA227A" w:rsidRPr="00E93F40" w14:paraId="0D55F777" w14:textId="77777777">
        <w:tc>
          <w:tcPr>
            <w:tcW w:w="939" w:type="dxa"/>
            <w:tcBorders>
              <w:top w:val="single" w:sz="6" w:space="0" w:color="auto"/>
              <w:left w:val="single" w:sz="6" w:space="0" w:color="auto"/>
              <w:bottom w:val="single" w:sz="6" w:space="0" w:color="auto"/>
              <w:right w:val="single" w:sz="6" w:space="0" w:color="auto"/>
            </w:tcBorders>
          </w:tcPr>
          <w:p w14:paraId="0C7640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И15 М38</w:t>
            </w:r>
          </w:p>
        </w:tc>
        <w:tc>
          <w:tcPr>
            <w:tcW w:w="939" w:type="dxa"/>
            <w:tcBorders>
              <w:top w:val="single" w:sz="6" w:space="0" w:color="auto"/>
              <w:left w:val="single" w:sz="6" w:space="0" w:color="auto"/>
              <w:bottom w:val="single" w:sz="6" w:space="0" w:color="auto"/>
              <w:right w:val="single" w:sz="6" w:space="0" w:color="auto"/>
            </w:tcBorders>
          </w:tcPr>
          <w:p w14:paraId="2F8F4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340-400/</w:t>
            </w:r>
          </w:p>
        </w:tc>
        <w:tc>
          <w:tcPr>
            <w:tcW w:w="939" w:type="dxa"/>
            <w:tcBorders>
              <w:top w:val="single" w:sz="6" w:space="0" w:color="auto"/>
              <w:left w:val="single" w:sz="6" w:space="0" w:color="auto"/>
              <w:bottom w:val="single" w:sz="6" w:space="0" w:color="auto"/>
              <w:right w:val="single" w:sz="6" w:space="0" w:color="auto"/>
            </w:tcBorders>
          </w:tcPr>
          <w:p w14:paraId="2606E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71F645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0FD39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42947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939" w:type="dxa"/>
            <w:tcBorders>
              <w:top w:val="single" w:sz="6" w:space="0" w:color="auto"/>
              <w:left w:val="single" w:sz="6" w:space="0" w:color="auto"/>
              <w:bottom w:val="single" w:sz="6" w:space="0" w:color="auto"/>
              <w:right w:val="single" w:sz="6" w:space="0" w:color="auto"/>
            </w:tcBorders>
          </w:tcPr>
          <w:p w14:paraId="54294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-/1.09.33</w:t>
            </w:r>
          </w:p>
        </w:tc>
        <w:tc>
          <w:tcPr>
            <w:tcW w:w="4025" w:type="dxa"/>
            <w:tcBorders>
              <w:top w:val="single" w:sz="6" w:space="0" w:color="auto"/>
              <w:left w:val="single" w:sz="6" w:space="0" w:color="auto"/>
              <w:bottom w:val="single" w:sz="6" w:space="0" w:color="auto"/>
              <w:right w:val="single" w:sz="6" w:space="0" w:color="auto"/>
            </w:tcBorders>
          </w:tcPr>
          <w:p w14:paraId="4DDF5F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производится разработка эскизного проекта</w:t>
            </w:r>
          </w:p>
        </w:tc>
      </w:tr>
      <w:tr w:rsidR="00DA227A" w:rsidRPr="00E93F40" w14:paraId="38306D81" w14:textId="77777777">
        <w:tc>
          <w:tcPr>
            <w:tcW w:w="939" w:type="dxa"/>
            <w:tcBorders>
              <w:top w:val="single" w:sz="6" w:space="0" w:color="auto"/>
              <w:left w:val="single" w:sz="6" w:space="0" w:color="auto"/>
              <w:bottom w:val="single" w:sz="6" w:space="0" w:color="auto"/>
              <w:right w:val="single" w:sz="6" w:space="0" w:color="auto"/>
            </w:tcBorders>
          </w:tcPr>
          <w:p w14:paraId="360342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(Одноместный</w:t>
            </w:r>
          </w:p>
        </w:tc>
        <w:tc>
          <w:tcPr>
            <w:tcW w:w="939" w:type="dxa"/>
            <w:tcBorders>
              <w:top w:val="single" w:sz="6" w:space="0" w:color="auto"/>
              <w:left w:val="single" w:sz="6" w:space="0" w:color="auto"/>
              <w:bottom w:val="single" w:sz="6" w:space="0" w:color="auto"/>
              <w:right w:val="single" w:sz="6" w:space="0" w:color="auto"/>
            </w:tcBorders>
          </w:tcPr>
          <w:p w14:paraId="360FC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16EC1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BB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10000</w:t>
            </w:r>
          </w:p>
        </w:tc>
        <w:tc>
          <w:tcPr>
            <w:tcW w:w="939" w:type="dxa"/>
            <w:tcBorders>
              <w:top w:val="single" w:sz="6" w:space="0" w:color="auto"/>
              <w:left w:val="single" w:sz="6" w:space="0" w:color="auto"/>
              <w:bottom w:val="single" w:sz="6" w:space="0" w:color="auto"/>
              <w:right w:val="single" w:sz="6" w:space="0" w:color="auto"/>
            </w:tcBorders>
          </w:tcPr>
          <w:p w14:paraId="4DCB95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2355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9491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2A67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 Находится в постройке макет.</w:t>
            </w:r>
          </w:p>
        </w:tc>
      </w:tr>
      <w:tr w:rsidR="00DA227A" w:rsidRPr="00E93F40" w14:paraId="124254BD" w14:textId="77777777">
        <w:tc>
          <w:tcPr>
            <w:tcW w:w="939" w:type="dxa"/>
            <w:tcBorders>
              <w:top w:val="single" w:sz="6" w:space="0" w:color="auto"/>
              <w:left w:val="single" w:sz="6" w:space="0" w:color="auto"/>
              <w:bottom w:val="single" w:sz="6" w:space="0" w:color="auto"/>
              <w:right w:val="single" w:sz="6" w:space="0" w:color="auto"/>
            </w:tcBorders>
          </w:tcPr>
          <w:p w14:paraId="34E5B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6C1A2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5E2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311C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DD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DC5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6BF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AC6A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FDAB8F" w14:textId="77777777">
        <w:tc>
          <w:tcPr>
            <w:tcW w:w="939" w:type="dxa"/>
            <w:tcBorders>
              <w:top w:val="single" w:sz="6" w:space="0" w:color="auto"/>
              <w:left w:val="single" w:sz="6" w:space="0" w:color="auto"/>
              <w:bottom w:val="single" w:sz="6" w:space="0" w:color="auto"/>
              <w:right w:val="single" w:sz="6" w:space="0" w:color="auto"/>
            </w:tcBorders>
          </w:tcPr>
          <w:p w14:paraId="15B98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ВС2-2М52</w:t>
            </w:r>
          </w:p>
        </w:tc>
        <w:tc>
          <w:tcPr>
            <w:tcW w:w="939" w:type="dxa"/>
            <w:tcBorders>
              <w:top w:val="single" w:sz="6" w:space="0" w:color="auto"/>
              <w:left w:val="single" w:sz="6" w:space="0" w:color="auto"/>
              <w:bottom w:val="single" w:sz="6" w:space="0" w:color="auto"/>
              <w:right w:val="single" w:sz="6" w:space="0" w:color="auto"/>
            </w:tcBorders>
          </w:tcPr>
          <w:p w14:paraId="0879C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424C3F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12/3000</w:t>
            </w:r>
          </w:p>
        </w:tc>
        <w:tc>
          <w:tcPr>
            <w:tcW w:w="939" w:type="dxa"/>
            <w:tcBorders>
              <w:top w:val="single" w:sz="6" w:space="0" w:color="auto"/>
              <w:left w:val="single" w:sz="6" w:space="0" w:color="auto"/>
              <w:bottom w:val="single" w:sz="6" w:space="0" w:color="auto"/>
              <w:right w:val="single" w:sz="6" w:space="0" w:color="auto"/>
            </w:tcBorders>
          </w:tcPr>
          <w:p w14:paraId="0237E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6531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2DA20B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c>
          <w:tcPr>
            <w:tcW w:w="939" w:type="dxa"/>
            <w:tcBorders>
              <w:top w:val="single" w:sz="6" w:space="0" w:color="auto"/>
              <w:left w:val="single" w:sz="6" w:space="0" w:color="auto"/>
              <w:bottom w:val="single" w:sz="6" w:space="0" w:color="auto"/>
              <w:right w:val="single" w:sz="6" w:space="0" w:color="auto"/>
            </w:tcBorders>
          </w:tcPr>
          <w:p w14:paraId="3CA9F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1.07.33/-</w:t>
            </w:r>
          </w:p>
        </w:tc>
        <w:tc>
          <w:tcPr>
            <w:tcW w:w="4025" w:type="dxa"/>
            <w:tcBorders>
              <w:top w:val="single" w:sz="6" w:space="0" w:color="auto"/>
              <w:left w:val="single" w:sz="6" w:space="0" w:color="auto"/>
              <w:bottom w:val="single" w:sz="6" w:space="0" w:color="auto"/>
              <w:right w:val="single" w:sz="6" w:space="0" w:color="auto"/>
            </w:tcBorders>
          </w:tcPr>
          <w:p w14:paraId="5FA69D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Производится предварительное изыскание основных</w:t>
            </w:r>
          </w:p>
        </w:tc>
      </w:tr>
      <w:tr w:rsidR="00DA227A" w:rsidRPr="00E93F40" w14:paraId="67D8FCF1" w14:textId="77777777">
        <w:tc>
          <w:tcPr>
            <w:tcW w:w="939" w:type="dxa"/>
            <w:tcBorders>
              <w:top w:val="single" w:sz="6" w:space="0" w:color="auto"/>
              <w:left w:val="single" w:sz="6" w:space="0" w:color="auto"/>
              <w:bottom w:val="single" w:sz="6" w:space="0" w:color="auto"/>
              <w:right w:val="single" w:sz="6" w:space="0" w:color="auto"/>
            </w:tcBorders>
          </w:tcPr>
          <w:p w14:paraId="3FAB4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(Войсковой</w:t>
            </w:r>
          </w:p>
        </w:tc>
        <w:tc>
          <w:tcPr>
            <w:tcW w:w="939" w:type="dxa"/>
            <w:tcBorders>
              <w:top w:val="single" w:sz="6" w:space="0" w:color="auto"/>
              <w:left w:val="single" w:sz="6" w:space="0" w:color="auto"/>
              <w:bottom w:val="single" w:sz="6" w:space="0" w:color="auto"/>
              <w:right w:val="single" w:sz="6" w:space="0" w:color="auto"/>
            </w:tcBorders>
          </w:tcPr>
          <w:p w14:paraId="2A0C8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A381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B7A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9655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646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9281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7DD8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элементов самолета.</w:t>
            </w:r>
          </w:p>
        </w:tc>
      </w:tr>
      <w:tr w:rsidR="00DA227A" w:rsidRPr="00E93F40" w14:paraId="4CA32358" w14:textId="77777777">
        <w:tc>
          <w:tcPr>
            <w:tcW w:w="939" w:type="dxa"/>
            <w:tcBorders>
              <w:top w:val="single" w:sz="6" w:space="0" w:color="auto"/>
              <w:left w:val="single" w:sz="6" w:space="0" w:color="auto"/>
              <w:bottom w:val="single" w:sz="6" w:space="0" w:color="auto"/>
              <w:right w:val="single" w:sz="6" w:space="0" w:color="auto"/>
            </w:tcBorders>
          </w:tcPr>
          <w:p w14:paraId="0A6CA8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05770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24CE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231F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843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9CD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C428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856F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D32755B" w14:textId="77777777">
        <w:tc>
          <w:tcPr>
            <w:tcW w:w="939" w:type="dxa"/>
            <w:tcBorders>
              <w:top w:val="single" w:sz="6" w:space="0" w:color="auto"/>
              <w:left w:val="single" w:sz="6" w:space="0" w:color="auto"/>
              <w:bottom w:val="single" w:sz="6" w:space="0" w:color="auto"/>
              <w:right w:val="single" w:sz="6" w:space="0" w:color="auto"/>
            </w:tcBorders>
          </w:tcPr>
          <w:p w14:paraId="298FC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корректировщ.,</w:t>
            </w:r>
          </w:p>
        </w:tc>
        <w:tc>
          <w:tcPr>
            <w:tcW w:w="939" w:type="dxa"/>
            <w:tcBorders>
              <w:top w:val="single" w:sz="6" w:space="0" w:color="auto"/>
              <w:left w:val="single" w:sz="6" w:space="0" w:color="auto"/>
              <w:bottom w:val="single" w:sz="6" w:space="0" w:color="auto"/>
              <w:right w:val="single" w:sz="6" w:space="0" w:color="auto"/>
            </w:tcBorders>
          </w:tcPr>
          <w:p w14:paraId="0AF2F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DCD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B84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C835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BAC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77CD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0C1F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54B199" w14:textId="77777777">
        <w:tc>
          <w:tcPr>
            <w:tcW w:w="939" w:type="dxa"/>
            <w:tcBorders>
              <w:top w:val="single" w:sz="6" w:space="0" w:color="auto"/>
              <w:left w:val="single" w:sz="6" w:space="0" w:color="auto"/>
              <w:bottom w:val="single" w:sz="6" w:space="0" w:color="auto"/>
              <w:right w:val="single" w:sz="6" w:space="0" w:color="auto"/>
            </w:tcBorders>
          </w:tcPr>
          <w:p w14:paraId="73CD1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легкий химич.,</w:t>
            </w:r>
          </w:p>
        </w:tc>
        <w:tc>
          <w:tcPr>
            <w:tcW w:w="939" w:type="dxa"/>
            <w:tcBorders>
              <w:top w:val="single" w:sz="6" w:space="0" w:color="auto"/>
              <w:left w:val="single" w:sz="6" w:space="0" w:color="auto"/>
              <w:bottom w:val="single" w:sz="6" w:space="0" w:color="auto"/>
              <w:right w:val="single" w:sz="6" w:space="0" w:color="auto"/>
            </w:tcBorders>
          </w:tcPr>
          <w:p w14:paraId="1E73C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CD0F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CA4D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152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EAB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446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A4050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42BC47" w14:textId="77777777">
        <w:tc>
          <w:tcPr>
            <w:tcW w:w="939" w:type="dxa"/>
            <w:tcBorders>
              <w:top w:val="single" w:sz="6" w:space="0" w:color="auto"/>
              <w:left w:val="single" w:sz="6" w:space="0" w:color="auto"/>
              <w:bottom w:val="single" w:sz="6" w:space="0" w:color="auto"/>
              <w:right w:val="single" w:sz="6" w:space="0" w:color="auto"/>
            </w:tcBorders>
          </w:tcPr>
          <w:p w14:paraId="5C2E1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фотосъемщик,</w:t>
            </w:r>
          </w:p>
        </w:tc>
        <w:tc>
          <w:tcPr>
            <w:tcW w:w="939" w:type="dxa"/>
            <w:tcBorders>
              <w:top w:val="single" w:sz="6" w:space="0" w:color="auto"/>
              <w:left w:val="single" w:sz="6" w:space="0" w:color="auto"/>
              <w:bottom w:val="single" w:sz="6" w:space="0" w:color="auto"/>
              <w:right w:val="single" w:sz="6" w:space="0" w:color="auto"/>
            </w:tcBorders>
          </w:tcPr>
          <w:p w14:paraId="6EACE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16F1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2BE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7F7F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3DA7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F6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78B7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8E59F19" w14:textId="77777777">
        <w:tc>
          <w:tcPr>
            <w:tcW w:w="939" w:type="dxa"/>
            <w:tcBorders>
              <w:top w:val="single" w:sz="6" w:space="0" w:color="auto"/>
              <w:left w:val="single" w:sz="6" w:space="0" w:color="auto"/>
              <w:bottom w:val="single" w:sz="6" w:space="0" w:color="auto"/>
              <w:right w:val="single" w:sz="6" w:space="0" w:color="auto"/>
            </w:tcBorders>
          </w:tcPr>
          <w:p w14:paraId="473DA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санитарный,</w:t>
            </w:r>
          </w:p>
        </w:tc>
        <w:tc>
          <w:tcPr>
            <w:tcW w:w="939" w:type="dxa"/>
            <w:tcBorders>
              <w:top w:val="single" w:sz="6" w:space="0" w:color="auto"/>
              <w:left w:val="single" w:sz="6" w:space="0" w:color="auto"/>
              <w:bottom w:val="single" w:sz="6" w:space="0" w:color="auto"/>
              <w:right w:val="single" w:sz="6" w:space="0" w:color="auto"/>
            </w:tcBorders>
          </w:tcPr>
          <w:p w14:paraId="2453E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AD7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A06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308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F133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436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0E12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61533B" w14:textId="77777777">
        <w:tc>
          <w:tcPr>
            <w:tcW w:w="939" w:type="dxa"/>
            <w:tcBorders>
              <w:top w:val="single" w:sz="6" w:space="0" w:color="auto"/>
              <w:left w:val="single" w:sz="6" w:space="0" w:color="auto"/>
              <w:bottom w:val="single" w:sz="6" w:space="0" w:color="auto"/>
              <w:right w:val="single" w:sz="6" w:space="0" w:color="auto"/>
            </w:tcBorders>
          </w:tcPr>
          <w:p w14:paraId="7C156F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пассажирский)</w:t>
            </w:r>
          </w:p>
        </w:tc>
        <w:tc>
          <w:tcPr>
            <w:tcW w:w="939" w:type="dxa"/>
            <w:tcBorders>
              <w:top w:val="single" w:sz="6" w:space="0" w:color="auto"/>
              <w:left w:val="single" w:sz="6" w:space="0" w:color="auto"/>
              <w:bottom w:val="single" w:sz="6" w:space="0" w:color="auto"/>
              <w:right w:val="single" w:sz="6" w:space="0" w:color="auto"/>
            </w:tcBorders>
          </w:tcPr>
          <w:p w14:paraId="5D59E8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3979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ED64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3BB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87D4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DD49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0612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93558B" w14:textId="77777777">
        <w:tc>
          <w:tcPr>
            <w:tcW w:w="939" w:type="dxa"/>
            <w:tcBorders>
              <w:top w:val="single" w:sz="6" w:space="0" w:color="auto"/>
              <w:left w:val="single" w:sz="6" w:space="0" w:color="auto"/>
              <w:bottom w:val="single" w:sz="6" w:space="0" w:color="auto"/>
              <w:right w:val="single" w:sz="6" w:space="0" w:color="auto"/>
            </w:tcBorders>
          </w:tcPr>
          <w:p w14:paraId="52C2B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П3-М52 (Переход.</w:t>
            </w:r>
          </w:p>
        </w:tc>
        <w:tc>
          <w:tcPr>
            <w:tcW w:w="939" w:type="dxa"/>
            <w:tcBorders>
              <w:top w:val="single" w:sz="6" w:space="0" w:color="auto"/>
              <w:left w:val="single" w:sz="6" w:space="0" w:color="auto"/>
              <w:bottom w:val="single" w:sz="6" w:space="0" w:color="auto"/>
              <w:right w:val="single" w:sz="6" w:space="0" w:color="auto"/>
            </w:tcBorders>
          </w:tcPr>
          <w:p w14:paraId="13581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3636DC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1B802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3B32F3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2CC4B1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10CFC7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1.05.33/-</w:t>
            </w:r>
          </w:p>
        </w:tc>
        <w:tc>
          <w:tcPr>
            <w:tcW w:w="4025" w:type="dxa"/>
            <w:tcBorders>
              <w:top w:val="single" w:sz="6" w:space="0" w:color="auto"/>
              <w:left w:val="single" w:sz="6" w:space="0" w:color="auto"/>
              <w:bottom w:val="single" w:sz="6" w:space="0" w:color="auto"/>
              <w:right w:val="single" w:sz="6" w:space="0" w:color="auto"/>
            </w:tcBorders>
          </w:tcPr>
          <w:p w14:paraId="0E2B1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наст. вр. ГУГВФ не дало задание на проектир.</w:t>
            </w:r>
          </w:p>
        </w:tc>
      </w:tr>
      <w:tr w:rsidR="00DA227A" w:rsidRPr="00E93F40" w14:paraId="1B417521" w14:textId="77777777">
        <w:tc>
          <w:tcPr>
            <w:tcW w:w="939" w:type="dxa"/>
            <w:tcBorders>
              <w:top w:val="single" w:sz="6" w:space="0" w:color="auto"/>
              <w:left w:val="single" w:sz="6" w:space="0" w:color="auto"/>
              <w:bottom w:val="single" w:sz="6" w:space="0" w:color="auto"/>
              <w:right w:val="single" w:sz="6" w:space="0" w:color="auto"/>
            </w:tcBorders>
          </w:tcPr>
          <w:p w14:paraId="20457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школ, корпусн.</w:t>
            </w:r>
          </w:p>
        </w:tc>
        <w:tc>
          <w:tcPr>
            <w:tcW w:w="939" w:type="dxa"/>
            <w:tcBorders>
              <w:top w:val="single" w:sz="6" w:space="0" w:color="auto"/>
              <w:left w:val="single" w:sz="6" w:space="0" w:color="auto"/>
              <w:bottom w:val="single" w:sz="6" w:space="0" w:color="auto"/>
              <w:right w:val="single" w:sz="6" w:space="0" w:color="auto"/>
            </w:tcBorders>
          </w:tcPr>
          <w:p w14:paraId="252BC3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053D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028C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D43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305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3FC6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2A69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 которое должно вестись в Ленинграде в НИАИ.</w:t>
            </w:r>
          </w:p>
        </w:tc>
      </w:tr>
      <w:tr w:rsidR="00DA227A" w:rsidRPr="00E93F40" w14:paraId="0A34B7EB" w14:textId="77777777">
        <w:tc>
          <w:tcPr>
            <w:tcW w:w="939" w:type="dxa"/>
            <w:tcBorders>
              <w:top w:val="single" w:sz="6" w:space="0" w:color="auto"/>
              <w:left w:val="single" w:sz="6" w:space="0" w:color="auto"/>
              <w:bottom w:val="single" w:sz="6" w:space="0" w:color="auto"/>
              <w:right w:val="single" w:sz="6" w:space="0" w:color="auto"/>
            </w:tcBorders>
          </w:tcPr>
          <w:p w14:paraId="39372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 с-т</w:t>
            </w:r>
          </w:p>
        </w:tc>
        <w:tc>
          <w:tcPr>
            <w:tcW w:w="939" w:type="dxa"/>
            <w:tcBorders>
              <w:top w:val="single" w:sz="6" w:space="0" w:color="auto"/>
              <w:left w:val="single" w:sz="6" w:space="0" w:color="auto"/>
              <w:bottom w:val="single" w:sz="6" w:space="0" w:color="auto"/>
              <w:right w:val="single" w:sz="6" w:space="0" w:color="auto"/>
            </w:tcBorders>
          </w:tcPr>
          <w:p w14:paraId="138957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FD1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87BF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C13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5BF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6C3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C6C84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Отказ дать задание ГУГВФ объясняет отсутствием</w:t>
            </w:r>
          </w:p>
        </w:tc>
      </w:tr>
      <w:tr w:rsidR="00DA227A" w:rsidRPr="00E93F40" w14:paraId="4A773A19" w14:textId="77777777">
        <w:tc>
          <w:tcPr>
            <w:tcW w:w="939" w:type="dxa"/>
            <w:tcBorders>
              <w:top w:val="single" w:sz="6" w:space="0" w:color="auto"/>
              <w:left w:val="single" w:sz="6" w:space="0" w:color="auto"/>
              <w:bottom w:val="single" w:sz="6" w:space="0" w:color="auto"/>
              <w:right w:val="single" w:sz="6" w:space="0" w:color="auto"/>
            </w:tcBorders>
          </w:tcPr>
          <w:p w14:paraId="238065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местн. авиации)</w:t>
            </w:r>
          </w:p>
        </w:tc>
        <w:tc>
          <w:tcPr>
            <w:tcW w:w="939" w:type="dxa"/>
            <w:tcBorders>
              <w:top w:val="single" w:sz="6" w:space="0" w:color="auto"/>
              <w:left w:val="single" w:sz="6" w:space="0" w:color="auto"/>
              <w:bottom w:val="single" w:sz="6" w:space="0" w:color="auto"/>
              <w:right w:val="single" w:sz="6" w:space="0" w:color="auto"/>
            </w:tcBorders>
          </w:tcPr>
          <w:p w14:paraId="0FD00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BCB9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1BC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C1C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839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DD2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EACE9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кредитов. Мотивировка ГУГВФ не является </w:t>
            </w:r>
          </w:p>
        </w:tc>
      </w:tr>
      <w:tr w:rsidR="00DA227A" w:rsidRPr="00E93F40" w14:paraId="3502C872" w14:textId="77777777">
        <w:tc>
          <w:tcPr>
            <w:tcW w:w="939" w:type="dxa"/>
            <w:tcBorders>
              <w:top w:val="single" w:sz="6" w:space="0" w:color="auto"/>
              <w:left w:val="single" w:sz="6" w:space="0" w:color="auto"/>
              <w:bottom w:val="single" w:sz="6" w:space="0" w:color="auto"/>
              <w:right w:val="single" w:sz="6" w:space="0" w:color="auto"/>
            </w:tcBorders>
          </w:tcPr>
          <w:p w14:paraId="5AFCBF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384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31D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0CE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424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418C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B4A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FD7C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обоснованной поскольку постройка самолета П3</w:t>
            </w:r>
          </w:p>
        </w:tc>
      </w:tr>
      <w:tr w:rsidR="00DA227A" w:rsidRPr="00E93F40" w14:paraId="0F6B5BA3" w14:textId="77777777">
        <w:tc>
          <w:tcPr>
            <w:tcW w:w="939" w:type="dxa"/>
            <w:tcBorders>
              <w:top w:val="single" w:sz="6" w:space="0" w:color="auto"/>
              <w:left w:val="single" w:sz="6" w:space="0" w:color="auto"/>
              <w:bottom w:val="single" w:sz="6" w:space="0" w:color="auto"/>
              <w:right w:val="single" w:sz="6" w:space="0" w:color="auto"/>
            </w:tcBorders>
          </w:tcPr>
          <w:p w14:paraId="46D099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A64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D8F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D44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D6B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E85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8862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E3EEF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возложена на ГУГВФ постановлением правительства.</w:t>
            </w:r>
          </w:p>
        </w:tc>
      </w:tr>
      <w:tr w:rsidR="00DA227A" w:rsidRPr="00E93F40" w14:paraId="12022C94" w14:textId="77777777">
        <w:tc>
          <w:tcPr>
            <w:tcW w:w="939" w:type="dxa"/>
            <w:tcBorders>
              <w:top w:val="single" w:sz="6" w:space="0" w:color="auto"/>
              <w:left w:val="single" w:sz="6" w:space="0" w:color="auto"/>
              <w:bottom w:val="single" w:sz="6" w:space="0" w:color="auto"/>
              <w:right w:val="single" w:sz="6" w:space="0" w:color="auto"/>
            </w:tcBorders>
          </w:tcPr>
          <w:p w14:paraId="24A723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 М48 (Учебн.</w:t>
            </w:r>
          </w:p>
        </w:tc>
        <w:tc>
          <w:tcPr>
            <w:tcW w:w="939" w:type="dxa"/>
            <w:tcBorders>
              <w:top w:val="single" w:sz="6" w:space="0" w:color="auto"/>
              <w:left w:val="single" w:sz="6" w:space="0" w:color="auto"/>
              <w:bottom w:val="single" w:sz="6" w:space="0" w:color="auto"/>
              <w:right w:val="single" w:sz="6" w:space="0" w:color="auto"/>
            </w:tcBorders>
          </w:tcPr>
          <w:p w14:paraId="3AFA8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180/1000</w:t>
            </w:r>
          </w:p>
        </w:tc>
        <w:tc>
          <w:tcPr>
            <w:tcW w:w="939" w:type="dxa"/>
            <w:tcBorders>
              <w:top w:val="single" w:sz="6" w:space="0" w:color="auto"/>
              <w:left w:val="single" w:sz="6" w:space="0" w:color="auto"/>
              <w:bottom w:val="single" w:sz="6" w:space="0" w:color="auto"/>
              <w:right w:val="single" w:sz="6" w:space="0" w:color="auto"/>
            </w:tcBorders>
          </w:tcPr>
          <w:p w14:paraId="37282E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B81C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5E151F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6B5B2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w:t>
            </w:r>
          </w:p>
        </w:tc>
        <w:tc>
          <w:tcPr>
            <w:tcW w:w="939" w:type="dxa"/>
            <w:tcBorders>
              <w:top w:val="single" w:sz="6" w:space="0" w:color="auto"/>
              <w:left w:val="single" w:sz="6" w:space="0" w:color="auto"/>
              <w:bottom w:val="single" w:sz="6" w:space="0" w:color="auto"/>
              <w:right w:val="single" w:sz="6" w:space="0" w:color="auto"/>
            </w:tcBorders>
          </w:tcPr>
          <w:p w14:paraId="243D66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1.03.33/-</w:t>
            </w:r>
          </w:p>
        </w:tc>
        <w:tc>
          <w:tcPr>
            <w:tcW w:w="4025" w:type="dxa"/>
            <w:tcBorders>
              <w:top w:val="single" w:sz="6" w:space="0" w:color="auto"/>
              <w:left w:val="single" w:sz="6" w:space="0" w:color="auto"/>
              <w:bottom w:val="single" w:sz="6" w:space="0" w:color="auto"/>
              <w:right w:val="single" w:sz="6" w:space="0" w:color="auto"/>
            </w:tcBorders>
          </w:tcPr>
          <w:p w14:paraId="62953A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Харьковский ин-т ГУАП"а ведет проектирование</w:t>
            </w:r>
          </w:p>
        </w:tc>
      </w:tr>
      <w:tr w:rsidR="00DA227A" w:rsidRPr="00E93F40" w14:paraId="19F2A7E0" w14:textId="77777777">
        <w:tc>
          <w:tcPr>
            <w:tcW w:w="939" w:type="dxa"/>
            <w:tcBorders>
              <w:top w:val="single" w:sz="6" w:space="0" w:color="auto"/>
              <w:left w:val="single" w:sz="6" w:space="0" w:color="auto"/>
              <w:bottom w:val="single" w:sz="6" w:space="0" w:color="auto"/>
              <w:right w:val="single" w:sz="6" w:space="0" w:color="auto"/>
            </w:tcBorders>
          </w:tcPr>
          <w:p w14:paraId="7874F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он же для</w:t>
            </w:r>
          </w:p>
        </w:tc>
        <w:tc>
          <w:tcPr>
            <w:tcW w:w="939" w:type="dxa"/>
            <w:tcBorders>
              <w:top w:val="single" w:sz="6" w:space="0" w:color="auto"/>
              <w:left w:val="single" w:sz="6" w:space="0" w:color="auto"/>
              <w:bottom w:val="single" w:sz="6" w:space="0" w:color="auto"/>
              <w:right w:val="single" w:sz="6" w:space="0" w:color="auto"/>
            </w:tcBorders>
          </w:tcPr>
          <w:p w14:paraId="392CC4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7F4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8CB0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61B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6CC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E6B8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B507D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 Срок выпуска с-та не будет выдержан ввиду</w:t>
            </w:r>
          </w:p>
        </w:tc>
      </w:tr>
      <w:tr w:rsidR="00DA227A" w:rsidRPr="00E93F40" w14:paraId="41B3B210" w14:textId="77777777">
        <w:tc>
          <w:tcPr>
            <w:tcW w:w="939" w:type="dxa"/>
            <w:tcBorders>
              <w:top w:val="single" w:sz="6" w:space="0" w:color="auto"/>
              <w:left w:val="single" w:sz="6" w:space="0" w:color="auto"/>
              <w:bottom w:val="single" w:sz="6" w:space="0" w:color="auto"/>
              <w:right w:val="single" w:sz="6" w:space="0" w:color="auto"/>
            </w:tcBorders>
          </w:tcPr>
          <w:p w14:paraId="0D1EF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связи и сопровожд.</w:t>
            </w:r>
          </w:p>
        </w:tc>
        <w:tc>
          <w:tcPr>
            <w:tcW w:w="939" w:type="dxa"/>
            <w:tcBorders>
              <w:top w:val="single" w:sz="6" w:space="0" w:color="auto"/>
              <w:left w:val="single" w:sz="6" w:space="0" w:color="auto"/>
              <w:bottom w:val="single" w:sz="6" w:space="0" w:color="auto"/>
              <w:right w:val="single" w:sz="6" w:space="0" w:color="auto"/>
            </w:tcBorders>
          </w:tcPr>
          <w:p w14:paraId="77B06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602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0279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F290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ACA8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BCDF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1D9F5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того, что до наст. вр. мотор М48 на гос. испытания</w:t>
            </w:r>
          </w:p>
        </w:tc>
      </w:tr>
      <w:tr w:rsidR="00DA227A" w:rsidRPr="00E93F40" w14:paraId="2121EC45" w14:textId="77777777">
        <w:tc>
          <w:tcPr>
            <w:tcW w:w="939" w:type="dxa"/>
            <w:tcBorders>
              <w:top w:val="single" w:sz="6" w:space="0" w:color="auto"/>
              <w:left w:val="single" w:sz="6" w:space="0" w:color="auto"/>
              <w:bottom w:val="single" w:sz="6" w:space="0" w:color="auto"/>
              <w:right w:val="single" w:sz="6" w:space="0" w:color="auto"/>
            </w:tcBorders>
          </w:tcPr>
          <w:p w14:paraId="25C2E8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туризма, местн.</w:t>
            </w:r>
          </w:p>
        </w:tc>
        <w:tc>
          <w:tcPr>
            <w:tcW w:w="939" w:type="dxa"/>
            <w:tcBorders>
              <w:top w:val="single" w:sz="6" w:space="0" w:color="auto"/>
              <w:left w:val="single" w:sz="6" w:space="0" w:color="auto"/>
              <w:bottom w:val="single" w:sz="6" w:space="0" w:color="auto"/>
              <w:right w:val="single" w:sz="6" w:space="0" w:color="auto"/>
            </w:tcBorders>
          </w:tcPr>
          <w:p w14:paraId="414E2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309C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E8AF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A596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864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0C1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4D16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поступил, срок последних намечен на 1.02.33 г.</w:t>
            </w:r>
          </w:p>
        </w:tc>
      </w:tr>
      <w:tr w:rsidR="00DA227A" w:rsidRPr="00E93F40" w14:paraId="40683118" w14:textId="77777777">
        <w:tc>
          <w:tcPr>
            <w:tcW w:w="939" w:type="dxa"/>
            <w:tcBorders>
              <w:top w:val="single" w:sz="6" w:space="0" w:color="auto"/>
              <w:left w:val="single" w:sz="6" w:space="0" w:color="auto"/>
              <w:bottom w:val="single" w:sz="6" w:space="0" w:color="auto"/>
              <w:right w:val="single" w:sz="6" w:space="0" w:color="auto"/>
            </w:tcBorders>
          </w:tcPr>
          <w:p w14:paraId="2D71E7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авиации, легкий</w:t>
            </w:r>
          </w:p>
        </w:tc>
        <w:tc>
          <w:tcPr>
            <w:tcW w:w="939" w:type="dxa"/>
            <w:tcBorders>
              <w:top w:val="single" w:sz="6" w:space="0" w:color="auto"/>
              <w:left w:val="single" w:sz="6" w:space="0" w:color="auto"/>
              <w:bottom w:val="single" w:sz="6" w:space="0" w:color="auto"/>
              <w:right w:val="single" w:sz="6" w:space="0" w:color="auto"/>
            </w:tcBorders>
          </w:tcPr>
          <w:p w14:paraId="05CB5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790E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3D8D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6B7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BBD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247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A41FB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Вероятна задержка с выпуском с-та У3 на 2-3 мес.</w:t>
            </w:r>
          </w:p>
        </w:tc>
      </w:tr>
      <w:tr w:rsidR="00DA227A" w:rsidRPr="00E93F40" w14:paraId="3AA84186" w14:textId="77777777">
        <w:tc>
          <w:tcPr>
            <w:tcW w:w="939" w:type="dxa"/>
            <w:tcBorders>
              <w:top w:val="single" w:sz="6" w:space="0" w:color="auto"/>
              <w:left w:val="single" w:sz="6" w:space="0" w:color="auto"/>
              <w:bottom w:val="single" w:sz="6" w:space="0" w:color="auto"/>
              <w:right w:val="single" w:sz="6" w:space="0" w:color="auto"/>
            </w:tcBorders>
          </w:tcPr>
          <w:p w14:paraId="78302E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санитарн.)</w:t>
            </w:r>
          </w:p>
        </w:tc>
        <w:tc>
          <w:tcPr>
            <w:tcW w:w="939" w:type="dxa"/>
            <w:tcBorders>
              <w:top w:val="single" w:sz="6" w:space="0" w:color="auto"/>
              <w:left w:val="single" w:sz="6" w:space="0" w:color="auto"/>
              <w:bottom w:val="single" w:sz="6" w:space="0" w:color="auto"/>
              <w:right w:val="single" w:sz="6" w:space="0" w:color="auto"/>
            </w:tcBorders>
          </w:tcPr>
          <w:p w14:paraId="6B656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3DA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11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900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65A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82B0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5C53C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80F1E9" w14:textId="77777777">
        <w:tc>
          <w:tcPr>
            <w:tcW w:w="939" w:type="dxa"/>
            <w:tcBorders>
              <w:top w:val="single" w:sz="6" w:space="0" w:color="auto"/>
              <w:left w:val="single" w:sz="6" w:space="0" w:color="auto"/>
              <w:bottom w:val="single" w:sz="6" w:space="0" w:color="auto"/>
              <w:right w:val="single" w:sz="6" w:space="0" w:color="auto"/>
            </w:tcBorders>
          </w:tcPr>
          <w:p w14:paraId="63E69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К7 7М34 (Тяж.</w:t>
            </w:r>
          </w:p>
        </w:tc>
        <w:tc>
          <w:tcPr>
            <w:tcW w:w="939" w:type="dxa"/>
            <w:tcBorders>
              <w:top w:val="single" w:sz="6" w:space="0" w:color="auto"/>
              <w:left w:val="single" w:sz="6" w:space="0" w:color="auto"/>
              <w:bottom w:val="single" w:sz="6" w:space="0" w:color="auto"/>
              <w:right w:val="single" w:sz="6" w:space="0" w:color="auto"/>
            </w:tcBorders>
          </w:tcPr>
          <w:p w14:paraId="205AA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w:t>
            </w:r>
          </w:p>
        </w:tc>
        <w:tc>
          <w:tcPr>
            <w:tcW w:w="939" w:type="dxa"/>
            <w:tcBorders>
              <w:top w:val="single" w:sz="6" w:space="0" w:color="auto"/>
              <w:left w:val="single" w:sz="6" w:space="0" w:color="auto"/>
              <w:bottom w:val="single" w:sz="6" w:space="0" w:color="auto"/>
              <w:right w:val="single" w:sz="6" w:space="0" w:color="auto"/>
            </w:tcBorders>
          </w:tcPr>
          <w:p w14:paraId="51301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E303E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3650</w:t>
            </w:r>
          </w:p>
        </w:tc>
        <w:tc>
          <w:tcPr>
            <w:tcW w:w="939" w:type="dxa"/>
            <w:tcBorders>
              <w:top w:val="single" w:sz="6" w:space="0" w:color="auto"/>
              <w:left w:val="single" w:sz="6" w:space="0" w:color="auto"/>
              <w:bottom w:val="single" w:sz="6" w:space="0" w:color="auto"/>
              <w:right w:val="single" w:sz="6" w:space="0" w:color="auto"/>
            </w:tcBorders>
          </w:tcPr>
          <w:p w14:paraId="5BD8B1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пушки, легк.</w:t>
            </w:r>
          </w:p>
        </w:tc>
        <w:tc>
          <w:tcPr>
            <w:tcW w:w="939" w:type="dxa"/>
            <w:tcBorders>
              <w:top w:val="single" w:sz="6" w:space="0" w:color="auto"/>
              <w:left w:val="single" w:sz="6" w:space="0" w:color="auto"/>
              <w:bottom w:val="single" w:sz="6" w:space="0" w:color="auto"/>
              <w:right w:val="single" w:sz="6" w:space="0" w:color="auto"/>
            </w:tcBorders>
          </w:tcPr>
          <w:p w14:paraId="2329A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1016D1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1.05.33</w:t>
            </w:r>
          </w:p>
        </w:tc>
        <w:tc>
          <w:tcPr>
            <w:tcW w:w="4025" w:type="dxa"/>
            <w:tcBorders>
              <w:top w:val="single" w:sz="6" w:space="0" w:color="auto"/>
              <w:left w:val="single" w:sz="6" w:space="0" w:color="auto"/>
              <w:bottom w:val="single" w:sz="6" w:space="0" w:color="auto"/>
              <w:right w:val="single" w:sz="6" w:space="0" w:color="auto"/>
            </w:tcBorders>
          </w:tcPr>
          <w:p w14:paraId="56727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Проектирование с-та целиком закончено. По ходу </w:t>
            </w:r>
          </w:p>
        </w:tc>
      </w:tr>
      <w:tr w:rsidR="00DA227A" w:rsidRPr="00E93F40" w14:paraId="0BB7B388" w14:textId="77777777">
        <w:tc>
          <w:tcPr>
            <w:tcW w:w="939" w:type="dxa"/>
            <w:tcBorders>
              <w:top w:val="single" w:sz="6" w:space="0" w:color="auto"/>
              <w:left w:val="single" w:sz="6" w:space="0" w:color="auto"/>
              <w:bottom w:val="single" w:sz="6" w:space="0" w:color="auto"/>
              <w:right w:val="single" w:sz="6" w:space="0" w:color="auto"/>
            </w:tcBorders>
          </w:tcPr>
          <w:p w14:paraId="10CD6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бомбовоз,</w:t>
            </w:r>
          </w:p>
        </w:tc>
        <w:tc>
          <w:tcPr>
            <w:tcW w:w="939" w:type="dxa"/>
            <w:tcBorders>
              <w:top w:val="single" w:sz="6" w:space="0" w:color="auto"/>
              <w:left w:val="single" w:sz="6" w:space="0" w:color="auto"/>
              <w:bottom w:val="single" w:sz="6" w:space="0" w:color="auto"/>
              <w:right w:val="single" w:sz="6" w:space="0" w:color="auto"/>
            </w:tcBorders>
          </w:tcPr>
          <w:p w14:paraId="337EC8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E06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767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4F2D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тяж. пулем.</w:t>
            </w:r>
          </w:p>
        </w:tc>
        <w:tc>
          <w:tcPr>
            <w:tcW w:w="939" w:type="dxa"/>
            <w:tcBorders>
              <w:top w:val="single" w:sz="6" w:space="0" w:color="auto"/>
              <w:left w:val="single" w:sz="6" w:space="0" w:color="auto"/>
              <w:bottom w:val="single" w:sz="6" w:space="0" w:color="auto"/>
              <w:right w:val="single" w:sz="6" w:space="0" w:color="auto"/>
            </w:tcBorders>
          </w:tcPr>
          <w:p w14:paraId="5CA2B1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74B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вых. на</w:t>
            </w:r>
          </w:p>
        </w:tc>
        <w:tc>
          <w:tcPr>
            <w:tcW w:w="4025" w:type="dxa"/>
            <w:tcBorders>
              <w:top w:val="single" w:sz="6" w:space="0" w:color="auto"/>
              <w:left w:val="single" w:sz="6" w:space="0" w:color="auto"/>
              <w:bottom w:val="single" w:sz="6" w:space="0" w:color="auto"/>
              <w:right w:val="single" w:sz="6" w:space="0" w:color="auto"/>
            </w:tcBorders>
          </w:tcPr>
          <w:p w14:paraId="6099E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можно ожидать задержку выпуска самолета на</w:t>
            </w:r>
          </w:p>
        </w:tc>
      </w:tr>
      <w:tr w:rsidR="00DA227A" w:rsidRPr="00E93F40" w14:paraId="49D25A52" w14:textId="77777777">
        <w:tc>
          <w:tcPr>
            <w:tcW w:w="939" w:type="dxa"/>
            <w:tcBorders>
              <w:top w:val="single" w:sz="6" w:space="0" w:color="auto"/>
              <w:left w:val="single" w:sz="6" w:space="0" w:color="auto"/>
              <w:bottom w:val="single" w:sz="6" w:space="0" w:color="auto"/>
              <w:right w:val="single" w:sz="6" w:space="0" w:color="auto"/>
            </w:tcBorders>
          </w:tcPr>
          <w:p w14:paraId="216F1D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пассажирск.)</w:t>
            </w:r>
          </w:p>
        </w:tc>
        <w:tc>
          <w:tcPr>
            <w:tcW w:w="939" w:type="dxa"/>
            <w:tcBorders>
              <w:top w:val="single" w:sz="6" w:space="0" w:color="auto"/>
              <w:left w:val="single" w:sz="6" w:space="0" w:color="auto"/>
              <w:bottom w:val="single" w:sz="6" w:space="0" w:color="auto"/>
              <w:right w:val="single" w:sz="6" w:space="0" w:color="auto"/>
            </w:tcBorders>
          </w:tcPr>
          <w:p w14:paraId="3EBB7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ABE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2C5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8F76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B2E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0A6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w:t>
            </w:r>
          </w:p>
        </w:tc>
        <w:tc>
          <w:tcPr>
            <w:tcW w:w="4025" w:type="dxa"/>
            <w:tcBorders>
              <w:top w:val="single" w:sz="6" w:space="0" w:color="auto"/>
              <w:left w:val="single" w:sz="6" w:space="0" w:color="auto"/>
              <w:bottom w:val="single" w:sz="6" w:space="0" w:color="auto"/>
              <w:right w:val="single" w:sz="6" w:space="0" w:color="auto"/>
            </w:tcBorders>
          </w:tcPr>
          <w:p w14:paraId="35A30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аэродром на 1-2 месяца.</w:t>
            </w:r>
          </w:p>
        </w:tc>
      </w:tr>
      <w:tr w:rsidR="00DA227A" w:rsidRPr="00E93F40" w14:paraId="075D9F23" w14:textId="77777777">
        <w:tc>
          <w:tcPr>
            <w:tcW w:w="939" w:type="dxa"/>
            <w:tcBorders>
              <w:top w:val="single" w:sz="6" w:space="0" w:color="auto"/>
              <w:left w:val="single" w:sz="6" w:space="0" w:color="auto"/>
              <w:bottom w:val="single" w:sz="6" w:space="0" w:color="auto"/>
              <w:right w:val="single" w:sz="6" w:space="0" w:color="auto"/>
            </w:tcBorders>
          </w:tcPr>
          <w:p w14:paraId="25DFE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Экспериментальные самолеты.</w:t>
            </w:r>
          </w:p>
        </w:tc>
        <w:tc>
          <w:tcPr>
            <w:tcW w:w="939" w:type="dxa"/>
            <w:tcBorders>
              <w:top w:val="single" w:sz="6" w:space="0" w:color="auto"/>
              <w:left w:val="single" w:sz="6" w:space="0" w:color="auto"/>
              <w:bottom w:val="single" w:sz="6" w:space="0" w:color="auto"/>
              <w:right w:val="single" w:sz="6" w:space="0" w:color="auto"/>
            </w:tcBorders>
          </w:tcPr>
          <w:p w14:paraId="1A12D0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DA96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BCD5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661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8CBF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8B3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E8535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D180DD" w14:textId="77777777">
        <w:tc>
          <w:tcPr>
            <w:tcW w:w="939" w:type="dxa"/>
            <w:tcBorders>
              <w:top w:val="single" w:sz="6" w:space="0" w:color="auto"/>
              <w:left w:val="single" w:sz="6" w:space="0" w:color="auto"/>
              <w:bottom w:val="single" w:sz="6" w:space="0" w:color="auto"/>
              <w:right w:val="single" w:sz="6" w:space="0" w:color="auto"/>
            </w:tcBorders>
          </w:tcPr>
          <w:p w14:paraId="2DAEAD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Высотный с-т</w:t>
            </w:r>
          </w:p>
        </w:tc>
        <w:tc>
          <w:tcPr>
            <w:tcW w:w="939" w:type="dxa"/>
            <w:tcBorders>
              <w:top w:val="single" w:sz="6" w:space="0" w:color="auto"/>
              <w:left w:val="single" w:sz="6" w:space="0" w:color="auto"/>
              <w:bottom w:val="single" w:sz="6" w:space="0" w:color="auto"/>
              <w:right w:val="single" w:sz="6" w:space="0" w:color="auto"/>
            </w:tcBorders>
          </w:tcPr>
          <w:p w14:paraId="2144B7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446CC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B2018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tc>
        <w:tc>
          <w:tcPr>
            <w:tcW w:w="939" w:type="dxa"/>
            <w:tcBorders>
              <w:top w:val="single" w:sz="6" w:space="0" w:color="auto"/>
              <w:left w:val="single" w:sz="6" w:space="0" w:color="auto"/>
              <w:bottom w:val="single" w:sz="6" w:space="0" w:color="auto"/>
              <w:right w:val="single" w:sz="6" w:space="0" w:color="auto"/>
            </w:tcBorders>
          </w:tcPr>
          <w:p w14:paraId="69672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4B90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94AFA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1.04.33/</w:t>
            </w:r>
          </w:p>
        </w:tc>
        <w:tc>
          <w:tcPr>
            <w:tcW w:w="4025" w:type="dxa"/>
            <w:tcBorders>
              <w:top w:val="single" w:sz="6" w:space="0" w:color="auto"/>
              <w:left w:val="single" w:sz="6" w:space="0" w:color="auto"/>
              <w:bottom w:val="single" w:sz="6" w:space="0" w:color="auto"/>
              <w:right w:val="single" w:sz="6" w:space="0" w:color="auto"/>
            </w:tcBorders>
          </w:tcPr>
          <w:p w14:paraId="0C7043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Работа по с-ту ведется в ЦАГИ и БНК. ЦАГИ </w:t>
            </w:r>
          </w:p>
        </w:tc>
      </w:tr>
      <w:tr w:rsidR="00DA227A" w:rsidRPr="00E93F40" w14:paraId="7BC7827C" w14:textId="77777777">
        <w:tc>
          <w:tcPr>
            <w:tcW w:w="939" w:type="dxa"/>
            <w:tcBorders>
              <w:top w:val="single" w:sz="6" w:space="0" w:color="auto"/>
              <w:left w:val="single" w:sz="6" w:space="0" w:color="auto"/>
              <w:bottom w:val="single" w:sz="6" w:space="0" w:color="auto"/>
              <w:right w:val="single" w:sz="6" w:space="0" w:color="auto"/>
            </w:tcBorders>
          </w:tcPr>
          <w:p w14:paraId="05496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же рекордн.</w:t>
            </w:r>
          </w:p>
        </w:tc>
        <w:tc>
          <w:tcPr>
            <w:tcW w:w="939" w:type="dxa"/>
            <w:tcBorders>
              <w:top w:val="single" w:sz="6" w:space="0" w:color="auto"/>
              <w:left w:val="single" w:sz="6" w:space="0" w:color="auto"/>
              <w:bottom w:val="single" w:sz="6" w:space="0" w:color="auto"/>
              <w:right w:val="single" w:sz="6" w:space="0" w:color="auto"/>
            </w:tcBorders>
          </w:tcPr>
          <w:p w14:paraId="6CEBA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A4B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0386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4E55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2C1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EDC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2-я пол.</w:t>
            </w:r>
          </w:p>
        </w:tc>
        <w:tc>
          <w:tcPr>
            <w:tcW w:w="4025" w:type="dxa"/>
            <w:tcBorders>
              <w:top w:val="single" w:sz="6" w:space="0" w:color="auto"/>
              <w:left w:val="single" w:sz="6" w:space="0" w:color="auto"/>
              <w:bottom w:val="single" w:sz="6" w:space="0" w:color="auto"/>
              <w:right w:val="single" w:sz="6" w:space="0" w:color="auto"/>
            </w:tcBorders>
          </w:tcPr>
          <w:p w14:paraId="74D71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 проектирование с-та и начало постр.</w:t>
            </w:r>
          </w:p>
        </w:tc>
      </w:tr>
      <w:tr w:rsidR="00DA227A" w:rsidRPr="00E93F40" w14:paraId="784107AF" w14:textId="77777777">
        <w:tc>
          <w:tcPr>
            <w:tcW w:w="939" w:type="dxa"/>
            <w:tcBorders>
              <w:top w:val="single" w:sz="6" w:space="0" w:color="auto"/>
              <w:left w:val="single" w:sz="6" w:space="0" w:color="auto"/>
              <w:bottom w:val="single" w:sz="6" w:space="0" w:color="auto"/>
              <w:right w:val="single" w:sz="6" w:space="0" w:color="auto"/>
            </w:tcBorders>
          </w:tcPr>
          <w:p w14:paraId="2FE5C1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высоту</w:t>
            </w:r>
          </w:p>
        </w:tc>
        <w:tc>
          <w:tcPr>
            <w:tcW w:w="939" w:type="dxa"/>
            <w:tcBorders>
              <w:top w:val="single" w:sz="6" w:space="0" w:color="auto"/>
              <w:left w:val="single" w:sz="6" w:space="0" w:color="auto"/>
              <w:bottom w:val="single" w:sz="6" w:space="0" w:color="auto"/>
              <w:right w:val="single" w:sz="6" w:space="0" w:color="auto"/>
            </w:tcBorders>
          </w:tcPr>
          <w:p w14:paraId="1C3BB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6D4A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C10C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06C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F093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646C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г.</w:t>
            </w:r>
          </w:p>
        </w:tc>
        <w:tc>
          <w:tcPr>
            <w:tcW w:w="4025" w:type="dxa"/>
            <w:tcBorders>
              <w:top w:val="single" w:sz="6" w:space="0" w:color="auto"/>
              <w:left w:val="single" w:sz="6" w:space="0" w:color="auto"/>
              <w:bottom w:val="single" w:sz="6" w:space="0" w:color="auto"/>
              <w:right w:val="single" w:sz="6" w:space="0" w:color="auto"/>
            </w:tcBorders>
          </w:tcPr>
          <w:p w14:paraId="1A924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отдельных элементов конструкции. Ввиду того, что</w:t>
            </w:r>
          </w:p>
        </w:tc>
      </w:tr>
      <w:tr w:rsidR="00DA227A" w:rsidRPr="00E93F40" w14:paraId="494C84D1" w14:textId="77777777">
        <w:tc>
          <w:tcPr>
            <w:tcW w:w="939" w:type="dxa"/>
            <w:tcBorders>
              <w:top w:val="single" w:sz="6" w:space="0" w:color="auto"/>
              <w:left w:val="single" w:sz="6" w:space="0" w:color="auto"/>
              <w:bottom w:val="single" w:sz="6" w:space="0" w:color="auto"/>
              <w:right w:val="single" w:sz="6" w:space="0" w:color="auto"/>
            </w:tcBorders>
          </w:tcPr>
          <w:p w14:paraId="71D0C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3B6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F8B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B33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41E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915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22D8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1DDE9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ранее конца 1934 года не сможет быть получен мотор</w:t>
            </w:r>
          </w:p>
        </w:tc>
      </w:tr>
      <w:tr w:rsidR="00DA227A" w:rsidRPr="00E93F40" w14:paraId="34FCF811" w14:textId="77777777">
        <w:tc>
          <w:tcPr>
            <w:tcW w:w="939" w:type="dxa"/>
            <w:tcBorders>
              <w:top w:val="single" w:sz="6" w:space="0" w:color="auto"/>
              <w:left w:val="single" w:sz="6" w:space="0" w:color="auto"/>
              <w:bottom w:val="single" w:sz="6" w:space="0" w:color="auto"/>
              <w:right w:val="single" w:sz="6" w:space="0" w:color="auto"/>
            </w:tcBorders>
          </w:tcPr>
          <w:p w14:paraId="17902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6F99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5667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C384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367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9F2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F3CE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742B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высотностью, обеспечивающей потолок 15000 м, </w:t>
            </w:r>
          </w:p>
        </w:tc>
      </w:tr>
      <w:tr w:rsidR="00DA227A" w:rsidRPr="00E93F40" w14:paraId="758F8F17" w14:textId="77777777">
        <w:tc>
          <w:tcPr>
            <w:tcW w:w="939" w:type="dxa"/>
            <w:tcBorders>
              <w:top w:val="single" w:sz="6" w:space="0" w:color="auto"/>
              <w:left w:val="single" w:sz="6" w:space="0" w:color="auto"/>
              <w:bottom w:val="single" w:sz="6" w:space="0" w:color="auto"/>
              <w:right w:val="single" w:sz="6" w:space="0" w:color="auto"/>
            </w:tcBorders>
          </w:tcPr>
          <w:p w14:paraId="67C57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B6FA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87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E9E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C8E8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E43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70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EBD7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и ГУАП вошли в КО с ходатайством о разрешен.</w:t>
            </w:r>
          </w:p>
        </w:tc>
      </w:tr>
      <w:tr w:rsidR="00DA227A" w:rsidRPr="00E93F40" w14:paraId="4501BD35" w14:textId="77777777">
        <w:tc>
          <w:tcPr>
            <w:tcW w:w="939" w:type="dxa"/>
            <w:tcBorders>
              <w:top w:val="single" w:sz="6" w:space="0" w:color="auto"/>
              <w:left w:val="single" w:sz="6" w:space="0" w:color="auto"/>
              <w:bottom w:val="single" w:sz="6" w:space="0" w:color="auto"/>
              <w:right w:val="single" w:sz="6" w:space="0" w:color="auto"/>
            </w:tcBorders>
          </w:tcPr>
          <w:p w14:paraId="1F715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9A4F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FBA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BB88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657A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1396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7DC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157E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выпуска в 1933 году высотного с-та под мотор М34РН</w:t>
            </w:r>
          </w:p>
        </w:tc>
      </w:tr>
      <w:tr w:rsidR="00DA227A" w:rsidRPr="00E93F40" w14:paraId="27B6BAD2" w14:textId="77777777">
        <w:tc>
          <w:tcPr>
            <w:tcW w:w="939" w:type="dxa"/>
            <w:tcBorders>
              <w:top w:val="single" w:sz="6" w:space="0" w:color="auto"/>
              <w:left w:val="single" w:sz="6" w:space="0" w:color="auto"/>
              <w:bottom w:val="single" w:sz="6" w:space="0" w:color="auto"/>
              <w:right w:val="single" w:sz="6" w:space="0" w:color="auto"/>
            </w:tcBorders>
          </w:tcPr>
          <w:p w14:paraId="6EC46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C658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3D2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3DD0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6B2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5C7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909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B65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считает, что указанный с-т может быть закончен</w:t>
            </w:r>
          </w:p>
        </w:tc>
      </w:tr>
      <w:tr w:rsidR="00DA227A" w:rsidRPr="00E93F40" w14:paraId="30994B0D" w14:textId="77777777">
        <w:tc>
          <w:tcPr>
            <w:tcW w:w="939" w:type="dxa"/>
            <w:tcBorders>
              <w:top w:val="single" w:sz="6" w:space="0" w:color="auto"/>
              <w:left w:val="single" w:sz="6" w:space="0" w:color="auto"/>
              <w:bottom w:val="single" w:sz="6" w:space="0" w:color="auto"/>
              <w:right w:val="single" w:sz="6" w:space="0" w:color="auto"/>
            </w:tcBorders>
          </w:tcPr>
          <w:p w14:paraId="2829D3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B1D3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1445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BB7C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9A4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6BAC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D33D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BFC7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выпущен в воздух в мае 1933 года. ГУАП в качестве</w:t>
            </w:r>
          </w:p>
        </w:tc>
      </w:tr>
      <w:tr w:rsidR="00DA227A" w:rsidRPr="00E93F40" w14:paraId="01E59398" w14:textId="77777777">
        <w:tc>
          <w:tcPr>
            <w:tcW w:w="939" w:type="dxa"/>
            <w:tcBorders>
              <w:top w:val="single" w:sz="6" w:space="0" w:color="auto"/>
              <w:left w:val="single" w:sz="6" w:space="0" w:color="auto"/>
              <w:bottom w:val="single" w:sz="6" w:space="0" w:color="auto"/>
              <w:right w:val="single" w:sz="6" w:space="0" w:color="auto"/>
            </w:tcBorders>
          </w:tcPr>
          <w:p w14:paraId="03E0F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6EB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5701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D8A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D934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C4C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EE8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C93E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аналогичного срока дает вторую половину 1933 года.</w:t>
            </w:r>
          </w:p>
        </w:tc>
      </w:tr>
      <w:tr w:rsidR="00DA227A" w:rsidRPr="00E93F40" w14:paraId="227D7B5C" w14:textId="77777777">
        <w:tc>
          <w:tcPr>
            <w:tcW w:w="939" w:type="dxa"/>
            <w:tcBorders>
              <w:top w:val="single" w:sz="6" w:space="0" w:color="auto"/>
              <w:left w:val="single" w:sz="6" w:space="0" w:color="auto"/>
              <w:bottom w:val="single" w:sz="6" w:space="0" w:color="auto"/>
              <w:right w:val="single" w:sz="6" w:space="0" w:color="auto"/>
            </w:tcBorders>
          </w:tcPr>
          <w:p w14:paraId="5F5BE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1EE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8F1B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D61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7058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0281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2089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93F75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БНК ведет проектирование сверхвысотного с-та и</w:t>
            </w:r>
          </w:p>
        </w:tc>
      </w:tr>
      <w:tr w:rsidR="00DA227A" w:rsidRPr="00E93F40" w14:paraId="63C28F33" w14:textId="77777777">
        <w:tc>
          <w:tcPr>
            <w:tcW w:w="939" w:type="dxa"/>
            <w:tcBorders>
              <w:top w:val="single" w:sz="6" w:space="0" w:color="auto"/>
              <w:left w:val="single" w:sz="6" w:space="0" w:color="auto"/>
              <w:bottom w:val="single" w:sz="6" w:space="0" w:color="auto"/>
              <w:right w:val="single" w:sz="6" w:space="0" w:color="auto"/>
            </w:tcBorders>
          </w:tcPr>
          <w:p w14:paraId="42F242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E941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7FE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33C3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F012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F5E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F360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2BE25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разрабатывает схему использования пара для </w:t>
            </w:r>
          </w:p>
        </w:tc>
      </w:tr>
      <w:tr w:rsidR="00DA227A" w:rsidRPr="00E93F40" w14:paraId="6C126BC4" w14:textId="77777777">
        <w:tc>
          <w:tcPr>
            <w:tcW w:w="939" w:type="dxa"/>
            <w:tcBorders>
              <w:top w:val="single" w:sz="6" w:space="0" w:color="auto"/>
              <w:left w:val="single" w:sz="6" w:space="0" w:color="auto"/>
              <w:bottom w:val="single" w:sz="6" w:space="0" w:color="auto"/>
              <w:right w:val="single" w:sz="6" w:space="0" w:color="auto"/>
            </w:tcBorders>
          </w:tcPr>
          <w:p w14:paraId="39FC9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A09A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5DAE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FF8D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E36B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914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D17F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61FC6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вращения турбины нагнетателя. Проект с-та </w:t>
            </w:r>
          </w:p>
        </w:tc>
      </w:tr>
      <w:tr w:rsidR="00DA227A" w:rsidRPr="00E93F40" w14:paraId="184F6787" w14:textId="77777777">
        <w:tc>
          <w:tcPr>
            <w:tcW w:w="939" w:type="dxa"/>
            <w:tcBorders>
              <w:top w:val="single" w:sz="6" w:space="0" w:color="auto"/>
              <w:left w:val="single" w:sz="6" w:space="0" w:color="auto"/>
              <w:bottom w:val="single" w:sz="6" w:space="0" w:color="auto"/>
              <w:right w:val="single" w:sz="6" w:space="0" w:color="auto"/>
            </w:tcBorders>
          </w:tcPr>
          <w:p w14:paraId="19BD21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A920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460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C44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F2A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205F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F11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718A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выполнен на 30%.</w:t>
            </w:r>
          </w:p>
        </w:tc>
      </w:tr>
      <w:tr w:rsidR="00DA227A" w:rsidRPr="00E93F40" w14:paraId="17902618" w14:textId="77777777">
        <w:tc>
          <w:tcPr>
            <w:tcW w:w="939" w:type="dxa"/>
            <w:tcBorders>
              <w:top w:val="single" w:sz="6" w:space="0" w:color="auto"/>
              <w:left w:val="single" w:sz="6" w:space="0" w:color="auto"/>
              <w:bottom w:val="single" w:sz="6" w:space="0" w:color="auto"/>
              <w:right w:val="single" w:sz="6" w:space="0" w:color="auto"/>
            </w:tcBorders>
          </w:tcPr>
          <w:p w14:paraId="39435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Рекордный на</w:t>
            </w:r>
          </w:p>
        </w:tc>
        <w:tc>
          <w:tcPr>
            <w:tcW w:w="939" w:type="dxa"/>
            <w:tcBorders>
              <w:top w:val="single" w:sz="6" w:space="0" w:color="auto"/>
              <w:left w:val="single" w:sz="6" w:space="0" w:color="auto"/>
              <w:bottom w:val="single" w:sz="6" w:space="0" w:color="auto"/>
              <w:right w:val="single" w:sz="6" w:space="0" w:color="auto"/>
            </w:tcBorders>
          </w:tcPr>
          <w:p w14:paraId="681BB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97532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01958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76B9E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6A28F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71DA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08.32/</w:t>
            </w:r>
          </w:p>
        </w:tc>
        <w:tc>
          <w:tcPr>
            <w:tcW w:w="4025" w:type="dxa"/>
            <w:tcBorders>
              <w:top w:val="single" w:sz="6" w:space="0" w:color="auto"/>
              <w:left w:val="single" w:sz="6" w:space="0" w:color="auto"/>
              <w:bottom w:val="single" w:sz="6" w:space="0" w:color="auto"/>
              <w:right w:val="single" w:sz="6" w:space="0" w:color="auto"/>
            </w:tcBorders>
          </w:tcPr>
          <w:p w14:paraId="2BCAA1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 находится в постройке. ЦАГИ намечает выпуск </w:t>
            </w:r>
          </w:p>
        </w:tc>
      </w:tr>
      <w:tr w:rsidR="00DA227A" w:rsidRPr="00E93F40" w14:paraId="7703AEA3" w14:textId="77777777">
        <w:tc>
          <w:tcPr>
            <w:tcW w:w="939" w:type="dxa"/>
            <w:tcBorders>
              <w:top w:val="single" w:sz="6" w:space="0" w:color="auto"/>
              <w:left w:val="single" w:sz="6" w:space="0" w:color="auto"/>
              <w:bottom w:val="single" w:sz="6" w:space="0" w:color="auto"/>
              <w:right w:val="single" w:sz="6" w:space="0" w:color="auto"/>
            </w:tcBorders>
          </w:tcPr>
          <w:p w14:paraId="10122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w:t>
            </w:r>
          </w:p>
        </w:tc>
        <w:tc>
          <w:tcPr>
            <w:tcW w:w="939" w:type="dxa"/>
            <w:tcBorders>
              <w:top w:val="single" w:sz="6" w:space="0" w:color="auto"/>
              <w:left w:val="single" w:sz="6" w:space="0" w:color="auto"/>
              <w:bottom w:val="single" w:sz="6" w:space="0" w:color="auto"/>
              <w:right w:val="single" w:sz="6" w:space="0" w:color="auto"/>
            </w:tcBorders>
          </w:tcPr>
          <w:p w14:paraId="22B19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9176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81B3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DE25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485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5D0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1.05.33</w:t>
            </w:r>
          </w:p>
        </w:tc>
        <w:tc>
          <w:tcPr>
            <w:tcW w:w="4025" w:type="dxa"/>
            <w:tcBorders>
              <w:top w:val="single" w:sz="6" w:space="0" w:color="auto"/>
              <w:left w:val="single" w:sz="6" w:space="0" w:color="auto"/>
              <w:bottom w:val="single" w:sz="6" w:space="0" w:color="auto"/>
              <w:right w:val="single" w:sz="6" w:space="0" w:color="auto"/>
            </w:tcBorders>
          </w:tcPr>
          <w:p w14:paraId="25EFAE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 на аэродром к 1.05.1933 года. ВВС этот срок</w:t>
            </w:r>
          </w:p>
        </w:tc>
      </w:tr>
      <w:tr w:rsidR="00DA227A" w:rsidRPr="00E93F40" w14:paraId="469AAC0B" w14:textId="77777777">
        <w:tc>
          <w:tcPr>
            <w:tcW w:w="939" w:type="dxa"/>
            <w:tcBorders>
              <w:top w:val="single" w:sz="6" w:space="0" w:color="auto"/>
              <w:left w:val="single" w:sz="6" w:space="0" w:color="auto"/>
              <w:bottom w:val="single" w:sz="6" w:space="0" w:color="auto"/>
              <w:right w:val="single" w:sz="6" w:space="0" w:color="auto"/>
            </w:tcBorders>
          </w:tcPr>
          <w:p w14:paraId="634FAD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AD01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0EAC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0688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B0D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079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2F40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2D5FE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оспаривает, настаивая на выпуске с-та не позднее</w:t>
            </w:r>
          </w:p>
        </w:tc>
      </w:tr>
      <w:tr w:rsidR="00DA227A" w:rsidRPr="00E93F40" w14:paraId="3A69AA4B" w14:textId="77777777">
        <w:tc>
          <w:tcPr>
            <w:tcW w:w="939" w:type="dxa"/>
            <w:tcBorders>
              <w:top w:val="single" w:sz="6" w:space="0" w:color="auto"/>
              <w:left w:val="single" w:sz="6" w:space="0" w:color="auto"/>
              <w:bottom w:val="single" w:sz="6" w:space="0" w:color="auto"/>
              <w:right w:val="single" w:sz="6" w:space="0" w:color="auto"/>
            </w:tcBorders>
          </w:tcPr>
          <w:p w14:paraId="36C70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5E9F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1613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036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36A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B0A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F7D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AFA2B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15.03.1933 года, т.к. более поздний срок может</w:t>
            </w:r>
          </w:p>
        </w:tc>
      </w:tr>
      <w:tr w:rsidR="00DA227A" w:rsidRPr="00E93F40" w14:paraId="3D3D3E76" w14:textId="77777777">
        <w:tc>
          <w:tcPr>
            <w:tcW w:w="939" w:type="dxa"/>
            <w:tcBorders>
              <w:top w:val="single" w:sz="6" w:space="0" w:color="auto"/>
              <w:left w:val="single" w:sz="6" w:space="0" w:color="auto"/>
              <w:bottom w:val="single" w:sz="6" w:space="0" w:color="auto"/>
              <w:right w:val="single" w:sz="6" w:space="0" w:color="auto"/>
            </w:tcBorders>
          </w:tcPr>
          <w:p w14:paraId="02B6C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D8D3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72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C32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902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0090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B4EC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BD534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привести к срыву выполнения рекордного полета на</w:t>
            </w:r>
          </w:p>
        </w:tc>
      </w:tr>
      <w:tr w:rsidR="00DA227A" w:rsidRPr="00E93F40" w14:paraId="1CD88E8A" w14:textId="77777777">
        <w:tc>
          <w:tcPr>
            <w:tcW w:w="939" w:type="dxa"/>
            <w:tcBorders>
              <w:top w:val="single" w:sz="6" w:space="0" w:color="auto"/>
              <w:left w:val="single" w:sz="6" w:space="0" w:color="auto"/>
              <w:bottom w:val="single" w:sz="6" w:space="0" w:color="auto"/>
              <w:right w:val="single" w:sz="6" w:space="0" w:color="auto"/>
            </w:tcBorders>
          </w:tcPr>
          <w:p w14:paraId="71920D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1D0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021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F4A9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C8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A0B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9507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B5F94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летом 1933 года.</w:t>
            </w:r>
          </w:p>
        </w:tc>
      </w:tr>
      <w:tr w:rsidR="00DA227A" w:rsidRPr="00E93F40" w14:paraId="45387322" w14:textId="77777777">
        <w:tc>
          <w:tcPr>
            <w:tcW w:w="939" w:type="dxa"/>
            <w:tcBorders>
              <w:top w:val="single" w:sz="6" w:space="0" w:color="auto"/>
              <w:left w:val="single" w:sz="6" w:space="0" w:color="auto"/>
              <w:bottom w:val="single" w:sz="6" w:space="0" w:color="auto"/>
              <w:right w:val="single" w:sz="6" w:space="0" w:color="auto"/>
            </w:tcBorders>
          </w:tcPr>
          <w:p w14:paraId="3AE11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 летающее </w:t>
            </w:r>
          </w:p>
        </w:tc>
        <w:tc>
          <w:tcPr>
            <w:tcW w:w="939" w:type="dxa"/>
            <w:tcBorders>
              <w:top w:val="single" w:sz="6" w:space="0" w:color="auto"/>
              <w:left w:val="single" w:sz="6" w:space="0" w:color="auto"/>
              <w:bottom w:val="single" w:sz="6" w:space="0" w:color="auto"/>
              <w:right w:val="single" w:sz="6" w:space="0" w:color="auto"/>
            </w:tcBorders>
          </w:tcPr>
          <w:p w14:paraId="67A9B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5E15A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14B3C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E53D0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07FEE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6DA2F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1.10.33/-</w:t>
            </w:r>
          </w:p>
        </w:tc>
        <w:tc>
          <w:tcPr>
            <w:tcW w:w="4025" w:type="dxa"/>
            <w:tcBorders>
              <w:top w:val="single" w:sz="6" w:space="0" w:color="auto"/>
              <w:left w:val="single" w:sz="6" w:space="0" w:color="auto"/>
              <w:bottom w:val="single" w:sz="6" w:space="0" w:color="auto"/>
              <w:right w:val="single" w:sz="6" w:space="0" w:color="auto"/>
            </w:tcBorders>
          </w:tcPr>
          <w:p w14:paraId="4B5634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с-та ЦАГИ предполагает начать с</w:t>
            </w:r>
          </w:p>
        </w:tc>
      </w:tr>
      <w:tr w:rsidR="00DA227A" w:rsidRPr="00E93F40" w14:paraId="23C86E0C" w14:textId="77777777">
        <w:tc>
          <w:tcPr>
            <w:tcW w:w="939" w:type="dxa"/>
            <w:tcBorders>
              <w:top w:val="single" w:sz="6" w:space="0" w:color="auto"/>
              <w:left w:val="single" w:sz="6" w:space="0" w:color="auto"/>
              <w:bottom w:val="single" w:sz="6" w:space="0" w:color="auto"/>
              <w:right w:val="single" w:sz="6" w:space="0" w:color="auto"/>
            </w:tcBorders>
          </w:tcPr>
          <w:p w14:paraId="21A5C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2М-11</w:t>
            </w:r>
          </w:p>
        </w:tc>
        <w:tc>
          <w:tcPr>
            <w:tcW w:w="939" w:type="dxa"/>
            <w:tcBorders>
              <w:top w:val="single" w:sz="6" w:space="0" w:color="auto"/>
              <w:left w:val="single" w:sz="6" w:space="0" w:color="auto"/>
              <w:bottom w:val="single" w:sz="6" w:space="0" w:color="auto"/>
              <w:right w:val="single" w:sz="6" w:space="0" w:color="auto"/>
            </w:tcBorders>
          </w:tcPr>
          <w:p w14:paraId="7061E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DE55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88C1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68E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F8AE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449C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B24F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января 1933 года. Параллабола Черановского под</w:t>
            </w:r>
          </w:p>
        </w:tc>
      </w:tr>
      <w:tr w:rsidR="00DA227A" w:rsidRPr="00E93F40" w14:paraId="4BE65559" w14:textId="77777777">
        <w:tc>
          <w:tcPr>
            <w:tcW w:w="939" w:type="dxa"/>
            <w:tcBorders>
              <w:top w:val="single" w:sz="6" w:space="0" w:color="auto"/>
              <w:left w:val="single" w:sz="6" w:space="0" w:color="auto"/>
              <w:bottom w:val="single" w:sz="6" w:space="0" w:color="auto"/>
              <w:right w:val="single" w:sz="6" w:space="0" w:color="auto"/>
            </w:tcBorders>
          </w:tcPr>
          <w:p w14:paraId="5B327B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(Параболла</w:t>
            </w:r>
          </w:p>
        </w:tc>
        <w:tc>
          <w:tcPr>
            <w:tcW w:w="939" w:type="dxa"/>
            <w:tcBorders>
              <w:top w:val="single" w:sz="6" w:space="0" w:color="auto"/>
              <w:left w:val="single" w:sz="6" w:space="0" w:color="auto"/>
              <w:bottom w:val="single" w:sz="6" w:space="0" w:color="auto"/>
              <w:right w:val="single" w:sz="6" w:space="0" w:color="auto"/>
            </w:tcBorders>
          </w:tcPr>
          <w:p w14:paraId="3AB41A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76A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A9E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2DDD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9F8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ABF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F8F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мотор Люцифер проходит заводские испытания. </w:t>
            </w:r>
          </w:p>
        </w:tc>
      </w:tr>
      <w:tr w:rsidR="00DA227A" w:rsidRPr="00E93F40" w14:paraId="673B3FD3" w14:textId="77777777">
        <w:tc>
          <w:tcPr>
            <w:tcW w:w="939" w:type="dxa"/>
            <w:tcBorders>
              <w:top w:val="single" w:sz="6" w:space="0" w:color="auto"/>
              <w:left w:val="single" w:sz="6" w:space="0" w:color="auto"/>
              <w:bottom w:val="single" w:sz="6" w:space="0" w:color="auto"/>
              <w:right w:val="single" w:sz="6" w:space="0" w:color="auto"/>
            </w:tcBorders>
          </w:tcPr>
          <w:p w14:paraId="5E650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Черановского)</w:t>
            </w:r>
          </w:p>
        </w:tc>
        <w:tc>
          <w:tcPr>
            <w:tcW w:w="939" w:type="dxa"/>
            <w:tcBorders>
              <w:top w:val="single" w:sz="6" w:space="0" w:color="auto"/>
              <w:left w:val="single" w:sz="6" w:space="0" w:color="auto"/>
              <w:bottom w:val="single" w:sz="6" w:space="0" w:color="auto"/>
              <w:right w:val="single" w:sz="6" w:space="0" w:color="auto"/>
            </w:tcBorders>
          </w:tcPr>
          <w:p w14:paraId="649BAA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E1A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855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C027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B97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2F5E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9387D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Последние показали, что с-т (летающее крыло)</w:t>
            </w:r>
          </w:p>
        </w:tc>
      </w:tr>
      <w:tr w:rsidR="00DA227A" w:rsidRPr="00E93F40" w14:paraId="4F138632" w14:textId="77777777">
        <w:tc>
          <w:tcPr>
            <w:tcW w:w="939" w:type="dxa"/>
            <w:tcBorders>
              <w:top w:val="single" w:sz="6" w:space="0" w:color="auto"/>
              <w:left w:val="single" w:sz="6" w:space="0" w:color="auto"/>
              <w:bottom w:val="single" w:sz="6" w:space="0" w:color="auto"/>
              <w:right w:val="single" w:sz="6" w:space="0" w:color="auto"/>
            </w:tcBorders>
          </w:tcPr>
          <w:p w14:paraId="670C6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074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538A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F49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B49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16E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D2B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C0E6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обладает хорошей устойчивостью и управляемостью.</w:t>
            </w:r>
          </w:p>
        </w:tc>
      </w:tr>
      <w:tr w:rsidR="00DA227A" w:rsidRPr="00E93F40" w14:paraId="3BCE0484" w14:textId="77777777">
        <w:tc>
          <w:tcPr>
            <w:tcW w:w="939" w:type="dxa"/>
            <w:tcBorders>
              <w:top w:val="single" w:sz="6" w:space="0" w:color="auto"/>
              <w:left w:val="single" w:sz="6" w:space="0" w:color="auto"/>
              <w:bottom w:val="single" w:sz="6" w:space="0" w:color="auto"/>
              <w:right w:val="single" w:sz="6" w:space="0" w:color="auto"/>
            </w:tcBorders>
          </w:tcPr>
          <w:p w14:paraId="3B100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F42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C938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8A9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39E9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CBD8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3FB3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7D32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Последнее в значительной мере разрешает проблему</w:t>
            </w:r>
          </w:p>
        </w:tc>
      </w:tr>
      <w:tr w:rsidR="00DA227A" w:rsidRPr="00E93F40" w14:paraId="7B073CA1" w14:textId="77777777">
        <w:tc>
          <w:tcPr>
            <w:tcW w:w="939" w:type="dxa"/>
            <w:tcBorders>
              <w:top w:val="single" w:sz="6" w:space="0" w:color="auto"/>
              <w:left w:val="single" w:sz="6" w:space="0" w:color="auto"/>
              <w:bottom w:val="single" w:sz="6" w:space="0" w:color="auto"/>
              <w:right w:val="single" w:sz="6" w:space="0" w:color="auto"/>
            </w:tcBorders>
          </w:tcPr>
          <w:p w14:paraId="699019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1F5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9BB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730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3FCA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4EB5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A23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C1FCC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применения аппарата типа летающего крыла в </w:t>
            </w:r>
          </w:p>
        </w:tc>
      </w:tr>
      <w:tr w:rsidR="00DA227A" w:rsidRPr="00E93F40" w14:paraId="75FA6B74" w14:textId="77777777">
        <w:tc>
          <w:tcPr>
            <w:tcW w:w="939" w:type="dxa"/>
            <w:tcBorders>
              <w:top w:val="single" w:sz="6" w:space="0" w:color="auto"/>
              <w:left w:val="single" w:sz="6" w:space="0" w:color="auto"/>
              <w:bottom w:val="single" w:sz="6" w:space="0" w:color="auto"/>
              <w:right w:val="single" w:sz="6" w:space="0" w:color="auto"/>
            </w:tcBorders>
          </w:tcPr>
          <w:p w14:paraId="5FADD3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A97E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6F70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472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2472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4EA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BA85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99F0E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качестве весьма выгодной схемы тяжелого самолета.</w:t>
            </w:r>
          </w:p>
        </w:tc>
      </w:tr>
      <w:tr w:rsidR="00DA227A" w:rsidRPr="00E93F40" w14:paraId="0BBA2718" w14:textId="77777777">
        <w:tc>
          <w:tcPr>
            <w:tcW w:w="939" w:type="dxa"/>
            <w:tcBorders>
              <w:top w:val="single" w:sz="6" w:space="0" w:color="auto"/>
              <w:left w:val="single" w:sz="6" w:space="0" w:color="auto"/>
              <w:bottom w:val="single" w:sz="6" w:space="0" w:color="auto"/>
              <w:right w:val="single" w:sz="6" w:space="0" w:color="auto"/>
            </w:tcBorders>
          </w:tcPr>
          <w:p w14:paraId="22F92F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с особым</w:t>
            </w:r>
          </w:p>
        </w:tc>
        <w:tc>
          <w:tcPr>
            <w:tcW w:w="939" w:type="dxa"/>
            <w:tcBorders>
              <w:top w:val="single" w:sz="6" w:space="0" w:color="auto"/>
              <w:left w:val="single" w:sz="6" w:space="0" w:color="auto"/>
              <w:bottom w:val="single" w:sz="6" w:space="0" w:color="auto"/>
              <w:right w:val="single" w:sz="6" w:space="0" w:color="auto"/>
            </w:tcBorders>
          </w:tcPr>
          <w:p w14:paraId="4CAED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B5E32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7B81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C51AB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41BB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729F5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1.12.32/</w:t>
            </w:r>
          </w:p>
        </w:tc>
        <w:tc>
          <w:tcPr>
            <w:tcW w:w="4025" w:type="dxa"/>
            <w:tcBorders>
              <w:top w:val="single" w:sz="6" w:space="0" w:color="auto"/>
              <w:left w:val="single" w:sz="6" w:space="0" w:color="auto"/>
              <w:bottom w:val="single" w:sz="6" w:space="0" w:color="auto"/>
              <w:right w:val="single" w:sz="6" w:space="0" w:color="auto"/>
            </w:tcBorders>
          </w:tcPr>
          <w:p w14:paraId="0FBE1F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с-та закончено. В постройке</w:t>
            </w:r>
          </w:p>
        </w:tc>
      </w:tr>
      <w:tr w:rsidR="00DA227A" w:rsidRPr="00E93F40" w14:paraId="425F4BA0" w14:textId="77777777">
        <w:tc>
          <w:tcPr>
            <w:tcW w:w="939" w:type="dxa"/>
            <w:tcBorders>
              <w:top w:val="single" w:sz="6" w:space="0" w:color="auto"/>
              <w:left w:val="single" w:sz="6" w:space="0" w:color="auto"/>
              <w:bottom w:val="single" w:sz="6" w:space="0" w:color="auto"/>
              <w:right w:val="single" w:sz="6" w:space="0" w:color="auto"/>
            </w:tcBorders>
          </w:tcPr>
          <w:p w14:paraId="7F7A7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типом разрезных</w:t>
            </w:r>
          </w:p>
        </w:tc>
        <w:tc>
          <w:tcPr>
            <w:tcW w:w="939" w:type="dxa"/>
            <w:tcBorders>
              <w:top w:val="single" w:sz="6" w:space="0" w:color="auto"/>
              <w:left w:val="single" w:sz="6" w:space="0" w:color="auto"/>
              <w:bottom w:val="single" w:sz="6" w:space="0" w:color="auto"/>
              <w:right w:val="single" w:sz="6" w:space="0" w:color="auto"/>
            </w:tcBorders>
          </w:tcPr>
          <w:p w14:paraId="1735F6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4269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C8F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E97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338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DEB5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02.33 г.</w:t>
            </w:r>
          </w:p>
        </w:tc>
        <w:tc>
          <w:tcPr>
            <w:tcW w:w="4025" w:type="dxa"/>
            <w:tcBorders>
              <w:top w:val="single" w:sz="6" w:space="0" w:color="auto"/>
              <w:left w:val="single" w:sz="6" w:space="0" w:color="auto"/>
              <w:bottom w:val="single" w:sz="6" w:space="0" w:color="auto"/>
              <w:right w:val="single" w:sz="6" w:space="0" w:color="auto"/>
            </w:tcBorders>
          </w:tcPr>
          <w:p w14:paraId="3CDE97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находится центральная часть ф-жа, шасси, оперение,</w:t>
            </w:r>
          </w:p>
        </w:tc>
      </w:tr>
      <w:tr w:rsidR="00DA227A" w:rsidRPr="00E93F40" w14:paraId="36AD1589" w14:textId="77777777">
        <w:tc>
          <w:tcPr>
            <w:tcW w:w="939" w:type="dxa"/>
            <w:tcBorders>
              <w:top w:val="single" w:sz="6" w:space="0" w:color="auto"/>
              <w:left w:val="single" w:sz="6" w:space="0" w:color="auto"/>
              <w:bottom w:val="single" w:sz="6" w:space="0" w:color="auto"/>
              <w:right w:val="single" w:sz="6" w:space="0" w:color="auto"/>
            </w:tcBorders>
          </w:tcPr>
          <w:p w14:paraId="5CE50D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крыльев (системы</w:t>
            </w:r>
          </w:p>
        </w:tc>
        <w:tc>
          <w:tcPr>
            <w:tcW w:w="939" w:type="dxa"/>
            <w:tcBorders>
              <w:top w:val="single" w:sz="6" w:space="0" w:color="auto"/>
              <w:left w:val="single" w:sz="6" w:space="0" w:color="auto"/>
              <w:bottom w:val="single" w:sz="6" w:space="0" w:color="auto"/>
              <w:right w:val="single" w:sz="6" w:space="0" w:color="auto"/>
            </w:tcBorders>
          </w:tcPr>
          <w:p w14:paraId="5A352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858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CC22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588C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158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9B06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w:t>
            </w:r>
          </w:p>
        </w:tc>
        <w:tc>
          <w:tcPr>
            <w:tcW w:w="4025" w:type="dxa"/>
            <w:tcBorders>
              <w:top w:val="single" w:sz="6" w:space="0" w:color="auto"/>
              <w:left w:val="single" w:sz="6" w:space="0" w:color="auto"/>
              <w:bottom w:val="single" w:sz="6" w:space="0" w:color="auto"/>
              <w:right w:val="single" w:sz="6" w:space="0" w:color="auto"/>
            </w:tcBorders>
          </w:tcPr>
          <w:p w14:paraId="554E44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окончание постройки намечено на февраль 1933 года.</w:t>
            </w:r>
          </w:p>
        </w:tc>
      </w:tr>
      <w:tr w:rsidR="00DA227A" w:rsidRPr="00E93F40" w14:paraId="422372CF" w14:textId="77777777">
        <w:tc>
          <w:tcPr>
            <w:tcW w:w="939" w:type="dxa"/>
            <w:tcBorders>
              <w:top w:val="single" w:sz="6" w:space="0" w:color="auto"/>
              <w:left w:val="single" w:sz="6" w:space="0" w:color="auto"/>
              <w:bottom w:val="single" w:sz="6" w:space="0" w:color="auto"/>
              <w:right w:val="single" w:sz="6" w:space="0" w:color="auto"/>
            </w:tcBorders>
          </w:tcPr>
          <w:p w14:paraId="291FF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Кричевского)</w:t>
            </w:r>
          </w:p>
        </w:tc>
        <w:tc>
          <w:tcPr>
            <w:tcW w:w="939" w:type="dxa"/>
            <w:tcBorders>
              <w:top w:val="single" w:sz="6" w:space="0" w:color="auto"/>
              <w:left w:val="single" w:sz="6" w:space="0" w:color="auto"/>
              <w:bottom w:val="single" w:sz="6" w:space="0" w:color="auto"/>
              <w:right w:val="single" w:sz="6" w:space="0" w:color="auto"/>
            </w:tcBorders>
          </w:tcPr>
          <w:p w14:paraId="499B68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0B2F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228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6AF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75B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5DA7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2DF59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9E24D9" w14:textId="77777777">
        <w:tc>
          <w:tcPr>
            <w:tcW w:w="939" w:type="dxa"/>
            <w:tcBorders>
              <w:top w:val="single" w:sz="6" w:space="0" w:color="auto"/>
              <w:left w:val="single" w:sz="6" w:space="0" w:color="auto"/>
              <w:bottom w:val="single" w:sz="6" w:space="0" w:color="auto"/>
              <w:right w:val="single" w:sz="6" w:space="0" w:color="auto"/>
            </w:tcBorders>
          </w:tcPr>
          <w:p w14:paraId="64F84E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ВГ-2 (геликоптер)</w:t>
            </w:r>
          </w:p>
        </w:tc>
        <w:tc>
          <w:tcPr>
            <w:tcW w:w="939" w:type="dxa"/>
            <w:tcBorders>
              <w:top w:val="single" w:sz="6" w:space="0" w:color="auto"/>
              <w:left w:val="single" w:sz="6" w:space="0" w:color="auto"/>
              <w:bottom w:val="single" w:sz="6" w:space="0" w:color="auto"/>
              <w:right w:val="single" w:sz="6" w:space="0" w:color="auto"/>
            </w:tcBorders>
          </w:tcPr>
          <w:p w14:paraId="24F14C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80FB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DFC4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26AE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A02C8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7C835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1.07.32/-</w:t>
            </w:r>
          </w:p>
        </w:tc>
        <w:tc>
          <w:tcPr>
            <w:tcW w:w="4025" w:type="dxa"/>
            <w:tcBorders>
              <w:top w:val="single" w:sz="6" w:space="0" w:color="auto"/>
              <w:left w:val="single" w:sz="6" w:space="0" w:color="auto"/>
              <w:bottom w:val="single" w:sz="6" w:space="0" w:color="auto"/>
              <w:right w:val="single" w:sz="6" w:space="0" w:color="auto"/>
            </w:tcBorders>
          </w:tcPr>
          <w:p w14:paraId="16C618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Испытания проведенные в III кв. с.г. показали </w:t>
            </w:r>
          </w:p>
        </w:tc>
      </w:tr>
      <w:tr w:rsidR="00DA227A" w:rsidRPr="00E93F40" w14:paraId="39014489" w14:textId="77777777">
        <w:tc>
          <w:tcPr>
            <w:tcW w:w="939" w:type="dxa"/>
            <w:tcBorders>
              <w:top w:val="single" w:sz="6" w:space="0" w:color="auto"/>
              <w:left w:val="single" w:sz="6" w:space="0" w:color="auto"/>
              <w:bottom w:val="single" w:sz="6" w:space="0" w:color="auto"/>
              <w:right w:val="single" w:sz="6" w:space="0" w:color="auto"/>
            </w:tcBorders>
          </w:tcPr>
          <w:p w14:paraId="75F87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E69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AA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8B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1E7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281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63FA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F83A9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прекрасные данные с точки зрения достигнутой </w:t>
            </w:r>
          </w:p>
        </w:tc>
      </w:tr>
      <w:tr w:rsidR="00DA227A" w:rsidRPr="00E93F40" w14:paraId="228ED759" w14:textId="77777777">
        <w:tc>
          <w:tcPr>
            <w:tcW w:w="939" w:type="dxa"/>
            <w:tcBorders>
              <w:top w:val="single" w:sz="6" w:space="0" w:color="auto"/>
              <w:left w:val="single" w:sz="6" w:space="0" w:color="auto"/>
              <w:bottom w:val="single" w:sz="6" w:space="0" w:color="auto"/>
              <w:right w:val="single" w:sz="6" w:space="0" w:color="auto"/>
            </w:tcBorders>
          </w:tcPr>
          <w:p w14:paraId="00AF0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2252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CE2C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9E71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821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5D4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706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37A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высоты подъема геликоптера (600 м), превосходящие</w:t>
            </w:r>
          </w:p>
        </w:tc>
      </w:tr>
      <w:tr w:rsidR="00DA227A" w:rsidRPr="00E93F40" w14:paraId="3595A7E9" w14:textId="77777777">
        <w:tc>
          <w:tcPr>
            <w:tcW w:w="939" w:type="dxa"/>
            <w:tcBorders>
              <w:top w:val="single" w:sz="6" w:space="0" w:color="auto"/>
              <w:left w:val="single" w:sz="6" w:space="0" w:color="auto"/>
              <w:bottom w:val="single" w:sz="6" w:space="0" w:color="auto"/>
              <w:right w:val="single" w:sz="6" w:space="0" w:color="auto"/>
            </w:tcBorders>
          </w:tcPr>
          <w:p w14:paraId="5CE842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9F8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FC97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56DA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11B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C9F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8E8C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4B883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 много раз известные заграничные достижения (18 </w:t>
            </w:r>
          </w:p>
        </w:tc>
      </w:tr>
      <w:tr w:rsidR="00DA227A" w:rsidRPr="00E93F40" w14:paraId="06215F66" w14:textId="77777777">
        <w:tc>
          <w:tcPr>
            <w:tcW w:w="939" w:type="dxa"/>
            <w:tcBorders>
              <w:top w:val="single" w:sz="6" w:space="0" w:color="auto"/>
              <w:left w:val="single" w:sz="6" w:space="0" w:color="auto"/>
              <w:bottom w:val="single" w:sz="6" w:space="0" w:color="auto"/>
              <w:right w:val="single" w:sz="6" w:space="0" w:color="auto"/>
            </w:tcBorders>
          </w:tcPr>
          <w:p w14:paraId="495776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794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8894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B24D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4480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011A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3F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A937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 Наряду с этим выяснилось, что геликоптер не</w:t>
            </w:r>
          </w:p>
        </w:tc>
      </w:tr>
      <w:tr w:rsidR="00DA227A" w:rsidRPr="00E93F40" w14:paraId="7FE809B1" w14:textId="77777777">
        <w:tc>
          <w:tcPr>
            <w:tcW w:w="939" w:type="dxa"/>
            <w:tcBorders>
              <w:top w:val="single" w:sz="6" w:space="0" w:color="auto"/>
              <w:left w:val="single" w:sz="6" w:space="0" w:color="auto"/>
              <w:bottom w:val="single" w:sz="6" w:space="0" w:color="auto"/>
              <w:right w:val="single" w:sz="6" w:space="0" w:color="auto"/>
            </w:tcBorders>
          </w:tcPr>
          <w:p w14:paraId="495577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D3E4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06A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612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992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BD15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FE3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8527F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обладает достаточной устойчивостью, благодаря </w:t>
            </w:r>
          </w:p>
        </w:tc>
      </w:tr>
      <w:tr w:rsidR="00DA227A" w:rsidRPr="00E93F40" w14:paraId="5C18B6BF" w14:textId="77777777">
        <w:tc>
          <w:tcPr>
            <w:tcW w:w="939" w:type="dxa"/>
            <w:tcBorders>
              <w:top w:val="single" w:sz="6" w:space="0" w:color="auto"/>
              <w:left w:val="single" w:sz="6" w:space="0" w:color="auto"/>
              <w:bottom w:val="single" w:sz="6" w:space="0" w:color="auto"/>
              <w:right w:val="single" w:sz="6" w:space="0" w:color="auto"/>
            </w:tcBorders>
          </w:tcPr>
          <w:p w14:paraId="03C8D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E8D1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CB5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FF0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8F8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9A8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8512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6191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чему аппарат потерпел аварию. К настоящему вр.</w:t>
            </w:r>
          </w:p>
        </w:tc>
      </w:tr>
      <w:tr w:rsidR="00DA227A" w:rsidRPr="00E93F40" w14:paraId="525C06C3" w14:textId="77777777">
        <w:tc>
          <w:tcPr>
            <w:tcW w:w="939" w:type="dxa"/>
            <w:tcBorders>
              <w:top w:val="single" w:sz="6" w:space="0" w:color="auto"/>
              <w:left w:val="single" w:sz="6" w:space="0" w:color="auto"/>
              <w:bottom w:val="single" w:sz="6" w:space="0" w:color="auto"/>
              <w:right w:val="single" w:sz="6" w:space="0" w:color="auto"/>
            </w:tcBorders>
          </w:tcPr>
          <w:p w14:paraId="3B279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1ADB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566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DCC3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2CE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C131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9D4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6B4D4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геликоптер восстановлен. Ведутся работы по улучш.</w:t>
            </w:r>
          </w:p>
        </w:tc>
      </w:tr>
      <w:tr w:rsidR="00DA227A" w:rsidRPr="00E93F40" w14:paraId="55DB993F" w14:textId="77777777">
        <w:tc>
          <w:tcPr>
            <w:tcW w:w="939" w:type="dxa"/>
            <w:tcBorders>
              <w:top w:val="single" w:sz="6" w:space="0" w:color="auto"/>
              <w:left w:val="single" w:sz="6" w:space="0" w:color="auto"/>
              <w:bottom w:val="single" w:sz="6" w:space="0" w:color="auto"/>
              <w:right w:val="single" w:sz="6" w:space="0" w:color="auto"/>
            </w:tcBorders>
          </w:tcPr>
          <w:p w14:paraId="2F7C5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EF0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F99C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042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76AE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00CB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9AE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53C50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устойчивости. Дублер геликоптера закончен постр.</w:t>
            </w:r>
          </w:p>
        </w:tc>
      </w:tr>
      <w:tr w:rsidR="00DA227A" w:rsidRPr="00E93F40" w14:paraId="32BF1D2D" w14:textId="77777777">
        <w:tc>
          <w:tcPr>
            <w:tcW w:w="939" w:type="dxa"/>
            <w:tcBorders>
              <w:top w:val="single" w:sz="6" w:space="0" w:color="auto"/>
              <w:left w:val="single" w:sz="6" w:space="0" w:color="auto"/>
              <w:bottom w:val="single" w:sz="6" w:space="0" w:color="auto"/>
              <w:right w:val="single" w:sz="6" w:space="0" w:color="auto"/>
            </w:tcBorders>
          </w:tcPr>
          <w:p w14:paraId="6492D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М-11</w:t>
            </w:r>
          </w:p>
        </w:tc>
        <w:tc>
          <w:tcPr>
            <w:tcW w:w="939" w:type="dxa"/>
            <w:tcBorders>
              <w:top w:val="single" w:sz="6" w:space="0" w:color="auto"/>
              <w:left w:val="single" w:sz="6" w:space="0" w:color="auto"/>
              <w:bottom w:val="single" w:sz="6" w:space="0" w:color="auto"/>
              <w:right w:val="single" w:sz="6" w:space="0" w:color="auto"/>
            </w:tcBorders>
          </w:tcPr>
          <w:p w14:paraId="71785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08527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F42D7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255DB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2DC4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78BFF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1.11.32/</w:t>
            </w:r>
          </w:p>
        </w:tc>
        <w:tc>
          <w:tcPr>
            <w:tcW w:w="4025" w:type="dxa"/>
            <w:tcBorders>
              <w:top w:val="single" w:sz="6" w:space="0" w:color="auto"/>
              <w:left w:val="single" w:sz="6" w:space="0" w:color="auto"/>
              <w:bottom w:val="single" w:sz="6" w:space="0" w:color="auto"/>
              <w:right w:val="single" w:sz="6" w:space="0" w:color="auto"/>
            </w:tcBorders>
          </w:tcPr>
          <w:p w14:paraId="20C7F9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по автожирам в наст. вр. находятся в </w:t>
            </w:r>
          </w:p>
        </w:tc>
      </w:tr>
      <w:tr w:rsidR="00DA227A" w:rsidRPr="00E93F40" w14:paraId="56612612" w14:textId="77777777">
        <w:tc>
          <w:tcPr>
            <w:tcW w:w="939" w:type="dxa"/>
            <w:tcBorders>
              <w:top w:val="single" w:sz="6" w:space="0" w:color="auto"/>
              <w:left w:val="single" w:sz="6" w:space="0" w:color="auto"/>
              <w:bottom w:val="single" w:sz="6" w:space="0" w:color="auto"/>
              <w:right w:val="single" w:sz="6" w:space="0" w:color="auto"/>
            </w:tcBorders>
          </w:tcPr>
          <w:p w14:paraId="68CF2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783D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D325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454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9E18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2D1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0919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01.33</w:t>
            </w:r>
          </w:p>
        </w:tc>
        <w:tc>
          <w:tcPr>
            <w:tcW w:w="4025" w:type="dxa"/>
            <w:tcBorders>
              <w:top w:val="single" w:sz="6" w:space="0" w:color="auto"/>
              <w:left w:val="single" w:sz="6" w:space="0" w:color="auto"/>
              <w:bottom w:val="single" w:sz="6" w:space="0" w:color="auto"/>
              <w:right w:val="single" w:sz="6" w:space="0" w:color="auto"/>
            </w:tcBorders>
          </w:tcPr>
          <w:p w14:paraId="20256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нижеследующем положении:</w:t>
            </w:r>
          </w:p>
        </w:tc>
      </w:tr>
      <w:tr w:rsidR="00DA227A" w:rsidRPr="00E93F40" w14:paraId="52849BCA" w14:textId="77777777">
        <w:tc>
          <w:tcPr>
            <w:tcW w:w="939" w:type="dxa"/>
            <w:tcBorders>
              <w:top w:val="single" w:sz="6" w:space="0" w:color="auto"/>
              <w:left w:val="single" w:sz="6" w:space="0" w:color="auto"/>
              <w:bottom w:val="single" w:sz="6" w:space="0" w:color="auto"/>
              <w:right w:val="single" w:sz="6" w:space="0" w:color="auto"/>
            </w:tcBorders>
          </w:tcPr>
          <w:p w14:paraId="67FE5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11C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959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116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484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5391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F32E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w:t>
            </w:r>
          </w:p>
        </w:tc>
        <w:tc>
          <w:tcPr>
            <w:tcW w:w="4025" w:type="dxa"/>
            <w:tcBorders>
              <w:top w:val="single" w:sz="6" w:space="0" w:color="auto"/>
              <w:left w:val="single" w:sz="6" w:space="0" w:color="auto"/>
              <w:bottom w:val="single" w:sz="6" w:space="0" w:color="auto"/>
              <w:right w:val="single" w:sz="6" w:space="0" w:color="auto"/>
            </w:tcBorders>
          </w:tcPr>
          <w:p w14:paraId="604BA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Автожир с мотором Титан закончил зав. испытания </w:t>
            </w:r>
          </w:p>
        </w:tc>
      </w:tr>
      <w:tr w:rsidR="00DA227A" w:rsidRPr="00E93F40" w14:paraId="11EAAB44" w14:textId="77777777">
        <w:tc>
          <w:tcPr>
            <w:tcW w:w="939" w:type="dxa"/>
            <w:tcBorders>
              <w:top w:val="single" w:sz="6" w:space="0" w:color="auto"/>
              <w:left w:val="single" w:sz="6" w:space="0" w:color="auto"/>
              <w:bottom w:val="single" w:sz="6" w:space="0" w:color="auto"/>
              <w:right w:val="single" w:sz="6" w:space="0" w:color="auto"/>
            </w:tcBorders>
          </w:tcPr>
          <w:p w14:paraId="44596E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F4B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533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817B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746F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D62A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21DC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43182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одлжен быть передан в НИИ ВВС на испытания к</w:t>
            </w:r>
          </w:p>
        </w:tc>
      </w:tr>
      <w:tr w:rsidR="00DA227A" w:rsidRPr="00E93F40" w14:paraId="53C0ADA5" w14:textId="77777777">
        <w:tc>
          <w:tcPr>
            <w:tcW w:w="939" w:type="dxa"/>
            <w:tcBorders>
              <w:top w:val="single" w:sz="6" w:space="0" w:color="auto"/>
              <w:left w:val="single" w:sz="6" w:space="0" w:color="auto"/>
              <w:bottom w:val="single" w:sz="6" w:space="0" w:color="auto"/>
              <w:right w:val="single" w:sz="6" w:space="0" w:color="auto"/>
            </w:tcBorders>
          </w:tcPr>
          <w:p w14:paraId="72B8F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Автожир с М-22</w:t>
            </w:r>
          </w:p>
        </w:tc>
        <w:tc>
          <w:tcPr>
            <w:tcW w:w="939" w:type="dxa"/>
            <w:tcBorders>
              <w:top w:val="single" w:sz="6" w:space="0" w:color="auto"/>
              <w:left w:val="single" w:sz="6" w:space="0" w:color="auto"/>
              <w:bottom w:val="single" w:sz="6" w:space="0" w:color="auto"/>
              <w:right w:val="single" w:sz="6" w:space="0" w:color="auto"/>
            </w:tcBorders>
          </w:tcPr>
          <w:p w14:paraId="3DCA5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843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2BAA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2D9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485A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D25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1.01.33/</w:t>
            </w:r>
          </w:p>
        </w:tc>
        <w:tc>
          <w:tcPr>
            <w:tcW w:w="4025" w:type="dxa"/>
            <w:tcBorders>
              <w:top w:val="single" w:sz="6" w:space="0" w:color="auto"/>
              <w:left w:val="single" w:sz="6" w:space="0" w:color="auto"/>
              <w:bottom w:val="single" w:sz="6" w:space="0" w:color="auto"/>
              <w:right w:val="single" w:sz="6" w:space="0" w:color="auto"/>
            </w:tcBorders>
          </w:tcPr>
          <w:p w14:paraId="3FC06A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10.01.33 года. Автожир с мотором М-26, построен.</w:t>
            </w:r>
          </w:p>
        </w:tc>
      </w:tr>
      <w:tr w:rsidR="00DA227A" w:rsidRPr="00E93F40" w14:paraId="03E500AD" w14:textId="77777777">
        <w:tc>
          <w:tcPr>
            <w:tcW w:w="939" w:type="dxa"/>
            <w:tcBorders>
              <w:top w:val="single" w:sz="6" w:space="0" w:color="auto"/>
              <w:left w:val="single" w:sz="6" w:space="0" w:color="auto"/>
              <w:bottom w:val="single" w:sz="6" w:space="0" w:color="auto"/>
              <w:right w:val="single" w:sz="6" w:space="0" w:color="auto"/>
            </w:tcBorders>
          </w:tcPr>
          <w:p w14:paraId="21D274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BAD9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41B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07F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D53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BCE4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86F6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05.33</w:t>
            </w:r>
          </w:p>
        </w:tc>
        <w:tc>
          <w:tcPr>
            <w:tcW w:w="4025" w:type="dxa"/>
            <w:tcBorders>
              <w:top w:val="single" w:sz="6" w:space="0" w:color="auto"/>
              <w:left w:val="single" w:sz="6" w:space="0" w:color="auto"/>
              <w:bottom w:val="single" w:sz="6" w:space="0" w:color="auto"/>
              <w:right w:val="single" w:sz="6" w:space="0" w:color="auto"/>
            </w:tcBorders>
          </w:tcPr>
          <w:p w14:paraId="6CB557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потерпел аварию, вероятно причиной котор.</w:t>
            </w:r>
          </w:p>
        </w:tc>
      </w:tr>
      <w:tr w:rsidR="00DA227A" w:rsidRPr="00E93F40" w14:paraId="740D2A9A" w14:textId="77777777">
        <w:tc>
          <w:tcPr>
            <w:tcW w:w="939" w:type="dxa"/>
            <w:tcBorders>
              <w:top w:val="single" w:sz="6" w:space="0" w:color="auto"/>
              <w:left w:val="single" w:sz="6" w:space="0" w:color="auto"/>
              <w:bottom w:val="single" w:sz="6" w:space="0" w:color="auto"/>
              <w:right w:val="single" w:sz="6" w:space="0" w:color="auto"/>
            </w:tcBorders>
          </w:tcPr>
          <w:p w14:paraId="03578C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B1C4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C1AE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41D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1FC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60D0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3757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w:t>
            </w:r>
          </w:p>
        </w:tc>
        <w:tc>
          <w:tcPr>
            <w:tcW w:w="4025" w:type="dxa"/>
            <w:tcBorders>
              <w:top w:val="single" w:sz="6" w:space="0" w:color="auto"/>
              <w:left w:val="single" w:sz="6" w:space="0" w:color="auto"/>
              <w:bottom w:val="single" w:sz="6" w:space="0" w:color="auto"/>
              <w:right w:val="single" w:sz="6" w:space="0" w:color="auto"/>
            </w:tcBorders>
          </w:tcPr>
          <w:p w14:paraId="0F16AD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является деформация лопастей винта. Восстановлен.</w:t>
            </w:r>
          </w:p>
        </w:tc>
      </w:tr>
      <w:tr w:rsidR="00DA227A" w:rsidRPr="00E93F40" w14:paraId="42B69683" w14:textId="77777777">
        <w:tc>
          <w:tcPr>
            <w:tcW w:w="939" w:type="dxa"/>
            <w:tcBorders>
              <w:top w:val="single" w:sz="6" w:space="0" w:color="auto"/>
              <w:left w:val="single" w:sz="6" w:space="0" w:color="auto"/>
              <w:bottom w:val="single" w:sz="6" w:space="0" w:color="auto"/>
              <w:right w:val="single" w:sz="6" w:space="0" w:color="auto"/>
            </w:tcBorders>
          </w:tcPr>
          <w:p w14:paraId="382846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169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9A99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11F8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843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F08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DF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4CCF2B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конструкции автожира будет закончено в конце</w:t>
            </w:r>
          </w:p>
        </w:tc>
      </w:tr>
      <w:tr w:rsidR="00DA227A" w:rsidRPr="00E93F40" w14:paraId="24490782" w14:textId="77777777">
        <w:tc>
          <w:tcPr>
            <w:tcW w:w="939" w:type="dxa"/>
            <w:tcBorders>
              <w:top w:val="single" w:sz="6" w:space="0" w:color="auto"/>
              <w:left w:val="single" w:sz="6" w:space="0" w:color="auto"/>
              <w:bottom w:val="single" w:sz="6" w:space="0" w:color="auto"/>
              <w:right w:val="single" w:sz="6" w:space="0" w:color="auto"/>
            </w:tcBorders>
          </w:tcPr>
          <w:p w14:paraId="71B8E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741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B99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074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AAE9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D551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912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82A2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января 1933 года. Головной автожир с мотором М-26</w:t>
            </w:r>
          </w:p>
        </w:tc>
      </w:tr>
      <w:tr w:rsidR="00DA227A" w:rsidRPr="00E93F40" w14:paraId="13D38553" w14:textId="77777777">
        <w:tc>
          <w:tcPr>
            <w:tcW w:w="939" w:type="dxa"/>
            <w:tcBorders>
              <w:top w:val="single" w:sz="6" w:space="0" w:color="auto"/>
              <w:left w:val="single" w:sz="6" w:space="0" w:color="auto"/>
              <w:bottom w:val="single" w:sz="6" w:space="0" w:color="auto"/>
              <w:right w:val="single" w:sz="6" w:space="0" w:color="auto"/>
            </w:tcBorders>
          </w:tcPr>
          <w:p w14:paraId="20B1CA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A383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01D5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5F18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3C94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184D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4C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53EC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серии из десяти автожиров, строящихся в Киеве,</w:t>
            </w:r>
          </w:p>
        </w:tc>
      </w:tr>
      <w:tr w:rsidR="00DA227A" w:rsidRPr="00E93F40" w14:paraId="1C0803D7" w14:textId="77777777">
        <w:tc>
          <w:tcPr>
            <w:tcW w:w="939" w:type="dxa"/>
            <w:tcBorders>
              <w:top w:val="single" w:sz="6" w:space="0" w:color="auto"/>
              <w:left w:val="single" w:sz="6" w:space="0" w:color="auto"/>
              <w:bottom w:val="single" w:sz="6" w:space="0" w:color="auto"/>
              <w:right w:val="single" w:sz="6" w:space="0" w:color="auto"/>
            </w:tcBorders>
          </w:tcPr>
          <w:p w14:paraId="34AE76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F3B3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41D8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03E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3E49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8921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CE7E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DE743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прошел сдаточные заводские испытания и в начале</w:t>
            </w:r>
          </w:p>
        </w:tc>
      </w:tr>
      <w:tr w:rsidR="00DA227A" w:rsidRPr="00E93F40" w14:paraId="0FBBCDDA" w14:textId="77777777">
        <w:tc>
          <w:tcPr>
            <w:tcW w:w="939" w:type="dxa"/>
            <w:tcBorders>
              <w:top w:val="single" w:sz="6" w:space="0" w:color="auto"/>
              <w:left w:val="single" w:sz="6" w:space="0" w:color="auto"/>
              <w:bottom w:val="single" w:sz="6" w:space="0" w:color="auto"/>
              <w:right w:val="single" w:sz="6" w:space="0" w:color="auto"/>
            </w:tcBorders>
          </w:tcPr>
          <w:p w14:paraId="7A880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4D8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735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696A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5BB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5FB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26EC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5A2E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января будет передан на испытания в ЦАГИ. Серийн.</w:t>
            </w:r>
          </w:p>
        </w:tc>
      </w:tr>
      <w:tr w:rsidR="00DA227A" w:rsidRPr="00E93F40" w14:paraId="045A0102" w14:textId="77777777">
        <w:tc>
          <w:tcPr>
            <w:tcW w:w="939" w:type="dxa"/>
            <w:tcBorders>
              <w:top w:val="single" w:sz="6" w:space="0" w:color="auto"/>
              <w:left w:val="single" w:sz="6" w:space="0" w:color="auto"/>
              <w:bottom w:val="single" w:sz="6" w:space="0" w:color="auto"/>
              <w:right w:val="single" w:sz="6" w:space="0" w:color="auto"/>
            </w:tcBorders>
          </w:tcPr>
          <w:p w14:paraId="32D4E5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6AF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48BD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8C86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16D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FF3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DFB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8093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автожиров задерживается ввиду недостат.</w:t>
            </w:r>
          </w:p>
        </w:tc>
      </w:tr>
      <w:tr w:rsidR="00DA227A" w:rsidRPr="00E93F40" w14:paraId="6DBF989E" w14:textId="77777777">
        <w:tc>
          <w:tcPr>
            <w:tcW w:w="939" w:type="dxa"/>
            <w:tcBorders>
              <w:top w:val="single" w:sz="6" w:space="0" w:color="auto"/>
              <w:left w:val="single" w:sz="6" w:space="0" w:color="auto"/>
              <w:bottom w:val="single" w:sz="6" w:space="0" w:color="auto"/>
              <w:right w:val="single" w:sz="6" w:space="0" w:color="auto"/>
            </w:tcBorders>
          </w:tcPr>
          <w:p w14:paraId="0BE55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15F2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04C1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855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C41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D495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6F0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1517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хромо-молибденовых труб. Автожир с мотором М-11</w:t>
            </w:r>
          </w:p>
        </w:tc>
      </w:tr>
      <w:tr w:rsidR="00DA227A" w:rsidRPr="00E93F40" w14:paraId="6761ABCF" w14:textId="77777777">
        <w:tc>
          <w:tcPr>
            <w:tcW w:w="939" w:type="dxa"/>
            <w:tcBorders>
              <w:top w:val="single" w:sz="6" w:space="0" w:color="auto"/>
              <w:left w:val="single" w:sz="6" w:space="0" w:color="auto"/>
              <w:bottom w:val="single" w:sz="6" w:space="0" w:color="auto"/>
              <w:right w:val="single" w:sz="6" w:space="0" w:color="auto"/>
            </w:tcBorders>
          </w:tcPr>
          <w:p w14:paraId="6A4ED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248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C0B6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33F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08CB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8405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C4DD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584EC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заканчивается постройкой. Его зав. испыт. должны</w:t>
            </w:r>
          </w:p>
        </w:tc>
      </w:tr>
      <w:tr w:rsidR="00DA227A" w:rsidRPr="00E93F40" w14:paraId="0143C2D9" w14:textId="77777777">
        <w:tc>
          <w:tcPr>
            <w:tcW w:w="939" w:type="dxa"/>
            <w:tcBorders>
              <w:top w:val="single" w:sz="6" w:space="0" w:color="auto"/>
              <w:left w:val="single" w:sz="6" w:space="0" w:color="auto"/>
              <w:bottom w:val="single" w:sz="6" w:space="0" w:color="auto"/>
              <w:right w:val="single" w:sz="6" w:space="0" w:color="auto"/>
            </w:tcBorders>
          </w:tcPr>
          <w:p w14:paraId="29090E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765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9726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FF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784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B932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E4D8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D5BA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начаться в первой декаде января.</w:t>
            </w:r>
          </w:p>
        </w:tc>
      </w:tr>
      <w:tr w:rsidR="00DA227A" w:rsidRPr="00E93F40" w14:paraId="6ECA763A" w14:textId="77777777">
        <w:tc>
          <w:tcPr>
            <w:tcW w:w="939" w:type="dxa"/>
            <w:tcBorders>
              <w:top w:val="single" w:sz="6" w:space="0" w:color="auto"/>
              <w:left w:val="single" w:sz="6" w:space="0" w:color="auto"/>
              <w:bottom w:val="single" w:sz="6" w:space="0" w:color="auto"/>
              <w:right w:val="single" w:sz="6" w:space="0" w:color="auto"/>
            </w:tcBorders>
          </w:tcPr>
          <w:p w14:paraId="1F96A2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ED6D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85E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418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077B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86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FD1D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7591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автожира с мотором М-22 законч.,</w:t>
            </w:r>
          </w:p>
        </w:tc>
      </w:tr>
      <w:tr w:rsidR="00DA227A" w:rsidRPr="00E93F40" w14:paraId="65F844FA" w14:textId="77777777">
        <w:tc>
          <w:tcPr>
            <w:tcW w:w="939" w:type="dxa"/>
            <w:tcBorders>
              <w:top w:val="single" w:sz="6" w:space="0" w:color="auto"/>
              <w:left w:val="single" w:sz="6" w:space="0" w:color="auto"/>
              <w:bottom w:val="single" w:sz="6" w:space="0" w:color="auto"/>
              <w:right w:val="single" w:sz="6" w:space="0" w:color="auto"/>
            </w:tcBorders>
          </w:tcPr>
          <w:p w14:paraId="68267A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2E6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1AC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5D69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953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A1A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11FD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64025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исключением вооружения и части оборудования.</w:t>
            </w:r>
          </w:p>
        </w:tc>
      </w:tr>
      <w:tr w:rsidR="00DA227A" w:rsidRPr="00E93F40" w14:paraId="1551FE1F" w14:textId="77777777">
        <w:tc>
          <w:tcPr>
            <w:tcW w:w="939" w:type="dxa"/>
            <w:tcBorders>
              <w:top w:val="single" w:sz="6" w:space="0" w:color="auto"/>
              <w:left w:val="single" w:sz="6" w:space="0" w:color="auto"/>
              <w:bottom w:val="single" w:sz="6" w:space="0" w:color="auto"/>
              <w:right w:val="single" w:sz="6" w:space="0" w:color="auto"/>
            </w:tcBorders>
          </w:tcPr>
          <w:p w14:paraId="007B1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B5F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43C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8EE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1FF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6630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5E6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CB3B5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Начата постройка. Срок окончания последней намеч.</w:t>
            </w:r>
          </w:p>
        </w:tc>
      </w:tr>
      <w:tr w:rsidR="00DA227A" w:rsidRPr="00E93F40" w14:paraId="2347F993" w14:textId="77777777">
        <w:tc>
          <w:tcPr>
            <w:tcW w:w="939" w:type="dxa"/>
            <w:tcBorders>
              <w:top w:val="single" w:sz="6" w:space="0" w:color="auto"/>
              <w:left w:val="single" w:sz="6" w:space="0" w:color="auto"/>
              <w:bottom w:val="single" w:sz="6" w:space="0" w:color="auto"/>
              <w:right w:val="single" w:sz="6" w:space="0" w:color="auto"/>
            </w:tcBorders>
          </w:tcPr>
          <w:p w14:paraId="058EA8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F378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6BF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4B9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345C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14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F12D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57923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май 1933 года.</w:t>
            </w:r>
          </w:p>
        </w:tc>
      </w:tr>
      <w:tr w:rsidR="00DA227A" w:rsidRPr="00E93F40" w14:paraId="4072D032" w14:textId="77777777">
        <w:tc>
          <w:tcPr>
            <w:tcW w:w="939" w:type="dxa"/>
            <w:tcBorders>
              <w:top w:val="single" w:sz="6" w:space="0" w:color="auto"/>
              <w:left w:val="single" w:sz="6" w:space="0" w:color="auto"/>
              <w:bottom w:val="single" w:sz="6" w:space="0" w:color="auto"/>
              <w:right w:val="single" w:sz="6" w:space="0" w:color="auto"/>
            </w:tcBorders>
          </w:tcPr>
          <w:p w14:paraId="1B3E5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С-т с реактивн.</w:t>
            </w:r>
          </w:p>
        </w:tc>
        <w:tc>
          <w:tcPr>
            <w:tcW w:w="939" w:type="dxa"/>
            <w:tcBorders>
              <w:top w:val="single" w:sz="6" w:space="0" w:color="auto"/>
              <w:left w:val="single" w:sz="6" w:space="0" w:color="auto"/>
              <w:bottom w:val="single" w:sz="6" w:space="0" w:color="auto"/>
              <w:right w:val="single" w:sz="6" w:space="0" w:color="auto"/>
            </w:tcBorders>
          </w:tcPr>
          <w:p w14:paraId="4090C4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CDFB4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D2159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85D5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063A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97787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4025" w:type="dxa"/>
            <w:tcBorders>
              <w:top w:val="single" w:sz="6" w:space="0" w:color="auto"/>
              <w:left w:val="single" w:sz="6" w:space="0" w:color="auto"/>
              <w:bottom w:val="single" w:sz="6" w:space="0" w:color="auto"/>
              <w:right w:val="single" w:sz="6" w:space="0" w:color="auto"/>
            </w:tcBorders>
          </w:tcPr>
          <w:p w14:paraId="099551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 по реактивному двигателю на жидком топл.</w:t>
            </w:r>
          </w:p>
        </w:tc>
      </w:tr>
      <w:tr w:rsidR="00DA227A" w:rsidRPr="00E93F40" w14:paraId="0FA3289C" w14:textId="77777777">
        <w:tc>
          <w:tcPr>
            <w:tcW w:w="939" w:type="dxa"/>
            <w:tcBorders>
              <w:top w:val="single" w:sz="6" w:space="0" w:color="auto"/>
              <w:left w:val="single" w:sz="6" w:space="0" w:color="auto"/>
              <w:bottom w:val="single" w:sz="6" w:space="0" w:color="auto"/>
              <w:right w:val="single" w:sz="6" w:space="0" w:color="auto"/>
            </w:tcBorders>
          </w:tcPr>
          <w:p w14:paraId="0FA9F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063BA8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5E6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3AF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1A8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9D8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0A7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4484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ведется в ГИРД ОСОАВИАХИМА и в Газо-динамич.</w:t>
            </w:r>
          </w:p>
        </w:tc>
      </w:tr>
      <w:tr w:rsidR="00DA227A" w:rsidRPr="00E93F40" w14:paraId="1B664224" w14:textId="77777777">
        <w:tc>
          <w:tcPr>
            <w:tcW w:w="939" w:type="dxa"/>
            <w:tcBorders>
              <w:top w:val="single" w:sz="6" w:space="0" w:color="auto"/>
              <w:left w:val="single" w:sz="6" w:space="0" w:color="auto"/>
              <w:bottom w:val="single" w:sz="6" w:space="0" w:color="auto"/>
              <w:right w:val="single" w:sz="6" w:space="0" w:color="auto"/>
            </w:tcBorders>
          </w:tcPr>
          <w:p w14:paraId="0159A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439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20C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965E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B6E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A135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7F2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AF97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лаборатории. Двигатель ГИРД проходит исследоват.</w:t>
            </w:r>
          </w:p>
        </w:tc>
      </w:tr>
      <w:tr w:rsidR="00DA227A" w:rsidRPr="00E93F40" w14:paraId="16E1829E" w14:textId="77777777">
        <w:tc>
          <w:tcPr>
            <w:tcW w:w="939" w:type="dxa"/>
            <w:tcBorders>
              <w:top w:val="single" w:sz="6" w:space="0" w:color="auto"/>
              <w:left w:val="single" w:sz="6" w:space="0" w:color="auto"/>
              <w:bottom w:val="single" w:sz="6" w:space="0" w:color="auto"/>
              <w:right w:val="single" w:sz="6" w:space="0" w:color="auto"/>
            </w:tcBorders>
          </w:tcPr>
          <w:p w14:paraId="3D041D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E690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4784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B7A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7BB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CB0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BE4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AD0C9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Срок окончания последних в наст. вр.</w:t>
            </w:r>
          </w:p>
        </w:tc>
      </w:tr>
      <w:tr w:rsidR="00DA227A" w:rsidRPr="00E93F40" w14:paraId="3E2BBD71" w14:textId="77777777">
        <w:tc>
          <w:tcPr>
            <w:tcW w:w="939" w:type="dxa"/>
            <w:tcBorders>
              <w:top w:val="single" w:sz="6" w:space="0" w:color="auto"/>
              <w:left w:val="single" w:sz="6" w:space="0" w:color="auto"/>
              <w:bottom w:val="single" w:sz="6" w:space="0" w:color="auto"/>
              <w:right w:val="single" w:sz="6" w:space="0" w:color="auto"/>
            </w:tcBorders>
          </w:tcPr>
          <w:p w14:paraId="645CB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1DC1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A6E9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5B0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6B2E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DD12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18A5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83D2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определить нельзя. В случае положительного </w:t>
            </w:r>
          </w:p>
        </w:tc>
      </w:tr>
      <w:tr w:rsidR="00DA227A" w:rsidRPr="00E93F40" w14:paraId="7339C85A" w14:textId="77777777">
        <w:tc>
          <w:tcPr>
            <w:tcW w:w="939" w:type="dxa"/>
            <w:tcBorders>
              <w:top w:val="single" w:sz="6" w:space="0" w:color="auto"/>
              <w:left w:val="single" w:sz="6" w:space="0" w:color="auto"/>
              <w:bottom w:val="single" w:sz="6" w:space="0" w:color="auto"/>
              <w:right w:val="single" w:sz="6" w:space="0" w:color="auto"/>
            </w:tcBorders>
          </w:tcPr>
          <w:p w14:paraId="2F0F73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DBC6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4D0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20BA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9BC5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ED0A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BA3B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6952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результата двигатель будет установлен на легкий</w:t>
            </w:r>
          </w:p>
        </w:tc>
      </w:tr>
      <w:tr w:rsidR="00DA227A" w:rsidRPr="00E93F40" w14:paraId="6525026F" w14:textId="77777777">
        <w:tc>
          <w:tcPr>
            <w:tcW w:w="939" w:type="dxa"/>
            <w:tcBorders>
              <w:top w:val="single" w:sz="6" w:space="0" w:color="auto"/>
              <w:left w:val="single" w:sz="6" w:space="0" w:color="auto"/>
              <w:bottom w:val="single" w:sz="6" w:space="0" w:color="auto"/>
              <w:right w:val="single" w:sz="6" w:space="0" w:color="auto"/>
            </w:tcBorders>
          </w:tcPr>
          <w:p w14:paraId="0AC82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BF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DD9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4FE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D4D9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B99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884A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8941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летающее крыло, уже построенный и испытан.</w:t>
            </w:r>
          </w:p>
        </w:tc>
      </w:tr>
      <w:tr w:rsidR="00DA227A" w:rsidRPr="00E93F40" w14:paraId="14BF9A71" w14:textId="77777777">
        <w:tc>
          <w:tcPr>
            <w:tcW w:w="939" w:type="dxa"/>
            <w:tcBorders>
              <w:top w:val="single" w:sz="6" w:space="0" w:color="auto"/>
              <w:left w:val="single" w:sz="6" w:space="0" w:color="auto"/>
              <w:bottom w:val="single" w:sz="6" w:space="0" w:color="auto"/>
              <w:right w:val="single" w:sz="6" w:space="0" w:color="auto"/>
            </w:tcBorders>
          </w:tcPr>
          <w:p w14:paraId="57DB51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B8B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7D4D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176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8C04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A01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E3AB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A2B2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Газо-динамич. лаборатории по окончании</w:t>
            </w:r>
          </w:p>
        </w:tc>
      </w:tr>
      <w:tr w:rsidR="00DA227A" w:rsidRPr="00E93F40" w14:paraId="29E64E40" w14:textId="77777777">
        <w:tc>
          <w:tcPr>
            <w:tcW w:w="939" w:type="dxa"/>
            <w:tcBorders>
              <w:top w:val="single" w:sz="6" w:space="0" w:color="auto"/>
              <w:left w:val="single" w:sz="6" w:space="0" w:color="auto"/>
              <w:bottom w:val="single" w:sz="6" w:space="0" w:color="auto"/>
              <w:right w:val="single" w:sz="6" w:space="0" w:color="auto"/>
            </w:tcBorders>
          </w:tcPr>
          <w:p w14:paraId="1594A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B652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810A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7039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69AC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107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A39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75DF0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ведущихся испытаний его предложено установить на</w:t>
            </w:r>
          </w:p>
        </w:tc>
      </w:tr>
      <w:tr w:rsidR="00DA227A" w:rsidRPr="00E93F40" w14:paraId="0473F852" w14:textId="77777777">
        <w:tc>
          <w:tcPr>
            <w:tcW w:w="939" w:type="dxa"/>
            <w:tcBorders>
              <w:top w:val="single" w:sz="6" w:space="0" w:color="auto"/>
              <w:left w:val="single" w:sz="6" w:space="0" w:color="auto"/>
              <w:bottom w:val="single" w:sz="6" w:space="0" w:color="auto"/>
              <w:right w:val="single" w:sz="6" w:space="0" w:color="auto"/>
            </w:tcBorders>
          </w:tcPr>
          <w:p w14:paraId="0354B2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4A5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5945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C165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6E88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79C0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E06C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EC0C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И4. Этот двигатель будет способен в течении</w:t>
            </w:r>
          </w:p>
        </w:tc>
      </w:tr>
      <w:tr w:rsidR="00DA227A" w:rsidRPr="00E93F40" w14:paraId="298D5AF7" w14:textId="77777777">
        <w:tc>
          <w:tcPr>
            <w:tcW w:w="939" w:type="dxa"/>
            <w:tcBorders>
              <w:top w:val="single" w:sz="6" w:space="0" w:color="auto"/>
              <w:left w:val="single" w:sz="6" w:space="0" w:color="auto"/>
              <w:bottom w:val="single" w:sz="6" w:space="0" w:color="auto"/>
              <w:right w:val="single" w:sz="6" w:space="0" w:color="auto"/>
            </w:tcBorders>
          </w:tcPr>
          <w:p w14:paraId="700A22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D5A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50D6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3679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D7AA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BBA1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3A8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57160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 мин. развивать тягу в 10000 кг, что позволит</w:t>
            </w:r>
          </w:p>
        </w:tc>
      </w:tr>
      <w:tr w:rsidR="00DA227A" w:rsidRPr="00E93F40" w14:paraId="06B4E779" w14:textId="77777777">
        <w:tc>
          <w:tcPr>
            <w:tcW w:w="939" w:type="dxa"/>
            <w:tcBorders>
              <w:top w:val="single" w:sz="6" w:space="0" w:color="auto"/>
              <w:left w:val="single" w:sz="6" w:space="0" w:color="auto"/>
              <w:bottom w:val="single" w:sz="6" w:space="0" w:color="auto"/>
              <w:right w:val="single" w:sz="6" w:space="0" w:color="auto"/>
            </w:tcBorders>
          </w:tcPr>
          <w:p w14:paraId="2EE78B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CC4D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C9D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03F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10F1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092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EE4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83AD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короткий промежуток времени значительно</w:t>
            </w:r>
          </w:p>
        </w:tc>
      </w:tr>
      <w:tr w:rsidR="00DA227A" w:rsidRPr="00E93F40" w14:paraId="138AADEF" w14:textId="77777777">
        <w:tc>
          <w:tcPr>
            <w:tcW w:w="939" w:type="dxa"/>
            <w:tcBorders>
              <w:top w:val="single" w:sz="6" w:space="0" w:color="auto"/>
              <w:left w:val="single" w:sz="6" w:space="0" w:color="auto"/>
              <w:bottom w:val="single" w:sz="6" w:space="0" w:color="auto"/>
              <w:right w:val="single" w:sz="6" w:space="0" w:color="auto"/>
            </w:tcBorders>
          </w:tcPr>
          <w:p w14:paraId="6520B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FC45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0655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1A1A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6BA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1E1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07CD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D74C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повысить летные данные с-та.</w:t>
            </w:r>
          </w:p>
        </w:tc>
      </w:tr>
      <w:tr w:rsidR="00DA227A" w:rsidRPr="00E93F40" w14:paraId="3D4BE39A" w14:textId="77777777">
        <w:tc>
          <w:tcPr>
            <w:tcW w:w="939" w:type="dxa"/>
            <w:tcBorders>
              <w:top w:val="single" w:sz="6" w:space="0" w:color="auto"/>
              <w:left w:val="single" w:sz="6" w:space="0" w:color="auto"/>
              <w:bottom w:val="single" w:sz="6" w:space="0" w:color="auto"/>
              <w:right w:val="single" w:sz="6" w:space="0" w:color="auto"/>
            </w:tcBorders>
          </w:tcPr>
          <w:p w14:paraId="4A3F69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с раздвижн.</w:t>
            </w:r>
          </w:p>
        </w:tc>
        <w:tc>
          <w:tcPr>
            <w:tcW w:w="939" w:type="dxa"/>
            <w:tcBorders>
              <w:top w:val="single" w:sz="6" w:space="0" w:color="auto"/>
              <w:left w:val="single" w:sz="6" w:space="0" w:color="auto"/>
              <w:bottom w:val="single" w:sz="6" w:space="0" w:color="auto"/>
              <w:right w:val="single" w:sz="6" w:space="0" w:color="auto"/>
            </w:tcBorders>
          </w:tcPr>
          <w:p w14:paraId="7DC28F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C057D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9A897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C64D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9A92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96A1E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1.05.33/-</w:t>
            </w:r>
          </w:p>
        </w:tc>
        <w:tc>
          <w:tcPr>
            <w:tcW w:w="4025" w:type="dxa"/>
            <w:tcBorders>
              <w:top w:val="single" w:sz="6" w:space="0" w:color="auto"/>
              <w:left w:val="single" w:sz="6" w:space="0" w:color="auto"/>
              <w:bottom w:val="single" w:sz="6" w:space="0" w:color="auto"/>
              <w:right w:val="single" w:sz="6" w:space="0" w:color="auto"/>
            </w:tcBorders>
          </w:tcPr>
          <w:p w14:paraId="171936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ГУГВФ к работам по самолетам не приступал по </w:t>
            </w:r>
          </w:p>
        </w:tc>
      </w:tr>
      <w:tr w:rsidR="00DA227A" w:rsidRPr="00E93F40" w14:paraId="58D34D90" w14:textId="77777777">
        <w:tc>
          <w:tcPr>
            <w:tcW w:w="939" w:type="dxa"/>
            <w:tcBorders>
              <w:top w:val="single" w:sz="6" w:space="0" w:color="auto"/>
              <w:left w:val="single" w:sz="6" w:space="0" w:color="auto"/>
              <w:bottom w:val="nil"/>
              <w:right w:val="single" w:sz="6" w:space="0" w:color="auto"/>
            </w:tcBorders>
          </w:tcPr>
          <w:p w14:paraId="23675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крыльями (УТ3 бис</w:t>
            </w:r>
          </w:p>
        </w:tc>
        <w:tc>
          <w:tcPr>
            <w:tcW w:w="939" w:type="dxa"/>
            <w:tcBorders>
              <w:top w:val="single" w:sz="6" w:space="0" w:color="auto"/>
              <w:left w:val="single" w:sz="6" w:space="0" w:color="auto"/>
              <w:bottom w:val="nil"/>
              <w:right w:val="single" w:sz="6" w:space="0" w:color="auto"/>
            </w:tcBorders>
          </w:tcPr>
          <w:p w14:paraId="4EDD5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C9334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564A9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076A95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EFE25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6EA18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nil"/>
              <w:right w:val="single" w:sz="6" w:space="0" w:color="auto"/>
            </w:tcBorders>
          </w:tcPr>
          <w:p w14:paraId="2DB6CC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мотивировкам изложенным в графе относящейся к </w:t>
            </w:r>
          </w:p>
        </w:tc>
      </w:tr>
      <w:tr w:rsidR="00DA227A" w:rsidRPr="00E93F40" w14:paraId="1A130998" w14:textId="77777777">
        <w:tc>
          <w:tcPr>
            <w:tcW w:w="939" w:type="dxa"/>
            <w:tcBorders>
              <w:top w:val="single" w:sz="6" w:space="0" w:color="auto"/>
              <w:left w:val="single" w:sz="6" w:space="0" w:color="auto"/>
              <w:bottom w:val="single" w:sz="6" w:space="0" w:color="auto"/>
              <w:right w:val="single" w:sz="6" w:space="0" w:color="auto"/>
            </w:tcBorders>
          </w:tcPr>
          <w:p w14:paraId="3D537A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М48)</w:t>
            </w:r>
          </w:p>
        </w:tc>
        <w:tc>
          <w:tcPr>
            <w:tcW w:w="939" w:type="dxa"/>
            <w:tcBorders>
              <w:top w:val="single" w:sz="6" w:space="0" w:color="auto"/>
              <w:left w:val="single" w:sz="6" w:space="0" w:color="auto"/>
              <w:bottom w:val="single" w:sz="6" w:space="0" w:color="auto"/>
              <w:right w:val="single" w:sz="6" w:space="0" w:color="auto"/>
            </w:tcBorders>
          </w:tcPr>
          <w:p w14:paraId="46919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CE77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BEDB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061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4AC8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093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1F89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с-ту П3-М52.</w:t>
            </w:r>
          </w:p>
        </w:tc>
      </w:tr>
      <w:tr w:rsidR="00DA227A" w:rsidRPr="00E93F40" w14:paraId="2C7EC20C" w14:textId="77777777">
        <w:tc>
          <w:tcPr>
            <w:tcW w:w="939" w:type="dxa"/>
            <w:tcBorders>
              <w:top w:val="single" w:sz="6" w:space="0" w:color="auto"/>
              <w:left w:val="single" w:sz="6" w:space="0" w:color="auto"/>
              <w:bottom w:val="single" w:sz="6" w:space="0" w:color="auto"/>
              <w:right w:val="single" w:sz="6" w:space="0" w:color="auto"/>
            </w:tcBorders>
          </w:tcPr>
          <w:p w14:paraId="6763B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с нефтяным</w:t>
            </w:r>
          </w:p>
        </w:tc>
        <w:tc>
          <w:tcPr>
            <w:tcW w:w="939" w:type="dxa"/>
            <w:tcBorders>
              <w:top w:val="single" w:sz="6" w:space="0" w:color="auto"/>
              <w:left w:val="single" w:sz="6" w:space="0" w:color="auto"/>
              <w:bottom w:val="single" w:sz="6" w:space="0" w:color="auto"/>
              <w:right w:val="single" w:sz="6" w:space="0" w:color="auto"/>
            </w:tcBorders>
          </w:tcPr>
          <w:p w14:paraId="77DDA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E0636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F589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525A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1952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2C524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4025" w:type="dxa"/>
            <w:tcBorders>
              <w:top w:val="single" w:sz="6" w:space="0" w:color="auto"/>
              <w:left w:val="single" w:sz="6" w:space="0" w:color="auto"/>
              <w:bottom w:val="single" w:sz="6" w:space="0" w:color="auto"/>
              <w:right w:val="single" w:sz="6" w:space="0" w:color="auto"/>
            </w:tcBorders>
          </w:tcPr>
          <w:p w14:paraId="2020FC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не ведутся.</w:t>
            </w:r>
          </w:p>
        </w:tc>
      </w:tr>
      <w:tr w:rsidR="00DA227A" w:rsidRPr="00E93F40" w14:paraId="1FE5E7B9" w14:textId="77777777">
        <w:tc>
          <w:tcPr>
            <w:tcW w:w="939" w:type="dxa"/>
            <w:tcBorders>
              <w:top w:val="single" w:sz="6" w:space="0" w:color="auto"/>
              <w:left w:val="single" w:sz="6" w:space="0" w:color="auto"/>
              <w:bottom w:val="single" w:sz="6" w:space="0" w:color="auto"/>
              <w:right w:val="single" w:sz="6" w:space="0" w:color="auto"/>
            </w:tcBorders>
          </w:tcPr>
          <w:p w14:paraId="15E71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5C9D6F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C33D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0CE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F6E7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258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53F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B748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3B5D68" w14:textId="77777777">
        <w:tc>
          <w:tcPr>
            <w:tcW w:w="939" w:type="dxa"/>
            <w:tcBorders>
              <w:top w:val="single" w:sz="6" w:space="0" w:color="auto"/>
              <w:left w:val="single" w:sz="6" w:space="0" w:color="auto"/>
              <w:bottom w:val="single" w:sz="6" w:space="0" w:color="auto"/>
              <w:right w:val="single" w:sz="6" w:space="0" w:color="auto"/>
            </w:tcBorders>
          </w:tcPr>
          <w:p w14:paraId="51F761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Паккард</w:t>
            </w:r>
          </w:p>
        </w:tc>
        <w:tc>
          <w:tcPr>
            <w:tcW w:w="939" w:type="dxa"/>
            <w:tcBorders>
              <w:top w:val="single" w:sz="6" w:space="0" w:color="auto"/>
              <w:left w:val="single" w:sz="6" w:space="0" w:color="auto"/>
              <w:bottom w:val="single" w:sz="6" w:space="0" w:color="auto"/>
              <w:right w:val="single" w:sz="6" w:space="0" w:color="auto"/>
            </w:tcBorders>
          </w:tcPr>
          <w:p w14:paraId="1A5E75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D0F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3414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F6D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365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989C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8AF82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6984D0" w14:textId="77777777">
        <w:tc>
          <w:tcPr>
            <w:tcW w:w="939" w:type="dxa"/>
            <w:tcBorders>
              <w:top w:val="single" w:sz="6" w:space="0" w:color="auto"/>
              <w:left w:val="single" w:sz="6" w:space="0" w:color="auto"/>
              <w:bottom w:val="single" w:sz="6" w:space="0" w:color="auto"/>
              <w:right w:val="single" w:sz="6" w:space="0" w:color="auto"/>
            </w:tcBorders>
          </w:tcPr>
          <w:p w14:paraId="207B1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Особой группы.</w:t>
            </w:r>
          </w:p>
        </w:tc>
        <w:tc>
          <w:tcPr>
            <w:tcW w:w="939" w:type="dxa"/>
            <w:tcBorders>
              <w:top w:val="single" w:sz="6" w:space="0" w:color="auto"/>
              <w:left w:val="single" w:sz="6" w:space="0" w:color="auto"/>
              <w:bottom w:val="single" w:sz="6" w:space="0" w:color="auto"/>
              <w:right w:val="single" w:sz="6" w:space="0" w:color="auto"/>
            </w:tcBorders>
          </w:tcPr>
          <w:p w14:paraId="2D1938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5C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EFB2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95E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EF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8459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B5F48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4749FB" w14:textId="77777777">
        <w:tc>
          <w:tcPr>
            <w:tcW w:w="939" w:type="dxa"/>
            <w:tcBorders>
              <w:top w:val="single" w:sz="6" w:space="0" w:color="auto"/>
              <w:left w:val="single" w:sz="6" w:space="0" w:color="auto"/>
              <w:bottom w:val="single" w:sz="6" w:space="0" w:color="auto"/>
              <w:right w:val="single" w:sz="6" w:space="0" w:color="auto"/>
            </w:tcBorders>
          </w:tcPr>
          <w:p w14:paraId="28190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Таран</w:t>
            </w:r>
          </w:p>
        </w:tc>
        <w:tc>
          <w:tcPr>
            <w:tcW w:w="939" w:type="dxa"/>
            <w:tcBorders>
              <w:top w:val="single" w:sz="6" w:space="0" w:color="auto"/>
              <w:left w:val="single" w:sz="6" w:space="0" w:color="auto"/>
              <w:bottom w:val="single" w:sz="6" w:space="0" w:color="auto"/>
              <w:right w:val="single" w:sz="6" w:space="0" w:color="auto"/>
            </w:tcBorders>
          </w:tcPr>
          <w:p w14:paraId="624429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BEBC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F36E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8447D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696A0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B8522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4025" w:type="dxa"/>
            <w:tcBorders>
              <w:top w:val="single" w:sz="6" w:space="0" w:color="auto"/>
              <w:left w:val="single" w:sz="6" w:space="0" w:color="auto"/>
              <w:bottom w:val="single" w:sz="6" w:space="0" w:color="auto"/>
              <w:right w:val="single" w:sz="6" w:space="0" w:color="auto"/>
            </w:tcBorders>
          </w:tcPr>
          <w:p w14:paraId="5D92F8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БНК ведет работу по с-ту летающей мине управляем.</w:t>
            </w:r>
          </w:p>
        </w:tc>
      </w:tr>
      <w:tr w:rsidR="00DA227A" w:rsidRPr="00E93F40" w14:paraId="7AAE63A6" w14:textId="77777777">
        <w:tc>
          <w:tcPr>
            <w:tcW w:w="939" w:type="dxa"/>
            <w:tcBorders>
              <w:top w:val="single" w:sz="6" w:space="0" w:color="auto"/>
              <w:left w:val="single" w:sz="6" w:space="0" w:color="auto"/>
              <w:bottom w:val="single" w:sz="6" w:space="0" w:color="auto"/>
              <w:right w:val="single" w:sz="6" w:space="0" w:color="auto"/>
            </w:tcBorders>
          </w:tcPr>
          <w:p w14:paraId="4BEE2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D51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2DD7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C2F2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E0D5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5A6A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AB16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380A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радио. Проект с-та закончен. В пр-ве находятся</w:t>
            </w:r>
          </w:p>
        </w:tc>
      </w:tr>
      <w:tr w:rsidR="00DA227A" w:rsidRPr="00E93F40" w14:paraId="03022167" w14:textId="77777777">
        <w:tc>
          <w:tcPr>
            <w:tcW w:w="939" w:type="dxa"/>
            <w:tcBorders>
              <w:top w:val="single" w:sz="6" w:space="0" w:color="auto"/>
              <w:left w:val="single" w:sz="6" w:space="0" w:color="auto"/>
              <w:bottom w:val="single" w:sz="6" w:space="0" w:color="auto"/>
              <w:right w:val="single" w:sz="6" w:space="0" w:color="auto"/>
            </w:tcBorders>
          </w:tcPr>
          <w:p w14:paraId="0F31E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BD95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2158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44E7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7E54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79E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3D8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B4EA4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крылья и оперение. Сделаны для статич. испытаний</w:t>
            </w:r>
          </w:p>
        </w:tc>
      </w:tr>
      <w:tr w:rsidR="00DA227A" w:rsidRPr="00E93F40" w14:paraId="0B5BF5CD" w14:textId="77777777">
        <w:tc>
          <w:tcPr>
            <w:tcW w:w="939" w:type="dxa"/>
            <w:tcBorders>
              <w:top w:val="single" w:sz="6" w:space="0" w:color="auto"/>
              <w:left w:val="single" w:sz="6" w:space="0" w:color="auto"/>
              <w:bottom w:val="single" w:sz="6" w:space="0" w:color="auto"/>
              <w:right w:val="single" w:sz="6" w:space="0" w:color="auto"/>
            </w:tcBorders>
          </w:tcPr>
          <w:p w14:paraId="03C810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2C40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B38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C95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E6B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4D4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064B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E804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фюзеляж с центропланом и моторная установка.</w:t>
            </w:r>
          </w:p>
        </w:tc>
      </w:tr>
      <w:tr w:rsidR="00DA227A" w:rsidRPr="00E93F40" w14:paraId="78335312" w14:textId="77777777">
        <w:tc>
          <w:tcPr>
            <w:tcW w:w="939" w:type="dxa"/>
            <w:tcBorders>
              <w:top w:val="single" w:sz="6" w:space="0" w:color="auto"/>
              <w:left w:val="single" w:sz="6" w:space="0" w:color="auto"/>
              <w:bottom w:val="single" w:sz="6" w:space="0" w:color="auto"/>
              <w:right w:val="single" w:sz="6" w:space="0" w:color="auto"/>
            </w:tcBorders>
          </w:tcPr>
          <w:p w14:paraId="61F17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Модификации</w:t>
            </w:r>
          </w:p>
        </w:tc>
        <w:tc>
          <w:tcPr>
            <w:tcW w:w="939" w:type="dxa"/>
            <w:tcBorders>
              <w:top w:val="single" w:sz="6" w:space="0" w:color="auto"/>
              <w:left w:val="single" w:sz="6" w:space="0" w:color="auto"/>
              <w:bottom w:val="single" w:sz="6" w:space="0" w:color="auto"/>
              <w:right w:val="single" w:sz="6" w:space="0" w:color="auto"/>
            </w:tcBorders>
          </w:tcPr>
          <w:p w14:paraId="08B378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0FA9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EC9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53D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B4D3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308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3FFD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3A799E" w14:textId="77777777">
        <w:tc>
          <w:tcPr>
            <w:tcW w:w="939" w:type="dxa"/>
            <w:tcBorders>
              <w:top w:val="single" w:sz="6" w:space="0" w:color="auto"/>
              <w:left w:val="single" w:sz="6" w:space="0" w:color="auto"/>
              <w:bottom w:val="single" w:sz="6" w:space="0" w:color="auto"/>
              <w:right w:val="single" w:sz="6" w:space="0" w:color="auto"/>
            </w:tcBorders>
          </w:tcPr>
          <w:p w14:paraId="6406D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74D3A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 модификации</w:t>
            </w:r>
          </w:p>
        </w:tc>
        <w:tc>
          <w:tcPr>
            <w:tcW w:w="939" w:type="dxa"/>
            <w:tcBorders>
              <w:top w:val="single" w:sz="6" w:space="0" w:color="auto"/>
              <w:left w:val="single" w:sz="6" w:space="0" w:color="auto"/>
              <w:bottom w:val="single" w:sz="6" w:space="0" w:color="auto"/>
              <w:right w:val="single" w:sz="6" w:space="0" w:color="auto"/>
            </w:tcBorders>
          </w:tcPr>
          <w:p w14:paraId="776D9A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по</w:t>
            </w:r>
          </w:p>
        </w:tc>
        <w:tc>
          <w:tcPr>
            <w:tcW w:w="939" w:type="dxa"/>
            <w:tcBorders>
              <w:top w:val="single" w:sz="6" w:space="0" w:color="auto"/>
              <w:left w:val="single" w:sz="6" w:space="0" w:color="auto"/>
              <w:bottom w:val="single" w:sz="6" w:space="0" w:color="auto"/>
              <w:right w:val="single" w:sz="6" w:space="0" w:color="auto"/>
            </w:tcBorders>
          </w:tcPr>
          <w:p w14:paraId="42DF83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939" w:type="dxa"/>
            <w:tcBorders>
              <w:top w:val="single" w:sz="6" w:space="0" w:color="auto"/>
              <w:left w:val="single" w:sz="6" w:space="0" w:color="auto"/>
              <w:bottom w:val="single" w:sz="6" w:space="0" w:color="auto"/>
              <w:right w:val="single" w:sz="6" w:space="0" w:color="auto"/>
            </w:tcBorders>
          </w:tcPr>
          <w:p w14:paraId="13CC2E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 января 1933 года</w:t>
            </w:r>
          </w:p>
        </w:tc>
        <w:tc>
          <w:tcPr>
            <w:tcW w:w="939" w:type="dxa"/>
            <w:tcBorders>
              <w:top w:val="single" w:sz="6" w:space="0" w:color="auto"/>
              <w:left w:val="single" w:sz="6" w:space="0" w:color="auto"/>
              <w:bottom w:val="single" w:sz="6" w:space="0" w:color="auto"/>
              <w:right w:val="single" w:sz="6" w:space="0" w:color="auto"/>
            </w:tcBorders>
          </w:tcPr>
          <w:p w14:paraId="1B2F91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EEEA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AB246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045492" w14:textId="77777777">
        <w:tc>
          <w:tcPr>
            <w:tcW w:w="939" w:type="dxa"/>
            <w:tcBorders>
              <w:top w:val="single" w:sz="6" w:space="0" w:color="auto"/>
              <w:left w:val="single" w:sz="6" w:space="0" w:color="auto"/>
              <w:bottom w:val="single" w:sz="6" w:space="0" w:color="auto"/>
              <w:right w:val="single" w:sz="6" w:space="0" w:color="auto"/>
            </w:tcBorders>
          </w:tcPr>
          <w:p w14:paraId="0258A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8DD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83D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E45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плану</w:t>
            </w:r>
          </w:p>
        </w:tc>
        <w:tc>
          <w:tcPr>
            <w:tcW w:w="939" w:type="dxa"/>
            <w:tcBorders>
              <w:top w:val="single" w:sz="6" w:space="0" w:color="auto"/>
              <w:left w:val="single" w:sz="6" w:space="0" w:color="auto"/>
              <w:bottom w:val="single" w:sz="6" w:space="0" w:color="auto"/>
              <w:right w:val="single" w:sz="6" w:space="0" w:color="auto"/>
            </w:tcBorders>
          </w:tcPr>
          <w:p w14:paraId="31D4B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промышл.</w:t>
            </w:r>
          </w:p>
        </w:tc>
        <w:tc>
          <w:tcPr>
            <w:tcW w:w="939" w:type="dxa"/>
            <w:tcBorders>
              <w:top w:val="single" w:sz="6" w:space="0" w:color="auto"/>
              <w:left w:val="single" w:sz="6" w:space="0" w:color="auto"/>
              <w:bottom w:val="single" w:sz="6" w:space="0" w:color="auto"/>
              <w:right w:val="single" w:sz="6" w:space="0" w:color="auto"/>
            </w:tcBorders>
          </w:tcPr>
          <w:p w14:paraId="49302C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24DF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9A05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E2A70D" w14:textId="77777777">
        <w:tc>
          <w:tcPr>
            <w:tcW w:w="939" w:type="dxa"/>
            <w:tcBorders>
              <w:top w:val="single" w:sz="6" w:space="0" w:color="auto"/>
              <w:left w:val="single" w:sz="6" w:space="0" w:color="auto"/>
              <w:bottom w:val="single" w:sz="6" w:space="0" w:color="auto"/>
              <w:right w:val="single" w:sz="6" w:space="0" w:color="auto"/>
            </w:tcBorders>
          </w:tcPr>
          <w:p w14:paraId="192D37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939" w:type="dxa"/>
            <w:tcBorders>
              <w:top w:val="single" w:sz="6" w:space="0" w:color="auto"/>
              <w:left w:val="single" w:sz="6" w:space="0" w:color="auto"/>
              <w:bottom w:val="single" w:sz="6" w:space="0" w:color="auto"/>
              <w:right w:val="single" w:sz="6" w:space="0" w:color="auto"/>
            </w:tcBorders>
          </w:tcPr>
          <w:p w14:paraId="76B29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3D24AB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1.12.32</w:t>
            </w:r>
          </w:p>
        </w:tc>
        <w:tc>
          <w:tcPr>
            <w:tcW w:w="939" w:type="dxa"/>
            <w:tcBorders>
              <w:top w:val="single" w:sz="6" w:space="0" w:color="auto"/>
              <w:left w:val="single" w:sz="6" w:space="0" w:color="auto"/>
              <w:bottom w:val="single" w:sz="6" w:space="0" w:color="auto"/>
              <w:right w:val="single" w:sz="6" w:space="0" w:color="auto"/>
            </w:tcBorders>
          </w:tcPr>
          <w:p w14:paraId="42D2E9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01.33</w:t>
            </w:r>
          </w:p>
        </w:tc>
        <w:tc>
          <w:tcPr>
            <w:tcW w:w="939" w:type="dxa"/>
            <w:tcBorders>
              <w:top w:val="single" w:sz="6" w:space="0" w:color="auto"/>
              <w:left w:val="single" w:sz="6" w:space="0" w:color="auto"/>
              <w:bottom w:val="single" w:sz="6" w:space="0" w:color="auto"/>
              <w:right w:val="single" w:sz="6" w:space="0" w:color="auto"/>
            </w:tcBorders>
          </w:tcPr>
          <w:p w14:paraId="305FEA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Производится установка моторов М-34 полученных ЦАГИ в декабре </w:t>
            </w:r>
          </w:p>
        </w:tc>
        <w:tc>
          <w:tcPr>
            <w:tcW w:w="939" w:type="dxa"/>
            <w:tcBorders>
              <w:top w:val="single" w:sz="6" w:space="0" w:color="auto"/>
              <w:left w:val="single" w:sz="6" w:space="0" w:color="auto"/>
              <w:bottom w:val="single" w:sz="6" w:space="0" w:color="auto"/>
              <w:right w:val="single" w:sz="6" w:space="0" w:color="auto"/>
            </w:tcBorders>
          </w:tcPr>
          <w:p w14:paraId="6AAEAE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6B3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F0F0F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495C1C" w14:textId="77777777">
        <w:tc>
          <w:tcPr>
            <w:tcW w:w="939" w:type="dxa"/>
            <w:tcBorders>
              <w:top w:val="single" w:sz="6" w:space="0" w:color="auto"/>
              <w:left w:val="single" w:sz="6" w:space="0" w:color="auto"/>
              <w:bottom w:val="single" w:sz="6" w:space="0" w:color="auto"/>
              <w:right w:val="single" w:sz="6" w:space="0" w:color="auto"/>
            </w:tcBorders>
          </w:tcPr>
          <w:p w14:paraId="452F81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7A90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03AE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B2B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9B8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с.г. Зав. испытания с-та должны начаться с января.</w:t>
            </w:r>
          </w:p>
        </w:tc>
        <w:tc>
          <w:tcPr>
            <w:tcW w:w="939" w:type="dxa"/>
            <w:tcBorders>
              <w:top w:val="single" w:sz="6" w:space="0" w:color="auto"/>
              <w:left w:val="single" w:sz="6" w:space="0" w:color="auto"/>
              <w:bottom w:val="single" w:sz="6" w:space="0" w:color="auto"/>
              <w:right w:val="single" w:sz="6" w:space="0" w:color="auto"/>
            </w:tcBorders>
          </w:tcPr>
          <w:p w14:paraId="4D1CD9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CAC9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C90E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6D966A" w14:textId="77777777">
        <w:tc>
          <w:tcPr>
            <w:tcW w:w="939" w:type="dxa"/>
            <w:tcBorders>
              <w:top w:val="single" w:sz="6" w:space="0" w:color="auto"/>
              <w:left w:val="single" w:sz="6" w:space="0" w:color="auto"/>
              <w:bottom w:val="single" w:sz="6" w:space="0" w:color="auto"/>
              <w:right w:val="single" w:sz="6" w:space="0" w:color="auto"/>
            </w:tcBorders>
          </w:tcPr>
          <w:p w14:paraId="725F7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ТШ2-М17</w:t>
            </w:r>
          </w:p>
        </w:tc>
        <w:tc>
          <w:tcPr>
            <w:tcW w:w="939" w:type="dxa"/>
            <w:tcBorders>
              <w:top w:val="single" w:sz="6" w:space="0" w:color="auto"/>
              <w:left w:val="single" w:sz="6" w:space="0" w:color="auto"/>
              <w:bottom w:val="single" w:sz="6" w:space="0" w:color="auto"/>
              <w:right w:val="single" w:sz="6" w:space="0" w:color="auto"/>
            </w:tcBorders>
          </w:tcPr>
          <w:p w14:paraId="52C58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7EA67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1.04.33</w:t>
            </w:r>
          </w:p>
        </w:tc>
        <w:tc>
          <w:tcPr>
            <w:tcW w:w="939" w:type="dxa"/>
            <w:tcBorders>
              <w:top w:val="single" w:sz="6" w:space="0" w:color="auto"/>
              <w:left w:val="single" w:sz="6" w:space="0" w:color="auto"/>
              <w:bottom w:val="single" w:sz="6" w:space="0" w:color="auto"/>
              <w:right w:val="single" w:sz="6" w:space="0" w:color="auto"/>
            </w:tcBorders>
          </w:tcPr>
          <w:p w14:paraId="52B72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85AD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Ввиду затруднений с работой мотора М17 на гликолевом охлаждении</w:t>
            </w:r>
          </w:p>
        </w:tc>
        <w:tc>
          <w:tcPr>
            <w:tcW w:w="939" w:type="dxa"/>
            <w:tcBorders>
              <w:top w:val="single" w:sz="6" w:space="0" w:color="auto"/>
              <w:left w:val="single" w:sz="6" w:space="0" w:color="auto"/>
              <w:bottom w:val="single" w:sz="6" w:space="0" w:color="auto"/>
              <w:right w:val="single" w:sz="6" w:space="0" w:color="auto"/>
            </w:tcBorders>
          </w:tcPr>
          <w:p w14:paraId="30A68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403D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B7A99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A26DA5" w14:textId="77777777">
        <w:tc>
          <w:tcPr>
            <w:tcW w:w="939" w:type="dxa"/>
            <w:tcBorders>
              <w:top w:val="single" w:sz="6" w:space="0" w:color="auto"/>
              <w:left w:val="single" w:sz="6" w:space="0" w:color="auto"/>
              <w:bottom w:val="single" w:sz="6" w:space="0" w:color="auto"/>
              <w:right w:val="single" w:sz="6" w:space="0" w:color="auto"/>
            </w:tcBorders>
          </w:tcPr>
          <w:p w14:paraId="2C3054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2C2C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B841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B0DE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550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по с-ту ТШ2-М17 прекращены и ЦАГИ дано задание (Пост. </w:t>
            </w:r>
          </w:p>
        </w:tc>
        <w:tc>
          <w:tcPr>
            <w:tcW w:w="939" w:type="dxa"/>
            <w:tcBorders>
              <w:top w:val="single" w:sz="6" w:space="0" w:color="auto"/>
              <w:left w:val="single" w:sz="6" w:space="0" w:color="auto"/>
              <w:bottom w:val="single" w:sz="6" w:space="0" w:color="auto"/>
              <w:right w:val="single" w:sz="6" w:space="0" w:color="auto"/>
            </w:tcBorders>
          </w:tcPr>
          <w:p w14:paraId="368F1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A181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3E49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21EDD5" w14:textId="77777777">
        <w:tc>
          <w:tcPr>
            <w:tcW w:w="939" w:type="dxa"/>
            <w:tcBorders>
              <w:top w:val="single" w:sz="6" w:space="0" w:color="auto"/>
              <w:left w:val="single" w:sz="6" w:space="0" w:color="auto"/>
              <w:bottom w:val="single" w:sz="6" w:space="0" w:color="auto"/>
              <w:right w:val="single" w:sz="6" w:space="0" w:color="auto"/>
            </w:tcBorders>
          </w:tcPr>
          <w:p w14:paraId="0C554E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A8A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F43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EB66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BA6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СТО) выпустить к 1.04.33 года с-т ТШ3-М34. Ведется предварительная</w:t>
            </w:r>
          </w:p>
        </w:tc>
        <w:tc>
          <w:tcPr>
            <w:tcW w:w="939" w:type="dxa"/>
            <w:tcBorders>
              <w:top w:val="single" w:sz="6" w:space="0" w:color="auto"/>
              <w:left w:val="single" w:sz="6" w:space="0" w:color="auto"/>
              <w:bottom w:val="single" w:sz="6" w:space="0" w:color="auto"/>
              <w:right w:val="single" w:sz="6" w:space="0" w:color="auto"/>
            </w:tcBorders>
          </w:tcPr>
          <w:p w14:paraId="77981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AA6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21D8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F9AC69" w14:textId="77777777">
        <w:tc>
          <w:tcPr>
            <w:tcW w:w="939" w:type="dxa"/>
            <w:tcBorders>
              <w:top w:val="single" w:sz="6" w:space="0" w:color="auto"/>
              <w:left w:val="single" w:sz="6" w:space="0" w:color="auto"/>
              <w:bottom w:val="single" w:sz="6" w:space="0" w:color="auto"/>
              <w:right w:val="single" w:sz="6" w:space="0" w:color="auto"/>
            </w:tcBorders>
          </w:tcPr>
          <w:p w14:paraId="6DADF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7CE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416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360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B0A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проработка схемы самолета. Вероятно невыполнение постановлен.</w:t>
            </w:r>
          </w:p>
        </w:tc>
        <w:tc>
          <w:tcPr>
            <w:tcW w:w="939" w:type="dxa"/>
            <w:tcBorders>
              <w:top w:val="single" w:sz="6" w:space="0" w:color="auto"/>
              <w:left w:val="single" w:sz="6" w:space="0" w:color="auto"/>
              <w:bottom w:val="single" w:sz="6" w:space="0" w:color="auto"/>
              <w:right w:val="single" w:sz="6" w:space="0" w:color="auto"/>
            </w:tcBorders>
          </w:tcPr>
          <w:p w14:paraId="612BA5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69F6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62AB8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6C2907" w14:textId="77777777">
        <w:tc>
          <w:tcPr>
            <w:tcW w:w="939" w:type="dxa"/>
            <w:tcBorders>
              <w:top w:val="single" w:sz="6" w:space="0" w:color="auto"/>
              <w:left w:val="single" w:sz="6" w:space="0" w:color="auto"/>
              <w:bottom w:val="single" w:sz="6" w:space="0" w:color="auto"/>
              <w:right w:val="single" w:sz="6" w:space="0" w:color="auto"/>
            </w:tcBorders>
          </w:tcPr>
          <w:p w14:paraId="28583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C16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C570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7F2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111E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правительственного срока.</w:t>
            </w:r>
          </w:p>
        </w:tc>
        <w:tc>
          <w:tcPr>
            <w:tcW w:w="939" w:type="dxa"/>
            <w:tcBorders>
              <w:top w:val="single" w:sz="6" w:space="0" w:color="auto"/>
              <w:left w:val="single" w:sz="6" w:space="0" w:color="auto"/>
              <w:bottom w:val="single" w:sz="6" w:space="0" w:color="auto"/>
              <w:right w:val="single" w:sz="6" w:space="0" w:color="auto"/>
            </w:tcBorders>
          </w:tcPr>
          <w:p w14:paraId="14BD0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5A8F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73795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4C6831" w14:textId="77777777">
        <w:tc>
          <w:tcPr>
            <w:tcW w:w="939" w:type="dxa"/>
            <w:tcBorders>
              <w:top w:val="single" w:sz="6" w:space="0" w:color="auto"/>
              <w:left w:val="single" w:sz="6" w:space="0" w:color="auto"/>
              <w:bottom w:val="single" w:sz="6" w:space="0" w:color="auto"/>
              <w:right w:val="single" w:sz="6" w:space="0" w:color="auto"/>
            </w:tcBorders>
          </w:tcPr>
          <w:p w14:paraId="726EAE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М34</w:t>
            </w:r>
          </w:p>
        </w:tc>
        <w:tc>
          <w:tcPr>
            <w:tcW w:w="939" w:type="dxa"/>
            <w:tcBorders>
              <w:top w:val="single" w:sz="6" w:space="0" w:color="auto"/>
              <w:left w:val="single" w:sz="6" w:space="0" w:color="auto"/>
              <w:bottom w:val="single" w:sz="6" w:space="0" w:color="auto"/>
              <w:right w:val="single" w:sz="6" w:space="0" w:color="auto"/>
            </w:tcBorders>
          </w:tcPr>
          <w:p w14:paraId="1B24D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Подготовка эталона с-та</w:t>
            </w:r>
          </w:p>
        </w:tc>
        <w:tc>
          <w:tcPr>
            <w:tcW w:w="939" w:type="dxa"/>
            <w:tcBorders>
              <w:top w:val="single" w:sz="6" w:space="0" w:color="auto"/>
              <w:left w:val="single" w:sz="6" w:space="0" w:color="auto"/>
              <w:bottom w:val="single" w:sz="6" w:space="0" w:color="auto"/>
              <w:right w:val="single" w:sz="6" w:space="0" w:color="auto"/>
            </w:tcBorders>
          </w:tcPr>
          <w:p w14:paraId="6EA58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15.10.32</w:t>
            </w:r>
          </w:p>
        </w:tc>
        <w:tc>
          <w:tcPr>
            <w:tcW w:w="939" w:type="dxa"/>
            <w:tcBorders>
              <w:top w:val="single" w:sz="6" w:space="0" w:color="auto"/>
              <w:left w:val="single" w:sz="6" w:space="0" w:color="auto"/>
              <w:bottom w:val="single" w:sz="6" w:space="0" w:color="auto"/>
              <w:right w:val="single" w:sz="6" w:space="0" w:color="auto"/>
            </w:tcBorders>
          </w:tcPr>
          <w:p w14:paraId="5EA76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6FD9D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Продолжается доводка охлаждения масла путем подбора масляных</w:t>
            </w:r>
          </w:p>
        </w:tc>
        <w:tc>
          <w:tcPr>
            <w:tcW w:w="939" w:type="dxa"/>
            <w:tcBorders>
              <w:top w:val="single" w:sz="6" w:space="0" w:color="auto"/>
              <w:left w:val="single" w:sz="6" w:space="0" w:color="auto"/>
              <w:bottom w:val="single" w:sz="6" w:space="0" w:color="auto"/>
              <w:right w:val="single" w:sz="6" w:space="0" w:color="auto"/>
            </w:tcBorders>
          </w:tcPr>
          <w:p w14:paraId="5AA12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9DB4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7169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E4F2003" w14:textId="77777777">
        <w:tc>
          <w:tcPr>
            <w:tcW w:w="939" w:type="dxa"/>
            <w:tcBorders>
              <w:top w:val="single" w:sz="6" w:space="0" w:color="auto"/>
              <w:left w:val="single" w:sz="6" w:space="0" w:color="auto"/>
              <w:bottom w:val="single" w:sz="6" w:space="0" w:color="auto"/>
              <w:right w:val="single" w:sz="6" w:space="0" w:color="auto"/>
            </w:tcBorders>
          </w:tcPr>
          <w:p w14:paraId="1645EA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3994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CD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A30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99A2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радиаторов.</w:t>
            </w:r>
          </w:p>
        </w:tc>
        <w:tc>
          <w:tcPr>
            <w:tcW w:w="939" w:type="dxa"/>
            <w:tcBorders>
              <w:top w:val="single" w:sz="6" w:space="0" w:color="auto"/>
              <w:left w:val="single" w:sz="6" w:space="0" w:color="auto"/>
              <w:bottom w:val="single" w:sz="6" w:space="0" w:color="auto"/>
              <w:right w:val="single" w:sz="6" w:space="0" w:color="auto"/>
            </w:tcBorders>
          </w:tcPr>
          <w:p w14:paraId="370CEE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13C9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029C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8891F9" w14:textId="77777777">
        <w:tc>
          <w:tcPr>
            <w:tcW w:w="939" w:type="dxa"/>
            <w:tcBorders>
              <w:top w:val="single" w:sz="6" w:space="0" w:color="auto"/>
              <w:left w:val="single" w:sz="6" w:space="0" w:color="auto"/>
              <w:bottom w:val="single" w:sz="6" w:space="0" w:color="auto"/>
              <w:right w:val="single" w:sz="6" w:space="0" w:color="auto"/>
            </w:tcBorders>
          </w:tcPr>
          <w:p w14:paraId="5C8BD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 М17</w:t>
            </w:r>
          </w:p>
        </w:tc>
        <w:tc>
          <w:tcPr>
            <w:tcW w:w="939" w:type="dxa"/>
            <w:tcBorders>
              <w:top w:val="single" w:sz="6" w:space="0" w:color="auto"/>
              <w:left w:val="single" w:sz="6" w:space="0" w:color="auto"/>
              <w:bottom w:val="single" w:sz="6" w:space="0" w:color="auto"/>
              <w:right w:val="single" w:sz="6" w:space="0" w:color="auto"/>
            </w:tcBorders>
          </w:tcPr>
          <w:p w14:paraId="7C8F14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тормозных</w:t>
            </w:r>
          </w:p>
        </w:tc>
        <w:tc>
          <w:tcPr>
            <w:tcW w:w="939" w:type="dxa"/>
            <w:tcBorders>
              <w:top w:val="single" w:sz="6" w:space="0" w:color="auto"/>
              <w:left w:val="single" w:sz="6" w:space="0" w:color="auto"/>
              <w:bottom w:val="single" w:sz="6" w:space="0" w:color="auto"/>
              <w:right w:val="single" w:sz="6" w:space="0" w:color="auto"/>
            </w:tcBorders>
          </w:tcPr>
          <w:p w14:paraId="181F7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15.08.32</w:t>
            </w:r>
          </w:p>
        </w:tc>
        <w:tc>
          <w:tcPr>
            <w:tcW w:w="939" w:type="dxa"/>
            <w:tcBorders>
              <w:top w:val="single" w:sz="6" w:space="0" w:color="auto"/>
              <w:left w:val="single" w:sz="6" w:space="0" w:color="auto"/>
              <w:bottom w:val="single" w:sz="6" w:space="0" w:color="auto"/>
              <w:right w:val="single" w:sz="6" w:space="0" w:color="auto"/>
            </w:tcBorders>
          </w:tcPr>
          <w:p w14:paraId="09FF3F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01.33</w:t>
            </w:r>
          </w:p>
        </w:tc>
        <w:tc>
          <w:tcPr>
            <w:tcW w:w="939" w:type="dxa"/>
            <w:tcBorders>
              <w:top w:val="single" w:sz="6" w:space="0" w:color="auto"/>
              <w:left w:val="single" w:sz="6" w:space="0" w:color="auto"/>
              <w:bottom w:val="single" w:sz="6" w:space="0" w:color="auto"/>
              <w:right w:val="single" w:sz="6" w:space="0" w:color="auto"/>
            </w:tcBorders>
          </w:tcPr>
          <w:p w14:paraId="202C9A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Р-5 с тормозными колесами прошел гос. испытания. Последние</w:t>
            </w:r>
          </w:p>
        </w:tc>
        <w:tc>
          <w:tcPr>
            <w:tcW w:w="939" w:type="dxa"/>
            <w:tcBorders>
              <w:top w:val="single" w:sz="6" w:space="0" w:color="auto"/>
              <w:left w:val="single" w:sz="6" w:space="0" w:color="auto"/>
              <w:bottom w:val="single" w:sz="6" w:space="0" w:color="auto"/>
              <w:right w:val="single" w:sz="6" w:space="0" w:color="auto"/>
            </w:tcBorders>
          </w:tcPr>
          <w:p w14:paraId="6A417A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F239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390F1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003968" w14:textId="77777777">
        <w:tc>
          <w:tcPr>
            <w:tcW w:w="939" w:type="dxa"/>
            <w:tcBorders>
              <w:top w:val="single" w:sz="6" w:space="0" w:color="auto"/>
              <w:left w:val="single" w:sz="6" w:space="0" w:color="auto"/>
              <w:bottom w:val="single" w:sz="6" w:space="0" w:color="auto"/>
              <w:right w:val="single" w:sz="6" w:space="0" w:color="auto"/>
            </w:tcBorders>
          </w:tcPr>
          <w:p w14:paraId="3454A3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0C49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колес и разрезн. крыльев</w:t>
            </w:r>
          </w:p>
        </w:tc>
        <w:tc>
          <w:tcPr>
            <w:tcW w:w="939" w:type="dxa"/>
            <w:tcBorders>
              <w:top w:val="single" w:sz="6" w:space="0" w:color="auto"/>
              <w:left w:val="single" w:sz="6" w:space="0" w:color="auto"/>
              <w:bottom w:val="single" w:sz="6" w:space="0" w:color="auto"/>
              <w:right w:val="single" w:sz="6" w:space="0" w:color="auto"/>
            </w:tcBorders>
          </w:tcPr>
          <w:p w14:paraId="287C0D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17B3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w:t>
            </w:r>
          </w:p>
        </w:tc>
        <w:tc>
          <w:tcPr>
            <w:tcW w:w="939" w:type="dxa"/>
            <w:tcBorders>
              <w:top w:val="single" w:sz="6" w:space="0" w:color="auto"/>
              <w:left w:val="single" w:sz="6" w:space="0" w:color="auto"/>
              <w:bottom w:val="single" w:sz="6" w:space="0" w:color="auto"/>
              <w:right w:val="single" w:sz="6" w:space="0" w:color="auto"/>
            </w:tcBorders>
          </w:tcPr>
          <w:p w14:paraId="3A50A5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показали хоршее качество тормозных колес. В наст. вр. с-т Р-5 с</w:t>
            </w:r>
          </w:p>
        </w:tc>
        <w:tc>
          <w:tcPr>
            <w:tcW w:w="939" w:type="dxa"/>
            <w:tcBorders>
              <w:top w:val="single" w:sz="6" w:space="0" w:color="auto"/>
              <w:left w:val="single" w:sz="6" w:space="0" w:color="auto"/>
              <w:bottom w:val="single" w:sz="6" w:space="0" w:color="auto"/>
              <w:right w:val="single" w:sz="6" w:space="0" w:color="auto"/>
            </w:tcBorders>
          </w:tcPr>
          <w:p w14:paraId="42D7F8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59A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3E72E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F6D45F" w14:textId="77777777">
        <w:tc>
          <w:tcPr>
            <w:tcW w:w="939" w:type="dxa"/>
            <w:tcBorders>
              <w:top w:val="single" w:sz="6" w:space="0" w:color="auto"/>
              <w:left w:val="single" w:sz="6" w:space="0" w:color="auto"/>
              <w:bottom w:val="single" w:sz="6" w:space="0" w:color="auto"/>
              <w:right w:val="single" w:sz="6" w:space="0" w:color="auto"/>
            </w:tcBorders>
          </w:tcPr>
          <w:p w14:paraId="2EA6E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615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E42E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DB1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939" w:type="dxa"/>
            <w:tcBorders>
              <w:top w:val="single" w:sz="6" w:space="0" w:color="auto"/>
              <w:left w:val="single" w:sz="6" w:space="0" w:color="auto"/>
              <w:bottom w:val="single" w:sz="6" w:space="0" w:color="auto"/>
              <w:right w:val="single" w:sz="6" w:space="0" w:color="auto"/>
            </w:tcBorders>
          </w:tcPr>
          <w:p w14:paraId="528E2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тормозными колесами подготавливается к перелету на Юг для </w:t>
            </w:r>
          </w:p>
        </w:tc>
        <w:tc>
          <w:tcPr>
            <w:tcW w:w="939" w:type="dxa"/>
            <w:tcBorders>
              <w:top w:val="single" w:sz="6" w:space="0" w:color="auto"/>
              <w:left w:val="single" w:sz="6" w:space="0" w:color="auto"/>
              <w:bottom w:val="single" w:sz="6" w:space="0" w:color="auto"/>
              <w:right w:val="single" w:sz="6" w:space="0" w:color="auto"/>
            </w:tcBorders>
          </w:tcPr>
          <w:p w14:paraId="33A58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CB5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DA4E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45D692" w14:textId="77777777">
        <w:tc>
          <w:tcPr>
            <w:tcW w:w="939" w:type="dxa"/>
            <w:tcBorders>
              <w:top w:val="single" w:sz="6" w:space="0" w:color="auto"/>
              <w:left w:val="single" w:sz="6" w:space="0" w:color="auto"/>
              <w:bottom w:val="single" w:sz="6" w:space="0" w:color="auto"/>
              <w:right w:val="single" w:sz="6" w:space="0" w:color="auto"/>
            </w:tcBorders>
          </w:tcPr>
          <w:p w14:paraId="693DE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8CB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62D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098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B79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продолжения испытаний различных систем управления тормозами и</w:t>
            </w:r>
          </w:p>
        </w:tc>
        <w:tc>
          <w:tcPr>
            <w:tcW w:w="939" w:type="dxa"/>
            <w:tcBorders>
              <w:top w:val="single" w:sz="6" w:space="0" w:color="auto"/>
              <w:left w:val="single" w:sz="6" w:space="0" w:color="auto"/>
              <w:bottom w:val="single" w:sz="6" w:space="0" w:color="auto"/>
              <w:right w:val="single" w:sz="6" w:space="0" w:color="auto"/>
            </w:tcBorders>
          </w:tcPr>
          <w:p w14:paraId="0A5025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B89B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823A3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87B2F0" w14:textId="77777777">
        <w:tc>
          <w:tcPr>
            <w:tcW w:w="939" w:type="dxa"/>
            <w:tcBorders>
              <w:top w:val="single" w:sz="6" w:space="0" w:color="auto"/>
              <w:left w:val="single" w:sz="6" w:space="0" w:color="auto"/>
              <w:bottom w:val="single" w:sz="6" w:space="0" w:color="auto"/>
              <w:right w:val="single" w:sz="6" w:space="0" w:color="auto"/>
            </w:tcBorders>
          </w:tcPr>
          <w:p w14:paraId="64459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009F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E10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EAD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8B41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поверки устранения дефектов, обнаруженных при гос. испытан.</w:t>
            </w:r>
          </w:p>
        </w:tc>
        <w:tc>
          <w:tcPr>
            <w:tcW w:w="939" w:type="dxa"/>
            <w:tcBorders>
              <w:top w:val="single" w:sz="6" w:space="0" w:color="auto"/>
              <w:left w:val="single" w:sz="6" w:space="0" w:color="auto"/>
              <w:bottom w:val="single" w:sz="6" w:space="0" w:color="auto"/>
              <w:right w:val="single" w:sz="6" w:space="0" w:color="auto"/>
            </w:tcBorders>
          </w:tcPr>
          <w:p w14:paraId="645346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C7B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DFE7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598C14" w14:textId="77777777">
        <w:tc>
          <w:tcPr>
            <w:tcW w:w="939" w:type="dxa"/>
            <w:tcBorders>
              <w:top w:val="single" w:sz="6" w:space="0" w:color="auto"/>
              <w:left w:val="single" w:sz="6" w:space="0" w:color="auto"/>
              <w:bottom w:val="single" w:sz="6" w:space="0" w:color="auto"/>
              <w:right w:val="single" w:sz="6" w:space="0" w:color="auto"/>
            </w:tcBorders>
          </w:tcPr>
          <w:p w14:paraId="6EE864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6BF3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730C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C4BE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C5DC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Второй экз. с-та Р-5 с разрезными крыльями, на котором должны</w:t>
            </w:r>
          </w:p>
        </w:tc>
        <w:tc>
          <w:tcPr>
            <w:tcW w:w="939" w:type="dxa"/>
            <w:tcBorders>
              <w:top w:val="single" w:sz="6" w:space="0" w:color="auto"/>
              <w:left w:val="single" w:sz="6" w:space="0" w:color="auto"/>
              <w:bottom w:val="single" w:sz="6" w:space="0" w:color="auto"/>
              <w:right w:val="single" w:sz="6" w:space="0" w:color="auto"/>
            </w:tcBorders>
          </w:tcPr>
          <w:p w14:paraId="63A71C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F80D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33A22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9A146FB" w14:textId="77777777">
        <w:tc>
          <w:tcPr>
            <w:tcW w:w="939" w:type="dxa"/>
            <w:tcBorders>
              <w:top w:val="single" w:sz="6" w:space="0" w:color="auto"/>
              <w:left w:val="single" w:sz="6" w:space="0" w:color="auto"/>
              <w:bottom w:val="single" w:sz="6" w:space="0" w:color="auto"/>
              <w:right w:val="single" w:sz="6" w:space="0" w:color="auto"/>
            </w:tcBorders>
          </w:tcPr>
          <w:p w14:paraId="3E5F8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2AA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EF1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4B87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8E45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быть устранены дефекты, обнаруженные при испытании первого экз.,</w:t>
            </w:r>
          </w:p>
        </w:tc>
        <w:tc>
          <w:tcPr>
            <w:tcW w:w="939" w:type="dxa"/>
            <w:tcBorders>
              <w:top w:val="single" w:sz="6" w:space="0" w:color="auto"/>
              <w:left w:val="single" w:sz="6" w:space="0" w:color="auto"/>
              <w:bottom w:val="single" w:sz="6" w:space="0" w:color="auto"/>
              <w:right w:val="single" w:sz="6" w:space="0" w:color="auto"/>
            </w:tcBorders>
          </w:tcPr>
          <w:p w14:paraId="2E1AC1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781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22B1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B294C9" w14:textId="77777777">
        <w:tc>
          <w:tcPr>
            <w:tcW w:w="939" w:type="dxa"/>
            <w:tcBorders>
              <w:top w:val="single" w:sz="6" w:space="0" w:color="auto"/>
              <w:left w:val="single" w:sz="6" w:space="0" w:color="auto"/>
              <w:bottom w:val="single" w:sz="6" w:space="0" w:color="auto"/>
              <w:right w:val="single" w:sz="6" w:space="0" w:color="auto"/>
            </w:tcBorders>
          </w:tcPr>
          <w:p w14:paraId="0B2CAE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288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D9D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4FB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3A8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благодаря которым его нельзя </w:t>
            </w:r>
            <w:r w:rsidRPr="00E93F40">
              <w:rPr>
                <w:rFonts w:ascii="Times New Roman" w:hAnsi="Times New Roman"/>
                <w:color w:val="000000" w:themeColor="text1"/>
                <w:sz w:val="16"/>
                <w:szCs w:val="16"/>
              </w:rPr>
              <w:lastRenderedPageBreak/>
              <w:t>было ввести на вооружение (ухудшен.</w:t>
            </w:r>
          </w:p>
        </w:tc>
        <w:tc>
          <w:tcPr>
            <w:tcW w:w="939" w:type="dxa"/>
            <w:tcBorders>
              <w:top w:val="single" w:sz="6" w:space="0" w:color="auto"/>
              <w:left w:val="single" w:sz="6" w:space="0" w:color="auto"/>
              <w:bottom w:val="single" w:sz="6" w:space="0" w:color="auto"/>
              <w:right w:val="single" w:sz="6" w:space="0" w:color="auto"/>
            </w:tcBorders>
          </w:tcPr>
          <w:p w14:paraId="6A959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3C5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98B7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86E6D8" w14:textId="77777777">
        <w:tc>
          <w:tcPr>
            <w:tcW w:w="939" w:type="dxa"/>
            <w:tcBorders>
              <w:top w:val="single" w:sz="6" w:space="0" w:color="auto"/>
              <w:left w:val="single" w:sz="6" w:space="0" w:color="auto"/>
              <w:bottom w:val="single" w:sz="6" w:space="0" w:color="auto"/>
              <w:right w:val="single" w:sz="6" w:space="0" w:color="auto"/>
            </w:tcBorders>
          </w:tcPr>
          <w:p w14:paraId="7C02A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961D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029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683C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EDC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летных данных) заканчивается производством. Зав. испытания с-та</w:t>
            </w:r>
          </w:p>
        </w:tc>
        <w:tc>
          <w:tcPr>
            <w:tcW w:w="939" w:type="dxa"/>
            <w:tcBorders>
              <w:top w:val="single" w:sz="6" w:space="0" w:color="auto"/>
              <w:left w:val="single" w:sz="6" w:space="0" w:color="auto"/>
              <w:bottom w:val="single" w:sz="6" w:space="0" w:color="auto"/>
              <w:right w:val="single" w:sz="6" w:space="0" w:color="auto"/>
            </w:tcBorders>
          </w:tcPr>
          <w:p w14:paraId="773524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CE7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76576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673353" w14:textId="77777777">
        <w:tc>
          <w:tcPr>
            <w:tcW w:w="939" w:type="dxa"/>
            <w:tcBorders>
              <w:top w:val="single" w:sz="6" w:space="0" w:color="auto"/>
              <w:left w:val="single" w:sz="6" w:space="0" w:color="auto"/>
              <w:bottom w:val="single" w:sz="6" w:space="0" w:color="auto"/>
              <w:right w:val="single" w:sz="6" w:space="0" w:color="auto"/>
            </w:tcBorders>
          </w:tcPr>
          <w:p w14:paraId="2452F3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510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C37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90D7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98C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должны начаться в январе 1933 г. ЦАГИ спроектирован и передан в</w:t>
            </w:r>
          </w:p>
        </w:tc>
        <w:tc>
          <w:tcPr>
            <w:tcW w:w="939" w:type="dxa"/>
            <w:tcBorders>
              <w:top w:val="single" w:sz="6" w:space="0" w:color="auto"/>
              <w:left w:val="single" w:sz="6" w:space="0" w:color="auto"/>
              <w:bottom w:val="single" w:sz="6" w:space="0" w:color="auto"/>
              <w:right w:val="single" w:sz="6" w:space="0" w:color="auto"/>
            </w:tcBorders>
          </w:tcPr>
          <w:p w14:paraId="676BBD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45B5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C5E36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35A246" w14:textId="77777777">
        <w:tc>
          <w:tcPr>
            <w:tcW w:w="939" w:type="dxa"/>
            <w:tcBorders>
              <w:top w:val="single" w:sz="6" w:space="0" w:color="auto"/>
              <w:left w:val="single" w:sz="6" w:space="0" w:color="auto"/>
              <w:bottom w:val="single" w:sz="6" w:space="0" w:color="auto"/>
              <w:right w:val="single" w:sz="6" w:space="0" w:color="auto"/>
            </w:tcBorders>
          </w:tcPr>
          <w:p w14:paraId="5328CD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56B8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ED7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B21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30F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третий вариант сс-та Р-5 с разрезными крыльями.</w:t>
            </w:r>
          </w:p>
        </w:tc>
        <w:tc>
          <w:tcPr>
            <w:tcW w:w="939" w:type="dxa"/>
            <w:tcBorders>
              <w:top w:val="single" w:sz="6" w:space="0" w:color="auto"/>
              <w:left w:val="single" w:sz="6" w:space="0" w:color="auto"/>
              <w:bottom w:val="single" w:sz="6" w:space="0" w:color="auto"/>
              <w:right w:val="single" w:sz="6" w:space="0" w:color="auto"/>
            </w:tcBorders>
          </w:tcPr>
          <w:p w14:paraId="3A4AE6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864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8B7E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8F94A4" w14:textId="77777777">
        <w:tc>
          <w:tcPr>
            <w:tcW w:w="939" w:type="dxa"/>
            <w:tcBorders>
              <w:top w:val="single" w:sz="6" w:space="0" w:color="auto"/>
              <w:left w:val="single" w:sz="6" w:space="0" w:color="auto"/>
              <w:bottom w:val="single" w:sz="6" w:space="0" w:color="auto"/>
              <w:right w:val="single" w:sz="6" w:space="0" w:color="auto"/>
            </w:tcBorders>
          </w:tcPr>
          <w:p w14:paraId="4B9F4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И12-2М22</w:t>
            </w:r>
          </w:p>
        </w:tc>
        <w:tc>
          <w:tcPr>
            <w:tcW w:w="939" w:type="dxa"/>
            <w:tcBorders>
              <w:top w:val="single" w:sz="6" w:space="0" w:color="auto"/>
              <w:left w:val="single" w:sz="6" w:space="0" w:color="auto"/>
              <w:bottom w:val="single" w:sz="6" w:space="0" w:color="auto"/>
              <w:right w:val="single" w:sz="6" w:space="0" w:color="auto"/>
            </w:tcBorders>
          </w:tcPr>
          <w:p w14:paraId="378AB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Постройка второго </w:t>
            </w:r>
          </w:p>
        </w:tc>
        <w:tc>
          <w:tcPr>
            <w:tcW w:w="939" w:type="dxa"/>
            <w:tcBorders>
              <w:top w:val="single" w:sz="6" w:space="0" w:color="auto"/>
              <w:left w:val="single" w:sz="6" w:space="0" w:color="auto"/>
              <w:bottom w:val="single" w:sz="6" w:space="0" w:color="auto"/>
              <w:right w:val="single" w:sz="6" w:space="0" w:color="auto"/>
            </w:tcBorders>
          </w:tcPr>
          <w:p w14:paraId="6029A0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1.11.32</w:t>
            </w:r>
          </w:p>
        </w:tc>
        <w:tc>
          <w:tcPr>
            <w:tcW w:w="939" w:type="dxa"/>
            <w:tcBorders>
              <w:top w:val="single" w:sz="6" w:space="0" w:color="auto"/>
              <w:left w:val="single" w:sz="6" w:space="0" w:color="auto"/>
              <w:bottom w:val="single" w:sz="6" w:space="0" w:color="auto"/>
              <w:right w:val="single" w:sz="6" w:space="0" w:color="auto"/>
            </w:tcBorders>
          </w:tcPr>
          <w:p w14:paraId="37F39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68E1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находится в постройке, последняя задерживается непредставлен.</w:t>
            </w:r>
          </w:p>
        </w:tc>
        <w:tc>
          <w:tcPr>
            <w:tcW w:w="939" w:type="dxa"/>
            <w:tcBorders>
              <w:top w:val="single" w:sz="6" w:space="0" w:color="auto"/>
              <w:left w:val="single" w:sz="6" w:space="0" w:color="auto"/>
              <w:bottom w:val="single" w:sz="6" w:space="0" w:color="auto"/>
              <w:right w:val="single" w:sz="6" w:space="0" w:color="auto"/>
            </w:tcBorders>
          </w:tcPr>
          <w:p w14:paraId="654DDD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0C8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7FA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DBF6ED" w14:textId="77777777">
        <w:tc>
          <w:tcPr>
            <w:tcW w:w="939" w:type="dxa"/>
            <w:tcBorders>
              <w:top w:val="single" w:sz="6" w:space="0" w:color="auto"/>
              <w:left w:val="single" w:sz="6" w:space="0" w:color="auto"/>
              <w:bottom w:val="single" w:sz="6" w:space="0" w:color="auto"/>
              <w:right w:val="single" w:sz="6" w:space="0" w:color="auto"/>
            </w:tcBorders>
          </w:tcPr>
          <w:p w14:paraId="55462A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DD1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модифицированного экз.</w:t>
            </w:r>
          </w:p>
        </w:tc>
        <w:tc>
          <w:tcPr>
            <w:tcW w:w="939" w:type="dxa"/>
            <w:tcBorders>
              <w:top w:val="single" w:sz="6" w:space="0" w:color="auto"/>
              <w:left w:val="single" w:sz="6" w:space="0" w:color="auto"/>
              <w:bottom w:val="single" w:sz="6" w:space="0" w:color="auto"/>
              <w:right w:val="single" w:sz="6" w:space="0" w:color="auto"/>
            </w:tcBorders>
          </w:tcPr>
          <w:p w14:paraId="5F3AB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3848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3DE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заводом N 8 второй пушки ДРП, которая одновременно служит</w:t>
            </w:r>
          </w:p>
        </w:tc>
        <w:tc>
          <w:tcPr>
            <w:tcW w:w="939" w:type="dxa"/>
            <w:tcBorders>
              <w:top w:val="single" w:sz="6" w:space="0" w:color="auto"/>
              <w:left w:val="single" w:sz="6" w:space="0" w:color="auto"/>
              <w:bottom w:val="single" w:sz="6" w:space="0" w:color="auto"/>
              <w:right w:val="single" w:sz="6" w:space="0" w:color="auto"/>
            </w:tcBorders>
          </w:tcPr>
          <w:p w14:paraId="3D8F54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A41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92176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07823D0" w14:textId="77777777">
        <w:tc>
          <w:tcPr>
            <w:tcW w:w="939" w:type="dxa"/>
            <w:tcBorders>
              <w:top w:val="single" w:sz="6" w:space="0" w:color="auto"/>
              <w:left w:val="single" w:sz="6" w:space="0" w:color="auto"/>
              <w:bottom w:val="single" w:sz="6" w:space="0" w:color="auto"/>
              <w:right w:val="single" w:sz="6" w:space="0" w:color="auto"/>
            </w:tcBorders>
          </w:tcPr>
          <w:p w14:paraId="389CCE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BCD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915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97F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7FDD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основой хвостовой фермы. Общая готовность с-та около 60%.</w:t>
            </w:r>
          </w:p>
        </w:tc>
        <w:tc>
          <w:tcPr>
            <w:tcW w:w="939" w:type="dxa"/>
            <w:tcBorders>
              <w:top w:val="single" w:sz="6" w:space="0" w:color="auto"/>
              <w:left w:val="single" w:sz="6" w:space="0" w:color="auto"/>
              <w:bottom w:val="single" w:sz="6" w:space="0" w:color="auto"/>
              <w:right w:val="single" w:sz="6" w:space="0" w:color="auto"/>
            </w:tcBorders>
          </w:tcPr>
          <w:p w14:paraId="5156FE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675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FBF1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65CB6C" w14:textId="77777777">
        <w:tc>
          <w:tcPr>
            <w:tcW w:w="939" w:type="dxa"/>
            <w:tcBorders>
              <w:top w:val="single" w:sz="6" w:space="0" w:color="auto"/>
              <w:left w:val="single" w:sz="6" w:space="0" w:color="auto"/>
              <w:bottom w:val="single" w:sz="6" w:space="0" w:color="auto"/>
              <w:right w:val="single" w:sz="6" w:space="0" w:color="auto"/>
            </w:tcBorders>
          </w:tcPr>
          <w:p w14:paraId="6C028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939" w:type="dxa"/>
            <w:tcBorders>
              <w:top w:val="single" w:sz="6" w:space="0" w:color="auto"/>
              <w:left w:val="single" w:sz="6" w:space="0" w:color="auto"/>
              <w:bottom w:val="single" w:sz="6" w:space="0" w:color="auto"/>
              <w:right w:val="single" w:sz="6" w:space="0" w:color="auto"/>
            </w:tcBorders>
          </w:tcPr>
          <w:p w14:paraId="38740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Увеличение емкости</w:t>
            </w:r>
          </w:p>
        </w:tc>
        <w:tc>
          <w:tcPr>
            <w:tcW w:w="939" w:type="dxa"/>
            <w:tcBorders>
              <w:top w:val="single" w:sz="6" w:space="0" w:color="auto"/>
              <w:left w:val="single" w:sz="6" w:space="0" w:color="auto"/>
              <w:bottom w:val="single" w:sz="6" w:space="0" w:color="auto"/>
              <w:right w:val="single" w:sz="6" w:space="0" w:color="auto"/>
            </w:tcBorders>
          </w:tcPr>
          <w:p w14:paraId="55CF24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15.05.32</w:t>
            </w:r>
          </w:p>
        </w:tc>
        <w:tc>
          <w:tcPr>
            <w:tcW w:w="939" w:type="dxa"/>
            <w:tcBorders>
              <w:top w:val="single" w:sz="6" w:space="0" w:color="auto"/>
              <w:left w:val="single" w:sz="6" w:space="0" w:color="auto"/>
              <w:bottom w:val="single" w:sz="6" w:space="0" w:color="auto"/>
              <w:right w:val="single" w:sz="6" w:space="0" w:color="auto"/>
            </w:tcBorders>
          </w:tcPr>
          <w:p w14:paraId="06B469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22DC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проходит испытания соединенные с испытаниями приборов</w:t>
            </w:r>
          </w:p>
        </w:tc>
        <w:tc>
          <w:tcPr>
            <w:tcW w:w="939" w:type="dxa"/>
            <w:tcBorders>
              <w:top w:val="single" w:sz="6" w:space="0" w:color="auto"/>
              <w:left w:val="single" w:sz="6" w:space="0" w:color="auto"/>
              <w:bottom w:val="single" w:sz="6" w:space="0" w:color="auto"/>
              <w:right w:val="single" w:sz="6" w:space="0" w:color="auto"/>
            </w:tcBorders>
          </w:tcPr>
          <w:p w14:paraId="41B870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C1CD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4FE1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0FE974" w14:textId="77777777">
        <w:tc>
          <w:tcPr>
            <w:tcW w:w="939" w:type="dxa"/>
            <w:tcBorders>
              <w:top w:val="single" w:sz="6" w:space="0" w:color="auto"/>
              <w:left w:val="single" w:sz="6" w:space="0" w:color="auto"/>
              <w:bottom w:val="single" w:sz="6" w:space="0" w:color="auto"/>
              <w:right w:val="single" w:sz="6" w:space="0" w:color="auto"/>
            </w:tcBorders>
          </w:tcPr>
          <w:p w14:paraId="66399B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03E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бака</w:t>
            </w:r>
          </w:p>
        </w:tc>
        <w:tc>
          <w:tcPr>
            <w:tcW w:w="939" w:type="dxa"/>
            <w:tcBorders>
              <w:top w:val="single" w:sz="6" w:space="0" w:color="auto"/>
              <w:left w:val="single" w:sz="6" w:space="0" w:color="auto"/>
              <w:bottom w:val="single" w:sz="6" w:space="0" w:color="auto"/>
              <w:right w:val="single" w:sz="6" w:space="0" w:color="auto"/>
            </w:tcBorders>
          </w:tcPr>
          <w:p w14:paraId="2F140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B17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D0C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замеряющих расходы горючего в воздухе.</w:t>
            </w:r>
          </w:p>
        </w:tc>
        <w:tc>
          <w:tcPr>
            <w:tcW w:w="939" w:type="dxa"/>
            <w:tcBorders>
              <w:top w:val="single" w:sz="6" w:space="0" w:color="auto"/>
              <w:left w:val="single" w:sz="6" w:space="0" w:color="auto"/>
              <w:bottom w:val="single" w:sz="6" w:space="0" w:color="auto"/>
              <w:right w:val="single" w:sz="6" w:space="0" w:color="auto"/>
            </w:tcBorders>
          </w:tcPr>
          <w:p w14:paraId="2C6A3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7E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2DA98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3E52F6C" w14:textId="77777777">
        <w:tc>
          <w:tcPr>
            <w:tcW w:w="939" w:type="dxa"/>
            <w:tcBorders>
              <w:top w:val="single" w:sz="6" w:space="0" w:color="auto"/>
              <w:left w:val="single" w:sz="6" w:space="0" w:color="auto"/>
              <w:bottom w:val="single" w:sz="6" w:space="0" w:color="auto"/>
              <w:right w:val="single" w:sz="6" w:space="0" w:color="auto"/>
            </w:tcBorders>
          </w:tcPr>
          <w:p w14:paraId="487BE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не вошедшие в план.</w:t>
            </w:r>
          </w:p>
        </w:tc>
        <w:tc>
          <w:tcPr>
            <w:tcW w:w="939" w:type="dxa"/>
            <w:tcBorders>
              <w:top w:val="single" w:sz="6" w:space="0" w:color="auto"/>
              <w:left w:val="single" w:sz="6" w:space="0" w:color="auto"/>
              <w:bottom w:val="single" w:sz="6" w:space="0" w:color="auto"/>
              <w:right w:val="single" w:sz="6" w:space="0" w:color="auto"/>
            </w:tcBorders>
          </w:tcPr>
          <w:p w14:paraId="541F47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F752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08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8E72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D53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FC0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06B6A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640564" w14:textId="77777777">
        <w:tc>
          <w:tcPr>
            <w:tcW w:w="939" w:type="dxa"/>
            <w:tcBorders>
              <w:top w:val="single" w:sz="6" w:space="0" w:color="auto"/>
              <w:left w:val="single" w:sz="6" w:space="0" w:color="auto"/>
              <w:bottom w:val="single" w:sz="6" w:space="0" w:color="auto"/>
              <w:right w:val="single" w:sz="6" w:space="0" w:color="auto"/>
            </w:tcBorders>
          </w:tcPr>
          <w:p w14:paraId="4A591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ДИ4-Кертисс</w:t>
            </w:r>
          </w:p>
        </w:tc>
        <w:tc>
          <w:tcPr>
            <w:tcW w:w="939" w:type="dxa"/>
            <w:tcBorders>
              <w:top w:val="single" w:sz="6" w:space="0" w:color="auto"/>
              <w:left w:val="single" w:sz="6" w:space="0" w:color="auto"/>
              <w:bottom w:val="single" w:sz="6" w:space="0" w:color="auto"/>
              <w:right w:val="single" w:sz="6" w:space="0" w:color="auto"/>
            </w:tcBorders>
          </w:tcPr>
          <w:p w14:paraId="563266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69754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1.09.31</w:t>
            </w:r>
          </w:p>
        </w:tc>
        <w:tc>
          <w:tcPr>
            <w:tcW w:w="939" w:type="dxa"/>
            <w:tcBorders>
              <w:top w:val="single" w:sz="6" w:space="0" w:color="auto"/>
              <w:left w:val="single" w:sz="6" w:space="0" w:color="auto"/>
              <w:bottom w:val="single" w:sz="6" w:space="0" w:color="auto"/>
              <w:right w:val="single" w:sz="6" w:space="0" w:color="auto"/>
            </w:tcBorders>
          </w:tcPr>
          <w:p w14:paraId="568BC6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01.33</w:t>
            </w:r>
          </w:p>
        </w:tc>
        <w:tc>
          <w:tcPr>
            <w:tcW w:w="939" w:type="dxa"/>
            <w:tcBorders>
              <w:top w:val="single" w:sz="6" w:space="0" w:color="auto"/>
              <w:left w:val="single" w:sz="6" w:space="0" w:color="auto"/>
              <w:bottom w:val="single" w:sz="6" w:space="0" w:color="auto"/>
              <w:right w:val="single" w:sz="6" w:space="0" w:color="auto"/>
            </w:tcBorders>
          </w:tcPr>
          <w:p w14:paraId="4B578D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был предъявлен НИИ ВВС в начале ноября, но не был принят, т.к.</w:t>
            </w:r>
          </w:p>
        </w:tc>
        <w:tc>
          <w:tcPr>
            <w:tcW w:w="939" w:type="dxa"/>
            <w:tcBorders>
              <w:top w:val="single" w:sz="6" w:space="0" w:color="auto"/>
              <w:left w:val="single" w:sz="6" w:space="0" w:color="auto"/>
              <w:bottom w:val="single" w:sz="6" w:space="0" w:color="auto"/>
              <w:right w:val="single" w:sz="6" w:space="0" w:color="auto"/>
            </w:tcBorders>
          </w:tcPr>
          <w:p w14:paraId="78DA7E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2822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BD195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D837CF" w14:textId="77777777">
        <w:tc>
          <w:tcPr>
            <w:tcW w:w="939" w:type="dxa"/>
            <w:tcBorders>
              <w:top w:val="single" w:sz="6" w:space="0" w:color="auto"/>
              <w:left w:val="single" w:sz="6" w:space="0" w:color="auto"/>
              <w:bottom w:val="single" w:sz="6" w:space="0" w:color="auto"/>
              <w:right w:val="single" w:sz="6" w:space="0" w:color="auto"/>
            </w:tcBorders>
          </w:tcPr>
          <w:p w14:paraId="722F90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Конкверор</w:t>
            </w:r>
          </w:p>
        </w:tc>
        <w:tc>
          <w:tcPr>
            <w:tcW w:w="939" w:type="dxa"/>
            <w:tcBorders>
              <w:top w:val="single" w:sz="6" w:space="0" w:color="auto"/>
              <w:left w:val="single" w:sz="6" w:space="0" w:color="auto"/>
              <w:bottom w:val="single" w:sz="6" w:space="0" w:color="auto"/>
              <w:right w:val="single" w:sz="6" w:space="0" w:color="auto"/>
            </w:tcBorders>
          </w:tcPr>
          <w:p w14:paraId="25D174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80DF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074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C8F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имел оборудова</w:t>
            </w:r>
            <w:r w:rsidRPr="00E93F40">
              <w:rPr>
                <w:rFonts w:ascii="Times New Roman" w:hAnsi="Times New Roman"/>
                <w:color w:val="000000" w:themeColor="text1"/>
                <w:sz w:val="16"/>
                <w:szCs w:val="16"/>
              </w:rPr>
              <w:lastRenderedPageBreak/>
              <w:t>ния по техтребованиям. В наст. вр. с-т вторично</w:t>
            </w:r>
          </w:p>
        </w:tc>
        <w:tc>
          <w:tcPr>
            <w:tcW w:w="939" w:type="dxa"/>
            <w:tcBorders>
              <w:top w:val="single" w:sz="6" w:space="0" w:color="auto"/>
              <w:left w:val="single" w:sz="6" w:space="0" w:color="auto"/>
              <w:bottom w:val="single" w:sz="6" w:space="0" w:color="auto"/>
              <w:right w:val="single" w:sz="6" w:space="0" w:color="auto"/>
            </w:tcBorders>
          </w:tcPr>
          <w:p w14:paraId="10593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9588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9F1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21EE05" w14:textId="77777777">
        <w:tc>
          <w:tcPr>
            <w:tcW w:w="939" w:type="dxa"/>
            <w:tcBorders>
              <w:top w:val="single" w:sz="6" w:space="0" w:color="auto"/>
              <w:left w:val="single" w:sz="6" w:space="0" w:color="auto"/>
              <w:bottom w:val="single" w:sz="6" w:space="0" w:color="auto"/>
              <w:right w:val="single" w:sz="6" w:space="0" w:color="auto"/>
            </w:tcBorders>
          </w:tcPr>
          <w:p w14:paraId="56E1D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F21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6BEA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FDC6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B58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предъявляется на гос. испытания.</w:t>
            </w:r>
          </w:p>
        </w:tc>
        <w:tc>
          <w:tcPr>
            <w:tcW w:w="939" w:type="dxa"/>
            <w:tcBorders>
              <w:top w:val="single" w:sz="6" w:space="0" w:color="auto"/>
              <w:left w:val="single" w:sz="6" w:space="0" w:color="auto"/>
              <w:bottom w:val="single" w:sz="6" w:space="0" w:color="auto"/>
              <w:right w:val="single" w:sz="6" w:space="0" w:color="auto"/>
            </w:tcBorders>
          </w:tcPr>
          <w:p w14:paraId="0E8B65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B7B9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76231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936D81" w14:textId="77777777">
        <w:tc>
          <w:tcPr>
            <w:tcW w:w="939" w:type="dxa"/>
            <w:tcBorders>
              <w:top w:val="single" w:sz="6" w:space="0" w:color="auto"/>
              <w:left w:val="single" w:sz="6" w:space="0" w:color="auto"/>
              <w:bottom w:val="single" w:sz="6" w:space="0" w:color="auto"/>
              <w:right w:val="single" w:sz="6" w:space="0" w:color="auto"/>
            </w:tcBorders>
          </w:tcPr>
          <w:p w14:paraId="59B514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 "ЗЕТ"</w:t>
            </w:r>
          </w:p>
        </w:tc>
        <w:tc>
          <w:tcPr>
            <w:tcW w:w="939" w:type="dxa"/>
            <w:tcBorders>
              <w:top w:val="single" w:sz="6" w:space="0" w:color="auto"/>
              <w:left w:val="single" w:sz="6" w:space="0" w:color="auto"/>
              <w:bottom w:val="single" w:sz="6" w:space="0" w:color="auto"/>
              <w:right w:val="single" w:sz="6" w:space="0" w:color="auto"/>
            </w:tcBorders>
          </w:tcPr>
          <w:p w14:paraId="12CD2A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3D8D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1B3F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FE37A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истекший квартал производилась доводка артиллерийского вооруж.</w:t>
            </w:r>
          </w:p>
        </w:tc>
        <w:tc>
          <w:tcPr>
            <w:tcW w:w="939" w:type="dxa"/>
            <w:tcBorders>
              <w:top w:val="single" w:sz="6" w:space="0" w:color="auto"/>
              <w:left w:val="single" w:sz="6" w:space="0" w:color="auto"/>
              <w:bottom w:val="single" w:sz="6" w:space="0" w:color="auto"/>
              <w:right w:val="single" w:sz="6" w:space="0" w:color="auto"/>
            </w:tcBorders>
          </w:tcPr>
          <w:p w14:paraId="14D5F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3598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32C7B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BE94CB" w14:textId="77777777">
        <w:tc>
          <w:tcPr>
            <w:tcW w:w="939" w:type="dxa"/>
            <w:tcBorders>
              <w:top w:val="single" w:sz="6" w:space="0" w:color="auto"/>
              <w:left w:val="single" w:sz="6" w:space="0" w:color="auto"/>
              <w:bottom w:val="single" w:sz="6" w:space="0" w:color="auto"/>
              <w:right w:val="single" w:sz="6" w:space="0" w:color="auto"/>
            </w:tcBorders>
          </w:tcPr>
          <w:p w14:paraId="6EDCC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М-22</w:t>
            </w:r>
          </w:p>
        </w:tc>
        <w:tc>
          <w:tcPr>
            <w:tcW w:w="939" w:type="dxa"/>
            <w:tcBorders>
              <w:top w:val="single" w:sz="6" w:space="0" w:color="auto"/>
              <w:left w:val="single" w:sz="6" w:space="0" w:color="auto"/>
              <w:bottom w:val="single" w:sz="6" w:space="0" w:color="auto"/>
              <w:right w:val="single" w:sz="6" w:space="0" w:color="auto"/>
            </w:tcBorders>
          </w:tcPr>
          <w:p w14:paraId="27B22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765B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97B4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E78A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 Испытания артиллерийского вооружения на земле и в воздухе</w:t>
            </w:r>
          </w:p>
        </w:tc>
        <w:tc>
          <w:tcPr>
            <w:tcW w:w="939" w:type="dxa"/>
            <w:tcBorders>
              <w:top w:val="single" w:sz="6" w:space="0" w:color="auto"/>
              <w:left w:val="single" w:sz="6" w:space="0" w:color="auto"/>
              <w:bottom w:val="single" w:sz="6" w:space="0" w:color="auto"/>
              <w:right w:val="single" w:sz="6" w:space="0" w:color="auto"/>
            </w:tcBorders>
          </w:tcPr>
          <w:p w14:paraId="37B15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E444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83434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05FB17" w14:textId="77777777">
        <w:tc>
          <w:tcPr>
            <w:tcW w:w="939" w:type="dxa"/>
            <w:tcBorders>
              <w:top w:val="single" w:sz="6" w:space="0" w:color="auto"/>
              <w:left w:val="single" w:sz="6" w:space="0" w:color="auto"/>
              <w:bottom w:val="single" w:sz="6" w:space="0" w:color="auto"/>
              <w:right w:val="single" w:sz="6" w:space="0" w:color="auto"/>
            </w:tcBorders>
          </w:tcPr>
          <w:p w14:paraId="5B5F0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5E6C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8478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FDF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423F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будут происходить в последних числах декабря - в начале января 1933 г.</w:t>
            </w:r>
          </w:p>
        </w:tc>
        <w:tc>
          <w:tcPr>
            <w:tcW w:w="939" w:type="dxa"/>
            <w:tcBorders>
              <w:top w:val="single" w:sz="6" w:space="0" w:color="auto"/>
              <w:left w:val="single" w:sz="6" w:space="0" w:color="auto"/>
              <w:bottom w:val="single" w:sz="6" w:space="0" w:color="auto"/>
              <w:right w:val="single" w:sz="6" w:space="0" w:color="auto"/>
            </w:tcBorders>
          </w:tcPr>
          <w:p w14:paraId="2E849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7F9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AB68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F3A0D6" w14:textId="77777777">
        <w:tc>
          <w:tcPr>
            <w:tcW w:w="939" w:type="dxa"/>
            <w:tcBorders>
              <w:top w:val="single" w:sz="6" w:space="0" w:color="auto"/>
              <w:left w:val="single" w:sz="6" w:space="0" w:color="auto"/>
              <w:bottom w:val="single" w:sz="6" w:space="0" w:color="auto"/>
              <w:right w:val="single" w:sz="6" w:space="0" w:color="auto"/>
            </w:tcBorders>
          </w:tcPr>
          <w:p w14:paraId="587E6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 самолетам (морским).</w:t>
            </w:r>
          </w:p>
        </w:tc>
        <w:tc>
          <w:tcPr>
            <w:tcW w:w="939" w:type="dxa"/>
            <w:tcBorders>
              <w:top w:val="single" w:sz="6" w:space="0" w:color="auto"/>
              <w:left w:val="single" w:sz="6" w:space="0" w:color="auto"/>
              <w:bottom w:val="single" w:sz="6" w:space="0" w:color="auto"/>
              <w:right w:val="single" w:sz="6" w:space="0" w:color="auto"/>
            </w:tcBorders>
          </w:tcPr>
          <w:p w14:paraId="056614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2FB3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0611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DAA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CCD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A196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D0B3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CBA65F" w14:textId="77777777">
        <w:tc>
          <w:tcPr>
            <w:tcW w:w="939" w:type="dxa"/>
            <w:tcBorders>
              <w:top w:val="single" w:sz="6" w:space="0" w:color="auto"/>
              <w:left w:val="single" w:sz="6" w:space="0" w:color="auto"/>
              <w:bottom w:val="single" w:sz="6" w:space="0" w:color="auto"/>
              <w:right w:val="single" w:sz="6" w:space="0" w:color="auto"/>
            </w:tcBorders>
          </w:tcPr>
          <w:p w14:paraId="476DFC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Наименование</w:t>
            </w:r>
          </w:p>
        </w:tc>
        <w:tc>
          <w:tcPr>
            <w:tcW w:w="939" w:type="dxa"/>
            <w:tcBorders>
              <w:top w:val="single" w:sz="6" w:space="0" w:color="auto"/>
              <w:left w:val="single" w:sz="6" w:space="0" w:color="auto"/>
              <w:bottom w:val="single" w:sz="6" w:space="0" w:color="auto"/>
              <w:right w:val="single" w:sz="6" w:space="0" w:color="auto"/>
            </w:tcBorders>
          </w:tcPr>
          <w:p w14:paraId="6174BF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летно-технические данные</w:t>
            </w:r>
          </w:p>
        </w:tc>
        <w:tc>
          <w:tcPr>
            <w:tcW w:w="939" w:type="dxa"/>
            <w:tcBorders>
              <w:top w:val="single" w:sz="6" w:space="0" w:color="auto"/>
              <w:left w:val="single" w:sz="6" w:space="0" w:color="auto"/>
              <w:bottom w:val="single" w:sz="6" w:space="0" w:color="auto"/>
              <w:right w:val="single" w:sz="6" w:space="0" w:color="auto"/>
            </w:tcBorders>
          </w:tcPr>
          <w:p w14:paraId="56D744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5EF4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C91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86C9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B1A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28C4F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9EB684" w14:textId="77777777">
        <w:tc>
          <w:tcPr>
            <w:tcW w:w="939" w:type="dxa"/>
            <w:tcBorders>
              <w:top w:val="single" w:sz="6" w:space="0" w:color="auto"/>
              <w:left w:val="single" w:sz="6" w:space="0" w:color="auto"/>
              <w:bottom w:val="single" w:sz="6" w:space="0" w:color="auto"/>
              <w:right w:val="single" w:sz="6" w:space="0" w:color="auto"/>
            </w:tcBorders>
          </w:tcPr>
          <w:p w14:paraId="2EBA8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самолета</w:t>
            </w:r>
          </w:p>
        </w:tc>
        <w:tc>
          <w:tcPr>
            <w:tcW w:w="939" w:type="dxa"/>
            <w:tcBorders>
              <w:top w:val="single" w:sz="6" w:space="0" w:color="auto"/>
              <w:left w:val="single" w:sz="6" w:space="0" w:color="auto"/>
              <w:bottom w:val="single" w:sz="6" w:space="0" w:color="auto"/>
              <w:right w:val="single" w:sz="6" w:space="0" w:color="auto"/>
            </w:tcBorders>
          </w:tcPr>
          <w:p w14:paraId="4451A3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w:t>
            </w:r>
          </w:p>
        </w:tc>
        <w:tc>
          <w:tcPr>
            <w:tcW w:w="939" w:type="dxa"/>
            <w:tcBorders>
              <w:top w:val="single" w:sz="6" w:space="0" w:color="auto"/>
              <w:left w:val="single" w:sz="6" w:space="0" w:color="auto"/>
              <w:bottom w:val="single" w:sz="6" w:space="0" w:color="auto"/>
              <w:right w:val="single" w:sz="6" w:space="0" w:color="auto"/>
            </w:tcBorders>
          </w:tcPr>
          <w:p w14:paraId="0B01EA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w:t>
            </w:r>
          </w:p>
        </w:tc>
        <w:tc>
          <w:tcPr>
            <w:tcW w:w="939" w:type="dxa"/>
            <w:tcBorders>
              <w:top w:val="single" w:sz="6" w:space="0" w:color="auto"/>
              <w:left w:val="single" w:sz="6" w:space="0" w:color="auto"/>
              <w:bottom w:val="single" w:sz="6" w:space="0" w:color="auto"/>
              <w:right w:val="single" w:sz="6" w:space="0" w:color="auto"/>
            </w:tcBorders>
          </w:tcPr>
          <w:p w14:paraId="638C81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c>
          <w:tcPr>
            <w:tcW w:w="939" w:type="dxa"/>
            <w:tcBorders>
              <w:top w:val="single" w:sz="6" w:space="0" w:color="auto"/>
              <w:left w:val="single" w:sz="6" w:space="0" w:color="auto"/>
              <w:bottom w:val="single" w:sz="6" w:space="0" w:color="auto"/>
              <w:right w:val="single" w:sz="6" w:space="0" w:color="auto"/>
            </w:tcBorders>
          </w:tcPr>
          <w:p w14:paraId="2061C2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939" w:type="dxa"/>
            <w:tcBorders>
              <w:top w:val="single" w:sz="6" w:space="0" w:color="auto"/>
              <w:left w:val="single" w:sz="6" w:space="0" w:color="auto"/>
              <w:bottom w:val="single" w:sz="6" w:space="0" w:color="auto"/>
              <w:right w:val="single" w:sz="6" w:space="0" w:color="auto"/>
            </w:tcBorders>
          </w:tcPr>
          <w:p w14:paraId="6171B0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w:t>
            </w:r>
          </w:p>
        </w:tc>
        <w:tc>
          <w:tcPr>
            <w:tcW w:w="939" w:type="dxa"/>
            <w:tcBorders>
              <w:top w:val="single" w:sz="6" w:space="0" w:color="auto"/>
              <w:left w:val="single" w:sz="6" w:space="0" w:color="auto"/>
              <w:bottom w:val="single" w:sz="6" w:space="0" w:color="auto"/>
              <w:right w:val="single" w:sz="6" w:space="0" w:color="auto"/>
            </w:tcBorders>
          </w:tcPr>
          <w:p w14:paraId="6197B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w:t>
            </w:r>
          </w:p>
        </w:tc>
        <w:tc>
          <w:tcPr>
            <w:tcW w:w="4025" w:type="dxa"/>
            <w:tcBorders>
              <w:top w:val="single" w:sz="6" w:space="0" w:color="auto"/>
              <w:left w:val="single" w:sz="6" w:space="0" w:color="auto"/>
              <w:bottom w:val="single" w:sz="6" w:space="0" w:color="auto"/>
              <w:right w:val="single" w:sz="6" w:space="0" w:color="auto"/>
            </w:tcBorders>
          </w:tcPr>
          <w:p w14:paraId="137DF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Степень выполнения на 1-е января 1933 года</w:t>
            </w:r>
          </w:p>
        </w:tc>
      </w:tr>
      <w:tr w:rsidR="00DA227A" w:rsidRPr="00E93F40" w14:paraId="01BCF014" w14:textId="77777777">
        <w:tc>
          <w:tcPr>
            <w:tcW w:w="939" w:type="dxa"/>
            <w:tcBorders>
              <w:top w:val="single" w:sz="6" w:space="0" w:color="auto"/>
              <w:left w:val="single" w:sz="6" w:space="0" w:color="auto"/>
              <w:bottom w:val="single" w:sz="6" w:space="0" w:color="auto"/>
              <w:right w:val="single" w:sz="6" w:space="0" w:color="auto"/>
            </w:tcBorders>
          </w:tcPr>
          <w:p w14:paraId="20CCD1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9B6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гориз.</w:t>
            </w:r>
          </w:p>
        </w:tc>
        <w:tc>
          <w:tcPr>
            <w:tcW w:w="939" w:type="dxa"/>
            <w:tcBorders>
              <w:top w:val="single" w:sz="6" w:space="0" w:color="auto"/>
              <w:left w:val="single" w:sz="6" w:space="0" w:color="auto"/>
              <w:bottom w:val="single" w:sz="6" w:space="0" w:color="auto"/>
              <w:right w:val="single" w:sz="6" w:space="0" w:color="auto"/>
            </w:tcBorders>
          </w:tcPr>
          <w:p w14:paraId="1FEEB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w:t>
            </w:r>
          </w:p>
        </w:tc>
        <w:tc>
          <w:tcPr>
            <w:tcW w:w="939" w:type="dxa"/>
            <w:tcBorders>
              <w:top w:val="single" w:sz="6" w:space="0" w:color="auto"/>
              <w:left w:val="single" w:sz="6" w:space="0" w:color="auto"/>
              <w:bottom w:val="single" w:sz="6" w:space="0" w:color="auto"/>
              <w:right w:val="single" w:sz="6" w:space="0" w:color="auto"/>
            </w:tcBorders>
          </w:tcPr>
          <w:p w14:paraId="232C1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F810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8E68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w:t>
            </w:r>
          </w:p>
        </w:tc>
        <w:tc>
          <w:tcPr>
            <w:tcW w:w="939" w:type="dxa"/>
            <w:tcBorders>
              <w:top w:val="single" w:sz="6" w:space="0" w:color="auto"/>
              <w:left w:val="single" w:sz="6" w:space="0" w:color="auto"/>
              <w:bottom w:val="single" w:sz="6" w:space="0" w:color="auto"/>
              <w:right w:val="single" w:sz="6" w:space="0" w:color="auto"/>
            </w:tcBorders>
          </w:tcPr>
          <w:p w14:paraId="093F38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определен.</w:t>
            </w:r>
          </w:p>
        </w:tc>
        <w:tc>
          <w:tcPr>
            <w:tcW w:w="4025" w:type="dxa"/>
            <w:tcBorders>
              <w:top w:val="single" w:sz="6" w:space="0" w:color="auto"/>
              <w:left w:val="single" w:sz="6" w:space="0" w:color="auto"/>
              <w:bottom w:val="single" w:sz="6" w:space="0" w:color="auto"/>
              <w:right w:val="single" w:sz="6" w:space="0" w:color="auto"/>
            </w:tcBorders>
          </w:tcPr>
          <w:p w14:paraId="5971E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FC624D2" w14:textId="77777777">
        <w:tc>
          <w:tcPr>
            <w:tcW w:w="939" w:type="dxa"/>
            <w:tcBorders>
              <w:top w:val="single" w:sz="6" w:space="0" w:color="auto"/>
              <w:left w:val="single" w:sz="6" w:space="0" w:color="auto"/>
              <w:bottom w:val="single" w:sz="6" w:space="0" w:color="auto"/>
              <w:right w:val="single" w:sz="6" w:space="0" w:color="auto"/>
            </w:tcBorders>
          </w:tcPr>
          <w:p w14:paraId="4852D1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4AA1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 на</w:t>
            </w:r>
          </w:p>
        </w:tc>
        <w:tc>
          <w:tcPr>
            <w:tcW w:w="939" w:type="dxa"/>
            <w:tcBorders>
              <w:top w:val="single" w:sz="6" w:space="0" w:color="auto"/>
              <w:left w:val="single" w:sz="6" w:space="0" w:color="auto"/>
              <w:bottom w:val="single" w:sz="6" w:space="0" w:color="auto"/>
              <w:right w:val="single" w:sz="6" w:space="0" w:color="auto"/>
            </w:tcBorders>
          </w:tcPr>
          <w:p w14:paraId="462DD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высоту</w:t>
            </w:r>
          </w:p>
        </w:tc>
        <w:tc>
          <w:tcPr>
            <w:tcW w:w="939" w:type="dxa"/>
            <w:tcBorders>
              <w:top w:val="single" w:sz="6" w:space="0" w:color="auto"/>
              <w:left w:val="single" w:sz="6" w:space="0" w:color="auto"/>
              <w:bottom w:val="single" w:sz="6" w:space="0" w:color="auto"/>
              <w:right w:val="single" w:sz="6" w:space="0" w:color="auto"/>
            </w:tcBorders>
          </w:tcPr>
          <w:p w14:paraId="68EA13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0D90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62C7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80F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госисп.</w:t>
            </w:r>
          </w:p>
        </w:tc>
        <w:tc>
          <w:tcPr>
            <w:tcW w:w="4025" w:type="dxa"/>
            <w:tcBorders>
              <w:top w:val="single" w:sz="6" w:space="0" w:color="auto"/>
              <w:left w:val="single" w:sz="6" w:space="0" w:color="auto"/>
              <w:bottom w:val="single" w:sz="6" w:space="0" w:color="auto"/>
              <w:right w:val="single" w:sz="6" w:space="0" w:color="auto"/>
            </w:tcBorders>
          </w:tcPr>
          <w:p w14:paraId="0390A9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259ECF" w14:textId="77777777">
        <w:tc>
          <w:tcPr>
            <w:tcW w:w="939" w:type="dxa"/>
            <w:tcBorders>
              <w:top w:val="single" w:sz="6" w:space="0" w:color="auto"/>
              <w:left w:val="single" w:sz="6" w:space="0" w:color="auto"/>
              <w:bottom w:val="single" w:sz="6" w:space="0" w:color="auto"/>
              <w:right w:val="single" w:sz="6" w:space="0" w:color="auto"/>
            </w:tcBorders>
          </w:tcPr>
          <w:p w14:paraId="4F7F83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F2FE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высоте</w:t>
            </w:r>
          </w:p>
        </w:tc>
        <w:tc>
          <w:tcPr>
            <w:tcW w:w="939" w:type="dxa"/>
            <w:tcBorders>
              <w:top w:val="single" w:sz="6" w:space="0" w:color="auto"/>
              <w:left w:val="single" w:sz="6" w:space="0" w:color="auto"/>
              <w:bottom w:val="single" w:sz="6" w:space="0" w:color="auto"/>
              <w:right w:val="single" w:sz="6" w:space="0" w:color="auto"/>
            </w:tcBorders>
          </w:tcPr>
          <w:p w14:paraId="2A1350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w:t>
            </w:r>
          </w:p>
        </w:tc>
        <w:tc>
          <w:tcPr>
            <w:tcW w:w="939" w:type="dxa"/>
            <w:tcBorders>
              <w:top w:val="single" w:sz="6" w:space="0" w:color="auto"/>
              <w:left w:val="single" w:sz="6" w:space="0" w:color="auto"/>
              <w:bottom w:val="single" w:sz="6" w:space="0" w:color="auto"/>
              <w:right w:val="single" w:sz="6" w:space="0" w:color="auto"/>
            </w:tcBorders>
          </w:tcPr>
          <w:p w14:paraId="41FF62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7BF4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517F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91C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w:t>
            </w:r>
          </w:p>
        </w:tc>
        <w:tc>
          <w:tcPr>
            <w:tcW w:w="4025" w:type="dxa"/>
            <w:tcBorders>
              <w:top w:val="single" w:sz="6" w:space="0" w:color="auto"/>
              <w:left w:val="single" w:sz="6" w:space="0" w:color="auto"/>
              <w:bottom w:val="single" w:sz="6" w:space="0" w:color="auto"/>
              <w:right w:val="single" w:sz="6" w:space="0" w:color="auto"/>
            </w:tcBorders>
          </w:tcPr>
          <w:p w14:paraId="70B9C7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B0D702" w14:textId="77777777">
        <w:tc>
          <w:tcPr>
            <w:tcW w:w="939" w:type="dxa"/>
            <w:tcBorders>
              <w:top w:val="single" w:sz="6" w:space="0" w:color="auto"/>
              <w:left w:val="single" w:sz="6" w:space="0" w:color="auto"/>
              <w:bottom w:val="single" w:sz="6" w:space="0" w:color="auto"/>
              <w:right w:val="single" w:sz="6" w:space="0" w:color="auto"/>
            </w:tcBorders>
          </w:tcPr>
          <w:p w14:paraId="184A3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B240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км/час</w:t>
            </w:r>
          </w:p>
        </w:tc>
        <w:tc>
          <w:tcPr>
            <w:tcW w:w="939" w:type="dxa"/>
            <w:tcBorders>
              <w:top w:val="single" w:sz="6" w:space="0" w:color="auto"/>
              <w:left w:val="single" w:sz="6" w:space="0" w:color="auto"/>
              <w:bottom w:val="single" w:sz="6" w:space="0" w:color="auto"/>
              <w:right w:val="single" w:sz="6" w:space="0" w:color="auto"/>
            </w:tcBorders>
          </w:tcPr>
          <w:p w14:paraId="5E5000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E56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7F1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038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0592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КО</w:t>
            </w:r>
          </w:p>
        </w:tc>
        <w:tc>
          <w:tcPr>
            <w:tcW w:w="4025" w:type="dxa"/>
            <w:tcBorders>
              <w:top w:val="single" w:sz="6" w:space="0" w:color="auto"/>
              <w:left w:val="single" w:sz="6" w:space="0" w:color="auto"/>
              <w:bottom w:val="single" w:sz="6" w:space="0" w:color="auto"/>
              <w:right w:val="single" w:sz="6" w:space="0" w:color="auto"/>
            </w:tcBorders>
          </w:tcPr>
          <w:p w14:paraId="78E44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87CA4F" w14:textId="77777777">
        <w:tc>
          <w:tcPr>
            <w:tcW w:w="939" w:type="dxa"/>
            <w:tcBorders>
              <w:top w:val="single" w:sz="6" w:space="0" w:color="auto"/>
              <w:left w:val="single" w:sz="6" w:space="0" w:color="auto"/>
              <w:bottom w:val="single" w:sz="6" w:space="0" w:color="auto"/>
              <w:right w:val="single" w:sz="6" w:space="0" w:color="auto"/>
            </w:tcBorders>
          </w:tcPr>
          <w:p w14:paraId="63355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238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F2E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D7C1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31A3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6C2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5A6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4.07.32/</w:t>
            </w:r>
          </w:p>
        </w:tc>
        <w:tc>
          <w:tcPr>
            <w:tcW w:w="4025" w:type="dxa"/>
            <w:tcBorders>
              <w:top w:val="single" w:sz="6" w:space="0" w:color="auto"/>
              <w:left w:val="single" w:sz="6" w:space="0" w:color="auto"/>
              <w:bottom w:val="single" w:sz="6" w:space="0" w:color="auto"/>
              <w:right w:val="single" w:sz="6" w:space="0" w:color="auto"/>
            </w:tcBorders>
          </w:tcPr>
          <w:p w14:paraId="02735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36AABE" w14:textId="77777777">
        <w:tc>
          <w:tcPr>
            <w:tcW w:w="939" w:type="dxa"/>
            <w:tcBorders>
              <w:top w:val="single" w:sz="6" w:space="0" w:color="auto"/>
              <w:left w:val="single" w:sz="6" w:space="0" w:color="auto"/>
              <w:bottom w:val="single" w:sz="6" w:space="0" w:color="auto"/>
              <w:right w:val="single" w:sz="6" w:space="0" w:color="auto"/>
            </w:tcBorders>
          </w:tcPr>
          <w:p w14:paraId="7D68E9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DD67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CB71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BDD6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D2E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EBE0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02B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ориентир.</w:t>
            </w:r>
          </w:p>
        </w:tc>
        <w:tc>
          <w:tcPr>
            <w:tcW w:w="4025" w:type="dxa"/>
            <w:tcBorders>
              <w:top w:val="single" w:sz="6" w:space="0" w:color="auto"/>
              <w:left w:val="single" w:sz="6" w:space="0" w:color="auto"/>
              <w:bottom w:val="single" w:sz="6" w:space="0" w:color="auto"/>
              <w:right w:val="single" w:sz="6" w:space="0" w:color="auto"/>
            </w:tcBorders>
          </w:tcPr>
          <w:p w14:paraId="50408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4599C0" w14:textId="77777777">
        <w:tc>
          <w:tcPr>
            <w:tcW w:w="939" w:type="dxa"/>
            <w:tcBorders>
              <w:top w:val="single" w:sz="6" w:space="0" w:color="auto"/>
              <w:left w:val="single" w:sz="6" w:space="0" w:color="auto"/>
              <w:bottom w:val="single" w:sz="6" w:space="0" w:color="auto"/>
              <w:right w:val="single" w:sz="6" w:space="0" w:color="auto"/>
            </w:tcBorders>
          </w:tcPr>
          <w:p w14:paraId="0A411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1ADB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70D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B72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A7F0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C6A0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00D8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w:t>
            </w:r>
          </w:p>
        </w:tc>
        <w:tc>
          <w:tcPr>
            <w:tcW w:w="4025" w:type="dxa"/>
            <w:tcBorders>
              <w:top w:val="single" w:sz="6" w:space="0" w:color="auto"/>
              <w:left w:val="single" w:sz="6" w:space="0" w:color="auto"/>
              <w:bottom w:val="single" w:sz="6" w:space="0" w:color="auto"/>
              <w:right w:val="single" w:sz="6" w:space="0" w:color="auto"/>
            </w:tcBorders>
          </w:tcPr>
          <w:p w14:paraId="377AE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932AC5B" w14:textId="77777777">
        <w:tc>
          <w:tcPr>
            <w:tcW w:w="939" w:type="dxa"/>
            <w:tcBorders>
              <w:top w:val="single" w:sz="6" w:space="0" w:color="auto"/>
              <w:left w:val="single" w:sz="6" w:space="0" w:color="auto"/>
              <w:bottom w:val="single" w:sz="6" w:space="0" w:color="auto"/>
              <w:right w:val="single" w:sz="6" w:space="0" w:color="auto"/>
            </w:tcBorders>
          </w:tcPr>
          <w:p w14:paraId="092803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1E6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FFDC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B3E1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CF5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0ED1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7EA3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w:t>
            </w:r>
          </w:p>
        </w:tc>
        <w:tc>
          <w:tcPr>
            <w:tcW w:w="4025" w:type="dxa"/>
            <w:tcBorders>
              <w:top w:val="single" w:sz="6" w:space="0" w:color="auto"/>
              <w:left w:val="single" w:sz="6" w:space="0" w:color="auto"/>
              <w:bottom w:val="single" w:sz="6" w:space="0" w:color="auto"/>
              <w:right w:val="single" w:sz="6" w:space="0" w:color="auto"/>
            </w:tcBorders>
          </w:tcPr>
          <w:p w14:paraId="2A5AD1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F2B658" w14:textId="77777777">
        <w:tc>
          <w:tcPr>
            <w:tcW w:w="939" w:type="dxa"/>
            <w:tcBorders>
              <w:top w:val="single" w:sz="6" w:space="0" w:color="auto"/>
              <w:left w:val="single" w:sz="6" w:space="0" w:color="auto"/>
              <w:bottom w:val="single" w:sz="6" w:space="0" w:color="auto"/>
              <w:right w:val="single" w:sz="6" w:space="0" w:color="auto"/>
            </w:tcBorders>
          </w:tcPr>
          <w:p w14:paraId="280B1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67E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2FA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23A1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05D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A51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F436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пром-тью</w:t>
            </w:r>
          </w:p>
        </w:tc>
        <w:tc>
          <w:tcPr>
            <w:tcW w:w="4025" w:type="dxa"/>
            <w:tcBorders>
              <w:top w:val="single" w:sz="6" w:space="0" w:color="auto"/>
              <w:left w:val="single" w:sz="6" w:space="0" w:color="auto"/>
              <w:bottom w:val="single" w:sz="6" w:space="0" w:color="auto"/>
              <w:right w:val="single" w:sz="6" w:space="0" w:color="auto"/>
            </w:tcBorders>
          </w:tcPr>
          <w:p w14:paraId="4FDA76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EEF84BC" w14:textId="77777777">
        <w:tc>
          <w:tcPr>
            <w:tcW w:w="939" w:type="dxa"/>
            <w:tcBorders>
              <w:top w:val="single" w:sz="6" w:space="0" w:color="auto"/>
              <w:left w:val="single" w:sz="6" w:space="0" w:color="auto"/>
              <w:bottom w:val="single" w:sz="6" w:space="0" w:color="auto"/>
              <w:right w:val="single" w:sz="6" w:space="0" w:color="auto"/>
            </w:tcBorders>
          </w:tcPr>
          <w:p w14:paraId="1C4A0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D87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1C7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31BF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8883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2F3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7A5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гос. исп.</w:t>
            </w:r>
          </w:p>
        </w:tc>
        <w:tc>
          <w:tcPr>
            <w:tcW w:w="4025" w:type="dxa"/>
            <w:tcBorders>
              <w:top w:val="single" w:sz="6" w:space="0" w:color="auto"/>
              <w:left w:val="single" w:sz="6" w:space="0" w:color="auto"/>
              <w:bottom w:val="single" w:sz="6" w:space="0" w:color="auto"/>
              <w:right w:val="single" w:sz="6" w:space="0" w:color="auto"/>
            </w:tcBorders>
          </w:tcPr>
          <w:p w14:paraId="2B405A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32FC66" w14:textId="77777777">
        <w:tc>
          <w:tcPr>
            <w:tcW w:w="939" w:type="dxa"/>
            <w:tcBorders>
              <w:top w:val="single" w:sz="6" w:space="0" w:color="auto"/>
              <w:left w:val="single" w:sz="6" w:space="0" w:color="auto"/>
              <w:bottom w:val="single" w:sz="6" w:space="0" w:color="auto"/>
              <w:right w:val="single" w:sz="6" w:space="0" w:color="auto"/>
            </w:tcBorders>
          </w:tcPr>
          <w:p w14:paraId="25C3F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очереди (основные по системе вооружения).</w:t>
            </w:r>
          </w:p>
        </w:tc>
        <w:tc>
          <w:tcPr>
            <w:tcW w:w="939" w:type="dxa"/>
            <w:tcBorders>
              <w:top w:val="single" w:sz="6" w:space="0" w:color="auto"/>
              <w:left w:val="single" w:sz="6" w:space="0" w:color="auto"/>
              <w:bottom w:val="single" w:sz="6" w:space="0" w:color="auto"/>
              <w:right w:val="single" w:sz="6" w:space="0" w:color="auto"/>
            </w:tcBorders>
          </w:tcPr>
          <w:p w14:paraId="6B097A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730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DBF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93D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D7A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2A2E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65439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5A11D1" w14:textId="77777777">
        <w:tc>
          <w:tcPr>
            <w:tcW w:w="939" w:type="dxa"/>
            <w:tcBorders>
              <w:top w:val="single" w:sz="6" w:space="0" w:color="auto"/>
              <w:left w:val="single" w:sz="6" w:space="0" w:color="auto"/>
              <w:bottom w:val="single" w:sz="6" w:space="0" w:color="auto"/>
              <w:right w:val="single" w:sz="6" w:space="0" w:color="auto"/>
            </w:tcBorders>
          </w:tcPr>
          <w:p w14:paraId="6709B0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 бис</w:t>
            </w:r>
          </w:p>
        </w:tc>
        <w:tc>
          <w:tcPr>
            <w:tcW w:w="939" w:type="dxa"/>
            <w:tcBorders>
              <w:top w:val="single" w:sz="6" w:space="0" w:color="auto"/>
              <w:left w:val="single" w:sz="6" w:space="0" w:color="auto"/>
              <w:bottom w:val="single" w:sz="6" w:space="0" w:color="auto"/>
              <w:right w:val="single" w:sz="6" w:space="0" w:color="auto"/>
            </w:tcBorders>
          </w:tcPr>
          <w:p w14:paraId="79B276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Выдвигаемые ВВС летно-тактические требования:</w:t>
            </w:r>
          </w:p>
        </w:tc>
        <w:tc>
          <w:tcPr>
            <w:tcW w:w="939" w:type="dxa"/>
            <w:tcBorders>
              <w:top w:val="single" w:sz="6" w:space="0" w:color="auto"/>
              <w:left w:val="single" w:sz="6" w:space="0" w:color="auto"/>
              <w:bottom w:val="single" w:sz="6" w:space="0" w:color="auto"/>
              <w:right w:val="single" w:sz="6" w:space="0" w:color="auto"/>
            </w:tcBorders>
          </w:tcPr>
          <w:p w14:paraId="4E8924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3841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26D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66F6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152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CAC2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610DFC" w14:textId="77777777">
        <w:tc>
          <w:tcPr>
            <w:tcW w:w="939" w:type="dxa"/>
            <w:tcBorders>
              <w:top w:val="single" w:sz="6" w:space="0" w:color="auto"/>
              <w:left w:val="single" w:sz="6" w:space="0" w:color="auto"/>
              <w:bottom w:val="single" w:sz="6" w:space="0" w:color="auto"/>
              <w:right w:val="single" w:sz="6" w:space="0" w:color="auto"/>
            </w:tcBorders>
          </w:tcPr>
          <w:p w14:paraId="116A5C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3М34РН</w:t>
            </w:r>
          </w:p>
        </w:tc>
        <w:tc>
          <w:tcPr>
            <w:tcW w:w="939" w:type="dxa"/>
            <w:tcBorders>
              <w:top w:val="single" w:sz="6" w:space="0" w:color="auto"/>
              <w:left w:val="single" w:sz="6" w:space="0" w:color="auto"/>
              <w:bottom w:val="single" w:sz="6" w:space="0" w:color="auto"/>
              <w:right w:val="single" w:sz="6" w:space="0" w:color="auto"/>
            </w:tcBorders>
          </w:tcPr>
          <w:p w14:paraId="38662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225/3000</w:t>
            </w:r>
          </w:p>
        </w:tc>
        <w:tc>
          <w:tcPr>
            <w:tcW w:w="939" w:type="dxa"/>
            <w:tcBorders>
              <w:top w:val="single" w:sz="6" w:space="0" w:color="auto"/>
              <w:left w:val="single" w:sz="6" w:space="0" w:color="auto"/>
              <w:bottom w:val="single" w:sz="6" w:space="0" w:color="auto"/>
              <w:right w:val="single" w:sz="6" w:space="0" w:color="auto"/>
            </w:tcBorders>
          </w:tcPr>
          <w:p w14:paraId="414CCD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20/3000</w:t>
            </w:r>
          </w:p>
        </w:tc>
        <w:tc>
          <w:tcPr>
            <w:tcW w:w="939" w:type="dxa"/>
            <w:tcBorders>
              <w:top w:val="single" w:sz="6" w:space="0" w:color="auto"/>
              <w:left w:val="single" w:sz="6" w:space="0" w:color="auto"/>
              <w:bottom w:val="single" w:sz="6" w:space="0" w:color="auto"/>
              <w:right w:val="single" w:sz="6" w:space="0" w:color="auto"/>
            </w:tcBorders>
          </w:tcPr>
          <w:p w14:paraId="3A7521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39" w:type="dxa"/>
            <w:tcBorders>
              <w:top w:val="single" w:sz="6" w:space="0" w:color="auto"/>
              <w:left w:val="single" w:sz="6" w:space="0" w:color="auto"/>
              <w:bottom w:val="single" w:sz="6" w:space="0" w:color="auto"/>
              <w:right w:val="single" w:sz="6" w:space="0" w:color="auto"/>
            </w:tcBorders>
          </w:tcPr>
          <w:p w14:paraId="3A8604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4х2 пулем.</w:t>
            </w:r>
          </w:p>
        </w:tc>
        <w:tc>
          <w:tcPr>
            <w:tcW w:w="939" w:type="dxa"/>
            <w:tcBorders>
              <w:top w:val="single" w:sz="6" w:space="0" w:color="auto"/>
              <w:left w:val="single" w:sz="6" w:space="0" w:color="auto"/>
              <w:bottom w:val="single" w:sz="6" w:space="0" w:color="auto"/>
              <w:right w:val="single" w:sz="6" w:space="0" w:color="auto"/>
            </w:tcBorders>
          </w:tcPr>
          <w:p w14:paraId="42649D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км</w:t>
            </w:r>
          </w:p>
        </w:tc>
        <w:tc>
          <w:tcPr>
            <w:tcW w:w="939" w:type="dxa"/>
            <w:tcBorders>
              <w:top w:val="single" w:sz="6" w:space="0" w:color="auto"/>
              <w:left w:val="single" w:sz="6" w:space="0" w:color="auto"/>
              <w:bottom w:val="single" w:sz="6" w:space="0" w:color="auto"/>
              <w:right w:val="single" w:sz="6" w:space="0" w:color="auto"/>
            </w:tcBorders>
          </w:tcPr>
          <w:p w14:paraId="290CF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в</w:t>
            </w:r>
          </w:p>
        </w:tc>
        <w:tc>
          <w:tcPr>
            <w:tcW w:w="4025" w:type="dxa"/>
            <w:tcBorders>
              <w:top w:val="single" w:sz="6" w:space="0" w:color="auto"/>
              <w:left w:val="single" w:sz="6" w:space="0" w:color="auto"/>
              <w:bottom w:val="single" w:sz="6" w:space="0" w:color="auto"/>
              <w:right w:val="single" w:sz="6" w:space="0" w:color="auto"/>
            </w:tcBorders>
          </w:tcPr>
          <w:p w14:paraId="71FE5D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 времени 4.07.32 г. утверждения плана выполнено в </w:t>
            </w:r>
          </w:p>
        </w:tc>
      </w:tr>
      <w:tr w:rsidR="00DA227A" w:rsidRPr="00E93F40" w14:paraId="1C9EE5C9" w14:textId="77777777">
        <w:tc>
          <w:tcPr>
            <w:tcW w:w="939" w:type="dxa"/>
            <w:tcBorders>
              <w:top w:val="single" w:sz="6" w:space="0" w:color="auto"/>
              <w:left w:val="single" w:sz="6" w:space="0" w:color="auto"/>
              <w:bottom w:val="single" w:sz="6" w:space="0" w:color="auto"/>
              <w:right w:val="single" w:sz="6" w:space="0" w:color="auto"/>
            </w:tcBorders>
          </w:tcPr>
          <w:p w14:paraId="146263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874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FD9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7526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4F5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 кг бомб</w:t>
            </w:r>
          </w:p>
        </w:tc>
        <w:tc>
          <w:tcPr>
            <w:tcW w:w="939" w:type="dxa"/>
            <w:tcBorders>
              <w:top w:val="single" w:sz="6" w:space="0" w:color="auto"/>
              <w:left w:val="single" w:sz="6" w:space="0" w:color="auto"/>
              <w:bottom w:val="single" w:sz="6" w:space="0" w:color="auto"/>
              <w:right w:val="single" w:sz="6" w:space="0" w:color="auto"/>
            </w:tcBorders>
          </w:tcPr>
          <w:p w14:paraId="72D59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Н-3000</w:t>
            </w:r>
          </w:p>
        </w:tc>
        <w:tc>
          <w:tcPr>
            <w:tcW w:w="939" w:type="dxa"/>
            <w:tcBorders>
              <w:top w:val="single" w:sz="6" w:space="0" w:color="auto"/>
              <w:left w:val="single" w:sz="6" w:space="0" w:color="auto"/>
              <w:bottom w:val="single" w:sz="6" w:space="0" w:color="auto"/>
              <w:right w:val="single" w:sz="6" w:space="0" w:color="auto"/>
            </w:tcBorders>
          </w:tcPr>
          <w:p w14:paraId="06FE0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 не</w:t>
            </w:r>
          </w:p>
        </w:tc>
        <w:tc>
          <w:tcPr>
            <w:tcW w:w="4025" w:type="dxa"/>
            <w:tcBorders>
              <w:top w:val="single" w:sz="6" w:space="0" w:color="auto"/>
              <w:left w:val="single" w:sz="6" w:space="0" w:color="auto"/>
              <w:bottom w:val="single" w:sz="6" w:space="0" w:color="auto"/>
              <w:right w:val="single" w:sz="6" w:space="0" w:color="auto"/>
            </w:tcBorders>
          </w:tcPr>
          <w:p w14:paraId="59B1FF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проектировании около 20%. Предположение ЦАГИ </w:t>
            </w:r>
          </w:p>
        </w:tc>
      </w:tr>
      <w:tr w:rsidR="00DA227A" w:rsidRPr="00E93F40" w14:paraId="30DE7835" w14:textId="77777777">
        <w:tc>
          <w:tcPr>
            <w:tcW w:w="939" w:type="dxa"/>
            <w:tcBorders>
              <w:top w:val="single" w:sz="6" w:space="0" w:color="auto"/>
              <w:left w:val="single" w:sz="6" w:space="0" w:color="auto"/>
              <w:bottom w:val="single" w:sz="6" w:space="0" w:color="auto"/>
              <w:right w:val="single" w:sz="6" w:space="0" w:color="auto"/>
            </w:tcBorders>
          </w:tcPr>
          <w:p w14:paraId="16E216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8CC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08F2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4FB9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7B8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05C7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C407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w:t>
            </w:r>
          </w:p>
        </w:tc>
        <w:tc>
          <w:tcPr>
            <w:tcW w:w="4025" w:type="dxa"/>
            <w:tcBorders>
              <w:top w:val="single" w:sz="6" w:space="0" w:color="auto"/>
              <w:left w:val="single" w:sz="6" w:space="0" w:color="auto"/>
              <w:bottom w:val="single" w:sz="6" w:space="0" w:color="auto"/>
              <w:right w:val="single" w:sz="6" w:space="0" w:color="auto"/>
            </w:tcBorders>
          </w:tcPr>
          <w:p w14:paraId="265F4B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установить 4М34 отпало, т.к. лодка была построена</w:t>
            </w:r>
          </w:p>
        </w:tc>
      </w:tr>
      <w:tr w:rsidR="00DA227A" w:rsidRPr="00E93F40" w14:paraId="60562BD8" w14:textId="77777777">
        <w:tc>
          <w:tcPr>
            <w:tcW w:w="939" w:type="dxa"/>
            <w:tcBorders>
              <w:top w:val="single" w:sz="6" w:space="0" w:color="auto"/>
              <w:left w:val="single" w:sz="6" w:space="0" w:color="auto"/>
              <w:bottom w:val="single" w:sz="6" w:space="0" w:color="auto"/>
              <w:right w:val="single" w:sz="6" w:space="0" w:color="auto"/>
            </w:tcBorders>
          </w:tcPr>
          <w:p w14:paraId="61B66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661C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732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1291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767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E03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629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пер-нач.</w:t>
            </w:r>
          </w:p>
        </w:tc>
        <w:tc>
          <w:tcPr>
            <w:tcW w:w="4025" w:type="dxa"/>
            <w:tcBorders>
              <w:top w:val="single" w:sz="6" w:space="0" w:color="auto"/>
              <w:left w:val="single" w:sz="6" w:space="0" w:color="auto"/>
              <w:bottom w:val="single" w:sz="6" w:space="0" w:color="auto"/>
              <w:right w:val="single" w:sz="6" w:space="0" w:color="auto"/>
            </w:tcBorders>
          </w:tcPr>
          <w:p w14:paraId="70D61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12 тн. ЦАГИ установил полетный вес 12,75 тн,</w:t>
            </w:r>
          </w:p>
        </w:tc>
      </w:tr>
      <w:tr w:rsidR="00DA227A" w:rsidRPr="00E93F40" w14:paraId="7B38BF96" w14:textId="77777777">
        <w:tc>
          <w:tcPr>
            <w:tcW w:w="939" w:type="dxa"/>
            <w:tcBorders>
              <w:top w:val="single" w:sz="6" w:space="0" w:color="auto"/>
              <w:left w:val="single" w:sz="6" w:space="0" w:color="auto"/>
              <w:bottom w:val="single" w:sz="6" w:space="0" w:color="auto"/>
              <w:right w:val="single" w:sz="6" w:space="0" w:color="auto"/>
            </w:tcBorders>
          </w:tcPr>
          <w:p w14:paraId="64DCF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FF8C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F4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4FE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0593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FE1D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C06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1.07.33</w:t>
            </w:r>
          </w:p>
        </w:tc>
        <w:tc>
          <w:tcPr>
            <w:tcW w:w="4025" w:type="dxa"/>
            <w:tcBorders>
              <w:top w:val="single" w:sz="6" w:space="0" w:color="auto"/>
              <w:left w:val="single" w:sz="6" w:space="0" w:color="auto"/>
              <w:bottom w:val="single" w:sz="6" w:space="0" w:color="auto"/>
              <w:right w:val="single" w:sz="6" w:space="0" w:color="auto"/>
            </w:tcBorders>
          </w:tcPr>
          <w:p w14:paraId="553C0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отводя для полетной нагрузки 1200 кг вместо заявл.</w:t>
            </w:r>
          </w:p>
        </w:tc>
      </w:tr>
      <w:tr w:rsidR="00DA227A" w:rsidRPr="00E93F40" w14:paraId="28320240" w14:textId="77777777">
        <w:tc>
          <w:tcPr>
            <w:tcW w:w="939" w:type="dxa"/>
            <w:tcBorders>
              <w:top w:val="single" w:sz="6" w:space="0" w:color="auto"/>
              <w:left w:val="single" w:sz="6" w:space="0" w:color="auto"/>
              <w:bottom w:val="single" w:sz="6" w:space="0" w:color="auto"/>
              <w:right w:val="single" w:sz="6" w:space="0" w:color="auto"/>
            </w:tcBorders>
          </w:tcPr>
          <w:p w14:paraId="4B1AD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F14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EA2D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D94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930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A3FC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129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перенес.</w:t>
            </w:r>
          </w:p>
        </w:tc>
        <w:tc>
          <w:tcPr>
            <w:tcW w:w="4025" w:type="dxa"/>
            <w:tcBorders>
              <w:top w:val="single" w:sz="6" w:space="0" w:color="auto"/>
              <w:left w:val="single" w:sz="6" w:space="0" w:color="auto"/>
              <w:bottom w:val="single" w:sz="6" w:space="0" w:color="auto"/>
              <w:right w:val="single" w:sz="6" w:space="0" w:color="auto"/>
            </w:tcBorders>
          </w:tcPr>
          <w:p w14:paraId="00DC8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 1427 кг, причем 200 кг бомб в вариант</w:t>
            </w:r>
          </w:p>
        </w:tc>
      </w:tr>
      <w:tr w:rsidR="00DA227A" w:rsidRPr="00E93F40" w14:paraId="2B706A73" w14:textId="77777777">
        <w:tc>
          <w:tcPr>
            <w:tcW w:w="939" w:type="dxa"/>
            <w:tcBorders>
              <w:top w:val="single" w:sz="6" w:space="0" w:color="auto"/>
              <w:left w:val="single" w:sz="6" w:space="0" w:color="auto"/>
              <w:bottom w:val="single" w:sz="6" w:space="0" w:color="auto"/>
              <w:right w:val="single" w:sz="6" w:space="0" w:color="auto"/>
            </w:tcBorders>
          </w:tcPr>
          <w:p w14:paraId="218D23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A6FA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F5E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2875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3D8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8EFE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12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w:t>
            </w:r>
          </w:p>
        </w:tc>
        <w:tc>
          <w:tcPr>
            <w:tcW w:w="4025" w:type="dxa"/>
            <w:tcBorders>
              <w:top w:val="single" w:sz="6" w:space="0" w:color="auto"/>
              <w:left w:val="single" w:sz="6" w:space="0" w:color="auto"/>
              <w:bottom w:val="single" w:sz="6" w:space="0" w:color="auto"/>
              <w:right w:val="single" w:sz="6" w:space="0" w:color="auto"/>
            </w:tcBorders>
          </w:tcPr>
          <w:p w14:paraId="0FB19A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разведчика ЦАГИ предполагает исключить и </w:t>
            </w:r>
          </w:p>
        </w:tc>
      </w:tr>
      <w:tr w:rsidR="00DA227A" w:rsidRPr="00E93F40" w14:paraId="2AE49579" w14:textId="77777777">
        <w:tc>
          <w:tcPr>
            <w:tcW w:w="939" w:type="dxa"/>
            <w:tcBorders>
              <w:top w:val="single" w:sz="6" w:space="0" w:color="auto"/>
              <w:left w:val="single" w:sz="6" w:space="0" w:color="auto"/>
              <w:bottom w:val="single" w:sz="6" w:space="0" w:color="auto"/>
              <w:right w:val="single" w:sz="6" w:space="0" w:color="auto"/>
            </w:tcBorders>
          </w:tcPr>
          <w:p w14:paraId="12B08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AA5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C32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84B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FCAB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538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60C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1.12.33</w:t>
            </w:r>
          </w:p>
        </w:tc>
        <w:tc>
          <w:tcPr>
            <w:tcW w:w="4025" w:type="dxa"/>
            <w:tcBorders>
              <w:top w:val="single" w:sz="6" w:space="0" w:color="auto"/>
              <w:left w:val="single" w:sz="6" w:space="0" w:color="auto"/>
              <w:bottom w:val="single" w:sz="6" w:space="0" w:color="auto"/>
              <w:right w:val="single" w:sz="6" w:space="0" w:color="auto"/>
            </w:tcBorders>
          </w:tcPr>
          <w:p w14:paraId="08A13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поставить только 6 пулеметов на 4 гнезда.</w:t>
            </w:r>
          </w:p>
        </w:tc>
      </w:tr>
      <w:tr w:rsidR="00DA227A" w:rsidRPr="00E93F40" w14:paraId="72779035" w14:textId="77777777">
        <w:tc>
          <w:tcPr>
            <w:tcW w:w="939" w:type="dxa"/>
            <w:tcBorders>
              <w:top w:val="single" w:sz="6" w:space="0" w:color="auto"/>
              <w:left w:val="single" w:sz="6" w:space="0" w:color="auto"/>
              <w:bottom w:val="single" w:sz="6" w:space="0" w:color="auto"/>
              <w:right w:val="single" w:sz="6" w:space="0" w:color="auto"/>
            </w:tcBorders>
          </w:tcPr>
          <w:p w14:paraId="1E4708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МДР3 4М17</w:t>
            </w:r>
          </w:p>
        </w:tc>
        <w:tc>
          <w:tcPr>
            <w:tcW w:w="939" w:type="dxa"/>
            <w:tcBorders>
              <w:top w:val="single" w:sz="6" w:space="0" w:color="auto"/>
              <w:left w:val="single" w:sz="6" w:space="0" w:color="auto"/>
              <w:bottom w:val="single" w:sz="6" w:space="0" w:color="auto"/>
              <w:right w:val="single" w:sz="6" w:space="0" w:color="auto"/>
            </w:tcBorders>
          </w:tcPr>
          <w:p w14:paraId="261213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1E7D0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20/3000</w:t>
            </w:r>
          </w:p>
        </w:tc>
        <w:tc>
          <w:tcPr>
            <w:tcW w:w="939" w:type="dxa"/>
            <w:tcBorders>
              <w:top w:val="single" w:sz="6" w:space="0" w:color="auto"/>
              <w:left w:val="single" w:sz="6" w:space="0" w:color="auto"/>
              <w:bottom w:val="single" w:sz="6" w:space="0" w:color="auto"/>
              <w:right w:val="single" w:sz="6" w:space="0" w:color="auto"/>
            </w:tcBorders>
          </w:tcPr>
          <w:p w14:paraId="3D3A0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4.5-5000</w:t>
            </w:r>
          </w:p>
        </w:tc>
        <w:tc>
          <w:tcPr>
            <w:tcW w:w="939" w:type="dxa"/>
            <w:tcBorders>
              <w:top w:val="single" w:sz="6" w:space="0" w:color="auto"/>
              <w:left w:val="single" w:sz="6" w:space="0" w:color="auto"/>
              <w:bottom w:val="single" w:sz="6" w:space="0" w:color="auto"/>
              <w:right w:val="single" w:sz="6" w:space="0" w:color="auto"/>
            </w:tcBorders>
          </w:tcPr>
          <w:p w14:paraId="75B18A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w:t>
            </w:r>
          </w:p>
        </w:tc>
        <w:tc>
          <w:tcPr>
            <w:tcW w:w="939" w:type="dxa"/>
            <w:tcBorders>
              <w:top w:val="single" w:sz="6" w:space="0" w:color="auto"/>
              <w:left w:val="single" w:sz="6" w:space="0" w:color="auto"/>
              <w:bottom w:val="single" w:sz="6" w:space="0" w:color="auto"/>
              <w:right w:val="single" w:sz="6" w:space="0" w:color="auto"/>
            </w:tcBorders>
          </w:tcPr>
          <w:p w14:paraId="37258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1-1200</w:t>
            </w:r>
          </w:p>
        </w:tc>
        <w:tc>
          <w:tcPr>
            <w:tcW w:w="939" w:type="dxa"/>
            <w:tcBorders>
              <w:top w:val="single" w:sz="6" w:space="0" w:color="auto"/>
              <w:left w:val="single" w:sz="6" w:space="0" w:color="auto"/>
              <w:bottom w:val="single" w:sz="6" w:space="0" w:color="auto"/>
              <w:right w:val="single" w:sz="6" w:space="0" w:color="auto"/>
            </w:tcBorders>
          </w:tcPr>
          <w:p w14:paraId="36DC2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w:t>
            </w:r>
          </w:p>
        </w:tc>
        <w:tc>
          <w:tcPr>
            <w:tcW w:w="4025" w:type="dxa"/>
            <w:tcBorders>
              <w:top w:val="single" w:sz="6" w:space="0" w:color="auto"/>
              <w:left w:val="single" w:sz="6" w:space="0" w:color="auto"/>
              <w:bottom w:val="single" w:sz="6" w:space="0" w:color="auto"/>
              <w:right w:val="single" w:sz="6" w:space="0" w:color="auto"/>
            </w:tcBorders>
          </w:tcPr>
          <w:p w14:paraId="37D49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Предъявляемые ВВС к утверждению летные требов.</w:t>
            </w:r>
          </w:p>
        </w:tc>
      </w:tr>
      <w:tr w:rsidR="00DA227A" w:rsidRPr="00E93F40" w14:paraId="44245255" w14:textId="77777777">
        <w:tc>
          <w:tcPr>
            <w:tcW w:w="939" w:type="dxa"/>
            <w:tcBorders>
              <w:top w:val="single" w:sz="6" w:space="0" w:color="auto"/>
              <w:left w:val="single" w:sz="6" w:space="0" w:color="auto"/>
              <w:bottom w:val="single" w:sz="6" w:space="0" w:color="auto"/>
              <w:right w:val="single" w:sz="6" w:space="0" w:color="auto"/>
            </w:tcBorders>
          </w:tcPr>
          <w:p w14:paraId="6FE42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BBF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538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D165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2CFA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820E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автопуш.</w:t>
            </w:r>
          </w:p>
        </w:tc>
        <w:tc>
          <w:tcPr>
            <w:tcW w:w="939" w:type="dxa"/>
            <w:tcBorders>
              <w:top w:val="single" w:sz="6" w:space="0" w:color="auto"/>
              <w:left w:val="single" w:sz="6" w:space="0" w:color="auto"/>
              <w:bottom w:val="single" w:sz="6" w:space="0" w:color="auto"/>
              <w:right w:val="single" w:sz="6" w:space="0" w:color="auto"/>
            </w:tcBorders>
          </w:tcPr>
          <w:p w14:paraId="6064EB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прежн.</w:t>
            </w:r>
          </w:p>
        </w:tc>
        <w:tc>
          <w:tcPr>
            <w:tcW w:w="4025" w:type="dxa"/>
            <w:tcBorders>
              <w:top w:val="single" w:sz="6" w:space="0" w:color="auto"/>
              <w:left w:val="single" w:sz="6" w:space="0" w:color="auto"/>
              <w:bottom w:val="single" w:sz="6" w:space="0" w:color="auto"/>
              <w:right w:val="single" w:sz="6" w:space="0" w:color="auto"/>
            </w:tcBorders>
          </w:tcPr>
          <w:p w14:paraId="1AA843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указаны в графах. Летных данных под вес с-та 12,75</w:t>
            </w:r>
          </w:p>
        </w:tc>
      </w:tr>
      <w:tr w:rsidR="00DA227A" w:rsidRPr="00E93F40" w14:paraId="08E59B9B" w14:textId="77777777">
        <w:tc>
          <w:tcPr>
            <w:tcW w:w="939" w:type="dxa"/>
            <w:tcBorders>
              <w:top w:val="single" w:sz="6" w:space="0" w:color="auto"/>
              <w:left w:val="single" w:sz="6" w:space="0" w:color="auto"/>
              <w:bottom w:val="single" w:sz="6" w:space="0" w:color="auto"/>
              <w:right w:val="single" w:sz="6" w:space="0" w:color="auto"/>
            </w:tcBorders>
          </w:tcPr>
          <w:p w14:paraId="40775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8A8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D22A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AD69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BD9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2E90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кг бомб</w:t>
            </w:r>
          </w:p>
        </w:tc>
        <w:tc>
          <w:tcPr>
            <w:tcW w:w="939" w:type="dxa"/>
            <w:tcBorders>
              <w:top w:val="single" w:sz="6" w:space="0" w:color="auto"/>
              <w:left w:val="single" w:sz="6" w:space="0" w:color="auto"/>
              <w:bottom w:val="single" w:sz="6" w:space="0" w:color="auto"/>
              <w:right w:val="single" w:sz="6" w:space="0" w:color="auto"/>
            </w:tcBorders>
          </w:tcPr>
          <w:p w14:paraId="5A78B6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плану</w:t>
            </w:r>
          </w:p>
        </w:tc>
        <w:tc>
          <w:tcPr>
            <w:tcW w:w="4025" w:type="dxa"/>
            <w:tcBorders>
              <w:top w:val="single" w:sz="6" w:space="0" w:color="auto"/>
              <w:left w:val="single" w:sz="6" w:space="0" w:color="auto"/>
              <w:bottom w:val="single" w:sz="6" w:space="0" w:color="auto"/>
              <w:right w:val="single" w:sz="6" w:space="0" w:color="auto"/>
            </w:tcBorders>
          </w:tcPr>
          <w:p w14:paraId="63ECA7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тн ЦАГИ не имеет, ведутся расчеты, однако ясно,</w:t>
            </w:r>
          </w:p>
        </w:tc>
      </w:tr>
      <w:tr w:rsidR="00DA227A" w:rsidRPr="00E93F40" w14:paraId="50D5F6FE" w14:textId="77777777">
        <w:tc>
          <w:tcPr>
            <w:tcW w:w="939" w:type="dxa"/>
            <w:tcBorders>
              <w:top w:val="single" w:sz="6" w:space="0" w:color="auto"/>
              <w:left w:val="single" w:sz="6" w:space="0" w:color="auto"/>
              <w:bottom w:val="single" w:sz="6" w:space="0" w:color="auto"/>
              <w:right w:val="single" w:sz="6" w:space="0" w:color="auto"/>
            </w:tcBorders>
          </w:tcPr>
          <w:p w14:paraId="6B8F3D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E3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6FA2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BAF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739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E5E4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6DB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10.11.31/</w:t>
            </w:r>
          </w:p>
        </w:tc>
        <w:tc>
          <w:tcPr>
            <w:tcW w:w="4025" w:type="dxa"/>
            <w:tcBorders>
              <w:top w:val="single" w:sz="6" w:space="0" w:color="auto"/>
              <w:left w:val="single" w:sz="6" w:space="0" w:color="auto"/>
              <w:bottom w:val="single" w:sz="6" w:space="0" w:color="auto"/>
              <w:right w:val="single" w:sz="6" w:space="0" w:color="auto"/>
            </w:tcBorders>
          </w:tcPr>
          <w:p w14:paraId="1567F9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 дальность и посадочная скорость даже при</w:t>
            </w:r>
          </w:p>
        </w:tc>
      </w:tr>
      <w:tr w:rsidR="00DA227A" w:rsidRPr="00E93F40" w14:paraId="3BFA524F" w14:textId="77777777">
        <w:tc>
          <w:tcPr>
            <w:tcW w:w="939" w:type="dxa"/>
            <w:tcBorders>
              <w:top w:val="single" w:sz="6" w:space="0" w:color="auto"/>
              <w:left w:val="single" w:sz="6" w:space="0" w:color="auto"/>
              <w:bottom w:val="single" w:sz="6" w:space="0" w:color="auto"/>
              <w:right w:val="single" w:sz="6" w:space="0" w:color="auto"/>
            </w:tcBorders>
          </w:tcPr>
          <w:p w14:paraId="3B714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B46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2DF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CB8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F94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4392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4CE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w:t>
            </w:r>
          </w:p>
        </w:tc>
        <w:tc>
          <w:tcPr>
            <w:tcW w:w="4025" w:type="dxa"/>
            <w:tcBorders>
              <w:top w:val="single" w:sz="6" w:space="0" w:color="auto"/>
              <w:left w:val="single" w:sz="6" w:space="0" w:color="auto"/>
              <w:bottom w:val="single" w:sz="6" w:space="0" w:color="auto"/>
              <w:right w:val="single" w:sz="6" w:space="0" w:color="auto"/>
            </w:tcBorders>
          </w:tcPr>
          <w:p w14:paraId="345500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уменьшении полетной нагрузки 1200 кг выдержаны</w:t>
            </w:r>
          </w:p>
        </w:tc>
      </w:tr>
      <w:tr w:rsidR="00DA227A" w:rsidRPr="00E93F40" w14:paraId="59FAEE78" w14:textId="77777777">
        <w:tc>
          <w:tcPr>
            <w:tcW w:w="939" w:type="dxa"/>
            <w:tcBorders>
              <w:top w:val="single" w:sz="6" w:space="0" w:color="auto"/>
              <w:left w:val="single" w:sz="6" w:space="0" w:color="auto"/>
              <w:bottom w:val="single" w:sz="6" w:space="0" w:color="auto"/>
              <w:right w:val="single" w:sz="6" w:space="0" w:color="auto"/>
            </w:tcBorders>
          </w:tcPr>
          <w:p w14:paraId="0D347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031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4FE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ED4B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63F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57F3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199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60774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будут.</w:t>
            </w:r>
          </w:p>
        </w:tc>
      </w:tr>
      <w:tr w:rsidR="00DA227A" w:rsidRPr="00E93F40" w14:paraId="141CB3D8" w14:textId="77777777">
        <w:tc>
          <w:tcPr>
            <w:tcW w:w="939" w:type="dxa"/>
            <w:tcBorders>
              <w:top w:val="single" w:sz="6" w:space="0" w:color="auto"/>
              <w:left w:val="single" w:sz="6" w:space="0" w:color="auto"/>
              <w:bottom w:val="single" w:sz="6" w:space="0" w:color="auto"/>
              <w:right w:val="single" w:sz="6" w:space="0" w:color="auto"/>
            </w:tcBorders>
          </w:tcPr>
          <w:p w14:paraId="0A9B55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338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F36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7858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E9CE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B21C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0D82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05.32</w:t>
            </w:r>
          </w:p>
        </w:tc>
        <w:tc>
          <w:tcPr>
            <w:tcW w:w="4025" w:type="dxa"/>
            <w:tcBorders>
              <w:top w:val="single" w:sz="6" w:space="0" w:color="auto"/>
              <w:left w:val="single" w:sz="6" w:space="0" w:color="auto"/>
              <w:bottom w:val="single" w:sz="6" w:space="0" w:color="auto"/>
              <w:right w:val="single" w:sz="6" w:space="0" w:color="auto"/>
            </w:tcBorders>
          </w:tcPr>
          <w:p w14:paraId="524AA1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1. Утвердить срок предъявления 1.07.33</w:t>
            </w:r>
          </w:p>
        </w:tc>
      </w:tr>
      <w:tr w:rsidR="00DA227A" w:rsidRPr="00E93F40" w14:paraId="1C3F1979" w14:textId="77777777">
        <w:tc>
          <w:tcPr>
            <w:tcW w:w="939" w:type="dxa"/>
            <w:tcBorders>
              <w:top w:val="single" w:sz="6" w:space="0" w:color="auto"/>
              <w:left w:val="single" w:sz="6" w:space="0" w:color="auto"/>
              <w:bottom w:val="single" w:sz="6" w:space="0" w:color="auto"/>
              <w:right w:val="single" w:sz="6" w:space="0" w:color="auto"/>
            </w:tcBorders>
          </w:tcPr>
          <w:p w14:paraId="2C2C17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80D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D2D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D54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9D9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667F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2E14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6C8B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т.е. сократить прежнюю планировку ЦАГИ, усилив </w:t>
            </w:r>
          </w:p>
        </w:tc>
      </w:tr>
      <w:tr w:rsidR="00DA227A" w:rsidRPr="00E93F40" w14:paraId="715FEB4A" w14:textId="77777777">
        <w:tc>
          <w:tcPr>
            <w:tcW w:w="939" w:type="dxa"/>
            <w:tcBorders>
              <w:top w:val="single" w:sz="6" w:space="0" w:color="auto"/>
              <w:left w:val="single" w:sz="6" w:space="0" w:color="auto"/>
              <w:bottom w:val="single" w:sz="6" w:space="0" w:color="auto"/>
              <w:right w:val="single" w:sz="6" w:space="0" w:color="auto"/>
            </w:tcBorders>
          </w:tcPr>
          <w:p w14:paraId="3BC107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46E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A3A4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F2C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ABF0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2A8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7402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3A022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с-ту. При теперешнем темпе с-т раньше середины</w:t>
            </w:r>
          </w:p>
        </w:tc>
      </w:tr>
      <w:tr w:rsidR="00DA227A" w:rsidRPr="00E93F40" w14:paraId="7848EA0B" w14:textId="77777777">
        <w:tc>
          <w:tcPr>
            <w:tcW w:w="939" w:type="dxa"/>
            <w:tcBorders>
              <w:top w:val="single" w:sz="6" w:space="0" w:color="auto"/>
              <w:left w:val="single" w:sz="6" w:space="0" w:color="auto"/>
              <w:bottom w:val="single" w:sz="6" w:space="0" w:color="auto"/>
              <w:right w:val="single" w:sz="6" w:space="0" w:color="auto"/>
            </w:tcBorders>
          </w:tcPr>
          <w:p w14:paraId="07D27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B59F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743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9477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C9CB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B89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3331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7079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г. предъвлен не будет. 2. Утвердить намеченные</w:t>
            </w:r>
          </w:p>
        </w:tc>
      </w:tr>
      <w:tr w:rsidR="00DA227A" w:rsidRPr="00E93F40" w14:paraId="599D70F2" w14:textId="77777777">
        <w:tc>
          <w:tcPr>
            <w:tcW w:w="939" w:type="dxa"/>
            <w:tcBorders>
              <w:top w:val="single" w:sz="6" w:space="0" w:color="auto"/>
              <w:left w:val="single" w:sz="6" w:space="0" w:color="auto"/>
              <w:bottom w:val="single" w:sz="6" w:space="0" w:color="auto"/>
              <w:right w:val="single" w:sz="6" w:space="0" w:color="auto"/>
            </w:tcBorders>
          </w:tcPr>
          <w:p w14:paraId="20478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4C6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6F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BA22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D478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17AC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4E74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DD9D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летно-тактические требования.</w:t>
            </w:r>
          </w:p>
        </w:tc>
      </w:tr>
      <w:tr w:rsidR="00DA227A" w:rsidRPr="00E93F40" w14:paraId="0D7BCD47" w14:textId="77777777">
        <w:tc>
          <w:tcPr>
            <w:tcW w:w="939" w:type="dxa"/>
            <w:tcBorders>
              <w:top w:val="single" w:sz="6" w:space="0" w:color="auto"/>
              <w:left w:val="single" w:sz="6" w:space="0" w:color="auto"/>
              <w:bottom w:val="single" w:sz="6" w:space="0" w:color="auto"/>
              <w:right w:val="single" w:sz="6" w:space="0" w:color="auto"/>
            </w:tcBorders>
          </w:tcPr>
          <w:p w14:paraId="0802D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МК1-6М34 РН</w:t>
            </w:r>
          </w:p>
        </w:tc>
        <w:tc>
          <w:tcPr>
            <w:tcW w:w="939" w:type="dxa"/>
            <w:tcBorders>
              <w:top w:val="single" w:sz="6" w:space="0" w:color="auto"/>
              <w:left w:val="single" w:sz="6" w:space="0" w:color="auto"/>
              <w:bottom w:val="single" w:sz="6" w:space="0" w:color="auto"/>
              <w:right w:val="single" w:sz="6" w:space="0" w:color="auto"/>
            </w:tcBorders>
          </w:tcPr>
          <w:p w14:paraId="70DB1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215/4000</w:t>
            </w:r>
          </w:p>
        </w:tc>
        <w:tc>
          <w:tcPr>
            <w:tcW w:w="939" w:type="dxa"/>
            <w:tcBorders>
              <w:top w:val="single" w:sz="6" w:space="0" w:color="auto"/>
              <w:left w:val="single" w:sz="6" w:space="0" w:color="auto"/>
              <w:bottom w:val="single" w:sz="6" w:space="0" w:color="auto"/>
              <w:right w:val="single" w:sz="6" w:space="0" w:color="auto"/>
            </w:tcBorders>
          </w:tcPr>
          <w:p w14:paraId="20F15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4ABB0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9B211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Общий вес</w:t>
            </w:r>
          </w:p>
        </w:tc>
        <w:tc>
          <w:tcPr>
            <w:tcW w:w="939" w:type="dxa"/>
            <w:tcBorders>
              <w:top w:val="single" w:sz="6" w:space="0" w:color="auto"/>
              <w:left w:val="single" w:sz="6" w:space="0" w:color="auto"/>
              <w:bottom w:val="single" w:sz="6" w:space="0" w:color="auto"/>
              <w:right w:val="single" w:sz="6" w:space="0" w:color="auto"/>
            </w:tcBorders>
          </w:tcPr>
          <w:p w14:paraId="2F66D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 при</w:t>
            </w:r>
          </w:p>
        </w:tc>
        <w:tc>
          <w:tcPr>
            <w:tcW w:w="939" w:type="dxa"/>
            <w:tcBorders>
              <w:top w:val="single" w:sz="6" w:space="0" w:color="auto"/>
              <w:left w:val="single" w:sz="6" w:space="0" w:color="auto"/>
              <w:bottom w:val="single" w:sz="6" w:space="0" w:color="auto"/>
              <w:right w:val="single" w:sz="6" w:space="0" w:color="auto"/>
            </w:tcBorders>
          </w:tcPr>
          <w:p w14:paraId="180D5F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1.09.32</w:t>
            </w:r>
          </w:p>
        </w:tc>
        <w:tc>
          <w:tcPr>
            <w:tcW w:w="4025" w:type="dxa"/>
            <w:tcBorders>
              <w:top w:val="single" w:sz="6" w:space="0" w:color="auto"/>
              <w:left w:val="single" w:sz="6" w:space="0" w:color="auto"/>
              <w:bottom w:val="single" w:sz="6" w:space="0" w:color="auto"/>
              <w:right w:val="single" w:sz="6" w:space="0" w:color="auto"/>
            </w:tcBorders>
          </w:tcPr>
          <w:p w14:paraId="54098D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Срок предъявления макета вновь не выдержан.</w:t>
            </w:r>
          </w:p>
        </w:tc>
      </w:tr>
      <w:tr w:rsidR="00DA227A" w:rsidRPr="00E93F40" w14:paraId="00417D14" w14:textId="77777777">
        <w:tc>
          <w:tcPr>
            <w:tcW w:w="939" w:type="dxa"/>
            <w:tcBorders>
              <w:top w:val="single" w:sz="6" w:space="0" w:color="auto"/>
              <w:left w:val="single" w:sz="6" w:space="0" w:color="auto"/>
              <w:bottom w:val="single" w:sz="6" w:space="0" w:color="auto"/>
              <w:right w:val="single" w:sz="6" w:space="0" w:color="auto"/>
            </w:tcBorders>
          </w:tcPr>
          <w:p w14:paraId="617EE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DD1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F440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5B28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1C1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 снаряж.</w:t>
            </w:r>
          </w:p>
        </w:tc>
        <w:tc>
          <w:tcPr>
            <w:tcW w:w="939" w:type="dxa"/>
            <w:tcBorders>
              <w:top w:val="single" w:sz="6" w:space="0" w:color="auto"/>
              <w:left w:val="single" w:sz="6" w:space="0" w:color="auto"/>
              <w:bottom w:val="single" w:sz="6" w:space="0" w:color="auto"/>
              <w:right w:val="single" w:sz="6" w:space="0" w:color="auto"/>
            </w:tcBorders>
          </w:tcPr>
          <w:p w14:paraId="19454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w:t>
            </w:r>
          </w:p>
        </w:tc>
        <w:tc>
          <w:tcPr>
            <w:tcW w:w="939" w:type="dxa"/>
            <w:tcBorders>
              <w:top w:val="single" w:sz="6" w:space="0" w:color="auto"/>
              <w:left w:val="single" w:sz="6" w:space="0" w:color="auto"/>
              <w:bottom w:val="single" w:sz="6" w:space="0" w:color="auto"/>
              <w:right w:val="single" w:sz="6" w:space="0" w:color="auto"/>
            </w:tcBorders>
          </w:tcPr>
          <w:p w14:paraId="12B67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вторич.</w:t>
            </w:r>
          </w:p>
        </w:tc>
        <w:tc>
          <w:tcPr>
            <w:tcW w:w="4025" w:type="dxa"/>
            <w:tcBorders>
              <w:top w:val="single" w:sz="6" w:space="0" w:color="auto"/>
              <w:left w:val="single" w:sz="6" w:space="0" w:color="auto"/>
              <w:bottom w:val="single" w:sz="6" w:space="0" w:color="auto"/>
              <w:right w:val="single" w:sz="6" w:space="0" w:color="auto"/>
            </w:tcBorders>
          </w:tcPr>
          <w:p w14:paraId="7CD13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Вероятно будет готов в окочательном виде к концу</w:t>
            </w:r>
          </w:p>
        </w:tc>
      </w:tr>
      <w:tr w:rsidR="00DA227A" w:rsidRPr="00E93F40" w14:paraId="11402FB9" w14:textId="77777777">
        <w:tc>
          <w:tcPr>
            <w:tcW w:w="939" w:type="dxa"/>
            <w:tcBorders>
              <w:top w:val="single" w:sz="6" w:space="0" w:color="auto"/>
              <w:left w:val="single" w:sz="6" w:space="0" w:color="auto"/>
              <w:bottom w:val="single" w:sz="6" w:space="0" w:color="auto"/>
              <w:right w:val="single" w:sz="6" w:space="0" w:color="auto"/>
            </w:tcBorders>
          </w:tcPr>
          <w:p w14:paraId="6B681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4216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6996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CBA2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2002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оборуд.</w:t>
            </w:r>
          </w:p>
        </w:tc>
        <w:tc>
          <w:tcPr>
            <w:tcW w:w="939" w:type="dxa"/>
            <w:tcBorders>
              <w:top w:val="single" w:sz="6" w:space="0" w:color="auto"/>
              <w:left w:val="single" w:sz="6" w:space="0" w:color="auto"/>
              <w:bottom w:val="single" w:sz="6" w:space="0" w:color="auto"/>
              <w:right w:val="single" w:sz="6" w:space="0" w:color="auto"/>
            </w:tcBorders>
          </w:tcPr>
          <w:p w14:paraId="1D1398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939" w:type="dxa"/>
            <w:tcBorders>
              <w:top w:val="single" w:sz="6" w:space="0" w:color="auto"/>
              <w:left w:val="single" w:sz="6" w:space="0" w:color="auto"/>
              <w:bottom w:val="single" w:sz="6" w:space="0" w:color="auto"/>
              <w:right w:val="single" w:sz="6" w:space="0" w:color="auto"/>
            </w:tcBorders>
          </w:tcPr>
          <w:p w14:paraId="13D1A8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1.12.33</w:t>
            </w:r>
          </w:p>
        </w:tc>
        <w:tc>
          <w:tcPr>
            <w:tcW w:w="4025" w:type="dxa"/>
            <w:tcBorders>
              <w:top w:val="single" w:sz="6" w:space="0" w:color="auto"/>
              <w:left w:val="single" w:sz="6" w:space="0" w:color="auto"/>
              <w:bottom w:val="single" w:sz="6" w:space="0" w:color="auto"/>
              <w:right w:val="single" w:sz="6" w:space="0" w:color="auto"/>
            </w:tcBorders>
          </w:tcPr>
          <w:p w14:paraId="6D347A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января, что может вызвать переделки в исполненной</w:t>
            </w:r>
          </w:p>
        </w:tc>
      </w:tr>
      <w:tr w:rsidR="00DA227A" w:rsidRPr="00E93F40" w14:paraId="4EF88FFF" w14:textId="77777777">
        <w:tc>
          <w:tcPr>
            <w:tcW w:w="939" w:type="dxa"/>
            <w:tcBorders>
              <w:top w:val="single" w:sz="6" w:space="0" w:color="auto"/>
              <w:left w:val="single" w:sz="6" w:space="0" w:color="auto"/>
              <w:bottom w:val="single" w:sz="6" w:space="0" w:color="auto"/>
              <w:right w:val="single" w:sz="6" w:space="0" w:color="auto"/>
            </w:tcBorders>
          </w:tcPr>
          <w:p w14:paraId="66738D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FB96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DB7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14D6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7943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1850 кг, 5</w:t>
            </w:r>
          </w:p>
        </w:tc>
        <w:tc>
          <w:tcPr>
            <w:tcW w:w="939" w:type="dxa"/>
            <w:tcBorders>
              <w:top w:val="single" w:sz="6" w:space="0" w:color="auto"/>
              <w:left w:val="single" w:sz="6" w:space="0" w:color="auto"/>
              <w:bottom w:val="single" w:sz="6" w:space="0" w:color="auto"/>
              <w:right w:val="single" w:sz="6" w:space="0" w:color="auto"/>
            </w:tcBorders>
          </w:tcPr>
          <w:p w14:paraId="162D23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 км</w:t>
            </w:r>
          </w:p>
        </w:tc>
        <w:tc>
          <w:tcPr>
            <w:tcW w:w="939" w:type="dxa"/>
            <w:tcBorders>
              <w:top w:val="single" w:sz="6" w:space="0" w:color="auto"/>
              <w:left w:val="single" w:sz="6" w:space="0" w:color="auto"/>
              <w:bottom w:val="single" w:sz="6" w:space="0" w:color="auto"/>
              <w:right w:val="single" w:sz="6" w:space="0" w:color="auto"/>
            </w:tcBorders>
          </w:tcPr>
          <w:p w14:paraId="5CA71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пост.</w:t>
            </w:r>
          </w:p>
        </w:tc>
        <w:tc>
          <w:tcPr>
            <w:tcW w:w="4025" w:type="dxa"/>
            <w:tcBorders>
              <w:top w:val="single" w:sz="6" w:space="0" w:color="auto"/>
              <w:left w:val="single" w:sz="6" w:space="0" w:color="auto"/>
              <w:bottom w:val="single" w:sz="6" w:space="0" w:color="auto"/>
              <w:right w:val="single" w:sz="6" w:space="0" w:color="auto"/>
            </w:tcBorders>
          </w:tcPr>
          <w:p w14:paraId="11F715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работе. Заданные летно-тактические данные ЦАГИ</w:t>
            </w:r>
          </w:p>
        </w:tc>
      </w:tr>
      <w:tr w:rsidR="00DA227A" w:rsidRPr="00E93F40" w14:paraId="5D434546" w14:textId="77777777">
        <w:tc>
          <w:tcPr>
            <w:tcW w:w="939" w:type="dxa"/>
            <w:tcBorders>
              <w:top w:val="single" w:sz="6" w:space="0" w:color="auto"/>
              <w:left w:val="single" w:sz="6" w:space="0" w:color="auto"/>
              <w:bottom w:val="single" w:sz="6" w:space="0" w:color="auto"/>
              <w:right w:val="single" w:sz="6" w:space="0" w:color="auto"/>
            </w:tcBorders>
          </w:tcPr>
          <w:p w14:paraId="30B91A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4808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806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115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0CB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огнев. точек</w:t>
            </w:r>
          </w:p>
        </w:tc>
        <w:tc>
          <w:tcPr>
            <w:tcW w:w="939" w:type="dxa"/>
            <w:tcBorders>
              <w:top w:val="single" w:sz="6" w:space="0" w:color="auto"/>
              <w:left w:val="single" w:sz="6" w:space="0" w:color="auto"/>
              <w:bottom w:val="single" w:sz="6" w:space="0" w:color="auto"/>
              <w:right w:val="single" w:sz="6" w:space="0" w:color="auto"/>
            </w:tcBorders>
          </w:tcPr>
          <w:p w14:paraId="6ABF4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668F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w:t>
            </w:r>
          </w:p>
        </w:tc>
        <w:tc>
          <w:tcPr>
            <w:tcW w:w="4025" w:type="dxa"/>
            <w:tcBorders>
              <w:top w:val="single" w:sz="6" w:space="0" w:color="auto"/>
              <w:left w:val="single" w:sz="6" w:space="0" w:color="auto"/>
              <w:bottom w:val="single" w:sz="6" w:space="0" w:color="auto"/>
              <w:right w:val="single" w:sz="6" w:space="0" w:color="auto"/>
            </w:tcBorders>
          </w:tcPr>
          <w:p w14:paraId="219146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6 моторах с редуктором и наддувом предполаг.</w:t>
            </w:r>
          </w:p>
        </w:tc>
      </w:tr>
      <w:tr w:rsidR="00DA227A" w:rsidRPr="00E93F40" w14:paraId="6481A027" w14:textId="77777777">
        <w:tc>
          <w:tcPr>
            <w:tcW w:w="939" w:type="dxa"/>
            <w:tcBorders>
              <w:top w:val="single" w:sz="6" w:space="0" w:color="auto"/>
              <w:left w:val="single" w:sz="6" w:space="0" w:color="auto"/>
              <w:bottom w:val="single" w:sz="6" w:space="0" w:color="auto"/>
              <w:right w:val="single" w:sz="6" w:space="0" w:color="auto"/>
            </w:tcBorders>
          </w:tcPr>
          <w:p w14:paraId="78C58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3D42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349D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827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CA8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 бомб</w:t>
            </w:r>
          </w:p>
        </w:tc>
        <w:tc>
          <w:tcPr>
            <w:tcW w:w="939" w:type="dxa"/>
            <w:tcBorders>
              <w:top w:val="single" w:sz="6" w:space="0" w:color="auto"/>
              <w:left w:val="single" w:sz="6" w:space="0" w:color="auto"/>
              <w:bottom w:val="single" w:sz="6" w:space="0" w:color="auto"/>
              <w:right w:val="single" w:sz="6" w:space="0" w:color="auto"/>
            </w:tcBorders>
          </w:tcPr>
          <w:p w14:paraId="3D63D3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82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12.33</w:t>
            </w:r>
          </w:p>
        </w:tc>
        <w:tc>
          <w:tcPr>
            <w:tcW w:w="4025" w:type="dxa"/>
            <w:tcBorders>
              <w:top w:val="single" w:sz="6" w:space="0" w:color="auto"/>
              <w:left w:val="single" w:sz="6" w:space="0" w:color="auto"/>
              <w:bottom w:val="single" w:sz="6" w:space="0" w:color="auto"/>
              <w:right w:val="single" w:sz="6" w:space="0" w:color="auto"/>
            </w:tcBorders>
          </w:tcPr>
          <w:p w14:paraId="4F6804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перевыполнить с нагрузкой 2400 кг вместо заданной</w:t>
            </w:r>
          </w:p>
        </w:tc>
      </w:tr>
      <w:tr w:rsidR="00DA227A" w:rsidRPr="00E93F40" w14:paraId="0F963E26" w14:textId="77777777">
        <w:tc>
          <w:tcPr>
            <w:tcW w:w="939" w:type="dxa"/>
            <w:tcBorders>
              <w:top w:val="single" w:sz="6" w:space="0" w:color="auto"/>
              <w:left w:val="single" w:sz="6" w:space="0" w:color="auto"/>
              <w:bottom w:val="single" w:sz="6" w:space="0" w:color="auto"/>
              <w:right w:val="single" w:sz="6" w:space="0" w:color="auto"/>
            </w:tcBorders>
          </w:tcPr>
          <w:p w14:paraId="5BE9E9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AE1F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0B6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C3F5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9EE2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емк. 2,5 т</w:t>
            </w:r>
          </w:p>
        </w:tc>
        <w:tc>
          <w:tcPr>
            <w:tcW w:w="939" w:type="dxa"/>
            <w:tcBorders>
              <w:top w:val="single" w:sz="6" w:space="0" w:color="auto"/>
              <w:left w:val="single" w:sz="6" w:space="0" w:color="auto"/>
              <w:bottom w:val="single" w:sz="6" w:space="0" w:color="auto"/>
              <w:right w:val="single" w:sz="6" w:space="0" w:color="auto"/>
            </w:tcBorders>
          </w:tcPr>
          <w:p w14:paraId="6F70A6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31A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1772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нагрузки 1850 кг. Получается тоннаж с-та 24 т</w:t>
            </w:r>
          </w:p>
        </w:tc>
      </w:tr>
      <w:tr w:rsidR="00DA227A" w:rsidRPr="00E93F40" w14:paraId="7E6ACA72" w14:textId="77777777">
        <w:tc>
          <w:tcPr>
            <w:tcW w:w="939" w:type="dxa"/>
            <w:tcBorders>
              <w:top w:val="single" w:sz="6" w:space="0" w:color="auto"/>
              <w:left w:val="single" w:sz="6" w:space="0" w:color="auto"/>
              <w:bottom w:val="single" w:sz="6" w:space="0" w:color="auto"/>
              <w:right w:val="single" w:sz="6" w:space="0" w:color="auto"/>
            </w:tcBorders>
          </w:tcPr>
          <w:p w14:paraId="11DAE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72C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488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96A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A947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39D5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B4C7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257D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вмсето 18 т при 6 моторах вместо 4-х, установлен.</w:t>
            </w:r>
          </w:p>
        </w:tc>
      </w:tr>
      <w:tr w:rsidR="00DA227A" w:rsidRPr="00E93F40" w14:paraId="4ADFB325" w14:textId="77777777">
        <w:tc>
          <w:tcPr>
            <w:tcW w:w="939" w:type="dxa"/>
            <w:tcBorders>
              <w:top w:val="single" w:sz="6" w:space="0" w:color="auto"/>
              <w:left w:val="single" w:sz="6" w:space="0" w:color="auto"/>
              <w:bottom w:val="single" w:sz="6" w:space="0" w:color="auto"/>
              <w:right w:val="single" w:sz="6" w:space="0" w:color="auto"/>
            </w:tcBorders>
          </w:tcPr>
          <w:p w14:paraId="61E56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D20C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2A02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BFE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0C33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1118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E2F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6A8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прежними летно-тактическими требованиями.</w:t>
            </w:r>
          </w:p>
        </w:tc>
      </w:tr>
      <w:tr w:rsidR="00DA227A" w:rsidRPr="00E93F40" w14:paraId="47D6CC9E" w14:textId="77777777">
        <w:tc>
          <w:tcPr>
            <w:tcW w:w="939" w:type="dxa"/>
            <w:tcBorders>
              <w:top w:val="single" w:sz="6" w:space="0" w:color="auto"/>
              <w:left w:val="single" w:sz="6" w:space="0" w:color="auto"/>
              <w:bottom w:val="single" w:sz="6" w:space="0" w:color="auto"/>
              <w:right w:val="single" w:sz="6" w:space="0" w:color="auto"/>
            </w:tcBorders>
          </w:tcPr>
          <w:p w14:paraId="02E87A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B99E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108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302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5A83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8681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1127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624A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1. Решить вопрос тоннажа с-та, котор.</w:t>
            </w:r>
          </w:p>
        </w:tc>
      </w:tr>
      <w:tr w:rsidR="00DA227A" w:rsidRPr="00E93F40" w14:paraId="74189E20" w14:textId="77777777">
        <w:tc>
          <w:tcPr>
            <w:tcW w:w="939" w:type="dxa"/>
            <w:tcBorders>
              <w:top w:val="single" w:sz="6" w:space="0" w:color="auto"/>
              <w:left w:val="single" w:sz="6" w:space="0" w:color="auto"/>
              <w:bottom w:val="single" w:sz="6" w:space="0" w:color="auto"/>
              <w:right w:val="single" w:sz="6" w:space="0" w:color="auto"/>
            </w:tcBorders>
          </w:tcPr>
          <w:p w14:paraId="167495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9084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46D1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0CE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7EA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6703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02C0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0966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явно преувеличен за счет веса конструкции и</w:t>
            </w:r>
          </w:p>
        </w:tc>
      </w:tr>
      <w:tr w:rsidR="00DA227A" w:rsidRPr="00E93F40" w14:paraId="0A443936" w14:textId="77777777">
        <w:tc>
          <w:tcPr>
            <w:tcW w:w="939" w:type="dxa"/>
            <w:tcBorders>
              <w:top w:val="single" w:sz="6" w:space="0" w:color="auto"/>
              <w:left w:val="single" w:sz="6" w:space="0" w:color="auto"/>
              <w:bottom w:val="single" w:sz="6" w:space="0" w:color="auto"/>
              <w:right w:val="single" w:sz="6" w:space="0" w:color="auto"/>
            </w:tcBorders>
          </w:tcPr>
          <w:p w14:paraId="6F773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7FFB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D3A6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B38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7B0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B64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F2C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C1B4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предлагаемого ЦАГИ увеличения полезной нагрузки.</w:t>
            </w:r>
          </w:p>
        </w:tc>
      </w:tr>
      <w:tr w:rsidR="00DA227A" w:rsidRPr="00E93F40" w14:paraId="613C6794" w14:textId="77777777">
        <w:tc>
          <w:tcPr>
            <w:tcW w:w="939" w:type="dxa"/>
            <w:tcBorders>
              <w:top w:val="single" w:sz="6" w:space="0" w:color="auto"/>
              <w:left w:val="single" w:sz="6" w:space="0" w:color="auto"/>
              <w:bottom w:val="single" w:sz="6" w:space="0" w:color="auto"/>
              <w:right w:val="single" w:sz="6" w:space="0" w:color="auto"/>
            </w:tcBorders>
          </w:tcPr>
          <w:p w14:paraId="765385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37C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20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6F3A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303D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6F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5DF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DD360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Добиться соблюдения срока 1.12.32 предъявления</w:t>
            </w:r>
          </w:p>
        </w:tc>
      </w:tr>
      <w:tr w:rsidR="00DA227A" w:rsidRPr="00E93F40" w14:paraId="11282A95" w14:textId="77777777">
        <w:tc>
          <w:tcPr>
            <w:tcW w:w="939" w:type="dxa"/>
            <w:tcBorders>
              <w:top w:val="single" w:sz="6" w:space="0" w:color="auto"/>
              <w:left w:val="single" w:sz="6" w:space="0" w:color="auto"/>
              <w:bottom w:val="single" w:sz="6" w:space="0" w:color="auto"/>
              <w:right w:val="single" w:sz="6" w:space="0" w:color="auto"/>
            </w:tcBorders>
          </w:tcPr>
          <w:p w14:paraId="655E96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B7B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2AD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34B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7F8F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BAB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2C3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53C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 3. Рассмотреть макет.</w:t>
            </w:r>
          </w:p>
        </w:tc>
      </w:tr>
      <w:tr w:rsidR="00DA227A" w:rsidRPr="00E93F40" w14:paraId="444037A0" w14:textId="77777777">
        <w:tc>
          <w:tcPr>
            <w:tcW w:w="939" w:type="dxa"/>
            <w:tcBorders>
              <w:top w:val="single" w:sz="6" w:space="0" w:color="auto"/>
              <w:left w:val="single" w:sz="6" w:space="0" w:color="auto"/>
              <w:bottom w:val="single" w:sz="6" w:space="0" w:color="auto"/>
              <w:right w:val="single" w:sz="6" w:space="0" w:color="auto"/>
            </w:tcBorders>
          </w:tcPr>
          <w:p w14:paraId="4CF64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МБР5 амфибия</w:t>
            </w:r>
          </w:p>
        </w:tc>
        <w:tc>
          <w:tcPr>
            <w:tcW w:w="939" w:type="dxa"/>
            <w:tcBorders>
              <w:top w:val="single" w:sz="6" w:space="0" w:color="auto"/>
              <w:left w:val="single" w:sz="6" w:space="0" w:color="auto"/>
              <w:bottom w:val="single" w:sz="6" w:space="0" w:color="auto"/>
              <w:right w:val="single" w:sz="6" w:space="0" w:color="auto"/>
            </w:tcBorders>
          </w:tcPr>
          <w:p w14:paraId="1EBA99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77964D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C2AB6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939" w:type="dxa"/>
            <w:tcBorders>
              <w:top w:val="single" w:sz="6" w:space="0" w:color="auto"/>
              <w:left w:val="single" w:sz="6" w:space="0" w:color="auto"/>
              <w:bottom w:val="single" w:sz="6" w:space="0" w:color="auto"/>
              <w:right w:val="single" w:sz="6" w:space="0" w:color="auto"/>
            </w:tcBorders>
          </w:tcPr>
          <w:p w14:paraId="6DADE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и тяж.</w:t>
            </w:r>
          </w:p>
        </w:tc>
        <w:tc>
          <w:tcPr>
            <w:tcW w:w="939" w:type="dxa"/>
            <w:tcBorders>
              <w:top w:val="single" w:sz="6" w:space="0" w:color="auto"/>
              <w:left w:val="single" w:sz="6" w:space="0" w:color="auto"/>
              <w:bottom w:val="single" w:sz="6" w:space="0" w:color="auto"/>
              <w:right w:val="single" w:sz="6" w:space="0" w:color="auto"/>
            </w:tcBorders>
          </w:tcPr>
          <w:p w14:paraId="443533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при</w:t>
            </w:r>
          </w:p>
        </w:tc>
        <w:tc>
          <w:tcPr>
            <w:tcW w:w="939" w:type="dxa"/>
            <w:tcBorders>
              <w:top w:val="single" w:sz="6" w:space="0" w:color="auto"/>
              <w:left w:val="single" w:sz="6" w:space="0" w:color="auto"/>
              <w:bottom w:val="single" w:sz="6" w:space="0" w:color="auto"/>
              <w:right w:val="single" w:sz="6" w:space="0" w:color="auto"/>
            </w:tcBorders>
          </w:tcPr>
          <w:p w14:paraId="48051E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1.08.33</w:t>
            </w:r>
          </w:p>
        </w:tc>
        <w:tc>
          <w:tcPr>
            <w:tcW w:w="4025" w:type="dxa"/>
            <w:tcBorders>
              <w:top w:val="single" w:sz="6" w:space="0" w:color="auto"/>
              <w:left w:val="single" w:sz="6" w:space="0" w:color="auto"/>
              <w:bottom w:val="single" w:sz="6" w:space="0" w:color="auto"/>
              <w:right w:val="single" w:sz="6" w:space="0" w:color="auto"/>
            </w:tcBorders>
          </w:tcPr>
          <w:p w14:paraId="07759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Указанный планом 4.07.32 исполнитель ГУГВФ </w:t>
            </w:r>
          </w:p>
        </w:tc>
      </w:tr>
      <w:tr w:rsidR="00DA227A" w:rsidRPr="00E93F40" w14:paraId="01D27639" w14:textId="77777777">
        <w:tc>
          <w:tcPr>
            <w:tcW w:w="939" w:type="dxa"/>
            <w:tcBorders>
              <w:top w:val="single" w:sz="6" w:space="0" w:color="auto"/>
              <w:left w:val="single" w:sz="6" w:space="0" w:color="auto"/>
              <w:bottom w:val="single" w:sz="6" w:space="0" w:color="auto"/>
              <w:right w:val="single" w:sz="6" w:space="0" w:color="auto"/>
            </w:tcBorders>
          </w:tcPr>
          <w:p w14:paraId="6EA2CF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F90A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1E79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21A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522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886F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w:t>
            </w:r>
          </w:p>
        </w:tc>
        <w:tc>
          <w:tcPr>
            <w:tcW w:w="939" w:type="dxa"/>
            <w:tcBorders>
              <w:top w:val="single" w:sz="6" w:space="0" w:color="auto"/>
              <w:left w:val="single" w:sz="6" w:space="0" w:color="auto"/>
              <w:bottom w:val="single" w:sz="6" w:space="0" w:color="auto"/>
              <w:right w:val="single" w:sz="6" w:space="0" w:color="auto"/>
            </w:tcBorders>
          </w:tcPr>
          <w:p w14:paraId="0D8F9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88BA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уклоняется от исполнения решения КО, мотивируя</w:t>
            </w:r>
          </w:p>
        </w:tc>
      </w:tr>
      <w:tr w:rsidR="00DA227A" w:rsidRPr="00E93F40" w14:paraId="6551FBE2" w14:textId="77777777">
        <w:tc>
          <w:tcPr>
            <w:tcW w:w="939" w:type="dxa"/>
            <w:tcBorders>
              <w:top w:val="single" w:sz="6" w:space="0" w:color="auto"/>
              <w:left w:val="single" w:sz="6" w:space="0" w:color="auto"/>
              <w:bottom w:val="single" w:sz="6" w:space="0" w:color="auto"/>
              <w:right w:val="single" w:sz="6" w:space="0" w:color="auto"/>
            </w:tcBorders>
          </w:tcPr>
          <w:p w14:paraId="020E2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C078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E3C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9EA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A57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C802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939" w:type="dxa"/>
            <w:tcBorders>
              <w:top w:val="single" w:sz="6" w:space="0" w:color="auto"/>
              <w:left w:val="single" w:sz="6" w:space="0" w:color="auto"/>
              <w:bottom w:val="single" w:sz="6" w:space="0" w:color="auto"/>
              <w:right w:val="single" w:sz="6" w:space="0" w:color="auto"/>
            </w:tcBorders>
          </w:tcPr>
          <w:p w14:paraId="1D0A55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091D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отказ слабостью производственной базы и отсутств.</w:t>
            </w:r>
          </w:p>
        </w:tc>
      </w:tr>
      <w:tr w:rsidR="00DA227A" w:rsidRPr="00E93F40" w14:paraId="461CF05D" w14:textId="77777777">
        <w:tc>
          <w:tcPr>
            <w:tcW w:w="939" w:type="dxa"/>
            <w:tcBorders>
              <w:top w:val="single" w:sz="6" w:space="0" w:color="auto"/>
              <w:left w:val="single" w:sz="6" w:space="0" w:color="auto"/>
              <w:bottom w:val="single" w:sz="6" w:space="0" w:color="auto"/>
              <w:right w:val="single" w:sz="6" w:space="0" w:color="auto"/>
            </w:tcBorders>
          </w:tcPr>
          <w:p w14:paraId="15390A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502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A73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5936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81B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625C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916E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855F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финансов, хотя гражданские с-ты в свой план опытн.</w:t>
            </w:r>
          </w:p>
        </w:tc>
      </w:tr>
      <w:tr w:rsidR="00DA227A" w:rsidRPr="00E93F40" w14:paraId="5C00E84A" w14:textId="77777777">
        <w:tc>
          <w:tcPr>
            <w:tcW w:w="939" w:type="dxa"/>
            <w:tcBorders>
              <w:top w:val="single" w:sz="6" w:space="0" w:color="auto"/>
              <w:left w:val="single" w:sz="6" w:space="0" w:color="auto"/>
              <w:bottom w:val="single" w:sz="6" w:space="0" w:color="auto"/>
              <w:right w:val="single" w:sz="6" w:space="0" w:color="auto"/>
            </w:tcBorders>
          </w:tcPr>
          <w:p w14:paraId="5F3DF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283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5C8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972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84D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FA19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B95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B44DD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самолетостроения ставит. База для постройки у</w:t>
            </w:r>
          </w:p>
        </w:tc>
      </w:tr>
      <w:tr w:rsidR="00DA227A" w:rsidRPr="00E93F40" w14:paraId="7BECD165" w14:textId="77777777">
        <w:tc>
          <w:tcPr>
            <w:tcW w:w="939" w:type="dxa"/>
            <w:tcBorders>
              <w:top w:val="single" w:sz="6" w:space="0" w:color="auto"/>
              <w:left w:val="single" w:sz="6" w:space="0" w:color="auto"/>
              <w:bottom w:val="single" w:sz="6" w:space="0" w:color="auto"/>
              <w:right w:val="single" w:sz="6" w:space="0" w:color="auto"/>
            </w:tcBorders>
          </w:tcPr>
          <w:p w14:paraId="29DC3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A12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7E7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724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5CD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F1C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BFAD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F794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ГУГВФ имеется в Ленинграде НИАИ (дерево) и в </w:t>
            </w:r>
          </w:p>
        </w:tc>
      </w:tr>
      <w:tr w:rsidR="00DA227A" w:rsidRPr="00E93F40" w14:paraId="2EBA3B54" w14:textId="77777777">
        <w:tc>
          <w:tcPr>
            <w:tcW w:w="939" w:type="dxa"/>
            <w:tcBorders>
              <w:top w:val="single" w:sz="6" w:space="0" w:color="auto"/>
              <w:left w:val="single" w:sz="6" w:space="0" w:color="auto"/>
              <w:bottom w:val="single" w:sz="6" w:space="0" w:color="auto"/>
              <w:right w:val="single" w:sz="6" w:space="0" w:color="auto"/>
            </w:tcBorders>
          </w:tcPr>
          <w:p w14:paraId="472A0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BD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A5C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60AD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FE7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B058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85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357EA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Москве НИИ ГУГВФ (сталь). Др. организации: БНК</w:t>
            </w:r>
          </w:p>
        </w:tc>
      </w:tr>
      <w:tr w:rsidR="00DA227A" w:rsidRPr="00E93F40" w14:paraId="507071B6" w14:textId="77777777">
        <w:tc>
          <w:tcPr>
            <w:tcW w:w="939" w:type="dxa"/>
            <w:tcBorders>
              <w:top w:val="single" w:sz="6" w:space="0" w:color="auto"/>
              <w:left w:val="single" w:sz="6" w:space="0" w:color="auto"/>
              <w:bottom w:val="single" w:sz="6" w:space="0" w:color="auto"/>
              <w:right w:val="single" w:sz="6" w:space="0" w:color="auto"/>
            </w:tcBorders>
          </w:tcPr>
          <w:p w14:paraId="3982DA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F64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202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5DC2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F241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B5AE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B8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5712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ГУАП"а и ЦАГИ, разобрав техтребования ВВС от</w:t>
            </w:r>
          </w:p>
        </w:tc>
      </w:tr>
      <w:tr w:rsidR="00DA227A" w:rsidRPr="00E93F40" w14:paraId="0C7FEE0E" w14:textId="77777777">
        <w:tc>
          <w:tcPr>
            <w:tcW w:w="939" w:type="dxa"/>
            <w:tcBorders>
              <w:top w:val="single" w:sz="6" w:space="0" w:color="auto"/>
              <w:left w:val="single" w:sz="6" w:space="0" w:color="auto"/>
              <w:bottom w:val="single" w:sz="6" w:space="0" w:color="auto"/>
              <w:right w:val="single" w:sz="6" w:space="0" w:color="auto"/>
            </w:tcBorders>
          </w:tcPr>
          <w:p w14:paraId="04C742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619E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105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C3A0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E0C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01C0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377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747E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принятия задания отказываются (от БНК окончат.</w:t>
            </w:r>
          </w:p>
        </w:tc>
      </w:tr>
      <w:tr w:rsidR="00DA227A" w:rsidRPr="00E93F40" w14:paraId="68C0E201" w14:textId="77777777">
        <w:tc>
          <w:tcPr>
            <w:tcW w:w="939" w:type="dxa"/>
            <w:tcBorders>
              <w:top w:val="single" w:sz="6" w:space="0" w:color="auto"/>
              <w:left w:val="single" w:sz="6" w:space="0" w:color="auto"/>
              <w:bottom w:val="single" w:sz="6" w:space="0" w:color="auto"/>
              <w:right w:val="single" w:sz="6" w:space="0" w:color="auto"/>
            </w:tcBorders>
          </w:tcPr>
          <w:p w14:paraId="22DC3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C798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434B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A29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AC38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EEE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95AA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FBAB5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 еще не получен). Срок исполнения основн.</w:t>
            </w:r>
          </w:p>
        </w:tc>
      </w:tr>
      <w:tr w:rsidR="00DA227A" w:rsidRPr="00E93F40" w14:paraId="06BBEB60" w14:textId="77777777">
        <w:tc>
          <w:tcPr>
            <w:tcW w:w="939" w:type="dxa"/>
            <w:tcBorders>
              <w:top w:val="single" w:sz="6" w:space="0" w:color="auto"/>
              <w:left w:val="single" w:sz="6" w:space="0" w:color="auto"/>
              <w:bottom w:val="single" w:sz="6" w:space="0" w:color="auto"/>
              <w:right w:val="single" w:sz="6" w:space="0" w:color="auto"/>
            </w:tcBorders>
          </w:tcPr>
          <w:p w14:paraId="4AAB2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F8ED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BA67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2992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E6FD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9C4F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96FE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BC4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типа вооружения амфибии ГУГВФ срывается. </w:t>
            </w:r>
          </w:p>
        </w:tc>
      </w:tr>
      <w:tr w:rsidR="00DA227A" w:rsidRPr="00E93F40" w14:paraId="2B8E0C09" w14:textId="77777777">
        <w:tc>
          <w:tcPr>
            <w:tcW w:w="939" w:type="dxa"/>
            <w:tcBorders>
              <w:top w:val="single" w:sz="6" w:space="0" w:color="auto"/>
              <w:left w:val="single" w:sz="6" w:space="0" w:color="auto"/>
              <w:bottom w:val="single" w:sz="6" w:space="0" w:color="auto"/>
              <w:right w:val="single" w:sz="6" w:space="0" w:color="auto"/>
            </w:tcBorders>
          </w:tcPr>
          <w:p w14:paraId="724179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E96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3D8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EA3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945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2D6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BBB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88E70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1. Под персональн. ответственность</w:t>
            </w:r>
          </w:p>
        </w:tc>
      </w:tr>
      <w:tr w:rsidR="00DA227A" w:rsidRPr="00E93F40" w14:paraId="3F4B6680" w14:textId="77777777">
        <w:tc>
          <w:tcPr>
            <w:tcW w:w="939" w:type="dxa"/>
            <w:tcBorders>
              <w:top w:val="single" w:sz="6" w:space="0" w:color="auto"/>
              <w:left w:val="single" w:sz="6" w:space="0" w:color="auto"/>
              <w:bottom w:val="single" w:sz="6" w:space="0" w:color="auto"/>
              <w:right w:val="single" w:sz="6" w:space="0" w:color="auto"/>
            </w:tcBorders>
          </w:tcPr>
          <w:p w14:paraId="03707F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C4F2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9DA7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2A8B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3888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CED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366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E2B54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руководителей ГУГВФ обязать исполнением задания.</w:t>
            </w:r>
          </w:p>
        </w:tc>
      </w:tr>
      <w:tr w:rsidR="00DA227A" w:rsidRPr="00E93F40" w14:paraId="0AA5664C" w14:textId="77777777">
        <w:tc>
          <w:tcPr>
            <w:tcW w:w="939" w:type="dxa"/>
            <w:tcBorders>
              <w:top w:val="single" w:sz="6" w:space="0" w:color="auto"/>
              <w:left w:val="single" w:sz="6" w:space="0" w:color="auto"/>
              <w:bottom w:val="single" w:sz="6" w:space="0" w:color="auto"/>
              <w:right w:val="single" w:sz="6" w:space="0" w:color="auto"/>
            </w:tcBorders>
          </w:tcPr>
          <w:p w14:paraId="4AA81B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25D1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CFCB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B2B0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2164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1341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C9D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5360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Пересмотреть план ГУГВФ по его опытным с-там.</w:t>
            </w:r>
          </w:p>
        </w:tc>
      </w:tr>
      <w:tr w:rsidR="00DA227A" w:rsidRPr="00E93F40" w14:paraId="01AA3442" w14:textId="77777777">
        <w:tc>
          <w:tcPr>
            <w:tcW w:w="939" w:type="dxa"/>
            <w:tcBorders>
              <w:top w:val="single" w:sz="6" w:space="0" w:color="auto"/>
              <w:left w:val="single" w:sz="6" w:space="0" w:color="auto"/>
              <w:bottom w:val="single" w:sz="6" w:space="0" w:color="auto"/>
              <w:right w:val="single" w:sz="6" w:space="0" w:color="auto"/>
            </w:tcBorders>
          </w:tcPr>
          <w:p w14:paraId="06522B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Экспериментальные самолеты и модификации из сухопутных.</w:t>
            </w:r>
          </w:p>
        </w:tc>
        <w:tc>
          <w:tcPr>
            <w:tcW w:w="939" w:type="dxa"/>
            <w:tcBorders>
              <w:top w:val="single" w:sz="6" w:space="0" w:color="auto"/>
              <w:left w:val="single" w:sz="6" w:space="0" w:color="auto"/>
              <w:bottom w:val="single" w:sz="6" w:space="0" w:color="auto"/>
              <w:right w:val="single" w:sz="6" w:space="0" w:color="auto"/>
            </w:tcBorders>
          </w:tcPr>
          <w:p w14:paraId="194E64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666A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088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F494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F67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3FBD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C6109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B24D7B" w14:textId="77777777">
        <w:tc>
          <w:tcPr>
            <w:tcW w:w="939" w:type="dxa"/>
            <w:tcBorders>
              <w:top w:val="single" w:sz="6" w:space="0" w:color="auto"/>
              <w:left w:val="single" w:sz="6" w:space="0" w:color="auto"/>
              <w:bottom w:val="single" w:sz="6" w:space="0" w:color="auto"/>
              <w:right w:val="single" w:sz="6" w:space="0" w:color="auto"/>
            </w:tcBorders>
          </w:tcPr>
          <w:p w14:paraId="79A37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МДР2-2М17</w:t>
            </w:r>
          </w:p>
        </w:tc>
        <w:tc>
          <w:tcPr>
            <w:tcW w:w="939" w:type="dxa"/>
            <w:tcBorders>
              <w:top w:val="single" w:sz="6" w:space="0" w:color="auto"/>
              <w:left w:val="single" w:sz="6" w:space="0" w:color="auto"/>
              <w:bottom w:val="single" w:sz="6" w:space="0" w:color="auto"/>
              <w:right w:val="single" w:sz="6" w:space="0" w:color="auto"/>
            </w:tcBorders>
          </w:tcPr>
          <w:p w14:paraId="0EEC4C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178/2000</w:t>
            </w:r>
          </w:p>
        </w:tc>
        <w:tc>
          <w:tcPr>
            <w:tcW w:w="939" w:type="dxa"/>
            <w:tcBorders>
              <w:top w:val="single" w:sz="6" w:space="0" w:color="auto"/>
              <w:left w:val="single" w:sz="6" w:space="0" w:color="auto"/>
              <w:bottom w:val="single" w:sz="6" w:space="0" w:color="auto"/>
              <w:right w:val="single" w:sz="6" w:space="0" w:color="auto"/>
            </w:tcBorders>
          </w:tcPr>
          <w:p w14:paraId="1A402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39,5/</w:t>
            </w:r>
          </w:p>
        </w:tc>
        <w:tc>
          <w:tcPr>
            <w:tcW w:w="939" w:type="dxa"/>
            <w:tcBorders>
              <w:top w:val="single" w:sz="6" w:space="0" w:color="auto"/>
              <w:left w:val="single" w:sz="6" w:space="0" w:color="auto"/>
              <w:bottom w:val="single" w:sz="6" w:space="0" w:color="auto"/>
              <w:right w:val="single" w:sz="6" w:space="0" w:color="auto"/>
            </w:tcBorders>
          </w:tcPr>
          <w:p w14:paraId="29CF51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3300</w:t>
            </w:r>
          </w:p>
        </w:tc>
        <w:tc>
          <w:tcPr>
            <w:tcW w:w="939" w:type="dxa"/>
            <w:tcBorders>
              <w:top w:val="single" w:sz="6" w:space="0" w:color="auto"/>
              <w:left w:val="single" w:sz="6" w:space="0" w:color="auto"/>
              <w:bottom w:val="single" w:sz="6" w:space="0" w:color="auto"/>
              <w:right w:val="single" w:sz="6" w:space="0" w:color="auto"/>
            </w:tcBorders>
          </w:tcPr>
          <w:p w14:paraId="117AC8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пулем.</w:t>
            </w:r>
          </w:p>
        </w:tc>
        <w:tc>
          <w:tcPr>
            <w:tcW w:w="939" w:type="dxa"/>
            <w:tcBorders>
              <w:top w:val="single" w:sz="6" w:space="0" w:color="auto"/>
              <w:left w:val="single" w:sz="6" w:space="0" w:color="auto"/>
              <w:bottom w:val="single" w:sz="6" w:space="0" w:color="auto"/>
              <w:right w:val="single" w:sz="6" w:space="0" w:color="auto"/>
            </w:tcBorders>
          </w:tcPr>
          <w:p w14:paraId="2E756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c>
          <w:tcPr>
            <w:tcW w:w="939" w:type="dxa"/>
            <w:tcBorders>
              <w:top w:val="single" w:sz="6" w:space="0" w:color="auto"/>
              <w:left w:val="single" w:sz="6" w:space="0" w:color="auto"/>
              <w:bottom w:val="single" w:sz="6" w:space="0" w:color="auto"/>
              <w:right w:val="single" w:sz="6" w:space="0" w:color="auto"/>
            </w:tcBorders>
          </w:tcPr>
          <w:p w14:paraId="68AA7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1.11.30</w:t>
            </w:r>
          </w:p>
        </w:tc>
        <w:tc>
          <w:tcPr>
            <w:tcW w:w="4025" w:type="dxa"/>
            <w:tcBorders>
              <w:top w:val="single" w:sz="6" w:space="0" w:color="auto"/>
              <w:left w:val="single" w:sz="6" w:space="0" w:color="auto"/>
              <w:bottom w:val="single" w:sz="6" w:space="0" w:color="auto"/>
              <w:right w:val="single" w:sz="6" w:space="0" w:color="auto"/>
            </w:tcBorders>
          </w:tcPr>
          <w:p w14:paraId="6DC4F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серийной постройке не принят. Опытный экз.,</w:t>
            </w:r>
          </w:p>
        </w:tc>
      </w:tr>
      <w:tr w:rsidR="00DA227A" w:rsidRPr="00E93F40" w14:paraId="3EC88AFE" w14:textId="77777777">
        <w:tc>
          <w:tcPr>
            <w:tcW w:w="939" w:type="dxa"/>
            <w:tcBorders>
              <w:top w:val="single" w:sz="6" w:space="0" w:color="auto"/>
              <w:left w:val="single" w:sz="6" w:space="0" w:color="auto"/>
              <w:bottom w:val="single" w:sz="6" w:space="0" w:color="auto"/>
              <w:right w:val="single" w:sz="6" w:space="0" w:color="auto"/>
            </w:tcBorders>
          </w:tcPr>
          <w:p w14:paraId="4E534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F6F8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A7AB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7A8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939" w:type="dxa"/>
            <w:tcBorders>
              <w:top w:val="single" w:sz="6" w:space="0" w:color="auto"/>
              <w:left w:val="single" w:sz="6" w:space="0" w:color="auto"/>
              <w:bottom w:val="single" w:sz="6" w:space="0" w:color="auto"/>
              <w:right w:val="single" w:sz="6" w:space="0" w:color="auto"/>
            </w:tcBorders>
          </w:tcPr>
          <w:p w14:paraId="42334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огнев.</w:t>
            </w:r>
          </w:p>
        </w:tc>
        <w:tc>
          <w:tcPr>
            <w:tcW w:w="939" w:type="dxa"/>
            <w:tcBorders>
              <w:top w:val="single" w:sz="6" w:space="0" w:color="auto"/>
              <w:left w:val="single" w:sz="6" w:space="0" w:color="auto"/>
              <w:bottom w:val="single" w:sz="6" w:space="0" w:color="auto"/>
              <w:right w:val="single" w:sz="6" w:space="0" w:color="auto"/>
            </w:tcBorders>
          </w:tcPr>
          <w:p w14:paraId="437943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3115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C0EC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проходивший в ЦАГИ испытания по исследовательс.</w:t>
            </w:r>
          </w:p>
        </w:tc>
      </w:tr>
      <w:tr w:rsidR="00DA227A" w:rsidRPr="00E93F40" w14:paraId="41ACFE78" w14:textId="77777777">
        <w:tc>
          <w:tcPr>
            <w:tcW w:w="939" w:type="dxa"/>
            <w:tcBorders>
              <w:top w:val="single" w:sz="6" w:space="0" w:color="auto"/>
              <w:left w:val="single" w:sz="6" w:space="0" w:color="auto"/>
              <w:bottom w:val="single" w:sz="6" w:space="0" w:color="auto"/>
              <w:right w:val="single" w:sz="6" w:space="0" w:color="auto"/>
            </w:tcBorders>
          </w:tcPr>
          <w:p w14:paraId="2E88FE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88F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941F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798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B98B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точки</w:t>
            </w:r>
          </w:p>
        </w:tc>
        <w:tc>
          <w:tcPr>
            <w:tcW w:w="939" w:type="dxa"/>
            <w:tcBorders>
              <w:top w:val="single" w:sz="6" w:space="0" w:color="auto"/>
              <w:left w:val="single" w:sz="6" w:space="0" w:color="auto"/>
              <w:bottom w:val="single" w:sz="6" w:space="0" w:color="auto"/>
              <w:right w:val="single" w:sz="6" w:space="0" w:color="auto"/>
            </w:tcBorders>
          </w:tcPr>
          <w:p w14:paraId="4D249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F56A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4F7CE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работам из-за небрежного ухода пришел в полную</w:t>
            </w:r>
          </w:p>
        </w:tc>
      </w:tr>
      <w:tr w:rsidR="00DA227A" w:rsidRPr="00E93F40" w14:paraId="4CAE8D0F" w14:textId="77777777">
        <w:tc>
          <w:tcPr>
            <w:tcW w:w="939" w:type="dxa"/>
            <w:tcBorders>
              <w:top w:val="single" w:sz="6" w:space="0" w:color="auto"/>
              <w:left w:val="single" w:sz="6" w:space="0" w:color="auto"/>
              <w:bottom w:val="single" w:sz="6" w:space="0" w:color="auto"/>
              <w:right w:val="single" w:sz="6" w:space="0" w:color="auto"/>
            </w:tcBorders>
          </w:tcPr>
          <w:p w14:paraId="24AB1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0EC5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BEC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A38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DE8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5EA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DEE3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BCEB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негодность. Находится в ремонте на зав. N 45.</w:t>
            </w:r>
          </w:p>
        </w:tc>
      </w:tr>
      <w:tr w:rsidR="00DA227A" w:rsidRPr="00E93F40" w14:paraId="4F437A74" w14:textId="77777777">
        <w:tc>
          <w:tcPr>
            <w:tcW w:w="939" w:type="dxa"/>
            <w:tcBorders>
              <w:top w:val="single" w:sz="6" w:space="0" w:color="auto"/>
              <w:left w:val="single" w:sz="6" w:space="0" w:color="auto"/>
              <w:bottom w:val="single" w:sz="6" w:space="0" w:color="auto"/>
              <w:right w:val="single" w:sz="6" w:space="0" w:color="auto"/>
            </w:tcBorders>
          </w:tcPr>
          <w:p w14:paraId="5F6648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02A2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334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98D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742A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A21E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6C7E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034A8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Поставлено требование возвратить отремонтирован.</w:t>
            </w:r>
          </w:p>
        </w:tc>
      </w:tr>
      <w:tr w:rsidR="00DA227A" w:rsidRPr="00E93F40" w14:paraId="5B09E1C7" w14:textId="77777777">
        <w:tc>
          <w:tcPr>
            <w:tcW w:w="939" w:type="dxa"/>
            <w:tcBorders>
              <w:top w:val="single" w:sz="6" w:space="0" w:color="auto"/>
              <w:left w:val="single" w:sz="6" w:space="0" w:color="auto"/>
              <w:bottom w:val="single" w:sz="6" w:space="0" w:color="auto"/>
              <w:right w:val="single" w:sz="6" w:space="0" w:color="auto"/>
            </w:tcBorders>
          </w:tcPr>
          <w:p w14:paraId="6ABD8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4D7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7E4A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F71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D71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3DFE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613B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2503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экземпляр в ВВС.</w:t>
            </w:r>
          </w:p>
        </w:tc>
      </w:tr>
      <w:tr w:rsidR="00DA227A" w:rsidRPr="00E93F40" w14:paraId="34D6432C" w14:textId="77777777">
        <w:tc>
          <w:tcPr>
            <w:tcW w:w="939" w:type="dxa"/>
            <w:tcBorders>
              <w:top w:val="single" w:sz="6" w:space="0" w:color="auto"/>
              <w:left w:val="single" w:sz="6" w:space="0" w:color="auto"/>
              <w:bottom w:val="single" w:sz="6" w:space="0" w:color="auto"/>
              <w:right w:val="single" w:sz="6" w:space="0" w:color="auto"/>
            </w:tcBorders>
          </w:tcPr>
          <w:p w14:paraId="25276D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 с</w:t>
            </w:r>
          </w:p>
        </w:tc>
        <w:tc>
          <w:tcPr>
            <w:tcW w:w="939" w:type="dxa"/>
            <w:tcBorders>
              <w:top w:val="single" w:sz="6" w:space="0" w:color="auto"/>
              <w:left w:val="single" w:sz="6" w:space="0" w:color="auto"/>
              <w:bottom w:val="single" w:sz="6" w:space="0" w:color="auto"/>
              <w:right w:val="single" w:sz="6" w:space="0" w:color="auto"/>
            </w:tcBorders>
          </w:tcPr>
          <w:p w14:paraId="749CE7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серийной постройки.</w:t>
            </w:r>
          </w:p>
        </w:tc>
        <w:tc>
          <w:tcPr>
            <w:tcW w:w="939" w:type="dxa"/>
            <w:tcBorders>
              <w:top w:val="single" w:sz="6" w:space="0" w:color="auto"/>
              <w:left w:val="single" w:sz="6" w:space="0" w:color="auto"/>
              <w:bottom w:val="single" w:sz="6" w:space="0" w:color="auto"/>
              <w:right w:val="single" w:sz="6" w:space="0" w:color="auto"/>
            </w:tcBorders>
          </w:tcPr>
          <w:p w14:paraId="426FC6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18B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E38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7AF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F955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1.02.32</w:t>
            </w:r>
          </w:p>
        </w:tc>
        <w:tc>
          <w:tcPr>
            <w:tcW w:w="4025" w:type="dxa"/>
            <w:tcBorders>
              <w:top w:val="single" w:sz="6" w:space="0" w:color="auto"/>
              <w:left w:val="single" w:sz="6" w:space="0" w:color="auto"/>
              <w:bottom w:val="single" w:sz="6" w:space="0" w:color="auto"/>
              <w:right w:val="single" w:sz="6" w:space="0" w:color="auto"/>
            </w:tcBorders>
          </w:tcPr>
          <w:p w14:paraId="565C7A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 вр. ГДЛ разработал новый вариант установки</w:t>
            </w:r>
          </w:p>
        </w:tc>
      </w:tr>
      <w:tr w:rsidR="00DA227A" w:rsidRPr="00E93F40" w14:paraId="66DE06BB" w14:textId="77777777">
        <w:tc>
          <w:tcPr>
            <w:tcW w:w="939" w:type="dxa"/>
            <w:tcBorders>
              <w:top w:val="single" w:sz="6" w:space="0" w:color="auto"/>
              <w:left w:val="single" w:sz="6" w:space="0" w:color="auto"/>
              <w:bottom w:val="single" w:sz="6" w:space="0" w:color="auto"/>
              <w:right w:val="single" w:sz="6" w:space="0" w:color="auto"/>
            </w:tcBorders>
          </w:tcPr>
          <w:p w14:paraId="1ADBC1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применением</w:t>
            </w:r>
          </w:p>
        </w:tc>
        <w:tc>
          <w:tcPr>
            <w:tcW w:w="939" w:type="dxa"/>
            <w:tcBorders>
              <w:top w:val="single" w:sz="6" w:space="0" w:color="auto"/>
              <w:left w:val="single" w:sz="6" w:space="0" w:color="auto"/>
              <w:bottom w:val="single" w:sz="6" w:space="0" w:color="auto"/>
              <w:right w:val="single" w:sz="6" w:space="0" w:color="auto"/>
            </w:tcBorders>
          </w:tcPr>
          <w:p w14:paraId="7B9D44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67E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B9C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7E8D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FA7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374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4803E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камер над крылом. С-т находится в ремонте 17 скл., </w:t>
            </w:r>
          </w:p>
        </w:tc>
      </w:tr>
      <w:tr w:rsidR="00DA227A" w:rsidRPr="00E93F40" w14:paraId="2014400D" w14:textId="77777777">
        <w:tc>
          <w:tcPr>
            <w:tcW w:w="939" w:type="dxa"/>
            <w:tcBorders>
              <w:top w:val="single" w:sz="6" w:space="0" w:color="auto"/>
              <w:left w:val="single" w:sz="6" w:space="0" w:color="auto"/>
              <w:bottom w:val="single" w:sz="6" w:space="0" w:color="auto"/>
              <w:right w:val="single" w:sz="6" w:space="0" w:color="auto"/>
            </w:tcBorders>
          </w:tcPr>
          <w:p w14:paraId="6EB53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 для</w:t>
            </w:r>
          </w:p>
        </w:tc>
        <w:tc>
          <w:tcPr>
            <w:tcW w:w="939" w:type="dxa"/>
            <w:tcBorders>
              <w:top w:val="single" w:sz="6" w:space="0" w:color="auto"/>
              <w:left w:val="single" w:sz="6" w:space="0" w:color="auto"/>
              <w:bottom w:val="single" w:sz="6" w:space="0" w:color="auto"/>
              <w:right w:val="single" w:sz="6" w:space="0" w:color="auto"/>
            </w:tcBorders>
          </w:tcPr>
          <w:p w14:paraId="383C38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B43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28F1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C15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A1CA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DBD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4E7E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но к ремонту еще не приступлено. Проведенные </w:t>
            </w:r>
          </w:p>
        </w:tc>
      </w:tr>
      <w:tr w:rsidR="00DA227A" w:rsidRPr="00E93F40" w14:paraId="612CAED6" w14:textId="77777777">
        <w:tc>
          <w:tcPr>
            <w:tcW w:w="939" w:type="dxa"/>
            <w:tcBorders>
              <w:top w:val="single" w:sz="6" w:space="0" w:color="auto"/>
              <w:left w:val="single" w:sz="6" w:space="0" w:color="auto"/>
              <w:bottom w:val="single" w:sz="6" w:space="0" w:color="auto"/>
              <w:right w:val="single" w:sz="6" w:space="0" w:color="auto"/>
            </w:tcBorders>
          </w:tcPr>
          <w:p w14:paraId="43E9EF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ускорения</w:t>
            </w:r>
          </w:p>
        </w:tc>
        <w:tc>
          <w:tcPr>
            <w:tcW w:w="939" w:type="dxa"/>
            <w:tcBorders>
              <w:top w:val="single" w:sz="6" w:space="0" w:color="auto"/>
              <w:left w:val="single" w:sz="6" w:space="0" w:color="auto"/>
              <w:bottom w:val="single" w:sz="6" w:space="0" w:color="auto"/>
              <w:right w:val="single" w:sz="6" w:space="0" w:color="auto"/>
            </w:tcBorders>
          </w:tcPr>
          <w:p w14:paraId="00929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4FD2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4A1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0F4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78E7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63C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973F9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 текущем году дали положит. результаты</w:t>
            </w:r>
          </w:p>
        </w:tc>
      </w:tr>
      <w:tr w:rsidR="00DA227A" w:rsidRPr="00E93F40" w14:paraId="0714D0F2" w14:textId="77777777">
        <w:tc>
          <w:tcPr>
            <w:tcW w:w="939" w:type="dxa"/>
            <w:tcBorders>
              <w:top w:val="single" w:sz="6" w:space="0" w:color="auto"/>
              <w:left w:val="single" w:sz="6" w:space="0" w:color="auto"/>
              <w:bottom w:val="single" w:sz="6" w:space="0" w:color="auto"/>
              <w:right w:val="single" w:sz="6" w:space="0" w:color="auto"/>
            </w:tcBorders>
          </w:tcPr>
          <w:p w14:paraId="0A3C2B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взлета</w:t>
            </w:r>
          </w:p>
        </w:tc>
        <w:tc>
          <w:tcPr>
            <w:tcW w:w="939" w:type="dxa"/>
            <w:tcBorders>
              <w:top w:val="single" w:sz="6" w:space="0" w:color="auto"/>
              <w:left w:val="single" w:sz="6" w:space="0" w:color="auto"/>
              <w:bottom w:val="single" w:sz="6" w:space="0" w:color="auto"/>
              <w:right w:val="single" w:sz="6" w:space="0" w:color="auto"/>
            </w:tcBorders>
          </w:tcPr>
          <w:p w14:paraId="4153F2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7C4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D9B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1B3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7E2E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93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9A4EC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ускорению взлета, пробегу и скорости сгорания.</w:t>
            </w:r>
          </w:p>
        </w:tc>
      </w:tr>
      <w:tr w:rsidR="00DA227A" w:rsidRPr="00E93F40" w14:paraId="0BC6C33A" w14:textId="77777777">
        <w:tc>
          <w:tcPr>
            <w:tcW w:w="939" w:type="dxa"/>
            <w:tcBorders>
              <w:top w:val="single" w:sz="6" w:space="0" w:color="auto"/>
              <w:left w:val="single" w:sz="6" w:space="0" w:color="auto"/>
              <w:bottom w:val="single" w:sz="6" w:space="0" w:color="auto"/>
              <w:right w:val="single" w:sz="6" w:space="0" w:color="auto"/>
            </w:tcBorders>
          </w:tcPr>
          <w:p w14:paraId="44A08B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2631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36E9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B11C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AF64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w:t>
            </w:r>
          </w:p>
        </w:tc>
        <w:tc>
          <w:tcPr>
            <w:tcW w:w="939" w:type="dxa"/>
            <w:tcBorders>
              <w:top w:val="single" w:sz="6" w:space="0" w:color="auto"/>
              <w:left w:val="single" w:sz="6" w:space="0" w:color="auto"/>
              <w:bottom w:val="single" w:sz="6" w:space="0" w:color="auto"/>
              <w:right w:val="single" w:sz="6" w:space="0" w:color="auto"/>
            </w:tcBorders>
          </w:tcPr>
          <w:p w14:paraId="73BF8D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DB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0EBA9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стороны ГДЛ ставится вопрос экспериментиров.</w:t>
            </w:r>
          </w:p>
        </w:tc>
      </w:tr>
      <w:tr w:rsidR="00DA227A" w:rsidRPr="00E93F40" w14:paraId="276F81A0" w14:textId="77777777">
        <w:tc>
          <w:tcPr>
            <w:tcW w:w="939" w:type="dxa"/>
            <w:tcBorders>
              <w:top w:val="single" w:sz="6" w:space="0" w:color="auto"/>
              <w:left w:val="single" w:sz="6" w:space="0" w:color="auto"/>
              <w:bottom w:val="single" w:sz="6" w:space="0" w:color="auto"/>
              <w:right w:val="single" w:sz="6" w:space="0" w:color="auto"/>
            </w:tcBorders>
          </w:tcPr>
          <w:p w14:paraId="633C3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FC04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48B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65D7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FB5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ем.</w:t>
            </w:r>
          </w:p>
        </w:tc>
        <w:tc>
          <w:tcPr>
            <w:tcW w:w="939" w:type="dxa"/>
            <w:tcBorders>
              <w:top w:val="single" w:sz="6" w:space="0" w:color="auto"/>
              <w:left w:val="single" w:sz="6" w:space="0" w:color="auto"/>
              <w:bottom w:val="single" w:sz="6" w:space="0" w:color="auto"/>
              <w:right w:val="single" w:sz="6" w:space="0" w:color="auto"/>
            </w:tcBorders>
          </w:tcPr>
          <w:p w14:paraId="310B9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260E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FF7FB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отдельно хвостовой части с-та на выявление причин,</w:t>
            </w:r>
          </w:p>
        </w:tc>
      </w:tr>
      <w:tr w:rsidR="00DA227A" w:rsidRPr="00E93F40" w14:paraId="06217B3F" w14:textId="77777777">
        <w:tc>
          <w:tcPr>
            <w:tcW w:w="939" w:type="dxa"/>
            <w:tcBorders>
              <w:top w:val="single" w:sz="6" w:space="0" w:color="auto"/>
              <w:left w:val="single" w:sz="6" w:space="0" w:color="auto"/>
              <w:bottom w:val="single" w:sz="6" w:space="0" w:color="auto"/>
              <w:right w:val="single" w:sz="6" w:space="0" w:color="auto"/>
            </w:tcBorders>
          </w:tcPr>
          <w:p w14:paraId="7BCC9E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F344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A456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567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A10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828 кг</w:t>
            </w:r>
          </w:p>
        </w:tc>
        <w:tc>
          <w:tcPr>
            <w:tcW w:w="939" w:type="dxa"/>
            <w:tcBorders>
              <w:top w:val="single" w:sz="6" w:space="0" w:color="auto"/>
              <w:left w:val="single" w:sz="6" w:space="0" w:color="auto"/>
              <w:bottom w:val="single" w:sz="6" w:space="0" w:color="auto"/>
              <w:right w:val="single" w:sz="6" w:space="0" w:color="auto"/>
            </w:tcBorders>
          </w:tcPr>
          <w:p w14:paraId="033465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2C8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28C9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влияющих на деформацию фюзеляжа от действия </w:t>
            </w:r>
          </w:p>
        </w:tc>
      </w:tr>
      <w:tr w:rsidR="00DA227A" w:rsidRPr="00E93F40" w14:paraId="2C254D9D" w14:textId="77777777">
        <w:tc>
          <w:tcPr>
            <w:tcW w:w="939" w:type="dxa"/>
            <w:tcBorders>
              <w:top w:val="single" w:sz="6" w:space="0" w:color="auto"/>
              <w:left w:val="single" w:sz="6" w:space="0" w:color="auto"/>
              <w:bottom w:val="single" w:sz="6" w:space="0" w:color="auto"/>
              <w:right w:val="single" w:sz="6" w:space="0" w:color="auto"/>
            </w:tcBorders>
          </w:tcPr>
          <w:p w14:paraId="4D81D6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F53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3C42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E0E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8E32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35A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530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13F80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взрыва ракет. Экспериментирование с новой </w:t>
            </w:r>
          </w:p>
        </w:tc>
      </w:tr>
      <w:tr w:rsidR="00DA227A" w:rsidRPr="00E93F40" w14:paraId="483A65FD" w14:textId="77777777">
        <w:tc>
          <w:tcPr>
            <w:tcW w:w="939" w:type="dxa"/>
            <w:tcBorders>
              <w:top w:val="single" w:sz="6" w:space="0" w:color="auto"/>
              <w:left w:val="single" w:sz="6" w:space="0" w:color="auto"/>
              <w:bottom w:val="single" w:sz="6" w:space="0" w:color="auto"/>
              <w:right w:val="single" w:sz="6" w:space="0" w:color="auto"/>
            </w:tcBorders>
          </w:tcPr>
          <w:p w14:paraId="2E1F3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BCE6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E795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503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E9D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1AFC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66E7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7D45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установкой камер над крылом потребует таких же</w:t>
            </w:r>
          </w:p>
        </w:tc>
      </w:tr>
      <w:tr w:rsidR="00DA227A" w:rsidRPr="00E93F40" w14:paraId="1AD7CADF" w14:textId="77777777">
        <w:tc>
          <w:tcPr>
            <w:tcW w:w="939" w:type="dxa"/>
            <w:tcBorders>
              <w:top w:val="single" w:sz="6" w:space="0" w:color="auto"/>
              <w:left w:val="single" w:sz="6" w:space="0" w:color="auto"/>
              <w:bottom w:val="single" w:sz="6" w:space="0" w:color="auto"/>
              <w:right w:val="single" w:sz="6" w:space="0" w:color="auto"/>
            </w:tcBorders>
          </w:tcPr>
          <w:p w14:paraId="03676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A94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98F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142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E248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09B9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253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9A2E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затрат как и в предыдущих опытах. Работа должна</w:t>
            </w:r>
          </w:p>
        </w:tc>
      </w:tr>
      <w:tr w:rsidR="00DA227A" w:rsidRPr="00E93F40" w14:paraId="2894D966" w14:textId="77777777">
        <w:tc>
          <w:tcPr>
            <w:tcW w:w="939" w:type="dxa"/>
            <w:tcBorders>
              <w:top w:val="single" w:sz="6" w:space="0" w:color="auto"/>
              <w:left w:val="single" w:sz="6" w:space="0" w:color="auto"/>
              <w:bottom w:val="single" w:sz="6" w:space="0" w:color="auto"/>
              <w:right w:val="single" w:sz="6" w:space="0" w:color="auto"/>
            </w:tcBorders>
          </w:tcPr>
          <w:p w14:paraId="638E96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3406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FABD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4ED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D5AD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71CE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D9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0D78E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быть продолжена для получения опыта к с-ту ТБ3.</w:t>
            </w:r>
          </w:p>
        </w:tc>
      </w:tr>
      <w:tr w:rsidR="00DA227A" w:rsidRPr="00E93F40" w14:paraId="25D1ED0D" w14:textId="77777777">
        <w:tc>
          <w:tcPr>
            <w:tcW w:w="939" w:type="dxa"/>
            <w:tcBorders>
              <w:top w:val="single" w:sz="6" w:space="0" w:color="auto"/>
              <w:left w:val="single" w:sz="6" w:space="0" w:color="auto"/>
              <w:bottom w:val="single" w:sz="6" w:space="0" w:color="auto"/>
              <w:right w:val="single" w:sz="6" w:space="0" w:color="auto"/>
            </w:tcBorders>
          </w:tcPr>
          <w:p w14:paraId="7164E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Р6а 2М17</w:t>
            </w:r>
          </w:p>
        </w:tc>
        <w:tc>
          <w:tcPr>
            <w:tcW w:w="939" w:type="dxa"/>
            <w:tcBorders>
              <w:top w:val="single" w:sz="6" w:space="0" w:color="auto"/>
              <w:left w:val="single" w:sz="6" w:space="0" w:color="auto"/>
              <w:bottom w:val="single" w:sz="6" w:space="0" w:color="auto"/>
              <w:right w:val="single" w:sz="6" w:space="0" w:color="auto"/>
            </w:tcBorders>
          </w:tcPr>
          <w:p w14:paraId="477035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 серийной постройки.</w:t>
            </w:r>
          </w:p>
        </w:tc>
        <w:tc>
          <w:tcPr>
            <w:tcW w:w="939" w:type="dxa"/>
            <w:tcBorders>
              <w:top w:val="single" w:sz="6" w:space="0" w:color="auto"/>
              <w:left w:val="single" w:sz="6" w:space="0" w:color="auto"/>
              <w:bottom w:val="single" w:sz="6" w:space="0" w:color="auto"/>
              <w:right w:val="single" w:sz="6" w:space="0" w:color="auto"/>
            </w:tcBorders>
          </w:tcPr>
          <w:p w14:paraId="36D15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DB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C35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3B0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FEB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1.09.32</w:t>
            </w:r>
          </w:p>
        </w:tc>
        <w:tc>
          <w:tcPr>
            <w:tcW w:w="4025" w:type="dxa"/>
            <w:tcBorders>
              <w:top w:val="single" w:sz="6" w:space="0" w:color="auto"/>
              <w:left w:val="single" w:sz="6" w:space="0" w:color="auto"/>
              <w:bottom w:val="single" w:sz="6" w:space="0" w:color="auto"/>
              <w:right w:val="single" w:sz="6" w:space="0" w:color="auto"/>
            </w:tcBorders>
          </w:tcPr>
          <w:p w14:paraId="65D48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заканчивает гос. испытания в Севастополе. Из</w:t>
            </w:r>
          </w:p>
        </w:tc>
      </w:tr>
      <w:tr w:rsidR="00DA227A" w:rsidRPr="00E93F40" w14:paraId="3387A079" w14:textId="77777777">
        <w:tc>
          <w:tcPr>
            <w:tcW w:w="939" w:type="dxa"/>
            <w:tcBorders>
              <w:top w:val="single" w:sz="6" w:space="0" w:color="auto"/>
              <w:left w:val="single" w:sz="6" w:space="0" w:color="auto"/>
              <w:bottom w:val="single" w:sz="6" w:space="0" w:color="auto"/>
              <w:right w:val="single" w:sz="6" w:space="0" w:color="auto"/>
            </w:tcBorders>
          </w:tcPr>
          <w:p w14:paraId="017FC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04A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38C1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61C0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1E7E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DD5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EA1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EF12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заводских испытаний выяснились морские качества</w:t>
            </w:r>
          </w:p>
        </w:tc>
      </w:tr>
      <w:tr w:rsidR="00DA227A" w:rsidRPr="00E93F40" w14:paraId="310C35F0" w14:textId="77777777">
        <w:tc>
          <w:tcPr>
            <w:tcW w:w="939" w:type="dxa"/>
            <w:tcBorders>
              <w:top w:val="single" w:sz="6" w:space="0" w:color="auto"/>
              <w:left w:val="single" w:sz="6" w:space="0" w:color="auto"/>
              <w:bottom w:val="single" w:sz="6" w:space="0" w:color="auto"/>
              <w:right w:val="single" w:sz="6" w:space="0" w:color="auto"/>
            </w:tcBorders>
          </w:tcPr>
          <w:p w14:paraId="75240D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17CC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FEE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557E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E61A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9B5F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BB0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9CAB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выше удовлетворительных на поплавках типа "Ж"</w:t>
            </w:r>
          </w:p>
        </w:tc>
      </w:tr>
      <w:tr w:rsidR="00DA227A" w:rsidRPr="00E93F40" w14:paraId="2D4377AE" w14:textId="77777777">
        <w:tc>
          <w:tcPr>
            <w:tcW w:w="939" w:type="dxa"/>
            <w:tcBorders>
              <w:top w:val="single" w:sz="6" w:space="0" w:color="auto"/>
              <w:left w:val="single" w:sz="6" w:space="0" w:color="auto"/>
              <w:bottom w:val="single" w:sz="6" w:space="0" w:color="auto"/>
              <w:right w:val="single" w:sz="6" w:space="0" w:color="auto"/>
            </w:tcBorders>
          </w:tcPr>
          <w:p w14:paraId="3C7E1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416B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BEF1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568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CDA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7B83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7977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0DF9A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(отечественной постройки). Предполагается также</w:t>
            </w:r>
          </w:p>
        </w:tc>
      </w:tr>
      <w:tr w:rsidR="00DA227A" w:rsidRPr="00E93F40" w14:paraId="649121C3" w14:textId="77777777">
        <w:tc>
          <w:tcPr>
            <w:tcW w:w="939" w:type="dxa"/>
            <w:tcBorders>
              <w:top w:val="single" w:sz="6" w:space="0" w:color="auto"/>
              <w:left w:val="single" w:sz="6" w:space="0" w:color="auto"/>
              <w:bottom w:val="single" w:sz="6" w:space="0" w:color="auto"/>
              <w:right w:val="single" w:sz="6" w:space="0" w:color="auto"/>
            </w:tcBorders>
          </w:tcPr>
          <w:p w14:paraId="10531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CFC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01E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8B02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EC13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A8E9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1BA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EF9E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испытать и на втором варианте поплавков (меньш.</w:t>
            </w:r>
          </w:p>
        </w:tc>
      </w:tr>
      <w:tr w:rsidR="00DA227A" w:rsidRPr="00E93F40" w14:paraId="412BCFBC" w14:textId="77777777">
        <w:tc>
          <w:tcPr>
            <w:tcW w:w="939" w:type="dxa"/>
            <w:tcBorders>
              <w:top w:val="single" w:sz="6" w:space="0" w:color="auto"/>
              <w:left w:val="single" w:sz="6" w:space="0" w:color="auto"/>
              <w:bottom w:val="single" w:sz="6" w:space="0" w:color="auto"/>
              <w:right w:val="single" w:sz="6" w:space="0" w:color="auto"/>
            </w:tcBorders>
          </w:tcPr>
          <w:p w14:paraId="2EC91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0970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3812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29B5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1763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3FA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0E3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1A34F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тоннажа). С-т по предварительной оценке может с</w:t>
            </w:r>
          </w:p>
        </w:tc>
      </w:tr>
      <w:tr w:rsidR="00DA227A" w:rsidRPr="00E93F40" w14:paraId="117ADADD" w14:textId="77777777">
        <w:tc>
          <w:tcPr>
            <w:tcW w:w="939" w:type="dxa"/>
            <w:tcBorders>
              <w:top w:val="single" w:sz="6" w:space="0" w:color="auto"/>
              <w:left w:val="single" w:sz="6" w:space="0" w:color="auto"/>
              <w:bottom w:val="single" w:sz="6" w:space="0" w:color="auto"/>
              <w:right w:val="single" w:sz="6" w:space="0" w:color="auto"/>
            </w:tcBorders>
          </w:tcPr>
          <w:p w14:paraId="48CD3A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5502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F59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3A95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8F8B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E34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4190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74086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успехом заменить ТБ1а (поплавки типа "Ж") и ТБ1б</w:t>
            </w:r>
          </w:p>
        </w:tc>
      </w:tr>
      <w:tr w:rsidR="00DA227A" w:rsidRPr="00E93F40" w14:paraId="2A9019AD" w14:textId="77777777">
        <w:tc>
          <w:tcPr>
            <w:tcW w:w="939" w:type="dxa"/>
            <w:tcBorders>
              <w:top w:val="single" w:sz="6" w:space="0" w:color="auto"/>
              <w:left w:val="single" w:sz="6" w:space="0" w:color="auto"/>
              <w:bottom w:val="single" w:sz="6" w:space="0" w:color="auto"/>
              <w:right w:val="single" w:sz="6" w:space="0" w:color="auto"/>
            </w:tcBorders>
          </w:tcPr>
          <w:p w14:paraId="312AF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89E9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D0D2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23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E1A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B77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5D4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754C8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(поплавки "Страны Советов"), давая более хорошие</w:t>
            </w:r>
          </w:p>
        </w:tc>
      </w:tr>
      <w:tr w:rsidR="00DA227A" w:rsidRPr="00E93F40" w14:paraId="2E7E600F" w14:textId="77777777">
        <w:tc>
          <w:tcPr>
            <w:tcW w:w="939" w:type="dxa"/>
            <w:tcBorders>
              <w:top w:val="single" w:sz="6" w:space="0" w:color="auto"/>
              <w:left w:val="single" w:sz="6" w:space="0" w:color="auto"/>
              <w:bottom w:val="single" w:sz="6" w:space="0" w:color="auto"/>
              <w:right w:val="single" w:sz="6" w:space="0" w:color="auto"/>
            </w:tcBorders>
          </w:tcPr>
          <w:p w14:paraId="7535C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E9C6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7AF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FE7A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9EB5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A2C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BBE6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77C81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летные данные.</w:t>
            </w:r>
          </w:p>
        </w:tc>
      </w:tr>
      <w:tr w:rsidR="00DA227A" w:rsidRPr="00E93F40" w14:paraId="4CEB545E" w14:textId="77777777">
        <w:tc>
          <w:tcPr>
            <w:tcW w:w="939" w:type="dxa"/>
            <w:tcBorders>
              <w:top w:val="single" w:sz="6" w:space="0" w:color="auto"/>
              <w:left w:val="single" w:sz="6" w:space="0" w:color="auto"/>
              <w:bottom w:val="single" w:sz="6" w:space="0" w:color="auto"/>
              <w:right w:val="single" w:sz="6" w:space="0" w:color="auto"/>
            </w:tcBorders>
          </w:tcPr>
          <w:p w14:paraId="4137E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Р5а-М17</w:t>
            </w:r>
          </w:p>
        </w:tc>
        <w:tc>
          <w:tcPr>
            <w:tcW w:w="939" w:type="dxa"/>
            <w:tcBorders>
              <w:top w:val="single" w:sz="6" w:space="0" w:color="auto"/>
              <w:left w:val="single" w:sz="6" w:space="0" w:color="auto"/>
              <w:bottom w:val="single" w:sz="6" w:space="0" w:color="auto"/>
              <w:right w:val="single" w:sz="6" w:space="0" w:color="auto"/>
            </w:tcBorders>
          </w:tcPr>
          <w:p w14:paraId="18809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164/3000</w:t>
            </w:r>
          </w:p>
        </w:tc>
        <w:tc>
          <w:tcPr>
            <w:tcW w:w="939" w:type="dxa"/>
            <w:tcBorders>
              <w:top w:val="single" w:sz="6" w:space="0" w:color="auto"/>
              <w:left w:val="single" w:sz="6" w:space="0" w:color="auto"/>
              <w:bottom w:val="single" w:sz="6" w:space="0" w:color="auto"/>
              <w:right w:val="single" w:sz="6" w:space="0" w:color="auto"/>
            </w:tcBorders>
          </w:tcPr>
          <w:p w14:paraId="19589C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27/3000</w:t>
            </w:r>
          </w:p>
        </w:tc>
        <w:tc>
          <w:tcPr>
            <w:tcW w:w="939" w:type="dxa"/>
            <w:tcBorders>
              <w:top w:val="single" w:sz="6" w:space="0" w:color="auto"/>
              <w:left w:val="single" w:sz="6" w:space="0" w:color="auto"/>
              <w:bottom w:val="single" w:sz="6" w:space="0" w:color="auto"/>
              <w:right w:val="single" w:sz="6" w:space="0" w:color="auto"/>
            </w:tcBorders>
          </w:tcPr>
          <w:p w14:paraId="77686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4350</w:t>
            </w:r>
          </w:p>
        </w:tc>
        <w:tc>
          <w:tcPr>
            <w:tcW w:w="939" w:type="dxa"/>
            <w:tcBorders>
              <w:top w:val="single" w:sz="6" w:space="0" w:color="auto"/>
              <w:left w:val="single" w:sz="6" w:space="0" w:color="auto"/>
              <w:bottom w:val="single" w:sz="6" w:space="0" w:color="auto"/>
              <w:right w:val="single" w:sz="6" w:space="0" w:color="auto"/>
            </w:tcBorders>
          </w:tcPr>
          <w:p w14:paraId="7B1B6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пулем.</w:t>
            </w:r>
          </w:p>
        </w:tc>
        <w:tc>
          <w:tcPr>
            <w:tcW w:w="939" w:type="dxa"/>
            <w:tcBorders>
              <w:top w:val="single" w:sz="6" w:space="0" w:color="auto"/>
              <w:left w:val="single" w:sz="6" w:space="0" w:color="auto"/>
              <w:bottom w:val="single" w:sz="6" w:space="0" w:color="auto"/>
              <w:right w:val="single" w:sz="6" w:space="0" w:color="auto"/>
            </w:tcBorders>
          </w:tcPr>
          <w:p w14:paraId="64E2EB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 при</w:t>
            </w:r>
          </w:p>
        </w:tc>
        <w:tc>
          <w:tcPr>
            <w:tcW w:w="939" w:type="dxa"/>
            <w:tcBorders>
              <w:top w:val="single" w:sz="6" w:space="0" w:color="auto"/>
              <w:left w:val="single" w:sz="6" w:space="0" w:color="auto"/>
              <w:bottom w:val="single" w:sz="6" w:space="0" w:color="auto"/>
              <w:right w:val="single" w:sz="6" w:space="0" w:color="auto"/>
            </w:tcBorders>
          </w:tcPr>
          <w:p w14:paraId="707958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20.7.32</w:t>
            </w:r>
          </w:p>
        </w:tc>
        <w:tc>
          <w:tcPr>
            <w:tcW w:w="4025" w:type="dxa"/>
            <w:tcBorders>
              <w:top w:val="single" w:sz="6" w:space="0" w:color="auto"/>
              <w:left w:val="single" w:sz="6" w:space="0" w:color="auto"/>
              <w:bottom w:val="single" w:sz="6" w:space="0" w:color="auto"/>
              <w:right w:val="single" w:sz="6" w:space="0" w:color="auto"/>
            </w:tcBorders>
          </w:tcPr>
          <w:p w14:paraId="7A489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 идет в серийную постройку в 1933 году. </w:t>
            </w:r>
          </w:p>
        </w:tc>
      </w:tr>
      <w:tr w:rsidR="00DA227A" w:rsidRPr="00E93F40" w14:paraId="3048B895" w14:textId="77777777">
        <w:tc>
          <w:tcPr>
            <w:tcW w:w="939" w:type="dxa"/>
            <w:tcBorders>
              <w:top w:val="single" w:sz="6" w:space="0" w:color="auto"/>
              <w:left w:val="single" w:sz="6" w:space="0" w:color="auto"/>
              <w:bottom w:val="single" w:sz="6" w:space="0" w:color="auto"/>
              <w:right w:val="single" w:sz="6" w:space="0" w:color="auto"/>
            </w:tcBorders>
          </w:tcPr>
          <w:p w14:paraId="7B1076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9A7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1A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3ED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358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огнев.</w:t>
            </w:r>
          </w:p>
        </w:tc>
        <w:tc>
          <w:tcPr>
            <w:tcW w:w="939" w:type="dxa"/>
            <w:tcBorders>
              <w:top w:val="single" w:sz="6" w:space="0" w:color="auto"/>
              <w:left w:val="single" w:sz="6" w:space="0" w:color="auto"/>
              <w:bottom w:val="single" w:sz="6" w:space="0" w:color="auto"/>
              <w:right w:val="single" w:sz="6" w:space="0" w:color="auto"/>
            </w:tcBorders>
          </w:tcPr>
          <w:p w14:paraId="071C1F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перегр.</w:t>
            </w:r>
          </w:p>
        </w:tc>
        <w:tc>
          <w:tcPr>
            <w:tcW w:w="939" w:type="dxa"/>
            <w:tcBorders>
              <w:top w:val="single" w:sz="6" w:space="0" w:color="auto"/>
              <w:left w:val="single" w:sz="6" w:space="0" w:color="auto"/>
              <w:bottom w:val="single" w:sz="6" w:space="0" w:color="auto"/>
              <w:right w:val="single" w:sz="6" w:space="0" w:color="auto"/>
            </w:tcBorders>
          </w:tcPr>
          <w:p w14:paraId="5CF97F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A9D51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Разработаны техтребования к эталону 1933 года в</w:t>
            </w:r>
          </w:p>
        </w:tc>
      </w:tr>
      <w:tr w:rsidR="00DA227A" w:rsidRPr="00E93F40" w14:paraId="7DCA45A3" w14:textId="77777777">
        <w:tc>
          <w:tcPr>
            <w:tcW w:w="939" w:type="dxa"/>
            <w:tcBorders>
              <w:top w:val="single" w:sz="6" w:space="0" w:color="auto"/>
              <w:left w:val="single" w:sz="6" w:space="0" w:color="auto"/>
              <w:bottom w:val="single" w:sz="6" w:space="0" w:color="auto"/>
              <w:right w:val="single" w:sz="6" w:space="0" w:color="auto"/>
            </w:tcBorders>
          </w:tcPr>
          <w:p w14:paraId="70DDE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3F3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A011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BFB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C342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точки</w:t>
            </w:r>
          </w:p>
        </w:tc>
        <w:tc>
          <w:tcPr>
            <w:tcW w:w="939" w:type="dxa"/>
            <w:tcBorders>
              <w:top w:val="single" w:sz="6" w:space="0" w:color="auto"/>
              <w:left w:val="single" w:sz="6" w:space="0" w:color="auto"/>
              <w:bottom w:val="single" w:sz="6" w:space="0" w:color="auto"/>
              <w:right w:val="single" w:sz="6" w:space="0" w:color="auto"/>
            </w:tcBorders>
          </w:tcPr>
          <w:p w14:paraId="26CFB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939" w:type="dxa"/>
            <w:tcBorders>
              <w:top w:val="single" w:sz="6" w:space="0" w:color="auto"/>
              <w:left w:val="single" w:sz="6" w:space="0" w:color="auto"/>
              <w:bottom w:val="single" w:sz="6" w:space="0" w:color="auto"/>
              <w:right w:val="single" w:sz="6" w:space="0" w:color="auto"/>
            </w:tcBorders>
          </w:tcPr>
          <w:p w14:paraId="0A0B6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3BEE7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дополнение к сухопутному в части морского оборуд.</w:t>
            </w:r>
          </w:p>
        </w:tc>
      </w:tr>
      <w:tr w:rsidR="00DA227A" w:rsidRPr="00E93F40" w14:paraId="717E64CA" w14:textId="77777777">
        <w:tc>
          <w:tcPr>
            <w:tcW w:w="939" w:type="dxa"/>
            <w:tcBorders>
              <w:top w:val="single" w:sz="6" w:space="0" w:color="auto"/>
              <w:left w:val="single" w:sz="6" w:space="0" w:color="auto"/>
              <w:bottom w:val="single" w:sz="6" w:space="0" w:color="auto"/>
              <w:right w:val="single" w:sz="6" w:space="0" w:color="auto"/>
            </w:tcBorders>
          </w:tcPr>
          <w:p w14:paraId="53DE7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DB69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71B9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E2C7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07FD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 кг бомб</w:t>
            </w:r>
          </w:p>
        </w:tc>
        <w:tc>
          <w:tcPr>
            <w:tcW w:w="939" w:type="dxa"/>
            <w:tcBorders>
              <w:top w:val="single" w:sz="6" w:space="0" w:color="auto"/>
              <w:left w:val="single" w:sz="6" w:space="0" w:color="auto"/>
              <w:bottom w:val="single" w:sz="6" w:space="0" w:color="auto"/>
              <w:right w:val="single" w:sz="6" w:space="0" w:color="auto"/>
            </w:tcBorders>
          </w:tcPr>
          <w:p w14:paraId="39921D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950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17F08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экз. с-та эксплоатационных испытаний не</w:t>
            </w:r>
          </w:p>
        </w:tc>
      </w:tr>
      <w:tr w:rsidR="00DA227A" w:rsidRPr="00E93F40" w14:paraId="281B9DAB" w14:textId="77777777">
        <w:tc>
          <w:tcPr>
            <w:tcW w:w="939" w:type="dxa"/>
            <w:tcBorders>
              <w:top w:val="single" w:sz="6" w:space="0" w:color="auto"/>
              <w:left w:val="single" w:sz="6" w:space="0" w:color="auto"/>
              <w:bottom w:val="single" w:sz="6" w:space="0" w:color="auto"/>
              <w:right w:val="single" w:sz="6" w:space="0" w:color="auto"/>
            </w:tcBorders>
          </w:tcPr>
          <w:p w14:paraId="18ED9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3E2B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24D6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4524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A16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F0B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855D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56F4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проходил, был сдан в Северную экспедицию</w:t>
            </w:r>
          </w:p>
        </w:tc>
      </w:tr>
      <w:tr w:rsidR="00DA227A" w:rsidRPr="00E93F40" w14:paraId="4F93E562" w14:textId="77777777">
        <w:tc>
          <w:tcPr>
            <w:tcW w:w="939" w:type="dxa"/>
            <w:tcBorders>
              <w:top w:val="single" w:sz="6" w:space="0" w:color="auto"/>
              <w:left w:val="single" w:sz="6" w:space="0" w:color="auto"/>
              <w:bottom w:val="single" w:sz="6" w:space="0" w:color="auto"/>
              <w:right w:val="single" w:sz="6" w:space="0" w:color="auto"/>
            </w:tcBorders>
          </w:tcPr>
          <w:p w14:paraId="467C78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67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4F15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F21E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766B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1543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D89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2FE44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Наркомвода.</w:t>
            </w:r>
          </w:p>
        </w:tc>
      </w:tr>
      <w:tr w:rsidR="00DA227A" w:rsidRPr="00E93F40" w14:paraId="406ACFB6" w14:textId="77777777">
        <w:tc>
          <w:tcPr>
            <w:tcW w:w="939" w:type="dxa"/>
            <w:tcBorders>
              <w:top w:val="single" w:sz="6" w:space="0" w:color="auto"/>
              <w:left w:val="single" w:sz="6" w:space="0" w:color="auto"/>
              <w:bottom w:val="single" w:sz="6" w:space="0" w:color="auto"/>
              <w:right w:val="single" w:sz="6" w:space="0" w:color="auto"/>
            </w:tcBorders>
          </w:tcPr>
          <w:p w14:paraId="77D3CD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СПЛ (с-т</w:t>
            </w:r>
          </w:p>
        </w:tc>
        <w:tc>
          <w:tcPr>
            <w:tcW w:w="939" w:type="dxa"/>
            <w:tcBorders>
              <w:top w:val="single" w:sz="6" w:space="0" w:color="auto"/>
              <w:left w:val="single" w:sz="6" w:space="0" w:color="auto"/>
              <w:bottom w:val="single" w:sz="6" w:space="0" w:color="auto"/>
              <w:right w:val="single" w:sz="6" w:space="0" w:color="auto"/>
            </w:tcBorders>
          </w:tcPr>
          <w:p w14:paraId="13929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180/2500</w:t>
            </w:r>
          </w:p>
        </w:tc>
        <w:tc>
          <w:tcPr>
            <w:tcW w:w="939" w:type="dxa"/>
            <w:tcBorders>
              <w:top w:val="single" w:sz="6" w:space="0" w:color="auto"/>
              <w:left w:val="single" w:sz="6" w:space="0" w:color="auto"/>
              <w:bottom w:val="single" w:sz="6" w:space="0" w:color="auto"/>
              <w:right w:val="single" w:sz="6" w:space="0" w:color="auto"/>
            </w:tcBorders>
          </w:tcPr>
          <w:p w14:paraId="78D05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15/2000</w:t>
            </w:r>
          </w:p>
        </w:tc>
        <w:tc>
          <w:tcPr>
            <w:tcW w:w="939" w:type="dxa"/>
            <w:tcBorders>
              <w:top w:val="single" w:sz="6" w:space="0" w:color="auto"/>
              <w:left w:val="single" w:sz="6" w:space="0" w:color="auto"/>
              <w:bottom w:val="single" w:sz="6" w:space="0" w:color="auto"/>
              <w:right w:val="single" w:sz="6" w:space="0" w:color="auto"/>
            </w:tcBorders>
          </w:tcPr>
          <w:p w14:paraId="6AEBCC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939" w:type="dxa"/>
            <w:tcBorders>
              <w:top w:val="single" w:sz="6" w:space="0" w:color="auto"/>
              <w:left w:val="single" w:sz="6" w:space="0" w:color="auto"/>
              <w:bottom w:val="single" w:sz="6" w:space="0" w:color="auto"/>
              <w:right w:val="single" w:sz="6" w:space="0" w:color="auto"/>
            </w:tcBorders>
          </w:tcPr>
          <w:p w14:paraId="7314F9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пулем.</w:t>
            </w:r>
          </w:p>
        </w:tc>
        <w:tc>
          <w:tcPr>
            <w:tcW w:w="939" w:type="dxa"/>
            <w:tcBorders>
              <w:top w:val="single" w:sz="6" w:space="0" w:color="auto"/>
              <w:left w:val="single" w:sz="6" w:space="0" w:color="auto"/>
              <w:bottom w:val="single" w:sz="6" w:space="0" w:color="auto"/>
              <w:right w:val="single" w:sz="6" w:space="0" w:color="auto"/>
            </w:tcBorders>
          </w:tcPr>
          <w:p w14:paraId="06ACD2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600-800</w:t>
            </w:r>
          </w:p>
        </w:tc>
        <w:tc>
          <w:tcPr>
            <w:tcW w:w="939" w:type="dxa"/>
            <w:tcBorders>
              <w:top w:val="single" w:sz="6" w:space="0" w:color="auto"/>
              <w:left w:val="single" w:sz="6" w:space="0" w:color="auto"/>
              <w:bottom w:val="single" w:sz="6" w:space="0" w:color="auto"/>
              <w:right w:val="single" w:sz="6" w:space="0" w:color="auto"/>
            </w:tcBorders>
          </w:tcPr>
          <w:p w14:paraId="2F098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1.01.33/</w:t>
            </w:r>
          </w:p>
        </w:tc>
        <w:tc>
          <w:tcPr>
            <w:tcW w:w="4025" w:type="dxa"/>
            <w:tcBorders>
              <w:top w:val="single" w:sz="6" w:space="0" w:color="auto"/>
              <w:left w:val="single" w:sz="6" w:space="0" w:color="auto"/>
              <w:bottom w:val="single" w:sz="6" w:space="0" w:color="auto"/>
              <w:right w:val="single" w:sz="6" w:space="0" w:color="auto"/>
            </w:tcBorders>
          </w:tcPr>
          <w:p w14:paraId="1A9AD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проектируется и будет строится в НИИ ГУГВФ.</w:t>
            </w:r>
          </w:p>
        </w:tc>
      </w:tr>
      <w:tr w:rsidR="00DA227A" w:rsidRPr="00E93F40" w14:paraId="7ADBB54E" w14:textId="77777777">
        <w:tc>
          <w:tcPr>
            <w:tcW w:w="939" w:type="dxa"/>
            <w:tcBorders>
              <w:top w:val="single" w:sz="6" w:space="0" w:color="auto"/>
              <w:left w:val="single" w:sz="6" w:space="0" w:color="auto"/>
              <w:bottom w:val="single" w:sz="6" w:space="0" w:color="auto"/>
              <w:right w:val="single" w:sz="6" w:space="0" w:color="auto"/>
            </w:tcBorders>
          </w:tcPr>
          <w:p w14:paraId="5CAF48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подлодок)</w:t>
            </w:r>
          </w:p>
        </w:tc>
        <w:tc>
          <w:tcPr>
            <w:tcW w:w="939" w:type="dxa"/>
            <w:tcBorders>
              <w:top w:val="single" w:sz="6" w:space="0" w:color="auto"/>
              <w:left w:val="single" w:sz="6" w:space="0" w:color="auto"/>
              <w:bottom w:val="single" w:sz="6" w:space="0" w:color="auto"/>
              <w:right w:val="single" w:sz="6" w:space="0" w:color="auto"/>
            </w:tcBorders>
          </w:tcPr>
          <w:p w14:paraId="4B7345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316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B775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1F4D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съемн.</w:t>
            </w:r>
          </w:p>
        </w:tc>
        <w:tc>
          <w:tcPr>
            <w:tcW w:w="939" w:type="dxa"/>
            <w:tcBorders>
              <w:top w:val="single" w:sz="6" w:space="0" w:color="auto"/>
              <w:left w:val="single" w:sz="6" w:space="0" w:color="auto"/>
              <w:bottom w:val="single" w:sz="6" w:space="0" w:color="auto"/>
              <w:right w:val="single" w:sz="6" w:space="0" w:color="auto"/>
            </w:tcBorders>
          </w:tcPr>
          <w:p w14:paraId="12FE4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перег.</w:t>
            </w:r>
          </w:p>
        </w:tc>
        <w:tc>
          <w:tcPr>
            <w:tcW w:w="939" w:type="dxa"/>
            <w:tcBorders>
              <w:top w:val="single" w:sz="6" w:space="0" w:color="auto"/>
              <w:left w:val="single" w:sz="6" w:space="0" w:color="auto"/>
              <w:bottom w:val="single" w:sz="6" w:space="0" w:color="auto"/>
              <w:right w:val="single" w:sz="6" w:space="0" w:color="auto"/>
            </w:tcBorders>
          </w:tcPr>
          <w:p w14:paraId="410AD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1.10.33</w:t>
            </w:r>
          </w:p>
        </w:tc>
        <w:tc>
          <w:tcPr>
            <w:tcW w:w="4025" w:type="dxa"/>
            <w:tcBorders>
              <w:top w:val="single" w:sz="6" w:space="0" w:color="auto"/>
              <w:left w:val="single" w:sz="6" w:space="0" w:color="auto"/>
              <w:bottom w:val="single" w:sz="6" w:space="0" w:color="auto"/>
              <w:right w:val="single" w:sz="6" w:space="0" w:color="auto"/>
            </w:tcBorders>
          </w:tcPr>
          <w:p w14:paraId="58ACD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Составлены технические требования. Заканчивается</w:t>
            </w:r>
          </w:p>
        </w:tc>
      </w:tr>
      <w:tr w:rsidR="00DA227A" w:rsidRPr="00E93F40" w14:paraId="5DE7A7EE" w14:textId="77777777">
        <w:tc>
          <w:tcPr>
            <w:tcW w:w="939" w:type="dxa"/>
            <w:tcBorders>
              <w:top w:val="single" w:sz="6" w:space="0" w:color="auto"/>
              <w:left w:val="single" w:sz="6" w:space="0" w:color="auto"/>
              <w:bottom w:val="single" w:sz="6" w:space="0" w:color="auto"/>
              <w:right w:val="single" w:sz="6" w:space="0" w:color="auto"/>
            </w:tcBorders>
          </w:tcPr>
          <w:p w14:paraId="59C766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B4FF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C6C6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B23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BADB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 кг бомб</w:t>
            </w:r>
          </w:p>
        </w:tc>
        <w:tc>
          <w:tcPr>
            <w:tcW w:w="939" w:type="dxa"/>
            <w:tcBorders>
              <w:top w:val="single" w:sz="6" w:space="0" w:color="auto"/>
              <w:left w:val="single" w:sz="6" w:space="0" w:color="auto"/>
              <w:bottom w:val="single" w:sz="6" w:space="0" w:color="auto"/>
              <w:right w:val="single" w:sz="6" w:space="0" w:color="auto"/>
            </w:tcBorders>
          </w:tcPr>
          <w:p w14:paraId="1574F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w:t>
            </w:r>
          </w:p>
        </w:tc>
        <w:tc>
          <w:tcPr>
            <w:tcW w:w="939" w:type="dxa"/>
            <w:tcBorders>
              <w:top w:val="single" w:sz="6" w:space="0" w:color="auto"/>
              <w:left w:val="single" w:sz="6" w:space="0" w:color="auto"/>
              <w:bottom w:val="single" w:sz="6" w:space="0" w:color="auto"/>
              <w:right w:val="single" w:sz="6" w:space="0" w:color="auto"/>
            </w:tcBorders>
          </w:tcPr>
          <w:p w14:paraId="4454E8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55C8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эскизный проект. Первый вариант с-та деревянный</w:t>
            </w:r>
          </w:p>
        </w:tc>
      </w:tr>
      <w:tr w:rsidR="00DA227A" w:rsidRPr="00E93F40" w14:paraId="73CC029B" w14:textId="77777777">
        <w:tc>
          <w:tcPr>
            <w:tcW w:w="939" w:type="dxa"/>
            <w:tcBorders>
              <w:top w:val="single" w:sz="6" w:space="0" w:color="auto"/>
              <w:left w:val="single" w:sz="6" w:space="0" w:color="auto"/>
              <w:bottom w:val="single" w:sz="6" w:space="0" w:color="auto"/>
              <w:right w:val="single" w:sz="6" w:space="0" w:color="auto"/>
            </w:tcBorders>
          </w:tcPr>
          <w:p w14:paraId="1B224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AAB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5C68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27D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1DD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перегр.</w:t>
            </w:r>
          </w:p>
        </w:tc>
        <w:tc>
          <w:tcPr>
            <w:tcW w:w="939" w:type="dxa"/>
            <w:tcBorders>
              <w:top w:val="single" w:sz="6" w:space="0" w:color="auto"/>
              <w:left w:val="single" w:sz="6" w:space="0" w:color="auto"/>
              <w:bottom w:val="single" w:sz="6" w:space="0" w:color="auto"/>
              <w:right w:val="single" w:sz="6" w:space="0" w:color="auto"/>
            </w:tcBorders>
          </w:tcPr>
          <w:p w14:paraId="7EAD84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w:t>
            </w:r>
          </w:p>
        </w:tc>
        <w:tc>
          <w:tcPr>
            <w:tcW w:w="939" w:type="dxa"/>
            <w:tcBorders>
              <w:top w:val="single" w:sz="6" w:space="0" w:color="auto"/>
              <w:left w:val="single" w:sz="6" w:space="0" w:color="auto"/>
              <w:bottom w:val="single" w:sz="6" w:space="0" w:color="auto"/>
              <w:right w:val="single" w:sz="6" w:space="0" w:color="auto"/>
            </w:tcBorders>
          </w:tcPr>
          <w:p w14:paraId="61C350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CE762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плану постройки намечается в июле 1933 г. В</w:t>
            </w:r>
          </w:p>
        </w:tc>
      </w:tr>
      <w:tr w:rsidR="00DA227A" w:rsidRPr="00E93F40" w14:paraId="119C01EE" w14:textId="77777777">
        <w:tc>
          <w:tcPr>
            <w:tcW w:w="939" w:type="dxa"/>
            <w:tcBorders>
              <w:top w:val="single" w:sz="6" w:space="0" w:color="auto"/>
              <w:left w:val="single" w:sz="6" w:space="0" w:color="auto"/>
              <w:bottom w:val="single" w:sz="6" w:space="0" w:color="auto"/>
              <w:right w:val="single" w:sz="6" w:space="0" w:color="auto"/>
            </w:tcBorders>
          </w:tcPr>
          <w:p w14:paraId="748CD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3789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997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25B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B6A0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30C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DB7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B4CE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плане от 4.07.32 было указано, что исполнителя</w:t>
            </w:r>
          </w:p>
        </w:tc>
      </w:tr>
      <w:tr w:rsidR="00DA227A" w:rsidRPr="00E93F40" w14:paraId="6DBF5E8A" w14:textId="77777777">
        <w:tc>
          <w:tcPr>
            <w:tcW w:w="939" w:type="dxa"/>
            <w:tcBorders>
              <w:top w:val="single" w:sz="6" w:space="0" w:color="auto"/>
              <w:left w:val="single" w:sz="6" w:space="0" w:color="auto"/>
              <w:bottom w:val="single" w:sz="6" w:space="0" w:color="auto"/>
              <w:right w:val="single" w:sz="6" w:space="0" w:color="auto"/>
            </w:tcBorders>
          </w:tcPr>
          <w:p w14:paraId="2902C3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206B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C7BC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8FAA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899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D73E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60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E6F4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находит ВВС, необходимо финансирование за счет</w:t>
            </w:r>
          </w:p>
        </w:tc>
      </w:tr>
      <w:tr w:rsidR="00DA227A" w:rsidRPr="00E93F40" w14:paraId="1EE35C79" w14:textId="77777777">
        <w:tc>
          <w:tcPr>
            <w:tcW w:w="939" w:type="dxa"/>
            <w:tcBorders>
              <w:top w:val="single" w:sz="6" w:space="0" w:color="auto"/>
              <w:left w:val="single" w:sz="6" w:space="0" w:color="auto"/>
              <w:bottom w:val="single" w:sz="6" w:space="0" w:color="auto"/>
              <w:right w:val="single" w:sz="6" w:space="0" w:color="auto"/>
            </w:tcBorders>
          </w:tcPr>
          <w:p w14:paraId="619AD5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F337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A298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D2BD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C0AB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81AA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84E9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3FAFD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последнего, однако, отсутствие средств ставит</w:t>
            </w:r>
          </w:p>
        </w:tc>
      </w:tr>
      <w:tr w:rsidR="00DA227A" w:rsidRPr="00E93F40" w14:paraId="5D967DE9" w14:textId="77777777">
        <w:tc>
          <w:tcPr>
            <w:tcW w:w="939" w:type="dxa"/>
            <w:tcBorders>
              <w:top w:val="single" w:sz="6" w:space="0" w:color="auto"/>
              <w:left w:val="single" w:sz="6" w:space="0" w:color="auto"/>
              <w:bottom w:val="single" w:sz="6" w:space="0" w:color="auto"/>
              <w:right w:val="single" w:sz="6" w:space="0" w:color="auto"/>
            </w:tcBorders>
          </w:tcPr>
          <w:p w14:paraId="135F5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1B45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569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E98E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0489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1014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F38F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7D5B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задание под угрозу.</w:t>
            </w:r>
          </w:p>
        </w:tc>
      </w:tr>
      <w:tr w:rsidR="00DA227A" w:rsidRPr="00E93F40" w14:paraId="38A25DA8" w14:textId="77777777">
        <w:tc>
          <w:tcPr>
            <w:tcW w:w="939" w:type="dxa"/>
            <w:tcBorders>
              <w:top w:val="single" w:sz="6" w:space="0" w:color="auto"/>
              <w:left w:val="single" w:sz="6" w:space="0" w:color="auto"/>
              <w:bottom w:val="single" w:sz="6" w:space="0" w:color="auto"/>
              <w:right w:val="single" w:sz="6" w:space="0" w:color="auto"/>
            </w:tcBorders>
          </w:tcPr>
          <w:p w14:paraId="716941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МБР4-М34</w:t>
            </w:r>
          </w:p>
        </w:tc>
        <w:tc>
          <w:tcPr>
            <w:tcW w:w="939" w:type="dxa"/>
            <w:tcBorders>
              <w:top w:val="single" w:sz="6" w:space="0" w:color="auto"/>
              <w:left w:val="single" w:sz="6" w:space="0" w:color="auto"/>
              <w:bottom w:val="single" w:sz="6" w:space="0" w:color="auto"/>
              <w:right w:val="single" w:sz="6" w:space="0" w:color="auto"/>
            </w:tcBorders>
          </w:tcPr>
          <w:p w14:paraId="6DF99D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с-та С62б-АССО 750.</w:t>
            </w:r>
          </w:p>
        </w:tc>
        <w:tc>
          <w:tcPr>
            <w:tcW w:w="939" w:type="dxa"/>
            <w:tcBorders>
              <w:top w:val="single" w:sz="6" w:space="0" w:color="auto"/>
              <w:left w:val="single" w:sz="6" w:space="0" w:color="auto"/>
              <w:bottom w:val="single" w:sz="6" w:space="0" w:color="auto"/>
              <w:right w:val="single" w:sz="6" w:space="0" w:color="auto"/>
            </w:tcBorders>
          </w:tcPr>
          <w:p w14:paraId="1C1F02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B07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6D22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BE2A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732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1.01.33/</w:t>
            </w:r>
          </w:p>
        </w:tc>
        <w:tc>
          <w:tcPr>
            <w:tcW w:w="4025" w:type="dxa"/>
            <w:tcBorders>
              <w:top w:val="single" w:sz="6" w:space="0" w:color="auto"/>
              <w:left w:val="single" w:sz="6" w:space="0" w:color="auto"/>
              <w:bottom w:val="single" w:sz="6" w:space="0" w:color="auto"/>
              <w:right w:val="single" w:sz="6" w:space="0" w:color="auto"/>
            </w:tcBorders>
          </w:tcPr>
          <w:p w14:paraId="12BEB1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срок 15.03.33 не выдержит, отчасти из-за</w:t>
            </w:r>
          </w:p>
        </w:tc>
      </w:tr>
      <w:tr w:rsidR="00DA227A" w:rsidRPr="00E93F40" w14:paraId="0EFB2642" w14:textId="77777777">
        <w:tc>
          <w:tcPr>
            <w:tcW w:w="939" w:type="dxa"/>
            <w:tcBorders>
              <w:top w:val="single" w:sz="6" w:space="0" w:color="auto"/>
              <w:left w:val="single" w:sz="6" w:space="0" w:color="auto"/>
              <w:bottom w:val="single" w:sz="6" w:space="0" w:color="auto"/>
              <w:right w:val="single" w:sz="6" w:space="0" w:color="auto"/>
            </w:tcBorders>
          </w:tcPr>
          <w:p w14:paraId="47EFD0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1D6E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2AB5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7204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267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CB41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766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15.03.33</w:t>
            </w:r>
          </w:p>
        </w:tc>
        <w:tc>
          <w:tcPr>
            <w:tcW w:w="4025" w:type="dxa"/>
            <w:tcBorders>
              <w:top w:val="single" w:sz="6" w:space="0" w:color="auto"/>
              <w:left w:val="single" w:sz="6" w:space="0" w:color="auto"/>
              <w:bottom w:val="single" w:sz="6" w:space="0" w:color="auto"/>
              <w:right w:val="single" w:sz="6" w:space="0" w:color="auto"/>
            </w:tcBorders>
          </w:tcPr>
          <w:p w14:paraId="2F05D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запоздания в подаче мотора на 20-30 дней.</w:t>
            </w:r>
          </w:p>
        </w:tc>
      </w:tr>
      <w:tr w:rsidR="00DA227A" w:rsidRPr="00E93F40" w14:paraId="0766C941" w14:textId="77777777">
        <w:tc>
          <w:tcPr>
            <w:tcW w:w="939" w:type="dxa"/>
            <w:tcBorders>
              <w:top w:val="single" w:sz="6" w:space="0" w:color="auto"/>
              <w:left w:val="single" w:sz="6" w:space="0" w:color="auto"/>
              <w:bottom w:val="single" w:sz="6" w:space="0" w:color="auto"/>
              <w:right w:val="single" w:sz="6" w:space="0" w:color="auto"/>
            </w:tcBorders>
          </w:tcPr>
          <w:p w14:paraId="53F777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Внеплановые.</w:t>
            </w:r>
          </w:p>
        </w:tc>
        <w:tc>
          <w:tcPr>
            <w:tcW w:w="939" w:type="dxa"/>
            <w:tcBorders>
              <w:top w:val="single" w:sz="6" w:space="0" w:color="auto"/>
              <w:left w:val="single" w:sz="6" w:space="0" w:color="auto"/>
              <w:bottom w:val="single" w:sz="6" w:space="0" w:color="auto"/>
              <w:right w:val="single" w:sz="6" w:space="0" w:color="auto"/>
            </w:tcBorders>
          </w:tcPr>
          <w:p w14:paraId="57B945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A2C6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9D48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ED14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35D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836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CC187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EBCA17" w14:textId="77777777">
        <w:tc>
          <w:tcPr>
            <w:tcW w:w="939" w:type="dxa"/>
            <w:tcBorders>
              <w:top w:val="single" w:sz="6" w:space="0" w:color="auto"/>
              <w:left w:val="single" w:sz="6" w:space="0" w:color="auto"/>
              <w:bottom w:val="single" w:sz="6" w:space="0" w:color="auto"/>
              <w:right w:val="single" w:sz="6" w:space="0" w:color="auto"/>
            </w:tcBorders>
          </w:tcPr>
          <w:p w14:paraId="0D4379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МБР2-М17</w:t>
            </w:r>
          </w:p>
        </w:tc>
        <w:tc>
          <w:tcPr>
            <w:tcW w:w="939" w:type="dxa"/>
            <w:tcBorders>
              <w:top w:val="single" w:sz="6" w:space="0" w:color="auto"/>
              <w:left w:val="single" w:sz="6" w:space="0" w:color="auto"/>
              <w:bottom w:val="single" w:sz="6" w:space="0" w:color="auto"/>
              <w:right w:val="single" w:sz="6" w:space="0" w:color="auto"/>
            </w:tcBorders>
          </w:tcPr>
          <w:p w14:paraId="70A01B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195/3000</w:t>
            </w:r>
          </w:p>
        </w:tc>
        <w:tc>
          <w:tcPr>
            <w:tcW w:w="939" w:type="dxa"/>
            <w:tcBorders>
              <w:top w:val="single" w:sz="6" w:space="0" w:color="auto"/>
              <w:left w:val="single" w:sz="6" w:space="0" w:color="auto"/>
              <w:bottom w:val="single" w:sz="6" w:space="0" w:color="auto"/>
              <w:right w:val="single" w:sz="6" w:space="0" w:color="auto"/>
            </w:tcBorders>
          </w:tcPr>
          <w:p w14:paraId="49581A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20/3000</w:t>
            </w:r>
          </w:p>
        </w:tc>
        <w:tc>
          <w:tcPr>
            <w:tcW w:w="939" w:type="dxa"/>
            <w:tcBorders>
              <w:top w:val="single" w:sz="6" w:space="0" w:color="auto"/>
              <w:left w:val="single" w:sz="6" w:space="0" w:color="auto"/>
              <w:bottom w:val="single" w:sz="6" w:space="0" w:color="auto"/>
              <w:right w:val="single" w:sz="6" w:space="0" w:color="auto"/>
            </w:tcBorders>
          </w:tcPr>
          <w:p w14:paraId="54048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5030</w:t>
            </w:r>
          </w:p>
        </w:tc>
        <w:tc>
          <w:tcPr>
            <w:tcW w:w="939" w:type="dxa"/>
            <w:tcBorders>
              <w:top w:val="single" w:sz="6" w:space="0" w:color="auto"/>
              <w:left w:val="single" w:sz="6" w:space="0" w:color="auto"/>
              <w:bottom w:val="single" w:sz="6" w:space="0" w:color="auto"/>
              <w:right w:val="single" w:sz="6" w:space="0" w:color="auto"/>
            </w:tcBorders>
          </w:tcPr>
          <w:p w14:paraId="4D763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пулем.</w:t>
            </w:r>
          </w:p>
        </w:tc>
        <w:tc>
          <w:tcPr>
            <w:tcW w:w="939" w:type="dxa"/>
            <w:tcBorders>
              <w:top w:val="single" w:sz="6" w:space="0" w:color="auto"/>
              <w:left w:val="single" w:sz="6" w:space="0" w:color="auto"/>
              <w:bottom w:val="single" w:sz="6" w:space="0" w:color="auto"/>
              <w:right w:val="single" w:sz="6" w:space="0" w:color="auto"/>
            </w:tcBorders>
          </w:tcPr>
          <w:p w14:paraId="4B9E21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w:t>
            </w:r>
          </w:p>
        </w:tc>
        <w:tc>
          <w:tcPr>
            <w:tcW w:w="939" w:type="dxa"/>
            <w:tcBorders>
              <w:top w:val="single" w:sz="6" w:space="0" w:color="auto"/>
              <w:left w:val="single" w:sz="6" w:space="0" w:color="auto"/>
              <w:bottom w:val="single" w:sz="6" w:space="0" w:color="auto"/>
              <w:right w:val="single" w:sz="6" w:space="0" w:color="auto"/>
            </w:tcBorders>
          </w:tcPr>
          <w:p w14:paraId="0C7F98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15FB39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Предъявлены технические требовния на эталон </w:t>
            </w:r>
          </w:p>
        </w:tc>
      </w:tr>
      <w:tr w:rsidR="00DA227A" w:rsidRPr="00E93F40" w14:paraId="6428723E" w14:textId="77777777">
        <w:tc>
          <w:tcPr>
            <w:tcW w:w="939" w:type="dxa"/>
            <w:tcBorders>
              <w:top w:val="single" w:sz="6" w:space="0" w:color="auto"/>
              <w:left w:val="single" w:sz="6" w:space="0" w:color="auto"/>
              <w:bottom w:val="single" w:sz="6" w:space="0" w:color="auto"/>
              <w:right w:val="single" w:sz="6" w:space="0" w:color="auto"/>
            </w:tcBorders>
          </w:tcPr>
          <w:p w14:paraId="2DB4B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BEEC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834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209 у земли</w:t>
            </w:r>
          </w:p>
        </w:tc>
        <w:tc>
          <w:tcPr>
            <w:tcW w:w="939" w:type="dxa"/>
            <w:tcBorders>
              <w:top w:val="single" w:sz="6" w:space="0" w:color="auto"/>
              <w:left w:val="single" w:sz="6" w:space="0" w:color="auto"/>
              <w:bottom w:val="single" w:sz="6" w:space="0" w:color="auto"/>
              <w:right w:val="single" w:sz="6" w:space="0" w:color="auto"/>
            </w:tcBorders>
          </w:tcPr>
          <w:p w14:paraId="546F1A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18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огнев.</w:t>
            </w:r>
          </w:p>
        </w:tc>
        <w:tc>
          <w:tcPr>
            <w:tcW w:w="939" w:type="dxa"/>
            <w:tcBorders>
              <w:top w:val="single" w:sz="6" w:space="0" w:color="auto"/>
              <w:left w:val="single" w:sz="6" w:space="0" w:color="auto"/>
              <w:bottom w:val="single" w:sz="6" w:space="0" w:color="auto"/>
              <w:right w:val="single" w:sz="6" w:space="0" w:color="auto"/>
            </w:tcBorders>
          </w:tcPr>
          <w:p w14:paraId="63D52A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DDC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прошли</w:t>
            </w:r>
          </w:p>
        </w:tc>
        <w:tc>
          <w:tcPr>
            <w:tcW w:w="4025" w:type="dxa"/>
            <w:tcBorders>
              <w:top w:val="single" w:sz="6" w:space="0" w:color="auto"/>
              <w:left w:val="single" w:sz="6" w:space="0" w:color="auto"/>
              <w:bottom w:val="single" w:sz="6" w:space="0" w:color="auto"/>
              <w:right w:val="single" w:sz="6" w:space="0" w:color="auto"/>
            </w:tcBorders>
          </w:tcPr>
          <w:p w14:paraId="6E844A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года. Опытный экз. проходит. эксплоатацион.</w:t>
            </w:r>
          </w:p>
        </w:tc>
      </w:tr>
      <w:tr w:rsidR="00DA227A" w:rsidRPr="00E93F40" w14:paraId="2BABB4DA" w14:textId="77777777">
        <w:tc>
          <w:tcPr>
            <w:tcW w:w="939" w:type="dxa"/>
            <w:tcBorders>
              <w:top w:val="single" w:sz="6" w:space="0" w:color="auto"/>
              <w:left w:val="single" w:sz="6" w:space="0" w:color="auto"/>
              <w:bottom w:val="single" w:sz="6" w:space="0" w:color="auto"/>
              <w:right w:val="single" w:sz="6" w:space="0" w:color="auto"/>
            </w:tcBorders>
          </w:tcPr>
          <w:p w14:paraId="7EB3A0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1B3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504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1F9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A9AF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точки</w:t>
            </w:r>
          </w:p>
        </w:tc>
        <w:tc>
          <w:tcPr>
            <w:tcW w:w="939" w:type="dxa"/>
            <w:tcBorders>
              <w:top w:val="single" w:sz="6" w:space="0" w:color="auto"/>
              <w:left w:val="single" w:sz="6" w:space="0" w:color="auto"/>
              <w:bottom w:val="single" w:sz="6" w:space="0" w:color="auto"/>
              <w:right w:val="single" w:sz="6" w:space="0" w:color="auto"/>
            </w:tcBorders>
          </w:tcPr>
          <w:p w14:paraId="4CD06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0E53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июне</w:t>
            </w:r>
          </w:p>
        </w:tc>
        <w:tc>
          <w:tcPr>
            <w:tcW w:w="4025" w:type="dxa"/>
            <w:tcBorders>
              <w:top w:val="single" w:sz="6" w:space="0" w:color="auto"/>
              <w:left w:val="single" w:sz="6" w:space="0" w:color="auto"/>
              <w:bottom w:val="single" w:sz="6" w:space="0" w:color="auto"/>
              <w:right w:val="single" w:sz="6" w:space="0" w:color="auto"/>
            </w:tcBorders>
          </w:tcPr>
          <w:p w14:paraId="2A9831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в Морской испытат. станции НИИ ВВС.</w:t>
            </w:r>
          </w:p>
        </w:tc>
      </w:tr>
      <w:tr w:rsidR="00DA227A" w:rsidRPr="00E93F40" w14:paraId="6CE91939" w14:textId="77777777">
        <w:tc>
          <w:tcPr>
            <w:tcW w:w="939" w:type="dxa"/>
            <w:tcBorders>
              <w:top w:val="single" w:sz="6" w:space="0" w:color="auto"/>
              <w:left w:val="single" w:sz="6" w:space="0" w:color="auto"/>
              <w:bottom w:val="single" w:sz="6" w:space="0" w:color="auto"/>
              <w:right w:val="single" w:sz="6" w:space="0" w:color="auto"/>
            </w:tcBorders>
          </w:tcPr>
          <w:p w14:paraId="7545DB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0D06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CBF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443C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DBA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 кг бомб</w:t>
            </w:r>
          </w:p>
        </w:tc>
        <w:tc>
          <w:tcPr>
            <w:tcW w:w="939" w:type="dxa"/>
            <w:tcBorders>
              <w:top w:val="single" w:sz="6" w:space="0" w:color="auto"/>
              <w:left w:val="single" w:sz="6" w:space="0" w:color="auto"/>
              <w:bottom w:val="single" w:sz="6" w:space="0" w:color="auto"/>
              <w:right w:val="single" w:sz="6" w:space="0" w:color="auto"/>
            </w:tcBorders>
          </w:tcPr>
          <w:p w14:paraId="67ED5C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F5F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c>
          <w:tcPr>
            <w:tcW w:w="4025" w:type="dxa"/>
            <w:tcBorders>
              <w:top w:val="single" w:sz="6" w:space="0" w:color="auto"/>
              <w:left w:val="single" w:sz="6" w:space="0" w:color="auto"/>
              <w:bottom w:val="single" w:sz="6" w:space="0" w:color="auto"/>
              <w:right w:val="single" w:sz="6" w:space="0" w:color="auto"/>
            </w:tcBorders>
          </w:tcPr>
          <w:p w14:paraId="51EC2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Промышленности дан заказ на постройку серии в</w:t>
            </w:r>
          </w:p>
        </w:tc>
      </w:tr>
      <w:tr w:rsidR="00DA227A" w:rsidRPr="00E93F40" w14:paraId="1CF16240" w14:textId="77777777">
        <w:tc>
          <w:tcPr>
            <w:tcW w:w="939" w:type="dxa"/>
            <w:tcBorders>
              <w:top w:val="single" w:sz="6" w:space="0" w:color="auto"/>
              <w:left w:val="single" w:sz="6" w:space="0" w:color="auto"/>
              <w:bottom w:val="single" w:sz="6" w:space="0" w:color="auto"/>
              <w:right w:val="single" w:sz="6" w:space="0" w:color="auto"/>
            </w:tcBorders>
          </w:tcPr>
          <w:p w14:paraId="45799A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E09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548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24F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22FB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счет перег.</w:t>
            </w:r>
          </w:p>
        </w:tc>
        <w:tc>
          <w:tcPr>
            <w:tcW w:w="939" w:type="dxa"/>
            <w:tcBorders>
              <w:top w:val="single" w:sz="6" w:space="0" w:color="auto"/>
              <w:left w:val="single" w:sz="6" w:space="0" w:color="auto"/>
              <w:bottom w:val="single" w:sz="6" w:space="0" w:color="auto"/>
              <w:right w:val="single" w:sz="6" w:space="0" w:color="auto"/>
            </w:tcBorders>
          </w:tcPr>
          <w:p w14:paraId="620716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B2D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309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году.</w:t>
            </w:r>
          </w:p>
        </w:tc>
      </w:tr>
      <w:tr w:rsidR="00DA227A" w:rsidRPr="00E93F40" w14:paraId="2CA966E5" w14:textId="77777777">
        <w:tc>
          <w:tcPr>
            <w:tcW w:w="939" w:type="dxa"/>
            <w:tcBorders>
              <w:top w:val="single" w:sz="6" w:space="0" w:color="auto"/>
              <w:left w:val="single" w:sz="6" w:space="0" w:color="auto"/>
              <w:bottom w:val="single" w:sz="6" w:space="0" w:color="auto"/>
              <w:right w:val="single" w:sz="6" w:space="0" w:color="auto"/>
            </w:tcBorders>
          </w:tcPr>
          <w:p w14:paraId="7352F3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456C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5CE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0CE9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763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держ. на</w:t>
            </w:r>
          </w:p>
        </w:tc>
        <w:tc>
          <w:tcPr>
            <w:tcW w:w="939" w:type="dxa"/>
            <w:tcBorders>
              <w:top w:val="single" w:sz="6" w:space="0" w:color="auto"/>
              <w:left w:val="single" w:sz="6" w:space="0" w:color="auto"/>
              <w:bottom w:val="single" w:sz="6" w:space="0" w:color="auto"/>
              <w:right w:val="single" w:sz="6" w:space="0" w:color="auto"/>
            </w:tcBorders>
          </w:tcPr>
          <w:p w14:paraId="04C91B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364A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7E08D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9AE8CE3" w14:textId="77777777">
        <w:tc>
          <w:tcPr>
            <w:tcW w:w="939" w:type="dxa"/>
            <w:tcBorders>
              <w:top w:val="single" w:sz="6" w:space="0" w:color="auto"/>
              <w:left w:val="single" w:sz="6" w:space="0" w:color="auto"/>
              <w:bottom w:val="single" w:sz="6" w:space="0" w:color="auto"/>
              <w:right w:val="single" w:sz="6" w:space="0" w:color="auto"/>
            </w:tcBorders>
          </w:tcPr>
          <w:p w14:paraId="79DD2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C35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5CA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5FDC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904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 кг</w:t>
            </w:r>
          </w:p>
        </w:tc>
        <w:tc>
          <w:tcPr>
            <w:tcW w:w="939" w:type="dxa"/>
            <w:tcBorders>
              <w:top w:val="single" w:sz="6" w:space="0" w:color="auto"/>
              <w:left w:val="single" w:sz="6" w:space="0" w:color="auto"/>
              <w:bottom w:val="single" w:sz="6" w:space="0" w:color="auto"/>
              <w:right w:val="single" w:sz="6" w:space="0" w:color="auto"/>
            </w:tcBorders>
          </w:tcPr>
          <w:p w14:paraId="044CB5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CC8F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BACA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D9F2E55" w14:textId="77777777">
        <w:tc>
          <w:tcPr>
            <w:tcW w:w="939" w:type="dxa"/>
            <w:tcBorders>
              <w:top w:val="single" w:sz="6" w:space="0" w:color="auto"/>
              <w:left w:val="single" w:sz="6" w:space="0" w:color="auto"/>
              <w:bottom w:val="single" w:sz="6" w:space="0" w:color="auto"/>
              <w:right w:val="single" w:sz="6" w:space="0" w:color="auto"/>
            </w:tcBorders>
          </w:tcPr>
          <w:p w14:paraId="285FA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МБР4-АССО 750</w:t>
            </w:r>
          </w:p>
        </w:tc>
        <w:tc>
          <w:tcPr>
            <w:tcW w:w="939" w:type="dxa"/>
            <w:tcBorders>
              <w:top w:val="single" w:sz="6" w:space="0" w:color="auto"/>
              <w:left w:val="single" w:sz="6" w:space="0" w:color="auto"/>
              <w:bottom w:val="single" w:sz="6" w:space="0" w:color="auto"/>
              <w:right w:val="single" w:sz="6" w:space="0" w:color="auto"/>
            </w:tcBorders>
          </w:tcPr>
          <w:p w14:paraId="79B4E8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с-та С62б-АССО 750.</w:t>
            </w:r>
          </w:p>
        </w:tc>
        <w:tc>
          <w:tcPr>
            <w:tcW w:w="939" w:type="dxa"/>
            <w:tcBorders>
              <w:top w:val="single" w:sz="6" w:space="0" w:color="auto"/>
              <w:left w:val="single" w:sz="6" w:space="0" w:color="auto"/>
              <w:bottom w:val="single" w:sz="6" w:space="0" w:color="auto"/>
              <w:right w:val="single" w:sz="6" w:space="0" w:color="auto"/>
            </w:tcBorders>
          </w:tcPr>
          <w:p w14:paraId="2C460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94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EEBD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F9D5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8F51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C3CA5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 прошел гос. испытания. По сравнению с С62 бис</w:t>
            </w:r>
          </w:p>
        </w:tc>
      </w:tr>
      <w:tr w:rsidR="00DA227A" w:rsidRPr="00E93F40" w14:paraId="0934F65C" w14:textId="77777777">
        <w:tc>
          <w:tcPr>
            <w:tcW w:w="939" w:type="dxa"/>
            <w:tcBorders>
              <w:top w:val="single" w:sz="6" w:space="0" w:color="auto"/>
              <w:left w:val="single" w:sz="6" w:space="0" w:color="auto"/>
              <w:bottom w:val="single" w:sz="6" w:space="0" w:color="auto"/>
              <w:right w:val="single" w:sz="6" w:space="0" w:color="auto"/>
            </w:tcBorders>
          </w:tcPr>
          <w:p w14:paraId="2EC129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6D7C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58E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A17C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39EE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9150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B3E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7EF7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показал пониженные летные данные и перетяжелен.</w:t>
            </w:r>
          </w:p>
        </w:tc>
      </w:tr>
      <w:tr w:rsidR="00DA227A" w:rsidRPr="00E93F40" w14:paraId="174C950C" w14:textId="77777777">
        <w:tc>
          <w:tcPr>
            <w:tcW w:w="939" w:type="dxa"/>
            <w:tcBorders>
              <w:top w:val="single" w:sz="6" w:space="0" w:color="auto"/>
              <w:left w:val="single" w:sz="6" w:space="0" w:color="auto"/>
              <w:bottom w:val="single" w:sz="6" w:space="0" w:color="auto"/>
              <w:right w:val="single" w:sz="6" w:space="0" w:color="auto"/>
            </w:tcBorders>
          </w:tcPr>
          <w:p w14:paraId="4FDBD4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8665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EE8C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8172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0218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6BDE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3CFC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EAFBF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Разработаны и даны технические требования на</w:t>
            </w:r>
          </w:p>
        </w:tc>
      </w:tr>
      <w:tr w:rsidR="00DA227A" w:rsidRPr="00E93F40" w14:paraId="7C68C95A" w14:textId="77777777">
        <w:tc>
          <w:tcPr>
            <w:tcW w:w="939" w:type="dxa"/>
            <w:tcBorders>
              <w:top w:val="single" w:sz="6" w:space="0" w:color="auto"/>
              <w:left w:val="single" w:sz="6" w:space="0" w:color="auto"/>
              <w:bottom w:val="single" w:sz="6" w:space="0" w:color="auto"/>
              <w:right w:val="single" w:sz="6" w:space="0" w:color="auto"/>
            </w:tcBorders>
          </w:tcPr>
          <w:p w14:paraId="6FFEAD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4FED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5E50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49F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C5E1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C8B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6C6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18B6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эталон 1933 года. Промышленности предъявлено</w:t>
            </w:r>
          </w:p>
        </w:tc>
      </w:tr>
      <w:tr w:rsidR="00DA227A" w:rsidRPr="00E93F40" w14:paraId="7BD66928" w14:textId="77777777">
        <w:tc>
          <w:tcPr>
            <w:tcW w:w="939" w:type="dxa"/>
            <w:tcBorders>
              <w:top w:val="single" w:sz="6" w:space="0" w:color="auto"/>
              <w:left w:val="single" w:sz="6" w:space="0" w:color="auto"/>
              <w:bottom w:val="single" w:sz="6" w:space="0" w:color="auto"/>
              <w:right w:val="single" w:sz="6" w:space="0" w:color="auto"/>
            </w:tcBorders>
          </w:tcPr>
          <w:p w14:paraId="5B017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3A99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158A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067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373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C493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5DAA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A71D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требование: а) снять перетяжеление 133 кг+250 кг</w:t>
            </w:r>
          </w:p>
        </w:tc>
      </w:tr>
      <w:tr w:rsidR="00DA227A" w:rsidRPr="00E93F40" w14:paraId="720542EC" w14:textId="77777777">
        <w:tc>
          <w:tcPr>
            <w:tcW w:w="939" w:type="dxa"/>
            <w:tcBorders>
              <w:top w:val="single" w:sz="6" w:space="0" w:color="auto"/>
              <w:left w:val="single" w:sz="6" w:space="0" w:color="auto"/>
              <w:bottom w:val="single" w:sz="6" w:space="0" w:color="auto"/>
              <w:right w:val="single" w:sz="6" w:space="0" w:color="auto"/>
            </w:tcBorders>
          </w:tcPr>
          <w:p w14:paraId="6B8D2B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BA68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42D0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4DCB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944B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1EDE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48EF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4065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дать облегчение, б) приступить к постройке крыльев</w:t>
            </w:r>
          </w:p>
        </w:tc>
      </w:tr>
      <w:tr w:rsidR="00DA227A" w:rsidRPr="00E93F40" w14:paraId="5EE78CAD" w14:textId="77777777">
        <w:tc>
          <w:tcPr>
            <w:tcW w:w="939" w:type="dxa"/>
            <w:tcBorders>
              <w:top w:val="single" w:sz="6" w:space="0" w:color="auto"/>
              <w:left w:val="single" w:sz="6" w:space="0" w:color="auto"/>
              <w:bottom w:val="single" w:sz="6" w:space="0" w:color="auto"/>
              <w:right w:val="single" w:sz="6" w:space="0" w:color="auto"/>
            </w:tcBorders>
          </w:tcPr>
          <w:p w14:paraId="4EE540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F32B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EAB7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9B78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675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358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1C3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D213B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предкрылками, в) улучшить летные и пилотажные</w:t>
            </w:r>
          </w:p>
        </w:tc>
      </w:tr>
      <w:tr w:rsidR="00DA227A" w:rsidRPr="00E93F40" w14:paraId="1E1CEA21" w14:textId="77777777">
        <w:tc>
          <w:tcPr>
            <w:tcW w:w="939" w:type="dxa"/>
            <w:tcBorders>
              <w:top w:val="single" w:sz="6" w:space="0" w:color="auto"/>
              <w:left w:val="single" w:sz="6" w:space="0" w:color="auto"/>
              <w:bottom w:val="single" w:sz="6" w:space="0" w:color="auto"/>
              <w:right w:val="single" w:sz="6" w:space="0" w:color="auto"/>
            </w:tcBorders>
          </w:tcPr>
          <w:p w14:paraId="740CC1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6A56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7EA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6CB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8160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541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54D9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B34A7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качества самолета.</w:t>
            </w:r>
          </w:p>
        </w:tc>
      </w:tr>
      <w:tr w:rsidR="00DA227A" w:rsidRPr="00E93F40" w14:paraId="00CBA6F4" w14:textId="77777777">
        <w:tc>
          <w:tcPr>
            <w:tcW w:w="939" w:type="dxa"/>
            <w:tcBorders>
              <w:top w:val="single" w:sz="6" w:space="0" w:color="auto"/>
              <w:left w:val="single" w:sz="6" w:space="0" w:color="auto"/>
              <w:bottom w:val="single" w:sz="6" w:space="0" w:color="auto"/>
              <w:right w:val="single" w:sz="6" w:space="0" w:color="auto"/>
            </w:tcBorders>
          </w:tcPr>
          <w:p w14:paraId="564EB2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А1 М11 амфибия</w:t>
            </w:r>
          </w:p>
        </w:tc>
        <w:tc>
          <w:tcPr>
            <w:tcW w:w="939" w:type="dxa"/>
            <w:tcBorders>
              <w:top w:val="single" w:sz="6" w:space="0" w:color="auto"/>
              <w:left w:val="single" w:sz="6" w:space="0" w:color="auto"/>
              <w:bottom w:val="single" w:sz="6" w:space="0" w:color="auto"/>
              <w:right w:val="single" w:sz="6" w:space="0" w:color="auto"/>
            </w:tcBorders>
          </w:tcPr>
          <w:p w14:paraId="241C1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Испытаний в ВВС самолет не проходил.</w:t>
            </w:r>
          </w:p>
        </w:tc>
        <w:tc>
          <w:tcPr>
            <w:tcW w:w="939" w:type="dxa"/>
            <w:tcBorders>
              <w:top w:val="single" w:sz="6" w:space="0" w:color="auto"/>
              <w:left w:val="single" w:sz="6" w:space="0" w:color="auto"/>
              <w:bottom w:val="single" w:sz="6" w:space="0" w:color="auto"/>
              <w:right w:val="single" w:sz="6" w:space="0" w:color="auto"/>
            </w:tcBorders>
          </w:tcPr>
          <w:p w14:paraId="65E3DE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D9E6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65E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F64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25E9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27295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заказанной ВВС серии в кол-ве 10 с-тов предпол.</w:t>
            </w:r>
          </w:p>
        </w:tc>
      </w:tr>
      <w:tr w:rsidR="00DA227A" w:rsidRPr="00E93F40" w14:paraId="1C9B04D7" w14:textId="77777777">
        <w:tc>
          <w:tcPr>
            <w:tcW w:w="939" w:type="dxa"/>
            <w:tcBorders>
              <w:top w:val="single" w:sz="6" w:space="0" w:color="auto"/>
              <w:left w:val="single" w:sz="6" w:space="0" w:color="auto"/>
              <w:bottom w:val="single" w:sz="6" w:space="0" w:color="auto"/>
              <w:right w:val="single" w:sz="6" w:space="0" w:color="auto"/>
            </w:tcBorders>
          </w:tcPr>
          <w:p w14:paraId="1FD092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9970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7EF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56D7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961D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EDB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6F06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24783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I кв. один с-т испытать в примененном для </w:t>
            </w:r>
          </w:p>
        </w:tc>
      </w:tr>
      <w:tr w:rsidR="009D12BD" w:rsidRPr="00E93F40" w14:paraId="1DE22953" w14:textId="77777777">
        <w:tc>
          <w:tcPr>
            <w:tcW w:w="939" w:type="dxa"/>
            <w:tcBorders>
              <w:top w:val="single" w:sz="6" w:space="0" w:color="auto"/>
              <w:left w:val="single" w:sz="6" w:space="0" w:color="auto"/>
              <w:bottom w:val="single" w:sz="6" w:space="0" w:color="auto"/>
              <w:right w:val="single" w:sz="6" w:space="0" w:color="auto"/>
            </w:tcBorders>
          </w:tcPr>
          <w:p w14:paraId="021565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D55F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B335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2C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4CA7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35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BB3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9098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военных нужд виде (3029,91-103).</w:t>
            </w:r>
          </w:p>
        </w:tc>
      </w:tr>
    </w:tbl>
    <w:p w14:paraId="085811E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BD9B0A" w14:textId="77777777" w:rsidR="000875A5" w:rsidRPr="00E93F40" w:rsidRDefault="000875A5" w:rsidP="00E93F40">
      <w:pPr>
        <w:pStyle w:val="520"/>
        <w:shd w:val="clear" w:color="auto" w:fill="auto"/>
        <w:spacing w:line="240" w:lineRule="auto"/>
        <w:rPr>
          <w:rStyle w:val="aff"/>
          <w:rFonts w:ascii="Times New Roman" w:hAnsi="Times New Roman" w:cs="Times New Roman"/>
          <w:color w:val="000000" w:themeColor="text1"/>
          <w:spacing w:val="0"/>
          <w:sz w:val="16"/>
          <w:szCs w:val="16"/>
        </w:rPr>
      </w:pPr>
      <w:r w:rsidRPr="00E93F40">
        <w:rPr>
          <w:rFonts w:ascii="Times New Roman" w:hAnsi="Times New Roman" w:cs="Times New Roman"/>
          <w:color w:val="000000" w:themeColor="text1"/>
          <w:sz w:val="16"/>
          <w:szCs w:val="16"/>
        </w:rPr>
        <w:t>31 декабря 1932 года начальник НИИ ВВС Зильберт в своем письме №315сс, направлен</w:t>
      </w:r>
      <w:r w:rsidRPr="00E93F40">
        <w:rPr>
          <w:rFonts w:ascii="Times New Roman" w:hAnsi="Times New Roman" w:cs="Times New Roman"/>
          <w:color w:val="000000" w:themeColor="text1"/>
          <w:sz w:val="16"/>
          <w:szCs w:val="16"/>
        </w:rPr>
        <w:softHyphen/>
        <w:t>ном председателю РВС К.Е. Ворошилову, зам</w:t>
      </w:r>
      <w:r w:rsidRPr="00E93F40">
        <w:rPr>
          <w:rFonts w:ascii="Times New Roman" w:hAnsi="Times New Roman" w:cs="Times New Roman"/>
          <w:color w:val="000000" w:themeColor="text1"/>
          <w:sz w:val="16"/>
          <w:szCs w:val="16"/>
        </w:rPr>
        <w:softHyphen/>
        <w:t>предам РВС М.Н. Тухачевскому, Я.Б. Гамарни</w:t>
      </w:r>
      <w:r w:rsidRPr="00E93F40">
        <w:rPr>
          <w:rFonts w:ascii="Times New Roman" w:hAnsi="Times New Roman" w:cs="Times New Roman"/>
          <w:color w:val="000000" w:themeColor="text1"/>
          <w:sz w:val="16"/>
          <w:szCs w:val="16"/>
        </w:rPr>
        <w:softHyphen/>
        <w:t>ку, С.С. Каменеву, начальнику штаба РККА А.И. Егорову, начальнику ВВС Я.И. Алкснису, начальнику ВАО П.И. Баранову и в 00 ОГПУ с докладом о состоянии работ по опытному моторо- и самолетостроению на 1 января 1933 года, про автожир Камова сообщал сле</w:t>
      </w:r>
      <w:r w:rsidRPr="00E93F40">
        <w:rPr>
          <w:rFonts w:ascii="Times New Roman" w:hAnsi="Times New Roman" w:cs="Times New Roman"/>
          <w:color w:val="000000" w:themeColor="text1"/>
          <w:sz w:val="16"/>
          <w:szCs w:val="16"/>
        </w:rPr>
        <w:softHyphen/>
        <w:t>дующее: «Проектирование автожира с мото</w:t>
      </w:r>
      <w:r w:rsidRPr="00E93F40">
        <w:rPr>
          <w:rFonts w:ascii="Times New Roman" w:hAnsi="Times New Roman" w:cs="Times New Roman"/>
          <w:color w:val="000000" w:themeColor="text1"/>
          <w:sz w:val="16"/>
          <w:szCs w:val="16"/>
        </w:rPr>
        <w:softHyphen/>
        <w:t>ром М-22 закончено, за исключением воору</w:t>
      </w:r>
      <w:r w:rsidRPr="00E93F40">
        <w:rPr>
          <w:rFonts w:ascii="Times New Roman" w:hAnsi="Times New Roman" w:cs="Times New Roman"/>
          <w:color w:val="000000" w:themeColor="text1"/>
          <w:sz w:val="16"/>
          <w:szCs w:val="16"/>
        </w:rPr>
        <w:softHyphen/>
        <w:t>жения и части оборудования. Начата постройка. Срок окончания последней наме</w:t>
      </w:r>
      <w:r w:rsidRPr="00E93F40">
        <w:rPr>
          <w:rStyle w:val="aff"/>
          <w:rFonts w:ascii="Times New Roman" w:hAnsi="Times New Roman" w:cs="Times New Roman"/>
          <w:color w:val="000000" w:themeColor="text1"/>
          <w:spacing w:val="0"/>
          <w:sz w:val="16"/>
          <w:szCs w:val="16"/>
        </w:rPr>
        <w:t>чен на май 1933 года»</w:t>
      </w:r>
      <w:r w:rsidRPr="00E93F40">
        <w:rPr>
          <w:rStyle w:val="aff"/>
          <w:rFonts w:ascii="Times New Roman" w:hAnsi="Times New Roman" w:cs="Times New Roman"/>
          <w:color w:val="000000" w:themeColor="text1"/>
          <w:spacing w:val="0"/>
          <w:sz w:val="16"/>
          <w:szCs w:val="16"/>
          <w:lang w:val="ru-RU"/>
        </w:rPr>
        <w:t xml:space="preserve"> (19868)</w:t>
      </w:r>
      <w:r w:rsidRPr="00E93F40">
        <w:rPr>
          <w:rStyle w:val="aff"/>
          <w:rFonts w:ascii="Times New Roman" w:hAnsi="Times New Roman" w:cs="Times New Roman"/>
          <w:color w:val="000000" w:themeColor="text1"/>
          <w:spacing w:val="0"/>
          <w:sz w:val="16"/>
          <w:szCs w:val="16"/>
        </w:rPr>
        <w:t>.</w:t>
      </w:r>
    </w:p>
    <w:p w14:paraId="57F1B5A8" w14:textId="77777777" w:rsidR="000875A5" w:rsidRPr="00E93F40" w:rsidRDefault="000875A5" w:rsidP="00E93F40">
      <w:pPr>
        <w:pStyle w:val="520"/>
        <w:shd w:val="clear" w:color="auto" w:fill="auto"/>
        <w:spacing w:line="240" w:lineRule="auto"/>
        <w:rPr>
          <w:rStyle w:val="aff"/>
          <w:rFonts w:ascii="Times New Roman" w:hAnsi="Times New Roman" w:cs="Times New Roman"/>
          <w:color w:val="000000" w:themeColor="text1"/>
          <w:spacing w:val="0"/>
          <w:sz w:val="16"/>
          <w:szCs w:val="16"/>
        </w:rPr>
      </w:pPr>
    </w:p>
    <w:p w14:paraId="35B44A20"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08C7AB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84D07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декабря 1932 г. были подготовлены СТАТИСТИЧЕСКИЕ МАТЕРИАЛЫ ДЛЯ РУКОВОДСТВА УММ ПО АВТОБРОНЕТЕХНИКЕ</w:t>
      </w:r>
    </w:p>
    <w:p w14:paraId="0E3472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Таблица наличия мирового автотранспорта (без мотоциклов) по состоянию на 1.01.1932 г.</w:t>
      </w:r>
    </w:p>
    <w:tbl>
      <w:tblPr>
        <w:tblW w:w="0" w:type="auto"/>
        <w:tblInd w:w="40" w:type="dxa"/>
        <w:tblLayout w:type="fixed"/>
        <w:tblCellMar>
          <w:left w:w="40" w:type="dxa"/>
          <w:right w:w="40" w:type="dxa"/>
        </w:tblCellMar>
        <w:tblLook w:val="0000" w:firstRow="0" w:lastRow="0" w:firstColumn="0" w:lastColumn="0" w:noHBand="0" w:noVBand="0"/>
      </w:tblPr>
      <w:tblGrid>
        <w:gridCol w:w="528"/>
        <w:gridCol w:w="2266"/>
        <w:gridCol w:w="1181"/>
        <w:gridCol w:w="566"/>
        <w:gridCol w:w="2131"/>
        <w:gridCol w:w="1027"/>
      </w:tblGrid>
      <w:tr w:rsidR="00DA227A" w:rsidRPr="00E93F40" w14:paraId="17113F8C" w14:textId="77777777">
        <w:trPr>
          <w:trHeight w:val="374"/>
        </w:trPr>
        <w:tc>
          <w:tcPr>
            <w:tcW w:w="528" w:type="dxa"/>
            <w:tcBorders>
              <w:top w:val="single" w:sz="6" w:space="0" w:color="auto"/>
              <w:left w:val="single" w:sz="6" w:space="0" w:color="auto"/>
              <w:bottom w:val="single" w:sz="6" w:space="0" w:color="auto"/>
              <w:right w:val="single" w:sz="6" w:space="0" w:color="auto"/>
            </w:tcBorders>
          </w:tcPr>
          <w:p w14:paraId="0D2896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п/п.</w:t>
            </w:r>
          </w:p>
          <w:p w14:paraId="6920C3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8EA54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 государств</w:t>
            </w:r>
          </w:p>
          <w:p w14:paraId="40A858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55C2E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машин</w:t>
            </w:r>
          </w:p>
          <w:p w14:paraId="0C66C4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D9258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26BB4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w:t>
            </w:r>
          </w:p>
          <w:p w14:paraId="08FC4C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21406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 государств</w:t>
            </w:r>
          </w:p>
          <w:p w14:paraId="654E9E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4193E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машин</w:t>
            </w:r>
          </w:p>
          <w:p w14:paraId="2780E6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1D0B00"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0BBF8A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4E264E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E92DB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w:t>
            </w:r>
          </w:p>
          <w:p w14:paraId="53067F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B43A3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26.132.116</w:t>
            </w:r>
          </w:p>
          <w:p w14:paraId="2CF1D5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498CA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w:t>
            </w:r>
          </w:p>
          <w:p w14:paraId="04AF77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A9274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Австрия</w:t>
            </w:r>
          </w:p>
          <w:p w14:paraId="3F947A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E2C81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28.100</w:t>
            </w:r>
          </w:p>
          <w:p w14:paraId="4C71E9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961F91"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7A3BD1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p w14:paraId="63DB0E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5D02B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p w14:paraId="7E2BDB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3878A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1.695.000</w:t>
            </w:r>
          </w:p>
          <w:p w14:paraId="31CA15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0B664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p w14:paraId="603993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BD502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Северн. Ирландия</w:t>
            </w:r>
          </w:p>
          <w:p w14:paraId="55C47F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E5D71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26.100</w:t>
            </w:r>
          </w:p>
          <w:p w14:paraId="11CF87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C79D23"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745DE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w:t>
            </w:r>
          </w:p>
          <w:p w14:paraId="2E6F48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E4ADB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p w14:paraId="18D613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7BBEC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1.557.130</w:t>
            </w:r>
          </w:p>
          <w:p w14:paraId="2F5E12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6FB0C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p w14:paraId="280B5F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75935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Британск. вост. Африка</w:t>
            </w:r>
          </w:p>
          <w:p w14:paraId="1462E2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0905F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24.321</w:t>
            </w:r>
          </w:p>
          <w:p w14:paraId="2DB3DA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7CA223"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6FE43F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p w14:paraId="225783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12501E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Канада</w:t>
            </w:r>
          </w:p>
          <w:p w14:paraId="26A573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4468E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1.188.237</w:t>
            </w:r>
          </w:p>
          <w:p w14:paraId="11CCD9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AC903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p w14:paraId="0C97D3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379D01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Марроко</w:t>
            </w:r>
          </w:p>
          <w:p w14:paraId="1D3D33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FF613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22.844</w:t>
            </w:r>
          </w:p>
          <w:p w14:paraId="2E4F5B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08EFC4E"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0964EB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p w14:paraId="7FAEAF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B875C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Германия</w:t>
            </w:r>
          </w:p>
          <w:p w14:paraId="42F5C5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9A739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688.136</w:t>
            </w:r>
          </w:p>
          <w:p w14:paraId="4F515C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F44B3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w:t>
            </w:r>
          </w:p>
          <w:p w14:paraId="09AC63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356E7B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 Индо-Китай</w:t>
            </w:r>
          </w:p>
          <w:p w14:paraId="6A940E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D04FB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21.876</w:t>
            </w:r>
          </w:p>
          <w:p w14:paraId="53376E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784595"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871F3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p w14:paraId="269C69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98D7F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Австралия</w:t>
            </w:r>
          </w:p>
          <w:p w14:paraId="246565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0E0AF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525.848</w:t>
            </w:r>
          </w:p>
          <w:p w14:paraId="26B30C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DFEBB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w:t>
            </w:r>
          </w:p>
          <w:p w14:paraId="70697C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9DBDD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Цейлон</w:t>
            </w:r>
          </w:p>
          <w:p w14:paraId="22DDA9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CC192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20.273</w:t>
            </w:r>
          </w:p>
          <w:p w14:paraId="1912B3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EFD33F"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0A1271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p w14:paraId="00A929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4B93B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Аргентина</w:t>
            </w:r>
          </w:p>
          <w:p w14:paraId="011DAA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A17ED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345.856</w:t>
            </w:r>
          </w:p>
          <w:p w14:paraId="330E7C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DC382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p w14:paraId="60824F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22761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Греция</w:t>
            </w:r>
          </w:p>
          <w:p w14:paraId="3BCCCE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B15CE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20.000</w:t>
            </w:r>
          </w:p>
          <w:p w14:paraId="4EA3F4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96AF7A"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587C5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p w14:paraId="04A8AA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5B277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p w14:paraId="3AA8F4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EB098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285.042</w:t>
            </w:r>
          </w:p>
          <w:p w14:paraId="57CA88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FF3EE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w:t>
            </w:r>
          </w:p>
          <w:p w14:paraId="1C0214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6DADB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Венгрия</w:t>
            </w:r>
          </w:p>
          <w:p w14:paraId="652B85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BF65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19.333</w:t>
            </w:r>
          </w:p>
          <w:p w14:paraId="36A28A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942C60"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73D688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p w14:paraId="084DE4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F3099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Ново-Зеландия</w:t>
            </w:r>
          </w:p>
          <w:p w14:paraId="768785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816EA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192.576</w:t>
            </w:r>
          </w:p>
          <w:p w14:paraId="3241A2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B0525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w:t>
            </w:r>
          </w:p>
          <w:p w14:paraId="2F7128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318D9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Пуэрто-Рико</w:t>
            </w:r>
          </w:p>
          <w:p w14:paraId="0B4B99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E3A31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16.530</w:t>
            </w:r>
          </w:p>
          <w:p w14:paraId="49928F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AA1E02"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4D771D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p w14:paraId="6DA2E5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1D598D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Индия</w:t>
            </w:r>
          </w:p>
          <w:p w14:paraId="0FA5B4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304CD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180.191</w:t>
            </w:r>
          </w:p>
          <w:p w14:paraId="4A5D69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CB649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w:t>
            </w:r>
          </w:p>
          <w:p w14:paraId="78200C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0979C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Родезия</w:t>
            </w:r>
          </w:p>
          <w:p w14:paraId="534FD2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84D416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16.396</w:t>
            </w:r>
          </w:p>
          <w:p w14:paraId="06D27A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D537D6"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04E04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p w14:paraId="0C05D6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70A8D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Испания</w:t>
            </w:r>
          </w:p>
          <w:p w14:paraId="4AF0FB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9FD86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177.900</w:t>
            </w:r>
          </w:p>
          <w:p w14:paraId="2E0F10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2FDC1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p w14:paraId="2BEBF9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6DC60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Югославия</w:t>
            </w:r>
          </w:p>
          <w:p w14:paraId="1F5DE6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0687D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p w14:paraId="73A855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5C840E"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DCBD6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p w14:paraId="6FF28F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477714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Бразилия</w:t>
            </w:r>
          </w:p>
          <w:p w14:paraId="3E5119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84058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163.200</w:t>
            </w:r>
          </w:p>
          <w:p w14:paraId="678654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7724B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p w14:paraId="66D85C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55FAA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Венесуэла</w:t>
            </w:r>
          </w:p>
          <w:p w14:paraId="121535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2BF92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w:t>
            </w:r>
          </w:p>
          <w:p w14:paraId="1A6651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CFC841"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1242E67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p w14:paraId="2B90A4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7055A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Южная Африка</w:t>
            </w:r>
          </w:p>
          <w:p w14:paraId="537205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83724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159.000</w:t>
            </w:r>
          </w:p>
          <w:p w14:paraId="569238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2A0A4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w:t>
            </w:r>
          </w:p>
          <w:p w14:paraId="27D234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462D94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Брит.Зап.Африка</w:t>
            </w:r>
          </w:p>
          <w:p w14:paraId="5DAE03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7CAE3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14.538</w:t>
            </w:r>
          </w:p>
          <w:p w14:paraId="3D7392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74DD60"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5F4216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p w14:paraId="055EFD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83BEC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Швеция</w:t>
            </w:r>
          </w:p>
          <w:p w14:paraId="1DFF19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E83EA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152.000</w:t>
            </w:r>
          </w:p>
          <w:p w14:paraId="05D467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09D65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w:t>
            </w:r>
          </w:p>
          <w:p w14:paraId="715657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859BD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Колумбия</w:t>
            </w:r>
          </w:p>
          <w:p w14:paraId="45C2AF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8D24CC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13.750</w:t>
            </w:r>
          </w:p>
          <w:p w14:paraId="16D88B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715EFB"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7A5D62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p w14:paraId="6BA9CB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BE3B7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Бельгия</w:t>
            </w:r>
          </w:p>
          <w:p w14:paraId="1A0131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AE472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150.980</w:t>
            </w:r>
          </w:p>
          <w:p w14:paraId="690DC9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E4E8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p w14:paraId="78AFDF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E1D5C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Тунис</w:t>
            </w:r>
          </w:p>
          <w:p w14:paraId="178207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2639D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11.955</w:t>
            </w:r>
          </w:p>
          <w:p w14:paraId="72A17E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E544C3"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7055A1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p w14:paraId="2027F8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881E9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Голландия</w:t>
            </w:r>
          </w:p>
          <w:p w14:paraId="6AF369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71B137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136.000</w:t>
            </w:r>
          </w:p>
          <w:p w14:paraId="04C6EF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EEBA7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w:t>
            </w:r>
          </w:p>
          <w:p w14:paraId="117D34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B418C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Сирия</w:t>
            </w:r>
          </w:p>
          <w:p w14:paraId="6CC5ED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03335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11.772</w:t>
            </w:r>
          </w:p>
          <w:p w14:paraId="479B89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3344A3"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A8BC5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w:t>
            </w:r>
          </w:p>
          <w:p w14:paraId="3F3514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253DE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Дания</w:t>
            </w:r>
          </w:p>
          <w:p w14:paraId="168EEA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3D91B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120.338</w:t>
            </w:r>
          </w:p>
          <w:p w14:paraId="3AF5CE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30A21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p w14:paraId="36B30A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DB43C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Перу</w:t>
            </w:r>
          </w:p>
          <w:p w14:paraId="568647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87970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10.850</w:t>
            </w:r>
          </w:p>
          <w:p w14:paraId="65E73D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315F77"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10DD1F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p w14:paraId="0E0FFA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161A31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Япония</w:t>
            </w:r>
          </w:p>
          <w:p w14:paraId="05E4796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9123C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103.900</w:t>
            </w:r>
          </w:p>
          <w:p w14:paraId="3B9D9F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8EEFD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w:t>
            </w:r>
          </w:p>
          <w:p w14:paraId="73858D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58EF9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Персия</w:t>
            </w:r>
          </w:p>
          <w:p w14:paraId="390B01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64A78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9.950</w:t>
            </w:r>
          </w:p>
          <w:p w14:paraId="21FE69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809432"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92839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p w14:paraId="774380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3AA95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Чехословакия</w:t>
            </w:r>
          </w:p>
          <w:p w14:paraId="72372B6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98882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92.100</w:t>
            </w:r>
          </w:p>
          <w:p w14:paraId="1514AC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52D46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w:t>
            </w:r>
          </w:p>
          <w:p w14:paraId="44F22C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9A75F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 Зап. Африка</w:t>
            </w:r>
          </w:p>
          <w:p w14:paraId="4516EF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C00C8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9.171</w:t>
            </w:r>
          </w:p>
          <w:p w14:paraId="652318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FABB62"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75C1EF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p w14:paraId="2C1EF0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9ED0F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Швейцария</w:t>
            </w:r>
          </w:p>
          <w:p w14:paraId="566918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8CFB9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86.300</w:t>
            </w:r>
          </w:p>
          <w:p w14:paraId="740591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4A5E8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w:t>
            </w:r>
          </w:p>
          <w:p w14:paraId="3BCC1F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0E4C8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Люксембург</w:t>
            </w:r>
          </w:p>
          <w:p w14:paraId="03DDB5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B8366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9.153</w:t>
            </w:r>
          </w:p>
          <w:p w14:paraId="2AFD8C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580CA30"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3CF37E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p w14:paraId="644EED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430CDF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 восточн. Индия</w:t>
            </w:r>
          </w:p>
          <w:p w14:paraId="5FE7DE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D54ED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84.081</w:t>
            </w:r>
          </w:p>
          <w:p w14:paraId="1E2B22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7E4E8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p w14:paraId="23A8FE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5305C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Панама</w:t>
            </w:r>
          </w:p>
          <w:p w14:paraId="4B6467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5D739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8.650</w:t>
            </w:r>
          </w:p>
          <w:p w14:paraId="0CC8FC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255A7FB"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08D93E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p w14:paraId="1148FEC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862E6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Мексика</w:t>
            </w:r>
          </w:p>
          <w:p w14:paraId="453248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503A6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72.000</w:t>
            </w:r>
          </w:p>
          <w:p w14:paraId="6817F6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A6544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p w14:paraId="19F893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051F5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Ямайка</w:t>
            </w:r>
          </w:p>
          <w:p w14:paraId="134BB4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A6B03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7.804</w:t>
            </w:r>
          </w:p>
          <w:p w14:paraId="566601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038823"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B1A1F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p w14:paraId="443376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055137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p w14:paraId="17C79E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01D0D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63.926</w:t>
            </w:r>
          </w:p>
          <w:p w14:paraId="55A2B6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E4CF5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w:t>
            </w:r>
          </w:p>
          <w:p w14:paraId="49702D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F91CF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Сиам</w:t>
            </w:r>
          </w:p>
          <w:p w14:paraId="47C98C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A31C6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7.200</w:t>
            </w:r>
          </w:p>
          <w:p w14:paraId="028BD1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1B8D783"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278A8D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63F9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B7659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 армии на 1.01.1932 г.</w:t>
            </w:r>
          </w:p>
          <w:p w14:paraId="665DDDE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A161D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45.672</w:t>
            </w:r>
          </w:p>
          <w:p w14:paraId="7D7EBD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23B0D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w:t>
            </w:r>
          </w:p>
          <w:p w14:paraId="2E72D6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691F8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Тринидад и Тобаго</w:t>
            </w:r>
          </w:p>
          <w:p w14:paraId="28E4AD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7D0F3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6.858</w:t>
            </w:r>
          </w:p>
          <w:p w14:paraId="561DD6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95F133"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3B309F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5DDC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2D718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1.10.1931 г.</w:t>
            </w:r>
          </w:p>
          <w:p w14:paraId="20C963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9097D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57.530</w:t>
            </w:r>
          </w:p>
          <w:p w14:paraId="2C1D1A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3966B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w:t>
            </w:r>
          </w:p>
          <w:p w14:paraId="6CA1D8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7F301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Бельгийск. Конго</w:t>
            </w:r>
          </w:p>
          <w:p w14:paraId="609204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CD311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6.542</w:t>
            </w:r>
          </w:p>
          <w:p w14:paraId="285122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28831C"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5252FC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p w14:paraId="54A900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28C25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Гавайя</w:t>
            </w:r>
          </w:p>
          <w:p w14:paraId="05893B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CCB26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51.096</w:t>
            </w:r>
          </w:p>
          <w:p w14:paraId="18963D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6CB65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w:t>
            </w:r>
          </w:p>
          <w:p w14:paraId="5408C5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F8386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Турция</w:t>
            </w:r>
          </w:p>
          <w:p w14:paraId="23D592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37153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5.900</w:t>
            </w:r>
          </w:p>
          <w:p w14:paraId="3DAC90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A0A784"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4D3A98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p w14:paraId="5BF16E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81F9A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Норвегия</w:t>
            </w:r>
          </w:p>
          <w:p w14:paraId="4F84F5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AD14B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51.116</w:t>
            </w:r>
          </w:p>
          <w:p w14:paraId="0A45B3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EF70D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w:t>
            </w:r>
          </w:p>
          <w:p w14:paraId="56CBE1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69C74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Канарские острова</w:t>
            </w:r>
          </w:p>
          <w:p w14:paraId="1B237D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B8548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4.400</w:t>
            </w:r>
          </w:p>
          <w:p w14:paraId="032F3F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D8829F"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1C473C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p w14:paraId="73F88B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1197E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Ирландия</w:t>
            </w:r>
          </w:p>
          <w:p w14:paraId="6A1FE5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4A181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50.162</w:t>
            </w:r>
          </w:p>
          <w:p w14:paraId="22EFFF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C1893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p w14:paraId="05E35AC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E1E6A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Ирак</w:t>
            </w:r>
          </w:p>
          <w:p w14:paraId="6FE57A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A565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4.175</w:t>
            </w:r>
          </w:p>
          <w:p w14:paraId="513EC3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3543371"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6017F9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p w14:paraId="12C8F1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41F568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Алжир</w:t>
            </w:r>
          </w:p>
          <w:p w14:paraId="7EBC0B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F1BE3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47.300</w:t>
            </w:r>
          </w:p>
          <w:p w14:paraId="3BF181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B0E6D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w:t>
            </w:r>
          </w:p>
          <w:p w14:paraId="33930A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B0D4D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Латвия</w:t>
            </w:r>
          </w:p>
          <w:p w14:paraId="386288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71D88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3.943</w:t>
            </w:r>
          </w:p>
          <w:p w14:paraId="03140D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DFE649"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04640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p w14:paraId="6234E0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19059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Чили</w:t>
            </w:r>
          </w:p>
          <w:p w14:paraId="39B53E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93C30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42.547</w:t>
            </w:r>
          </w:p>
          <w:p w14:paraId="15155C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F7A32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w:t>
            </w:r>
          </w:p>
          <w:p w14:paraId="3E024D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96EA4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Португ. Вост. Африка</w:t>
            </w:r>
          </w:p>
          <w:p w14:paraId="24AADC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9C8FF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3.900</w:t>
            </w:r>
          </w:p>
          <w:p w14:paraId="3F0243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3BF734"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2C9256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p w14:paraId="051276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04855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Урагвай</w:t>
            </w:r>
          </w:p>
          <w:p w14:paraId="6209A0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6681C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42.200</w:t>
            </w:r>
          </w:p>
          <w:p w14:paraId="03134F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6D725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w:t>
            </w:r>
          </w:p>
          <w:p w14:paraId="56CD47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C4567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Ю.В. Африка</w:t>
            </w:r>
          </w:p>
          <w:p w14:paraId="2DB132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1FCD9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3.750</w:t>
            </w:r>
          </w:p>
          <w:p w14:paraId="5C3ECC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C342C2"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7876C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p w14:paraId="316484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82F9E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Куба</w:t>
            </w:r>
          </w:p>
          <w:p w14:paraId="55E21F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EDC65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39.000</w:t>
            </w:r>
          </w:p>
          <w:p w14:paraId="483C1A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4C199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p w14:paraId="521E55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0CB76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Мадагаскар</w:t>
            </w:r>
          </w:p>
          <w:p w14:paraId="48803E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AE71B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3.710</w:t>
            </w:r>
          </w:p>
          <w:p w14:paraId="0F1265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6E1832"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10E4E5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p w14:paraId="384AA4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28C76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Филлипинск.острова</w:t>
            </w:r>
          </w:p>
          <w:p w14:paraId="01A931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2D75B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38.000</w:t>
            </w:r>
          </w:p>
          <w:p w14:paraId="2ADE4F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DA9A0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w:t>
            </w:r>
          </w:p>
          <w:p w14:paraId="5F74C8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E4E2A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Болгария</w:t>
            </w:r>
          </w:p>
          <w:p w14:paraId="37BFA0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D8F3B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3.687</w:t>
            </w:r>
          </w:p>
          <w:p w14:paraId="0AE8F0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835F6C"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0BA306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w:t>
            </w:r>
          </w:p>
          <w:p w14:paraId="084DF7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223CD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Румыния</w:t>
            </w:r>
          </w:p>
          <w:p w14:paraId="229E6B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27EFA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37.500</w:t>
            </w:r>
          </w:p>
          <w:p w14:paraId="4C6AE2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B7695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w:t>
            </w:r>
          </w:p>
          <w:p w14:paraId="4F5810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0890F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Респ. Сан-Даминго</w:t>
            </w:r>
          </w:p>
          <w:p w14:paraId="252517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B08BC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3.586</w:t>
            </w:r>
          </w:p>
          <w:p w14:paraId="393482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6A6FC2"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00F06B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p w14:paraId="225DDE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063074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Финляндия</w:t>
            </w:r>
          </w:p>
          <w:p w14:paraId="0BE433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C9F44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36.030</w:t>
            </w:r>
          </w:p>
          <w:p w14:paraId="1516EA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B283A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w:t>
            </w:r>
          </w:p>
          <w:p w14:paraId="41549F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67188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Ньюфаундленд</w:t>
            </w:r>
          </w:p>
          <w:p w14:paraId="2CA187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BE7D7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3.388</w:t>
            </w:r>
          </w:p>
          <w:p w14:paraId="183D6C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F30F9EB"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194E0E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w:t>
            </w:r>
          </w:p>
          <w:p w14:paraId="6287EC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138F8B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Британск. Малайка</w:t>
            </w:r>
          </w:p>
          <w:p w14:paraId="04F9DB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06963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35.510</w:t>
            </w:r>
          </w:p>
          <w:p w14:paraId="661B22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9FB22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w:t>
            </w:r>
          </w:p>
          <w:p w14:paraId="7259A8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4AAC5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Эстония</w:t>
            </w:r>
          </w:p>
          <w:p w14:paraId="5671636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6FECA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3.180</w:t>
            </w:r>
          </w:p>
          <w:p w14:paraId="07BB80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FF324A9"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54F06F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p w14:paraId="26ECDE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829A2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Китай</w:t>
            </w:r>
          </w:p>
          <w:p w14:paraId="20507C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AD103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34.000</w:t>
            </w:r>
          </w:p>
          <w:p w14:paraId="4F7626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2B114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p w14:paraId="5E68D4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6A4F4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Гватемала</w:t>
            </w:r>
          </w:p>
          <w:p w14:paraId="313367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C0506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3.162</w:t>
            </w:r>
          </w:p>
          <w:p w14:paraId="07D3B5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AFF221"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0DD24C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p w14:paraId="57C9B9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0D2B2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Польша</w:t>
            </w:r>
          </w:p>
          <w:p w14:paraId="5E1E0F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2580E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33.598</w:t>
            </w:r>
          </w:p>
          <w:p w14:paraId="473A3A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FE268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w:t>
            </w:r>
          </w:p>
          <w:p w14:paraId="4BBD01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CDF026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Мавритания</w:t>
            </w:r>
          </w:p>
          <w:p w14:paraId="026C14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7638E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3.150</w:t>
            </w:r>
          </w:p>
          <w:p w14:paraId="115F36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8BBF31"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54E8A6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w:t>
            </w:r>
          </w:p>
          <w:p w14:paraId="7C56E1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C154F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Португалия</w:t>
            </w:r>
          </w:p>
          <w:p w14:paraId="488B58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4CA2B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31.800</w:t>
            </w:r>
          </w:p>
          <w:p w14:paraId="7AEDD2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0AA57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w:t>
            </w:r>
          </w:p>
          <w:p w14:paraId="71E111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275CF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Палестина</w:t>
            </w:r>
          </w:p>
          <w:p w14:paraId="5CB87B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C5DCA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3.050</w:t>
            </w:r>
          </w:p>
          <w:p w14:paraId="25305D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E93F40" w14:paraId="4976DB1E" w14:textId="77777777">
        <w:trPr>
          <w:trHeight w:val="230"/>
        </w:trPr>
        <w:tc>
          <w:tcPr>
            <w:tcW w:w="528" w:type="dxa"/>
            <w:tcBorders>
              <w:top w:val="single" w:sz="6" w:space="0" w:color="auto"/>
              <w:left w:val="single" w:sz="6" w:space="0" w:color="auto"/>
              <w:bottom w:val="single" w:sz="6" w:space="0" w:color="auto"/>
              <w:right w:val="single" w:sz="6" w:space="0" w:color="auto"/>
            </w:tcBorders>
          </w:tcPr>
          <w:p w14:paraId="4B3291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p w14:paraId="6DFEAE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E8A22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Египет</w:t>
            </w:r>
          </w:p>
          <w:p w14:paraId="745879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4B80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29.157</w:t>
            </w:r>
          </w:p>
          <w:p w14:paraId="4882EA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17815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w:t>
            </w:r>
          </w:p>
          <w:p w14:paraId="56E425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96F2F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Гаити</w:t>
            </w:r>
          </w:p>
          <w:p w14:paraId="09812D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BB23D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p w14:paraId="3FF8DE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C0D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557"/>
        <w:gridCol w:w="2285"/>
        <w:gridCol w:w="1190"/>
        <w:gridCol w:w="557"/>
        <w:gridCol w:w="2122"/>
        <w:gridCol w:w="1008"/>
      </w:tblGrid>
      <w:tr w:rsidR="00DA227A" w:rsidRPr="00E93F40" w14:paraId="09BD4F13" w14:textId="77777777">
        <w:trPr>
          <w:trHeight w:val="384"/>
        </w:trPr>
        <w:tc>
          <w:tcPr>
            <w:tcW w:w="557" w:type="dxa"/>
            <w:tcBorders>
              <w:top w:val="single" w:sz="6" w:space="0" w:color="auto"/>
              <w:left w:val="single" w:sz="6" w:space="0" w:color="auto"/>
              <w:bottom w:val="single" w:sz="6" w:space="0" w:color="auto"/>
              <w:right w:val="single" w:sz="6" w:space="0" w:color="auto"/>
            </w:tcBorders>
          </w:tcPr>
          <w:p w14:paraId="553C7E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CC277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w:t>
            </w:r>
          </w:p>
          <w:p w14:paraId="1B7F42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7C3435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 государств</w:t>
            </w:r>
          </w:p>
          <w:p w14:paraId="79F38C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F72BF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машин</w:t>
            </w:r>
          </w:p>
          <w:p w14:paraId="402217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6F55F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E5FF0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w:t>
            </w:r>
          </w:p>
          <w:p w14:paraId="018AF8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4B74C4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 государств</w:t>
            </w:r>
          </w:p>
          <w:p w14:paraId="59B270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D8F75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машин</w:t>
            </w:r>
          </w:p>
          <w:p w14:paraId="7389D5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9F073E3" w14:textId="77777777">
        <w:trPr>
          <w:trHeight w:val="221"/>
        </w:trPr>
        <w:tc>
          <w:tcPr>
            <w:tcW w:w="557" w:type="dxa"/>
            <w:tcBorders>
              <w:top w:val="single" w:sz="6" w:space="0" w:color="auto"/>
              <w:left w:val="single" w:sz="6" w:space="0" w:color="auto"/>
              <w:bottom w:val="single" w:sz="6" w:space="0" w:color="auto"/>
              <w:right w:val="single" w:sz="6" w:space="0" w:color="auto"/>
            </w:tcBorders>
          </w:tcPr>
          <w:p w14:paraId="3E8F38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w:t>
            </w:r>
          </w:p>
          <w:p w14:paraId="178809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58CF5A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Кипр</w:t>
            </w:r>
          </w:p>
          <w:p w14:paraId="25CD4F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05EBA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2.900</w:t>
            </w:r>
          </w:p>
          <w:p w14:paraId="5D1863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BBB7B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105.</w:t>
            </w:r>
          </w:p>
          <w:p w14:paraId="327B37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C1F45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Багамае</w:t>
            </w:r>
          </w:p>
          <w:p w14:paraId="16C62E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BE576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979</w:t>
            </w:r>
          </w:p>
          <w:p w14:paraId="3CF04E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4FBFB8"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489AB9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80.</w:t>
            </w:r>
          </w:p>
          <w:p w14:paraId="72D52F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7793D9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Судан</w:t>
            </w:r>
          </w:p>
          <w:p w14:paraId="7E02ED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16310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2.845</w:t>
            </w:r>
          </w:p>
          <w:p w14:paraId="608D53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8C561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w:t>
            </w:r>
          </w:p>
          <w:p w14:paraId="372E9F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2AF46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Аравия</w:t>
            </w:r>
          </w:p>
          <w:p w14:paraId="693704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EA669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p w14:paraId="5126D1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3058C7"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637ADB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w:t>
            </w:r>
          </w:p>
          <w:p w14:paraId="7B360A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633C19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Гонг-Конг</w:t>
            </w:r>
          </w:p>
          <w:p w14:paraId="13ACF1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CADBC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2.825</w:t>
            </w:r>
          </w:p>
          <w:p w14:paraId="602F8E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B79F8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w:t>
            </w:r>
          </w:p>
          <w:p w14:paraId="313D1F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0F250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Азорские острова</w:t>
            </w:r>
          </w:p>
          <w:p w14:paraId="3AFDAA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07DF9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704</w:t>
            </w:r>
          </w:p>
          <w:p w14:paraId="6BE3CC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4F1EB3" w14:textId="77777777">
        <w:trPr>
          <w:trHeight w:val="173"/>
        </w:trPr>
        <w:tc>
          <w:tcPr>
            <w:tcW w:w="557" w:type="dxa"/>
            <w:tcBorders>
              <w:top w:val="single" w:sz="6" w:space="0" w:color="auto"/>
              <w:left w:val="single" w:sz="6" w:space="0" w:color="auto"/>
              <w:bottom w:val="single" w:sz="6" w:space="0" w:color="auto"/>
              <w:right w:val="single" w:sz="6" w:space="0" w:color="auto"/>
            </w:tcBorders>
          </w:tcPr>
          <w:p w14:paraId="62CA7F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w:t>
            </w:r>
          </w:p>
          <w:p w14:paraId="0D983C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45A52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Аляска</w:t>
            </w:r>
          </w:p>
          <w:p w14:paraId="381B5E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CF6CD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2.747</w:t>
            </w:r>
          </w:p>
          <w:p w14:paraId="734461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16764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p w14:paraId="169333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82B17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Остальн. зап. Индия</w:t>
            </w:r>
          </w:p>
          <w:p w14:paraId="18327D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3F4EC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p w14:paraId="460F0C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8392A8"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5859A5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w:t>
            </w:r>
          </w:p>
          <w:p w14:paraId="022180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5A55B0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Литва</w:t>
            </w:r>
          </w:p>
          <w:p w14:paraId="2460FB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799E4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2.744</w:t>
            </w:r>
          </w:p>
          <w:p w14:paraId="25F232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774E2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w:t>
            </w:r>
          </w:p>
          <w:p w14:paraId="3A10BB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EE6BE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Эфиопия</w:t>
            </w:r>
          </w:p>
          <w:p w14:paraId="6539FB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C6C86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690</w:t>
            </w:r>
          </w:p>
          <w:p w14:paraId="6A7C88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B5ACF6"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409E12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w:t>
            </w:r>
          </w:p>
          <w:p w14:paraId="0B3C29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E18F2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Мальта</w:t>
            </w:r>
          </w:p>
          <w:p w14:paraId="3E19FC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5FD27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2.730</w:t>
            </w:r>
          </w:p>
          <w:p w14:paraId="5BD75A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FB021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w:t>
            </w:r>
          </w:p>
          <w:p w14:paraId="5304E9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E8F2E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Гондурас</w:t>
            </w:r>
          </w:p>
          <w:p w14:paraId="55E838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8C74C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678</w:t>
            </w:r>
          </w:p>
          <w:p w14:paraId="20CDFE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DD5683"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69B917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w:t>
            </w:r>
          </w:p>
          <w:p w14:paraId="7CCF59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9A514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Эквадор</w:t>
            </w:r>
          </w:p>
          <w:p w14:paraId="0D14A9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CB26F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2.528</w:t>
            </w:r>
          </w:p>
          <w:p w14:paraId="146432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2E640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w:t>
            </w:r>
          </w:p>
          <w:p w14:paraId="363A63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90B30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Гибралтар</w:t>
            </w:r>
          </w:p>
          <w:p w14:paraId="3D567B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9D032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p w14:paraId="033553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47B777"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594CB4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w:t>
            </w:r>
          </w:p>
          <w:p w14:paraId="6EB202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E0F1B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Ангола</w:t>
            </w:r>
          </w:p>
          <w:p w14:paraId="64ACC9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3C1A3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p w14:paraId="46B995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8A0C6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w:t>
            </w:r>
          </w:p>
          <w:p w14:paraId="2ADD5A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8E0B0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Виргинск. острова</w:t>
            </w:r>
          </w:p>
          <w:p w14:paraId="2EDDFF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5A45A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609</w:t>
            </w:r>
          </w:p>
          <w:p w14:paraId="5D2D84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BEA2B1"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785629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w:t>
            </w:r>
          </w:p>
          <w:p w14:paraId="1C7647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00ABE8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Боливия</w:t>
            </w:r>
          </w:p>
          <w:p w14:paraId="5E021B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1DCA0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2.455</w:t>
            </w:r>
          </w:p>
          <w:p w14:paraId="580FA8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BC63D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w:t>
            </w:r>
          </w:p>
          <w:p w14:paraId="2F22E2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86713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 Океания</w:t>
            </w:r>
          </w:p>
          <w:p w14:paraId="5566EA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84FA8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561</w:t>
            </w:r>
          </w:p>
          <w:p w14:paraId="52F90E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CAF8AB1"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27743F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w:t>
            </w:r>
          </w:p>
          <w:p w14:paraId="31A7E0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04C7D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Мартиник</w:t>
            </w:r>
          </w:p>
          <w:p w14:paraId="61837B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C349F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2.290</w:t>
            </w:r>
          </w:p>
          <w:p w14:paraId="59E3BB1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08C40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w:t>
            </w:r>
          </w:p>
          <w:p w14:paraId="6F8450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4205D9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Остальная Океания</w:t>
            </w:r>
          </w:p>
          <w:p w14:paraId="75769C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2555A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p w14:paraId="7F8782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9AB7D4"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45686F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p w14:paraId="529810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EB661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Данциг</w:t>
            </w:r>
          </w:p>
          <w:p w14:paraId="25D374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C35C4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2.214</w:t>
            </w:r>
          </w:p>
          <w:p w14:paraId="75AF1B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9B1D8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w:t>
            </w:r>
          </w:p>
          <w:p w14:paraId="16BB25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48ED6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Албания</w:t>
            </w:r>
          </w:p>
          <w:p w14:paraId="16BEC6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FC452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p w14:paraId="199664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660DBB"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7F8B09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p w14:paraId="13F354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790489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Сальвадор</w:t>
            </w:r>
          </w:p>
          <w:p w14:paraId="3E09A8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37F46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2.202</w:t>
            </w:r>
          </w:p>
          <w:p w14:paraId="14B699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C2ADF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w:t>
            </w:r>
          </w:p>
          <w:p w14:paraId="53C06C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80F82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Гренада</w:t>
            </w:r>
          </w:p>
          <w:p w14:paraId="261523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40695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p w14:paraId="5B9732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E32C39"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30298F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w:t>
            </w:r>
          </w:p>
          <w:p w14:paraId="457AE5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6B9A1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Парагвай</w:t>
            </w:r>
          </w:p>
          <w:p w14:paraId="6A77FE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87BE6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2.003</w:t>
            </w:r>
          </w:p>
          <w:p w14:paraId="644E2C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61300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w:t>
            </w:r>
          </w:p>
          <w:p w14:paraId="421613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4084B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Самуа</w:t>
            </w:r>
          </w:p>
          <w:p w14:paraId="2D41D7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201D4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396</w:t>
            </w:r>
          </w:p>
          <w:p w14:paraId="2B3A8A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EE3711"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49248C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w:t>
            </w:r>
          </w:p>
          <w:p w14:paraId="1A2D20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5050FA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Брит. Гвиана</w:t>
            </w:r>
          </w:p>
          <w:p w14:paraId="4DAA7F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0D8C3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1.900</w:t>
            </w:r>
          </w:p>
          <w:p w14:paraId="36CE25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D7453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w:t>
            </w:r>
          </w:p>
          <w:p w14:paraId="12ADE1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3C34E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Либерия</w:t>
            </w:r>
          </w:p>
          <w:p w14:paraId="66B78D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AB952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p w14:paraId="229868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63ABB2"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0CC359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w:t>
            </w:r>
          </w:p>
          <w:p w14:paraId="3D5F74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1FCCB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Голланд. Зап. Индия</w:t>
            </w:r>
          </w:p>
          <w:p w14:paraId="2A0FCD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B500A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1.860</w:t>
            </w:r>
          </w:p>
          <w:p w14:paraId="08A724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F3033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119.</w:t>
            </w:r>
          </w:p>
          <w:p w14:paraId="4725DF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30DC6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Голландск. Гвиана</w:t>
            </w:r>
          </w:p>
          <w:p w14:paraId="1295FE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F6232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p w14:paraId="154789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CC3D8A"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2EBEB2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w:t>
            </w:r>
          </w:p>
          <w:p w14:paraId="64C5E1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66FA3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Коста-Рика</w:t>
            </w:r>
          </w:p>
          <w:p w14:paraId="53E731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75E81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1.763</w:t>
            </w:r>
          </w:p>
          <w:p w14:paraId="2F9614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BA1DB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p w14:paraId="7B7FB7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DC266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Британск. Гондурас</w:t>
            </w:r>
          </w:p>
          <w:p w14:paraId="55DEB9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C6C61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p w14:paraId="44F310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38B7C8"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25619E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w:t>
            </w:r>
          </w:p>
          <w:p w14:paraId="2D0912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50072A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Монако</w:t>
            </w:r>
          </w:p>
          <w:p w14:paraId="3DF1D6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1BA2C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1.750</w:t>
            </w:r>
          </w:p>
          <w:p w14:paraId="5E5719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E7F3A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w:t>
            </w:r>
          </w:p>
          <w:p w14:paraId="01F0C7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D2EE9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Санта-Лючия</w:t>
            </w:r>
          </w:p>
          <w:p w14:paraId="5BB749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182A0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w:t>
            </w:r>
          </w:p>
          <w:p w14:paraId="2B5B7F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4FCCA3"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4AEF6E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w:t>
            </w:r>
          </w:p>
          <w:p w14:paraId="5E5C5A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8128D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Гваделупа</w:t>
            </w:r>
          </w:p>
          <w:p w14:paraId="1AB858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D3A1A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1.675</w:t>
            </w:r>
          </w:p>
          <w:p w14:paraId="29203C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4B7CF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w:t>
            </w:r>
          </w:p>
          <w:p w14:paraId="2AA3A2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2A1EA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Острова Кука</w:t>
            </w:r>
          </w:p>
          <w:p w14:paraId="78AD1F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4AA52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w:t>
            </w:r>
          </w:p>
          <w:p w14:paraId="351B386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FD300E7"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406A87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w:t>
            </w:r>
          </w:p>
          <w:p w14:paraId="51E762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4B937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Барбадос</w:t>
            </w:r>
          </w:p>
          <w:p w14:paraId="408608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0F25A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1.671</w:t>
            </w:r>
          </w:p>
          <w:p w14:paraId="1C78D8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31623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w:t>
            </w:r>
          </w:p>
          <w:p w14:paraId="63543B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18ACF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Сан-Пиера Миквалон</w:t>
            </w:r>
          </w:p>
          <w:p w14:paraId="355999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96136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p w14:paraId="31720F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83A84B8"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5CD69B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w:t>
            </w:r>
          </w:p>
          <w:p w14:paraId="300702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7F360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Исландия</w:t>
            </w:r>
          </w:p>
          <w:p w14:paraId="6EC785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76001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1.434</w:t>
            </w:r>
          </w:p>
          <w:p w14:paraId="391E13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1D668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w:t>
            </w:r>
          </w:p>
          <w:p w14:paraId="298065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DBA53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 Гвиана</w:t>
            </w:r>
          </w:p>
          <w:p w14:paraId="30334E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B48C1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7138B9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4C5338"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680240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w:t>
            </w:r>
          </w:p>
          <w:p w14:paraId="396FE2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45ECC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Ньюсаланд</w:t>
            </w:r>
          </w:p>
          <w:p w14:paraId="13D01F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61E5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1.267</w:t>
            </w:r>
          </w:p>
          <w:p w14:paraId="70BD99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4ACE6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p w14:paraId="6823A7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AED1D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Фароу острова</w:t>
            </w:r>
          </w:p>
          <w:p w14:paraId="358967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57DF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w:t>
            </w:r>
          </w:p>
          <w:p w14:paraId="0D199A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7C07E3"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4D2166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155EAB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6BF1E6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Острова Фиджи</w:t>
            </w:r>
          </w:p>
          <w:p w14:paraId="3A16A0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11A71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1.184</w:t>
            </w:r>
          </w:p>
          <w:p w14:paraId="3E87F0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034C6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126.</w:t>
            </w:r>
          </w:p>
          <w:p w14:paraId="039E6D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FD45D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Бермуда</w:t>
            </w:r>
          </w:p>
          <w:p w14:paraId="410CF1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887BC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w:t>
            </w:r>
          </w:p>
          <w:p w14:paraId="7A5D89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FAA739"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3E4772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w:t>
            </w:r>
          </w:p>
          <w:p w14:paraId="560F96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F0EA2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Сомалия и Эритрия</w:t>
            </w:r>
          </w:p>
          <w:p w14:paraId="5F8FBD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877A8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w:t>
            </w:r>
          </w:p>
          <w:p w14:paraId="119405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6A807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127.</w:t>
            </w:r>
          </w:p>
          <w:p w14:paraId="273619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16E61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Сан-Доминго</w:t>
            </w:r>
          </w:p>
          <w:p w14:paraId="62A312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013C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p w14:paraId="3B8D47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B86CEE"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6BEE02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w:t>
            </w:r>
          </w:p>
          <w:p w14:paraId="24D4B6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0F7113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Триполитания</w:t>
            </w:r>
          </w:p>
          <w:p w14:paraId="0003B4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94026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1.025</w:t>
            </w:r>
          </w:p>
          <w:p w14:paraId="1D1EB1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D8ED6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w:t>
            </w:r>
          </w:p>
          <w:p w14:paraId="2BC659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36C0E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Сечельс. острова</w:t>
            </w:r>
          </w:p>
          <w:p w14:paraId="137BFD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6ADA5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p w14:paraId="1EB527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B705885"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0C37B8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w:t>
            </w:r>
          </w:p>
          <w:p w14:paraId="50B6C8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0F3E9B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Никарагуа</w:t>
            </w:r>
          </w:p>
          <w:p w14:paraId="6FDB80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2E250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p w14:paraId="4F2F22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E5A4F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129.</w:t>
            </w:r>
          </w:p>
          <w:p w14:paraId="49B851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F12A3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Св. Елены</w:t>
            </w:r>
          </w:p>
          <w:p w14:paraId="491DF4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D4CA9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p w14:paraId="2113B0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EE1BCE" w14:textId="77777777">
        <w:trPr>
          <w:trHeight w:val="250"/>
        </w:trPr>
        <w:tc>
          <w:tcPr>
            <w:tcW w:w="557" w:type="dxa"/>
            <w:tcBorders>
              <w:top w:val="single" w:sz="6" w:space="0" w:color="auto"/>
              <w:left w:val="single" w:sz="6" w:space="0" w:color="auto"/>
              <w:bottom w:val="single" w:sz="6" w:space="0" w:color="auto"/>
              <w:right w:val="single" w:sz="6" w:space="0" w:color="auto"/>
            </w:tcBorders>
          </w:tcPr>
          <w:p w14:paraId="7000A4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w:t>
            </w:r>
          </w:p>
          <w:p w14:paraId="63B6BF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74E8BC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Мадера</w:t>
            </w:r>
          </w:p>
          <w:p w14:paraId="1F9AB1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C9883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980</w:t>
            </w:r>
          </w:p>
          <w:p w14:paraId="51F96C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8C895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28DB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46E37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1D8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02E4C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389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1AD92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Источники:</w:t>
      </w:r>
    </w:p>
    <w:p w14:paraId="1AE3DA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Американский журнал: «Аутомотив индастри» № 9 от 27.02.32 г;</w:t>
      </w:r>
    </w:p>
    <w:p w14:paraId="323D23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Учетные данные Цудортранса за 1932 г.</w:t>
      </w:r>
    </w:p>
    <w:p w14:paraId="6E8176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 сектора 1 отдела 2 управления ]</w:t>
      </w:r>
    </w:p>
    <w:p w14:paraId="77A277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Мещеря</w:t>
      </w:r>
    </w:p>
    <w:p w14:paraId="2ED131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Таблица мировое производство автомашин в порядке убывающей последовательности</w:t>
      </w:r>
    </w:p>
    <w:tbl>
      <w:tblPr>
        <w:tblW w:w="0" w:type="auto"/>
        <w:tblInd w:w="40" w:type="dxa"/>
        <w:tblLayout w:type="fixed"/>
        <w:tblCellMar>
          <w:left w:w="40" w:type="dxa"/>
          <w:right w:w="40" w:type="dxa"/>
        </w:tblCellMar>
        <w:tblLook w:val="0000" w:firstRow="0" w:lastRow="0" w:firstColumn="0" w:lastColumn="0" w:noHBand="0" w:noVBand="0"/>
      </w:tblPr>
      <w:tblGrid>
        <w:gridCol w:w="576"/>
        <w:gridCol w:w="2131"/>
        <w:gridCol w:w="1661"/>
        <w:gridCol w:w="1670"/>
        <w:gridCol w:w="1651"/>
      </w:tblGrid>
      <w:tr w:rsidR="00DA227A" w:rsidRPr="00E93F40" w14:paraId="0FF211CC" w14:textId="77777777">
        <w:trPr>
          <w:trHeight w:val="202"/>
        </w:trPr>
        <w:tc>
          <w:tcPr>
            <w:tcW w:w="576" w:type="dxa"/>
            <w:tcBorders>
              <w:top w:val="single" w:sz="6" w:space="0" w:color="auto"/>
              <w:left w:val="single" w:sz="6" w:space="0" w:color="auto"/>
              <w:bottom w:val="nil"/>
              <w:right w:val="single" w:sz="6" w:space="0" w:color="auto"/>
            </w:tcBorders>
          </w:tcPr>
          <w:p w14:paraId="2A5BDD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п/п</w:t>
            </w:r>
          </w:p>
          <w:p w14:paraId="215A36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nil"/>
              <w:right w:val="single" w:sz="6" w:space="0" w:color="auto"/>
            </w:tcBorders>
          </w:tcPr>
          <w:p w14:paraId="1CE226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Государство</w:t>
            </w:r>
          </w:p>
          <w:p w14:paraId="2AF85A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82" w:type="dxa"/>
            <w:gridSpan w:val="3"/>
            <w:tcBorders>
              <w:top w:val="single" w:sz="6" w:space="0" w:color="auto"/>
              <w:left w:val="single" w:sz="6" w:space="0" w:color="auto"/>
              <w:bottom w:val="single" w:sz="6" w:space="0" w:color="auto"/>
              <w:right w:val="single" w:sz="6" w:space="0" w:color="auto"/>
            </w:tcBorders>
          </w:tcPr>
          <w:p w14:paraId="14AEDF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 год</w:t>
            </w:r>
          </w:p>
          <w:p w14:paraId="13B488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D0F991" w14:textId="77777777">
        <w:trPr>
          <w:trHeight w:val="182"/>
        </w:trPr>
        <w:tc>
          <w:tcPr>
            <w:tcW w:w="576" w:type="dxa"/>
            <w:tcBorders>
              <w:top w:val="nil"/>
              <w:left w:val="single" w:sz="6" w:space="0" w:color="auto"/>
              <w:bottom w:val="single" w:sz="6" w:space="0" w:color="auto"/>
              <w:right w:val="single" w:sz="6" w:space="0" w:color="auto"/>
            </w:tcBorders>
          </w:tcPr>
          <w:p w14:paraId="54A17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7901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nil"/>
              <w:left w:val="single" w:sz="6" w:space="0" w:color="auto"/>
              <w:bottom w:val="single" w:sz="6" w:space="0" w:color="auto"/>
              <w:right w:val="single" w:sz="6" w:space="0" w:color="auto"/>
            </w:tcBorders>
          </w:tcPr>
          <w:p w14:paraId="074933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48D8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BA14A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Легкое.</w:t>
            </w:r>
          </w:p>
          <w:p w14:paraId="25A43A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858F1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w:t>
            </w:r>
          </w:p>
          <w:p w14:paraId="772ACA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FA7BC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p w14:paraId="21070E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F4BEAD"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3A02F0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1DD689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4A6825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 и Канада</w:t>
            </w:r>
          </w:p>
          <w:p w14:paraId="187F87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F8BE0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4.794.898</w:t>
            </w:r>
          </w:p>
          <w:p w14:paraId="6441EF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508503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826.811</w:t>
            </w:r>
          </w:p>
          <w:p w14:paraId="19D12E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8F1EF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5.621.709</w:t>
            </w:r>
          </w:p>
          <w:p w14:paraId="4477CC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23AC2E" w14:textId="77777777">
        <w:trPr>
          <w:trHeight w:val="230"/>
        </w:trPr>
        <w:tc>
          <w:tcPr>
            <w:tcW w:w="576" w:type="dxa"/>
            <w:tcBorders>
              <w:top w:val="single" w:sz="6" w:space="0" w:color="auto"/>
              <w:left w:val="single" w:sz="6" w:space="0" w:color="auto"/>
              <w:bottom w:val="single" w:sz="6" w:space="0" w:color="auto"/>
              <w:right w:val="single" w:sz="6" w:space="0" w:color="auto"/>
            </w:tcBorders>
          </w:tcPr>
          <w:p w14:paraId="4243CF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p w14:paraId="3E8BE8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851FC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Великобритания</w:t>
            </w:r>
          </w:p>
          <w:p w14:paraId="1C4B33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C0D67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178.000</w:t>
            </w:r>
          </w:p>
          <w:p w14:paraId="793EF0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EAD4C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54.000</w:t>
            </w:r>
          </w:p>
          <w:p w14:paraId="594C53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02D98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232.000</w:t>
            </w:r>
          </w:p>
          <w:p w14:paraId="503FFE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57A26B"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6D9131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p w14:paraId="7629F4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428D65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p w14:paraId="458220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2C1903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110.000</w:t>
            </w:r>
          </w:p>
          <w:p w14:paraId="56AE55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91D25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65.000</w:t>
            </w:r>
          </w:p>
          <w:p w14:paraId="6E2936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E18C0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175.000</w:t>
            </w:r>
          </w:p>
          <w:p w14:paraId="5695E3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42CE01"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6FFED0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p w14:paraId="1D8B81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C0375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Германия</w:t>
            </w:r>
          </w:p>
          <w:p w14:paraId="7BB130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79603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46.500</w:t>
            </w:r>
          </w:p>
          <w:p w14:paraId="3122CB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1ED4DE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24.000</w:t>
            </w:r>
          </w:p>
          <w:p w14:paraId="676336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41E82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70.500</w:t>
            </w:r>
          </w:p>
          <w:p w14:paraId="0172A5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D30183"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6BE5B4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p w14:paraId="665B1F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0D3B4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p w14:paraId="64BDDE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316DF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51.400</w:t>
            </w:r>
          </w:p>
          <w:p w14:paraId="7F84B3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0F778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16.500</w:t>
            </w:r>
          </w:p>
          <w:p w14:paraId="50D93B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8BB3C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67.900</w:t>
            </w:r>
          </w:p>
          <w:p w14:paraId="020E33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72D262"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3AEDF8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p w14:paraId="5651E6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EF3B7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Чехословакия</w:t>
            </w:r>
          </w:p>
          <w:p w14:paraId="06CF97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4FD76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12.900</w:t>
            </w:r>
          </w:p>
          <w:p w14:paraId="6AB6AB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CE388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2.700</w:t>
            </w:r>
          </w:p>
          <w:p w14:paraId="3FF65D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969DF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15.600</w:t>
            </w:r>
          </w:p>
          <w:p w14:paraId="1DB9D6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2F93D42"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38FDFE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p w14:paraId="030EBE0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79CEC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Австрия</w:t>
            </w:r>
          </w:p>
          <w:p w14:paraId="0A395C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5997C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6.050</w:t>
            </w:r>
          </w:p>
          <w:p w14:paraId="7C3913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34A398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3.250</w:t>
            </w:r>
          </w:p>
          <w:p w14:paraId="0326C66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19625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9.300</w:t>
            </w:r>
          </w:p>
          <w:p w14:paraId="781830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F3310C"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3EAFFD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p w14:paraId="009ACA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4D58FE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Бельгия</w:t>
            </w:r>
          </w:p>
          <w:p w14:paraId="6A39A2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402BF3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6.500</w:t>
            </w:r>
          </w:p>
          <w:p w14:paraId="711EDA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7AF5A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p w14:paraId="2D3289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6CC14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7.700</w:t>
            </w:r>
          </w:p>
          <w:p w14:paraId="5E3254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BC72F8" w14:textId="77777777">
        <w:trPr>
          <w:trHeight w:val="230"/>
        </w:trPr>
        <w:tc>
          <w:tcPr>
            <w:tcW w:w="576" w:type="dxa"/>
            <w:tcBorders>
              <w:top w:val="single" w:sz="6" w:space="0" w:color="auto"/>
              <w:left w:val="single" w:sz="6" w:space="0" w:color="auto"/>
              <w:bottom w:val="single" w:sz="6" w:space="0" w:color="auto"/>
              <w:right w:val="single" w:sz="6" w:space="0" w:color="auto"/>
            </w:tcBorders>
          </w:tcPr>
          <w:p w14:paraId="4BAD69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p w14:paraId="56B94D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DE8B4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p w14:paraId="037139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29BD31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A119B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07BA4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260E7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A9B59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p w14:paraId="64C09F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0F2CA4"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74936A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p w14:paraId="565AA2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E0938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Швеция</w:t>
            </w:r>
          </w:p>
          <w:p w14:paraId="72BCFE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787BA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p w14:paraId="0CF8FB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6C437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p w14:paraId="709ACD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DBC87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1.850</w:t>
            </w:r>
          </w:p>
          <w:p w14:paraId="449938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52AFE3"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723057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11.</w:t>
            </w:r>
          </w:p>
          <w:p w14:paraId="4388BF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01CF9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Швейцария^</w:t>
            </w:r>
          </w:p>
          <w:p w14:paraId="22A600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57CB8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275</w:t>
            </w:r>
          </w:p>
          <w:p w14:paraId="2CC069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6C9035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w:t>
            </w:r>
          </w:p>
          <w:p w14:paraId="73569C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CCF2C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1.275</w:t>
            </w:r>
          </w:p>
          <w:p w14:paraId="12E752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A047F5" w14:textId="77777777">
        <w:trPr>
          <w:trHeight w:val="230"/>
        </w:trPr>
        <w:tc>
          <w:tcPr>
            <w:tcW w:w="576" w:type="dxa"/>
            <w:tcBorders>
              <w:top w:val="single" w:sz="6" w:space="0" w:color="auto"/>
              <w:left w:val="single" w:sz="6" w:space="0" w:color="auto"/>
              <w:bottom w:val="single" w:sz="6" w:space="0" w:color="auto"/>
              <w:right w:val="single" w:sz="6" w:space="0" w:color="auto"/>
            </w:tcBorders>
          </w:tcPr>
          <w:p w14:paraId="323274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p w14:paraId="54AA49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3D578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Польша</w:t>
            </w:r>
          </w:p>
          <w:p w14:paraId="4F7D8A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1E3C86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130F1C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5BCFF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570</w:t>
            </w:r>
          </w:p>
          <w:p w14:paraId="7E9CE9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4B989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670</w:t>
            </w:r>
          </w:p>
          <w:p w14:paraId="3CEF83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5C22F5"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5EF55E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p w14:paraId="064439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270AD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Венгрия</w:t>
            </w:r>
          </w:p>
          <w:p w14:paraId="37AD4E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EB9D8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420</w:t>
            </w:r>
          </w:p>
          <w:p w14:paraId="0ABF27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6250FE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p w14:paraId="584C5F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4F7DD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670</w:t>
            </w:r>
          </w:p>
          <w:p w14:paraId="33F6A6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EF3262"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21B5C5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p w14:paraId="556D72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2C63E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Испания</w:t>
            </w:r>
          </w:p>
          <w:p w14:paraId="6A602D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6B4AA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p w14:paraId="5BEB5D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6F6A2A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p w14:paraId="56F60F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8B47A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p w14:paraId="7ECE14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E93F40" w14:paraId="29AC2CF8" w14:textId="77777777">
        <w:trPr>
          <w:trHeight w:val="240"/>
        </w:trPr>
        <w:tc>
          <w:tcPr>
            <w:tcW w:w="576" w:type="dxa"/>
            <w:tcBorders>
              <w:top w:val="single" w:sz="6" w:space="0" w:color="auto"/>
              <w:left w:val="single" w:sz="6" w:space="0" w:color="auto"/>
              <w:bottom w:val="single" w:sz="6" w:space="0" w:color="auto"/>
              <w:right w:val="single" w:sz="6" w:space="0" w:color="auto"/>
            </w:tcBorders>
          </w:tcPr>
          <w:p w14:paraId="6D6CBF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p w14:paraId="7FF2F3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66C38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Дания</w:t>
            </w:r>
          </w:p>
          <w:p w14:paraId="20B984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82D11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p w14:paraId="43F6C5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6D0C46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p w14:paraId="0B0855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9D40D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p w14:paraId="3717DD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D45FB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518"/>
        <w:gridCol w:w="10"/>
        <w:gridCol w:w="2112"/>
        <w:gridCol w:w="10"/>
        <w:gridCol w:w="1641"/>
        <w:gridCol w:w="20"/>
        <w:gridCol w:w="1650"/>
        <w:gridCol w:w="20"/>
        <w:gridCol w:w="1670"/>
        <w:gridCol w:w="10"/>
      </w:tblGrid>
      <w:tr w:rsidR="00DA227A" w:rsidRPr="00E93F40" w14:paraId="68CAC63D" w14:textId="77777777">
        <w:trPr>
          <w:gridAfter w:val="1"/>
          <w:wAfter w:w="10" w:type="dxa"/>
          <w:trHeight w:val="202"/>
        </w:trPr>
        <w:tc>
          <w:tcPr>
            <w:tcW w:w="518" w:type="dxa"/>
            <w:tcBorders>
              <w:top w:val="single" w:sz="6" w:space="0" w:color="auto"/>
              <w:left w:val="single" w:sz="6" w:space="0" w:color="auto"/>
              <w:bottom w:val="nil"/>
              <w:right w:val="single" w:sz="6" w:space="0" w:color="auto"/>
            </w:tcBorders>
          </w:tcPr>
          <w:p w14:paraId="10DA2C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п/п</w:t>
            </w:r>
          </w:p>
          <w:p w14:paraId="1CEE32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nil"/>
              <w:right w:val="single" w:sz="6" w:space="0" w:color="auto"/>
            </w:tcBorders>
          </w:tcPr>
          <w:p w14:paraId="7915B8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Государство</w:t>
            </w:r>
          </w:p>
          <w:p w14:paraId="514524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11" w:type="dxa"/>
            <w:gridSpan w:val="6"/>
            <w:tcBorders>
              <w:top w:val="single" w:sz="6" w:space="0" w:color="auto"/>
              <w:left w:val="single" w:sz="6" w:space="0" w:color="auto"/>
              <w:bottom w:val="single" w:sz="6" w:space="0" w:color="auto"/>
              <w:right w:val="single" w:sz="6" w:space="0" w:color="auto"/>
            </w:tcBorders>
          </w:tcPr>
          <w:p w14:paraId="649709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 год</w:t>
            </w:r>
          </w:p>
          <w:p w14:paraId="1150EE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F5E599" w14:textId="77777777">
        <w:trPr>
          <w:gridAfter w:val="1"/>
          <w:wAfter w:w="10" w:type="dxa"/>
          <w:trHeight w:val="182"/>
        </w:trPr>
        <w:tc>
          <w:tcPr>
            <w:tcW w:w="518" w:type="dxa"/>
            <w:tcBorders>
              <w:top w:val="nil"/>
              <w:left w:val="single" w:sz="6" w:space="0" w:color="auto"/>
              <w:bottom w:val="single" w:sz="6" w:space="0" w:color="auto"/>
              <w:right w:val="single" w:sz="6" w:space="0" w:color="auto"/>
            </w:tcBorders>
          </w:tcPr>
          <w:p w14:paraId="462402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8E46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nil"/>
              <w:left w:val="single" w:sz="6" w:space="0" w:color="auto"/>
              <w:bottom w:val="single" w:sz="6" w:space="0" w:color="auto"/>
              <w:right w:val="single" w:sz="6" w:space="0" w:color="auto"/>
            </w:tcBorders>
          </w:tcPr>
          <w:p w14:paraId="632901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2C65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D4251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Легкое.</w:t>
            </w:r>
          </w:p>
          <w:p w14:paraId="344FFB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B66A3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w:t>
            </w:r>
          </w:p>
          <w:p w14:paraId="2BA53D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7D3C7E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p w14:paraId="14D38D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B20533E"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7E75EC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0D04CD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C4164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 и Канада</w:t>
            </w:r>
          </w:p>
          <w:p w14:paraId="43C925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6B9E7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2.939.791</w:t>
            </w:r>
          </w:p>
          <w:p w14:paraId="74FF88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A3309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539.271</w:t>
            </w:r>
          </w:p>
          <w:p w14:paraId="631018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7B81D2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3.509.061</w:t>
            </w:r>
          </w:p>
          <w:p w14:paraId="3E6671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006558"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222663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p w14:paraId="35D1F6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2E363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p w14:paraId="787BA2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A15FA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181.260</w:t>
            </w:r>
          </w:p>
          <w:p w14:paraId="783F2B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2A6AEC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41.119</w:t>
            </w:r>
          </w:p>
          <w:p w14:paraId="630571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62DA43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222.379</w:t>
            </w:r>
          </w:p>
          <w:p w14:paraId="6A5827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7ECCC57"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513CCE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p w14:paraId="24C2C7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F6297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Великобритания</w:t>
            </w:r>
          </w:p>
          <w:p w14:paraId="646D0E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6CCD6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150.000</w:t>
            </w:r>
          </w:p>
          <w:p w14:paraId="3B52DE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5279E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50.000</w:t>
            </w:r>
          </w:p>
          <w:p w14:paraId="0BFD01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042B4C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200.000</w:t>
            </w:r>
          </w:p>
          <w:p w14:paraId="0C111F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8A7C43" w14:textId="77777777">
        <w:trPr>
          <w:gridAfter w:val="1"/>
          <w:wAfter w:w="10" w:type="dxa"/>
          <w:trHeight w:val="230"/>
        </w:trPr>
        <w:tc>
          <w:tcPr>
            <w:tcW w:w="518" w:type="dxa"/>
            <w:tcBorders>
              <w:top w:val="single" w:sz="6" w:space="0" w:color="auto"/>
              <w:left w:val="single" w:sz="6" w:space="0" w:color="auto"/>
              <w:bottom w:val="single" w:sz="6" w:space="0" w:color="auto"/>
              <w:right w:val="single" w:sz="6" w:space="0" w:color="auto"/>
            </w:tcBorders>
          </w:tcPr>
          <w:p w14:paraId="2267D6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p w14:paraId="04A6B0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9C6AC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Германия</w:t>
            </w:r>
          </w:p>
          <w:p w14:paraId="25DE2A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719E7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54.000</w:t>
            </w:r>
          </w:p>
          <w:p w14:paraId="17CF3F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4BE06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12.500</w:t>
            </w:r>
          </w:p>
          <w:p w14:paraId="090C86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40912E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66.500</w:t>
            </w:r>
          </w:p>
          <w:p w14:paraId="1CC109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7FCF829"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3FCDD9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p w14:paraId="571FCD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A192C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p w14:paraId="32BA3F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2E19D4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34.150</w:t>
            </w:r>
          </w:p>
          <w:p w14:paraId="300BE9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540D01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9.500</w:t>
            </w:r>
          </w:p>
          <w:p w14:paraId="120DB4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32DE39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43.650</w:t>
            </w:r>
          </w:p>
          <w:p w14:paraId="124339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1F0B81" w14:textId="77777777">
        <w:trPr>
          <w:gridAfter w:val="1"/>
          <w:wAfter w:w="10" w:type="dxa"/>
          <w:trHeight w:val="230"/>
        </w:trPr>
        <w:tc>
          <w:tcPr>
            <w:tcW w:w="518" w:type="dxa"/>
            <w:tcBorders>
              <w:top w:val="single" w:sz="6" w:space="0" w:color="auto"/>
              <w:left w:val="single" w:sz="6" w:space="0" w:color="auto"/>
              <w:bottom w:val="single" w:sz="6" w:space="0" w:color="auto"/>
              <w:right w:val="single" w:sz="6" w:space="0" w:color="auto"/>
            </w:tcBorders>
          </w:tcPr>
          <w:p w14:paraId="7EC900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p w14:paraId="001303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46CDD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Чехословакия</w:t>
            </w:r>
          </w:p>
          <w:p w14:paraId="0F817F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760D11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13.000</w:t>
            </w:r>
          </w:p>
          <w:p w14:paraId="6E5418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2B4885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p w14:paraId="18254B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69CB1F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20.000</w:t>
            </w:r>
          </w:p>
          <w:p w14:paraId="309138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318F17"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18093F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p w14:paraId="35C606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8E349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Австрия</w:t>
            </w:r>
          </w:p>
          <w:p w14:paraId="12946F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37938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p w14:paraId="3C7016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32CE2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p w14:paraId="5C002F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0E24A3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p w14:paraId="2EA9D3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25597D"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3C4B3B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p w14:paraId="2D4898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50B4B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Бельгия</w:t>
            </w:r>
          </w:p>
          <w:p w14:paraId="2D690E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26BD7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E3CF1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3028D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3FABE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457CD9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7.500</w:t>
            </w:r>
          </w:p>
          <w:p w14:paraId="61A95B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AF9C211"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68E6D1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p w14:paraId="7A0695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699C0C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p w14:paraId="22AB0C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7083B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1EA82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CAA06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1B66D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7E89EB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5.878*</w:t>
            </w:r>
          </w:p>
          <w:p w14:paraId="0C2B7A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874321"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5A9704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p w14:paraId="6E892C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1F88EC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Швеция</w:t>
            </w:r>
          </w:p>
          <w:p w14:paraId="62F6E1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43785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p w14:paraId="510307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C31D9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1.600</w:t>
            </w:r>
          </w:p>
          <w:p w14:paraId="1F703A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2F8677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2.400</w:t>
            </w:r>
          </w:p>
          <w:p w14:paraId="54910C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83F845"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6F2739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p w14:paraId="4EE828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B6F39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Швейцария</w:t>
            </w:r>
          </w:p>
          <w:p w14:paraId="350238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13568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p w14:paraId="68FDF5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1C276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w:t>
            </w:r>
          </w:p>
          <w:p w14:paraId="4C3770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05F4AB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p w14:paraId="166771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00AC26A" w14:textId="77777777">
        <w:trPr>
          <w:gridAfter w:val="1"/>
          <w:wAfter w:w="10" w:type="dxa"/>
          <w:trHeight w:val="230"/>
        </w:trPr>
        <w:tc>
          <w:tcPr>
            <w:tcW w:w="518" w:type="dxa"/>
            <w:tcBorders>
              <w:top w:val="single" w:sz="6" w:space="0" w:color="auto"/>
              <w:left w:val="single" w:sz="6" w:space="0" w:color="auto"/>
              <w:bottom w:val="single" w:sz="6" w:space="0" w:color="auto"/>
              <w:right w:val="single" w:sz="6" w:space="0" w:color="auto"/>
            </w:tcBorders>
          </w:tcPr>
          <w:p w14:paraId="76D82B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p w14:paraId="5E1950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C1EFF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Польша</w:t>
            </w:r>
          </w:p>
          <w:p w14:paraId="1C3989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65E02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F86FF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8F902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3E19A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40E1BA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p w14:paraId="2EC53E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7AF2DA"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17D133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"ТзГ</w:t>
            </w:r>
            <w:r w:rsidRPr="00E93F40">
              <w:rPr>
                <w:rFonts w:ascii="Times New Roman" w:hAnsi="Times New Roman"/>
                <w:color w:val="000000" w:themeColor="text1"/>
                <w:sz w:val="16"/>
                <w:szCs w:val="16"/>
                <w:vertAlign w:val="superscript"/>
              </w:rPr>
              <w:t>1</w:t>
            </w:r>
          </w:p>
          <w:p w14:paraId="4FB46A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7719F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Испания</w:t>
            </w:r>
          </w:p>
          <w:p w14:paraId="3D0C3B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9605B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0AAF5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59A6E1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21B1B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14FCD3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p w14:paraId="425928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B3858F"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14C38C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p w14:paraId="2CE88B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03F91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Венгрия</w:t>
            </w:r>
          </w:p>
          <w:p w14:paraId="51B107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0F82FE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F6001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11699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AFE90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02FACA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p w14:paraId="6A388E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7327D0E"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001779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p w14:paraId="1F9605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958EB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Дания</w:t>
            </w:r>
          </w:p>
          <w:p w14:paraId="434B80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27B23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8FE43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D6CD8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3A775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7A50D9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p w14:paraId="0AAF03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E2A6684" w14:textId="77777777">
        <w:trPr>
          <w:gridAfter w:val="1"/>
          <w:wAfter w:w="10" w:type="dxa"/>
          <w:trHeight w:val="240"/>
        </w:trPr>
        <w:tc>
          <w:tcPr>
            <w:tcW w:w="518" w:type="dxa"/>
            <w:tcBorders>
              <w:top w:val="single" w:sz="6" w:space="0" w:color="auto"/>
              <w:left w:val="single" w:sz="6" w:space="0" w:color="auto"/>
              <w:bottom w:val="single" w:sz="6" w:space="0" w:color="auto"/>
              <w:right w:val="single" w:sz="6" w:space="0" w:color="auto"/>
            </w:tcBorders>
          </w:tcPr>
          <w:p w14:paraId="66F486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p w14:paraId="4DCF7B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2BC967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Разные</w:t>
            </w:r>
          </w:p>
          <w:p w14:paraId="688831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BEB09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2DEC5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74DA9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97280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48B4B8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p w14:paraId="580D38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47B9084" w14:textId="77777777">
        <w:trPr>
          <w:trHeight w:val="202"/>
        </w:trPr>
        <w:tc>
          <w:tcPr>
            <w:tcW w:w="528" w:type="dxa"/>
            <w:gridSpan w:val="2"/>
            <w:tcBorders>
              <w:top w:val="single" w:sz="6" w:space="0" w:color="auto"/>
              <w:left w:val="single" w:sz="6" w:space="0" w:color="auto"/>
              <w:bottom w:val="nil"/>
              <w:right w:val="single" w:sz="6" w:space="0" w:color="auto"/>
            </w:tcBorders>
          </w:tcPr>
          <w:p w14:paraId="0BAB9B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18732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п/п</w:t>
            </w:r>
          </w:p>
          <w:p w14:paraId="4AB56B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nil"/>
              <w:right w:val="single" w:sz="6" w:space="0" w:color="auto"/>
            </w:tcBorders>
          </w:tcPr>
          <w:p w14:paraId="2CE3EC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Государство</w:t>
            </w:r>
          </w:p>
          <w:p w14:paraId="3EF9B8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11" w:type="dxa"/>
            <w:gridSpan w:val="6"/>
            <w:tcBorders>
              <w:top w:val="single" w:sz="6" w:space="0" w:color="auto"/>
              <w:left w:val="single" w:sz="6" w:space="0" w:color="auto"/>
              <w:bottom w:val="single" w:sz="6" w:space="0" w:color="auto"/>
              <w:right w:val="single" w:sz="6" w:space="0" w:color="auto"/>
            </w:tcBorders>
          </w:tcPr>
          <w:p w14:paraId="0D1F42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год</w:t>
            </w:r>
          </w:p>
          <w:p w14:paraId="035379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D729AE" w14:textId="77777777">
        <w:trPr>
          <w:trHeight w:val="182"/>
        </w:trPr>
        <w:tc>
          <w:tcPr>
            <w:tcW w:w="528" w:type="dxa"/>
            <w:gridSpan w:val="2"/>
            <w:tcBorders>
              <w:top w:val="nil"/>
              <w:left w:val="single" w:sz="6" w:space="0" w:color="auto"/>
              <w:bottom w:val="single" w:sz="6" w:space="0" w:color="auto"/>
              <w:right w:val="single" w:sz="6" w:space="0" w:color="auto"/>
            </w:tcBorders>
          </w:tcPr>
          <w:p w14:paraId="0363D4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EA53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nil"/>
              <w:left w:val="single" w:sz="6" w:space="0" w:color="auto"/>
              <w:bottom w:val="single" w:sz="6" w:space="0" w:color="auto"/>
              <w:right w:val="single" w:sz="6" w:space="0" w:color="auto"/>
            </w:tcBorders>
          </w:tcPr>
          <w:p w14:paraId="638C12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B89A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814D4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Легковые</w:t>
            </w:r>
          </w:p>
          <w:p w14:paraId="121F46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54DA15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Грузовые</w:t>
            </w:r>
          </w:p>
          <w:p w14:paraId="4D805B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5035FE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p w14:paraId="427231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CA8694"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2666C7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4FF161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A2DAE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 и Канада</w:t>
            </w:r>
          </w:p>
          <w:p w14:paraId="457AC0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112E32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2.038.183</w:t>
            </w:r>
          </w:p>
          <w:p w14:paraId="34578E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E0058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434.168</w:t>
            </w:r>
          </w:p>
          <w:p w14:paraId="0E596D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17BB76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2.472.351</w:t>
            </w:r>
          </w:p>
          <w:p w14:paraId="0DCB85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7F034B"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1B99CF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p w14:paraId="76C3FF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83AEE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Великобритания</w:t>
            </w:r>
          </w:p>
          <w:p w14:paraId="67D936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130E4A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160.000</w:t>
            </w:r>
          </w:p>
          <w:p w14:paraId="2656F3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0CD4A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65.000</w:t>
            </w:r>
          </w:p>
          <w:p w14:paraId="0EB755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A4590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225.000</w:t>
            </w:r>
          </w:p>
          <w:p w14:paraId="49BB2B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700980E"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1FAE1B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p w14:paraId="755954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EFD27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p w14:paraId="50E4AF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70255E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150.000</w:t>
            </w:r>
          </w:p>
          <w:p w14:paraId="64B4E1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A3C0C1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25.000</w:t>
            </w:r>
          </w:p>
          <w:p w14:paraId="3CA7F2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120331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175.000</w:t>
            </w:r>
          </w:p>
          <w:p w14:paraId="1FA0CD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77299F"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6CD642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p w14:paraId="72B78F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7109D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Германия</w:t>
            </w:r>
          </w:p>
          <w:p w14:paraId="23815D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4DA43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55.000</w:t>
            </w:r>
          </w:p>
          <w:p w14:paraId="344D6F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9ADE6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9.500</w:t>
            </w:r>
          </w:p>
          <w:p w14:paraId="3F7C83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6CE43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64.500</w:t>
            </w:r>
          </w:p>
          <w:p w14:paraId="5200A2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12CC3D"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5F84BC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p w14:paraId="0242A7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217DC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p w14:paraId="787044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05EF7A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F3270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5D22EE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03757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061BD9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25.000</w:t>
            </w:r>
          </w:p>
          <w:p w14:paraId="75729D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E4B237" w14:textId="77777777">
        <w:trPr>
          <w:trHeight w:val="230"/>
        </w:trPr>
        <w:tc>
          <w:tcPr>
            <w:tcW w:w="528" w:type="dxa"/>
            <w:gridSpan w:val="2"/>
            <w:tcBorders>
              <w:top w:val="single" w:sz="6" w:space="0" w:color="auto"/>
              <w:left w:val="single" w:sz="6" w:space="0" w:color="auto"/>
              <w:bottom w:val="single" w:sz="6" w:space="0" w:color="auto"/>
              <w:right w:val="single" w:sz="6" w:space="0" w:color="auto"/>
            </w:tcBorders>
          </w:tcPr>
          <w:p w14:paraId="71322B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p w14:paraId="2CCE24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B603CC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p w14:paraId="3608AE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060845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65320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E1A39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F2993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48FFBC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23.400*</w:t>
            </w:r>
          </w:p>
          <w:p w14:paraId="160098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B57EF8"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7395C4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p w14:paraId="539842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13436B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Чехословакия</w:t>
            </w:r>
          </w:p>
          <w:p w14:paraId="1C754B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5AD536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15.150</w:t>
            </w:r>
          </w:p>
          <w:p w14:paraId="408D8C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15532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2.700</w:t>
            </w:r>
          </w:p>
          <w:p w14:paraId="0C746F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69D338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17.850</w:t>
            </w:r>
          </w:p>
          <w:p w14:paraId="673DB0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4476256"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01D4D4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p w14:paraId="5CEEB5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4CA2B2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Австрия</w:t>
            </w:r>
          </w:p>
          <w:p w14:paraId="18B5C9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10F719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3.200</w:t>
            </w:r>
          </w:p>
          <w:p w14:paraId="72A8C7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4FF374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1.700</w:t>
            </w:r>
          </w:p>
          <w:p w14:paraId="49D95D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32DFE4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4.900</w:t>
            </w:r>
          </w:p>
          <w:p w14:paraId="525FE7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183E6C"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019467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p w14:paraId="3555F5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DC56D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Бельгия</w:t>
            </w:r>
          </w:p>
          <w:p w14:paraId="59FF4F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28B2B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3.800</w:t>
            </w:r>
          </w:p>
          <w:p w14:paraId="20028D2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CED9D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w:t>
            </w:r>
          </w:p>
          <w:p w14:paraId="62BE63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3CF26E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4.580</w:t>
            </w:r>
          </w:p>
          <w:p w14:paraId="3B8A20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235935" w14:textId="77777777">
        <w:trPr>
          <w:trHeight w:val="230"/>
        </w:trPr>
        <w:tc>
          <w:tcPr>
            <w:tcW w:w="528" w:type="dxa"/>
            <w:gridSpan w:val="2"/>
            <w:tcBorders>
              <w:top w:val="single" w:sz="6" w:space="0" w:color="auto"/>
              <w:left w:val="single" w:sz="6" w:space="0" w:color="auto"/>
              <w:bottom w:val="single" w:sz="6" w:space="0" w:color="auto"/>
              <w:right w:val="single" w:sz="6" w:space="0" w:color="auto"/>
            </w:tcBorders>
          </w:tcPr>
          <w:p w14:paraId="661F7D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p w14:paraId="6125BB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F99F3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Швеция</w:t>
            </w:r>
          </w:p>
          <w:p w14:paraId="50122F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64C594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p w14:paraId="0AE2BB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7384D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1.675</w:t>
            </w:r>
          </w:p>
          <w:p w14:paraId="05F910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3F0686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2.375</w:t>
            </w:r>
          </w:p>
          <w:p w14:paraId="785A2A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5E10C0"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052208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p w14:paraId="05AF73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6DB96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Швейцария</w:t>
            </w:r>
          </w:p>
          <w:p w14:paraId="21183C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9D200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p w14:paraId="48673A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B3FFA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980</w:t>
            </w:r>
          </w:p>
          <w:p w14:paraId="206A1D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1FB57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1.130</w:t>
            </w:r>
          </w:p>
          <w:p w14:paraId="424573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9C0C02"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1CB581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p w14:paraId="7A2A47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42FD99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Дания</w:t>
            </w:r>
          </w:p>
          <w:p w14:paraId="15F5D5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12FE3D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E9715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451A28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790D9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AFF2C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p w14:paraId="1A5C79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6D1592"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45859C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p w14:paraId="31CB99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6ADA68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Польша</w:t>
            </w:r>
          </w:p>
          <w:p w14:paraId="57D8D6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49DA5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ED0391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529CD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FBEFF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7D6A04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72AF1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44740B"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74E16A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p w14:paraId="06B39F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4088E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Испания</w:t>
            </w:r>
          </w:p>
          <w:p w14:paraId="474E59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23C792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A3F2A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24498B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488ED6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0407F2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FE7D0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B7BB62"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4C24A7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p w14:paraId="354C33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4758EDE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Венгрия</w:t>
            </w:r>
          </w:p>
          <w:p w14:paraId="39AAD9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6A776F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w:t>
            </w:r>
          </w:p>
          <w:p w14:paraId="030529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82830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w:t>
            </w:r>
          </w:p>
          <w:p w14:paraId="38DECE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56ADD3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w:t>
            </w:r>
          </w:p>
          <w:p w14:paraId="65A6CA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85D9FF" w14:textId="77777777">
        <w:trPr>
          <w:trHeight w:val="240"/>
        </w:trPr>
        <w:tc>
          <w:tcPr>
            <w:tcW w:w="528" w:type="dxa"/>
            <w:gridSpan w:val="2"/>
            <w:tcBorders>
              <w:top w:val="single" w:sz="6" w:space="0" w:color="auto"/>
              <w:left w:val="single" w:sz="6" w:space="0" w:color="auto"/>
              <w:bottom w:val="single" w:sz="6" w:space="0" w:color="auto"/>
              <w:right w:val="single" w:sz="6" w:space="0" w:color="auto"/>
            </w:tcBorders>
          </w:tcPr>
          <w:p w14:paraId="059C69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16.</w:t>
            </w:r>
          </w:p>
          <w:p w14:paraId="5C9A91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0D3B5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Разные</w:t>
            </w:r>
          </w:p>
          <w:p w14:paraId="44EE66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08E5BB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06000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2E06BD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39F8F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B519C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p w14:paraId="74EE14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60900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Источники: Данные об СССР по иностранным источникам.</w:t>
      </w:r>
    </w:p>
    <w:p w14:paraId="02631C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Американский журнал «Аутомотив индастри» № 9 от 27.02.32 г.</w:t>
      </w:r>
    </w:p>
    <w:p w14:paraId="2F4994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 сектора 1 отдела 2 управления УММ</w:t>
      </w:r>
    </w:p>
    <w:p w14:paraId="34C639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Мещеряков</w:t>
      </w:r>
    </w:p>
    <w:p w14:paraId="33A701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Таблица наличия автотракторного имущества в СССР</w:t>
      </w:r>
    </w:p>
    <w:tbl>
      <w:tblPr>
        <w:tblW w:w="0" w:type="auto"/>
        <w:tblInd w:w="40" w:type="dxa"/>
        <w:tblLayout w:type="fixed"/>
        <w:tblCellMar>
          <w:left w:w="40" w:type="dxa"/>
          <w:right w:w="40" w:type="dxa"/>
        </w:tblCellMar>
        <w:tblLook w:val="0000" w:firstRow="0" w:lastRow="0" w:firstColumn="0" w:lastColumn="0" w:noHBand="0" w:noVBand="0"/>
      </w:tblPr>
      <w:tblGrid>
        <w:gridCol w:w="1488"/>
        <w:gridCol w:w="864"/>
        <w:gridCol w:w="883"/>
        <w:gridCol w:w="874"/>
        <w:gridCol w:w="979"/>
        <w:gridCol w:w="874"/>
        <w:gridCol w:w="883"/>
        <w:gridCol w:w="874"/>
      </w:tblGrid>
      <w:tr w:rsidR="00DA227A" w:rsidRPr="00E93F40" w14:paraId="1F59E442" w14:textId="77777777">
        <w:trPr>
          <w:trHeight w:val="163"/>
        </w:trPr>
        <w:tc>
          <w:tcPr>
            <w:tcW w:w="1488" w:type="dxa"/>
            <w:tcBorders>
              <w:top w:val="single" w:sz="6" w:space="0" w:color="auto"/>
              <w:left w:val="single" w:sz="6" w:space="0" w:color="auto"/>
              <w:bottom w:val="single" w:sz="6" w:space="0" w:color="auto"/>
              <w:right w:val="single" w:sz="6" w:space="0" w:color="auto"/>
            </w:tcBorders>
          </w:tcPr>
          <w:p w14:paraId="28EB64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Годы</w:t>
            </w:r>
          </w:p>
          <w:p w14:paraId="698C08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C1FC1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Легковые</w:t>
            </w:r>
          </w:p>
          <w:p w14:paraId="294120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8B7E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Грузовые</w:t>
            </w:r>
          </w:p>
          <w:p w14:paraId="7C7F9D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6DC7E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Автобусы</w:t>
            </w:r>
          </w:p>
          <w:p w14:paraId="13F19A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6B9A3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Специальные</w:t>
            </w:r>
          </w:p>
          <w:p w14:paraId="0AC877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7AB41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p w14:paraId="0FFFEB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7F425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Мотоциклы</w:t>
            </w:r>
          </w:p>
          <w:p w14:paraId="1C5EB2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7ED4A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Трактора</w:t>
            </w:r>
          </w:p>
          <w:p w14:paraId="653E3A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217F0A5"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56967D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1910 г.</w:t>
            </w:r>
          </w:p>
          <w:p w14:paraId="664894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972C3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2B994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8368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03E0A6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7222A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4D666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03274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AB11A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74455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3.539</w:t>
            </w:r>
          </w:p>
          <w:p w14:paraId="438E45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06CF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1.173</w:t>
            </w:r>
          </w:p>
          <w:p w14:paraId="54422B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9903C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D7EBC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DA0047"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6B7790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1913г.</w:t>
            </w:r>
          </w:p>
          <w:p w14:paraId="64E4FA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F636F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7.308</w:t>
            </w:r>
          </w:p>
          <w:p w14:paraId="64AE1B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65535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1.548</w:t>
            </w:r>
          </w:p>
          <w:p w14:paraId="0DEFC3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23E5A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D15B8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5633F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B9632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C2195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8.856</w:t>
            </w:r>
          </w:p>
          <w:p w14:paraId="3F6A39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922B9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3.125</w:t>
            </w:r>
          </w:p>
          <w:p w14:paraId="743F6C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041BB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w:t>
            </w:r>
          </w:p>
          <w:p w14:paraId="34D33D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6637889"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144974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1921 г.</w:t>
            </w:r>
          </w:p>
          <w:p w14:paraId="6106D1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D98546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EB07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E796A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859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25A5A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4411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14FF3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4F6A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8C02D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10.670</w:t>
            </w:r>
          </w:p>
          <w:p w14:paraId="6F9FA1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9F290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9C30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805CB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7F5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12916D"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3113E4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1921 г.</w:t>
            </w:r>
          </w:p>
          <w:p w14:paraId="63258C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28567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5.600</w:t>
            </w:r>
          </w:p>
          <w:p w14:paraId="42E561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E03F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4.576</w:t>
            </w:r>
          </w:p>
          <w:p w14:paraId="59F1DB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E727C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w:t>
            </w:r>
          </w:p>
          <w:p w14:paraId="79179B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9A9A5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388</w:t>
            </w:r>
          </w:p>
          <w:p w14:paraId="1C3965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1092F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10.676</w:t>
            </w:r>
          </w:p>
          <w:p w14:paraId="3880CC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020DB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1.948</w:t>
            </w:r>
          </w:p>
          <w:p w14:paraId="479564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937E6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A013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A69195"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1B61CB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1923г.</w:t>
            </w:r>
          </w:p>
          <w:p w14:paraId="11C8EF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48911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6.056</w:t>
            </w:r>
          </w:p>
          <w:p w14:paraId="7977BA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12E4B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4.640</w:t>
            </w:r>
          </w:p>
          <w:p w14:paraId="681FEB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B88D5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w:t>
            </w:r>
          </w:p>
          <w:p w14:paraId="3B7245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9CF98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p w14:paraId="1C24E5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E8D1B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11.043</w:t>
            </w:r>
          </w:p>
          <w:p w14:paraId="165D75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A68D4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2.405</w:t>
            </w:r>
          </w:p>
          <w:p w14:paraId="42ADE7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48B9D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6B2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42FEED"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2F2BC7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1924г.</w:t>
            </w:r>
          </w:p>
          <w:p w14:paraId="3D93AF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5B76F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6.665</w:t>
            </w:r>
          </w:p>
          <w:p w14:paraId="494D1D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81F6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4.904</w:t>
            </w:r>
          </w:p>
          <w:p w14:paraId="4ADE1B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DE82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147</w:t>
            </w:r>
          </w:p>
          <w:p w14:paraId="043FB8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B9C3C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358</w:t>
            </w:r>
          </w:p>
          <w:p w14:paraId="53D3A0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8C675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12.074</w:t>
            </w:r>
          </w:p>
          <w:p w14:paraId="70A85C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5DF1D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2.952</w:t>
            </w:r>
          </w:p>
          <w:p w14:paraId="5B6F67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BD5C7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2.560</w:t>
            </w:r>
          </w:p>
          <w:p w14:paraId="334C61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70C2F87"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693A79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1925г.</w:t>
            </w:r>
          </w:p>
          <w:p w14:paraId="0355091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04956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7.448</w:t>
            </w:r>
          </w:p>
          <w:p w14:paraId="487C9C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8DA1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5.550</w:t>
            </w:r>
          </w:p>
          <w:p w14:paraId="278765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04699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263</w:t>
            </w:r>
          </w:p>
          <w:p w14:paraId="7F7EDC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CD6A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384</w:t>
            </w:r>
          </w:p>
          <w:p w14:paraId="23794B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F409E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13.645</w:t>
            </w:r>
          </w:p>
          <w:p w14:paraId="6D0381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A9272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4.347</w:t>
            </w:r>
          </w:p>
          <w:p w14:paraId="1F40BD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1B389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19.521</w:t>
            </w:r>
          </w:p>
          <w:p w14:paraId="2FB4D2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F44F7C6"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398823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1926г.</w:t>
            </w:r>
          </w:p>
          <w:p w14:paraId="36CDE2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3648D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7.701</w:t>
            </w:r>
          </w:p>
          <w:p w14:paraId="139307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99AF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6.129</w:t>
            </w:r>
          </w:p>
          <w:p w14:paraId="44F036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E6684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735</w:t>
            </w:r>
          </w:p>
          <w:p w14:paraId="4DFC5D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59244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558</w:t>
            </w:r>
          </w:p>
          <w:p w14:paraId="3769436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C4BB4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15.123</w:t>
            </w:r>
          </w:p>
          <w:p w14:paraId="5F4C73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2EE21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5.511</w:t>
            </w:r>
          </w:p>
          <w:p w14:paraId="548C42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3EC7A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24.504</w:t>
            </w:r>
          </w:p>
          <w:p w14:paraId="422D4F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A53822"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73E25E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1927г.</w:t>
            </w:r>
          </w:p>
          <w:p w14:paraId="4E4B042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EEB3B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7.003</w:t>
            </w:r>
          </w:p>
          <w:p w14:paraId="115407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FAD2B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5.906</w:t>
            </w:r>
          </w:p>
          <w:p w14:paraId="115E23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389BF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1.073</w:t>
            </w:r>
          </w:p>
          <w:p w14:paraId="36925C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7E40A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1.310</w:t>
            </w:r>
          </w:p>
          <w:p w14:paraId="727819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47A15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15.292</w:t>
            </w:r>
          </w:p>
          <w:p w14:paraId="5AA583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ABA17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5.746</w:t>
            </w:r>
          </w:p>
          <w:p w14:paraId="701C1A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1289F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26.783</w:t>
            </w:r>
          </w:p>
          <w:p w14:paraId="0E7196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7CD0F4"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7B672F7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1928г.</w:t>
            </w:r>
          </w:p>
          <w:p w14:paraId="409549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A35F4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7.457</w:t>
            </w:r>
          </w:p>
          <w:p w14:paraId="42E87B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CBD4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6.517</w:t>
            </w:r>
          </w:p>
          <w:p w14:paraId="05ADDF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A73A1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1.110</w:t>
            </w:r>
          </w:p>
          <w:p w14:paraId="410473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2CC98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1.342</w:t>
            </w:r>
          </w:p>
          <w:p w14:paraId="5E1399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0FE83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16.426</w:t>
            </w:r>
          </w:p>
          <w:p w14:paraId="2EFE8E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6B6A3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6.305</w:t>
            </w:r>
          </w:p>
          <w:p w14:paraId="57B02F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D1958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34,300</w:t>
            </w:r>
          </w:p>
          <w:p w14:paraId="7067B4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D4C31BB"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3068F8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1928г.(1 окт.)</w:t>
            </w:r>
          </w:p>
          <w:p w14:paraId="461355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ECC45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8.017</w:t>
            </w:r>
          </w:p>
          <w:p w14:paraId="2D8B12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5A6A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7.217</w:t>
            </w:r>
          </w:p>
          <w:p w14:paraId="66BB21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3EFBE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1.429</w:t>
            </w:r>
          </w:p>
          <w:p w14:paraId="0F59BE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0FD6B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1.585</w:t>
            </w:r>
          </w:p>
          <w:p w14:paraId="151C6C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E6F3E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18.248</w:t>
            </w:r>
          </w:p>
          <w:p w14:paraId="0CBB1B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1105B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7.685</w:t>
            </w:r>
          </w:p>
          <w:p w14:paraId="6B9B0E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67D17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45.800</w:t>
            </w:r>
          </w:p>
          <w:p w14:paraId="77EF95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7D5DA9B"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2F1CB0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1929г.(1 окт.)</w:t>
            </w:r>
          </w:p>
          <w:p w14:paraId="7AB272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AEDE4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8.800</w:t>
            </w:r>
          </w:p>
          <w:p w14:paraId="036996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4AFA5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p w14:paraId="616951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0621F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p w14:paraId="6F6B6B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6F56D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p w14:paraId="10708A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873DB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28.400</w:t>
            </w:r>
          </w:p>
          <w:p w14:paraId="1FB088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2685F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91691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1DEF9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20FEB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15DE86"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423062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1.01.31 г.</w:t>
            </w:r>
          </w:p>
          <w:p w14:paraId="554FBF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F7E84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9.100</w:t>
            </w:r>
          </w:p>
          <w:p w14:paraId="63B698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EF9EB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15.400</w:t>
            </w:r>
          </w:p>
          <w:p w14:paraId="04C92A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466FD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w:t>
            </w:r>
          </w:p>
          <w:p w14:paraId="6E14CA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B278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2.100</w:t>
            </w:r>
          </w:p>
          <w:p w14:paraId="0FC47C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FE033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28.400</w:t>
            </w:r>
          </w:p>
          <w:p w14:paraId="5720526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E051E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6.705</w:t>
            </w:r>
          </w:p>
          <w:p w14:paraId="7582C2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462F2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77.700</w:t>
            </w:r>
          </w:p>
          <w:p w14:paraId="52EFD6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3E26B9"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2006A8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1.01.31 г.</w:t>
            </w:r>
          </w:p>
          <w:p w14:paraId="3A67E2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E63E5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15.655*</w:t>
            </w:r>
          </w:p>
          <w:p w14:paraId="19767E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1EFCE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44.833</w:t>
            </w:r>
          </w:p>
          <w:p w14:paraId="17C713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B4FC1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3.438</w:t>
            </w:r>
          </w:p>
          <w:p w14:paraId="4DC0C71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7A19B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DCF1D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DB088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63.926</w:t>
            </w:r>
          </w:p>
          <w:p w14:paraId="5879F5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9DA75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8.813</w:t>
            </w:r>
          </w:p>
          <w:p w14:paraId="2CEBFA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402E4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E120B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B453C9"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3C6041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1.01.31 г.</w:t>
            </w:r>
          </w:p>
          <w:p w14:paraId="53BDB17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F4E77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11.375**</w:t>
            </w:r>
          </w:p>
          <w:p w14:paraId="70449B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30D2F2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32.369</w:t>
            </w:r>
          </w:p>
          <w:p w14:paraId="7BD695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23801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1.918</w:t>
            </w:r>
          </w:p>
          <w:p w14:paraId="69904A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8E64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4AAF5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DA3AD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45.672</w:t>
            </w:r>
          </w:p>
          <w:p w14:paraId="6B3B82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5174A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6.748</w:t>
            </w:r>
          </w:p>
          <w:p w14:paraId="498737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36B54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123.704</w:t>
            </w:r>
          </w:p>
          <w:p w14:paraId="279192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42C4B5A"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1EFEF9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1.10.31 г.</w:t>
            </w:r>
          </w:p>
          <w:p w14:paraId="36AACF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1E08D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11.713</w:t>
            </w:r>
          </w:p>
          <w:p w14:paraId="2E8F12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1BCBA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43.493</w:t>
            </w:r>
          </w:p>
          <w:p w14:paraId="005B27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418950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2.324</w:t>
            </w:r>
          </w:p>
          <w:p w14:paraId="7E1A22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B9C4C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62F450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E7813C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57.530</w:t>
            </w:r>
          </w:p>
          <w:p w14:paraId="7F9BAB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205E7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78A5D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22C8C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152.067</w:t>
            </w:r>
          </w:p>
          <w:p w14:paraId="621900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64F17A" w14:textId="77777777">
        <w:trPr>
          <w:trHeight w:val="240"/>
        </w:trPr>
        <w:tc>
          <w:tcPr>
            <w:tcW w:w="1488" w:type="dxa"/>
            <w:tcBorders>
              <w:top w:val="single" w:sz="6" w:space="0" w:color="auto"/>
              <w:left w:val="single" w:sz="6" w:space="0" w:color="auto"/>
              <w:bottom w:val="single" w:sz="6" w:space="0" w:color="auto"/>
              <w:right w:val="single" w:sz="6" w:space="0" w:color="auto"/>
            </w:tcBorders>
          </w:tcPr>
          <w:p w14:paraId="6253B8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1.01.33г.</w:t>
            </w:r>
          </w:p>
          <w:p w14:paraId="40D23E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CB4E7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324F7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C2E2D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2A61C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9AB7D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2EEE5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1DE56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9A706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7C02A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70.000</w:t>
            </w:r>
          </w:p>
          <w:p w14:paraId="222B49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1BE7E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3F98A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74B2F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175.000</w:t>
            </w:r>
          </w:p>
          <w:p w14:paraId="6A7C44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790BC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"по иностранным источникам</w:t>
      </w:r>
    </w:p>
    <w:p w14:paraId="56A4D2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нашим данным (без армии) Источники: 1) данные 5 управления штаба РККА.</w:t>
      </w:r>
    </w:p>
    <w:p w14:paraId="0C1F374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данные Цудортранса.</w:t>
      </w:r>
    </w:p>
    <w:p w14:paraId="249864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«Правда» от 19.12.1932 г.</w:t>
      </w:r>
    </w:p>
    <w:p w14:paraId="054513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Гольдберг «Автомобиль и дороги в цифрах». Гострансиздат 1932 г.</w:t>
      </w:r>
    </w:p>
    <w:p w14:paraId="461B88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 сектора 1 отдела 2 управления!</w:t>
      </w:r>
    </w:p>
    <w:p w14:paraId="293E4F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Мещер</w:t>
      </w:r>
    </w:p>
    <w:p w14:paraId="567175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Таблица ввоз тракторов и автомобилей из заграницы в СССР</w:t>
      </w:r>
    </w:p>
    <w:tbl>
      <w:tblPr>
        <w:tblW w:w="0" w:type="auto"/>
        <w:tblInd w:w="40" w:type="dxa"/>
        <w:tblLayout w:type="fixed"/>
        <w:tblCellMar>
          <w:left w:w="40" w:type="dxa"/>
          <w:right w:w="40" w:type="dxa"/>
        </w:tblCellMar>
        <w:tblLook w:val="0000" w:firstRow="0" w:lastRow="0" w:firstColumn="0" w:lastColumn="0" w:noHBand="0" w:noVBand="0"/>
      </w:tblPr>
      <w:tblGrid>
        <w:gridCol w:w="2563"/>
        <w:gridCol w:w="2563"/>
        <w:gridCol w:w="2525"/>
      </w:tblGrid>
      <w:tr w:rsidR="00DA227A" w:rsidRPr="00E93F40" w14:paraId="1A6C9FE9"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59C2FE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Годы</w:t>
            </w:r>
          </w:p>
          <w:p w14:paraId="28AEC5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53E4FB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Автомобили</w:t>
            </w:r>
          </w:p>
          <w:p w14:paraId="129B5D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6D6691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Трактора</w:t>
            </w:r>
          </w:p>
          <w:p w14:paraId="12E947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F0D1A6C"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543F73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1914-1917 гг.</w:t>
            </w:r>
          </w:p>
          <w:p w14:paraId="2143B3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3D5CDC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40.000</w:t>
            </w:r>
          </w:p>
          <w:p w14:paraId="2E78BB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68B5DE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41830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6DA405"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44BB8D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 1-1 922 гг.</w:t>
            </w:r>
          </w:p>
          <w:p w14:paraId="6A41B8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66272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9C56E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661C6F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p w14:paraId="6BE2B6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B0D1F65"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503A5B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1922-1 923 гг.</w:t>
            </w:r>
          </w:p>
          <w:p w14:paraId="69DB48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1C7446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3C226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3A4309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p w14:paraId="38D4E9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9EDC3F1"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217A43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1923-1 924 гг.</w:t>
            </w:r>
          </w:p>
          <w:p w14:paraId="6A6E0F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1B63B1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A99C2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57DA46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p w14:paraId="6BCD31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D59660"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7182C7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1924- 1925 гг.</w:t>
            </w:r>
          </w:p>
          <w:p w14:paraId="413D6F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6CDCDA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FC272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1A0B0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8.137</w:t>
            </w:r>
          </w:p>
          <w:p w14:paraId="5CA9BD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BD4124"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7AF6EA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1925-1 926 гг.</w:t>
            </w:r>
          </w:p>
          <w:p w14:paraId="6D8FBD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3E6E07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E2C04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9B0B6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10.438</w:t>
            </w:r>
          </w:p>
          <w:p w14:paraId="2B5584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8AC6A3"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1978C6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1926-1 927 гг.</w:t>
            </w:r>
          </w:p>
          <w:p w14:paraId="496EFC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41DA12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5F9C6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3A2E28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5.020</w:t>
            </w:r>
          </w:p>
          <w:p w14:paraId="17D46D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31EDEF"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25F340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1928г.</w:t>
            </w:r>
          </w:p>
          <w:p w14:paraId="7FF938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16EF00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1.090</w:t>
            </w:r>
          </w:p>
          <w:p w14:paraId="69ED83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57DA49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2.432</w:t>
            </w:r>
          </w:p>
          <w:p w14:paraId="6C4FD1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8D06FB6"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0F81D8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1929г.</w:t>
            </w:r>
          </w:p>
          <w:p w14:paraId="036C7D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41F28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2.226</w:t>
            </w:r>
          </w:p>
          <w:p w14:paraId="6A59D7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3AD5F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5.390</w:t>
            </w:r>
          </w:p>
          <w:p w14:paraId="7D2D2A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94FAA5"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7F5A86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 г.</w:t>
            </w:r>
          </w:p>
          <w:p w14:paraId="4EEA10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04930F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15.388</w:t>
            </w:r>
          </w:p>
          <w:p w14:paraId="18C9F7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72926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21.520</w:t>
            </w:r>
          </w:p>
          <w:p w14:paraId="20B2C7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155946A" w14:textId="77777777">
        <w:trPr>
          <w:trHeight w:val="250"/>
        </w:trPr>
        <w:tc>
          <w:tcPr>
            <w:tcW w:w="2563" w:type="dxa"/>
            <w:tcBorders>
              <w:top w:val="single" w:sz="6" w:space="0" w:color="auto"/>
              <w:left w:val="single" w:sz="6" w:space="0" w:color="auto"/>
              <w:bottom w:val="single" w:sz="6" w:space="0" w:color="auto"/>
              <w:right w:val="single" w:sz="6" w:space="0" w:color="auto"/>
            </w:tcBorders>
          </w:tcPr>
          <w:p w14:paraId="3F6030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p w14:paraId="682BF7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9C432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17.894</w:t>
            </w:r>
          </w:p>
          <w:p w14:paraId="76E017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0E0308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29.463</w:t>
            </w:r>
          </w:p>
          <w:p w14:paraId="257B96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B2B5A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Источники: 1) НК РКИ изд. 1930 г. «Тракторизация сельского хозяйства». 2) «Правда» от 19.12.1930 г.</w:t>
      </w:r>
    </w:p>
    <w:p w14:paraId="6944A8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 сектора 1 отдела 2 управления</w:t>
      </w:r>
    </w:p>
    <w:p w14:paraId="0A116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Меще;</w:t>
      </w:r>
    </w:p>
    <w:p w14:paraId="5801FF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Таблица наличие бронетанкового и автотракторного имущества в РККА</w:t>
      </w:r>
    </w:p>
    <w:tbl>
      <w:tblPr>
        <w:tblW w:w="0" w:type="auto"/>
        <w:tblInd w:w="40" w:type="dxa"/>
        <w:tblLayout w:type="fixed"/>
        <w:tblCellMar>
          <w:left w:w="40" w:type="dxa"/>
          <w:right w:w="40" w:type="dxa"/>
        </w:tblCellMar>
        <w:tblLook w:val="0000" w:firstRow="0" w:lastRow="0" w:firstColumn="0" w:lastColumn="0" w:noHBand="0" w:noVBand="0"/>
      </w:tblPr>
      <w:tblGrid>
        <w:gridCol w:w="1085"/>
        <w:gridCol w:w="902"/>
        <w:gridCol w:w="874"/>
        <w:gridCol w:w="883"/>
        <w:gridCol w:w="864"/>
        <w:gridCol w:w="883"/>
        <w:gridCol w:w="288"/>
        <w:gridCol w:w="989"/>
        <w:gridCol w:w="912"/>
      </w:tblGrid>
      <w:tr w:rsidR="00DA227A" w:rsidRPr="00E93F40" w14:paraId="68774CBD" w14:textId="77777777">
        <w:trPr>
          <w:trHeight w:val="240"/>
        </w:trPr>
        <w:tc>
          <w:tcPr>
            <w:tcW w:w="1085" w:type="dxa"/>
            <w:tcBorders>
              <w:top w:val="single" w:sz="6" w:space="0" w:color="auto"/>
              <w:left w:val="single" w:sz="6" w:space="0" w:color="auto"/>
              <w:bottom w:val="nil"/>
              <w:right w:val="single" w:sz="6" w:space="0" w:color="auto"/>
            </w:tcBorders>
          </w:tcPr>
          <w:p w14:paraId="5FB593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D9F0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06" w:type="dxa"/>
            <w:gridSpan w:val="5"/>
            <w:tcBorders>
              <w:top w:val="single" w:sz="6" w:space="0" w:color="auto"/>
              <w:left w:val="single" w:sz="6" w:space="0" w:color="auto"/>
              <w:bottom w:val="single" w:sz="6" w:space="0" w:color="auto"/>
              <w:right w:val="nil"/>
            </w:tcBorders>
          </w:tcPr>
          <w:p w14:paraId="6AE713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ТАНКИ</w:t>
            </w:r>
          </w:p>
          <w:p w14:paraId="3DE014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nil"/>
              <w:bottom w:val="single" w:sz="6" w:space="0" w:color="auto"/>
              <w:right w:val="single" w:sz="6" w:space="0" w:color="auto"/>
            </w:tcBorders>
          </w:tcPr>
          <w:p w14:paraId="5877F6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26A1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nil"/>
              <w:right w:val="single" w:sz="6" w:space="0" w:color="auto"/>
            </w:tcBorders>
          </w:tcPr>
          <w:p w14:paraId="1E03B5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p w14:paraId="0F4516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2A74A4" w14:textId="77777777">
        <w:trPr>
          <w:trHeight w:val="221"/>
        </w:trPr>
        <w:tc>
          <w:tcPr>
            <w:tcW w:w="1085" w:type="dxa"/>
            <w:tcBorders>
              <w:top w:val="nil"/>
              <w:left w:val="single" w:sz="6" w:space="0" w:color="auto"/>
              <w:bottom w:val="single" w:sz="6" w:space="0" w:color="auto"/>
              <w:right w:val="single" w:sz="6" w:space="0" w:color="auto"/>
            </w:tcBorders>
          </w:tcPr>
          <w:p w14:paraId="43C7EA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8B0C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7755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Т-24</w:t>
            </w:r>
          </w:p>
          <w:p w14:paraId="690BF3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A7CA5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Б-Т</w:t>
            </w:r>
          </w:p>
          <w:p w14:paraId="6AE889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F223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Т-18</w:t>
            </w:r>
          </w:p>
          <w:p w14:paraId="654E2B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2EBE2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Т-26</w:t>
            </w:r>
          </w:p>
          <w:p w14:paraId="2E51B9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03D07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Т-41</w:t>
            </w:r>
          </w:p>
          <w:p w14:paraId="104441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2598A6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Т-27</w:t>
            </w:r>
          </w:p>
          <w:p w14:paraId="6C41D4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nil"/>
              <w:left w:val="single" w:sz="6" w:space="0" w:color="auto"/>
              <w:bottom w:val="single" w:sz="6" w:space="0" w:color="auto"/>
              <w:right w:val="single" w:sz="6" w:space="0" w:color="auto"/>
            </w:tcBorders>
          </w:tcPr>
          <w:p w14:paraId="348FF6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E513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F33B6ED" w14:textId="77777777">
        <w:trPr>
          <w:trHeight w:val="221"/>
        </w:trPr>
        <w:tc>
          <w:tcPr>
            <w:tcW w:w="1085" w:type="dxa"/>
            <w:tcBorders>
              <w:top w:val="single" w:sz="6" w:space="0" w:color="auto"/>
              <w:left w:val="single" w:sz="6" w:space="0" w:color="auto"/>
              <w:bottom w:val="single" w:sz="6" w:space="0" w:color="auto"/>
              <w:right w:val="single" w:sz="6" w:space="0" w:color="auto"/>
            </w:tcBorders>
          </w:tcPr>
          <w:p w14:paraId="23C968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1.01.31 г.</w:t>
            </w:r>
          </w:p>
          <w:p w14:paraId="00AF8E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0139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p w14:paraId="4BF55B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EB76A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D8036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AC0A0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957</w:t>
            </w:r>
          </w:p>
          <w:p w14:paraId="0AC78B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3F83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p w14:paraId="339F8D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F61E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F0F3D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26B937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313</w:t>
            </w:r>
          </w:p>
          <w:p w14:paraId="2A864A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CE527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1.302</w:t>
            </w:r>
          </w:p>
          <w:p w14:paraId="7E2B53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1A6AC59"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5DFD9C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1.10.31 г.</w:t>
            </w:r>
          </w:p>
          <w:p w14:paraId="65793E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7710C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p w14:paraId="46EE00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39637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w:t>
            </w:r>
          </w:p>
          <w:p w14:paraId="24EEF1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A166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957</w:t>
            </w:r>
          </w:p>
          <w:p w14:paraId="33EB9E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1232D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563</w:t>
            </w:r>
          </w:p>
          <w:p w14:paraId="6D91CA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D00EB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774910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490906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1.203</w:t>
            </w:r>
          </w:p>
          <w:p w14:paraId="7A4017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7E42A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2.837</w:t>
            </w:r>
          </w:p>
          <w:p w14:paraId="573043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76AAE4B"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222EC3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1.11.31 г.</w:t>
            </w:r>
          </w:p>
          <w:p w14:paraId="76FF7E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297A9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p w14:paraId="4F5B40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AC251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w:t>
            </w:r>
          </w:p>
          <w:p w14:paraId="0BC67A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8558A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957</w:t>
            </w:r>
          </w:p>
          <w:p w14:paraId="64BA33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656F1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867</w:t>
            </w:r>
          </w:p>
          <w:p w14:paraId="606A25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332B4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2B4788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72545E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1.492</w:t>
            </w:r>
          </w:p>
          <w:p w14:paraId="29C95A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A381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3.496</w:t>
            </w:r>
          </w:p>
          <w:p w14:paraId="17A45C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4C1E76" w14:textId="77777777">
        <w:trPr>
          <w:trHeight w:val="442"/>
        </w:trPr>
        <w:tc>
          <w:tcPr>
            <w:tcW w:w="1085" w:type="dxa"/>
            <w:tcBorders>
              <w:top w:val="single" w:sz="6" w:space="0" w:color="auto"/>
              <w:left w:val="single" w:sz="6" w:space="0" w:color="auto"/>
              <w:bottom w:val="nil"/>
              <w:right w:val="single" w:sz="6" w:space="0" w:color="auto"/>
            </w:tcBorders>
          </w:tcPr>
          <w:p w14:paraId="72AD26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AAB9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95" w:type="dxa"/>
            <w:gridSpan w:val="8"/>
            <w:tcBorders>
              <w:top w:val="single" w:sz="6" w:space="0" w:color="auto"/>
              <w:left w:val="single" w:sz="6" w:space="0" w:color="auto"/>
              <w:bottom w:val="single" w:sz="6" w:space="0" w:color="auto"/>
              <w:right w:val="single" w:sz="6" w:space="0" w:color="auto"/>
            </w:tcBorders>
          </w:tcPr>
          <w:p w14:paraId="6B924B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Танки старых образцов, частью сданных Осоавиахиму, частью хранящихся на складах.</w:t>
            </w:r>
          </w:p>
          <w:p w14:paraId="666874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1BB99CC" w14:textId="77777777">
        <w:trPr>
          <w:trHeight w:val="442"/>
        </w:trPr>
        <w:tc>
          <w:tcPr>
            <w:tcW w:w="1085" w:type="dxa"/>
            <w:tcBorders>
              <w:top w:val="nil"/>
              <w:left w:val="single" w:sz="6" w:space="0" w:color="auto"/>
              <w:bottom w:val="single" w:sz="6" w:space="0" w:color="auto"/>
              <w:right w:val="single" w:sz="6" w:space="0" w:color="auto"/>
            </w:tcBorders>
          </w:tcPr>
          <w:p w14:paraId="13397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4471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BBD5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Рикардо</w:t>
            </w:r>
          </w:p>
          <w:p w14:paraId="03F25F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4525F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Тейлор</w:t>
            </w:r>
          </w:p>
          <w:p w14:paraId="67290F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D4742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Рено русск.</w:t>
            </w:r>
          </w:p>
          <w:p w14:paraId="21C89F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8C9B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Рено франц.</w:t>
            </w:r>
          </w:p>
          <w:p w14:paraId="353D70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10BF6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Фиат</w:t>
            </w:r>
          </w:p>
          <w:p w14:paraId="12EE03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50133D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Шкода</w:t>
            </w:r>
          </w:p>
          <w:p w14:paraId="0D26C7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3CE85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p w14:paraId="44ED61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B66DE0"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75080F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25.1 1.32 г</w:t>
            </w:r>
          </w:p>
          <w:p w14:paraId="5146E2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79F1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p w14:paraId="0C30DF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A020F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p w14:paraId="4C1FFD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592D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p w14:paraId="324449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0C18A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p w14:paraId="1BD91E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37642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p w14:paraId="1AF4F6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42B2ED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p w14:paraId="655967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F5C2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p w14:paraId="3C2042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87C5805" w14:textId="77777777">
        <w:trPr>
          <w:trHeight w:val="144"/>
        </w:trPr>
        <w:tc>
          <w:tcPr>
            <w:tcW w:w="1085" w:type="dxa"/>
            <w:tcBorders>
              <w:top w:val="single" w:sz="6" w:space="0" w:color="auto"/>
              <w:left w:val="single" w:sz="6" w:space="0" w:color="auto"/>
              <w:bottom w:val="single" w:sz="6" w:space="0" w:color="auto"/>
              <w:right w:val="single" w:sz="6" w:space="0" w:color="auto"/>
            </w:tcBorders>
          </w:tcPr>
          <w:p w14:paraId="3DA20A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7159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3" w:type="dxa"/>
            <w:gridSpan w:val="7"/>
            <w:tcBorders>
              <w:top w:val="single" w:sz="6" w:space="0" w:color="auto"/>
              <w:left w:val="single" w:sz="6" w:space="0" w:color="auto"/>
              <w:bottom w:val="single" w:sz="6" w:space="0" w:color="auto"/>
              <w:right w:val="single" w:sz="6" w:space="0" w:color="auto"/>
            </w:tcBorders>
          </w:tcPr>
          <w:p w14:paraId="7376F8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1CA9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nil"/>
            </w:tcBorders>
          </w:tcPr>
          <w:p w14:paraId="049005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324B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E8E968" w14:textId="77777777">
        <w:trPr>
          <w:trHeight w:val="230"/>
        </w:trPr>
        <w:tc>
          <w:tcPr>
            <w:tcW w:w="1085" w:type="dxa"/>
            <w:tcBorders>
              <w:top w:val="single" w:sz="6" w:space="0" w:color="auto"/>
              <w:left w:val="single" w:sz="6" w:space="0" w:color="auto"/>
              <w:bottom w:val="nil"/>
              <w:right w:val="single" w:sz="6" w:space="0" w:color="auto"/>
            </w:tcBorders>
          </w:tcPr>
          <w:p w14:paraId="154985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260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3" w:type="dxa"/>
            <w:gridSpan w:val="7"/>
            <w:tcBorders>
              <w:top w:val="single" w:sz="6" w:space="0" w:color="auto"/>
              <w:left w:val="single" w:sz="6" w:space="0" w:color="auto"/>
              <w:bottom w:val="single" w:sz="6" w:space="0" w:color="auto"/>
              <w:right w:val="single" w:sz="6" w:space="0" w:color="auto"/>
            </w:tcBorders>
          </w:tcPr>
          <w:p w14:paraId="304A00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БРОНЕАВТОМОБИЛИ</w:t>
            </w:r>
          </w:p>
          <w:p w14:paraId="221324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nil"/>
              <w:right w:val="single" w:sz="6" w:space="0" w:color="auto"/>
            </w:tcBorders>
          </w:tcPr>
          <w:p w14:paraId="535ABB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p w14:paraId="5AE825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36D89B5" w14:textId="77777777">
        <w:trPr>
          <w:trHeight w:val="221"/>
        </w:trPr>
        <w:tc>
          <w:tcPr>
            <w:tcW w:w="1085" w:type="dxa"/>
            <w:tcBorders>
              <w:top w:val="nil"/>
              <w:left w:val="single" w:sz="6" w:space="0" w:color="auto"/>
              <w:bottom w:val="single" w:sz="6" w:space="0" w:color="auto"/>
              <w:right w:val="single" w:sz="6" w:space="0" w:color="auto"/>
            </w:tcBorders>
          </w:tcPr>
          <w:p w14:paraId="004EE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A430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BF1CD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БА-27</w:t>
            </w:r>
          </w:p>
          <w:p w14:paraId="7654F9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gridSpan w:val="2"/>
            <w:tcBorders>
              <w:top w:val="single" w:sz="6" w:space="0" w:color="auto"/>
              <w:left w:val="single" w:sz="6" w:space="0" w:color="auto"/>
              <w:bottom w:val="single" w:sz="6" w:space="0" w:color="auto"/>
              <w:right w:val="single" w:sz="6" w:space="0" w:color="auto"/>
            </w:tcBorders>
          </w:tcPr>
          <w:p w14:paraId="34EA80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Д-13, БАИ.БАТ</w:t>
            </w:r>
          </w:p>
          <w:p w14:paraId="235E60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76B25D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Д-8, Д-12ФАА</w:t>
            </w:r>
          </w:p>
          <w:p w14:paraId="33BF70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nil"/>
              <w:left w:val="single" w:sz="6" w:space="0" w:color="auto"/>
              <w:bottom w:val="single" w:sz="6" w:space="0" w:color="auto"/>
              <w:right w:val="single" w:sz="6" w:space="0" w:color="auto"/>
            </w:tcBorders>
          </w:tcPr>
          <w:p w14:paraId="523CD5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5A5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99177B2"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4C48E3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1.01.31 г.</w:t>
            </w:r>
          </w:p>
          <w:p w14:paraId="234816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1F92DA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w:t>
            </w:r>
          </w:p>
          <w:p w14:paraId="5FDCEE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gridSpan w:val="2"/>
            <w:tcBorders>
              <w:top w:val="single" w:sz="6" w:space="0" w:color="auto"/>
              <w:left w:val="single" w:sz="6" w:space="0" w:color="auto"/>
              <w:bottom w:val="single" w:sz="6" w:space="0" w:color="auto"/>
              <w:right w:val="single" w:sz="6" w:space="0" w:color="auto"/>
            </w:tcBorders>
          </w:tcPr>
          <w:p w14:paraId="39B4A1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1A178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0A9630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p w14:paraId="3EC090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C7BAD1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234</w:t>
            </w:r>
          </w:p>
          <w:p w14:paraId="2FAB4C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0AD4A41" w14:textId="77777777">
        <w:trPr>
          <w:trHeight w:val="221"/>
        </w:trPr>
        <w:tc>
          <w:tcPr>
            <w:tcW w:w="1085" w:type="dxa"/>
            <w:tcBorders>
              <w:top w:val="single" w:sz="6" w:space="0" w:color="auto"/>
              <w:left w:val="single" w:sz="6" w:space="0" w:color="auto"/>
              <w:bottom w:val="single" w:sz="6" w:space="0" w:color="auto"/>
              <w:right w:val="single" w:sz="6" w:space="0" w:color="auto"/>
            </w:tcBorders>
          </w:tcPr>
          <w:p w14:paraId="3CA9D3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1.10.31 г.</w:t>
            </w:r>
          </w:p>
          <w:p w14:paraId="5A3183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389C0F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w:t>
            </w:r>
          </w:p>
          <w:p w14:paraId="56068C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gridSpan w:val="2"/>
            <w:tcBorders>
              <w:top w:val="single" w:sz="6" w:space="0" w:color="auto"/>
              <w:left w:val="single" w:sz="6" w:space="0" w:color="auto"/>
              <w:bottom w:val="single" w:sz="6" w:space="0" w:color="auto"/>
              <w:right w:val="single" w:sz="6" w:space="0" w:color="auto"/>
            </w:tcBorders>
          </w:tcPr>
          <w:p w14:paraId="54544D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p w14:paraId="412ADD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2480A3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p w14:paraId="76145A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5D33B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255</w:t>
            </w:r>
          </w:p>
          <w:p w14:paraId="138C19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8EC8D1"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130660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1.11.31 г.</w:t>
            </w:r>
          </w:p>
          <w:p w14:paraId="76B993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85C18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w:t>
            </w:r>
          </w:p>
          <w:p w14:paraId="102614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gridSpan w:val="2"/>
            <w:tcBorders>
              <w:top w:val="single" w:sz="6" w:space="0" w:color="auto"/>
              <w:left w:val="single" w:sz="6" w:space="0" w:color="auto"/>
              <w:bottom w:val="single" w:sz="6" w:space="0" w:color="auto"/>
              <w:right w:val="single" w:sz="6" w:space="0" w:color="auto"/>
            </w:tcBorders>
          </w:tcPr>
          <w:p w14:paraId="1FE250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p w14:paraId="483D0C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690B0D0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p w14:paraId="680068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2B569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265</w:t>
            </w:r>
          </w:p>
          <w:p w14:paraId="34903D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BA3D57" w14:textId="77777777">
        <w:trPr>
          <w:trHeight w:val="442"/>
        </w:trPr>
        <w:tc>
          <w:tcPr>
            <w:tcW w:w="1085" w:type="dxa"/>
            <w:tcBorders>
              <w:top w:val="single" w:sz="6" w:space="0" w:color="auto"/>
              <w:left w:val="single" w:sz="6" w:space="0" w:color="auto"/>
              <w:bottom w:val="nil"/>
              <w:right w:val="single" w:sz="6" w:space="0" w:color="auto"/>
            </w:tcBorders>
          </w:tcPr>
          <w:p w14:paraId="2CBABD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65D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95" w:type="dxa"/>
            <w:gridSpan w:val="8"/>
            <w:tcBorders>
              <w:top w:val="single" w:sz="6" w:space="0" w:color="auto"/>
              <w:left w:val="single" w:sz="6" w:space="0" w:color="auto"/>
              <w:bottom w:val="single" w:sz="6" w:space="0" w:color="auto"/>
              <w:right w:val="single" w:sz="6" w:space="0" w:color="auto"/>
            </w:tcBorders>
          </w:tcPr>
          <w:p w14:paraId="5C0E27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Бронеавтомобили старых образцов, частью сданные Осоавиахиму, частью хранящихся на складах.</w:t>
            </w:r>
          </w:p>
          <w:p w14:paraId="261153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24A7C2" w14:textId="77777777">
        <w:trPr>
          <w:trHeight w:val="442"/>
        </w:trPr>
        <w:tc>
          <w:tcPr>
            <w:tcW w:w="1085" w:type="dxa"/>
            <w:tcBorders>
              <w:top w:val="nil"/>
              <w:left w:val="single" w:sz="6" w:space="0" w:color="auto"/>
              <w:bottom w:val="single" w:sz="6" w:space="0" w:color="auto"/>
              <w:right w:val="single" w:sz="6" w:space="0" w:color="auto"/>
            </w:tcBorders>
          </w:tcPr>
          <w:p w14:paraId="60CFE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5E89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CB8E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Гарфорд</w:t>
            </w:r>
          </w:p>
          <w:p w14:paraId="5F3493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F17A9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Фиат</w:t>
            </w:r>
          </w:p>
          <w:p w14:paraId="49CD33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044D1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Остин</w:t>
            </w:r>
          </w:p>
          <w:p w14:paraId="4B2E06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FC54F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vertAlign w:val="superscript"/>
              </w:rPr>
              <w:t>Остин</w:t>
            </w:r>
            <w:r w:rsidRPr="00E93F40">
              <w:rPr>
                <w:rFonts w:ascii="Times New Roman" w:hAnsi="Times New Roman"/>
                <w:color w:val="000000" w:themeColor="text1"/>
                <w:sz w:val="16"/>
                <w:szCs w:val="16"/>
              </w:rPr>
              <w:t xml:space="preserve"> Рено хегр.</w:t>
            </w:r>
          </w:p>
          <w:p w14:paraId="0F8445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063E3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Ланчесте Р</w:t>
            </w:r>
          </w:p>
          <w:p w14:paraId="731DA2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2E02E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p w14:paraId="7D680F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35ACF1" w14:textId="77777777">
        <w:trPr>
          <w:trHeight w:val="221"/>
        </w:trPr>
        <w:tc>
          <w:tcPr>
            <w:tcW w:w="1085" w:type="dxa"/>
            <w:tcBorders>
              <w:top w:val="single" w:sz="6" w:space="0" w:color="auto"/>
              <w:left w:val="single" w:sz="6" w:space="0" w:color="auto"/>
              <w:bottom w:val="single" w:sz="6" w:space="0" w:color="auto"/>
              <w:right w:val="single" w:sz="6" w:space="0" w:color="auto"/>
            </w:tcBorders>
          </w:tcPr>
          <w:p w14:paraId="45448B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25.1 1.32 г</w:t>
            </w:r>
          </w:p>
          <w:p w14:paraId="71A1E4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D2F9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p w14:paraId="3ACC57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C51B3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w:t>
            </w:r>
          </w:p>
          <w:p w14:paraId="7568FF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82740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w:t>
            </w:r>
          </w:p>
          <w:p w14:paraId="74E3A9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CFDA0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p w14:paraId="0910F0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nil"/>
            </w:tcBorders>
          </w:tcPr>
          <w:p w14:paraId="69DE1A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p w14:paraId="089C10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nil"/>
              <w:bottom w:val="single" w:sz="6" w:space="0" w:color="auto"/>
              <w:right w:val="single" w:sz="6" w:space="0" w:color="auto"/>
            </w:tcBorders>
          </w:tcPr>
          <w:p w14:paraId="662508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p w14:paraId="35BE50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123C0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162</w:t>
            </w:r>
          </w:p>
          <w:p w14:paraId="339911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2EFFEF" w14:textId="77777777">
        <w:trPr>
          <w:trHeight w:val="154"/>
        </w:trPr>
        <w:tc>
          <w:tcPr>
            <w:tcW w:w="5779" w:type="dxa"/>
            <w:gridSpan w:val="7"/>
            <w:tcBorders>
              <w:top w:val="single" w:sz="6" w:space="0" w:color="auto"/>
              <w:left w:val="single" w:sz="6" w:space="0" w:color="auto"/>
              <w:bottom w:val="single" w:sz="6" w:space="0" w:color="auto"/>
              <w:right w:val="nil"/>
            </w:tcBorders>
          </w:tcPr>
          <w:p w14:paraId="303864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52F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gridSpan w:val="2"/>
            <w:tcBorders>
              <w:top w:val="single" w:sz="6" w:space="0" w:color="auto"/>
              <w:left w:val="nil"/>
              <w:bottom w:val="single" w:sz="6" w:space="0" w:color="auto"/>
              <w:right w:val="nil"/>
            </w:tcBorders>
          </w:tcPr>
          <w:p w14:paraId="0AD798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09B3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B908DD" w14:textId="77777777">
        <w:trPr>
          <w:trHeight w:val="230"/>
        </w:trPr>
        <w:tc>
          <w:tcPr>
            <w:tcW w:w="1085" w:type="dxa"/>
            <w:tcBorders>
              <w:top w:val="single" w:sz="6" w:space="0" w:color="auto"/>
              <w:left w:val="single" w:sz="6" w:space="0" w:color="auto"/>
              <w:bottom w:val="nil"/>
              <w:right w:val="single" w:sz="6" w:space="0" w:color="auto"/>
            </w:tcBorders>
          </w:tcPr>
          <w:p w14:paraId="051D51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CEBD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94" w:type="dxa"/>
            <w:gridSpan w:val="6"/>
            <w:tcBorders>
              <w:top w:val="single" w:sz="6" w:space="0" w:color="auto"/>
              <w:left w:val="single" w:sz="6" w:space="0" w:color="auto"/>
              <w:bottom w:val="single" w:sz="6" w:space="0" w:color="auto"/>
              <w:right w:val="single" w:sz="6" w:space="0" w:color="auto"/>
            </w:tcBorders>
          </w:tcPr>
          <w:p w14:paraId="26536B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БРОНЕПОЕЗДА</w:t>
            </w:r>
          </w:p>
          <w:p w14:paraId="695144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gridSpan w:val="2"/>
            <w:tcBorders>
              <w:top w:val="single" w:sz="6" w:space="0" w:color="auto"/>
              <w:left w:val="single" w:sz="6" w:space="0" w:color="auto"/>
              <w:bottom w:val="nil"/>
              <w:right w:val="single" w:sz="6" w:space="0" w:color="auto"/>
            </w:tcBorders>
          </w:tcPr>
          <w:p w14:paraId="6DB82B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p w14:paraId="4D7821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01EE0E" w14:textId="77777777">
        <w:trPr>
          <w:trHeight w:val="221"/>
        </w:trPr>
        <w:tc>
          <w:tcPr>
            <w:tcW w:w="1085" w:type="dxa"/>
            <w:tcBorders>
              <w:top w:val="nil"/>
              <w:left w:val="single" w:sz="6" w:space="0" w:color="auto"/>
              <w:bottom w:val="single" w:sz="6" w:space="0" w:color="auto"/>
              <w:right w:val="single" w:sz="6" w:space="0" w:color="auto"/>
            </w:tcBorders>
          </w:tcPr>
          <w:p w14:paraId="1995C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4ED0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4694" w:type="dxa"/>
            <w:gridSpan w:val="6"/>
            <w:tcBorders>
              <w:top w:val="single" w:sz="6" w:space="0" w:color="auto"/>
              <w:left w:val="single" w:sz="6" w:space="0" w:color="auto"/>
              <w:bottom w:val="single" w:sz="6" w:space="0" w:color="auto"/>
              <w:right w:val="single" w:sz="6" w:space="0" w:color="auto"/>
            </w:tcBorders>
          </w:tcPr>
          <w:p w14:paraId="67A6EF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Бронепоезда легк. Бронепоезда тяжел.</w:t>
            </w:r>
          </w:p>
          <w:p w14:paraId="0A3B3B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gridSpan w:val="2"/>
            <w:tcBorders>
              <w:top w:val="nil"/>
              <w:left w:val="single" w:sz="6" w:space="0" w:color="auto"/>
              <w:bottom w:val="single" w:sz="6" w:space="0" w:color="auto"/>
              <w:right w:val="single" w:sz="6" w:space="0" w:color="auto"/>
            </w:tcBorders>
          </w:tcPr>
          <w:p w14:paraId="1D6F2B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DE30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CF1FC56" w14:textId="77777777">
        <w:trPr>
          <w:trHeight w:val="240"/>
        </w:trPr>
        <w:tc>
          <w:tcPr>
            <w:tcW w:w="1085" w:type="dxa"/>
            <w:tcBorders>
              <w:top w:val="single" w:sz="6" w:space="0" w:color="auto"/>
              <w:left w:val="single" w:sz="6" w:space="0" w:color="auto"/>
              <w:bottom w:val="single" w:sz="6" w:space="0" w:color="auto"/>
              <w:right w:val="single" w:sz="6" w:space="0" w:color="auto"/>
            </w:tcBorders>
          </w:tcPr>
          <w:p w14:paraId="7C1645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1.11.31 г.</w:t>
            </w:r>
          </w:p>
          <w:p w14:paraId="7D775A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94" w:type="dxa"/>
            <w:gridSpan w:val="6"/>
            <w:tcBorders>
              <w:top w:val="single" w:sz="6" w:space="0" w:color="auto"/>
              <w:left w:val="single" w:sz="6" w:space="0" w:color="auto"/>
              <w:bottom w:val="single" w:sz="6" w:space="0" w:color="auto"/>
              <w:right w:val="single" w:sz="6" w:space="0" w:color="auto"/>
            </w:tcBorders>
          </w:tcPr>
          <w:p w14:paraId="66E3C2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34 14</w:t>
            </w:r>
          </w:p>
          <w:p w14:paraId="4AAEE8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gridSpan w:val="2"/>
            <w:tcBorders>
              <w:top w:val="single" w:sz="6" w:space="0" w:color="auto"/>
              <w:left w:val="single" w:sz="6" w:space="0" w:color="auto"/>
              <w:bottom w:val="single" w:sz="6" w:space="0" w:color="auto"/>
              <w:right w:val="single" w:sz="6" w:space="0" w:color="auto"/>
            </w:tcBorders>
          </w:tcPr>
          <w:p w14:paraId="332483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w:t>
            </w:r>
          </w:p>
          <w:p w14:paraId="1ACAB0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A6A6E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Наличие автотракторного имущества в РККА</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296"/>
        <w:gridCol w:w="854"/>
        <w:gridCol w:w="10"/>
        <w:gridCol w:w="432"/>
        <w:gridCol w:w="1286"/>
        <w:gridCol w:w="432"/>
        <w:gridCol w:w="874"/>
        <w:gridCol w:w="1315"/>
      </w:tblGrid>
      <w:tr w:rsidR="00DA227A" w:rsidRPr="00E93F40" w14:paraId="5BD9DA2F" w14:textId="77777777">
        <w:trPr>
          <w:trHeight w:val="192"/>
        </w:trPr>
        <w:tc>
          <w:tcPr>
            <w:tcW w:w="1152" w:type="dxa"/>
            <w:tcBorders>
              <w:top w:val="single" w:sz="6" w:space="0" w:color="auto"/>
              <w:left w:val="single" w:sz="6" w:space="0" w:color="auto"/>
              <w:bottom w:val="single" w:sz="6" w:space="0" w:color="auto"/>
              <w:right w:val="single" w:sz="6" w:space="0" w:color="auto"/>
            </w:tcBorders>
          </w:tcPr>
          <w:p w14:paraId="00257B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FDF4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193C0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Легковые</w:t>
            </w:r>
          </w:p>
          <w:p w14:paraId="1C541D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3"/>
            <w:tcBorders>
              <w:top w:val="single" w:sz="6" w:space="0" w:color="auto"/>
              <w:left w:val="single" w:sz="6" w:space="0" w:color="auto"/>
              <w:bottom w:val="single" w:sz="6" w:space="0" w:color="auto"/>
              <w:right w:val="single" w:sz="6" w:space="0" w:color="auto"/>
            </w:tcBorders>
          </w:tcPr>
          <w:p w14:paraId="6202FB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Грузовые 2 осн.</w:t>
            </w:r>
          </w:p>
          <w:p w14:paraId="2764C2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F7CE1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3-осные</w:t>
            </w:r>
          </w:p>
          <w:p w14:paraId="54EC53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2"/>
            <w:tcBorders>
              <w:top w:val="single" w:sz="6" w:space="0" w:color="auto"/>
              <w:left w:val="single" w:sz="6" w:space="0" w:color="auto"/>
              <w:bottom w:val="single" w:sz="6" w:space="0" w:color="auto"/>
              <w:right w:val="single" w:sz="6" w:space="0" w:color="auto"/>
            </w:tcBorders>
          </w:tcPr>
          <w:p w14:paraId="094068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w:t>
            </w:r>
          </w:p>
          <w:p w14:paraId="06F9A1B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1BD54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p w14:paraId="4759D1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7AE9A9"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4F941F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1.01.31 г.</w:t>
            </w:r>
          </w:p>
          <w:p w14:paraId="0098D1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19CEF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2024</w:t>
            </w:r>
          </w:p>
          <w:p w14:paraId="7C9C16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3"/>
            <w:tcBorders>
              <w:top w:val="single" w:sz="6" w:space="0" w:color="auto"/>
              <w:left w:val="single" w:sz="6" w:space="0" w:color="auto"/>
              <w:bottom w:val="single" w:sz="6" w:space="0" w:color="auto"/>
              <w:right w:val="single" w:sz="6" w:space="0" w:color="auto"/>
            </w:tcBorders>
          </w:tcPr>
          <w:p w14:paraId="0B1829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3437</w:t>
            </w:r>
          </w:p>
          <w:p w14:paraId="38FD85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0FAED7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p w14:paraId="6575A3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2"/>
            <w:tcBorders>
              <w:top w:val="single" w:sz="6" w:space="0" w:color="auto"/>
              <w:left w:val="single" w:sz="6" w:space="0" w:color="auto"/>
              <w:bottom w:val="single" w:sz="6" w:space="0" w:color="auto"/>
              <w:right w:val="single" w:sz="6" w:space="0" w:color="auto"/>
            </w:tcBorders>
          </w:tcPr>
          <w:p w14:paraId="6CFB72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1208</w:t>
            </w:r>
          </w:p>
          <w:p w14:paraId="056071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5FEB0E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7569</w:t>
            </w:r>
          </w:p>
          <w:p w14:paraId="57916F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E0ED82" w14:textId="77777777">
        <w:trPr>
          <w:trHeight w:val="250"/>
        </w:trPr>
        <w:tc>
          <w:tcPr>
            <w:tcW w:w="1152" w:type="dxa"/>
            <w:tcBorders>
              <w:top w:val="single" w:sz="6" w:space="0" w:color="auto"/>
              <w:left w:val="single" w:sz="6" w:space="0" w:color="auto"/>
              <w:bottom w:val="single" w:sz="6" w:space="0" w:color="auto"/>
              <w:right w:val="single" w:sz="6" w:space="0" w:color="auto"/>
            </w:tcBorders>
          </w:tcPr>
          <w:p w14:paraId="6362B8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1.10.31 г.</w:t>
            </w:r>
          </w:p>
          <w:p w14:paraId="5D42A6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0F46D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2068</w:t>
            </w:r>
          </w:p>
          <w:p w14:paraId="1C154C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3"/>
            <w:tcBorders>
              <w:top w:val="single" w:sz="6" w:space="0" w:color="auto"/>
              <w:left w:val="single" w:sz="6" w:space="0" w:color="auto"/>
              <w:bottom w:val="single" w:sz="6" w:space="0" w:color="auto"/>
              <w:right w:val="single" w:sz="6" w:space="0" w:color="auto"/>
            </w:tcBorders>
          </w:tcPr>
          <w:p w14:paraId="782971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5547</w:t>
            </w:r>
          </w:p>
          <w:p w14:paraId="6903E5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57691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890</w:t>
            </w:r>
          </w:p>
          <w:p w14:paraId="40CA88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2"/>
            <w:tcBorders>
              <w:top w:val="single" w:sz="6" w:space="0" w:color="auto"/>
              <w:left w:val="single" w:sz="6" w:space="0" w:color="auto"/>
              <w:bottom w:val="single" w:sz="6" w:space="0" w:color="auto"/>
              <w:right w:val="single" w:sz="6" w:space="0" w:color="auto"/>
            </w:tcBorders>
          </w:tcPr>
          <w:p w14:paraId="34EAF7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1786</w:t>
            </w:r>
          </w:p>
          <w:p w14:paraId="3536CC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2462B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10291</w:t>
            </w:r>
          </w:p>
          <w:p w14:paraId="28FB25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A469CBD"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61046C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C8B6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0C06A9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 гусеничный</w:t>
            </w:r>
          </w:p>
          <w:p w14:paraId="7699B6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3"/>
            <w:tcBorders>
              <w:top w:val="single" w:sz="6" w:space="0" w:color="auto"/>
              <w:left w:val="single" w:sz="6" w:space="0" w:color="auto"/>
              <w:bottom w:val="single" w:sz="6" w:space="0" w:color="auto"/>
              <w:right w:val="single" w:sz="6" w:space="0" w:color="auto"/>
            </w:tcBorders>
          </w:tcPr>
          <w:p w14:paraId="01EB1C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 колеси.</w:t>
            </w:r>
          </w:p>
          <w:p w14:paraId="33B37BE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07A450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p w14:paraId="45A15B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57367A7" w14:textId="77777777">
        <w:trPr>
          <w:trHeight w:val="221"/>
        </w:trPr>
        <w:tc>
          <w:tcPr>
            <w:tcW w:w="1152" w:type="dxa"/>
            <w:tcBorders>
              <w:top w:val="single" w:sz="6" w:space="0" w:color="auto"/>
              <w:left w:val="single" w:sz="6" w:space="0" w:color="auto"/>
              <w:bottom w:val="single" w:sz="6" w:space="0" w:color="auto"/>
              <w:right w:val="single" w:sz="6" w:space="0" w:color="auto"/>
            </w:tcBorders>
          </w:tcPr>
          <w:p w14:paraId="61F7F4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1.01.31 г.</w:t>
            </w:r>
          </w:p>
          <w:p w14:paraId="007AE7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0602CDF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878</w:t>
            </w:r>
          </w:p>
          <w:p w14:paraId="34A332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3"/>
            <w:tcBorders>
              <w:top w:val="single" w:sz="6" w:space="0" w:color="auto"/>
              <w:left w:val="single" w:sz="6" w:space="0" w:color="auto"/>
              <w:bottom w:val="single" w:sz="6" w:space="0" w:color="auto"/>
              <w:right w:val="single" w:sz="6" w:space="0" w:color="auto"/>
            </w:tcBorders>
          </w:tcPr>
          <w:p w14:paraId="73E673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723</w:t>
            </w:r>
          </w:p>
          <w:p w14:paraId="6AEB7F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77B35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1601</w:t>
            </w:r>
          </w:p>
          <w:p w14:paraId="7CADDF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A4CA80C" w14:textId="77777777">
        <w:trPr>
          <w:trHeight w:val="250"/>
        </w:trPr>
        <w:tc>
          <w:tcPr>
            <w:tcW w:w="1152" w:type="dxa"/>
            <w:tcBorders>
              <w:top w:val="single" w:sz="6" w:space="0" w:color="auto"/>
              <w:left w:val="single" w:sz="6" w:space="0" w:color="auto"/>
              <w:bottom w:val="single" w:sz="6" w:space="0" w:color="auto"/>
              <w:right w:val="single" w:sz="6" w:space="0" w:color="auto"/>
            </w:tcBorders>
          </w:tcPr>
          <w:p w14:paraId="275C37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1.10.31 г.</w:t>
            </w:r>
          </w:p>
          <w:p w14:paraId="17BBAF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16384D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1008</w:t>
            </w:r>
          </w:p>
          <w:p w14:paraId="09090D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3"/>
            <w:tcBorders>
              <w:top w:val="single" w:sz="6" w:space="0" w:color="auto"/>
              <w:left w:val="single" w:sz="6" w:space="0" w:color="auto"/>
              <w:bottom w:val="single" w:sz="6" w:space="0" w:color="auto"/>
              <w:right w:val="single" w:sz="6" w:space="0" w:color="auto"/>
            </w:tcBorders>
          </w:tcPr>
          <w:p w14:paraId="3B6A6D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978</w:t>
            </w:r>
          </w:p>
          <w:p w14:paraId="7CF63D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0DADDD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1986</w:t>
            </w:r>
          </w:p>
          <w:p w14:paraId="6227C2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C054347"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59D78B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867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2"/>
            <w:tcBorders>
              <w:top w:val="single" w:sz="6" w:space="0" w:color="auto"/>
              <w:left w:val="single" w:sz="6" w:space="0" w:color="auto"/>
              <w:bottom w:val="single" w:sz="6" w:space="0" w:color="auto"/>
              <w:right w:val="single" w:sz="6" w:space="0" w:color="auto"/>
            </w:tcBorders>
          </w:tcPr>
          <w:p w14:paraId="6C4EB4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 с коляской</w:t>
            </w:r>
          </w:p>
          <w:p w14:paraId="22645D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4"/>
            <w:tcBorders>
              <w:top w:val="single" w:sz="6" w:space="0" w:color="auto"/>
              <w:left w:val="single" w:sz="6" w:space="0" w:color="auto"/>
              <w:bottom w:val="single" w:sz="6" w:space="0" w:color="auto"/>
              <w:right w:val="single" w:sz="6" w:space="0" w:color="auto"/>
            </w:tcBorders>
          </w:tcPr>
          <w:p w14:paraId="7F5D0D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 без коляски</w:t>
            </w:r>
          </w:p>
          <w:p w14:paraId="2FDF75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2AA234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p w14:paraId="2BBE3B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A9D67F4"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30F2E1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1.01.31 г.</w:t>
            </w:r>
          </w:p>
          <w:p w14:paraId="70B9E6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2"/>
            <w:tcBorders>
              <w:top w:val="single" w:sz="6" w:space="0" w:color="auto"/>
              <w:left w:val="single" w:sz="6" w:space="0" w:color="auto"/>
              <w:bottom w:val="single" w:sz="6" w:space="0" w:color="auto"/>
              <w:right w:val="single" w:sz="6" w:space="0" w:color="auto"/>
            </w:tcBorders>
          </w:tcPr>
          <w:p w14:paraId="26D301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499</w:t>
            </w:r>
          </w:p>
          <w:p w14:paraId="07F0E5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4"/>
            <w:tcBorders>
              <w:top w:val="single" w:sz="6" w:space="0" w:color="auto"/>
              <w:left w:val="single" w:sz="6" w:space="0" w:color="auto"/>
              <w:bottom w:val="single" w:sz="6" w:space="0" w:color="auto"/>
              <w:right w:val="single" w:sz="6" w:space="0" w:color="auto"/>
            </w:tcBorders>
          </w:tcPr>
          <w:p w14:paraId="3F9502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611</w:t>
            </w:r>
          </w:p>
          <w:p w14:paraId="527CC5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7C2E6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1110</w:t>
            </w:r>
          </w:p>
          <w:p w14:paraId="2B1473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A720EC" w14:textId="77777777">
        <w:trPr>
          <w:trHeight w:val="240"/>
        </w:trPr>
        <w:tc>
          <w:tcPr>
            <w:tcW w:w="1152" w:type="dxa"/>
            <w:tcBorders>
              <w:top w:val="single" w:sz="6" w:space="0" w:color="auto"/>
              <w:left w:val="single" w:sz="6" w:space="0" w:color="auto"/>
              <w:bottom w:val="single" w:sz="6" w:space="0" w:color="auto"/>
              <w:right w:val="single" w:sz="6" w:space="0" w:color="auto"/>
            </w:tcBorders>
          </w:tcPr>
          <w:p w14:paraId="13A9D4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1.10.31 г.</w:t>
            </w:r>
          </w:p>
          <w:p w14:paraId="754763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2"/>
            <w:tcBorders>
              <w:top w:val="single" w:sz="6" w:space="0" w:color="auto"/>
              <w:left w:val="single" w:sz="6" w:space="0" w:color="auto"/>
              <w:bottom w:val="single" w:sz="6" w:space="0" w:color="auto"/>
              <w:right w:val="single" w:sz="6" w:space="0" w:color="auto"/>
            </w:tcBorders>
          </w:tcPr>
          <w:p w14:paraId="4EB42E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499</w:t>
            </w:r>
          </w:p>
          <w:p w14:paraId="717B1C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4"/>
            <w:tcBorders>
              <w:top w:val="single" w:sz="6" w:space="0" w:color="auto"/>
              <w:left w:val="single" w:sz="6" w:space="0" w:color="auto"/>
              <w:bottom w:val="single" w:sz="6" w:space="0" w:color="auto"/>
              <w:right w:val="single" w:sz="6" w:space="0" w:color="auto"/>
            </w:tcBorders>
          </w:tcPr>
          <w:p w14:paraId="1AF72D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626</w:t>
            </w:r>
          </w:p>
          <w:p w14:paraId="17A5AD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9F35F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1125</w:t>
            </w:r>
          </w:p>
          <w:p w14:paraId="1891DB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A6D9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Данные 4 отдела УММ РККА</w:t>
      </w:r>
    </w:p>
    <w:p w14:paraId="0804EF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 сектора 1 отдела 2 управления УММ</w:t>
      </w:r>
    </w:p>
    <w:p w14:paraId="407592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Мещеряков</w:t>
      </w:r>
    </w:p>
    <w:p w14:paraId="798D4F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ГАБТУ</w:t>
      </w:r>
    </w:p>
    <w:p w14:paraId="3D415E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Таблица наличия боевых и транспортных машин в РККА с 1918-1932 г.</w:t>
      </w:r>
    </w:p>
    <w:tbl>
      <w:tblPr>
        <w:tblW w:w="0" w:type="auto"/>
        <w:tblInd w:w="40" w:type="dxa"/>
        <w:tblLayout w:type="fixed"/>
        <w:tblCellMar>
          <w:left w:w="40" w:type="dxa"/>
          <w:right w:w="40" w:type="dxa"/>
        </w:tblCellMar>
        <w:tblLook w:val="0000" w:firstRow="0" w:lastRow="0" w:firstColumn="0" w:lastColumn="0" w:noHBand="0" w:noVBand="0"/>
      </w:tblPr>
      <w:tblGrid>
        <w:gridCol w:w="931"/>
        <w:gridCol w:w="739"/>
        <w:gridCol w:w="739"/>
        <w:gridCol w:w="730"/>
        <w:gridCol w:w="739"/>
        <w:gridCol w:w="730"/>
        <w:gridCol w:w="739"/>
        <w:gridCol w:w="739"/>
        <w:gridCol w:w="662"/>
        <w:gridCol w:w="950"/>
      </w:tblGrid>
      <w:tr w:rsidR="00DA227A" w:rsidRPr="00E93F40" w14:paraId="60507B0C" w14:textId="77777777">
        <w:trPr>
          <w:trHeight w:val="307"/>
        </w:trPr>
        <w:tc>
          <w:tcPr>
            <w:tcW w:w="931" w:type="dxa"/>
            <w:tcBorders>
              <w:top w:val="single" w:sz="6" w:space="0" w:color="auto"/>
              <w:left w:val="single" w:sz="6" w:space="0" w:color="auto"/>
              <w:bottom w:val="single" w:sz="6" w:space="0" w:color="auto"/>
              <w:right w:val="single" w:sz="6" w:space="0" w:color="auto"/>
            </w:tcBorders>
          </w:tcPr>
          <w:p w14:paraId="0FD3D9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w:t>
            </w:r>
          </w:p>
          <w:p w14:paraId="4D3F6A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4E240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Легковые</w:t>
            </w:r>
          </w:p>
          <w:p w14:paraId="46E069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A4046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Грузовые</w:t>
            </w:r>
          </w:p>
          <w:p w14:paraId="7ECBA2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651B9E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w:t>
            </w:r>
          </w:p>
          <w:p w14:paraId="6FABEC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194D4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p w14:paraId="359822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882E7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w:t>
            </w:r>
            <w:r w:rsidRPr="00E93F40">
              <w:rPr>
                <w:rFonts w:ascii="Times New Roman" w:hAnsi="Times New Roman"/>
                <w:color w:val="000000" w:themeColor="text1"/>
                <w:sz w:val="16"/>
                <w:szCs w:val="16"/>
              </w:rPr>
              <w:softHyphen/>
              <w:t>циклы</w:t>
            </w:r>
          </w:p>
          <w:p w14:paraId="41009D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FAD6D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Трактора</w:t>
            </w:r>
          </w:p>
          <w:p w14:paraId="4B4CEE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15947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Танки</w:t>
            </w:r>
          </w:p>
          <w:p w14:paraId="391510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781BC0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w:t>
            </w:r>
            <w:r w:rsidRPr="00E93F40">
              <w:rPr>
                <w:rFonts w:ascii="Times New Roman" w:hAnsi="Times New Roman"/>
                <w:color w:val="000000" w:themeColor="text1"/>
                <w:sz w:val="16"/>
                <w:szCs w:val="16"/>
              </w:rPr>
              <w:softHyphen/>
              <w:t>кетки</w:t>
            </w:r>
          </w:p>
          <w:p w14:paraId="5BB9D8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3B746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w:t>
            </w:r>
            <w:r w:rsidRPr="00E93F40">
              <w:rPr>
                <w:rFonts w:ascii="Times New Roman" w:hAnsi="Times New Roman"/>
                <w:color w:val="000000" w:themeColor="text1"/>
                <w:sz w:val="16"/>
                <w:szCs w:val="16"/>
              </w:rPr>
              <w:softHyphen/>
              <w:t>автомобили</w:t>
            </w:r>
          </w:p>
          <w:p w14:paraId="2905D8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1F2AE0A"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0A8D6A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1918г.</w:t>
            </w:r>
          </w:p>
          <w:p w14:paraId="6E3D92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B23FB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1.006</w:t>
            </w:r>
          </w:p>
          <w:p w14:paraId="3E7E07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3F3E6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1.051</w:t>
            </w:r>
          </w:p>
          <w:p w14:paraId="3ED499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D0B56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153</w:t>
            </w:r>
          </w:p>
          <w:p w14:paraId="370819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CC3BB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C073A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C5280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1.524</w:t>
            </w:r>
          </w:p>
          <w:p w14:paraId="540E9F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01ABD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4DB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CEF9D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F7846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442FF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555C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ABF81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DAA4D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AAC77E7"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460B78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1919г.</w:t>
            </w:r>
          </w:p>
          <w:p w14:paraId="41220D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27DC9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1.784</w:t>
            </w:r>
          </w:p>
          <w:p w14:paraId="3E9953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B1E5F5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1.976</w:t>
            </w:r>
          </w:p>
          <w:p w14:paraId="773B30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4BF2C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307</w:t>
            </w:r>
          </w:p>
          <w:p w14:paraId="250BF0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62114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E29D4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5BB9C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2.132</w:t>
            </w:r>
          </w:p>
          <w:p w14:paraId="797B41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8968E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F090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1EA5C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B10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2F76A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C7A5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180C6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A1D6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EB10154"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2580C45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1920 г.</w:t>
            </w:r>
          </w:p>
          <w:p w14:paraId="57FA0F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F3B55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2.804</w:t>
            </w:r>
          </w:p>
          <w:p w14:paraId="124BE9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53800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3.283</w:t>
            </w:r>
          </w:p>
          <w:p w14:paraId="508355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97881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1.162</w:t>
            </w:r>
          </w:p>
          <w:p w14:paraId="7F0C72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B87D2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4B381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57336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2.950</w:t>
            </w:r>
          </w:p>
          <w:p w14:paraId="200228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DE15A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5FDF3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E03D2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AE1E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9E777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AB2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9D5AF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BC95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6C984C4"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278CC9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1921 г.</w:t>
            </w:r>
          </w:p>
          <w:p w14:paraId="5F0DF4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57BCE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1.965</w:t>
            </w:r>
          </w:p>
          <w:p w14:paraId="69ABCB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E9876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2.792</w:t>
            </w:r>
          </w:p>
          <w:p w14:paraId="3A0043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729FD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1.029</w:t>
            </w:r>
          </w:p>
          <w:p w14:paraId="60F406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CBA41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07987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15F1C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1.843</w:t>
            </w:r>
          </w:p>
          <w:p w14:paraId="28D74E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6ED3E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7D04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52E99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CDFE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49E9A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A029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761F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B585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0147147"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3BF740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1921 г.</w:t>
            </w:r>
          </w:p>
          <w:p w14:paraId="17704F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A9A2B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2.080</w:t>
            </w:r>
          </w:p>
          <w:p w14:paraId="1777D9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BD966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2.829</w:t>
            </w:r>
          </w:p>
          <w:p w14:paraId="0E346C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C44C6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1.034</w:t>
            </w:r>
          </w:p>
          <w:p w14:paraId="457C17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49547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DF30A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FE219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1.780</w:t>
            </w:r>
          </w:p>
          <w:p w14:paraId="7FF1BF0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839FC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78B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20B85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1133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1DF2B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814C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0712D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EDDB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CD6D9D8"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1B4A75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1923г.</w:t>
            </w:r>
          </w:p>
          <w:p w14:paraId="1287BF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CBBF10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1.920</w:t>
            </w:r>
          </w:p>
          <w:p w14:paraId="5119D7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76895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2.851</w:t>
            </w:r>
          </w:p>
          <w:p w14:paraId="32402E5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633E30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729</w:t>
            </w:r>
          </w:p>
          <w:p w14:paraId="63CDB1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52572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8B56E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34F48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1.691</w:t>
            </w:r>
          </w:p>
          <w:p w14:paraId="63A4CA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408CB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491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30728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BB85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90B4B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E5D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2014E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A90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D257DC"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697016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1924г.</w:t>
            </w:r>
          </w:p>
          <w:p w14:paraId="0C0BB2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7C1B8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1.809</w:t>
            </w:r>
          </w:p>
          <w:p w14:paraId="1DC0DD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B0C63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2.875</w:t>
            </w:r>
          </w:p>
          <w:p w14:paraId="754CDF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11B57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474</w:t>
            </w:r>
          </w:p>
          <w:p w14:paraId="30E6AE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CAF91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66203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9330B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1.595</w:t>
            </w:r>
          </w:p>
          <w:p w14:paraId="4647C5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A7578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EA6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2449E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85D2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1EBBC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999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49FD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3092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89ADDE"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32816C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1925г.</w:t>
            </w:r>
          </w:p>
          <w:p w14:paraId="2A1C67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EC22F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1.376</w:t>
            </w:r>
          </w:p>
          <w:p w14:paraId="1AB6E1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nil"/>
            </w:tcBorders>
          </w:tcPr>
          <w:p w14:paraId="74F8FC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2.571</w:t>
            </w:r>
          </w:p>
          <w:p w14:paraId="0EFE7F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nil"/>
              <w:bottom w:val="single" w:sz="6" w:space="0" w:color="auto"/>
              <w:right w:val="single" w:sz="6" w:space="0" w:color="auto"/>
            </w:tcBorders>
          </w:tcPr>
          <w:p w14:paraId="546955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481</w:t>
            </w:r>
          </w:p>
          <w:p w14:paraId="681411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50208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1A1757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C90B6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1.309</w:t>
            </w:r>
          </w:p>
          <w:p w14:paraId="26A7FB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56B7D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8B0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D84AC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E5E3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F4B0F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8F02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261DE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470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040522"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46DFD5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1926г.</w:t>
            </w:r>
          </w:p>
          <w:p w14:paraId="140783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F3B88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1.228</w:t>
            </w:r>
          </w:p>
          <w:p w14:paraId="29FEDC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161067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2.360</w:t>
            </w:r>
          </w:p>
          <w:p w14:paraId="7242B2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3C27D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462</w:t>
            </w:r>
          </w:p>
          <w:p w14:paraId="574308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1B56E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84D95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379398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1.093</w:t>
            </w:r>
          </w:p>
          <w:p w14:paraId="5CA00E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34A38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7457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746A0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6E2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67C57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4858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181C7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99A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06A9FC"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4A459BE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1927г.</w:t>
            </w:r>
          </w:p>
          <w:p w14:paraId="6B7BC4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6243C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878</w:t>
            </w:r>
          </w:p>
          <w:p w14:paraId="373729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A3B6B3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2.020</w:t>
            </w:r>
          </w:p>
          <w:p w14:paraId="348D1C4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482E7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376</w:t>
            </w:r>
          </w:p>
          <w:p w14:paraId="4CF033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5E4C3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41CF2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5955A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983</w:t>
            </w:r>
          </w:p>
          <w:p w14:paraId="4DC30F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F48F8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601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D50E6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7B4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6982C8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4C69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386A0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B5E4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23077B"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11B41F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 г.</w:t>
            </w:r>
          </w:p>
          <w:p w14:paraId="4627AF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B8301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596</w:t>
            </w:r>
          </w:p>
          <w:p w14:paraId="6BD12E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2E681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1.627</w:t>
            </w:r>
          </w:p>
          <w:p w14:paraId="700A46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53CCF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356</w:t>
            </w:r>
          </w:p>
          <w:p w14:paraId="18F96C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3CD26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03EDA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665608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932</w:t>
            </w:r>
          </w:p>
          <w:p w14:paraId="0D8302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60995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BE67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B8DF4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FDB52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C057B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68CA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32CC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352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E2D3B16"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2BE2B8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1929г.</w:t>
            </w:r>
          </w:p>
          <w:p w14:paraId="33C05C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5AB94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1.399</w:t>
            </w:r>
          </w:p>
          <w:p w14:paraId="527FB3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80AD7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1.523</w:t>
            </w:r>
          </w:p>
          <w:p w14:paraId="22F9AB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F2501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458</w:t>
            </w:r>
          </w:p>
          <w:p w14:paraId="29C4A4A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7EE0E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2BCE6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3E317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1.080</w:t>
            </w:r>
          </w:p>
          <w:p w14:paraId="5A1733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722B1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474</w:t>
            </w:r>
          </w:p>
          <w:p w14:paraId="1909C5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6E3F2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w:t>
            </w:r>
          </w:p>
          <w:p w14:paraId="11D30BB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6875A8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04C661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99BED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168/71*)</w:t>
            </w:r>
          </w:p>
          <w:p w14:paraId="7DFF82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C0B7BE0"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3840995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1.10.30 г.</w:t>
            </w:r>
          </w:p>
          <w:p w14:paraId="2146F9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AD67A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1.614</w:t>
            </w:r>
          </w:p>
          <w:p w14:paraId="512857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3C1FD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1.951</w:t>
            </w:r>
          </w:p>
          <w:p w14:paraId="142FD8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A94AA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765</w:t>
            </w:r>
          </w:p>
          <w:p w14:paraId="0456A5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B0EF2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77065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DE761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1.208</w:t>
            </w:r>
          </w:p>
          <w:p w14:paraId="0096E42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7BC46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928</w:t>
            </w:r>
          </w:p>
          <w:p w14:paraId="4CE680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1D481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w:t>
            </w:r>
          </w:p>
          <w:p w14:paraId="106ABE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6A1D39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E27939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5702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168/129")</w:t>
            </w:r>
          </w:p>
          <w:p w14:paraId="580968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C96326"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5F9C45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1.10.31 г.</w:t>
            </w:r>
          </w:p>
          <w:p w14:paraId="0923F6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3C6B1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1.939</w:t>
            </w:r>
          </w:p>
          <w:p w14:paraId="389D35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2246A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3.864</w:t>
            </w:r>
          </w:p>
          <w:p w14:paraId="4A0685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73163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962</w:t>
            </w:r>
          </w:p>
          <w:p w14:paraId="3CCE91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BB5A5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29C16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91004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1.248</w:t>
            </w:r>
          </w:p>
          <w:p w14:paraId="16879B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B6085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1.834</w:t>
            </w:r>
          </w:p>
          <w:p w14:paraId="70EB48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D369B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826</w:t>
            </w:r>
          </w:p>
          <w:p w14:paraId="03075C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4C8608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w:t>
            </w:r>
          </w:p>
          <w:p w14:paraId="4D0AC7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19766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162/246*)</w:t>
            </w:r>
          </w:p>
          <w:p w14:paraId="183434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344E7C5"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39ED65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1.1.31 г.</w:t>
            </w:r>
          </w:p>
          <w:p w14:paraId="6355D8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F5336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2.024</w:t>
            </w:r>
          </w:p>
          <w:p w14:paraId="665231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A4369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4.337</w:t>
            </w:r>
          </w:p>
          <w:p w14:paraId="0727C3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B78C7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1.208</w:t>
            </w:r>
          </w:p>
          <w:p w14:paraId="039803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9C002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7.569</w:t>
            </w:r>
          </w:p>
          <w:p w14:paraId="56310C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2B04E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1.110</w:t>
            </w:r>
          </w:p>
          <w:p w14:paraId="30B75E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5A0AA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1.601</w:t>
            </w:r>
          </w:p>
          <w:p w14:paraId="7FB752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6E95FA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989</w:t>
            </w:r>
          </w:p>
          <w:p w14:paraId="32064A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654A9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313</w:t>
            </w:r>
          </w:p>
          <w:p w14:paraId="68FD0A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8D03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-/246</w:t>
            </w:r>
          </w:p>
          <w:p w14:paraId="12CDFB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ABA482"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057C1B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1.10.31 г.</w:t>
            </w:r>
          </w:p>
          <w:p w14:paraId="054359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3DC8F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2.068</w:t>
            </w:r>
          </w:p>
          <w:p w14:paraId="3F7B2D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399CD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6.437</w:t>
            </w:r>
          </w:p>
          <w:p w14:paraId="6E654B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F1503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1.786</w:t>
            </w:r>
          </w:p>
          <w:p w14:paraId="244305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A41E6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10.291</w:t>
            </w:r>
          </w:p>
          <w:p w14:paraId="0D36BD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7FFE2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1.125</w:t>
            </w:r>
          </w:p>
          <w:p w14:paraId="7EAA0A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C63D5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1.986</w:t>
            </w:r>
          </w:p>
          <w:p w14:paraId="7D077E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39FB9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1.634</w:t>
            </w:r>
          </w:p>
          <w:p w14:paraId="41A129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ED284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1.203</w:t>
            </w:r>
          </w:p>
          <w:p w14:paraId="4D31F1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01239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-/255</w:t>
            </w:r>
          </w:p>
          <w:p w14:paraId="263A2B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47FD9CA" w14:textId="77777777">
        <w:trPr>
          <w:trHeight w:val="240"/>
        </w:trPr>
        <w:tc>
          <w:tcPr>
            <w:tcW w:w="931" w:type="dxa"/>
            <w:tcBorders>
              <w:top w:val="single" w:sz="6" w:space="0" w:color="auto"/>
              <w:left w:val="single" w:sz="6" w:space="0" w:color="auto"/>
              <w:bottom w:val="single" w:sz="6" w:space="0" w:color="auto"/>
              <w:right w:val="single" w:sz="6" w:space="0" w:color="auto"/>
            </w:tcBorders>
          </w:tcPr>
          <w:p w14:paraId="73D2DC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1.11.31 г.</w:t>
            </w:r>
          </w:p>
          <w:p w14:paraId="7B5B58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A6BC6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B6CE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71E47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511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069BA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DDD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19530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7C74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88357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D388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B2215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A542F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005F5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2.004</w:t>
            </w:r>
          </w:p>
          <w:p w14:paraId="7FB6D3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3D2B9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1.492</w:t>
            </w:r>
          </w:p>
          <w:p w14:paraId="662FEC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793DF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-/265</w:t>
            </w:r>
          </w:p>
          <w:p w14:paraId="5EF412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7D301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Примечание: *) Машины старых образцов с вооружения сняты. ") До начала танкостроения в РККА было троф. танков-77 и построено нашими заводами РЕЬ русск.-15.</w:t>
      </w:r>
    </w:p>
    <w:p w14:paraId="04E429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Данные 4 отдела 2 управления УММ</w:t>
      </w:r>
    </w:p>
    <w:p w14:paraId="40275B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 сектора 1 отдела 2 управления</w:t>
      </w:r>
    </w:p>
    <w:p w14:paraId="40F20B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Мещеряков</w:t>
      </w:r>
    </w:p>
    <w:p w14:paraId="20C302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Таблица вывоз автомашин из САСШ в СССР</w:t>
      </w:r>
    </w:p>
    <w:tbl>
      <w:tblPr>
        <w:tblW w:w="0" w:type="auto"/>
        <w:tblInd w:w="40" w:type="dxa"/>
        <w:tblLayout w:type="fixed"/>
        <w:tblCellMar>
          <w:left w:w="40" w:type="dxa"/>
          <w:right w:w="40" w:type="dxa"/>
        </w:tblCellMar>
        <w:tblLook w:val="0000" w:firstRow="0" w:lastRow="0" w:firstColumn="0" w:lastColumn="0" w:noHBand="0" w:noVBand="0"/>
      </w:tblPr>
      <w:tblGrid>
        <w:gridCol w:w="1930"/>
        <w:gridCol w:w="1920"/>
        <w:gridCol w:w="1930"/>
        <w:gridCol w:w="1910"/>
      </w:tblGrid>
      <w:tr w:rsidR="00DA227A" w:rsidRPr="00E93F40" w14:paraId="0D4768E3" w14:textId="77777777">
        <w:trPr>
          <w:trHeight w:val="230"/>
        </w:trPr>
        <w:tc>
          <w:tcPr>
            <w:tcW w:w="1930" w:type="dxa"/>
            <w:tcBorders>
              <w:top w:val="single" w:sz="6" w:space="0" w:color="auto"/>
              <w:left w:val="single" w:sz="6" w:space="0" w:color="auto"/>
              <w:bottom w:val="single" w:sz="6" w:space="0" w:color="auto"/>
              <w:right w:val="single" w:sz="6" w:space="0" w:color="auto"/>
            </w:tcBorders>
          </w:tcPr>
          <w:p w14:paraId="744163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w:t>
            </w:r>
          </w:p>
          <w:p w14:paraId="0B92CC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19C355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Легковые</w:t>
            </w:r>
          </w:p>
          <w:p w14:paraId="75BE84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28FFD1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Грузовые</w:t>
            </w:r>
          </w:p>
          <w:p w14:paraId="790660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04B3470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p w14:paraId="6CB8EC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2EE7271" w14:textId="77777777">
        <w:trPr>
          <w:trHeight w:val="221"/>
        </w:trPr>
        <w:tc>
          <w:tcPr>
            <w:tcW w:w="1930" w:type="dxa"/>
            <w:tcBorders>
              <w:top w:val="single" w:sz="6" w:space="0" w:color="auto"/>
              <w:left w:val="single" w:sz="6" w:space="0" w:color="auto"/>
              <w:bottom w:val="single" w:sz="6" w:space="0" w:color="auto"/>
              <w:right w:val="single" w:sz="6" w:space="0" w:color="auto"/>
            </w:tcBorders>
          </w:tcPr>
          <w:p w14:paraId="078F77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1929г.</w:t>
            </w:r>
          </w:p>
          <w:p w14:paraId="25DEA1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68DBF2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2.730</w:t>
            </w:r>
          </w:p>
          <w:p w14:paraId="58FDAB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6B422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1.824</w:t>
            </w:r>
          </w:p>
          <w:p w14:paraId="17A211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3F9844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4.554</w:t>
            </w:r>
          </w:p>
          <w:p w14:paraId="4F96B0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887171" w14:textId="77777777">
        <w:trPr>
          <w:trHeight w:val="230"/>
        </w:trPr>
        <w:tc>
          <w:tcPr>
            <w:tcW w:w="1930" w:type="dxa"/>
            <w:tcBorders>
              <w:top w:val="single" w:sz="6" w:space="0" w:color="auto"/>
              <w:left w:val="single" w:sz="6" w:space="0" w:color="auto"/>
              <w:bottom w:val="single" w:sz="6" w:space="0" w:color="auto"/>
              <w:right w:val="single" w:sz="6" w:space="0" w:color="auto"/>
            </w:tcBorders>
          </w:tcPr>
          <w:p w14:paraId="70A93E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 г.</w:t>
            </w:r>
          </w:p>
          <w:p w14:paraId="27C432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2CE44B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1.114</w:t>
            </w:r>
          </w:p>
          <w:p w14:paraId="4D2F88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339609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1.864</w:t>
            </w:r>
          </w:p>
          <w:p w14:paraId="1DF549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66046F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2.978</w:t>
            </w:r>
          </w:p>
          <w:p w14:paraId="532AF8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73F8897" w14:textId="77777777">
        <w:trPr>
          <w:trHeight w:val="240"/>
        </w:trPr>
        <w:tc>
          <w:tcPr>
            <w:tcW w:w="1930" w:type="dxa"/>
            <w:tcBorders>
              <w:top w:val="single" w:sz="6" w:space="0" w:color="auto"/>
              <w:left w:val="single" w:sz="6" w:space="0" w:color="auto"/>
              <w:bottom w:val="single" w:sz="6" w:space="0" w:color="auto"/>
              <w:right w:val="single" w:sz="6" w:space="0" w:color="auto"/>
            </w:tcBorders>
          </w:tcPr>
          <w:p w14:paraId="3774D6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p w14:paraId="185DFC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689C5D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w:t>
            </w:r>
          </w:p>
          <w:p w14:paraId="51C2FB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402EEA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1.229</w:t>
            </w:r>
          </w:p>
          <w:p w14:paraId="62F649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1D5D6D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1.420</w:t>
            </w:r>
          </w:p>
          <w:p w14:paraId="243383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B67EE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Источник: Американский журнал «Аутомотив индастри» от 3.02.27 г.</w:t>
      </w:r>
    </w:p>
    <w:p w14:paraId="2D2B446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 сектора 1 отдела 2 управления</w:t>
      </w:r>
    </w:p>
    <w:p w14:paraId="6FECA7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Мещеряков</w:t>
      </w:r>
    </w:p>
    <w:p w14:paraId="64EDF8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Наличие танков и производственные возможности по данным 5 управления Штаба на 1931 год</w:t>
      </w:r>
    </w:p>
    <w:tbl>
      <w:tblPr>
        <w:tblW w:w="0" w:type="auto"/>
        <w:tblInd w:w="40" w:type="dxa"/>
        <w:tblLayout w:type="fixed"/>
        <w:tblCellMar>
          <w:left w:w="40" w:type="dxa"/>
          <w:right w:w="40" w:type="dxa"/>
        </w:tblCellMar>
        <w:tblLook w:val="0000" w:firstRow="0" w:lastRow="0" w:firstColumn="0" w:lastColumn="0" w:noHBand="0" w:noVBand="0"/>
      </w:tblPr>
      <w:tblGrid>
        <w:gridCol w:w="1430"/>
        <w:gridCol w:w="797"/>
        <w:gridCol w:w="778"/>
        <w:gridCol w:w="672"/>
        <w:gridCol w:w="787"/>
        <w:gridCol w:w="758"/>
        <w:gridCol w:w="787"/>
        <w:gridCol w:w="768"/>
        <w:gridCol w:w="739"/>
        <w:gridCol w:w="883"/>
      </w:tblGrid>
      <w:tr w:rsidR="00DA227A" w:rsidRPr="00E93F40" w14:paraId="0843CE5B" w14:textId="77777777">
        <w:trPr>
          <w:trHeight w:val="336"/>
        </w:trPr>
        <w:tc>
          <w:tcPr>
            <w:tcW w:w="1430" w:type="dxa"/>
            <w:tcBorders>
              <w:top w:val="single" w:sz="6" w:space="0" w:color="auto"/>
              <w:left w:val="single" w:sz="6" w:space="0" w:color="auto"/>
              <w:bottom w:val="nil"/>
              <w:right w:val="single" w:sz="6" w:space="0" w:color="auto"/>
            </w:tcBorders>
          </w:tcPr>
          <w:p w14:paraId="185B8E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898B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gridSpan w:val="4"/>
            <w:tcBorders>
              <w:top w:val="single" w:sz="6" w:space="0" w:color="auto"/>
              <w:left w:val="single" w:sz="6" w:space="0" w:color="auto"/>
              <w:bottom w:val="single" w:sz="6" w:space="0" w:color="auto"/>
              <w:right w:val="single" w:sz="6" w:space="0" w:color="auto"/>
            </w:tcBorders>
          </w:tcPr>
          <w:p w14:paraId="36AB37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Наличие</w:t>
            </w:r>
          </w:p>
          <w:p w14:paraId="61715A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52" w:type="dxa"/>
            <w:gridSpan w:val="4"/>
            <w:tcBorders>
              <w:top w:val="single" w:sz="6" w:space="0" w:color="auto"/>
              <w:left w:val="single" w:sz="6" w:space="0" w:color="auto"/>
              <w:bottom w:val="single" w:sz="6" w:space="0" w:color="auto"/>
              <w:right w:val="single" w:sz="6" w:space="0" w:color="auto"/>
            </w:tcBorders>
          </w:tcPr>
          <w:p w14:paraId="54AC71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Месячная продукция максимальная за 8 месяцев</w:t>
            </w:r>
          </w:p>
          <w:p w14:paraId="769D3C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nil"/>
              <w:right w:val="single" w:sz="6" w:space="0" w:color="auto"/>
            </w:tcBorders>
          </w:tcPr>
          <w:p w14:paraId="092B47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продукция за Змее.</w:t>
            </w:r>
          </w:p>
          <w:p w14:paraId="5C5371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CBB03C" w14:textId="77777777">
        <w:trPr>
          <w:trHeight w:val="163"/>
        </w:trPr>
        <w:tc>
          <w:tcPr>
            <w:tcW w:w="1430" w:type="dxa"/>
            <w:tcBorders>
              <w:top w:val="nil"/>
              <w:left w:val="single" w:sz="6" w:space="0" w:color="auto"/>
              <w:bottom w:val="single" w:sz="6" w:space="0" w:color="auto"/>
              <w:right w:val="single" w:sz="6" w:space="0" w:color="auto"/>
            </w:tcBorders>
          </w:tcPr>
          <w:p w14:paraId="2C502C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D4D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1F9510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Танкетки.</w:t>
            </w:r>
          </w:p>
          <w:p w14:paraId="04A563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7D727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Легкие.</w:t>
            </w:r>
          </w:p>
          <w:p w14:paraId="7400D7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F56B23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w:t>
            </w:r>
          </w:p>
          <w:p w14:paraId="1C00CF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621D5A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Тяжелые.</w:t>
            </w:r>
          </w:p>
          <w:p w14:paraId="3B0E07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43D4E4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Танкетки</w:t>
            </w:r>
          </w:p>
          <w:p w14:paraId="5EEFFAC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gridSpan w:val="2"/>
            <w:tcBorders>
              <w:top w:val="single" w:sz="6" w:space="0" w:color="auto"/>
              <w:left w:val="single" w:sz="6" w:space="0" w:color="auto"/>
              <w:bottom w:val="single" w:sz="6" w:space="0" w:color="auto"/>
              <w:right w:val="single" w:sz="6" w:space="0" w:color="auto"/>
            </w:tcBorders>
          </w:tcPr>
          <w:p w14:paraId="3774F5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Легк. [ Средн.</w:t>
            </w:r>
          </w:p>
          <w:p w14:paraId="1D06417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40B42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w:t>
            </w:r>
          </w:p>
          <w:p w14:paraId="0F1496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23CE7E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E1141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744E6D5" w14:textId="77777777">
        <w:trPr>
          <w:trHeight w:val="211"/>
        </w:trPr>
        <w:tc>
          <w:tcPr>
            <w:tcW w:w="1430" w:type="dxa"/>
            <w:tcBorders>
              <w:top w:val="single" w:sz="6" w:space="0" w:color="auto"/>
              <w:left w:val="single" w:sz="6" w:space="0" w:color="auto"/>
              <w:bottom w:val="single" w:sz="6" w:space="0" w:color="auto"/>
              <w:right w:val="single" w:sz="6" w:space="0" w:color="auto"/>
            </w:tcBorders>
          </w:tcPr>
          <w:p w14:paraId="1D34C2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smallCaps/>
                <w:color w:val="000000" w:themeColor="text1"/>
                <w:sz w:val="16"/>
                <w:szCs w:val="16"/>
              </w:rPr>
              <w:t>англия</w:t>
            </w:r>
          </w:p>
          <w:p w14:paraId="0C1252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604AE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w:t>
            </w:r>
          </w:p>
          <w:p w14:paraId="6CA78B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A2FB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p w14:paraId="71A82F8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C344C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p w14:paraId="5D5FDB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1879E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p w14:paraId="0AC73F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D9F9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p w14:paraId="7D4EB5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gridSpan w:val="2"/>
            <w:tcBorders>
              <w:top w:val="single" w:sz="6" w:space="0" w:color="auto"/>
              <w:left w:val="single" w:sz="6" w:space="0" w:color="auto"/>
              <w:bottom w:val="single" w:sz="6" w:space="0" w:color="auto"/>
              <w:right w:val="single" w:sz="6" w:space="0" w:color="auto"/>
            </w:tcBorders>
          </w:tcPr>
          <w:p w14:paraId="4F879B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p w14:paraId="205D39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37C783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p w14:paraId="491D12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B69F1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p w14:paraId="2A7576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3A4B9F1" w14:textId="77777777">
        <w:trPr>
          <w:trHeight w:val="211"/>
        </w:trPr>
        <w:tc>
          <w:tcPr>
            <w:tcW w:w="1430" w:type="dxa"/>
            <w:tcBorders>
              <w:top w:val="single" w:sz="6" w:space="0" w:color="auto"/>
              <w:left w:val="single" w:sz="6" w:space="0" w:color="auto"/>
              <w:bottom w:val="single" w:sz="6" w:space="0" w:color="auto"/>
              <w:right w:val="single" w:sz="6" w:space="0" w:color="auto"/>
            </w:tcBorders>
          </w:tcPr>
          <w:p w14:paraId="295864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w:t>
            </w:r>
          </w:p>
          <w:p w14:paraId="3F20DE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B0F2F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0AD0F2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A2A1B9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p w14:paraId="4C7219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047FCB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4B6D6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54D7E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28F4F9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90D823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p w14:paraId="7649B0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41192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p w14:paraId="314052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0BA0E5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p w14:paraId="36932C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72AF2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2.600</w:t>
            </w:r>
          </w:p>
          <w:p w14:paraId="559A18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65EF5E9" w14:textId="77777777">
        <w:trPr>
          <w:trHeight w:val="202"/>
        </w:trPr>
        <w:tc>
          <w:tcPr>
            <w:tcW w:w="1430" w:type="dxa"/>
            <w:tcBorders>
              <w:top w:val="single" w:sz="6" w:space="0" w:color="auto"/>
              <w:left w:val="single" w:sz="6" w:space="0" w:color="auto"/>
              <w:bottom w:val="single" w:sz="6" w:space="0" w:color="auto"/>
              <w:right w:val="single" w:sz="6" w:space="0" w:color="auto"/>
            </w:tcBorders>
          </w:tcPr>
          <w:p w14:paraId="317E21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p w14:paraId="4ED61CE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71ED7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p w14:paraId="45387B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2F7F4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3-4.000</w:t>
            </w:r>
          </w:p>
          <w:p w14:paraId="1D6A55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35507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p w14:paraId="400C0E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9A200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w:t>
            </w:r>
          </w:p>
          <w:p w14:paraId="4706C4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99DA8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06789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F1222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1.400</w:t>
            </w:r>
          </w:p>
          <w:p w14:paraId="75C83A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1D87BE4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p w14:paraId="7B9A88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27261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p w14:paraId="2900FF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EF80A4" w14:textId="77777777">
        <w:trPr>
          <w:trHeight w:val="211"/>
        </w:trPr>
        <w:tc>
          <w:tcPr>
            <w:tcW w:w="1430" w:type="dxa"/>
            <w:tcBorders>
              <w:top w:val="single" w:sz="6" w:space="0" w:color="auto"/>
              <w:left w:val="single" w:sz="6" w:space="0" w:color="auto"/>
              <w:bottom w:val="single" w:sz="6" w:space="0" w:color="auto"/>
              <w:right w:val="single" w:sz="6" w:space="0" w:color="auto"/>
            </w:tcBorders>
          </w:tcPr>
          <w:p w14:paraId="240CAA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Польша</w:t>
            </w:r>
          </w:p>
          <w:p w14:paraId="14FEC5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CFA7C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p w14:paraId="007E1E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16A16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207</w:t>
            </w:r>
          </w:p>
          <w:p w14:paraId="5DE28B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70325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ECAA43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F0A97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p w14:paraId="44608C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6ECFC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0C9F6F8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B873E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E8027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58645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B2E58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C0ABA5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29C12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889D8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6B438F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C4F39C3" w14:textId="77777777">
        <w:trPr>
          <w:trHeight w:val="202"/>
        </w:trPr>
        <w:tc>
          <w:tcPr>
            <w:tcW w:w="1430" w:type="dxa"/>
            <w:tcBorders>
              <w:top w:val="single" w:sz="6" w:space="0" w:color="auto"/>
              <w:left w:val="single" w:sz="6" w:space="0" w:color="auto"/>
              <w:bottom w:val="single" w:sz="6" w:space="0" w:color="auto"/>
              <w:right w:val="single" w:sz="6" w:space="0" w:color="auto"/>
            </w:tcBorders>
          </w:tcPr>
          <w:p w14:paraId="1426C1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p w14:paraId="2DE03F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EE064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w:t>
            </w:r>
          </w:p>
          <w:p w14:paraId="518580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996E0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7C31B3B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9C7CD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12331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E2202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59CCBE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EA881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4176BA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ECF0A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p w14:paraId="56D934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5BEDE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6771F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2FEF7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p w14:paraId="0A73E4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B0D56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p w14:paraId="69C3EC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6A08C3D" w14:textId="77777777">
        <w:trPr>
          <w:trHeight w:val="230"/>
        </w:trPr>
        <w:tc>
          <w:tcPr>
            <w:tcW w:w="1430" w:type="dxa"/>
            <w:tcBorders>
              <w:top w:val="single" w:sz="6" w:space="0" w:color="auto"/>
              <w:left w:val="single" w:sz="6" w:space="0" w:color="auto"/>
              <w:bottom w:val="single" w:sz="6" w:space="0" w:color="auto"/>
              <w:right w:val="single" w:sz="6" w:space="0" w:color="auto"/>
            </w:tcBorders>
          </w:tcPr>
          <w:p w14:paraId="2667AFC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Чехословакия</w:t>
            </w:r>
          </w:p>
          <w:p w14:paraId="72CF392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CFD7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A8621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6BEB6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2D770D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B56175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40CB74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85255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999D9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E31CC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676F70E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94A88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p w14:paraId="7B7041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C8BAC1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p w14:paraId="355614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256747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p w14:paraId="09BDE70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5582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p w14:paraId="4C7F9C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30D2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САСШ: По танкам — 2 ассимилированных завода с выпуском в мирное время 30 -50 машин в год. 1военное время развертываются до выпуска 30- 35 тысяч танков в год.</w:t>
      </w:r>
    </w:p>
    <w:p w14:paraId="33F751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 По танкам — 2 ассимилированных завода с выпуском в мирное время 300-400 танков в . В военное время переключаются на производство танков около 50 заводов с выпуском около 30 1 тысяч в год.</w:t>
      </w:r>
    </w:p>
    <w:p w14:paraId="31F9DE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 В мирное время — 4 ассимилированных заводов с продукцией 300-400 танков в год. В енное время — 8 заводов с производством до 30.000 танков в год.</w:t>
      </w:r>
    </w:p>
    <w:p w14:paraId="59D848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Япония: Производит танки во всех капиталистических странах, срок развертывания на полную ощность 5-7 месяцев. На военное время должно быть 490 танков, но сейчас проходит реорганиза-1В сторону широкого развития механизации.</w:t>
      </w:r>
    </w:p>
    <w:p w14:paraId="59531B9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ВРИД начальника 1 сектора 1 отдела 2 управления</w:t>
      </w:r>
    </w:p>
    <w:p w14:paraId="645612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Тихомиров</w:t>
      </w:r>
    </w:p>
    <w:p w14:paraId="5520C1D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2. Д. 143. Л. 2-3, 15, 19, 24-25, 34. Подлинник (11210).</w:t>
      </w:r>
    </w:p>
    <w:p w14:paraId="64BA75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CB7DA"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декабря 1932 года в Москве испытавался пожарный мотоцикл Л-600 завода Промет, который 11 декабря предстал перед объединенной комиссией, состоявшей из представителей пожарной охраны и Автодора в Ленинграде и которая отметила, что двигатель легко запускается, быстро разгоняет машину с тремя пассажирами до 60 км/ч. Насос хорошо забирал воду с глубины 5—6 м, причем давление на выходе достигало 5 атм — благодаря этому два ствола выбрасывали мощные струи на высоту до 30 м. На обе комиссии Л-600 произвел весьма благоприятное впечатление. Вскоре президиумы Пожарной секции ленинградского отделения и Центрального совета Авгодора обратились в правительство с предложением организовать выпуск пожарных мотоциклов на «Промете», поскольку это предприятие было к нему вполне подготовлено. Подчеркивалось, что Л-600 как нельзя лучше подходит для борьбы с малыми пожарами в условиях города, производится на базе освоенных агрегатов, причем обходится гораздо дешевле выпускавшихся тогда пожарных автомобилей.</w:t>
      </w:r>
    </w:p>
    <w:p w14:paraId="14661C49"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декабре 1932 года, к пятилетию общества Автодор, ленинградцы завершили сборку опытного образца первого отечественного пожарного мотоцикла Л-600. Он был значительно тяжелее серийного Л-300, поэтому его «обули» ' в более солидные колеса. Да и внешне Л-600 производил внушительное впечатление — обмотанный двумя четырехметровыми заборными рукавами, с объемистым, двадцатилитровым бензобаком, двухступенчатым центробежным насосом в коляске, рядом с которым находились плотно скатанные брезентовые рукава общей длиной 105 м и два стальных ствола. Под седлом пассажира лежал комплект необходимых инструментов. Добавим, что переднее колесо крепилось на рычажной, двухпружинной подвеске, а заднее осью жестко монтировалось на раме. Кузов коляски подвешивался на двух </w:t>
      </w:r>
      <w:r w:rsidRPr="00E93F40">
        <w:rPr>
          <w:rFonts w:ascii="Times New Roman" w:hAnsi="Times New Roman"/>
          <w:color w:val="000000" w:themeColor="text1"/>
          <w:sz w:val="16"/>
          <w:szCs w:val="16"/>
        </w:rPr>
        <w:lastRenderedPageBreak/>
        <w:t>эллиптических рессорах.</w:t>
      </w:r>
    </w:p>
    <w:p w14:paraId="2C57DA30"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20-е годы мотоциклы все чаще стали применять в качестве средства «малой моторизации». Например, американцы оборудовали на них передвижные авторемонтные мастерские и перевозили небольшие партии товаров. В Германии, Италии и Франции их использовали в роли такси. Приглянулись эти недорогие маневренные машины и врачам. Широко стали использовать мотоциклы и военные: на них разъезжали не только разведчики, но и расчеты зенитных пулеметов и легких пушек, которые обычно монтировались на боковом прицепе.</w:t>
      </w:r>
    </w:p>
    <w:p w14:paraId="415A29B8"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Осваивали скоростную, маневренную технику пожарные. Первое время в коляску просто укладывались пенные огнетушители, по 10—20 баллонов. Примчавшись на место пожара, водитель и боец доставали их и приступали к тушению очага возгорания. Немецкие же пожарные предпочли укладывать в коляску переносную мотопомпу, шланги и прочий необходимый на месте инвентарь.</w:t>
      </w:r>
    </w:p>
    <w:p w14:paraId="3AFF6038"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Побывав в Германии, советские специалисты отметили, что пожарные мотоциклы имелись почти в каждом селе. Было над чем поразмыслить, учитывая особенности наших деревень и провинциальных городков, где дома из дерева. В общем, за создание пожарного мотоцикла взялись и у нас.</w:t>
      </w:r>
    </w:p>
    <w:p w14:paraId="721B1F27"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уже знакомом нам заводе «Промет» с 1931 года - выпускали моторизованную пожарную технику, в частности мотопомпы. Их оснащали двигателями, которые шли на серийные мотоциклы Л-300, но предварительно переделывали в двухцилиндровый, водяного охлаждения, подсоединяя к нему через резиновую муфту центробежный двухступенчатый насос. «Сельская мотопомпа» МП-2 при габаритах 860Х625X665 мм весила 140 кг. Внушительно, а ведь к ней полагались еще шланги, брезентовые рукава, стволы и прочий инвентарь. Словом, переносить все это с трудом удавалось четверым пожарным, да и то на небольшое расстояние.</w:t>
      </w:r>
    </w:p>
    <w:p w14:paraId="15872111"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освоения «Прометом» серийного выпуска Л-300 на этом заводе работал инженер по специальности и мотоспортсмен по увлечению А. Байков. Он и в мотоциклах разбирался, и противопожарную технику знал отменно. Ему-то и пришла идея создать специализированный пожарный мотоцикл на базе Л-300 и МП-2.</w:t>
      </w:r>
    </w:p>
    <w:p w14:paraId="7C0C536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последней позаимствовали водяной насос, коленвал, поршни, шатуны, карбюратор и систему охлаждения. Цилиндры двигателя рабочим объемом 600 см3 переделали на воздушное охлаждение, на хвостовик основного коленвала поставили крыльчатку центробежного вентилятора. Коробку передач Байков спроектировал сам, связав ее с мотором сухим, однодисковым сцеплением. Орудуя рычагом, водитель мог переключать двигатель на заднее колесо (три скорости вперед, одна назад) или на центробежный насос, размещенный в коляске. Возможно, впервые в практике мотоциклостроения Байков применил два коленвала (11396).</w:t>
      </w:r>
    </w:p>
    <w:p w14:paraId="7FE97D05"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производство Л-600 пошло не совсем так, как рассчитывали пожарные и конструкторы. Прежде всего дирекция «Промета» почему-то не разрешила Пожарной секции Ленавтодора провести тщательные испытания машины, потом запретила снимать копии с чертежей для производства Л-600 на другом предприятии, не включила в план 1934 года выпуск опытной партии из десяти машин и, наконец, под предлогом «испытаний двигателя» велела разобрать первый образец. Сейчас, пожалуй, не узнать причин столь странного поведения администрации завода.</w:t>
      </w:r>
    </w:p>
    <w:p w14:paraId="3B6E35E8"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Положение спасла автодоровская общественность, которая, предприняв отчаянные усилия, сумела сломать глухое сопротивление бюрократов. С 1934 по 1939 годы на заводе «Промет» все-таки делали пожарные мотоциклы. Вскоре три машины приобрела московская Краснознаменная пожарная охрана. Проверив их в самых трудных условиях, москвичи выявили ни много ни мало 26 дефектов: изломы рамы, поломки конической шестерни привода заднего колеса, неплотное сочленение рукавов и многое другое. К чести конструкторов, они быстро учли советы и устранили производственные и инженерные дефекты.</w:t>
      </w:r>
    </w:p>
    <w:p w14:paraId="0E16E053"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Л-600 поступали в подразделения пожарной охраны многих городов и прослужили довольно долго. «Однажды, летом 1942 года, при обстреле фашистами территории порта я оказался на мотоцикле в Балтийском поле в районе порта и увидел, что загорелся ангар с аэростатом,— рассказывал автору этих строк старый пожарный Н. Г. Лукашевич.— Я быстро установил мотоцикл у водоема, развернул шланги и дал струю из ствола на очаг возгорания. Мне помогали солдаты. Вскоре мы потушили пожар и спасли аэростат. Таких случаев во время войны, да и в мирное время было немало. Мотоцикл Л-600 мне нравился — он легко управлялся и безотказно забирал воду. Обслуживал его я сам, но иногда помогали шоферы из нашей пожарной части...»</w:t>
      </w:r>
    </w:p>
    <w:p w14:paraId="1EA877DE"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Добавим, что на базе Л-600 делали и машины другого назначения. Заменив насос генератором и разместив в коляске шесть прожекторов ПЭС-35 с лампами мощностью 500 Вт, получили передвижной осветительный агрегат. Создали мобильное сварочное устройство, применив переносный трансформатор АСП-1-2, катушки с кабелем длиной 30 м, пульт управления, а на раме между коляской и корпусом мотоцикла уложив складную семиметррвую стремянку. Пользуясь этой машиной, монтеры оперативно чинили линии связи и электропередачи.</w:t>
      </w:r>
    </w:p>
    <w:p w14:paraId="400B3D77"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историю отечественного машиностроения Л-600 вошел первым советским серийным мотоциклом с двухцилиндровым двигателем принудительного охлаждения, а главное, специального назначения. К величайшему сожалению, не сохранилось ни одного Л-600. После прекращения выпуска они, по мере износа, списывались в металлолом, словом, безвозвратно «сгорали в борьбе с пожарами»...(11396).</w:t>
      </w:r>
    </w:p>
    <w:p w14:paraId="0A41D274"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365EA" w14:textId="77777777" w:rsidR="006118EC" w:rsidRPr="00E93F40" w:rsidRDefault="006118E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декабря 1932 была пущена первая домна ММК (3960, 510).</w:t>
      </w:r>
    </w:p>
    <w:p w14:paraId="40D97735" w14:textId="77777777" w:rsidR="006118EC" w:rsidRPr="00E93F40" w:rsidRDefault="006118EC" w:rsidP="00E93F40">
      <w:pPr>
        <w:autoSpaceDE w:val="0"/>
        <w:autoSpaceDN w:val="0"/>
        <w:adjustRightInd w:val="0"/>
        <w:spacing w:after="0" w:line="240" w:lineRule="auto"/>
        <w:jc w:val="both"/>
        <w:rPr>
          <w:rFonts w:ascii="Times New Roman" w:hAnsi="Times New Roman"/>
          <w:color w:val="000000" w:themeColor="text1"/>
          <w:sz w:val="16"/>
          <w:szCs w:val="16"/>
        </w:rPr>
      </w:pPr>
    </w:p>
    <w:p w14:paraId="71BF04BE" w14:textId="77777777" w:rsidR="006118EC" w:rsidRPr="00E93F40" w:rsidRDefault="006118EC" w:rsidP="00E93F40">
      <w:pPr>
        <w:spacing w:after="0" w:line="240" w:lineRule="auto"/>
        <w:jc w:val="both"/>
        <w:rPr>
          <w:rFonts w:ascii="Times New Roman" w:hAnsi="Times New Roman"/>
          <w:color w:val="000000" w:themeColor="text1"/>
          <w:sz w:val="16"/>
          <w:szCs w:val="16"/>
        </w:rPr>
      </w:pPr>
      <w:r w:rsidRPr="00E93F40">
        <w:rPr>
          <w:rFonts w:ascii="Times New Roman" w:hAnsi="Times New Roman"/>
          <w:bCs/>
          <w:color w:val="000000" w:themeColor="text1"/>
          <w:sz w:val="16"/>
          <w:szCs w:val="16"/>
        </w:rPr>
        <w:t>31 декабря</w:t>
      </w:r>
      <w:r w:rsidRPr="00E93F40">
        <w:rPr>
          <w:rFonts w:ascii="Times New Roman" w:hAnsi="Times New Roman"/>
          <w:color w:val="000000" w:themeColor="text1"/>
          <w:sz w:val="16"/>
          <w:szCs w:val="16"/>
        </w:rPr>
        <w:t xml:space="preserve"> в 1932 году пуск первой доменной печи на Магнитогорском металлургическом комбинате (14877).</w:t>
      </w:r>
    </w:p>
    <w:p w14:paraId="4825DAB8" w14:textId="77777777" w:rsidR="006118EC" w:rsidRPr="00E93F40" w:rsidRDefault="006118EC" w:rsidP="00E93F40">
      <w:pPr>
        <w:spacing w:after="0" w:line="240" w:lineRule="auto"/>
        <w:jc w:val="both"/>
        <w:rPr>
          <w:rFonts w:ascii="Times New Roman" w:hAnsi="Times New Roman"/>
          <w:color w:val="000000" w:themeColor="text1"/>
          <w:sz w:val="16"/>
          <w:szCs w:val="16"/>
        </w:rPr>
      </w:pPr>
    </w:p>
    <w:p w14:paraId="6F449BA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615766C"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06CCBCC"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декабря 1932 было объявлено о выполнении заданий пятилетнего плана за 4 года 3 месяца, и советская пропаганда противопоставляет эти успеху кризису, поразившему в 1929 капиталистический мир. Промышленное производство увеличилось на 273 процентов (вместо предусмотренных 110 процентов), однако задания не выполнены в угольной и сталелитейной промышленности и в электроэнергетике. Отстает и производство потребительских товаров (план выполнен лишь на 84 процентов). В сельском хозяйстве насчитывается 210 тыс. колхозов (коллективизировано 61 процентов крестьянских хозяйств), 4300 совхозов, 2400 МТС, однако производство продукции весьма нестабильно, причем поголовье скота уменьшилось на 40 процентов, а в некоторых районах даже больше. Наблюдается рост инфляции, которая составляет в среднем 9 процентов в год в период 1928 - 1932. 1932 - 1933 Страшный голод, в значительной степени спровоцированный массовыми реквизициями, о котором власти ничего не сообщают. От голоса в основном страдает Украина, и это обстоятельство используется для того, чтобы расправиться со здоровыми силами в республике (по разным оценкам, число умерших от голода составляет от 3 до 6 млн. человек) (4962).</w:t>
      </w:r>
    </w:p>
    <w:p w14:paraId="18D344A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FD71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состоянию на 31 декабря 1932 неохваченными коллективизацией оставались почти 30% крестьянских хозяйств с 20% общей посевной площади на Украине. В ходе коллективизации на Украине общее поголовье лошадей сократилось на 33%, крупного рогатого скота - на 72%, свиней - на 62% (10687).</w:t>
      </w:r>
    </w:p>
    <w:p w14:paraId="45014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F03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декабря 1932 было объявлено о полном выполнении первой пятилетки за 4 года и 3 месяца (1348,200).</w:t>
      </w:r>
    </w:p>
    <w:p w14:paraId="63011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61536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декабря 1932 на Украине введена обязательная прописка (4962).</w:t>
      </w:r>
    </w:p>
    <w:p w14:paraId="1FC9452D"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6F9004" w14:textId="77777777" w:rsidR="007B1D3C" w:rsidRPr="00E93F40" w:rsidRDefault="00F773A6" w:rsidP="00E93F40">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5DF49390"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0ACDD8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декабря 1932 вышел “сводный отчет о выполнении промышленностью зака</w:t>
      </w:r>
      <w:r w:rsidRPr="00E93F40">
        <w:rPr>
          <w:rFonts w:ascii="Times New Roman" w:hAnsi="Times New Roman"/>
          <w:color w:val="000000" w:themeColor="text1"/>
          <w:sz w:val="16"/>
          <w:szCs w:val="16"/>
        </w:rPr>
        <w:softHyphen/>
        <w:t>зов на производство имущества и БТ техники для мотомех-войск РККА», в котором сообща</w:t>
      </w:r>
      <w:r w:rsidRPr="00E93F40">
        <w:rPr>
          <w:rFonts w:ascii="Times New Roman" w:hAnsi="Times New Roman"/>
          <w:color w:val="000000" w:themeColor="text1"/>
          <w:sz w:val="16"/>
          <w:szCs w:val="16"/>
        </w:rPr>
        <w:softHyphen/>
        <w:t>лось, что заказ на безрамный броневик аннулирован.</w:t>
      </w:r>
    </w:p>
    <w:p w14:paraId="15EFC5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том же отчете можно найти сведения еще о двух про</w:t>
      </w:r>
      <w:r w:rsidRPr="00E93F40">
        <w:rPr>
          <w:rFonts w:ascii="Times New Roman" w:hAnsi="Times New Roman"/>
          <w:color w:val="000000" w:themeColor="text1"/>
          <w:sz w:val="16"/>
          <w:szCs w:val="16"/>
        </w:rPr>
        <w:softHyphen/>
        <w:t>ектах: «Заказ № 3003210 - изготовление бронеавтомобиля на шасси АМО-6 на Ижорском заводе, сумма 30000 руб. -работа аннулирована, бронеавтомобиль на шасси АМО-6 включен в план 1934 года.</w:t>
      </w:r>
    </w:p>
    <w:p w14:paraId="2A7512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Заказ № 9003214 — изготовление бронеавтомобиля «Форд-АА» с движителем «Кегресс» на Ижорском заводе, сумма 20000 руб. - работа аннулирована, бронеавтомобиль на шасси Кегресс включен в план 1934 года» (11284).</w:t>
      </w:r>
    </w:p>
    <w:p w14:paraId="686305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55A0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EBBE82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9C70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декабря 1932 поступили окончательные ТТТ к пушечному истребителю ДИП с 2хМ-34 по 750 нр (2072,76).</w:t>
      </w:r>
    </w:p>
    <w:p w14:paraId="64AC1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390E0E"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декабря 1932 г. в ОКБ А.Н.Т. поступили окончательные требования ВВС к пушечному истребителю с двумя моторами М—34</w:t>
      </w:r>
    </w:p>
    <w:p w14:paraId="23DCF5B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Задания несколько отличались друг от друга:</w:t>
      </w:r>
    </w:p>
    <w:tbl>
      <w:tblPr>
        <w:tblOverlap w:val="never"/>
        <w:tblW w:w="0" w:type="auto"/>
        <w:tblLayout w:type="fixed"/>
        <w:tblCellMar>
          <w:left w:w="10" w:type="dxa"/>
          <w:right w:w="10" w:type="dxa"/>
        </w:tblCellMar>
        <w:tblLook w:val="04A0" w:firstRow="1" w:lastRow="0" w:firstColumn="1" w:lastColumn="0" w:noHBand="0" w:noVBand="1"/>
      </w:tblPr>
      <w:tblGrid>
        <w:gridCol w:w="1445"/>
        <w:gridCol w:w="653"/>
        <w:gridCol w:w="682"/>
        <w:gridCol w:w="653"/>
      </w:tblGrid>
      <w:tr w:rsidR="00E36B7D" w:rsidRPr="00E93F40" w14:paraId="01AB7499" w14:textId="77777777" w:rsidTr="00E9136F">
        <w:trPr>
          <w:trHeight w:val="202"/>
        </w:trPr>
        <w:tc>
          <w:tcPr>
            <w:tcW w:w="1445" w:type="dxa"/>
            <w:vMerge w:val="restart"/>
          </w:tcPr>
          <w:p w14:paraId="6ECC5EE0"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Параметр</w:t>
            </w:r>
          </w:p>
        </w:tc>
        <w:tc>
          <w:tcPr>
            <w:tcW w:w="653" w:type="dxa"/>
            <w:vMerge w:val="restart"/>
            <w:vAlign w:val="bottom"/>
          </w:tcPr>
          <w:p w14:paraId="3160A3F3"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26.07.30</w:t>
            </w:r>
          </w:p>
        </w:tc>
        <w:tc>
          <w:tcPr>
            <w:tcW w:w="1335" w:type="dxa"/>
            <w:gridSpan w:val="2"/>
          </w:tcPr>
          <w:p w14:paraId="637E5C65"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ГТТ УВВС</w:t>
            </w:r>
          </w:p>
        </w:tc>
      </w:tr>
      <w:tr w:rsidR="00E36B7D" w:rsidRPr="00E93F40" w14:paraId="2500AB49" w14:textId="77777777" w:rsidTr="00E9136F">
        <w:trPr>
          <w:trHeight w:val="216"/>
        </w:trPr>
        <w:tc>
          <w:tcPr>
            <w:tcW w:w="1445" w:type="dxa"/>
            <w:vMerge/>
          </w:tcPr>
          <w:p w14:paraId="29A4C642" w14:textId="77777777" w:rsidR="00E36B7D" w:rsidRPr="00E93F40" w:rsidRDefault="00E36B7D" w:rsidP="00E93F40">
            <w:pPr>
              <w:spacing w:after="0" w:line="240" w:lineRule="auto"/>
              <w:jc w:val="both"/>
              <w:rPr>
                <w:rFonts w:ascii="Times New Roman" w:hAnsi="Times New Roman"/>
                <w:color w:val="000000" w:themeColor="text1"/>
                <w:sz w:val="16"/>
                <w:szCs w:val="16"/>
              </w:rPr>
            </w:pPr>
          </w:p>
        </w:tc>
        <w:tc>
          <w:tcPr>
            <w:tcW w:w="653" w:type="dxa"/>
            <w:vMerge/>
            <w:vAlign w:val="bottom"/>
          </w:tcPr>
          <w:p w14:paraId="3156A00E" w14:textId="77777777" w:rsidR="00E36B7D" w:rsidRPr="00E93F40" w:rsidRDefault="00E36B7D" w:rsidP="00E93F40">
            <w:pPr>
              <w:spacing w:after="0" w:line="240" w:lineRule="auto"/>
              <w:jc w:val="both"/>
              <w:rPr>
                <w:rFonts w:ascii="Times New Roman" w:hAnsi="Times New Roman"/>
                <w:color w:val="000000" w:themeColor="text1"/>
                <w:sz w:val="16"/>
                <w:szCs w:val="16"/>
              </w:rPr>
            </w:pPr>
          </w:p>
        </w:tc>
        <w:tc>
          <w:tcPr>
            <w:tcW w:w="682" w:type="dxa"/>
            <w:vAlign w:val="bottom"/>
          </w:tcPr>
          <w:p w14:paraId="63470DE7"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26.06.31</w:t>
            </w:r>
          </w:p>
        </w:tc>
        <w:tc>
          <w:tcPr>
            <w:tcW w:w="653" w:type="dxa"/>
            <w:vAlign w:val="bottom"/>
          </w:tcPr>
          <w:p w14:paraId="37ED486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26.12.32</w:t>
            </w:r>
          </w:p>
        </w:tc>
      </w:tr>
      <w:tr w:rsidR="00E36B7D" w:rsidRPr="00E93F40" w14:paraId="3CCA7F05" w14:textId="77777777" w:rsidTr="00E9136F">
        <w:trPr>
          <w:trHeight w:val="451"/>
        </w:trPr>
        <w:tc>
          <w:tcPr>
            <w:tcW w:w="1445" w:type="dxa"/>
          </w:tcPr>
          <w:p w14:paraId="25B7C4A5"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боевая</w:t>
            </w:r>
          </w:p>
          <w:p w14:paraId="15FFBF77"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м</w:t>
            </w:r>
          </w:p>
        </w:tc>
        <w:tc>
          <w:tcPr>
            <w:tcW w:w="653" w:type="dxa"/>
            <w:vAlign w:val="bottom"/>
          </w:tcPr>
          <w:p w14:paraId="0F6103B0"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682" w:type="dxa"/>
            <w:vAlign w:val="bottom"/>
          </w:tcPr>
          <w:p w14:paraId="17D7270B"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653" w:type="dxa"/>
            <w:vAlign w:val="bottom"/>
          </w:tcPr>
          <w:p w14:paraId="34019C00"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r w:rsidR="00E36B7D" w:rsidRPr="00E93F40" w14:paraId="32F4C5F3" w14:textId="77777777" w:rsidTr="00E9136F">
        <w:trPr>
          <w:trHeight w:val="451"/>
        </w:trPr>
        <w:tc>
          <w:tcPr>
            <w:tcW w:w="1445" w:type="dxa"/>
            <w:vAlign w:val="center"/>
          </w:tcPr>
          <w:p w14:paraId="3F77C68C"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полезная</w:t>
            </w:r>
          </w:p>
          <w:p w14:paraId="7108B9A1"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нагрузка, кг</w:t>
            </w:r>
          </w:p>
        </w:tc>
        <w:tc>
          <w:tcPr>
            <w:tcW w:w="653" w:type="dxa"/>
            <w:vAlign w:val="bottom"/>
          </w:tcPr>
          <w:p w14:paraId="76C64E5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1115</w:t>
            </w:r>
          </w:p>
        </w:tc>
        <w:tc>
          <w:tcPr>
            <w:tcW w:w="682" w:type="dxa"/>
            <w:vAlign w:val="bottom"/>
          </w:tcPr>
          <w:p w14:paraId="30B885B9"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53" w:type="dxa"/>
            <w:vAlign w:val="bottom"/>
          </w:tcPr>
          <w:p w14:paraId="31EED882"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1180</w:t>
            </w:r>
          </w:p>
        </w:tc>
      </w:tr>
      <w:tr w:rsidR="00E36B7D" w:rsidRPr="00E93F40" w14:paraId="6A599A87" w14:textId="77777777" w:rsidTr="00E9136F">
        <w:trPr>
          <w:trHeight w:val="432"/>
        </w:trPr>
        <w:tc>
          <w:tcPr>
            <w:tcW w:w="1445" w:type="dxa"/>
          </w:tcPr>
          <w:p w14:paraId="735AC321"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дальность</w:t>
            </w:r>
          </w:p>
          <w:p w14:paraId="7BFCD09B"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полета, км</w:t>
            </w:r>
          </w:p>
        </w:tc>
        <w:tc>
          <w:tcPr>
            <w:tcW w:w="653" w:type="dxa"/>
            <w:vAlign w:val="bottom"/>
          </w:tcPr>
          <w:p w14:paraId="2CDBC1D2"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682" w:type="dxa"/>
            <w:vAlign w:val="bottom"/>
          </w:tcPr>
          <w:p w14:paraId="05A7645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653" w:type="dxa"/>
            <w:vAlign w:val="bottom"/>
          </w:tcPr>
          <w:p w14:paraId="01C1294A"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E36B7D" w:rsidRPr="00E93F40" w14:paraId="107BED77" w14:textId="77777777" w:rsidTr="00E9136F">
        <w:trPr>
          <w:trHeight w:val="446"/>
        </w:trPr>
        <w:tc>
          <w:tcPr>
            <w:tcW w:w="1445" w:type="dxa"/>
            <w:vAlign w:val="center"/>
          </w:tcPr>
          <w:p w14:paraId="0A8A120D"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w:t>
            </w:r>
          </w:p>
          <w:p w14:paraId="6DE34181"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 км/ч</w:t>
            </w:r>
          </w:p>
        </w:tc>
        <w:tc>
          <w:tcPr>
            <w:tcW w:w="653" w:type="dxa"/>
            <w:vAlign w:val="bottom"/>
          </w:tcPr>
          <w:p w14:paraId="4254E853"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82" w:type="dxa"/>
            <w:vAlign w:val="bottom"/>
          </w:tcPr>
          <w:p w14:paraId="4E6198BC"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c>
          <w:tcPr>
            <w:tcW w:w="653" w:type="dxa"/>
            <w:vAlign w:val="bottom"/>
          </w:tcPr>
          <w:p w14:paraId="112D434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E36B7D" w:rsidRPr="00E93F40" w14:paraId="23D8FF2D" w14:textId="77777777" w:rsidTr="00E9136F">
        <w:trPr>
          <w:trHeight w:val="432"/>
        </w:trPr>
        <w:tc>
          <w:tcPr>
            <w:tcW w:w="1445" w:type="dxa"/>
          </w:tcPr>
          <w:p w14:paraId="7D51B7CE"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w:t>
            </w:r>
          </w:p>
          <w:p w14:paraId="43056846"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 м, км/ч</w:t>
            </w:r>
          </w:p>
        </w:tc>
        <w:tc>
          <w:tcPr>
            <w:tcW w:w="653" w:type="dxa"/>
            <w:vAlign w:val="bottom"/>
          </w:tcPr>
          <w:p w14:paraId="417E2AC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682" w:type="dxa"/>
            <w:vAlign w:val="bottom"/>
          </w:tcPr>
          <w:p w14:paraId="203D17D3"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53" w:type="dxa"/>
            <w:vAlign w:val="bottom"/>
          </w:tcPr>
          <w:p w14:paraId="62C7BE36"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w:t>
            </w:r>
          </w:p>
        </w:tc>
      </w:tr>
      <w:tr w:rsidR="00E36B7D" w:rsidRPr="00E93F40" w14:paraId="6AA0C38E" w14:textId="77777777" w:rsidTr="00E9136F">
        <w:trPr>
          <w:trHeight w:val="437"/>
        </w:trPr>
        <w:tc>
          <w:tcPr>
            <w:tcW w:w="1445" w:type="dxa"/>
          </w:tcPr>
          <w:p w14:paraId="56C227DB"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p>
        </w:tc>
        <w:tc>
          <w:tcPr>
            <w:tcW w:w="653" w:type="dxa"/>
            <w:vAlign w:val="bottom"/>
          </w:tcPr>
          <w:p w14:paraId="717FD379"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82" w:type="dxa"/>
            <w:vAlign w:val="bottom"/>
          </w:tcPr>
          <w:p w14:paraId="4FE0BDC5"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653" w:type="dxa"/>
            <w:vAlign w:val="bottom"/>
          </w:tcPr>
          <w:p w14:paraId="7BDD0F4C"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r>
      <w:tr w:rsidR="00E36B7D" w:rsidRPr="00E93F40" w14:paraId="0D61EA71" w14:textId="77777777" w:rsidTr="00E9136F">
        <w:trPr>
          <w:trHeight w:val="432"/>
        </w:trPr>
        <w:tc>
          <w:tcPr>
            <w:tcW w:w="1445" w:type="dxa"/>
            <w:vAlign w:val="bottom"/>
          </w:tcPr>
          <w:p w14:paraId="347AFC9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w:t>
            </w:r>
          </w:p>
          <w:p w14:paraId="6D3A3806"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посадочная, км/ч</w:t>
            </w:r>
          </w:p>
        </w:tc>
        <w:tc>
          <w:tcPr>
            <w:tcW w:w="653" w:type="dxa"/>
            <w:vAlign w:val="bottom"/>
          </w:tcPr>
          <w:p w14:paraId="6D843D55"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682" w:type="dxa"/>
            <w:vAlign w:val="bottom"/>
          </w:tcPr>
          <w:p w14:paraId="0531C92A"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653" w:type="dxa"/>
            <w:vAlign w:val="bottom"/>
          </w:tcPr>
          <w:p w14:paraId="61FEF74B"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w:t>
            </w:r>
          </w:p>
        </w:tc>
      </w:tr>
      <w:tr w:rsidR="00E36B7D" w:rsidRPr="00E93F40" w14:paraId="63B2582D" w14:textId="77777777" w:rsidTr="00E9136F">
        <w:trPr>
          <w:trHeight w:val="226"/>
        </w:trPr>
        <w:tc>
          <w:tcPr>
            <w:tcW w:w="1445" w:type="dxa"/>
            <w:vAlign w:val="center"/>
          </w:tcPr>
          <w:p w14:paraId="006B9DA3"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разбега, м</w:t>
            </w:r>
          </w:p>
        </w:tc>
        <w:tc>
          <w:tcPr>
            <w:tcW w:w="653" w:type="dxa"/>
            <w:vAlign w:val="center"/>
          </w:tcPr>
          <w:p w14:paraId="3B8B2C9D"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82" w:type="dxa"/>
            <w:vAlign w:val="center"/>
          </w:tcPr>
          <w:p w14:paraId="653B57EE"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53" w:type="dxa"/>
            <w:vAlign w:val="center"/>
          </w:tcPr>
          <w:p w14:paraId="30A9230C"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w:t>
            </w:r>
          </w:p>
        </w:tc>
      </w:tr>
      <w:tr w:rsidR="00E36B7D" w:rsidRPr="00E93F40" w14:paraId="7ED70E6E" w14:textId="77777777" w:rsidTr="00E9136F">
        <w:trPr>
          <w:trHeight w:val="226"/>
        </w:trPr>
        <w:tc>
          <w:tcPr>
            <w:tcW w:w="1445" w:type="dxa"/>
            <w:vAlign w:val="center"/>
          </w:tcPr>
          <w:p w14:paraId="4BEDA7DD"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пробега, м</w:t>
            </w:r>
          </w:p>
        </w:tc>
        <w:tc>
          <w:tcPr>
            <w:tcW w:w="653" w:type="dxa"/>
            <w:vAlign w:val="center"/>
          </w:tcPr>
          <w:p w14:paraId="774DAA3D"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82" w:type="dxa"/>
            <w:vAlign w:val="center"/>
          </w:tcPr>
          <w:p w14:paraId="7988E802"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653" w:type="dxa"/>
            <w:vAlign w:val="center"/>
          </w:tcPr>
          <w:p w14:paraId="14398CB1"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r>
      <w:tr w:rsidR="00E36B7D" w:rsidRPr="00E93F40" w14:paraId="5B95A567" w14:textId="77777777" w:rsidTr="00E9136F">
        <w:trPr>
          <w:trHeight w:val="422"/>
        </w:trPr>
        <w:tc>
          <w:tcPr>
            <w:tcW w:w="1445" w:type="dxa"/>
            <w:vAlign w:val="bottom"/>
          </w:tcPr>
          <w:p w14:paraId="1B5191A4"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пушки</w:t>
            </w:r>
          </w:p>
        </w:tc>
        <w:tc>
          <w:tcPr>
            <w:tcW w:w="653" w:type="dxa"/>
            <w:vAlign w:val="bottom"/>
          </w:tcPr>
          <w:p w14:paraId="234D07D6"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2хДРП</w:t>
            </w:r>
          </w:p>
        </w:tc>
        <w:tc>
          <w:tcPr>
            <w:tcW w:w="682" w:type="dxa"/>
            <w:vAlign w:val="bottom"/>
          </w:tcPr>
          <w:p w14:paraId="5D326C9D"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2хДРП</w:t>
            </w:r>
          </w:p>
        </w:tc>
        <w:tc>
          <w:tcPr>
            <w:tcW w:w="653" w:type="dxa"/>
            <w:vAlign w:val="bottom"/>
          </w:tcPr>
          <w:p w14:paraId="727DB500"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2хАПК</w:t>
            </w:r>
          </w:p>
        </w:tc>
      </w:tr>
      <w:tr w:rsidR="00E36B7D" w:rsidRPr="00E93F40" w14:paraId="3A070BDB" w14:textId="77777777" w:rsidTr="00E9136F">
        <w:trPr>
          <w:trHeight w:val="216"/>
        </w:trPr>
        <w:tc>
          <w:tcPr>
            <w:tcW w:w="1445" w:type="dxa"/>
            <w:vAlign w:val="bottom"/>
          </w:tcPr>
          <w:p w14:paraId="16F7498C"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пулеметы ШКАС</w:t>
            </w:r>
          </w:p>
        </w:tc>
        <w:tc>
          <w:tcPr>
            <w:tcW w:w="653" w:type="dxa"/>
            <w:vAlign w:val="bottom"/>
          </w:tcPr>
          <w:p w14:paraId="27CD2D45"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682" w:type="dxa"/>
            <w:vAlign w:val="bottom"/>
          </w:tcPr>
          <w:p w14:paraId="054E6665"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653" w:type="dxa"/>
            <w:vAlign w:val="bottom"/>
          </w:tcPr>
          <w:p w14:paraId="2BBAD841"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r>
    </w:tbl>
    <w:p w14:paraId="3B5EAD05"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машины, которая по</w:t>
      </w:r>
      <w:r w:rsidRPr="00E93F40">
        <w:rPr>
          <w:rFonts w:ascii="Times New Roman" w:hAnsi="Times New Roman"/>
          <w:color w:val="000000" w:themeColor="text1"/>
          <w:sz w:val="16"/>
          <w:szCs w:val="16"/>
        </w:rPr>
        <w:softHyphen/>
        <w:t>лучила в КБ обозначение АНТ—29, поручили бригаде №3 под руководством П.О. Сухого. Трудно сказать, когда присту</w:t>
      </w:r>
      <w:r w:rsidRPr="00E93F40">
        <w:rPr>
          <w:rFonts w:ascii="Times New Roman" w:hAnsi="Times New Roman"/>
          <w:color w:val="000000" w:themeColor="text1"/>
          <w:sz w:val="16"/>
          <w:szCs w:val="16"/>
        </w:rPr>
        <w:softHyphen/>
        <w:t>пили к этой работе, но на 1 января 1933 г. готовность самолета составляла 12% (23474).</w:t>
      </w:r>
    </w:p>
    <w:p w14:paraId="3A207833" w14:textId="77777777" w:rsidR="00E36B7D" w:rsidRPr="00E93F40" w:rsidRDefault="00E36B7D" w:rsidP="00E93F40">
      <w:pPr>
        <w:spacing w:after="0" w:line="240" w:lineRule="auto"/>
        <w:jc w:val="both"/>
        <w:rPr>
          <w:rFonts w:ascii="Times New Roman" w:hAnsi="Times New Roman"/>
          <w:color w:val="000000" w:themeColor="text1"/>
          <w:sz w:val="16"/>
          <w:szCs w:val="16"/>
        </w:rPr>
      </w:pPr>
    </w:p>
    <w:p w14:paraId="0AB01F23"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декабря 1932 г. ЦАГИ выдали задание на проектирова</w:t>
      </w:r>
      <w:r w:rsidRPr="00E93F40">
        <w:rPr>
          <w:rFonts w:ascii="Times New Roman" w:hAnsi="Times New Roman"/>
          <w:color w:val="000000" w:themeColor="text1"/>
          <w:sz w:val="16"/>
          <w:szCs w:val="16"/>
        </w:rPr>
        <w:softHyphen/>
        <w:t>ние одноместного истребителя И —13 под мотор М—32 мощностью 600 л.с. Самолету присвоили очередной заводской номер — АНТ—32.</w:t>
      </w:r>
    </w:p>
    <w:p w14:paraId="21A736B1"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техническим требованиям И—13 должен был иметь: полезную нагрузку</w:t>
      </w:r>
    </w:p>
    <w:p w14:paraId="26E9E7E3"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нормальном варианте</w:t>
      </w:r>
      <w:r w:rsidRPr="00E93F40">
        <w:rPr>
          <w:rFonts w:ascii="Times New Roman" w:hAnsi="Times New Roman"/>
          <w:color w:val="000000" w:themeColor="text1"/>
          <w:sz w:val="16"/>
          <w:szCs w:val="16"/>
        </w:rPr>
        <w:tab/>
        <w:t>278 кг</w:t>
      </w:r>
    </w:p>
    <w:p w14:paraId="7671C32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перегрузочном варианте</w:t>
      </w:r>
      <w:r w:rsidRPr="00E93F40">
        <w:rPr>
          <w:rFonts w:ascii="Times New Roman" w:hAnsi="Times New Roman"/>
          <w:color w:val="000000" w:themeColor="text1"/>
          <w:sz w:val="16"/>
          <w:szCs w:val="16"/>
        </w:rPr>
        <w:tab/>
        <w:t>357 кг</w:t>
      </w:r>
    </w:p>
    <w:p w14:paraId="0558D19E"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тактический радиус действия</w:t>
      </w:r>
      <w:r w:rsidRPr="00E93F40">
        <w:rPr>
          <w:rFonts w:ascii="Times New Roman" w:hAnsi="Times New Roman"/>
          <w:color w:val="000000" w:themeColor="text1"/>
          <w:sz w:val="16"/>
          <w:szCs w:val="16"/>
        </w:rPr>
        <w:tab/>
        <w:t>250 км</w:t>
      </w:r>
    </w:p>
    <w:p w14:paraId="3B6E4615"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w:t>
      </w:r>
    </w:p>
    <w:p w14:paraId="10836980"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 5000 м</w:t>
      </w:r>
      <w:r w:rsidRPr="00E93F40">
        <w:rPr>
          <w:rFonts w:ascii="Times New Roman" w:hAnsi="Times New Roman"/>
          <w:color w:val="000000" w:themeColor="text1"/>
          <w:sz w:val="16"/>
          <w:szCs w:val="16"/>
        </w:rPr>
        <w:tab/>
        <w:t>350—400 км/ч</w:t>
      </w:r>
    </w:p>
    <w:p w14:paraId="1C730D1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w:t>
      </w:r>
      <w:r w:rsidRPr="00E93F40">
        <w:rPr>
          <w:rFonts w:ascii="Times New Roman" w:hAnsi="Times New Roman"/>
          <w:color w:val="000000" w:themeColor="text1"/>
          <w:sz w:val="16"/>
          <w:szCs w:val="16"/>
        </w:rPr>
        <w:tab/>
        <w:t>8000—9000 м</w:t>
      </w:r>
    </w:p>
    <w:p w14:paraId="04CB2BE4"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набора высоты 5000 м 7—8 мин посадочную скорость</w:t>
      </w:r>
      <w:r w:rsidRPr="00E93F40">
        <w:rPr>
          <w:rFonts w:ascii="Times New Roman" w:hAnsi="Times New Roman"/>
          <w:color w:val="000000" w:themeColor="text1"/>
          <w:sz w:val="16"/>
          <w:szCs w:val="16"/>
        </w:rPr>
        <w:tab/>
        <w:t>90— 100 км/ч</w:t>
      </w:r>
    </w:p>
    <w:p w14:paraId="015F8434"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длину разбега</w:t>
      </w:r>
      <w:r w:rsidRPr="00E93F40">
        <w:rPr>
          <w:rFonts w:ascii="Times New Roman" w:hAnsi="Times New Roman"/>
          <w:color w:val="000000" w:themeColor="text1"/>
          <w:sz w:val="16"/>
          <w:szCs w:val="16"/>
        </w:rPr>
        <w:tab/>
        <w:t>40 м</w:t>
      </w:r>
    </w:p>
    <w:p w14:paraId="485F5F1C"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длину пробега</w:t>
      </w:r>
      <w:r w:rsidRPr="00E93F40">
        <w:rPr>
          <w:rFonts w:ascii="Times New Roman" w:hAnsi="Times New Roman"/>
          <w:color w:val="000000" w:themeColor="text1"/>
          <w:sz w:val="16"/>
          <w:szCs w:val="16"/>
        </w:rPr>
        <w:tab/>
        <w:t>80 м</w:t>
      </w:r>
    </w:p>
    <w:p w14:paraId="0DD09310"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Предусматривалось вооружение из одного пулемета ШКАС с боезапасом 750 патронов и одного пулемета ДАК с боеза</w:t>
      </w:r>
      <w:r w:rsidRPr="00E93F40">
        <w:rPr>
          <w:rFonts w:ascii="Times New Roman" w:hAnsi="Times New Roman"/>
          <w:color w:val="000000" w:themeColor="text1"/>
          <w:sz w:val="16"/>
          <w:szCs w:val="16"/>
        </w:rPr>
        <w:softHyphen/>
        <w:t>пасом 300 патронов. В перегрузочном ва</w:t>
      </w:r>
      <w:r w:rsidRPr="00E93F40">
        <w:rPr>
          <w:rFonts w:ascii="Times New Roman" w:hAnsi="Times New Roman"/>
          <w:color w:val="000000" w:themeColor="text1"/>
          <w:sz w:val="16"/>
          <w:szCs w:val="16"/>
        </w:rPr>
        <w:softHyphen/>
        <w:t>рианте предполагалась подвеска 40 кг бомб на четырех держателях Д— 1.</w:t>
      </w:r>
    </w:p>
    <w:p w14:paraId="15A67C3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того, на самолете требовалось предусмотреть:</w:t>
      </w:r>
    </w:p>
    <w:p w14:paraId="2EF92F8A"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невозможность, даже сознательно</w:t>
      </w:r>
      <w:r w:rsidRPr="00E93F40">
        <w:rPr>
          <w:rFonts w:ascii="Times New Roman" w:hAnsi="Times New Roman"/>
          <w:color w:val="000000" w:themeColor="text1"/>
          <w:sz w:val="16"/>
          <w:szCs w:val="16"/>
        </w:rPr>
        <w:softHyphen/>
        <w:t>го, ввода в штопор, защиту летчика при капотировании машины, установку тормозных колес и воз</w:t>
      </w:r>
      <w:r w:rsidRPr="00E93F40">
        <w:rPr>
          <w:rFonts w:ascii="Times New Roman" w:hAnsi="Times New Roman"/>
          <w:color w:val="000000" w:themeColor="text1"/>
          <w:sz w:val="16"/>
          <w:szCs w:val="16"/>
        </w:rPr>
        <w:softHyphen/>
        <w:t>можность эксплуатации на лыжном шасси, «возможность легкого выпрыгива</w:t>
      </w:r>
      <w:r w:rsidRPr="00E93F40">
        <w:rPr>
          <w:rFonts w:ascii="Times New Roman" w:hAnsi="Times New Roman"/>
          <w:color w:val="000000" w:themeColor="text1"/>
          <w:sz w:val="16"/>
          <w:szCs w:val="16"/>
        </w:rPr>
        <w:softHyphen/>
        <w:t>ния летчика на парашюте».</w:t>
      </w:r>
    </w:p>
    <w:p w14:paraId="28A192E2"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Первые расчеты показали, что задан</w:t>
      </w:r>
      <w:r w:rsidRPr="00E93F40">
        <w:rPr>
          <w:rFonts w:ascii="Times New Roman" w:hAnsi="Times New Roman"/>
          <w:color w:val="000000" w:themeColor="text1"/>
          <w:sz w:val="16"/>
          <w:szCs w:val="16"/>
        </w:rPr>
        <w:softHyphen/>
        <w:t>ные характеристики может обеспечить биплан с полетной массой 1450 кг. Пло</w:t>
      </w:r>
      <w:r w:rsidRPr="00E93F40">
        <w:rPr>
          <w:rFonts w:ascii="Times New Roman" w:hAnsi="Times New Roman"/>
          <w:color w:val="000000" w:themeColor="text1"/>
          <w:sz w:val="16"/>
          <w:szCs w:val="16"/>
        </w:rPr>
        <w:softHyphen/>
        <w:t>щадь крыльев составила бы 21,0 м2. Воз</w:t>
      </w:r>
      <w:r w:rsidRPr="00E93F40">
        <w:rPr>
          <w:rFonts w:ascii="Times New Roman" w:hAnsi="Times New Roman"/>
          <w:color w:val="000000" w:themeColor="text1"/>
          <w:sz w:val="16"/>
          <w:szCs w:val="16"/>
        </w:rPr>
        <w:softHyphen/>
        <w:t>душный винт диаметром 3,0 м.</w:t>
      </w:r>
    </w:p>
    <w:p w14:paraId="598CA21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Расчетные скорости по высотам со</w:t>
      </w:r>
      <w:r w:rsidRPr="00E93F40">
        <w:rPr>
          <w:rFonts w:ascii="Times New Roman" w:hAnsi="Times New Roman"/>
          <w:color w:val="000000" w:themeColor="text1"/>
          <w:sz w:val="16"/>
          <w:szCs w:val="16"/>
        </w:rPr>
        <w:softHyphen/>
        <w:t>ставили бы при этом:</w:t>
      </w:r>
    </w:p>
    <w:tbl>
      <w:tblPr>
        <w:tblOverlap w:val="never"/>
        <w:tblW w:w="0" w:type="auto"/>
        <w:tblLayout w:type="fixed"/>
        <w:tblCellMar>
          <w:left w:w="10" w:type="dxa"/>
          <w:right w:w="10" w:type="dxa"/>
        </w:tblCellMar>
        <w:tblLook w:val="04A0" w:firstRow="1" w:lastRow="0" w:firstColumn="1" w:lastColumn="0" w:noHBand="0" w:noVBand="1"/>
      </w:tblPr>
      <w:tblGrid>
        <w:gridCol w:w="1210"/>
        <w:gridCol w:w="466"/>
        <w:gridCol w:w="600"/>
        <w:gridCol w:w="576"/>
        <w:gridCol w:w="595"/>
      </w:tblGrid>
      <w:tr w:rsidR="00E36B7D" w:rsidRPr="00E93F40" w14:paraId="7F58C391" w14:textId="77777777" w:rsidTr="00E9136F">
        <w:trPr>
          <w:trHeight w:val="326"/>
        </w:trPr>
        <w:tc>
          <w:tcPr>
            <w:tcW w:w="1210" w:type="dxa"/>
            <w:tcBorders>
              <w:top w:val="single" w:sz="4" w:space="0" w:color="auto"/>
              <w:left w:val="single" w:sz="4" w:space="0" w:color="auto"/>
            </w:tcBorders>
            <w:vAlign w:val="center"/>
          </w:tcPr>
          <w:p w14:paraId="03336331"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 сота, м</w:t>
            </w:r>
          </w:p>
        </w:tc>
        <w:tc>
          <w:tcPr>
            <w:tcW w:w="466" w:type="dxa"/>
            <w:tcBorders>
              <w:top w:val="single" w:sz="4" w:space="0" w:color="auto"/>
              <w:left w:val="single" w:sz="4" w:space="0" w:color="auto"/>
            </w:tcBorders>
            <w:vAlign w:val="center"/>
          </w:tcPr>
          <w:p w14:paraId="6570F490"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w:t>
            </w:r>
          </w:p>
        </w:tc>
        <w:tc>
          <w:tcPr>
            <w:tcW w:w="600" w:type="dxa"/>
            <w:tcBorders>
              <w:top w:val="single" w:sz="4" w:space="0" w:color="auto"/>
              <w:left w:val="single" w:sz="4" w:space="0" w:color="auto"/>
            </w:tcBorders>
            <w:vAlign w:val="center"/>
          </w:tcPr>
          <w:p w14:paraId="39632722"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576" w:type="dxa"/>
            <w:tcBorders>
              <w:top w:val="single" w:sz="4" w:space="0" w:color="auto"/>
              <w:left w:val="single" w:sz="4" w:space="0" w:color="auto"/>
            </w:tcBorders>
            <w:vAlign w:val="center"/>
          </w:tcPr>
          <w:p w14:paraId="2BE126A2"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595" w:type="dxa"/>
            <w:tcBorders>
              <w:top w:val="single" w:sz="4" w:space="0" w:color="auto"/>
              <w:left w:val="single" w:sz="4" w:space="0" w:color="auto"/>
              <w:right w:val="single" w:sz="4" w:space="0" w:color="auto"/>
            </w:tcBorders>
            <w:vAlign w:val="center"/>
          </w:tcPr>
          <w:p w14:paraId="7793E22D"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r>
      <w:tr w:rsidR="00E36B7D" w:rsidRPr="00E93F40" w14:paraId="5908AD0B" w14:textId="77777777" w:rsidTr="00E9136F">
        <w:trPr>
          <w:trHeight w:val="331"/>
        </w:trPr>
        <w:tc>
          <w:tcPr>
            <w:tcW w:w="1210" w:type="dxa"/>
            <w:tcBorders>
              <w:top w:val="single" w:sz="4" w:space="0" w:color="auto"/>
              <w:left w:val="single" w:sz="4" w:space="0" w:color="auto"/>
              <w:bottom w:val="single" w:sz="4" w:space="0" w:color="auto"/>
            </w:tcBorders>
            <w:vAlign w:val="center"/>
          </w:tcPr>
          <w:p w14:paraId="0B538F2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км/ч</w:t>
            </w:r>
          </w:p>
        </w:tc>
        <w:tc>
          <w:tcPr>
            <w:tcW w:w="466" w:type="dxa"/>
            <w:tcBorders>
              <w:top w:val="single" w:sz="4" w:space="0" w:color="auto"/>
              <w:left w:val="single" w:sz="4" w:space="0" w:color="auto"/>
              <w:bottom w:val="single" w:sz="4" w:space="0" w:color="auto"/>
            </w:tcBorders>
            <w:vAlign w:val="center"/>
          </w:tcPr>
          <w:p w14:paraId="1FA8BB25"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293</w:t>
            </w:r>
          </w:p>
        </w:tc>
        <w:tc>
          <w:tcPr>
            <w:tcW w:w="600" w:type="dxa"/>
            <w:tcBorders>
              <w:top w:val="single" w:sz="4" w:space="0" w:color="auto"/>
              <w:left w:val="single" w:sz="4" w:space="0" w:color="auto"/>
              <w:bottom w:val="single" w:sz="4" w:space="0" w:color="auto"/>
            </w:tcBorders>
            <w:vAlign w:val="center"/>
          </w:tcPr>
          <w:p w14:paraId="27202F5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w:t>
            </w:r>
          </w:p>
        </w:tc>
        <w:tc>
          <w:tcPr>
            <w:tcW w:w="576" w:type="dxa"/>
            <w:tcBorders>
              <w:top w:val="single" w:sz="4" w:space="0" w:color="auto"/>
              <w:left w:val="single" w:sz="4" w:space="0" w:color="auto"/>
              <w:bottom w:val="single" w:sz="4" w:space="0" w:color="auto"/>
            </w:tcBorders>
            <w:vAlign w:val="center"/>
          </w:tcPr>
          <w:p w14:paraId="18C4FF97"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358</w:t>
            </w:r>
          </w:p>
        </w:tc>
        <w:tc>
          <w:tcPr>
            <w:tcW w:w="595" w:type="dxa"/>
            <w:tcBorders>
              <w:top w:val="single" w:sz="4" w:space="0" w:color="auto"/>
              <w:left w:val="single" w:sz="4" w:space="0" w:color="auto"/>
              <w:bottom w:val="single" w:sz="4" w:space="0" w:color="auto"/>
              <w:right w:val="single" w:sz="4" w:space="0" w:color="auto"/>
            </w:tcBorders>
            <w:vAlign w:val="center"/>
          </w:tcPr>
          <w:p w14:paraId="588DF54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331</w:t>
            </w:r>
          </w:p>
        </w:tc>
      </w:tr>
    </w:tbl>
    <w:p w14:paraId="3CE35491"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АНТ—32 прекратили в 1934 г. — на стадии эскизного проектиро</w:t>
      </w:r>
      <w:r w:rsidRPr="00E93F40">
        <w:rPr>
          <w:rFonts w:ascii="Times New Roman" w:hAnsi="Times New Roman"/>
          <w:color w:val="000000" w:themeColor="text1"/>
          <w:sz w:val="16"/>
          <w:szCs w:val="16"/>
        </w:rPr>
        <w:softHyphen/>
        <w:t>вания.</w:t>
      </w:r>
    </w:p>
    <w:p w14:paraId="783002C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характеристики истребителя АНТ-32</w:t>
      </w:r>
    </w:p>
    <w:tbl>
      <w:tblPr>
        <w:tblOverlap w:val="never"/>
        <w:tblW w:w="0" w:type="auto"/>
        <w:tblLayout w:type="fixed"/>
        <w:tblCellMar>
          <w:left w:w="10" w:type="dxa"/>
          <w:right w:w="10" w:type="dxa"/>
        </w:tblCellMar>
        <w:tblLook w:val="04A0" w:firstRow="1" w:lastRow="0" w:firstColumn="1" w:lastColumn="0" w:noHBand="0" w:noVBand="1"/>
      </w:tblPr>
      <w:tblGrid>
        <w:gridCol w:w="3365"/>
        <w:gridCol w:w="2299"/>
      </w:tblGrid>
      <w:tr w:rsidR="00E36B7D" w:rsidRPr="00E93F40" w14:paraId="6A9DFB60" w14:textId="77777777" w:rsidTr="00E9136F">
        <w:trPr>
          <w:trHeight w:val="490"/>
        </w:trPr>
        <w:tc>
          <w:tcPr>
            <w:tcW w:w="3365" w:type="dxa"/>
            <w:tcBorders>
              <w:top w:val="single" w:sz="4" w:space="0" w:color="auto"/>
              <w:left w:val="single" w:sz="4" w:space="0" w:color="auto"/>
            </w:tcBorders>
            <w:vAlign w:val="bottom"/>
          </w:tcPr>
          <w:p w14:paraId="64E7B721"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х тип двигателей Мощность, л. с.</w:t>
            </w:r>
          </w:p>
        </w:tc>
        <w:tc>
          <w:tcPr>
            <w:tcW w:w="2299" w:type="dxa"/>
            <w:tcBorders>
              <w:top w:val="single" w:sz="4" w:space="0" w:color="auto"/>
              <w:right w:val="single" w:sz="4" w:space="0" w:color="auto"/>
            </w:tcBorders>
          </w:tcPr>
          <w:p w14:paraId="28694C39"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хМ 32</w:t>
            </w:r>
          </w:p>
        </w:tc>
      </w:tr>
      <w:tr w:rsidR="00E36B7D" w:rsidRPr="00E93F40" w14:paraId="7B830057" w14:textId="77777777" w:rsidTr="00E9136F">
        <w:trPr>
          <w:trHeight w:val="202"/>
        </w:trPr>
        <w:tc>
          <w:tcPr>
            <w:tcW w:w="3365" w:type="dxa"/>
            <w:tcBorders>
              <w:left w:val="single" w:sz="4" w:space="0" w:color="auto"/>
            </w:tcBorders>
          </w:tcPr>
          <w:p w14:paraId="49C17574"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w:t>
            </w:r>
          </w:p>
        </w:tc>
        <w:tc>
          <w:tcPr>
            <w:tcW w:w="2299" w:type="dxa"/>
            <w:tcBorders>
              <w:right w:val="single" w:sz="4" w:space="0" w:color="auto"/>
            </w:tcBorders>
          </w:tcPr>
          <w:p w14:paraId="1DC3CC5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r>
      <w:tr w:rsidR="00E36B7D" w:rsidRPr="00E93F40" w14:paraId="2E6784DA" w14:textId="77777777" w:rsidTr="00E9136F">
        <w:trPr>
          <w:trHeight w:val="442"/>
        </w:trPr>
        <w:tc>
          <w:tcPr>
            <w:tcW w:w="3365" w:type="dxa"/>
            <w:tcBorders>
              <w:left w:val="single" w:sz="4" w:space="0" w:color="auto"/>
            </w:tcBorders>
            <w:vAlign w:val="bottom"/>
          </w:tcPr>
          <w:p w14:paraId="6BB1088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крыла, м2</w:t>
            </w:r>
          </w:p>
          <w:p w14:paraId="01A13E39"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Взлетная масса, кг</w:t>
            </w:r>
          </w:p>
        </w:tc>
        <w:tc>
          <w:tcPr>
            <w:tcW w:w="2299" w:type="dxa"/>
            <w:tcBorders>
              <w:right w:val="single" w:sz="4" w:space="0" w:color="auto"/>
            </w:tcBorders>
          </w:tcPr>
          <w:p w14:paraId="21DCCB14"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21,00</w:t>
            </w:r>
          </w:p>
        </w:tc>
      </w:tr>
      <w:tr w:rsidR="00E36B7D" w:rsidRPr="00E93F40" w14:paraId="1EE54633" w14:textId="77777777" w:rsidTr="00E9136F">
        <w:trPr>
          <w:trHeight w:val="230"/>
        </w:trPr>
        <w:tc>
          <w:tcPr>
            <w:tcW w:w="3365" w:type="dxa"/>
            <w:tcBorders>
              <w:left w:val="single" w:sz="4" w:space="0" w:color="auto"/>
            </w:tcBorders>
            <w:vAlign w:val="bottom"/>
          </w:tcPr>
          <w:p w14:paraId="5460623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нормальная</w:t>
            </w:r>
          </w:p>
        </w:tc>
        <w:tc>
          <w:tcPr>
            <w:tcW w:w="2299" w:type="dxa"/>
            <w:tcBorders>
              <w:right w:val="single" w:sz="4" w:space="0" w:color="auto"/>
            </w:tcBorders>
            <w:vAlign w:val="bottom"/>
          </w:tcPr>
          <w:p w14:paraId="10A4D753"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1450</w:t>
            </w:r>
          </w:p>
        </w:tc>
      </w:tr>
      <w:tr w:rsidR="00E36B7D" w:rsidRPr="00E93F40" w14:paraId="0163E13A" w14:textId="77777777" w:rsidTr="00E9136F">
        <w:trPr>
          <w:trHeight w:val="442"/>
        </w:trPr>
        <w:tc>
          <w:tcPr>
            <w:tcW w:w="3365" w:type="dxa"/>
            <w:tcBorders>
              <w:left w:val="single" w:sz="4" w:space="0" w:color="auto"/>
            </w:tcBorders>
          </w:tcPr>
          <w:p w14:paraId="5CC2CB19"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бомбовой нагрузки, кг Максимальная скорость, км/ч</w:t>
            </w:r>
          </w:p>
        </w:tc>
        <w:tc>
          <w:tcPr>
            <w:tcW w:w="2299" w:type="dxa"/>
            <w:tcBorders>
              <w:right w:val="single" w:sz="4" w:space="0" w:color="auto"/>
            </w:tcBorders>
          </w:tcPr>
          <w:p w14:paraId="37F65D3E"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r>
      <w:tr w:rsidR="00E36B7D" w:rsidRPr="00E93F40" w14:paraId="57EDD12E" w14:textId="77777777" w:rsidTr="00E9136F">
        <w:trPr>
          <w:trHeight w:val="206"/>
        </w:trPr>
        <w:tc>
          <w:tcPr>
            <w:tcW w:w="3365" w:type="dxa"/>
            <w:tcBorders>
              <w:left w:val="single" w:sz="4" w:space="0" w:color="auto"/>
            </w:tcBorders>
            <w:vAlign w:val="bottom"/>
          </w:tcPr>
          <w:p w14:paraId="6FC42F68"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земли</w:t>
            </w:r>
          </w:p>
        </w:tc>
        <w:tc>
          <w:tcPr>
            <w:tcW w:w="2299" w:type="dxa"/>
            <w:tcBorders>
              <w:right w:val="single" w:sz="4" w:space="0" w:color="auto"/>
            </w:tcBorders>
            <w:vAlign w:val="bottom"/>
          </w:tcPr>
          <w:p w14:paraId="545B919B"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293</w:t>
            </w:r>
          </w:p>
        </w:tc>
      </w:tr>
      <w:tr w:rsidR="00E36B7D" w:rsidRPr="00E93F40" w14:paraId="08D4BCBD" w14:textId="77777777" w:rsidTr="00E9136F">
        <w:trPr>
          <w:trHeight w:val="235"/>
        </w:trPr>
        <w:tc>
          <w:tcPr>
            <w:tcW w:w="3365" w:type="dxa"/>
            <w:tcBorders>
              <w:left w:val="single" w:sz="4" w:space="0" w:color="auto"/>
            </w:tcBorders>
            <w:vAlign w:val="bottom"/>
          </w:tcPr>
          <w:p w14:paraId="597EC4CD"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 м</w:t>
            </w:r>
          </w:p>
        </w:tc>
        <w:tc>
          <w:tcPr>
            <w:tcW w:w="2299" w:type="dxa"/>
            <w:tcBorders>
              <w:right w:val="single" w:sz="4" w:space="0" w:color="auto"/>
            </w:tcBorders>
            <w:vAlign w:val="bottom"/>
          </w:tcPr>
          <w:p w14:paraId="6F50C64F"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330/3000</w:t>
            </w:r>
          </w:p>
        </w:tc>
      </w:tr>
      <w:tr w:rsidR="00E36B7D" w:rsidRPr="00E93F40" w14:paraId="4F9D39CB" w14:textId="77777777" w:rsidTr="00E9136F">
        <w:trPr>
          <w:trHeight w:val="442"/>
        </w:trPr>
        <w:tc>
          <w:tcPr>
            <w:tcW w:w="3365" w:type="dxa"/>
            <w:tcBorders>
              <w:left w:val="single" w:sz="4" w:space="0" w:color="auto"/>
            </w:tcBorders>
          </w:tcPr>
          <w:p w14:paraId="645951D6"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 м Вооружение</w:t>
            </w:r>
          </w:p>
        </w:tc>
        <w:tc>
          <w:tcPr>
            <w:tcW w:w="2299" w:type="dxa"/>
            <w:tcBorders>
              <w:right w:val="single" w:sz="4" w:space="0" w:color="auto"/>
            </w:tcBorders>
          </w:tcPr>
          <w:p w14:paraId="51A55AE7"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358/5000</w:t>
            </w:r>
          </w:p>
        </w:tc>
      </w:tr>
      <w:tr w:rsidR="00E36B7D" w:rsidRPr="00E93F40" w14:paraId="718FA7C7" w14:textId="77777777" w:rsidTr="00E9136F">
        <w:trPr>
          <w:trHeight w:val="211"/>
        </w:trPr>
        <w:tc>
          <w:tcPr>
            <w:tcW w:w="3365" w:type="dxa"/>
            <w:tcBorders>
              <w:left w:val="single" w:sz="4" w:space="0" w:color="auto"/>
            </w:tcBorders>
          </w:tcPr>
          <w:p w14:paraId="5DBEED79"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стрелковое: число х калибр</w:t>
            </w:r>
          </w:p>
        </w:tc>
        <w:tc>
          <w:tcPr>
            <w:tcW w:w="2299" w:type="dxa"/>
            <w:tcBorders>
              <w:right w:val="single" w:sz="4" w:space="0" w:color="auto"/>
            </w:tcBorders>
          </w:tcPr>
          <w:p w14:paraId="00A914CD"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2x7,62</w:t>
            </w:r>
          </w:p>
        </w:tc>
      </w:tr>
      <w:tr w:rsidR="00E36B7D" w:rsidRPr="00E93F40" w14:paraId="52F9E933" w14:textId="77777777" w:rsidTr="00E9136F">
        <w:trPr>
          <w:trHeight w:val="307"/>
        </w:trPr>
        <w:tc>
          <w:tcPr>
            <w:tcW w:w="3365" w:type="dxa"/>
            <w:tcBorders>
              <w:left w:val="single" w:sz="4" w:space="0" w:color="auto"/>
              <w:bottom w:val="single" w:sz="4" w:space="0" w:color="auto"/>
            </w:tcBorders>
          </w:tcPr>
          <w:p w14:paraId="2F247D0C"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чел.</w:t>
            </w:r>
          </w:p>
        </w:tc>
        <w:tc>
          <w:tcPr>
            <w:tcW w:w="2299" w:type="dxa"/>
            <w:tcBorders>
              <w:bottom w:val="single" w:sz="4" w:space="0" w:color="auto"/>
              <w:right w:val="single" w:sz="4" w:space="0" w:color="auto"/>
            </w:tcBorders>
          </w:tcPr>
          <w:p w14:paraId="25DE0F33"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bl>
    <w:p w14:paraId="587422EA" w14:textId="77777777" w:rsidR="00E36B7D" w:rsidRPr="00E93F40" w:rsidRDefault="00E36B7D"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(23474).</w:t>
      </w:r>
    </w:p>
    <w:p w14:paraId="7A6C5F98" w14:textId="77777777" w:rsidR="00E36B7D" w:rsidRPr="00E93F40" w:rsidRDefault="00E36B7D" w:rsidP="00E93F40">
      <w:pPr>
        <w:spacing w:after="0" w:line="240" w:lineRule="auto"/>
        <w:jc w:val="both"/>
        <w:rPr>
          <w:rFonts w:ascii="Times New Roman" w:hAnsi="Times New Roman"/>
          <w:color w:val="000000" w:themeColor="text1"/>
          <w:sz w:val="16"/>
          <w:szCs w:val="16"/>
        </w:rPr>
      </w:pPr>
    </w:p>
    <w:p w14:paraId="38236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декабря 1932 в НТУ ГАУ был рассмотрен про-кт 37 мм авиационной автоматической пушки АКТ-2, разработанной А.А.Толочковым, и Н.Н.Кондаковым. Проект одобили и решили дать заказ (3996, 78).</w:t>
      </w:r>
    </w:p>
    <w:p w14:paraId="4230D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852ADF" w14:textId="77777777" w:rsidR="007B1D3C" w:rsidRPr="00E93F40" w:rsidRDefault="00F773A6" w:rsidP="00E93F40">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ACA8EB7"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91C8F49" w14:textId="77777777" w:rsidR="00D50F3F" w:rsidRPr="00E93F40" w:rsidRDefault="00D50F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декабря 1932 г. проектирование дизеля БД-2 в Дизельном отделе ХПЗ было полностью завешено и все рабочие чертежи переданы в цеха. При этом руководством завода было принято решение изготовить к 15 марта 1932 г. не один, а три опытных образца дизеля БД-2. Такое решение было принято исходя из следующих соображений:</w:t>
      </w:r>
    </w:p>
    <w:p w14:paraId="67B1BA5C" w14:textId="77777777" w:rsidR="00D50F3F" w:rsidRPr="00E93F40" w:rsidRDefault="00D50F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Необходимость получения незначительного веса при малом габарите и высоком числе оборотов заставили нас идти по линии максимального использования материала.</w:t>
      </w:r>
    </w:p>
    <w:p w14:paraId="28474945" w14:textId="77777777" w:rsidR="00D50F3F" w:rsidRPr="00E93F40" w:rsidRDefault="00D50F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того, чтобы не задерживать проведения стендовых испытаний мы считали необходимым установить на станде несколько моторов и в случае аварии с одним из них иметь возможность продолжать работу на других моторах.</w:t>
      </w:r>
    </w:p>
    <w:p w14:paraId="51D29A7B" w14:textId="77777777" w:rsidR="00D50F3F" w:rsidRPr="00E93F40" w:rsidRDefault="00D50F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Результаты стендовых испытаний не являются еще достаточными для суждения об эксплоатационных качествах мотора: необходимо провести длительные испытания работы мотора в танке. Поэтому мы считали целесообразным, после получения удовлетворительных результатов работы мотора на стенде установить два мотора на БТ и одновременно с этим на 3-ем моторе вести дальнейшие продолжительные стендовые испытания с целью выяснения срока службы отдельных деталей, дальнейшего усовершенствования конструкции и пр.».</w:t>
      </w:r>
    </w:p>
    <w:p w14:paraId="177D464A" w14:textId="77777777" w:rsidR="00D50F3F" w:rsidRPr="00E93F40" w:rsidRDefault="00D50F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[РГВА. Ф. 31811. Оп. 3. Д. 152. Л. 93]</w:t>
      </w:r>
    </w:p>
    <w:p w14:paraId="3BFE440C" w14:textId="77777777" w:rsidR="00D50F3F" w:rsidRPr="00E93F40" w:rsidRDefault="00D50F3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Для сокращения сроков создания опытного образца танка БТ с дизелем БД-2 было решено не дожидаться окончания изготовления опытных образцов двигателя, а сразу же приступить к разработке его установки в танк, т.е. вести работу параллельным способом (24856). </w:t>
      </w:r>
    </w:p>
    <w:p w14:paraId="24855EEC" w14:textId="77777777" w:rsidR="00D50F3F" w:rsidRPr="00E93F40" w:rsidRDefault="00D50F3F" w:rsidP="00E93F40">
      <w:pPr>
        <w:spacing w:after="0" w:line="240" w:lineRule="auto"/>
        <w:jc w:val="both"/>
        <w:rPr>
          <w:rFonts w:ascii="Times New Roman" w:hAnsi="Times New Roman"/>
          <w:color w:val="000000" w:themeColor="text1"/>
          <w:sz w:val="16"/>
          <w:szCs w:val="16"/>
        </w:rPr>
      </w:pPr>
    </w:p>
    <w:p w14:paraId="47D1FD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декабря 1932, после того, как 11 декабря 1932 г. после заводских испытаний Л-600 пред</w:t>
      </w:r>
      <w:r w:rsidRPr="00E93F40">
        <w:rPr>
          <w:rFonts w:ascii="Times New Roman" w:hAnsi="Times New Roman"/>
          <w:color w:val="000000" w:themeColor="text1"/>
          <w:sz w:val="16"/>
          <w:szCs w:val="16"/>
        </w:rPr>
        <w:softHyphen/>
        <w:t>ставили специальной комиссии в Ленинграде - представили более высокой комиссии с участием членов правительства и пре</w:t>
      </w:r>
      <w:r w:rsidRPr="00E93F40">
        <w:rPr>
          <w:rFonts w:ascii="Times New Roman" w:hAnsi="Times New Roman"/>
          <w:color w:val="000000" w:themeColor="text1"/>
          <w:sz w:val="16"/>
          <w:szCs w:val="16"/>
        </w:rPr>
        <w:softHyphen/>
        <w:t>зидиума пожарного бюро ЦС АВТОДОР в Москве. Новинка произвела хорошее впечатление [4.106]. Двигатель Л-600 разви</w:t>
      </w:r>
      <w:r w:rsidRPr="00E93F40">
        <w:rPr>
          <w:rFonts w:ascii="Times New Roman" w:hAnsi="Times New Roman"/>
          <w:color w:val="000000" w:themeColor="text1"/>
          <w:sz w:val="16"/>
          <w:szCs w:val="16"/>
        </w:rPr>
        <w:softHyphen/>
        <w:t>вал максимальную мощность 12 л.с., что обеспечивало давление воды в выходном стволе 6 кс/см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выброс струи до 30 м и произво</w:t>
      </w:r>
      <w:r w:rsidRPr="00E93F40">
        <w:rPr>
          <w:rFonts w:ascii="Times New Roman" w:hAnsi="Times New Roman"/>
          <w:color w:val="000000" w:themeColor="text1"/>
          <w:sz w:val="16"/>
          <w:szCs w:val="16"/>
        </w:rPr>
        <w:softHyphen/>
        <w:t>дительность насоса до 730 л/мин [4.105]. На заводе ПРОМЕТ создали мотоцикл для огнеборцев. По инициативе признанного в коллективе конструктора пожарной техники и известного в Ленинграде мотоциклиста ГЛ. Байкова, активно участвовавшего в изготовлении первых мото</w:t>
      </w:r>
      <w:r w:rsidRPr="00E93F40">
        <w:rPr>
          <w:rFonts w:ascii="Times New Roman" w:hAnsi="Times New Roman"/>
          <w:color w:val="000000" w:themeColor="text1"/>
          <w:sz w:val="16"/>
          <w:szCs w:val="16"/>
        </w:rPr>
        <w:softHyphen/>
        <w:t>циклов «ТРЕМАСС-300» и Л-300, в 1932 г. спроектировали первый в нашей стране пожарный мотоцикл Л-600, что означало - Ленин</w:t>
      </w:r>
      <w:r w:rsidRPr="00E93F40">
        <w:rPr>
          <w:rFonts w:ascii="Times New Roman" w:hAnsi="Times New Roman"/>
          <w:color w:val="000000" w:themeColor="text1"/>
          <w:sz w:val="16"/>
          <w:szCs w:val="16"/>
        </w:rPr>
        <w:softHyphen/>
        <w:t>градский, с двигателем рабочим объёмом 600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xml:space="preserve"> [4.103]. К тому времени в некоторых странах уже строили пожарные мотоциклы. Обычно использовали тяжёлую машину с коляской, в которую при выезде к очагу возгорания укладывали пожарную мо</w:t>
      </w:r>
      <w:r w:rsidRPr="00E93F40">
        <w:rPr>
          <w:rFonts w:ascii="Times New Roman" w:hAnsi="Times New Roman"/>
          <w:color w:val="000000" w:themeColor="text1"/>
          <w:sz w:val="16"/>
          <w:szCs w:val="16"/>
        </w:rPr>
        <w:softHyphen/>
        <w:t>топомпу, заборные и пожарные рукава, стволы и прочий пожарный инвентарь [4.104]. В коляску грузили комплект пожаротушения, на пожаре - выгружали и развёртывали. Требовалось возить и дер</w:t>
      </w:r>
      <w:r w:rsidRPr="00E93F40">
        <w:rPr>
          <w:rFonts w:ascii="Times New Roman" w:hAnsi="Times New Roman"/>
          <w:color w:val="000000" w:themeColor="text1"/>
          <w:sz w:val="16"/>
          <w:szCs w:val="16"/>
        </w:rPr>
        <w:softHyphen/>
        <w:t>жать в боевой готовности сразу два силовых агрегата: мотоцикл и мотопомпу, оснащённых к тому же ненадёжными двигателями. На заводе ПРОМЕТ впервые в Европе обошлись для этой цели одним силовым агрегатом. На более прочную (в сравнении с Л-300) эки</w:t>
      </w:r>
      <w:r w:rsidRPr="00E93F40">
        <w:rPr>
          <w:rFonts w:ascii="Times New Roman" w:hAnsi="Times New Roman"/>
          <w:color w:val="000000" w:themeColor="text1"/>
          <w:sz w:val="16"/>
          <w:szCs w:val="16"/>
        </w:rPr>
        <w:softHyphen/>
        <w:t>пажную часть продольно установили двухцилиндровый двухтакт</w:t>
      </w:r>
      <w:r w:rsidRPr="00E93F40">
        <w:rPr>
          <w:rFonts w:ascii="Times New Roman" w:hAnsi="Times New Roman"/>
          <w:color w:val="000000" w:themeColor="text1"/>
          <w:sz w:val="16"/>
          <w:szCs w:val="16"/>
        </w:rPr>
        <w:softHyphen/>
        <w:t>ный двигатель с трёхступенчатой КП и задним ходом. Привод зад</w:t>
      </w:r>
      <w:r w:rsidRPr="00E93F40">
        <w:rPr>
          <w:rFonts w:ascii="Times New Roman" w:hAnsi="Times New Roman"/>
          <w:color w:val="000000" w:themeColor="text1"/>
          <w:sz w:val="16"/>
          <w:szCs w:val="16"/>
        </w:rPr>
        <w:softHyphen/>
        <w:t>него колеса осуществлялся карданным валом. В коляске располо</w:t>
      </w:r>
      <w:r w:rsidRPr="00E93F40">
        <w:rPr>
          <w:rFonts w:ascii="Times New Roman" w:hAnsi="Times New Roman"/>
          <w:color w:val="000000" w:themeColor="text1"/>
          <w:sz w:val="16"/>
          <w:szCs w:val="16"/>
        </w:rPr>
        <w:softHyphen/>
        <w:t>жили центробежный пожарный насос, в отключаемом приводе ко</w:t>
      </w:r>
      <w:r w:rsidRPr="00E93F40">
        <w:rPr>
          <w:rFonts w:ascii="Times New Roman" w:hAnsi="Times New Roman"/>
          <w:color w:val="000000" w:themeColor="text1"/>
          <w:sz w:val="16"/>
          <w:szCs w:val="16"/>
        </w:rPr>
        <w:softHyphen/>
        <w:t>торого тоже использовался карданный вал. Мотор для работы в стационарном режиме снабдили системой воздушного охлаждения. При этом удлинили коленвал и выступавший хвостовик соединили с воздуходувкой. Мотоцикл перевозил трёх человек - вполне доста</w:t>
      </w:r>
      <w:r w:rsidRPr="00E93F40">
        <w:rPr>
          <w:rFonts w:ascii="Times New Roman" w:hAnsi="Times New Roman"/>
          <w:color w:val="000000" w:themeColor="text1"/>
          <w:sz w:val="16"/>
          <w:szCs w:val="16"/>
        </w:rPr>
        <w:softHyphen/>
        <w:t>точный штат для организации подачи первой струи и дальнейшего тушения пожара, если он оказывался небольшим [4.105]. Вслед за этим ЦС АВТОДОР ходатайствовал о развёртыва</w:t>
      </w:r>
      <w:r w:rsidRPr="00E93F40">
        <w:rPr>
          <w:rFonts w:ascii="Times New Roman" w:hAnsi="Times New Roman"/>
          <w:color w:val="000000" w:themeColor="text1"/>
          <w:sz w:val="16"/>
          <w:szCs w:val="16"/>
        </w:rPr>
        <w:softHyphen/>
        <w:t>нии серийного выпуска Л-600, указывая на возможности завода ПРОМЕТ справиться с этим [4.106]. Новый мотоцикл казался полезным для городов и сельской местности. Благодаря малым габаритам он проезжал по узким проходам между жилыми и за</w:t>
      </w:r>
      <w:r w:rsidRPr="00E93F40">
        <w:rPr>
          <w:rFonts w:ascii="Times New Roman" w:hAnsi="Times New Roman"/>
          <w:color w:val="000000" w:themeColor="text1"/>
          <w:sz w:val="16"/>
          <w:szCs w:val="16"/>
        </w:rPr>
        <w:softHyphen/>
        <w:t>водскими постройками, что улучшало пожаротушение в местах, недоступных для подъезда пожарных автомашин. В сельской ме</w:t>
      </w:r>
      <w:r w:rsidRPr="00E93F40">
        <w:rPr>
          <w:rFonts w:ascii="Times New Roman" w:hAnsi="Times New Roman"/>
          <w:color w:val="000000" w:themeColor="text1"/>
          <w:sz w:val="16"/>
          <w:szCs w:val="16"/>
        </w:rPr>
        <w:softHyphen/>
        <w:t>стности, помимо борьбы с огнем, его предполагали использовать для полива огородов и на других сельхозработах [4.104].</w:t>
      </w:r>
    </w:p>
    <w:p w14:paraId="5DEECEA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Л-600 казалось решенным, поскольку базирова</w:t>
      </w:r>
      <w:r w:rsidRPr="00E93F40">
        <w:rPr>
          <w:rFonts w:ascii="Times New Roman" w:hAnsi="Times New Roman"/>
          <w:color w:val="000000" w:themeColor="text1"/>
          <w:sz w:val="16"/>
          <w:szCs w:val="16"/>
        </w:rPr>
        <w:softHyphen/>
        <w:t>лось на широкой унификации с выпускаемой пожарной техникой на заводе ПРОМЕТ и мотоциклами на «Красном Октябре». Од</w:t>
      </w:r>
      <w:r w:rsidRPr="00E93F40">
        <w:rPr>
          <w:rFonts w:ascii="Times New Roman" w:hAnsi="Times New Roman"/>
          <w:color w:val="000000" w:themeColor="text1"/>
          <w:sz w:val="16"/>
          <w:szCs w:val="16"/>
        </w:rPr>
        <w:softHyphen/>
        <w:t>нако когда ЦС АВТОДОР предложил этим предприятиям выпус</w:t>
      </w:r>
      <w:r w:rsidRPr="00E93F40">
        <w:rPr>
          <w:rFonts w:ascii="Times New Roman" w:hAnsi="Times New Roman"/>
          <w:color w:val="000000" w:themeColor="text1"/>
          <w:sz w:val="16"/>
          <w:szCs w:val="16"/>
        </w:rPr>
        <w:softHyphen/>
        <w:t>тить 10 мотоциклов Л-600, они отказались, а директор завода ПРОМЕТ не разрешил передать Л-600 для испытаний Ленинградскому областному управлению пожарной охраны и приказал снять с него пожарную технику, полагая приспособить для транспорт</w:t>
      </w:r>
      <w:r w:rsidRPr="00E93F40">
        <w:rPr>
          <w:rFonts w:ascii="Times New Roman" w:hAnsi="Times New Roman"/>
          <w:color w:val="000000" w:themeColor="text1"/>
          <w:sz w:val="16"/>
          <w:szCs w:val="16"/>
        </w:rPr>
        <w:softHyphen/>
        <w:t>ных нужд завода [4.105]. Положение спасла широкая автодоров-ская общественность, сломившая глухое сопротивление бюрокра</w:t>
      </w:r>
      <w:r w:rsidRPr="00E93F40">
        <w:rPr>
          <w:rFonts w:ascii="Times New Roman" w:hAnsi="Times New Roman"/>
          <w:color w:val="000000" w:themeColor="text1"/>
          <w:sz w:val="16"/>
          <w:szCs w:val="16"/>
        </w:rPr>
        <w:softHyphen/>
        <w:t>тов. Благодаря её настойчивости в течение 1934—1939 гг. на заво</w:t>
      </w:r>
      <w:r w:rsidRPr="00E93F40">
        <w:rPr>
          <w:rFonts w:ascii="Times New Roman" w:hAnsi="Times New Roman"/>
          <w:color w:val="000000" w:themeColor="text1"/>
          <w:sz w:val="16"/>
          <w:szCs w:val="16"/>
        </w:rPr>
        <w:softHyphen/>
        <w:t>де ПРОМЕТ строили Л-600. Краснознамённая пожарная охрана столицы приобрела три машины [4.104]. Проверив их в самых трудных условиях, огнеборцы Москвы выявили 26 дефектов: изломы рамы, поломки шестерён главной передачи, несовершен</w:t>
      </w:r>
      <w:r w:rsidRPr="00E93F40">
        <w:rPr>
          <w:rFonts w:ascii="Times New Roman" w:hAnsi="Times New Roman"/>
          <w:color w:val="000000" w:themeColor="text1"/>
          <w:sz w:val="16"/>
          <w:szCs w:val="16"/>
        </w:rPr>
        <w:softHyphen/>
        <w:t>ство магнето и брони тросов, многое другое. Но особенно непри</w:t>
      </w:r>
      <w:r w:rsidRPr="00E93F40">
        <w:rPr>
          <w:rFonts w:ascii="Times New Roman" w:hAnsi="Times New Roman"/>
          <w:color w:val="000000" w:themeColor="text1"/>
          <w:sz w:val="16"/>
          <w:szCs w:val="16"/>
        </w:rPr>
        <w:softHyphen/>
        <w:t>ятным оказался большой расход топлива в 14 л на контрольной дистанции 100 км, в то время как автомобиль ГАЗ-А с рабочим объёмом двигателя 2,8 л расходовал 11л [4.107]. К чести заво</w:t>
      </w:r>
      <w:r w:rsidRPr="00E93F40">
        <w:rPr>
          <w:rFonts w:ascii="Times New Roman" w:hAnsi="Times New Roman"/>
          <w:color w:val="000000" w:themeColor="text1"/>
          <w:sz w:val="16"/>
          <w:szCs w:val="16"/>
        </w:rPr>
        <w:softHyphen/>
        <w:t>дских специалистов, они быстро устранили недоработки [4.105].</w:t>
      </w:r>
    </w:p>
    <w:p w14:paraId="2D79F3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Мотоцикл Л-600 применили и для других задач народного хо</w:t>
      </w:r>
      <w:r w:rsidRPr="00E93F40">
        <w:rPr>
          <w:rFonts w:ascii="Times New Roman" w:hAnsi="Times New Roman"/>
          <w:color w:val="000000" w:themeColor="text1"/>
          <w:sz w:val="16"/>
          <w:szCs w:val="16"/>
        </w:rPr>
        <w:softHyphen/>
        <w:t>зяйства. На его основе создали средство освещения на пожаре в задымлённых помещениях. Вместо пожарного насоса устанавли</w:t>
      </w:r>
      <w:r w:rsidRPr="00E93F40">
        <w:rPr>
          <w:rFonts w:ascii="Times New Roman" w:hAnsi="Times New Roman"/>
          <w:color w:val="000000" w:themeColor="text1"/>
          <w:sz w:val="16"/>
          <w:szCs w:val="16"/>
        </w:rPr>
        <w:softHyphen/>
        <w:t>вали электрогенератор с напряжением 120 В мощностью 3 кВт, а в коляске располагали три прожектора ПЗ-35 с электрическими лампами мощностью 500 Вт и необходимой линией подключения [4.108]. А для устранения обрывов линий электропередач создали мобильный сварочный аппарат на основе Л-600. В коляске распо</w:t>
      </w:r>
      <w:r w:rsidRPr="00E93F40">
        <w:rPr>
          <w:rFonts w:ascii="Times New Roman" w:hAnsi="Times New Roman"/>
          <w:color w:val="000000" w:themeColor="text1"/>
          <w:sz w:val="16"/>
          <w:szCs w:val="16"/>
        </w:rPr>
        <w:softHyphen/>
        <w:t>лагали электрогенератор и укладывали переносной понижающий трансформатор типа АСП-1-2, перевозимый в брезентовой сумке с ремнями для переноски вручную, а также сварочные клещи и соединявший их провод длиной 30 м, намотанный на катушку. Ток от генератора проходил через специальные щётки, закреп</w:t>
      </w:r>
      <w:r w:rsidRPr="00E93F40">
        <w:rPr>
          <w:rFonts w:ascii="Times New Roman" w:hAnsi="Times New Roman"/>
          <w:color w:val="000000" w:themeColor="text1"/>
          <w:sz w:val="16"/>
          <w:szCs w:val="16"/>
        </w:rPr>
        <w:softHyphen/>
        <w:t>лённые на корпусе катушки, и по проводам поступал в первичную обмотку трансформатора. Торцы концов свариваемых проводов воздушной линии сжимали специальными клещами встык. Затем разгоняли двигатель до полных оборотов и, нажимая кнопку на одной из рукояток клещей, пропускали электрический ток. Сжа</w:t>
      </w:r>
      <w:r w:rsidRPr="00E93F40">
        <w:rPr>
          <w:rFonts w:ascii="Times New Roman" w:hAnsi="Times New Roman"/>
          <w:color w:val="000000" w:themeColor="text1"/>
          <w:sz w:val="16"/>
          <w:szCs w:val="16"/>
        </w:rPr>
        <w:softHyphen/>
        <w:t>тые торцы проводов нагревались и сваривались [4.109].</w:t>
      </w:r>
    </w:p>
    <w:p w14:paraId="3A6CDC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 стал родиной отечественного серийного мотоцикла Л-300 и пожарного - Л-600, - единственного в мире на тот период (11429).</w:t>
      </w:r>
    </w:p>
    <w:p w14:paraId="7D4CA6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90FB2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54FEB33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A2D6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 второй половине декабря 1932 г. Литвинов, участвовавший в работе Женевской конференции, приехал в Берлин. 19 — 20 декабря 1932 г. он встречался с райхсканцлером Шляйхером, а также министром иностранных дел К. фон Нойратом. 19 декабря Шляйхер заверил Литвинова в «своей приверженности германо-русской дружбе в политических и, как он именно сказал, в военных связях, с чем Литвинов живо согласился». Намекая на германских коммунистов, Шляйхер указал на их противоречивое поведение: с одной стороны, они делают вид, что борются против Версальского договора, с другой — они противодействуют любому усилению военной мощи Германии и разглашают это за границей. Литвинов по этому поводу сказал, что он считал бы вполне естественным, если бы с коммунистами в Германии обращались таким же образом, как в России имеют обыкновение обращаться с врагами государства. (sic!) Он особо отметил, что «нынешнее германское правительство более надежно и твердо, чем его предшественник. В то время как советское правительство с недоверием относилось к райхсканцлеру Папену, это не имеет место по отношению к правительству Шляйхера. Советское правительство будет неуклонно придерживаться германо-русской дружбы. Пакты о ненападении с Польшей и Францией никоим образом не направлены против Германии» (ADAP,Ser.B,Bd.XXI.S.481-482) (11784).</w:t>
      </w:r>
    </w:p>
    <w:p w14:paraId="4A6E9D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960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рождественские праздники 1932 года. начались работы над так называемой пилотируемой ракетой, или «Pilot-Rakete» («Пилот-Ракете»).</w:t>
      </w:r>
    </w:p>
    <w:p w14:paraId="675B66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Эта ракета стала последним изобретением «Общества» в «Ракетенфлюгплатц». По проекту она должна была иметь огромные для того времени размеры (высота – около 7,62 м) и мощный ракетный двигатель с тягой до 600 кг. В одном отсеке планировалось разместить кабину с пассажиром и топливные баки, а в другом – двигатели и парашют. Предполагалось, что ракета достигнет высоты 1000 м, где и будет раскрыт парашют.</w:t>
      </w:r>
    </w:p>
    <w:p w14:paraId="386FEF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 члены «Общества» решили построить ракету той же схемы, но меньших размеров: она должна была иметь в длину 4,5 м и приводиться в движение двигателем с тягой в 200 кг.</w:t>
      </w:r>
    </w:p>
    <w:p w14:paraId="394CEA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Были спроектированы и построены двигатели, а также новый испытательный стенд для тысячекилограммовых ракет. Первый запуск непилотируемого прототипа ракеты был запланирован на 9 июня 1933 года. Поблизости от Магдебурга была сооружена большая пусковая направляющая высотой 9 м.</w:t>
      </w:r>
    </w:p>
    <w:p w14:paraId="56D666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Утром назначенного дня ракету подготовили к запуску. Она начала медленно подниматься, но, прежде чем достигла верхней части направляющей, остановилась и поползла вниз. Тяга была недостаточной, но причину этого обнаружить не удалось. Следующая попытка запустить ракету сорвалась из-за течи в сальнике. Двигатель получил только четвертую часть необходимого ему топлива, ревел в течение двух минут (вместо 30 секунд), но ракета не двигалась.</w:t>
      </w:r>
    </w:p>
    <w:p w14:paraId="7A3A14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одно испытание, 13 июня, также закончилось неудачей. Когда ракета поднялась на высоту 2 м, выпал запорный винт топливного бака – ракета рухнула на землю почти без топлива.</w:t>
      </w:r>
    </w:p>
    <w:p w14:paraId="213770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Замена отдельных конструктивных элементов не помогла. Когда 29 июня ракету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66F45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Конец «Ракетенфлюгплатц»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люфтвахт», которые заявили, что это место передано им в качестве учебного плаца (11688).</w:t>
      </w:r>
    </w:p>
    <w:p w14:paraId="47A2F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427AD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5B6FD76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CA7A54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был внедрен в серию И-зет с незаконченной отладкой вооружения (6778).</w:t>
      </w:r>
    </w:p>
    <w:p w14:paraId="767D1964"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440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ЦАГИ получил двигатели для ТБ-4 (АНТ-16), но постройку закончил только к февралю 1933 (7388, 7).</w:t>
      </w:r>
    </w:p>
    <w:p w14:paraId="24F170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7DA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на ЗОК ЦАГИ пришли долгожданные моторы для ТБ-4. 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386A23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десяти.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5AD4F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372F73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Если бы этот фантастический план сбылся, в руках Сталина оказалась бы невиданная воздушная мощь. Почти триста огромных машин, по шесть тонн бомб на каждой! (12024).</w:t>
      </w:r>
    </w:p>
    <w:p w14:paraId="32656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D791DCE" w14:textId="77777777" w:rsidR="00E00287" w:rsidRPr="00E93F40" w:rsidRDefault="00E00287" w:rsidP="00E00287">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утвердили макет головного АНТ-16 (ТБ-4) с увеличенными бомбоотсеками, подвесной остекленной кабиной для бомбардира, носовой остекленной вращающейся башней и возможностью быстрой переделки в транспортный или пассажирской (7388, 10).</w:t>
      </w:r>
    </w:p>
    <w:p w14:paraId="5A79674A" w14:textId="77777777" w:rsidR="00E00287" w:rsidRPr="00E93F40" w:rsidRDefault="00E00287" w:rsidP="00E00287">
      <w:pPr>
        <w:autoSpaceDE w:val="0"/>
        <w:autoSpaceDN w:val="0"/>
        <w:adjustRightInd w:val="0"/>
        <w:spacing w:after="0" w:line="240" w:lineRule="auto"/>
        <w:jc w:val="both"/>
        <w:rPr>
          <w:rFonts w:ascii="Times New Roman" w:hAnsi="Times New Roman"/>
          <w:color w:val="000000" w:themeColor="text1"/>
          <w:sz w:val="16"/>
          <w:szCs w:val="16"/>
        </w:rPr>
      </w:pPr>
    </w:p>
    <w:p w14:paraId="7E7C5AAB" w14:textId="77777777" w:rsidR="00E00287" w:rsidRPr="00142305" w:rsidRDefault="00E00287" w:rsidP="00E0028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1932 г. на ЗОК ЦАГИ при</w:t>
      </w:r>
      <w:r w:rsidRPr="00142305">
        <w:rPr>
          <w:rFonts w:ascii="Times New Roman" w:hAnsi="Times New Roman"/>
          <w:color w:val="0070C0"/>
          <w:sz w:val="16"/>
          <w:szCs w:val="16"/>
        </w:rPr>
        <w:softHyphen/>
        <w:t>шли долгожданные моторы для АНТ-16. И тут конструкторов постигло новое разочарование. Се</w:t>
      </w:r>
      <w:r w:rsidRPr="00142305">
        <w:rPr>
          <w:rFonts w:ascii="Times New Roman" w:hAnsi="Times New Roman"/>
          <w:color w:val="0070C0"/>
          <w:sz w:val="16"/>
          <w:szCs w:val="16"/>
        </w:rPr>
        <w:softHyphen/>
        <w:t>рийные М-34 по габаритам и посадочным местам сущест</w:t>
      </w:r>
      <w:r w:rsidRPr="00142305">
        <w:rPr>
          <w:rFonts w:ascii="Times New Roman" w:hAnsi="Times New Roman"/>
          <w:color w:val="0070C0"/>
          <w:sz w:val="16"/>
          <w:szCs w:val="16"/>
        </w:rPr>
        <w:softHyphen/>
        <w:t>венно отличались от опытного образца, по чертежам кото</w:t>
      </w:r>
      <w:r w:rsidRPr="00142305">
        <w:rPr>
          <w:rFonts w:ascii="Times New Roman" w:hAnsi="Times New Roman"/>
          <w:color w:val="0070C0"/>
          <w:sz w:val="16"/>
          <w:szCs w:val="16"/>
        </w:rPr>
        <w:softHyphen/>
        <w:t>рого проектировали мотоустановку самолета. Последовал очередной этап переделки чертежей, а кое-где и уже гото</w:t>
      </w:r>
      <w:r w:rsidRPr="00142305">
        <w:rPr>
          <w:rFonts w:ascii="Times New Roman" w:hAnsi="Times New Roman"/>
          <w:color w:val="0070C0"/>
          <w:sz w:val="16"/>
          <w:szCs w:val="16"/>
        </w:rPr>
        <w:softHyphen/>
        <w:t>вых узлов (24977).</w:t>
      </w:r>
    </w:p>
    <w:p w14:paraId="03AF5BB2" w14:textId="77777777" w:rsidR="00E00287" w:rsidRPr="00142305" w:rsidRDefault="00E00287" w:rsidP="00E00287">
      <w:pPr>
        <w:spacing w:after="0" w:line="240" w:lineRule="auto"/>
        <w:jc w:val="both"/>
        <w:rPr>
          <w:rFonts w:ascii="Times New Roman" w:hAnsi="Times New Roman"/>
          <w:color w:val="0070C0"/>
          <w:sz w:val="16"/>
          <w:szCs w:val="16"/>
        </w:rPr>
      </w:pPr>
    </w:p>
    <w:p w14:paraId="041831D5" w14:textId="77777777" w:rsidR="00E00287" w:rsidRPr="00142305" w:rsidRDefault="00E00287" w:rsidP="00E0028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1932 г. двигатели М-34 устано</w:t>
      </w:r>
      <w:r w:rsidRPr="00142305">
        <w:rPr>
          <w:rFonts w:ascii="Times New Roman" w:hAnsi="Times New Roman"/>
          <w:color w:val="0070C0"/>
          <w:sz w:val="16"/>
          <w:szCs w:val="16"/>
        </w:rPr>
        <w:softHyphen/>
        <w:t>вили на ТБ-3 № 22221. Заводские испы</w:t>
      </w:r>
      <w:r w:rsidRPr="00142305">
        <w:rPr>
          <w:rFonts w:ascii="Times New Roman" w:hAnsi="Times New Roman"/>
          <w:color w:val="0070C0"/>
          <w:sz w:val="16"/>
          <w:szCs w:val="16"/>
        </w:rPr>
        <w:softHyphen/>
        <w:t>тания начались 8 марта следующего года (первый полет длился всего восемь минут), а 29 мая эта машина потерпела аварию на взлете. Техник Коваленков потом давал показания: «Самолет пошел очень тяжело и с трудом начал отделяться от земли...». Летчик М.М. Громов понял, что через ангар не перетянуть, убрал газ и начал разворачиваться влево, чтобы не налететь на стоянку машин ГВФ Бомбардировщик завалился вниз и встал на нос.</w:t>
      </w:r>
    </w:p>
    <w:p w14:paraId="2F3C76DF" w14:textId="77777777" w:rsidR="00E00287" w:rsidRPr="00142305" w:rsidRDefault="00E00287" w:rsidP="00E0028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продолжили на другом переоборудованном бомбардировщике, № 22201. Реальный прирост скорости оказался невелик - около 10 км/ч. Расход горючего при этом изрядно возрос, а зна</w:t>
      </w:r>
      <w:r w:rsidRPr="00142305">
        <w:rPr>
          <w:rFonts w:ascii="Times New Roman" w:hAnsi="Times New Roman"/>
          <w:color w:val="0070C0"/>
          <w:sz w:val="16"/>
          <w:szCs w:val="16"/>
        </w:rPr>
        <w:softHyphen/>
        <w:t>чит, уменьшилась дальность.</w:t>
      </w:r>
    </w:p>
    <w:p w14:paraId="3DA90F38" w14:textId="77777777" w:rsidR="00E00287" w:rsidRPr="00142305" w:rsidRDefault="00E00287" w:rsidP="00E0028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заводе № 22 заложили серию из десяти самолетов с М-34 (№№ 22201 - 22210). Два из них (№ 22203 и № 22204) 27 сентября передали на государственные испытания. Там машины летали с винтами трех типов Лучшим оказался взятый от ТБ-4 пропеллер диаметром 3,18 м. У зем</w:t>
      </w:r>
      <w:r w:rsidRPr="00142305">
        <w:rPr>
          <w:rFonts w:ascii="Times New Roman" w:hAnsi="Times New Roman"/>
          <w:color w:val="0070C0"/>
          <w:sz w:val="16"/>
          <w:szCs w:val="16"/>
        </w:rPr>
        <w:softHyphen/>
        <w:t>ли скорость поднялась по сравнению с серийным бомбардировщиком с М-17 на 25,7 км/ч, на высоте 3000 м - на 8 км/ч, не</w:t>
      </w:r>
      <w:r w:rsidRPr="00142305">
        <w:rPr>
          <w:rFonts w:ascii="Times New Roman" w:hAnsi="Times New Roman"/>
          <w:color w:val="0070C0"/>
          <w:sz w:val="16"/>
          <w:szCs w:val="16"/>
        </w:rPr>
        <w:softHyphen/>
        <w:t>смотря на рост веса на 900 кг. Улучшилась и скороподъемность. Однако резко возрос расход масла. В НИИ ВВС решили, что прирост характеристик невелик, и для тихо</w:t>
      </w:r>
      <w:r w:rsidRPr="00142305">
        <w:rPr>
          <w:rFonts w:ascii="Times New Roman" w:hAnsi="Times New Roman"/>
          <w:color w:val="0070C0"/>
          <w:sz w:val="16"/>
          <w:szCs w:val="16"/>
        </w:rPr>
        <w:softHyphen/>
        <w:t>ходного ТБ-3 выгоднее станут готовящиеся редукторные М-34Р, позволявшие поднять КПД винта при малых скоростях полета.</w:t>
      </w:r>
    </w:p>
    <w:p w14:paraId="19B9B8C1" w14:textId="77777777" w:rsidR="00E00287" w:rsidRPr="00142305" w:rsidRDefault="00E00287" w:rsidP="00E0028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М-34 все-таки внедрили на серийных бомбардировщиках завода № 22, поскольку это давало некоторое улучшение взлетных характеристик и позволяло освоить новую мотоустановку. Двигатели получили новые, более обтекаемые, капоты и радиаторы, перемещенные назад. Из новшеств поя</w:t>
      </w:r>
      <w:r w:rsidRPr="00142305">
        <w:rPr>
          <w:rFonts w:ascii="Times New Roman" w:hAnsi="Times New Roman"/>
          <w:color w:val="0070C0"/>
          <w:sz w:val="16"/>
          <w:szCs w:val="16"/>
        </w:rPr>
        <w:softHyphen/>
        <w:t>вилось также калориферное отопление кабин: тепло забирали от выхлопных кол</w:t>
      </w:r>
      <w:r w:rsidRPr="00142305">
        <w:rPr>
          <w:rFonts w:ascii="Times New Roman" w:hAnsi="Times New Roman"/>
          <w:color w:val="0070C0"/>
          <w:sz w:val="16"/>
          <w:szCs w:val="16"/>
        </w:rPr>
        <w:softHyphen/>
        <w:t>лекторов двигателей. Винты оставались деревянными двухлопастными, диаметром 3,18 м.</w:t>
      </w:r>
    </w:p>
    <w:p w14:paraId="04F17CB0" w14:textId="77777777" w:rsidR="00E00287" w:rsidRPr="00142305" w:rsidRDefault="00E00287" w:rsidP="00E0028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Самолеты с М-34 стали почти на тонну тяжелее - больший вес имели сами мо</w:t>
      </w:r>
      <w:r w:rsidRPr="00142305">
        <w:rPr>
          <w:rFonts w:ascii="Times New Roman" w:hAnsi="Times New Roman"/>
          <w:color w:val="0070C0"/>
          <w:sz w:val="16"/>
          <w:szCs w:val="16"/>
        </w:rPr>
        <w:softHyphen/>
        <w:t>торы, почти вдвое увеличилась емкость маслобаков, в полтора раза стало больше воды в системе охлаждения. Бомбовое и стрелковое вооружение оставалось иден</w:t>
      </w:r>
      <w:r w:rsidRPr="00142305">
        <w:rPr>
          <w:rFonts w:ascii="Times New Roman" w:hAnsi="Times New Roman"/>
          <w:color w:val="0070C0"/>
          <w:sz w:val="16"/>
          <w:szCs w:val="16"/>
        </w:rPr>
        <w:softHyphen/>
        <w:t>тичным самолетам с М-17. Только послед</w:t>
      </w:r>
      <w:r w:rsidRPr="00142305">
        <w:rPr>
          <w:rFonts w:ascii="Times New Roman" w:hAnsi="Times New Roman"/>
          <w:color w:val="0070C0"/>
          <w:sz w:val="16"/>
          <w:szCs w:val="16"/>
        </w:rPr>
        <w:softHyphen/>
        <w:t>ние серии, с бомбардировщика № 22386, лишились подкрыльных выпускных башен.</w:t>
      </w:r>
    </w:p>
    <w:p w14:paraId="3F4924BC" w14:textId="77777777" w:rsidR="00E00287" w:rsidRPr="00142305" w:rsidRDefault="00E00287" w:rsidP="00E0028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Их заменили установкой в люке фюзеляжа для стрельбы вниз-назад с двумя гнездами для шкворней, но только одним пулеметом ДА с шестью дисками (24937).</w:t>
      </w:r>
    </w:p>
    <w:p w14:paraId="74130DFF" w14:textId="77777777" w:rsidR="00E00287" w:rsidRPr="00142305" w:rsidRDefault="00E00287" w:rsidP="00E00287">
      <w:pPr>
        <w:spacing w:after="0" w:line="240" w:lineRule="auto"/>
        <w:jc w:val="both"/>
        <w:rPr>
          <w:rFonts w:ascii="Times New Roman" w:hAnsi="Times New Roman"/>
          <w:color w:val="0070C0"/>
          <w:sz w:val="16"/>
          <w:szCs w:val="16"/>
        </w:rPr>
      </w:pPr>
    </w:p>
    <w:p w14:paraId="59E953AF"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испытывали серийный эталон 1933 ТБ-3 (АНТ-6) с М-17 (437,103).</w:t>
      </w:r>
    </w:p>
    <w:p w14:paraId="673C474D"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p>
    <w:p w14:paraId="0E882FF0"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самолет ТБ3-4М34 был выведен на аэродром (3530,70-86).</w:t>
      </w:r>
    </w:p>
    <w:p w14:paraId="19A3D14C"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p>
    <w:p w14:paraId="3CA1128C"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ТБ-3 4М-34РН с моторами без редукторов и нагнетателей был переброшен на аэродром. первые пробы мотора обнаружили неполадки в моторном хозяйстве (2310,143).</w:t>
      </w:r>
    </w:p>
    <w:p w14:paraId="0A5158B5"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p>
    <w:p w14:paraId="0683845A"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декабря 1932 г. Поврежденный упавшим двигателем ТБ-5 находился на аэродроме 22-го завода Ремонтом его не занимались, Григорович полностью переключился на истребители с ДРП, других хозяев у машины не наблюда</w:t>
      </w:r>
      <w:r w:rsidRPr="00E93F40">
        <w:rPr>
          <w:rFonts w:ascii="Times New Roman" w:hAnsi="Times New Roman"/>
          <w:color w:val="000000" w:themeColor="text1"/>
          <w:sz w:val="16"/>
          <w:szCs w:val="16"/>
        </w:rPr>
        <w:softHyphen/>
        <w:t>лось. Считалось, что ТБ-5 должны далее заниматься представители ЦАГИ, так как согласно принятому разделению именно они теперь специализировались по тяжелым бомбардировщикам. Лучшего способа уничтожения конкурента, хотя и аварийного, придумать было нельзя. Дело в том, что в 1931 г., практически одновре</w:t>
      </w:r>
      <w:r w:rsidRPr="00E93F40">
        <w:rPr>
          <w:rFonts w:ascii="Times New Roman" w:hAnsi="Times New Roman"/>
          <w:color w:val="000000" w:themeColor="text1"/>
          <w:sz w:val="16"/>
          <w:szCs w:val="16"/>
        </w:rPr>
        <w:softHyphen/>
        <w:t>менно с ТБ-5 начал летать пассажирский самолет АНТ-14. Этот пятимоторный гигант, спроектированный и построенный ЦАГИ благодаря использованию крыла и других элементов от ТБ-3 всего за год, рассчи</w:t>
      </w:r>
      <w:r w:rsidRPr="00E93F40">
        <w:rPr>
          <w:rFonts w:ascii="Times New Roman" w:hAnsi="Times New Roman"/>
          <w:color w:val="000000" w:themeColor="text1"/>
          <w:sz w:val="16"/>
          <w:szCs w:val="16"/>
        </w:rPr>
        <w:softHyphen/>
        <w:t>тывался и для военных целей. Военным нравится схема высокоплана с большим вместительным фюзеляжем? Пожалуйста! В милитаризированном варианте АНТ-14 (ТБ-Х) вместо фюзеляжного двигателя устанавливалась носовая турель с пушкой «Эрликон», для работы штурмана оборудо</w:t>
      </w:r>
      <w:r w:rsidRPr="00E93F40">
        <w:rPr>
          <w:rFonts w:ascii="Times New Roman" w:hAnsi="Times New Roman"/>
          <w:color w:val="000000" w:themeColor="text1"/>
          <w:sz w:val="16"/>
          <w:szCs w:val="16"/>
        </w:rPr>
        <w:softHyphen/>
        <w:t>валась специальная застекленная кабина под фюзеляжем. Бомбы, даже самые крупные, размещались внутри фюзеляжа. Военный АНТ-14 во многом устраивал ВВС, однако в производстве он оказался даже более трудоемким, чем ТБ-3. Именно поэтому в конце 1932 г. состоялась еще одна попытка возвращения к ТБ-5.</w:t>
      </w:r>
    </w:p>
    <w:p w14:paraId="7E792AB0"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характеристики опытного бомбардировщика ТБ-5</w:t>
      </w:r>
    </w:p>
    <w:p w14:paraId="09679269" w14:textId="77777777" w:rsidR="00A634CB" w:rsidRPr="00E93F40" w:rsidRDefault="00A634CB" w:rsidP="00E93F40">
      <w:pPr>
        <w:tabs>
          <w:tab w:val="right" w:leader="dot" w:pos="314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в линии полета, м</w:t>
      </w:r>
      <w:r w:rsidRPr="00E93F40">
        <w:rPr>
          <w:rFonts w:ascii="Times New Roman" w:hAnsi="Times New Roman"/>
          <w:color w:val="000000" w:themeColor="text1"/>
          <w:sz w:val="16"/>
          <w:szCs w:val="16"/>
        </w:rPr>
        <w:tab/>
        <w:t>22,1</w:t>
      </w:r>
    </w:p>
    <w:p w14:paraId="65686BFB" w14:textId="77777777" w:rsidR="00A634CB" w:rsidRPr="00E93F40" w:rsidRDefault="00A634CB" w:rsidP="00E93F40">
      <w:pPr>
        <w:tabs>
          <w:tab w:val="right" w:leader="dot" w:pos="314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Размах, м</w:t>
      </w:r>
      <w:r w:rsidRPr="00E93F40">
        <w:rPr>
          <w:rFonts w:ascii="Times New Roman" w:hAnsi="Times New Roman"/>
          <w:color w:val="000000" w:themeColor="text1"/>
          <w:sz w:val="16"/>
          <w:szCs w:val="16"/>
        </w:rPr>
        <w:tab/>
        <w:t>31,0</w:t>
      </w:r>
    </w:p>
    <w:p w14:paraId="720371F8" w14:textId="77777777" w:rsidR="00A634CB" w:rsidRPr="00E93F40" w:rsidRDefault="00A634CB" w:rsidP="00E93F40">
      <w:pPr>
        <w:tabs>
          <w:tab w:val="right" w:leader="dot" w:pos="314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Полетный вес с 500 кг бомб, кг</w:t>
      </w:r>
      <w:r w:rsidRPr="00E93F40">
        <w:rPr>
          <w:rFonts w:ascii="Times New Roman" w:hAnsi="Times New Roman"/>
          <w:color w:val="000000" w:themeColor="text1"/>
          <w:sz w:val="16"/>
          <w:szCs w:val="16"/>
        </w:rPr>
        <w:tab/>
        <w:t>12060</w:t>
      </w:r>
    </w:p>
    <w:p w14:paraId="0938259E" w14:textId="77777777" w:rsidR="00A634CB" w:rsidRPr="00E93F40" w:rsidRDefault="00A634CB" w:rsidP="00E93F40">
      <w:pPr>
        <w:tabs>
          <w:tab w:val="right" w:leader="dot" w:pos="314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максимальная у земли, км/ч</w:t>
      </w:r>
      <w:r w:rsidRPr="00E93F40">
        <w:rPr>
          <w:rFonts w:ascii="Times New Roman" w:hAnsi="Times New Roman"/>
          <w:color w:val="000000" w:themeColor="text1"/>
          <w:sz w:val="16"/>
          <w:szCs w:val="16"/>
        </w:rPr>
        <w:tab/>
        <w:t>180</w:t>
      </w:r>
    </w:p>
    <w:p w14:paraId="4A07CEE0" w14:textId="77777777" w:rsidR="00A634CB" w:rsidRPr="00E93F40" w:rsidRDefault="00A634CB" w:rsidP="00E93F40">
      <w:pPr>
        <w:tabs>
          <w:tab w:val="right" w:leader="dot" w:pos="3143"/>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r w:rsidRPr="00E93F40">
        <w:rPr>
          <w:rFonts w:ascii="Times New Roman" w:hAnsi="Times New Roman"/>
          <w:color w:val="000000" w:themeColor="text1"/>
          <w:sz w:val="16"/>
          <w:szCs w:val="16"/>
        </w:rPr>
        <w:tab/>
        <w:t>3500</w:t>
      </w:r>
    </w:p>
    <w:p w14:paraId="28985539"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разбега, м</w:t>
      </w:r>
      <w:r w:rsidRPr="00E93F40">
        <w:rPr>
          <w:rFonts w:ascii="Times New Roman" w:hAnsi="Times New Roman"/>
          <w:color w:val="000000" w:themeColor="text1"/>
          <w:sz w:val="16"/>
          <w:szCs w:val="16"/>
        </w:rPr>
        <w:tab/>
        <w:t>400—420</w:t>
      </w:r>
    </w:p>
    <w:p w14:paraId="770A2A1F"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полета максимальная, км</w:t>
      </w:r>
      <w:r w:rsidRPr="00E93F40">
        <w:rPr>
          <w:rFonts w:ascii="Times New Roman" w:hAnsi="Times New Roman"/>
          <w:color w:val="000000" w:themeColor="text1"/>
          <w:sz w:val="16"/>
          <w:szCs w:val="16"/>
        </w:rPr>
        <w:tab/>
        <w:t>2100 (12611).</w:t>
      </w:r>
    </w:p>
    <w:p w14:paraId="5BFECCDD" w14:textId="77777777" w:rsidR="00A634CB" w:rsidRPr="00E93F40" w:rsidRDefault="00A634CB" w:rsidP="00E93F40">
      <w:pPr>
        <w:spacing w:after="0" w:line="240" w:lineRule="auto"/>
        <w:jc w:val="both"/>
        <w:rPr>
          <w:rFonts w:ascii="Times New Roman" w:hAnsi="Times New Roman"/>
          <w:color w:val="000000" w:themeColor="text1"/>
          <w:sz w:val="16"/>
          <w:szCs w:val="16"/>
        </w:rPr>
      </w:pPr>
    </w:p>
    <w:p w14:paraId="681C6E21"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1932 г. по результатам государственных испытаний самолетов трех Р-6 без выдвижной подфюзеляжной башни, был сделан вывод, что по своим летным качествам самолет может быть использован как «воздушный крейсер», дальний разведчик и бомбардировщик. Кроме того, военные специалисты предложили ЦАГИ изучить возможность использования МР-6 в качестве низковысотного торпедоносца, сбрасывающего торпеды образца 1912 и 1927 гг. с высоты 5-20 м при скорости 130 км/ч (25241).</w:t>
      </w:r>
    </w:p>
    <w:p w14:paraId="25B9C6D9" w14:textId="77777777" w:rsidR="00745B62" w:rsidRPr="00142305" w:rsidRDefault="00745B62" w:rsidP="00745B62">
      <w:pPr>
        <w:spacing w:after="0" w:line="240" w:lineRule="auto"/>
        <w:jc w:val="both"/>
        <w:rPr>
          <w:rFonts w:ascii="Times New Roman" w:hAnsi="Times New Roman"/>
          <w:color w:val="0070C0"/>
          <w:sz w:val="16"/>
          <w:szCs w:val="16"/>
        </w:rPr>
      </w:pPr>
    </w:p>
    <w:p w14:paraId="59061F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прервали ведущиеся с 19 октября 1932 испытания модифицированного в БОК ЦАГИ БИЧ-7 - БИЧ-7А. Летал Н.П.Благов 25 мин. Пилотажные свойства - улучшились. Выполнили 15 полетов продолжительностью 8:05. Люцифер 100 нр не годился, вибрировал и в мотораме появились трещины. Полеты прекратили (2544,53).</w:t>
      </w:r>
    </w:p>
    <w:p w14:paraId="5AFF4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3E80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утвердили ТТТ на будущий И-14. Скорость - 375-400 км/ч. Проблема выбора двигателя не была еще решена (80,147).</w:t>
      </w:r>
    </w:p>
    <w:p w14:paraId="6BE57F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DA8E74"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У В ВС утвердило ТТТ на пушечный истребитель И—14 и передал задание ЦАГИ. В КБ он получил «фирменное» обо</w:t>
      </w:r>
      <w:r w:rsidRPr="00E93F40">
        <w:rPr>
          <w:rFonts w:ascii="Times New Roman" w:hAnsi="Times New Roman"/>
          <w:color w:val="000000" w:themeColor="text1"/>
          <w:sz w:val="16"/>
          <w:szCs w:val="16"/>
        </w:rPr>
        <w:softHyphen/>
        <w:t>значение АНТ—31. Согласно требованиям военных машина должна была иметь: максимальную скорость</w:t>
      </w:r>
    </w:p>
    <w:p w14:paraId="4297AFAA"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высоте 5000 м</w:t>
      </w:r>
      <w:r w:rsidRPr="00E93F40">
        <w:rPr>
          <w:rFonts w:ascii="Times New Roman" w:hAnsi="Times New Roman"/>
          <w:color w:val="000000" w:themeColor="text1"/>
          <w:sz w:val="16"/>
          <w:szCs w:val="16"/>
        </w:rPr>
        <w:tab/>
        <w:t>375—400 км/ч</w:t>
      </w:r>
    </w:p>
    <w:p w14:paraId="503AD716"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набора высоты 5000 м 7—8 мин практический потолок</w:t>
      </w:r>
      <w:r w:rsidRPr="00E93F40">
        <w:rPr>
          <w:rFonts w:ascii="Times New Roman" w:hAnsi="Times New Roman"/>
          <w:color w:val="000000" w:themeColor="text1"/>
          <w:sz w:val="16"/>
          <w:szCs w:val="16"/>
        </w:rPr>
        <w:tab/>
        <w:t>9000—10000 м</w:t>
      </w:r>
    </w:p>
    <w:p w14:paraId="7C5A4805"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радиус действия не менее</w:t>
      </w:r>
      <w:r w:rsidRPr="00E93F40">
        <w:rPr>
          <w:rFonts w:ascii="Times New Roman" w:hAnsi="Times New Roman"/>
          <w:color w:val="000000" w:themeColor="text1"/>
          <w:sz w:val="16"/>
          <w:szCs w:val="16"/>
        </w:rPr>
        <w:tab/>
        <w:t>250 км</w:t>
      </w:r>
    </w:p>
    <w:p w14:paraId="2E89F0A3"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 Туполев остановился на схеме моноплана, считая, что настало время для ее применения на истребителях. Было и другое новшество — И—14 стал первым советским истребителем с убирающимся в полете шасси. Конструкция, по устано</w:t>
      </w:r>
      <w:r w:rsidRPr="00E93F40">
        <w:rPr>
          <w:rFonts w:ascii="Times New Roman" w:hAnsi="Times New Roman"/>
          <w:color w:val="000000" w:themeColor="text1"/>
          <w:sz w:val="16"/>
          <w:szCs w:val="16"/>
        </w:rPr>
        <w:softHyphen/>
        <w:t>вившейся в КБ традиции, была цельно</w:t>
      </w:r>
      <w:r w:rsidRPr="00E93F40">
        <w:rPr>
          <w:rFonts w:ascii="Times New Roman" w:hAnsi="Times New Roman"/>
          <w:color w:val="000000" w:themeColor="text1"/>
          <w:sz w:val="16"/>
          <w:szCs w:val="16"/>
        </w:rPr>
        <w:softHyphen/>
        <w:t>металлической. Ведущим инженером по самолету назначили П.О. Сухого. Большие трудности возникли при выборе подходя</w:t>
      </w:r>
      <w:r w:rsidRPr="00E93F40">
        <w:rPr>
          <w:rFonts w:ascii="Times New Roman" w:hAnsi="Times New Roman"/>
          <w:color w:val="000000" w:themeColor="text1"/>
          <w:sz w:val="16"/>
          <w:szCs w:val="16"/>
        </w:rPr>
        <w:softHyphen/>
        <w:t>щего мотора. На первую машину решили установить английский высотный двига</w:t>
      </w:r>
      <w:r w:rsidRPr="00E93F40">
        <w:rPr>
          <w:rFonts w:ascii="Times New Roman" w:hAnsi="Times New Roman"/>
          <w:color w:val="000000" w:themeColor="text1"/>
          <w:sz w:val="16"/>
          <w:szCs w:val="16"/>
        </w:rPr>
        <w:softHyphen/>
        <w:t>тель Bristol Mercury IV воздушного ох</w:t>
      </w:r>
      <w:r w:rsidRPr="00E93F40">
        <w:rPr>
          <w:rFonts w:ascii="Times New Roman" w:hAnsi="Times New Roman"/>
          <w:color w:val="000000" w:themeColor="text1"/>
          <w:sz w:val="16"/>
          <w:szCs w:val="16"/>
        </w:rPr>
        <w:softHyphen/>
        <w:t>лаждения. Вооружение включало пулемет ПВ—1, стрелявший через винт, и две пушки АПК (с обшим боезапасом 50 сна</w:t>
      </w:r>
      <w:r w:rsidRPr="00E93F40">
        <w:rPr>
          <w:rFonts w:ascii="Times New Roman" w:hAnsi="Times New Roman"/>
          <w:color w:val="000000" w:themeColor="text1"/>
          <w:sz w:val="16"/>
          <w:szCs w:val="16"/>
        </w:rPr>
        <w:softHyphen/>
        <w:t>рядов) в крыле, вне диска винта. Фонарь кабины был закрытым, основные стойки шасси имели масляно-воздушную амор</w:t>
      </w:r>
      <w:r w:rsidRPr="00E93F40">
        <w:rPr>
          <w:rFonts w:ascii="Times New Roman" w:hAnsi="Times New Roman"/>
          <w:color w:val="000000" w:themeColor="text1"/>
          <w:sz w:val="16"/>
          <w:szCs w:val="16"/>
        </w:rPr>
        <w:softHyphen/>
        <w:t>тизацию, а колеса — тормоза. Удельная нагрузка на крыло в полтора раза превышала тот же параметр истребителя И—15, что сулило существенное увеличение скорости. Однако обшивку крыла и опе</w:t>
      </w:r>
      <w:r w:rsidRPr="00E93F40">
        <w:rPr>
          <w:rFonts w:ascii="Times New Roman" w:hAnsi="Times New Roman"/>
          <w:color w:val="000000" w:themeColor="text1"/>
          <w:sz w:val="16"/>
          <w:szCs w:val="16"/>
        </w:rPr>
        <w:softHyphen/>
        <w:t>рения сделали гофрированной, поскольку опыта проектирования и расчета гладкой металлической обшивки еще не было.</w:t>
      </w:r>
    </w:p>
    <w:p w14:paraId="7CE16AC3"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Проектирование АНТ—31 вела бригада П.О.Сухого.</w:t>
      </w:r>
    </w:p>
    <w:p w14:paraId="6EC9BAF7"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1933 г. первая опытная машина была построена (23474).</w:t>
      </w:r>
    </w:p>
    <w:p w14:paraId="4C1686F2" w14:textId="77777777" w:rsidR="00F22C1F" w:rsidRPr="00E93F40" w:rsidRDefault="00F22C1F" w:rsidP="00E93F40">
      <w:pPr>
        <w:spacing w:after="0" w:line="240" w:lineRule="auto"/>
        <w:jc w:val="both"/>
        <w:rPr>
          <w:rFonts w:ascii="Times New Roman" w:hAnsi="Times New Roman"/>
          <w:color w:val="000000" w:themeColor="text1"/>
          <w:sz w:val="16"/>
          <w:szCs w:val="16"/>
        </w:rPr>
      </w:pPr>
    </w:p>
    <w:p w14:paraId="5E66DA62" w14:textId="77777777" w:rsidR="007F7C1A" w:rsidRPr="00E93F40" w:rsidRDefault="007F7C1A" w:rsidP="00E93F40">
      <w:pPr>
        <w:pStyle w:val="rtejustify"/>
        <w:shd w:val="clear" w:color="auto" w:fill="FFFFFF"/>
        <w:spacing w:before="0" w:after="0"/>
        <w:rPr>
          <w:color w:val="000000" w:themeColor="text1"/>
          <w:sz w:val="16"/>
          <w:szCs w:val="16"/>
        </w:rPr>
      </w:pPr>
      <w:r w:rsidRPr="00E93F40">
        <w:rPr>
          <w:color w:val="000000" w:themeColor="text1"/>
          <w:sz w:val="16"/>
          <w:szCs w:val="16"/>
        </w:rPr>
        <w:t xml:space="preserve">В декабре 1932 года начальник ОЭЛИД ЦАГИ Е. К. Стоман составил сводку по испытаниям самолета И-12, из которой следует, что самолет, находясь на испытаниях с 29 августа 1931 года по 28 сентября 1932 года, выполнил 21 полет общей продолжительностью 8 часов 59 минут. В процессе испытаний проведено множество доработок и переделок самолета. При последних полетах выявилась необходимость усиления крепления стыков газоотводящих труб с последующим проведением </w:t>
      </w:r>
      <w:r w:rsidRPr="00E93F40">
        <w:rPr>
          <w:color w:val="000000" w:themeColor="text1"/>
          <w:sz w:val="16"/>
          <w:szCs w:val="16"/>
        </w:rPr>
        <w:lastRenderedPageBreak/>
        <w:t>полных испытаний пушек. Самолет был разобран – двигатели и консоли крыла сданы на склад, а центроплан с кабиной, пушками и хвостовым оперением отправлен на завод №8 для доводки (АПК-4) (19172).</w:t>
      </w:r>
    </w:p>
    <w:p w14:paraId="2AD4DC1C" w14:textId="77777777" w:rsidR="007F7C1A" w:rsidRPr="00E93F40" w:rsidRDefault="007F7C1A" w:rsidP="00E93F40">
      <w:pPr>
        <w:pStyle w:val="rtejustify"/>
        <w:shd w:val="clear" w:color="auto" w:fill="FFFFFF"/>
        <w:spacing w:before="0" w:after="0"/>
        <w:rPr>
          <w:color w:val="000000" w:themeColor="text1"/>
          <w:sz w:val="16"/>
          <w:szCs w:val="16"/>
        </w:rPr>
      </w:pPr>
    </w:p>
    <w:p w14:paraId="430CF7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прошло совещание в УВВС под председательством Нач. ВВС Я.И.А. по поводу И-14, на котором приняли два важных решения: определили основную тактическую функцию И-14 - истребитель-перехватчик, ориентированный на максимальную скорость, и дополнили пулеметное вооружение 2хДРП. Одновременно был предложен другой тип двигателя - РЦ SR-1820-F2 вместо Бристоля IVS-2 Mercury (4020,10).</w:t>
      </w:r>
    </w:p>
    <w:p w14:paraId="63797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E0C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ВВС РККА выдали авиационной промышленности "Технические требования к одноместному пушечному истребителю И-14 под мотор М-38 600 л.с. или М-58" ( допускалось на опытном экземпляре установить мотор Бристоль "Меркурий" IV (или "Меркюр", как он назван в документах той поры). Ог оваривалось, что самолет с полезной нагрузкой массой 248 кг (в ее состав входил летчик, две пушки типа АПКП, 50 снарядов к ним, оптический и кольцевой прицелы, радиостанция 15СК, электрооборудование, аэронавигационные приборы, кислородный прибор и даже ручка управления самолетом) и запасом ГСМ должен иметь тактический радиус действия 250 км на боевой высоте и развивать максимальную скорость 370-400 км/ч в горизонтальном полете на высоте 5000 м. Устанавливался практический потолок 9000- 10 000 м и время набора высоты 5000 м, равное 7-8 мин. Посадочную скорость ограничивали 90-108 км/ч,</w:t>
      </w:r>
    </w:p>
    <w:p w14:paraId="37FA9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Особо оговаривалась маневренность - виражи на высоте 1000 м И-14 должен был выполнять не более чем за 9 с, а "восьмерку" - за 19 с. Пункт 9 гласил: "Самолет не должен входить в штопор даже при сознательном вводе в него", пункт 18 - "Ни при каких режимах полета не должны возникать вибрации оперения и крыльев".</w:t>
      </w:r>
    </w:p>
    <w:p w14:paraId="23EC6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-14 должен был иметь удельную нагрузку на крыло, равную 81 кг/кв. м, И-15 - 61 кг/кв. м, соответственно различалась максимальная скорость - 360 км/ч и 325 км/ч (12037).</w:t>
      </w:r>
    </w:p>
    <w:p w14:paraId="3FF169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6DEF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поступили уточненные тактико-технические требования ВВС к ДИП. 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 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 (12091).</w:t>
      </w:r>
    </w:p>
    <w:p w14:paraId="337C5E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9DF6FC" w14:textId="77777777" w:rsidR="00745B62" w:rsidRPr="00142305" w:rsidRDefault="00745B62" w:rsidP="00745B6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декабре 1932 г. были получены уточненные тактико-технические требования ВВС и началась разработка ДИПа.</w:t>
      </w:r>
    </w:p>
    <w:p w14:paraId="7118ED99"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велась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w:t>
      </w:r>
      <w:r w:rsidRPr="00142305">
        <w:rPr>
          <w:rStyle w:val="aff"/>
          <w:rFonts w:ascii="Times New Roman" w:hAnsi="Times New Roman" w:cs="Times New Roman"/>
          <w:color w:val="0070C0"/>
          <w:spacing w:val="0"/>
          <w:sz w:val="16"/>
          <w:szCs w:val="16"/>
        </w:rPr>
        <w:softHyphen/>
        <w:t>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645FEE6E"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w:t>
      </w:r>
    </w:p>
    <w:p w14:paraId="4F4AE8DF" w14:textId="77777777" w:rsidR="00745B62" w:rsidRPr="00142305" w:rsidRDefault="00745B62" w:rsidP="00745B6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Хотя ДИП строился как приоритетная машина, постройка затянулась, поэтому полетел он позднее самолета СБ (АНТ-40) (25213).</w:t>
      </w:r>
    </w:p>
    <w:p w14:paraId="07D496F8" w14:textId="77777777" w:rsidR="00745B62" w:rsidRPr="00142305" w:rsidRDefault="00745B62" w:rsidP="00745B62">
      <w:pPr>
        <w:spacing w:after="0" w:line="240" w:lineRule="auto"/>
        <w:jc w:val="both"/>
        <w:rPr>
          <w:rFonts w:ascii="Times New Roman" w:hAnsi="Times New Roman"/>
          <w:color w:val="0070C0"/>
          <w:sz w:val="16"/>
          <w:szCs w:val="16"/>
        </w:rPr>
      </w:pPr>
    </w:p>
    <w:p w14:paraId="453C3221"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начальником ОЭЛИД ЦАГИ Е.К. Стоманом была составлена сводка по испытаниям самолёта И-12, из которой следует, что самолёт, находясь на испытаниях с 29 августа 1931 г. по 28 сентября 1932 г., выполнил 21 полёт, общей продолжительностью 8 час 59 мин. В процессе испытаний проведено множество доработок и переделок самолёта. При последних полётах выявилась необходимость усиле</w:t>
      </w:r>
      <w:r w:rsidRPr="00E93F40">
        <w:rPr>
          <w:rFonts w:ascii="Times New Roman" w:hAnsi="Times New Roman"/>
          <w:color w:val="000000" w:themeColor="text1"/>
          <w:sz w:val="16"/>
          <w:szCs w:val="16"/>
        </w:rPr>
        <w:softHyphen/>
        <w:t>ния крепления стыков газоотводящих труб, с последую</w:t>
      </w:r>
      <w:r w:rsidRPr="00E93F40">
        <w:rPr>
          <w:rFonts w:ascii="Times New Roman" w:hAnsi="Times New Roman"/>
          <w:color w:val="000000" w:themeColor="text1"/>
          <w:sz w:val="16"/>
          <w:szCs w:val="16"/>
        </w:rPr>
        <w:softHyphen/>
        <w:t>щим проведением полных испытаний пушек. Самолёт разобрали — двигатели и консоли крыла сдали на склад, а центроплан с кабиной, пушками и хвостовым оперением отправили на завод № 8 для доводки (АПК-4) (15823).</w:t>
      </w:r>
    </w:p>
    <w:p w14:paraId="315C05DD" w14:textId="77777777" w:rsidR="00AA0A76" w:rsidRPr="00E93F40" w:rsidRDefault="00AA0A76" w:rsidP="00E93F40">
      <w:pPr>
        <w:spacing w:after="0" w:line="240" w:lineRule="auto"/>
        <w:jc w:val="both"/>
        <w:rPr>
          <w:rFonts w:ascii="Times New Roman" w:hAnsi="Times New Roman"/>
          <w:color w:val="000000" w:themeColor="text1"/>
          <w:sz w:val="16"/>
          <w:szCs w:val="16"/>
        </w:rPr>
      </w:pPr>
    </w:p>
    <w:p w14:paraId="52BB9B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А.Н.Т. получил задание спроектировать морской крейсер. "МК-1 предназначается для нанесения бомботорпедных ударов по соединениям судов противника и должен иметь бомботорпедную нагрузку 7-8 т, скорость 220-230 и дальность до 2500-3000... Он должен взлетать и садиться на волне высотой до полутора метров, долго находиться в воде в открытом море и буксироваться судном" (99,159).</w:t>
      </w:r>
    </w:p>
    <w:p w14:paraId="023A1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C152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М.Н.Тухачевский писал начальнику ВВС Я.И.Алкснису "Ко времени полетов на стратосферных самолетах надо уже изучить стратосферу. В срочном порядке представьте Ваши соображения об организации этого дела" (237,165).</w:t>
      </w:r>
    </w:p>
    <w:p w14:paraId="7B86D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C16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ввиду ряда изменений в конструкции К-7 К.А.К. были даны вторичные тактико-технические требования с некоторыми изменениями, а первые были предъявлены в феврале 1932 (3903).</w:t>
      </w:r>
    </w:p>
    <w:p w14:paraId="3A307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593239" w14:textId="2D0D89D3"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полеты на БИЧ-7А в ходе испытаний прекратили. Трехцилиндровый "Люцифер" на больших оборотах так сильно вибрировал, что в конструкции моторамы появились трещины (24253).</w:t>
      </w:r>
    </w:p>
    <w:p w14:paraId="60E873F2" w14:textId="77777777" w:rsidR="00F22C1F" w:rsidRPr="00E93F40" w:rsidRDefault="00F22C1F" w:rsidP="00E93F40">
      <w:pPr>
        <w:spacing w:after="0" w:line="240" w:lineRule="auto"/>
        <w:jc w:val="both"/>
        <w:rPr>
          <w:rFonts w:ascii="Times New Roman" w:hAnsi="Times New Roman"/>
          <w:color w:val="000000" w:themeColor="text1"/>
          <w:sz w:val="16"/>
          <w:szCs w:val="16"/>
        </w:rPr>
      </w:pPr>
    </w:p>
    <w:p w14:paraId="43A075A5"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вышел новый приказ о формировании в ЦКБ-39 бригады по разработке самолетов-истребителей, которая уже существовала, но ее начальник Н.Н. Поликарпов утверждал, что сталкивается с административными препонами в работе. Он связывал их с неудовлетворительно налаженным взаимодействием с АГОС ЦАГИ и лично с Туполевым и Сухим (23554).</w:t>
      </w:r>
    </w:p>
    <w:p w14:paraId="7DCE0E43" w14:textId="77777777" w:rsidR="00F22C1F" w:rsidRPr="00E93F40" w:rsidRDefault="00F22C1F" w:rsidP="00E93F40">
      <w:pPr>
        <w:spacing w:after="0" w:line="240" w:lineRule="auto"/>
        <w:jc w:val="both"/>
        <w:rPr>
          <w:rFonts w:ascii="Times New Roman" w:hAnsi="Times New Roman"/>
          <w:color w:val="000000" w:themeColor="text1"/>
          <w:sz w:val="16"/>
          <w:szCs w:val="16"/>
        </w:rPr>
      </w:pPr>
    </w:p>
    <w:p w14:paraId="65061095"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вышел новый приказ о формировании в ЦКБ-39 бригады по разработке самолетов-истребителей, которая уже существовала, но ее начальник Н.Н. Поликарпов утверждал, что сталкивается с административными препонами в работе. Он связывал их с неудовлетворительно налаженным взаимодействием с АГОС и лично с Туполевым и Сухим, но и руководство ГУАП пока не проявило четкой позиции относительно проекта. В план работ ЦКБ истребитель-моноплан все еще не был включен (24115).</w:t>
      </w:r>
    </w:p>
    <w:p w14:paraId="34B701DD"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Поликарпов приступает к эскизному проектированию самолета. Вероятно, именно в это время его властью как фактического руководителя конструкторской части ЦКБ-39 проекту присваивается официально обозначение ЦКБ-12, т.к. требуется присваивать инвентарные номера выпускаемым документам, при этом чертежные номера обозначения проекта или изделия не включали.</w:t>
      </w:r>
    </w:p>
    <w:p w14:paraId="6BCF5E0A"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Проекту истребителя-моноплана под новый французский V-образный 12-цилиндровый двигатель водяного охлаждения Испано-Сюиза H.S.12Ycrs с редуктором и приводным центробежным нагнетателем, который допускал установку автоматической пушки калибра 20 мм в развале блоков цилиндров, присвоено обозначение ЦКБ-15 (24115).</w:t>
      </w:r>
    </w:p>
    <w:p w14:paraId="0D578EE9" w14:textId="77777777" w:rsidR="00F22C1F" w:rsidRPr="00E93F40" w:rsidRDefault="00F22C1F" w:rsidP="00E93F40">
      <w:pPr>
        <w:spacing w:after="0" w:line="240" w:lineRule="auto"/>
        <w:jc w:val="both"/>
        <w:rPr>
          <w:rFonts w:ascii="Times New Roman" w:hAnsi="Times New Roman"/>
          <w:color w:val="000000" w:themeColor="text1"/>
          <w:sz w:val="16"/>
          <w:szCs w:val="16"/>
        </w:rPr>
      </w:pPr>
    </w:p>
    <w:p w14:paraId="707445A9"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декабре 1932 г. на стройку завода № 126 прибыла комиссия Дальневосточного краевого комитета ВКП(б) для изучения положения на стройке. Комиссия отметила в докладной записке в адрес крайкома ВКП(б), что новая площадка под строительство завода №126 освоена примитивно и в таких незначительных размерах, что уже ясно: программа строительства текущего года сорвана, а программа строительства будущего, 1933 г., находится под угрозой срыва. </w:t>
      </w:r>
    </w:p>
    <w:p w14:paraId="37A14A73"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Далее в записке комиссия отмечала трудности, связанные с плохим жильем, обеспечением, питанием и обслуживанием. На производстве не хватало инструмента — пил, топоров, лопат, спецодежды, а в быту — баков для кипяченой воды, рукомойников, одеял, подушек, матрацев и мн. другого. </w:t>
      </w:r>
    </w:p>
    <w:p w14:paraId="41B1E08A"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Только спустя несколько месяцев после высадки первых отрядов строителей стало очевидно, что подготовка к строительству важного объекта в условиях суровой, затяжной зимы Дальнего Востока, болотистой местности, неизученности местных климатических и прочих условий, осуществлялась слишком поспешно, на крайне низком организационном уровне. Руководство наркоматов и других организаций, отвечающих за непосредственное техническое и материальное снабжение стройки, действовало несогласованно, при совершенном непонимании сложности поставленных задач. Стало очевидно и то, что был допущен просчет в решении послать </w:t>
      </w:r>
      <w:r w:rsidRPr="00E93F40">
        <w:rPr>
          <w:rFonts w:ascii="Times New Roman" w:hAnsi="Times New Roman"/>
          <w:color w:val="000000" w:themeColor="text1"/>
          <w:sz w:val="16"/>
          <w:szCs w:val="16"/>
        </w:rPr>
        <w:lastRenderedPageBreak/>
        <w:t>осваивать тайгу и строить завод молодых людей, не имевших строительных специальностей, не обеспеченных необходимым запасом продовольствия, одежды, инвентаря и мн. другого.</w:t>
      </w:r>
    </w:p>
    <w:p w14:paraId="5FFFE1E7"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Начальнику стройки К.Р.Золотареву за этот срок не удалось изменить положения на стройке. Следствием просчетов и преступной халатности стало истощение и гибель людей от цинги. Люди стали покидать стройку. С начала строительства и по 1 ноября 1932 г. со стройки уехали 787 рабочих — 26% от общего числа прибывших. </w:t>
      </w:r>
    </w:p>
    <w:p w14:paraId="768A379A"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Стройка в 1933 г. оказалась под угрозой закрытия, и К.Р.Золотареву пришлось приложить немалые усилия, чтобы строительство было продолжено. </w:t>
      </w:r>
    </w:p>
    <w:p w14:paraId="2F84033C" w14:textId="77777777" w:rsidR="00A634CB" w:rsidRPr="00E93F40" w:rsidRDefault="00A634C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Весь 1933 год продолжалось освоение новой промплощадки. Строители заготавливали лес, укладывали лежневки от старой площадки к новой, в срочном порядке строили казармы для красноармейцев — строителей. В правительстве решался вопрос о направлении на Дальний Восток корпуса военных-строителей (12211).</w:t>
      </w:r>
    </w:p>
    <w:p w14:paraId="767CEB09" w14:textId="77777777" w:rsidR="00A634CB" w:rsidRPr="00E93F40" w:rsidRDefault="00A634CB" w:rsidP="00E93F40">
      <w:pPr>
        <w:spacing w:after="0" w:line="240" w:lineRule="auto"/>
        <w:jc w:val="both"/>
        <w:rPr>
          <w:rFonts w:ascii="Times New Roman" w:hAnsi="Times New Roman"/>
          <w:color w:val="000000" w:themeColor="text1"/>
          <w:sz w:val="16"/>
          <w:szCs w:val="16"/>
        </w:rPr>
      </w:pPr>
    </w:p>
    <w:p w14:paraId="3151B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начальник и военком НИИ ВВС Зильберт писал письмо № 2/570с директору завода № 24</w:t>
      </w:r>
    </w:p>
    <w:p w14:paraId="27836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Заключение по 50-часовому испытанию мотора М-34 № 2040 на полном газу</w:t>
      </w:r>
    </w:p>
    <w:p w14:paraId="771CF2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Испытание на полном газу, т.е. на максимальную мощность нормального серийного мотора № 2040 в течении 50 часов в практике советского моторостроения было проведено впервые.</w:t>
      </w:r>
    </w:p>
    <w:p w14:paraId="2C9B28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заграничной практике подобного рода испытания производились американскими фирмами Кертисс.</w:t>
      </w:r>
    </w:p>
    <w:p w14:paraId="577AA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практики европейского авиамоторостроения известен лишь случай 10-ти часов работы на максимальной мощности мотора АССО-750.</w:t>
      </w:r>
    </w:p>
    <w:p w14:paraId="17FA4D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Подобные испытания характерны тем, что детали мотора одновременно нагружены максимальными усилиями от взрыва газов и максимальными динамическими усилиями, чем и объясняется, что обычно для советских и заграничных моторов рекомендуется пользоваться полным газом не свыше 5 минут подряд.</w:t>
      </w:r>
    </w:p>
    <w:p w14:paraId="78769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Оценивая результаты произведенного испытания, можно сделать следующие выводы:</w:t>
      </w:r>
    </w:p>
    <w:p w14:paraId="77AC1B2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Мотор прошел тяжелое, по условиям работы (на средней мощности 834 л.с. при 1820 об/мин. при расходе 218 гр./л.с., испытание удовлетворительно с сохранением полной мощности в начале и конце каждого этапа.</w:t>
      </w:r>
    </w:p>
    <w:p w14:paraId="209A7CD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Состояние деталей и износы, полученные во время испытания, дают основания рассчитывать достижения надежной работы на самолете в течение 200 часов между переборками, путем дальнейшей работы по совершенствованию мотора в серийном производстве.</w:t>
      </w:r>
    </w:p>
    <w:p w14:paraId="61B302B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Производственные испытания дают основание считать, что номинальная мощность мотора М-34 уже в ближайшее время можно поднять 800-850.. с соответствующим повышением максимальной мощности мотора.</w:t>
      </w:r>
    </w:p>
    <w:p w14:paraId="2B7C0770"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провести дальнейшее испытание мотора М-34 на предмет возможности дальнейшей форсировки мотора М-34 (3530,56).</w:t>
      </w:r>
    </w:p>
    <w:p w14:paraId="50362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ВВС</w:t>
      </w:r>
    </w:p>
    <w:p w14:paraId="49BCA2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Справка о данных мотора М34 и основных результатах его госиспытания в Институте авиационного моторостроения</w:t>
      </w:r>
    </w:p>
    <w:p w14:paraId="64C1107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результаты испытаний.</w:t>
      </w:r>
    </w:p>
    <w:p w14:paraId="5DA17B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общей сложности мотор проработал всего 91 час. 03 минуты, из них:</w:t>
      </w:r>
    </w:p>
    <w:p w14:paraId="17134D09"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заводских предварительных испытаниях на различных режимах мотор проработал всего 39 часов 35 минут, из них на максимальной мощности 2 часа 50 минут.</w:t>
      </w:r>
    </w:p>
    <w:p w14:paraId="5A7EFEED"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50-часовое госиспытание составляло:</w:t>
      </w:r>
    </w:p>
    <w:p w14:paraId="5506A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максимальной мощности - 1 час 10 минут</w:t>
      </w:r>
    </w:p>
    <w:p w14:paraId="7C476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номинальной мощности - 6 часов 30 минут</w:t>
      </w:r>
    </w:p>
    <w:p w14:paraId="5B720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эксплуатационном режиме 0,9 от номинальной мощности – 45 часов</w:t>
      </w:r>
    </w:p>
    <w:p w14:paraId="418B4A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испытании были установлены следующие данные мотора:</w:t>
      </w:r>
    </w:p>
    <w:p w14:paraId="17A7A23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мощность 850 л.с. при 1810 об/мин.</w:t>
      </w:r>
    </w:p>
    <w:p w14:paraId="1506E3BC"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Номинальная мощность 750 л.с. при 1740 об/мин.</w:t>
      </w:r>
    </w:p>
    <w:p w14:paraId="445B6F46"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Расход топлива на эксплуатационном режиме (0,9 номинальной мощности) в среднем 202 гр./л.с./час.</w:t>
      </w:r>
    </w:p>
    <w:p w14:paraId="02C8B151"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Расход масла – 18-19 гр./л.с./час. в среднем</w:t>
      </w:r>
    </w:p>
    <w:p w14:paraId="68471E94"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мотора – 582 кг</w:t>
      </w:r>
    </w:p>
    <w:p w14:paraId="0B6D0FC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Вполне устойчивая работа на 195-200 об/мин.</w:t>
      </w:r>
    </w:p>
    <w:p w14:paraId="72030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процессе испытаний максимальная мощность была замерена в 880 л.с. при 1910 об/мин.</w:t>
      </w:r>
    </w:p>
    <w:p w14:paraId="784AA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Никаких сколько-нибудь существенных дефектов, поломок и т.п. мотор не имел. Единственным дефектом нужно считать трещины и выкрашивание баббита в 4-х подшипниках из числа 20-ти подшипников (после 70 часов работы).</w:t>
      </w:r>
    </w:p>
    <w:p w14:paraId="620FD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………………………(3530,57).</w:t>
      </w:r>
    </w:p>
    <w:p w14:paraId="13BF75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1814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завод № 24 направил в УВВС технические условия на М-34. А утвердили их только 19 мая следующего года, ког</w:t>
      </w:r>
      <w:r w:rsidRPr="00E93F40">
        <w:rPr>
          <w:rFonts w:ascii="Times New Roman" w:hAnsi="Times New Roman"/>
          <w:color w:val="000000" w:themeColor="text1"/>
          <w:sz w:val="16"/>
          <w:szCs w:val="16"/>
        </w:rPr>
        <w:softHyphen/>
        <w:t>да М-34 уже шли из цехов сотнями! (11848).</w:t>
      </w:r>
    </w:p>
    <w:p w14:paraId="3DEA18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CD4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первый опытный образец М-50 (3М-11) (с цилиндрами от М-11В) выставили на госиспытания. Увлечение унификацией привело к применению избыточно тяжелых для выбранной мощности (65 л.с.) деталей. Большинство агрегатов взяли от серийного мотора, что в итоге привело к очень маленькой удельной мощности - около 0,5 л.с./кг. В этом отношении и базовый М-11В был далек от идеала, а уж М-50 вообще "не лез ни в какие ворота". Кроме того, руководство ВВС не интересовалось моторами с мощностью менее 100 л.с., и именно мнение этой инстанции являлось определяющим. Заказчиков на М-50 так и не нашли (11478).</w:t>
      </w:r>
    </w:p>
    <w:p w14:paraId="55D085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9D70F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декабря 1932 г. проходили госиспытания М-50 (3М-11). В марте 1931 г. в конструкторском бюро завода № 29 (Запорожье) под руководством А.С. Назарова был разработан двигатель М-50 (3М-11). Использовались узлы и агрегаты мотора М-11В. В августе 1932 г. началась сборка первого опытного образца М-50 (3М-11). Доводился От</w:t>
      </w:r>
      <w:r w:rsidRPr="00E93F40">
        <w:rPr>
          <w:rFonts w:ascii="Times New Roman" w:hAnsi="Times New Roman"/>
          <w:color w:val="000000" w:themeColor="text1"/>
          <w:sz w:val="16"/>
          <w:szCs w:val="16"/>
        </w:rPr>
        <w:softHyphen/>
        <w:t>делом легких двигателей НИИ ГВФ под руководством М.А. Коссова до 1934 г. В серию не запускался из-за отсутствия заказов.</w:t>
      </w:r>
    </w:p>
    <w:p w14:paraId="220461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1D163E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3-цилиндровый, звездообразный, четырехтактный, воздушного охлаж</w:t>
      </w:r>
      <w:r w:rsidRPr="00E93F40">
        <w:rPr>
          <w:rFonts w:ascii="Times New Roman" w:hAnsi="Times New Roman"/>
          <w:color w:val="000000" w:themeColor="text1"/>
          <w:sz w:val="16"/>
          <w:szCs w:val="16"/>
        </w:rPr>
        <w:softHyphen/>
        <w:t>дения;</w:t>
      </w:r>
    </w:p>
    <w:p w14:paraId="795E6D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60/65 л.с.;</w:t>
      </w:r>
    </w:p>
    <w:p w14:paraId="369C6C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125/140 мм;</w:t>
      </w:r>
    </w:p>
    <w:p w14:paraId="29FA19D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объем 5,16 л;</w:t>
      </w:r>
    </w:p>
    <w:p w14:paraId="7ABD92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5,0;</w:t>
      </w:r>
    </w:p>
    <w:p w14:paraId="55AA83C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безредукторный;</w:t>
      </w:r>
    </w:p>
    <w:p w14:paraId="098E61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125 кг.</w:t>
      </w:r>
    </w:p>
    <w:p w14:paraId="36414C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Существовали два варианта М-50:</w:t>
      </w:r>
    </w:p>
    <w:p w14:paraId="02214C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цилиндрами от М-И В;</w:t>
      </w:r>
    </w:p>
    <w:p w14:paraId="52744D9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оригинальными цилиндрами (но не по типу М-51).</w:t>
      </w:r>
    </w:p>
    <w:p w14:paraId="52D15B4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Известен более поздний судовой дизель под тем же обозначением (он же первоначально МН-1), создававшийся в ЦИАМ на базе авиационного М-40 (11852).</w:t>
      </w:r>
    </w:p>
    <w:p w14:paraId="44A7468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E9EC02"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1932 г. первый опытный образец трехцилиндрового М-48 (с цилиндрами от М-11В) завода № 29 в Запорожье выставили на госиспытания. Увлечение унификацией привело к применению избыточно тяжелых для выбранной мощности (65 л.с.) деталей. Большинство агре</w:t>
      </w:r>
      <w:r w:rsidRPr="00142305">
        <w:rPr>
          <w:rFonts w:ascii="Times New Roman" w:hAnsi="Times New Roman"/>
          <w:color w:val="0070C0"/>
          <w:sz w:val="16"/>
          <w:szCs w:val="16"/>
        </w:rPr>
        <w:softHyphen/>
        <w:t>гатов взяли от серийного мотора, что в итоге привело к очень маленькой удельной мощности — около 0,5 л.с./кг. В этом отношении и базовый М-11В был далек от идеала, а уж М-50 вообще «не лез ни в какие ворота». Кроме того, руководство ВВС не интересовалось моторами с мощностью менее 100 л.с., и именно мнение этой инстанции являлось определяющим. Заказчиков на М-50 так и не нашли (25387).</w:t>
      </w:r>
    </w:p>
    <w:p w14:paraId="590FF393" w14:textId="77777777" w:rsidR="00745B62" w:rsidRPr="00142305" w:rsidRDefault="00745B62" w:rsidP="00745B62">
      <w:pPr>
        <w:spacing w:after="0" w:line="240" w:lineRule="auto"/>
        <w:jc w:val="both"/>
        <w:rPr>
          <w:rFonts w:ascii="Times New Roman" w:hAnsi="Times New Roman"/>
          <w:color w:val="0070C0"/>
          <w:sz w:val="16"/>
          <w:szCs w:val="16"/>
        </w:rPr>
      </w:pPr>
    </w:p>
    <w:p w14:paraId="60486D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ПД-Т испытывали в НИИ ВВС. Она стала прообразом большого количества подобных устройств, предназначенных для десантирования легких танков, бронемашин и автомобилей. Для снабжения всей этой техники горючим и маслом создали сбрасываемые баки разного объема.</w:t>
      </w:r>
    </w:p>
    <w:p w14:paraId="55A068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Осконбюро работали и над альтернативными средствами высадки. Первой была предложена десантная кабина-клеть. На эскизах нарисован большой ящик с окнами, стоящий на полозьях. Полозья подпружинены резиновыми амортизаторами, подобными тем, что применялись на самолетах того времени. Клеть весом 1000 кг вмещала 14 человек. Она должна была подвешиваться под самолетом ТБ-1, а после сброса приземляться на одном большом парашюте. Преимуществами такого подхода могли стать возможность сброса неподготовленных для прыжка с парашютом бойцов (от них самих ничего не зависело) и компактность приземления, повышающая боеспособность группы. С другой стороны - никакого способа управлять полетом клети не придумали, в то время как парашютист в определенных пределах может влиять на свое движение. В итоге решили, что людей все-таки выгоднее сбрасывать поодиночке.</w:t>
      </w:r>
    </w:p>
    <w:p w14:paraId="05D24C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Одновременно предложили оригинальную идею "авиабуса" - кабины для беспарашютного сбрасывания с бреющего полета. "Авиабус" имел вид короткого и толстого крыла и после сброса должен был немного планировать, а затем катиться на колесах ("летний авиабус") или на лыжах ("зимний"). Это устройство по замыслу предназначалось для выброски первой волны десанта, обеспечивавшее неожиданность его появления и уменьшавшее риск для самолетов-носителей, которые могли не проходить над выбранной площадкой, которую могли оборонять средства ПВО. "Авиабусов" было несколько вариантов, пассажирских и грузовых, деревянной, смешанной и металлической конструкции.</w:t>
      </w:r>
    </w:p>
    <w:p w14:paraId="6FDFDB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Интересна эпопея летнего (колесного) авиабуса Г-68, подвешиваемого под ТБ-1. В его передней части стояли два авиационных колеса, а сзади - растопыренные металлические костыли. Испытывал авиабус В.П.Чкалов, работавший в то время в "цирке Гроховского" - летном отряде Оскон- бюро. Перед первым полетом он сказал: "Я сброшу ваш чемодан, но только заранее тащите мешки, чтобы собрать в них кучу хлама". Но собирать обломки не пришлось. Аппарат дважды благополучно приземлялся. В Г-68 вместо груза могли разместиться четыре человека. Но оставалось неизвестным, не будут ли слишком велики перегрузки при ударе о землю. Для третьего раза на аэродроме поймали бродячего пса, подманив его колбасой. Собака тоже спустилась на землю без особых проблем. Тогда в авиабус залезли начальник Осконбюро П.И. Гроховский и его заместитель И.В. Титов. Они улеглись внутри аппарата на подстеленных полушубках. Сброс прошел в целом благополучно, но Титова стукнуло так, что он на время потерял сознание.</w:t>
      </w:r>
    </w:p>
    <w:p w14:paraId="79F77E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ни старался Гроховский, ему не удалось доказать целесообразность использования авиабусов. Не помогла даже успешная демонстрация сброса на Центральном аэродроме на глазах у самого Сталина.</w:t>
      </w:r>
    </w:p>
    <w:p w14:paraId="26BED3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Только в чертежах остались 11-местный летний и 16-местный зимний авиабусы. В самом начале прекратили работы по авиабусу-аэросаням. А идея была очень интересная - сразу после приземления экипаж запускает мотор, и вот у десанта есть и быстроходный транспорт, и огневая поддержка (на санях монтировалась авиационная турель с пулеметом). Военные даже одно время настаивали на разработке "авиатанкетки" - бронированного авиабуса на гусеничном ходу с собственным двигателем.</w:t>
      </w:r>
    </w:p>
    <w:p w14:paraId="01CA3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Причинами того, что авиабус был отвергнут, можно считать то, что заявленных задач конструктору добиться не удалось. Аппарат не уменьшал уязвимости носителя по сравнению с парашютными системами, наоборот, он подставлял самолет под огонь стрелкового оружия - ведь сброс осуществлялся с высоты не более 12 - 15 м (на испытаниях сбрасывали с 5 - 8 м). Авиабус не мог сесть там, где приземлится парашютист - ему требовалась большая ровная площадка. Не получалось и внезапности - очень уж недалеко планировал аппарат.Гроховский предлагал и что-то вроде морского авиабуса - десантную моторную лодку Г-48 для сбрасывания с ТБ-1 на бреющем полете. Лодка вмещала 14 человек и вооружалась станковым "Максимом". Образец ее был построен, но испытания оказались очень краткими; в отчете о них осталась одна фраза: "При сбросе на воду разбилась". Спроектированную Благиным аналогичную лодку поменьше - на шесть бойцов с тремя ручными пулеметами строить не разрешили.</w:t>
      </w:r>
    </w:p>
    <w:p w14:paraId="454C67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Идеи били в Осконбюро фонтаном. Одним из самых экзотических проектов (так и оставшимся на бумаге) была сбрасываемая с парашютом бронированная огневая точка, этакий дзот в воздухе. В каплевидном бронекорпусе размещался стрелок с авиационным пулеметом ДА и боезапасом. Купол парашюта раскрывался сразу после отделения от самолета-носителя. Сбросив несколько штук, можно было создать что-то вроде укрепленной линии в небе, обстреливая воздушные и наземные цели. При приземлении удар амортизировали подпружиненные лапы в нижней части корпуса. Вес огневой точки позволял переносить ее нескольким красноармейцам или перевозить на автомобиле-пикапе (12036).</w:t>
      </w:r>
    </w:p>
    <w:p w14:paraId="1F1F9D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7FC017"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военные предложили ЦАГИ и Остехбюро изучали возможность использования МР-6 в качестве низковысотного торпедоносца, сбрасывающего торпеды образца 1912 и 1927 (5-20 м на скорости 130-150). Всесторонняя отработка методики торпедометания и войсковые испытания способствовали разработке к середине 30-х ТТТ к торпедоносцам и создания специализированных торпедоносцев ТБ-1 и ДБ-3 и далее до войны (80,223).</w:t>
      </w:r>
    </w:p>
    <w:p w14:paraId="36F9310F"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p>
    <w:p w14:paraId="10DBEC36"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декабрь 1932 проводились гос. испытания поплавкового варианта АНТ-7 (80,223).</w:t>
      </w:r>
    </w:p>
    <w:p w14:paraId="60018C56" w14:textId="77777777" w:rsidR="00745B62" w:rsidRPr="00E93F40" w:rsidRDefault="00745B62" w:rsidP="00745B62">
      <w:pPr>
        <w:autoSpaceDE w:val="0"/>
        <w:autoSpaceDN w:val="0"/>
        <w:adjustRightInd w:val="0"/>
        <w:spacing w:after="0" w:line="240" w:lineRule="auto"/>
        <w:jc w:val="both"/>
        <w:rPr>
          <w:rFonts w:ascii="Times New Roman" w:hAnsi="Times New Roman"/>
          <w:color w:val="000000" w:themeColor="text1"/>
          <w:sz w:val="16"/>
          <w:szCs w:val="16"/>
        </w:rPr>
      </w:pPr>
    </w:p>
    <w:p w14:paraId="2F31A171" w14:textId="77777777" w:rsidR="005F075B" w:rsidRPr="00E93F40" w:rsidRDefault="005F075B"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С декабря 1932 г. охрану завода № 31 возложили на специаль</w:t>
      </w:r>
      <w:r w:rsidRPr="00E93F40">
        <w:rPr>
          <w:rFonts w:ascii="Times New Roman" w:hAnsi="Times New Roman"/>
          <w:color w:val="000000" w:themeColor="text1"/>
          <w:sz w:val="16"/>
          <w:szCs w:val="16"/>
          <w:lang w:eastAsia="ru-RU" w:bidi="ru-RU"/>
        </w:rPr>
        <w:softHyphen/>
        <w:t>но сформированный 143-й отдельный дивизион ОГПУ по ох</w:t>
      </w:r>
      <w:r w:rsidRPr="00E93F40">
        <w:rPr>
          <w:rFonts w:ascii="Times New Roman" w:hAnsi="Times New Roman"/>
          <w:color w:val="000000" w:themeColor="text1"/>
          <w:sz w:val="16"/>
          <w:szCs w:val="16"/>
          <w:lang w:eastAsia="ru-RU" w:bidi="ru-RU"/>
        </w:rPr>
        <w:softHyphen/>
        <w:t>ране особо важных предприятий промышленности (позже переформированный в 168-й полк войск НКВД по охране особо важных предприятий промышленности). До 1939 г. за</w:t>
      </w:r>
      <w:r w:rsidRPr="00E93F40">
        <w:rPr>
          <w:rFonts w:ascii="Times New Roman" w:hAnsi="Times New Roman"/>
          <w:color w:val="000000" w:themeColor="text1"/>
          <w:sz w:val="16"/>
          <w:szCs w:val="16"/>
          <w:lang w:eastAsia="ru-RU" w:bidi="ru-RU"/>
        </w:rPr>
        <w:softHyphen/>
        <w:t>вод №31 и соседний инструментальный завод №65 охраня</w:t>
      </w:r>
      <w:r w:rsidRPr="00E93F40">
        <w:rPr>
          <w:rFonts w:ascii="Times New Roman" w:hAnsi="Times New Roman"/>
          <w:color w:val="000000" w:themeColor="text1"/>
          <w:sz w:val="16"/>
          <w:szCs w:val="16"/>
          <w:lang w:eastAsia="ru-RU" w:bidi="ru-RU"/>
        </w:rPr>
        <w:softHyphen/>
        <w:t>ли уже не вохровцы, а бойцы внутренних войск. Одновре</w:t>
      </w:r>
      <w:r w:rsidRPr="00E93F40">
        <w:rPr>
          <w:rFonts w:ascii="Times New Roman" w:hAnsi="Times New Roman"/>
          <w:color w:val="000000" w:themeColor="text1"/>
          <w:sz w:val="16"/>
          <w:szCs w:val="16"/>
          <w:lang w:eastAsia="ru-RU" w:bidi="ru-RU"/>
        </w:rPr>
        <w:softHyphen/>
        <w:t>менно 168-й полк стал одним из источников пополне</w:t>
      </w:r>
      <w:r w:rsidRPr="00E93F40">
        <w:rPr>
          <w:rFonts w:ascii="Times New Roman" w:hAnsi="Times New Roman"/>
          <w:color w:val="000000" w:themeColor="text1"/>
          <w:sz w:val="16"/>
          <w:szCs w:val="16"/>
          <w:lang w:eastAsia="ru-RU" w:bidi="ru-RU"/>
        </w:rPr>
        <w:softHyphen/>
        <w:t>ния рабочих кадров предприятия, поскольку многие красноармейцы полка после увольнения в запас оставались работать на заводах, которые до этого охраняли (20325).</w:t>
      </w:r>
    </w:p>
    <w:p w14:paraId="1E0B2779" w14:textId="77777777" w:rsidR="005F075B" w:rsidRPr="00E93F40" w:rsidRDefault="005F075B" w:rsidP="00E93F40">
      <w:pPr>
        <w:spacing w:after="0" w:line="240" w:lineRule="auto"/>
        <w:jc w:val="both"/>
        <w:rPr>
          <w:rFonts w:ascii="Times New Roman" w:hAnsi="Times New Roman"/>
          <w:color w:val="000000" w:themeColor="text1"/>
          <w:sz w:val="16"/>
          <w:szCs w:val="16"/>
        </w:rPr>
      </w:pPr>
    </w:p>
    <w:p w14:paraId="6510FC9C"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1932 г ПД-Т для сброса танкетки Карден-Лойд, изготовленную в 1932 г., с ТБ-1 испытывали в НИИ ВВС. Она ста</w:t>
      </w:r>
      <w:r w:rsidRPr="00142305">
        <w:rPr>
          <w:rFonts w:ascii="Times New Roman" w:hAnsi="Times New Roman"/>
          <w:color w:val="0070C0"/>
          <w:sz w:val="16"/>
          <w:szCs w:val="16"/>
        </w:rPr>
        <w:softHyphen/>
        <w:t>ла прообразом большого количества подобных устройств, предназначенных для десантирования легких танков, бро</w:t>
      </w:r>
      <w:r w:rsidRPr="00142305">
        <w:rPr>
          <w:rFonts w:ascii="Times New Roman" w:hAnsi="Times New Roman"/>
          <w:color w:val="0070C0"/>
          <w:sz w:val="16"/>
          <w:szCs w:val="16"/>
        </w:rPr>
        <w:softHyphen/>
        <w:t>немашин и автомобилей. Для снабжения всей этой техни</w:t>
      </w:r>
      <w:r w:rsidRPr="00142305">
        <w:rPr>
          <w:rFonts w:ascii="Times New Roman" w:hAnsi="Times New Roman"/>
          <w:color w:val="0070C0"/>
          <w:sz w:val="16"/>
          <w:szCs w:val="16"/>
        </w:rPr>
        <w:softHyphen/>
        <w:t>ки горючим и маслом создали сбрасываемые баки разного объема (24977).</w:t>
      </w:r>
    </w:p>
    <w:p w14:paraId="57B7CE14" w14:textId="77777777" w:rsidR="00745B62" w:rsidRPr="00142305" w:rsidRDefault="00745B62" w:rsidP="00745B62">
      <w:pPr>
        <w:spacing w:after="0" w:line="240" w:lineRule="auto"/>
        <w:jc w:val="both"/>
        <w:rPr>
          <w:rFonts w:ascii="Times New Roman" w:hAnsi="Times New Roman"/>
          <w:color w:val="0070C0"/>
          <w:sz w:val="16"/>
          <w:szCs w:val="16"/>
        </w:rPr>
      </w:pPr>
    </w:p>
    <w:p w14:paraId="4169B433"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декабре 1932 г. систему Г-43 ПД-Т для сброса с парашютом английской танкетки "Карден-Ллойд" или ее советской модификации Т-27 испытывали в НИИ ВВС. </w:t>
      </w:r>
    </w:p>
    <w:p w14:paraId="0F32E7B1"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вес танкетки значительно превышал предельно допустимую нагрузку бомбардировщика ТБ-1, специалисты считали, что поднять ее в воздух вряд ли удастся. Танкетку облегчили на 344 кг, сняв все, что можно и даже слив воду из системы охлаждения. Самолет тоже пришлось облегчить. В частности, сняли одну из задних турелей и все пулеметы. Кроме того, значительно уменьшили запас горючего.</w:t>
      </w:r>
    </w:p>
    <w:p w14:paraId="2EEF18A4"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Она стала прообразом большого количества подобных устройств, предназначенных для десантирования легких танков, бронемашин и автомобилей. Для снабжения всей этой техники горючим и маслом создали сбрасываемые баки разного объема (25356).</w:t>
      </w:r>
    </w:p>
    <w:p w14:paraId="25910CEB" w14:textId="77777777" w:rsidR="00745B62" w:rsidRPr="00142305" w:rsidRDefault="00745B62" w:rsidP="00745B62">
      <w:pPr>
        <w:spacing w:after="0" w:line="240" w:lineRule="auto"/>
        <w:jc w:val="both"/>
        <w:rPr>
          <w:rFonts w:ascii="Times New Roman" w:hAnsi="Times New Roman"/>
          <w:color w:val="0070C0"/>
          <w:sz w:val="16"/>
          <w:szCs w:val="16"/>
        </w:rPr>
      </w:pPr>
    </w:p>
    <w:p w14:paraId="419248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в авиации ВВС было 27 боевых высотных торпед ВВС 10/15, которые были несколько недель назад приняты на снабжение ВВС РККА (561,6).</w:t>
      </w:r>
    </w:p>
    <w:p w14:paraId="23F26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6840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на всю страну имелось всего четыре МАВ-1 - они находились на Черноморском флоте. Правда, на Балтике имелось еще 28 штук, но некомплектных или неисправных: две боевых получили смещение зарядной камеры (очевидно, в ходе испытаний в 1931 г.), восемь учебных (без тротила) и 18 боевых не были укомплектованы до конца. Планом предусматривалось изготовление 130 мин МАВ-1, а в марте 1932 г. добавили к этому количеству еще 200, доведя план до 330 авиамин (12002).</w:t>
      </w:r>
    </w:p>
    <w:p w14:paraId="2B8151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1F1F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по заявкам, составленным на основании указанных выше распоряжений через 5 управление штаба РККА был установлен размер заказа по объектам Гроховского для промышленности на 1933 год (3853).</w:t>
      </w:r>
    </w:p>
    <w:p w14:paraId="14146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298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ВВС были получены основном через НИИ ВВС результаты испытаний и техническая документация по грузовым парашютам Гроховского (3853).</w:t>
      </w:r>
    </w:p>
    <w:p w14:paraId="4B748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FAF87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Нач. ВВС назначил комиссию для рассмотрения первоначального проекта стратостата Осоавиахим-1, которая признала: «крупные дефекты конструктивной разработки оболочки и гондолы». В основном эти возражения сводились к тому, что крепление такелажа к лапкам, прикрепленным к однослойной материи, ненадежно, что требуется усиление верхней части оболочки и принятие оболочки из материи большей прочности, а следовательно и веса (96 гр на кв. м.), что оболочка не рассчитана на парашютирование. Гондола требует других форм, другого люка и ввода в гондолу органов управления.</w:t>
      </w:r>
    </w:p>
    <w:p w14:paraId="1C00FA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Часть этих возражений была учтена конструкторами в части усиления отдельных мест конструкции, а на вторую часть было обращено особое внимание при испытаниях материала, узлов конструкции и агрегатов (11611).</w:t>
      </w:r>
    </w:p>
    <w:p w14:paraId="6C9FC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CF6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был подготовлен план работ по ГИРД на 1933-1934 гг., в котором нашла отражение предстоящая реорганизация, предусматривающая создание РНИИ (Там же, № 1).</w:t>
      </w:r>
    </w:p>
    <w:p w14:paraId="7BF32C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D1A3E6"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Тихонравов во главе второй бригады начал разработку ракеты «объект 09». Так как предназначав</w:t>
      </w:r>
      <w:r w:rsidRPr="00E93F40">
        <w:rPr>
          <w:rFonts w:ascii="Times New Roman" w:hAnsi="Times New Roman"/>
          <w:color w:val="000000" w:themeColor="text1"/>
          <w:sz w:val="16"/>
          <w:szCs w:val="16"/>
        </w:rPr>
        <w:softHyphen/>
        <w:t>шийся для нее двигатель Цандера запаздывал, решили применить двигатель собственной конструк</w:t>
      </w:r>
      <w:r w:rsidRPr="00E93F40">
        <w:rPr>
          <w:rFonts w:ascii="Times New Roman" w:hAnsi="Times New Roman"/>
          <w:color w:val="000000" w:themeColor="text1"/>
          <w:sz w:val="16"/>
          <w:szCs w:val="16"/>
        </w:rPr>
        <w:softHyphen/>
        <w:t>ции, также получивший индекс 09. Для ускорения сроков его конструкцию упростили за счет применения в качестве компо</w:t>
      </w:r>
      <w:r w:rsidRPr="00E93F40">
        <w:rPr>
          <w:rFonts w:ascii="Times New Roman" w:hAnsi="Times New Roman"/>
          <w:color w:val="000000" w:themeColor="text1"/>
          <w:sz w:val="16"/>
          <w:szCs w:val="16"/>
        </w:rPr>
        <w:softHyphen/>
        <w:t>нентов топлива жидкого кисло</w:t>
      </w:r>
      <w:r w:rsidRPr="00E93F40">
        <w:rPr>
          <w:rFonts w:ascii="Times New Roman" w:hAnsi="Times New Roman"/>
          <w:color w:val="000000" w:themeColor="text1"/>
          <w:sz w:val="16"/>
          <w:szCs w:val="16"/>
        </w:rPr>
        <w:softHyphen/>
        <w:t>рода и сгущенного бензина. Для сгущения в бензин добавлялись канифоль и вазелин, после чего он превращался в пасту. Бензиновая паста «вмазывалась» в камеру сго</w:t>
      </w:r>
      <w:r w:rsidRPr="00E93F40">
        <w:rPr>
          <w:rFonts w:ascii="Times New Roman" w:hAnsi="Times New Roman"/>
          <w:color w:val="000000" w:themeColor="text1"/>
          <w:sz w:val="16"/>
          <w:szCs w:val="16"/>
        </w:rPr>
        <w:softHyphen/>
        <w:t>рания, и из двух систем подачи компонентов топлива оставалась только одна система подачи окис</w:t>
      </w:r>
      <w:r w:rsidRPr="00E93F40">
        <w:rPr>
          <w:rFonts w:ascii="Times New Roman" w:hAnsi="Times New Roman"/>
          <w:color w:val="000000" w:themeColor="text1"/>
          <w:sz w:val="16"/>
          <w:szCs w:val="16"/>
        </w:rPr>
        <w:softHyphen/>
        <w:t>лителя. Кроме того, паста предо</w:t>
      </w:r>
      <w:r w:rsidRPr="00E93F40">
        <w:rPr>
          <w:rFonts w:ascii="Times New Roman" w:hAnsi="Times New Roman"/>
          <w:color w:val="000000" w:themeColor="text1"/>
          <w:sz w:val="16"/>
          <w:szCs w:val="16"/>
        </w:rPr>
        <w:softHyphen/>
        <w:t>храняла стенки камеры от губи</w:t>
      </w:r>
      <w:r w:rsidRPr="00E93F40">
        <w:rPr>
          <w:rFonts w:ascii="Times New Roman" w:hAnsi="Times New Roman"/>
          <w:color w:val="000000" w:themeColor="text1"/>
          <w:sz w:val="16"/>
          <w:szCs w:val="16"/>
        </w:rPr>
        <w:softHyphen/>
        <w:t>тельного перегрева и разрушения. Такой двигатель уже не считался жидкостным, а получил название гибридного, так как сгущенный бензин нельзя было отнести ни к жидкому, ни к твердому топливу (23510).</w:t>
      </w:r>
    </w:p>
    <w:p w14:paraId="1189997B" w14:textId="77777777" w:rsidR="00F22C1F" w:rsidRPr="00E93F40" w:rsidRDefault="00F22C1F" w:rsidP="00E93F40">
      <w:pPr>
        <w:spacing w:after="0" w:line="240" w:lineRule="auto"/>
        <w:jc w:val="both"/>
        <w:rPr>
          <w:rFonts w:ascii="Times New Roman" w:hAnsi="Times New Roman"/>
          <w:color w:val="000000" w:themeColor="text1"/>
          <w:sz w:val="16"/>
          <w:szCs w:val="16"/>
        </w:rPr>
      </w:pPr>
    </w:p>
    <w:p w14:paraId="62219F80" w14:textId="77777777" w:rsidR="00DC3940" w:rsidRPr="00E93F40" w:rsidRDefault="00DC3940" w:rsidP="00E93F4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декабре 1932 года при ГУ ГВФ был организован Комитет по перелетам, который запланировал на 1933 год ряд больших перелетов, самым протяженным среди них стал полет из Москвы до Петропавловска-Камчатского и обратно. В этот перелет на самолете П-5 отправился пилот М.В. Водопьянов с бортмехаником Серегиным.</w:t>
      </w:r>
    </w:p>
    <w:p w14:paraId="3EF0E604" w14:textId="77777777" w:rsidR="00DC3940" w:rsidRPr="00E93F40" w:rsidRDefault="00DC3940" w:rsidP="00E93F4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lastRenderedPageBreak/>
        <w:t>По плану на перелет по маршруту Москва – Свердловск – Омск – Иркутск – Рухлово – Хабаровск – Охотск – Гижига – Петропавловск-Камчатский и обратно, протяженностью 23000 километров, необходимо было затратить 120 летных часов в течение пятнадцати суток. Каждый день летчику, в среднем, необходимо было находиться за штурвалом по девять часов. В 1933 году на этой трассе планировалось открыть постоянное почтово-пассажирское сообщение, и главной целью перелета было изучение возможности эксплуатации этой воздушной линии в зимний период (21249).</w:t>
      </w:r>
    </w:p>
    <w:p w14:paraId="3AB4EC3D" w14:textId="77777777" w:rsidR="00DC3940" w:rsidRPr="00E93F40" w:rsidRDefault="00DC3940" w:rsidP="00E93F40">
      <w:pPr>
        <w:spacing w:after="0" w:line="240" w:lineRule="auto"/>
        <w:jc w:val="both"/>
        <w:rPr>
          <w:rFonts w:ascii="Times New Roman" w:hAnsi="Times New Roman"/>
          <w:color w:val="000000" w:themeColor="text1"/>
          <w:sz w:val="16"/>
          <w:szCs w:val="16"/>
          <w:lang w:eastAsia="ru-RU" w:bidi="ru-RU"/>
        </w:rPr>
      </w:pPr>
    </w:p>
    <w:p w14:paraId="1436726A"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и январе 1933 г. в Аэростати</w:t>
      </w:r>
      <w:r w:rsidRPr="00E93F40">
        <w:rPr>
          <w:rFonts w:ascii="Times New Roman" w:hAnsi="Times New Roman"/>
          <w:color w:val="000000" w:themeColor="text1"/>
          <w:sz w:val="16"/>
          <w:szCs w:val="16"/>
        </w:rPr>
        <w:softHyphen/>
        <w:t>ческой лаборатории УК ГВФ провели экспертизу для подтверждения и обоснования деталей про</w:t>
      </w:r>
      <w:r w:rsidRPr="00E93F40">
        <w:rPr>
          <w:rFonts w:ascii="Times New Roman" w:hAnsi="Times New Roman"/>
          <w:color w:val="000000" w:themeColor="text1"/>
          <w:sz w:val="16"/>
          <w:szCs w:val="16"/>
        </w:rPr>
        <w:softHyphen/>
        <w:t>екта. ЦС Осоавиахима одобрил инициативу ле</w:t>
      </w:r>
      <w:r w:rsidRPr="00E93F40">
        <w:rPr>
          <w:rFonts w:ascii="Times New Roman" w:hAnsi="Times New Roman"/>
          <w:color w:val="000000" w:themeColor="text1"/>
          <w:sz w:val="16"/>
          <w:szCs w:val="16"/>
        </w:rPr>
        <w:softHyphen/>
        <w:t>нинградцев, и на заседании президиума 21 янва</w:t>
      </w:r>
      <w:r w:rsidRPr="00E93F40">
        <w:rPr>
          <w:rFonts w:ascii="Times New Roman" w:hAnsi="Times New Roman"/>
          <w:color w:val="000000" w:themeColor="text1"/>
          <w:sz w:val="16"/>
          <w:szCs w:val="16"/>
        </w:rPr>
        <w:softHyphen/>
        <w:t>ря 1933 г. принял решение построить стратостат для полёта в течение года. Было создано Бюро по постройке стратостата, преобразованное в мае 1933 г. в бригаду по строительству и эксплу</w:t>
      </w:r>
      <w:r w:rsidRPr="00E93F40">
        <w:rPr>
          <w:rFonts w:ascii="Times New Roman" w:hAnsi="Times New Roman"/>
          <w:color w:val="000000" w:themeColor="text1"/>
          <w:sz w:val="16"/>
          <w:szCs w:val="16"/>
        </w:rPr>
        <w:softHyphen/>
        <w:t>атации стратостата, которую возглавил инже</w:t>
      </w:r>
      <w:r w:rsidRPr="00E93F40">
        <w:rPr>
          <w:rFonts w:ascii="Times New Roman" w:hAnsi="Times New Roman"/>
          <w:color w:val="000000" w:themeColor="text1"/>
          <w:sz w:val="16"/>
          <w:szCs w:val="16"/>
        </w:rPr>
        <w:softHyphen/>
        <w:t>нер-пилот П.Ф. Федосеенко. В бригаду вошли: начальник работ — инженер Е.Е. Чертовской, старший инженер — А.Б. Васенко; руководи</w:t>
      </w:r>
      <w:r w:rsidRPr="00E93F40">
        <w:rPr>
          <w:rFonts w:ascii="Times New Roman" w:hAnsi="Times New Roman"/>
          <w:color w:val="000000" w:themeColor="text1"/>
          <w:sz w:val="16"/>
          <w:szCs w:val="16"/>
        </w:rPr>
        <w:softHyphen/>
        <w:t>тель по внутреннему оборудованию — инженер Ю.К. Юцевич; руководитель по испытаниям — инженер К.С. Кирпичников; руководитель груп</w:t>
      </w:r>
      <w:r w:rsidRPr="00E93F40">
        <w:rPr>
          <w:rFonts w:ascii="Times New Roman" w:hAnsi="Times New Roman"/>
          <w:color w:val="000000" w:themeColor="text1"/>
          <w:sz w:val="16"/>
          <w:szCs w:val="16"/>
        </w:rPr>
        <w:softHyphen/>
        <w:t>пы научно-полётной и аэронавигационной — В.Ю. Веспе; руководитель эксплуатационно-тех</w:t>
      </w:r>
      <w:r w:rsidRPr="00E93F40">
        <w:rPr>
          <w:rFonts w:ascii="Times New Roman" w:hAnsi="Times New Roman"/>
          <w:color w:val="000000" w:themeColor="text1"/>
          <w:sz w:val="16"/>
          <w:szCs w:val="16"/>
        </w:rPr>
        <w:softHyphen/>
        <w:t>нической группы — Н.С. Дмитриев. Метеороло</w:t>
      </w:r>
      <w:r w:rsidRPr="00E93F40">
        <w:rPr>
          <w:rFonts w:ascii="Times New Roman" w:hAnsi="Times New Roman"/>
          <w:color w:val="000000" w:themeColor="text1"/>
          <w:sz w:val="16"/>
          <w:szCs w:val="16"/>
        </w:rPr>
        <w:softHyphen/>
        <w:t>гическое обеспечение возлагалось на профессора П.А. Молчанова. Руководство научной програм</w:t>
      </w:r>
      <w:r w:rsidRPr="00E93F40">
        <w:rPr>
          <w:rFonts w:ascii="Times New Roman" w:hAnsi="Times New Roman"/>
          <w:color w:val="000000" w:themeColor="text1"/>
          <w:sz w:val="16"/>
          <w:szCs w:val="16"/>
        </w:rPr>
        <w:softHyphen/>
        <w:t>мой полёта осуществлял академик А.Ф. Иоффе.</w:t>
      </w:r>
    </w:p>
    <w:p w14:paraId="07D00036"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Тренировка экипажа и медицинская под</w:t>
      </w:r>
      <w:r w:rsidRPr="00E93F40">
        <w:rPr>
          <w:rFonts w:ascii="Times New Roman" w:hAnsi="Times New Roman"/>
          <w:color w:val="000000" w:themeColor="text1"/>
          <w:sz w:val="16"/>
          <w:szCs w:val="16"/>
        </w:rPr>
        <w:softHyphen/>
        <w:t>готовка к полёту велась группой врачей Воен</w:t>
      </w:r>
      <w:r w:rsidRPr="00E93F40">
        <w:rPr>
          <w:rFonts w:ascii="Times New Roman" w:hAnsi="Times New Roman"/>
          <w:color w:val="000000" w:themeColor="text1"/>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E93F40">
        <w:rPr>
          <w:rFonts w:ascii="Times New Roman" w:hAnsi="Times New Roman"/>
          <w:color w:val="000000" w:themeColor="text1"/>
          <w:sz w:val="16"/>
          <w:szCs w:val="16"/>
        </w:rPr>
        <w:softHyphen/>
        <w:t>лись Консультационным советом, составленным из представителей научных и инженерно-техни</w:t>
      </w:r>
      <w:r w:rsidRPr="00E93F40">
        <w:rPr>
          <w:rFonts w:ascii="Times New Roman" w:hAnsi="Times New Roman"/>
          <w:color w:val="000000" w:themeColor="text1"/>
          <w:sz w:val="16"/>
          <w:szCs w:val="16"/>
        </w:rPr>
        <w:softHyphen/>
        <w:t>ческих сил Ленинграда.</w:t>
      </w:r>
    </w:p>
    <w:p w14:paraId="51A4D7D4"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Главными задачами первого полёта были из</w:t>
      </w:r>
      <w:r w:rsidRPr="00E93F40">
        <w:rPr>
          <w:rFonts w:ascii="Times New Roman" w:hAnsi="Times New Roman"/>
          <w:color w:val="000000" w:themeColor="text1"/>
          <w:sz w:val="16"/>
          <w:szCs w:val="16"/>
        </w:rPr>
        <w:softHyphen/>
        <w:t>учение космических лучей и фотосъёмка с боль</w:t>
      </w:r>
      <w:r w:rsidRPr="00E93F40">
        <w:rPr>
          <w:rFonts w:ascii="Times New Roman" w:hAnsi="Times New Roman"/>
          <w:color w:val="000000" w:themeColor="text1"/>
          <w:sz w:val="16"/>
          <w:szCs w:val="16"/>
        </w:rPr>
        <w:softHyphen/>
        <w:t>ших высот. Планировалось также провести ис</w:t>
      </w:r>
      <w:r w:rsidRPr="00E93F40">
        <w:rPr>
          <w:rFonts w:ascii="Times New Roman" w:hAnsi="Times New Roman"/>
          <w:color w:val="000000" w:themeColor="text1"/>
          <w:sz w:val="16"/>
          <w:szCs w:val="16"/>
        </w:rPr>
        <w:softHyphen/>
        <w:t>следование напряжённости магнитного поля и отбор проб воздуха на разных высотах.</w:t>
      </w:r>
    </w:p>
    <w:p w14:paraId="3BF8D368"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Оболочка стратостата объёмом 24 920 м3 и ди</w:t>
      </w:r>
      <w:r w:rsidRPr="00E93F40">
        <w:rPr>
          <w:rFonts w:ascii="Times New Roman" w:hAnsi="Times New Roman"/>
          <w:color w:val="000000" w:themeColor="text1"/>
          <w:sz w:val="16"/>
          <w:szCs w:val="16"/>
        </w:rPr>
        <w:softHyphen/>
        <w:t>аметром 36,24 м состояла из 25 сегментов трапе</w:t>
      </w:r>
      <w:r w:rsidRPr="00E93F40">
        <w:rPr>
          <w:rFonts w:ascii="Times New Roman" w:hAnsi="Times New Roman"/>
          <w:color w:val="000000" w:themeColor="text1"/>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E93F40">
        <w:rPr>
          <w:rFonts w:ascii="Times New Roman" w:hAnsi="Times New Roman"/>
          <w:color w:val="000000" w:themeColor="text1"/>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E93F40">
        <w:rPr>
          <w:rFonts w:ascii="Times New Roman" w:hAnsi="Times New Roman"/>
          <w:color w:val="000000" w:themeColor="text1"/>
          <w:sz w:val="16"/>
          <w:szCs w:val="16"/>
        </w:rPr>
        <w:softHyphen/>
        <w:t>слойного прорезиненного перкаля. Полный вес оболочки с аппендиксом, клапаном и разрывны</w:t>
      </w:r>
      <w:r w:rsidRPr="00E93F40">
        <w:rPr>
          <w:rFonts w:ascii="Times New Roman" w:hAnsi="Times New Roman"/>
          <w:color w:val="000000" w:themeColor="text1"/>
          <w:sz w:val="16"/>
          <w:szCs w:val="16"/>
        </w:rPr>
        <w:softHyphen/>
        <w:t>ми лентами составлял 950 кг.</w:t>
      </w:r>
    </w:p>
    <w:p w14:paraId="53D30C21"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Оболочка имела пять аппендиксов: большой в нижнем полюсе — для выхода газа при расши</w:t>
      </w:r>
      <w:r w:rsidRPr="00E93F40">
        <w:rPr>
          <w:rFonts w:ascii="Times New Roman" w:hAnsi="Times New Roman"/>
          <w:color w:val="000000" w:themeColor="text1"/>
          <w:sz w:val="16"/>
          <w:szCs w:val="16"/>
        </w:rPr>
        <w:softHyphen/>
        <w:t>рении, два малых боковых — для пропуска кла</w:t>
      </w:r>
      <w:r w:rsidRPr="00E93F40">
        <w:rPr>
          <w:rFonts w:ascii="Times New Roman" w:hAnsi="Times New Roman"/>
          <w:color w:val="000000" w:themeColor="text1"/>
          <w:sz w:val="16"/>
          <w:szCs w:val="16"/>
        </w:rPr>
        <w:softHyphen/>
        <w:t>панной верёвки и разрывной вожжи, два малых (между экватором и поясными лапами) — для наполнения оболочки водородом.</w:t>
      </w:r>
    </w:p>
    <w:p w14:paraId="6285358A"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верхней части оболочки, в области двух</w:t>
      </w:r>
      <w:r w:rsidRPr="00E93F40">
        <w:rPr>
          <w:rFonts w:ascii="Times New Roman" w:hAnsi="Times New Roman"/>
          <w:color w:val="000000" w:themeColor="text1"/>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2B63CA06"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Гондола, оплетённая сеткой, подвешивалась на 8 стропах. Хотя каждая стропа одна выдержи</w:t>
      </w:r>
      <w:r w:rsidRPr="00E93F40">
        <w:rPr>
          <w:rFonts w:ascii="Times New Roman" w:hAnsi="Times New Roman"/>
          <w:color w:val="000000" w:themeColor="text1"/>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2E4A0852"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Гондола имела форму шара диаметром 2,4 м и весом около 160 кг и состояла из труб</w:t>
      </w:r>
      <w:r w:rsidRPr="00E93F40">
        <w:rPr>
          <w:rFonts w:ascii="Times New Roman" w:hAnsi="Times New Roman"/>
          <w:color w:val="000000" w:themeColor="text1"/>
          <w:sz w:val="16"/>
          <w:szCs w:val="16"/>
        </w:rPr>
        <w:softHyphen/>
        <w:t>чатого каркаса и оболочки. Каркас из стальных трубок включал 10 стрингеров и 6 горизонталь</w:t>
      </w:r>
      <w:r w:rsidRPr="00E93F40">
        <w:rPr>
          <w:rFonts w:ascii="Times New Roman" w:hAnsi="Times New Roman"/>
          <w:color w:val="000000" w:themeColor="text1"/>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E93F40">
        <w:rPr>
          <w:rFonts w:ascii="Times New Roman" w:hAnsi="Times New Roman"/>
          <w:color w:val="000000" w:themeColor="text1"/>
          <w:sz w:val="16"/>
          <w:szCs w:val="16"/>
        </w:rPr>
        <w:softHyphen/>
        <w:t>ния изнутри, воспринимала также все местные нагрузки от массы балласта, оборудования и эки</w:t>
      </w:r>
      <w:r w:rsidRPr="00E93F40">
        <w:rPr>
          <w:rFonts w:ascii="Times New Roman" w:hAnsi="Times New Roman"/>
          <w:color w:val="000000" w:themeColor="text1"/>
          <w:sz w:val="16"/>
          <w:szCs w:val="16"/>
        </w:rPr>
        <w:softHyphen/>
        <w:t>пажа, что вызвало местные деформации.</w:t>
      </w:r>
    </w:p>
    <w:p w14:paraId="692DF7D8"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верхнем полюсе гондолы имелся лаз диаме</w:t>
      </w:r>
      <w:r w:rsidRPr="00E93F40">
        <w:rPr>
          <w:rFonts w:ascii="Times New Roman" w:hAnsi="Times New Roman"/>
          <w:color w:val="000000" w:themeColor="text1"/>
          <w:sz w:val="16"/>
          <w:szCs w:val="16"/>
        </w:rPr>
        <w:softHyphen/>
        <w:t>тром 800 мм, закрывавшийся изнутри люком. Вы</w:t>
      </w:r>
      <w:r w:rsidRPr="00E93F40">
        <w:rPr>
          <w:rFonts w:ascii="Times New Roman" w:hAnsi="Times New Roman"/>
          <w:color w:val="000000" w:themeColor="text1"/>
          <w:sz w:val="16"/>
          <w:szCs w:val="16"/>
        </w:rPr>
        <w:softHyphen/>
        <w:t>ход в него осуществлялся по верёвочной лестни</w:t>
      </w:r>
      <w:r w:rsidRPr="00E93F40">
        <w:rPr>
          <w:rFonts w:ascii="Times New Roman" w:hAnsi="Times New Roman"/>
          <w:color w:val="000000" w:themeColor="text1"/>
          <w:sz w:val="16"/>
          <w:szCs w:val="16"/>
        </w:rPr>
        <w:softHyphen/>
        <w:t>це. В целях экономии веса крышка люка не имела специального затворного механизма, а затягива</w:t>
      </w:r>
      <w:r w:rsidRPr="00E93F40">
        <w:rPr>
          <w:rFonts w:ascii="Times New Roman" w:hAnsi="Times New Roman"/>
          <w:color w:val="000000" w:themeColor="text1"/>
          <w:sz w:val="16"/>
          <w:szCs w:val="16"/>
        </w:rPr>
        <w:softHyphen/>
        <w:t>лась на винтах, укреплённых в ободе люка гондо</w:t>
      </w:r>
      <w:r w:rsidRPr="00E93F40">
        <w:rPr>
          <w:rFonts w:ascii="Times New Roman" w:hAnsi="Times New Roman"/>
          <w:color w:val="000000" w:themeColor="text1"/>
          <w:sz w:val="16"/>
          <w:szCs w:val="16"/>
        </w:rPr>
        <w:softHyphen/>
        <w:t>лы, 12 барашками. Уплотнителем для герметич</w:t>
      </w:r>
      <w:r w:rsidRPr="00E93F40">
        <w:rPr>
          <w:rFonts w:ascii="Times New Roman" w:hAnsi="Times New Roman"/>
          <w:color w:val="000000" w:themeColor="text1"/>
          <w:sz w:val="16"/>
          <w:szCs w:val="16"/>
        </w:rPr>
        <w:softHyphen/>
        <w:t>ности служила резиновая прокладка в пазу обода люка. Для открытия люка требовалось отвернуть все барашки и затем снять крышку, на что даже в наземных условиях уходило несколько минут.</w:t>
      </w:r>
    </w:p>
    <w:p w14:paraId="238A134E"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E93F40">
        <w:rPr>
          <w:rFonts w:ascii="Times New Roman" w:hAnsi="Times New Roman"/>
          <w:color w:val="000000" w:themeColor="text1"/>
          <w:sz w:val="16"/>
          <w:szCs w:val="16"/>
        </w:rPr>
        <w:softHyphen/>
        <w:t>люминаторах использовались зеркальные стёкла толщиной 14 мм.</w:t>
      </w:r>
    </w:p>
    <w:p w14:paraId="03135827"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E93F40">
        <w:rPr>
          <w:rFonts w:ascii="Times New Roman" w:hAnsi="Times New Roman"/>
          <w:color w:val="000000" w:themeColor="text1"/>
          <w:sz w:val="16"/>
          <w:szCs w:val="16"/>
        </w:rPr>
        <w:softHyphen/>
        <w:t>ком и засыпали в воронку, из которой она пере</w:t>
      </w:r>
      <w:r w:rsidRPr="00E93F40">
        <w:rPr>
          <w:rFonts w:ascii="Times New Roman" w:hAnsi="Times New Roman"/>
          <w:color w:val="000000" w:themeColor="text1"/>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E93F40">
        <w:rPr>
          <w:rFonts w:ascii="Times New Roman" w:hAnsi="Times New Roman"/>
          <w:color w:val="000000" w:themeColor="text1"/>
          <w:sz w:val="16"/>
          <w:szCs w:val="16"/>
        </w:rPr>
        <w:softHyphen/>
        <w:t>са балласта при наземных испытаниях составля</w:t>
      </w:r>
      <w:r w:rsidRPr="00E93F40">
        <w:rPr>
          <w:rFonts w:ascii="Times New Roman" w:hAnsi="Times New Roman"/>
          <w:color w:val="000000" w:themeColor="text1"/>
          <w:sz w:val="16"/>
          <w:szCs w:val="16"/>
        </w:rPr>
        <w:softHyphen/>
        <w:t>ла 1 кг/с, что при опасном возрастании скорости спуска не позволяло быстро (менее чем за 7 ми</w:t>
      </w:r>
      <w:r w:rsidRPr="00E93F40">
        <w:rPr>
          <w:rFonts w:ascii="Times New Roman" w:hAnsi="Times New Roman"/>
          <w:color w:val="000000" w:themeColor="text1"/>
          <w:sz w:val="16"/>
          <w:szCs w:val="16"/>
        </w:rPr>
        <w:softHyphen/>
        <w:t>нут) освободиться от всего балласта. Амортизато</w:t>
      </w:r>
      <w:r w:rsidRPr="00E93F40">
        <w:rPr>
          <w:rFonts w:ascii="Times New Roman" w:hAnsi="Times New Roman"/>
          <w:color w:val="000000" w:themeColor="text1"/>
          <w:sz w:val="16"/>
          <w:szCs w:val="16"/>
        </w:rPr>
        <w:softHyphen/>
        <w:t>ром при посадке служила резиновая камера, кре</w:t>
      </w:r>
      <w:r w:rsidRPr="00E93F40">
        <w:rPr>
          <w:rFonts w:ascii="Times New Roman" w:hAnsi="Times New Roman"/>
          <w:color w:val="000000" w:themeColor="text1"/>
          <w:sz w:val="16"/>
          <w:szCs w:val="16"/>
        </w:rPr>
        <w:softHyphen/>
        <w:t>пившаяся снизу к сетке, охватывавшей гондолу.</w:t>
      </w:r>
    </w:p>
    <w:p w14:paraId="18298838"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обеспечения работы экипажа в гондо</w:t>
      </w:r>
      <w:r w:rsidRPr="00E93F40">
        <w:rPr>
          <w:rFonts w:ascii="Times New Roman" w:hAnsi="Times New Roman"/>
          <w:color w:val="000000" w:themeColor="text1"/>
          <w:sz w:val="16"/>
          <w:szCs w:val="16"/>
        </w:rPr>
        <w:softHyphen/>
        <w:t>ле предусматривался запас сжатого кислорода в 15-20 баллонах ёмкостью 0,8 л. В полу гондо</w:t>
      </w:r>
      <w:r w:rsidRPr="00E93F40">
        <w:rPr>
          <w:rFonts w:ascii="Times New Roman" w:hAnsi="Times New Roman"/>
          <w:color w:val="000000" w:themeColor="text1"/>
          <w:sz w:val="16"/>
          <w:szCs w:val="16"/>
        </w:rPr>
        <w:softHyphen/>
        <w:t>лы размещалась система поглощения углекисло</w:t>
      </w:r>
      <w:r w:rsidRPr="00E93F40">
        <w:rPr>
          <w:rFonts w:ascii="Times New Roman" w:hAnsi="Times New Roman"/>
          <w:color w:val="000000" w:themeColor="text1"/>
          <w:sz w:val="16"/>
          <w:szCs w:val="16"/>
        </w:rPr>
        <w:softHyphen/>
        <w:t>ты, через которую электрическим вентилятором прокачивался воздух.</w:t>
      </w:r>
    </w:p>
    <w:p w14:paraId="0C5B7ABB"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стратостате находилось разнообразное научное оборудование. Для исследования кос</w:t>
      </w:r>
      <w:r w:rsidRPr="00E93F40">
        <w:rPr>
          <w:rFonts w:ascii="Times New Roman" w:hAnsi="Times New Roman"/>
          <w:color w:val="000000" w:themeColor="text1"/>
          <w:sz w:val="16"/>
          <w:szCs w:val="16"/>
        </w:rPr>
        <w:softHyphen/>
        <w:t>мических лучей предназначались камера Виль</w:t>
      </w:r>
      <w:r w:rsidRPr="00E93F40">
        <w:rPr>
          <w:rFonts w:ascii="Times New Roman" w:hAnsi="Times New Roman"/>
          <w:color w:val="000000" w:themeColor="text1"/>
          <w:sz w:val="16"/>
          <w:szCs w:val="16"/>
        </w:rPr>
        <w:softHyphen/>
        <w:t>сона и два электрометра Гесса. Для исследования напряжённости магнитного поля Земли имел</w:t>
      </w:r>
      <w:r w:rsidRPr="00E93F40">
        <w:rPr>
          <w:rFonts w:ascii="Times New Roman" w:hAnsi="Times New Roman"/>
          <w:color w:val="000000" w:themeColor="text1"/>
          <w:sz w:val="16"/>
          <w:szCs w:val="16"/>
        </w:rPr>
        <w:softHyphen/>
        <w:t>ся магнетрон профессора Яновского. Оборудо</w:t>
      </w:r>
      <w:r w:rsidRPr="00E93F40">
        <w:rPr>
          <w:rFonts w:ascii="Times New Roman" w:hAnsi="Times New Roman"/>
          <w:color w:val="000000" w:themeColor="text1"/>
          <w:sz w:val="16"/>
          <w:szCs w:val="16"/>
        </w:rPr>
        <w:softHyphen/>
        <w:t>вание для фотосъёмки включало обычный и ши</w:t>
      </w:r>
      <w:r w:rsidRPr="00E93F40">
        <w:rPr>
          <w:rFonts w:ascii="Times New Roman" w:hAnsi="Times New Roman"/>
          <w:color w:val="000000" w:themeColor="text1"/>
          <w:sz w:val="16"/>
          <w:szCs w:val="16"/>
        </w:rPr>
        <w:softHyphen/>
        <w:t>рокоформатный фотоаппараты. Имелся также фотометр для измерения прозрачности атмосфе</w:t>
      </w:r>
      <w:r w:rsidRPr="00E93F40">
        <w:rPr>
          <w:rFonts w:ascii="Times New Roman" w:hAnsi="Times New Roman"/>
          <w:color w:val="000000" w:themeColor="text1"/>
          <w:sz w:val="16"/>
          <w:szCs w:val="16"/>
        </w:rPr>
        <w:softHyphen/>
        <w:t>ры и для оптических наблюдений. Для исследо</w:t>
      </w:r>
      <w:r w:rsidRPr="00E93F40">
        <w:rPr>
          <w:rFonts w:ascii="Times New Roman" w:hAnsi="Times New Roman"/>
          <w:color w:val="000000" w:themeColor="text1"/>
          <w:sz w:val="16"/>
          <w:szCs w:val="16"/>
        </w:rPr>
        <w:softHyphen/>
        <w:t>вания химического состава атмосферы инженер М.В. Беженцев (ЛХТИ) разработал прибор для отбора проб воздуха, аналогичный установлен</w:t>
      </w:r>
      <w:r w:rsidRPr="00E93F40">
        <w:rPr>
          <w:rFonts w:ascii="Times New Roman" w:hAnsi="Times New Roman"/>
          <w:color w:val="000000" w:themeColor="text1"/>
          <w:sz w:val="16"/>
          <w:szCs w:val="16"/>
        </w:rPr>
        <w:softHyphen/>
        <w:t>ному на «СССР-1». Гондолу оборудовали ртут</w:t>
      </w:r>
      <w:r w:rsidRPr="00E93F40">
        <w:rPr>
          <w:rFonts w:ascii="Times New Roman" w:hAnsi="Times New Roman"/>
          <w:color w:val="000000" w:themeColor="text1"/>
          <w:sz w:val="16"/>
          <w:szCs w:val="16"/>
        </w:rPr>
        <w:softHyphen/>
        <w:t>ным чашечным барометром и микробарометра</w:t>
      </w:r>
      <w:r w:rsidRPr="00E93F40">
        <w:rPr>
          <w:rFonts w:ascii="Times New Roman" w:hAnsi="Times New Roman"/>
          <w:color w:val="000000" w:themeColor="text1"/>
          <w:sz w:val="16"/>
          <w:szCs w:val="16"/>
        </w:rPr>
        <w:softHyphen/>
        <w:t>ми для измерения малых давлений на высоте. Два метеорографа для записи давления, темпера</w:t>
      </w:r>
      <w:r w:rsidRPr="00E93F40">
        <w:rPr>
          <w:rFonts w:ascii="Times New Roman" w:hAnsi="Times New Roman"/>
          <w:color w:val="000000" w:themeColor="text1"/>
          <w:sz w:val="16"/>
          <w:szCs w:val="16"/>
        </w:rPr>
        <w:softHyphen/>
        <w:t>туры и влажности наружного воздуха поместили вне гондолы — на стропах между ней и оболоч</w:t>
      </w:r>
      <w:r w:rsidRPr="00E93F40">
        <w:rPr>
          <w:rFonts w:ascii="Times New Roman" w:hAnsi="Times New Roman"/>
          <w:color w:val="000000" w:themeColor="text1"/>
          <w:sz w:val="16"/>
          <w:szCs w:val="16"/>
        </w:rPr>
        <w:softHyphen/>
        <w:t>кой. Вне гондолы были и два термографа: один — вблизи клапана, другой — вблизи аппендикса.</w:t>
      </w:r>
    </w:p>
    <w:p w14:paraId="2C800CC2"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со строительством стратоста</w:t>
      </w:r>
      <w:r w:rsidRPr="00E93F40">
        <w:rPr>
          <w:rFonts w:ascii="Times New Roman" w:hAnsi="Times New Roman"/>
          <w:color w:val="000000" w:themeColor="text1"/>
          <w:sz w:val="16"/>
          <w:szCs w:val="16"/>
        </w:rPr>
        <w:softHyphen/>
        <w:t>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Усыскина это был пер</w:t>
      </w:r>
      <w:r w:rsidRPr="00E93F40">
        <w:rPr>
          <w:rFonts w:ascii="Times New Roman" w:hAnsi="Times New Roman"/>
          <w:color w:val="000000" w:themeColor="text1"/>
          <w:sz w:val="16"/>
          <w:szCs w:val="16"/>
        </w:rPr>
        <w:softHyphen/>
        <w:t>вый свободный полёт.</w:t>
      </w:r>
    </w:p>
    <w:p w14:paraId="47764A7D"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E93F40">
        <w:rPr>
          <w:rFonts w:ascii="Times New Roman" w:hAnsi="Times New Roman"/>
          <w:color w:val="000000" w:themeColor="text1"/>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E93F40">
        <w:rPr>
          <w:rFonts w:ascii="Times New Roman" w:hAnsi="Times New Roman"/>
          <w:color w:val="000000" w:themeColor="text1"/>
          <w:sz w:val="16"/>
          <w:szCs w:val="16"/>
        </w:rPr>
        <w:softHyphen/>
        <w:t>стата превратится в парашют.</w:t>
      </w:r>
    </w:p>
    <w:p w14:paraId="20147959"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следующий день комиссия в составе П.Ф. Федосеенко, Е.Е. Чертовского и К.С. Кир- пичникова провела успешные испытания гондо</w:t>
      </w:r>
      <w:r w:rsidRPr="00E93F40">
        <w:rPr>
          <w:rFonts w:ascii="Times New Roman" w:hAnsi="Times New Roman"/>
          <w:color w:val="000000" w:themeColor="text1"/>
          <w:sz w:val="16"/>
          <w:szCs w:val="16"/>
        </w:rPr>
        <w:softHyphen/>
        <w:t>лы на прочность и воздухонепроницаемость на заводе им. Сталина. Разрушение стёкол произо</w:t>
      </w:r>
      <w:r w:rsidRPr="00E93F40">
        <w:rPr>
          <w:rFonts w:ascii="Times New Roman" w:hAnsi="Times New Roman"/>
          <w:color w:val="000000" w:themeColor="text1"/>
          <w:sz w:val="16"/>
          <w:szCs w:val="16"/>
        </w:rPr>
        <w:softHyphen/>
        <w:t>шло при давлении 0,46 МПа (при нормальном сверхдавлении 0,07 МПа). Одновременно прове</w:t>
      </w:r>
      <w:r w:rsidRPr="00E93F40">
        <w:rPr>
          <w:rFonts w:ascii="Times New Roman" w:hAnsi="Times New Roman"/>
          <w:color w:val="000000" w:themeColor="text1"/>
          <w:sz w:val="16"/>
          <w:szCs w:val="16"/>
        </w:rPr>
        <w:softHyphen/>
        <w:t>ли продувку оболочки вентилятором (20120).</w:t>
      </w:r>
    </w:p>
    <w:p w14:paraId="4C80204D" w14:textId="77777777" w:rsidR="00DC3940" w:rsidRPr="00E93F40" w:rsidRDefault="00DC3940" w:rsidP="00E93F40">
      <w:pPr>
        <w:spacing w:after="0" w:line="240" w:lineRule="auto"/>
        <w:jc w:val="both"/>
        <w:rPr>
          <w:rFonts w:ascii="Times New Roman" w:hAnsi="Times New Roman"/>
          <w:color w:val="000000" w:themeColor="text1"/>
          <w:sz w:val="16"/>
          <w:szCs w:val="16"/>
        </w:rPr>
      </w:pPr>
    </w:p>
    <w:p w14:paraId="3AFA2F0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2AEBC6FD"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23D93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Тухачевский предложил создать централизованную систему координации НИР не только НКТП, но и других НК и НКО. Координирующим органом д.б. стать Особый НТК при КО. Постановление О Мобилизации НТ работы для нужд КА было подписано Г.К.О., Бухариным, Павлуновским, Тухачевским, Уншлихтом и Ягодой (9089,175).</w:t>
      </w:r>
    </w:p>
    <w:p w14:paraId="7F4CB8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5A56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Кондаковым и А.А. Толочковым разработан проект 37-мм авиационной пушки АКТ-2. На его базе Кондаковым созданы пушки АКТ-37 и ААК-37, первая из которых была выпущена малой серией.</w:t>
      </w:r>
    </w:p>
    <w:p w14:paraId="4DC4D2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 ЗГУ № 135 от 31.07.1938 г. ОКБ поручено к 7.08.1938 г. дать заключение по улучшению системы «7-2» разработки завода № 7. Этим же приказом в ОКБ создана конструкторская группа для работ по системе Ф-22, для чего сюда с завода № 8 командированы конструкторы Райков и Клингерт.</w:t>
      </w:r>
    </w:p>
    <w:p w14:paraId="12C1F402" w14:textId="4D89C83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спроектированы десятки автоматических авиационных, зенитных и противотанковых пушек, в т.ч. динамореактивных (ДРП). В 1938 г. работы по ДРП закрыты (из-за дискредитировавшего это направление Курчевского), вновь возобновлены в 1943 г.</w:t>
      </w:r>
    </w:p>
    <w:p w14:paraId="35BAA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99сс от 11.07.1941 г. ОКБ-43 НКВ подлежало эвакуации в Йошкар-Олу в помещения Поволжского лесотехнического института.</w:t>
      </w:r>
    </w:p>
    <w:p w14:paraId="553165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1943 г. совместно с НИИ-48 проведены исследования по экранированию танка Т-34 железобетоном.</w:t>
      </w:r>
    </w:p>
    <w:p w14:paraId="630D70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4154 от 17.09.1943 г. начата разработка авиационной ДРП-76.</w:t>
      </w:r>
    </w:p>
    <w:p w14:paraId="159A0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25.02.1945 г. выдано задание на проектирование 25-мм спаренного зенитного автомата 2М-3.</w:t>
      </w:r>
    </w:p>
    <w:p w14:paraId="504DA2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Сюда в 1953 г. переведена часть освобожденных сотрудников из расформированного артиллерийского ОТБ МВД.</w:t>
      </w:r>
    </w:p>
    <w:p w14:paraId="4D6EA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1953 г. ОКБ принимало участие в разработке (вместе с ОКБ-172) 130-мм морской артустановки 2М-110. В 1953 г. </w:t>
      </w:r>
      <w:r w:rsidRPr="00E93F40">
        <w:rPr>
          <w:rFonts w:ascii="Times New Roman" w:hAnsi="Times New Roman"/>
          <w:color w:val="000000" w:themeColor="text1"/>
          <w:sz w:val="16"/>
          <w:szCs w:val="16"/>
          <w:lang w:val="en-US"/>
        </w:rPr>
        <w:t>CKiffa</w:t>
      </w:r>
      <w:r w:rsidRPr="00E93F40">
        <w:rPr>
          <w:rFonts w:ascii="Times New Roman" w:hAnsi="Times New Roman"/>
          <w:color w:val="000000" w:themeColor="text1"/>
          <w:sz w:val="16"/>
          <w:szCs w:val="16"/>
        </w:rPr>
        <w:t xml:space="preserve"> переданы работы по 25-мм 4-ствольной установке 4М-120.</w:t>
      </w:r>
    </w:p>
    <w:p w14:paraId="2873DE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ПСМ № 2362-1125сс от 25.11.1954 г. установка 2М-8 пнв.</w:t>
      </w:r>
    </w:p>
    <w:p w14:paraId="002FC9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1954-56 г. спроектированы 100-мм (И-100) и 130-мм башенные установки для укрепрайонов. Велись работы над орудиями с криволинейным стволом для укрепрайонов.</w:t>
      </w:r>
    </w:p>
    <w:p w14:paraId="44411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1953 г. ОКБ-43 - в ведении МОП. В 1961 г. ОКБ-43 ликвидировано, тематика и личный состав переданы в ЦКБ-34.</w:t>
      </w:r>
    </w:p>
    <w:p w14:paraId="10D212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(1932-54 г.)- М.Н. Кондаков.</w:t>
      </w:r>
    </w:p>
    <w:p w14:paraId="662DF5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(1949 г.)- С. Харыкин.</w:t>
      </w:r>
    </w:p>
    <w:p w14:paraId="0C1FE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Создано: пушки: 37-мм зенитная АКТ-37 (1937), авиационная ААК-37; 45-мм казематная установка ДОТ-4 (1941); 45-мм башенная установка БУР-45 (1941); корабельные зенитные артустановки: У-23, 2-У-23, 4-У-23 (1944), 25-мм спаренная 2М-3 с автоматами 110-ПМ (1945-49), 2М-ЗМ, 25-мм 2М-8 для ПЛ (пнв 25.11.1954 г.), АК-230 с пушкой НН-30 (291П) (1956, пнв в 1962 г.), 30-мм спаренная установка </w:t>
      </w:r>
      <w:r w:rsidRPr="00E93F40">
        <w:rPr>
          <w:rFonts w:ascii="Times New Roman" w:hAnsi="Times New Roman"/>
          <w:color w:val="000000" w:themeColor="text1"/>
          <w:sz w:val="16"/>
          <w:szCs w:val="16"/>
          <w:lang w:val="en-US"/>
        </w:rPr>
        <w:t>KJI</w:t>
      </w:r>
      <w:r w:rsidRPr="00E93F40">
        <w:rPr>
          <w:rFonts w:ascii="Times New Roman" w:hAnsi="Times New Roman"/>
          <w:color w:val="000000" w:themeColor="text1"/>
          <w:sz w:val="16"/>
          <w:szCs w:val="16"/>
        </w:rPr>
        <w:t>-302 (1950-е); авиационные ДРП: 37-мм АРКОН (автоматическая реактивная Кондакова, 1936), ГК-37 (1936), 45-мм ГК-45 (1936), 76-мм ДРП-76 (1949) (11982).</w:t>
      </w:r>
    </w:p>
    <w:p w14:paraId="3E609F93" w14:textId="77777777" w:rsidR="00AA0A76" w:rsidRPr="00E93F40" w:rsidRDefault="00AA0A76" w:rsidP="00E93F40">
      <w:pPr>
        <w:autoSpaceDE w:val="0"/>
        <w:autoSpaceDN w:val="0"/>
        <w:adjustRightInd w:val="0"/>
        <w:spacing w:after="0" w:line="240" w:lineRule="auto"/>
        <w:jc w:val="both"/>
        <w:rPr>
          <w:rFonts w:ascii="Times New Roman" w:hAnsi="Times New Roman"/>
          <w:color w:val="000000" w:themeColor="text1"/>
          <w:sz w:val="16"/>
          <w:szCs w:val="16"/>
        </w:rPr>
      </w:pPr>
    </w:p>
    <w:p w14:paraId="1BD69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по представлению начальника ГАУ РВС постановил ввести на вооружение 76-мм орудий ВПК, МПК, СПК, КПК и ГВПК единый осколочный снаряд массой 4,72 кг. 76,2-мм батальонная пушка Курчевского:</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080"/>
        <w:gridCol w:w="1130"/>
        <w:gridCol w:w="1288"/>
      </w:tblGrid>
      <w:tr w:rsidR="00DA227A" w:rsidRPr="00E93F40" w14:paraId="332497E2" w14:textId="77777777">
        <w:tc>
          <w:tcPr>
            <w:tcW w:w="5080" w:type="dxa"/>
            <w:tcBorders>
              <w:top w:val="single" w:sz="12" w:space="0" w:color="auto"/>
            </w:tcBorders>
          </w:tcPr>
          <w:p w14:paraId="131D1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данные</w:t>
            </w:r>
          </w:p>
        </w:tc>
        <w:tc>
          <w:tcPr>
            <w:tcW w:w="1130" w:type="dxa"/>
            <w:tcBorders>
              <w:top w:val="single" w:sz="12" w:space="0" w:color="auto"/>
            </w:tcBorders>
          </w:tcPr>
          <w:p w14:paraId="5F3DB6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Опытная</w:t>
            </w:r>
          </w:p>
        </w:tc>
        <w:tc>
          <w:tcPr>
            <w:tcW w:w="1288" w:type="dxa"/>
            <w:tcBorders>
              <w:top w:val="single" w:sz="12" w:space="0" w:color="auto"/>
            </w:tcBorders>
          </w:tcPr>
          <w:p w14:paraId="5D80D9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Серийная</w:t>
            </w:r>
          </w:p>
        </w:tc>
      </w:tr>
      <w:tr w:rsidR="00DA227A" w:rsidRPr="00E93F40" w14:paraId="346F24AB" w14:textId="77777777">
        <w:tc>
          <w:tcPr>
            <w:tcW w:w="5080" w:type="dxa"/>
          </w:tcPr>
          <w:p w14:paraId="1DE37C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системы, кг</w:t>
            </w:r>
          </w:p>
        </w:tc>
        <w:tc>
          <w:tcPr>
            <w:tcW w:w="1130" w:type="dxa"/>
          </w:tcPr>
          <w:p w14:paraId="3B1F2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148</w:t>
            </w:r>
          </w:p>
        </w:tc>
        <w:tc>
          <w:tcPr>
            <w:tcW w:w="1288" w:type="dxa"/>
          </w:tcPr>
          <w:p w14:paraId="34301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w:t>
            </w:r>
          </w:p>
        </w:tc>
      </w:tr>
      <w:tr w:rsidR="00DA227A" w:rsidRPr="00E93F40" w14:paraId="76D6418D" w14:textId="77777777">
        <w:tc>
          <w:tcPr>
            <w:tcW w:w="5080" w:type="dxa"/>
          </w:tcPr>
          <w:p w14:paraId="26DE7C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Масса патрона, кг</w:t>
            </w:r>
          </w:p>
        </w:tc>
        <w:tc>
          <w:tcPr>
            <w:tcW w:w="1130" w:type="dxa"/>
          </w:tcPr>
          <w:p w14:paraId="40528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w:t>
            </w:r>
          </w:p>
        </w:tc>
        <w:tc>
          <w:tcPr>
            <w:tcW w:w="1288" w:type="dxa"/>
          </w:tcPr>
          <w:p w14:paraId="39010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4,72*</w:t>
            </w:r>
          </w:p>
        </w:tc>
      </w:tr>
      <w:tr w:rsidR="00DA227A" w:rsidRPr="00E93F40" w14:paraId="54D3BCC6" w14:textId="77777777">
        <w:tc>
          <w:tcPr>
            <w:tcW w:w="5080" w:type="dxa"/>
          </w:tcPr>
          <w:p w14:paraId="149DA3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м</w:t>
            </w:r>
          </w:p>
        </w:tc>
        <w:tc>
          <w:tcPr>
            <w:tcW w:w="1130" w:type="dxa"/>
          </w:tcPr>
          <w:p w14:paraId="7E945B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1,524</w:t>
            </w:r>
          </w:p>
        </w:tc>
        <w:tc>
          <w:tcPr>
            <w:tcW w:w="1288" w:type="dxa"/>
          </w:tcPr>
          <w:p w14:paraId="1C9680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5E6FB1EC" w14:textId="77777777">
        <w:tc>
          <w:tcPr>
            <w:tcW w:w="5080" w:type="dxa"/>
          </w:tcPr>
          <w:p w14:paraId="59FDD3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Давление пороховых газов, кг см</w:t>
            </w:r>
            <w:r w:rsidRPr="00E93F40">
              <w:rPr>
                <w:rFonts w:ascii="Times New Roman" w:hAnsi="Times New Roman"/>
                <w:color w:val="000000" w:themeColor="text1"/>
                <w:sz w:val="16"/>
                <w:szCs w:val="16"/>
                <w:vertAlign w:val="superscript"/>
              </w:rPr>
              <w:t>2</w:t>
            </w:r>
          </w:p>
        </w:tc>
        <w:tc>
          <w:tcPr>
            <w:tcW w:w="1130" w:type="dxa"/>
          </w:tcPr>
          <w:p w14:paraId="79B2E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1288" w:type="dxa"/>
          </w:tcPr>
          <w:p w14:paraId="5E64DC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9A84A5C" w14:textId="77777777">
        <w:tc>
          <w:tcPr>
            <w:tcW w:w="5080" w:type="dxa"/>
          </w:tcPr>
          <w:p w14:paraId="7E098A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снаряда начальная, м/с</w:t>
            </w:r>
          </w:p>
        </w:tc>
        <w:tc>
          <w:tcPr>
            <w:tcW w:w="1130" w:type="dxa"/>
          </w:tcPr>
          <w:p w14:paraId="4F12E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w:t>
            </w:r>
          </w:p>
        </w:tc>
        <w:tc>
          <w:tcPr>
            <w:tcW w:w="1288" w:type="dxa"/>
          </w:tcPr>
          <w:p w14:paraId="2295D8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763CA09" w14:textId="77777777">
        <w:tc>
          <w:tcPr>
            <w:tcW w:w="5080" w:type="dxa"/>
          </w:tcPr>
          <w:p w14:paraId="78398F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стрельбы, км</w:t>
            </w:r>
          </w:p>
        </w:tc>
        <w:tc>
          <w:tcPr>
            <w:tcW w:w="1130" w:type="dxa"/>
          </w:tcPr>
          <w:p w14:paraId="534C9A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288" w:type="dxa"/>
          </w:tcPr>
          <w:p w14:paraId="3CDF8E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r>
      <w:tr w:rsidR="00DA227A" w:rsidRPr="00E93F40" w14:paraId="70A6DFF2" w14:textId="77777777">
        <w:tc>
          <w:tcPr>
            <w:tcW w:w="5080" w:type="dxa"/>
          </w:tcPr>
          <w:p w14:paraId="7A4AAA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Скорострельность, выстр./мин</w:t>
            </w:r>
          </w:p>
        </w:tc>
        <w:tc>
          <w:tcPr>
            <w:tcW w:w="1130" w:type="dxa"/>
          </w:tcPr>
          <w:p w14:paraId="1D88B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288" w:type="dxa"/>
          </w:tcPr>
          <w:p w14:paraId="222140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661A5A4B" w14:textId="77777777">
        <w:tc>
          <w:tcPr>
            <w:tcW w:w="5080" w:type="dxa"/>
            <w:tcBorders>
              <w:bottom w:val="single" w:sz="12" w:space="0" w:color="auto"/>
            </w:tcBorders>
          </w:tcPr>
          <w:p w14:paraId="4CEA4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возвышения, град.</w:t>
            </w:r>
          </w:p>
        </w:tc>
        <w:tc>
          <w:tcPr>
            <w:tcW w:w="1130" w:type="dxa"/>
            <w:tcBorders>
              <w:bottom w:val="single" w:sz="12" w:space="0" w:color="auto"/>
            </w:tcBorders>
          </w:tcPr>
          <w:p w14:paraId="52C85A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c>
          <w:tcPr>
            <w:tcW w:w="1288" w:type="dxa"/>
            <w:tcBorders>
              <w:bottom w:val="single" w:sz="12" w:space="0" w:color="auto"/>
            </w:tcBorders>
          </w:tcPr>
          <w:p w14:paraId="6B52E4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bl>
    <w:p w14:paraId="1C06CC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(11617).</w:t>
      </w:r>
    </w:p>
    <w:p w14:paraId="4BE71C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B87E5" w14:textId="77777777" w:rsidR="00AA0A76" w:rsidRPr="00E93F40" w:rsidRDefault="00AA0A76"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rPr>
        <w:t>В октябре 1932 и в мае 1932 и на НИАПе испытывали БПК:</w:t>
      </w:r>
    </w:p>
    <w:p w14:paraId="12D962C4" w14:textId="77777777" w:rsidR="00AA0A76" w:rsidRPr="00E93F40" w:rsidRDefault="00AA0A76" w:rsidP="00E93F40">
      <w:pPr>
        <w:spacing w:after="0" w:line="240" w:lineRule="auto"/>
        <w:jc w:val="both"/>
        <w:rPr>
          <w:rFonts w:ascii="Times New Roman" w:hAnsi="Times New Roman"/>
          <w:bCs/>
          <w:color w:val="000000" w:themeColor="text1"/>
          <w:sz w:val="16"/>
          <w:szCs w:val="16"/>
        </w:rPr>
      </w:pPr>
      <w:r w:rsidRPr="00E93F40">
        <w:rPr>
          <w:rFonts w:ascii="Times New Roman" w:hAnsi="Times New Roman"/>
          <w:bCs/>
          <w:color w:val="000000" w:themeColor="text1"/>
          <w:sz w:val="16"/>
          <w:szCs w:val="16"/>
          <w:vertAlign w:val="superscript"/>
        </w:rPr>
        <w:t>Дата испытания …… Май 1932 г. … Октябрь 1932 г.</w:t>
      </w:r>
    </w:p>
    <w:p w14:paraId="38AEB55F"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76,2 — 76,2</w:t>
      </w:r>
    </w:p>
    <w:p w14:paraId="2170D1E2"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без воронки, мм/клб …… 1513/19,9 … 1513/19,9</w:t>
      </w:r>
    </w:p>
    <w:p w14:paraId="003092D0"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воронки, мм …… 789 … 735</w:t>
      </w:r>
    </w:p>
    <w:p w14:paraId="627CE285"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нарезной части, мм …… 1111 … 1110</w:t>
      </w:r>
    </w:p>
    <w:p w14:paraId="6C0AE18E"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каморы, мм …… 404 … 403</w:t>
      </w:r>
    </w:p>
    <w:p w14:paraId="787BF99F"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нарезов …… 24 … 24</w:t>
      </w:r>
    </w:p>
    <w:p w14:paraId="47243E79"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Угол ВН, град.: </w:t>
      </w:r>
    </w:p>
    <w:p w14:paraId="547D8F95"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 подрытая грунта …… -23°; +45° … —</w:t>
      </w:r>
    </w:p>
    <w:p w14:paraId="6FFA28FC"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соплом с подрытием грунта …… +64° … -17°40'; +45°</w:t>
      </w:r>
    </w:p>
    <w:p w14:paraId="6B032DED"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ГН, град. …… — … ±6°</w:t>
      </w:r>
    </w:p>
    <w:p w14:paraId="7405C9F7"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линии огня, мм …… 875 … 1630</w:t>
      </w:r>
    </w:p>
    <w:p w14:paraId="1D220617"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системы, мм …… — … 2435</w:t>
      </w:r>
    </w:p>
    <w:p w14:paraId="3D504F7C"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системы, мм …… — … 1800</w:t>
      </w:r>
    </w:p>
    <w:p w14:paraId="4D062B8D"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хода, мм …… 1315 … 1255</w:t>
      </w:r>
    </w:p>
    <w:p w14:paraId="00C1A275"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Высота системы при угле ВЦ, мм: </w:t>
      </w:r>
    </w:p>
    <w:p w14:paraId="1F821B01"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 …… 1117 … 1115</w:t>
      </w:r>
    </w:p>
    <w:p w14:paraId="5D52A731"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 …… 1730 … 1700</w:t>
      </w:r>
    </w:p>
    <w:p w14:paraId="46E4E020"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Диаметр колес, мм …… 750 … 600 (от ДРП-4)</w:t>
      </w:r>
    </w:p>
    <w:p w14:paraId="5576FB33"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Клиренс, мм …… — … 280</w:t>
      </w:r>
    </w:p>
    <w:p w14:paraId="508FA99F"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затвора с воронкой, кг …… 12,55 … 14,00</w:t>
      </w:r>
    </w:p>
    <w:p w14:paraId="326B074A"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затвора, кг …… — … 6,45</w:t>
      </w:r>
    </w:p>
    <w:p w14:paraId="4F036325"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воронки, кг …… — … 7,55</w:t>
      </w:r>
    </w:p>
    <w:p w14:paraId="4FFF644C"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тела орудия с затвором и воронкой, кг …… 63,5 … 90,5</w:t>
      </w:r>
    </w:p>
    <w:p w14:paraId="13B799FE"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 система в боевом положении с приделом, кг …… 148,6 … 162,5</w:t>
      </w:r>
    </w:p>
    <w:p w14:paraId="059B6BB6"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 система в походном положении, кг …… 148,5 … 160,5</w:t>
      </w:r>
    </w:p>
    <w:p w14:paraId="367FCEB4"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перехода из походного положения в боевое, с …… 47 … —</w:t>
      </w:r>
    </w:p>
    <w:p w14:paraId="6029A1F6"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перехода из боевого положения в походное, с …… 52 … —</w:t>
      </w:r>
    </w:p>
    <w:p w14:paraId="38373AA7"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Скорострельность, выстр/мин.: </w:t>
      </w:r>
    </w:p>
    <w:p w14:paraId="39D1DBCE"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изменением наводки …… 6 … —</w:t>
      </w:r>
    </w:p>
    <w:p w14:paraId="42EA3E16"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 изменения наводки …… 7 … —</w:t>
      </w:r>
    </w:p>
    <w:p w14:paraId="2F5C9A13"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боекомплект ВПК входили:</w:t>
      </w:r>
    </w:p>
    <w:p w14:paraId="0E8F9AB4"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Старая русская граната весом 6,5 кг, длиной 4,04 калибра. Вес взрывчатого вещества в гранате 0,86 кг. Взрыватель ЗГТ.</w:t>
      </w:r>
    </w:p>
    <w:p w14:paraId="362EB007"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Осколочно-фугасная граната эталон 124 весом 6,23 кг, длиной 4,7 калибра. Вес взрывчатого вещества 0,73 кг. Взрыватель КТ-1.</w:t>
      </w:r>
    </w:p>
    <w:p w14:paraId="3823BEB5"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Осколочно-фугасный снаряд чертежа 3421 весом 4,715 кг, длиной 3,95 калибра. Вес взрывчатого вещества в снаряде 0,702 кг. Взрыватель КТ-1.</w:t>
      </w:r>
    </w:p>
    <w:p w14:paraId="4E57E824"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момент испытаний ВПК снаряды еще не имели индексов. Граната эталон 124 — новый снаряд «дальнобойной формы» для дивизионных пушек, позже его назовут ОФ-350.</w:t>
      </w:r>
    </w:p>
    <w:p w14:paraId="1D71845F"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Осколочно-фугасный снаряд чертежа 3421 — легкий снаряд, специально созданный для ВПК. Его модификация весом 4,75 кг, длиной 3,9 калибра, содержавший 0,69 кг тротила, с взрывателем КТМ-1 или КТ-1, будет запущен в массовое производство. Позже он получит индекс ОФ-343. После снятия с вооружения ВПК снарядом ОФ-343 будут комплектоваться выстрелы для 76-мм полковых пушек обр. 1927 г. и танковых пушек обр. 1927/1932 г.</w:t>
      </w:r>
    </w:p>
    <w:p w14:paraId="26EFFB71"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Попытка использовать в БПК железные гильзы не удалась, поэтому патроны к БПК были в латунных гильзах. Гильзы имели отверстия в дне и сбоку. Отверстия в гильзе закрывали деревянными (березовыми) или картонными донышками. Толщина картона в боковом отверстии 6 мм, а на дне — 4 мм. Кроме того, использовались и гагатовые донышки, но они давали крупные осколки (15117).</w:t>
      </w:r>
    </w:p>
    <w:p w14:paraId="5F8DEA1A" w14:textId="77777777" w:rsidR="00AA0A76" w:rsidRPr="00E93F40" w:rsidRDefault="00AA0A76" w:rsidP="00E93F40">
      <w:pPr>
        <w:spacing w:after="0" w:line="240" w:lineRule="auto"/>
        <w:jc w:val="both"/>
        <w:rPr>
          <w:rFonts w:ascii="Times New Roman" w:hAnsi="Times New Roman"/>
          <w:color w:val="000000" w:themeColor="text1"/>
          <w:sz w:val="16"/>
          <w:szCs w:val="16"/>
        </w:rPr>
      </w:pPr>
    </w:p>
    <w:p w14:paraId="625AC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в НТУ УММ РККА состоялось совещание по вопросу установки на БТ 76-мм полкового орудия обр. 1927 г без удлинения корпуса танка. Общий вид башни разрабатывал завод 1, а укладку снарядов - Красный путиловец. Дальше техпроекта вариант не прорабатывался (3879,22).</w:t>
      </w:r>
    </w:p>
    <w:p w14:paraId="50CF6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FAF8DBF" w14:textId="77777777" w:rsidR="00AA0A76" w:rsidRPr="00E93F40" w:rsidRDefault="00AA0A7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декабре 1932 г. состоялось совещание в НТУ УММ по вопросу установки 76,2-мм полкового орудия обр. 1927 г. в </w:t>
      </w:r>
      <w:hyperlink r:id="rId303"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 xml:space="preserve"> БТ без удлинения его корпуса (допускались небольшие переделки). Общий вид башни разрабатывал завод № 1, а укладка снарядов выполнялась заводом «Красный Путиловец». Однако дальше технического проекта этот вариант усиления огневой мощи БТ-2 не прорабатывался (15619).</w:t>
      </w:r>
    </w:p>
    <w:p w14:paraId="4CDD9FF1" w14:textId="77777777" w:rsidR="00AA0A76" w:rsidRPr="00E93F40" w:rsidRDefault="00AA0A76" w:rsidP="00E93F40">
      <w:pPr>
        <w:spacing w:after="0" w:line="240" w:lineRule="auto"/>
        <w:jc w:val="both"/>
        <w:rPr>
          <w:rFonts w:ascii="Times New Roman" w:hAnsi="Times New Roman"/>
          <w:color w:val="000000" w:themeColor="text1"/>
          <w:sz w:val="16"/>
          <w:szCs w:val="16"/>
        </w:rPr>
      </w:pPr>
    </w:p>
    <w:p w14:paraId="6D4DCC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на завод «Красный Путиловец» поступили кондукторы и шаблоны для участка механичес</w:t>
      </w:r>
      <w:r w:rsidRPr="00E93F40">
        <w:rPr>
          <w:rFonts w:ascii="Times New Roman" w:hAnsi="Times New Roman"/>
          <w:color w:val="000000" w:themeColor="text1"/>
          <w:sz w:val="16"/>
          <w:szCs w:val="16"/>
        </w:rPr>
        <w:softHyphen/>
        <w:t>кой обработки. Для выпуска Т-28 на «Красном Путиловце» был выделен один из самых больших цехов — МХ-2 («вто</w:t>
      </w:r>
      <w:r w:rsidRPr="00E93F40">
        <w:rPr>
          <w:rFonts w:ascii="Times New Roman" w:hAnsi="Times New Roman"/>
          <w:color w:val="000000" w:themeColor="text1"/>
          <w:sz w:val="16"/>
          <w:szCs w:val="16"/>
        </w:rPr>
        <w:softHyphen/>
        <w:t>рой механический»), называемый также «паровозным». Так как цех долгое время простоял без работы, практи</w:t>
      </w:r>
      <w:r w:rsidRPr="00E93F40">
        <w:rPr>
          <w:rFonts w:ascii="Times New Roman" w:hAnsi="Times New Roman"/>
          <w:color w:val="000000" w:themeColor="text1"/>
          <w:sz w:val="16"/>
          <w:szCs w:val="16"/>
        </w:rPr>
        <w:softHyphen/>
        <w:t>чески все оборудование в нем было заброшено или закон</w:t>
      </w:r>
      <w:r w:rsidRPr="00E93F40">
        <w:rPr>
          <w:rFonts w:ascii="Times New Roman" w:hAnsi="Times New Roman"/>
          <w:color w:val="000000" w:themeColor="text1"/>
          <w:sz w:val="16"/>
          <w:szCs w:val="16"/>
        </w:rPr>
        <w:softHyphen/>
        <w:t>сервировано. Но в основном это все были станки дорево</w:t>
      </w:r>
      <w:r w:rsidRPr="00E93F40">
        <w:rPr>
          <w:rFonts w:ascii="Times New Roman" w:hAnsi="Times New Roman"/>
          <w:color w:val="000000" w:themeColor="text1"/>
          <w:sz w:val="16"/>
          <w:szCs w:val="16"/>
        </w:rPr>
        <w:softHyphen/>
        <w:t>люционного выпуска и потому слабо пригодные без допол</w:t>
      </w:r>
      <w:r w:rsidRPr="00E93F40">
        <w:rPr>
          <w:rFonts w:ascii="Times New Roman" w:hAnsi="Times New Roman"/>
          <w:color w:val="000000" w:themeColor="text1"/>
          <w:sz w:val="16"/>
          <w:szCs w:val="16"/>
        </w:rPr>
        <w:softHyphen/>
        <w:t>нительного усовершенствования. Практически полностью отсутствовал мерительный инструмент и резцы. Поэтому для оснащения завода по личному распоряжению С. Киро</w:t>
      </w:r>
      <w:r w:rsidRPr="00E93F40">
        <w:rPr>
          <w:rFonts w:ascii="Times New Roman" w:hAnsi="Times New Roman"/>
          <w:color w:val="000000" w:themeColor="text1"/>
          <w:sz w:val="16"/>
          <w:szCs w:val="16"/>
        </w:rPr>
        <w:softHyphen/>
        <w:t>ва необходимое оборудование собирали со всех простаи</w:t>
      </w:r>
      <w:r w:rsidRPr="00E93F40">
        <w:rPr>
          <w:rFonts w:ascii="Times New Roman" w:hAnsi="Times New Roman"/>
          <w:color w:val="000000" w:themeColor="text1"/>
          <w:sz w:val="16"/>
          <w:szCs w:val="16"/>
        </w:rPr>
        <w:softHyphen/>
        <w:t>вавших предприятий Ленинграда. Кроме того, на завод бы</w:t>
      </w:r>
      <w:r w:rsidRPr="00E93F40">
        <w:rPr>
          <w:rFonts w:ascii="Times New Roman" w:hAnsi="Times New Roman"/>
          <w:color w:val="000000" w:themeColor="text1"/>
          <w:sz w:val="16"/>
          <w:szCs w:val="16"/>
        </w:rPr>
        <w:softHyphen/>
        <w:t>ли переведены несколько мастеров и опытных рабочих с судостроительных предприятий, которые не имели преж</w:t>
      </w:r>
      <w:r w:rsidRPr="00E93F40">
        <w:rPr>
          <w:rFonts w:ascii="Times New Roman" w:hAnsi="Times New Roman"/>
          <w:color w:val="000000" w:themeColor="text1"/>
          <w:sz w:val="16"/>
          <w:szCs w:val="16"/>
        </w:rPr>
        <w:softHyphen/>
        <w:t>ней загрузки (10733,240).</w:t>
      </w:r>
    </w:p>
    <w:p w14:paraId="5CA3611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D095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w:t>
      </w:r>
      <w:r w:rsidRPr="00E93F40">
        <w:rPr>
          <w:rFonts w:ascii="Times New Roman" w:hAnsi="Times New Roman"/>
          <w:color w:val="000000" w:themeColor="text1"/>
          <w:sz w:val="16"/>
          <w:szCs w:val="16"/>
        </w:rPr>
        <w:softHyphen/>
        <w:t>кабре 1932 Т-35-1 был передан в распоряжение ЛБТКУКС (Ленинградских бронетанковых курсов усовершенствования ко</w:t>
      </w:r>
      <w:r w:rsidRPr="00E93F40">
        <w:rPr>
          <w:rFonts w:ascii="Times New Roman" w:hAnsi="Times New Roman"/>
          <w:color w:val="000000" w:themeColor="text1"/>
          <w:sz w:val="16"/>
          <w:szCs w:val="16"/>
        </w:rPr>
        <w:softHyphen/>
        <w:t>мандного состава) (10733,262).</w:t>
      </w:r>
    </w:p>
    <w:p w14:paraId="16FDBF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658D43"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1932 года первый образец тяжелого танка Т-35-1 пе</w:t>
      </w:r>
      <w:r w:rsidRPr="00142305">
        <w:rPr>
          <w:rFonts w:ascii="Times New Roman" w:hAnsi="Times New Roman"/>
          <w:color w:val="0070C0"/>
          <w:sz w:val="16"/>
          <w:szCs w:val="16"/>
        </w:rPr>
        <w:softHyphen/>
        <w:t>редали в распоряжение Ленинградских бро</w:t>
      </w:r>
      <w:r w:rsidRPr="00142305">
        <w:rPr>
          <w:rFonts w:ascii="Times New Roman" w:hAnsi="Times New Roman"/>
          <w:color w:val="0070C0"/>
          <w:sz w:val="16"/>
          <w:szCs w:val="16"/>
        </w:rPr>
        <w:softHyphen/>
        <w:t>нетанковых курсов усовершенствования ко</w:t>
      </w:r>
      <w:r w:rsidRPr="00142305">
        <w:rPr>
          <w:rFonts w:ascii="Times New Roman" w:hAnsi="Times New Roman"/>
          <w:color w:val="0070C0"/>
          <w:sz w:val="16"/>
          <w:szCs w:val="16"/>
        </w:rPr>
        <w:softHyphen/>
        <w:t>мандного состава (Л БТКУКС) (25014).</w:t>
      </w:r>
    </w:p>
    <w:p w14:paraId="1DE92520" w14:textId="77777777" w:rsidR="00745B62" w:rsidRPr="00142305" w:rsidRDefault="00745B62" w:rsidP="00745B62">
      <w:pPr>
        <w:spacing w:after="0" w:line="240" w:lineRule="auto"/>
        <w:jc w:val="both"/>
        <w:rPr>
          <w:rFonts w:ascii="Times New Roman" w:hAnsi="Times New Roman"/>
          <w:color w:val="0070C0"/>
          <w:sz w:val="16"/>
          <w:szCs w:val="16"/>
        </w:rPr>
      </w:pPr>
    </w:p>
    <w:p w14:paraId="1FB731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декабре 1932 по заказу СССР в соответствии с ТТТ УММ итальянская фирма Ансальдо разработала проект тяжелого танка массой 65-70 т. Изготовили чертежи и полноразмерный деревянный макет, которые в январе 1933 были переданы в ОКМО завода Ворошилова и ЭКУ ОГПУ. От изготовления опытного образца - отказались (9527,152).</w:t>
      </w:r>
    </w:p>
    <w:p w14:paraId="51EFD1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423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в телетанк ТТ-18 была установлена шестнадцатикомандная аппаратура для управления со стационарного пункта, изготовленная в Московском отделении Остехбюро (9527,200).</w:t>
      </w:r>
    </w:p>
    <w:p w14:paraId="1E4F03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848D5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было расформировано ОК и испытательное бюро УММ (9527,71).</w:t>
      </w:r>
    </w:p>
    <w:p w14:paraId="7D327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074E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w:t>
      </w:r>
      <w:r w:rsidRPr="00E93F40">
        <w:rPr>
          <w:rFonts w:ascii="Times New Roman" w:hAnsi="Times New Roman"/>
          <w:color w:val="000000" w:themeColor="text1"/>
          <w:sz w:val="16"/>
          <w:szCs w:val="16"/>
        </w:rPr>
        <w:softHyphen/>
        <w:t>да военные отказались от услуг Дыренкова, уволив его с должности начальника опытно-конструкторского и испытательного бюро. После этого Дыренков предлагал свои услуги КБ ОГПУ, но и здесь его ждала неудача. По некоторым данным, он погиб в автокатастрофе в середине 30-х годов (11284).</w:t>
      </w:r>
    </w:p>
    <w:p w14:paraId="1A5326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46FFA" w14:textId="77777777" w:rsidR="00720D22" w:rsidRPr="00E93F40" w:rsidRDefault="00720D2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машины на «сверхбаллонах» отправились по маршруту Москва-Севастополь-Москва. Это еще были автомобили Ford А советской сборки. Они показали не только лучшую проходимость по сравнению с машинами, «обутыми» в стандартные шины, но и гораздо большую устойчивость на скользких участках пути, а также мягкость хода по плохим дорогам В то же время обнаружились некоторые недостатки этих колес. Поэтому профиль шин был уменьшен с 250 мм до 200 мм, а диаметр обода был увеличен до 400 мм. Внутреннее давление в шинах повысили до 0,9-1,0 кг/см2. Такие шины занимали промежуточное положение между стандартными колесами и первыми вариантами «сверхбаллонов» и показали характеристики, наиболее близкие к нормальной эксплуатации, тогда как колеса 800x250 мм больше подходили для работы в самых сложных условиях. В знаменитом автопробеге Москва-Каракумы-Москва, проводившемся летом 1933 года, использовались «сверхбаллоны» обоих размеров (800x250 мм и 800x200 мм) разработки НИИРП, а также «сверхбаллоны» размера 800x200 мм конструкции и изготовления Ярославского шинного завода.</w:t>
      </w:r>
    </w:p>
    <w:p w14:paraId="5C4873B4" w14:textId="77777777" w:rsidR="00720D22" w:rsidRPr="00E93F40" w:rsidRDefault="00720D2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Научно-исследовательский институт резиновой промышленности (НИИРП) приступил к проектированию экспериментальной шины большого профиля - «сверхбаллон» для легковых автомобилей модели А. После проработки нескольких вариантов была выбрана покрышка с наружным диаметром 800 мм, профилем 250 мм и диаметром обода 300 мм. Стандартная покрышка «баллон» размером 28x4,75 для ГАЗ - А имела профиль около 120 мм и диаметр обода 485 мм. Таким образом, профиль новой шины был увеличен более чем в два раза. А вот ширину обода с целью улучшения устойчивости шины в осевом направлении и, соответственно, уменьшения возможности появления эффекта «шимми» сделали, наоборот, непривычно большой 170 мм. Из-за того, что давление в шине снижалось до 0,7-0,8кг/см2, возникала опасность проворачивания шины на ободе. Чтобы избежать такой опасности, на бортах «сверхбаллонов» и ободе были изготовлены шлицы, с помощью которых они надежно крепились относительно друг друга. А чтобы уменьшить вес и обеспечить быстрое изготовление экспериментальных колес, диски для них были отлиты из алюминия! Первые испытания новые колеса прошли еще в 1932 году, на песчаных пляжах Москвы-реки. Они показали, что направление изысканий было выбрано правильно. Эффекта «шимми» не наблюдалось даже на максимальных скоростях движения, расход топлива возрос незначительно (на 2-5%), а максимальная скорость на шасси упала всего на 5-8%. Правда, из-за возросших нагрузок на рулевом колесе усложнилось управление автомобиля, но это посчитали вполне закономерным.</w:t>
      </w:r>
    </w:p>
    <w:p w14:paraId="628BAED6" w14:textId="77777777" w:rsidR="00720D22" w:rsidRPr="00E93F40" w:rsidRDefault="00720D2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«сверхбаллонах» легковые автомобили свободно преодолевали без посторонней помощи самые сложные барханные и сыпучие пески, и предел их проходимости на колесах размером 800x250 мм так и не был найден. Таким образом, проблему движения стандартных автомобилей по слабым грунтам можно было считать решенной (15656).</w:t>
      </w:r>
    </w:p>
    <w:p w14:paraId="23BF2E8C" w14:textId="77777777" w:rsidR="00720D22" w:rsidRPr="00E93F40" w:rsidRDefault="00720D22" w:rsidP="00E93F40">
      <w:pPr>
        <w:spacing w:after="0" w:line="240" w:lineRule="auto"/>
        <w:jc w:val="both"/>
        <w:rPr>
          <w:rFonts w:ascii="Times New Roman" w:hAnsi="Times New Roman"/>
          <w:color w:val="000000" w:themeColor="text1"/>
          <w:sz w:val="16"/>
          <w:szCs w:val="16"/>
        </w:rPr>
      </w:pPr>
    </w:p>
    <w:p w14:paraId="78696C6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к пятилетию общества Автодор, ленинградцы завершили сборку опытного образца первого отечественного пожарного мотоцикла Л-600. Он был значительно тяжелее серийного Л-300, поэтому его «обули» ' в более солидные колеса. Да и внешне Л-600 производил внушительное впечатление — обмотанный двумя четырехметровыми заборными рукавами, с объемистым, двадцатилитровым бензобаком, двухступенчатым центробежным насосом в коляске, рядом с которым находились плотно скатанные брезентовые рукава общей длиной 105 м и два стальных ствола. Под седлом пассажира лежал комплект необходимых инструментов. Добавим, что переднее колесо крепилось на рычажной, двухпружинной подвеске, а заднее осью жестко монтировалось на раме. Кузов коляски подвешивался на двух эллиптических рессорах.</w:t>
      </w:r>
    </w:p>
    <w:p w14:paraId="7F717AF1"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20-е годы мотоциклы все чаще стали применять в качестве средства «малой моторизации». Например, американцы оборудовали на них передвижные авторемонтные мастерские и перевозили небольшие партии товаров. В Германии, Италии и Франции их использовали в роли такси. Приглянулись эти недорогие маневренные машины и врачам. Широко стали использовать мотоциклы и военные: на них разъезжали не только разведчики, но и расчеты зенитных пулеметов и легких пушек, которые обычно монтировались на боковом прицепе.</w:t>
      </w:r>
    </w:p>
    <w:p w14:paraId="3F867EBD"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Осваивали скоростную, маневренную технику пожарные. Первое время в коляску просто укладывались пенные огнетушители, по 10—20 баллонов. Примчавшись на место пожара, водитель и боец доставали их и приступали к тушению очага возгорания. Немецкие же пожарные предпочли укладывать в коляску переносную мотопомпу, шланги и прочий необходимый на месте инвентарь.</w:t>
      </w:r>
    </w:p>
    <w:p w14:paraId="25B8F6FF"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Побывав в Германии, советские специалисты отметили, что пожарные мотоциклы имелись почти в каждом селе. Было над чем поразмыслить, учитывая особенности наших деревень и провинциальных городков, где дома из дерева. В общем, за создание пожарного мотоцикла взялись и у нас.</w:t>
      </w:r>
    </w:p>
    <w:p w14:paraId="43E8626A"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уже знакомом нам заводе «Промет» с 1931 года - выпускали моторизованную пожарную технику, в частности мотопомпы. Их оснащали двигателями, которые шли на серийные мотоциклы Л-300, но предварительно переделывали в двухцилиндровый, водяного охлаждения, подсоединяя к нему через резиновую муфту центробежный двухступенчатый насос. «Сельская мотопомпа» МП-2 при габаритах 860Х625X665 мм весила 140 кг. Внушительно, а ведь к ней полагались еще шланги, брезентовые рукава, стволы и прочий инвентарь. Словом, переносить все это с трудом удавалось четверым пожарным, да и то на небольшое расстояние.</w:t>
      </w:r>
    </w:p>
    <w:p w14:paraId="451444D0"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освоения «Прометом» серийного выпуска Л-300 на этом заводе работал инженер по специальности и мотоспортсмен по увлечению А. Байков. Он и в мотоциклах разбирался, и противопожарную технику знал отменно. Ему-то и пришла идея создать специализированный пожарный мотоцикл на базе Л-300 и МП-2.</w:t>
      </w:r>
    </w:p>
    <w:p w14:paraId="35A0C444"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последней позаимствовали водяной насос, коленвал, поршни, шатуны, карбюратор и систему охлаждения. Цилиндры двигателя рабочим объемом 600 см3 переделали на воздушное охлаждение, на хвостовик основного коленвала поставили крыльчатку центробежного вентилятора. Коробку передач Байков спроектировал сам, связав ее с мотором сухим, однодисковым сцеплением. Орудуя рычагом, водитель мог переключать двигатель на заднее колесо (три скорости вперед, одна назад) или на центробежный насос, размещенный в коляске. Возможно, впервые в практике мотоциклостроения Байков применил два коленвала (11396).</w:t>
      </w:r>
    </w:p>
    <w:p w14:paraId="73964356" w14:textId="77777777" w:rsidR="007B1D3C" w:rsidRPr="00E93F40" w:rsidRDefault="007B1D3C" w:rsidP="00E93F4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223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был сдан в эксплуатацию головной лесовоз "Волголес", заложенный на ленинградском заводеим. А. Марта в 1930 г. Заводом им. А. Марта построены также "Двинолес", "Комилес", "Севзаплес", "Экспортлес" (затем "Максим Горький"), "Северолес" (затем "Кузнец Лесов"), "Клара Цеткин" и "Лесбел" (затем "Вторая пятилетка"), т. е. всего восемь лесовозов, включая головной. Два судна — "Мурманлес" и "Старый большевик" — построила Северная верфь в Ленинграде. Кроме этого два однотипных судна — "Коллек</w:t>
      </w:r>
      <w:r w:rsidRPr="00E93F40">
        <w:rPr>
          <w:rFonts w:ascii="Times New Roman" w:hAnsi="Times New Roman"/>
          <w:color w:val="000000" w:themeColor="text1"/>
          <w:sz w:val="16"/>
          <w:szCs w:val="16"/>
        </w:rPr>
        <w:softHyphen/>
        <w:t>тивизация" и "Строительство" — построены в 1932—1939 гг. нико</w:t>
      </w:r>
      <w:r w:rsidRPr="00E93F40">
        <w:rPr>
          <w:rFonts w:ascii="Times New Roman" w:hAnsi="Times New Roman"/>
          <w:color w:val="000000" w:themeColor="text1"/>
          <w:sz w:val="16"/>
          <w:szCs w:val="16"/>
        </w:rPr>
        <w:softHyphen/>
        <w:t>лаевским заводом им. 61 Коммунара. В ходе постройки они были переоборудованы в рудовозы для линии Камыш-Бурун—Мариу</w:t>
      </w:r>
      <w:r w:rsidRPr="00E93F40">
        <w:rPr>
          <w:rFonts w:ascii="Times New Roman" w:hAnsi="Times New Roman"/>
          <w:color w:val="000000" w:themeColor="text1"/>
          <w:sz w:val="16"/>
          <w:szCs w:val="16"/>
        </w:rPr>
        <w:softHyphen/>
        <w:t>поль, а заодно получили новые названия — "Анатолий Серов" и "Полина Осипенко" соответственно.</w:t>
      </w:r>
    </w:p>
    <w:p w14:paraId="7547C0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Суда типа "Волголес" были крупнее и значительно мореходнее средних лесовозов, имели близкую к ним архитектуру корпуса, но при этом шесть главных отсеков, три трюма с пятью люками. Кор</w:t>
      </w:r>
      <w:r w:rsidRPr="00E93F40">
        <w:rPr>
          <w:rFonts w:ascii="Times New Roman" w:hAnsi="Times New Roman"/>
          <w:color w:val="000000" w:themeColor="text1"/>
          <w:sz w:val="16"/>
          <w:szCs w:val="16"/>
        </w:rPr>
        <w:softHyphen/>
        <w:t>пус оставался клепаным, но при сборке надстроек применялась и сварка. Главное отличие заключалось в энергетической установке: вместо паровой машины был установлен двухтактный дизельный двигатель системы Зульцера производства завода "Русский дизель".</w:t>
      </w:r>
    </w:p>
    <w:p w14:paraId="5CA3D9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целом большие лесовозы оказались хотя и тихоходными, но удобными для перевозок судами. Именно суда этого типа были во время войны избраны для перевозки особо крупногабаритных гру</w:t>
      </w:r>
      <w:r w:rsidRPr="00E93F40">
        <w:rPr>
          <w:rFonts w:ascii="Times New Roman" w:hAnsi="Times New Roman"/>
          <w:color w:val="000000" w:themeColor="text1"/>
          <w:sz w:val="16"/>
          <w:szCs w:val="16"/>
        </w:rPr>
        <w:softHyphen/>
        <w:t>зов-паровозов (3898).</w:t>
      </w:r>
    </w:p>
    <w:p w14:paraId="14C9F6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30B09D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7985A039"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F29DEA7"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1932 г. был издан приказ «Об итогах боевой подготовки РККА за 1932 год и задачах на 1933 год».</w:t>
      </w:r>
    </w:p>
    <w:p w14:paraId="044FAFCC"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этом приказе в отношении авиации говорилось, что ВВС сделали ряд крупных ошибок, допустив перескакивания через некоторые упражнения в бое</w:t>
      </w:r>
      <w:r w:rsidRPr="00142305">
        <w:rPr>
          <w:rFonts w:ascii="Times New Roman" w:hAnsi="Times New Roman"/>
          <w:color w:val="0070C0"/>
          <w:sz w:val="16"/>
          <w:szCs w:val="16"/>
        </w:rPr>
        <w:softHyphen/>
        <w:t>вой подготовке. Как следствие этих ошибок, в первые же несколько месяцев лет</w:t>
      </w:r>
      <w:r w:rsidRPr="00142305">
        <w:rPr>
          <w:rFonts w:ascii="Times New Roman" w:hAnsi="Times New Roman"/>
          <w:color w:val="0070C0"/>
          <w:sz w:val="16"/>
          <w:szCs w:val="16"/>
        </w:rPr>
        <w:softHyphen/>
        <w:t>него периода обучения имела место серьезная вспышка аварийности и ката</w:t>
      </w:r>
      <w:r w:rsidRPr="00142305">
        <w:rPr>
          <w:rFonts w:ascii="Times New Roman" w:hAnsi="Times New Roman"/>
          <w:color w:val="0070C0"/>
          <w:sz w:val="16"/>
          <w:szCs w:val="16"/>
        </w:rPr>
        <w:softHyphen/>
        <w:t>строф.</w:t>
      </w:r>
    </w:p>
    <w:p w14:paraId="0017D3CB"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Подготовка начальствующего состава ВВС РККА объявлялась в этом при</w:t>
      </w:r>
      <w:r w:rsidRPr="00142305">
        <w:rPr>
          <w:rFonts w:ascii="Times New Roman" w:hAnsi="Times New Roman"/>
          <w:color w:val="0070C0"/>
          <w:sz w:val="16"/>
          <w:szCs w:val="16"/>
        </w:rPr>
        <w:softHyphen/>
        <w:t>казе неудовлетворительной.</w:t>
      </w:r>
    </w:p>
    <w:p w14:paraId="2D24CC71"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констатировалось, что групповые полеты вошли в практику боевой подготовки. Индивидуальная техника полетов большинства летчиков, даже на новой материальной части, отработана удовлетворительно. Ночные полеты уве</w:t>
      </w:r>
      <w:r w:rsidRPr="00142305">
        <w:rPr>
          <w:rFonts w:ascii="Times New Roman" w:hAnsi="Times New Roman"/>
          <w:color w:val="0070C0"/>
          <w:sz w:val="16"/>
          <w:szCs w:val="16"/>
        </w:rPr>
        <w:softHyphen/>
        <w:t>личились в полтора раза. Проведены первые опыты длительных групповых по</w:t>
      </w:r>
      <w:r w:rsidRPr="00142305">
        <w:rPr>
          <w:rFonts w:ascii="Times New Roman" w:hAnsi="Times New Roman"/>
          <w:color w:val="0070C0"/>
          <w:sz w:val="16"/>
          <w:szCs w:val="16"/>
        </w:rPr>
        <w:softHyphen/>
        <w:t>летов.</w:t>
      </w:r>
    </w:p>
    <w:p w14:paraId="77C3DFA5"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Огневая подготовка в ВВС, хотя значительно и улучшилась, но еще не до</w:t>
      </w:r>
      <w:r w:rsidRPr="00142305">
        <w:rPr>
          <w:rFonts w:ascii="Times New Roman" w:hAnsi="Times New Roman"/>
          <w:color w:val="0070C0"/>
          <w:sz w:val="16"/>
          <w:szCs w:val="16"/>
        </w:rPr>
        <w:softHyphen/>
        <w:t>стигла требуемого уровня. Неудовлетворительной остается огневая подготовка в школах морской авиации.</w:t>
      </w:r>
    </w:p>
    <w:p w14:paraId="3067A731"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Техника пилотажа молодых летчиков повысилась недостаточно. Инструк</w:t>
      </w:r>
      <w:r w:rsidRPr="00142305">
        <w:rPr>
          <w:rFonts w:ascii="Times New Roman" w:hAnsi="Times New Roman"/>
          <w:color w:val="0070C0"/>
          <w:sz w:val="16"/>
          <w:szCs w:val="16"/>
        </w:rPr>
        <w:softHyphen/>
        <w:t>торы в школах не являются еще мастерами пилотажа и огневой подготовки.</w:t>
      </w:r>
    </w:p>
    <w:p w14:paraId="1385CC29"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По-прежнему слабым местом в боевой подготовке остается служба по ра</w:t>
      </w:r>
      <w:r w:rsidRPr="00142305">
        <w:rPr>
          <w:rFonts w:ascii="Times New Roman" w:hAnsi="Times New Roman"/>
          <w:color w:val="0070C0"/>
          <w:sz w:val="16"/>
          <w:szCs w:val="16"/>
        </w:rPr>
        <w:softHyphen/>
        <w:t>диосвязи и пеленгации.</w:t>
      </w:r>
    </w:p>
    <w:p w14:paraId="0EF5EDB4"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Тактическая подготовка летнабов и навыки в корректировании артогня не</w:t>
      </w:r>
      <w:r w:rsidRPr="00142305">
        <w:rPr>
          <w:rFonts w:ascii="Times New Roman" w:hAnsi="Times New Roman"/>
          <w:color w:val="0070C0"/>
          <w:sz w:val="16"/>
          <w:szCs w:val="16"/>
        </w:rPr>
        <w:softHyphen/>
        <w:t>удовлетворительные. Штабы еще не сколочены и не обеспечивают должного управления боем.</w:t>
      </w:r>
    </w:p>
    <w:p w14:paraId="0BACDDB2"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Дисциплина, строевая и физическая подготовка, внешняя выправка и орга</w:t>
      </w:r>
      <w:r w:rsidRPr="00142305">
        <w:rPr>
          <w:rFonts w:ascii="Times New Roman" w:hAnsi="Times New Roman"/>
          <w:color w:val="0070C0"/>
          <w:sz w:val="16"/>
          <w:szCs w:val="16"/>
        </w:rPr>
        <w:softHyphen/>
        <w:t>низованность в школах за последние месяцы 1932 г. не достигли уровня, требу</w:t>
      </w:r>
      <w:r w:rsidRPr="00142305">
        <w:rPr>
          <w:rFonts w:ascii="Times New Roman" w:hAnsi="Times New Roman"/>
          <w:color w:val="0070C0"/>
          <w:sz w:val="16"/>
          <w:szCs w:val="16"/>
        </w:rPr>
        <w:softHyphen/>
        <w:t>емого постановлением ЦК ВКП (б) и СНК СССР об аварийности в частях ВВС.</w:t>
      </w:r>
    </w:p>
    <w:p w14:paraId="01C1BE33"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ВВС РККА в 1933 г. должны были выполнить следующие задачи:</w:t>
      </w:r>
    </w:p>
    <w:p w14:paraId="00AA576A"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Продолжать освоение новых технических средств борьбы, овладевать но</w:t>
      </w:r>
      <w:r w:rsidRPr="00142305">
        <w:rPr>
          <w:rFonts w:ascii="Times New Roman" w:hAnsi="Times New Roman"/>
          <w:color w:val="0070C0"/>
          <w:sz w:val="16"/>
          <w:szCs w:val="16"/>
        </w:rPr>
        <w:softHyphen/>
        <w:t>выми более сложными способами изучения новой технически более совершен</w:t>
      </w:r>
      <w:r w:rsidRPr="00142305">
        <w:rPr>
          <w:rFonts w:ascii="Times New Roman" w:hAnsi="Times New Roman"/>
          <w:color w:val="0070C0"/>
          <w:sz w:val="16"/>
          <w:szCs w:val="16"/>
        </w:rPr>
        <w:softHyphen/>
        <w:t>ной материальной части.</w:t>
      </w:r>
    </w:p>
    <w:p w14:paraId="21E8296C"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Считать центральной задачей ВВС овладение применением частей и со</w:t>
      </w:r>
      <w:r w:rsidRPr="00142305">
        <w:rPr>
          <w:rFonts w:ascii="Times New Roman" w:hAnsi="Times New Roman"/>
          <w:color w:val="0070C0"/>
          <w:sz w:val="16"/>
          <w:szCs w:val="16"/>
        </w:rPr>
        <w:softHyphen/>
        <w:t>единений авиации в совместных действиях с войсками и в самостоятельных воз</w:t>
      </w:r>
      <w:r w:rsidRPr="00142305">
        <w:rPr>
          <w:rFonts w:ascii="Times New Roman" w:hAnsi="Times New Roman"/>
          <w:color w:val="0070C0"/>
          <w:sz w:val="16"/>
          <w:szCs w:val="16"/>
        </w:rPr>
        <w:softHyphen/>
        <w:t>душных операциях.</w:t>
      </w:r>
    </w:p>
    <w:p w14:paraId="6289C947"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этого всем родам и видам авиации в соответствии с этим основным своим назначением овладеть в совершенстве техникой полета, постановкой ды</w:t>
      </w:r>
      <w:r w:rsidRPr="00142305">
        <w:rPr>
          <w:rFonts w:ascii="Times New Roman" w:hAnsi="Times New Roman"/>
          <w:color w:val="0070C0"/>
          <w:sz w:val="16"/>
          <w:szCs w:val="16"/>
        </w:rPr>
        <w:softHyphen/>
        <w:t>мовых завес, а также ремонтом и снабжением при противодействии противника с земли и воздуха.</w:t>
      </w:r>
    </w:p>
    <w:p w14:paraId="5AFB8690"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оперативно-тактической подготовке отдельным родам и видам авиации совершенствовать следующее:</w:t>
      </w:r>
    </w:p>
    <w:p w14:paraId="7E663BB1"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Тяжелобомбардировочной: а) взаимодействие с воздушными крейсерами, родами и видами авиации в воздушной операции; б) взаимодействие с морским флотом при уничтожении десантов противника в прибрежной полосе, в комби</w:t>
      </w:r>
      <w:r w:rsidRPr="00142305">
        <w:rPr>
          <w:rFonts w:ascii="Times New Roman" w:hAnsi="Times New Roman"/>
          <w:color w:val="0070C0"/>
          <w:sz w:val="16"/>
          <w:szCs w:val="16"/>
        </w:rPr>
        <w:softHyphen/>
        <w:t>нированном бою уметь уничтожать противника.</w:t>
      </w:r>
    </w:p>
    <w:p w14:paraId="330CFF65"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Воздушным крейсерам: а) взаимодействие с тяжелыми бомбардировоч</w:t>
      </w:r>
      <w:r w:rsidRPr="00142305">
        <w:rPr>
          <w:rFonts w:ascii="Times New Roman" w:hAnsi="Times New Roman"/>
          <w:color w:val="0070C0"/>
          <w:sz w:val="16"/>
          <w:szCs w:val="16"/>
        </w:rPr>
        <w:softHyphen/>
        <w:t>ными кораблями при их сопровождении к цели и обратно; б) взаимодействие с истребителями и наземными войсками при обороне аэродромного узла и уничто</w:t>
      </w:r>
      <w:r w:rsidRPr="00142305">
        <w:rPr>
          <w:rFonts w:ascii="Times New Roman" w:hAnsi="Times New Roman"/>
          <w:color w:val="0070C0"/>
          <w:sz w:val="16"/>
          <w:szCs w:val="16"/>
        </w:rPr>
        <w:softHyphen/>
        <w:t>жение воздушного противника; в) оперативную разведку до предельных дально</w:t>
      </w:r>
      <w:r w:rsidRPr="00142305">
        <w:rPr>
          <w:rFonts w:ascii="Times New Roman" w:hAnsi="Times New Roman"/>
          <w:color w:val="0070C0"/>
          <w:sz w:val="16"/>
          <w:szCs w:val="16"/>
        </w:rPr>
        <w:softHyphen/>
        <w:t>стей на различных высотах до потолков.</w:t>
      </w:r>
    </w:p>
    <w:p w14:paraId="14AE968B"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Ставились задачи также легким бомбардировщикам, самолетам-разведчи</w:t>
      </w:r>
      <w:r w:rsidRPr="00142305">
        <w:rPr>
          <w:rFonts w:ascii="Times New Roman" w:hAnsi="Times New Roman"/>
          <w:color w:val="0070C0"/>
          <w:sz w:val="16"/>
          <w:szCs w:val="16"/>
        </w:rPr>
        <w:softHyphen/>
        <w:t>кам, истребителям и десантным отрядам (зарождающиеся воздушно-десантные войска входили в то время в состав ВВС).</w:t>
      </w:r>
    </w:p>
    <w:p w14:paraId="08D2059A"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Начальнику ВВС РККА предписывалось представить в двухдекадный срок на утверждение план и программы боевой подготовки всех родов и видов авиа</w:t>
      </w:r>
      <w:r w:rsidRPr="00142305">
        <w:rPr>
          <w:rFonts w:ascii="Times New Roman" w:hAnsi="Times New Roman"/>
          <w:color w:val="0070C0"/>
          <w:sz w:val="16"/>
          <w:szCs w:val="16"/>
        </w:rPr>
        <w:softHyphen/>
        <w:t>ции.</w:t>
      </w:r>
    </w:p>
    <w:p w14:paraId="7C2D93C6"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Определялся в процентах летно-технический ресурс по родам и видам авиации и по видам боевой и специальной подготовки.</w:t>
      </w:r>
    </w:p>
    <w:p w14:paraId="7B8B00EC"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бригадах и эскадрильях предписывалось провести зимой два, летом три учения с частями и подразделениями, предварительно отрабатывая учения на во</w:t>
      </w:r>
      <w:r w:rsidRPr="00142305">
        <w:rPr>
          <w:rFonts w:ascii="Times New Roman" w:hAnsi="Times New Roman"/>
          <w:color w:val="0070C0"/>
          <w:sz w:val="16"/>
          <w:szCs w:val="16"/>
        </w:rPr>
        <w:softHyphen/>
        <w:t>енных играх и групповых упражнениях.</w:t>
      </w:r>
    </w:p>
    <w:p w14:paraId="1EAF5074"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Каждому командующему войсками округа требовалось провести в летний период две полевых авиационных поездки высшего начальствующего состава авиации, соединяя их с летно-тактическими учениями частей и соединений.</w:t>
      </w:r>
    </w:p>
    <w:p w14:paraId="46AE2936"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Провести зимой одно и летом два учения с переброской авиабригады на полевые аэродромы, совмещая эти учения с двухсторонними учениями по обо</w:t>
      </w:r>
      <w:r w:rsidRPr="00142305">
        <w:rPr>
          <w:rFonts w:ascii="Times New Roman" w:hAnsi="Times New Roman"/>
          <w:color w:val="0070C0"/>
          <w:sz w:val="16"/>
          <w:szCs w:val="16"/>
        </w:rPr>
        <w:softHyphen/>
        <w:t>роне аэродромного узла от воздушного противника.</w:t>
      </w:r>
    </w:p>
    <w:p w14:paraId="226FE9DD"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Провести два двухсторонних учения на взаимодействие родов и видов авиации со всеми мерами безопасности. Эти учения должны были быть связаны с бомбометанием, применением отравляющих веществ (ОВ) и дымов при актив</w:t>
      </w:r>
      <w:r w:rsidRPr="00142305">
        <w:rPr>
          <w:rFonts w:ascii="Times New Roman" w:hAnsi="Times New Roman"/>
          <w:color w:val="0070C0"/>
          <w:sz w:val="16"/>
          <w:szCs w:val="16"/>
        </w:rPr>
        <w:softHyphen/>
        <w:t>ном противодействии «противника», включая его противовоздушную оборону (ПВО).</w:t>
      </w:r>
    </w:p>
    <w:p w14:paraId="3A6B96AE"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 из этих учений требовалось организовать как встречный бой.</w:t>
      </w:r>
    </w:p>
    <w:p w14:paraId="4C80716B"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Начальнику ВВС РККА предписывалось провести зимой две авиационные игры (одну - по массированному применению авиации, другую - как самостоя</w:t>
      </w:r>
      <w:r w:rsidRPr="00142305">
        <w:rPr>
          <w:rFonts w:ascii="Times New Roman" w:hAnsi="Times New Roman"/>
          <w:color w:val="0070C0"/>
          <w:sz w:val="16"/>
          <w:szCs w:val="16"/>
        </w:rPr>
        <w:softHyphen/>
        <w:t>тельную операцию), организовать авиационные поездки, совмещенные с учениями командиров частей и соединений и проведением маневров; провести два двухсторонних учения по взаимодействию родов и видов авиации.</w:t>
      </w:r>
    </w:p>
    <w:p w14:paraId="768BF866"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 позднее 31 марта 1933 г. приказывалось издать устав по применению ВВС, и не позднее 1 мая 1933 г. - по видам авиации.</w:t>
      </w:r>
    </w:p>
    <w:p w14:paraId="72C55BC9"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области управления ВВС основными задачами на 1933 г. должны стать: обеспечение и отработка надежной передачи донесений и информации в полете экипажами частей и соединений с воздуха на землю;</w:t>
      </w:r>
    </w:p>
    <w:p w14:paraId="185F1C3E"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основной целью подготовки системы управления считать обеспечение надежной связи при одновременной работе радиосети с воздуха на землю и об</w:t>
      </w:r>
      <w:r w:rsidRPr="00142305">
        <w:rPr>
          <w:rFonts w:ascii="Times New Roman" w:hAnsi="Times New Roman"/>
          <w:color w:val="0070C0"/>
          <w:sz w:val="16"/>
          <w:szCs w:val="16"/>
        </w:rPr>
        <w:softHyphen/>
        <w:t>ратно с дублированием другими средствами связи.</w:t>
      </w:r>
    </w:p>
    <w:p w14:paraId="13CB317F"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использование радиомаяков, радиопеленгаторов и радиосети для ориенти</w:t>
      </w:r>
      <w:r w:rsidRPr="00142305">
        <w:rPr>
          <w:rFonts w:ascii="Times New Roman" w:hAnsi="Times New Roman"/>
          <w:color w:val="0070C0"/>
          <w:sz w:val="16"/>
          <w:szCs w:val="16"/>
        </w:rPr>
        <w:softHyphen/>
        <w:t>ровки и наведения на аэродром вне видимости земных ориентиров.</w:t>
      </w:r>
    </w:p>
    <w:p w14:paraId="753686BD"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области подготовки начальствующего состава и штабов ВВС РККА предписывалось:</w:t>
      </w:r>
    </w:p>
    <w:p w14:paraId="47DBE3F1"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подготовку начальствующего состава и штабов ВВС РККА проводить под углом зрения разрешения вопросов боевой подготовки ВВС.</w:t>
      </w:r>
    </w:p>
    <w:p w14:paraId="59C461F3"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каждой шестидневке для подготовки начальствующего состава штабов выделять два дня, не допуская срывов боевой учебы, в частности из-за «ловли погоды», и обеспечивая качество занятий путем заблаговременной основатель</w:t>
      </w:r>
      <w:r w:rsidRPr="00142305">
        <w:rPr>
          <w:rFonts w:ascii="Times New Roman" w:hAnsi="Times New Roman"/>
          <w:color w:val="0070C0"/>
          <w:sz w:val="16"/>
          <w:szCs w:val="16"/>
        </w:rPr>
        <w:softHyphen/>
        <w:t>ной подготовки к ним руководителей и участников.</w:t>
      </w:r>
    </w:p>
    <w:p w14:paraId="5DEE9977"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Перенести оперативно-тактическую и техническую подготовку началь</w:t>
      </w:r>
      <w:r w:rsidRPr="00142305">
        <w:rPr>
          <w:rFonts w:ascii="Times New Roman" w:hAnsi="Times New Roman"/>
          <w:color w:val="0070C0"/>
          <w:sz w:val="16"/>
          <w:szCs w:val="16"/>
        </w:rPr>
        <w:softHyphen/>
        <w:t>ствующего состава и штабов на аэродром и в поле; занятия вести со средствами связи и обозначением отдельными самолетами подразделений, частей и соеди</w:t>
      </w:r>
      <w:r w:rsidRPr="00142305">
        <w:rPr>
          <w:rFonts w:ascii="Times New Roman" w:hAnsi="Times New Roman"/>
          <w:color w:val="0070C0"/>
          <w:sz w:val="16"/>
          <w:szCs w:val="16"/>
        </w:rPr>
        <w:softHyphen/>
        <w:t>нений.</w:t>
      </w:r>
    </w:p>
    <w:p w14:paraId="2582638B"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полетной подготовке предписывалось:</w:t>
      </w:r>
    </w:p>
    <w:p w14:paraId="163181E6"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Занятия по специальной подготовке авиации отвести в зимний период с декабря по 15 февраля.</w:t>
      </w:r>
    </w:p>
    <w:p w14:paraId="04510317"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технической подготовке главнейшей задачей считать овладение сложной материальной частью и «втягивание» в высотные полеты всех летчиков.</w:t>
      </w:r>
    </w:p>
    <w:p w14:paraId="32F0351D"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ввод в строй молодых летчиков отвести три месяца, руководствуясь при этом приказом РВС СССР № 0012 и директивой РВС СССР № 17 774 сс</w:t>
      </w:r>
      <w:r w:rsidRPr="00142305">
        <w:rPr>
          <w:rFonts w:ascii="Times New Roman" w:hAnsi="Times New Roman"/>
          <w:color w:val="0070C0"/>
          <w:sz w:val="16"/>
          <w:szCs w:val="16"/>
          <w:vertAlign w:val="superscript"/>
        </w:rPr>
        <w:t>1</w:t>
      </w:r>
      <w:r w:rsidRPr="00142305">
        <w:rPr>
          <w:rFonts w:ascii="Times New Roman" w:hAnsi="Times New Roman"/>
          <w:color w:val="0070C0"/>
          <w:sz w:val="16"/>
          <w:szCs w:val="16"/>
        </w:rPr>
        <w:t xml:space="preserve"> о стро</w:t>
      </w:r>
      <w:r w:rsidRPr="00142305">
        <w:rPr>
          <w:rFonts w:ascii="Times New Roman" w:hAnsi="Times New Roman"/>
          <w:color w:val="0070C0"/>
          <w:sz w:val="16"/>
          <w:szCs w:val="16"/>
        </w:rPr>
        <w:softHyphen/>
        <w:t>гой последовательности в их практической летной подготовке.</w:t>
      </w:r>
    </w:p>
    <w:p w14:paraId="4432765F"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огневой подготовке предписывалось:</w:t>
      </w:r>
    </w:p>
    <w:p w14:paraId="5EF3F65F"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поднять учебно-боевое бомбометание авиации системой последователь</w:t>
      </w:r>
      <w:r w:rsidRPr="00142305">
        <w:rPr>
          <w:rFonts w:ascii="Times New Roman" w:hAnsi="Times New Roman"/>
          <w:color w:val="0070C0"/>
          <w:sz w:val="16"/>
          <w:szCs w:val="16"/>
        </w:rPr>
        <w:softHyphen/>
        <w:t>ных упражнений на высоты выше 4 000 метров;</w:t>
      </w:r>
    </w:p>
    <w:p w14:paraId="503F8EE0"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бомбардировочной подготовке родов авиации обратить особое внима</w:t>
      </w:r>
      <w:r w:rsidRPr="00142305">
        <w:rPr>
          <w:rFonts w:ascii="Times New Roman" w:hAnsi="Times New Roman"/>
          <w:color w:val="0070C0"/>
          <w:sz w:val="16"/>
          <w:szCs w:val="16"/>
        </w:rPr>
        <w:softHyphen/>
        <w:t>ние на совершенствование:</w:t>
      </w:r>
    </w:p>
    <w:p w14:paraId="31590496"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серийного бомбометания и бомбометания по площадям и крупным объек</w:t>
      </w:r>
      <w:r w:rsidRPr="00142305">
        <w:rPr>
          <w:rFonts w:ascii="Times New Roman" w:hAnsi="Times New Roman"/>
          <w:color w:val="0070C0"/>
          <w:sz w:val="16"/>
          <w:szCs w:val="16"/>
        </w:rPr>
        <w:softHyphen/>
        <w:t>там бомбардировщиками;</w:t>
      </w:r>
    </w:p>
    <w:p w14:paraId="3F11C6D5"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серийного бомбометания по площадям и по тяжелым бомбардировщикам бомбардировщиками, разведчиками</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w:t>
      </w:r>
    </w:p>
    <w:p w14:paraId="2805B924"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бомбометания с пикирования по бомбардировщикам противника и бомбо</w:t>
      </w:r>
      <w:r w:rsidRPr="00142305">
        <w:rPr>
          <w:rFonts w:ascii="Times New Roman" w:hAnsi="Times New Roman"/>
          <w:color w:val="0070C0"/>
          <w:sz w:val="16"/>
          <w:szCs w:val="16"/>
        </w:rPr>
        <w:softHyphen/>
        <w:t>метания с бреющего полета;</w:t>
      </w:r>
    </w:p>
    <w:p w14:paraId="7E9C52CC"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бомбометания со средних высот;</w:t>
      </w:r>
    </w:p>
    <w:p w14:paraId="4E214934"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Ввести в практику стрельбы на предельную дальность, обращая особое внимание на совершенствование:</w:t>
      </w:r>
    </w:p>
    <w:p w14:paraId="6E023BB6"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оборонительного боя в воздухе;</w:t>
      </w:r>
    </w:p>
    <w:p w14:paraId="66B99D91"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наступательного воздушного боя против соединений авиации всех родов авиации противника.</w:t>
      </w:r>
    </w:p>
    <w:p w14:paraId="79DEA59B"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обучить в каждой отдельной части мастера-стрелка (из передних и турель</w:t>
      </w:r>
      <w:r w:rsidRPr="00142305">
        <w:rPr>
          <w:rFonts w:ascii="Times New Roman" w:hAnsi="Times New Roman"/>
          <w:color w:val="0070C0"/>
          <w:sz w:val="16"/>
          <w:szCs w:val="16"/>
        </w:rPr>
        <w:softHyphen/>
        <w:t>ных пулеметов) и подготовить снайпера-бомбардира.</w:t>
      </w:r>
    </w:p>
    <w:p w14:paraId="6D8414A8"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Начальнику ВВС РККА:</w:t>
      </w:r>
    </w:p>
    <w:p w14:paraId="7F1959DA"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провести опыты атаки бомбардировщиками под перекрестным огнем ис</w:t>
      </w:r>
      <w:r w:rsidRPr="00142305">
        <w:rPr>
          <w:rFonts w:ascii="Times New Roman" w:hAnsi="Times New Roman"/>
          <w:color w:val="0070C0"/>
          <w:sz w:val="16"/>
          <w:szCs w:val="16"/>
        </w:rPr>
        <w:softHyphen/>
        <w:t>требителей;</w:t>
      </w:r>
    </w:p>
    <w:p w14:paraId="0A9904E6"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изучить вопрос воздушного нападения;</w:t>
      </w:r>
    </w:p>
    <w:p w14:paraId="2B5D930B"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февраля 1933 г. переработать инструкцию по воздушному бомбомета</w:t>
      </w:r>
      <w:r w:rsidRPr="00142305">
        <w:rPr>
          <w:rFonts w:ascii="Times New Roman" w:hAnsi="Times New Roman"/>
          <w:color w:val="0070C0"/>
          <w:sz w:val="16"/>
          <w:szCs w:val="16"/>
        </w:rPr>
        <w:softHyphen/>
        <w:t>нию.</w:t>
      </w:r>
    </w:p>
    <w:p w14:paraId="3FDEDC45"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самолетовождению:</w:t>
      </w:r>
    </w:p>
    <w:p w14:paraId="63B523A6"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овладеть самолетовождением по приборам, иметь навыки пеленгации ра</w:t>
      </w:r>
      <w:r w:rsidRPr="00142305">
        <w:rPr>
          <w:rFonts w:ascii="Times New Roman" w:hAnsi="Times New Roman"/>
          <w:color w:val="0070C0"/>
          <w:sz w:val="16"/>
          <w:szCs w:val="16"/>
        </w:rPr>
        <w:softHyphen/>
        <w:t>диомаяков и мощных радиостанций на предельных радиусах вне видимости зем</w:t>
      </w:r>
      <w:r w:rsidRPr="00142305">
        <w:rPr>
          <w:rFonts w:ascii="Times New Roman" w:hAnsi="Times New Roman"/>
          <w:color w:val="0070C0"/>
          <w:sz w:val="16"/>
          <w:szCs w:val="16"/>
        </w:rPr>
        <w:softHyphen/>
        <w:t>ных ориентиров.</w:t>
      </w:r>
    </w:p>
    <w:p w14:paraId="37257651"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строевой подготовке и дисциплине:</w:t>
      </w:r>
    </w:p>
    <w:p w14:paraId="3338C131"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поставить в ВВС РККА воинскую дисциплину, и в первую очередь летную дисциплинированность, на должную высоту, довести строевую подготовку и вы</w:t>
      </w:r>
      <w:r w:rsidRPr="00142305">
        <w:rPr>
          <w:rFonts w:ascii="Times New Roman" w:hAnsi="Times New Roman"/>
          <w:color w:val="0070C0"/>
          <w:sz w:val="16"/>
          <w:szCs w:val="16"/>
        </w:rPr>
        <w:softHyphen/>
        <w:t>правку до требований, объявленных постановлением ЦК ВКП (б) и СНК, дирек</w:t>
      </w:r>
      <w:r w:rsidRPr="00142305">
        <w:rPr>
          <w:rFonts w:ascii="Times New Roman" w:hAnsi="Times New Roman"/>
          <w:color w:val="0070C0"/>
          <w:sz w:val="16"/>
          <w:szCs w:val="16"/>
        </w:rPr>
        <w:softHyphen/>
        <w:t>тивами Наркома о борьбе с происшествиями, в первую очередь - во всех школах ВВС и ВВС военных округов;</w:t>
      </w:r>
    </w:p>
    <w:p w14:paraId="23583E62" w14:textId="77777777" w:rsidR="00745B62" w:rsidRPr="00142305" w:rsidRDefault="00745B62" w:rsidP="00745B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подготовка и воспитание ВВС РККА должны проводиться в соответствии с постановлением ЦК ВКП(б) по аварийности в частях ВВС (24968).</w:t>
      </w:r>
    </w:p>
    <w:p w14:paraId="0B5DF751" w14:textId="77777777" w:rsidR="00745B62" w:rsidRPr="00611082" w:rsidRDefault="00745B62" w:rsidP="00745B62">
      <w:pPr>
        <w:pStyle w:val="aff2"/>
        <w:tabs>
          <w:tab w:val="left" w:pos="594"/>
        </w:tabs>
        <w:spacing w:line="240" w:lineRule="auto"/>
        <w:rPr>
          <w:rFonts w:ascii="Times New Roman" w:hAnsi="Times New Roman" w:cs="Times New Roman"/>
          <w:i w:val="0"/>
          <w:iCs w:val="0"/>
          <w:color w:val="0070C0"/>
          <w:sz w:val="16"/>
          <w:szCs w:val="16"/>
          <w:lang w:val="ru-RU"/>
        </w:rPr>
      </w:pPr>
    </w:p>
    <w:p w14:paraId="166095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124503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CB564A1" w14:textId="7E46173D" w:rsidR="002C3A0B" w:rsidRPr="00E93F40" w:rsidRDefault="002C3A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Фельми передал Меженинову около десятка наставлений по ведению боевых действий в воздухе. Что касается немцев, то всего в период с 1925 по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Кроме того, примерно 220–230 летчиков-истребителей и летчиков-наблюдателей было подготовлено в самой Германии на </w:t>
      </w:r>
      <w:r w:rsidRPr="00E93F40">
        <w:rPr>
          <w:rFonts w:ascii="Times New Roman" w:hAnsi="Times New Roman"/>
          <w:color w:val="000000" w:themeColor="text1"/>
          <w:sz w:val="16"/>
          <w:szCs w:val="16"/>
        </w:rPr>
        <w:lastRenderedPageBreak/>
        <w:t>основе уникального опыта, приобретенного в авиационной школе Липецка. Таким образом, по свидетельству немецкого генерала X. Шпайделя, к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благодаря Липецку было подготовлено около 450 немецких летчиков различной квалификации.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(18265).</w:t>
      </w:r>
    </w:p>
    <w:p w14:paraId="55E26F25" w14:textId="77777777" w:rsidR="002C3A0B" w:rsidRPr="00E93F40" w:rsidRDefault="002C3A0B" w:rsidP="00E93F40">
      <w:pPr>
        <w:spacing w:after="0" w:line="240" w:lineRule="auto"/>
        <w:jc w:val="both"/>
        <w:rPr>
          <w:rFonts w:ascii="Times New Roman" w:hAnsi="Times New Roman"/>
          <w:color w:val="000000" w:themeColor="text1"/>
          <w:sz w:val="16"/>
          <w:szCs w:val="16"/>
        </w:rPr>
      </w:pPr>
    </w:p>
    <w:p w14:paraId="6BF46886" w14:textId="77777777" w:rsidR="00611082" w:rsidRPr="00E93F40" w:rsidRDefault="00611082" w:rsidP="0061108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РВС принял постановление о развитии авиамотодесантных отрядов, которые стали основой бригад, полков и отдельных отрядов (359,108).</w:t>
      </w:r>
    </w:p>
    <w:p w14:paraId="1A5AC4E8" w14:textId="77777777" w:rsidR="00611082" w:rsidRPr="00E93F40" w:rsidRDefault="00611082" w:rsidP="00611082">
      <w:pPr>
        <w:autoSpaceDE w:val="0"/>
        <w:autoSpaceDN w:val="0"/>
        <w:adjustRightInd w:val="0"/>
        <w:spacing w:after="0" w:line="240" w:lineRule="auto"/>
        <w:jc w:val="both"/>
        <w:rPr>
          <w:rFonts w:ascii="Times New Roman" w:hAnsi="Times New Roman"/>
          <w:color w:val="000000" w:themeColor="text1"/>
          <w:sz w:val="16"/>
          <w:szCs w:val="16"/>
        </w:rPr>
      </w:pPr>
    </w:p>
    <w:p w14:paraId="2740C53C" w14:textId="77777777" w:rsidR="00611082" w:rsidRPr="00E93F40" w:rsidRDefault="00611082" w:rsidP="00611082">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в ОГПУ начали поступать агентурные сообщения о военной партии, подготовляющей в контакте с немцами военный переворот (2388,7).</w:t>
      </w:r>
    </w:p>
    <w:p w14:paraId="7ADB572D" w14:textId="77777777" w:rsidR="00611082" w:rsidRPr="00E93F40" w:rsidRDefault="00611082" w:rsidP="00611082">
      <w:pPr>
        <w:autoSpaceDE w:val="0"/>
        <w:autoSpaceDN w:val="0"/>
        <w:adjustRightInd w:val="0"/>
        <w:spacing w:after="0" w:line="240" w:lineRule="auto"/>
        <w:jc w:val="both"/>
        <w:rPr>
          <w:rFonts w:ascii="Times New Roman" w:hAnsi="Times New Roman"/>
          <w:color w:val="000000" w:themeColor="text1"/>
          <w:sz w:val="16"/>
          <w:szCs w:val="16"/>
        </w:rPr>
      </w:pPr>
    </w:p>
    <w:p w14:paraId="4BAC4505" w14:textId="77777777" w:rsidR="00611082" w:rsidRPr="00E93F40" w:rsidRDefault="00611082" w:rsidP="0061108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в Германию выехали четыре краскома (командующий Сибирским военным округом (СВО) М. К. Левандовский — руководитель, комкор И. Н. Дубовой, В. М. Примаков, С. С. Урицкий), пробыли в Германии более полугода и покинули Германию в июле 1933 г. Примаков по возвращении написал книгу «Тактические задачи германского генерального штаба». Это была последняя группа советских краскомов, обучавшаяся в Германии. Политическая ситуация в Германии к тому времени сильно изменилась: к власти пришел А. Гитлер, была развернута ожесточенная антисоветская кампания. Соответственно «политическому моменту» были выдержаны почти все доклады и письма Левандовского Ворошилову, в которых он, помимо подробного изложения обстановки, описания занятий и посещений военных училищ в Дрездене, Ютеборге, Мюнхене, Ганновере, Вюнсдорфе, Куммерсдорфе, сравнивая боевую выучку РККА и райхсвера, подводил Ворошилова к выводу о том, что «германская армия на сегодняшнем ее этапе не является показательной для нашего командира». Подобный вывод однако заставляет сильно усомниться в правдивости и искренности Левандовского, ибо в противном случае ставит под сомнение меру его компетентности как командующего округом. Скорее всего, здесь имеют место и обида за Красную Армию, и комплиментарность в угоду наркому, и неприятие режима Гитлера. Тем более, что в письме Ворошилову от 10 апреля 1933 г., подписанном членами всей группы (в том числе и Левандовским, а также советским военным атташе в Германии В. Н. Левичевым) по итогам посещения нескольких различных военных школ рейхсвера, читаем:</w:t>
      </w:r>
    </w:p>
    <w:p w14:paraId="2AE0AB68" w14:textId="77777777" w:rsidR="00611082" w:rsidRPr="00E93F40" w:rsidRDefault="00611082" w:rsidP="00611082">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«&lt;…&gt; В области моторизации артиллерийского оружия и средств связи немцы стоят гораздо выше, чем это нам показывают &lt;…&gt;. Наши вузы являются кузницей массового производства, у них — поштучного — строго по заказу &lt;…&gt;. У нас в школах есть тенденция самоподготовку превращать в коллективную, бригадную подготовку. Для командира же совершенно необходимо воспитать навыки к самостоятельной работе. В немецкой школе на это делается большой упор, и действительно получают в результате вполне самостоятельных командиров» (18265).</w:t>
      </w:r>
    </w:p>
    <w:p w14:paraId="081C7F6A" w14:textId="77777777" w:rsidR="00611082" w:rsidRPr="00E93F40" w:rsidRDefault="00611082" w:rsidP="00611082">
      <w:pPr>
        <w:spacing w:after="0" w:line="240" w:lineRule="auto"/>
        <w:jc w:val="both"/>
        <w:rPr>
          <w:rFonts w:ascii="Times New Roman" w:hAnsi="Times New Roman"/>
          <w:color w:val="000000" w:themeColor="text1"/>
          <w:sz w:val="16"/>
          <w:szCs w:val="16"/>
        </w:rPr>
      </w:pPr>
    </w:p>
    <w:p w14:paraId="6ACEC59E"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19801CD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2DE05F1" w14:textId="77777777" w:rsidR="007F7C1A" w:rsidRPr="00E93F40" w:rsidRDefault="007F7C1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Каганович вызвал к себе руководство Метростроя, начальников участков, шахт и дистанций, а также секретарей парторганизаций с отчетом о проделанной работе. Он потребовал от них прекратить дискуссию о способах строительства и назвать реальные сроки сдачи участков в эксплуатацию{464} (18299).</w:t>
      </w:r>
    </w:p>
    <w:p w14:paraId="7A96D918" w14:textId="77777777" w:rsidR="007F7C1A" w:rsidRPr="00E93F40" w:rsidRDefault="007F7C1A" w:rsidP="00E93F40">
      <w:pPr>
        <w:spacing w:after="0" w:line="240" w:lineRule="auto"/>
        <w:jc w:val="both"/>
        <w:rPr>
          <w:rFonts w:ascii="Times New Roman" w:hAnsi="Times New Roman"/>
          <w:color w:val="000000" w:themeColor="text1"/>
          <w:sz w:val="16"/>
          <w:szCs w:val="16"/>
        </w:rPr>
      </w:pPr>
    </w:p>
    <w:p w14:paraId="0813792A" w14:textId="77777777" w:rsidR="007F7C1A" w:rsidRPr="00E93F40" w:rsidRDefault="007F7C1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впервые был подсчитан объем предстоящих и осуществленных работ, а также составлена смета потребности в рабочей силе, материалах, деньгах и транспортных средствах. Количественные параметры, только теперь появившиеся на свет, застали руководство Метростроя врасплох и вынудили самым серьезным образом взяться за строительство{461}.Уже нельзя было рассчитывать на то, чтобы до конца 1935 г. сдать в эксплуатацию требуемые 58 км путей, как надеялись еще в июле 1932 г.{462} (18299).</w:t>
      </w:r>
    </w:p>
    <w:p w14:paraId="6E1BF514" w14:textId="77777777" w:rsidR="007F7C1A" w:rsidRPr="00E93F40" w:rsidRDefault="007F7C1A" w:rsidP="00E93F40">
      <w:pPr>
        <w:spacing w:after="0" w:line="240" w:lineRule="auto"/>
        <w:jc w:val="both"/>
        <w:rPr>
          <w:rFonts w:ascii="Times New Roman" w:hAnsi="Times New Roman"/>
          <w:color w:val="000000" w:themeColor="text1"/>
          <w:sz w:val="16"/>
          <w:szCs w:val="16"/>
        </w:rPr>
      </w:pPr>
    </w:p>
    <w:p w14:paraId="419602A4" w14:textId="77777777" w:rsidR="007F7C1A" w:rsidRPr="00E93F40" w:rsidRDefault="007F7C1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В декабре 1932 года было принято постановление СНК СССР и ЦК ВКП(б) «О расширении прав заводоуправлений в деле снабжения рабочих». «Магазины, столовые, подсобные хозяйства закрытых распределителей были переданы в подчинение заводоуправлениям, при которых создавались отделы рабочего снабжения во главе с заместителем директора предприятия» (19550).</w:t>
      </w:r>
    </w:p>
    <w:p w14:paraId="32F02984" w14:textId="77777777" w:rsidR="007F7C1A" w:rsidRPr="00E93F40" w:rsidRDefault="007F7C1A" w:rsidP="00E93F40">
      <w:pPr>
        <w:spacing w:after="0" w:line="240" w:lineRule="auto"/>
        <w:jc w:val="both"/>
        <w:rPr>
          <w:rFonts w:ascii="Times New Roman" w:hAnsi="Times New Roman"/>
          <w:color w:val="000000" w:themeColor="text1"/>
          <w:sz w:val="16"/>
          <w:szCs w:val="16"/>
        </w:rPr>
      </w:pPr>
    </w:p>
    <w:p w14:paraId="427581EC" w14:textId="77777777" w:rsidR="007F7C1A" w:rsidRPr="00E93F40" w:rsidRDefault="007F7C1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Декабрь 1932. Горснаб в конце года предложил всем торговым организациям обеспечить в каждом магазине не менее двухнедельного запаса соли. Обследование магазинов выявило отсутствие соли. Там же, где соль была, ее не продавали. В то же время на складах имелось вполне достаточное количество соли для снабжения населения Москвы. Инспекция Горснаба привлекла к уголовной ответственности ряд работников магазинов за плохую организацию продажи соли (18723).</w:t>
      </w:r>
    </w:p>
    <w:p w14:paraId="310613D3" w14:textId="77777777" w:rsidR="007F7C1A" w:rsidRPr="00E93F40" w:rsidRDefault="007F7C1A" w:rsidP="00E93F40">
      <w:pPr>
        <w:spacing w:after="0" w:line="240" w:lineRule="auto"/>
        <w:jc w:val="both"/>
        <w:rPr>
          <w:rFonts w:ascii="Times New Roman" w:hAnsi="Times New Roman"/>
          <w:color w:val="000000" w:themeColor="text1"/>
          <w:sz w:val="16"/>
          <w:szCs w:val="16"/>
        </w:rPr>
      </w:pPr>
    </w:p>
    <w:p w14:paraId="51335E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Декабрь 1932 г. В структуре органов милиции создаются отделения по регулированию уличного движения, позднее преобразованные в отделы (ОРУД) (10303).</w:t>
      </w:r>
    </w:p>
    <w:p w14:paraId="3AB818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38C5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года Председатель Торгсина Сташевский в докладной записке наркому торговли Розенгольцу писал, что правление располагает "обширными материалами с мест, из которых видно, что местные органы ОГПУ, угрозыска и милиции вопреки циркулярному письму ЭКО ОГПУ совершают незаконные аресты лиц, покупающих товары в Торгсине или получающих валюту из-за границы".</w:t>
      </w:r>
    </w:p>
    <w:p w14:paraId="7A29D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августа 1932 года, - пишет далее Сташевский, - в наш магазин N 3 в Киеве явился работник Киевской областной милиции, т. Бейгул Семен Георгиевич, и тут же в конторе, магазина подверг личному обыску застигнутых им наших покупателей, прекратив обыск лишь после настойчивых требований зав. магазином... В Вознесенске пекаря в числе 9 человек сдали Торгсину 2000 рублей валюты, за что были арестованы ГПУ. Операция ГПУ морально повлияла на сдатчиков инвалюты... Одесса: В наш магазин вбежали с обнаженным оружием два сотрудника 26 погранотряда ГПУ и арестовали неизвестного гражданина в магазине".</w:t>
      </w:r>
    </w:p>
    <w:p w14:paraId="320458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своем заявлении в Ленинградское отделение Торгсина гражданка Р. И. Пинчук писала: "3 октября с. г. (1932) в 2 часа ночи была арестована моя дочь, Ида Давидовна Пинчук, 5-м отделением милиции. Причина ареста - изъятие инвалюты. Никакой инвалюты, кроме получаемой мной из Америки от моих детей, у нее нет, и все переводы поступали в Ваш адрес непосредственно, а также в адрес Государственного Банка... Прошу правление Торгсина принять меры к освобождению моей дочери, иначе я вынуждена буду отказаться от получаемых мною из Америки денег".</w:t>
      </w:r>
    </w:p>
    <w:p w14:paraId="6BB1F9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Заведующий магазином N 6 некто Полиновский в своем рапорте в правление Киевской конторы Торгсина сообщал о случае, произошедшем 13 декабря 1932 года:</w:t>
      </w:r>
    </w:p>
    <w:p w14:paraId="25AC79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магазину подошли трое неизвестных граждан, остановили выходящего в это время из магазина покупателя и приказали следовать за ними. Покупатель передал муку тут же стоявшей жене и пошел с ними. В это время стояла на улице большая очередь, и я заметил, что среди публики началась паника и в магазине и около магазина не стало ни одного человека. Я выбежал на улицу, подбежал к ним, и на мой вопрос, куда и зачем они ведут покупателя, они ответили, что они отвечают за свои действия. На мое требование предъявить документы, они ответили, что они агенты ГПУ, и отказались предъявить документы. Я пригласил их до выяснения личности в магазин и вызвал ГПУ. После всего пом. нач. милиции т. Крайзерт составил протокол и вызвал меня и т. Тверского и продавца Гуревича".</w:t>
      </w:r>
    </w:p>
    <w:p w14:paraId="64B3C3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Инциденты не прекратились и в 1933 году. Некто М. Б. Коен в своем заявлении директору Киевской конторы Торгсина писал:</w:t>
      </w:r>
    </w:p>
    <w:p w14:paraId="5F4E6B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 июня с. г. (1933) я вынул зуб у врача (видимо, коронку), который проживает по ул. Пятакова, 24, и занес в магазин, там, где принимают лом. Я взял книжку (товарную книжку Торгсина) и получил 140 кг муки ржаной в магазине N 2 и в магазине N 3 купил 70 кг муки. Выдали мне справку на право провоза в Проскуров и Умань. Отняли муку и справку, а потому прошу директора дать распоряжение отдать мне 3 мешка муки - 210 кг".</w:t>
      </w:r>
    </w:p>
    <w:p w14:paraId="5E7C9D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сообщению из Херсона, крестьянин получил 25 долларов ценным пакетом, зашел в Торгсин и "купил товаров на 11 долларов, остальные 14 долларов оставил у себя. По дороге домой он был арестован, продукты и 14 долларов тоже были отобраны, несмотря на то, что он показал ценный пакет и со стороны Торгсина было подтверждение, что купил в Торгсине". Из Валдайского района сообщали, что налоговый инспектор конфисковал у гражданки, жительницы села Загорья, товарные ордера и товары, купленные в Торгсине: сахар, рыбные консервы и водку, всего на сумму 7 руб. 55 коп. После этого "к указанной гражданке нагрянуло ОГПУ и отобрало у нее несколько золотых царской чеканки".</w:t>
      </w:r>
    </w:p>
    <w:p w14:paraId="6DC078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Сотрудники ОГПУ принуждали приемщиков ценностей в Торгсине выдавать фиктивные квитанции, а затем сдавать полученное по ним золото в ОГПУ, требовали от приемщиков фамилии сдатчиков золота, "приглашали на разговор" директоров магазинов и управляющих контор. А могли и арестовать оценщика прямо во время приемки ценностей. По сообщению из Валдайского края: "На днях в универмаг Торгсина явился один из агентов ОПТУ тов. Исаенко. Несмотря на то что на нем было штатское пальто, все же его все знают, кроме того, из-под воротника торчат петлицы... здесь же в универмаге при посторонней публике он пристал к пробиреру (приемщик, который определяет пробу ценного металла) с вопросом: "А у тебя где спрятано золото?" Пробирер ему ответил: "Если тебе думается, что оно у меня есть, иди ищи". Поговорив с кассиршей и повертевшись минут 15 у кассы, он ушел". Агент никого не арестовал, но дал понять, что может это сделать - запугивание было в арсенале методов ОГПУ.</w:t>
      </w:r>
    </w:p>
    <w:p w14:paraId="0BE84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ОПТУ были и другие способы "добычи валюты". Его сотрудники, например, требовали, чтобы люди вносили получаемые ими из-за границы на Торгсин валютные переводы на счет ОПТУ или делали "добровольные" пожертвования в фонд индустриализации (11558).</w:t>
      </w:r>
    </w:p>
    <w:p w14:paraId="68C0A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CBED3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55761D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4525F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декабре 1932 года, на стенде экспериментальной станции «Куммерсдорф – Запад» был установлен двигатель, подлежавший испытанию. Однако первая же попытка запустить его окончилась неудачей – двигатель взорвался. Последовал полный разочарований год тяжелой работы: ракетные двигатели прогорали в критических </w:t>
      </w:r>
      <w:r w:rsidRPr="00E93F40">
        <w:rPr>
          <w:rFonts w:ascii="Times New Roman" w:hAnsi="Times New Roman"/>
          <w:color w:val="000000" w:themeColor="text1"/>
          <w:sz w:val="16"/>
          <w:szCs w:val="16"/>
        </w:rPr>
        <w:lastRenderedPageBreak/>
        <w:t>точках; пламя факела шло в обратном направлении и воспламеняло топливные форсунки; встречались и другие трудности. Но между этими неудачами случались и успешные запуски, которые показывали, что данную ракету можно заставить работать. Наконец в 1933 году наступило время проектирования полноразмерной ракеты. Условно она была названа «Aggregat-1» («Агрегат-1») или «А-1». Дорнбергер считал, что ракета должна стабилизироваться вращением. Поэтому было решено создавать ракету с вращающейся боевой частью и невращающимися баками. В ракете «А-1» вращающаяся секция весом 38,5 кг помещалась в носовой части длиной 1402 мм и диаметром 305 мм. Топливо подавалось под давлением сжатого азота из топливных баков в камеру сгорания двигателя, развивавшего тягу в 295 кг. Камера сгорания в хвостовой части ракеты была встроена в бак с горючим. Вращающаяся часть, изготовленная по типу ротора трехфазного электромотора, должна была раскручиваться до максимальной скорости перед самым пуском. При этом ракету «А-1» предполагалось запускать вертикально с направляющей высотой в несколько метров. Согласно первому проекту, стартовый вес ракеты «А-1» составлял 150 кг. Соответственно этому был разработан и двигатель, но в процессе его доводки и работы над аэродинамической формой ракеты тяга двигателя увеличилась до 1000 кг. Разумеется, для такого двигателя была нужна и новая ракета с более вместительными баками. Это означало, что нужен новый испытательный стенд, так как старый оказался для нового двигателя слишком мал (11688).</w:t>
      </w:r>
    </w:p>
    <w:p w14:paraId="67197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C6EFA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28E506F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49E2F3E1"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К концу 1932 года, несмотря на значительные затрудне</w:t>
      </w:r>
      <w:r w:rsidRPr="00E93F40">
        <w:rPr>
          <w:rFonts w:ascii="Times New Roman" w:hAnsi="Times New Roman"/>
          <w:color w:val="000000" w:themeColor="text1"/>
          <w:sz w:val="16"/>
          <w:szCs w:val="16"/>
          <w:lang w:eastAsia="ru-RU" w:bidi="ru-RU"/>
        </w:rPr>
        <w:softHyphen/>
        <w:t>ния, заводу №16 удалось по</w:t>
      </w:r>
      <w:r w:rsidRPr="00E93F40">
        <w:rPr>
          <w:rFonts w:ascii="Times New Roman" w:hAnsi="Times New Roman"/>
          <w:color w:val="000000" w:themeColor="text1"/>
          <w:sz w:val="16"/>
          <w:szCs w:val="16"/>
          <w:lang w:eastAsia="ru-RU" w:bidi="ru-RU"/>
        </w:rPr>
        <w:softHyphen/>
        <w:t>строить пять самолетов ТШ-2 М-17. Еще пять машин находились в стадии окон</w:t>
      </w:r>
      <w:r w:rsidRPr="00E93F40">
        <w:rPr>
          <w:rFonts w:ascii="Times New Roman" w:hAnsi="Times New Roman"/>
          <w:color w:val="000000" w:themeColor="text1"/>
          <w:sz w:val="16"/>
          <w:szCs w:val="16"/>
          <w:lang w:eastAsia="ru-RU" w:bidi="ru-RU"/>
        </w:rPr>
        <w:softHyphen/>
        <w:t>чательной сборки. Между тем доводка образцовых самолетов ТШ-2 М-17 затяну</w:t>
      </w:r>
      <w:r w:rsidRPr="00E93F40">
        <w:rPr>
          <w:rFonts w:ascii="Times New Roman" w:hAnsi="Times New Roman"/>
          <w:color w:val="000000" w:themeColor="text1"/>
          <w:sz w:val="16"/>
          <w:szCs w:val="16"/>
          <w:lang w:eastAsia="ru-RU" w:bidi="ru-RU"/>
        </w:rPr>
        <w:softHyphen/>
        <w:t>лась. Стало ясно, что система охлаждения на основе гликоля требует обязательной отработки специальных материалов, сме</w:t>
      </w:r>
      <w:r w:rsidRPr="00E93F40">
        <w:rPr>
          <w:rFonts w:ascii="Times New Roman" w:hAnsi="Times New Roman"/>
          <w:color w:val="000000" w:themeColor="text1"/>
          <w:sz w:val="16"/>
          <w:szCs w:val="16"/>
          <w:lang w:eastAsia="ru-RU" w:bidi="ru-RU"/>
        </w:rPr>
        <w:softHyphen/>
        <w:t>сей и термометров (на 170°С), что упи</w:t>
      </w:r>
      <w:r w:rsidRPr="00E93F40">
        <w:rPr>
          <w:rFonts w:ascii="Times New Roman" w:hAnsi="Times New Roman"/>
          <w:color w:val="000000" w:themeColor="text1"/>
          <w:sz w:val="16"/>
          <w:szCs w:val="16"/>
          <w:lang w:eastAsia="ru-RU" w:bidi="ru-RU"/>
        </w:rPr>
        <w:softHyphen/>
        <w:t>ралось в разработку новых технологий. К тому же в ЦКБ проектировался тяже</w:t>
      </w:r>
      <w:r w:rsidRPr="00E93F40">
        <w:rPr>
          <w:rFonts w:ascii="Times New Roman" w:hAnsi="Times New Roman"/>
          <w:color w:val="000000" w:themeColor="text1"/>
          <w:sz w:val="16"/>
          <w:szCs w:val="16"/>
          <w:lang w:eastAsia="ru-RU" w:bidi="ru-RU"/>
        </w:rPr>
        <w:softHyphen/>
        <w:t>лый штурмовик ТШ-3 М-34 монопланной схемы с водяной системой охлаждения под давлением, который по проекту дол</w:t>
      </w:r>
      <w:r w:rsidRPr="00E93F40">
        <w:rPr>
          <w:rFonts w:ascii="Times New Roman" w:hAnsi="Times New Roman"/>
          <w:color w:val="000000" w:themeColor="text1"/>
          <w:sz w:val="16"/>
          <w:szCs w:val="16"/>
          <w:lang w:eastAsia="ru-RU" w:bidi="ru-RU"/>
        </w:rPr>
        <w:softHyphen/>
        <w:t>жен был иметь лучшие летные данные. По этим причинам производство ТШ-2 пре</w:t>
      </w:r>
      <w:r w:rsidRPr="00E93F40">
        <w:rPr>
          <w:rFonts w:ascii="Times New Roman" w:hAnsi="Times New Roman"/>
          <w:color w:val="000000" w:themeColor="text1"/>
          <w:sz w:val="16"/>
          <w:szCs w:val="16"/>
          <w:lang w:eastAsia="ru-RU" w:bidi="ru-RU"/>
        </w:rPr>
        <w:softHyphen/>
        <w:t>кратили. Что стало с уже построенными самолетами, пока установить не удалось. Вероятно, их утилизировали (21062).</w:t>
      </w:r>
    </w:p>
    <w:p w14:paraId="22B2EDEF"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К 1 апреля 1931 г. параллельно работам по ТШ-2 в ЦКБ был спроектирован и построен заводом №39 легкий одномо</w:t>
      </w:r>
      <w:r w:rsidRPr="00E93F40">
        <w:rPr>
          <w:rFonts w:ascii="Times New Roman" w:hAnsi="Times New Roman"/>
          <w:color w:val="000000" w:themeColor="text1"/>
          <w:sz w:val="16"/>
          <w:szCs w:val="16"/>
          <w:lang w:eastAsia="ru-RU" w:bidi="ru-RU"/>
        </w:rPr>
        <w:softHyphen/>
        <w:t>торный двухместный штурмовик ШОН (штурмовик особого назначения, №23 по плану ЦКБ) с частичным бронирова</w:t>
      </w:r>
      <w:r w:rsidRPr="00E93F40">
        <w:rPr>
          <w:rFonts w:ascii="Times New Roman" w:hAnsi="Times New Roman"/>
          <w:color w:val="000000" w:themeColor="text1"/>
          <w:sz w:val="16"/>
          <w:szCs w:val="16"/>
          <w:lang w:eastAsia="ru-RU" w:bidi="ru-RU"/>
        </w:rPr>
        <w:softHyphen/>
        <w:t>нием (только снизу) мотора и кабин лет</w:t>
      </w:r>
      <w:r w:rsidRPr="00E93F40">
        <w:rPr>
          <w:rFonts w:ascii="Times New Roman" w:hAnsi="Times New Roman"/>
          <w:color w:val="000000" w:themeColor="text1"/>
          <w:sz w:val="16"/>
          <w:szCs w:val="16"/>
          <w:lang w:eastAsia="ru-RU" w:bidi="ru-RU"/>
        </w:rPr>
        <w:softHyphen/>
        <w:t>чика и летнаба. На самолете устанавли</w:t>
      </w:r>
      <w:r w:rsidRPr="00E93F40">
        <w:rPr>
          <w:rFonts w:ascii="Times New Roman" w:hAnsi="Times New Roman"/>
          <w:color w:val="000000" w:themeColor="text1"/>
          <w:sz w:val="16"/>
          <w:szCs w:val="16"/>
          <w:lang w:eastAsia="ru-RU" w:bidi="ru-RU"/>
        </w:rPr>
        <w:softHyphen/>
        <w:t>вался мотор БМВ-6.</w:t>
      </w:r>
    </w:p>
    <w:p w14:paraId="455EB294"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Предполагалось, что этим штурмови</w:t>
      </w:r>
      <w:r w:rsidRPr="00E93F40">
        <w:rPr>
          <w:rFonts w:ascii="Times New Roman" w:hAnsi="Times New Roman"/>
          <w:color w:val="000000" w:themeColor="text1"/>
          <w:sz w:val="16"/>
          <w:szCs w:val="16"/>
          <w:lang w:eastAsia="ru-RU" w:bidi="ru-RU"/>
        </w:rPr>
        <w:softHyphen/>
        <w:t>ком будут вооружаться авиагруппы пер</w:t>
      </w:r>
      <w:r w:rsidRPr="00E93F40">
        <w:rPr>
          <w:rFonts w:ascii="Times New Roman" w:hAnsi="Times New Roman"/>
          <w:color w:val="000000" w:themeColor="text1"/>
          <w:sz w:val="16"/>
          <w:szCs w:val="16"/>
          <w:lang w:eastAsia="ru-RU" w:bidi="ru-RU"/>
        </w:rPr>
        <w:softHyphen/>
        <w:t>спективных советских авианосцев, про</w:t>
      </w:r>
      <w:r w:rsidRPr="00E93F40">
        <w:rPr>
          <w:rFonts w:ascii="Times New Roman" w:hAnsi="Times New Roman"/>
          <w:color w:val="000000" w:themeColor="text1"/>
          <w:sz w:val="16"/>
          <w:szCs w:val="16"/>
          <w:lang w:eastAsia="ru-RU" w:bidi="ru-RU"/>
        </w:rPr>
        <w:softHyphen/>
        <w:t>ектирование которых велось в это время. В частности, проект переоборудования учебного судна «Комсомолец» в учебный же авианосец предусматривал базиро</w:t>
      </w:r>
      <w:r w:rsidRPr="00E93F40">
        <w:rPr>
          <w:rFonts w:ascii="Times New Roman" w:hAnsi="Times New Roman"/>
          <w:color w:val="000000" w:themeColor="text1"/>
          <w:sz w:val="16"/>
          <w:szCs w:val="16"/>
          <w:lang w:eastAsia="ru-RU" w:bidi="ru-RU"/>
        </w:rPr>
        <w:softHyphen/>
        <w:t>вание на корабле авиагруппы в составе 26 истребителей и 16 штурмовиков.</w:t>
      </w:r>
    </w:p>
    <w:p w14:paraId="5CF5BFEA"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Вооружение ШОН в противокорабель</w:t>
      </w:r>
      <w:r w:rsidRPr="00E93F40">
        <w:rPr>
          <w:rFonts w:ascii="Times New Roman" w:hAnsi="Times New Roman"/>
          <w:color w:val="000000" w:themeColor="text1"/>
          <w:sz w:val="16"/>
          <w:szCs w:val="16"/>
          <w:lang w:eastAsia="ru-RU" w:bidi="ru-RU"/>
        </w:rPr>
        <w:softHyphen/>
        <w:t>ном варианте предусматривало подве</w:t>
      </w:r>
      <w:r w:rsidRPr="00E93F40">
        <w:rPr>
          <w:rFonts w:ascii="Times New Roman" w:hAnsi="Times New Roman"/>
          <w:color w:val="000000" w:themeColor="text1"/>
          <w:sz w:val="16"/>
          <w:szCs w:val="16"/>
          <w:lang w:eastAsia="ru-RU" w:bidi="ru-RU"/>
        </w:rPr>
        <w:softHyphen/>
        <w:t>ску торпеды, а в сухопутном варианте со</w:t>
      </w:r>
      <w:r w:rsidRPr="00E93F40">
        <w:rPr>
          <w:rFonts w:ascii="Times New Roman" w:hAnsi="Times New Roman"/>
          <w:color w:val="000000" w:themeColor="text1"/>
          <w:sz w:val="16"/>
          <w:szCs w:val="16"/>
          <w:lang w:eastAsia="ru-RU" w:bidi="ru-RU"/>
        </w:rPr>
        <w:softHyphen/>
        <w:t>стояло из счетверенной качающейся уста</w:t>
      </w:r>
      <w:r w:rsidRPr="00E93F40">
        <w:rPr>
          <w:rFonts w:ascii="Times New Roman" w:hAnsi="Times New Roman"/>
          <w:color w:val="000000" w:themeColor="text1"/>
          <w:sz w:val="16"/>
          <w:szCs w:val="16"/>
          <w:lang w:eastAsia="ru-RU" w:bidi="ru-RU"/>
        </w:rPr>
        <w:softHyphen/>
        <w:t>новки пулеметов ПВ-1 для стрельбы под углом вперед-вниз и назад, установлен</w:t>
      </w:r>
      <w:r w:rsidRPr="00E93F40">
        <w:rPr>
          <w:rFonts w:ascii="Times New Roman" w:hAnsi="Times New Roman"/>
          <w:color w:val="000000" w:themeColor="text1"/>
          <w:sz w:val="16"/>
          <w:szCs w:val="16"/>
          <w:lang w:eastAsia="ru-RU" w:bidi="ru-RU"/>
        </w:rPr>
        <w:softHyphen/>
        <w:t>ной в полу кабины летнаба, и до 400 кг бомб. Оборонительное вооружение вклю</w:t>
      </w:r>
      <w:r w:rsidRPr="00E93F40">
        <w:rPr>
          <w:rFonts w:ascii="Times New Roman" w:hAnsi="Times New Roman"/>
          <w:color w:val="000000" w:themeColor="text1"/>
          <w:sz w:val="16"/>
          <w:szCs w:val="16"/>
          <w:lang w:eastAsia="ru-RU" w:bidi="ru-RU"/>
        </w:rPr>
        <w:softHyphen/>
        <w:t>чало один пулемет для стрельбы назад.</w:t>
      </w:r>
    </w:p>
    <w:p w14:paraId="5AD06047" w14:textId="77777777" w:rsidR="00F866B7" w:rsidRPr="00E93F40" w:rsidRDefault="00F866B7" w:rsidP="00E93F40">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Для удобства транспортировки и раз</w:t>
      </w:r>
      <w:r w:rsidRPr="00E93F40">
        <w:rPr>
          <w:rFonts w:ascii="Times New Roman" w:hAnsi="Times New Roman"/>
          <w:color w:val="000000" w:themeColor="text1"/>
          <w:sz w:val="16"/>
          <w:szCs w:val="16"/>
          <w:lang w:eastAsia="ru-RU" w:bidi="ru-RU"/>
        </w:rPr>
        <w:softHyphen/>
        <w:t>мещения самолета на палубе авианосца крылья отворачивались назад. Были вне</w:t>
      </w:r>
      <w:r w:rsidRPr="00E93F40">
        <w:rPr>
          <w:rFonts w:ascii="Times New Roman" w:hAnsi="Times New Roman"/>
          <w:color w:val="000000" w:themeColor="text1"/>
          <w:sz w:val="16"/>
          <w:szCs w:val="16"/>
          <w:lang w:eastAsia="ru-RU" w:bidi="ru-RU"/>
        </w:rPr>
        <w:softHyphen/>
        <w:t>сены изменения и в конструкцию шасси, обеспечивающие подвеску под фюзеля</w:t>
      </w:r>
      <w:r w:rsidRPr="00E93F40">
        <w:rPr>
          <w:rFonts w:ascii="Times New Roman" w:hAnsi="Times New Roman"/>
          <w:color w:val="000000" w:themeColor="text1"/>
          <w:sz w:val="16"/>
          <w:szCs w:val="16"/>
          <w:lang w:eastAsia="ru-RU" w:bidi="ru-RU"/>
        </w:rPr>
        <w:softHyphen/>
        <w:t>жем торпеды (21062).</w:t>
      </w:r>
    </w:p>
    <w:p w14:paraId="070A6FB2" w14:textId="77777777" w:rsidR="00F866B7" w:rsidRPr="00E93F40" w:rsidRDefault="00F866B7" w:rsidP="00E93F40">
      <w:pPr>
        <w:spacing w:after="0" w:line="240" w:lineRule="auto"/>
        <w:jc w:val="both"/>
        <w:rPr>
          <w:rFonts w:ascii="Times New Roman" w:hAnsi="Times New Roman"/>
          <w:color w:val="000000" w:themeColor="text1"/>
          <w:sz w:val="16"/>
          <w:szCs w:val="16"/>
          <w:lang w:eastAsia="ru-RU" w:bidi="ru-RU"/>
        </w:rPr>
      </w:pPr>
    </w:p>
    <w:p w14:paraId="43FCB73F" w14:textId="77777777" w:rsidR="00BA52BB" w:rsidRPr="00E93F40" w:rsidRDefault="00BA52B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было прекращено производство ТШ-2 на заводе 16 в Воронеже после выпуска первых 10 машин. Основные недостатки - невысокие летные данные, проблемы с охлаждением мотора и плохой обзор вперед-вниз (3807,67).</w:t>
      </w:r>
    </w:p>
    <w:p w14:paraId="510EC5E0" w14:textId="77777777" w:rsidR="00BA52BB" w:rsidRPr="00E93F40" w:rsidRDefault="00BA52BB" w:rsidP="00E93F40">
      <w:pPr>
        <w:autoSpaceDE w:val="0"/>
        <w:autoSpaceDN w:val="0"/>
        <w:adjustRightInd w:val="0"/>
        <w:spacing w:after="0" w:line="240" w:lineRule="auto"/>
        <w:jc w:val="both"/>
        <w:rPr>
          <w:rFonts w:ascii="Times New Roman" w:hAnsi="Times New Roman"/>
          <w:color w:val="000000" w:themeColor="text1"/>
          <w:sz w:val="16"/>
          <w:szCs w:val="16"/>
        </w:rPr>
      </w:pPr>
    </w:p>
    <w:p w14:paraId="3ECA01FC" w14:textId="77777777" w:rsidR="00BA52BB" w:rsidRPr="00E93F40" w:rsidRDefault="00BA52BB"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производство ТШ-2 М-17 было прекращено на первых 10 экземплярах. Позднее на одном из серийных ТШ-2 в качестве эксперимента был установлен более мощный W-образный отечественный мотор М-27. Машину испытывал Ю. И. Пионтковский. Лучше летать штурмовик не стал (9649).</w:t>
      </w:r>
    </w:p>
    <w:p w14:paraId="66BAF1B1" w14:textId="77777777" w:rsidR="00BA52BB" w:rsidRPr="00E93F40" w:rsidRDefault="00BA52BB" w:rsidP="00E93F40">
      <w:pPr>
        <w:autoSpaceDE w:val="0"/>
        <w:autoSpaceDN w:val="0"/>
        <w:adjustRightInd w:val="0"/>
        <w:spacing w:after="0" w:line="240" w:lineRule="auto"/>
        <w:jc w:val="both"/>
        <w:rPr>
          <w:rFonts w:ascii="Times New Roman" w:hAnsi="Times New Roman"/>
          <w:color w:val="000000" w:themeColor="text1"/>
          <w:sz w:val="16"/>
          <w:szCs w:val="16"/>
        </w:rPr>
      </w:pPr>
    </w:p>
    <w:p w14:paraId="40C9E2D6"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работа на стапелях завода № 16 замерла. Производство ТШ-2 с мотором М-17 прекратили на первых десяти экземплярах. Сведений об использовании и дальнейшей судьбе крылатых машин источники не содержат (24153).</w:t>
      </w:r>
    </w:p>
    <w:p w14:paraId="1C100F8D" w14:textId="77777777" w:rsidR="00F22C1F" w:rsidRPr="00E93F40" w:rsidRDefault="00F22C1F" w:rsidP="00E93F40">
      <w:pPr>
        <w:spacing w:after="0" w:line="240" w:lineRule="auto"/>
        <w:jc w:val="both"/>
        <w:rPr>
          <w:rFonts w:ascii="Times New Roman" w:hAnsi="Times New Roman"/>
          <w:color w:val="000000" w:themeColor="text1"/>
          <w:sz w:val="16"/>
          <w:szCs w:val="16"/>
        </w:rPr>
      </w:pPr>
    </w:p>
    <w:p w14:paraId="754983D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подводили итоги достижений авиапроизводства в первой пятилетке (в связи с переходом в промышленности с хозяйственного года на календарный за отчетный период бралось время с октября 1928 г. по конец 1932 г., т. е. четыре года и три месяца).</w:t>
      </w:r>
    </w:p>
    <w:p w14:paraId="20534225" w14:textId="47A252BA"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первый взгляд, успехи были налицо. Решили задачу оснащения авиации отечественными самолетами — из 11 серийно строящихся в 1932 г. самолетов только два имели заграничное происхождение. Начался выпуск</w:t>
      </w:r>
      <w:r w:rsidR="007C1411" w:rsidRPr="00E93F40">
        <w:rPr>
          <w:rFonts w:ascii="Times New Roman" w:hAnsi="Times New Roman"/>
          <w:color w:val="000000" w:themeColor="text1"/>
          <w:sz w:val="16"/>
          <w:szCs w:val="16"/>
        </w:rPr>
        <w:t xml:space="preserve"> </w:t>
      </w:r>
      <w:hyperlink r:id="rId304" w:tooltip="бомбардировщики СССР" w:history="1">
        <w:r w:rsidRPr="00E93F40">
          <w:rPr>
            <w:rStyle w:val="a5"/>
            <w:rFonts w:ascii="Times New Roman" w:hAnsi="Times New Roman"/>
            <w:color w:val="000000" w:themeColor="text1"/>
            <w:sz w:val="16"/>
            <w:szCs w:val="16"/>
            <w:u w:val="none"/>
          </w:rPr>
          <w:t>бомбардировщиков</w:t>
        </w:r>
      </w:hyperlink>
      <w:r w:rsidRPr="00E93F40">
        <w:rPr>
          <w:rFonts w:ascii="Times New Roman" w:hAnsi="Times New Roman"/>
          <w:color w:val="000000" w:themeColor="text1"/>
          <w:sz w:val="16"/>
          <w:szCs w:val="16"/>
        </w:rPr>
        <w:t>, пассажирских самолетов. Благодаря расширению существующих и открытию новых заводов объем выпуска авиатехники возрос с 945 самолетов в 1928/29 г. до 3593 в 1932 г. В результате, если в конце 1928 г. доля машин советской конструкции в ВВС составляла всего 3%, то на начало 1933 г. она равнялась 47% (таблица 7). Еще больше был процент отечественных самолетов в гражданской авиации.</w:t>
      </w:r>
    </w:p>
    <w:p w14:paraId="351D4F1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Авиапарк ВВС СССР</w:t>
      </w:r>
      <w:hyperlink r:id="rId305" w:anchor="footnote_20_4648" w:tooltip="Ivan Rodionov&amp;#8217;s Chronology of Soviet Aviation. 1933." w:history="1">
        <w:r w:rsidRPr="00E93F40">
          <w:rPr>
            <w:rStyle w:val="a5"/>
            <w:rFonts w:ascii="Times New Roman" w:hAnsi="Times New Roman"/>
            <w:color w:val="000000" w:themeColor="text1"/>
            <w:sz w:val="16"/>
            <w:szCs w:val="16"/>
          </w:rPr>
          <w:t>21</w:t>
        </w:r>
      </w:hyperlink>
    </w:p>
    <w:tbl>
      <w:tblPr>
        <w:tblW w:w="0" w:type="auto"/>
        <w:tblCellSpacing w:w="15" w:type="dxa"/>
        <w:shd w:val="clear" w:color="auto" w:fill="F1F4F9"/>
        <w:tblCellMar>
          <w:top w:w="15" w:type="dxa"/>
          <w:left w:w="15" w:type="dxa"/>
          <w:bottom w:w="15" w:type="dxa"/>
          <w:right w:w="15" w:type="dxa"/>
        </w:tblCellMar>
        <w:tblLook w:val="04A0" w:firstRow="1" w:lastRow="0" w:firstColumn="1" w:lastColumn="0" w:noHBand="0" w:noVBand="1"/>
      </w:tblPr>
      <w:tblGrid>
        <w:gridCol w:w="1019"/>
        <w:gridCol w:w="700"/>
        <w:gridCol w:w="700"/>
        <w:gridCol w:w="700"/>
        <w:gridCol w:w="700"/>
        <w:gridCol w:w="715"/>
      </w:tblGrid>
      <w:tr w:rsidR="00DA227A" w:rsidRPr="00E93F40" w14:paraId="0ACCB8D1" w14:textId="77777777" w:rsidTr="001F390E">
        <w:trPr>
          <w:tblHeader/>
          <w:tblCellSpacing w:w="15" w:type="dxa"/>
        </w:trPr>
        <w:tc>
          <w:tcPr>
            <w:tcW w:w="0" w:type="auto"/>
            <w:vAlign w:val="center"/>
            <w:hideMark/>
          </w:tcPr>
          <w:p w14:paraId="40703AC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самолёта</w:t>
            </w:r>
          </w:p>
        </w:tc>
        <w:tc>
          <w:tcPr>
            <w:tcW w:w="0" w:type="auto"/>
            <w:vAlign w:val="center"/>
            <w:hideMark/>
          </w:tcPr>
          <w:p w14:paraId="2C8B2C0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1.10.1928</w:t>
            </w:r>
          </w:p>
        </w:tc>
        <w:tc>
          <w:tcPr>
            <w:tcW w:w="0" w:type="auto"/>
            <w:vAlign w:val="center"/>
            <w:hideMark/>
          </w:tcPr>
          <w:p w14:paraId="7224AC3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1.10.1929</w:t>
            </w:r>
          </w:p>
        </w:tc>
        <w:tc>
          <w:tcPr>
            <w:tcW w:w="0" w:type="auto"/>
            <w:vAlign w:val="center"/>
            <w:hideMark/>
          </w:tcPr>
          <w:p w14:paraId="03EF58C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1.10.1930</w:t>
            </w:r>
          </w:p>
        </w:tc>
        <w:tc>
          <w:tcPr>
            <w:tcW w:w="0" w:type="auto"/>
            <w:vAlign w:val="center"/>
            <w:hideMark/>
          </w:tcPr>
          <w:p w14:paraId="102D96F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1.01.1932</w:t>
            </w:r>
          </w:p>
        </w:tc>
        <w:tc>
          <w:tcPr>
            <w:tcW w:w="0" w:type="auto"/>
            <w:vAlign w:val="center"/>
            <w:hideMark/>
          </w:tcPr>
          <w:p w14:paraId="400494C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1.01.1933</w:t>
            </w:r>
          </w:p>
        </w:tc>
      </w:tr>
      <w:tr w:rsidR="00DA227A" w:rsidRPr="00E93F40" w14:paraId="4655ECF9" w14:textId="77777777" w:rsidTr="001F390E">
        <w:trPr>
          <w:tblCellSpacing w:w="15" w:type="dxa"/>
        </w:trPr>
        <w:tc>
          <w:tcPr>
            <w:tcW w:w="0" w:type="auto"/>
            <w:vAlign w:val="center"/>
            <w:hideMark/>
          </w:tcPr>
          <w:p w14:paraId="6ADADC93"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694CEB83"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46F3E106"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150C7441"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19D4A99F"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0E7C0198"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3CF462E9" w14:textId="77777777" w:rsidTr="001F390E">
        <w:trPr>
          <w:tblCellSpacing w:w="15" w:type="dxa"/>
        </w:trPr>
        <w:tc>
          <w:tcPr>
            <w:tcW w:w="0" w:type="auto"/>
            <w:vAlign w:val="center"/>
            <w:hideMark/>
          </w:tcPr>
          <w:p w14:paraId="6970F49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Фоккер C-IV</w:t>
            </w:r>
          </w:p>
        </w:tc>
        <w:tc>
          <w:tcPr>
            <w:tcW w:w="0" w:type="auto"/>
            <w:vAlign w:val="center"/>
            <w:hideMark/>
          </w:tcPr>
          <w:p w14:paraId="2D64CA9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w:t>
            </w:r>
          </w:p>
        </w:tc>
        <w:tc>
          <w:tcPr>
            <w:tcW w:w="0" w:type="auto"/>
            <w:vAlign w:val="center"/>
            <w:hideMark/>
          </w:tcPr>
          <w:p w14:paraId="0EBC7BA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w:t>
            </w:r>
          </w:p>
        </w:tc>
        <w:tc>
          <w:tcPr>
            <w:tcW w:w="0" w:type="auto"/>
            <w:vAlign w:val="center"/>
            <w:hideMark/>
          </w:tcPr>
          <w:p w14:paraId="6FE0F1C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tc>
        <w:tc>
          <w:tcPr>
            <w:tcW w:w="0" w:type="auto"/>
            <w:vAlign w:val="center"/>
            <w:hideMark/>
          </w:tcPr>
          <w:p w14:paraId="23A9963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w:t>
            </w:r>
          </w:p>
        </w:tc>
        <w:tc>
          <w:tcPr>
            <w:tcW w:w="0" w:type="auto"/>
            <w:vAlign w:val="center"/>
            <w:hideMark/>
          </w:tcPr>
          <w:p w14:paraId="3BF4E4A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r>
      <w:tr w:rsidR="00DA227A" w:rsidRPr="00E93F40" w14:paraId="2654D104" w14:textId="77777777" w:rsidTr="001F390E">
        <w:trPr>
          <w:tblCellSpacing w:w="15" w:type="dxa"/>
        </w:trPr>
        <w:tc>
          <w:tcPr>
            <w:tcW w:w="0" w:type="auto"/>
            <w:vAlign w:val="center"/>
            <w:hideMark/>
          </w:tcPr>
          <w:p w14:paraId="06835DB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w:t>
            </w:r>
          </w:p>
        </w:tc>
        <w:tc>
          <w:tcPr>
            <w:tcW w:w="0" w:type="auto"/>
            <w:vAlign w:val="center"/>
            <w:hideMark/>
          </w:tcPr>
          <w:p w14:paraId="78AFCE0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962</w:t>
            </w:r>
          </w:p>
        </w:tc>
        <w:tc>
          <w:tcPr>
            <w:tcW w:w="0" w:type="auto"/>
            <w:vAlign w:val="center"/>
            <w:hideMark/>
          </w:tcPr>
          <w:p w14:paraId="0B7F255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1209</w:t>
            </w:r>
          </w:p>
        </w:tc>
        <w:tc>
          <w:tcPr>
            <w:tcW w:w="0" w:type="auto"/>
            <w:vAlign w:val="center"/>
            <w:hideMark/>
          </w:tcPr>
          <w:p w14:paraId="27C7D21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1309</w:t>
            </w:r>
          </w:p>
        </w:tc>
        <w:tc>
          <w:tcPr>
            <w:tcW w:w="0" w:type="auto"/>
            <w:vAlign w:val="center"/>
            <w:hideMark/>
          </w:tcPr>
          <w:p w14:paraId="37D2CC1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1404</w:t>
            </w:r>
          </w:p>
        </w:tc>
        <w:tc>
          <w:tcPr>
            <w:tcW w:w="0" w:type="auto"/>
            <w:vAlign w:val="center"/>
            <w:hideMark/>
          </w:tcPr>
          <w:p w14:paraId="2CED4AA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1297</w:t>
            </w:r>
          </w:p>
        </w:tc>
      </w:tr>
      <w:tr w:rsidR="00DA227A" w:rsidRPr="00E93F40" w14:paraId="06A52CE9" w14:textId="77777777" w:rsidTr="001F390E">
        <w:trPr>
          <w:tblCellSpacing w:w="15" w:type="dxa"/>
        </w:trPr>
        <w:tc>
          <w:tcPr>
            <w:tcW w:w="0" w:type="auto"/>
            <w:vAlign w:val="center"/>
            <w:hideMark/>
          </w:tcPr>
          <w:p w14:paraId="1EE347B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Р-3</w:t>
            </w:r>
          </w:p>
        </w:tc>
        <w:tc>
          <w:tcPr>
            <w:tcW w:w="0" w:type="auto"/>
            <w:vAlign w:val="center"/>
            <w:hideMark/>
          </w:tcPr>
          <w:p w14:paraId="1043195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0" w:type="auto"/>
            <w:vAlign w:val="center"/>
            <w:hideMark/>
          </w:tcPr>
          <w:p w14:paraId="792FDA9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w:t>
            </w:r>
          </w:p>
        </w:tc>
        <w:tc>
          <w:tcPr>
            <w:tcW w:w="0" w:type="auto"/>
            <w:vAlign w:val="center"/>
            <w:hideMark/>
          </w:tcPr>
          <w:p w14:paraId="3BE2F28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c>
          <w:tcPr>
            <w:tcW w:w="0" w:type="auto"/>
            <w:vAlign w:val="center"/>
            <w:hideMark/>
          </w:tcPr>
          <w:p w14:paraId="0C8027E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0" w:type="auto"/>
            <w:vAlign w:val="center"/>
            <w:hideMark/>
          </w:tcPr>
          <w:p w14:paraId="2B87752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w:t>
            </w:r>
          </w:p>
        </w:tc>
      </w:tr>
      <w:tr w:rsidR="00DA227A" w:rsidRPr="00E93F40" w14:paraId="5E1F25A1" w14:textId="77777777" w:rsidTr="001F390E">
        <w:trPr>
          <w:tblCellSpacing w:w="15" w:type="dxa"/>
        </w:trPr>
        <w:tc>
          <w:tcPr>
            <w:tcW w:w="0" w:type="auto"/>
            <w:vAlign w:val="center"/>
            <w:hideMark/>
          </w:tcPr>
          <w:p w14:paraId="09B8A9C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0" w:type="auto"/>
            <w:vAlign w:val="center"/>
            <w:hideMark/>
          </w:tcPr>
          <w:p w14:paraId="0C562DE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612BE55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0" w:type="auto"/>
            <w:vAlign w:val="center"/>
            <w:hideMark/>
          </w:tcPr>
          <w:p w14:paraId="6C0AF09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c>
          <w:tcPr>
            <w:tcW w:w="0" w:type="auto"/>
            <w:vAlign w:val="center"/>
            <w:hideMark/>
          </w:tcPr>
          <w:p w14:paraId="7ABC6F2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281</w:t>
            </w:r>
          </w:p>
        </w:tc>
        <w:tc>
          <w:tcPr>
            <w:tcW w:w="0" w:type="auto"/>
            <w:vAlign w:val="center"/>
            <w:hideMark/>
          </w:tcPr>
          <w:p w14:paraId="2A00072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941</w:t>
            </w:r>
          </w:p>
        </w:tc>
      </w:tr>
      <w:tr w:rsidR="00DA227A" w:rsidRPr="00E93F40" w14:paraId="066C9E07" w14:textId="77777777" w:rsidTr="001F390E">
        <w:trPr>
          <w:tblCellSpacing w:w="15" w:type="dxa"/>
        </w:trPr>
        <w:tc>
          <w:tcPr>
            <w:tcW w:w="0" w:type="auto"/>
            <w:vAlign w:val="center"/>
            <w:hideMark/>
          </w:tcPr>
          <w:p w14:paraId="6BF36FB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w:t>
            </w:r>
          </w:p>
        </w:tc>
        <w:tc>
          <w:tcPr>
            <w:tcW w:w="0" w:type="auto"/>
            <w:vAlign w:val="center"/>
            <w:hideMark/>
          </w:tcPr>
          <w:p w14:paraId="7512DF8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70173D7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0" w:type="auto"/>
            <w:vAlign w:val="center"/>
            <w:hideMark/>
          </w:tcPr>
          <w:p w14:paraId="469D502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w:t>
            </w:r>
          </w:p>
        </w:tc>
        <w:tc>
          <w:tcPr>
            <w:tcW w:w="0" w:type="auto"/>
            <w:vAlign w:val="center"/>
            <w:hideMark/>
          </w:tcPr>
          <w:p w14:paraId="1C18A6E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w:t>
            </w:r>
          </w:p>
        </w:tc>
        <w:tc>
          <w:tcPr>
            <w:tcW w:w="0" w:type="auto"/>
            <w:vAlign w:val="center"/>
            <w:hideMark/>
          </w:tcPr>
          <w:p w14:paraId="78C7073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w:t>
            </w:r>
          </w:p>
        </w:tc>
      </w:tr>
      <w:tr w:rsidR="00DA227A" w:rsidRPr="00E93F40" w14:paraId="2941DBB6" w14:textId="77777777" w:rsidTr="001F390E">
        <w:trPr>
          <w:tblCellSpacing w:w="15" w:type="dxa"/>
        </w:trPr>
        <w:tc>
          <w:tcPr>
            <w:tcW w:w="0" w:type="auto"/>
            <w:vAlign w:val="center"/>
            <w:hideMark/>
          </w:tcPr>
          <w:p w14:paraId="0FF72C5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ЮГ-1</w:t>
            </w:r>
          </w:p>
        </w:tc>
        <w:tc>
          <w:tcPr>
            <w:tcW w:w="0" w:type="auto"/>
            <w:vAlign w:val="center"/>
            <w:hideMark/>
          </w:tcPr>
          <w:p w14:paraId="186BD4A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vAlign w:val="center"/>
            <w:hideMark/>
          </w:tcPr>
          <w:p w14:paraId="7BC8D69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0" w:type="auto"/>
            <w:vAlign w:val="center"/>
            <w:hideMark/>
          </w:tcPr>
          <w:p w14:paraId="62DE32B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0" w:type="auto"/>
            <w:vAlign w:val="center"/>
            <w:hideMark/>
          </w:tcPr>
          <w:p w14:paraId="014D06C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0" w:type="auto"/>
            <w:vAlign w:val="center"/>
            <w:hideMark/>
          </w:tcPr>
          <w:p w14:paraId="0309C7C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r>
      <w:tr w:rsidR="00DA227A" w:rsidRPr="00E93F40" w14:paraId="4132528D" w14:textId="77777777" w:rsidTr="001F390E">
        <w:trPr>
          <w:tblCellSpacing w:w="15" w:type="dxa"/>
        </w:trPr>
        <w:tc>
          <w:tcPr>
            <w:tcW w:w="0" w:type="auto"/>
            <w:vAlign w:val="center"/>
            <w:hideMark/>
          </w:tcPr>
          <w:p w14:paraId="5E969FD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Фоккер D-VII</w:t>
            </w:r>
          </w:p>
        </w:tc>
        <w:tc>
          <w:tcPr>
            <w:tcW w:w="0" w:type="auto"/>
            <w:vAlign w:val="center"/>
            <w:hideMark/>
          </w:tcPr>
          <w:p w14:paraId="537F71B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0" w:type="auto"/>
            <w:vAlign w:val="center"/>
            <w:hideMark/>
          </w:tcPr>
          <w:p w14:paraId="5B3AFAE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0" w:type="auto"/>
            <w:vAlign w:val="center"/>
            <w:hideMark/>
          </w:tcPr>
          <w:p w14:paraId="00B9812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0" w:type="auto"/>
            <w:vAlign w:val="center"/>
            <w:hideMark/>
          </w:tcPr>
          <w:p w14:paraId="679CCFA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0" w:type="auto"/>
            <w:vAlign w:val="center"/>
            <w:hideMark/>
          </w:tcPr>
          <w:p w14:paraId="05D7C1C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531BCC61" w14:textId="77777777" w:rsidTr="001F390E">
        <w:trPr>
          <w:tblCellSpacing w:w="15" w:type="dxa"/>
        </w:trPr>
        <w:tc>
          <w:tcPr>
            <w:tcW w:w="0" w:type="auto"/>
            <w:vAlign w:val="center"/>
            <w:hideMark/>
          </w:tcPr>
          <w:p w14:paraId="4295C1D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Фоккер D-XI</w:t>
            </w:r>
          </w:p>
        </w:tc>
        <w:tc>
          <w:tcPr>
            <w:tcW w:w="0" w:type="auto"/>
            <w:vAlign w:val="center"/>
            <w:hideMark/>
          </w:tcPr>
          <w:p w14:paraId="063A2E0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w:t>
            </w:r>
          </w:p>
        </w:tc>
        <w:tc>
          <w:tcPr>
            <w:tcW w:w="0" w:type="auto"/>
            <w:vAlign w:val="center"/>
            <w:hideMark/>
          </w:tcPr>
          <w:p w14:paraId="01054D2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w:t>
            </w:r>
          </w:p>
        </w:tc>
        <w:tc>
          <w:tcPr>
            <w:tcW w:w="0" w:type="auto"/>
            <w:vAlign w:val="center"/>
            <w:hideMark/>
          </w:tcPr>
          <w:p w14:paraId="436D1C3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w:t>
            </w:r>
          </w:p>
        </w:tc>
        <w:tc>
          <w:tcPr>
            <w:tcW w:w="0" w:type="auto"/>
            <w:vAlign w:val="center"/>
            <w:hideMark/>
          </w:tcPr>
          <w:p w14:paraId="4BDF73E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w:t>
            </w:r>
          </w:p>
        </w:tc>
        <w:tc>
          <w:tcPr>
            <w:tcW w:w="0" w:type="auto"/>
            <w:vAlign w:val="center"/>
            <w:hideMark/>
          </w:tcPr>
          <w:p w14:paraId="566DF34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w:t>
            </w:r>
          </w:p>
        </w:tc>
      </w:tr>
      <w:tr w:rsidR="00DA227A" w:rsidRPr="00E93F40" w14:paraId="350CFD5C" w14:textId="77777777" w:rsidTr="001F390E">
        <w:trPr>
          <w:tblCellSpacing w:w="15" w:type="dxa"/>
        </w:trPr>
        <w:tc>
          <w:tcPr>
            <w:tcW w:w="0" w:type="auto"/>
            <w:vAlign w:val="center"/>
            <w:hideMark/>
          </w:tcPr>
          <w:p w14:paraId="6C7C854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И-2</w:t>
            </w:r>
          </w:p>
        </w:tc>
        <w:tc>
          <w:tcPr>
            <w:tcW w:w="0" w:type="auto"/>
            <w:vAlign w:val="center"/>
            <w:hideMark/>
          </w:tcPr>
          <w:p w14:paraId="0012893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c>
          <w:tcPr>
            <w:tcW w:w="0" w:type="auto"/>
            <w:vAlign w:val="center"/>
            <w:hideMark/>
          </w:tcPr>
          <w:p w14:paraId="62266C9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0" w:type="auto"/>
            <w:vAlign w:val="center"/>
            <w:hideMark/>
          </w:tcPr>
          <w:p w14:paraId="772037B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w:t>
            </w:r>
          </w:p>
        </w:tc>
        <w:tc>
          <w:tcPr>
            <w:tcW w:w="0" w:type="auto"/>
            <w:vAlign w:val="center"/>
            <w:hideMark/>
          </w:tcPr>
          <w:p w14:paraId="2A05652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0" w:type="auto"/>
            <w:vAlign w:val="center"/>
            <w:hideMark/>
          </w:tcPr>
          <w:p w14:paraId="2C07747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r>
      <w:tr w:rsidR="00DA227A" w:rsidRPr="00E93F40" w14:paraId="07CF22C3" w14:textId="77777777" w:rsidTr="001F390E">
        <w:trPr>
          <w:tblCellSpacing w:w="15" w:type="dxa"/>
        </w:trPr>
        <w:tc>
          <w:tcPr>
            <w:tcW w:w="0" w:type="auto"/>
            <w:vAlign w:val="center"/>
            <w:hideMark/>
          </w:tcPr>
          <w:p w14:paraId="4E60885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И-2 бис</w:t>
            </w:r>
          </w:p>
        </w:tc>
        <w:tc>
          <w:tcPr>
            <w:tcW w:w="0" w:type="auto"/>
            <w:vAlign w:val="center"/>
            <w:hideMark/>
          </w:tcPr>
          <w:p w14:paraId="685C3EB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0" w:type="auto"/>
            <w:vAlign w:val="center"/>
            <w:hideMark/>
          </w:tcPr>
          <w:p w14:paraId="35DFA22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w:t>
            </w:r>
          </w:p>
        </w:tc>
        <w:tc>
          <w:tcPr>
            <w:tcW w:w="0" w:type="auto"/>
            <w:vAlign w:val="center"/>
            <w:hideMark/>
          </w:tcPr>
          <w:p w14:paraId="5F5D065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w:t>
            </w:r>
          </w:p>
        </w:tc>
        <w:tc>
          <w:tcPr>
            <w:tcW w:w="0" w:type="auto"/>
            <w:vAlign w:val="center"/>
            <w:hideMark/>
          </w:tcPr>
          <w:p w14:paraId="0ECA073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w:t>
            </w:r>
          </w:p>
        </w:tc>
        <w:tc>
          <w:tcPr>
            <w:tcW w:w="0" w:type="auto"/>
            <w:vAlign w:val="center"/>
            <w:hideMark/>
          </w:tcPr>
          <w:p w14:paraId="77836BE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r>
      <w:tr w:rsidR="00DA227A" w:rsidRPr="00E93F40" w14:paraId="6B4E20D7" w14:textId="77777777" w:rsidTr="001F390E">
        <w:trPr>
          <w:tblCellSpacing w:w="15" w:type="dxa"/>
        </w:trPr>
        <w:tc>
          <w:tcPr>
            <w:tcW w:w="0" w:type="auto"/>
            <w:vAlign w:val="center"/>
            <w:hideMark/>
          </w:tcPr>
          <w:p w14:paraId="30753BF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И-3</w:t>
            </w:r>
          </w:p>
        </w:tc>
        <w:tc>
          <w:tcPr>
            <w:tcW w:w="0" w:type="auto"/>
            <w:vAlign w:val="center"/>
            <w:hideMark/>
          </w:tcPr>
          <w:p w14:paraId="1C8AB4F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104C7A9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0" w:type="auto"/>
            <w:vAlign w:val="center"/>
            <w:hideMark/>
          </w:tcPr>
          <w:p w14:paraId="6106A73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234</w:t>
            </w:r>
          </w:p>
        </w:tc>
        <w:tc>
          <w:tcPr>
            <w:tcW w:w="0" w:type="auto"/>
            <w:vAlign w:val="center"/>
            <w:hideMark/>
          </w:tcPr>
          <w:p w14:paraId="574934E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276</w:t>
            </w:r>
          </w:p>
        </w:tc>
        <w:tc>
          <w:tcPr>
            <w:tcW w:w="0" w:type="auto"/>
            <w:vAlign w:val="center"/>
            <w:hideMark/>
          </w:tcPr>
          <w:p w14:paraId="2E7F78E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249</w:t>
            </w:r>
          </w:p>
        </w:tc>
      </w:tr>
      <w:tr w:rsidR="00DA227A" w:rsidRPr="00E93F40" w14:paraId="10D8C8C6" w14:textId="77777777" w:rsidTr="001F390E">
        <w:trPr>
          <w:tblCellSpacing w:w="15" w:type="dxa"/>
        </w:trPr>
        <w:tc>
          <w:tcPr>
            <w:tcW w:w="0" w:type="auto"/>
            <w:vAlign w:val="center"/>
            <w:hideMark/>
          </w:tcPr>
          <w:p w14:paraId="2F4EB9A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И-4</w:t>
            </w:r>
          </w:p>
        </w:tc>
        <w:tc>
          <w:tcPr>
            <w:tcW w:w="0" w:type="auto"/>
            <w:vAlign w:val="center"/>
            <w:hideMark/>
          </w:tcPr>
          <w:p w14:paraId="7A35756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0" w:type="auto"/>
            <w:vAlign w:val="center"/>
            <w:hideMark/>
          </w:tcPr>
          <w:p w14:paraId="6FE6485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0" w:type="auto"/>
            <w:vAlign w:val="center"/>
            <w:hideMark/>
          </w:tcPr>
          <w:p w14:paraId="7072DE2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0" w:type="auto"/>
            <w:vAlign w:val="center"/>
            <w:hideMark/>
          </w:tcPr>
          <w:p w14:paraId="01C0FA8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w:t>
            </w:r>
          </w:p>
        </w:tc>
        <w:tc>
          <w:tcPr>
            <w:tcW w:w="0" w:type="auto"/>
            <w:vAlign w:val="center"/>
            <w:hideMark/>
          </w:tcPr>
          <w:p w14:paraId="6356B7D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w:t>
            </w:r>
          </w:p>
        </w:tc>
      </w:tr>
      <w:tr w:rsidR="00DA227A" w:rsidRPr="00E93F40" w14:paraId="741801A1" w14:textId="77777777" w:rsidTr="001F390E">
        <w:trPr>
          <w:tblCellSpacing w:w="15" w:type="dxa"/>
        </w:trPr>
        <w:tc>
          <w:tcPr>
            <w:tcW w:w="0" w:type="auto"/>
            <w:vAlign w:val="center"/>
            <w:hideMark/>
          </w:tcPr>
          <w:p w14:paraId="679B077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0" w:type="auto"/>
            <w:vAlign w:val="center"/>
            <w:hideMark/>
          </w:tcPr>
          <w:p w14:paraId="417AD25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1FE38F6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7801F0D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7D8109F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w:t>
            </w:r>
          </w:p>
        </w:tc>
        <w:tc>
          <w:tcPr>
            <w:tcW w:w="0" w:type="auto"/>
            <w:vAlign w:val="center"/>
            <w:hideMark/>
          </w:tcPr>
          <w:p w14:paraId="5A68733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162</w:t>
            </w:r>
          </w:p>
        </w:tc>
      </w:tr>
      <w:tr w:rsidR="00DA227A" w:rsidRPr="00E93F40" w14:paraId="0A0E2D57" w14:textId="77777777" w:rsidTr="001F390E">
        <w:trPr>
          <w:tblCellSpacing w:w="15" w:type="dxa"/>
        </w:trPr>
        <w:tc>
          <w:tcPr>
            <w:tcW w:w="0" w:type="auto"/>
            <w:vAlign w:val="center"/>
            <w:hideMark/>
          </w:tcPr>
          <w:p w14:paraId="58036DB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МР-1</w:t>
            </w:r>
          </w:p>
        </w:tc>
        <w:tc>
          <w:tcPr>
            <w:tcW w:w="0" w:type="auto"/>
            <w:vAlign w:val="center"/>
            <w:hideMark/>
          </w:tcPr>
          <w:p w14:paraId="16957CA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w:t>
            </w:r>
          </w:p>
        </w:tc>
        <w:tc>
          <w:tcPr>
            <w:tcW w:w="0" w:type="auto"/>
            <w:vAlign w:val="center"/>
            <w:hideMark/>
          </w:tcPr>
          <w:p w14:paraId="7FDC8ED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w:t>
            </w:r>
          </w:p>
        </w:tc>
        <w:tc>
          <w:tcPr>
            <w:tcW w:w="0" w:type="auto"/>
            <w:vAlign w:val="center"/>
            <w:hideMark/>
          </w:tcPr>
          <w:p w14:paraId="4B6210A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w:t>
            </w:r>
          </w:p>
        </w:tc>
        <w:tc>
          <w:tcPr>
            <w:tcW w:w="0" w:type="auto"/>
            <w:vAlign w:val="center"/>
            <w:hideMark/>
          </w:tcPr>
          <w:p w14:paraId="0C25921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c>
          <w:tcPr>
            <w:tcW w:w="0" w:type="auto"/>
            <w:vAlign w:val="center"/>
            <w:hideMark/>
          </w:tcPr>
          <w:p w14:paraId="1862316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w:t>
            </w:r>
          </w:p>
        </w:tc>
      </w:tr>
      <w:tr w:rsidR="00DA227A" w:rsidRPr="00E93F40" w14:paraId="7618D507" w14:textId="77777777" w:rsidTr="001F390E">
        <w:trPr>
          <w:tblCellSpacing w:w="15" w:type="dxa"/>
        </w:trPr>
        <w:tc>
          <w:tcPr>
            <w:tcW w:w="0" w:type="auto"/>
            <w:vAlign w:val="center"/>
            <w:hideMark/>
          </w:tcPr>
          <w:p w14:paraId="5CEE0BD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НД-55</w:t>
            </w:r>
          </w:p>
        </w:tc>
        <w:tc>
          <w:tcPr>
            <w:tcW w:w="0" w:type="auto"/>
            <w:vAlign w:val="center"/>
            <w:hideMark/>
          </w:tcPr>
          <w:p w14:paraId="3348270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720DB95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138C263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c>
          <w:tcPr>
            <w:tcW w:w="0" w:type="auto"/>
            <w:vAlign w:val="center"/>
            <w:hideMark/>
          </w:tcPr>
          <w:p w14:paraId="02A3875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0" w:type="auto"/>
            <w:vAlign w:val="center"/>
            <w:hideMark/>
          </w:tcPr>
          <w:p w14:paraId="568CE42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r>
      <w:tr w:rsidR="00DA227A" w:rsidRPr="00E93F40" w14:paraId="05EBE9C5" w14:textId="77777777" w:rsidTr="001F390E">
        <w:trPr>
          <w:tblCellSpacing w:w="15" w:type="dxa"/>
        </w:trPr>
        <w:tc>
          <w:tcPr>
            <w:tcW w:w="0" w:type="auto"/>
            <w:vAlign w:val="center"/>
            <w:hideMark/>
          </w:tcPr>
          <w:p w14:paraId="31B154D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Савойя 62бис</w:t>
            </w:r>
          </w:p>
        </w:tc>
        <w:tc>
          <w:tcPr>
            <w:tcW w:w="0" w:type="auto"/>
            <w:vAlign w:val="center"/>
            <w:hideMark/>
          </w:tcPr>
          <w:p w14:paraId="7B11B51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715C470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7C1CFF0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0" w:type="auto"/>
            <w:vAlign w:val="center"/>
            <w:hideMark/>
          </w:tcPr>
          <w:p w14:paraId="7F71822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tc>
        <w:tc>
          <w:tcPr>
            <w:tcW w:w="0" w:type="auto"/>
            <w:vAlign w:val="center"/>
            <w:hideMark/>
          </w:tcPr>
          <w:p w14:paraId="409A98F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w:t>
            </w:r>
          </w:p>
        </w:tc>
      </w:tr>
      <w:tr w:rsidR="00DA227A" w:rsidRPr="00E93F40" w14:paraId="6A49F69C" w14:textId="77777777" w:rsidTr="001F390E">
        <w:trPr>
          <w:tblCellSpacing w:w="15" w:type="dxa"/>
        </w:trPr>
        <w:tc>
          <w:tcPr>
            <w:tcW w:w="0" w:type="auto"/>
            <w:vAlign w:val="center"/>
            <w:hideMark/>
          </w:tcPr>
          <w:p w14:paraId="4673E57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Дорнье Валь</w:t>
            </w:r>
          </w:p>
        </w:tc>
        <w:tc>
          <w:tcPr>
            <w:tcW w:w="0" w:type="auto"/>
            <w:vAlign w:val="center"/>
            <w:hideMark/>
          </w:tcPr>
          <w:p w14:paraId="6736B0D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0" w:type="auto"/>
            <w:vAlign w:val="center"/>
            <w:hideMark/>
          </w:tcPr>
          <w:p w14:paraId="382BF5B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0" w:type="auto"/>
            <w:vAlign w:val="center"/>
            <w:hideMark/>
          </w:tcPr>
          <w:p w14:paraId="097D2DE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c>
          <w:tcPr>
            <w:tcW w:w="0" w:type="auto"/>
            <w:vAlign w:val="center"/>
            <w:hideMark/>
          </w:tcPr>
          <w:p w14:paraId="22564C3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c>
          <w:tcPr>
            <w:tcW w:w="0" w:type="auto"/>
            <w:vAlign w:val="center"/>
            <w:hideMark/>
          </w:tcPr>
          <w:p w14:paraId="63B678E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r>
      <w:tr w:rsidR="00DA227A" w:rsidRPr="00E93F40" w14:paraId="73BFCE9A" w14:textId="77777777" w:rsidTr="001F390E">
        <w:trPr>
          <w:tblCellSpacing w:w="15" w:type="dxa"/>
        </w:trPr>
        <w:tc>
          <w:tcPr>
            <w:tcW w:w="0" w:type="auto"/>
            <w:vAlign w:val="center"/>
            <w:hideMark/>
          </w:tcPr>
          <w:p w14:paraId="3286A8B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w:t>
            </w:r>
          </w:p>
        </w:tc>
        <w:tc>
          <w:tcPr>
            <w:tcW w:w="0" w:type="auto"/>
            <w:vAlign w:val="center"/>
            <w:hideMark/>
          </w:tcPr>
          <w:p w14:paraId="73028F5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w:t>
            </w:r>
          </w:p>
        </w:tc>
        <w:tc>
          <w:tcPr>
            <w:tcW w:w="0" w:type="auto"/>
            <w:vAlign w:val="center"/>
            <w:hideMark/>
          </w:tcPr>
          <w:p w14:paraId="44415B1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293</w:t>
            </w:r>
          </w:p>
        </w:tc>
        <w:tc>
          <w:tcPr>
            <w:tcW w:w="0" w:type="auto"/>
            <w:vAlign w:val="center"/>
            <w:hideMark/>
          </w:tcPr>
          <w:p w14:paraId="1A513A0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313</w:t>
            </w:r>
          </w:p>
        </w:tc>
        <w:tc>
          <w:tcPr>
            <w:tcW w:w="0" w:type="auto"/>
            <w:vAlign w:val="center"/>
            <w:hideMark/>
          </w:tcPr>
          <w:p w14:paraId="392C1E3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319</w:t>
            </w:r>
          </w:p>
        </w:tc>
        <w:tc>
          <w:tcPr>
            <w:tcW w:w="0" w:type="auto"/>
            <w:vAlign w:val="center"/>
            <w:hideMark/>
          </w:tcPr>
          <w:p w14:paraId="6C9037F6"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6BCBF61E" w14:textId="77777777" w:rsidTr="001F390E">
        <w:trPr>
          <w:tblCellSpacing w:w="15" w:type="dxa"/>
        </w:trPr>
        <w:tc>
          <w:tcPr>
            <w:tcW w:w="0" w:type="auto"/>
            <w:vAlign w:val="center"/>
            <w:hideMark/>
          </w:tcPr>
          <w:p w14:paraId="2065DC1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МУ-1</w:t>
            </w:r>
          </w:p>
        </w:tc>
        <w:tc>
          <w:tcPr>
            <w:tcW w:w="0" w:type="auto"/>
            <w:vAlign w:val="center"/>
            <w:hideMark/>
          </w:tcPr>
          <w:p w14:paraId="7EB81DD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785E8F2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5EA6024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w:t>
            </w:r>
          </w:p>
        </w:tc>
        <w:tc>
          <w:tcPr>
            <w:tcW w:w="0" w:type="auto"/>
            <w:vAlign w:val="center"/>
            <w:hideMark/>
          </w:tcPr>
          <w:p w14:paraId="21B1A85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w:t>
            </w:r>
          </w:p>
        </w:tc>
        <w:tc>
          <w:tcPr>
            <w:tcW w:w="0" w:type="auto"/>
            <w:vAlign w:val="center"/>
            <w:hideMark/>
          </w:tcPr>
          <w:p w14:paraId="37950AC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r>
      <w:tr w:rsidR="00DA227A" w:rsidRPr="00E93F40" w14:paraId="510281CB" w14:textId="77777777" w:rsidTr="001F390E">
        <w:trPr>
          <w:tblCellSpacing w:w="15" w:type="dxa"/>
        </w:trPr>
        <w:tc>
          <w:tcPr>
            <w:tcW w:w="0" w:type="auto"/>
            <w:vAlign w:val="center"/>
            <w:hideMark/>
          </w:tcPr>
          <w:p w14:paraId="0AADDE1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0" w:type="auto"/>
            <w:vAlign w:val="center"/>
            <w:hideMark/>
          </w:tcPr>
          <w:p w14:paraId="4B2D5E7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268CB8D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0" w:type="auto"/>
            <w:vAlign w:val="center"/>
            <w:hideMark/>
          </w:tcPr>
          <w:p w14:paraId="7F9CEFB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w:t>
            </w:r>
          </w:p>
        </w:tc>
        <w:tc>
          <w:tcPr>
            <w:tcW w:w="0" w:type="auto"/>
            <w:vAlign w:val="center"/>
            <w:hideMark/>
          </w:tcPr>
          <w:p w14:paraId="42A636B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w:t>
            </w:r>
          </w:p>
        </w:tc>
        <w:tc>
          <w:tcPr>
            <w:tcW w:w="0" w:type="auto"/>
            <w:vAlign w:val="center"/>
            <w:hideMark/>
          </w:tcPr>
          <w:p w14:paraId="7D8E23D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742</w:t>
            </w:r>
          </w:p>
        </w:tc>
      </w:tr>
      <w:tr w:rsidR="00DA227A" w:rsidRPr="00E93F40" w14:paraId="15514104" w14:textId="77777777" w:rsidTr="001F390E">
        <w:trPr>
          <w:tblCellSpacing w:w="15" w:type="dxa"/>
        </w:trPr>
        <w:tc>
          <w:tcPr>
            <w:tcW w:w="0" w:type="auto"/>
            <w:vAlign w:val="center"/>
            <w:hideMark/>
          </w:tcPr>
          <w:p w14:paraId="683A1EB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0" w:type="auto"/>
            <w:vAlign w:val="center"/>
            <w:hideMark/>
          </w:tcPr>
          <w:p w14:paraId="18B82CE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1583</w:t>
            </w:r>
          </w:p>
        </w:tc>
        <w:tc>
          <w:tcPr>
            <w:tcW w:w="0" w:type="auto"/>
            <w:vAlign w:val="center"/>
            <w:hideMark/>
          </w:tcPr>
          <w:p w14:paraId="6C9EF05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2064</w:t>
            </w:r>
          </w:p>
        </w:tc>
        <w:tc>
          <w:tcPr>
            <w:tcW w:w="0" w:type="auto"/>
            <w:vAlign w:val="center"/>
            <w:hideMark/>
          </w:tcPr>
          <w:p w14:paraId="2876CDF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2558</w:t>
            </w:r>
          </w:p>
        </w:tc>
        <w:tc>
          <w:tcPr>
            <w:tcW w:w="0" w:type="auto"/>
            <w:vAlign w:val="center"/>
            <w:hideMark/>
          </w:tcPr>
          <w:p w14:paraId="70C925F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3253</w:t>
            </w:r>
          </w:p>
        </w:tc>
        <w:tc>
          <w:tcPr>
            <w:tcW w:w="0" w:type="auto"/>
            <w:vAlign w:val="center"/>
            <w:hideMark/>
          </w:tcPr>
          <w:p w14:paraId="6FC28AB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4132</w:t>
            </w:r>
          </w:p>
        </w:tc>
      </w:tr>
    </w:tbl>
    <w:p w14:paraId="6937ED86" w14:textId="77777777" w:rsidR="001F390E" w:rsidRPr="00E93F40" w:rsidRDefault="001F390E" w:rsidP="00E93F40">
      <w:pPr>
        <w:spacing w:after="0" w:line="240" w:lineRule="auto"/>
        <w:jc w:val="both"/>
        <w:rPr>
          <w:rFonts w:ascii="Times New Roman" w:hAnsi="Times New Roman"/>
          <w:color w:val="000000" w:themeColor="text1"/>
          <w:sz w:val="16"/>
          <w:szCs w:val="16"/>
        </w:rPr>
      </w:pPr>
      <w:hyperlink r:id="rId306" w:history="1">
        <w:r w:rsidRPr="00E93F40">
          <w:rPr>
            <w:rStyle w:val="a5"/>
            <w:rFonts w:ascii="Times New Roman" w:hAnsi="Times New Roman"/>
            <w:color w:val="000000" w:themeColor="text1"/>
            <w:sz w:val="16"/>
            <w:szCs w:val="16"/>
          </w:rPr>
          <w:t>Источник и подробности: http://www.airaces.ru/stati/proizvodstvo-samoletov-v-sssr-v-pervojj-pyatiletke-1928-1933-gody.html</w:t>
        </w:r>
      </w:hyperlink>
    </w:p>
    <w:p w14:paraId="21A01AE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 авиадвигателей в СССР в 1929-1932 гг.</w:t>
      </w:r>
      <w:hyperlink r:id="rId307" w:anchor="footnote_7_4648" w:tooltip="РГАЭ. Ф. 8044. Оп. 1. Д. 2707." w:history="1">
        <w:r w:rsidRPr="00E93F40">
          <w:rPr>
            <w:rStyle w:val="a5"/>
            <w:rFonts w:ascii="Times New Roman" w:hAnsi="Times New Roman"/>
            <w:color w:val="000000" w:themeColor="text1"/>
            <w:sz w:val="16"/>
            <w:szCs w:val="16"/>
          </w:rPr>
          <w:t>8</w:t>
        </w:r>
      </w:hyperlink>
    </w:p>
    <w:tbl>
      <w:tblPr>
        <w:tblW w:w="0" w:type="auto"/>
        <w:tblCellSpacing w:w="15" w:type="dxa"/>
        <w:shd w:val="clear" w:color="auto" w:fill="F1F4F9"/>
        <w:tblCellMar>
          <w:top w:w="15" w:type="dxa"/>
          <w:left w:w="15" w:type="dxa"/>
          <w:bottom w:w="15" w:type="dxa"/>
          <w:right w:w="15" w:type="dxa"/>
        </w:tblCellMar>
        <w:tblLook w:val="04A0" w:firstRow="1" w:lastRow="0" w:firstColumn="1" w:lastColumn="0" w:noHBand="0" w:noVBand="1"/>
      </w:tblPr>
      <w:tblGrid>
        <w:gridCol w:w="776"/>
        <w:gridCol w:w="1096"/>
        <w:gridCol w:w="1371"/>
        <w:gridCol w:w="526"/>
        <w:gridCol w:w="526"/>
        <w:gridCol w:w="526"/>
        <w:gridCol w:w="541"/>
      </w:tblGrid>
      <w:tr w:rsidR="00DA227A" w:rsidRPr="00E93F40" w14:paraId="784134B4" w14:textId="77777777" w:rsidTr="00961727">
        <w:trPr>
          <w:tblCellSpacing w:w="15" w:type="dxa"/>
        </w:trPr>
        <w:tc>
          <w:tcPr>
            <w:tcW w:w="0" w:type="auto"/>
            <w:vAlign w:val="center"/>
            <w:hideMark/>
          </w:tcPr>
          <w:p w14:paraId="1635C97F"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287FC6FC"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49016DB7"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56DAD9D9"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24E447E7"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64A73C3C"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7EBEC965"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41F2EFC8" w14:textId="77777777" w:rsidTr="001F390E">
        <w:trPr>
          <w:tblHeader/>
          <w:tblCellSpacing w:w="15" w:type="dxa"/>
        </w:trPr>
        <w:tc>
          <w:tcPr>
            <w:tcW w:w="0" w:type="auto"/>
            <w:vAlign w:val="center"/>
            <w:hideMark/>
          </w:tcPr>
          <w:p w14:paraId="788FD7E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w:t>
            </w:r>
          </w:p>
        </w:tc>
        <w:tc>
          <w:tcPr>
            <w:tcW w:w="0" w:type="auto"/>
            <w:vAlign w:val="center"/>
            <w:hideMark/>
          </w:tcPr>
          <w:p w14:paraId="415A6BC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л.с.</w:t>
            </w:r>
          </w:p>
        </w:tc>
        <w:tc>
          <w:tcPr>
            <w:tcW w:w="0" w:type="auto"/>
            <w:vAlign w:val="center"/>
            <w:hideMark/>
          </w:tcPr>
          <w:p w14:paraId="44E6317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p>
        </w:tc>
        <w:tc>
          <w:tcPr>
            <w:tcW w:w="0" w:type="auto"/>
            <w:vAlign w:val="center"/>
            <w:hideMark/>
          </w:tcPr>
          <w:p w14:paraId="4E04C9E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 г.</w:t>
            </w:r>
          </w:p>
        </w:tc>
        <w:tc>
          <w:tcPr>
            <w:tcW w:w="0" w:type="auto"/>
            <w:vAlign w:val="center"/>
            <w:hideMark/>
          </w:tcPr>
          <w:p w14:paraId="28C329D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 г.</w:t>
            </w:r>
          </w:p>
        </w:tc>
        <w:tc>
          <w:tcPr>
            <w:tcW w:w="0" w:type="auto"/>
            <w:vAlign w:val="center"/>
            <w:hideMark/>
          </w:tcPr>
          <w:p w14:paraId="6229056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0" w:type="auto"/>
            <w:vAlign w:val="center"/>
            <w:hideMark/>
          </w:tcPr>
          <w:p w14:paraId="5AC13AA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w:t>
            </w:r>
          </w:p>
        </w:tc>
      </w:tr>
      <w:tr w:rsidR="00DA227A" w:rsidRPr="00E93F40" w14:paraId="1B84CE2C" w14:textId="77777777" w:rsidTr="001F390E">
        <w:trPr>
          <w:tblCellSpacing w:w="15" w:type="dxa"/>
        </w:trPr>
        <w:tc>
          <w:tcPr>
            <w:tcW w:w="0" w:type="auto"/>
            <w:vAlign w:val="center"/>
            <w:hideMark/>
          </w:tcPr>
          <w:p w14:paraId="1FE5957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w:t>
            </w:r>
          </w:p>
        </w:tc>
        <w:tc>
          <w:tcPr>
            <w:tcW w:w="0" w:type="auto"/>
            <w:vAlign w:val="center"/>
            <w:hideMark/>
          </w:tcPr>
          <w:p w14:paraId="45A3A67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tc>
        <w:tc>
          <w:tcPr>
            <w:tcW w:w="0" w:type="auto"/>
            <w:vAlign w:val="center"/>
            <w:hideMark/>
          </w:tcPr>
          <w:p w14:paraId="3236BBF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0" w:type="auto"/>
            <w:vAlign w:val="center"/>
            <w:hideMark/>
          </w:tcPr>
          <w:p w14:paraId="78D6A3A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w:t>
            </w:r>
          </w:p>
        </w:tc>
        <w:tc>
          <w:tcPr>
            <w:tcW w:w="0" w:type="auto"/>
            <w:vAlign w:val="center"/>
            <w:hideMark/>
          </w:tcPr>
          <w:p w14:paraId="5D527B6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226</w:t>
            </w:r>
          </w:p>
        </w:tc>
        <w:tc>
          <w:tcPr>
            <w:tcW w:w="0" w:type="auto"/>
            <w:vAlign w:val="center"/>
            <w:hideMark/>
          </w:tcPr>
          <w:p w14:paraId="405581AD"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2B5CA077"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557BB973" w14:textId="77777777" w:rsidTr="001F390E">
        <w:trPr>
          <w:tblCellSpacing w:w="15" w:type="dxa"/>
        </w:trPr>
        <w:tc>
          <w:tcPr>
            <w:tcW w:w="0" w:type="auto"/>
            <w:vAlign w:val="center"/>
            <w:hideMark/>
          </w:tcPr>
          <w:p w14:paraId="50E638C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w:t>
            </w:r>
          </w:p>
        </w:tc>
        <w:tc>
          <w:tcPr>
            <w:tcW w:w="0" w:type="auto"/>
            <w:vAlign w:val="center"/>
            <w:hideMark/>
          </w:tcPr>
          <w:p w14:paraId="2B1C755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0" w:type="auto"/>
            <w:vAlign w:val="center"/>
            <w:hideMark/>
          </w:tcPr>
          <w:p w14:paraId="7DCD948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«Большевик», №24</w:t>
            </w:r>
          </w:p>
        </w:tc>
        <w:tc>
          <w:tcPr>
            <w:tcW w:w="0" w:type="auto"/>
            <w:vAlign w:val="center"/>
            <w:hideMark/>
          </w:tcPr>
          <w:p w14:paraId="52C781F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997</w:t>
            </w:r>
          </w:p>
        </w:tc>
        <w:tc>
          <w:tcPr>
            <w:tcW w:w="0" w:type="auto"/>
            <w:vAlign w:val="center"/>
            <w:hideMark/>
          </w:tcPr>
          <w:p w14:paraId="4AD1BDD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740</w:t>
            </w:r>
          </w:p>
        </w:tc>
        <w:tc>
          <w:tcPr>
            <w:tcW w:w="0" w:type="auto"/>
            <w:vAlign w:val="center"/>
            <w:hideMark/>
          </w:tcPr>
          <w:p w14:paraId="6B6DBF05"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6C4606B2"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04000D23" w14:textId="77777777" w:rsidTr="001F390E">
        <w:trPr>
          <w:tblCellSpacing w:w="15" w:type="dxa"/>
        </w:trPr>
        <w:tc>
          <w:tcPr>
            <w:tcW w:w="0" w:type="auto"/>
            <w:vAlign w:val="center"/>
            <w:hideMark/>
          </w:tcPr>
          <w:p w14:paraId="0686421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М-6</w:t>
            </w:r>
          </w:p>
        </w:tc>
        <w:tc>
          <w:tcPr>
            <w:tcW w:w="0" w:type="auto"/>
            <w:vAlign w:val="center"/>
            <w:hideMark/>
          </w:tcPr>
          <w:p w14:paraId="67A1AFD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0" w:type="auto"/>
            <w:vAlign w:val="center"/>
            <w:hideMark/>
          </w:tcPr>
          <w:p w14:paraId="40E2A16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0" w:type="auto"/>
            <w:vAlign w:val="center"/>
            <w:hideMark/>
          </w:tcPr>
          <w:p w14:paraId="5156699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w:t>
            </w:r>
          </w:p>
        </w:tc>
        <w:tc>
          <w:tcPr>
            <w:tcW w:w="0" w:type="auto"/>
            <w:vAlign w:val="center"/>
            <w:hideMark/>
          </w:tcPr>
          <w:p w14:paraId="7B1CE39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0" w:type="auto"/>
            <w:vAlign w:val="center"/>
            <w:hideMark/>
          </w:tcPr>
          <w:p w14:paraId="1E5545F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0" w:type="auto"/>
            <w:vAlign w:val="center"/>
            <w:hideMark/>
          </w:tcPr>
          <w:p w14:paraId="48692011"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782CDF08" w14:textId="77777777" w:rsidTr="001F390E">
        <w:trPr>
          <w:tblCellSpacing w:w="15" w:type="dxa"/>
        </w:trPr>
        <w:tc>
          <w:tcPr>
            <w:tcW w:w="0" w:type="auto"/>
            <w:vAlign w:val="center"/>
            <w:hideMark/>
          </w:tcPr>
          <w:p w14:paraId="1104ACD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М-11</w:t>
            </w:r>
          </w:p>
        </w:tc>
        <w:tc>
          <w:tcPr>
            <w:tcW w:w="0" w:type="auto"/>
            <w:vAlign w:val="center"/>
            <w:hideMark/>
          </w:tcPr>
          <w:p w14:paraId="7B6785A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0" w:type="auto"/>
            <w:vAlign w:val="center"/>
            <w:hideMark/>
          </w:tcPr>
          <w:p w14:paraId="4D7E3CF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0" w:type="auto"/>
            <w:vAlign w:val="center"/>
            <w:hideMark/>
          </w:tcPr>
          <w:p w14:paraId="7EF4C01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0" w:type="auto"/>
            <w:vAlign w:val="center"/>
            <w:hideMark/>
          </w:tcPr>
          <w:p w14:paraId="0E7A2AB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w:t>
            </w:r>
          </w:p>
        </w:tc>
        <w:tc>
          <w:tcPr>
            <w:tcW w:w="0" w:type="auto"/>
            <w:vAlign w:val="center"/>
            <w:hideMark/>
          </w:tcPr>
          <w:p w14:paraId="7FC4975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535</w:t>
            </w:r>
          </w:p>
        </w:tc>
        <w:tc>
          <w:tcPr>
            <w:tcW w:w="0" w:type="auto"/>
            <w:vAlign w:val="center"/>
            <w:hideMark/>
          </w:tcPr>
          <w:p w14:paraId="33EF236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1755</w:t>
            </w:r>
          </w:p>
        </w:tc>
      </w:tr>
      <w:tr w:rsidR="00DA227A" w:rsidRPr="00E93F40" w14:paraId="4DF97587" w14:textId="77777777" w:rsidTr="001F390E">
        <w:trPr>
          <w:tblCellSpacing w:w="15" w:type="dxa"/>
        </w:trPr>
        <w:tc>
          <w:tcPr>
            <w:tcW w:w="0" w:type="auto"/>
            <w:vAlign w:val="center"/>
            <w:hideMark/>
          </w:tcPr>
          <w:p w14:paraId="6C7528D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М-15</w:t>
            </w:r>
          </w:p>
        </w:tc>
        <w:tc>
          <w:tcPr>
            <w:tcW w:w="0" w:type="auto"/>
            <w:vAlign w:val="center"/>
            <w:hideMark/>
          </w:tcPr>
          <w:p w14:paraId="65ACD8E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c>
          <w:tcPr>
            <w:tcW w:w="0" w:type="auto"/>
            <w:vAlign w:val="center"/>
            <w:hideMark/>
          </w:tcPr>
          <w:p w14:paraId="33093E0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0" w:type="auto"/>
            <w:vAlign w:val="center"/>
            <w:hideMark/>
          </w:tcPr>
          <w:p w14:paraId="049D69EA"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25F4E18B"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3E7D596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186</w:t>
            </w:r>
          </w:p>
        </w:tc>
        <w:tc>
          <w:tcPr>
            <w:tcW w:w="0" w:type="auto"/>
            <w:vAlign w:val="center"/>
            <w:hideMark/>
          </w:tcPr>
          <w:p w14:paraId="69DC92D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w:t>
            </w:r>
          </w:p>
        </w:tc>
      </w:tr>
      <w:tr w:rsidR="00DA227A" w:rsidRPr="00E93F40" w14:paraId="2716DAA5" w14:textId="77777777" w:rsidTr="001F390E">
        <w:trPr>
          <w:tblCellSpacing w:w="15" w:type="dxa"/>
        </w:trPr>
        <w:tc>
          <w:tcPr>
            <w:tcW w:w="0" w:type="auto"/>
            <w:vAlign w:val="center"/>
            <w:hideMark/>
          </w:tcPr>
          <w:p w14:paraId="761EA3D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w:t>
            </w:r>
          </w:p>
        </w:tc>
        <w:tc>
          <w:tcPr>
            <w:tcW w:w="0" w:type="auto"/>
            <w:vAlign w:val="center"/>
            <w:hideMark/>
          </w:tcPr>
          <w:p w14:paraId="107F78B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0" w:type="auto"/>
            <w:vAlign w:val="center"/>
            <w:hideMark/>
          </w:tcPr>
          <w:p w14:paraId="054704F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tc>
        <w:tc>
          <w:tcPr>
            <w:tcW w:w="0" w:type="auto"/>
            <w:vAlign w:val="center"/>
            <w:hideMark/>
          </w:tcPr>
          <w:p w14:paraId="1096FEBB"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0BB714D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w:t>
            </w:r>
          </w:p>
        </w:tc>
        <w:tc>
          <w:tcPr>
            <w:tcW w:w="0" w:type="auto"/>
            <w:vAlign w:val="center"/>
            <w:hideMark/>
          </w:tcPr>
          <w:p w14:paraId="09A74BD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679</w:t>
            </w:r>
          </w:p>
        </w:tc>
        <w:tc>
          <w:tcPr>
            <w:tcW w:w="0" w:type="auto"/>
            <w:vAlign w:val="center"/>
            <w:hideMark/>
          </w:tcPr>
          <w:p w14:paraId="7214E80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2120</w:t>
            </w:r>
          </w:p>
        </w:tc>
      </w:tr>
      <w:tr w:rsidR="00DA227A" w:rsidRPr="00E93F40" w14:paraId="189B6ADB" w14:textId="77777777" w:rsidTr="001F390E">
        <w:trPr>
          <w:tblCellSpacing w:w="15" w:type="dxa"/>
        </w:trPr>
        <w:tc>
          <w:tcPr>
            <w:tcW w:w="0" w:type="auto"/>
            <w:vAlign w:val="center"/>
            <w:hideMark/>
          </w:tcPr>
          <w:p w14:paraId="32CEAE1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w:t>
            </w:r>
          </w:p>
        </w:tc>
        <w:tc>
          <w:tcPr>
            <w:tcW w:w="0" w:type="auto"/>
            <w:vAlign w:val="center"/>
            <w:hideMark/>
          </w:tcPr>
          <w:p w14:paraId="3DFA043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c>
          <w:tcPr>
            <w:tcW w:w="0" w:type="auto"/>
            <w:vAlign w:val="center"/>
            <w:hideMark/>
          </w:tcPr>
          <w:p w14:paraId="3B7FC97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0" w:type="auto"/>
            <w:vAlign w:val="center"/>
            <w:hideMark/>
          </w:tcPr>
          <w:p w14:paraId="3060586F"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7B2D6660"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17BD58B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0" w:type="auto"/>
            <w:vAlign w:val="center"/>
            <w:hideMark/>
          </w:tcPr>
          <w:p w14:paraId="5601A81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r>
      <w:tr w:rsidR="00DA227A" w:rsidRPr="00E93F40" w14:paraId="5F1441FE" w14:textId="77777777" w:rsidTr="001F390E">
        <w:trPr>
          <w:tblCellSpacing w:w="15" w:type="dxa"/>
        </w:trPr>
        <w:tc>
          <w:tcPr>
            <w:tcW w:w="0" w:type="auto"/>
            <w:vAlign w:val="center"/>
            <w:hideMark/>
          </w:tcPr>
          <w:p w14:paraId="1D5F12E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М-26</w:t>
            </w:r>
          </w:p>
        </w:tc>
        <w:tc>
          <w:tcPr>
            <w:tcW w:w="0" w:type="auto"/>
            <w:vAlign w:val="center"/>
            <w:hideMark/>
          </w:tcPr>
          <w:p w14:paraId="6363E18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0" w:type="auto"/>
            <w:vAlign w:val="center"/>
            <w:hideMark/>
          </w:tcPr>
          <w:p w14:paraId="09CF12A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0" w:type="auto"/>
            <w:vAlign w:val="center"/>
            <w:hideMark/>
          </w:tcPr>
          <w:p w14:paraId="680BE6D0"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2BA29859"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17BB5F8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c>
          <w:tcPr>
            <w:tcW w:w="0" w:type="auto"/>
            <w:vAlign w:val="center"/>
            <w:hideMark/>
          </w:tcPr>
          <w:p w14:paraId="0A4DA08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w:t>
            </w:r>
          </w:p>
        </w:tc>
      </w:tr>
      <w:tr w:rsidR="00DA227A" w:rsidRPr="00E93F40" w14:paraId="2E71CD2E" w14:textId="77777777" w:rsidTr="001F390E">
        <w:trPr>
          <w:tblCellSpacing w:w="15" w:type="dxa"/>
        </w:trPr>
        <w:tc>
          <w:tcPr>
            <w:tcW w:w="0" w:type="auto"/>
            <w:vAlign w:val="center"/>
            <w:hideMark/>
          </w:tcPr>
          <w:p w14:paraId="27349D2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0" w:type="auto"/>
            <w:vAlign w:val="center"/>
            <w:hideMark/>
          </w:tcPr>
          <w:p w14:paraId="287D4F3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0" w:type="auto"/>
            <w:vAlign w:val="center"/>
            <w:hideMark/>
          </w:tcPr>
          <w:p w14:paraId="6A53A77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0" w:type="auto"/>
            <w:vAlign w:val="center"/>
            <w:hideMark/>
          </w:tcPr>
          <w:p w14:paraId="264DA2C8"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0B6A9EDD"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145D2D59"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55A1777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r>
    </w:tbl>
    <w:p w14:paraId="5ED91E3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РГАЭ. Ф. 8044. Оп. 1. Д. 2707.</w:t>
      </w:r>
      <w:hyperlink r:id="rId308" w:history="1">
        <w:r w:rsidRPr="00E93F40">
          <w:rPr>
            <w:rStyle w:val="a5"/>
            <w:rFonts w:ascii="Times New Roman" w:hAnsi="Times New Roman"/>
            <w:color w:val="000000" w:themeColor="text1"/>
            <w:sz w:val="16"/>
            <w:szCs w:val="16"/>
            <w:u w:val="none"/>
          </w:rPr>
          <w:t>Источник и подробности: http://www.airaces.ru/stati/proizvodstvo-samoletov-v-sssr-v-pervojj-pyatiletke-1928-1933-gody.html</w:t>
        </w:r>
      </w:hyperlink>
    </w:p>
    <w:p w14:paraId="4A69599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(18303)</w:t>
      </w:r>
    </w:p>
    <w:p w14:paraId="469F748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Появление в распоряжении конструкторов новых двигателей и возросшая помощь со стороны науки позволили расширить ассортимент выпускаемых самолетов и улучшить их характеристики. В 1929 г. начали серийный выпуск двух новых моделей, в 1930 г. — трех, в 1931 г. — пяти, в 1932 г. — еще трех.</w:t>
      </w:r>
    </w:p>
    <w:p w14:paraId="6E4694D1" w14:textId="4EDBEC18"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мере совершенствования авиатехники росла ее стоимость. Разведчик Р-1 обходился в 31 тыс. руб. а сменивший его Р-5 — в 60 тыс.; учебный У-1 стоил 18 тыс. руб., за У-2 в 1931 г. платили 22 тыс. (цены приведены за самолеты с двигателем). Самыми дорогими были металлические самолеты: в 1933 г цена</w:t>
      </w:r>
      <w:r w:rsidR="007C1411" w:rsidRPr="00E93F40">
        <w:rPr>
          <w:rFonts w:ascii="Times New Roman" w:hAnsi="Times New Roman"/>
          <w:color w:val="000000" w:themeColor="text1"/>
          <w:sz w:val="16"/>
          <w:szCs w:val="16"/>
        </w:rPr>
        <w:t xml:space="preserve"> </w:t>
      </w:r>
      <w:hyperlink r:id="rId309" w:tooltip="ТБ-1 (АНТ-4) - история создания и технические характеристики" w:history="1">
        <w:r w:rsidRPr="00E93F40">
          <w:rPr>
            <w:rStyle w:val="a5"/>
            <w:rFonts w:ascii="Times New Roman" w:hAnsi="Times New Roman"/>
            <w:color w:val="000000" w:themeColor="text1"/>
            <w:sz w:val="16"/>
            <w:szCs w:val="16"/>
            <w:u w:val="none"/>
          </w:rPr>
          <w:t>двухмоторного бомбардировщика ТБ-1</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равнялась 142 тыс. руб. а</w:t>
      </w:r>
      <w:r w:rsidR="007C1411" w:rsidRPr="00E93F40">
        <w:rPr>
          <w:rFonts w:ascii="Times New Roman" w:hAnsi="Times New Roman"/>
          <w:color w:val="000000" w:themeColor="text1"/>
          <w:sz w:val="16"/>
          <w:szCs w:val="16"/>
        </w:rPr>
        <w:t xml:space="preserve"> </w:t>
      </w:r>
      <w:hyperlink r:id="rId310" w:tooltip="ТБ-3" w:history="1">
        <w:r w:rsidRPr="00E93F40">
          <w:rPr>
            <w:rStyle w:val="a5"/>
            <w:rFonts w:ascii="Times New Roman" w:hAnsi="Times New Roman"/>
            <w:color w:val="000000" w:themeColor="text1"/>
            <w:sz w:val="16"/>
            <w:szCs w:val="16"/>
            <w:u w:val="none"/>
          </w:rPr>
          <w:t>четырехмоторного ТБ-3</w:t>
        </w:r>
      </w:hyperlink>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двигателями М-17 -199 тыс. Правда, с ростом объема выпуска и совершенствованием технологии стоимость продукции постепенно снижалась (см. таблицу ниже).</w:t>
      </w:r>
    </w:p>
    <w:p w14:paraId="24C8091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Изменение стоимости советских самолетов в период 1931-1933 гг.</w:t>
      </w:r>
      <w:r w:rsidR="00961727" w:rsidRPr="00E93F40">
        <w:rPr>
          <w:rFonts w:ascii="Times New Roman" w:hAnsi="Times New Roman"/>
          <w:color w:val="000000" w:themeColor="text1"/>
          <w:sz w:val="16"/>
          <w:szCs w:val="16"/>
        </w:rPr>
        <w:t xml:space="preserve"> </w:t>
      </w:r>
    </w:p>
    <w:tbl>
      <w:tblPr>
        <w:tblW w:w="0" w:type="auto"/>
        <w:tblCellSpacing w:w="15" w:type="dxa"/>
        <w:shd w:val="clear" w:color="auto" w:fill="F1F4F9"/>
        <w:tblCellMar>
          <w:top w:w="15" w:type="dxa"/>
          <w:left w:w="15" w:type="dxa"/>
          <w:bottom w:w="15" w:type="dxa"/>
          <w:right w:w="15" w:type="dxa"/>
        </w:tblCellMar>
        <w:tblLook w:val="04A0" w:firstRow="1" w:lastRow="0" w:firstColumn="1" w:lastColumn="0" w:noHBand="0" w:noVBand="1"/>
      </w:tblPr>
      <w:tblGrid>
        <w:gridCol w:w="324"/>
        <w:gridCol w:w="526"/>
        <w:gridCol w:w="526"/>
        <w:gridCol w:w="526"/>
        <w:gridCol w:w="541"/>
      </w:tblGrid>
      <w:tr w:rsidR="00DA227A" w:rsidRPr="00E93F40" w14:paraId="40C8A980" w14:textId="77777777" w:rsidTr="00316768">
        <w:trPr>
          <w:tblCellSpacing w:w="15" w:type="dxa"/>
        </w:trPr>
        <w:tc>
          <w:tcPr>
            <w:tcW w:w="0" w:type="auto"/>
            <w:vAlign w:val="center"/>
            <w:hideMark/>
          </w:tcPr>
          <w:p w14:paraId="2911983D"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230A30AE"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58FA58DA"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172F94A4"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17660B35"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1948BE86" w14:textId="77777777" w:rsidTr="00316768">
        <w:trPr>
          <w:tblHeader/>
          <w:tblCellSpacing w:w="15" w:type="dxa"/>
        </w:trPr>
        <w:tc>
          <w:tcPr>
            <w:tcW w:w="0" w:type="auto"/>
            <w:vAlign w:val="center"/>
            <w:hideMark/>
          </w:tcPr>
          <w:p w14:paraId="6D1B64A5"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4EF1034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 мотора</w:t>
            </w:r>
          </w:p>
        </w:tc>
        <w:tc>
          <w:tcPr>
            <w:tcW w:w="0" w:type="auto"/>
            <w:gridSpan w:val="2"/>
            <w:vAlign w:val="center"/>
            <w:hideMark/>
          </w:tcPr>
          <w:p w14:paraId="0F17A60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мотором</w:t>
            </w:r>
          </w:p>
        </w:tc>
      </w:tr>
      <w:tr w:rsidR="00DA227A" w:rsidRPr="00E93F40" w14:paraId="26F212EF" w14:textId="77777777" w:rsidTr="00316768">
        <w:trPr>
          <w:tblCellSpacing w:w="15" w:type="dxa"/>
        </w:trPr>
        <w:tc>
          <w:tcPr>
            <w:tcW w:w="0" w:type="auto"/>
            <w:vAlign w:val="center"/>
            <w:hideMark/>
          </w:tcPr>
          <w:p w14:paraId="16C1D0B5"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0" w:type="auto"/>
            <w:vAlign w:val="center"/>
            <w:hideMark/>
          </w:tcPr>
          <w:p w14:paraId="247061C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0" w:type="auto"/>
            <w:vAlign w:val="center"/>
            <w:hideMark/>
          </w:tcPr>
          <w:p w14:paraId="0665029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0" w:type="auto"/>
            <w:vAlign w:val="center"/>
            <w:hideMark/>
          </w:tcPr>
          <w:p w14:paraId="6C20294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0" w:type="auto"/>
            <w:vAlign w:val="center"/>
            <w:hideMark/>
          </w:tcPr>
          <w:p w14:paraId="28DC4FE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r>
      <w:tr w:rsidR="00DA227A" w:rsidRPr="00E93F40" w14:paraId="273A2413" w14:textId="77777777" w:rsidTr="00316768">
        <w:trPr>
          <w:tblCellSpacing w:w="15" w:type="dxa"/>
        </w:trPr>
        <w:tc>
          <w:tcPr>
            <w:tcW w:w="0" w:type="auto"/>
            <w:vAlign w:val="center"/>
            <w:hideMark/>
          </w:tcPr>
          <w:p w14:paraId="2FCD0F4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0" w:type="auto"/>
            <w:vAlign w:val="center"/>
            <w:hideMark/>
          </w:tcPr>
          <w:p w14:paraId="68CFCFF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w:t>
            </w:r>
          </w:p>
        </w:tc>
        <w:tc>
          <w:tcPr>
            <w:tcW w:w="0" w:type="auto"/>
            <w:vAlign w:val="center"/>
            <w:hideMark/>
          </w:tcPr>
          <w:p w14:paraId="076A00E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w:t>
            </w:r>
          </w:p>
        </w:tc>
        <w:tc>
          <w:tcPr>
            <w:tcW w:w="0" w:type="auto"/>
            <w:vAlign w:val="center"/>
            <w:hideMark/>
          </w:tcPr>
          <w:p w14:paraId="08B1BDB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21,9</w:t>
            </w:r>
          </w:p>
        </w:tc>
        <w:tc>
          <w:tcPr>
            <w:tcW w:w="0" w:type="auto"/>
            <w:vAlign w:val="center"/>
            <w:hideMark/>
          </w:tcPr>
          <w:p w14:paraId="25C8E65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17,1</w:t>
            </w:r>
          </w:p>
        </w:tc>
      </w:tr>
      <w:tr w:rsidR="00DA227A" w:rsidRPr="00E93F40" w14:paraId="295F7CCF" w14:textId="77777777" w:rsidTr="00316768">
        <w:trPr>
          <w:tblCellSpacing w:w="15" w:type="dxa"/>
        </w:trPr>
        <w:tc>
          <w:tcPr>
            <w:tcW w:w="0" w:type="auto"/>
            <w:vAlign w:val="center"/>
            <w:hideMark/>
          </w:tcPr>
          <w:p w14:paraId="7C86BFC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0" w:type="auto"/>
            <w:vAlign w:val="center"/>
            <w:hideMark/>
          </w:tcPr>
          <w:p w14:paraId="5877E4B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c>
          <w:tcPr>
            <w:tcW w:w="0" w:type="auto"/>
            <w:vAlign w:val="center"/>
            <w:hideMark/>
          </w:tcPr>
          <w:p w14:paraId="0A8E664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34,5</w:t>
            </w:r>
          </w:p>
        </w:tc>
        <w:tc>
          <w:tcPr>
            <w:tcW w:w="0" w:type="auto"/>
            <w:vAlign w:val="center"/>
            <w:hideMark/>
          </w:tcPr>
          <w:p w14:paraId="13F74A5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60,1</w:t>
            </w:r>
          </w:p>
        </w:tc>
        <w:tc>
          <w:tcPr>
            <w:tcW w:w="0" w:type="auto"/>
            <w:vAlign w:val="center"/>
            <w:hideMark/>
          </w:tcPr>
          <w:p w14:paraId="10EB2E6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47,3</w:t>
            </w:r>
          </w:p>
        </w:tc>
      </w:tr>
      <w:tr w:rsidR="00DA227A" w:rsidRPr="00E93F40" w14:paraId="4D0A32AC" w14:textId="77777777" w:rsidTr="00316768">
        <w:trPr>
          <w:tblCellSpacing w:w="15" w:type="dxa"/>
        </w:trPr>
        <w:tc>
          <w:tcPr>
            <w:tcW w:w="0" w:type="auto"/>
            <w:vAlign w:val="center"/>
            <w:hideMark/>
          </w:tcPr>
          <w:p w14:paraId="4F43D9C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0" w:type="auto"/>
            <w:vAlign w:val="center"/>
            <w:hideMark/>
          </w:tcPr>
          <w:p w14:paraId="79078E0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37,9</w:t>
            </w:r>
          </w:p>
        </w:tc>
        <w:tc>
          <w:tcPr>
            <w:tcW w:w="0" w:type="auto"/>
            <w:vAlign w:val="center"/>
            <w:hideMark/>
          </w:tcPr>
          <w:p w14:paraId="31E156E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w:t>
            </w:r>
          </w:p>
        </w:tc>
        <w:tc>
          <w:tcPr>
            <w:tcW w:w="0" w:type="auto"/>
            <w:vAlign w:val="center"/>
            <w:hideMark/>
          </w:tcPr>
          <w:p w14:paraId="2CCE943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w:t>
            </w:r>
          </w:p>
        </w:tc>
        <w:tc>
          <w:tcPr>
            <w:tcW w:w="0" w:type="auto"/>
            <w:vAlign w:val="center"/>
            <w:hideMark/>
          </w:tcPr>
          <w:p w14:paraId="0C1998D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51,9</w:t>
            </w:r>
          </w:p>
        </w:tc>
      </w:tr>
    </w:tbl>
    <w:p w14:paraId="1B46C8E7" w14:textId="77777777" w:rsidR="001F390E" w:rsidRPr="00E93F40" w:rsidRDefault="001F390E" w:rsidP="00E93F40">
      <w:pPr>
        <w:spacing w:after="0" w:line="240" w:lineRule="auto"/>
        <w:jc w:val="both"/>
        <w:rPr>
          <w:rFonts w:ascii="Times New Roman" w:hAnsi="Times New Roman"/>
          <w:color w:val="000000" w:themeColor="text1"/>
          <w:sz w:val="16"/>
          <w:szCs w:val="16"/>
        </w:rPr>
      </w:pPr>
      <w:hyperlink r:id="rId311" w:history="1">
        <w:r w:rsidRPr="00E93F40">
          <w:rPr>
            <w:rStyle w:val="a5"/>
            <w:rFonts w:ascii="Times New Roman" w:hAnsi="Times New Roman"/>
            <w:color w:val="000000" w:themeColor="text1"/>
            <w:sz w:val="16"/>
            <w:szCs w:val="16"/>
          </w:rPr>
          <w:t>Источник и подробности: http://www.airaces.ru/stati/proizvodstvo-samoletov-v-sssr-v-pervojj-pyatiletke-1928-1933-gody.html</w:t>
        </w:r>
      </w:hyperlink>
    </w:p>
    <w:p w14:paraId="0596064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(18303)</w:t>
      </w:r>
    </w:p>
    <w:p w14:paraId="677BD31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Выпуск авиадвигателей в СССР в 1929-1932 гг.</w:t>
      </w:r>
    </w:p>
    <w:tbl>
      <w:tblPr>
        <w:tblStyle w:val="afff0"/>
        <w:tblW w:w="6930" w:type="dxa"/>
        <w:tblLook w:val="04A0" w:firstRow="1" w:lastRow="0" w:firstColumn="1" w:lastColumn="0" w:noHBand="0" w:noVBand="1"/>
      </w:tblPr>
      <w:tblGrid>
        <w:gridCol w:w="2310"/>
        <w:gridCol w:w="2310"/>
        <w:gridCol w:w="2310"/>
      </w:tblGrid>
      <w:tr w:rsidR="00DA227A" w:rsidRPr="00E93F40" w14:paraId="78B4F76A" w14:textId="77777777" w:rsidTr="00316768">
        <w:tc>
          <w:tcPr>
            <w:tcW w:w="2310" w:type="dxa"/>
            <w:vAlign w:val="center"/>
          </w:tcPr>
          <w:p w14:paraId="145F135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w:t>
            </w:r>
          </w:p>
        </w:tc>
        <w:tc>
          <w:tcPr>
            <w:tcW w:w="2310" w:type="dxa"/>
            <w:vAlign w:val="center"/>
          </w:tcPr>
          <w:p w14:paraId="1E76E573"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л.с.</w:t>
            </w:r>
          </w:p>
        </w:tc>
        <w:tc>
          <w:tcPr>
            <w:tcW w:w="2310" w:type="dxa"/>
            <w:vAlign w:val="center"/>
          </w:tcPr>
          <w:p w14:paraId="524D409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p>
        </w:tc>
      </w:tr>
      <w:tr w:rsidR="00DA227A" w:rsidRPr="00E93F40" w14:paraId="3A77DEA7" w14:textId="77777777" w:rsidTr="00316768">
        <w:tc>
          <w:tcPr>
            <w:tcW w:w="2310" w:type="dxa"/>
            <w:vAlign w:val="center"/>
          </w:tcPr>
          <w:p w14:paraId="51848DAD"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w:t>
            </w:r>
          </w:p>
        </w:tc>
        <w:tc>
          <w:tcPr>
            <w:tcW w:w="2310" w:type="dxa"/>
            <w:vAlign w:val="center"/>
          </w:tcPr>
          <w:p w14:paraId="653BFC8A"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tc>
        <w:tc>
          <w:tcPr>
            <w:tcW w:w="2310" w:type="dxa"/>
            <w:vAlign w:val="center"/>
          </w:tcPr>
          <w:p w14:paraId="49541A0A"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r>
      <w:tr w:rsidR="00DA227A" w:rsidRPr="00E93F40" w14:paraId="337679F2" w14:textId="77777777" w:rsidTr="00316768">
        <w:tc>
          <w:tcPr>
            <w:tcW w:w="2310" w:type="dxa"/>
            <w:vAlign w:val="center"/>
          </w:tcPr>
          <w:p w14:paraId="23A59186"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w:t>
            </w:r>
          </w:p>
        </w:tc>
        <w:tc>
          <w:tcPr>
            <w:tcW w:w="2310" w:type="dxa"/>
            <w:vAlign w:val="center"/>
          </w:tcPr>
          <w:p w14:paraId="21CC87E4"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2310" w:type="dxa"/>
            <w:vAlign w:val="center"/>
          </w:tcPr>
          <w:p w14:paraId="3E85F0D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«Большевик», №24</w:t>
            </w:r>
          </w:p>
        </w:tc>
      </w:tr>
      <w:tr w:rsidR="00DA227A" w:rsidRPr="00E93F40" w14:paraId="08069FC5" w14:textId="77777777" w:rsidTr="00316768">
        <w:tc>
          <w:tcPr>
            <w:tcW w:w="2310" w:type="dxa"/>
            <w:vAlign w:val="center"/>
          </w:tcPr>
          <w:p w14:paraId="63311812"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М-6</w:t>
            </w:r>
          </w:p>
        </w:tc>
        <w:tc>
          <w:tcPr>
            <w:tcW w:w="2310" w:type="dxa"/>
            <w:vAlign w:val="center"/>
          </w:tcPr>
          <w:p w14:paraId="6D755E9A"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2310" w:type="dxa"/>
            <w:vAlign w:val="center"/>
          </w:tcPr>
          <w:p w14:paraId="4ABB21A5"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r>
      <w:tr w:rsidR="00DA227A" w:rsidRPr="00E93F40" w14:paraId="3C994748" w14:textId="77777777" w:rsidTr="00316768">
        <w:tc>
          <w:tcPr>
            <w:tcW w:w="2310" w:type="dxa"/>
            <w:vAlign w:val="center"/>
          </w:tcPr>
          <w:p w14:paraId="012C0078"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М-11</w:t>
            </w:r>
          </w:p>
        </w:tc>
        <w:tc>
          <w:tcPr>
            <w:tcW w:w="2310" w:type="dxa"/>
            <w:vAlign w:val="center"/>
          </w:tcPr>
          <w:p w14:paraId="101A9C0A"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2310" w:type="dxa"/>
            <w:vAlign w:val="center"/>
          </w:tcPr>
          <w:p w14:paraId="67E0F80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r>
      <w:tr w:rsidR="00DA227A" w:rsidRPr="00E93F40" w14:paraId="55876503" w14:textId="77777777" w:rsidTr="00316768">
        <w:tc>
          <w:tcPr>
            <w:tcW w:w="2310" w:type="dxa"/>
            <w:vAlign w:val="center"/>
          </w:tcPr>
          <w:p w14:paraId="5F505FA2"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М-15</w:t>
            </w:r>
          </w:p>
        </w:tc>
        <w:tc>
          <w:tcPr>
            <w:tcW w:w="2310" w:type="dxa"/>
            <w:vAlign w:val="center"/>
          </w:tcPr>
          <w:p w14:paraId="2971B8D2"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c>
          <w:tcPr>
            <w:tcW w:w="2310" w:type="dxa"/>
            <w:vAlign w:val="center"/>
          </w:tcPr>
          <w:p w14:paraId="0ACC2A82"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r>
      <w:tr w:rsidR="00DA227A" w:rsidRPr="00E93F40" w14:paraId="38BC8017" w14:textId="77777777" w:rsidTr="00316768">
        <w:tc>
          <w:tcPr>
            <w:tcW w:w="2310" w:type="dxa"/>
            <w:vAlign w:val="center"/>
          </w:tcPr>
          <w:p w14:paraId="463B0F3D"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w:t>
            </w:r>
          </w:p>
        </w:tc>
        <w:tc>
          <w:tcPr>
            <w:tcW w:w="2310" w:type="dxa"/>
            <w:vAlign w:val="center"/>
          </w:tcPr>
          <w:p w14:paraId="62C46742"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2310" w:type="dxa"/>
            <w:vAlign w:val="center"/>
          </w:tcPr>
          <w:p w14:paraId="23BA2F7C"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tc>
      </w:tr>
      <w:tr w:rsidR="00DA227A" w:rsidRPr="00E93F40" w14:paraId="21487D2B" w14:textId="77777777" w:rsidTr="00316768">
        <w:tc>
          <w:tcPr>
            <w:tcW w:w="2310" w:type="dxa"/>
            <w:vAlign w:val="center"/>
          </w:tcPr>
          <w:p w14:paraId="328AB63E"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w:t>
            </w:r>
          </w:p>
        </w:tc>
        <w:tc>
          <w:tcPr>
            <w:tcW w:w="2310" w:type="dxa"/>
            <w:vAlign w:val="center"/>
          </w:tcPr>
          <w:p w14:paraId="0E7E31BB"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c>
          <w:tcPr>
            <w:tcW w:w="2310" w:type="dxa"/>
            <w:vAlign w:val="center"/>
          </w:tcPr>
          <w:p w14:paraId="1A46982C"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r>
      <w:tr w:rsidR="00DA227A" w:rsidRPr="00E93F40" w14:paraId="066850EA" w14:textId="77777777" w:rsidTr="00316768">
        <w:tc>
          <w:tcPr>
            <w:tcW w:w="2310" w:type="dxa"/>
            <w:vAlign w:val="center"/>
          </w:tcPr>
          <w:p w14:paraId="74F6A266"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М-26</w:t>
            </w:r>
          </w:p>
        </w:tc>
        <w:tc>
          <w:tcPr>
            <w:tcW w:w="2310" w:type="dxa"/>
            <w:vAlign w:val="center"/>
          </w:tcPr>
          <w:p w14:paraId="34C123B5"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2310" w:type="dxa"/>
            <w:vAlign w:val="center"/>
          </w:tcPr>
          <w:p w14:paraId="7083ABF2"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r>
      <w:tr w:rsidR="00DA227A" w:rsidRPr="00E93F40" w14:paraId="53879D44" w14:textId="77777777" w:rsidTr="00316768">
        <w:tc>
          <w:tcPr>
            <w:tcW w:w="2310" w:type="dxa"/>
            <w:vAlign w:val="center"/>
          </w:tcPr>
          <w:p w14:paraId="6AF4C6F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2310" w:type="dxa"/>
            <w:vAlign w:val="center"/>
          </w:tcPr>
          <w:p w14:paraId="4B8301F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2310" w:type="dxa"/>
            <w:vAlign w:val="center"/>
          </w:tcPr>
          <w:p w14:paraId="7BF07A0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r>
    </w:tbl>
    <w:p w14:paraId="14A9117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(18303).</w:t>
      </w:r>
    </w:p>
    <w:p w14:paraId="350F10C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Изменение стоимости советских самолетов в период 1931-1933 гг. </w:t>
      </w:r>
    </w:p>
    <w:tbl>
      <w:tblPr>
        <w:tblStyle w:val="afff0"/>
        <w:tblW w:w="9045" w:type="dxa"/>
        <w:tblLook w:val="04A0" w:firstRow="1" w:lastRow="0" w:firstColumn="1" w:lastColumn="0" w:noHBand="0" w:noVBand="1"/>
      </w:tblPr>
      <w:tblGrid>
        <w:gridCol w:w="1809"/>
        <w:gridCol w:w="1809"/>
        <w:gridCol w:w="1809"/>
        <w:gridCol w:w="1809"/>
        <w:gridCol w:w="1809"/>
      </w:tblGrid>
      <w:tr w:rsidR="00DA227A" w:rsidRPr="00E93F40" w14:paraId="0B9FC2F7" w14:textId="77777777" w:rsidTr="00316768">
        <w:tc>
          <w:tcPr>
            <w:tcW w:w="1809" w:type="dxa"/>
            <w:vAlign w:val="center"/>
          </w:tcPr>
          <w:p w14:paraId="1E03EF13" w14:textId="77777777" w:rsidR="00316768" w:rsidRPr="00E93F40" w:rsidRDefault="00316768" w:rsidP="00E93F40">
            <w:pPr>
              <w:spacing w:after="0" w:line="240" w:lineRule="auto"/>
              <w:jc w:val="both"/>
              <w:rPr>
                <w:rFonts w:ascii="Times New Roman" w:hAnsi="Times New Roman"/>
                <w:color w:val="000000" w:themeColor="text1"/>
                <w:sz w:val="16"/>
                <w:szCs w:val="16"/>
              </w:rPr>
            </w:pPr>
          </w:p>
        </w:tc>
        <w:tc>
          <w:tcPr>
            <w:tcW w:w="1809" w:type="dxa"/>
            <w:vAlign w:val="center"/>
          </w:tcPr>
          <w:p w14:paraId="17F76FA4"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 мотора</w:t>
            </w:r>
          </w:p>
        </w:tc>
        <w:tc>
          <w:tcPr>
            <w:tcW w:w="1809" w:type="dxa"/>
            <w:vAlign w:val="center"/>
          </w:tcPr>
          <w:p w14:paraId="0A82A1DA"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мотором</w:t>
            </w:r>
          </w:p>
        </w:tc>
        <w:tc>
          <w:tcPr>
            <w:tcW w:w="1809" w:type="dxa"/>
          </w:tcPr>
          <w:p w14:paraId="5087CF4F" w14:textId="77777777" w:rsidR="00316768" w:rsidRPr="00E93F40" w:rsidRDefault="00316768" w:rsidP="00E93F40">
            <w:pPr>
              <w:spacing w:after="0" w:line="240" w:lineRule="auto"/>
              <w:jc w:val="both"/>
              <w:rPr>
                <w:rFonts w:ascii="Times New Roman" w:hAnsi="Times New Roman"/>
                <w:color w:val="000000" w:themeColor="text1"/>
                <w:sz w:val="16"/>
                <w:szCs w:val="16"/>
              </w:rPr>
            </w:pPr>
          </w:p>
        </w:tc>
        <w:tc>
          <w:tcPr>
            <w:tcW w:w="1809" w:type="dxa"/>
            <w:vAlign w:val="center"/>
          </w:tcPr>
          <w:p w14:paraId="0528DC80" w14:textId="77777777" w:rsidR="00316768" w:rsidRPr="00E93F40" w:rsidRDefault="00316768" w:rsidP="00E93F40">
            <w:pPr>
              <w:spacing w:after="0" w:line="240" w:lineRule="auto"/>
              <w:jc w:val="both"/>
              <w:rPr>
                <w:rFonts w:ascii="Times New Roman" w:hAnsi="Times New Roman"/>
                <w:color w:val="000000" w:themeColor="text1"/>
                <w:sz w:val="16"/>
                <w:szCs w:val="16"/>
              </w:rPr>
            </w:pPr>
          </w:p>
        </w:tc>
      </w:tr>
      <w:tr w:rsidR="00DA227A" w:rsidRPr="00E93F40" w14:paraId="33C0FA6B" w14:textId="77777777" w:rsidTr="00316768">
        <w:tc>
          <w:tcPr>
            <w:tcW w:w="1809" w:type="dxa"/>
            <w:vAlign w:val="center"/>
          </w:tcPr>
          <w:p w14:paraId="0B073482" w14:textId="77777777" w:rsidR="00316768" w:rsidRPr="00E93F40" w:rsidRDefault="00316768" w:rsidP="00E93F40">
            <w:pPr>
              <w:spacing w:after="0" w:line="240" w:lineRule="auto"/>
              <w:jc w:val="both"/>
              <w:rPr>
                <w:rFonts w:ascii="Times New Roman" w:hAnsi="Times New Roman"/>
                <w:color w:val="000000" w:themeColor="text1"/>
                <w:sz w:val="16"/>
                <w:szCs w:val="16"/>
              </w:rPr>
            </w:pPr>
          </w:p>
        </w:tc>
        <w:tc>
          <w:tcPr>
            <w:tcW w:w="1809" w:type="dxa"/>
            <w:vAlign w:val="center"/>
          </w:tcPr>
          <w:p w14:paraId="2E760A3D"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1809" w:type="dxa"/>
            <w:vAlign w:val="center"/>
          </w:tcPr>
          <w:p w14:paraId="017383AE"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 г.</w:t>
            </w:r>
          </w:p>
        </w:tc>
        <w:tc>
          <w:tcPr>
            <w:tcW w:w="1809" w:type="dxa"/>
            <w:vAlign w:val="center"/>
          </w:tcPr>
          <w:p w14:paraId="478F628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w:t>
            </w:r>
          </w:p>
        </w:tc>
        <w:tc>
          <w:tcPr>
            <w:tcW w:w="1809" w:type="dxa"/>
            <w:vAlign w:val="center"/>
          </w:tcPr>
          <w:p w14:paraId="62C4D234" w14:textId="77777777" w:rsidR="00316768" w:rsidRPr="00E93F40" w:rsidRDefault="00316768" w:rsidP="00E93F40">
            <w:pPr>
              <w:spacing w:after="0" w:line="240" w:lineRule="auto"/>
              <w:jc w:val="both"/>
              <w:rPr>
                <w:rFonts w:ascii="Times New Roman" w:hAnsi="Times New Roman"/>
                <w:color w:val="000000" w:themeColor="text1"/>
                <w:sz w:val="16"/>
                <w:szCs w:val="16"/>
              </w:rPr>
            </w:pPr>
          </w:p>
        </w:tc>
      </w:tr>
      <w:tr w:rsidR="00DA227A" w:rsidRPr="00E93F40" w14:paraId="076E609B" w14:textId="77777777" w:rsidTr="00316768">
        <w:tc>
          <w:tcPr>
            <w:tcW w:w="1809" w:type="dxa"/>
            <w:vAlign w:val="center"/>
          </w:tcPr>
          <w:p w14:paraId="0D53B96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1809" w:type="dxa"/>
            <w:vAlign w:val="center"/>
          </w:tcPr>
          <w:p w14:paraId="5FFD93A4"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w:t>
            </w:r>
          </w:p>
        </w:tc>
        <w:tc>
          <w:tcPr>
            <w:tcW w:w="1809" w:type="dxa"/>
            <w:vAlign w:val="center"/>
          </w:tcPr>
          <w:p w14:paraId="1E15DCE3"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10,4</w:t>
            </w:r>
          </w:p>
        </w:tc>
        <w:tc>
          <w:tcPr>
            <w:tcW w:w="1809" w:type="dxa"/>
            <w:vAlign w:val="center"/>
          </w:tcPr>
          <w:p w14:paraId="47C7AFEE"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21,9</w:t>
            </w:r>
          </w:p>
        </w:tc>
        <w:tc>
          <w:tcPr>
            <w:tcW w:w="1809" w:type="dxa"/>
            <w:vAlign w:val="center"/>
          </w:tcPr>
          <w:p w14:paraId="52B51188" w14:textId="77777777" w:rsidR="00316768" w:rsidRPr="00E93F40" w:rsidRDefault="00316768" w:rsidP="00E93F40">
            <w:pPr>
              <w:spacing w:after="0" w:line="240" w:lineRule="auto"/>
              <w:jc w:val="both"/>
              <w:rPr>
                <w:rFonts w:ascii="Times New Roman" w:hAnsi="Times New Roman"/>
                <w:color w:val="000000" w:themeColor="text1"/>
                <w:sz w:val="16"/>
                <w:szCs w:val="16"/>
              </w:rPr>
            </w:pPr>
          </w:p>
        </w:tc>
      </w:tr>
      <w:tr w:rsidR="00DA227A" w:rsidRPr="00E93F40" w14:paraId="6CC4D6A4" w14:textId="77777777" w:rsidTr="00316768">
        <w:tc>
          <w:tcPr>
            <w:tcW w:w="1809" w:type="dxa"/>
            <w:vAlign w:val="center"/>
          </w:tcPr>
          <w:p w14:paraId="307CD7C0"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1809" w:type="dxa"/>
            <w:vAlign w:val="center"/>
          </w:tcPr>
          <w:p w14:paraId="406DB87E"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c>
          <w:tcPr>
            <w:tcW w:w="1809" w:type="dxa"/>
            <w:vAlign w:val="center"/>
          </w:tcPr>
          <w:p w14:paraId="4C4B8826"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34,5</w:t>
            </w:r>
          </w:p>
        </w:tc>
        <w:tc>
          <w:tcPr>
            <w:tcW w:w="1809" w:type="dxa"/>
            <w:vAlign w:val="center"/>
          </w:tcPr>
          <w:p w14:paraId="08B2F37F"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60,1</w:t>
            </w:r>
          </w:p>
        </w:tc>
        <w:tc>
          <w:tcPr>
            <w:tcW w:w="1809" w:type="dxa"/>
            <w:vAlign w:val="center"/>
          </w:tcPr>
          <w:p w14:paraId="543412DF" w14:textId="77777777" w:rsidR="00316768" w:rsidRPr="00E93F40" w:rsidRDefault="00316768" w:rsidP="00E93F40">
            <w:pPr>
              <w:spacing w:after="0" w:line="240" w:lineRule="auto"/>
              <w:jc w:val="both"/>
              <w:rPr>
                <w:rFonts w:ascii="Times New Roman" w:hAnsi="Times New Roman"/>
                <w:color w:val="000000" w:themeColor="text1"/>
                <w:sz w:val="16"/>
                <w:szCs w:val="16"/>
              </w:rPr>
            </w:pPr>
          </w:p>
        </w:tc>
      </w:tr>
      <w:tr w:rsidR="00DA227A" w:rsidRPr="00E93F40" w14:paraId="4C9AEE1E" w14:textId="77777777" w:rsidTr="00316768">
        <w:tc>
          <w:tcPr>
            <w:tcW w:w="1809" w:type="dxa"/>
            <w:vAlign w:val="center"/>
          </w:tcPr>
          <w:p w14:paraId="566B456B"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1809" w:type="dxa"/>
            <w:vAlign w:val="center"/>
          </w:tcPr>
          <w:p w14:paraId="6C52ECD0"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37,9</w:t>
            </w:r>
          </w:p>
        </w:tc>
        <w:tc>
          <w:tcPr>
            <w:tcW w:w="1809" w:type="dxa"/>
            <w:vAlign w:val="center"/>
          </w:tcPr>
          <w:p w14:paraId="4453EAB0"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w:t>
            </w:r>
          </w:p>
        </w:tc>
        <w:tc>
          <w:tcPr>
            <w:tcW w:w="1809" w:type="dxa"/>
            <w:vAlign w:val="center"/>
          </w:tcPr>
          <w:p w14:paraId="625F36FB" w14:textId="77777777" w:rsidR="00316768" w:rsidRPr="00E93F40" w:rsidRDefault="0031676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70,8</w:t>
            </w:r>
          </w:p>
        </w:tc>
        <w:tc>
          <w:tcPr>
            <w:tcW w:w="1809" w:type="dxa"/>
            <w:vAlign w:val="center"/>
          </w:tcPr>
          <w:p w14:paraId="79CD1B3D" w14:textId="77777777" w:rsidR="00316768" w:rsidRPr="00E93F40" w:rsidRDefault="00316768" w:rsidP="00E93F40">
            <w:pPr>
              <w:spacing w:after="0" w:line="240" w:lineRule="auto"/>
              <w:jc w:val="both"/>
              <w:rPr>
                <w:rFonts w:ascii="Times New Roman" w:hAnsi="Times New Roman"/>
                <w:color w:val="000000" w:themeColor="text1"/>
                <w:sz w:val="16"/>
                <w:szCs w:val="16"/>
              </w:rPr>
            </w:pPr>
          </w:p>
        </w:tc>
      </w:tr>
    </w:tbl>
    <w:p w14:paraId="6EADD19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Производственные мощности заводов в 1932 г.</w:t>
      </w:r>
    </w:p>
    <w:tbl>
      <w:tblPr>
        <w:tblStyle w:val="afff0"/>
        <w:tblW w:w="11552" w:type="dxa"/>
        <w:tblLook w:val="04A0" w:firstRow="1" w:lastRow="0" w:firstColumn="1" w:lastColumn="0" w:noHBand="0" w:noVBand="1"/>
      </w:tblPr>
      <w:tblGrid>
        <w:gridCol w:w="2888"/>
        <w:gridCol w:w="2888"/>
        <w:gridCol w:w="2888"/>
        <w:gridCol w:w="2888"/>
      </w:tblGrid>
      <w:tr w:rsidR="00DA227A" w:rsidRPr="00E93F40" w14:paraId="38BB146C" w14:textId="77777777" w:rsidTr="00775CFE">
        <w:tc>
          <w:tcPr>
            <w:tcW w:w="2888" w:type="dxa"/>
            <w:vAlign w:val="center"/>
          </w:tcPr>
          <w:p w14:paraId="1D4E356C"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w:t>
            </w:r>
          </w:p>
        </w:tc>
        <w:tc>
          <w:tcPr>
            <w:tcW w:w="2888" w:type="dxa"/>
            <w:vAlign w:val="center"/>
          </w:tcPr>
          <w:p w14:paraId="5C64201D"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производственных помещений</w:t>
            </w:r>
          </w:p>
        </w:tc>
        <w:tc>
          <w:tcPr>
            <w:tcW w:w="2888" w:type="dxa"/>
            <w:vAlign w:val="center"/>
          </w:tcPr>
          <w:p w14:paraId="0830D500"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станков</w:t>
            </w:r>
          </w:p>
        </w:tc>
        <w:tc>
          <w:tcPr>
            <w:tcW w:w="2888" w:type="dxa"/>
            <w:vAlign w:val="center"/>
          </w:tcPr>
          <w:p w14:paraId="54681A05"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прессов</w:t>
            </w:r>
          </w:p>
        </w:tc>
      </w:tr>
      <w:tr w:rsidR="00DA227A" w:rsidRPr="00E93F40" w14:paraId="468E875F" w14:textId="77777777" w:rsidTr="00775CFE">
        <w:tc>
          <w:tcPr>
            <w:tcW w:w="2888" w:type="dxa"/>
            <w:vAlign w:val="center"/>
          </w:tcPr>
          <w:p w14:paraId="7C0B4E92"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2888" w:type="dxa"/>
            <w:vAlign w:val="center"/>
          </w:tcPr>
          <w:p w14:paraId="58D220FD"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27100</w:t>
            </w:r>
          </w:p>
        </w:tc>
        <w:tc>
          <w:tcPr>
            <w:tcW w:w="2888" w:type="dxa"/>
            <w:vAlign w:val="center"/>
          </w:tcPr>
          <w:p w14:paraId="10485DC2"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341</w:t>
            </w:r>
          </w:p>
        </w:tc>
        <w:tc>
          <w:tcPr>
            <w:tcW w:w="2888" w:type="dxa"/>
            <w:vAlign w:val="center"/>
          </w:tcPr>
          <w:p w14:paraId="434198C5"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31C2924F" w14:textId="77777777" w:rsidTr="00775CFE">
        <w:tc>
          <w:tcPr>
            <w:tcW w:w="2888" w:type="dxa"/>
            <w:vAlign w:val="center"/>
          </w:tcPr>
          <w:p w14:paraId="64EC1E20"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2888" w:type="dxa"/>
            <w:vAlign w:val="center"/>
          </w:tcPr>
          <w:p w14:paraId="514CB0ED"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56680</w:t>
            </w:r>
          </w:p>
        </w:tc>
        <w:tc>
          <w:tcPr>
            <w:tcW w:w="2888" w:type="dxa"/>
            <w:vAlign w:val="center"/>
          </w:tcPr>
          <w:p w14:paraId="062C653E"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635</w:t>
            </w:r>
          </w:p>
        </w:tc>
        <w:tc>
          <w:tcPr>
            <w:tcW w:w="2888" w:type="dxa"/>
            <w:vAlign w:val="center"/>
          </w:tcPr>
          <w:p w14:paraId="7034B9A3"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253</w:t>
            </w:r>
          </w:p>
        </w:tc>
      </w:tr>
      <w:tr w:rsidR="00DA227A" w:rsidRPr="00E93F40" w14:paraId="1FAAB52E" w14:textId="77777777" w:rsidTr="00775CFE">
        <w:tc>
          <w:tcPr>
            <w:tcW w:w="2888" w:type="dxa"/>
            <w:vAlign w:val="center"/>
          </w:tcPr>
          <w:p w14:paraId="1073B05A"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2888" w:type="dxa"/>
            <w:vAlign w:val="center"/>
          </w:tcPr>
          <w:p w14:paraId="41412365"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11361</w:t>
            </w:r>
          </w:p>
        </w:tc>
        <w:tc>
          <w:tcPr>
            <w:tcW w:w="2888" w:type="dxa"/>
            <w:vAlign w:val="center"/>
          </w:tcPr>
          <w:p w14:paraId="7AF7A418"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311</w:t>
            </w:r>
          </w:p>
        </w:tc>
        <w:tc>
          <w:tcPr>
            <w:tcW w:w="2888" w:type="dxa"/>
            <w:vAlign w:val="center"/>
          </w:tcPr>
          <w:p w14:paraId="095F14B9"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w:t>
            </w:r>
          </w:p>
        </w:tc>
      </w:tr>
      <w:tr w:rsidR="00DA227A" w:rsidRPr="00E93F40" w14:paraId="7452234A" w14:textId="77777777" w:rsidTr="00775CFE">
        <w:tc>
          <w:tcPr>
            <w:tcW w:w="2888" w:type="dxa"/>
            <w:vAlign w:val="center"/>
          </w:tcPr>
          <w:p w14:paraId="72F5737C"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2888" w:type="dxa"/>
            <w:vAlign w:val="center"/>
          </w:tcPr>
          <w:p w14:paraId="4D5C4AB7"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3100</w:t>
            </w:r>
          </w:p>
        </w:tc>
        <w:tc>
          <w:tcPr>
            <w:tcW w:w="2888" w:type="dxa"/>
            <w:vAlign w:val="center"/>
          </w:tcPr>
          <w:p w14:paraId="68AB3342"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2888" w:type="dxa"/>
            <w:vAlign w:val="center"/>
          </w:tcPr>
          <w:p w14:paraId="0ADA5095" w14:textId="77777777" w:rsidR="00775CFE" w:rsidRPr="00E93F40" w:rsidRDefault="00775CF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bl>
    <w:p w14:paraId="0E20D2C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(18303).</w:t>
      </w:r>
    </w:p>
    <w:p w14:paraId="1C440BAB" w14:textId="77777777" w:rsidR="001F390E" w:rsidRPr="00E93F40" w:rsidRDefault="001F390E" w:rsidP="00E93F40">
      <w:pPr>
        <w:spacing w:after="0" w:line="240" w:lineRule="auto"/>
        <w:jc w:val="both"/>
        <w:rPr>
          <w:rFonts w:ascii="Times New Roman" w:hAnsi="Times New Roman"/>
          <w:color w:val="000000" w:themeColor="text1"/>
          <w:sz w:val="16"/>
          <w:szCs w:val="16"/>
        </w:rPr>
      </w:pPr>
    </w:p>
    <w:p w14:paraId="246690A5"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I932 г. промышленность не могла угнать</w:t>
      </w:r>
      <w:r w:rsidRPr="00142305">
        <w:rPr>
          <w:rFonts w:ascii="Times New Roman" w:hAnsi="Times New Roman"/>
          <w:color w:val="0070C0"/>
          <w:sz w:val="16"/>
          <w:szCs w:val="16"/>
        </w:rPr>
        <w:softHyphen/>
        <w:t>ся за растущими потребностями ВВС. Недостача по срав</w:t>
      </w:r>
      <w:r w:rsidRPr="00142305">
        <w:rPr>
          <w:rFonts w:ascii="Times New Roman" w:hAnsi="Times New Roman"/>
          <w:color w:val="0070C0"/>
          <w:sz w:val="16"/>
          <w:szCs w:val="16"/>
        </w:rPr>
        <w:softHyphen/>
        <w:t>нению с планом достигла 300 машин, из-за чего свернули формирование трех новых эскадрилий.</w:t>
      </w:r>
    </w:p>
    <w:p w14:paraId="0DC7DF4A"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выпуск постепенно рос. Разведчик Поликарпова стал самым массовым самолетом в строевых частях ВВС РККА (24990).</w:t>
      </w:r>
    </w:p>
    <w:p w14:paraId="47CDC916" w14:textId="77777777" w:rsidR="00B87296" w:rsidRPr="00142305" w:rsidRDefault="00B87296" w:rsidP="00B87296">
      <w:pPr>
        <w:spacing w:after="0" w:line="240" w:lineRule="auto"/>
        <w:jc w:val="both"/>
        <w:rPr>
          <w:rFonts w:ascii="Times New Roman" w:hAnsi="Times New Roman"/>
          <w:color w:val="0070C0"/>
          <w:sz w:val="16"/>
          <w:szCs w:val="16"/>
        </w:rPr>
      </w:pPr>
    </w:p>
    <w:p w14:paraId="798068F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подводили итоги достижений авиапроизводства в первой пятилетке (в связи с переходом в промышленности с хозяйственного года на календарный за отчетный период бралось время с октября 1928 г. по конец 1932 г., т. е. четыре года и три месяца).</w:t>
      </w:r>
    </w:p>
    <w:p w14:paraId="4E490296" w14:textId="3E5D0532"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первый взгляд, успехи были налицо. Решили задачу оснащения авиации отечественными самолетами — из 11 серийно строящихся в 1932 г. самолетов только два имели заграничное происхождение. Начался выпуск</w:t>
      </w:r>
      <w:r w:rsidR="007C1411" w:rsidRPr="00E93F40">
        <w:rPr>
          <w:rFonts w:ascii="Times New Roman" w:hAnsi="Times New Roman"/>
          <w:color w:val="000000" w:themeColor="text1"/>
          <w:sz w:val="16"/>
          <w:szCs w:val="16"/>
        </w:rPr>
        <w:t xml:space="preserve"> </w:t>
      </w:r>
      <w:hyperlink r:id="rId312" w:tooltip="бомбардировщики СССР" w:history="1">
        <w:r w:rsidRPr="00E93F40">
          <w:rPr>
            <w:rStyle w:val="a5"/>
            <w:rFonts w:ascii="Times New Roman" w:hAnsi="Times New Roman"/>
            <w:color w:val="000000" w:themeColor="text1"/>
            <w:sz w:val="16"/>
            <w:szCs w:val="16"/>
            <w:u w:val="none"/>
          </w:rPr>
          <w:t>бомбардировщиков</w:t>
        </w:r>
      </w:hyperlink>
      <w:r w:rsidRPr="00E93F40">
        <w:rPr>
          <w:rFonts w:ascii="Times New Roman" w:hAnsi="Times New Roman"/>
          <w:color w:val="000000" w:themeColor="text1"/>
          <w:sz w:val="16"/>
          <w:szCs w:val="16"/>
        </w:rPr>
        <w:t>, пассажирских самолетов. Благодаря расширению существующих и открытию новых заводов объем выпуска авиатехники возрос с 945 самолетов в 1928/29 г. до 3593 в 1932 г. В результате, если в конце 1928 г. доля машин советской конструкции в ВВС составляла всего 3%, то на начало 1933 г. она равнялась 47%. Еще больше был процент отечественных самолетов в гражданской авиации.</w:t>
      </w:r>
    </w:p>
    <w:p w14:paraId="61F5096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Предприятия авиапромышленности СССР в 1932 г.</w:t>
      </w:r>
    </w:p>
    <w:tbl>
      <w:tblPr>
        <w:tblStyle w:val="afff0"/>
        <w:tblW w:w="11553" w:type="dxa"/>
        <w:tblLook w:val="04A0" w:firstRow="1" w:lastRow="0" w:firstColumn="1" w:lastColumn="0" w:noHBand="0" w:noVBand="1"/>
      </w:tblPr>
      <w:tblGrid>
        <w:gridCol w:w="3851"/>
        <w:gridCol w:w="3851"/>
        <w:gridCol w:w="3851"/>
      </w:tblGrid>
      <w:tr w:rsidR="00DA227A" w:rsidRPr="00E93F40" w14:paraId="69D1AEBD" w14:textId="77777777" w:rsidTr="001F390E">
        <w:tc>
          <w:tcPr>
            <w:tcW w:w="3851" w:type="dxa"/>
            <w:vAlign w:val="center"/>
          </w:tcPr>
          <w:p w14:paraId="1075ED1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Заводы</w:t>
            </w:r>
          </w:p>
        </w:tc>
        <w:tc>
          <w:tcPr>
            <w:tcW w:w="3851" w:type="dxa"/>
            <w:vAlign w:val="center"/>
          </w:tcPr>
          <w:p w14:paraId="171541D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работающих</w:t>
            </w:r>
          </w:p>
        </w:tc>
        <w:tc>
          <w:tcPr>
            <w:tcW w:w="3851" w:type="dxa"/>
            <w:vAlign w:val="center"/>
          </w:tcPr>
          <w:p w14:paraId="258B3DE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Примечания</w:t>
            </w:r>
          </w:p>
        </w:tc>
      </w:tr>
      <w:tr w:rsidR="00DA227A" w:rsidRPr="00E93F40" w14:paraId="4BDA4139" w14:textId="77777777" w:rsidTr="001F390E">
        <w:tc>
          <w:tcPr>
            <w:tcW w:w="3851" w:type="dxa"/>
            <w:vAlign w:val="center"/>
          </w:tcPr>
          <w:p w14:paraId="2C2965D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Самолетостроительные</w:t>
            </w:r>
          </w:p>
        </w:tc>
        <w:tc>
          <w:tcPr>
            <w:tcW w:w="3851" w:type="dxa"/>
          </w:tcPr>
          <w:p w14:paraId="4B35F45A"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3851" w:type="dxa"/>
          </w:tcPr>
          <w:p w14:paraId="6FEC0073"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33C877A6" w14:textId="77777777" w:rsidTr="001F390E">
        <w:tc>
          <w:tcPr>
            <w:tcW w:w="3851" w:type="dxa"/>
            <w:vAlign w:val="center"/>
          </w:tcPr>
          <w:p w14:paraId="0F0514E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(Москва)</w:t>
            </w:r>
          </w:p>
        </w:tc>
        <w:tc>
          <w:tcPr>
            <w:tcW w:w="3851" w:type="dxa"/>
            <w:vAlign w:val="center"/>
          </w:tcPr>
          <w:p w14:paraId="50FEC82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8119</w:t>
            </w:r>
          </w:p>
        </w:tc>
        <w:tc>
          <w:tcPr>
            <w:tcW w:w="3851" w:type="dxa"/>
            <w:vAlign w:val="center"/>
          </w:tcPr>
          <w:p w14:paraId="5951D796"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789FC80D" w14:textId="77777777" w:rsidTr="001F390E">
        <w:tc>
          <w:tcPr>
            <w:tcW w:w="3851" w:type="dxa"/>
            <w:vAlign w:val="center"/>
          </w:tcPr>
          <w:p w14:paraId="2CA2F33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 (Воронеж)</w:t>
            </w:r>
          </w:p>
        </w:tc>
        <w:tc>
          <w:tcPr>
            <w:tcW w:w="3851" w:type="dxa"/>
            <w:vAlign w:val="center"/>
          </w:tcPr>
          <w:p w14:paraId="0258A17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2285</w:t>
            </w:r>
          </w:p>
        </w:tc>
        <w:tc>
          <w:tcPr>
            <w:tcW w:w="3851" w:type="dxa"/>
            <w:vAlign w:val="center"/>
          </w:tcPr>
          <w:p w14:paraId="1D3796C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переведен на выпуск вооружения</w:t>
            </w:r>
          </w:p>
        </w:tc>
      </w:tr>
      <w:tr w:rsidR="00DA227A" w:rsidRPr="00E93F40" w14:paraId="216152B1" w14:textId="77777777" w:rsidTr="001F390E">
        <w:tc>
          <w:tcPr>
            <w:tcW w:w="3851" w:type="dxa"/>
            <w:vAlign w:val="center"/>
          </w:tcPr>
          <w:p w14:paraId="24CA8C5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(Н. Новгород)</w:t>
            </w:r>
          </w:p>
        </w:tc>
        <w:tc>
          <w:tcPr>
            <w:tcW w:w="3851" w:type="dxa"/>
            <w:vAlign w:val="center"/>
          </w:tcPr>
          <w:p w14:paraId="0975C0FE"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3687</w:t>
            </w:r>
          </w:p>
        </w:tc>
        <w:tc>
          <w:tcPr>
            <w:tcW w:w="3851" w:type="dxa"/>
            <w:vAlign w:val="center"/>
          </w:tcPr>
          <w:p w14:paraId="05798148"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22ED4DD8" w14:textId="77777777" w:rsidTr="001F390E">
        <w:tc>
          <w:tcPr>
            <w:tcW w:w="3851" w:type="dxa"/>
            <w:vAlign w:val="center"/>
          </w:tcPr>
          <w:p w14:paraId="2DAE183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 (Москва)</w:t>
            </w:r>
          </w:p>
        </w:tc>
        <w:tc>
          <w:tcPr>
            <w:tcW w:w="3851" w:type="dxa"/>
            <w:vAlign w:val="center"/>
          </w:tcPr>
          <w:p w14:paraId="0AE477A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14998</w:t>
            </w:r>
          </w:p>
        </w:tc>
        <w:tc>
          <w:tcPr>
            <w:tcW w:w="3851" w:type="dxa"/>
            <w:vAlign w:val="center"/>
          </w:tcPr>
          <w:p w14:paraId="79CF5B45"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1DE49DF1" w14:textId="77777777" w:rsidTr="001F390E">
        <w:tc>
          <w:tcPr>
            <w:tcW w:w="3851" w:type="dxa"/>
            <w:vAlign w:val="center"/>
          </w:tcPr>
          <w:p w14:paraId="04D020F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 (Ленинград)</w:t>
            </w:r>
          </w:p>
        </w:tc>
        <w:tc>
          <w:tcPr>
            <w:tcW w:w="3851" w:type="dxa"/>
            <w:vAlign w:val="center"/>
          </w:tcPr>
          <w:p w14:paraId="3F8DD19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3016</w:t>
            </w:r>
          </w:p>
        </w:tc>
        <w:tc>
          <w:tcPr>
            <w:tcW w:w="3851" w:type="dxa"/>
            <w:vAlign w:val="center"/>
          </w:tcPr>
          <w:p w14:paraId="3EAD6ABD"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616258A6" w14:textId="77777777" w:rsidTr="001F390E">
        <w:tc>
          <w:tcPr>
            <w:tcW w:w="3851" w:type="dxa"/>
            <w:vAlign w:val="center"/>
          </w:tcPr>
          <w:p w14:paraId="668BF2C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(Таганрог)</w:t>
            </w:r>
          </w:p>
        </w:tc>
        <w:tc>
          <w:tcPr>
            <w:tcW w:w="3851" w:type="dxa"/>
            <w:vAlign w:val="center"/>
          </w:tcPr>
          <w:p w14:paraId="21ECA58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5211</w:t>
            </w:r>
          </w:p>
        </w:tc>
        <w:tc>
          <w:tcPr>
            <w:tcW w:w="3851" w:type="dxa"/>
            <w:vAlign w:val="center"/>
          </w:tcPr>
          <w:p w14:paraId="0E97674B"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5066219A" w14:textId="77777777" w:rsidTr="001F390E">
        <w:tc>
          <w:tcPr>
            <w:tcW w:w="3851" w:type="dxa"/>
            <w:vAlign w:val="center"/>
          </w:tcPr>
          <w:p w14:paraId="14EFBF2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 (Москва)</w:t>
            </w:r>
          </w:p>
        </w:tc>
        <w:tc>
          <w:tcPr>
            <w:tcW w:w="3851" w:type="dxa"/>
            <w:vAlign w:val="center"/>
          </w:tcPr>
          <w:p w14:paraId="4C86309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5380</w:t>
            </w:r>
          </w:p>
        </w:tc>
        <w:tc>
          <w:tcPr>
            <w:tcW w:w="3851" w:type="dxa"/>
            <w:vAlign w:val="center"/>
          </w:tcPr>
          <w:p w14:paraId="5303B5E6"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w:t>
            </w:r>
          </w:p>
        </w:tc>
      </w:tr>
      <w:tr w:rsidR="00DA227A" w:rsidRPr="00E93F40" w14:paraId="0DBABE24" w14:textId="77777777" w:rsidTr="001F390E">
        <w:tc>
          <w:tcPr>
            <w:tcW w:w="3851" w:type="dxa"/>
            <w:vAlign w:val="center"/>
          </w:tcPr>
          <w:p w14:paraId="7924041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ХАЗ (Харьков)</w:t>
            </w:r>
          </w:p>
        </w:tc>
        <w:tc>
          <w:tcPr>
            <w:tcW w:w="3851" w:type="dxa"/>
            <w:vAlign w:val="center"/>
          </w:tcPr>
          <w:p w14:paraId="75BE86FA"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3851" w:type="dxa"/>
            <w:vAlign w:val="center"/>
          </w:tcPr>
          <w:p w14:paraId="294D18BC"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16299E46" w14:textId="77777777" w:rsidTr="001F390E">
        <w:tc>
          <w:tcPr>
            <w:tcW w:w="3851" w:type="dxa"/>
            <w:vAlign w:val="center"/>
          </w:tcPr>
          <w:p w14:paraId="501D166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Моторостроительные</w:t>
            </w:r>
          </w:p>
        </w:tc>
        <w:tc>
          <w:tcPr>
            <w:tcW w:w="3851" w:type="dxa"/>
          </w:tcPr>
          <w:p w14:paraId="06F0AD5C"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3851" w:type="dxa"/>
          </w:tcPr>
          <w:p w14:paraId="5A374A48"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7814E06F" w14:textId="77777777" w:rsidTr="001F390E">
        <w:tc>
          <w:tcPr>
            <w:tcW w:w="3851" w:type="dxa"/>
            <w:vAlign w:val="center"/>
          </w:tcPr>
          <w:p w14:paraId="55A9AF6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 (Москва)</w:t>
            </w:r>
          </w:p>
        </w:tc>
        <w:tc>
          <w:tcPr>
            <w:tcW w:w="3851" w:type="dxa"/>
            <w:vAlign w:val="center"/>
          </w:tcPr>
          <w:p w14:paraId="69BB09A9"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10729</w:t>
            </w:r>
          </w:p>
        </w:tc>
        <w:tc>
          <w:tcPr>
            <w:tcW w:w="3851" w:type="dxa"/>
            <w:vAlign w:val="center"/>
          </w:tcPr>
          <w:p w14:paraId="476E9347"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0FFDDC14" w14:textId="77777777" w:rsidTr="001F390E">
        <w:tc>
          <w:tcPr>
            <w:tcW w:w="3851" w:type="dxa"/>
            <w:vAlign w:val="center"/>
          </w:tcPr>
          <w:p w14:paraId="53F2F3C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 (Рыбинск)</w:t>
            </w:r>
          </w:p>
        </w:tc>
        <w:tc>
          <w:tcPr>
            <w:tcW w:w="3851" w:type="dxa"/>
            <w:vAlign w:val="center"/>
          </w:tcPr>
          <w:p w14:paraId="2A7E805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12122</w:t>
            </w:r>
          </w:p>
        </w:tc>
        <w:tc>
          <w:tcPr>
            <w:tcW w:w="3851" w:type="dxa"/>
            <w:vAlign w:val="center"/>
          </w:tcPr>
          <w:p w14:paraId="520E7726"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504079F0" w14:textId="77777777" w:rsidTr="001F390E">
        <w:tc>
          <w:tcPr>
            <w:tcW w:w="3851" w:type="dxa"/>
            <w:vAlign w:val="center"/>
          </w:tcPr>
          <w:p w14:paraId="18F094A1"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 (Запорожье)</w:t>
            </w:r>
          </w:p>
        </w:tc>
        <w:tc>
          <w:tcPr>
            <w:tcW w:w="3851" w:type="dxa"/>
            <w:vAlign w:val="center"/>
          </w:tcPr>
          <w:p w14:paraId="6082A22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7993</w:t>
            </w:r>
          </w:p>
        </w:tc>
        <w:tc>
          <w:tcPr>
            <w:tcW w:w="3851" w:type="dxa"/>
            <w:vAlign w:val="center"/>
          </w:tcPr>
          <w:p w14:paraId="0E939ED1"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5E65A45F" w14:textId="77777777" w:rsidTr="001F390E">
        <w:tc>
          <w:tcPr>
            <w:tcW w:w="3851" w:type="dxa"/>
            <w:vAlign w:val="center"/>
          </w:tcPr>
          <w:p w14:paraId="5492C70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Подсобные</w:t>
            </w:r>
          </w:p>
        </w:tc>
        <w:tc>
          <w:tcPr>
            <w:tcW w:w="3851" w:type="dxa"/>
          </w:tcPr>
          <w:p w14:paraId="1DE92A89"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3851" w:type="dxa"/>
          </w:tcPr>
          <w:p w14:paraId="151193F4"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07653CEE" w14:textId="77777777" w:rsidTr="001F390E">
        <w:tc>
          <w:tcPr>
            <w:tcW w:w="3851" w:type="dxa"/>
            <w:vAlign w:val="center"/>
          </w:tcPr>
          <w:p w14:paraId="7C5FBB3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 (Москва)</w:t>
            </w:r>
          </w:p>
        </w:tc>
        <w:tc>
          <w:tcPr>
            <w:tcW w:w="3851" w:type="dxa"/>
            <w:vAlign w:val="center"/>
          </w:tcPr>
          <w:p w14:paraId="7F9DD34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15676</w:t>
            </w:r>
          </w:p>
        </w:tc>
        <w:tc>
          <w:tcPr>
            <w:tcW w:w="3851" w:type="dxa"/>
            <w:vAlign w:val="center"/>
          </w:tcPr>
          <w:p w14:paraId="64BED10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бензо- и водяные насосы для двигателей</w:t>
            </w:r>
          </w:p>
        </w:tc>
      </w:tr>
      <w:tr w:rsidR="00DA227A" w:rsidRPr="00E93F40" w14:paraId="722902C2" w14:textId="77777777" w:rsidTr="001F390E">
        <w:tc>
          <w:tcPr>
            <w:tcW w:w="3851" w:type="dxa"/>
            <w:vAlign w:val="center"/>
          </w:tcPr>
          <w:p w14:paraId="51DF2BF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 (Москва)</w:t>
            </w:r>
          </w:p>
        </w:tc>
        <w:tc>
          <w:tcPr>
            <w:tcW w:w="3851" w:type="dxa"/>
            <w:vAlign w:val="center"/>
          </w:tcPr>
          <w:p w14:paraId="79A64A5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1764</w:t>
            </w:r>
          </w:p>
        </w:tc>
        <w:tc>
          <w:tcPr>
            <w:tcW w:w="3851" w:type="dxa"/>
            <w:vAlign w:val="center"/>
          </w:tcPr>
          <w:p w14:paraId="7B7FD55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винты, лыжи, радиаторы</w:t>
            </w:r>
          </w:p>
        </w:tc>
      </w:tr>
      <w:tr w:rsidR="00DA227A" w:rsidRPr="00E93F40" w14:paraId="3369A51D" w14:textId="77777777" w:rsidTr="001F390E">
        <w:tc>
          <w:tcPr>
            <w:tcW w:w="3851" w:type="dxa"/>
            <w:vAlign w:val="center"/>
          </w:tcPr>
          <w:p w14:paraId="2A5BD2A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№32 (Москва)</w:t>
            </w:r>
          </w:p>
        </w:tc>
        <w:tc>
          <w:tcPr>
            <w:tcW w:w="3851" w:type="dxa"/>
            <w:vAlign w:val="center"/>
          </w:tcPr>
          <w:p w14:paraId="1FADF69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3108</w:t>
            </w:r>
          </w:p>
        </w:tc>
        <w:tc>
          <w:tcPr>
            <w:tcW w:w="3851" w:type="dxa"/>
            <w:vAlign w:val="center"/>
          </w:tcPr>
          <w:p w14:paraId="6FDAAE9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колеса, радиаторы</w:t>
            </w:r>
          </w:p>
        </w:tc>
      </w:tr>
      <w:tr w:rsidR="00DA227A" w:rsidRPr="00E93F40" w14:paraId="4FE8C3F6" w14:textId="77777777" w:rsidTr="001F390E">
        <w:tc>
          <w:tcPr>
            <w:tcW w:w="3851" w:type="dxa"/>
            <w:vAlign w:val="center"/>
          </w:tcPr>
          <w:p w14:paraId="76F0088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 (Москва)</w:t>
            </w:r>
          </w:p>
        </w:tc>
        <w:tc>
          <w:tcPr>
            <w:tcW w:w="3851" w:type="dxa"/>
            <w:vAlign w:val="center"/>
          </w:tcPr>
          <w:p w14:paraId="7184D9D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1345</w:t>
            </w:r>
          </w:p>
        </w:tc>
        <w:tc>
          <w:tcPr>
            <w:tcW w:w="3851" w:type="dxa"/>
            <w:vAlign w:val="center"/>
          </w:tcPr>
          <w:p w14:paraId="10A61E65"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карбюраторы</w:t>
            </w:r>
          </w:p>
        </w:tc>
      </w:tr>
      <w:tr w:rsidR="00DA227A" w:rsidRPr="00E93F40" w14:paraId="5542B92E" w14:textId="77777777" w:rsidTr="001F390E">
        <w:tc>
          <w:tcPr>
            <w:tcW w:w="3851" w:type="dxa"/>
            <w:vAlign w:val="center"/>
          </w:tcPr>
          <w:p w14:paraId="2FB281D8"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 (Москва)</w:t>
            </w:r>
          </w:p>
        </w:tc>
        <w:tc>
          <w:tcPr>
            <w:tcW w:w="3851" w:type="dxa"/>
            <w:vAlign w:val="center"/>
          </w:tcPr>
          <w:p w14:paraId="6E2C0E43"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3851" w:type="dxa"/>
            <w:vAlign w:val="center"/>
          </w:tcPr>
          <w:p w14:paraId="2B2C158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алюминиевый прокат, ленты-расчалки</w:t>
            </w:r>
          </w:p>
        </w:tc>
      </w:tr>
      <w:tr w:rsidR="00DA227A" w:rsidRPr="00E93F40" w14:paraId="13E09E51" w14:textId="77777777" w:rsidTr="001F390E">
        <w:tc>
          <w:tcPr>
            <w:tcW w:w="3851" w:type="dxa"/>
            <w:vAlign w:val="center"/>
          </w:tcPr>
          <w:p w14:paraId="7BC6EB1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 (Москва)</w:t>
            </w:r>
          </w:p>
        </w:tc>
        <w:tc>
          <w:tcPr>
            <w:tcW w:w="3851" w:type="dxa"/>
            <w:vAlign w:val="center"/>
          </w:tcPr>
          <w:p w14:paraId="19356883"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3851" w:type="dxa"/>
            <w:vAlign w:val="center"/>
          </w:tcPr>
          <w:p w14:paraId="30F7220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лаки, краски</w:t>
            </w:r>
          </w:p>
        </w:tc>
      </w:tr>
      <w:tr w:rsidR="00DA227A" w:rsidRPr="00E93F40" w14:paraId="686599A4" w14:textId="77777777" w:rsidTr="001F390E">
        <w:tc>
          <w:tcPr>
            <w:tcW w:w="3851" w:type="dxa"/>
            <w:vAlign w:val="center"/>
          </w:tcPr>
          <w:p w14:paraId="2B263902"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 (Москва)</w:t>
            </w:r>
          </w:p>
        </w:tc>
        <w:tc>
          <w:tcPr>
            <w:tcW w:w="3851" w:type="dxa"/>
            <w:vAlign w:val="center"/>
          </w:tcPr>
          <w:p w14:paraId="7465C250"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3851" w:type="dxa"/>
            <w:vAlign w:val="center"/>
          </w:tcPr>
          <w:p w14:paraId="7EDC66E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деревообрабатывающий</w:t>
            </w:r>
          </w:p>
        </w:tc>
      </w:tr>
      <w:tr w:rsidR="00DA227A" w:rsidRPr="00E93F40" w14:paraId="6E1C7CEC" w14:textId="77777777" w:rsidTr="001F390E">
        <w:tc>
          <w:tcPr>
            <w:tcW w:w="3851" w:type="dxa"/>
            <w:vAlign w:val="center"/>
          </w:tcPr>
          <w:p w14:paraId="1CC4190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Ремонтные</w:t>
            </w:r>
          </w:p>
        </w:tc>
        <w:tc>
          <w:tcPr>
            <w:tcW w:w="3851" w:type="dxa"/>
            <w:vAlign w:val="center"/>
          </w:tcPr>
          <w:p w14:paraId="2A01AD7D"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3851" w:type="dxa"/>
            <w:vAlign w:val="center"/>
          </w:tcPr>
          <w:p w14:paraId="1D695CDE"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0607CDDB" w14:textId="77777777" w:rsidTr="001F390E">
        <w:tc>
          <w:tcPr>
            <w:tcW w:w="3851" w:type="dxa"/>
            <w:vAlign w:val="center"/>
          </w:tcPr>
          <w:p w14:paraId="55F1667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 (Смоленск)</w:t>
            </w:r>
          </w:p>
        </w:tc>
        <w:tc>
          <w:tcPr>
            <w:tcW w:w="3851" w:type="dxa"/>
            <w:vAlign w:val="center"/>
          </w:tcPr>
          <w:p w14:paraId="28F5B3E3"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864</w:t>
            </w:r>
          </w:p>
        </w:tc>
        <w:tc>
          <w:tcPr>
            <w:tcW w:w="3851" w:type="dxa"/>
            <w:vAlign w:val="center"/>
          </w:tcPr>
          <w:p w14:paraId="7502C335"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5004ABBA" w14:textId="77777777" w:rsidTr="001F390E">
        <w:tc>
          <w:tcPr>
            <w:tcW w:w="3851" w:type="dxa"/>
            <w:vAlign w:val="center"/>
          </w:tcPr>
          <w:p w14:paraId="7470F8F0"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 (Киев)</w:t>
            </w:r>
          </w:p>
        </w:tc>
        <w:tc>
          <w:tcPr>
            <w:tcW w:w="3851" w:type="dxa"/>
            <w:vAlign w:val="center"/>
          </w:tcPr>
          <w:p w14:paraId="2D0AF9BD"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819</w:t>
            </w:r>
          </w:p>
        </w:tc>
        <w:tc>
          <w:tcPr>
            <w:tcW w:w="3851" w:type="dxa"/>
            <w:vAlign w:val="center"/>
          </w:tcPr>
          <w:p w14:paraId="191B8687"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5BBC622F" w14:textId="77777777" w:rsidTr="001F390E">
        <w:tc>
          <w:tcPr>
            <w:tcW w:w="3851" w:type="dxa"/>
            <w:vAlign w:val="center"/>
          </w:tcPr>
          <w:p w14:paraId="5E3CF1B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 (Севастополь)</w:t>
            </w:r>
          </w:p>
        </w:tc>
        <w:tc>
          <w:tcPr>
            <w:tcW w:w="3851" w:type="dxa"/>
            <w:vAlign w:val="center"/>
          </w:tcPr>
          <w:p w14:paraId="63129A1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647</w:t>
            </w:r>
          </w:p>
        </w:tc>
        <w:tc>
          <w:tcPr>
            <w:tcW w:w="3851" w:type="dxa"/>
            <w:vAlign w:val="center"/>
          </w:tcPr>
          <w:p w14:paraId="5BAECB5C"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7BE8A506" w14:textId="77777777" w:rsidTr="001F390E">
        <w:tc>
          <w:tcPr>
            <w:tcW w:w="3851" w:type="dxa"/>
            <w:vAlign w:val="center"/>
          </w:tcPr>
          <w:p w14:paraId="650F9624"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 (Ленинград)</w:t>
            </w:r>
          </w:p>
        </w:tc>
        <w:tc>
          <w:tcPr>
            <w:tcW w:w="3851" w:type="dxa"/>
            <w:vAlign w:val="center"/>
          </w:tcPr>
          <w:p w14:paraId="21FFC09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605</w:t>
            </w:r>
          </w:p>
        </w:tc>
        <w:tc>
          <w:tcPr>
            <w:tcW w:w="3851" w:type="dxa"/>
            <w:vAlign w:val="center"/>
          </w:tcPr>
          <w:p w14:paraId="6B8C2EB4"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353A3D0F" w14:textId="77777777" w:rsidTr="001F390E">
        <w:tc>
          <w:tcPr>
            <w:tcW w:w="3851" w:type="dxa"/>
            <w:vAlign w:val="center"/>
          </w:tcPr>
          <w:p w14:paraId="270FDE47"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w:t>
            </w:r>
          </w:p>
        </w:tc>
        <w:tc>
          <w:tcPr>
            <w:tcW w:w="3851" w:type="dxa"/>
            <w:vAlign w:val="center"/>
          </w:tcPr>
          <w:p w14:paraId="26CF1074"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c>
          <w:tcPr>
            <w:tcW w:w="3851" w:type="dxa"/>
            <w:vAlign w:val="center"/>
          </w:tcPr>
          <w:p w14:paraId="70B6F0A1"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4CB74BCD" w14:textId="77777777" w:rsidTr="001F390E">
        <w:tc>
          <w:tcPr>
            <w:tcW w:w="3851" w:type="dxa"/>
            <w:vAlign w:val="center"/>
          </w:tcPr>
          <w:p w14:paraId="164549E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ЦАГИ (Москва)</w:t>
            </w:r>
          </w:p>
        </w:tc>
        <w:tc>
          <w:tcPr>
            <w:tcW w:w="3851" w:type="dxa"/>
            <w:vAlign w:val="center"/>
          </w:tcPr>
          <w:p w14:paraId="7B32155C"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6116</w:t>
            </w:r>
          </w:p>
        </w:tc>
        <w:tc>
          <w:tcPr>
            <w:tcW w:w="3851" w:type="dxa"/>
            <w:vAlign w:val="center"/>
          </w:tcPr>
          <w:p w14:paraId="4B6A6BD3"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7AF33100" w14:textId="77777777" w:rsidTr="001F390E">
        <w:tc>
          <w:tcPr>
            <w:tcW w:w="3851" w:type="dxa"/>
            <w:vAlign w:val="center"/>
          </w:tcPr>
          <w:p w14:paraId="2EE3E29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ЦИАМ (Москва)</w:t>
            </w:r>
          </w:p>
        </w:tc>
        <w:tc>
          <w:tcPr>
            <w:tcW w:w="3851" w:type="dxa"/>
            <w:vAlign w:val="center"/>
          </w:tcPr>
          <w:p w14:paraId="7779BDDB"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3451</w:t>
            </w:r>
          </w:p>
        </w:tc>
        <w:tc>
          <w:tcPr>
            <w:tcW w:w="3851" w:type="dxa"/>
            <w:vAlign w:val="center"/>
          </w:tcPr>
          <w:p w14:paraId="1475816F"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r w:rsidR="00DA227A" w:rsidRPr="00E93F40" w14:paraId="0FE9E624" w14:textId="77777777" w:rsidTr="001F390E">
        <w:tc>
          <w:tcPr>
            <w:tcW w:w="3851" w:type="dxa"/>
            <w:vAlign w:val="center"/>
          </w:tcPr>
          <w:p w14:paraId="5EABB73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ВИАМ (Москва)</w:t>
            </w:r>
          </w:p>
        </w:tc>
        <w:tc>
          <w:tcPr>
            <w:tcW w:w="3851" w:type="dxa"/>
            <w:vAlign w:val="center"/>
          </w:tcPr>
          <w:p w14:paraId="7CA1DB9A"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w:t>
            </w:r>
          </w:p>
        </w:tc>
        <w:tc>
          <w:tcPr>
            <w:tcW w:w="3851" w:type="dxa"/>
            <w:vAlign w:val="center"/>
          </w:tcPr>
          <w:p w14:paraId="68729C7A" w14:textId="77777777" w:rsidR="001F390E" w:rsidRPr="00E93F40" w:rsidRDefault="001F390E" w:rsidP="00E93F40">
            <w:pPr>
              <w:spacing w:after="0" w:line="240" w:lineRule="auto"/>
              <w:jc w:val="both"/>
              <w:rPr>
                <w:rFonts w:ascii="Times New Roman" w:hAnsi="Times New Roman"/>
                <w:color w:val="000000" w:themeColor="text1"/>
                <w:sz w:val="16"/>
                <w:szCs w:val="16"/>
              </w:rPr>
            </w:pPr>
          </w:p>
        </w:tc>
      </w:tr>
    </w:tbl>
    <w:p w14:paraId="1B2EA32F" w14:textId="77777777" w:rsidR="001F390E" w:rsidRPr="00E93F40" w:rsidRDefault="001F390E"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(18303).</w:t>
      </w:r>
    </w:p>
    <w:p w14:paraId="67370D13" w14:textId="77777777" w:rsidR="001F390E" w:rsidRPr="00E93F40" w:rsidRDefault="001F390E" w:rsidP="00E93F40">
      <w:pPr>
        <w:spacing w:after="0" w:line="240" w:lineRule="auto"/>
        <w:jc w:val="both"/>
        <w:rPr>
          <w:rFonts w:ascii="Times New Roman" w:hAnsi="Times New Roman"/>
          <w:color w:val="000000" w:themeColor="text1"/>
          <w:sz w:val="16"/>
          <w:szCs w:val="16"/>
        </w:rPr>
      </w:pPr>
    </w:p>
    <w:p w14:paraId="128EF16D" w14:textId="77777777" w:rsidR="00207816" w:rsidRPr="00E93F40" w:rsidRDefault="002078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подводили итоги достижений авиапроизводства в первой пятилетке (в связи с переходом в промышленности с хозяйственного года на календарный за отчетный период бралось время с октября 1928 г. по конец 1932 г., т. е. четыре года и три месяца). На первый взгляд, успехи были налицо. Решили задачу оснащения авиации отечественными самолетами — из 11 серийно строящихся в 1932 г. самолетов только два имели заграничное происхождение. Начался выпуск бомбардировщиков и пассажирских самолетов. Благодаря расширению существующих и открытию новых заводов объем выпуска авиатехники возрос с 945 самолетов в 1928/29 г. до 3593 в 1932 г. В результате, если в конце 1928 г. доля машин советской конструкции в ВВС составляла всего 3%, то на начало 1933 г. она равнялась 47%. Еще больше был процент отечественных самолетов в гражданской авиации. Развитие вспомогательных заводов позволило наладить производство ранее импортируемых агрегатов — карбюраторов, колес, бензонасосов и водяных помп, авиаприборов и вооружения. На подмогу самолетостроителям пришли созданные в годы пятилетки крупные авиационные научные центры и учебные заведения. Тем не менее партийное и военное руководство СССР осталось не удовлетворено работой авиастроителей. Показатели выпуска отставали от намеченных: план по самолетам на 1928/29 г. был выполнен на 87%, 1929/30 г. — на 73%, 1931 г. — на 49%, 1932 г. — на 59%22. Снижение процента выполнения заданий в 1931-1932 гг. объясняется внедрением в производство большого числа новых образцов самолетов и нереально высокими заданиями по выпуску авиатехники. Последнее, возможно, делалось специально, чтобы породить среди самолетостроителей чувство вины и страха за невыполнение указаний «сверху» (23472).</w:t>
      </w:r>
    </w:p>
    <w:p w14:paraId="10D093F1" w14:textId="77777777" w:rsidR="00207816" w:rsidRPr="00E93F40" w:rsidRDefault="00207816" w:rsidP="00E93F40">
      <w:pPr>
        <w:spacing w:after="0" w:line="240" w:lineRule="auto"/>
        <w:jc w:val="both"/>
        <w:rPr>
          <w:rFonts w:ascii="Times New Roman" w:hAnsi="Times New Roman"/>
          <w:color w:val="000000" w:themeColor="text1"/>
          <w:sz w:val="16"/>
          <w:szCs w:val="16"/>
        </w:rPr>
      </w:pPr>
    </w:p>
    <w:p w14:paraId="54E78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УВВС передало промышленности требования к эталону Р-5 серийного производства на следующий год. В них желающие "меда и масла одновременно" записали снижение веса сразу на 300 кг! Даже специалисты НИИ ВВС заявляли, что это требование реально невыполнимо. Более того, все остальные пункты фактически приводили к возрастанию веса самолета. Предусматривалось внедрение нового шасси с большим выносом колес вперед. Сами колеса должны были обязательно оснащаться тормозами. Рули хотели повесить на шариковых подшипниках (вместо бронзовых втулок). Предполагалась установка нового фотоаппарата АФА-13 и радиостанции 13СК. Часть приборов хотели заменить более современными, поставить новые компасы А-3 и КИ-1. Один из пунктов предписывал электрификацию бомбового вооружения, но не были указаны не только конкретные образцы, но даже не решили, применять электромагнитные или электропиротехнические устройства.</w:t>
      </w:r>
    </w:p>
    <w:p w14:paraId="5266A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Снижать вес можно было л ибо за счет применения новых материалов и изменения технологии, либо за счет снятия части оборудования и вооружения. Но УВВС оба варианте не устраивали: первый приводил к кардинальной переработке конструкции, а, следовательно, к задержке массового выпуска, второй - к снижению боевой эффективности машины. Поэтому с ростом веса примирились. Самолет- эталон 1933 г. получил новое шасси и усиленную под него первую раму фюзеляжа. Колеса при этом выдвинули иг 40 мм вперед, немного уменьшив склонность к капотированию на посадке. В остальном планер не изменился.</w:t>
      </w:r>
    </w:p>
    <w:p w14:paraId="47D4E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Немало хлопот получили с модернизацией оборудования. Многого просто не существовало. Подшипники нужного размера в СССР не изготовлялись. От электрификании бомбового вооружения военные на время отказались сами. В ряде случаев сотрудники УВВС записали в требования образцы оборудования, серийно еще не выпускающиеся. Вплоть до середины апреля "эталон 1933 г." простоял в ангаре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4D6843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Длительная возня с подготовкой эталона привела к тому, что большая часть самолетов выпуска 1933 г. делалась по стандарту предыдущего года. Лишь с лета начали внедрять отдельные изменения. С 18-й серии под крылом смонтировали ракетодержатели с автоматическим сбросом догоревших ракет. Чуть позже изменили короба для дисков пулеметов ДА, ввели усовершенствованный кольцевой прицел, переделали привод синхронизатора переднего пулемета. Тормоза появились с конца осени, но из-за нехватки колес до марта следующего года с завода периодически отправляли Р-5 с новыми осями, но с колесами старого образца. </w:t>
      </w:r>
    </w:p>
    <w:p w14:paraId="33F2E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Более того, из-за нехватки отечественных колес в августе-сентябре 1933 г. пришлось выпустить партию самолетов с импортными колесами "Палмер", правда, при этом завод письменно обязался заменить их при первой возможности.</w:t>
      </w:r>
    </w:p>
    <w:p w14:paraId="09C106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вообше не оказалось. Присланные самолеты перед эксплуатацией приходилось разбирать и проверять.</w:t>
      </w:r>
    </w:p>
    <w:p w14:paraId="4D27B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08F60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0EAECC"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конца 1932 года из</w:t>
      </w:r>
      <w:r w:rsidRPr="00142305">
        <w:rPr>
          <w:rFonts w:ascii="Times New Roman" w:hAnsi="Times New Roman"/>
          <w:color w:val="0070C0"/>
          <w:sz w:val="16"/>
          <w:szCs w:val="16"/>
        </w:rPr>
        <w:noBreakHyphen/>
        <w:t>за серьезных проблем, возникших при постройке предсерийных И</w:t>
      </w:r>
      <w:r w:rsidRPr="00142305">
        <w:rPr>
          <w:rFonts w:ascii="Times New Roman" w:hAnsi="Times New Roman"/>
          <w:color w:val="0070C0"/>
          <w:sz w:val="16"/>
          <w:szCs w:val="16"/>
        </w:rPr>
        <w:noBreakHyphen/>
        <w:t>5, серийный выпуск самолётов на авиационном заводе №21 (ГАЗ №21) не начался. Первый самолёт с большим трудом удалось окончить в феврале 1933 года. Всего до конца 1934 года на заводе в Нижнем Новгороде было выпущено 803 самолёта.</w:t>
      </w:r>
    </w:p>
    <w:p w14:paraId="0954BB5A"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Было множество различий между предсерийными образцами и серийными самолётами И</w:t>
      </w:r>
      <w:r w:rsidRPr="00142305">
        <w:rPr>
          <w:rFonts w:ascii="Times New Roman" w:hAnsi="Times New Roman"/>
          <w:color w:val="0070C0"/>
          <w:sz w:val="16"/>
          <w:szCs w:val="16"/>
        </w:rPr>
        <w:noBreakHyphen/>
        <w:t>5. Серийные самолёты имели кольцо типа Таундена вокруг мотора воздушного охлаждения М</w:t>
      </w:r>
      <w:r w:rsidRPr="00142305">
        <w:rPr>
          <w:rFonts w:ascii="Times New Roman" w:hAnsi="Times New Roman"/>
          <w:color w:val="0070C0"/>
          <w:sz w:val="16"/>
          <w:szCs w:val="16"/>
        </w:rPr>
        <w:noBreakHyphen/>
        <w:t>22 (который был копией британского двигателя «Bristol JupiterVI»), тогда как на двух первых прототипах ВТ</w:t>
      </w:r>
      <w:r w:rsidRPr="00142305">
        <w:rPr>
          <w:rFonts w:ascii="Times New Roman" w:hAnsi="Times New Roman"/>
          <w:color w:val="0070C0"/>
          <w:sz w:val="16"/>
          <w:szCs w:val="16"/>
        </w:rPr>
        <w:noBreakHyphen/>
        <w:t>11 и тринадцати предсерийных машинах каждый цилиндр двигателя М</w:t>
      </w:r>
      <w:r w:rsidRPr="00142305">
        <w:rPr>
          <w:rFonts w:ascii="Times New Roman" w:hAnsi="Times New Roman"/>
          <w:color w:val="0070C0"/>
          <w:sz w:val="16"/>
          <w:szCs w:val="16"/>
        </w:rPr>
        <w:noBreakHyphen/>
        <w:t>15 имел собственный каплевидный обтекатель и свой индивидуальный выхлопной патрубок (25069).</w:t>
      </w:r>
    </w:p>
    <w:p w14:paraId="12A42D43" w14:textId="77777777" w:rsidR="000B1DD5" w:rsidRPr="00142305" w:rsidRDefault="000B1DD5" w:rsidP="000B1DD5">
      <w:pPr>
        <w:spacing w:after="0" w:line="240" w:lineRule="auto"/>
        <w:jc w:val="both"/>
        <w:rPr>
          <w:rFonts w:ascii="Times New Roman" w:hAnsi="Times New Roman"/>
          <w:color w:val="0070C0"/>
          <w:sz w:val="16"/>
          <w:szCs w:val="16"/>
        </w:rPr>
      </w:pPr>
    </w:p>
    <w:p w14:paraId="1656B0F3"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самолет И-7 сер. №4449 эталонный доработанный был закончен по производству. Самолет сдан на испытания с лыжным шасси.</w:t>
      </w:r>
    </w:p>
    <w:p w14:paraId="16CF28BB"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отношению к ранее выпущенным экземплярам на этом внесены существенные изменения по планеру и системам.</w:t>
      </w:r>
    </w:p>
    <w:p w14:paraId="245A483B"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изменения по силовой установке:</w:t>
      </w:r>
    </w:p>
    <w:p w14:paraId="3691BF0C"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изменена конструкция подвесной корзины под радиатор (его крепления и тоннеля);</w:t>
      </w:r>
    </w:p>
    <w:p w14:paraId="105B115E"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изменена конструкция «паука» (разводки трубопроводов) водяной системы охлаждения двигателя.</w:t>
      </w:r>
    </w:p>
    <w:p w14:paraId="10B60D1B"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Основное изменение по бипланной коробке крыльев:</w:t>
      </w:r>
    </w:p>
    <w:p w14:paraId="33218300"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фанерная обшивка усилена за счет ее толщины.</w:t>
      </w:r>
    </w:p>
    <w:p w14:paraId="27AB67B3"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Основное изменение по шасси:</w:t>
      </w:r>
    </w:p>
    <w:p w14:paraId="75B6098D"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на колесах основных опор шасси установлены обтекатели.</w:t>
      </w:r>
    </w:p>
    <w:p w14:paraId="63996A05"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 заводом №1 в Москве.</w:t>
      </w:r>
    </w:p>
    <w:p w14:paraId="0F852F24" w14:textId="77777777" w:rsidR="00F22C1F" w:rsidRPr="00E93F40" w:rsidRDefault="00F22C1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 установлен серийный двигатель М-17 №262646 (фактически – М-17ф) с воздушным винтом №32250 диаметром 3,112 м и шагом 2,770 м (24331).</w:t>
      </w:r>
    </w:p>
    <w:p w14:paraId="036E2C15" w14:textId="77777777" w:rsidR="00F22C1F" w:rsidRPr="00E93F40" w:rsidRDefault="00F22C1F" w:rsidP="00E93F40">
      <w:pPr>
        <w:spacing w:after="0" w:line="240" w:lineRule="auto"/>
        <w:jc w:val="both"/>
        <w:rPr>
          <w:rFonts w:ascii="Times New Roman" w:hAnsi="Times New Roman"/>
          <w:color w:val="000000" w:themeColor="text1"/>
          <w:sz w:val="16"/>
          <w:szCs w:val="16"/>
        </w:rPr>
      </w:pPr>
    </w:p>
    <w:p w14:paraId="611B3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конструкторскую группу Н.Н.П. развернули в бригаду 5 и Н.Н.П. в инициативном порядке стал разрабатывать И-16 (228,95).</w:t>
      </w:r>
    </w:p>
    <w:p w14:paraId="6BDA9A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616F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предварительный вариант эскизного проекта будущего И-16 был го</w:t>
      </w:r>
      <w:r w:rsidRPr="00E93F40">
        <w:rPr>
          <w:rFonts w:ascii="Times New Roman" w:hAnsi="Times New Roman"/>
          <w:color w:val="000000" w:themeColor="text1"/>
          <w:sz w:val="16"/>
          <w:szCs w:val="16"/>
        </w:rPr>
        <w:softHyphen/>
        <w:t>тов. Рассматривая пути снижения аэро</w:t>
      </w:r>
      <w:r w:rsidRPr="00E93F40">
        <w:rPr>
          <w:rFonts w:ascii="Times New Roman" w:hAnsi="Times New Roman"/>
          <w:color w:val="000000" w:themeColor="text1"/>
          <w:sz w:val="16"/>
          <w:szCs w:val="16"/>
        </w:rPr>
        <w:softHyphen/>
        <w:t>динамического сопротивления, он пришел к выводу о возможности создания истребителя-моноплана с мак</w:t>
      </w:r>
      <w:r w:rsidRPr="00E93F40">
        <w:rPr>
          <w:rFonts w:ascii="Times New Roman" w:hAnsi="Times New Roman"/>
          <w:color w:val="000000" w:themeColor="text1"/>
          <w:sz w:val="16"/>
          <w:szCs w:val="16"/>
        </w:rPr>
        <w:softHyphen/>
        <w:t>симальной скоростью свыше 400 км/ч. Напомним, что в 1930-1932 гг. истребители еще только достигли скоро</w:t>
      </w:r>
      <w:r w:rsidRPr="00E93F40">
        <w:rPr>
          <w:rFonts w:ascii="Times New Roman" w:hAnsi="Times New Roman"/>
          <w:color w:val="000000" w:themeColor="text1"/>
          <w:sz w:val="16"/>
          <w:szCs w:val="16"/>
        </w:rPr>
        <w:softHyphen/>
        <w:t>сти 300 км/ч (10667).</w:t>
      </w:r>
    </w:p>
    <w:p w14:paraId="01006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71420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завершилась постройка У-2ВС и тогда же нача</w:t>
      </w:r>
      <w:r w:rsidRPr="00E93F40">
        <w:rPr>
          <w:rFonts w:ascii="Times New Roman" w:hAnsi="Times New Roman"/>
          <w:color w:val="000000" w:themeColor="text1"/>
          <w:sz w:val="16"/>
          <w:szCs w:val="16"/>
        </w:rPr>
        <w:softHyphen/>
        <w:t>лись сначала заводские испытания, а затем государст</w:t>
      </w:r>
      <w:r w:rsidRPr="00E93F40">
        <w:rPr>
          <w:rFonts w:ascii="Times New Roman" w:hAnsi="Times New Roman"/>
          <w:color w:val="000000" w:themeColor="text1"/>
          <w:sz w:val="16"/>
          <w:szCs w:val="16"/>
        </w:rPr>
        <w:softHyphen/>
        <w:t>венные. Акт испытаний в НИИ утвердил в марте 1933 г. начальник ВВС РККА Я.И.Алкснис, который в приказе обязал начальника штаба ВВС перенести часть боевой подготовки с Р-1 и Р-5 на У-2ВС.</w:t>
      </w:r>
    </w:p>
    <w:p w14:paraId="2A421C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Перечень основных отличий У-2ВС от У-2:</w:t>
      </w:r>
    </w:p>
    <w:p w14:paraId="454ED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На левом борту вблизи передней кабины установ</w:t>
      </w:r>
      <w:r w:rsidRPr="00E93F40">
        <w:rPr>
          <w:rFonts w:ascii="Times New Roman" w:hAnsi="Times New Roman"/>
          <w:color w:val="000000" w:themeColor="text1"/>
          <w:sz w:val="16"/>
          <w:szCs w:val="16"/>
        </w:rPr>
        <w:softHyphen/>
        <w:t>лен пулемет ПВ-1 с синхронизатором.</w:t>
      </w:r>
    </w:p>
    <w:p w14:paraId="7C45E6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 борту прорезаны окна для ввода ленты в пуле</w:t>
      </w:r>
      <w:r w:rsidRPr="00E93F40">
        <w:rPr>
          <w:rFonts w:ascii="Times New Roman" w:hAnsi="Times New Roman"/>
          <w:color w:val="000000" w:themeColor="text1"/>
          <w:sz w:val="16"/>
          <w:szCs w:val="16"/>
        </w:rPr>
        <w:softHyphen/>
        <w:t>мет, кожуха для сбора гильз и звеньев, для втулки под</w:t>
      </w:r>
      <w:r w:rsidRPr="00E93F40">
        <w:rPr>
          <w:rFonts w:ascii="Times New Roman" w:hAnsi="Times New Roman"/>
          <w:color w:val="000000" w:themeColor="text1"/>
          <w:sz w:val="16"/>
          <w:szCs w:val="16"/>
        </w:rPr>
        <w:softHyphen/>
        <w:t>вода троса к гашетке.</w:t>
      </w:r>
    </w:p>
    <w:p w14:paraId="20AE0B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 козырьке кабины со смещением влево установ</w:t>
      </w:r>
      <w:r w:rsidRPr="00E93F40">
        <w:rPr>
          <w:rFonts w:ascii="Times New Roman" w:hAnsi="Times New Roman"/>
          <w:color w:val="000000" w:themeColor="text1"/>
          <w:sz w:val="16"/>
          <w:szCs w:val="16"/>
        </w:rPr>
        <w:softHyphen/>
        <w:t>лен прицел,</w:t>
      </w:r>
    </w:p>
    <w:p w14:paraId="500E4C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 передней кабине на левом борту установлены па</w:t>
      </w:r>
      <w:r w:rsidRPr="00E93F40">
        <w:rPr>
          <w:rFonts w:ascii="Times New Roman" w:hAnsi="Times New Roman"/>
          <w:color w:val="000000" w:themeColor="text1"/>
          <w:sz w:val="16"/>
          <w:szCs w:val="16"/>
        </w:rPr>
        <w:softHyphen/>
        <w:t>тронный ящик и ящик для сбора звеньев и гильз.</w:t>
      </w:r>
    </w:p>
    <w:p w14:paraId="4FAB5CB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 задней кабине установлена турель с пулеметом.</w:t>
      </w:r>
    </w:p>
    <w:p w14:paraId="7C10F9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На борту задней кабины размещены кассеты для крепления пулеметных дисков.</w:t>
      </w:r>
    </w:p>
    <w:p w14:paraId="32408A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Установлен бомбардировочный прицел НВ-5бис.</w:t>
      </w:r>
    </w:p>
    <w:p w14:paraId="71120D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Указанные доработки привели к увеличению веса на 140 кг, скороподъемность снизилась на 2%, потолок - до 2160 м, устойчивость и управляемость не изменились. Максимальная скорость уменьшилась до 137 км/ч у зем</w:t>
      </w:r>
      <w:r w:rsidRPr="00E93F40">
        <w:rPr>
          <w:rFonts w:ascii="Times New Roman" w:hAnsi="Times New Roman"/>
          <w:color w:val="000000" w:themeColor="text1"/>
          <w:sz w:val="16"/>
          <w:szCs w:val="16"/>
        </w:rPr>
        <w:softHyphen/>
        <w:t>ли (у исходного У-2 она составляла 152-158 км/ч). Раз</w:t>
      </w:r>
      <w:r w:rsidRPr="00E93F40">
        <w:rPr>
          <w:rFonts w:ascii="Times New Roman" w:hAnsi="Times New Roman"/>
          <w:color w:val="000000" w:themeColor="text1"/>
          <w:sz w:val="16"/>
          <w:szCs w:val="16"/>
        </w:rPr>
        <w:softHyphen/>
        <w:t>бег возрос до 180 м, пробег - до 120 м.</w:t>
      </w:r>
    </w:p>
    <w:p w14:paraId="5C986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сделанным оценкам ориентировочная годовая экономия при использовании У-2ВС равнялась 1412 тыс. рублей (10667).</w:t>
      </w:r>
    </w:p>
    <w:p w14:paraId="5DD41A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D034B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Есть данные, что в конце 1932 (то есть еще до приказа ГУАП) бригады С.В.И., С.А.Кочеригина, Г.М.Бериева, Н.Н.П. и др. стали перебазироваться назад на 39 завод им. Менжинского и завод 1. П.О.Сухой, А.В.Надашкевич и Погосский потянулись из ЦКБ назад в КОСОС и на территории ЗОК (92,409).</w:t>
      </w:r>
    </w:p>
    <w:p w14:paraId="727EF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5DE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на заводе 21 в Горьком началось серийное производство И-5. Спецгруппой внедрения (бюро внедрения - 228,78) руководил И.М.Косткин (92,411). Всего сделали 803 (228,78).</w:t>
      </w:r>
    </w:p>
    <w:p w14:paraId="173DEE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ECEFA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состоялись испытания самолета И5-М22 эталона на 1933 год</w:t>
      </w:r>
    </w:p>
    <w:p w14:paraId="45B272B2"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Отличие эталона 1933 года И5 № 21117 с мотором М22 № 9263</w:t>
      </w:r>
    </w:p>
    <w:p w14:paraId="69E6E3C3"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эталона И5-М22 1932 года</w:t>
      </w:r>
    </w:p>
    <w:p w14:paraId="59BCAC85"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сравнению с эталоном 1932 года данный самолет имеет следующее отличие:</w:t>
      </w:r>
    </w:p>
    <w:p w14:paraId="36334DBF"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Поворотную стойку.</w:t>
      </w:r>
    </w:p>
    <w:p w14:paraId="693A73A6"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Обтекатели на колесах.</w:t>
      </w:r>
    </w:p>
    <w:p w14:paraId="02738A4A"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Металлический винт.</w:t>
      </w:r>
    </w:p>
    <w:p w14:paraId="258CEA56"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Новый подогреватель карбюратора.</w:t>
      </w:r>
    </w:p>
    <w:p w14:paraId="2A06BA97"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Бензопомпа типа «Хорнет» отечественного производства.</w:t>
      </w:r>
    </w:p>
    <w:p w14:paraId="5F30F910"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Улучшенная приборная доска.</w:t>
      </w:r>
    </w:p>
    <w:p w14:paraId="74CFBC37"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Электросбрасыватели и электроспуски.</w:t>
      </w:r>
    </w:p>
    <w:p w14:paraId="60748F47" w14:textId="77777777" w:rsidR="007B1D3C" w:rsidRPr="00E93F40" w:rsidRDefault="007B1D3C" w:rsidP="00E93F40">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Подвеска бомб под крылом на бомбодержателях Д1 позволяет вести бомбометание с пикирования.</w:t>
      </w:r>
    </w:p>
    <w:p w14:paraId="72A9760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самолета И5-М22 эталона на 1933 год</w:t>
      </w:r>
    </w:p>
    <w:p w14:paraId="6A21BF36"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Пулеметов ПВ-1 – 4 шт., из них 2 за счет перегрузки</w:t>
      </w:r>
    </w:p>
    <w:p w14:paraId="2BB15E59"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Патрон к ним – 1200 шт.</w:t>
      </w:r>
    </w:p>
    <w:p w14:paraId="4E7D4D1B"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 10 кг – 4 шт. (40 кг).</w:t>
      </w:r>
    </w:p>
    <w:p w14:paraId="3803D74E"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Бомбардировочное вооружение в нормальную нагрузку не входит (6640).</w:t>
      </w:r>
    </w:p>
    <w:p w14:paraId="0667A4A8" w14:textId="77777777" w:rsidR="007B1D3C" w:rsidRPr="00E93F40" w:rsidRDefault="007B1D3C" w:rsidP="00E93F4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46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на машинах, выпущенных заводом № 21, ввели увеличение отклонения руля высоты как первый шаг борьбы со штопором на И-5. Во время широкого внедрения И-5 в частях ВВС резко проявился опасный дефект этой машины - она запаздывала с выходом из штопора, страдала перевёрнутым и плоским штопором. Это было отмечено ещё на государственных испытаниях "Клима Ворошилова", в отчёте о которых прямо сказано: "Имеет опасный режим штопора при больших углах и резких максимальных дачах рулей. Необходимы дополнительные исследования". Запаздывание с выходом из штопора фиксировалось и на войсковых испытаниях. По мере поступления И-5 в войска число аварий, связанных с этим явлением, росло. Однако это не разрешило проблемы. Следующим этапом предусматривалось создание эталона 1933 г., именовавшегося также И-5бис. Его постройку возложили на завод № 21, который обязали представить машину к 25 декабря 1932 г. УВВС требовало облегчения новой модификации на 100 - 150 кг и улучшения лётных характеристик, в первую очередь, скорости полёта (11997).</w:t>
      </w:r>
    </w:p>
    <w:p w14:paraId="7BCD90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3F6C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предполагая серию само</w:t>
      </w:r>
      <w:r w:rsidRPr="00E93F40">
        <w:rPr>
          <w:rFonts w:ascii="Times New Roman" w:hAnsi="Times New Roman"/>
          <w:color w:val="000000" w:themeColor="text1"/>
          <w:sz w:val="16"/>
          <w:szCs w:val="16"/>
        </w:rPr>
        <w:softHyphen/>
        <w:t>летов И-5 с поворотными стойками, провели испытания до</w:t>
      </w:r>
      <w:r w:rsidRPr="00E93F40">
        <w:rPr>
          <w:rFonts w:ascii="Times New Roman" w:hAnsi="Times New Roman"/>
          <w:color w:val="000000" w:themeColor="text1"/>
          <w:sz w:val="16"/>
          <w:szCs w:val="16"/>
        </w:rPr>
        <w:softHyphen/>
        <w:t>работанного И-5 № 21117, который опреде</w:t>
      </w:r>
      <w:r w:rsidRPr="00E93F40">
        <w:rPr>
          <w:rFonts w:ascii="Times New Roman" w:hAnsi="Times New Roman"/>
          <w:color w:val="000000" w:themeColor="text1"/>
          <w:sz w:val="16"/>
          <w:szCs w:val="16"/>
        </w:rPr>
        <w:softHyphen/>
        <w:t>лялся как эталон на 1933 г. По сравнению с эталоном 1932 г. данный самолет имел сле</w:t>
      </w:r>
      <w:r w:rsidRPr="00E93F40">
        <w:rPr>
          <w:rFonts w:ascii="Times New Roman" w:hAnsi="Times New Roman"/>
          <w:color w:val="000000" w:themeColor="text1"/>
          <w:sz w:val="16"/>
          <w:szCs w:val="16"/>
        </w:rPr>
        <w:softHyphen/>
        <w:t>дующее отличие:</w:t>
      </w:r>
    </w:p>
    <w:p w14:paraId="54215FED" w14:textId="77777777" w:rsidR="007B1D3C" w:rsidRPr="00E93F40" w:rsidRDefault="007B1D3C" w:rsidP="00E93F40">
      <w:pPr>
        <w:tabs>
          <w:tab w:val="left" w:pos="403"/>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Поворотные стойки.</w:t>
      </w:r>
    </w:p>
    <w:p w14:paraId="1F69F731" w14:textId="77777777" w:rsidR="007B1D3C" w:rsidRPr="00E93F40" w:rsidRDefault="007B1D3C" w:rsidP="00E93F40">
      <w:pPr>
        <w:tabs>
          <w:tab w:val="left" w:pos="398"/>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Обтекатели на колесах.</w:t>
      </w:r>
    </w:p>
    <w:p w14:paraId="3F3CE273" w14:textId="77777777" w:rsidR="007B1D3C" w:rsidRPr="00E93F40" w:rsidRDefault="007B1D3C" w:rsidP="00E93F40">
      <w:pPr>
        <w:tabs>
          <w:tab w:val="left" w:pos="403"/>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Металлический винт.</w:t>
      </w:r>
    </w:p>
    <w:p w14:paraId="1DC832D7" w14:textId="77777777" w:rsidR="007B1D3C" w:rsidRPr="00E93F40" w:rsidRDefault="007B1D3C" w:rsidP="00E93F40">
      <w:pPr>
        <w:tabs>
          <w:tab w:val="left" w:pos="253"/>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Новый подогреватель карбюратора.</w:t>
      </w:r>
    </w:p>
    <w:p w14:paraId="24532C83" w14:textId="77777777" w:rsidR="007B1D3C" w:rsidRPr="00E93F40" w:rsidRDefault="007B1D3C" w:rsidP="00E93F40">
      <w:pPr>
        <w:tabs>
          <w:tab w:val="left" w:pos="488"/>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Бензопомпа типа «Хорнет» отечествен</w:t>
      </w:r>
      <w:r w:rsidRPr="00E93F40">
        <w:rPr>
          <w:rFonts w:ascii="Times New Roman" w:hAnsi="Times New Roman"/>
          <w:color w:val="000000" w:themeColor="text1"/>
          <w:sz w:val="16"/>
          <w:szCs w:val="16"/>
        </w:rPr>
        <w:softHyphen/>
        <w:t>ного производства.</w:t>
      </w:r>
    </w:p>
    <w:p w14:paraId="25DF5F3B" w14:textId="77777777" w:rsidR="007B1D3C" w:rsidRPr="00E93F40" w:rsidRDefault="007B1D3C" w:rsidP="00E93F40">
      <w:pPr>
        <w:tabs>
          <w:tab w:val="left" w:pos="238"/>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Улучшенная приборная доска.</w:t>
      </w:r>
    </w:p>
    <w:p w14:paraId="05551269" w14:textId="77777777" w:rsidR="007B1D3C" w:rsidRPr="00E93F40" w:rsidRDefault="007B1D3C" w:rsidP="00E93F40">
      <w:pPr>
        <w:tabs>
          <w:tab w:val="left" w:pos="234"/>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Электросбрасыватели и электроспуски.</w:t>
      </w:r>
    </w:p>
    <w:p w14:paraId="2BAFED8F" w14:textId="77777777" w:rsidR="007B1D3C" w:rsidRPr="00E93F40" w:rsidRDefault="007B1D3C" w:rsidP="00E93F40">
      <w:pPr>
        <w:tabs>
          <w:tab w:val="left" w:pos="498"/>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Бомбы 4x10 кг (в перегрузку) под кры</w:t>
      </w:r>
      <w:r w:rsidRPr="00E93F40">
        <w:rPr>
          <w:rFonts w:ascii="Times New Roman" w:hAnsi="Times New Roman"/>
          <w:color w:val="000000" w:themeColor="text1"/>
          <w:sz w:val="16"/>
          <w:szCs w:val="16"/>
        </w:rPr>
        <w:softHyphen/>
        <w:t>лом на бомбодержателях Д-1 (возможно бом</w:t>
      </w:r>
      <w:r w:rsidRPr="00E93F40">
        <w:rPr>
          <w:rFonts w:ascii="Times New Roman" w:hAnsi="Times New Roman"/>
          <w:color w:val="000000" w:themeColor="text1"/>
          <w:sz w:val="16"/>
          <w:szCs w:val="16"/>
        </w:rPr>
        <w:softHyphen/>
        <w:t>бометание с пикирования).</w:t>
      </w:r>
    </w:p>
    <w:p w14:paraId="17394F42" w14:textId="77777777" w:rsidR="007B1D3C" w:rsidRPr="00E93F40" w:rsidRDefault="007B1D3C" w:rsidP="00E93F40">
      <w:pPr>
        <w:tabs>
          <w:tab w:val="left" w:pos="483"/>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Пулеметов ПВ-1 - 4 шт., из них 2 за счет перегрузки.</w:t>
      </w:r>
    </w:p>
    <w:p w14:paraId="0CA255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испытаниях И-5 №21117 были зафик</w:t>
      </w:r>
      <w:r w:rsidRPr="00E93F40">
        <w:rPr>
          <w:rFonts w:ascii="Times New Roman" w:hAnsi="Times New Roman"/>
          <w:color w:val="000000" w:themeColor="text1"/>
          <w:sz w:val="16"/>
          <w:szCs w:val="16"/>
        </w:rPr>
        <w:softHyphen/>
        <w:t>сированы следующие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709"/>
      </w:tblGrid>
      <w:tr w:rsidR="00DA227A" w:rsidRPr="00E93F40" w14:paraId="0B58BD45" w14:textId="77777777">
        <w:tc>
          <w:tcPr>
            <w:tcW w:w="3227" w:type="dxa"/>
            <w:tcBorders>
              <w:top w:val="single" w:sz="12" w:space="0" w:color="auto"/>
            </w:tcBorders>
          </w:tcPr>
          <w:p w14:paraId="4AAFE3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пустого (кг)</w:t>
            </w:r>
          </w:p>
        </w:tc>
        <w:tc>
          <w:tcPr>
            <w:tcW w:w="709" w:type="dxa"/>
            <w:tcBorders>
              <w:top w:val="single" w:sz="12" w:space="0" w:color="auto"/>
            </w:tcBorders>
          </w:tcPr>
          <w:p w14:paraId="58A6A0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1002 *</w:t>
            </w:r>
          </w:p>
        </w:tc>
      </w:tr>
      <w:tr w:rsidR="00DA227A" w:rsidRPr="00E93F40" w14:paraId="192F63F9" w14:textId="77777777">
        <w:tc>
          <w:tcPr>
            <w:tcW w:w="3227" w:type="dxa"/>
          </w:tcPr>
          <w:p w14:paraId="6661B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Полетный вес (кг)</w:t>
            </w:r>
          </w:p>
        </w:tc>
        <w:tc>
          <w:tcPr>
            <w:tcW w:w="709" w:type="dxa"/>
          </w:tcPr>
          <w:p w14:paraId="4F0BF7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1414</w:t>
            </w:r>
          </w:p>
        </w:tc>
      </w:tr>
      <w:tr w:rsidR="00DA227A" w:rsidRPr="00E93F40" w14:paraId="630C6040" w14:textId="77777777">
        <w:tc>
          <w:tcPr>
            <w:tcW w:w="3227" w:type="dxa"/>
          </w:tcPr>
          <w:p w14:paraId="4A1B06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максимальная у земли (км/ч)</w:t>
            </w:r>
          </w:p>
        </w:tc>
        <w:tc>
          <w:tcPr>
            <w:tcW w:w="709" w:type="dxa"/>
          </w:tcPr>
          <w:p w14:paraId="09DFA0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285,5</w:t>
            </w:r>
          </w:p>
        </w:tc>
      </w:tr>
      <w:tr w:rsidR="00DA227A" w:rsidRPr="00E93F40" w14:paraId="352D138F" w14:textId="77777777">
        <w:tc>
          <w:tcPr>
            <w:tcW w:w="3227" w:type="dxa"/>
          </w:tcPr>
          <w:p w14:paraId="6CD55A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Скорость максимальная на 3000 м (км/ч) </w:t>
            </w:r>
          </w:p>
        </w:tc>
        <w:tc>
          <w:tcPr>
            <w:tcW w:w="709" w:type="dxa"/>
          </w:tcPr>
          <w:p w14:paraId="4FF641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230,0</w:t>
            </w:r>
          </w:p>
        </w:tc>
      </w:tr>
      <w:tr w:rsidR="00DA227A" w:rsidRPr="00E93F40" w14:paraId="077560FF" w14:textId="77777777">
        <w:tc>
          <w:tcPr>
            <w:tcW w:w="3227" w:type="dxa"/>
          </w:tcPr>
          <w:p w14:paraId="1D5431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максимальная на 5000 м (км/ч)</w:t>
            </w:r>
          </w:p>
        </w:tc>
        <w:tc>
          <w:tcPr>
            <w:tcW w:w="709" w:type="dxa"/>
          </w:tcPr>
          <w:p w14:paraId="4209A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241,8</w:t>
            </w:r>
          </w:p>
        </w:tc>
      </w:tr>
      <w:tr w:rsidR="00DA227A" w:rsidRPr="00E93F40" w14:paraId="0654552E" w14:textId="77777777">
        <w:tc>
          <w:tcPr>
            <w:tcW w:w="3227" w:type="dxa"/>
          </w:tcPr>
          <w:p w14:paraId="3D16CD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набора 5000 м (мин)</w:t>
            </w:r>
          </w:p>
        </w:tc>
        <w:tc>
          <w:tcPr>
            <w:tcW w:w="709" w:type="dxa"/>
          </w:tcPr>
          <w:p w14:paraId="2EE445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11,5</w:t>
            </w:r>
          </w:p>
        </w:tc>
      </w:tr>
      <w:tr w:rsidR="00DA227A" w:rsidRPr="00E93F40" w14:paraId="08916F41" w14:textId="77777777">
        <w:tc>
          <w:tcPr>
            <w:tcW w:w="3227" w:type="dxa"/>
          </w:tcPr>
          <w:p w14:paraId="6C5480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виража на 1000 м (сек)</w:t>
            </w:r>
          </w:p>
        </w:tc>
        <w:tc>
          <w:tcPr>
            <w:tcW w:w="709" w:type="dxa"/>
          </w:tcPr>
          <w:p w14:paraId="00CB0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w:t>
            </w:r>
          </w:p>
        </w:tc>
      </w:tr>
      <w:tr w:rsidR="00DA227A" w:rsidRPr="00E93F40" w14:paraId="2227C6F2" w14:textId="77777777">
        <w:tc>
          <w:tcPr>
            <w:tcW w:w="3227" w:type="dxa"/>
            <w:tcBorders>
              <w:bottom w:val="single" w:sz="12" w:space="0" w:color="auto"/>
            </w:tcBorders>
          </w:tcPr>
          <w:p w14:paraId="4E65B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 (м)</w:t>
            </w:r>
          </w:p>
        </w:tc>
        <w:tc>
          <w:tcPr>
            <w:tcW w:w="709" w:type="dxa"/>
            <w:tcBorders>
              <w:bottom w:val="single" w:sz="12" w:space="0" w:color="auto"/>
            </w:tcBorders>
          </w:tcPr>
          <w:p w14:paraId="3003F0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7520</w:t>
            </w:r>
          </w:p>
        </w:tc>
      </w:tr>
    </w:tbl>
    <w:p w14:paraId="6B07F2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 бомбодержателями Д-1 позднее указывал</w:t>
      </w:r>
      <w:r w:rsidRPr="00E93F40">
        <w:rPr>
          <w:rFonts w:ascii="Times New Roman" w:hAnsi="Times New Roman"/>
          <w:color w:val="000000" w:themeColor="text1"/>
          <w:sz w:val="16"/>
          <w:szCs w:val="16"/>
        </w:rPr>
        <w:softHyphen/>
        <w:t>ся вес 1140,5 кг.</w:t>
      </w:r>
    </w:p>
    <w:p w14:paraId="2AE0A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Впрочем, самолет № 21117 образцом для серийного воспроизведения все-таки не стал (11974).</w:t>
      </w:r>
    </w:p>
    <w:p w14:paraId="07C0C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90E016"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1932 г. года, благодаря героическим усилиям коллектива завода № 21, удалось построить только десять первых серийных экземпляров И -5. (планом предполагалось, что завод № 21 за 1932 г. сможет выпустить 276 И-5). Причина понятна: неосвоенное производство, низкая квалификация рабочих недавно открывшегося завода. Поэтому фактически сдача И-5 ВВС на ГАЗ № 21 началась только в 1933 г. (321 экз.), а в 1934 г. построили 330 истребителей. В том же году их производство было прекращено. Всего за указанные годы завод № 21 построил 662 машины.</w:t>
      </w:r>
    </w:p>
    <w:p w14:paraId="26F19558"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материалах НТК ВВС указывалось, что завод № 21 не выполнил требований по облегчению веса конструкции серийных И-5 бис. Перетяжеление достигало 17,7 кг (25035).</w:t>
      </w:r>
    </w:p>
    <w:p w14:paraId="1CFB1348" w14:textId="77777777" w:rsidR="00B87296" w:rsidRPr="00611082" w:rsidRDefault="00B87296" w:rsidP="00B87296">
      <w:pPr>
        <w:pStyle w:val="aff2"/>
        <w:tabs>
          <w:tab w:val="left" w:pos="594"/>
        </w:tabs>
        <w:spacing w:line="240" w:lineRule="auto"/>
        <w:rPr>
          <w:rFonts w:ascii="Times New Roman" w:hAnsi="Times New Roman" w:cs="Times New Roman"/>
          <w:i w:val="0"/>
          <w:iCs w:val="0"/>
          <w:color w:val="0070C0"/>
          <w:sz w:val="16"/>
          <w:szCs w:val="16"/>
          <w:lang w:val="ru-RU"/>
        </w:rPr>
      </w:pPr>
    </w:p>
    <w:p w14:paraId="3C92FDDA"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 завершилась постройка нового варианта У-2ВС, и тогда же начались сначала заводские испытания, а затем государственные. В серии в задней кабине пулеметы устанавливались как на турель, так и на шкворень.</w:t>
      </w:r>
    </w:p>
    <w:p w14:paraId="6E216C3C"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Серийно строились ВС эталон 1933 г., эталон 1936 г. Часть машин оснащалась тормозными колесами (они обозначались как ВТС). Всего за 1933–1936 гг. построено 744 ВС и ВТС. Самолет полностью оправдал себя, и опыт его постройки пригодился позже, в годы Великой Отечественной войны (25035).</w:t>
      </w:r>
    </w:p>
    <w:p w14:paraId="1342240C" w14:textId="77777777" w:rsidR="00B87296" w:rsidRPr="00142305" w:rsidRDefault="00B87296" w:rsidP="00B87296">
      <w:pPr>
        <w:spacing w:after="0" w:line="240" w:lineRule="auto"/>
        <w:jc w:val="both"/>
        <w:rPr>
          <w:rFonts w:ascii="Times New Roman" w:hAnsi="Times New Roman"/>
          <w:color w:val="0070C0"/>
          <w:sz w:val="16"/>
          <w:szCs w:val="16"/>
        </w:rPr>
      </w:pPr>
    </w:p>
    <w:p w14:paraId="0ABB89B3" w14:textId="77777777" w:rsidR="00B87296" w:rsidRPr="00611082" w:rsidRDefault="00B87296" w:rsidP="00B87296">
      <w:pPr>
        <w:pStyle w:val="aff2"/>
        <w:tabs>
          <w:tab w:val="left" w:pos="594"/>
        </w:tabs>
        <w:spacing w:line="240" w:lineRule="auto"/>
        <w:rPr>
          <w:rFonts w:ascii="Times New Roman" w:hAnsi="Times New Roman" w:cs="Times New Roman"/>
          <w:i w:val="0"/>
          <w:iCs w:val="0"/>
          <w:color w:val="0070C0"/>
          <w:sz w:val="16"/>
          <w:szCs w:val="16"/>
          <w:lang w:val="ru-RU"/>
        </w:rPr>
      </w:pPr>
      <w:r w:rsidRPr="00611082">
        <w:rPr>
          <w:rFonts w:ascii="Times New Roman" w:hAnsi="Times New Roman" w:cs="Times New Roman"/>
          <w:i w:val="0"/>
          <w:iCs w:val="0"/>
          <w:color w:val="0070C0"/>
          <w:sz w:val="16"/>
          <w:szCs w:val="16"/>
          <w:lang w:val="ru-RU"/>
        </w:rPr>
        <w:t xml:space="preserve">В конце 1932 г. самолёт БОК-1 был начат постройкой в Москве, но достраивался уже в Смоленске после перебазирования туда бригады Чижевского (БОК). Самолёт был закончен в конце 1935 г., а 13 декабря 1935 г. БОК-1 совершил свой первый вылет, имея на борту экипаж во главе с лётчиком-испытателем И. Ф. Петровым. Дальнейшие испытания проходили как в Смоленске, так и затем в Москве в НИИ ВВС с участием лётчика-испытателя П. М. Стефановского. В ходе испытаний, продолжавшихся до весны 1939 г., самолёт выполнил ряд полётов на высоту до 14 км. Последний этап испытаний проходил уже после того, как БОК в феврале 1938 г. был переведён из Смоленска в подмосковные Подлипки на территорию </w:t>
      </w:r>
      <w:r w:rsidRPr="00B87296">
        <w:rPr>
          <w:rFonts w:ascii="Times New Roman" w:hAnsi="Times New Roman" w:cs="Times New Roman"/>
          <w:i w:val="0"/>
          <w:iCs w:val="0"/>
          <w:color w:val="0070C0"/>
          <w:sz w:val="16"/>
          <w:szCs w:val="16"/>
          <w:lang w:val="ru-RU"/>
        </w:rPr>
        <w:t xml:space="preserve">КБ-29, руководителем которого и стал Чижевский. </w:t>
      </w:r>
      <w:r w:rsidRPr="00611082">
        <w:rPr>
          <w:rFonts w:ascii="Times New Roman" w:hAnsi="Times New Roman" w:cs="Times New Roman"/>
          <w:i w:val="0"/>
          <w:iCs w:val="0"/>
          <w:color w:val="0070C0"/>
          <w:sz w:val="16"/>
          <w:szCs w:val="16"/>
          <w:lang w:val="ru-RU"/>
        </w:rPr>
        <w:t xml:space="preserve">К сожалению, 1 февраля 1939 г. В. А. </w:t>
      </w:r>
      <w:r w:rsidRPr="00611082">
        <w:rPr>
          <w:rFonts w:ascii="Times New Roman" w:hAnsi="Times New Roman" w:cs="Times New Roman"/>
          <w:i w:val="0"/>
          <w:iCs w:val="0"/>
          <w:color w:val="0070C0"/>
          <w:sz w:val="16"/>
          <w:szCs w:val="16"/>
          <w:lang w:val="ru-RU"/>
        </w:rPr>
        <w:lastRenderedPageBreak/>
        <w:t>Чижевский был арестован, и дальнейшее совершенствование и развитие самолётов БОК проходило без его участия (начальником КБ-29 был назначен П.Н.Голубков, а главным конструктором – Н. Н. Каштанов) (25606).</w:t>
      </w:r>
    </w:p>
    <w:p w14:paraId="579E5BC3" w14:textId="77777777" w:rsidR="00B87296" w:rsidRPr="00611082" w:rsidRDefault="00B87296" w:rsidP="00B87296">
      <w:pPr>
        <w:pStyle w:val="aff2"/>
        <w:tabs>
          <w:tab w:val="left" w:pos="594"/>
        </w:tabs>
        <w:spacing w:line="240" w:lineRule="auto"/>
        <w:rPr>
          <w:rFonts w:ascii="Times New Roman" w:hAnsi="Times New Roman" w:cs="Times New Roman"/>
          <w:i w:val="0"/>
          <w:iCs w:val="0"/>
          <w:color w:val="0070C0"/>
          <w:sz w:val="16"/>
          <w:szCs w:val="16"/>
          <w:lang w:val="ru-RU"/>
        </w:rPr>
      </w:pPr>
    </w:p>
    <w:p w14:paraId="71332978"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 УВВС передало промышленности тре</w:t>
      </w:r>
      <w:r w:rsidRPr="00142305">
        <w:rPr>
          <w:rFonts w:ascii="Times New Roman" w:hAnsi="Times New Roman"/>
          <w:color w:val="0070C0"/>
          <w:sz w:val="16"/>
          <w:szCs w:val="16"/>
        </w:rPr>
        <w:softHyphen/>
        <w:t>бования к эталону серийного производства Р-5 на следующий год. В них желающие «меда и масла одновременно» записа</w:t>
      </w:r>
      <w:r w:rsidRPr="00142305">
        <w:rPr>
          <w:rFonts w:ascii="Times New Roman" w:hAnsi="Times New Roman"/>
          <w:color w:val="0070C0"/>
          <w:sz w:val="16"/>
          <w:szCs w:val="16"/>
        </w:rPr>
        <w:softHyphen/>
        <w:t>ли снижение веса сразу на 300 кг! Даже специалисты НИИ ВВС заявляли, что это требование реально невыполнимо. Более того, все остальные пункты фактически приводили к возрастанию веса самолета. Предусматривалось внедре</w:t>
      </w:r>
      <w:r w:rsidRPr="00142305">
        <w:rPr>
          <w:rFonts w:ascii="Times New Roman" w:hAnsi="Times New Roman"/>
          <w:color w:val="0070C0"/>
          <w:sz w:val="16"/>
          <w:szCs w:val="16"/>
        </w:rPr>
        <w:softHyphen/>
        <w:t>ние нового шасси с большим выносом колес вперед. Са</w:t>
      </w:r>
      <w:r w:rsidRPr="00142305">
        <w:rPr>
          <w:rFonts w:ascii="Times New Roman" w:hAnsi="Times New Roman"/>
          <w:color w:val="0070C0"/>
          <w:sz w:val="16"/>
          <w:szCs w:val="16"/>
        </w:rPr>
        <w:softHyphen/>
        <w:t>ми колеса должны были обязательно оснащаться тормо</w:t>
      </w:r>
      <w:r w:rsidRPr="00142305">
        <w:rPr>
          <w:rFonts w:ascii="Times New Roman" w:hAnsi="Times New Roman"/>
          <w:color w:val="0070C0"/>
          <w:sz w:val="16"/>
          <w:szCs w:val="16"/>
        </w:rPr>
        <w:softHyphen/>
        <w:t>зами. Рули хотели повесить на шариковых подшипниках (вместо бронзовых втулок). Предполагалась установка но</w:t>
      </w:r>
      <w:r w:rsidRPr="00142305">
        <w:rPr>
          <w:rFonts w:ascii="Times New Roman" w:hAnsi="Times New Roman"/>
          <w:color w:val="0070C0"/>
          <w:sz w:val="16"/>
          <w:szCs w:val="16"/>
        </w:rPr>
        <w:softHyphen/>
        <w:t>вого фотоаппарата АФА-13 и радиостанции 13СК. Часть приборов хотели заменить более современными, поста</w:t>
      </w:r>
      <w:r w:rsidRPr="00142305">
        <w:rPr>
          <w:rFonts w:ascii="Times New Roman" w:hAnsi="Times New Roman"/>
          <w:color w:val="0070C0"/>
          <w:sz w:val="16"/>
          <w:szCs w:val="16"/>
        </w:rPr>
        <w:softHyphen/>
        <w:t>вить новые компасы А-3 и КИ-1. Один из пунктов пред</w:t>
      </w:r>
      <w:r w:rsidRPr="00142305">
        <w:rPr>
          <w:rFonts w:ascii="Times New Roman" w:hAnsi="Times New Roman"/>
          <w:color w:val="0070C0"/>
          <w:sz w:val="16"/>
          <w:szCs w:val="16"/>
        </w:rPr>
        <w:softHyphen/>
        <w:t>писывал электрификацию бомбового вооружения, но не были указаны не только конкретные образны, но даже нс решили, применять электромагнитные или электропиро- технические устройства.</w:t>
      </w:r>
    </w:p>
    <w:p w14:paraId="52CAD46F"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Снижать вес можно было л ибо за счет применения новых материалов и изменения технологии, либо за счет снятия части оборудования и вооружения. Но УВВС оба варианте не устраивали: первый приводил к кардинальной перера</w:t>
      </w:r>
      <w:r w:rsidRPr="00142305">
        <w:rPr>
          <w:rFonts w:ascii="Times New Roman" w:hAnsi="Times New Roman"/>
          <w:color w:val="0070C0"/>
          <w:sz w:val="16"/>
          <w:szCs w:val="16"/>
        </w:rPr>
        <w:softHyphen/>
        <w:t>ботке конструкции, а, следовательно, к задержке массово</w:t>
      </w:r>
      <w:r w:rsidRPr="00142305">
        <w:rPr>
          <w:rFonts w:ascii="Times New Roman" w:hAnsi="Times New Roman"/>
          <w:color w:val="0070C0"/>
          <w:sz w:val="16"/>
          <w:szCs w:val="16"/>
        </w:rPr>
        <w:softHyphen/>
        <w:t>го выпуска, второй — к снижению боевой эффективности машины. Поэтому с ростом веса примирились. Самолет- эталон 1933 г. получил новое шасси и усиленную под не</w:t>
      </w:r>
      <w:r w:rsidRPr="00142305">
        <w:rPr>
          <w:rFonts w:ascii="Times New Roman" w:hAnsi="Times New Roman"/>
          <w:color w:val="0070C0"/>
          <w:sz w:val="16"/>
          <w:szCs w:val="16"/>
        </w:rPr>
        <w:softHyphen/>
        <w:t>го первую раму фюзеляжа. Колеса при этом выдвинули не 40 мм вперед, немного уменьшив склонность к капотиро</w:t>
      </w:r>
      <w:r w:rsidRPr="00142305">
        <w:rPr>
          <w:rFonts w:ascii="Times New Roman" w:hAnsi="Times New Roman"/>
          <w:color w:val="0070C0"/>
          <w:sz w:val="16"/>
          <w:szCs w:val="16"/>
        </w:rPr>
        <w:softHyphen/>
        <w:t>ванию на посадке. В остальном планер не изменился.</w:t>
      </w:r>
    </w:p>
    <w:p w14:paraId="4A447945"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Немало хлопот получили с модернизацией оборудова</w:t>
      </w:r>
      <w:r w:rsidRPr="00142305">
        <w:rPr>
          <w:rFonts w:ascii="Times New Roman" w:hAnsi="Times New Roman"/>
          <w:color w:val="0070C0"/>
          <w:sz w:val="16"/>
          <w:szCs w:val="16"/>
        </w:rPr>
        <w:softHyphen/>
        <w:t>ния. Многого просто не существовало. Подшипники нуж</w:t>
      </w:r>
      <w:r w:rsidRPr="00142305">
        <w:rPr>
          <w:rFonts w:ascii="Times New Roman" w:hAnsi="Times New Roman"/>
          <w:color w:val="0070C0"/>
          <w:sz w:val="16"/>
          <w:szCs w:val="16"/>
        </w:rPr>
        <w:softHyphen/>
        <w:t>ного размера в СССР не изготовлялись. От электрификапни бомбового вооружения военные на время отказались сами. В ряде случаев сотрудники УВВС записали в требо</w:t>
      </w:r>
      <w:r w:rsidRPr="00142305">
        <w:rPr>
          <w:rFonts w:ascii="Times New Roman" w:hAnsi="Times New Roman"/>
          <w:color w:val="0070C0"/>
          <w:sz w:val="16"/>
          <w:szCs w:val="16"/>
        </w:rPr>
        <w:softHyphen/>
        <w:t>вания образцы оборудования, серийно еще не выпускаю</w:t>
      </w:r>
      <w:r w:rsidRPr="00142305">
        <w:rPr>
          <w:rFonts w:ascii="Times New Roman" w:hAnsi="Times New Roman"/>
          <w:color w:val="0070C0"/>
          <w:sz w:val="16"/>
          <w:szCs w:val="16"/>
        </w:rPr>
        <w:softHyphen/>
        <w:t>щиеся. Вплоть до середины апреля «эталон 1933 г.» про</w:t>
      </w:r>
      <w:r w:rsidRPr="00142305">
        <w:rPr>
          <w:rFonts w:ascii="Times New Roman" w:hAnsi="Times New Roman"/>
          <w:color w:val="0070C0"/>
          <w:sz w:val="16"/>
          <w:szCs w:val="16"/>
        </w:rPr>
        <w:softHyphen/>
        <w:t>стоял в ангаре без фотоаппарата, радиостанции и многих приборов. Даже новое шасси не могли опробовать — меха</w:t>
      </w:r>
      <w:r w:rsidRPr="00142305">
        <w:rPr>
          <w:rFonts w:ascii="Times New Roman" w:hAnsi="Times New Roman"/>
          <w:color w:val="0070C0"/>
          <w:sz w:val="16"/>
          <w:szCs w:val="16"/>
        </w:rPr>
        <w:softHyphen/>
        <w:t>низм управления тормозами мастерские ЦАГИ сдали толь</w:t>
      </w:r>
      <w:r w:rsidRPr="00142305">
        <w:rPr>
          <w:rFonts w:ascii="Times New Roman" w:hAnsi="Times New Roman"/>
          <w:color w:val="0070C0"/>
          <w:sz w:val="16"/>
          <w:szCs w:val="16"/>
        </w:rPr>
        <w:softHyphen/>
        <w:t>ко в мае.</w:t>
      </w:r>
    </w:p>
    <w:p w14:paraId="3FED28D4"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Длительная возня с подготовкой эталона привела к то</w:t>
      </w:r>
      <w:r w:rsidRPr="00142305">
        <w:rPr>
          <w:rFonts w:ascii="Times New Roman" w:hAnsi="Times New Roman"/>
          <w:color w:val="0070C0"/>
          <w:sz w:val="16"/>
          <w:szCs w:val="16"/>
        </w:rPr>
        <w:softHyphen/>
        <w:t>му, что большая часть самолетов выпуска 1933 г. дела</w:t>
      </w:r>
      <w:r w:rsidRPr="00142305">
        <w:rPr>
          <w:rFonts w:ascii="Times New Roman" w:hAnsi="Times New Roman"/>
          <w:color w:val="0070C0"/>
          <w:sz w:val="16"/>
          <w:szCs w:val="16"/>
        </w:rPr>
        <w:softHyphen/>
        <w:t>лась по стандарту предыдущего года. Лишь с лета начали внедрять отдельные изменения. С 18-й серии под крылом смонтировали ракетодержатели с автоматическим сбро</w:t>
      </w:r>
      <w:r w:rsidRPr="00142305">
        <w:rPr>
          <w:rFonts w:ascii="Times New Roman" w:hAnsi="Times New Roman"/>
          <w:color w:val="0070C0"/>
          <w:sz w:val="16"/>
          <w:szCs w:val="16"/>
        </w:rPr>
        <w:softHyphen/>
        <w:t>сом догоревших ракет. Чуть позже изменили короба для дисков пулеметов ДА, ввели усовершенствованный кольцевой прицел, переделали привод синхронизатора перед</w:t>
      </w:r>
      <w:r w:rsidRPr="00142305">
        <w:rPr>
          <w:rFonts w:ascii="Times New Roman" w:hAnsi="Times New Roman"/>
          <w:color w:val="0070C0"/>
          <w:sz w:val="16"/>
          <w:szCs w:val="16"/>
        </w:rPr>
        <w:softHyphen/>
        <w:t>него пулемета. Тормоза появились с конца осени, но из-за нехватки колес до марта следующего года с завода перио</w:t>
      </w:r>
      <w:r w:rsidRPr="00142305">
        <w:rPr>
          <w:rFonts w:ascii="Times New Roman" w:hAnsi="Times New Roman"/>
          <w:color w:val="0070C0"/>
          <w:sz w:val="16"/>
          <w:szCs w:val="16"/>
        </w:rPr>
        <w:softHyphen/>
        <w:t>дически отправляли Р-5 с новыми осями, но с колесами старого образца (24990).</w:t>
      </w:r>
    </w:p>
    <w:p w14:paraId="084421EA" w14:textId="77777777" w:rsidR="00B87296" w:rsidRPr="00142305" w:rsidRDefault="00B87296" w:rsidP="00B87296">
      <w:pPr>
        <w:spacing w:after="0" w:line="240" w:lineRule="auto"/>
        <w:jc w:val="both"/>
        <w:rPr>
          <w:rFonts w:ascii="Times New Roman" w:hAnsi="Times New Roman"/>
          <w:color w:val="0070C0"/>
          <w:sz w:val="16"/>
          <w:szCs w:val="16"/>
        </w:rPr>
      </w:pPr>
    </w:p>
    <w:p w14:paraId="0AA41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ЦАГИ были построены тормозные колеса к самолету ТБ-3. В феврале с.г. испытания тормозных колес закончены (3082).</w:t>
      </w:r>
    </w:p>
    <w:p w14:paraId="5460D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0130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конца 1932 на ТБ-3 (АНТ-6) стали ставить гладкий носок крыла (1854,8).</w:t>
      </w:r>
    </w:p>
    <w:p w14:paraId="22B549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C8A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конца 1932 г. ТБ-3 имели гладкий, а не гофрированный носок крыла. После резкого скачка веса на первых бомбардировщиках, вызванного примитивной технологией и заменой импортных легированных сталей отечественными более низкого качества, ТБ-3 облегчили за счет снятия части внутренних переборок, лестниц и прочих второстепенных элементов. С самолета №2236 (т.е. 36-й машины завода №22) на передней части фюзеляжа появились поручни, облегчающие покидание пилотской кабины с парашютом. С бомбардировщика №22141 стали перекрывать металлическими лентами щели между фюзеляжем и крылом. Со второй половины 1932 г. УВВС требовало ввести новые поворачивающиеся подкрыльевые башни, но они так и не появились. Все ТБ-3 ранних серий оснащались «штанами» по типу Р-6. Серийные ТБ-3 выпуска 1933 г. в общем-то не сильно отличались от бомбардировщиков, сданных заводом №22 годом раньше. С машины №22252, практически уже под конец года, ввели «люльку» - выступ под носовой частью. Это позволило удобнее разместить штурмана при бомбометании. В «люльку» перенесли для него бомбовый прицел. Отзываясь на жалобы о плохом обзоре из штурманской кабины, в ней ввели дополнительные боковые окна. Намечавшиеся УВВС мероприятия по применению новых моторов М-34 или оснащению М-17 понижающим обороты редуктором (что обеспечивало большую эффективность винтомоторной группы для такого тихоходного самолета), замены резиновых амортизаторов гидравлическими, возможности снятия бензобаков без разборки крыла остались пока нереализованными. Предлагалось, в частности, закупить за границей 20 комплектов колес с механическими и пневматическими тормозами, а образцы гидроамортизаторов заказать у итальянских фирм (8887).</w:t>
      </w:r>
    </w:p>
    <w:p w14:paraId="710301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EFDAE1"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1932 г. все самолеты ТБ-3 имели гладкий, а не гофри</w:t>
      </w:r>
      <w:r w:rsidRPr="00142305">
        <w:rPr>
          <w:rFonts w:ascii="Times New Roman" w:hAnsi="Times New Roman"/>
          <w:color w:val="0070C0"/>
          <w:sz w:val="16"/>
          <w:szCs w:val="16"/>
        </w:rPr>
        <w:softHyphen/>
        <w:t>рованный носок крыла. С самолета № 2236 (то есть 36-й машины завода № 22) на передней части фюзеляжа ввели поручни, облегчающие покидание пилотской ка</w:t>
      </w:r>
      <w:r w:rsidRPr="00142305">
        <w:rPr>
          <w:rFonts w:ascii="Times New Roman" w:hAnsi="Times New Roman"/>
          <w:color w:val="0070C0"/>
          <w:sz w:val="16"/>
          <w:szCs w:val="16"/>
        </w:rPr>
        <w:softHyphen/>
        <w:t>бины с парашютом. С бомбардировщика № 22141 стали перекрывать металличес</w:t>
      </w:r>
      <w:r w:rsidRPr="00142305">
        <w:rPr>
          <w:rFonts w:ascii="Times New Roman" w:hAnsi="Times New Roman"/>
          <w:color w:val="0070C0"/>
          <w:sz w:val="16"/>
          <w:szCs w:val="16"/>
        </w:rPr>
        <w:softHyphen/>
        <w:t>кими лентами щели между фюзеляжем и крылом. Со второй половины 1932 г. УВВС требовало ввести новые поворачивающи</w:t>
      </w:r>
      <w:r w:rsidRPr="00142305">
        <w:rPr>
          <w:rFonts w:ascii="Times New Roman" w:hAnsi="Times New Roman"/>
          <w:color w:val="0070C0"/>
          <w:sz w:val="16"/>
          <w:szCs w:val="16"/>
        </w:rPr>
        <w:softHyphen/>
        <w:t>еся подкрыльные башни, но они так и не появились. Все ТБ-3 ранних серий осна</w:t>
      </w:r>
      <w:r w:rsidRPr="00142305">
        <w:rPr>
          <w:rFonts w:ascii="Times New Roman" w:hAnsi="Times New Roman"/>
          <w:color w:val="0070C0"/>
          <w:sz w:val="16"/>
          <w:szCs w:val="16"/>
        </w:rPr>
        <w:softHyphen/>
        <w:t>щались «штанами» (24937).</w:t>
      </w:r>
    </w:p>
    <w:p w14:paraId="6CACDC87" w14:textId="77777777" w:rsidR="000B1DD5" w:rsidRPr="00142305" w:rsidRDefault="000B1DD5" w:rsidP="000B1DD5">
      <w:pPr>
        <w:spacing w:after="0" w:line="240" w:lineRule="auto"/>
        <w:jc w:val="both"/>
        <w:rPr>
          <w:rFonts w:ascii="Times New Roman" w:hAnsi="Times New Roman"/>
          <w:color w:val="0070C0"/>
          <w:sz w:val="16"/>
          <w:szCs w:val="16"/>
        </w:rPr>
      </w:pPr>
    </w:p>
    <w:p w14:paraId="3E950B5F"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1932 г. все само</w:t>
      </w:r>
      <w:r w:rsidRPr="00142305">
        <w:rPr>
          <w:rFonts w:ascii="Times New Roman" w:hAnsi="Times New Roman"/>
          <w:color w:val="0070C0"/>
          <w:sz w:val="16"/>
          <w:szCs w:val="16"/>
        </w:rPr>
        <w:softHyphen/>
        <w:t>леты ТБ-3 имели гладкий, а не гофрированный носок крыла. Позднее на передней части фюзеляжа появи</w:t>
      </w:r>
      <w:r w:rsidRPr="00142305">
        <w:rPr>
          <w:rFonts w:ascii="Times New Roman" w:hAnsi="Times New Roman"/>
          <w:color w:val="0070C0"/>
          <w:sz w:val="16"/>
          <w:szCs w:val="16"/>
        </w:rPr>
        <w:softHyphen/>
        <w:t>лись поручни, облегчающие покидание пилотской кабины с парашютом, стали перекрывать металлическими лента</w:t>
      </w:r>
      <w:r w:rsidRPr="00142305">
        <w:rPr>
          <w:rFonts w:ascii="Times New Roman" w:hAnsi="Times New Roman"/>
          <w:color w:val="0070C0"/>
          <w:sz w:val="16"/>
          <w:szCs w:val="16"/>
        </w:rPr>
        <w:softHyphen/>
        <w:t>ми щели между фюзеляжем и крылом (24977).</w:t>
      </w:r>
    </w:p>
    <w:p w14:paraId="76E21DBD" w14:textId="77777777" w:rsidR="000B1DD5" w:rsidRPr="00142305" w:rsidRDefault="000B1DD5" w:rsidP="000B1DD5">
      <w:pPr>
        <w:spacing w:after="0" w:line="240" w:lineRule="auto"/>
        <w:jc w:val="both"/>
        <w:rPr>
          <w:rFonts w:ascii="Times New Roman" w:hAnsi="Times New Roman"/>
          <w:color w:val="0070C0"/>
          <w:sz w:val="16"/>
          <w:szCs w:val="16"/>
        </w:rPr>
      </w:pPr>
    </w:p>
    <w:p w14:paraId="1B6E7F54" w14:textId="77777777" w:rsidR="00BD69E5" w:rsidRPr="00E93F40" w:rsidRDefault="00BD69E5"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постройка истребителя ДИ-4 был закончена, и в начале 1933 года с участием летчиков Б.Л. Бухгольца и Ю.П. Пионтковского начались его заводские испытания. В мае истребитель доставили с завода № 39 в Щелково, на аэродром НИИ ВВС для проведения Государственных испытаний. В ходе этих испытаний было признано, что ДИ-4 создан по устаревшей схеме. Отмечалось, что его шасси очень сложное и неудобное в обслуживании. Значительным недостатком являлся большой вес конструкции.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использования толстого профиля. Истребитель с трудом входил в штопор, но прекрасно из него выходил; остальные летные качества машины оценивались как невысокие (15223).</w:t>
      </w:r>
    </w:p>
    <w:p w14:paraId="791767E5" w14:textId="77777777" w:rsidR="00BD69E5" w:rsidRPr="00E93F40" w:rsidRDefault="00BD69E5" w:rsidP="00E93F40">
      <w:pPr>
        <w:shd w:val="clear" w:color="auto" w:fill="FFFFFF"/>
        <w:spacing w:after="0" w:line="240" w:lineRule="auto"/>
        <w:jc w:val="both"/>
        <w:rPr>
          <w:rFonts w:ascii="Times New Roman" w:hAnsi="Times New Roman"/>
          <w:color w:val="000000" w:themeColor="text1"/>
          <w:sz w:val="16"/>
          <w:szCs w:val="16"/>
        </w:rPr>
      </w:pPr>
    </w:p>
    <w:p w14:paraId="11F9A6BE"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самолет ДИ-4 был построен и в на</w:t>
      </w:r>
      <w:r w:rsidRPr="00E93F40">
        <w:rPr>
          <w:rFonts w:ascii="Times New Roman" w:hAnsi="Times New Roman"/>
          <w:color w:val="000000" w:themeColor="text1"/>
          <w:sz w:val="16"/>
          <w:szCs w:val="16"/>
        </w:rPr>
        <w:softHyphen/>
        <w:t>чале 1933 г. начались его полеты. После про</w:t>
      </w:r>
      <w:r w:rsidRPr="00E93F40">
        <w:rPr>
          <w:rFonts w:ascii="Times New Roman" w:hAnsi="Times New Roman"/>
          <w:color w:val="000000" w:themeColor="text1"/>
          <w:sz w:val="16"/>
          <w:szCs w:val="16"/>
        </w:rPr>
        <w:softHyphen/>
        <w:t>ведения заводских испытаний и ряда усовер</w:t>
      </w:r>
      <w:r w:rsidRPr="00E93F40">
        <w:rPr>
          <w:rFonts w:ascii="Times New Roman" w:hAnsi="Times New Roman"/>
          <w:color w:val="000000" w:themeColor="text1"/>
          <w:sz w:val="16"/>
          <w:szCs w:val="16"/>
        </w:rPr>
        <w:softHyphen/>
        <w:t>шенствований 5 мая машину доставили с за</w:t>
      </w:r>
      <w:r w:rsidRPr="00E93F40">
        <w:rPr>
          <w:rFonts w:ascii="Times New Roman" w:hAnsi="Times New Roman"/>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317E85E4"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Признавалось, что ДИ-4 выполнен по не</w:t>
      </w:r>
      <w:r w:rsidRPr="00E93F40">
        <w:rPr>
          <w:rFonts w:ascii="Times New Roman" w:hAnsi="Times New Roman"/>
          <w:color w:val="000000" w:themeColor="text1"/>
          <w:sz w:val="16"/>
          <w:szCs w:val="16"/>
        </w:rPr>
        <w:softHyphen/>
        <w:t>современной схеме, с подкосами, крепящи</w:t>
      </w:r>
      <w:r w:rsidRPr="00E93F40">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E93F40">
        <w:rPr>
          <w:rFonts w:ascii="Times New Roman" w:hAnsi="Times New Roman"/>
          <w:color w:val="000000" w:themeColor="text1"/>
          <w:sz w:val="16"/>
          <w:szCs w:val="16"/>
        </w:rPr>
        <w:softHyphen/>
        <w:t>не использованного толстого профиля. Лет</w:t>
      </w:r>
      <w:r w:rsidRPr="00E93F40">
        <w:rPr>
          <w:rFonts w:ascii="Times New Roman" w:hAnsi="Times New Roman"/>
          <w:color w:val="000000" w:themeColor="text1"/>
          <w:sz w:val="16"/>
          <w:szCs w:val="16"/>
        </w:rPr>
        <w:softHyphen/>
        <w:t>ные характеристики оценивались как невы</w:t>
      </w:r>
      <w:r w:rsidRPr="00E93F40">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5DE33E83"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дальнейшем предлагалось вместо двига</w:t>
      </w:r>
      <w:r w:rsidRPr="00E93F40">
        <w:rPr>
          <w:rFonts w:ascii="Times New Roman" w:hAnsi="Times New Roman"/>
          <w:color w:val="000000" w:themeColor="text1"/>
          <w:sz w:val="16"/>
          <w:szCs w:val="16"/>
        </w:rPr>
        <w:softHyphen/>
        <w:t>теля Кертисс «Конкверор» использовать оте</w:t>
      </w:r>
      <w:r w:rsidRPr="00E93F40">
        <w:rPr>
          <w:rFonts w:ascii="Times New Roman" w:hAnsi="Times New Roman"/>
          <w:color w:val="000000" w:themeColor="text1"/>
          <w:sz w:val="16"/>
          <w:szCs w:val="16"/>
        </w:rPr>
        <w:softHyphen/>
        <w:t>чественный двигатель М-32. Однако пере</w:t>
      </w:r>
      <w:r w:rsidRPr="00E93F40">
        <w:rPr>
          <w:rFonts w:ascii="Times New Roman" w:hAnsi="Times New Roman"/>
          <w:color w:val="000000" w:themeColor="text1"/>
          <w:sz w:val="16"/>
          <w:szCs w:val="16"/>
        </w:rPr>
        <w:softHyphen/>
        <w:t>делки при этом могли оказаться столь суще</w:t>
      </w:r>
      <w:r w:rsidRPr="00E93F40">
        <w:rPr>
          <w:rFonts w:ascii="Times New Roman" w:hAnsi="Times New Roman"/>
          <w:color w:val="000000" w:themeColor="text1"/>
          <w:sz w:val="16"/>
          <w:szCs w:val="16"/>
        </w:rPr>
        <w:softHyphen/>
        <w:t>ственными, что от совершенствования ма</w:t>
      </w:r>
      <w:r w:rsidRPr="00E93F40">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E93F40">
        <w:rPr>
          <w:rFonts w:ascii="Times New Roman" w:hAnsi="Times New Roman"/>
          <w:color w:val="000000" w:themeColor="text1"/>
          <w:sz w:val="16"/>
          <w:szCs w:val="16"/>
        </w:rPr>
        <w:softHyphen/>
        <w:t>ной постройке. Опытный экземпляр остави</w:t>
      </w:r>
      <w:r w:rsidRPr="00E93F40">
        <w:rPr>
          <w:rFonts w:ascii="Times New Roman" w:hAnsi="Times New Roman"/>
          <w:color w:val="000000" w:themeColor="text1"/>
          <w:sz w:val="16"/>
          <w:szCs w:val="16"/>
        </w:rPr>
        <w:softHyphen/>
        <w:t>ли в НИИ ВВС, где с июля 1934 г. ДИ-4 ис</w:t>
      </w:r>
      <w:r w:rsidRPr="00E93F40">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71E21AC0" w14:textId="77777777" w:rsidR="00FC3E25" w:rsidRPr="00E93F40" w:rsidRDefault="00FC3E25" w:rsidP="00E93F40">
      <w:pPr>
        <w:pStyle w:val="59"/>
        <w:shd w:val="clear" w:color="auto" w:fill="auto"/>
        <w:spacing w:line="240" w:lineRule="auto"/>
        <w:jc w:val="both"/>
        <w:rPr>
          <w:color w:val="000000" w:themeColor="text1"/>
          <w:szCs w:val="16"/>
        </w:rPr>
      </w:pPr>
      <w:r w:rsidRPr="00E93F40">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DA227A" w:rsidRPr="00E93F40" w14:paraId="51211748" w14:textId="77777777" w:rsidTr="00684A8A">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A293EED"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B5FB148"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13,36</w:t>
            </w:r>
          </w:p>
        </w:tc>
      </w:tr>
      <w:tr w:rsidR="00DA227A" w:rsidRPr="00E93F40" w14:paraId="30271420"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D87165F"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27225F6"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8,50</w:t>
            </w:r>
          </w:p>
        </w:tc>
      </w:tr>
      <w:tr w:rsidR="00DA227A" w:rsidRPr="00E93F40" w14:paraId="0A25764C" w14:textId="77777777" w:rsidTr="00684A8A">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63BED95"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Площадь крыла (м</w:t>
            </w:r>
            <w:r w:rsidRPr="00E93F40">
              <w:rPr>
                <w:rFonts w:ascii="Times New Roman" w:hAnsi="Times New Roman" w:cs="Times New Roman"/>
                <w:b w:val="0"/>
                <w:color w:val="000000" w:themeColor="text1"/>
                <w:sz w:val="16"/>
                <w:szCs w:val="16"/>
                <w:vertAlign w:val="superscript"/>
              </w:rPr>
              <w:t>2</w:t>
            </w:r>
            <w:r w:rsidRPr="00E93F40">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41664CB"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23,90</w:t>
            </w:r>
          </w:p>
        </w:tc>
      </w:tr>
      <w:tr w:rsidR="00DA227A" w:rsidRPr="00E93F40" w14:paraId="7620DC06"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A37FE13"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11B0F25"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2,0</w:t>
            </w:r>
          </w:p>
        </w:tc>
      </w:tr>
      <w:tr w:rsidR="00DA227A" w:rsidRPr="00E93F40" w14:paraId="16095F26" w14:textId="77777777" w:rsidTr="00684A8A">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5A5CD5C"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4C433F1"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1441,0</w:t>
            </w:r>
          </w:p>
        </w:tc>
      </w:tr>
      <w:tr w:rsidR="00DA227A" w:rsidRPr="00E93F40" w14:paraId="2C382F01"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93E9EF"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58220FC"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1949</w:t>
            </w:r>
          </w:p>
        </w:tc>
      </w:tr>
      <w:tr w:rsidR="00DA227A" w:rsidRPr="00E93F40" w14:paraId="4EADE8E0"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26FF4EF"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C1437D0"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266</w:t>
            </w:r>
          </w:p>
        </w:tc>
      </w:tr>
      <w:tr w:rsidR="00DA227A" w:rsidRPr="00E93F40" w14:paraId="2B9F5261"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CBC0B5"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3AC7F60"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248,7</w:t>
            </w:r>
          </w:p>
        </w:tc>
      </w:tr>
      <w:tr w:rsidR="00DA227A" w:rsidRPr="00E93F40" w14:paraId="7F0ECC4C"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A2823AD"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0ED6A2C"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237,0</w:t>
            </w:r>
          </w:p>
        </w:tc>
      </w:tr>
      <w:tr w:rsidR="00DA227A" w:rsidRPr="00E93F40" w14:paraId="4F22E3A4"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5C06B8A"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1EA9354"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7,4</w:t>
            </w:r>
          </w:p>
        </w:tc>
      </w:tr>
      <w:tr w:rsidR="00DA227A" w:rsidRPr="00E93F40" w14:paraId="69455385" w14:textId="77777777" w:rsidTr="00684A8A">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883FA9A"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A318843"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17,0</w:t>
            </w:r>
          </w:p>
        </w:tc>
      </w:tr>
      <w:tr w:rsidR="00DA227A" w:rsidRPr="00E93F40" w14:paraId="3D2C5C5F"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3A205B6"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9C1DC47"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6440</w:t>
            </w:r>
          </w:p>
        </w:tc>
      </w:tr>
      <w:tr w:rsidR="00DA227A" w:rsidRPr="00E93F40" w14:paraId="1B5467E1" w14:textId="77777777" w:rsidTr="00684A8A">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9E07469"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2DEE06C"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15,0</w:t>
            </w:r>
          </w:p>
        </w:tc>
      </w:tr>
    </w:tbl>
    <w:p w14:paraId="1021D1A6"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(12295)</w:t>
      </w:r>
    </w:p>
    <w:p w14:paraId="7C74758A"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1ACE1DBB"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конца 1932 года построили и засчитали в план 45 самолетов И-7. Первые 12 экзем</w:t>
      </w:r>
      <w:r w:rsidRPr="00E93F40">
        <w:rPr>
          <w:rFonts w:ascii="Times New Roman" w:hAnsi="Times New Roman"/>
          <w:color w:val="000000" w:themeColor="text1"/>
          <w:sz w:val="16"/>
          <w:szCs w:val="16"/>
        </w:rPr>
        <w:softHyphen/>
        <w:t>пляров поступили на вооружение 6-й армей</w:t>
      </w:r>
      <w:r w:rsidRPr="00E93F40">
        <w:rPr>
          <w:rFonts w:ascii="Times New Roman" w:hAnsi="Times New Roman"/>
          <w:color w:val="000000" w:themeColor="text1"/>
          <w:sz w:val="16"/>
          <w:szCs w:val="16"/>
        </w:rPr>
        <w:softHyphen/>
        <w:t>ской авиаэскадрильи в составе 201-й лбаб в Витебске в ноябре 1932 г., в декабре поста</w:t>
      </w:r>
      <w:r w:rsidRPr="00E93F40">
        <w:rPr>
          <w:rFonts w:ascii="Times New Roman" w:hAnsi="Times New Roman"/>
          <w:color w:val="000000" w:themeColor="text1"/>
          <w:sz w:val="16"/>
          <w:szCs w:val="16"/>
        </w:rPr>
        <w:softHyphen/>
        <w:t>вили еще десяток машин. По состоянию на 1 января 1933 г. в строю 6-й аэ находился 21 са</w:t>
      </w:r>
      <w:r w:rsidRPr="00E93F40">
        <w:rPr>
          <w:rFonts w:ascii="Times New Roman" w:hAnsi="Times New Roman"/>
          <w:color w:val="000000" w:themeColor="text1"/>
          <w:sz w:val="16"/>
          <w:szCs w:val="16"/>
        </w:rPr>
        <w:softHyphen/>
        <w:t>молет истребитель типа И-7.</w:t>
      </w:r>
    </w:p>
    <w:p w14:paraId="7057464E"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 каких либо ощутимых измене</w:t>
      </w:r>
      <w:r w:rsidRPr="00E93F40">
        <w:rPr>
          <w:rFonts w:ascii="Times New Roman" w:hAnsi="Times New Roman"/>
          <w:color w:val="000000" w:themeColor="text1"/>
          <w:sz w:val="16"/>
          <w:szCs w:val="16"/>
        </w:rPr>
        <w:softHyphen/>
        <w:t>ний в судьбе советского «Хейнкеля» не про</w:t>
      </w:r>
      <w:r w:rsidRPr="00E93F40">
        <w:rPr>
          <w:rFonts w:ascii="Times New Roman" w:hAnsi="Times New Roman"/>
          <w:color w:val="000000" w:themeColor="text1"/>
          <w:sz w:val="16"/>
          <w:szCs w:val="16"/>
        </w:rPr>
        <w:softHyphen/>
        <w:t>изошло. Хотя производство И-5 уже полно</w:t>
      </w:r>
      <w:r w:rsidRPr="00E93F40">
        <w:rPr>
          <w:rFonts w:ascii="Times New Roman" w:hAnsi="Times New Roman"/>
          <w:color w:val="000000" w:themeColor="text1"/>
          <w:sz w:val="16"/>
          <w:szCs w:val="16"/>
        </w:rPr>
        <w:softHyphen/>
        <w:t>стью перенесли в Нижний Новгород, на уве</w:t>
      </w:r>
      <w:r w:rsidRPr="00E93F40">
        <w:rPr>
          <w:rFonts w:ascii="Times New Roman" w:hAnsi="Times New Roman"/>
          <w:color w:val="000000" w:themeColor="text1"/>
          <w:sz w:val="16"/>
          <w:szCs w:val="16"/>
        </w:rPr>
        <w:softHyphen/>
        <w:t>личении выпуска И-7 это событие особенно не сказалось. Авиазавод №1 за текущий год построил всего 15 машин этого типа. Часть самолетов в ходе производства подвергалась незначительным изменениям: перекомпоно</w:t>
      </w:r>
      <w:r w:rsidRPr="00E93F40">
        <w:rPr>
          <w:rFonts w:ascii="Times New Roman" w:hAnsi="Times New Roman"/>
          <w:color w:val="000000" w:themeColor="text1"/>
          <w:sz w:val="16"/>
          <w:szCs w:val="16"/>
        </w:rPr>
        <w:softHyphen/>
        <w:t>вали приборное оборудование, передвинули вперед ручку управления для удобства поки</w:t>
      </w:r>
      <w:r w:rsidRPr="00E93F40">
        <w:rPr>
          <w:rFonts w:ascii="Times New Roman" w:hAnsi="Times New Roman"/>
          <w:color w:val="000000" w:themeColor="text1"/>
          <w:sz w:val="16"/>
          <w:szCs w:val="16"/>
        </w:rPr>
        <w:softHyphen/>
        <w:t>дания с парашютом, увеличили угол накло</w:t>
      </w:r>
      <w:r w:rsidRPr="00E93F40">
        <w:rPr>
          <w:rFonts w:ascii="Times New Roman" w:hAnsi="Times New Roman"/>
          <w:color w:val="000000" w:themeColor="text1"/>
          <w:sz w:val="16"/>
          <w:szCs w:val="16"/>
        </w:rPr>
        <w:softHyphen/>
        <w:t>на козырька пилота для уменьшения задува</w:t>
      </w:r>
      <w:r w:rsidRPr="00E93F40">
        <w:rPr>
          <w:rFonts w:ascii="Times New Roman" w:hAnsi="Times New Roman"/>
          <w:color w:val="000000" w:themeColor="text1"/>
          <w:sz w:val="16"/>
          <w:szCs w:val="16"/>
        </w:rPr>
        <w:softHyphen/>
        <w:t>ния в кабине.</w:t>
      </w:r>
    </w:p>
    <w:p w14:paraId="5F310117"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Более серьезным нововведением могла стать установка хвостового оперения дюра</w:t>
      </w:r>
      <w:r w:rsidRPr="00E93F40">
        <w:rPr>
          <w:rFonts w:ascii="Times New Roman" w:hAnsi="Times New Roman"/>
          <w:color w:val="000000" w:themeColor="text1"/>
          <w:sz w:val="16"/>
          <w:szCs w:val="16"/>
        </w:rPr>
        <w:softHyphen/>
        <w:t>люминиевой конструкции. Диагональный силовой набор (змейкой) заменялся при этом обычными нервюрами, расположенными по</w:t>
      </w:r>
    </w:p>
    <w:p w14:paraId="7603B8C7" w14:textId="77777777" w:rsidR="00FC3E25" w:rsidRPr="00E93F40" w:rsidRDefault="00FC3E25" w:rsidP="00E93F40">
      <w:pPr>
        <w:pStyle w:val="121"/>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Эталонный истребитель И-7 №4449 с новым хвостовым оперением построили в конце 1933 года. Его полный полетный вес, несмотря на облегченное оперение, еще бо</w:t>
      </w:r>
      <w:r w:rsidRPr="00E93F40">
        <w:rPr>
          <w:rFonts w:ascii="Times New Roman" w:hAnsi="Times New Roman" w:cs="Times New Roman"/>
          <w:b w:val="0"/>
          <w:color w:val="000000" w:themeColor="text1"/>
          <w:sz w:val="16"/>
          <w:szCs w:val="16"/>
        </w:rPr>
        <w:softHyphen/>
        <w:t>лее возрос и составил 1818 кг. Для зимних по</w:t>
      </w:r>
      <w:r w:rsidRPr="00E93F40">
        <w:rPr>
          <w:rFonts w:ascii="Times New Roman" w:hAnsi="Times New Roman" w:cs="Times New Roman"/>
          <w:b w:val="0"/>
          <w:color w:val="000000" w:themeColor="text1"/>
          <w:sz w:val="16"/>
          <w:szCs w:val="16"/>
        </w:rPr>
        <w:softHyphen/>
        <w:t>летов №4449 установили на лыжи, в летнем варианте колеса предполагалось прикрыть каплевидными обтекателями. В период с 8 января по 22 февраля 1934 г. летчик НИИ ВВС Савинов провел оценочные и эксплуата</w:t>
      </w:r>
      <w:r w:rsidRPr="00E93F40">
        <w:rPr>
          <w:rFonts w:ascii="Times New Roman" w:hAnsi="Times New Roman" w:cs="Times New Roman"/>
          <w:b w:val="0"/>
          <w:color w:val="000000" w:themeColor="text1"/>
          <w:sz w:val="16"/>
          <w:szCs w:val="16"/>
        </w:rPr>
        <w:softHyphen/>
        <w:t>ционные испытания этого модифицирован</w:t>
      </w:r>
      <w:r w:rsidRPr="00E93F40">
        <w:rPr>
          <w:rFonts w:ascii="Times New Roman" w:hAnsi="Times New Roman" w:cs="Times New Roman"/>
          <w:b w:val="0"/>
          <w:color w:val="000000" w:themeColor="text1"/>
          <w:sz w:val="16"/>
          <w:szCs w:val="16"/>
        </w:rPr>
        <w:softHyphen/>
        <w:t>ного самолета. Общий налет составил 22 часа 25 мин., было выполнено 500 фигур высше</w:t>
      </w:r>
      <w:r w:rsidRPr="00E93F40">
        <w:rPr>
          <w:rFonts w:ascii="Times New Roman" w:hAnsi="Times New Roman" w:cs="Times New Roman"/>
          <w:b w:val="0"/>
          <w:color w:val="000000" w:themeColor="text1"/>
          <w:sz w:val="16"/>
          <w:szCs w:val="16"/>
        </w:rPr>
        <w:softHyphen/>
        <w:t>го пилотажа. Летные данные остались почти без изменений. По результатам испытаний самолета №4449 было сделано заключение: «На всех выпущенных ранее И-7 со стальным оперением, включая и самолеты, находящие</w:t>
      </w:r>
      <w:r w:rsidRPr="00E93F40">
        <w:rPr>
          <w:rFonts w:ascii="Times New Roman" w:hAnsi="Times New Roman" w:cs="Times New Roman"/>
          <w:b w:val="0"/>
          <w:color w:val="000000" w:themeColor="text1"/>
          <w:sz w:val="16"/>
          <w:szCs w:val="16"/>
        </w:rPr>
        <w:softHyphen/>
        <w:t>ся в частях ВВС произвести замену такового на дюралевое».</w:t>
      </w:r>
    </w:p>
    <w:p w14:paraId="07D499F1"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Впрочем, в 1934 г. И-7 уже не строили, по</w:t>
      </w:r>
      <w:r w:rsidRPr="00E93F40">
        <w:rPr>
          <w:rFonts w:ascii="Times New Roman" w:hAnsi="Times New Roman"/>
          <w:color w:val="000000" w:themeColor="text1"/>
          <w:sz w:val="16"/>
          <w:szCs w:val="16"/>
        </w:rPr>
        <w:softHyphen/>
        <w:t>этому и доработки истребителя прекрати</w:t>
      </w:r>
      <w:r w:rsidRPr="00E93F40">
        <w:rPr>
          <w:rFonts w:ascii="Times New Roman" w:hAnsi="Times New Roman"/>
          <w:color w:val="000000" w:themeColor="text1"/>
          <w:sz w:val="16"/>
          <w:szCs w:val="16"/>
        </w:rPr>
        <w:softHyphen/>
        <w:t>лись. Все изготовленные 62 экземпляра про</w:t>
      </w:r>
      <w:r w:rsidRPr="00E93F40">
        <w:rPr>
          <w:rFonts w:ascii="Times New Roman" w:hAnsi="Times New Roman"/>
          <w:color w:val="000000" w:themeColor="text1"/>
          <w:sz w:val="16"/>
          <w:szCs w:val="16"/>
        </w:rPr>
        <w:softHyphen/>
        <w:t>должили эксплуатацию.</w:t>
      </w:r>
    </w:p>
    <w:p w14:paraId="0222588B"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Служба истребителей проходила в основ</w:t>
      </w:r>
      <w:r w:rsidRPr="00E93F40">
        <w:rPr>
          <w:rFonts w:ascii="Times New Roman" w:hAnsi="Times New Roman"/>
          <w:color w:val="000000" w:themeColor="text1"/>
          <w:sz w:val="16"/>
          <w:szCs w:val="16"/>
        </w:rPr>
        <w:softHyphen/>
        <w:t>ном в авиачастях Белорусского военного округа. В июле 1933 г. здесь значилось уже 46 И-7, один находился в Московском военном округе, два состояли в резерве, еще один пе</w:t>
      </w:r>
      <w:r w:rsidRPr="00E93F40">
        <w:rPr>
          <w:rFonts w:ascii="Times New Roman" w:hAnsi="Times New Roman"/>
          <w:color w:val="000000" w:themeColor="text1"/>
          <w:sz w:val="16"/>
          <w:szCs w:val="16"/>
        </w:rPr>
        <w:softHyphen/>
        <w:t>редали в летную школу. До конца 1933 г. ко</w:t>
      </w:r>
      <w:r w:rsidRPr="00E93F40">
        <w:rPr>
          <w:rFonts w:ascii="Times New Roman" w:hAnsi="Times New Roman"/>
          <w:color w:val="000000" w:themeColor="text1"/>
          <w:sz w:val="16"/>
          <w:szCs w:val="16"/>
        </w:rPr>
        <w:softHyphen/>
        <w:t>личество И-7 в войсковых подразделениях довели до 53 единиц, что составляло около 6% всех истребителей ВВС Красной Армии.</w:t>
      </w:r>
    </w:p>
    <w:p w14:paraId="7AAB837D"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20E05F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конца 1932 г. ТБ-3 имели гладкий, а не гофрированный носок крыла. Позднее на передней части фюзеляжа появились поручни, облегчающие покидание пилотской кабины с парашютом, стали перекрывать металлическими лентами щели между фюзеляжем и крылом. Со второй половины 1932 г. У ВВС требовало ввести новые поворачивающиеся подкрыльные башни, но они так и не появились. Все ТБ-3 ранних серий оснащались "штанами" - примитивными выпускными подкрыльными башнями Б-2. Свое прозвище они получили из-за того, что для ног стрелка были сделаны выступы, действительно напоминавшие металлические штаны.</w:t>
      </w:r>
    </w:p>
    <w:p w14:paraId="5AAB6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Чтобы попасть в башню, стрелок должен был проползти по проходу внутри крыла, волоча за собой парашют. Затем вместе с парашютом ему предстояло усесться на сиденье башни и выдвинуться вниз. Сидеть было неудобно, холодно и изрядно поддувало. Пулемет ДА стоял на шкворне и не имел ограничителей: при стрельбе можно было угодить по своему самолету или, еще хуже, по бомбам на наружных держателях. Эти башни признали временными до создания новых вращающихся. Но нет ничего более постоянного, чем временное. "Штаны" сохранились на серийных ТБ-3 надолго.</w:t>
      </w:r>
    </w:p>
    <w:p w14:paraId="7C3175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 направлением совершенствования бомбардировщика тогда являлось увеличение дальности его полета. В первую очередь это было необходимо для условий Забайкалья и Дальнего Востока, где потенциальные цели далекоотстоялиотсоветской границы. По просьбе командования ВВС Особой Краснознаменной Дальневосточной армии (ОКДВА) в ЦАГИ начали проектировать вариант ТБ-3 с форсированными моторами М-17Ф (еще не существовавшими), уменьшенным экипажем, более слабым вооружением, но с той же максимальной бомбовой нагрузкой. По расчетам, с 1000 кг бомб он должен был иметь радиус действия 1200 км против 955 км у серийных самолетов. Отдельные элементы этого проекта попробовали внедрить на экспериментальных машинах, но в целом опытный образец "дальневосточного" бомбардировщика не строился.</w:t>
      </w:r>
    </w:p>
    <w:p w14:paraId="106D7E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Непосредственно в частях впоследствии практиковали облегчение бомбардировщиков за счет снятия подкрыльных башен, балок Дер-15 и Дер-16, а иногда и внутренних бомбовых кассет Дер-9. Это экономило до 400 кг.</w:t>
      </w:r>
    </w:p>
    <w:p w14:paraId="53A4C1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увеличение дальности за счет ослабления бомбового вооружения сокращало боевые возможности самолета. Поэтому стали искать другие пути. В НИИ ВВС пытались "выжать" все возможное из обычного серийного бомбардировщика. Еще в 1932 г. там попробовали поднять дальность полета с полной бомбовой нагрузкой за счет увеличения разрешенного взлетного веса. Его сначала довели до 19 300 кг, а затем до 19 500 кг. Перегруженный самолет пилотировал К.П. Миндер, доказавший возможность эксплуатации машины и при столь большом весе. Правда, взлет получался затянутым, разбег занимал 680 м - для аэродромов того времени это было довольно много. После этоголимиты по взлетному весу для строевых частей пересмотрели. Для ранних серий его официально установили равным 19,5 т, для более поздних - 20 т. У "Муромца" этот показатель составлял не более 8 т. Самой большой бомбой, которую мог увезти ТБ-3, являлась двухтонная АФ-2000 (ФАБ-2000), вешавшаяся снаружи под фюзеляж (12024).</w:t>
      </w:r>
    </w:p>
    <w:p w14:paraId="729E4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C8E9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тормозные колеса к самолету ТБ-3 были построены ЦАГИ. В феврале 1933 года испытания тормозных колес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 (3530,91).</w:t>
      </w:r>
    </w:p>
    <w:p w14:paraId="02AE48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154A3B" w14:textId="77777777" w:rsidR="007F7C1A" w:rsidRPr="00E93F40" w:rsidRDefault="007F7C1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была попытка вновь вернуться к ТБ-5.</w:t>
      </w:r>
    </w:p>
    <w:p w14:paraId="12CDBAFD" w14:textId="77777777" w:rsidR="007F7C1A" w:rsidRPr="00E93F40" w:rsidRDefault="007F7C1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в одном из испытательных полетов под управлением Громова, когда самолет находился на высоте 800 метров, неожиданно началась сильная тряска. Оказалось, что левый задний двигатель сорвался с моторамы и угрожающе повис, зацепившись за шасси. Воздушный винт этого «Юпитера» пробил фюзеляж и уперся в макет бомбы. Вспыхнул бензин. Громов приказал немедленно перекрыть питание двигателей и начал планировать с левым скольжением, пытаясь сбить пламя. В конце концов, ему это удалось, после чего он успешно совершил вынужденную посадку на аэродроме авиационного завода № 22 в подмосковных Филях. После этого случая ТБ-5 до декабря 1932 года оставался в Филях, ремонт его не проводился.</w:t>
      </w:r>
    </w:p>
    <w:p w14:paraId="798B488F" w14:textId="77777777" w:rsidR="007F7C1A" w:rsidRPr="00E93F40" w:rsidRDefault="007F7C1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оценки возможности ремонта бомбардировщика создали комиссию ЦАГИ под руководством В.Н. Чернышева, которая безжалостно раскритиковала самолет: конструкция перетяжелена, схема размещения двигателей неудачна, в полете наблюдались вибрации и т.д. К тому времени на ТБ-5 были демонтированы двигатели, оборудование, приборы, вооружение, и для приведения машины в летное состояние требовались значительные материальные затраты. По оценке комиссии разумно было самолет переделать, разместив двигатели в крыле. Скорость при этом возрастала до 190-200 км/ч, потолок до 4000 метров, но на переделки увеличивались и материальные затраты. Тем не менее, такой вариант модернизации приняли, а сам ТБ-5 решили вернуть для доработки на завод № 39. Однако на совещании в Управлении ВВС признавалось, что ТБ-5 и после столь существенных доработок не удовлетворяет желаемым требованиям. В феврале 1933 года начальник ГУАП П.И. Баранов распорядился: «Самолет разобрать, дальнейшие работы по этому самолету прекратить…» После этого бомбардировщик был отправлен в отдел прочности авиационных конструкций ЦАГИ (18293).</w:t>
      </w:r>
    </w:p>
    <w:p w14:paraId="6F6B8F2E" w14:textId="77777777" w:rsidR="007F7C1A" w:rsidRPr="00E93F40" w:rsidRDefault="007F7C1A" w:rsidP="00E93F40">
      <w:pPr>
        <w:spacing w:after="0" w:line="240" w:lineRule="auto"/>
        <w:jc w:val="both"/>
        <w:rPr>
          <w:rFonts w:ascii="Times New Roman" w:hAnsi="Times New Roman"/>
          <w:color w:val="000000" w:themeColor="text1"/>
          <w:sz w:val="16"/>
          <w:szCs w:val="16"/>
        </w:rPr>
      </w:pPr>
    </w:p>
    <w:p w14:paraId="0C60D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ЦАГИ приступил к проектированию пилотируемого планера - аналога ТБ-6 (АНТ-26) и в 1935 Б.Кудрин летал на нем (7425, 20).</w:t>
      </w:r>
    </w:p>
    <w:p w14:paraId="79B284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A2EB90" w14:textId="77777777" w:rsidR="000B1DD5" w:rsidRPr="00E93F40" w:rsidRDefault="000B1DD5" w:rsidP="000B1DD5">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между ЦАГИ и заводом №39 шли переговоры о внедрении самолета АНТ-21 МИ-3 в серию на заводе №39.</w:t>
      </w:r>
    </w:p>
    <w:p w14:paraId="7733C1E9" w14:textId="77777777" w:rsidR="000B1DD5" w:rsidRPr="00E93F40" w:rsidRDefault="000B1DD5" w:rsidP="000B1DD5">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архиве ОКБ сохранился проект договора между ЦАГИ и заводом №39 о передаче последнему чертежей дублера и всех необходимых материалов для постройки серии МИ-3.</w:t>
      </w:r>
    </w:p>
    <w:p w14:paraId="17A2F63E" w14:textId="77777777" w:rsidR="000B1DD5" w:rsidRPr="00E93F40" w:rsidRDefault="000B1DD5" w:rsidP="000B1DD5">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году подготовка к серийному производству МИ-3 была вновь перенесена на завод №22, и с начала 1933 года ЦАГИ начал передавать заводу №22 конструктивные чертежи для выпуска первой серии, которая по предварительным расчетам должна была состоять из 50 самолетов. Однако, в 1934 году самолет был снят с серийного производства (24198).</w:t>
      </w:r>
    </w:p>
    <w:p w14:paraId="61CD5FE5" w14:textId="77777777" w:rsidR="000B1DD5" w:rsidRPr="00E93F40" w:rsidRDefault="000B1DD5" w:rsidP="000B1DD5">
      <w:pPr>
        <w:spacing w:after="0" w:line="240" w:lineRule="auto"/>
        <w:jc w:val="both"/>
        <w:rPr>
          <w:rFonts w:ascii="Times New Roman" w:hAnsi="Times New Roman"/>
          <w:color w:val="000000" w:themeColor="text1"/>
          <w:sz w:val="16"/>
          <w:szCs w:val="16"/>
        </w:rPr>
      </w:pPr>
    </w:p>
    <w:p w14:paraId="1EE4B6F3" w14:textId="77777777" w:rsidR="000B1DD5" w:rsidRPr="00E93F40" w:rsidRDefault="000B1DD5" w:rsidP="000B1DD5">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До конца 1932 г. в Таганроге собрали всего один «крейсер» Р-6 (АНТ-7). Его про</w:t>
      </w:r>
      <w:r w:rsidRPr="00E93F40">
        <w:rPr>
          <w:rFonts w:ascii="Times New Roman" w:hAnsi="Times New Roman"/>
          <w:color w:val="000000" w:themeColor="text1"/>
          <w:sz w:val="16"/>
          <w:szCs w:val="16"/>
          <w:lang w:eastAsia="ru-RU" w:bidi="ru-RU"/>
        </w:rPr>
        <w:softHyphen/>
        <w:t>изводство передали заводу №31 с завода №22 в Филях, который был сильно перегружен заказами на бомбарди</w:t>
      </w:r>
      <w:r w:rsidRPr="00E93F40">
        <w:rPr>
          <w:rFonts w:ascii="Times New Roman" w:hAnsi="Times New Roman"/>
          <w:color w:val="000000" w:themeColor="text1"/>
          <w:sz w:val="16"/>
          <w:szCs w:val="16"/>
          <w:lang w:eastAsia="ru-RU" w:bidi="ru-RU"/>
        </w:rPr>
        <w:softHyphen/>
        <w:t>ровщики. С него в 1932 г. получили документацию и само</w:t>
      </w:r>
      <w:r w:rsidRPr="00E93F40">
        <w:rPr>
          <w:rFonts w:ascii="Times New Roman" w:hAnsi="Times New Roman"/>
          <w:color w:val="000000" w:themeColor="text1"/>
          <w:sz w:val="16"/>
          <w:szCs w:val="16"/>
          <w:lang w:eastAsia="ru-RU" w:bidi="ru-RU"/>
        </w:rPr>
        <w:softHyphen/>
        <w:t>лет-эталон. В Москве же производство стало сворачиваться. Узлы пя</w:t>
      </w:r>
      <w:r w:rsidRPr="00E93F40">
        <w:rPr>
          <w:rFonts w:ascii="Times New Roman" w:hAnsi="Times New Roman"/>
          <w:color w:val="000000" w:themeColor="text1"/>
          <w:sz w:val="16"/>
          <w:szCs w:val="16"/>
          <w:lang w:eastAsia="ru-RU" w:bidi="ru-RU"/>
        </w:rPr>
        <w:softHyphen/>
        <w:t>ти машин 6-й серии также отгрузили в Таганрог.</w:t>
      </w:r>
    </w:p>
    <w:p w14:paraId="474B4B30" w14:textId="77777777" w:rsidR="000B1DD5" w:rsidRPr="00E93F40" w:rsidRDefault="000B1DD5" w:rsidP="000B1DD5">
      <w:pPr>
        <w:spacing w:after="0" w:line="240" w:lineRule="auto"/>
        <w:jc w:val="both"/>
        <w:rPr>
          <w:rFonts w:ascii="Times New Roman" w:hAnsi="Times New Roman"/>
          <w:color w:val="000000" w:themeColor="text1"/>
          <w:sz w:val="16"/>
          <w:szCs w:val="16"/>
          <w:lang w:eastAsia="ru-RU" w:bidi="ru-RU"/>
        </w:rPr>
      </w:pPr>
      <w:r w:rsidRPr="00E93F40">
        <w:rPr>
          <w:rFonts w:ascii="Times New Roman" w:hAnsi="Times New Roman"/>
          <w:color w:val="000000" w:themeColor="text1"/>
          <w:sz w:val="16"/>
          <w:szCs w:val="16"/>
          <w:lang w:eastAsia="ru-RU" w:bidi="ru-RU"/>
        </w:rPr>
        <w:t>Кроме того, в Таганроге переоборудовали в поплавковый вариант Р-6а самолет №2202. Его установили на цельнометалличес</w:t>
      </w:r>
      <w:r w:rsidRPr="00E93F40">
        <w:rPr>
          <w:rFonts w:ascii="Times New Roman" w:hAnsi="Times New Roman"/>
          <w:color w:val="000000" w:themeColor="text1"/>
          <w:sz w:val="16"/>
          <w:szCs w:val="16"/>
          <w:lang w:eastAsia="ru-RU" w:bidi="ru-RU"/>
        </w:rPr>
        <w:softHyphen/>
        <w:t>кие поплавки типа «Ж», такие же, как на ТБ-1. По плану по</w:t>
      </w:r>
      <w:r w:rsidRPr="00E93F40">
        <w:rPr>
          <w:rFonts w:ascii="Times New Roman" w:hAnsi="Times New Roman"/>
          <w:color w:val="000000" w:themeColor="text1"/>
          <w:sz w:val="16"/>
          <w:szCs w:val="16"/>
          <w:lang w:eastAsia="ru-RU" w:bidi="ru-RU"/>
        </w:rPr>
        <w:softHyphen/>
        <w:t>плавковый Р-6а надо было предъявить на испытания к 1 сентября 1932 г., но перегруженный завод смог сдать первую машину лишь 30 декабря (20325).</w:t>
      </w:r>
    </w:p>
    <w:p w14:paraId="2E905225" w14:textId="77777777" w:rsidR="000B1DD5" w:rsidRPr="00E93F40" w:rsidRDefault="000B1DD5" w:rsidP="000B1DD5">
      <w:pPr>
        <w:spacing w:after="0" w:line="240" w:lineRule="auto"/>
        <w:jc w:val="both"/>
        <w:rPr>
          <w:rFonts w:ascii="Times New Roman" w:hAnsi="Times New Roman"/>
          <w:color w:val="000000" w:themeColor="text1"/>
          <w:sz w:val="16"/>
          <w:szCs w:val="16"/>
        </w:rPr>
      </w:pPr>
    </w:p>
    <w:p w14:paraId="71AC29E2"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конца 1932 г. на заводе № 31 в Таганроге собрали всего один «крейсер» Р-6 (24977).</w:t>
      </w:r>
    </w:p>
    <w:p w14:paraId="74CFB823" w14:textId="77777777" w:rsidR="000B1DD5" w:rsidRPr="00142305" w:rsidRDefault="000B1DD5" w:rsidP="000B1DD5">
      <w:pPr>
        <w:spacing w:after="0" w:line="240" w:lineRule="auto"/>
        <w:jc w:val="both"/>
        <w:rPr>
          <w:rFonts w:ascii="Times New Roman" w:hAnsi="Times New Roman"/>
          <w:color w:val="0070C0"/>
          <w:sz w:val="16"/>
          <w:szCs w:val="16"/>
        </w:rPr>
      </w:pPr>
    </w:p>
    <w:p w14:paraId="5FD80C6D" w14:textId="77777777" w:rsidR="000B1DD5" w:rsidRPr="00E93F40" w:rsidRDefault="000B1DD5" w:rsidP="000B1DD5">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Р-6 поставили на поплавки типа Ж и он стал КР-6Т или МР-6 (Р-6а), но в 1934, а испытывали в 1935 с ТАН-12 с ОТБ с хвостовиком и ТАН-15. Сделали 100 КР-6А, но лишь немногие были с торпедными мостами. Маневренность была плохой и мало выигрывал по сравнению с ТБ-1 (561,8).</w:t>
      </w:r>
    </w:p>
    <w:p w14:paraId="7E619938" w14:textId="77777777" w:rsidR="000B1DD5" w:rsidRPr="00E93F40" w:rsidRDefault="000B1DD5" w:rsidP="000B1DD5">
      <w:pPr>
        <w:autoSpaceDE w:val="0"/>
        <w:autoSpaceDN w:val="0"/>
        <w:adjustRightInd w:val="0"/>
        <w:spacing w:after="0" w:line="240" w:lineRule="auto"/>
        <w:jc w:val="both"/>
        <w:rPr>
          <w:rFonts w:ascii="Times New Roman" w:hAnsi="Times New Roman"/>
          <w:color w:val="000000" w:themeColor="text1"/>
          <w:sz w:val="16"/>
          <w:szCs w:val="16"/>
        </w:rPr>
      </w:pPr>
    </w:p>
    <w:p w14:paraId="641FF457"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конце 1932 г. группа «сомневающихся» написала письмо в ЦК ВКП(б), в ответ на которое на завод была направлена комиссия ВВС. Она не нашла в конструкции К-7 дефектов.</w:t>
      </w:r>
    </w:p>
    <w:p w14:paraId="38EDA917"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ходе постройки самолета 18 конструкторов ХАЗОС (в основном, молодых и не имеющих практического опыта) высказала сомнения в прочности и жесткости каркаса К-7, что подтверждалось поломками отдельных узлов на статиспытаниях, а также случаями аварий самолетов с аналогичным каркасом за рубежом из-за бафтинга. </w:t>
      </w:r>
    </w:p>
    <w:p w14:paraId="107C9806"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этого начальник ГУАП П.И. Баранов предложил сомневающимся перейти на работу на другие предприятия или в ВУЗы, а работа по К-7 продолжилась. Чтобы погасить конфликт, Президиум ЦКК и комиссия при ЦКИ СССР 16.03.33 г. издали специальное постановление «О состоянии ХАЗ» (харьковского авиазавода № 135) (23098).</w:t>
      </w:r>
    </w:p>
    <w:p w14:paraId="16E0C84B" w14:textId="77777777" w:rsidR="00DC3940" w:rsidRPr="00E93F40" w:rsidRDefault="00DC3940" w:rsidP="00E93F40">
      <w:pPr>
        <w:spacing w:after="0" w:line="240" w:lineRule="auto"/>
        <w:jc w:val="both"/>
        <w:rPr>
          <w:rFonts w:ascii="Times New Roman" w:hAnsi="Times New Roman"/>
          <w:color w:val="000000" w:themeColor="text1"/>
          <w:sz w:val="16"/>
          <w:szCs w:val="16"/>
          <w:lang w:eastAsia="ru-RU" w:bidi="ru-RU"/>
        </w:rPr>
      </w:pPr>
    </w:p>
    <w:p w14:paraId="7F58EE65" w14:textId="77777777" w:rsidR="00592142" w:rsidRPr="00E93F40" w:rsidRDefault="005921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группа «сомневающихся» написала письмо в ЦК ВКП(б), в ответ на которое на завод была направлена комиссия ВВС. Она не нашла в конструкции дефектов. После этого начальник Главного управления авиапромышленности (ГУАП, входил в состав Наркомата тяжелой промышленности СССР) П.И. Баранов предложил сомневающимся перейти на работу на другие предприятия или в ВУЗы, а работа по К-7 продолжилась. Чтобы погасить конфликт, 6 марта 1933 г. Президиум ЦКК и комиссия при ЦКИ СССР издали специальное постановление «О состоянии ХАЗ» (харьковского авиазавода №135 – авт.), в котором указали на необходимость соблюдения трудовой субординации и подтвердили возможность перейти на другую работу для тех, кто не согласен с технической политикой руководства завода ХАЗОС (23561).</w:t>
      </w:r>
    </w:p>
    <w:p w14:paraId="11BEA436" w14:textId="77777777" w:rsidR="00592142" w:rsidRPr="00E93F40" w:rsidRDefault="00592142" w:rsidP="00E93F40">
      <w:pPr>
        <w:spacing w:after="0" w:line="240" w:lineRule="auto"/>
        <w:jc w:val="both"/>
        <w:rPr>
          <w:rFonts w:ascii="Times New Roman" w:hAnsi="Times New Roman"/>
          <w:color w:val="000000" w:themeColor="text1"/>
          <w:sz w:val="16"/>
          <w:szCs w:val="16"/>
        </w:rPr>
      </w:pPr>
    </w:p>
    <w:p w14:paraId="0CF99CBC" w14:textId="77777777"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xml:space="preserve"> конца 1932 г. до 1935 г. в КБ Завода опытных конструкций НИИ Гражданского воздушного флота (там же, где в этот период работал Роберто Бартини) велась работа Витторио Изакко (Vittorio Isacco) - итальянского конструктора оригинального типа летательных аппаратов по проектированию первого советского геликожира. В носовой части фюзеляжа был установлен двигатель Райт J-6 мощностью 300 л.с. с тянущим винтом, на лопастях стояли моторы «Джипси III» мощностью 120 л.с. с четырехлопастными винтами. Аппарат был шестиместный (летчик и пять пассажиров). Четырехлопастный несущий винт имел огромный для того времени диаметр 24,4 м (21410).</w:t>
      </w:r>
    </w:p>
    <w:p w14:paraId="5EFE8A7F" w14:textId="77777777" w:rsidR="00DC3940" w:rsidRPr="00E93F40" w:rsidRDefault="00DC3940" w:rsidP="00E93F40">
      <w:pPr>
        <w:spacing w:after="0" w:line="240" w:lineRule="auto"/>
        <w:jc w:val="both"/>
        <w:rPr>
          <w:rFonts w:ascii="Times New Roman" w:hAnsi="Times New Roman"/>
          <w:color w:val="000000" w:themeColor="text1"/>
          <w:sz w:val="16"/>
          <w:szCs w:val="16"/>
        </w:rPr>
      </w:pPr>
    </w:p>
    <w:p w14:paraId="2D892A6A" w14:textId="77777777" w:rsidR="00207816" w:rsidRPr="00E93F40" w:rsidRDefault="002078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решался вопрос о постановке пассажирского АНТ—16 в серию на заво</w:t>
      </w:r>
      <w:r w:rsidRPr="00E93F40">
        <w:rPr>
          <w:rFonts w:ascii="Times New Roman" w:hAnsi="Times New Roman"/>
          <w:color w:val="000000" w:themeColor="text1"/>
          <w:sz w:val="16"/>
          <w:szCs w:val="16"/>
        </w:rPr>
        <w:softHyphen/>
        <w:t>де № 22. Документы о дальнейшей судьбе проекта пока не найдены (23474).</w:t>
      </w:r>
    </w:p>
    <w:p w14:paraId="022CF655" w14:textId="77777777" w:rsidR="00207816" w:rsidRPr="00E93F40" w:rsidRDefault="00207816" w:rsidP="00E93F40">
      <w:pPr>
        <w:spacing w:after="0" w:line="240" w:lineRule="auto"/>
        <w:jc w:val="both"/>
        <w:rPr>
          <w:rFonts w:ascii="Times New Roman" w:hAnsi="Times New Roman"/>
          <w:color w:val="000000" w:themeColor="text1"/>
          <w:sz w:val="16"/>
          <w:szCs w:val="16"/>
        </w:rPr>
      </w:pPr>
    </w:p>
    <w:p w14:paraId="262C0A91"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 первый заказ военных из 10 самолётов Ш-2 таганрогским заводом был выполнен По плану разви</w:t>
      </w:r>
      <w:r w:rsidRPr="00142305">
        <w:rPr>
          <w:rFonts w:ascii="Times New Roman" w:hAnsi="Times New Roman"/>
          <w:color w:val="0070C0"/>
          <w:sz w:val="16"/>
          <w:szCs w:val="16"/>
        </w:rPr>
        <w:softHyphen/>
        <w:t>тия ВВС, к 1 сентября их рассчитывали иметь уже 30, а к 1 января 1934 г. - 35. Большую часть амфибий намеревались передать Ейской школе морских летчиков им. Сталина. По два самолёта планиро</w:t>
      </w:r>
      <w:r w:rsidRPr="00142305">
        <w:rPr>
          <w:rFonts w:ascii="Times New Roman" w:hAnsi="Times New Roman"/>
          <w:color w:val="0070C0"/>
          <w:sz w:val="16"/>
          <w:szCs w:val="16"/>
        </w:rPr>
        <w:softHyphen/>
        <w:t>вали выдать 12-й драэ, 69-му речному рао, 3-й драэ и 8-й драэ. В мае 1933 г. десятью Ш-2 хотели укомплектовать от</w:t>
      </w:r>
      <w:r w:rsidRPr="00142305">
        <w:rPr>
          <w:rFonts w:ascii="Times New Roman" w:hAnsi="Times New Roman"/>
          <w:color w:val="0070C0"/>
          <w:sz w:val="16"/>
          <w:szCs w:val="16"/>
        </w:rPr>
        <w:softHyphen/>
        <w:t>ряд ближней разведки и связи на Амуре. В 1934 г. рассчитывали сформировать на амфибиях Шаврова два звена особого назначения в Петропавловске-Камчат</w:t>
      </w:r>
      <w:r w:rsidRPr="00142305">
        <w:rPr>
          <w:rFonts w:ascii="Times New Roman" w:hAnsi="Times New Roman"/>
          <w:color w:val="0070C0"/>
          <w:sz w:val="16"/>
          <w:szCs w:val="16"/>
        </w:rPr>
        <w:softHyphen/>
        <w:t>ском.</w:t>
      </w:r>
    </w:p>
    <w:p w14:paraId="029E334C"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военное время парк собирались пополнить за счёт техники ГВФ. Так, по мобилизационному плану 1933 г. из граж</w:t>
      </w:r>
      <w:r w:rsidRPr="00142305">
        <w:rPr>
          <w:rFonts w:ascii="Times New Roman" w:hAnsi="Times New Roman"/>
          <w:color w:val="0070C0"/>
          <w:sz w:val="16"/>
          <w:szCs w:val="16"/>
        </w:rPr>
        <w:softHyphen/>
        <w:t>данской авиации должны были передать в ВВС 20 Ш-2 (24952).</w:t>
      </w:r>
    </w:p>
    <w:p w14:paraId="0A229D31" w14:textId="77777777" w:rsidR="000B1DD5" w:rsidRPr="00142305" w:rsidRDefault="000B1DD5" w:rsidP="000B1DD5">
      <w:pPr>
        <w:spacing w:after="0" w:line="240" w:lineRule="auto"/>
        <w:jc w:val="both"/>
        <w:rPr>
          <w:rFonts w:ascii="Times New Roman" w:hAnsi="Times New Roman"/>
          <w:color w:val="0070C0"/>
          <w:sz w:val="16"/>
          <w:szCs w:val="16"/>
        </w:rPr>
      </w:pPr>
    </w:p>
    <w:p w14:paraId="11F2DBD8" w14:textId="77777777" w:rsidR="00207816" w:rsidRPr="00E93F40" w:rsidRDefault="002078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появились результаты исследований НИИ ВВС «Предварительные иссле</w:t>
      </w:r>
      <w:r w:rsidRPr="00E93F40">
        <w:rPr>
          <w:rFonts w:ascii="Times New Roman" w:hAnsi="Times New Roman"/>
          <w:color w:val="000000" w:themeColor="text1"/>
          <w:sz w:val="16"/>
          <w:szCs w:val="16"/>
        </w:rPr>
        <w:softHyphen/>
        <w:t>дования убираемого шасси и возмож</w:t>
      </w:r>
      <w:r w:rsidRPr="00E93F40">
        <w:rPr>
          <w:rFonts w:ascii="Times New Roman" w:hAnsi="Times New Roman"/>
          <w:color w:val="000000" w:themeColor="text1"/>
          <w:sz w:val="16"/>
          <w:szCs w:val="16"/>
        </w:rPr>
        <w:softHyphen/>
        <w:t>ность применения его к монопланам с высоким и низким расположением крыла». В нем обобщался опыт стран Запада и в первую очередь США. Помимо пневматической системы, в отчете рассматривались американская рычажная система с уборкой шасси в борта фюзеляжа, червячная система уборки и тросово-рычажная.</w:t>
      </w:r>
    </w:p>
    <w:p w14:paraId="2CE8B375" w14:textId="77777777" w:rsidR="00207816" w:rsidRPr="00E93F40" w:rsidRDefault="002078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Поликарпов всесторонне проанализи</w:t>
      </w:r>
      <w:r w:rsidRPr="00E93F40">
        <w:rPr>
          <w:rFonts w:ascii="Times New Roman" w:hAnsi="Times New Roman"/>
          <w:color w:val="000000" w:themeColor="text1"/>
          <w:sz w:val="16"/>
          <w:szCs w:val="16"/>
        </w:rPr>
        <w:softHyphen/>
        <w:t>ровал достоинства и недостатки каждой схемы, возможности нашей авиапромыш</w:t>
      </w:r>
      <w:r w:rsidRPr="00E93F40">
        <w:rPr>
          <w:rFonts w:ascii="Times New Roman" w:hAnsi="Times New Roman"/>
          <w:color w:val="000000" w:themeColor="text1"/>
          <w:sz w:val="16"/>
          <w:szCs w:val="16"/>
        </w:rPr>
        <w:softHyphen/>
        <w:t>ленности по скорейшему освоению ее в серийном производстве, надежность в эксплуатации, оценил простоту обслужи</w:t>
      </w:r>
      <w:r w:rsidRPr="00E93F40">
        <w:rPr>
          <w:rFonts w:ascii="Times New Roman" w:hAnsi="Times New Roman"/>
          <w:color w:val="000000" w:themeColor="text1"/>
          <w:sz w:val="16"/>
          <w:szCs w:val="16"/>
        </w:rPr>
        <w:softHyphen/>
        <w:t>вания. Американская рычажная система его не вполне устраивала из-за узкой ко</w:t>
      </w:r>
      <w:r w:rsidRPr="00E93F40">
        <w:rPr>
          <w:rFonts w:ascii="Times New Roman" w:hAnsi="Times New Roman"/>
          <w:color w:val="000000" w:themeColor="text1"/>
          <w:sz w:val="16"/>
          <w:szCs w:val="16"/>
        </w:rPr>
        <w:softHyphen/>
        <w:t>леи шасси, хотя он и допускал ее приме</w:t>
      </w:r>
      <w:r w:rsidRPr="00E93F40">
        <w:rPr>
          <w:rFonts w:ascii="Times New Roman" w:hAnsi="Times New Roman"/>
          <w:color w:val="000000" w:themeColor="text1"/>
          <w:sz w:val="16"/>
          <w:szCs w:val="16"/>
        </w:rPr>
        <w:softHyphen/>
        <w:t>нение в некоторых конструкциях. Пнев</w:t>
      </w:r>
      <w:r w:rsidRPr="00E93F40">
        <w:rPr>
          <w:rFonts w:ascii="Times New Roman" w:hAnsi="Times New Roman"/>
          <w:color w:val="000000" w:themeColor="text1"/>
          <w:sz w:val="16"/>
          <w:szCs w:val="16"/>
        </w:rPr>
        <w:softHyphen/>
        <w:t>матическая и червячная системы уборки требовали надлежащего уровня культуры производства и эксплуатации, чего в те годы у нас явно не хватало. Поэтому он остановился на тросово-рычажной системе уборки, надеясь в дальнейшем заменить ее пневматической (23455).</w:t>
      </w:r>
    </w:p>
    <w:p w14:paraId="76394CA4" w14:textId="77777777" w:rsidR="00207816" w:rsidRPr="00E93F40" w:rsidRDefault="00207816" w:rsidP="00E93F40">
      <w:pPr>
        <w:spacing w:after="0" w:line="240" w:lineRule="auto"/>
        <w:jc w:val="both"/>
        <w:rPr>
          <w:rFonts w:ascii="Times New Roman" w:hAnsi="Times New Roman"/>
          <w:color w:val="000000" w:themeColor="text1"/>
          <w:sz w:val="16"/>
          <w:szCs w:val="16"/>
        </w:rPr>
      </w:pPr>
    </w:p>
    <w:p w14:paraId="0F3E382D" w14:textId="77777777" w:rsidR="00207816" w:rsidRPr="00E93F40" w:rsidRDefault="002078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на Казмашстрое работало 36580 человек. Большинство из них было занято земляными работами, были землекопами и грабарями (грабарка - телега для перевозки земли). До июля 1939 г. строительством заводов и организацией производства на них занималось единое руководство.</w:t>
      </w:r>
    </w:p>
    <w:p w14:paraId="60FDCEEB" w14:textId="46B5988F" w:rsidR="00207816" w:rsidRPr="00E93F40" w:rsidRDefault="002078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Первым начальником строительства стал Кузьма Дмитриевич Кузнецов, работавший до этого секретарем парткома строительства Горьковского автозавода. Кузьма Дмитриевич, как многие другие командиры производства того времени не имел инженерного образования, не имел отношения к авиастроению и даже строительное дело знал как партийный функционер, а не как специалист. Тем не менее, именно при нем</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закладывался завод, а вернее два завода. Но это был человек своего времени, романтик и реалист. Вот что он сказал во время торжественной закладки первого камня строительства: «Самолет – символ скорости, ударных темпов. Все строители будущего авиазавода обязаны сверх ударными темпами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своей работы подтвердить это на всех участках крупномасштабного строительства».</w:t>
      </w:r>
    </w:p>
    <w:p w14:paraId="03F7EC89" w14:textId="77777777" w:rsidR="00207816" w:rsidRPr="00E93F40" w:rsidRDefault="0020781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Стройка была объявлена обкомом партии ударной. Импульс был получен мощный. Уже 15 мая 1932 г. заработал силикатный завод. 11 июня прибыла группа иностранных специалистов в количестве 95 человек. И это были не только инженеры. Механики, арматурщики, бетонщики и даже плотники и столяры. Инициаторы Авиастроя замахнулись на строительство грандиозного авиационного завода заводов, а основная масса строителей была крестьянами, не имевшими строительных специальностей, и их нужно было учить строить промышленные предприятия. Среди иностранных специалистов были коммунисты. Они организовали свою партячейку (24156). </w:t>
      </w:r>
    </w:p>
    <w:p w14:paraId="415DF484" w14:textId="77777777" w:rsidR="00207816" w:rsidRPr="00E93F40" w:rsidRDefault="00207816" w:rsidP="00E93F40">
      <w:pPr>
        <w:spacing w:after="0" w:line="240" w:lineRule="auto"/>
        <w:jc w:val="both"/>
        <w:rPr>
          <w:rFonts w:ascii="Times New Roman" w:hAnsi="Times New Roman"/>
          <w:color w:val="000000" w:themeColor="text1"/>
          <w:sz w:val="16"/>
          <w:szCs w:val="16"/>
        </w:rPr>
      </w:pPr>
    </w:p>
    <w:p w14:paraId="66141ECC" w14:textId="499A593A" w:rsidR="00DC3940" w:rsidRPr="00E93F40" w:rsidRDefault="00DC394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Меженинов, будучи уже начальником штаба ВВС РККА, вновь побывал в Германии, а также посетил авиационную выставку во Франции. На этот раз вместе с ним были командированы инженер-моторист НИИ ВВС Рогов и инженер-самолетчик военного отдела Гражданского воздушного флота (ВО ГВФ) Путилов27. Главной целью их поездки было изучение германской авиационной промышленности. Они побывали на крупнейших моторостроительных заводах («Юнкерс», «Сименс», «Хирт», БМВ, «Аргус», «Майбах», «Даймлер»), ознакомились с новейшими немецкими самолетами-истребителями «Хейнкель», «Фокке-Вульф», «Арадо», бомбардировщиками «Дорнье», «Юнкерс-38», «Юнкерс-52», стратосферным самолетом «Юнкерс», морскими самолетами «Дорнье» и «Хейнкель», посетили летные школы рейхсвера в Шлосгейме (под Мюнхеном) и в Брауншвейге. По завершении визита Меженинов встретился с профессором Х. Юнкерсом, который высказал претензии к советской стороне в связи с якобы незаконным использованием советской авиапромышленностью патентов на строительство авиатехники его фирмы. По возвращении в Москву Меженинов доложил наркому обороны об основных результатах командировки, которая была признана полезной (21412).</w:t>
      </w:r>
    </w:p>
    <w:p w14:paraId="2CEE7132" w14:textId="77777777" w:rsidR="00DC3940" w:rsidRPr="00E93F40" w:rsidRDefault="00DC3940" w:rsidP="00E93F40">
      <w:pPr>
        <w:spacing w:after="0" w:line="240" w:lineRule="auto"/>
        <w:jc w:val="both"/>
        <w:rPr>
          <w:rFonts w:ascii="Times New Roman" w:hAnsi="Times New Roman"/>
          <w:color w:val="000000" w:themeColor="text1"/>
          <w:sz w:val="16"/>
          <w:szCs w:val="16"/>
        </w:rPr>
      </w:pPr>
    </w:p>
    <w:p w14:paraId="50913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УВВС передало промышленности требования к эталону на следующий год. В них записали снижение массы сразу на 300 кг! Даже специалисты НИИ ВВС заявляли, что это требование невыполнимо. Более того, все остальные пункты приводили к возрастанию веса. Предусматривалось новое шасси с большим выносом колес вперед и тормозами. Предполагалась модернизация оборудования, электрификация бомбового вооружения.</w:t>
      </w:r>
    </w:p>
    <w:p w14:paraId="6D646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Снижать вес можно было либо применением новых материалов и изменением технологии, либо за счет снятия части оборудования и вооружения. УВВС оба варианта не устраивали: первый приводил к задержке массового выпуска, второй - к снижению боевой эффективности. Поэтому с ростом веса пришлось смириться. Самолет-эталон 1933 г. получил новое шасси и усиленную первую раму фюзеляжа, а в остальном планер не изменился.</w:t>
      </w:r>
    </w:p>
    <w:p w14:paraId="3F2A0B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Немало хлопот доставила модернизация оборудования. Многого просто не существовало. Вплоть до середины апреля эталон 1933 г. простоял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4B07C4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Длительная возня с подготовкой эталона привела к тому, что большую часть самолетов выпуска 1933 г. сделали по стандарту предыдущего года. Лишь с лета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0415D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55373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43102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w:t>
      </w:r>
      <w:r w:rsidRPr="00E93F40">
        <w:rPr>
          <w:rFonts w:ascii="Times New Roman" w:hAnsi="Times New Roman"/>
          <w:color w:val="000000" w:themeColor="text1"/>
          <w:sz w:val="16"/>
          <w:szCs w:val="16"/>
        </w:rPr>
        <w:lastRenderedPageBreak/>
        <w:t>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5D4B3E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2A988F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93B9737" w14:textId="77777777" w:rsidR="006D2528" w:rsidRPr="00E93F40" w:rsidRDefault="006D2528"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высотные самолёты обоих проектов (ЦАГИ и БНЛ) находились на начальной стадии постройки (СС – с опережением по сравнению с БНК-4). Их выход на испытания планировался на 4-й квартал 1933 г. (19876).</w:t>
      </w:r>
    </w:p>
    <w:p w14:paraId="0E2505C8" w14:textId="77777777" w:rsidR="006D2528" w:rsidRPr="00E93F40" w:rsidRDefault="006D2528" w:rsidP="00E93F40">
      <w:pPr>
        <w:shd w:val="clear" w:color="auto" w:fill="FFFFFF"/>
        <w:spacing w:after="0" w:line="240" w:lineRule="auto"/>
        <w:jc w:val="both"/>
        <w:rPr>
          <w:rFonts w:ascii="Times New Roman" w:hAnsi="Times New Roman"/>
          <w:color w:val="000000" w:themeColor="text1"/>
          <w:sz w:val="16"/>
          <w:szCs w:val="16"/>
        </w:rPr>
      </w:pPr>
    </w:p>
    <w:p w14:paraId="39CAE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разбили десантный планер Г-63 Б.Д.Урлапова, сделанный у П.И.Гроховского. Испытывал его В.А.Степанченок. Решили восстановить и доработать (94,21).</w:t>
      </w:r>
    </w:p>
    <w:p w14:paraId="37FCCC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84AA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Бригада № 6, бывшая Бригада Особых Конструкций имела в своем составе 34 человека (7508, 54-58).</w:t>
      </w:r>
    </w:p>
    <w:p w14:paraId="63F54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712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в ЦАГИ началась постройка БОК-1, который был спроектирован в 1931 году еще в бытность Бюро в ЦАГИ. С февраля 1933 года производство продолжалось на заводе № 39 им. Менжинского, куда было переведено Бюро (7851).</w:t>
      </w:r>
    </w:p>
    <w:p w14:paraId="13AD95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55DBB55"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началась постройка БОК-1.</w:t>
      </w:r>
    </w:p>
    <w:p w14:paraId="77E8669F"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ускорения работ использовали уко</w:t>
      </w:r>
      <w:r w:rsidRPr="00E93F40">
        <w:rPr>
          <w:rFonts w:ascii="Times New Roman" w:hAnsi="Times New Roman"/>
          <w:color w:val="000000" w:themeColor="text1"/>
          <w:sz w:val="16"/>
          <w:szCs w:val="16"/>
        </w:rPr>
        <w:softHyphen/>
        <w:t>роченное крыло самолета РД, но фюзеляж был совершенно новым. Это позволило, заимствовав от него некоторые агрегаты, сократить сроки создания стратоплаион БОК-1 и БОК-7.</w:t>
      </w:r>
    </w:p>
    <w:p w14:paraId="29B5CB30"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БОК-1 был экспериментальным само</w:t>
      </w:r>
      <w:r w:rsidRPr="00E93F40">
        <w:rPr>
          <w:rFonts w:ascii="Times New Roman" w:hAnsi="Times New Roman"/>
          <w:color w:val="000000" w:themeColor="text1"/>
          <w:sz w:val="16"/>
          <w:szCs w:val="16"/>
        </w:rPr>
        <w:softHyphen/>
        <w:t>летом, предназначавшимся для исследо</w:t>
      </w:r>
      <w:r w:rsidRPr="00E93F40">
        <w:rPr>
          <w:rFonts w:ascii="Times New Roman" w:hAnsi="Times New Roman"/>
          <w:color w:val="000000" w:themeColor="text1"/>
          <w:sz w:val="16"/>
          <w:szCs w:val="16"/>
        </w:rPr>
        <w:softHyphen/>
        <w:t>ваний аэродинамики на больших высотах, герметичной кабины, выводов органов управления из гермокабины, обеспечения работы приборов, создания для экипажа нормальных условий для жизни и работы, а также подбора винтомоторной группы.</w:t>
      </w:r>
    </w:p>
    <w:p w14:paraId="3E40B9CB"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облегчения машины шасси с масля- но-пневматической амортизацией и коле</w:t>
      </w:r>
      <w:r w:rsidRPr="00E93F40">
        <w:rPr>
          <w:rFonts w:ascii="Times New Roman" w:hAnsi="Times New Roman"/>
          <w:color w:val="000000" w:themeColor="text1"/>
          <w:sz w:val="16"/>
          <w:szCs w:val="16"/>
        </w:rPr>
        <w:softHyphen/>
        <w:t>сами размером 900x200 мм сделали неуби рающимся, но с обтекателями на колесах.</w:t>
      </w:r>
    </w:p>
    <w:p w14:paraId="542473EA"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Герметичную кабину объемом 1,8 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xml:space="preserve"> и рассчитанную на экипаж из двух человек сделали вкладной сверху в фюзеляж моно- коковой конструкции. Гермокабина была обшита 2-миллиметровым листовым дю</w:t>
      </w:r>
      <w:r w:rsidRPr="00E93F40">
        <w:rPr>
          <w:rFonts w:ascii="Times New Roman" w:hAnsi="Times New Roman"/>
          <w:color w:val="000000" w:themeColor="text1"/>
          <w:sz w:val="16"/>
          <w:szCs w:val="16"/>
        </w:rPr>
        <w:softHyphen/>
        <w:t>ралюминием с двухрядным заклепочным швом и для герметичности промазанным перед клепкой свинцовыми белилами. Об</w:t>
      </w:r>
      <w:r w:rsidRPr="00E93F40">
        <w:rPr>
          <w:rFonts w:ascii="Times New Roman" w:hAnsi="Times New Roman"/>
          <w:color w:val="000000" w:themeColor="text1"/>
          <w:sz w:val="16"/>
          <w:szCs w:val="16"/>
        </w:rPr>
        <w:softHyphen/>
        <w:t>зор из нее производился через семь кру</w:t>
      </w:r>
      <w:r w:rsidRPr="00E93F40">
        <w:rPr>
          <w:rFonts w:ascii="Times New Roman" w:hAnsi="Times New Roman"/>
          <w:color w:val="000000" w:themeColor="text1"/>
          <w:sz w:val="16"/>
          <w:szCs w:val="16"/>
        </w:rPr>
        <w:softHyphen/>
        <w:t>глых иллюминаторов с двойными стекла</w:t>
      </w:r>
      <w:r w:rsidRPr="00E93F40">
        <w:rPr>
          <w:rFonts w:ascii="Times New Roman" w:hAnsi="Times New Roman"/>
          <w:color w:val="000000" w:themeColor="text1"/>
          <w:sz w:val="16"/>
          <w:szCs w:val="16"/>
        </w:rPr>
        <w:softHyphen/>
        <w:t>ми толщиной 15-16 мм и 3-4 мм соответ</w:t>
      </w:r>
      <w:r w:rsidRPr="00E93F40">
        <w:rPr>
          <w:rFonts w:ascii="Times New Roman" w:hAnsi="Times New Roman"/>
          <w:color w:val="000000" w:themeColor="text1"/>
          <w:sz w:val="16"/>
          <w:szCs w:val="16"/>
        </w:rPr>
        <w:softHyphen/>
        <w:t>ственно. От запотевания предусмотрели обдув с внутренней стороны воздухом от вентилятора. Между стеклами расположи</w:t>
      </w:r>
      <w:r w:rsidRPr="00E93F40">
        <w:rPr>
          <w:rFonts w:ascii="Times New Roman" w:hAnsi="Times New Roman"/>
          <w:color w:val="000000" w:themeColor="text1"/>
          <w:sz w:val="16"/>
          <w:szCs w:val="16"/>
        </w:rPr>
        <w:softHyphen/>
        <w:t>ли хлористый кальций с селикогелем. Зву- ко- и теплоизоляция гермокабины была из войлока. Все это сильно напоминало под</w:t>
      </w:r>
      <w:r w:rsidRPr="00E93F40">
        <w:rPr>
          <w:rFonts w:ascii="Times New Roman" w:hAnsi="Times New Roman"/>
          <w:color w:val="000000" w:themeColor="text1"/>
          <w:sz w:val="16"/>
          <w:szCs w:val="16"/>
        </w:rPr>
        <w:softHyphen/>
        <w:t>водную лодку с аналогичной системой ре</w:t>
      </w:r>
      <w:r w:rsidRPr="00E93F40">
        <w:rPr>
          <w:rFonts w:ascii="Times New Roman" w:hAnsi="Times New Roman"/>
          <w:color w:val="000000" w:themeColor="text1"/>
          <w:sz w:val="16"/>
          <w:szCs w:val="16"/>
        </w:rPr>
        <w:softHyphen/>
        <w:t>генерации атмосферы.</w:t>
      </w:r>
    </w:p>
    <w:p w14:paraId="157FC9AD"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Жизнедеятельность экипажа обеспечи</w:t>
      </w:r>
      <w:r w:rsidRPr="00E93F40">
        <w:rPr>
          <w:rFonts w:ascii="Times New Roman" w:hAnsi="Times New Roman"/>
          <w:color w:val="000000" w:themeColor="text1"/>
          <w:sz w:val="16"/>
          <w:szCs w:val="16"/>
        </w:rPr>
        <w:softHyphen/>
        <w:t>валась за счет регенерации воздуха вну</w:t>
      </w:r>
      <w:r w:rsidRPr="00E93F40">
        <w:rPr>
          <w:rFonts w:ascii="Times New Roman" w:hAnsi="Times New Roman"/>
          <w:color w:val="000000" w:themeColor="text1"/>
          <w:sz w:val="16"/>
          <w:szCs w:val="16"/>
        </w:rPr>
        <w:softHyphen/>
        <w:t>три кабины, т.е. вентиляция осуществля</w:t>
      </w:r>
      <w:r w:rsidRPr="00E93F40">
        <w:rPr>
          <w:rFonts w:ascii="Times New Roman" w:hAnsi="Times New Roman"/>
          <w:color w:val="000000" w:themeColor="text1"/>
          <w:sz w:val="16"/>
          <w:szCs w:val="16"/>
        </w:rPr>
        <w:softHyphen/>
        <w:t>лась через патроны с химическими препа</w:t>
      </w:r>
      <w:r w:rsidRPr="00E93F40">
        <w:rPr>
          <w:rFonts w:ascii="Times New Roman" w:hAnsi="Times New Roman"/>
          <w:color w:val="000000" w:themeColor="text1"/>
          <w:sz w:val="16"/>
          <w:szCs w:val="16"/>
        </w:rPr>
        <w:softHyphen/>
        <w:t>ратами. Пополнение кислорода осуществ</w:t>
      </w:r>
      <w:r w:rsidRPr="00E93F40">
        <w:rPr>
          <w:rFonts w:ascii="Times New Roman" w:hAnsi="Times New Roman"/>
          <w:color w:val="000000" w:themeColor="text1"/>
          <w:sz w:val="16"/>
          <w:szCs w:val="16"/>
        </w:rPr>
        <w:softHyphen/>
        <w:t>лялось напрямую с помощью вентиля, при этом расход был 120 литров в час на двух человек В заднем днище гермокабины имелся люк для экипажа.</w:t>
      </w:r>
    </w:p>
    <w:p w14:paraId="6268BA60"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Крыло, заимствованное с РД — трехлон- жеронное с 16 нервюрами и гофрирован</w:t>
      </w:r>
      <w:r w:rsidRPr="00E93F40">
        <w:rPr>
          <w:rFonts w:ascii="Times New Roman" w:hAnsi="Times New Roman"/>
          <w:color w:val="000000" w:themeColor="text1"/>
          <w:sz w:val="16"/>
          <w:szCs w:val="16"/>
        </w:rPr>
        <w:softHyphen/>
        <w:t>ной обшивкой, обтянутой перкалем. Все топливо размещалось в четырех цилин</w:t>
      </w:r>
      <w:r w:rsidRPr="00E93F40">
        <w:rPr>
          <w:rFonts w:ascii="Times New Roman" w:hAnsi="Times New Roman"/>
          <w:color w:val="000000" w:themeColor="text1"/>
          <w:sz w:val="16"/>
          <w:szCs w:val="16"/>
        </w:rPr>
        <w:softHyphen/>
        <w:t>дрических баках между первым и вторым лонжеронами.</w:t>
      </w:r>
    </w:p>
    <w:p w14:paraId="66C2EE7B"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самолете могла использоваться лю</w:t>
      </w:r>
      <w:r w:rsidRPr="00E93F40">
        <w:rPr>
          <w:rFonts w:ascii="Times New Roman" w:hAnsi="Times New Roman"/>
          <w:color w:val="000000" w:themeColor="text1"/>
          <w:sz w:val="16"/>
          <w:szCs w:val="16"/>
        </w:rPr>
        <w:softHyphen/>
        <w:t>бая винтомоторная установка, для чего в передней части фюзеляжа предусмотрели вставную часть, позволявшую для сохра</w:t>
      </w:r>
      <w:r w:rsidRPr="00E93F40">
        <w:rPr>
          <w:rFonts w:ascii="Times New Roman" w:hAnsi="Times New Roman"/>
          <w:color w:val="000000" w:themeColor="text1"/>
          <w:sz w:val="16"/>
          <w:szCs w:val="16"/>
        </w:rPr>
        <w:softHyphen/>
        <w:t>нения центровки менять вынос мотора в зависимости от его веса.</w:t>
      </w:r>
    </w:p>
    <w:p w14:paraId="5F43DD51"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февраля 1933 года она продол</w:t>
      </w:r>
      <w:r w:rsidRPr="00E93F40">
        <w:rPr>
          <w:rFonts w:ascii="Times New Roman" w:hAnsi="Times New Roman"/>
          <w:color w:val="000000" w:themeColor="text1"/>
          <w:sz w:val="16"/>
          <w:szCs w:val="16"/>
        </w:rPr>
        <w:softHyphen/>
        <w:t>жилась на заводе № 39 имени Менжинско</w:t>
      </w:r>
      <w:r w:rsidRPr="00E93F40">
        <w:rPr>
          <w:rFonts w:ascii="Times New Roman" w:hAnsi="Times New Roman"/>
          <w:color w:val="000000" w:themeColor="text1"/>
          <w:sz w:val="16"/>
          <w:szCs w:val="16"/>
        </w:rPr>
        <w:softHyphen/>
        <w:t>го в Москве, куда перевели Бюро особых конструкций, и завершилась в Смоленске на авиаремонтном заводе № 35, где был организован опытный цех БОКа.</w:t>
      </w:r>
    </w:p>
    <w:p w14:paraId="498E5733" w14:textId="77777777" w:rsidR="00F6073C" w:rsidRPr="00E93F40" w:rsidRDefault="00F6073C"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Style w:val="114"/>
          <w:rFonts w:eastAsia="Calibri"/>
          <w:b w:val="0"/>
          <w:i w:val="0"/>
          <w:color w:val="000000" w:themeColor="text1"/>
          <w:sz w:val="16"/>
          <w:szCs w:val="16"/>
        </w:rPr>
        <w:t>Основная тяжесть испытаний и довод</w:t>
      </w:r>
      <w:r w:rsidRPr="00E93F40">
        <w:rPr>
          <w:rStyle w:val="114"/>
          <w:rFonts w:eastAsia="Calibri"/>
          <w:b w:val="0"/>
          <w:i w:val="0"/>
          <w:color w:val="000000" w:themeColor="text1"/>
          <w:sz w:val="16"/>
          <w:szCs w:val="16"/>
        </w:rPr>
        <w:softHyphen/>
        <w:t>ки БОК-1 и его систем легла на плечи летчка-испытателя НИИ ВВС И.Ф. Пет</w:t>
      </w:r>
      <w:r w:rsidRPr="00E93F40">
        <w:rPr>
          <w:rStyle w:val="114"/>
          <w:rFonts w:eastAsia="Calibri"/>
          <w:b w:val="0"/>
          <w:i w:val="0"/>
          <w:color w:val="000000" w:themeColor="text1"/>
          <w:sz w:val="16"/>
          <w:szCs w:val="16"/>
        </w:rPr>
        <w:softHyphen/>
        <w:t>рова и Н.Н. Каштанова — заместителя В.АЧижевского.</w:t>
      </w:r>
      <w:r w:rsidRPr="00E93F40">
        <w:rPr>
          <w:rFonts w:ascii="Times New Roman" w:hAnsi="Times New Roman" w:cs="Times New Roman"/>
          <w:b w:val="0"/>
          <w:color w:val="000000" w:themeColor="text1"/>
          <w:sz w:val="16"/>
          <w:szCs w:val="16"/>
        </w:rPr>
        <w:t xml:space="preserve"> «Заводской аэродром, — рассказывал Иван Федорович, — находился под Смоленском, и в течение полутора лет, мне еженедельно приходилось ездить в Смо</w:t>
      </w:r>
      <w:r w:rsidRPr="00E93F40">
        <w:rPr>
          <w:rFonts w:ascii="Times New Roman" w:hAnsi="Times New Roman" w:cs="Times New Roman"/>
          <w:b w:val="0"/>
          <w:color w:val="000000" w:themeColor="text1"/>
          <w:sz w:val="16"/>
          <w:szCs w:val="16"/>
        </w:rPr>
        <w:softHyphen/>
        <w:t>ленск на испытания...</w:t>
      </w:r>
    </w:p>
    <w:p w14:paraId="74B41325" w14:textId="77777777" w:rsidR="00F6073C" w:rsidRPr="00E93F40" w:rsidRDefault="00F6073C"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Говорят, первый блин комом. Естествен</w:t>
      </w:r>
      <w:r w:rsidRPr="00E93F40">
        <w:rPr>
          <w:rFonts w:ascii="Times New Roman" w:hAnsi="Times New Roman" w:cs="Times New Roman"/>
          <w:b w:val="0"/>
          <w:color w:val="000000" w:themeColor="text1"/>
          <w:sz w:val="16"/>
          <w:szCs w:val="16"/>
        </w:rPr>
        <w:softHyphen/>
        <w:t>но, что и первая герметичная самолетная кабина была совсем не похожа на те ком- фортобельные салоны, в которых мы все привыкли летать. На самолете БОК-1 она представляла собой тесную цистерну с тре мя маленькими окошечками-иллюминато</w:t>
      </w:r>
      <w:r w:rsidRPr="00E93F40">
        <w:rPr>
          <w:rFonts w:ascii="Times New Roman" w:hAnsi="Times New Roman" w:cs="Times New Roman"/>
          <w:b w:val="0"/>
          <w:color w:val="000000" w:themeColor="text1"/>
          <w:sz w:val="16"/>
          <w:szCs w:val="16"/>
        </w:rPr>
        <w:softHyphen/>
        <w:t>рами, не дававшими почти никакого обзора летчику. И так как располагалась эта боч</w:t>
      </w:r>
      <w:r w:rsidRPr="00E93F40">
        <w:rPr>
          <w:rFonts w:ascii="Times New Roman" w:hAnsi="Times New Roman" w:cs="Times New Roman"/>
          <w:b w:val="0"/>
          <w:color w:val="000000" w:themeColor="text1"/>
          <w:sz w:val="16"/>
          <w:szCs w:val="16"/>
        </w:rPr>
        <w:softHyphen/>
        <w:t>ка над радиатором водяного охлаждения до</w:t>
      </w:r>
      <w:r w:rsidRPr="00E93F40">
        <w:rPr>
          <w:rFonts w:ascii="Times New Roman" w:hAnsi="Times New Roman" w:cs="Times New Roman"/>
          <w:b w:val="0"/>
          <w:color w:val="000000" w:themeColor="text1"/>
          <w:sz w:val="16"/>
          <w:szCs w:val="16"/>
        </w:rPr>
        <w:softHyphen/>
        <w:t>вольно мощного мотора М-34РН, то летная форма моя была весьма своеобразна: трусы и шесть штук полотенец. В полете темпера</w:t>
      </w:r>
      <w:r w:rsidRPr="00E93F40">
        <w:rPr>
          <w:rFonts w:ascii="Times New Roman" w:hAnsi="Times New Roman" w:cs="Times New Roman"/>
          <w:b w:val="0"/>
          <w:color w:val="000000" w:themeColor="text1"/>
          <w:sz w:val="16"/>
          <w:szCs w:val="16"/>
        </w:rPr>
        <w:softHyphen/>
        <w:t>тура из-за подогрева снизу поднималась до сорока градусов.</w:t>
      </w:r>
    </w:p>
    <w:p w14:paraId="3B4F678E" w14:textId="77777777" w:rsidR="00F6073C" w:rsidRPr="00E93F40" w:rsidRDefault="00F6073C"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Такое мотание из Москвы в Смоленск и обратно было, конечно, изнурительным, и для продолжения испытаний я командировал в Смоленск летчика-испытателя своего от</w:t>
      </w:r>
      <w:r w:rsidRPr="00E93F40">
        <w:rPr>
          <w:rFonts w:ascii="Times New Roman" w:hAnsi="Times New Roman" w:cs="Times New Roman"/>
          <w:b w:val="0"/>
          <w:color w:val="000000" w:themeColor="text1"/>
          <w:sz w:val="16"/>
          <w:szCs w:val="16"/>
        </w:rPr>
        <w:softHyphen/>
        <w:t>дела П.М. Стефановского, который успеш</w:t>
      </w:r>
      <w:r w:rsidRPr="00E93F40">
        <w:rPr>
          <w:rFonts w:ascii="Times New Roman" w:hAnsi="Times New Roman" w:cs="Times New Roman"/>
          <w:b w:val="0"/>
          <w:color w:val="000000" w:themeColor="text1"/>
          <w:sz w:val="16"/>
          <w:szCs w:val="16"/>
        </w:rPr>
        <w:softHyphen/>
        <w:t>но их завершил».</w:t>
      </w:r>
    </w:p>
    <w:p w14:paraId="704488D3" w14:textId="77777777" w:rsidR="00F6073C" w:rsidRPr="00E93F40" w:rsidRDefault="00F6073C"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Заводские испытания, проведенные в 1936 году, показали, что машина обла</w:t>
      </w:r>
      <w:r w:rsidRPr="00E93F40">
        <w:rPr>
          <w:rFonts w:ascii="Times New Roman" w:hAnsi="Times New Roman"/>
          <w:color w:val="000000" w:themeColor="text1"/>
          <w:sz w:val="16"/>
          <w:szCs w:val="16"/>
        </w:rPr>
        <w:softHyphen/>
        <w:t>дает достаточными запасами устойчиво</w:t>
      </w:r>
      <w:r w:rsidRPr="00E93F40">
        <w:rPr>
          <w:rFonts w:ascii="Times New Roman" w:hAnsi="Times New Roman"/>
          <w:color w:val="000000" w:themeColor="text1"/>
          <w:sz w:val="16"/>
          <w:szCs w:val="16"/>
        </w:rPr>
        <w:softHyphen/>
        <w:t>сти и хорошей управляемостью (12825).</w:t>
      </w:r>
    </w:p>
    <w:p w14:paraId="1042097B" w14:textId="77777777" w:rsidR="00F6073C" w:rsidRPr="00E93F40" w:rsidRDefault="00F6073C" w:rsidP="00E93F40">
      <w:pPr>
        <w:spacing w:after="0" w:line="240" w:lineRule="auto"/>
        <w:jc w:val="both"/>
        <w:rPr>
          <w:rFonts w:ascii="Times New Roman" w:hAnsi="Times New Roman"/>
          <w:color w:val="000000" w:themeColor="text1"/>
          <w:sz w:val="16"/>
          <w:szCs w:val="16"/>
        </w:rPr>
      </w:pPr>
    </w:p>
    <w:p w14:paraId="6992AFEA"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на заводе опытных кон</w:t>
      </w:r>
      <w:r w:rsidRPr="00E93F40">
        <w:rPr>
          <w:rFonts w:ascii="Times New Roman" w:hAnsi="Times New Roman"/>
          <w:color w:val="000000" w:themeColor="text1"/>
          <w:sz w:val="16"/>
          <w:szCs w:val="16"/>
        </w:rPr>
        <w:softHyphen/>
        <w:t>струкций (ЗОК) ЦАГИ началось строительство БОК-1 и в последующем сопровож</w:t>
      </w:r>
      <w:r w:rsidRPr="00E93F40">
        <w:rPr>
          <w:rFonts w:ascii="Times New Roman" w:hAnsi="Times New Roman"/>
          <w:color w:val="000000" w:themeColor="text1"/>
          <w:sz w:val="16"/>
          <w:szCs w:val="16"/>
        </w:rPr>
        <w:softHyphen/>
        <w:t>далось двумя переездами.</w:t>
      </w:r>
    </w:p>
    <w:p w14:paraId="3B739BE5"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деятельность по созданию двух самолетов - дальнего и высотного - началась почти одновременно, изго</w:t>
      </w:r>
      <w:r w:rsidRPr="00E93F40">
        <w:rPr>
          <w:rFonts w:ascii="Times New Roman" w:hAnsi="Times New Roman"/>
          <w:color w:val="000000" w:themeColor="text1"/>
          <w:sz w:val="16"/>
          <w:szCs w:val="16"/>
        </w:rPr>
        <w:softHyphen/>
        <w:t>товление АНТ-25 велось более активно и его полеты начались ранее. Проект высотного летательного аппарата, получившего обозначение БОК-1 или стратосферный самолет (СС), разрабатывался на основе конструкции сверхдальнего моноплана АНТ-25. Фактически это и был АНТ-25 с неко</w:t>
      </w:r>
      <w:r w:rsidRPr="00E93F40">
        <w:rPr>
          <w:rFonts w:ascii="Times New Roman" w:hAnsi="Times New Roman"/>
          <w:color w:val="000000" w:themeColor="text1"/>
          <w:sz w:val="16"/>
          <w:szCs w:val="16"/>
        </w:rPr>
        <w:softHyphen/>
        <w:t>торым уменьшением размеров, поэтому вовсе нелишним кажется небольшое сравнение:</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040"/>
        <w:gridCol w:w="1344"/>
        <w:gridCol w:w="922"/>
      </w:tblGrid>
      <w:tr w:rsidR="00DA227A" w:rsidRPr="00E93F40" w14:paraId="02D1B6D4" w14:textId="77777777" w:rsidTr="003D0776">
        <w:trPr>
          <w:trHeight w:hRule="exact" w:val="192"/>
          <w:tblHeader/>
        </w:trPr>
        <w:tc>
          <w:tcPr>
            <w:tcW w:w="2040" w:type="dxa"/>
            <w:tcBorders>
              <w:top w:val="single" w:sz="4" w:space="0" w:color="auto"/>
              <w:left w:val="single" w:sz="4" w:space="0" w:color="auto"/>
              <w:bottom w:val="single" w:sz="4" w:space="0" w:color="auto"/>
              <w:right w:val="single" w:sz="4" w:space="0" w:color="auto"/>
            </w:tcBorders>
          </w:tcPr>
          <w:p w14:paraId="5D306BA5" w14:textId="77777777" w:rsidR="00F866B7" w:rsidRPr="00E93F40" w:rsidRDefault="00F866B7" w:rsidP="00E93F40">
            <w:pPr>
              <w:spacing w:after="0" w:line="240" w:lineRule="auto"/>
              <w:jc w:val="both"/>
              <w:rPr>
                <w:rFonts w:ascii="Times New Roman" w:hAnsi="Times New Roman"/>
                <w:color w:val="000000" w:themeColor="text1"/>
                <w:sz w:val="16"/>
                <w:szCs w:val="16"/>
              </w:rPr>
            </w:pPr>
          </w:p>
        </w:tc>
        <w:tc>
          <w:tcPr>
            <w:tcW w:w="1344" w:type="dxa"/>
            <w:tcBorders>
              <w:top w:val="single" w:sz="4" w:space="0" w:color="auto"/>
              <w:left w:val="single" w:sz="4" w:space="0" w:color="auto"/>
              <w:bottom w:val="single" w:sz="4" w:space="0" w:color="auto"/>
              <w:right w:val="single" w:sz="4" w:space="0" w:color="auto"/>
            </w:tcBorders>
            <w:hideMark/>
          </w:tcPr>
          <w:p w14:paraId="259E6F69"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АНТ-25</w:t>
            </w:r>
          </w:p>
        </w:tc>
        <w:tc>
          <w:tcPr>
            <w:tcW w:w="922" w:type="dxa"/>
            <w:tcBorders>
              <w:top w:val="single" w:sz="4" w:space="0" w:color="auto"/>
              <w:left w:val="single" w:sz="4" w:space="0" w:color="auto"/>
              <w:bottom w:val="single" w:sz="4" w:space="0" w:color="auto"/>
              <w:right w:val="single" w:sz="4" w:space="0" w:color="auto"/>
            </w:tcBorders>
            <w:hideMark/>
          </w:tcPr>
          <w:p w14:paraId="4A24DA26"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БОК-1</w:t>
            </w:r>
          </w:p>
        </w:tc>
      </w:tr>
      <w:tr w:rsidR="00DA227A" w:rsidRPr="00E93F40" w14:paraId="78436F1F" w14:textId="77777777" w:rsidTr="003D0776">
        <w:trPr>
          <w:trHeight w:hRule="exact" w:val="206"/>
        </w:trPr>
        <w:tc>
          <w:tcPr>
            <w:tcW w:w="2040" w:type="dxa"/>
            <w:tcBorders>
              <w:top w:val="single" w:sz="4" w:space="0" w:color="auto"/>
              <w:left w:val="single" w:sz="4" w:space="0" w:color="auto"/>
              <w:bottom w:val="single" w:sz="4" w:space="0" w:color="auto"/>
              <w:right w:val="single" w:sz="4" w:space="0" w:color="auto"/>
            </w:tcBorders>
            <w:vAlign w:val="bottom"/>
            <w:hideMark/>
          </w:tcPr>
          <w:p w14:paraId="425FA062"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Размах крыла,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6998A060"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34,0</w:t>
            </w:r>
          </w:p>
        </w:tc>
        <w:tc>
          <w:tcPr>
            <w:tcW w:w="922" w:type="dxa"/>
            <w:tcBorders>
              <w:top w:val="single" w:sz="4" w:space="0" w:color="auto"/>
              <w:left w:val="single" w:sz="4" w:space="0" w:color="auto"/>
              <w:bottom w:val="single" w:sz="4" w:space="0" w:color="auto"/>
              <w:right w:val="single" w:sz="4" w:space="0" w:color="auto"/>
            </w:tcBorders>
            <w:vAlign w:val="bottom"/>
            <w:hideMark/>
          </w:tcPr>
          <w:p w14:paraId="1F4D6C60"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30,0</w:t>
            </w:r>
          </w:p>
        </w:tc>
      </w:tr>
      <w:tr w:rsidR="00DA227A" w:rsidRPr="00E93F40" w14:paraId="1B7CA1A7" w14:textId="77777777" w:rsidTr="003D0776">
        <w:trPr>
          <w:trHeight w:hRule="exact" w:val="197"/>
        </w:trPr>
        <w:tc>
          <w:tcPr>
            <w:tcW w:w="2040" w:type="dxa"/>
            <w:tcBorders>
              <w:top w:val="single" w:sz="4" w:space="0" w:color="auto"/>
              <w:left w:val="single" w:sz="4" w:space="0" w:color="auto"/>
              <w:bottom w:val="single" w:sz="4" w:space="0" w:color="auto"/>
              <w:right w:val="single" w:sz="4" w:space="0" w:color="auto"/>
            </w:tcBorders>
            <w:vAlign w:val="bottom"/>
            <w:hideMark/>
          </w:tcPr>
          <w:p w14:paraId="4E0AE6B5"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Длина самолета,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13417DB5"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13,4</w:t>
            </w:r>
          </w:p>
        </w:tc>
        <w:tc>
          <w:tcPr>
            <w:tcW w:w="922" w:type="dxa"/>
            <w:tcBorders>
              <w:top w:val="single" w:sz="4" w:space="0" w:color="auto"/>
              <w:left w:val="single" w:sz="4" w:space="0" w:color="auto"/>
              <w:bottom w:val="single" w:sz="4" w:space="0" w:color="auto"/>
              <w:right w:val="single" w:sz="4" w:space="0" w:color="auto"/>
            </w:tcBorders>
            <w:vAlign w:val="bottom"/>
            <w:hideMark/>
          </w:tcPr>
          <w:p w14:paraId="528034F6"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12,86</w:t>
            </w:r>
          </w:p>
        </w:tc>
      </w:tr>
      <w:tr w:rsidR="00DA227A" w:rsidRPr="00E93F40" w14:paraId="66A9B1B3" w14:textId="77777777" w:rsidTr="003D0776">
        <w:trPr>
          <w:trHeight w:hRule="exact" w:val="221"/>
        </w:trPr>
        <w:tc>
          <w:tcPr>
            <w:tcW w:w="2040" w:type="dxa"/>
            <w:tcBorders>
              <w:top w:val="single" w:sz="4" w:space="0" w:color="auto"/>
              <w:left w:val="single" w:sz="4" w:space="0" w:color="auto"/>
              <w:bottom w:val="single" w:sz="4" w:space="0" w:color="auto"/>
              <w:right w:val="single" w:sz="4" w:space="0" w:color="auto"/>
            </w:tcBorders>
            <w:hideMark/>
          </w:tcPr>
          <w:p w14:paraId="175246CE"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Площадь крыла, м2</w:t>
            </w:r>
          </w:p>
        </w:tc>
        <w:tc>
          <w:tcPr>
            <w:tcW w:w="1344" w:type="dxa"/>
            <w:tcBorders>
              <w:top w:val="single" w:sz="4" w:space="0" w:color="auto"/>
              <w:left w:val="single" w:sz="4" w:space="0" w:color="auto"/>
              <w:bottom w:val="single" w:sz="4" w:space="0" w:color="auto"/>
              <w:right w:val="single" w:sz="4" w:space="0" w:color="auto"/>
            </w:tcBorders>
            <w:hideMark/>
          </w:tcPr>
          <w:p w14:paraId="4A731D15"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87,8</w:t>
            </w:r>
          </w:p>
        </w:tc>
        <w:tc>
          <w:tcPr>
            <w:tcW w:w="922" w:type="dxa"/>
            <w:tcBorders>
              <w:top w:val="single" w:sz="4" w:space="0" w:color="auto"/>
              <w:left w:val="single" w:sz="4" w:space="0" w:color="auto"/>
              <w:bottom w:val="single" w:sz="4" w:space="0" w:color="auto"/>
              <w:right w:val="single" w:sz="4" w:space="0" w:color="auto"/>
            </w:tcBorders>
            <w:hideMark/>
          </w:tcPr>
          <w:p w14:paraId="3D2F9D13" w14:textId="77777777" w:rsidR="00F866B7" w:rsidRPr="00E93F40" w:rsidRDefault="00F866B7" w:rsidP="00E93F40">
            <w:pPr>
              <w:pStyle w:val="afff3"/>
              <w:ind w:firstLine="0"/>
              <w:jc w:val="both"/>
              <w:rPr>
                <w:rFonts w:ascii="Times New Roman" w:hAnsi="Times New Roman" w:cs="Times New Roman"/>
                <w:color w:val="000000" w:themeColor="text1"/>
                <w:sz w:val="16"/>
                <w:szCs w:val="16"/>
              </w:rPr>
            </w:pPr>
            <w:r w:rsidRPr="00E93F40">
              <w:rPr>
                <w:rFonts w:ascii="Times New Roman" w:hAnsi="Times New Roman" w:cs="Times New Roman"/>
                <w:color w:val="000000" w:themeColor="text1"/>
                <w:sz w:val="16"/>
                <w:szCs w:val="16"/>
                <w:lang w:bidi="ru-RU"/>
              </w:rPr>
              <w:t>78,8</w:t>
            </w:r>
          </w:p>
        </w:tc>
      </w:tr>
    </w:tbl>
    <w:p w14:paraId="17130B07"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(20363).</w:t>
      </w:r>
    </w:p>
    <w:p w14:paraId="509ACDB4" w14:textId="77777777" w:rsidR="00F866B7" w:rsidRPr="00E93F40" w:rsidRDefault="00F866B7" w:rsidP="00E93F40">
      <w:pPr>
        <w:shd w:val="clear" w:color="auto" w:fill="FFFFFF"/>
        <w:spacing w:after="0" w:line="240" w:lineRule="auto"/>
        <w:jc w:val="both"/>
        <w:rPr>
          <w:rFonts w:ascii="Times New Roman" w:hAnsi="Times New Roman"/>
          <w:color w:val="000000" w:themeColor="text1"/>
          <w:sz w:val="16"/>
          <w:szCs w:val="16"/>
        </w:rPr>
      </w:pPr>
    </w:p>
    <w:p w14:paraId="50726CDA" w14:textId="4459E95F"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конце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на заводе опытных конструкций ЦАГИ К приступили к постройке самолёта БОК-1, но уже в феврале следующего года производство перевели на московский авиазавод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39, где незадолго до этого изготовили гермокабину стратостата «СССР-1». Туда же, на завод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39, перебрался коллектив БОК.</w:t>
      </w:r>
    </w:p>
    <w:p w14:paraId="50C6D7BD" w14:textId="00903CA8"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Большую часть приборного оборудования для БОК-1 приобрели за границей, на это было выделено 15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тыс. золотых рублей. Обсуждался вопрос о заказе у французской фирмы «Рато» турбонагнетателей — устройств, основанных на использовании турбины, вращающейся в потоке выхлопных газов. В отличие от обычных нагнетателей с приводом от двигателя, турбонагнетатель почти не потреблял мощности, однако вращающаяся со скоростью до 25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тыс. оборотов в минуту и раскаляющаяся в потоке горячих газов до температуры 800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°C крыльчатка требовала специальных конструкционных материалов, которые ещё не были созданы. Из-за ненадёжности турбин «Рато» и отсутствия собственных наработок пришлось отказаться от этой идеи.</w:t>
      </w:r>
    </w:p>
    <w:p w14:paraId="774F40C1" w14:textId="47C21381"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При проектировании и постройке БОК-1 нужно было решить множество новых задач: создать гермокабину самолётного типа, обеспечить герметичность проводки тяг из кабины к рулям самолёта и двигателю, предотвратить запотевание и обмерзание стёкол в полёте, обеспечить нормальные температурные условия для экипажа и др. Но главной проблемой оставался двигатель — специалистам ЦИАМ никак не удавалось сконструировать двухступенчатый нагнетатель. Тогда было получено разрешение на постройку и испытания самолёта с мотором М-34 с одноступенчатым нагнетателем. На рекордную высоту рассчитывать не приходилось, зато можно было проверить работу системы жизнеобеспечения экипажа. Испытания наметили провести в октябре 1934</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г., а в следующем году заменить мотор и осуществить полёты на близких к стратосфере высотах </w:t>
      </w:r>
      <w:hyperlink r:id="rId313" w:history="1">
        <w:r w:rsidRPr="00E93F40">
          <w:rPr>
            <w:rFonts w:ascii="Times New Roman" w:eastAsia="Times New Roman" w:hAnsi="Times New Roman"/>
            <w:color w:val="000000" w:themeColor="text1"/>
            <w:sz w:val="16"/>
            <w:szCs w:val="16"/>
            <w:lang w:eastAsia="ru-RU"/>
          </w:rPr>
          <w:t>[166]</w:t>
        </w:r>
      </w:hyperlink>
      <w:r w:rsidRPr="00E93F40">
        <w:rPr>
          <w:rFonts w:ascii="Times New Roman" w:eastAsia="Times New Roman" w:hAnsi="Times New Roman"/>
          <w:color w:val="000000" w:themeColor="text1"/>
          <w:sz w:val="16"/>
          <w:szCs w:val="16"/>
          <w:lang w:eastAsia="ru-RU"/>
        </w:rPr>
        <w:t xml:space="preserve"> .</w:t>
      </w:r>
    </w:p>
    <w:p w14:paraId="367416D0" w14:textId="7E0E5B43"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Но и эти сроки не удалось выдержать. Из-за того, что 39-му заводу поручили осваивать серийный выпуск скоростных истребителей И-16, БОК вместе с недостроенным высотным самолётом летом 1934</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перевели на смоленский авиаремонтный завод №</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35, выделив для работы один из цехов. Обустройство на новом месте проходило непросто — не хватало опытных кадров, технологического оборудования, материалов. Первое время к станкам даже не был подведён ток. Неудивительно, что БОК-1 удалось построить только в конце 1935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Таким образом, изготовление первого советского стратоплана растянулась на три года (17489).</w:t>
      </w:r>
    </w:p>
    <w:p w14:paraId="1E9BF637"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p>
    <w:p w14:paraId="60416E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18-летний Е.Г.Адлер, сын Г.Адлера, сотрудника И.Сикорского, стал ведущим по АИР-6 А.С.Я. (3550,10).</w:t>
      </w:r>
    </w:p>
    <w:p w14:paraId="494676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4FA0ED"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1932-го ведущим инженером по машинам АИР-6 был назначен 18-летний Евгений Адлер, инициативный и талантливый конструктор, сын Георгия Адлера, сотрудника Игоря Сикорского и боевого летчика в период Первой мировой войны. Впоследствии Яковлев писал: "Е.А.Адлер не только кабинетный конструктор, владеющий счетной линейкой и всеми чертежными доспехами, но и способный производственник". Второй и третий самолеты были готовы в июне и сентябре 1933-го (15727).</w:t>
      </w:r>
    </w:p>
    <w:p w14:paraId="1CDD75D9" w14:textId="77777777" w:rsidR="00BD69E5" w:rsidRPr="00E93F40" w:rsidRDefault="00BD69E5" w:rsidP="00E93F40">
      <w:pPr>
        <w:spacing w:after="0" w:line="240" w:lineRule="auto"/>
        <w:jc w:val="both"/>
        <w:rPr>
          <w:rFonts w:ascii="Times New Roman" w:hAnsi="Times New Roman"/>
          <w:color w:val="000000" w:themeColor="text1"/>
          <w:sz w:val="16"/>
          <w:szCs w:val="16"/>
        </w:rPr>
      </w:pPr>
    </w:p>
    <w:p w14:paraId="76FEBF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конце 1932 И.Г.Неман предложил создать в ХАИ группу по проектированию бесхвостых самолетов. Возглавил П.Г.Бенинг и входили и А.А.Лазарев, А.А.Кроль и С.И.Кузьмин (2544,64).</w:t>
      </w:r>
    </w:p>
    <w:p w14:paraId="2611F2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825B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са</w:t>
      </w:r>
      <w:r w:rsidRPr="00E93F40">
        <w:rPr>
          <w:rFonts w:ascii="Times New Roman" w:hAnsi="Times New Roman"/>
          <w:color w:val="000000" w:themeColor="text1"/>
          <w:sz w:val="16"/>
          <w:szCs w:val="16"/>
        </w:rPr>
        <w:softHyphen/>
        <w:t>молет Д-4 Лавиля был построен, и в начале 1933 г. на</w:t>
      </w:r>
      <w:r w:rsidRPr="00E93F40">
        <w:rPr>
          <w:rFonts w:ascii="Times New Roman" w:hAnsi="Times New Roman"/>
          <w:color w:val="000000" w:themeColor="text1"/>
          <w:sz w:val="16"/>
          <w:szCs w:val="16"/>
        </w:rPr>
        <w:softHyphen/>
        <w:t>чались его испытания (11134).</w:t>
      </w:r>
    </w:p>
    <w:p w14:paraId="38FBB3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7FC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Вахмистров предложил истребитель, вся работа которого производится исключительно с тяжелого самолета-матки, с которой этот истребитель слетает для боевых действий и на которую садится после боя.</w:t>
      </w:r>
    </w:p>
    <w:p w14:paraId="38029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этого самолета за счет уменьшения лба (шасси не требуется) и допущения большой посадочной скорости порядка крейсерской скорости самолета-матки 160-170 км/час можно достигнуть скоростей значительно больших, чем у любого другого истребителя нормально садящегося на землю.</w:t>
      </w:r>
    </w:p>
    <w:p w14:paraId="55FC75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Питание горючим и смазочным из баков матки позволит оставить ему запас горючего и смазки необходимые лишь для боевых действий, что значительно облегчит вес.</w:t>
      </w:r>
    </w:p>
    <w:p w14:paraId="513EC9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случай вынужденной посадки на землю этому истребителю можно сделать или лыжу, или одно колесо баллонного типа в нижней части фюзеляжа.</w:t>
      </w:r>
    </w:p>
    <w:p w14:paraId="70B5C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применения этого типа истребителя конечно, необходимо отработать методику соединения самолетов в воздухе (7508, 74-77).</w:t>
      </w:r>
    </w:p>
    <w:p w14:paraId="09ECE2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FBB6EB8"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было начато проектирование автожира А-7 с мотором М-22. Этот автожир вышел на аэродром в начале 1934 года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 (3849,13).</w:t>
      </w:r>
    </w:p>
    <w:p w14:paraId="34937797" w14:textId="77777777" w:rsidR="007B1D3C" w:rsidRPr="00E93F40" w:rsidRDefault="007B1D3C" w:rsidP="00E93F4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85FA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Витторио Изакко - еврей, родившийся в Турции, учившийся в Бельгии и живший в Италии - брат члена ЦК Болгарской партии Изакова-Велева - по приглашению В.М.Молотова приведенный Я.З.Гольцманом в Россию начал проектировать геликоплан в специально организованном БОК НИИ ГВФ. П.А.Ивенсен был замом и выпустили в 1935 (1076,960).</w:t>
      </w:r>
    </w:p>
    <w:p w14:paraId="27B6A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8F4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начались работы по геликожиру В.Изакко - итальянца, работавшего у нас с 1932 по 1936 (4,454).</w:t>
      </w:r>
    </w:p>
    <w:p w14:paraId="28070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ABBFE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изготовили опытный образец М-48, в апреле также проходили госиспытания М-50 (ЗМ-11). Самый мощный мотор семейства, М-49, проходил заводские испытания. В 1933 г. уже планировали заменить М-11 в серии на М-51 (11852).</w:t>
      </w:r>
    </w:p>
    <w:p w14:paraId="6AEE46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10BC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был создан на</w:t>
      </w:r>
      <w:r w:rsidRPr="00E93F40">
        <w:rPr>
          <w:rFonts w:ascii="Times New Roman" w:hAnsi="Times New Roman"/>
          <w:color w:val="000000" w:themeColor="text1"/>
          <w:sz w:val="16"/>
          <w:szCs w:val="16"/>
        </w:rPr>
        <w:softHyphen/>
        <w:t>учно-исследовательский минно-торпедный институт ВМФ (НИМТИ ВМФ), который и предпринял ряд попыток усовершенствовать имеющиеся и разработать новые образцы торпед. Груп</w:t>
      </w:r>
      <w:r w:rsidRPr="00E93F40">
        <w:rPr>
          <w:rFonts w:ascii="Times New Roman" w:hAnsi="Times New Roman"/>
          <w:color w:val="000000" w:themeColor="text1"/>
          <w:sz w:val="16"/>
          <w:szCs w:val="16"/>
        </w:rPr>
        <w:softHyphen/>
        <w:t>па конструкторов под руководством В. И. Алферова модернизировала TAB-12, улучшив ее весогабаритные харак</w:t>
      </w:r>
      <w:r w:rsidRPr="00E93F40">
        <w:rPr>
          <w:rFonts w:ascii="Times New Roman" w:hAnsi="Times New Roman"/>
          <w:color w:val="000000" w:themeColor="text1"/>
          <w:sz w:val="16"/>
          <w:szCs w:val="16"/>
        </w:rPr>
        <w:softHyphen/>
        <w:t>теристики и упростив конструкцию. Торпеда стала называться ТАВ-12А (4144).</w:t>
      </w:r>
    </w:p>
    <w:p w14:paraId="6714E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0124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1932-го года в ВИАМ усилиями ученых И.И.Сидорина и Г.В.Акимова была разработана и внедрена в промышленность первая высокопрочная сталь "хромансиль" ЗОХГСА, что позволило стране освободиться от импортных поставок. Ученые и инженеры ВИАМ внесли большой вклад в создание авиационной брони. Однажды И.В.Сталин вызвал сотрудника института С.Т.Кишкина. "Товарищ Кишкин, - сказал Сталин, - надо сделать броню. Нужно защитить летчиков и самолет". Вместе с Николаем Митрофановичем Скляровым они создали авиационную броню (9493,8).</w:t>
      </w:r>
    </w:p>
    <w:p w14:paraId="2BE74C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63D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была разработана и внедрена в производство конструкционная сталь «хромансиль» 30ХГСА (И.И. Сидорин, Г.В. Акимов). Создана авиационная броня (С.Т. Кишкин, Н.М. Скляров). Перед войной создана дельта-древесина (10776).</w:t>
      </w:r>
    </w:p>
    <w:p w14:paraId="07B07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858EA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завод № 31 приступил к строительству так называемого нового завода с новыми корпусами под металлическое самолетостроение. В 1933 году завод получил задание по выпуску гидросамолета МБР-2.</w:t>
      </w:r>
    </w:p>
    <w:p w14:paraId="2631B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 этим завод изготовлял металлическую машину Р-6, машина АНТ-9 была снята с производства.</w:t>
      </w:r>
    </w:p>
    <w:p w14:paraId="5BD5C9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новых корпусах завод сосредоточил выпуск металлических самолетов, а в старых корпусах – самолетов деревянной конструкции.</w:t>
      </w:r>
    </w:p>
    <w:p w14:paraId="339FAE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самолетов МБР-2 модернизировалась вплоть до 1938 года.</w:t>
      </w:r>
    </w:p>
    <w:p w14:paraId="0FE438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новых корпусах машина Р-6 была снята и начата подготовка к выпуску самолета МДР-4 (трехмоторного морского бомбардировщика).</w:t>
      </w:r>
    </w:p>
    <w:p w14:paraId="41631C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Несколько самолетов МДР-4 были сданы заводом заказчику, но в период их серийного освоения эти самолеты были сняты с производства. К концу 1937 года было поручено производство летающей лодки американской конструкции типа «Консолидейт», которую завод выпустил в количестве 23 машин. В 1938 году «Консолидейт» снимается с производства и взамен запускается морская машина «Н» конструкции Четверикова и самолет «КОР» конструкции Бериева. Весь 1939 год завод выпускал самолеты «Н» и «КОР». В 1940 году с программы завода снимается самолет «Н» конструкции Четверикова.</w:t>
      </w:r>
    </w:p>
    <w:p w14:paraId="123FF4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получает задание выпускать самолеты ББ-1 конструкции Сухого. В декабре 1940 года самолет ББ-1 снимается с производства и заводу дается задание выпускать самолеты ЛАГГ-3. В октябре 1941 года завод был эвакуирован в Тбилиси.</w:t>
      </w:r>
    </w:p>
    <w:p w14:paraId="3A8F16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Тбилиси завод был размещен на территории строящегося авиамоторного завода № 448, куда также был переведен завод № 45 из Севастополя.</w:t>
      </w:r>
    </w:p>
    <w:p w14:paraId="1E59C1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НКАП за № 1173с от 20 декабря 1941 года заводы №№ 31, 45 и 448 объединились и объединенному заводу был присвоен № 31 им. Димитрова.</w:t>
      </w:r>
    </w:p>
    <w:p w14:paraId="746341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завода № 448 начато 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 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1ECBE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 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0F9DC1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320D8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4B7818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завода Хведелиани</w:t>
      </w:r>
    </w:p>
    <w:p w14:paraId="5958BA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Тбилиси, п/я 51</w:t>
      </w:r>
    </w:p>
    <w:p w14:paraId="3BF236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 июля 1956 года завод приступил к освоению нового самолета МИГ-21 (9821).</w:t>
      </w:r>
    </w:p>
    <w:p w14:paraId="562B9A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D01B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конец 1932 г. на Авиастрое в Казани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07B3E1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1AF09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1A3BB2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7F2EA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F7BB5D"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исходу 1932 г. морская авиация располагала ограниченным количеством торпед двух типов Остехбюро ТАН-12 и ТАВ-15,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СССР в 1932 г. получил несколько типов 533-мм и 450-мм торпед из Италии. Среди них была приобретенная у фирмы «Силурифичио Уатхэд» из Фиуме 450-мм торпеда, названная у нас 45Ф. С1936 г. они серийно выпускались заводом «Красный прогресс» в городе Большой Токмак под Днепропетровском под маркой 45—35Н. На основе этого образца в НИМТИ</w:t>
      </w:r>
      <w:hyperlink r:id="rId314" w:anchor="n_5" w:history="1">
        <w:r w:rsidRPr="00E93F40">
          <w:rPr>
            <w:rFonts w:ascii="Times New Roman" w:hAnsi="Times New Roman"/>
            <w:color w:val="000000" w:themeColor="text1"/>
            <w:sz w:val="16"/>
            <w:szCs w:val="16"/>
            <w:vertAlign w:val="superscript"/>
          </w:rPr>
          <w:t>[5]</w:t>
        </w:r>
      </w:hyperlink>
      <w:r w:rsidRPr="00E93F40">
        <w:rPr>
          <w:rFonts w:ascii="Times New Roman" w:hAnsi="Times New Roman"/>
          <w:color w:val="000000" w:themeColor="text1"/>
          <w:sz w:val="16"/>
          <w:szCs w:val="16"/>
        </w:rPr>
        <w:t xml:space="preserve"> под руководством Алферова спроектировали два варианта авиаторпеды: для низкого торпедометания 45—36АН и для сброса с парашютом 45—36АВА. Конструкция была усилена, а из двух режимов хода оставили один. 45—36АВА кроме этого получила коробку — конус для размещения парашюта с амортизатором и поворотным тросом. Оба этих типа приняли на вооружение в 1939 г. Они имели боевой заряд 200 кг, скорость 39 узлов и дальность хода 4000 м. Интересно, что торпеды, которые несли итальянские самолеты в годы Второй мировой войны, тоже являлись переделкой исходной 45Ф (15117).</w:t>
      </w:r>
    </w:p>
    <w:p w14:paraId="06DBBF85" w14:textId="77777777" w:rsidR="00BD69E5" w:rsidRPr="00E93F40" w:rsidRDefault="00BD69E5" w:rsidP="00E93F40">
      <w:pPr>
        <w:spacing w:after="0" w:line="240" w:lineRule="auto"/>
        <w:jc w:val="both"/>
        <w:rPr>
          <w:rFonts w:ascii="Times New Roman" w:hAnsi="Times New Roman"/>
          <w:color w:val="000000" w:themeColor="text1"/>
          <w:sz w:val="16"/>
          <w:szCs w:val="16"/>
        </w:rPr>
      </w:pPr>
    </w:p>
    <w:p w14:paraId="374F17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Меженинов, будучи уже начальником штаба ВВС РККА, вновь побывал в Германии, а также посетил авиационную выставку во Франции. На этот раз вместе с ним были командированы инженер-моторист НИИ ВВС Рогов и инженер-самолетчик военного отдела Гражданского воздушного флота (ВО ГВФ) Путилов (Там же. Оп. 14. Д. 882. Л. 1—30.). Главной целью их поездки было изучение германской авиационной промышленности. Они побывали на крупнейших моторостроительных заводах («Юнкерс», «Сименс», «Хирт», БМВ, «Аргус», «Майбах», «Даймлер»), ознакомились с новейшими немецкими самолетами-истребителями «Хейнкель», «Фокке-Вульф», «Арадо», бомбардировщиками «Дорнье», «Юнкерс-38», «Юнкерс52», стратосферным самолетом «Юнкерс», морскими самолетами «Дорнье» и «Хейнкель», посетили летные школы рейхсвера в Шлосгейме (под Мюнхеном) и в Брауншвейге (Летные школы формально числились в германском министерстве путей сообщения, а фактически их работой руководил рейхсвер.). По завершении визита Меженинов встретился с профессором Х. Юнкерсом, который высказал претензии к советской стороне в связи с якобы незаконным использованием советской авиапромышленностью патентов на строительство авиатехники его фирмы. По возвращении в Москву Меженинов доложил наркому обороны об основных результатах командировки, которая была признана полезной. Уже 3 марта 1933 года РВС принял постановление «О развитии авиационной техники на основе виденного на авиационной выставке во Франции и на заводах Германии» (РГВА. Ф. 4. Оп. 14. Д. 2942. Л. 29—32.). Документ предписывал Наркомтяжпрому разработать и построить учебный самолет (с двигателем) для обучения летчиков-наблюдателей приемам навигации, фотографирования, бомбометания и стрельбы. Одной из важнейших задач, поставленных Наркомтяжпрому, была постройка легкого двухместного самолета, универсального в производстве, по назначению и оборудованию. Такой самолет мог быть одновременно оперативным разведчиком, истребителем и легким бомбардировщиком (11173).</w:t>
      </w:r>
    </w:p>
    <w:p w14:paraId="7054B0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1F31B9"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 на двухмоторном АНТ-9 планировали организовать пропагандист</w:t>
      </w:r>
      <w:r w:rsidRPr="00142305">
        <w:rPr>
          <w:rFonts w:ascii="Times New Roman" w:hAnsi="Times New Roman"/>
          <w:color w:val="0070C0"/>
          <w:sz w:val="16"/>
          <w:szCs w:val="16"/>
        </w:rPr>
        <w:softHyphen/>
        <w:t>ский перелет Москва - Хабаровск, но по</w:t>
      </w:r>
      <w:r w:rsidRPr="00142305">
        <w:rPr>
          <w:rFonts w:ascii="Times New Roman" w:hAnsi="Times New Roman"/>
          <w:color w:val="0070C0"/>
          <w:sz w:val="16"/>
          <w:szCs w:val="16"/>
        </w:rPr>
        <w:softHyphen/>
        <w:t>том от этой идеи отказались (24949).</w:t>
      </w:r>
    </w:p>
    <w:p w14:paraId="4BC35C99" w14:textId="77777777" w:rsidR="000B1DD5" w:rsidRPr="00142305" w:rsidRDefault="000B1DD5" w:rsidP="000B1DD5">
      <w:pPr>
        <w:spacing w:after="0" w:line="240" w:lineRule="auto"/>
        <w:jc w:val="both"/>
        <w:rPr>
          <w:rFonts w:ascii="Times New Roman" w:hAnsi="Times New Roman"/>
          <w:color w:val="0070C0"/>
          <w:sz w:val="16"/>
          <w:szCs w:val="16"/>
        </w:rPr>
      </w:pPr>
    </w:p>
    <w:p w14:paraId="20C443FC"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1932 г. Юнкерс W33 эксплуатировало также Управление воздушной службы ГУСМП — полярная авиация. Сначала оно имело один такой самолёт, Н5 (импортный), затем, в январе 1935 г., к нему добавились Н62 и Н63 (сделанные московским заводом № 89). 3 марта 1935 г. Н5 и Н62, пилотируемые Галышевым и Нероненом, приземлились на льду озера у посёлка Сангар в Якутии. Это был промежуточный этап разведки трассы Якутск – Тикси, по которой позже в летний период стали летать регулярно. Все три «юнкерса» ГУСМП числились за Ленской авиагруппой, самолёты которой летали в основном вдоль реки Лены и в её окрестностях. Обычно к концу осени машины ГУСМП возвращались на базу в Красноярск, где проходили необходимый ремонт на местном заводе. Известно, что в 1935 г. там побывал Н5, а в 1936 г. – Н5 и Н63 (25178).</w:t>
      </w:r>
    </w:p>
    <w:p w14:paraId="2470CB54" w14:textId="77777777" w:rsidR="000B1DD5" w:rsidRPr="00142305" w:rsidRDefault="000B1DD5" w:rsidP="000B1DD5">
      <w:pPr>
        <w:spacing w:after="0" w:line="240" w:lineRule="auto"/>
        <w:jc w:val="both"/>
        <w:rPr>
          <w:rFonts w:ascii="Times New Roman" w:hAnsi="Times New Roman"/>
          <w:color w:val="0070C0"/>
          <w:sz w:val="16"/>
          <w:szCs w:val="16"/>
        </w:rPr>
      </w:pPr>
    </w:p>
    <w:p w14:paraId="7C01A960" w14:textId="5279DD62" w:rsidR="00510F34" w:rsidRPr="00E93F40" w:rsidRDefault="00510F34" w:rsidP="00E93F40">
      <w:pPr>
        <w:pStyle w:val="ae"/>
        <w:spacing w:before="0" w:after="0"/>
        <w:jc w:val="both"/>
        <w:rPr>
          <w:color w:val="000000" w:themeColor="text1"/>
          <w:sz w:val="16"/>
          <w:szCs w:val="16"/>
        </w:rPr>
      </w:pPr>
      <w:r w:rsidRPr="00E93F40">
        <w:rPr>
          <w:color w:val="000000" w:themeColor="text1"/>
          <w:sz w:val="16"/>
          <w:szCs w:val="16"/>
        </w:rPr>
        <w:t>С конца 1932 года вопросы договоров с фирмой «Сперри» на приобретение образцов и оказание технической помощи рассматривались и в Комиссии Обороны, и в Политбюро, которое наконец 8 апреля 1933 года постановило: в дополнение к постановлению ПБ от 7 марта 1933</w:t>
      </w:r>
      <w:r w:rsidR="007C1411" w:rsidRPr="00E93F40">
        <w:rPr>
          <w:color w:val="000000" w:themeColor="text1"/>
          <w:sz w:val="16"/>
          <w:szCs w:val="16"/>
        </w:rPr>
        <w:t xml:space="preserve"> </w:t>
      </w:r>
      <w:r w:rsidRPr="00E93F40">
        <w:rPr>
          <w:color w:val="000000" w:themeColor="text1"/>
          <w:sz w:val="16"/>
          <w:szCs w:val="16"/>
        </w:rPr>
        <w:t>г. закупку образцов у фирмы «Сперри» произвести Наркомвоенмору за счет своего контингента на сумму 400 000 долларов. Деньги немалые. НКВМ не ограничивалось только одной фирмой: в его задачи входило еще и ознакомление с работами по усовершенствованию ПУАЗО и других фирм, в частности предполагалось закупить по одному прибору у германских фирм Герца, Газенмайера и Виккерса (15736).</w:t>
      </w:r>
    </w:p>
    <w:p w14:paraId="66CBCF45" w14:textId="77777777" w:rsidR="00510F34" w:rsidRPr="00E93F40" w:rsidRDefault="00510F34" w:rsidP="00E93F40">
      <w:pPr>
        <w:pStyle w:val="ae"/>
        <w:spacing w:before="0" w:after="0"/>
        <w:jc w:val="both"/>
        <w:rPr>
          <w:color w:val="000000" w:themeColor="text1"/>
          <w:sz w:val="16"/>
          <w:szCs w:val="16"/>
        </w:rPr>
      </w:pPr>
    </w:p>
    <w:p w14:paraId="7CE18549"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года формально разработанный конструктором ОКБ-15 Семеном Владимировым «крупнокалиберный ШКАС» в 1934 году оказался вместе с разработчиком в КБ-2, где предполагалось заниматься доводкой и внедрением в серию 12,7-мм пулемета, получившего обозначение ШВАК. Перевод Владимирова вместе с проектом пулемета в Ковров удивительным образом совпал с остановкой производства пулемета ДК. Возможно это, конечно, совпадение, но зная пробивной характер Шпитального, нельзя исключить использование им административного ресурса.</w:t>
      </w:r>
    </w:p>
    <w:p w14:paraId="72C34FBB"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Впрочем, судьба 12,7-мм ШВАКа не сложилась. Отчасти из-за сложности конструкции, доставшейся в наследство от ШКАСа, отчасти из-за невозможности в автоматике ШВАКа использования стандартного патрона 12,7х108. В результате параллельно с дегтяревским патроном был запущен в производство идентичный по баллистике патрон для ШВАКа 12,7х108R с выступающей закраиной.</w:t>
      </w:r>
    </w:p>
    <w:p w14:paraId="49D6AFD8"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всей видимости, «наверху» посчитали все же нецелесообразным выпуск параллельно двух типов патронов, отдав предпочтение более универсальному и удобному в автоматике безрантовому, и выпуск 12,7-мм ШВАКов в 1936 году свернули в пользу 20-мм авиапушки (25566).</w:t>
      </w:r>
    </w:p>
    <w:p w14:paraId="4C24D57F" w14:textId="77777777" w:rsidR="000B1DD5" w:rsidRPr="00142305" w:rsidRDefault="000B1DD5" w:rsidP="000B1DD5">
      <w:pPr>
        <w:spacing w:after="0" w:line="240" w:lineRule="auto"/>
        <w:jc w:val="both"/>
        <w:rPr>
          <w:rFonts w:ascii="Times New Roman" w:hAnsi="Times New Roman"/>
          <w:color w:val="0070C0"/>
          <w:sz w:val="16"/>
          <w:szCs w:val="16"/>
        </w:rPr>
      </w:pPr>
    </w:p>
    <w:p w14:paraId="0615DB33" w14:textId="77777777" w:rsidR="000B1DD5" w:rsidRPr="00142305" w:rsidRDefault="000B1DD5" w:rsidP="000B1DD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 концу 1932 г. заводу № 7 удалось изготовить 44 пушки АПК-4, а сдать заказчику только 4. Остальные 40 пушек были сданы в 1933 г.</w:t>
      </w:r>
    </w:p>
    <w:p w14:paraId="0F86F205" w14:textId="77777777" w:rsidR="000B1DD5" w:rsidRPr="00142305" w:rsidRDefault="000B1DD5" w:rsidP="000B1DD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Автоматика АПК-4 работала из рук вон плохо. Поэтому Курчевский переделал ее, а пушка получила название АПК-4бис. В 1933 г. 40 пушек АПК-4 были переделаны в ОКБ-1 на АПК-4бис.</w:t>
      </w:r>
    </w:p>
    <w:p w14:paraId="46FF7006" w14:textId="77777777" w:rsidR="000B1DD5" w:rsidRPr="00142305" w:rsidRDefault="000B1DD5" w:rsidP="000B1DD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1934 г. заводу № 7 было заказано 100 пушек АПК-4бис. Трубы и сопла по-прежнему делал завод «Большевик». К концу года было собрано 28 систем и создан задел на 75 систем. Но ни одна из собранных пушек заводские испытания не выдержала. Курчевский вновь изменил чертежи. Новый вариант получил название АПК-4М. 28 собранных систем были отправлены на завод № 38 на переделку.</w:t>
      </w:r>
    </w:p>
    <w:p w14:paraId="50797796"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Параллельно с заводом № 7 к производству АПК-4 Орджоникидзе и Павлуновский решили привлечь и горьковский завод № 92. Однако руководство завода без энтузиазма отнеслось к работам над ДРП и предпочитало им заказы по дивизионным пушкам. На 1932 г. заводу № 92 заказали 16 АПК-4, но до конца года он не сдал ни одной. На следующий год заводу заказали еще 50 штук АПК-4. Но руководство завода добилось снятия заказа, и так и не сдало ни одной пушки. В 1934 г. начальство заставило завод № 92 делать хотя бы заготовки труб для АПК-4. В 1935 г. он должен был изготовить 350 труб для завода № 8, но тут горьковчане постарались и изготовили 370 труб (25213).</w:t>
      </w:r>
    </w:p>
    <w:p w14:paraId="5EED946D" w14:textId="77777777" w:rsidR="000B1DD5" w:rsidRPr="00142305" w:rsidRDefault="000B1DD5" w:rsidP="000B1DD5">
      <w:pPr>
        <w:spacing w:after="0" w:line="240" w:lineRule="auto"/>
        <w:jc w:val="both"/>
        <w:rPr>
          <w:rFonts w:ascii="Times New Roman" w:hAnsi="Times New Roman"/>
          <w:color w:val="0070C0"/>
          <w:sz w:val="16"/>
          <w:szCs w:val="16"/>
        </w:rPr>
      </w:pPr>
    </w:p>
    <w:p w14:paraId="3C1F55C9" w14:textId="77777777" w:rsidR="000B1DD5" w:rsidRPr="00142305" w:rsidRDefault="000B1DD5" w:rsidP="000B1DD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исходу 1932 г. морская авиация располагала ограниченным количеством торпед двух типов (высотная и низкая),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(25213).</w:t>
      </w:r>
    </w:p>
    <w:p w14:paraId="192AC209" w14:textId="77777777" w:rsidR="000B1DD5" w:rsidRPr="00142305" w:rsidRDefault="000B1DD5" w:rsidP="000B1DD5">
      <w:pPr>
        <w:spacing w:after="0" w:line="240" w:lineRule="auto"/>
        <w:jc w:val="both"/>
        <w:rPr>
          <w:rFonts w:ascii="Times New Roman" w:hAnsi="Times New Roman"/>
          <w:color w:val="0070C0"/>
          <w:sz w:val="16"/>
          <w:szCs w:val="16"/>
        </w:rPr>
      </w:pPr>
    </w:p>
    <w:p w14:paraId="77DDF520"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 был построен планер Г-63, сконструированный Б.Д. Урлаповым по заданию П.И. Гроховского. Аппарат, способный перевозить в крыле 16 десантников.</w:t>
      </w:r>
    </w:p>
    <w:p w14:paraId="1911C50A"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1933 г. командующий ВВС Яков Алкснис распо</w:t>
      </w:r>
      <w:r w:rsidRPr="00142305">
        <w:rPr>
          <w:rFonts w:ascii="Times New Roman" w:hAnsi="Times New Roman"/>
          <w:color w:val="0070C0"/>
          <w:sz w:val="16"/>
          <w:szCs w:val="16"/>
        </w:rPr>
        <w:softHyphen/>
        <w:t>рядился рассмотреть возможность переделки Г-31 в мотопланер. После установки мотора М-11 в 100 л.с. в носовой части фюзеляжа аппарат проходил испытания в 1935–1936 гг. под обозначением Г-31 М11 или Г-31Б. Мотопланер уверенно взлетал и на колёсах, и на лыжах. Однако лётчик-испытатель Т.Т. Маломуж счёл тяговооружённость аппарата недостаточной. Прорабатывалась возможность установки двух М-11 – видимо, на крыле. Вместо этого в 1936 г. М-11 заменили на гораздо более мощный американский двигатель Райт «Циклон» F3. Поставили двухлопастный металлический винт изменяемого шага, головки цилиндров прикрыли узким кольцом Тауненда. С новым двигателем Г-31 достиг скорости 150 км/ч., увеличился и потолок. Импортный «Циклон» вскоре заменили на его советскую копию М-25, поэтому аппарат стали именовать Г-31 М-25. В конце 1936 года работы по нему были прекращены в связи с расформированием Экспериментального института НКТП, под эгидой которого и разрабаты</w:t>
      </w:r>
      <w:r w:rsidRPr="00142305">
        <w:rPr>
          <w:rFonts w:ascii="Times New Roman" w:hAnsi="Times New Roman"/>
          <w:color w:val="0070C0"/>
          <w:sz w:val="16"/>
          <w:szCs w:val="16"/>
        </w:rPr>
        <w:softHyphen/>
        <w:t>вался этот проект (25757).</w:t>
      </w:r>
    </w:p>
    <w:p w14:paraId="59C0D724" w14:textId="77777777" w:rsidR="00DB2196" w:rsidRPr="00142305" w:rsidRDefault="00DB2196" w:rsidP="00DB2196">
      <w:pPr>
        <w:spacing w:after="0" w:line="240" w:lineRule="auto"/>
        <w:jc w:val="both"/>
        <w:rPr>
          <w:rFonts w:ascii="Times New Roman" w:hAnsi="Times New Roman"/>
          <w:color w:val="0070C0"/>
          <w:sz w:val="16"/>
          <w:szCs w:val="16"/>
        </w:rPr>
      </w:pPr>
    </w:p>
    <w:p w14:paraId="33DB6C99" w14:textId="77777777" w:rsidR="00961727" w:rsidRPr="00E93F40" w:rsidRDefault="00961727"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В конце 1932 года в Берлин было передано сообщение Всесоюзного объединения гражданского воздушного флота СССР (ВОГА):</w:t>
      </w:r>
    </w:p>
    <w:p w14:paraId="03E1FDF5" w14:textId="77777777" w:rsidR="00961727" w:rsidRPr="00E93F40" w:rsidRDefault="00961727"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"Настоящим подтверждаем, что мы предусмотрели продление в 1932 г. до станции Маньчжурия (86 разъезд) принадлежащей нам воздушной линии Москва--Иркутск с учетом метеорологических условий и подлежащих установлению эксплуатационных периодов, причем регулярное воздушное сообщение по этой линии мы предполагаем установить с 1-го мая 1932 г. Мы также предусмотрели в период времени с 1-го января до 30 апреля 1932 г. производство пробных полетов... Мы предполагаем обслуживать воздушным сообщением линию Москва--Маньчжурия с 1-го января 1933 г. в течение круглого года и будем, поскольку позволят климатические условия... производить полеты не менее одного раза в неделю в каждом направлении. Это сообщение по линии Москва--Маньчжурия (разъезд 86) будет предоставлено в пользования для прямого воздушного сообщения из Германии на Д. Восток и обратно через СССР/</w:t>
      </w:r>
    </w:p>
    <w:p w14:paraId="0FD8415A" w14:textId="77777777" w:rsidR="00961727" w:rsidRPr="00E93F40" w:rsidRDefault="009617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shd w:val="clear" w:color="auto" w:fill="FFFFFF"/>
        </w:rPr>
        <w:t>При организации и проведении соединительной линии Чита--Маньчжурия (разъезд 86) и обратно мы исходим из того положения, что Вы нам подтвердите, что Германское министерство почт или Акционерное Об-во 'Луфтганза' гарантирует нам пока на один год от 1-го мая 1932 г. Транзитную почтовую перевозку между Европой и Восточной Азией в количестве 100 килограмм на каждый совершенный нами полет в обоих направлениях между станциями Чита и Маньчжурия (86-й разъезд), т. е. поступление за каждый проведенный почтовый пролет 348 золотых франков. Для проведения указанного полета необходимо, чтобы была возможность согласовать летный план 'Дерулуфта', 'Вога' и Китайско-германского общества воздушных сообщений 'Евразия' для сквозного воздушного сообщения".(19574).</w:t>
      </w:r>
    </w:p>
    <w:p w14:paraId="764FC6A6" w14:textId="77777777" w:rsidR="00961727" w:rsidRPr="00E93F40" w:rsidRDefault="00961727" w:rsidP="00E93F40">
      <w:pPr>
        <w:spacing w:after="0" w:line="240" w:lineRule="auto"/>
        <w:jc w:val="both"/>
        <w:rPr>
          <w:rFonts w:ascii="Times New Roman" w:hAnsi="Times New Roman"/>
          <w:color w:val="000000" w:themeColor="text1"/>
          <w:sz w:val="16"/>
          <w:szCs w:val="16"/>
        </w:rPr>
      </w:pPr>
    </w:p>
    <w:p w14:paraId="6D84CD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Конец 1932г Начальником ГДЛ назначен И.Т.Клейменов (11330).</w:t>
      </w:r>
    </w:p>
    <w:p w14:paraId="1ADC24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5E3BC5" w14:textId="77777777" w:rsidR="00510F34" w:rsidRPr="00E93F40" w:rsidRDefault="00510F34"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вместо перегруженного работой и учебой в Военной электротехнической академии РККА Н.Я.Ильина, запустившего всю административную часть работы ГДЛ, с целью реорганизации ее в Газодинамический научно-исследовательский институт на должность начальника Лаборатории назначается авиационный инженер Иван Терентьевич Клейменов (15252).</w:t>
      </w:r>
    </w:p>
    <w:p w14:paraId="5C279C47" w14:textId="77777777" w:rsidR="00510F34" w:rsidRPr="00E93F40" w:rsidRDefault="00510F34" w:rsidP="00E93F40">
      <w:pPr>
        <w:shd w:val="clear" w:color="auto" w:fill="FFFFFF"/>
        <w:spacing w:after="0" w:line="240" w:lineRule="auto"/>
        <w:jc w:val="both"/>
        <w:rPr>
          <w:rFonts w:ascii="Times New Roman" w:hAnsi="Times New Roman"/>
          <w:color w:val="000000" w:themeColor="text1"/>
          <w:sz w:val="16"/>
          <w:szCs w:val="16"/>
        </w:rPr>
      </w:pPr>
    </w:p>
    <w:p w14:paraId="76A333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1933 г. опытные образцы РС-82 и РС-132 с РЗ из ПТП был и практически отработаны. В результате работ по внутренней и внешней баллистике, проведенных при участии Ю.А.Победоносцева, Д.А.Вентцеля и М.Е.Серебрякова, удалось определить оптимальные размеры пороховых шашек. Кроме того, требуемой военными величины макси</w:t>
      </w:r>
      <w:r w:rsidRPr="00E93F40">
        <w:rPr>
          <w:rFonts w:ascii="Times New Roman" w:hAnsi="Times New Roman"/>
          <w:color w:val="000000" w:themeColor="text1"/>
          <w:sz w:val="16"/>
          <w:szCs w:val="16"/>
        </w:rPr>
        <w:softHyphen/>
        <w:t>мальной скорости в 400 м/с на траектории ракетные снаряды с такими РЗ достигали при условии суммирования собственной скорости в 340-350 м/с и скорости перспективного самолета-носителя в 45-50 м/с.</w:t>
      </w:r>
    </w:p>
    <w:p w14:paraId="6E0DAB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Переход к широкомасштабным испытаниям нового оружия потребо</w:t>
      </w:r>
      <w:r w:rsidRPr="00E93F40">
        <w:rPr>
          <w:rFonts w:ascii="Times New Roman" w:hAnsi="Times New Roman"/>
          <w:color w:val="000000" w:themeColor="text1"/>
          <w:sz w:val="16"/>
          <w:szCs w:val="16"/>
        </w:rPr>
        <w:softHyphen/>
        <w:t>вал значительного количества РЗ. Однако еще на начальном этапе осво</w:t>
      </w:r>
      <w:r w:rsidRPr="00E93F40">
        <w:rPr>
          <w:rFonts w:ascii="Times New Roman" w:hAnsi="Times New Roman"/>
          <w:color w:val="000000" w:themeColor="text1"/>
          <w:sz w:val="16"/>
          <w:szCs w:val="16"/>
        </w:rPr>
        <w:softHyphen/>
        <w:t>ения производства шашек ПТП на выбранном для этого Шлиссельбургском пороховом заводе выяснилось, что метод глухого горячего прессо</w:t>
      </w:r>
      <w:r w:rsidRPr="00E93F40">
        <w:rPr>
          <w:rFonts w:ascii="Times New Roman" w:hAnsi="Times New Roman"/>
          <w:color w:val="000000" w:themeColor="text1"/>
          <w:sz w:val="16"/>
          <w:szCs w:val="16"/>
        </w:rPr>
        <w:softHyphen/>
        <w:t>вания непригоден для изготовления большого количества зарядов. примеру, в 1932 г. на ленинградских предприятиях их было изготовлено всего 6 т. Наладить непрерывное прессование по технологии балли-ститных порохов не удалось, даже несмотря на принятое на правительст-нном уровне решение и об их промышленном производстве на заводе имени Н.А. Морозова - производство ПТП отличалось низкой технологичностью и повышенной опасностью из-за склонности шашек к «пылению».</w:t>
      </w:r>
    </w:p>
    <w:p w14:paraId="1D7FEB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возникла кризисная ситуация — двигатели большого количества изготовленных корпусов опытных РС-82 и РС-132 зарядить было нечем. Испытания практически прекратились. Это потребовало разработать новый метод изготовления шашек из порохов рецептуры ПТП или применить другой порох (11402).</w:t>
      </w:r>
    </w:p>
    <w:p w14:paraId="4F8CD7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E1C352"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бригада под руковод</w:t>
      </w:r>
      <w:r w:rsidRPr="00E93F40">
        <w:rPr>
          <w:rFonts w:ascii="Times New Roman" w:hAnsi="Times New Roman"/>
          <w:color w:val="000000" w:themeColor="text1"/>
          <w:sz w:val="16"/>
          <w:szCs w:val="16"/>
        </w:rPr>
        <w:softHyphen/>
        <w:t>ством А.Б. Васенко закончила проект стратостата «Осоавиахим-1» («ОАХ-1»).</w:t>
      </w:r>
    </w:p>
    <w:p w14:paraId="2D0F1408"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«СССР-1» строился по линии ВВС по государ</w:t>
      </w:r>
      <w:r w:rsidRPr="00E93F40">
        <w:rPr>
          <w:rFonts w:ascii="Times New Roman" w:hAnsi="Times New Roman"/>
          <w:color w:val="000000" w:themeColor="text1"/>
          <w:sz w:val="16"/>
          <w:szCs w:val="16"/>
        </w:rPr>
        <w:softHyphen/>
        <w:t>ственному заказу, то «Осоавиахим-1» создала общественная организация — воздухоплаватель</w:t>
      </w:r>
      <w:r w:rsidRPr="00E93F40">
        <w:rPr>
          <w:rFonts w:ascii="Times New Roman" w:hAnsi="Times New Roman"/>
          <w:color w:val="000000" w:themeColor="text1"/>
          <w:sz w:val="16"/>
          <w:szCs w:val="16"/>
        </w:rPr>
        <w:softHyphen/>
        <w:t>ная и аэронавигационная секции Бюро воздуш</w:t>
      </w:r>
      <w:r w:rsidRPr="00E93F40">
        <w:rPr>
          <w:rFonts w:ascii="Times New Roman" w:hAnsi="Times New Roman"/>
          <w:color w:val="000000" w:themeColor="text1"/>
          <w:sz w:val="16"/>
          <w:szCs w:val="16"/>
        </w:rPr>
        <w:softHyphen/>
        <w:t>ной техники (БВТ) Ленинградского областного совета Осоавиахима, что сказалось на качестве проектных решений. Ещё в 1930 г. в план работ воздухоплавательной секции по инициативе ин</w:t>
      </w:r>
      <w:r w:rsidRPr="00E93F40">
        <w:rPr>
          <w:rFonts w:ascii="Times New Roman" w:hAnsi="Times New Roman"/>
          <w:color w:val="000000" w:themeColor="text1"/>
          <w:sz w:val="16"/>
          <w:szCs w:val="16"/>
        </w:rPr>
        <w:softHyphen/>
        <w:t>женера А.Б. Васенко включили тему «высотный аэростат». Поэтому первое время стратостат но</w:t>
      </w:r>
      <w:r w:rsidRPr="00E93F40">
        <w:rPr>
          <w:rFonts w:ascii="Times New Roman" w:hAnsi="Times New Roman"/>
          <w:color w:val="000000" w:themeColor="text1"/>
          <w:sz w:val="16"/>
          <w:szCs w:val="16"/>
        </w:rPr>
        <w:softHyphen/>
        <w:t>сил название «ВА-1». Из-за отсутствия поддерж</w:t>
      </w:r>
      <w:r w:rsidRPr="00E93F40">
        <w:rPr>
          <w:rFonts w:ascii="Times New Roman" w:hAnsi="Times New Roman"/>
          <w:color w:val="000000" w:themeColor="text1"/>
          <w:sz w:val="16"/>
          <w:szCs w:val="16"/>
        </w:rPr>
        <w:softHyphen/>
        <w:t>ки и средств работа фактически была начата толь</w:t>
      </w:r>
      <w:r w:rsidRPr="00E93F40">
        <w:rPr>
          <w:rFonts w:ascii="Times New Roman" w:hAnsi="Times New Roman"/>
          <w:color w:val="000000" w:themeColor="text1"/>
          <w:sz w:val="16"/>
          <w:szCs w:val="16"/>
        </w:rPr>
        <w:softHyphen/>
        <w:t>ко в 1932 г.</w:t>
      </w:r>
    </w:p>
    <w:p w14:paraId="36803852"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декабре 1932 г. и январе 1933 г. в Аэростати</w:t>
      </w:r>
      <w:r w:rsidRPr="00E93F40">
        <w:rPr>
          <w:rFonts w:ascii="Times New Roman" w:hAnsi="Times New Roman"/>
          <w:color w:val="000000" w:themeColor="text1"/>
          <w:sz w:val="16"/>
          <w:szCs w:val="16"/>
        </w:rPr>
        <w:softHyphen/>
        <w:t>ческой лаборатории УК ГВФ провели экспертизу для подтверждения и обоснования деталей про</w:t>
      </w:r>
      <w:r w:rsidRPr="00E93F40">
        <w:rPr>
          <w:rFonts w:ascii="Times New Roman" w:hAnsi="Times New Roman"/>
          <w:color w:val="000000" w:themeColor="text1"/>
          <w:sz w:val="16"/>
          <w:szCs w:val="16"/>
        </w:rPr>
        <w:softHyphen/>
        <w:t>екта. ЦС Осоавиахима одобрил инициативу ле</w:t>
      </w:r>
      <w:r w:rsidRPr="00E93F40">
        <w:rPr>
          <w:rFonts w:ascii="Times New Roman" w:hAnsi="Times New Roman"/>
          <w:color w:val="000000" w:themeColor="text1"/>
          <w:sz w:val="16"/>
          <w:szCs w:val="16"/>
        </w:rPr>
        <w:softHyphen/>
        <w:t>нинградцев, и на заседании президиума 21 янва</w:t>
      </w:r>
      <w:r w:rsidRPr="00E93F40">
        <w:rPr>
          <w:rFonts w:ascii="Times New Roman" w:hAnsi="Times New Roman"/>
          <w:color w:val="000000" w:themeColor="text1"/>
          <w:sz w:val="16"/>
          <w:szCs w:val="16"/>
        </w:rPr>
        <w:softHyphen/>
        <w:t>ря 1933 г. принял решение построить стратостат для полёта в течение года. Было создано Бюро по постройке стратостата, преобразованное в мае 1933 г. в бригаду по строительству и эксплу</w:t>
      </w:r>
      <w:r w:rsidRPr="00E93F40">
        <w:rPr>
          <w:rFonts w:ascii="Times New Roman" w:hAnsi="Times New Roman"/>
          <w:color w:val="000000" w:themeColor="text1"/>
          <w:sz w:val="16"/>
          <w:szCs w:val="16"/>
        </w:rPr>
        <w:softHyphen/>
        <w:t>атации стратостата, которую возглавил инже</w:t>
      </w:r>
      <w:r w:rsidRPr="00E93F40">
        <w:rPr>
          <w:rFonts w:ascii="Times New Roman" w:hAnsi="Times New Roman"/>
          <w:color w:val="000000" w:themeColor="text1"/>
          <w:sz w:val="16"/>
          <w:szCs w:val="16"/>
        </w:rPr>
        <w:softHyphen/>
        <w:t>нер-пилот П.Ф. Федосеенко. В бригаду вошли: начальник работ — инженер Е.Е. Чертовской, старший инженер — А.Б. Васенко; руководи</w:t>
      </w:r>
      <w:r w:rsidRPr="00E93F40">
        <w:rPr>
          <w:rFonts w:ascii="Times New Roman" w:hAnsi="Times New Roman"/>
          <w:color w:val="000000" w:themeColor="text1"/>
          <w:sz w:val="16"/>
          <w:szCs w:val="16"/>
        </w:rPr>
        <w:softHyphen/>
        <w:t>тель по внутреннему оборудованию — инженер Ю.К. Юцевич; руководитель по испытаниям — инженер К.С. Кирпичников; руководитель груп</w:t>
      </w:r>
      <w:r w:rsidRPr="00E93F40">
        <w:rPr>
          <w:rFonts w:ascii="Times New Roman" w:hAnsi="Times New Roman"/>
          <w:color w:val="000000" w:themeColor="text1"/>
          <w:sz w:val="16"/>
          <w:szCs w:val="16"/>
        </w:rPr>
        <w:softHyphen/>
        <w:t>пы научно-полётной и аэронавигационной — В.Ю. Веспе; руководитель эксплуатационно-тех</w:t>
      </w:r>
      <w:r w:rsidRPr="00E93F40">
        <w:rPr>
          <w:rFonts w:ascii="Times New Roman" w:hAnsi="Times New Roman"/>
          <w:color w:val="000000" w:themeColor="text1"/>
          <w:sz w:val="16"/>
          <w:szCs w:val="16"/>
        </w:rPr>
        <w:softHyphen/>
        <w:t>нической группы — Н.С. Дмитриев. Метеороло</w:t>
      </w:r>
      <w:r w:rsidRPr="00E93F40">
        <w:rPr>
          <w:rFonts w:ascii="Times New Roman" w:hAnsi="Times New Roman"/>
          <w:color w:val="000000" w:themeColor="text1"/>
          <w:sz w:val="16"/>
          <w:szCs w:val="16"/>
        </w:rPr>
        <w:softHyphen/>
        <w:t>гическое обеспечение возлагалось на профессора П.А. Молчанова. Руководство научной програм</w:t>
      </w:r>
      <w:r w:rsidRPr="00E93F40">
        <w:rPr>
          <w:rFonts w:ascii="Times New Roman" w:hAnsi="Times New Roman"/>
          <w:color w:val="000000" w:themeColor="text1"/>
          <w:sz w:val="16"/>
          <w:szCs w:val="16"/>
        </w:rPr>
        <w:softHyphen/>
        <w:t>мой полёта осуществлял академик А.Ф. Иоффе.</w:t>
      </w:r>
    </w:p>
    <w:p w14:paraId="6FFD6B37"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Тренировка экипажа и медицинская под</w:t>
      </w:r>
      <w:r w:rsidRPr="00E93F40">
        <w:rPr>
          <w:rFonts w:ascii="Times New Roman" w:hAnsi="Times New Roman"/>
          <w:color w:val="000000" w:themeColor="text1"/>
          <w:sz w:val="16"/>
          <w:szCs w:val="16"/>
        </w:rPr>
        <w:softHyphen/>
        <w:t>готовка к полёту велась группой врачей Воен</w:t>
      </w:r>
      <w:r w:rsidRPr="00E93F40">
        <w:rPr>
          <w:rFonts w:ascii="Times New Roman" w:hAnsi="Times New Roman"/>
          <w:color w:val="000000" w:themeColor="text1"/>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E93F40">
        <w:rPr>
          <w:rFonts w:ascii="Times New Roman" w:hAnsi="Times New Roman"/>
          <w:color w:val="000000" w:themeColor="text1"/>
          <w:sz w:val="16"/>
          <w:szCs w:val="16"/>
        </w:rPr>
        <w:softHyphen/>
        <w:t>лись Консультационным советом, составленным из представителей научных и инженерно-техни</w:t>
      </w:r>
      <w:r w:rsidRPr="00E93F40">
        <w:rPr>
          <w:rFonts w:ascii="Times New Roman" w:hAnsi="Times New Roman"/>
          <w:color w:val="000000" w:themeColor="text1"/>
          <w:sz w:val="16"/>
          <w:szCs w:val="16"/>
        </w:rPr>
        <w:softHyphen/>
        <w:t>ческих сил Ленинграда.</w:t>
      </w:r>
    </w:p>
    <w:p w14:paraId="68071D7B"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Главными задачами первого полёта были из</w:t>
      </w:r>
      <w:r w:rsidRPr="00E93F40">
        <w:rPr>
          <w:rFonts w:ascii="Times New Roman" w:hAnsi="Times New Roman"/>
          <w:color w:val="000000" w:themeColor="text1"/>
          <w:sz w:val="16"/>
          <w:szCs w:val="16"/>
        </w:rPr>
        <w:softHyphen/>
        <w:t>учение космических лучей и фотосъёмка с боль</w:t>
      </w:r>
      <w:r w:rsidRPr="00E93F40">
        <w:rPr>
          <w:rFonts w:ascii="Times New Roman" w:hAnsi="Times New Roman"/>
          <w:color w:val="000000" w:themeColor="text1"/>
          <w:sz w:val="16"/>
          <w:szCs w:val="16"/>
        </w:rPr>
        <w:softHyphen/>
        <w:t>ших высот. Планировалось также провести ис</w:t>
      </w:r>
      <w:r w:rsidRPr="00E93F40">
        <w:rPr>
          <w:rFonts w:ascii="Times New Roman" w:hAnsi="Times New Roman"/>
          <w:color w:val="000000" w:themeColor="text1"/>
          <w:sz w:val="16"/>
          <w:szCs w:val="16"/>
        </w:rPr>
        <w:softHyphen/>
        <w:t>следование напряжённости магнитного поля и отбор проб воздуха на разных высотах.</w:t>
      </w:r>
    </w:p>
    <w:p w14:paraId="7402E54D"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Оболочка стратостата объёмом 24 920 м3 и ди</w:t>
      </w:r>
      <w:r w:rsidRPr="00E93F40">
        <w:rPr>
          <w:rFonts w:ascii="Times New Roman" w:hAnsi="Times New Roman"/>
          <w:color w:val="000000" w:themeColor="text1"/>
          <w:sz w:val="16"/>
          <w:szCs w:val="16"/>
        </w:rPr>
        <w:softHyphen/>
        <w:t>аметром 36,24 м состояла из 25 сегментов трапе</w:t>
      </w:r>
      <w:r w:rsidRPr="00E93F40">
        <w:rPr>
          <w:rFonts w:ascii="Times New Roman" w:hAnsi="Times New Roman"/>
          <w:color w:val="000000" w:themeColor="text1"/>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E93F40">
        <w:rPr>
          <w:rFonts w:ascii="Times New Roman" w:hAnsi="Times New Roman"/>
          <w:color w:val="000000" w:themeColor="text1"/>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E93F40">
        <w:rPr>
          <w:rFonts w:ascii="Times New Roman" w:hAnsi="Times New Roman"/>
          <w:color w:val="000000" w:themeColor="text1"/>
          <w:sz w:val="16"/>
          <w:szCs w:val="16"/>
        </w:rPr>
        <w:softHyphen/>
        <w:t>слойного прорезиненного перкаля. Полный вес оболочки с аппендиксом, клапаном и разрывны</w:t>
      </w:r>
      <w:r w:rsidRPr="00E93F40">
        <w:rPr>
          <w:rFonts w:ascii="Times New Roman" w:hAnsi="Times New Roman"/>
          <w:color w:val="000000" w:themeColor="text1"/>
          <w:sz w:val="16"/>
          <w:szCs w:val="16"/>
        </w:rPr>
        <w:softHyphen/>
        <w:t>ми лентами составлял 950 кг.</w:t>
      </w:r>
    </w:p>
    <w:p w14:paraId="2E23B136"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Оболочка имела пять аппендиксов: большой в нижнем полюсе — для выхода газа при расши</w:t>
      </w:r>
      <w:r w:rsidRPr="00E93F40">
        <w:rPr>
          <w:rFonts w:ascii="Times New Roman" w:hAnsi="Times New Roman"/>
          <w:color w:val="000000" w:themeColor="text1"/>
          <w:sz w:val="16"/>
          <w:szCs w:val="16"/>
        </w:rPr>
        <w:softHyphen/>
        <w:t>рении, два малых боковых — для пропуска кла</w:t>
      </w:r>
      <w:r w:rsidRPr="00E93F40">
        <w:rPr>
          <w:rFonts w:ascii="Times New Roman" w:hAnsi="Times New Roman"/>
          <w:color w:val="000000" w:themeColor="text1"/>
          <w:sz w:val="16"/>
          <w:szCs w:val="16"/>
        </w:rPr>
        <w:softHyphen/>
        <w:t>панной верёвки и разрывной вожжи, два малых (между экватором и поясными лапами) — для наполнения оболочки водородом.</w:t>
      </w:r>
    </w:p>
    <w:p w14:paraId="2A52305F"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верхней части оболочки, в области двух</w:t>
      </w:r>
      <w:r w:rsidRPr="00E93F40">
        <w:rPr>
          <w:rFonts w:ascii="Times New Roman" w:hAnsi="Times New Roman"/>
          <w:color w:val="000000" w:themeColor="text1"/>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2E16787E"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Гондола, оплетённая сеткой, подвешивалась на 8 стропах. Хотя каждая стропа одна выдержи</w:t>
      </w:r>
      <w:r w:rsidRPr="00E93F40">
        <w:rPr>
          <w:rFonts w:ascii="Times New Roman" w:hAnsi="Times New Roman"/>
          <w:color w:val="000000" w:themeColor="text1"/>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2F19344B"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Гондола имела форму шара диаметром 2,4 м и весом около 160 кг и состояла из труб</w:t>
      </w:r>
      <w:r w:rsidRPr="00E93F40">
        <w:rPr>
          <w:rFonts w:ascii="Times New Roman" w:hAnsi="Times New Roman"/>
          <w:color w:val="000000" w:themeColor="text1"/>
          <w:sz w:val="16"/>
          <w:szCs w:val="16"/>
        </w:rPr>
        <w:softHyphen/>
        <w:t>чатого каркаса и оболочки. Каркас из стальных трубок включал 10 стрингеров и 6 горизонталь</w:t>
      </w:r>
      <w:r w:rsidRPr="00E93F40">
        <w:rPr>
          <w:rFonts w:ascii="Times New Roman" w:hAnsi="Times New Roman"/>
          <w:color w:val="000000" w:themeColor="text1"/>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E93F40">
        <w:rPr>
          <w:rFonts w:ascii="Times New Roman" w:hAnsi="Times New Roman"/>
          <w:color w:val="000000" w:themeColor="text1"/>
          <w:sz w:val="16"/>
          <w:szCs w:val="16"/>
        </w:rPr>
        <w:softHyphen/>
        <w:t>ния изнутри, воспринимала также все местные нагрузки от массы балласта, оборудования и эки</w:t>
      </w:r>
      <w:r w:rsidRPr="00E93F40">
        <w:rPr>
          <w:rFonts w:ascii="Times New Roman" w:hAnsi="Times New Roman"/>
          <w:color w:val="000000" w:themeColor="text1"/>
          <w:sz w:val="16"/>
          <w:szCs w:val="16"/>
        </w:rPr>
        <w:softHyphen/>
        <w:t>пажа, что вызвало местные деформации.</w:t>
      </w:r>
    </w:p>
    <w:p w14:paraId="74F7F5C3"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верхнем полюсе гондолы имелся лаз диаме</w:t>
      </w:r>
      <w:r w:rsidRPr="00E93F40">
        <w:rPr>
          <w:rFonts w:ascii="Times New Roman" w:hAnsi="Times New Roman"/>
          <w:color w:val="000000" w:themeColor="text1"/>
          <w:sz w:val="16"/>
          <w:szCs w:val="16"/>
        </w:rPr>
        <w:softHyphen/>
        <w:t>тром 800 мм, закрывавшийся изнутри люком. Вы</w:t>
      </w:r>
      <w:r w:rsidRPr="00E93F40">
        <w:rPr>
          <w:rFonts w:ascii="Times New Roman" w:hAnsi="Times New Roman"/>
          <w:color w:val="000000" w:themeColor="text1"/>
          <w:sz w:val="16"/>
          <w:szCs w:val="16"/>
        </w:rPr>
        <w:softHyphen/>
        <w:t>ход в него осуществлялся по верёвочной лестни</w:t>
      </w:r>
      <w:r w:rsidRPr="00E93F40">
        <w:rPr>
          <w:rFonts w:ascii="Times New Roman" w:hAnsi="Times New Roman"/>
          <w:color w:val="000000" w:themeColor="text1"/>
          <w:sz w:val="16"/>
          <w:szCs w:val="16"/>
        </w:rPr>
        <w:softHyphen/>
        <w:t>це. В целях экономии веса крышка люка не имела специального затворного механизма, а затягива</w:t>
      </w:r>
      <w:r w:rsidRPr="00E93F40">
        <w:rPr>
          <w:rFonts w:ascii="Times New Roman" w:hAnsi="Times New Roman"/>
          <w:color w:val="000000" w:themeColor="text1"/>
          <w:sz w:val="16"/>
          <w:szCs w:val="16"/>
        </w:rPr>
        <w:softHyphen/>
        <w:t>лась на винтах, укреплённых в ободе люка гондо</w:t>
      </w:r>
      <w:r w:rsidRPr="00E93F40">
        <w:rPr>
          <w:rFonts w:ascii="Times New Roman" w:hAnsi="Times New Roman"/>
          <w:color w:val="000000" w:themeColor="text1"/>
          <w:sz w:val="16"/>
          <w:szCs w:val="16"/>
        </w:rPr>
        <w:softHyphen/>
        <w:t>лы, 12 барашками. Уплотнителем для герметич</w:t>
      </w:r>
      <w:r w:rsidRPr="00E93F40">
        <w:rPr>
          <w:rFonts w:ascii="Times New Roman" w:hAnsi="Times New Roman"/>
          <w:color w:val="000000" w:themeColor="text1"/>
          <w:sz w:val="16"/>
          <w:szCs w:val="16"/>
        </w:rPr>
        <w:softHyphen/>
        <w:t>ности служила резиновая прокладка в пазу обода люка. Для открытия люка требовалось отвернуть все барашки и затем снять крышку, на что даже в наземных условиях уходило несколько минут.</w:t>
      </w:r>
    </w:p>
    <w:p w14:paraId="679C35D8"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E93F40">
        <w:rPr>
          <w:rFonts w:ascii="Times New Roman" w:hAnsi="Times New Roman"/>
          <w:color w:val="000000" w:themeColor="text1"/>
          <w:sz w:val="16"/>
          <w:szCs w:val="16"/>
        </w:rPr>
        <w:softHyphen/>
        <w:t>люминаторах использовались зеркальные стёкла толщиной 14 мм.</w:t>
      </w:r>
    </w:p>
    <w:p w14:paraId="6ECA90FC"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E93F40">
        <w:rPr>
          <w:rFonts w:ascii="Times New Roman" w:hAnsi="Times New Roman"/>
          <w:color w:val="000000" w:themeColor="text1"/>
          <w:sz w:val="16"/>
          <w:szCs w:val="16"/>
        </w:rPr>
        <w:softHyphen/>
        <w:t>ком и засыпали в воронку, из которой она пере</w:t>
      </w:r>
      <w:r w:rsidRPr="00E93F40">
        <w:rPr>
          <w:rFonts w:ascii="Times New Roman" w:hAnsi="Times New Roman"/>
          <w:color w:val="000000" w:themeColor="text1"/>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E93F40">
        <w:rPr>
          <w:rFonts w:ascii="Times New Roman" w:hAnsi="Times New Roman"/>
          <w:color w:val="000000" w:themeColor="text1"/>
          <w:sz w:val="16"/>
          <w:szCs w:val="16"/>
        </w:rPr>
        <w:softHyphen/>
        <w:t>са балласта при наземных испытаниях составля</w:t>
      </w:r>
      <w:r w:rsidRPr="00E93F40">
        <w:rPr>
          <w:rFonts w:ascii="Times New Roman" w:hAnsi="Times New Roman"/>
          <w:color w:val="000000" w:themeColor="text1"/>
          <w:sz w:val="16"/>
          <w:szCs w:val="16"/>
        </w:rPr>
        <w:softHyphen/>
        <w:t>ла 1 кг/с, что при опасном возрастании скорости спуска не позволяло быстро (менее чем за 7 ми</w:t>
      </w:r>
      <w:r w:rsidRPr="00E93F40">
        <w:rPr>
          <w:rFonts w:ascii="Times New Roman" w:hAnsi="Times New Roman"/>
          <w:color w:val="000000" w:themeColor="text1"/>
          <w:sz w:val="16"/>
          <w:szCs w:val="16"/>
        </w:rPr>
        <w:softHyphen/>
        <w:t>нут) освободиться от всего балласта. Амортизато</w:t>
      </w:r>
      <w:r w:rsidRPr="00E93F40">
        <w:rPr>
          <w:rFonts w:ascii="Times New Roman" w:hAnsi="Times New Roman"/>
          <w:color w:val="000000" w:themeColor="text1"/>
          <w:sz w:val="16"/>
          <w:szCs w:val="16"/>
        </w:rPr>
        <w:softHyphen/>
        <w:t>ром при посадке служила резиновая камера, кре</w:t>
      </w:r>
      <w:r w:rsidRPr="00E93F40">
        <w:rPr>
          <w:rFonts w:ascii="Times New Roman" w:hAnsi="Times New Roman"/>
          <w:color w:val="000000" w:themeColor="text1"/>
          <w:sz w:val="16"/>
          <w:szCs w:val="16"/>
        </w:rPr>
        <w:softHyphen/>
        <w:t>пившаяся снизу к сетке, охватывавшей гондолу.</w:t>
      </w:r>
    </w:p>
    <w:p w14:paraId="6C28F480"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обеспечения работы экипажа в гондо</w:t>
      </w:r>
      <w:r w:rsidRPr="00E93F40">
        <w:rPr>
          <w:rFonts w:ascii="Times New Roman" w:hAnsi="Times New Roman"/>
          <w:color w:val="000000" w:themeColor="text1"/>
          <w:sz w:val="16"/>
          <w:szCs w:val="16"/>
        </w:rPr>
        <w:softHyphen/>
        <w:t>ле предусматривался запас сжатого кислорода в 15-20 баллонах ёмкостью 0,8 л. В полу гондо</w:t>
      </w:r>
      <w:r w:rsidRPr="00E93F40">
        <w:rPr>
          <w:rFonts w:ascii="Times New Roman" w:hAnsi="Times New Roman"/>
          <w:color w:val="000000" w:themeColor="text1"/>
          <w:sz w:val="16"/>
          <w:szCs w:val="16"/>
        </w:rPr>
        <w:softHyphen/>
        <w:t>лы размещалась система поглощения углекисло</w:t>
      </w:r>
      <w:r w:rsidRPr="00E93F40">
        <w:rPr>
          <w:rFonts w:ascii="Times New Roman" w:hAnsi="Times New Roman"/>
          <w:color w:val="000000" w:themeColor="text1"/>
          <w:sz w:val="16"/>
          <w:szCs w:val="16"/>
        </w:rPr>
        <w:softHyphen/>
        <w:t>ты, через которую электрическим вентилятором прокачивался воздух.</w:t>
      </w:r>
    </w:p>
    <w:p w14:paraId="7A38D47F"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стратостате находилось разнообразное научное оборудование. Для исследования кос</w:t>
      </w:r>
      <w:r w:rsidRPr="00E93F40">
        <w:rPr>
          <w:rFonts w:ascii="Times New Roman" w:hAnsi="Times New Roman"/>
          <w:color w:val="000000" w:themeColor="text1"/>
          <w:sz w:val="16"/>
          <w:szCs w:val="16"/>
        </w:rPr>
        <w:softHyphen/>
        <w:t>мических лучей предназначались камера Виль</w:t>
      </w:r>
      <w:r w:rsidRPr="00E93F40">
        <w:rPr>
          <w:rFonts w:ascii="Times New Roman" w:hAnsi="Times New Roman"/>
          <w:color w:val="000000" w:themeColor="text1"/>
          <w:sz w:val="16"/>
          <w:szCs w:val="16"/>
        </w:rPr>
        <w:softHyphen/>
        <w:t>сона и два электрометра Гесса. Для исследования напряжённости магнитного поля Земли имел</w:t>
      </w:r>
      <w:r w:rsidRPr="00E93F40">
        <w:rPr>
          <w:rFonts w:ascii="Times New Roman" w:hAnsi="Times New Roman"/>
          <w:color w:val="000000" w:themeColor="text1"/>
          <w:sz w:val="16"/>
          <w:szCs w:val="16"/>
        </w:rPr>
        <w:softHyphen/>
        <w:t>ся магнетрон профессора Яновского. Оборудо</w:t>
      </w:r>
      <w:r w:rsidRPr="00E93F40">
        <w:rPr>
          <w:rFonts w:ascii="Times New Roman" w:hAnsi="Times New Roman"/>
          <w:color w:val="000000" w:themeColor="text1"/>
          <w:sz w:val="16"/>
          <w:szCs w:val="16"/>
        </w:rPr>
        <w:softHyphen/>
        <w:t>вание для фотосъёмки включало обычный и ши</w:t>
      </w:r>
      <w:r w:rsidRPr="00E93F40">
        <w:rPr>
          <w:rFonts w:ascii="Times New Roman" w:hAnsi="Times New Roman"/>
          <w:color w:val="000000" w:themeColor="text1"/>
          <w:sz w:val="16"/>
          <w:szCs w:val="16"/>
        </w:rPr>
        <w:softHyphen/>
        <w:t>рокоформатный фотоаппараты. Имелся также фотометр для измерения прозрачности атмосфе</w:t>
      </w:r>
      <w:r w:rsidRPr="00E93F40">
        <w:rPr>
          <w:rFonts w:ascii="Times New Roman" w:hAnsi="Times New Roman"/>
          <w:color w:val="000000" w:themeColor="text1"/>
          <w:sz w:val="16"/>
          <w:szCs w:val="16"/>
        </w:rPr>
        <w:softHyphen/>
        <w:t>ры и для оптических наблюдений. Для исследо</w:t>
      </w:r>
      <w:r w:rsidRPr="00E93F40">
        <w:rPr>
          <w:rFonts w:ascii="Times New Roman" w:hAnsi="Times New Roman"/>
          <w:color w:val="000000" w:themeColor="text1"/>
          <w:sz w:val="16"/>
          <w:szCs w:val="16"/>
        </w:rPr>
        <w:softHyphen/>
        <w:t xml:space="preserve">вания химического </w:t>
      </w:r>
      <w:r w:rsidRPr="00E93F40">
        <w:rPr>
          <w:rFonts w:ascii="Times New Roman" w:hAnsi="Times New Roman"/>
          <w:color w:val="000000" w:themeColor="text1"/>
          <w:sz w:val="16"/>
          <w:szCs w:val="16"/>
        </w:rPr>
        <w:lastRenderedPageBreak/>
        <w:t>состава атмосферы инженер М.В. Беженцев (ЛХТИ) разработал прибор для отбора проб воздуха, аналогичный установлен</w:t>
      </w:r>
      <w:r w:rsidRPr="00E93F40">
        <w:rPr>
          <w:rFonts w:ascii="Times New Roman" w:hAnsi="Times New Roman"/>
          <w:color w:val="000000" w:themeColor="text1"/>
          <w:sz w:val="16"/>
          <w:szCs w:val="16"/>
        </w:rPr>
        <w:softHyphen/>
        <w:t>ному на «СССР-1». Гондолу оборудовали ртут</w:t>
      </w:r>
      <w:r w:rsidRPr="00E93F40">
        <w:rPr>
          <w:rFonts w:ascii="Times New Roman" w:hAnsi="Times New Roman"/>
          <w:color w:val="000000" w:themeColor="text1"/>
          <w:sz w:val="16"/>
          <w:szCs w:val="16"/>
        </w:rPr>
        <w:softHyphen/>
        <w:t>ным чашечным барометром и микробарометра</w:t>
      </w:r>
      <w:r w:rsidRPr="00E93F40">
        <w:rPr>
          <w:rFonts w:ascii="Times New Roman" w:hAnsi="Times New Roman"/>
          <w:color w:val="000000" w:themeColor="text1"/>
          <w:sz w:val="16"/>
          <w:szCs w:val="16"/>
        </w:rPr>
        <w:softHyphen/>
        <w:t>ми для измерения малых давлений на высоте. Два метеорографа для записи давления, темпера</w:t>
      </w:r>
      <w:r w:rsidRPr="00E93F40">
        <w:rPr>
          <w:rFonts w:ascii="Times New Roman" w:hAnsi="Times New Roman"/>
          <w:color w:val="000000" w:themeColor="text1"/>
          <w:sz w:val="16"/>
          <w:szCs w:val="16"/>
        </w:rPr>
        <w:softHyphen/>
        <w:t>туры и влажности наружного воздуха поместили вне гондолы — на стропах между ней и оболоч</w:t>
      </w:r>
      <w:r w:rsidRPr="00E93F40">
        <w:rPr>
          <w:rFonts w:ascii="Times New Roman" w:hAnsi="Times New Roman"/>
          <w:color w:val="000000" w:themeColor="text1"/>
          <w:sz w:val="16"/>
          <w:szCs w:val="16"/>
        </w:rPr>
        <w:softHyphen/>
        <w:t>кой. Вне гондолы были и два термографа: один — вблизи клапана, другой — вблизи аппендикса.</w:t>
      </w:r>
    </w:p>
    <w:p w14:paraId="713D1208"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со строительством стратоста</w:t>
      </w:r>
      <w:r w:rsidRPr="00E93F40">
        <w:rPr>
          <w:rFonts w:ascii="Times New Roman" w:hAnsi="Times New Roman"/>
          <w:color w:val="000000" w:themeColor="text1"/>
          <w:sz w:val="16"/>
          <w:szCs w:val="16"/>
        </w:rPr>
        <w:softHyphen/>
        <w:t>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Усыскина это был пер</w:t>
      </w:r>
      <w:r w:rsidRPr="00E93F40">
        <w:rPr>
          <w:rFonts w:ascii="Times New Roman" w:hAnsi="Times New Roman"/>
          <w:color w:val="000000" w:themeColor="text1"/>
          <w:sz w:val="16"/>
          <w:szCs w:val="16"/>
        </w:rPr>
        <w:softHyphen/>
        <w:t>вый свободный полёт.</w:t>
      </w:r>
    </w:p>
    <w:p w14:paraId="4EE9AD86"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E93F40">
        <w:rPr>
          <w:rFonts w:ascii="Times New Roman" w:hAnsi="Times New Roman"/>
          <w:color w:val="000000" w:themeColor="text1"/>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E93F40">
        <w:rPr>
          <w:rFonts w:ascii="Times New Roman" w:hAnsi="Times New Roman"/>
          <w:color w:val="000000" w:themeColor="text1"/>
          <w:sz w:val="16"/>
          <w:szCs w:val="16"/>
        </w:rPr>
        <w:softHyphen/>
        <w:t>стата превратится в парашют.</w:t>
      </w:r>
    </w:p>
    <w:p w14:paraId="75B2C7D1"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следующий день комиссия в составе П.Ф. Федосеенко, Е.Е. Чертовского и К.С. Кир- пичникова провела успешные испытания гондо</w:t>
      </w:r>
      <w:r w:rsidRPr="00E93F40">
        <w:rPr>
          <w:rFonts w:ascii="Times New Roman" w:hAnsi="Times New Roman"/>
          <w:color w:val="000000" w:themeColor="text1"/>
          <w:sz w:val="16"/>
          <w:szCs w:val="16"/>
        </w:rPr>
        <w:softHyphen/>
        <w:t>лы на прочность и воздухонепроницаемость на заводе им. Сталина. Разрушение стёкол произо</w:t>
      </w:r>
      <w:r w:rsidRPr="00E93F40">
        <w:rPr>
          <w:rFonts w:ascii="Times New Roman" w:hAnsi="Times New Roman"/>
          <w:color w:val="000000" w:themeColor="text1"/>
          <w:sz w:val="16"/>
          <w:szCs w:val="16"/>
        </w:rPr>
        <w:softHyphen/>
        <w:t>шло при давлении 0,46 МПа (при нормальном сверхдавлении 0,07 МПа). Одновременно прове</w:t>
      </w:r>
      <w:r w:rsidRPr="00E93F40">
        <w:rPr>
          <w:rFonts w:ascii="Times New Roman" w:hAnsi="Times New Roman"/>
          <w:color w:val="000000" w:themeColor="text1"/>
          <w:sz w:val="16"/>
          <w:szCs w:val="16"/>
        </w:rPr>
        <w:softHyphen/>
        <w:t>ли продувку оболочки вентилятором (20120).</w:t>
      </w:r>
    </w:p>
    <w:p w14:paraId="66A88A78" w14:textId="77777777" w:rsidR="00F866B7" w:rsidRPr="00E93F40" w:rsidRDefault="00F866B7" w:rsidP="00E93F40">
      <w:pPr>
        <w:spacing w:after="0" w:line="240" w:lineRule="auto"/>
        <w:jc w:val="both"/>
        <w:rPr>
          <w:rFonts w:ascii="Times New Roman" w:hAnsi="Times New Roman"/>
          <w:color w:val="000000" w:themeColor="text1"/>
          <w:sz w:val="16"/>
          <w:szCs w:val="16"/>
        </w:rPr>
      </w:pPr>
    </w:p>
    <w:p w14:paraId="7B020909"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К концу 1932 года «представления» с участием маленьких мягких дирижаблей перестали производить прежнее впечатление, страна ждала большего. Дирижаблестрой проверили по партийной и хозяйственной линиям и обнаружили, что дела далеко не в порядке. В итоговом постановлении ЦКК и НК РКИ говорилось:</w:t>
      </w:r>
    </w:p>
    <w:p w14:paraId="18219F60" w14:textId="77777777" w:rsidR="00F866B7" w:rsidRPr="00E93F40" w:rsidRDefault="00F866B7" w:rsidP="00E93F40">
      <w:pPr>
        <w:widowControl w:val="0"/>
        <w:tabs>
          <w:tab w:val="left" w:pos="33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1. Отдельные успехи в работе, достигнутые Дирижаблестроем (выпуск 3-х учебных мягких дирижаблей малой кубатуры), не соответствуют размерам затраченных средств.</w:t>
      </w:r>
    </w:p>
    <w:p w14:paraId="5CEBD827" w14:textId="77777777" w:rsidR="00F866B7" w:rsidRPr="00E93F40" w:rsidRDefault="00F866B7" w:rsidP="00E93F40">
      <w:pPr>
        <w:widowControl w:val="0"/>
        <w:tabs>
          <w:tab w:val="left" w:pos="41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2. План работ 1932 г. Дирижаблестроем не выполнен.</w:t>
      </w:r>
    </w:p>
    <w:p w14:paraId="5ED0256F" w14:textId="77777777" w:rsidR="00F866B7" w:rsidRPr="00E93F40" w:rsidRDefault="00F866B7" w:rsidP="00E93F40">
      <w:pPr>
        <w:widowControl w:val="0"/>
        <w:tabs>
          <w:tab w:val="left" w:pos="361"/>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3. Строительство дирижабельной базы на ст. Долгопрудная. протекало без генерального плана и без проектов и было сорвано как по срокам, так и по качеству работ.</w:t>
      </w:r>
    </w:p>
    <w:p w14:paraId="72390849"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V Контроль над строительством со стороны Главного управления гражданского воздушного флота и Дирижаблестроя был неудовлетворительным. &lt;.&gt;</w:t>
      </w:r>
    </w:p>
    <w:p w14:paraId="10FFC71E"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VII. Иностранная техническая помощь использовалась недостаточно; освоение иностранного опыта ИТР и рабочими не обеспечено.</w:t>
      </w:r>
    </w:p>
    <w:p w14:paraId="3F868145"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Результаты обследования доложили Сталину, сопроводив их следующим резюме:</w:t>
      </w:r>
    </w:p>
    <w:p w14:paraId="261A16D3"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.На сегодня у руководства Гражданского воздушного флота нет никакой ясности в общих вопросах развития дирижаблестроения в СССР, в вопросах применения дирижаблей в транспорте, в освоении Арктики, в сельском хозяйстве, в военном деле, в вопросах типов и размеров кораблей и т. д. и т. п., другими словами, если нет ясности в целом для чего и что строить, то естественно и соответствующее внимание и качество руководства этим новым и сложным делом.</w:t>
      </w:r>
    </w:p>
    <w:p w14:paraId="51EA5F90"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На дирижаблестроение затрачено несколько десятков миллионов рублей, тратится валюта на иностранную техническую помощь, содержится специальный аппарат, а результат - 3 мягких корабля малых кубатур и убогая по своему оборудованию, строящаяся без генерального плана (до сих пор не знают, не то это будет учебная база, не то производственная база, не то порт) и до сих пор не достроенная дирижабельная база. Результаты, явно не соответствующие затраченным средствам.</w:t>
      </w:r>
    </w:p>
    <w:p w14:paraId="2760F905" w14:textId="77777777" w:rsidR="00F866B7" w:rsidRPr="00E93F40" w:rsidRDefault="00F866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lang w:eastAsia="ru-RU" w:bidi="ru-RU"/>
        </w:rPr>
        <w:t>В том же духе был выдержан доклад НК РКИ о работе Аэрофлота, представленный в Политбюро в феврале 1933 года (23192).</w:t>
      </w:r>
    </w:p>
    <w:p w14:paraId="4E3E0943" w14:textId="77777777" w:rsidR="00F866B7" w:rsidRPr="00E93F40" w:rsidRDefault="00F866B7" w:rsidP="00E93F40">
      <w:pPr>
        <w:spacing w:after="0" w:line="240" w:lineRule="auto"/>
        <w:jc w:val="both"/>
        <w:rPr>
          <w:rFonts w:ascii="Times New Roman" w:hAnsi="Times New Roman"/>
          <w:color w:val="000000" w:themeColor="text1"/>
          <w:sz w:val="16"/>
          <w:szCs w:val="16"/>
        </w:rPr>
      </w:pPr>
    </w:p>
    <w:p w14:paraId="39AEFE10" w14:textId="77777777" w:rsidR="005C2332" w:rsidRPr="00E93F40" w:rsidRDefault="005C233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в системе Осоавиахима насчитывалось 60 планерных и станций, 550 планеров учебного типа, 1800 планеристов, 137 инструкторов-планеристов и 105 пилотов-парителей (23370).</w:t>
      </w:r>
    </w:p>
    <w:p w14:paraId="0955807C" w14:textId="77777777" w:rsidR="005C2332" w:rsidRPr="00E93F40" w:rsidRDefault="005C2332" w:rsidP="00E93F40">
      <w:pPr>
        <w:spacing w:after="0" w:line="240" w:lineRule="auto"/>
        <w:jc w:val="both"/>
        <w:rPr>
          <w:rFonts w:ascii="Times New Roman" w:hAnsi="Times New Roman"/>
          <w:color w:val="000000" w:themeColor="text1"/>
          <w:sz w:val="16"/>
          <w:szCs w:val="16"/>
        </w:rPr>
      </w:pPr>
    </w:p>
    <w:p w14:paraId="6E3242F8"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бригады ГИРД проектировали 8 ракетных двигате</w:t>
      </w:r>
      <w:r w:rsidRPr="00E93F40">
        <w:rPr>
          <w:rFonts w:ascii="Times New Roman" w:hAnsi="Times New Roman"/>
          <w:color w:val="000000" w:themeColor="text1"/>
          <w:sz w:val="16"/>
          <w:szCs w:val="16"/>
        </w:rPr>
        <w:softHyphen/>
        <w:t>лей и летательных аппаратов. Но воз</w:t>
      </w:r>
      <w:r w:rsidRPr="00E93F40">
        <w:rPr>
          <w:rFonts w:ascii="Times New Roman" w:hAnsi="Times New Roman"/>
          <w:color w:val="000000" w:themeColor="text1"/>
          <w:sz w:val="16"/>
          <w:szCs w:val="16"/>
        </w:rPr>
        <w:softHyphen/>
        <w:t>никавшие при этом проблемы ока</w:t>
      </w:r>
      <w:r w:rsidRPr="00E93F40">
        <w:rPr>
          <w:rFonts w:ascii="Times New Roman" w:hAnsi="Times New Roman"/>
          <w:color w:val="000000" w:themeColor="text1"/>
          <w:sz w:val="16"/>
          <w:szCs w:val="16"/>
        </w:rPr>
        <w:softHyphen/>
        <w:t>зались гораздо более трудными, чем раньше думали члены группы. Цан</w:t>
      </w:r>
      <w:r w:rsidRPr="00E93F40">
        <w:rPr>
          <w:rFonts w:ascii="Times New Roman" w:hAnsi="Times New Roman"/>
          <w:color w:val="000000" w:themeColor="text1"/>
          <w:sz w:val="16"/>
          <w:szCs w:val="16"/>
        </w:rPr>
        <w:softHyphen/>
        <w:t>дер и Королев поняли, что для приоб</w:t>
      </w:r>
      <w:r w:rsidRPr="00E93F40">
        <w:rPr>
          <w:rFonts w:ascii="Times New Roman" w:hAnsi="Times New Roman"/>
          <w:color w:val="000000" w:themeColor="text1"/>
          <w:sz w:val="16"/>
          <w:szCs w:val="16"/>
        </w:rPr>
        <w:softHyphen/>
        <w:t>ретения опыта их решения надо сна</w:t>
      </w:r>
      <w:r w:rsidRPr="00E93F40">
        <w:rPr>
          <w:rFonts w:ascii="Times New Roman" w:hAnsi="Times New Roman"/>
          <w:color w:val="000000" w:themeColor="text1"/>
          <w:sz w:val="16"/>
          <w:szCs w:val="16"/>
        </w:rPr>
        <w:softHyphen/>
        <w:t>чала построить и испытать несколько ракет самой простой конструкции, но на жидком топливе. Этим занялась 2-я бригада во главе с Михаилом Ти</w:t>
      </w:r>
      <w:r w:rsidRPr="00E93F40">
        <w:rPr>
          <w:rFonts w:ascii="Times New Roman" w:hAnsi="Times New Roman"/>
          <w:color w:val="000000" w:themeColor="text1"/>
          <w:sz w:val="16"/>
          <w:szCs w:val="16"/>
        </w:rPr>
        <w:softHyphen/>
        <w:t>хонравовым. Члены бригады под его руководством спроектировали 10 ра</w:t>
      </w:r>
      <w:r w:rsidRPr="00E93F40">
        <w:rPr>
          <w:rFonts w:ascii="Times New Roman" w:hAnsi="Times New Roman"/>
          <w:color w:val="000000" w:themeColor="text1"/>
          <w:sz w:val="16"/>
          <w:szCs w:val="16"/>
        </w:rPr>
        <w:softHyphen/>
        <w:t>кет, 6 из них построили, три ракеты (07, 09, 13) удалось довести до этапа лётных испытаний.</w:t>
      </w:r>
    </w:p>
    <w:p w14:paraId="1940122B"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мнению самого Тихонравова, роль этих ракет заключалась лишь в том, чтобы летать, доказывая тем самым жизнеспособ</w:t>
      </w:r>
      <w:r w:rsidRPr="00E93F40">
        <w:rPr>
          <w:rFonts w:ascii="Times New Roman" w:hAnsi="Times New Roman"/>
          <w:color w:val="000000" w:themeColor="text1"/>
          <w:sz w:val="16"/>
          <w:szCs w:val="16"/>
        </w:rPr>
        <w:softHyphen/>
        <w:t>ность идеи ЖРД (о ракетах американца Годдарда и немца Винкле</w:t>
      </w:r>
      <w:r w:rsidRPr="00E93F40">
        <w:rPr>
          <w:rFonts w:ascii="Times New Roman" w:hAnsi="Times New Roman"/>
          <w:color w:val="000000" w:themeColor="text1"/>
          <w:sz w:val="16"/>
          <w:szCs w:val="16"/>
        </w:rPr>
        <w:softHyphen/>
        <w:t>ра на жидком топливе в СССР ещё не знали).</w:t>
      </w:r>
    </w:p>
    <w:p w14:paraId="4A05A8A7"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 К. Тихонравов, несмотря на молодость, имел большой опыт в разработке планёров, отличавшихся оригинальностью конструкций. Не удивительно, что он попытался применить в ра</w:t>
      </w:r>
      <w:r w:rsidRPr="00E93F40">
        <w:rPr>
          <w:rFonts w:ascii="Times New Roman" w:hAnsi="Times New Roman"/>
          <w:color w:val="000000" w:themeColor="text1"/>
          <w:sz w:val="16"/>
          <w:szCs w:val="16"/>
        </w:rPr>
        <w:softHyphen/>
        <w:t>кетной технике принципы авиационного проектирования.</w:t>
      </w:r>
    </w:p>
    <w:p w14:paraId="5623EEE0"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Познакомимся с этими ракетами.</w:t>
      </w:r>
    </w:p>
    <w:p w14:paraId="3B8FE9E8"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Ракета 03</w:t>
      </w:r>
    </w:p>
    <w:p w14:paraId="1B0D3DA7"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Ракету построили в 1935 г., но о ней мало что известно. Дли</w:t>
      </w:r>
      <w:r w:rsidRPr="00E93F40">
        <w:rPr>
          <w:rFonts w:ascii="Times New Roman" w:hAnsi="Times New Roman"/>
          <w:color w:val="000000" w:themeColor="text1"/>
          <w:sz w:val="16"/>
          <w:szCs w:val="16"/>
        </w:rPr>
        <w:softHyphen/>
        <w:t>на 173 см, диаметр 13,5 см. Размах 4-х стабилизаторов составил 44 см, каждый из них имел изгиб по продольной оси для предот</w:t>
      </w:r>
      <w:r w:rsidRPr="00E93F40">
        <w:rPr>
          <w:rFonts w:ascii="Times New Roman" w:hAnsi="Times New Roman"/>
          <w:color w:val="000000" w:themeColor="text1"/>
          <w:sz w:val="16"/>
          <w:szCs w:val="16"/>
        </w:rPr>
        <w:softHyphen/>
        <w:t>вращения коробления жести. Летных испытаний не было.</w:t>
      </w:r>
    </w:p>
    <w:p w14:paraId="6602F75F"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Ракета 05</w:t>
      </w:r>
    </w:p>
    <w:p w14:paraId="1AD8F133"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305 см, диаметр 27 см. Стартовый вес 96,6 кг. Двигатель к ней (ОРМ-50 с тягой 150 кг/сек) сконструировал В. П. Глушко в Газодинамической лаборатории.</w:t>
      </w:r>
    </w:p>
    <w:p w14:paraId="0FA9E468"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 работал на керосине и азотной кислоте, хранившихся вну</w:t>
      </w:r>
      <w:r w:rsidRPr="00E93F40">
        <w:rPr>
          <w:rFonts w:ascii="Times New Roman" w:hAnsi="Times New Roman"/>
          <w:color w:val="000000" w:themeColor="text1"/>
          <w:sz w:val="16"/>
          <w:szCs w:val="16"/>
        </w:rPr>
        <w:softHyphen/>
        <w:t>три корпуса в 4-х вертикальных трубчатых баках. Камеру сгора</w:t>
      </w:r>
      <w:r w:rsidRPr="00E93F40">
        <w:rPr>
          <w:rFonts w:ascii="Times New Roman" w:hAnsi="Times New Roman"/>
          <w:color w:val="000000" w:themeColor="text1"/>
          <w:sz w:val="16"/>
          <w:szCs w:val="16"/>
        </w:rPr>
        <w:softHyphen/>
        <w:t>ния охлаждал поток кислоты, подававшийся по регенеративному принципу. Двигатель не выдержал огневых испытаний. Поэтому до пусков ракеты дело не дошло.</w:t>
      </w:r>
    </w:p>
    <w:p w14:paraId="03AC2A13"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Ракета 06</w:t>
      </w:r>
    </w:p>
    <w:p w14:paraId="7ED6C888"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220 см, диаметр 17,6 см. Детали неизвестны. Лётных ис</w:t>
      </w:r>
      <w:r w:rsidRPr="00E93F40">
        <w:rPr>
          <w:rFonts w:ascii="Times New Roman" w:hAnsi="Times New Roman"/>
          <w:color w:val="000000" w:themeColor="text1"/>
          <w:sz w:val="16"/>
          <w:szCs w:val="16"/>
        </w:rPr>
        <w:softHyphen/>
        <w:t>пытаний не было.</w:t>
      </w:r>
    </w:p>
    <w:p w14:paraId="10D7FB00"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Ракета 07</w:t>
      </w:r>
    </w:p>
    <w:p w14:paraId="48C4F090"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Она имела весьма необычную форму и необычное внутрен</w:t>
      </w:r>
      <w:r w:rsidRPr="00E93F40">
        <w:rPr>
          <w:rFonts w:ascii="Times New Roman" w:hAnsi="Times New Roman"/>
          <w:color w:val="000000" w:themeColor="text1"/>
          <w:sz w:val="16"/>
          <w:szCs w:val="16"/>
        </w:rPr>
        <w:softHyphen/>
        <w:t>нее устройство. Двигатель находился в верхней части корпуса. По замыслу конструктора, это делало ракету более устойчивой в полете, так как центр тяги при работающем двигателе был выше центра тяжести. Баки с горючим в виде труб (две с жидким кис</w:t>
      </w:r>
      <w:r w:rsidRPr="00E93F40">
        <w:rPr>
          <w:rFonts w:ascii="Times New Roman" w:hAnsi="Times New Roman"/>
          <w:color w:val="000000" w:themeColor="text1"/>
          <w:sz w:val="16"/>
          <w:szCs w:val="16"/>
        </w:rPr>
        <w:softHyphen/>
        <w:t>лородом, две с керосином) находились внутри больших стабили</w:t>
      </w:r>
      <w:r w:rsidRPr="00E93F40">
        <w:rPr>
          <w:rFonts w:ascii="Times New Roman" w:hAnsi="Times New Roman"/>
          <w:color w:val="000000" w:themeColor="text1"/>
          <w:sz w:val="16"/>
          <w:szCs w:val="16"/>
        </w:rPr>
        <w:softHyphen/>
        <w:t>заторов, и попарно соединялись в головной части ракеты.</w:t>
      </w:r>
    </w:p>
    <w:p w14:paraId="464D9BAE"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Парашют с выбрасывающим механизмом и баллон со сжатым воздухом тоже были помещены в верхней части ракеты.</w:t>
      </w:r>
    </w:p>
    <w:p w14:paraId="2A5A341C"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Её каркас был сделан из алюми</w:t>
      </w:r>
      <w:r w:rsidRPr="00E93F40">
        <w:rPr>
          <w:rFonts w:ascii="Times New Roman" w:hAnsi="Times New Roman"/>
          <w:color w:val="000000" w:themeColor="text1"/>
          <w:sz w:val="16"/>
          <w:szCs w:val="16"/>
        </w:rPr>
        <w:softHyphen/>
        <w:t>ниевых профилей с отверстиями. Он обеспечивал жесткость конструк</w:t>
      </w:r>
      <w:r w:rsidRPr="00E93F40">
        <w:rPr>
          <w:rFonts w:ascii="Times New Roman" w:hAnsi="Times New Roman"/>
          <w:color w:val="000000" w:themeColor="text1"/>
          <w:sz w:val="16"/>
          <w:szCs w:val="16"/>
        </w:rPr>
        <w:softHyphen/>
        <w:t>ции. Каркас обшили листовым алю</w:t>
      </w:r>
      <w:r w:rsidRPr="00E93F40">
        <w:rPr>
          <w:rFonts w:ascii="Times New Roman" w:hAnsi="Times New Roman"/>
          <w:color w:val="000000" w:themeColor="text1"/>
          <w:sz w:val="16"/>
          <w:szCs w:val="16"/>
        </w:rPr>
        <w:softHyphen/>
        <w:t>минием.</w:t>
      </w:r>
    </w:p>
    <w:p w14:paraId="618DDE1A"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первому варианту проекта, при весе 24 кг ракета должна была подняться на высоту около 10 км (!), после чего пиропатрон выбросит из её головной части парашют, и она плавно опустится на землю.</w:t>
      </w:r>
    </w:p>
    <w:p w14:paraId="1A8E73AC"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неё спроектировали и по</w:t>
      </w:r>
      <w:r w:rsidRPr="00E93F40">
        <w:rPr>
          <w:rFonts w:ascii="Times New Roman" w:hAnsi="Times New Roman"/>
          <w:color w:val="000000" w:themeColor="text1"/>
          <w:sz w:val="16"/>
          <w:szCs w:val="16"/>
        </w:rPr>
        <w:softHyphen/>
        <w:t>строили специальный двигатель. Однако он не выдержал огневых ис</w:t>
      </w:r>
      <w:r w:rsidRPr="00E93F40">
        <w:rPr>
          <w:rFonts w:ascii="Times New Roman" w:hAnsi="Times New Roman"/>
          <w:color w:val="000000" w:themeColor="text1"/>
          <w:sz w:val="16"/>
          <w:szCs w:val="16"/>
        </w:rPr>
        <w:softHyphen/>
        <w:t>пытаний. Тогда поставили двигатель ракеты ГИРД-10, который хотя и ра</w:t>
      </w:r>
      <w:r w:rsidRPr="00E93F40">
        <w:rPr>
          <w:rFonts w:ascii="Times New Roman" w:hAnsi="Times New Roman"/>
          <w:color w:val="000000" w:themeColor="text1"/>
          <w:sz w:val="16"/>
          <w:szCs w:val="16"/>
        </w:rPr>
        <w:softHyphen/>
        <w:t>ботал, но не развивал достаточной тяги. Пришлось взять уже отработан</w:t>
      </w:r>
      <w:r w:rsidRPr="00E93F40">
        <w:rPr>
          <w:rFonts w:ascii="Times New Roman" w:hAnsi="Times New Roman"/>
          <w:color w:val="000000" w:themeColor="text1"/>
          <w:sz w:val="16"/>
          <w:szCs w:val="16"/>
        </w:rPr>
        <w:softHyphen/>
        <w:t>ный двигатель ОР-2.</w:t>
      </w:r>
    </w:p>
    <w:p w14:paraId="65F85A5C"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детали ракеты изготовили к маю 1933 г., в июне начали сборку и отладку. Но в это время бригаде № 2 поручили форсированное создание ракеты 09 и доводку «седьмой» надолго отложили.</w:t>
      </w:r>
    </w:p>
    <w:p w14:paraId="03AF6334"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Первые два пуска состоялись только летом 1935 г., когда ГИРД уже превратился в РНИИ. В первом полете на 8-й секунде заго</w:t>
      </w:r>
      <w:r w:rsidRPr="00E93F40">
        <w:rPr>
          <w:rFonts w:ascii="Times New Roman" w:hAnsi="Times New Roman"/>
          <w:color w:val="000000" w:themeColor="text1"/>
          <w:sz w:val="16"/>
          <w:szCs w:val="16"/>
        </w:rPr>
        <w:softHyphen/>
        <w:t>релся и взорвался топливный бак внутри одного из стабилизато</w:t>
      </w:r>
      <w:r w:rsidRPr="00E93F40">
        <w:rPr>
          <w:rFonts w:ascii="Times New Roman" w:hAnsi="Times New Roman"/>
          <w:color w:val="000000" w:themeColor="text1"/>
          <w:sz w:val="16"/>
          <w:szCs w:val="16"/>
        </w:rPr>
        <w:softHyphen/>
        <w:t>ров. Ракета упала на землю. Во втором пуске она поднялась по вертикали примерно на 400 метров, потом отклонилась и улетела далеко в лес. Её не нашли.</w:t>
      </w:r>
    </w:p>
    <w:p w14:paraId="7A7D64F4" w14:textId="77777777" w:rsidR="00DE06A7" w:rsidRPr="00E93F40" w:rsidRDefault="00DE06A7" w:rsidP="00E93F40">
      <w:pPr>
        <w:spacing w:after="0" w:line="240" w:lineRule="auto"/>
        <w:jc w:val="both"/>
        <w:rPr>
          <w:rFonts w:ascii="Times New Roman" w:hAnsi="Times New Roman"/>
          <w:color w:val="000000" w:themeColor="text1"/>
          <w:sz w:val="16"/>
          <w:szCs w:val="16"/>
        </w:rPr>
      </w:pPr>
      <w:bookmarkStart w:id="54" w:name="bookmark43"/>
      <w:r w:rsidRPr="00E93F40">
        <w:rPr>
          <w:rFonts w:ascii="Times New Roman" w:hAnsi="Times New Roman"/>
          <w:color w:val="000000" w:themeColor="text1"/>
          <w:sz w:val="16"/>
          <w:szCs w:val="16"/>
        </w:rPr>
        <w:t>Ракета 09</w:t>
      </w:r>
      <w:bookmarkEnd w:id="54"/>
    </w:p>
    <w:p w14:paraId="3796E525"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мае 1933 г. бригада № 2 приступила к ускоренному созда</w:t>
      </w:r>
      <w:r w:rsidRPr="00E93F40">
        <w:rPr>
          <w:rFonts w:ascii="Times New Roman" w:hAnsi="Times New Roman"/>
          <w:color w:val="000000" w:themeColor="text1"/>
          <w:sz w:val="16"/>
          <w:szCs w:val="16"/>
        </w:rPr>
        <w:softHyphen/>
        <w:t>нию ракеты 09. Начали с огневых испытаний двигателя на стен</w:t>
      </w:r>
      <w:r w:rsidRPr="00E93F40">
        <w:rPr>
          <w:rFonts w:ascii="Times New Roman" w:hAnsi="Times New Roman"/>
          <w:color w:val="000000" w:themeColor="text1"/>
          <w:sz w:val="16"/>
          <w:szCs w:val="16"/>
        </w:rPr>
        <w:softHyphen/>
        <w:t>де. Но чтобы добиться устойчивой тяги потребовалось пять ме</w:t>
      </w:r>
      <w:r w:rsidRPr="00E93F40">
        <w:rPr>
          <w:rFonts w:ascii="Times New Roman" w:hAnsi="Times New Roman"/>
          <w:color w:val="000000" w:themeColor="text1"/>
          <w:sz w:val="16"/>
          <w:szCs w:val="16"/>
        </w:rPr>
        <w:softHyphen/>
        <w:t>сяцев.</w:t>
      </w:r>
    </w:p>
    <w:p w14:paraId="32E183B3"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этому времени гирдовцы уже поняли, что основные труд</w:t>
      </w:r>
      <w:r w:rsidRPr="00E93F40">
        <w:rPr>
          <w:rFonts w:ascii="Times New Roman" w:hAnsi="Times New Roman"/>
          <w:color w:val="000000" w:themeColor="text1"/>
          <w:sz w:val="16"/>
          <w:szCs w:val="16"/>
        </w:rPr>
        <w:softHyphen/>
        <w:t>ности при создании ракетных двигателей на жидком топливе заключаются в том, что оба компонента топлива (горючее и окис</w:t>
      </w:r>
      <w:r w:rsidRPr="00E93F40">
        <w:rPr>
          <w:rFonts w:ascii="Times New Roman" w:hAnsi="Times New Roman"/>
          <w:color w:val="000000" w:themeColor="text1"/>
          <w:sz w:val="16"/>
          <w:szCs w:val="16"/>
        </w:rPr>
        <w:softHyphen/>
        <w:t>литель) требуется подавать в камеру сгорания (КС) постепенно, в строго заданном соотношении.</w:t>
      </w:r>
    </w:p>
    <w:p w14:paraId="108639E7"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Обойти эту трудность в проекте 09 удалось благодаря при</w:t>
      </w:r>
      <w:r w:rsidRPr="00E93F40">
        <w:rPr>
          <w:rFonts w:ascii="Times New Roman" w:hAnsi="Times New Roman"/>
          <w:color w:val="000000" w:themeColor="text1"/>
          <w:sz w:val="16"/>
          <w:szCs w:val="16"/>
        </w:rPr>
        <w:softHyphen/>
        <w:t>менению в качестве горю</w:t>
      </w:r>
      <w:r w:rsidRPr="00E93F40">
        <w:rPr>
          <w:rFonts w:ascii="Times New Roman" w:hAnsi="Times New Roman"/>
          <w:color w:val="000000" w:themeColor="text1"/>
          <w:sz w:val="16"/>
          <w:szCs w:val="16"/>
        </w:rPr>
        <w:softHyphen/>
        <w:t>чего сгущенного бензина (в виде густого геля), который разработали по заказу ГИРД ученые-нефтяники в Баку. Они смешали бензин с кани</w:t>
      </w:r>
      <w:r w:rsidRPr="00E93F40">
        <w:rPr>
          <w:rFonts w:ascii="Times New Roman" w:hAnsi="Times New Roman"/>
          <w:color w:val="000000" w:themeColor="text1"/>
          <w:sz w:val="16"/>
          <w:szCs w:val="16"/>
        </w:rPr>
        <w:softHyphen/>
        <w:t>фолью, смолой темного цвета, полученной из скипидара.</w:t>
      </w:r>
    </w:p>
    <w:p w14:paraId="08681E86"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Непосредственно перед за</w:t>
      </w:r>
      <w:r w:rsidRPr="00E93F40">
        <w:rPr>
          <w:rFonts w:ascii="Times New Roman" w:hAnsi="Times New Roman"/>
          <w:color w:val="000000" w:themeColor="text1"/>
          <w:sz w:val="16"/>
          <w:szCs w:val="16"/>
        </w:rPr>
        <w:softHyphen/>
        <w:t>пуском двигателя гель распо</w:t>
      </w:r>
      <w:r w:rsidRPr="00E93F40">
        <w:rPr>
          <w:rFonts w:ascii="Times New Roman" w:hAnsi="Times New Roman"/>
          <w:color w:val="000000" w:themeColor="text1"/>
          <w:sz w:val="16"/>
          <w:szCs w:val="16"/>
        </w:rPr>
        <w:softHyphen/>
        <w:t>лагали в КС кольцевым слоем вплотную к её внешним стен</w:t>
      </w:r>
      <w:r w:rsidRPr="00E93F40">
        <w:rPr>
          <w:rFonts w:ascii="Times New Roman" w:hAnsi="Times New Roman"/>
          <w:color w:val="000000" w:themeColor="text1"/>
          <w:sz w:val="16"/>
          <w:szCs w:val="16"/>
        </w:rPr>
        <w:softHyphen/>
        <w:t>кам. Через перфорированную внутреннюю стенку гель по</w:t>
      </w:r>
      <w:r w:rsidRPr="00E93F40">
        <w:rPr>
          <w:rFonts w:ascii="Times New Roman" w:hAnsi="Times New Roman"/>
          <w:color w:val="000000" w:themeColor="text1"/>
          <w:sz w:val="16"/>
          <w:szCs w:val="16"/>
        </w:rPr>
        <w:softHyphen/>
        <w:t>ступал в центр камеры (одно</w:t>
      </w:r>
      <w:r w:rsidRPr="00E93F40">
        <w:rPr>
          <w:rFonts w:ascii="Times New Roman" w:hAnsi="Times New Roman"/>
          <w:color w:val="000000" w:themeColor="text1"/>
          <w:sz w:val="16"/>
          <w:szCs w:val="16"/>
        </w:rPr>
        <w:softHyphen/>
        <w:t>временно защищая внешние стенки от прогара). Из бака требовалось подавать только жидкий кислород. Он быстро испарялся при нормальной температуре, что позволило обойтись без насоса и акку</w:t>
      </w:r>
      <w:r w:rsidRPr="00E93F40">
        <w:rPr>
          <w:rFonts w:ascii="Times New Roman" w:hAnsi="Times New Roman"/>
          <w:color w:val="000000" w:themeColor="text1"/>
          <w:sz w:val="16"/>
          <w:szCs w:val="16"/>
        </w:rPr>
        <w:softHyphen/>
        <w:t>мулятора давления: кислород поступал в КС под давлением соб</w:t>
      </w:r>
      <w:r w:rsidRPr="00E93F40">
        <w:rPr>
          <w:rFonts w:ascii="Times New Roman" w:hAnsi="Times New Roman"/>
          <w:color w:val="000000" w:themeColor="text1"/>
          <w:sz w:val="16"/>
          <w:szCs w:val="16"/>
        </w:rPr>
        <w:softHyphen/>
        <w:t>ственных паров.</w:t>
      </w:r>
    </w:p>
    <w:p w14:paraId="1D67B8B9"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с двигателем шла доводка порохового выбрасы</w:t>
      </w:r>
      <w:r w:rsidRPr="00E93F40">
        <w:rPr>
          <w:rFonts w:ascii="Times New Roman" w:hAnsi="Times New Roman"/>
          <w:color w:val="000000" w:themeColor="text1"/>
          <w:sz w:val="16"/>
          <w:szCs w:val="16"/>
        </w:rPr>
        <w:softHyphen/>
        <w:t>вателя парашюта, а в аэродинамической трубе МАИ продували макеты корпуса ракеты без стабилизаторов и со стабилизаторами различной формы. Продувки позволили улучшить аэродинами</w:t>
      </w:r>
      <w:r w:rsidRPr="00E93F40">
        <w:rPr>
          <w:rFonts w:ascii="Times New Roman" w:hAnsi="Times New Roman"/>
          <w:color w:val="000000" w:themeColor="text1"/>
          <w:sz w:val="16"/>
          <w:szCs w:val="16"/>
        </w:rPr>
        <w:softHyphen/>
        <w:t>ческую компоновку.</w:t>
      </w:r>
    </w:p>
    <w:p w14:paraId="2F2653F8"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итоге получилась ракета длиной 260 см, диаметром 17,8 см. Стартовый вес 19 кг, проектная тяга двигателя 50 кг/сек.</w:t>
      </w:r>
    </w:p>
    <w:p w14:paraId="6C7024DC"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Собранную ракету привезли на инженерный полигон рядом с подмосковным поселком Нахабино 17 августа 1933 г. и устано</w:t>
      </w:r>
      <w:r w:rsidRPr="00E93F40">
        <w:rPr>
          <w:rFonts w:ascii="Times New Roman" w:hAnsi="Times New Roman"/>
          <w:color w:val="000000" w:themeColor="text1"/>
          <w:sz w:val="16"/>
          <w:szCs w:val="16"/>
        </w:rPr>
        <w:softHyphen/>
        <w:t>вили в пусковой станок. Заправили сгущенный бензин и жидкий кислород. Давление в кислородном баллоне не достигло необхо</w:t>
      </w:r>
      <w:r w:rsidRPr="00E93F40">
        <w:rPr>
          <w:rFonts w:ascii="Times New Roman" w:hAnsi="Times New Roman"/>
          <w:color w:val="000000" w:themeColor="text1"/>
          <w:sz w:val="16"/>
          <w:szCs w:val="16"/>
        </w:rPr>
        <w:softHyphen/>
        <w:t>димого значения из-за заклинившего клапана, и ракету запусти</w:t>
      </w:r>
      <w:r w:rsidRPr="00E93F40">
        <w:rPr>
          <w:rFonts w:ascii="Times New Roman" w:hAnsi="Times New Roman"/>
          <w:color w:val="000000" w:themeColor="text1"/>
          <w:sz w:val="16"/>
          <w:szCs w:val="16"/>
        </w:rPr>
        <w:softHyphen/>
        <w:t>ли при давлении только 13,5 атмосфер. Тяга снизилась, но все же ракета вышла из станка и по вертикали устремилась вверх.</w:t>
      </w:r>
    </w:p>
    <w:p w14:paraId="25430EF9"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 длился всего лишь 18 секунд: на высоте около 400 мет ров прогорела стенка камеры сгорания и ракета, кувыркаясь, рухнула на землю. При пуске второго экземпляра осенью 1933 г. после подъёма пример</w:t>
      </w:r>
      <w:r w:rsidRPr="00E93F40">
        <w:rPr>
          <w:rFonts w:ascii="Times New Roman" w:hAnsi="Times New Roman"/>
          <w:color w:val="000000" w:themeColor="text1"/>
          <w:sz w:val="16"/>
          <w:szCs w:val="16"/>
        </w:rPr>
        <w:softHyphen/>
        <w:t>но на 100 м взорвался двига</w:t>
      </w:r>
      <w:r w:rsidRPr="00E93F40">
        <w:rPr>
          <w:rFonts w:ascii="Times New Roman" w:hAnsi="Times New Roman"/>
          <w:color w:val="000000" w:themeColor="text1"/>
          <w:sz w:val="16"/>
          <w:szCs w:val="16"/>
        </w:rPr>
        <w:softHyphen/>
        <w:t>тель. Тем не менее два полёта первой советской ракеты на жидком топливе состоялись!</w:t>
      </w:r>
    </w:p>
    <w:p w14:paraId="18A23476"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Ракета 10</w:t>
      </w:r>
    </w:p>
    <w:p w14:paraId="21C349B8"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Проектировать эту ракету и двигатель для неё Цандер начал в январе 1933 г. Горючим для двигателя грушевидной формы служил бензин, окис</w:t>
      </w:r>
      <w:r w:rsidRPr="00E93F40">
        <w:rPr>
          <w:rFonts w:ascii="Times New Roman" w:hAnsi="Times New Roman"/>
          <w:color w:val="000000" w:themeColor="text1"/>
          <w:sz w:val="16"/>
          <w:szCs w:val="16"/>
        </w:rPr>
        <w:softHyphen/>
        <w:t>лителем — жидкий кислород. Но строить его осиротевшей бригаде пришлось уже без изобретателя.</w:t>
      </w:r>
    </w:p>
    <w:p w14:paraId="5BEFC9D2"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Цандер одним из первых в мире придумал регенератив</w:t>
      </w:r>
      <w:r w:rsidRPr="00E93F40">
        <w:rPr>
          <w:rFonts w:ascii="Times New Roman" w:hAnsi="Times New Roman"/>
          <w:color w:val="000000" w:themeColor="text1"/>
          <w:sz w:val="16"/>
          <w:szCs w:val="16"/>
        </w:rPr>
        <w:softHyphen/>
        <w:t>ный способ охлаждения дви</w:t>
      </w:r>
      <w:r w:rsidRPr="00E93F40">
        <w:rPr>
          <w:rFonts w:ascii="Times New Roman" w:hAnsi="Times New Roman"/>
          <w:color w:val="000000" w:themeColor="text1"/>
          <w:sz w:val="16"/>
          <w:szCs w:val="16"/>
        </w:rPr>
        <w:softHyphen/>
        <w:t>гателя жидким кислородом: он обтекал внутреннюю стенку каме</w:t>
      </w:r>
      <w:r w:rsidRPr="00E93F40">
        <w:rPr>
          <w:rFonts w:ascii="Times New Roman" w:hAnsi="Times New Roman"/>
          <w:color w:val="000000" w:themeColor="text1"/>
          <w:sz w:val="16"/>
          <w:szCs w:val="16"/>
        </w:rPr>
        <w:softHyphen/>
        <w:t>ры сгорания перед тем, как попасть в неё. Несмотря на это, камера сгорания прогорела на первом же стендовом испытании 18 марта 1933 г. А через 10 дней Цандер умер в Кисловодске.</w:t>
      </w:r>
    </w:p>
    <w:p w14:paraId="191E5D0D"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Двигатель пришлось доводить до кондиции уже без него. Ка</w:t>
      </w:r>
      <w:r w:rsidRPr="00E93F40">
        <w:rPr>
          <w:rFonts w:ascii="Times New Roman" w:hAnsi="Times New Roman"/>
          <w:color w:val="000000" w:themeColor="text1"/>
          <w:sz w:val="16"/>
          <w:szCs w:val="16"/>
        </w:rPr>
        <w:softHyphen/>
        <w:t>меру сгорания и сопло покрыли изнутри термостойким графи</w:t>
      </w:r>
      <w:r w:rsidRPr="00E93F40">
        <w:rPr>
          <w:rFonts w:ascii="Times New Roman" w:hAnsi="Times New Roman"/>
          <w:color w:val="000000" w:themeColor="text1"/>
          <w:sz w:val="16"/>
          <w:szCs w:val="16"/>
        </w:rPr>
        <w:softHyphen/>
        <w:t>том. Бензин заменили спиртом, который при сжигании выделяет меньше тепла, чем бензин. Кроме того, спирт разбавили водой до 78 %, чтобы еще больше снизить темпера</w:t>
      </w:r>
      <w:r w:rsidRPr="00E93F40">
        <w:rPr>
          <w:rFonts w:ascii="Times New Roman" w:hAnsi="Times New Roman"/>
          <w:color w:val="000000" w:themeColor="text1"/>
          <w:sz w:val="16"/>
          <w:szCs w:val="16"/>
        </w:rPr>
        <w:softHyphen/>
        <w:t>туру газа. Распылитель в центре ка</w:t>
      </w:r>
      <w:r w:rsidRPr="00E93F40">
        <w:rPr>
          <w:rFonts w:ascii="Times New Roman" w:hAnsi="Times New Roman"/>
          <w:color w:val="000000" w:themeColor="text1"/>
          <w:sz w:val="16"/>
          <w:szCs w:val="16"/>
        </w:rPr>
        <w:softHyphen/>
        <w:t>меры горения подавал спирт, а кис</w:t>
      </w:r>
      <w:r w:rsidRPr="00E93F40">
        <w:rPr>
          <w:rFonts w:ascii="Times New Roman" w:hAnsi="Times New Roman"/>
          <w:color w:val="000000" w:themeColor="text1"/>
          <w:sz w:val="16"/>
          <w:szCs w:val="16"/>
        </w:rPr>
        <w:softHyphen/>
        <w:t>лород поступал в её верхнюю часть и там завихрялся. То и другое вместе обеспечило эффективное смешива</w:t>
      </w:r>
      <w:r w:rsidRPr="00E93F40">
        <w:rPr>
          <w:rFonts w:ascii="Times New Roman" w:hAnsi="Times New Roman"/>
          <w:color w:val="000000" w:themeColor="text1"/>
          <w:sz w:val="16"/>
          <w:szCs w:val="16"/>
        </w:rPr>
        <w:softHyphen/>
        <w:t>ние компонентов топлива и сгорание смеси.</w:t>
      </w:r>
    </w:p>
    <w:p w14:paraId="3CE47472"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провели новые испыта</w:t>
      </w:r>
      <w:r w:rsidRPr="00E93F40">
        <w:rPr>
          <w:rFonts w:ascii="Times New Roman" w:hAnsi="Times New Roman"/>
          <w:color w:val="000000" w:themeColor="text1"/>
          <w:sz w:val="16"/>
          <w:szCs w:val="16"/>
        </w:rPr>
        <w:softHyphen/>
        <w:t>ния: тяга двигателя составила около 70 кг/сек, давление в камере сгора</w:t>
      </w:r>
      <w:r w:rsidRPr="00E93F40">
        <w:rPr>
          <w:rFonts w:ascii="Times New Roman" w:hAnsi="Times New Roman"/>
          <w:color w:val="000000" w:themeColor="text1"/>
          <w:sz w:val="16"/>
          <w:szCs w:val="16"/>
        </w:rPr>
        <w:softHyphen/>
        <w:t>ния в пределах 8-10 кг/кв. см, про</w:t>
      </w:r>
      <w:r w:rsidRPr="00E93F40">
        <w:rPr>
          <w:rFonts w:ascii="Times New Roman" w:hAnsi="Times New Roman"/>
          <w:color w:val="000000" w:themeColor="text1"/>
          <w:sz w:val="16"/>
          <w:szCs w:val="16"/>
        </w:rPr>
        <w:softHyphen/>
        <w:t>должительность работы двигателя от 16 до 22 секунд.</w:t>
      </w:r>
    </w:p>
    <w:p w14:paraId="23540026"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ракеты была 220 см, диа</w:t>
      </w:r>
      <w:r w:rsidRPr="00E93F40">
        <w:rPr>
          <w:rFonts w:ascii="Times New Roman" w:hAnsi="Times New Roman"/>
          <w:color w:val="000000" w:themeColor="text1"/>
          <w:sz w:val="16"/>
          <w:szCs w:val="16"/>
        </w:rPr>
        <w:softHyphen/>
        <w:t>метр 15,5 см, ширина по стабилиза</w:t>
      </w:r>
      <w:r w:rsidRPr="00E93F40">
        <w:rPr>
          <w:rFonts w:ascii="Times New Roman" w:hAnsi="Times New Roman"/>
          <w:color w:val="000000" w:themeColor="text1"/>
          <w:sz w:val="16"/>
          <w:szCs w:val="16"/>
        </w:rPr>
        <w:softHyphen/>
        <w:t>торам 43 см, стартовый вес 29,5 кг (включая 8,5 кг топливной смеси). Предполагалось, что она поднимет 2 кг полезной нагрузки на высоту 5500 метров.</w:t>
      </w:r>
    </w:p>
    <w:p w14:paraId="68967743"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Ракету удалось запустить 25 ноя</w:t>
      </w:r>
      <w:r w:rsidRPr="00E93F40">
        <w:rPr>
          <w:rFonts w:ascii="Times New Roman" w:hAnsi="Times New Roman"/>
          <w:color w:val="000000" w:themeColor="text1"/>
          <w:sz w:val="16"/>
          <w:szCs w:val="16"/>
        </w:rPr>
        <w:softHyphen/>
        <w:t>бря 1933 г. Она взлетела вертикально на высоту 75-80 м, затем из-за разру</w:t>
      </w:r>
      <w:r w:rsidRPr="00E93F40">
        <w:rPr>
          <w:rFonts w:ascii="Times New Roman" w:hAnsi="Times New Roman"/>
          <w:color w:val="000000" w:themeColor="text1"/>
          <w:sz w:val="16"/>
          <w:szCs w:val="16"/>
        </w:rPr>
        <w:softHyphen/>
        <w:t>шения крепления двигателя и труб</w:t>
      </w:r>
      <w:r w:rsidRPr="00E93F40">
        <w:rPr>
          <w:rFonts w:ascii="Times New Roman" w:hAnsi="Times New Roman"/>
          <w:color w:val="000000" w:themeColor="text1"/>
          <w:sz w:val="16"/>
          <w:szCs w:val="16"/>
        </w:rPr>
        <w:softHyphen/>
        <w:t>ки подачи горючего круто отклони</w:t>
      </w:r>
      <w:r w:rsidRPr="00E93F40">
        <w:rPr>
          <w:rFonts w:ascii="Times New Roman" w:hAnsi="Times New Roman"/>
          <w:color w:val="000000" w:themeColor="text1"/>
          <w:sz w:val="16"/>
          <w:szCs w:val="16"/>
        </w:rPr>
        <w:softHyphen/>
        <w:t>лась от вертикали, упала и разбилась в 150 метрах от места старта.</w:t>
      </w:r>
    </w:p>
    <w:p w14:paraId="6F6A2DCA"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Хочу специально отметить и под</w:t>
      </w:r>
      <w:r w:rsidRPr="00E93F40">
        <w:rPr>
          <w:rFonts w:ascii="Times New Roman" w:hAnsi="Times New Roman"/>
          <w:color w:val="000000" w:themeColor="text1"/>
          <w:sz w:val="16"/>
          <w:szCs w:val="16"/>
        </w:rPr>
        <w:softHyphen/>
        <w:t>черкнуть, что ракету ГИРД-10 и двига</w:t>
      </w:r>
      <w:r w:rsidRPr="00E93F40">
        <w:rPr>
          <w:rFonts w:ascii="Times New Roman" w:hAnsi="Times New Roman"/>
          <w:color w:val="000000" w:themeColor="text1"/>
          <w:sz w:val="16"/>
          <w:szCs w:val="16"/>
        </w:rPr>
        <w:softHyphen/>
        <w:t>тель ОР-10 к ней бригада М. Тихоми</w:t>
      </w:r>
      <w:r w:rsidRPr="00E93F40">
        <w:rPr>
          <w:rFonts w:ascii="Times New Roman" w:hAnsi="Times New Roman"/>
          <w:color w:val="000000" w:themeColor="text1"/>
          <w:sz w:val="16"/>
          <w:szCs w:val="16"/>
        </w:rPr>
        <w:softHyphen/>
        <w:t>рова построила по проекту Ф. Цанде</w:t>
      </w:r>
      <w:r w:rsidRPr="00E93F40">
        <w:rPr>
          <w:rFonts w:ascii="Times New Roman" w:hAnsi="Times New Roman"/>
          <w:color w:val="000000" w:themeColor="text1"/>
          <w:sz w:val="16"/>
          <w:szCs w:val="16"/>
        </w:rPr>
        <w:softHyphen/>
        <w:t>ра (двигатель доработал Л. Душкин), а не С. Королева — вопреки лживым заявлениям многочисленных нынеш</w:t>
      </w:r>
      <w:r w:rsidRPr="00E93F40">
        <w:rPr>
          <w:rFonts w:ascii="Times New Roman" w:hAnsi="Times New Roman"/>
          <w:color w:val="000000" w:themeColor="text1"/>
          <w:sz w:val="16"/>
          <w:szCs w:val="16"/>
        </w:rPr>
        <w:softHyphen/>
        <w:t>них пропагандистов культа личности «генерального конструктора».</w:t>
      </w:r>
    </w:p>
    <w:p w14:paraId="576B802A"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Ракета 13</w:t>
      </w:r>
    </w:p>
    <w:p w14:paraId="5220A6BF"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Она представляла собой улучшенный вариант 09. Удалось увеличить тягу двигателя, изменить систему заправки кисло</w:t>
      </w:r>
      <w:r w:rsidRPr="00E93F40">
        <w:rPr>
          <w:rFonts w:ascii="Times New Roman" w:hAnsi="Times New Roman"/>
          <w:color w:val="000000" w:themeColor="text1"/>
          <w:sz w:val="16"/>
          <w:szCs w:val="16"/>
        </w:rPr>
        <w:softHyphen/>
        <w:t>родом, установить каплевидные обтекатели над заправочными штуцерами, выступавшими из корпуса в верхней части.</w:t>
      </w:r>
    </w:p>
    <w:p w14:paraId="49A9BEE9"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 изготовили шесть экземпляров ракеты проекта 13, пять из них в январе 1934 г. совершили полеты, в трех из которых была достигнута высота около 1500 м. Несомненный успех, несмотря на то, что расчетная высота составляла 3 км.</w:t>
      </w:r>
    </w:p>
    <w:p w14:paraId="100DBC1A" w14:textId="77777777" w:rsidR="00DE06A7" w:rsidRPr="00E93F40" w:rsidRDefault="00DE06A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Через ряд лет в результате разви</w:t>
      </w:r>
      <w:r w:rsidRPr="00E93F40">
        <w:rPr>
          <w:rFonts w:ascii="Times New Roman" w:hAnsi="Times New Roman"/>
          <w:color w:val="000000" w:themeColor="text1"/>
          <w:sz w:val="16"/>
          <w:szCs w:val="16"/>
        </w:rPr>
        <w:softHyphen/>
        <w:t>тия проекта 13 (уже в РНИИ) спро</w:t>
      </w:r>
      <w:r w:rsidRPr="00E93F40">
        <w:rPr>
          <w:rFonts w:ascii="Times New Roman" w:hAnsi="Times New Roman"/>
          <w:color w:val="000000" w:themeColor="text1"/>
          <w:sz w:val="16"/>
          <w:szCs w:val="16"/>
        </w:rPr>
        <w:softHyphen/>
        <w:t>ектировали, построили и испытали ракеты 521, 602, 604 (23550).</w:t>
      </w:r>
    </w:p>
    <w:p w14:paraId="79F5E18C" w14:textId="77777777" w:rsidR="00DE06A7" w:rsidRPr="00E93F40" w:rsidRDefault="00DE06A7" w:rsidP="00E93F40">
      <w:pPr>
        <w:spacing w:after="0" w:line="240" w:lineRule="auto"/>
        <w:jc w:val="both"/>
        <w:rPr>
          <w:rFonts w:ascii="Times New Roman" w:hAnsi="Times New Roman"/>
          <w:color w:val="000000" w:themeColor="text1"/>
          <w:sz w:val="16"/>
          <w:szCs w:val="16"/>
        </w:rPr>
      </w:pPr>
    </w:p>
    <w:p w14:paraId="694072BF"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87EF2F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93B9E95"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полигональная пушка была снята с производства ввиду неустранимых конструктивных дефектов.</w:t>
      </w:r>
    </w:p>
    <w:p w14:paraId="2F3FA474"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1930-х гг. был создан проект переделки 152/36-мм пушки обр. 1931 г. в полигональную. Был изготовлен и испытан опытный образец полигональной пушки.</w:t>
      </w:r>
    </w:p>
    <w:p w14:paraId="3794C651" w14:textId="77777777" w:rsidR="00BD69E5" w:rsidRPr="00E93F40" w:rsidRDefault="00BD69E5" w:rsidP="00E93F40">
      <w:pPr>
        <w:spacing w:after="0" w:line="240" w:lineRule="auto"/>
        <w:jc w:val="both"/>
        <w:rPr>
          <w:rFonts w:ascii="Times New Roman" w:hAnsi="Times New Roman"/>
          <w:bCs/>
          <w:color w:val="000000" w:themeColor="text1"/>
          <w:sz w:val="16"/>
          <w:szCs w:val="16"/>
        </w:rPr>
      </w:pPr>
      <w:bookmarkStart w:id="55" w:name="label99"/>
      <w:bookmarkEnd w:id="55"/>
      <w:r w:rsidRPr="00E93F40">
        <w:rPr>
          <w:rFonts w:ascii="Times New Roman" w:hAnsi="Times New Roman"/>
          <w:bCs/>
          <w:color w:val="000000" w:themeColor="text1"/>
          <w:sz w:val="16"/>
          <w:szCs w:val="16"/>
        </w:rPr>
        <w:t>Данные полигональной пушки (по проекту)</w:t>
      </w:r>
    </w:p>
    <w:p w14:paraId="6188D289"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Диаметр по грани (по вписанной окружности), мм …… 156</w:t>
      </w:r>
    </w:p>
    <w:p w14:paraId="5901CC0D"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Диаметр по ребру, мм …… 164</w:t>
      </w:r>
    </w:p>
    <w:p w14:paraId="34FDF959"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пути снаряда, мм …… 4385</w:t>
      </w:r>
    </w:p>
    <w:p w14:paraId="0E539105"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Диаметр цилиндрической части каморы, мм …… 164</w:t>
      </w:r>
    </w:p>
    <w:p w14:paraId="36EF1D72"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Объем каморы, л …… 18,5</w:t>
      </w:r>
    </w:p>
    <w:p w14:paraId="0E4973D6"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граней …… 8</w:t>
      </w:r>
    </w:p>
    <w:p w14:paraId="32ED8EEB"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Баллистические данные: при весе снаряда 60 кг начальная скорость составляла 680 м/с, а при весе снаряда 199 кг — 535 м/с.</w:t>
      </w:r>
    </w:p>
    <w:p w14:paraId="5E908D5C"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полигонального ствола 152/36-мм пушки прошли неудачно, да и сама пушка на вооружение не поступила. Всего завод «Красный путиловец» изготовил 16 тел 152/36-мм пушек, но военпред их не принял.</w:t>
      </w:r>
    </w:p>
    <w:p w14:paraId="6A8BE0E7"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теперь от корпусной артиллерии перейдем к орудиям большой мощности. С 1932 г. на НИАПе испытывались 152/47-мм пушки Б-10, первоначально на станке от береговой 152/52-мм пушки Виккерса, а позже — на штатном гусеничном лафете. Вес ствола пушки Б-10 составлял 5,3 т. На испытаниях в ходе стрельб обычными поясковыми снарядами весом 49,5 кг при начальной скорости 880 м/с была получена дальность 29,9 км (15117).</w:t>
      </w:r>
    </w:p>
    <w:p w14:paraId="133FFFFF" w14:textId="77777777" w:rsidR="00BD69E5" w:rsidRPr="00E93F40" w:rsidRDefault="00BD69E5" w:rsidP="00E93F40">
      <w:pPr>
        <w:spacing w:after="0" w:line="240" w:lineRule="auto"/>
        <w:jc w:val="both"/>
        <w:rPr>
          <w:rFonts w:ascii="Times New Roman" w:hAnsi="Times New Roman"/>
          <w:color w:val="000000" w:themeColor="text1"/>
          <w:sz w:val="16"/>
          <w:szCs w:val="16"/>
        </w:rPr>
      </w:pPr>
    </w:p>
    <w:p w14:paraId="194C99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было спроектировано 37-мм РК БМ (большой мощности) Курчевского (3861).</w:t>
      </w:r>
    </w:p>
    <w:p w14:paraId="2AB14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F63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было спроектировано РК БМ, а в октябре 1933 г. оно прошло войсковые испытания в московской Пролетарской стрелковой дивизии.</w:t>
      </w:r>
    </w:p>
    <w:p w14:paraId="77E647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Курчевским были созданы и запущены в производство два 37-мм противотанковых орудия: 37-мм РК малой мощности (ММ) и 37-мм РК большой мощности (БМ). Основное их различие было в весе — 28 кг и 32 кг соответственно, длине ствола — 1220 мм и 1250 мм и лучшей баллистике у 37-мм РК БМ. Устройство же обеих систем одинаково.</w:t>
      </w:r>
    </w:p>
    <w:p w14:paraId="58478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Оба орудия в штатном положении стреляли с треноги. Причем стрелок сидел рядом на земле. В принципе можно стрелять и с плеча, но это было неудобно. Лежа стрелять было нельзя. Система неразборная. На поле боя переносилась вручную.</w:t>
      </w:r>
    </w:p>
    <w:p w14:paraId="4AADC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Стрельба производилась унитарными патронами с бронебойными снарядами, оснащенными взрывателями МД-4. Гильза была из сгорающей ткани, весом 20,4 г. В основании патрона находилось деревянное донышко весом 8 г. При выстреле донышко раскалывалось, и осколки вылетали через сопло. Пять патронов располагались в надствольном цилиндрическом магазине, еще один — в стволе. Заряжание производилось с дула. Патрон при помощи хитрой механической системы, приводимой в действие рукой стрелка, передвигался вперед по магазину, потом падал в лоток перед стволом и затем механическим досылателем досылался в канал ствола.</w:t>
      </w:r>
    </w:p>
    <w:p w14:paraId="08A65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Такая система заряжания имела ряд принципиальных неустранимых недостатков. Например, полного сгорания гильзы достигнуть не удалось, что приводило в лучшем случае к заклиниванию досылаемого снаряда, а в худшем — к разрыву ствола. Матерчатая гильза рвалась и деформировалась, досылатель ломался и т. д.</w:t>
      </w:r>
    </w:p>
    <w:p w14:paraId="70D398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1932–1933 гг. было изготовлено около тридцати РК ММ, которые использовались в войсках для учебных целей (12091).</w:t>
      </w:r>
    </w:p>
    <w:p w14:paraId="009819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w:t>
      </w:r>
    </w:p>
    <w:p w14:paraId="66267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1934 г. ленинградский завод № 7 (ныне ПО «Арсенал», бывший завод им. Фрунзе) получил заказ на 500 РК, а произвел только 70. В 1935 г. заводу № 7 заказали 250 РК, а сдано 17.</w:t>
      </w:r>
    </w:p>
    <w:p w14:paraId="6D4C5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Хроническое невыполнение заказов было связано с огромным процентом брака и постоянными изменениями, вносимыми Курчевским в конструкцию орудий.</w:t>
      </w:r>
    </w:p>
    <w:p w14:paraId="25D8B8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Противотанковое орудие РК ММ при попадании снаряда под углом 90° на дистанции 50 м пробивало броню толщиной 20 мм, а на дистанции 300 м — толщиной 16 мм. Для РК БМ толщина пробиваемой брони составляла 25 мм и 20 мм соответственно. Причем на дистанции 200–300 м снаряд из РК ММ не пробивал броню насквозь, а выбивал пробку, застревая в броне.</w:t>
      </w:r>
    </w:p>
    <w:p w14:paraId="062967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Неудобство при стрельбе и транспортировке РК, малая скорострельность (5–6 выстрелов в минуту вместо требуемых 10–12), частые отказы и, наконец, неудовлетворительная бронепробиваемость привели к тому, что уже в 1935–1936 гг. РК БМ были сняты с вооружения Красной Армии (12091).</w:t>
      </w:r>
    </w:p>
    <w:p w14:paraId="7D83C5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w:t>
      </w:r>
    </w:p>
    <w:p w14:paraId="4329D1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w:t>
      </w:r>
    </w:p>
    <w:p w14:paraId="36569A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3378B8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Данные 37-мм РК на пулеметном станке </w:t>
      </w:r>
    </w:p>
    <w:p w14:paraId="3954E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37</w:t>
      </w:r>
    </w:p>
    <w:p w14:paraId="098DE8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без лотка и воронки, мм — 1250</w:t>
      </w:r>
    </w:p>
    <w:p w14:paraId="242EA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лотка, мм — 320</w:t>
      </w:r>
    </w:p>
    <w:p w14:paraId="2CD2BD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воронки, мм — 400</w:t>
      </w:r>
    </w:p>
    <w:p w14:paraId="2BC672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ВН, град — ?25°40?; +18°40?</w:t>
      </w:r>
    </w:p>
    <w:p w14:paraId="7730D1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 ГН, град — 69</w:t>
      </w:r>
    </w:p>
    <w:p w14:paraId="26E550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системы, мм — 2030</w:t>
      </w:r>
    </w:p>
    <w:p w14:paraId="46585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системы, мм — 615</w:t>
      </w:r>
    </w:p>
    <w:p w14:paraId="4527A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системы при угле 0°, мм — 732</w:t>
      </w:r>
    </w:p>
    <w:p w14:paraId="1E6FDD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хода, мм — 504</w:t>
      </w:r>
    </w:p>
    <w:p w14:paraId="44A176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Высота линии огня, мм — 450</w:t>
      </w:r>
    </w:p>
    <w:p w14:paraId="01448A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Диаметр колес, мм — 305</w:t>
      </w:r>
    </w:p>
    <w:p w14:paraId="3D8D5C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Вес качающейся части, кг — 31,5</w:t>
      </w:r>
    </w:p>
    <w:p w14:paraId="7319A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системы в боевом положении, кг — 78,2</w:t>
      </w:r>
    </w:p>
    <w:p w14:paraId="3AB635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системы в походном положении с чехлом, кг — 80,0</w:t>
      </w:r>
    </w:p>
    <w:p w14:paraId="7B33EF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Темп стрельбы, выстр/мин: без исправления наводки — 18–26</w:t>
      </w:r>
    </w:p>
    <w:p w14:paraId="126C5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исправлением наводки — 11–15 (12091).</w:t>
      </w:r>
    </w:p>
    <w:p w14:paraId="61DBE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EF75F9"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было спроектировано РК БМ, а в октябре 1933 г. оно прошло войсковые испытания в Московской Пролетарской стрелковой дивизии. 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 В 1934 г. ленинградский завод № 7 (ныне ПО «Арсенал», бывший завод им. Фрунзе) получил заказ на 500 РК, а произвел только 70. В 1935 г. заводу № 7 заказали 250 РК, а сдано 17. Хроническое невыполнение заказов было связано с огромным процентом брака и постоянными изменениями, вносимыми Курчевским в конструкцию орудий (15117).</w:t>
      </w:r>
    </w:p>
    <w:p w14:paraId="3C8D9F29" w14:textId="77777777" w:rsidR="00BD69E5" w:rsidRPr="00E93F40" w:rsidRDefault="00BD69E5" w:rsidP="00E93F40">
      <w:pPr>
        <w:spacing w:after="0" w:line="240" w:lineRule="auto"/>
        <w:jc w:val="both"/>
        <w:rPr>
          <w:rFonts w:ascii="Times New Roman" w:hAnsi="Times New Roman"/>
          <w:color w:val="000000" w:themeColor="text1"/>
          <w:sz w:val="16"/>
          <w:szCs w:val="16"/>
        </w:rPr>
      </w:pPr>
    </w:p>
    <w:p w14:paraId="201FA93C" w14:textId="2A5707AD"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первая пушка Б-1-П была испытана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НИМАПе. По результатам эксплуатации пушек Б-1-К и испытании Б-1-П было принято решение запустить в производство пушки Б-1-П. В 1933 г. удалось достичь расчётной скорострельности 6 выстрелов в минуту.</w:t>
      </w:r>
    </w:p>
    <w:p w14:paraId="79AC2541" w14:textId="5B7ED815"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Первоначально все стволы Б-1-П изготавливались скреплёнными. Но, полигонные испытания показали их низкую живучесть. При стрельбе боевым зарядом ствол терял баллистические качества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после 55 выстрелов, при стрельбе усиленно-боевым,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когда достигалась максимальная дальность стрельбы (около 200 кбл), живучесть составляла около 30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выстрелов. После установки на заводе «Большевик» с помощью итальянской фирмы «Ансальдо» автофретажной установки для изготовления лейнеров калибром 76-203 мм, в 1934 г. был изготовлен первый лейнер</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для пушки Б-1-П. По результатам его испытаний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 НИАПе было принято решение об изготовлении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всех этих пушек с лейнерами. Применение лейнеров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повысило живучесть ствола до 100 выстрелов. В 1936-1938 гг. на заводе проводились работы по отработке конструкции лейнеров: глубины и крутизны нарезки, конструкции каморы. Башенная установка МК-1-180 имела слабое бронирование, отсутствовала система продувания Орудийного ствола после выстрела, что приводило к загазованности боевого отделения. Отсутствие башенного дальномера и башенного автомата стрельбы приводило к тому, что, в случае выхода из строя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центрального артиллерийского поста Б-8, огонь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можно было вести только на глазок. Пушка Б-1-П далее широко использовалась при создании трёхорудийной качающейся части Б-27 башенной установки МК-3-180 для крейсеров пр.26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пр.26 бис, береговых щитовых установок МО-1-180,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морских береговых двухорудийных башенных установок МБ-2-180 и железнодорожных транспортёров ТМ-1-180.</w:t>
      </w:r>
    </w:p>
    <w:p w14:paraId="5C1E333C" w14:textId="77777777" w:rsidR="00BD69E5" w:rsidRPr="00E93F40" w:rsidRDefault="00BD69E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Крейсер «Красный Кавказ», достроенный с существенными доработками первоначального проекта, явился как бы прототипом первых чисто советских крейсеров пр.26 пр.26 бис (15132).</w:t>
      </w:r>
    </w:p>
    <w:p w14:paraId="0DA0721F" w14:textId="77777777" w:rsidR="00BD69E5" w:rsidRPr="00E93F40" w:rsidRDefault="00BD69E5" w:rsidP="00E93F40">
      <w:pPr>
        <w:spacing w:after="0" w:line="240" w:lineRule="auto"/>
        <w:jc w:val="both"/>
        <w:rPr>
          <w:rFonts w:ascii="Times New Roman" w:hAnsi="Times New Roman"/>
          <w:color w:val="000000" w:themeColor="text1"/>
          <w:sz w:val="16"/>
          <w:szCs w:val="16"/>
        </w:rPr>
      </w:pPr>
    </w:p>
    <w:p w14:paraId="5F46C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с подачи Тухачевского были прекращены работы по созданию буксируемых орудий особой мощности, а вместо этого началось проектирование триплекса на самоходе СУ-7. В состав триплекса должны были входить 400-мм мортира, 305-мм гаубица и 203-мм пушка, все эти орудия имели довольно приличные для своего времени баллистические данные. И если бы их разрешили доделать в буксируемом варианте, то они пошли бы в серию в худшем случае в 1935 г. Но великий теоретик сказал: «Будущая война будет войной моторов».</w:t>
      </w:r>
      <w:r w:rsidR="00950C23" w:rsidRPr="00E93F40">
        <w:rPr>
          <w:rFonts w:ascii="Times New Roman" w:hAnsi="Times New Roman"/>
          <w:color w:val="000000" w:themeColor="text1"/>
          <w:sz w:val="16"/>
          <w:szCs w:val="16"/>
        </w:rPr>
        <w:fldChar w:fldCharType="begin"/>
      </w:r>
      <w:r w:rsidR="00950C23" w:rsidRPr="00E93F40">
        <w:rPr>
          <w:rFonts w:ascii="Times New Roman" w:hAnsi="Times New Roman"/>
          <w:color w:val="000000" w:themeColor="text1"/>
          <w:sz w:val="16"/>
          <w:szCs w:val="16"/>
        </w:rPr>
        <w:instrText xml:space="preserve">ref HYPERLINK  \l "read_n_68" \* MERGEFORMAT </w:instrText>
      </w:r>
      <w:r w:rsidR="00950C23" w:rsidRPr="00E93F40">
        <w:rPr>
          <w:rFonts w:ascii="Times New Roman" w:hAnsi="Times New Roman"/>
          <w:color w:val="000000" w:themeColor="text1"/>
          <w:sz w:val="16"/>
          <w:szCs w:val="16"/>
        </w:rPr>
        <w:fldChar w:fldCharType="separate"/>
      </w:r>
      <w:r w:rsidRPr="00E93F40">
        <w:rPr>
          <w:rFonts w:ascii="Times New Roman" w:hAnsi="Times New Roman"/>
          <w:color w:val="000000" w:themeColor="text1"/>
          <w:sz w:val="16"/>
          <w:szCs w:val="16"/>
          <w:u w:val="single"/>
        </w:rPr>
        <w:t>[68]</w:t>
      </w:r>
      <w:r w:rsidR="00950C23" w:rsidRPr="00E93F40">
        <w:rPr>
          <w:rFonts w:ascii="Times New Roman" w:hAnsi="Times New Roman"/>
          <w:color w:val="000000" w:themeColor="text1"/>
          <w:sz w:val="16"/>
          <w:szCs w:val="16"/>
          <w:u w:val="single"/>
        </w:rPr>
        <w:fldChar w:fldCharType="end"/>
      </w:r>
      <w:r w:rsidRPr="00E93F40">
        <w:rPr>
          <w:rFonts w:ascii="Times New Roman" w:hAnsi="Times New Roman"/>
          <w:color w:val="000000" w:themeColor="text1"/>
          <w:sz w:val="16"/>
          <w:szCs w:val="16"/>
        </w:rPr>
        <w:t xml:space="preserve"> С 1932 г. по декабрь 1937 г. на самоход убухали несколько миллионов рублей, а готов был лишь деревянный макет (12091).</w:t>
      </w:r>
    </w:p>
    <w:p w14:paraId="38BDBD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18E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76 мм танковая пушка П.Сячентова ПС-3 № 2 была доработана и подвержена испытаниям стрельбой с тумбы (6208, 42).</w:t>
      </w:r>
    </w:p>
    <w:p w14:paraId="6F8FE2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F939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выяснилось, что с отгрузкой орудий Б-3 (5Л) у армии есть большие проблемы, завод № 8 сдал ХПЗ лишь 190 орудий Б-3 (5К), и потому постанов</w:t>
      </w:r>
      <w:r w:rsidRPr="00E93F40">
        <w:rPr>
          <w:rFonts w:ascii="Times New Roman" w:hAnsi="Times New Roman"/>
          <w:color w:val="000000" w:themeColor="text1"/>
          <w:sz w:val="16"/>
          <w:szCs w:val="16"/>
        </w:rPr>
        <w:softHyphen/>
        <w:t>лением КО в мае 1932 г. было принято решение вооружить оставшиеся танки спаренной установкой двух пулеметов ДТ или ДА. Однако такие «пулеметные истребители» имели лишь условную боевую ценность, и потому постановлением КО от 4 декабря 1932 г. предписывалось вооружить 300 машин (№№ 301-600) 37-мм пушкой Гочкиса, сняв ее с танков Т-18, а начиная с 1 января 1934 г. заменить на танках БТ башни на новые, оснащенные спаренной установкой 45-мм пушки обр. 1932 г. и пулемета. Но в 1933 г. все исправные пушки Гочкиса с танков Т-18 уже были переставлены на Т-26, а для БТ таковых найдено не было. Поэтому практически все БТ-2, на долю которых не хватило Б-3, были оснащены в 1933 г. пулеметной спаркой или же остались невооруженными. Всего в 1932 г. было изготовлено 396, а в 1933-м - 224 танка БТ. В том же 1933-м указанные танки получили но</w:t>
      </w:r>
      <w:r w:rsidRPr="00E93F40">
        <w:rPr>
          <w:rFonts w:ascii="Times New Roman" w:hAnsi="Times New Roman"/>
          <w:color w:val="000000" w:themeColor="text1"/>
          <w:sz w:val="16"/>
          <w:szCs w:val="16"/>
        </w:rPr>
        <w:softHyphen/>
        <w:t>вый индекс БТ-2, так как было принято решение об освое</w:t>
      </w:r>
      <w:r w:rsidRPr="00E93F40">
        <w:rPr>
          <w:rFonts w:ascii="Times New Roman" w:hAnsi="Times New Roman"/>
          <w:color w:val="000000" w:themeColor="text1"/>
          <w:sz w:val="16"/>
          <w:szCs w:val="16"/>
        </w:rPr>
        <w:softHyphen/>
        <w:t>нии новой модификации указанного танка (10733,204).</w:t>
      </w:r>
    </w:p>
    <w:p w14:paraId="5D22DE7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5770D5" w14:textId="77777777" w:rsidR="00DB2196" w:rsidRPr="00142305" w:rsidRDefault="00DB2196" w:rsidP="00DB2196">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w:t>
      </w:r>
      <w:r w:rsidRPr="00142305">
        <w:rPr>
          <w:rStyle w:val="aff"/>
          <w:rFonts w:ascii="Times New Roman" w:hAnsi="Times New Roman" w:cs="Times New Roman"/>
          <w:color w:val="0070C0"/>
          <w:spacing w:val="0"/>
          <w:sz w:val="16"/>
          <w:szCs w:val="16"/>
        </w:rPr>
        <w:softHyphen/>
        <w:t>нитной пушки, так и для вооружения самолетов. Первона</w:t>
      </w:r>
      <w:r w:rsidRPr="00142305">
        <w:rPr>
          <w:rStyle w:val="aff"/>
          <w:rFonts w:ascii="Times New Roman" w:hAnsi="Times New Roman" w:cs="Times New Roman"/>
          <w:color w:val="0070C0"/>
          <w:spacing w:val="0"/>
          <w:sz w:val="16"/>
          <w:szCs w:val="16"/>
        </w:rPr>
        <w:softHyphen/>
        <w:t>чально автомат назывался АКТ-2 (Автомат Кондакова—Толочкова). Эта универсальность и погубила АКТ-37 как зе</w:t>
      </w:r>
      <w:r w:rsidRPr="00142305">
        <w:rPr>
          <w:rStyle w:val="aff"/>
          <w:rFonts w:ascii="Times New Roman" w:hAnsi="Times New Roman" w:cs="Times New Roman"/>
          <w:color w:val="0070C0"/>
          <w:spacing w:val="0"/>
          <w:sz w:val="16"/>
          <w:szCs w:val="16"/>
        </w:rPr>
        <w:softHyphen/>
        <w:t>нитный автомат.</w:t>
      </w:r>
    </w:p>
    <w:p w14:paraId="0E906436"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авиационных пушек требовалась предельно малая сила от</w:t>
      </w:r>
      <w:r w:rsidRPr="00142305">
        <w:rPr>
          <w:rStyle w:val="aff"/>
          <w:rFonts w:ascii="Times New Roman" w:hAnsi="Times New Roman" w:cs="Times New Roman"/>
          <w:color w:val="0070C0"/>
          <w:spacing w:val="0"/>
          <w:sz w:val="16"/>
          <w:szCs w:val="16"/>
        </w:rPr>
        <w:softHyphen/>
        <w:t>дачи, поэтому конструкторы сделали все, чтобы свести от</w:t>
      </w:r>
      <w:r w:rsidRPr="00142305">
        <w:rPr>
          <w:rStyle w:val="aff"/>
          <w:rFonts w:ascii="Times New Roman" w:hAnsi="Times New Roman" w:cs="Times New Roman"/>
          <w:color w:val="0070C0"/>
          <w:spacing w:val="0"/>
          <w:sz w:val="16"/>
          <w:szCs w:val="16"/>
        </w:rPr>
        <w:softHyphen/>
        <w:t>дачу к минимуму. В первую очередь в автомате был исполь</w:t>
      </w:r>
      <w:r w:rsidRPr="00142305">
        <w:rPr>
          <w:rStyle w:val="aff"/>
          <w:rFonts w:ascii="Times New Roman" w:hAnsi="Times New Roman" w:cs="Times New Roman"/>
          <w:color w:val="0070C0"/>
          <w:spacing w:val="0"/>
          <w:sz w:val="16"/>
          <w:szCs w:val="16"/>
        </w:rPr>
        <w:softHyphen/>
        <w:t>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w:t>
      </w:r>
      <w:r w:rsidRPr="00142305">
        <w:rPr>
          <w:rStyle w:val="aff"/>
          <w:rFonts w:ascii="Times New Roman" w:hAnsi="Times New Roman" w:cs="Times New Roman"/>
          <w:color w:val="0070C0"/>
          <w:spacing w:val="0"/>
          <w:sz w:val="16"/>
          <w:szCs w:val="16"/>
        </w:rPr>
        <w:softHyphen/>
        <w:t>бенностью автомата была постоянная кинематическая связь затвора со стволом с помощью реечного ускорителя, как при откате, так и при накате.</w:t>
      </w:r>
    </w:p>
    <w:p w14:paraId="5461345F"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первоначальному проекту ствол, баллистика и бое</w:t>
      </w:r>
      <w:r w:rsidRPr="00142305">
        <w:rPr>
          <w:rStyle w:val="aff"/>
          <w:rFonts w:ascii="Times New Roman" w:hAnsi="Times New Roman" w:cs="Times New Roman"/>
          <w:color w:val="0070C0"/>
          <w:spacing w:val="0"/>
          <w:sz w:val="16"/>
          <w:szCs w:val="16"/>
        </w:rPr>
        <w:softHyphen/>
        <w:t>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w:t>
      </w:r>
      <w:r w:rsidRPr="00142305">
        <w:rPr>
          <w:rStyle w:val="aff"/>
          <w:rFonts w:ascii="Times New Roman" w:hAnsi="Times New Roman" w:cs="Times New Roman"/>
          <w:color w:val="0070C0"/>
          <w:spacing w:val="0"/>
          <w:sz w:val="16"/>
          <w:szCs w:val="16"/>
        </w:rPr>
        <w:softHyphen/>
        <w:t>ник, представляющий ствольную, коробку, в которой по на</w:t>
      </w:r>
      <w:r w:rsidRPr="00142305">
        <w:rPr>
          <w:rStyle w:val="aff"/>
          <w:rFonts w:ascii="Times New Roman" w:hAnsi="Times New Roman" w:cs="Times New Roman"/>
          <w:color w:val="0070C0"/>
          <w:spacing w:val="0"/>
          <w:sz w:val="16"/>
          <w:szCs w:val="16"/>
        </w:rPr>
        <w:softHyphen/>
        <w:t>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w:t>
      </w:r>
      <w:r w:rsidRPr="00142305">
        <w:rPr>
          <w:rStyle w:val="aff"/>
          <w:rFonts w:ascii="Times New Roman" w:hAnsi="Times New Roman" w:cs="Times New Roman"/>
          <w:color w:val="0070C0"/>
          <w:spacing w:val="0"/>
          <w:sz w:val="16"/>
          <w:szCs w:val="16"/>
        </w:rPr>
        <w:softHyphen/>
        <w:t>щью обоймы-магазина на 5 патронов.</w:t>
      </w:r>
    </w:p>
    <w:p w14:paraId="302308AA"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Система включала в себя механизм, автоматически ос</w:t>
      </w:r>
      <w:r w:rsidRPr="00142305">
        <w:rPr>
          <w:rStyle w:val="aff"/>
          <w:rFonts w:ascii="Times New Roman" w:hAnsi="Times New Roman" w:cs="Times New Roman"/>
          <w:color w:val="0070C0"/>
          <w:spacing w:val="0"/>
          <w:sz w:val="16"/>
          <w:szCs w:val="16"/>
        </w:rPr>
        <w:softHyphen/>
        <w:t>танавливающий ствол в крайнем заднем положении при из</w:t>
      </w:r>
      <w:r w:rsidRPr="00142305">
        <w:rPr>
          <w:rStyle w:val="aff"/>
          <w:rFonts w:ascii="Times New Roman" w:hAnsi="Times New Roman" w:cs="Times New Roman"/>
          <w:color w:val="0070C0"/>
          <w:spacing w:val="0"/>
          <w:sz w:val="16"/>
          <w:szCs w:val="16"/>
        </w:rPr>
        <w:softHyphen/>
        <w:t>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 ем по направляющим казенника на его место нового мага</w:t>
      </w:r>
      <w:r w:rsidRPr="00142305">
        <w:rPr>
          <w:rStyle w:val="aff"/>
          <w:rFonts w:ascii="Times New Roman" w:hAnsi="Times New Roman" w:cs="Times New Roman"/>
          <w:color w:val="0070C0"/>
          <w:spacing w:val="0"/>
          <w:sz w:val="16"/>
          <w:szCs w:val="16"/>
        </w:rPr>
        <w:softHyphen/>
        <w:t>зина.</w:t>
      </w:r>
    </w:p>
    <w:p w14:paraId="4B1027AA"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 (25437).</w:t>
      </w:r>
    </w:p>
    <w:p w14:paraId="45CE90A8" w14:textId="77777777" w:rsidR="00DB2196" w:rsidRPr="00142305" w:rsidRDefault="00DB2196" w:rsidP="00DB2196">
      <w:pPr>
        <w:spacing w:after="0" w:line="240" w:lineRule="auto"/>
        <w:jc w:val="both"/>
        <w:rPr>
          <w:rFonts w:ascii="Times New Roman" w:hAnsi="Times New Roman"/>
          <w:color w:val="0070C0"/>
          <w:sz w:val="16"/>
          <w:szCs w:val="16"/>
        </w:rPr>
      </w:pPr>
    </w:p>
    <w:p w14:paraId="6DE15B5D"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1932 г. было спроектировано противотанковое ружье РК БМ, а в октябре 1933 г. оно прошло войсковые испытания в Московской Пролетарской стрелковой дивизии.</w:t>
      </w:r>
    </w:p>
    <w:p w14:paraId="797AE5BC"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37-мм противотанковых орудия: 37-мм РК малой мощности (ММ) и 37-мм РК большой мощности (БМ). Основное их различие было в весе — 28 кг и 32 кг соответственно, длине ствола — 1220 мм и 1250 мм, и лучшей баллистике у 37-мм РК БМ. Устройство же обеих систем одинаково.</w:t>
      </w:r>
    </w:p>
    <w:p w14:paraId="7ACC4D50"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Оба орудия в штатном положении стреляли с треноги. Причем стрелок сидел рядом на земле. В принципе, можно стрелять и с плеча, но это было неудобно. Лежа стрелять было нельзя. Система неразборная. На поле боя переносилась вручную.</w:t>
      </w:r>
    </w:p>
    <w:p w14:paraId="0ABEE52F"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Стрельба производилась унитарными патронами с бронебойными снарядами, оснащенными взрывателями МД-4. Гильза была из сгорающей ткани, весом 20,4 г. В основании патрона находилось деревянное донышко весом 8 г. При выстреле донышко раскалывалось, и осколки вылетали через сопло. Пять патронов располагались в надствольном цилиндрическом магазине, еще один — в стволе. Заряжание производилось с дула. Патрон при помощи хитрой механической системы, приводимой в действие рукой стрелка, передвигался вперед по магазину, потом падал в лоток перед стволом и затем механическим досылателем досылался в канал ствола.</w:t>
      </w:r>
    </w:p>
    <w:p w14:paraId="586AFDEF" w14:textId="77777777" w:rsidR="00DB2196" w:rsidRPr="00142305" w:rsidRDefault="00DB2196" w:rsidP="00DB2196">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Такая система заряжания имела ряд принципиальных неустранимых недостатков. Например, полного сгорания гильзы достигнуть не удалось, что приводило в лучшем случае к заклиниванию досылаемого снаряда, а в худшем — к разрыву ствола. Матерчатая гильза рвалась и деформировалась, досылатель ломался и т. д.</w:t>
      </w:r>
    </w:p>
    <w:p w14:paraId="1B9CAD11"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1932–1933 гг. было изготовлено около тридцати РК ММ, которые использовались в войсках для учебных целей.</w:t>
      </w:r>
    </w:p>
    <w:p w14:paraId="64A82696"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w:t>
      </w:r>
    </w:p>
    <w:p w14:paraId="21DD384A"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1934 г. ленинградский завод № 7 (ныне ПО «Арсенал», бывший завод им. Фрунзе) получил заказ на 500 РК, а произвел только 70. В 1935 г. заводу № 7 заказали 250 РК, а сдано 17.</w:t>
      </w:r>
    </w:p>
    <w:p w14:paraId="3EC522A9"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Хроническое невыполнение заказов было связано с огромным процентом брака и постоянными изменениями, вносимыми Курчевским в конструкцию орудий (25213).</w:t>
      </w:r>
    </w:p>
    <w:p w14:paraId="2BCF7494" w14:textId="77777777" w:rsidR="00DB2196" w:rsidRPr="00142305" w:rsidRDefault="00DB2196" w:rsidP="00DB2196">
      <w:pPr>
        <w:spacing w:after="0" w:line="240" w:lineRule="auto"/>
        <w:jc w:val="both"/>
        <w:rPr>
          <w:rFonts w:ascii="Times New Roman" w:hAnsi="Times New Roman"/>
          <w:color w:val="0070C0"/>
          <w:sz w:val="16"/>
          <w:szCs w:val="16"/>
        </w:rPr>
      </w:pPr>
    </w:p>
    <w:p w14:paraId="1DBD9D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ввиду принятия на вооружение пулеме</w:t>
      </w:r>
      <w:r w:rsidRPr="00E93F40">
        <w:rPr>
          <w:rFonts w:ascii="Times New Roman" w:hAnsi="Times New Roman"/>
          <w:color w:val="000000" w:themeColor="text1"/>
          <w:sz w:val="16"/>
          <w:szCs w:val="16"/>
        </w:rPr>
        <w:softHyphen/>
        <w:t>та ДТУ, танки Т-26 начали выпускать с шаровыми установками, имеющими больший диаметр. Но поскольку ДТУ оказа</w:t>
      </w:r>
      <w:r w:rsidRPr="00E93F40">
        <w:rPr>
          <w:rFonts w:ascii="Times New Roman" w:hAnsi="Times New Roman"/>
          <w:color w:val="000000" w:themeColor="text1"/>
          <w:sz w:val="16"/>
          <w:szCs w:val="16"/>
        </w:rPr>
        <w:softHyphen/>
        <w:t>лись сложными и вскоре производство их прекратилось, танки, оснащенные ими, оказались безоружными, так как шаровое яблоко ДТУ не позволяло использовать в нем ДТ. На этих танках в ходе модернизации в 1933 г. был полнос</w:t>
      </w:r>
      <w:r w:rsidRPr="00E93F40">
        <w:rPr>
          <w:rFonts w:ascii="Times New Roman" w:hAnsi="Times New Roman"/>
          <w:color w:val="000000" w:themeColor="text1"/>
          <w:sz w:val="16"/>
          <w:szCs w:val="16"/>
        </w:rPr>
        <w:softHyphen/>
        <w:t>тью сменен лобовой лист башни, предназначенной для установки ДТУ, на лист с меньшим диаметром шарового яблока - под пулемет ДТ (10733,183).</w:t>
      </w:r>
    </w:p>
    <w:p w14:paraId="0E53E8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B71AA4" w14:textId="02B1E44D" w:rsidR="00F866B7" w:rsidRPr="00E93F40" w:rsidRDefault="00F866B7" w:rsidP="00E93F40">
      <w:pPr>
        <w:pStyle w:val="ae"/>
        <w:shd w:val="clear" w:color="auto" w:fill="FFFFFF"/>
        <w:spacing w:before="0" w:after="0"/>
        <w:jc w:val="both"/>
        <w:textAlignment w:val="baseline"/>
        <w:rPr>
          <w:color w:val="000000" w:themeColor="text1"/>
          <w:sz w:val="16"/>
          <w:szCs w:val="16"/>
        </w:rPr>
      </w:pPr>
      <w:r w:rsidRPr="00E93F40">
        <w:rPr>
          <w:color w:val="000000" w:themeColor="text1"/>
          <w:sz w:val="16"/>
          <w:szCs w:val="16"/>
        </w:rPr>
        <w:lastRenderedPageBreak/>
        <w:t>С конца 1932 года, когда на вооружение Красной армии приняли танки</w:t>
      </w:r>
      <w:r w:rsidR="007C1411" w:rsidRPr="00E93F40">
        <w:rPr>
          <w:color w:val="000000" w:themeColor="text1"/>
          <w:sz w:val="16"/>
          <w:szCs w:val="16"/>
        </w:rPr>
        <w:t xml:space="preserve"> </w:t>
      </w:r>
      <w:hyperlink r:id="rId315" w:history="1">
        <w:r w:rsidRPr="00E93F40">
          <w:rPr>
            <w:rStyle w:val="a5"/>
            <w:rFonts w:eastAsiaTheme="majorEastAsia"/>
            <w:color w:val="000000" w:themeColor="text1"/>
            <w:sz w:val="16"/>
            <w:szCs w:val="16"/>
            <w:bdr w:val="none" w:sz="0" w:space="0" w:color="auto" w:frame="1"/>
          </w:rPr>
          <w:t>Т-28</w:t>
        </w:r>
      </w:hyperlink>
      <w:r w:rsidR="007C1411" w:rsidRPr="00E93F40">
        <w:rPr>
          <w:color w:val="000000" w:themeColor="text1"/>
          <w:sz w:val="16"/>
          <w:szCs w:val="16"/>
        </w:rPr>
        <w:t xml:space="preserve"> </w:t>
      </w:r>
      <w:r w:rsidRPr="00E93F40">
        <w:rPr>
          <w:color w:val="000000" w:themeColor="text1"/>
          <w:sz w:val="16"/>
          <w:szCs w:val="16"/>
        </w:rPr>
        <w:t>и Т-35. Обе машины, разработанные ОКМО завода №174 (общее руководство — Н.В. Барыков, главный конструктор —</w:t>
      </w:r>
      <w:r w:rsidR="007C1411" w:rsidRPr="00E93F40">
        <w:rPr>
          <w:color w:val="000000" w:themeColor="text1"/>
          <w:sz w:val="16"/>
          <w:szCs w:val="16"/>
        </w:rPr>
        <w:t xml:space="preserve"> </w:t>
      </w:r>
      <w:hyperlink r:id="rId316" w:history="1">
        <w:r w:rsidRPr="00E93F40">
          <w:rPr>
            <w:rStyle w:val="a5"/>
            <w:rFonts w:eastAsiaTheme="majorEastAsia"/>
            <w:color w:val="000000" w:themeColor="text1"/>
            <w:sz w:val="16"/>
            <w:szCs w:val="16"/>
            <w:bdr w:val="none" w:sz="0" w:space="0" w:color="auto" w:frame="1"/>
          </w:rPr>
          <w:t>С.А. Гинзбург</w:t>
        </w:r>
      </w:hyperlink>
      <w:r w:rsidRPr="00E93F40">
        <w:rPr>
          <w:color w:val="000000" w:themeColor="text1"/>
          <w:sz w:val="16"/>
          <w:szCs w:val="16"/>
        </w:rPr>
        <w:t>), имели шасси, позволявшие водрузить на них тяжёлые орудийные системы. Первой ласточкой стал проект «большого триплекса» СУ-7, тактико-технические требования на который появились 3 марта 1933 года. Данная машина представляла собой установку 254-мм пушки, 305-мм гаубицы, либо 400-мм мортиры на шасси Т-35 (19857).</w:t>
      </w:r>
    </w:p>
    <w:p w14:paraId="2C85BA7B" w14:textId="77777777" w:rsidR="00F866B7" w:rsidRPr="00E93F40" w:rsidRDefault="00F866B7" w:rsidP="00E93F40">
      <w:pPr>
        <w:pStyle w:val="ae"/>
        <w:shd w:val="clear" w:color="auto" w:fill="FFFFFF"/>
        <w:spacing w:before="0" w:after="0"/>
        <w:jc w:val="both"/>
        <w:textAlignment w:val="baseline"/>
        <w:rPr>
          <w:color w:val="000000" w:themeColor="text1"/>
          <w:sz w:val="16"/>
          <w:szCs w:val="16"/>
        </w:rPr>
      </w:pPr>
    </w:p>
    <w:p w14:paraId="214FBD4E" w14:textId="77777777" w:rsidR="00F866B7" w:rsidRPr="00E93F40" w:rsidRDefault="00F866B7" w:rsidP="00E93F40">
      <w:pPr>
        <w:shd w:val="clear" w:color="auto" w:fill="FFFFFF"/>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К концу 1932 года сформировавшийся финальный вариант Т-34 претерпел ряд изменений. По ходу проектирования выяснилось, что боевая масса существенно возросла. Вместо 3,5 тонн, как мыслилось изначально, она достигла 4,5 тонн. Вместо двух вариантов ходовой части создали третий - с двумя парами пружин, установленных под углом. При этом второй проектный вариант подвески Т-34 никуда не делся: в 1932 года под руководством С.А. Гинзбурга началась работа по плавающему танку-разведчику Т-37. Фактически это прямое развитие Т-33, но с рядом доработок и мотором ГАЗ-АА (Ford-AA). На него и перекочевала подвеска с горизонтальной пружиной. На Т-34 с оставшимся опытным Т-33 перекочевали некоторые технические решения, включая общую схему трансмиссии.</w:t>
      </w:r>
    </w:p>
    <w:p w14:paraId="0B1E0ACB" w14:textId="77777777" w:rsidR="00F866B7" w:rsidRPr="00E93F40" w:rsidRDefault="00F866B7" w:rsidP="00E93F40">
      <w:pPr>
        <w:shd w:val="clear" w:color="auto" w:fill="FFFFFF"/>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Несмотря на то, что масса машины существенно подросла, истории с Т-23 с не повторилось. Изготовленный опытный образец танка получился вполне удачным. Максимальная скорость составила 45 км/ч, что было даже выше изначальных требований, а средняя скорость составила 30 км/ч. Толщина брони составила 10 мм по периметру, в идеале требовалось 12-15 мм (гарантированная защита от пуль винтовочного калибра), но тогда танк бы превысил массу 5 тонн. В чём-то эта история здорово напоминает создание La.S., он же изначально Kleinetraktor. Тот же самый "исходник", только немцы купили трактор Carden-Loyd через подставные фирмы. Можно наблюдать тот же рост боевой массы, от тех же 3,5 тонн ближе к 5. Разница в том, что немцы исходно хотели 3 человека экипажа и 20-мм автоматическую пушку, а их Klainetraktor изначально ехал плохо. Да и был куда большей копией английской машины. Наш же "патрульный танк" был куда оригинальнее. Настолько, что даже разбирающиеся в теме не поняли, что послужило идеологической подосновой (22724).</w:t>
      </w:r>
    </w:p>
    <w:p w14:paraId="1A90BCBB" w14:textId="77777777" w:rsidR="00F866B7" w:rsidRPr="00E93F40" w:rsidRDefault="00F866B7" w:rsidP="00E93F40">
      <w:pPr>
        <w:shd w:val="clear" w:color="auto" w:fill="FFFFFF"/>
        <w:spacing w:after="0" w:line="240" w:lineRule="auto"/>
        <w:jc w:val="both"/>
        <w:rPr>
          <w:rFonts w:ascii="Times New Roman" w:hAnsi="Times New Roman"/>
          <w:color w:val="000000" w:themeColor="text1"/>
          <w:sz w:val="16"/>
          <w:szCs w:val="16"/>
        </w:rPr>
      </w:pPr>
    </w:p>
    <w:p w14:paraId="43F9082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для увеличения боевой ценности пулемет</w:t>
      </w:r>
      <w:r w:rsidRPr="00E93F40">
        <w:rPr>
          <w:rFonts w:ascii="Times New Roman" w:hAnsi="Times New Roman"/>
          <w:color w:val="000000" w:themeColor="text1"/>
          <w:sz w:val="16"/>
          <w:szCs w:val="16"/>
        </w:rPr>
        <w:softHyphen/>
        <w:t>ных двухбашенных танков и танкеток, М.Н. Тухачевский с подачи Л.Н.Курчевского предполагал вооружить часть из них 76-мм безоткатной пушкой, что уравняло бы их огневую мощь с мощью тяжелого танка. В 1933 г. Л.Н. Курчевскому удалось установить в танкетку Т-27 свою 76,2-мм динамо-ре</w:t>
      </w:r>
      <w:r w:rsidRPr="00E93F40">
        <w:rPr>
          <w:rFonts w:ascii="Times New Roman" w:hAnsi="Times New Roman"/>
          <w:color w:val="000000" w:themeColor="text1"/>
          <w:sz w:val="16"/>
          <w:szCs w:val="16"/>
        </w:rPr>
        <w:softHyphen/>
        <w:t>активную пушку, переделанную из авиационной АПК. Огне</w:t>
      </w:r>
      <w:r w:rsidRPr="00E93F40">
        <w:rPr>
          <w:rFonts w:ascii="Times New Roman" w:hAnsi="Times New Roman"/>
          <w:color w:val="000000" w:themeColor="text1"/>
          <w:sz w:val="16"/>
          <w:szCs w:val="16"/>
        </w:rPr>
        <w:softHyphen/>
        <w:t>вая мощь танкетки, названной в переписке Т-27К (СУ-3), те</w:t>
      </w:r>
      <w:r w:rsidRPr="00E93F40">
        <w:rPr>
          <w:rFonts w:ascii="Times New Roman" w:hAnsi="Times New Roman"/>
          <w:color w:val="000000" w:themeColor="text1"/>
          <w:sz w:val="16"/>
          <w:szCs w:val="16"/>
        </w:rPr>
        <w:softHyphen/>
        <w:t>оретически значительно возросла, но выявилось большое ко</w:t>
      </w:r>
      <w:r w:rsidRPr="00E93F40">
        <w:rPr>
          <w:rFonts w:ascii="Times New Roman" w:hAnsi="Times New Roman"/>
          <w:color w:val="000000" w:themeColor="text1"/>
          <w:sz w:val="16"/>
          <w:szCs w:val="16"/>
        </w:rPr>
        <w:softHyphen/>
        <w:t>личество недостатков, наличие которых не предполагали ни разработчик оружия, ни высшие военные деятели РККА. Например, малая высота линии огня орудия не позволя</w:t>
      </w:r>
      <w:r w:rsidRPr="00E93F40">
        <w:rPr>
          <w:rFonts w:ascii="Times New Roman" w:hAnsi="Times New Roman"/>
          <w:color w:val="000000" w:themeColor="text1"/>
          <w:sz w:val="16"/>
          <w:szCs w:val="16"/>
        </w:rPr>
        <w:softHyphen/>
        <w:t>ла осуществлять эффективное прицеливание на дальность свыше 400 м. Вылетающий позади танкетки Т-27К сноп огня не позволял использовать ее для поддержки пехоты и, кроме того, моментально демаскировал ее. Конструкция орудия (ствол орудия проходил насквозь через боевое отделение) не позволяла использловать эффективное прицеливание и на</w:t>
      </w:r>
      <w:r w:rsidRPr="00E93F40">
        <w:rPr>
          <w:rFonts w:ascii="Times New Roman" w:hAnsi="Times New Roman"/>
          <w:color w:val="000000" w:themeColor="text1"/>
          <w:sz w:val="16"/>
          <w:szCs w:val="16"/>
        </w:rPr>
        <w:softHyphen/>
        <w:t>ведение орудия по горизонтали. Даже сам М.Н. Тухачевский, являвшийся поклонником как танкеток, так и безоткатных пушек, не мог сказать ни одного веского довода в пользу рас</w:t>
      </w:r>
      <w:r w:rsidRPr="00E93F40">
        <w:rPr>
          <w:rFonts w:ascii="Times New Roman" w:hAnsi="Times New Roman"/>
          <w:color w:val="000000" w:themeColor="text1"/>
          <w:sz w:val="16"/>
          <w:szCs w:val="16"/>
        </w:rPr>
        <w:softHyphen/>
        <w:t>смотренного гибрида указанных типов оружия (11417).</w:t>
      </w:r>
    </w:p>
    <w:p w14:paraId="43BB393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8F5D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первый прототип нового танка Т-28 был выведен на заводские испытания. В главной башне прототипа размещалась 45-мм танковая пушка и пулемет ДТ в шаровой установке. В двух малых пулеметных башнях устанавливались еще два ДТ. Для поворота главной башни использовался электропривод, что являлось новинкой для того времени, а для удобства работы экипажа в ней имелся также подвесной полик. Конструкция ходовой части танка, весившего 18 тонн, придавала ему необходимую плавность хода и обеспечивала преодоление препятствий. Вместе с тем, при первом же испытании в ней выявилось большое число недоработок, как впрочем и в силовой установке (3862).</w:t>
      </w:r>
    </w:p>
    <w:p w14:paraId="1705EC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C0E216"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1932 г. выполнить в срок изготовление 10 БТ-5 на ХПЗ не удалось и был готов (и то не полностью) только один обра</w:t>
      </w:r>
      <w:r w:rsidRPr="00142305">
        <w:rPr>
          <w:rFonts w:ascii="Times New Roman" w:hAnsi="Times New Roman"/>
          <w:color w:val="0070C0"/>
          <w:sz w:val="16"/>
          <w:szCs w:val="16"/>
        </w:rPr>
        <w:softHyphen/>
        <w:t>зец, еще 4 находились в стадии сборки (25009).</w:t>
      </w:r>
    </w:p>
    <w:p w14:paraId="6DAE5F39" w14:textId="77777777" w:rsidR="00DB2196" w:rsidRPr="00142305" w:rsidRDefault="00DB2196" w:rsidP="00DB2196">
      <w:pPr>
        <w:spacing w:after="0" w:line="240" w:lineRule="auto"/>
        <w:jc w:val="both"/>
        <w:rPr>
          <w:rFonts w:ascii="Times New Roman" w:hAnsi="Times New Roman"/>
          <w:color w:val="0070C0"/>
          <w:sz w:val="16"/>
          <w:szCs w:val="16"/>
        </w:rPr>
      </w:pPr>
    </w:p>
    <w:p w14:paraId="558809DD"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года в Америке закупили около 3000 моторов «Либерти» (по цене 60 долларов за штуку), что позволило ре</w:t>
      </w:r>
      <w:r w:rsidRPr="00142305">
        <w:rPr>
          <w:rFonts w:ascii="Times New Roman" w:hAnsi="Times New Roman"/>
          <w:color w:val="0070C0"/>
          <w:sz w:val="16"/>
          <w:szCs w:val="16"/>
        </w:rPr>
        <w:softHyphen/>
        <w:t>шить проблему с производством БТ-2, а позже БТ-5. Однако возникли другие проблемы. Так, по состоянию на 1 янва</w:t>
      </w:r>
      <w:r w:rsidRPr="00142305">
        <w:rPr>
          <w:rFonts w:ascii="Times New Roman" w:hAnsi="Times New Roman"/>
          <w:color w:val="0070C0"/>
          <w:sz w:val="16"/>
          <w:szCs w:val="16"/>
        </w:rPr>
        <w:softHyphen/>
        <w:t>ря 1933 года более половины американ</w:t>
      </w:r>
      <w:r w:rsidRPr="00142305">
        <w:rPr>
          <w:rFonts w:ascii="Times New Roman" w:hAnsi="Times New Roman"/>
          <w:color w:val="0070C0"/>
          <w:sz w:val="16"/>
          <w:szCs w:val="16"/>
        </w:rPr>
        <w:softHyphen/>
        <w:t>ских «Либерти» были укомплектованы не полностью, о чем сообщал замести</w:t>
      </w:r>
      <w:r w:rsidRPr="00142305">
        <w:rPr>
          <w:rFonts w:ascii="Times New Roman" w:hAnsi="Times New Roman"/>
          <w:color w:val="0070C0"/>
          <w:sz w:val="16"/>
          <w:szCs w:val="16"/>
        </w:rPr>
        <w:softHyphen/>
        <w:t>тель наркома тяжелой промышленнос</w:t>
      </w:r>
      <w:r w:rsidRPr="00142305">
        <w:rPr>
          <w:rFonts w:ascii="Times New Roman" w:hAnsi="Times New Roman"/>
          <w:color w:val="0070C0"/>
          <w:sz w:val="16"/>
          <w:szCs w:val="16"/>
        </w:rPr>
        <w:softHyphen/>
        <w:t>ти Л. Каганович:</w:t>
      </w:r>
    </w:p>
    <w:p w14:paraId="5EEF3C60"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«Электрооборудование для них ввози</w:t>
      </w:r>
      <w:r w:rsidRPr="00142305">
        <w:rPr>
          <w:rFonts w:ascii="Times New Roman" w:hAnsi="Times New Roman"/>
          <w:color w:val="0070C0"/>
          <w:sz w:val="16"/>
          <w:szCs w:val="16"/>
        </w:rPr>
        <w:softHyphen/>
        <w:t>лось лишь частично ввиду наличия ранее завезенных запасов, обеспечивавших программу 1932 года. В настоящее время 1623 мотора «Либерти» не имеют элект</w:t>
      </w:r>
      <w:r w:rsidRPr="00142305">
        <w:rPr>
          <w:rFonts w:ascii="Times New Roman" w:hAnsi="Times New Roman"/>
          <w:color w:val="0070C0"/>
          <w:sz w:val="16"/>
          <w:szCs w:val="16"/>
        </w:rPr>
        <w:softHyphen/>
        <w:t>рооборудования, требуется закупка в САСШ электроаппаратуры «Делько» (25009).</w:t>
      </w:r>
    </w:p>
    <w:p w14:paraId="1AEC0798" w14:textId="77777777" w:rsidR="00DB2196" w:rsidRPr="00142305" w:rsidRDefault="00DB2196" w:rsidP="00DB2196">
      <w:pPr>
        <w:spacing w:after="0" w:line="240" w:lineRule="auto"/>
        <w:jc w:val="both"/>
        <w:rPr>
          <w:rFonts w:ascii="Times New Roman" w:hAnsi="Times New Roman"/>
          <w:color w:val="0070C0"/>
          <w:sz w:val="16"/>
          <w:szCs w:val="16"/>
        </w:rPr>
      </w:pPr>
    </w:p>
    <w:p w14:paraId="31DE260A"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года КБ Дыренкова закрыли. Из приемо-сдаточной ведомости тан</w:t>
      </w:r>
      <w:r w:rsidRPr="00142305">
        <w:rPr>
          <w:rFonts w:ascii="Times New Roman" w:hAnsi="Times New Roman"/>
          <w:color w:val="0070C0"/>
          <w:sz w:val="16"/>
          <w:szCs w:val="16"/>
        </w:rPr>
        <w:softHyphen/>
        <w:t>ка Д-4, составленной после закрытия КБ, мож</w:t>
      </w:r>
      <w:r w:rsidRPr="00142305">
        <w:rPr>
          <w:rFonts w:ascii="Times New Roman" w:hAnsi="Times New Roman"/>
          <w:color w:val="0070C0"/>
          <w:sz w:val="16"/>
          <w:szCs w:val="16"/>
        </w:rPr>
        <w:softHyphen/>
        <w:t>но узнать некоторые детали о конструк</w:t>
      </w:r>
      <w:r w:rsidRPr="00142305">
        <w:rPr>
          <w:rFonts w:ascii="Times New Roman" w:hAnsi="Times New Roman"/>
          <w:color w:val="0070C0"/>
          <w:sz w:val="16"/>
          <w:szCs w:val="16"/>
        </w:rPr>
        <w:softHyphen/>
        <w:t>ции машины:</w:t>
      </w:r>
    </w:p>
    <w:p w14:paraId="32662813"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«Корпус склепанный из сырых броне</w:t>
      </w:r>
      <w:r w:rsidRPr="00142305">
        <w:rPr>
          <w:rFonts w:ascii="Times New Roman" w:hAnsi="Times New Roman"/>
          <w:color w:val="0070C0"/>
          <w:sz w:val="16"/>
          <w:szCs w:val="16"/>
        </w:rPr>
        <w:softHyphen/>
        <w:t>вых листов с подъемными листами кры</w:t>
      </w:r>
      <w:r w:rsidRPr="00142305">
        <w:rPr>
          <w:rFonts w:ascii="Times New Roman" w:hAnsi="Times New Roman"/>
          <w:color w:val="0070C0"/>
          <w:sz w:val="16"/>
          <w:szCs w:val="16"/>
        </w:rPr>
        <w:softHyphen/>
        <w:t>ши и бортовыми листами, прикрываю</w:t>
      </w:r>
      <w:r w:rsidRPr="00142305">
        <w:rPr>
          <w:rFonts w:ascii="Times New Roman" w:hAnsi="Times New Roman"/>
          <w:color w:val="0070C0"/>
          <w:sz w:val="16"/>
          <w:szCs w:val="16"/>
        </w:rPr>
        <w:softHyphen/>
        <w:t>щими гусеницу.</w:t>
      </w:r>
    </w:p>
    <w:p w14:paraId="141C1D99"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Две вращающихся башни, склепанных из сырой брони с погонами и частью по</w:t>
      </w:r>
      <w:r w:rsidRPr="00142305">
        <w:rPr>
          <w:rFonts w:ascii="Times New Roman" w:hAnsi="Times New Roman"/>
          <w:color w:val="0070C0"/>
          <w:sz w:val="16"/>
          <w:szCs w:val="16"/>
        </w:rPr>
        <w:softHyphen/>
        <w:t>воротного механизма...</w:t>
      </w:r>
    </w:p>
    <w:p w14:paraId="15A82F02"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Мостик, склепанный из листовой ста</w:t>
      </w:r>
      <w:r w:rsidRPr="00142305">
        <w:rPr>
          <w:rFonts w:ascii="Times New Roman" w:hAnsi="Times New Roman"/>
          <w:color w:val="0070C0"/>
          <w:sz w:val="16"/>
          <w:szCs w:val="16"/>
        </w:rPr>
        <w:softHyphen/>
        <w:t>ли и направляющая коробка.</w:t>
      </w:r>
    </w:p>
    <w:p w14:paraId="70200A95"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Направляющие колеса мостика — 6 клепанных колес из листовой стали с на</w:t>
      </w:r>
      <w:r w:rsidRPr="00142305">
        <w:rPr>
          <w:rFonts w:ascii="Times New Roman" w:hAnsi="Times New Roman"/>
          <w:color w:val="0070C0"/>
          <w:sz w:val="16"/>
          <w:szCs w:val="16"/>
        </w:rPr>
        <w:softHyphen/>
        <w:t>саженными двойными грузошинами и 12 рессорами.</w:t>
      </w:r>
    </w:p>
    <w:p w14:paraId="1842F270"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Механизм подъема мостика с короб</w:t>
      </w:r>
      <w:r w:rsidRPr="00142305">
        <w:rPr>
          <w:rFonts w:ascii="Times New Roman" w:hAnsi="Times New Roman"/>
          <w:color w:val="0070C0"/>
          <w:sz w:val="16"/>
          <w:szCs w:val="16"/>
        </w:rPr>
        <w:softHyphen/>
        <w:t>ками, червячными зубчатками и транс</w:t>
      </w:r>
      <w:r w:rsidRPr="00142305">
        <w:rPr>
          <w:rFonts w:ascii="Times New Roman" w:hAnsi="Times New Roman"/>
          <w:color w:val="0070C0"/>
          <w:sz w:val="16"/>
          <w:szCs w:val="16"/>
        </w:rPr>
        <w:softHyphen/>
        <w:t>миссией.</w:t>
      </w:r>
    </w:p>
    <w:p w14:paraId="5B5B7359"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Передние и задние железнодорожные колеса.</w:t>
      </w:r>
    </w:p>
    <w:p w14:paraId="5E65142B"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Гусеницы — нижняя часть траков штампованная, верхняя стальное литье, а также сочлененные тросы для гусе</w:t>
      </w:r>
      <w:r w:rsidRPr="00142305">
        <w:rPr>
          <w:rFonts w:ascii="Times New Roman" w:hAnsi="Times New Roman"/>
          <w:color w:val="0070C0"/>
          <w:sz w:val="16"/>
          <w:szCs w:val="16"/>
        </w:rPr>
        <w:softHyphen/>
        <w:t>ниц...</w:t>
      </w:r>
    </w:p>
    <w:p w14:paraId="66C3929B"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Моторы «Геркулес» 105 л.с...</w:t>
      </w:r>
    </w:p>
    <w:p w14:paraId="77DC2E1B"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Реверсная передача.</w:t>
      </w:r>
    </w:p>
    <w:p w14:paraId="54E1ADEE"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Гидроуправление.</w:t>
      </w:r>
    </w:p>
    <w:p w14:paraId="70DA617E"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Стробоскопы двух типов.</w:t>
      </w:r>
    </w:p>
    <w:p w14:paraId="04DB1D68"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Механизмы подъема стробоскопов» (25010).</w:t>
      </w:r>
    </w:p>
    <w:p w14:paraId="6503D15B" w14:textId="77777777" w:rsidR="00DB2196" w:rsidRPr="00142305" w:rsidRDefault="00DB2196" w:rsidP="00DB2196">
      <w:pPr>
        <w:spacing w:after="0" w:line="240" w:lineRule="auto"/>
        <w:jc w:val="both"/>
        <w:rPr>
          <w:rFonts w:ascii="Times New Roman" w:hAnsi="Times New Roman"/>
          <w:color w:val="0070C0"/>
          <w:sz w:val="16"/>
          <w:szCs w:val="16"/>
        </w:rPr>
      </w:pPr>
    </w:p>
    <w:p w14:paraId="4BADC91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был изготовлен опытный образец танка, получившего индекс Т-34. Он в целом удовлетворял требованиям ТТТ, однако масса его составила 4,7 т. Броне-корпус танка был собран на заклепках из бронелистов тол</w:t>
      </w:r>
      <w:r w:rsidRPr="00E93F40">
        <w:rPr>
          <w:rFonts w:ascii="Times New Roman" w:hAnsi="Times New Roman"/>
          <w:color w:val="000000" w:themeColor="text1"/>
          <w:sz w:val="16"/>
          <w:szCs w:val="16"/>
        </w:rPr>
        <w:softHyphen/>
        <w:t>щиной 4, 6 и 10 мм. Двигатель с системой охлаждения за</w:t>
      </w:r>
      <w:r w:rsidRPr="00E93F40">
        <w:rPr>
          <w:rFonts w:ascii="Times New Roman" w:hAnsi="Times New Roman"/>
          <w:color w:val="000000" w:themeColor="text1"/>
          <w:sz w:val="16"/>
          <w:szCs w:val="16"/>
        </w:rPr>
        <w:softHyphen/>
        <w:t>имствован от автомобиля ЗИС-5, а трансмиссия — от танка Т-33. Бортовые редукторы были вынесены за пределы бро-некорпуса. Танк оборудовался одной башней кругового вращения, конструктивно подобной устанавливаемым на плавающие танки Т-37. Предполагалось вооружить танк 7,62-мм пулеметом ДУ или ДТ. Подвеска машины - блокированная, пружинная. Состояла из двух двухкатковых тележек по каждому борту. В качестве упругого элемента использовались наклонно расположенные спиральные цилиндрические пружины. Опорные и поддерживающие катки были обрезинены. Всего для проведения испытаний было изготовлено два танка. Между собой они отличались тем, что на первом в башне левее пулемета был смонтирован стробоскопический прибор наблюдения, на втором же в этом месте находилась фара боевого света (для ведения огня ночью и в сумерки), в бою закрываемая заслонкой. На испытаниях в 1933 г. танк показал очень хорошие ре-рэультаты. Его тактическая подвижность была даже выше, чем Т-26, проходимость также великолепной, правда, запас хода вместо 200 км составил лишь 180, но главное — танк имел своенные автомобильные агрегаты, что делало его произ-цство привлекательным, особенно в военное время. Лишь одно было записано в число его несомненных не</w:t>
      </w:r>
      <w:r w:rsidRPr="00E93F40">
        <w:rPr>
          <w:rFonts w:ascii="Times New Roman" w:hAnsi="Times New Roman"/>
          <w:color w:val="000000" w:themeColor="text1"/>
          <w:sz w:val="16"/>
          <w:szCs w:val="16"/>
        </w:rPr>
        <w:softHyphen/>
        <w:t>достатков — слабое вооружение, поэтому летом 1933 г. рас</w:t>
      </w:r>
      <w:r w:rsidRPr="00E93F40">
        <w:rPr>
          <w:rFonts w:ascii="Times New Roman" w:hAnsi="Times New Roman"/>
          <w:color w:val="000000" w:themeColor="text1"/>
          <w:sz w:val="16"/>
          <w:szCs w:val="16"/>
        </w:rPr>
        <w:softHyphen/>
        <w:t>сматривался вопрос возможного усиления вооружения Т-34. Предложений было несколько — от установки скорос</w:t>
      </w:r>
      <w:r w:rsidRPr="00E93F40">
        <w:rPr>
          <w:rFonts w:ascii="Times New Roman" w:hAnsi="Times New Roman"/>
          <w:color w:val="000000" w:themeColor="text1"/>
          <w:sz w:val="16"/>
          <w:szCs w:val="16"/>
        </w:rPr>
        <w:softHyphen/>
        <w:t>трельного пулемета ШКАС до разработки специальной пу</w:t>
      </w:r>
      <w:r w:rsidRPr="00E93F40">
        <w:rPr>
          <w:rFonts w:ascii="Times New Roman" w:hAnsi="Times New Roman"/>
          <w:color w:val="000000" w:themeColor="text1"/>
          <w:sz w:val="16"/>
          <w:szCs w:val="16"/>
        </w:rPr>
        <w:softHyphen/>
        <w:t>шечной башни. Наиболее удачным были сочтены предложения П. Сячинтова, Б. Шпитального и Е. Фрайбурга. Суть их заключа</w:t>
      </w:r>
      <w:r w:rsidRPr="00E93F40">
        <w:rPr>
          <w:rFonts w:ascii="Times New Roman" w:hAnsi="Times New Roman"/>
          <w:color w:val="000000" w:themeColor="text1"/>
          <w:sz w:val="16"/>
          <w:szCs w:val="16"/>
        </w:rPr>
        <w:softHyphen/>
        <w:t>лась в том, чтобы перевооружить существующую башню 20-мм пушкой, разработанной Б. Шпитальным для самолета (П. Сячинтов, Б. Шпитальный) или 20-мм зенитной пушкой «Рейнметалл» (Е. Фрайбург). По мнению авторов, 20-мм ав</w:t>
      </w:r>
      <w:r w:rsidRPr="00E93F40">
        <w:rPr>
          <w:rFonts w:ascii="Times New Roman" w:hAnsi="Times New Roman"/>
          <w:color w:val="000000" w:themeColor="text1"/>
          <w:sz w:val="16"/>
          <w:szCs w:val="16"/>
        </w:rPr>
        <w:softHyphen/>
        <w:t>томат наиболее удачно мог сочетать возможность ведения ог</w:t>
      </w:r>
      <w:r w:rsidRPr="00E93F40">
        <w:rPr>
          <w:rFonts w:ascii="Times New Roman" w:hAnsi="Times New Roman"/>
          <w:color w:val="000000" w:themeColor="text1"/>
          <w:sz w:val="16"/>
          <w:szCs w:val="16"/>
        </w:rPr>
        <w:softHyphen/>
        <w:t>ня как по живой силе, так и по бронированным целям. Но казенная часть зенитной пушки была чрезмерно ве</w:t>
      </w:r>
      <w:r w:rsidRPr="00E93F40">
        <w:rPr>
          <w:rFonts w:ascii="Times New Roman" w:hAnsi="Times New Roman"/>
          <w:color w:val="000000" w:themeColor="text1"/>
          <w:sz w:val="16"/>
          <w:szCs w:val="16"/>
        </w:rPr>
        <w:softHyphen/>
        <w:t>лика не только для установки в существующей башне, но даже и во вдвое большей. Кроме того, наличие у зенитной пушки дульного тормоза демаскировало танк, а ее питание из обойм резко снижало боевую скорострельность системы или требовало специально выделенного заряжающего для обеспечения ведения непрерывного огня. Недостатком "системы была признана также сравнительно большая дли</w:t>
      </w:r>
      <w:r w:rsidRPr="00E93F40">
        <w:rPr>
          <w:rFonts w:ascii="Times New Roman" w:hAnsi="Times New Roman"/>
          <w:color w:val="000000" w:themeColor="text1"/>
          <w:sz w:val="16"/>
          <w:szCs w:val="16"/>
        </w:rPr>
        <w:softHyphen/>
        <w:t>на выстрела. В то же время 20-мм танковая пушка Б. Шпитального, переработанная из авиационного пулемета, имела небольшую длину патрона и ленточное питание. Она, конечно, тоже не помещалась в существующей башне, но размер ее казенника был много меньше, чем у «рейнметалла». Поэтому полученный макет 20-мм автоматической пушки был установлен в существующей башне, в которой по месту было прорезано окно в лобовой части, закрытое сваренным коробом, для уравновешивания которого 6ашня была дополнена кормовой нишей. В таком виде танк прошел испытания возкой, но испытание стрельбой не состоялись, поскольку Б. Шпитальный не подал в 1933 г. работающий образец своего 20-мм автомата. В 1934 г. работы по танку не вышли за пределы уточнения конструкции отдельных узлов и разработки маршрутно-технологических карт изготовления его на заводе АМО-ЗИС и к концу года были прекращены полностью (10733).</w:t>
      </w:r>
    </w:p>
    <w:p w14:paraId="6508751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809E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были полностью прекращены работы по мобилизационному танку Т-34, опытный образец которого был изготовлен в конце 1932. Он в целом удовлетворял требованиям ТТТ, однако масса его составила 4,7 т. Броне-корпус танка был собран на заклепках из бронелистов тол</w:t>
      </w:r>
      <w:r w:rsidRPr="00E93F40">
        <w:rPr>
          <w:rFonts w:ascii="Times New Roman" w:hAnsi="Times New Roman"/>
          <w:color w:val="000000" w:themeColor="text1"/>
          <w:sz w:val="16"/>
          <w:szCs w:val="16"/>
        </w:rPr>
        <w:softHyphen/>
        <w:t>щиной 4, 6 и 10 мм. Двигатель с системой охлаждения за</w:t>
      </w:r>
      <w:r w:rsidRPr="00E93F40">
        <w:rPr>
          <w:rFonts w:ascii="Times New Roman" w:hAnsi="Times New Roman"/>
          <w:color w:val="000000" w:themeColor="text1"/>
          <w:sz w:val="16"/>
          <w:szCs w:val="16"/>
        </w:rPr>
        <w:softHyphen/>
        <w:t xml:space="preserve">имствован от автомобиля ЗИС-5, а трансмиссия — от танка Т-33. Бортовые редукторы были вынесены за пределы бро-некорпуса. Танк </w:t>
      </w:r>
      <w:r w:rsidRPr="00E93F40">
        <w:rPr>
          <w:rFonts w:ascii="Times New Roman" w:hAnsi="Times New Roman"/>
          <w:color w:val="000000" w:themeColor="text1"/>
          <w:sz w:val="16"/>
          <w:szCs w:val="16"/>
        </w:rPr>
        <w:lastRenderedPageBreak/>
        <w:t>оборудовался одной башней кругового вращения, конструктивно подобной устанавливаемым на плавающие танки Т-37. Предполагалось вооружить танк 7,62-мм пулеметом ДУ или ДТ. Подвеска машины - блокированная, пружинная. Состояла из двух двухкатковых тележек по каждому борту. В качестве упругого элемента использовались наклонно расположенные спиральные цилиндрические пружины. Опорные и поддерживающие катки были обрезинены. Всего для проведения испытаний было изготовлено два танка. Между собой они отличались тем, что на первом в башне левее пулемета был смонтирован стробоскопический прибор наблюдения, на втором же в этом месте находилась фара боевого света (для ведения огня ночью и в сумерки), в бою закрываемая заслонкой. На испытаниях в 1933 г. танк показал очень хорошие ре-рэультаты. Его тактическая подвижность была даже выше, чем Т-26, проходимость также великолепной, правда, запас хода вместо 200 км составил лишь 180, но главное — танк имел своенные автомобильные агрегаты, что делало его произ-цство привлекательным, особенно в военное время. Лишь одно было записано в число его несомненных не</w:t>
      </w:r>
      <w:r w:rsidRPr="00E93F40">
        <w:rPr>
          <w:rFonts w:ascii="Times New Roman" w:hAnsi="Times New Roman"/>
          <w:color w:val="000000" w:themeColor="text1"/>
          <w:sz w:val="16"/>
          <w:szCs w:val="16"/>
        </w:rPr>
        <w:softHyphen/>
        <w:t>достатков — слабое вооружение, поэтому летом 1933 г. рас</w:t>
      </w:r>
      <w:r w:rsidRPr="00E93F40">
        <w:rPr>
          <w:rFonts w:ascii="Times New Roman" w:hAnsi="Times New Roman"/>
          <w:color w:val="000000" w:themeColor="text1"/>
          <w:sz w:val="16"/>
          <w:szCs w:val="16"/>
        </w:rPr>
        <w:softHyphen/>
        <w:t>сматривался вопрос возможного усиления вооружения Т-34. Предложений было несколько — от установки скорос</w:t>
      </w:r>
      <w:r w:rsidRPr="00E93F40">
        <w:rPr>
          <w:rFonts w:ascii="Times New Roman" w:hAnsi="Times New Roman"/>
          <w:color w:val="000000" w:themeColor="text1"/>
          <w:sz w:val="16"/>
          <w:szCs w:val="16"/>
        </w:rPr>
        <w:softHyphen/>
        <w:t>трельного пулемета ШКАС до разработки специальной пу</w:t>
      </w:r>
      <w:r w:rsidRPr="00E93F40">
        <w:rPr>
          <w:rFonts w:ascii="Times New Roman" w:hAnsi="Times New Roman"/>
          <w:color w:val="000000" w:themeColor="text1"/>
          <w:sz w:val="16"/>
          <w:szCs w:val="16"/>
        </w:rPr>
        <w:softHyphen/>
        <w:t>шечной башни. Наиболее удачным были сочтены предложения П. Сячинтова, Б. Шпитального и Е. Фрайбурга. Суть их заключа</w:t>
      </w:r>
      <w:r w:rsidRPr="00E93F40">
        <w:rPr>
          <w:rFonts w:ascii="Times New Roman" w:hAnsi="Times New Roman"/>
          <w:color w:val="000000" w:themeColor="text1"/>
          <w:sz w:val="16"/>
          <w:szCs w:val="16"/>
        </w:rPr>
        <w:softHyphen/>
        <w:t>лась в том, чтобы перевооружить существующую башню 20-мм пушкой, разработанной Б. Шпитальным для самолета (П. Сячинтов, Б. Шпитальный) или 20-мм зенитной пушкой «Рейнметалл» (Е. Фрайбург). По мнению авторов, 20-мм ав</w:t>
      </w:r>
      <w:r w:rsidRPr="00E93F40">
        <w:rPr>
          <w:rFonts w:ascii="Times New Roman" w:hAnsi="Times New Roman"/>
          <w:color w:val="000000" w:themeColor="text1"/>
          <w:sz w:val="16"/>
          <w:szCs w:val="16"/>
        </w:rPr>
        <w:softHyphen/>
        <w:t>томат наиболее удачно мог сочетать возможность ведения ог</w:t>
      </w:r>
      <w:r w:rsidRPr="00E93F40">
        <w:rPr>
          <w:rFonts w:ascii="Times New Roman" w:hAnsi="Times New Roman"/>
          <w:color w:val="000000" w:themeColor="text1"/>
          <w:sz w:val="16"/>
          <w:szCs w:val="16"/>
        </w:rPr>
        <w:softHyphen/>
        <w:t>ня как по живой силе, так и по бронированным целям. Но казенная часть зенитной пушки была чрезмерно ве</w:t>
      </w:r>
      <w:r w:rsidRPr="00E93F40">
        <w:rPr>
          <w:rFonts w:ascii="Times New Roman" w:hAnsi="Times New Roman"/>
          <w:color w:val="000000" w:themeColor="text1"/>
          <w:sz w:val="16"/>
          <w:szCs w:val="16"/>
        </w:rPr>
        <w:softHyphen/>
        <w:t>лика не только для установки в существующей башне, но даже и во вдвое большей. Кроме того, наличие у зенитной пушки дульного тормоза демаскировало танк, а ее питание из обойм резко снижало боевую скорострельность системы или требовало специально выделенного заряжающего для обеспечения ведения непрерывного огня. Недостатком "системы была признана также сравнительно большая дли</w:t>
      </w:r>
      <w:r w:rsidRPr="00E93F40">
        <w:rPr>
          <w:rFonts w:ascii="Times New Roman" w:hAnsi="Times New Roman"/>
          <w:color w:val="000000" w:themeColor="text1"/>
          <w:sz w:val="16"/>
          <w:szCs w:val="16"/>
        </w:rPr>
        <w:softHyphen/>
        <w:t>на выстрела. В то же время 20-мм танковая пушка Б. Шпитального, переработанная из авиационного пулемета, имела небольшую длину патрона и ленточное питание. Она, конечно, тоже не помещалась в существующей башне, но размер ее казенника был много меньше, чем у «рейнметалла». Поэтому полученный макет 20-мм автоматической пушки был установлен в существующей башне, в которой по месту было прорезано окно в лобовой части, закрытое сваренным коробом, для уравновешивания которого 6ашня была дополнена кормовой нишей. В таком виде танк прошел испытания возкой, но испытание стрельбой не состоялись, поскольку Б. Шпитальный не подал в 1933 г. работающий образец своего 20-мм автомата. В 1934 г. работы по танку не вышли за пределы уточнения конструкции отдельных узлов и разработки маршрутно-технологических карт изготовления его на заводе АМО-ЗИС и к концу года были прекращены полностью (10733).</w:t>
      </w:r>
    </w:p>
    <w:p w14:paraId="315C58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5F2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в связи с расширением работ над БТ-4 на ХПЗ были прекращены работы над танком БТ-6. Это был БТ-4 с башней и вооружением от БТ-5 (3879,23).</w:t>
      </w:r>
    </w:p>
    <w:p w14:paraId="4AFCB0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EA0A97B" w14:textId="77777777" w:rsidR="007E0BA3" w:rsidRPr="00E93F40" w:rsidRDefault="007E0B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металлургические предприятия должны были выпускать 62,5 тыс. тонн брони для 40 тыс. танков всех типов. На этом этапе ставка была сделана на углеродистую цементированную броню. Для обеспечения потребности в броне в 1931 г. велась подготовка бронепрокатных баз на Ижорском, Кулебакском, Мариупольском, Подольском, Таганрогском заводах (23536).</w:t>
      </w:r>
    </w:p>
    <w:p w14:paraId="6492A235" w14:textId="77777777" w:rsidR="007E0BA3" w:rsidRPr="00E93F40" w:rsidRDefault="007E0BA3" w:rsidP="00E93F40">
      <w:pPr>
        <w:spacing w:after="0" w:line="240" w:lineRule="auto"/>
        <w:jc w:val="both"/>
        <w:rPr>
          <w:rFonts w:ascii="Times New Roman" w:hAnsi="Times New Roman"/>
          <w:color w:val="000000" w:themeColor="text1"/>
          <w:sz w:val="16"/>
          <w:szCs w:val="16"/>
        </w:rPr>
      </w:pPr>
    </w:p>
    <w:p w14:paraId="189A91CC" w14:textId="77777777" w:rsidR="00DB2196" w:rsidRPr="00E93F40" w:rsidRDefault="00DB2196" w:rsidP="00DB2196">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с производства была снята броня Д (Дыренкова), которая показала отличные результаты по пулестойкости, но давала ничтожный выход годных изделий при производстве. Задержки с производством бронедеталей на Мариупольском заводе привели к тому, что БТ получили 53 железных, а не броневых башни, а 13 первых БТ имели железный корпус. С конца года Мариупольский завод начал делать бронекорпуса и башни из брони МИ - двухслойной стали. Процент брака был также значительным, но броня была лучше по пулестойкости, чем броня ПИ Ижорского завода</w:t>
      </w:r>
    </w:p>
    <w:p w14:paraId="7CD80863" w14:textId="77777777" w:rsidR="00DB2196" w:rsidRPr="00E93F40" w:rsidRDefault="00DB2196" w:rsidP="00DB2196">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(3879,15).</w:t>
      </w:r>
    </w:p>
    <w:p w14:paraId="06C6B089" w14:textId="77777777" w:rsidR="00DB2196" w:rsidRPr="00E93F40" w:rsidRDefault="00DB2196" w:rsidP="00DB2196">
      <w:pPr>
        <w:autoSpaceDE w:val="0"/>
        <w:autoSpaceDN w:val="0"/>
        <w:adjustRightInd w:val="0"/>
        <w:spacing w:after="0" w:line="240" w:lineRule="auto"/>
        <w:jc w:val="both"/>
        <w:rPr>
          <w:rFonts w:ascii="Times New Roman" w:hAnsi="Times New Roman"/>
          <w:color w:val="000000" w:themeColor="text1"/>
          <w:sz w:val="16"/>
          <w:szCs w:val="16"/>
        </w:rPr>
      </w:pPr>
    </w:p>
    <w:p w14:paraId="71FFC05C" w14:textId="77777777" w:rsidR="00B87296" w:rsidRPr="00B87296" w:rsidRDefault="00B87296" w:rsidP="00B87296">
      <w:pPr>
        <w:pStyle w:val="aff2"/>
        <w:tabs>
          <w:tab w:val="left" w:pos="594"/>
        </w:tabs>
        <w:spacing w:line="240" w:lineRule="auto"/>
        <w:rPr>
          <w:rFonts w:ascii="Times New Roman" w:hAnsi="Times New Roman" w:cs="Times New Roman"/>
          <w:i w:val="0"/>
          <w:iCs w:val="0"/>
          <w:color w:val="0070C0"/>
          <w:sz w:val="16"/>
          <w:szCs w:val="16"/>
          <w:lang w:val="ru-RU"/>
        </w:rPr>
      </w:pPr>
      <w:r w:rsidRPr="00B87296">
        <w:rPr>
          <w:rFonts w:ascii="Times New Roman" w:hAnsi="Times New Roman" w:cs="Times New Roman"/>
          <w:i w:val="0"/>
          <w:iCs w:val="0"/>
          <w:color w:val="0070C0"/>
          <w:sz w:val="16"/>
          <w:szCs w:val="16"/>
          <w:lang w:val="ru-RU"/>
        </w:rPr>
        <w:t>В конце 1932 г. Ижорский завод начал освоение в производстве танковой брони марки «ПИ» (Путиловско-Ижорской).</w:t>
      </w:r>
    </w:p>
    <w:p w14:paraId="7B837B03" w14:textId="77777777" w:rsidR="00B87296" w:rsidRPr="00EE1122" w:rsidRDefault="00B87296" w:rsidP="00B87296">
      <w:pPr>
        <w:pStyle w:val="aff2"/>
        <w:tabs>
          <w:tab w:val="left" w:pos="594"/>
        </w:tabs>
        <w:spacing w:line="240" w:lineRule="auto"/>
        <w:rPr>
          <w:rFonts w:ascii="Times New Roman" w:hAnsi="Times New Roman" w:cs="Times New Roman"/>
          <w:i w:val="0"/>
          <w:iCs w:val="0"/>
          <w:color w:val="0070C0"/>
          <w:sz w:val="16"/>
          <w:szCs w:val="16"/>
          <w:lang w:val="ru-RU"/>
        </w:rPr>
      </w:pPr>
      <w:r w:rsidRPr="00EE1122">
        <w:rPr>
          <w:rFonts w:ascii="Times New Roman" w:hAnsi="Times New Roman" w:cs="Times New Roman"/>
          <w:i w:val="0"/>
          <w:iCs w:val="0"/>
          <w:color w:val="0070C0"/>
          <w:sz w:val="16"/>
          <w:szCs w:val="16"/>
          <w:lang w:val="ru-RU"/>
        </w:rPr>
        <w:t xml:space="preserve">В течение 1933 г. был уточнён хим. состав стали, обоснована </w:t>
      </w:r>
      <w:r w:rsidRPr="00142305">
        <w:rPr>
          <w:rFonts w:ascii="Times New Roman" w:hAnsi="Times New Roman" w:cs="Times New Roman"/>
          <w:i w:val="0"/>
          <w:iCs w:val="0"/>
          <w:color w:val="0070C0"/>
          <w:sz w:val="16"/>
          <w:szCs w:val="16"/>
        </w:rPr>
        <w:t>t</w:t>
      </w:r>
      <w:r w:rsidRPr="00EE1122">
        <w:rPr>
          <w:rFonts w:ascii="Times New Roman" w:hAnsi="Times New Roman" w:cs="Times New Roman"/>
          <w:i w:val="0"/>
          <w:iCs w:val="0"/>
          <w:color w:val="0070C0"/>
          <w:sz w:val="16"/>
          <w:szCs w:val="16"/>
          <w:lang w:val="ru-RU"/>
        </w:rPr>
        <w:t xml:space="preserve"> отпуска после прокатки, установлены оптимальные </w:t>
      </w:r>
      <w:r w:rsidRPr="00142305">
        <w:rPr>
          <w:rFonts w:ascii="Times New Roman" w:hAnsi="Times New Roman" w:cs="Times New Roman"/>
          <w:i w:val="0"/>
          <w:iCs w:val="0"/>
          <w:color w:val="0070C0"/>
          <w:sz w:val="16"/>
          <w:szCs w:val="16"/>
        </w:rPr>
        <w:t>t</w:t>
      </w:r>
      <w:r w:rsidRPr="00EE1122">
        <w:rPr>
          <w:rFonts w:ascii="Times New Roman" w:hAnsi="Times New Roman" w:cs="Times New Roman"/>
          <w:i w:val="0"/>
          <w:iCs w:val="0"/>
          <w:color w:val="0070C0"/>
          <w:sz w:val="16"/>
          <w:szCs w:val="16"/>
          <w:lang w:val="ru-RU"/>
        </w:rPr>
        <w:t xml:space="preserve"> закалки и последующего отпуска. Весьма важным обстоятельством было появление чётких технологических инструкций по всему металлургическому переделу, разработанных Отделом лабораторий и опирающихся на научно-исследовательские и опытные работы, проведённые на заводе.</w:t>
      </w:r>
    </w:p>
    <w:p w14:paraId="7E130A03" w14:textId="77777777" w:rsidR="00B87296" w:rsidRPr="00EE1122" w:rsidRDefault="00B87296" w:rsidP="00B87296">
      <w:pPr>
        <w:pStyle w:val="aff2"/>
        <w:tabs>
          <w:tab w:val="left" w:pos="594"/>
        </w:tabs>
        <w:spacing w:line="240" w:lineRule="auto"/>
        <w:rPr>
          <w:rFonts w:ascii="Times New Roman" w:hAnsi="Times New Roman" w:cs="Times New Roman"/>
          <w:i w:val="0"/>
          <w:iCs w:val="0"/>
          <w:color w:val="0070C0"/>
          <w:sz w:val="16"/>
          <w:szCs w:val="16"/>
          <w:lang w:val="ru-RU"/>
        </w:rPr>
      </w:pPr>
      <w:r w:rsidRPr="00EE1122">
        <w:rPr>
          <w:rFonts w:ascii="Times New Roman" w:hAnsi="Times New Roman" w:cs="Times New Roman"/>
          <w:i w:val="0"/>
          <w:iCs w:val="0"/>
          <w:color w:val="0070C0"/>
          <w:sz w:val="16"/>
          <w:szCs w:val="16"/>
          <w:lang w:val="ru-RU"/>
        </w:rPr>
        <w:t>Появление технологических инструкций было встречено недоверчиво не только работниками цехов, но и частью руководителей завода.</w:t>
      </w:r>
    </w:p>
    <w:p w14:paraId="3B7412E5" w14:textId="77777777" w:rsidR="00B87296" w:rsidRPr="00EE1122" w:rsidRDefault="00B87296" w:rsidP="00B87296">
      <w:pPr>
        <w:pStyle w:val="aff2"/>
        <w:tabs>
          <w:tab w:val="left" w:pos="594"/>
        </w:tabs>
        <w:spacing w:line="240" w:lineRule="auto"/>
        <w:rPr>
          <w:rFonts w:ascii="Times New Roman" w:hAnsi="Times New Roman" w:cs="Times New Roman"/>
          <w:i w:val="0"/>
          <w:iCs w:val="0"/>
          <w:color w:val="0070C0"/>
          <w:sz w:val="16"/>
          <w:szCs w:val="16"/>
          <w:lang w:val="ru-RU"/>
        </w:rPr>
      </w:pPr>
      <w:r w:rsidRPr="00EE1122">
        <w:rPr>
          <w:rFonts w:ascii="Times New Roman" w:hAnsi="Times New Roman" w:cs="Times New Roman"/>
          <w:i w:val="0"/>
          <w:iCs w:val="0"/>
          <w:color w:val="0070C0"/>
          <w:sz w:val="16"/>
          <w:szCs w:val="16"/>
          <w:lang w:val="ru-RU"/>
        </w:rPr>
        <w:t>Однако резкое снижение потерь от брака и существенное повышение качества брони, произошедшее после внедрения инструкций, показало правильность их внедрения в производство (25550).</w:t>
      </w:r>
    </w:p>
    <w:p w14:paraId="6F05B421" w14:textId="77777777" w:rsidR="00B87296" w:rsidRPr="00142305" w:rsidRDefault="00B87296" w:rsidP="00B87296">
      <w:pPr>
        <w:spacing w:after="0" w:line="240" w:lineRule="auto"/>
        <w:jc w:val="both"/>
        <w:rPr>
          <w:rFonts w:ascii="Times New Roman" w:hAnsi="Times New Roman"/>
          <w:color w:val="0070C0"/>
          <w:sz w:val="16"/>
          <w:szCs w:val="16"/>
        </w:rPr>
      </w:pPr>
    </w:p>
    <w:p w14:paraId="48DC4721"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1932 года завод имени Ворошилова имел 15 предприятий-смежни</w:t>
      </w:r>
      <w:r w:rsidRPr="00142305">
        <w:rPr>
          <w:rFonts w:ascii="Times New Roman" w:hAnsi="Times New Roman"/>
          <w:color w:val="0070C0"/>
          <w:sz w:val="16"/>
          <w:szCs w:val="16"/>
        </w:rPr>
        <w:softHyphen/>
        <w:t>ков, самыми крупными из которых были Ижорский завод (корпуса и башни), «Крас</w:t>
      </w:r>
      <w:r w:rsidRPr="00142305">
        <w:rPr>
          <w:rFonts w:ascii="Times New Roman" w:hAnsi="Times New Roman"/>
          <w:color w:val="0070C0"/>
          <w:sz w:val="16"/>
          <w:szCs w:val="16"/>
        </w:rPr>
        <w:softHyphen/>
        <w:t>ный Октябрь» (коробки перемены передач и карданные валы), «Красный путиловец» (ходовая часть), «Большевик» (полуфабрика</w:t>
      </w:r>
      <w:r w:rsidRPr="00142305">
        <w:rPr>
          <w:rFonts w:ascii="Times New Roman" w:hAnsi="Times New Roman"/>
          <w:color w:val="0070C0"/>
          <w:sz w:val="16"/>
          <w:szCs w:val="16"/>
        </w:rPr>
        <w:softHyphen/>
        <w:t>ты для двигателей) и завод № 7 (котельно</w:t>
      </w:r>
      <w:r w:rsidRPr="00142305">
        <w:rPr>
          <w:rFonts w:ascii="Times New Roman" w:hAnsi="Times New Roman"/>
          <w:color w:val="0070C0"/>
          <w:sz w:val="16"/>
          <w:szCs w:val="16"/>
        </w:rPr>
        <w:softHyphen/>
        <w:t>жестяные изделия). Следует отметить, что производство целого ряда сложных узлов и деталей впервые разворачивалось на мно</w:t>
      </w:r>
      <w:r w:rsidRPr="00142305">
        <w:rPr>
          <w:rFonts w:ascii="Times New Roman" w:hAnsi="Times New Roman"/>
          <w:color w:val="0070C0"/>
          <w:sz w:val="16"/>
          <w:szCs w:val="16"/>
        </w:rPr>
        <w:softHyphen/>
        <w:t>гих предприятиях-смежниках и требовало определенного времени для организации ра</w:t>
      </w:r>
      <w:r w:rsidRPr="00142305">
        <w:rPr>
          <w:rFonts w:ascii="Times New Roman" w:hAnsi="Times New Roman"/>
          <w:color w:val="0070C0"/>
          <w:sz w:val="16"/>
          <w:szCs w:val="16"/>
        </w:rPr>
        <w:softHyphen/>
        <w:t>бот. Кроме того, катастрофически не хватало квалифицированных кадров - не только ин</w:t>
      </w:r>
      <w:r w:rsidRPr="00142305">
        <w:rPr>
          <w:rFonts w:ascii="Times New Roman" w:hAnsi="Times New Roman"/>
          <w:color w:val="0070C0"/>
          <w:sz w:val="16"/>
          <w:szCs w:val="16"/>
        </w:rPr>
        <w:softHyphen/>
        <w:t>женеров и техников, но и простых рабочих. Низкая квалификация рабочей силы, новиз</w:t>
      </w:r>
      <w:r w:rsidRPr="00142305">
        <w:rPr>
          <w:rFonts w:ascii="Times New Roman" w:hAnsi="Times New Roman"/>
          <w:color w:val="0070C0"/>
          <w:sz w:val="16"/>
          <w:szCs w:val="16"/>
        </w:rPr>
        <w:softHyphen/>
        <w:t>на программы при недостаточном оснаще</w:t>
      </w:r>
      <w:r w:rsidRPr="00142305">
        <w:rPr>
          <w:rFonts w:ascii="Times New Roman" w:hAnsi="Times New Roman"/>
          <w:color w:val="0070C0"/>
          <w:sz w:val="16"/>
          <w:szCs w:val="16"/>
        </w:rPr>
        <w:softHyphen/>
        <w:t>нии производства необходимым количест</w:t>
      </w:r>
      <w:r w:rsidRPr="00142305">
        <w:rPr>
          <w:rFonts w:ascii="Times New Roman" w:hAnsi="Times New Roman"/>
          <w:color w:val="0070C0"/>
          <w:sz w:val="16"/>
          <w:szCs w:val="16"/>
        </w:rPr>
        <w:softHyphen/>
        <w:t>вом станков, инструментов и приспособле</w:t>
      </w:r>
      <w:r w:rsidRPr="00142305">
        <w:rPr>
          <w:rFonts w:ascii="Times New Roman" w:hAnsi="Times New Roman"/>
          <w:color w:val="0070C0"/>
          <w:sz w:val="16"/>
          <w:szCs w:val="16"/>
        </w:rPr>
        <w:softHyphen/>
        <w:t>ний все это приводило к огромному количеству брака. В результате, месячные графики производства танков не выполня</w:t>
      </w:r>
      <w:r w:rsidRPr="00142305">
        <w:rPr>
          <w:rFonts w:ascii="Times New Roman" w:hAnsi="Times New Roman"/>
          <w:color w:val="0070C0"/>
          <w:sz w:val="16"/>
          <w:szCs w:val="16"/>
        </w:rPr>
        <w:softHyphen/>
        <w:t>лись, изготовленные танки не принимались военной приемкой и скапливались на заводе.</w:t>
      </w:r>
    </w:p>
    <w:p w14:paraId="45A1A19E" w14:textId="77777777" w:rsidR="00B87296" w:rsidRPr="00142305" w:rsidRDefault="00B87296" w:rsidP="00B872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Положение усугублялось и тем, что на за</w:t>
      </w:r>
      <w:r w:rsidRPr="00142305">
        <w:rPr>
          <w:rFonts w:ascii="Times New Roman" w:hAnsi="Times New Roman"/>
          <w:color w:val="0070C0"/>
          <w:sz w:val="16"/>
          <w:szCs w:val="16"/>
        </w:rPr>
        <w:softHyphen/>
        <w:t>воде № 174 так и не было точно установлен</w:t>
      </w:r>
      <w:r w:rsidRPr="00142305">
        <w:rPr>
          <w:rFonts w:ascii="Times New Roman" w:hAnsi="Times New Roman"/>
          <w:color w:val="0070C0"/>
          <w:sz w:val="16"/>
          <w:szCs w:val="16"/>
        </w:rPr>
        <w:softHyphen/>
        <w:t>ного техпроцесса по производству танков, а планирование выпуска комплектующих для Т-26 на заводах-смежниках шло из рук вон плохо. Кроме того, в начале второго полуго</w:t>
      </w:r>
      <w:r w:rsidRPr="00142305">
        <w:rPr>
          <w:rFonts w:ascii="Times New Roman" w:hAnsi="Times New Roman"/>
          <w:color w:val="0070C0"/>
          <w:sz w:val="16"/>
          <w:szCs w:val="16"/>
        </w:rPr>
        <w:softHyphen/>
        <w:t>дия 1932 года стало ясно, что получить пол</w:t>
      </w:r>
      <w:r w:rsidRPr="00142305">
        <w:rPr>
          <w:rFonts w:ascii="Times New Roman" w:hAnsi="Times New Roman"/>
          <w:color w:val="0070C0"/>
          <w:sz w:val="16"/>
          <w:szCs w:val="16"/>
        </w:rPr>
        <w:softHyphen/>
        <w:t>ностью необходимое оборудование, инстру</w:t>
      </w:r>
      <w:r w:rsidRPr="00142305">
        <w:rPr>
          <w:rFonts w:ascii="Times New Roman" w:hAnsi="Times New Roman"/>
          <w:color w:val="0070C0"/>
          <w:sz w:val="16"/>
          <w:szCs w:val="16"/>
        </w:rPr>
        <w:softHyphen/>
        <w:t>мент и приспособления завод № 174 не смо</w:t>
      </w:r>
      <w:r w:rsidRPr="00142305">
        <w:rPr>
          <w:rFonts w:ascii="Times New Roman" w:hAnsi="Times New Roman"/>
          <w:color w:val="0070C0"/>
          <w:sz w:val="16"/>
          <w:szCs w:val="16"/>
        </w:rPr>
        <w:softHyphen/>
        <w:t>жет. Стало ясно, что изготовить до конца года 3000 Т-26 невозможно (24999).</w:t>
      </w:r>
    </w:p>
    <w:p w14:paraId="64C20210" w14:textId="77777777" w:rsidR="00B87296" w:rsidRPr="00142305" w:rsidRDefault="00B87296" w:rsidP="00B87296">
      <w:pPr>
        <w:spacing w:after="0" w:line="240" w:lineRule="auto"/>
        <w:jc w:val="both"/>
        <w:rPr>
          <w:rFonts w:ascii="Times New Roman" w:hAnsi="Times New Roman"/>
          <w:color w:val="0070C0"/>
          <w:sz w:val="16"/>
          <w:szCs w:val="16"/>
        </w:rPr>
      </w:pPr>
    </w:p>
    <w:p w14:paraId="6865B2E1" w14:textId="77777777" w:rsidR="007E0BA3" w:rsidRPr="00E93F40" w:rsidRDefault="007E0B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всерьез обсуждались импортные поставки для танковой промышленности на 1933 год. Во многом зависимость от импорта сохранилась и в следующем году, хотя и значительно ослабла.</w:t>
      </w:r>
    </w:p>
    <w:p w14:paraId="208C4399" w14:textId="77777777" w:rsidR="007E0BA3" w:rsidRPr="00E93F40" w:rsidRDefault="007E0BA3"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Советская танкостроительная база создавалась без привязки к уже существующим мощностям, обеспечивающим производство основных комплектующих. Заводы, которые должны были выпускать необходимые агрегаты и броневые детали, находились в стадии строительства или расширения производства, а то и (как это было с двигателем для танка ВТ) отсутствовали даже в проекте. Все эти негативные моменты планировалось преодолеть в течение второй пятилетки. Однако военное руководство СССР предпочитало упорно не замечать этих важнейших особенностей развития отечественного танкостроения и продолжало ставить перед ним новые задачи (23536).</w:t>
      </w:r>
    </w:p>
    <w:p w14:paraId="400A009A" w14:textId="77777777" w:rsidR="007E0BA3" w:rsidRPr="00E93F40" w:rsidRDefault="007E0BA3" w:rsidP="00E93F40">
      <w:pPr>
        <w:spacing w:after="0" w:line="240" w:lineRule="auto"/>
        <w:jc w:val="both"/>
        <w:rPr>
          <w:rFonts w:ascii="Times New Roman" w:hAnsi="Times New Roman"/>
          <w:color w:val="000000" w:themeColor="text1"/>
          <w:sz w:val="16"/>
          <w:szCs w:val="16"/>
        </w:rPr>
      </w:pPr>
    </w:p>
    <w:p w14:paraId="5B0308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был разобран на металлолом химический танк Д-15, разработанный ОКИБ УММ РККА Н.И.Дыренкова в конце 1930, построенный летом 1931 на Можерезе и в августе 1931 прошедший полигонные испытания. На вооружение не принимался в серии не был (9527,188).</w:t>
      </w:r>
    </w:p>
    <w:p w14:paraId="1E692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A96AC6"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 с учетом накопленного опыта работ, в СКВ завода «Компрессор» в содружестве с одним из химических НИИ был создан новый вариант химизированной танкетки, названный ОТ-27. В 1932-1933 гг. на заводе №2 ВАТО (№37) изготовили 187 таких машин (25546).</w:t>
      </w:r>
    </w:p>
    <w:p w14:paraId="7E71E9F2" w14:textId="77777777" w:rsidR="00EE1122" w:rsidRPr="00142305" w:rsidRDefault="00EE1122" w:rsidP="00EE1122">
      <w:pPr>
        <w:spacing w:after="0" w:line="240" w:lineRule="auto"/>
        <w:jc w:val="both"/>
        <w:rPr>
          <w:rFonts w:ascii="Times New Roman" w:hAnsi="Times New Roman"/>
          <w:color w:val="0070C0"/>
          <w:sz w:val="16"/>
          <w:szCs w:val="16"/>
        </w:rPr>
      </w:pPr>
    </w:p>
    <w:p w14:paraId="1416EF6E"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1932 года в СКБ завода «Компрессор» был разработан собственный вариант «химизированной танкетки» Т-27. Он и получил упомянутое выше обозначение ОТ-27. На ней брандспойт огнемета КС-3 устанав</w:t>
      </w:r>
      <w:r w:rsidRPr="00142305">
        <w:rPr>
          <w:rFonts w:ascii="Times New Roman" w:hAnsi="Times New Roman"/>
          <w:color w:val="0070C0"/>
          <w:sz w:val="16"/>
          <w:szCs w:val="16"/>
        </w:rPr>
        <w:softHyphen/>
        <w:t>ливался вместо пулемета в лобовом листе корпуса спра</w:t>
      </w:r>
      <w:r w:rsidRPr="00142305">
        <w:rPr>
          <w:rFonts w:ascii="Times New Roman" w:hAnsi="Times New Roman"/>
          <w:color w:val="0070C0"/>
          <w:sz w:val="16"/>
          <w:szCs w:val="16"/>
        </w:rPr>
        <w:softHyphen/>
        <w:t>ва. Резервуар с огнесмесью монтировался на прицепе, его емкость была рассчитана на 30 огневых выстрелов. Выстрел производился с помощью сжатого воздуха, дальность огнеметания не превысила 25 м. Надо отме</w:t>
      </w:r>
      <w:r w:rsidRPr="00142305">
        <w:rPr>
          <w:rFonts w:ascii="Times New Roman" w:hAnsi="Times New Roman"/>
          <w:color w:val="0070C0"/>
          <w:sz w:val="16"/>
          <w:szCs w:val="16"/>
        </w:rPr>
        <w:softHyphen/>
        <w:t>тить, что с этой дистанции 10-мм броня танкетки про</w:t>
      </w:r>
      <w:r w:rsidRPr="00142305">
        <w:rPr>
          <w:rFonts w:ascii="Times New Roman" w:hAnsi="Times New Roman"/>
          <w:color w:val="0070C0"/>
          <w:sz w:val="16"/>
          <w:szCs w:val="16"/>
        </w:rPr>
        <w:softHyphen/>
        <w:t>бивалась обычной винтовочной пулей. Тем не менее в 1932-1933 годах на подмосковном заводе № 2 Всесоюз</w:t>
      </w:r>
      <w:r w:rsidRPr="00142305">
        <w:rPr>
          <w:rFonts w:ascii="Times New Roman" w:hAnsi="Times New Roman"/>
          <w:color w:val="0070C0"/>
          <w:sz w:val="16"/>
          <w:szCs w:val="16"/>
        </w:rPr>
        <w:softHyphen/>
        <w:t>ного автотракторного объединения (впоследствии — за</w:t>
      </w:r>
      <w:r w:rsidRPr="00142305">
        <w:rPr>
          <w:rFonts w:ascii="Times New Roman" w:hAnsi="Times New Roman"/>
          <w:color w:val="0070C0"/>
          <w:sz w:val="16"/>
          <w:szCs w:val="16"/>
        </w:rPr>
        <w:softHyphen/>
        <w:t>вод № 37 им. С. Орджоникидзе), производившем танкет</w:t>
      </w:r>
      <w:r w:rsidRPr="00142305">
        <w:rPr>
          <w:rFonts w:ascii="Times New Roman" w:hAnsi="Times New Roman"/>
          <w:color w:val="0070C0"/>
          <w:sz w:val="16"/>
          <w:szCs w:val="16"/>
        </w:rPr>
        <w:softHyphen/>
        <w:t>ки Т-27, построили 187 машин ОТ-27 (25921).</w:t>
      </w:r>
    </w:p>
    <w:p w14:paraId="4EEC0FD9" w14:textId="77777777" w:rsidR="00DB2196" w:rsidRPr="00142305" w:rsidRDefault="00DB2196" w:rsidP="00DB2196">
      <w:pPr>
        <w:spacing w:after="0" w:line="240" w:lineRule="auto"/>
        <w:jc w:val="both"/>
        <w:rPr>
          <w:rFonts w:ascii="Times New Roman" w:hAnsi="Times New Roman"/>
          <w:color w:val="0070C0"/>
          <w:sz w:val="16"/>
          <w:szCs w:val="16"/>
        </w:rPr>
      </w:pPr>
    </w:p>
    <w:p w14:paraId="4201D2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была выпущена опытная партия 5 телеуправляемых танкеток ТТ-37 и 5 телеуправляемых танков ТТ-26, разработанных в ЦЛПС в 1932 по заказу Управления связи УММ РККА и в январе-феврале 1933 эти машины участвовали в проведении тактических учений в ЛВО (9527,201).</w:t>
      </w:r>
    </w:p>
    <w:p w14:paraId="5AFBF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04D41D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на ХПЗ параллельно с проектированием 12-ти цилиндрового мотора, для от</w:t>
      </w:r>
      <w:r w:rsidRPr="00E93F40">
        <w:rPr>
          <w:rFonts w:ascii="Times New Roman" w:hAnsi="Times New Roman"/>
          <w:color w:val="000000" w:themeColor="text1"/>
          <w:sz w:val="16"/>
          <w:szCs w:val="16"/>
        </w:rPr>
        <w:softHyphen/>
        <w:t>работки рабочего процесса кривошипно-шатунного механизма и получе</w:t>
      </w:r>
      <w:r w:rsidRPr="00E93F40">
        <w:rPr>
          <w:rFonts w:ascii="Times New Roman" w:hAnsi="Times New Roman"/>
          <w:color w:val="000000" w:themeColor="text1"/>
          <w:sz w:val="16"/>
          <w:szCs w:val="16"/>
        </w:rPr>
        <w:softHyphen/>
        <w:t>ние нужных ответов на постоянно возникающие вопросы Челпан и Вих</w:t>
      </w:r>
      <w:r w:rsidRPr="00E93F40">
        <w:rPr>
          <w:rFonts w:ascii="Times New Roman" w:hAnsi="Times New Roman"/>
          <w:color w:val="000000" w:themeColor="text1"/>
          <w:sz w:val="16"/>
          <w:szCs w:val="16"/>
        </w:rPr>
        <w:softHyphen/>
        <w:t xml:space="preserve">ман решили спроектировать и был изготовлен двух цилиндровый отсек с </w:t>
      </w:r>
      <w:r w:rsidRPr="00E93F40">
        <w:rPr>
          <w:rFonts w:ascii="Times New Roman" w:hAnsi="Times New Roman"/>
          <w:color w:val="000000" w:themeColor="text1"/>
          <w:sz w:val="16"/>
          <w:szCs w:val="16"/>
          <w:lang w:val="en-US"/>
        </w:rPr>
        <w:t>V</w:t>
      </w:r>
      <w:r w:rsidRPr="00E93F40">
        <w:rPr>
          <w:rFonts w:ascii="Times New Roman" w:hAnsi="Times New Roman"/>
          <w:color w:val="000000" w:themeColor="text1"/>
          <w:sz w:val="16"/>
          <w:szCs w:val="16"/>
        </w:rPr>
        <w:t>— образным расположением цилиндров, с углом развала 45 град., получив</w:t>
      </w:r>
      <w:r w:rsidRPr="00E93F40">
        <w:rPr>
          <w:rFonts w:ascii="Times New Roman" w:hAnsi="Times New Roman"/>
          <w:color w:val="000000" w:themeColor="text1"/>
          <w:sz w:val="16"/>
          <w:szCs w:val="16"/>
        </w:rPr>
        <w:softHyphen/>
        <w:t>ший заводскую марку БД-14. Такой двигатель, с диаметром цилиндров 140 мм и ходом поршня 163 мм развивал мощность 70 л.с. при 1700 об/мин. Этого было мало, но и не мало, если учесть, что советские конструкторы танковых дизелей начинали с нуля: все пришлось искать и находить са</w:t>
      </w:r>
      <w:r w:rsidRPr="00E93F40">
        <w:rPr>
          <w:rFonts w:ascii="Times New Roman" w:hAnsi="Times New Roman"/>
          <w:color w:val="000000" w:themeColor="text1"/>
          <w:sz w:val="16"/>
          <w:szCs w:val="16"/>
        </w:rPr>
        <w:softHyphen/>
        <w:t>мим. Один цилиндр БД-14 развивал мощность 35 л.с., тогда как дизель фирмы «Заурер» — 27,5 л.с. При постройке 12 цилиндрового дизеля двига</w:t>
      </w:r>
      <w:r w:rsidRPr="00E93F40">
        <w:rPr>
          <w:rFonts w:ascii="Times New Roman" w:hAnsi="Times New Roman"/>
          <w:color w:val="000000" w:themeColor="text1"/>
          <w:sz w:val="16"/>
          <w:szCs w:val="16"/>
        </w:rPr>
        <w:softHyphen/>
        <w:t>тель харьковчан мог развивать 420 л.с., а фирмы «Заурер» — всего 330 л.с. (11504).</w:t>
      </w:r>
    </w:p>
    <w:p w14:paraId="7EE298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F90C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конце 1932 года, для изготовления опытных образцов отсека дизеля БД-14 и самого БД-1, Челпан создал группу, в которую привлек опытных заводских мастеров («золотые руки»), в том числе Ф.С.Белостоцкого. Хорошо зная заводское оборудование и опытных рабочих, эта группа разрабатывала технологию изготовления тех или иных деталей дизеля, а затем руководила этими работами, вкладывая и свой личный труд (11504).</w:t>
      </w:r>
    </w:p>
    <w:p w14:paraId="4E6343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3AA55" w14:textId="77777777" w:rsidR="009F3555" w:rsidRPr="00E93F40" w:rsidRDefault="009F35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стендовые испытания дизеля БД-14 позволили работникам Дизельного отдела ХПЗ сделать целый ряд весьма ценных выводов, которые были учтены на завершающей стадии проектирования дизеля БД-2, а также в дальнейшем при доработке его конструкции (24856).</w:t>
      </w:r>
    </w:p>
    <w:p w14:paraId="4B0A6130" w14:textId="77777777" w:rsidR="009F3555" w:rsidRPr="00E93F40" w:rsidRDefault="009F3555" w:rsidP="00E93F40">
      <w:pPr>
        <w:spacing w:after="0" w:line="240" w:lineRule="auto"/>
        <w:jc w:val="both"/>
        <w:rPr>
          <w:rFonts w:ascii="Times New Roman" w:hAnsi="Times New Roman"/>
          <w:color w:val="000000" w:themeColor="text1"/>
          <w:sz w:val="16"/>
          <w:szCs w:val="16"/>
        </w:rPr>
      </w:pPr>
    </w:p>
    <w:p w14:paraId="5124741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ТЗ на самоходное орудие береговой обороны было выдано КБ завода «Большевик» и КБ опытного завода № 185 им. Кирова. В декабре Научно-технический совет Арту-правления РККА рассмотрел расчеты и эскизы, поданные сторонами, и одобрил проект, разработанный А.А. Толочковым и П.Н. Сячинтовым на Опытном заводе № 185 им. Кирова, но предписал закончить проект при условии ис</w:t>
      </w:r>
      <w:r w:rsidRPr="00E93F40">
        <w:rPr>
          <w:rFonts w:ascii="Times New Roman" w:hAnsi="Times New Roman"/>
          <w:color w:val="000000" w:themeColor="text1"/>
          <w:sz w:val="16"/>
          <w:szCs w:val="16"/>
        </w:rPr>
        <w:softHyphen/>
        <w:t>пользования узлов принятого к постройке тяжелого танка (11417).</w:t>
      </w:r>
    </w:p>
    <w:p w14:paraId="7E872CD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0FA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конца 1932 года из-за нехватки оборудования, производственных площадей и рабочих, а также задержки с поступлением чертежей Выкса не смогла приступить к изготовлению броневиков. При со</w:t>
      </w:r>
      <w:r w:rsidRPr="00E93F40">
        <w:rPr>
          <w:rFonts w:ascii="Times New Roman" w:hAnsi="Times New Roman"/>
          <w:color w:val="000000" w:themeColor="text1"/>
          <w:sz w:val="16"/>
          <w:szCs w:val="16"/>
        </w:rPr>
        <w:softHyphen/>
        <w:t>ставлении плана на 1933 год цифру в 2500 машин скоррек</w:t>
      </w:r>
      <w:r w:rsidRPr="00E93F40">
        <w:rPr>
          <w:rFonts w:ascii="Times New Roman" w:hAnsi="Times New Roman"/>
          <w:color w:val="000000" w:themeColor="text1"/>
          <w:sz w:val="16"/>
          <w:szCs w:val="16"/>
        </w:rPr>
        <w:softHyphen/>
        <w:t>тировали до 400, из них 300 БАИ и 100 легких ФАЙ. Но и это количество бронеавтомобилей оказалось заводу ДРО не под силу. Так, в начале сентября 1933 года представитель УММ РККА докладывал в наркомат обороны о хо</w:t>
      </w:r>
      <w:r w:rsidRPr="00E93F40">
        <w:rPr>
          <w:rFonts w:ascii="Times New Roman" w:hAnsi="Times New Roman"/>
          <w:color w:val="000000" w:themeColor="text1"/>
          <w:sz w:val="16"/>
          <w:szCs w:val="16"/>
        </w:rPr>
        <w:softHyphen/>
        <w:t>де выполнения Выксой годовой программы выпуска бро</w:t>
      </w:r>
      <w:r w:rsidRPr="00E93F40">
        <w:rPr>
          <w:rFonts w:ascii="Times New Roman" w:hAnsi="Times New Roman"/>
          <w:color w:val="000000" w:themeColor="text1"/>
          <w:sz w:val="16"/>
          <w:szCs w:val="16"/>
        </w:rPr>
        <w:softHyphen/>
        <w:t>невиков: «БАИ — сдано 28, остальные 272 под сомнением. Будет вероятно не больше 150—200 штук». Однако до кон</w:t>
      </w:r>
      <w:r w:rsidRPr="00E93F40">
        <w:rPr>
          <w:rFonts w:ascii="Times New Roman" w:hAnsi="Times New Roman"/>
          <w:color w:val="000000" w:themeColor="text1"/>
          <w:sz w:val="16"/>
          <w:szCs w:val="16"/>
        </w:rPr>
        <w:softHyphen/>
        <w:t>ца года из ворот завода вышло всего 90 машин, еще 19 БАИ собрали в начале 1934-го, после чего их производство пре</w:t>
      </w:r>
      <w:r w:rsidRPr="00E93F40">
        <w:rPr>
          <w:rFonts w:ascii="Times New Roman" w:hAnsi="Times New Roman"/>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461B16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6D0F8B" w14:textId="77777777" w:rsidR="006D2528" w:rsidRPr="00E93F40" w:rsidRDefault="006D25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конструкторами института раз</w:t>
      </w:r>
      <w:r w:rsidRPr="00E93F40">
        <w:rPr>
          <w:rFonts w:ascii="Times New Roman" w:hAnsi="Times New Roman"/>
          <w:color w:val="000000" w:themeColor="text1"/>
          <w:sz w:val="16"/>
          <w:szCs w:val="16"/>
        </w:rPr>
        <w:softHyphen/>
        <w:t>рабатывается полугусеничный легковой автомобиль Форд-А. 28 декабря Управление механизации и мото</w:t>
      </w:r>
      <w:r w:rsidRPr="00E93F40">
        <w:rPr>
          <w:rFonts w:ascii="Times New Roman" w:hAnsi="Times New Roman"/>
          <w:color w:val="000000" w:themeColor="text1"/>
          <w:sz w:val="16"/>
          <w:szCs w:val="16"/>
        </w:rPr>
        <w:softHyphen/>
        <w:t>ризации РККА и Нижегородский автозавод заключи</w:t>
      </w:r>
      <w:r w:rsidRPr="00E93F40">
        <w:rPr>
          <w:rFonts w:ascii="Times New Roman" w:hAnsi="Times New Roman"/>
          <w:color w:val="000000" w:themeColor="text1"/>
          <w:sz w:val="16"/>
          <w:szCs w:val="16"/>
        </w:rPr>
        <w:softHyphen/>
        <w:t>ли договора на постройку двух этих машин, а также двух грузовых вездеходов НАТИ-5 (22518).</w:t>
      </w:r>
    </w:p>
    <w:p w14:paraId="70FA0EFA" w14:textId="77777777" w:rsidR="006D2528" w:rsidRPr="00E93F40" w:rsidRDefault="006D2528" w:rsidP="00E93F40">
      <w:pPr>
        <w:spacing w:after="0" w:line="240" w:lineRule="auto"/>
        <w:jc w:val="both"/>
        <w:rPr>
          <w:rFonts w:ascii="Times New Roman" w:hAnsi="Times New Roman"/>
          <w:color w:val="000000" w:themeColor="text1"/>
          <w:sz w:val="16"/>
          <w:szCs w:val="16"/>
        </w:rPr>
      </w:pPr>
    </w:p>
    <w:p w14:paraId="441D889A" w14:textId="77777777" w:rsidR="006D2528" w:rsidRPr="00E93F40" w:rsidRDefault="006D252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автопарк страны достиг 75 тыс. автомобилей (22518).</w:t>
      </w:r>
    </w:p>
    <w:p w14:paraId="3C0E587B" w14:textId="77777777" w:rsidR="006D2528" w:rsidRPr="00E93F40" w:rsidRDefault="006D2528" w:rsidP="00E93F40">
      <w:pPr>
        <w:spacing w:after="0" w:line="240" w:lineRule="auto"/>
        <w:jc w:val="both"/>
        <w:rPr>
          <w:rFonts w:ascii="Times New Roman" w:hAnsi="Times New Roman"/>
          <w:color w:val="000000" w:themeColor="text1"/>
          <w:sz w:val="16"/>
          <w:szCs w:val="16"/>
        </w:rPr>
      </w:pPr>
    </w:p>
    <w:p w14:paraId="18475B25" w14:textId="77777777" w:rsidR="00510F34" w:rsidRPr="00E93F40" w:rsidRDefault="00510F34" w:rsidP="00E93F40">
      <w:pPr>
        <w:widowControl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 концу </w:t>
      </w:r>
      <w:smartTag w:uri="urn:schemas-microsoft-com:office:smarttags" w:element="metricconverter">
        <w:smartTagPr>
          <w:attr w:name="ProductID" w:val="1945 г"/>
        </w:smartTagPr>
        <w:r w:rsidRPr="00E93F40">
          <w:rPr>
            <w:rFonts w:ascii="Times New Roman" w:hAnsi="Times New Roman"/>
            <w:color w:val="000000" w:themeColor="text1"/>
            <w:sz w:val="16"/>
            <w:szCs w:val="16"/>
          </w:rPr>
          <w:t>1932 г</w:t>
        </w:r>
      </w:smartTag>
      <w:r w:rsidRPr="00E93F40">
        <w:rPr>
          <w:rFonts w:ascii="Times New Roman" w:hAnsi="Times New Roman"/>
          <w:color w:val="000000" w:themeColor="text1"/>
          <w:sz w:val="16"/>
          <w:szCs w:val="16"/>
        </w:rPr>
        <w:t>. автозавод ежедневно выпускал по 60 грузовиков, освоил производство легковых автомобилей модели ГАЗ-А (15218).</w:t>
      </w:r>
    </w:p>
    <w:p w14:paraId="048060A7" w14:textId="77777777" w:rsidR="00510F34" w:rsidRPr="00E93F40" w:rsidRDefault="00510F34" w:rsidP="00E93F40">
      <w:pPr>
        <w:widowControl w:val="0"/>
        <w:spacing w:after="0" w:line="240" w:lineRule="auto"/>
        <w:jc w:val="both"/>
        <w:rPr>
          <w:rFonts w:ascii="Times New Roman" w:hAnsi="Times New Roman"/>
          <w:color w:val="000000" w:themeColor="text1"/>
          <w:sz w:val="16"/>
          <w:szCs w:val="16"/>
        </w:rPr>
      </w:pPr>
    </w:p>
    <w:p w14:paraId="4C08A1B6" w14:textId="0B8AB35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Миусский завод (до 1932 г. он назывался заводом № 6 ВАТО)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развернул выпуск пожарных автомобилей ПМГ-1 на базе ГАЗ-АА, а в 1934 г. ПМЗ-1 на базе ЗИС-11. Для повышения надежности и боеготовности ПМЗ-1 оснащались зажиганием от магнето. На шасси ЗИС-11 монтировались также цистерны с расположенным в передней части рамы насосом для подачи воды - эти машины назывались ПМЗ-8, а также 45-метровые выдвижные лестницы типа "Метц" на длиннооб-разном трехосном шасси ЗИС-6. Такие лестницы устанавливались и на автомобили ЯГ-6. Среди многочисленных специальных автомобилей предвоенных лет можно назвать стреловые поворотные автокраны и цистерны емкостью 5000 л на шасси ЯГ-4, оснащенные разбрызгивателями для поливки улиц. Существовали также изготовленные небольшими партиями подметальные и снегоуборочные машины на шасси ЗИС-5, автогудронаюры и автомобили с компрессорными установками (12098).</w:t>
      </w:r>
    </w:p>
    <w:p w14:paraId="0230A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C5A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октября 1932 г. на “Красном Путиловце” начали проектные работы, а уже в марте 1933 г.- сборку машин. Все их делали были изготовлены в СССР - или на "Красном путиловце", или на других предприятиях. Первое шасси, еще без кузова, сборщики сдали 24 апреля. На пробную поездку его вывел М. Л. Тер-Асатуров. На первомайскую демонстрацию краснопутиловцы направили шесть автомобилей Л-1 с кузовами лимузин, окрашенными в черный цвет с обивкой салона из серого репса. Эти же шесть машин 19 мая 1933 г.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легковых автомобилей. Позже приказом Наркомтяжпрома работы по автомобилям на "Красном пути 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путилов-цем"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(12098).</w:t>
      </w:r>
    </w:p>
    <w:p w14:paraId="205FCA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F4192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не получив требуемого финансирования, на сэкономленные средства на ХАЗе сумели провести эскизное про</w:t>
      </w:r>
      <w:r w:rsidRPr="00E93F40">
        <w:rPr>
          <w:rFonts w:ascii="Times New Roman" w:hAnsi="Times New Roman"/>
          <w:color w:val="000000" w:themeColor="text1"/>
          <w:sz w:val="16"/>
          <w:szCs w:val="16"/>
        </w:rPr>
        <w:softHyphen/>
        <w:t>ектирование следующих моделей:</w:t>
      </w:r>
    </w:p>
    <w:p w14:paraId="5076B3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средний мотоцикл с рабочим объёмом движка 350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xml:space="preserve"> и цеп</w:t>
      </w:r>
      <w:r w:rsidRPr="00E93F40">
        <w:rPr>
          <w:rFonts w:ascii="Times New Roman" w:hAnsi="Times New Roman"/>
          <w:color w:val="000000" w:themeColor="text1"/>
          <w:sz w:val="16"/>
          <w:szCs w:val="16"/>
        </w:rPr>
        <w:softHyphen/>
        <w:t>ной задней передачей;</w:t>
      </w:r>
    </w:p>
    <w:p w14:paraId="74C1F1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средний мотоцикл с рабочим объёмом мотора 375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xml:space="preserve"> и кар</w:t>
      </w:r>
      <w:r w:rsidRPr="00E93F40">
        <w:rPr>
          <w:rFonts w:ascii="Times New Roman" w:hAnsi="Times New Roman"/>
          <w:color w:val="000000" w:themeColor="text1"/>
          <w:sz w:val="16"/>
          <w:szCs w:val="16"/>
        </w:rPr>
        <w:softHyphen/>
        <w:t>данной задней передачей;</w:t>
      </w:r>
    </w:p>
    <w:p w14:paraId="4F69A4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тяжёлый мотоцикл с У-образным двигателем рабочим объ</w:t>
      </w:r>
      <w:r w:rsidRPr="00E93F40">
        <w:rPr>
          <w:rFonts w:ascii="Times New Roman" w:hAnsi="Times New Roman"/>
          <w:color w:val="000000" w:themeColor="text1"/>
          <w:sz w:val="16"/>
          <w:szCs w:val="16"/>
        </w:rPr>
        <w:softHyphen/>
        <w:t>ёмом 750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расположенным коленвалом поперёк, карданной задней передачей и коляской;</w:t>
      </w:r>
    </w:p>
    <w:p w14:paraId="22E8DD8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тяжёлый мотоцикл с У-образным двигателем рабочим объ</w:t>
      </w:r>
      <w:r w:rsidRPr="00E93F40">
        <w:rPr>
          <w:rFonts w:ascii="Times New Roman" w:hAnsi="Times New Roman"/>
          <w:color w:val="000000" w:themeColor="text1"/>
          <w:sz w:val="16"/>
          <w:szCs w:val="16"/>
        </w:rPr>
        <w:softHyphen/>
        <w:t>ёмом 1200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расположенным коленвалом продольно, цепной задней передачей и коляской.</w:t>
      </w:r>
    </w:p>
    <w:p w14:paraId="5A8879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Первые два - предполагалось во многом унифицировать, тре</w:t>
      </w:r>
      <w:r w:rsidRPr="00E93F40">
        <w:rPr>
          <w:rFonts w:ascii="Times New Roman" w:hAnsi="Times New Roman"/>
          <w:color w:val="000000" w:themeColor="text1"/>
          <w:sz w:val="16"/>
          <w:szCs w:val="16"/>
        </w:rPr>
        <w:softHyphen/>
        <w:t>тий - предназначался для езды с коляской и без неё, а последний -только с коляской и, в сущности, представлял собой усовершенст</w:t>
      </w:r>
      <w:r w:rsidRPr="00E93F40">
        <w:rPr>
          <w:rFonts w:ascii="Times New Roman" w:hAnsi="Times New Roman"/>
          <w:color w:val="000000" w:themeColor="text1"/>
          <w:sz w:val="16"/>
          <w:szCs w:val="16"/>
        </w:rPr>
        <w:softHyphen/>
        <w:t>вованный мотоцикл Солдатенко [3.111]. Таким образом, коллек</w:t>
      </w:r>
      <w:r w:rsidRPr="00E93F40">
        <w:rPr>
          <w:rFonts w:ascii="Times New Roman" w:hAnsi="Times New Roman"/>
          <w:color w:val="000000" w:themeColor="text1"/>
          <w:sz w:val="16"/>
          <w:szCs w:val="16"/>
        </w:rPr>
        <w:softHyphen/>
        <w:t>тив ХАЗа подготовился к выпуску мотоциклов различных моде</w:t>
      </w:r>
      <w:r w:rsidRPr="00E93F40">
        <w:rPr>
          <w:rFonts w:ascii="Times New Roman" w:hAnsi="Times New Roman"/>
          <w:color w:val="000000" w:themeColor="text1"/>
          <w:sz w:val="16"/>
          <w:szCs w:val="16"/>
        </w:rPr>
        <w:softHyphen/>
        <w:t>лей. Дело оставалось за финансированием для соответствующей реконструкции предприятия, разработкой рабочих проектов, тех</w:t>
      </w:r>
      <w:r w:rsidRPr="00E93F40">
        <w:rPr>
          <w:rFonts w:ascii="Times New Roman" w:hAnsi="Times New Roman"/>
          <w:color w:val="000000" w:themeColor="text1"/>
          <w:sz w:val="16"/>
          <w:szCs w:val="16"/>
        </w:rPr>
        <w:softHyphen/>
        <w:t>нологий и прочего весьма необходимого для организации серий</w:t>
      </w:r>
      <w:r w:rsidRPr="00E93F40">
        <w:rPr>
          <w:rFonts w:ascii="Times New Roman" w:hAnsi="Times New Roman"/>
          <w:color w:val="000000" w:themeColor="text1"/>
          <w:sz w:val="16"/>
          <w:szCs w:val="16"/>
        </w:rPr>
        <w:softHyphen/>
        <w:t>ного выпуска мотоциклов. Наиболее глубоко проработали конст</w:t>
      </w:r>
      <w:r w:rsidRPr="00E93F40">
        <w:rPr>
          <w:rFonts w:ascii="Times New Roman" w:hAnsi="Times New Roman"/>
          <w:color w:val="000000" w:themeColor="text1"/>
          <w:sz w:val="16"/>
          <w:szCs w:val="16"/>
        </w:rPr>
        <w:softHyphen/>
        <w:t>рукцию среднего мотоцикла с одноцилиндровым двигателем ра</w:t>
      </w:r>
      <w:r w:rsidRPr="00E93F40">
        <w:rPr>
          <w:rFonts w:ascii="Times New Roman" w:hAnsi="Times New Roman"/>
          <w:color w:val="000000" w:themeColor="text1"/>
          <w:sz w:val="16"/>
          <w:szCs w:val="16"/>
        </w:rPr>
        <w:softHyphen/>
        <w:t>бочим объёмом 375 см</w:t>
      </w:r>
      <w:r w:rsidRPr="00E93F40">
        <w:rPr>
          <w:rFonts w:ascii="Times New Roman" w:hAnsi="Times New Roman"/>
          <w:color w:val="000000" w:themeColor="text1"/>
          <w:sz w:val="16"/>
          <w:szCs w:val="16"/>
          <w:vertAlign w:val="superscript"/>
        </w:rPr>
        <w:t>3</w:t>
      </w:r>
      <w:r w:rsidRPr="00E93F40">
        <w:rPr>
          <w:rFonts w:ascii="Times New Roman" w:hAnsi="Times New Roman"/>
          <w:color w:val="000000" w:themeColor="text1"/>
          <w:sz w:val="16"/>
          <w:szCs w:val="16"/>
        </w:rPr>
        <w:t xml:space="preserve"> и карданной передачей на заднее колесо [3.112]. В то же самое время П.В. Можаров в Научном автотрак</w:t>
      </w:r>
      <w:r w:rsidRPr="00E93F40">
        <w:rPr>
          <w:rFonts w:ascii="Times New Roman" w:hAnsi="Times New Roman"/>
          <w:color w:val="000000" w:themeColor="text1"/>
          <w:sz w:val="16"/>
          <w:szCs w:val="16"/>
        </w:rPr>
        <w:softHyphen/>
        <w:t>торном институте (НАТИ) выполнил аналогичный эскизный про</w:t>
      </w:r>
      <w:r w:rsidRPr="00E93F40">
        <w:rPr>
          <w:rFonts w:ascii="Times New Roman" w:hAnsi="Times New Roman"/>
          <w:color w:val="000000" w:themeColor="text1"/>
          <w:sz w:val="16"/>
          <w:szCs w:val="16"/>
        </w:rPr>
        <w:softHyphen/>
        <w:t>ект примерно такого же мотоцикла НАТИ-В-375 [3.113]. Похо</w:t>
      </w:r>
      <w:r w:rsidRPr="00E93F40">
        <w:rPr>
          <w:rFonts w:ascii="Times New Roman" w:hAnsi="Times New Roman"/>
          <w:color w:val="000000" w:themeColor="text1"/>
          <w:sz w:val="16"/>
          <w:szCs w:val="16"/>
        </w:rPr>
        <w:softHyphen/>
        <w:t>же, наши конструкторы и в Москве, и в Харькове, равняясь на по</w:t>
      </w:r>
      <w:r w:rsidRPr="00E93F40">
        <w:rPr>
          <w:rFonts w:ascii="Times New Roman" w:hAnsi="Times New Roman"/>
          <w:color w:val="000000" w:themeColor="text1"/>
          <w:sz w:val="16"/>
          <w:szCs w:val="16"/>
        </w:rPr>
        <w:softHyphen/>
        <w:t>пулярную немецкую модель Згоск (Шток) с 200-кубовым движ</w:t>
      </w:r>
      <w:r w:rsidRPr="00E93F40">
        <w:rPr>
          <w:rFonts w:ascii="Times New Roman" w:hAnsi="Times New Roman"/>
          <w:color w:val="000000" w:themeColor="text1"/>
          <w:sz w:val="16"/>
          <w:szCs w:val="16"/>
        </w:rPr>
        <w:softHyphen/>
        <w:t>ком, считали, что именно такой тип мотоцикла наилучшим обра</w:t>
      </w:r>
      <w:r w:rsidRPr="00E93F40">
        <w:rPr>
          <w:rFonts w:ascii="Times New Roman" w:hAnsi="Times New Roman"/>
          <w:color w:val="000000" w:themeColor="text1"/>
          <w:sz w:val="16"/>
          <w:szCs w:val="16"/>
        </w:rPr>
        <w:softHyphen/>
        <w:t>зом окажется приспособленным к отечественным дорогам.</w:t>
      </w:r>
    </w:p>
    <w:p w14:paraId="409830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никаких надежд на выпуск мотоциклов по собствен</w:t>
      </w:r>
      <w:r w:rsidRPr="00E93F40">
        <w:rPr>
          <w:rFonts w:ascii="Times New Roman" w:hAnsi="Times New Roman"/>
          <w:color w:val="000000" w:themeColor="text1"/>
          <w:sz w:val="16"/>
          <w:szCs w:val="16"/>
        </w:rPr>
        <w:softHyphen/>
        <w:t>ным проектам у ХАЗа не было хотя бы потому, что Всесоюзное автотракторное объединение, а позже и другие Главки, категори</w:t>
      </w:r>
      <w:r w:rsidRPr="00E93F40">
        <w:rPr>
          <w:rFonts w:ascii="Times New Roman" w:hAnsi="Times New Roman"/>
          <w:color w:val="000000" w:themeColor="text1"/>
          <w:sz w:val="16"/>
          <w:szCs w:val="16"/>
        </w:rPr>
        <w:softHyphen/>
        <w:t>чески отказывались включать мотоциклостроение в сферу своей деятельности [3.114]. Ситуацию могло изменить только нечто чрезвычайное, в ожидании которого на ХАЗе приостановили ра</w:t>
      </w:r>
      <w:r w:rsidRPr="00E93F40">
        <w:rPr>
          <w:rFonts w:ascii="Times New Roman" w:hAnsi="Times New Roman"/>
          <w:color w:val="000000" w:themeColor="text1"/>
          <w:sz w:val="16"/>
          <w:szCs w:val="16"/>
        </w:rPr>
        <w:softHyphen/>
        <w:t>боты не только по мотоциклам, но и по автомобилям. Предприя</w:t>
      </w:r>
      <w:r w:rsidRPr="00E93F40">
        <w:rPr>
          <w:rFonts w:ascii="Times New Roman" w:hAnsi="Times New Roman"/>
          <w:color w:val="000000" w:themeColor="text1"/>
          <w:sz w:val="16"/>
          <w:szCs w:val="16"/>
        </w:rPr>
        <w:softHyphen/>
        <w:t>тие переориентировали на выпуск сельхозмашин и железнодо</w:t>
      </w:r>
      <w:r w:rsidRPr="00E93F40">
        <w:rPr>
          <w:rFonts w:ascii="Times New Roman" w:hAnsi="Times New Roman"/>
          <w:color w:val="000000" w:themeColor="text1"/>
          <w:sz w:val="16"/>
          <w:szCs w:val="16"/>
        </w:rPr>
        <w:softHyphen/>
        <w:t>рожных платформ, назвали Харьковским механических заводом (ХМЗ) и присвоили имя - «Серп и Молот» (11429).</w:t>
      </w:r>
    </w:p>
    <w:p w14:paraId="29783E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F48F46"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12 шасси для троллейбусов уже отправили с ЯАЗ в Москву. Было решено также освоить производство троллейбусов ЯТБ в Ярославле. В Англии в 1935 году заказали два одноэтажных и один двухэтажный троллейбус, командировали туда В.В. Осепчугова. Но «британцы» прибыли лишь в начале 1936 года, когда конструкцию ЯТБ-1 в основном создали сами ярославцы. Особые трудности вызвало проектирование деревянного кузова округлой формы. К тому времени уже появилось специальное кузовное бюро, выделенное из конструкторского отдела (12200).</w:t>
      </w:r>
    </w:p>
    <w:p w14:paraId="352919A4"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04C97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на заводе «Красный Октябрь» для серийного выпуска Л-300 построили новый корпус площадью 3 тыс.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установили и запустили 60 металлообрабатывающих станков [4.73]. Для инже</w:t>
      </w:r>
      <w:r w:rsidRPr="00E93F40">
        <w:rPr>
          <w:rFonts w:ascii="Times New Roman" w:hAnsi="Times New Roman"/>
          <w:color w:val="000000" w:themeColor="text1"/>
          <w:sz w:val="16"/>
          <w:szCs w:val="16"/>
        </w:rPr>
        <w:softHyphen/>
        <w:t>нерного обеспечения серийного производства этих машин орга</w:t>
      </w:r>
      <w:r w:rsidRPr="00E93F40">
        <w:rPr>
          <w:rFonts w:ascii="Times New Roman" w:hAnsi="Times New Roman"/>
          <w:color w:val="000000" w:themeColor="text1"/>
          <w:sz w:val="16"/>
          <w:szCs w:val="16"/>
        </w:rPr>
        <w:softHyphen/>
        <w:t>низовали Мотобюро (49 человек), выпускавшее чертежи и дру</w:t>
      </w:r>
      <w:r w:rsidRPr="00E93F40">
        <w:rPr>
          <w:rFonts w:ascii="Times New Roman" w:hAnsi="Times New Roman"/>
          <w:color w:val="000000" w:themeColor="text1"/>
          <w:sz w:val="16"/>
          <w:szCs w:val="16"/>
        </w:rPr>
        <w:softHyphen/>
        <w:t>гую технологическую документацию. Для привлечения средств на изготовление мотоциклов завод продавал собственные «Мото</w:t>
      </w:r>
      <w:r w:rsidRPr="00E93F40">
        <w:rPr>
          <w:rFonts w:ascii="Times New Roman" w:hAnsi="Times New Roman"/>
          <w:color w:val="000000" w:themeColor="text1"/>
          <w:sz w:val="16"/>
          <w:szCs w:val="16"/>
        </w:rPr>
        <w:softHyphen/>
        <w:t>обязательства», чтобы граждане частями выплачивали за Л-300 6 тыс. р., хотя себестоимость превышала 12 тыс. р. [4.22]. Поми</w:t>
      </w:r>
      <w:r w:rsidRPr="00E93F40">
        <w:rPr>
          <w:rFonts w:ascii="Times New Roman" w:hAnsi="Times New Roman"/>
          <w:color w:val="000000" w:themeColor="text1"/>
          <w:sz w:val="16"/>
          <w:szCs w:val="16"/>
        </w:rPr>
        <w:softHyphen/>
        <w:t>мо этого АВТОДОР заключил договор с заводом о поставках 4 тыс. экземпляров Л-300 и уже в сентябре 1931 г. выплатил 1 млн р., а в первой половине 1932 г. - ещё около 2 млн р. Руко</w:t>
      </w:r>
      <w:r w:rsidRPr="00E93F40">
        <w:rPr>
          <w:rFonts w:ascii="Times New Roman" w:hAnsi="Times New Roman"/>
          <w:color w:val="000000" w:themeColor="text1"/>
          <w:sz w:val="16"/>
          <w:szCs w:val="16"/>
        </w:rPr>
        <w:softHyphen/>
        <w:t>водство завода «Красный Октябрь» обязалось поставлять опла</w:t>
      </w:r>
      <w:r w:rsidRPr="00E93F40">
        <w:rPr>
          <w:rFonts w:ascii="Times New Roman" w:hAnsi="Times New Roman"/>
          <w:color w:val="000000" w:themeColor="text1"/>
          <w:sz w:val="16"/>
          <w:szCs w:val="16"/>
        </w:rPr>
        <w:softHyphen/>
        <w:t>ченные мотоциклы в 1932-1933 гг. [4.48]. Заверение заместителя председателя ВСХВ СССР А.П. Мед</w:t>
      </w:r>
      <w:r w:rsidRPr="00E93F40">
        <w:rPr>
          <w:rFonts w:ascii="Times New Roman" w:hAnsi="Times New Roman"/>
          <w:color w:val="000000" w:themeColor="text1"/>
          <w:sz w:val="16"/>
          <w:szCs w:val="16"/>
        </w:rPr>
        <w:softHyphen/>
        <w:t>ведева об интенсификации производства мотоциклов и выпуске на заводах «Красный Октябрь» и ХАЗ в 1932 г. 10 тыс. этих ма</w:t>
      </w:r>
      <w:r w:rsidRPr="00E93F40">
        <w:rPr>
          <w:rFonts w:ascii="Times New Roman" w:hAnsi="Times New Roman"/>
          <w:color w:val="000000" w:themeColor="text1"/>
          <w:sz w:val="16"/>
          <w:szCs w:val="16"/>
        </w:rPr>
        <w:softHyphen/>
        <w:t>шин [4.46] не соответствовало действительности. На ХАЗе не предполагалось развёртывать серийное производство мотоцик</w:t>
      </w:r>
      <w:r w:rsidRPr="00E93F40">
        <w:rPr>
          <w:rFonts w:ascii="Times New Roman" w:hAnsi="Times New Roman"/>
          <w:color w:val="000000" w:themeColor="text1"/>
          <w:sz w:val="16"/>
          <w:szCs w:val="16"/>
        </w:rPr>
        <w:softHyphen/>
        <w:t>лов, поскольку не было финансирования, а на заводе «Красный Октябрь» выпуск Л-300 «заморозили» ещё в 1931 г. в связи с ос</w:t>
      </w:r>
      <w:r w:rsidRPr="00E93F40">
        <w:rPr>
          <w:rFonts w:ascii="Times New Roman" w:hAnsi="Times New Roman"/>
          <w:color w:val="000000" w:themeColor="text1"/>
          <w:sz w:val="16"/>
          <w:szCs w:val="16"/>
        </w:rPr>
        <w:softHyphen/>
        <w:t>воением изготовления агрегатов для танков Т-26 [4.22]. Поскольку для выпуска изделий к танкам Т-26 заводу требо</w:t>
      </w:r>
      <w:r w:rsidRPr="00E93F40">
        <w:rPr>
          <w:rFonts w:ascii="Times New Roman" w:hAnsi="Times New Roman"/>
          <w:color w:val="000000" w:themeColor="text1"/>
          <w:sz w:val="16"/>
          <w:szCs w:val="16"/>
        </w:rPr>
        <w:softHyphen/>
        <w:t>валось сосредоточить производственные ресурсы, на эту темати</w:t>
      </w:r>
      <w:r w:rsidRPr="00E93F40">
        <w:rPr>
          <w:rFonts w:ascii="Times New Roman" w:hAnsi="Times New Roman"/>
          <w:color w:val="000000" w:themeColor="text1"/>
          <w:sz w:val="16"/>
          <w:szCs w:val="16"/>
        </w:rPr>
        <w:softHyphen/>
        <w:t>ку пришлось переводить лучшие кадры, привлекая их из многих подразделений, в том числе из Мотобюро [4.22]. С 1935 года в вы</w:t>
      </w:r>
      <w:r w:rsidRPr="00E93F40">
        <w:rPr>
          <w:rFonts w:ascii="Times New Roman" w:hAnsi="Times New Roman"/>
          <w:color w:val="000000" w:themeColor="text1"/>
          <w:sz w:val="16"/>
          <w:szCs w:val="16"/>
        </w:rPr>
        <w:softHyphen/>
        <w:t>пуске мотоциклов Л-300 завод «ПРОМЕТ» участия не принимал, поэтому его переименовали в «Красный Октябрь» (11429).</w:t>
      </w:r>
    </w:p>
    <w:p w14:paraId="410D5B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69435A" w14:textId="1D7E1D7C" w:rsidR="00961727" w:rsidRPr="00E93F40" w:rsidRDefault="009617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мастерские военного склада № 60 в Брянске, которые вели работы по модернизации изготовлению бронепоездов, спроектировали и изготовили тяжелую бронедрезину с 76,2-мм пушкой, которая в документах УММ РККА значилась как «бронедрезина Ук». Что обозначал этот индекс - не ясно, можно предположить, что «участковая дрезина калужская», хотя, судя по имеющимся в распоряжении автора тактико-техническим данным, в качестве базы был использован мотовоз Калужского завода МГ/2 с двигателем ГАЗ или «Форд».</w:t>
      </w:r>
      <w:r w:rsidR="007C1411" w:rsidRPr="00E93F40">
        <w:rPr>
          <w:rFonts w:ascii="Times New Roman" w:hAnsi="Times New Roman"/>
          <w:color w:val="000000" w:themeColor="text1"/>
          <w:sz w:val="16"/>
          <w:szCs w:val="16"/>
        </w:rPr>
        <w:t xml:space="preserve"> </w:t>
      </w:r>
    </w:p>
    <w:p w14:paraId="3949B58D" w14:textId="03A3F070" w:rsidR="00961727" w:rsidRPr="00E93F40" w:rsidRDefault="009617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 Ук состояло из 76,2-мм пушки с бронеавтомобиля «Гарфорд» постройки Первой Мировой войны (несколько таких машин хранились на складе № 60) и 5 пулеметов Максима - двух бортовых (один на шаровой установке Ижевского завода, второй на установке завода «Красный Профинтерн» образца 1932 года), одного в башне и двух спаренных на установке для зенитной стрельбы.</w:t>
      </w:r>
      <w:r w:rsidR="007C1411" w:rsidRPr="00E93F40">
        <w:rPr>
          <w:rFonts w:ascii="Times New Roman" w:hAnsi="Times New Roman"/>
          <w:color w:val="000000" w:themeColor="text1"/>
          <w:sz w:val="16"/>
          <w:szCs w:val="16"/>
        </w:rPr>
        <w:t xml:space="preserve"> </w:t>
      </w:r>
    </w:p>
    <w:p w14:paraId="5BC6C49A" w14:textId="77777777" w:rsidR="00961727" w:rsidRPr="00E93F40" w:rsidRDefault="009617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Судя по описанию, можно предположить, что орудийная башня использовалась от того же «Гарфорда», толщина брони дрезины составляла 10-8-7 мм. К сожалению, автору не удалось найти фото или чертежей Ук, но, судя по массе (11750 кг без боекомплекта и экипажа) и размерам (длина корпуса 5670 мм, высота 2770 мм), эта дрезина была довольно громоздким сооружением (18626).</w:t>
      </w:r>
    </w:p>
    <w:p w14:paraId="737134BD" w14:textId="77777777" w:rsidR="00961727" w:rsidRPr="00E93F40" w:rsidRDefault="00961727" w:rsidP="00E93F40">
      <w:pPr>
        <w:spacing w:after="0" w:line="240" w:lineRule="auto"/>
        <w:jc w:val="both"/>
        <w:rPr>
          <w:rFonts w:ascii="Times New Roman" w:hAnsi="Times New Roman"/>
          <w:color w:val="000000" w:themeColor="text1"/>
          <w:sz w:val="16"/>
          <w:szCs w:val="16"/>
        </w:rPr>
      </w:pPr>
    </w:p>
    <w:p w14:paraId="66A6522A"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1932 года мастерские военного склада № 60 спроектировали и изготовили тяжелую бронедрезину Ук (</w:t>
      </w:r>
      <w:r w:rsidRPr="00DB2196">
        <w:rPr>
          <w:rStyle w:val="aff3"/>
          <w:rFonts w:ascii="Times New Roman" w:hAnsi="Times New Roman" w:cs="Times New Roman"/>
          <w:i w:val="0"/>
          <w:iCs w:val="0"/>
          <w:color w:val="0070C0"/>
          <w:sz w:val="16"/>
          <w:szCs w:val="16"/>
          <w:lang w:val="ru-RU"/>
        </w:rPr>
        <w:t>РГВА. Ф. 31811. Оп. 2. Д. 288. Л. 12, 22, 55, 76.</w:t>
      </w:r>
      <w:r w:rsidRPr="00142305">
        <w:rPr>
          <w:rStyle w:val="aff"/>
          <w:rFonts w:ascii="Times New Roman" w:hAnsi="Times New Roman" w:cs="Times New Roman"/>
          <w:color w:val="0070C0"/>
          <w:spacing w:val="0"/>
          <w:sz w:val="16"/>
          <w:szCs w:val="16"/>
        </w:rPr>
        <w:t>). В качестве базы был использован мотовоз Калужского завода, вооружение состояло из 76-мм пушки и пяти пулеметов Максима. В ходе испытаний в конструкции бронедрезины выявилось большое количество недостатков и недоработок. Но опыт ее постройки и испытаний использовали для разработки более совершенных образцов, проектирование которых поручили конструкторскому бюро Экспериментального завода НКПС летом 1934 года.</w:t>
      </w:r>
    </w:p>
    <w:p w14:paraId="15AB0B93"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Согласно выданным УММ РККА тактико-техническим требованиям предполагалось изготовить три бронедрезины – тяжелую, транспортер и штабную: «Тяжелая бронедрезина основным своим назначением имеет выполнение боевых задач в условиях ближнего боя, решение тактических задач по охране мостов и железнодорожных сооружений, борьбу с отрядами, танками, дрезинами противника и сопровождение на марше эшелонов и колонн…</w:t>
      </w:r>
    </w:p>
    <w:p w14:paraId="5DE7B29C"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Бронедрезина-транспортер основным своим назначением имеет обеспечение беспрепятственного передвижения взвода управления бронепоездной части под огнем противника при его переброске по железнодорожному полотну с целью организации командного и наблюдательного пунктов, а также транспортировка раненых и специальных грузов…</w:t>
      </w:r>
    </w:p>
    <w:p w14:paraId="1CBBEAF5"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Штабная бронедрезина является командно-наблюдательным постом командира бронепоездной части для управления частью как в условиях походного движения, так и в бою…» (</w:t>
      </w:r>
      <w:r w:rsidRPr="00DB2196">
        <w:rPr>
          <w:rStyle w:val="aff3"/>
          <w:rFonts w:ascii="Times New Roman" w:hAnsi="Times New Roman" w:cs="Times New Roman"/>
          <w:i w:val="0"/>
          <w:iCs w:val="0"/>
          <w:color w:val="0070C0"/>
          <w:sz w:val="16"/>
          <w:szCs w:val="16"/>
          <w:lang w:val="ru-RU"/>
        </w:rPr>
        <w:t>РГВА. Ф. 31811. Оп. 2. Д. 534. Л. 116.</w:t>
      </w:r>
      <w:r w:rsidRPr="00142305">
        <w:rPr>
          <w:rStyle w:val="aff"/>
          <w:rFonts w:ascii="Times New Roman" w:hAnsi="Times New Roman" w:cs="Times New Roman"/>
          <w:color w:val="0070C0"/>
          <w:spacing w:val="0"/>
          <w:sz w:val="16"/>
          <w:szCs w:val="16"/>
        </w:rPr>
        <w:t>) (25635).</w:t>
      </w:r>
    </w:p>
    <w:p w14:paraId="70317C23" w14:textId="77777777" w:rsidR="00DB2196" w:rsidRPr="00142305" w:rsidRDefault="00DB2196" w:rsidP="00DB2196">
      <w:pPr>
        <w:spacing w:after="0" w:line="240" w:lineRule="auto"/>
        <w:jc w:val="both"/>
        <w:rPr>
          <w:rFonts w:ascii="Times New Roman" w:hAnsi="Times New Roman"/>
          <w:color w:val="0070C0"/>
          <w:sz w:val="16"/>
          <w:szCs w:val="16"/>
        </w:rPr>
      </w:pPr>
    </w:p>
    <w:p w14:paraId="59012CF9" w14:textId="77777777" w:rsidR="00961727" w:rsidRPr="00E93F40" w:rsidRDefault="009617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конца 1932 года Можерез так и не смог сдать ни одного мотоброневагона Д-2. Первый серийный образец, проходивший заводские испытания еще с июня, в очередной раз вышел из строя. Так, в сводке по заводу Можерез от 10 декабря 1932 года сообщалось, что в мото-броневагоне Д-2 № 1 «устраняются дефекты реверса и переделывается фундамент под мотором». Окончательно первый серийный образец Д-2 передали заказчику в январе 1933 года, а последний, 15-й - только в сентябре (18626).</w:t>
      </w:r>
    </w:p>
    <w:p w14:paraId="1D271F1B" w14:textId="77777777" w:rsidR="00961727" w:rsidRPr="00E93F40" w:rsidRDefault="00961727" w:rsidP="00E93F40">
      <w:pPr>
        <w:spacing w:after="0" w:line="240" w:lineRule="auto"/>
        <w:jc w:val="both"/>
        <w:rPr>
          <w:rFonts w:ascii="Times New Roman" w:hAnsi="Times New Roman"/>
          <w:color w:val="000000" w:themeColor="text1"/>
          <w:sz w:val="16"/>
          <w:szCs w:val="16"/>
        </w:rPr>
      </w:pPr>
    </w:p>
    <w:p w14:paraId="00E10F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с полуторагодовой задержкой на заводе “Серп и молот” введены в строй передовой для того времени цех холодной прокатки стали, калибровочный цех и новая котельная, в начале 1933 г. был пущен новый модельный цех. В старых цехах в значительной степени было заменено оборудование. Наиболее глубокой реконструкции подвергся сталепроволочный цех. Завод ликвидировал традиционное (гвоздильное и болтовое) производство, и превратился в единственный в СССР, который производил тонкие и тончайшие виды проволоки, высококачественные стальные слитки, а вместо жести — листы нержавеющей стали. Была освоена западная технология фасонного литья по методу Гатфильда, сталь «Компаунд», что позволило сэкономить сотни тысяч рублей на импорте. Было освоено биметаллическое литье, производство хромированных сталей. «Серп и молот» стал поставлять металл для авиационных, автомобильных, тракторных и танковых заводов. В 1934 г. приказом наркома тяжелой промышленности на «Серп и молот» была возложена задача полностью обеспечить качественным металлом московский автомобильный завод.</w:t>
      </w:r>
    </w:p>
    <w:p w14:paraId="55240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Основной капитал завода вырос с 18 млн руб. в 1926 г. до 34 млн рублей в 1932 г. Выпуск производимой продукции в рублях увеличился более чем в 5 раз (с 12,2 до 65,7 млн руб.). В физическом объеме производства рост не был столь уж значительным (83,5 тыс. т до 128,9 тыс. т) в силу перехода на выпуск высокотехнологической продукции. Удельный вес выплавленной стали в общем объеме продукции поднялся с 4,5% в 1927/28 г. до 72,5% по тоннажу и 94,7% по стоимости в 1934 г. В том же году стальная проволока составила 100% выпуска сталепроволочного цеха.</w:t>
      </w:r>
    </w:p>
    <w:p w14:paraId="61E247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Площадь «Серпа и молота» за время реконструкции увеличилась в несколько раз (70 га вместо 28). Под каток реконструкции попали строения Всехсвятского женского монастыря, клуб имени Астахова. Заводские здания и корпуса вплотную подступали к Спасо-Андроньеву монастырю. Наконец-то было покончено с «большущей грязью», территория завода была заасфальтирована. Вместо двух изношенных паровозов на подъездных путях стало пять новых. Длина железнодорожных путей увеличилась вдвое и составила 12 км. В дополнение к ним была установлена механическая лебедка. Вместо тележек появились первые электрокары. Кроме того, в автопарке завода в 1932 г. было уже девятнадцать автомобилей и три трактора. Были проложены водопровод, паро- и нефтепровод, заменено электрохозяйство. Потребление электроэнергии на заводе возросло в два с половиной раза. В плане механизации вспомогательных работ в мартеновском цехе появилась вторая после Гужона завалочная машина. </w:t>
      </w:r>
    </w:p>
    <w:p w14:paraId="40E26E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сталепроволочном цехе установлен лифт для подъема проволочных рулонов на второй этаж и т.д. Обновление производства шло и в последующие годы. Советская историография буквально воспевала технические дости¬жения «Серпа и молота», указывая на их весомость и политическую значимость. Всячески подчеркивалось, что из заводского металла был создан знаменитый монумент «Рабочий и колхозница», построена станция метро «Маяковская», что из серповской стали созданы самолеты Чкалова, Громова и др., совершавшие грандиозные перелеты 1930-х гг. Однако по некоторым деталям радужных отчетов прослеживаются явные упущения реконструкции, не охватившей всех участков производства. Значительной оставалась доля ручного труда. Так, в 1936 г., наряду с завалочными машинами, магнитными кранами, рольгангами, троллейкарами, по-прежнему в ходу были лом и лопата (11570).</w:t>
      </w:r>
    </w:p>
    <w:p w14:paraId="49C0E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98CC0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на базе секции Научно-технического комитета был сформирован Научно-исследовательский минно-торпедный институт (НИМТИ). Фактически он создавался как параллельная Остехбюро структура, но комплектовался не гражданскими конструкторами-самоучками, а выпускниками факультета оружия Военно-морской академии. В 1933-1934 гг. в НИМТИ под руководством Алферова были выполнены следующие работы: сделали высотные модификации торпеды образца 1912 г. (ТАВ-12 и ТАВ-12А; позднее 45-12АВО и 45-12АВА), оснастили ТАВ-15 новой парашютной системой (45-15АВА). Но самым главным достижением института стала адаптация под отечественную производственную базу итальянской 18-дюймовой корабельной торпеды 45F (в Италии в 1932 г. комиссией А.К. Сивкова была куплена и 533-мм торпеда 53F, но разработкой на ее базе отечественной торпеды того калибра занималось ОТБ). Ее чертежи были переданы на завод "Красный Прогресс" (г. Днепропетровск, завод №175; в дальнейшем именно это предприятие стало основным заводом по производству всех разновидностей 450-мм торпед) еще в апреле 1934 г., но потребовалось четыре года, прежде чем завод сумел наладить ее серийное производство. Тогда же, в 1938 г., торпеду "задним числом" приняли на вооружение флота под наименованием 45-36Н. Эта продолжительная задержка оказала прямое влияние на сроки приема следующей модификации - варианта 45-36Н для сбрасывания с самолета.</w:t>
      </w:r>
    </w:p>
    <w:p w14:paraId="77B2DC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к концу 1938 г. авиационное, минное и торпедное оружие находилось в крайне плачевном состоянии, лишь несколько лучшем, чем в начале своего развития в 1920 г. К счастью, за прошедший период удалось создать некоторый задел, обеспечивший выход из положения в кратчайшие сроки. В октябре 1937 г. положение дел в торпедостроительной промышленности рассматривал на своем заседании Комитет Обороны при СНК СССР. По решению заседания руководство всем торпедным производством сосредотачивалось в Наркомате оборонной промышленности, в связи с чем в ее составе создавалось 17-е главное управление В его подчинение в 1939 г. перешли конструкторские бюро ЦКБ-39 и ЦКБ-36, сформированные из подразделений бывшего Остехбюро. Чуть раньше, в 1938 г., в составе тогда же образованного Наркомата ВМФ было создано Минно-торпедное управление (МТУ) ВМФ. Свежесформированным органам оставалось только определить направление работ и распределить обязанности. Если разобраться, проблем было не так уж и много. Во-первых, авиация ВМФ уже получила на вооружение самолет, вполне удовлетворявший требованиям высотного и низкого торпедометания. Им стала модификация сухопутного дальнего бомбардировщика ДБ-3. Во-вторых, имелось и вполне современная 450-мм торпеда. Тот факт, что она являлась сравнительно тяжелой, мало смущал моряков - с одной стороны, авиация и раньше использовала корабельные торпеды, с другой - ДБ-3 легко поднимал ее даже в том случае, если бы она была оснащена парашютной системой. Другое дело, что большинство базовых двухмоторных торпедоносцев других стран могли поднимать по две легкие аеиаторпеды, но в наших условиях сбрасывание двух изделий одним самолетом по одной цели считалось безумным расточительством. В-третьих, у НИМТИ и конструкторов ЦКБ уже имелся определенный опыт создания торпедных подвесок и прицелов. Все это позволило в основном справиться с решением поставленной задачи за год - в 1939 г. на вооружение были приняты торпеды 45-36АН и 45-36АВА. Годом позже копилка оружия авиации пополнилась миной АМГ-1 конструкции А.Б. Гей- ро. Мина Гейро была сконструирована им еще в 1932 г. при написании дипломного проекта перед выпуском из ВМА. Увы, авиационное торпедное оружие таких подвижников не имело. В результате принятие на вооружение торпедной подвески для низкого торпедометания было сделано вынужденно в связи с началом войны (12002).</w:t>
      </w:r>
    </w:p>
    <w:p w14:paraId="23B085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B230BD" w14:textId="77777777" w:rsidR="00592142" w:rsidRPr="00E93F40" w:rsidRDefault="0059214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на базе секции На</w:t>
      </w:r>
      <w:r w:rsidRPr="00E93F40">
        <w:rPr>
          <w:rFonts w:ascii="Times New Roman" w:hAnsi="Times New Roman"/>
          <w:color w:val="000000" w:themeColor="text1"/>
          <w:sz w:val="16"/>
          <w:szCs w:val="16"/>
        </w:rPr>
        <w:softHyphen/>
        <w:t>учно-технического комитета Научно-исследовательский минно-торпедный институт (НИМТИ). Фактически он создавался как параллельная Остехбюро структура, но ком</w:t>
      </w:r>
      <w:r w:rsidRPr="00E93F40">
        <w:rPr>
          <w:rFonts w:ascii="Times New Roman" w:hAnsi="Times New Roman"/>
          <w:color w:val="000000" w:themeColor="text1"/>
          <w:sz w:val="16"/>
          <w:szCs w:val="16"/>
        </w:rPr>
        <w:softHyphen/>
        <w:t>плектовался не гражданскими конструкторами-самоучками, а выпускниками факуль</w:t>
      </w:r>
      <w:r w:rsidRPr="00E93F40">
        <w:rPr>
          <w:rFonts w:ascii="Times New Roman" w:hAnsi="Times New Roman"/>
          <w:color w:val="000000" w:themeColor="text1"/>
          <w:sz w:val="16"/>
          <w:szCs w:val="16"/>
        </w:rPr>
        <w:softHyphen/>
        <w:t>тета оружия Военно-морской академии. В 1933-1934 гг. в НИМТИ под руководством Алферова были выполнены следующие работы: сделали высотные модификации торпе</w:t>
      </w:r>
      <w:r w:rsidRPr="00E93F40">
        <w:rPr>
          <w:rFonts w:ascii="Times New Roman" w:hAnsi="Times New Roman"/>
          <w:color w:val="000000" w:themeColor="text1"/>
          <w:sz w:val="16"/>
          <w:szCs w:val="16"/>
        </w:rPr>
        <w:softHyphen/>
        <w:t>ды образца 1912 г. (ТАВ-12 и ТАВ-12А; позднее 45-12АВО и 45-12АВА), оснастили TAB-15 новой парашютной системой (45-15АВА). Но самым главным достижением института стала адаптация под отечественную производственную базу итальянской 18-дюймовой корабельной торпеды 45F (в Италии в 1932 г. комиссией А.К. Сивкова была куплена и 533-мм торпеда 53F, но разработкой на ее базе отечественной торпеды того калибра занималось ОТБ). Ее чертежи были переданы на завод «Красный Про</w:t>
      </w:r>
      <w:r w:rsidRPr="00E93F40">
        <w:rPr>
          <w:rFonts w:ascii="Times New Roman" w:hAnsi="Times New Roman"/>
          <w:color w:val="000000" w:themeColor="text1"/>
          <w:sz w:val="16"/>
          <w:szCs w:val="16"/>
        </w:rPr>
        <w:softHyphen/>
        <w:t>гресс» (г. Днепропетровск, завод №175; в дальнейшем именно это предприятие стало основным заводом по производству всех разновидностей 450-мм торпед) еще в апреле 1934 г., но потребовалось четыре года, прежде чем завод сумел наладить ее серийное производство. Тогда же в 1938 г. торпеду «задним числом» приняли на вооружение флота под наименованием 45-36Н. Эта продолжительная задержка оказала прямое влия</w:t>
      </w:r>
      <w:r w:rsidRPr="00E93F40">
        <w:rPr>
          <w:rFonts w:ascii="Times New Roman" w:hAnsi="Times New Roman"/>
          <w:color w:val="000000" w:themeColor="text1"/>
          <w:sz w:val="16"/>
          <w:szCs w:val="16"/>
        </w:rPr>
        <w:softHyphen/>
        <w:t>ние на сроки приема следующей модификации - варианта 45-36Н для сбрасывания с самолета (23464).</w:t>
      </w:r>
    </w:p>
    <w:p w14:paraId="6E047DA0" w14:textId="77777777" w:rsidR="00592142" w:rsidRPr="00E93F40" w:rsidRDefault="00592142" w:rsidP="00E93F40">
      <w:pPr>
        <w:spacing w:after="0" w:line="240" w:lineRule="auto"/>
        <w:jc w:val="both"/>
        <w:rPr>
          <w:rFonts w:ascii="Times New Roman" w:hAnsi="Times New Roman"/>
          <w:color w:val="000000" w:themeColor="text1"/>
          <w:sz w:val="16"/>
          <w:szCs w:val="16"/>
        </w:rPr>
      </w:pPr>
    </w:p>
    <w:p w14:paraId="45EE76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 начались работы на стро</w:t>
      </w:r>
      <w:r w:rsidRPr="00E93F40">
        <w:rPr>
          <w:rFonts w:ascii="Times New Roman" w:hAnsi="Times New Roman"/>
          <w:color w:val="000000" w:themeColor="text1"/>
          <w:sz w:val="16"/>
          <w:szCs w:val="16"/>
        </w:rPr>
        <w:softHyphen/>
        <w:t>ительной площадке Амурской верфи (3898).</w:t>
      </w:r>
    </w:p>
    <w:p w14:paraId="68519B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B61B1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6E3AF5C2"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6F305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промышленность не могла угнаться за растущими потребностями ВВС. Недостача по сравнению с планом достигла 300 машин, из-за чего свернули формирование трех новых эскадрилий.</w:t>
      </w:r>
    </w:p>
    <w:p w14:paraId="142A64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выпуск постепенно рос. Разведчик Поликарпова стал самым массовым самолетом в строевых частях ВВС РККА. В начале 1933 г. на Р-5 начала переходить 207-я бригада в Новочеркасске. Переучивание экипажей там завершили к 25 июня.</w:t>
      </w:r>
    </w:p>
    <w:p w14:paraId="39559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Еше в феврале 1933 г. в округах было примерно поровну Р-5 и P-I, а уже на I сентября Р-5 имелось 732, а Р-1 - 470. Правда, в учебных заведениях перевес старой техники оставался подавляющим: 703 против восьми. 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22F211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D7ED10B" w14:textId="77777777" w:rsidR="00EE1122" w:rsidRPr="00EE1122" w:rsidRDefault="00EE1122" w:rsidP="00EE1122">
      <w:pPr>
        <w:pStyle w:val="aff2"/>
        <w:tabs>
          <w:tab w:val="left" w:pos="594"/>
        </w:tabs>
        <w:spacing w:line="240" w:lineRule="auto"/>
        <w:rPr>
          <w:rFonts w:ascii="Times New Roman" w:hAnsi="Times New Roman" w:cs="Times New Roman"/>
          <w:i w:val="0"/>
          <w:iCs w:val="0"/>
          <w:color w:val="0070C0"/>
          <w:sz w:val="16"/>
          <w:szCs w:val="16"/>
          <w:lang w:val="ru-RU"/>
        </w:rPr>
      </w:pPr>
      <w:r w:rsidRPr="00EE1122">
        <w:rPr>
          <w:rFonts w:ascii="Times New Roman" w:hAnsi="Times New Roman" w:cs="Times New Roman"/>
          <w:i w:val="0"/>
          <w:iCs w:val="0"/>
          <w:color w:val="0070C0"/>
          <w:sz w:val="16"/>
          <w:szCs w:val="16"/>
          <w:lang w:val="ru-RU"/>
        </w:rPr>
        <w:t>В конце 1932 г. в журнале «Вестник воздушного флота» («ВВФ») начались публикации по «обновленной» истории Красного Воздушного флота (КВФ), Это произошло после опубликования в «ВВФ» № 8-9 1932 г. программной статьи «Написать историю боевых действий ВВС РККА». В статье сообщалось, что «Начальником Военно-воздушных сил РККА образована специальная комиссия по собиранию исторических материалов и документов по вопросам боевой дея</w:t>
      </w:r>
      <w:r w:rsidRPr="00EE1122">
        <w:rPr>
          <w:rFonts w:ascii="Times New Roman" w:hAnsi="Times New Roman" w:cs="Times New Roman"/>
          <w:i w:val="0"/>
          <w:iCs w:val="0"/>
          <w:color w:val="0070C0"/>
          <w:sz w:val="16"/>
          <w:szCs w:val="16"/>
          <w:lang w:val="ru-RU"/>
        </w:rPr>
        <w:softHyphen/>
        <w:t xml:space="preserve">тельности и организации Воздушного флота Красной Армии. К </w:t>
      </w:r>
      <w:r w:rsidRPr="00142305">
        <w:rPr>
          <w:rFonts w:ascii="Times New Roman" w:hAnsi="Times New Roman" w:cs="Times New Roman"/>
          <w:i w:val="0"/>
          <w:iCs w:val="0"/>
          <w:color w:val="0070C0"/>
          <w:sz w:val="16"/>
          <w:szCs w:val="16"/>
        </w:rPr>
        <w:t>XV</w:t>
      </w:r>
      <w:r w:rsidRPr="00EE1122">
        <w:rPr>
          <w:rFonts w:ascii="Times New Roman" w:hAnsi="Times New Roman" w:cs="Times New Roman"/>
          <w:i w:val="0"/>
          <w:iCs w:val="0"/>
          <w:color w:val="0070C0"/>
          <w:sz w:val="16"/>
          <w:szCs w:val="16"/>
          <w:lang w:val="ru-RU"/>
        </w:rPr>
        <w:t xml:space="preserve"> годовщине РККА предположено подготовить к печати первые сборники систематически и тематически подобранных документов по Воздушному флоту о боевых действиях во время Гражданской войны и организации за период мирного стро</w:t>
      </w:r>
      <w:r w:rsidRPr="00EE1122">
        <w:rPr>
          <w:rFonts w:ascii="Times New Roman" w:hAnsi="Times New Roman" w:cs="Times New Roman"/>
          <w:i w:val="0"/>
          <w:iCs w:val="0"/>
          <w:color w:val="0070C0"/>
          <w:sz w:val="16"/>
          <w:szCs w:val="16"/>
          <w:lang w:val="ru-RU"/>
        </w:rPr>
        <w:softHyphen/>
        <w:t>ительства. Объем материала намечен до 20 печатных листов. Утверждена специ</w:t>
      </w:r>
      <w:r w:rsidRPr="00EE1122">
        <w:rPr>
          <w:rFonts w:ascii="Times New Roman" w:hAnsi="Times New Roman" w:cs="Times New Roman"/>
          <w:i w:val="0"/>
          <w:iCs w:val="0"/>
          <w:color w:val="0070C0"/>
          <w:sz w:val="16"/>
          <w:szCs w:val="16"/>
          <w:lang w:val="ru-RU"/>
        </w:rPr>
        <w:softHyphen/>
        <w:t>альная редакционная группа из работников Управления] ВВС РККА. Утвержден список авторов. Для связи и оказания содействия по извлечению исторических документов образуются группы содействия во всех отдельных частях, школах и авиагарнизонах. Все материалы направляются в адрес начальника военно-исто</w:t>
      </w:r>
      <w:r w:rsidRPr="00EE1122">
        <w:rPr>
          <w:rFonts w:ascii="Times New Roman" w:hAnsi="Times New Roman" w:cs="Times New Roman"/>
          <w:i w:val="0"/>
          <w:iCs w:val="0"/>
          <w:color w:val="0070C0"/>
          <w:sz w:val="16"/>
          <w:szCs w:val="16"/>
          <w:lang w:val="ru-RU"/>
        </w:rPr>
        <w:softHyphen/>
        <w:t>рического отдела штаба РККА» (Написать историю боевых действий ВВС РККА // Вестник воздушного флота. – 1932Б № 8-9. - С. 46.) (24968).</w:t>
      </w:r>
    </w:p>
    <w:p w14:paraId="2526663E" w14:textId="77777777" w:rsidR="00EE1122" w:rsidRPr="00142305" w:rsidRDefault="00EE1122" w:rsidP="00EE1122">
      <w:pPr>
        <w:spacing w:after="0" w:line="240" w:lineRule="auto"/>
        <w:jc w:val="both"/>
        <w:rPr>
          <w:rFonts w:ascii="Times New Roman" w:hAnsi="Times New Roman"/>
          <w:color w:val="0070C0"/>
          <w:sz w:val="16"/>
          <w:szCs w:val="16"/>
        </w:rPr>
      </w:pPr>
    </w:p>
    <w:p w14:paraId="4D2D2ACB"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 был издан очередной приказ Наркомвоенмора об итогах бое</w:t>
      </w:r>
      <w:r w:rsidRPr="00142305">
        <w:rPr>
          <w:rFonts w:ascii="Times New Roman" w:hAnsi="Times New Roman"/>
          <w:color w:val="0070C0"/>
          <w:sz w:val="16"/>
          <w:szCs w:val="16"/>
        </w:rPr>
        <w:softHyphen/>
        <w:t>вой подготовки РККА за 1932 г. и задачах на 1933 г. В нем говорилось в отношении школ ВВС следующее:</w:t>
      </w:r>
    </w:p>
    <w:p w14:paraId="58CF9885"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«Упорно продолжать повышение качества кадров, выпускаемых школами ВВС, в первую очередь - в технике пилотажа, огневой подготовке и знаниях ма</w:t>
      </w:r>
      <w:r w:rsidRPr="00142305">
        <w:rPr>
          <w:rFonts w:ascii="Times New Roman" w:hAnsi="Times New Roman"/>
          <w:color w:val="0070C0"/>
          <w:sz w:val="16"/>
          <w:szCs w:val="16"/>
        </w:rPr>
        <w:softHyphen/>
        <w:t>териальной части.</w:t>
      </w:r>
    </w:p>
    <w:p w14:paraId="2F1AF9F0"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Добиться от летных кадров высокой техники пилотажа, которая исклю</w:t>
      </w:r>
      <w:r w:rsidRPr="00142305">
        <w:rPr>
          <w:rFonts w:ascii="Times New Roman" w:hAnsi="Times New Roman"/>
          <w:color w:val="0070C0"/>
          <w:sz w:val="16"/>
          <w:szCs w:val="16"/>
        </w:rPr>
        <w:softHyphen/>
        <w:t>чила бы из практики аварии и поломки.</w:t>
      </w:r>
    </w:p>
    <w:p w14:paraId="38F33AF0"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Исключить возможность приема в школы и особенно в летные школы, вы</w:t>
      </w:r>
      <w:r w:rsidRPr="00142305">
        <w:rPr>
          <w:rFonts w:ascii="Times New Roman" w:hAnsi="Times New Roman"/>
          <w:color w:val="0070C0"/>
          <w:sz w:val="16"/>
          <w:szCs w:val="16"/>
        </w:rPr>
        <w:softHyphen/>
        <w:t>пускающих командиров-летчиков и летнабов, недостаточно выдержанных в по</w:t>
      </w:r>
      <w:r w:rsidRPr="00142305">
        <w:rPr>
          <w:rFonts w:ascii="Times New Roman" w:hAnsi="Times New Roman"/>
          <w:color w:val="0070C0"/>
          <w:sz w:val="16"/>
          <w:szCs w:val="16"/>
        </w:rPr>
        <w:softHyphen/>
        <w:t>литическом отношении и классово-чуждых элементов» (РГВА. Ф. 4. Оп. 15а. Д. 330. Л. 110) (24968).</w:t>
      </w:r>
    </w:p>
    <w:p w14:paraId="6628DF5A" w14:textId="77777777" w:rsidR="00EE1122" w:rsidRPr="00142305" w:rsidRDefault="00EE1122" w:rsidP="00EE1122">
      <w:pPr>
        <w:spacing w:after="0" w:line="240" w:lineRule="auto"/>
        <w:jc w:val="both"/>
        <w:rPr>
          <w:rFonts w:ascii="Times New Roman" w:hAnsi="Times New Roman"/>
          <w:color w:val="0070C0"/>
          <w:sz w:val="16"/>
          <w:szCs w:val="16"/>
        </w:rPr>
      </w:pPr>
    </w:p>
    <w:p w14:paraId="3BA088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года в Спасске и Чите было уже 49 И-5, и они практически вытеснили там голландские истребители Фоккер D.XI. Зимой температура в Забайкалье падала до - 50°. При этом смазочное масло густело, приборы переставали работать, а амортизаторы от холода каменели и переставали пружинить. Машины дежурного звена приходилось держать в небольших деревянных ангарах-тепляках. Остальные долго прогревали перед вылетом бензиновыми лампами и специальными печами. На твёрдом промороженном грунте (пока не лёг снег) костыль плохо гасил удар при посадке, особенно если учесть ухудшение работы замерзшего амортизатора. Костыль вообще был больным местом для И-5 ранних серий. Мастерские на местах часто его усиливали (11997).</w:t>
      </w:r>
    </w:p>
    <w:p w14:paraId="18A4AA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1C7A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1932 г. И-5 составляли заметную часть парка советской истребительной авиации - около 20%. Всего их было 143 - чуть меньше, чем И-4 (160 экземпляров). Старые И-2 и И-2бис сохранялись уже только в лётных школах. Однако основным истребителем всё-таки оставался И-3 (11997).</w:t>
      </w:r>
    </w:p>
    <w:p w14:paraId="5F853F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D9DFCA" w14:textId="77777777" w:rsidR="00BD69E5" w:rsidRPr="00E93F40" w:rsidRDefault="00BD69E5" w:rsidP="00E93F40">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В конце 1932 г. в связи с увеличением количества пограничной авиации, еще при мотомеханизированном отделении Отдела техники и вооружения ГУПОиВ ОГПУ была создана авиационная инспекция и введена должность инспектора по авиации, на которую был назначен комдив Эдуард Эдуардович Крафт (1898-1940), бывший до этого помощником начальника Высшей пограничной школы (ВПШ) ОГПУ – начальником учебно-строевой части ВПШ ОГПУ и одновременно – начальником отдела боевой подготовки ГУПО.</w:t>
      </w:r>
    </w:p>
    <w:p w14:paraId="626B0B71" w14:textId="77777777" w:rsidR="00BD69E5" w:rsidRPr="00E93F40" w:rsidRDefault="00BD69E5" w:rsidP="00E93F40">
      <w:pPr>
        <w:pStyle w:val="27"/>
        <w:shd w:val="clear" w:color="auto" w:fill="auto"/>
        <w:spacing w:after="0" w:line="240" w:lineRule="auto"/>
        <w:ind w:firstLine="0"/>
        <w:rPr>
          <w:rFonts w:ascii="Times New Roman" w:cs="Times New Roman"/>
          <w:color w:val="000000" w:themeColor="text1"/>
          <w:spacing w:val="0"/>
        </w:rPr>
      </w:pPr>
      <w:r w:rsidRPr="00E93F40">
        <w:rPr>
          <w:rFonts w:ascii="Times New Roman" w:cs="Times New Roman"/>
          <w:color w:val="000000" w:themeColor="text1"/>
          <w:spacing w:val="0"/>
        </w:rPr>
        <w:t>В 1934 г. приказом Наркома внутренних дел СССР авиационная инспекция ГУПВО была выведена из отдела вооружения и переформирована в авиационный отдел ГУПВО с непосредственным подчинением начальнику ГУПВО. Этим же приказом на должность начальника авиационного отдела был назначен комбриг (в 1936 г. присвоено звание «комкор») Матвей Васильевич Бойцов (1890-1938), бывший до этого помощником начальника ВВС Ленинградского Военного округа и командиром 3-й авиационной бригады особого назначения – первой воздушно-десантной части РККА. После увольнения комкора М.В.Бойцова, в августе 1937 г. начальником авиационного отдела ГУПВО НКВД СССР был назначен его заместитель полковник Алексей Антонович Разоренов (1899-1941). В 1939 г., после ареста полковника А.А. Разоренова, начальником авиационного отдела был назначен, с присвоением воинского звания «полковник», командир Минского 6-го Авиационного отряда подполковник И.М.Чупров (15231).</w:t>
      </w:r>
    </w:p>
    <w:p w14:paraId="3FA2DDB2" w14:textId="77777777" w:rsidR="00BD69E5" w:rsidRPr="00E93F40" w:rsidRDefault="00BD69E5" w:rsidP="00E93F40">
      <w:pPr>
        <w:pStyle w:val="27"/>
        <w:shd w:val="clear" w:color="auto" w:fill="auto"/>
        <w:spacing w:after="0" w:line="240" w:lineRule="auto"/>
        <w:ind w:firstLine="0"/>
        <w:rPr>
          <w:rFonts w:ascii="Times New Roman" w:cs="Times New Roman"/>
          <w:color w:val="000000" w:themeColor="text1"/>
          <w:spacing w:val="0"/>
        </w:rPr>
      </w:pPr>
    </w:p>
    <w:p w14:paraId="661FC1DD" w14:textId="77777777" w:rsidR="00961727" w:rsidRPr="00E93F40" w:rsidRDefault="00961727" w:rsidP="00E93F40">
      <w:pPr>
        <w:spacing w:after="0" w:line="240" w:lineRule="auto"/>
        <w:jc w:val="both"/>
        <w:rPr>
          <w:rFonts w:ascii="Times New Roman" w:hAnsi="Times New Roman"/>
          <w:color w:val="000000" w:themeColor="text1"/>
          <w:sz w:val="16"/>
          <w:szCs w:val="16"/>
          <w:shd w:val="clear" w:color="auto" w:fill="FFFFFF"/>
        </w:rPr>
      </w:pPr>
      <w:r w:rsidRPr="00E93F40">
        <w:rPr>
          <w:rFonts w:ascii="Times New Roman" w:hAnsi="Times New Roman"/>
          <w:color w:val="000000" w:themeColor="text1"/>
          <w:sz w:val="16"/>
          <w:szCs w:val="16"/>
          <w:shd w:val="clear" w:color="auto" w:fill="FFFFFF"/>
        </w:rPr>
        <w:t>К концу 1932 года Красная Армия получила на вооружение более 1000 боевых машин Т-26 и около 400 БТ. К концу второй пятилетки (1937 год) танковый парк Красной Армии составлял более 6780 Т-26 и около 5000 БТ (19553).</w:t>
      </w:r>
    </w:p>
    <w:p w14:paraId="6B5D3112" w14:textId="77777777" w:rsidR="00961727" w:rsidRPr="00E93F40" w:rsidRDefault="00961727" w:rsidP="00E93F40">
      <w:pPr>
        <w:spacing w:after="0" w:line="240" w:lineRule="auto"/>
        <w:jc w:val="both"/>
        <w:rPr>
          <w:rFonts w:ascii="Times New Roman" w:hAnsi="Times New Roman"/>
          <w:color w:val="000000" w:themeColor="text1"/>
          <w:sz w:val="16"/>
          <w:szCs w:val="16"/>
          <w:shd w:val="clear" w:color="auto" w:fill="FFFFFF"/>
        </w:rPr>
      </w:pPr>
    </w:p>
    <w:p w14:paraId="00EBEFE6" w14:textId="733A8B94" w:rsidR="00EE1122" w:rsidRPr="00E93F40" w:rsidRDefault="00EE1122" w:rsidP="00EE1122">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E93F40">
        <w:rPr>
          <w:rFonts w:ascii="Times New Roman" w:hAnsi="Times New Roman"/>
          <w:i/>
          <w:iCs/>
          <w:color w:val="000000" w:themeColor="text1"/>
          <w:sz w:val="16"/>
          <w:szCs w:val="16"/>
        </w:rPr>
        <w:t>:</w:t>
      </w:r>
    </w:p>
    <w:p w14:paraId="765EF257" w14:textId="77777777" w:rsidR="00EE1122" w:rsidRPr="00E93F40" w:rsidRDefault="00EE1122" w:rsidP="00EE1122">
      <w:pPr>
        <w:autoSpaceDE w:val="0"/>
        <w:autoSpaceDN w:val="0"/>
        <w:adjustRightInd w:val="0"/>
        <w:spacing w:after="0" w:line="240" w:lineRule="auto"/>
        <w:jc w:val="both"/>
        <w:rPr>
          <w:rFonts w:ascii="Times New Roman" w:hAnsi="Times New Roman"/>
          <w:iCs/>
          <w:color w:val="000000" w:themeColor="text1"/>
          <w:sz w:val="16"/>
          <w:szCs w:val="16"/>
        </w:rPr>
      </w:pPr>
    </w:p>
    <w:p w14:paraId="10ECE522"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года, после многих попыток Рене Кузине и Жан Мермоз получили раз</w:t>
      </w:r>
      <w:r w:rsidRPr="00142305">
        <w:rPr>
          <w:rFonts w:ascii="Times New Roman" w:hAnsi="Times New Roman"/>
          <w:color w:val="0070C0"/>
          <w:sz w:val="16"/>
          <w:szCs w:val="16"/>
        </w:rPr>
        <w:softHyphen/>
        <w:t>решение министерства авиации на прове</w:t>
      </w:r>
      <w:r w:rsidRPr="00142305">
        <w:rPr>
          <w:rFonts w:ascii="Times New Roman" w:hAnsi="Times New Roman"/>
          <w:color w:val="0070C0"/>
          <w:sz w:val="16"/>
          <w:szCs w:val="16"/>
        </w:rPr>
        <w:softHyphen/>
        <w:t>дение пробного почтового авиаперелета по маршруту Париж - Наталь. В состав экипа</w:t>
      </w:r>
      <w:r w:rsidRPr="00142305">
        <w:rPr>
          <w:rFonts w:ascii="Times New Roman" w:hAnsi="Times New Roman"/>
          <w:color w:val="0070C0"/>
          <w:sz w:val="16"/>
          <w:szCs w:val="16"/>
        </w:rPr>
        <w:softHyphen/>
        <w:t>жа входили командир корабля Жан Мермоз, второй пилот (от компании Air France) капи</w:t>
      </w:r>
      <w:r w:rsidRPr="00142305">
        <w:rPr>
          <w:rFonts w:ascii="Times New Roman" w:hAnsi="Times New Roman"/>
          <w:color w:val="0070C0"/>
          <w:sz w:val="16"/>
          <w:szCs w:val="16"/>
        </w:rPr>
        <w:softHyphen/>
        <w:t>тан Карретье (Carretier), штурман капитан Майю (Mailloux), бортмеханик Жусс (Jousse). Рене Кузине занял место пассажира (24916).</w:t>
      </w:r>
    </w:p>
    <w:p w14:paraId="6B1F0AB0" w14:textId="77777777" w:rsidR="00DB2196" w:rsidRPr="00142305" w:rsidRDefault="00DB2196" w:rsidP="00DB2196">
      <w:pPr>
        <w:spacing w:after="0" w:line="240" w:lineRule="auto"/>
        <w:jc w:val="both"/>
        <w:rPr>
          <w:rFonts w:ascii="Times New Roman" w:hAnsi="Times New Roman"/>
          <w:color w:val="0070C0"/>
          <w:sz w:val="16"/>
          <w:szCs w:val="16"/>
        </w:rPr>
      </w:pPr>
    </w:p>
    <w:p w14:paraId="20E9EAC4"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1932 г. на конференции в Женеве немцы добились разрешения на «равенство прав» в вооружениях, т. е. отмены версальских ограничений. В ре</w:t>
      </w:r>
      <w:r w:rsidRPr="00142305">
        <w:rPr>
          <w:rFonts w:ascii="Times New Roman" w:hAnsi="Times New Roman"/>
          <w:color w:val="0070C0"/>
          <w:sz w:val="16"/>
          <w:szCs w:val="16"/>
        </w:rPr>
        <w:softHyphen/>
        <w:t>зультате отпала необходимость содержания объектов рейхсвера за рубежом. Уже в начале 1930-х гг. в летных школах Германии еже</w:t>
      </w:r>
      <w:r w:rsidRPr="00142305">
        <w:rPr>
          <w:rFonts w:ascii="Times New Roman" w:hAnsi="Times New Roman"/>
          <w:color w:val="0070C0"/>
          <w:sz w:val="16"/>
          <w:szCs w:val="16"/>
        </w:rPr>
        <w:softHyphen/>
        <w:t>годно готовили от 300 до 500 летчиков — больше, чем за все время существования «русской авиашколы». Испытания военной авиа</w:t>
      </w:r>
      <w:r w:rsidRPr="00142305">
        <w:rPr>
          <w:rFonts w:ascii="Times New Roman" w:hAnsi="Times New Roman"/>
          <w:color w:val="0070C0"/>
          <w:sz w:val="16"/>
          <w:szCs w:val="16"/>
        </w:rPr>
        <w:softHyphen/>
        <w:t>техники также уже в открытую осуществляли внутри страны (25025).</w:t>
      </w:r>
    </w:p>
    <w:p w14:paraId="48E0192D" w14:textId="77777777" w:rsidR="00DB2196" w:rsidRPr="00142305" w:rsidRDefault="00DB2196" w:rsidP="00DB2196">
      <w:pPr>
        <w:spacing w:after="0" w:line="240" w:lineRule="auto"/>
        <w:jc w:val="both"/>
        <w:rPr>
          <w:rFonts w:ascii="Times New Roman" w:hAnsi="Times New Roman"/>
          <w:color w:val="0070C0"/>
          <w:sz w:val="16"/>
          <w:szCs w:val="16"/>
        </w:rPr>
      </w:pPr>
    </w:p>
    <w:p w14:paraId="1A4E3F57"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1932 года каждый из прототи</w:t>
      </w:r>
      <w:r w:rsidRPr="00142305">
        <w:rPr>
          <w:rFonts w:ascii="Times New Roman" w:hAnsi="Times New Roman"/>
          <w:color w:val="0070C0"/>
          <w:sz w:val="16"/>
          <w:szCs w:val="16"/>
        </w:rPr>
        <w:softHyphen/>
        <w:t>пов VK 31 (Leichttraktor - «Легкий трактор») прошел от 1660 до 1865 км, но в конечном итоге советские инженеры и военные специалисты сошлись во мнении, что обкатанные в «Каме» машины не пред</w:t>
      </w:r>
      <w:r w:rsidRPr="00142305">
        <w:rPr>
          <w:rFonts w:ascii="Times New Roman" w:hAnsi="Times New Roman"/>
          <w:color w:val="0070C0"/>
          <w:sz w:val="16"/>
          <w:szCs w:val="16"/>
        </w:rPr>
        <w:softHyphen/>
        <w:t>ставляют большой боевой ценности. Един</w:t>
      </w:r>
      <w:r w:rsidRPr="00142305">
        <w:rPr>
          <w:rFonts w:ascii="Times New Roman" w:hAnsi="Times New Roman"/>
          <w:color w:val="0070C0"/>
          <w:sz w:val="16"/>
          <w:szCs w:val="16"/>
        </w:rPr>
        <w:softHyphen/>
        <w:t>ственными моментами, которые вызвали заинтересованность у советской стороны, стали конструкции подвесок и вооружения (в частности, спаренных установок пушек и пу</w:t>
      </w:r>
      <w:r w:rsidRPr="00142305">
        <w:rPr>
          <w:rFonts w:ascii="Times New Roman" w:hAnsi="Times New Roman"/>
          <w:color w:val="0070C0"/>
          <w:sz w:val="16"/>
          <w:szCs w:val="16"/>
        </w:rPr>
        <w:softHyphen/>
        <w:t>леметов), а также установка радиостанции.</w:t>
      </w:r>
    </w:p>
    <w:p w14:paraId="46E09DAF"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Немецкие специалисты тоже были не осо</w:t>
      </w:r>
      <w:r w:rsidRPr="00142305">
        <w:rPr>
          <w:rFonts w:ascii="Times New Roman" w:hAnsi="Times New Roman"/>
          <w:color w:val="0070C0"/>
          <w:sz w:val="16"/>
          <w:szCs w:val="16"/>
        </w:rPr>
        <w:softHyphen/>
        <w:t>бо впечатлены тактико-техническими данными своих танков. Установка двигателя в передней части в некоторой степени спасала экипаж от поражения при обстреле спереди, но в то же время толщина брони оказалась явно недо</w:t>
      </w:r>
      <w:r w:rsidRPr="00142305">
        <w:rPr>
          <w:rFonts w:ascii="Times New Roman" w:hAnsi="Times New Roman"/>
          <w:color w:val="0070C0"/>
          <w:sz w:val="16"/>
          <w:szCs w:val="16"/>
        </w:rPr>
        <w:softHyphen/>
        <w:t>статочной и не могла уберечь машину от по</w:t>
      </w:r>
      <w:r w:rsidRPr="00142305">
        <w:rPr>
          <w:rFonts w:ascii="Times New Roman" w:hAnsi="Times New Roman"/>
          <w:color w:val="0070C0"/>
          <w:sz w:val="16"/>
          <w:szCs w:val="16"/>
        </w:rPr>
        <w:softHyphen/>
        <w:t>ражения снарядами и пулями крупного кали</w:t>
      </w:r>
      <w:r w:rsidRPr="00142305">
        <w:rPr>
          <w:rFonts w:ascii="Times New Roman" w:hAnsi="Times New Roman"/>
          <w:color w:val="0070C0"/>
          <w:sz w:val="16"/>
          <w:szCs w:val="16"/>
        </w:rPr>
        <w:softHyphen/>
        <w:t>бра. Значительное усиление бронирования не представлялось возможным без возрастания массы и последующего за этим ухудшения и без того посредственных ходовых качеств. Из-за недостатков системы охлаждения часто перегревался двигатель, а износостойкость гусеничных траков оказалась крайне низкой.</w:t>
      </w:r>
    </w:p>
    <w:p w14:paraId="320E1B71"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немцы, тщательно проанализи</w:t>
      </w:r>
      <w:r w:rsidRPr="00142305">
        <w:rPr>
          <w:rFonts w:ascii="Times New Roman" w:hAnsi="Times New Roman"/>
          <w:color w:val="0070C0"/>
          <w:sz w:val="16"/>
          <w:szCs w:val="16"/>
        </w:rPr>
        <w:softHyphen/>
        <w:t>ровав результаты испытаний, сделали очень важные выводы, касающиеся не только тех</w:t>
      </w:r>
      <w:r w:rsidRPr="00142305">
        <w:rPr>
          <w:rFonts w:ascii="Times New Roman" w:hAnsi="Times New Roman"/>
          <w:color w:val="0070C0"/>
          <w:sz w:val="16"/>
          <w:szCs w:val="16"/>
        </w:rPr>
        <w:softHyphen/>
        <w:t>нических, но и тактических аспектов танков. Главными из них были следующие:</w:t>
      </w:r>
    </w:p>
    <w:p w14:paraId="623F81DC" w14:textId="77777777" w:rsidR="00EE1122" w:rsidRPr="00142305" w:rsidRDefault="00EE1122" w:rsidP="00EE1122">
      <w:pPr>
        <w:widowControl w:val="0"/>
        <w:numPr>
          <w:ilvl w:val="0"/>
          <w:numId w:val="9"/>
        </w:numPr>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командира танка надо полностью освободить от выполнения всех других функций помимо командных. В «лег</w:t>
      </w:r>
      <w:r w:rsidRPr="00142305">
        <w:rPr>
          <w:rFonts w:ascii="Times New Roman" w:hAnsi="Times New Roman"/>
          <w:color w:val="0070C0"/>
          <w:sz w:val="16"/>
          <w:szCs w:val="16"/>
        </w:rPr>
        <w:softHyphen/>
        <w:t>ком тракторе» командир исполнял по совместительству обязанности заряжа</w:t>
      </w:r>
      <w:r w:rsidRPr="00142305">
        <w:rPr>
          <w:rFonts w:ascii="Times New Roman" w:hAnsi="Times New Roman"/>
          <w:color w:val="0070C0"/>
          <w:sz w:val="16"/>
          <w:szCs w:val="16"/>
        </w:rPr>
        <w:softHyphen/>
        <w:t>ющего, что приводило и к замедлению темпа огня, и к затруднению обнаружения целей на поле боя, и к утрате взаимодей</w:t>
      </w:r>
      <w:r w:rsidRPr="00142305">
        <w:rPr>
          <w:rFonts w:ascii="Times New Roman" w:hAnsi="Times New Roman"/>
          <w:color w:val="0070C0"/>
          <w:sz w:val="16"/>
          <w:szCs w:val="16"/>
        </w:rPr>
        <w:softHyphen/>
        <w:t>ствия с другими танками;</w:t>
      </w:r>
    </w:p>
    <w:p w14:paraId="3965BD86" w14:textId="77777777" w:rsidR="00EE1122" w:rsidRPr="00142305" w:rsidRDefault="00EE1122" w:rsidP="00EE1122">
      <w:pPr>
        <w:widowControl w:val="0"/>
        <w:numPr>
          <w:ilvl w:val="0"/>
          <w:numId w:val="9"/>
        </w:numPr>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командира танка для наблюдения за окружающей местностью следует обеспе</w:t>
      </w:r>
      <w:r w:rsidRPr="00142305">
        <w:rPr>
          <w:rFonts w:ascii="Times New Roman" w:hAnsi="Times New Roman"/>
          <w:color w:val="0070C0"/>
          <w:sz w:val="16"/>
          <w:szCs w:val="16"/>
        </w:rPr>
        <w:softHyphen/>
        <w:t>чить специальной командирской башенкой с круговым обзором. Обычного перископа ему недостаточно;</w:t>
      </w:r>
    </w:p>
    <w:p w14:paraId="0F24870A" w14:textId="77777777" w:rsidR="00EE1122" w:rsidRPr="00142305" w:rsidRDefault="00EE1122" w:rsidP="00EE1122">
      <w:pPr>
        <w:widowControl w:val="0"/>
        <w:numPr>
          <w:ilvl w:val="0"/>
          <w:numId w:val="9"/>
        </w:numPr>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башне необходимо установить вращающийся полик, на котором будет стоять заряжающий. Он особенно не</w:t>
      </w:r>
      <w:r w:rsidRPr="00142305">
        <w:rPr>
          <w:rFonts w:ascii="Times New Roman" w:hAnsi="Times New Roman"/>
          <w:color w:val="0070C0"/>
          <w:sz w:val="16"/>
          <w:szCs w:val="16"/>
        </w:rPr>
        <w:softHyphen/>
        <w:t>обходим в случае использования силового привода башни, значительно ускорявшего ее вращение;</w:t>
      </w:r>
    </w:p>
    <w:p w14:paraId="075D3772" w14:textId="77777777" w:rsidR="00EE1122" w:rsidRPr="00142305" w:rsidRDefault="00EE1122" w:rsidP="00EE1122">
      <w:pPr>
        <w:widowControl w:val="0"/>
        <w:numPr>
          <w:ilvl w:val="0"/>
          <w:numId w:val="9"/>
        </w:numPr>
        <w:tabs>
          <w:tab w:val="left" w:pos="460"/>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место наводчика орудия нужно мак</w:t>
      </w:r>
      <w:r w:rsidRPr="00142305">
        <w:rPr>
          <w:rFonts w:ascii="Times New Roman" w:hAnsi="Times New Roman"/>
          <w:color w:val="0070C0"/>
          <w:sz w:val="16"/>
          <w:szCs w:val="16"/>
        </w:rPr>
        <w:softHyphen/>
        <w:t>симально приблизить к центру тяжести танка. Это позволит уменьшить колеба</w:t>
      </w:r>
      <w:r w:rsidRPr="00142305">
        <w:rPr>
          <w:rFonts w:ascii="Times New Roman" w:hAnsi="Times New Roman"/>
          <w:color w:val="0070C0"/>
          <w:sz w:val="16"/>
          <w:szCs w:val="16"/>
        </w:rPr>
        <w:softHyphen/>
        <w:t>ния его тела во время движения машины и</w:t>
      </w:r>
    </w:p>
    <w:p w14:paraId="1E24B55B"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Средний танк Nb.Fz. N° 2 с башней фирмы Krupp</w:t>
      </w:r>
    </w:p>
    <w:p w14:paraId="014E2C98"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создаст ему лучшие условия для наблюде</w:t>
      </w:r>
      <w:r w:rsidRPr="00142305">
        <w:rPr>
          <w:rFonts w:ascii="Times New Roman" w:hAnsi="Times New Roman"/>
          <w:color w:val="0070C0"/>
          <w:sz w:val="16"/>
          <w:szCs w:val="16"/>
        </w:rPr>
        <w:softHyphen/>
        <w:t>ния за полем боя и прицеливания;</w:t>
      </w:r>
    </w:p>
    <w:p w14:paraId="2F11701A"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обитаемое пространство танка должно быть достаточно просторным для экипажа. Это значительно повышает эффективность его работы.</w:t>
      </w:r>
    </w:p>
    <w:p w14:paraId="4B0667B8" w14:textId="77777777" w:rsidR="00EE1122" w:rsidRPr="00142305" w:rsidRDefault="00EE1122" w:rsidP="00EE11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эти выводы легли в основу проек</w:t>
      </w:r>
      <w:r w:rsidRPr="00142305">
        <w:rPr>
          <w:rFonts w:ascii="Times New Roman" w:hAnsi="Times New Roman"/>
          <w:color w:val="0070C0"/>
          <w:sz w:val="16"/>
          <w:szCs w:val="16"/>
        </w:rPr>
        <w:softHyphen/>
        <w:t>тирования следующих образцов немецких средних и тяжелых танков (25048).</w:t>
      </w:r>
    </w:p>
    <w:p w14:paraId="4FC5CDC1" w14:textId="77777777" w:rsidR="00EE1122" w:rsidRPr="00142305" w:rsidRDefault="00EE1122" w:rsidP="00EE1122">
      <w:pPr>
        <w:spacing w:after="0" w:line="240" w:lineRule="auto"/>
        <w:jc w:val="both"/>
        <w:rPr>
          <w:rFonts w:ascii="Times New Roman" w:hAnsi="Times New Roman"/>
          <w:color w:val="0070C0"/>
          <w:sz w:val="16"/>
          <w:szCs w:val="16"/>
        </w:rPr>
      </w:pPr>
    </w:p>
    <w:p w14:paraId="5E710281" w14:textId="77777777" w:rsidR="00B323BF" w:rsidRPr="00E93F40" w:rsidRDefault="00B323BF" w:rsidP="00B323BF">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3079F5AB" w14:textId="77777777" w:rsidR="00B323BF" w:rsidRPr="00E93F40" w:rsidRDefault="00B323BF" w:rsidP="00B323BF">
      <w:pPr>
        <w:autoSpaceDE w:val="0"/>
        <w:autoSpaceDN w:val="0"/>
        <w:adjustRightInd w:val="0"/>
        <w:spacing w:after="0" w:line="240" w:lineRule="auto"/>
        <w:jc w:val="both"/>
        <w:rPr>
          <w:rFonts w:ascii="Times New Roman" w:hAnsi="Times New Roman"/>
          <w:iCs/>
          <w:color w:val="000000" w:themeColor="text1"/>
          <w:sz w:val="16"/>
          <w:szCs w:val="16"/>
        </w:rPr>
      </w:pPr>
    </w:p>
    <w:p w14:paraId="2B346A56" w14:textId="77777777" w:rsidR="00B323BF" w:rsidRPr="00951B40" w:rsidRDefault="00B323BF" w:rsidP="00B323BF">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В конце 1932 и нача</w:t>
      </w:r>
      <w:r w:rsidRPr="00951B40">
        <w:rPr>
          <w:rStyle w:val="aff"/>
          <w:rFonts w:ascii="Times New Roman" w:hAnsi="Times New Roman" w:cs="Times New Roman"/>
          <w:color w:val="0070C0"/>
          <w:spacing w:val="0"/>
          <w:sz w:val="16"/>
          <w:szCs w:val="16"/>
        </w:rPr>
        <w:softHyphen/>
        <w:t>ле 1933 г. появился заказ крупной серии катеров типа Г-5, который оказался во многом вынужденным и случайным решением. По крайней мере, так казалось тем, кто принимал его Претензий и поводов для недо</w:t>
      </w:r>
      <w:r w:rsidRPr="00951B40">
        <w:rPr>
          <w:rStyle w:val="aff"/>
          <w:rFonts w:ascii="Times New Roman" w:hAnsi="Times New Roman" w:cs="Times New Roman"/>
          <w:color w:val="0070C0"/>
          <w:spacing w:val="0"/>
          <w:sz w:val="16"/>
          <w:szCs w:val="16"/>
        </w:rPr>
        <w:softHyphen/>
        <w:t>вольства конструкцией ЦАГИ у военморов к тому времени накопилось уже достаточ</w:t>
      </w:r>
      <w:r w:rsidRPr="00951B40">
        <w:rPr>
          <w:rStyle w:val="aff"/>
          <w:rFonts w:ascii="Times New Roman" w:hAnsi="Times New Roman" w:cs="Times New Roman"/>
          <w:color w:val="0070C0"/>
          <w:spacing w:val="0"/>
          <w:sz w:val="16"/>
          <w:szCs w:val="16"/>
        </w:rPr>
        <w:softHyphen/>
        <w:t>но. Одним из самых серьезных была недо</w:t>
      </w:r>
      <w:r w:rsidRPr="00951B40">
        <w:rPr>
          <w:rStyle w:val="aff"/>
          <w:rFonts w:ascii="Times New Roman" w:hAnsi="Times New Roman" w:cs="Times New Roman"/>
          <w:color w:val="0070C0"/>
          <w:spacing w:val="0"/>
          <w:sz w:val="16"/>
          <w:szCs w:val="16"/>
        </w:rPr>
        <w:softHyphen/>
        <w:t>статочная мореходность, что обусловлива</w:t>
      </w:r>
      <w:r w:rsidRPr="00951B40">
        <w:rPr>
          <w:rStyle w:val="aff"/>
          <w:rFonts w:ascii="Times New Roman" w:hAnsi="Times New Roman" w:cs="Times New Roman"/>
          <w:color w:val="0070C0"/>
          <w:spacing w:val="0"/>
          <w:sz w:val="16"/>
          <w:szCs w:val="16"/>
        </w:rPr>
        <w:softHyphen/>
        <w:t>лось реданным корпусом. Строительство первых Г-5 еще только разворачивалось, как УВМС попыталось сформировать техзадание на новый катер, который должен был прийти на смену «пятерке» в ближай</w:t>
      </w:r>
      <w:r w:rsidRPr="00951B40">
        <w:rPr>
          <w:rStyle w:val="aff"/>
          <w:rFonts w:ascii="Times New Roman" w:hAnsi="Times New Roman" w:cs="Times New Roman"/>
          <w:color w:val="0070C0"/>
          <w:spacing w:val="0"/>
          <w:sz w:val="16"/>
          <w:szCs w:val="16"/>
        </w:rPr>
        <w:softHyphen/>
        <w:t>шие годы (25781).</w:t>
      </w:r>
    </w:p>
    <w:p w14:paraId="14E03E56" w14:textId="77777777" w:rsidR="00B323BF" w:rsidRPr="00951B40" w:rsidRDefault="00B323BF" w:rsidP="00B323BF">
      <w:pPr>
        <w:spacing w:after="0" w:line="240" w:lineRule="auto"/>
        <w:jc w:val="both"/>
        <w:rPr>
          <w:rFonts w:ascii="Times New Roman" w:hAnsi="Times New Roman"/>
          <w:color w:val="0070C0"/>
          <w:sz w:val="16"/>
          <w:szCs w:val="16"/>
        </w:rPr>
      </w:pPr>
    </w:p>
    <w:p w14:paraId="71306E0E" w14:textId="77777777" w:rsidR="00961727" w:rsidRPr="00E93F40" w:rsidRDefault="00961727"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69FB0C4A" w14:textId="77777777" w:rsidR="00961727" w:rsidRPr="00E93F40" w:rsidRDefault="00961727"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5F1360CD" w14:textId="77777777" w:rsidR="00961727" w:rsidRPr="00E93F40" w:rsidRDefault="009617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 начале 1933 г. все крупные предприятия Москвы для снабжения своих рабочих обзавелись собственными подсобными сельскими хозяйствами. Результаты, впрочем, оказались неудовлетворительными из-за недостатка обученной рабочей силы, транспортных средств и складских помещений{987}.Другим способом обеспечить рабочих продовольствием служили соглашения с колхозами и районами о поставке на заводы определенного количества зерна, овощей и забитого скота{988},или так называемые самозаготовки: заводы посылали своих людей в колхозы, поручая им обеспечить прямую поставку урожая на предприятие, минуя систему нормального распределения{989}.Ни тот, ни другой способ не действовали бесперебойно{990} (18299).</w:t>
      </w:r>
    </w:p>
    <w:p w14:paraId="05758439" w14:textId="77777777" w:rsidR="00961727" w:rsidRPr="00E93F40" w:rsidRDefault="00961727" w:rsidP="00E93F40">
      <w:pPr>
        <w:spacing w:after="0" w:line="240" w:lineRule="auto"/>
        <w:jc w:val="both"/>
        <w:rPr>
          <w:rFonts w:ascii="Times New Roman" w:hAnsi="Times New Roman"/>
          <w:color w:val="000000" w:themeColor="text1"/>
          <w:sz w:val="16"/>
          <w:szCs w:val="16"/>
        </w:rPr>
      </w:pPr>
    </w:p>
    <w:p w14:paraId="62D349C4" w14:textId="0F905E20" w:rsidR="009F3555" w:rsidRPr="00E93F40" w:rsidRDefault="009F3555" w:rsidP="00E93F40">
      <w:pPr>
        <w:autoSpaceDE w:val="0"/>
        <w:autoSpaceDN w:val="0"/>
        <w:adjustRightInd w:val="0"/>
        <w:spacing w:after="0" w:line="240" w:lineRule="auto"/>
        <w:jc w:val="both"/>
        <w:rPr>
          <w:rFonts w:ascii="Times New Roman" w:hAnsi="Times New Roman"/>
          <w:i/>
          <w:iCs/>
          <w:color w:val="000000" w:themeColor="text1"/>
          <w:sz w:val="16"/>
          <w:szCs w:val="16"/>
        </w:rPr>
      </w:pPr>
      <w:r w:rsidRPr="00E93F40">
        <w:rPr>
          <w:rFonts w:ascii="Times New Roman" w:hAnsi="Times New Roman"/>
          <w:i/>
          <w:iCs/>
          <w:color w:val="000000" w:themeColor="text1"/>
          <w:sz w:val="16"/>
          <w:szCs w:val="16"/>
        </w:rPr>
        <w:t>За пубежом:</w:t>
      </w:r>
    </w:p>
    <w:p w14:paraId="4BA70685" w14:textId="77777777" w:rsidR="009F3555" w:rsidRPr="00E93F40" w:rsidRDefault="009F3555" w:rsidP="00E93F40">
      <w:pPr>
        <w:autoSpaceDE w:val="0"/>
        <w:autoSpaceDN w:val="0"/>
        <w:adjustRightInd w:val="0"/>
        <w:spacing w:after="0" w:line="240" w:lineRule="auto"/>
        <w:jc w:val="both"/>
        <w:rPr>
          <w:rFonts w:ascii="Times New Roman" w:hAnsi="Times New Roman"/>
          <w:i/>
          <w:iCs/>
          <w:color w:val="000000" w:themeColor="text1"/>
          <w:sz w:val="16"/>
          <w:szCs w:val="16"/>
        </w:rPr>
      </w:pPr>
    </w:p>
    <w:p w14:paraId="61B1ECF0" w14:textId="77777777" w:rsidR="009F3555" w:rsidRPr="00E93F40" w:rsidRDefault="009F35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1932 года «Хейнкель» получил контракт на производ</w:t>
      </w:r>
      <w:r w:rsidRPr="00E93F40">
        <w:rPr>
          <w:rFonts w:ascii="Times New Roman" w:hAnsi="Times New Roman"/>
          <w:color w:val="000000" w:themeColor="text1"/>
          <w:sz w:val="16"/>
          <w:szCs w:val="16"/>
        </w:rPr>
        <w:softHyphen/>
        <w:t>ство самолетов Не 45а, а с лета 1933 г. на</w:t>
      </w:r>
      <w:r w:rsidRPr="00E93F40">
        <w:rPr>
          <w:rFonts w:ascii="Times New Roman" w:hAnsi="Times New Roman"/>
          <w:color w:val="000000" w:themeColor="text1"/>
          <w:sz w:val="16"/>
          <w:szCs w:val="16"/>
        </w:rPr>
        <w:softHyphen/>
        <w:t>чался серийный выпуск Не 45а. Они пос</w:t>
      </w:r>
      <w:r w:rsidRPr="00E93F40">
        <w:rPr>
          <w:rFonts w:ascii="Times New Roman" w:hAnsi="Times New Roman"/>
          <w:color w:val="000000" w:themeColor="text1"/>
          <w:sz w:val="16"/>
          <w:szCs w:val="16"/>
        </w:rPr>
        <w:softHyphen/>
        <w:t>тупали в Т.н. «немецкие школы воздушно</w:t>
      </w:r>
      <w:r w:rsidRPr="00E93F40">
        <w:rPr>
          <w:rFonts w:ascii="Times New Roman" w:hAnsi="Times New Roman"/>
          <w:color w:val="000000" w:themeColor="text1"/>
          <w:sz w:val="16"/>
          <w:szCs w:val="16"/>
        </w:rPr>
        <w:softHyphen/>
        <w:t>го сообщения», готовившие кадры для будущих люфтваффе. Первой получила Не 45а школа в Шлейзхейме, ставшая глав</w:t>
      </w:r>
      <w:r w:rsidRPr="00E93F40">
        <w:rPr>
          <w:rFonts w:ascii="Times New Roman" w:hAnsi="Times New Roman"/>
          <w:color w:val="000000" w:themeColor="text1"/>
          <w:sz w:val="16"/>
          <w:szCs w:val="16"/>
        </w:rPr>
        <w:softHyphen/>
        <w:t>ным центром подготовки воздушных раз</w:t>
      </w:r>
      <w:r w:rsidRPr="00E93F40">
        <w:rPr>
          <w:rFonts w:ascii="Times New Roman" w:hAnsi="Times New Roman"/>
          <w:color w:val="000000" w:themeColor="text1"/>
          <w:sz w:val="16"/>
          <w:szCs w:val="16"/>
        </w:rPr>
        <w:softHyphen/>
        <w:t>ведчиков. Все Не 45а поставлялись без вооружения, с нормальной задней каби</w:t>
      </w:r>
      <w:r w:rsidRPr="00E93F40">
        <w:rPr>
          <w:rFonts w:ascii="Times New Roman" w:hAnsi="Times New Roman"/>
          <w:color w:val="000000" w:themeColor="text1"/>
          <w:sz w:val="16"/>
          <w:szCs w:val="16"/>
        </w:rPr>
        <w:softHyphen/>
        <w:t>ной, как и полагалось самолету с гражда</w:t>
      </w:r>
      <w:r w:rsidRPr="00E93F40">
        <w:rPr>
          <w:rFonts w:ascii="Times New Roman" w:hAnsi="Times New Roman"/>
          <w:color w:val="000000" w:themeColor="text1"/>
          <w:sz w:val="16"/>
          <w:szCs w:val="16"/>
        </w:rPr>
        <w:softHyphen/>
        <w:t>нской регистрацией на борту. Но при этом под обшивкой была скрыта кольце</w:t>
      </w:r>
      <w:r w:rsidRPr="00E93F40">
        <w:rPr>
          <w:rFonts w:ascii="Times New Roman" w:hAnsi="Times New Roman"/>
          <w:color w:val="000000" w:themeColor="text1"/>
          <w:sz w:val="16"/>
          <w:szCs w:val="16"/>
        </w:rPr>
        <w:softHyphen/>
        <w:t>вая турель - для превращения самолета в боевой было достаточно снять несколько листов дюраля, установив на турель пуле</w:t>
      </w:r>
      <w:r w:rsidRPr="00E93F40">
        <w:rPr>
          <w:rFonts w:ascii="Times New Roman" w:hAnsi="Times New Roman"/>
          <w:color w:val="000000" w:themeColor="text1"/>
          <w:sz w:val="16"/>
          <w:szCs w:val="16"/>
        </w:rPr>
        <w:softHyphen/>
        <w:t>мет. Также были предусмотрены места для установки радиостанции FuG VI с пи</w:t>
      </w:r>
      <w:r w:rsidRPr="00E93F40">
        <w:rPr>
          <w:rFonts w:ascii="Times New Roman" w:hAnsi="Times New Roman"/>
          <w:color w:val="000000" w:themeColor="text1"/>
          <w:sz w:val="16"/>
          <w:szCs w:val="16"/>
        </w:rPr>
        <w:softHyphen/>
        <w:t>танием от ветряка-генератора под фюзе</w:t>
      </w:r>
      <w:r w:rsidRPr="00E93F40">
        <w:rPr>
          <w:rFonts w:ascii="Times New Roman" w:hAnsi="Times New Roman"/>
          <w:color w:val="000000" w:themeColor="text1"/>
          <w:sz w:val="16"/>
          <w:szCs w:val="16"/>
        </w:rPr>
        <w:softHyphen/>
        <w:t>ляжем и аэрофотоаппарата (за кабиной наблюдателя) (24188).</w:t>
      </w:r>
    </w:p>
    <w:p w14:paraId="01DB9E1D" w14:textId="77777777" w:rsidR="009F3555" w:rsidRPr="00E93F40" w:rsidRDefault="009F3555" w:rsidP="00E93F40">
      <w:pPr>
        <w:spacing w:after="0" w:line="240" w:lineRule="auto"/>
        <w:jc w:val="both"/>
        <w:rPr>
          <w:rFonts w:ascii="Times New Roman" w:hAnsi="Times New Roman"/>
          <w:color w:val="000000" w:themeColor="text1"/>
          <w:sz w:val="16"/>
          <w:szCs w:val="16"/>
        </w:rPr>
      </w:pPr>
    </w:p>
    <w:p w14:paraId="21791414" w14:textId="5EC1CB74" w:rsidR="00FC0AA6" w:rsidRPr="00E93F40" w:rsidRDefault="00FC0A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3D04159D" w14:textId="77777777" w:rsidR="00FC0AA6" w:rsidRPr="00E93F40" w:rsidRDefault="00FC0AA6"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02E41805" w14:textId="77777777" w:rsidR="00FC0AA6" w:rsidRPr="00E93F40" w:rsidRDefault="00FC0A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зи</w:t>
      </w:r>
      <w:r w:rsidRPr="00E93F40">
        <w:rPr>
          <w:rFonts w:ascii="Times New Roman" w:hAnsi="Times New Roman"/>
          <w:color w:val="000000" w:themeColor="text1"/>
          <w:sz w:val="16"/>
          <w:szCs w:val="16"/>
        </w:rPr>
        <w:softHyphen/>
        <w:t>мы 1932-33 гг. один ТБ-3 оборудовали под оче</w:t>
      </w:r>
      <w:r w:rsidRPr="00E93F40">
        <w:rPr>
          <w:rFonts w:ascii="Times New Roman" w:hAnsi="Times New Roman"/>
          <w:color w:val="000000" w:themeColor="text1"/>
          <w:sz w:val="16"/>
          <w:szCs w:val="16"/>
        </w:rPr>
        <w:softHyphen/>
        <w:t>редную разработку Вахмистрова. Поначалу на его крыле смонтировали пирамиды для крепления двух истребителей И-5. Конструкция в основном повторяла систему, отрабо</w:t>
      </w:r>
      <w:r w:rsidRPr="00E93F40">
        <w:rPr>
          <w:rFonts w:ascii="Times New Roman" w:hAnsi="Times New Roman"/>
          <w:color w:val="000000" w:themeColor="text1"/>
          <w:sz w:val="16"/>
          <w:szCs w:val="16"/>
        </w:rPr>
        <w:softHyphen/>
        <w:t>танную на ТБ-1, однако эстакады для подъема самолетов наверх заметно удлинились, да и сам процесс подъема ус</w:t>
      </w:r>
      <w:r w:rsidRPr="00E93F40">
        <w:rPr>
          <w:rFonts w:ascii="Times New Roman" w:hAnsi="Times New Roman"/>
          <w:color w:val="000000" w:themeColor="text1"/>
          <w:sz w:val="16"/>
          <w:szCs w:val="16"/>
        </w:rPr>
        <w:softHyphen/>
        <w:t>ложнился. Чуть позднее еще один И-5 установили сверху фюзеляжа ТБ-3 на специально оборудованных ложементах. Скорее всего, его поднимали подъемным краном, в любом случае процесс установки истребителя на фюзеляж бом</w:t>
      </w:r>
      <w:r w:rsidRPr="00E93F40">
        <w:rPr>
          <w:rFonts w:ascii="Times New Roman" w:hAnsi="Times New Roman"/>
          <w:color w:val="000000" w:themeColor="text1"/>
          <w:sz w:val="16"/>
          <w:szCs w:val="16"/>
        </w:rPr>
        <w:softHyphen/>
        <w:t>бардировщика оказался очень непростым делом (20345).</w:t>
      </w:r>
    </w:p>
    <w:p w14:paraId="037A297F" w14:textId="77777777" w:rsidR="00FC0AA6" w:rsidRPr="00E93F40" w:rsidRDefault="00FC0AA6" w:rsidP="00E93F40">
      <w:pPr>
        <w:spacing w:after="0" w:line="240" w:lineRule="auto"/>
        <w:jc w:val="both"/>
        <w:rPr>
          <w:rFonts w:ascii="Times New Roman" w:hAnsi="Times New Roman"/>
          <w:color w:val="000000" w:themeColor="text1"/>
          <w:sz w:val="16"/>
          <w:szCs w:val="16"/>
        </w:rPr>
      </w:pPr>
    </w:p>
    <w:p w14:paraId="145C56FB" w14:textId="77777777" w:rsidR="009F3555" w:rsidRPr="00E93F40" w:rsidRDefault="009F355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зимы 1932/33 г. один ТБ-3 оборудовали под очередную разработку Вах</w:t>
      </w:r>
      <w:r w:rsidRPr="00E93F40">
        <w:rPr>
          <w:rFonts w:ascii="Times New Roman" w:hAnsi="Times New Roman"/>
          <w:color w:val="000000" w:themeColor="text1"/>
          <w:sz w:val="16"/>
          <w:szCs w:val="16"/>
        </w:rPr>
        <w:softHyphen/>
        <w:t>мистрова. Поначалу на его крыле смонтировали пи</w:t>
      </w:r>
      <w:r w:rsidRPr="00E93F40">
        <w:rPr>
          <w:rFonts w:ascii="Times New Roman" w:hAnsi="Times New Roman"/>
          <w:color w:val="000000" w:themeColor="text1"/>
          <w:sz w:val="16"/>
          <w:szCs w:val="16"/>
        </w:rPr>
        <w:softHyphen/>
        <w:t>рамиды для крепления двух истребителей И-5. Кон</w:t>
      </w:r>
      <w:r w:rsidRPr="00E93F40">
        <w:rPr>
          <w:rFonts w:ascii="Times New Roman" w:hAnsi="Times New Roman"/>
          <w:color w:val="000000" w:themeColor="text1"/>
          <w:sz w:val="16"/>
          <w:szCs w:val="16"/>
        </w:rPr>
        <w:softHyphen/>
        <w:t>струкция в основном повторяла систему, отработан</w:t>
      </w:r>
      <w:r w:rsidRPr="00E93F40">
        <w:rPr>
          <w:rFonts w:ascii="Times New Roman" w:hAnsi="Times New Roman"/>
          <w:color w:val="000000" w:themeColor="text1"/>
          <w:sz w:val="16"/>
          <w:szCs w:val="16"/>
        </w:rPr>
        <w:softHyphen/>
        <w:t>ную на ТБ-1, однако эстакады для подъема самолетов наверх заметно удлинились, да и сам про</w:t>
      </w:r>
      <w:r w:rsidRPr="00E93F40">
        <w:rPr>
          <w:rFonts w:ascii="Times New Roman" w:hAnsi="Times New Roman"/>
          <w:color w:val="000000" w:themeColor="text1"/>
          <w:sz w:val="16"/>
          <w:szCs w:val="16"/>
        </w:rPr>
        <w:softHyphen/>
        <w:t>цесс подъема усложнился. Чуть позднее еще один И- 5 установили сверху фюзеляжа ТБ-3 на специально оборудованных ложементах. Скорее всего, его под</w:t>
      </w:r>
      <w:r w:rsidRPr="00E93F40">
        <w:rPr>
          <w:rFonts w:ascii="Times New Roman" w:hAnsi="Times New Roman"/>
          <w:color w:val="000000" w:themeColor="text1"/>
          <w:sz w:val="16"/>
          <w:szCs w:val="16"/>
        </w:rPr>
        <w:softHyphen/>
        <w:t>нимали подъемным краном, в любом случае процесс установки истребителя на фюзеляж бомбардировщи</w:t>
      </w:r>
      <w:r w:rsidRPr="00E93F40">
        <w:rPr>
          <w:rFonts w:ascii="Times New Roman" w:hAnsi="Times New Roman"/>
          <w:color w:val="000000" w:themeColor="text1"/>
          <w:sz w:val="16"/>
          <w:szCs w:val="16"/>
        </w:rPr>
        <w:softHyphen/>
        <w:t>ка оказался не очень простым делом.</w:t>
      </w:r>
    </w:p>
    <w:p w14:paraId="3581879E" w14:textId="77777777" w:rsidR="009F3555" w:rsidRPr="00E93F40" w:rsidRDefault="009F3555" w:rsidP="00E93F40">
      <w:pPr>
        <w:spacing w:after="0" w:line="240" w:lineRule="auto"/>
        <w:jc w:val="both"/>
        <w:rPr>
          <w:rFonts w:ascii="Times New Roman" w:hAnsi="Times New Roman"/>
          <w:color w:val="000000" w:themeColor="text1"/>
          <w:sz w:val="16"/>
          <w:szCs w:val="16"/>
        </w:rPr>
      </w:pPr>
    </w:p>
    <w:p w14:paraId="71E19F77"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Зимой 1932/33 г. самолет АИР-6 установили на лыжи. Использовали деревянные лыжи от биплана У-2, амортизаторы и оттяжки подогнали под новые размеры (24945).</w:t>
      </w:r>
    </w:p>
    <w:p w14:paraId="77AF900A" w14:textId="77777777" w:rsidR="00DB2196" w:rsidRPr="00142305" w:rsidRDefault="00DB2196" w:rsidP="00DB2196">
      <w:pPr>
        <w:spacing w:after="0" w:line="240" w:lineRule="auto"/>
        <w:jc w:val="both"/>
        <w:rPr>
          <w:rFonts w:ascii="Times New Roman" w:hAnsi="Times New Roman"/>
          <w:color w:val="0070C0"/>
          <w:sz w:val="16"/>
          <w:szCs w:val="16"/>
        </w:rPr>
      </w:pPr>
    </w:p>
    <w:p w14:paraId="2535BA8F"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Зимой 1932 г. один П-5 в НИИ ГВФ оборудовали калориферным отоп</w:t>
      </w:r>
      <w:r w:rsidRPr="00142305">
        <w:rPr>
          <w:rFonts w:ascii="Times New Roman" w:hAnsi="Times New Roman"/>
          <w:color w:val="0070C0"/>
          <w:sz w:val="16"/>
          <w:szCs w:val="16"/>
        </w:rPr>
        <w:softHyphen/>
        <w:t>лением. Тепло отбирали у выхлопных газов. Конечно, отапливать атмосферу — неблагодарное занятие. Тем не менее пилоту и пассажирам было немного теплее, когда хотя бы ноги обдувались воздухом, нагретым выхлопными газами. Справедливости ради надо сказать, что в те годы отопления не было и на АНТ-9 — флагмане «Аэрофлота».</w:t>
      </w:r>
    </w:p>
    <w:p w14:paraId="1942BB38"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Большего комфорта удавалось добиться при значитель</w:t>
      </w:r>
      <w:r w:rsidRPr="00142305">
        <w:rPr>
          <w:rFonts w:ascii="Times New Roman" w:hAnsi="Times New Roman"/>
          <w:color w:val="0070C0"/>
          <w:sz w:val="16"/>
          <w:szCs w:val="16"/>
        </w:rPr>
        <w:softHyphen/>
        <w:t>ных переделках Р-5. Например, существовало несколько вариантов «лимузинов» с закрытыми кабинами. Кабины у всех них располагались не так, как в проекте 1928 г., пе</w:t>
      </w:r>
      <w:r w:rsidRPr="00142305">
        <w:rPr>
          <w:rFonts w:ascii="Times New Roman" w:hAnsi="Times New Roman"/>
          <w:color w:val="0070C0"/>
          <w:sz w:val="16"/>
          <w:szCs w:val="16"/>
        </w:rPr>
        <w:softHyphen/>
        <w:t>ред пилотом, а за его местом. Такие машины назывались ЛП-5 или ПЛ-5, их делали и для военной, и для гражданс</w:t>
      </w:r>
      <w:r w:rsidRPr="00142305">
        <w:rPr>
          <w:rFonts w:ascii="Times New Roman" w:hAnsi="Times New Roman"/>
          <w:color w:val="0070C0"/>
          <w:sz w:val="16"/>
          <w:szCs w:val="16"/>
        </w:rPr>
        <w:softHyphen/>
        <w:t>кой авиации (24990).</w:t>
      </w:r>
    </w:p>
    <w:p w14:paraId="301520D2" w14:textId="77777777" w:rsidR="00DB2196" w:rsidRPr="00142305" w:rsidRDefault="00DB2196" w:rsidP="00DB2196">
      <w:pPr>
        <w:spacing w:after="0" w:line="240" w:lineRule="auto"/>
        <w:jc w:val="both"/>
        <w:rPr>
          <w:rFonts w:ascii="Times New Roman" w:hAnsi="Times New Roman"/>
          <w:color w:val="0070C0"/>
          <w:sz w:val="16"/>
          <w:szCs w:val="16"/>
        </w:rPr>
      </w:pPr>
    </w:p>
    <w:p w14:paraId="085E39D4"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21DD398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EF5D7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Зимой 1932/33 года начался массовый голод, основной жертвой которого стало крестьянство, но страдало и население городов. В Казани образовались большие очереди за хлебом, и он был не всегда. Гороховые и чечевичные каши и супы казались верхом роскоши. Казанец, работавший в 1930-е в одном из вузов, вспоминал, что несмотря на это его семья не голодала: основное место в домашнем питании занял картофель. Даже в праздники главным блюдом был "вареный картофель с капустой провансаль". Завтракали обычно вареной картошкой со сливочным или растительным маслом или варили кашу, обед был обычно из двух блюд, а по праздникам - даже с киселем или компотом, иногда со спиртным. На улицах Казани появились голодающие, прибывавшие из самых бедственных районов, многие из них умирали прямо на станциях, на улицах города.</w:t>
      </w:r>
    </w:p>
    <w:p w14:paraId="785DE3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Государство не справлялось со снабжением. Оно призвало предприятия и организации искать источники самообеспечения: вести самозаготовки в глубинке, заключать договоры с колхозами, заводить собственные свинарники, молочные фермы, фабрики-кухни, столовые, огороды. Свой огородик старалась завести и каждая городская семья.</w:t>
      </w:r>
    </w:p>
    <w:p w14:paraId="44E1FF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Всячески развивались и пропагандировались формы общественного питания. В стране существовала целая иерархия столовых: на одном и том же предприятии и в учреждении разные столовые обслуживали рабочих, служащих, инженеров; свои столовые (и спецмагазины) полагались ударникам. Существовали закрытые столовые для местных советских и партийных работников, военных, учителей, врачей, милиции, ученых. Так, в Казани на Университетской улице существовала закрытая столовая Комиссии содействия ученым при ТатЦИКе. Обед из двух блюд в рабочей столовой, например, текстильной фабрики имени Ленина стоил в 1929 году 36 копеек (что считалось очень дорого), а в столовой Рабочего дворца - 25 копеек. Но цены в общепите росли. В мае 1933 года средняя цена обеда для рабочих составляла уже 84 копейки, инженерно-технических работников - 2 рубля 08 копеек, студентов - 87 копеек, школьников - 57 копеек. Крестьяне и лишенцы могли питаться только в дорогих коммерческих столовых, средняя стоимость обеда в которых была 5 рублей 84 копейки.</w:t>
      </w:r>
    </w:p>
    <w:p w14:paraId="2D1B97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Поощрялись и пропагандировались домовые столовые. В Казани еще в мае 1927 года домашние хозяйки одного из домов по улице Захарьевской (ныне К. Насыри) по инициативе трех семей - Галкиных, Бахтиаровых и Биркенгофов - организовали коллективную кухню. В 1929-м она уже обслуживала 14 семей, готовил специально нанятый повар из овощей, заготовленных впрок осенью, и из продуктов, получавшихся семьями по карточкам. Обед в такой коллективной домовой столовой обходился в 35 копеек. Общепит, пищевые комбинаты рекламировались еще и потому, что упрощение домашнего хозяйства должно было вовлечь вчерашних домохозяек в общественное производство.</w:t>
      </w:r>
    </w:p>
    <w:p w14:paraId="167E8E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1930-х годов в стране сформировалась система спецснабжения. Ею охватывались в первую очередь работники партийно-советского аппарата, но также персональные пенсионеры, краснознаменцы и бывшие политкаторжане, красноармейцы, научная элита и некоторые другие категории специалистов.</w:t>
      </w:r>
    </w:p>
    <w:p w14:paraId="102C1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магазинах в начале 1930-х практически ничего не было: ненормированные продукты - сыр, колбаса, творог, конфеты, сметана - появлялись крайне редко, а когда появлялись, также продавались по нормам. Овощные магазины отсутствовали. В обиходе появилась "авоська" - вязаная сумка с дырочками, с которой советский человек шел в магазин в надежде "авось что-то выбросят". И слово "магазин" почти исчезло из употребления: его заменили слова "закрытый распределитель" (ЗР), "закрытый рабочий кооператив" (ЗРК), "отдел рабочего снабжения" (ОРС). Устарело и слово "продавец" - его заменил "резчик", так как главной обязанностью продавца стало нарезать пайки. В Казани появилось большое количество ведомственных магазинов и спецраспределителей - железнодорожные магазины в районе вокзала, на углу сегодняшней улицы Чернышевского и Кирова - магазин швейников, на улице Лобачевского - милицейский магазин, на Бутлерова - "Горняк" для геологов, на улице Островского (там сегодня ГИБДД) - комсоставский магазин НКВД, на улице Миславского - закрытый профессорский распределитель (11566).</w:t>
      </w:r>
    </w:p>
    <w:p w14:paraId="0746DB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620D7C" w14:textId="77777777" w:rsidR="00961727" w:rsidRPr="00E93F40" w:rsidRDefault="009617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Зимой 1932-1933 г. в Москве открылись коммерческие магазины, где каждый мог купить мясо, яйца, овощи и одежду, однако по ценам, вдесятеро превышавшим уровень кооперативных лавок. От введения коммерческой торговли в наибольшем выигрыше оказались средние слои: технические специалисты и служащие, не </w:t>
      </w:r>
      <w:r w:rsidRPr="00E93F40">
        <w:rPr>
          <w:rFonts w:ascii="Times New Roman" w:hAnsi="Times New Roman"/>
          <w:color w:val="000000" w:themeColor="text1"/>
          <w:sz w:val="16"/>
          <w:szCs w:val="16"/>
        </w:rPr>
        <w:lastRenderedPageBreak/>
        <w:t>имевшие доступна к закрытым распределителям и неплохо зарабатывавшие, только здесь могли приобрести труднодоступные продукты питания и одежду. Несмотря на фантастические цены, даже коммерческиемагазины в 1932-1933 гг. снабжались в недостаточном объеме{978} (18299).</w:t>
      </w:r>
    </w:p>
    <w:p w14:paraId="00AC36A7" w14:textId="77777777" w:rsidR="00961727" w:rsidRPr="00E93F40" w:rsidRDefault="00961727" w:rsidP="00E93F40">
      <w:pPr>
        <w:spacing w:after="0" w:line="240" w:lineRule="auto"/>
        <w:jc w:val="both"/>
        <w:rPr>
          <w:rFonts w:ascii="Times New Roman" w:hAnsi="Times New Roman"/>
          <w:color w:val="000000" w:themeColor="text1"/>
          <w:sz w:val="16"/>
          <w:szCs w:val="16"/>
        </w:rPr>
      </w:pPr>
    </w:p>
    <w:p w14:paraId="69B947A8" w14:textId="77777777" w:rsidR="00961727" w:rsidRPr="00E93F40" w:rsidRDefault="009617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Зимой 1932/1933 г. снабжение продовольствием грозило рухнуть и в городах, население которых до этого питалось за счет голодающих селян, наряду с ограничением притока населения в города (закон о паспортах) было заново отрегулировано снабжение рабочих на предприятиях. 4 декабря 1932 г. Совнарком СССР и ЦК ВКП(б) издали постановление, согласно которому на 262 перечисленных крупных предприятиях закрытые рабочие кооперативы (ЗРК) передавались в руки заводской администрации и реорганизовывались в отделы рабочего снабжения (ОРС). На прочих предприятиях промышленности и транспорта ЗРК продолжали существовать в форме кооперативов, но были подчинены заводскому руководству{985}.</w:t>
      </w:r>
    </w:p>
    <w:p w14:paraId="03FEF192" w14:textId="77777777" w:rsidR="00961727" w:rsidRPr="00E93F40" w:rsidRDefault="0096172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 на крупные предприятия была возложена ответственность за снабжение своих рабочих. Система ордеров была сохранена, их выдавали рабочим вместе с заработной платой. При увольнении с предприятия рабочий был обязан вернуть все неиспользованные ордера. Отделы рабочего снабжения (ОРС) должны были сами покрывать потребность в продовольствии, которое отчасти производилось на собственных земельных участках, частью же закупалось в установленных правительством областях{986} (18299).</w:t>
      </w:r>
    </w:p>
    <w:p w14:paraId="66861E71" w14:textId="77777777" w:rsidR="00961727" w:rsidRPr="00E93F40" w:rsidRDefault="00961727" w:rsidP="00E93F40">
      <w:pPr>
        <w:spacing w:after="0" w:line="240" w:lineRule="auto"/>
        <w:jc w:val="both"/>
        <w:rPr>
          <w:rFonts w:ascii="Times New Roman" w:hAnsi="Times New Roman"/>
          <w:color w:val="000000" w:themeColor="text1"/>
          <w:sz w:val="16"/>
          <w:szCs w:val="16"/>
        </w:rPr>
      </w:pPr>
    </w:p>
    <w:p w14:paraId="69803953" w14:textId="77777777" w:rsidR="00DB2196" w:rsidRPr="00E93F40" w:rsidRDefault="00DB2196" w:rsidP="00DB2196">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7724122C" w14:textId="77777777" w:rsidR="00DB2196" w:rsidRPr="00E93F40" w:rsidRDefault="00DB2196" w:rsidP="00DB2196">
      <w:pPr>
        <w:autoSpaceDE w:val="0"/>
        <w:autoSpaceDN w:val="0"/>
        <w:adjustRightInd w:val="0"/>
        <w:spacing w:after="0" w:line="240" w:lineRule="auto"/>
        <w:jc w:val="both"/>
        <w:rPr>
          <w:rFonts w:ascii="Times New Roman" w:hAnsi="Times New Roman"/>
          <w:iCs/>
          <w:color w:val="000000" w:themeColor="text1"/>
          <w:sz w:val="16"/>
          <w:szCs w:val="16"/>
        </w:rPr>
      </w:pPr>
    </w:p>
    <w:p w14:paraId="0A65E2ED"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второй половине 1932 г. эталоном на 1933 г. являлся самолет ТБ-3 № 22311. Его испытывал в НИИ ВВС эки</w:t>
      </w:r>
      <w:r w:rsidRPr="00142305">
        <w:rPr>
          <w:rFonts w:ascii="Times New Roman" w:hAnsi="Times New Roman"/>
          <w:color w:val="0070C0"/>
          <w:sz w:val="16"/>
          <w:szCs w:val="16"/>
        </w:rPr>
        <w:softHyphen/>
        <w:t>паж Байдукова. На нем ввели «люльку» (или «бороду») - выступ под носовой частью, позволивший удобнее разместить штурмана при бомбометании; в «люльку» для него перенесли бомбовый прицел. Отзываясь на жалобы о плохом обзоре из штурманской кабины, в ней ввели допол</w:t>
      </w:r>
      <w:r w:rsidRPr="00142305">
        <w:rPr>
          <w:rFonts w:ascii="Times New Roman" w:hAnsi="Times New Roman"/>
          <w:color w:val="0070C0"/>
          <w:sz w:val="16"/>
          <w:szCs w:val="16"/>
        </w:rPr>
        <w:softHyphen/>
        <w:t>нительные боковые окна. После резкого скачка веса на первых бомбардировщиках, вызванного примитивной технологией и заменой импортных легированных сталей отечественными более низкого качест</w:t>
      </w:r>
      <w:r w:rsidRPr="00142305">
        <w:rPr>
          <w:rFonts w:ascii="Times New Roman" w:hAnsi="Times New Roman"/>
          <w:color w:val="0070C0"/>
          <w:sz w:val="16"/>
          <w:szCs w:val="16"/>
        </w:rPr>
        <w:softHyphen/>
        <w:t>ва, ТБ-3 облегчили за счет снятия части внутренних переборок, лестниц и прочих второстепенных элементов. Ликвидировали радиорубку. Проход из Ф-2 в Ф-3 сделали понизу. Переделали люки в противопо</w:t>
      </w:r>
      <w:r w:rsidRPr="00142305">
        <w:rPr>
          <w:rFonts w:ascii="Times New Roman" w:hAnsi="Times New Roman"/>
          <w:color w:val="0070C0"/>
          <w:sz w:val="16"/>
          <w:szCs w:val="16"/>
        </w:rPr>
        <w:softHyphen/>
        <w:t>жарной перегородке. Сняли посадочные фары. Ввели храповики для автостартера на втулках винтов. И, наконец, на самолете поставили унитаз!</w:t>
      </w:r>
    </w:p>
    <w:p w14:paraId="01BF6549"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Эталон одобрили и его отличия посте</w:t>
      </w:r>
      <w:r w:rsidRPr="00142305">
        <w:rPr>
          <w:rFonts w:ascii="Times New Roman" w:hAnsi="Times New Roman"/>
          <w:color w:val="0070C0"/>
          <w:sz w:val="16"/>
          <w:szCs w:val="16"/>
        </w:rPr>
        <w:softHyphen/>
        <w:t>пенно внедрили в серию. «Люлька» (ее в документах еще называли «полумордоч</w:t>
      </w:r>
      <w:r w:rsidRPr="00142305">
        <w:rPr>
          <w:rFonts w:ascii="Times New Roman" w:hAnsi="Times New Roman"/>
          <w:color w:val="0070C0"/>
          <w:sz w:val="16"/>
          <w:szCs w:val="16"/>
        </w:rPr>
        <w:softHyphen/>
        <w:t>ка») на самом деле делалась на серийных машинах еще с № 22252 (со второго квар</w:t>
      </w:r>
      <w:r w:rsidRPr="00142305">
        <w:rPr>
          <w:rFonts w:ascii="Times New Roman" w:hAnsi="Times New Roman"/>
          <w:color w:val="0070C0"/>
          <w:sz w:val="16"/>
          <w:szCs w:val="16"/>
        </w:rPr>
        <w:softHyphen/>
        <w:t>тала 1933 г.). Проход через бомбоотсек понизу к этому времени тоже уже внедрили на серийных машинах.</w:t>
      </w:r>
    </w:p>
    <w:p w14:paraId="269D4410"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Еще при утверждении «эталона 1932 г.» на сериях 1933 г. предлагалось внедрить новые отечественные двигатели М-34. Намечавшиеся УВВС мероприятия по применению новых моторов М-34 или оснащению М-17 понижающим обороты редуктором (что обеспечивало большую эффективность винтомоторной группы для такого тихоходного самолета), замены резиновых амортизаторов гидравлически</w:t>
      </w:r>
      <w:r w:rsidRPr="00142305">
        <w:rPr>
          <w:rFonts w:ascii="Times New Roman" w:hAnsi="Times New Roman"/>
          <w:color w:val="0070C0"/>
          <w:sz w:val="16"/>
          <w:szCs w:val="16"/>
        </w:rPr>
        <w:softHyphen/>
        <w:t>ми, возможности снятия бензобаков без разборки крыла остались пока нереали</w:t>
      </w:r>
      <w:r w:rsidRPr="00142305">
        <w:rPr>
          <w:rFonts w:ascii="Times New Roman" w:hAnsi="Times New Roman"/>
          <w:color w:val="0070C0"/>
          <w:sz w:val="16"/>
          <w:szCs w:val="16"/>
        </w:rPr>
        <w:softHyphen/>
        <w:t>зованными. Предлагалось, в частности, закупить за границей 20 комплектов колес с механическими и пневматическими тор</w:t>
      </w:r>
      <w:r w:rsidRPr="00142305">
        <w:rPr>
          <w:rFonts w:ascii="Times New Roman" w:hAnsi="Times New Roman"/>
          <w:color w:val="0070C0"/>
          <w:sz w:val="16"/>
          <w:szCs w:val="16"/>
        </w:rPr>
        <w:softHyphen/>
        <w:t>мозами, а образцы гидроамортизаторов заказать у итальянских фирм (24937).</w:t>
      </w:r>
    </w:p>
    <w:p w14:paraId="7A48E989" w14:textId="77777777" w:rsidR="00DB2196" w:rsidRPr="00142305" w:rsidRDefault="00DB2196" w:rsidP="00DB2196">
      <w:pPr>
        <w:spacing w:after="0" w:line="240" w:lineRule="auto"/>
        <w:jc w:val="both"/>
        <w:rPr>
          <w:rFonts w:ascii="Times New Roman" w:hAnsi="Times New Roman"/>
          <w:color w:val="0070C0"/>
          <w:sz w:val="16"/>
          <w:szCs w:val="16"/>
        </w:rPr>
      </w:pPr>
    </w:p>
    <w:p w14:paraId="5A3427CD"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 второй полови</w:t>
      </w:r>
      <w:r w:rsidRPr="00142305">
        <w:rPr>
          <w:rFonts w:ascii="Times New Roman" w:hAnsi="Times New Roman"/>
          <w:color w:val="0070C0"/>
          <w:sz w:val="16"/>
          <w:szCs w:val="16"/>
        </w:rPr>
        <w:softHyphen/>
        <w:t>ны 1932 г. УВВС требовало ввести на АНТ-6 новые поворачивающи</w:t>
      </w:r>
      <w:r w:rsidRPr="00142305">
        <w:rPr>
          <w:rFonts w:ascii="Times New Roman" w:hAnsi="Times New Roman"/>
          <w:color w:val="0070C0"/>
          <w:sz w:val="16"/>
          <w:szCs w:val="16"/>
        </w:rPr>
        <w:softHyphen/>
        <w:t>еся подкрыльные башни, но они так и не появились. Все ТБ-3 ранних серий оснащались «штанами» — примитивны</w:t>
      </w:r>
      <w:r w:rsidRPr="00142305">
        <w:rPr>
          <w:rFonts w:ascii="Times New Roman" w:hAnsi="Times New Roman"/>
          <w:color w:val="0070C0"/>
          <w:sz w:val="16"/>
          <w:szCs w:val="16"/>
        </w:rPr>
        <w:softHyphen/>
        <w:t>ми выпускными подкрыльными башнями Б-2. Свое про</w:t>
      </w:r>
      <w:r w:rsidRPr="00142305">
        <w:rPr>
          <w:rFonts w:ascii="Times New Roman" w:hAnsi="Times New Roman"/>
          <w:color w:val="0070C0"/>
          <w:sz w:val="16"/>
          <w:szCs w:val="16"/>
        </w:rPr>
        <w:softHyphen/>
        <w:t>звище они получили из-за того, что для ног стрелка были сделаны выступы, действительно напоминавшие металли</w:t>
      </w:r>
      <w:r w:rsidRPr="00142305">
        <w:rPr>
          <w:rFonts w:ascii="Times New Roman" w:hAnsi="Times New Roman"/>
          <w:color w:val="0070C0"/>
          <w:sz w:val="16"/>
          <w:szCs w:val="16"/>
        </w:rPr>
        <w:softHyphen/>
        <w:t>ческие штаны.</w:t>
      </w:r>
    </w:p>
    <w:p w14:paraId="1DE7C734"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Чтобы попасть в башню, стрелок должен был прополз</w:t>
      </w:r>
      <w:r w:rsidRPr="00142305">
        <w:rPr>
          <w:rFonts w:ascii="Times New Roman" w:hAnsi="Times New Roman"/>
          <w:color w:val="0070C0"/>
          <w:sz w:val="16"/>
          <w:szCs w:val="16"/>
        </w:rPr>
        <w:softHyphen/>
        <w:t>ти по проходу внутри крыла, волоча за собой парашют. За</w:t>
      </w:r>
      <w:r w:rsidRPr="00142305">
        <w:rPr>
          <w:rFonts w:ascii="Times New Roman" w:hAnsi="Times New Roman"/>
          <w:color w:val="0070C0"/>
          <w:sz w:val="16"/>
          <w:szCs w:val="16"/>
        </w:rPr>
        <w:softHyphen/>
        <w:t>тем вместе с парашютом ему предстояло усесться на си</w:t>
      </w:r>
      <w:r w:rsidRPr="00142305">
        <w:rPr>
          <w:rFonts w:ascii="Times New Roman" w:hAnsi="Times New Roman"/>
          <w:color w:val="0070C0"/>
          <w:sz w:val="16"/>
          <w:szCs w:val="16"/>
        </w:rPr>
        <w:softHyphen/>
        <w:t>денье башни и выдвинуться вниз. Сидеть было неудобно, холодно и изрядно поддувало. Пулемет ДА стоял на шквор</w:t>
      </w:r>
      <w:r w:rsidRPr="00142305">
        <w:rPr>
          <w:rFonts w:ascii="Times New Roman" w:hAnsi="Times New Roman"/>
          <w:color w:val="0070C0"/>
          <w:sz w:val="16"/>
          <w:szCs w:val="16"/>
        </w:rPr>
        <w:softHyphen/>
        <w:t>не и не имел ограничителей: при стрельбе можно было уго</w:t>
      </w:r>
      <w:r w:rsidRPr="00142305">
        <w:rPr>
          <w:rFonts w:ascii="Times New Roman" w:hAnsi="Times New Roman"/>
          <w:color w:val="0070C0"/>
          <w:sz w:val="16"/>
          <w:szCs w:val="16"/>
        </w:rPr>
        <w:softHyphen/>
        <w:t>дить по своему самолету или, еще хуже, по бомбам на на</w:t>
      </w:r>
      <w:r w:rsidRPr="00142305">
        <w:rPr>
          <w:rFonts w:ascii="Times New Roman" w:hAnsi="Times New Roman"/>
          <w:color w:val="0070C0"/>
          <w:sz w:val="16"/>
          <w:szCs w:val="16"/>
        </w:rPr>
        <w:softHyphen/>
        <w:t>ружных держателях. Эти башни признали временными до создания новых вращающихся. Но нет ничего более посто</w:t>
      </w:r>
      <w:r w:rsidRPr="00142305">
        <w:rPr>
          <w:rFonts w:ascii="Times New Roman" w:hAnsi="Times New Roman"/>
          <w:color w:val="0070C0"/>
          <w:sz w:val="16"/>
          <w:szCs w:val="16"/>
        </w:rPr>
        <w:softHyphen/>
        <w:t>янного, чем временное. «Штаны» сохранились на серийных ТБ-З надолго (24977).</w:t>
      </w:r>
    </w:p>
    <w:p w14:paraId="5FD1E6A9" w14:textId="77777777" w:rsidR="00DB2196" w:rsidRPr="00142305" w:rsidRDefault="00DB2196" w:rsidP="00DB2196">
      <w:pPr>
        <w:spacing w:after="0" w:line="240" w:lineRule="auto"/>
        <w:jc w:val="both"/>
        <w:rPr>
          <w:rFonts w:ascii="Times New Roman" w:hAnsi="Times New Roman"/>
          <w:color w:val="0070C0"/>
          <w:sz w:val="16"/>
          <w:szCs w:val="16"/>
        </w:rPr>
      </w:pPr>
    </w:p>
    <w:p w14:paraId="6E09F91C"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второй половине 1932 г. под руководством Николая Рогожина ремонтных мастерских в Иркутске, гже взялись за собственное производство Юнкерс W33, выпустили первую машину, получившую обозначение Л42. Она незначительно отличалась от оригинала – только по количеству и форме окон кабины. Мотор стоял тот же – L5, импортированный из Германии. Затем там собрали ещё два советских «юнкерса», получивших обозначения Л735 и Л752. Кабины экипажей сделали закрытыми.</w:t>
      </w:r>
    </w:p>
    <w:p w14:paraId="0FA68CC7"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выпуск в Иркутске не мог возместить списание W33 за счёт аварий, поскольку за 1931 г. лишились трёх самолётов, за первую половину 1932 г. - ещё двух, причём одна из машин была совсем новой – выпуска 1932 г. Это означает, что в это время в Германии приобрели, как минимум, ещё один W33.</w:t>
      </w:r>
    </w:p>
    <w:p w14:paraId="03736D76"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Шавров пишет о семи «юнкерсах», сделанных в Иркутске, и десяти – в Москве (в 1934 г. партию подобных самолётов изготовил завод № 89). Но, видимо, он включал в общий счёт и восстановленные машины. К этому времени W33 германской постройки по новой системе обозначений стали именовать ПС-3, а советской – ПС-4. Все они служили в Сибири и на Дальнем Востоке.</w:t>
      </w:r>
    </w:p>
    <w:p w14:paraId="7E3B000F"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Иркутские Л735 и Л752 в 1932 -1933 гг. летали на линии вдоль Лены -летом на поплавках, зимой – на лыжах. Московский Л1402, носивший имя «Советская Якутия» (по другим данным - «10 лет ЯАССР»), перегнал в Иркутск лётчик Михайлик. 5 июня 1934 г. эта машина с лётчиком Гараниным прибыла в Якутск. 7 июля на нём устроили воздушное катание «ударников» – лучших рабочих. В августе того же года в Якутске оказались также новый Л1415 и старый Л42. (25178).</w:t>
      </w:r>
    </w:p>
    <w:p w14:paraId="387E487E" w14:textId="77777777" w:rsidR="00DB2196" w:rsidRPr="00142305" w:rsidRDefault="00DB2196" w:rsidP="00DB2196">
      <w:pPr>
        <w:spacing w:after="0" w:line="240" w:lineRule="auto"/>
        <w:jc w:val="both"/>
        <w:rPr>
          <w:rFonts w:ascii="Times New Roman" w:hAnsi="Times New Roman"/>
          <w:color w:val="0070C0"/>
          <w:sz w:val="16"/>
          <w:szCs w:val="16"/>
        </w:rPr>
      </w:pPr>
    </w:p>
    <w:p w14:paraId="424ABBE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48185BF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98E2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 второй половины 1932 г. практически все поступавшие машины И-5 отправлялись в Забайкалье на усиление авиации ОКДВА. К концу года в Спасске и Чите было уже 49 И-5, и они практически вытеснили там голландские истребители Фоккер D.XI. Зимой температура в Забайкалье падала до - 50°. При этом смазочное масло густело, приборы переставали работать, а амортизаторы от холода каменели и переставали пружинить. Машины дежурного звена приходилось держать в небольших деревянных ангарах-тепляках. Остальные долго прогревали перед вылетом бензиновыми лампами и специальными печами. На твёрдом промороженном грунте (пока не лёг снег) костыль плохо гасил удар при посадке, особенно если учесть ухудшение работы замерзшего амортизатора. Костыль вообще был больным местом для И-5 ранних серий. Мастерские на местах часто его усиливали (11997).</w:t>
      </w:r>
    </w:p>
    <w:p w14:paraId="0E0F49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7D350A"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D68C7C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0CDBE80"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московских авиазаводах №22 и №39 удалось построить 160 ТБ-3 с двигателями М-17. По</w:t>
      </w:r>
      <w:r w:rsidRPr="00E93F40">
        <w:rPr>
          <w:rFonts w:ascii="Times New Roman" w:hAnsi="Times New Roman"/>
          <w:color w:val="000000" w:themeColor="text1"/>
          <w:sz w:val="16"/>
          <w:szCs w:val="16"/>
        </w:rPr>
        <w:softHyphen/>
        <w:t>давляющее количество — 155 экземпляров — изгото</w:t>
      </w:r>
      <w:r w:rsidRPr="00E93F40">
        <w:rPr>
          <w:rFonts w:ascii="Times New Roman" w:hAnsi="Times New Roman"/>
          <w:color w:val="000000" w:themeColor="text1"/>
          <w:sz w:val="16"/>
          <w:szCs w:val="16"/>
        </w:rPr>
        <w:softHyphen/>
        <w:t>вили на головном предприятии — авиазаводе №22 в Филях, еще 5 экземпляров к общему количеству до</w:t>
      </w:r>
      <w:r w:rsidRPr="00E93F40">
        <w:rPr>
          <w:rFonts w:ascii="Times New Roman" w:hAnsi="Times New Roman"/>
          <w:color w:val="000000" w:themeColor="text1"/>
          <w:sz w:val="16"/>
          <w:szCs w:val="16"/>
        </w:rPr>
        <w:softHyphen/>
        <w:t>бавил авиазавод №39. Понятно, что эти первые се</w:t>
      </w:r>
      <w:r w:rsidRPr="00E93F40">
        <w:rPr>
          <w:rFonts w:ascii="Times New Roman" w:hAnsi="Times New Roman"/>
          <w:color w:val="000000" w:themeColor="text1"/>
          <w:sz w:val="16"/>
          <w:szCs w:val="16"/>
        </w:rPr>
        <w:softHyphen/>
        <w:t>рийные машины имели множественные недостатки и недоработки, которые касались прежде всего сило</w:t>
      </w:r>
      <w:r w:rsidRPr="00E93F40">
        <w:rPr>
          <w:rFonts w:ascii="Times New Roman" w:hAnsi="Times New Roman"/>
          <w:color w:val="000000" w:themeColor="text1"/>
          <w:sz w:val="16"/>
          <w:szCs w:val="16"/>
        </w:rPr>
        <w:softHyphen/>
        <w:t>вых установок, радиаторов охлаждения и системы бензопитания. Однако такова была практика совет</w:t>
      </w:r>
      <w:r w:rsidRPr="00E93F40">
        <w:rPr>
          <w:rFonts w:ascii="Times New Roman" w:hAnsi="Times New Roman"/>
          <w:color w:val="000000" w:themeColor="text1"/>
          <w:sz w:val="16"/>
          <w:szCs w:val="16"/>
        </w:rPr>
        <w:softHyphen/>
        <w:t>ского авиастроительства считалось, что в короткий срок все эти недостатки будут устранены уже в стро</w:t>
      </w:r>
      <w:r w:rsidRPr="00E93F40">
        <w:rPr>
          <w:rFonts w:ascii="Times New Roman" w:hAnsi="Times New Roman"/>
          <w:color w:val="000000" w:themeColor="text1"/>
          <w:sz w:val="16"/>
          <w:szCs w:val="16"/>
        </w:rPr>
        <w:softHyphen/>
        <w:t>евых частях. Действительно, уже в начале 1932 года первые ТБ-3 начали поступать в ВВС Красной Ар</w:t>
      </w:r>
      <w:r w:rsidRPr="00E93F40">
        <w:rPr>
          <w:rFonts w:ascii="Times New Roman" w:hAnsi="Times New Roman"/>
          <w:color w:val="000000" w:themeColor="text1"/>
          <w:sz w:val="16"/>
          <w:szCs w:val="16"/>
        </w:rPr>
        <w:softHyphen/>
        <w:t>мии. В тот же год один такой ТБ-3 4М-17 направили для использования в экспериментах Вахмистрова с соединенными самолетами. Однако, прежде чем про</w:t>
      </w:r>
      <w:r w:rsidRPr="00E93F40">
        <w:rPr>
          <w:rFonts w:ascii="Times New Roman" w:hAnsi="Times New Roman"/>
          <w:color w:val="000000" w:themeColor="text1"/>
          <w:sz w:val="16"/>
          <w:szCs w:val="16"/>
        </w:rPr>
        <w:softHyphen/>
        <w:t>должить описание этих опытов, расскажем об одном малоизвестном эпизоде, связанном с ТБ-3. Эпизод этот как раз был связан с применением бомбарди</w:t>
      </w:r>
      <w:r w:rsidRPr="00E93F40">
        <w:rPr>
          <w:rFonts w:ascii="Times New Roman" w:hAnsi="Times New Roman"/>
          <w:color w:val="000000" w:themeColor="text1"/>
          <w:sz w:val="16"/>
          <w:szCs w:val="16"/>
        </w:rPr>
        <w:softHyphen/>
        <w:t>ровщиков ТБ-3 для защиты морского побережья Со</w:t>
      </w:r>
      <w:r w:rsidRPr="00E93F40">
        <w:rPr>
          <w:rFonts w:ascii="Times New Roman" w:hAnsi="Times New Roman"/>
          <w:color w:val="000000" w:themeColor="text1"/>
          <w:sz w:val="16"/>
          <w:szCs w:val="16"/>
        </w:rPr>
        <w:softHyphen/>
        <w:t>ветского Союза на Дальнем Востоке (23378).</w:t>
      </w:r>
    </w:p>
    <w:p w14:paraId="6012129C" w14:textId="77777777" w:rsidR="008A6FD2" w:rsidRPr="00E93F40" w:rsidRDefault="008A6FD2" w:rsidP="00E93F40">
      <w:pPr>
        <w:spacing w:after="0" w:line="240" w:lineRule="auto"/>
        <w:jc w:val="both"/>
        <w:rPr>
          <w:rFonts w:ascii="Times New Roman" w:hAnsi="Times New Roman"/>
          <w:color w:val="000000" w:themeColor="text1"/>
          <w:sz w:val="16"/>
          <w:szCs w:val="16"/>
        </w:rPr>
      </w:pPr>
    </w:p>
    <w:p w14:paraId="07C5F7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было выдано задание на разработку штур</w:t>
      </w:r>
      <w:r w:rsidRPr="00E93F40">
        <w:rPr>
          <w:rFonts w:ascii="Times New Roman" w:hAnsi="Times New Roman"/>
          <w:color w:val="000000" w:themeColor="text1"/>
          <w:sz w:val="16"/>
          <w:szCs w:val="16"/>
        </w:rPr>
        <w:softHyphen/>
        <w:t>мового варианта Р-5 (Р-5Ш), в котором для атак войск противника в нижнем крыле разместили два пулемета ПВ-1. За 1933 г. завод № 1 построил 19 Р-5Ш, еще 246 - в 1934 г. В 1935 г. выпустили некоторое количество ССС в варианте легкого штурмовика (Р-5ЛШ или Р-5Ш), в котором в нижнем крыле вместо ПВ-1 устанавлива</w:t>
      </w:r>
      <w:r w:rsidRPr="00E93F40">
        <w:rPr>
          <w:rFonts w:ascii="Times New Roman" w:hAnsi="Times New Roman"/>
          <w:color w:val="000000" w:themeColor="text1"/>
          <w:sz w:val="16"/>
          <w:szCs w:val="16"/>
        </w:rPr>
        <w:softHyphen/>
        <w:t>лись пулеметы ШКАС. Существовал вариант с кассетами на два пулемета, устанавливаемыми под нижним кры</w:t>
      </w:r>
      <w:r w:rsidRPr="00E93F40">
        <w:rPr>
          <w:rFonts w:ascii="Times New Roman" w:hAnsi="Times New Roman"/>
          <w:color w:val="000000" w:themeColor="text1"/>
          <w:sz w:val="16"/>
          <w:szCs w:val="16"/>
        </w:rPr>
        <w:softHyphen/>
        <w:t>лом (10667).</w:t>
      </w:r>
    </w:p>
    <w:p w14:paraId="50B06A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FB52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вооружение штурмовой авиации Красной армии поступил легкий небронированный штурмовик Р-5Ш, являвшийся одной из модификацией известного разведчика конструкции Н. Н. Поликарпова. Самолет Р-5 М-17б (взлетная мощность 680л. с., номинальная - 500 л. с.) к этому времени уже прекрасно зарекомендовал себя в строевых частях.</w:t>
      </w:r>
    </w:p>
    <w:p w14:paraId="369E14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Переделки заключались в установке сверху нижнего крыла четырех пулеметов ПВ-1 (по два на каждой плоскости, закрытых обтекателем), одного синхронного пулемета ПВ-1 в носовой части фюзеляжа, спарки пулеметов ДА-2 на турели ТУР-5 и бомбодержателей Дер-5 под фюзеляжем на 240-500 кг.</w:t>
      </w:r>
    </w:p>
    <w:p w14:paraId="698DF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Других существенных отличий от серийного разведчика штурмовик Р-5Ш не имел.</w:t>
      </w:r>
    </w:p>
    <w:p w14:paraId="05738B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стандартном варианте Р-5Ш развивал максимальную скорость горизонтального полета у земли 202 км/ч и на высоте 3000 м - 192 км/ч. Высоту 3000 м штурмовик набирал за 30 мин. (9649).</w:t>
      </w:r>
    </w:p>
    <w:p w14:paraId="3CBBDA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C61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 Р-5 строился в трех вариантах, отличавшихся по комплектации: легкий бомбардировщик, разведчик и учебный самолет. Разведчик имел полный комплект бомбового вооружения Бомбр-2, аналогичный Р-1 (шесть балок Дер-7 и две Дер-6), радиостанцию и фотоустановку. На бомбардировщике фото- и радиооборудование </w:t>
      </w:r>
      <w:r w:rsidRPr="00E93F40">
        <w:rPr>
          <w:rFonts w:ascii="Times New Roman" w:hAnsi="Times New Roman"/>
          <w:color w:val="000000" w:themeColor="text1"/>
          <w:sz w:val="16"/>
          <w:szCs w:val="16"/>
        </w:rPr>
        <w:lastRenderedPageBreak/>
        <w:t>отсутствовало, а подфюзеляжные Дер-6 могли заменяться Дер- 13. Учебные машины часто отправлялись без вооружения или с неполным вооружением; радиостанции и фотоаппараты ставили крайне редко. Взлетный вес у них был меньше, чем у разведчиков, почти на 200 кг.</w:t>
      </w:r>
    </w:p>
    <w:p w14:paraId="034ED5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Радиостанции ставили разных типов - что удавалось получить. На большинстве машин монтировали 13СК и ИСК, но встречались также 14С1 и 13С.</w:t>
      </w:r>
    </w:p>
    <w:p w14:paraId="025CDA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к вооружению Р-5 добавились выливные химические и дымовые приборы. Выливные приборы ВАП-4 предназначались для "поражения живой силы противника и заражения местности с налаженным валовым производством". Их разработали в 1930 г. для самолета Р-1. Прибор емкостью 82 л заправляли раствором иприта или люизита (или их смеси) в керосине или дихлорэтане. Раствор вытеснялся из емкости скоростным напором. На Р-5 поставили усовершенствованный образец ВАП-4 с продувным люком и возможностью сброса в полете. И выливанием, и сбросом управляли при помощи штатного бомбосбрасывателя Сбр-8. Самолет нес два, а позже четыре ВАП-4 под нижним крылом, на ближних к фюзеляжу балках Дер-7 (12034).</w:t>
      </w:r>
    </w:p>
    <w:p w14:paraId="3F2AFE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7D61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выпуск Р-5 быстро увеличивался. С марта он даже превышал плановые цифры, частично покрывая недовыполнение в предыдущие годы. Это делалось, как правило, за счет сверхурочных работ. Так, в мае сверх плана сделали шесть самолетов. Их торжественно сдали военным. Но уже в октябре завод № I, очевидно, достигнув предельной для себя производительности, опять не мог угнаться за быстро увеличивающимся планом. К концу года недостача достигла примерно 300 машин. При этом за год построили в общей сложности 884 Р-5 (12034).</w:t>
      </w:r>
    </w:p>
    <w:p w14:paraId="380B66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060195"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Р-5 строился в трех вариантах, отличавшихся по комплектации: легкий бомбардировщик, разведчик и учебный самолет. Разведчик имел полный комплект бом</w:t>
      </w:r>
      <w:r w:rsidRPr="00142305">
        <w:rPr>
          <w:rFonts w:ascii="Times New Roman" w:hAnsi="Times New Roman"/>
          <w:color w:val="0070C0"/>
          <w:sz w:val="16"/>
          <w:szCs w:val="16"/>
        </w:rPr>
        <w:softHyphen/>
        <w:t>бового вооружения Бомбр-2, аналогичный Р-1 (шесть ба</w:t>
      </w:r>
      <w:r w:rsidRPr="00142305">
        <w:rPr>
          <w:rFonts w:ascii="Times New Roman" w:hAnsi="Times New Roman"/>
          <w:color w:val="0070C0"/>
          <w:sz w:val="16"/>
          <w:szCs w:val="16"/>
        </w:rPr>
        <w:softHyphen/>
        <w:t>лок Дер-7 и две Дер-6), радиостанцию и фотоустановку. На бомбардировщике фото- и радиооборудование отсутс</w:t>
      </w:r>
      <w:r w:rsidRPr="00142305">
        <w:rPr>
          <w:rFonts w:ascii="Times New Roman" w:hAnsi="Times New Roman"/>
          <w:color w:val="0070C0"/>
          <w:sz w:val="16"/>
          <w:szCs w:val="16"/>
        </w:rPr>
        <w:softHyphen/>
        <w:t>твовало, а подфюзеляжные Дер-6 могли заменяться Дер- 13. Учебные машины часто отправлялись без вооружения или с неполным вооружением; радиостанции и фотоаппа</w:t>
      </w:r>
      <w:r w:rsidRPr="00142305">
        <w:rPr>
          <w:rFonts w:ascii="Times New Roman" w:hAnsi="Times New Roman"/>
          <w:color w:val="0070C0"/>
          <w:sz w:val="16"/>
          <w:szCs w:val="16"/>
        </w:rPr>
        <w:softHyphen/>
        <w:t>раты ставили крайне редко. Взлетный вес у них был мень</w:t>
      </w:r>
      <w:r w:rsidRPr="00142305">
        <w:rPr>
          <w:rFonts w:ascii="Times New Roman" w:hAnsi="Times New Roman"/>
          <w:color w:val="0070C0"/>
          <w:sz w:val="16"/>
          <w:szCs w:val="16"/>
        </w:rPr>
        <w:softHyphen/>
        <w:t>ше, чем у разведчиков, почти на 200 кг.</w:t>
      </w:r>
    </w:p>
    <w:p w14:paraId="2577A857"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Радиостанции ставили разных типов — что удавалось получить. На большинстве машин монтировали 13СК и ИСК, но встречались также 14С1 и 13С.</w:t>
      </w:r>
    </w:p>
    <w:p w14:paraId="7A81EB24"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к вооружению Р-5 добавились выливные хими</w:t>
      </w:r>
      <w:r w:rsidRPr="00142305">
        <w:rPr>
          <w:rFonts w:ascii="Times New Roman" w:hAnsi="Times New Roman"/>
          <w:color w:val="0070C0"/>
          <w:sz w:val="16"/>
          <w:szCs w:val="16"/>
        </w:rPr>
        <w:softHyphen/>
        <w:t>ческие и дымовые приборы. Выливные приборы ВАП-4 предназначались для «поражения живой силы противника и заражения местности с налаженным валовым производс</w:t>
      </w:r>
      <w:r w:rsidRPr="00142305">
        <w:rPr>
          <w:rFonts w:ascii="Times New Roman" w:hAnsi="Times New Roman"/>
          <w:color w:val="0070C0"/>
          <w:sz w:val="16"/>
          <w:szCs w:val="16"/>
        </w:rPr>
        <w:softHyphen/>
        <w:t>твом». Их разработали в 1930 г. для самолета Р-1. Прибор емкостью 82 л заправляли раствором иприта или люизита (или их смеси) в керосине или дихлорэтане. Раствор вы</w:t>
      </w:r>
      <w:r w:rsidRPr="00142305">
        <w:rPr>
          <w:rFonts w:ascii="Times New Roman" w:hAnsi="Times New Roman"/>
          <w:color w:val="0070C0"/>
          <w:sz w:val="16"/>
          <w:szCs w:val="16"/>
        </w:rPr>
        <w:softHyphen/>
        <w:t>теснялся из емкости скоростным напором. На Р-5 поста</w:t>
      </w:r>
      <w:r w:rsidRPr="00142305">
        <w:rPr>
          <w:rFonts w:ascii="Times New Roman" w:hAnsi="Times New Roman"/>
          <w:color w:val="0070C0"/>
          <w:sz w:val="16"/>
          <w:szCs w:val="16"/>
        </w:rPr>
        <w:softHyphen/>
        <w:t>вили усовершенствованный образец ВАП-4 с продувным люком и возможностью сброса в полете. И выливанием, и сбросом управляли при помощи штатного бомбосбрасы</w:t>
      </w:r>
      <w:r w:rsidRPr="00142305">
        <w:rPr>
          <w:rFonts w:ascii="Times New Roman" w:hAnsi="Times New Roman"/>
          <w:color w:val="0070C0"/>
          <w:sz w:val="16"/>
          <w:szCs w:val="16"/>
        </w:rPr>
        <w:softHyphen/>
        <w:t>вателя Сбр-8. Самолет нес два, а позже четыре ВАП-4 под нижним крылом, на ближних к фюзеляжу балках Дер-7 (24990).</w:t>
      </w:r>
    </w:p>
    <w:p w14:paraId="6526C69A" w14:textId="77777777" w:rsidR="00B8796F" w:rsidRPr="00142305" w:rsidRDefault="00B8796F" w:rsidP="00B8796F">
      <w:pPr>
        <w:spacing w:after="0" w:line="240" w:lineRule="auto"/>
        <w:jc w:val="both"/>
        <w:rPr>
          <w:rFonts w:ascii="Times New Roman" w:hAnsi="Times New Roman"/>
          <w:color w:val="0070C0"/>
          <w:sz w:val="16"/>
          <w:szCs w:val="16"/>
        </w:rPr>
      </w:pPr>
    </w:p>
    <w:p w14:paraId="2858A8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НИИ ВВС сверху поступил документ, в котором указывалось: "Начальнику НИИ организовать... изыскания и опытные работы по увеличению надежного тактического радиуса Р-5, как разведчика и бомбардировщика, за счет возможного уменьшения удельного расхода горючего, облегчения веса конструкции в направлениях... вооружения и оборудования". В ответ появился так называемый "дальний" вариант 1932 г., имевший три добавочных бензобака. Два из них находились в неиспользуемых бом- боотсеках фюзеляжа, а третий - за основным фюзеляжным баком. Обший запас при этом составлял 925 кг горючего. Дополнительный маслобак на 30 кг разместили за основным. Полетный вес поднялся до 3846 кг (при одном заднем пулемете ДА).</w:t>
      </w:r>
    </w:p>
    <w:p w14:paraId="6C4D7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Такая машина прошла испытания в НИИ ВВС. На "дальнем" Р-5 (№ 4837) летали по маршрутам Монино - Воронеж - Москва (1070 км), Монино - Киев - Москва (1653 км, со сбросом 300 кг бомб на полигоне под Киевом). В отчете испытатели отметили: "Горизонтальный полет никаких особенностей не имеет". Увеличение веса сказалось в удлинении разбега до 420 м и ограничении маневренности. На машине запретили делать глубокие виражи (с креном более 30°), пикирование и выполнение "горки". Зато больший запас топлива позволил увеличить радиус действия Р-5 как разведчика до 920 км, а как бомбардировщика (с 320 кг бомб) - до 825 км.</w:t>
      </w:r>
    </w:p>
    <w:p w14:paraId="7359C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Дальность полета Р-5 неоднократно пытались увеличить. Для перелетов монтировали три дополнительных бензобака: за приборной доской (126 л), под педалями летчика (215 л) и под его сиденьем (110 л). Емкость баков в центроплане верхнего крыла увеличили до 310 л. Второй маслобак установили на месте снятого переднего пулемета.</w:t>
      </w:r>
    </w:p>
    <w:p w14:paraId="55FC6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Конструкция получилась не совсем удачной. Все три дополнительных бензобака долго заправлялись через одну горловину. В баках оставался слишком большой неиспользуемый остаток. Чтобы слить масло из дополнительного бака, требовалось поднять хвост самолета выше линии полета. Но второй маслобак признали вообще не нужным - его ни разу не использовали. Бензиновые баки немного доработали. На акте утверждения отчета об испытаниях Алкснис написал: "Начальнику материально-технического снабжения и вооружения незамедлительно разместить заказ на запасные баки к Р-5 и все необходимое для их установки в соответствии с указанием начальника штаба ВВС. Срок исполнения - 15 дней" (12034) (12034).</w:t>
      </w:r>
    </w:p>
    <w:p w14:paraId="4E749A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CF637C7"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в НИИ ВВС сверху поступил документ, в кото</w:t>
      </w:r>
      <w:r w:rsidRPr="00142305">
        <w:rPr>
          <w:rFonts w:ascii="Times New Roman" w:hAnsi="Times New Roman"/>
          <w:color w:val="0070C0"/>
          <w:sz w:val="16"/>
          <w:szCs w:val="16"/>
        </w:rPr>
        <w:softHyphen/>
        <w:t>ром указывалось: «Начальнику НИИ организовать... изыс</w:t>
      </w:r>
      <w:r w:rsidRPr="00142305">
        <w:rPr>
          <w:rFonts w:ascii="Times New Roman" w:hAnsi="Times New Roman"/>
          <w:color w:val="0070C0"/>
          <w:sz w:val="16"/>
          <w:szCs w:val="16"/>
        </w:rPr>
        <w:softHyphen/>
        <w:t>кания и опытные работы по увеличению надежного такти</w:t>
      </w:r>
      <w:r w:rsidRPr="00142305">
        <w:rPr>
          <w:rFonts w:ascii="Times New Roman" w:hAnsi="Times New Roman"/>
          <w:color w:val="0070C0"/>
          <w:sz w:val="16"/>
          <w:szCs w:val="16"/>
        </w:rPr>
        <w:softHyphen/>
        <w:t>ческого радиуса Р-5, как разведчика и бомбардировщика, за счет возможного уменьшения удельного расхода горю</w:t>
      </w:r>
      <w:r w:rsidRPr="00142305">
        <w:rPr>
          <w:rFonts w:ascii="Times New Roman" w:hAnsi="Times New Roman"/>
          <w:color w:val="0070C0"/>
          <w:sz w:val="16"/>
          <w:szCs w:val="16"/>
        </w:rPr>
        <w:softHyphen/>
        <w:t>чего, облегчения веса конструкции в направлениях... воо</w:t>
      </w:r>
      <w:r w:rsidRPr="00142305">
        <w:rPr>
          <w:rFonts w:ascii="Times New Roman" w:hAnsi="Times New Roman"/>
          <w:color w:val="0070C0"/>
          <w:sz w:val="16"/>
          <w:szCs w:val="16"/>
        </w:rPr>
        <w:softHyphen/>
        <w:t>ружения и оборудования». В ответ появился так называе</w:t>
      </w:r>
      <w:r w:rsidRPr="00142305">
        <w:rPr>
          <w:rFonts w:ascii="Times New Roman" w:hAnsi="Times New Roman"/>
          <w:color w:val="0070C0"/>
          <w:sz w:val="16"/>
          <w:szCs w:val="16"/>
        </w:rPr>
        <w:softHyphen/>
        <w:t>мый «дальний» вариант 1932 г., имевший три добавочных бензобака. Два из них находились в неиспользуемых бом</w:t>
      </w:r>
      <w:r w:rsidRPr="00142305">
        <w:rPr>
          <w:rFonts w:ascii="Times New Roman" w:hAnsi="Times New Roman"/>
          <w:color w:val="0070C0"/>
          <w:sz w:val="16"/>
          <w:szCs w:val="16"/>
        </w:rPr>
        <w:softHyphen/>
        <w:t>боотсеках фюзеляжа, а третий — за основным фюзеляж</w:t>
      </w:r>
      <w:r w:rsidRPr="00142305">
        <w:rPr>
          <w:rFonts w:ascii="Times New Roman" w:hAnsi="Times New Roman"/>
          <w:color w:val="0070C0"/>
          <w:sz w:val="16"/>
          <w:szCs w:val="16"/>
        </w:rPr>
        <w:softHyphen/>
        <w:t>ным баком. Обший запас при этом составлял 925 кг горю</w:t>
      </w:r>
      <w:r w:rsidRPr="00142305">
        <w:rPr>
          <w:rFonts w:ascii="Times New Roman" w:hAnsi="Times New Roman"/>
          <w:color w:val="0070C0"/>
          <w:sz w:val="16"/>
          <w:szCs w:val="16"/>
        </w:rPr>
        <w:softHyphen/>
        <w:t>чего. Дополнительный маслобак на 30 кг разместили за ос</w:t>
      </w:r>
      <w:r w:rsidRPr="00142305">
        <w:rPr>
          <w:rFonts w:ascii="Times New Roman" w:hAnsi="Times New Roman"/>
          <w:color w:val="0070C0"/>
          <w:sz w:val="16"/>
          <w:szCs w:val="16"/>
        </w:rPr>
        <w:softHyphen/>
        <w:t>новным. Полетный вес поднялся до 3846 кг (при одном за</w:t>
      </w:r>
      <w:r w:rsidRPr="00142305">
        <w:rPr>
          <w:rFonts w:ascii="Times New Roman" w:hAnsi="Times New Roman"/>
          <w:color w:val="0070C0"/>
          <w:sz w:val="16"/>
          <w:szCs w:val="16"/>
        </w:rPr>
        <w:softHyphen/>
        <w:t>днем пулемете ДА).</w:t>
      </w:r>
    </w:p>
    <w:p w14:paraId="3CC6C57A"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Такая машина прошла испытания в НИИ ВВС. На «даль</w:t>
      </w:r>
      <w:r w:rsidRPr="00142305">
        <w:rPr>
          <w:rFonts w:ascii="Times New Roman" w:hAnsi="Times New Roman"/>
          <w:color w:val="0070C0"/>
          <w:sz w:val="16"/>
          <w:szCs w:val="16"/>
        </w:rPr>
        <w:softHyphen/>
        <w:t>нем» Р-5 (№ 4837) летали по маршрутам Монино — Воро</w:t>
      </w:r>
      <w:r w:rsidRPr="00142305">
        <w:rPr>
          <w:rFonts w:ascii="Times New Roman" w:hAnsi="Times New Roman"/>
          <w:color w:val="0070C0"/>
          <w:sz w:val="16"/>
          <w:szCs w:val="16"/>
        </w:rPr>
        <w:softHyphen/>
        <w:t>неж — Москва (1070 км), Монино — Киев — Москва (1653 км, со сбросом 300 кг бомб на полигоне под Киевом). В от</w:t>
      </w:r>
      <w:r w:rsidRPr="00142305">
        <w:rPr>
          <w:rFonts w:ascii="Times New Roman" w:hAnsi="Times New Roman"/>
          <w:color w:val="0070C0"/>
          <w:sz w:val="16"/>
          <w:szCs w:val="16"/>
        </w:rPr>
        <w:softHyphen/>
        <w:t>чете испытатели отметили: «Горизонтальный полет ника</w:t>
      </w:r>
      <w:r w:rsidRPr="00142305">
        <w:rPr>
          <w:rFonts w:ascii="Times New Roman" w:hAnsi="Times New Roman"/>
          <w:color w:val="0070C0"/>
          <w:sz w:val="16"/>
          <w:szCs w:val="16"/>
        </w:rPr>
        <w:softHyphen/>
        <w:t>ких особенностей не имеет». Увеличение веса сказалось в удлинении разбега до 420 м и ограничении маневреннос</w:t>
      </w:r>
      <w:r w:rsidRPr="00142305">
        <w:rPr>
          <w:rFonts w:ascii="Times New Roman" w:hAnsi="Times New Roman"/>
          <w:color w:val="0070C0"/>
          <w:sz w:val="16"/>
          <w:szCs w:val="16"/>
        </w:rPr>
        <w:softHyphen/>
        <w:t>ти. На машине запретили делать глубокие виражи (с кре</w:t>
      </w:r>
      <w:r w:rsidRPr="00142305">
        <w:rPr>
          <w:rFonts w:ascii="Times New Roman" w:hAnsi="Times New Roman"/>
          <w:color w:val="0070C0"/>
          <w:sz w:val="16"/>
          <w:szCs w:val="16"/>
        </w:rPr>
        <w:softHyphen/>
        <w:t>ном более 30°), пикирование и выполнение «горки». Зато больший запас топлива позволил увеличить радиус дейс</w:t>
      </w:r>
      <w:r w:rsidRPr="00142305">
        <w:rPr>
          <w:rFonts w:ascii="Times New Roman" w:hAnsi="Times New Roman"/>
          <w:color w:val="0070C0"/>
          <w:sz w:val="16"/>
          <w:szCs w:val="16"/>
        </w:rPr>
        <w:softHyphen/>
        <w:t>твия Р-5 как разведчика до 920 км, а как бомбардировщика (с 320 кг бомб) — до 825 км.</w:t>
      </w:r>
    </w:p>
    <w:p w14:paraId="3092C0A6"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Конструкция получилась не совсем удачной. Все три дополнительных бензобака долго заправлялись через од</w:t>
      </w:r>
      <w:r w:rsidRPr="00142305">
        <w:rPr>
          <w:rFonts w:ascii="Times New Roman" w:hAnsi="Times New Roman"/>
          <w:color w:val="0070C0"/>
          <w:sz w:val="16"/>
          <w:szCs w:val="16"/>
        </w:rPr>
        <w:softHyphen/>
        <w:t>ну горловину. В баках оставался слишком большой неис</w:t>
      </w:r>
      <w:r w:rsidRPr="00142305">
        <w:rPr>
          <w:rFonts w:ascii="Times New Roman" w:hAnsi="Times New Roman"/>
          <w:color w:val="0070C0"/>
          <w:sz w:val="16"/>
          <w:szCs w:val="16"/>
        </w:rPr>
        <w:softHyphen/>
        <w:t>пользуемый остаток. Чтобы слить масло из дополнитель</w:t>
      </w:r>
      <w:r w:rsidRPr="00142305">
        <w:rPr>
          <w:rFonts w:ascii="Times New Roman" w:hAnsi="Times New Roman"/>
          <w:color w:val="0070C0"/>
          <w:sz w:val="16"/>
          <w:szCs w:val="16"/>
        </w:rPr>
        <w:softHyphen/>
        <w:t>ного бака, требовалось поднять хвост самолета выше ли</w:t>
      </w:r>
      <w:r w:rsidRPr="00142305">
        <w:rPr>
          <w:rFonts w:ascii="Times New Roman" w:hAnsi="Times New Roman"/>
          <w:color w:val="0070C0"/>
          <w:sz w:val="16"/>
          <w:szCs w:val="16"/>
        </w:rPr>
        <w:softHyphen/>
        <w:t>нии полета. Но второй маслобак признали вообще не нуж</w:t>
      </w:r>
      <w:r w:rsidRPr="00142305">
        <w:rPr>
          <w:rFonts w:ascii="Times New Roman" w:hAnsi="Times New Roman"/>
          <w:color w:val="0070C0"/>
          <w:sz w:val="16"/>
          <w:szCs w:val="16"/>
        </w:rPr>
        <w:softHyphen/>
        <w:t>ным — его ни разу не использовали. Бензиновые баки не</w:t>
      </w:r>
      <w:r w:rsidRPr="00142305">
        <w:rPr>
          <w:rFonts w:ascii="Times New Roman" w:hAnsi="Times New Roman"/>
          <w:color w:val="0070C0"/>
          <w:sz w:val="16"/>
          <w:szCs w:val="16"/>
        </w:rPr>
        <w:softHyphen/>
        <w:t>много доработали. На акте утверждения отчета об испы</w:t>
      </w:r>
      <w:r w:rsidRPr="00142305">
        <w:rPr>
          <w:rFonts w:ascii="Times New Roman" w:hAnsi="Times New Roman"/>
          <w:color w:val="0070C0"/>
          <w:sz w:val="16"/>
          <w:szCs w:val="16"/>
        </w:rPr>
        <w:softHyphen/>
        <w:t>таниях Алкснис написал: «Начальнику материально-тех</w:t>
      </w:r>
      <w:r w:rsidRPr="00142305">
        <w:rPr>
          <w:rFonts w:ascii="Times New Roman" w:hAnsi="Times New Roman"/>
          <w:color w:val="0070C0"/>
          <w:sz w:val="16"/>
          <w:szCs w:val="16"/>
        </w:rPr>
        <w:softHyphen/>
        <w:t>нического снабжения и вооружения незамедлительно раз</w:t>
      </w:r>
      <w:r w:rsidRPr="00142305">
        <w:rPr>
          <w:rFonts w:ascii="Times New Roman" w:hAnsi="Times New Roman"/>
          <w:color w:val="0070C0"/>
          <w:sz w:val="16"/>
          <w:szCs w:val="16"/>
        </w:rPr>
        <w:softHyphen/>
        <w:t>местить заказ на запасные баки к Р-5 и все необходимое для их установки в соответствии с указанием начальника штаба ВВС. Срок исполнения — 15 дней».</w:t>
      </w:r>
    </w:p>
    <w:p w14:paraId="08F5664B"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ноября 1932 г. штаб ВВС распорядился установить до</w:t>
      </w:r>
      <w:r w:rsidRPr="00142305">
        <w:rPr>
          <w:rFonts w:ascii="Times New Roman" w:hAnsi="Times New Roman"/>
          <w:color w:val="0070C0"/>
          <w:sz w:val="16"/>
          <w:szCs w:val="16"/>
        </w:rPr>
        <w:softHyphen/>
        <w:t>бавочные баки на 300 Р-5. 20 декабря необходимую доку</w:t>
      </w:r>
      <w:r w:rsidRPr="00142305">
        <w:rPr>
          <w:rFonts w:ascii="Times New Roman" w:hAnsi="Times New Roman"/>
          <w:color w:val="0070C0"/>
          <w:sz w:val="16"/>
          <w:szCs w:val="16"/>
        </w:rPr>
        <w:softHyphen/>
        <w:t>ментацию передали Самолетному тресту.</w:t>
      </w:r>
    </w:p>
    <w:p w14:paraId="4961F162"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Заказ на баки и арматуру получил завод № 18 в Вороне</w:t>
      </w:r>
      <w:r w:rsidRPr="00142305">
        <w:rPr>
          <w:rFonts w:ascii="Times New Roman" w:hAnsi="Times New Roman"/>
          <w:color w:val="0070C0"/>
          <w:sz w:val="16"/>
          <w:szCs w:val="16"/>
        </w:rPr>
        <w:softHyphen/>
        <w:t>же. Из-за большой загрузки промышленности заказ при</w:t>
      </w:r>
      <w:r w:rsidRPr="00142305">
        <w:rPr>
          <w:rFonts w:ascii="Times New Roman" w:hAnsi="Times New Roman"/>
          <w:color w:val="0070C0"/>
          <w:sz w:val="16"/>
          <w:szCs w:val="16"/>
        </w:rPr>
        <w:softHyphen/>
        <w:t>няли на 1933 г., но из-за нехватки листового металла вы</w:t>
      </w:r>
      <w:r w:rsidRPr="00142305">
        <w:rPr>
          <w:rFonts w:ascii="Times New Roman" w:hAnsi="Times New Roman"/>
          <w:color w:val="0070C0"/>
          <w:sz w:val="16"/>
          <w:szCs w:val="16"/>
        </w:rPr>
        <w:softHyphen/>
        <w:t>полнили лишь в начале следующего года. Самолеты с уве</w:t>
      </w:r>
      <w:r w:rsidRPr="00142305">
        <w:rPr>
          <w:rFonts w:ascii="Times New Roman" w:hAnsi="Times New Roman"/>
          <w:color w:val="0070C0"/>
          <w:sz w:val="16"/>
          <w:szCs w:val="16"/>
        </w:rPr>
        <w:softHyphen/>
        <w:t>личенным запасом топлива поступили в основном в дальнеразведывательные эскадрильи.</w:t>
      </w:r>
    </w:p>
    <w:p w14:paraId="4D7627E6"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Проводились работы по дальнейшему наращиванию за</w:t>
      </w:r>
      <w:r w:rsidRPr="00142305">
        <w:rPr>
          <w:rFonts w:ascii="Times New Roman" w:hAnsi="Times New Roman"/>
          <w:color w:val="0070C0"/>
          <w:sz w:val="16"/>
          <w:szCs w:val="16"/>
        </w:rPr>
        <w:softHyphen/>
        <w:t>паса горючего. По расчетам НАГИ, его можно было довес</w:t>
      </w:r>
      <w:r w:rsidRPr="00142305">
        <w:rPr>
          <w:rFonts w:ascii="Times New Roman" w:hAnsi="Times New Roman"/>
          <w:color w:val="0070C0"/>
          <w:sz w:val="16"/>
          <w:szCs w:val="16"/>
        </w:rPr>
        <w:softHyphen/>
        <w:t>ти максимально до 1300 кг. При этом полетный вес маши</w:t>
      </w:r>
      <w:r w:rsidRPr="00142305">
        <w:rPr>
          <w:rFonts w:ascii="Times New Roman" w:hAnsi="Times New Roman"/>
          <w:color w:val="0070C0"/>
          <w:sz w:val="16"/>
          <w:szCs w:val="16"/>
        </w:rPr>
        <w:softHyphen/>
        <w:t>ны получался около 4000 кг. При таком весе самолет дол</w:t>
      </w:r>
      <w:r w:rsidRPr="00142305">
        <w:rPr>
          <w:rFonts w:ascii="Times New Roman" w:hAnsi="Times New Roman"/>
          <w:color w:val="0070C0"/>
          <w:sz w:val="16"/>
          <w:szCs w:val="16"/>
        </w:rPr>
        <w:softHyphen/>
        <w:t>жен был разбегаться 600 м. Вот это и сочли главным огра</w:t>
      </w:r>
      <w:r w:rsidRPr="00142305">
        <w:rPr>
          <w:rFonts w:ascii="Times New Roman" w:hAnsi="Times New Roman"/>
          <w:color w:val="0070C0"/>
          <w:sz w:val="16"/>
          <w:szCs w:val="16"/>
        </w:rPr>
        <w:softHyphen/>
        <w:t>ничением — аэродромов больших размеров в стране име</w:t>
      </w:r>
      <w:r w:rsidRPr="00142305">
        <w:rPr>
          <w:rFonts w:ascii="Times New Roman" w:hAnsi="Times New Roman"/>
          <w:color w:val="0070C0"/>
          <w:sz w:val="16"/>
          <w:szCs w:val="16"/>
        </w:rPr>
        <w:softHyphen/>
        <w:t>лось немного.</w:t>
      </w:r>
    </w:p>
    <w:p w14:paraId="48E58097"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Исходя из этой цифры, на заводе № 39 выполнили про</w:t>
      </w:r>
      <w:r w:rsidRPr="00142305">
        <w:rPr>
          <w:rFonts w:ascii="Times New Roman" w:hAnsi="Times New Roman"/>
          <w:color w:val="0070C0"/>
          <w:sz w:val="16"/>
          <w:szCs w:val="16"/>
        </w:rPr>
        <w:softHyphen/>
        <w:t>ект модификации Р-5 с увеличенными баками в центроп</w:t>
      </w:r>
      <w:r w:rsidRPr="00142305">
        <w:rPr>
          <w:rFonts w:ascii="Times New Roman" w:hAnsi="Times New Roman"/>
          <w:color w:val="0070C0"/>
          <w:sz w:val="16"/>
          <w:szCs w:val="16"/>
        </w:rPr>
        <w:softHyphen/>
        <w:t>лане объемом 700 л. Вместе с дополнительными баками в фюзеляже они как раз обеспечивали запас в 1300 кг. Ес</w:t>
      </w:r>
      <w:r w:rsidRPr="00142305">
        <w:rPr>
          <w:rFonts w:ascii="Times New Roman" w:hAnsi="Times New Roman"/>
          <w:color w:val="0070C0"/>
          <w:sz w:val="16"/>
          <w:szCs w:val="16"/>
        </w:rPr>
        <w:softHyphen/>
        <w:t>ли на бомбардировщике подвесить 100 кг бомб, взять два пулемета ДА, от радиостанции оставить только приемник и урезать список электрооборудования, на этом бензине биплан мог пролететь 2900 км (24990).</w:t>
      </w:r>
    </w:p>
    <w:p w14:paraId="2782F91F" w14:textId="77777777" w:rsidR="00B8796F" w:rsidRPr="00142305" w:rsidRDefault="00B8796F" w:rsidP="00B8796F">
      <w:pPr>
        <w:spacing w:after="0" w:line="240" w:lineRule="auto"/>
        <w:jc w:val="both"/>
        <w:rPr>
          <w:rFonts w:ascii="Times New Roman" w:hAnsi="Times New Roman"/>
          <w:color w:val="0070C0"/>
          <w:sz w:val="16"/>
          <w:szCs w:val="16"/>
        </w:rPr>
      </w:pPr>
    </w:p>
    <w:p w14:paraId="230A9CD2"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велись работы по созданию подвижных пуле</w:t>
      </w:r>
      <w:r w:rsidRPr="00142305">
        <w:rPr>
          <w:rFonts w:ascii="Times New Roman" w:hAnsi="Times New Roman"/>
          <w:color w:val="0070C0"/>
          <w:sz w:val="16"/>
          <w:szCs w:val="16"/>
        </w:rPr>
        <w:softHyphen/>
        <w:t>метных установок для Р-5. Они должны были наводиться с «цен</w:t>
      </w:r>
      <w:r w:rsidRPr="00142305">
        <w:rPr>
          <w:rFonts w:ascii="Times New Roman" w:hAnsi="Times New Roman"/>
          <w:color w:val="0070C0"/>
          <w:sz w:val="16"/>
          <w:szCs w:val="16"/>
        </w:rPr>
        <w:softHyphen/>
        <w:t>трального поста управления» в задней кабине. Над проек</w:t>
      </w:r>
      <w:r w:rsidRPr="00142305">
        <w:rPr>
          <w:rFonts w:ascii="Times New Roman" w:hAnsi="Times New Roman"/>
          <w:color w:val="0070C0"/>
          <w:sz w:val="16"/>
          <w:szCs w:val="16"/>
        </w:rPr>
        <w:softHyphen/>
        <w:t>том «Гром» трудились специалисты НАГИ и ЛЭФИ. Но годом позже их прекратили, не добившись существенно</w:t>
      </w:r>
      <w:r w:rsidRPr="00142305">
        <w:rPr>
          <w:rFonts w:ascii="Times New Roman" w:hAnsi="Times New Roman"/>
          <w:color w:val="0070C0"/>
          <w:sz w:val="16"/>
          <w:szCs w:val="16"/>
        </w:rPr>
        <w:softHyphen/>
        <w:t>го прогресса (24990).</w:t>
      </w:r>
    </w:p>
    <w:p w14:paraId="692EED44" w14:textId="77777777" w:rsidR="00B8796F" w:rsidRPr="00142305" w:rsidRDefault="00B8796F" w:rsidP="00B8796F">
      <w:pPr>
        <w:spacing w:after="0" w:line="240" w:lineRule="auto"/>
        <w:jc w:val="both"/>
        <w:rPr>
          <w:rFonts w:ascii="Times New Roman" w:hAnsi="Times New Roman"/>
          <w:color w:val="0070C0"/>
          <w:sz w:val="16"/>
          <w:szCs w:val="16"/>
        </w:rPr>
      </w:pPr>
    </w:p>
    <w:p w14:paraId="6A4B5D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появился специальный вариант дальнего разведчика Р-5 с тремя добавочными бензобаками. Два находились под полом кабины пилота, а третий - за основным фюзеляжным баком. Общий запас составлял 925 кг горючего. Дополнительный маслобак на 30 кг разместили за основным. Взлетная масса выросла до 3846 кг (при одном заднем пулемете ДА).</w:t>
      </w:r>
    </w:p>
    <w:p w14:paraId="683BD3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Такая машина прошла испытания в НИИ ВВС. Больший вес привел к увеличению разбега и ограничению маневренности. На машине запретили делать глубокие виражи, пикирование и горку. Но радиус действия разведчика возрос до 920 км, а бомбардировщика (с 320 кг бомб) - до 825 км. </w:t>
      </w:r>
    </w:p>
    <w:p w14:paraId="5A1E10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Дальность полета Р-5 неоднократно пытались увеличить. Для перелетов монтировали 3 дополнительных бензобака: за приборной доской (126 л), под педалями летчика (215 л) и под его сиденьем (1 Юл). Емкость баков в центроплане верхнего крыла увеличили до 310 л. Второй маслобак установили на месте снятого переднего пулемета. Но это были не боевые машины. </w:t>
      </w:r>
    </w:p>
    <w:p w14:paraId="4E6B84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1934 г. самолеты с увеличенным запасом топлива, но без второго маслобака, сочтенною ненужным, поступили в дальнеразве- дывательные эскадрильи (11936).</w:t>
      </w:r>
    </w:p>
    <w:p w14:paraId="0DBE24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2868A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 опытные образцы отечественных тормозных колес для Р-5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w:t>
      </w:r>
      <w:r w:rsidRPr="00E93F40">
        <w:rPr>
          <w:rFonts w:ascii="Times New Roman" w:hAnsi="Times New Roman"/>
          <w:color w:val="000000" w:themeColor="text1"/>
          <w:sz w:val="16"/>
          <w:szCs w:val="16"/>
        </w:rPr>
        <w:lastRenderedPageBreak/>
        <w:t>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0E89E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8F96CF"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рассматривался вопрос о переводе серийных машин Р-5 на пневмогидравлические амортизаторы шасси. В середине предыдущего года соответствующий проект раз</w:t>
      </w:r>
      <w:r w:rsidRPr="00142305">
        <w:rPr>
          <w:rFonts w:ascii="Times New Roman" w:hAnsi="Times New Roman"/>
          <w:color w:val="0070C0"/>
          <w:sz w:val="16"/>
          <w:szCs w:val="16"/>
        </w:rPr>
        <w:softHyphen/>
        <w:t>работали в ЦКБ. Судьба его неизвестна, но, видимо, ка</w:t>
      </w:r>
      <w:r w:rsidRPr="00142305">
        <w:rPr>
          <w:rFonts w:ascii="Times New Roman" w:hAnsi="Times New Roman"/>
          <w:color w:val="0070C0"/>
          <w:sz w:val="16"/>
          <w:szCs w:val="16"/>
        </w:rPr>
        <w:softHyphen/>
        <w:t>кие-то недостатки нашли, поскольку годом позже предла</w:t>
      </w:r>
      <w:r w:rsidRPr="00142305">
        <w:rPr>
          <w:rFonts w:ascii="Times New Roman" w:hAnsi="Times New Roman"/>
          <w:color w:val="0070C0"/>
          <w:sz w:val="16"/>
          <w:szCs w:val="16"/>
        </w:rPr>
        <w:softHyphen/>
        <w:t>гали заказать амортизаторы одной из итальянских фирм, а потом приобрести лицензию. Предложение отклонили из-за нехватки валюты (24990).</w:t>
      </w:r>
    </w:p>
    <w:p w14:paraId="2E997B76" w14:textId="77777777" w:rsidR="00B8796F" w:rsidRPr="00142305" w:rsidRDefault="00B8796F" w:rsidP="00B8796F">
      <w:pPr>
        <w:spacing w:after="0" w:line="240" w:lineRule="auto"/>
        <w:jc w:val="both"/>
        <w:rPr>
          <w:rFonts w:ascii="Times New Roman" w:hAnsi="Times New Roman"/>
          <w:color w:val="0070C0"/>
          <w:sz w:val="16"/>
          <w:szCs w:val="16"/>
        </w:rPr>
      </w:pPr>
    </w:p>
    <w:p w14:paraId="0928FD95"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связи с несколькими случаями невыхода Р-5 из што</w:t>
      </w:r>
      <w:r w:rsidRPr="00142305">
        <w:rPr>
          <w:rFonts w:ascii="Times New Roman" w:hAnsi="Times New Roman"/>
          <w:color w:val="0070C0"/>
          <w:sz w:val="16"/>
          <w:szCs w:val="16"/>
        </w:rPr>
        <w:softHyphen/>
        <w:t>пора на самолете попробовали установить модные тогда «поворотные стойки». Они представляли собой малень</w:t>
      </w:r>
      <w:r w:rsidRPr="00142305">
        <w:rPr>
          <w:rFonts w:ascii="Times New Roman" w:hAnsi="Times New Roman"/>
          <w:color w:val="0070C0"/>
          <w:sz w:val="16"/>
          <w:szCs w:val="16"/>
        </w:rPr>
        <w:softHyphen/>
        <w:t>кие плоскости, вращавшиеся относительно труб передних стоек. Их приводили в действие при выходе из штопора. Но идея оказалось не очень удачной. Эффективность «по</w:t>
      </w:r>
      <w:r w:rsidRPr="00142305">
        <w:rPr>
          <w:rFonts w:ascii="Times New Roman" w:hAnsi="Times New Roman"/>
          <w:color w:val="0070C0"/>
          <w:sz w:val="16"/>
          <w:szCs w:val="16"/>
        </w:rPr>
        <w:softHyphen/>
        <w:t>воротных стоек» оказалась недостаточной, а в ряде случа</w:t>
      </w:r>
      <w:r w:rsidRPr="00142305">
        <w:rPr>
          <w:rFonts w:ascii="Times New Roman" w:hAnsi="Times New Roman"/>
          <w:color w:val="0070C0"/>
          <w:sz w:val="16"/>
          <w:szCs w:val="16"/>
        </w:rPr>
        <w:softHyphen/>
        <w:t>ев они давали прямо противоположный результат. Экспе</w:t>
      </w:r>
      <w:r w:rsidRPr="00142305">
        <w:rPr>
          <w:rFonts w:ascii="Times New Roman" w:hAnsi="Times New Roman"/>
          <w:color w:val="0070C0"/>
          <w:sz w:val="16"/>
          <w:szCs w:val="16"/>
        </w:rPr>
        <w:softHyphen/>
        <w:t>рименты закончились катастрофой, в которой погиб ис</w:t>
      </w:r>
      <w:r w:rsidRPr="00142305">
        <w:rPr>
          <w:rFonts w:ascii="Times New Roman" w:hAnsi="Times New Roman"/>
          <w:color w:val="0070C0"/>
          <w:sz w:val="16"/>
          <w:szCs w:val="16"/>
        </w:rPr>
        <w:softHyphen/>
        <w:t>пытатель М.А. Волковойнов. Конструкцию забраковали и более к ней не возвращались (24990).</w:t>
      </w:r>
    </w:p>
    <w:p w14:paraId="0494EAC4" w14:textId="77777777" w:rsidR="00B8796F" w:rsidRPr="00142305" w:rsidRDefault="00B8796F" w:rsidP="00B8796F">
      <w:pPr>
        <w:spacing w:after="0" w:line="240" w:lineRule="auto"/>
        <w:jc w:val="both"/>
        <w:rPr>
          <w:rFonts w:ascii="Times New Roman" w:hAnsi="Times New Roman"/>
          <w:color w:val="0070C0"/>
          <w:sz w:val="16"/>
          <w:szCs w:val="16"/>
        </w:rPr>
      </w:pPr>
    </w:p>
    <w:p w14:paraId="5BDB02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рассматривался вопрос о переводе серийных машин Р-5 на пневмогидравлические амортизаторы шасси. В середине предыдущего года соответствующий проект разработали в ЦКБ. Судьба его неизвестна, но, видимо, какие-то недостатки нашли, поскольку годом позже предлагали заказать амортизаторы одной из итальянских фирм, а потом приобрести лицензию. Предложение отклонили из-за нехватки валюты (12034).</w:t>
      </w:r>
    </w:p>
    <w:p w14:paraId="7C03E4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62A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в ЦАГИ уже работали над новым гигантским бомбардировщиком. Первоначально он подавался как модификация ТБ-4, и по этой же статье финансировался. В плане института значилась работа над головным серийным самолетом, на котором требовалось устранить дефекты, выявленные на испытаниях и установить все заложенное в задание оборудование. Эта машина должна была стать эталоном для производства на заводе № 18 в Воронеже.</w:t>
      </w:r>
    </w:p>
    <w:p w14:paraId="3057E1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самом деле туполевцы занялись фактически созданием нового варианта самолета, который потом стал именоваться АНТ-20. Не сумев получить требуемые заданием летные данные шестимоторного ТБ-4 (основной причиной чего являлось отсутствие подходящих двигателей), А.Н. Туполев увеличил размеры крыла и добавил еще два мотора. Первоначально это была чистая партизанщина, не учтенная никакими планами. Как уже говорилось, деньги на нее брали за счет незаконченного "дублера" ТБ-4 (ТБ-4бис). Позже Туполеву удалось доказать оправданность еще одной попытки все-таки выполнить задание. В документах ВВС самолет фигурировал как чисто военная машина - тяжелый бомбардировщик ТБ4-8М34Р. В Управлении ВВС знали, что делают у Туполева, но не мешали ему заниматься новым гигантом. В отчете по опытному строительству для ВВС за 1933 г. есть фраза: "ТБ4-8М34Р в плане не стоит, строится взамен ТБ4 головного".</w:t>
      </w:r>
    </w:p>
    <w:p w14:paraId="3681F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 АНТ-20 досталось машине "по наследству" от эскизного проекта пассажирского варианта ТБ-4 с четырьмя моторами М-35. Он должен был иметь размах крыла 56 м и длину фюзеляжа 33,5 м - немного больше, чем у бомбовоза. Пассажирский салон занимал место бывших бомбоотсеков и часть фюзеляжа за крылом. Проект был одобрен руководством ГВФ, началась постройка деревянного макета, но работы задерживались из-за неясностей с основным вариантом - военным. Вто время военные заказы пользовались безоговорочным приоритетом. Впрочем, гражданская авиация и не смогла бы самостоятельно оплатить дорогостоящие работы по созданию гиганта (12024).</w:t>
      </w:r>
    </w:p>
    <w:p w14:paraId="3227DB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21D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в ЦАГИ уже работали над новым гигантским бомбардировщиком. Первоначально он подавался как модификация ТБ-4, и по этой же статье финансировался. В плане института значилась работа над головным серийным самолетом, на котором требовалось устранить дефекты, выявленные на испытаниях, и установить все заложенное в задание оборудование. Эта машина должна была стать эталоном для производства на заводе № 18 в Воронеже.</w:t>
      </w:r>
    </w:p>
    <w:p w14:paraId="32A20E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самом деле туполевцы занялись фактически созданием нового самолета, который потом стал именоваться АНТ-20. В документах ВВС он первоначально фигурировал как ТБ4-8М34Р. Первоначально такой машины в планах вообще не было. Не сумев получить требуемые заданием летные данные тяжелого бомбардировщика ТБ-4 (основной причиной чего являлось отсутствие подходящих двигателей), А.Н. Туполев увеличил размеры крыла и добавил еще два мотора.</w:t>
      </w:r>
    </w:p>
    <w:p w14:paraId="0E0C2A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 АНТ-20 досталось машине "по наследству" от эскизного проекта пассажирского варианта ТБ-4 с четырьмя моторами М-35. Он должен был иметь размах крыла 56 м и длину фюзеляжа 33,5 м - немного больше, чем у бомбовоза. Пассажирский салон занимал место бывших бомбоот- секов и часть фюзеляжа за крылом. Проект был одобрен руководством ГВФ, началась постройка деревянного макета, но работы задерживались из-за неясностей с основным вариантом - военным. В сентябре 1931 г. директор ЦАГИ Па- уфлер обратился к начальнику Всесоюзного авиационного объединения (ВАО) П.И. Баранову с просьбой исключить этот пункт из плана института, мотивируя отсутствием заложенных в задание двигателей. Баранов разрешил, работы по пассажирскому варианту ТБ-4 прекратили. Но Туполев очень не любил, чтобы труд его сотрудников пропадал зря. Многое от проекта АНТ-20 потом перешло к "Максиму Горькому", и даже обозначение использовали повторно.</w:t>
      </w:r>
    </w:p>
    <w:p w14:paraId="03C9E1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примерно той же длине фюзеляжа, что и АНТ-16, новая машина должна была иметь значительно большее по размаху и площади крыло. Размах должен был достигнуть 63 м (против 54 м у АНТ-16). Хорда крыла при этом не менялась, так что удлинение возрастало до 8,2, что должно было благоприятно сказаться на дальности полета. На крыле добавили два мотора. Фюзеляж расширили и переделали бомбоотсеки, так что стала возможной внутренняя подвеска бомб калибра 1000 и 2000 кг. Пожалуй, при некоторой доработке туда влез бы и фантастический атомный пятитонный "Иван". Предусмотрели электропривод управления стабилизатором и шаровой пушечной установкой, которую хотели смонтировать в носу фюзеляжа. Сброс бомб тоже осуществлялся электричеством. Максимальный взлетный вес машины оценивался в 45 т. Самолет должен был оснащаться восемью двигателями М-34Р с дальнейшим переходом к более мощным М-34ФРН (реально появившимся только в 1936 г.). Шесть из них стояли в ряд на крыле и два в отдельной установке на фермах над фюзеляжем, как у ТБ-4. Теоретически самолет мог лететь и на шести моторах, поэтому отказ двух не считался критичным.</w:t>
      </w:r>
    </w:p>
    <w:p w14:paraId="72CF85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Хотя основным считался тяжелый бомбардировщик, параллельно делались проработки по военно-транспортному, пассажирскому и "агитационному" вариантам. Так, транспортная машина предназначалась для перевозки тяжелой и громоздкой военной техники - танков и артиллерийских орудий. В основном их хотели крепить снаружи, между стойками шасси, но кое-что размещалось и внутри. Например, прикидывали подвеску в бомбоотсеке танкетки Т-27 (ТБ-1 и ТБ-3 ее возили снаружи). В пассажирской машине, предназначенной для дальних рейсов, предусматривалось размещение 60 - 70 людей в комфортабельных кабинах: не то железнодорожное купе, не то пароходная каюта. Для пассажиров предусматривались буфет (в некоторых документах он числится "рестораном"), салон отдыха и целых два туалета. Интересно, что на фотоснимках макета четко видно, что салон, буфет и кабины намеревались освещать не привычными для самолета плафонами, а настенными светильниками типа бра с абажурами! </w:t>
      </w:r>
    </w:p>
    <w:p w14:paraId="1E382A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Экипаж состоял из десяти человек, в том числе "прислуги". Предусматривался и вариант "люкс" для доставки "ответственных руководящих политических и общественных работников или группы работников в отдаленные районы страны для проведения кампаний на местах". На нем "прислуги" должно было быть вдвое больше.</w:t>
      </w:r>
    </w:p>
    <w:p w14:paraId="6BD609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Гражданский АНТ-20 мог использоваться и как грузовой для доставки особо ценных грузов (например, пушнины или золота из отдаленных районов Сибири). Интересно, что Туполев планировал сделать машину легко конвертируемой из пассажирской в грузовую.</w:t>
      </w:r>
    </w:p>
    <w:p w14:paraId="0D25E2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на первый план довольно неожиданно вышел агитационный вариант. Идею npeдложил известный журналист Михаил Кольцов - построить огромный самолет имени Максима Горького. Сам Горький в то время был еще жив и только что отпраздновал 40-летие литературной деятельности. Подхватив мысль Кольцова, 19 сентября 1932 г. Журнально-газетное объединение постановило начать сбор денег на самолет "Максим Горький", затем возник специальный комитет по постройке машины. Как водилось в СССР, областям и крупным городам раздали разнарядки - сколько сдавать. Выполнение контролировали партийные инстанции. К декабрю 1932 г. набрали уже полтора миллиона рублей (12036).</w:t>
      </w:r>
    </w:p>
    <w:p w14:paraId="017803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7EF027"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1932 г. в ЦАГИ работали над новым гигантским бомбардировщиком. Первоначально он подавался как мо</w:t>
      </w:r>
      <w:r w:rsidRPr="00142305">
        <w:rPr>
          <w:rFonts w:ascii="Times New Roman" w:hAnsi="Times New Roman"/>
          <w:color w:val="0070C0"/>
          <w:sz w:val="16"/>
          <w:szCs w:val="16"/>
        </w:rPr>
        <w:softHyphen/>
        <w:t>дификация ТБ-4, и по этой же статье финансировался. В плане института значилась работа над головным серийным самолетом, на котором требовалось устранить дефекты, вы</w:t>
      </w:r>
      <w:r w:rsidRPr="00142305">
        <w:rPr>
          <w:rFonts w:ascii="Times New Roman" w:hAnsi="Times New Roman"/>
          <w:color w:val="0070C0"/>
          <w:sz w:val="16"/>
          <w:szCs w:val="16"/>
        </w:rPr>
        <w:softHyphen/>
        <w:t>явленные на испытаниях, и установить все заложенное в за</w:t>
      </w:r>
      <w:r w:rsidRPr="00142305">
        <w:rPr>
          <w:rFonts w:ascii="Times New Roman" w:hAnsi="Times New Roman"/>
          <w:color w:val="0070C0"/>
          <w:sz w:val="16"/>
          <w:szCs w:val="16"/>
        </w:rPr>
        <w:softHyphen/>
        <w:t>дание оборудование. Эта машина должна была стать этало</w:t>
      </w:r>
      <w:r w:rsidRPr="00142305">
        <w:rPr>
          <w:rFonts w:ascii="Times New Roman" w:hAnsi="Times New Roman"/>
          <w:color w:val="0070C0"/>
          <w:sz w:val="16"/>
          <w:szCs w:val="16"/>
        </w:rPr>
        <w:softHyphen/>
        <w:t>ном для производства на заводе № 18 в Воронеже.</w:t>
      </w:r>
    </w:p>
    <w:p w14:paraId="33CFE707"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самом деле туполевцы занялись фактически созда</w:t>
      </w:r>
      <w:r w:rsidRPr="00142305">
        <w:rPr>
          <w:rFonts w:ascii="Times New Roman" w:hAnsi="Times New Roman"/>
          <w:color w:val="0070C0"/>
          <w:sz w:val="16"/>
          <w:szCs w:val="16"/>
        </w:rPr>
        <w:softHyphen/>
        <w:t>нием нового самолета, который потом стал именоваться АНТ-20. В документах ВВС он первоначально фигурировал как ТБ4-8М34Р. Первоначально такой машины в планах вообще не было. Не сумев получить требуемые заданием летные данные тяжелого бомбардировщика ТБ-4 (основ</w:t>
      </w:r>
      <w:r w:rsidRPr="00142305">
        <w:rPr>
          <w:rFonts w:ascii="Times New Roman" w:hAnsi="Times New Roman"/>
          <w:color w:val="0070C0"/>
          <w:sz w:val="16"/>
          <w:szCs w:val="16"/>
        </w:rPr>
        <w:softHyphen/>
        <w:t>ной причиной чего являлось отсутствие подходящих дви</w:t>
      </w:r>
      <w:r w:rsidRPr="00142305">
        <w:rPr>
          <w:rFonts w:ascii="Times New Roman" w:hAnsi="Times New Roman"/>
          <w:color w:val="0070C0"/>
          <w:sz w:val="16"/>
          <w:szCs w:val="16"/>
        </w:rPr>
        <w:softHyphen/>
        <w:t>гателей), А.Н. Туполев увеличил размеры крыла и добавил еще два мотора.</w:t>
      </w:r>
    </w:p>
    <w:p w14:paraId="49DECFBC"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Название АНТ-20 досталось машине «по наследству» от эскизного проекта пассажирского варианта ТБ-4 с четырь</w:t>
      </w:r>
      <w:r w:rsidRPr="00142305">
        <w:rPr>
          <w:rFonts w:ascii="Times New Roman" w:hAnsi="Times New Roman"/>
          <w:color w:val="0070C0"/>
          <w:sz w:val="16"/>
          <w:szCs w:val="16"/>
        </w:rPr>
        <w:softHyphen/>
        <w:t>мя моторами М-35. Он должен был иметь размах крыла 56 м и длину фюзеляжа 33,5 м — немного больше, чем у бомбовоза. Пассажирский салон занимал место бывших бомбоот</w:t>
      </w:r>
      <w:r w:rsidRPr="00142305">
        <w:rPr>
          <w:rFonts w:ascii="Times New Roman" w:hAnsi="Times New Roman"/>
          <w:color w:val="0070C0"/>
          <w:sz w:val="16"/>
          <w:szCs w:val="16"/>
        </w:rPr>
        <w:softHyphen/>
        <w:t>секов и часть фюзеляжа за крылом. Проект был одобрен ру</w:t>
      </w:r>
      <w:r w:rsidRPr="00142305">
        <w:rPr>
          <w:rFonts w:ascii="Times New Roman" w:hAnsi="Times New Roman"/>
          <w:color w:val="0070C0"/>
          <w:sz w:val="16"/>
          <w:szCs w:val="16"/>
        </w:rPr>
        <w:softHyphen/>
        <w:t>ководством ГВФ, началась постройка деревянного макета, но работы задерживались из-за неясностей с основным вариантом — военным (24977).</w:t>
      </w:r>
    </w:p>
    <w:p w14:paraId="03D4311F" w14:textId="77777777" w:rsidR="00DB2196" w:rsidRPr="00142305" w:rsidRDefault="00DB2196" w:rsidP="00DB2196">
      <w:pPr>
        <w:spacing w:after="0" w:line="240" w:lineRule="auto"/>
        <w:jc w:val="both"/>
        <w:rPr>
          <w:rFonts w:ascii="Times New Roman" w:hAnsi="Times New Roman"/>
          <w:color w:val="0070C0"/>
          <w:sz w:val="16"/>
          <w:szCs w:val="16"/>
        </w:rPr>
      </w:pPr>
    </w:p>
    <w:p w14:paraId="3F72EF15"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еще находясь в ЦАГИ и, по-видимому, раньше, чем появились эскизы И-16, Николай Николаевич Поликарпов выполнил наброски И-17. На концепцию его конструкции оказал несомненное влияние вышедший на испытания в 1932 г. скоростной транспортный и пассажирский самолет (позже — разведчик) выдающегося немецкого авиаконструктора Эрнста Хейнкеля Не-70.</w:t>
      </w:r>
    </w:p>
    <w:p w14:paraId="374AC62E" w14:textId="77777777" w:rsidR="00DB2196" w:rsidRPr="00142305" w:rsidRDefault="00DB2196" w:rsidP="00DB2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Поликарпова заинтересовала схема пирамидального убирающегося шасси этого самолета, послужившая основой для разработки шасси И-17, а с изменениями и для И-16. Первые предэскизные проекты истребителя И-17 выполнялись под двигатели М-34, затем М-32. Последующие рассматривались уже с моторами «Испано-Сюиза» HS-12Ybrs и HS-12Ycrs. Николай Николаевич всегда стремился к установке на свои самолеты двигателей наибольшей удельной мощности, т. е. мощности, отнесенной к весу мотора, а по этому параметру моторы фирмы «Испано-Сюиза» считались одними из лучших (25035).</w:t>
      </w:r>
    </w:p>
    <w:p w14:paraId="4AA1AC7A" w14:textId="77777777" w:rsidR="00DB2196" w:rsidRPr="00142305" w:rsidRDefault="00DB2196" w:rsidP="00DB2196">
      <w:pPr>
        <w:spacing w:after="0" w:line="240" w:lineRule="auto"/>
        <w:jc w:val="both"/>
        <w:rPr>
          <w:rFonts w:ascii="Times New Roman" w:hAnsi="Times New Roman"/>
          <w:color w:val="0070C0"/>
          <w:sz w:val="16"/>
          <w:szCs w:val="16"/>
        </w:rPr>
      </w:pPr>
    </w:p>
    <w:p w14:paraId="49FD12A9"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году в третьей бригаде ЦКБ (истребителей и рекордных самолетов), которую возглавил П О. Сухой, началась разработка первого отечественного цельнометаллического пушечного истребителя с гладкой обшивкой и убирающимся шасси, оснащенным мас</w:t>
      </w:r>
      <w:r w:rsidRPr="00142305">
        <w:rPr>
          <w:rFonts w:ascii="Times New Roman" w:hAnsi="Times New Roman"/>
          <w:color w:val="0070C0"/>
          <w:sz w:val="16"/>
          <w:szCs w:val="16"/>
        </w:rPr>
        <w:softHyphen/>
        <w:t>ляно-пневматической амортизацией и тормозными колесами И-14.</w:t>
      </w:r>
    </w:p>
    <w:p w14:paraId="0CC1A6C1"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заданию максимальная скорость самолета на высоте 5000 метров (куда он должен был подниматься за семь минут) задавалась в пределах 340-400 км/ч и дальность полета - 500 км (24991).</w:t>
      </w:r>
    </w:p>
    <w:p w14:paraId="7C26E6EB" w14:textId="77777777" w:rsidR="000D6CBF" w:rsidRPr="00142305" w:rsidRDefault="000D6CBF" w:rsidP="000D6CBF">
      <w:pPr>
        <w:spacing w:after="0" w:line="240" w:lineRule="auto"/>
        <w:jc w:val="both"/>
        <w:rPr>
          <w:rFonts w:ascii="Times New Roman" w:hAnsi="Times New Roman"/>
          <w:color w:val="0070C0"/>
          <w:sz w:val="16"/>
          <w:szCs w:val="16"/>
        </w:rPr>
      </w:pPr>
    </w:p>
    <w:p w14:paraId="743CE1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серийное строительство И-5 ре</w:t>
      </w:r>
      <w:r w:rsidRPr="00E93F40">
        <w:rPr>
          <w:rFonts w:ascii="Times New Roman" w:hAnsi="Times New Roman"/>
          <w:color w:val="000000" w:themeColor="text1"/>
          <w:sz w:val="16"/>
          <w:szCs w:val="16"/>
        </w:rPr>
        <w:softHyphen/>
        <w:t>шили передать на новый авиазавод №21 в Нижнем Новгороде. Завод только начал функ</w:t>
      </w:r>
      <w:r w:rsidRPr="00E93F40">
        <w:rPr>
          <w:rFonts w:ascii="Times New Roman" w:hAnsi="Times New Roman"/>
          <w:color w:val="000000" w:themeColor="text1"/>
          <w:sz w:val="16"/>
          <w:szCs w:val="16"/>
        </w:rPr>
        <w:softHyphen/>
        <w:t>ционировать, поэтому при выпуске продукции предполагались трудности, которые должно было преодолеть Бюро внедрения и ответ</w:t>
      </w:r>
      <w:r w:rsidRPr="00E93F40">
        <w:rPr>
          <w:rFonts w:ascii="Times New Roman" w:hAnsi="Times New Roman"/>
          <w:color w:val="000000" w:themeColor="text1"/>
          <w:sz w:val="16"/>
          <w:szCs w:val="16"/>
        </w:rPr>
        <w:softHyphen/>
        <w:t>ственные за процесс: Д.П. Григорович (стар</w:t>
      </w:r>
      <w:r w:rsidRPr="00E93F40">
        <w:rPr>
          <w:rFonts w:ascii="Times New Roman" w:hAnsi="Times New Roman"/>
          <w:color w:val="000000" w:themeColor="text1"/>
          <w:sz w:val="16"/>
          <w:szCs w:val="16"/>
        </w:rPr>
        <w:softHyphen/>
        <w:t>ший), И.М. Косткин и К.А. Виганд.</w:t>
      </w:r>
    </w:p>
    <w:p w14:paraId="5E9118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Московской команде предстояло макси</w:t>
      </w:r>
      <w:r w:rsidRPr="00E93F40">
        <w:rPr>
          <w:rFonts w:ascii="Times New Roman" w:hAnsi="Times New Roman"/>
          <w:color w:val="000000" w:themeColor="text1"/>
          <w:sz w:val="16"/>
          <w:szCs w:val="16"/>
        </w:rPr>
        <w:softHyphen/>
        <w:t>мально помочь освоению истребителя и ожи</w:t>
      </w:r>
      <w:r w:rsidRPr="00E93F40">
        <w:rPr>
          <w:rFonts w:ascii="Times New Roman" w:hAnsi="Times New Roman"/>
          <w:color w:val="000000" w:themeColor="text1"/>
          <w:sz w:val="16"/>
          <w:szCs w:val="16"/>
        </w:rPr>
        <w:softHyphen/>
        <w:t>вить своим присутствием его строительство. По этой же причине в Нижний Новгород в ка</w:t>
      </w:r>
      <w:r w:rsidRPr="00E93F40">
        <w:rPr>
          <w:rFonts w:ascii="Times New Roman" w:hAnsi="Times New Roman"/>
          <w:color w:val="000000" w:themeColor="text1"/>
          <w:sz w:val="16"/>
          <w:szCs w:val="16"/>
        </w:rPr>
        <w:softHyphen/>
        <w:t>честве эталона передали И-5 №4298, а затем в течение года перевезли из Москвы весь задел по серии завода №1 и всю необходимую тех</w:t>
      </w:r>
      <w:r w:rsidRPr="00E93F40">
        <w:rPr>
          <w:rFonts w:ascii="Times New Roman" w:hAnsi="Times New Roman"/>
          <w:color w:val="000000" w:themeColor="text1"/>
          <w:sz w:val="16"/>
          <w:szCs w:val="16"/>
        </w:rPr>
        <w:softHyphen/>
        <w:t>нологическую оснастку. Впрочем, по причине продолжающегося строительства завода и си</w:t>
      </w:r>
      <w:r w:rsidRPr="00E93F40">
        <w:rPr>
          <w:rFonts w:ascii="Times New Roman" w:hAnsi="Times New Roman"/>
          <w:color w:val="000000" w:themeColor="text1"/>
          <w:sz w:val="16"/>
          <w:szCs w:val="16"/>
        </w:rPr>
        <w:softHyphen/>
        <w:t>лового внедрения нового объекта успехи ока</w:t>
      </w:r>
      <w:r w:rsidRPr="00E93F40">
        <w:rPr>
          <w:rFonts w:ascii="Times New Roman" w:hAnsi="Times New Roman"/>
          <w:color w:val="000000" w:themeColor="text1"/>
          <w:sz w:val="16"/>
          <w:szCs w:val="16"/>
        </w:rPr>
        <w:softHyphen/>
        <w:t>зались скромными. Основную часть годового выпуска построили на заводе №1 (76 самоле</w:t>
      </w:r>
      <w:r w:rsidRPr="00E93F40">
        <w:rPr>
          <w:rFonts w:ascii="Times New Roman" w:hAnsi="Times New Roman"/>
          <w:color w:val="000000" w:themeColor="text1"/>
          <w:sz w:val="16"/>
          <w:szCs w:val="16"/>
        </w:rPr>
        <w:softHyphen/>
        <w:t>тов). Тем не менее, в план 21-го завода за 1932 г. зачли первые 10 серийных аппаратов (11974).</w:t>
      </w:r>
    </w:p>
    <w:p w14:paraId="7F647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событиям 1932 г. следует отнести опыты с поворотными противоштопорными меж</w:t>
      </w:r>
      <w:r w:rsidRPr="00E93F40">
        <w:rPr>
          <w:rFonts w:ascii="Times New Roman" w:hAnsi="Times New Roman"/>
          <w:color w:val="000000" w:themeColor="text1"/>
          <w:sz w:val="16"/>
          <w:szCs w:val="16"/>
        </w:rPr>
        <w:softHyphen/>
        <w:t>крыльевыми стойками, которые решили внед</w:t>
      </w:r>
      <w:r w:rsidRPr="00E93F40">
        <w:rPr>
          <w:rFonts w:ascii="Times New Roman" w:hAnsi="Times New Roman"/>
          <w:color w:val="000000" w:themeColor="text1"/>
          <w:sz w:val="16"/>
          <w:szCs w:val="16"/>
        </w:rPr>
        <w:softHyphen/>
        <w:t>рить на Р-5 и И-5. Они устанавливались вза</w:t>
      </w:r>
      <w:r w:rsidRPr="00E93F40">
        <w:rPr>
          <w:rFonts w:ascii="Times New Roman" w:hAnsi="Times New Roman"/>
          <w:color w:val="000000" w:themeColor="text1"/>
          <w:sz w:val="16"/>
          <w:szCs w:val="16"/>
        </w:rPr>
        <w:softHyphen/>
        <w:t>мен обычных передних межкрыльевых стоек, отличались шириной, увеличенной до 190- 200 мм. При попадании в штопор летчик само</w:t>
      </w:r>
      <w:r w:rsidRPr="00E93F40">
        <w:rPr>
          <w:rFonts w:ascii="Times New Roman" w:hAnsi="Times New Roman"/>
          <w:color w:val="000000" w:themeColor="text1"/>
          <w:sz w:val="16"/>
          <w:szCs w:val="16"/>
        </w:rPr>
        <w:softHyphen/>
        <w:t>лета, оборудованного таким устройством, при помощи рукояток в кабине разворачивал внешнюю стойку и останавливал вращение (11974).</w:t>
      </w:r>
    </w:p>
    <w:p w14:paraId="4BB5D9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A6541CA"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событиям 1932 года следует отнести опыты с поворотными противоштопорными межкрыльевыми стойками, которые решили внедрить на Р-5 и И-5. Они устанавливались взамен обычных передних межкрыльевых стоек, отличались шириной, увеличенной до 190—200 мм. При попадании в штопор лет</w:t>
      </w:r>
      <w:r w:rsidRPr="00E93F40">
        <w:rPr>
          <w:rFonts w:ascii="Times New Roman" w:hAnsi="Times New Roman"/>
          <w:color w:val="000000" w:themeColor="text1"/>
          <w:sz w:val="16"/>
          <w:szCs w:val="16"/>
        </w:rPr>
        <w:softHyphen/>
        <w:t>чик самолета, оборудованного таким устрой</w:t>
      </w:r>
      <w:r w:rsidRPr="00E93F40">
        <w:rPr>
          <w:rFonts w:ascii="Times New Roman" w:hAnsi="Times New Roman"/>
          <w:color w:val="000000" w:themeColor="text1"/>
          <w:sz w:val="16"/>
          <w:szCs w:val="16"/>
        </w:rPr>
        <w:softHyphen/>
        <w:t>ством, при помощи рукояток в кабине раз</w:t>
      </w:r>
      <w:r w:rsidRPr="00E93F40">
        <w:rPr>
          <w:rFonts w:ascii="Times New Roman" w:hAnsi="Times New Roman"/>
          <w:color w:val="000000" w:themeColor="text1"/>
          <w:sz w:val="16"/>
          <w:szCs w:val="16"/>
        </w:rPr>
        <w:softHyphen/>
        <w:t>ворачивал внешнюю стойку и останавливал вращение. На И-5 поворотные стойки уста</w:t>
      </w:r>
      <w:r w:rsidRPr="00E93F40">
        <w:rPr>
          <w:rFonts w:ascii="Times New Roman" w:hAnsi="Times New Roman"/>
          <w:color w:val="000000" w:themeColor="text1"/>
          <w:sz w:val="16"/>
          <w:szCs w:val="16"/>
        </w:rPr>
        <w:softHyphen/>
        <w:t>новили впервые на самолете №6 (так было записано в отчете, возможно, был доработан один из И-5 первой серии 39-го завода) 1 ав</w:t>
      </w:r>
      <w:r w:rsidRPr="00E93F40">
        <w:rPr>
          <w:rFonts w:ascii="Times New Roman" w:hAnsi="Times New Roman"/>
          <w:color w:val="000000" w:themeColor="text1"/>
          <w:sz w:val="16"/>
          <w:szCs w:val="16"/>
        </w:rPr>
        <w:softHyphen/>
        <w:t>густа 1932 г. Летали Бухгольц, Сузи, Корзин</w:t>
      </w:r>
      <w:r w:rsidRPr="00E93F40">
        <w:rPr>
          <w:rFonts w:ascii="Times New Roman" w:hAnsi="Times New Roman"/>
          <w:color w:val="000000" w:themeColor="text1"/>
          <w:sz w:val="16"/>
          <w:szCs w:val="16"/>
        </w:rPr>
        <w:softHyphen/>
        <w:t>щиков, Благин. Сначала использовали стой</w:t>
      </w:r>
      <w:r w:rsidRPr="00E93F40">
        <w:rPr>
          <w:rFonts w:ascii="Times New Roman" w:hAnsi="Times New Roman"/>
          <w:color w:val="000000" w:themeColor="text1"/>
          <w:sz w:val="16"/>
          <w:szCs w:val="16"/>
        </w:rPr>
        <w:softHyphen/>
        <w:t>ки шириной 200 мм - они вызывали тряску, затем 190 мм — нормально. Предполагая се</w:t>
      </w:r>
      <w:r w:rsidRPr="00E93F40">
        <w:rPr>
          <w:rFonts w:ascii="Times New Roman" w:hAnsi="Times New Roman"/>
          <w:color w:val="000000" w:themeColor="text1"/>
          <w:sz w:val="16"/>
          <w:szCs w:val="16"/>
        </w:rPr>
        <w:softHyphen/>
        <w:t>рию таких самолетов, в конце 1932 г. прове</w:t>
      </w:r>
      <w:r w:rsidRPr="00E93F40">
        <w:rPr>
          <w:rFonts w:ascii="Times New Roman" w:hAnsi="Times New Roman"/>
          <w:color w:val="000000" w:themeColor="text1"/>
          <w:sz w:val="16"/>
          <w:szCs w:val="16"/>
        </w:rPr>
        <w:softHyphen/>
        <w:t>ли испытания доработанного И-5 № 21117, который определялся как эталон на 1933 год. По сравнению с эталоном 1932 года данный самолет имел следующие отличия:</w:t>
      </w:r>
    </w:p>
    <w:p w14:paraId="3999B0C2" w14:textId="77777777" w:rsidR="00FC3E25" w:rsidRPr="00E93F40" w:rsidRDefault="00FC3E25" w:rsidP="00E93F40">
      <w:pPr>
        <w:tabs>
          <w:tab w:val="left" w:pos="34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поворотные стойки;</w:t>
      </w:r>
    </w:p>
    <w:p w14:paraId="581EDC2A" w14:textId="77777777" w:rsidR="00FC3E25" w:rsidRPr="00E93F40" w:rsidRDefault="00FC3E25" w:rsidP="00E93F40">
      <w:pPr>
        <w:tabs>
          <w:tab w:val="left" w:pos="33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обтекатели на колесах;</w:t>
      </w:r>
    </w:p>
    <w:p w14:paraId="32F1215B" w14:textId="77777777" w:rsidR="00FC3E25" w:rsidRPr="00E93F40" w:rsidRDefault="00FC3E25" w:rsidP="00E93F40">
      <w:pPr>
        <w:tabs>
          <w:tab w:val="left" w:pos="34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металлический винт;</w:t>
      </w:r>
    </w:p>
    <w:p w14:paraId="679981B0" w14:textId="77777777" w:rsidR="00FC3E25" w:rsidRPr="00E93F40" w:rsidRDefault="00FC3E25" w:rsidP="00E93F40">
      <w:pPr>
        <w:tabs>
          <w:tab w:val="left" w:pos="348"/>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новый подогреватель карбюратора;</w:t>
      </w:r>
    </w:p>
    <w:p w14:paraId="071130C8" w14:textId="77777777" w:rsidR="00FC3E25" w:rsidRPr="00E93F40" w:rsidRDefault="00FC3E25" w:rsidP="00E93F40">
      <w:pPr>
        <w:tabs>
          <w:tab w:val="left" w:pos="366"/>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бензопомпа типа «Хорнет» отечествен</w:t>
      </w:r>
      <w:r w:rsidRPr="00E93F40">
        <w:rPr>
          <w:rFonts w:ascii="Times New Roman" w:hAnsi="Times New Roman"/>
          <w:color w:val="000000" w:themeColor="text1"/>
          <w:sz w:val="16"/>
          <w:szCs w:val="16"/>
        </w:rPr>
        <w:softHyphen/>
        <w:t>ного производства;</w:t>
      </w:r>
    </w:p>
    <w:p w14:paraId="39891517" w14:textId="77777777" w:rsidR="00FC3E25" w:rsidRPr="00E93F40" w:rsidRDefault="00FC3E25" w:rsidP="00E93F40">
      <w:pPr>
        <w:tabs>
          <w:tab w:val="left" w:pos="337"/>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улучшенная приборная доска;</w:t>
      </w:r>
    </w:p>
    <w:p w14:paraId="5AFAE22E" w14:textId="77777777" w:rsidR="00FC3E25" w:rsidRPr="00E93F40" w:rsidRDefault="00FC3E25" w:rsidP="00E93F40">
      <w:pPr>
        <w:tabs>
          <w:tab w:val="left" w:pos="34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электросбрасыватели и электроспуски;</w:t>
      </w:r>
    </w:p>
    <w:p w14:paraId="65C3DBD8" w14:textId="77777777" w:rsidR="00FC3E25" w:rsidRPr="00E93F40" w:rsidRDefault="00FC3E25" w:rsidP="00E93F40">
      <w:pPr>
        <w:tabs>
          <w:tab w:val="left" w:pos="330"/>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бомбы 4x10 кг (в перегрузку) под крылом на бомбодержателях Д-1 (возможно бомбо</w:t>
      </w:r>
      <w:r w:rsidRPr="00E93F40">
        <w:rPr>
          <w:rFonts w:ascii="Times New Roman" w:hAnsi="Times New Roman"/>
          <w:color w:val="000000" w:themeColor="text1"/>
          <w:sz w:val="16"/>
          <w:szCs w:val="16"/>
        </w:rPr>
        <w:softHyphen/>
        <w:t>метание с пикирования);</w:t>
      </w:r>
    </w:p>
    <w:p w14:paraId="25D5E535" w14:textId="77777777" w:rsidR="00FC3E25" w:rsidRPr="00E93F40" w:rsidRDefault="00FC3E25" w:rsidP="00E93F40">
      <w:pPr>
        <w:tabs>
          <w:tab w:val="left" w:pos="344"/>
        </w:tabs>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rPr>
        <w:tab/>
        <w:t>пулеметов ПВ-1 — 4 шт., из них 2 за счет перегрузки.</w:t>
      </w:r>
    </w:p>
    <w:p w14:paraId="19C6DFC6"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испытаниях И-5 №21117 были зафик</w:t>
      </w:r>
      <w:r w:rsidRPr="00E93F40">
        <w:rPr>
          <w:rFonts w:ascii="Times New Roman" w:hAnsi="Times New Roman"/>
          <w:color w:val="000000" w:themeColor="text1"/>
          <w:sz w:val="16"/>
          <w:szCs w:val="16"/>
        </w:rPr>
        <w:softHyphen/>
        <w:t>сированы следующие характеристики:</w:t>
      </w:r>
    </w:p>
    <w:tbl>
      <w:tblPr>
        <w:tblW w:w="0" w:type="auto"/>
        <w:tblLayout w:type="fixed"/>
        <w:tblCellMar>
          <w:left w:w="10" w:type="dxa"/>
          <w:right w:w="10" w:type="dxa"/>
        </w:tblCellMar>
        <w:tblLook w:val="0000" w:firstRow="0" w:lastRow="0" w:firstColumn="0" w:lastColumn="0" w:noHBand="0" w:noVBand="0"/>
      </w:tblPr>
      <w:tblGrid>
        <w:gridCol w:w="2614"/>
        <w:gridCol w:w="1030"/>
      </w:tblGrid>
      <w:tr w:rsidR="00DA227A" w:rsidRPr="00E93F40" w14:paraId="551C7B7F" w14:textId="77777777" w:rsidTr="00684A8A">
        <w:trPr>
          <w:trHeight w:val="24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7D836746"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Вес пустого (кг)</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351DD90C"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1002 *</w:t>
            </w:r>
          </w:p>
        </w:tc>
      </w:tr>
      <w:tr w:rsidR="00DA227A" w:rsidRPr="00E93F40" w14:paraId="3C35BC68" w14:textId="77777777" w:rsidTr="00684A8A">
        <w:trPr>
          <w:trHeight w:val="24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40BAA4AF"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Полетный вес (кг)</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534C967B"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1414</w:t>
            </w:r>
          </w:p>
        </w:tc>
      </w:tr>
      <w:tr w:rsidR="00DA227A" w:rsidRPr="00E93F40" w14:paraId="318680FF" w14:textId="77777777" w:rsidTr="00684A8A">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7489C5CF"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Скорость макс, у земли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647682D8"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285,5</w:t>
            </w:r>
          </w:p>
        </w:tc>
      </w:tr>
      <w:tr w:rsidR="00DA227A" w:rsidRPr="00E93F40" w14:paraId="48A596E3" w14:textId="77777777" w:rsidTr="00684A8A">
        <w:trPr>
          <w:trHeight w:val="23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00F7907"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Скорость макс, на 3000 м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3CA2B279"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230,0</w:t>
            </w:r>
          </w:p>
        </w:tc>
      </w:tr>
      <w:tr w:rsidR="00DA227A" w:rsidRPr="00E93F40" w14:paraId="51C2803C" w14:textId="77777777" w:rsidTr="00684A8A">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39A4E85"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Скорость макс, на 5000 м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21C305CE"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241,8</w:t>
            </w:r>
          </w:p>
        </w:tc>
      </w:tr>
      <w:tr w:rsidR="00DA227A" w:rsidRPr="00E93F40" w14:paraId="60909A6E" w14:textId="77777777" w:rsidTr="00684A8A">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2DBE53D1"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Время набора 5000 м (мин)</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79A2407B"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11,5</w:t>
            </w:r>
          </w:p>
        </w:tc>
      </w:tr>
      <w:tr w:rsidR="00DA227A" w:rsidRPr="00E93F40" w14:paraId="62E64A75" w14:textId="77777777" w:rsidTr="00684A8A">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26814F98"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Время виража на 1000 м (сек)</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49D747B2"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10,1</w:t>
            </w:r>
          </w:p>
        </w:tc>
      </w:tr>
      <w:tr w:rsidR="00DA227A" w:rsidRPr="00E93F40" w14:paraId="37A7280F" w14:textId="77777777" w:rsidTr="00684A8A">
        <w:trPr>
          <w:trHeight w:val="252"/>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37C35FB1"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Практический потолок (м)</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5D3AE66F" w14:textId="77777777" w:rsidR="00FC3E25" w:rsidRPr="00E93F40" w:rsidRDefault="00FC3E25" w:rsidP="00E93F40">
            <w:pPr>
              <w:pStyle w:val="113"/>
              <w:shd w:val="clear" w:color="auto" w:fill="auto"/>
              <w:spacing w:line="240" w:lineRule="auto"/>
              <w:jc w:val="both"/>
              <w:rPr>
                <w:rFonts w:ascii="Times New Roman" w:hAnsi="Times New Roman" w:cs="Times New Roman"/>
                <w:b w:val="0"/>
                <w:color w:val="000000" w:themeColor="text1"/>
                <w:sz w:val="16"/>
                <w:szCs w:val="16"/>
              </w:rPr>
            </w:pPr>
            <w:r w:rsidRPr="00E93F40">
              <w:rPr>
                <w:rFonts w:ascii="Times New Roman" w:hAnsi="Times New Roman" w:cs="Times New Roman"/>
                <w:b w:val="0"/>
                <w:color w:val="000000" w:themeColor="text1"/>
                <w:sz w:val="16"/>
                <w:szCs w:val="16"/>
              </w:rPr>
              <w:t>7520</w:t>
            </w:r>
          </w:p>
        </w:tc>
      </w:tr>
    </w:tbl>
    <w:p w14:paraId="22B8AB55" w14:textId="77777777" w:rsidR="00FC3E25" w:rsidRPr="00E93F40" w:rsidRDefault="00FC3E25" w:rsidP="00E93F40">
      <w:pPr>
        <w:pStyle w:val="aff0"/>
        <w:shd w:val="clear" w:color="auto" w:fill="auto"/>
        <w:spacing w:line="240" w:lineRule="auto"/>
        <w:rPr>
          <w:rFonts w:ascii="Times New Roman" w:hAnsi="Times New Roman" w:cs="Times New Roman"/>
          <w:i w:val="0"/>
          <w:color w:val="000000" w:themeColor="text1"/>
          <w:sz w:val="16"/>
          <w:szCs w:val="16"/>
          <w:lang w:val="ru-RU"/>
        </w:rPr>
      </w:pPr>
      <w:r w:rsidRPr="00E93F40">
        <w:rPr>
          <w:rStyle w:val="affa"/>
          <w:rFonts w:cs="Times New Roman"/>
          <w:color w:val="000000" w:themeColor="text1"/>
          <w:sz w:val="16"/>
          <w:szCs w:val="16"/>
          <w:lang w:val="ru-RU"/>
        </w:rPr>
        <w:t>* С</w:t>
      </w:r>
      <w:r w:rsidRPr="00E93F40">
        <w:rPr>
          <w:rFonts w:ascii="Times New Roman" w:hAnsi="Times New Roman" w:cs="Times New Roman"/>
          <w:i w:val="0"/>
          <w:color w:val="000000" w:themeColor="text1"/>
          <w:sz w:val="16"/>
          <w:szCs w:val="16"/>
          <w:lang w:val="ru-RU"/>
        </w:rPr>
        <w:t xml:space="preserve"> бомСхнк'ржате. тми Д- / позднее указывеися вес 1140,5 кг.</w:t>
      </w:r>
    </w:p>
    <w:p w14:paraId="2191943A"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Впрочем, самолет № 21117 образцом для се</w:t>
      </w:r>
      <w:r w:rsidRPr="00E93F40">
        <w:rPr>
          <w:rFonts w:ascii="Times New Roman" w:hAnsi="Times New Roman"/>
          <w:color w:val="000000" w:themeColor="text1"/>
          <w:sz w:val="16"/>
          <w:szCs w:val="16"/>
        </w:rPr>
        <w:softHyphen/>
        <w:t>рийного воспроизведения все-таки не стал. В 1933 г. И-5 строились на заводе №21 по типу самолета №4302, выпущенного на заводе №1. Его дополнительные испытания с деревянным воздушным винтом фирмы Шварц диаметром 2,75 метра с целлулоидным покрытием прове</w:t>
      </w:r>
      <w:r w:rsidRPr="00E93F40">
        <w:rPr>
          <w:rFonts w:ascii="Times New Roman" w:hAnsi="Times New Roman"/>
          <w:color w:val="000000" w:themeColor="text1"/>
          <w:sz w:val="16"/>
          <w:szCs w:val="16"/>
        </w:rPr>
        <w:softHyphen/>
        <w:t>ли в сентябре 1933 г. Летал Томас Сузи. Само</w:t>
      </w:r>
      <w:r w:rsidRPr="00E93F40">
        <w:rPr>
          <w:rFonts w:ascii="Times New Roman" w:hAnsi="Times New Roman"/>
          <w:color w:val="000000" w:themeColor="text1"/>
          <w:sz w:val="16"/>
          <w:szCs w:val="16"/>
        </w:rPr>
        <w:softHyphen/>
        <w:t>лет недодал скорости — развивал всего 265 км/ч у земли. Однако воздушный винт понравился, поэтому в 1934 году предлагалось организо</w:t>
      </w:r>
      <w:r w:rsidRPr="00E93F40">
        <w:rPr>
          <w:rFonts w:ascii="Times New Roman" w:hAnsi="Times New Roman"/>
          <w:color w:val="000000" w:themeColor="text1"/>
          <w:sz w:val="16"/>
          <w:szCs w:val="16"/>
        </w:rPr>
        <w:softHyphen/>
        <w:t>вать производство таких винтов. Между тем, в Горьком (в городе Горьком, ибо так с 1932 года стал именоваться Нижний Новгород) уже вы</w:t>
      </w:r>
      <w:r w:rsidRPr="00E93F40">
        <w:rPr>
          <w:rFonts w:ascii="Times New Roman" w:hAnsi="Times New Roman"/>
          <w:color w:val="000000" w:themeColor="text1"/>
          <w:sz w:val="16"/>
          <w:szCs w:val="16"/>
        </w:rPr>
        <w:softHyphen/>
        <w:t>пускали самолеты с металлическими воздуш</w:t>
      </w:r>
      <w:r w:rsidRPr="00E93F40">
        <w:rPr>
          <w:rFonts w:ascii="Times New Roman" w:hAnsi="Times New Roman"/>
          <w:color w:val="000000" w:themeColor="text1"/>
          <w:sz w:val="16"/>
          <w:szCs w:val="16"/>
        </w:rPr>
        <w:softHyphen/>
        <w:t>ными винтами. Образцом-эталоном был вы</w:t>
      </w:r>
      <w:r w:rsidRPr="00E93F40">
        <w:rPr>
          <w:rFonts w:ascii="Times New Roman" w:hAnsi="Times New Roman"/>
          <w:color w:val="000000" w:themeColor="text1"/>
          <w:sz w:val="16"/>
          <w:szCs w:val="16"/>
        </w:rPr>
        <w:softHyphen/>
        <w:t>бран серийный И-5 №21510 (12295).</w:t>
      </w:r>
    </w:p>
    <w:p w14:paraId="68F03F52"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63BA2D37"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серийное строительство И-5 решили передать на новый авиазавод №21 в Нижнем Новгороде. Завод только начал фун</w:t>
      </w:r>
      <w:r w:rsidRPr="00E93F40">
        <w:rPr>
          <w:rFonts w:ascii="Times New Roman" w:hAnsi="Times New Roman"/>
          <w:color w:val="000000" w:themeColor="text1"/>
          <w:sz w:val="16"/>
          <w:szCs w:val="16"/>
        </w:rPr>
        <w:softHyphen/>
        <w:t>кционировать, поэтому при выпуске про</w:t>
      </w:r>
      <w:r w:rsidRPr="00E93F40">
        <w:rPr>
          <w:rFonts w:ascii="Times New Roman" w:hAnsi="Times New Roman"/>
          <w:color w:val="000000" w:themeColor="text1"/>
          <w:sz w:val="16"/>
          <w:szCs w:val="16"/>
        </w:rPr>
        <w:softHyphen/>
        <w:t>дукции предполагались трудности, которые должно было преодолеть Бюро внедрения и ответственные за процесс: Д.П. Григорович (старший), И.М. Косткин и К.А. Виганд.</w:t>
      </w:r>
    </w:p>
    <w:p w14:paraId="78657D8E"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Московской команде предстояло мак</w:t>
      </w:r>
      <w:r w:rsidRPr="00E93F40">
        <w:rPr>
          <w:rFonts w:ascii="Times New Roman" w:hAnsi="Times New Roman"/>
          <w:color w:val="000000" w:themeColor="text1"/>
          <w:sz w:val="16"/>
          <w:szCs w:val="16"/>
        </w:rPr>
        <w:softHyphen/>
        <w:t>симально помочь освоению истребителя и оживить своим присутствием его строитель</w:t>
      </w:r>
      <w:r w:rsidRPr="00E93F40">
        <w:rPr>
          <w:rFonts w:ascii="Times New Roman" w:hAnsi="Times New Roman"/>
          <w:color w:val="000000" w:themeColor="text1"/>
          <w:sz w:val="16"/>
          <w:szCs w:val="16"/>
        </w:rPr>
        <w:softHyphen/>
        <w:t>ство. По этой же причине в Нижний Новго</w:t>
      </w:r>
      <w:r w:rsidRPr="00E93F40">
        <w:rPr>
          <w:rFonts w:ascii="Times New Roman" w:hAnsi="Times New Roman"/>
          <w:color w:val="000000" w:themeColor="text1"/>
          <w:sz w:val="16"/>
          <w:szCs w:val="16"/>
        </w:rPr>
        <w:softHyphen/>
        <w:t>род в качестве эталона передали И-5 №4298, а затем в течение года перевезли из Москвы весь задел по серии завода № 1 и всю необхо</w:t>
      </w:r>
      <w:r w:rsidRPr="00E93F40">
        <w:rPr>
          <w:rFonts w:ascii="Times New Roman" w:hAnsi="Times New Roman"/>
          <w:color w:val="000000" w:themeColor="text1"/>
          <w:sz w:val="16"/>
          <w:szCs w:val="16"/>
        </w:rPr>
        <w:softHyphen/>
        <w:t>димую технологическую оснастку. Впрочем, по причине продолжающегося строительст</w:t>
      </w:r>
      <w:r w:rsidRPr="00E93F40">
        <w:rPr>
          <w:rFonts w:ascii="Times New Roman" w:hAnsi="Times New Roman"/>
          <w:color w:val="000000" w:themeColor="text1"/>
          <w:sz w:val="16"/>
          <w:szCs w:val="16"/>
        </w:rPr>
        <w:softHyphen/>
        <w:t>ва завода и силового внедрения нового объ</w:t>
      </w:r>
      <w:r w:rsidRPr="00E93F40">
        <w:rPr>
          <w:rFonts w:ascii="Times New Roman" w:hAnsi="Times New Roman"/>
          <w:color w:val="000000" w:themeColor="text1"/>
          <w:sz w:val="16"/>
          <w:szCs w:val="16"/>
        </w:rPr>
        <w:softHyphen/>
        <w:t>екта успехи оказались скромными. Основ</w:t>
      </w:r>
      <w:r w:rsidRPr="00E93F40">
        <w:rPr>
          <w:rFonts w:ascii="Times New Roman" w:hAnsi="Times New Roman"/>
          <w:color w:val="000000" w:themeColor="text1"/>
          <w:sz w:val="16"/>
          <w:szCs w:val="16"/>
        </w:rPr>
        <w:softHyphen/>
        <w:t>ную часть годового выпуска построили на за</w:t>
      </w:r>
      <w:r w:rsidRPr="00E93F40">
        <w:rPr>
          <w:rFonts w:ascii="Times New Roman" w:hAnsi="Times New Roman"/>
          <w:color w:val="000000" w:themeColor="text1"/>
          <w:sz w:val="16"/>
          <w:szCs w:val="16"/>
        </w:rPr>
        <w:softHyphen/>
        <w:t>воде №1 (76 самолетов). Тем не менее в план 21-го завода за 1932 г. зачли первые 10 серий</w:t>
      </w:r>
      <w:r w:rsidRPr="00E93F40">
        <w:rPr>
          <w:rFonts w:ascii="Times New Roman" w:hAnsi="Times New Roman"/>
          <w:color w:val="000000" w:themeColor="text1"/>
          <w:sz w:val="16"/>
          <w:szCs w:val="16"/>
        </w:rPr>
        <w:softHyphen/>
        <w:t>ных аппаратов (12295).</w:t>
      </w:r>
    </w:p>
    <w:p w14:paraId="688EA3F9"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43357D2B"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серию пошли самолеты И-5 с уменьшенным выно</w:t>
      </w:r>
      <w:r w:rsidRPr="00E93F40">
        <w:rPr>
          <w:rFonts w:ascii="Times New Roman" w:hAnsi="Times New Roman"/>
          <w:color w:val="000000" w:themeColor="text1"/>
          <w:sz w:val="16"/>
          <w:szCs w:val="16"/>
        </w:rPr>
        <w:softHyphen/>
        <w:t>сом шасси и управляемым костылем, кото</w:t>
      </w:r>
      <w:r w:rsidRPr="00E93F40">
        <w:rPr>
          <w:rFonts w:ascii="Times New Roman" w:hAnsi="Times New Roman"/>
          <w:color w:val="000000" w:themeColor="text1"/>
          <w:sz w:val="16"/>
          <w:szCs w:val="16"/>
        </w:rPr>
        <w:softHyphen/>
        <w:t>рые были выполнены по типу самолета-эталона И-5 №4298. Неприятности с капотиро</w:t>
      </w:r>
      <w:r w:rsidRPr="00E93F40">
        <w:rPr>
          <w:rFonts w:ascii="Times New Roman" w:hAnsi="Times New Roman"/>
          <w:color w:val="000000" w:themeColor="text1"/>
          <w:sz w:val="16"/>
          <w:szCs w:val="16"/>
        </w:rPr>
        <w:softHyphen/>
        <w:t>ванием истребителей во время пробега на по</w:t>
      </w:r>
      <w:r w:rsidRPr="00E93F40">
        <w:rPr>
          <w:rFonts w:ascii="Times New Roman" w:hAnsi="Times New Roman"/>
          <w:color w:val="000000" w:themeColor="text1"/>
          <w:sz w:val="16"/>
          <w:szCs w:val="16"/>
        </w:rPr>
        <w:softHyphen/>
        <w:t>садке закончились (12295).</w:t>
      </w:r>
    </w:p>
    <w:p w14:paraId="760FC22B"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5598EC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производство И-5 было не только продолжено, но и предпринимались большие усилия по его увеличению. Эта машина должна была стать первым советским по-настоящему массовым истребителем. Первоначально за 1932 г. рассчитывали получить 125 И-5, но в связи с тем, что не был выполнен план предыдущего года, эту цифру подняли до 300 самолётов. Завод № 1, загруженный другими заказами (в частности, в 1932 г. он осваивал производство истребителей И-7 по лицензии фирмы "Хейнкель" и в больших количествах строил разведчики Р-5), не мог справиться с подобной программой. Поэтому к производству И-5 подключили новый мощный завод № 21 в Нижнем Новгороде, который должен был взять на себя основной объём работ.</w:t>
      </w:r>
    </w:p>
    <w:p w14:paraId="66C40D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 И-5 не оставался неизменным. Машины, изготовленные заводом № 1 в 1932 г., отличались от старых в первую очередь капотом, выполненным как у ВТ-13. Изменились очертания бортиков кабины пилота, которые обшили кожей, форма ветрового козырька, был усилен пол кабины. Стандартным стал оптический прицел "Апьдис". Позже вместо него монтировали его советскую копию ОП-1. Коллиматорный прицел КПТ-5 сохранили как дублирующий, прикрепив его сверху к оптическому прицелу. Пулемётов оставили только два - нижние, увеличив боезапас до 500 патронов на каждый.</w:t>
      </w:r>
    </w:p>
    <w:p w14:paraId="0A4A2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самой существенной новинкой 1932 г. стало сильно изменённое шасси. Старые чрезмерно высокие стойки не обеспечивали И-5 достаточной устойчивости при разбеге на взлёте и пробеге при посадке. Против сильного ветра И-5 садился благополучно, но при отсутствии ветра делал на пробеге неуправляемый разворот. Парирование рулём направления при этом не помогало. Колесо, внешнее по направлению к развороту, ломалось, и самолёт становился на нос или капотировал. Этот дефект обнаружился ещё на первых государственных испытаниях в августе 1930 г. Два первых опытных образца истребителя пострадали по этой причине. За 1931 г. и первую половину 1932 г. 68% всех аварий И-5 произошли за счёт шасси.</w:t>
      </w:r>
    </w:p>
    <w:p w14:paraId="59C27B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Ломали машины не только молодые лётчики. Например, в 11-й авиаэскадрилье под Ленинградом за июль - август 1932 г. произошло семь таких случаев. Жалобы по поводу аварий с непроизвольным разворотом постоянно шли от ВВС ОКДВА. Кончилось тем, что, пытаясь доказать возможность успешной посадки И-5 в штиль, </w:t>
      </w:r>
      <w:r w:rsidRPr="00E93F40">
        <w:rPr>
          <w:rFonts w:ascii="Times New Roman" w:hAnsi="Times New Roman"/>
          <w:color w:val="000000" w:themeColor="text1"/>
          <w:sz w:val="16"/>
          <w:szCs w:val="16"/>
        </w:rPr>
        <w:lastRenderedPageBreak/>
        <w:t>перекувырнулся на своём личном самолёте сам Алкснис. Инженер И.Ф. Петров из НИИ ВВС (тот самый, что ранее попал в подобную ситуацию на ВТ-11) предложил изменить размеры шасси, укоротив стойку и подкос. При этом шасси понизили на 150 мм, а ось колёс сдвинули на 120 мм назад. Это дало уменьшение капотажного угла с 17 до 15°. Одновременно костыль соединили с рулём направления, сделав его управляемым. Пробную переделку истребителя № 4292 произвели за одну ночь. К утру 29 июня самолёт был готов, и на нём выполнили пять удачных полётов. Шестой совершил лично Алкснис и убедился, что тенденция к развороту на пробеге исчезла.</w:t>
      </w:r>
    </w:p>
    <w:p w14:paraId="1506D2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надежды на выполнение заказа УВВС возлагались на завод № 21, который по плану должен был изготовить в 1932 г. 186 истребителей. За эталон там взяли серийную машину № 4298, выпущенную в 1931 г. в Москве, и модернизировали её, частично внеся изменения, присущие московским истребителям выпуска 1932 г., то есть капот с кольцом Та- уненда, управляемый костыль и пониженное шасси. Отличия от самолётов завода № 1 были в основном внутренние- изменённый маслобак, новые патронные короба (старые рвали полотно при выемке из фюзеляжа), предусматривалась установка фотоаппарата для ведения воздушной разведки. Технические условия на поставку предусматривали вооружение из двух пулемётов (нижней пары) и двух бомбодержателей Дер-5 под нижним крылом. Прицел "Альдис" считался обязательным. Список оборудования дополнили картодержателем и зеркалом заднего вида, установленным на задней кромке выреза центроплана. По такому образцу намеревались собрать первые 113 истребителей, для которых завод № 1 передавал уже готовые фюзеляжи. Следующие 75 И-5, которые в Нижнем должны были изготовить самостоятельно, требовалось доработать по чертежам Бюро внедрения ЦКБ, которое предложило внести в общей сложности 73 изменения, направленных в основном на упрощение технологии, унификацию узлов, а также учитывающих опыт эксплуатации в ВВС.</w:t>
      </w:r>
    </w:p>
    <w:p w14:paraId="41BFBB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Изменили диаметры труб каркаса в различных местах, ширину лент расчалок, усилили лонжероны, центроплан и межкрыльевые стойки. Ряд изменений претерпело хвостовое оперение - удлинили задний лонжерон киля, переделали передний узел крепления к фюзеляжу, укоротили подкосы стабилизатора, руль высоты навесили на шарикоподшипниках. Переделали бензобак и сменили сливные краны бензиновой и масляной систем. Установили радиостанцию 15-СК; её антенна натягивалась между двумя мачтами: на верхнем крыле и на верхушке киля. Вдобавок по инерции унифицировали моторамы под М-22 и М-15, что уже никогда не понадобилось. Всеми работами по внедрению И-5 на заводе № 21 руководил один из создателей машины И.М. Косткин.</w:t>
      </w:r>
    </w:p>
    <w:p w14:paraId="73854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всех переделок истребитель стал немного тяжелее (вес пустого самолёта возрос примерно на 20 кг) и за счёт этого несколько потерял в скороподъёмности и потолке, но зато стал летать быстрее на всех высотах: максимальная скорость достигла 276 км/ч (11997).</w:t>
      </w:r>
    </w:p>
    <w:p w14:paraId="5AB1D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B05A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завод 31 начал производить Ш-2 и Савойя С-62. С 1933 по 38 выпускал Р-6: ТБ-3 (АНТ-6), МБР-2, МДР-4 (80,425).</w:t>
      </w:r>
    </w:p>
    <w:p w14:paraId="4F84B7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F5B00E"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Н.Н. Поликарпов под влиянием появившихся сообщений о разработке в Германии скоростного самолета под двигатель жидкостного охлаждения (проект Хейнкель Не 70 «Блиц») сделал первые эскизы нового истребителя с подобной силовой установкой и максимально обтекаемыми формами. В силу загрузки плановыми темами в дальнейшую работу они пока не пошли, но стали основой для будущего проекта И-17 (ЦКБ-15).</w:t>
      </w:r>
    </w:p>
    <w:p w14:paraId="1A6FC2B5"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1932 г. ЦКБ-39 выпустило на испытания только два новых типа самолетов, и оба морских:</w:t>
      </w:r>
    </w:p>
    <w:p w14:paraId="4C8D6761"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морской дальний разведчик МДР-3 (ЦКБ-11) Четверикова;</w:t>
      </w:r>
    </w:p>
    <w:p w14:paraId="67C3D4F8"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морской ближний разведчик МБР-2 (ЦКБ-25) Бериева.</w:t>
      </w:r>
    </w:p>
    <w:p w14:paraId="5ECE1B0A"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них успешно прошел испытания только последний и тот в серийное производство пошел только в 1934 г., когда группа Бериева была выведена из состава ЦКБ и направлена на завод №31.</w:t>
      </w:r>
    </w:p>
    <w:p w14:paraId="23F02C85"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именно в этом году в ЦКБ началось создание нового поколения самолетов, для чего были выполнены обширные и потребовавшие не только расчетной, но и лабораторно-экспериментальной проверки работы в следующих областях:</w:t>
      </w:r>
    </w:p>
    <w:p w14:paraId="4FE8B4A5"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улучшение аэродинамического качества самолетов за счет их обтекаемости, в т.ч. перехода на схему свободнонесущего моноплана с убирающимся шасси и закрытой кабиной;</w:t>
      </w:r>
    </w:p>
    <w:p w14:paraId="2D66FEFA"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внедрение наддува двигателей, металлических воздушных винтов, новых систем охлаждения и капотов;</w:t>
      </w:r>
    </w:p>
    <w:p w14:paraId="635078E9"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внедрение новых сортов стали и дюраля и технологий для работы с ними;</w:t>
      </w:r>
    </w:p>
    <w:p w14:paraId="213B7669"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внедрение новых образцов вооружения.</w:t>
      </w:r>
    </w:p>
    <w:p w14:paraId="013A65FA" w14:textId="77777777" w:rsidR="008A6FD2" w:rsidRPr="00E93F40" w:rsidRDefault="008A6FD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Большинство этих работ выполнено под руководством Поликарпова, также активно участвовали Григорович и Кочеригин (23554).</w:t>
      </w:r>
    </w:p>
    <w:p w14:paraId="3866D467" w14:textId="77777777" w:rsidR="008A6FD2" w:rsidRPr="00E93F40" w:rsidRDefault="008A6FD2" w:rsidP="00E93F40">
      <w:pPr>
        <w:spacing w:after="0" w:line="240" w:lineRule="auto"/>
        <w:jc w:val="both"/>
        <w:rPr>
          <w:rFonts w:ascii="Times New Roman" w:hAnsi="Times New Roman"/>
          <w:color w:val="000000" w:themeColor="text1"/>
          <w:sz w:val="16"/>
          <w:szCs w:val="16"/>
        </w:rPr>
      </w:pPr>
    </w:p>
    <w:p w14:paraId="357090DA" w14:textId="77777777" w:rsidR="00FC0AA6" w:rsidRPr="00E93F40" w:rsidRDefault="00FC0AA6"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группа легкой авиации Яковлева пополнилась но</w:t>
      </w:r>
      <w:r w:rsidRPr="00E93F40">
        <w:rPr>
          <w:rFonts w:ascii="Times New Roman" w:hAnsi="Times New Roman"/>
          <w:color w:val="000000" w:themeColor="text1"/>
          <w:sz w:val="16"/>
          <w:szCs w:val="16"/>
        </w:rPr>
        <w:softHyphen/>
        <w:t>выми сотрудниками и въехала на территорию бывшего авиазавода Ф. Моска, того самого, который назывался ГАЗ №5, затем ГАЗ №25, а затем авиазавод №39. Евгений Ге</w:t>
      </w:r>
      <w:r w:rsidRPr="00E93F40">
        <w:rPr>
          <w:rFonts w:ascii="Times New Roman" w:hAnsi="Times New Roman"/>
          <w:color w:val="000000" w:themeColor="text1"/>
          <w:sz w:val="16"/>
          <w:szCs w:val="16"/>
        </w:rPr>
        <w:softHyphen/>
        <w:t>оргиевич Адлер, очевидец и участник этих событий так опи</w:t>
      </w:r>
      <w:r w:rsidRPr="00E93F40">
        <w:rPr>
          <w:rFonts w:ascii="Times New Roman" w:hAnsi="Times New Roman"/>
          <w:color w:val="000000" w:themeColor="text1"/>
          <w:sz w:val="16"/>
          <w:szCs w:val="16"/>
        </w:rPr>
        <w:softHyphen/>
        <w:t>сал этот эпизод: «Старинной постройки деревянный ангар в Авиационном переулке использовался авиазаводом №39 в качестве деревообделочного цеха. Вдоль одной из стен, под окнами, расположенными на высоте второго этажа, был устроен длинный дощатый настил, где мы и расста</w:t>
      </w:r>
      <w:r w:rsidRPr="00E93F40">
        <w:rPr>
          <w:rFonts w:ascii="Times New Roman" w:hAnsi="Times New Roman"/>
          <w:color w:val="000000" w:themeColor="text1"/>
          <w:sz w:val="16"/>
          <w:szCs w:val="16"/>
        </w:rPr>
        <w:softHyphen/>
        <w:t>вили свои столы и шкафы». Именно здесь начало функци</w:t>
      </w:r>
      <w:r w:rsidRPr="00E93F40">
        <w:rPr>
          <w:rFonts w:ascii="Times New Roman" w:hAnsi="Times New Roman"/>
          <w:color w:val="000000" w:themeColor="text1"/>
          <w:sz w:val="16"/>
          <w:szCs w:val="16"/>
        </w:rPr>
        <w:softHyphen/>
        <w:t>онировать небольшое КБ, которое впоследствии стало широко известно, как ОКБ А.С.Яковлева (20362).</w:t>
      </w:r>
    </w:p>
    <w:p w14:paraId="3A71CDD8" w14:textId="77777777" w:rsidR="00FC0AA6" w:rsidRPr="00E93F40" w:rsidRDefault="00FC0AA6" w:rsidP="00E93F40">
      <w:pPr>
        <w:shd w:val="clear" w:color="auto" w:fill="FFFFFF"/>
        <w:spacing w:after="0" w:line="240" w:lineRule="auto"/>
        <w:jc w:val="both"/>
        <w:rPr>
          <w:rFonts w:ascii="Times New Roman" w:hAnsi="Times New Roman"/>
          <w:color w:val="000000" w:themeColor="text1"/>
          <w:sz w:val="16"/>
          <w:szCs w:val="16"/>
        </w:rPr>
      </w:pPr>
    </w:p>
    <w:p w14:paraId="316E6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1932 года ЦАГИ провел работу по постройке и испытанию одномоторного самолета Летающее крыло - Параболы. Испытания показали удовлетворительные летные данные и устойчивость полета машины. Учитывая полученный опыт одномоторной Параболы, ЦАГИ полагал возможным и более целесообразным взамен экспериментальной переходной машины Параболы с 2-мя М11, строить уже не переходную машину, а экспериментальную с двумя моторами по 400-600 НР, которая могла бы иметь эксплуатационное значение. В связи с этим увеличивается масштаб машины, а следовательно и объем конструкторских и производственных работ. На основании приведенных соображений, срок выхода на аэродром ЛК2М (400-600 НР) сдвинется на 1 мая 1933 года (3530,70-86).</w:t>
      </w:r>
    </w:p>
    <w:p w14:paraId="72B1BD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B5AB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Д.П.Г. получил опытный завод 133 для проведения дальнейших работ над ДРП и Курчевского назначили зам. Сделали 37 мм АПК-11 (97,23).</w:t>
      </w:r>
    </w:p>
    <w:p w14:paraId="7F923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другим данным Z испытывался в Москве весь 1932 и хотели запустить производство на 39 и 135 в Харькове. Проблемы были с пушками и к работе привлекли специалистов РНИИ. Курчевскому выделили завод 38 для опытного производства (97,22), однако, произошло это только в конце 1933 (203,28).</w:t>
      </w:r>
    </w:p>
    <w:p w14:paraId="26E9D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Считается, что Д.П.Г. и Курчевский поссорились из-за того, при демонстрации Т.П.Сузи И-Z с 37 мм ДРП К.Е.Ворошилову, A.К.Орджоникидзе, М.Н.Тухачевскому, и А.Н.Т. Д.П.Г. отказался показывать ИП-1 с 75 мм, так как они якобы были еще не готовы (79,129).</w:t>
      </w:r>
    </w:p>
    <w:p w14:paraId="742495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это было значительно позже, где-то в 1934-1935 гг., а м.б. и в 1937</w:t>
      </w:r>
    </w:p>
    <w:p w14:paraId="3A967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Якобы Курчевский хотел подчинить. Поэтому Д.П.Г. пригласил на свой ПИ Ю.А.Победоносцева (79,129).</w:t>
      </w:r>
    </w:p>
    <w:p w14:paraId="3A29A7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05E4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завершили заводские испытания И-8 (АНТ-13). На гос. - не передавался (80,125). Проблема - отсутствие мощных двигателей и поэтому не стали делать И-9 и И-10 (80,125).</w:t>
      </w:r>
    </w:p>
    <w:p w14:paraId="5C0C09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4CC577C" w14:textId="490199F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1932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и. о. начальника Главного управления авиапромышленности Макаревский писал в правительство:</w:t>
      </w:r>
    </w:p>
    <w:p w14:paraId="3E450B76" w14:textId="0963E6CD"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«Полёты в стратосферу являются ближайшим этапом развития аэронавтики, 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 только при помощи таких полётов можно достигнуть:</w:t>
      </w:r>
    </w:p>
    <w:p w14:paraId="79D5786B"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а). Сверхбольших скоростей,</w:t>
      </w:r>
    </w:p>
    <w:p w14:paraId="0D7996D0"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б). Осуществить полёт в постоянных благоприятных метеорологических условиях,</w:t>
      </w:r>
    </w:p>
    <w:p w14:paraId="0C9B5972"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С точки зрения военного значения, получить недосягаемость для зенит ной артиллерии и незаметность самого полёта.</w:t>
      </w:r>
    </w:p>
    <w:p w14:paraId="3EC32083"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г). Сверх того, стратосферные полёты имеют и громадное научное значение.</w:t>
      </w:r>
    </w:p>
    <w:p w14:paraId="5EC320F9"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…Проблема создания стратосферного самолёта заключается не столько в создании планера, сколько в создании специального силового агрегата, могущего работать в условиях стратосферы. Эта проблема распадается на создание специального движителя и специального винта.</w:t>
      </w:r>
    </w:p>
    <w:p w14:paraId="7ED4D30F"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Специальный движитель может быть 3-х различных типов:</w:t>
      </w:r>
    </w:p>
    <w:p w14:paraId="45B1E826"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а). Реактивный движитель ракетного типа…</w:t>
      </w:r>
    </w:p>
    <w:p w14:paraId="5523E3D4"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б). Или реактивный движитель может состоять из паровой турбины.</w:t>
      </w:r>
    </w:p>
    <w:p w14:paraId="5CE816AD" w14:textId="283318A3"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Наконец — для движителя может быть использован нормальный мотор, изменённый таким образом, чтобы он сохранял свою мощность на высоте, 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 разрежённый воздух стратосферы недостаточен для правильной карбюрации и полного сгорания горючего в цилиндре обычного авиационного мотора.</w:t>
      </w:r>
    </w:p>
    <w:p w14:paraId="4EBAE2CF" w14:textId="26B6A8E2"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Из этих трёх решений последнее решение, хотя и является паллиативным, 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 позволяет достигнуть высоты полёта лишь в пределах до 15–18</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однако на настоящей стадии техники является единственно реальным. Первые два решения находятся в настоящее время лишь в состоянии лабораторных опытов. Поэтому Конструкторский Отдел (КО) и Бюро Новых Конструкций</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(БНК) ЦАГИ пошли при осуществлении построения стратосферного самолёта в направлении реализации третьего пути решения вопроса.</w:t>
      </w:r>
    </w:p>
    <w:p w14:paraId="729BF19E"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Сохранение мощности мотора может быть получено путём построения мотора внутреннего сгорания с переменной степенью сжатия. Однако реализация такого мотора представляет настолько значительные механические трудности, что такого рода решения в настоящее время приходится признать нереальными.</w:t>
      </w:r>
    </w:p>
    <w:p w14:paraId="6391331B" w14:textId="01D0D1B6"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lastRenderedPageBreak/>
        <w:t>Поэтому остаётся второй путь — постановка на моторах импеллеров (нагнетателей.</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Д.С.), назначение которых состоит в том, чтобы, засасывая большие количества разрежённого воздуха, сжимать его примерно до атмосферного давления и при этом давлении подавать в мотор. Таким образом, для полёта в стратосферу требуется специальный высотный мотор с сильным импеллером.</w:t>
      </w:r>
    </w:p>
    <w:p w14:paraId="546284A0" w14:textId="6CFAE0C4"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Следует отметить, что современные импеллеры на своё вращение поглощают достаточно большую мощность, а именно на высоте 15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до 40–50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мощности мотора. Последнее условие и ограничивает применение мотора с импеллером высотой лишь примерно до 18</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w:t>
      </w:r>
    </w:p>
    <w:p w14:paraId="6286C497"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Изучение характеристических винтов, употребляемых в авиации, показывает, что их коэффициент полезного действия быстро убывает с высотой. Так как тяга винта пропорциональна массе воздуха, протекающей через площадь, ометаемую винтом, то отсюда легко заключить, что всякое уменьшение этой массы соответствует уменьшению тяги винта и, следовательно, уменьшению его коэффициента полезного действия, тем более значительному, чем более воздух будет разрежён. Наиболее простым средством здесь является, по-видимому, постановка винта регулируемого переменного шага во время полёта.</w:t>
      </w:r>
    </w:p>
    <w:p w14:paraId="6730C638"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Второй способ получения решения вопроса, вытекающий из изучения характеристических кривых винтов, заключается в построении винта, могущего менять с высотой свою скорость вращения при сохранении скорости вращения мотора, что может быть достигнуто с помощью установки коробки скоростей.</w:t>
      </w:r>
    </w:p>
    <w:p w14:paraId="55314BBA" w14:textId="2CB82F15"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Третьим обстоятельством, с которым мы встречаемся в стратосферном полёте, является сохранение жизни лётчика и возможность для него нормально работать в удобных условиях на большой высоте. Организм человека может существовать более или менее нормально до высот в 6–7</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На высотах от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6 до 12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жизнь может быть поддержана добавочным кислородным питанием. Выше 12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давление настолько мало, что человеческий организм погибает. Поэтому для осуществления стратосферного полёта необходима особая герметическая кабина, в которой поддерживается необходимое давление, вводится кислород, обеспечивающий дыхание лётчику, и удаляется углекислый газ, выделяемый при дыхании.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Чрезвычайно низкие температуры от -50 до -70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°C в стратосфере создают также ряд трудностей, а именно, явление обмерзания, замерзания смазки органов управления, необходимость отепления кабины. Однако эти трудности при современном состоянии техники могут быть разрешены» </w:t>
      </w:r>
      <w:hyperlink r:id="rId317" w:history="1">
        <w:r w:rsidRPr="00E93F40">
          <w:rPr>
            <w:rFonts w:ascii="Times New Roman" w:eastAsia="Times New Roman" w:hAnsi="Times New Roman"/>
            <w:color w:val="000000" w:themeColor="text1"/>
            <w:sz w:val="16"/>
            <w:szCs w:val="16"/>
            <w:lang w:eastAsia="ru-RU"/>
          </w:rPr>
          <w:t>[162]</w:t>
        </w:r>
      </w:hyperlink>
      <w:r w:rsidRPr="00E93F40">
        <w:rPr>
          <w:rFonts w:ascii="Times New Roman" w:eastAsia="Times New Roman" w:hAnsi="Times New Roman"/>
          <w:color w:val="000000" w:themeColor="text1"/>
          <w:sz w:val="16"/>
          <w:szCs w:val="16"/>
          <w:lang w:eastAsia="ru-RU"/>
        </w:rPr>
        <w:t>.</w:t>
      </w:r>
    </w:p>
    <w:p w14:paraId="5F33024C" w14:textId="142EFA77" w:rsidR="00746D3C" w:rsidRPr="00E93F40" w:rsidRDefault="00746D3C" w:rsidP="00E93F40">
      <w:pPr>
        <w:spacing w:after="0" w:line="240" w:lineRule="auto"/>
        <w:jc w:val="both"/>
        <w:rPr>
          <w:rFonts w:ascii="Times New Roman" w:hAnsi="Times New Roman"/>
          <w:color w:val="000000" w:themeColor="text1"/>
          <w:sz w:val="16"/>
          <w:szCs w:val="16"/>
        </w:rPr>
      </w:pPr>
      <w:r w:rsidRPr="00E93F40">
        <w:rPr>
          <w:rFonts w:ascii="Times New Roman" w:eastAsia="Times New Roman" w:hAnsi="Times New Roman"/>
          <w:color w:val="000000" w:themeColor="text1"/>
          <w:sz w:val="16"/>
          <w:szCs w:val="16"/>
          <w:lang w:eastAsia="ru-RU"/>
        </w:rPr>
        <w:t>Помимо Конструкторского отдела и Бюро новых конструкций ЦАГИ проектированием стратопланов занимались в Военно-воздушной академии и в НИИ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Гражданского воздушного флота.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 отличие от высотных самолётов ЦАГИ, эти стратопланы должны были иметь по два двигателя и были рассчитаны на достижение высот 16–18</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(расчётный потолок самолётов ЦАГИ составлял около 15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 xml:space="preserve">км) </w:t>
      </w:r>
      <w:hyperlink r:id="rId318" w:history="1">
        <w:r w:rsidRPr="00E93F40">
          <w:rPr>
            <w:rFonts w:ascii="Times New Roman" w:eastAsia="Times New Roman" w:hAnsi="Times New Roman"/>
            <w:color w:val="000000" w:themeColor="text1"/>
            <w:sz w:val="16"/>
            <w:szCs w:val="16"/>
            <w:lang w:eastAsia="ru-RU"/>
          </w:rPr>
          <w:t>[163]</w:t>
        </w:r>
      </w:hyperlink>
      <w:r w:rsidRPr="00E93F40">
        <w:rPr>
          <w:rFonts w:ascii="Times New Roman" w:hAnsi="Times New Roman"/>
          <w:color w:val="000000" w:themeColor="text1"/>
          <w:sz w:val="16"/>
          <w:szCs w:val="16"/>
        </w:rPr>
        <w:t>.</w:t>
      </w:r>
    </w:p>
    <w:p w14:paraId="42EC14BF" w14:textId="5FD69F62"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Велись также переговоры с «Юнкерсом» о совместном продолжении работ по экспериментальному самолёту Ju 49 и даже прорабатывался заказ в Германии трёхместного стратоплана военного назначения с рабочей высотой полёта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 Приход Гитлера к власти поставил крест на этих планах (17489).</w:t>
      </w:r>
    </w:p>
    <w:p w14:paraId="75E4B5E1"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p>
    <w:p w14:paraId="6222786A" w14:textId="4548D9E3"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1932 был подготовлен проект стратосферного самолёта БНК-4, созданный под руководством</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С.А. Лавочкина, который предусматривал размещение двухместной гермокабины в передней части фюзеляжа.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За кабиной устанавливался двигатель</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М-17 и паровая турбина, обеспечивающая наддув силовой установки с помощью двухступенчатого центробежного нагнетателя. Воздушный винт — с гидравлическим приводом от мотора.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Оперение вынесено на балках, шасси — убирающееся в полёте. Конструкция самолёта цельнометаллическая с двойной обшивкой верхней поверхности крыла для конденсации выходящего из турбины пара. Расчётные характеристики: площадь крыла — 45</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м2, полётный вес — 2300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кг, мощность двигателя — 500 л. с., максимальная скорость на высоте — 400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км/ч, потолок — 14 500</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м, продолжительность полёта — 2 часа. Проект был отклонён в 1933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из-за чрезмерной новизны конструкции и опасности вибраций балочного хвостового оперения. РГАЭ. Ф. 8328. Оп. 1. Д. 702. Л. 7-10 (17489).</w:t>
      </w:r>
    </w:p>
    <w:p w14:paraId="5F726820" w14:textId="77777777" w:rsidR="00746D3C" w:rsidRPr="00E93F40" w:rsidRDefault="00746D3C" w:rsidP="00E93F40">
      <w:pPr>
        <w:spacing w:after="0" w:line="240" w:lineRule="auto"/>
        <w:jc w:val="both"/>
        <w:rPr>
          <w:rFonts w:ascii="Times New Roman" w:eastAsia="Times New Roman" w:hAnsi="Times New Roman"/>
          <w:color w:val="000000" w:themeColor="text1"/>
          <w:sz w:val="16"/>
          <w:szCs w:val="16"/>
          <w:lang w:eastAsia="ru-RU"/>
        </w:rPr>
      </w:pPr>
    </w:p>
    <w:p w14:paraId="431189DD" w14:textId="77777777" w:rsidR="00C32CA8" w:rsidRPr="00E93F40" w:rsidRDefault="00C32CA8"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строился планер Г-11, который во многом повторил судьбу более раннего Г-3. Он также строился по двухфюзеляжной схеме, его основным отличием стали объемные, трехместные кабины в каждом фюзеляже с боковыми входными дверями.</w:t>
      </w:r>
    </w:p>
    <w:p w14:paraId="12E2AEE4" w14:textId="77777777" w:rsidR="00C32CA8" w:rsidRPr="00E93F40" w:rsidRDefault="00C32CA8"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Начавшаяся постройка Г-11 затянулась, а в 1933 г. руководство Осоавиахима вообще решило ее прекратить, хотя общая готовность планера оценивалась на 80%.</w:t>
      </w:r>
    </w:p>
    <w:p w14:paraId="1D5C1EDF" w14:textId="77777777" w:rsidR="00C32CA8" w:rsidRPr="00E93F40" w:rsidRDefault="00C32CA8"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Грибовский в этот период переходит на должность заместителя начальника Московского конструкторского бюро Осоавиахима (МКБ), созданного в 1932 г. при Московской планерной школе. Работало МКБ на общественных началах и размещалось в одной из полуподвальных комнат дома №19 по Садово-Спасской улице в Москве. Кроме МКБ, в том же подвале начинали работать и пионеры ГИРДа - создатели первых советских жидкостных ракет. Сегодня об этом можно прочесть на мемориальной доске, установленной на жилом здании у Красных ворот (12682).</w:t>
      </w:r>
    </w:p>
    <w:p w14:paraId="721913C5" w14:textId="77777777" w:rsidR="00C32CA8" w:rsidRPr="00E93F40" w:rsidRDefault="00C32CA8" w:rsidP="00E93F40">
      <w:pPr>
        <w:shd w:val="clear" w:color="auto" w:fill="FFFFFF"/>
        <w:spacing w:after="0" w:line="240" w:lineRule="auto"/>
        <w:jc w:val="both"/>
        <w:rPr>
          <w:rFonts w:ascii="Times New Roman" w:hAnsi="Times New Roman"/>
          <w:color w:val="000000" w:themeColor="text1"/>
          <w:sz w:val="16"/>
          <w:szCs w:val="16"/>
        </w:rPr>
      </w:pPr>
    </w:p>
    <w:p w14:paraId="471866B3"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 в </w:t>
      </w:r>
      <w:r w:rsidRPr="00E93F40">
        <w:rPr>
          <w:rStyle w:val="2pt"/>
          <w:color w:val="000000" w:themeColor="text1"/>
          <w:spacing w:val="0"/>
          <w:sz w:val="16"/>
          <w:szCs w:val="16"/>
        </w:rPr>
        <w:t>НИИ</w:t>
      </w:r>
      <w:r w:rsidRPr="00E93F40">
        <w:rPr>
          <w:rFonts w:ascii="Times New Roman" w:hAnsi="Times New Roman"/>
          <w:color w:val="000000" w:themeColor="text1"/>
          <w:sz w:val="16"/>
          <w:szCs w:val="16"/>
        </w:rPr>
        <w:t xml:space="preserve"> ВВС Кра</w:t>
      </w:r>
      <w:r w:rsidRPr="00E93F40">
        <w:rPr>
          <w:rFonts w:ascii="Times New Roman" w:hAnsi="Times New Roman"/>
          <w:color w:val="000000" w:themeColor="text1"/>
          <w:sz w:val="16"/>
          <w:szCs w:val="16"/>
        </w:rPr>
        <w:softHyphen/>
        <w:t>сной Армии появился закупленный в Англии истребитель Фэйри «Файрфлай», то ничем он так не удивлял, как тщательно подогнанными стыками обшивки, безукоризненно работающими замками и другими доведен</w:t>
      </w:r>
      <w:r w:rsidRPr="00E93F40">
        <w:rPr>
          <w:rFonts w:ascii="Times New Roman" w:hAnsi="Times New Roman"/>
          <w:color w:val="000000" w:themeColor="text1"/>
          <w:sz w:val="16"/>
          <w:szCs w:val="16"/>
        </w:rPr>
        <w:softHyphen/>
        <w:t>ными до совершенства «мелочами». Создате</w:t>
      </w:r>
      <w:r w:rsidRPr="00E93F40">
        <w:rPr>
          <w:rFonts w:ascii="Times New Roman" w:hAnsi="Times New Roman"/>
          <w:color w:val="000000" w:themeColor="text1"/>
          <w:sz w:val="16"/>
          <w:szCs w:val="16"/>
        </w:rPr>
        <w:softHyphen/>
        <w:t>ли «Файрфлая» понимали, что от самой схе</w:t>
      </w:r>
      <w:r w:rsidRPr="00E93F40">
        <w:rPr>
          <w:rFonts w:ascii="Times New Roman" w:hAnsi="Times New Roman"/>
          <w:color w:val="000000" w:themeColor="text1"/>
          <w:sz w:val="16"/>
          <w:szCs w:val="16"/>
        </w:rPr>
        <w:softHyphen/>
        <w:t>мы биплана взято уже все возможное, поэто</w:t>
      </w:r>
      <w:r w:rsidRPr="00E93F40">
        <w:rPr>
          <w:rFonts w:ascii="Times New Roman" w:hAnsi="Times New Roman"/>
          <w:color w:val="000000" w:themeColor="text1"/>
          <w:sz w:val="16"/>
          <w:szCs w:val="16"/>
        </w:rPr>
        <w:softHyphen/>
        <w:t>му и занимались обеспечением высочайшего качества своей продукции. Далее, начиная со второй половины 1930-х годов, английские конструкторы все свое внимание уделяли развитию истребителей-монопланов (12295).</w:t>
      </w:r>
    </w:p>
    <w:p w14:paraId="0E28BDDE"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4C08A326"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В 1932 году в УВИ обратился некто И.И. Варшавский с заманчивым предложением, сделать самолеты невидимыми в воздухе для наземного наблюдателя. И все, что для этого было необходимо, по мнению изобретателя, это отполировать поверхности самолета до зеркального блеска.</w:t>
      </w:r>
    </w:p>
    <w:p w14:paraId="0267B6CF"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Для экспериментальной проверки при поддержке М.Н. Тухачевского была создана лаборатория, которую в 1933 году передали Научному Институту Военного Кораблестроения (НИВК). Начальником лаборатории, получившей номер 12, и был назначен Варшавский. Располагалась она в Петропавловской крепости в Ленинграде. Тематика, кроме зеркальной маскировки, включала работы по защите металлов от коррозии по заданию НИВК.</w:t>
      </w:r>
    </w:p>
    <w:p w14:paraId="5FDCDA0C"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Сперва предполагалось, что эффект невидимости будет работать и днем и ночью. Но опыты с моделями остудили пыл изобретателя и задачу ограничили невидимостью самолета в лучах прожектора, что тоже считалось весьма важным.</w:t>
      </w:r>
    </w:p>
    <w:p w14:paraId="36A5D6B4"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Из-за отсутствия немедленного результата, лаборатория Варшавского очень скоро стала в тягость, как НИВК, так и УВИ. Особенно нелогично вело себя УВИ. Исполняющий обязанности начальника управления Я. Терентьев, считая, что подчиненность Варшавского НИВК и УВИ «помимо лишнего расходования сил и денежных средств, отражается и на самой работе по маскировке самолета, темпы которой, как показала практика, не соответствуют ее значению», предлагал передать лабораторию целиком в ведение… НИВК. Начальник Управления Военно-морских сил (УВМС) Лудри был против этого, мотивируя свое мнение тем, что «Варшавский выполняет работы УВМС в небольшом объеме и вероятно скоро не будет их выполнять».</w:t>
      </w:r>
    </w:p>
    <w:p w14:paraId="132A87CB"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 xml:space="preserve">Двойная подчиненность лаборатории не способствовала работе. Через два года трудов в активе И. Варшавского были только лабораторные испытания моделей самолета ТБ-1, видоизмененных согласно требованиям зеркальной маскировки, опыты с зеркалами, установленными на вышке и освещаемые прожектором, а также «Теория зеркального самолета», разработанная сотрудником Государственного Оптического Института АЛ. Гершуном </w:t>
      </w:r>
      <w:hyperlink r:id="rId319" w:anchor="uBmk_459302" w:history="1">
        <w:r w:rsidRPr="00E93F40">
          <w:rPr>
            <w:rStyle w:val="a5"/>
            <w:rFonts w:eastAsia="Times New Roman"/>
            <w:color w:val="000000" w:themeColor="text1"/>
            <w:sz w:val="16"/>
            <w:szCs w:val="16"/>
          </w:rPr>
          <w:t>1</w:t>
        </w:r>
      </w:hyperlink>
      <w:r w:rsidRPr="00E93F40">
        <w:rPr>
          <w:color w:val="000000" w:themeColor="text1"/>
          <w:sz w:val="16"/>
          <w:szCs w:val="16"/>
        </w:rPr>
        <w:t>, временно привлеченного к работам лаборатории № 12.</w:t>
      </w:r>
    </w:p>
    <w:p w14:paraId="61A82666"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Для достижения маскировочного эффекта предполагалось сделать зеркальными нижние и боковые поверхности самолета. Тогда, при захвате самолета лучом прожектора, свет отражался бы от зеркальных крыльев, стабилизатора и фюзеляжа под углом равным углу его падения и «зайчик» падал на землю на некотором расстоянии от прожекторной станции. Таким образом, считал Варшавский, самолет будет виден только с отдельных участков земли, на которые падает отраженный поверхностями самолета луч. А так как самолет перемещается, то и эти участи будут постоянно меняться.</w:t>
      </w:r>
    </w:p>
    <w:p w14:paraId="0AD604FA"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Кроме того, увеличению маскировочного эффекта способствовали:</w:t>
      </w:r>
    </w:p>
    <w:p w14:paraId="4F89B034" w14:textId="04B15D8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скорость перемещения «зайчика» по земле равняется удвоенной скорости самолета;</w:t>
      </w:r>
    </w:p>
    <w:p w14:paraId="70399C5F" w14:textId="5F0E0733"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вогнутая поверхность зеркала, уменьшавшая размеры «зайчика»;</w:t>
      </w:r>
    </w:p>
    <w:p w14:paraId="6D30CE69" w14:textId="359CA839"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освещенность земли в районе «зайчика» в два раза меньше, чем освещенность самолета;</w:t>
      </w:r>
    </w:p>
    <w:p w14:paraId="046B938D" w14:textId="346883D2"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w:t>
      </w:r>
      <w:r w:rsidR="007C1411" w:rsidRPr="00E93F40">
        <w:rPr>
          <w:color w:val="000000" w:themeColor="text1"/>
          <w:sz w:val="16"/>
          <w:szCs w:val="16"/>
        </w:rPr>
        <w:t xml:space="preserve"> </w:t>
      </w:r>
      <w:r w:rsidRPr="00E93F40">
        <w:rPr>
          <w:color w:val="000000" w:themeColor="text1"/>
          <w:sz w:val="16"/>
          <w:szCs w:val="16"/>
        </w:rPr>
        <w:t>если самолет наклонился (например, вошел в вираж), то при некоторых углах отраженный луч мог уходить в небо.</w:t>
      </w:r>
    </w:p>
    <w:p w14:paraId="2E083003"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Короче говоря, если обычный самолет, попав в луч прожектора, рассеивал свет более- менее равномерно в разные стороны и был соответственно виден со всех точек; самолет, окрашенный черной матовой краской – часть света поглощал и рассеивал уже гораздо меньше и это уменьшало его видимость; то зеркальный – отражал весь свет только в одном направлении, оставаясь невидимым из всех мест, кроме того, куда падал отраженный луч.</w:t>
      </w:r>
    </w:p>
    <w:p w14:paraId="0B26A7E1"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На основании теоретических выкладок А.А. Гершуна Варшавский сформулировал требования к конструкции зеркального самолета:</w:t>
      </w:r>
    </w:p>
    <w:p w14:paraId="65030C79"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1. Самолет должен представлять собой «моноплан с низкорасположенным свободнонесущим крылом, обладающий минимальным количеством различно наклоненных плоскостей, отсутствием закруглений на дне и бортах фюзеляжа, хвостовым оперением, построенным заподлицо с дном фюзеляжа и убирающемся в полете шасси».</w:t>
      </w:r>
    </w:p>
    <w:p w14:paraId="41025E77"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2. Самолет должен иметь обшивку из нержавеющей стали или фанеры, армированной нержавейкой. Поверхность должна быть совершенно гладкой и не иметь гофра.</w:t>
      </w:r>
    </w:p>
    <w:p w14:paraId="12EED346" w14:textId="77777777" w:rsidR="00C32CA8" w:rsidRPr="00E93F40" w:rsidRDefault="00C32CA8" w:rsidP="00E93F40">
      <w:pPr>
        <w:pStyle w:val="ae"/>
        <w:spacing w:before="0" w:after="0"/>
        <w:jc w:val="both"/>
        <w:rPr>
          <w:color w:val="000000" w:themeColor="text1"/>
          <w:sz w:val="16"/>
          <w:szCs w:val="16"/>
        </w:rPr>
      </w:pPr>
      <w:r w:rsidRPr="00E93F40">
        <w:rPr>
          <w:color w:val="000000" w:themeColor="text1"/>
          <w:sz w:val="16"/>
          <w:szCs w:val="16"/>
        </w:rPr>
        <w:t>3. Нижние поверхности крыльев и дно фюзеляжа должны представлять собой правильные плоскости без закруглений и вмятин. Вмятины и общий изгиб обшивки не должны иметь стрелу прогиба более миллиметра на длине один метр. Иначе, как считали Гершун и Варшавский, свет будет рассеиваться не в одном направлении, а диффузно и самолет будет хорошо виден (12703).</w:t>
      </w:r>
    </w:p>
    <w:p w14:paraId="6F2BE850" w14:textId="77777777" w:rsidR="00C32CA8" w:rsidRPr="00E93F40" w:rsidRDefault="00C32CA8" w:rsidP="00E93F40">
      <w:pPr>
        <w:pStyle w:val="ae"/>
        <w:spacing w:before="0" w:after="0"/>
        <w:jc w:val="both"/>
        <w:rPr>
          <w:color w:val="000000" w:themeColor="text1"/>
          <w:sz w:val="16"/>
          <w:szCs w:val="16"/>
        </w:rPr>
      </w:pPr>
    </w:p>
    <w:p w14:paraId="027C34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Р.Л.Бартини "пристроили" ГК на завод 240 СНИИ ГВФ в Москве по протекции П.И.Баранова и М.Н.Тухачевского и там она начал проектирование Сталь-6, предложенную в ЦКБ в апреле 1930. Р.Л.Бартини до этого был летчиком НИИ ВВС. Сталь-6 в УВВС получил шифр ЭИ - экспериментальный истребитель (174,1).</w:t>
      </w:r>
    </w:p>
    <w:p w14:paraId="71FBF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392F68" w14:textId="77777777" w:rsidR="00375F0F" w:rsidRPr="00E93F40" w:rsidRDefault="00375F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1932 г., после перехода в Самолётный НИИ ГВФ (СНИИ ГВФ) Бартини смог приступить к работе над скоростным монопланом. Там проектировали и строили металлические монопланы серии «Сталь». Машина итальянского конструктора получила |иозвание «Сталь-6». В ней должны были быть использованы новейшие материалы - хромансиль (среднелегированная сталь ЗОХГСА, разработанная в том же 1932 г. в ВИАМ), нержавеющая сталь и, в небольших количествах, алюминиево-магниевый сплав электрон (15844).</w:t>
      </w:r>
    </w:p>
    <w:p w14:paraId="51DCA9E2" w14:textId="77777777" w:rsidR="00375F0F" w:rsidRPr="00E93F40" w:rsidRDefault="00375F0F" w:rsidP="00E93F40">
      <w:pPr>
        <w:spacing w:after="0" w:line="240" w:lineRule="auto"/>
        <w:jc w:val="both"/>
        <w:rPr>
          <w:rFonts w:ascii="Times New Roman" w:hAnsi="Times New Roman"/>
          <w:color w:val="000000" w:themeColor="text1"/>
          <w:sz w:val="16"/>
          <w:szCs w:val="16"/>
        </w:rPr>
      </w:pPr>
    </w:p>
    <w:p w14:paraId="196E1BAB" w14:textId="77777777" w:rsidR="00375F0F" w:rsidRPr="00E93F40" w:rsidRDefault="00375F0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в статье «Постройкой «Сталь-6» перегоним капиталистические страны» в институтской |тозете «Стальной самолёт» Бартини писал:</w:t>
      </w:r>
    </w:p>
    <w:p w14:paraId="30283D6C" w14:textId="77777777" w:rsidR="00375F0F" w:rsidRPr="00E93F40" w:rsidRDefault="00375F0F"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t xml:space="preserve">«Перед нами была поставлена задача построить самолёт, каким можно достичь рекорд- щшую скорость сухопутных самолётов (абсолютный рекорд скорости для таких самолётов в время составлял 448,7 км/ч, рекорд был установлен ещё в декабре далёкого 1924 г. на французском самолёте </w:t>
      </w:r>
      <w:r w:rsidRPr="00E93F40">
        <w:rPr>
          <w:rFonts w:ascii="Times New Roman" w:cs="Times New Roman"/>
          <w:color w:val="000000" w:themeColor="text1"/>
          <w:sz w:val="16"/>
          <w:szCs w:val="16"/>
          <w:lang w:val="en-US"/>
        </w:rPr>
        <w:t>Bernard</w:t>
      </w:r>
      <w:r w:rsidRPr="00E93F40">
        <w:rPr>
          <w:rFonts w:ascii="Times New Roman" w:cs="Times New Roman"/>
          <w:color w:val="000000" w:themeColor="text1"/>
          <w:sz w:val="16"/>
          <w:szCs w:val="16"/>
        </w:rPr>
        <w:t>-</w:t>
      </w:r>
      <w:r w:rsidRPr="00E93F40">
        <w:rPr>
          <w:rFonts w:ascii="Times New Roman" w:cs="Times New Roman"/>
          <w:color w:val="000000" w:themeColor="text1"/>
          <w:sz w:val="16"/>
          <w:szCs w:val="16"/>
          <w:lang w:val="en-US"/>
        </w:rPr>
        <w:t>SIMBV</w:t>
      </w:r>
      <w:r w:rsidRPr="00E93F40">
        <w:rPr>
          <w:rFonts w:ascii="Times New Roman" w:cs="Times New Roman"/>
          <w:color w:val="000000" w:themeColor="text1"/>
          <w:sz w:val="16"/>
          <w:szCs w:val="16"/>
        </w:rPr>
        <w:t xml:space="preserve">-2 </w:t>
      </w:r>
      <w:r w:rsidRPr="00E93F40">
        <w:rPr>
          <w:rFonts w:ascii="Times New Roman" w:cs="Times New Roman"/>
          <w:color w:val="000000" w:themeColor="text1"/>
          <w:sz w:val="16"/>
          <w:szCs w:val="16"/>
          <w:lang w:val="en-US"/>
        </w:rPr>
        <w:t>Ferbois</w:t>
      </w:r>
      <w:r w:rsidRPr="00E93F40">
        <w:rPr>
          <w:rFonts w:ascii="Times New Roman" w:cs="Times New Roman"/>
          <w:color w:val="000000" w:themeColor="text1"/>
          <w:sz w:val="16"/>
          <w:szCs w:val="16"/>
        </w:rPr>
        <w:t>) без рекордных моторов и без екордных нагрузок на кв. метр [крыла], т. е. с реальными для эксплуатации данными. Для полнения этой задачи пришлось отойти от нормальной схемы самолёта. Как результат всего этого, мы должны получить самолёт с рекордными скоростями су- ггутных машин, при нормальной посадочной скорости и с сохранением высоких качеств ороподьёмности.</w:t>
      </w:r>
    </w:p>
    <w:p w14:paraId="12C92AF5" w14:textId="77777777" w:rsidR="00375F0F" w:rsidRPr="00E93F40" w:rsidRDefault="00375F0F"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t>Мы должны идти сознательно на технический риск, так как наша задача - не только эить хорошие самолёты, но строить их лучшими, чем самолёты наших врагов, этот риск необходим, если мы ставим себе задачей перегнать технику капиталистических стран. Задача перед нами стоит трудная. Она была бы гораздо легче разрешима, если бы обладали кадрами старых высококвалифицированных конструкторов и рабочих, если обладали прекрасно оборудованными мастерскими, если бы у нас было налаженное збжение материалами.</w:t>
      </w:r>
    </w:p>
    <w:p w14:paraId="4A81C0DC" w14:textId="77777777" w:rsidR="00375F0F" w:rsidRPr="00E93F40" w:rsidRDefault="00375F0F" w:rsidP="00E93F40">
      <w:pPr>
        <w:pStyle w:val="45"/>
        <w:shd w:val="clear" w:color="auto" w:fill="auto"/>
        <w:spacing w:before="0" w:line="240" w:lineRule="auto"/>
        <w:jc w:val="both"/>
        <w:rPr>
          <w:rFonts w:ascii="Times New Roman" w:cs="Times New Roman"/>
          <w:color w:val="000000" w:themeColor="text1"/>
          <w:sz w:val="16"/>
          <w:szCs w:val="16"/>
        </w:rPr>
      </w:pPr>
      <w:r w:rsidRPr="00E93F40">
        <w:rPr>
          <w:rFonts w:ascii="Times New Roman" w:cs="Times New Roman"/>
          <w:color w:val="000000" w:themeColor="text1"/>
          <w:sz w:val="16"/>
          <w:szCs w:val="16"/>
        </w:rPr>
        <w:t>Но в том то и заслуга большевиков, что мы догоняем и перегоняем наших врагов при чных технических возможностях. Мы «Сталь-6» должны построить молодыми кадрами, полукустарных мастерских, преодолевая трудности снабжения, одновременно создавая овия для ещё больших достижений» (15844).</w:t>
      </w:r>
    </w:p>
    <w:p w14:paraId="6ED0992D" w14:textId="77777777" w:rsidR="00375F0F" w:rsidRPr="00E93F40" w:rsidRDefault="00375F0F" w:rsidP="00E93F40">
      <w:pPr>
        <w:spacing w:after="0" w:line="240" w:lineRule="auto"/>
        <w:jc w:val="both"/>
        <w:rPr>
          <w:rFonts w:ascii="Times New Roman" w:hAnsi="Times New Roman"/>
          <w:color w:val="000000" w:themeColor="text1"/>
          <w:sz w:val="16"/>
          <w:szCs w:val="16"/>
        </w:rPr>
      </w:pPr>
    </w:p>
    <w:p w14:paraId="67B02325"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году под руководством И В. Четверикова был создан морской дальний развед</w:t>
      </w:r>
      <w:r w:rsidRPr="00142305">
        <w:rPr>
          <w:rFonts w:ascii="Times New Roman" w:hAnsi="Times New Roman"/>
          <w:color w:val="0070C0"/>
          <w:sz w:val="16"/>
          <w:szCs w:val="16"/>
        </w:rPr>
        <w:softHyphen/>
        <w:t>чик бомбардировщик МДР-3. Однако самолет не удался и в 1933 году был передан для доводки в КБ Туполева, где и был существенно переделан. Прежде всего, четыре двигателя BMW VI, располагавшихся тандемно в двух мотогондолах, заменили тремя М-34Р. При этом два крайних мотора вращали тянущие винты, а средний - толкающий.</w:t>
      </w:r>
    </w:p>
    <w:p w14:paraId="6B4134B4"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Изменениям подверглись также крыло, площадь которого возросла на 25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и опе</w:t>
      </w:r>
      <w:r w:rsidRPr="00142305">
        <w:rPr>
          <w:rFonts w:ascii="Times New Roman" w:hAnsi="Times New Roman"/>
          <w:color w:val="0070C0"/>
          <w:sz w:val="16"/>
          <w:szCs w:val="16"/>
        </w:rPr>
        <w:softHyphen/>
        <w:t>рение, ставшее однокилевым. Фактически от МДР-3 в новой машине сохранились лишь обводы лодки.</w:t>
      </w:r>
    </w:p>
    <w:p w14:paraId="3F8FDDAB"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Оборонительное вооружение самолета включало носовую турель со ШКАСом, палуб</w:t>
      </w:r>
      <w:r w:rsidRPr="00142305">
        <w:rPr>
          <w:rFonts w:ascii="Times New Roman" w:hAnsi="Times New Roman"/>
          <w:color w:val="0070C0"/>
          <w:sz w:val="16"/>
          <w:szCs w:val="16"/>
        </w:rPr>
        <w:softHyphen/>
        <w:t>ную установку с 20-мм пушкой «Эрликон»(в перегрузочном варианте) и кормовую экрани</w:t>
      </w:r>
      <w:r w:rsidRPr="00142305">
        <w:rPr>
          <w:rFonts w:ascii="Times New Roman" w:hAnsi="Times New Roman"/>
          <w:color w:val="0070C0"/>
          <w:sz w:val="16"/>
          <w:szCs w:val="16"/>
        </w:rPr>
        <w:softHyphen/>
        <w:t>рованную установку с парой пулеметов ДА-2.</w:t>
      </w:r>
    </w:p>
    <w:p w14:paraId="0D37C1C4"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этого, предусмотрели и бомбовое вооружение. Причем бомбы общим весом до двух тонн могли подвешиваться как в грузовом отсеке, так и под крылом (24991).</w:t>
      </w:r>
    </w:p>
    <w:p w14:paraId="2F112B1C" w14:textId="77777777" w:rsidR="00B8796F" w:rsidRPr="00142305" w:rsidRDefault="00B8796F" w:rsidP="00B8796F">
      <w:pPr>
        <w:spacing w:after="0" w:line="240" w:lineRule="auto"/>
        <w:jc w:val="both"/>
        <w:rPr>
          <w:rFonts w:ascii="Times New Roman" w:hAnsi="Times New Roman"/>
          <w:color w:val="0070C0"/>
          <w:sz w:val="16"/>
          <w:szCs w:val="16"/>
        </w:rPr>
      </w:pPr>
    </w:p>
    <w:p w14:paraId="40AF9FC6"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1932 г. крупнейшая советская организация по проектированию самолетов ЦКБ-39 выпустило на испытания только два новых типа, МДР-3 (ЦКБ-11) Четверикова и МБР-2 (ЦКБ-25) Бериева. Поскольку к тому времени работа ЦКБ-39 уже велась по объектовому, а не постадийному принципу, Поликарпов в их доводке не участвовал. Он вел сопровождению серийного производства учебно-тренировочных самолетов У-2, а также ближних разведчиков и легких бомбардировщиков Р-5, но создание их целевых модификаций и даже в значительной мере доводка базовых конструкций сосредоточились в основном на выпускавших их заводах. Это позволило Поликарпову плотно заняться проектами истребителей ЦКБ-3 (И-15) и ЦКБ-12 (И-16), включая их будущие модификации, а также перспективных, осуществляя не только общее руководство ими, но и лично выполняя значительную часть документации. В это время Поликарпов как начальник ОПО-3 завершил формирование своего подразделения как самодостаточного конструкторского бюро. Он наладил хорошее взаимодействие с Главным управлением авиапромышленности Народного комиссариата тяжелой промышленности (ГУАП), в ведении которого находилось ЦКБ-39, Заказчиком в лице УВВС РККА, опытным и серийным производством, военприемкой завода №39 и Научно-опытным аэродромом (Научно-испытательным институтом) ВВС, которые вели заводские и Государственные испытания его самолетов. Это взаимодействие Поликарпов осуществлял формально через своего непосредственного руководителя начальника ЦКБ-39 Сергея Владимировича Ильюшина, но тот, ценя Поликарпова как инженера, полностью доверял ему самостоятельное решение технических вопросов, контролируя только расход средств и конечный результат</w:t>
      </w:r>
    </w:p>
    <w:p w14:paraId="2C913729"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Ведущим инженером, отвечавшим за организационные вопросы проектирования, опытного строительства и испытаний самолета назначена З.И. Журбина. Возможно, она стала первой женщиной, занявшей такую должность, по крайней мере, в то время это было крайней редкостью (24994).</w:t>
      </w:r>
    </w:p>
    <w:p w14:paraId="59FDFDA1" w14:textId="77777777" w:rsidR="00B8796F" w:rsidRPr="00142305" w:rsidRDefault="00B8796F" w:rsidP="00B8796F">
      <w:pPr>
        <w:spacing w:after="0" w:line="240" w:lineRule="auto"/>
        <w:jc w:val="both"/>
        <w:rPr>
          <w:rFonts w:ascii="Times New Roman" w:hAnsi="Times New Roman"/>
          <w:color w:val="0070C0"/>
          <w:sz w:val="16"/>
          <w:szCs w:val="16"/>
        </w:rPr>
      </w:pPr>
    </w:p>
    <w:p w14:paraId="53914A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рассматривалась возможность установить "два-три истребителя" на крыле К-7 с питанием из его баков. О грандиозном проекте летающего крыла Вахмистрова уже говорилось ранее. Это было бы что-то подобное напридуманному голливудскими художниками в фильме "Небесный капитан" - авианосец, плывущий в небе. Но многие вопросы его реальной конструкции остались не проработанными создателем. Например, как он собирался закреплять самолеты в ангарах при стояночном положении носителя, ведь на земле палубы гигантского самолета были далеко не горизонтальны? Намеревались использовать как "авиаматку" и шестимо- торный бомбардировщик ТБ-4 (12036).</w:t>
      </w:r>
    </w:p>
    <w:p w14:paraId="07EBE9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5F50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РВС докладывал ЦК ВКП(б) - "нельзя не признать огромные достижения авиации - это уже безусловно зрелая, грозная, боевая сила. Подтягивается она заметно, особенно после решений ЦК (66,181).</w:t>
      </w:r>
    </w:p>
    <w:p w14:paraId="639A77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Первая пятилетка дала 4289 самолетов (66,155).</w:t>
      </w:r>
    </w:p>
    <w:p w14:paraId="37E04A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295E9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обстановка была настолько тягостная, что в производство не попал ни один самолет или мотор (80,417).</w:t>
      </w:r>
    </w:p>
    <w:p w14:paraId="3C2558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CF013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 подготовлен отчет о работе АП в первой пятилетке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858"/>
      </w:tblGrid>
      <w:tr w:rsidR="00DA227A" w:rsidRPr="00E93F40" w14:paraId="12AFDCE3" w14:textId="77777777">
        <w:tc>
          <w:tcPr>
            <w:tcW w:w="3736" w:type="dxa"/>
            <w:tcBorders>
              <w:top w:val="single" w:sz="12" w:space="0" w:color="auto"/>
            </w:tcBorders>
            <w:shd w:val="clear" w:color="auto" w:fill="FFFFFF"/>
          </w:tcPr>
          <w:p w14:paraId="436E2F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Предисловие</w:t>
            </w:r>
          </w:p>
        </w:tc>
        <w:tc>
          <w:tcPr>
            <w:tcW w:w="3736" w:type="dxa"/>
            <w:tcBorders>
              <w:top w:val="single" w:sz="12" w:space="0" w:color="auto"/>
            </w:tcBorders>
            <w:shd w:val="clear" w:color="auto" w:fill="FFFFFF"/>
          </w:tcPr>
          <w:p w14:paraId="752D0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Г.Н.Королев</w:t>
            </w:r>
          </w:p>
        </w:tc>
        <w:tc>
          <w:tcPr>
            <w:tcW w:w="858" w:type="dxa"/>
            <w:tcBorders>
              <w:top w:val="single" w:sz="12" w:space="0" w:color="auto"/>
            </w:tcBorders>
            <w:shd w:val="clear" w:color="auto" w:fill="FFFFFF"/>
          </w:tcPr>
          <w:p w14:paraId="5B2E1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r>
      <w:tr w:rsidR="00DA227A" w:rsidRPr="00E93F40" w14:paraId="7B15815E" w14:textId="77777777">
        <w:tc>
          <w:tcPr>
            <w:tcW w:w="3736" w:type="dxa"/>
            <w:shd w:val="clear" w:color="auto" w:fill="FFFFFF"/>
          </w:tcPr>
          <w:p w14:paraId="7FB9B9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АП СССР</w:t>
            </w:r>
          </w:p>
        </w:tc>
        <w:tc>
          <w:tcPr>
            <w:tcW w:w="3736" w:type="dxa"/>
            <w:shd w:val="clear" w:color="auto" w:fill="FFFFFF"/>
          </w:tcPr>
          <w:p w14:paraId="130C21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А.М.Беленкович</w:t>
            </w:r>
          </w:p>
        </w:tc>
        <w:tc>
          <w:tcPr>
            <w:tcW w:w="858" w:type="dxa"/>
            <w:shd w:val="clear" w:color="auto" w:fill="FFFFFF"/>
          </w:tcPr>
          <w:p w14:paraId="535EE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4-12</w:t>
            </w:r>
          </w:p>
        </w:tc>
      </w:tr>
      <w:tr w:rsidR="00DA227A" w:rsidRPr="00E93F40" w14:paraId="0C819FE9" w14:textId="77777777">
        <w:tc>
          <w:tcPr>
            <w:tcW w:w="3736" w:type="dxa"/>
            <w:shd w:val="clear" w:color="auto" w:fill="FFFFFF"/>
          </w:tcPr>
          <w:p w14:paraId="0310FA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Продукция АП</w:t>
            </w:r>
          </w:p>
        </w:tc>
        <w:tc>
          <w:tcPr>
            <w:tcW w:w="3736" w:type="dxa"/>
            <w:shd w:val="clear" w:color="auto" w:fill="FFFFFF"/>
          </w:tcPr>
          <w:p w14:paraId="3D5D09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Я.Л.Бейлин</w:t>
            </w:r>
          </w:p>
        </w:tc>
        <w:tc>
          <w:tcPr>
            <w:tcW w:w="858" w:type="dxa"/>
            <w:shd w:val="clear" w:color="auto" w:fill="FFFFFF"/>
          </w:tcPr>
          <w:p w14:paraId="3543FE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13-39</w:t>
            </w:r>
          </w:p>
        </w:tc>
      </w:tr>
      <w:tr w:rsidR="00DA227A" w:rsidRPr="00E93F40" w14:paraId="54061526" w14:textId="77777777">
        <w:tc>
          <w:tcPr>
            <w:tcW w:w="3736" w:type="dxa"/>
            <w:shd w:val="clear" w:color="auto" w:fill="FFFFFF"/>
          </w:tcPr>
          <w:p w14:paraId="63E05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Капитальное строительство</w:t>
            </w:r>
          </w:p>
        </w:tc>
        <w:tc>
          <w:tcPr>
            <w:tcW w:w="3736" w:type="dxa"/>
            <w:shd w:val="clear" w:color="auto" w:fill="FFFFFF"/>
          </w:tcPr>
          <w:p w14:paraId="31C13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С.С.Баранов, А.И.Панов</w:t>
            </w:r>
          </w:p>
        </w:tc>
        <w:tc>
          <w:tcPr>
            <w:tcW w:w="858" w:type="dxa"/>
            <w:shd w:val="clear" w:color="auto" w:fill="FFFFFF"/>
          </w:tcPr>
          <w:p w14:paraId="5C556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40-56</w:t>
            </w:r>
          </w:p>
        </w:tc>
      </w:tr>
      <w:tr w:rsidR="00DA227A" w:rsidRPr="00E93F40" w14:paraId="7297337C" w14:textId="77777777">
        <w:tc>
          <w:tcPr>
            <w:tcW w:w="3736" w:type="dxa"/>
            <w:shd w:val="clear" w:color="auto" w:fill="FFFFFF"/>
          </w:tcPr>
          <w:p w14:paraId="08663E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НИ и опытные организации системы Глававиапрома</w:t>
            </w:r>
          </w:p>
        </w:tc>
        <w:tc>
          <w:tcPr>
            <w:tcW w:w="3736" w:type="dxa"/>
            <w:shd w:val="clear" w:color="auto" w:fill="FFFFFF"/>
          </w:tcPr>
          <w:p w14:paraId="557D6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8" w:type="dxa"/>
            <w:shd w:val="clear" w:color="auto" w:fill="FFFFFF"/>
          </w:tcPr>
          <w:p w14:paraId="4721B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57-75</w:t>
            </w:r>
          </w:p>
        </w:tc>
      </w:tr>
      <w:tr w:rsidR="00DA227A" w:rsidRPr="00E93F40" w14:paraId="1E914961" w14:textId="77777777">
        <w:tc>
          <w:tcPr>
            <w:tcW w:w="3736" w:type="dxa"/>
            <w:shd w:val="clear" w:color="auto" w:fill="FFFFFF"/>
          </w:tcPr>
          <w:p w14:paraId="2D9F0C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Задачи НИ и экономической работы в АП во 2-1 пятилетке</w:t>
            </w:r>
          </w:p>
        </w:tc>
        <w:tc>
          <w:tcPr>
            <w:tcW w:w="3736" w:type="dxa"/>
            <w:shd w:val="clear" w:color="auto" w:fill="FFFFFF"/>
          </w:tcPr>
          <w:p w14:paraId="49C12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П.М.Инвер</w:t>
            </w:r>
          </w:p>
        </w:tc>
        <w:tc>
          <w:tcPr>
            <w:tcW w:w="858" w:type="dxa"/>
            <w:shd w:val="clear" w:color="auto" w:fill="FFFFFF"/>
          </w:tcPr>
          <w:p w14:paraId="13437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76-83</w:t>
            </w:r>
          </w:p>
        </w:tc>
      </w:tr>
      <w:tr w:rsidR="00DA227A" w:rsidRPr="00E93F40" w14:paraId="3C4C327F" w14:textId="77777777">
        <w:tc>
          <w:tcPr>
            <w:tcW w:w="3736" w:type="dxa"/>
            <w:shd w:val="clear" w:color="auto" w:fill="FFFFFF"/>
          </w:tcPr>
          <w:p w14:paraId="46B8CF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Специализация и кооперирование заводов в АП</w:t>
            </w:r>
          </w:p>
        </w:tc>
        <w:tc>
          <w:tcPr>
            <w:tcW w:w="3736" w:type="dxa"/>
            <w:shd w:val="clear" w:color="auto" w:fill="FFFFFF"/>
          </w:tcPr>
          <w:p w14:paraId="3B0BA2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М.Е.Фейгин</w:t>
            </w:r>
          </w:p>
        </w:tc>
        <w:tc>
          <w:tcPr>
            <w:tcW w:w="858" w:type="dxa"/>
            <w:shd w:val="clear" w:color="auto" w:fill="FFFFFF"/>
          </w:tcPr>
          <w:p w14:paraId="486DED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84-112</w:t>
            </w:r>
          </w:p>
        </w:tc>
      </w:tr>
      <w:tr w:rsidR="00DA227A" w:rsidRPr="00E93F40" w14:paraId="3FF234E2" w14:textId="77777777">
        <w:tc>
          <w:tcPr>
            <w:tcW w:w="3736" w:type="dxa"/>
            <w:shd w:val="clear" w:color="auto" w:fill="FFFFFF"/>
          </w:tcPr>
          <w:p w14:paraId="523A16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Труд</w:t>
            </w:r>
          </w:p>
        </w:tc>
        <w:tc>
          <w:tcPr>
            <w:tcW w:w="3736" w:type="dxa"/>
            <w:shd w:val="clear" w:color="auto" w:fill="FFFFFF"/>
          </w:tcPr>
          <w:p w14:paraId="198B1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А.И.Брискин</w:t>
            </w:r>
          </w:p>
        </w:tc>
        <w:tc>
          <w:tcPr>
            <w:tcW w:w="858" w:type="dxa"/>
            <w:shd w:val="clear" w:color="auto" w:fill="FFFFFF"/>
          </w:tcPr>
          <w:p w14:paraId="07A780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113-130</w:t>
            </w:r>
          </w:p>
        </w:tc>
      </w:tr>
      <w:tr w:rsidR="00DA227A" w:rsidRPr="00E93F40" w14:paraId="0D4640C4" w14:textId="77777777">
        <w:tc>
          <w:tcPr>
            <w:tcW w:w="3736" w:type="dxa"/>
            <w:shd w:val="clear" w:color="auto" w:fill="FFFFFF"/>
          </w:tcPr>
          <w:p w14:paraId="49E3A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Кадры</w:t>
            </w:r>
          </w:p>
        </w:tc>
        <w:tc>
          <w:tcPr>
            <w:tcW w:w="3736" w:type="dxa"/>
            <w:shd w:val="clear" w:color="auto" w:fill="FFFFFF"/>
          </w:tcPr>
          <w:p w14:paraId="3DBC88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М.П.Афанасьев, С.И.Тубина</w:t>
            </w:r>
          </w:p>
        </w:tc>
        <w:tc>
          <w:tcPr>
            <w:tcW w:w="858" w:type="dxa"/>
            <w:shd w:val="clear" w:color="auto" w:fill="FFFFFF"/>
          </w:tcPr>
          <w:p w14:paraId="04DC2A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131-150</w:t>
            </w:r>
          </w:p>
        </w:tc>
      </w:tr>
      <w:tr w:rsidR="00DA227A" w:rsidRPr="00E93F40" w14:paraId="1955CB7D" w14:textId="77777777">
        <w:tc>
          <w:tcPr>
            <w:tcW w:w="3736" w:type="dxa"/>
            <w:tcBorders>
              <w:bottom w:val="single" w:sz="12" w:space="0" w:color="auto"/>
            </w:tcBorders>
            <w:shd w:val="clear" w:color="auto" w:fill="FFFFFF"/>
          </w:tcPr>
          <w:p w14:paraId="5B2F6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Общая редакция</w:t>
            </w:r>
          </w:p>
        </w:tc>
        <w:tc>
          <w:tcPr>
            <w:tcW w:w="3736" w:type="dxa"/>
            <w:tcBorders>
              <w:bottom w:val="single" w:sz="12" w:space="0" w:color="auto"/>
            </w:tcBorders>
            <w:shd w:val="clear" w:color="auto" w:fill="FFFFFF"/>
          </w:tcPr>
          <w:p w14:paraId="444F6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А.М.Беленкович, С.И.Тувина, М.М.Шахназаров (2309).</w:t>
            </w:r>
          </w:p>
        </w:tc>
        <w:tc>
          <w:tcPr>
            <w:tcW w:w="858" w:type="dxa"/>
            <w:tcBorders>
              <w:bottom w:val="single" w:sz="12" w:space="0" w:color="auto"/>
            </w:tcBorders>
            <w:shd w:val="clear" w:color="auto" w:fill="FFFFFF"/>
          </w:tcPr>
          <w:p w14:paraId="3655E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0B6C4B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Продукция АП в первой пятилетке</w:t>
      </w:r>
    </w:p>
    <w:p w14:paraId="549E5B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Глава 1</w:t>
      </w:r>
    </w:p>
    <w:p w14:paraId="5A3461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АП до реконструктивного периода</w:t>
      </w:r>
    </w:p>
    <w:p w14:paraId="2694D98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первой пятилетки АП в СССР как мощной отрасли индустрии не существовало</w:t>
      </w:r>
    </w:p>
    <w:p w14:paraId="376A17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самолетов и авиамоторов велось кустарными методами в мелкосерийном порядке на 6 самолетостроительных и 3 моторостроительных заводах. Заводы были небольшой мощности и работали, в значительной степени, на устаревшем оборудовании и при небольших количествах рабочих.</w:t>
      </w:r>
    </w:p>
    <w:p w14:paraId="7C14E6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Масштабы производства АП в 1927/28 гг определялись выпуском 608 шт. Самолетов и 631 шт. Авиамоторов</w:t>
      </w:r>
    </w:p>
    <w:p w14:paraId="48C8F0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Динамика производства с-тов и моторов до начала первой пятилетки (с 1916 по 1927/28 гг.) представлена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567"/>
        <w:gridCol w:w="567"/>
        <w:gridCol w:w="567"/>
        <w:gridCol w:w="567"/>
        <w:gridCol w:w="567"/>
        <w:gridCol w:w="567"/>
        <w:gridCol w:w="709"/>
        <w:gridCol w:w="850"/>
        <w:gridCol w:w="851"/>
        <w:gridCol w:w="850"/>
        <w:gridCol w:w="851"/>
        <w:gridCol w:w="850"/>
        <w:gridCol w:w="851"/>
      </w:tblGrid>
      <w:tr w:rsidR="00DA227A" w:rsidRPr="00E93F40" w14:paraId="1804B270" w14:textId="77777777">
        <w:tc>
          <w:tcPr>
            <w:tcW w:w="959" w:type="dxa"/>
            <w:tcBorders>
              <w:top w:val="single" w:sz="12" w:space="0" w:color="auto"/>
            </w:tcBorders>
          </w:tcPr>
          <w:p w14:paraId="5FC82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12" w:space="0" w:color="auto"/>
            </w:tcBorders>
          </w:tcPr>
          <w:p w14:paraId="1CCC4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1916</w:t>
            </w:r>
          </w:p>
        </w:tc>
        <w:tc>
          <w:tcPr>
            <w:tcW w:w="567" w:type="dxa"/>
            <w:tcBorders>
              <w:top w:val="single" w:sz="12" w:space="0" w:color="auto"/>
            </w:tcBorders>
          </w:tcPr>
          <w:p w14:paraId="639971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1917</w:t>
            </w:r>
          </w:p>
        </w:tc>
        <w:tc>
          <w:tcPr>
            <w:tcW w:w="567" w:type="dxa"/>
            <w:tcBorders>
              <w:top w:val="single" w:sz="12" w:space="0" w:color="auto"/>
            </w:tcBorders>
          </w:tcPr>
          <w:p w14:paraId="10923D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1918</w:t>
            </w:r>
          </w:p>
        </w:tc>
        <w:tc>
          <w:tcPr>
            <w:tcW w:w="567" w:type="dxa"/>
            <w:tcBorders>
              <w:top w:val="single" w:sz="12" w:space="0" w:color="auto"/>
            </w:tcBorders>
          </w:tcPr>
          <w:p w14:paraId="55592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1919</w:t>
            </w:r>
          </w:p>
        </w:tc>
        <w:tc>
          <w:tcPr>
            <w:tcW w:w="567" w:type="dxa"/>
            <w:tcBorders>
              <w:top w:val="single" w:sz="12" w:space="0" w:color="auto"/>
            </w:tcBorders>
          </w:tcPr>
          <w:p w14:paraId="585ABC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1920</w:t>
            </w:r>
          </w:p>
        </w:tc>
        <w:tc>
          <w:tcPr>
            <w:tcW w:w="567" w:type="dxa"/>
            <w:tcBorders>
              <w:top w:val="single" w:sz="12" w:space="0" w:color="auto"/>
            </w:tcBorders>
          </w:tcPr>
          <w:p w14:paraId="2BF4A5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1921</w:t>
            </w:r>
          </w:p>
        </w:tc>
        <w:tc>
          <w:tcPr>
            <w:tcW w:w="709" w:type="dxa"/>
            <w:tcBorders>
              <w:top w:val="single" w:sz="12" w:space="0" w:color="auto"/>
            </w:tcBorders>
          </w:tcPr>
          <w:p w14:paraId="638BD5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1922 с 1/1 по 1/10</w:t>
            </w:r>
          </w:p>
        </w:tc>
        <w:tc>
          <w:tcPr>
            <w:tcW w:w="850" w:type="dxa"/>
            <w:tcBorders>
              <w:top w:val="single" w:sz="12" w:space="0" w:color="auto"/>
            </w:tcBorders>
          </w:tcPr>
          <w:p w14:paraId="067BC4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1922/23</w:t>
            </w:r>
          </w:p>
        </w:tc>
        <w:tc>
          <w:tcPr>
            <w:tcW w:w="851" w:type="dxa"/>
            <w:tcBorders>
              <w:top w:val="single" w:sz="12" w:space="0" w:color="auto"/>
            </w:tcBorders>
          </w:tcPr>
          <w:p w14:paraId="553AC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1923/24</w:t>
            </w:r>
          </w:p>
        </w:tc>
        <w:tc>
          <w:tcPr>
            <w:tcW w:w="850" w:type="dxa"/>
            <w:tcBorders>
              <w:top w:val="single" w:sz="12" w:space="0" w:color="auto"/>
            </w:tcBorders>
          </w:tcPr>
          <w:p w14:paraId="4AD223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1924/25</w:t>
            </w:r>
          </w:p>
        </w:tc>
        <w:tc>
          <w:tcPr>
            <w:tcW w:w="851" w:type="dxa"/>
            <w:tcBorders>
              <w:top w:val="single" w:sz="12" w:space="0" w:color="auto"/>
            </w:tcBorders>
          </w:tcPr>
          <w:p w14:paraId="7A98E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1925/26</w:t>
            </w:r>
          </w:p>
        </w:tc>
        <w:tc>
          <w:tcPr>
            <w:tcW w:w="850" w:type="dxa"/>
            <w:tcBorders>
              <w:top w:val="single" w:sz="12" w:space="0" w:color="auto"/>
            </w:tcBorders>
          </w:tcPr>
          <w:p w14:paraId="562E7F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1926/27</w:t>
            </w:r>
          </w:p>
        </w:tc>
        <w:tc>
          <w:tcPr>
            <w:tcW w:w="851" w:type="dxa"/>
            <w:tcBorders>
              <w:top w:val="single" w:sz="12" w:space="0" w:color="auto"/>
            </w:tcBorders>
          </w:tcPr>
          <w:p w14:paraId="50E263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1926/27</w:t>
            </w:r>
          </w:p>
        </w:tc>
      </w:tr>
      <w:tr w:rsidR="00DA227A" w:rsidRPr="00E93F40" w14:paraId="08652280" w14:textId="77777777">
        <w:tc>
          <w:tcPr>
            <w:tcW w:w="959" w:type="dxa"/>
          </w:tcPr>
          <w:p w14:paraId="073E1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c>
          <w:tcPr>
            <w:tcW w:w="567" w:type="dxa"/>
          </w:tcPr>
          <w:p w14:paraId="754836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1287</w:t>
            </w:r>
          </w:p>
        </w:tc>
        <w:tc>
          <w:tcPr>
            <w:tcW w:w="567" w:type="dxa"/>
          </w:tcPr>
          <w:p w14:paraId="6E624B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1099</w:t>
            </w:r>
          </w:p>
        </w:tc>
        <w:tc>
          <w:tcPr>
            <w:tcW w:w="567" w:type="dxa"/>
          </w:tcPr>
          <w:p w14:paraId="4BFE98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231</w:t>
            </w:r>
          </w:p>
        </w:tc>
        <w:tc>
          <w:tcPr>
            <w:tcW w:w="567" w:type="dxa"/>
          </w:tcPr>
          <w:p w14:paraId="012385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w:t>
            </w:r>
          </w:p>
        </w:tc>
        <w:tc>
          <w:tcPr>
            <w:tcW w:w="567" w:type="dxa"/>
          </w:tcPr>
          <w:p w14:paraId="4ACDE6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197</w:t>
            </w:r>
          </w:p>
        </w:tc>
        <w:tc>
          <w:tcPr>
            <w:tcW w:w="567" w:type="dxa"/>
          </w:tcPr>
          <w:p w14:paraId="58000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w:t>
            </w:r>
          </w:p>
        </w:tc>
        <w:tc>
          <w:tcPr>
            <w:tcW w:w="709" w:type="dxa"/>
          </w:tcPr>
          <w:p w14:paraId="153AA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c>
          <w:tcPr>
            <w:tcW w:w="850" w:type="dxa"/>
          </w:tcPr>
          <w:p w14:paraId="070451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w:t>
            </w:r>
          </w:p>
        </w:tc>
        <w:tc>
          <w:tcPr>
            <w:tcW w:w="851" w:type="dxa"/>
          </w:tcPr>
          <w:p w14:paraId="4BB850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171</w:t>
            </w:r>
          </w:p>
        </w:tc>
        <w:tc>
          <w:tcPr>
            <w:tcW w:w="850" w:type="dxa"/>
          </w:tcPr>
          <w:p w14:paraId="78FDE1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w:t>
            </w:r>
          </w:p>
        </w:tc>
        <w:tc>
          <w:tcPr>
            <w:tcW w:w="851" w:type="dxa"/>
          </w:tcPr>
          <w:p w14:paraId="3EC509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352</w:t>
            </w:r>
          </w:p>
        </w:tc>
        <w:tc>
          <w:tcPr>
            <w:tcW w:w="850" w:type="dxa"/>
          </w:tcPr>
          <w:p w14:paraId="27F8D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548</w:t>
            </w:r>
          </w:p>
        </w:tc>
        <w:tc>
          <w:tcPr>
            <w:tcW w:w="851" w:type="dxa"/>
          </w:tcPr>
          <w:p w14:paraId="0F534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608</w:t>
            </w:r>
          </w:p>
        </w:tc>
      </w:tr>
      <w:tr w:rsidR="00DA227A" w:rsidRPr="00E93F40" w14:paraId="0CCCBBA1" w14:textId="77777777">
        <w:tc>
          <w:tcPr>
            <w:tcW w:w="959" w:type="dxa"/>
            <w:tcBorders>
              <w:bottom w:val="single" w:sz="12" w:space="0" w:color="auto"/>
            </w:tcBorders>
          </w:tcPr>
          <w:p w14:paraId="2AE94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tc>
        <w:tc>
          <w:tcPr>
            <w:tcW w:w="567" w:type="dxa"/>
            <w:tcBorders>
              <w:bottom w:val="single" w:sz="12" w:space="0" w:color="auto"/>
            </w:tcBorders>
          </w:tcPr>
          <w:p w14:paraId="519D4C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639</w:t>
            </w:r>
          </w:p>
        </w:tc>
        <w:tc>
          <w:tcPr>
            <w:tcW w:w="567" w:type="dxa"/>
            <w:tcBorders>
              <w:bottom w:val="single" w:sz="12" w:space="0" w:color="auto"/>
            </w:tcBorders>
          </w:tcPr>
          <w:p w14:paraId="1A968B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374</w:t>
            </w:r>
          </w:p>
        </w:tc>
        <w:tc>
          <w:tcPr>
            <w:tcW w:w="567" w:type="dxa"/>
            <w:tcBorders>
              <w:bottom w:val="single" w:sz="12" w:space="0" w:color="auto"/>
            </w:tcBorders>
          </w:tcPr>
          <w:p w14:paraId="1C62B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w:t>
            </w:r>
          </w:p>
        </w:tc>
        <w:tc>
          <w:tcPr>
            <w:tcW w:w="567" w:type="dxa"/>
            <w:tcBorders>
              <w:bottom w:val="single" w:sz="12" w:space="0" w:color="auto"/>
            </w:tcBorders>
          </w:tcPr>
          <w:p w14:paraId="1245AF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567" w:type="dxa"/>
            <w:tcBorders>
              <w:bottom w:val="single" w:sz="12" w:space="0" w:color="auto"/>
            </w:tcBorders>
          </w:tcPr>
          <w:p w14:paraId="1667C4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w:t>
            </w:r>
          </w:p>
        </w:tc>
        <w:tc>
          <w:tcPr>
            <w:tcW w:w="567" w:type="dxa"/>
            <w:tcBorders>
              <w:bottom w:val="single" w:sz="12" w:space="0" w:color="auto"/>
            </w:tcBorders>
          </w:tcPr>
          <w:p w14:paraId="25F150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709" w:type="dxa"/>
            <w:tcBorders>
              <w:bottom w:val="single" w:sz="12" w:space="0" w:color="auto"/>
            </w:tcBorders>
          </w:tcPr>
          <w:p w14:paraId="35A94F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850" w:type="dxa"/>
            <w:tcBorders>
              <w:bottom w:val="single" w:sz="12" w:space="0" w:color="auto"/>
            </w:tcBorders>
          </w:tcPr>
          <w:p w14:paraId="3B5CED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851" w:type="dxa"/>
            <w:tcBorders>
              <w:bottom w:val="single" w:sz="12" w:space="0" w:color="auto"/>
            </w:tcBorders>
          </w:tcPr>
          <w:p w14:paraId="771E59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850" w:type="dxa"/>
            <w:tcBorders>
              <w:bottom w:val="single" w:sz="12" w:space="0" w:color="auto"/>
            </w:tcBorders>
          </w:tcPr>
          <w:p w14:paraId="62510D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w:t>
            </w:r>
          </w:p>
        </w:tc>
        <w:tc>
          <w:tcPr>
            <w:tcW w:w="851" w:type="dxa"/>
            <w:tcBorders>
              <w:bottom w:val="single" w:sz="12" w:space="0" w:color="auto"/>
            </w:tcBorders>
          </w:tcPr>
          <w:p w14:paraId="5A8E89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229</w:t>
            </w:r>
          </w:p>
        </w:tc>
        <w:tc>
          <w:tcPr>
            <w:tcW w:w="850" w:type="dxa"/>
            <w:tcBorders>
              <w:bottom w:val="single" w:sz="12" w:space="0" w:color="auto"/>
            </w:tcBorders>
          </w:tcPr>
          <w:p w14:paraId="2949F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231</w:t>
            </w:r>
          </w:p>
        </w:tc>
        <w:tc>
          <w:tcPr>
            <w:tcW w:w="851" w:type="dxa"/>
            <w:tcBorders>
              <w:bottom w:val="single" w:sz="12" w:space="0" w:color="auto"/>
            </w:tcBorders>
          </w:tcPr>
          <w:p w14:paraId="152D7A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631</w:t>
            </w:r>
          </w:p>
        </w:tc>
      </w:tr>
    </w:tbl>
    <w:p w14:paraId="2546C8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Строились при этом с-ты преимущественно легкие (учебные и разведчики) деревянных и смешанных конструкций. Типаж продукции, выпускаемой самолетостроительными заводами до 1928/29 и распределение типов по заводам, производившим с-ты, можно видеть из приведенных ниже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64"/>
        <w:gridCol w:w="1464"/>
        <w:gridCol w:w="1464"/>
        <w:gridCol w:w="1464"/>
        <w:gridCol w:w="1464"/>
        <w:gridCol w:w="1464"/>
        <w:gridCol w:w="1464"/>
      </w:tblGrid>
      <w:tr w:rsidR="00DA227A" w:rsidRPr="00E93F40" w14:paraId="32FB1551" w14:textId="77777777">
        <w:tc>
          <w:tcPr>
            <w:tcW w:w="959" w:type="dxa"/>
            <w:tcBorders>
              <w:top w:val="single" w:sz="12" w:space="0" w:color="auto"/>
            </w:tcBorders>
          </w:tcPr>
          <w:p w14:paraId="279845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заводов</w:t>
            </w:r>
          </w:p>
        </w:tc>
        <w:tc>
          <w:tcPr>
            <w:tcW w:w="1464" w:type="dxa"/>
            <w:tcBorders>
              <w:top w:val="single" w:sz="12" w:space="0" w:color="auto"/>
            </w:tcBorders>
          </w:tcPr>
          <w:p w14:paraId="179E13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Изделие</w:t>
            </w:r>
          </w:p>
        </w:tc>
        <w:tc>
          <w:tcPr>
            <w:tcW w:w="1464" w:type="dxa"/>
            <w:tcBorders>
              <w:top w:val="single" w:sz="12" w:space="0" w:color="auto"/>
            </w:tcBorders>
          </w:tcPr>
          <w:p w14:paraId="264E12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1922/23</w:t>
            </w:r>
          </w:p>
        </w:tc>
        <w:tc>
          <w:tcPr>
            <w:tcW w:w="1464" w:type="dxa"/>
            <w:tcBorders>
              <w:top w:val="single" w:sz="12" w:space="0" w:color="auto"/>
            </w:tcBorders>
          </w:tcPr>
          <w:p w14:paraId="1C2E28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1923/24</w:t>
            </w:r>
          </w:p>
        </w:tc>
        <w:tc>
          <w:tcPr>
            <w:tcW w:w="1464" w:type="dxa"/>
            <w:tcBorders>
              <w:top w:val="single" w:sz="12" w:space="0" w:color="auto"/>
            </w:tcBorders>
          </w:tcPr>
          <w:p w14:paraId="31E2C0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1924/25</w:t>
            </w:r>
          </w:p>
        </w:tc>
        <w:tc>
          <w:tcPr>
            <w:tcW w:w="1464" w:type="dxa"/>
            <w:tcBorders>
              <w:top w:val="single" w:sz="12" w:space="0" w:color="auto"/>
            </w:tcBorders>
          </w:tcPr>
          <w:p w14:paraId="62F3CE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1925/26</w:t>
            </w:r>
          </w:p>
        </w:tc>
        <w:tc>
          <w:tcPr>
            <w:tcW w:w="1464" w:type="dxa"/>
            <w:tcBorders>
              <w:top w:val="single" w:sz="12" w:space="0" w:color="auto"/>
            </w:tcBorders>
          </w:tcPr>
          <w:p w14:paraId="3E4E6E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1826/27</w:t>
            </w:r>
          </w:p>
        </w:tc>
        <w:tc>
          <w:tcPr>
            <w:tcW w:w="1464" w:type="dxa"/>
            <w:tcBorders>
              <w:top w:val="single" w:sz="12" w:space="0" w:color="auto"/>
            </w:tcBorders>
          </w:tcPr>
          <w:p w14:paraId="61F299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1927/28</w:t>
            </w:r>
          </w:p>
        </w:tc>
      </w:tr>
      <w:tr w:rsidR="00DA227A" w:rsidRPr="00E93F40" w14:paraId="3D040E8B" w14:textId="77777777">
        <w:tc>
          <w:tcPr>
            <w:tcW w:w="959" w:type="dxa"/>
          </w:tcPr>
          <w:p w14:paraId="656D87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64" w:type="dxa"/>
          </w:tcPr>
          <w:p w14:paraId="35F94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ДМ-4 ФИАТ</w:t>
            </w:r>
          </w:p>
        </w:tc>
        <w:tc>
          <w:tcPr>
            <w:tcW w:w="1464" w:type="dxa"/>
          </w:tcPr>
          <w:p w14:paraId="386919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1464" w:type="dxa"/>
          </w:tcPr>
          <w:p w14:paraId="32FBD5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241CE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A67C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F80E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9473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69C83C" w14:textId="77777777">
        <w:tc>
          <w:tcPr>
            <w:tcW w:w="959" w:type="dxa"/>
          </w:tcPr>
          <w:p w14:paraId="5FAEC0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E24EF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Ньюпор 24бис</w:t>
            </w:r>
          </w:p>
        </w:tc>
        <w:tc>
          <w:tcPr>
            <w:tcW w:w="1464" w:type="dxa"/>
          </w:tcPr>
          <w:p w14:paraId="79F657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1464" w:type="dxa"/>
          </w:tcPr>
          <w:p w14:paraId="7A8D37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698D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F9E5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836ED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E32D0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81E7409" w14:textId="77777777">
        <w:tc>
          <w:tcPr>
            <w:tcW w:w="959" w:type="dxa"/>
          </w:tcPr>
          <w:p w14:paraId="2B337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066F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Сопвич</w:t>
            </w:r>
          </w:p>
        </w:tc>
        <w:tc>
          <w:tcPr>
            <w:tcW w:w="1464" w:type="dxa"/>
          </w:tcPr>
          <w:p w14:paraId="38341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464" w:type="dxa"/>
          </w:tcPr>
          <w:p w14:paraId="42AABA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ABB60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17EEB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D232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9936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9BB4F7" w14:textId="77777777">
        <w:tc>
          <w:tcPr>
            <w:tcW w:w="959" w:type="dxa"/>
          </w:tcPr>
          <w:p w14:paraId="73565C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31656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ДН9-А(г)</w:t>
            </w:r>
          </w:p>
        </w:tc>
        <w:tc>
          <w:tcPr>
            <w:tcW w:w="1464" w:type="dxa"/>
          </w:tcPr>
          <w:p w14:paraId="1AF9EA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464" w:type="dxa"/>
          </w:tcPr>
          <w:p w14:paraId="00AB7C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DD53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7A86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2EDDF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A95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CFC309E" w14:textId="77777777">
        <w:tc>
          <w:tcPr>
            <w:tcW w:w="959" w:type="dxa"/>
          </w:tcPr>
          <w:p w14:paraId="497A2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DBA4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Р1-М5</w:t>
            </w:r>
          </w:p>
        </w:tc>
        <w:tc>
          <w:tcPr>
            <w:tcW w:w="1464" w:type="dxa"/>
          </w:tcPr>
          <w:p w14:paraId="1DB03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64" w:type="dxa"/>
          </w:tcPr>
          <w:p w14:paraId="0B7BE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464" w:type="dxa"/>
          </w:tcPr>
          <w:p w14:paraId="2AB99F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143</w:t>
            </w:r>
          </w:p>
        </w:tc>
        <w:tc>
          <w:tcPr>
            <w:tcW w:w="1464" w:type="dxa"/>
          </w:tcPr>
          <w:p w14:paraId="2E3846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w:t>
            </w:r>
          </w:p>
        </w:tc>
        <w:tc>
          <w:tcPr>
            <w:tcW w:w="1464" w:type="dxa"/>
          </w:tcPr>
          <w:p w14:paraId="3FEDA2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254</w:t>
            </w:r>
          </w:p>
        </w:tc>
        <w:tc>
          <w:tcPr>
            <w:tcW w:w="1464" w:type="dxa"/>
          </w:tcPr>
          <w:p w14:paraId="1A759C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302</w:t>
            </w:r>
          </w:p>
        </w:tc>
      </w:tr>
      <w:tr w:rsidR="00DA227A" w:rsidRPr="00E93F40" w14:paraId="6F5B01D1" w14:textId="77777777">
        <w:tc>
          <w:tcPr>
            <w:tcW w:w="959" w:type="dxa"/>
          </w:tcPr>
          <w:p w14:paraId="61E1E3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F112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Р1-СП</w:t>
            </w:r>
          </w:p>
        </w:tc>
        <w:tc>
          <w:tcPr>
            <w:tcW w:w="1464" w:type="dxa"/>
          </w:tcPr>
          <w:p w14:paraId="0853FC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91CE3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44FA5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E8536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w:t>
            </w:r>
          </w:p>
        </w:tc>
        <w:tc>
          <w:tcPr>
            <w:tcW w:w="1464" w:type="dxa"/>
          </w:tcPr>
          <w:p w14:paraId="578D15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w:t>
            </w:r>
          </w:p>
        </w:tc>
        <w:tc>
          <w:tcPr>
            <w:tcW w:w="1464" w:type="dxa"/>
          </w:tcPr>
          <w:p w14:paraId="5A7902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2227235" w14:textId="77777777">
        <w:tc>
          <w:tcPr>
            <w:tcW w:w="959" w:type="dxa"/>
          </w:tcPr>
          <w:p w14:paraId="11619C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8C536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Р1-ЛД</w:t>
            </w:r>
          </w:p>
        </w:tc>
        <w:tc>
          <w:tcPr>
            <w:tcW w:w="1464" w:type="dxa"/>
          </w:tcPr>
          <w:p w14:paraId="70CA89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50BC7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FE7EB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F34BE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588F9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64" w:type="dxa"/>
          </w:tcPr>
          <w:p w14:paraId="22CF9F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5964F75" w14:textId="77777777">
        <w:tc>
          <w:tcPr>
            <w:tcW w:w="959" w:type="dxa"/>
          </w:tcPr>
          <w:p w14:paraId="4E841B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D2177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У1-М2</w:t>
            </w:r>
          </w:p>
        </w:tc>
        <w:tc>
          <w:tcPr>
            <w:tcW w:w="1464" w:type="dxa"/>
          </w:tcPr>
          <w:p w14:paraId="47F1E8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65E2F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6616E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2D79D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4B3C2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1464" w:type="dxa"/>
          </w:tcPr>
          <w:p w14:paraId="7F499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3E32C3" w14:textId="77777777">
        <w:tc>
          <w:tcPr>
            <w:tcW w:w="959" w:type="dxa"/>
          </w:tcPr>
          <w:p w14:paraId="327323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6230A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И2-бис</w:t>
            </w:r>
          </w:p>
        </w:tc>
        <w:tc>
          <w:tcPr>
            <w:tcW w:w="1464" w:type="dxa"/>
          </w:tcPr>
          <w:p w14:paraId="09500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EAC4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2FD4C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A7C7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45CB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47A1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r w:rsidR="00DA227A" w:rsidRPr="00E93F40" w14:paraId="6088FA59" w14:textId="77777777">
        <w:tc>
          <w:tcPr>
            <w:tcW w:w="959" w:type="dxa"/>
          </w:tcPr>
          <w:p w14:paraId="7F2E2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90EF1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464" w:type="dxa"/>
          </w:tcPr>
          <w:p w14:paraId="3D43A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1464" w:type="dxa"/>
          </w:tcPr>
          <w:p w14:paraId="67AF38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1464" w:type="dxa"/>
          </w:tcPr>
          <w:p w14:paraId="4812C9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143</w:t>
            </w:r>
          </w:p>
        </w:tc>
        <w:tc>
          <w:tcPr>
            <w:tcW w:w="1464" w:type="dxa"/>
          </w:tcPr>
          <w:p w14:paraId="13D326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w:t>
            </w:r>
          </w:p>
        </w:tc>
        <w:tc>
          <w:tcPr>
            <w:tcW w:w="1464" w:type="dxa"/>
          </w:tcPr>
          <w:p w14:paraId="267C4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323</w:t>
            </w:r>
          </w:p>
        </w:tc>
        <w:tc>
          <w:tcPr>
            <w:tcW w:w="1464" w:type="dxa"/>
          </w:tcPr>
          <w:p w14:paraId="089BE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303</w:t>
            </w:r>
          </w:p>
        </w:tc>
      </w:tr>
      <w:tr w:rsidR="00DA227A" w:rsidRPr="00E93F40" w14:paraId="79445A90" w14:textId="77777777">
        <w:tc>
          <w:tcPr>
            <w:tcW w:w="959" w:type="dxa"/>
          </w:tcPr>
          <w:p w14:paraId="01F910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1464" w:type="dxa"/>
          </w:tcPr>
          <w:p w14:paraId="4AEEA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У3-М2</w:t>
            </w:r>
          </w:p>
        </w:tc>
        <w:tc>
          <w:tcPr>
            <w:tcW w:w="1464" w:type="dxa"/>
          </w:tcPr>
          <w:p w14:paraId="41351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1464" w:type="dxa"/>
          </w:tcPr>
          <w:p w14:paraId="2CBF53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2EE92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58723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C7089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45E85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BF5088" w14:textId="77777777">
        <w:tc>
          <w:tcPr>
            <w:tcW w:w="959" w:type="dxa"/>
          </w:tcPr>
          <w:p w14:paraId="4E5350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D4356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У1-М2</w:t>
            </w:r>
          </w:p>
        </w:tc>
        <w:tc>
          <w:tcPr>
            <w:tcW w:w="1464" w:type="dxa"/>
          </w:tcPr>
          <w:p w14:paraId="4B5761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25667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w:t>
            </w:r>
          </w:p>
        </w:tc>
        <w:tc>
          <w:tcPr>
            <w:tcW w:w="1464" w:type="dxa"/>
          </w:tcPr>
          <w:p w14:paraId="77C5A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w:t>
            </w:r>
          </w:p>
        </w:tc>
        <w:tc>
          <w:tcPr>
            <w:tcW w:w="1464" w:type="dxa"/>
          </w:tcPr>
          <w:p w14:paraId="73A2C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63A5F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87DE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4E6AD5C" w14:textId="77777777">
        <w:tc>
          <w:tcPr>
            <w:tcW w:w="959" w:type="dxa"/>
          </w:tcPr>
          <w:p w14:paraId="43814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1A0C8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Р3-ЛД</w:t>
            </w:r>
          </w:p>
        </w:tc>
        <w:tc>
          <w:tcPr>
            <w:tcW w:w="1464" w:type="dxa"/>
          </w:tcPr>
          <w:p w14:paraId="202675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E8241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61F05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F29D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246E9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57A6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r w:rsidR="00DA227A" w:rsidRPr="00E93F40" w14:paraId="0E2F4579" w14:textId="77777777">
        <w:tc>
          <w:tcPr>
            <w:tcW w:w="959" w:type="dxa"/>
          </w:tcPr>
          <w:p w14:paraId="209562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DDED5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Р3-М5</w:t>
            </w:r>
          </w:p>
        </w:tc>
        <w:tc>
          <w:tcPr>
            <w:tcW w:w="1464" w:type="dxa"/>
          </w:tcPr>
          <w:p w14:paraId="08A8C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F105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15743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BBBB9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64" w:type="dxa"/>
          </w:tcPr>
          <w:p w14:paraId="7BD2E4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64" w:type="dxa"/>
          </w:tcPr>
          <w:p w14:paraId="649DA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247F9B72" w14:textId="77777777">
        <w:tc>
          <w:tcPr>
            <w:tcW w:w="959" w:type="dxa"/>
          </w:tcPr>
          <w:p w14:paraId="4688FA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007FE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464" w:type="dxa"/>
          </w:tcPr>
          <w:p w14:paraId="1DCC85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1464" w:type="dxa"/>
          </w:tcPr>
          <w:p w14:paraId="4A265A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w:t>
            </w:r>
          </w:p>
        </w:tc>
        <w:tc>
          <w:tcPr>
            <w:tcW w:w="1464" w:type="dxa"/>
          </w:tcPr>
          <w:p w14:paraId="3C7315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w:t>
            </w:r>
          </w:p>
        </w:tc>
        <w:tc>
          <w:tcPr>
            <w:tcW w:w="1464" w:type="dxa"/>
          </w:tcPr>
          <w:p w14:paraId="2605A1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64" w:type="dxa"/>
          </w:tcPr>
          <w:p w14:paraId="410E22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64" w:type="dxa"/>
          </w:tcPr>
          <w:p w14:paraId="565F63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r>
      <w:tr w:rsidR="00DA227A" w:rsidRPr="00E93F40" w14:paraId="704E6E59" w14:textId="77777777">
        <w:tc>
          <w:tcPr>
            <w:tcW w:w="959" w:type="dxa"/>
          </w:tcPr>
          <w:p w14:paraId="4E7B35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1464" w:type="dxa"/>
          </w:tcPr>
          <w:p w14:paraId="67C864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Гидро М5</w:t>
            </w:r>
          </w:p>
        </w:tc>
        <w:tc>
          <w:tcPr>
            <w:tcW w:w="1464" w:type="dxa"/>
          </w:tcPr>
          <w:p w14:paraId="0DB24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1464" w:type="dxa"/>
          </w:tcPr>
          <w:p w14:paraId="0ACF83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5FE6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AD087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CF85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EC756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D9B5813" w14:textId="77777777">
        <w:tc>
          <w:tcPr>
            <w:tcW w:w="959" w:type="dxa"/>
          </w:tcPr>
          <w:p w14:paraId="0BEC4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204C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Сопвич</w:t>
            </w:r>
          </w:p>
        </w:tc>
        <w:tc>
          <w:tcPr>
            <w:tcW w:w="1464" w:type="dxa"/>
          </w:tcPr>
          <w:p w14:paraId="0BD629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64" w:type="dxa"/>
          </w:tcPr>
          <w:p w14:paraId="31FCB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6D9C6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B939F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9670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1AE0F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B71C16E" w14:textId="77777777">
        <w:tc>
          <w:tcPr>
            <w:tcW w:w="959" w:type="dxa"/>
          </w:tcPr>
          <w:p w14:paraId="7B8ECC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03553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Гидро м9</w:t>
            </w:r>
          </w:p>
        </w:tc>
        <w:tc>
          <w:tcPr>
            <w:tcW w:w="1464" w:type="dxa"/>
          </w:tcPr>
          <w:p w14:paraId="08CB69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1464" w:type="dxa"/>
          </w:tcPr>
          <w:p w14:paraId="7E996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DC86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C40C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B3953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4627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AC7DFD0" w14:textId="77777777">
        <w:tc>
          <w:tcPr>
            <w:tcW w:w="959" w:type="dxa"/>
          </w:tcPr>
          <w:p w14:paraId="061690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AB70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МР Рено</w:t>
            </w:r>
          </w:p>
        </w:tc>
        <w:tc>
          <w:tcPr>
            <w:tcW w:w="1464" w:type="dxa"/>
          </w:tcPr>
          <w:p w14:paraId="49A489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82FBC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c>
          <w:tcPr>
            <w:tcW w:w="1464" w:type="dxa"/>
          </w:tcPr>
          <w:p w14:paraId="6A53A8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665A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474CE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0287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65BC11A" w14:textId="77777777">
        <w:tc>
          <w:tcPr>
            <w:tcW w:w="959" w:type="dxa"/>
          </w:tcPr>
          <w:p w14:paraId="00E1E5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5392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МУ1-22</w:t>
            </w:r>
          </w:p>
        </w:tc>
        <w:tc>
          <w:tcPr>
            <w:tcW w:w="1464" w:type="dxa"/>
          </w:tcPr>
          <w:p w14:paraId="2C4717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E542B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E177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5E0BE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1464" w:type="dxa"/>
          </w:tcPr>
          <w:p w14:paraId="39FE52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CAAFA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tc>
      </w:tr>
      <w:tr w:rsidR="00DA227A" w:rsidRPr="00E93F40" w14:paraId="10621AE7" w14:textId="77777777">
        <w:tc>
          <w:tcPr>
            <w:tcW w:w="959" w:type="dxa"/>
          </w:tcPr>
          <w:p w14:paraId="390BEB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94D94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У1-М2</w:t>
            </w:r>
          </w:p>
        </w:tc>
        <w:tc>
          <w:tcPr>
            <w:tcW w:w="1464" w:type="dxa"/>
          </w:tcPr>
          <w:p w14:paraId="50430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591A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F3917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C3F9D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1464" w:type="dxa"/>
          </w:tcPr>
          <w:p w14:paraId="6F803D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w:t>
            </w:r>
          </w:p>
        </w:tc>
        <w:tc>
          <w:tcPr>
            <w:tcW w:w="1464" w:type="dxa"/>
          </w:tcPr>
          <w:p w14:paraId="25B79F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r>
      <w:tr w:rsidR="00DA227A" w:rsidRPr="00E93F40" w14:paraId="64AE0B36" w14:textId="77777777">
        <w:tc>
          <w:tcPr>
            <w:tcW w:w="959" w:type="dxa"/>
          </w:tcPr>
          <w:p w14:paraId="1EAEC1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31AF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Истребитель</w:t>
            </w:r>
          </w:p>
        </w:tc>
        <w:tc>
          <w:tcPr>
            <w:tcW w:w="1464" w:type="dxa"/>
          </w:tcPr>
          <w:p w14:paraId="5A21B5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3F3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74562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BE8E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64" w:type="dxa"/>
          </w:tcPr>
          <w:p w14:paraId="419BE8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c>
          <w:tcPr>
            <w:tcW w:w="1464" w:type="dxa"/>
          </w:tcPr>
          <w:p w14:paraId="152C6F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r>
      <w:tr w:rsidR="00DA227A" w:rsidRPr="00E93F40" w14:paraId="3FD74128" w14:textId="77777777">
        <w:tc>
          <w:tcPr>
            <w:tcW w:w="959" w:type="dxa"/>
          </w:tcPr>
          <w:p w14:paraId="03F0F2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D8A87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464" w:type="dxa"/>
          </w:tcPr>
          <w:p w14:paraId="566CA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tc>
        <w:tc>
          <w:tcPr>
            <w:tcW w:w="1464" w:type="dxa"/>
          </w:tcPr>
          <w:p w14:paraId="2153DA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c>
          <w:tcPr>
            <w:tcW w:w="1464" w:type="dxa"/>
          </w:tcPr>
          <w:p w14:paraId="28FBE2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464" w:type="dxa"/>
          </w:tcPr>
          <w:p w14:paraId="621CC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1464" w:type="dxa"/>
          </w:tcPr>
          <w:p w14:paraId="047497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w:t>
            </w:r>
          </w:p>
        </w:tc>
        <w:tc>
          <w:tcPr>
            <w:tcW w:w="1464" w:type="dxa"/>
          </w:tcPr>
          <w:p w14:paraId="07E038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w:t>
            </w:r>
          </w:p>
        </w:tc>
      </w:tr>
      <w:tr w:rsidR="00DA227A" w:rsidRPr="00E93F40" w14:paraId="0191458F" w14:textId="77777777">
        <w:tc>
          <w:tcPr>
            <w:tcW w:w="959" w:type="dxa"/>
          </w:tcPr>
          <w:p w14:paraId="3FEB6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1464" w:type="dxa"/>
          </w:tcPr>
          <w:p w14:paraId="43FD51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ДН9-СП</w:t>
            </w:r>
          </w:p>
        </w:tc>
        <w:tc>
          <w:tcPr>
            <w:tcW w:w="1464" w:type="dxa"/>
          </w:tcPr>
          <w:p w14:paraId="683E92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1464" w:type="dxa"/>
          </w:tcPr>
          <w:p w14:paraId="439577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8260B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6A71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2BBC4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8806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D055CAD" w14:textId="77777777">
        <w:tc>
          <w:tcPr>
            <w:tcW w:w="959" w:type="dxa"/>
          </w:tcPr>
          <w:p w14:paraId="3D2630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D131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ДН9-А/Р1/</w:t>
            </w:r>
          </w:p>
        </w:tc>
        <w:tc>
          <w:tcPr>
            <w:tcW w:w="1464" w:type="dxa"/>
          </w:tcPr>
          <w:p w14:paraId="601F4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1464" w:type="dxa"/>
          </w:tcPr>
          <w:p w14:paraId="29EEC5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82960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676C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5D9B7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C69AC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D0DF19F" w14:textId="77777777">
        <w:tc>
          <w:tcPr>
            <w:tcW w:w="959" w:type="dxa"/>
          </w:tcPr>
          <w:p w14:paraId="21C10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6645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МР1</w:t>
            </w:r>
          </w:p>
        </w:tc>
        <w:tc>
          <w:tcPr>
            <w:tcW w:w="1464" w:type="dxa"/>
          </w:tcPr>
          <w:p w14:paraId="52C791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D1EF8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8215E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32034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5913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E28C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w:t>
            </w:r>
          </w:p>
        </w:tc>
      </w:tr>
      <w:tr w:rsidR="00DA227A" w:rsidRPr="00E93F40" w14:paraId="31769717" w14:textId="77777777">
        <w:tc>
          <w:tcPr>
            <w:tcW w:w="959" w:type="dxa"/>
          </w:tcPr>
          <w:p w14:paraId="3AFB33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1EA4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Р1-М5</w:t>
            </w:r>
          </w:p>
        </w:tc>
        <w:tc>
          <w:tcPr>
            <w:tcW w:w="1464" w:type="dxa"/>
          </w:tcPr>
          <w:p w14:paraId="234AB8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494F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464" w:type="dxa"/>
          </w:tcPr>
          <w:p w14:paraId="62B0AA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tc>
        <w:tc>
          <w:tcPr>
            <w:tcW w:w="1464" w:type="dxa"/>
          </w:tcPr>
          <w:p w14:paraId="2E80B0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464" w:type="dxa"/>
          </w:tcPr>
          <w:p w14:paraId="1A0952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w:t>
            </w:r>
          </w:p>
        </w:tc>
        <w:tc>
          <w:tcPr>
            <w:tcW w:w="1464" w:type="dxa"/>
          </w:tcPr>
          <w:p w14:paraId="72A14F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82</w:t>
            </w:r>
          </w:p>
        </w:tc>
      </w:tr>
      <w:tr w:rsidR="00DA227A" w:rsidRPr="00E93F40" w14:paraId="13E4EDDA" w14:textId="77777777">
        <w:tc>
          <w:tcPr>
            <w:tcW w:w="959" w:type="dxa"/>
          </w:tcPr>
          <w:p w14:paraId="2D8F1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6194F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464" w:type="dxa"/>
          </w:tcPr>
          <w:p w14:paraId="7402E2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1464" w:type="dxa"/>
          </w:tcPr>
          <w:p w14:paraId="2DB48F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464" w:type="dxa"/>
          </w:tcPr>
          <w:p w14:paraId="02F380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tc>
        <w:tc>
          <w:tcPr>
            <w:tcW w:w="1464" w:type="dxa"/>
          </w:tcPr>
          <w:p w14:paraId="52906A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464" w:type="dxa"/>
          </w:tcPr>
          <w:p w14:paraId="095EB7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w:t>
            </w:r>
          </w:p>
        </w:tc>
        <w:tc>
          <w:tcPr>
            <w:tcW w:w="1464" w:type="dxa"/>
          </w:tcPr>
          <w:p w14:paraId="11B2D0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w:t>
            </w:r>
          </w:p>
        </w:tc>
      </w:tr>
      <w:tr w:rsidR="00DA227A" w:rsidRPr="00E93F40" w14:paraId="0B92C4D0" w14:textId="77777777">
        <w:tc>
          <w:tcPr>
            <w:tcW w:w="959" w:type="dxa"/>
          </w:tcPr>
          <w:p w14:paraId="50857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w:t>
            </w:r>
          </w:p>
        </w:tc>
        <w:tc>
          <w:tcPr>
            <w:tcW w:w="1464" w:type="dxa"/>
          </w:tcPr>
          <w:p w14:paraId="2B3B93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У8-ИАТ</w:t>
            </w:r>
          </w:p>
        </w:tc>
        <w:tc>
          <w:tcPr>
            <w:tcW w:w="1464" w:type="dxa"/>
          </w:tcPr>
          <w:p w14:paraId="27A703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D4110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1464" w:type="dxa"/>
          </w:tcPr>
          <w:p w14:paraId="542C29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D507D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3F6F7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47304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FF185C" w14:textId="77777777">
        <w:tc>
          <w:tcPr>
            <w:tcW w:w="959" w:type="dxa"/>
            <w:tcBorders>
              <w:bottom w:val="single" w:sz="12" w:space="0" w:color="auto"/>
            </w:tcBorders>
          </w:tcPr>
          <w:p w14:paraId="18951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Borders>
              <w:bottom w:val="single" w:sz="12" w:space="0" w:color="auto"/>
            </w:tcBorders>
          </w:tcPr>
          <w:p w14:paraId="2AE58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1464" w:type="dxa"/>
            <w:tcBorders>
              <w:bottom w:val="single" w:sz="12" w:space="0" w:color="auto"/>
            </w:tcBorders>
          </w:tcPr>
          <w:p w14:paraId="4392BB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137</w:t>
            </w:r>
          </w:p>
        </w:tc>
        <w:tc>
          <w:tcPr>
            <w:tcW w:w="1464" w:type="dxa"/>
            <w:tcBorders>
              <w:bottom w:val="single" w:sz="12" w:space="0" w:color="auto"/>
            </w:tcBorders>
          </w:tcPr>
          <w:p w14:paraId="6F288A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171</w:t>
            </w:r>
          </w:p>
        </w:tc>
        <w:tc>
          <w:tcPr>
            <w:tcW w:w="1464" w:type="dxa"/>
            <w:tcBorders>
              <w:bottom w:val="single" w:sz="12" w:space="0" w:color="auto"/>
            </w:tcBorders>
          </w:tcPr>
          <w:p w14:paraId="0152A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w:t>
            </w:r>
          </w:p>
        </w:tc>
        <w:tc>
          <w:tcPr>
            <w:tcW w:w="1464" w:type="dxa"/>
            <w:tcBorders>
              <w:bottom w:val="single" w:sz="12" w:space="0" w:color="auto"/>
            </w:tcBorders>
          </w:tcPr>
          <w:p w14:paraId="5AE80D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352</w:t>
            </w:r>
          </w:p>
        </w:tc>
        <w:tc>
          <w:tcPr>
            <w:tcW w:w="1464" w:type="dxa"/>
            <w:tcBorders>
              <w:bottom w:val="single" w:sz="12" w:space="0" w:color="auto"/>
            </w:tcBorders>
          </w:tcPr>
          <w:p w14:paraId="1349D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545</w:t>
            </w:r>
          </w:p>
        </w:tc>
        <w:tc>
          <w:tcPr>
            <w:tcW w:w="1464" w:type="dxa"/>
            <w:tcBorders>
              <w:bottom w:val="single" w:sz="12" w:space="0" w:color="auto"/>
            </w:tcBorders>
          </w:tcPr>
          <w:p w14:paraId="11C1E1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608</w:t>
            </w:r>
          </w:p>
        </w:tc>
      </w:tr>
    </w:tbl>
    <w:p w14:paraId="36565A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Авиастроительные заводы к началу первой пятилетки выпускали (см. Таблицу 3) моторы иностранных образцов небольших мощностей, преимущественно типа Рон 120 лс (М2), Либерти 400 лс (М5), ИС 300 лс (М6). Моторы эти производились в небольших сериях на заводах 2, 4 и 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64"/>
        <w:gridCol w:w="1464"/>
        <w:gridCol w:w="1464"/>
        <w:gridCol w:w="1464"/>
        <w:gridCol w:w="1464"/>
        <w:gridCol w:w="1464"/>
        <w:gridCol w:w="1464"/>
      </w:tblGrid>
      <w:tr w:rsidR="00DA227A" w:rsidRPr="00E93F40" w14:paraId="3B27E329" w14:textId="77777777">
        <w:tc>
          <w:tcPr>
            <w:tcW w:w="959" w:type="dxa"/>
            <w:tcBorders>
              <w:top w:val="single" w:sz="12" w:space="0" w:color="auto"/>
            </w:tcBorders>
          </w:tcPr>
          <w:p w14:paraId="29D84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заводов</w:t>
            </w:r>
          </w:p>
        </w:tc>
        <w:tc>
          <w:tcPr>
            <w:tcW w:w="1464" w:type="dxa"/>
            <w:tcBorders>
              <w:top w:val="single" w:sz="12" w:space="0" w:color="auto"/>
            </w:tcBorders>
          </w:tcPr>
          <w:p w14:paraId="69F91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Изделие</w:t>
            </w:r>
          </w:p>
        </w:tc>
        <w:tc>
          <w:tcPr>
            <w:tcW w:w="1464" w:type="dxa"/>
            <w:tcBorders>
              <w:top w:val="single" w:sz="12" w:space="0" w:color="auto"/>
            </w:tcBorders>
          </w:tcPr>
          <w:p w14:paraId="151AE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1922/23</w:t>
            </w:r>
          </w:p>
        </w:tc>
        <w:tc>
          <w:tcPr>
            <w:tcW w:w="1464" w:type="dxa"/>
            <w:tcBorders>
              <w:top w:val="single" w:sz="12" w:space="0" w:color="auto"/>
            </w:tcBorders>
          </w:tcPr>
          <w:p w14:paraId="448384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1923/24</w:t>
            </w:r>
          </w:p>
        </w:tc>
        <w:tc>
          <w:tcPr>
            <w:tcW w:w="1464" w:type="dxa"/>
            <w:tcBorders>
              <w:top w:val="single" w:sz="12" w:space="0" w:color="auto"/>
            </w:tcBorders>
          </w:tcPr>
          <w:p w14:paraId="0478C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1924/25</w:t>
            </w:r>
          </w:p>
        </w:tc>
        <w:tc>
          <w:tcPr>
            <w:tcW w:w="1464" w:type="dxa"/>
            <w:tcBorders>
              <w:top w:val="single" w:sz="12" w:space="0" w:color="auto"/>
            </w:tcBorders>
          </w:tcPr>
          <w:p w14:paraId="28532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1925/26</w:t>
            </w:r>
          </w:p>
        </w:tc>
        <w:tc>
          <w:tcPr>
            <w:tcW w:w="1464" w:type="dxa"/>
            <w:tcBorders>
              <w:top w:val="single" w:sz="12" w:space="0" w:color="auto"/>
            </w:tcBorders>
          </w:tcPr>
          <w:p w14:paraId="1802E8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1826/27</w:t>
            </w:r>
          </w:p>
        </w:tc>
        <w:tc>
          <w:tcPr>
            <w:tcW w:w="1464" w:type="dxa"/>
            <w:tcBorders>
              <w:top w:val="single" w:sz="12" w:space="0" w:color="auto"/>
            </w:tcBorders>
          </w:tcPr>
          <w:p w14:paraId="42A7D1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1927/28</w:t>
            </w:r>
          </w:p>
        </w:tc>
      </w:tr>
      <w:tr w:rsidR="00DA227A" w:rsidRPr="00E93F40" w14:paraId="7E404759" w14:textId="77777777">
        <w:tc>
          <w:tcPr>
            <w:tcW w:w="959" w:type="dxa"/>
          </w:tcPr>
          <w:p w14:paraId="04427F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464" w:type="dxa"/>
          </w:tcPr>
          <w:p w14:paraId="06188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Испано</w:t>
            </w:r>
          </w:p>
        </w:tc>
        <w:tc>
          <w:tcPr>
            <w:tcW w:w="1464" w:type="dxa"/>
          </w:tcPr>
          <w:p w14:paraId="772151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1464" w:type="dxa"/>
          </w:tcPr>
          <w:p w14:paraId="54443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73FE9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9DF1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E3705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FCBF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C7465F" w14:textId="77777777">
        <w:tc>
          <w:tcPr>
            <w:tcW w:w="959" w:type="dxa"/>
          </w:tcPr>
          <w:p w14:paraId="02FE2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AD7D0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w:t>
            </w:r>
          </w:p>
        </w:tc>
        <w:tc>
          <w:tcPr>
            <w:tcW w:w="1464" w:type="dxa"/>
          </w:tcPr>
          <w:p w14:paraId="74731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EA63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9527B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1464" w:type="dxa"/>
          </w:tcPr>
          <w:p w14:paraId="7C4E3A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w:t>
            </w:r>
          </w:p>
        </w:tc>
        <w:tc>
          <w:tcPr>
            <w:tcW w:w="1464" w:type="dxa"/>
          </w:tcPr>
          <w:p w14:paraId="6021B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w:t>
            </w:r>
          </w:p>
        </w:tc>
        <w:tc>
          <w:tcPr>
            <w:tcW w:w="1464" w:type="dxa"/>
          </w:tcPr>
          <w:p w14:paraId="077E8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501</w:t>
            </w:r>
          </w:p>
        </w:tc>
      </w:tr>
      <w:tr w:rsidR="00DA227A" w:rsidRPr="00E93F40" w14:paraId="1E12FA1D" w14:textId="77777777">
        <w:tc>
          <w:tcPr>
            <w:tcW w:w="959" w:type="dxa"/>
          </w:tcPr>
          <w:p w14:paraId="46E361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C123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464" w:type="dxa"/>
          </w:tcPr>
          <w:p w14:paraId="030D80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w:t>
            </w:r>
          </w:p>
        </w:tc>
        <w:tc>
          <w:tcPr>
            <w:tcW w:w="1464" w:type="dxa"/>
          </w:tcPr>
          <w:p w14:paraId="3817E2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7482A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1464" w:type="dxa"/>
          </w:tcPr>
          <w:p w14:paraId="769CD5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134</w:t>
            </w:r>
          </w:p>
        </w:tc>
        <w:tc>
          <w:tcPr>
            <w:tcW w:w="1464" w:type="dxa"/>
          </w:tcPr>
          <w:p w14:paraId="79AFC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168</w:t>
            </w:r>
          </w:p>
        </w:tc>
        <w:tc>
          <w:tcPr>
            <w:tcW w:w="1464" w:type="dxa"/>
          </w:tcPr>
          <w:p w14:paraId="671B51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501</w:t>
            </w:r>
          </w:p>
        </w:tc>
      </w:tr>
      <w:tr w:rsidR="00DA227A" w:rsidRPr="00E93F40" w14:paraId="7D22CA27" w14:textId="77777777">
        <w:tc>
          <w:tcPr>
            <w:tcW w:w="959" w:type="dxa"/>
          </w:tcPr>
          <w:p w14:paraId="5911F7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1464" w:type="dxa"/>
          </w:tcPr>
          <w:p w14:paraId="2141DF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Рон</w:t>
            </w:r>
          </w:p>
        </w:tc>
        <w:tc>
          <w:tcPr>
            <w:tcW w:w="1464" w:type="dxa"/>
          </w:tcPr>
          <w:p w14:paraId="7725A5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w:t>
            </w:r>
          </w:p>
        </w:tc>
        <w:tc>
          <w:tcPr>
            <w:tcW w:w="1464" w:type="dxa"/>
          </w:tcPr>
          <w:p w14:paraId="7A4ED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E9798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8CF1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CF3E4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38053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0105EA" w14:textId="77777777">
        <w:tc>
          <w:tcPr>
            <w:tcW w:w="959" w:type="dxa"/>
          </w:tcPr>
          <w:p w14:paraId="3AB231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128AF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w:t>
            </w:r>
          </w:p>
        </w:tc>
        <w:tc>
          <w:tcPr>
            <w:tcW w:w="1464" w:type="dxa"/>
          </w:tcPr>
          <w:p w14:paraId="70D86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941A9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1464" w:type="dxa"/>
          </w:tcPr>
          <w:p w14:paraId="271CE8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93</w:t>
            </w:r>
          </w:p>
        </w:tc>
        <w:tc>
          <w:tcPr>
            <w:tcW w:w="1464" w:type="dxa"/>
          </w:tcPr>
          <w:p w14:paraId="1B1929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w:t>
            </w:r>
          </w:p>
        </w:tc>
        <w:tc>
          <w:tcPr>
            <w:tcW w:w="1464" w:type="dxa"/>
          </w:tcPr>
          <w:p w14:paraId="2F4886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464" w:type="dxa"/>
          </w:tcPr>
          <w:p w14:paraId="0C58F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r w:rsidR="00DA227A" w:rsidRPr="00E93F40" w14:paraId="12AA366B" w14:textId="77777777">
        <w:tc>
          <w:tcPr>
            <w:tcW w:w="959" w:type="dxa"/>
          </w:tcPr>
          <w:p w14:paraId="3B4CBE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A39A0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w:t>
            </w:r>
          </w:p>
        </w:tc>
        <w:tc>
          <w:tcPr>
            <w:tcW w:w="1464" w:type="dxa"/>
          </w:tcPr>
          <w:p w14:paraId="5FD78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B510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E6D1A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9EE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CAE76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464" w:type="dxa"/>
          </w:tcPr>
          <w:p w14:paraId="6BF78B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326D60" w14:textId="77777777">
        <w:tc>
          <w:tcPr>
            <w:tcW w:w="959" w:type="dxa"/>
          </w:tcPr>
          <w:p w14:paraId="26F673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7AF2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1464" w:type="dxa"/>
          </w:tcPr>
          <w:p w14:paraId="76AD8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w:t>
            </w:r>
          </w:p>
        </w:tc>
        <w:tc>
          <w:tcPr>
            <w:tcW w:w="1464" w:type="dxa"/>
          </w:tcPr>
          <w:p w14:paraId="79E58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1464" w:type="dxa"/>
          </w:tcPr>
          <w:p w14:paraId="76052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w:t>
            </w:r>
          </w:p>
        </w:tc>
        <w:tc>
          <w:tcPr>
            <w:tcW w:w="1464" w:type="dxa"/>
          </w:tcPr>
          <w:p w14:paraId="3FE3BA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w:t>
            </w:r>
          </w:p>
        </w:tc>
        <w:tc>
          <w:tcPr>
            <w:tcW w:w="1464" w:type="dxa"/>
          </w:tcPr>
          <w:p w14:paraId="1E733E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1464" w:type="dxa"/>
          </w:tcPr>
          <w:p w14:paraId="46249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r w:rsidR="00DA227A" w:rsidRPr="00E93F40" w14:paraId="39E2D75C" w14:textId="77777777">
        <w:tc>
          <w:tcPr>
            <w:tcW w:w="959" w:type="dxa"/>
          </w:tcPr>
          <w:p w14:paraId="7A9A9F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1464" w:type="dxa"/>
          </w:tcPr>
          <w:p w14:paraId="18E75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М6</w:t>
            </w:r>
          </w:p>
        </w:tc>
        <w:tc>
          <w:tcPr>
            <w:tcW w:w="1464" w:type="dxa"/>
          </w:tcPr>
          <w:p w14:paraId="7EDA65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B7BB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51F9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78B4E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1464" w:type="dxa"/>
          </w:tcPr>
          <w:p w14:paraId="163C92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1464" w:type="dxa"/>
          </w:tcPr>
          <w:p w14:paraId="2CD672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2EB64D09" w14:textId="77777777">
        <w:tc>
          <w:tcPr>
            <w:tcW w:w="959" w:type="dxa"/>
            <w:tcBorders>
              <w:bottom w:val="single" w:sz="12" w:space="0" w:color="auto"/>
            </w:tcBorders>
          </w:tcPr>
          <w:p w14:paraId="4E6CA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Borders>
              <w:bottom w:val="single" w:sz="12" w:space="0" w:color="auto"/>
            </w:tcBorders>
          </w:tcPr>
          <w:p w14:paraId="3A6D5D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1464" w:type="dxa"/>
            <w:tcBorders>
              <w:bottom w:val="single" w:sz="12" w:space="0" w:color="auto"/>
            </w:tcBorders>
          </w:tcPr>
          <w:p w14:paraId="10A11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c>
          <w:tcPr>
            <w:tcW w:w="1464" w:type="dxa"/>
            <w:tcBorders>
              <w:bottom w:val="single" w:sz="12" w:space="0" w:color="auto"/>
            </w:tcBorders>
          </w:tcPr>
          <w:p w14:paraId="10443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w:t>
            </w:r>
          </w:p>
        </w:tc>
        <w:tc>
          <w:tcPr>
            <w:tcW w:w="1464" w:type="dxa"/>
            <w:tcBorders>
              <w:bottom w:val="single" w:sz="12" w:space="0" w:color="auto"/>
            </w:tcBorders>
          </w:tcPr>
          <w:p w14:paraId="22F715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w:t>
            </w:r>
          </w:p>
        </w:tc>
        <w:tc>
          <w:tcPr>
            <w:tcW w:w="1464" w:type="dxa"/>
            <w:tcBorders>
              <w:bottom w:val="single" w:sz="12" w:space="0" w:color="auto"/>
            </w:tcBorders>
          </w:tcPr>
          <w:p w14:paraId="7C0227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229</w:t>
            </w:r>
          </w:p>
        </w:tc>
        <w:tc>
          <w:tcPr>
            <w:tcW w:w="1464" w:type="dxa"/>
            <w:tcBorders>
              <w:bottom w:val="single" w:sz="12" w:space="0" w:color="auto"/>
            </w:tcBorders>
          </w:tcPr>
          <w:p w14:paraId="79BCAC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231</w:t>
            </w:r>
          </w:p>
        </w:tc>
        <w:tc>
          <w:tcPr>
            <w:tcW w:w="1464" w:type="dxa"/>
            <w:tcBorders>
              <w:bottom w:val="single" w:sz="12" w:space="0" w:color="auto"/>
            </w:tcBorders>
          </w:tcPr>
          <w:p w14:paraId="5626EF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631</w:t>
            </w:r>
          </w:p>
        </w:tc>
      </w:tr>
    </w:tbl>
    <w:p w14:paraId="22B62E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Строя самолеты преимущественно, а моторы исключительно заграничных конструкций, авиационные заводы, отставая в сроках освоения иностранных типов, не только не дали наиболее совершенных по тому времени образцов самолетов и авиамоторов, но по сравнению с АП передовых капиталистических стран, отставали в части количественного выпуска. Так, сравнивая выпуск с-тов и авиамоторов в СССР, САСШ, Англии и Франции за перид 1925 - 1928 гг получим следующцю картину: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DA227A" w:rsidRPr="00E93F40" w14:paraId="21DC1C21" w14:textId="77777777">
        <w:tc>
          <w:tcPr>
            <w:tcW w:w="2242" w:type="dxa"/>
            <w:tcBorders>
              <w:top w:val="single" w:sz="12" w:space="0" w:color="auto"/>
            </w:tcBorders>
          </w:tcPr>
          <w:p w14:paraId="422B9B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Страна</w:t>
            </w:r>
          </w:p>
        </w:tc>
        <w:tc>
          <w:tcPr>
            <w:tcW w:w="2242" w:type="dxa"/>
            <w:tcBorders>
              <w:top w:val="single" w:sz="12" w:space="0" w:color="auto"/>
            </w:tcBorders>
          </w:tcPr>
          <w:p w14:paraId="1DF255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74B4E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5C4B07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456A80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65E609" w14:textId="77777777">
        <w:tc>
          <w:tcPr>
            <w:tcW w:w="2242" w:type="dxa"/>
          </w:tcPr>
          <w:p w14:paraId="142FE7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c>
        <w:tc>
          <w:tcPr>
            <w:tcW w:w="2242" w:type="dxa"/>
          </w:tcPr>
          <w:p w14:paraId="0CDC2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w:t>
            </w:r>
          </w:p>
        </w:tc>
        <w:tc>
          <w:tcPr>
            <w:tcW w:w="2242" w:type="dxa"/>
          </w:tcPr>
          <w:p w14:paraId="75C521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w:t>
            </w:r>
          </w:p>
        </w:tc>
        <w:tc>
          <w:tcPr>
            <w:tcW w:w="2242" w:type="dxa"/>
          </w:tcPr>
          <w:p w14:paraId="26ABA7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w:t>
            </w:r>
          </w:p>
        </w:tc>
        <w:tc>
          <w:tcPr>
            <w:tcW w:w="2242" w:type="dxa"/>
          </w:tcPr>
          <w:p w14:paraId="223FE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p>
        </w:tc>
      </w:tr>
      <w:tr w:rsidR="00DA227A" w:rsidRPr="00E93F40" w14:paraId="26E76AD6" w14:textId="77777777">
        <w:tc>
          <w:tcPr>
            <w:tcW w:w="2242" w:type="dxa"/>
          </w:tcPr>
          <w:p w14:paraId="4836A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tc>
        <w:tc>
          <w:tcPr>
            <w:tcW w:w="2242" w:type="dxa"/>
          </w:tcPr>
          <w:p w14:paraId="74D800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w:t>
            </w:r>
          </w:p>
        </w:tc>
        <w:tc>
          <w:tcPr>
            <w:tcW w:w="2242" w:type="dxa"/>
          </w:tcPr>
          <w:p w14:paraId="1D9E16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352</w:t>
            </w:r>
          </w:p>
        </w:tc>
        <w:tc>
          <w:tcPr>
            <w:tcW w:w="2242" w:type="dxa"/>
          </w:tcPr>
          <w:p w14:paraId="54DBCF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545</w:t>
            </w:r>
          </w:p>
        </w:tc>
        <w:tc>
          <w:tcPr>
            <w:tcW w:w="2242" w:type="dxa"/>
          </w:tcPr>
          <w:p w14:paraId="0FAE25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854</w:t>
            </w:r>
          </w:p>
        </w:tc>
      </w:tr>
      <w:tr w:rsidR="00DA227A" w:rsidRPr="00E93F40" w14:paraId="5C963204" w14:textId="77777777">
        <w:tc>
          <w:tcPr>
            <w:tcW w:w="2242" w:type="dxa"/>
          </w:tcPr>
          <w:p w14:paraId="16FA4E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w:t>
            </w:r>
          </w:p>
        </w:tc>
        <w:tc>
          <w:tcPr>
            <w:tcW w:w="2242" w:type="dxa"/>
          </w:tcPr>
          <w:p w14:paraId="1B9654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789</w:t>
            </w:r>
          </w:p>
        </w:tc>
        <w:tc>
          <w:tcPr>
            <w:tcW w:w="2242" w:type="dxa"/>
          </w:tcPr>
          <w:p w14:paraId="71474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1186</w:t>
            </w:r>
          </w:p>
        </w:tc>
        <w:tc>
          <w:tcPr>
            <w:tcW w:w="2242" w:type="dxa"/>
          </w:tcPr>
          <w:p w14:paraId="56958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1962</w:t>
            </w:r>
          </w:p>
        </w:tc>
        <w:tc>
          <w:tcPr>
            <w:tcW w:w="2242" w:type="dxa"/>
          </w:tcPr>
          <w:p w14:paraId="40BE3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4760</w:t>
            </w:r>
          </w:p>
        </w:tc>
      </w:tr>
      <w:tr w:rsidR="00DA227A" w:rsidRPr="00E93F40" w14:paraId="1CFA3DE0" w14:textId="77777777">
        <w:tc>
          <w:tcPr>
            <w:tcW w:w="2242" w:type="dxa"/>
          </w:tcPr>
          <w:p w14:paraId="0909B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tc>
        <w:tc>
          <w:tcPr>
            <w:tcW w:w="2242" w:type="dxa"/>
          </w:tcPr>
          <w:p w14:paraId="54706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2242" w:type="dxa"/>
          </w:tcPr>
          <w:p w14:paraId="78612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w:t>
            </w:r>
          </w:p>
        </w:tc>
        <w:tc>
          <w:tcPr>
            <w:tcW w:w="2242" w:type="dxa"/>
          </w:tcPr>
          <w:p w14:paraId="4143E6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2242" w:type="dxa"/>
          </w:tcPr>
          <w:p w14:paraId="64E0BE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1400</w:t>
            </w:r>
          </w:p>
        </w:tc>
      </w:tr>
      <w:tr w:rsidR="00DA227A" w:rsidRPr="00E93F40" w14:paraId="4C5BD086" w14:textId="77777777">
        <w:tc>
          <w:tcPr>
            <w:tcW w:w="2242" w:type="dxa"/>
          </w:tcPr>
          <w:p w14:paraId="472485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2242" w:type="dxa"/>
          </w:tcPr>
          <w:p w14:paraId="5F1DAD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2242" w:type="dxa"/>
          </w:tcPr>
          <w:p w14:paraId="108CA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2242" w:type="dxa"/>
          </w:tcPr>
          <w:p w14:paraId="7DFE10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2242" w:type="dxa"/>
          </w:tcPr>
          <w:p w14:paraId="16CCDD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58C18FD6" w14:textId="77777777">
        <w:tc>
          <w:tcPr>
            <w:tcW w:w="2242" w:type="dxa"/>
          </w:tcPr>
          <w:p w14:paraId="795B7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tc>
        <w:tc>
          <w:tcPr>
            <w:tcW w:w="2242" w:type="dxa"/>
          </w:tcPr>
          <w:p w14:paraId="4453F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4ABF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43BEC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9F21F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AA4E5C3" w14:textId="77777777">
        <w:tc>
          <w:tcPr>
            <w:tcW w:w="2242" w:type="dxa"/>
          </w:tcPr>
          <w:p w14:paraId="14B7F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tc>
        <w:tc>
          <w:tcPr>
            <w:tcW w:w="2242" w:type="dxa"/>
          </w:tcPr>
          <w:p w14:paraId="6FE52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w:t>
            </w:r>
          </w:p>
        </w:tc>
        <w:tc>
          <w:tcPr>
            <w:tcW w:w="2242" w:type="dxa"/>
          </w:tcPr>
          <w:p w14:paraId="45682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229</w:t>
            </w:r>
          </w:p>
        </w:tc>
        <w:tc>
          <w:tcPr>
            <w:tcW w:w="2242" w:type="dxa"/>
          </w:tcPr>
          <w:p w14:paraId="485BF2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231</w:t>
            </w:r>
          </w:p>
        </w:tc>
        <w:tc>
          <w:tcPr>
            <w:tcW w:w="2242" w:type="dxa"/>
          </w:tcPr>
          <w:p w14:paraId="0A835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801</w:t>
            </w:r>
          </w:p>
        </w:tc>
      </w:tr>
      <w:tr w:rsidR="00DA227A" w:rsidRPr="00E93F40" w14:paraId="1794C4B7" w14:textId="77777777">
        <w:tc>
          <w:tcPr>
            <w:tcW w:w="2242" w:type="dxa"/>
          </w:tcPr>
          <w:p w14:paraId="530F4E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w:t>
            </w:r>
          </w:p>
        </w:tc>
        <w:tc>
          <w:tcPr>
            <w:tcW w:w="2242" w:type="dxa"/>
          </w:tcPr>
          <w:p w14:paraId="0D3F49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2242" w:type="dxa"/>
          </w:tcPr>
          <w:p w14:paraId="4FEF4C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2242" w:type="dxa"/>
          </w:tcPr>
          <w:p w14:paraId="2A644A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c>
          <w:tcPr>
            <w:tcW w:w="2242" w:type="dxa"/>
          </w:tcPr>
          <w:p w14:paraId="649DDF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r>
      <w:tr w:rsidR="00DA227A" w:rsidRPr="00E93F40" w14:paraId="74AD4A2A" w14:textId="77777777">
        <w:tc>
          <w:tcPr>
            <w:tcW w:w="2242" w:type="dxa"/>
          </w:tcPr>
          <w:p w14:paraId="414B5A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tc>
        <w:tc>
          <w:tcPr>
            <w:tcW w:w="2242" w:type="dxa"/>
          </w:tcPr>
          <w:p w14:paraId="02D504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2242" w:type="dxa"/>
          </w:tcPr>
          <w:p w14:paraId="412181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769</w:t>
            </w:r>
          </w:p>
        </w:tc>
        <w:tc>
          <w:tcPr>
            <w:tcW w:w="2242" w:type="dxa"/>
          </w:tcPr>
          <w:p w14:paraId="3D82E8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2242" w:type="dxa"/>
          </w:tcPr>
          <w:p w14:paraId="622306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r>
      <w:tr w:rsidR="00DA227A" w:rsidRPr="00E93F40" w14:paraId="2FB52B5D" w14:textId="77777777">
        <w:tc>
          <w:tcPr>
            <w:tcW w:w="2242" w:type="dxa"/>
            <w:tcBorders>
              <w:bottom w:val="single" w:sz="12" w:space="0" w:color="auto"/>
            </w:tcBorders>
          </w:tcPr>
          <w:p w14:paraId="370314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2242" w:type="dxa"/>
            <w:tcBorders>
              <w:bottom w:val="single" w:sz="12" w:space="0" w:color="auto"/>
            </w:tcBorders>
          </w:tcPr>
          <w:p w14:paraId="0C3F44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2242" w:type="dxa"/>
            <w:tcBorders>
              <w:bottom w:val="single" w:sz="12" w:space="0" w:color="auto"/>
            </w:tcBorders>
          </w:tcPr>
          <w:p w14:paraId="722BBC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4000</w:t>
            </w:r>
          </w:p>
        </w:tc>
        <w:tc>
          <w:tcPr>
            <w:tcW w:w="2242" w:type="dxa"/>
            <w:tcBorders>
              <w:bottom w:val="single" w:sz="12" w:space="0" w:color="auto"/>
            </w:tcBorders>
          </w:tcPr>
          <w:p w14:paraId="12EA55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w:t>
            </w:r>
          </w:p>
        </w:tc>
        <w:tc>
          <w:tcPr>
            <w:tcW w:w="2242" w:type="dxa"/>
            <w:tcBorders>
              <w:bottom w:val="single" w:sz="12" w:space="0" w:color="auto"/>
            </w:tcBorders>
          </w:tcPr>
          <w:p w14:paraId="42ED96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r>
    </w:tbl>
    <w:p w14:paraId="544D52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улучшение со второго полугодия 1931 работы АП, удельный вес товарной продукции возрастает в 1932 до 72%. Исключая из выведенных в диаграмме № 13 данных 1932 г., валовую и товарную продукцию пяти новых заводов (15, 18, 19, 20 и 21) получим удельный вес товарной продукции в 1932 76,7% против 73% имевшихся в 1928/29 г. Наибольшей товарности производства достигли моторостроительные заводы, где удельный вес товарной продукции достиг в 1932 г. 82,7%.</w:t>
      </w:r>
    </w:p>
    <w:p w14:paraId="356679D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992"/>
        <w:gridCol w:w="993"/>
        <w:gridCol w:w="992"/>
        <w:gridCol w:w="992"/>
        <w:gridCol w:w="992"/>
        <w:gridCol w:w="993"/>
        <w:gridCol w:w="992"/>
      </w:tblGrid>
      <w:tr w:rsidR="00DA227A" w:rsidRPr="00E93F40" w14:paraId="64BADCA7" w14:textId="77777777">
        <w:tc>
          <w:tcPr>
            <w:tcW w:w="817" w:type="dxa"/>
            <w:tcBorders>
              <w:top w:val="single" w:sz="12" w:space="0" w:color="auto"/>
            </w:tcBorders>
          </w:tcPr>
          <w:p w14:paraId="375C3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заводов</w:t>
            </w:r>
          </w:p>
        </w:tc>
        <w:tc>
          <w:tcPr>
            <w:tcW w:w="992" w:type="dxa"/>
            <w:tcBorders>
              <w:top w:val="single" w:sz="12" w:space="0" w:color="auto"/>
            </w:tcBorders>
          </w:tcPr>
          <w:p w14:paraId="67A92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Изделия</w:t>
            </w:r>
          </w:p>
        </w:tc>
        <w:tc>
          <w:tcPr>
            <w:tcW w:w="993" w:type="dxa"/>
            <w:tcBorders>
              <w:top w:val="single" w:sz="12" w:space="0" w:color="auto"/>
            </w:tcBorders>
          </w:tcPr>
          <w:p w14:paraId="5FE7C2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кв. 1928</w:t>
            </w:r>
          </w:p>
        </w:tc>
        <w:tc>
          <w:tcPr>
            <w:tcW w:w="992" w:type="dxa"/>
            <w:tcBorders>
              <w:top w:val="single" w:sz="12" w:space="0" w:color="auto"/>
            </w:tcBorders>
          </w:tcPr>
          <w:p w14:paraId="592A7A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992" w:type="dxa"/>
            <w:tcBorders>
              <w:top w:val="single" w:sz="12" w:space="0" w:color="auto"/>
            </w:tcBorders>
          </w:tcPr>
          <w:p w14:paraId="4DAF9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992" w:type="dxa"/>
            <w:tcBorders>
              <w:top w:val="single" w:sz="12" w:space="0" w:color="auto"/>
            </w:tcBorders>
          </w:tcPr>
          <w:p w14:paraId="63928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993" w:type="dxa"/>
            <w:tcBorders>
              <w:top w:val="single" w:sz="12" w:space="0" w:color="auto"/>
            </w:tcBorders>
          </w:tcPr>
          <w:p w14:paraId="07F0A8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992" w:type="dxa"/>
            <w:tcBorders>
              <w:top w:val="single" w:sz="12" w:space="0" w:color="auto"/>
            </w:tcBorders>
          </w:tcPr>
          <w:p w14:paraId="367C97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r>
      <w:tr w:rsidR="00DA227A" w:rsidRPr="00E93F40" w14:paraId="540528D3" w14:textId="77777777">
        <w:tc>
          <w:tcPr>
            <w:tcW w:w="817" w:type="dxa"/>
          </w:tcPr>
          <w:p w14:paraId="6FAFEF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992" w:type="dxa"/>
          </w:tcPr>
          <w:p w14:paraId="4B784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И-3</w:t>
            </w:r>
          </w:p>
        </w:tc>
        <w:tc>
          <w:tcPr>
            <w:tcW w:w="993" w:type="dxa"/>
          </w:tcPr>
          <w:p w14:paraId="612F9C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A8FB7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w:t>
            </w:r>
          </w:p>
        </w:tc>
        <w:tc>
          <w:tcPr>
            <w:tcW w:w="992" w:type="dxa"/>
          </w:tcPr>
          <w:p w14:paraId="768E8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w:t>
            </w:r>
          </w:p>
        </w:tc>
        <w:tc>
          <w:tcPr>
            <w:tcW w:w="992" w:type="dxa"/>
          </w:tcPr>
          <w:p w14:paraId="53E713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tc>
        <w:tc>
          <w:tcPr>
            <w:tcW w:w="993" w:type="dxa"/>
          </w:tcPr>
          <w:p w14:paraId="62DCDF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E815E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352</w:t>
            </w:r>
          </w:p>
        </w:tc>
      </w:tr>
      <w:tr w:rsidR="00DA227A" w:rsidRPr="00E93F40" w14:paraId="6B6E8E24" w14:textId="77777777">
        <w:tc>
          <w:tcPr>
            <w:tcW w:w="817" w:type="dxa"/>
          </w:tcPr>
          <w:p w14:paraId="64FC04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4F8C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w:t>
            </w:r>
          </w:p>
        </w:tc>
        <w:tc>
          <w:tcPr>
            <w:tcW w:w="993" w:type="dxa"/>
          </w:tcPr>
          <w:p w14:paraId="0DBD89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B5389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w:t>
            </w:r>
          </w:p>
        </w:tc>
        <w:tc>
          <w:tcPr>
            <w:tcW w:w="992" w:type="dxa"/>
          </w:tcPr>
          <w:p w14:paraId="0ED35B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w:t>
            </w:r>
          </w:p>
        </w:tc>
        <w:tc>
          <w:tcPr>
            <w:tcW w:w="992" w:type="dxa"/>
          </w:tcPr>
          <w:p w14:paraId="5D6DD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9EA3D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409A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381</w:t>
            </w:r>
          </w:p>
        </w:tc>
      </w:tr>
      <w:tr w:rsidR="00DA227A" w:rsidRPr="00E93F40" w14:paraId="0F5CCA27" w14:textId="77777777">
        <w:tc>
          <w:tcPr>
            <w:tcW w:w="817" w:type="dxa"/>
          </w:tcPr>
          <w:p w14:paraId="0B4FE9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B5E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И-2</w:t>
            </w:r>
          </w:p>
        </w:tc>
        <w:tc>
          <w:tcPr>
            <w:tcW w:w="993" w:type="dxa"/>
          </w:tcPr>
          <w:p w14:paraId="44DC9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E209D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c>
          <w:tcPr>
            <w:tcW w:w="992" w:type="dxa"/>
          </w:tcPr>
          <w:p w14:paraId="243CD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CA29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4273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6DA4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r>
      <w:tr w:rsidR="00DA227A" w:rsidRPr="00E93F40" w14:paraId="051D99A4" w14:textId="77777777">
        <w:tc>
          <w:tcPr>
            <w:tcW w:w="817" w:type="dxa"/>
          </w:tcPr>
          <w:p w14:paraId="75C3FA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A6F0E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w:t>
            </w:r>
          </w:p>
        </w:tc>
        <w:tc>
          <w:tcPr>
            <w:tcW w:w="993" w:type="dxa"/>
          </w:tcPr>
          <w:p w14:paraId="11871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F46A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9A71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AFE2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993" w:type="dxa"/>
          </w:tcPr>
          <w:p w14:paraId="12436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c>
          <w:tcPr>
            <w:tcW w:w="992" w:type="dxa"/>
          </w:tcPr>
          <w:p w14:paraId="3ECE22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w:t>
            </w:r>
          </w:p>
        </w:tc>
      </w:tr>
      <w:tr w:rsidR="00DA227A" w:rsidRPr="00E93F40" w14:paraId="00B17C8A" w14:textId="77777777">
        <w:tc>
          <w:tcPr>
            <w:tcW w:w="817" w:type="dxa"/>
          </w:tcPr>
          <w:p w14:paraId="5B9BD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3D4A8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993" w:type="dxa"/>
          </w:tcPr>
          <w:p w14:paraId="10413C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1BB7C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0ABD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3DF0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c>
          <w:tcPr>
            <w:tcW w:w="993" w:type="dxa"/>
          </w:tcPr>
          <w:p w14:paraId="4F4050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w:t>
            </w:r>
          </w:p>
        </w:tc>
        <w:tc>
          <w:tcPr>
            <w:tcW w:w="992" w:type="dxa"/>
          </w:tcPr>
          <w:p w14:paraId="716D14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w:t>
            </w:r>
          </w:p>
        </w:tc>
      </w:tr>
      <w:tr w:rsidR="00DA227A" w:rsidRPr="00E93F40" w14:paraId="5EC0C697" w14:textId="77777777">
        <w:tc>
          <w:tcPr>
            <w:tcW w:w="817" w:type="dxa"/>
          </w:tcPr>
          <w:p w14:paraId="34035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F82E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993" w:type="dxa"/>
          </w:tcPr>
          <w:p w14:paraId="5D055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0184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E1288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8139D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336</w:t>
            </w:r>
          </w:p>
        </w:tc>
        <w:tc>
          <w:tcPr>
            <w:tcW w:w="993" w:type="dxa"/>
          </w:tcPr>
          <w:p w14:paraId="439AED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884</w:t>
            </w:r>
          </w:p>
        </w:tc>
        <w:tc>
          <w:tcPr>
            <w:tcW w:w="992" w:type="dxa"/>
          </w:tcPr>
          <w:p w14:paraId="29A5F5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1220</w:t>
            </w:r>
          </w:p>
        </w:tc>
      </w:tr>
      <w:tr w:rsidR="00DA227A" w:rsidRPr="00E93F40" w14:paraId="3A5066A6" w14:textId="77777777">
        <w:tc>
          <w:tcPr>
            <w:tcW w:w="817" w:type="dxa"/>
          </w:tcPr>
          <w:p w14:paraId="248F88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1730F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993" w:type="dxa"/>
          </w:tcPr>
          <w:p w14:paraId="26268C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FE02D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321</w:t>
            </w:r>
          </w:p>
        </w:tc>
        <w:tc>
          <w:tcPr>
            <w:tcW w:w="992" w:type="dxa"/>
          </w:tcPr>
          <w:p w14:paraId="462D1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306</w:t>
            </w:r>
          </w:p>
        </w:tc>
        <w:tc>
          <w:tcPr>
            <w:tcW w:w="992" w:type="dxa"/>
          </w:tcPr>
          <w:p w14:paraId="4B5D6A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459</w:t>
            </w:r>
          </w:p>
        </w:tc>
        <w:tc>
          <w:tcPr>
            <w:tcW w:w="993" w:type="dxa"/>
          </w:tcPr>
          <w:p w14:paraId="59BD2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1005</w:t>
            </w:r>
          </w:p>
        </w:tc>
        <w:tc>
          <w:tcPr>
            <w:tcW w:w="992" w:type="dxa"/>
          </w:tcPr>
          <w:p w14:paraId="47F919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2091</w:t>
            </w:r>
          </w:p>
        </w:tc>
      </w:tr>
      <w:tr w:rsidR="00DA227A" w:rsidRPr="00E93F40" w14:paraId="0673D785" w14:textId="77777777">
        <w:tc>
          <w:tcPr>
            <w:tcW w:w="817" w:type="dxa"/>
          </w:tcPr>
          <w:p w14:paraId="397ECD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992" w:type="dxa"/>
          </w:tcPr>
          <w:p w14:paraId="50919C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Р-3</w:t>
            </w:r>
          </w:p>
        </w:tc>
        <w:tc>
          <w:tcPr>
            <w:tcW w:w="993" w:type="dxa"/>
          </w:tcPr>
          <w:p w14:paraId="7D2BB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c>
          <w:tcPr>
            <w:tcW w:w="992" w:type="dxa"/>
          </w:tcPr>
          <w:p w14:paraId="117C09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79</w:t>
            </w:r>
          </w:p>
        </w:tc>
        <w:tc>
          <w:tcPr>
            <w:tcW w:w="992" w:type="dxa"/>
          </w:tcPr>
          <w:p w14:paraId="5E94F5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A2CD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7C058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009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w:t>
            </w:r>
          </w:p>
        </w:tc>
      </w:tr>
      <w:tr w:rsidR="00DA227A" w:rsidRPr="00E93F40" w14:paraId="0085A119" w14:textId="77777777">
        <w:tc>
          <w:tcPr>
            <w:tcW w:w="817" w:type="dxa"/>
          </w:tcPr>
          <w:p w14:paraId="251FCD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01B8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И-4</w:t>
            </w:r>
          </w:p>
        </w:tc>
        <w:tc>
          <w:tcPr>
            <w:tcW w:w="993" w:type="dxa"/>
          </w:tcPr>
          <w:p w14:paraId="4BECE4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1560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992" w:type="dxa"/>
          </w:tcPr>
          <w:p w14:paraId="012EB8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w:t>
            </w:r>
          </w:p>
        </w:tc>
        <w:tc>
          <w:tcPr>
            <w:tcW w:w="992" w:type="dxa"/>
          </w:tcPr>
          <w:p w14:paraId="787119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w:t>
            </w:r>
          </w:p>
        </w:tc>
        <w:tc>
          <w:tcPr>
            <w:tcW w:w="993" w:type="dxa"/>
          </w:tcPr>
          <w:p w14:paraId="25DBCA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BF4F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w:t>
            </w:r>
          </w:p>
        </w:tc>
      </w:tr>
      <w:tr w:rsidR="00DA227A" w:rsidRPr="00E93F40" w14:paraId="6C3C4398" w14:textId="77777777">
        <w:tc>
          <w:tcPr>
            <w:tcW w:w="817" w:type="dxa"/>
          </w:tcPr>
          <w:p w14:paraId="2181D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0732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993" w:type="dxa"/>
          </w:tcPr>
          <w:p w14:paraId="4530AD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872B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79346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992" w:type="dxa"/>
          </w:tcPr>
          <w:p w14:paraId="07F59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tc>
        <w:tc>
          <w:tcPr>
            <w:tcW w:w="993" w:type="dxa"/>
          </w:tcPr>
          <w:p w14:paraId="73A665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992" w:type="dxa"/>
          </w:tcPr>
          <w:p w14:paraId="518166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w:t>
            </w:r>
          </w:p>
        </w:tc>
      </w:tr>
      <w:tr w:rsidR="00DA227A" w:rsidRPr="00E93F40" w14:paraId="21A2E4E6" w14:textId="77777777">
        <w:tc>
          <w:tcPr>
            <w:tcW w:w="817" w:type="dxa"/>
          </w:tcPr>
          <w:p w14:paraId="5EFA0D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9ECE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w:t>
            </w:r>
          </w:p>
        </w:tc>
        <w:tc>
          <w:tcPr>
            <w:tcW w:w="993" w:type="dxa"/>
          </w:tcPr>
          <w:p w14:paraId="4FE9E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5E56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992" w:type="dxa"/>
          </w:tcPr>
          <w:p w14:paraId="2A28FD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w:t>
            </w:r>
          </w:p>
        </w:tc>
        <w:tc>
          <w:tcPr>
            <w:tcW w:w="992" w:type="dxa"/>
          </w:tcPr>
          <w:p w14:paraId="019526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146</w:t>
            </w:r>
          </w:p>
        </w:tc>
        <w:tc>
          <w:tcPr>
            <w:tcW w:w="993" w:type="dxa"/>
          </w:tcPr>
          <w:p w14:paraId="52005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992" w:type="dxa"/>
          </w:tcPr>
          <w:p w14:paraId="73305E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216</w:t>
            </w:r>
          </w:p>
        </w:tc>
      </w:tr>
      <w:tr w:rsidR="00DA227A" w:rsidRPr="00E93F40" w14:paraId="3F4ABCC8" w14:textId="77777777">
        <w:tc>
          <w:tcPr>
            <w:tcW w:w="817" w:type="dxa"/>
          </w:tcPr>
          <w:p w14:paraId="0133FD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297E9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993" w:type="dxa"/>
          </w:tcPr>
          <w:p w14:paraId="58F540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3A9DE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6CC6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1D8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96BDC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w:t>
            </w:r>
          </w:p>
        </w:tc>
        <w:tc>
          <w:tcPr>
            <w:tcW w:w="992" w:type="dxa"/>
          </w:tcPr>
          <w:p w14:paraId="79EE1F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155</w:t>
            </w:r>
          </w:p>
        </w:tc>
      </w:tr>
      <w:tr w:rsidR="00DA227A" w:rsidRPr="00E93F40" w14:paraId="3472BFD3" w14:textId="77777777">
        <w:tc>
          <w:tcPr>
            <w:tcW w:w="817" w:type="dxa"/>
          </w:tcPr>
          <w:p w14:paraId="31391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59353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993" w:type="dxa"/>
          </w:tcPr>
          <w:p w14:paraId="3009BA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04A2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89AEF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AEA1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993" w:type="dxa"/>
          </w:tcPr>
          <w:p w14:paraId="71D079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992" w:type="dxa"/>
          </w:tcPr>
          <w:p w14:paraId="65C43D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r>
      <w:tr w:rsidR="00DA227A" w:rsidRPr="00E93F40" w14:paraId="27DAC84A" w14:textId="77777777">
        <w:tc>
          <w:tcPr>
            <w:tcW w:w="817" w:type="dxa"/>
          </w:tcPr>
          <w:p w14:paraId="3135C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18BA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993" w:type="dxa"/>
          </w:tcPr>
          <w:p w14:paraId="67BC8F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w:t>
            </w:r>
          </w:p>
        </w:tc>
        <w:tc>
          <w:tcPr>
            <w:tcW w:w="992" w:type="dxa"/>
          </w:tcPr>
          <w:p w14:paraId="47D05F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w:t>
            </w:r>
          </w:p>
        </w:tc>
        <w:tc>
          <w:tcPr>
            <w:tcW w:w="992" w:type="dxa"/>
          </w:tcPr>
          <w:p w14:paraId="1FE4A0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992" w:type="dxa"/>
          </w:tcPr>
          <w:p w14:paraId="20E6A4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206</w:t>
            </w:r>
          </w:p>
        </w:tc>
        <w:tc>
          <w:tcPr>
            <w:tcW w:w="993" w:type="dxa"/>
          </w:tcPr>
          <w:p w14:paraId="4B521B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214</w:t>
            </w:r>
          </w:p>
        </w:tc>
        <w:tc>
          <w:tcPr>
            <w:tcW w:w="992" w:type="dxa"/>
          </w:tcPr>
          <w:p w14:paraId="27E56E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748</w:t>
            </w:r>
          </w:p>
        </w:tc>
      </w:tr>
      <w:tr w:rsidR="00DA227A" w:rsidRPr="00E93F40" w14:paraId="776B2C5E" w14:textId="77777777">
        <w:tc>
          <w:tcPr>
            <w:tcW w:w="817" w:type="dxa"/>
          </w:tcPr>
          <w:p w14:paraId="0F4274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992" w:type="dxa"/>
          </w:tcPr>
          <w:p w14:paraId="03804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И-2</w:t>
            </w:r>
          </w:p>
        </w:tc>
        <w:tc>
          <w:tcPr>
            <w:tcW w:w="993" w:type="dxa"/>
          </w:tcPr>
          <w:p w14:paraId="6A52A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992" w:type="dxa"/>
          </w:tcPr>
          <w:p w14:paraId="0096B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w:t>
            </w:r>
          </w:p>
        </w:tc>
        <w:tc>
          <w:tcPr>
            <w:tcW w:w="992" w:type="dxa"/>
          </w:tcPr>
          <w:p w14:paraId="31EFEC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5F3B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C758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33D7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w:t>
            </w:r>
          </w:p>
        </w:tc>
      </w:tr>
      <w:tr w:rsidR="00DA227A" w:rsidRPr="00E93F40" w14:paraId="3EE62053" w14:textId="77777777">
        <w:tc>
          <w:tcPr>
            <w:tcW w:w="817" w:type="dxa"/>
          </w:tcPr>
          <w:p w14:paraId="65920D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F2D40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МУ</w:t>
            </w:r>
          </w:p>
        </w:tc>
        <w:tc>
          <w:tcPr>
            <w:tcW w:w="993" w:type="dxa"/>
          </w:tcPr>
          <w:p w14:paraId="75FCFF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F56B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992" w:type="dxa"/>
          </w:tcPr>
          <w:p w14:paraId="3325D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w:t>
            </w:r>
          </w:p>
        </w:tc>
        <w:tc>
          <w:tcPr>
            <w:tcW w:w="992" w:type="dxa"/>
          </w:tcPr>
          <w:p w14:paraId="4EAE7E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74013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44E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w:t>
            </w:r>
          </w:p>
        </w:tc>
      </w:tr>
      <w:tr w:rsidR="00DA227A" w:rsidRPr="00E93F40" w14:paraId="1F7254EE" w14:textId="77777777">
        <w:tc>
          <w:tcPr>
            <w:tcW w:w="817" w:type="dxa"/>
          </w:tcPr>
          <w:p w14:paraId="1D72D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A77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И-2</w:t>
            </w:r>
          </w:p>
        </w:tc>
        <w:tc>
          <w:tcPr>
            <w:tcW w:w="993" w:type="dxa"/>
          </w:tcPr>
          <w:p w14:paraId="6661B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DCBEB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31E0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992" w:type="dxa"/>
          </w:tcPr>
          <w:p w14:paraId="528377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993" w:type="dxa"/>
          </w:tcPr>
          <w:p w14:paraId="1896E8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058F3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r>
      <w:tr w:rsidR="00DA227A" w:rsidRPr="00E93F40" w14:paraId="20586D57" w14:textId="77777777">
        <w:tc>
          <w:tcPr>
            <w:tcW w:w="817" w:type="dxa"/>
          </w:tcPr>
          <w:p w14:paraId="00310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3324D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w:t>
            </w:r>
          </w:p>
        </w:tc>
        <w:tc>
          <w:tcPr>
            <w:tcW w:w="993" w:type="dxa"/>
          </w:tcPr>
          <w:p w14:paraId="6BE6D3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13C8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BA8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w:t>
            </w:r>
          </w:p>
        </w:tc>
        <w:tc>
          <w:tcPr>
            <w:tcW w:w="992" w:type="dxa"/>
          </w:tcPr>
          <w:p w14:paraId="4152F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993" w:type="dxa"/>
          </w:tcPr>
          <w:p w14:paraId="27AF3C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171</w:t>
            </w:r>
          </w:p>
        </w:tc>
        <w:tc>
          <w:tcPr>
            <w:tcW w:w="992" w:type="dxa"/>
          </w:tcPr>
          <w:p w14:paraId="08AE4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243</w:t>
            </w:r>
          </w:p>
        </w:tc>
      </w:tr>
      <w:tr w:rsidR="00DA227A" w:rsidRPr="00E93F40" w14:paraId="4099E8F8" w14:textId="77777777">
        <w:tc>
          <w:tcPr>
            <w:tcW w:w="817" w:type="dxa"/>
          </w:tcPr>
          <w:p w14:paraId="7B6754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6331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w:t>
            </w:r>
          </w:p>
        </w:tc>
        <w:tc>
          <w:tcPr>
            <w:tcW w:w="993" w:type="dxa"/>
          </w:tcPr>
          <w:p w14:paraId="310F70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992" w:type="dxa"/>
          </w:tcPr>
          <w:p w14:paraId="384B7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97</w:t>
            </w:r>
          </w:p>
        </w:tc>
        <w:tc>
          <w:tcPr>
            <w:tcW w:w="992" w:type="dxa"/>
          </w:tcPr>
          <w:p w14:paraId="434DD4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136</w:t>
            </w:r>
          </w:p>
        </w:tc>
        <w:tc>
          <w:tcPr>
            <w:tcW w:w="992" w:type="dxa"/>
          </w:tcPr>
          <w:p w14:paraId="1BD277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w:t>
            </w:r>
          </w:p>
        </w:tc>
        <w:tc>
          <w:tcPr>
            <w:tcW w:w="993" w:type="dxa"/>
          </w:tcPr>
          <w:p w14:paraId="742E1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992" w:type="dxa"/>
          </w:tcPr>
          <w:p w14:paraId="26F5D9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367</w:t>
            </w:r>
          </w:p>
        </w:tc>
      </w:tr>
      <w:tr w:rsidR="00DA227A" w:rsidRPr="00E93F40" w14:paraId="786566A5" w14:textId="77777777">
        <w:tc>
          <w:tcPr>
            <w:tcW w:w="817" w:type="dxa"/>
          </w:tcPr>
          <w:p w14:paraId="6B8B46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1B0A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w:t>
            </w:r>
          </w:p>
        </w:tc>
        <w:tc>
          <w:tcPr>
            <w:tcW w:w="993" w:type="dxa"/>
          </w:tcPr>
          <w:p w14:paraId="7D7F6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C7570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06375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w:t>
            </w:r>
          </w:p>
        </w:tc>
        <w:tc>
          <w:tcPr>
            <w:tcW w:w="992" w:type="dxa"/>
          </w:tcPr>
          <w:p w14:paraId="62AA01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283</w:t>
            </w:r>
          </w:p>
        </w:tc>
        <w:tc>
          <w:tcPr>
            <w:tcW w:w="993" w:type="dxa"/>
          </w:tcPr>
          <w:p w14:paraId="2F00AE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942</w:t>
            </w:r>
          </w:p>
        </w:tc>
        <w:tc>
          <w:tcPr>
            <w:tcW w:w="992" w:type="dxa"/>
          </w:tcPr>
          <w:p w14:paraId="483A1C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1614</w:t>
            </w:r>
          </w:p>
        </w:tc>
      </w:tr>
      <w:tr w:rsidR="00DA227A" w:rsidRPr="00E93F40" w14:paraId="0A251C8F" w14:textId="77777777">
        <w:tc>
          <w:tcPr>
            <w:tcW w:w="817" w:type="dxa"/>
          </w:tcPr>
          <w:p w14:paraId="651FAE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B79D1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993" w:type="dxa"/>
          </w:tcPr>
          <w:p w14:paraId="5B61B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w:t>
            </w:r>
          </w:p>
        </w:tc>
        <w:tc>
          <w:tcPr>
            <w:tcW w:w="992" w:type="dxa"/>
          </w:tcPr>
          <w:p w14:paraId="4E8E0A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w:t>
            </w:r>
          </w:p>
        </w:tc>
        <w:tc>
          <w:tcPr>
            <w:tcW w:w="992" w:type="dxa"/>
          </w:tcPr>
          <w:p w14:paraId="3A4757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259</w:t>
            </w:r>
          </w:p>
        </w:tc>
        <w:tc>
          <w:tcPr>
            <w:tcW w:w="992" w:type="dxa"/>
          </w:tcPr>
          <w:p w14:paraId="5DF3FA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479</w:t>
            </w:r>
          </w:p>
        </w:tc>
        <w:tc>
          <w:tcPr>
            <w:tcW w:w="993" w:type="dxa"/>
          </w:tcPr>
          <w:p w14:paraId="73ED3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1113</w:t>
            </w:r>
          </w:p>
        </w:tc>
        <w:tc>
          <w:tcPr>
            <w:tcW w:w="992" w:type="dxa"/>
          </w:tcPr>
          <w:p w14:paraId="6E172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2043</w:t>
            </w:r>
          </w:p>
        </w:tc>
      </w:tr>
      <w:tr w:rsidR="00DA227A" w:rsidRPr="00E93F40" w14:paraId="6B43E684" w14:textId="77777777">
        <w:tc>
          <w:tcPr>
            <w:tcW w:w="817" w:type="dxa"/>
          </w:tcPr>
          <w:p w14:paraId="4CC554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w:t>
            </w:r>
          </w:p>
        </w:tc>
        <w:tc>
          <w:tcPr>
            <w:tcW w:w="992" w:type="dxa"/>
          </w:tcPr>
          <w:p w14:paraId="493AD4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АНТ-9</w:t>
            </w:r>
          </w:p>
        </w:tc>
        <w:tc>
          <w:tcPr>
            <w:tcW w:w="993" w:type="dxa"/>
          </w:tcPr>
          <w:p w14:paraId="70FC0A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3018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03B17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5EFF4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7989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992" w:type="dxa"/>
          </w:tcPr>
          <w:p w14:paraId="1E9F95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r>
      <w:tr w:rsidR="00DA227A" w:rsidRPr="00E93F40" w14:paraId="0AED89D9" w14:textId="77777777">
        <w:tc>
          <w:tcPr>
            <w:tcW w:w="817" w:type="dxa"/>
          </w:tcPr>
          <w:p w14:paraId="26EF43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FD4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w:t>
            </w:r>
          </w:p>
        </w:tc>
        <w:tc>
          <w:tcPr>
            <w:tcW w:w="993" w:type="dxa"/>
          </w:tcPr>
          <w:p w14:paraId="67BB7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992" w:type="dxa"/>
          </w:tcPr>
          <w:p w14:paraId="1E73F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312</w:t>
            </w:r>
          </w:p>
        </w:tc>
        <w:tc>
          <w:tcPr>
            <w:tcW w:w="992" w:type="dxa"/>
          </w:tcPr>
          <w:p w14:paraId="628AE2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329</w:t>
            </w:r>
          </w:p>
        </w:tc>
        <w:tc>
          <w:tcPr>
            <w:tcW w:w="992" w:type="dxa"/>
          </w:tcPr>
          <w:p w14:paraId="052EB3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303</w:t>
            </w:r>
          </w:p>
        </w:tc>
        <w:tc>
          <w:tcPr>
            <w:tcW w:w="993" w:type="dxa"/>
          </w:tcPr>
          <w:p w14:paraId="6B9891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992" w:type="dxa"/>
          </w:tcPr>
          <w:p w14:paraId="5712E5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953</w:t>
            </w:r>
          </w:p>
        </w:tc>
      </w:tr>
      <w:tr w:rsidR="00DA227A" w:rsidRPr="00E93F40" w14:paraId="763628AC" w14:textId="77777777">
        <w:tc>
          <w:tcPr>
            <w:tcW w:w="817" w:type="dxa"/>
          </w:tcPr>
          <w:p w14:paraId="55CDE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86209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МР-1</w:t>
            </w:r>
          </w:p>
        </w:tc>
        <w:tc>
          <w:tcPr>
            <w:tcW w:w="993" w:type="dxa"/>
          </w:tcPr>
          <w:p w14:paraId="441569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992" w:type="dxa"/>
          </w:tcPr>
          <w:p w14:paraId="047750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w:t>
            </w:r>
          </w:p>
        </w:tc>
        <w:tc>
          <w:tcPr>
            <w:tcW w:w="992" w:type="dxa"/>
          </w:tcPr>
          <w:p w14:paraId="704D9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B149B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0A398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F10E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w:t>
            </w:r>
          </w:p>
        </w:tc>
      </w:tr>
      <w:tr w:rsidR="00DA227A" w:rsidRPr="00E93F40" w14:paraId="06D663C9" w14:textId="77777777">
        <w:tc>
          <w:tcPr>
            <w:tcW w:w="817" w:type="dxa"/>
          </w:tcPr>
          <w:p w14:paraId="16C349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EB10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w:t>
            </w:r>
          </w:p>
        </w:tc>
        <w:tc>
          <w:tcPr>
            <w:tcW w:w="993" w:type="dxa"/>
          </w:tcPr>
          <w:p w14:paraId="40E404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8861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9037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50C1F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D27EF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992" w:type="dxa"/>
          </w:tcPr>
          <w:p w14:paraId="1028C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r w:rsidR="00DA227A" w:rsidRPr="00E93F40" w14:paraId="54287354" w14:textId="77777777">
        <w:tc>
          <w:tcPr>
            <w:tcW w:w="817" w:type="dxa"/>
          </w:tcPr>
          <w:p w14:paraId="69BED6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27C9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w:t>
            </w:r>
          </w:p>
        </w:tc>
        <w:tc>
          <w:tcPr>
            <w:tcW w:w="993" w:type="dxa"/>
          </w:tcPr>
          <w:p w14:paraId="665A02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6140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9163E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563AB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BC4FF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992" w:type="dxa"/>
          </w:tcPr>
          <w:p w14:paraId="3F8E60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r>
      <w:tr w:rsidR="00DA227A" w:rsidRPr="00E93F40" w14:paraId="0EB84D5B" w14:textId="77777777">
        <w:tc>
          <w:tcPr>
            <w:tcW w:w="817" w:type="dxa"/>
          </w:tcPr>
          <w:p w14:paraId="2EDD4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B41E5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w:t>
            </w:r>
          </w:p>
        </w:tc>
        <w:tc>
          <w:tcPr>
            <w:tcW w:w="993" w:type="dxa"/>
          </w:tcPr>
          <w:p w14:paraId="2A1FCD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089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03D9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8AF73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DDCD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c>
          <w:tcPr>
            <w:tcW w:w="992" w:type="dxa"/>
          </w:tcPr>
          <w:p w14:paraId="6B71FB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w:t>
            </w:r>
          </w:p>
        </w:tc>
      </w:tr>
      <w:tr w:rsidR="00DA227A" w:rsidRPr="00E93F40" w14:paraId="0CE6AB2A" w14:textId="77777777">
        <w:tc>
          <w:tcPr>
            <w:tcW w:w="817" w:type="dxa"/>
          </w:tcPr>
          <w:p w14:paraId="4F7C61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1C16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993" w:type="dxa"/>
          </w:tcPr>
          <w:p w14:paraId="247B1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992" w:type="dxa"/>
          </w:tcPr>
          <w:p w14:paraId="206542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344</w:t>
            </w:r>
          </w:p>
        </w:tc>
        <w:tc>
          <w:tcPr>
            <w:tcW w:w="992" w:type="dxa"/>
          </w:tcPr>
          <w:p w14:paraId="67C182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329</w:t>
            </w:r>
          </w:p>
        </w:tc>
        <w:tc>
          <w:tcPr>
            <w:tcW w:w="992" w:type="dxa"/>
          </w:tcPr>
          <w:p w14:paraId="05B66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303</w:t>
            </w:r>
          </w:p>
        </w:tc>
        <w:tc>
          <w:tcPr>
            <w:tcW w:w="993" w:type="dxa"/>
          </w:tcPr>
          <w:p w14:paraId="40D69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w:t>
            </w:r>
          </w:p>
        </w:tc>
        <w:tc>
          <w:tcPr>
            <w:tcW w:w="992" w:type="dxa"/>
          </w:tcPr>
          <w:p w14:paraId="02BFA3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1066</w:t>
            </w:r>
          </w:p>
        </w:tc>
      </w:tr>
      <w:tr w:rsidR="00DA227A" w:rsidRPr="00E93F40" w14:paraId="5A02007A" w14:textId="77777777">
        <w:tc>
          <w:tcPr>
            <w:tcW w:w="817" w:type="dxa"/>
          </w:tcPr>
          <w:p w14:paraId="08412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ХАЗ</w:t>
            </w:r>
          </w:p>
        </w:tc>
        <w:tc>
          <w:tcPr>
            <w:tcW w:w="992" w:type="dxa"/>
          </w:tcPr>
          <w:p w14:paraId="46778E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К-4</w:t>
            </w:r>
          </w:p>
        </w:tc>
        <w:tc>
          <w:tcPr>
            <w:tcW w:w="993" w:type="dxa"/>
          </w:tcPr>
          <w:p w14:paraId="73A07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D0F77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742D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992" w:type="dxa"/>
          </w:tcPr>
          <w:p w14:paraId="550EA1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D4C73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900AD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r>
      <w:tr w:rsidR="00DA227A" w:rsidRPr="00E93F40" w14:paraId="7BD7D573" w14:textId="77777777">
        <w:tc>
          <w:tcPr>
            <w:tcW w:w="817" w:type="dxa"/>
          </w:tcPr>
          <w:p w14:paraId="19D93E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501E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К-5</w:t>
            </w:r>
          </w:p>
        </w:tc>
        <w:tc>
          <w:tcPr>
            <w:tcW w:w="993" w:type="dxa"/>
          </w:tcPr>
          <w:p w14:paraId="22BE7A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05E3C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A3ABE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992" w:type="dxa"/>
          </w:tcPr>
          <w:p w14:paraId="7AB90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c>
          <w:tcPr>
            <w:tcW w:w="993" w:type="dxa"/>
          </w:tcPr>
          <w:p w14:paraId="2835F7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992" w:type="dxa"/>
          </w:tcPr>
          <w:p w14:paraId="3975EB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w:t>
            </w:r>
          </w:p>
        </w:tc>
      </w:tr>
      <w:tr w:rsidR="00DA227A" w:rsidRPr="00E93F40" w14:paraId="1EF25AA4" w14:textId="77777777">
        <w:tc>
          <w:tcPr>
            <w:tcW w:w="817" w:type="dxa"/>
          </w:tcPr>
          <w:p w14:paraId="2224A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6A9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К-6</w:t>
            </w:r>
          </w:p>
        </w:tc>
        <w:tc>
          <w:tcPr>
            <w:tcW w:w="993" w:type="dxa"/>
          </w:tcPr>
          <w:p w14:paraId="7D751D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F51C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64CB9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992" w:type="dxa"/>
          </w:tcPr>
          <w:p w14:paraId="687DEE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221A4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FAF3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r w:rsidR="00DA227A" w:rsidRPr="00E93F40" w14:paraId="332266BA" w14:textId="77777777">
        <w:tc>
          <w:tcPr>
            <w:tcW w:w="817" w:type="dxa"/>
          </w:tcPr>
          <w:p w14:paraId="528BF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F6579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К-9</w:t>
            </w:r>
          </w:p>
        </w:tc>
        <w:tc>
          <w:tcPr>
            <w:tcW w:w="993" w:type="dxa"/>
          </w:tcPr>
          <w:p w14:paraId="52F9DF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08C2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16CF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992" w:type="dxa"/>
          </w:tcPr>
          <w:p w14:paraId="342217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EF01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E27A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r>
      <w:tr w:rsidR="00DA227A" w:rsidRPr="00E93F40" w14:paraId="32A61029" w14:textId="77777777">
        <w:tc>
          <w:tcPr>
            <w:tcW w:w="817" w:type="dxa"/>
          </w:tcPr>
          <w:p w14:paraId="49CBCA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A3212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993" w:type="dxa"/>
          </w:tcPr>
          <w:p w14:paraId="5E0AAA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3391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7740D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w:t>
            </w:r>
          </w:p>
        </w:tc>
        <w:tc>
          <w:tcPr>
            <w:tcW w:w="992" w:type="dxa"/>
          </w:tcPr>
          <w:p w14:paraId="0A32B2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c>
          <w:tcPr>
            <w:tcW w:w="993" w:type="dxa"/>
          </w:tcPr>
          <w:p w14:paraId="560658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992" w:type="dxa"/>
          </w:tcPr>
          <w:p w14:paraId="4C8202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142</w:t>
            </w:r>
          </w:p>
        </w:tc>
      </w:tr>
      <w:tr w:rsidR="00DA227A" w:rsidRPr="00E93F40" w14:paraId="4F327EA1" w14:textId="77777777">
        <w:tc>
          <w:tcPr>
            <w:tcW w:w="817" w:type="dxa"/>
          </w:tcPr>
          <w:p w14:paraId="27C6C8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c>
          <w:tcPr>
            <w:tcW w:w="992" w:type="dxa"/>
          </w:tcPr>
          <w:p w14:paraId="1012BE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w:t>
            </w:r>
          </w:p>
        </w:tc>
        <w:tc>
          <w:tcPr>
            <w:tcW w:w="993" w:type="dxa"/>
          </w:tcPr>
          <w:p w14:paraId="3A16F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EF965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0AE44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874C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27AAC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992" w:type="dxa"/>
          </w:tcPr>
          <w:p w14:paraId="4734C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r>
      <w:tr w:rsidR="00DA227A" w:rsidRPr="00E93F40" w14:paraId="3C8BAA32" w14:textId="77777777">
        <w:tc>
          <w:tcPr>
            <w:tcW w:w="817" w:type="dxa"/>
          </w:tcPr>
          <w:p w14:paraId="5F30CC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w:t>
            </w:r>
          </w:p>
        </w:tc>
        <w:tc>
          <w:tcPr>
            <w:tcW w:w="992" w:type="dxa"/>
          </w:tcPr>
          <w:p w14:paraId="6E3212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w:t>
            </w:r>
          </w:p>
        </w:tc>
        <w:tc>
          <w:tcPr>
            <w:tcW w:w="993" w:type="dxa"/>
          </w:tcPr>
          <w:p w14:paraId="11FB10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7B33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9355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93604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8687A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992" w:type="dxa"/>
          </w:tcPr>
          <w:p w14:paraId="1B343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r>
      <w:tr w:rsidR="00DA227A" w:rsidRPr="00E93F40" w14:paraId="3DBB6D02" w14:textId="77777777">
        <w:tc>
          <w:tcPr>
            <w:tcW w:w="817" w:type="dxa"/>
          </w:tcPr>
          <w:p w14:paraId="550D0D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0D3F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FF3DE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9AF24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F15D7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40751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7C19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992" w:type="dxa"/>
          </w:tcPr>
          <w:p w14:paraId="79228E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r>
      <w:tr w:rsidR="00DA227A" w:rsidRPr="00E93F40" w14:paraId="2A038018" w14:textId="77777777">
        <w:tc>
          <w:tcPr>
            <w:tcW w:w="817" w:type="dxa"/>
          </w:tcPr>
          <w:p w14:paraId="5A51B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B1847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993" w:type="dxa"/>
          </w:tcPr>
          <w:p w14:paraId="3D7813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27FFB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2E89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EFA2D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EB5F0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992" w:type="dxa"/>
          </w:tcPr>
          <w:p w14:paraId="74DEFF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r>
      <w:tr w:rsidR="00DA227A" w:rsidRPr="00E93F40" w14:paraId="11F71002" w14:textId="77777777">
        <w:tc>
          <w:tcPr>
            <w:tcW w:w="817" w:type="dxa"/>
            <w:tcBorders>
              <w:bottom w:val="single" w:sz="12" w:space="0" w:color="auto"/>
            </w:tcBorders>
          </w:tcPr>
          <w:p w14:paraId="6355D0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6E1CE5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993" w:type="dxa"/>
            <w:tcBorders>
              <w:bottom w:val="single" w:sz="12" w:space="0" w:color="auto"/>
            </w:tcBorders>
          </w:tcPr>
          <w:p w14:paraId="658E4C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66/354</w:t>
            </w:r>
          </w:p>
        </w:tc>
        <w:tc>
          <w:tcPr>
            <w:tcW w:w="992" w:type="dxa"/>
            <w:tcBorders>
              <w:bottom w:val="single" w:sz="12" w:space="0" w:color="auto"/>
            </w:tcBorders>
          </w:tcPr>
          <w:p w14:paraId="1F1793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912</w:t>
            </w:r>
          </w:p>
        </w:tc>
        <w:tc>
          <w:tcPr>
            <w:tcW w:w="992" w:type="dxa"/>
            <w:tcBorders>
              <w:bottom w:val="single" w:sz="12" w:space="0" w:color="auto"/>
            </w:tcBorders>
          </w:tcPr>
          <w:p w14:paraId="6676C0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1149</w:t>
            </w:r>
          </w:p>
        </w:tc>
        <w:tc>
          <w:tcPr>
            <w:tcW w:w="992" w:type="dxa"/>
            <w:tcBorders>
              <w:bottom w:val="single" w:sz="12" w:space="0" w:color="auto"/>
            </w:tcBorders>
          </w:tcPr>
          <w:p w14:paraId="74C6B8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1489</w:t>
            </w:r>
          </w:p>
        </w:tc>
        <w:tc>
          <w:tcPr>
            <w:tcW w:w="993" w:type="dxa"/>
            <w:tcBorders>
              <w:bottom w:val="single" w:sz="12" w:space="0" w:color="auto"/>
            </w:tcBorders>
          </w:tcPr>
          <w:p w14:paraId="0699F1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2509</w:t>
            </w:r>
          </w:p>
        </w:tc>
        <w:tc>
          <w:tcPr>
            <w:tcW w:w="992" w:type="dxa"/>
            <w:tcBorders>
              <w:bottom w:val="single" w:sz="12" w:space="0" w:color="auto"/>
            </w:tcBorders>
          </w:tcPr>
          <w:p w14:paraId="5ACD53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6125</w:t>
            </w:r>
          </w:p>
        </w:tc>
      </w:tr>
    </w:tbl>
    <w:p w14:paraId="4E2DD5B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(цифры почти не видно и они чуть расходятся)</w:t>
      </w:r>
    </w:p>
    <w:p w14:paraId="4F6DE2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992"/>
        <w:gridCol w:w="993"/>
        <w:gridCol w:w="992"/>
        <w:gridCol w:w="992"/>
        <w:gridCol w:w="992"/>
        <w:gridCol w:w="993"/>
        <w:gridCol w:w="992"/>
      </w:tblGrid>
      <w:tr w:rsidR="00DA227A" w:rsidRPr="00E93F40" w14:paraId="09C6C69F" w14:textId="77777777">
        <w:tc>
          <w:tcPr>
            <w:tcW w:w="817" w:type="dxa"/>
            <w:tcBorders>
              <w:top w:val="single" w:sz="12" w:space="0" w:color="auto"/>
            </w:tcBorders>
          </w:tcPr>
          <w:p w14:paraId="45AA0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заводов</w:t>
            </w:r>
          </w:p>
        </w:tc>
        <w:tc>
          <w:tcPr>
            <w:tcW w:w="992" w:type="dxa"/>
            <w:tcBorders>
              <w:top w:val="single" w:sz="12" w:space="0" w:color="auto"/>
            </w:tcBorders>
          </w:tcPr>
          <w:p w14:paraId="26A61B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Изделия</w:t>
            </w:r>
          </w:p>
        </w:tc>
        <w:tc>
          <w:tcPr>
            <w:tcW w:w="993" w:type="dxa"/>
            <w:tcBorders>
              <w:top w:val="single" w:sz="12" w:space="0" w:color="auto"/>
            </w:tcBorders>
          </w:tcPr>
          <w:p w14:paraId="4D7E76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кв. 1928</w:t>
            </w:r>
          </w:p>
        </w:tc>
        <w:tc>
          <w:tcPr>
            <w:tcW w:w="992" w:type="dxa"/>
            <w:tcBorders>
              <w:top w:val="single" w:sz="12" w:space="0" w:color="auto"/>
            </w:tcBorders>
          </w:tcPr>
          <w:p w14:paraId="07933C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992" w:type="dxa"/>
            <w:tcBorders>
              <w:top w:val="single" w:sz="12" w:space="0" w:color="auto"/>
            </w:tcBorders>
          </w:tcPr>
          <w:p w14:paraId="367A28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992" w:type="dxa"/>
            <w:tcBorders>
              <w:top w:val="single" w:sz="12" w:space="0" w:color="auto"/>
            </w:tcBorders>
          </w:tcPr>
          <w:p w14:paraId="077A4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993" w:type="dxa"/>
            <w:tcBorders>
              <w:top w:val="single" w:sz="12" w:space="0" w:color="auto"/>
            </w:tcBorders>
          </w:tcPr>
          <w:p w14:paraId="797502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992" w:type="dxa"/>
            <w:tcBorders>
              <w:top w:val="single" w:sz="12" w:space="0" w:color="auto"/>
            </w:tcBorders>
          </w:tcPr>
          <w:p w14:paraId="18E0F9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r>
      <w:tr w:rsidR="00DA227A" w:rsidRPr="00E93F40" w14:paraId="39C24820" w14:textId="77777777">
        <w:tc>
          <w:tcPr>
            <w:tcW w:w="817" w:type="dxa"/>
          </w:tcPr>
          <w:p w14:paraId="29BE8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w:t>
            </w:r>
          </w:p>
        </w:tc>
        <w:tc>
          <w:tcPr>
            <w:tcW w:w="992" w:type="dxa"/>
          </w:tcPr>
          <w:p w14:paraId="0D8175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w:t>
            </w:r>
          </w:p>
        </w:tc>
        <w:tc>
          <w:tcPr>
            <w:tcW w:w="993" w:type="dxa"/>
          </w:tcPr>
          <w:p w14:paraId="3A931C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w:t>
            </w:r>
          </w:p>
        </w:tc>
        <w:tc>
          <w:tcPr>
            <w:tcW w:w="992" w:type="dxa"/>
          </w:tcPr>
          <w:p w14:paraId="38C81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773</w:t>
            </w:r>
          </w:p>
        </w:tc>
        <w:tc>
          <w:tcPr>
            <w:tcW w:w="992" w:type="dxa"/>
          </w:tcPr>
          <w:p w14:paraId="6E5417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740</w:t>
            </w:r>
          </w:p>
        </w:tc>
        <w:tc>
          <w:tcPr>
            <w:tcW w:w="992" w:type="dxa"/>
          </w:tcPr>
          <w:p w14:paraId="2B19EF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D0A72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4DDBD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1618</w:t>
            </w:r>
          </w:p>
        </w:tc>
      </w:tr>
      <w:tr w:rsidR="00DA227A" w:rsidRPr="00E93F40" w14:paraId="1AAE62C1" w14:textId="77777777">
        <w:tc>
          <w:tcPr>
            <w:tcW w:w="817" w:type="dxa"/>
          </w:tcPr>
          <w:p w14:paraId="6D55C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08C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w:t>
            </w:r>
          </w:p>
        </w:tc>
        <w:tc>
          <w:tcPr>
            <w:tcW w:w="993" w:type="dxa"/>
          </w:tcPr>
          <w:p w14:paraId="5EE57F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w:t>
            </w:r>
          </w:p>
        </w:tc>
        <w:tc>
          <w:tcPr>
            <w:tcW w:w="992" w:type="dxa"/>
          </w:tcPr>
          <w:p w14:paraId="2547F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123</w:t>
            </w:r>
          </w:p>
        </w:tc>
        <w:tc>
          <w:tcPr>
            <w:tcW w:w="992" w:type="dxa"/>
          </w:tcPr>
          <w:p w14:paraId="555F06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296</w:t>
            </w:r>
          </w:p>
        </w:tc>
        <w:tc>
          <w:tcPr>
            <w:tcW w:w="992" w:type="dxa"/>
          </w:tcPr>
          <w:p w14:paraId="397EEF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5A6D6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C8BCF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432</w:t>
            </w:r>
          </w:p>
        </w:tc>
      </w:tr>
      <w:tr w:rsidR="00DA227A" w:rsidRPr="00E93F40" w14:paraId="677A7B8A" w14:textId="77777777">
        <w:tc>
          <w:tcPr>
            <w:tcW w:w="817" w:type="dxa"/>
          </w:tcPr>
          <w:p w14:paraId="2F0F43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A81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М-15</w:t>
            </w:r>
          </w:p>
        </w:tc>
        <w:tc>
          <w:tcPr>
            <w:tcW w:w="993" w:type="dxa"/>
          </w:tcPr>
          <w:p w14:paraId="065E8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76EF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C35E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CFB1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186</w:t>
            </w:r>
          </w:p>
        </w:tc>
        <w:tc>
          <w:tcPr>
            <w:tcW w:w="993" w:type="dxa"/>
          </w:tcPr>
          <w:p w14:paraId="48DFB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w:t>
            </w:r>
          </w:p>
        </w:tc>
        <w:tc>
          <w:tcPr>
            <w:tcW w:w="992" w:type="dxa"/>
          </w:tcPr>
          <w:p w14:paraId="4A6A34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406</w:t>
            </w:r>
          </w:p>
        </w:tc>
      </w:tr>
      <w:tr w:rsidR="00DA227A" w:rsidRPr="00E93F40" w14:paraId="47763FA5" w14:textId="77777777">
        <w:tc>
          <w:tcPr>
            <w:tcW w:w="817" w:type="dxa"/>
          </w:tcPr>
          <w:p w14:paraId="60E24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23D4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М-26</w:t>
            </w:r>
          </w:p>
        </w:tc>
        <w:tc>
          <w:tcPr>
            <w:tcW w:w="993" w:type="dxa"/>
          </w:tcPr>
          <w:p w14:paraId="2AACB2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567A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69A5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AD100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w:t>
            </w:r>
          </w:p>
        </w:tc>
        <w:tc>
          <w:tcPr>
            <w:tcW w:w="993" w:type="dxa"/>
          </w:tcPr>
          <w:p w14:paraId="7F046A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320</w:t>
            </w:r>
          </w:p>
        </w:tc>
        <w:tc>
          <w:tcPr>
            <w:tcW w:w="992" w:type="dxa"/>
          </w:tcPr>
          <w:p w14:paraId="676923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445</w:t>
            </w:r>
          </w:p>
        </w:tc>
      </w:tr>
      <w:tr w:rsidR="00DA227A" w:rsidRPr="00E93F40" w14:paraId="45EDE43A" w14:textId="77777777">
        <w:tc>
          <w:tcPr>
            <w:tcW w:w="817" w:type="dxa"/>
          </w:tcPr>
          <w:p w14:paraId="1E748A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FD25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w:t>
            </w:r>
          </w:p>
        </w:tc>
        <w:tc>
          <w:tcPr>
            <w:tcW w:w="993" w:type="dxa"/>
          </w:tcPr>
          <w:p w14:paraId="459FE8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2AF73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FF45F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D0094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c>
          <w:tcPr>
            <w:tcW w:w="993" w:type="dxa"/>
          </w:tcPr>
          <w:p w14:paraId="3A418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F7EFE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w:t>
            </w:r>
          </w:p>
        </w:tc>
      </w:tr>
      <w:tr w:rsidR="00DA227A" w:rsidRPr="00E93F40" w14:paraId="520B492D" w14:textId="77777777">
        <w:tc>
          <w:tcPr>
            <w:tcW w:w="817" w:type="dxa"/>
          </w:tcPr>
          <w:p w14:paraId="52595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87B6F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993" w:type="dxa"/>
          </w:tcPr>
          <w:p w14:paraId="4267B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04DC9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34669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F37C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A9C8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992" w:type="dxa"/>
          </w:tcPr>
          <w:p w14:paraId="22EF5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r>
      <w:tr w:rsidR="00DA227A" w:rsidRPr="00E93F40" w14:paraId="3051EC29" w14:textId="77777777">
        <w:tc>
          <w:tcPr>
            <w:tcW w:w="817" w:type="dxa"/>
          </w:tcPr>
          <w:p w14:paraId="160324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1AB9E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993" w:type="dxa"/>
          </w:tcPr>
          <w:p w14:paraId="7FF78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w:t>
            </w:r>
          </w:p>
        </w:tc>
        <w:tc>
          <w:tcPr>
            <w:tcW w:w="992" w:type="dxa"/>
          </w:tcPr>
          <w:p w14:paraId="554E92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896</w:t>
            </w:r>
          </w:p>
        </w:tc>
        <w:tc>
          <w:tcPr>
            <w:tcW w:w="992" w:type="dxa"/>
          </w:tcPr>
          <w:p w14:paraId="425419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1036</w:t>
            </w:r>
          </w:p>
        </w:tc>
        <w:tc>
          <w:tcPr>
            <w:tcW w:w="992" w:type="dxa"/>
          </w:tcPr>
          <w:p w14:paraId="2F750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332</w:t>
            </w:r>
          </w:p>
        </w:tc>
        <w:tc>
          <w:tcPr>
            <w:tcW w:w="993" w:type="dxa"/>
          </w:tcPr>
          <w:p w14:paraId="37679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620</w:t>
            </w:r>
          </w:p>
        </w:tc>
        <w:tc>
          <w:tcPr>
            <w:tcW w:w="992" w:type="dxa"/>
          </w:tcPr>
          <w:p w14:paraId="1CCE45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3002</w:t>
            </w:r>
          </w:p>
        </w:tc>
      </w:tr>
      <w:tr w:rsidR="00DA227A" w:rsidRPr="00E93F40" w14:paraId="675776EB" w14:textId="77777777">
        <w:tc>
          <w:tcPr>
            <w:tcW w:w="817" w:type="dxa"/>
          </w:tcPr>
          <w:p w14:paraId="51DD9C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992" w:type="dxa"/>
          </w:tcPr>
          <w:p w14:paraId="3DDC63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М-6</w:t>
            </w:r>
          </w:p>
        </w:tc>
        <w:tc>
          <w:tcPr>
            <w:tcW w:w="993" w:type="dxa"/>
          </w:tcPr>
          <w:p w14:paraId="4ADABF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992" w:type="dxa"/>
          </w:tcPr>
          <w:p w14:paraId="450060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w:t>
            </w:r>
          </w:p>
        </w:tc>
        <w:tc>
          <w:tcPr>
            <w:tcW w:w="992" w:type="dxa"/>
          </w:tcPr>
          <w:p w14:paraId="3A8D68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c>
          <w:tcPr>
            <w:tcW w:w="992" w:type="dxa"/>
          </w:tcPr>
          <w:p w14:paraId="5DF623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993" w:type="dxa"/>
          </w:tcPr>
          <w:p w14:paraId="46B107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715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158</w:t>
            </w:r>
          </w:p>
        </w:tc>
      </w:tr>
      <w:tr w:rsidR="00DA227A" w:rsidRPr="00E93F40" w14:paraId="29E0D317" w14:textId="77777777">
        <w:tc>
          <w:tcPr>
            <w:tcW w:w="817" w:type="dxa"/>
          </w:tcPr>
          <w:p w14:paraId="217A09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1D44E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Т-12</w:t>
            </w:r>
          </w:p>
        </w:tc>
        <w:tc>
          <w:tcPr>
            <w:tcW w:w="993" w:type="dxa"/>
          </w:tcPr>
          <w:p w14:paraId="28D4A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179FF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04924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992" w:type="dxa"/>
          </w:tcPr>
          <w:p w14:paraId="510696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4D706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992" w:type="dxa"/>
          </w:tcPr>
          <w:p w14:paraId="48276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w:t>
            </w:r>
          </w:p>
        </w:tc>
      </w:tr>
      <w:tr w:rsidR="00DA227A" w:rsidRPr="00E93F40" w14:paraId="59AB22DB" w14:textId="77777777">
        <w:tc>
          <w:tcPr>
            <w:tcW w:w="817" w:type="dxa"/>
          </w:tcPr>
          <w:p w14:paraId="310EE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2E875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М-11</w:t>
            </w:r>
          </w:p>
        </w:tc>
        <w:tc>
          <w:tcPr>
            <w:tcW w:w="993" w:type="dxa"/>
          </w:tcPr>
          <w:p w14:paraId="4AF4F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2BA7B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w:t>
            </w:r>
          </w:p>
        </w:tc>
        <w:tc>
          <w:tcPr>
            <w:tcW w:w="992" w:type="dxa"/>
          </w:tcPr>
          <w:p w14:paraId="3719B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w:t>
            </w:r>
          </w:p>
        </w:tc>
        <w:tc>
          <w:tcPr>
            <w:tcW w:w="992" w:type="dxa"/>
          </w:tcPr>
          <w:p w14:paraId="71B59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535</w:t>
            </w:r>
          </w:p>
        </w:tc>
        <w:tc>
          <w:tcPr>
            <w:tcW w:w="993" w:type="dxa"/>
          </w:tcPr>
          <w:p w14:paraId="5F90C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1755</w:t>
            </w:r>
          </w:p>
        </w:tc>
        <w:tc>
          <w:tcPr>
            <w:tcW w:w="992" w:type="dxa"/>
          </w:tcPr>
          <w:p w14:paraId="4FA3C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2439</w:t>
            </w:r>
          </w:p>
        </w:tc>
      </w:tr>
      <w:tr w:rsidR="00DA227A" w:rsidRPr="00E93F40" w14:paraId="050C4AF7" w14:textId="77777777">
        <w:tc>
          <w:tcPr>
            <w:tcW w:w="817" w:type="dxa"/>
          </w:tcPr>
          <w:p w14:paraId="15651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1DD1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М-22</w:t>
            </w:r>
          </w:p>
        </w:tc>
        <w:tc>
          <w:tcPr>
            <w:tcW w:w="993" w:type="dxa"/>
          </w:tcPr>
          <w:p w14:paraId="78E54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D890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2270F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F7C72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993" w:type="dxa"/>
          </w:tcPr>
          <w:p w14:paraId="5450E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992" w:type="dxa"/>
          </w:tcPr>
          <w:p w14:paraId="3E19F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r>
      <w:tr w:rsidR="00DA227A" w:rsidRPr="00E93F40" w14:paraId="0AA81875" w14:textId="77777777">
        <w:tc>
          <w:tcPr>
            <w:tcW w:w="817" w:type="dxa"/>
          </w:tcPr>
          <w:p w14:paraId="43A493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BC1A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Итого</w:t>
            </w:r>
          </w:p>
        </w:tc>
        <w:tc>
          <w:tcPr>
            <w:tcW w:w="993" w:type="dxa"/>
          </w:tcPr>
          <w:p w14:paraId="6E5D5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w:t>
            </w:r>
          </w:p>
        </w:tc>
        <w:tc>
          <w:tcPr>
            <w:tcW w:w="992" w:type="dxa"/>
          </w:tcPr>
          <w:p w14:paraId="0EB572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w:t>
            </w:r>
          </w:p>
        </w:tc>
        <w:tc>
          <w:tcPr>
            <w:tcW w:w="992" w:type="dxa"/>
          </w:tcPr>
          <w:p w14:paraId="61FB74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206</w:t>
            </w:r>
          </w:p>
        </w:tc>
        <w:tc>
          <w:tcPr>
            <w:tcW w:w="992" w:type="dxa"/>
          </w:tcPr>
          <w:p w14:paraId="06BD1F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629</w:t>
            </w:r>
          </w:p>
        </w:tc>
        <w:tc>
          <w:tcPr>
            <w:tcW w:w="993" w:type="dxa"/>
          </w:tcPr>
          <w:p w14:paraId="207756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2157</w:t>
            </w:r>
          </w:p>
        </w:tc>
        <w:tc>
          <w:tcPr>
            <w:tcW w:w="992" w:type="dxa"/>
          </w:tcPr>
          <w:p w14:paraId="1D48BD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3094</w:t>
            </w:r>
          </w:p>
        </w:tc>
      </w:tr>
      <w:tr w:rsidR="00DA227A" w:rsidRPr="00E93F40" w14:paraId="6386BE2D" w14:textId="77777777">
        <w:tc>
          <w:tcPr>
            <w:tcW w:w="817" w:type="dxa"/>
          </w:tcPr>
          <w:p w14:paraId="6DBF06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w:t>
            </w:r>
          </w:p>
        </w:tc>
        <w:tc>
          <w:tcPr>
            <w:tcW w:w="992" w:type="dxa"/>
          </w:tcPr>
          <w:p w14:paraId="545D3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w:t>
            </w:r>
          </w:p>
        </w:tc>
        <w:tc>
          <w:tcPr>
            <w:tcW w:w="993" w:type="dxa"/>
          </w:tcPr>
          <w:p w14:paraId="16FDEF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6D818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B365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w:t>
            </w:r>
          </w:p>
        </w:tc>
        <w:tc>
          <w:tcPr>
            <w:tcW w:w="992" w:type="dxa"/>
          </w:tcPr>
          <w:p w14:paraId="7E47FA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679</w:t>
            </w:r>
          </w:p>
        </w:tc>
        <w:tc>
          <w:tcPr>
            <w:tcW w:w="993" w:type="dxa"/>
          </w:tcPr>
          <w:p w14:paraId="2A6F0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2120</w:t>
            </w:r>
          </w:p>
        </w:tc>
        <w:tc>
          <w:tcPr>
            <w:tcW w:w="992" w:type="dxa"/>
          </w:tcPr>
          <w:p w14:paraId="00AC0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2964</w:t>
            </w:r>
          </w:p>
        </w:tc>
      </w:tr>
      <w:tr w:rsidR="00DA227A" w:rsidRPr="00E93F40" w14:paraId="1C1B7308" w14:textId="77777777">
        <w:tc>
          <w:tcPr>
            <w:tcW w:w="817" w:type="dxa"/>
            <w:tcBorders>
              <w:bottom w:val="single" w:sz="12" w:space="0" w:color="auto"/>
            </w:tcBorders>
          </w:tcPr>
          <w:p w14:paraId="433AA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Всего</w:t>
            </w:r>
          </w:p>
        </w:tc>
        <w:tc>
          <w:tcPr>
            <w:tcW w:w="992" w:type="dxa"/>
            <w:tcBorders>
              <w:bottom w:val="single" w:sz="12" w:space="0" w:color="auto"/>
            </w:tcBorders>
          </w:tcPr>
          <w:p w14:paraId="3CFB5B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11FB67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124/801</w:t>
            </w:r>
          </w:p>
        </w:tc>
        <w:tc>
          <w:tcPr>
            <w:tcW w:w="992" w:type="dxa"/>
            <w:tcBorders>
              <w:bottom w:val="single" w:sz="12" w:space="0" w:color="auto"/>
            </w:tcBorders>
          </w:tcPr>
          <w:p w14:paraId="74C942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1990</w:t>
            </w:r>
          </w:p>
        </w:tc>
        <w:tc>
          <w:tcPr>
            <w:tcW w:w="992" w:type="dxa"/>
            <w:tcBorders>
              <w:bottom w:val="single" w:sz="12" w:space="0" w:color="auto"/>
            </w:tcBorders>
          </w:tcPr>
          <w:p w14:paraId="681239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1409</w:t>
            </w:r>
          </w:p>
        </w:tc>
        <w:tc>
          <w:tcPr>
            <w:tcW w:w="992" w:type="dxa"/>
            <w:tcBorders>
              <w:bottom w:val="single" w:sz="12" w:space="0" w:color="auto"/>
            </w:tcBorders>
          </w:tcPr>
          <w:p w14:paraId="1E3E8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1640</w:t>
            </w:r>
          </w:p>
        </w:tc>
        <w:tc>
          <w:tcPr>
            <w:tcW w:w="993" w:type="dxa"/>
            <w:tcBorders>
              <w:bottom w:val="single" w:sz="12" w:space="0" w:color="auto"/>
            </w:tcBorders>
          </w:tcPr>
          <w:p w14:paraId="60B19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4897</w:t>
            </w:r>
          </w:p>
        </w:tc>
        <w:tc>
          <w:tcPr>
            <w:tcW w:w="992" w:type="dxa"/>
            <w:tcBorders>
              <w:bottom w:val="single" w:sz="12" w:space="0" w:color="auto"/>
            </w:tcBorders>
          </w:tcPr>
          <w:p w14:paraId="17B88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9060</w:t>
            </w:r>
          </w:p>
        </w:tc>
      </w:tr>
    </w:tbl>
    <w:p w14:paraId="6418C4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Летные и боевые качества самолетов СССР и сравнение их с иностранной авиацией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159"/>
        <w:gridCol w:w="1134"/>
        <w:gridCol w:w="1134"/>
        <w:gridCol w:w="1276"/>
        <w:gridCol w:w="1275"/>
      </w:tblGrid>
      <w:tr w:rsidR="00DA227A" w:rsidRPr="00E93F40" w14:paraId="28B3D8A9" w14:textId="77777777">
        <w:tc>
          <w:tcPr>
            <w:tcW w:w="1601" w:type="dxa"/>
            <w:tcBorders>
              <w:top w:val="single" w:sz="12" w:space="0" w:color="auto"/>
            </w:tcBorders>
          </w:tcPr>
          <w:p w14:paraId="2535B2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w:t>
            </w:r>
          </w:p>
        </w:tc>
        <w:tc>
          <w:tcPr>
            <w:tcW w:w="1601" w:type="dxa"/>
            <w:tcBorders>
              <w:top w:val="single" w:sz="12" w:space="0" w:color="auto"/>
            </w:tcBorders>
          </w:tcPr>
          <w:p w14:paraId="180B6F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мотора</w:t>
            </w:r>
          </w:p>
        </w:tc>
        <w:tc>
          <w:tcPr>
            <w:tcW w:w="1159" w:type="dxa"/>
            <w:tcBorders>
              <w:top w:val="single" w:sz="12" w:space="0" w:color="auto"/>
            </w:tcBorders>
          </w:tcPr>
          <w:p w14:paraId="09B3A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Полетный вес/нагрузка</w:t>
            </w:r>
          </w:p>
        </w:tc>
        <w:tc>
          <w:tcPr>
            <w:tcW w:w="1134" w:type="dxa"/>
            <w:tcBorders>
              <w:top w:val="single" w:sz="12" w:space="0" w:color="auto"/>
            </w:tcBorders>
          </w:tcPr>
          <w:p w14:paraId="4CFF6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у земли</w:t>
            </w:r>
          </w:p>
        </w:tc>
        <w:tc>
          <w:tcPr>
            <w:tcW w:w="1134" w:type="dxa"/>
            <w:tcBorders>
              <w:top w:val="single" w:sz="12" w:space="0" w:color="auto"/>
            </w:tcBorders>
          </w:tcPr>
          <w:p w14:paraId="7D2CEF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на 3000/5000</w:t>
            </w:r>
          </w:p>
        </w:tc>
        <w:tc>
          <w:tcPr>
            <w:tcW w:w="1276" w:type="dxa"/>
            <w:tcBorders>
              <w:top w:val="single" w:sz="12" w:space="0" w:color="auto"/>
            </w:tcBorders>
          </w:tcPr>
          <w:p w14:paraId="3FFCC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w:t>
            </w:r>
          </w:p>
        </w:tc>
        <w:tc>
          <w:tcPr>
            <w:tcW w:w="1275" w:type="dxa"/>
            <w:tcBorders>
              <w:top w:val="single" w:sz="12" w:space="0" w:color="auto"/>
            </w:tcBorders>
          </w:tcPr>
          <w:p w14:paraId="5F53B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 выпуска</w:t>
            </w:r>
          </w:p>
        </w:tc>
      </w:tr>
      <w:tr w:rsidR="00DA227A" w:rsidRPr="00E93F40" w14:paraId="6259FCE8" w14:textId="77777777">
        <w:tc>
          <w:tcPr>
            <w:tcW w:w="1601" w:type="dxa"/>
          </w:tcPr>
          <w:p w14:paraId="168B9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Одноместные истребители</w:t>
            </w:r>
          </w:p>
        </w:tc>
        <w:tc>
          <w:tcPr>
            <w:tcW w:w="1601" w:type="dxa"/>
          </w:tcPr>
          <w:p w14:paraId="0499D4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C6BB5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B22B6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DD178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80C43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993B3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A9CDFD2" w14:textId="77777777">
        <w:tc>
          <w:tcPr>
            <w:tcW w:w="1601" w:type="dxa"/>
          </w:tcPr>
          <w:p w14:paraId="31482E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tc>
        <w:tc>
          <w:tcPr>
            <w:tcW w:w="1601" w:type="dxa"/>
          </w:tcPr>
          <w:p w14:paraId="391D1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B4B6E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7D7E0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DDC1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5791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F7F1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0A8ADA5" w14:textId="77777777">
        <w:tc>
          <w:tcPr>
            <w:tcW w:w="1601" w:type="dxa"/>
          </w:tcPr>
          <w:p w14:paraId="2F4346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И-5-М22</w:t>
            </w:r>
          </w:p>
        </w:tc>
        <w:tc>
          <w:tcPr>
            <w:tcW w:w="1601" w:type="dxa"/>
          </w:tcPr>
          <w:p w14:paraId="43065D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c>
          <w:tcPr>
            <w:tcW w:w="1159" w:type="dxa"/>
          </w:tcPr>
          <w:p w14:paraId="662E93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1350/412</w:t>
            </w:r>
          </w:p>
        </w:tc>
        <w:tc>
          <w:tcPr>
            <w:tcW w:w="1134" w:type="dxa"/>
          </w:tcPr>
          <w:p w14:paraId="23DB76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278</w:t>
            </w:r>
          </w:p>
        </w:tc>
        <w:tc>
          <w:tcPr>
            <w:tcW w:w="1134" w:type="dxa"/>
          </w:tcPr>
          <w:p w14:paraId="356E1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5,2/11,2</w:t>
            </w:r>
          </w:p>
        </w:tc>
        <w:tc>
          <w:tcPr>
            <w:tcW w:w="1276" w:type="dxa"/>
          </w:tcPr>
          <w:p w14:paraId="5B249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7800</w:t>
            </w:r>
          </w:p>
        </w:tc>
        <w:tc>
          <w:tcPr>
            <w:tcW w:w="1275" w:type="dxa"/>
          </w:tcPr>
          <w:p w14:paraId="26644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473A0F0D" w14:textId="77777777">
        <w:tc>
          <w:tcPr>
            <w:tcW w:w="1601" w:type="dxa"/>
          </w:tcPr>
          <w:p w14:paraId="121A7E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И-7-М17</w:t>
            </w:r>
          </w:p>
        </w:tc>
        <w:tc>
          <w:tcPr>
            <w:tcW w:w="1601" w:type="dxa"/>
          </w:tcPr>
          <w:p w14:paraId="1D6F88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500/780</w:t>
            </w:r>
          </w:p>
        </w:tc>
        <w:tc>
          <w:tcPr>
            <w:tcW w:w="1159" w:type="dxa"/>
          </w:tcPr>
          <w:p w14:paraId="5AC491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1730/433</w:t>
            </w:r>
          </w:p>
        </w:tc>
        <w:tc>
          <w:tcPr>
            <w:tcW w:w="1134" w:type="dxa"/>
          </w:tcPr>
          <w:p w14:paraId="42200E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w:t>
            </w:r>
          </w:p>
        </w:tc>
        <w:tc>
          <w:tcPr>
            <w:tcW w:w="1134" w:type="dxa"/>
          </w:tcPr>
          <w:p w14:paraId="62E9EA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5.4/11,3</w:t>
            </w:r>
          </w:p>
        </w:tc>
        <w:tc>
          <w:tcPr>
            <w:tcW w:w="1276" w:type="dxa"/>
          </w:tcPr>
          <w:p w14:paraId="42C6A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7200</w:t>
            </w:r>
          </w:p>
        </w:tc>
        <w:tc>
          <w:tcPr>
            <w:tcW w:w="1275" w:type="dxa"/>
          </w:tcPr>
          <w:p w14:paraId="598B11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5558925F" w14:textId="77777777">
        <w:tc>
          <w:tcPr>
            <w:tcW w:w="1601" w:type="dxa"/>
          </w:tcPr>
          <w:p w14:paraId="19603A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tc>
        <w:tc>
          <w:tcPr>
            <w:tcW w:w="1601" w:type="dxa"/>
          </w:tcPr>
          <w:p w14:paraId="1BB2B1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31560E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D6DF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62C5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B410A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93FF2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16302A9" w14:textId="77777777">
        <w:tc>
          <w:tcPr>
            <w:tcW w:w="1601" w:type="dxa"/>
          </w:tcPr>
          <w:p w14:paraId="41F419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Глостер СС 19</w:t>
            </w:r>
          </w:p>
        </w:tc>
        <w:tc>
          <w:tcPr>
            <w:tcW w:w="1601" w:type="dxa"/>
          </w:tcPr>
          <w:p w14:paraId="4C845A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Юпитер-500с с нагнетателем</w:t>
            </w:r>
          </w:p>
        </w:tc>
        <w:tc>
          <w:tcPr>
            <w:tcW w:w="1159" w:type="dxa"/>
          </w:tcPr>
          <w:p w14:paraId="0C82C1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1600</w:t>
            </w:r>
          </w:p>
        </w:tc>
        <w:tc>
          <w:tcPr>
            <w:tcW w:w="1134" w:type="dxa"/>
          </w:tcPr>
          <w:p w14:paraId="0F45AA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273/3000</w:t>
            </w:r>
          </w:p>
        </w:tc>
        <w:tc>
          <w:tcPr>
            <w:tcW w:w="1134" w:type="dxa"/>
          </w:tcPr>
          <w:p w14:paraId="7EBA5F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6/10,5</w:t>
            </w:r>
          </w:p>
        </w:tc>
        <w:tc>
          <w:tcPr>
            <w:tcW w:w="1276" w:type="dxa"/>
          </w:tcPr>
          <w:p w14:paraId="4EF237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1275" w:type="dxa"/>
          </w:tcPr>
          <w:p w14:paraId="3D550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0E03E4C6" w14:textId="77777777">
        <w:tc>
          <w:tcPr>
            <w:tcW w:w="1601" w:type="dxa"/>
          </w:tcPr>
          <w:p w14:paraId="4E69C7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Фейри-Файерфлай</w:t>
            </w:r>
          </w:p>
        </w:tc>
        <w:tc>
          <w:tcPr>
            <w:tcW w:w="1601" w:type="dxa"/>
          </w:tcPr>
          <w:p w14:paraId="4B103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РР-480с с нагнетателем</w:t>
            </w:r>
          </w:p>
        </w:tc>
        <w:tc>
          <w:tcPr>
            <w:tcW w:w="1159" w:type="dxa"/>
          </w:tcPr>
          <w:p w14:paraId="474A3D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1365/374</w:t>
            </w:r>
          </w:p>
        </w:tc>
        <w:tc>
          <w:tcPr>
            <w:tcW w:w="1134" w:type="dxa"/>
          </w:tcPr>
          <w:p w14:paraId="0613F5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292</w:t>
            </w:r>
          </w:p>
        </w:tc>
        <w:tc>
          <w:tcPr>
            <w:tcW w:w="1134" w:type="dxa"/>
          </w:tcPr>
          <w:p w14:paraId="46C220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5/8,7</w:t>
            </w:r>
          </w:p>
        </w:tc>
        <w:tc>
          <w:tcPr>
            <w:tcW w:w="1276" w:type="dxa"/>
          </w:tcPr>
          <w:p w14:paraId="206FB0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9400</w:t>
            </w:r>
          </w:p>
        </w:tc>
        <w:tc>
          <w:tcPr>
            <w:tcW w:w="1275" w:type="dxa"/>
          </w:tcPr>
          <w:p w14:paraId="77D052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r>
      <w:tr w:rsidR="00DA227A" w:rsidRPr="00E93F40" w14:paraId="5D6FBCAF" w14:textId="77777777">
        <w:tc>
          <w:tcPr>
            <w:tcW w:w="1601" w:type="dxa"/>
          </w:tcPr>
          <w:p w14:paraId="466C42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Виккерс-Жокей</w:t>
            </w:r>
          </w:p>
        </w:tc>
        <w:tc>
          <w:tcPr>
            <w:tcW w:w="1601" w:type="dxa"/>
          </w:tcPr>
          <w:p w14:paraId="4252D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Меккбюри 525 с нагнетателем</w:t>
            </w:r>
          </w:p>
        </w:tc>
        <w:tc>
          <w:tcPr>
            <w:tcW w:w="1159" w:type="dxa"/>
          </w:tcPr>
          <w:p w14:paraId="7E8ABA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1486/406</w:t>
            </w:r>
          </w:p>
        </w:tc>
        <w:tc>
          <w:tcPr>
            <w:tcW w:w="1134" w:type="dxa"/>
          </w:tcPr>
          <w:p w14:paraId="2B2CA6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293</w:t>
            </w:r>
          </w:p>
        </w:tc>
        <w:tc>
          <w:tcPr>
            <w:tcW w:w="1134" w:type="dxa"/>
          </w:tcPr>
          <w:p w14:paraId="6B081B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5,6/10,4</w:t>
            </w:r>
          </w:p>
        </w:tc>
        <w:tc>
          <w:tcPr>
            <w:tcW w:w="1276" w:type="dxa"/>
          </w:tcPr>
          <w:p w14:paraId="310E48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w:t>
            </w:r>
          </w:p>
        </w:tc>
        <w:tc>
          <w:tcPr>
            <w:tcW w:w="1275" w:type="dxa"/>
          </w:tcPr>
          <w:p w14:paraId="0C0CAD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89A2CE1" w14:textId="77777777">
        <w:tc>
          <w:tcPr>
            <w:tcW w:w="1601" w:type="dxa"/>
          </w:tcPr>
          <w:p w14:paraId="22A662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1601" w:type="dxa"/>
          </w:tcPr>
          <w:p w14:paraId="641FF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388A18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4DB1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32F2F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4471C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7120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621554E" w14:textId="77777777">
        <w:tc>
          <w:tcPr>
            <w:tcW w:w="1601" w:type="dxa"/>
          </w:tcPr>
          <w:p w14:paraId="1DB861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Ньюпор-Деляж 121-01</w:t>
            </w:r>
          </w:p>
        </w:tc>
        <w:tc>
          <w:tcPr>
            <w:tcW w:w="1601" w:type="dxa"/>
          </w:tcPr>
          <w:p w14:paraId="45934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3D993D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1700/430</w:t>
            </w:r>
          </w:p>
        </w:tc>
        <w:tc>
          <w:tcPr>
            <w:tcW w:w="1134" w:type="dxa"/>
          </w:tcPr>
          <w:p w14:paraId="3AE149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w:t>
            </w:r>
          </w:p>
        </w:tc>
        <w:tc>
          <w:tcPr>
            <w:tcW w:w="1134" w:type="dxa"/>
          </w:tcPr>
          <w:p w14:paraId="6FCCCF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w:t>
            </w:r>
          </w:p>
        </w:tc>
        <w:tc>
          <w:tcPr>
            <w:tcW w:w="1276" w:type="dxa"/>
          </w:tcPr>
          <w:p w14:paraId="1F4B9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12000</w:t>
            </w:r>
          </w:p>
        </w:tc>
        <w:tc>
          <w:tcPr>
            <w:tcW w:w="1275" w:type="dxa"/>
          </w:tcPr>
          <w:p w14:paraId="329841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r>
      <w:tr w:rsidR="00DA227A" w:rsidRPr="00E93F40" w14:paraId="458D48CF" w14:textId="77777777">
        <w:tc>
          <w:tcPr>
            <w:tcW w:w="1601" w:type="dxa"/>
          </w:tcPr>
          <w:p w14:paraId="17D240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Вибо-210 Испано</w:t>
            </w:r>
          </w:p>
        </w:tc>
        <w:tc>
          <w:tcPr>
            <w:tcW w:w="1601" w:type="dxa"/>
          </w:tcPr>
          <w:p w14:paraId="77F479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78DC7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1320</w:t>
            </w:r>
          </w:p>
        </w:tc>
        <w:tc>
          <w:tcPr>
            <w:tcW w:w="1134" w:type="dxa"/>
          </w:tcPr>
          <w:p w14:paraId="3DFFA7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134" w:type="dxa"/>
          </w:tcPr>
          <w:p w14:paraId="13BCE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5/11,4</w:t>
            </w:r>
          </w:p>
        </w:tc>
        <w:tc>
          <w:tcPr>
            <w:tcW w:w="1276" w:type="dxa"/>
          </w:tcPr>
          <w:p w14:paraId="50737F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1275" w:type="dxa"/>
          </w:tcPr>
          <w:p w14:paraId="79E0F1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089EC888" w14:textId="77777777">
        <w:tc>
          <w:tcPr>
            <w:tcW w:w="1601" w:type="dxa"/>
          </w:tcPr>
          <w:p w14:paraId="582EFE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Девуятин 53 Испано</w:t>
            </w:r>
          </w:p>
        </w:tc>
        <w:tc>
          <w:tcPr>
            <w:tcW w:w="1601" w:type="dxa"/>
          </w:tcPr>
          <w:p w14:paraId="1DD4E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0C67D2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1330/360</w:t>
            </w:r>
          </w:p>
        </w:tc>
        <w:tc>
          <w:tcPr>
            <w:tcW w:w="1134" w:type="dxa"/>
          </w:tcPr>
          <w:p w14:paraId="061096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w:t>
            </w:r>
          </w:p>
        </w:tc>
        <w:tc>
          <w:tcPr>
            <w:tcW w:w="1134" w:type="dxa"/>
          </w:tcPr>
          <w:p w14:paraId="45691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-/8,75</w:t>
            </w:r>
          </w:p>
        </w:tc>
        <w:tc>
          <w:tcPr>
            <w:tcW w:w="1276" w:type="dxa"/>
          </w:tcPr>
          <w:p w14:paraId="6CED7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9000</w:t>
            </w:r>
          </w:p>
        </w:tc>
        <w:tc>
          <w:tcPr>
            <w:tcW w:w="1275" w:type="dxa"/>
          </w:tcPr>
          <w:p w14:paraId="6C9AC5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5D5BF290" w14:textId="77777777">
        <w:tc>
          <w:tcPr>
            <w:tcW w:w="1601" w:type="dxa"/>
          </w:tcPr>
          <w:p w14:paraId="4E7FC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Луар 43 С1 Испано</w:t>
            </w:r>
          </w:p>
        </w:tc>
        <w:tc>
          <w:tcPr>
            <w:tcW w:w="1601" w:type="dxa"/>
          </w:tcPr>
          <w:p w14:paraId="177225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110CAD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1680</w:t>
            </w:r>
          </w:p>
        </w:tc>
        <w:tc>
          <w:tcPr>
            <w:tcW w:w="1134" w:type="dxa"/>
          </w:tcPr>
          <w:p w14:paraId="2E60FF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c>
          <w:tcPr>
            <w:tcW w:w="1134" w:type="dxa"/>
          </w:tcPr>
          <w:p w14:paraId="5A2ED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-/11/6550</w:t>
            </w:r>
          </w:p>
        </w:tc>
        <w:tc>
          <w:tcPr>
            <w:tcW w:w="1276" w:type="dxa"/>
          </w:tcPr>
          <w:p w14:paraId="517143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10500</w:t>
            </w:r>
          </w:p>
        </w:tc>
        <w:tc>
          <w:tcPr>
            <w:tcW w:w="1275" w:type="dxa"/>
          </w:tcPr>
          <w:p w14:paraId="0148B5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r>
      <w:tr w:rsidR="00DA227A" w:rsidRPr="00E93F40" w14:paraId="67A6AF66" w14:textId="77777777">
        <w:tc>
          <w:tcPr>
            <w:tcW w:w="1601" w:type="dxa"/>
          </w:tcPr>
          <w:p w14:paraId="2B756F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w:t>
            </w:r>
          </w:p>
        </w:tc>
        <w:tc>
          <w:tcPr>
            <w:tcW w:w="1601" w:type="dxa"/>
          </w:tcPr>
          <w:p w14:paraId="533EC5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A209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EF9D4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159B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32F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26A00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53B7270" w14:textId="77777777">
        <w:tc>
          <w:tcPr>
            <w:tcW w:w="1601" w:type="dxa"/>
          </w:tcPr>
          <w:p w14:paraId="00A3BB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Боинг Р12С</w:t>
            </w:r>
          </w:p>
        </w:tc>
        <w:tc>
          <w:tcPr>
            <w:tcW w:w="1601" w:type="dxa"/>
          </w:tcPr>
          <w:p w14:paraId="24605A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w:t>
            </w:r>
          </w:p>
        </w:tc>
        <w:tc>
          <w:tcPr>
            <w:tcW w:w="1159" w:type="dxa"/>
          </w:tcPr>
          <w:p w14:paraId="1F6ADE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1180/320</w:t>
            </w:r>
          </w:p>
        </w:tc>
        <w:tc>
          <w:tcPr>
            <w:tcW w:w="1134" w:type="dxa"/>
          </w:tcPr>
          <w:p w14:paraId="61E18B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134" w:type="dxa"/>
          </w:tcPr>
          <w:p w14:paraId="24C41D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w:t>
            </w:r>
          </w:p>
        </w:tc>
        <w:tc>
          <w:tcPr>
            <w:tcW w:w="1276" w:type="dxa"/>
          </w:tcPr>
          <w:p w14:paraId="12B9E1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9600</w:t>
            </w:r>
          </w:p>
        </w:tc>
        <w:tc>
          <w:tcPr>
            <w:tcW w:w="1275" w:type="dxa"/>
          </w:tcPr>
          <w:p w14:paraId="7FFF6E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4797AEB2" w14:textId="77777777">
        <w:tc>
          <w:tcPr>
            <w:tcW w:w="1601" w:type="dxa"/>
          </w:tcPr>
          <w:p w14:paraId="54A1E0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Кертис-Хаук Райт</w:t>
            </w:r>
          </w:p>
        </w:tc>
        <w:tc>
          <w:tcPr>
            <w:tcW w:w="1601" w:type="dxa"/>
          </w:tcPr>
          <w:p w14:paraId="612D34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575</w:t>
            </w:r>
          </w:p>
        </w:tc>
        <w:tc>
          <w:tcPr>
            <w:tcW w:w="1159" w:type="dxa"/>
          </w:tcPr>
          <w:p w14:paraId="1E4DD6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1476/322</w:t>
            </w:r>
          </w:p>
        </w:tc>
        <w:tc>
          <w:tcPr>
            <w:tcW w:w="1134" w:type="dxa"/>
          </w:tcPr>
          <w:p w14:paraId="2B1DBB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1134" w:type="dxa"/>
          </w:tcPr>
          <w:p w14:paraId="2E9C2C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5/10</w:t>
            </w:r>
          </w:p>
        </w:tc>
        <w:tc>
          <w:tcPr>
            <w:tcW w:w="1276" w:type="dxa"/>
          </w:tcPr>
          <w:p w14:paraId="38750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8100</w:t>
            </w:r>
          </w:p>
        </w:tc>
        <w:tc>
          <w:tcPr>
            <w:tcW w:w="1275" w:type="dxa"/>
          </w:tcPr>
          <w:p w14:paraId="7C4D96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0325BF4D" w14:textId="77777777">
        <w:tc>
          <w:tcPr>
            <w:tcW w:w="1601" w:type="dxa"/>
          </w:tcPr>
          <w:p w14:paraId="2115BC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Раунден-Бернган Райт или Уосл</w:t>
            </w:r>
          </w:p>
        </w:tc>
        <w:tc>
          <w:tcPr>
            <w:tcW w:w="1601" w:type="dxa"/>
          </w:tcPr>
          <w:p w14:paraId="59E1F3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4C3623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1111/322</w:t>
            </w:r>
          </w:p>
        </w:tc>
        <w:tc>
          <w:tcPr>
            <w:tcW w:w="1134" w:type="dxa"/>
          </w:tcPr>
          <w:p w14:paraId="540071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w:t>
            </w:r>
          </w:p>
        </w:tc>
        <w:tc>
          <w:tcPr>
            <w:tcW w:w="1134" w:type="dxa"/>
          </w:tcPr>
          <w:p w14:paraId="3007BD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3FF2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ECD40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r>
      <w:tr w:rsidR="00DA227A" w:rsidRPr="00E93F40" w14:paraId="20681293" w14:textId="77777777">
        <w:tc>
          <w:tcPr>
            <w:tcW w:w="1601" w:type="dxa"/>
          </w:tcPr>
          <w:p w14:paraId="5A289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ПОЛЬША</w:t>
            </w:r>
          </w:p>
        </w:tc>
        <w:tc>
          <w:tcPr>
            <w:tcW w:w="1601" w:type="dxa"/>
          </w:tcPr>
          <w:p w14:paraId="6183C5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746C1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082C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44064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561F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B8C4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C8C3FAA" w14:textId="77777777">
        <w:tc>
          <w:tcPr>
            <w:tcW w:w="1601" w:type="dxa"/>
          </w:tcPr>
          <w:p w14:paraId="539D6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ПЗЛ-Р11</w:t>
            </w:r>
          </w:p>
        </w:tc>
        <w:tc>
          <w:tcPr>
            <w:tcW w:w="1601" w:type="dxa"/>
          </w:tcPr>
          <w:p w14:paraId="57CC2A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540</w:t>
            </w:r>
          </w:p>
        </w:tc>
        <w:tc>
          <w:tcPr>
            <w:tcW w:w="1159" w:type="dxa"/>
          </w:tcPr>
          <w:p w14:paraId="4E9479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1494/468</w:t>
            </w:r>
          </w:p>
        </w:tc>
        <w:tc>
          <w:tcPr>
            <w:tcW w:w="1134" w:type="dxa"/>
          </w:tcPr>
          <w:p w14:paraId="3110D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297</w:t>
            </w:r>
          </w:p>
        </w:tc>
        <w:tc>
          <w:tcPr>
            <w:tcW w:w="1134" w:type="dxa"/>
          </w:tcPr>
          <w:p w14:paraId="6EB90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w:t>
            </w:r>
          </w:p>
        </w:tc>
        <w:tc>
          <w:tcPr>
            <w:tcW w:w="1276" w:type="dxa"/>
          </w:tcPr>
          <w:p w14:paraId="4AA825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10100</w:t>
            </w:r>
          </w:p>
        </w:tc>
        <w:tc>
          <w:tcPr>
            <w:tcW w:w="1275" w:type="dxa"/>
          </w:tcPr>
          <w:p w14:paraId="2FBC0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64C2DA0B" w14:textId="77777777">
        <w:tc>
          <w:tcPr>
            <w:tcW w:w="1601" w:type="dxa"/>
          </w:tcPr>
          <w:p w14:paraId="0B7352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ПЗЛ-Р8</w:t>
            </w:r>
          </w:p>
        </w:tc>
        <w:tc>
          <w:tcPr>
            <w:tcW w:w="1601" w:type="dxa"/>
          </w:tcPr>
          <w:p w14:paraId="623B2C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132BE6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1450/450</w:t>
            </w:r>
          </w:p>
        </w:tc>
        <w:tc>
          <w:tcPr>
            <w:tcW w:w="1134" w:type="dxa"/>
          </w:tcPr>
          <w:p w14:paraId="1645A0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w:t>
            </w:r>
          </w:p>
        </w:tc>
        <w:tc>
          <w:tcPr>
            <w:tcW w:w="1134" w:type="dxa"/>
          </w:tcPr>
          <w:p w14:paraId="0837C3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w:t>
            </w:r>
          </w:p>
        </w:tc>
        <w:tc>
          <w:tcPr>
            <w:tcW w:w="1276" w:type="dxa"/>
          </w:tcPr>
          <w:p w14:paraId="5E4E21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1275" w:type="dxa"/>
          </w:tcPr>
          <w:p w14:paraId="7666E7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10FA090B" w14:textId="77777777">
        <w:tc>
          <w:tcPr>
            <w:tcW w:w="1601" w:type="dxa"/>
          </w:tcPr>
          <w:p w14:paraId="2233B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Многоместные истребители</w:t>
            </w:r>
          </w:p>
        </w:tc>
        <w:tc>
          <w:tcPr>
            <w:tcW w:w="1601" w:type="dxa"/>
          </w:tcPr>
          <w:p w14:paraId="34F228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48FAA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294F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70B7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CD57A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4BB50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B8EEBB8" w14:textId="77777777">
        <w:tc>
          <w:tcPr>
            <w:tcW w:w="1601" w:type="dxa"/>
          </w:tcPr>
          <w:p w14:paraId="63399F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tc>
        <w:tc>
          <w:tcPr>
            <w:tcW w:w="1601" w:type="dxa"/>
          </w:tcPr>
          <w:p w14:paraId="349858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538B9E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E395D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9C819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849E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6B8D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8A410F4" w14:textId="77777777">
        <w:tc>
          <w:tcPr>
            <w:tcW w:w="1601" w:type="dxa"/>
          </w:tcPr>
          <w:p w14:paraId="74F5B4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1601" w:type="dxa"/>
          </w:tcPr>
          <w:p w14:paraId="1129F1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1159" w:type="dxa"/>
          </w:tcPr>
          <w:p w14:paraId="1124E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5702/1802</w:t>
            </w:r>
          </w:p>
        </w:tc>
        <w:tc>
          <w:tcPr>
            <w:tcW w:w="1134" w:type="dxa"/>
          </w:tcPr>
          <w:p w14:paraId="50BE7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c>
          <w:tcPr>
            <w:tcW w:w="1134" w:type="dxa"/>
          </w:tcPr>
          <w:p w14:paraId="34E015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12,1/29,3</w:t>
            </w:r>
          </w:p>
        </w:tc>
        <w:tc>
          <w:tcPr>
            <w:tcW w:w="1276" w:type="dxa"/>
          </w:tcPr>
          <w:p w14:paraId="13993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5680</w:t>
            </w:r>
          </w:p>
        </w:tc>
        <w:tc>
          <w:tcPr>
            <w:tcW w:w="1275" w:type="dxa"/>
          </w:tcPr>
          <w:p w14:paraId="77DA9C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r>
      <w:tr w:rsidR="00DA227A" w:rsidRPr="00E93F40" w14:paraId="7331A1EB" w14:textId="77777777">
        <w:tc>
          <w:tcPr>
            <w:tcW w:w="1601" w:type="dxa"/>
          </w:tcPr>
          <w:p w14:paraId="692B23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1601" w:type="dxa"/>
          </w:tcPr>
          <w:p w14:paraId="36F9FA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EFFE0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945F9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C836C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8E4ED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17F7E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2E2F69" w14:textId="77777777">
        <w:tc>
          <w:tcPr>
            <w:tcW w:w="1601" w:type="dxa"/>
          </w:tcPr>
          <w:p w14:paraId="521DA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Бреге 41 2 Испано</w:t>
            </w:r>
          </w:p>
        </w:tc>
        <w:tc>
          <w:tcPr>
            <w:tcW w:w="1601" w:type="dxa"/>
          </w:tcPr>
          <w:p w14:paraId="57A288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w:t>
            </w:r>
          </w:p>
        </w:tc>
        <w:tc>
          <w:tcPr>
            <w:tcW w:w="1159" w:type="dxa"/>
          </w:tcPr>
          <w:p w14:paraId="11668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4660/1530</w:t>
            </w:r>
          </w:p>
        </w:tc>
        <w:tc>
          <w:tcPr>
            <w:tcW w:w="1134" w:type="dxa"/>
          </w:tcPr>
          <w:p w14:paraId="246FD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257</w:t>
            </w:r>
          </w:p>
        </w:tc>
        <w:tc>
          <w:tcPr>
            <w:tcW w:w="1134" w:type="dxa"/>
          </w:tcPr>
          <w:p w14:paraId="70DC7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550F66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1275" w:type="dxa"/>
          </w:tcPr>
          <w:p w14:paraId="4AEACF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D00E927" w14:textId="77777777">
        <w:tc>
          <w:tcPr>
            <w:tcW w:w="1601" w:type="dxa"/>
          </w:tcPr>
          <w:p w14:paraId="5FDDA9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Амио 140 2 Лорей</w:t>
            </w:r>
          </w:p>
        </w:tc>
        <w:tc>
          <w:tcPr>
            <w:tcW w:w="1601" w:type="dxa"/>
          </w:tcPr>
          <w:p w14:paraId="55CB1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1400</w:t>
            </w:r>
          </w:p>
        </w:tc>
        <w:tc>
          <w:tcPr>
            <w:tcW w:w="1159" w:type="dxa"/>
          </w:tcPr>
          <w:p w14:paraId="6BF13D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5690/1490</w:t>
            </w:r>
          </w:p>
        </w:tc>
        <w:tc>
          <w:tcPr>
            <w:tcW w:w="1134" w:type="dxa"/>
          </w:tcPr>
          <w:p w14:paraId="20CE2A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242</w:t>
            </w:r>
          </w:p>
        </w:tc>
        <w:tc>
          <w:tcPr>
            <w:tcW w:w="1134" w:type="dxa"/>
          </w:tcPr>
          <w:p w14:paraId="2052C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w:t>
            </w:r>
          </w:p>
        </w:tc>
        <w:tc>
          <w:tcPr>
            <w:tcW w:w="1276" w:type="dxa"/>
          </w:tcPr>
          <w:p w14:paraId="21BD9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8000</w:t>
            </w:r>
          </w:p>
        </w:tc>
        <w:tc>
          <w:tcPr>
            <w:tcW w:w="1275" w:type="dxa"/>
          </w:tcPr>
          <w:p w14:paraId="01AA4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080C426" w14:textId="77777777">
        <w:tc>
          <w:tcPr>
            <w:tcW w:w="1601" w:type="dxa"/>
          </w:tcPr>
          <w:p w14:paraId="26FD70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Разведчики</w:t>
            </w:r>
          </w:p>
        </w:tc>
        <w:tc>
          <w:tcPr>
            <w:tcW w:w="1601" w:type="dxa"/>
          </w:tcPr>
          <w:p w14:paraId="63D119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67BA86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9BC2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3CBE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5A3C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ACB9E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529195C" w14:textId="77777777">
        <w:tc>
          <w:tcPr>
            <w:tcW w:w="1601" w:type="dxa"/>
          </w:tcPr>
          <w:p w14:paraId="06F1B3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tc>
        <w:tc>
          <w:tcPr>
            <w:tcW w:w="1601" w:type="dxa"/>
          </w:tcPr>
          <w:p w14:paraId="018043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30ACD4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1532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24E9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107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DF904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5F70FE6" w14:textId="77777777">
        <w:tc>
          <w:tcPr>
            <w:tcW w:w="1601" w:type="dxa"/>
          </w:tcPr>
          <w:p w14:paraId="34BEB3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1601" w:type="dxa"/>
          </w:tcPr>
          <w:p w14:paraId="12F4D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56B8CD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2955/787</w:t>
            </w:r>
          </w:p>
        </w:tc>
        <w:tc>
          <w:tcPr>
            <w:tcW w:w="1134" w:type="dxa"/>
          </w:tcPr>
          <w:p w14:paraId="0AB3CF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218</w:t>
            </w:r>
          </w:p>
        </w:tc>
        <w:tc>
          <w:tcPr>
            <w:tcW w:w="1134" w:type="dxa"/>
          </w:tcPr>
          <w:p w14:paraId="2F350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16,3/41</w:t>
            </w:r>
          </w:p>
        </w:tc>
        <w:tc>
          <w:tcPr>
            <w:tcW w:w="1276" w:type="dxa"/>
          </w:tcPr>
          <w:p w14:paraId="1FD0C2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5250</w:t>
            </w:r>
          </w:p>
        </w:tc>
        <w:tc>
          <w:tcPr>
            <w:tcW w:w="1275" w:type="dxa"/>
          </w:tcPr>
          <w:p w14:paraId="26B3A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87FC435" w14:textId="77777777">
        <w:tc>
          <w:tcPr>
            <w:tcW w:w="1601" w:type="dxa"/>
          </w:tcPr>
          <w:p w14:paraId="0229D5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Р6-2М17</w:t>
            </w:r>
          </w:p>
        </w:tc>
        <w:tc>
          <w:tcPr>
            <w:tcW w:w="1601" w:type="dxa"/>
          </w:tcPr>
          <w:p w14:paraId="19F82A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1159" w:type="dxa"/>
          </w:tcPr>
          <w:p w14:paraId="6082DD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6472/2572</w:t>
            </w:r>
          </w:p>
        </w:tc>
        <w:tc>
          <w:tcPr>
            <w:tcW w:w="1134" w:type="dxa"/>
          </w:tcPr>
          <w:p w14:paraId="17886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231</w:t>
            </w:r>
          </w:p>
        </w:tc>
        <w:tc>
          <w:tcPr>
            <w:tcW w:w="1134" w:type="dxa"/>
          </w:tcPr>
          <w:p w14:paraId="682716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w:t>
            </w:r>
          </w:p>
        </w:tc>
        <w:tc>
          <w:tcPr>
            <w:tcW w:w="1276" w:type="dxa"/>
          </w:tcPr>
          <w:p w14:paraId="3E9E4E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4900</w:t>
            </w:r>
          </w:p>
        </w:tc>
        <w:tc>
          <w:tcPr>
            <w:tcW w:w="1275" w:type="dxa"/>
          </w:tcPr>
          <w:p w14:paraId="5A2FD8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r>
      <w:tr w:rsidR="00DA227A" w:rsidRPr="00E93F40" w14:paraId="2C167776" w14:textId="77777777">
        <w:tc>
          <w:tcPr>
            <w:tcW w:w="1601" w:type="dxa"/>
          </w:tcPr>
          <w:p w14:paraId="58971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tc>
        <w:tc>
          <w:tcPr>
            <w:tcW w:w="1601" w:type="dxa"/>
          </w:tcPr>
          <w:p w14:paraId="376E2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74D4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A783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5BC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7A5C9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E206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2EA99C3" w14:textId="77777777">
        <w:tc>
          <w:tcPr>
            <w:tcW w:w="1601" w:type="dxa"/>
          </w:tcPr>
          <w:p w14:paraId="74F1C1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Виккерс Виллебей Испано</w:t>
            </w:r>
          </w:p>
        </w:tc>
        <w:tc>
          <w:tcPr>
            <w:tcW w:w="1601" w:type="dxa"/>
          </w:tcPr>
          <w:p w14:paraId="799A6C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w:t>
            </w:r>
          </w:p>
        </w:tc>
        <w:tc>
          <w:tcPr>
            <w:tcW w:w="1159" w:type="dxa"/>
          </w:tcPr>
          <w:p w14:paraId="3434D8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4140/1820</w:t>
            </w:r>
          </w:p>
        </w:tc>
        <w:tc>
          <w:tcPr>
            <w:tcW w:w="1134" w:type="dxa"/>
          </w:tcPr>
          <w:p w14:paraId="6A5840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w:t>
            </w:r>
          </w:p>
        </w:tc>
        <w:tc>
          <w:tcPr>
            <w:tcW w:w="1134" w:type="dxa"/>
          </w:tcPr>
          <w:p w14:paraId="56A3CC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w:t>
            </w:r>
          </w:p>
        </w:tc>
        <w:tc>
          <w:tcPr>
            <w:tcW w:w="1276" w:type="dxa"/>
          </w:tcPr>
          <w:p w14:paraId="64EA35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3250</w:t>
            </w:r>
          </w:p>
        </w:tc>
        <w:tc>
          <w:tcPr>
            <w:tcW w:w="1275" w:type="dxa"/>
          </w:tcPr>
          <w:p w14:paraId="080E9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9B6FCCF" w14:textId="77777777">
        <w:tc>
          <w:tcPr>
            <w:tcW w:w="1601" w:type="dxa"/>
          </w:tcPr>
          <w:p w14:paraId="6D198C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Хаукер Харт Кестрель</w:t>
            </w:r>
          </w:p>
        </w:tc>
        <w:tc>
          <w:tcPr>
            <w:tcW w:w="1601" w:type="dxa"/>
          </w:tcPr>
          <w:p w14:paraId="08239F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c>
          <w:tcPr>
            <w:tcW w:w="1159" w:type="dxa"/>
          </w:tcPr>
          <w:p w14:paraId="59A4DC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1960/</w:t>
            </w:r>
          </w:p>
        </w:tc>
        <w:tc>
          <w:tcPr>
            <w:tcW w:w="1134" w:type="dxa"/>
          </w:tcPr>
          <w:p w14:paraId="24B357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296</w:t>
            </w:r>
          </w:p>
        </w:tc>
        <w:tc>
          <w:tcPr>
            <w:tcW w:w="1134" w:type="dxa"/>
          </w:tcPr>
          <w:p w14:paraId="0F2EDF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w:t>
            </w:r>
          </w:p>
        </w:tc>
        <w:tc>
          <w:tcPr>
            <w:tcW w:w="1276" w:type="dxa"/>
          </w:tcPr>
          <w:p w14:paraId="14365E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5" w:type="dxa"/>
          </w:tcPr>
          <w:p w14:paraId="04D926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C5B16C" w14:textId="77777777">
        <w:tc>
          <w:tcPr>
            <w:tcW w:w="1601" w:type="dxa"/>
          </w:tcPr>
          <w:p w14:paraId="1C0D59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Хаукер Аудекс Испано</w:t>
            </w:r>
          </w:p>
        </w:tc>
        <w:tc>
          <w:tcPr>
            <w:tcW w:w="1601" w:type="dxa"/>
          </w:tcPr>
          <w:p w14:paraId="47240F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4D6387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1990</w:t>
            </w:r>
          </w:p>
        </w:tc>
        <w:tc>
          <w:tcPr>
            <w:tcW w:w="1134" w:type="dxa"/>
          </w:tcPr>
          <w:p w14:paraId="7E5B9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282</w:t>
            </w:r>
          </w:p>
        </w:tc>
        <w:tc>
          <w:tcPr>
            <w:tcW w:w="1134" w:type="dxa"/>
          </w:tcPr>
          <w:p w14:paraId="1A117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2C1D3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5" w:type="dxa"/>
          </w:tcPr>
          <w:p w14:paraId="7704D7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E6DEE1" w14:textId="77777777">
        <w:tc>
          <w:tcPr>
            <w:tcW w:w="1601" w:type="dxa"/>
          </w:tcPr>
          <w:p w14:paraId="2E3432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1601" w:type="dxa"/>
          </w:tcPr>
          <w:p w14:paraId="237326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39E9D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70460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FC68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73225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9D59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45E59C4" w14:textId="77777777">
        <w:tc>
          <w:tcPr>
            <w:tcW w:w="1601" w:type="dxa"/>
          </w:tcPr>
          <w:p w14:paraId="31010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Бреге-27 Испано</w:t>
            </w:r>
          </w:p>
        </w:tc>
        <w:tc>
          <w:tcPr>
            <w:tcW w:w="1601" w:type="dxa"/>
          </w:tcPr>
          <w:p w14:paraId="10B93F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2DCFBE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2393/537</w:t>
            </w:r>
          </w:p>
        </w:tc>
        <w:tc>
          <w:tcPr>
            <w:tcW w:w="1134" w:type="dxa"/>
          </w:tcPr>
          <w:p w14:paraId="15D304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c>
          <w:tcPr>
            <w:tcW w:w="1134" w:type="dxa"/>
          </w:tcPr>
          <w:p w14:paraId="5B6C4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w:t>
            </w:r>
          </w:p>
        </w:tc>
        <w:tc>
          <w:tcPr>
            <w:tcW w:w="1276" w:type="dxa"/>
          </w:tcPr>
          <w:p w14:paraId="64C90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5" w:type="dxa"/>
          </w:tcPr>
          <w:p w14:paraId="0E8B6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E41694D" w14:textId="77777777">
        <w:tc>
          <w:tcPr>
            <w:tcW w:w="1601" w:type="dxa"/>
          </w:tcPr>
          <w:p w14:paraId="02A674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Вейман 80 Испано</w:t>
            </w:r>
          </w:p>
        </w:tc>
        <w:tc>
          <w:tcPr>
            <w:tcW w:w="1601" w:type="dxa"/>
          </w:tcPr>
          <w:p w14:paraId="46DE3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1159" w:type="dxa"/>
          </w:tcPr>
          <w:p w14:paraId="56423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2250/800</w:t>
            </w:r>
          </w:p>
        </w:tc>
        <w:tc>
          <w:tcPr>
            <w:tcW w:w="1134" w:type="dxa"/>
          </w:tcPr>
          <w:p w14:paraId="454E6C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w:t>
            </w:r>
          </w:p>
        </w:tc>
        <w:tc>
          <w:tcPr>
            <w:tcW w:w="1134" w:type="dxa"/>
          </w:tcPr>
          <w:p w14:paraId="6CAC7E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w:t>
            </w:r>
          </w:p>
        </w:tc>
        <w:tc>
          <w:tcPr>
            <w:tcW w:w="1276" w:type="dxa"/>
          </w:tcPr>
          <w:p w14:paraId="3090B5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8500</w:t>
            </w:r>
          </w:p>
        </w:tc>
        <w:tc>
          <w:tcPr>
            <w:tcW w:w="1275" w:type="dxa"/>
          </w:tcPr>
          <w:p w14:paraId="3A7ED1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3B3F38C" w14:textId="77777777">
        <w:tc>
          <w:tcPr>
            <w:tcW w:w="1601" w:type="dxa"/>
          </w:tcPr>
          <w:p w14:paraId="1E716B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Ньюпор Деляж 580 Испано</w:t>
            </w:r>
          </w:p>
        </w:tc>
        <w:tc>
          <w:tcPr>
            <w:tcW w:w="1601" w:type="dxa"/>
          </w:tcPr>
          <w:p w14:paraId="003397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w:t>
            </w:r>
          </w:p>
        </w:tc>
        <w:tc>
          <w:tcPr>
            <w:tcW w:w="1159" w:type="dxa"/>
          </w:tcPr>
          <w:p w14:paraId="565863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2280/900</w:t>
            </w:r>
          </w:p>
        </w:tc>
        <w:tc>
          <w:tcPr>
            <w:tcW w:w="1134" w:type="dxa"/>
          </w:tcPr>
          <w:p w14:paraId="17DC98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258</w:t>
            </w:r>
          </w:p>
        </w:tc>
        <w:tc>
          <w:tcPr>
            <w:tcW w:w="1134" w:type="dxa"/>
          </w:tcPr>
          <w:p w14:paraId="04C6F6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w:t>
            </w:r>
          </w:p>
        </w:tc>
        <w:tc>
          <w:tcPr>
            <w:tcW w:w="1276" w:type="dxa"/>
          </w:tcPr>
          <w:p w14:paraId="5FE1D1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7200</w:t>
            </w:r>
          </w:p>
        </w:tc>
        <w:tc>
          <w:tcPr>
            <w:tcW w:w="1275" w:type="dxa"/>
          </w:tcPr>
          <w:p w14:paraId="752B93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DB3D789" w14:textId="77777777">
        <w:tc>
          <w:tcPr>
            <w:tcW w:w="1601" w:type="dxa"/>
          </w:tcPr>
          <w:p w14:paraId="4992F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США</w:t>
            </w:r>
          </w:p>
        </w:tc>
        <w:tc>
          <w:tcPr>
            <w:tcW w:w="1601" w:type="dxa"/>
          </w:tcPr>
          <w:p w14:paraId="25DAB5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5281AB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39936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7C43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D083D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030DD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BD43718" w14:textId="77777777">
        <w:tc>
          <w:tcPr>
            <w:tcW w:w="1601" w:type="dxa"/>
          </w:tcPr>
          <w:p w14:paraId="67607F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- 50 А-2 Мистраль</w:t>
            </w:r>
          </w:p>
        </w:tc>
        <w:tc>
          <w:tcPr>
            <w:tcW w:w="1601" w:type="dxa"/>
          </w:tcPr>
          <w:p w14:paraId="7C0399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1159" w:type="dxa"/>
          </w:tcPr>
          <w:p w14:paraId="3126DD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2280/820</w:t>
            </w:r>
          </w:p>
        </w:tc>
        <w:tc>
          <w:tcPr>
            <w:tcW w:w="1134" w:type="dxa"/>
          </w:tcPr>
          <w:p w14:paraId="3B0522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w:t>
            </w:r>
          </w:p>
        </w:tc>
        <w:tc>
          <w:tcPr>
            <w:tcW w:w="1134" w:type="dxa"/>
          </w:tcPr>
          <w:p w14:paraId="4F01AE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-/9,8</w:t>
            </w:r>
          </w:p>
        </w:tc>
        <w:tc>
          <w:tcPr>
            <w:tcW w:w="1276" w:type="dxa"/>
          </w:tcPr>
          <w:p w14:paraId="0E8E60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9500</w:t>
            </w:r>
          </w:p>
        </w:tc>
        <w:tc>
          <w:tcPr>
            <w:tcW w:w="1275" w:type="dxa"/>
          </w:tcPr>
          <w:p w14:paraId="072259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9B42827" w14:textId="77777777">
        <w:tc>
          <w:tcPr>
            <w:tcW w:w="1601" w:type="dxa"/>
          </w:tcPr>
          <w:p w14:paraId="27527E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Кертис А3 Кертис 40</w:t>
            </w:r>
          </w:p>
        </w:tc>
        <w:tc>
          <w:tcPr>
            <w:tcW w:w="1601" w:type="dxa"/>
          </w:tcPr>
          <w:p w14:paraId="22D9DA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1159" w:type="dxa"/>
          </w:tcPr>
          <w:p w14:paraId="1AA9B1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2000/750</w:t>
            </w:r>
          </w:p>
        </w:tc>
        <w:tc>
          <w:tcPr>
            <w:tcW w:w="1134" w:type="dxa"/>
          </w:tcPr>
          <w:p w14:paraId="7B1A76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285</w:t>
            </w:r>
          </w:p>
        </w:tc>
        <w:tc>
          <w:tcPr>
            <w:tcW w:w="1134" w:type="dxa"/>
          </w:tcPr>
          <w:p w14:paraId="41369F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6/15</w:t>
            </w:r>
          </w:p>
        </w:tc>
        <w:tc>
          <w:tcPr>
            <w:tcW w:w="1276" w:type="dxa"/>
          </w:tcPr>
          <w:p w14:paraId="6798C5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6750</w:t>
            </w:r>
          </w:p>
        </w:tc>
        <w:tc>
          <w:tcPr>
            <w:tcW w:w="1275" w:type="dxa"/>
          </w:tcPr>
          <w:p w14:paraId="6AEE0E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459E142" w14:textId="77777777">
        <w:tc>
          <w:tcPr>
            <w:tcW w:w="1601" w:type="dxa"/>
          </w:tcPr>
          <w:p w14:paraId="1F754F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Дуглас С25 Кертис 600</w:t>
            </w:r>
          </w:p>
        </w:tc>
        <w:tc>
          <w:tcPr>
            <w:tcW w:w="1601" w:type="dxa"/>
          </w:tcPr>
          <w:p w14:paraId="7269CB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59" w:type="dxa"/>
          </w:tcPr>
          <w:p w14:paraId="5FC137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2181/637</w:t>
            </w:r>
          </w:p>
        </w:tc>
        <w:tc>
          <w:tcPr>
            <w:tcW w:w="1134" w:type="dxa"/>
          </w:tcPr>
          <w:p w14:paraId="127F4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251</w:t>
            </w:r>
          </w:p>
        </w:tc>
        <w:tc>
          <w:tcPr>
            <w:tcW w:w="1134" w:type="dxa"/>
          </w:tcPr>
          <w:p w14:paraId="37CF96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31C43E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6765</w:t>
            </w:r>
          </w:p>
        </w:tc>
        <w:tc>
          <w:tcPr>
            <w:tcW w:w="1275" w:type="dxa"/>
          </w:tcPr>
          <w:p w14:paraId="50994E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075DDC8E" w14:textId="77777777">
        <w:tc>
          <w:tcPr>
            <w:tcW w:w="1601" w:type="dxa"/>
            <w:tcBorders>
              <w:bottom w:val="single" w:sz="12" w:space="0" w:color="auto"/>
            </w:tcBorders>
          </w:tcPr>
          <w:p w14:paraId="272355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Ваут У-55 Хорн</w:t>
            </w:r>
          </w:p>
        </w:tc>
        <w:tc>
          <w:tcPr>
            <w:tcW w:w="1601" w:type="dxa"/>
            <w:tcBorders>
              <w:bottom w:val="single" w:sz="12" w:space="0" w:color="auto"/>
            </w:tcBorders>
          </w:tcPr>
          <w:p w14:paraId="1196D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w:t>
            </w:r>
          </w:p>
        </w:tc>
        <w:tc>
          <w:tcPr>
            <w:tcW w:w="1159" w:type="dxa"/>
            <w:tcBorders>
              <w:bottom w:val="single" w:sz="12" w:space="0" w:color="auto"/>
            </w:tcBorders>
          </w:tcPr>
          <w:p w14:paraId="6297B4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1845/665</w:t>
            </w:r>
          </w:p>
        </w:tc>
        <w:tc>
          <w:tcPr>
            <w:tcW w:w="1134" w:type="dxa"/>
            <w:tcBorders>
              <w:bottom w:val="single" w:sz="12" w:space="0" w:color="auto"/>
            </w:tcBorders>
          </w:tcPr>
          <w:p w14:paraId="70ED34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272</w:t>
            </w:r>
          </w:p>
        </w:tc>
        <w:tc>
          <w:tcPr>
            <w:tcW w:w="1134" w:type="dxa"/>
            <w:tcBorders>
              <w:bottom w:val="single" w:sz="12" w:space="0" w:color="auto"/>
            </w:tcBorders>
          </w:tcPr>
          <w:p w14:paraId="57138B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Borders>
              <w:bottom w:val="single" w:sz="12" w:space="0" w:color="auto"/>
            </w:tcBorders>
          </w:tcPr>
          <w:p w14:paraId="23EC40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5" w:type="dxa"/>
            <w:tcBorders>
              <w:bottom w:val="single" w:sz="12" w:space="0" w:color="auto"/>
            </w:tcBorders>
          </w:tcPr>
          <w:p w14:paraId="39658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bl>
    <w:p w14:paraId="36E2D8C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Тяжелые 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159"/>
        <w:gridCol w:w="1134"/>
        <w:gridCol w:w="1134"/>
        <w:gridCol w:w="1276"/>
        <w:gridCol w:w="1275"/>
      </w:tblGrid>
      <w:tr w:rsidR="00DA227A" w:rsidRPr="00E93F40" w14:paraId="7CF42219" w14:textId="77777777">
        <w:tc>
          <w:tcPr>
            <w:tcW w:w="1601" w:type="dxa"/>
            <w:tcBorders>
              <w:top w:val="single" w:sz="12" w:space="0" w:color="auto"/>
            </w:tcBorders>
          </w:tcPr>
          <w:p w14:paraId="37A21B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w:t>
            </w:r>
          </w:p>
        </w:tc>
        <w:tc>
          <w:tcPr>
            <w:tcW w:w="1601" w:type="dxa"/>
            <w:tcBorders>
              <w:top w:val="single" w:sz="12" w:space="0" w:color="auto"/>
            </w:tcBorders>
          </w:tcPr>
          <w:p w14:paraId="60F9C7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мотора</w:t>
            </w:r>
          </w:p>
        </w:tc>
        <w:tc>
          <w:tcPr>
            <w:tcW w:w="1159" w:type="dxa"/>
            <w:tcBorders>
              <w:top w:val="single" w:sz="12" w:space="0" w:color="auto"/>
            </w:tcBorders>
          </w:tcPr>
          <w:p w14:paraId="696068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Полетный вес/нагрузка</w:t>
            </w:r>
          </w:p>
        </w:tc>
        <w:tc>
          <w:tcPr>
            <w:tcW w:w="1134" w:type="dxa"/>
            <w:tcBorders>
              <w:top w:val="single" w:sz="12" w:space="0" w:color="auto"/>
            </w:tcBorders>
          </w:tcPr>
          <w:p w14:paraId="3289B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у земли</w:t>
            </w:r>
          </w:p>
        </w:tc>
        <w:tc>
          <w:tcPr>
            <w:tcW w:w="1134" w:type="dxa"/>
            <w:tcBorders>
              <w:top w:val="single" w:sz="12" w:space="0" w:color="auto"/>
            </w:tcBorders>
          </w:tcPr>
          <w:p w14:paraId="67AFB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на 3000/5000</w:t>
            </w:r>
          </w:p>
        </w:tc>
        <w:tc>
          <w:tcPr>
            <w:tcW w:w="1276" w:type="dxa"/>
            <w:tcBorders>
              <w:top w:val="single" w:sz="12" w:space="0" w:color="auto"/>
            </w:tcBorders>
          </w:tcPr>
          <w:p w14:paraId="5A8D3B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w:t>
            </w:r>
          </w:p>
        </w:tc>
        <w:tc>
          <w:tcPr>
            <w:tcW w:w="1275" w:type="dxa"/>
            <w:tcBorders>
              <w:top w:val="single" w:sz="12" w:space="0" w:color="auto"/>
            </w:tcBorders>
          </w:tcPr>
          <w:p w14:paraId="77290D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 выпуска</w:t>
            </w:r>
          </w:p>
        </w:tc>
      </w:tr>
      <w:tr w:rsidR="00DA227A" w:rsidRPr="00E93F40" w14:paraId="19A8202B" w14:textId="77777777">
        <w:tc>
          <w:tcPr>
            <w:tcW w:w="1601" w:type="dxa"/>
          </w:tcPr>
          <w:p w14:paraId="3CCD18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1601" w:type="dxa"/>
          </w:tcPr>
          <w:p w14:paraId="2338D8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1159" w:type="dxa"/>
          </w:tcPr>
          <w:p w14:paraId="56CED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17200/6250</w:t>
            </w:r>
          </w:p>
        </w:tc>
        <w:tc>
          <w:tcPr>
            <w:tcW w:w="1134" w:type="dxa"/>
          </w:tcPr>
          <w:p w14:paraId="58FEAA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c>
          <w:tcPr>
            <w:tcW w:w="1134" w:type="dxa"/>
          </w:tcPr>
          <w:p w14:paraId="3CD7E7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47,1 на 3000</w:t>
            </w:r>
          </w:p>
        </w:tc>
        <w:tc>
          <w:tcPr>
            <w:tcW w:w="1276" w:type="dxa"/>
          </w:tcPr>
          <w:p w14:paraId="41DAB9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3700</w:t>
            </w:r>
          </w:p>
        </w:tc>
        <w:tc>
          <w:tcPr>
            <w:tcW w:w="1275" w:type="dxa"/>
          </w:tcPr>
          <w:p w14:paraId="7F1312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1930-1</w:t>
            </w:r>
          </w:p>
        </w:tc>
      </w:tr>
      <w:tr w:rsidR="00DA227A" w:rsidRPr="00E93F40" w14:paraId="5C3F880E" w14:textId="77777777">
        <w:tc>
          <w:tcPr>
            <w:tcW w:w="1601" w:type="dxa"/>
          </w:tcPr>
          <w:p w14:paraId="61E6C1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AB67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2000</w:t>
            </w:r>
          </w:p>
        </w:tc>
        <w:tc>
          <w:tcPr>
            <w:tcW w:w="1159" w:type="dxa"/>
          </w:tcPr>
          <w:p w14:paraId="06A263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19200/6250</w:t>
            </w:r>
          </w:p>
        </w:tc>
        <w:tc>
          <w:tcPr>
            <w:tcW w:w="1134" w:type="dxa"/>
          </w:tcPr>
          <w:p w14:paraId="1EC074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47D1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51 на 2000</w:t>
            </w:r>
          </w:p>
        </w:tc>
        <w:tc>
          <w:tcPr>
            <w:tcW w:w="1276" w:type="dxa"/>
          </w:tcPr>
          <w:p w14:paraId="563C3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c>
          <w:tcPr>
            <w:tcW w:w="1275" w:type="dxa"/>
          </w:tcPr>
          <w:p w14:paraId="5F6261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EED6F14" w14:textId="77777777">
        <w:tc>
          <w:tcPr>
            <w:tcW w:w="1601" w:type="dxa"/>
          </w:tcPr>
          <w:p w14:paraId="0C536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1601" w:type="dxa"/>
          </w:tcPr>
          <w:p w14:paraId="75AB9E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1000</w:t>
            </w:r>
          </w:p>
        </w:tc>
        <w:tc>
          <w:tcPr>
            <w:tcW w:w="1159" w:type="dxa"/>
          </w:tcPr>
          <w:p w14:paraId="53DBEF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75100/3000</w:t>
            </w:r>
          </w:p>
        </w:tc>
        <w:tc>
          <w:tcPr>
            <w:tcW w:w="1134" w:type="dxa"/>
          </w:tcPr>
          <w:p w14:paraId="3789A9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w:t>
            </w:r>
          </w:p>
        </w:tc>
        <w:tc>
          <w:tcPr>
            <w:tcW w:w="1134" w:type="dxa"/>
          </w:tcPr>
          <w:p w14:paraId="3735FD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c>
          <w:tcPr>
            <w:tcW w:w="1276" w:type="dxa"/>
          </w:tcPr>
          <w:p w14:paraId="2D58C8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4800</w:t>
            </w:r>
          </w:p>
        </w:tc>
        <w:tc>
          <w:tcPr>
            <w:tcW w:w="1275" w:type="dxa"/>
          </w:tcPr>
          <w:p w14:paraId="420CC4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w:t>
            </w:r>
          </w:p>
        </w:tc>
      </w:tr>
      <w:tr w:rsidR="00DA227A" w:rsidRPr="00E93F40" w14:paraId="0A071273" w14:textId="77777777">
        <w:tc>
          <w:tcPr>
            <w:tcW w:w="1601" w:type="dxa"/>
          </w:tcPr>
          <w:p w14:paraId="75CB3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Р5-М17</w:t>
            </w:r>
          </w:p>
        </w:tc>
        <w:tc>
          <w:tcPr>
            <w:tcW w:w="1601" w:type="dxa"/>
          </w:tcPr>
          <w:p w14:paraId="11225A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6DEB60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3247/1279</w:t>
            </w:r>
          </w:p>
        </w:tc>
        <w:tc>
          <w:tcPr>
            <w:tcW w:w="1134" w:type="dxa"/>
          </w:tcPr>
          <w:p w14:paraId="79DB0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w:t>
            </w:r>
          </w:p>
        </w:tc>
        <w:tc>
          <w:tcPr>
            <w:tcW w:w="1134" w:type="dxa"/>
          </w:tcPr>
          <w:p w14:paraId="625DA6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c>
          <w:tcPr>
            <w:tcW w:w="1276" w:type="dxa"/>
          </w:tcPr>
          <w:p w14:paraId="3DD6D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1275" w:type="dxa"/>
          </w:tcPr>
          <w:p w14:paraId="7736BD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p>
        </w:tc>
      </w:tr>
      <w:tr w:rsidR="00DA227A" w:rsidRPr="00E93F40" w14:paraId="33EAC5FD" w14:textId="77777777">
        <w:tc>
          <w:tcPr>
            <w:tcW w:w="1601" w:type="dxa"/>
          </w:tcPr>
          <w:p w14:paraId="4C5B83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ТБ3-4М34</w:t>
            </w:r>
          </w:p>
        </w:tc>
        <w:tc>
          <w:tcPr>
            <w:tcW w:w="1601" w:type="dxa"/>
          </w:tcPr>
          <w:p w14:paraId="6DC8B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1159" w:type="dxa"/>
          </w:tcPr>
          <w:p w14:paraId="47862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18000/6500</w:t>
            </w:r>
          </w:p>
        </w:tc>
        <w:tc>
          <w:tcPr>
            <w:tcW w:w="1134" w:type="dxa"/>
          </w:tcPr>
          <w:p w14:paraId="01365D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229</w:t>
            </w:r>
          </w:p>
        </w:tc>
        <w:tc>
          <w:tcPr>
            <w:tcW w:w="1134" w:type="dxa"/>
          </w:tcPr>
          <w:p w14:paraId="1D9F0F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w:t>
            </w:r>
          </w:p>
        </w:tc>
        <w:tc>
          <w:tcPr>
            <w:tcW w:w="1276" w:type="dxa"/>
          </w:tcPr>
          <w:p w14:paraId="7A1261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4100</w:t>
            </w:r>
          </w:p>
        </w:tc>
        <w:tc>
          <w:tcPr>
            <w:tcW w:w="1275" w:type="dxa"/>
          </w:tcPr>
          <w:p w14:paraId="2E349F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r>
      <w:tr w:rsidR="00DA227A" w:rsidRPr="00E93F40" w14:paraId="0DF886DF" w14:textId="77777777">
        <w:tc>
          <w:tcPr>
            <w:tcW w:w="1601" w:type="dxa"/>
          </w:tcPr>
          <w:p w14:paraId="50BA58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tc>
        <w:tc>
          <w:tcPr>
            <w:tcW w:w="1601" w:type="dxa"/>
          </w:tcPr>
          <w:p w14:paraId="17D935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02E048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1499C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1449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5FC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6E5E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E31259" w14:textId="77777777">
        <w:tc>
          <w:tcPr>
            <w:tcW w:w="1601" w:type="dxa"/>
          </w:tcPr>
          <w:p w14:paraId="125AC0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Хейндли-Пейдж Ганнибал</w:t>
            </w:r>
          </w:p>
        </w:tc>
        <w:tc>
          <w:tcPr>
            <w:tcW w:w="1601" w:type="dxa"/>
          </w:tcPr>
          <w:p w14:paraId="3E895E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2160</w:t>
            </w:r>
          </w:p>
        </w:tc>
        <w:tc>
          <w:tcPr>
            <w:tcW w:w="1159" w:type="dxa"/>
          </w:tcPr>
          <w:p w14:paraId="36F824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13000/</w:t>
            </w:r>
          </w:p>
        </w:tc>
        <w:tc>
          <w:tcPr>
            <w:tcW w:w="1134" w:type="dxa"/>
          </w:tcPr>
          <w:p w14:paraId="688C30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w:t>
            </w:r>
          </w:p>
        </w:tc>
        <w:tc>
          <w:tcPr>
            <w:tcW w:w="1134" w:type="dxa"/>
          </w:tcPr>
          <w:p w14:paraId="6530BB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w:t>
            </w:r>
          </w:p>
        </w:tc>
        <w:tc>
          <w:tcPr>
            <w:tcW w:w="1276" w:type="dxa"/>
          </w:tcPr>
          <w:p w14:paraId="19A3F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3800</w:t>
            </w:r>
          </w:p>
        </w:tc>
        <w:tc>
          <w:tcPr>
            <w:tcW w:w="1275" w:type="dxa"/>
          </w:tcPr>
          <w:p w14:paraId="4167B6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152124CA" w14:textId="77777777">
        <w:tc>
          <w:tcPr>
            <w:tcW w:w="1601" w:type="dxa"/>
          </w:tcPr>
          <w:p w14:paraId="1C43B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Виккерс 163</w:t>
            </w:r>
          </w:p>
        </w:tc>
        <w:tc>
          <w:tcPr>
            <w:tcW w:w="1601" w:type="dxa"/>
          </w:tcPr>
          <w:p w14:paraId="6D529B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4х480</w:t>
            </w:r>
          </w:p>
        </w:tc>
        <w:tc>
          <w:tcPr>
            <w:tcW w:w="1159" w:type="dxa"/>
          </w:tcPr>
          <w:p w14:paraId="151B73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11640/</w:t>
            </w:r>
          </w:p>
        </w:tc>
        <w:tc>
          <w:tcPr>
            <w:tcW w:w="1134" w:type="dxa"/>
          </w:tcPr>
          <w:p w14:paraId="591B2F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2E98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E268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FCE3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7E36D1EB" w14:textId="77777777">
        <w:tc>
          <w:tcPr>
            <w:tcW w:w="1601" w:type="dxa"/>
          </w:tcPr>
          <w:p w14:paraId="338D23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1601" w:type="dxa"/>
          </w:tcPr>
          <w:p w14:paraId="48A2BE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660A4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4863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C69C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0266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C25B8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5948E41" w14:textId="77777777">
        <w:tc>
          <w:tcPr>
            <w:tcW w:w="1601" w:type="dxa"/>
          </w:tcPr>
          <w:p w14:paraId="182029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Фарман Супер Голиаф</w:t>
            </w:r>
          </w:p>
        </w:tc>
        <w:tc>
          <w:tcPr>
            <w:tcW w:w="1601" w:type="dxa"/>
          </w:tcPr>
          <w:p w14:paraId="24D465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4х500</w:t>
            </w:r>
          </w:p>
        </w:tc>
        <w:tc>
          <w:tcPr>
            <w:tcW w:w="1159" w:type="dxa"/>
          </w:tcPr>
          <w:p w14:paraId="03427C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11640/</w:t>
            </w:r>
          </w:p>
        </w:tc>
        <w:tc>
          <w:tcPr>
            <w:tcW w:w="1134" w:type="dxa"/>
          </w:tcPr>
          <w:p w14:paraId="28B300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178</w:t>
            </w:r>
          </w:p>
        </w:tc>
        <w:tc>
          <w:tcPr>
            <w:tcW w:w="1134" w:type="dxa"/>
          </w:tcPr>
          <w:p w14:paraId="76281A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17/25,4 на 4000</w:t>
            </w:r>
          </w:p>
        </w:tc>
        <w:tc>
          <w:tcPr>
            <w:tcW w:w="1276" w:type="dxa"/>
          </w:tcPr>
          <w:p w14:paraId="7B7C61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275" w:type="dxa"/>
          </w:tcPr>
          <w:p w14:paraId="6DC2C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w:t>
            </w:r>
          </w:p>
        </w:tc>
      </w:tr>
      <w:tr w:rsidR="00DA227A" w:rsidRPr="00E93F40" w14:paraId="405EFB5B" w14:textId="77777777">
        <w:tc>
          <w:tcPr>
            <w:tcW w:w="1601" w:type="dxa"/>
          </w:tcPr>
          <w:p w14:paraId="0F2237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Диль Баклан АВ20</w:t>
            </w:r>
          </w:p>
        </w:tc>
        <w:tc>
          <w:tcPr>
            <w:tcW w:w="1601" w:type="dxa"/>
          </w:tcPr>
          <w:p w14:paraId="2EBD7B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4х600</w:t>
            </w:r>
          </w:p>
        </w:tc>
        <w:tc>
          <w:tcPr>
            <w:tcW w:w="1159" w:type="dxa"/>
          </w:tcPr>
          <w:p w14:paraId="362D22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13500</w:t>
            </w:r>
          </w:p>
        </w:tc>
        <w:tc>
          <w:tcPr>
            <w:tcW w:w="1134" w:type="dxa"/>
          </w:tcPr>
          <w:p w14:paraId="7C815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134" w:type="dxa"/>
          </w:tcPr>
          <w:p w14:paraId="097780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 на 3500/35 на 4500</w:t>
            </w:r>
          </w:p>
        </w:tc>
        <w:tc>
          <w:tcPr>
            <w:tcW w:w="1276" w:type="dxa"/>
          </w:tcPr>
          <w:p w14:paraId="488CC4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1275" w:type="dxa"/>
          </w:tcPr>
          <w:p w14:paraId="5B64A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r>
      <w:tr w:rsidR="00DA227A" w:rsidRPr="00E93F40" w14:paraId="47B2BF6C" w14:textId="77777777">
        <w:tc>
          <w:tcPr>
            <w:tcW w:w="1601" w:type="dxa"/>
          </w:tcPr>
          <w:p w14:paraId="16DD9F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США</w:t>
            </w:r>
          </w:p>
        </w:tc>
        <w:tc>
          <w:tcPr>
            <w:tcW w:w="1601" w:type="dxa"/>
          </w:tcPr>
          <w:p w14:paraId="4F2CD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075A97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965B4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C753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2D64F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2C557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3396C8D" w14:textId="77777777">
        <w:tc>
          <w:tcPr>
            <w:tcW w:w="1601" w:type="dxa"/>
          </w:tcPr>
          <w:p w14:paraId="2F6670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Холл ХР2Н-1</w:t>
            </w:r>
          </w:p>
        </w:tc>
        <w:tc>
          <w:tcPr>
            <w:tcW w:w="1601" w:type="dxa"/>
          </w:tcPr>
          <w:p w14:paraId="07FC3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4х600</w:t>
            </w:r>
          </w:p>
        </w:tc>
        <w:tc>
          <w:tcPr>
            <w:tcW w:w="1159" w:type="dxa"/>
          </w:tcPr>
          <w:p w14:paraId="72FDAA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14400/6500</w:t>
            </w:r>
          </w:p>
        </w:tc>
        <w:tc>
          <w:tcPr>
            <w:tcW w:w="1134" w:type="dxa"/>
          </w:tcPr>
          <w:p w14:paraId="08744C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w:t>
            </w:r>
          </w:p>
        </w:tc>
        <w:tc>
          <w:tcPr>
            <w:tcW w:w="1134" w:type="dxa"/>
          </w:tcPr>
          <w:p w14:paraId="70A180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ED6C7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3500</w:t>
            </w:r>
          </w:p>
        </w:tc>
        <w:tc>
          <w:tcPr>
            <w:tcW w:w="1275" w:type="dxa"/>
          </w:tcPr>
          <w:p w14:paraId="10BA3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5485B256" w14:textId="77777777">
        <w:tc>
          <w:tcPr>
            <w:tcW w:w="1601" w:type="dxa"/>
          </w:tcPr>
          <w:p w14:paraId="5D063D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tc>
        <w:tc>
          <w:tcPr>
            <w:tcW w:w="1601" w:type="dxa"/>
          </w:tcPr>
          <w:p w14:paraId="5369C7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C20ED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63ECF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2B48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29460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135B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36BE23D3" w14:textId="77777777">
        <w:tc>
          <w:tcPr>
            <w:tcW w:w="1601" w:type="dxa"/>
          </w:tcPr>
          <w:p w14:paraId="28177D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Капрони 79</w:t>
            </w:r>
          </w:p>
        </w:tc>
        <w:tc>
          <w:tcPr>
            <w:tcW w:w="1601" w:type="dxa"/>
          </w:tcPr>
          <w:p w14:paraId="283E7B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4х500</w:t>
            </w:r>
          </w:p>
        </w:tc>
        <w:tc>
          <w:tcPr>
            <w:tcW w:w="1159" w:type="dxa"/>
          </w:tcPr>
          <w:p w14:paraId="000AE8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11000/4500</w:t>
            </w:r>
          </w:p>
        </w:tc>
        <w:tc>
          <w:tcPr>
            <w:tcW w:w="1134" w:type="dxa"/>
          </w:tcPr>
          <w:p w14:paraId="3D8044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w:t>
            </w:r>
          </w:p>
        </w:tc>
        <w:tc>
          <w:tcPr>
            <w:tcW w:w="1134" w:type="dxa"/>
          </w:tcPr>
          <w:p w14:paraId="7CC6FB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w:t>
            </w:r>
          </w:p>
        </w:tc>
        <w:tc>
          <w:tcPr>
            <w:tcW w:w="1276" w:type="dxa"/>
          </w:tcPr>
          <w:p w14:paraId="78A2CA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4600</w:t>
            </w:r>
          </w:p>
        </w:tc>
        <w:tc>
          <w:tcPr>
            <w:tcW w:w="1275" w:type="dxa"/>
          </w:tcPr>
          <w:p w14:paraId="184C00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r>
      <w:tr w:rsidR="00DA227A" w:rsidRPr="00E93F40" w14:paraId="25537B82" w14:textId="77777777">
        <w:tc>
          <w:tcPr>
            <w:tcW w:w="1601" w:type="dxa"/>
          </w:tcPr>
          <w:p w14:paraId="377120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Капрони 90</w:t>
            </w:r>
          </w:p>
        </w:tc>
        <w:tc>
          <w:tcPr>
            <w:tcW w:w="1601" w:type="dxa"/>
          </w:tcPr>
          <w:p w14:paraId="09EA80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4х600</w:t>
            </w:r>
          </w:p>
        </w:tc>
        <w:tc>
          <w:tcPr>
            <w:tcW w:w="1159" w:type="dxa"/>
          </w:tcPr>
          <w:p w14:paraId="046211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30000/15000</w:t>
            </w:r>
          </w:p>
        </w:tc>
        <w:tc>
          <w:tcPr>
            <w:tcW w:w="1134" w:type="dxa"/>
          </w:tcPr>
          <w:p w14:paraId="413B5F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205</w:t>
            </w:r>
          </w:p>
        </w:tc>
        <w:tc>
          <w:tcPr>
            <w:tcW w:w="1134" w:type="dxa"/>
          </w:tcPr>
          <w:p w14:paraId="1DCB4F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1BC5E0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1275" w:type="dxa"/>
          </w:tcPr>
          <w:p w14:paraId="114F2B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1600E747" w14:textId="77777777">
        <w:tc>
          <w:tcPr>
            <w:tcW w:w="1601" w:type="dxa"/>
            <w:tcBorders>
              <w:bottom w:val="single" w:sz="12" w:space="0" w:color="auto"/>
            </w:tcBorders>
          </w:tcPr>
          <w:p w14:paraId="0EB5EE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Капрони 95</w:t>
            </w:r>
          </w:p>
        </w:tc>
        <w:tc>
          <w:tcPr>
            <w:tcW w:w="1601" w:type="dxa"/>
            <w:tcBorders>
              <w:bottom w:val="single" w:sz="12" w:space="0" w:color="auto"/>
            </w:tcBorders>
          </w:tcPr>
          <w:p w14:paraId="747C97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3х1000</w:t>
            </w:r>
          </w:p>
        </w:tc>
        <w:tc>
          <w:tcPr>
            <w:tcW w:w="1159" w:type="dxa"/>
            <w:tcBorders>
              <w:bottom w:val="single" w:sz="12" w:space="0" w:color="auto"/>
            </w:tcBorders>
          </w:tcPr>
          <w:p w14:paraId="6AD619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15000/7500</w:t>
            </w:r>
          </w:p>
        </w:tc>
        <w:tc>
          <w:tcPr>
            <w:tcW w:w="1134" w:type="dxa"/>
            <w:tcBorders>
              <w:bottom w:val="single" w:sz="12" w:space="0" w:color="auto"/>
            </w:tcBorders>
          </w:tcPr>
          <w:p w14:paraId="3293CC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w:t>
            </w:r>
          </w:p>
        </w:tc>
        <w:tc>
          <w:tcPr>
            <w:tcW w:w="1134" w:type="dxa"/>
            <w:tcBorders>
              <w:bottom w:val="single" w:sz="12" w:space="0" w:color="auto"/>
            </w:tcBorders>
          </w:tcPr>
          <w:p w14:paraId="6B19F8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w:t>
            </w:r>
          </w:p>
        </w:tc>
        <w:tc>
          <w:tcPr>
            <w:tcW w:w="1276" w:type="dxa"/>
            <w:tcBorders>
              <w:bottom w:val="single" w:sz="12" w:space="0" w:color="auto"/>
            </w:tcBorders>
          </w:tcPr>
          <w:p w14:paraId="5E6081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6000</w:t>
            </w:r>
          </w:p>
        </w:tc>
        <w:tc>
          <w:tcPr>
            <w:tcW w:w="1275" w:type="dxa"/>
            <w:tcBorders>
              <w:bottom w:val="single" w:sz="12" w:space="0" w:color="auto"/>
            </w:tcBorders>
          </w:tcPr>
          <w:p w14:paraId="3742BA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bl>
    <w:p w14:paraId="3BB553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Морские машины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159"/>
        <w:gridCol w:w="1134"/>
        <w:gridCol w:w="1134"/>
        <w:gridCol w:w="1276"/>
        <w:gridCol w:w="1275"/>
      </w:tblGrid>
      <w:tr w:rsidR="00DA227A" w:rsidRPr="00E93F40" w14:paraId="36B36F86" w14:textId="77777777">
        <w:tc>
          <w:tcPr>
            <w:tcW w:w="1601" w:type="dxa"/>
            <w:tcBorders>
              <w:top w:val="single" w:sz="12" w:space="0" w:color="auto"/>
            </w:tcBorders>
          </w:tcPr>
          <w:p w14:paraId="365144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Название</w:t>
            </w:r>
          </w:p>
        </w:tc>
        <w:tc>
          <w:tcPr>
            <w:tcW w:w="1601" w:type="dxa"/>
            <w:tcBorders>
              <w:top w:val="single" w:sz="12" w:space="0" w:color="auto"/>
            </w:tcBorders>
          </w:tcPr>
          <w:p w14:paraId="66D0A8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 мотора</w:t>
            </w:r>
          </w:p>
        </w:tc>
        <w:tc>
          <w:tcPr>
            <w:tcW w:w="1159" w:type="dxa"/>
            <w:tcBorders>
              <w:top w:val="single" w:sz="12" w:space="0" w:color="auto"/>
            </w:tcBorders>
          </w:tcPr>
          <w:p w14:paraId="6DEC7D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Полетный вес/нагрузка</w:t>
            </w:r>
          </w:p>
        </w:tc>
        <w:tc>
          <w:tcPr>
            <w:tcW w:w="1134" w:type="dxa"/>
            <w:tcBorders>
              <w:top w:val="single" w:sz="12" w:space="0" w:color="auto"/>
            </w:tcBorders>
          </w:tcPr>
          <w:p w14:paraId="249AAA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Скорость у земли</w:t>
            </w:r>
          </w:p>
        </w:tc>
        <w:tc>
          <w:tcPr>
            <w:tcW w:w="1134" w:type="dxa"/>
            <w:tcBorders>
              <w:top w:val="single" w:sz="12" w:space="0" w:color="auto"/>
            </w:tcBorders>
          </w:tcPr>
          <w:p w14:paraId="5C9B17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Скороподъемность на 3000/5000</w:t>
            </w:r>
          </w:p>
        </w:tc>
        <w:tc>
          <w:tcPr>
            <w:tcW w:w="1276" w:type="dxa"/>
            <w:tcBorders>
              <w:top w:val="single" w:sz="12" w:space="0" w:color="auto"/>
            </w:tcBorders>
          </w:tcPr>
          <w:p w14:paraId="44DF14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Практический потолок</w:t>
            </w:r>
          </w:p>
        </w:tc>
        <w:tc>
          <w:tcPr>
            <w:tcW w:w="1275" w:type="dxa"/>
            <w:tcBorders>
              <w:top w:val="single" w:sz="12" w:space="0" w:color="auto"/>
            </w:tcBorders>
          </w:tcPr>
          <w:p w14:paraId="3D1DAE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 выпуска</w:t>
            </w:r>
          </w:p>
        </w:tc>
      </w:tr>
      <w:tr w:rsidR="00DA227A" w:rsidRPr="00E93F40" w14:paraId="0787EF62" w14:textId="77777777">
        <w:tc>
          <w:tcPr>
            <w:tcW w:w="1601" w:type="dxa"/>
          </w:tcPr>
          <w:p w14:paraId="1CCA3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МБР2-М17</w:t>
            </w:r>
          </w:p>
        </w:tc>
        <w:tc>
          <w:tcPr>
            <w:tcW w:w="1601" w:type="dxa"/>
          </w:tcPr>
          <w:p w14:paraId="14633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3C9385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3650/1252</w:t>
            </w:r>
          </w:p>
        </w:tc>
        <w:tc>
          <w:tcPr>
            <w:tcW w:w="1134" w:type="dxa"/>
          </w:tcPr>
          <w:p w14:paraId="027369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208</w:t>
            </w:r>
          </w:p>
        </w:tc>
        <w:tc>
          <w:tcPr>
            <w:tcW w:w="1134" w:type="dxa"/>
          </w:tcPr>
          <w:p w14:paraId="20A4A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19/34 на 4000</w:t>
            </w:r>
          </w:p>
        </w:tc>
        <w:tc>
          <w:tcPr>
            <w:tcW w:w="1276" w:type="dxa"/>
          </w:tcPr>
          <w:p w14:paraId="67CEE6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4400</w:t>
            </w:r>
          </w:p>
        </w:tc>
        <w:tc>
          <w:tcPr>
            <w:tcW w:w="1275" w:type="dxa"/>
          </w:tcPr>
          <w:p w14:paraId="0773FB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r>
      <w:tr w:rsidR="00DA227A" w:rsidRPr="00E93F40" w14:paraId="2FE7945B" w14:textId="77777777">
        <w:tc>
          <w:tcPr>
            <w:tcW w:w="1601" w:type="dxa"/>
          </w:tcPr>
          <w:p w14:paraId="04F72B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МБР4 Ассо</w:t>
            </w:r>
          </w:p>
        </w:tc>
        <w:tc>
          <w:tcPr>
            <w:tcW w:w="1601" w:type="dxa"/>
          </w:tcPr>
          <w:p w14:paraId="193BE1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1159" w:type="dxa"/>
          </w:tcPr>
          <w:p w14:paraId="2957F8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4100/1427</w:t>
            </w:r>
          </w:p>
        </w:tc>
        <w:tc>
          <w:tcPr>
            <w:tcW w:w="1134" w:type="dxa"/>
          </w:tcPr>
          <w:p w14:paraId="2EEADC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198</w:t>
            </w:r>
          </w:p>
        </w:tc>
        <w:tc>
          <w:tcPr>
            <w:tcW w:w="1134" w:type="dxa"/>
          </w:tcPr>
          <w:p w14:paraId="030DD5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w:t>
            </w:r>
          </w:p>
        </w:tc>
        <w:tc>
          <w:tcPr>
            <w:tcW w:w="1276" w:type="dxa"/>
          </w:tcPr>
          <w:p w14:paraId="44CF4A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4220</w:t>
            </w:r>
          </w:p>
        </w:tc>
        <w:tc>
          <w:tcPr>
            <w:tcW w:w="1275" w:type="dxa"/>
          </w:tcPr>
          <w:p w14:paraId="5F6139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r>
      <w:tr w:rsidR="00DA227A" w:rsidRPr="00E93F40" w14:paraId="644FFC77" w14:textId="77777777">
        <w:tc>
          <w:tcPr>
            <w:tcW w:w="1601" w:type="dxa"/>
          </w:tcPr>
          <w:p w14:paraId="62332B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МДР2-2М17</w:t>
            </w:r>
          </w:p>
        </w:tc>
        <w:tc>
          <w:tcPr>
            <w:tcW w:w="1601" w:type="dxa"/>
          </w:tcPr>
          <w:p w14:paraId="60062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2х500</w:t>
            </w:r>
          </w:p>
        </w:tc>
        <w:tc>
          <w:tcPr>
            <w:tcW w:w="1159" w:type="dxa"/>
          </w:tcPr>
          <w:p w14:paraId="684587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6900/2360</w:t>
            </w:r>
          </w:p>
        </w:tc>
        <w:tc>
          <w:tcPr>
            <w:tcW w:w="1134" w:type="dxa"/>
          </w:tcPr>
          <w:p w14:paraId="4E67B4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203</w:t>
            </w:r>
          </w:p>
        </w:tc>
        <w:tc>
          <w:tcPr>
            <w:tcW w:w="1134" w:type="dxa"/>
          </w:tcPr>
          <w:p w14:paraId="7B932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35,5/</w:t>
            </w:r>
          </w:p>
        </w:tc>
        <w:tc>
          <w:tcPr>
            <w:tcW w:w="1276" w:type="dxa"/>
          </w:tcPr>
          <w:p w14:paraId="5827A1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3400</w:t>
            </w:r>
          </w:p>
        </w:tc>
        <w:tc>
          <w:tcPr>
            <w:tcW w:w="1275" w:type="dxa"/>
          </w:tcPr>
          <w:p w14:paraId="03621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r>
      <w:tr w:rsidR="00DA227A" w:rsidRPr="00E93F40" w14:paraId="123A7034" w14:textId="77777777">
        <w:tc>
          <w:tcPr>
            <w:tcW w:w="1601" w:type="dxa"/>
          </w:tcPr>
          <w:p w14:paraId="6B955B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МР5-М17</w:t>
            </w:r>
          </w:p>
        </w:tc>
        <w:tc>
          <w:tcPr>
            <w:tcW w:w="1601" w:type="dxa"/>
          </w:tcPr>
          <w:p w14:paraId="5BF2FA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1159" w:type="dxa"/>
          </w:tcPr>
          <w:p w14:paraId="138364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3280/915</w:t>
            </w:r>
          </w:p>
        </w:tc>
        <w:tc>
          <w:tcPr>
            <w:tcW w:w="1134" w:type="dxa"/>
          </w:tcPr>
          <w:p w14:paraId="32A4AB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201</w:t>
            </w:r>
          </w:p>
        </w:tc>
        <w:tc>
          <w:tcPr>
            <w:tcW w:w="1134" w:type="dxa"/>
          </w:tcPr>
          <w:p w14:paraId="725E4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w:t>
            </w:r>
          </w:p>
        </w:tc>
        <w:tc>
          <w:tcPr>
            <w:tcW w:w="1276" w:type="dxa"/>
          </w:tcPr>
          <w:p w14:paraId="251755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4350</w:t>
            </w:r>
          </w:p>
        </w:tc>
        <w:tc>
          <w:tcPr>
            <w:tcW w:w="1275" w:type="dxa"/>
          </w:tcPr>
          <w:p w14:paraId="0B3F30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03A0146E" w14:textId="77777777">
        <w:tc>
          <w:tcPr>
            <w:tcW w:w="1601" w:type="dxa"/>
          </w:tcPr>
          <w:p w14:paraId="66EF4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tc>
        <w:tc>
          <w:tcPr>
            <w:tcW w:w="1601" w:type="dxa"/>
          </w:tcPr>
          <w:p w14:paraId="0464B4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674E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D5833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BCC8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C206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17A80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D2EABCA" w14:textId="77777777">
        <w:tc>
          <w:tcPr>
            <w:tcW w:w="1601" w:type="dxa"/>
          </w:tcPr>
          <w:p w14:paraId="2F3C6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Шорт-Гурнер 2-х местн.</w:t>
            </w:r>
          </w:p>
        </w:tc>
        <w:tc>
          <w:tcPr>
            <w:tcW w:w="1601" w:type="dxa"/>
          </w:tcPr>
          <w:p w14:paraId="3BEEEF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586033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2170/775</w:t>
            </w:r>
          </w:p>
        </w:tc>
        <w:tc>
          <w:tcPr>
            <w:tcW w:w="1134" w:type="dxa"/>
          </w:tcPr>
          <w:p w14:paraId="7DA926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w:t>
            </w:r>
          </w:p>
        </w:tc>
        <w:tc>
          <w:tcPr>
            <w:tcW w:w="1134" w:type="dxa"/>
          </w:tcPr>
          <w:p w14:paraId="5D45C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7,2/14,5</w:t>
            </w:r>
          </w:p>
        </w:tc>
        <w:tc>
          <w:tcPr>
            <w:tcW w:w="1276" w:type="dxa"/>
          </w:tcPr>
          <w:p w14:paraId="5814D9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3700</w:t>
            </w:r>
          </w:p>
        </w:tc>
        <w:tc>
          <w:tcPr>
            <w:tcW w:w="1275" w:type="dxa"/>
          </w:tcPr>
          <w:p w14:paraId="32F71D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r>
      <w:tr w:rsidR="00DA227A" w:rsidRPr="00E93F40" w14:paraId="5BDC1CCA" w14:textId="77777777">
        <w:tc>
          <w:tcPr>
            <w:tcW w:w="1601" w:type="dxa"/>
          </w:tcPr>
          <w:p w14:paraId="12813B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Шорт-Сингапур</w:t>
            </w:r>
          </w:p>
        </w:tc>
        <w:tc>
          <w:tcPr>
            <w:tcW w:w="1601" w:type="dxa"/>
          </w:tcPr>
          <w:p w14:paraId="02E3C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1600</w:t>
            </w:r>
          </w:p>
        </w:tc>
        <w:tc>
          <w:tcPr>
            <w:tcW w:w="1159" w:type="dxa"/>
          </w:tcPr>
          <w:p w14:paraId="773EAA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9600/3200</w:t>
            </w:r>
          </w:p>
        </w:tc>
        <w:tc>
          <w:tcPr>
            <w:tcW w:w="1134" w:type="dxa"/>
          </w:tcPr>
          <w:p w14:paraId="3A0D44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206</w:t>
            </w:r>
          </w:p>
        </w:tc>
        <w:tc>
          <w:tcPr>
            <w:tcW w:w="1134" w:type="dxa"/>
          </w:tcPr>
          <w:p w14:paraId="2A070C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276" w:type="dxa"/>
          </w:tcPr>
          <w:p w14:paraId="6B82C9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4730</w:t>
            </w:r>
          </w:p>
        </w:tc>
        <w:tc>
          <w:tcPr>
            <w:tcW w:w="1275" w:type="dxa"/>
          </w:tcPr>
          <w:p w14:paraId="138B23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41223F78" w14:textId="77777777">
        <w:tc>
          <w:tcPr>
            <w:tcW w:w="1601" w:type="dxa"/>
          </w:tcPr>
          <w:p w14:paraId="264950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Шорт-Р</w:t>
            </w:r>
          </w:p>
        </w:tc>
        <w:tc>
          <w:tcPr>
            <w:tcW w:w="1601" w:type="dxa"/>
          </w:tcPr>
          <w:p w14:paraId="65A971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6хБазер</w:t>
            </w:r>
          </w:p>
        </w:tc>
        <w:tc>
          <w:tcPr>
            <w:tcW w:w="1159" w:type="dxa"/>
          </w:tcPr>
          <w:p w14:paraId="3084E3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31700/5500</w:t>
            </w:r>
          </w:p>
        </w:tc>
        <w:tc>
          <w:tcPr>
            <w:tcW w:w="1134" w:type="dxa"/>
          </w:tcPr>
          <w:p w14:paraId="751E1A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w:t>
            </w:r>
          </w:p>
        </w:tc>
        <w:tc>
          <w:tcPr>
            <w:tcW w:w="1134" w:type="dxa"/>
          </w:tcPr>
          <w:p w14:paraId="1EEC11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15B88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FA17C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r>
      <w:tr w:rsidR="00DA227A" w:rsidRPr="00E93F40" w14:paraId="3BF1E153" w14:textId="77777777">
        <w:tc>
          <w:tcPr>
            <w:tcW w:w="1601" w:type="dxa"/>
          </w:tcPr>
          <w:p w14:paraId="59E9B2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Блекберн Айрис</w:t>
            </w:r>
          </w:p>
        </w:tc>
        <w:tc>
          <w:tcPr>
            <w:tcW w:w="1601" w:type="dxa"/>
          </w:tcPr>
          <w:p w14:paraId="757236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1950 (3)</w:t>
            </w:r>
          </w:p>
        </w:tc>
        <w:tc>
          <w:tcPr>
            <w:tcW w:w="1159" w:type="dxa"/>
          </w:tcPr>
          <w:p w14:paraId="3996A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12140/4384</w:t>
            </w:r>
          </w:p>
        </w:tc>
        <w:tc>
          <w:tcPr>
            <w:tcW w:w="1134" w:type="dxa"/>
          </w:tcPr>
          <w:p w14:paraId="62C4C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w:t>
            </w:r>
          </w:p>
        </w:tc>
        <w:tc>
          <w:tcPr>
            <w:tcW w:w="1134" w:type="dxa"/>
          </w:tcPr>
          <w:p w14:paraId="331BD3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9D65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3900</w:t>
            </w:r>
          </w:p>
        </w:tc>
        <w:tc>
          <w:tcPr>
            <w:tcW w:w="1275" w:type="dxa"/>
          </w:tcPr>
          <w:p w14:paraId="2A5C8F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r>
      <w:tr w:rsidR="00DA227A" w:rsidRPr="00E93F40" w14:paraId="434FAA72" w14:textId="77777777">
        <w:tc>
          <w:tcPr>
            <w:tcW w:w="1601" w:type="dxa"/>
          </w:tcPr>
          <w:p w14:paraId="495E06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1601" w:type="dxa"/>
          </w:tcPr>
          <w:p w14:paraId="3719B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6FC02F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AF3BB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37D46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0070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3DEB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1B398DDD" w14:textId="77777777">
        <w:tc>
          <w:tcPr>
            <w:tcW w:w="1601" w:type="dxa"/>
          </w:tcPr>
          <w:p w14:paraId="624AA6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Камс 80</w:t>
            </w:r>
          </w:p>
        </w:tc>
        <w:tc>
          <w:tcPr>
            <w:tcW w:w="1601" w:type="dxa"/>
          </w:tcPr>
          <w:p w14:paraId="64D56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730</w:t>
            </w:r>
          </w:p>
        </w:tc>
        <w:tc>
          <w:tcPr>
            <w:tcW w:w="1159" w:type="dxa"/>
          </w:tcPr>
          <w:p w14:paraId="6B207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3980/1350</w:t>
            </w:r>
          </w:p>
        </w:tc>
        <w:tc>
          <w:tcPr>
            <w:tcW w:w="1134" w:type="dxa"/>
          </w:tcPr>
          <w:p w14:paraId="58921B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w:t>
            </w:r>
          </w:p>
        </w:tc>
        <w:tc>
          <w:tcPr>
            <w:tcW w:w="1134" w:type="dxa"/>
          </w:tcPr>
          <w:p w14:paraId="7843A9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6BD1C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6500</w:t>
            </w:r>
          </w:p>
        </w:tc>
        <w:tc>
          <w:tcPr>
            <w:tcW w:w="1275" w:type="dxa"/>
          </w:tcPr>
          <w:p w14:paraId="2FE91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r>
      <w:tr w:rsidR="00DA227A" w:rsidRPr="00E93F40" w14:paraId="0E608506" w14:textId="77777777">
        <w:tc>
          <w:tcPr>
            <w:tcW w:w="1601" w:type="dxa"/>
          </w:tcPr>
          <w:p w14:paraId="0A0410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Лиоре-Оливье 27</w:t>
            </w:r>
          </w:p>
        </w:tc>
        <w:tc>
          <w:tcPr>
            <w:tcW w:w="1601" w:type="dxa"/>
          </w:tcPr>
          <w:p w14:paraId="58E6E3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4х600</w:t>
            </w:r>
          </w:p>
        </w:tc>
        <w:tc>
          <w:tcPr>
            <w:tcW w:w="1159" w:type="dxa"/>
          </w:tcPr>
          <w:p w14:paraId="2CB0EB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16500</w:t>
            </w:r>
          </w:p>
        </w:tc>
        <w:tc>
          <w:tcPr>
            <w:tcW w:w="1134" w:type="dxa"/>
          </w:tcPr>
          <w:p w14:paraId="1A40B7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w:t>
            </w:r>
          </w:p>
        </w:tc>
        <w:tc>
          <w:tcPr>
            <w:tcW w:w="1134" w:type="dxa"/>
          </w:tcPr>
          <w:p w14:paraId="3FD070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A816A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3000</w:t>
            </w:r>
          </w:p>
        </w:tc>
        <w:tc>
          <w:tcPr>
            <w:tcW w:w="1275" w:type="dxa"/>
          </w:tcPr>
          <w:p w14:paraId="11F21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547F09" w14:textId="77777777">
        <w:tc>
          <w:tcPr>
            <w:tcW w:w="1601" w:type="dxa"/>
          </w:tcPr>
          <w:p w14:paraId="27DBE6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США</w:t>
            </w:r>
          </w:p>
        </w:tc>
        <w:tc>
          <w:tcPr>
            <w:tcW w:w="1601" w:type="dxa"/>
          </w:tcPr>
          <w:p w14:paraId="3A364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4F5524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05C6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3DE69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67E81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E2FEA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357A4F" w14:textId="77777777">
        <w:tc>
          <w:tcPr>
            <w:tcW w:w="1601" w:type="dxa"/>
          </w:tcPr>
          <w:p w14:paraId="379A36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Кейстон</w:t>
            </w:r>
          </w:p>
        </w:tc>
        <w:tc>
          <w:tcPr>
            <w:tcW w:w="1601" w:type="dxa"/>
          </w:tcPr>
          <w:p w14:paraId="322378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1050 (2хРайт)</w:t>
            </w:r>
          </w:p>
        </w:tc>
        <w:tc>
          <w:tcPr>
            <w:tcW w:w="1159" w:type="dxa"/>
          </w:tcPr>
          <w:p w14:paraId="15D97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7402/3250</w:t>
            </w:r>
          </w:p>
        </w:tc>
        <w:tc>
          <w:tcPr>
            <w:tcW w:w="1134" w:type="dxa"/>
          </w:tcPr>
          <w:p w14:paraId="5225F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w:t>
            </w:r>
          </w:p>
        </w:tc>
        <w:tc>
          <w:tcPr>
            <w:tcW w:w="1134" w:type="dxa"/>
          </w:tcPr>
          <w:p w14:paraId="15152B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236C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209EF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4BA9F4" w14:textId="77777777">
        <w:tc>
          <w:tcPr>
            <w:tcW w:w="1601" w:type="dxa"/>
          </w:tcPr>
          <w:p w14:paraId="18A1F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Амфибия Сикроского</w:t>
            </w:r>
          </w:p>
        </w:tc>
        <w:tc>
          <w:tcPr>
            <w:tcW w:w="1601" w:type="dxa"/>
          </w:tcPr>
          <w:p w14:paraId="17C456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4х575</w:t>
            </w:r>
          </w:p>
        </w:tc>
        <w:tc>
          <w:tcPr>
            <w:tcW w:w="1159" w:type="dxa"/>
          </w:tcPr>
          <w:p w14:paraId="6241C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15400/5640</w:t>
            </w:r>
          </w:p>
        </w:tc>
        <w:tc>
          <w:tcPr>
            <w:tcW w:w="1134" w:type="dxa"/>
          </w:tcPr>
          <w:p w14:paraId="104AE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w:t>
            </w:r>
          </w:p>
        </w:tc>
        <w:tc>
          <w:tcPr>
            <w:tcW w:w="1134" w:type="dxa"/>
          </w:tcPr>
          <w:p w14:paraId="252174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F871B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3540</w:t>
            </w:r>
          </w:p>
        </w:tc>
        <w:tc>
          <w:tcPr>
            <w:tcW w:w="1275" w:type="dxa"/>
          </w:tcPr>
          <w:p w14:paraId="4D3F45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50A86EEB" w14:textId="77777777">
        <w:tc>
          <w:tcPr>
            <w:tcW w:w="1601" w:type="dxa"/>
          </w:tcPr>
          <w:p w14:paraId="64C3BA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tc>
        <w:tc>
          <w:tcPr>
            <w:tcW w:w="1601" w:type="dxa"/>
          </w:tcPr>
          <w:p w14:paraId="43D697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A8172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301A8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19F9F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3C230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BBDE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256C59A" w14:textId="77777777">
        <w:tc>
          <w:tcPr>
            <w:tcW w:w="1601" w:type="dxa"/>
          </w:tcPr>
          <w:p w14:paraId="68B401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Капрони 95</w:t>
            </w:r>
          </w:p>
        </w:tc>
        <w:tc>
          <w:tcPr>
            <w:tcW w:w="1601" w:type="dxa"/>
          </w:tcPr>
          <w:p w14:paraId="5CADDD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3х1000</w:t>
            </w:r>
          </w:p>
        </w:tc>
        <w:tc>
          <w:tcPr>
            <w:tcW w:w="1159" w:type="dxa"/>
          </w:tcPr>
          <w:p w14:paraId="152A0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17000</w:t>
            </w:r>
          </w:p>
        </w:tc>
        <w:tc>
          <w:tcPr>
            <w:tcW w:w="1134" w:type="dxa"/>
          </w:tcPr>
          <w:p w14:paraId="097A1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220</w:t>
            </w:r>
          </w:p>
        </w:tc>
        <w:tc>
          <w:tcPr>
            <w:tcW w:w="1134" w:type="dxa"/>
          </w:tcPr>
          <w:p w14:paraId="2AD5D3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10B0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5000</w:t>
            </w:r>
          </w:p>
        </w:tc>
        <w:tc>
          <w:tcPr>
            <w:tcW w:w="1275" w:type="dxa"/>
          </w:tcPr>
          <w:p w14:paraId="633D50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6C568F" w14:textId="77777777">
        <w:tc>
          <w:tcPr>
            <w:tcW w:w="1601" w:type="dxa"/>
            <w:tcBorders>
              <w:bottom w:val="single" w:sz="12" w:space="0" w:color="auto"/>
            </w:tcBorders>
          </w:tcPr>
          <w:p w14:paraId="15E78A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Савойя С-55</w:t>
            </w:r>
          </w:p>
        </w:tc>
        <w:tc>
          <w:tcPr>
            <w:tcW w:w="1601" w:type="dxa"/>
            <w:tcBorders>
              <w:bottom w:val="single" w:sz="12" w:space="0" w:color="auto"/>
            </w:tcBorders>
          </w:tcPr>
          <w:p w14:paraId="6EBB02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2х500</w:t>
            </w:r>
          </w:p>
        </w:tc>
        <w:tc>
          <w:tcPr>
            <w:tcW w:w="1159" w:type="dxa"/>
            <w:tcBorders>
              <w:bottom w:val="single" w:sz="12" w:space="0" w:color="auto"/>
            </w:tcBorders>
          </w:tcPr>
          <w:p w14:paraId="17576E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7100/2500</w:t>
            </w:r>
          </w:p>
        </w:tc>
        <w:tc>
          <w:tcPr>
            <w:tcW w:w="1134" w:type="dxa"/>
            <w:tcBorders>
              <w:bottom w:val="single" w:sz="12" w:space="0" w:color="auto"/>
            </w:tcBorders>
          </w:tcPr>
          <w:p w14:paraId="1037E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235</w:t>
            </w:r>
          </w:p>
        </w:tc>
        <w:tc>
          <w:tcPr>
            <w:tcW w:w="1134" w:type="dxa"/>
            <w:tcBorders>
              <w:bottom w:val="single" w:sz="12" w:space="0" w:color="auto"/>
            </w:tcBorders>
          </w:tcPr>
          <w:p w14:paraId="4C9F8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w:t>
            </w:r>
          </w:p>
        </w:tc>
        <w:tc>
          <w:tcPr>
            <w:tcW w:w="1276" w:type="dxa"/>
            <w:tcBorders>
              <w:bottom w:val="single" w:sz="12" w:space="0" w:color="auto"/>
            </w:tcBorders>
          </w:tcPr>
          <w:p w14:paraId="1EA9C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Borders>
              <w:bottom w:val="single" w:sz="12" w:space="0" w:color="auto"/>
            </w:tcBorders>
          </w:tcPr>
          <w:p w14:paraId="733132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bl>
    <w:p w14:paraId="74418CF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Период 1922-1928 гг в АП характеризуется началом восстановления основного капитала и первыми КВ по линии реконструкции авиазаводов. В течение эе первой пятилетки 01.10.28 - 01.04.33 АП вступила в период интенсивной реконструкции действующих заводов, строительства новых заводов, присоединения заводов подсобных и ремонтных, широкого развития опытного самолето и моторостроения и строительства учебных заведений для подготовки специалистов авиадела.</w:t>
      </w:r>
    </w:p>
    <w:p w14:paraId="11CA5BA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 этот пятилетний период изменился самым основным образом весь облик авиационных заводов и значительно улучшилось жилищно-культурное обслуживание работников заводов. Укрепление обороноспособности Союза требовало укрепления авиазаводов, развития их мощностей, определеннойц специализации заводов и строительства новых заводов. Оборона и созданноя с ней создание собственных конструкций самолетов и моторов, освобождение от импорта, подготовка собственных кадров, научная организация опытного и серийного производства новых конструкций самолетов и моторов были основными моментами, которые определяли </w:t>
      </w:r>
      <w:r w:rsidRPr="00E93F40">
        <w:rPr>
          <w:rFonts w:ascii="Times New Roman" w:hAnsi="Times New Roman"/>
          <w:color w:val="000000" w:themeColor="text1"/>
          <w:sz w:val="16"/>
          <w:szCs w:val="16"/>
        </w:rPr>
        <w:lastRenderedPageBreak/>
        <w:t>содержание и направление капитальных работ в АП. К началу первого пятителия АП располагала 11 предприятиями: 4 самолетостроительными заводами небольшой мощности, которые при наличии устаревшего оборудования и небольших...</w:t>
      </w:r>
    </w:p>
    <w:p w14:paraId="1B2A70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Сравнительная таблица</w:t>
      </w:r>
    </w:p>
    <w:p w14:paraId="461C7BC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Данные характеристик самолетов серийного производства начала и конца первой пятилетки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77"/>
        <w:gridCol w:w="877"/>
        <w:gridCol w:w="877"/>
        <w:gridCol w:w="877"/>
        <w:gridCol w:w="877"/>
        <w:gridCol w:w="877"/>
        <w:gridCol w:w="877"/>
        <w:gridCol w:w="877"/>
        <w:gridCol w:w="877"/>
        <w:gridCol w:w="877"/>
        <w:gridCol w:w="877"/>
        <w:gridCol w:w="877"/>
      </w:tblGrid>
      <w:tr w:rsidR="00DA227A" w:rsidRPr="00E93F40" w14:paraId="5219B5AE" w14:textId="77777777">
        <w:tc>
          <w:tcPr>
            <w:tcW w:w="675" w:type="dxa"/>
            <w:tcBorders>
              <w:top w:val="single" w:sz="12" w:space="0" w:color="auto"/>
            </w:tcBorders>
          </w:tcPr>
          <w:p w14:paraId="4DC46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Год</w:t>
            </w:r>
          </w:p>
        </w:tc>
        <w:tc>
          <w:tcPr>
            <w:tcW w:w="877" w:type="dxa"/>
            <w:tcBorders>
              <w:top w:val="single" w:sz="12" w:space="0" w:color="auto"/>
            </w:tcBorders>
          </w:tcPr>
          <w:p w14:paraId="0282E0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Марка (тип) самолета и мотора</w:t>
            </w:r>
          </w:p>
        </w:tc>
        <w:tc>
          <w:tcPr>
            <w:tcW w:w="877" w:type="dxa"/>
            <w:tcBorders>
              <w:top w:val="single" w:sz="12" w:space="0" w:color="auto"/>
            </w:tcBorders>
          </w:tcPr>
          <w:p w14:paraId="71E8F6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и мощность моторов</w:t>
            </w:r>
          </w:p>
        </w:tc>
        <w:tc>
          <w:tcPr>
            <w:tcW w:w="877" w:type="dxa"/>
            <w:tcBorders>
              <w:top w:val="single" w:sz="12" w:space="0" w:color="auto"/>
            </w:tcBorders>
          </w:tcPr>
          <w:p w14:paraId="1146DB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Максю скорость у земли</w:t>
            </w:r>
          </w:p>
        </w:tc>
        <w:tc>
          <w:tcPr>
            <w:tcW w:w="877" w:type="dxa"/>
            <w:tcBorders>
              <w:top w:val="single" w:sz="12" w:space="0" w:color="auto"/>
            </w:tcBorders>
          </w:tcPr>
          <w:p w14:paraId="665C1C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 скорость на высоте 5000</w:t>
            </w:r>
          </w:p>
        </w:tc>
        <w:tc>
          <w:tcPr>
            <w:tcW w:w="877" w:type="dxa"/>
            <w:tcBorders>
              <w:top w:val="single" w:sz="12" w:space="0" w:color="auto"/>
            </w:tcBorders>
          </w:tcPr>
          <w:p w14:paraId="76BBF7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Время подъема на 5000</w:t>
            </w:r>
          </w:p>
        </w:tc>
        <w:tc>
          <w:tcPr>
            <w:tcW w:w="877" w:type="dxa"/>
            <w:tcBorders>
              <w:top w:val="single" w:sz="12" w:space="0" w:color="auto"/>
            </w:tcBorders>
          </w:tcPr>
          <w:p w14:paraId="24247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Потолок</w:t>
            </w:r>
          </w:p>
        </w:tc>
        <w:tc>
          <w:tcPr>
            <w:tcW w:w="877" w:type="dxa"/>
            <w:tcBorders>
              <w:top w:val="single" w:sz="12" w:space="0" w:color="auto"/>
            </w:tcBorders>
          </w:tcPr>
          <w:p w14:paraId="26971D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Полный полетный вес</w:t>
            </w:r>
          </w:p>
        </w:tc>
        <w:tc>
          <w:tcPr>
            <w:tcW w:w="877" w:type="dxa"/>
            <w:tcBorders>
              <w:top w:val="single" w:sz="12" w:space="0" w:color="auto"/>
            </w:tcBorders>
          </w:tcPr>
          <w:p w14:paraId="0E52DC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Полная нагрузка</w:t>
            </w:r>
          </w:p>
        </w:tc>
        <w:tc>
          <w:tcPr>
            <w:tcW w:w="877" w:type="dxa"/>
            <w:tcBorders>
              <w:top w:val="single" w:sz="12" w:space="0" w:color="auto"/>
            </w:tcBorders>
          </w:tcPr>
          <w:p w14:paraId="1BD7E0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Продолжительность или дальность полета</w:t>
            </w:r>
          </w:p>
        </w:tc>
        <w:tc>
          <w:tcPr>
            <w:tcW w:w="877" w:type="dxa"/>
            <w:tcBorders>
              <w:top w:val="single" w:sz="12" w:space="0" w:color="auto"/>
            </w:tcBorders>
          </w:tcPr>
          <w:p w14:paraId="43DA23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Вооружение</w:t>
            </w:r>
          </w:p>
        </w:tc>
        <w:tc>
          <w:tcPr>
            <w:tcW w:w="877" w:type="dxa"/>
            <w:tcBorders>
              <w:top w:val="single" w:sz="12" w:space="0" w:color="auto"/>
            </w:tcBorders>
          </w:tcPr>
          <w:p w14:paraId="228ED0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Экапаж</w:t>
            </w:r>
          </w:p>
        </w:tc>
        <w:tc>
          <w:tcPr>
            <w:tcW w:w="877" w:type="dxa"/>
            <w:tcBorders>
              <w:top w:val="single" w:sz="12" w:space="0" w:color="auto"/>
            </w:tcBorders>
          </w:tcPr>
          <w:p w14:paraId="5BD694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Материал конструкции</w:t>
            </w:r>
          </w:p>
        </w:tc>
      </w:tr>
      <w:tr w:rsidR="00DA227A" w:rsidRPr="00E93F40" w14:paraId="0DEF6E45" w14:textId="77777777">
        <w:tc>
          <w:tcPr>
            <w:tcW w:w="675" w:type="dxa"/>
          </w:tcPr>
          <w:p w14:paraId="3F5BB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C254F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А.Разведчики</w:t>
            </w:r>
          </w:p>
        </w:tc>
        <w:tc>
          <w:tcPr>
            <w:tcW w:w="877" w:type="dxa"/>
          </w:tcPr>
          <w:p w14:paraId="7E63F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BFF6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0BC24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CDAB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E1CCE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22C32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48F36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5337A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2E00C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85D3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B0806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F5B5024" w14:textId="77777777">
        <w:tc>
          <w:tcPr>
            <w:tcW w:w="675" w:type="dxa"/>
          </w:tcPr>
          <w:p w14:paraId="3565F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p>
        </w:tc>
        <w:tc>
          <w:tcPr>
            <w:tcW w:w="877" w:type="dxa"/>
          </w:tcPr>
          <w:p w14:paraId="24F069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Р1-М5</w:t>
            </w:r>
          </w:p>
        </w:tc>
        <w:tc>
          <w:tcPr>
            <w:tcW w:w="877" w:type="dxa"/>
          </w:tcPr>
          <w:p w14:paraId="35F97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1х400</w:t>
            </w:r>
          </w:p>
        </w:tc>
        <w:tc>
          <w:tcPr>
            <w:tcW w:w="877" w:type="dxa"/>
          </w:tcPr>
          <w:p w14:paraId="3F99F1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w:t>
            </w:r>
          </w:p>
        </w:tc>
        <w:tc>
          <w:tcPr>
            <w:tcW w:w="877" w:type="dxa"/>
          </w:tcPr>
          <w:p w14:paraId="0FE02B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181/2000</w:t>
            </w:r>
          </w:p>
        </w:tc>
        <w:tc>
          <w:tcPr>
            <w:tcW w:w="877" w:type="dxa"/>
          </w:tcPr>
          <w:p w14:paraId="25E0C9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17/3000</w:t>
            </w:r>
          </w:p>
        </w:tc>
        <w:tc>
          <w:tcPr>
            <w:tcW w:w="877" w:type="dxa"/>
          </w:tcPr>
          <w:p w14:paraId="3BA882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5200</w:t>
            </w:r>
          </w:p>
        </w:tc>
        <w:tc>
          <w:tcPr>
            <w:tcW w:w="877" w:type="dxa"/>
          </w:tcPr>
          <w:p w14:paraId="4AA04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2196</w:t>
            </w:r>
          </w:p>
        </w:tc>
        <w:tc>
          <w:tcPr>
            <w:tcW w:w="877" w:type="dxa"/>
          </w:tcPr>
          <w:p w14:paraId="00FDA4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877" w:type="dxa"/>
          </w:tcPr>
          <w:p w14:paraId="1D948E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час.</w:t>
            </w:r>
          </w:p>
        </w:tc>
        <w:tc>
          <w:tcPr>
            <w:tcW w:w="877" w:type="dxa"/>
          </w:tcPr>
          <w:p w14:paraId="671BCE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3хпул, 200 кг</w:t>
            </w:r>
          </w:p>
        </w:tc>
        <w:tc>
          <w:tcPr>
            <w:tcW w:w="877" w:type="dxa"/>
          </w:tcPr>
          <w:p w14:paraId="30D616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877" w:type="dxa"/>
          </w:tcPr>
          <w:p w14:paraId="203BC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r>
      <w:tr w:rsidR="00DA227A" w:rsidRPr="00E93F40" w14:paraId="551272AC" w14:textId="77777777">
        <w:tc>
          <w:tcPr>
            <w:tcW w:w="675" w:type="dxa"/>
          </w:tcPr>
          <w:p w14:paraId="5D1E3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877" w:type="dxa"/>
          </w:tcPr>
          <w:p w14:paraId="6C341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Р1-М17</w:t>
            </w:r>
          </w:p>
        </w:tc>
        <w:tc>
          <w:tcPr>
            <w:tcW w:w="877" w:type="dxa"/>
          </w:tcPr>
          <w:p w14:paraId="263C49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1х500</w:t>
            </w:r>
          </w:p>
        </w:tc>
        <w:tc>
          <w:tcPr>
            <w:tcW w:w="877" w:type="dxa"/>
          </w:tcPr>
          <w:p w14:paraId="71D99F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218</w:t>
            </w:r>
          </w:p>
        </w:tc>
        <w:tc>
          <w:tcPr>
            <w:tcW w:w="877" w:type="dxa"/>
          </w:tcPr>
          <w:p w14:paraId="44D2A2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160</w:t>
            </w:r>
          </w:p>
        </w:tc>
        <w:tc>
          <w:tcPr>
            <w:tcW w:w="877" w:type="dxa"/>
          </w:tcPr>
          <w:p w14:paraId="5F9FBF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w:t>
            </w:r>
          </w:p>
        </w:tc>
        <w:tc>
          <w:tcPr>
            <w:tcW w:w="877" w:type="dxa"/>
          </w:tcPr>
          <w:p w14:paraId="0E748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5250</w:t>
            </w:r>
          </w:p>
        </w:tc>
        <w:tc>
          <w:tcPr>
            <w:tcW w:w="877" w:type="dxa"/>
          </w:tcPr>
          <w:p w14:paraId="27CE5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9955</w:t>
            </w:r>
          </w:p>
        </w:tc>
        <w:tc>
          <w:tcPr>
            <w:tcW w:w="877" w:type="dxa"/>
          </w:tcPr>
          <w:p w14:paraId="30E2BE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787</w:t>
            </w:r>
          </w:p>
        </w:tc>
        <w:tc>
          <w:tcPr>
            <w:tcW w:w="877" w:type="dxa"/>
          </w:tcPr>
          <w:p w14:paraId="05C32B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час.</w:t>
            </w:r>
          </w:p>
        </w:tc>
        <w:tc>
          <w:tcPr>
            <w:tcW w:w="877" w:type="dxa"/>
          </w:tcPr>
          <w:p w14:paraId="2B60A1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2хпул, 300 кг</w:t>
            </w:r>
          </w:p>
        </w:tc>
        <w:tc>
          <w:tcPr>
            <w:tcW w:w="877" w:type="dxa"/>
          </w:tcPr>
          <w:p w14:paraId="35257E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877" w:type="dxa"/>
          </w:tcPr>
          <w:p w14:paraId="7A84D5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r>
      <w:tr w:rsidR="00DA227A" w:rsidRPr="00E93F40" w14:paraId="562042BD" w14:textId="77777777">
        <w:tc>
          <w:tcPr>
            <w:tcW w:w="675" w:type="dxa"/>
          </w:tcPr>
          <w:p w14:paraId="3FC625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F8635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Б.Истребители</w:t>
            </w:r>
          </w:p>
        </w:tc>
        <w:tc>
          <w:tcPr>
            <w:tcW w:w="877" w:type="dxa"/>
          </w:tcPr>
          <w:p w14:paraId="4ACA3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9A4CF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2B5A0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CE782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887B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08AB1B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757D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06C0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A5A16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D0D5F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51087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FFA8806" w14:textId="77777777">
        <w:tc>
          <w:tcPr>
            <w:tcW w:w="675" w:type="dxa"/>
          </w:tcPr>
          <w:p w14:paraId="2EAD2C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877" w:type="dxa"/>
          </w:tcPr>
          <w:p w14:paraId="449F23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И3-БМВ4</w:t>
            </w:r>
          </w:p>
        </w:tc>
        <w:tc>
          <w:tcPr>
            <w:tcW w:w="877" w:type="dxa"/>
          </w:tcPr>
          <w:p w14:paraId="28157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1х500</w:t>
            </w:r>
          </w:p>
        </w:tc>
        <w:tc>
          <w:tcPr>
            <w:tcW w:w="877" w:type="dxa"/>
          </w:tcPr>
          <w:p w14:paraId="59799D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278</w:t>
            </w:r>
          </w:p>
        </w:tc>
        <w:tc>
          <w:tcPr>
            <w:tcW w:w="877" w:type="dxa"/>
          </w:tcPr>
          <w:p w14:paraId="2995B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w:t>
            </w:r>
          </w:p>
        </w:tc>
        <w:tc>
          <w:tcPr>
            <w:tcW w:w="877" w:type="dxa"/>
          </w:tcPr>
          <w:p w14:paraId="70E2D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w:t>
            </w:r>
          </w:p>
        </w:tc>
        <w:tc>
          <w:tcPr>
            <w:tcW w:w="877" w:type="dxa"/>
          </w:tcPr>
          <w:p w14:paraId="486797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7000</w:t>
            </w:r>
          </w:p>
        </w:tc>
        <w:tc>
          <w:tcPr>
            <w:tcW w:w="877" w:type="dxa"/>
          </w:tcPr>
          <w:p w14:paraId="493A40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1850</w:t>
            </w:r>
          </w:p>
        </w:tc>
        <w:tc>
          <w:tcPr>
            <w:tcW w:w="877" w:type="dxa"/>
          </w:tcPr>
          <w:p w14:paraId="5ACA07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440</w:t>
            </w:r>
          </w:p>
        </w:tc>
        <w:tc>
          <w:tcPr>
            <w:tcW w:w="877" w:type="dxa"/>
          </w:tcPr>
          <w:p w14:paraId="138DD9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575/2 ч.</w:t>
            </w:r>
          </w:p>
        </w:tc>
        <w:tc>
          <w:tcPr>
            <w:tcW w:w="877" w:type="dxa"/>
          </w:tcPr>
          <w:p w14:paraId="43D8C3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2хпул, 820 патр.</w:t>
            </w:r>
          </w:p>
        </w:tc>
        <w:tc>
          <w:tcPr>
            <w:tcW w:w="877" w:type="dxa"/>
          </w:tcPr>
          <w:p w14:paraId="6DC7D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877" w:type="dxa"/>
          </w:tcPr>
          <w:p w14:paraId="25E57D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r>
      <w:tr w:rsidR="00DA227A" w:rsidRPr="00E93F40" w14:paraId="09C3E46F" w14:textId="77777777">
        <w:tc>
          <w:tcPr>
            <w:tcW w:w="675" w:type="dxa"/>
          </w:tcPr>
          <w:p w14:paraId="794152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877" w:type="dxa"/>
          </w:tcPr>
          <w:p w14:paraId="5A06F0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И5-М22</w:t>
            </w:r>
          </w:p>
        </w:tc>
        <w:tc>
          <w:tcPr>
            <w:tcW w:w="877" w:type="dxa"/>
          </w:tcPr>
          <w:p w14:paraId="573DF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1х480</w:t>
            </w:r>
          </w:p>
        </w:tc>
        <w:tc>
          <w:tcPr>
            <w:tcW w:w="877" w:type="dxa"/>
          </w:tcPr>
          <w:p w14:paraId="7E6B42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278</w:t>
            </w:r>
          </w:p>
        </w:tc>
        <w:tc>
          <w:tcPr>
            <w:tcW w:w="877" w:type="dxa"/>
          </w:tcPr>
          <w:p w14:paraId="73DC0A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w:t>
            </w:r>
          </w:p>
        </w:tc>
        <w:tc>
          <w:tcPr>
            <w:tcW w:w="877" w:type="dxa"/>
          </w:tcPr>
          <w:p w14:paraId="5B83DC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10,24</w:t>
            </w:r>
          </w:p>
        </w:tc>
        <w:tc>
          <w:tcPr>
            <w:tcW w:w="877" w:type="dxa"/>
          </w:tcPr>
          <w:p w14:paraId="6CB2D5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7800</w:t>
            </w:r>
          </w:p>
        </w:tc>
        <w:tc>
          <w:tcPr>
            <w:tcW w:w="877" w:type="dxa"/>
          </w:tcPr>
          <w:p w14:paraId="23B30D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1350-1415</w:t>
            </w:r>
          </w:p>
        </w:tc>
        <w:tc>
          <w:tcPr>
            <w:tcW w:w="877" w:type="dxa"/>
          </w:tcPr>
          <w:p w14:paraId="270DF3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412-475</w:t>
            </w:r>
          </w:p>
        </w:tc>
        <w:tc>
          <w:tcPr>
            <w:tcW w:w="877" w:type="dxa"/>
          </w:tcPr>
          <w:p w14:paraId="5D315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650/3 ч.</w:t>
            </w:r>
          </w:p>
        </w:tc>
        <w:tc>
          <w:tcPr>
            <w:tcW w:w="877" w:type="dxa"/>
          </w:tcPr>
          <w:p w14:paraId="49272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2-4хпул., 1200-2200 патр.</w:t>
            </w:r>
          </w:p>
        </w:tc>
        <w:tc>
          <w:tcPr>
            <w:tcW w:w="877" w:type="dxa"/>
          </w:tcPr>
          <w:p w14:paraId="7F520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877" w:type="dxa"/>
          </w:tcPr>
          <w:p w14:paraId="08F713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r>
      <w:tr w:rsidR="00DA227A" w:rsidRPr="00E93F40" w14:paraId="7A47B0E4" w14:textId="77777777">
        <w:tc>
          <w:tcPr>
            <w:tcW w:w="675" w:type="dxa"/>
          </w:tcPr>
          <w:p w14:paraId="3B1F2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877" w:type="dxa"/>
          </w:tcPr>
          <w:p w14:paraId="349F1A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И7-М17</w:t>
            </w:r>
          </w:p>
        </w:tc>
        <w:tc>
          <w:tcPr>
            <w:tcW w:w="877" w:type="dxa"/>
          </w:tcPr>
          <w:p w14:paraId="56BA8F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877" w:type="dxa"/>
          </w:tcPr>
          <w:p w14:paraId="4E1193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w:t>
            </w:r>
          </w:p>
        </w:tc>
        <w:tc>
          <w:tcPr>
            <w:tcW w:w="877" w:type="dxa"/>
          </w:tcPr>
          <w:p w14:paraId="134F67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277</w:t>
            </w:r>
          </w:p>
        </w:tc>
        <w:tc>
          <w:tcPr>
            <w:tcW w:w="877" w:type="dxa"/>
          </w:tcPr>
          <w:p w14:paraId="6849FC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11,28</w:t>
            </w:r>
          </w:p>
        </w:tc>
        <w:tc>
          <w:tcPr>
            <w:tcW w:w="877" w:type="dxa"/>
          </w:tcPr>
          <w:p w14:paraId="7971E0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7200</w:t>
            </w:r>
          </w:p>
        </w:tc>
        <w:tc>
          <w:tcPr>
            <w:tcW w:w="877" w:type="dxa"/>
          </w:tcPr>
          <w:p w14:paraId="20B073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1790</w:t>
            </w:r>
          </w:p>
        </w:tc>
        <w:tc>
          <w:tcPr>
            <w:tcW w:w="877" w:type="dxa"/>
          </w:tcPr>
          <w:p w14:paraId="2C55B9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433</w:t>
            </w:r>
          </w:p>
        </w:tc>
        <w:tc>
          <w:tcPr>
            <w:tcW w:w="877" w:type="dxa"/>
          </w:tcPr>
          <w:p w14:paraId="6FBE71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700/3 ч.</w:t>
            </w:r>
          </w:p>
        </w:tc>
        <w:tc>
          <w:tcPr>
            <w:tcW w:w="877" w:type="dxa"/>
          </w:tcPr>
          <w:p w14:paraId="780AE3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2-пул, 1200 патр.</w:t>
            </w:r>
          </w:p>
        </w:tc>
        <w:tc>
          <w:tcPr>
            <w:tcW w:w="877" w:type="dxa"/>
          </w:tcPr>
          <w:p w14:paraId="54BE55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877" w:type="dxa"/>
          </w:tcPr>
          <w:p w14:paraId="24DAD5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r>
      <w:tr w:rsidR="00DA227A" w:rsidRPr="00E93F40" w14:paraId="0C8F331A" w14:textId="77777777">
        <w:tc>
          <w:tcPr>
            <w:tcW w:w="675" w:type="dxa"/>
          </w:tcPr>
          <w:p w14:paraId="2B5A22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BDFC7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Бомбардировщики</w:t>
            </w:r>
          </w:p>
        </w:tc>
        <w:tc>
          <w:tcPr>
            <w:tcW w:w="877" w:type="dxa"/>
          </w:tcPr>
          <w:p w14:paraId="12EB4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68A8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A61AB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00AC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8EC7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3A175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04325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B4EBA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66490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AF7FB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66BB1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41B2AE68" w14:textId="77777777">
        <w:tc>
          <w:tcPr>
            <w:tcW w:w="675" w:type="dxa"/>
          </w:tcPr>
          <w:p w14:paraId="6CA814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877" w:type="dxa"/>
          </w:tcPr>
          <w:p w14:paraId="073405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ТБ1-2М17</w:t>
            </w:r>
          </w:p>
        </w:tc>
        <w:tc>
          <w:tcPr>
            <w:tcW w:w="877" w:type="dxa"/>
          </w:tcPr>
          <w:p w14:paraId="71C5A1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2х500</w:t>
            </w:r>
          </w:p>
        </w:tc>
        <w:tc>
          <w:tcPr>
            <w:tcW w:w="877" w:type="dxa"/>
          </w:tcPr>
          <w:p w14:paraId="45D19C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c>
          <w:tcPr>
            <w:tcW w:w="877" w:type="dxa"/>
          </w:tcPr>
          <w:p w14:paraId="157EA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7" w:type="dxa"/>
          </w:tcPr>
          <w:p w14:paraId="365A84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 на 3000</w:t>
            </w:r>
          </w:p>
        </w:tc>
        <w:tc>
          <w:tcPr>
            <w:tcW w:w="877" w:type="dxa"/>
          </w:tcPr>
          <w:p w14:paraId="499951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4800</w:t>
            </w:r>
          </w:p>
        </w:tc>
        <w:tc>
          <w:tcPr>
            <w:tcW w:w="877" w:type="dxa"/>
          </w:tcPr>
          <w:p w14:paraId="19E9C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6800</w:t>
            </w:r>
          </w:p>
        </w:tc>
        <w:tc>
          <w:tcPr>
            <w:tcW w:w="877" w:type="dxa"/>
          </w:tcPr>
          <w:p w14:paraId="39784C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2285</w:t>
            </w:r>
          </w:p>
        </w:tc>
        <w:tc>
          <w:tcPr>
            <w:tcW w:w="877" w:type="dxa"/>
          </w:tcPr>
          <w:p w14:paraId="5727B4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840/7 ч.</w:t>
            </w:r>
          </w:p>
        </w:tc>
        <w:tc>
          <w:tcPr>
            <w:tcW w:w="877" w:type="dxa"/>
          </w:tcPr>
          <w:p w14:paraId="29393D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6хпул., 730 кг</w:t>
            </w:r>
          </w:p>
        </w:tc>
        <w:tc>
          <w:tcPr>
            <w:tcW w:w="877" w:type="dxa"/>
          </w:tcPr>
          <w:p w14:paraId="13FE24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c>
          <w:tcPr>
            <w:tcW w:w="877" w:type="dxa"/>
          </w:tcPr>
          <w:p w14:paraId="17C37D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w:t>
            </w:r>
          </w:p>
        </w:tc>
      </w:tr>
      <w:tr w:rsidR="00DA227A" w:rsidRPr="00E93F40" w14:paraId="50EDF5D9" w14:textId="77777777">
        <w:tc>
          <w:tcPr>
            <w:tcW w:w="675" w:type="dxa"/>
          </w:tcPr>
          <w:p w14:paraId="7ED99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877" w:type="dxa"/>
          </w:tcPr>
          <w:p w14:paraId="7DB0E2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ТБ3-4М17</w:t>
            </w:r>
          </w:p>
        </w:tc>
        <w:tc>
          <w:tcPr>
            <w:tcW w:w="877" w:type="dxa"/>
          </w:tcPr>
          <w:p w14:paraId="05DDB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4х500</w:t>
            </w:r>
          </w:p>
        </w:tc>
        <w:tc>
          <w:tcPr>
            <w:tcW w:w="877" w:type="dxa"/>
          </w:tcPr>
          <w:p w14:paraId="270A7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213</w:t>
            </w:r>
          </w:p>
        </w:tc>
        <w:tc>
          <w:tcPr>
            <w:tcW w:w="877" w:type="dxa"/>
          </w:tcPr>
          <w:p w14:paraId="587EA7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7" w:type="dxa"/>
          </w:tcPr>
          <w:p w14:paraId="0DDFF1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47/3000</w:t>
            </w:r>
          </w:p>
        </w:tc>
        <w:tc>
          <w:tcPr>
            <w:tcW w:w="877" w:type="dxa"/>
          </w:tcPr>
          <w:p w14:paraId="63412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3700</w:t>
            </w:r>
          </w:p>
        </w:tc>
        <w:tc>
          <w:tcPr>
            <w:tcW w:w="877" w:type="dxa"/>
          </w:tcPr>
          <w:p w14:paraId="5584E0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17200</w:t>
            </w:r>
          </w:p>
        </w:tc>
        <w:tc>
          <w:tcPr>
            <w:tcW w:w="877" w:type="dxa"/>
          </w:tcPr>
          <w:p w14:paraId="65AE8E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6020-6550</w:t>
            </w:r>
          </w:p>
        </w:tc>
        <w:tc>
          <w:tcPr>
            <w:tcW w:w="877" w:type="dxa"/>
          </w:tcPr>
          <w:p w14:paraId="749E78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7" w:type="dxa"/>
          </w:tcPr>
          <w:p w14:paraId="7E8888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6хпул., 2000</w:t>
            </w:r>
          </w:p>
        </w:tc>
        <w:tc>
          <w:tcPr>
            <w:tcW w:w="877" w:type="dxa"/>
          </w:tcPr>
          <w:p w14:paraId="56E66F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w:t>
            </w:r>
          </w:p>
        </w:tc>
        <w:tc>
          <w:tcPr>
            <w:tcW w:w="877" w:type="dxa"/>
          </w:tcPr>
          <w:p w14:paraId="61533A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металл</w:t>
            </w:r>
          </w:p>
        </w:tc>
      </w:tr>
      <w:tr w:rsidR="00DA227A" w:rsidRPr="00E93F40" w14:paraId="5734B072" w14:textId="77777777">
        <w:tc>
          <w:tcPr>
            <w:tcW w:w="675" w:type="dxa"/>
          </w:tcPr>
          <w:p w14:paraId="53FD6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C90C1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Учебные</w:t>
            </w:r>
          </w:p>
        </w:tc>
        <w:tc>
          <w:tcPr>
            <w:tcW w:w="877" w:type="dxa"/>
          </w:tcPr>
          <w:p w14:paraId="184A3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1D9C2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A178E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04C8A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00B9F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8E3F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C82B2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D185B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A700A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746E9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066E7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75A67CB7" w14:textId="77777777">
        <w:tc>
          <w:tcPr>
            <w:tcW w:w="675" w:type="dxa"/>
          </w:tcPr>
          <w:p w14:paraId="1B61F6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p>
        </w:tc>
        <w:tc>
          <w:tcPr>
            <w:tcW w:w="877" w:type="dxa"/>
          </w:tcPr>
          <w:p w14:paraId="183C8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У1-М2</w:t>
            </w:r>
          </w:p>
        </w:tc>
        <w:tc>
          <w:tcPr>
            <w:tcW w:w="877" w:type="dxa"/>
          </w:tcPr>
          <w:p w14:paraId="658977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1х120</w:t>
            </w:r>
          </w:p>
        </w:tc>
        <w:tc>
          <w:tcPr>
            <w:tcW w:w="877" w:type="dxa"/>
          </w:tcPr>
          <w:p w14:paraId="65C9C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w:t>
            </w:r>
          </w:p>
        </w:tc>
        <w:tc>
          <w:tcPr>
            <w:tcW w:w="877" w:type="dxa"/>
          </w:tcPr>
          <w:p w14:paraId="0A145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122/2000</w:t>
            </w:r>
          </w:p>
        </w:tc>
        <w:tc>
          <w:tcPr>
            <w:tcW w:w="877" w:type="dxa"/>
          </w:tcPr>
          <w:p w14:paraId="4A54A8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w:t>
            </w:r>
          </w:p>
        </w:tc>
        <w:tc>
          <w:tcPr>
            <w:tcW w:w="877" w:type="dxa"/>
          </w:tcPr>
          <w:p w14:paraId="2CC11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c>
          <w:tcPr>
            <w:tcW w:w="877" w:type="dxa"/>
          </w:tcPr>
          <w:p w14:paraId="06679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c>
          <w:tcPr>
            <w:tcW w:w="877" w:type="dxa"/>
          </w:tcPr>
          <w:p w14:paraId="506B2F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w:t>
            </w:r>
          </w:p>
        </w:tc>
        <w:tc>
          <w:tcPr>
            <w:tcW w:w="877" w:type="dxa"/>
          </w:tcPr>
          <w:p w14:paraId="3B075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7" w:type="dxa"/>
          </w:tcPr>
          <w:p w14:paraId="23ABB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77" w:type="dxa"/>
          </w:tcPr>
          <w:p w14:paraId="0C9B64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877" w:type="dxa"/>
          </w:tcPr>
          <w:p w14:paraId="406820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r>
      <w:tr w:rsidR="00DA227A" w:rsidRPr="00E93F40" w14:paraId="055C51F2" w14:textId="77777777">
        <w:tc>
          <w:tcPr>
            <w:tcW w:w="675" w:type="dxa"/>
            <w:tcBorders>
              <w:bottom w:val="single" w:sz="12" w:space="0" w:color="auto"/>
            </w:tcBorders>
          </w:tcPr>
          <w:p w14:paraId="0F0B5E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877" w:type="dxa"/>
            <w:tcBorders>
              <w:bottom w:val="single" w:sz="12" w:space="0" w:color="auto"/>
            </w:tcBorders>
          </w:tcPr>
          <w:p w14:paraId="423C3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У2-М11</w:t>
            </w:r>
          </w:p>
        </w:tc>
        <w:tc>
          <w:tcPr>
            <w:tcW w:w="877" w:type="dxa"/>
            <w:tcBorders>
              <w:bottom w:val="single" w:sz="12" w:space="0" w:color="auto"/>
            </w:tcBorders>
          </w:tcPr>
          <w:p w14:paraId="1A0EF9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1х120</w:t>
            </w:r>
          </w:p>
        </w:tc>
        <w:tc>
          <w:tcPr>
            <w:tcW w:w="877" w:type="dxa"/>
            <w:tcBorders>
              <w:bottom w:val="single" w:sz="12" w:space="0" w:color="auto"/>
            </w:tcBorders>
          </w:tcPr>
          <w:p w14:paraId="4B7B98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877" w:type="dxa"/>
            <w:tcBorders>
              <w:bottom w:val="single" w:sz="12" w:space="0" w:color="auto"/>
            </w:tcBorders>
          </w:tcPr>
          <w:p w14:paraId="5F9C51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140/3000</w:t>
            </w:r>
          </w:p>
        </w:tc>
        <w:tc>
          <w:tcPr>
            <w:tcW w:w="877" w:type="dxa"/>
            <w:tcBorders>
              <w:bottom w:val="single" w:sz="12" w:space="0" w:color="auto"/>
            </w:tcBorders>
          </w:tcPr>
          <w:p w14:paraId="0AF08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c>
          <w:tcPr>
            <w:tcW w:w="877" w:type="dxa"/>
            <w:tcBorders>
              <w:bottom w:val="single" w:sz="12" w:space="0" w:color="auto"/>
            </w:tcBorders>
          </w:tcPr>
          <w:p w14:paraId="47CA8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2820</w:t>
            </w:r>
          </w:p>
        </w:tc>
        <w:tc>
          <w:tcPr>
            <w:tcW w:w="877" w:type="dxa"/>
            <w:tcBorders>
              <w:bottom w:val="single" w:sz="12" w:space="0" w:color="auto"/>
            </w:tcBorders>
          </w:tcPr>
          <w:p w14:paraId="405FB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890</w:t>
            </w:r>
          </w:p>
        </w:tc>
        <w:tc>
          <w:tcPr>
            <w:tcW w:w="877" w:type="dxa"/>
            <w:tcBorders>
              <w:bottom w:val="single" w:sz="12" w:space="0" w:color="auto"/>
            </w:tcBorders>
          </w:tcPr>
          <w:p w14:paraId="3200D6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255</w:t>
            </w:r>
          </w:p>
        </w:tc>
        <w:tc>
          <w:tcPr>
            <w:tcW w:w="877" w:type="dxa"/>
            <w:tcBorders>
              <w:bottom w:val="single" w:sz="12" w:space="0" w:color="auto"/>
            </w:tcBorders>
          </w:tcPr>
          <w:p w14:paraId="653701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ч.</w:t>
            </w:r>
          </w:p>
        </w:tc>
        <w:tc>
          <w:tcPr>
            <w:tcW w:w="877" w:type="dxa"/>
            <w:tcBorders>
              <w:bottom w:val="single" w:sz="12" w:space="0" w:color="auto"/>
            </w:tcBorders>
          </w:tcPr>
          <w:p w14:paraId="0A3442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Borders>
              <w:bottom w:val="single" w:sz="12" w:space="0" w:color="auto"/>
            </w:tcBorders>
          </w:tcPr>
          <w:p w14:paraId="11E758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877" w:type="dxa"/>
            <w:tcBorders>
              <w:bottom w:val="single" w:sz="12" w:space="0" w:color="auto"/>
            </w:tcBorders>
          </w:tcPr>
          <w:p w14:paraId="733CFA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дерево</w:t>
            </w:r>
          </w:p>
        </w:tc>
      </w:tr>
    </w:tbl>
    <w:p w14:paraId="41C053E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 и опытные организации системы Глававиапрома в 1-й пятилетке</w:t>
      </w:r>
    </w:p>
    <w:p w14:paraId="0A5FBE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(краткий очерк)</w:t>
      </w:r>
    </w:p>
    <w:p w14:paraId="161A33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Общие положения</w:t>
      </w:r>
    </w:p>
    <w:p w14:paraId="063464F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Развитие и достижения в области АП (самолето и моторостроения), являющейся материальной базой развития Советской авиации, неразрывно связаны с развитием НИ мысли и НИ и опытной работы соответствующих институтов и организаций в разрешении задач, стоящих перед Советской авиацией, как одним из основных и важнейших н/х участков, обеспечивающих выполнение общей большой задачи, поставленной перед пролетариатом Моюза Октябрьской Революцией.</w:t>
      </w:r>
    </w:p>
    <w:p w14:paraId="23116B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принять во анимание, что советская авиация должна была начать свое развитие почти с пустого места, а также чрезвычайно большие и ответственные требования, предъявляемые к ней, а также и к АП, бурным ростом социалистического строительства и интересами обороны страны, то тем самым становится ясным, какие грандиозные задачи в этом отношении поставлены перед НИО.</w:t>
      </w:r>
    </w:p>
    <w:p w14:paraId="6E48D62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Достижения в области авиации в течение первой пятилетки, четко сформулированные т. Сталиным, “у нас не было АП, у нас есть АП” - являются одновременно и достижениями в НИР в указанной области.</w:t>
      </w:r>
    </w:p>
    <w:p w14:paraId="7B4CF4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НИ мыслью стояла задача в минимальные сроки, ибо “история нам не дала много времени”, обеспечить Советскую авиацию самолетами и моторами по качеству не уступающими таковым ы странах передовой техники, и при том на базе отечественных материалов, т.к. в АП ввиду ее специфичности особенно остро стоит вопрос об освобождении от ингстранной зависимости.</w:t>
      </w:r>
    </w:p>
    <w:p w14:paraId="523AAA9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Эта большого размаха работа шла параллельно с искательством соответствующих организационных форм, могущих обеспечить в выполнении указанных выше задач максимальные результаты при минимальной затрате сил и средств.</w:t>
      </w:r>
    </w:p>
    <w:p w14:paraId="2FAFAB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Развитие организационных форм в НИР</w:t>
      </w:r>
    </w:p>
    <w:p w14:paraId="015C4AA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Путь пройденный развитием организационных форм и НИО в области авиации, это путь от разобщенных работ, проводимых в разных организациях, организационно между собой не связанных, что обусловило отсутствие увязки в работе и значительную оторванность проводимых работ от непосредственных и насущных задач авиационного строительства, - до организационно-окрепших находящихся в системе АП опытных организаций и НИИ, специализированных по возложенным на них задачам и точным формулированием направления и разреза этих задач.</w:t>
      </w:r>
    </w:p>
    <w:p w14:paraId="4CA9A0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началу 1-го года пятилетким при Авиатресте существовало лишь ЦКБ, объединившее тре отдела:</w:t>
      </w:r>
    </w:p>
    <w:p w14:paraId="2282C79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ОСС, находившегося при заводе № 25</w:t>
      </w:r>
    </w:p>
    <w:p w14:paraId="0E2F4E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ОМС, находившегося при заводах №№ 22 и 23</w:t>
      </w:r>
    </w:p>
    <w:p w14:paraId="47DCFD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КБМ, находившегося на заводе № 24</w:t>
      </w:r>
    </w:p>
    <w:p w14:paraId="03F043C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Вне системы АП в ведении НТПУ ВСНХ СССР находились два НИИ:</w:t>
      </w:r>
    </w:p>
    <w:p w14:paraId="336615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ЦАГИ (вопросы самолетостроения)</w:t>
      </w:r>
    </w:p>
    <w:p w14:paraId="6E43283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НАМИ (вопросы автостроения и авиадвигателей)</w:t>
      </w:r>
    </w:p>
    <w:p w14:paraId="216A5C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каждом из указанных институтов имелось КБ</w:t>
      </w:r>
    </w:p>
    <w:p w14:paraId="087840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1931 г. опытные и НИР сосредотачиваются уже в системах организаций, производящих или эксплуатирующих с-ты, непосредственно связывая указанные работы с выопросами, вытекающими из моментов производства и эксплоатации.</w:t>
      </w:r>
    </w:p>
    <w:p w14:paraId="0855286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Сюда относятся следующие НИО:</w:t>
      </w:r>
    </w:p>
    <w:p w14:paraId="45FABF5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ЦАГИ - находится в ведении РВС СССР</w:t>
      </w:r>
    </w:p>
    <w:p w14:paraId="3F8A7B7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Гражданский отдел опытного самолетостроения</w:t>
      </w:r>
    </w:p>
    <w:p w14:paraId="3EAF536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ЦКБ и БНК при заводе № 39 в системе ВАО</w:t>
      </w:r>
    </w:p>
    <w:p w14:paraId="67207C9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 г. является годом дальнейшей специализации и расширения опытных и НИО в области самолетостроения.</w:t>
      </w:r>
    </w:p>
    <w:p w14:paraId="6457F6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Из системы ЦАГИ выделяется винтомоторный отдел, а также отдел ветряных двигателей, реорганизованный в Ветро-энергетический институт, и гидравлический отдел, организованный в Гидроэнергетический институт.</w:t>
      </w:r>
    </w:p>
    <w:p w14:paraId="1D99A5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ЦАГИ находится завод опытного самолетостроения (ЗОК)</w:t>
      </w:r>
    </w:p>
    <w:p w14:paraId="2A61E2F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Усиливается КБ при заводе № 39 и производственная группа по вооружению УКВ и образуется на базе завода № 39 ЦКБ</w:t>
      </w:r>
    </w:p>
    <w:p w14:paraId="084E26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Организуется самостоятельное КБ (ГРОС) в Харькове с находящемся там же опытным заводом для проектирования с-тов гражданского типа (пассажирских, санитарных и пр.)</w:t>
      </w:r>
    </w:p>
    <w:p w14:paraId="393942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Распускается группа МОС (морское опытное самолетостроение), руководимая французским и Ришаром, и организуется с использованием личных и материальных ресурсов указанной группы БНК, как конструкторская группа советских инженеров и техников, руководимая инженером Лаваль.</w:t>
      </w:r>
    </w:p>
    <w:p w14:paraId="64A887C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Одновременно ставится основной вопрос объединения всех конструкторских и НИР по линии авиатехники в систему ВАО и передачи в связи с этим в указанную систему ЦАГИ с АГОСом и конструкторской группы ВОГФ (группа Путилова).</w:t>
      </w:r>
    </w:p>
    <w:p w14:paraId="306EA67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Вместе с тем становится также вопрос о создании СКБ при одном из водных бассейнов.</w:t>
      </w:r>
    </w:p>
    <w:p w14:paraId="1FF487F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Параллельно с концентрацией и специализацией опытных и НИО в области самолетостроения происходит то же и в области моторостроения, а именно:</w:t>
      </w:r>
    </w:p>
    <w:p w14:paraId="031097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Выделенный авиамоторный отдел ЦАГИ сливается с опытным отделом при заводе № 24 в единый институт авиационного мотростроения (ИАМ), где где сосредотачиваются все вопросы изучения моторов. При этом же институту органихзуется отдел испытания материалов.</w:t>
      </w:r>
    </w:p>
    <w:p w14:paraId="2E8B06E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организуются группы по изучению конструкций мотров, находящихся в серийном производстве, на заводах №№ 24, 26, 29.</w:t>
      </w:r>
    </w:p>
    <w:p w14:paraId="2694900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Производившаяся ломка организационных форм опытных и НИО, не успевших окрепнуть в достаточной степени и сосредоточить у себя необходимые средства и силы, обесловила наличие значительных недостатков в их работе:</w:t>
      </w:r>
    </w:p>
    <w:p w14:paraId="2C6651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Программа работ в области самолето и моторостроения страдала многотемностью и была слабо увязана с производственными возможностями АП</w:t>
      </w:r>
    </w:p>
    <w:p w14:paraId="6C5770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Наблюдался разрыв между конструированием с-тов и конструированием соответствующих моторов</w:t>
      </w:r>
    </w:p>
    <w:p w14:paraId="71782A0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с-ты ТБ4 и МИ-3 были сконструированы под моторы М35 и М-34Н, еще не существующие в то время.</w:t>
      </w:r>
    </w:p>
    <w:p w14:paraId="29F0E5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Опытные экземпляры внедрялись в серию невполне законченными и недоснабженными проектами специального технического снабжения (фото-радио, предметы связи, новые системы пулеметов, бомбодержателей и т.п.)</w:t>
      </w:r>
    </w:p>
    <w:p w14:paraId="199D3CF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 планах отсутствовали рекордные типы самолетов и моторов, обеспечивающие необходимый дальнейший технический прогресс в отношении:</w:t>
      </w:r>
    </w:p>
    <w:p w14:paraId="4038B1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скорости</w:t>
      </w:r>
    </w:p>
    <w:p w14:paraId="59FBEA2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радиуса действия</w:t>
      </w:r>
    </w:p>
    <w:p w14:paraId="3051E90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высоты</w:t>
      </w:r>
    </w:p>
    <w:p w14:paraId="516580B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Указанное обстоятельство вызвало необходимость дальнейшего усовершенствования организационных форм опытных и НИО в области авиации, проведенного в течение 1932.</w:t>
      </w:r>
    </w:p>
    <w:p w14:paraId="3E08D2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По линии самолетостроения</w:t>
      </w:r>
    </w:p>
    <w:p w14:paraId="73859A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Проводится реорганизационная перестройка структурных подразделений ЦАГИ, как научных, так и вспомогательных. При ЦАГИ образуются два самостоятельных сектора - НИ и опытный, в которых сосредотачиваются все опытные и НИР в области смолетостроения.</w:t>
      </w:r>
    </w:p>
    <w:p w14:paraId="677F07B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Перед научными и конструкторскими сидами, привлеченными к работе в ЦАГИ, поставлены следующие задачи:</w:t>
      </w:r>
    </w:p>
    <w:p w14:paraId="0F5811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Теоретические исследования в области автоматики и механики применительно к проблемам авиации и воздухоплавания</w:t>
      </w:r>
    </w:p>
    <w:p w14:paraId="40A299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НИ и ЭР в области аэродинамики и авиационных конструкций</w:t>
      </w:r>
    </w:p>
    <w:p w14:paraId="38F182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НИ и ОР в области быстроходных судов специального типа (глиссера и пр.)</w:t>
      </w:r>
    </w:p>
    <w:p w14:paraId="242E8FC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Работы в области прочности авиаконструкций</w:t>
      </w:r>
    </w:p>
    <w:p w14:paraId="294E548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Проектирование опытных конструкций и их оборудования</w:t>
      </w:r>
    </w:p>
    <w:p w14:paraId="3D0CADD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Изготовление опытных конструкций с-тов</w:t>
      </w:r>
    </w:p>
    <w:p w14:paraId="2A759D7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Производство испытаний в условиях эксплоатации опытных конструкций.</w:t>
      </w:r>
    </w:p>
    <w:p w14:paraId="7D26DD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ЦАГИ имеется бюро новых конструкций (БНК), разрабатывающее и строящее образцы этих оригинальных конструкций.</w:t>
      </w:r>
    </w:p>
    <w:p w14:paraId="5704FB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Организуется ХАЗОС, созданный путем слияния КБ ГРОС с серийным заводом ХАЗ, выпускающим самолеты конструкции ГРОС.</w:t>
      </w:r>
    </w:p>
    <w:p w14:paraId="7541F0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По линии моторостроения</w:t>
      </w:r>
    </w:p>
    <w:p w14:paraId="7DBD78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Производится окончательное оформление ЦИАМ, на каковой воздагаются следующие задачи:</w:t>
      </w:r>
    </w:p>
    <w:p w14:paraId="68C85BD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Создание новых типов АД на базе изучения новейших достижений авиамоторной техники и опыта заграничного и отечественного моторостроения</w:t>
      </w:r>
    </w:p>
    <w:p w14:paraId="69778A3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Внедрение в массовое производство Союза новых моторов и усовершенствование находящихся в производстве</w:t>
      </w:r>
    </w:p>
    <w:p w14:paraId="29FD39C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Систематическое изучение работы авиамоторных заводов и методлов производства на основе новейших достижений науки и техники.</w:t>
      </w:r>
    </w:p>
    <w:p w14:paraId="729ED8D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НИ теоретическая и экспериментальная работа в областях, соприкасающихся с авиамоторостроением в целях дальнейшего прогресся авиамоторнного дела.</w:t>
      </w:r>
    </w:p>
    <w:p w14:paraId="52F2985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Всестороннее и широкое ознакомление авиамоторной промышленности и технических кадров с достижениями авиационной техники и техпропаганда в области моторного дела</w:t>
      </w:r>
    </w:p>
    <w:p w14:paraId="3FCBE7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Содействие в подготовке кадров специалистов авиамоторного дела и повышение квалификации имеющихся</w:t>
      </w:r>
    </w:p>
    <w:p w14:paraId="0C8A554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и ОО при заводе № 29 проволят работу над созданием семьи маломощных моторов и мощного мотора воздушного озлажденияч, а также над совершенствованием серийных моторов, выпускаемых этим заводом.</w:t>
      </w:r>
    </w:p>
    <w:p w14:paraId="31F6A9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ЦАГИ, так и ЦИАМ, помимо НИО с многими лабораьтлриями, имеют заводы для изготовления опытных образцов.</w:t>
      </w:r>
    </w:p>
    <w:p w14:paraId="5EC27D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По линии материаловедения</w:t>
      </w:r>
    </w:p>
    <w:p w14:paraId="66679B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Путем объединения соответствующих отделов ЦАГИ (ОИАМ) и ЦИАМ (ОМИМ) организается специальный институт авиаматериаловедения ВИАМ с таким и задачами:</w:t>
      </w:r>
    </w:p>
    <w:p w14:paraId="2FC10E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Изусение материалов и сплавов, применяемых за границей</w:t>
      </w:r>
    </w:p>
    <w:p w14:paraId="1C4EFB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Повышение технических качеств материалов, применяемых в АП Союза на базе отечественного сырья</w:t>
      </w:r>
    </w:p>
    <w:p w14:paraId="1D1C51F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Внедренре новых материалов и сплавов и освоение их промышленностью на базе усовершенствованных технологических процессов</w:t>
      </w:r>
    </w:p>
    <w:p w14:paraId="6281FF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Освобождение от импортных материалов и сплавов и замена таковых отечественными, не уступающих первым в качестве</w:t>
      </w:r>
    </w:p>
    <w:p w14:paraId="30375C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Облегчение веса конструкций за счет применения более легких и высококачественных материалов.</w:t>
      </w:r>
    </w:p>
    <w:p w14:paraId="56DB3B5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Помимо вышеперечисленных организаций, НИР в области авиации ведут лаборатории ВУЗов системы ГУАП, при одной из них (ХАИ) ведется опытное строительство, как самолетов, так и моторов.</w:t>
      </w:r>
    </w:p>
    <w:p w14:paraId="3380AA5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концу же первой пятилетки начинает осуществляться через систему опытных заводов, организационно вхходящих в НИ сектор ГУАП, связт КБ с лабораториями и производством.</w:t>
      </w:r>
    </w:p>
    <w:p w14:paraId="6A1379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Проведенная к концу первой пятилетки реорганизация опытных и НИУ обеспечила возможность глубже и шире ставить вопросы сооздания ЛА не только равных, но и превосходящих по своим качествам заграничные образцы, при том на базе отечественных материалов и моторов, максимального сокращения применения дефицитных материалов и создания новых конструкций, обеспечивающих возможность быстройц массовой постройки.</w:t>
      </w:r>
    </w:p>
    <w:p w14:paraId="0824A4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Материальный рост опытных и НИО</w:t>
      </w:r>
    </w:p>
    <w:p w14:paraId="00B965A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 усовершенствованием и уточнением организационных форм и содержания работы опытных и НИО шел и их материальный рост, выразившийся во все большем нарастании в течение первой пятилетки количества работающих в них, сумм затрат на оперативную работу и КВ.</w:t>
      </w:r>
    </w:p>
    <w:p w14:paraId="637E4F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отдельным организациям это нарастение представляется в следующем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701"/>
        <w:gridCol w:w="851"/>
        <w:gridCol w:w="1701"/>
        <w:gridCol w:w="992"/>
        <w:gridCol w:w="1701"/>
        <w:gridCol w:w="851"/>
      </w:tblGrid>
      <w:tr w:rsidR="00DA227A" w:rsidRPr="00E93F40" w14:paraId="0F6966D1" w14:textId="77777777">
        <w:tc>
          <w:tcPr>
            <w:tcW w:w="675" w:type="dxa"/>
            <w:tcBorders>
              <w:top w:val="single" w:sz="12" w:space="0" w:color="auto"/>
            </w:tcBorders>
          </w:tcPr>
          <w:p w14:paraId="7FC091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12" w:space="0" w:color="auto"/>
            </w:tcBorders>
          </w:tcPr>
          <w:p w14:paraId="19A63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работающих</w:t>
            </w:r>
          </w:p>
        </w:tc>
        <w:tc>
          <w:tcPr>
            <w:tcW w:w="851" w:type="dxa"/>
            <w:tcBorders>
              <w:top w:val="single" w:sz="12" w:space="0" w:color="auto"/>
            </w:tcBorders>
          </w:tcPr>
          <w:p w14:paraId="187341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Borders>
              <w:top w:val="single" w:sz="12" w:space="0" w:color="auto"/>
            </w:tcBorders>
          </w:tcPr>
          <w:p w14:paraId="18B1E8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Оперативные затраты (тр)</w:t>
            </w:r>
          </w:p>
        </w:tc>
        <w:tc>
          <w:tcPr>
            <w:tcW w:w="992" w:type="dxa"/>
            <w:tcBorders>
              <w:top w:val="single" w:sz="12" w:space="0" w:color="auto"/>
            </w:tcBorders>
          </w:tcPr>
          <w:p w14:paraId="7C2288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Borders>
              <w:top w:val="single" w:sz="12" w:space="0" w:color="auto"/>
            </w:tcBorders>
          </w:tcPr>
          <w:p w14:paraId="53EB2D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КВ (тр)</w:t>
            </w:r>
          </w:p>
        </w:tc>
        <w:tc>
          <w:tcPr>
            <w:tcW w:w="851" w:type="dxa"/>
            <w:tcBorders>
              <w:top w:val="single" w:sz="12" w:space="0" w:color="auto"/>
            </w:tcBorders>
          </w:tcPr>
          <w:p w14:paraId="003BC1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1172411F" w14:textId="77777777">
        <w:tc>
          <w:tcPr>
            <w:tcW w:w="675" w:type="dxa"/>
          </w:tcPr>
          <w:p w14:paraId="599A0C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5E482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ЦАГИ</w:t>
            </w:r>
          </w:p>
        </w:tc>
        <w:tc>
          <w:tcPr>
            <w:tcW w:w="851" w:type="dxa"/>
          </w:tcPr>
          <w:p w14:paraId="2A5FC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7A76A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CBB8C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21A6E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1AE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3D164A1" w14:textId="77777777">
        <w:tc>
          <w:tcPr>
            <w:tcW w:w="675" w:type="dxa"/>
          </w:tcPr>
          <w:p w14:paraId="67390C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p>
        </w:tc>
        <w:tc>
          <w:tcPr>
            <w:tcW w:w="1701" w:type="dxa"/>
          </w:tcPr>
          <w:p w14:paraId="129F1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851" w:type="dxa"/>
          </w:tcPr>
          <w:p w14:paraId="7D545C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701" w:type="dxa"/>
          </w:tcPr>
          <w:p w14:paraId="285F9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2150</w:t>
            </w:r>
          </w:p>
        </w:tc>
        <w:tc>
          <w:tcPr>
            <w:tcW w:w="992" w:type="dxa"/>
          </w:tcPr>
          <w:p w14:paraId="7732E1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701" w:type="dxa"/>
          </w:tcPr>
          <w:p w14:paraId="761051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851" w:type="dxa"/>
          </w:tcPr>
          <w:p w14:paraId="6B1370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6C8D4243" w14:textId="77777777">
        <w:tc>
          <w:tcPr>
            <w:tcW w:w="675" w:type="dxa"/>
          </w:tcPr>
          <w:p w14:paraId="730E50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701" w:type="dxa"/>
          </w:tcPr>
          <w:p w14:paraId="0724BB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900</w:t>
            </w:r>
          </w:p>
        </w:tc>
        <w:tc>
          <w:tcPr>
            <w:tcW w:w="851" w:type="dxa"/>
          </w:tcPr>
          <w:p w14:paraId="2729FE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128</w:t>
            </w:r>
          </w:p>
        </w:tc>
        <w:tc>
          <w:tcPr>
            <w:tcW w:w="1701" w:type="dxa"/>
          </w:tcPr>
          <w:p w14:paraId="110FA7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2900</w:t>
            </w:r>
          </w:p>
        </w:tc>
        <w:tc>
          <w:tcPr>
            <w:tcW w:w="992" w:type="dxa"/>
          </w:tcPr>
          <w:p w14:paraId="20A71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132</w:t>
            </w:r>
          </w:p>
        </w:tc>
        <w:tc>
          <w:tcPr>
            <w:tcW w:w="1701" w:type="dxa"/>
          </w:tcPr>
          <w:p w14:paraId="44670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1200</w:t>
            </w:r>
          </w:p>
        </w:tc>
        <w:tc>
          <w:tcPr>
            <w:tcW w:w="851" w:type="dxa"/>
          </w:tcPr>
          <w:p w14:paraId="40B4A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437FB49F" w14:textId="77777777">
        <w:tc>
          <w:tcPr>
            <w:tcW w:w="675" w:type="dxa"/>
          </w:tcPr>
          <w:p w14:paraId="0233F2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701" w:type="dxa"/>
          </w:tcPr>
          <w:p w14:paraId="1DF2F9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1700</w:t>
            </w:r>
          </w:p>
        </w:tc>
        <w:tc>
          <w:tcPr>
            <w:tcW w:w="851" w:type="dxa"/>
          </w:tcPr>
          <w:p w14:paraId="0D482A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243</w:t>
            </w:r>
          </w:p>
        </w:tc>
        <w:tc>
          <w:tcPr>
            <w:tcW w:w="1701" w:type="dxa"/>
          </w:tcPr>
          <w:p w14:paraId="24A2DA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7800</w:t>
            </w:r>
          </w:p>
        </w:tc>
        <w:tc>
          <w:tcPr>
            <w:tcW w:w="992" w:type="dxa"/>
          </w:tcPr>
          <w:p w14:paraId="16B67F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363</w:t>
            </w:r>
          </w:p>
        </w:tc>
        <w:tc>
          <w:tcPr>
            <w:tcW w:w="1701" w:type="dxa"/>
          </w:tcPr>
          <w:p w14:paraId="7253DD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3400</w:t>
            </w:r>
          </w:p>
        </w:tc>
        <w:tc>
          <w:tcPr>
            <w:tcW w:w="851" w:type="dxa"/>
          </w:tcPr>
          <w:p w14:paraId="166F36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283</w:t>
            </w:r>
          </w:p>
        </w:tc>
      </w:tr>
      <w:tr w:rsidR="00DA227A" w:rsidRPr="00E93F40" w14:paraId="444540EF" w14:textId="77777777">
        <w:tc>
          <w:tcPr>
            <w:tcW w:w="675" w:type="dxa"/>
          </w:tcPr>
          <w:p w14:paraId="15410D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1701" w:type="dxa"/>
          </w:tcPr>
          <w:p w14:paraId="7B9DB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4300</w:t>
            </w:r>
          </w:p>
        </w:tc>
        <w:tc>
          <w:tcPr>
            <w:tcW w:w="851" w:type="dxa"/>
          </w:tcPr>
          <w:p w14:paraId="6D08D5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614</w:t>
            </w:r>
          </w:p>
        </w:tc>
        <w:tc>
          <w:tcPr>
            <w:tcW w:w="1701" w:type="dxa"/>
          </w:tcPr>
          <w:p w14:paraId="06F1C7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9600</w:t>
            </w:r>
          </w:p>
        </w:tc>
        <w:tc>
          <w:tcPr>
            <w:tcW w:w="992" w:type="dxa"/>
          </w:tcPr>
          <w:p w14:paraId="047551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445</w:t>
            </w:r>
          </w:p>
        </w:tc>
        <w:tc>
          <w:tcPr>
            <w:tcW w:w="1701" w:type="dxa"/>
          </w:tcPr>
          <w:p w14:paraId="23D747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5900</w:t>
            </w:r>
          </w:p>
        </w:tc>
        <w:tc>
          <w:tcPr>
            <w:tcW w:w="851" w:type="dxa"/>
          </w:tcPr>
          <w:p w14:paraId="14D180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491</w:t>
            </w:r>
          </w:p>
        </w:tc>
      </w:tr>
      <w:tr w:rsidR="00DA227A" w:rsidRPr="00E93F40" w14:paraId="4E2B3E2A" w14:textId="77777777">
        <w:tc>
          <w:tcPr>
            <w:tcW w:w="675" w:type="dxa"/>
          </w:tcPr>
          <w:p w14:paraId="2FD8DB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1701" w:type="dxa"/>
          </w:tcPr>
          <w:p w14:paraId="2D7BE6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7060</w:t>
            </w:r>
          </w:p>
        </w:tc>
        <w:tc>
          <w:tcPr>
            <w:tcW w:w="851" w:type="dxa"/>
          </w:tcPr>
          <w:p w14:paraId="05513B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1008</w:t>
            </w:r>
          </w:p>
        </w:tc>
        <w:tc>
          <w:tcPr>
            <w:tcW w:w="1701" w:type="dxa"/>
          </w:tcPr>
          <w:p w14:paraId="186F39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27000</w:t>
            </w:r>
          </w:p>
        </w:tc>
        <w:tc>
          <w:tcPr>
            <w:tcW w:w="992" w:type="dxa"/>
          </w:tcPr>
          <w:p w14:paraId="7DF165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1256</w:t>
            </w:r>
          </w:p>
        </w:tc>
        <w:tc>
          <w:tcPr>
            <w:tcW w:w="1701" w:type="dxa"/>
          </w:tcPr>
          <w:p w14:paraId="30C2D2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14600</w:t>
            </w:r>
          </w:p>
        </w:tc>
        <w:tc>
          <w:tcPr>
            <w:tcW w:w="851" w:type="dxa"/>
          </w:tcPr>
          <w:p w14:paraId="3D1AF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1216</w:t>
            </w:r>
          </w:p>
        </w:tc>
      </w:tr>
      <w:tr w:rsidR="00DA227A" w:rsidRPr="00E93F40" w14:paraId="2F4FC9C4" w14:textId="77777777">
        <w:tc>
          <w:tcPr>
            <w:tcW w:w="675" w:type="dxa"/>
          </w:tcPr>
          <w:p w14:paraId="6BFCAC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77BEC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ЦИАМ</w:t>
            </w:r>
          </w:p>
        </w:tc>
        <w:tc>
          <w:tcPr>
            <w:tcW w:w="851" w:type="dxa"/>
          </w:tcPr>
          <w:p w14:paraId="483C72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1F1FF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BE58F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0B477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4991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A8FC09C" w14:textId="77777777">
        <w:tc>
          <w:tcPr>
            <w:tcW w:w="675" w:type="dxa"/>
          </w:tcPr>
          <w:p w14:paraId="22FC36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701" w:type="dxa"/>
          </w:tcPr>
          <w:p w14:paraId="40CB4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520</w:t>
            </w:r>
          </w:p>
        </w:tc>
        <w:tc>
          <w:tcPr>
            <w:tcW w:w="851" w:type="dxa"/>
          </w:tcPr>
          <w:p w14:paraId="51EFD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701" w:type="dxa"/>
          </w:tcPr>
          <w:p w14:paraId="796D55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60</w:t>
            </w:r>
          </w:p>
        </w:tc>
        <w:tc>
          <w:tcPr>
            <w:tcW w:w="992" w:type="dxa"/>
          </w:tcPr>
          <w:p w14:paraId="7286F0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1701" w:type="dxa"/>
          </w:tcPr>
          <w:p w14:paraId="3DC5DC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6AA658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0F6CEAC3" w14:textId="77777777">
        <w:tc>
          <w:tcPr>
            <w:tcW w:w="675" w:type="dxa"/>
          </w:tcPr>
          <w:p w14:paraId="47DCD3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1701" w:type="dxa"/>
          </w:tcPr>
          <w:p w14:paraId="7DA109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2500</w:t>
            </w:r>
          </w:p>
        </w:tc>
        <w:tc>
          <w:tcPr>
            <w:tcW w:w="851" w:type="dxa"/>
          </w:tcPr>
          <w:p w14:paraId="25E436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400</w:t>
            </w:r>
          </w:p>
        </w:tc>
        <w:tc>
          <w:tcPr>
            <w:tcW w:w="1701" w:type="dxa"/>
          </w:tcPr>
          <w:p w14:paraId="3EF94D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5860</w:t>
            </w:r>
          </w:p>
        </w:tc>
        <w:tc>
          <w:tcPr>
            <w:tcW w:w="992" w:type="dxa"/>
          </w:tcPr>
          <w:p w14:paraId="7D3193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701" w:type="dxa"/>
          </w:tcPr>
          <w:p w14:paraId="71E78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4260</w:t>
            </w:r>
          </w:p>
        </w:tc>
        <w:tc>
          <w:tcPr>
            <w:tcW w:w="851" w:type="dxa"/>
          </w:tcPr>
          <w:p w14:paraId="5AD3EE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5242E229" w14:textId="77777777">
        <w:tc>
          <w:tcPr>
            <w:tcW w:w="675" w:type="dxa"/>
          </w:tcPr>
          <w:p w14:paraId="607707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1701" w:type="dxa"/>
          </w:tcPr>
          <w:p w14:paraId="51645F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4120</w:t>
            </w:r>
          </w:p>
        </w:tc>
        <w:tc>
          <w:tcPr>
            <w:tcW w:w="851" w:type="dxa"/>
          </w:tcPr>
          <w:p w14:paraId="12BB08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665</w:t>
            </w:r>
          </w:p>
        </w:tc>
        <w:tc>
          <w:tcPr>
            <w:tcW w:w="1701" w:type="dxa"/>
          </w:tcPr>
          <w:p w14:paraId="2C4F1F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15620</w:t>
            </w:r>
          </w:p>
        </w:tc>
        <w:tc>
          <w:tcPr>
            <w:tcW w:w="992" w:type="dxa"/>
          </w:tcPr>
          <w:p w14:paraId="72694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257</w:t>
            </w:r>
          </w:p>
        </w:tc>
        <w:tc>
          <w:tcPr>
            <w:tcW w:w="1701" w:type="dxa"/>
          </w:tcPr>
          <w:p w14:paraId="4C599F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10800</w:t>
            </w:r>
          </w:p>
        </w:tc>
        <w:tc>
          <w:tcPr>
            <w:tcW w:w="851" w:type="dxa"/>
          </w:tcPr>
          <w:p w14:paraId="254E91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255</w:t>
            </w:r>
          </w:p>
        </w:tc>
      </w:tr>
      <w:tr w:rsidR="00DA227A" w:rsidRPr="00E93F40" w14:paraId="7A92F9B7" w14:textId="77777777">
        <w:tc>
          <w:tcPr>
            <w:tcW w:w="675" w:type="dxa"/>
          </w:tcPr>
          <w:p w14:paraId="6AEB1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8D8AD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ГРОС</w:t>
            </w:r>
          </w:p>
        </w:tc>
        <w:tc>
          <w:tcPr>
            <w:tcW w:w="851" w:type="dxa"/>
          </w:tcPr>
          <w:p w14:paraId="0B8C3D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E2563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B79C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B1D45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EE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64C709EF" w14:textId="77777777">
        <w:tc>
          <w:tcPr>
            <w:tcW w:w="675" w:type="dxa"/>
          </w:tcPr>
          <w:p w14:paraId="7382E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701" w:type="dxa"/>
          </w:tcPr>
          <w:p w14:paraId="7FBF80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w:t>
            </w:r>
          </w:p>
        </w:tc>
        <w:tc>
          <w:tcPr>
            <w:tcW w:w="851" w:type="dxa"/>
          </w:tcPr>
          <w:p w14:paraId="70BDCF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701" w:type="dxa"/>
          </w:tcPr>
          <w:p w14:paraId="3CDCD1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330</w:t>
            </w:r>
          </w:p>
        </w:tc>
        <w:tc>
          <w:tcPr>
            <w:tcW w:w="992" w:type="dxa"/>
          </w:tcPr>
          <w:p w14:paraId="7E625D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701" w:type="dxa"/>
          </w:tcPr>
          <w:p w14:paraId="1E9701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c>
          <w:tcPr>
            <w:tcW w:w="851" w:type="dxa"/>
          </w:tcPr>
          <w:p w14:paraId="22319F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11B8663" w14:textId="77777777">
        <w:tc>
          <w:tcPr>
            <w:tcW w:w="675" w:type="dxa"/>
          </w:tcPr>
          <w:p w14:paraId="42D4F3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701" w:type="dxa"/>
          </w:tcPr>
          <w:p w14:paraId="7E7F58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w:t>
            </w:r>
          </w:p>
        </w:tc>
        <w:tc>
          <w:tcPr>
            <w:tcW w:w="851" w:type="dxa"/>
          </w:tcPr>
          <w:p w14:paraId="767242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w:t>
            </w:r>
          </w:p>
        </w:tc>
        <w:tc>
          <w:tcPr>
            <w:tcW w:w="1701" w:type="dxa"/>
          </w:tcPr>
          <w:p w14:paraId="186723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1100</w:t>
            </w:r>
          </w:p>
        </w:tc>
        <w:tc>
          <w:tcPr>
            <w:tcW w:w="992" w:type="dxa"/>
          </w:tcPr>
          <w:p w14:paraId="47C2F1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334</w:t>
            </w:r>
          </w:p>
        </w:tc>
        <w:tc>
          <w:tcPr>
            <w:tcW w:w="1701" w:type="dxa"/>
          </w:tcPr>
          <w:p w14:paraId="1CB3F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120</w:t>
            </w:r>
          </w:p>
        </w:tc>
        <w:tc>
          <w:tcPr>
            <w:tcW w:w="851" w:type="dxa"/>
          </w:tcPr>
          <w:p w14:paraId="3FF7D1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1842E013" w14:textId="77777777">
        <w:tc>
          <w:tcPr>
            <w:tcW w:w="675" w:type="dxa"/>
          </w:tcPr>
          <w:p w14:paraId="37FF53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1701" w:type="dxa"/>
          </w:tcPr>
          <w:p w14:paraId="592C0B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350</w:t>
            </w:r>
          </w:p>
        </w:tc>
        <w:tc>
          <w:tcPr>
            <w:tcW w:w="851" w:type="dxa"/>
          </w:tcPr>
          <w:p w14:paraId="09C660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480</w:t>
            </w:r>
          </w:p>
        </w:tc>
        <w:tc>
          <w:tcPr>
            <w:tcW w:w="1701" w:type="dxa"/>
          </w:tcPr>
          <w:p w14:paraId="1A8124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1500</w:t>
            </w:r>
          </w:p>
        </w:tc>
        <w:tc>
          <w:tcPr>
            <w:tcW w:w="992" w:type="dxa"/>
          </w:tcPr>
          <w:p w14:paraId="6757FE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454</w:t>
            </w:r>
          </w:p>
        </w:tc>
        <w:tc>
          <w:tcPr>
            <w:tcW w:w="1701" w:type="dxa"/>
          </w:tcPr>
          <w:p w14:paraId="35C07D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851" w:type="dxa"/>
          </w:tcPr>
          <w:p w14:paraId="34A77B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660</w:t>
            </w:r>
          </w:p>
        </w:tc>
      </w:tr>
      <w:tr w:rsidR="00DA227A" w:rsidRPr="00E93F40" w14:paraId="36ED9198" w14:textId="77777777">
        <w:tc>
          <w:tcPr>
            <w:tcW w:w="675" w:type="dxa"/>
          </w:tcPr>
          <w:p w14:paraId="589AE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1701" w:type="dxa"/>
          </w:tcPr>
          <w:p w14:paraId="49A79F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537</w:t>
            </w:r>
          </w:p>
        </w:tc>
        <w:tc>
          <w:tcPr>
            <w:tcW w:w="851" w:type="dxa"/>
          </w:tcPr>
          <w:p w14:paraId="3EA6A1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736</w:t>
            </w:r>
          </w:p>
        </w:tc>
        <w:tc>
          <w:tcPr>
            <w:tcW w:w="1701" w:type="dxa"/>
          </w:tcPr>
          <w:p w14:paraId="198D53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3100</w:t>
            </w:r>
          </w:p>
        </w:tc>
        <w:tc>
          <w:tcPr>
            <w:tcW w:w="992" w:type="dxa"/>
          </w:tcPr>
          <w:p w14:paraId="5DD11B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940</w:t>
            </w:r>
          </w:p>
        </w:tc>
        <w:tc>
          <w:tcPr>
            <w:tcW w:w="1701" w:type="dxa"/>
          </w:tcPr>
          <w:p w14:paraId="3A244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2300</w:t>
            </w:r>
          </w:p>
        </w:tc>
        <w:tc>
          <w:tcPr>
            <w:tcW w:w="851" w:type="dxa"/>
          </w:tcPr>
          <w:p w14:paraId="1BE4E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1900</w:t>
            </w:r>
          </w:p>
        </w:tc>
      </w:tr>
      <w:tr w:rsidR="00DA227A" w:rsidRPr="00E93F40" w14:paraId="0B02D463" w14:textId="77777777">
        <w:tc>
          <w:tcPr>
            <w:tcW w:w="675" w:type="dxa"/>
          </w:tcPr>
          <w:p w14:paraId="52F73B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1A607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Всех</w:t>
            </w:r>
          </w:p>
        </w:tc>
        <w:tc>
          <w:tcPr>
            <w:tcW w:w="851" w:type="dxa"/>
          </w:tcPr>
          <w:p w14:paraId="0982AD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53B86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7B1F0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070CA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1000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r>
      <w:tr w:rsidR="00DA227A" w:rsidRPr="00E93F40" w14:paraId="2B82D608" w14:textId="77777777">
        <w:tc>
          <w:tcPr>
            <w:tcW w:w="675" w:type="dxa"/>
          </w:tcPr>
          <w:p w14:paraId="069A91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p>
        </w:tc>
        <w:tc>
          <w:tcPr>
            <w:tcW w:w="1701" w:type="dxa"/>
          </w:tcPr>
          <w:p w14:paraId="72D4D2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69B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701" w:type="dxa"/>
          </w:tcPr>
          <w:p w14:paraId="51D322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DFF2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c>
          <w:tcPr>
            <w:tcW w:w="1701" w:type="dxa"/>
          </w:tcPr>
          <w:p w14:paraId="496F9C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C311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0961D07A" w14:textId="77777777">
        <w:tc>
          <w:tcPr>
            <w:tcW w:w="675" w:type="dxa"/>
          </w:tcPr>
          <w:p w14:paraId="5559C0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1929</w:t>
            </w:r>
          </w:p>
        </w:tc>
        <w:tc>
          <w:tcPr>
            <w:tcW w:w="1701" w:type="dxa"/>
          </w:tcPr>
          <w:p w14:paraId="6F458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EFB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139</w:t>
            </w:r>
          </w:p>
        </w:tc>
        <w:tc>
          <w:tcPr>
            <w:tcW w:w="1701" w:type="dxa"/>
          </w:tcPr>
          <w:p w14:paraId="001ABE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D05C9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w:t>
            </w:r>
          </w:p>
        </w:tc>
        <w:tc>
          <w:tcPr>
            <w:tcW w:w="1701" w:type="dxa"/>
          </w:tcPr>
          <w:p w14:paraId="021229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C63E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100</w:t>
            </w:r>
          </w:p>
        </w:tc>
      </w:tr>
      <w:tr w:rsidR="00DA227A" w:rsidRPr="00E93F40" w14:paraId="54D1DF57" w14:textId="77777777">
        <w:tc>
          <w:tcPr>
            <w:tcW w:w="675" w:type="dxa"/>
          </w:tcPr>
          <w:p w14:paraId="08878D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701" w:type="dxa"/>
          </w:tcPr>
          <w:p w14:paraId="534A1F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B805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1358</w:t>
            </w:r>
          </w:p>
        </w:tc>
        <w:tc>
          <w:tcPr>
            <w:tcW w:w="1701" w:type="dxa"/>
          </w:tcPr>
          <w:p w14:paraId="77BD3B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18F06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407</w:t>
            </w:r>
          </w:p>
        </w:tc>
        <w:tc>
          <w:tcPr>
            <w:tcW w:w="1701" w:type="dxa"/>
          </w:tcPr>
          <w:p w14:paraId="56F3F0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6CD2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298</w:t>
            </w:r>
          </w:p>
        </w:tc>
      </w:tr>
      <w:tr w:rsidR="00DA227A" w:rsidRPr="00E93F40" w14:paraId="78246D57" w14:textId="77777777">
        <w:tc>
          <w:tcPr>
            <w:tcW w:w="675" w:type="dxa"/>
          </w:tcPr>
          <w:p w14:paraId="1271DF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1701" w:type="dxa"/>
          </w:tcPr>
          <w:p w14:paraId="35972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DE2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1020</w:t>
            </w:r>
          </w:p>
        </w:tc>
        <w:tc>
          <w:tcPr>
            <w:tcW w:w="1701" w:type="dxa"/>
          </w:tcPr>
          <w:p w14:paraId="43ACA8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1DB12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773</w:t>
            </w:r>
          </w:p>
        </w:tc>
        <w:tc>
          <w:tcPr>
            <w:tcW w:w="1701" w:type="dxa"/>
          </w:tcPr>
          <w:p w14:paraId="5C5FCD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51D3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916</w:t>
            </w:r>
          </w:p>
        </w:tc>
      </w:tr>
      <w:tr w:rsidR="00DA227A" w:rsidRPr="00E93F40" w14:paraId="69FCF3A1" w14:textId="77777777">
        <w:tc>
          <w:tcPr>
            <w:tcW w:w="675" w:type="dxa"/>
            <w:tcBorders>
              <w:bottom w:val="single" w:sz="12" w:space="0" w:color="auto"/>
            </w:tcBorders>
          </w:tcPr>
          <w:p w14:paraId="288395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1701" w:type="dxa"/>
            <w:tcBorders>
              <w:bottom w:val="single" w:sz="12" w:space="0" w:color="auto"/>
            </w:tcBorders>
          </w:tcPr>
          <w:p w14:paraId="5AFE88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71C6CC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1674</w:t>
            </w:r>
          </w:p>
        </w:tc>
        <w:tc>
          <w:tcPr>
            <w:tcW w:w="1701" w:type="dxa"/>
            <w:tcBorders>
              <w:bottom w:val="single" w:sz="12" w:space="0" w:color="auto"/>
            </w:tcBorders>
          </w:tcPr>
          <w:p w14:paraId="729386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20A0B5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2141</w:t>
            </w:r>
          </w:p>
        </w:tc>
        <w:tc>
          <w:tcPr>
            <w:tcW w:w="1701" w:type="dxa"/>
            <w:tcBorders>
              <w:bottom w:val="single" w:sz="12" w:space="0" w:color="auto"/>
            </w:tcBorders>
          </w:tcPr>
          <w:p w14:paraId="506BD8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54700F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2659</w:t>
            </w:r>
          </w:p>
        </w:tc>
      </w:tr>
    </w:tbl>
    <w:p w14:paraId="281B45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Достижения авиационной техники в области опытных и НИР в первой пятелетки</w:t>
      </w:r>
    </w:p>
    <w:p w14:paraId="39555D4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Наряду с усовершенствованием и уточнением организационных форм НИ и опаытных организаций шло развитие и усовершенствование работы этих организаций, которая особенно развернулась начиная с 1931 г. с момента начала укрепления организационных форм.</w:t>
      </w:r>
    </w:p>
    <w:p w14:paraId="1AE9172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Важнейшие проведенные работы в области самолетостроения</w:t>
      </w:r>
    </w:p>
    <w:p w14:paraId="7B2A3E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Теоретические работы</w:t>
      </w:r>
    </w:p>
    <w:p w14:paraId="1EB0C1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Проработка методлики определения свойств на штопор проектируемых с-тов путем теоретического и экспериментального исследования и проведены усовершенствования конструкции и рационализация методики уже в период первых испытаний.</w:t>
      </w:r>
    </w:p>
    <w:p w14:paraId="7E0711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Исследование на штопор почти закончено и это должно обеспечить возможность кспешного разрешения задачи создания с-тов легко входящих и выходящих из штопора и машин, не переходящих в штопор, и этим ликвидировать случаи катастроф, происходящих не по ошибке л, а в силу неудачных конструктивных данных.</w:t>
      </w:r>
    </w:p>
    <w:p w14:paraId="702672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На основе изучения и точного определения величин всех действующих сил и точек их приложения к распределению между отдельными частями конструкции с-та - усовершенствован метод расчета самолета при проектировании и достигнуто значительное улучшение аэродинамических качеств с-тов (лучшая обтекаемость, лучшая форма сочетания крыльев с фюзеляжем, новые конструкции капотов на моторы и т.д.), а также установлены новые нормы прочности с-тов, ведущие к повышению л.т.д.</w:t>
      </w:r>
    </w:p>
    <w:p w14:paraId="0E11A9C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Проведена большая работа ЭАО ЦАГИ путем экспериментального исследования по изучению разрезных крыльев, теория свойств которых, несмотря на их значительную распространенность, не балы достаточно установлена. На практике приходилось сталкиваться с целвм рячдом затруднений, не могущих быть разрешенными на основании опубликованных иностранных материалов.</w:t>
      </w:r>
    </w:p>
    <w:p w14:paraId="56AA3BB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Результаты исслоедований ЦАГИ выявили следующие достоинства и недостатки разрезных крыльев.</w:t>
      </w:r>
    </w:p>
    <w:p w14:paraId="5BC2875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Достоинства:</w:t>
      </w:r>
    </w:p>
    <w:p w14:paraId="50CF11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Управляемость на малых скоростях</w:t>
      </w:r>
    </w:p>
    <w:p w14:paraId="32F0DFC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Уменьшение разбега и пробега</w:t>
      </w:r>
    </w:p>
    <w:p w14:paraId="5DC5FE8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Уменьшение минимальной посадочной скорости</w:t>
      </w:r>
    </w:p>
    <w:p w14:paraId="0FC373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Безопасное увеличение угла взлета и планирования</w:t>
      </w:r>
    </w:p>
    <w:p w14:paraId="58439CA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Недостатки:</w:t>
      </w:r>
    </w:p>
    <w:p w14:paraId="34DE4E3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Утяжеление конструкции</w:t>
      </w:r>
    </w:p>
    <w:p w14:paraId="4F6ABA9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Увеличение лобового сопротивления</w:t>
      </w:r>
    </w:p>
    <w:p w14:paraId="4C85184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Усложнение конструкции крыльев</w:t>
      </w:r>
    </w:p>
    <w:p w14:paraId="2902664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Усложнение управления</w:t>
      </w:r>
    </w:p>
    <w:p w14:paraId="5C1B0B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Уменьшение максимальной скорости.</w:t>
      </w:r>
    </w:p>
    <w:p w14:paraId="149C1A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Проведено изучение вопросов вибрации, в частности вибрации крыльев, что позволило иметь самолеты типа моноплана без подкосов с исключительно большим размахом крыльев (РД), что привело к повышению лтд.</w:t>
      </w:r>
    </w:p>
    <w:p w14:paraId="43B1B03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Изучены аэродинамические свойства воздуха применительно к самолету. Результаты этой работы нашли свое применение и в других отраслях н/х</w:t>
      </w:r>
    </w:p>
    <w:p w14:paraId="12C1F04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 На основе усовершенствованной общей аэродинамики с-тов достигнуто увеличение скорости находящихся на снабжении истребителей путем применения специально разработанных колей типа Тауненда и обтекателей для колес.</w:t>
      </w:r>
    </w:p>
    <w:p w14:paraId="352C3D9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Проведены большие работы, являющиеся единственными в СССР, в области аэродинамики дирижаблей, что обеспечило опытное дирижаблестроение в Союзе</w:t>
      </w:r>
    </w:p>
    <w:p w14:paraId="7D42D9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Формы воздушных кораблей Б-2 и Б-3, данные ЦАГИ, приняты Дирижаблестроем без изменений, как и формы проектируемого Нобиле малого полужесткого дирижабля 1700 м </w:t>
      </w:r>
    </w:p>
    <w:p w14:paraId="088F130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На основе проведенной большой экспериментальной работы установлена наивыгоднейшая форма топед</w:t>
      </w:r>
    </w:p>
    <w:p w14:paraId="73DA05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9. Регение Правительства от 23 июля 1932 обязало </w:t>
      </w:r>
      <w:r w:rsidR="00F049B2" w:rsidRPr="00E93F40">
        <w:rPr>
          <w:rFonts w:ascii="Times New Roman" w:hAnsi="Times New Roman"/>
          <w:i/>
          <w:color w:val="000000" w:themeColor="text1"/>
          <w:sz w:val="16"/>
          <w:szCs w:val="16"/>
        </w:rPr>
        <w:t>Авиапромышленность:</w:t>
      </w:r>
    </w:p>
    <w:p w14:paraId="0E0F19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выпустить в 1932 первую лпытную партию тормозных колес размером 900х200 к Р-5 - 100 комплектов и 1350х300 к самолету ТБ-3 - 100 комплектов</w:t>
      </w:r>
    </w:p>
    <w:p w14:paraId="74538F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с 1933 высе выпускаемые промышленностью самолеты перевести на тормозные колеса и масляные амортизаторы</w:t>
      </w:r>
    </w:p>
    <w:p w14:paraId="44A8E5E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связи с этим постановлением дано указание ЦАГИ не строить без тормозных колес, а также поставить на тормозные колеса боевые с-ты, находящиеся на снабжении, начиная с определенных целей.</w:t>
      </w:r>
    </w:p>
    <w:p w14:paraId="1E8985A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было дано задание создать несколько систем управления тормозами, а именно: механическую, гидравлическую, пневматическую</w:t>
      </w:r>
    </w:p>
    <w:p w14:paraId="1CD8EE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указанной работе были подключены заворду ГУАП №№ 32, 34, им. Ворошилова и Шарикоподшипник</w:t>
      </w:r>
    </w:p>
    <w:p w14:paraId="4951ACD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результате были посмтроены три пары колес 900х200 (Р-5, ТИ, МИ-3) - образцы завода № 39, ЗОУом ЦАГИ было освоено электронное литье тормозных барабанов, сделано два тормозных шасси, посталенных на Р-5, испытаниы на с-те ТИ-2 колеса и управление 900х200 образца завода № 39 и к концу 1932 начата подшготовка внедрения их в серию.</w:t>
      </w:r>
    </w:p>
    <w:p w14:paraId="5D61AD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Конструкторские работы</w:t>
      </w:r>
    </w:p>
    <w:p w14:paraId="073C3EE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этим работам относятся:</w:t>
      </w:r>
    </w:p>
    <w:p w14:paraId="2D4520C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Постройка 40местного металлического пассажирского с-та АНТ-14, не уступающего по своим качествам лучшим образцам мощнейших иностранных пассажирских с-тов, как по своей весовой отдаче, так и по своим летным данным, что можно видеть из следующих сопоставлений:</w:t>
      </w:r>
    </w:p>
    <w:p w14:paraId="5007EA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 Весовые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2268"/>
      </w:tblGrid>
      <w:tr w:rsidR="00DA227A" w:rsidRPr="00E93F40" w14:paraId="675D9E83" w14:textId="77777777">
        <w:tc>
          <w:tcPr>
            <w:tcW w:w="1951" w:type="dxa"/>
            <w:tcBorders>
              <w:top w:val="single" w:sz="12" w:space="0" w:color="auto"/>
            </w:tcBorders>
            <w:shd w:val="clear" w:color="auto" w:fill="FFFFFF"/>
          </w:tcPr>
          <w:p w14:paraId="5ABD34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Италия</w:t>
            </w:r>
          </w:p>
        </w:tc>
        <w:tc>
          <w:tcPr>
            <w:tcW w:w="2126" w:type="dxa"/>
            <w:tcBorders>
              <w:top w:val="single" w:sz="12" w:space="0" w:color="auto"/>
            </w:tcBorders>
            <w:shd w:val="clear" w:color="auto" w:fill="FFFFFF"/>
          </w:tcPr>
          <w:p w14:paraId="2798DA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Капрони</w:t>
            </w:r>
          </w:p>
        </w:tc>
        <w:tc>
          <w:tcPr>
            <w:tcW w:w="2268" w:type="dxa"/>
            <w:tcBorders>
              <w:top w:val="single" w:sz="12" w:space="0" w:color="auto"/>
            </w:tcBorders>
            <w:shd w:val="clear" w:color="auto" w:fill="FFFFFF"/>
          </w:tcPr>
          <w:p w14:paraId="2E0094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 т</w:t>
            </w:r>
          </w:p>
        </w:tc>
      </w:tr>
      <w:tr w:rsidR="00DA227A" w:rsidRPr="00E93F40" w14:paraId="2FD1F691" w14:textId="77777777">
        <w:tc>
          <w:tcPr>
            <w:tcW w:w="1951" w:type="dxa"/>
            <w:shd w:val="clear" w:color="auto" w:fill="FFFFFF"/>
          </w:tcPr>
          <w:p w14:paraId="0D96E8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Франция</w:t>
            </w:r>
          </w:p>
        </w:tc>
        <w:tc>
          <w:tcPr>
            <w:tcW w:w="2126" w:type="dxa"/>
            <w:shd w:val="clear" w:color="auto" w:fill="FFFFFF"/>
          </w:tcPr>
          <w:p w14:paraId="7169DE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Диль Бакалан</w:t>
            </w:r>
          </w:p>
        </w:tc>
        <w:tc>
          <w:tcPr>
            <w:tcW w:w="2268" w:type="dxa"/>
            <w:shd w:val="clear" w:color="auto" w:fill="FFFFFF"/>
          </w:tcPr>
          <w:p w14:paraId="0579E1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w:t>
            </w:r>
          </w:p>
        </w:tc>
      </w:tr>
      <w:tr w:rsidR="00DA227A" w:rsidRPr="00E93F40" w14:paraId="5A13D1B5" w14:textId="77777777">
        <w:tc>
          <w:tcPr>
            <w:tcW w:w="1951" w:type="dxa"/>
            <w:shd w:val="clear" w:color="auto" w:fill="FFFFFF"/>
          </w:tcPr>
          <w:p w14:paraId="24ECF6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САСШ</w:t>
            </w:r>
          </w:p>
        </w:tc>
        <w:tc>
          <w:tcPr>
            <w:tcW w:w="2126" w:type="dxa"/>
            <w:shd w:val="clear" w:color="auto" w:fill="FFFFFF"/>
          </w:tcPr>
          <w:p w14:paraId="31A79D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Холл КР2Н1</w:t>
            </w:r>
          </w:p>
        </w:tc>
        <w:tc>
          <w:tcPr>
            <w:tcW w:w="2268" w:type="dxa"/>
            <w:shd w:val="clear" w:color="auto" w:fill="FFFFFF"/>
          </w:tcPr>
          <w:p w14:paraId="0653DB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14,4</w:t>
            </w:r>
          </w:p>
        </w:tc>
      </w:tr>
      <w:tr w:rsidR="00DA227A" w:rsidRPr="00E93F40" w14:paraId="2E178D9F" w14:textId="77777777">
        <w:tc>
          <w:tcPr>
            <w:tcW w:w="1951" w:type="dxa"/>
            <w:shd w:val="clear" w:color="auto" w:fill="FFFFFF"/>
          </w:tcPr>
          <w:p w14:paraId="4560F2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Англия</w:t>
            </w:r>
          </w:p>
        </w:tc>
        <w:tc>
          <w:tcPr>
            <w:tcW w:w="2126" w:type="dxa"/>
            <w:shd w:val="clear" w:color="auto" w:fill="FFFFFF"/>
          </w:tcPr>
          <w:p w14:paraId="334FB1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Порт Валетти</w:t>
            </w:r>
          </w:p>
        </w:tc>
        <w:tc>
          <w:tcPr>
            <w:tcW w:w="2268" w:type="dxa"/>
            <w:shd w:val="clear" w:color="auto" w:fill="FFFFFF"/>
          </w:tcPr>
          <w:p w14:paraId="13653E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13,5</w:t>
            </w:r>
          </w:p>
        </w:tc>
      </w:tr>
      <w:tr w:rsidR="00DA227A" w:rsidRPr="00E93F40" w14:paraId="61071A57" w14:textId="77777777">
        <w:tc>
          <w:tcPr>
            <w:tcW w:w="1951" w:type="dxa"/>
            <w:shd w:val="clear" w:color="auto" w:fill="FFFFFF"/>
          </w:tcPr>
          <w:p w14:paraId="58A0D9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Германия</w:t>
            </w:r>
          </w:p>
        </w:tc>
        <w:tc>
          <w:tcPr>
            <w:tcW w:w="2126" w:type="dxa"/>
            <w:shd w:val="clear" w:color="auto" w:fill="FFFFFF"/>
          </w:tcPr>
          <w:p w14:paraId="2DD5A9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Юнкерс</w:t>
            </w:r>
          </w:p>
        </w:tc>
        <w:tc>
          <w:tcPr>
            <w:tcW w:w="2268" w:type="dxa"/>
            <w:shd w:val="clear" w:color="auto" w:fill="FFFFFF"/>
          </w:tcPr>
          <w:p w14:paraId="78D36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w:t>
            </w:r>
          </w:p>
        </w:tc>
      </w:tr>
      <w:tr w:rsidR="00DA227A" w:rsidRPr="00E93F40" w14:paraId="333FC63D" w14:textId="77777777">
        <w:tc>
          <w:tcPr>
            <w:tcW w:w="1951" w:type="dxa"/>
            <w:tcBorders>
              <w:bottom w:val="single" w:sz="12" w:space="0" w:color="auto"/>
            </w:tcBorders>
            <w:shd w:val="clear" w:color="auto" w:fill="FFFFFF"/>
          </w:tcPr>
          <w:p w14:paraId="688A5B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w:t>
            </w:r>
          </w:p>
        </w:tc>
        <w:tc>
          <w:tcPr>
            <w:tcW w:w="2126" w:type="dxa"/>
            <w:tcBorders>
              <w:bottom w:val="single" w:sz="12" w:space="0" w:color="auto"/>
            </w:tcBorders>
            <w:shd w:val="clear" w:color="auto" w:fill="FFFFFF"/>
          </w:tcPr>
          <w:p w14:paraId="1ED73E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АНТ-14</w:t>
            </w:r>
          </w:p>
        </w:tc>
        <w:tc>
          <w:tcPr>
            <w:tcW w:w="2268" w:type="dxa"/>
            <w:tcBorders>
              <w:bottom w:val="single" w:sz="12" w:space="0" w:color="auto"/>
            </w:tcBorders>
            <w:shd w:val="clear" w:color="auto" w:fill="FFFFFF"/>
          </w:tcPr>
          <w:p w14:paraId="427C3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17,5</w:t>
            </w:r>
          </w:p>
        </w:tc>
      </w:tr>
    </w:tbl>
    <w:p w14:paraId="30A4DE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 Весовая отдача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2126"/>
      </w:tblGrid>
      <w:tr w:rsidR="00DA227A" w:rsidRPr="00E93F40" w14:paraId="614EB3E9" w14:textId="77777777">
        <w:tc>
          <w:tcPr>
            <w:tcW w:w="1951" w:type="dxa"/>
            <w:tcBorders>
              <w:top w:val="single" w:sz="12" w:space="0" w:color="auto"/>
            </w:tcBorders>
            <w:shd w:val="clear" w:color="auto" w:fill="FFFFFF"/>
          </w:tcPr>
          <w:p w14:paraId="4004A4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АНТ-14</w:t>
            </w:r>
          </w:p>
        </w:tc>
        <w:tc>
          <w:tcPr>
            <w:tcW w:w="2126" w:type="dxa"/>
            <w:tcBorders>
              <w:top w:val="single" w:sz="12" w:space="0" w:color="auto"/>
            </w:tcBorders>
            <w:shd w:val="clear" w:color="auto" w:fill="FFFFFF"/>
          </w:tcPr>
          <w:p w14:paraId="0D250C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38,3%</w:t>
            </w:r>
          </w:p>
        </w:tc>
      </w:tr>
      <w:tr w:rsidR="00DA227A" w:rsidRPr="00E93F40" w14:paraId="6969F90F" w14:textId="77777777">
        <w:tc>
          <w:tcPr>
            <w:tcW w:w="1951" w:type="dxa"/>
            <w:shd w:val="clear" w:color="auto" w:fill="FFFFFF"/>
          </w:tcPr>
          <w:p w14:paraId="2358E9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Юнкерс</w:t>
            </w:r>
          </w:p>
        </w:tc>
        <w:tc>
          <w:tcPr>
            <w:tcW w:w="2126" w:type="dxa"/>
            <w:shd w:val="clear" w:color="auto" w:fill="FFFFFF"/>
          </w:tcPr>
          <w:p w14:paraId="250C71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29,8</w:t>
            </w:r>
          </w:p>
        </w:tc>
      </w:tr>
      <w:tr w:rsidR="00DA227A" w:rsidRPr="00E93F40" w14:paraId="57A8FD01" w14:textId="77777777">
        <w:tc>
          <w:tcPr>
            <w:tcW w:w="1951" w:type="dxa"/>
            <w:shd w:val="clear" w:color="auto" w:fill="FFFFFF"/>
          </w:tcPr>
          <w:p w14:paraId="2184A6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Порт Валетти</w:t>
            </w:r>
          </w:p>
        </w:tc>
        <w:tc>
          <w:tcPr>
            <w:tcW w:w="2126" w:type="dxa"/>
            <w:shd w:val="clear" w:color="auto" w:fill="FFFFFF"/>
          </w:tcPr>
          <w:p w14:paraId="790534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27,8</w:t>
            </w:r>
          </w:p>
        </w:tc>
      </w:tr>
      <w:tr w:rsidR="00DA227A" w:rsidRPr="00E93F40" w14:paraId="25D6D784" w14:textId="77777777">
        <w:tc>
          <w:tcPr>
            <w:tcW w:w="1951" w:type="dxa"/>
            <w:shd w:val="clear" w:color="auto" w:fill="FFFFFF"/>
          </w:tcPr>
          <w:p w14:paraId="08FEE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Фоккер 32</w:t>
            </w:r>
          </w:p>
        </w:tc>
        <w:tc>
          <w:tcPr>
            <w:tcW w:w="2126" w:type="dxa"/>
            <w:shd w:val="clear" w:color="auto" w:fill="FFFFFF"/>
          </w:tcPr>
          <w:p w14:paraId="35C6C7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38,7</w:t>
            </w:r>
          </w:p>
        </w:tc>
      </w:tr>
      <w:tr w:rsidR="00DA227A" w:rsidRPr="00E93F40" w14:paraId="28608A43" w14:textId="77777777">
        <w:tc>
          <w:tcPr>
            <w:tcW w:w="1951" w:type="dxa"/>
            <w:tcBorders>
              <w:bottom w:val="single" w:sz="12" w:space="0" w:color="auto"/>
            </w:tcBorders>
            <w:shd w:val="clear" w:color="auto" w:fill="FFFFFF"/>
          </w:tcPr>
          <w:p w14:paraId="3E16A0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Диль Бакалан</w:t>
            </w:r>
          </w:p>
        </w:tc>
        <w:tc>
          <w:tcPr>
            <w:tcW w:w="2126" w:type="dxa"/>
            <w:tcBorders>
              <w:bottom w:val="single" w:sz="12" w:space="0" w:color="auto"/>
            </w:tcBorders>
            <w:shd w:val="clear" w:color="auto" w:fill="FFFFFF"/>
          </w:tcPr>
          <w:p w14:paraId="051F9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39,2</w:t>
            </w:r>
          </w:p>
        </w:tc>
      </w:tr>
    </w:tbl>
    <w:p w14:paraId="1AA5078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принять во внимание веса Фоккер (10,2) и Диль Бакалан (13.2) и значительно больший вес АНТ-14 (17,5), то несколько больший % весовой отдачи первых не может считаться их преимуществом в смысле совершенства конструкции против АНТ-14</w:t>
      </w:r>
    </w:p>
    <w:p w14:paraId="481EA2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Летные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2268"/>
      </w:tblGrid>
      <w:tr w:rsidR="00DA227A" w:rsidRPr="00E93F40" w14:paraId="312129E8" w14:textId="77777777">
        <w:tc>
          <w:tcPr>
            <w:tcW w:w="1951" w:type="dxa"/>
            <w:tcBorders>
              <w:top w:val="single" w:sz="12" w:space="0" w:color="auto"/>
            </w:tcBorders>
            <w:shd w:val="clear" w:color="auto" w:fill="FFFFFF"/>
          </w:tcPr>
          <w:p w14:paraId="5A3BC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АНТ-14</w:t>
            </w:r>
          </w:p>
        </w:tc>
        <w:tc>
          <w:tcPr>
            <w:tcW w:w="2126" w:type="dxa"/>
            <w:tcBorders>
              <w:top w:val="single" w:sz="12" w:space="0" w:color="auto"/>
            </w:tcBorders>
            <w:shd w:val="clear" w:color="auto" w:fill="FFFFFF"/>
          </w:tcPr>
          <w:p w14:paraId="4381EE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265 км/час</w:t>
            </w:r>
          </w:p>
        </w:tc>
        <w:tc>
          <w:tcPr>
            <w:tcW w:w="2268" w:type="dxa"/>
            <w:tcBorders>
              <w:top w:val="single" w:sz="12" w:space="0" w:color="auto"/>
            </w:tcBorders>
            <w:shd w:val="clear" w:color="auto" w:fill="FFFFFF"/>
          </w:tcPr>
          <w:p w14:paraId="6A9A00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4220 м</w:t>
            </w:r>
          </w:p>
        </w:tc>
      </w:tr>
      <w:tr w:rsidR="00DA227A" w:rsidRPr="00E93F40" w14:paraId="564C09B1" w14:textId="77777777">
        <w:tc>
          <w:tcPr>
            <w:tcW w:w="1951" w:type="dxa"/>
            <w:shd w:val="clear" w:color="auto" w:fill="FFFFFF"/>
          </w:tcPr>
          <w:p w14:paraId="605185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Юнкерс</w:t>
            </w:r>
          </w:p>
        </w:tc>
        <w:tc>
          <w:tcPr>
            <w:tcW w:w="2126" w:type="dxa"/>
            <w:shd w:val="clear" w:color="auto" w:fill="FFFFFF"/>
          </w:tcPr>
          <w:p w14:paraId="327C09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c>
          <w:tcPr>
            <w:tcW w:w="2268" w:type="dxa"/>
            <w:shd w:val="clear" w:color="auto" w:fill="FFFFFF"/>
          </w:tcPr>
          <w:p w14:paraId="5B909F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3100</w:t>
            </w:r>
          </w:p>
        </w:tc>
      </w:tr>
      <w:tr w:rsidR="00DA227A" w:rsidRPr="00E93F40" w14:paraId="508C1D90" w14:textId="77777777">
        <w:tc>
          <w:tcPr>
            <w:tcW w:w="1951" w:type="dxa"/>
            <w:shd w:val="clear" w:color="auto" w:fill="FFFFFF"/>
          </w:tcPr>
          <w:p w14:paraId="3E1CBF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Порт Валетти</w:t>
            </w:r>
          </w:p>
        </w:tc>
        <w:tc>
          <w:tcPr>
            <w:tcW w:w="2126" w:type="dxa"/>
            <w:shd w:val="clear" w:color="auto" w:fill="FFFFFF"/>
          </w:tcPr>
          <w:p w14:paraId="6FF779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w:t>
            </w:r>
          </w:p>
        </w:tc>
        <w:tc>
          <w:tcPr>
            <w:tcW w:w="2268" w:type="dxa"/>
            <w:shd w:val="clear" w:color="auto" w:fill="FFFFFF"/>
          </w:tcPr>
          <w:p w14:paraId="04050B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r>
      <w:tr w:rsidR="00DA227A" w:rsidRPr="00E93F40" w14:paraId="07AD255B" w14:textId="77777777">
        <w:tc>
          <w:tcPr>
            <w:tcW w:w="1951" w:type="dxa"/>
            <w:shd w:val="clear" w:color="auto" w:fill="FFFFFF"/>
          </w:tcPr>
          <w:p w14:paraId="2A56FC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Фоккер 32</w:t>
            </w:r>
          </w:p>
        </w:tc>
        <w:tc>
          <w:tcPr>
            <w:tcW w:w="2126" w:type="dxa"/>
            <w:shd w:val="clear" w:color="auto" w:fill="FFFFFF"/>
          </w:tcPr>
          <w:p w14:paraId="661ABB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252</w:t>
            </w:r>
          </w:p>
        </w:tc>
        <w:tc>
          <w:tcPr>
            <w:tcW w:w="2268" w:type="dxa"/>
            <w:shd w:val="clear" w:color="auto" w:fill="FFFFFF"/>
          </w:tcPr>
          <w:p w14:paraId="2AA7EF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5500</w:t>
            </w:r>
          </w:p>
        </w:tc>
      </w:tr>
      <w:tr w:rsidR="00DA227A" w:rsidRPr="00E93F40" w14:paraId="3711184D" w14:textId="77777777">
        <w:tc>
          <w:tcPr>
            <w:tcW w:w="1951" w:type="dxa"/>
            <w:shd w:val="clear" w:color="auto" w:fill="FFFFFF"/>
          </w:tcPr>
          <w:p w14:paraId="187ED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Диль Бакалан</w:t>
            </w:r>
          </w:p>
        </w:tc>
        <w:tc>
          <w:tcPr>
            <w:tcW w:w="2126" w:type="dxa"/>
            <w:shd w:val="clear" w:color="auto" w:fill="FFFFFF"/>
          </w:tcPr>
          <w:p w14:paraId="547170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215</w:t>
            </w:r>
          </w:p>
        </w:tc>
        <w:tc>
          <w:tcPr>
            <w:tcW w:w="2268" w:type="dxa"/>
            <w:shd w:val="clear" w:color="auto" w:fill="FFFFFF"/>
          </w:tcPr>
          <w:p w14:paraId="1EFBA5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4500</w:t>
            </w:r>
          </w:p>
        </w:tc>
      </w:tr>
      <w:tr w:rsidR="00DA227A" w:rsidRPr="00E93F40" w14:paraId="0DC82BE2" w14:textId="77777777">
        <w:tc>
          <w:tcPr>
            <w:tcW w:w="1951" w:type="dxa"/>
            <w:shd w:val="clear" w:color="auto" w:fill="FFFFFF"/>
          </w:tcPr>
          <w:p w14:paraId="25DE0C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Форд 14А</w:t>
            </w:r>
          </w:p>
        </w:tc>
        <w:tc>
          <w:tcPr>
            <w:tcW w:w="2126" w:type="dxa"/>
            <w:shd w:val="clear" w:color="auto" w:fill="FFFFFF"/>
          </w:tcPr>
          <w:p w14:paraId="527F4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240</w:t>
            </w:r>
          </w:p>
        </w:tc>
        <w:tc>
          <w:tcPr>
            <w:tcW w:w="2268" w:type="dxa"/>
            <w:shd w:val="clear" w:color="auto" w:fill="FFFFFF"/>
          </w:tcPr>
          <w:p w14:paraId="77E7A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w:t>
            </w:r>
          </w:p>
        </w:tc>
      </w:tr>
      <w:tr w:rsidR="00DA227A" w:rsidRPr="00E93F40" w14:paraId="5D1E6EE5" w14:textId="77777777">
        <w:tc>
          <w:tcPr>
            <w:tcW w:w="1951" w:type="dxa"/>
            <w:tcBorders>
              <w:bottom w:val="single" w:sz="12" w:space="0" w:color="auto"/>
            </w:tcBorders>
            <w:shd w:val="clear" w:color="auto" w:fill="FFFFFF"/>
          </w:tcPr>
          <w:p w14:paraId="534830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Ганибал</w:t>
            </w:r>
          </w:p>
        </w:tc>
        <w:tc>
          <w:tcPr>
            <w:tcW w:w="2126" w:type="dxa"/>
            <w:tcBorders>
              <w:bottom w:val="single" w:sz="12" w:space="0" w:color="auto"/>
            </w:tcBorders>
            <w:shd w:val="clear" w:color="auto" w:fill="FFFFFF"/>
          </w:tcPr>
          <w:p w14:paraId="13822F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210</w:t>
            </w:r>
          </w:p>
        </w:tc>
        <w:tc>
          <w:tcPr>
            <w:tcW w:w="2268" w:type="dxa"/>
            <w:tcBorders>
              <w:bottom w:val="single" w:sz="12" w:space="0" w:color="auto"/>
            </w:tcBorders>
            <w:shd w:val="clear" w:color="auto" w:fill="FFFFFF"/>
          </w:tcPr>
          <w:p w14:paraId="0458C8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3800</w:t>
            </w:r>
          </w:p>
        </w:tc>
      </w:tr>
    </w:tbl>
    <w:p w14:paraId="7391324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Постройка ряда одноместных пушечных истребителей</w:t>
      </w:r>
    </w:p>
    <w:p w14:paraId="244223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Постройка многоместного истребителя МИ3 для сопровождения бомбардировщиков с высокими лд и мощным вооружением</w:t>
      </w:r>
    </w:p>
    <w:p w14:paraId="1865870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Постройка ряда автожиров и геликоптеров, испытания коих дали весьма удачные результаты</w:t>
      </w:r>
    </w:p>
    <w:p w14:paraId="09F92F6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Проведение работ в области лл, давшие определенные дистижения</w:t>
      </w:r>
    </w:p>
    <w:p w14:paraId="379BFD1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6. Переход от деревянного через смешанное к цельнометаллическогму из дюраллюминия и смешанному металлическому (дюраль и сталь) самолетостроению с дальнейшей ориентировкой на производство тяжелых и сверхтяжелых самолетов целиком из высококачественной стали</w:t>
      </w:r>
    </w:p>
    <w:p w14:paraId="764985E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 Внедрение сварных конструкций</w:t>
      </w:r>
    </w:p>
    <w:p w14:paraId="7DA265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 Постройка с-та-амфибии (Шаврова)</w:t>
      </w:r>
    </w:p>
    <w:p w14:paraId="5A1EB7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 Постройка с-тов: с убирающимся в полете шасси, что значительно повысило скорость (МИ3, ХАИ-1)</w:t>
      </w:r>
    </w:p>
    <w:p w14:paraId="67709F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 Постройка штурмовика для атаки земных целей (ТШ), бронированного с мощным пулеметным вооружением</w:t>
      </w:r>
    </w:p>
    <w:p w14:paraId="66B334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того или иного вида с-тов неизменно сопровождалось улучшением их лд, что подтверждается следующим:</w:t>
      </w:r>
    </w:p>
    <w:p w14:paraId="03F920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истребителям</w:t>
      </w:r>
    </w:p>
    <w:p w14:paraId="0765680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Скорость выросла с 220 до 272 км/час (в 1934 намечена 330-440 по И-14, И-15, И-16, Ми3)</w:t>
      </w:r>
    </w:p>
    <w:p w14:paraId="585590F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Время подъема на высоту 5000 м уменьшилось с 13,5 до 10 (в 1934 намечено 6/7 на И-14, И-15, И-16)</w:t>
      </w:r>
    </w:p>
    <w:p w14:paraId="65A730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Потолок увеличился с 7000 до 7900 (в 1934 намечено 900-9500 по И-14, И-15, И-16)</w:t>
      </w:r>
    </w:p>
    <w:p w14:paraId="59F0A7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разведчикам</w:t>
      </w:r>
    </w:p>
    <w:p w14:paraId="004A98A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Скорость возрасла со 195 до 270 км/час (Р5 и ЛР)</w:t>
      </w:r>
    </w:p>
    <w:p w14:paraId="48D0268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Время подъема на высоту уменьшилось с 15 на 3000 до 13 на 5000</w:t>
      </w:r>
    </w:p>
    <w:p w14:paraId="7463B2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Потолок повысился с 5000 до 7400</w:t>
      </w:r>
    </w:p>
    <w:p w14:paraId="2FCF914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бомбардировщикам</w:t>
      </w:r>
    </w:p>
    <w:p w14:paraId="4905482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Скорость возрасла с 200 до 230 км/час (ТБ1 и ТБ3 М34Р)</w:t>
      </w:r>
    </w:p>
    <w:p w14:paraId="6AADE79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Время подъема снизолось с 42,5 до 19 на 3000 м (ТБ3 и ТБ4 с М17, ТБ3 и ТБ4 с М34Ф)</w:t>
      </w:r>
    </w:p>
    <w:p w14:paraId="2C9998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Вес в полете повысился с 7 до 38 т (ТБ1 и ТБ4 с М34Р)</w:t>
      </w:r>
    </w:p>
    <w:p w14:paraId="1B8F10A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Вес полнимаемого груза увеличился с 2300 до 115000 (ТБ1 и ТБ4)</w:t>
      </w:r>
    </w:p>
    <w:p w14:paraId="5A7EC2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Дальность полета выросла с 1000 км до 3000 км (ТБ1 и ТБ3)</w:t>
      </w:r>
    </w:p>
    <w:p w14:paraId="4BF25E1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Повышение качества с-тов достигнуто, как путем модернизации и улучшения постройки серийных машин, так и созданием новых опытных с-тов</w:t>
      </w:r>
    </w:p>
    <w:p w14:paraId="2C118EE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начатые в первой и выполненные во 2-й пятилетке</w:t>
      </w:r>
    </w:p>
    <w:p w14:paraId="38A4CE6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Проектирование и постройка одноместных истребителей (высотного и скоростного И-14), которые должны ликвидировать наше отставание по этому классу с-тов</w:t>
      </w:r>
    </w:p>
    <w:p w14:paraId="258EF0A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Проектирование и постройка ряда экспериментальных с-тов (стратосферного, летающее крыло, утка, РД)</w:t>
      </w:r>
    </w:p>
    <w:p w14:paraId="77B3091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Постройка ТБ К-7 (общий вес 39 т) и сверхтяджелого ТБ6 (общий вес 70 т)</w:t>
      </w:r>
    </w:p>
    <w:p w14:paraId="2A7089B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Работы в области моторостроения</w:t>
      </w:r>
    </w:p>
    <w:p w14:paraId="3A5F89D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Существование НИИАМ в течение 1-й пятилетки, как самостоятельной единицы с развернутой работой, относится к двум последним годам ее (1931-1932).</w:t>
      </w:r>
    </w:p>
    <w:p w14:paraId="7E37F9E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Специализация задач, возложенных на этот институт, и укрепления его материальной базы, дало в результате ряд достижений в его работе.</w:t>
      </w:r>
    </w:p>
    <w:p w14:paraId="447C373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Накопление опыта и развитие отечественного моторостроения в течение первой пятилетки базировалось на экспериментальных и опытных обоазцах моторов М9, М15, М27, ФЭД и далее М38, которые вследствии недостаточности их технических и эксплуатационных данных оказались устаревшими к моменту выпуска и в серию не выпущены.</w:t>
      </w:r>
    </w:p>
    <w:p w14:paraId="6C5E25E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 же накопленный опыт обеспечил возможность АП прийти к концу 1-й пятилетки с определенными достижениями в части отечественного моторостроения в виде семей моторов М34 и М44, обладающих качествами, могущими конкурировать с заграничными образцами.</w:t>
      </w:r>
    </w:p>
    <w:p w14:paraId="72E0AC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Семья моторов М34</w:t>
      </w:r>
    </w:p>
    <w:p w14:paraId="3055737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разведчиков, легких и средних бомбардировщиков, с рекордно низким расходом топлива)</w:t>
      </w:r>
    </w:p>
    <w:p w14:paraId="593C08A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 34 сдан в серийное производство в 1932</w:t>
      </w:r>
    </w:p>
    <w:p w14:paraId="6F23E53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М-34Р изготовлен в 1932</w:t>
      </w:r>
    </w:p>
    <w:p w14:paraId="4F1E9D2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М-34Н 1932</w:t>
      </w:r>
    </w:p>
    <w:p w14:paraId="647F66A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1М34 1932</w:t>
      </w:r>
    </w:p>
    <w:p w14:paraId="06915F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М52 1932</w:t>
      </w:r>
    </w:p>
    <w:p w14:paraId="11F71A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Достижениями М-34 являются:</w:t>
      </w:r>
    </w:p>
    <w:p w14:paraId="4FC2AE5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По своему удельному весу мотор М34 приближается к нижнему пределу заграничных моторов 1932 г., примерно такого же класса, что видлно из следующих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92"/>
        <w:gridCol w:w="992"/>
        <w:gridCol w:w="992"/>
      </w:tblGrid>
      <w:tr w:rsidR="00DA227A" w:rsidRPr="00E93F40" w14:paraId="01405055" w14:textId="77777777">
        <w:tc>
          <w:tcPr>
            <w:tcW w:w="2235" w:type="dxa"/>
            <w:tcBorders>
              <w:top w:val="single" w:sz="12" w:space="0" w:color="auto"/>
            </w:tcBorders>
            <w:shd w:val="clear" w:color="auto" w:fill="FFFFFF"/>
          </w:tcPr>
          <w:p w14:paraId="7AA67F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shd w:val="clear" w:color="auto" w:fill="FFFFFF"/>
          </w:tcPr>
          <w:p w14:paraId="60834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уд. Вес</w:t>
            </w:r>
          </w:p>
        </w:tc>
        <w:tc>
          <w:tcPr>
            <w:tcW w:w="992" w:type="dxa"/>
            <w:tcBorders>
              <w:top w:val="single" w:sz="12" w:space="0" w:color="auto"/>
            </w:tcBorders>
            <w:shd w:val="clear" w:color="auto" w:fill="FFFFFF"/>
          </w:tcPr>
          <w:p w14:paraId="2702BD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мощность</w:t>
            </w:r>
          </w:p>
        </w:tc>
        <w:tc>
          <w:tcPr>
            <w:tcW w:w="992" w:type="dxa"/>
            <w:tcBorders>
              <w:top w:val="single" w:sz="12" w:space="0" w:color="auto"/>
            </w:tcBorders>
            <w:shd w:val="clear" w:color="auto" w:fill="FFFFFF"/>
          </w:tcPr>
          <w:p w14:paraId="2F2D8B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w:t>
            </w:r>
          </w:p>
        </w:tc>
      </w:tr>
      <w:tr w:rsidR="00DA227A" w:rsidRPr="00E93F40" w14:paraId="51531907" w14:textId="77777777">
        <w:tc>
          <w:tcPr>
            <w:tcW w:w="2235" w:type="dxa"/>
            <w:shd w:val="clear" w:color="auto" w:fill="FFFFFF"/>
          </w:tcPr>
          <w:p w14:paraId="1B5675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М-34</w:t>
            </w:r>
          </w:p>
        </w:tc>
        <w:tc>
          <w:tcPr>
            <w:tcW w:w="992" w:type="dxa"/>
            <w:shd w:val="clear" w:color="auto" w:fill="FFFFFF"/>
          </w:tcPr>
          <w:p w14:paraId="5EE06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0,84</w:t>
            </w:r>
          </w:p>
        </w:tc>
        <w:tc>
          <w:tcPr>
            <w:tcW w:w="992" w:type="dxa"/>
            <w:shd w:val="clear" w:color="auto" w:fill="FFFFFF"/>
          </w:tcPr>
          <w:p w14:paraId="61F8C0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750</w:t>
            </w:r>
          </w:p>
        </w:tc>
        <w:tc>
          <w:tcPr>
            <w:tcW w:w="992" w:type="dxa"/>
            <w:shd w:val="clear" w:color="auto" w:fill="FFFFFF"/>
          </w:tcPr>
          <w:p w14:paraId="1F0D03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630</w:t>
            </w:r>
          </w:p>
        </w:tc>
      </w:tr>
      <w:tr w:rsidR="00DA227A" w:rsidRPr="00E93F40" w14:paraId="4A25D8BC" w14:textId="77777777">
        <w:tc>
          <w:tcPr>
            <w:tcW w:w="2235" w:type="dxa"/>
            <w:shd w:val="clear" w:color="auto" w:fill="FFFFFF"/>
          </w:tcPr>
          <w:p w14:paraId="7BF41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Лотто Франк АССО 1000</w:t>
            </w:r>
          </w:p>
        </w:tc>
        <w:tc>
          <w:tcPr>
            <w:tcW w:w="992" w:type="dxa"/>
            <w:shd w:val="clear" w:color="auto" w:fill="FFFFFF"/>
          </w:tcPr>
          <w:p w14:paraId="5DB725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0,84</w:t>
            </w:r>
          </w:p>
        </w:tc>
        <w:tc>
          <w:tcPr>
            <w:tcW w:w="992" w:type="dxa"/>
            <w:shd w:val="clear" w:color="auto" w:fill="FFFFFF"/>
          </w:tcPr>
          <w:p w14:paraId="562530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w:t>
            </w:r>
          </w:p>
        </w:tc>
        <w:tc>
          <w:tcPr>
            <w:tcW w:w="992" w:type="dxa"/>
            <w:shd w:val="clear" w:color="auto" w:fill="FFFFFF"/>
          </w:tcPr>
          <w:p w14:paraId="6BCA4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r>
      <w:tr w:rsidR="00DA227A" w:rsidRPr="00E93F40" w14:paraId="691A292E" w14:textId="77777777">
        <w:tc>
          <w:tcPr>
            <w:tcW w:w="2235" w:type="dxa"/>
            <w:shd w:val="clear" w:color="auto" w:fill="FFFFFF"/>
          </w:tcPr>
          <w:p w14:paraId="28F879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300</w:t>
            </w:r>
          </w:p>
        </w:tc>
        <w:tc>
          <w:tcPr>
            <w:tcW w:w="992" w:type="dxa"/>
            <w:shd w:val="clear" w:color="auto" w:fill="FFFFFF"/>
          </w:tcPr>
          <w:p w14:paraId="5F485F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0,80</w:t>
            </w:r>
          </w:p>
        </w:tc>
        <w:tc>
          <w:tcPr>
            <w:tcW w:w="992" w:type="dxa"/>
            <w:shd w:val="clear" w:color="auto" w:fill="FFFFFF"/>
          </w:tcPr>
          <w:p w14:paraId="76784C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800</w:t>
            </w:r>
          </w:p>
        </w:tc>
        <w:tc>
          <w:tcPr>
            <w:tcW w:w="992" w:type="dxa"/>
            <w:shd w:val="clear" w:color="auto" w:fill="FFFFFF"/>
          </w:tcPr>
          <w:p w14:paraId="0026BC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640</w:t>
            </w:r>
          </w:p>
        </w:tc>
      </w:tr>
      <w:tr w:rsidR="00DA227A" w:rsidRPr="00E93F40" w14:paraId="7DF38A5E" w14:textId="77777777">
        <w:tc>
          <w:tcPr>
            <w:tcW w:w="2235" w:type="dxa"/>
            <w:shd w:val="clear" w:color="auto" w:fill="FFFFFF"/>
          </w:tcPr>
          <w:p w14:paraId="2BAAA9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Ройс П</w:t>
            </w:r>
          </w:p>
        </w:tc>
        <w:tc>
          <w:tcPr>
            <w:tcW w:w="992" w:type="dxa"/>
            <w:shd w:val="clear" w:color="auto" w:fill="FFFFFF"/>
          </w:tcPr>
          <w:p w14:paraId="4D3FCD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0,79</w:t>
            </w:r>
          </w:p>
        </w:tc>
        <w:tc>
          <w:tcPr>
            <w:tcW w:w="992" w:type="dxa"/>
            <w:shd w:val="clear" w:color="auto" w:fill="FFFFFF"/>
          </w:tcPr>
          <w:p w14:paraId="23BD4B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836</w:t>
            </w:r>
          </w:p>
        </w:tc>
        <w:tc>
          <w:tcPr>
            <w:tcW w:w="992" w:type="dxa"/>
            <w:shd w:val="clear" w:color="auto" w:fill="FFFFFF"/>
          </w:tcPr>
          <w:p w14:paraId="300D0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663</w:t>
            </w:r>
          </w:p>
        </w:tc>
      </w:tr>
      <w:tr w:rsidR="00DA227A" w:rsidRPr="00E93F40" w14:paraId="540955AA" w14:textId="77777777">
        <w:tc>
          <w:tcPr>
            <w:tcW w:w="2235" w:type="dxa"/>
            <w:shd w:val="clear" w:color="auto" w:fill="FFFFFF"/>
          </w:tcPr>
          <w:p w14:paraId="03102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Фиат А-25</w:t>
            </w:r>
          </w:p>
        </w:tc>
        <w:tc>
          <w:tcPr>
            <w:tcW w:w="992" w:type="dxa"/>
            <w:shd w:val="clear" w:color="auto" w:fill="FFFFFF"/>
          </w:tcPr>
          <w:p w14:paraId="1D0D0B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0,884</w:t>
            </w:r>
          </w:p>
        </w:tc>
        <w:tc>
          <w:tcPr>
            <w:tcW w:w="992" w:type="dxa"/>
            <w:shd w:val="clear" w:color="auto" w:fill="FFFFFF"/>
          </w:tcPr>
          <w:p w14:paraId="189029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950</w:t>
            </w:r>
          </w:p>
        </w:tc>
        <w:tc>
          <w:tcPr>
            <w:tcW w:w="992" w:type="dxa"/>
            <w:shd w:val="clear" w:color="auto" w:fill="FFFFFF"/>
          </w:tcPr>
          <w:p w14:paraId="6D864B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840</w:t>
            </w:r>
          </w:p>
        </w:tc>
      </w:tr>
      <w:tr w:rsidR="00DA227A" w:rsidRPr="00E93F40" w14:paraId="21C2B336" w14:textId="77777777">
        <w:tc>
          <w:tcPr>
            <w:tcW w:w="2235" w:type="dxa"/>
            <w:shd w:val="clear" w:color="auto" w:fill="FFFFFF"/>
          </w:tcPr>
          <w:p w14:paraId="052841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Ларош</w:t>
            </w:r>
          </w:p>
        </w:tc>
        <w:tc>
          <w:tcPr>
            <w:tcW w:w="992" w:type="dxa"/>
            <w:shd w:val="clear" w:color="auto" w:fill="FFFFFF"/>
          </w:tcPr>
          <w:p w14:paraId="745F4D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0,89</w:t>
            </w:r>
          </w:p>
        </w:tc>
        <w:tc>
          <w:tcPr>
            <w:tcW w:w="992" w:type="dxa"/>
            <w:shd w:val="clear" w:color="auto" w:fill="FFFFFF"/>
          </w:tcPr>
          <w:p w14:paraId="07241F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850</w:t>
            </w:r>
          </w:p>
        </w:tc>
        <w:tc>
          <w:tcPr>
            <w:tcW w:w="992" w:type="dxa"/>
            <w:shd w:val="clear" w:color="auto" w:fill="FFFFFF"/>
          </w:tcPr>
          <w:p w14:paraId="0FD60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580</w:t>
            </w:r>
          </w:p>
        </w:tc>
      </w:tr>
      <w:tr w:rsidR="00DA227A" w:rsidRPr="00E93F40" w14:paraId="2358645C" w14:textId="77777777">
        <w:tc>
          <w:tcPr>
            <w:tcW w:w="2235" w:type="dxa"/>
            <w:shd w:val="clear" w:color="auto" w:fill="FFFFFF"/>
          </w:tcPr>
          <w:p w14:paraId="4561DA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И27</w:t>
            </w:r>
          </w:p>
        </w:tc>
        <w:tc>
          <w:tcPr>
            <w:tcW w:w="992" w:type="dxa"/>
            <w:shd w:val="clear" w:color="auto" w:fill="FFFFFF"/>
          </w:tcPr>
          <w:p w14:paraId="560D65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0,91</w:t>
            </w:r>
          </w:p>
        </w:tc>
        <w:tc>
          <w:tcPr>
            <w:tcW w:w="992" w:type="dxa"/>
            <w:shd w:val="clear" w:color="auto" w:fill="FFFFFF"/>
          </w:tcPr>
          <w:p w14:paraId="5B0161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992" w:type="dxa"/>
            <w:shd w:val="clear" w:color="auto" w:fill="FFFFFF"/>
          </w:tcPr>
          <w:p w14:paraId="5EFCCD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633</w:t>
            </w:r>
          </w:p>
        </w:tc>
      </w:tr>
      <w:tr w:rsidR="00DA227A" w:rsidRPr="00E93F40" w14:paraId="0C894F97" w14:textId="77777777">
        <w:tc>
          <w:tcPr>
            <w:tcW w:w="2235" w:type="dxa"/>
            <w:shd w:val="clear" w:color="auto" w:fill="FFFFFF"/>
          </w:tcPr>
          <w:p w14:paraId="110EE0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Юнкерс Н-58</w:t>
            </w:r>
          </w:p>
        </w:tc>
        <w:tc>
          <w:tcPr>
            <w:tcW w:w="992" w:type="dxa"/>
            <w:shd w:val="clear" w:color="auto" w:fill="FFFFFF"/>
          </w:tcPr>
          <w:p w14:paraId="02C99E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0,936</w:t>
            </w:r>
          </w:p>
        </w:tc>
        <w:tc>
          <w:tcPr>
            <w:tcW w:w="992" w:type="dxa"/>
            <w:shd w:val="clear" w:color="auto" w:fill="FFFFFF"/>
          </w:tcPr>
          <w:p w14:paraId="0BC6D2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700</w:t>
            </w:r>
          </w:p>
        </w:tc>
        <w:tc>
          <w:tcPr>
            <w:tcW w:w="992" w:type="dxa"/>
            <w:shd w:val="clear" w:color="auto" w:fill="FFFFFF"/>
          </w:tcPr>
          <w:p w14:paraId="658A7A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690</w:t>
            </w:r>
          </w:p>
        </w:tc>
      </w:tr>
      <w:tr w:rsidR="00DA227A" w:rsidRPr="00E93F40" w14:paraId="784FF77D" w14:textId="77777777">
        <w:tc>
          <w:tcPr>
            <w:tcW w:w="2235" w:type="dxa"/>
            <w:tcBorders>
              <w:bottom w:val="single" w:sz="12" w:space="0" w:color="auto"/>
            </w:tcBorders>
            <w:shd w:val="clear" w:color="auto" w:fill="FFFFFF"/>
          </w:tcPr>
          <w:p w14:paraId="0ABEF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М17</w:t>
            </w:r>
          </w:p>
        </w:tc>
        <w:tc>
          <w:tcPr>
            <w:tcW w:w="992" w:type="dxa"/>
            <w:tcBorders>
              <w:bottom w:val="single" w:sz="12" w:space="0" w:color="auto"/>
            </w:tcBorders>
            <w:shd w:val="clear" w:color="auto" w:fill="FFFFFF"/>
          </w:tcPr>
          <w:p w14:paraId="5C164A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1,06</w:t>
            </w:r>
          </w:p>
        </w:tc>
        <w:tc>
          <w:tcPr>
            <w:tcW w:w="992" w:type="dxa"/>
            <w:tcBorders>
              <w:bottom w:val="single" w:sz="12" w:space="0" w:color="auto"/>
            </w:tcBorders>
            <w:shd w:val="clear" w:color="auto" w:fill="FFFFFF"/>
          </w:tcPr>
          <w:p w14:paraId="5E2AB3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500</w:t>
            </w:r>
          </w:p>
        </w:tc>
        <w:tc>
          <w:tcPr>
            <w:tcW w:w="992" w:type="dxa"/>
            <w:tcBorders>
              <w:bottom w:val="single" w:sz="12" w:space="0" w:color="auto"/>
            </w:tcBorders>
            <w:shd w:val="clear" w:color="auto" w:fill="FFFFFF"/>
          </w:tcPr>
          <w:p w14:paraId="273D5E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535</w:t>
            </w:r>
          </w:p>
        </w:tc>
      </w:tr>
    </w:tbl>
    <w:p w14:paraId="2ED673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По числу оборотов М-34, имея число оборотов на номинале 1740, стоит в ряду с лучшими моторами, однородными по мощности.</w:t>
      </w:r>
    </w:p>
    <w:p w14:paraId="7423FBB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Мотор М34 имеет исключительно низкий расход топлива - в среднем 205 г, в то время, как у других - 230-240</w:t>
      </w:r>
    </w:p>
    <w:p w14:paraId="237BBF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Значительным преимуществом М-34 по сравнению с АССО, М27 и рядом других иностранных - У образное расположение цилиндров, при чиле их 12 (у АССО - 18, М27 - 18), что облегчает эксплоатацию и улучшает лд</w:t>
      </w:r>
    </w:p>
    <w:p w14:paraId="5D61B6D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хотя мотор М34 находится в ряду с заграничными моторами 1932 г., но по сравнению с современными моторами (Испано) он является еще недоработанным, требу.ющим дальнейшего усовершенствования.</w:t>
      </w:r>
    </w:p>
    <w:p w14:paraId="08B0A8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Семья моторов М44</w:t>
      </w:r>
    </w:p>
    <w:p w14:paraId="7C2BF94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выпуском моторов этой серии, лбладающих мощностью 2000 лс, значительно облегчается конструирование тяжелых и сверхтяжелых с-тов. </w:t>
      </w:r>
    </w:p>
    <w:p w14:paraId="3E06EA9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этого, следует отметить следующие работы в области мотростроения.</w:t>
      </w:r>
    </w:p>
    <w:p w14:paraId="2A6370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Закончены и в различной стадии разработки находятся моторы воздушного охдаждения малой и средней мощности, как М23, М48, М11, М22У, представляющие собой моторы с одинаковой конструкцией основных узлов и отличающихся мощностью в зависимости от числа цилиндров.</w:t>
      </w:r>
    </w:p>
    <w:p w14:paraId="43DA65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Проведены работы по поти разрешения вопроса постройки нефтяных двигателей, двухтактных непосредственного впряска.</w:t>
      </w:r>
    </w:p>
    <w:p w14:paraId="2C7F031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Осваивается изготовление нагнетателей для высотных моторов и редукторов для многооборотных моторов.</w:t>
      </w:r>
    </w:p>
    <w:p w14:paraId="1FA58E7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Приступлено к разработке проекта мощнейшей паровой турбины для установки на сверхтяжелый с-т (2309).</w:t>
      </w:r>
    </w:p>
    <w:p w14:paraId="2D5795F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22098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был заказ на М-55 - перевернутый (головками вниз) вариант М-34. Проведение заводских испытаний планировалось на август — октябрь 1933 г. Работы прекратили в 1932 г., поскольку сочли, что мотор не даст существенных преимуществ по сравнению с самим М-34. Характеристики:</w:t>
      </w:r>
    </w:p>
    <w:p w14:paraId="78D4CBE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12-цилиндровый перевернутый У-образный, четырехтактный, водяно</w:t>
      </w:r>
      <w:r w:rsidRPr="00E93F40">
        <w:rPr>
          <w:rFonts w:ascii="Times New Roman" w:hAnsi="Times New Roman"/>
          <w:color w:val="000000" w:themeColor="text1"/>
          <w:sz w:val="16"/>
          <w:szCs w:val="16"/>
        </w:rPr>
        <w:softHyphen/>
        <w:t>го охлаждения;</w:t>
      </w:r>
    </w:p>
    <w:p w14:paraId="169FFFF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диаметр цилиндра/ход поршня 160/190 мм;</w:t>
      </w:r>
    </w:p>
    <w:p w14:paraId="132A86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степень сжатия 6,0;</w:t>
      </w:r>
    </w:p>
    <w:p w14:paraId="6186619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мощность 750 л.с.;</w:t>
      </w:r>
    </w:p>
    <w:p w14:paraId="7B5C0DD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600 кг (проектный). Предполагались два варианта:</w:t>
      </w:r>
    </w:p>
    <w:p w14:paraId="158AEAD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М-55Н с нагнетателем от М-34.</w:t>
      </w:r>
    </w:p>
    <w:p w14:paraId="0D5FDA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М-55РН с редуктором и ПЦН. Опытные образцы не изготовлялись (11852).</w:t>
      </w:r>
    </w:p>
    <w:p w14:paraId="314A5FE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4E33D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 выполнен проект ФЭД (ФЭД — «Феликс Эдмундович Дзержинский»). Проектировался в ОКБ НКВД на заводе № 24 в Москве. В ра</w:t>
      </w:r>
      <w:r w:rsidRPr="00E93F40">
        <w:rPr>
          <w:rFonts w:ascii="Times New Roman" w:hAnsi="Times New Roman"/>
          <w:color w:val="000000" w:themeColor="text1"/>
          <w:sz w:val="16"/>
          <w:szCs w:val="16"/>
        </w:rPr>
        <w:softHyphen/>
        <w:t>боте участвовали Б.С. Стечкин, Н.Р. Бриллинг и А.А. Бессонов. Двигатель имел смешанное клапанное и оконно-щелевое газораспределение. Изго</w:t>
      </w:r>
      <w:r w:rsidRPr="00E93F40">
        <w:rPr>
          <w:rFonts w:ascii="Times New Roman" w:hAnsi="Times New Roman"/>
          <w:color w:val="000000" w:themeColor="text1"/>
          <w:sz w:val="16"/>
          <w:szCs w:val="16"/>
        </w:rPr>
        <w:softHyphen/>
        <w:t>товлен опытный образец, проходив</w:t>
      </w:r>
      <w:r w:rsidRPr="00E93F40">
        <w:rPr>
          <w:rFonts w:ascii="Times New Roman" w:hAnsi="Times New Roman"/>
          <w:color w:val="000000" w:themeColor="text1"/>
          <w:sz w:val="16"/>
          <w:szCs w:val="16"/>
        </w:rPr>
        <w:softHyphen/>
        <w:t>ший стендовые испытания. После ликвидации бюро доводка ФЭД-8 продолжалась в ЦИАМ до 1934 г., но без существенных результатов.</w:t>
      </w:r>
    </w:p>
    <w:p w14:paraId="0C28139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Характеристики:</w:t>
      </w:r>
    </w:p>
    <w:p w14:paraId="7884D9E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24-цилиндровый рядный Х-образный дизель, двухтактный, водяного охлаждения;</w:t>
      </w:r>
    </w:p>
    <w:p w14:paraId="1BA76B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мощность 2000/2400 л.с. (по проекту);</w:t>
      </w:r>
    </w:p>
    <w:p w14:paraId="00E3246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вес 3000 кг (по заданию). Предназначался для бомбардировщика ТБ-5 (11852).</w:t>
      </w:r>
    </w:p>
    <w:p w14:paraId="24F8790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8EE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НТК УВВС возглавлял П.С.Дубенецкий, ушедший потом в ВВА (6,24).</w:t>
      </w:r>
    </w:p>
    <w:p w14:paraId="67F900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9A15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было создано Московское конструкторское бюро Осоавиахима при Московской планерной школе. Размещалось в полуподвале д. 19 по Садово-Спасской (там же, где ГИРД) (9080).</w:t>
      </w:r>
    </w:p>
    <w:p w14:paraId="70300B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3B05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C 1932 после перевода НИИ ВВС в Щелково он стал разрабатывать ТТТ, которые потом утверждались Правительством и потом издавался приказ (262,35).</w:t>
      </w:r>
    </w:p>
    <w:p w14:paraId="394D88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733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был создан ОСГА - отдел глиссеров НИИ ГВФ (92,500), которая в 1934 была преобразована в завод Лессудомашстрой (61,35).</w:t>
      </w:r>
    </w:p>
    <w:p w14:paraId="54EDC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A5AC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в ГВФ был образован НИИ АД ГВФ - делать маломощные двигатели с опытным заводом, куда перевели часть с запорожского - именно отсюда пошли МГ (80,65).</w:t>
      </w:r>
    </w:p>
    <w:p w14:paraId="2EC9F6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F654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в систему ГВФ было приглашено 15 немецких специалистов, потом работавших в СНИИ ГВФ. Большая часть надежд не оправдала, но тех кто с ними сотрудничал, в 1937 посадили (1076,766).</w:t>
      </w:r>
    </w:p>
    <w:p w14:paraId="491DFD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A24A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сделали первую у нас барокамеру (108,115).</w:t>
      </w:r>
    </w:p>
    <w:p w14:paraId="5313EA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154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завод № 124 как специализированное предприятие по постройке многомоторных цельнометаллических самолётов и должен был стать дублёром завода № 22. Хотя строительство и поставки станков (а станочный парк завода, закупленный в США, был на конец 30-х гг. одним из лучших в СССР) продол</w:t>
      </w:r>
      <w:r w:rsidRPr="00E93F40">
        <w:rPr>
          <w:rFonts w:ascii="Times New Roman" w:hAnsi="Times New Roman"/>
          <w:color w:val="000000" w:themeColor="text1"/>
          <w:sz w:val="16"/>
          <w:szCs w:val="16"/>
        </w:rPr>
        <w:softHyphen/>
        <w:t>жались до конца десятилетия, в число действующих завод всту</w:t>
      </w:r>
      <w:r w:rsidRPr="00E93F40">
        <w:rPr>
          <w:rFonts w:ascii="Times New Roman" w:hAnsi="Times New Roman"/>
          <w:color w:val="000000" w:themeColor="text1"/>
          <w:sz w:val="16"/>
          <w:szCs w:val="16"/>
        </w:rPr>
        <w:softHyphen/>
        <w:t>пил уже в 1934 г. Однако далее судьба завода не сложилась — предполагаемые к внедрению бомбардировщики ТБ-4 и ТБ-5 в серию не пошли. Некоторое время завод был занят ремонтом ТБ-3. Наконец, в 1938 г. заводу была утверждена первая про</w:t>
      </w:r>
      <w:r w:rsidRPr="00E93F40">
        <w:rPr>
          <w:rFonts w:ascii="Times New Roman" w:hAnsi="Times New Roman"/>
          <w:color w:val="000000" w:themeColor="text1"/>
          <w:sz w:val="16"/>
          <w:szCs w:val="16"/>
        </w:rPr>
        <w:softHyphen/>
        <w:t xml:space="preserve">изводственная программа — 25 тяжёлых бомбардировщиков ТБ-А и 2 пассажирских самолёта МГ (ПС-124) (РГАЭ. Ф. 8044. </w:t>
      </w:r>
      <w:r w:rsidRPr="00E93F40">
        <w:rPr>
          <w:rFonts w:ascii="Times New Roman" w:hAnsi="Times New Roman"/>
          <w:color w:val="000000" w:themeColor="text1"/>
          <w:sz w:val="16"/>
          <w:szCs w:val="16"/>
          <w:lang w:val="en-US"/>
        </w:rPr>
        <w:t>On</w:t>
      </w:r>
      <w:r w:rsidRPr="00E93F40">
        <w:rPr>
          <w:rFonts w:ascii="Times New Roman" w:hAnsi="Times New Roman"/>
          <w:color w:val="000000" w:themeColor="text1"/>
          <w:sz w:val="16"/>
          <w:szCs w:val="16"/>
        </w:rPr>
        <w:t>. 1. Д. 401. Л. 247). Фактически ещё до завершения строительства стапелей программа 1938 г. начала меняться, корректироваться и «уточняться». Уже 28 но</w:t>
      </w:r>
      <w:r w:rsidRPr="00E93F40">
        <w:rPr>
          <w:rFonts w:ascii="Times New Roman" w:hAnsi="Times New Roman"/>
          <w:color w:val="000000" w:themeColor="text1"/>
          <w:sz w:val="16"/>
          <w:szCs w:val="16"/>
        </w:rPr>
        <w:softHyphen/>
        <w:t>ября 1938 г. М.М. Каганович приказал отменить производство ТБ-А и МГ и все силы бросить на обеспечение производства СПБ (ГА РФ. Ф. 8418. Оп. 22. Д. 270. Л. 55). 17 декабря того же года было принято новое реше</w:t>
      </w:r>
      <w:r w:rsidRPr="00E93F40">
        <w:rPr>
          <w:rFonts w:ascii="Times New Roman" w:hAnsi="Times New Roman"/>
          <w:color w:val="000000" w:themeColor="text1"/>
          <w:sz w:val="16"/>
          <w:szCs w:val="16"/>
        </w:rPr>
        <w:softHyphen/>
        <w:t>ние — совместить на заводе № 124 выпуск СПБ и ТБ-7 (ГА РФ. Ф. 8418. Оп. 22. Д. 270. Л. 56)</w:t>
      </w:r>
      <w:r w:rsidRPr="00E93F40">
        <w:rPr>
          <w:rFonts w:ascii="Times New Roman" w:hAnsi="Times New Roman"/>
          <w:color w:val="000000" w:themeColor="text1"/>
          <w:sz w:val="16"/>
          <w:szCs w:val="16"/>
          <w:vertAlign w:val="superscript"/>
        </w:rPr>
        <w:t>4</w:t>
      </w:r>
      <w:r w:rsidRPr="00E93F40">
        <w:rPr>
          <w:rFonts w:ascii="Times New Roman" w:hAnsi="Times New Roman"/>
          <w:color w:val="000000" w:themeColor="text1"/>
          <w:sz w:val="16"/>
          <w:szCs w:val="16"/>
        </w:rPr>
        <w:t>. Так как подготовка к серийному производству СПБ должна была занять около 4—5 месяцев, ожидалось, что к этому сроку за</w:t>
      </w:r>
      <w:r w:rsidRPr="00E93F40">
        <w:rPr>
          <w:rFonts w:ascii="Times New Roman" w:hAnsi="Times New Roman"/>
          <w:color w:val="000000" w:themeColor="text1"/>
          <w:sz w:val="16"/>
          <w:szCs w:val="16"/>
        </w:rPr>
        <w:softHyphen/>
        <w:t>водские мощности будут подготовлены к одновременному вы</w:t>
      </w:r>
      <w:r w:rsidRPr="00E93F40">
        <w:rPr>
          <w:rFonts w:ascii="Times New Roman" w:hAnsi="Times New Roman"/>
          <w:color w:val="000000" w:themeColor="text1"/>
          <w:sz w:val="16"/>
          <w:szCs w:val="16"/>
        </w:rPr>
        <w:softHyphen/>
        <w:t>пуску сразу двух типов самолётов. В результате (в основном с целью утилизации произведённого задела) всё же в 1939 г. было выпущено 5 ТБ-А и единственный ПС-124, после чего, ввиду неготовности СПБ к серийному производству, завод был переориентирован исключительно на выпуск бомбардировщи</w:t>
      </w:r>
      <w:r w:rsidRPr="00E93F40">
        <w:rPr>
          <w:rFonts w:ascii="Times New Roman" w:hAnsi="Times New Roman"/>
          <w:color w:val="000000" w:themeColor="text1"/>
          <w:sz w:val="16"/>
          <w:szCs w:val="16"/>
        </w:rPr>
        <w:softHyphen/>
        <w:t>ка ТБ-7. К сожалению, эта машина тоже была на тот момент весьма «сырой», в результате доводка конструкции и подго</w:t>
      </w:r>
      <w:r w:rsidRPr="00E93F40">
        <w:rPr>
          <w:rFonts w:ascii="Times New Roman" w:hAnsi="Times New Roman"/>
          <w:color w:val="000000" w:themeColor="text1"/>
          <w:sz w:val="16"/>
          <w:szCs w:val="16"/>
        </w:rPr>
        <w:softHyphen/>
        <w:t>товка к производству шли параллельно. Когда производство было налажено, в руководстве авиации возникли сомнения в необходимости для советских ВВС тяжёлого четырёхмоторно</w:t>
      </w:r>
      <w:r w:rsidRPr="00E93F40">
        <w:rPr>
          <w:rFonts w:ascii="Times New Roman" w:hAnsi="Times New Roman"/>
          <w:color w:val="000000" w:themeColor="text1"/>
          <w:sz w:val="16"/>
          <w:szCs w:val="16"/>
        </w:rPr>
        <w:softHyphen/>
        <w:t>го бомбардировщика, поэтому в декабре 1939 г. производство ТБ-7 было отменено, заводу была назначена программа по вы</w:t>
      </w:r>
      <w:r w:rsidRPr="00E93F40">
        <w:rPr>
          <w:rFonts w:ascii="Times New Roman" w:hAnsi="Times New Roman"/>
          <w:color w:val="000000" w:themeColor="text1"/>
          <w:sz w:val="16"/>
          <w:szCs w:val="16"/>
        </w:rPr>
        <w:softHyphen/>
        <w:t xml:space="preserve">пуску транспортных самолётов ПС-84 (РГАЭ. Ф. 8044. </w:t>
      </w:r>
      <w:r w:rsidRPr="00E93F40">
        <w:rPr>
          <w:rFonts w:ascii="Times New Roman" w:hAnsi="Times New Roman"/>
          <w:color w:val="000000" w:themeColor="text1"/>
          <w:sz w:val="16"/>
          <w:szCs w:val="16"/>
          <w:lang w:val="en-US"/>
        </w:rPr>
        <w:t>On</w:t>
      </w:r>
      <w:r w:rsidRPr="00E93F40">
        <w:rPr>
          <w:rFonts w:ascii="Times New Roman" w:hAnsi="Times New Roman"/>
          <w:color w:val="000000" w:themeColor="text1"/>
          <w:sz w:val="16"/>
          <w:szCs w:val="16"/>
        </w:rPr>
        <w:t>. 1. Д. 401. Л. 149). В мае 1940 г. было ре</w:t>
      </w:r>
      <w:r w:rsidRPr="00E93F40">
        <w:rPr>
          <w:rFonts w:ascii="Times New Roman" w:hAnsi="Times New Roman"/>
          <w:color w:val="000000" w:themeColor="text1"/>
          <w:sz w:val="16"/>
          <w:szCs w:val="16"/>
        </w:rPr>
        <w:softHyphen/>
        <w:t>шено возобновить параллельно выпуску Ли-2 (ПС-84) и про</w:t>
      </w:r>
      <w:r w:rsidRPr="00E93F40">
        <w:rPr>
          <w:rFonts w:ascii="Times New Roman" w:hAnsi="Times New Roman"/>
          <w:color w:val="000000" w:themeColor="text1"/>
          <w:sz w:val="16"/>
          <w:szCs w:val="16"/>
        </w:rPr>
        <w:softHyphen/>
        <w:t>изводство ТБ-7 то же. В сентябре 1940 г. задание по выпуску Ли-2 было снято, заводу приказывалось сосредоточиться на производстве ТБ-7. В конце концов, завод был параллельно с выпуском 4-моторных бомбардировщиков загружен произ</w:t>
      </w:r>
      <w:r w:rsidRPr="00E93F40">
        <w:rPr>
          <w:rFonts w:ascii="Times New Roman" w:hAnsi="Times New Roman"/>
          <w:color w:val="000000" w:themeColor="text1"/>
          <w:sz w:val="16"/>
          <w:szCs w:val="16"/>
        </w:rPr>
        <w:softHyphen/>
        <w:t>водством ещё и фронтового пикирующего бомбардировщика Пе-2, который в итоге и стал основной продукцией предпри</w:t>
      </w:r>
      <w:r w:rsidRPr="00E93F40">
        <w:rPr>
          <w:rFonts w:ascii="Times New Roman" w:hAnsi="Times New Roman"/>
          <w:color w:val="000000" w:themeColor="text1"/>
          <w:sz w:val="16"/>
          <w:szCs w:val="16"/>
        </w:rPr>
        <w:softHyphen/>
        <w:t>ятия. В результате отлично оснащённое предприятие так и не сыграло заметной роли в довоенном авиавыпуске. Эта история была тем более огорчительна, что завод был сравнительно не</w:t>
      </w:r>
      <w:r w:rsidRPr="00E93F40">
        <w:rPr>
          <w:rFonts w:ascii="Times New Roman" w:hAnsi="Times New Roman"/>
          <w:color w:val="000000" w:themeColor="text1"/>
          <w:sz w:val="16"/>
          <w:szCs w:val="16"/>
        </w:rPr>
        <w:softHyphen/>
        <w:t xml:space="preserve">плохо обеспечен станочным парком. Всего по проекту завод должен был быть оснащён 1457 тяжёлыми станками (РГАЭ. Ф. 8044. </w:t>
      </w:r>
      <w:r w:rsidRPr="00E93F40">
        <w:rPr>
          <w:rFonts w:ascii="Times New Roman" w:hAnsi="Times New Roman"/>
          <w:color w:val="000000" w:themeColor="text1"/>
          <w:sz w:val="16"/>
          <w:szCs w:val="16"/>
          <w:lang w:val="en-US"/>
        </w:rPr>
        <w:t>On</w:t>
      </w:r>
      <w:r w:rsidRPr="00E93F40">
        <w:rPr>
          <w:rFonts w:ascii="Times New Roman" w:hAnsi="Times New Roman"/>
          <w:color w:val="000000" w:themeColor="text1"/>
          <w:sz w:val="16"/>
          <w:szCs w:val="16"/>
        </w:rPr>
        <w:t xml:space="preserve">. 1. Д. 401. Л. 149), из них в 1940 г. в наличии было 1151 (79 %) (РГАЭ. Ф. 8044. </w:t>
      </w:r>
      <w:r w:rsidRPr="00E93F40">
        <w:rPr>
          <w:rFonts w:ascii="Times New Roman" w:hAnsi="Times New Roman"/>
          <w:color w:val="000000" w:themeColor="text1"/>
          <w:sz w:val="16"/>
          <w:szCs w:val="16"/>
          <w:lang w:val="en-US"/>
        </w:rPr>
        <w:t>On</w:t>
      </w:r>
      <w:r w:rsidRPr="00E93F40">
        <w:rPr>
          <w:rFonts w:ascii="Times New Roman" w:hAnsi="Times New Roman"/>
          <w:color w:val="000000" w:themeColor="text1"/>
          <w:sz w:val="16"/>
          <w:szCs w:val="16"/>
        </w:rPr>
        <w:t>. 1. Д. 401. Л. 249). Наличие станков при от</w:t>
      </w:r>
      <w:r w:rsidRPr="00E93F40">
        <w:rPr>
          <w:rFonts w:ascii="Times New Roman" w:hAnsi="Times New Roman"/>
          <w:color w:val="000000" w:themeColor="text1"/>
          <w:sz w:val="16"/>
          <w:szCs w:val="16"/>
        </w:rPr>
        <w:softHyphen/>
        <w:t>сутствии вразумительной производственной программы вело к громадным простоям. Например, в 1939 г. простои составили 19,5 % рабочего времени. В течение первых 5 месяцев 1940 г. из 6000 рабочих завода 600 человек ежедневно простаивали.</w:t>
      </w:r>
    </w:p>
    <w:p w14:paraId="5299F3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влиянием этих обстоятельств трудовая дисциплина упа</w:t>
      </w:r>
      <w:r w:rsidRPr="00E93F40">
        <w:rPr>
          <w:rFonts w:ascii="Times New Roman" w:hAnsi="Times New Roman"/>
          <w:color w:val="000000" w:themeColor="text1"/>
          <w:sz w:val="16"/>
          <w:szCs w:val="16"/>
        </w:rPr>
        <w:softHyphen/>
        <w:t>ла ниже всех допустимых пределов. По отзывам сотрудников наркомата, инспектировавших завод, «в результате этого... в коллективе завода и, главным образом, руководящего соста</w:t>
      </w:r>
      <w:r w:rsidRPr="00E93F40">
        <w:rPr>
          <w:rFonts w:ascii="Times New Roman" w:hAnsi="Times New Roman"/>
          <w:color w:val="000000" w:themeColor="text1"/>
          <w:sz w:val="16"/>
          <w:szCs w:val="16"/>
        </w:rPr>
        <w:softHyphen/>
        <w:t>ва, существует растерянность. ...В цехах рабочие в рабочее время трают в шашки, организуют «борьбу» и прыжки, около производственного цеха занимаются «фотографированием» (видимо, какая-то игра. Крайне маловероятно, чтобы у казанских рабо</w:t>
      </w:r>
      <w:r w:rsidRPr="00E93F40">
        <w:rPr>
          <w:rFonts w:ascii="Times New Roman" w:hAnsi="Times New Roman"/>
          <w:color w:val="000000" w:themeColor="text1"/>
          <w:sz w:val="16"/>
          <w:szCs w:val="16"/>
        </w:rPr>
        <w:softHyphen/>
        <w:t>чих в 1940 г. были в изобилии на руках частные фотоаппараты, да и само слово «фотографирование» было в документе взято в кавычки) и т.д. На лужайке около цеха ежедневно можно было видеть от 40 до 75 спящих рабочих. 16 мая 78 человек занимались про</w:t>
      </w:r>
      <w:r w:rsidRPr="00E93F40">
        <w:rPr>
          <w:rFonts w:ascii="Times New Roman" w:hAnsi="Times New Roman"/>
          <w:color w:val="000000" w:themeColor="text1"/>
          <w:sz w:val="16"/>
          <w:szCs w:val="16"/>
        </w:rPr>
        <w:softHyphen/>
        <w:t>сеиванием сгруженного во дворе жмыха, выбирая семечки для личного потребления. Питание рабочих не организовано... Те</w:t>
      </w:r>
      <w:r w:rsidRPr="00E93F40">
        <w:rPr>
          <w:rFonts w:ascii="Times New Roman" w:hAnsi="Times New Roman"/>
          <w:color w:val="000000" w:themeColor="text1"/>
          <w:sz w:val="16"/>
          <w:szCs w:val="16"/>
        </w:rPr>
        <w:softHyphen/>
        <w:t>кучесть в 1938 г. составила 3895 человек (то есть около 60 %). Охарактеризовав такое положение завода, нет необходимости освещать вопросы соцсоревнования, стахановского и много</w:t>
      </w:r>
      <w:r w:rsidRPr="00E93F40">
        <w:rPr>
          <w:rFonts w:ascii="Times New Roman" w:hAnsi="Times New Roman"/>
          <w:color w:val="000000" w:themeColor="text1"/>
          <w:sz w:val="16"/>
          <w:szCs w:val="16"/>
        </w:rPr>
        <w:softHyphen/>
        <w:t xml:space="preserve">станочного движения» (РГАЭ. Ф. 8044. </w:t>
      </w:r>
      <w:r w:rsidRPr="00E93F40">
        <w:rPr>
          <w:rFonts w:ascii="Times New Roman" w:hAnsi="Times New Roman"/>
          <w:color w:val="000000" w:themeColor="text1"/>
          <w:sz w:val="16"/>
          <w:szCs w:val="16"/>
          <w:lang w:val="en-US"/>
        </w:rPr>
        <w:t>On</w:t>
      </w:r>
      <w:r w:rsidRPr="00E93F40">
        <w:rPr>
          <w:rFonts w:ascii="Times New Roman" w:hAnsi="Times New Roman"/>
          <w:color w:val="000000" w:themeColor="text1"/>
          <w:sz w:val="16"/>
          <w:szCs w:val="16"/>
        </w:rPr>
        <w:t>. 1. Д. 401. Л. 253).</w:t>
      </w:r>
    </w:p>
    <w:p w14:paraId="771A55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Это положение было тем более нетерпимым с учетом того, что завод № 124 входил в сравнительно небольшую группу самолетостроительных заводов, имеющих развитый станоч</w:t>
      </w:r>
      <w:r w:rsidRPr="00E93F40">
        <w:rPr>
          <w:rFonts w:ascii="Times New Roman" w:hAnsi="Times New Roman"/>
          <w:color w:val="000000" w:themeColor="text1"/>
          <w:sz w:val="16"/>
          <w:szCs w:val="16"/>
        </w:rPr>
        <w:softHyphen/>
        <w:t>ный парк для металлического авиастроения (12011).</w:t>
      </w:r>
    </w:p>
    <w:p w14:paraId="485CA4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517ED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был 18 - заложен в 30, вступил в 1932. В 1933-41 делала САМ-5, АНТ-25, ТБ-3 (АНТ-6), К-12, К-13, ДБ-3, ЕР-2, Ил-2. Эвакуировался в В.В.Куйбышев. Реэвакуация - завод 64 - делал Ил-10 с 1944 (62,158).</w:t>
      </w:r>
    </w:p>
    <w:p w14:paraId="2203C9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Горьковское АПО им. Орджоникидзе - сначала - завод 21, запущенный в 1932. В предвоенные года КБ возглавляли Н.Н.П. и С.А.Л. (62).</w:t>
      </w:r>
    </w:p>
    <w:p w14:paraId="06626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Казанское АПО было основан как завод 124 в 1932. Строил ХАИ-1, ДБ-А, ПС-124, Ли-2, Пе-8, Пе-2. В октябре на территорию приехали завод 22 С.П.Горбунова, созданный в 1927. Объединили в 22 им. Горбунова - Пе-2 и пе-8. В.М.Петляков и В.М.Мясищев (62,264).</w:t>
      </w:r>
    </w:p>
    <w:p w14:paraId="0924F7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22 заводе до 1932 производили ТБ-1 - 216. В 1929 - построили аэродром и ангары. делали ТБ-3 (АНТ-6), СБ (АНТ-40), Консолидейтед - 32 (80,425).</w:t>
      </w:r>
    </w:p>
    <w:p w14:paraId="6A27E5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21 был пущен в Горьком одним из первых и стал производить И-5, а с 1935 - И-16 - 8495 (80,426).</w:t>
      </w:r>
    </w:p>
    <w:p w14:paraId="179595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Ташкентское АПО им В.П.Чкалова берет начало с 1932 как завод 84 ГВФ в Химках, позднее им. В.П.Ч. В 1936 в состав завода вошло КБ Н.Н.П. С 1938 по 40 КБ возглавлял В.И.Левков (лодки Л-1 и Л-5) и В.Ф.Болховитинов - ББС. В 1939 - началось серийное DC-3. Потом - эвакуация (62,554).</w:t>
      </w:r>
    </w:p>
    <w:p w14:paraId="608D26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ММПО им. В.В.Чернышова берет начало на базе мастерских ГВФ, созданных в 1932. С 1933 - завод 163 НИИ ГВФ, с 1938 - завод 82, с 1942 - 500 Наркомавиапрома. В 1932-1938 - МГ, с 1938 - дизели АЧ-30Б. С августа 1941 по февраль 1942 - в Казани на заводе 16.</w:t>
      </w:r>
    </w:p>
    <w:p w14:paraId="220CD3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Начали строить моторный завод водяного охлаждения 27 в Казани (80,429).</w:t>
      </w:r>
    </w:p>
    <w:p w14:paraId="612B09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было завершено создание завода в Москве - Точизмеритель, затем - 382 и Метрон - затем - 214. В Ленинграде - завод Метприбор - затем 224 и Пирометр - затем - 218 (80,428).</w:t>
      </w:r>
    </w:p>
    <w:p w14:paraId="4B2134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завод 33 в Москве был запущен и имея только механические цеха, а все литье получал от 20 завода из Москвы. Основная продукция - карбюраторы и регуляторы наддува (80,431).</w:t>
      </w:r>
    </w:p>
    <w:p w14:paraId="53EB1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был завод 132, созданный на базе завода 1 УВВС, б. мехмастерских Треста Промвоздух, который специализировался на выпуске агрегатов запуска моторов, регуляторов винтов и т.п. (80,431).</w:t>
      </w:r>
    </w:p>
    <w:p w14:paraId="7CC3E1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Интересно, что первый советский алюминиевый завод - волховский был введен в строй только в 1932 (66,145) - до этого - только мастерские и импорт по 700 руб. за т.</w:t>
      </w:r>
    </w:p>
    <w:p w14:paraId="01A5BE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8081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А.С. Москалёв работал на заводе № 18, затем было организовано самостоятельное ОКБ-31 Воронежском авиатехникуме (в 1938 г. Москалев был гл. конструктором техникума), производственной баз ОКБ с 1936 г. являлся завод № 18.</w:t>
      </w:r>
    </w:p>
    <w:p w14:paraId="32EC6D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модификации самолета АНТ-25 («РД») под дизель АЧ-1 (модификация «РД-Д»), Созда несколько типов оригинальных самолетов, в т. ч. беехвостка с дельтавидным крылом «Стрела».</w:t>
      </w:r>
      <w:r w:rsidRPr="00E93F40">
        <w:rPr>
          <w:rFonts w:ascii="Times New Roman" w:hAnsi="Times New Roman"/>
          <w:smallCaps/>
          <w:color w:val="000000" w:themeColor="text1"/>
          <w:sz w:val="16"/>
          <w:szCs w:val="16"/>
        </w:rPr>
        <w:t xml:space="preserve"> Вьшу </w:t>
      </w:r>
      <w:r w:rsidRPr="00E93F40">
        <w:rPr>
          <w:rFonts w:ascii="Times New Roman" w:hAnsi="Times New Roman"/>
          <w:color w:val="000000" w:themeColor="text1"/>
          <w:sz w:val="16"/>
          <w:szCs w:val="16"/>
        </w:rPr>
        <w:t>десантных кабин под ДБ-ЗФ.</w:t>
      </w:r>
    </w:p>
    <w:p w14:paraId="332F5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Возможно, сюда перевели из КБ-29 НКАП бригаду «Д» Привалова с работами по грузовым кабинам подвескам для ДБ-3, т.к. есть упоминания, что в 07.1939 г. Привалов работал в ОКБ-31</w:t>
      </w:r>
      <w:r w:rsidRPr="00E93F40">
        <w:rPr>
          <w:rFonts w:ascii="Times New Roman" w:hAnsi="Times New Roman"/>
          <w:color w:val="000000" w:themeColor="text1"/>
          <w:sz w:val="16"/>
          <w:szCs w:val="16"/>
          <w:vertAlign w:val="superscript"/>
        </w:rPr>
        <w:t>85</w:t>
      </w:r>
      <w:r w:rsidRPr="00E93F40">
        <w:rPr>
          <w:rFonts w:ascii="Times New Roman" w:hAnsi="Times New Roman"/>
          <w:color w:val="000000" w:themeColor="text1"/>
          <w:sz w:val="16"/>
          <w:szCs w:val="16"/>
        </w:rPr>
        <w:t>.</w:t>
      </w:r>
    </w:p>
    <w:p w14:paraId="39F0EE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385с от 26.11.1939 г. передано в 11ГУ НКАП.</w:t>
      </w:r>
    </w:p>
    <w:p w14:paraId="6B077CED" w14:textId="3F55D51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1072сс от 15.10.1941 г. ОКБ-31 7ГУ НКАП эвакуировано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Ялуторовск (Тюменская обл.) преобразовано в завод № 499 НКАП.</w:t>
      </w:r>
    </w:p>
    <w:p w14:paraId="195093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гл. конструктор (1936-41 г.)- А.С. Москалев {16.11.1904-82}.</w:t>
      </w:r>
    </w:p>
    <w:p w14:paraId="433B2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самолеты САМ-5, «Стрела» (19.09.1937 г.), САМ-10 (5.07.1938 г.), САМ-13 (11982).</w:t>
      </w:r>
    </w:p>
    <w:p w14:paraId="4F2EC5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5767EA" w14:textId="1812330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 в состав завода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w:t>
      </w:r>
      <w:r w:rsidRPr="00E93F40">
        <w:rPr>
          <w:rFonts w:ascii="Times New Roman" w:hAnsi="Times New Roman"/>
          <w:color w:val="000000" w:themeColor="text1"/>
          <w:sz w:val="16"/>
          <w:szCs w:val="16"/>
        </w:rPr>
        <w:lastRenderedPageBreak/>
        <w:t>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Запорожье Сталинской ж/д пл. Тараса Шевченко «ГАЗ девятый» (1927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Запорожье п/я 18 «Супорт», ст. Александровск Екатерининской ж/д (1928 г.); г. Омск 11-я Линия, 283 (1947 г.)/ /644021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Омск ул. Б. Хмельницкого, 283 тел. 33-47-20/)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443A6D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w:t>
      </w:r>
      <w:r w:rsidRPr="00E93F40">
        <w:rPr>
          <w:rFonts w:ascii="Times New Roman" w:hAnsi="Times New Roman"/>
          <w:color w:val="000000" w:themeColor="text1"/>
          <w:sz w:val="16"/>
          <w:szCs w:val="16"/>
          <w:lang w:val="en-US"/>
        </w:rPr>
        <w:t>Hispano</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Suisa</w:t>
      </w:r>
      <w:r w:rsidRPr="00E93F40">
        <w:rPr>
          <w:rFonts w:ascii="Times New Roman" w:hAnsi="Times New Roman"/>
          <w:color w:val="000000" w:themeColor="text1"/>
          <w:sz w:val="16"/>
          <w:szCs w:val="16"/>
        </w:rPr>
        <w:t>" 8</w:t>
      </w:r>
      <w:r w:rsidRPr="00E93F40">
        <w:rPr>
          <w:rFonts w:ascii="Times New Roman" w:hAnsi="Times New Roman"/>
          <w:color w:val="000000" w:themeColor="text1"/>
          <w:sz w:val="16"/>
          <w:szCs w:val="16"/>
          <w:lang w:val="en-US"/>
        </w:rPr>
        <w:t>FB</w:t>
      </w:r>
      <w:r w:rsidRPr="00E93F40">
        <w:rPr>
          <w:rFonts w:ascii="Times New Roman" w:hAnsi="Times New Roman"/>
          <w:color w:val="000000" w:themeColor="text1"/>
          <w:sz w:val="16"/>
          <w:szCs w:val="16"/>
        </w:rPr>
        <w:t xml:space="preserve"> под обозначением М-6, затем - "</w:t>
      </w:r>
      <w:r w:rsidRPr="00E93F40">
        <w:rPr>
          <w:rFonts w:ascii="Times New Roman" w:hAnsi="Times New Roman"/>
          <w:color w:val="000000" w:themeColor="text1"/>
          <w:sz w:val="16"/>
          <w:szCs w:val="16"/>
          <w:lang w:val="en-US"/>
        </w:rPr>
        <w:t>Hispano</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Suisa</w:t>
      </w:r>
      <w:r w:rsidRPr="00E93F40">
        <w:rPr>
          <w:rFonts w:ascii="Times New Roman" w:hAnsi="Times New Roman"/>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E93F40">
        <w:rPr>
          <w:rFonts w:ascii="Times New Roman" w:hAnsi="Times New Roman"/>
          <w:color w:val="000000" w:themeColor="text1"/>
          <w:sz w:val="16"/>
          <w:szCs w:val="16"/>
          <w:vertAlign w:val="superscript"/>
        </w:rPr>
        <w:t>133</w:t>
      </w:r>
      <w:r w:rsidRPr="00E93F40">
        <w:rPr>
          <w:rFonts w:ascii="Times New Roman" w:hAnsi="Times New Roman"/>
          <w:color w:val="000000" w:themeColor="text1"/>
          <w:sz w:val="16"/>
          <w:szCs w:val="16"/>
        </w:rPr>
        <w:t xml:space="preserve"> С 1930 г. выпуск по лицензии </w:t>
      </w:r>
      <w:r w:rsidRPr="00E93F40">
        <w:rPr>
          <w:rFonts w:ascii="Times New Roman" w:hAnsi="Times New Roman"/>
          <w:color w:val="000000" w:themeColor="text1"/>
          <w:sz w:val="16"/>
          <w:szCs w:val="16"/>
          <w:lang w:val="en-US"/>
        </w:rPr>
        <w:t>Bristol</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Jupiter</w:t>
      </w:r>
      <w:r w:rsidRPr="00E93F40">
        <w:rPr>
          <w:rFonts w:ascii="Times New Roman" w:hAnsi="Times New Roman"/>
          <w:color w:val="000000" w:themeColor="text1"/>
          <w:sz w:val="16"/>
          <w:szCs w:val="16"/>
        </w:rPr>
        <w:t xml:space="preserve">" VI под обозначением М-22. С 1934 г. - лицензионный </w:t>
      </w:r>
      <w:r w:rsidRPr="00E93F40">
        <w:rPr>
          <w:rFonts w:ascii="Times New Roman" w:hAnsi="Times New Roman"/>
          <w:color w:val="000000" w:themeColor="text1"/>
          <w:sz w:val="16"/>
          <w:szCs w:val="16"/>
          <w:lang w:val="en-US"/>
        </w:rPr>
        <w:t>Gnome</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Rohne</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MistralMajor</w:t>
      </w:r>
      <w:r w:rsidRPr="00E93F40">
        <w:rPr>
          <w:rFonts w:ascii="Times New Roman" w:hAnsi="Times New Roman"/>
          <w:color w:val="000000" w:themeColor="text1"/>
          <w:sz w:val="16"/>
          <w:szCs w:val="16"/>
        </w:rPr>
        <w:t>" 14К как М-85.</w:t>
      </w:r>
    </w:p>
    <w:p w14:paraId="10746F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5DE7F9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275A3F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4C42A8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34558C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510EAA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3AA2E8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1939 г. проектная мощность завода составляла 6 тыс. М-88 в год, годовой план - 3 тыс. моторов.</w:t>
      </w:r>
    </w:p>
    <w:p w14:paraId="16BC39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E93F40">
        <w:rPr>
          <w:rFonts w:ascii="Times New Roman" w:hAnsi="Times New Roman"/>
          <w:color w:val="000000" w:themeColor="text1"/>
          <w:sz w:val="16"/>
          <w:szCs w:val="16"/>
          <w:vertAlign w:val="superscript"/>
        </w:rPr>
        <w:t>89</w:t>
      </w:r>
    </w:p>
    <w:p w14:paraId="4DF3E689" w14:textId="66142E0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29.09.1941 г. завод и ОКБ в соответствии с пост. ГКО № 457сс от 11.08.1941 г. и приказом № 844сс от 12.08.1941 г. эвакуированы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20DFEA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493D2D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01.1942 г. в Омске восстановлено производство М-88Б.</w:t>
      </w:r>
    </w:p>
    <w:p w14:paraId="4B10F7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соответствии с пост. ГКО № 1263 от 9.02.1942 г. под руководством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64F26C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10.1944 г. на старом месте в Запорожье основан завод № 478 (вступил в строй в 1947 г.).</w:t>
      </w:r>
    </w:p>
    <w:p w14:paraId="433802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56B45B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60276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624511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12.1958 г. при заводе создан филиал № 3 ОКБ-456 для сопровождения серии ЖРД. Ликвидирован в 1968 г.</w:t>
      </w:r>
    </w:p>
    <w:p w14:paraId="0EB1BC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11.1970 г. собран первый АЛ-21Ф (изд. «85»).</w:t>
      </w:r>
    </w:p>
    <w:p w14:paraId="53A00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3D840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2004 г. предприятие производило также ремонт авиадвигателей.</w:t>
      </w:r>
    </w:p>
    <w:p w14:paraId="0DDD63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(1926 г.)- 279 ед.</w:t>
      </w:r>
    </w:p>
    <w:p w14:paraId="01365E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территории (1925 г.)- 84 тыс.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производственная (1925 г.)- 8,8 тыс.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вспомогательная (1925 г.)- 5,8 тыс.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1DDB02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(12.1926 г.)- 521 чел., (15.09.1964 г.)- 21.735 чел., (2005 г.)- около 7000 чел.</w:t>
      </w:r>
    </w:p>
    <w:p w14:paraId="75F888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E93F40">
        <w:rPr>
          <w:rFonts w:ascii="Times New Roman" w:hAnsi="Times New Roman"/>
          <w:color w:val="000000" w:themeColor="text1"/>
          <w:sz w:val="16"/>
          <w:szCs w:val="16"/>
          <w:vertAlign w:val="superscript"/>
        </w:rPr>
        <w:t>49</w:t>
      </w:r>
      <w:r w:rsidRPr="00E93F40">
        <w:rPr>
          <w:rFonts w:ascii="Times New Roman" w:hAnsi="Times New Roman"/>
          <w:color w:val="000000" w:themeColor="text1"/>
          <w:sz w:val="16"/>
          <w:szCs w:val="16"/>
        </w:rPr>
        <w:t xml:space="preserve"> (11.2006 г.-)- А. Шутов.</w:t>
      </w:r>
    </w:p>
    <w:p w14:paraId="5A8A5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07997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24BB2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строительства (11.03.1937 г.-)- Е.В. Любицкий.</w:t>
      </w:r>
    </w:p>
    <w:p w14:paraId="39FDD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(1930-36 г.)- А.С. Назаров, (19.02.1938-10.1940 г.)- С.К. Туманский (снят), (10.1940-08.1941 г.-)- Е.В. Урмин.</w:t>
      </w:r>
    </w:p>
    <w:p w14:paraId="59D86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металлург (17.05.1938 г.-)- Газезьян; и.о. Колчинский. Гл. механик (06.1927 г.)- Габелин.</w:t>
      </w:r>
    </w:p>
    <w:p w14:paraId="5EF42C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производства (1973 г.)- В. Соснин.</w:t>
      </w:r>
    </w:p>
    <w:p w14:paraId="58650C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серийного КБ завода в Омске- А. Г. Ивченко.</w:t>
      </w:r>
    </w:p>
    <w:p w14:paraId="379F58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770F90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цеха: П.С. Верхолезов.</w:t>
      </w:r>
    </w:p>
    <w:p w14:paraId="2B1A2A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25DC12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лабораторий: П.С. Верхолезов.</w:t>
      </w:r>
    </w:p>
    <w:p w14:paraId="06C3D7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Заведующий чертежным бюро (бюро приспособлений и инструмента) (06.1927 г.)- В.А. Пивовар. Статистик (01.1928 г.)- Богданов.</w:t>
      </w:r>
    </w:p>
    <w:p w14:paraId="22266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37315B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9B41B3" w14:textId="758913D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базе реконструированной школы ФЗО Ткацкой фабрики Вигоньтреста образован Завод № 25 НКТП, НКОП, НКАП /г. Москва Семеновская пл., 7;</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Ульяновск/. Территориально располагался на трех площадках: основное производство и КБ - на Семеновской пл., 7 (квартал меяоду ул. Ткацкой, ул. Вельяминовской, Измайловским валом); склады, гаражи и лаборатория - на ул. Соколиной, 4; литейный цех со складами - в Лианозово у ст. Марк. Кроме того, завод арендовал корпус в МАИ для опытного производства.</w:t>
      </w:r>
    </w:p>
    <w:p w14:paraId="0E3470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12.1936 г. передан из ГУАП НКТП в ведение 1ГУ НКОП, по пр. № ЗЗсс от 1/3.02.1938 г. передан в ведение созданного ГУ авиационного моторостроения, в 12.1938 г. - в ведении 18ГУ. Далее - специальный завод при 4ГУ НКАП по индивидуальному и мелкосерийному производству спецстанков, приспособлений, специнструмента, оборудования испытательных станций и лабораторий.</w:t>
      </w:r>
    </w:p>
    <w:p w14:paraId="0CD67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имел филиал. На базе Спецтехбюро филиала в начале 1940 г. был образован в Тушино самостоятельный завод испытательного оборудования № 291 НКАП в системе ЗГУ.</w:t>
      </w:r>
    </w:p>
    <w:p w14:paraId="1AD3DF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111с от 23/26.03.1938 г. на завод № 25 из МАИ переведено Специальное бюро Л.Б. Евангулова, он назначен гл. конструктором завода. Этим же приказом завод реорганизован для производства механической части тормозов для испытаний моторов, гидротормозов типа «Хинан-Фруд», установок типа «Райт-Филд», приборов и аппаратуры для испытательных станций. Учитывая необходимость перевода завода в другое место, требовалось подобрать площадку и к 1.07.1938 г. представить проект завода.</w:t>
      </w:r>
    </w:p>
    <w:p w14:paraId="4D258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11.1938 г. завод являлся филиалом завода № 1. По пр. № 418сс от 4.11.1938 г. требовалось организовать на заводе производство запчастей для самолетов Р-5, </w:t>
      </w:r>
      <w:r w:rsidRPr="00E93F40">
        <w:rPr>
          <w:rFonts w:ascii="Times New Roman" w:hAnsi="Times New Roman"/>
          <w:color w:val="000000" w:themeColor="text1"/>
          <w:sz w:val="16"/>
          <w:szCs w:val="16"/>
          <w:lang w:val="en-US"/>
        </w:rPr>
        <w:t>P</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Z</w:t>
      </w:r>
      <w:r w:rsidRPr="00E93F40">
        <w:rPr>
          <w:rFonts w:ascii="Times New Roman" w:hAnsi="Times New Roman"/>
          <w:color w:val="000000" w:themeColor="text1"/>
          <w:sz w:val="16"/>
          <w:szCs w:val="16"/>
        </w:rPr>
        <w:t xml:space="preserve"> и ССС.</w:t>
      </w:r>
    </w:p>
    <w:p w14:paraId="342A2FDB" w14:textId="71DA92C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конца 1930-х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проводились работы по гидротормозным установкам, электромеханике.</w:t>
      </w:r>
    </w:p>
    <w:p w14:paraId="517AB2B5" w14:textId="2DDDD20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1072сс от 15.10.1941 г. завод № 25 был эвакуирован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Ульяновск на площадку строящегося завода № 283 НКАП. В результате их объединения по приказу № 69с от 26.01.1942 г. образован единый завод № 25 НКАП. Позже в него влились эвакуированные заводы № 30 НКАП, № 123 НКАП и местный строящийся завод № 127 НКАП. В конце 1941 г. заводу № 25 НКАП переданы часть оборудования и личного состава завода № 30 НКАП.</w:t>
      </w:r>
    </w:p>
    <w:p w14:paraId="6B26B4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спецстанков, инструмента, оснастки, приспособлений для авиазаводов. Кроме основного производства, изготавливал мины ПОМЗ.</w:t>
      </w:r>
    </w:p>
    <w:p w14:paraId="46F6D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площадке эвакуированного завода в Москве действовал филиал завода № 25 при 4ГУ. По приказу № 424с от 7.06.1942 г. филиал был размещен на площадке опытного завода ЦИАМ. Директор филиала (1942-43 г.-)- Шенкман. Производство резцов. По приказу НКАП № 122с от 27.02.1943 г. оборудование и личный состав филиала завода № 25 переданы заводу № 315 НКАП. На старой площадке (Семеновская пл.) после войны действовал электротехнический завод, в н. вр. это- Московский завод электроприборов.</w:t>
      </w:r>
    </w:p>
    <w:p w14:paraId="05E3C40A" w14:textId="357B23F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1942 г. в состав завода влито ОКБ</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Г.М. Можаровского и И.В. Веневидова (переведено из</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Кирова с завода № 32 НКАП, где КБ-2</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Г.М. Можаровского и И.В. Веневидова работало в эвакуации).</w:t>
      </w:r>
    </w:p>
    <w:p w14:paraId="0DE46C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154с от 17.03.1943 г. неиспользуемые площади завода, а также площадка бывшего завода № 127 НКАП переданы в распоряжение Автомобильного завода им. Сталина НКСМ.</w:t>
      </w:r>
    </w:p>
    <w:p w14:paraId="0F1AC5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4006с от 29.08.1943 г. и по приказу № 528с от 2.09.1943 г. завод № 25 НКАП со всем оборудованием и кадрами переведен в Москву и влит в состав завода № 500 НКАП. Тем же приказом производство электродрелей с оборудованием и кадрами переведено на завод № 140 НКАП.</w:t>
      </w:r>
    </w:p>
    <w:p w14:paraId="1127B851" w14:textId="04FB988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 Потапенко, (-15.02.1937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Г.И. Старченко (снят), (15.02.1937-09.1943 г.)- И.А. Исаков.</w:t>
      </w:r>
    </w:p>
    <w:p w14:paraId="3BD6BD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(26.03.1938 г.-)- Л.Б. Евангулов.</w:t>
      </w:r>
    </w:p>
    <w:p w14:paraId="3822C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(1942 г.)- И.В. Крылов.</w:t>
      </w:r>
    </w:p>
    <w:p w14:paraId="2A2002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(26.03.1938 г.-)- Л.Б. Евангулов (11982).</w:t>
      </w:r>
    </w:p>
    <w:p w14:paraId="290BA4A4"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3EB7E2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завод Термоэлектроприбор переведен на новую территорию в Петроградском районе по ул. Скороходова и получил название «Пирометр».</w:t>
      </w:r>
    </w:p>
    <w:p w14:paraId="2F752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1938-39 г. получил название завод № 218. Полностью введен в строй в 1940 г.</w:t>
      </w:r>
    </w:p>
    <w:p w14:paraId="3D4F6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2AA826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0FE33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постановлением № ГКО-537сс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1B19A5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Оставшаяся часть завода № 218 продолжала действовать в Ленинграде под своим номером (в 07.1942 г.-производство авиационных и танковых приборов).65 </w:t>
      </w:r>
    </w:p>
    <w:p w14:paraId="41FA5B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07.1942 г. другая часть завода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w:t>
      </w:r>
    </w:p>
    <w:p w14:paraId="3C9EAA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ГОКО № 3919 от 18.08.1943 г. для выпуска электроприборов.</w:t>
      </w:r>
    </w:p>
    <w:p w14:paraId="2DED50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завод № 218 действовал в Ленинграде. Производство осциллографов (1959 г.), автопилотов АП-15, АП-28, АП-40 (для Як-26), АП-31 (для Як-24).</w:t>
      </w:r>
    </w:p>
    <w:p w14:paraId="0432E1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1993 г. завод преобразован в ОАО «Пирометр». Входит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2EF28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2005 г. планируется перевести основное производство из центра города в Кировский район.</w:t>
      </w:r>
    </w:p>
    <w:p w14:paraId="282C47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авиационных приборов, САУ и ПНК (2004 г.).</w:t>
      </w:r>
    </w:p>
    <w:p w14:paraId="45BE89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(1940 г.)- Балакирев, (09.1940-41 г.-)- Соколовский, (1942 г.)- И.М. Цветков, (05.1944 г.)- К.Д. Карасев. Гендиректор (1990-е г.)- А.Г. Пшеничников, (1994-96 г.)- С.Д. Бодрунов (затем- гендиректор ОАО ОАК), (1996-10.2003 г.)- А.Л. Захаров, (2003 г.)- В.В. Голубев.</w:t>
      </w:r>
    </w:p>
    <w:p w14:paraId="39ADFB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(1941 г.)- А.А. Андреев, (1980-е)- А.Л. Захаров.</w:t>
      </w:r>
    </w:p>
    <w:p w14:paraId="6298E4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 А.Л. Захаров. Директор по ВЭД (-1994 г.)- С.Д. Бодрунов.</w:t>
      </w:r>
    </w:p>
    <w:p w14:paraId="1E8237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КБ (1981 г.-)- А.Л. Захаров.</w:t>
      </w:r>
    </w:p>
    <w:p w14:paraId="04A083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Завод № 218 НКАП, завод «Термоэлектроприбор», завод "Пирометр", ОАО «Пирометр» </w:t>
      </w:r>
    </w:p>
    <w:p w14:paraId="1CDE06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Ленинград, ул. Скороходова, 16 (1940 г.); г. Казань</w:t>
      </w:r>
    </w:p>
    <w:p w14:paraId="0CA833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197061 г. Санкт-Петербург ул. Б. Монетная, 16 тел. 232-74-86</w:t>
      </w:r>
    </w:p>
    <w:p w14:paraId="2BD8E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ОКБ-218 НКАП, ОКБ-5 завода № 218 МАП </w:t>
      </w:r>
    </w:p>
    <w:p w14:paraId="3AD7A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Ленинград</w:t>
      </w:r>
    </w:p>
    <w:p w14:paraId="7DBF29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29A411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(-1941-06.1948 г.-)- А.А. Андреев.</w:t>
      </w:r>
    </w:p>
    <w:p w14:paraId="163F9D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ОАО «Корпорация «Аэрокосмическое оборудование» (КАО) </w:t>
      </w:r>
    </w:p>
    <w:p w14:paraId="2185A2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197101 г. Санкт-Петербург ул. Б. Монетная, 16 тел. 238-72-45, 233-74-59 www.aequipment.ru</w:t>
      </w:r>
    </w:p>
    <w:p w14:paraId="1EB9CE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Московское представительство: ул. Б. Молчановка, 30/7 стр. 2; 101000 Архангельский пер., 6 (2004 г.) тел. 9244471</w:t>
      </w:r>
    </w:p>
    <w:p w14:paraId="5943E3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ОАО “Альметьевский завод “Радиоприбор”, ОАО "Московский радиозавод "ТЕМП", ОАО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“Улан-Удэнское приборостроительное производственное объединение ”,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(на 11.2004 г. в КАО входят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Входит в МФПГ «Оборонительные системы», в 2002 г. вошла в Концерн «Алмаз-Антей». По Указу Президента РФ № 1009 от 4.08.2004 г. вошло в число стратегических оборонных предприятий.</w:t>
      </w:r>
    </w:p>
    <w:p w14:paraId="1C6BBB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(2002 г.)- 100 чел.,69 (1.04.2003 г.)- 148 чел.</w:t>
      </w:r>
    </w:p>
    <w:p w14:paraId="6C013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(2002-05 г.-)- С.Д. Бодрунов.</w:t>
      </w:r>
    </w:p>
    <w:p w14:paraId="053FB4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Председатель совета директоров (04.2002-04 г.-)- А.П. Захаревич.</w:t>
      </w:r>
    </w:p>
    <w:p w14:paraId="77FC8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Члены совета директоров (31.03.2004 г.-)- С.Д. Бодрунов, В.П. Володин (Председатель Военно-научного комитета Генштаба ВС), А.М. Гиринов, А.Л. Захаров, А.И. Кондрашов, Ю.Н. Коптев, И.И. Кутырин, Л.А. Мальков, С.П. Мухин (замминистра экономики Татарстана), Д.Е. Смыков, И.А. Соломатин, В.Е. Сурыгин (замдиректора Департамента оборонпрома Правительства РФ).</w:t>
      </w:r>
    </w:p>
    <w:p w14:paraId="2DC32A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зам. гендиректора (2002 г.)- А.Г.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332F9D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НТЦ (2004 г.)- И.И. Кутырин. Советник гендиректора по экономическим вопросам (2004 г.)- И.А. Соломатин.</w:t>
      </w:r>
    </w:p>
    <w:p w14:paraId="44C9F8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ЗАО «НИЦ экономики авиаприборостроения»</w:t>
      </w:r>
    </w:p>
    <w:p w14:paraId="134635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197101 г. Санкт-Петербург ул. Б. Монетная, 16 тел. 238-72-62</w:t>
      </w:r>
    </w:p>
    <w:p w14:paraId="078D9E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 в 1999 г. В 2000 г. вошел в КАО.</w:t>
      </w:r>
    </w:p>
    <w:p w14:paraId="5F1202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510254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Гендиректор (2003 г.)- Ю.Н. Вялкин. </w:t>
      </w:r>
    </w:p>
    <w:p w14:paraId="61757C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ОАО «Объединенный авиаприборостроительный консорциум»</w:t>
      </w:r>
    </w:p>
    <w:p w14:paraId="733171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197101 г. Санкт-Петербург ул. Б. Монетная, 16 тел. 238-77-05</w:t>
      </w:r>
    </w:p>
    <w:p w14:paraId="4ADDF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Управляющая компания КАО, создана в 1998 г.69 </w:t>
      </w:r>
    </w:p>
    <w:p w14:paraId="41A62E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(2003 г.)- А.М. Гиринов (10776).</w:t>
      </w:r>
    </w:p>
    <w:p w14:paraId="1F413D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E337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 в Тушино был организован завод №62 в системе ГУГВФ, который далее был передан в НКТП, а с выделением авиапромышленности передан в систему ГУАП. Территориально располагался вблизи Тушинского летного поля рядом с НИИ ГВФ. </w:t>
      </w:r>
    </w:p>
    <w:p w14:paraId="3BC56A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Вел ремонт самолетов И-16. Строились в 1930-х гг. самолеты "Сталь-2 и "Сталь-3" (А.И.Путилова), ДИ-6, И-28 (В.П.Яценко), в 1940-41гг. - ББ-22 (Як-4). С .3.1941 г. началось освоение производства самолета Як-3 вместо Як-4. </w:t>
      </w:r>
    </w:p>
    <w:p w14:paraId="1F98BD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1936 г. завод №62 получил название завод №81 НКТП. Директор завода был Н.В.Климовицкий. </w:t>
      </w:r>
    </w:p>
    <w:p w14:paraId="41B10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По приказу НКАП/ГУГВФ №278/20 от 27.3.41 г. заводу был передан Тушинский аэродром НИИ ГВФ, расположенный у завода. </w:t>
      </w:r>
    </w:p>
    <w:p w14:paraId="3EDCDF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1930-х на заводе работало несколько конструкторских организаций. </w:t>
      </w:r>
    </w:p>
    <w:p w14:paraId="3A767A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период 1931-1937гг. в системе ГВФ работало КБ завода №62 (далее - КБ завода №81) под руководством гл.к. А.И.Путилова, образованное для разработки и постройки металлического самолета "Сталь-2". Коллективом был построен "Сталь-3". Оба производились серийно и эксплуатировались в ГВФ. В 1937 г. построен опытный самолет "Сталь-11". В 1937 г. А.И.Путилов был освобожден от обязанностей гл.к. на заводе №81 и назначен гл.инж. завода №207 (см. ОАО ДНПП) по дирижаблестроению (приказ 1ГУ НКОП №05 от 17.1.37 г.). </w:t>
      </w:r>
    </w:p>
    <w:p w14:paraId="6E3535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1937-1941гг. на заводе работал опытный отдел, а далее КБ гл.к. В.П.Яценко. Это ОКБ образовано выделением в самостоятельное из ОКБ завода №1 НКАП (гл.к. С.А.Кочеригина). В связи с переводом А.И.Путилова на завод №207, В.П.Яценко назначен на должность начальника КБ завода №81 (приказ 1ГУ НКОП №05 от 17.1.37 г.). Проводилась доработка и внедрение в серию самолета ДИ-6, работы по самолету И-28. На тушинском заводе были проблемы с производственно-конструкторской базой и во второй половине 1940 г. КБ располагалось в неприспособленном цехе ширпотреба. В соответствии с приказом НКАП №21к от 2.1.41 г. В.П.Яценко был назначен гл.к. завода №165 НКАП (г.Днепропетровск), а приказом №31 от 18.1.41 г. туда был переведен весь личный состав и все имущество КБ завода №81. </w:t>
      </w:r>
    </w:p>
    <w:p w14:paraId="0A40A5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Еще одно КБ завода №81 НКАП возглавлял конструктор Л.П.Курбала. Образовано в связи с началом постановки серийного производства самолета ББ-22 на заводе в Тушино для сопровождения связанных с этим работ (приказ №317 от 27.6.40 г.). Проводились работы по модернизации ББ-22 - ПББ-22 с 2хМ-105 (1940 г.). </w:t>
      </w:r>
    </w:p>
    <w:p w14:paraId="6D0DF3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июле 1941 г. завод №81 1ГУ НКАП был эвакуирован (приказ №729 от 22.7.41 г.) в г.Омск на площади новостройки автосборочного завода и стройки завода №166 НКАП. Здесь завод был влит в состав завода №166 НКАП и выбыл из числа действующих. Территория завода со всеми производств сооружениями передана в подчинение заводу №1 НКАП (приказ №712 от 19.7.41 г.). Далее на этой территории в Тушино в соответствии с приказом №210 от 16.3.42 г. был образован новый самолетостроительный Государственный Союзный завод №82 НКАП при 1ГУ НКАП. Началось освоение производства самолета Як-7. </w:t>
      </w:r>
    </w:p>
    <w:p w14:paraId="4B3B10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Директором завода в 1939-41гг. и в 1943-44гг. был Н.В.Климовицкий, в .11.41-.5.42гг. - В.М.Дубов, с .4.42 г. Бугров, в .11.44-.2.47гг. - А.В.Агурьев. Начальником конструкторского отдела завода был Н.С.Черняков (1943 г.). </w:t>
      </w:r>
    </w:p>
    <w:p w14:paraId="34076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к. войны на заводе осущ. восстановление для ЛИ двух нем. трофейн. самолетов "Арадо-234" с 4хБМВ-003. В 1945-49гг. осущ. производство троллейбусов. С 1.4.50 г. завод передан из 1ГУ в 10ГУ. С 1.10.51 г. перед. из 10ГУ в 6ГУ. </w:t>
      </w:r>
    </w:p>
    <w:p w14:paraId="1B4FC8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1.4.55 г. передан из 6ГУ МАП в ведение МОП (приказ №268 от 19.4.55 г.). </w:t>
      </w:r>
    </w:p>
    <w:p w14:paraId="5EC7B5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Серийное производство Як-7 (в 1942-44 г.) и Як-9 (в 1944-45 г.), Ту-2 (в 1951-52гг.), ЗУР "205" (1952-54гг.), "207" (1954-60гг.), "217М" (1960-61гг.), выпущена партия ЗУР "400" (1961 г.), антенных передвижных комплексов "Нева" и волноводных систем разработки НИИРП им. Расплетина, производство крыльев и топливных баков самолета МиГ-23. С к. 1960-х гг. изготавливал опытные образцы самолета Т-4 ("100"), далее делал узлы для истребителей ММЗ им. А.И.Микояна, а в 1980-е гг. - строились корпуса космического аппарата "Буран". </w:t>
      </w:r>
    </w:p>
    <w:p w14:paraId="2E7DEA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1963 года завод получил название Тушинский машиностроительный завод (ТМЗ). </w:t>
      </w:r>
    </w:p>
    <w:p w14:paraId="2F94F7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Долгое время завод служил базой для ОКБ-82 (гл.к. М.М.Пашинин, гл.к. А.И.Потопалов), ОКБ-4 МАП (гл.к. Н.И.Камов, гл.к. М.Р.Бисноват). </w:t>
      </w:r>
    </w:p>
    <w:p w14:paraId="00E33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Сначала для развития гражданского производства в послевоенный период по приказу №176а от 29.3.46 г. при заводе №82 было образовано на базе СКО этого завода опытно-конструкторское бюро (ОКБ-82) по разработке и внедрению в серию троллейбуса МТБ-82. Далее самолетостроительное ОКБ образовано по приказу МАП №564 от 21.8.46 г. при 7ГУ МАП. ОКБ-82 возглавил гл.к. М.М.Пашинин. К 1947 г. в ОКБ переведено много специалистов из г.Куйбышева (с завода №1 МАП, куда в 1941 г. эвакуировался завод №464, на котором работал гл.к. М.М.Пашинин). Разрабатывался проект винтореактивного самолета С-82. Неудачно. ОКБ ликвидировано в 1948 г. на основании приказа МАП №440 от 21.6.48 г. Часть площадей и личного состава ОКБ-82 была передана организованному в Тушино в 1948 г. ОКБ-4 МАП гл.к. Н.И.Миля (см. ОАО НПО "Молния" и ОАО "МВЗ им. Н.И.Миля") по геликоптерам, а остальная часть передана серийному заводу №82 МАП. </w:t>
      </w:r>
    </w:p>
    <w:p w14:paraId="28FF1D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январе 1954 г. образовано на базе СКО новое КБ завода №82 (КБ-82 МАП, ОКБ-82 МосгорСНХ, МКБ "Буревестник") для организации внедрения в серийное производство ЗУР В-300 и ее усовершенствования. Гл.к. назначен М.М.Пашинин. В период 1954-55гг. в КБ успешно организовано серийное производство ракеты В-300 ("205"), разработана документация и внедрено его в производство новое изд. "207А". </w:t>
      </w:r>
    </w:p>
    <w:p w14:paraId="5E212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 передаче завода №82 в систему МОП из 6ГУ МАП конструкторское бюро было расформировано. Часть кадров передана вновь в состав СКО завода №82, а часть переведена в ОКБ-301 гл.к. С.А.Лавочкина. Вскоре, ввиду необходимости продолжения работ по усовершенствованию ЗУР типа "205" и "207А", в .8.55 г. принято решение о восстановлении КБ завода №82 МОП с подчинением его ОКБ-301. В период с 1955-56 гг. КБ разработало эскизный проект и рабочую документацию на изд. "215" и запустило его в опытное и серийное производство. Техническое руководство этими разработками осуществлял М.М.Пашинин. Далее с 1958 г. гл.к. КБ назначен А.И.Потопалов (с 1952 г. - начальник производства завода №82, а с 1955 г. - главный инженер, руководил освоением на заводе серийного производства зенитной ракеты В-300). В КБ-82 МосгорСНХ созданы ЗУР изд. "218" со спецБЧ (испытания в 1964 г.). С 1961 г. проводились разработки по ракетам-мишеням типа "Белка", "Звезда", "Стрела" и др. на базе ЗУР семейства В-300. Разрабатывались с 1960 г. опытные ЗУР 9М33 для комплекса "Оса" (работы переданы в ОКБ "Факел") и по ЗУР "625". В 1965 г. получило наименование КБ "Буревестник". В 1976 г. КБ объединено с КБ "Молния" в новое НПО "Молния". </w:t>
      </w:r>
    </w:p>
    <w:p w14:paraId="39A747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1982 по 1999 год завод возглавлял Арутюнов С.Г. Под руководством которого была осуществлена программа строительства космического корабля многоразового использования "Буран". </w:t>
      </w:r>
    </w:p>
    <w:p w14:paraId="6167D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начале 1990-х годов на ТМЗ, который в 1997 году был преобразован в открытое акционерное общество ОАО ТМЗ, начали производиться не имеющие серийно производимых мировых аналогов ветроэнергетические установки мощностью один мегаватт. В 1998 году предприятием завершена подготовка к серийному производству автономных промышленных комплексов по утилизации изношенных автомобильных шин. По заказу Правительства Москвы ОАО ТМЗ реализует программу выпуска пяти таких комплексов. </w:t>
      </w:r>
    </w:p>
    <w:p w14:paraId="677D33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настоящее время ОАО ТМЗ осуществляет сборку городских автобусов, производит одноразовые шприцы, алюминиевые сплавы, трамвайные резиновые переезды и, совместно с НПО "Молния", начал подготовку к производству многоцелевой авиационно-космической системы "МАКС" </w:t>
      </w:r>
    </w:p>
    <w:p w14:paraId="492308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апреле 1999 года решением акционеров ОАО ТМЗ Генеральным директором был избран Волков Н.В., в течение многих лет являвшийся заместителем Генерального директора по производству и непосредственно возглавлявший проведение работ по реализации программы строительства ОК "Буран". </w:t>
      </w:r>
    </w:p>
    <w:p w14:paraId="601159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Тушинский МЗ, ОАО (ОАО ТМЗ) </w:t>
      </w:r>
    </w:p>
    <w:p w14:paraId="1498C1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Ранее: завод №62, завод №81 им. Молотова, Завод №82, Государственный Союзный завод №82, Тушинский МЗ, АО "ТМЗ" </w:t>
      </w:r>
    </w:p>
    <w:p w14:paraId="433B1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125459, Москва, ул. Новопоселковая, д. 6 (10777).</w:t>
      </w:r>
    </w:p>
    <w:p w14:paraId="4C8332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3680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В 1932 г. был основан самолетостроительный завод в подмосковном Тушино сначала под наименованием завод № 62 в ГУ ГВФ, затем передан в ГУАП </w:t>
      </w:r>
      <w:r w:rsidRPr="00E93F40">
        <w:rPr>
          <w:rFonts w:ascii="Times New Roman" w:hAnsi="Times New Roman"/>
          <w:color w:val="000000" w:themeColor="text1"/>
          <w:sz w:val="16"/>
          <w:szCs w:val="16"/>
          <w:lang w:val="en-US"/>
        </w:rPr>
        <w:t>HKTTI</w:t>
      </w:r>
      <w:r w:rsidRPr="00E93F40">
        <w:rPr>
          <w:rFonts w:ascii="Times New Roman" w:hAnsi="Times New Roman"/>
          <w:color w:val="000000" w:themeColor="text1"/>
          <w:sz w:val="16"/>
          <w:szCs w:val="16"/>
        </w:rPr>
        <w:t>. С 1936 г. завод № 62 получил название завод № 81. В 12.1936 г. передан из ГУАП НКТП в ведение 1ГУ НКОП (и на 12.1938 г.).</w:t>
      </w:r>
    </w:p>
    <w:p w14:paraId="25E1C5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Территориально располагался рядом с НИИ ГВФ возле Тушинского летного поля. Осуществлялся ремонт И- 16. Затем перешел на строительство самолетов.</w:t>
      </w:r>
    </w:p>
    <w:p w14:paraId="614F7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Производственная программа завода на 1937 г.: 200 ДИ-6 (в кооперации с заводом № 1).</w:t>
      </w:r>
    </w:p>
    <w:p w14:paraId="409436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0032 от 8.02.1937 г. заводу предписано к 1.11.1937 г. расширить главный корпус до 8000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11082C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1931-1937 г. на заводе работал ООС ГВФ А.И. Путилова (самолеты «Сталь»).</w:t>
      </w:r>
    </w:p>
    <w:p w14:paraId="01B20A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1937-41 г. на заводе работало КБ (опытный отдел) В.П. Яценко.</w:t>
      </w:r>
    </w:p>
    <w:p w14:paraId="264F5301" w14:textId="4273978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заводе базировалось ОКБ Чаромского и Стечкина.</w:t>
      </w:r>
    </w:p>
    <w:p w14:paraId="4C301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00112 от 23.05.1937 г. на заводе выделены Остехбюро помещения для ОКР по снащению И-16 электроспуском и системой автоматической перезарядки пулемета 1ШСАС.</w:t>
      </w:r>
    </w:p>
    <w:p w14:paraId="6C37D7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380с от 29.09.1938 г. заводу предписано к 1.11.1938 г. довести мощность цеха по ремонту крыльев до 200 комплектов в месяц; на завод был переведен инженер Евтихова, к заводу прикреплен зам. гл. конструктора Томашевич.</w:t>
      </w:r>
    </w:p>
    <w:p w14:paraId="354A2F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1939 г. проектная мощность завода составляла 800 ближних бомбардировщиков ББ-22 в год.</w:t>
      </w:r>
    </w:p>
    <w:p w14:paraId="7A1BC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115с от 10/13.03.1940 г. на завод № 81 НКАП переводился с завода № 43 ОКО гл. конструктора В.К. Таирова, но здесь числился недолго. Еще при переезде, из-за принятия решения о начале серийного выпуска ББ-22 на заводе № 81, В.К. Таиров был оставлен гл. конструктором завода № 43.</w:t>
      </w:r>
    </w:p>
    <w:p w14:paraId="16709A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03.1941 г. началось освоение выпуска Як-3. План производства на 1941 г.: 250 Як-3 и 63 Як-4.</w:t>
      </w:r>
      <w:r w:rsidRPr="00E93F40">
        <w:rPr>
          <w:rFonts w:ascii="Times New Roman" w:hAnsi="Times New Roman"/>
          <w:color w:val="000000" w:themeColor="text1"/>
          <w:sz w:val="16"/>
          <w:szCs w:val="16"/>
          <w:vertAlign w:val="superscript"/>
        </w:rPr>
        <w:t>144</w:t>
      </w:r>
    </w:p>
    <w:p w14:paraId="78EF3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НКАП/ ГУ ГВФ № 278с/ 20с от 27.03.1941 г. заводу был передан Тушинский аэродром НИИ ГВФ.</w:t>
      </w:r>
    </w:p>
    <w:p w14:paraId="0BD84B4E" w14:textId="22AB76D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СНК № 1824-817 от 5.07.1941 г. и по приказу № 729сс от 22.07.1941 г. завод № 81 1ГУ НКАП был эвакуирован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Омск на площадку новостройки автосборочного завода и стройки завода № 166 НКАП. Здесь завод влит в состав завода № 166 НКАП и на 10.1941 г. выбыл из состава действующих.</w:t>
      </w:r>
    </w:p>
    <w:p w14:paraId="03CDB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712с от 19.07.1941 г. территория завода со всеми сооружениями передана заводу № 1 НКАП. В 03.1942 г. на этой территории организован завод № 82 НКАП (ТМЗ).</w:t>
      </w:r>
    </w:p>
    <w:p w14:paraId="05643A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(11.1940 г.)- 476 металлорежущих станков.</w:t>
      </w:r>
    </w:p>
    <w:p w14:paraId="712FF2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(-06-3.08.1937 г.)- Д.Е. Кофман, (3.08.1937 г.-)- П.М. Самсонов, (-1940-05.1941 г.-)- Н.В. Климовицкий.</w:t>
      </w:r>
    </w:p>
    <w:p w14:paraId="5768D6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(-10.06.1937 г.)- Ю.Б. Эскин.</w:t>
      </w:r>
    </w:p>
    <w:p w14:paraId="6BF0FF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(23.07.1937 г.-)- С.С. Баринов.</w:t>
      </w:r>
    </w:p>
    <w:p w14:paraId="178DEE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(-22.05.1938 г.)- С.С. Баринов, (31.10.1938 г.-)- П.С. Кушпель.</w:t>
      </w:r>
    </w:p>
    <w:p w14:paraId="3B1610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ОТК (-11.1937 г.)- Я.И. Луканидин.</w:t>
      </w:r>
    </w:p>
    <w:p w14:paraId="588B13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 самолеты:</w:t>
      </w:r>
      <w:r w:rsidRPr="00E93F40">
        <w:rPr>
          <w:rFonts w:ascii="Times New Roman" w:hAnsi="Times New Roman"/>
          <w:color w:val="000000" w:themeColor="text1"/>
          <w:sz w:val="16"/>
          <w:szCs w:val="16"/>
        </w:rPr>
        <w:t xml:space="preserve"> «Сталь-2» (1934-37)- 101, «Сталь-3» (1935-36)- 79, ДИ-6 (1937-38)- 151, И-28, ББ- 22 (1940-41)- 120, УТ-3 (1940)- 1, Як-1 (11982).</w:t>
      </w:r>
    </w:p>
    <w:p w14:paraId="6A6FF8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9EAD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 был составлен проект завода авиаприборов в г.Москве. Для ускорения организации под новый завод было передано начатое строительство "Термоаппаратстроя" в Филях, проведена перепланировка. Костяк нового предприятия сформирован в результате разделения приборостроительного завода "Авиаприбор" (завода №230 НКАП), часть пр-ва которого по механическим авиаприборам была переведена из места в Грузинах в Кутузовскую слободу (угол Можайского и Филевского шоссе, ок. ст.Кутузово), где и возник крупносерийный завод №213 по авиационным неэлектрическим приборам. Первую продукцию дал в 1933 г. В 1935 г. началось строительство 2-й очереди. Полностью введен в эксплуатацию в 1937 г. </w:t>
      </w:r>
    </w:p>
    <w:p w14:paraId="3668AE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1934 г. образована первая конструкторская группа по разработке навигационного оборудования для самолетов (на заводе "Авиаприбор"). </w:t>
      </w:r>
    </w:p>
    <w:p w14:paraId="68F133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Перед и в начале ВОВ шло пр-во различных ав. приборов: анероидов (в т.ч. для мотора "107"), манометров масла и бензина, тахометров, компасов (КИ-10, А-4 и др.), высотомеров, термометров, бензмномеров, указателей скорости и угла атаки, автопилотов, авиагоризонтов, трубок Пито, а также оптич. прицелов ТОС, бомбодержателей и др. </w:t>
      </w:r>
    </w:p>
    <w:p w14:paraId="083F57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 началом ВОВ завод №213 эвакуирован на площади поселка Мясокомбината, что в 14 км. от г.Энгельс (по приказ. №729сс от 22.7.41 г.). Здесь действовал сначала филиал завода №213. Приказом №1050 от 8.10.41 г. в г.Энгельс переведены оставшиеся мощности из г.Москвы и филиал получил статус завода №213. </w:t>
      </w:r>
    </w:p>
    <w:p w14:paraId="010700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 бывшей площадке завода были образованы Ремонтные мастерские по приборам при 5ГУ НКАП (по приказ. №63 от 25.1.42 г.), а вскоре в .4.1942 г. новый приборный завод №122 НКАП (см. МПЗ №…). </w:t>
      </w:r>
    </w:p>
    <w:p w14:paraId="04A32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 заводе в г.Энгельс действовало ОКБ-213 НКАП. Гл.к. ОКБ в Е.Ф.Антипов. По приказ. НКАП №641 от 5.11.44 г. ОКБ-213 переведено из г.Энгельса на площади завода №122 НКАП в г.Москву. Продолжило действовать как ОКБ-122 НКАП. </w:t>
      </w:r>
    </w:p>
    <w:p w14:paraId="0300D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 завода в 1938-42гг. - К.И.Михайлов, в 1942-1944 г. - М.Д.Березин, 1944-1945 г. - М.С.Гоцеридзе, в 1945-1951гг. - П.П.Кочеров. </w:t>
      </w:r>
    </w:p>
    <w:p w14:paraId="51A7BE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годы ВОВ в г.Энгельсе шло пр-во пилотажных и навигационных (термометры, манометры, магнитные компасы), а также моторных приборов. </w:t>
      </w:r>
    </w:p>
    <w:p w14:paraId="2B4C68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соответствии с приказ. №21с НКАП от 28.1.46 г. ввиду неудобства расположения вдалеке от коммуникаций завод №213 переведен из г.Энгельс в г.Саратов на площадку завода №167 НКАП, обьединившись с ним под прежним названием завод №213 НКАП. В соотв. с тем же приказ. в течении нескольких месяцев 700 чел. рабочих и ИТР, имевших прописку в Москве с основной частью гироскопического пр-ва переведены на завод №122 НКАП. На площадях в г.Энгельсе образован филиал. </w:t>
      </w:r>
    </w:p>
    <w:p w14:paraId="2D4DD8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Пр-во бортовых приборов для самолетов (кроме электрических). Пр-во автопилотов АПС-600А для ЗУР В-600П. В 1951 г. из состава завода №213 выделился завод №878 МАП на площадях филиала завода №213 МАП в г.Энгельсе. </w:t>
      </w:r>
    </w:p>
    <w:p w14:paraId="1E64C5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Приборы саратовского производства используются на самолетах гражданской авиации - Ил-76, Ил-86, Ил-114, Ту-204, Ан-124 "Руслан", Ан-224 "Мрия", а также на ряде типов вертолетов. СЭЗ производит системы управления для летательных аппаратов: пилотажные комплексы, указатели поворота и др. Входит в состав АО "Авиаприбор". </w:t>
      </w:r>
    </w:p>
    <w:p w14:paraId="1AF7CF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Генеральный директор СЭЗ А.Т.Казаков (на 96 г.). </w:t>
      </w:r>
    </w:p>
    <w:p w14:paraId="2FD5C6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Саратовский электроприборостроительный завод им. С.Орджоникидзе, ОАО (СЭЗ) </w:t>
      </w:r>
    </w:p>
    <w:p w14:paraId="373F35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Ранее: Завод №213 НКАП, МАП (Завод №213 им. С.Орджоникидзе НКАП, ГП Саратовский электроприборостроительный завод им. С.Орджоникидзе) </w:t>
      </w:r>
    </w:p>
    <w:p w14:paraId="0EFABA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Адрес: 410003 г.Саратов, ул.Б.Садовая, 239, Телефон (8452) 24-21-32, Факс (8452) 24-21-32 </w:t>
      </w:r>
    </w:p>
    <w:p w14:paraId="43D4E1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Изготовитель современных авиационных приборов, систем автоматического управления пилотажно-навигационных комплексов (10778).</w:t>
      </w:r>
    </w:p>
    <w:p w14:paraId="58E2E4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678165" w14:textId="3E38BF3D" w:rsidR="00570EA6" w:rsidRPr="00E93F40" w:rsidRDefault="00570EA6" w:rsidP="00E93F40">
      <w:pPr>
        <w:pStyle w:val="ae"/>
        <w:spacing w:before="0" w:after="0"/>
        <w:jc w:val="both"/>
        <w:rPr>
          <w:color w:val="000000" w:themeColor="text1"/>
          <w:sz w:val="16"/>
          <w:szCs w:val="16"/>
        </w:rPr>
      </w:pPr>
      <w:r w:rsidRPr="00E93F40">
        <w:rPr>
          <w:color w:val="000000" w:themeColor="text1"/>
          <w:sz w:val="16"/>
          <w:szCs w:val="16"/>
        </w:rPr>
        <w:t>С 1932</w:t>
      </w:r>
      <w:r w:rsidR="007C1411" w:rsidRPr="00E93F40">
        <w:rPr>
          <w:color w:val="000000" w:themeColor="text1"/>
          <w:sz w:val="16"/>
          <w:szCs w:val="16"/>
        </w:rPr>
        <w:t xml:space="preserve"> </w:t>
      </w:r>
      <w:r w:rsidRPr="00E93F40">
        <w:rPr>
          <w:color w:val="000000" w:themeColor="text1"/>
          <w:sz w:val="16"/>
          <w:szCs w:val="16"/>
        </w:rPr>
        <w:t>г. проектировался завод № 213 как завод авиаприборов. Для ускорения ввода в строй этого нового завода ему было передано начатое строительство «Термоаппаратстроя» в Филях у станции Кутузово, где была проведена перепланировка корпусов. Костяк нового предприятия сформировали, разделив приборостроительный завод «Авиаприбор» (завод №</w:t>
      </w:r>
      <w:r w:rsidR="007C1411" w:rsidRPr="00E93F40">
        <w:rPr>
          <w:color w:val="000000" w:themeColor="text1"/>
          <w:sz w:val="16"/>
          <w:szCs w:val="16"/>
        </w:rPr>
        <w:t xml:space="preserve"> </w:t>
      </w:r>
      <w:r w:rsidRPr="00E93F40">
        <w:rPr>
          <w:color w:val="000000" w:themeColor="text1"/>
          <w:sz w:val="16"/>
          <w:szCs w:val="16"/>
        </w:rPr>
        <w:t>230), часть производства которого по механическим авиаприборам была переведена из места в Грузинах в Кутузовскую слободу. Первую продукцию завод №</w:t>
      </w:r>
      <w:r w:rsidR="007C1411" w:rsidRPr="00E93F40">
        <w:rPr>
          <w:color w:val="000000" w:themeColor="text1"/>
          <w:sz w:val="16"/>
          <w:szCs w:val="16"/>
        </w:rPr>
        <w:t xml:space="preserve"> </w:t>
      </w:r>
      <w:r w:rsidRPr="00E93F40">
        <w:rPr>
          <w:color w:val="000000" w:themeColor="text1"/>
          <w:sz w:val="16"/>
          <w:szCs w:val="16"/>
        </w:rPr>
        <w:t>213 по авиационным неэлектрическим приборам выдал в 1933</w:t>
      </w:r>
      <w:r w:rsidR="007C1411" w:rsidRPr="00E93F40">
        <w:rPr>
          <w:color w:val="000000" w:themeColor="text1"/>
          <w:sz w:val="16"/>
          <w:szCs w:val="16"/>
        </w:rPr>
        <w:t xml:space="preserve"> </w:t>
      </w:r>
      <w:r w:rsidRPr="00E93F40">
        <w:rPr>
          <w:color w:val="000000" w:themeColor="text1"/>
          <w:sz w:val="16"/>
          <w:szCs w:val="16"/>
        </w:rPr>
        <w:t>г. Когда возникла тематика МПУАЗО, то ее решили разместить именно на этом заводе. В начале 1936</w:t>
      </w:r>
      <w:r w:rsidR="007C1411" w:rsidRPr="00E93F40">
        <w:rPr>
          <w:color w:val="000000" w:themeColor="text1"/>
          <w:sz w:val="16"/>
          <w:szCs w:val="16"/>
        </w:rPr>
        <w:t xml:space="preserve"> </w:t>
      </w:r>
      <w:r w:rsidRPr="00E93F40">
        <w:rPr>
          <w:color w:val="000000" w:themeColor="text1"/>
          <w:sz w:val="16"/>
          <w:szCs w:val="16"/>
        </w:rPr>
        <w:t>г. на завод были переведены работники с завода №</w:t>
      </w:r>
      <w:r w:rsidR="007C1411" w:rsidRPr="00E93F40">
        <w:rPr>
          <w:color w:val="000000" w:themeColor="text1"/>
          <w:sz w:val="16"/>
          <w:szCs w:val="16"/>
        </w:rPr>
        <w:t xml:space="preserve"> </w:t>
      </w:r>
      <w:r w:rsidRPr="00E93F40">
        <w:rPr>
          <w:color w:val="000000" w:themeColor="text1"/>
          <w:sz w:val="16"/>
          <w:szCs w:val="16"/>
        </w:rPr>
        <w:t>205, в частности И.Я. Левин, а также из бывшей мастерской по разработке заградительных авиационных мин (ЗАМ), затем в июне 1937</w:t>
      </w:r>
      <w:r w:rsidR="007C1411" w:rsidRPr="00E93F40">
        <w:rPr>
          <w:color w:val="000000" w:themeColor="text1"/>
          <w:sz w:val="16"/>
          <w:szCs w:val="16"/>
        </w:rPr>
        <w:t xml:space="preserve"> </w:t>
      </w:r>
      <w:r w:rsidRPr="00E93F40">
        <w:rPr>
          <w:color w:val="000000" w:themeColor="text1"/>
          <w:sz w:val="16"/>
          <w:szCs w:val="16"/>
        </w:rPr>
        <w:t>г. передали танковую группу из КБ-21. В сформированном таким образом отделе №</w:t>
      </w:r>
      <w:r w:rsidR="007C1411" w:rsidRPr="00E93F40">
        <w:rPr>
          <w:color w:val="000000" w:themeColor="text1"/>
          <w:sz w:val="16"/>
          <w:szCs w:val="16"/>
        </w:rPr>
        <w:t xml:space="preserve"> </w:t>
      </w:r>
      <w:r w:rsidRPr="00E93F40">
        <w:rPr>
          <w:color w:val="000000" w:themeColor="text1"/>
          <w:sz w:val="16"/>
          <w:szCs w:val="16"/>
        </w:rPr>
        <w:t>27 были разработаны центральные приборы МПУАЗО «СО» и «СОМ» (15736).</w:t>
      </w:r>
    </w:p>
    <w:p w14:paraId="04DBB6B1" w14:textId="77777777" w:rsidR="00570EA6" w:rsidRPr="00E93F40" w:rsidRDefault="00570EA6" w:rsidP="00E93F40">
      <w:pPr>
        <w:pStyle w:val="ae"/>
        <w:spacing w:before="0" w:after="0"/>
        <w:jc w:val="both"/>
        <w:rPr>
          <w:color w:val="000000" w:themeColor="text1"/>
          <w:sz w:val="16"/>
          <w:szCs w:val="16"/>
        </w:rPr>
      </w:pPr>
    </w:p>
    <w:p w14:paraId="7BFC64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в районе г. Балашиха было начато строительство авиационного литейного завода № 120 и завода № 121 по производству авиационных колес. Выпуск колес производился уже в 1933 году во временно выделенном производственном помещении завода «Манометр». В 1934 году введена в эксплуатацию первая очередь строительства и организовано производство обоих заводов.</w:t>
      </w:r>
    </w:p>
    <w:p w14:paraId="1C9D69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Горенки Балашихинского района Московской области. В 1937 году заводы №№ 120 и 121 были объединены с присвоением № 120, а в 1939 году литейный завод вновь был выделен под № 219. В 1941 году оба завода были эвакуированы. В 1942 году завод № 219 возвратился в Балашиху, была возвращена также часть коллектива завода № 120, после чего на территории обоих заводов остался и работал один завод № 219, в составе которого было организовано ОКБ.</w:t>
      </w:r>
    </w:p>
    <w:p w14:paraId="5DE50C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Самостоятельный опытный завод № 279 был организован в 1946 году на базе ОКБ завода № 219 (приказ № 113с от 15 марта 1946 года) для обеспечения авиационными колесами скоростных и тяжелых самолетов. Гл. конструктором и директором завода был назначен Флеров П.В.</w:t>
      </w:r>
    </w:p>
    <w:p w14:paraId="372F6C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1946 года завод был реорганизован в опытный завод посадочных устройств и гидропневматического оборудования самолетов. Гл. конструктором и директором завода был назначен Башта Т.М. (приказ МАП № 251с от 26 апреля 1946 года). В мае 1948 года Башта Т.М. был назначен гл. конструктором и отв. руководителем завода, а директором завода был назначен Коренастов В.В. В январе 1953 года директором завода был назначен Мосолов И.П. (приказ МАП № 321-к от 20 декабря 1952 года). В июне 1953 года директором завода был назначен Завитаев А.А. с возложением на него ответственности за всю деятельность завода и ОКБ.</w:t>
      </w:r>
    </w:p>
    <w:p w14:paraId="3154B0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завода Башта Т.М. от обязанностей отв. руководителя завода был освобожден (приказ МАП от 11 июля 1953 года).</w:t>
      </w:r>
    </w:p>
    <w:p w14:paraId="1900BE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феврале 1954 года директором завода был назначен Бондаренко М.М. с возложением на него ответственности за всю деятельность завода и ОКБ (приказ МАП № 98/к от 17 ноября 1954 года). В ноябре 1954 года Башта Т.М. был от работы на заводе освобожден.</w:t>
      </w:r>
    </w:p>
    <w:p w14:paraId="4CA0E4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Гл. конструктором завода был назначен Зверев И.И. (приказ МАП № 461к от 6 февраля 1954 года). В ноябре 1958 года Зверев И.И. был назначен отв. руководителем завода (приказ ГКАТ № 190/к от 21 ноября 1958 года).</w:t>
      </w:r>
    </w:p>
    <w:p w14:paraId="5363EA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Производственная деятельность завода в отчетном году была направлена на выполнение плана разработки новых конструкций авиаколес и агрегатов самолетных гидросистем, а также плана поставки мелких партий опытных образцов заказчикам (9485).</w:t>
      </w:r>
    </w:p>
    <w:p w14:paraId="3B39E3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C6EF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завод № 219 начал строиться как завод цветного фасонного литья для авиамоторных заводов, в начальный период он именовался заводом № 120.</w:t>
      </w:r>
    </w:p>
    <w:p w14:paraId="08E8E7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Строительство его было запроектировано на площадке заводов №№ 120 и 121 на пустыре в районе дер. Горенки.</w:t>
      </w:r>
    </w:p>
    <w:p w14:paraId="6A051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НКТП от 16 февраля 1938 года № 214с завод № 121 был объединен с заводом № 120 как единый завод.</w:t>
      </w:r>
    </w:p>
    <w:p w14:paraId="5FAE45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Первая продукция завода – дисковые авиаколеса начали выпускаться в июне-июле 1933 года.</w:t>
      </w:r>
    </w:p>
    <w:p w14:paraId="3BBB2C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литейный корпус начатый строительством в 1933 году был закончен в 1937 году на 1/3 проекта.</w:t>
      </w:r>
    </w:p>
    <w:p w14:paraId="16B504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НКОП от 5 апреля 1937 года на основании Постановления СНК № 60861с от 23 марта 1937 года литейное производство было выделено в самостоятельный завод № 219.</w:t>
      </w:r>
    </w:p>
    <w:p w14:paraId="397EA4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 период с 1938 года по 1941 год завод вырос в центральную литейную базу НКАП по выпуску фасонного моторного и агрегатного литьяиз алюминиевых и магниевых сплавов.</w:t>
      </w:r>
    </w:p>
    <w:p w14:paraId="4A86D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ВОВ производство моторного литья было эвакуировано на заводы №№ 16, 24, 26. Производство колесного литья – на эвакуированный завод № 120 и завод № 286.</w:t>
      </w:r>
    </w:p>
    <w:p w14:paraId="3263EC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литья самолетных узлов – на завод № 22.</w:t>
      </w:r>
    </w:p>
    <w:p w14:paraId="3E819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НКАП от 9 января 1942 года № 25с на площадях эвакуированных заводов №№ 219 и 120 началось восстановление производства цветного литья и изготовление авиаколес.</w:t>
      </w:r>
    </w:p>
    <w:p w14:paraId="0BCAF6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НКАП № 92с от 13 февраля 1943 года на заводе № 219 было создано ОКБ по проектированию авиаколес и тормозных устройств к ним.</w:t>
      </w:r>
    </w:p>
    <w:p w14:paraId="044E0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НКАП № 113 от 15 марта 1946 года ОКБ было выделено из состава завода № 219 в самостоятельный завод № 279, которому выделена от завода территория.</w:t>
      </w:r>
    </w:p>
    <w:p w14:paraId="3F96AF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Директора:</w:t>
      </w:r>
    </w:p>
    <w:p w14:paraId="12C8C8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Вержинский Ю.И. – с мая 1937 года по октябрь 1937 года</w:t>
      </w:r>
    </w:p>
    <w:p w14:paraId="3BB040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Калинин А.А. – с октября 1937 года по январь 1938 года</w:t>
      </w:r>
    </w:p>
    <w:p w14:paraId="73B64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Першин В.Г. – с января 1938 года по апрель 1941 года</w:t>
      </w:r>
    </w:p>
    <w:p w14:paraId="33275D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Жихарев И.А. – с апреля 1941 года по март 1951 года</w:t>
      </w:r>
    </w:p>
    <w:p w14:paraId="08455B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Лысов П.Н. – с марта 1951 года.</w:t>
      </w:r>
    </w:p>
    <w:p w14:paraId="67CE97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 П. Лысов</w:t>
      </w:r>
    </w:p>
    <w:p w14:paraId="7B9754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Балашиха, ст. Горенки или Москва, шоссе Энтузиастов 20-й км, дер. Горенки</w:t>
      </w:r>
    </w:p>
    <w:p w14:paraId="77854F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50483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607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 Решением Совета Народных Комиссаров СССР на северной окраине Казани были заложены первые камни будущих авиастрительных заводов. Началось строительство "Казмаша". В апреле 1935 года приказом Главного управления авиационной промышленности Гипроавиапрому было дано новое задание - запроектировать самолётное и авиамоторное производство на площадях завода имени Серго Орджоникидзе (завод №124) и присвоить ему название Самолетно-моторный комбинат №124/27. Но уже в следующем году встал вопрос о нецелесообразности размещения в одном корпусе самолётного и авиамоторного производств. В апреле 1937 года из Москвы было получено разрешение развивать авиамоторный завод №27 отдельно. В 1936 - 1937 годах завод занимался в основном ремонтом моторов , причём, в очень малом объёме. 21 марта 1937 года поступил приказ Наркомата авиационной промышленности, согласно которому заводу № 27 приписывалось организовать производство авиационного центробежного нагнетателя АЦН-2 и авиационного нагнетателя АН-1. 7 июня 1939 года Наркомат авиационной промышленности издал приказ, согласно которому самолётно - моторный комбинат №124/27 разделялся на два самостоятельных предприятия: завод №27 моторного производства, и завод №124 самолётного производства. Моторное производство ориентировалось на выпуск новых изделий и запчастей к ним. В октябре 1941 года был испытан мотор собранный полностью из деталей производства завода №27.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В ноябре 1942 года заводчане завода № 27 в Казани приступили к освоению нового форсированного мотора В.Я.Климова - М105ПФ, мощностью 1200 лошадиных сил. 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7891C3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0AFE53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 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w:t>
      </w:r>
    </w:p>
    <w:p w14:paraId="59DD64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Коллектив завода успешно справился с этой задачей - уже на первомайском параде 1947 года в небе Москвы появились самолёты с двигателями нашего завода. В сентябре 1948 коллектив моторостроителей получает новое задание - приступить к организации производства нового двигателя РД - 500, конструктора В.М. Яковлева, предназначенного для самолёта ЯК - 23, которые выпускались до 1951 года.</w:t>
      </w:r>
    </w:p>
    <w:p w14:paraId="1D607D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уже отмечалось, в послевоенный период реактивная техника развивалась гигантскими темпами и не удивительно что заводу приходилось в короткий срок осваивать выпуск различных моделей двигателей : в 1949 году коллектив объединения осваивает двигатель АЛ - 3 первого советского конструктора реактивных двигателей А. М. Люлька, в период с 1951 по 1953 год у нас был налажен выпуск двигателя ВК-1 конструкции В.Я. Климова с тягой 2700 кг, ресурсом 200 часов для самолёта МиГ - 15. А с 1953 года осваивали производство двигателя АМ-3 (РД-3М-500) конструкции А.А. Микулина. Он устанавливался устанавливался на самолёты А.Н. Туполева</w:t>
      </w:r>
    </w:p>
    <w:p w14:paraId="19C54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ТУ-16 и ТУ-104). Начиная с 1962 года коллектив осваивал семейство двигателей НК-8-3 и НК-8-4 конструкции Н.Д. Кузнецова. Эти двигатели с реверсом тяги ставились на межконтинентальный самолёт ИЛ-62. С 1969 года в объединении организовали серийный выпуск двигателя НК-8-2У для самолё для самолётов ТУ-154.</w:t>
      </w:r>
    </w:p>
    <w:p w14:paraId="416FA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периода "великих" реформ Министерство гражданской авиации ежегодно перевозило 48% пассажиров на самолётах с двигателями нашего производства.</w:t>
      </w:r>
    </w:p>
    <w:p w14:paraId="7288C3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Начиная с 1975 года завод освоил выпуск двигателей НК-86 конструкции Н.Д. Кузнецова устанавливающиеся на самолёт ИЛ-86.</w:t>
      </w:r>
    </w:p>
    <w:p w14:paraId="03CF3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Кроме основной продукции заводу постановлением Совета Министров запланировался выпуск большого количества товаров народного потребления. С этой целью на основании приказа Министра авиационной промышленности началось строительство филиала завода в городе Буинске. На базе двух заводов - головного и филиала, который получил наименование - Буинский машиностроительный завод, приказом МАП № 215 от 1976 года было образовано Казанское моторостроительное производственное объединение.</w:t>
      </w:r>
    </w:p>
    <w:p w14:paraId="405A33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80-х годов в стране остро встал вопрос по обеспечению строящегося магистрального газопровода Уренгой - Помары - Ужгород газогазоперекачивающими агрегатами с приводом авиационного типа.</w:t>
      </w:r>
    </w:p>
    <w:p w14:paraId="5F6CB2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МАП №293 от 9 июля 1979 года нашему объединению было поpучено производство этих силовых приводов к газотурбинному двигателю НК-16СТ.</w:t>
      </w:r>
    </w:p>
    <w:p w14:paraId="68137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Серийное производство двигателя началось в 1982 году. Учитывая возросшую потребность газовой и химической промышленности в таких агрегатах с использованием авиационных двигателей в 1980-1985 годы в г. Зеленодольске был построен второй филиал КМПО с производвенной площадью 100 тысяч квадратных метров, которому приказом МАП №390 от 4 августа 1983 года было присвоено название Зеленодольский машиностроительный завод (9688).</w:t>
      </w:r>
    </w:p>
    <w:p w14:paraId="4D48B5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57407D" w14:textId="58319F2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 создан Московский завод электромеханизмов, ОАО «Московский завод электромеханизмов» РАКА /105318</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Москва Семеновская пл., 7 тел. 366-46-05/. По Указу Президента РФ № 1009 от 4.08.2004 г. вошло в число стратегических оборонных предприятий.</w:t>
      </w:r>
    </w:p>
    <w:p w14:paraId="2351EA28" w14:textId="3095876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(1990-е-2000-е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авиационные малогабаритные электродвигатели, тахогенераторы, универсальные отметчики времени, электрические часы, другое электромеханическое оборудование.</w:t>
      </w:r>
    </w:p>
    <w:p w14:paraId="1890C5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(2002 г.)- 300 чел.</w:t>
      </w:r>
    </w:p>
    <w:p w14:paraId="05086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(1996 г.)- А.П. Леонтьев. Гендиректор (2002 г.)- П.Н. Нестеренко.</w:t>
      </w:r>
    </w:p>
    <w:p w14:paraId="2DD8A2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Зам. директора (2000 г.)- П.Н. Нестеренко. Зам. гендиректора по качеству (2002 г.)- А.И. Карпухин.</w:t>
      </w:r>
    </w:p>
    <w:p w14:paraId="6AD380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механик (2002 г.)- А.С. Носов.</w:t>
      </w:r>
    </w:p>
    <w:p w14:paraId="4EEDFA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отдела сбыта и маркетинга (2002 г.)- Н.М. Линева.</w:t>
      </w:r>
      <w:r w:rsidRPr="00E93F40">
        <w:rPr>
          <w:rFonts w:ascii="Times New Roman" w:hAnsi="Times New Roman"/>
          <w:color w:val="000000" w:themeColor="text1"/>
          <w:sz w:val="16"/>
          <w:szCs w:val="16"/>
          <w:vertAlign w:val="superscript"/>
        </w:rPr>
        <w:t>69</w:t>
      </w:r>
    </w:p>
    <w:p w14:paraId="1ABECC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репродуктор «Сфера-201».</w:t>
      </w:r>
    </w:p>
    <w:p w14:paraId="24B74162" w14:textId="4412489E"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НПО «Якорь» /101000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Москва ул. Ибрагимова, 29 тел. 369-41-90/</w:t>
      </w:r>
    </w:p>
    <w:p w14:paraId="255417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него входят: ММЗ «Маяк», АКБ «Якорь», Московский завод электромеханизмов.</w:t>
      </w:r>
    </w:p>
    <w:p w14:paraId="260369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(1996 г.)- И.В. Булин-Соколов (11982).</w:t>
      </w:r>
    </w:p>
    <w:p w14:paraId="6BEDF3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294BA0A" w14:textId="0E127B6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 создан Авиаремонтный завод № 24 МГА, гп «</w:t>
      </w:r>
      <w:r w:rsidRPr="00E93F40">
        <w:rPr>
          <w:rFonts w:ascii="Times New Roman" w:hAnsi="Times New Roman"/>
          <w:smallCaps/>
          <w:color w:val="000000" w:themeColor="text1"/>
          <w:sz w:val="16"/>
          <w:szCs w:val="16"/>
        </w:rPr>
        <w:t>арз</w:t>
      </w:r>
      <w:r w:rsidRPr="00E93F40">
        <w:rPr>
          <w:rFonts w:ascii="Times New Roman" w:hAnsi="Times New Roman"/>
          <w:color w:val="000000" w:themeColor="text1"/>
          <w:sz w:val="16"/>
          <w:szCs w:val="16"/>
        </w:rPr>
        <w:t xml:space="preserve"> № 24»,</w:t>
      </w:r>
      <w:r w:rsidRPr="00E93F40">
        <w:rPr>
          <w:rFonts w:ascii="Times New Roman" w:hAnsi="Times New Roman"/>
          <w:smallCaps/>
          <w:color w:val="000000" w:themeColor="text1"/>
          <w:sz w:val="16"/>
          <w:szCs w:val="16"/>
        </w:rPr>
        <w:t xml:space="preserve"> оао «арз</w:t>
      </w:r>
      <w:r w:rsidRPr="00E93F40">
        <w:rPr>
          <w:rFonts w:ascii="Times New Roman" w:hAnsi="Times New Roman"/>
          <w:color w:val="000000" w:themeColor="text1"/>
          <w:sz w:val="16"/>
          <w:szCs w:val="16"/>
        </w:rPr>
        <w:t xml:space="preserve"> № 24</w:t>
      </w:r>
      <w:r w:rsidRPr="00E93F40">
        <w:rPr>
          <w:rFonts w:ascii="Times New Roman" w:hAnsi="Times New Roman"/>
          <w:smallCaps/>
          <w:color w:val="000000" w:themeColor="text1"/>
          <w:sz w:val="16"/>
          <w:szCs w:val="16"/>
        </w:rPr>
        <w:t xml:space="preserve"> га» </w:t>
      </w:r>
      <w:r w:rsidRPr="00E93F40">
        <w:rPr>
          <w:rFonts w:ascii="Times New Roman" w:hAnsi="Times New Roman"/>
          <w:color w:val="000000" w:themeColor="text1"/>
          <w:sz w:val="16"/>
          <w:szCs w:val="16"/>
        </w:rPr>
        <w:t>/680030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Хабаровск ул. Запарина, 1 тел. 32-86-90/. В 2002 г. имел форму ГП.</w:t>
      </w:r>
    </w:p>
    <w:p w14:paraId="3EB1DA17" w14:textId="7FB7E4E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начато перебазирование завода из города, для чего выделен участок площадью 36 га. На площади 12 га возведены производственные корпуса по ремонту самолетов и вертолетов, компрессорная, котельная. В 2008 г. имел также производственную площадку по ул. Калинина, 1 площадью 9630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480870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службы: гл. инженера, производственные, экономические. В составе службы гл. инженера: техотдел, ЦЗЛ, ОГМ. Производственные службы: цеха: ремонта самолетов и вертолетов, ремонта фюзеляжей (2008 г., площадь- 5106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ремонта авиадвигателей, ЭМО (2008 г., 451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участки: ремонта крыла (в 2008 г.- Цех по ремонту ОЧК Ан-2, 1184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ремонта приборов АиРЭО, механический; МИС (2008 г., 612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ПДО. Экономическая служба: бухгалтерия, отделы: планово-экономический, МТС, капитального строительства, гараж.</w:t>
      </w:r>
    </w:p>
    <w:p w14:paraId="06D5CD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2.12.2008 г. предприятие признано банкротом, введено конкурсное производство; имущество выставлено на торги.</w:t>
      </w:r>
    </w:p>
    <w:p w14:paraId="532FADEC" w14:textId="0BC82AD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 (1980-е-90-е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ЛИС на аэродроме МВД «Матвеевка» ( г. Хабаровск).</w:t>
      </w:r>
    </w:p>
    <w:p w14:paraId="67300D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территории (2009 г.)- 3,0 га; производственная (2002 г.)- 8500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39912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(2002 г.)- 220 чел.</w:t>
      </w:r>
    </w:p>
    <w:p w14:paraId="119433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(2002 г.)- О.Н. Галяутдинов. И.О. конкурсного управляющего (12.2008-09 г.-)- Р.А. Савостин.</w:t>
      </w:r>
    </w:p>
    <w:p w14:paraId="7D7E1F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(2002 г.)- О.Н. Грак.</w:t>
      </w:r>
      <w:r w:rsidRPr="00E93F40">
        <w:rPr>
          <w:rFonts w:ascii="Times New Roman" w:hAnsi="Times New Roman"/>
          <w:color w:val="000000" w:themeColor="text1"/>
          <w:sz w:val="16"/>
          <w:szCs w:val="16"/>
          <w:vertAlign w:val="superscript"/>
        </w:rPr>
        <w:t>69</w:t>
      </w:r>
    </w:p>
    <w:p w14:paraId="6A7EB2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Ремонт: самолеты: По-2, Як-12, Ан-2 (1959-2002-); вертолеты Ми-1 (1959-), Ми-2 (1985-2003-); двигатели: М- 14, АИ-14, АШ-62ИР (1959-2003-); в/винт АВ-2 (11982).</w:t>
      </w:r>
    </w:p>
    <w:p w14:paraId="198FD8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E72F0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базе завода № 20 в Москве для разработки и выпуска опытных образцов бензиновых насосов к поршневым двигателям было организовано ОКБ. В июле 1941 года эвакуировалось в Омск на территорию завода им. Куйбышева.</w:t>
      </w:r>
    </w:p>
    <w:p w14:paraId="5A90FF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Омске ОКБ также занималось разработкой новых систем топливопитания для авиадвигателей. В 1944 году ОКБ завода реорганизовалось в филиал ОКБ завода № 451. В 1947 году приказом МАП № 436с от 5 июля филиал ОКБ был преобразован в самостоятельное ОКБ завода № 20. Гл. конструктором был назначен Мельников А.Н. В 1951 году ОКБ было реорганизовано вновь в филиал ОКБ завода № 451 (приказ МАП № 796 от 20 августа 1951 года), зам. гл. конструктора – начальниками филиала были Серяков Н.И., а с 1953 года по июль 1956 года Тимофеев М.М. Приказом МАП № 326 от 5 июля 1956 года на базе филиала при заводе № 20 организовано ОКБ завода № 20 – присвоен номер ОКБ-20. Гл. конструктором назначен Тимофеев М.М. С 1956 года предприятие начало разрабатывать системы автоматического регулирования топлива и пусковых насосов.</w:t>
      </w:r>
    </w:p>
    <w:p w14:paraId="079838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председателя ГКАТ от 5 февраля 1963 года № 51с произведено объединение двух организаций ОКБ-20 и ОКБ-29 с присвоением наименования ОКБ-20. Ответственным руководителем и гл. конструктором назначен Глушенков В.А., гл. конструктором по агрегатостроению назначен Тимофеев М.М., гл. инженером и начальником ОКБ назначен Соснин Б.Я.</w:t>
      </w:r>
    </w:p>
    <w:p w14:paraId="75B6CA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Вошедшее в состав ОКБ-20 ранее существовавшее ОКБ-29, было организовано на базе завода № 29 приказом МАП № 544с от 20 августа 1957 года с присвоением ему назнания ОКБ № 29, гл. конструктором назначен Глушенков В.А.</w:t>
      </w:r>
    </w:p>
    <w:p w14:paraId="008B5E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Целью создания ОКБ-29 являлась доводка и повышение ресурса авиационных двигателей АШ-82Т и АШ-82В (9912).</w:t>
      </w:r>
    </w:p>
    <w:p w14:paraId="7DC142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2038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основан Красмаш, будущий завод № 1001 ГКОТ.</w:t>
      </w:r>
    </w:p>
    <w:p w14:paraId="411B1D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14.09.1959 г. создан Красноярский филиал № 5 ОКБ-456 на заводе «Красмаш» (руководитель- А.Я. Китаев) для сопровождения производства ЖРД. В 12.1961 г. филиал ликвидирован.</w:t>
      </w:r>
    </w:p>
    <w:p w14:paraId="484BB7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1960(58)г. на заводе организован Восточный филиал № 2 ОКБ-1 под руководством М.Ф. Решетнева (далее- ОКБ-10, НПО «Прикладная механика»). По приказу от 6.03.1966 г. КМЗ СНХ передан в подчинение 1ГУ МОМ. В 1977 г. завод вместе с ОКБ-10 вошел в НПО ПМ. Производство РКТ.</w:t>
      </w:r>
    </w:p>
    <w:p w14:paraId="1BC0DF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2000 г. : ОКР «Метанол» по разработке установки блока подачи метанола на газоконденсатных месторождениях; ОКР «Аппарат маловыдвижной» по разработке аппарата обдувки маловыдвижного для очистки поверхностей нагрева котлов от шлаковых отложений.</w:t>
      </w:r>
    </w:p>
    <w:p w14:paraId="5149EF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1C7C0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2005 г. планируется на площадке завода, а также Сосновоборского завода автоприцепов создать предприятие по производству самолетов малой авиации.</w:t>
      </w:r>
    </w:p>
    <w:p w14:paraId="5CAEA9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(1962 г.)- 15.000 чел.</w:t>
      </w:r>
    </w:p>
    <w:p w14:paraId="339B4C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В.П. Котельников. Ген. директор (-2002-04 г.-)- В.К. Гупалов.</w:t>
      </w:r>
    </w:p>
    <w:p w14:paraId="67D776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(2002 г.)- В.Н. Самотик.</w:t>
      </w:r>
    </w:p>
    <w:p w14:paraId="4FF1DC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Гендиректора: по экономике и маркетингу (2002 г.)- В.А. Колмыков; (2004 г.)- М. Лубнин.</w:t>
      </w:r>
    </w:p>
    <w:p w14:paraId="0CAF0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[77] в 1970-е г. существовали и Красноярский машиностроительный завод, и Красноярский механический завод в ведении МОМ)</w:t>
      </w:r>
    </w:p>
    <w:p w14:paraId="324495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БРСД: Р-14, Р-14У; БРПЛ: Р-27 (1967-), Р-29, Р-29У, -Р, -РЛ, -РМ, РСМ-54 (-1996; 2001-); РН «Космос» (1966), «Космос-1», «Космос-2», «Космос-3», «Штиль-2А, -3А»; разгонные блоки ДМ1, ДМ2, ДМ3, ДМ4 для РН «Протон», ДМ-SL для РН «Зенит»; ЖРД: РД-119, РД-215, 11Д49 для РН «Космос»; корректирующие двигатели 11Д414.</w:t>
      </w:r>
    </w:p>
    <w:p w14:paraId="0C2EC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Завод № 1001 ГКОТ, Красноярск-45, Красноярский механический завод, Красноярский машиностроительный завод (КМЗ) СНХ, МОМ, ФГУП «Красноярский Машиностроительный завод» («Красмашзавод») </w:t>
      </w:r>
    </w:p>
    <w:p w14:paraId="7ADD86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 Железногорск Красноярского кр.</w:t>
      </w:r>
    </w:p>
    <w:p w14:paraId="1F7435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660123 г. Красноярск пр. им. Газеты «Красноярский рабочий», 29 тел. 64-66-01 (10776)</w:t>
      </w:r>
    </w:p>
    <w:p w14:paraId="482C60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8B40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центральная авиационная ремонтная база ГВФ (ЦАРБ)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w:t>
      </w:r>
    </w:p>
    <w:p w14:paraId="1E33F4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1941 года филиал завода № 1 эвакуировался в Куйбышев.</w:t>
      </w:r>
    </w:p>
    <w:p w14:paraId="4A494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7831D4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2AC432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43C38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3ECBDA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2D925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Москва, Д-167, Ленинградский проспект, д. 45 г, п/я 2418</w:t>
      </w:r>
    </w:p>
    <w:p w14:paraId="614236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4443A4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2041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разрабатывался план покупки в Италии у фирма IAI 30 лл S.55X с мотором А.24.R и радиостанцией Маркони Марино для использования в качестве дальних морских бомбардировщиков и торпедоносцев. Хотели укомплектовать две эскадрильи по 12 и 6 оставить в резерве. Так как не было торпед и мало бомб больших калибров также хотели закупить 144 торпеды и 1920 кг бомб по 250 кг. Покупка не состоялась. 6 машин переходных к типу Х купил ГВФ для ДВ и ВВС хотели сохранить возможность подвески бомб и торпед (1834,16).</w:t>
      </w:r>
    </w:p>
    <w:p w14:paraId="229A61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7892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1932 г. был образован Научно-исследовательский институт авиации ГВФ (Москва), в котором отдел бензиновых двигателей возглавил М.А. Коссов, до этого работавший в КБ завода № 29 ведущим конструктором по мотору М-11 и его модификациям. Под его руководством и при поддержке со стороны А.С. Назарова на базе отдела бензиновых двигателей было образовано ОКБ-82 Тушинского авиазавода № 82 ГВФ (в 1942 г. ОКБ-82 было преобразовано в ОКБ-500 завода № 500, а в настоящее время это ФГУП Тушинское машиностроительное конструкторское бюро "Союз"). В этом ОКБ, на основе указанных выше опытных двигателей, разрабатывается семейство двигателей МГ (мотор гражданский) - МГ-11 (М-51), МГ-21 (М-48), МГ-31 (М-49) и МГ-31Ф. После прохождения Государственных испытаний они были запущены в серийное производство на авиазаводе № 82 ГВФ (в настоящее время ОАО "ММПП им. В.В. Чернышева") и устанавливались на целый ряд серийных и опытных самолетов (11478).</w:t>
      </w:r>
    </w:p>
    <w:p w14:paraId="03307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652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две делегации, одна с В.Я.Климовым - ГК 26 завода в Рыбинске во главе ездила во Францию за Испано 12Y (М-100), Рено Бенгали и Гном-Рон Мистраль-Мажор, который стал М-85 и производился на 29 заводе в Запорожье под руководством А.С.Назарова, а вторая - во главе с И.И.Побережским, начальником ЦИАМ - в США - за Райт Циклон, который стал М-25 и производился в Перми с 1934 под руководством А.В.Швецова (80,74).</w:t>
      </w:r>
    </w:p>
    <w:p w14:paraId="450F5D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Тут может быть недоразумение, так как по другим данным либо вся поездка была в 1933, либо в эту поездку не был куплен Мистраль-Мажор (купленный в 1933).</w:t>
      </w:r>
    </w:p>
    <w:p w14:paraId="798BC2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C498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правительство СССР приняло решение о приобретении лицензий на производство новейших образцов зарубежных двигателей. Одним из них стал 14-цилиндровый двухрядный звездообразный мотор "Мистраль-Мажор" 14К фирмы "Гном-Рон" (Франция) мощностью 850 л.с., производство которого под обозначением М-85 было развернуто в 1934 г. на заводе 29. В дальнейшем заводскими конструкторами были созданы следующие модификации двигателя М-85: М-86 с редуктором под винт изменяемого шага; М-87 мощностью 950 л.с.; М-88 мощностью 1100 л.с.; М-89 мощностью 1300 л.с. и его форсированная модификация мощностью 1580 л.с.; М-90 - 18-цилиндровый мотор мощностью 2000 л.с. Эти двигатели устанавливались на самолетах почти 40 моделей, в том числе на опытные истребители И-180, дальние бомбардировщики ДБ-3 и Ил-4, многоцелевые самолеты Су-2 и др. (9031).</w:t>
      </w:r>
    </w:p>
    <w:p w14:paraId="6E1504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749D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В1932 г. сцелью преодоления в кратчайшие сроки отставания в области авиамоторостроения правительство Советского Союза приняло решение о приобретении лицензий на производство перспективных зарубежных двигателей, имеющих резерв для дальнейшего повышения мощности и улучшения технических характеристик. В связи с этим в 1934 г. были заключены контракты на производство в СССР лучших в то время авиационных моторов, в том числе "Мистраль-Мажор" К-9 (девятицилиндровая звезда) и К-14 (14-цилиндровая звезда) французской фирмы "Гном-Рон". Производство этих двигателей, получивших обозначение М-75 и М-85, было поручено запорожскому заводу. В том же 1934 г. был изготовлен первый мотор М-85, а его серийное производство началось с 1935 г. Предшествующий опыт показал, что без крупных опытно-конструкторских бюро (ОКБ) с собственной большой производственной базой невозможно создавать в короткие сроки мощные современные авиамоторы. В связи с этим, было принято решение правительства об организации ОКБ при основных авиамоторных заводах (11478)</w:t>
      </w:r>
    </w:p>
    <w:p w14:paraId="27E74C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F716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 образован Научно-исследовательский институт авиации ГВФ (Москва), в котором отдел бензиновых двигателей возглавил М.А. Коссов, до этого работавший в КБ завода № 29 ведущим конструктором по мотору М-11 и его модификациям. Под его руководством и при поддержке со стороны А.С. Назарова на базе отдела бензиновых двигателей было образовано ОКБ-82 Тушинского авиазавода № 82 ГВФ (в 1942 г. ОКБ-82 было преобразовано в ОКБ-500 завода № 500, а в настоящее время это ФГУП Тушинское машиностроительное конструкторское бюро "Союз"). В этом ОКБ, на основе указанных выше опытных двигателей, разрабатывается семейство двигателей МГ (мотор гражданский) - МГ-11 (М-51), МГ-21 (М-48), МГ-31 (М-49) и МГ-31Ф. После прохождения Государственных испытаний они были запущены в серийное производство на авиазаводе № 82 ГВФ (в настоящее время ОАО "ММПП им. В.В. Чернышева") и устанавливались на целый ряд серийных и опытных самолетов (11559).</w:t>
      </w:r>
    </w:p>
    <w:p w14:paraId="6D8B7F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B909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экипаж СССР-НЗ состоял из командира самолета Л.М.Порцеля, пилота Дальфонса, летнаба Ручьева, бортмеханика В.С.Чечина и помощника бортмеханика Н.Н.Проворихина. Кроме экипажа на борту находился начальник Авиаслужбы М.И.Шевелев. Самолет работал в Карском море. Налет машины составил 61 час 08 минут за 14 полетов. В этом же году СССР-НЗ потерпел катастрофу в районе пролива Маточкин Шар. Нисходящим потоком с высоты около 1000 м самолет бросило вниз и разбило о воду. Из экипажа, в живых остался только бортмеханик Чечин, который, выбравшись из воды сам, увидел плывущего по волнам М.И. Шевелева и вытащил его на берег, чем спас ему жизнь. Шевелев был без сознания и не утонул только благодаря своей экипировке. После катастрофы СССР-НЗ исключили из списков самолетного парка Комсеверпути (11970).</w:t>
      </w:r>
    </w:p>
    <w:p w14:paraId="24A523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E5AA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успешно испытали парашютную систему ПД-О для сброса 76-мм горной пушки обр. 1913 г. Она подвешивалась между стойками шасси бомбардировщика ТБ-1, парашют в коробе цилиндро-конической формы крепился на бомбодержателе Дер-13 под его фюзеляжем. Позднее в Осконбюро сделали подвеску ПД-М2 для двух "Харлеев" с колясками. Ее нес под фюзеляжем бомбардировщик ТБ-1. В расчете на этот же носитель спроектировали парашютную подвеску ПД-А для легкового автомобиля "Форд" (ГАЗ-А). Машина была не совсем обычная. Во-первых, в Осконбюро ее переделали в пикап, в кузове которого монтировалась на треноге ДРП. Во-вторых, автомобиль получил усиленные рессоры, колпаки на спицы колес и обтекатель перед радиатором (12036).</w:t>
      </w:r>
    </w:p>
    <w:p w14:paraId="266D0F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1066A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изготовили образец системы Г-43 (ПД-Т) для сброса с парашютом английской танкетки "Карден-Ллойд" (выпускавшейся у нас как Т-27). Ее вес значительно превышал допустимый для бомбардировщика ТБ-1. Специалисты считали, что поднять ее в воздух вряд ли удастся. Танкетку облегчили на 344 кг, сняв все, что возможно; даже слили воду из системы охлаждения. Самолет тоже пришлось облегчить. В частности, сняли одну из задних турелей и все пулеметы. Кроме того, значительно уменьшили запас горючего. В декабре 1932 г ПД-Т испытывали в НИИ ВВС. Она стала прообразом большого количества подобных устройств, предназначенных для десантирования легких танков, бронемашин и автомобилей. Для снабжения всей этой техники горючим и маслом создали сбрасываемые баки разного объема.</w:t>
      </w:r>
    </w:p>
    <w:p w14:paraId="2E42BC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Осконбюро работали и над альтернативными средствами высадки. Первой была предложена десантная кабина-клеть. На эскизах нарисован большой ящик с окнами, стоящий на полозьях. Полозья подпружинены резиновыми амортизаторами, подобными тем, что применялись на самолетах того времени. Клеть весом 1000 кг вмещала 14 человек. Она должна была подвешиваться под самолетом ТБ-1, а после сброса приземляться на одном большом парашюте. Преимуществами такого подхода могли стать возможность сброса неподготовленных для прыжка с парашютом бойцов (от них самих ничего не зависело) и компактность приземления, повышающая боеспособность группы. С другой стороны - никакого способа управлять полетом клети не придумали, в то время как парашютист в определенных пределах может влиять на свое движение. В итоге решили, что людей все-таки выгоднее сбрасывать поодиночке.</w:t>
      </w:r>
    </w:p>
    <w:p w14:paraId="51487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предложили оригинальную идею "авиабуса" - кабины для беспарашютного сбрасывания с бреющего полета. "Авиабус" имел вид короткого и толстого крыла и после сброса должен был немного планировать, а затем катиться на колесах ("летний авиабус") или на лыжах ("зимний"). Это устройство по замыслу предназначалось для выброски первой волны десанта, обеспечивавшее неожиданность его появления и уменьшавшее риск для самолетов-носителей, которые могли не проходить над выбранной площадкой, которую могли оборонять средства ПВО. "Авиабусов" было несколько вариантов, пассажирских и грузовых, деревянной, смешанной и металлической конструкции.</w:t>
      </w:r>
    </w:p>
    <w:p w14:paraId="63C5B2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Интересна эпопея летнего (колесного) авиабуса Г-68, подвешиваемого под ТБ-1. В его передней части стояли два авиационных колеса, а сзади - растопыренные металлические костыли. Испытывал авиабус В.П.Чкалов, работавший в то время в "цирке Гроховского" - летном отряде Оскон- бюро. Перед первым полетом он сказал: "Я сброшу ваш чемодан, но только заранее тащите мешки, чтобы собрать в них кучу хлама". Но собирать обломки не пришлось. Аппарат дважды благополучно приземлялся. В Г-68 вместо груза могли разместиться четыре человека. Но оставалось неизвестным, не будут ли слишком велики перегрузки при ударе о землю. Для третьего раза на аэродроме поймали бродячего пса, подманив его колбасой. Собака тоже спустилась на землю без особых проблем. Тогда в авиабус залезли начальник Осконбюро П.И. Гроховский и его заместитель И.В. Титов. Они улеглись внутри аппарата на подстеленных полушубках. Сброс прошел в целом благополучно, но Титова стукнуло так, что он на время потерял сознание.</w:t>
      </w:r>
    </w:p>
    <w:p w14:paraId="3269F5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ни старался Гроховский, ему не удалось доказать целесообразность использования авиабусов. Не помогла даже успешная демонстрация сброса на Центральном аэродроме на глазах у самого Сталина.</w:t>
      </w:r>
    </w:p>
    <w:p w14:paraId="25EC1B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Только в чертежах остались 11-местный летний и 16-местный зимний авиабусы. В самом начале прекратили работы по авиабусу-аэросаням. А идея была очень интересная - сразу после приземления экипаж запускает мотор, и вот у десанта есть и быстроходный транспорт, и огневая поддержка (на санях монтировалась авиационная турель с пулеметом). Военные даже одно время настаивали на разработке "авиатанкетки" - бронированного авиабуса на гусеничном ходу с собственным двигателем.</w:t>
      </w:r>
    </w:p>
    <w:p w14:paraId="6DF3FE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Причинами того, что авиабус был отвергнут, можно считать то, что заявленных задач конструктору добиться не удалось. Аппарат не уменьшал уязвимости носителя по сравнению с парашютными системами, наоборот, он подставлял самолет под огонь стрелкового оружия - ведь сброс осуществлялся с высоты не более 12 - 15 м (на испытаниях сбрасывали с 5 - 8 м). Авиабус не мог сесть там, где приземлится парашютист - ему требовалась большая ровная площадка. Не получалось и внезапности - очень уж недалеко планировал аппарат.Гроховский предлагал и что-то вроде морского авиабуса - десантную моторную лодку Г-48 для сбрасывания с ТБ-1 на бреющем полете. Лодка вмещала 14 человек и вооружалась станковым "Максимом". Образец ее был построен, но испытания оказались очень краткими; в </w:t>
      </w:r>
      <w:r w:rsidRPr="00E93F40">
        <w:rPr>
          <w:rFonts w:ascii="Times New Roman" w:hAnsi="Times New Roman"/>
          <w:color w:val="000000" w:themeColor="text1"/>
          <w:sz w:val="16"/>
          <w:szCs w:val="16"/>
        </w:rPr>
        <w:lastRenderedPageBreak/>
        <w:t>отчете о них осталась одна фраза: "При сбросе на воду разбилась". Спроектированную Благиным аналогичную лодку поменьше - на шесть бойцов с тремя ручными пулеметами строить не разрешили.</w:t>
      </w:r>
    </w:p>
    <w:p w14:paraId="44667D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Идеи били в Осконбюро фонтаном. Одним из самых экзотических проектов (так и оставшимся на бумаге) была сбрасываемая с парашютом бронированная огневая точка, этакий дзот в воздухе. В каплевидном бронекорпусе размещался стрелок с авиационным пулеметом ДА и боезапасом. Купол парашюта раскрывался сразу после отделения от самолета-носителя. Сбросив несколько штук, можно было создать что-то вроде укрепленной линии в небе, обстреливая воздушные и наземные цели. При приземлении удар амортизировали подпружиненные лапы в нижней части корпуса. Вес огневой точки позволял переносить ее нескольким красноармейцам или перевозить на автомобиле-пикапе (12036).</w:t>
      </w:r>
    </w:p>
    <w:p w14:paraId="2ADD58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89CA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в Остехбюро начались эксперименты с оснащенным торпедной подвеской четырехмоторным бомбардировщиком ТБ-3. Он должен был нести под фюзеляжем универсальный мост, на котором могли подвешиваться все имевшиеся и разрабатывавшиеся в то время авиационные мины и торпеды. Самолет мог нести одновременно две торпеды типов ТАН-12, ТАВ-12 и TAB-15 (причем возможна была одновременная подвеска двух разных торпед) или одну ТАВ-27. На том же мосте могли подвешиваться авиационные мины МАВ-1 (две штуки, друг за другом) или МАВ-2. Опытный образец "универсального двойного моста ОТБ" был изготовлен еще в январе 1932 г., но Остехбюро не располагало самолетом для его установки. ТБ-3 являлись большим дефицитом, их не хватало для укомплектования бригад. Только в конце 1933 г. для испытаний выделили одну машину с моторами М-17. Самолет получил также специальный прицел СП-123 (впоследствии принятый на вооружение как ПВТБ-1). Сброс торпеды осуществлялся механическим сбрасывателем ОТБ (12002).</w:t>
      </w:r>
    </w:p>
    <w:p w14:paraId="291AB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C72C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согласно Н.Н. Новичкову, который изучил планы работы ГИРД и РНИИ (Новичков Н.Н. Развитие крылатых ракет самолетных схем. Диссертация кандидата технических наук. М.: Институт истории естествознания и техники, 1982.), в области крылатых реактивных аппаратов перед советскими ракетчиками стояли только две задачи:</w:t>
      </w:r>
    </w:p>
    <w:p w14:paraId="510C7A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Создание пилотируемого ракетоплана.</w:t>
      </w:r>
    </w:p>
    <w:p w14:paraId="66D479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Теоретическое исследование возможностей применения реактивных двигателей на самолетах (11686).</w:t>
      </w:r>
    </w:p>
    <w:p w14:paraId="0055F0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известно, ГИРД состоял из четырех проектно-конструкторских бригад. Их работой руководил технический совет под руководством С.П. Королева. В 1932 г. инженеры 3-й и 4-й бригад ГИРД совместно анализировали только результаты работы Г.А. Крокко. В результате этого анализа было установлено, что при прочих равных условиях при правильном выборе двигателя крылатая ракета может достичь большей дальности, чем баллистическая. Никаких конструктивных работ в этом направлении в ГИРДе в 1932 г. не велось.</w:t>
      </w:r>
    </w:p>
    <w:p w14:paraId="7BE91D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Следовательно, в СССР были начаты работы над КР с ЖРД только в 1933 г. В 1935–1936 гг. в нашей стране ученые приступили к практическому исследованию КР на РДТТ. Проводились эти работы в 4-й бригаде ГИРД. Этой бригадой последовательно руководили С.П. Королев, Н.А. Железняков, А.В. Чесалов и Е.С. Щетинков (11686).</w:t>
      </w:r>
    </w:p>
    <w:p w14:paraId="391B4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472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по заказу ВВС ГДЛ под руководством В.П.Глушко начала разработку экспериментальной установки ЖРД для И-4 чтобы повысить скорость и скороподъемность. Хотели установить два ОРМ-52 под нижним крылом. Тяга - 300 кг силы в течение 60 секунд. Не сделали (346,23).</w:t>
      </w:r>
    </w:p>
    <w:p w14:paraId="539ED4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F3BAE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Балтийском флоте хотели иметь первое отдельное звено из четырех ТБ-1ВУ. Так называли машины, с которых оператор по радио управлял торпедным катером без команды. Эту работу вели в том же самом ОТБ. Аппаратура обр. 1931 г. делалась специально для размещения в передней кабине бомбардировщика. Но доводка системы наведения заняла много времени, и реально отряды "волнового управления" стали вооружать прибывшими из Италии летающими лодками С-62Б, которые были маневреннее и мореходнее (12001).</w:t>
      </w:r>
    </w:p>
    <w:p w14:paraId="7FA63C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77A9C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ГДЛ вела работы по вооружению ТБ-1 РС-132 и РС-245 (346,18).</w:t>
      </w:r>
    </w:p>
    <w:p w14:paraId="25CD9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BEBCA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Единое КБ во авиавооружению А.В.Надашкевича было переведено в 1932 в ЦАГИ и расширилось. Было образовано три бригады во главе с И.П.Шебановым, А.И.Шульгиным и М.Н.Родионовым, группа увязки вооружения с самолетом И.П.Толстых и опытно-экспериментальная лаборатория (ОЭЛ) во главе с Г.М.Можаровским, а затем С.М.Меерсоном (85,435).</w:t>
      </w:r>
    </w:p>
    <w:p w14:paraId="7FBDA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92E8F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Курчевским был разработан проект 37-мм автоматической пушки АПК-11 (иногда ее называли АПК-37). По устройству она аналогична АПК-4. Магазин пушки имел две полости (кассеты), где помещалось по 12 выстрелов. Еще один выстрел был в стволе. (Итого, боекомплект — 25 выстрелов на пушку). Длина пушки с соплом и лотком составляла 1978 мм, без них — 1250 мм. Вес пушки с пустым магазином 39,1 кг. Выстрелы унитарные, гильзы из сгорающей нитроткани, поддоны деревянные, а затем пластмассовые. Снаряд осколочный с головным ударным взрывателем. Вес снаряда — 475–500 г, вес взрывчатого вещества — 31 г. Заряд — 140–145 г пороха МСК. Начальная скорость на испытаниях — 438–475 м/с (как и у всех пушек Курчевского, был велик разброс начальной скорости снарядов). Баллон со сжатым воздухом емкостью 5 л и исходным давлением 120 кг/см2 закреплялся в передней части фюзеляжа И-14 на пожарной перегородке, хватало его на 170–180 выстрелов. Сама пушка АПК-11 располагалась в отъемных частях крыльев на расстоянии 2225 мм от оси фюзеляжа и крепилась на двух шкворнях. Первый образец АПК-11 был передан в ЦАГИ в марте1933 г. (12091).</w:t>
      </w:r>
    </w:p>
    <w:p w14:paraId="7A5522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F0B6FC8" w14:textId="78229556"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Курчевским был разработан проект 37-мм автоматической пушки АПК-11 (иногда ее называли АПК-37). По устройству она аналогична АПК-4. Магазин пушки имел две полости (кассеты), где помещалось по 12 выстрелов. Еще один выстрел был в стволе. (Итого, боекомплект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25 выстрелов на пушку). Длина пушки с соплом и лотком составляла 1978 мм, без них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1250 мм. Вес пушки с пустым магазином 39,1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Выстрелы унитарные, гильзы из сгорающей нитроткани, поддоны деревянные, а затем пластмассовые. Снаряд осколочный с головным ударным взрывателем. Вес снаряда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475–500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вес взрывчатого вещества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31</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Заряд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140–145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пороха МСК. Начальная скорость на испытаниях</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438–475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м/с (как и у всех пушек Курчевского, был велик разброс начальной скорости снарядов). Баллон со сжатым воздухом емкостью 5 л и исходным давлением 120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кг/см2 закреплялся в передней части фюзеляжа И-14 на пожарной перегородке, хватало его на 170–180 выстрелов. Сама пушка АПК-11 располагалась в отъемных частях крыльев на расстоянии 2225 мм от оси фюзеляжа и крепилась на двух шкворнях.</w:t>
      </w:r>
    </w:p>
    <w:p w14:paraId="64CC2831" w14:textId="3C985A25"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Разработкой истребителя, получившего индекс АНТ-31, занималась бригада П.</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Сухого. Первый опытный экземпляр АНТ-31 начал летать в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Снабженный двигателем Бристоль «Меркурий», самолет в качестве вооружения имел лишь синхронный пулемет ПВ-1 в фюзеляже. Пушки еще не были готовы. (Первый образец АПК-11 был передан в ЦАГИ в марте1933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p>
    <w:p w14:paraId="072EC628"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Второй экземпляр с двигателем Райт «Циклон» был вооружен двумя пушками АПК-11.</w:t>
      </w:r>
    </w:p>
    <w:p w14:paraId="2874A4A8" w14:textId="5653FA0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истребителя И-14, вооруженного АПК-11, начались в Москве 26 февраля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Летали летчики 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Филин и К.</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w:t>
      </w:r>
    </w:p>
    <w:p w14:paraId="1DDD7662" w14:textId="496E9956"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проведения стрельб одну пушку сняли, чтобы использовать в качестве образца, а самолет И-14 отправили для продолжения испытаний на Качу. Закончились испытания 17 апреля. Затем самолет был отправлен в Москву, где участвовал 1 мая в пролете над Красной площадью вместе с И-15 и И-16. Согласно отчету об испытаниях от 12 мая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около 72 выстр/мин (при стрельбе с электрозапалом, с использованием пневмопривода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несколько меньше).</w:t>
      </w:r>
    </w:p>
    <w:p w14:paraId="54134DAA" w14:textId="56475EAE"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доработки конструкции АПК-11 две новые пушки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16 и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17) с 16 октября по 25 ноября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прошли наземные испытания на НИАПе. На испытаниях темп стрельбы по очередям в 3–5 выстрелов был определен в 50 выстр/мин.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03975837" w14:textId="3C64ACE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 не менее Курчевский не только настоял на продолжении работ, но и добился запуска небоеспособной пушки в серию. По плану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должно было быть изготовлено 300 штук АПК-11, а фактически изготовлено лишь несколько опытных образцов. А в феврале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вышло постановление СТО, которым заводу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 приказывалось изготовить в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300 штук АПК-11. Автору так и не удалось выяснить, сколько всего было изготовлено пушек АПК-11 в 1934–1935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и устанавливались ли они на другие самолеты И-14.</w:t>
      </w:r>
    </w:p>
    <w:p w14:paraId="601FE735" w14:textId="182B4DAD"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 наличии был только проект. На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Курчевский вписал себе в план доработки проекта АПК-13, изготовление рабочих чертежей и двух опытных образцов пушки. Чем закончилась эпопея АПК-13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установить пока не удалось (12705).</w:t>
      </w:r>
    </w:p>
    <w:p w14:paraId="42F5C30E" w14:textId="77777777" w:rsidR="00C32CA8" w:rsidRPr="00E93F40" w:rsidRDefault="00C32CA8" w:rsidP="00E93F40">
      <w:pPr>
        <w:spacing w:after="0" w:line="240" w:lineRule="auto"/>
        <w:jc w:val="both"/>
        <w:rPr>
          <w:rFonts w:ascii="Times New Roman" w:hAnsi="Times New Roman"/>
          <w:color w:val="000000" w:themeColor="text1"/>
          <w:sz w:val="16"/>
          <w:szCs w:val="16"/>
        </w:rPr>
      </w:pPr>
    </w:p>
    <w:p w14:paraId="6948D204"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1932 г. Курчевским был разработан проект 37-мм автоматической пушки АПК-11 (иногда ее называли АПК-37). По устройству она аналогична АПК-4. Магазин пушки имел две полости (кассеты), где помещалось по 12 выстрелов. Еще один выстрел был в стволе. (Итого боекомплект 25 выстрелов на пушку.)</w:t>
      </w:r>
    </w:p>
    <w:p w14:paraId="29ADCCCE"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пушки с соплом и лотком составляла 1978 м, без них — 1250 мм. Вес пушки с пустым магазином 39,1 кг. Выстрелы унитарные, гильзы из сгорающей нитроткани, поддоны деревянные, а затем пластмассовые. Снаряд осколочный с головным ударным взрывателем. Вес снаряда 475-500 г, вес взрывчатого вещества 31 г. Заряд 140—145 г пороха МСК. Начальная скорость на испытаниях 438—475 м/с, (как и у всех пушек Курчевского, был велик разброс начальной скорости снарядов). Баллон со сжатым воздухом емкостью 5 л и исходным давлением 120 кг/см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xml:space="preserve"> закреплялся в передней части фюзеляжа И-14 на пожарной перегородке, хватало его на 170—180 выстрелов. Сама пушка АПК-11 располагалась в отъемных частях крыльев на расстоянии 2225 мм от оси фюзеляжа и крепилась на двух шкворнях.</w:t>
      </w:r>
    </w:p>
    <w:p w14:paraId="0B96BD27"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Разработкой истребителя, получившего индекс АНТ-31, занималась бригада П.О. Сухого. Первый опытный экземпляр АНТ-31 начал летать в 1933 г. Снабженный двигателем «Бристоль Меркурий», самолет в качестве вооружения имел лишь синхронный пулемет ПВ-1 в фюзеляже. Пушки еще не были готовы. (Первый образец АПК-11 был передан в ЦАГИ в марте 1933 г.)</w:t>
      </w:r>
    </w:p>
    <w:p w14:paraId="30E32B21"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Второй экземпляр с двигателем «Райт Циклон» был вооружен двумя пушками АПК-11.</w:t>
      </w:r>
    </w:p>
    <w:p w14:paraId="15FA600A"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истребителя И-14, вооруженного АПК-11, начались в Москве 26 февраля 1934 г.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w:t>
      </w:r>
    </w:p>
    <w:p w14:paraId="41432B50"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проведения стрельб одну пушку сняли, чтобы использовать в качестве образца, а самолет И-14 отправили для продолжения испытаний на Качу. Закончились испытания 17 апреля.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около 72 выстр./мин. (при стрельбе с электрозапалом, с использованием пневмопривода — несколько меньше).</w:t>
      </w:r>
    </w:p>
    <w:p w14:paraId="48E16112"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доработки конструкции АПК-11 две новые пушки (№ 16 и № 17) с 16 октября по 25 ноября 1934 г. прошли наземные испытания на НИАПе. На испытаниях темп стрельбы по очередям в 3-5 выстрелов был определен в 50 выстр./мин.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0955D48C"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 не менее Курчевский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w:t>
      </w:r>
    </w:p>
    <w:p w14:paraId="3CC7ACA4"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установить пока не удалось.</w:t>
      </w:r>
    </w:p>
    <w:p w14:paraId="5336E8BE"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Задание на самолет, предназначенный для установки 100-мм пушек АПК-8, появилось одновременно с заданием на истребитель И-12 (АНТ-23). Ориентировочные требования на этот двухместный пушечный истребитель поступили в конструкторское бюро ЦАГИ от Управления ВВС 26 июля 1930 г.</w:t>
      </w:r>
    </w:p>
    <w:p w14:paraId="7C8BA0B4"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проектированию 100-мм пушки АПК-8 Курчевский приступил в начале 1932 г. В некоторых документах ее калибр указывается 102 мм. Это связано с тем, что в это время в СССР происходил переход с 4-дюймового (102-мм) дореволюционного калибра на калибр закупленных итальянских пушек «Минизини» (100-мм). По устройству АПК-8 мало отличалась от АПК-4.</w:t>
      </w:r>
    </w:p>
    <w:p w14:paraId="13A117DF"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2Д кг пороха Г</w:t>
      </w:r>
      <w:r w:rsidRPr="00E93F40">
        <w:rPr>
          <w:rFonts w:ascii="Times New Roman" w:hAnsi="Times New Roman"/>
          <w:color w:val="000000" w:themeColor="text1"/>
          <w:sz w:val="16"/>
          <w:szCs w:val="16"/>
          <w:vertAlign w:val="subscript"/>
        </w:rPr>
        <w:t>2</w:t>
      </w:r>
      <w:r w:rsidRPr="00E93F40">
        <w:rPr>
          <w:rFonts w:ascii="Times New Roman" w:hAnsi="Times New Roman"/>
          <w:color w:val="000000" w:themeColor="text1"/>
          <w:sz w:val="16"/>
          <w:szCs w:val="16"/>
        </w:rPr>
        <w:t>48. Практическая скорострельность 25 выстр./мин. Начальная скорость 470-480 м/с.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Разработка ДИПа началась лишь в 1933 г., после получения в декабре 1932 г. уточненных тактико-технических требований от ВВС.</w:t>
      </w:r>
    </w:p>
    <w:p w14:paraId="261D90DE"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велась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574B59BB"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w:t>
      </w:r>
    </w:p>
    <w:p w14:paraId="00BE46E9"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Хотя ДИП строился как приоритетная машина, постройка затянулась, поэтому полетел он позднее самолета СБ (АНТ-40), 14 февраля 1935 г. Летал С.А. Корзинщиков. По результатам первых полетов выяснилось значительное количество недостатков и недоделок, которые устранялись вплоть до глубокой осени.</w:t>
      </w:r>
    </w:p>
    <w:p w14:paraId="1EB3024F"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проведения доработок, облета и ряда дополнительных проверок ДИП предполагалось предъявить в первой половине 1936 г. на государственные испытания. Вплоть до конца 1936 г. работа по двухмоторному пушечному истребителю стояла в плане работ, однако известно, что еще 28 марта 1936 г. имелось распоряжение А.Н. Туполева о прекращении заказа на АНТ-29. Дальнейшая судьба самолета неизвестна. Нет данных и о проведении воздушных стрельб из АПК-8.</w:t>
      </w:r>
    </w:p>
    <w:p w14:paraId="546C43E0"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Завершая рассказ о пушках Курчевского, стоит упомянуть и о его самой большой авиационной пушке — 152-мм АПК-9. Проектирование пушки было начато в 1932 г. По устройству она была похожа; на 76-мм АПК-4. Вес пушки составлял 500 кг. В магазине размещалось 6 унитарных выстрелов. Основным снарядом должна была стать шрапнель весом 25 кг. Вес выстрела около 50 кг. По проекту начальная скорость 500 м/с, темп стрельбы 10 выстр./мин., а дальность 13км(?!).</w:t>
      </w:r>
    </w:p>
    <w:p w14:paraId="5874D00A"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АПК-9 были продолжены в 1933 г. и 1934 г. В план 1934 г. Курчевский включил «изготовление одной 152-мм мортиры “К” (АПК-9) для бомбардировщика ТБ».</w:t>
      </w:r>
    </w:p>
    <w:p w14:paraId="145DE1C2"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одном из документов пушка АПК-9 именовалась «152-мм мортирой для ТБ». Стоимость мортиры 80 тыс. рублей.</w:t>
      </w:r>
    </w:p>
    <w:p w14:paraId="70AA85F2"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Помимо ТБ для АПК-9 проектировали «Артиллерийский самолет», оснащенный четырьмя моторами и двумя 152-мм ДРП (15117).</w:t>
      </w:r>
    </w:p>
    <w:p w14:paraId="58E19723" w14:textId="77777777" w:rsidR="00DF2094" w:rsidRPr="00E93F40" w:rsidRDefault="00DF2094" w:rsidP="00E93F40">
      <w:pPr>
        <w:spacing w:after="0" w:line="240" w:lineRule="auto"/>
        <w:jc w:val="both"/>
        <w:rPr>
          <w:rFonts w:ascii="Times New Roman" w:hAnsi="Times New Roman"/>
          <w:color w:val="000000" w:themeColor="text1"/>
          <w:sz w:val="16"/>
          <w:szCs w:val="16"/>
        </w:rPr>
      </w:pPr>
    </w:p>
    <w:p w14:paraId="61700E3A" w14:textId="77777777" w:rsidR="00C32CA8" w:rsidRPr="00E93F40" w:rsidRDefault="00C32CA8"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было начато проектирование 152-мм АПК-9. По устройству она была похожа на 76-мм АПК-4. Вес пушки составлял 500 кг. В магазине размещалось 6 унитарных выстрелов. Основным снарядом должна была стать шрапнель весом 25 кг. Вес выстрела около 50 кг. По проекту начальная скорость — 500 м/с, темп стрельбы — 10 выстр/мин, а дальность — 13 км (?!).</w:t>
      </w:r>
    </w:p>
    <w:p w14:paraId="22DEB238" w14:textId="77777777" w:rsidR="00C32CA8" w:rsidRPr="00E93F40" w:rsidRDefault="00C32CA8"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АПК-9 были продолжены в 1933 г. и 1934 г. В план 1934 г. Курчевский включил «изготовление одной 152мм мортиры „К“ (АПК-9) для бомбардировщика ТБ» (12091).</w:t>
      </w:r>
    </w:p>
    <w:p w14:paraId="5467DE71" w14:textId="77777777" w:rsidR="00C32CA8" w:rsidRPr="00E93F40" w:rsidRDefault="00C32CA8" w:rsidP="00E93F40">
      <w:pPr>
        <w:autoSpaceDE w:val="0"/>
        <w:autoSpaceDN w:val="0"/>
        <w:adjustRightInd w:val="0"/>
        <w:spacing w:after="0" w:line="240" w:lineRule="auto"/>
        <w:jc w:val="both"/>
        <w:rPr>
          <w:rFonts w:ascii="Times New Roman" w:hAnsi="Times New Roman"/>
          <w:color w:val="000000" w:themeColor="text1"/>
          <w:sz w:val="16"/>
          <w:szCs w:val="16"/>
        </w:rPr>
      </w:pPr>
    </w:p>
    <w:p w14:paraId="2FCD758F" w14:textId="1B09FC30"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823C6FD"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0F95C229"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7F46683F"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4B1A326C" w14:textId="5F57FCAB"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Преимуществом АКТ-37 был сравнительно высокий темп стрельбы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200 выстр/мин при малой отдаче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около 700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470D24B0" w14:textId="2A1963B9"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Опытный образец АКТ-37 был изготовлен в мастерских Артакадемии в начале 1935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После длительной отладки 4 мая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АКТ-37 поступил на НИАП для проведения полигонных испытаний. С 16 мая по 11 июня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НИАПе проводились стрельбы из АКТ-37, установленной на временном станке.</w:t>
      </w:r>
    </w:p>
    <w:p w14:paraId="5E454A67" w14:textId="244E0671"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пушка была установлена на самолет Р-6. Стрельбы в воздухе проводились с 8 по 16 августа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234442C9"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0CC2EC0B"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2CE61F5D"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134E0390" w14:textId="43F225DC"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1936–1938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гг.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 было изготовлено 15 автоматов АКТ-37, а на заводе №</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4 (им. Ворошилова)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w:t>
      </w:r>
    </w:p>
    <w:p w14:paraId="32EB5772" w14:textId="7EA182E6"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1937</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НИАП для испытаний был подан АКТ-37 на лафете ТАКТ, установленном на автомобиле ЗИС-12. Угол возвышения установки составлял +80°.</w:t>
      </w:r>
    </w:p>
    <w:p w14:paraId="098689BB" w14:textId="42BF604D"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23–28 апреля 1938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НИАПе проходила испытания пушка АКТ-37 на повозке ЗУ-7. Система испытана 52 выстрелами и 340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км пробега за ГАЗ-АА. Перекатывание вручную расчетом из 5 человек происходило без затруднений.</w:t>
      </w:r>
    </w:p>
    <w:p w14:paraId="095E9232" w14:textId="26CBD2AF"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Наконец с 5 октября по 10 декабря 1938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ЛАКТ-37 и ТАКТ-37 «не годны для длительных стрельб…доработка подобных систем нецелесообразна». На этом работы по АКТ-37 и были прекращены.</w:t>
      </w:r>
    </w:p>
    <w:p w14:paraId="0C1B31AE" w14:textId="7777777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Данные автомата АКТ-37 </w:t>
      </w:r>
    </w:p>
    <w:p w14:paraId="0A4D8574" w14:textId="5F2D6B7A"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37</w:t>
      </w:r>
    </w:p>
    <w:p w14:paraId="5B05712E" w14:textId="2EA5B615"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автомата, 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3050*</w:t>
      </w:r>
    </w:p>
    <w:p w14:paraId="7AD3DAD5" w14:textId="0E627760"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мм/клб</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1900/51,3</w:t>
      </w:r>
    </w:p>
    <w:p w14:paraId="2C7F1783" w14:textId="422E5B09"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нарезной части, 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1652</w:t>
      </w:r>
    </w:p>
    <w:p w14:paraId="22B5D96E" w14:textId="2023750D"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Объем каморы, л</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0,266</w:t>
      </w:r>
    </w:p>
    <w:p w14:paraId="35630676" w14:textId="5430B3EF"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Крутизна нарезов: у основания, клб/град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50/3°35′43″</w:t>
      </w:r>
    </w:p>
    <w:p w14:paraId="32FBAADE" w14:textId="52B27E90"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дула, клб/град</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30/5°58′42″</w:t>
      </w:r>
    </w:p>
    <w:p w14:paraId="7BD6E3DB" w14:textId="4CFEEC3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нарезов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w:t>
      </w:r>
    </w:p>
    <w:p w14:paraId="7DF04742" w14:textId="4FF92D15"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Глубина нарезов, 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0,45</w:t>
      </w:r>
    </w:p>
    <w:p w14:paraId="05EAB52D" w14:textId="224CD4C9"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нарезов, 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4,8</w:t>
      </w:r>
    </w:p>
    <w:p w14:paraId="18353F1D" w14:textId="2CBE1D9D"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полей, мм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2,5</w:t>
      </w:r>
    </w:p>
    <w:p w14:paraId="4DC3051D" w14:textId="7B4D9F52"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ствола, 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13,13*</w:t>
      </w:r>
    </w:p>
    <w:p w14:paraId="4DA8119C" w14:textId="756A688D"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автоматики (затвора с рамой), 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8,5*</w:t>
      </w:r>
    </w:p>
    <w:p w14:paraId="43B872FA" w14:textId="70077815"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откатных частей, 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134,5 (при весе качающейся части 240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p w14:paraId="161FAA7A" w14:textId="612E2096"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качающейся части, 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215* (позже 240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w:t>
      </w:r>
    </w:p>
    <w:p w14:paraId="57DBD300" w14:textId="709FEE2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магазина с 5 патронами, кг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12,5*</w:t>
      </w:r>
    </w:p>
    <w:p w14:paraId="273A882F" w14:textId="4B7A103B"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отката, мм: максимальная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160</w:t>
      </w:r>
    </w:p>
    <w:p w14:paraId="0B873D1B" w14:textId="7921E067"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минимальная, обеспечивающая работу автоматики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153–155</w:t>
      </w:r>
    </w:p>
    <w:p w14:paraId="5E3FF9F7" w14:textId="6A144221"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Темп стрельбы, выстр/мин</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150–200 (на различных испытаниях)</w:t>
      </w:r>
    </w:p>
    <w:p w14:paraId="57656BAB" w14:textId="1A1C849D"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Баллистические данные: При весе снаряда 0,63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весе заряда 0,2</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(порох 9/1 НГВ) и начальной скорости 940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м/с давление в канале составляет 2850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кг/см2. А при весе снаряда 0,645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весе заряда 0,19</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(порох 85/185 НГВ) и начальной скорости 850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м/с давление в канале составляет 2400</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кг/см2.</w:t>
      </w:r>
    </w:p>
    <w:p w14:paraId="68E07162" w14:textId="4E02D48C" w:rsidR="00C32CA8" w:rsidRPr="00E93F40" w:rsidRDefault="00C32CA8"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гильзы первоначально была 265 мм, а с конца 1936</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240 мм. Вес патрона около 1,5</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кг (12705).</w:t>
      </w:r>
    </w:p>
    <w:p w14:paraId="056ABCE2" w14:textId="77777777" w:rsidR="00C32CA8" w:rsidRPr="00E93F40" w:rsidRDefault="00C32CA8" w:rsidP="00E93F40">
      <w:pPr>
        <w:spacing w:after="0" w:line="240" w:lineRule="auto"/>
        <w:jc w:val="both"/>
        <w:rPr>
          <w:rFonts w:ascii="Times New Roman" w:hAnsi="Times New Roman"/>
          <w:color w:val="000000" w:themeColor="text1"/>
          <w:sz w:val="16"/>
          <w:szCs w:val="16"/>
        </w:rPr>
      </w:pPr>
    </w:p>
    <w:p w14:paraId="6ADCDC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появились первые авиационные мины: МАВ-1 (мина авиационная высотная) па базе мины образца Ц) 12 года и МАВ-2 - на базе мины образца 1926 года. Громоздкие корабельные мины с грузовыми парашютами с трудом подвешивались на самолеты, поэтому па вооружение флота была принята только мина МАВ-1. причем ее производство прекратилось в 1936 году.</w:t>
      </w:r>
    </w:p>
    <w:p w14:paraId="35FF4A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Одновременно в Остехбюро велась разработка двух образцов для низкого минометания - МАН-1 и МАН-2; в период проектирования они именовались ВОМИЗ-100 (воздушная мина заграждения) и ВОМИЗ-250. Однако из-за явного несоответствия тактико-техническим требованиям обе мины на вооружение так и не поступили.</w:t>
      </w:r>
    </w:p>
    <w:p w14:paraId="1DDA2B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слушатель Военно-морской академии А.Б.Гейро теоретически доказал в своем дипломном проекте возможность создания авиационной беспарашютной якорной мины. После окончания академии А.Б.Геиро было предложено продолжить работу над своим проектом в НИМТИ ВМФ (3364,16).</w:t>
      </w:r>
    </w:p>
    <w:p w14:paraId="55D5EB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CB1E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на вооружение была принята первая в СССР система высотного торпедометания ТАВ-15 (торпеда авиационная высотного торпедометания) для МТБ-1, МТБ-3 и МР-6 - на основе 45 мм укороченной лодочной обр. 1910/15 Л. Сброс - с 2000-3000, спускалась на трех парашютах и после приводнения двигалась либо по кругу (прибор ВС - водяная спираль), либо по раскручивающейся спирали (НВС - наружно ВС). Считается, что и первая в мире высотная система (175,12).</w:t>
      </w:r>
    </w:p>
    <w:p w14:paraId="2D5A38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4697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на вооружение была принята и ТАН-12 (низкая) - на базе торпеды 45-12. С помощью бугелей подвешивалась под Р-5Т и угол рассчитывали так, чтобы обеспечить вход в воду без повреждений с 10-15, а самолет должен был лететь строго горизонтально. Прицеливание - на глаз (175,14).</w:t>
      </w:r>
    </w:p>
    <w:p w14:paraId="2440BD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2B622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в ходе работ над миной РЕМИН (речная индукционная) в 1927-1928 г. Остехбюро разработал индукционный взрыватель. В 1932 А.Б.Гейро будучи слушателем ВМАкадемии обосновал проект якорной гальваноударной мины, которая стала миной Гейро или АМГ (авиационная мина Гейро) (561,15).</w:t>
      </w:r>
    </w:p>
    <w:p w14:paraId="004AB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7EB7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появился ШКАС Б.Г.Шпитального и И.А.Комарицкого - Тула (85,440).</w:t>
      </w:r>
    </w:p>
    <w:p w14:paraId="115EB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A134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был создан Экспериментальный институт НКТП, просуществовавший до 1934 (62,194).</w:t>
      </w:r>
    </w:p>
    <w:p w14:paraId="515865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478C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октябре 1932 г. после войсковых испытаний подфюзеляжную кабину КП-1 для ТБ-1 приняли на вооружение. Весила она около тонны и вмещала те же 16 человек. Они сидели верхом на двух узких лавках. По сигналу командира бойцы скользили по лавкам вперед и один за другим падали в открытые вниз люки. Промышленность выпустила 50 серийных кабин (12001).</w:t>
      </w:r>
    </w:p>
    <w:p w14:paraId="1EED6D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583CE0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СССР начались опыты по дозаправке самолетов в воздухе. Первоначально они проводились на бомбардировщи</w:t>
      </w:r>
      <w:r w:rsidRPr="00E93F40">
        <w:rPr>
          <w:rFonts w:ascii="Times New Roman" w:hAnsi="Times New Roman"/>
          <w:color w:val="000000" w:themeColor="text1"/>
          <w:sz w:val="16"/>
          <w:szCs w:val="16"/>
        </w:rPr>
        <w:softHyphen/>
        <w:t>ках ТБ-1, однако из-за конструктивных особенностей эти самолеты плохо подходили для роли заправщика. В 1933 г. опыты было решено продолжить на серийном бомбардировщике ТБ-3, на котором в фюзеляже перед кабиной стрелков установили приемную горловину с крышкой и с трубопроводами к правому и левому ба</w:t>
      </w:r>
      <w:r w:rsidRPr="00E93F40">
        <w:rPr>
          <w:rFonts w:ascii="Times New Roman" w:hAnsi="Times New Roman"/>
          <w:color w:val="000000" w:themeColor="text1"/>
          <w:sz w:val="16"/>
          <w:szCs w:val="16"/>
        </w:rPr>
        <w:softHyphen/>
        <w:t>кам. Общий вес дополнительной конструкции состав</w:t>
      </w:r>
      <w:r w:rsidRPr="00E93F40">
        <w:rPr>
          <w:rFonts w:ascii="Times New Roman" w:hAnsi="Times New Roman"/>
          <w:color w:val="000000" w:themeColor="text1"/>
          <w:sz w:val="16"/>
          <w:szCs w:val="16"/>
        </w:rPr>
        <w:softHyphen/>
        <w:t>лял 10,22 кг. В качестве «бензовоза» использовался Р-5 со шлангом длиной 35 м, сматываемом на специальный барабан. В полете Р-5, находясь впереди и немного выше ТБ-3, выпускал заливной шланг. Стрелки из фюзеляжной ка</w:t>
      </w:r>
      <w:r w:rsidRPr="00E93F40">
        <w:rPr>
          <w:rFonts w:ascii="Times New Roman" w:hAnsi="Times New Roman"/>
          <w:color w:val="000000" w:themeColor="text1"/>
          <w:sz w:val="16"/>
          <w:szCs w:val="16"/>
        </w:rPr>
        <w:softHyphen/>
        <w:t>бины ТБ-3 ловили конец и направляли его в приемную горловину, после чего осуществлялась заправка. 400 ки</w:t>
      </w:r>
      <w:r w:rsidRPr="00E93F40">
        <w:rPr>
          <w:rFonts w:ascii="Times New Roman" w:hAnsi="Times New Roman"/>
          <w:color w:val="000000" w:themeColor="text1"/>
          <w:sz w:val="16"/>
          <w:szCs w:val="16"/>
        </w:rPr>
        <w:softHyphen/>
        <w:t>лограммов горючего переливалось за 15 минут, 650 - за 23 минуты. Государственные испытания системы дозаправки в полете начались в НИИ ВВС 14 сентября 1933 г. и про</w:t>
      </w:r>
      <w:r w:rsidRPr="00E93F40">
        <w:rPr>
          <w:rFonts w:ascii="Times New Roman" w:hAnsi="Times New Roman"/>
          <w:color w:val="000000" w:themeColor="text1"/>
          <w:sz w:val="16"/>
          <w:szCs w:val="16"/>
        </w:rPr>
        <w:softHyphen/>
        <w:t>должались до 23 ноября 1933 г. Всего было выполнено 24 полета с общим налетом 17 часов 13 минут. Летали Иващенко, Шавкин, Никитин. В Акте по госиспытаниям указывалось, что «приспо</w:t>
      </w:r>
      <w:r w:rsidRPr="00E93F40">
        <w:rPr>
          <w:rFonts w:ascii="Times New Roman" w:hAnsi="Times New Roman"/>
          <w:color w:val="000000" w:themeColor="text1"/>
          <w:sz w:val="16"/>
          <w:szCs w:val="16"/>
        </w:rPr>
        <w:softHyphen/>
        <w:t>собление для переливки горючего из самолета Р-5 в са</w:t>
      </w:r>
      <w:r w:rsidRPr="00E93F40">
        <w:rPr>
          <w:rFonts w:ascii="Times New Roman" w:hAnsi="Times New Roman"/>
          <w:color w:val="000000" w:themeColor="text1"/>
          <w:sz w:val="16"/>
          <w:szCs w:val="16"/>
        </w:rPr>
        <w:softHyphen/>
        <w:t>молет ТБ-3 государственные испытания выдержало», что для дозаправки не имеют значения направление вет</w:t>
      </w:r>
      <w:r w:rsidRPr="00E93F40">
        <w:rPr>
          <w:rFonts w:ascii="Times New Roman" w:hAnsi="Times New Roman"/>
          <w:color w:val="000000" w:themeColor="text1"/>
          <w:sz w:val="16"/>
          <w:szCs w:val="16"/>
        </w:rPr>
        <w:softHyphen/>
        <w:t>ра и высота полета, что конструкция аппаратуры позво</w:t>
      </w:r>
      <w:r w:rsidRPr="00E93F40">
        <w:rPr>
          <w:rFonts w:ascii="Times New Roman" w:hAnsi="Times New Roman"/>
          <w:color w:val="000000" w:themeColor="text1"/>
          <w:sz w:val="16"/>
          <w:szCs w:val="16"/>
        </w:rPr>
        <w:softHyphen/>
        <w:t>ляет производить дозаправку ТБ-3 в воздухе. Благодаря этому можно увеличить дальность полета с заданной бомбовой нагрузкой, либо увеличить бомбовую нагруз</w:t>
      </w:r>
      <w:r w:rsidRPr="00E93F40">
        <w:rPr>
          <w:rFonts w:ascii="Times New Roman" w:hAnsi="Times New Roman"/>
          <w:color w:val="000000" w:themeColor="text1"/>
          <w:sz w:val="16"/>
          <w:szCs w:val="16"/>
        </w:rPr>
        <w:softHyphen/>
        <w:t>ку при заданной дальности. В качестве основного недо</w:t>
      </w:r>
      <w:r w:rsidRPr="00E93F40">
        <w:rPr>
          <w:rFonts w:ascii="Times New Roman" w:hAnsi="Times New Roman"/>
          <w:color w:val="000000" w:themeColor="text1"/>
          <w:sz w:val="16"/>
          <w:szCs w:val="16"/>
        </w:rPr>
        <w:softHyphen/>
        <w:t>статка отмечалось, что сматывание шланга вручную после заливки на самолете Р-5 затруднено, в особеннос</w:t>
      </w:r>
      <w:r w:rsidRPr="00E93F40">
        <w:rPr>
          <w:rFonts w:ascii="Times New Roman" w:hAnsi="Times New Roman"/>
          <w:color w:val="000000" w:themeColor="text1"/>
          <w:sz w:val="16"/>
          <w:szCs w:val="16"/>
        </w:rPr>
        <w:softHyphen/>
        <w:t>ти в зимних условиях. Доработка системы позволяла ус</w:t>
      </w:r>
      <w:r w:rsidRPr="00E93F40">
        <w:rPr>
          <w:rFonts w:ascii="Times New Roman" w:hAnsi="Times New Roman"/>
          <w:color w:val="000000" w:themeColor="text1"/>
          <w:sz w:val="16"/>
          <w:szCs w:val="16"/>
        </w:rPr>
        <w:softHyphen/>
        <w:t>транить этот дефект. Однако в дальнейшем к идее дозаправки самолетов в воздухе командование ВВС ста</w:t>
      </w:r>
      <w:r w:rsidRPr="00E93F40">
        <w:rPr>
          <w:rFonts w:ascii="Times New Roman" w:hAnsi="Times New Roman"/>
          <w:color w:val="000000" w:themeColor="text1"/>
          <w:sz w:val="16"/>
          <w:szCs w:val="16"/>
        </w:rPr>
        <w:softHyphen/>
        <w:t>ло относиться более сдержанно, практического исполь</w:t>
      </w:r>
      <w:r w:rsidRPr="00E93F40">
        <w:rPr>
          <w:rFonts w:ascii="Times New Roman" w:hAnsi="Times New Roman"/>
          <w:color w:val="000000" w:themeColor="text1"/>
          <w:sz w:val="16"/>
          <w:szCs w:val="16"/>
        </w:rPr>
        <w:softHyphen/>
        <w:t>зования в те годы она не получила (10667).</w:t>
      </w:r>
    </w:p>
    <w:p w14:paraId="7C84478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8BD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году в УВИ обратился некто И.И. Варшавский с заманчивым предложением, сделать самолеты невидимыми в воздухе для наземного наблюдателя. И все, что для этого было необходимо, по мнению изобретателя, это отполировать поверхности самолета до зеркального блеска. </w:t>
      </w:r>
    </w:p>
    <w:p w14:paraId="3F3BEE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Для экспериментальной проверки при поддержке М.Н. Тухачевского была создана лаборатория, которую в 1933 году передали Научному Институту Военного Кораблестроения (НИВК). Начальником лаборатории, получившей номер 12, и был назначен Варшавский. Располагалась она в Петропавловской крепости в Ленинграде. Тематика, кроме зеркальной маскировки, включала работы по защите металлов от коррозии по заданию НИВК. </w:t>
      </w:r>
    </w:p>
    <w:p w14:paraId="794721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Сперва предполагалось, что эффект невидимости будет работать и днем и ночью. Но опыты с моделями остудили пыл изобретателя и задачу ограничили невидимостью самолета в лучах прожектора, что тоже считалось весьма важным. </w:t>
      </w:r>
    </w:p>
    <w:p w14:paraId="38F016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Из-за отсутствия немедленного результата, лаборатория Варшавского очень скоро стала в тягость, как НИВК, так и УВИ. Особенно нелогично вело себя УВИ. Исполняющий обязанности начальника управления Я. Терентьев, считая, что подчиненность Варшавского НИВК и УВИ «помимо лишнего расходования сил и денежных средств, отражается и на самой работе по маскировке самолета, темпы которой, как показала практика, не соответствуют ее значению», предлагал передать лабораторию целиком в ведение… НИВК. Начальник Управления Военно-морских сил (УВМС) Лудри был против этого, мотивируя свое мнение тем, что «Варшавский выполняет работы УВМС в небольшом объеме и вероятно скоро не будет их выполнять». </w:t>
      </w:r>
    </w:p>
    <w:p w14:paraId="6DA363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Двойная подчиненность лаборатории не способствовала работе. Через два года трудов в активе И. Варшавского были только лабораторные испытания моделей самолета ТБ-1, видоизмененных согласно требованиям зеркальной маскировки, опыты с зеркалами, установленными на вышке и освещаемые прожектором, а также «Теория зеркального самолета», разработанная сотрудником Государственного Оптического Института А.А. Гершуном, временно привлеченным к работам лаборатории № 12. </w:t>
      </w:r>
    </w:p>
    <w:p w14:paraId="3022D3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результате этих работ начали яснее прорисовываться принципы и возможности зеркальной маскировки. Попробуем и мы разобраться в этом. </w:t>
      </w:r>
    </w:p>
    <w:p w14:paraId="432A2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Итак, для достижения маскировочного эффекта предполагалось сделать зеркальными нижние и боковые поверхности самолета. Тогда, при захвате самолета лучом прожектора, свет отражался бы от зеркальных крыльев, стабилизатора и фюзеляжа под углом равным углу его падения и «зайчик» падал на землю на некотором расстоянии от прожекторной станции. Таким образом, считал Варшавский, самолет будет виден только с отдельных участков земли, на которые падает отраженный поверхностями самолета луч. А так как самолет перемещается, то и эти участки будут постоянно меняться. </w:t>
      </w:r>
    </w:p>
    <w:p w14:paraId="43E13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Кроме того, увеличению маскировочного эффекта способствовали: </w:t>
      </w:r>
    </w:p>
    <w:p w14:paraId="335AAE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скорость перемещения «зайчика» по земле равняется удвоенной скорости самолета; </w:t>
      </w:r>
    </w:p>
    <w:p w14:paraId="38F6F2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вогнутая поверхность зеркала, уменьшавшая размеры «зайчика»; </w:t>
      </w:r>
    </w:p>
    <w:p w14:paraId="74BD33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освещенность земли в районе «зайчика» в два раза меньше, чем освещенность самолета; </w:t>
      </w:r>
    </w:p>
    <w:p w14:paraId="195A76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если самолет наклонился (например, вошел в вираж), то при некоторых углах отраженный луч мог уходить в небо.</w:t>
      </w:r>
    </w:p>
    <w:p w14:paraId="3E91E3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Короче говоря, если обычный самолет, попав в луч прожектора, рассеивал свет более-менее равномерно в разные стороны и был, соответственно, виден со всех точек; самолет, окрашенный черной матовой краской — часть света поглощал и рассеивал уже гораздо меньше и это уменьшало его видимость; то зеркальный — отражал весь свет только в одном направлении, оставаясь невидимым из всех мест, кроме того, куда падал отраженный луч. На основании теоретических выкладок А.А. Гершуна Варшавский сформулировал требования к конструкции зеркального самолета: </w:t>
      </w:r>
    </w:p>
    <w:p w14:paraId="7DDC162A"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должен представлять собой «моноплан с низкорасположенным свободнонесущим крылом, обладающий минимальным количеством различно наклоненных плоскостей, отсутствием закруглений на дне и бортах фюзеляжа, хвостовым оперением, построенным заподлицо с дном фюзеляжа и убирающемся в полете шасси». </w:t>
      </w:r>
    </w:p>
    <w:p w14:paraId="7F4B5765"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Самолет должен иметь обшивку из нержавеющей стали или фанеры, армированной нержавейкой. Поверхность должна быть совершенно гладкой и не иметь гофра. </w:t>
      </w:r>
    </w:p>
    <w:p w14:paraId="0864AD90" w14:textId="77777777" w:rsidR="007B1D3C" w:rsidRPr="00E93F40" w:rsidRDefault="007B1D3C" w:rsidP="00E93F4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Нижние поверхности крыльев и дно фюзеляжа должны представлять собой правильные плоскости без закруглений и вмятин. Вмятины и общий изгиб обшивки не должны иметь стрелу прогиба более миллиметра на длине один метр. Иначе, как считали Гершун и Варшавский, свет будет рассеиваться не в одном направлении, а диффузно и самолет будет хорошо виден (11505).</w:t>
      </w:r>
    </w:p>
    <w:p w14:paraId="19632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C076A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Германию посетил главный инспектор ВВС при наркоме обороны В.В.Хрипин (будущий начальник штаба ВВС РККА) вместе с начальником Управления механизации и моторизации РККА И.А. Халепским (Командарм 2 ранга Халепский И.А. (1893—1938) и комкор Хрипин В.В. (1893—1938) в середине 30-х гг. войдут в состав Военного совета при наркоме обороны СССР. По ложному обвинению в причастности к «военному заговору» в РККА в 1937 г. они будут арестованы органами НКВД и 29 июля 1938 г. по решению суда Военной коллегии осуждены к расстрелу. Реабилитируют их в 1956 г.). К этому времени Халепского хорошо знали в германских военно-промышленных кругах, поэтому его включение в группу свидетельствовало о намерении высшего военно-политического руководства СССР использовать прежние связи с рейхсвером. Известно, что еще в 1925 году он знакомился с новинками германской военной техники, включая авиационную, встречался с видными инженерами Лоренсом, Герцем и Цейсом (РГВА. Ф. 4. Оп. 14. Д. 48. Л. 12–16.). Уже тогда, в 1925 году, Халепский замещал достаточно высокую должность в РККА — начальника Военно-технического управления РККА, поэтому по соображениям конспирации в Германию он ездил как инженер Внешторга СССР (Халепский в одном из своих донесений Уншлихту признавался: «Как немцы, так и французы средствами своей разведки, видимо, знают, что я не просто инженер, командированный Внешторгом». (РГВА. Ф. 4. Оп. 1. Д. 48. Л. 13)) (11173).</w:t>
      </w:r>
    </w:p>
    <w:p w14:paraId="1388F6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6F6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года на аэродромы поступали авиастартеры АС-1 на шасси ГАЗ-АА. В 1936 году им на смену пришла модель АС-2, базировавшаяся на ГАЗ-АА и ГАЗ-ААА, а с 1937 года на ГАЗ-АА с двигателем М-1. Их характеристики приведены в таблице.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545"/>
        <w:gridCol w:w="1366"/>
        <w:gridCol w:w="1366"/>
        <w:gridCol w:w="1366"/>
      </w:tblGrid>
      <w:tr w:rsidR="00DA227A" w:rsidRPr="00E93F40" w14:paraId="38D9AB86" w14:textId="77777777">
        <w:tc>
          <w:tcPr>
            <w:tcW w:w="5545" w:type="dxa"/>
            <w:tcBorders>
              <w:top w:val="single" w:sz="12" w:space="0" w:color="auto"/>
            </w:tcBorders>
          </w:tcPr>
          <w:p w14:paraId="3445CB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w:t>
            </w:r>
          </w:p>
        </w:tc>
        <w:tc>
          <w:tcPr>
            <w:tcW w:w="1366" w:type="dxa"/>
            <w:tcBorders>
              <w:top w:val="single" w:sz="12" w:space="0" w:color="auto"/>
            </w:tcBorders>
          </w:tcPr>
          <w:p w14:paraId="74A744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АС-1</w:t>
            </w:r>
          </w:p>
        </w:tc>
        <w:tc>
          <w:tcPr>
            <w:tcW w:w="1366" w:type="dxa"/>
            <w:tcBorders>
              <w:top w:val="single" w:sz="12" w:space="0" w:color="auto"/>
            </w:tcBorders>
          </w:tcPr>
          <w:p w14:paraId="5008EB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АС-2</w:t>
            </w:r>
          </w:p>
        </w:tc>
        <w:tc>
          <w:tcPr>
            <w:tcW w:w="1366" w:type="dxa"/>
            <w:tcBorders>
              <w:top w:val="single" w:sz="12" w:space="0" w:color="auto"/>
            </w:tcBorders>
          </w:tcPr>
          <w:p w14:paraId="013066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АС-2</w:t>
            </w:r>
          </w:p>
        </w:tc>
      </w:tr>
      <w:tr w:rsidR="00DA227A" w:rsidRPr="00E93F40" w14:paraId="3CCDD14B" w14:textId="77777777">
        <w:tc>
          <w:tcPr>
            <w:tcW w:w="5545" w:type="dxa"/>
          </w:tcPr>
          <w:p w14:paraId="1195F7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мощность двигателя (л.с)</w:t>
            </w:r>
          </w:p>
        </w:tc>
        <w:tc>
          <w:tcPr>
            <w:tcW w:w="1366" w:type="dxa"/>
          </w:tcPr>
          <w:p w14:paraId="414FE9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c>
          <w:tcPr>
            <w:tcW w:w="1366" w:type="dxa"/>
          </w:tcPr>
          <w:p w14:paraId="31CF33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42</w:t>
            </w:r>
          </w:p>
        </w:tc>
        <w:tc>
          <w:tcPr>
            <w:tcW w:w="1366" w:type="dxa"/>
          </w:tcPr>
          <w:p w14:paraId="74ECD5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w:t>
            </w:r>
          </w:p>
        </w:tc>
      </w:tr>
      <w:tr w:rsidR="00DA227A" w:rsidRPr="00E93F40" w14:paraId="2FAA4A8E" w14:textId="77777777">
        <w:tc>
          <w:tcPr>
            <w:tcW w:w="5545" w:type="dxa"/>
          </w:tcPr>
          <w:p w14:paraId="3EE311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оборотов хобота стартера (об/мин)</w:t>
            </w:r>
          </w:p>
        </w:tc>
        <w:tc>
          <w:tcPr>
            <w:tcW w:w="1366" w:type="dxa"/>
          </w:tcPr>
          <w:p w14:paraId="283179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1110-1300</w:t>
            </w:r>
          </w:p>
        </w:tc>
        <w:tc>
          <w:tcPr>
            <w:tcW w:w="1366" w:type="dxa"/>
          </w:tcPr>
          <w:p w14:paraId="0D1D1C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1110-1300</w:t>
            </w:r>
          </w:p>
        </w:tc>
        <w:tc>
          <w:tcPr>
            <w:tcW w:w="1366" w:type="dxa"/>
          </w:tcPr>
          <w:p w14:paraId="30C925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1400-1500</w:t>
            </w:r>
          </w:p>
        </w:tc>
      </w:tr>
      <w:tr w:rsidR="00DA227A" w:rsidRPr="00E93F40" w14:paraId="16D15AE5" w14:textId="77777777">
        <w:tc>
          <w:tcPr>
            <w:tcW w:w="5545" w:type="dxa"/>
          </w:tcPr>
          <w:p w14:paraId="32FAFC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Наибольшая высота хобота по горизонтали (м)</w:t>
            </w:r>
          </w:p>
        </w:tc>
        <w:tc>
          <w:tcPr>
            <w:tcW w:w="1366" w:type="dxa"/>
          </w:tcPr>
          <w:p w14:paraId="61A86A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2.94</w:t>
            </w:r>
          </w:p>
        </w:tc>
        <w:tc>
          <w:tcPr>
            <w:tcW w:w="1366" w:type="dxa"/>
          </w:tcPr>
          <w:p w14:paraId="151697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4.34</w:t>
            </w:r>
          </w:p>
        </w:tc>
        <w:tc>
          <w:tcPr>
            <w:tcW w:w="1366" w:type="dxa"/>
          </w:tcPr>
          <w:p w14:paraId="1EAE11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4.34</w:t>
            </w:r>
          </w:p>
        </w:tc>
      </w:tr>
      <w:tr w:rsidR="00DA227A" w:rsidRPr="00E93F40" w14:paraId="02DE3ECA" w14:textId="77777777">
        <w:tc>
          <w:tcPr>
            <w:tcW w:w="5545" w:type="dxa"/>
          </w:tcPr>
          <w:p w14:paraId="7898D2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Наименьшая высота хобота по горизонтали (м)</w:t>
            </w:r>
          </w:p>
        </w:tc>
        <w:tc>
          <w:tcPr>
            <w:tcW w:w="1366" w:type="dxa"/>
          </w:tcPr>
          <w:p w14:paraId="19E31E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2.79</w:t>
            </w:r>
          </w:p>
        </w:tc>
        <w:tc>
          <w:tcPr>
            <w:tcW w:w="1366" w:type="dxa"/>
          </w:tcPr>
          <w:p w14:paraId="392592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2.94</w:t>
            </w:r>
          </w:p>
        </w:tc>
        <w:tc>
          <w:tcPr>
            <w:tcW w:w="1366" w:type="dxa"/>
          </w:tcPr>
          <w:p w14:paraId="717DD1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2.94</w:t>
            </w:r>
          </w:p>
        </w:tc>
      </w:tr>
      <w:tr w:rsidR="00DA227A" w:rsidRPr="00E93F40" w14:paraId="61618D6B" w14:textId="77777777">
        <w:tc>
          <w:tcPr>
            <w:tcW w:w="5545" w:type="dxa"/>
          </w:tcPr>
          <w:p w14:paraId="231B70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Изменение высоты хобота при наклоне на 15° (м)</w:t>
            </w:r>
          </w:p>
        </w:tc>
        <w:tc>
          <w:tcPr>
            <w:tcW w:w="1366" w:type="dxa"/>
          </w:tcPr>
          <w:p w14:paraId="6EA569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-0.7...+0.7</w:t>
            </w:r>
          </w:p>
        </w:tc>
        <w:tc>
          <w:tcPr>
            <w:tcW w:w="1366" w:type="dxa"/>
          </w:tcPr>
          <w:p w14:paraId="5AC1C4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-0.7...+0.7</w:t>
            </w:r>
          </w:p>
        </w:tc>
        <w:tc>
          <w:tcPr>
            <w:tcW w:w="1366" w:type="dxa"/>
          </w:tcPr>
          <w:p w14:paraId="569306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-0.7...+0.7</w:t>
            </w:r>
          </w:p>
        </w:tc>
      </w:tr>
      <w:tr w:rsidR="00DA227A" w:rsidRPr="00E93F40" w14:paraId="784A7F89" w14:textId="77777777">
        <w:tc>
          <w:tcPr>
            <w:tcW w:w="5545" w:type="dxa"/>
          </w:tcPr>
          <w:p w14:paraId="767B3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Минимальная высота передней вилки хобота (м)</w:t>
            </w:r>
          </w:p>
        </w:tc>
        <w:tc>
          <w:tcPr>
            <w:tcW w:w="1366" w:type="dxa"/>
          </w:tcPr>
          <w:p w14:paraId="704F73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2.09</w:t>
            </w:r>
          </w:p>
        </w:tc>
        <w:tc>
          <w:tcPr>
            <w:tcW w:w="1366" w:type="dxa"/>
          </w:tcPr>
          <w:p w14:paraId="331BA5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2.24</w:t>
            </w:r>
          </w:p>
        </w:tc>
        <w:tc>
          <w:tcPr>
            <w:tcW w:w="1366" w:type="dxa"/>
          </w:tcPr>
          <w:p w14:paraId="46B066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2.24</w:t>
            </w:r>
          </w:p>
        </w:tc>
      </w:tr>
      <w:tr w:rsidR="00DA227A" w:rsidRPr="00E93F40" w14:paraId="4EAAB036" w14:textId="77777777">
        <w:tc>
          <w:tcPr>
            <w:tcW w:w="5545" w:type="dxa"/>
            <w:tcBorders>
              <w:bottom w:val="single" w:sz="12" w:space="0" w:color="auto"/>
            </w:tcBorders>
          </w:tcPr>
          <w:p w14:paraId="5D0BA7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Максимальная высота передней вилки хобота (м)</w:t>
            </w:r>
          </w:p>
        </w:tc>
        <w:tc>
          <w:tcPr>
            <w:tcW w:w="1366" w:type="dxa"/>
            <w:tcBorders>
              <w:bottom w:val="single" w:sz="12" w:space="0" w:color="auto"/>
            </w:tcBorders>
          </w:tcPr>
          <w:p w14:paraId="2326AA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4.74</w:t>
            </w:r>
          </w:p>
        </w:tc>
        <w:tc>
          <w:tcPr>
            <w:tcW w:w="1366" w:type="dxa"/>
            <w:tcBorders>
              <w:bottom w:val="single" w:sz="12" w:space="0" w:color="auto"/>
            </w:tcBorders>
          </w:tcPr>
          <w:p w14:paraId="1D5A7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5.04</w:t>
            </w:r>
          </w:p>
        </w:tc>
        <w:tc>
          <w:tcPr>
            <w:tcW w:w="1366" w:type="dxa"/>
            <w:tcBorders>
              <w:bottom w:val="single" w:sz="12" w:space="0" w:color="auto"/>
            </w:tcBorders>
          </w:tcPr>
          <w:p w14:paraId="32C51B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5.04</w:t>
            </w:r>
          </w:p>
        </w:tc>
      </w:tr>
    </w:tbl>
    <w:p w14:paraId="0536EB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Механизм стартера состоит из коробки отбора мощности, промежуточного валика, коробки реверсивной передачи, хобота и передней вилки трубы хобота. Стандартная бортовая платформа была несколько сдвинута назад, т.к. непосредственно за кабиной водителя к лонжеронам рамы автомобиля был прикреплен швеллер, а на него закреплялась подъемная труба. Под ней к раме автомобиля крепилась коробка реверсивной передачи. Последняя имела значительные габариты и существенно снижала клиренс автомобиля. Водителям даже не рекомендовалось ездить по плохим дорогам, а если такая необходимость все же возникала - этот агрегат вменялось снимать (вместе с промежуточным валиком) и перевозить в кузове, во избежание повреждения или потери. Кроме того, водителям рекомендовалось передвижение с опущенным стартовым устройством поднятое оно существенно снижало остойчивость машины. Как правило, подготовка стартера производилась непосредственно перед запуском мотора.</w:t>
      </w:r>
    </w:p>
    <w:p w14:paraId="26E9C6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осуществления запуска авиастартер устанавливался так, что бы его хобот и храповик мотора были соосны. Отклонение не должно было превышать 15° в любой из плоскостей. Нарушение этого требования вело к изгибу или поломке хобота.</w:t>
      </w:r>
    </w:p>
    <w:p w14:paraId="716BB8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окончательной установки необходимо было под колеса самолета и автомобиля подложить колодки. Для удобства удаления их рекомендовалось привязывать к кузову веревками такой длины, чтобы можно было свободно устанавливать их под задние колеса и не наезжать на них передними при отъезде от самолета задним ходом.</w:t>
      </w:r>
    </w:p>
    <w:p w14:paraId="4C92C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Автоавиастартеры были широко распространены в довоенный период и во время войны и эксплуатировались со всеми типами самолетов. О послевоенном их применении мы данными не располагаем (11914).</w:t>
      </w:r>
    </w:p>
    <w:p w14:paraId="35A5D0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53653E7" w14:textId="6E0F0A4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1930 г. в ведении </w:t>
      </w:r>
      <w:r w:rsidRPr="00E93F40">
        <w:rPr>
          <w:rFonts w:ascii="Times New Roman" w:hAnsi="Times New Roman"/>
          <w:color w:val="000000" w:themeColor="text1"/>
          <w:sz w:val="16"/>
          <w:szCs w:val="16"/>
          <w:lang w:val="en-US"/>
        </w:rPr>
        <w:t>BOA</w:t>
      </w:r>
      <w:r w:rsidRPr="00E93F40">
        <w:rPr>
          <w:rFonts w:ascii="Times New Roman" w:hAnsi="Times New Roman"/>
          <w:color w:val="000000" w:themeColor="text1"/>
          <w:sz w:val="16"/>
          <w:szCs w:val="16"/>
        </w:rPr>
        <w:t xml:space="preserve"> ВСНХ был образован Завод № 49 (Завод № 49 ВСНХ, НКТП, НКОП, НКАП, Механический завод / г. Осипенко,</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Бердянск Запорожской обл./), с 1932 г. - в подсобном тресте ГУАП НКТП. Частично введен в эксплуатацию в 1933 г. В 02-12.1938 г. подсобный завод № 49 - в ведении 1ГУ НКОП.</w:t>
      </w:r>
    </w:p>
    <w:p w14:paraId="003D84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Мелкосерийное машиностроение: гильотинные и роликовые ножницы, загибочные, токарно-давильные, вертикально-фрезерные станки.</w:t>
      </w:r>
    </w:p>
    <w:p w14:paraId="531237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1940(38) г. на базе завода № 49 НКТП сформирован новый инструментальный завод № 9 ОАП НКАП.</w:t>
      </w:r>
    </w:p>
    <w:p w14:paraId="7CE4A7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(-06-8.10.1937 г.)- Н.П. Ласточкин, (8.10.1937 г.-)- А. Г. Травников.</w:t>
      </w:r>
    </w:p>
    <w:p w14:paraId="6AF94CCE" w14:textId="0F63064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(-06-8.10.1937 г.)- Н.Н. Козьяков, (8.10.1937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Г.Д. Севастьяненко.</w:t>
      </w:r>
    </w:p>
    <w:p w14:paraId="79046D40" w14:textId="127BA752"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(-06-8.10.1937 г.)- Н.Н. Козьяков, (8.10.1937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Г.Д. Севастьяненко (11982).</w:t>
      </w:r>
    </w:p>
    <w:p w14:paraId="39E0182D"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650C4D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 в ведении самолетного треста ГУАП </w:t>
      </w:r>
      <w:r w:rsidRPr="00E93F40">
        <w:rPr>
          <w:rFonts w:ascii="Times New Roman" w:hAnsi="Times New Roman"/>
          <w:color w:val="000000" w:themeColor="text1"/>
          <w:sz w:val="16"/>
          <w:szCs w:val="16"/>
          <w:lang w:val="en-US"/>
        </w:rPr>
        <w:t>HKT</w:t>
      </w:r>
      <w:r w:rsidRPr="00E93F40">
        <w:rPr>
          <w:rFonts w:ascii="Times New Roman" w:hAnsi="Times New Roman"/>
          <w:color w:val="000000" w:themeColor="text1"/>
          <w:sz w:val="16"/>
          <w:szCs w:val="16"/>
        </w:rPr>
        <w:t>П начато строительство завода № 124 - «Казмашстрой», введен в строй в 1934 г., в 1937 г. получил имя С. Орджоникидзе. В 02.1937-12.1938 г. завод № 124/27 - в ведении 1ГУ НКОП. Для завода в США было закуплено более тысячи самых современных станков. Вначале на заводе планировалось производство ТБ-4, ТБ-5, «Вулти», моторов М-25. Производственная программа завода на 1937 г.: 25 ДБ-А, 2 ПС-124 «Максим Горький».</w:t>
      </w:r>
    </w:p>
    <w:p w14:paraId="24111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Приказом № 0032 от 8.02.1937 г. заводу предписано к 1.04.1937 г. сдать в эксплуатацию главный корпус самолетного завода, кроме одного 100-метрового пролета, ТЭЦ; приступить к строительству моторного завода и организации производства мотора М-25. «В связи с неудовлетворительными темпами работ» 13/20.01.1938 г. </w:t>
      </w:r>
      <w:r w:rsidRPr="00E93F40">
        <w:rPr>
          <w:rFonts w:ascii="Times New Roman" w:hAnsi="Times New Roman"/>
          <w:color w:val="000000" w:themeColor="text1"/>
          <w:sz w:val="16"/>
          <w:szCs w:val="16"/>
        </w:rPr>
        <w:lastRenderedPageBreak/>
        <w:t>вышел приказ № 10с провести обследование строительства завода. В этом же году для форсирования строительства на территории завода был организован трудовой лагерь в 1000-1500 чел.</w:t>
      </w:r>
    </w:p>
    <w:p w14:paraId="3EB5B6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ЗЗсс от 1/3.02.1938 г. Строительство № 27 передано в ведение созданного ГУ авиационного моторостроения. По приказу № 166с от 7.07.1939 г. производство было разделено: завод № 124 при 7ГУ специализировался по самолетам, а завод № 27 при ЗГУ- по моторам. По приказу № 262сс от 22.03.1941 г. завод передан в ЮГУ НКАП. Имел наименование «п/я 22».</w:t>
      </w:r>
    </w:p>
    <w:p w14:paraId="5C1646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Вероятно, в 1937 г. на завод переведен коллектив КБ-22 гл. конструктора В.Ф. Болховитинова для внедрения в производство ДБ-А.</w:t>
      </w:r>
    </w:p>
    <w:p w14:paraId="5D8A2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 г. выпуск ДБ-А и ПС-124 был отменен. По пр. № 172с от 21.05.1938 г. на заводе под руководством И.Ф. Незваля начата организация серийного производства бомбардировщика ТБ-7 («42»), Для этого с завода № 156 были переданы чертежи и спецификации по самолету; на заводе организован единый КО в составе серийного КБ завода и конструкторской группы завода № 156; на завод направлено 150 молодых специалистов. По пр. № 180с от 26/27.05.1938 г. на территории завода № 156 организовано КБ по приспособлениям в составе 100 чел. сроком на 2 месяца в подчинении гл. инженера завода № 124; на заводе № 124 организован отдел кооперирования для руководства по размещению заказов на других заводах 1ГУ.</w:t>
      </w:r>
    </w:p>
    <w:p w14:paraId="187D1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1939 г. проектная мощность завода составляла 600 ТБ-7 и 1000 СБ в год. В 12.1939 г. производство ТБ-7 прекращено, заводу выдано задание на выпук ПС-84 (Ли-2). В 05.1940 г. производство ТБ-7 возобновлено параллельно с освоением Ли-2. В 09.1940 г. выпуск Ли-2 прекращен. С 02.1941 г. начато освоение производства Пе-2. План производства на 1941 г.: 40 ТБ-7 и 240 Пе-2.</w:t>
      </w:r>
    </w:p>
    <w:p w14:paraId="1185D7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1050сс от 8.10.1941 г. на площадку завода эвакуирована часть завода № 240 НКАП. В 04.1942 г. все оборудование возвращено обратно.</w:t>
      </w:r>
    </w:p>
    <w:p w14:paraId="56BBF3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1057сс от 10.10.1941 г. на площадку завода и в КАИ эвакуирована часть подазделений ЦАГИ. Затем они преобразованы в Казанский филиал ЦАГИ. По приказу № 640с от 26.10.1943 г. Казанский филиал ЦАГИ был ликвидирован, а корпуса переданы КАИ.</w:t>
      </w:r>
    </w:p>
    <w:p w14:paraId="0384F9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11.1941 г. на территорию завода эвакуировались из Москвы завод № 22 им. С.П. Горбунова и завод № 294 НКАП (7ГУ). 19.11.1941 г. вышло постановление ГКО № 917 об организации на площадке завода № 124 двух самолетостроительных заводов. Пост. ГКО № 1048сс от 23.12.1941 г. заводы объединены под названием завод № 22 НКАП им. Горбунова.</w:t>
      </w:r>
    </w:p>
    <w:p w14:paraId="1F546C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(11.1940 г.)- 1151 станок (725 металлорежущих).</w:t>
      </w:r>
    </w:p>
    <w:p w14:paraId="04E29E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(05.1940 г.)- около 6000 рабочих.</w:t>
      </w:r>
    </w:p>
    <w:p w14:paraId="04E0D0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(-06.1937-21.И.1938 г.)- Л.Н. Шахнин (снят); и.о. (22.05-06.1938 г.)- С.С. Баринов; (15.06.1938г)- С.С. Баринов, (1938-39 г.)- И.И. Штейнберг, (05.1940-05.1941 г.-)- М.М. Каганович, Окулов.</w:t>
      </w:r>
    </w:p>
    <w:p w14:paraId="3F9D9D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строительства (1938 г.)- И.С. Овэс. Зам. директора (22.02.1937 г.-)- В.Д. Россман, (06.1937 г.)- С.Е. Дайбог, (22.05.1938 г.-)- А.Д. Шиц. Помощник директора (06.1937 г.)- Поляков.</w:t>
      </w:r>
    </w:p>
    <w:p w14:paraId="1CAEB4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(05.1937 г.)- С.Е. Дайбо г.</w:t>
      </w:r>
    </w:p>
    <w:p w14:paraId="754B82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(06.1937 г.)- С.Е. Дайбог, (22.05.1938 г.-)- А.Д. Шиц.</w:t>
      </w:r>
    </w:p>
    <w:p w14:paraId="6CDC18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(1937 г.)- В.Ф. Болховитинов, (21.05.1938 г.-)- И.Ф. Незваль.</w:t>
      </w:r>
    </w:p>
    <w:p w14:paraId="529F8A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конструктора по КО (21.05.1938 г.-)- Забродченко.</w:t>
      </w:r>
    </w:p>
    <w:p w14:paraId="4D7E9A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механик (06.1937 г.)- Махно.</w:t>
      </w:r>
    </w:p>
    <w:p w14:paraId="0CF5A7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УКС (22.02.1937 г.-)- В.Д. Россман; снабжения (06.1937 г.)- Фомин; хозяйственно-транспортного управления (06.1937 г.)- Пантюхов; договорной группы (06.1937 г.)- Сердобольский.</w:t>
      </w:r>
    </w:p>
    <w:p w14:paraId="471944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УКС (22.02.1937 г.-)- В.Д. Россман.</w:t>
      </w:r>
    </w:p>
    <w:p w14:paraId="2F5F0B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кооперирования (27.05.1938 г.-)- А.А. Слуцкий; ППО (06.1937 г.)- Фастовец; кадров (09.1938 г.)- Никулин.</w:t>
      </w:r>
    </w:p>
    <w:p w14:paraId="6C569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бюро: КБ по приспособлениям (27.05.1938 г.-)- А.И. Антонов.</w:t>
      </w:r>
      <w:r w:rsidRPr="00E93F40">
        <w:rPr>
          <w:rFonts w:ascii="Times New Roman" w:hAnsi="Times New Roman"/>
          <w:color w:val="000000" w:themeColor="text1"/>
          <w:sz w:val="16"/>
          <w:szCs w:val="16"/>
          <w:vertAlign w:val="superscript"/>
        </w:rPr>
        <w:t>139</w:t>
      </w:r>
    </w:p>
    <w:p w14:paraId="505305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самолеты: КАИ-1, ДБ-А (1937-39)- 12 (по другим данным - 5</w:t>
      </w:r>
      <w:r w:rsidRPr="00E93F40">
        <w:rPr>
          <w:rFonts w:ascii="Times New Roman" w:hAnsi="Times New Roman"/>
          <w:color w:val="000000" w:themeColor="text1"/>
          <w:sz w:val="16"/>
          <w:szCs w:val="16"/>
          <w:vertAlign w:val="superscript"/>
        </w:rPr>
        <w:t>144</w:t>
      </w:r>
      <w:r w:rsidRPr="00E93F40">
        <w:rPr>
          <w:rFonts w:ascii="Times New Roman" w:hAnsi="Times New Roman"/>
          <w:color w:val="000000" w:themeColor="text1"/>
          <w:sz w:val="16"/>
          <w:szCs w:val="16"/>
        </w:rPr>
        <w:t>), ТБ-7 (1938-41)- 23, ПС-124 (1939)- 1, Ли-2 (1940-41-)-10, Пе-2 (1941)- 104.</w:t>
      </w:r>
    </w:p>
    <w:p w14:paraId="1BF697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гл. конструктора И.Ф. Незваля при заводе № 124 НКАП</w:t>
      </w:r>
    </w:p>
    <w:p w14:paraId="5E1440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Образовано по приказу № 143с от 21/25.03.1940 г. Гл. конструктор- И.Ф. Незваль, переведенный на завод ранее с завода № 156 с группой конструкторов для внедрения в серию АНТ-42. Проводилась доводка и модернизация самолета с различными двигателями, установка дополнительного вооружения (11982).</w:t>
      </w:r>
    </w:p>
    <w:p w14:paraId="49EAC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05B308" w14:textId="10A3D8A9"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ведении самолетного треста ГУАП НКТП был основан Завод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Комсомольск-на-Амуре Хабаровского кр., ул. Советская, 1 тел. 52-62-00/ /Московское представительство: тел. 933-58-14/) (официальным днем рождения считается 18.07.1934 г.), вступил в строй в 1936 г. в составе самолетостроительного треста ГУАП НКТП. 1.05.1936 г. собран первый самолет Р-6. В 02.1937-12.1938 г. - в ведении 1ГУ НКОП.</w:t>
      </w:r>
    </w:p>
    <w:p w14:paraId="05B20A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0032 от 8.02.1937 г. заводу предписано в 1937 г. сдать в эксплуатацию производственные площади в 46 тыс.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xml:space="preserve"> и начать строительство ремонтного завода с окончанием в текущем году.</w:t>
      </w:r>
    </w:p>
    <w:p w14:paraId="1A5367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СТО от 05.1936 г.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E93F40">
        <w:rPr>
          <w:rFonts w:ascii="Times New Roman" w:hAnsi="Times New Roman"/>
          <w:color w:val="000000" w:themeColor="text1"/>
          <w:sz w:val="16"/>
          <w:szCs w:val="16"/>
          <w:vertAlign w:val="superscript"/>
        </w:rPr>
        <w:t>90</w:t>
      </w:r>
      <w:r w:rsidRPr="00E93F40">
        <w:rPr>
          <w:rFonts w:ascii="Times New Roman" w:hAnsi="Times New Roman"/>
          <w:color w:val="000000" w:themeColor="text1"/>
          <w:sz w:val="16"/>
          <w:szCs w:val="16"/>
        </w:rPr>
        <w:t>).</w:t>
      </w:r>
    </w:p>
    <w:p w14:paraId="0CB96D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40BC3E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1939 г. проектная мощность завода составляла 600 ДБ-3 в год.</w:t>
      </w:r>
    </w:p>
    <w:p w14:paraId="10A352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649B2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11.1940 г. заводу выдан план на 1941 г. по выпуску 350 ДБ-ЗФ.</w:t>
      </w:r>
      <w:r w:rsidRPr="00E93F40">
        <w:rPr>
          <w:rFonts w:ascii="Times New Roman" w:hAnsi="Times New Roman"/>
          <w:color w:val="000000" w:themeColor="text1"/>
          <w:sz w:val="16"/>
          <w:szCs w:val="16"/>
          <w:vertAlign w:val="superscript"/>
        </w:rPr>
        <w:t>85</w:t>
      </w:r>
    </w:p>
    <w:p w14:paraId="2EC313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1956 г. началась подготовка к выпуску первых для предприятия сверхзвуковых машин - Су-7.</w:t>
      </w:r>
    </w:p>
    <w:p w14:paraId="0CCAA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568D9F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СМ СССР № 713-342 от 26.06.1957 г. передан в ведение СНХ РСФСР.</w:t>
      </w:r>
    </w:p>
    <w:p w14:paraId="12388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E93F40">
        <w:rPr>
          <w:rFonts w:ascii="Times New Roman" w:hAnsi="Times New Roman"/>
          <w:color w:val="000000" w:themeColor="text1"/>
          <w:sz w:val="16"/>
          <w:szCs w:val="16"/>
          <w:lang w:val="en-US"/>
        </w:rPr>
        <w:t>OAK</w:t>
      </w:r>
      <w:r w:rsidRPr="00E93F40">
        <w:rPr>
          <w:rFonts w:ascii="Times New Roman" w:hAnsi="Times New Roman"/>
          <w:color w:val="000000" w:themeColor="text1"/>
          <w:sz w:val="16"/>
          <w:szCs w:val="16"/>
        </w:rPr>
        <w:t>.</w:t>
      </w:r>
    </w:p>
    <w:p w14:paraId="1DC1F871" w14:textId="4D8E90B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заводе существовал филиал ОКБ П.О. Сухого (начальник- В.И. Зименко).</w:t>
      </w:r>
    </w:p>
    <w:p w14:paraId="3564CC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7714DF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76BD03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E93F40">
        <w:rPr>
          <w:rFonts w:ascii="Times New Roman" w:hAnsi="Times New Roman"/>
          <w:color w:val="000000" w:themeColor="text1"/>
          <w:sz w:val="16"/>
          <w:szCs w:val="16"/>
          <w:lang w:val="en-US"/>
        </w:rPr>
        <w:t>CALS</w:t>
      </w:r>
      <w:r w:rsidRPr="00E93F40">
        <w:rPr>
          <w:rFonts w:ascii="Times New Roman" w:hAnsi="Times New Roman"/>
          <w:color w:val="000000" w:themeColor="text1"/>
          <w:sz w:val="16"/>
          <w:szCs w:val="16"/>
        </w:rPr>
        <w:t>-технологий и компьютерное проектирование.</w:t>
      </w:r>
    </w:p>
    <w:p w14:paraId="4C2C1A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15.05.2000 г. в Отделе рабочего проектирования ОГК завода образовано Комплексное инженерное бюро (КИБ).</w:t>
      </w:r>
    </w:p>
    <w:p w14:paraId="52F0C5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E93F40">
        <w:rPr>
          <w:rFonts w:ascii="Times New Roman" w:hAnsi="Times New Roman"/>
          <w:color w:val="000000" w:themeColor="text1"/>
          <w:sz w:val="16"/>
          <w:szCs w:val="16"/>
          <w:lang w:val="en-US"/>
        </w:rPr>
        <w:t>RJRJ</w:t>
      </w:r>
      <w:r w:rsidRPr="00E93F40">
        <w:rPr>
          <w:rFonts w:ascii="Times New Roman" w:hAnsi="Times New Roman"/>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79C783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7614DF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2006 г. построен 1-й Су-80; 26.09.2007 г.- 1-й экземпляр </w:t>
      </w:r>
      <w:r w:rsidRPr="00E93F40">
        <w:rPr>
          <w:rFonts w:ascii="Times New Roman" w:hAnsi="Times New Roman"/>
          <w:color w:val="000000" w:themeColor="text1"/>
          <w:sz w:val="16"/>
          <w:szCs w:val="16"/>
          <w:lang w:val="en-US"/>
        </w:rPr>
        <w:t>SSJ</w:t>
      </w:r>
      <w:r w:rsidRPr="00E93F40">
        <w:rPr>
          <w:rFonts w:ascii="Times New Roman" w:hAnsi="Times New Roman"/>
          <w:color w:val="000000" w:themeColor="text1"/>
          <w:sz w:val="16"/>
          <w:szCs w:val="16"/>
        </w:rPr>
        <w:t xml:space="preserve"> 100.</w:t>
      </w:r>
    </w:p>
    <w:p w14:paraId="19D1A0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Имелось Московское представительство (директор (2005 г.)- А.В. Скопин). Имелись цеха: 3, 7, 21, 30, 45, 46,</w:t>
      </w:r>
    </w:p>
    <w:p w14:paraId="1A0D24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(11.1940 г.)- 500 металлорежущих станков. Численность персонала (1937 г.)- 2860 чел.</w:t>
      </w:r>
    </w:p>
    <w:p w14:paraId="054E4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Петров, (1994-06.2006 г.)- В.И. Меркулов, (3.06.2006 г.-)- А.И. Пекарш.</w:t>
      </w:r>
    </w:p>
    <w:p w14:paraId="2814F3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46DA10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строительства (14.08.1938 г.-)- Т.К. Дмитриев. Технический директор (-2001-03 г.-)- В.И. Шпорт.</w:t>
      </w:r>
    </w:p>
    <w:p w14:paraId="36BEE4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5443E9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Зам. гл. инженера: по производству - В.И. Меркулов; (1993 г.)- Ю.А. Цюпко,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Кормич. Зам. гл. технолога: (1993 г.)- А.А. Васильев. Зам. гл. металлурга (1990-е)- А.М. Насонов.</w:t>
      </w:r>
    </w:p>
    <w:p w14:paraId="4C7080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Гл. конструктор (08.1940 г.-)-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xml:space="preserve">. Бульман, (1993 г.)- Л.Д. Воробьев, (2001 г.)- А.А. Новожилов. Гл. технолог (17.12.1938 г.-)- В.З. Шифрин. Гл. контролер-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Кормич. Гл. конструкторы: (-2000-05 г.-)- П.В. Полищук (СА-20П).</w:t>
      </w:r>
    </w:p>
    <w:p w14:paraId="12EB9E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743407E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0B20F3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Начальники отделов: СКО (1937 г.)- В.Б. Шавров, (05.1940 г.-)-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0A1EDF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5D634C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457434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E93F40">
        <w:rPr>
          <w:rFonts w:ascii="Times New Roman" w:hAnsi="Times New Roman"/>
          <w:color w:val="000000" w:themeColor="text1"/>
          <w:sz w:val="16"/>
          <w:szCs w:val="16"/>
          <w:vertAlign w:val="superscript"/>
        </w:rPr>
        <w:t>101</w:t>
      </w:r>
      <w:r w:rsidRPr="00E93F40">
        <w:rPr>
          <w:rFonts w:ascii="Times New Roman" w:hAnsi="Times New Roman"/>
          <w:color w:val="000000" w:themeColor="text1"/>
          <w:sz w:val="16"/>
          <w:szCs w:val="16"/>
        </w:rPr>
        <w:t xml:space="preserve"> Су-27 (1980-2004-)- более 760 (к 2000 г.), Су-30 (2004), Су-33 (1986-2004-)- 9 (по 1990 г.), Су-35 (1992-2004-), С- 80 (1998-), Бе-103 (1995-99; 2001-06-), Са-20П (2002)- 1, </w:t>
      </w:r>
      <w:r w:rsidRPr="00E93F40">
        <w:rPr>
          <w:rFonts w:ascii="Times New Roman" w:hAnsi="Times New Roman"/>
          <w:color w:val="000000" w:themeColor="text1"/>
          <w:sz w:val="16"/>
          <w:szCs w:val="16"/>
          <w:lang w:val="en-US"/>
        </w:rPr>
        <w:t>SSJ</w:t>
      </w:r>
      <w:r w:rsidRPr="00E93F40">
        <w:rPr>
          <w:rFonts w:ascii="Times New Roman" w:hAnsi="Times New Roman"/>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15FE4C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BDA960" w14:textId="0180D1B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результате разделения завода «Авиаприбор» часть завода, оставшаяся в Грузинах, получила название «Тизприбор» (ГС завод № 230 НКОП, НКАП, МАП, Завод «Тизприбор» НКТП, НКОП, А-146, А-1902, ГУАП, ОАО «Казанский завод «Электроприбор» /г. Москва Электрический пер., 1 (1940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Казань поле Ершова, 20 (1947 г.)/ /Татарстан 420045</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Казань ул. Н. Ершова, 20 тел. 72-40-01/). В 12.1936 г. «Тизприбор» передан из ВОТИ НКТП в ведение НКОП и по пр. № 024 от 4.02.1937 г. завод «Тизприбор» переименован в завод № 230. В соответствии с пост. СНК № 2139-425сс от 21.12.1936 г. и пр. № 59 от 14.02.1937 г. завод № 230 передан в ведение ЮГУ НКОП, приказом № 90 от 13.03.1937 г. утвержден Устав завода, в 12.1938 г. - в ведении 10ГУ.</w:t>
      </w:r>
    </w:p>
    <w:p w14:paraId="22179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0092 от 27.04.1937 г. предписано в 1937 г. ввести в эксплуатацию корпуса «А» и «В», закончить реконструкцию завода. По пр. № 0268 от 16.12.1937 г. требовалось организовать к 1.04.1938 г. цех сильфонов мощностью 300-400 тыс. шт. в год, доведя выпуск в 1938 г. до 100 тыс. шт.; изготовить для нового цеха 12 станков.</w:t>
      </w:r>
    </w:p>
    <w:p w14:paraId="7EE8E3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теплоизмерительным приборам. По пр. № 00144 от 29.06.1937 г. на завод из КБ-21 передана разработка приборов автоматики прямоточных котлов. В 1938 г. налажено производство авиационных электроизмерительных приборов: гальванометров, электротахометров, автоматов курса, манометров; по пр. № 164сс от 14.05.1938 г. необходимо было организовать производство электрических аэротермометров. Мощности по теплоизмерительным приборам планировалось в середине 1941 г. перевести в другое место.</w:t>
      </w:r>
    </w:p>
    <w:p w14:paraId="476EBD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 г. при заводе № 230 создано ОКБ-230 по авиационному приборостроению.</w:t>
      </w:r>
    </w:p>
    <w:p w14:paraId="7E6EFE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начала войны было приято решение об организации дублера завода № 230. Для этого по приказу № 894сс от 22.08.1941 г. завод № 230 5ГУ НКАП эвакуирован (сначала 30% мощностей и персонала) в Казань на площади ветеринарного института и ветеринарного техникума. Планировалось сюда же полностью эвакуировать завод № 278 НКАП из Ленинграда, но это не было выполнено. По приказу № 1050сс от 8.10.1941 г. оставшаяся часть завода № 230 также эвакуирована в Казань. Продолжено производство тахометров, термометров.</w:t>
      </w:r>
    </w:p>
    <w:p w14:paraId="033947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Москве на старом месте в конце 1941 г. действовал филиал завода № 230. Затем по приказу № 63с от 25.01.1942 г. началось формирование Ремонтных мастерских по приборам при 5ГУ НКАП, а позже был образован новый приборостроительный завод № 339 НКАП.</w:t>
      </w:r>
    </w:p>
    <w:p w14:paraId="476A12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4B5A78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СМ СССР № 713-342 от 26.06.1957 г. передан из МАП в ведение СНХ РСФСР.</w:t>
      </w:r>
    </w:p>
    <w:p w14:paraId="68D9ED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1957 г. на заводе № 230 МАП действовал филиал ОКБ-12 МАП.</w:t>
      </w:r>
    </w:p>
    <w:p w14:paraId="0B6DA05C" w14:textId="0295062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освоен выпуск автопилотов, указателей летчика. С конца 1960-х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 систем противопожарной сигнализации, регуляторов температуры, демпферов колебания самолета. Разрабатывал и производил первичные преобразователи (термоэлектрические и терморезистивные датчики, датчики частоты вращения), магнитоэлектрические и магнитоиндукционные индикаторы.</w:t>
      </w:r>
    </w:p>
    <w:p w14:paraId="07ADB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Предприятие имело наименование «п/я А-1902» (по другой информации это наименование Казанского завода «Радиоприбор»).</w:t>
      </w:r>
    </w:p>
    <w:p w14:paraId="2DC46E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(2002 г.): САУ самолетами, системы электронной индикации параметров полета, системы и датчики регулирования, преобразования и измерения температуры и оборотов двигателя; системы и датчики пожарной сигнализации, термопары, гироскопические изделия; автокомплектующие.</w:t>
      </w:r>
    </w:p>
    <w:p w14:paraId="63D23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12D8A8B9" w14:textId="55D0A09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И.О. директора (12.1937 г.)- Логинов. Директор (-02-11.04.1938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Г.И. Иванов (снят), (19.06.1938-03.1940 г.)- П.А. Пушкин, (03.1940-41 г.-)- Романов, (1943-45 г.)- А.Н. Соколовский. Гендиректор (1990-е-2005 г.-&gt;</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Г.В. Дивавин.</w:t>
      </w:r>
    </w:p>
    <w:p w14:paraId="1CCD7B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по экономике (2002 г.)- В.И. Древке.</w:t>
      </w:r>
    </w:p>
    <w:p w14:paraId="121342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(17.12.1938 г.-)- Б.О. Волков, (1940 г.)- Воробьев.</w:t>
      </w:r>
    </w:p>
    <w:p w14:paraId="07FCA8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отдела по ВЭС (2002 г.)- В.И. Древке.</w:t>
      </w:r>
      <w:r w:rsidRPr="00E93F40">
        <w:rPr>
          <w:rFonts w:ascii="Times New Roman" w:hAnsi="Times New Roman"/>
          <w:color w:val="000000" w:themeColor="text1"/>
          <w:sz w:val="16"/>
          <w:szCs w:val="16"/>
          <w:vertAlign w:val="superscript"/>
        </w:rPr>
        <w:t>69</w:t>
      </w:r>
    </w:p>
    <w:p w14:paraId="02E7FE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отдела: снабжения (-07.1938 г.)- И.Я. Кулль.</w:t>
      </w:r>
    </w:p>
    <w:p w14:paraId="1912E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интегратор № 170 (1938); двигатели Варрена СД-2, -60 (1946), кран-переключатель КП-3, -6 (1946); тахометры, термометры (1946); автопилоты: АП-15 (1954-), АП-39 (1960); САУ для МиГ-23 (1970-е), МиГ-27 (1980-е), вертолета «Ансат» (2000-е); агрегаты и системы прицельно-навигационного, радиосвязного оборудования, ПОС для Су-27, Су-30 (2003); вычислитель траекторного управления для Ми-172 (2000-е); гиростабилизированная платформа для РН «Союз», «Прогресс» (1960-е-90-е); гиростабилизатор системы телевизионного наведения УРВП; преобразователи ТСМ, ТСП, ТХА, ТХК для измерения температуры жидкостей, газов, твердых и сыпучих продуктов.</w:t>
      </w:r>
      <w:r w:rsidRPr="00E93F40">
        <w:rPr>
          <w:rFonts w:ascii="Times New Roman" w:hAnsi="Times New Roman"/>
          <w:color w:val="000000" w:themeColor="text1"/>
          <w:sz w:val="16"/>
          <w:szCs w:val="16"/>
          <w:vertAlign w:val="superscript"/>
        </w:rPr>
        <w:t>69</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vertAlign w:val="superscript"/>
        </w:rPr>
        <w:t>101</w:t>
      </w:r>
    </w:p>
    <w:p w14:paraId="05265322" w14:textId="2B13382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 завода № 230 НКАП, (ЖБ-230 НКАП /г. Москва;</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Казань/</w:t>
      </w:r>
    </w:p>
    <w:p w14:paraId="2A500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 образовано при заводе в 1935(7) г. для работ по авиационным приборам.</w:t>
      </w:r>
    </w:p>
    <w:p w14:paraId="5A9064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1941-44 г. работало в Казани вместе с заводом. Создан ряд стрелочных приборов, расходомеров.</w:t>
      </w:r>
    </w:p>
    <w:p w14:paraId="707611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641с от 5.11.1944 г. ОКБ-230 5ГУ НКАП переведено на площадку завода № 149 ОКБ и влито в состав ОКБ-149 НКАП.</w:t>
      </w:r>
    </w:p>
    <w:p w14:paraId="7C9245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Руководитель- Любарский.</w:t>
      </w:r>
    </w:p>
    <w:p w14:paraId="1282917B" w14:textId="177E256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ФГУП «Казанское Приборостроительное КБ» (КПКБ) /Татарстан 420061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Казань Сибирский тракт, 1 тел. 72-62-63/</w:t>
      </w:r>
    </w:p>
    <w:p w14:paraId="3613E7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(2004 г.): разработка и производство продукции для авиакосмической промышленности (датчиков: температуры термоэлектрических и резистивных; частоты вращения магнитоиндукционных приводных и бесприводных; крутящего момента магнитоиндукционных бесприводных; регуляторов температуры остекления; вторичной аппаратуры контроля, 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349700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2005 г. входило в состав НПЦ «Технокомплекс».</w:t>
      </w:r>
    </w:p>
    <w:p w14:paraId="1FEED6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(2002 г.)- И.Е. Ефимов.</w:t>
      </w:r>
      <w:r w:rsidRPr="00E93F40">
        <w:rPr>
          <w:rFonts w:ascii="Times New Roman" w:hAnsi="Times New Roman"/>
          <w:color w:val="000000" w:themeColor="text1"/>
          <w:sz w:val="16"/>
          <w:szCs w:val="16"/>
          <w:vertAlign w:val="superscript"/>
        </w:rPr>
        <w:t>69</w:t>
      </w:r>
      <w:r w:rsidRPr="00E93F40">
        <w:rPr>
          <w:rFonts w:ascii="Times New Roman" w:hAnsi="Times New Roman"/>
          <w:color w:val="000000" w:themeColor="text1"/>
          <w:sz w:val="16"/>
          <w:szCs w:val="16"/>
        </w:rPr>
        <w:t xml:space="preserve"> Директор (-2004-06 г.-)- И.Е. Ефимов.</w:t>
      </w:r>
    </w:p>
    <w:p w14:paraId="28979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1-й зам. директора (-2004-06 г.-)- В.Ф. Сучинский. Зам. начальника: по производству (2002 г.)- В.Ф. Сучинский; по науке (2002 г.)- Е.И. Сенин.</w:t>
      </w:r>
    </w:p>
    <w:p w14:paraId="5987243F" w14:textId="3017173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ЗАО «ЭКА» /Татарстан 420094</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Казань ул. Чуйкова, 2Б тел. 56-06-12/</w:t>
      </w:r>
    </w:p>
    <w:p w14:paraId="30867C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Учреждено 3.08.1995 г. Казанским заводом «Электроприбор» и французской фирмой </w:t>
      </w:r>
      <w:r w:rsidRPr="00E93F40">
        <w:rPr>
          <w:rFonts w:ascii="Times New Roman" w:hAnsi="Times New Roman"/>
          <w:color w:val="000000" w:themeColor="text1"/>
          <w:sz w:val="16"/>
          <w:szCs w:val="16"/>
          <w:lang w:val="en-US"/>
        </w:rPr>
        <w:t>Auxitrol</w:t>
      </w:r>
      <w:r w:rsidRPr="00E93F40">
        <w:rPr>
          <w:rFonts w:ascii="Times New Roman" w:hAnsi="Times New Roman"/>
          <w:color w:val="000000" w:themeColor="text1"/>
          <w:sz w:val="16"/>
          <w:szCs w:val="16"/>
        </w:rPr>
        <w:t>.</w:t>
      </w:r>
    </w:p>
    <w:p w14:paraId="3250C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Разработка и производство (2002 г.): авиационные датчики температуры, давления, частоты вращения.</w:t>
      </w:r>
    </w:p>
    <w:p w14:paraId="5F95FA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(2002 г.)-12 чел.</w:t>
      </w:r>
    </w:p>
    <w:p w14:paraId="17AAE4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(2002 г.)- Е.А. Жадобов.</w:t>
      </w:r>
    </w:p>
    <w:p w14:paraId="120D6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(2002 г.)- Л.И. Лившиц (11982).</w:t>
      </w:r>
    </w:p>
    <w:p w14:paraId="27EE6F9F"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013CE4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велись работы по созданию подвижных пулеметных установок. Они должны были наводиться с "центрального поста управления" в задней кабине. Над проектом "Гром" грудились специалисты ЦАГИ и ЛЭФИ. Но годом позже их прекратили, не добившись существенного прогресса (12034).</w:t>
      </w:r>
    </w:p>
    <w:p w14:paraId="182275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06425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руководить ГДЛ назначили военинженера 1 ранга И.Т.Клейменова, который затем возглавил объединенные в Ракетный НИИ научные коллективы. Тот факт, что И.Т.Клейменов был выпускни</w:t>
      </w:r>
      <w:r w:rsidRPr="00E93F40">
        <w:rPr>
          <w:rFonts w:ascii="Times New Roman" w:hAnsi="Times New Roman"/>
          <w:color w:val="000000" w:themeColor="text1"/>
          <w:sz w:val="16"/>
          <w:szCs w:val="16"/>
        </w:rPr>
        <w:softHyphen/>
        <w:t>ком Военно-воздушной академии имени профессора Н.Е.Жуковского, в некоторых публикациях связывают с доминированием в РНИИ НКТП работ над ракетными снарядами в интересах ВВС. Однако знакомство с тематическими планами института категорически опровергает это. В середине 30-х годов доля разработок ракетного оружия для боевой авиации на фоне заказов ВОХИМУ, АУ РККА и УМС РККФ была не</w:t>
      </w:r>
      <w:r w:rsidRPr="00E93F40">
        <w:rPr>
          <w:rFonts w:ascii="Times New Roman" w:hAnsi="Times New Roman"/>
          <w:color w:val="000000" w:themeColor="text1"/>
          <w:sz w:val="16"/>
          <w:szCs w:val="16"/>
        </w:rPr>
        <w:softHyphen/>
        <w:t>значительной. Более подробно об этом речь пойдет в шестой главе (11402).</w:t>
      </w:r>
    </w:p>
    <w:p w14:paraId="742C5EE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40E0C9"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 1932 г. под руководством В.П. Глушко по заданию ВВС была начата разработка экспе риментальной установки ЖРД для истребителя И-4 (АНТ-5) с поршневым двигателем с целью улучшения основных летно технических данных истребителя, прежде всего, увеличения его скорости и скороподъемности в воздушном бою. Два ЖРД Ускорителя типа ОРМ-52, по одному с каждой стороны фюзеляжа, предполагалось установить на нижнем крыле истребителя И-4. Двигатель ОРМ-52 с турбонасосной системой подачи ком понентов топлива из азотной кислоты и керосина рассчитывал ся на тягу 300 кгс. Запаса топлива и окислителя на самолете должно было хватить для работы двух ОРМ-52 в течение 60 с.</w:t>
      </w:r>
    </w:p>
    <w:p w14:paraId="04FC7363"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Официальные стендовые испытания ОРМ-52 состоялись в 1933 г., однако большая загрузка коллектива В.П. Глушко другими важными темами (ракетами серии РЛА, морской тор педой) не позволила завершить работы по установке этого дви гателя на самолет.</w:t>
      </w:r>
    </w:p>
    <w:p w14:paraId="63E353CF"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Технические условия на оборудование самолета И-4 реак тивным двигателем представлялись в то время в таком виде:</w:t>
      </w:r>
    </w:p>
    <w:p w14:paraId="23132AE8"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«По указанию ВВС РККА в план работ 2 отдела ГДЛ на 1933 г.</w:t>
      </w:r>
    </w:p>
    <w:p w14:paraId="3161BFAD"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включена установка на самолете И-4, как добавочное средство к винтомоторной группе. Предложено установить на подкрыл ках И-4 двух реактивных моторов — по одному с каждой сто роны фюзеляжа. Каждый мотор должен развивать тяговое уси лие в 300 кг, что дает суммарное усилие в 600 кг. Запаса жид кого топлива (АК + керосин) в количестве 120 кг должно хватить для работы обоих моторов в течение одной минуты.</w:t>
      </w:r>
    </w:p>
    <w:p w14:paraId="0E032EEF"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1. Вся установка в целом является экспериментальной и слу жащей для выяснения возможностей и рентабельности примене ния реактивного мотора для самолета специального назначения.</w:t>
      </w:r>
    </w:p>
    <w:p w14:paraId="2B2C4D8F"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2. Мощность реактивного мотора должна быть достаточной для увеличения полетной скорости самолета до 500 км/ч.</w:t>
      </w:r>
    </w:p>
    <w:p w14:paraId="5DA82C68"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3. Реактивный мотор должен иметь суммарную длитель ность действия не менее одной минуты.</w:t>
      </w:r>
    </w:p>
    <w:p w14:paraId="17BC7A3C"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4. Пуск реактивного мотора в действие должен произво диться с места пилота, быть безотказным и обеспечивающим повторное действие мотора в полете.</w:t>
      </w:r>
    </w:p>
    <w:p w14:paraId="34AA0B37" w14:textId="77777777" w:rsidR="00961727" w:rsidRPr="00E93F40" w:rsidRDefault="00961727" w:rsidP="00E93F40">
      <w:pPr>
        <w:pStyle w:val="ae"/>
        <w:shd w:val="clear" w:color="auto" w:fill="FFFFFF"/>
        <w:spacing w:before="0" w:after="0"/>
        <w:jc w:val="both"/>
        <w:rPr>
          <w:color w:val="000000" w:themeColor="text1"/>
          <w:sz w:val="16"/>
          <w:szCs w:val="16"/>
        </w:rPr>
      </w:pPr>
      <w:r w:rsidRPr="00E93F40">
        <w:rPr>
          <w:color w:val="000000" w:themeColor="text1"/>
          <w:sz w:val="16"/>
          <w:szCs w:val="16"/>
        </w:rPr>
        <w:t>5. Реактивный мотор и его агрегаты так должны быть раз мещены на самолете, чтобы не мешать управлению самолетом и основным мотором стрельбе из пулемета и существенно не нарушать летных качеств самолета» (19586).</w:t>
      </w:r>
    </w:p>
    <w:p w14:paraId="7A7D1864" w14:textId="77777777" w:rsidR="00961727" w:rsidRPr="00E93F40" w:rsidRDefault="00961727" w:rsidP="00E93F40">
      <w:pPr>
        <w:pStyle w:val="ae"/>
        <w:shd w:val="clear" w:color="auto" w:fill="FFFFFF"/>
        <w:spacing w:before="0" w:after="0"/>
        <w:jc w:val="both"/>
        <w:rPr>
          <w:color w:val="000000" w:themeColor="text1"/>
          <w:sz w:val="16"/>
          <w:szCs w:val="16"/>
        </w:rPr>
      </w:pPr>
    </w:p>
    <w:p w14:paraId="2C1DA5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из группы, перешедшей из ИАМ, была создана Бригада № 1 ГИРД, КБ-7 РНИИ. В 1935г. на базе бригады № 1 создано КБ-7 РНИИ. Работы по жидкостным баллистическим ракетам. В 1936г. создан первый отечественный ЖРД на азотной кислоте.</w:t>
      </w:r>
    </w:p>
    <w:p w14:paraId="085931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60CE31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(1932-28.03.1933г.)- Ф.А. Цандер, (1933-35г.-)- Л.К. Корнеев.</w:t>
      </w:r>
    </w:p>
    <w:p w14:paraId="615A82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(08.1935г.-)- А.И. Полярный.</w:t>
      </w:r>
    </w:p>
    <w:p w14:paraId="68581A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лабораторий: керамической (1937г.)- М.Ю. Голлендер.</w:t>
      </w:r>
    </w:p>
    <w:p w14:paraId="17037D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групп: аэродинамики- П.И. Иванов; конструкторской- Э.П. Шептицкий.</w:t>
      </w:r>
    </w:p>
    <w:p w14:paraId="7BED4C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Создано: двигатели: ОР-2 (1933), порохо-жидкостные М-17, М-29е для Р-05; ракеты: ГИРД-Х (1933), КПД-1 (1934), Р-03, Р-05, -06 (1936), -07, -10 (1939), АНИР-5, ЭНИР-7 (11982).</w:t>
      </w:r>
    </w:p>
    <w:p w14:paraId="59ACE86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5C9C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для запуска РС обоих калибров Е.С. Петров в НИИ-3 НКТП разработал пусковые установки бугельного типа с направляю</w:t>
      </w:r>
      <w:r w:rsidRPr="00E93F40">
        <w:rPr>
          <w:rFonts w:ascii="Times New Roman" w:hAnsi="Times New Roman"/>
          <w:color w:val="000000" w:themeColor="text1"/>
          <w:sz w:val="16"/>
          <w:szCs w:val="16"/>
        </w:rPr>
        <w:softHyphen/>
        <w:t>щими планками длиной 1-2 м. Концептуально они представляли собой дальнейшее развитие пусковых трубчатого типа с направляющими план</w:t>
      </w:r>
      <w:r w:rsidRPr="00E93F40">
        <w:rPr>
          <w:rFonts w:ascii="Times New Roman" w:hAnsi="Times New Roman"/>
          <w:color w:val="000000" w:themeColor="text1"/>
          <w:sz w:val="16"/>
          <w:szCs w:val="16"/>
        </w:rPr>
        <w:softHyphen/>
        <w:t>ками, но разрезанные вдоль для свободного пропуска выступающего оперения. Схематично это были скрепленные бугелями две П-образные на</w:t>
      </w:r>
      <w:r w:rsidRPr="00E93F40">
        <w:rPr>
          <w:rFonts w:ascii="Times New Roman" w:hAnsi="Times New Roman"/>
          <w:color w:val="000000" w:themeColor="text1"/>
          <w:sz w:val="16"/>
          <w:szCs w:val="16"/>
        </w:rPr>
        <w:softHyphen/>
        <w:t>правляющие с прямыми пазами, по которым скользил РС, упираясь в них четырьмя ведущими штифтами. Такие пусковые, установленные на орудийных лафетах, довольно продолжительное время использовались в качестве стендов для наземного отстрела ракетных снарядов. В то же время, ПУ, сблокированными по 3-4 штуки в устройства батарейного типа, планировали вооружать самолеты. Как ни странно, в калибре 82 мм их называли пусковыми агрегатами, а в калибре 132 и 203 мм (по</w:t>
      </w:r>
      <w:r w:rsidRPr="00E93F40">
        <w:rPr>
          <w:rFonts w:ascii="Times New Roman" w:hAnsi="Times New Roman"/>
          <w:color w:val="000000" w:themeColor="text1"/>
          <w:sz w:val="16"/>
          <w:szCs w:val="16"/>
        </w:rPr>
        <w:softHyphen/>
        <w:t>чему-то) - пусковыми станками. Для удержания РС в направляющих, на корпусе двигателя боеприпасов монтировали с противоположных сторон на переднем и заднем центрирующих утолщениях бронзовые прямые штифты.</w:t>
      </w:r>
    </w:p>
    <w:p w14:paraId="50E10FC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Класс пусковых бугельного типа в авиации развивали довольно широко. На их основе уже в 1935 г. разработали широкую номенклатуру установок:</w:t>
      </w:r>
    </w:p>
    <w:p w14:paraId="6526B7B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подвесные стационарные пакеты направляющих;</w:t>
      </w:r>
    </w:p>
    <w:p w14:paraId="19635F7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подвесные сбрасываемые пакеты и однозарядные орудия;</w:t>
      </w:r>
    </w:p>
    <w:p w14:paraId="1453477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выдвижные из фюзеляжа однозарядные орудия.</w:t>
      </w:r>
    </w:p>
    <w:p w14:paraId="59E90F7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Ракетные орудия первой группы использовали на истребителях И-5 для стрельбы снарядами РС-82 в 1935 г. Это были трехзарядные идентичные пусковые станки, размешенные по одному под правой и левой консолями нижнего крыла. Поперечный силовой набор этих ПУ с целью снижения массы отливали из алюминиевых сплавов. Для продольного использовали дюралевые трубы, а полозья направляющих изготавливали из профиля сложной конфигурации, также выполненного из дюраля.</w:t>
      </w:r>
    </w:p>
    <w:p w14:paraId="5D026E3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Такое сочетание конструкционных материалов и схемы изделия, не-(возможно признать весьма удачным. Дело в том, что конструкция орудия прямоугольной схемы не имела ни одного треугольного элемента жесткости. Таким образом, при продолжительном ведении огня из одного крайнего «ствола» после нескольких циклов заряжания и выстрела, подобно параллелограмму, деформировалась вся установка. В итоге расстояние между противоположными полозьями направляющих уменьшалось, что обслуживающий персонал ощущать как заклинивание снаряда при его заряжании. Как бы там ни было, но такие пусковые станки достойны более пристального внимания, ибо в дальнейшем они поступили на вооружение ВВС РККА.</w:t>
      </w:r>
    </w:p>
    <w:p w14:paraId="414C149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Для фиксации заряженных в орудие снарядов, на направляющих станка предусмотрели подпружиненные стопоры, удерживающие боеприпас за два задних ведущих штифта. «Благодаря» деревянной конструкции самолета, схему воспламенения пришлось организован, двух</w:t>
      </w:r>
      <w:r w:rsidRPr="00E93F40">
        <w:rPr>
          <w:rFonts w:ascii="Times New Roman" w:hAnsi="Times New Roman"/>
          <w:color w:val="000000" w:themeColor="text1"/>
          <w:sz w:val="16"/>
          <w:szCs w:val="16"/>
        </w:rPr>
        <w:softHyphen/>
        <w:t>проводной. То есть, металлическую раму орудия подключили к одному полюсу аккумулятора, а возле каждого снаряда на изолированной пластине был выведен второй контакт в виде винта с барашковой гайкой Пиропатроны ПП-1 помешали в держатель с двумя припаянными проводниками, один из которых присоединяли к общему контакту орудия а второй — к индивидуальному.</w:t>
      </w:r>
    </w:p>
    <w:p w14:paraId="1EBEDD6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заряжании орудия снаряд подносили к переднему срезу «ствола» и помещали в пазы направляющих заднюю пару ведущих штифтов. За</w:t>
      </w:r>
      <w:r w:rsidRPr="00E93F40">
        <w:rPr>
          <w:rFonts w:ascii="Times New Roman" w:hAnsi="Times New Roman"/>
          <w:color w:val="000000" w:themeColor="text1"/>
          <w:sz w:val="16"/>
          <w:szCs w:val="16"/>
        </w:rPr>
        <w:softHyphen/>
        <w:t>тем, продвигая боеприпас назад, вводили в пазы и переднюю пару штифтов. С незначительным усилием руки РС-82 загоняли в стопоры, затем вставляли в гнездо тарели держатель с пиропатроном и пристегивали бо</w:t>
      </w:r>
      <w:r w:rsidRPr="00E93F40">
        <w:rPr>
          <w:rFonts w:ascii="Times New Roman" w:hAnsi="Times New Roman"/>
          <w:color w:val="000000" w:themeColor="text1"/>
          <w:sz w:val="16"/>
          <w:szCs w:val="16"/>
        </w:rPr>
        <w:softHyphen/>
        <w:t>евую чеку дистанционной трубки АГДТ к карабину с тросом на корпусе орудия. Крыльчатку взрывателя фиксировали вилкой, подобной приме</w:t>
      </w:r>
      <w:r w:rsidRPr="00E93F40">
        <w:rPr>
          <w:rFonts w:ascii="Times New Roman" w:hAnsi="Times New Roman"/>
          <w:color w:val="000000" w:themeColor="text1"/>
          <w:sz w:val="16"/>
          <w:szCs w:val="16"/>
        </w:rPr>
        <w:softHyphen/>
        <w:t>няемой на балочных бомбодержателях, чтобы до момента старта снаряда она не вращалась в набегающем потоке воздуха (11402).</w:t>
      </w:r>
    </w:p>
    <w:p w14:paraId="1B410F5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F547C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адаптированные к авиации, трубки АГДТ лишились своего контактного действия. На первый взгляд, при бомбометании оно не было нужным, и лишь усложняло конструк</w:t>
      </w:r>
      <w:r w:rsidRPr="00E93F40">
        <w:rPr>
          <w:rFonts w:ascii="Times New Roman" w:hAnsi="Times New Roman"/>
          <w:color w:val="000000" w:themeColor="text1"/>
          <w:sz w:val="16"/>
          <w:szCs w:val="16"/>
        </w:rPr>
        <w:softHyphen/>
        <w:t>цию изделия из 40 деталей в ущерб его надежности и себестоимости. Од</w:t>
      </w:r>
      <w:r w:rsidRPr="00E93F40">
        <w:rPr>
          <w:rFonts w:ascii="Times New Roman" w:hAnsi="Times New Roman"/>
          <w:color w:val="000000" w:themeColor="text1"/>
          <w:sz w:val="16"/>
          <w:szCs w:val="16"/>
        </w:rPr>
        <w:softHyphen/>
        <w:t>нако уже в 1936 г. от военинженера 3 ранга (реже упоминается как капи</w:t>
      </w:r>
      <w:r w:rsidRPr="00E93F40">
        <w:rPr>
          <w:rFonts w:ascii="Times New Roman" w:hAnsi="Times New Roman"/>
          <w:color w:val="000000" w:themeColor="text1"/>
          <w:sz w:val="16"/>
          <w:szCs w:val="16"/>
        </w:rPr>
        <w:softHyphen/>
        <w:t>тан) Б.А.Могилевского в отдел изобретений ВВС РККА поступило рац</w:t>
      </w:r>
      <w:r w:rsidRPr="00E93F40">
        <w:rPr>
          <w:rFonts w:ascii="Times New Roman" w:hAnsi="Times New Roman"/>
          <w:color w:val="000000" w:themeColor="text1"/>
          <w:sz w:val="16"/>
          <w:szCs w:val="16"/>
        </w:rPr>
        <w:softHyphen/>
        <w:t>предложение «Авиационная дистанционная трубка двойного действия АТМ». В его обосновании автор убедительно подчеркивал: «АГДТ мак</w:t>
      </w:r>
      <w:r w:rsidRPr="00E93F40">
        <w:rPr>
          <w:rFonts w:ascii="Times New Roman" w:hAnsi="Times New Roman"/>
          <w:color w:val="000000" w:themeColor="text1"/>
          <w:sz w:val="16"/>
          <w:szCs w:val="16"/>
        </w:rPr>
        <w:softHyphen/>
        <w:t>симально позволяет бомбить с высоты не более 2500 м. При попадании в самолет бомба с АГДТ не взорвется, а прошьет его насквозь. Его (име</w:t>
      </w:r>
      <w:r w:rsidRPr="00E93F40">
        <w:rPr>
          <w:rFonts w:ascii="Times New Roman" w:hAnsi="Times New Roman"/>
          <w:color w:val="000000" w:themeColor="text1"/>
          <w:sz w:val="16"/>
          <w:szCs w:val="16"/>
        </w:rPr>
        <w:softHyphen/>
        <w:t>ется в виду взрыватель для «противосамолетного бомбометания».) применение в осколочных авиабомбах с ошибкой по усгавке подорвет ее под землей». Подобные проблемы не были чужды и конструкторам ра</w:t>
      </w:r>
      <w:r w:rsidRPr="00E93F40">
        <w:rPr>
          <w:rFonts w:ascii="Times New Roman" w:hAnsi="Times New Roman"/>
          <w:color w:val="000000" w:themeColor="text1"/>
          <w:sz w:val="16"/>
          <w:szCs w:val="16"/>
        </w:rPr>
        <w:softHyphen/>
        <w:t>кетных снарядов.</w:t>
      </w:r>
    </w:p>
    <w:p w14:paraId="41D078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Молодому изобретателю создали условия для работы, прикоманди</w:t>
      </w:r>
      <w:r w:rsidRPr="00E93F40">
        <w:rPr>
          <w:rFonts w:ascii="Times New Roman" w:hAnsi="Times New Roman"/>
          <w:color w:val="000000" w:themeColor="text1"/>
          <w:sz w:val="16"/>
          <w:szCs w:val="16"/>
        </w:rPr>
        <w:softHyphen/>
        <w:t>ровав его на длительное время к ЦКБ-22, где разрабатывали авиацион</w:t>
      </w:r>
      <w:r w:rsidRPr="00E93F40">
        <w:rPr>
          <w:rFonts w:ascii="Times New Roman" w:hAnsi="Times New Roman"/>
          <w:color w:val="000000" w:themeColor="text1"/>
          <w:sz w:val="16"/>
          <w:szCs w:val="16"/>
        </w:rPr>
        <w:softHyphen/>
        <w:t xml:space="preserve">ные взрыватели. К июню 1938 г. опытную партию АТМ (авиационная трубка Могилевского) двойного действия, изготовленную на заводе № 42, отправили на НИПАВ ВВС РККА для </w:t>
      </w:r>
      <w:r w:rsidRPr="00E93F40">
        <w:rPr>
          <w:rFonts w:ascii="Times New Roman" w:hAnsi="Times New Roman"/>
          <w:color w:val="000000" w:themeColor="text1"/>
          <w:sz w:val="16"/>
          <w:szCs w:val="16"/>
        </w:rPr>
        <w:lastRenderedPageBreak/>
        <w:t>испытаний. Среди них бы</w:t>
      </w:r>
      <w:r w:rsidRPr="00E93F40">
        <w:rPr>
          <w:rFonts w:ascii="Times New Roman" w:hAnsi="Times New Roman"/>
          <w:color w:val="000000" w:themeColor="text1"/>
          <w:sz w:val="16"/>
          <w:szCs w:val="16"/>
        </w:rPr>
        <w:softHyphen/>
        <w:t>ли АТМ для РС (с усами) в количестве 42 штук и 40 штук для авиабомб. Последние, имея пиротехническое замедление на 32 с, позволяли бом</w:t>
      </w:r>
      <w:r w:rsidRPr="00E93F40">
        <w:rPr>
          <w:rFonts w:ascii="Times New Roman" w:hAnsi="Times New Roman"/>
          <w:color w:val="000000" w:themeColor="text1"/>
          <w:sz w:val="16"/>
          <w:szCs w:val="16"/>
        </w:rPr>
        <w:softHyphen/>
        <w:t>бить с высоты 5000 м. Оригинальность их конструкции состояла в ис</w:t>
      </w:r>
      <w:r w:rsidRPr="00E93F40">
        <w:rPr>
          <w:rFonts w:ascii="Times New Roman" w:hAnsi="Times New Roman"/>
          <w:color w:val="000000" w:themeColor="text1"/>
          <w:sz w:val="16"/>
          <w:szCs w:val="16"/>
        </w:rPr>
        <w:softHyphen/>
        <w:t>пользовании ударника дистанционного механизма в качестве жесткого предохранителя к ударнику ударной части трубки, а хвостовая часть и резьба были выполнены как у «авиабомбового» взрывателя АГМ - 1.</w:t>
      </w:r>
    </w:p>
    <w:p w14:paraId="75A0894E"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Актуальность взрывателей двойного действия для РС отмечалась и в отчете по войсковым испытаниям РС-132 в 1938 г. «Наличие трубки двойного действия позволит исключить взрыватели двух комплектов (контактные и неконтактные), а также увеличит секретность ракетных снарядов для противника (при несрабатывании на дистанции, она подорвет РС при падении)» (11402).</w:t>
      </w:r>
    </w:p>
    <w:p w14:paraId="2AC05F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1A06F5" w14:textId="77777777" w:rsidR="00C25A9F" w:rsidRPr="00E93F40" w:rsidRDefault="00C25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4-й отдел завода был преобразован в научно-исследовательский и получил название НИО завода № 67. Первой задачей, которую решали сотрудники 4-го отдела при его организации, была экспериментальная отработка фугасных авиабомб, спроектированных еще в Институте ВВС. Однако молодому коллективу хотелось попробовать свои силы и в создании принципиально новых конструкций. В этот период М. Н. Тверской создает фугасную бомбу ФАБ-100 с разгонным реактивным двигателем. Конструкция бомбы оказалась неудачной, и работа над нею была прекращена. М. Н. Тверской вскоре перешел на работу в Реактивный институт (РНИИ), но как первый опыт эта бомба представляла, безусловно, интерес. Одновременно делаются попытки спроектировать первые светящие, фотоосвети- тельные бомбы, мостовые бомбы для поражения крупных мостов, прорабатывается возможность поражения самолетом нижелетящего самолета противника с помощью бомбы, снабженной акустическим взрывателем. Правда, для этого атакующий самолет должен был следовать строго над самолетом противника тем же курсом, что само по себе сложно. Каждое из направлений деятельности требовало серьезной проработки, а квалифицированных специалистов не хватало. Нужно было готовить своих специалистов. И вот в 1932 году по направлению завода группа токарей и слесарей была направлена на вечернее отделение Артиллерийской академии им. Дзержинского. Многие из них – С. П. Стрелков, Б. М. Ульянов, Ф. И. Сидоров и другие – со временем стали видными специалистами в различных областях разработки боеприпасов.</w:t>
      </w:r>
    </w:p>
    <w:p w14:paraId="4E89B27B" w14:textId="77777777" w:rsidR="00C25A9F" w:rsidRPr="00E93F40" w:rsidRDefault="00C25A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Отдел укрепили кадрами. Сюда пришла группа инженеров – выпускников военных академий и институтов – А. И. Зверев, Ф. В. Козлов, В. А. Преображенский, В. М. Виноградов и др. Это позволило выделить в самостоятельные сектора новые технические направления. Были созданы сектора специальных бомб различного назначения, в том числе зажигательных, осветительных и других бомб подобного типа: приборный сектор – по разработке различного рода регистрирующей аппаратуры, технологический сектор – для оказания помощи опытному производству и разработки технологических процессов для серийных заводов, снаряжательный – для создания новых рецептур снаряжения. Специалисты новых секторов могли теперь начать углубленную проработку своих направлений. Новые задачи появились и у сектора фугасных бомб. Экспериментальная отработка первых фугасных авиабомб была к этому времени в основном закончена, и вскоре они были приняты на вооружение как модели 1932 года – М-32. Были разработаны конструкции фугасных бомб, отличавшиеся от ранее созданных технологией изготовления – литые из сталистого чугуна, цельнокованые из труб. Это значительно упрощало технологию их изготовления и расширяло возможности производства, тем более что по эффективности новые бомбы не уступали сварным. Сектор занимался переделкой под фугасные бомбы мин и артиллерийских снарядов. Одной из первых таких работ была переделка еще в 1931 году в фугасную бомбу мин Батиньоля. В годы Первой мировой войны они были закуплены царским правительством во Франции. Запасы их имелись на складах в большом количестве. После приварки к корпусу мин бомбового стабилизатора получались ФАБ-70М или ФАБ-70М2. Переделке были также подвергнуты устаревшие артиллерийские снаряды, из которых были созданы пятидесятикилограммовые ФАБ-50 восьми модификаций. Переделка морского бронебойного 280-мм артиллерийского снаряда позволила быстро создать бронебойную бомбу БРАБ-220, так как БРАБы калибра 500 и 1000 кг конструкции Ленинградского Остехбюро под руководством В. И. Бекаури никак не удавалось отработать ввиду выявившейся сложности отливки головных частей. Артиллерийские снаряды переделывались также и в осколочные бомбы. Устаревшие английские, французские, различного типа русские 76 -мм снаряды, хранившиеся на складах со времени Первой мировой войны, были переделаны в восьмикилограммовые бомбы АО-8М шести модификаций. В результате переделки 107-122 -мм снарядов были разработаны осколочно- фугасные бомбы АО-20М трех модификаций, хотя более правильно их следовало бы назвать фугасно-осколочными (15794).</w:t>
      </w:r>
    </w:p>
    <w:p w14:paraId="1390EB7B" w14:textId="77777777" w:rsidR="00C25A9F" w:rsidRPr="00E93F40" w:rsidRDefault="00C25A9F" w:rsidP="00E93F40">
      <w:pPr>
        <w:spacing w:after="0" w:line="240" w:lineRule="auto"/>
        <w:jc w:val="both"/>
        <w:rPr>
          <w:rFonts w:ascii="Times New Roman" w:hAnsi="Times New Roman"/>
          <w:color w:val="000000" w:themeColor="text1"/>
          <w:sz w:val="16"/>
          <w:szCs w:val="16"/>
        </w:rPr>
      </w:pPr>
    </w:p>
    <w:p w14:paraId="39A69C8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провели первые официальные испытания 68-мм турбореактивных команд</w:t>
      </w:r>
      <w:r w:rsidRPr="00E93F40">
        <w:rPr>
          <w:rFonts w:ascii="Times New Roman" w:hAnsi="Times New Roman"/>
          <w:color w:val="000000" w:themeColor="text1"/>
          <w:sz w:val="16"/>
          <w:szCs w:val="16"/>
        </w:rPr>
        <w:softHyphen/>
        <w:t>ных сигналов дневного и ночного действия, предназначенных для пода</w:t>
      </w:r>
      <w:r w:rsidRPr="00E93F40">
        <w:rPr>
          <w:rFonts w:ascii="Times New Roman" w:hAnsi="Times New Roman"/>
          <w:color w:val="000000" w:themeColor="text1"/>
          <w:sz w:val="16"/>
          <w:szCs w:val="16"/>
        </w:rPr>
        <w:softHyphen/>
        <w:t>чи команд с земли самолетам в воздухе, специалисты 7-го управления Штаба РККА на полигоне Тонкого лагеря и в 1934 г. в районе г. Татищева. Боеприпасы дневного действия разработки ГДЛ УВИ НВ РККА имели наименование ТРС-68Т модели 1325, ночного - ТРС-68С модели 1346. Из подписей на рабочих чертежах явствует, что проектировал их В.А.Артемьев, конструировал, по-видимому, Л.Э.Шварц (подпись неразборчива), чертил Б.Андерсон, а утверждали Б.С.Петропавловский и Г.Э.Лангемак.</w:t>
      </w:r>
    </w:p>
    <w:p w14:paraId="47CF045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Эти сигнальные боеприпасы увеличенного (по сравнению с традици</w:t>
      </w:r>
      <w:r w:rsidRPr="00E93F40">
        <w:rPr>
          <w:rFonts w:ascii="Times New Roman" w:hAnsi="Times New Roman"/>
          <w:color w:val="000000" w:themeColor="text1"/>
          <w:sz w:val="16"/>
          <w:szCs w:val="16"/>
        </w:rPr>
        <w:softHyphen/>
        <w:t>онными) калибра с красным, синим, оранжевым или желтым дымами, а также красного, желтого, зеленого или белого огня обеспечивали более продолжительное свечение огней или дымообразование. А энергетиче</w:t>
      </w:r>
      <w:r w:rsidRPr="00E93F40">
        <w:rPr>
          <w:rFonts w:ascii="Times New Roman" w:hAnsi="Times New Roman"/>
          <w:color w:val="000000" w:themeColor="text1"/>
          <w:sz w:val="16"/>
          <w:szCs w:val="16"/>
        </w:rPr>
        <w:softHyphen/>
        <w:t>ские характеристики силовой установки позволяли снарядам подни</w:t>
      </w:r>
      <w:r w:rsidRPr="00E93F40">
        <w:rPr>
          <w:rFonts w:ascii="Times New Roman" w:hAnsi="Times New Roman"/>
          <w:color w:val="000000" w:themeColor="text1"/>
          <w:sz w:val="16"/>
          <w:szCs w:val="16"/>
        </w:rPr>
        <w:softHyphen/>
        <w:t>маться на высоту, не досягаемую сигнальными ракетами из пистолетов-ракетниц. Именно таким образом планировали решить и проблему бом</w:t>
      </w:r>
      <w:r w:rsidRPr="00E93F40">
        <w:rPr>
          <w:rFonts w:ascii="Times New Roman" w:hAnsi="Times New Roman"/>
          <w:color w:val="000000" w:themeColor="text1"/>
          <w:sz w:val="16"/>
          <w:szCs w:val="16"/>
        </w:rPr>
        <w:softHyphen/>
        <w:t>бометания по площадям из-за облаков при низкой верхней кромке об</w:t>
      </w:r>
      <w:r w:rsidRPr="00E93F40">
        <w:rPr>
          <w:rFonts w:ascii="Times New Roman" w:hAnsi="Times New Roman"/>
          <w:color w:val="000000" w:themeColor="text1"/>
          <w:sz w:val="16"/>
          <w:szCs w:val="16"/>
        </w:rPr>
        <w:softHyphen/>
        <w:t>лачности. Пехотинцев результаты испытаний удовлетворили, а вот мне</w:t>
      </w:r>
      <w:r w:rsidRPr="00E93F40">
        <w:rPr>
          <w:rFonts w:ascii="Times New Roman" w:hAnsi="Times New Roman"/>
          <w:color w:val="000000" w:themeColor="text1"/>
          <w:sz w:val="16"/>
          <w:szCs w:val="16"/>
        </w:rPr>
        <w:softHyphen/>
        <w:t>ние авиаторов выслушать как-то забыли...(11402).</w:t>
      </w:r>
    </w:p>
    <w:p w14:paraId="6BE7352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EF23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монтаж ВАП-4 предусмотрели на закупавшихся в Италии летающих лодках С-62Б и их отечественных копиях МБР-4. Чертежи в ЦАГИ закончили к августу 1933 г., но выполнение заказа задержалось из-за перегрузки заводов и недостаточного финансирования.</w:t>
      </w:r>
    </w:p>
    <w:p w14:paraId="342E51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НИИ ВВС спроектировали подвеску ВАП-4 под центропланом "крейсера" Р-6. Там пришлось ввести переходники, поскольку на Р-6 применялись не нормальные, а укороченные балки Дер-7. Но "крейсер" оказался плохим носителем выливных приборов. Как конструкторы не старались, они не смогли избавиться от забрызгивания самого самолета ядовитым раствором (11931).</w:t>
      </w:r>
    </w:p>
    <w:p w14:paraId="7009E8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73057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начали поступать импортные дымовые приборы, названные у нас ДАП-200. Дымообразующая смесь вытеснялась из них сжатым воздухом. С 1934 г. несколько усовершенствованную их копию взялись изготавливать на заводе "Компрессор" (12001).</w:t>
      </w:r>
    </w:p>
    <w:p w14:paraId="249A49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E14F2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ЦВХП опробовали УХАП-К-5, но без особого успеха (11931).</w:t>
      </w:r>
    </w:p>
    <w:p w14:paraId="14ADF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77274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 испытания на Центральном военно-химическом полигоне в Шиханах прошел испытания экспериментальный универсальный УХАП- К-5, сделанный на базе ВАП-5, но в серийное производство его запускать не стали и ограничились модернизацией ВАП-4. </w:t>
      </w:r>
    </w:p>
    <w:p w14:paraId="2629AE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Неоднократно пытались заменить штатные выливные приборы ВАП-4 чем-нибудь более совершенным. Специально для Р-5 создали большие по объему приборы ВАП-5, но они из-за неудачной конструкции не получили широкого распространения (12034).</w:t>
      </w:r>
    </w:p>
    <w:p w14:paraId="28135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805E321"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приступили к разработке отече</w:t>
      </w:r>
      <w:r w:rsidRPr="00E93F40">
        <w:rPr>
          <w:rFonts w:ascii="Times New Roman" w:hAnsi="Times New Roman"/>
          <w:color w:val="000000" w:themeColor="text1"/>
          <w:sz w:val="16"/>
          <w:szCs w:val="16"/>
        </w:rPr>
        <w:softHyphen/>
        <w:t>ственных авиационных дымовых приборов. Этим занимались в ЦАГИ, а также в химгруппе при заводе №39, которую позже влили в 4-ю бригаду Центрального конструк</w:t>
      </w:r>
      <w:r w:rsidRPr="00E93F40">
        <w:rPr>
          <w:rFonts w:ascii="Times New Roman" w:hAnsi="Times New Roman"/>
          <w:color w:val="000000" w:themeColor="text1"/>
          <w:sz w:val="16"/>
          <w:szCs w:val="16"/>
        </w:rPr>
        <w:softHyphen/>
        <w:t>торского бюро, размещенного на этом же предприятии.</w:t>
      </w:r>
    </w:p>
    <w:p w14:paraId="64E71B6A"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 на Р-5 немецкий прибор хо</w:t>
      </w:r>
      <w:r w:rsidRPr="00E93F40">
        <w:rPr>
          <w:rFonts w:ascii="Times New Roman" w:hAnsi="Times New Roman"/>
          <w:color w:val="000000" w:themeColor="text1"/>
          <w:sz w:val="16"/>
          <w:szCs w:val="16"/>
        </w:rPr>
        <w:softHyphen/>
        <w:t>тели заменить на Х-2 (ДХ-2), тоже подвешивавшийся под нижним кры</w:t>
      </w:r>
      <w:r w:rsidRPr="00E93F40">
        <w:rPr>
          <w:rFonts w:ascii="Times New Roman" w:hAnsi="Times New Roman"/>
          <w:color w:val="000000" w:themeColor="text1"/>
          <w:sz w:val="16"/>
          <w:szCs w:val="16"/>
        </w:rPr>
        <w:softHyphen/>
        <w:t>лом и близкий к ДАП-100 по рабо</w:t>
      </w:r>
      <w:r w:rsidRPr="00E93F40">
        <w:rPr>
          <w:rFonts w:ascii="Times New Roman" w:hAnsi="Times New Roman"/>
          <w:color w:val="000000" w:themeColor="text1"/>
          <w:sz w:val="16"/>
          <w:szCs w:val="16"/>
        </w:rPr>
        <w:softHyphen/>
        <w:t>чему объему. Выглядел он как боль</w:t>
      </w:r>
      <w:r w:rsidRPr="00E93F40">
        <w:rPr>
          <w:rFonts w:ascii="Times New Roman" w:hAnsi="Times New Roman"/>
          <w:color w:val="000000" w:themeColor="text1"/>
          <w:sz w:val="16"/>
          <w:szCs w:val="16"/>
        </w:rPr>
        <w:softHyphen/>
        <w:t>шая металлическая капля. 200-лит</w:t>
      </w:r>
      <w:r w:rsidRPr="00E93F40">
        <w:rPr>
          <w:rFonts w:ascii="Times New Roman" w:hAnsi="Times New Roman"/>
          <w:color w:val="000000" w:themeColor="text1"/>
          <w:sz w:val="16"/>
          <w:szCs w:val="16"/>
        </w:rPr>
        <w:softHyphen/>
        <w:t>ровый ДХ-3 исходно создавали под «крейсер» Р-6, но столкнулись с тем, что он не проходит по грузоподъ</w:t>
      </w:r>
      <w:r w:rsidRPr="00E93F40">
        <w:rPr>
          <w:rFonts w:ascii="Times New Roman" w:hAnsi="Times New Roman"/>
          <w:color w:val="000000" w:themeColor="text1"/>
          <w:sz w:val="16"/>
          <w:szCs w:val="16"/>
        </w:rPr>
        <w:softHyphen/>
        <w:t>емности машины. Тогда его пред</w:t>
      </w:r>
      <w:r w:rsidRPr="00E93F40">
        <w:rPr>
          <w:rFonts w:ascii="Times New Roman" w:hAnsi="Times New Roman"/>
          <w:color w:val="000000" w:themeColor="text1"/>
          <w:sz w:val="16"/>
          <w:szCs w:val="16"/>
        </w:rPr>
        <w:softHyphen/>
        <w:t>ложили использовать на самолете ДБ-1 (военном варианте РД), но и там ему места не нашлось. В ко</w:t>
      </w:r>
      <w:r w:rsidRPr="00E93F40">
        <w:rPr>
          <w:rFonts w:ascii="Times New Roman" w:hAnsi="Times New Roman"/>
          <w:color w:val="000000" w:themeColor="text1"/>
          <w:sz w:val="16"/>
          <w:szCs w:val="16"/>
        </w:rPr>
        <w:softHyphen/>
        <w:t>нечном счете, остановились на че</w:t>
      </w:r>
      <w:r w:rsidRPr="00E93F40">
        <w:rPr>
          <w:rFonts w:ascii="Times New Roman" w:hAnsi="Times New Roman"/>
          <w:color w:val="000000" w:themeColor="text1"/>
          <w:sz w:val="16"/>
          <w:szCs w:val="16"/>
        </w:rPr>
        <w:softHyphen/>
        <w:t>тырехмоторном ТБ-3. Этот бомбар</w:t>
      </w:r>
      <w:r w:rsidRPr="00E93F40">
        <w:rPr>
          <w:rFonts w:ascii="Times New Roman" w:hAnsi="Times New Roman"/>
          <w:color w:val="000000" w:themeColor="text1"/>
          <w:sz w:val="16"/>
          <w:szCs w:val="16"/>
        </w:rPr>
        <w:softHyphen/>
        <w:t>дировщик нес четыре ДХ-3 на дер</w:t>
      </w:r>
      <w:r w:rsidRPr="00E93F40">
        <w:rPr>
          <w:rFonts w:ascii="Times New Roman" w:hAnsi="Times New Roman"/>
          <w:color w:val="000000" w:themeColor="text1"/>
          <w:sz w:val="16"/>
          <w:szCs w:val="16"/>
        </w:rPr>
        <w:softHyphen/>
        <w:t>жателях Дер-25 и Дер-26 под цент</w:t>
      </w:r>
      <w:r w:rsidRPr="00E93F40">
        <w:rPr>
          <w:rFonts w:ascii="Times New Roman" w:hAnsi="Times New Roman"/>
          <w:color w:val="000000" w:themeColor="text1"/>
          <w:sz w:val="16"/>
          <w:szCs w:val="16"/>
        </w:rPr>
        <w:softHyphen/>
        <w:t>ропланом. Такой комплект испыты</w:t>
      </w:r>
      <w:r w:rsidRPr="00E93F40">
        <w:rPr>
          <w:rFonts w:ascii="Times New Roman" w:hAnsi="Times New Roman"/>
          <w:color w:val="000000" w:themeColor="text1"/>
          <w:sz w:val="16"/>
          <w:szCs w:val="16"/>
        </w:rPr>
        <w:softHyphen/>
        <w:t>вали на полигоне в Шиханах в июле 1935 г. Качество завесы получилось неудовлетворительным. Прибор предложили доработать и выста</w:t>
      </w:r>
      <w:r w:rsidRPr="00E93F40">
        <w:rPr>
          <w:rFonts w:ascii="Times New Roman" w:hAnsi="Times New Roman"/>
          <w:color w:val="000000" w:themeColor="text1"/>
          <w:sz w:val="16"/>
          <w:szCs w:val="16"/>
        </w:rPr>
        <w:softHyphen/>
        <w:t>вить на испытания повторно, а за</w:t>
      </w:r>
      <w:r w:rsidRPr="00E93F40">
        <w:rPr>
          <w:rFonts w:ascii="Times New Roman" w:hAnsi="Times New Roman"/>
          <w:color w:val="000000" w:themeColor="text1"/>
          <w:sz w:val="16"/>
          <w:szCs w:val="16"/>
        </w:rPr>
        <w:softHyphen/>
        <w:t>тем сделать серию из 20 штук для войсковых испытаний.</w:t>
      </w:r>
    </w:p>
    <w:p w14:paraId="111394B7"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1933 ДХ-3 установили внутрь бомбоотсека одного из опытных образцов бомбардиров</w:t>
      </w:r>
      <w:r w:rsidRPr="00E93F40">
        <w:rPr>
          <w:rFonts w:ascii="Times New Roman" w:hAnsi="Times New Roman"/>
          <w:color w:val="000000" w:themeColor="text1"/>
          <w:sz w:val="16"/>
          <w:szCs w:val="16"/>
        </w:rPr>
        <w:softHyphen/>
        <w:t>щика СБ, выведя трубу наружу че</w:t>
      </w:r>
      <w:r w:rsidRPr="00E93F40">
        <w:rPr>
          <w:rFonts w:ascii="Times New Roman" w:hAnsi="Times New Roman"/>
          <w:color w:val="000000" w:themeColor="text1"/>
          <w:sz w:val="16"/>
          <w:szCs w:val="16"/>
        </w:rPr>
        <w:softHyphen/>
        <w:t>рез прорезь в створке люка.. По заданию, никакого химического вооружения для этой машины во</w:t>
      </w:r>
      <w:r w:rsidRPr="00E93F40">
        <w:rPr>
          <w:rFonts w:ascii="Times New Roman" w:hAnsi="Times New Roman"/>
          <w:color w:val="000000" w:themeColor="text1"/>
          <w:sz w:val="16"/>
          <w:szCs w:val="16"/>
        </w:rPr>
        <w:softHyphen/>
        <w:t>обще не предусматривалось, это было чистой самодеятельностью руководства ЦАГИ. Этот вариант даже не испытывался.</w:t>
      </w:r>
    </w:p>
    <w:p w14:paraId="373CF6D7"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Развитием ДХ-3 стал прибор ДХ-23, отличавшийся способом крепления (на свободной подвеске ЦАГИ) и небольшими доработками насадка. Он также испытывался на ТБ-3 (самолет нес четыре прибора под центропланом). Вес снаряжен</w:t>
      </w:r>
      <w:r w:rsidRPr="00E93F40">
        <w:rPr>
          <w:rFonts w:ascii="Times New Roman" w:hAnsi="Times New Roman"/>
          <w:color w:val="000000" w:themeColor="text1"/>
          <w:sz w:val="16"/>
          <w:szCs w:val="16"/>
        </w:rPr>
        <w:softHyphen/>
        <w:t>ного комплекта составлял 1701 кг. Но ДХ-23 также не был запущен в производство. Испытания показали, что завеса получалась неравномер</w:t>
      </w:r>
      <w:r w:rsidRPr="00E93F40">
        <w:rPr>
          <w:rFonts w:ascii="Times New Roman" w:hAnsi="Times New Roman"/>
          <w:color w:val="000000" w:themeColor="text1"/>
          <w:sz w:val="16"/>
          <w:szCs w:val="16"/>
        </w:rPr>
        <w:softHyphen/>
        <w:t>ной, да и управление прибором признали ненадежным. Цех особых заданий ЗОК ЦАГИ изготовил все</w:t>
      </w:r>
      <w:r w:rsidRPr="00E93F40">
        <w:rPr>
          <w:rFonts w:ascii="Times New Roman" w:hAnsi="Times New Roman"/>
          <w:color w:val="000000" w:themeColor="text1"/>
          <w:sz w:val="16"/>
          <w:szCs w:val="16"/>
        </w:rPr>
        <w:softHyphen/>
        <w:t>го одну партию для испытаний. На основе ДХ-3 намеревались создать универсальный прибор ХУП, но о нем толком ничего не известно.</w:t>
      </w:r>
    </w:p>
    <w:p w14:paraId="38D65F16"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более удачным оказался при</w:t>
      </w:r>
      <w:r w:rsidRPr="00E93F40">
        <w:rPr>
          <w:rFonts w:ascii="Times New Roman" w:hAnsi="Times New Roman"/>
          <w:color w:val="000000" w:themeColor="text1"/>
          <w:sz w:val="16"/>
          <w:szCs w:val="16"/>
        </w:rPr>
        <w:softHyphen/>
        <w:t>бор конструкции Н.А. Лукина. Он состоял из двух больших сигарооб</w:t>
      </w:r>
      <w:r w:rsidRPr="00E93F40">
        <w:rPr>
          <w:rFonts w:ascii="Times New Roman" w:hAnsi="Times New Roman"/>
          <w:color w:val="000000" w:themeColor="text1"/>
          <w:sz w:val="16"/>
          <w:szCs w:val="16"/>
        </w:rPr>
        <w:softHyphen/>
        <w:t>разных резервуаров и подвешивал</w:t>
      </w:r>
      <w:r w:rsidRPr="00E93F40">
        <w:rPr>
          <w:rFonts w:ascii="Times New Roman" w:hAnsi="Times New Roman"/>
          <w:color w:val="000000" w:themeColor="text1"/>
          <w:sz w:val="16"/>
          <w:szCs w:val="16"/>
        </w:rPr>
        <w:softHyphen/>
        <w:t>ся под центропланом. Конструктор получил выигрыш по весу в 123 кг по сравнению с ДАП-200, отказав</w:t>
      </w:r>
      <w:r w:rsidRPr="00E93F40">
        <w:rPr>
          <w:rFonts w:ascii="Times New Roman" w:hAnsi="Times New Roman"/>
          <w:color w:val="000000" w:themeColor="text1"/>
          <w:sz w:val="16"/>
          <w:szCs w:val="16"/>
        </w:rPr>
        <w:softHyphen/>
        <w:t>шись от выдавливания смеси сжа</w:t>
      </w:r>
      <w:r w:rsidRPr="00E93F40">
        <w:rPr>
          <w:rFonts w:ascii="Times New Roman" w:hAnsi="Times New Roman"/>
          <w:color w:val="000000" w:themeColor="text1"/>
          <w:sz w:val="16"/>
          <w:szCs w:val="16"/>
        </w:rPr>
        <w:softHyphen/>
        <w:t>тым воздухом. Каждый резервуар имел свой эжектор, работавший по принципу трубки Вентури. Разреже</w:t>
      </w:r>
      <w:r w:rsidRPr="00E93F40">
        <w:rPr>
          <w:rFonts w:ascii="Times New Roman" w:hAnsi="Times New Roman"/>
          <w:color w:val="000000" w:themeColor="text1"/>
          <w:sz w:val="16"/>
          <w:szCs w:val="16"/>
        </w:rPr>
        <w:softHyphen/>
        <w:t>ние подсасывало смесь из балло</w:t>
      </w:r>
      <w:r w:rsidRPr="00E93F40">
        <w:rPr>
          <w:rFonts w:ascii="Times New Roman" w:hAnsi="Times New Roman"/>
          <w:color w:val="000000" w:themeColor="text1"/>
          <w:sz w:val="16"/>
          <w:szCs w:val="16"/>
        </w:rPr>
        <w:softHyphen/>
        <w:t>на. Прибор Лукина неоднократно испытывался на ТБ-3. Первый раз это имело место в ноябре 1934 г. Из-за плохих характеристик дымо</w:t>
      </w:r>
      <w:r w:rsidRPr="00E93F40">
        <w:rPr>
          <w:rFonts w:ascii="Times New Roman" w:hAnsi="Times New Roman"/>
          <w:color w:val="000000" w:themeColor="text1"/>
          <w:sz w:val="16"/>
          <w:szCs w:val="16"/>
        </w:rPr>
        <w:softHyphen/>
        <w:t>вой завесы его забраковали. Усо</w:t>
      </w:r>
      <w:r w:rsidRPr="00E93F40">
        <w:rPr>
          <w:rFonts w:ascii="Times New Roman" w:hAnsi="Times New Roman"/>
          <w:color w:val="000000" w:themeColor="text1"/>
          <w:sz w:val="16"/>
          <w:szCs w:val="16"/>
        </w:rPr>
        <w:softHyphen/>
        <w:t>вершенствованный вариант опро</w:t>
      </w:r>
      <w:r w:rsidRPr="00E93F40">
        <w:rPr>
          <w:rFonts w:ascii="Times New Roman" w:hAnsi="Times New Roman"/>
          <w:color w:val="000000" w:themeColor="text1"/>
          <w:sz w:val="16"/>
          <w:szCs w:val="16"/>
        </w:rPr>
        <w:softHyphen/>
        <w:t>бовали в мае 1935 г. сначала в Щелково, а затем на Переяславс</w:t>
      </w:r>
      <w:r w:rsidRPr="00E93F40">
        <w:rPr>
          <w:rFonts w:ascii="Times New Roman" w:hAnsi="Times New Roman"/>
          <w:color w:val="000000" w:themeColor="text1"/>
          <w:sz w:val="16"/>
          <w:szCs w:val="16"/>
        </w:rPr>
        <w:softHyphen/>
        <w:t>ком полигоне. Плотность завесы опять оказалась неудовлетворитель</w:t>
      </w:r>
      <w:r w:rsidRPr="00E93F40">
        <w:rPr>
          <w:rFonts w:ascii="Times New Roman" w:hAnsi="Times New Roman"/>
          <w:color w:val="000000" w:themeColor="text1"/>
          <w:sz w:val="16"/>
          <w:szCs w:val="16"/>
        </w:rPr>
        <w:softHyphen/>
        <w:t>ной, а расход смеси — слишком велик. Кроме того, явно не устраи</w:t>
      </w:r>
      <w:r w:rsidRPr="00E93F40">
        <w:rPr>
          <w:rFonts w:ascii="Times New Roman" w:hAnsi="Times New Roman"/>
          <w:color w:val="000000" w:themeColor="text1"/>
          <w:sz w:val="16"/>
          <w:szCs w:val="16"/>
        </w:rPr>
        <w:softHyphen/>
        <w:t>вало и то, что для подвески прибо</w:t>
      </w:r>
      <w:r w:rsidRPr="00E93F40">
        <w:rPr>
          <w:rFonts w:ascii="Times New Roman" w:hAnsi="Times New Roman"/>
          <w:color w:val="000000" w:themeColor="text1"/>
          <w:sz w:val="16"/>
          <w:szCs w:val="16"/>
        </w:rPr>
        <w:softHyphen/>
        <w:t>ра Лукина под центропланом тре</w:t>
      </w:r>
      <w:r w:rsidRPr="00E93F40">
        <w:rPr>
          <w:rFonts w:ascii="Times New Roman" w:hAnsi="Times New Roman"/>
          <w:color w:val="000000" w:themeColor="text1"/>
          <w:sz w:val="16"/>
          <w:szCs w:val="16"/>
        </w:rPr>
        <w:softHyphen/>
        <w:t>бовалось снять бомбодержатели. Не предусматривался и аварийный сброс устройства. Прибор Лукина тоже забраковали.</w:t>
      </w:r>
    </w:p>
    <w:p w14:paraId="130AA5B0"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Для ТБ-3 предназначался и при</w:t>
      </w:r>
      <w:r w:rsidRPr="00E93F40">
        <w:rPr>
          <w:rFonts w:ascii="Times New Roman" w:hAnsi="Times New Roman"/>
          <w:color w:val="000000" w:themeColor="text1"/>
          <w:sz w:val="16"/>
          <w:szCs w:val="16"/>
        </w:rPr>
        <w:softHyphen/>
        <w:t>бор Г-61, проектировавшийся в Эк</w:t>
      </w:r>
      <w:r w:rsidRPr="00E93F40">
        <w:rPr>
          <w:rFonts w:ascii="Times New Roman" w:hAnsi="Times New Roman"/>
          <w:color w:val="000000" w:themeColor="text1"/>
          <w:sz w:val="16"/>
          <w:szCs w:val="16"/>
        </w:rPr>
        <w:softHyphen/>
        <w:t>спериментальном институте НКТП в 1934 г. Два больших цилиндра кре</w:t>
      </w:r>
      <w:r w:rsidRPr="00E93F40">
        <w:rPr>
          <w:rFonts w:ascii="Times New Roman" w:hAnsi="Times New Roman"/>
          <w:color w:val="000000" w:themeColor="text1"/>
          <w:sz w:val="16"/>
          <w:szCs w:val="16"/>
        </w:rPr>
        <w:softHyphen/>
        <w:t>пились на общей раме под «брю</w:t>
      </w:r>
      <w:r w:rsidRPr="00E93F40">
        <w:rPr>
          <w:rFonts w:ascii="Times New Roman" w:hAnsi="Times New Roman"/>
          <w:color w:val="000000" w:themeColor="text1"/>
          <w:sz w:val="16"/>
          <w:szCs w:val="16"/>
        </w:rPr>
        <w:softHyphen/>
        <w:t>хом» бомбардировщика. Этот при</w:t>
      </w:r>
      <w:r w:rsidRPr="00E93F40">
        <w:rPr>
          <w:rFonts w:ascii="Times New Roman" w:hAnsi="Times New Roman"/>
          <w:color w:val="000000" w:themeColor="text1"/>
          <w:sz w:val="16"/>
          <w:szCs w:val="16"/>
        </w:rPr>
        <w:softHyphen/>
        <w:t>бор задумывался как универсаль</w:t>
      </w:r>
      <w:r w:rsidRPr="00E93F40">
        <w:rPr>
          <w:rFonts w:ascii="Times New Roman" w:hAnsi="Times New Roman"/>
          <w:color w:val="000000" w:themeColor="text1"/>
          <w:sz w:val="16"/>
          <w:szCs w:val="16"/>
        </w:rPr>
        <w:softHyphen/>
        <w:t>ный: в него можно было заправлять дымовую смесь, растворы отравля</w:t>
      </w:r>
      <w:r w:rsidRPr="00E93F40">
        <w:rPr>
          <w:rFonts w:ascii="Times New Roman" w:hAnsi="Times New Roman"/>
          <w:color w:val="000000" w:themeColor="text1"/>
          <w:sz w:val="16"/>
          <w:szCs w:val="16"/>
        </w:rPr>
        <w:softHyphen/>
        <w:t>ющих веществ, зажигательные жид</w:t>
      </w:r>
      <w:r w:rsidRPr="00E93F40">
        <w:rPr>
          <w:rFonts w:ascii="Times New Roman" w:hAnsi="Times New Roman"/>
          <w:color w:val="000000" w:themeColor="text1"/>
          <w:sz w:val="16"/>
          <w:szCs w:val="16"/>
        </w:rPr>
        <w:softHyphen/>
        <w:t>кости (смесь нефти и бензина с добавкой фосфора) и даже штам</w:t>
      </w:r>
      <w:r w:rsidRPr="00E93F40">
        <w:rPr>
          <w:rFonts w:ascii="Times New Roman" w:hAnsi="Times New Roman"/>
          <w:color w:val="000000" w:themeColor="text1"/>
          <w:sz w:val="16"/>
          <w:szCs w:val="16"/>
        </w:rPr>
        <w:softHyphen/>
        <w:t>мы болезнетворных бактерий в воде. Реально даже настоящего проекта этой штуки не подготовили.</w:t>
      </w:r>
    </w:p>
    <w:p w14:paraId="1A830A7C"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Одним из основных недостатков немецких дымовых приборов счита</w:t>
      </w:r>
      <w:r w:rsidRPr="00E93F40">
        <w:rPr>
          <w:rFonts w:ascii="Times New Roman" w:hAnsi="Times New Roman"/>
          <w:color w:val="000000" w:themeColor="text1"/>
          <w:sz w:val="16"/>
          <w:szCs w:val="16"/>
        </w:rPr>
        <w:softHyphen/>
        <w:t>лось вытеснение смеси сжатым воз</w:t>
      </w:r>
      <w:r w:rsidRPr="00E93F40">
        <w:rPr>
          <w:rFonts w:ascii="Times New Roman" w:hAnsi="Times New Roman"/>
          <w:color w:val="000000" w:themeColor="text1"/>
          <w:sz w:val="16"/>
          <w:szCs w:val="16"/>
        </w:rPr>
        <w:softHyphen/>
        <w:t>духом. Советские конструкторы по</w:t>
      </w:r>
      <w:r w:rsidRPr="00E93F40">
        <w:rPr>
          <w:rFonts w:ascii="Times New Roman" w:hAnsi="Times New Roman"/>
          <w:color w:val="000000" w:themeColor="text1"/>
          <w:sz w:val="16"/>
          <w:szCs w:val="16"/>
        </w:rPr>
        <w:softHyphen/>
        <w:t>стоянно пытались использовать дру</w:t>
      </w:r>
      <w:r w:rsidRPr="00E93F40">
        <w:rPr>
          <w:rFonts w:ascii="Times New Roman" w:hAnsi="Times New Roman"/>
          <w:color w:val="000000" w:themeColor="text1"/>
          <w:sz w:val="16"/>
          <w:szCs w:val="16"/>
        </w:rPr>
        <w:softHyphen/>
        <w:t>гие принципы подачи, чтобы обой</w:t>
      </w:r>
      <w:r w:rsidRPr="00E93F40">
        <w:rPr>
          <w:rFonts w:ascii="Times New Roman" w:hAnsi="Times New Roman"/>
          <w:color w:val="000000" w:themeColor="text1"/>
          <w:sz w:val="16"/>
          <w:szCs w:val="16"/>
        </w:rPr>
        <w:softHyphen/>
        <w:t>тись без громоздкого и тяжелого баллона и редуктора.</w:t>
      </w:r>
    </w:p>
    <w:p w14:paraId="3035FDB5"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Как уже говорилось, Лукин для этой цели использовал эжектор. В 1933 г. П.И. Гроховским был пред</w:t>
      </w:r>
      <w:r w:rsidRPr="00E93F40">
        <w:rPr>
          <w:rFonts w:ascii="Times New Roman" w:hAnsi="Times New Roman"/>
          <w:color w:val="000000" w:themeColor="text1"/>
          <w:sz w:val="16"/>
          <w:szCs w:val="16"/>
        </w:rPr>
        <w:softHyphen/>
        <w:t>ложен прибор Г-50. У него смесь вытеснялась скоростным напором, как в выливных приборах, заправ</w:t>
      </w:r>
      <w:r w:rsidRPr="00E93F40">
        <w:rPr>
          <w:rFonts w:ascii="Times New Roman" w:hAnsi="Times New Roman"/>
          <w:color w:val="000000" w:themeColor="text1"/>
          <w:sz w:val="16"/>
          <w:szCs w:val="16"/>
        </w:rPr>
        <w:softHyphen/>
        <w:t>лявшихся отравляющими вещества</w:t>
      </w:r>
      <w:r w:rsidRPr="00E93F40">
        <w:rPr>
          <w:rFonts w:ascii="Times New Roman" w:hAnsi="Times New Roman"/>
          <w:color w:val="000000" w:themeColor="text1"/>
          <w:sz w:val="16"/>
          <w:szCs w:val="16"/>
        </w:rPr>
        <w:softHyphen/>
        <w:t>ми. Г-50 включал два бака, общий вес его оценивался в 1500 кг. На ТБ-1 его хотели разместить внутри бомбоотсека, подвесив на кассет</w:t>
      </w:r>
      <w:r w:rsidRPr="00E93F40">
        <w:rPr>
          <w:rFonts w:ascii="Times New Roman" w:hAnsi="Times New Roman"/>
          <w:color w:val="000000" w:themeColor="text1"/>
          <w:sz w:val="16"/>
          <w:szCs w:val="16"/>
        </w:rPr>
        <w:softHyphen/>
        <w:t>ных держателях, на Р-6 — снаружи. Проект выглядел явно нереальным. ТБ-1 мог унести полторы тонны толь</w:t>
      </w:r>
      <w:r w:rsidRPr="00E93F40">
        <w:rPr>
          <w:rFonts w:ascii="Times New Roman" w:hAnsi="Times New Roman"/>
          <w:color w:val="000000" w:themeColor="text1"/>
          <w:sz w:val="16"/>
          <w:szCs w:val="16"/>
        </w:rPr>
        <w:softHyphen/>
        <w:t>ко при значительном облегчении, а для Р-6 груз был совершенно не</w:t>
      </w:r>
      <w:r w:rsidRPr="00E93F40">
        <w:rPr>
          <w:rFonts w:ascii="Times New Roman" w:hAnsi="Times New Roman"/>
          <w:color w:val="000000" w:themeColor="text1"/>
          <w:sz w:val="16"/>
          <w:szCs w:val="16"/>
        </w:rPr>
        <w:softHyphen/>
        <w:t>подъемным (12269).</w:t>
      </w:r>
    </w:p>
    <w:p w14:paraId="2252C73F"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5CB28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слушатель Военно-морской академии А. Б. Гейро в своем дипломном проекте разработал интересное техническое решение авиационной беспарашютной якорной гальваноударной мины. Ему было предложено продолжить работу по реализации своего проекта в Научно-исследовательском минно-торпедном институте. К работе была привлечена также группа специалистов Центрального конструкторского бюро (ЦКБ-36). В 1940 г. на вооружение флота принята мина АМГ-1 (авиационная мина Гейро). Автору ее проекта была присуждена Государственная премия. Мина имела сфероцилиндрический корпус, на верхнем полушарии которого располагались пять гальваноударных колпаков, выдвигавшихся из гнезд корпуса мины пружинами после установки мины на заданное углубление. Мина имела тротиловый заряд массой 250 кг. Корпус мины размещался на якоре обтекаемой формы с резиновыми и деревянными амортизаторами. Для стабилизации мины на воздушной траектории предусматривались баллистический наконечник и стабилизатор, которые отделялись от мины 8 момент приводнения. Мина устанавливалась на заданное углубление петлевым способом, всплывая с грунта. Войсковые испытания мины происходили в ходе войны с Финляндией, по результатам которых приказом НК ВМФ №0032 от 7.2.1940 ее приняли на вооружение.</w:t>
      </w:r>
    </w:p>
    <w:p w14:paraId="4735B4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30-х годах в ОТБ разработали мины МАН-1 и МАН-2 для постановки с малых высот. Они являлись беспарашютными усиленными вариантами соответственно МАВ-1 и МАВ-2. Но проведенные испытания показали, что цель не достигнута, и из-за низкой надежности УВВС обе мины отвергло. </w:t>
      </w:r>
    </w:p>
    <w:p w14:paraId="724C0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создали проект авиационной мины с многоступенчатой системой амортизации удара в момент приводнения, выстреливающимися гальваноударными колпаками и петлевым способом установки на заданное углубление, ранее предложенным Б Д. Харитоновым. Но до практической реализации дело не дошло (12002).</w:t>
      </w:r>
    </w:p>
    <w:p w14:paraId="6AD763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1932 г. создали и испытали довольно надежно работавший взрыватель для морских мин, катушка которого реагировала на изменение магнитного поля при прохождении вблизи от мины корабля. На базе РЕМИН, разработанной в 1927-1928 в Остехбюро, создали авиационную мину МИРАБ (мина индукционная речная авиационная бреющего полета), отличавшуюся усиленным корпусом и креплением отдельных узлов. Со средних высот ее сбрасывали с парашютом, а с малых - без него. В 1936 г. МИРАБ официально приняли на вооружение. От своего речного назначения мина унаследовала весьма скромный вес ВВ - всего 64 кг, - что делало ее совершенно безопасной при постановках в районах моря с глубиной более 15 м. Накануне войны появилась модификация мины с весом ВВ 200 кг, которая была допущена к боевому применению с самолетов ДБ-3 приказом НК ВМФ №00201 от 15.7.1941. При этом мина получила отсутствовавшую ранее парашютную систему. Тем не менее заказ промышленности на эту мину выполнен не был из-за эвакуации завода-производителя и поступления на вооружение английских донных неконтактных мин, имевших несравнимо лучшие ТТХ (12002).</w:t>
      </w:r>
    </w:p>
    <w:p w14:paraId="6401F7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A6E7088" w14:textId="77777777" w:rsidR="00290EF2" w:rsidRPr="00E93F40" w:rsidRDefault="00290E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были разработаны два образца — ВОМИЗА-100 и ВОМИЗА-250, что означало «воздушная мина заграждения» с зарядом ВВ 100 кг и 250 кг соответственно. Позже мины получили названия МАВ-1 и МАВ-2 соответственно. Обе мины созданы на базе корабельных мин: МАВ-1 — на базе мины обр. 1912 г., а МАВ-2 — на базе мины обр, 1926 г. В 1936 г. была изготовлена первая партия таких мин. Но громоздкие корабельные мины с парашютными системами с трудом подвешивались под самолеты, а подвеска их под новые модели самолетов оказалась совершенно невозможной. Поэтому на вооружение была принята только мина МАВ-1, но производство ее ограничилось выпуском первой партии. Одновременно с разработкой мин МАВ-1 и МАВ-2 в Остехбюро разрабатывались авиационные мины МАН-1 и МАН-2. Они проектировались в беспарашютном варианте для низкого минометания на бреющем полете. Но из-за явного несоответствия их характеристик установленным тактико-техническим требованиям разработка этих мин была прекращена (15117).</w:t>
      </w:r>
    </w:p>
    <w:p w14:paraId="39DFD298" w14:textId="77777777" w:rsidR="00290EF2" w:rsidRPr="00E93F40" w:rsidRDefault="00290EF2" w:rsidP="00E93F40">
      <w:pPr>
        <w:spacing w:after="0" w:line="240" w:lineRule="auto"/>
        <w:jc w:val="both"/>
        <w:rPr>
          <w:rFonts w:ascii="Times New Roman" w:hAnsi="Times New Roman"/>
          <w:color w:val="000000" w:themeColor="text1"/>
          <w:sz w:val="16"/>
          <w:szCs w:val="16"/>
        </w:rPr>
      </w:pPr>
    </w:p>
    <w:p w14:paraId="5A9EEC1B" w14:textId="77777777" w:rsidR="00290EF2" w:rsidRPr="00E93F40" w:rsidRDefault="00290EF2"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М.Н.Тухачевский писал Я.И.Алкснису, что надо организовать изучение стратосферы (66,197).</w:t>
      </w:r>
    </w:p>
    <w:p w14:paraId="1DD4AE50" w14:textId="77777777" w:rsidR="00290EF2" w:rsidRPr="00E93F40" w:rsidRDefault="00290EF2" w:rsidP="00E93F40">
      <w:pPr>
        <w:autoSpaceDE w:val="0"/>
        <w:autoSpaceDN w:val="0"/>
        <w:adjustRightInd w:val="0"/>
        <w:spacing w:after="0" w:line="240" w:lineRule="auto"/>
        <w:jc w:val="both"/>
        <w:rPr>
          <w:rFonts w:ascii="Times New Roman" w:hAnsi="Times New Roman"/>
          <w:color w:val="000000" w:themeColor="text1"/>
          <w:sz w:val="16"/>
          <w:szCs w:val="16"/>
        </w:rPr>
      </w:pPr>
    </w:p>
    <w:p w14:paraId="032FF9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Шатурском районе Московской области под руководством Симского A.M. проводятся опыты по аэросеву лесных семян и тушению пожаров с воздуха химическими бомбами и путем слива растворов химиката с самолета, а также авиационное опыление лесов против сибирского шелкопряда (12072).</w:t>
      </w:r>
    </w:p>
    <w:p w14:paraId="6274ED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0C7A6D" w14:textId="77777777" w:rsidR="0027010B" w:rsidRPr="00E93F40" w:rsidRDefault="0027010B"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1932 году, после завершения изыскательских работ, В.С. Молоков совершил первый рейс на ЮГ-1 по Енисейской авиалинии. Руководил работами Б.Г. Чухновский. Как правило, летом ЮГ-1 ставились на поплавки, а зимой эксплуатировались на лыжах. Пожалуй, только ЮГ-1 и Ша-2 обладали такими качествами. Воздушная линия начиналась в Красноярске, на гидродроме на острове Телячий. Здесь к 1934 году были построены 3 жилых дома и 2 общежития для летного состава, бензохранилище, причалы, ангары и гидроспуск (20271).</w:t>
      </w:r>
    </w:p>
    <w:p w14:paraId="38C19020" w14:textId="77777777" w:rsidR="0027010B" w:rsidRPr="00E93F40" w:rsidRDefault="0027010B"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Большая дальность ЮГ-1 была особо ценна при полетах на дальневосточных линиях. В 1929 году М.В. Водопьянов открыл сообщение на трассе Хабаровск - Александровск-Сахалинский. Как и на сибирских реках, летом летали на поплавках, зимой - на лыжах. Гидродром с 1931 года находился в устье реки Александровки. Приключения, поджидавшие рейсовых пилотов, красочно описаны И.П.Мазуруком в главе "Путь в небо" его книги "Над Арктикой и Антарктикой". Летал Мазурук на ЮГ-1 с бортовым номером СССР-145 (20271).</w:t>
      </w:r>
    </w:p>
    <w:p w14:paraId="74C2DE02" w14:textId="77777777" w:rsidR="0027010B" w:rsidRPr="00E93F40" w:rsidRDefault="0027010B" w:rsidP="00E93F40">
      <w:pPr>
        <w:pStyle w:val="116"/>
        <w:shd w:val="clear" w:color="auto" w:fill="auto"/>
        <w:spacing w:after="0" w:line="240" w:lineRule="auto"/>
        <w:ind w:firstLine="0"/>
        <w:jc w:val="both"/>
        <w:rPr>
          <w:rStyle w:val="820"/>
          <w:rFonts w:ascii="Times New Roman" w:hAnsi="Times New Roman" w:cs="Times New Roman"/>
          <w:color w:val="000000" w:themeColor="text1"/>
          <w:sz w:val="16"/>
          <w:szCs w:val="16"/>
          <w:lang w:val="ru-RU"/>
        </w:rPr>
      </w:pPr>
    </w:p>
    <w:p w14:paraId="2E92D47D" w14:textId="77777777" w:rsidR="00DE4139" w:rsidRPr="00E93F40" w:rsidRDefault="00DE41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вышел в свет труд К.ЭЦиолковского «стратоплан полуреактивный», содержавший описание и расчеты самолета, который «движется одновреиеино силою тяги воздушного винта и отдачей продуктов горения, т.е. самолет с комбинированной силовой установкой (23370).</w:t>
      </w:r>
    </w:p>
    <w:p w14:paraId="51EE9654" w14:textId="77777777" w:rsidR="00DE4139" w:rsidRPr="00E93F40" w:rsidRDefault="00DE4139" w:rsidP="00E93F40">
      <w:pPr>
        <w:spacing w:after="0" w:line="240" w:lineRule="auto"/>
        <w:jc w:val="both"/>
        <w:rPr>
          <w:rFonts w:ascii="Times New Roman" w:hAnsi="Times New Roman"/>
          <w:color w:val="000000" w:themeColor="text1"/>
          <w:sz w:val="16"/>
          <w:szCs w:val="16"/>
        </w:rPr>
      </w:pPr>
    </w:p>
    <w:p w14:paraId="4909E2F7" w14:textId="77777777" w:rsidR="00DE4139" w:rsidRPr="00E93F40" w:rsidRDefault="00DE41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вышел последний, 9-й выпуск трехтомной энциклопедии профессо</w:t>
      </w:r>
      <w:r w:rsidRPr="00E93F40">
        <w:rPr>
          <w:rFonts w:ascii="Times New Roman" w:hAnsi="Times New Roman"/>
          <w:color w:val="000000" w:themeColor="text1"/>
          <w:sz w:val="16"/>
          <w:szCs w:val="16"/>
        </w:rPr>
        <w:softHyphen/>
        <w:t>ра Н.А.Рынияа «межпланетные сообщения», начатой им в 1927 год. Энциклопедяя Рвнина - фундаментальный труд по истории, теории и технике космонавтики. Последний выпуск содержит «Летопись космонавтики», начиная с древнейших времен до 1932 года и библиографию всей космонавтической литературы, вышедшей в свет до 1932 года (23370).</w:t>
      </w:r>
    </w:p>
    <w:p w14:paraId="1B54FE64" w14:textId="77777777" w:rsidR="00DE4139" w:rsidRPr="00E93F40" w:rsidRDefault="00DE4139" w:rsidP="00E93F40">
      <w:pPr>
        <w:spacing w:after="0" w:line="240" w:lineRule="auto"/>
        <w:jc w:val="both"/>
        <w:rPr>
          <w:rFonts w:ascii="Times New Roman" w:hAnsi="Times New Roman"/>
          <w:color w:val="000000" w:themeColor="text1"/>
          <w:sz w:val="16"/>
          <w:szCs w:val="16"/>
        </w:rPr>
      </w:pPr>
    </w:p>
    <w:p w14:paraId="26B001F2" w14:textId="77777777" w:rsidR="00DE4139" w:rsidRPr="00E93F40" w:rsidRDefault="00DE41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опубликован труд инженера Ф.А.Цандера «Проблема полета при помощи ракетных аппаратов», излагающий теорию космического полета ее решение при помощи ракетных аппаратов (23370).</w:t>
      </w:r>
    </w:p>
    <w:p w14:paraId="49475C8F" w14:textId="77777777" w:rsidR="00DE4139" w:rsidRPr="00E93F40" w:rsidRDefault="00DE4139" w:rsidP="00E93F40">
      <w:pPr>
        <w:spacing w:after="0" w:line="240" w:lineRule="auto"/>
        <w:jc w:val="both"/>
        <w:rPr>
          <w:rFonts w:ascii="Times New Roman" w:hAnsi="Times New Roman"/>
          <w:color w:val="000000" w:themeColor="text1"/>
          <w:sz w:val="16"/>
          <w:szCs w:val="16"/>
        </w:rPr>
      </w:pPr>
    </w:p>
    <w:p w14:paraId="51B6A3E7" w14:textId="77777777" w:rsidR="00DE4139" w:rsidRPr="00E93F40" w:rsidRDefault="00DE4139"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опубликован труд А,.Н.Лапчинского «Военнонвоздушные силы в бою и операции» - важное пособие по тактике ВВС (23370).</w:t>
      </w:r>
    </w:p>
    <w:p w14:paraId="66BAB978" w14:textId="77777777" w:rsidR="00DE4139" w:rsidRPr="00E93F40" w:rsidRDefault="00DE4139" w:rsidP="00E93F40">
      <w:pPr>
        <w:spacing w:after="0" w:line="240" w:lineRule="auto"/>
        <w:jc w:val="both"/>
        <w:rPr>
          <w:rFonts w:ascii="Times New Roman" w:hAnsi="Times New Roman"/>
          <w:color w:val="000000" w:themeColor="text1"/>
          <w:sz w:val="16"/>
          <w:szCs w:val="16"/>
        </w:rPr>
      </w:pPr>
    </w:p>
    <w:p w14:paraId="52CD7EDF" w14:textId="3FF76EE8" w:rsidR="0027010B" w:rsidRPr="00E93F40" w:rsidRDefault="002701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году была поставлена задача снижения стоимости десантного парашюта до 200 рублей. Парашют из нансука с хлопчатобумажными стропами стоил 731 рубль, с шелковыми стропами – 1109 рублей. Шелковая советская копия парашюта фирмы «Ирвин», более прочная, надежная и легкая, стоила 934 рублей, а оригинал «Ирвина» – около 1000 рублей золотом. Проблема удешевления цены парашютов была действительно острой (21402). </w:t>
      </w:r>
    </w:p>
    <w:p w14:paraId="308905FB" w14:textId="77777777" w:rsidR="0027010B" w:rsidRPr="00E93F40" w:rsidRDefault="0027010B" w:rsidP="00E93F40">
      <w:pPr>
        <w:spacing w:after="0" w:line="240" w:lineRule="auto"/>
        <w:jc w:val="both"/>
        <w:rPr>
          <w:rFonts w:ascii="Times New Roman" w:hAnsi="Times New Roman"/>
          <w:color w:val="000000" w:themeColor="text1"/>
          <w:sz w:val="16"/>
          <w:szCs w:val="16"/>
        </w:rPr>
      </w:pPr>
    </w:p>
    <w:p w14:paraId="13B74747" w14:textId="77777777" w:rsidR="0027010B" w:rsidRPr="00E93F40" w:rsidRDefault="002701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года парашют ПД-1 был принят на вооружение, но в 1933 году он был снят с производства и заменен более совершенным ПД-2. В 1936 году стал выпускаться уже ПД-6 площадью 60,3 кв. метра. В 1940 году появился новый десантный парашют ПД-10 (72 кв. метра), а годом позже – ПД-41 (69,5 кв. метра), который имел купол квадратной формы. Такой парашют был технологичнее круглого, так как оказался проще в изготовлении и экономичнее при раскрое ткани (21402).</w:t>
      </w:r>
    </w:p>
    <w:p w14:paraId="79362124" w14:textId="77777777" w:rsidR="0027010B" w:rsidRPr="00E93F40" w:rsidRDefault="0027010B" w:rsidP="00E93F40">
      <w:pPr>
        <w:spacing w:after="0" w:line="240" w:lineRule="auto"/>
        <w:jc w:val="both"/>
        <w:rPr>
          <w:rFonts w:ascii="Times New Roman" w:hAnsi="Times New Roman"/>
          <w:color w:val="000000" w:themeColor="text1"/>
          <w:sz w:val="16"/>
          <w:szCs w:val="16"/>
        </w:rPr>
      </w:pPr>
    </w:p>
    <w:p w14:paraId="2CA264AE" w14:textId="77777777" w:rsidR="0027010B" w:rsidRPr="00E93F40" w:rsidRDefault="002701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для удешевления парашютов П. Гроховский предложил заменить шелковые парашюты хлопчатобумажными, т.к. стоимость шелкового полотна была 7 руб. 50 коп. за метр, а хлопчатобумажного – 2 руб., что давало большую экономию. Кроме того, он предложил применять для изготовления парашютов нансук (80 коп. за метр), а затем муслин (30 коп. за метр). Однако для организации массовых десантов и эти парашюты были дорогие (21402).</w:t>
      </w:r>
    </w:p>
    <w:p w14:paraId="6CFD31C3" w14:textId="77777777" w:rsidR="0027010B" w:rsidRPr="00E93F40" w:rsidRDefault="0027010B" w:rsidP="00E93F40">
      <w:pPr>
        <w:spacing w:after="0" w:line="240" w:lineRule="auto"/>
        <w:jc w:val="both"/>
        <w:rPr>
          <w:rFonts w:ascii="Times New Roman" w:hAnsi="Times New Roman"/>
          <w:color w:val="000000" w:themeColor="text1"/>
          <w:sz w:val="16"/>
          <w:szCs w:val="16"/>
        </w:rPr>
      </w:pPr>
    </w:p>
    <w:p w14:paraId="1888099C" w14:textId="77777777" w:rsidR="0027010B" w:rsidRPr="00E93F40" w:rsidRDefault="002701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вооружение были приняты отече</w:t>
      </w:r>
      <w:r w:rsidRPr="00E93F40">
        <w:rPr>
          <w:rFonts w:ascii="Times New Roman" w:hAnsi="Times New Roman"/>
          <w:color w:val="000000" w:themeColor="text1"/>
          <w:sz w:val="16"/>
          <w:szCs w:val="16"/>
        </w:rPr>
        <w:softHyphen/>
        <w:t>ственные аэростаты заграждения КВ-КН (12020).</w:t>
      </w:r>
    </w:p>
    <w:p w14:paraId="35E561B1" w14:textId="77777777" w:rsidR="0027010B" w:rsidRPr="00E93F40" w:rsidRDefault="0027010B" w:rsidP="00E93F40">
      <w:pPr>
        <w:spacing w:after="0" w:line="240" w:lineRule="auto"/>
        <w:jc w:val="both"/>
        <w:rPr>
          <w:rFonts w:ascii="Times New Roman" w:hAnsi="Times New Roman"/>
          <w:color w:val="000000" w:themeColor="text1"/>
          <w:sz w:val="16"/>
          <w:szCs w:val="16"/>
        </w:rPr>
      </w:pPr>
    </w:p>
    <w:p w14:paraId="3AD1061D"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7FE45595"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157B032"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1932 г.</w:t>
      </w:r>
    </w:p>
    <w:p w14:paraId="4C0F5830"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Показатели выполнения военных заказов промышленными предприятиями СССР в 1929/30–1932 гг.</w:t>
      </w:r>
    </w:p>
    <w:tbl>
      <w:tblPr>
        <w:tblW w:w="0" w:type="auto"/>
        <w:tblInd w:w="321" w:type="dxa"/>
        <w:tblLayout w:type="fixed"/>
        <w:tblCellMar>
          <w:left w:w="0" w:type="dxa"/>
          <w:right w:w="0" w:type="dxa"/>
        </w:tblCellMar>
        <w:tblLook w:val="0000" w:firstRow="0" w:lastRow="0" w:firstColumn="0" w:lastColumn="0" w:noHBand="0" w:noVBand="0"/>
      </w:tblPr>
      <w:tblGrid>
        <w:gridCol w:w="1304"/>
        <w:gridCol w:w="624"/>
        <w:gridCol w:w="624"/>
        <w:gridCol w:w="624"/>
        <w:gridCol w:w="624"/>
        <w:gridCol w:w="624"/>
        <w:gridCol w:w="624"/>
        <w:gridCol w:w="624"/>
        <w:gridCol w:w="624"/>
        <w:gridCol w:w="624"/>
      </w:tblGrid>
      <w:tr w:rsidR="000C39A0" w:rsidRPr="00142305" w14:paraId="4EF9A517" w14:textId="77777777" w:rsidTr="00DC550A">
        <w:trPr>
          <w:trHeight w:val="236"/>
        </w:trPr>
        <w:tc>
          <w:tcPr>
            <w:tcW w:w="1304" w:type="dxa"/>
            <w:vMerge w:val="restart"/>
            <w:tcBorders>
              <w:top w:val="single" w:sz="4" w:space="0" w:color="231F20"/>
              <w:left w:val="single" w:sz="4" w:space="0" w:color="231F20"/>
              <w:bottom w:val="single" w:sz="4" w:space="0" w:color="231F20"/>
              <w:right w:val="single" w:sz="4" w:space="0" w:color="231F20"/>
            </w:tcBorders>
          </w:tcPr>
          <w:p w14:paraId="03B7042E" w14:textId="77777777" w:rsidR="000C39A0" w:rsidRPr="00142305" w:rsidRDefault="000C39A0" w:rsidP="00DC550A">
            <w:pPr>
              <w:pStyle w:val="TableParagraph"/>
              <w:kinsoku w:val="0"/>
              <w:overflowPunct w:val="0"/>
              <w:spacing w:before="0"/>
              <w:ind w:left="246"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Военная продукция</w:t>
            </w:r>
          </w:p>
        </w:tc>
        <w:tc>
          <w:tcPr>
            <w:tcW w:w="1872" w:type="dxa"/>
            <w:gridSpan w:val="3"/>
            <w:tcBorders>
              <w:top w:val="single" w:sz="4" w:space="0" w:color="231F20"/>
              <w:left w:val="single" w:sz="4" w:space="0" w:color="231F20"/>
              <w:bottom w:val="single" w:sz="4" w:space="0" w:color="231F20"/>
              <w:right w:val="single" w:sz="4" w:space="0" w:color="231F20"/>
            </w:tcBorders>
          </w:tcPr>
          <w:p w14:paraId="1F280AEA" w14:textId="77777777" w:rsidR="000C39A0" w:rsidRPr="00142305" w:rsidRDefault="000C39A0" w:rsidP="00DC550A">
            <w:pPr>
              <w:pStyle w:val="TableParagraph"/>
              <w:kinsoku w:val="0"/>
              <w:overflowPunct w:val="0"/>
              <w:spacing w:before="0"/>
              <w:ind w:left="617" w:right="61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1929/30</w:t>
            </w:r>
          </w:p>
        </w:tc>
        <w:tc>
          <w:tcPr>
            <w:tcW w:w="1872" w:type="dxa"/>
            <w:gridSpan w:val="3"/>
            <w:tcBorders>
              <w:top w:val="single" w:sz="4" w:space="0" w:color="231F20"/>
              <w:left w:val="single" w:sz="4" w:space="0" w:color="231F20"/>
              <w:bottom w:val="single" w:sz="4" w:space="0" w:color="231F20"/>
              <w:right w:val="single" w:sz="4" w:space="0" w:color="231F20"/>
            </w:tcBorders>
          </w:tcPr>
          <w:p w14:paraId="5E37814E" w14:textId="77777777" w:rsidR="000C39A0" w:rsidRPr="00142305" w:rsidRDefault="000C39A0" w:rsidP="00DC550A">
            <w:pPr>
              <w:pStyle w:val="TableParagraph"/>
              <w:kinsoku w:val="0"/>
              <w:overflowPunct w:val="0"/>
              <w:spacing w:before="0"/>
              <w:ind w:left="616" w:right="61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1930/31</w:t>
            </w:r>
          </w:p>
        </w:tc>
        <w:tc>
          <w:tcPr>
            <w:tcW w:w="1872" w:type="dxa"/>
            <w:gridSpan w:val="3"/>
            <w:tcBorders>
              <w:top w:val="single" w:sz="4" w:space="0" w:color="231F20"/>
              <w:left w:val="single" w:sz="4" w:space="0" w:color="231F20"/>
              <w:bottom w:val="single" w:sz="4" w:space="0" w:color="231F20"/>
              <w:right w:val="single" w:sz="4" w:space="0" w:color="231F20"/>
            </w:tcBorders>
          </w:tcPr>
          <w:p w14:paraId="1268866C" w14:textId="77777777" w:rsidR="000C39A0" w:rsidRPr="00142305" w:rsidRDefault="000C39A0" w:rsidP="00DC550A">
            <w:pPr>
              <w:pStyle w:val="TableParagraph"/>
              <w:kinsoku w:val="0"/>
              <w:overflowPunct w:val="0"/>
              <w:spacing w:before="0"/>
              <w:ind w:left="615" w:right="61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1932</w:t>
            </w:r>
          </w:p>
        </w:tc>
      </w:tr>
      <w:tr w:rsidR="000C39A0" w:rsidRPr="00142305" w14:paraId="243545F4" w14:textId="77777777" w:rsidTr="00DC550A">
        <w:trPr>
          <w:trHeight w:val="273"/>
        </w:trPr>
        <w:tc>
          <w:tcPr>
            <w:tcW w:w="1304" w:type="dxa"/>
            <w:vMerge/>
            <w:tcBorders>
              <w:top w:val="nil"/>
              <w:left w:val="single" w:sz="4" w:space="0" w:color="231F20"/>
              <w:bottom w:val="single" w:sz="4" w:space="0" w:color="231F20"/>
              <w:right w:val="single" w:sz="4" w:space="0" w:color="231F20"/>
            </w:tcBorders>
          </w:tcPr>
          <w:p w14:paraId="5A3F449C" w14:textId="77777777" w:rsidR="000C39A0" w:rsidRPr="00142305" w:rsidRDefault="000C39A0" w:rsidP="00DC550A">
            <w:pPr>
              <w:pStyle w:val="a3"/>
              <w:kinsoku w:val="0"/>
              <w:rPr>
                <w:color w:val="0070C0"/>
              </w:rPr>
            </w:pPr>
          </w:p>
        </w:tc>
        <w:tc>
          <w:tcPr>
            <w:tcW w:w="624" w:type="dxa"/>
            <w:tcBorders>
              <w:top w:val="single" w:sz="4" w:space="0" w:color="231F20"/>
              <w:left w:val="single" w:sz="4" w:space="0" w:color="231F20"/>
              <w:bottom w:val="single" w:sz="4" w:space="0" w:color="231F20"/>
              <w:right w:val="single" w:sz="4" w:space="0" w:color="231F20"/>
            </w:tcBorders>
          </w:tcPr>
          <w:p w14:paraId="48380C08" w14:textId="77777777" w:rsidR="000C39A0" w:rsidRPr="00142305" w:rsidRDefault="000C39A0"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заказ</w:t>
            </w:r>
          </w:p>
        </w:tc>
        <w:tc>
          <w:tcPr>
            <w:tcW w:w="624" w:type="dxa"/>
            <w:tcBorders>
              <w:top w:val="single" w:sz="4" w:space="0" w:color="231F20"/>
              <w:left w:val="single" w:sz="4" w:space="0" w:color="231F20"/>
              <w:bottom w:val="single" w:sz="4" w:space="0" w:color="231F20"/>
              <w:right w:val="single" w:sz="4" w:space="0" w:color="231F20"/>
            </w:tcBorders>
          </w:tcPr>
          <w:p w14:paraId="2932764F" w14:textId="77777777" w:rsidR="000C39A0" w:rsidRPr="00142305" w:rsidRDefault="000C39A0"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выпол.</w:t>
            </w:r>
          </w:p>
        </w:tc>
        <w:tc>
          <w:tcPr>
            <w:tcW w:w="624" w:type="dxa"/>
            <w:tcBorders>
              <w:top w:val="single" w:sz="4" w:space="0" w:color="231F20"/>
              <w:left w:val="single" w:sz="4" w:space="0" w:color="231F20"/>
              <w:bottom w:val="single" w:sz="4" w:space="0" w:color="231F20"/>
              <w:right w:val="single" w:sz="4" w:space="0" w:color="231F20"/>
            </w:tcBorders>
          </w:tcPr>
          <w:p w14:paraId="0FF181A7" w14:textId="77777777" w:rsidR="000C39A0" w:rsidRPr="00142305" w:rsidRDefault="000C39A0" w:rsidP="00DC550A">
            <w:pPr>
              <w:pStyle w:val="TableParagraph"/>
              <w:kinsoku w:val="0"/>
              <w:overflowPunct w:val="0"/>
              <w:spacing w:before="0"/>
              <w:ind w:left="25" w:right="2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вып.</w:t>
            </w:r>
          </w:p>
        </w:tc>
        <w:tc>
          <w:tcPr>
            <w:tcW w:w="624" w:type="dxa"/>
            <w:tcBorders>
              <w:top w:val="single" w:sz="4" w:space="0" w:color="231F20"/>
              <w:left w:val="single" w:sz="4" w:space="0" w:color="231F20"/>
              <w:bottom w:val="single" w:sz="4" w:space="0" w:color="231F20"/>
              <w:right w:val="single" w:sz="4" w:space="0" w:color="231F20"/>
            </w:tcBorders>
          </w:tcPr>
          <w:p w14:paraId="3F07AC0D" w14:textId="77777777" w:rsidR="000C39A0" w:rsidRPr="00142305" w:rsidRDefault="000C39A0" w:rsidP="00DC550A">
            <w:pPr>
              <w:pStyle w:val="TableParagraph"/>
              <w:kinsoku w:val="0"/>
              <w:overflowPunct w:val="0"/>
              <w:spacing w:before="0"/>
              <w:ind w:left="1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заказ</w:t>
            </w:r>
          </w:p>
        </w:tc>
        <w:tc>
          <w:tcPr>
            <w:tcW w:w="624" w:type="dxa"/>
            <w:tcBorders>
              <w:top w:val="single" w:sz="4" w:space="0" w:color="231F20"/>
              <w:left w:val="single" w:sz="4" w:space="0" w:color="231F20"/>
              <w:bottom w:val="single" w:sz="4" w:space="0" w:color="231F20"/>
              <w:right w:val="single" w:sz="4" w:space="0" w:color="231F20"/>
            </w:tcBorders>
          </w:tcPr>
          <w:p w14:paraId="24603409" w14:textId="77777777" w:rsidR="000C39A0" w:rsidRPr="00142305" w:rsidRDefault="000C39A0"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выпол.</w:t>
            </w:r>
          </w:p>
        </w:tc>
        <w:tc>
          <w:tcPr>
            <w:tcW w:w="624" w:type="dxa"/>
            <w:tcBorders>
              <w:top w:val="single" w:sz="4" w:space="0" w:color="231F20"/>
              <w:left w:val="single" w:sz="4" w:space="0" w:color="231F20"/>
              <w:bottom w:val="single" w:sz="4" w:space="0" w:color="231F20"/>
              <w:right w:val="single" w:sz="4" w:space="0" w:color="231F20"/>
            </w:tcBorders>
          </w:tcPr>
          <w:p w14:paraId="19B8F16C"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вып.</w:t>
            </w:r>
          </w:p>
        </w:tc>
        <w:tc>
          <w:tcPr>
            <w:tcW w:w="624" w:type="dxa"/>
            <w:tcBorders>
              <w:top w:val="single" w:sz="4" w:space="0" w:color="231F20"/>
              <w:left w:val="single" w:sz="4" w:space="0" w:color="231F20"/>
              <w:bottom w:val="single" w:sz="4" w:space="0" w:color="231F20"/>
              <w:right w:val="single" w:sz="4" w:space="0" w:color="231F20"/>
            </w:tcBorders>
          </w:tcPr>
          <w:p w14:paraId="67127FE4"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заказ</w:t>
            </w:r>
          </w:p>
        </w:tc>
        <w:tc>
          <w:tcPr>
            <w:tcW w:w="624" w:type="dxa"/>
            <w:tcBorders>
              <w:top w:val="single" w:sz="4" w:space="0" w:color="231F20"/>
              <w:left w:val="single" w:sz="4" w:space="0" w:color="231F20"/>
              <w:bottom w:val="single" w:sz="4" w:space="0" w:color="231F20"/>
              <w:right w:val="single" w:sz="4" w:space="0" w:color="231F20"/>
            </w:tcBorders>
          </w:tcPr>
          <w:p w14:paraId="4BC14EDB"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выпол.</w:t>
            </w:r>
          </w:p>
        </w:tc>
        <w:tc>
          <w:tcPr>
            <w:tcW w:w="624" w:type="dxa"/>
            <w:tcBorders>
              <w:top w:val="single" w:sz="4" w:space="0" w:color="231F20"/>
              <w:left w:val="single" w:sz="4" w:space="0" w:color="231F20"/>
              <w:bottom w:val="single" w:sz="4" w:space="0" w:color="231F20"/>
              <w:right w:val="single" w:sz="4" w:space="0" w:color="231F20"/>
            </w:tcBorders>
          </w:tcPr>
          <w:p w14:paraId="51FAF928"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вып.</w:t>
            </w:r>
          </w:p>
        </w:tc>
      </w:tr>
      <w:tr w:rsidR="000C39A0" w:rsidRPr="00142305" w14:paraId="1775ECAD"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2AC973FD" w14:textId="77777777" w:rsidR="000C39A0" w:rsidRPr="00142305" w:rsidRDefault="000C39A0" w:rsidP="00DC550A">
            <w:pPr>
              <w:pStyle w:val="TableParagraph"/>
              <w:kinsoku w:val="0"/>
              <w:overflowPunct w:val="0"/>
              <w:spacing w:before="0"/>
              <w:ind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Артсистемы (шт.)</w:t>
            </w:r>
          </w:p>
        </w:tc>
        <w:tc>
          <w:tcPr>
            <w:tcW w:w="624" w:type="dxa"/>
            <w:tcBorders>
              <w:top w:val="single" w:sz="4" w:space="0" w:color="231F20"/>
              <w:left w:val="single" w:sz="4" w:space="0" w:color="231F20"/>
              <w:bottom w:val="single" w:sz="4" w:space="0" w:color="231F20"/>
              <w:right w:val="single" w:sz="4" w:space="0" w:color="231F20"/>
            </w:tcBorders>
          </w:tcPr>
          <w:p w14:paraId="0D737C4B" w14:textId="77777777" w:rsidR="000C39A0" w:rsidRPr="00142305" w:rsidRDefault="000C39A0"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999</w:t>
            </w:r>
          </w:p>
        </w:tc>
        <w:tc>
          <w:tcPr>
            <w:tcW w:w="624" w:type="dxa"/>
            <w:tcBorders>
              <w:top w:val="single" w:sz="4" w:space="0" w:color="231F20"/>
              <w:left w:val="single" w:sz="4" w:space="0" w:color="231F20"/>
              <w:bottom w:val="single" w:sz="4" w:space="0" w:color="231F20"/>
              <w:right w:val="single" w:sz="4" w:space="0" w:color="231F20"/>
            </w:tcBorders>
          </w:tcPr>
          <w:p w14:paraId="2273F262" w14:textId="77777777" w:rsidR="000C39A0" w:rsidRPr="00142305" w:rsidRDefault="000C39A0"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952</w:t>
            </w:r>
          </w:p>
        </w:tc>
        <w:tc>
          <w:tcPr>
            <w:tcW w:w="624" w:type="dxa"/>
            <w:tcBorders>
              <w:top w:val="single" w:sz="4" w:space="0" w:color="231F20"/>
              <w:left w:val="single" w:sz="4" w:space="0" w:color="231F20"/>
              <w:bottom w:val="single" w:sz="4" w:space="0" w:color="231F20"/>
              <w:right w:val="single" w:sz="4" w:space="0" w:color="231F20"/>
            </w:tcBorders>
          </w:tcPr>
          <w:p w14:paraId="552668BA" w14:textId="77777777" w:rsidR="000C39A0" w:rsidRPr="00142305" w:rsidRDefault="000C39A0" w:rsidP="00DC550A">
            <w:pPr>
              <w:pStyle w:val="TableParagraph"/>
              <w:kinsoku w:val="0"/>
              <w:overflowPunct w:val="0"/>
              <w:spacing w:before="0"/>
              <w:ind w:left="25" w:right="2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95,2</w:t>
            </w:r>
          </w:p>
        </w:tc>
        <w:tc>
          <w:tcPr>
            <w:tcW w:w="624" w:type="dxa"/>
            <w:tcBorders>
              <w:top w:val="single" w:sz="4" w:space="0" w:color="231F20"/>
              <w:left w:val="single" w:sz="4" w:space="0" w:color="231F20"/>
              <w:bottom w:val="single" w:sz="4" w:space="0" w:color="231F20"/>
              <w:right w:val="single" w:sz="4" w:space="0" w:color="231F20"/>
            </w:tcBorders>
          </w:tcPr>
          <w:p w14:paraId="3D8C7A37" w14:textId="77777777" w:rsidR="000C39A0" w:rsidRPr="00142305" w:rsidRDefault="000C39A0" w:rsidP="00DC550A">
            <w:pPr>
              <w:pStyle w:val="TableParagraph"/>
              <w:kinsoku w:val="0"/>
              <w:overflowPunct w:val="0"/>
              <w:spacing w:before="0"/>
              <w:ind w:left="13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3577</w:t>
            </w:r>
          </w:p>
        </w:tc>
        <w:tc>
          <w:tcPr>
            <w:tcW w:w="624" w:type="dxa"/>
            <w:tcBorders>
              <w:top w:val="single" w:sz="4" w:space="0" w:color="231F20"/>
              <w:left w:val="single" w:sz="4" w:space="0" w:color="231F20"/>
              <w:bottom w:val="single" w:sz="4" w:space="0" w:color="231F20"/>
              <w:right w:val="single" w:sz="4" w:space="0" w:color="231F20"/>
            </w:tcBorders>
          </w:tcPr>
          <w:p w14:paraId="5139773B" w14:textId="77777777" w:rsidR="000C39A0" w:rsidRPr="00142305" w:rsidRDefault="000C39A0"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1911</w:t>
            </w:r>
          </w:p>
        </w:tc>
        <w:tc>
          <w:tcPr>
            <w:tcW w:w="624" w:type="dxa"/>
            <w:tcBorders>
              <w:top w:val="single" w:sz="4" w:space="0" w:color="231F20"/>
              <w:left w:val="single" w:sz="4" w:space="0" w:color="231F20"/>
              <w:bottom w:val="single" w:sz="4" w:space="0" w:color="231F20"/>
              <w:right w:val="single" w:sz="4" w:space="0" w:color="231F20"/>
            </w:tcBorders>
          </w:tcPr>
          <w:p w14:paraId="249FF7D0"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53,4</w:t>
            </w:r>
          </w:p>
        </w:tc>
        <w:tc>
          <w:tcPr>
            <w:tcW w:w="624" w:type="dxa"/>
            <w:tcBorders>
              <w:top w:val="single" w:sz="4" w:space="0" w:color="231F20"/>
              <w:left w:val="single" w:sz="4" w:space="0" w:color="231F20"/>
              <w:bottom w:val="single" w:sz="4" w:space="0" w:color="231F20"/>
              <w:right w:val="single" w:sz="4" w:space="0" w:color="231F20"/>
            </w:tcBorders>
          </w:tcPr>
          <w:p w14:paraId="27F2B730"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8017</w:t>
            </w:r>
          </w:p>
        </w:tc>
        <w:tc>
          <w:tcPr>
            <w:tcW w:w="624" w:type="dxa"/>
            <w:tcBorders>
              <w:top w:val="single" w:sz="4" w:space="0" w:color="231F20"/>
              <w:left w:val="single" w:sz="4" w:space="0" w:color="231F20"/>
              <w:bottom w:val="single" w:sz="4" w:space="0" w:color="231F20"/>
              <w:right w:val="single" w:sz="4" w:space="0" w:color="231F20"/>
            </w:tcBorders>
          </w:tcPr>
          <w:p w14:paraId="256A7100"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2574</w:t>
            </w:r>
          </w:p>
        </w:tc>
        <w:tc>
          <w:tcPr>
            <w:tcW w:w="624" w:type="dxa"/>
            <w:tcBorders>
              <w:top w:val="single" w:sz="4" w:space="0" w:color="231F20"/>
              <w:left w:val="single" w:sz="4" w:space="0" w:color="231F20"/>
              <w:bottom w:val="single" w:sz="4" w:space="0" w:color="231F20"/>
              <w:right w:val="single" w:sz="4" w:space="0" w:color="231F20"/>
            </w:tcBorders>
          </w:tcPr>
          <w:p w14:paraId="7F7DC831"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32,1</w:t>
            </w:r>
          </w:p>
        </w:tc>
      </w:tr>
      <w:tr w:rsidR="000C39A0" w:rsidRPr="00142305" w14:paraId="3C21BBA6"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2205597A" w14:textId="77777777" w:rsidR="000C39A0" w:rsidRPr="00142305" w:rsidRDefault="000C39A0" w:rsidP="00DC550A">
            <w:pPr>
              <w:pStyle w:val="TableParagraph"/>
              <w:kinsoku w:val="0"/>
              <w:overflowPunct w:val="0"/>
              <w:spacing w:before="0"/>
              <w:ind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Артснаряды (тыс. шт.)</w:t>
            </w:r>
          </w:p>
        </w:tc>
        <w:tc>
          <w:tcPr>
            <w:tcW w:w="624" w:type="dxa"/>
            <w:tcBorders>
              <w:top w:val="single" w:sz="4" w:space="0" w:color="231F20"/>
              <w:left w:val="single" w:sz="4" w:space="0" w:color="231F20"/>
              <w:bottom w:val="single" w:sz="4" w:space="0" w:color="231F20"/>
              <w:right w:val="single" w:sz="4" w:space="0" w:color="231F20"/>
            </w:tcBorders>
          </w:tcPr>
          <w:p w14:paraId="424672BD" w14:textId="77777777" w:rsidR="000C39A0" w:rsidRPr="00142305" w:rsidRDefault="000C39A0"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2365</w:t>
            </w:r>
          </w:p>
        </w:tc>
        <w:tc>
          <w:tcPr>
            <w:tcW w:w="624" w:type="dxa"/>
            <w:tcBorders>
              <w:top w:val="single" w:sz="4" w:space="0" w:color="231F20"/>
              <w:left w:val="single" w:sz="4" w:space="0" w:color="231F20"/>
              <w:bottom w:val="single" w:sz="4" w:space="0" w:color="231F20"/>
              <w:right w:val="single" w:sz="4" w:space="0" w:color="231F20"/>
            </w:tcBorders>
          </w:tcPr>
          <w:p w14:paraId="23AC9933" w14:textId="77777777" w:rsidR="000C39A0" w:rsidRPr="00142305" w:rsidRDefault="000C39A0"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790</w:t>
            </w:r>
          </w:p>
        </w:tc>
        <w:tc>
          <w:tcPr>
            <w:tcW w:w="624" w:type="dxa"/>
            <w:tcBorders>
              <w:top w:val="single" w:sz="4" w:space="0" w:color="231F20"/>
              <w:left w:val="single" w:sz="4" w:space="0" w:color="231F20"/>
              <w:bottom w:val="single" w:sz="4" w:space="0" w:color="231F20"/>
              <w:right w:val="single" w:sz="4" w:space="0" w:color="231F20"/>
            </w:tcBorders>
          </w:tcPr>
          <w:p w14:paraId="2F7DF984" w14:textId="77777777" w:rsidR="000C39A0" w:rsidRPr="00142305" w:rsidRDefault="000C39A0" w:rsidP="00DC550A">
            <w:pPr>
              <w:pStyle w:val="TableParagraph"/>
              <w:kinsoku w:val="0"/>
              <w:overflowPunct w:val="0"/>
              <w:spacing w:before="0"/>
              <w:ind w:left="25" w:right="2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33,4</w:t>
            </w:r>
          </w:p>
        </w:tc>
        <w:tc>
          <w:tcPr>
            <w:tcW w:w="624" w:type="dxa"/>
            <w:tcBorders>
              <w:top w:val="single" w:sz="4" w:space="0" w:color="231F20"/>
              <w:left w:val="single" w:sz="4" w:space="0" w:color="231F20"/>
              <w:bottom w:val="single" w:sz="4" w:space="0" w:color="231F20"/>
              <w:right w:val="single" w:sz="4" w:space="0" w:color="231F20"/>
            </w:tcBorders>
          </w:tcPr>
          <w:p w14:paraId="0EDA1B71" w14:textId="77777777" w:rsidR="000C39A0" w:rsidRPr="00142305" w:rsidRDefault="000C39A0" w:rsidP="00DC550A">
            <w:pPr>
              <w:pStyle w:val="TableParagraph"/>
              <w:kinsoku w:val="0"/>
              <w:overflowPunct w:val="0"/>
              <w:spacing w:before="0"/>
              <w:ind w:left="13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1690</w:t>
            </w:r>
          </w:p>
        </w:tc>
        <w:tc>
          <w:tcPr>
            <w:tcW w:w="624" w:type="dxa"/>
            <w:tcBorders>
              <w:top w:val="single" w:sz="4" w:space="0" w:color="231F20"/>
              <w:left w:val="single" w:sz="4" w:space="0" w:color="231F20"/>
              <w:bottom w:val="single" w:sz="4" w:space="0" w:color="231F20"/>
              <w:right w:val="single" w:sz="4" w:space="0" w:color="231F20"/>
            </w:tcBorders>
          </w:tcPr>
          <w:p w14:paraId="605B7366" w14:textId="77777777" w:rsidR="000C39A0" w:rsidRPr="00142305" w:rsidRDefault="000C39A0"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751</w:t>
            </w:r>
          </w:p>
        </w:tc>
        <w:tc>
          <w:tcPr>
            <w:tcW w:w="624" w:type="dxa"/>
            <w:tcBorders>
              <w:top w:val="single" w:sz="4" w:space="0" w:color="231F20"/>
              <w:left w:val="single" w:sz="4" w:space="0" w:color="231F20"/>
              <w:bottom w:val="single" w:sz="4" w:space="0" w:color="231F20"/>
              <w:right w:val="single" w:sz="4" w:space="0" w:color="231F20"/>
            </w:tcBorders>
          </w:tcPr>
          <w:p w14:paraId="2F66F67C"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44,4</w:t>
            </w:r>
          </w:p>
        </w:tc>
        <w:tc>
          <w:tcPr>
            <w:tcW w:w="624" w:type="dxa"/>
            <w:tcBorders>
              <w:top w:val="single" w:sz="4" w:space="0" w:color="231F20"/>
              <w:left w:val="single" w:sz="4" w:space="0" w:color="231F20"/>
              <w:bottom w:val="single" w:sz="4" w:space="0" w:color="231F20"/>
              <w:right w:val="single" w:sz="4" w:space="0" w:color="231F20"/>
            </w:tcBorders>
          </w:tcPr>
          <w:p w14:paraId="1C0AB224"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7296</w:t>
            </w:r>
          </w:p>
        </w:tc>
        <w:tc>
          <w:tcPr>
            <w:tcW w:w="624" w:type="dxa"/>
            <w:tcBorders>
              <w:top w:val="single" w:sz="4" w:space="0" w:color="231F20"/>
              <w:left w:val="single" w:sz="4" w:space="0" w:color="231F20"/>
              <w:bottom w:val="single" w:sz="4" w:space="0" w:color="231F20"/>
              <w:right w:val="single" w:sz="4" w:space="0" w:color="231F20"/>
            </w:tcBorders>
          </w:tcPr>
          <w:p w14:paraId="6160C04E"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1224</w:t>
            </w:r>
          </w:p>
        </w:tc>
        <w:tc>
          <w:tcPr>
            <w:tcW w:w="624" w:type="dxa"/>
            <w:tcBorders>
              <w:top w:val="single" w:sz="4" w:space="0" w:color="231F20"/>
              <w:left w:val="single" w:sz="4" w:space="0" w:color="231F20"/>
              <w:bottom w:val="single" w:sz="4" w:space="0" w:color="231F20"/>
              <w:right w:val="single" w:sz="4" w:space="0" w:color="231F20"/>
            </w:tcBorders>
          </w:tcPr>
          <w:p w14:paraId="57BE5723"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16,7</w:t>
            </w:r>
          </w:p>
        </w:tc>
      </w:tr>
      <w:tr w:rsidR="000C39A0" w:rsidRPr="00142305" w14:paraId="4806A4F0"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7528924A" w14:textId="77777777" w:rsidR="000C39A0" w:rsidRPr="00142305" w:rsidRDefault="000C39A0" w:rsidP="00DC550A">
            <w:pPr>
              <w:pStyle w:val="TableParagraph"/>
              <w:kinsoku w:val="0"/>
              <w:overflowPunct w:val="0"/>
              <w:spacing w:before="0"/>
              <w:ind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Авиабомбы (тыс. шт.)</w:t>
            </w:r>
          </w:p>
        </w:tc>
        <w:tc>
          <w:tcPr>
            <w:tcW w:w="624" w:type="dxa"/>
            <w:tcBorders>
              <w:top w:val="single" w:sz="4" w:space="0" w:color="231F20"/>
              <w:left w:val="single" w:sz="4" w:space="0" w:color="231F20"/>
              <w:bottom w:val="single" w:sz="4" w:space="0" w:color="231F20"/>
              <w:right w:val="single" w:sz="4" w:space="0" w:color="231F20"/>
            </w:tcBorders>
          </w:tcPr>
          <w:p w14:paraId="3081098F" w14:textId="77777777" w:rsidR="000C39A0" w:rsidRPr="00142305" w:rsidRDefault="000C39A0"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220</w:t>
            </w:r>
          </w:p>
        </w:tc>
        <w:tc>
          <w:tcPr>
            <w:tcW w:w="624" w:type="dxa"/>
            <w:tcBorders>
              <w:top w:val="single" w:sz="4" w:space="0" w:color="231F20"/>
              <w:left w:val="single" w:sz="4" w:space="0" w:color="231F20"/>
              <w:bottom w:val="single" w:sz="4" w:space="0" w:color="231F20"/>
              <w:right w:val="single" w:sz="4" w:space="0" w:color="231F20"/>
            </w:tcBorders>
          </w:tcPr>
          <w:p w14:paraId="61588358" w14:textId="77777777" w:rsidR="000C39A0" w:rsidRPr="00142305" w:rsidRDefault="000C39A0"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w:t>
            </w:r>
          </w:p>
        </w:tc>
        <w:tc>
          <w:tcPr>
            <w:tcW w:w="624" w:type="dxa"/>
            <w:tcBorders>
              <w:top w:val="single" w:sz="4" w:space="0" w:color="231F20"/>
              <w:left w:val="single" w:sz="4" w:space="0" w:color="231F20"/>
              <w:bottom w:val="single" w:sz="4" w:space="0" w:color="231F20"/>
              <w:right w:val="single" w:sz="4" w:space="0" w:color="231F20"/>
            </w:tcBorders>
          </w:tcPr>
          <w:p w14:paraId="1BB3C35A" w14:textId="77777777" w:rsidR="000C39A0" w:rsidRPr="00142305" w:rsidRDefault="000C39A0" w:rsidP="00DC550A">
            <w:pPr>
              <w:pStyle w:val="TableParagraph"/>
              <w:kinsoku w:val="0"/>
              <w:overflowPunct w:val="0"/>
              <w:spacing w:before="0"/>
              <w:ind w:left="25" w:right="2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6,3</w:t>
            </w:r>
          </w:p>
        </w:tc>
        <w:tc>
          <w:tcPr>
            <w:tcW w:w="624" w:type="dxa"/>
            <w:tcBorders>
              <w:top w:val="single" w:sz="4" w:space="0" w:color="231F20"/>
              <w:left w:val="single" w:sz="4" w:space="0" w:color="231F20"/>
              <w:bottom w:val="single" w:sz="4" w:space="0" w:color="231F20"/>
              <w:right w:val="single" w:sz="4" w:space="0" w:color="231F20"/>
            </w:tcBorders>
          </w:tcPr>
          <w:p w14:paraId="5A5A1B40" w14:textId="77777777" w:rsidR="000C39A0" w:rsidRPr="00142305" w:rsidRDefault="000C39A0" w:rsidP="00DC550A">
            <w:pPr>
              <w:pStyle w:val="TableParagraph"/>
              <w:kinsoku w:val="0"/>
              <w:overflowPunct w:val="0"/>
              <w:spacing w:before="0"/>
              <w:ind w:left="17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460</w:t>
            </w:r>
          </w:p>
        </w:tc>
        <w:tc>
          <w:tcPr>
            <w:tcW w:w="624" w:type="dxa"/>
            <w:tcBorders>
              <w:top w:val="single" w:sz="4" w:space="0" w:color="231F20"/>
              <w:left w:val="single" w:sz="4" w:space="0" w:color="231F20"/>
              <w:bottom w:val="single" w:sz="4" w:space="0" w:color="231F20"/>
              <w:right w:val="single" w:sz="4" w:space="0" w:color="231F20"/>
            </w:tcBorders>
          </w:tcPr>
          <w:p w14:paraId="4DD451FF" w14:textId="77777777" w:rsidR="000C39A0" w:rsidRPr="00142305" w:rsidRDefault="000C39A0"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316</w:t>
            </w:r>
          </w:p>
        </w:tc>
        <w:tc>
          <w:tcPr>
            <w:tcW w:w="624" w:type="dxa"/>
            <w:tcBorders>
              <w:top w:val="single" w:sz="4" w:space="0" w:color="231F20"/>
              <w:left w:val="single" w:sz="4" w:space="0" w:color="231F20"/>
              <w:bottom w:val="single" w:sz="4" w:space="0" w:color="231F20"/>
              <w:right w:val="single" w:sz="4" w:space="0" w:color="231F20"/>
            </w:tcBorders>
          </w:tcPr>
          <w:p w14:paraId="655A851E"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68,6</w:t>
            </w:r>
          </w:p>
        </w:tc>
        <w:tc>
          <w:tcPr>
            <w:tcW w:w="624" w:type="dxa"/>
            <w:tcBorders>
              <w:top w:val="single" w:sz="4" w:space="0" w:color="231F20"/>
              <w:left w:val="single" w:sz="4" w:space="0" w:color="231F20"/>
              <w:bottom w:val="single" w:sz="4" w:space="0" w:color="231F20"/>
              <w:right w:val="single" w:sz="4" w:space="0" w:color="231F20"/>
            </w:tcBorders>
          </w:tcPr>
          <w:p w14:paraId="5CB1B5CD"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300</w:t>
            </w:r>
          </w:p>
        </w:tc>
        <w:tc>
          <w:tcPr>
            <w:tcW w:w="624" w:type="dxa"/>
            <w:tcBorders>
              <w:top w:val="single" w:sz="4" w:space="0" w:color="231F20"/>
              <w:left w:val="single" w:sz="4" w:space="0" w:color="231F20"/>
              <w:bottom w:val="single" w:sz="4" w:space="0" w:color="231F20"/>
              <w:right w:val="single" w:sz="4" w:space="0" w:color="231F20"/>
            </w:tcBorders>
          </w:tcPr>
          <w:p w14:paraId="28985483"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147</w:t>
            </w:r>
          </w:p>
        </w:tc>
        <w:tc>
          <w:tcPr>
            <w:tcW w:w="624" w:type="dxa"/>
            <w:tcBorders>
              <w:top w:val="single" w:sz="4" w:space="0" w:color="231F20"/>
              <w:left w:val="single" w:sz="4" w:space="0" w:color="231F20"/>
              <w:bottom w:val="single" w:sz="4" w:space="0" w:color="231F20"/>
              <w:right w:val="single" w:sz="4" w:space="0" w:color="231F20"/>
            </w:tcBorders>
          </w:tcPr>
          <w:p w14:paraId="76EEF3A9"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49,0</w:t>
            </w:r>
          </w:p>
        </w:tc>
      </w:tr>
      <w:tr w:rsidR="000C39A0" w:rsidRPr="00142305" w14:paraId="2A96B533"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41F25F7B" w14:textId="77777777" w:rsidR="000C39A0" w:rsidRPr="00142305" w:rsidRDefault="000C39A0" w:rsidP="00DC550A">
            <w:pPr>
              <w:pStyle w:val="TableParagraph"/>
              <w:kinsoku w:val="0"/>
              <w:overflowPunct w:val="0"/>
              <w:spacing w:before="0"/>
              <w:ind w:right="53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Винтовки (тыс. шт.)</w:t>
            </w:r>
          </w:p>
        </w:tc>
        <w:tc>
          <w:tcPr>
            <w:tcW w:w="624" w:type="dxa"/>
            <w:tcBorders>
              <w:top w:val="single" w:sz="4" w:space="0" w:color="231F20"/>
              <w:left w:val="single" w:sz="4" w:space="0" w:color="231F20"/>
              <w:bottom w:val="single" w:sz="4" w:space="0" w:color="231F20"/>
              <w:right w:val="single" w:sz="4" w:space="0" w:color="231F20"/>
            </w:tcBorders>
          </w:tcPr>
          <w:p w14:paraId="0A45D8CA" w14:textId="77777777" w:rsidR="000C39A0" w:rsidRPr="00142305" w:rsidRDefault="000C39A0"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w:t>
            </w:r>
          </w:p>
        </w:tc>
        <w:tc>
          <w:tcPr>
            <w:tcW w:w="624" w:type="dxa"/>
            <w:tcBorders>
              <w:top w:val="single" w:sz="4" w:space="0" w:color="231F20"/>
              <w:left w:val="single" w:sz="4" w:space="0" w:color="231F20"/>
              <w:bottom w:val="single" w:sz="4" w:space="0" w:color="231F20"/>
              <w:right w:val="single" w:sz="4" w:space="0" w:color="231F20"/>
            </w:tcBorders>
          </w:tcPr>
          <w:p w14:paraId="349A6E76" w14:textId="77777777" w:rsidR="000C39A0" w:rsidRPr="00142305" w:rsidRDefault="000C39A0"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126</w:t>
            </w:r>
          </w:p>
        </w:tc>
        <w:tc>
          <w:tcPr>
            <w:tcW w:w="624" w:type="dxa"/>
            <w:tcBorders>
              <w:top w:val="single" w:sz="4" w:space="0" w:color="231F20"/>
              <w:left w:val="single" w:sz="4" w:space="0" w:color="231F20"/>
              <w:bottom w:val="single" w:sz="4" w:space="0" w:color="231F20"/>
              <w:right w:val="single" w:sz="4" w:space="0" w:color="231F20"/>
            </w:tcBorders>
          </w:tcPr>
          <w:p w14:paraId="238C7DBC" w14:textId="77777777" w:rsidR="000C39A0" w:rsidRPr="00142305" w:rsidRDefault="000C39A0" w:rsidP="00DC550A">
            <w:pPr>
              <w:pStyle w:val="TableParagraph"/>
              <w:kinsoku w:val="0"/>
              <w:overflowPunct w:val="0"/>
              <w:spacing w:before="0"/>
              <w:ind w:left="25" w:right="2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84,0</w:t>
            </w:r>
          </w:p>
        </w:tc>
        <w:tc>
          <w:tcPr>
            <w:tcW w:w="624" w:type="dxa"/>
            <w:tcBorders>
              <w:top w:val="single" w:sz="4" w:space="0" w:color="231F20"/>
              <w:left w:val="single" w:sz="4" w:space="0" w:color="231F20"/>
              <w:bottom w:val="single" w:sz="4" w:space="0" w:color="231F20"/>
              <w:right w:val="single" w:sz="4" w:space="0" w:color="231F20"/>
            </w:tcBorders>
          </w:tcPr>
          <w:p w14:paraId="5FC0591B" w14:textId="77777777" w:rsidR="000C39A0" w:rsidRPr="00142305" w:rsidRDefault="000C39A0" w:rsidP="00DC550A">
            <w:pPr>
              <w:pStyle w:val="TableParagraph"/>
              <w:kinsoku w:val="0"/>
              <w:overflowPunct w:val="0"/>
              <w:spacing w:before="0"/>
              <w:ind w:left="175"/>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305</w:t>
            </w:r>
          </w:p>
        </w:tc>
        <w:tc>
          <w:tcPr>
            <w:tcW w:w="624" w:type="dxa"/>
            <w:tcBorders>
              <w:top w:val="single" w:sz="4" w:space="0" w:color="231F20"/>
              <w:left w:val="single" w:sz="4" w:space="0" w:color="231F20"/>
              <w:bottom w:val="single" w:sz="4" w:space="0" w:color="231F20"/>
              <w:right w:val="single" w:sz="4" w:space="0" w:color="231F20"/>
            </w:tcBorders>
          </w:tcPr>
          <w:p w14:paraId="71274968" w14:textId="77777777" w:rsidR="000C39A0" w:rsidRPr="00142305" w:rsidRDefault="000C39A0"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174</w:t>
            </w:r>
          </w:p>
        </w:tc>
        <w:tc>
          <w:tcPr>
            <w:tcW w:w="624" w:type="dxa"/>
            <w:tcBorders>
              <w:top w:val="single" w:sz="4" w:space="0" w:color="231F20"/>
              <w:left w:val="single" w:sz="4" w:space="0" w:color="231F20"/>
              <w:bottom w:val="single" w:sz="4" w:space="0" w:color="231F20"/>
              <w:right w:val="single" w:sz="4" w:space="0" w:color="231F20"/>
            </w:tcBorders>
          </w:tcPr>
          <w:p w14:paraId="0B380A81"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57,0</w:t>
            </w:r>
          </w:p>
        </w:tc>
        <w:tc>
          <w:tcPr>
            <w:tcW w:w="624" w:type="dxa"/>
            <w:tcBorders>
              <w:top w:val="single" w:sz="4" w:space="0" w:color="231F20"/>
              <w:left w:val="single" w:sz="4" w:space="0" w:color="231F20"/>
              <w:bottom w:val="single" w:sz="4" w:space="0" w:color="231F20"/>
              <w:right w:val="single" w:sz="4" w:space="0" w:color="231F20"/>
            </w:tcBorders>
          </w:tcPr>
          <w:p w14:paraId="7FF7A3BE"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385</w:t>
            </w:r>
          </w:p>
        </w:tc>
        <w:tc>
          <w:tcPr>
            <w:tcW w:w="624" w:type="dxa"/>
            <w:tcBorders>
              <w:top w:val="single" w:sz="4" w:space="0" w:color="231F20"/>
              <w:left w:val="single" w:sz="4" w:space="0" w:color="231F20"/>
              <w:bottom w:val="single" w:sz="4" w:space="0" w:color="231F20"/>
              <w:right w:val="single" w:sz="4" w:space="0" w:color="231F20"/>
            </w:tcBorders>
          </w:tcPr>
          <w:p w14:paraId="5A51A8A8"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224</w:t>
            </w:r>
          </w:p>
        </w:tc>
        <w:tc>
          <w:tcPr>
            <w:tcW w:w="624" w:type="dxa"/>
            <w:tcBorders>
              <w:top w:val="single" w:sz="4" w:space="0" w:color="231F20"/>
              <w:left w:val="single" w:sz="4" w:space="0" w:color="231F20"/>
              <w:bottom w:val="single" w:sz="4" w:space="0" w:color="231F20"/>
              <w:right w:val="single" w:sz="4" w:space="0" w:color="231F20"/>
            </w:tcBorders>
          </w:tcPr>
          <w:p w14:paraId="09C01FF5"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58,1</w:t>
            </w:r>
          </w:p>
        </w:tc>
      </w:tr>
      <w:tr w:rsidR="000C39A0" w:rsidRPr="00142305" w14:paraId="636B9F51"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72B22C08" w14:textId="77777777" w:rsidR="000C39A0" w:rsidRPr="00142305" w:rsidRDefault="000C39A0" w:rsidP="00DC550A">
            <w:pPr>
              <w:pStyle w:val="TableParagraph"/>
              <w:kinsoku w:val="0"/>
              <w:overflowPunct w:val="0"/>
              <w:spacing w:before="0"/>
              <w:ind w:right="22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Пулеметы (тыс. шт.)</w:t>
            </w:r>
          </w:p>
        </w:tc>
        <w:tc>
          <w:tcPr>
            <w:tcW w:w="624" w:type="dxa"/>
            <w:tcBorders>
              <w:top w:val="single" w:sz="4" w:space="0" w:color="231F20"/>
              <w:left w:val="single" w:sz="4" w:space="0" w:color="231F20"/>
              <w:bottom w:val="single" w:sz="4" w:space="0" w:color="231F20"/>
              <w:right w:val="single" w:sz="4" w:space="0" w:color="231F20"/>
            </w:tcBorders>
          </w:tcPr>
          <w:p w14:paraId="38502C30" w14:textId="77777777" w:rsidR="000C39A0" w:rsidRPr="00142305" w:rsidRDefault="000C39A0"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26,5</w:t>
            </w:r>
          </w:p>
        </w:tc>
        <w:tc>
          <w:tcPr>
            <w:tcW w:w="624" w:type="dxa"/>
            <w:tcBorders>
              <w:top w:val="single" w:sz="4" w:space="0" w:color="231F20"/>
              <w:left w:val="single" w:sz="4" w:space="0" w:color="231F20"/>
              <w:bottom w:val="single" w:sz="4" w:space="0" w:color="231F20"/>
              <w:right w:val="single" w:sz="4" w:space="0" w:color="231F20"/>
            </w:tcBorders>
          </w:tcPr>
          <w:p w14:paraId="76BBFBE2" w14:textId="77777777" w:rsidR="000C39A0" w:rsidRPr="00142305" w:rsidRDefault="000C39A0"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9,6</w:t>
            </w:r>
          </w:p>
        </w:tc>
        <w:tc>
          <w:tcPr>
            <w:tcW w:w="624" w:type="dxa"/>
            <w:tcBorders>
              <w:top w:val="single" w:sz="4" w:space="0" w:color="231F20"/>
              <w:left w:val="single" w:sz="4" w:space="0" w:color="231F20"/>
              <w:bottom w:val="single" w:sz="4" w:space="0" w:color="231F20"/>
              <w:right w:val="single" w:sz="4" w:space="0" w:color="231F20"/>
            </w:tcBorders>
          </w:tcPr>
          <w:p w14:paraId="24BB1420" w14:textId="77777777" w:rsidR="000C39A0" w:rsidRPr="00142305" w:rsidRDefault="000C39A0" w:rsidP="00DC550A">
            <w:pPr>
              <w:pStyle w:val="TableParagraph"/>
              <w:kinsoku w:val="0"/>
              <w:overflowPunct w:val="0"/>
              <w:spacing w:before="0"/>
              <w:ind w:left="25" w:right="2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36,2</w:t>
            </w:r>
          </w:p>
        </w:tc>
        <w:tc>
          <w:tcPr>
            <w:tcW w:w="624" w:type="dxa"/>
            <w:tcBorders>
              <w:top w:val="single" w:sz="4" w:space="0" w:color="231F20"/>
              <w:left w:val="single" w:sz="4" w:space="0" w:color="231F20"/>
              <w:bottom w:val="single" w:sz="4" w:space="0" w:color="231F20"/>
              <w:right w:val="single" w:sz="4" w:space="0" w:color="231F20"/>
            </w:tcBorders>
          </w:tcPr>
          <w:p w14:paraId="37FFCF64" w14:textId="77777777" w:rsidR="000C39A0" w:rsidRPr="00142305" w:rsidRDefault="000C39A0" w:rsidP="00DC550A">
            <w:pPr>
              <w:pStyle w:val="TableParagraph"/>
              <w:kinsoku w:val="0"/>
              <w:overflowPunct w:val="0"/>
              <w:spacing w:before="0"/>
              <w:ind w:left="159"/>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49,5</w:t>
            </w:r>
          </w:p>
        </w:tc>
        <w:tc>
          <w:tcPr>
            <w:tcW w:w="624" w:type="dxa"/>
            <w:tcBorders>
              <w:top w:val="single" w:sz="4" w:space="0" w:color="231F20"/>
              <w:left w:val="single" w:sz="4" w:space="0" w:color="231F20"/>
              <w:bottom w:val="single" w:sz="4" w:space="0" w:color="231F20"/>
              <w:right w:val="single" w:sz="4" w:space="0" w:color="231F20"/>
            </w:tcBorders>
          </w:tcPr>
          <w:p w14:paraId="6BC3F8E8" w14:textId="77777777" w:rsidR="000C39A0" w:rsidRPr="00142305" w:rsidRDefault="000C39A0"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40,9</w:t>
            </w:r>
          </w:p>
        </w:tc>
        <w:tc>
          <w:tcPr>
            <w:tcW w:w="624" w:type="dxa"/>
            <w:tcBorders>
              <w:top w:val="single" w:sz="4" w:space="0" w:color="231F20"/>
              <w:left w:val="single" w:sz="4" w:space="0" w:color="231F20"/>
              <w:bottom w:val="single" w:sz="4" w:space="0" w:color="231F20"/>
              <w:right w:val="single" w:sz="4" w:space="0" w:color="231F20"/>
            </w:tcBorders>
          </w:tcPr>
          <w:p w14:paraId="5830C45B"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82,6</w:t>
            </w:r>
          </w:p>
        </w:tc>
        <w:tc>
          <w:tcPr>
            <w:tcW w:w="624" w:type="dxa"/>
            <w:tcBorders>
              <w:top w:val="single" w:sz="4" w:space="0" w:color="231F20"/>
              <w:left w:val="single" w:sz="4" w:space="0" w:color="231F20"/>
              <w:bottom w:val="single" w:sz="4" w:space="0" w:color="231F20"/>
              <w:right w:val="single" w:sz="4" w:space="0" w:color="231F20"/>
            </w:tcBorders>
          </w:tcPr>
          <w:p w14:paraId="61E9BC6F"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75,8</w:t>
            </w:r>
          </w:p>
        </w:tc>
        <w:tc>
          <w:tcPr>
            <w:tcW w:w="624" w:type="dxa"/>
            <w:tcBorders>
              <w:top w:val="single" w:sz="4" w:space="0" w:color="231F20"/>
              <w:left w:val="single" w:sz="4" w:space="0" w:color="231F20"/>
              <w:bottom w:val="single" w:sz="4" w:space="0" w:color="231F20"/>
              <w:right w:val="single" w:sz="4" w:space="0" w:color="231F20"/>
            </w:tcBorders>
          </w:tcPr>
          <w:p w14:paraId="5EEEE54F"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w:t>
            </w:r>
          </w:p>
        </w:tc>
        <w:tc>
          <w:tcPr>
            <w:tcW w:w="624" w:type="dxa"/>
            <w:tcBorders>
              <w:top w:val="single" w:sz="4" w:space="0" w:color="231F20"/>
              <w:left w:val="single" w:sz="4" w:space="0" w:color="231F20"/>
              <w:bottom w:val="single" w:sz="4" w:space="0" w:color="231F20"/>
              <w:right w:val="single" w:sz="4" w:space="0" w:color="231F20"/>
            </w:tcBorders>
          </w:tcPr>
          <w:p w14:paraId="0DDFF2A0"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59,3</w:t>
            </w:r>
          </w:p>
        </w:tc>
      </w:tr>
      <w:tr w:rsidR="000C39A0" w:rsidRPr="00142305" w14:paraId="0B6E4532" w14:textId="77777777" w:rsidTr="00DC550A">
        <w:trPr>
          <w:trHeight w:val="441"/>
        </w:trPr>
        <w:tc>
          <w:tcPr>
            <w:tcW w:w="1304" w:type="dxa"/>
            <w:tcBorders>
              <w:top w:val="single" w:sz="4" w:space="0" w:color="231F20"/>
              <w:left w:val="single" w:sz="4" w:space="0" w:color="231F20"/>
              <w:bottom w:val="single" w:sz="4" w:space="0" w:color="231F20"/>
              <w:right w:val="single" w:sz="4" w:space="0" w:color="231F20"/>
            </w:tcBorders>
          </w:tcPr>
          <w:p w14:paraId="32CBD34C" w14:textId="77777777" w:rsidR="000C39A0" w:rsidRPr="00142305" w:rsidRDefault="000C39A0" w:rsidP="00DC550A">
            <w:pPr>
              <w:pStyle w:val="TableParagraph"/>
              <w:kinsoku w:val="0"/>
              <w:overflowPunct w:val="0"/>
              <w:spacing w:before="0"/>
              <w:ind w:right="257"/>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Винтпатроны (млн шт.)</w:t>
            </w:r>
          </w:p>
        </w:tc>
        <w:tc>
          <w:tcPr>
            <w:tcW w:w="624" w:type="dxa"/>
            <w:tcBorders>
              <w:top w:val="single" w:sz="4" w:space="0" w:color="231F20"/>
              <w:left w:val="single" w:sz="4" w:space="0" w:color="231F20"/>
              <w:bottom w:val="single" w:sz="4" w:space="0" w:color="231F20"/>
              <w:right w:val="single" w:sz="4" w:space="0" w:color="231F20"/>
            </w:tcBorders>
          </w:tcPr>
          <w:p w14:paraId="5075E187" w14:textId="77777777" w:rsidR="000C39A0" w:rsidRPr="00142305" w:rsidRDefault="000C39A0"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251</w:t>
            </w:r>
          </w:p>
        </w:tc>
        <w:tc>
          <w:tcPr>
            <w:tcW w:w="624" w:type="dxa"/>
            <w:tcBorders>
              <w:top w:val="single" w:sz="4" w:space="0" w:color="231F20"/>
              <w:left w:val="single" w:sz="4" w:space="0" w:color="231F20"/>
              <w:bottom w:val="single" w:sz="4" w:space="0" w:color="231F20"/>
              <w:right w:val="single" w:sz="4" w:space="0" w:color="231F20"/>
            </w:tcBorders>
          </w:tcPr>
          <w:p w14:paraId="5559C67E" w14:textId="77777777" w:rsidR="000C39A0" w:rsidRPr="00142305" w:rsidRDefault="000C39A0"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235</w:t>
            </w:r>
          </w:p>
        </w:tc>
        <w:tc>
          <w:tcPr>
            <w:tcW w:w="624" w:type="dxa"/>
            <w:tcBorders>
              <w:top w:val="single" w:sz="4" w:space="0" w:color="231F20"/>
              <w:left w:val="single" w:sz="4" w:space="0" w:color="231F20"/>
              <w:bottom w:val="single" w:sz="4" w:space="0" w:color="231F20"/>
              <w:right w:val="single" w:sz="4" w:space="0" w:color="231F20"/>
            </w:tcBorders>
          </w:tcPr>
          <w:p w14:paraId="7020B06E" w14:textId="77777777" w:rsidR="000C39A0" w:rsidRPr="00142305" w:rsidRDefault="000C39A0" w:rsidP="00DC550A">
            <w:pPr>
              <w:pStyle w:val="TableParagraph"/>
              <w:kinsoku w:val="0"/>
              <w:overflowPunct w:val="0"/>
              <w:spacing w:before="0"/>
              <w:ind w:left="25" w:right="2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93,6</w:t>
            </w:r>
          </w:p>
        </w:tc>
        <w:tc>
          <w:tcPr>
            <w:tcW w:w="624" w:type="dxa"/>
            <w:tcBorders>
              <w:top w:val="single" w:sz="4" w:space="0" w:color="231F20"/>
              <w:left w:val="single" w:sz="4" w:space="0" w:color="231F20"/>
              <w:bottom w:val="single" w:sz="4" w:space="0" w:color="231F20"/>
              <w:right w:val="single" w:sz="4" w:space="0" w:color="231F20"/>
            </w:tcBorders>
          </w:tcPr>
          <w:p w14:paraId="311D51F1" w14:textId="77777777" w:rsidR="000C39A0" w:rsidRPr="00142305" w:rsidRDefault="000C39A0" w:rsidP="00DC550A">
            <w:pPr>
              <w:pStyle w:val="TableParagraph"/>
              <w:kinsoku w:val="0"/>
              <w:overflowPunct w:val="0"/>
              <w:spacing w:before="0"/>
              <w:ind w:left="17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410</w:t>
            </w:r>
          </w:p>
        </w:tc>
        <w:tc>
          <w:tcPr>
            <w:tcW w:w="624" w:type="dxa"/>
            <w:tcBorders>
              <w:top w:val="single" w:sz="4" w:space="0" w:color="231F20"/>
              <w:left w:val="single" w:sz="4" w:space="0" w:color="231F20"/>
              <w:bottom w:val="single" w:sz="4" w:space="0" w:color="231F20"/>
              <w:right w:val="single" w:sz="4" w:space="0" w:color="231F20"/>
            </w:tcBorders>
          </w:tcPr>
          <w:p w14:paraId="4CDD4645" w14:textId="77777777" w:rsidR="000C39A0" w:rsidRPr="00142305" w:rsidRDefault="000C39A0"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234</w:t>
            </w:r>
          </w:p>
        </w:tc>
        <w:tc>
          <w:tcPr>
            <w:tcW w:w="624" w:type="dxa"/>
            <w:tcBorders>
              <w:top w:val="single" w:sz="4" w:space="0" w:color="231F20"/>
              <w:left w:val="single" w:sz="4" w:space="0" w:color="231F20"/>
              <w:bottom w:val="single" w:sz="4" w:space="0" w:color="231F20"/>
              <w:right w:val="single" w:sz="4" w:space="0" w:color="231F20"/>
            </w:tcBorders>
          </w:tcPr>
          <w:p w14:paraId="5FDD95FD"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57,0</w:t>
            </w:r>
          </w:p>
        </w:tc>
        <w:tc>
          <w:tcPr>
            <w:tcW w:w="624" w:type="dxa"/>
            <w:tcBorders>
              <w:top w:val="single" w:sz="4" w:space="0" w:color="231F20"/>
              <w:left w:val="single" w:sz="4" w:space="0" w:color="231F20"/>
              <w:bottom w:val="single" w:sz="4" w:space="0" w:color="231F20"/>
              <w:right w:val="single" w:sz="4" w:space="0" w:color="231F20"/>
            </w:tcBorders>
          </w:tcPr>
          <w:p w14:paraId="52CFEB58"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666</w:t>
            </w:r>
          </w:p>
        </w:tc>
        <w:tc>
          <w:tcPr>
            <w:tcW w:w="624" w:type="dxa"/>
            <w:tcBorders>
              <w:top w:val="single" w:sz="4" w:space="0" w:color="231F20"/>
              <w:left w:val="single" w:sz="4" w:space="0" w:color="231F20"/>
              <w:bottom w:val="single" w:sz="4" w:space="0" w:color="231F20"/>
              <w:right w:val="single" w:sz="4" w:space="0" w:color="231F20"/>
            </w:tcBorders>
          </w:tcPr>
          <w:p w14:paraId="0D84600B"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260</w:t>
            </w:r>
          </w:p>
        </w:tc>
        <w:tc>
          <w:tcPr>
            <w:tcW w:w="624" w:type="dxa"/>
            <w:tcBorders>
              <w:top w:val="single" w:sz="4" w:space="0" w:color="231F20"/>
              <w:left w:val="single" w:sz="4" w:space="0" w:color="231F20"/>
              <w:bottom w:val="single" w:sz="4" w:space="0" w:color="231F20"/>
              <w:right w:val="single" w:sz="4" w:space="0" w:color="231F20"/>
            </w:tcBorders>
          </w:tcPr>
          <w:p w14:paraId="2A654E01"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39,0</w:t>
            </w:r>
          </w:p>
        </w:tc>
      </w:tr>
      <w:tr w:rsidR="000C39A0" w:rsidRPr="00142305" w14:paraId="412009D9" w14:textId="77777777" w:rsidTr="00DC550A">
        <w:trPr>
          <w:trHeight w:val="273"/>
        </w:trPr>
        <w:tc>
          <w:tcPr>
            <w:tcW w:w="1304" w:type="dxa"/>
            <w:tcBorders>
              <w:top w:val="single" w:sz="4" w:space="0" w:color="231F20"/>
              <w:left w:val="single" w:sz="4" w:space="0" w:color="231F20"/>
              <w:bottom w:val="single" w:sz="4" w:space="0" w:color="231F20"/>
              <w:right w:val="single" w:sz="4" w:space="0" w:color="231F20"/>
            </w:tcBorders>
          </w:tcPr>
          <w:p w14:paraId="206157EC" w14:textId="77777777" w:rsidR="000C39A0" w:rsidRPr="00142305" w:rsidRDefault="000C39A0" w:rsidP="00DC550A">
            <w:pPr>
              <w:pStyle w:val="TableParagraph"/>
              <w:kinsoku w:val="0"/>
              <w:overflowPunct w:val="0"/>
              <w:spacing w:befor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Самолеты (шт.)</w:t>
            </w:r>
          </w:p>
        </w:tc>
        <w:tc>
          <w:tcPr>
            <w:tcW w:w="624" w:type="dxa"/>
            <w:tcBorders>
              <w:top w:val="single" w:sz="4" w:space="0" w:color="231F20"/>
              <w:left w:val="single" w:sz="4" w:space="0" w:color="231F20"/>
              <w:bottom w:val="single" w:sz="4" w:space="0" w:color="231F20"/>
              <w:right w:val="single" w:sz="4" w:space="0" w:color="231F20"/>
            </w:tcBorders>
          </w:tcPr>
          <w:p w14:paraId="5176BA85" w14:textId="77777777" w:rsidR="000C39A0" w:rsidRPr="00142305" w:rsidRDefault="000C39A0"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1232</w:t>
            </w:r>
          </w:p>
        </w:tc>
        <w:tc>
          <w:tcPr>
            <w:tcW w:w="624" w:type="dxa"/>
            <w:tcBorders>
              <w:top w:val="single" w:sz="4" w:space="0" w:color="231F20"/>
              <w:left w:val="single" w:sz="4" w:space="0" w:color="231F20"/>
              <w:bottom w:val="single" w:sz="4" w:space="0" w:color="231F20"/>
              <w:right w:val="single" w:sz="4" w:space="0" w:color="231F20"/>
            </w:tcBorders>
          </w:tcPr>
          <w:p w14:paraId="52DE6C96" w14:textId="77777777" w:rsidR="000C39A0" w:rsidRPr="00142305" w:rsidRDefault="000C39A0"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899</w:t>
            </w:r>
          </w:p>
        </w:tc>
        <w:tc>
          <w:tcPr>
            <w:tcW w:w="624" w:type="dxa"/>
            <w:tcBorders>
              <w:top w:val="single" w:sz="4" w:space="0" w:color="231F20"/>
              <w:left w:val="single" w:sz="4" w:space="0" w:color="231F20"/>
              <w:bottom w:val="single" w:sz="4" w:space="0" w:color="231F20"/>
              <w:right w:val="single" w:sz="4" w:space="0" w:color="231F20"/>
            </w:tcBorders>
          </w:tcPr>
          <w:p w14:paraId="39F8A264" w14:textId="77777777" w:rsidR="000C39A0" w:rsidRPr="00142305" w:rsidRDefault="000C39A0" w:rsidP="00DC550A">
            <w:pPr>
              <w:pStyle w:val="TableParagraph"/>
              <w:kinsoku w:val="0"/>
              <w:overflowPunct w:val="0"/>
              <w:spacing w:before="0"/>
              <w:ind w:left="25" w:right="2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72,9</w:t>
            </w:r>
          </w:p>
        </w:tc>
        <w:tc>
          <w:tcPr>
            <w:tcW w:w="624" w:type="dxa"/>
            <w:tcBorders>
              <w:top w:val="single" w:sz="4" w:space="0" w:color="231F20"/>
              <w:left w:val="single" w:sz="4" w:space="0" w:color="231F20"/>
              <w:bottom w:val="single" w:sz="4" w:space="0" w:color="231F20"/>
              <w:right w:val="single" w:sz="4" w:space="0" w:color="231F20"/>
            </w:tcBorders>
          </w:tcPr>
          <w:p w14:paraId="127A9F63" w14:textId="77777777" w:rsidR="000C39A0" w:rsidRPr="00142305" w:rsidRDefault="000C39A0" w:rsidP="00DC550A">
            <w:pPr>
              <w:pStyle w:val="TableParagraph"/>
              <w:kinsoku w:val="0"/>
              <w:overflowPunct w:val="0"/>
              <w:spacing w:before="0"/>
              <w:ind w:left="13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2024</w:t>
            </w:r>
          </w:p>
        </w:tc>
        <w:tc>
          <w:tcPr>
            <w:tcW w:w="624" w:type="dxa"/>
            <w:tcBorders>
              <w:top w:val="single" w:sz="4" w:space="0" w:color="231F20"/>
              <w:left w:val="single" w:sz="4" w:space="0" w:color="231F20"/>
              <w:bottom w:val="single" w:sz="4" w:space="0" w:color="231F20"/>
              <w:right w:val="single" w:sz="4" w:space="0" w:color="231F20"/>
            </w:tcBorders>
          </w:tcPr>
          <w:p w14:paraId="05415044" w14:textId="77777777" w:rsidR="000C39A0" w:rsidRPr="00142305" w:rsidRDefault="000C39A0"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860</w:t>
            </w:r>
          </w:p>
        </w:tc>
        <w:tc>
          <w:tcPr>
            <w:tcW w:w="624" w:type="dxa"/>
            <w:tcBorders>
              <w:top w:val="single" w:sz="4" w:space="0" w:color="231F20"/>
              <w:left w:val="single" w:sz="4" w:space="0" w:color="231F20"/>
              <w:bottom w:val="single" w:sz="4" w:space="0" w:color="231F20"/>
              <w:right w:val="single" w:sz="4" w:space="0" w:color="231F20"/>
            </w:tcBorders>
          </w:tcPr>
          <w:p w14:paraId="35B0F621"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42,4</w:t>
            </w:r>
          </w:p>
        </w:tc>
        <w:tc>
          <w:tcPr>
            <w:tcW w:w="624" w:type="dxa"/>
            <w:tcBorders>
              <w:top w:val="single" w:sz="4" w:space="0" w:color="231F20"/>
              <w:left w:val="single" w:sz="4" w:space="0" w:color="231F20"/>
              <w:bottom w:val="single" w:sz="4" w:space="0" w:color="231F20"/>
              <w:right w:val="single" w:sz="4" w:space="0" w:color="231F20"/>
            </w:tcBorders>
          </w:tcPr>
          <w:p w14:paraId="60DF1705"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3496</w:t>
            </w:r>
          </w:p>
        </w:tc>
        <w:tc>
          <w:tcPr>
            <w:tcW w:w="624" w:type="dxa"/>
            <w:tcBorders>
              <w:top w:val="single" w:sz="4" w:space="0" w:color="231F20"/>
              <w:left w:val="single" w:sz="4" w:space="0" w:color="231F20"/>
              <w:bottom w:val="single" w:sz="4" w:space="0" w:color="231F20"/>
              <w:right w:val="single" w:sz="4" w:space="0" w:color="231F20"/>
            </w:tcBorders>
          </w:tcPr>
          <w:p w14:paraId="6982FC25"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1734</w:t>
            </w:r>
          </w:p>
        </w:tc>
        <w:tc>
          <w:tcPr>
            <w:tcW w:w="624" w:type="dxa"/>
            <w:tcBorders>
              <w:top w:val="single" w:sz="4" w:space="0" w:color="231F20"/>
              <w:left w:val="single" w:sz="4" w:space="0" w:color="231F20"/>
              <w:bottom w:val="single" w:sz="4" w:space="0" w:color="231F20"/>
              <w:right w:val="single" w:sz="4" w:space="0" w:color="231F20"/>
            </w:tcBorders>
          </w:tcPr>
          <w:p w14:paraId="611015C5"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49,5</w:t>
            </w:r>
          </w:p>
        </w:tc>
      </w:tr>
      <w:tr w:rsidR="000C39A0" w:rsidRPr="00142305" w14:paraId="00957ACB" w14:textId="77777777" w:rsidTr="00DC550A">
        <w:trPr>
          <w:trHeight w:val="273"/>
        </w:trPr>
        <w:tc>
          <w:tcPr>
            <w:tcW w:w="1304" w:type="dxa"/>
            <w:tcBorders>
              <w:top w:val="single" w:sz="4" w:space="0" w:color="231F20"/>
              <w:left w:val="single" w:sz="4" w:space="0" w:color="231F20"/>
              <w:bottom w:val="single" w:sz="4" w:space="0" w:color="231F20"/>
              <w:right w:val="single" w:sz="4" w:space="0" w:color="231F20"/>
            </w:tcBorders>
          </w:tcPr>
          <w:p w14:paraId="05269729" w14:textId="77777777" w:rsidR="000C39A0" w:rsidRPr="00142305" w:rsidRDefault="000C39A0" w:rsidP="00DC550A">
            <w:pPr>
              <w:pStyle w:val="TableParagraph"/>
              <w:kinsoku w:val="0"/>
              <w:overflowPunct w:val="0"/>
              <w:spacing w:befor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Танки (шт.)</w:t>
            </w:r>
          </w:p>
        </w:tc>
        <w:tc>
          <w:tcPr>
            <w:tcW w:w="624" w:type="dxa"/>
            <w:tcBorders>
              <w:top w:val="single" w:sz="4" w:space="0" w:color="231F20"/>
              <w:left w:val="single" w:sz="4" w:space="0" w:color="231F20"/>
              <w:bottom w:val="single" w:sz="4" w:space="0" w:color="231F20"/>
              <w:right w:val="single" w:sz="4" w:space="0" w:color="231F20"/>
            </w:tcBorders>
          </w:tcPr>
          <w:p w14:paraId="3481C4C1" w14:textId="77777777" w:rsidR="000C39A0" w:rsidRPr="00142305" w:rsidRDefault="000C39A0" w:rsidP="00DC550A">
            <w:pPr>
              <w:pStyle w:val="TableParagraph"/>
              <w:kinsoku w:val="0"/>
              <w:overflowPunct w:val="0"/>
              <w:spacing w:before="0"/>
              <w:ind w:left="25" w:right="21"/>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340</w:t>
            </w:r>
          </w:p>
        </w:tc>
        <w:tc>
          <w:tcPr>
            <w:tcW w:w="624" w:type="dxa"/>
            <w:tcBorders>
              <w:top w:val="single" w:sz="4" w:space="0" w:color="231F20"/>
              <w:left w:val="single" w:sz="4" w:space="0" w:color="231F20"/>
              <w:bottom w:val="single" w:sz="4" w:space="0" w:color="231F20"/>
              <w:right w:val="single" w:sz="4" w:space="0" w:color="231F20"/>
            </w:tcBorders>
          </w:tcPr>
          <w:p w14:paraId="7165F72D" w14:textId="77777777" w:rsidR="000C39A0" w:rsidRPr="00142305" w:rsidRDefault="000C39A0" w:rsidP="00DC550A">
            <w:pPr>
              <w:pStyle w:val="TableParagraph"/>
              <w:kinsoku w:val="0"/>
              <w:overflowPunct w:val="0"/>
              <w:spacing w:before="0"/>
              <w:ind w:left="25" w:right="22"/>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170</w:t>
            </w:r>
          </w:p>
        </w:tc>
        <w:tc>
          <w:tcPr>
            <w:tcW w:w="624" w:type="dxa"/>
            <w:tcBorders>
              <w:top w:val="single" w:sz="4" w:space="0" w:color="231F20"/>
              <w:left w:val="single" w:sz="4" w:space="0" w:color="231F20"/>
              <w:bottom w:val="single" w:sz="4" w:space="0" w:color="231F20"/>
              <w:right w:val="single" w:sz="4" w:space="0" w:color="231F20"/>
            </w:tcBorders>
          </w:tcPr>
          <w:p w14:paraId="6FC87C18" w14:textId="77777777" w:rsidR="000C39A0" w:rsidRPr="00142305" w:rsidRDefault="000C39A0" w:rsidP="00DC550A">
            <w:pPr>
              <w:pStyle w:val="TableParagraph"/>
              <w:kinsoku w:val="0"/>
              <w:overflowPunct w:val="0"/>
              <w:spacing w:before="0"/>
              <w:ind w:left="25" w:right="23"/>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50,0</w:t>
            </w:r>
          </w:p>
        </w:tc>
        <w:tc>
          <w:tcPr>
            <w:tcW w:w="624" w:type="dxa"/>
            <w:tcBorders>
              <w:top w:val="single" w:sz="4" w:space="0" w:color="231F20"/>
              <w:left w:val="single" w:sz="4" w:space="0" w:color="231F20"/>
              <w:bottom w:val="single" w:sz="4" w:space="0" w:color="231F20"/>
              <w:right w:val="single" w:sz="4" w:space="0" w:color="231F20"/>
            </w:tcBorders>
          </w:tcPr>
          <w:p w14:paraId="794DA392" w14:textId="77777777" w:rsidR="000C39A0" w:rsidRPr="00142305" w:rsidRDefault="000C39A0" w:rsidP="00DC550A">
            <w:pPr>
              <w:pStyle w:val="TableParagraph"/>
              <w:kinsoku w:val="0"/>
              <w:overflowPunct w:val="0"/>
              <w:spacing w:before="0"/>
              <w:ind w:left="13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1288</w:t>
            </w:r>
          </w:p>
        </w:tc>
        <w:tc>
          <w:tcPr>
            <w:tcW w:w="624" w:type="dxa"/>
            <w:tcBorders>
              <w:top w:val="single" w:sz="4" w:space="0" w:color="231F20"/>
              <w:left w:val="single" w:sz="4" w:space="0" w:color="231F20"/>
              <w:bottom w:val="single" w:sz="4" w:space="0" w:color="231F20"/>
              <w:right w:val="single" w:sz="4" w:space="0" w:color="231F20"/>
            </w:tcBorders>
          </w:tcPr>
          <w:p w14:paraId="328905CF" w14:textId="77777777" w:rsidR="000C39A0" w:rsidRPr="00142305" w:rsidRDefault="000C39A0" w:rsidP="00DC550A">
            <w:pPr>
              <w:pStyle w:val="TableParagraph"/>
              <w:kinsoku w:val="0"/>
              <w:overflowPunct w:val="0"/>
              <w:spacing w:before="0"/>
              <w:ind w:left="25"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740</w:t>
            </w:r>
          </w:p>
        </w:tc>
        <w:tc>
          <w:tcPr>
            <w:tcW w:w="624" w:type="dxa"/>
            <w:tcBorders>
              <w:top w:val="single" w:sz="4" w:space="0" w:color="231F20"/>
              <w:left w:val="single" w:sz="4" w:space="0" w:color="231F20"/>
              <w:bottom w:val="single" w:sz="4" w:space="0" w:color="231F20"/>
              <w:right w:val="single" w:sz="4" w:space="0" w:color="231F20"/>
            </w:tcBorders>
          </w:tcPr>
          <w:p w14:paraId="4DB0B415"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57,4</w:t>
            </w:r>
          </w:p>
        </w:tc>
        <w:tc>
          <w:tcPr>
            <w:tcW w:w="624" w:type="dxa"/>
            <w:tcBorders>
              <w:top w:val="single" w:sz="4" w:space="0" w:color="231F20"/>
              <w:left w:val="single" w:sz="4" w:space="0" w:color="231F20"/>
              <w:bottom w:val="single" w:sz="4" w:space="0" w:color="231F20"/>
              <w:right w:val="single" w:sz="4" w:space="0" w:color="231F20"/>
            </w:tcBorders>
          </w:tcPr>
          <w:p w14:paraId="0EF97A53" w14:textId="77777777" w:rsidR="000C39A0" w:rsidRPr="00142305" w:rsidRDefault="000C39A0" w:rsidP="00DC550A">
            <w:pPr>
              <w:pStyle w:val="TableParagraph"/>
              <w:kinsoku w:val="0"/>
              <w:overflowPunct w:val="0"/>
              <w:spacing w:before="0"/>
              <w:ind w:left="24"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3400</w:t>
            </w:r>
          </w:p>
        </w:tc>
        <w:tc>
          <w:tcPr>
            <w:tcW w:w="624" w:type="dxa"/>
            <w:tcBorders>
              <w:top w:val="single" w:sz="4" w:space="0" w:color="231F20"/>
              <w:left w:val="single" w:sz="4" w:space="0" w:color="231F20"/>
              <w:bottom w:val="single" w:sz="4" w:space="0" w:color="231F20"/>
              <w:right w:val="single" w:sz="4" w:space="0" w:color="231F20"/>
            </w:tcBorders>
          </w:tcPr>
          <w:p w14:paraId="13D67CD3"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3038</w:t>
            </w:r>
          </w:p>
        </w:tc>
        <w:tc>
          <w:tcPr>
            <w:tcW w:w="624" w:type="dxa"/>
            <w:tcBorders>
              <w:top w:val="single" w:sz="4" w:space="0" w:color="231F20"/>
              <w:left w:val="single" w:sz="4" w:space="0" w:color="231F20"/>
              <w:bottom w:val="single" w:sz="4" w:space="0" w:color="231F20"/>
              <w:right w:val="single" w:sz="4" w:space="0" w:color="231F20"/>
            </w:tcBorders>
          </w:tcPr>
          <w:p w14:paraId="267F66BF" w14:textId="77777777" w:rsidR="000C39A0" w:rsidRPr="00142305" w:rsidRDefault="000C39A0" w:rsidP="00DC550A">
            <w:pPr>
              <w:pStyle w:val="TableParagraph"/>
              <w:kinsoku w:val="0"/>
              <w:overflowPunct w:val="0"/>
              <w:spacing w:before="0"/>
              <w:ind w:left="23" w:right="24"/>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89,3</w:t>
            </w:r>
          </w:p>
        </w:tc>
      </w:tr>
    </w:tbl>
    <w:p w14:paraId="01946337"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Плохие показатели работы военной промышленности в 1929–1932 гг. объясняются трудностями освоения в производстве новых образцов вооружения и боевой техники.</w:t>
      </w:r>
    </w:p>
    <w:p w14:paraId="34AEE191"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Качество советской военной продукции, действительно, находилось на низком уровне. Об этом свидетельствуют многие документы и материалы, особенно исходящие от ведомственно незаинтересованных инстанций: НК РКИ и ЭКУ ОГПУ (24980).</w:t>
      </w:r>
    </w:p>
    <w:p w14:paraId="34103993" w14:textId="77777777" w:rsidR="000C39A0" w:rsidRPr="00142305" w:rsidRDefault="000C39A0" w:rsidP="000C39A0">
      <w:pPr>
        <w:spacing w:after="0" w:line="240" w:lineRule="auto"/>
        <w:jc w:val="both"/>
        <w:rPr>
          <w:rFonts w:ascii="Times New Roman" w:hAnsi="Times New Roman"/>
          <w:color w:val="0070C0"/>
          <w:sz w:val="16"/>
          <w:szCs w:val="16"/>
        </w:rPr>
      </w:pPr>
    </w:p>
    <w:p w14:paraId="75B4272B" w14:textId="0179FA43"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завод (Завод № 54 НКТП, Завод Русско-Бельгийского АО патронных заводов, Завод «Пролетарская диктатура» /г. Москва Марьина роща/). В начале 1900-х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это- небольшой частный патронный завод Русско-Бельгийского акционерного общества патронных заводов в Марьиной роще (которое имело еще один патронный завод в Кунцево). После революции переименован в завод «Пролетарская диктатура». Затем преобразован в опытный патронный завод. передан в военную промышленность и в 1933 г. получил № 54. Находился в ведении Патрубвзрыва, затем Патроннно-гильзового треста НКТП. До войны (в ~1938 г.) переименован в завод № 44. До 1940 г. являлся филиалом завода № 46 (11982).</w:t>
      </w:r>
    </w:p>
    <w:p w14:paraId="1B4F8825"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5526C018" w14:textId="0E97C4D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фабрика тертых красок и жестяных изделий в составе 4 цехов и вспомогательных служб (Завод № 348 НКБ, Металлозавод № 1 им. 15-й годовщины Октябрьской революции, Саратовский завод «Проммаш», ОАО «Завод «Проммаш» Росбоеприпаса /г. Саратов ул. Астраханская, 95 «Звезда» (1943 г.)/ /410005</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Саратов ул. Астраханская, 87 тел. 27-47-58/) переименована в «Металлозавод № 1 им. 15-й годовщины Октябрьской революции», начато производство укупорки для порохов и снарядов морской артиллерии, дегазационных приборов для химических войск РККА.</w:t>
      </w:r>
    </w:p>
    <w:p w14:paraId="4AA42B9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1939 г. завод передан в ведение НКБ и получает наименование «завод № 348». В 12.1942-04.1943 г. - в ведении ЗГУ НКБ. Вероятно, имел обозначение «п/я 56». В составе завода (1943 г.): основные цехи: №1,2, 3,4, 5, 6.</w:t>
      </w:r>
    </w:p>
    <w:p w14:paraId="172915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начат выпуск продукции для народного хозяйства: детали для тракторов и сельхозтехники, доильные установки, электроплитки, бытовые весы.</w:t>
      </w:r>
    </w:p>
    <w:p w14:paraId="1E305A52" w14:textId="3216357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1967 г. предприятие переименовано в Саратовский завод «Проммаш». В 1970-е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освоен выпуск новой оборонной продукции. С 1989 г. в рамках конверсии начат выпуск электроплит, стальной и эмалированной посуды, регуляторов газа, светильников, изделий из пластмасс. В 1990-е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проведена полная перестройка производства на выпуск торгово-технологического оборудования для предприятий общественного питания. В 1995 г. предприятие акционировано и преобразовано в ОАО «Завод «Проммаш». Площадь (1943 г.): производственная- 3521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вспомогательная- 309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Численность персонала (12.1942 г.)- 811 чел. Гендиректор (2004 г.)- П.Б. Берзон. Зам. директора (04.1943 г.)- Супонин. Начальники отделов: 2-го (04.1943 г.)- Иванов.</w:t>
      </w:r>
    </w:p>
    <w:p w14:paraId="4005CD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пороховая укупорка, пеналы ФПУ-50 (1943);</w:t>
      </w:r>
      <w:r w:rsidRPr="00E93F40">
        <w:rPr>
          <w:rFonts w:ascii="Times New Roman" w:hAnsi="Times New Roman"/>
          <w:color w:val="000000" w:themeColor="text1"/>
          <w:sz w:val="16"/>
          <w:szCs w:val="16"/>
          <w:vertAlign w:val="superscript"/>
        </w:rPr>
        <w:t>132</w:t>
      </w:r>
      <w:r w:rsidRPr="00E93F40">
        <w:rPr>
          <w:rFonts w:ascii="Times New Roman" w:hAnsi="Times New Roman"/>
          <w:color w:val="000000" w:themeColor="text1"/>
          <w:sz w:val="16"/>
          <w:szCs w:val="16"/>
        </w:rPr>
        <w:t xml:space="preserve"> котел пищеварочный КЭ-150Ц, плита электрическая ПЭТ-0,51Ш, сковорода электрическая СЭЧ-0,25, шкафы жарочные ШЖЭ-0,68ЕП, 2ШЖЭ-1,36Е (2004); хлебопекарни, стеллажи, ящики, столы (2004) (11982).</w:t>
      </w:r>
    </w:p>
    <w:p w14:paraId="39AAE12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8B79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 построен Завод № 311 НКБ, п/я 95 /г. Саратов п/я 95 «Рычаг» (1943 г.)/, реконструирован в 1941 г.</w:t>
      </w:r>
    </w:p>
    <w:p w14:paraId="60B159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12.1942-04.1943 г. - в ведении 4ГУ НКБ, в 08.1943-09.1944 г. - в ведении 8ГУ. Имел обозначение «п/я 95» (1943 г.).</w:t>
      </w:r>
    </w:p>
    <w:p w14:paraId="0ED0A2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технологического оборудования для заводов отрасли. В составе завода основные цехи (1943 г.): механический, кузнечно-прессовый, термический, черного литья, цветного литья. Количество оборудования- 216 ед.</w:t>
      </w:r>
    </w:p>
    <w:p w14:paraId="74EEBD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НКБ № 1045с от 10.11.1943 г. с завода № 311 на завод № 599 переведено 10 рабочих.</w:t>
      </w:r>
    </w:p>
    <w:p w14:paraId="05DBA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(1943 г.): производственная- 3298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вспомогательная- 1498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563A6E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(12.1942 г.)- 828 чел.</w:t>
      </w:r>
    </w:p>
    <w:p w14:paraId="1AC0E4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(-04-11.1943 г.-)- Паськов.</w:t>
      </w:r>
    </w:p>
    <w:p w14:paraId="750662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4-го (04.1943 г.)- Гликман.</w:t>
      </w:r>
    </w:p>
    <w:p w14:paraId="110A80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корпуса 45-мм снарядов; станки (1943) (11982).</w:t>
      </w:r>
    </w:p>
    <w:p w14:paraId="5AED1F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5ECA5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28875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7808E44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082AB2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6900DF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6178E2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1935 г. опытный образец АКТ-37 был изготовлен в мастерских Артакадемии. После длительной отладки 4 мая 1936 г. АКТ-37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758752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638105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67B9F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643FAA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798CA2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1936–1938 гг. на заводе № 7 было изготовлено 15 автоматов АКТ-37, а на заводе № 4 (им. Ворошилова) — 5.</w:t>
      </w:r>
    </w:p>
    <w:p w14:paraId="234EA3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1AF00A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05DF28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5D27FF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Данные автомата АКТ-37 </w:t>
      </w:r>
    </w:p>
    <w:p w14:paraId="627E50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37</w:t>
      </w:r>
    </w:p>
    <w:p w14:paraId="22E0A4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автомата, мм — 3050*</w:t>
      </w:r>
    </w:p>
    <w:p w14:paraId="1F1CCE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мм/клб — 1900/51,3</w:t>
      </w:r>
    </w:p>
    <w:p w14:paraId="2F2B47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нарезной части, мм — 1652</w:t>
      </w:r>
    </w:p>
    <w:p w14:paraId="2A758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Объем каморы, л — 0,266</w:t>
      </w:r>
    </w:p>
    <w:p w14:paraId="7A5F9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Крутизна нарезов: у основания, клб/град — 50/3°35?43?</w:t>
      </w:r>
    </w:p>
    <w:p w14:paraId="3FBE49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 дула, клб/град — 30/5°58?42?</w:t>
      </w:r>
    </w:p>
    <w:p w14:paraId="020B0B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нарезов — 15</w:t>
      </w:r>
    </w:p>
    <w:p w14:paraId="7CB7F1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Глубина нарезов, мм — 0,45</w:t>
      </w:r>
    </w:p>
    <w:p w14:paraId="37B39C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нарезов, мм — 4,8</w:t>
      </w:r>
    </w:p>
    <w:p w14:paraId="008068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полей, мм — 2,5</w:t>
      </w:r>
    </w:p>
    <w:p w14:paraId="5936D7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ствола, кг — 13,13*</w:t>
      </w:r>
    </w:p>
    <w:p w14:paraId="27E745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автоматики (затвора с рамой), кг — 8,5*</w:t>
      </w:r>
    </w:p>
    <w:p w14:paraId="6E6B0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откатных частей, кг — 134,5 (при весе качающейся части 240 кг)</w:t>
      </w:r>
    </w:p>
    <w:p w14:paraId="1AD9C89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качающейся части, кг — 215* (позже 240 кг)</w:t>
      </w:r>
    </w:p>
    <w:p w14:paraId="2FF213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магазина с 5 патронами, кг — 12,5*</w:t>
      </w:r>
    </w:p>
    <w:p w14:paraId="74D239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отката, мм: максимальная — 160</w:t>
      </w:r>
    </w:p>
    <w:p w14:paraId="3FF325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минимальная, обеспечивающая работу автоматики — 153–155</w:t>
      </w:r>
    </w:p>
    <w:p w14:paraId="6E010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Темп стрельбы, выстр/мин — 150–200 (на различных испытаниях)</w:t>
      </w:r>
    </w:p>
    <w:p w14:paraId="37F4F7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Расчетные данные.</w:t>
      </w:r>
    </w:p>
    <w:p w14:paraId="4BCCA1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045E4B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гильзы первоначально была 265 мм, а с конца 1936 г. — 240 мм. Вес патрона около 1,5 кг.</w:t>
      </w:r>
    </w:p>
    <w:p w14:paraId="307CBC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3C5FB0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Основными отличиями АСКОН от АКТ были:</w:t>
      </w:r>
    </w:p>
    <w:p w14:paraId="3E0B0A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48AC84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1D62D4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7385A5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692EB3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3FADE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Данные 37-мм автоматической пушки АСКОН-37 </w:t>
      </w:r>
    </w:p>
    <w:p w14:paraId="0CA77C8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Калибр, мм — 37</w:t>
      </w:r>
    </w:p>
    <w:p w14:paraId="106192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автомата, мм — 3318</w:t>
      </w:r>
    </w:p>
    <w:p w14:paraId="0A42CB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ствола, мм/клб — 2335/63,1</w:t>
      </w:r>
    </w:p>
    <w:p w14:paraId="3F841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пути снаряда по каналу, мм — 2115</w:t>
      </w:r>
    </w:p>
    <w:p w14:paraId="4A8D03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нарезной части, мм — 072</w:t>
      </w:r>
    </w:p>
    <w:p w14:paraId="1ED827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Объем каморы, дм3 — 0,540</w:t>
      </w:r>
    </w:p>
    <w:p w14:paraId="656A1A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Крутизна нарезов постоянная, клб — 30</w:t>
      </w:r>
    </w:p>
    <w:p w14:paraId="327C48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Число нарезов — 16</w:t>
      </w:r>
    </w:p>
    <w:p w14:paraId="6500FF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Глубина нарезов, мм — 0,45</w:t>
      </w:r>
    </w:p>
    <w:p w14:paraId="724BC3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Ширина полей, мм — 2,5</w:t>
      </w:r>
    </w:p>
    <w:p w14:paraId="5F9E0C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ствольной группы, кг — 123,4</w:t>
      </w:r>
    </w:p>
    <w:p w14:paraId="4D5A1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автоматики, кг — 13</w:t>
      </w:r>
    </w:p>
    <w:p w14:paraId="13DEE9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откатных частей; кг — 153</w:t>
      </w:r>
    </w:p>
    <w:p w14:paraId="69B59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люльки, кг — 71,24</w:t>
      </w:r>
    </w:p>
    <w:p w14:paraId="7688F8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магазина, кг — 5,73</w:t>
      </w:r>
    </w:p>
    <w:p w14:paraId="7FAD78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качающейся части, кг — 442,1</w:t>
      </w:r>
    </w:p>
    <w:p w14:paraId="3D070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Длина отката ствола, мм — 117</w:t>
      </w:r>
    </w:p>
    <w:p w14:paraId="51233E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Темп стрельбы, выстр/мин — 250</w:t>
      </w:r>
    </w:p>
    <w:p w14:paraId="5024C7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Баллистические данные АСКОН-37</w:t>
      </w:r>
    </w:p>
    <w:p w14:paraId="2DF601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Тип снаряда — Осколочный чертежа 6436 (АНИМИ)</w:t>
      </w:r>
    </w:p>
    <w:p w14:paraId="51AF6C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снаряда, кг — 0,645</w:t>
      </w:r>
    </w:p>
    <w:p w14:paraId="51EA63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Вес заряда, кг — 0,378</w:t>
      </w:r>
    </w:p>
    <w:p w14:paraId="27EA8B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Начальная скорость, м/с — 1060</w:t>
      </w:r>
    </w:p>
    <w:p w14:paraId="6BED56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Давление, кг/см2 — 2900 (12091).</w:t>
      </w:r>
    </w:p>
    <w:p w14:paraId="0B258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919B824" w14:textId="566520C7" w:rsidR="00FB38D7" w:rsidRPr="00E93F40" w:rsidRDefault="00FB38D7" w:rsidP="00E93F40">
      <w:pPr>
        <w:pStyle w:val="rtejustify"/>
        <w:shd w:val="clear" w:color="auto" w:fill="FFFFFF"/>
        <w:spacing w:before="0" w:after="0"/>
        <w:rPr>
          <w:color w:val="000000" w:themeColor="text1"/>
          <w:sz w:val="16"/>
          <w:szCs w:val="16"/>
        </w:rPr>
      </w:pPr>
      <w:r w:rsidRPr="00E93F40">
        <w:rPr>
          <w:color w:val="000000" w:themeColor="text1"/>
          <w:sz w:val="16"/>
          <w:szCs w:val="16"/>
        </w:rPr>
        <w:t>С 1932 года проектирование 37-мм зенитных автоматов велось в конструкторском бюро Артуправления (ОКБ-43) под Ленинградом под руководством</w:t>
      </w:r>
      <w:r w:rsidR="00DD74E1">
        <w:rPr>
          <w:color w:val="000000" w:themeColor="text1"/>
          <w:sz w:val="16"/>
          <w:szCs w:val="16"/>
        </w:rPr>
        <w:t xml:space="preserve"> </w:t>
      </w:r>
      <w:r w:rsidRPr="00E93F40">
        <w:rPr>
          <w:color w:val="000000" w:themeColor="text1"/>
          <w:sz w:val="16"/>
          <w:szCs w:val="16"/>
        </w:rPr>
        <w:t>М.Н. Кондакова и</w:t>
      </w:r>
      <w:r w:rsidR="00DD74E1">
        <w:rPr>
          <w:color w:val="000000" w:themeColor="text1"/>
          <w:sz w:val="16"/>
          <w:szCs w:val="16"/>
        </w:rPr>
        <w:t xml:space="preserve"> </w:t>
      </w:r>
      <w:r w:rsidRPr="00E93F40">
        <w:rPr>
          <w:color w:val="000000" w:themeColor="text1"/>
          <w:sz w:val="16"/>
          <w:szCs w:val="16"/>
        </w:rPr>
        <w:t>А.</w:t>
      </w:r>
      <w:r w:rsidR="007C1411" w:rsidRPr="00E93F40">
        <w:rPr>
          <w:color w:val="000000" w:themeColor="text1"/>
          <w:sz w:val="16"/>
          <w:szCs w:val="16"/>
        </w:rPr>
        <w:t xml:space="preserve"> </w:t>
      </w:r>
      <w:r w:rsidRPr="00E93F40">
        <w:rPr>
          <w:color w:val="000000" w:themeColor="text1"/>
          <w:sz w:val="16"/>
          <w:szCs w:val="16"/>
        </w:rPr>
        <w:t>А.</w:t>
      </w:r>
      <w:r w:rsidR="007C1411" w:rsidRPr="00E93F40">
        <w:rPr>
          <w:color w:val="000000" w:themeColor="text1"/>
          <w:sz w:val="16"/>
          <w:szCs w:val="16"/>
        </w:rPr>
        <w:t xml:space="preserve"> </w:t>
      </w:r>
      <w:r w:rsidRPr="00E93F40">
        <w:rPr>
          <w:color w:val="000000" w:themeColor="text1"/>
          <w:sz w:val="16"/>
          <w:szCs w:val="16"/>
        </w:rPr>
        <w:t>Толочкова. Орудие, получившее индекс</w:t>
      </w:r>
      <w:r w:rsidR="007C1411" w:rsidRPr="00E93F40">
        <w:rPr>
          <w:color w:val="000000" w:themeColor="text1"/>
          <w:sz w:val="16"/>
          <w:szCs w:val="16"/>
        </w:rPr>
        <w:t xml:space="preserve"> </w:t>
      </w:r>
      <w:r w:rsidRPr="00E93F40">
        <w:rPr>
          <w:color w:val="000000" w:themeColor="text1"/>
          <w:sz w:val="16"/>
          <w:szCs w:val="16"/>
        </w:rPr>
        <w:t>АКТ-37</w:t>
      </w:r>
      <w:r w:rsidR="007C1411" w:rsidRPr="00E93F40">
        <w:rPr>
          <w:color w:val="000000" w:themeColor="text1"/>
          <w:sz w:val="16"/>
          <w:szCs w:val="16"/>
        </w:rPr>
        <w:t xml:space="preserve"> </w:t>
      </w:r>
      <w:r w:rsidRPr="00E93F40">
        <w:rPr>
          <w:color w:val="000000" w:themeColor="text1"/>
          <w:sz w:val="16"/>
          <w:szCs w:val="16"/>
        </w:rPr>
        <w:t>или АКТ-2 (автомат Кондакова—Толочкова) или ААК-37, разрабатывалось как универсальное, предназначенное для использования как в качестве зенитного орудия, так и в качестве авиапушки. К слову, в конце концов, попытка создать универсальное орудие и сгубило этот интересный проект.</w:t>
      </w:r>
    </w:p>
    <w:p w14:paraId="2ABA19D7" w14:textId="77777777" w:rsidR="00FB38D7" w:rsidRPr="00E93F40" w:rsidRDefault="00FB38D7" w:rsidP="00E93F40">
      <w:pPr>
        <w:pStyle w:val="rtejustify"/>
        <w:shd w:val="clear" w:color="auto" w:fill="FFFFFF"/>
        <w:spacing w:before="0" w:after="0"/>
        <w:rPr>
          <w:color w:val="000000" w:themeColor="text1"/>
          <w:sz w:val="16"/>
          <w:szCs w:val="16"/>
        </w:rPr>
      </w:pPr>
      <w:r w:rsidRPr="00E93F40">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ее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407E2200" w14:textId="77777777" w:rsidR="00FB38D7" w:rsidRPr="00E93F40" w:rsidRDefault="00FB38D7" w:rsidP="00E93F40">
      <w:pPr>
        <w:pStyle w:val="rtejustify"/>
        <w:shd w:val="clear" w:color="auto" w:fill="FFFFFF"/>
        <w:spacing w:before="0" w:after="0"/>
        <w:rPr>
          <w:color w:val="000000" w:themeColor="text1"/>
          <w:sz w:val="16"/>
          <w:szCs w:val="16"/>
        </w:rPr>
      </w:pPr>
      <w:r w:rsidRPr="00E93F40">
        <w:rPr>
          <w:color w:val="000000" w:themeColor="text1"/>
          <w:sz w:val="16"/>
          <w:szCs w:val="16"/>
        </w:rPr>
        <w:t>По первоначальному проекту ствол, баллистика и боеприпас 37x263B были взяты от 37-мм автомата Солотурн/Рейнметалл (4К), с 1936 года ОКБ-43 был разработан ослабленный патрон 37х240 мм при неизменном снаряде массой около 0.6 кг. Действие автоматики было основано на использовании энергии отдачи при коротком ходе ствола. Ствол моноблок, быстросъемный, длиной 1900 мм при длине нарезной части 1652 мм имел 15 правосторонних нарезов переменного шага.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41EB2C1F" w14:textId="77777777" w:rsidR="00FB38D7" w:rsidRPr="00E93F40" w:rsidRDefault="00FB38D7" w:rsidP="00E93F40">
      <w:pPr>
        <w:pStyle w:val="rtejustify"/>
        <w:shd w:val="clear" w:color="auto" w:fill="FFFFFF"/>
        <w:spacing w:before="0" w:after="0"/>
        <w:rPr>
          <w:color w:val="000000" w:themeColor="text1"/>
          <w:sz w:val="16"/>
          <w:szCs w:val="16"/>
        </w:rPr>
      </w:pPr>
      <w:r w:rsidRPr="00E93F40">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установкой по направляющим казенника на его место нового магазина.</w:t>
      </w:r>
    </w:p>
    <w:p w14:paraId="76087E18" w14:textId="01832E69" w:rsidR="00FB38D7" w:rsidRPr="00E93F40" w:rsidRDefault="00FB38D7" w:rsidP="00E93F40">
      <w:pPr>
        <w:pStyle w:val="rtejustify"/>
        <w:shd w:val="clear" w:color="auto" w:fill="FFFFFF"/>
        <w:spacing w:before="0" w:after="0"/>
        <w:rPr>
          <w:color w:val="000000" w:themeColor="text1"/>
          <w:sz w:val="16"/>
          <w:szCs w:val="16"/>
        </w:rPr>
      </w:pPr>
      <w:r w:rsidRPr="00E93F40">
        <w:rPr>
          <w:color w:val="000000" w:themeColor="text1"/>
          <w:sz w:val="16"/>
          <w:szCs w:val="16"/>
        </w:rPr>
        <w:lastRenderedPageBreak/>
        <w:t>Преимуществом АКТ-37 был сравнительно высокий темп стрельбы</w:t>
      </w:r>
      <w:r w:rsidR="007C1411" w:rsidRPr="00E93F40">
        <w:rPr>
          <w:color w:val="000000" w:themeColor="text1"/>
          <w:sz w:val="16"/>
          <w:szCs w:val="16"/>
        </w:rPr>
        <w:t xml:space="preserve"> </w:t>
      </w:r>
      <w:r w:rsidRPr="00E93F40">
        <w:rPr>
          <w:color w:val="000000" w:themeColor="text1"/>
          <w:sz w:val="16"/>
          <w:szCs w:val="16"/>
        </w:rPr>
        <w:t>— 200 выстр/мин при малой отдаче</w:t>
      </w:r>
      <w:r w:rsidR="007C1411" w:rsidRPr="00E93F40">
        <w:rPr>
          <w:color w:val="000000" w:themeColor="text1"/>
          <w:sz w:val="16"/>
          <w:szCs w:val="16"/>
        </w:rPr>
        <w:t xml:space="preserve"> </w:t>
      </w:r>
      <w:r w:rsidRPr="00E93F40">
        <w:rPr>
          <w:color w:val="000000" w:themeColor="text1"/>
          <w:sz w:val="16"/>
          <w:szCs w:val="16"/>
        </w:rPr>
        <w:t>— около 700</w:t>
      </w:r>
      <w:r w:rsidR="007C1411" w:rsidRPr="00E93F40">
        <w:rPr>
          <w:color w:val="000000" w:themeColor="text1"/>
          <w:sz w:val="16"/>
          <w:szCs w:val="16"/>
        </w:rPr>
        <w:t xml:space="preserve"> </w:t>
      </w:r>
      <w:r w:rsidRPr="00E93F40">
        <w:rPr>
          <w:color w:val="000000" w:themeColor="text1"/>
          <w:sz w:val="16"/>
          <w:szCs w:val="16"/>
        </w:rPr>
        <w:t>кг и относительно невысокой массе тела орудия – около 240 кг. Недостатком автомата была сложность установки системы, трудность отладки и регулировки. Заряжание было затруднено из-за подвижности магазина (19169).</w:t>
      </w:r>
    </w:p>
    <w:p w14:paraId="3EDA60F2" w14:textId="77777777" w:rsidR="00FB38D7" w:rsidRPr="00E93F40" w:rsidRDefault="00FB38D7" w:rsidP="00E93F40">
      <w:pPr>
        <w:pStyle w:val="rtejustify"/>
        <w:shd w:val="clear" w:color="auto" w:fill="FFFFFF"/>
        <w:spacing w:before="0" w:after="0"/>
        <w:rPr>
          <w:color w:val="000000" w:themeColor="text1"/>
          <w:sz w:val="16"/>
          <w:szCs w:val="16"/>
        </w:rPr>
      </w:pPr>
    </w:p>
    <w:p w14:paraId="5AC5F2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1932 год Мотовилихинскому мехзаводу был дан заказ на 152-мм 6 гаубиц НГ (опытно-валовая партия). В 1932 году завод не изготовил ни одной гаубицы (3861).</w:t>
      </w:r>
    </w:p>
    <w:p w14:paraId="76E43A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B6BF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из 152-мм пушек обр. 1910 и 1910/1930 гг. впервые были произведены стрельбы нарезными снарядами, разработанными в АНИИ. Стволы имели штатную крутизну нарезки (25 клб). Кучность нарезных снарядов оказалась неудовлетворительной. Заряжание нарезными снарядами производилось досыльным способом, что терпимо на НИАПе, но неудобно в полевых условиях. По результатам испытаний конструкторы АНИИ решили увеличить крутизну нарезки для увеличения кучности стрельбы (3861).</w:t>
      </w:r>
    </w:p>
    <w:p w14:paraId="79DC18C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B0C2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был разработан проект наложения ствола 152-мм пушки обр. 1910/1930 г. на лафет 122-мм пушки обр. 1931 г. (А-19). Полученная таким образом система первоначально называлась 152-мм гаубица обр. 1932 г., затем 152-мм гаубица обр. 1934 г. А-19, то есть ей присвоили заводской индекс 122-мм пушки обр. 1931 г. Лафет от 122-мм пушки был взят почти без изменений, за исключением установки нового кронштока в компрессор и рычага с вилкой в механизм переменного отката. Кроме того, были установлены усиленные рессоры (3861).</w:t>
      </w:r>
    </w:p>
    <w:p w14:paraId="17254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41D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в план ММзаводу дано 100 152-мм мортиры обр. 1931 г., а изготовлено за год 19, предъявлено 19, из них 14 требовали устранения конструктивных неполадок и по отчету 1932 года было сдано 5 мортир. 152-мм мортиры обр. 1931 г. изготавливались только на МЗМ (3861).</w:t>
      </w:r>
    </w:p>
    <w:p w14:paraId="7810049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98D6D40"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заводе в Перми (тогда г. Молотов) был изготовлен и испытан опытный образец 122-мм полковой мортиры М-5» а в следующем году — 122-мм полковой мортиры Лом. Обе мортиры имели достаточно высокие тактико-технические данные, но на вооружение их не приняли (15117).</w:t>
      </w:r>
    </w:p>
    <w:p w14:paraId="61A4F9E7" w14:textId="77777777" w:rsidR="00DF2094" w:rsidRPr="00E93F40" w:rsidRDefault="00DF2094" w:rsidP="00E93F40">
      <w:pPr>
        <w:spacing w:after="0" w:line="240" w:lineRule="auto"/>
        <w:jc w:val="both"/>
        <w:rPr>
          <w:rFonts w:ascii="Times New Roman" w:hAnsi="Times New Roman"/>
          <w:color w:val="000000" w:themeColor="text1"/>
          <w:sz w:val="16"/>
          <w:szCs w:val="16"/>
        </w:rPr>
      </w:pPr>
    </w:p>
    <w:p w14:paraId="703C01EF" w14:textId="77777777" w:rsidR="00B8796F" w:rsidRPr="00142305" w:rsidRDefault="00B8796F" w:rsidP="00B8796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1932 г. на заводе в Перми (тогда г. Молотов) был изготовлен и испытан опытный образец 122-мм полковой мортиры М-5, а в следующем году — 122-мм полковой мортиры Лом. Обе мортиры имели достаточно высокие тактико-технические данные, но на вооружение их не приняли. Причем заметим: если, к примеру, 76-мм дивизионную пушку Ф-22 можно было принять или не принять, благо, в последнем случае на вооружении дивизий и в производстве все равно остались бы 76-мм пушки обр. 1902/30 г., то никакой альтернативы 122-мм мортирам М-5 и Лом в полках не было (25123).</w:t>
      </w:r>
    </w:p>
    <w:p w14:paraId="49232E53" w14:textId="77777777" w:rsidR="00B8796F" w:rsidRPr="00142305" w:rsidRDefault="00B8796F" w:rsidP="00B8796F">
      <w:pPr>
        <w:spacing w:after="0" w:line="240" w:lineRule="auto"/>
        <w:jc w:val="both"/>
        <w:rPr>
          <w:rFonts w:ascii="Times New Roman" w:hAnsi="Times New Roman"/>
          <w:color w:val="0070C0"/>
          <w:sz w:val="16"/>
          <w:szCs w:val="16"/>
        </w:rPr>
      </w:pPr>
    </w:p>
    <w:p w14:paraId="111401F7" w14:textId="6259EBD6"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было начато серийное производство гаубицы Б-4. Уже в 1932 г. проведена модернизация гаубицы, позволившая улучшить её баллистику. На тот же</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лафет был наложен более длинный (на 3 клб) и прочный ствол. Гаубицы со старым стволом получили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наименование «Б-4ММ» малой мощности. Гаубицы с</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новым стволом — «Б-4БМ» большой мощности. Кроме этого они отличались конструкцией казённика.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Других внешних различий между ММ и БМ не было.</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Гаубицы ММ при ремонтах переделывались в БМ и</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количество их в войсках постепенно уменьшалось (15132).</w:t>
      </w:r>
    </w:p>
    <w:p w14:paraId="479C1B8D" w14:textId="77777777" w:rsidR="00DF2094" w:rsidRPr="00E93F40" w:rsidRDefault="00DF2094" w:rsidP="00E93F40">
      <w:pPr>
        <w:spacing w:after="0" w:line="240" w:lineRule="auto"/>
        <w:jc w:val="both"/>
        <w:rPr>
          <w:rFonts w:ascii="Times New Roman" w:hAnsi="Times New Roman"/>
          <w:color w:val="000000" w:themeColor="text1"/>
          <w:sz w:val="16"/>
          <w:szCs w:val="16"/>
        </w:rPr>
      </w:pPr>
    </w:p>
    <w:p w14:paraId="4AD9BA40"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Артуправление рассмотрело все проекты, и на пленуме АУ было принято постановление «утвердить проект комбинированной системы 400/305/203-мм системы завода “Большевик” для дальнейшей разработки и изготовления опытного образца, а два других проекта КБ-2 и инженера Чернявского отклонить».</w:t>
      </w:r>
    </w:p>
    <w:p w14:paraId="1DCB14C6"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Согласно постановлениям Артуправления 1932 г., в состав триплекса должны были входить 400-мм мортира, 305-мм гаубица и 203-мм пушка. Проектировали большой триплекс на конкурсных началах завод «Большевик» и опытный завод им. Кирова. Еще на стадии проектирования отказались от 400-мм мортир, и система фактически превратилась в дуплекс.</w:t>
      </w:r>
    </w:p>
    <w:p w14:paraId="12E8BC82" w14:textId="77777777" w:rsidR="00DF2094" w:rsidRPr="00E93F40" w:rsidRDefault="00DF2094"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концов был принят совместный проект обоих заводов, который и получил название СУ-7 (15117).</w:t>
      </w:r>
    </w:p>
    <w:p w14:paraId="05949322" w14:textId="77777777" w:rsidR="00DF2094" w:rsidRPr="00E93F40" w:rsidRDefault="00DF2094" w:rsidP="00E93F40">
      <w:pPr>
        <w:spacing w:after="0" w:line="240" w:lineRule="auto"/>
        <w:jc w:val="both"/>
        <w:rPr>
          <w:rFonts w:ascii="Times New Roman" w:hAnsi="Times New Roman"/>
          <w:color w:val="000000" w:themeColor="text1"/>
          <w:sz w:val="16"/>
          <w:szCs w:val="16"/>
        </w:rPr>
      </w:pPr>
    </w:p>
    <w:p w14:paraId="2FDD32E7" w14:textId="06FBB320" w:rsidR="00EA543B" w:rsidRPr="00E93F40" w:rsidRDefault="00EA54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завод «Большевик» представил проект 100-мм универсальной палубной установки Б-24 для вооружения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подводных лодок и малых кораблей. Проект разрабатывался под руководством Н. Н. Магдасиева и 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 Кудряшова. Первую опытную партию установок завод изготовил в 1935 г. Испытания проводились в 1935-1936-х гг. на НИАПе. В 1938 г. там же проведены испытания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опытного образца 100/56-мм АУ Б-24 БМ, предназначенной для надводных кораблей. Она имела удлинённый ствол и обтекаемый броневой щит. На 1 января 1941 г. в ВМФ имелось 76 установок Б-24 и 187 установок Б-24 БМ. Установками Б-24 вооружались подводные лодки классов «Л», «С», «К». Принципиальным отличием Б-24 БМ было наличие ствола конструкции так называемой «свободной трубы», легко съёмного ствола-моноблока, замена которого, как и лейнера, предусматривалась</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корабельных условиях. Орудие имело клиновой</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затвор. Заряжание патронное. Живучесть ствола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800 выстрелов. Максимальная дальность стрельбы</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126 кб. (~22 км). Скорострельность 12 выстрелов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в минуту. Расчёт 5 человек. Вес фугасного снаряда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15,8 кг, ныряющего — 15 кг (15132).</w:t>
      </w:r>
    </w:p>
    <w:p w14:paraId="53F6A08F" w14:textId="77777777" w:rsidR="00EA543B" w:rsidRPr="00E93F40" w:rsidRDefault="00EA543B" w:rsidP="00E93F40">
      <w:pPr>
        <w:spacing w:after="0" w:line="240" w:lineRule="auto"/>
        <w:jc w:val="both"/>
        <w:rPr>
          <w:rFonts w:ascii="Times New Roman" w:hAnsi="Times New Roman"/>
          <w:color w:val="000000" w:themeColor="text1"/>
          <w:sz w:val="16"/>
          <w:szCs w:val="16"/>
        </w:rPr>
      </w:pPr>
    </w:p>
    <w:p w14:paraId="377A6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заводе № 8 было начато производство 45-мм ПТП обр. 1932 г. В этом году было принято 6 пушек, а в следующем 1933 году - 60 пушек. Всего до 1 января 1937 года было принято 2974 пушки (3861).</w:t>
      </w:r>
    </w:p>
    <w:p w14:paraId="6D3D2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E7EF1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был по данным завода ММЗ (№ 172) изготовлен у них и испытан опытный образец 122-мм полковой мортиры М-5. Проект М-5 был одобрен Арткомом, и он решил дать заказ на опытный образец заводу "Красный Путиловец" со сроком к 1 января 1931 года (3861).</w:t>
      </w:r>
    </w:p>
    <w:p w14:paraId="46F5F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4F1FF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завод № 8 предъявил 80 45-мм пушек 6К, но артиллерийское управление отказалось их принимать (3861).</w:t>
      </w:r>
    </w:p>
    <w:p w14:paraId="32D471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1B81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производство 37-мм танковых пушек Гочкиса на заводе N 8 было прекращено. 37-мм пушками Гочкиса были вооружены танки "Рено" сормовского производства, МС-1, двухбашенные танки Т-26, а также бронеавтомобили БА-27, БА-27М и БАИ (3861).</w:t>
      </w:r>
    </w:p>
    <w:p w14:paraId="0945D2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6AFB8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дан план 25 "37-мм автоматических зенитных пушек обр. 1930 г." (иногда их называли 37-мм пушкой "Н" (немецкой) было сдано 3 пушки, а по другим сведениям - ничего не сдано. В том же году система была снята с производства. Переделки в пушке с 1932 году делал завод № 13. Ни одна 37-мм пушка обр. 1930 г. не попала на вооружение РККА (3861).</w:t>
      </w:r>
    </w:p>
    <w:p w14:paraId="2E513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357C4BB" w14:textId="77777777" w:rsidR="0027010B" w:rsidRPr="00E93F40" w:rsidRDefault="0027010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при харьковском заводе «Красный Октябрь» было образовано Специальное конструкторское бюро ГВМУ, на которое были возложены задачи проектирования гладкоствольных систем и боеприпасов к ним (20074).</w:t>
      </w:r>
    </w:p>
    <w:p w14:paraId="092331D3" w14:textId="77777777" w:rsidR="0027010B" w:rsidRPr="00E93F40" w:rsidRDefault="0027010B" w:rsidP="00E93F40">
      <w:pPr>
        <w:spacing w:after="0" w:line="240" w:lineRule="auto"/>
        <w:jc w:val="both"/>
        <w:rPr>
          <w:rFonts w:ascii="Times New Roman" w:hAnsi="Times New Roman"/>
          <w:color w:val="000000" w:themeColor="text1"/>
          <w:sz w:val="16"/>
          <w:szCs w:val="16"/>
        </w:rPr>
      </w:pPr>
    </w:p>
    <w:p w14:paraId="3AC19B08" w14:textId="77777777" w:rsidR="006F7B80" w:rsidRPr="00E93F40" w:rsidRDefault="006F7B80"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 А. Доровлев в составе советской делегации посетил фирму Брандта. После этого, 10 марта 1933 г., им было направлено письмо на имя начальника НТУ АУ Я. М. Железнякова, в котором он указывал на необходимость скорейшего определения статуса орудий сопровождения пехоты в части того, насколько они необходимы Красной Армии. Кроме этого, для максимально эффективной реализации информации, полученной в ходе визита во Францию и воплощения ее на практике, Н. А. Доровлевым было предложено пересмотреть организационную принадлежность возглавляемого им подразделения и передать группу «Д» из ведения ГДЛ в АНИИ, создав при Институте особое конструкторско-испытательное бюро с подчинением НТУ АУ и с производственной базой на основе военно-опытного отдела Ленинградского машиностроительного завода №7 и мастерских НИАПа (см. Приложение Г).2 (20074).</w:t>
      </w:r>
    </w:p>
    <w:p w14:paraId="3065462B" w14:textId="77777777" w:rsidR="006F7B80" w:rsidRPr="00E93F40" w:rsidRDefault="006F7B80" w:rsidP="00E93F40">
      <w:pPr>
        <w:spacing w:after="0" w:line="240" w:lineRule="auto"/>
        <w:jc w:val="both"/>
        <w:rPr>
          <w:rFonts w:ascii="Times New Roman" w:hAnsi="Times New Roman"/>
          <w:color w:val="000000" w:themeColor="text1"/>
          <w:sz w:val="16"/>
          <w:szCs w:val="16"/>
        </w:rPr>
      </w:pPr>
    </w:p>
    <w:p w14:paraId="7D1065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в Севастополе была введена в строй Батарея № 30. Тела орудий были только "СА" (3861).</w:t>
      </w:r>
    </w:p>
    <w:p w14:paraId="790B9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CDEA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при стрельбе полигональным снарядом П-1 весом 9,2 кг из 76-мм пушки была достигнута дальность 12850 м, а П-3 весом 11,43 кг - 11700 м. Однако технология изготовления полигональных снарядов была очень сложна. Заряжать орудие таким снарядом было долго и расчет должен был состоять буквально из виртуозов. Чтобы получить выгоду в весе, надо сделать длинный полигональный снаряд, но при длине около 6 клб снаряды давали большое рассеивание, а при длине 7 клб кувыркались в полете вопреки всем расчетам (3861).</w:t>
      </w:r>
    </w:p>
    <w:p w14:paraId="35AEF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4387E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году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 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w:t>
      </w:r>
      <w:r w:rsidRPr="00E93F40">
        <w:rPr>
          <w:rFonts w:ascii="Times New Roman" w:hAnsi="Times New Roman"/>
          <w:color w:val="000000" w:themeColor="text1"/>
          <w:sz w:val="16"/>
          <w:szCs w:val="16"/>
        </w:rPr>
        <w:lastRenderedPageBreak/>
        <w:t>кинематическая связь затвора со стволом с помощью реечного ускорителя, как при откате, так и при накате. 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 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 Преимуществом АКТ-37 был сравнительно высокий темп стрельбы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 (3861).</w:t>
      </w:r>
    </w:p>
    <w:p w14:paraId="56473F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4DF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60-мм ротные минометы были испытаны, но на вооружение не были приняты из-за плохой кучности стрельбы. Но от 60-мм минометов группа Д не отказалась (3861).</w:t>
      </w:r>
    </w:p>
    <w:p w14:paraId="78762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86561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заводе "Большевик" было начато серийное производство гаубиц Б-4 (3861).</w:t>
      </w:r>
    </w:p>
    <w:p w14:paraId="1468E0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68735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провели модернизацию 203-мм гаубицы Б-4, позволившую улучшить ее баллистику. На тот же лафет был наложен более длинный (на 3 клб) и прочный ствол. Гаубицы со старым стволом получили наименование "Б-4 малой мощности" (ММ), а гаубицы с новым стволом "Б-4 большой мощности" (БМ). Кроме большей длины ствола гаубицу БМ можно было отличить от гаубицы ММ по устройству казенника: бородка казенника большой мощности сзади имела вид прямоугольника с острыми краями, а бородка казенника малой мощности сужена кверху и скруглена. Иных внешних отличий гаубицы БМ и ММ не имели. Чтобы не возвращаться более к гаубицам ММ скажем, что они постепенно в ходе заводских ремонтов переделывались в гаубицы БМ, и уже в послевоенное время о них не было слышно. Единственный уцелевший образец гаубицы ММ находится сейчас в Одессе на территории военного училища (3861).</w:t>
      </w:r>
    </w:p>
    <w:p w14:paraId="5C2AF0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5555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АУ рассмотрело все проекты большого триплекса, и на пленуме АУ было принято постановление "утвердить проект комбинированной системы 400/305/203-мм завода "Большевик" для дальнейшей разработки и изготовления опытного образца, а два других проекта КБ-2 и инженера Чернявского отклонить". Однако это постановление не было утверждено руководством ввиду последовавшего принципиального изменения основного задания на проектирование комбинированной системы. Ввиду того, что мнение некоторых инженеров, в числе которых был, например, Толочков, склонялось на сторону проекта Чернявского, было решено передать все три проекта комиссии экспертов. Эта комиссия предложила "объединить проекты" завода "Большевик" и Чернявского, то есть сделать новый проект из элементов прежних. Кроме того, комиссия предложила разработать гусеничный самоход под качающуюся часть этот триплекса. Таким образом, было принято нереальное условие, которое в конце концов погубило проект (3861).</w:t>
      </w:r>
    </w:p>
    <w:p w14:paraId="42CFC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827A9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в КБ Пермского завода под руководством Сидоренко была спроектирована 76-мм пушка обр. 1933 г., полученная наложением 76-мм ствола в 50 клб с каморой пушки обр. 1902 г. на лафет 122-мм гаубицы обр. 1910/30 г. Ствол пушки состоял из трубы, кожуха и казенника. Труба с натяжением вставлена в кожух, а казенник навинчен без натяжения на заднюю часть кожуха. Затвор поршневой, по устройству почти не отличался от затвора 122-мм гаубицы обр. 1910 г. Штатным боеприпасом 76-мм пушки обр. 1933 г. служил патрон от 76-мм пушек обр. 1902 и 1902/30 г. Но ствол пушки обр. 1933 г. был прочнее и в боекомплект ее планировалось ввести патрон с 7,1 кг снарядом и дальностью стрельбы 14500 м. Изменения в лафете очень мелкие. Гидравлический тормоз отката и гидропневматический накатник оставлены без изменений. Колеса деревянные от 122-мм гаубицы обр. 1910/30 г., увеличена лишь со 120 мм до 140 мм толщина шины. В отдельных образцах пушки ставились на колеса от 152-мм гаубицы обр. 1909 г. Подрессоривания не было. Передок был взят от 76-мм пушки обр. 1902 г., но для облегчения веса системы в него укладывали только 20 патронов (5 лотков), вместо 36 (9 лотков), принятых для 76-мм пушки обр. 1902 г. и 1902/30 г.</w:t>
      </w:r>
    </w:p>
    <w:p w14:paraId="64957A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Прицел был взят от 122-мм гаубицы обр. 1910/30 г. нормализованный обр. 1930 г. (3861).</w:t>
      </w:r>
    </w:p>
    <w:p w14:paraId="55800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B8CE6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года пушки 20К серийно производились на заводе № 8. В 1932 году было сдано 10 пушек; в 1933 году - 2099; в 1934 году - 2005; в 1935 году - 2443 и т.д (3861).</w:t>
      </w:r>
    </w:p>
    <w:p w14:paraId="576ECE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0ED99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было издано "Краткое описание 20-мм пушки обр. 1930 г." - Рейнметалла. Производство 20-мм пушки обр. 1930 г. было передано заводу № 8, где ей присвоили индекс 2-К. Стволы для пушек делал завод № 92 (г. Горький), а передки - завод № 13 (г. Брянск), ряд деталей поставляла фирма "Рейнметалл". Валовое производство пушек было начато заводом № 8 в 1932 году. На этот год заводу был выдан план - 100 пушек. Завод предъявил военпредам 44 пушки, а те приняли лишь 3. В 1933 году план составил 50 пушек, предъявлено 30, сдано 61 (среди последних были и пушки 1932 года изготовления). Пушка 2-К изготавливалась по германским чертежам, которые по отзывам руководства завода оказались неудовлетворительными. Пушки собирались с индивидуальной пригонкой. Качество автоматов было очень низким (3861).</w:t>
      </w:r>
    </w:p>
    <w:p w14:paraId="4637AC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DA32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с заводом "Большевик" был заключен договор на изготовление опытной 152-мм пушки, точнее, на переделку ствола 305/52-мм штатной пушки. В старый ствол была вставлена новая внутренняя труба калибра 152 мм и сделана новая дульная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т.е. 121,5 калибров. Крутизна нарезов 25 калибров, число нарезов 12, глубина нареза 3,0 мм. Переделка ствола затянулась из-за технологических сложностей (3861).</w:t>
      </w:r>
    </w:p>
    <w:p w14:paraId="2DDFD0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5A8F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по требованию Курчевского для него создается Особое конструкторское бюро № 1 Артуправления РККА. Через несколько месяцев в его полное распоряжение передается завод № 38 в Подлипках под Москвой, ранее выполнявший заказы КБ-2, где руководили инженеры фирмы «Рейнметалл».</w:t>
      </w:r>
    </w:p>
    <w:p w14:paraId="73508B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1932–1935 гг. на Курчевского работали практически все артиллерийские заводы страны. Его заказы выполняли завод № 8 (им. Калинина, в Подлипках), завод им. Фрунзе (бывший Петербургский Арсенал), Ленинградский металлический завод (ЛМЗ), завод «Большевик» (бывший Обуховский), завод «Красный Путиловец» (бывший Путиловский) и др.</w:t>
      </w:r>
    </w:p>
    <w:p w14:paraId="7405B3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1931–1935 гг. пушки Курчевского составляли от 30 до 50 % заказов заводам. Однако большая часть этих заказов так и не была выполнена. Курчевский постоянно менял чертежи, часто отказывался от уже запущенной в серию пушки и предлагал новую. Резко возрос процент брака (12091).</w:t>
      </w:r>
    </w:p>
    <w:p w14:paraId="19CF9F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D309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Курчевский включил в план работ своего КБ проектирование более мощных безоткатных орудий:</w:t>
      </w:r>
    </w:p>
    <w:p w14:paraId="5C5E6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45-мм противотанковое ружье на треноге. Вес системы 50 кг.</w:t>
      </w:r>
    </w:p>
    <w:p w14:paraId="2DDB15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76-мм противотанковая повышенной мощности УПК на колесном лафете. Вес системы 250 кг. При весе снаряда 6,5 кг начальная скорость 650 м/с, при весе снаряда 3,96 кг — 880 м/с.</w:t>
      </w:r>
    </w:p>
    <w:p w14:paraId="48D452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оба эти проекта так и остались на бумаге (12091).</w:t>
      </w:r>
    </w:p>
    <w:p w14:paraId="147EF5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98D1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заводе № 8, где оно получило заводской индекс 14-К было начато валовое производство 37-мм РК Курчевского. В 1932 году заводу № 8 заказали 325 РК, а завод сдал 44. В 1933 году заводу № 8 заказали 360 РК, а произведено 48. В 1934 году завод № 7 получил заказ на 500 РК, а произвел только 70. В 1935 году заводу № 7 заказали 250 РК, а сдано 17. Хроническое невыполнение заказов было связано с огромным процентом брака и постоянными изменениями, вносимыми Курчевским в конструкцию орудий (3861).</w:t>
      </w:r>
    </w:p>
    <w:p w14:paraId="32A048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DB0778F"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1932 г. Курчевским был разработан проект 37-мм автоматической пушки АПК-11 (иногда ее называли АПК-37). По устройству она аналогична АПК-4. Магазин пушки имел две полости (кассеты), где помещалось по 12 выстрелов. Еще один выстрел был в стволе. (Итого боекомплект 25 выстрелов на пушку.)</w:t>
      </w:r>
    </w:p>
    <w:p w14:paraId="35E7805B"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пушки с соплом и лотком составляла 1978 м, без них — 1250 мм. Вес пушки с пустым магазином 39,1 кг. Выстрелы унитарные, гильзы из сгорающей нитроткани, поддоны деревянные, а затем пластмассовые. Снаряд осколочный с головным ударным взрывателем. Вес снаряда 475-500 г, вес взрывчатого вещества 31 г. Заряд 140–145 г пороха МСК. Начальная скорость на испытаниях 438–475 м/с, (как и у всех пушек Курчевского, был велик разброс начальной скорости снарядов). Баллон со сжатым воздухом емкостью 5 л и исходным давлением 120 кг/ см</w:t>
      </w:r>
      <w:r w:rsidRPr="00142305">
        <w:rPr>
          <w:rStyle w:val="aff"/>
          <w:rFonts w:ascii="Times New Roman" w:hAnsi="Times New Roman" w:cs="Times New Roman"/>
          <w:color w:val="0070C0"/>
          <w:spacing w:val="0"/>
          <w:sz w:val="16"/>
          <w:szCs w:val="16"/>
          <w:vertAlign w:val="superscript"/>
        </w:rPr>
        <w:t xml:space="preserve">2 </w:t>
      </w:r>
      <w:r w:rsidRPr="00142305">
        <w:rPr>
          <w:rStyle w:val="aff"/>
          <w:rFonts w:ascii="Times New Roman" w:hAnsi="Times New Roman" w:cs="Times New Roman"/>
          <w:color w:val="0070C0"/>
          <w:spacing w:val="0"/>
          <w:sz w:val="16"/>
          <w:szCs w:val="16"/>
        </w:rPr>
        <w:t>закреплялся в передней части фюзеляжа И-14 на пожарной перегородке, хватало его на 170–180 выстрелов. Сама пушка АПК-11 располагалась в отъемных частях крыльев на расстоянии 2225 мм от оси фюзеляжа и крепилась на двух шкворнях (25213).</w:t>
      </w:r>
    </w:p>
    <w:p w14:paraId="0D33E54C" w14:textId="77777777" w:rsidR="000D6CBF" w:rsidRPr="00142305" w:rsidRDefault="000D6CBF" w:rsidP="000D6CBF">
      <w:pPr>
        <w:spacing w:after="0" w:line="240" w:lineRule="auto"/>
        <w:jc w:val="both"/>
        <w:rPr>
          <w:rFonts w:ascii="Times New Roman" w:hAnsi="Times New Roman"/>
          <w:color w:val="0070C0"/>
          <w:sz w:val="16"/>
          <w:szCs w:val="16"/>
        </w:rPr>
      </w:pPr>
    </w:p>
    <w:p w14:paraId="1AF05DF7"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1932 г. было начато проектирование 152-мм пушки АПК-9 По устройству она была похожа на 76-мм АПК-4. Вес пушки составлял 500 кг. В магазине размещалось 6 унитарных выстрелов. Основным снарядом должна была стать шрапнель весом 25 кг. Вес выстрела около 50 кг. По проекту начальная скорость 500 м/с, темп стрельбы 10 выстр./мин., а дальность 13 км.</w:t>
      </w:r>
    </w:p>
    <w:p w14:paraId="12519FE7"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Работы по АПК-9 были продолжены в 1933 г. и 1934 г. В план 1934 г. Курчевский включил «изготовление одной 152-мм мортиры “К” (АПК-9) для бомбардировщика ТБ».</w:t>
      </w:r>
    </w:p>
    <w:p w14:paraId="60702C38"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В одном из документов пушка АПК-9 именовалась «152-мм мортирой для ТБ». Стоимость мортиры 80 тыс. рублей.</w:t>
      </w:r>
    </w:p>
    <w:p w14:paraId="4A5D4F3D"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Помимо ТБ для АПК-9 проектировали «Артиллерийский самолет», оснащенный четырьмя моторами и двумя 152-мм ДРП (25213).</w:t>
      </w:r>
    </w:p>
    <w:p w14:paraId="78B5AA67" w14:textId="77777777" w:rsidR="000D6CBF" w:rsidRPr="00142305" w:rsidRDefault="000D6CBF" w:rsidP="000D6CBF">
      <w:pPr>
        <w:spacing w:after="0" w:line="240" w:lineRule="auto"/>
        <w:jc w:val="both"/>
        <w:rPr>
          <w:rFonts w:ascii="Times New Roman" w:hAnsi="Times New Roman"/>
          <w:color w:val="0070C0"/>
          <w:sz w:val="16"/>
          <w:szCs w:val="16"/>
        </w:rPr>
      </w:pPr>
    </w:p>
    <w:p w14:paraId="6C572A0D"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1932 г. Артуправление рассмотрело проекты 400-мм мортиры, 305-мм гаубицы и 203-мм пушки, разработанные в 1931 г., и на пленуме АУ приняло постановление «утвердить проект комбинированной системы (триплекса) 400/305/203-мм системы завода “Большевик” для дальнейшей разработки и изготовления опытного образца, а два других проекта КБ-2 и инженера Чернявского отклонить» (25213).</w:t>
      </w:r>
    </w:p>
    <w:p w14:paraId="66F51FA5" w14:textId="77777777" w:rsidR="000D6CBF" w:rsidRPr="00142305" w:rsidRDefault="000D6CBF" w:rsidP="000D6CBF">
      <w:pPr>
        <w:spacing w:after="0" w:line="240" w:lineRule="auto"/>
        <w:jc w:val="both"/>
        <w:rPr>
          <w:rFonts w:ascii="Times New Roman" w:hAnsi="Times New Roman"/>
          <w:color w:val="0070C0"/>
          <w:sz w:val="16"/>
          <w:szCs w:val="16"/>
        </w:rPr>
      </w:pPr>
    </w:p>
    <w:p w14:paraId="64CBDE92"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1932 г., согласно постановлениям Артуправления, в состав триплекса должны были входить 400-мм мортира, 305-мм гаубица и 203-мм пушка. Проектировали большой триплекс на конкурсных началах завод «Большевик» и опытный завод им. Кирова. Еще на стадии проектирования отказались от 400-мм мортир, и система фактически превратилась в дуплекс.</w:t>
      </w:r>
    </w:p>
    <w:p w14:paraId="7C267AE0"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концов был принят совместный проект обоих заводов, который и получил название СУ-7. Сию систему можно охарактеризовать как полнейший технический бред, либо как крупномасштабное вредительство.</w:t>
      </w:r>
    </w:p>
    <w:p w14:paraId="6B44DC88"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САУ оказалась 12,34 м, а вес 106 т. Подавляющее большинство мостов в западной части СССР не могли выдержать такой махины. По местности она могла передвигаться с большим трудом, причем возникла необходимость создания специального тягача, чтобы вытаскивать застрявшую СУ-7.</w:t>
      </w:r>
    </w:p>
    <w:p w14:paraId="4BCD42AB"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перевозки САУ по железной дороге требовалось снимать с нее ряд деталей, и лишь после этого «самоход на железной дороге вписывался в габарит 3-го класса», то есть требовал закрытия встречного движения.</w:t>
      </w:r>
    </w:p>
    <w:p w14:paraId="1C837E4D" w14:textId="77777777" w:rsidR="000D6CBF" w:rsidRPr="00142305" w:rsidRDefault="000D6CBF" w:rsidP="000D6CBF">
      <w:pPr>
        <w:spacing w:after="0" w:line="240" w:lineRule="auto"/>
        <w:jc w:val="both"/>
        <w:rPr>
          <w:rFonts w:ascii="Times New Roman" w:hAnsi="Times New Roman"/>
          <w:color w:val="0070C0"/>
          <w:sz w:val="16"/>
          <w:szCs w:val="16"/>
        </w:rPr>
      </w:pPr>
    </w:p>
    <w:p w14:paraId="4A0A8F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начал строиться завод «Станкострой» начал строиться. К 1936 г. построены литейный, механообрабатывающий, ремонтно-механический, кузнечный и инструментальный цеха. По пр. </w:t>
      </w:r>
      <w:r w:rsidRPr="00E93F40">
        <w:rPr>
          <w:rFonts w:ascii="Times New Roman" w:hAnsi="Times New Roman"/>
          <w:color w:val="000000" w:themeColor="text1"/>
          <w:sz w:val="16"/>
          <w:szCs w:val="16"/>
          <w:lang w:val="en-US"/>
        </w:rPr>
        <w:t>HKOI</w:t>
      </w:r>
      <w:r w:rsidRPr="00E93F40">
        <w:rPr>
          <w:rFonts w:ascii="Times New Roman" w:hAnsi="Times New Roman"/>
          <w:color w:val="000000" w:themeColor="text1"/>
          <w:sz w:val="16"/>
          <w:szCs w:val="16"/>
        </w:rPr>
        <w:t>1 № Обсс от 30.12.1936 г. «Липецкстрой» переименован в завод № 61, в 02.1937 г. - в ведении 4ГУ, по пр. № 0180 от 15.08.1937 г. передан в новое 13ГУ. В 1937 г. завод начал выпуск продукции. В 02.1939 г. завод № 61 13ГУ НКОП передан в ведение 1 ЗГУ НКБ.</w:t>
      </w:r>
    </w:p>
    <w:p w14:paraId="122747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122-мм снарядов - 2000 тыс. шт. в год. Перед войной выпускал корпуса 82-мм мин, 122-мм и 152-мм осколочных артиллерийских снарядов. Мощность завода (перед эвакуацией): 82-мм мины - 2,1 млн. шт. в год; снаряды: 122-мм - 840 тыс. шт.; 152-мм - 480 тыс. шт.</w:t>
      </w:r>
    </w:p>
    <w:p w14:paraId="07EBCF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777 от 13.10.1941 г. часть завода № 61 4ГУ НКБ (производство 82-мм мин, 122- мм и 152-мм снарядов, всего 1120 ед. оборудования, 1200 чел.) эвакуирована в Касли на площадку завода № 613.</w:t>
      </w:r>
      <w:r w:rsidRPr="00E93F40">
        <w:rPr>
          <w:rFonts w:ascii="Times New Roman" w:hAnsi="Times New Roman"/>
          <w:color w:val="000000" w:themeColor="text1"/>
          <w:sz w:val="16"/>
          <w:szCs w:val="16"/>
          <w:vertAlign w:val="superscript"/>
        </w:rPr>
        <w:t>132</w:t>
      </w:r>
      <w:r w:rsidRPr="00E93F40">
        <w:rPr>
          <w:rFonts w:ascii="Times New Roman" w:hAnsi="Times New Roman"/>
          <w:color w:val="000000" w:themeColor="text1"/>
          <w:sz w:val="16"/>
          <w:szCs w:val="16"/>
        </w:rPr>
        <w:t xml:space="preserve"> Второй этап эвакуации завода прошел в соответствии с пост. ГКО № 1967 от 4.07.1942 г.</w:t>
      </w:r>
    </w:p>
    <w:p w14:paraId="7C8A1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Позднее на старом месте организован Липецкий тракторный завод.</w:t>
      </w:r>
    </w:p>
    <w:p w14:paraId="5882A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(10.1941 г.)- 6400 чел.</w:t>
      </w:r>
    </w:p>
    <w:p w14:paraId="2889BC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(-1937 г.)- А.В. Саханицкий, (-3.09.1937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Трацевский, (3.09.1937-22.10.1938 г.)- Н.Д. Иванов, (22.10.1938 г.-&gt; В.И. Бабенко.</w:t>
      </w:r>
    </w:p>
    <w:p w14:paraId="470434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(16.05.1938 г.-)- В.И. Бабенко.</w:t>
      </w:r>
    </w:p>
    <w:p w14:paraId="0752A6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(3.09.1937 г.-&gt; В.В. Лимонов, (16.05.1938 г.-)- В.И. Бабенко.</w:t>
      </w:r>
    </w:p>
    <w:p w14:paraId="08D985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Липецкий тракторный завод (ЛТЗ) НКСМ, ОАО «Липецкий трактор», ОАО «Липецкий тракторостроительный завод»</w:t>
      </w:r>
    </w:p>
    <w:p w14:paraId="1BDF443E" w14:textId="2ECFB2A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/398000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Липецк ул. Краснозаводская, 1 тел. 73-14-59 732631.4742.</w:t>
      </w:r>
      <w:r w:rsidRPr="00E93F40">
        <w:rPr>
          <w:rFonts w:ascii="Times New Roman" w:hAnsi="Times New Roman"/>
          <w:color w:val="000000" w:themeColor="text1"/>
          <w:sz w:val="16"/>
          <w:szCs w:val="16"/>
          <w:lang w:val="en-US"/>
        </w:rPr>
        <w:t>ru</w:t>
      </w:r>
      <w:r w:rsidRPr="00E93F40">
        <w:rPr>
          <w:rFonts w:ascii="Times New Roman" w:hAnsi="Times New Roman"/>
          <w:color w:val="000000" w:themeColor="text1"/>
          <w:sz w:val="16"/>
          <w:szCs w:val="16"/>
        </w:rPr>
        <w:t>/</w:t>
      </w:r>
    </w:p>
    <w:p w14:paraId="5F49BC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ЛТЗ НКСМ основан в 1943 г. на месте завода№ 61 НКБ. 1.06.1944 г. собран первый трактор.</w:t>
      </w:r>
    </w:p>
    <w:p w14:paraId="2AC28A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Входил в концерн «Тракторные заводы» (2004 г.).</w:t>
      </w:r>
    </w:p>
    <w:p w14:paraId="043D2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(2006 г.): освоение производства трактора ЛТЗ-120Б.</w:t>
      </w:r>
    </w:p>
    <w:p w14:paraId="38EC00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2008 г. предприятие являлось банкротом.</w:t>
      </w:r>
    </w:p>
    <w:p w14:paraId="50EE33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Конкурсный управляющий (2008 г.)- А.А. Торопчин.</w:t>
      </w:r>
    </w:p>
    <w:p w14:paraId="5D3B07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тракторы: гусеничные «Кировец-35» (1944-), КД-35 (1947), КДП-35, Т-38М; колесные Т-30, Т-40, ЛТЗ-55, ЛТЗ-60 (2000-е), ЛТЗ-95Б (2000-е), ЛТЗ-155 (2000-е); машины для уборки улиц, погрузчик ПГТ-360 (2000-е), экскаваторы, сварочные агрегаты на шасси тракторов (2000-е) (11982).</w:t>
      </w:r>
    </w:p>
    <w:p w14:paraId="3C96BF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E2DF8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Курчевский включил в план работ своего КБ проектирование более мощных безоткатных орудий:</w:t>
      </w:r>
    </w:p>
    <w:p w14:paraId="4490E5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45-мм противотанкового ружья на треноге. Вес системы 50 кг.</w:t>
      </w:r>
    </w:p>
    <w:p w14:paraId="05B313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76-мм батальонной пушки. Бронепробиваемость была в 2 с лишним раза хуже, чем у 45-мм ПТП 19-К, а рассеивание снарядов - в два раза больше. 76-мм батальонные пушки Курчевского не могли даже с близкого расстояния и при попадании под углом 90- пробить броню толщиной свыше 30 мм. Поэтому для борьбы с танками они были фактически бесполезны (3861).</w:t>
      </w:r>
    </w:p>
    <w:p w14:paraId="41ECFC6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B9C02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заводом N 8 было предъявлено 5 37-мм зенитных автоматов обр. 1928 на испытания, но стрелять автоматы не захотели, так и не удалось ни в 1932 году, ни в 1933 сдать ни одного автомата 11-К. Так была тихо похоронена 37-мм пушка обр. 1928 г. Не сохранилось ни одного образца этой пушки. И сейчас историки флота часто ломают головы, изучая проекты различных кораблей начала 30-х годов, вооруженных 37-мм автоматами (3861).</w:t>
      </w:r>
    </w:p>
    <w:p w14:paraId="6B2A87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9A708FF" w14:textId="77777777" w:rsidR="007B1D3C" w:rsidRPr="00E93F40" w:rsidRDefault="007B1D3C" w:rsidP="00E93F40">
      <w:pPr>
        <w:autoSpaceDE w:val="0"/>
        <w:autoSpaceDN w:val="0"/>
        <w:adjustRightInd w:val="0"/>
        <w:spacing w:after="0" w:line="240" w:lineRule="auto"/>
        <w:jc w:val="both"/>
        <w:rPr>
          <w:rFonts w:ascii="Times New Roman" w:hAnsi="Times New Roman"/>
          <w:bCs/>
          <w:color w:val="000000" w:themeColor="text1"/>
          <w:sz w:val="16"/>
          <w:szCs w:val="16"/>
        </w:rPr>
      </w:pPr>
      <w:r w:rsidRPr="00E93F40">
        <w:rPr>
          <w:rFonts w:ascii="Times New Roman" w:hAnsi="Times New Roman"/>
          <w:color w:val="000000" w:themeColor="text1"/>
          <w:sz w:val="16"/>
          <w:szCs w:val="16"/>
        </w:rPr>
        <w:t>В 1932 г. на территории завода №8 создаётся ОКБ-1, чьей задачей под руководством Леонида Курчевского является разработка целой системы динамо-реактивных пушек — сухопутных, авиационных и корабельных. Через два года в составе Наркомата тяжёлой промышленности появляется новая структура — Управление Уполномоченного спецработ (УУСР), причём в должности Уполномоченного утверждается Курчевский. Управлению передаётся Государственный Союзный машиностроительный завод №38, только что построенный в Подлипках рядом с заводом №8, по другую сторону железной дороги (в настоящее время территория 2–го производства РКК "Энергия"), и созданный специально для изготовления опытных систем Курчевского. КБ УУСР занимается сухопутным, авиационным и морским вооружением, самолёто- и моторостроением, созданием боеприпасов для ДРП и стрелковым вооружением. Теоретический отдел возглавил будущий академик Б.С. Стечкин, по математическим расчётам которого Курчевский разработал теорию динамо-реактивного принципа и даже написал на эту тему книгу, выпущенную под грифом "совершенно секретно" с предисловием М.Н. Тухачевского. Вместе с Курчевским работает также К.К. Глухарёв, впоследствии на некоторое время ставший руководителем ОКБ–16 Наркомата вооружения, а позднее — начальником отдела ЦАКБ под руководством В.Г. Грабина (11867).</w:t>
      </w:r>
    </w:p>
    <w:p w14:paraId="781111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58B77F2" w14:textId="77777777" w:rsidR="00C70137" w:rsidRPr="00E93F40" w:rsidRDefault="00C70137" w:rsidP="00E93F40">
      <w:pPr>
        <w:pStyle w:val="116"/>
        <w:shd w:val="clear" w:color="auto" w:fill="auto"/>
        <w:spacing w:after="0" w:line="240" w:lineRule="auto"/>
        <w:ind w:firstLine="0"/>
        <w:jc w:val="both"/>
        <w:rPr>
          <w:rStyle w:val="640"/>
          <w:rFonts w:ascii="Times New Roman" w:hAnsi="Times New Roman" w:cs="Times New Roman"/>
          <w:color w:val="000000" w:themeColor="text1"/>
          <w:sz w:val="16"/>
          <w:szCs w:val="16"/>
        </w:rPr>
      </w:pPr>
      <w:r w:rsidRPr="00E93F40">
        <w:rPr>
          <w:rStyle w:val="820"/>
          <w:rFonts w:ascii="Times New Roman" w:hAnsi="Times New Roman" w:cs="Times New Roman"/>
          <w:color w:val="000000" w:themeColor="text1"/>
          <w:sz w:val="16"/>
          <w:szCs w:val="16"/>
        </w:rPr>
        <w:t>За 1932 год «Легкие тракторы» производ</w:t>
      </w:r>
      <w:r w:rsidRPr="00E93F40">
        <w:rPr>
          <w:rStyle w:val="820"/>
          <w:rFonts w:ascii="Times New Roman" w:hAnsi="Times New Roman" w:cs="Times New Roman"/>
          <w:color w:val="000000" w:themeColor="text1"/>
          <w:sz w:val="16"/>
          <w:szCs w:val="16"/>
        </w:rPr>
        <w:softHyphen/>
        <w:t xml:space="preserve">ства </w:t>
      </w:r>
      <w:r w:rsidRPr="00E93F40">
        <w:rPr>
          <w:rStyle w:val="820"/>
          <w:rFonts w:ascii="Times New Roman" w:hAnsi="Times New Roman" w:cs="Times New Roman"/>
          <w:color w:val="000000" w:themeColor="text1"/>
          <w:sz w:val="16"/>
          <w:szCs w:val="16"/>
          <w:lang w:val="en-US"/>
        </w:rPr>
        <w:t>Rheinmetall</w:t>
      </w:r>
      <w:r w:rsidRPr="00E93F40">
        <w:rPr>
          <w:rStyle w:val="820"/>
          <w:rFonts w:ascii="Times New Roman" w:hAnsi="Times New Roman" w:cs="Times New Roman"/>
          <w:color w:val="000000" w:themeColor="text1"/>
          <w:sz w:val="16"/>
          <w:szCs w:val="16"/>
          <w:lang w:val="ru-RU"/>
        </w:rPr>
        <w:t xml:space="preserve"> </w:t>
      </w:r>
      <w:r w:rsidRPr="00E93F40">
        <w:rPr>
          <w:rStyle w:val="820"/>
          <w:rFonts w:ascii="Times New Roman" w:hAnsi="Times New Roman" w:cs="Times New Roman"/>
          <w:color w:val="000000" w:themeColor="text1"/>
          <w:sz w:val="16"/>
          <w:szCs w:val="16"/>
        </w:rPr>
        <w:t>прошли 775 и 932 километ</w:t>
      </w:r>
      <w:r w:rsidRPr="00E93F40">
        <w:rPr>
          <w:rStyle w:val="820"/>
          <w:rFonts w:ascii="Times New Roman" w:hAnsi="Times New Roman" w:cs="Times New Roman"/>
          <w:color w:val="000000" w:themeColor="text1"/>
          <w:sz w:val="16"/>
          <w:szCs w:val="16"/>
        </w:rPr>
        <w:softHyphen/>
        <w:t>ра, соответственно. Общий километраж танка №39 составил 1865 километров, а танка №40 - 1735 километров. Далее танки вернулись в Германию, поскольку, как уже говорилось выше, после прихода к власти нацистов воен</w:t>
      </w:r>
      <w:r w:rsidRPr="00E93F40">
        <w:rPr>
          <w:rStyle w:val="820"/>
          <w:rFonts w:ascii="Times New Roman" w:hAnsi="Times New Roman" w:cs="Times New Roman"/>
          <w:color w:val="000000" w:themeColor="text1"/>
          <w:sz w:val="16"/>
          <w:szCs w:val="16"/>
        </w:rPr>
        <w:softHyphen/>
        <w:t>ное сотрудничество СССР и Германии прекра</w:t>
      </w:r>
      <w:r w:rsidRPr="00E93F40">
        <w:rPr>
          <w:rStyle w:val="820"/>
          <w:rFonts w:ascii="Times New Roman" w:hAnsi="Times New Roman" w:cs="Times New Roman"/>
          <w:color w:val="000000" w:themeColor="text1"/>
          <w:sz w:val="16"/>
          <w:szCs w:val="16"/>
        </w:rPr>
        <w:softHyphen/>
        <w:t>тилось. На выходе немцы получили несколь</w:t>
      </w:r>
      <w:r w:rsidRPr="00E93F40">
        <w:rPr>
          <w:rStyle w:val="820"/>
          <w:rFonts w:ascii="Times New Roman" w:hAnsi="Times New Roman" w:cs="Times New Roman"/>
          <w:color w:val="000000" w:themeColor="text1"/>
          <w:sz w:val="16"/>
          <w:szCs w:val="16"/>
        </w:rPr>
        <w:softHyphen/>
        <w:t>ко десятков обученных танкистов и танк, который не имел будущего. Испытания пока</w:t>
      </w:r>
      <w:r w:rsidRPr="00E93F40">
        <w:rPr>
          <w:rStyle w:val="820"/>
          <w:rFonts w:ascii="Times New Roman" w:hAnsi="Times New Roman" w:cs="Times New Roman"/>
          <w:color w:val="000000" w:themeColor="text1"/>
          <w:sz w:val="16"/>
          <w:szCs w:val="16"/>
        </w:rPr>
        <w:softHyphen/>
        <w:t xml:space="preserve">зали, что в текущем виде </w:t>
      </w:r>
      <w:r w:rsidRPr="00E93F40">
        <w:rPr>
          <w:rStyle w:val="820"/>
          <w:rFonts w:ascii="Times New Roman" w:hAnsi="Times New Roman" w:cs="Times New Roman"/>
          <w:color w:val="000000" w:themeColor="text1"/>
          <w:sz w:val="16"/>
          <w:szCs w:val="16"/>
          <w:lang w:val="en-US"/>
        </w:rPr>
        <w:t>Leichttraktor</w:t>
      </w:r>
      <w:r w:rsidRPr="00E93F40">
        <w:rPr>
          <w:rStyle w:val="820"/>
          <w:rFonts w:ascii="Times New Roman" w:hAnsi="Times New Roman" w:cs="Times New Roman"/>
          <w:color w:val="000000" w:themeColor="text1"/>
          <w:sz w:val="16"/>
          <w:szCs w:val="16"/>
          <w:lang w:val="ru-RU"/>
        </w:rPr>
        <w:t xml:space="preserve"> </w:t>
      </w:r>
      <w:r w:rsidRPr="00E93F40">
        <w:rPr>
          <w:rStyle w:val="820"/>
          <w:rFonts w:ascii="Times New Roman" w:hAnsi="Times New Roman" w:cs="Times New Roman"/>
          <w:color w:val="000000" w:themeColor="text1"/>
          <w:sz w:val="16"/>
          <w:szCs w:val="16"/>
        </w:rPr>
        <w:t>пред</w:t>
      </w:r>
      <w:r w:rsidRPr="00E93F40">
        <w:rPr>
          <w:rStyle w:val="820"/>
          <w:rFonts w:ascii="Times New Roman" w:hAnsi="Times New Roman" w:cs="Times New Roman"/>
          <w:color w:val="000000" w:themeColor="text1"/>
          <w:sz w:val="16"/>
          <w:szCs w:val="16"/>
        </w:rPr>
        <w:softHyphen/>
        <w:t>ставляет собой конструкцию, которую даль</w:t>
      </w:r>
      <w:r w:rsidRPr="00E93F40">
        <w:rPr>
          <w:rStyle w:val="820"/>
          <w:rFonts w:ascii="Times New Roman" w:hAnsi="Times New Roman" w:cs="Times New Roman"/>
          <w:color w:val="000000" w:themeColor="text1"/>
          <w:sz w:val="16"/>
          <w:szCs w:val="16"/>
        </w:rPr>
        <w:softHyphen/>
        <w:t>ше развивать не имело смысла. Требования перенести боевое отделение вперед, а мотор назад означали, что нужно делать совершен</w:t>
      </w:r>
      <w:r w:rsidRPr="00E93F40">
        <w:rPr>
          <w:rStyle w:val="820"/>
          <w:rFonts w:ascii="Times New Roman" w:hAnsi="Times New Roman" w:cs="Times New Roman"/>
          <w:color w:val="000000" w:themeColor="text1"/>
          <w:sz w:val="16"/>
          <w:szCs w:val="16"/>
        </w:rPr>
        <w:softHyphen/>
        <w:t>но новый танк. Не годилась и башня, слишком тесная для трех человек. Для обеспечения необходимой подвижности требовался в два раза более мощный двигатель, то есть, удель</w:t>
      </w:r>
      <w:r w:rsidRPr="00E93F40">
        <w:rPr>
          <w:rStyle w:val="820"/>
          <w:rFonts w:ascii="Times New Roman" w:hAnsi="Times New Roman" w:cs="Times New Roman"/>
          <w:color w:val="000000" w:themeColor="text1"/>
          <w:sz w:val="16"/>
          <w:szCs w:val="16"/>
        </w:rPr>
        <w:softHyphen/>
        <w:t>ная мощность должна была составлять 20 л.с. на тонну. Требовалось существенно пере</w:t>
      </w:r>
      <w:r w:rsidRPr="00E93F40">
        <w:rPr>
          <w:rStyle w:val="820"/>
          <w:rFonts w:ascii="Times New Roman" w:hAnsi="Times New Roman" w:cs="Times New Roman"/>
          <w:color w:val="000000" w:themeColor="text1"/>
          <w:sz w:val="16"/>
          <w:szCs w:val="16"/>
        </w:rPr>
        <w:softHyphen/>
        <w:t>смотреть вооружение и оптические приборы. Одним словом, единственное, что немцы узнали по итогам испытаний под Казанью - это то, как легкий танк делать не надо. По воз</w:t>
      </w:r>
      <w:r w:rsidRPr="00E93F40">
        <w:rPr>
          <w:rStyle w:val="820"/>
          <w:rFonts w:ascii="Times New Roman" w:hAnsi="Times New Roman" w:cs="Times New Roman"/>
          <w:color w:val="000000" w:themeColor="text1"/>
          <w:sz w:val="16"/>
          <w:szCs w:val="16"/>
        </w:rPr>
        <w:softHyphen/>
        <w:t>вращении в Германию танки отремонтирова</w:t>
      </w:r>
      <w:r w:rsidRPr="00E93F40">
        <w:rPr>
          <w:rStyle w:val="820"/>
          <w:rFonts w:ascii="Times New Roman" w:hAnsi="Times New Roman" w:cs="Times New Roman"/>
          <w:color w:val="000000" w:themeColor="text1"/>
          <w:sz w:val="16"/>
          <w:szCs w:val="16"/>
        </w:rPr>
        <w:softHyphen/>
        <w:t>ли, а машину №39 перевели на ту самую свеч</w:t>
      </w:r>
      <w:r w:rsidRPr="00E93F40">
        <w:rPr>
          <w:rStyle w:val="820"/>
          <w:rFonts w:ascii="Times New Roman" w:hAnsi="Times New Roman" w:cs="Times New Roman"/>
          <w:color w:val="000000" w:themeColor="text1"/>
          <w:sz w:val="16"/>
          <w:szCs w:val="16"/>
        </w:rPr>
        <w:softHyphen/>
        <w:t xml:space="preserve">ную подвеску. Однако уже спустя считанные годы </w:t>
      </w:r>
      <w:r w:rsidRPr="00E93F40">
        <w:rPr>
          <w:rStyle w:val="820"/>
          <w:rFonts w:ascii="Times New Roman" w:hAnsi="Times New Roman" w:cs="Times New Roman"/>
          <w:color w:val="000000" w:themeColor="text1"/>
          <w:sz w:val="16"/>
          <w:szCs w:val="16"/>
          <w:lang w:val="en-US"/>
        </w:rPr>
        <w:t>Leichttraktor</w:t>
      </w:r>
      <w:r w:rsidRPr="00E93F40">
        <w:rPr>
          <w:rStyle w:val="820"/>
          <w:rFonts w:ascii="Times New Roman" w:hAnsi="Times New Roman" w:cs="Times New Roman"/>
          <w:color w:val="000000" w:themeColor="text1"/>
          <w:sz w:val="16"/>
          <w:szCs w:val="16"/>
          <w:lang w:val="ru-RU"/>
        </w:rPr>
        <w:t xml:space="preserve"> </w:t>
      </w:r>
      <w:r w:rsidRPr="00E93F40">
        <w:rPr>
          <w:rStyle w:val="820"/>
          <w:rFonts w:ascii="Times New Roman" w:hAnsi="Times New Roman" w:cs="Times New Roman"/>
          <w:color w:val="000000" w:themeColor="text1"/>
          <w:sz w:val="16"/>
          <w:szCs w:val="16"/>
        </w:rPr>
        <w:t>застыли на постаментах в качестве памятников.</w:t>
      </w:r>
    </w:p>
    <w:p w14:paraId="328576FD" w14:textId="77777777" w:rsidR="00C70137" w:rsidRPr="00E93F40" w:rsidRDefault="00C70137" w:rsidP="00E93F40">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E93F40">
        <w:rPr>
          <w:rStyle w:val="820"/>
          <w:rFonts w:ascii="Times New Roman" w:hAnsi="Times New Roman" w:cs="Times New Roman"/>
          <w:color w:val="000000" w:themeColor="text1"/>
          <w:sz w:val="16"/>
          <w:szCs w:val="16"/>
        </w:rPr>
        <w:t xml:space="preserve">И все же машина принесла пользу, только не тем, кто ее разрабатывал. Больше всего выгоды получил Советский Союз, который, якобы, «ковал немцам меч». Несмотря на массу недостатков, </w:t>
      </w:r>
      <w:r w:rsidRPr="00E93F40">
        <w:rPr>
          <w:rStyle w:val="820"/>
          <w:rFonts w:ascii="Times New Roman" w:hAnsi="Times New Roman" w:cs="Times New Roman"/>
          <w:color w:val="000000" w:themeColor="text1"/>
          <w:sz w:val="16"/>
          <w:szCs w:val="16"/>
          <w:lang w:val="en-US"/>
        </w:rPr>
        <w:t>Leichttraktor</w:t>
      </w:r>
      <w:r w:rsidRPr="00E93F40">
        <w:rPr>
          <w:rStyle w:val="820"/>
          <w:rFonts w:ascii="Times New Roman" w:hAnsi="Times New Roman" w:cs="Times New Roman"/>
          <w:color w:val="000000" w:themeColor="text1"/>
          <w:sz w:val="16"/>
          <w:szCs w:val="16"/>
          <w:lang w:val="ru-RU"/>
        </w:rPr>
        <w:t xml:space="preserve"> </w:t>
      </w:r>
      <w:r w:rsidRPr="00E93F40">
        <w:rPr>
          <w:rStyle w:val="820"/>
          <w:rFonts w:ascii="Times New Roman" w:hAnsi="Times New Roman" w:cs="Times New Roman"/>
          <w:color w:val="000000" w:themeColor="text1"/>
          <w:sz w:val="16"/>
          <w:szCs w:val="16"/>
        </w:rPr>
        <w:t>оказался крайне интересной машиной, выполненной на высоком техническом уровне. Для начала, корпус и башня имели сварную конструкцию. В СССР сварку только осваивали, так что изучение немецкого танка оказалось полез</w:t>
      </w:r>
      <w:r w:rsidRPr="00E93F40">
        <w:rPr>
          <w:rStyle w:val="820"/>
          <w:rFonts w:ascii="Times New Roman" w:hAnsi="Times New Roman" w:cs="Times New Roman"/>
          <w:color w:val="000000" w:themeColor="text1"/>
          <w:sz w:val="16"/>
          <w:szCs w:val="16"/>
        </w:rPr>
        <w:softHyphen/>
        <w:t>ным. Не везде говорится, что через ТЕКО про</w:t>
      </w:r>
      <w:r w:rsidRPr="00E93F40">
        <w:rPr>
          <w:rStyle w:val="820"/>
          <w:rFonts w:ascii="Times New Roman" w:hAnsi="Times New Roman" w:cs="Times New Roman"/>
          <w:color w:val="000000" w:themeColor="text1"/>
          <w:sz w:val="16"/>
          <w:szCs w:val="16"/>
        </w:rPr>
        <w:softHyphen/>
        <w:t>шло 65 советских граждан, причем, двух командиров полков удалось в 1931 году направить на обучение в Берлин. А еще немецкие танки изучали восемь советских конструкторов, включая С.А. Гинзбурга. Как раз в 1931 году под руководством Гинзбурга шло освоение производства Т-26, на который Семен Александрович перенес ряд немецких ноу-хау. В их числе оказалась спаренная установка пушки и пулемета. Отчасти пере</w:t>
      </w:r>
      <w:r w:rsidRPr="00E93F40">
        <w:rPr>
          <w:rStyle w:val="820"/>
          <w:rFonts w:ascii="Times New Roman" w:hAnsi="Times New Roman" w:cs="Times New Roman"/>
          <w:color w:val="000000" w:themeColor="text1"/>
          <w:sz w:val="16"/>
          <w:szCs w:val="16"/>
        </w:rPr>
        <w:softHyphen/>
        <w:t xml:space="preserve">шло от немецкого танка и вооружение, поскольку 45-мм пушка была родственницей 37-мм пушки </w:t>
      </w:r>
      <w:r w:rsidRPr="00E93F40">
        <w:rPr>
          <w:rStyle w:val="830"/>
          <w:rFonts w:ascii="Times New Roman" w:hAnsi="Times New Roman" w:cs="Times New Roman"/>
          <w:color w:val="000000" w:themeColor="text1"/>
          <w:sz w:val="16"/>
          <w:szCs w:val="16"/>
          <w:lang w:val="en-US"/>
        </w:rPr>
        <w:t>Rheinmetal</w:t>
      </w:r>
      <w:r w:rsidRPr="00E93F40">
        <w:rPr>
          <w:rStyle w:val="84"/>
          <w:rFonts w:ascii="Times New Roman" w:hAnsi="Times New Roman" w:cs="Times New Roman"/>
          <w:color w:val="000000" w:themeColor="text1"/>
          <w:sz w:val="16"/>
          <w:szCs w:val="16"/>
        </w:rPr>
        <w:t>L</w:t>
      </w:r>
      <w:r w:rsidRPr="00E93F40">
        <w:rPr>
          <w:rStyle w:val="84"/>
          <w:rFonts w:ascii="Times New Roman" w:hAnsi="Times New Roman" w:cs="Times New Roman"/>
          <w:color w:val="000000" w:themeColor="text1"/>
          <w:sz w:val="16"/>
          <w:szCs w:val="16"/>
          <w:lang w:val="ru-RU"/>
        </w:rPr>
        <w:t xml:space="preserve"> </w:t>
      </w:r>
      <w:r w:rsidRPr="00E93F40">
        <w:rPr>
          <w:rStyle w:val="830"/>
          <w:rFonts w:ascii="Times New Roman" w:hAnsi="Times New Roman" w:cs="Times New Roman"/>
          <w:color w:val="000000" w:themeColor="text1"/>
          <w:sz w:val="16"/>
          <w:szCs w:val="16"/>
        </w:rPr>
        <w:t>Первоначальная конструкция двухместной башни для Т-26 тоже имеет немало общего с немецким тан</w:t>
      </w:r>
      <w:r w:rsidRPr="00E93F40">
        <w:rPr>
          <w:rStyle w:val="830"/>
          <w:rFonts w:ascii="Times New Roman" w:hAnsi="Times New Roman" w:cs="Times New Roman"/>
          <w:color w:val="000000" w:themeColor="text1"/>
          <w:sz w:val="16"/>
          <w:szCs w:val="16"/>
        </w:rPr>
        <w:softHyphen/>
        <w:t>ком. На ней же «совершенно случайно» стоя</w:t>
      </w:r>
      <w:r w:rsidRPr="00E93F40">
        <w:rPr>
          <w:rStyle w:val="830"/>
          <w:rFonts w:ascii="Times New Roman" w:hAnsi="Times New Roman" w:cs="Times New Roman"/>
          <w:color w:val="000000" w:themeColor="text1"/>
          <w:sz w:val="16"/>
          <w:szCs w:val="16"/>
        </w:rPr>
        <w:softHyphen/>
        <w:t>ли и перископические прицелы немецкого типа. Понравились нашим специалистам немецкие радиостанции, а заодно и модерни</w:t>
      </w:r>
      <w:r w:rsidRPr="00E93F40">
        <w:rPr>
          <w:rStyle w:val="830"/>
          <w:rFonts w:ascii="Times New Roman" w:hAnsi="Times New Roman" w:cs="Times New Roman"/>
          <w:color w:val="000000" w:themeColor="text1"/>
          <w:sz w:val="16"/>
          <w:szCs w:val="16"/>
        </w:rPr>
        <w:softHyphen/>
        <w:t>зированные поручневые антенны. Также от немецких танковых шлемов ведут родослов</w:t>
      </w:r>
      <w:r w:rsidRPr="00E93F40">
        <w:rPr>
          <w:rStyle w:val="830"/>
          <w:rFonts w:ascii="Times New Roman" w:hAnsi="Times New Roman" w:cs="Times New Roman"/>
          <w:color w:val="000000" w:themeColor="text1"/>
          <w:sz w:val="16"/>
          <w:szCs w:val="16"/>
        </w:rPr>
        <w:softHyphen/>
        <w:t>ную советские танковые шлемы. И это не весь список того, что удалось получить благодаря ТЕКО.</w:t>
      </w:r>
    </w:p>
    <w:p w14:paraId="453291A4" w14:textId="77777777" w:rsidR="00C70137" w:rsidRPr="00E93F40" w:rsidRDefault="00C70137" w:rsidP="00E93F40">
      <w:pPr>
        <w:shd w:val="clear" w:color="auto" w:fill="FFFFFF"/>
        <w:spacing w:after="0" w:line="240" w:lineRule="auto"/>
        <w:jc w:val="both"/>
        <w:rPr>
          <w:rStyle w:val="640"/>
          <w:rFonts w:ascii="Times New Roman" w:hAnsi="Times New Roman" w:cs="Times New Roman"/>
          <w:color w:val="000000" w:themeColor="text1"/>
          <w:sz w:val="16"/>
          <w:szCs w:val="16"/>
        </w:rPr>
      </w:pPr>
      <w:r w:rsidRPr="00E93F40">
        <w:rPr>
          <w:rStyle w:val="830"/>
          <w:rFonts w:ascii="Times New Roman" w:hAnsi="Times New Roman" w:cs="Times New Roman"/>
          <w:color w:val="000000" w:themeColor="text1"/>
          <w:sz w:val="16"/>
          <w:szCs w:val="16"/>
        </w:rPr>
        <w:t>Еще больше пользы от испытаний и тан</w:t>
      </w:r>
      <w:r w:rsidRPr="00E93F40">
        <w:rPr>
          <w:rStyle w:val="830"/>
          <w:rFonts w:ascii="Times New Roman" w:hAnsi="Times New Roman" w:cs="Times New Roman"/>
          <w:color w:val="000000" w:themeColor="text1"/>
          <w:sz w:val="16"/>
          <w:szCs w:val="16"/>
        </w:rPr>
        <w:softHyphen/>
        <w:t>ков, принимавших в них участие, получила страна, которая и была на самом деле пресло</w:t>
      </w:r>
      <w:r w:rsidRPr="00E93F40">
        <w:rPr>
          <w:rStyle w:val="830"/>
          <w:rFonts w:ascii="Times New Roman" w:hAnsi="Times New Roman" w:cs="Times New Roman"/>
          <w:color w:val="000000" w:themeColor="text1"/>
          <w:sz w:val="16"/>
          <w:szCs w:val="16"/>
        </w:rPr>
        <w:softHyphen/>
        <w:t>вутой «наковальней» для Третьего Рейха - Швеция. Шведские танки получили улучшен</w:t>
      </w:r>
      <w:r w:rsidRPr="00E93F40">
        <w:rPr>
          <w:rStyle w:val="830"/>
          <w:rFonts w:ascii="Times New Roman" w:hAnsi="Times New Roman" w:cs="Times New Roman"/>
          <w:color w:val="000000" w:themeColor="text1"/>
          <w:sz w:val="16"/>
          <w:szCs w:val="16"/>
        </w:rPr>
        <w:softHyphen/>
        <w:t xml:space="preserve">ную версию башни </w:t>
      </w:r>
      <w:r w:rsidRPr="00E93F40">
        <w:rPr>
          <w:rStyle w:val="830"/>
          <w:rFonts w:ascii="Times New Roman" w:hAnsi="Times New Roman" w:cs="Times New Roman"/>
          <w:color w:val="000000" w:themeColor="text1"/>
          <w:sz w:val="16"/>
          <w:szCs w:val="16"/>
          <w:lang w:val="en-US"/>
        </w:rPr>
        <w:t>Leichttraktor</w:t>
      </w:r>
      <w:r w:rsidRPr="00E93F40">
        <w:rPr>
          <w:rStyle w:val="830"/>
          <w:rFonts w:ascii="Times New Roman" w:hAnsi="Times New Roman" w:cs="Times New Roman"/>
          <w:color w:val="000000" w:themeColor="text1"/>
          <w:sz w:val="16"/>
          <w:szCs w:val="16"/>
        </w:rPr>
        <w:t xml:space="preserve">, а шасси для них выпускала фирма </w:t>
      </w:r>
      <w:r w:rsidRPr="00E93F40">
        <w:rPr>
          <w:rStyle w:val="830"/>
          <w:rFonts w:ascii="Times New Roman" w:hAnsi="Times New Roman" w:cs="Times New Roman"/>
          <w:color w:val="000000" w:themeColor="text1"/>
          <w:sz w:val="16"/>
          <w:szCs w:val="16"/>
          <w:lang w:val="en-US"/>
        </w:rPr>
        <w:t>Landsverk</w:t>
      </w:r>
      <w:r w:rsidRPr="00E93F40">
        <w:rPr>
          <w:rStyle w:val="830"/>
          <w:rFonts w:ascii="Times New Roman" w:hAnsi="Times New Roman" w:cs="Times New Roman"/>
          <w:color w:val="000000" w:themeColor="text1"/>
          <w:sz w:val="16"/>
          <w:szCs w:val="16"/>
        </w:rPr>
        <w:t xml:space="preserve">. Главным конструктором там работал Отто Меркер - автор колесно-гусеничного танка </w:t>
      </w:r>
      <w:r w:rsidRPr="00E93F40">
        <w:rPr>
          <w:rStyle w:val="830"/>
          <w:rFonts w:ascii="Times New Roman" w:hAnsi="Times New Roman" w:cs="Times New Roman"/>
          <w:color w:val="000000" w:themeColor="text1"/>
          <w:sz w:val="16"/>
          <w:szCs w:val="16"/>
          <w:lang w:val="en-US"/>
        </w:rPr>
        <w:t>Rader</w:t>
      </w:r>
      <w:r w:rsidRPr="00E93F40">
        <w:rPr>
          <w:rStyle w:val="830"/>
          <w:rFonts w:ascii="Times New Roman" w:hAnsi="Times New Roman" w:cs="Times New Roman"/>
          <w:color w:val="000000" w:themeColor="text1"/>
          <w:sz w:val="16"/>
          <w:szCs w:val="16"/>
        </w:rPr>
        <w:t>-</w:t>
      </w:r>
      <w:r w:rsidRPr="00E93F40">
        <w:rPr>
          <w:rStyle w:val="830"/>
          <w:rFonts w:ascii="Times New Roman" w:hAnsi="Times New Roman" w:cs="Times New Roman"/>
          <w:color w:val="000000" w:themeColor="text1"/>
          <w:sz w:val="16"/>
          <w:szCs w:val="16"/>
          <w:lang w:val="en-US"/>
        </w:rPr>
        <w:t>Rau</w:t>
      </w:r>
      <w:r w:rsidRPr="00E93F40">
        <w:rPr>
          <w:rStyle w:val="830"/>
          <w:rFonts w:ascii="Times New Roman" w:hAnsi="Times New Roman" w:cs="Times New Roman"/>
          <w:color w:val="000000" w:themeColor="text1"/>
          <w:sz w:val="16"/>
          <w:szCs w:val="16"/>
        </w:rPr>
        <w:t xml:space="preserve">- </w:t>
      </w:r>
      <w:r w:rsidRPr="00E93F40">
        <w:rPr>
          <w:rStyle w:val="830"/>
          <w:rFonts w:ascii="Times New Roman" w:hAnsi="Times New Roman" w:cs="Times New Roman"/>
          <w:color w:val="000000" w:themeColor="text1"/>
          <w:sz w:val="16"/>
          <w:szCs w:val="16"/>
          <w:lang w:val="en-US"/>
        </w:rPr>
        <w:t>pen</w:t>
      </w:r>
      <w:r w:rsidRPr="00E93F40">
        <w:rPr>
          <w:rStyle w:val="830"/>
          <w:rFonts w:ascii="Times New Roman" w:hAnsi="Times New Roman" w:cs="Times New Roman"/>
          <w:color w:val="000000" w:themeColor="text1"/>
          <w:sz w:val="16"/>
          <w:szCs w:val="16"/>
        </w:rPr>
        <w:t xml:space="preserve"> </w:t>
      </w:r>
      <w:r w:rsidRPr="00E93F40">
        <w:rPr>
          <w:rStyle w:val="830"/>
          <w:rFonts w:ascii="Times New Roman" w:hAnsi="Times New Roman" w:cs="Times New Roman"/>
          <w:color w:val="000000" w:themeColor="text1"/>
          <w:sz w:val="16"/>
          <w:szCs w:val="16"/>
          <w:lang w:val="en-US"/>
        </w:rPr>
        <w:t>Kampfwagen</w:t>
      </w:r>
      <w:r w:rsidRPr="00E93F40">
        <w:rPr>
          <w:rStyle w:val="830"/>
          <w:rFonts w:ascii="Times New Roman" w:hAnsi="Times New Roman" w:cs="Times New Roman"/>
          <w:color w:val="000000" w:themeColor="text1"/>
          <w:sz w:val="16"/>
          <w:szCs w:val="16"/>
        </w:rPr>
        <w:t xml:space="preserve"> </w:t>
      </w:r>
      <w:r w:rsidRPr="00E93F40">
        <w:rPr>
          <w:rStyle w:val="830"/>
          <w:rFonts w:ascii="Times New Roman" w:hAnsi="Times New Roman" w:cs="Times New Roman"/>
          <w:color w:val="000000" w:themeColor="text1"/>
          <w:sz w:val="16"/>
          <w:szCs w:val="16"/>
          <w:lang w:val="en-US"/>
        </w:rPr>
        <w:t>m</w:t>
      </w:r>
      <w:r w:rsidRPr="00E93F40">
        <w:rPr>
          <w:rStyle w:val="830"/>
          <w:rFonts w:ascii="Times New Roman" w:hAnsi="Times New Roman" w:cs="Times New Roman"/>
          <w:color w:val="000000" w:themeColor="text1"/>
          <w:sz w:val="16"/>
          <w:szCs w:val="16"/>
        </w:rPr>
        <w:t xml:space="preserve">/28, он же </w:t>
      </w:r>
      <w:r w:rsidRPr="00E93F40">
        <w:rPr>
          <w:rStyle w:val="830"/>
          <w:rFonts w:ascii="Times New Roman" w:hAnsi="Times New Roman" w:cs="Times New Roman"/>
          <w:color w:val="000000" w:themeColor="text1"/>
          <w:sz w:val="16"/>
          <w:szCs w:val="16"/>
          <w:lang w:val="en-US"/>
        </w:rPr>
        <w:t>Landsverk</w:t>
      </w:r>
      <w:r w:rsidRPr="00E93F40">
        <w:rPr>
          <w:rStyle w:val="830"/>
          <w:rFonts w:ascii="Times New Roman" w:hAnsi="Times New Roman" w:cs="Times New Roman"/>
          <w:color w:val="000000" w:themeColor="text1"/>
          <w:sz w:val="16"/>
          <w:szCs w:val="16"/>
        </w:rPr>
        <w:t xml:space="preserve"> </w:t>
      </w:r>
      <w:r w:rsidRPr="00E93F40">
        <w:rPr>
          <w:rStyle w:val="830"/>
          <w:rFonts w:ascii="Times New Roman" w:hAnsi="Times New Roman" w:cs="Times New Roman"/>
          <w:color w:val="000000" w:themeColor="text1"/>
          <w:sz w:val="16"/>
          <w:szCs w:val="16"/>
          <w:lang w:val="en-US"/>
        </w:rPr>
        <w:t>L</w:t>
      </w:r>
      <w:r w:rsidRPr="00E93F40">
        <w:rPr>
          <w:rStyle w:val="830"/>
          <w:rFonts w:ascii="Times New Roman" w:hAnsi="Times New Roman" w:cs="Times New Roman"/>
          <w:color w:val="000000" w:themeColor="text1"/>
          <w:sz w:val="16"/>
          <w:szCs w:val="16"/>
        </w:rPr>
        <w:t>5. Этот танк, четыре образца которого тестиро</w:t>
      </w:r>
      <w:r w:rsidRPr="00E93F40">
        <w:rPr>
          <w:rStyle w:val="830"/>
          <w:rFonts w:ascii="Times New Roman" w:hAnsi="Times New Roman" w:cs="Times New Roman"/>
          <w:color w:val="000000" w:themeColor="text1"/>
          <w:sz w:val="16"/>
          <w:szCs w:val="16"/>
        </w:rPr>
        <w:softHyphen/>
        <w:t xml:space="preserve">валось на ТЕКО, упоминался в переписке как «танки ГХХ». Это потому, что </w:t>
      </w:r>
      <w:r w:rsidRPr="00E93F40">
        <w:rPr>
          <w:rStyle w:val="830"/>
          <w:rFonts w:ascii="Times New Roman" w:hAnsi="Times New Roman" w:cs="Times New Roman"/>
          <w:color w:val="000000" w:themeColor="text1"/>
          <w:sz w:val="16"/>
          <w:szCs w:val="16"/>
          <w:lang w:val="en-US"/>
        </w:rPr>
        <w:t>Landsverk</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rPr>
        <w:t>нахо</w:t>
      </w:r>
      <w:r w:rsidRPr="00E93F40">
        <w:rPr>
          <w:rStyle w:val="830"/>
          <w:rFonts w:ascii="Times New Roman" w:hAnsi="Times New Roman" w:cs="Times New Roman"/>
          <w:color w:val="000000" w:themeColor="text1"/>
          <w:sz w:val="16"/>
          <w:szCs w:val="16"/>
        </w:rPr>
        <w:softHyphen/>
        <w:t xml:space="preserve">дилась под контролем </w:t>
      </w:r>
      <w:r w:rsidRPr="00E93F40">
        <w:rPr>
          <w:rStyle w:val="830"/>
          <w:rFonts w:ascii="Times New Roman" w:hAnsi="Times New Roman" w:cs="Times New Roman"/>
          <w:color w:val="000000" w:themeColor="text1"/>
          <w:sz w:val="16"/>
          <w:szCs w:val="16"/>
          <w:lang w:val="en-US"/>
        </w:rPr>
        <w:t>GHH</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lang w:val="en-US"/>
        </w:rPr>
        <w:t>Gutehoffnung</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lang w:val="en-US"/>
        </w:rPr>
        <w:t>shutte</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lang w:val="en-US"/>
        </w:rPr>
        <w:t>Aktienverein</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lang w:val="en-US"/>
        </w:rPr>
        <w:t>fur</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lang w:val="en-US"/>
        </w:rPr>
        <w:t>Bergbau</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lang w:val="en-US"/>
        </w:rPr>
        <w:t>und</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lang w:val="en-US"/>
        </w:rPr>
        <w:t>Hutten</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lang w:val="en-US"/>
        </w:rPr>
        <w:t>betrieb</w:t>
      </w:r>
      <w:r w:rsidRPr="00E93F40">
        <w:rPr>
          <w:rStyle w:val="830"/>
          <w:rFonts w:ascii="Times New Roman" w:hAnsi="Times New Roman" w:cs="Times New Roman"/>
          <w:color w:val="000000" w:themeColor="text1"/>
          <w:sz w:val="16"/>
          <w:szCs w:val="16"/>
          <w:lang w:val="ru"/>
        </w:rPr>
        <w:t xml:space="preserve">), </w:t>
      </w:r>
      <w:r w:rsidRPr="00E93F40">
        <w:rPr>
          <w:rStyle w:val="830"/>
          <w:rFonts w:ascii="Times New Roman" w:hAnsi="Times New Roman" w:cs="Times New Roman"/>
          <w:color w:val="000000" w:themeColor="text1"/>
          <w:sz w:val="16"/>
          <w:szCs w:val="16"/>
        </w:rPr>
        <w:t>до конца 1930-х годов фактически являясь инкубатором для немецкого танко</w:t>
      </w:r>
      <w:r w:rsidRPr="00E93F40">
        <w:rPr>
          <w:rStyle w:val="830"/>
          <w:rFonts w:ascii="Times New Roman" w:hAnsi="Times New Roman" w:cs="Times New Roman"/>
          <w:color w:val="000000" w:themeColor="text1"/>
          <w:sz w:val="16"/>
          <w:szCs w:val="16"/>
        </w:rPr>
        <w:softHyphen/>
        <w:t>строения. Побочным эффектом данных работ стали танки для шведской армии. Об этом, правда, горе-конспирологи вспоминать почему-то не любят (19890).</w:t>
      </w:r>
    </w:p>
    <w:p w14:paraId="400A103A" w14:textId="77777777" w:rsidR="00C70137" w:rsidRPr="00E93F40" w:rsidRDefault="00C70137" w:rsidP="00E93F40">
      <w:pPr>
        <w:shd w:val="clear" w:color="auto" w:fill="FFFFFF"/>
        <w:spacing w:after="0" w:line="240" w:lineRule="auto"/>
        <w:jc w:val="both"/>
        <w:rPr>
          <w:rStyle w:val="640"/>
          <w:rFonts w:ascii="Times New Roman" w:hAnsi="Times New Roman" w:cs="Times New Roman"/>
          <w:color w:val="000000" w:themeColor="text1"/>
          <w:sz w:val="16"/>
          <w:szCs w:val="16"/>
        </w:rPr>
      </w:pPr>
    </w:p>
    <w:p w14:paraId="41DF068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танковый отдел ХПЗ получил индекс Т2, и его начальником был назначен Л. Зайчик, начальником ОТК -С. Махонин, главным технологом - К. Церевицкий. Во</w:t>
      </w:r>
      <w:r w:rsidRPr="00E93F40">
        <w:rPr>
          <w:rFonts w:ascii="Times New Roman" w:hAnsi="Times New Roman"/>
          <w:color w:val="000000" w:themeColor="text1"/>
          <w:sz w:val="16"/>
          <w:szCs w:val="16"/>
        </w:rPr>
        <w:softHyphen/>
        <w:t>шедший в него СКВ, получивший индекс Т2К, возглавлял А. Фирсов, и при нем была выделена группа совершенство</w:t>
      </w:r>
      <w:r w:rsidRPr="00E93F40">
        <w:rPr>
          <w:rFonts w:ascii="Times New Roman" w:hAnsi="Times New Roman"/>
          <w:color w:val="000000" w:themeColor="text1"/>
          <w:sz w:val="16"/>
          <w:szCs w:val="16"/>
        </w:rPr>
        <w:softHyphen/>
        <w:t>вания серийно выпускаемых танков, куда вошли молодые инженеры Н. Кучеренко, В. Дорошенко и Н. Поляков. Для проведения испытаний новых танков нужен был большой штат испытателей-исследователей, которых объе</w:t>
      </w:r>
      <w:r w:rsidRPr="00E93F40">
        <w:rPr>
          <w:rFonts w:ascii="Times New Roman" w:hAnsi="Times New Roman"/>
          <w:color w:val="000000" w:themeColor="text1"/>
          <w:sz w:val="16"/>
          <w:szCs w:val="16"/>
        </w:rPr>
        <w:softHyphen/>
        <w:t>динили в новом опытном отделе под руководством инже</w:t>
      </w:r>
      <w:r w:rsidRPr="00E93F40">
        <w:rPr>
          <w:rFonts w:ascii="Times New Roman" w:hAnsi="Times New Roman"/>
          <w:color w:val="000000" w:themeColor="text1"/>
          <w:sz w:val="16"/>
          <w:szCs w:val="16"/>
        </w:rPr>
        <w:softHyphen/>
        <w:t>нера А. Кулика (10733,202).</w:t>
      </w:r>
    </w:p>
    <w:p w14:paraId="240AB2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5E69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ОКМО (опытный конструкторско-механический отдел) завода № 174 преобразован в Опытный завод Спецмаштреста НКТП. По пр. НКОП № Обсс от 30.12.1936 г. Опытный завод им. Кирова переименован в завод № 185 им. Кирова. По пр. № 09с от 23.01.1937 г. Завод опытного танкостроения № 185 им. Кирова передан в ведение 8ГУ НКОП, Устав завода утвержден приказом № 52 от 4.02.1937 г. В 1937 г. передан в ведение НКМ, в 12.1938 г. - в ведении 8ГУ НКОП, с 1939 г. - в НКСМ. В 1940 г. (до лета) вновь влит в состав завода № 174.</w:t>
      </w:r>
    </w:p>
    <w:p w14:paraId="460FC0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0212 от 25.09.1937 г. на базе завода организован НИИ-38 в ведении 8ГУ НКОП. Пр. № 0212 был отменен приказом № 236с от 8.07.1938 г., как изданный без разрешения правительства.</w:t>
      </w:r>
    </w:p>
    <w:p w14:paraId="654806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1937 г. на базе 9-го отдела завода № 185 создан завод «Кризо» (далее - завод № 860 МСП); по пр. № 105с от 23.03.1938 г. завод вновь передан заводу № 185 в качестве филиала (и на 12.1938 г.).</w:t>
      </w:r>
    </w:p>
    <w:p w14:paraId="173E4E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(-01-12.1937 г.-)- Н.В. Барыков, Гинзбур г.</w:t>
      </w:r>
    </w:p>
    <w:p w14:paraId="4C61B164" w14:textId="53A9522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по конструкторско-исследовательской работе (09.1938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Г.В. Гудков. Помощник директора: (-5.03.1938 г.)- О .И. </w:t>
      </w:r>
      <w:r w:rsidRPr="00E93F40">
        <w:rPr>
          <w:rFonts w:ascii="Times New Roman" w:hAnsi="Times New Roman"/>
          <w:color w:val="000000" w:themeColor="text1"/>
          <w:sz w:val="16"/>
          <w:szCs w:val="16"/>
          <w:lang w:val="en-US"/>
        </w:rPr>
        <w:t>Ayr</w:t>
      </w:r>
      <w:r w:rsidRPr="00E93F40">
        <w:rPr>
          <w:rFonts w:ascii="Times New Roman" w:hAnsi="Times New Roman"/>
          <w:color w:val="000000" w:themeColor="text1"/>
          <w:sz w:val="16"/>
          <w:szCs w:val="16"/>
        </w:rPr>
        <w:t xml:space="preserve"> (снят); по найму и увольнению (8.03.1938 г.-)- С.К. Морев.</w:t>
      </w:r>
    </w:p>
    <w:p w14:paraId="5ADF1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(1938 г.)- Похвалов.</w:t>
      </w:r>
    </w:p>
    <w:p w14:paraId="3B49D1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моторного (02.1938 г.)- О.М. Федоров.</w:t>
      </w:r>
      <w:r w:rsidRPr="00E93F40">
        <w:rPr>
          <w:rFonts w:ascii="Times New Roman" w:hAnsi="Times New Roman"/>
          <w:color w:val="000000" w:themeColor="text1"/>
          <w:sz w:val="16"/>
          <w:szCs w:val="16"/>
          <w:vertAlign w:val="superscript"/>
        </w:rPr>
        <w:t>139</w:t>
      </w:r>
    </w:p>
    <w:p w14:paraId="1A03A0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завода № 185</w:t>
      </w:r>
    </w:p>
    <w:p w14:paraId="18327E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1937 г. С. Гинзбург отстранен Тухачевским от руководства, затем восстановлен в должности.</w:t>
      </w:r>
    </w:p>
    <w:p w14:paraId="642D34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 г. начата разработка модернизированного Т-46-5 («объект 111»), в 04.1938 г. построен опытный образец.</w:t>
      </w:r>
    </w:p>
    <w:p w14:paraId="35498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КО № 14 от 25.05.1937 г. Кировскому заводу поручалось к 1.08.1937 г. изготовить образец Т-29 с цементированной броней. 4.07.1937 г. был одобрен проект Т-29Ц, но осенью 1937 г. работы по нему прекращены из-за ареста Н. Цейца.</w:t>
      </w:r>
    </w:p>
    <w:p w14:paraId="60C6CB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 г. разработаны проекты колесно-гусеничных танков по типу «Ландсверк-30» (тема «Замок»): Т-51 и Т- 116 (не реализованы).</w:t>
      </w:r>
    </w:p>
    <w:p w14:paraId="457364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 г. для Т-38М разработана новая торсионная подвеска (В. Куликов).</w:t>
      </w:r>
    </w:p>
    <w:p w14:paraId="76F3CB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Пост. КО № 198сс от 7.08.1938 г. и пр. № 335сс от 21.08.1938 г. предписывалось изготовить опытный образец танка прорыва (истребителя ПТО) Т-100 к 1.07.1939 г. В 03.1940 г. велись работы по установке на танк 152-мм гаубицы М-10 (</w:t>
      </w:r>
      <w:r w:rsidRPr="00E93F40">
        <w:rPr>
          <w:rFonts w:ascii="Times New Roman" w:hAnsi="Times New Roman"/>
          <w:color w:val="000000" w:themeColor="text1"/>
          <w:sz w:val="16"/>
          <w:szCs w:val="16"/>
          <w:lang w:val="en-US"/>
        </w:rPr>
        <w:t>T</w:t>
      </w:r>
      <w:r w:rsidRPr="00E93F40">
        <w:rPr>
          <w:rFonts w:ascii="Times New Roman" w:hAnsi="Times New Roman"/>
          <w:color w:val="000000" w:themeColor="text1"/>
          <w:sz w:val="16"/>
          <w:szCs w:val="16"/>
        </w:rPr>
        <w:t>-100-</w:t>
      </w:r>
      <w:r w:rsidRPr="00E93F40">
        <w:rPr>
          <w:rFonts w:ascii="Times New Roman" w:hAnsi="Times New Roman"/>
          <w:color w:val="000000" w:themeColor="text1"/>
          <w:sz w:val="16"/>
          <w:szCs w:val="16"/>
          <w:lang w:val="en-US"/>
        </w:rPr>
        <w:t>Z</w:t>
      </w:r>
      <w:r w:rsidRPr="00E93F40">
        <w:rPr>
          <w:rFonts w:ascii="Times New Roman" w:hAnsi="Times New Roman"/>
          <w:color w:val="000000" w:themeColor="text1"/>
          <w:sz w:val="16"/>
          <w:szCs w:val="16"/>
        </w:rPr>
        <w:t>). В связи с принятием на вооружение КВ-2 работы прекращены.</w:t>
      </w:r>
    </w:p>
    <w:p w14:paraId="01C9A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1938 г. начата разработка Т-26М. Тогда же начата разработка Т-26-5 «СП» («сопровождение пехоты»), продолженная уже на заводе № 174.</w:t>
      </w:r>
    </w:p>
    <w:p w14:paraId="309141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(-1937; 1938 г.)- С. Гинзбург, (1937 г.)- О. Иванов; и.о. (1937 г.)- Россе.</w:t>
      </w:r>
    </w:p>
    <w:p w14:paraId="4F8519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конструктора (1930-е)- М.И. Кошкин.</w:t>
      </w:r>
      <w:r w:rsidRPr="00E93F40">
        <w:rPr>
          <w:rFonts w:ascii="Times New Roman" w:hAnsi="Times New Roman"/>
          <w:color w:val="000000" w:themeColor="text1"/>
          <w:sz w:val="16"/>
          <w:szCs w:val="16"/>
          <w:vertAlign w:val="superscript"/>
        </w:rPr>
        <w:t>128</w:t>
      </w:r>
    </w:p>
    <w:p w14:paraId="403C95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Ведущий инженер (1938 г.)- Э.Ш. Палей (Т-100).</w:t>
      </w:r>
    </w:p>
    <w:p w14:paraId="6F3ABE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Создано: танки: Т-43 (1934), Т-29 (1934), тяжелый «объект 100» (Т-100, 1938-39), </w:t>
      </w:r>
      <w:r w:rsidRPr="00E93F40">
        <w:rPr>
          <w:rFonts w:ascii="Times New Roman" w:hAnsi="Times New Roman"/>
          <w:color w:val="000000" w:themeColor="text1"/>
          <w:sz w:val="16"/>
          <w:szCs w:val="16"/>
          <w:lang w:val="en-US"/>
        </w:rPr>
        <w:t>KB</w:t>
      </w:r>
      <w:r w:rsidRPr="00E93F40">
        <w:rPr>
          <w:rFonts w:ascii="Times New Roman" w:hAnsi="Times New Roman"/>
          <w:color w:val="000000" w:themeColor="text1"/>
          <w:sz w:val="16"/>
          <w:szCs w:val="16"/>
        </w:rPr>
        <w:t xml:space="preserve"> (1939), легкий танк СП (1936); самоходная установка СУ-14 с 203-мм гаубицей.</w:t>
      </w:r>
    </w:p>
    <w:p w14:paraId="3BB919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завода № 185 по двигателям</w:t>
      </w:r>
    </w:p>
    <w:p w14:paraId="470D54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1938 г. разаработаны: дизель № 744, 180 л.с. для танка Т-26; бензиновый мотор № 745, 130-150 л.с. Велась разработка дизеля ДМТ-8,400 л.с., для Т-46-5.</w:t>
      </w:r>
    </w:p>
    <w:p w14:paraId="656F9A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НИИ-38 НКОП</w:t>
      </w:r>
    </w:p>
    <w:p w14:paraId="0575B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НИИ-38 в ведении 8ГУ НКОП организован по пр. № 0212 от 25.09.1937 г. на базе завода № 185. Пр. № 0212 был отменен приказом № 236с от 8.07.1938 г., как изданный без разрешения правительства.</w:t>
      </w:r>
    </w:p>
    <w:p w14:paraId="1144AA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00243 от 16.11.1937 г. институту поручено разработать к 1.01.1938 г. проект нового гусеничного хода для лафета 203-мм гаубицы Б-4 (в 1938 г. она снята с производства). Для этого с заводов «Большевик» и «Баррикады» в институт переведено по одному конструктору (11982).</w:t>
      </w:r>
    </w:p>
    <w:p w14:paraId="12414669" w14:textId="77777777" w:rsidR="00F255A9" w:rsidRPr="00E93F40" w:rsidRDefault="00F255A9"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36D74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года в УНИАДИ работало уже около 220 человек. Была необхо</w:t>
      </w:r>
      <w:r w:rsidRPr="00E93F40">
        <w:rPr>
          <w:rFonts w:ascii="Times New Roman" w:hAnsi="Times New Roman"/>
          <w:color w:val="000000" w:themeColor="text1"/>
          <w:sz w:val="16"/>
          <w:szCs w:val="16"/>
        </w:rPr>
        <w:softHyphen/>
        <w:t>дима своя опытная база. По решению СНК УССР, подписанному В.Я. Чубарем, УНИАДИ был передан завод им.С.М.Лозовского (г. Харь</w:t>
      </w:r>
      <w:r w:rsidRPr="00E93F40">
        <w:rPr>
          <w:rFonts w:ascii="Times New Roman" w:hAnsi="Times New Roman"/>
          <w:color w:val="000000" w:themeColor="text1"/>
          <w:sz w:val="16"/>
          <w:szCs w:val="16"/>
        </w:rPr>
        <w:softHyphen/>
        <w:t>ков). Здесь были организованы механический, литейный, сборочный цехи, испытательная станция, конструкторское бюро, технологическая группа, лаборатории. Работы по тому времени проводились на высоком научно-техническом уровне.</w:t>
      </w:r>
    </w:p>
    <w:p w14:paraId="6BEC99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Под руководством проф. Майера был спроектирован одноцилиндро</w:t>
      </w:r>
      <w:r w:rsidRPr="00E93F40">
        <w:rPr>
          <w:rFonts w:ascii="Times New Roman" w:hAnsi="Times New Roman"/>
          <w:color w:val="000000" w:themeColor="text1"/>
          <w:sz w:val="16"/>
          <w:szCs w:val="16"/>
        </w:rPr>
        <w:softHyphen/>
        <w:t>вый отсек авиадизеля ОД-6 с водяным охлаждением. На этом отсеке отра</w:t>
      </w:r>
      <w:r w:rsidRPr="00E93F40">
        <w:rPr>
          <w:rFonts w:ascii="Times New Roman" w:hAnsi="Times New Roman"/>
          <w:color w:val="000000" w:themeColor="text1"/>
          <w:sz w:val="16"/>
          <w:szCs w:val="16"/>
        </w:rPr>
        <w:softHyphen/>
        <w:t>батывался рабочий процесс. Отсек работал удовлетворительно. Рабочий процесс и конструкция цилиндре-поршневой группы и головки цилинд</w:t>
      </w:r>
      <w:r w:rsidRPr="00E93F40">
        <w:rPr>
          <w:rFonts w:ascii="Times New Roman" w:hAnsi="Times New Roman"/>
          <w:color w:val="000000" w:themeColor="text1"/>
          <w:sz w:val="16"/>
          <w:szCs w:val="16"/>
        </w:rPr>
        <w:softHyphen/>
        <w:t>ра были приняты за основу при проектировании развернутого двигателя. Была поставлена задача создания авиадизеля мощностью 400 л.с., с удель</w:t>
      </w:r>
      <w:r w:rsidRPr="00E93F40">
        <w:rPr>
          <w:rFonts w:ascii="Times New Roman" w:hAnsi="Times New Roman"/>
          <w:color w:val="000000" w:themeColor="text1"/>
          <w:sz w:val="16"/>
          <w:szCs w:val="16"/>
        </w:rPr>
        <w:softHyphen/>
        <w:t>ным весом не более 1 кг/л.с.</w:t>
      </w:r>
    </w:p>
    <w:p w14:paraId="6EC6C91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Дизель был создан У-образным, 12-ти цилиндровым, с водяным ох</w:t>
      </w:r>
      <w:r w:rsidRPr="00E93F40">
        <w:rPr>
          <w:rFonts w:ascii="Times New Roman" w:hAnsi="Times New Roman"/>
          <w:color w:val="000000" w:themeColor="text1"/>
          <w:sz w:val="16"/>
          <w:szCs w:val="16"/>
        </w:rPr>
        <w:softHyphen/>
        <w:t>лаждением. Силовая схема предусматривала стальные шпильки, залитые в алюминиевый картер. Алюминиевый блок. Стальной коленчатый вал. Шатуны — прицепные.</w:t>
      </w:r>
    </w:p>
    <w:p w14:paraId="5B1D066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Расчеты рабочего процесса, динамические и прочностные были вы</w:t>
      </w:r>
      <w:r w:rsidRPr="00E93F40">
        <w:rPr>
          <w:rFonts w:ascii="Times New Roman" w:hAnsi="Times New Roman"/>
          <w:color w:val="000000" w:themeColor="text1"/>
          <w:sz w:val="16"/>
          <w:szCs w:val="16"/>
        </w:rPr>
        <w:softHyphen/>
        <w:t>полнены Н.М.Глаголевым и бригадой под его руководством.</w:t>
      </w:r>
    </w:p>
    <w:p w14:paraId="038BFDF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это время начальник дизельного отдела ХПЗ КФ.Челпан находился в заграничной командировке. Начальником дизельного отдела был П.С. Ярин.</w:t>
      </w:r>
    </w:p>
    <w:p w14:paraId="2C9B481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Один экземпляр проекта авиадизеля УНИАДИ был передан ХПЗ. В УНИАДИ была направлена группа ведущих конструкторов-дизелистов во главе с Я.Е.Вихманом для проверки результатов испытаний отсека, проверки чертежей и др.</w:t>
      </w:r>
    </w:p>
    <w:p w14:paraId="5C2AA11B"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Необходимо отметить, что в 1937 году с целью концентрации работ по созданию быстроходных дизелей, проводимых в г.Харькове, по решению СНК СССР УНИАДИ был передан в ведение ХПЗ. Он стал называться «Научно-исследовательский институт завода — отдел «466».</w:t>
      </w:r>
    </w:p>
    <w:p w14:paraId="6A736C7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опытно-конструкторских и научно-исследовательских работ про</w:t>
      </w:r>
      <w:r w:rsidRPr="00E93F40">
        <w:rPr>
          <w:rFonts w:ascii="Times New Roman" w:hAnsi="Times New Roman"/>
          <w:color w:val="000000" w:themeColor="text1"/>
          <w:sz w:val="16"/>
          <w:szCs w:val="16"/>
        </w:rPr>
        <w:softHyphen/>
        <w:t>веденных в то время, следует отметить:</w:t>
      </w:r>
    </w:p>
    <w:p w14:paraId="6914DB0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освоение литья под давлением (блоки, картеры, блоки насосов и Др.); в этих работах участвовали т.т. Апатов, Белатоцкий, Банас;</w:t>
      </w:r>
    </w:p>
    <w:p w14:paraId="6023BEE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испытания топливных насосов фирмы Бош с разработанным в «466» регуляторами (из 10 вариантов после испытаний был выбран один);</w:t>
      </w:r>
    </w:p>
    <w:p w14:paraId="565EE36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работы по поршневым кольцам, в том числе — отработка режима закалки поршневых колец;</w:t>
      </w:r>
    </w:p>
    <w:p w14:paraId="1146D79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работы по динамике дизеля и шатунно-поршневой группе — прово</w:t>
      </w:r>
      <w:r w:rsidRPr="00E93F40">
        <w:rPr>
          <w:rFonts w:ascii="Times New Roman" w:hAnsi="Times New Roman"/>
          <w:color w:val="000000" w:themeColor="text1"/>
          <w:sz w:val="16"/>
          <w:szCs w:val="16"/>
        </w:rPr>
        <w:softHyphen/>
        <w:t>дили Ю.А.Гопп, Н.М. Глаголев;</w:t>
      </w:r>
    </w:p>
    <w:p w14:paraId="65C86D6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впервые была организована и проводила исследования лаборатория по дизельной топливной аппаратуре. Эти исследования провел М. Сквир-ский;</w:t>
      </w:r>
    </w:p>
    <w:p w14:paraId="551ADE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работы по запуску быстроходных дизелей проводил П.А.Саблев, который занимался разработкой инерционного стартера; расчетная часть по этому стартеру была выполнена Н.М.Глаголевым.</w:t>
      </w:r>
    </w:p>
    <w:p w14:paraId="02DDFB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Был период, когда опытную базу бывшего УНИАДИ руководство заво</w:t>
      </w:r>
      <w:r w:rsidRPr="00E93F40">
        <w:rPr>
          <w:rFonts w:ascii="Times New Roman" w:hAnsi="Times New Roman"/>
          <w:color w:val="000000" w:themeColor="text1"/>
          <w:sz w:val="16"/>
          <w:szCs w:val="16"/>
        </w:rPr>
        <w:softHyphen/>
        <w:t>да начало использовать только как производственные цеха — для выпол</w:t>
      </w:r>
      <w:r w:rsidRPr="00E93F40">
        <w:rPr>
          <w:rFonts w:ascii="Times New Roman" w:hAnsi="Times New Roman"/>
          <w:color w:val="000000" w:themeColor="text1"/>
          <w:sz w:val="16"/>
          <w:szCs w:val="16"/>
        </w:rPr>
        <w:softHyphen/>
        <w:t>нения производственного плана, а не для полноценной научной помощи в доводке нового дизеля (11504).</w:t>
      </w:r>
    </w:p>
    <w:p w14:paraId="19177657"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3B2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не увенчалась успехом попытка Автотанкодизельного отдела Экономического управления ОГПУ (АТДО ЭКУ ОГПУ) (тюремного КБ в котором трудились арестованные конструкторы) разработать проект танка прорыва, массой 75 т. Как и Т-30, этот проект имел множество недостатков, исключавших возможность серийной постройки такой машины (3862).</w:t>
      </w:r>
    </w:p>
    <w:p w14:paraId="5870F5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8FDC35" w14:textId="77777777" w:rsidR="00C71F26" w:rsidRPr="00E93F40" w:rsidRDefault="00C71F26" w:rsidP="00E93F40">
      <w:pPr>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1932 году в Казани начался серьёзный прогресс по танкам Krupp. За это время танк №43 подвергся целому ряду изменений. На машину поставили коробку передач ZF Aphon SFG 280, поскольку дальнейшие работы по пневмоприводу явно зашли в тупик. Серьёзной переделке подверглась ходовая часть. Танк получил траки улучшенной конструкции, изменилось ведущее колесо, для упрощения доступа к ним были частично срезаны бортовые экраны. Результат не заставил себя долго ждать: за 1932 года танк №43 преодолел 154 километра, пройдя больше, чем обе машины этого типа за всё время до того.</w:t>
      </w:r>
    </w:p>
    <w:p w14:paraId="29FF857E" w14:textId="77777777" w:rsidR="00C71F26" w:rsidRPr="00E93F40" w:rsidRDefault="00C71F26" w:rsidP="00E93F40">
      <w:pPr>
        <w:spacing w:after="0" w:line="240" w:lineRule="auto"/>
        <w:jc w:val="both"/>
        <w:textAlignment w:val="baseline"/>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Конструкторы Rheinmetall в это время тоже не стояли на месте. В 1932 году танк №46 вновь серьёзно переделали. Теперь число опорных катков сократилось до 14, из них 12 катков группировались в тележки по 2 катка в каждой. Вместо пневматической подвески использовалась пружинная. Эта ходовая показала себя явно лучше предыдущей конструкции. За 1932 год танк №45 преодолел 230 километров, а №46 — 290 километров. Таким образом, даже танк №45 прошёл больше, чем все остальные танки конкурентов вместе взятые (17713).</w:t>
      </w:r>
    </w:p>
    <w:p w14:paraId="4AB0FB01" w14:textId="77777777" w:rsidR="00C71F26" w:rsidRPr="00E93F40" w:rsidRDefault="00C71F26" w:rsidP="00E93F40">
      <w:pPr>
        <w:spacing w:after="0" w:line="240" w:lineRule="auto"/>
        <w:jc w:val="both"/>
        <w:rPr>
          <w:rFonts w:ascii="Times New Roman" w:eastAsia="Times New Roman" w:hAnsi="Times New Roman"/>
          <w:color w:val="000000" w:themeColor="text1"/>
          <w:sz w:val="16"/>
          <w:szCs w:val="16"/>
          <w:lang w:eastAsia="ru-RU"/>
        </w:rPr>
      </w:pPr>
    </w:p>
    <w:p w14:paraId="38219660"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1932 год на заводе имени Ворошилова был изготовлен 1361 танк Т-26 (из них 20 танков были выпу</w:t>
      </w:r>
      <w:r w:rsidRPr="00142305">
        <w:rPr>
          <w:rFonts w:ascii="Times New Roman" w:hAnsi="Times New Roman"/>
          <w:color w:val="0070C0"/>
          <w:sz w:val="16"/>
          <w:szCs w:val="16"/>
        </w:rPr>
        <w:softHyphen/>
        <w:t>щены в 1931 году, но сданы в 1932 году). Планом на 1933 год завод имени Вороши</w:t>
      </w:r>
      <w:r w:rsidRPr="00142305">
        <w:rPr>
          <w:rFonts w:ascii="Times New Roman" w:hAnsi="Times New Roman"/>
          <w:color w:val="0070C0"/>
          <w:sz w:val="16"/>
          <w:szCs w:val="16"/>
        </w:rPr>
        <w:softHyphen/>
        <w:t>лова должен был изготовить 1700 Т-26, при</w:t>
      </w:r>
      <w:r w:rsidRPr="00142305">
        <w:rPr>
          <w:rFonts w:ascii="Times New Roman" w:hAnsi="Times New Roman"/>
          <w:color w:val="0070C0"/>
          <w:sz w:val="16"/>
          <w:szCs w:val="16"/>
        </w:rPr>
        <w:softHyphen/>
        <w:t>чем основное внимание требовалось обра</w:t>
      </w:r>
      <w:r w:rsidRPr="00142305">
        <w:rPr>
          <w:rFonts w:ascii="Times New Roman" w:hAnsi="Times New Roman"/>
          <w:color w:val="0070C0"/>
          <w:sz w:val="16"/>
          <w:szCs w:val="16"/>
        </w:rPr>
        <w:softHyphen/>
        <w:t>тить на повышение качества танков (24999).</w:t>
      </w:r>
    </w:p>
    <w:p w14:paraId="7B92A25C" w14:textId="77777777" w:rsidR="000D6CBF" w:rsidRPr="00142305" w:rsidRDefault="000D6CBF" w:rsidP="000D6CBF">
      <w:pPr>
        <w:spacing w:after="0" w:line="240" w:lineRule="auto"/>
        <w:jc w:val="both"/>
        <w:rPr>
          <w:rFonts w:ascii="Times New Roman" w:hAnsi="Times New Roman"/>
          <w:color w:val="0070C0"/>
          <w:sz w:val="16"/>
          <w:szCs w:val="16"/>
        </w:rPr>
      </w:pPr>
    </w:p>
    <w:p w14:paraId="436B9A2F" w14:textId="40678A9A" w:rsidR="000D6CBF" w:rsidRPr="00142305" w:rsidRDefault="000D6CBF" w:rsidP="000D6C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году Авто-танковое бюро (АТБ) ЭКУ ОГПУ.</w:t>
      </w:r>
      <w:r w:rsidR="00DD74E1">
        <w:rPr>
          <w:rFonts w:ascii="Times New Roman" w:hAnsi="Times New Roman"/>
          <w:color w:val="0070C0"/>
          <w:sz w:val="16"/>
          <w:szCs w:val="16"/>
        </w:rPr>
        <w:t xml:space="preserve"> </w:t>
      </w:r>
      <w:r w:rsidRPr="00142305">
        <w:rPr>
          <w:rFonts w:ascii="Times New Roman" w:hAnsi="Times New Roman"/>
          <w:color w:val="0070C0"/>
          <w:sz w:val="16"/>
          <w:szCs w:val="16"/>
        </w:rPr>
        <w:t>рассматривало во</w:t>
      </w:r>
      <w:r w:rsidRPr="00142305">
        <w:rPr>
          <w:rFonts w:ascii="Times New Roman" w:hAnsi="Times New Roman"/>
          <w:color w:val="0070C0"/>
          <w:sz w:val="16"/>
          <w:szCs w:val="16"/>
        </w:rPr>
        <w:softHyphen/>
        <w:t>прос изготовления штампованных «гри</w:t>
      </w:r>
      <w:r w:rsidRPr="00142305">
        <w:rPr>
          <w:rFonts w:ascii="Times New Roman" w:hAnsi="Times New Roman"/>
          <w:color w:val="0070C0"/>
          <w:sz w:val="16"/>
          <w:szCs w:val="16"/>
        </w:rPr>
        <w:softHyphen/>
        <w:t>бообразных» (то есть сферических) ба</w:t>
      </w:r>
      <w:r w:rsidRPr="00142305">
        <w:rPr>
          <w:rFonts w:ascii="Times New Roman" w:hAnsi="Times New Roman"/>
          <w:color w:val="0070C0"/>
          <w:sz w:val="16"/>
          <w:szCs w:val="16"/>
        </w:rPr>
        <w:softHyphen/>
        <w:t>шен под 76-мм орудие для Т-26 и БТ-2. По техническому заданию надо было от</w:t>
      </w:r>
      <w:r w:rsidRPr="00142305">
        <w:rPr>
          <w:rFonts w:ascii="Times New Roman" w:hAnsi="Times New Roman"/>
          <w:color w:val="0070C0"/>
          <w:sz w:val="16"/>
          <w:szCs w:val="16"/>
        </w:rPr>
        <w:softHyphen/>
        <w:t>штамповать башни из 11-мм брони. Но мощность прессов оказалась недоста</w:t>
      </w:r>
      <w:r w:rsidRPr="00142305">
        <w:rPr>
          <w:rFonts w:ascii="Times New Roman" w:hAnsi="Times New Roman"/>
          <w:color w:val="0070C0"/>
          <w:sz w:val="16"/>
          <w:szCs w:val="16"/>
        </w:rPr>
        <w:softHyphen/>
        <w:t>точной, и после изготовления в начале 1933 года штампованной башни из 6-мм брони дальнейшие работы прекратили (25009).</w:t>
      </w:r>
    </w:p>
    <w:p w14:paraId="1206D32C" w14:textId="77777777" w:rsidR="000D6CBF" w:rsidRPr="00142305" w:rsidRDefault="000D6CBF" w:rsidP="000D6CBF">
      <w:pPr>
        <w:spacing w:after="0" w:line="240" w:lineRule="auto"/>
        <w:jc w:val="both"/>
        <w:rPr>
          <w:rFonts w:ascii="Times New Roman" w:hAnsi="Times New Roman"/>
          <w:color w:val="0070C0"/>
          <w:sz w:val="16"/>
          <w:szCs w:val="16"/>
        </w:rPr>
      </w:pPr>
    </w:p>
    <w:p w14:paraId="029A3E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в правой башне Т-26 стали устанавливать 37-мм орудие "Гочкис", снятое с танков МС или 37-мм пушку Б-3. Боевая масса танка выросла до 8,4 т, остальные характеристики остались прежними. Однако выяснилось, что башни мешают друг другу - невозможно сосредоточить огонь по одному борту (3861).</w:t>
      </w:r>
    </w:p>
    <w:p w14:paraId="726065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107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базе Т-26 под руководством П.Н. Сячинтова и Л.С. Троянова была разработана СУ-1, вооруженная 76,2-мм орудием (3861).</w:t>
      </w:r>
    </w:p>
    <w:p w14:paraId="4CD275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E846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был изготовлен образец ТММ-2, на котором в одной из башен установили 37-мм орудие. Боевая масса - 7,2 т, экипаж - три человека, двигатель, скорость и бронирование те же, что и на ТММ-1. Оба образца не удовлетворяли требованиям и в производство пошел "Виккерс-Е" с незначительными изменениями. Производить танки Т-26 было поручено заводу "Большевик" с привлечением завода "Красный путиловец". Дальнейшие работы по модернизации танка вел коллектив во главе с С.А. Гинзбургом (3861).</w:t>
      </w:r>
    </w:p>
    <w:p w14:paraId="29F6D5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D65DD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конструкторское бюро Артиллерийской академии разработало под руководством профессора Ф.Л.Хлыстова проекты 152-мм самоходной мортиры и 76-мм самоходной зенитной пушки на базе танка Т-28.</w:t>
      </w:r>
    </w:p>
    <w:p w14:paraId="47F55E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Самоходная установка со 152-мм мортирой весила 17,6 т. Возимый боекомплект составлял 47 выстрелов, двигатель мощностью в 400 л.с., скорость движения по шоссе - до 37,5 км/ч. Главная и обе малые башни с танка были сняты, боковые стенки корпуса выровнены, установлен новый передний броневой лист с двумя пулеметами в шаровых установках, а также броневые листы, прикрывавшие с боков и сзади орудийный расчет. Экипаж состоял из шести человек: трое - орудийный расчет, один водитель и два пулеметчика.</w:t>
      </w:r>
    </w:p>
    <w:p w14:paraId="2B47B5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76-мм зенитная самоходная пушка на базе Т-28 получила индекс СУ-8. Она представляла собой открытую установку массой 1 9 т. При стрельбе для увеличения площадки орудийному расчету борта установки откидывались, а для разгрузки рессор предусматривались упоры. Возимый боекомплект - 108 выстрелов. Экипаж - шесть человек (3918).</w:t>
      </w:r>
    </w:p>
    <w:p w14:paraId="791209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15FBB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КБ завода «Красный путиловец» (с 1933 г. «Кировский завод») предложил свой вариант проекта 76,2-мм самоходной установки на базе легкого танка Т-26. Проектирование СУ, названной «Путиловец», велось веду</w:t>
      </w:r>
      <w:r w:rsidRPr="00E93F40">
        <w:rPr>
          <w:rFonts w:ascii="Times New Roman" w:hAnsi="Times New Roman"/>
          <w:color w:val="000000" w:themeColor="text1"/>
          <w:sz w:val="16"/>
          <w:szCs w:val="16"/>
        </w:rPr>
        <w:softHyphen/>
        <w:t>щим инженером В.И. Ульяновым под руководством Маха-нова. Артиллерийская часть проекта имела индекс А-39.</w:t>
      </w:r>
    </w:p>
    <w:p w14:paraId="1A66560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 СУ-1 проект выгодно отличался наличием вращаю</w:t>
      </w:r>
      <w:r w:rsidRPr="00E93F40">
        <w:rPr>
          <w:rFonts w:ascii="Times New Roman" w:hAnsi="Times New Roman"/>
          <w:color w:val="000000" w:themeColor="text1"/>
          <w:sz w:val="16"/>
          <w:szCs w:val="16"/>
        </w:rPr>
        <w:softHyphen/>
        <w:t>щейся пушечной платформы (башни), установленной на подбашенной коробке на шариковой опоре морского типа. Вооружение САУ должно было состоять из 76,2-мм пушки Л-5 с клиновым вертикальным полуавтоматическим затво</w:t>
      </w:r>
      <w:r w:rsidRPr="00E93F40">
        <w:rPr>
          <w:rFonts w:ascii="Times New Roman" w:hAnsi="Times New Roman"/>
          <w:color w:val="000000" w:themeColor="text1"/>
          <w:sz w:val="16"/>
          <w:szCs w:val="16"/>
        </w:rPr>
        <w:softHyphen/>
        <w:t>ром, гидравлическим тормозом отката и пружинным теле</w:t>
      </w:r>
      <w:r w:rsidRPr="00E93F40">
        <w:rPr>
          <w:rFonts w:ascii="Times New Roman" w:hAnsi="Times New Roman"/>
          <w:color w:val="000000" w:themeColor="text1"/>
          <w:sz w:val="16"/>
          <w:szCs w:val="16"/>
        </w:rPr>
        <w:softHyphen/>
        <w:t>скопическим накатником. Работы над Л-5 велись по 111, аналогичным требованиям, выдвинутым при создании пушки ПС-3. Экипаж САУ состоял из трех человек - ко</w:t>
      </w:r>
      <w:r w:rsidRPr="00E93F40">
        <w:rPr>
          <w:rFonts w:ascii="Times New Roman" w:hAnsi="Times New Roman"/>
          <w:color w:val="000000" w:themeColor="text1"/>
          <w:sz w:val="16"/>
          <w:szCs w:val="16"/>
        </w:rPr>
        <w:softHyphen/>
        <w:t>мандира, наводчика и замкового (заряжающего), причем замковый совмещал свои обязанности с обязанностями ме</w:t>
      </w:r>
      <w:r w:rsidRPr="00E93F40">
        <w:rPr>
          <w:rFonts w:ascii="Times New Roman" w:hAnsi="Times New Roman"/>
          <w:color w:val="000000" w:themeColor="text1"/>
          <w:sz w:val="16"/>
          <w:szCs w:val="16"/>
        </w:rPr>
        <w:softHyphen/>
        <w:t>ханика-водителя. Посадка экипажа в машину производи</w:t>
      </w:r>
      <w:r w:rsidRPr="00E93F40">
        <w:rPr>
          <w:rFonts w:ascii="Times New Roman" w:hAnsi="Times New Roman"/>
          <w:color w:val="000000" w:themeColor="text1"/>
          <w:sz w:val="16"/>
          <w:szCs w:val="16"/>
        </w:rPr>
        <w:softHyphen/>
        <w:t>лась через входную двухстворчатую дверь в корме башни.</w:t>
      </w:r>
    </w:p>
    <w:p w14:paraId="62FE128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Наводчик располагался слева от орудия и имел прице</w:t>
      </w:r>
      <w:r w:rsidRPr="00E93F40">
        <w:rPr>
          <w:rFonts w:ascii="Times New Roman" w:hAnsi="Times New Roman"/>
          <w:color w:val="000000" w:themeColor="text1"/>
          <w:sz w:val="16"/>
          <w:szCs w:val="16"/>
        </w:rPr>
        <w:softHyphen/>
        <w:t>лы РМ — раздельной наводки для стрельбы с закрытых по</w:t>
      </w:r>
      <w:r w:rsidRPr="00E93F40">
        <w:rPr>
          <w:rFonts w:ascii="Times New Roman" w:hAnsi="Times New Roman"/>
          <w:color w:val="000000" w:themeColor="text1"/>
          <w:sz w:val="16"/>
          <w:szCs w:val="16"/>
        </w:rPr>
        <w:softHyphen/>
        <w:t>зиций и телескоп для стрельбы прямой наводкой. Подъем</w:t>
      </w:r>
      <w:r w:rsidRPr="00E93F40">
        <w:rPr>
          <w:rFonts w:ascii="Times New Roman" w:hAnsi="Times New Roman"/>
          <w:color w:val="000000" w:themeColor="text1"/>
          <w:sz w:val="16"/>
          <w:szCs w:val="16"/>
        </w:rPr>
        <w:softHyphen/>
        <w:t>ный механизм имел две рукоятки управления — по гори</w:t>
      </w:r>
      <w:r w:rsidRPr="00E93F40">
        <w:rPr>
          <w:rFonts w:ascii="Times New Roman" w:hAnsi="Times New Roman"/>
          <w:color w:val="000000" w:themeColor="text1"/>
          <w:sz w:val="16"/>
          <w:szCs w:val="16"/>
        </w:rPr>
        <w:softHyphen/>
        <w:t>зонтали у наводчика, а по вертикали у замкового, так как орудие Л-6 имело раздельную наводку.</w:t>
      </w:r>
    </w:p>
    <w:p w14:paraId="48194DF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Углы наведения орудия по вертикали составляли от - 7° до +43°, расчетная дальность стрельбы — 11000 м. Поворот башни можно было осуществлять как вручную, так и с помо</w:t>
      </w:r>
      <w:r w:rsidRPr="00E93F40">
        <w:rPr>
          <w:rFonts w:ascii="Times New Roman" w:hAnsi="Times New Roman"/>
          <w:color w:val="000000" w:themeColor="text1"/>
          <w:sz w:val="16"/>
          <w:szCs w:val="16"/>
        </w:rPr>
        <w:softHyphen/>
        <w:t>щью электромотора двухскоростным механизмом поворота.</w:t>
      </w:r>
    </w:p>
    <w:p w14:paraId="0DD0A17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Замковый (заряжающий) располагался справа от ору</w:t>
      </w:r>
      <w:r w:rsidRPr="00E93F40">
        <w:rPr>
          <w:rFonts w:ascii="Times New Roman" w:hAnsi="Times New Roman"/>
          <w:color w:val="000000" w:themeColor="text1"/>
          <w:sz w:val="16"/>
          <w:szCs w:val="16"/>
        </w:rPr>
        <w:softHyphen/>
        <w:t>дия и обслуживал 7,62-мм пулемет ДТ в шаровой установ</w:t>
      </w:r>
      <w:r w:rsidRPr="00E93F40">
        <w:rPr>
          <w:rFonts w:ascii="Times New Roman" w:hAnsi="Times New Roman"/>
          <w:color w:val="000000" w:themeColor="text1"/>
          <w:sz w:val="16"/>
          <w:szCs w:val="16"/>
        </w:rPr>
        <w:softHyphen/>
        <w:t>ке лобового листа. Поскольку он совмещал обязанности с обязанностями механика-водителя, вести огонь САУ могла только на остановках.</w:t>
      </w:r>
    </w:p>
    <w:p w14:paraId="17CE6C68"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 размещался в кормовой части боевого отде</w:t>
      </w:r>
      <w:r w:rsidRPr="00E93F40">
        <w:rPr>
          <w:rFonts w:ascii="Times New Roman" w:hAnsi="Times New Roman"/>
          <w:color w:val="000000" w:themeColor="text1"/>
          <w:sz w:val="16"/>
          <w:szCs w:val="16"/>
        </w:rPr>
        <w:softHyphen/>
        <w:t>ления позади наводчика. Для лучшего обзора он имел на</w:t>
      </w:r>
      <w:r w:rsidRPr="00E93F40">
        <w:rPr>
          <w:rFonts w:ascii="Times New Roman" w:hAnsi="Times New Roman"/>
          <w:color w:val="000000" w:themeColor="text1"/>
          <w:sz w:val="16"/>
          <w:szCs w:val="16"/>
        </w:rPr>
        <w:softHyphen/>
        <w:t>блюдательный бронеколпак с откидными дверцами и смо</w:t>
      </w:r>
      <w:r w:rsidRPr="00E93F40">
        <w:rPr>
          <w:rFonts w:ascii="Times New Roman" w:hAnsi="Times New Roman"/>
          <w:color w:val="000000" w:themeColor="text1"/>
          <w:sz w:val="16"/>
          <w:szCs w:val="16"/>
        </w:rPr>
        <w:softHyphen/>
        <w:t>тровыми щелями на крыше башни.</w:t>
      </w:r>
    </w:p>
    <w:p w14:paraId="65218B0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Командир мог управлять прибором установки дистан</w:t>
      </w:r>
      <w:r w:rsidRPr="00E93F40">
        <w:rPr>
          <w:rFonts w:ascii="Times New Roman" w:hAnsi="Times New Roman"/>
          <w:color w:val="000000" w:themeColor="text1"/>
          <w:sz w:val="16"/>
          <w:szCs w:val="16"/>
        </w:rPr>
        <w:softHyphen/>
        <w:t>ционных трубок шрапнелей. Боекомплект машины в коли</w:t>
      </w:r>
      <w:r w:rsidRPr="00E93F40">
        <w:rPr>
          <w:rFonts w:ascii="Times New Roman" w:hAnsi="Times New Roman"/>
          <w:color w:val="000000" w:themeColor="text1"/>
          <w:sz w:val="16"/>
          <w:szCs w:val="16"/>
        </w:rPr>
        <w:softHyphen/>
        <w:t>честве 68 выстрелов к пушке и 1134 патронов к пулемету ДТ (18 дисков) размещался под полом поворотной платформы.</w:t>
      </w:r>
    </w:p>
    <w:p w14:paraId="52DF5CB1"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машина получилась очень высокой и недоста</w:t>
      </w:r>
      <w:r w:rsidRPr="00E93F40">
        <w:rPr>
          <w:rFonts w:ascii="Times New Roman" w:hAnsi="Times New Roman"/>
          <w:color w:val="000000" w:themeColor="text1"/>
          <w:sz w:val="16"/>
          <w:szCs w:val="16"/>
        </w:rPr>
        <w:softHyphen/>
        <w:t>точно устойчивой. Шариковая опора башни, механизм по</w:t>
      </w:r>
      <w:r w:rsidRPr="00E93F40">
        <w:rPr>
          <w:rFonts w:ascii="Times New Roman" w:hAnsi="Times New Roman"/>
          <w:color w:val="000000" w:themeColor="text1"/>
          <w:sz w:val="16"/>
          <w:szCs w:val="16"/>
        </w:rPr>
        <w:softHyphen/>
        <w:t>ворота, прибор установки шрапнельных трубок, приборы наблюдения, в том числе стробоскопический, делали ма</w:t>
      </w:r>
      <w:r w:rsidRPr="00E93F40">
        <w:rPr>
          <w:rFonts w:ascii="Times New Roman" w:hAnsi="Times New Roman"/>
          <w:color w:val="000000" w:themeColor="text1"/>
          <w:sz w:val="16"/>
          <w:szCs w:val="16"/>
        </w:rPr>
        <w:softHyphen/>
        <w:t>шину очень сложной и дорогой. Кроме того, 76,2-мм пуш</w:t>
      </w:r>
      <w:r w:rsidRPr="00E93F40">
        <w:rPr>
          <w:rFonts w:ascii="Times New Roman" w:hAnsi="Times New Roman"/>
          <w:color w:val="000000" w:themeColor="text1"/>
          <w:sz w:val="16"/>
          <w:szCs w:val="16"/>
        </w:rPr>
        <w:softHyphen/>
        <w:t>ка Л-6 так и не вышла из стадии чертежей.</w:t>
      </w:r>
    </w:p>
    <w:p w14:paraId="5DF3C1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Несмотря на большую привлекательность, рассмотрен</w:t>
      </w:r>
      <w:r w:rsidRPr="00E93F40">
        <w:rPr>
          <w:rFonts w:ascii="Times New Roman" w:hAnsi="Times New Roman"/>
          <w:color w:val="000000" w:themeColor="text1"/>
          <w:sz w:val="16"/>
          <w:szCs w:val="16"/>
        </w:rPr>
        <w:softHyphen/>
        <w:t>ная САУ завода «Красный Путиловец» так и не вышла из стадии эскизного проектирования (11417).</w:t>
      </w:r>
    </w:p>
    <w:p w14:paraId="6B4A85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4F06E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года на Т-27 устанавливали вместо общего колпака два раздельных для стрелка и водителя. Усилена бронезащита стрелка (3861).</w:t>
      </w:r>
    </w:p>
    <w:p w14:paraId="36DEEA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0E677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конструкторским коллективом под руководством Н.Н. Козырева были разработаны первые плавающие танки с пулеметом в башне - Т-33 и Т-41 (3861).</w:t>
      </w:r>
    </w:p>
    <w:p w14:paraId="44867C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67261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года старый подпольщик Павлуновский И.П. - начальник Главного военно-мобилизационного управления (ГВМУ) стал также Зам. наркома тяжелой промышленности и по совместительству членом ЦК ВКПб (3861).</w:t>
      </w:r>
    </w:p>
    <w:p w14:paraId="1D0E16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0825E7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заводе № 183, представлявшим собой подразделение ХПЗ, специализирующееся по танкам начался серийный выпуск БТ-2 (3862).</w:t>
      </w:r>
    </w:p>
    <w:p w14:paraId="646E7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BF931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Кировском заводе был изготовлен первый опытный образец ПС-3. Преимущества ПС-3 перед КТ были более чем очевидны. Но Сячентову так и не удалось отладить пушку - барахлили полуавтоматика и противооткатные устройства, трубы вылезали из кожуха и т.д. Пушка испытывалась на танках Т-35, Т-28 и АТ-1 с 1932 года до конца 1936 года. ПС-3 была на грани принятия на вооружение, но никак не могла ее преодолеть. Ей даже присваивались армейские наименования: в 1933 году - "76-мм танковая пушка обр. 1933 г."., в начале 1935 года - "76-мм танковая пушка обр. 1935 г.". В 1934 году Кировскому заводу была заказана даже серия в 128 пушек. Но после изготовления 28 систем производство было прекращено (3861).</w:t>
      </w:r>
    </w:p>
    <w:p w14:paraId="21F0C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C45D6A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был спроектирован и изготовлен колесно-гусеничный плавающий танк ПТ-1 А. Он имел ведущими три пары колес, большую массу — 15 тонн, один винт, с которым развивал скорость на воде уже 10 км/час.</w:t>
      </w:r>
    </w:p>
    <w:p w14:paraId="0E49118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Обе машины ПТ-1 и ПТ-1А были изготовлены в Москве на «Красном пролетарии». Ведущим конструктором ПТ-1 А был также Николай Алек</w:t>
      </w:r>
      <w:r w:rsidRPr="00E93F40">
        <w:rPr>
          <w:rFonts w:ascii="Times New Roman" w:hAnsi="Times New Roman"/>
          <w:color w:val="000000" w:themeColor="text1"/>
          <w:sz w:val="16"/>
          <w:szCs w:val="16"/>
        </w:rPr>
        <w:softHyphen/>
        <w:t>сандрович Астров — расконвоированный «ЗК» — «вредитель».</w:t>
      </w:r>
    </w:p>
    <w:p w14:paraId="24320C6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Таким образом,-ПТ-1 и ПТ-1А были универсальными колесно-гусеничными плавающими машинами, с пушечным вооружением, с пол</w:t>
      </w:r>
      <w:r w:rsidRPr="00E93F40">
        <w:rPr>
          <w:rFonts w:ascii="Times New Roman" w:hAnsi="Times New Roman"/>
          <w:color w:val="000000" w:themeColor="text1"/>
          <w:sz w:val="16"/>
          <w:szCs w:val="16"/>
        </w:rPr>
        <w:softHyphen/>
        <w:t>ностью или неполностью (8 и 6) ведущими колесами, что впервые было осуществлено у нас в стране еще в 1932 году, намного раньше, чем такое Же решение предложил техник Цыганов с ремонтного завода № 115.</w:t>
      </w:r>
    </w:p>
    <w:p w14:paraId="2F11E91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Нужно подчеркнуть, что на ПТ-1 и ПТ-1 А, уже тогда рулевое управле</w:t>
      </w:r>
      <w:r w:rsidRPr="00E93F40">
        <w:rPr>
          <w:rFonts w:ascii="Times New Roman" w:hAnsi="Times New Roman"/>
          <w:color w:val="000000" w:themeColor="text1"/>
          <w:sz w:val="16"/>
          <w:szCs w:val="16"/>
        </w:rPr>
        <w:softHyphen/>
        <w:t>ние имело гидроусилитель. Это был несомненный приоритет инженера Н.А. Астрова. Творческую натуру Астрова отличали столь характерные Для инженеров его поколения универсальность. По образованию он был конструктором электрических машин. Для него было характерно сочета</w:t>
      </w:r>
      <w:r w:rsidRPr="00E93F40">
        <w:rPr>
          <w:rFonts w:ascii="Times New Roman" w:hAnsi="Times New Roman"/>
          <w:color w:val="000000" w:themeColor="text1"/>
          <w:sz w:val="16"/>
          <w:szCs w:val="16"/>
        </w:rPr>
        <w:softHyphen/>
        <w:t>ние точного знания с интуицией, основательная теоретическая подго</w:t>
      </w:r>
      <w:r w:rsidRPr="00E93F40">
        <w:rPr>
          <w:rFonts w:ascii="Times New Roman" w:hAnsi="Times New Roman"/>
          <w:color w:val="000000" w:themeColor="text1"/>
          <w:sz w:val="16"/>
          <w:szCs w:val="16"/>
        </w:rPr>
        <w:softHyphen/>
        <w:t>товка и разносторонние практические навыки. Он одинаково уверенно работал за чертежной доской, управлял танком, водил автомобиль.</w:t>
      </w:r>
    </w:p>
    <w:p w14:paraId="5D28CB6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создании танков ПТ-1 и ПТ-1А вместе с Астровым активнейшее учас</w:t>
      </w:r>
      <w:r w:rsidRPr="00E93F40">
        <w:rPr>
          <w:rFonts w:ascii="Times New Roman" w:hAnsi="Times New Roman"/>
          <w:color w:val="000000" w:themeColor="text1"/>
          <w:sz w:val="16"/>
          <w:szCs w:val="16"/>
        </w:rPr>
        <w:softHyphen/>
        <w:t>тие принимал Николай Валентинович Цейц. Участие в их создании для Него явилось хорошей школой в конструировании танков. Позже, уже пос</w:t>
      </w:r>
      <w:r w:rsidRPr="00E93F40">
        <w:rPr>
          <w:rFonts w:ascii="Times New Roman" w:hAnsi="Times New Roman"/>
          <w:color w:val="000000" w:themeColor="text1"/>
          <w:sz w:val="16"/>
          <w:szCs w:val="16"/>
        </w:rPr>
        <w:softHyphen/>
        <w:t>ле того, как он освободится из этой «шарашки», уже в Ленинграде будет самостоятельно проектировать средний колесно-гусеничный танк Т-29 (11504).</w:t>
      </w:r>
    </w:p>
    <w:p w14:paraId="010F64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68558BE" w14:textId="77777777" w:rsidR="00EA543B" w:rsidRPr="00E93F40" w:rsidRDefault="00EA54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под руководством ведущего конструктора Н. А. Астрова ОКМО завода «Большевик» разработана документация на первый плавающий танк ПТ-1 (15132).</w:t>
      </w:r>
    </w:p>
    <w:p w14:paraId="04AA500A" w14:textId="77777777" w:rsidR="00EA543B" w:rsidRPr="00E93F40" w:rsidRDefault="00EA543B" w:rsidP="00E93F40">
      <w:pPr>
        <w:spacing w:after="0" w:line="240" w:lineRule="auto"/>
        <w:jc w:val="both"/>
        <w:rPr>
          <w:rFonts w:ascii="Times New Roman" w:hAnsi="Times New Roman"/>
          <w:color w:val="000000" w:themeColor="text1"/>
          <w:sz w:val="16"/>
          <w:szCs w:val="16"/>
        </w:rPr>
      </w:pPr>
    </w:p>
    <w:p w14:paraId="14CD3480" w14:textId="086AEACF" w:rsidR="00EA543B" w:rsidRPr="00E93F40" w:rsidRDefault="00EA54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ОКМО завода «Большевик» разработало документацию на плавающий танк Т-37. Боевая масса ганка 2,9 т, тип двигателя ГАЗ-АА, максимальная мощность — 40 л. с., максимальная скорость на</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гусеницах - 36 км/ч, на плаву — 8 км/ч, бронирование 9 мм, экипаж 2 человека. Вооружение пулемёт</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7,62-мм ДТ. По результатам испытаний и доработки конструкции в 1933 г. новый танк под индексом</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Т-37А был запущен в серию. Производился с 1933</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по 1936 гг. заводом № 37 (г. Москва) (15132).</w:t>
      </w:r>
    </w:p>
    <w:p w14:paraId="1F63D411" w14:textId="77777777" w:rsidR="00EA543B" w:rsidRPr="00E93F40" w:rsidRDefault="00EA543B" w:rsidP="00E93F40">
      <w:pPr>
        <w:spacing w:after="0" w:line="240" w:lineRule="auto"/>
        <w:jc w:val="both"/>
        <w:rPr>
          <w:rFonts w:ascii="Times New Roman" w:hAnsi="Times New Roman"/>
          <w:color w:val="000000" w:themeColor="text1"/>
          <w:sz w:val="16"/>
          <w:szCs w:val="16"/>
        </w:rPr>
      </w:pPr>
    </w:p>
    <w:p w14:paraId="78C9CC48"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году на тракторе «Коммунар» смонти</w:t>
      </w:r>
      <w:r w:rsidRPr="00142305">
        <w:rPr>
          <w:rFonts w:ascii="Times New Roman" w:hAnsi="Times New Roman"/>
          <w:color w:val="0070C0"/>
          <w:sz w:val="16"/>
          <w:szCs w:val="16"/>
        </w:rPr>
        <w:softHyphen/>
        <w:t>ровали 76-мм пушку. Таким образом, по</w:t>
      </w:r>
      <w:r w:rsidRPr="00142305">
        <w:rPr>
          <w:rFonts w:ascii="Times New Roman" w:hAnsi="Times New Roman"/>
          <w:color w:val="0070C0"/>
          <w:sz w:val="16"/>
          <w:szCs w:val="16"/>
        </w:rPr>
        <w:softHyphen/>
        <w:t>явилась одна из первых отечественных самоходных установок, названная СУ-2. Всего изготовили 12 самоходных устано</w:t>
      </w:r>
      <w:r w:rsidRPr="00142305">
        <w:rPr>
          <w:rFonts w:ascii="Times New Roman" w:hAnsi="Times New Roman"/>
          <w:color w:val="0070C0"/>
          <w:sz w:val="16"/>
          <w:szCs w:val="16"/>
        </w:rPr>
        <w:softHyphen/>
        <w:t>вок в бронированном и небронированном вариантах, которые прошли полигонные и войсковые испытания. Ввиду выявлен</w:t>
      </w:r>
      <w:r w:rsidRPr="00142305">
        <w:rPr>
          <w:rFonts w:ascii="Times New Roman" w:hAnsi="Times New Roman"/>
          <w:color w:val="0070C0"/>
          <w:sz w:val="16"/>
          <w:szCs w:val="16"/>
        </w:rPr>
        <w:softHyphen/>
        <w:t>ных недостатков выпуск СУ-2 ограни</w:t>
      </w:r>
      <w:r w:rsidRPr="00142305">
        <w:rPr>
          <w:rFonts w:ascii="Times New Roman" w:hAnsi="Times New Roman"/>
          <w:color w:val="0070C0"/>
          <w:sz w:val="16"/>
          <w:szCs w:val="16"/>
        </w:rPr>
        <w:softHyphen/>
        <w:t>чился опытной партией (25003).</w:t>
      </w:r>
    </w:p>
    <w:p w14:paraId="70AEE90E" w14:textId="77777777" w:rsidR="000D6CBF" w:rsidRPr="00142305" w:rsidRDefault="000D6CBF" w:rsidP="000D6CBF">
      <w:pPr>
        <w:spacing w:after="0" w:line="240" w:lineRule="auto"/>
        <w:jc w:val="both"/>
        <w:rPr>
          <w:rFonts w:ascii="Times New Roman" w:hAnsi="Times New Roman"/>
          <w:color w:val="0070C0"/>
          <w:sz w:val="16"/>
          <w:szCs w:val="16"/>
        </w:rPr>
      </w:pPr>
    </w:p>
    <w:p w14:paraId="53CB412E" w14:textId="77777777" w:rsidR="00EA543B" w:rsidRPr="00E93F40" w:rsidRDefault="00EA54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1932 г. в академии ВАММ выполнили проект устройства («магнит») для сцепления танков, но из-за имевшихся недостатков он реализован не был. В том же году военно</w:t>
      </w:r>
      <w:r w:rsidRPr="00E93F40">
        <w:rPr>
          <w:rFonts w:ascii="Times New Roman" w:hAnsi="Times New Roman"/>
          <w:color w:val="000000" w:themeColor="text1"/>
          <w:sz w:val="16"/>
          <w:szCs w:val="16"/>
        </w:rPr>
        <w:softHyphen/>
        <w:t>служащий 4-го танкового полка Украинского военного округа (УВО) Н.Ф. Цыганов предло</w:t>
      </w:r>
      <w:r w:rsidRPr="00E93F40">
        <w:rPr>
          <w:rFonts w:ascii="Times New Roman" w:hAnsi="Times New Roman"/>
          <w:color w:val="000000" w:themeColor="text1"/>
          <w:sz w:val="16"/>
          <w:szCs w:val="16"/>
        </w:rPr>
        <w:softHyphen/>
        <w:t>жил свой вариант автосцепки двух.Т-26, позво</w:t>
      </w:r>
      <w:r w:rsidRPr="00E93F40">
        <w:rPr>
          <w:rFonts w:ascii="Times New Roman" w:hAnsi="Times New Roman"/>
          <w:color w:val="000000" w:themeColor="text1"/>
          <w:sz w:val="16"/>
          <w:szCs w:val="16"/>
        </w:rPr>
        <w:softHyphen/>
        <w:t>ляющей преодолевать противотанковые рвы шириной до 4 м и эвакуировать с поля боя под</w:t>
      </w:r>
      <w:r w:rsidRPr="00E93F40">
        <w:rPr>
          <w:rFonts w:ascii="Times New Roman" w:hAnsi="Times New Roman"/>
          <w:color w:val="000000" w:themeColor="text1"/>
          <w:sz w:val="16"/>
          <w:szCs w:val="16"/>
        </w:rPr>
        <w:softHyphen/>
        <w:t>битые танки. Довольно экзотической выгляде</w:t>
      </w:r>
      <w:r w:rsidRPr="00E93F40">
        <w:rPr>
          <w:rFonts w:ascii="Times New Roman" w:hAnsi="Times New Roman"/>
          <w:color w:val="000000" w:themeColor="text1"/>
          <w:sz w:val="16"/>
          <w:szCs w:val="16"/>
        </w:rPr>
        <w:softHyphen/>
        <w:t xml:space="preserve">ла возможность использования «спарки» Т-26 </w:t>
      </w:r>
      <w:r w:rsidRPr="00E93F40">
        <w:rPr>
          <w:rStyle w:val="aff5"/>
          <w:rFonts w:ascii="Times New Roman" w:eastAsia="Arial Narrow" w:hAnsi="Times New Roman" w:cs="Times New Roman"/>
          <w:i w:val="0"/>
          <w:color w:val="000000" w:themeColor="text1"/>
        </w:rPr>
        <w:t>«при тарании минных полей».</w:t>
      </w:r>
      <w:r w:rsidRPr="00E93F40">
        <w:rPr>
          <w:rFonts w:ascii="Times New Roman" w:hAnsi="Times New Roman"/>
          <w:color w:val="000000" w:themeColor="text1"/>
          <w:sz w:val="16"/>
          <w:szCs w:val="16"/>
        </w:rPr>
        <w:t xml:space="preserve"> Опытный обра</w:t>
      </w:r>
      <w:r w:rsidRPr="00E93F40">
        <w:rPr>
          <w:rFonts w:ascii="Times New Roman" w:hAnsi="Times New Roman"/>
          <w:color w:val="000000" w:themeColor="text1"/>
          <w:sz w:val="16"/>
          <w:szCs w:val="16"/>
        </w:rPr>
        <w:softHyphen/>
        <w:t>зец автосцепки Цыганова» изготовили в 1933 г. в мастерских части 1515, и в том же году он прошел испытания.</w:t>
      </w:r>
    </w:p>
    <w:p w14:paraId="3790539C" w14:textId="77777777" w:rsidR="00EA543B" w:rsidRPr="00E93F40" w:rsidRDefault="00EA54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Сцепка танка производилась автомати</w:t>
      </w:r>
      <w:r w:rsidRPr="00E93F40">
        <w:rPr>
          <w:rFonts w:ascii="Times New Roman" w:hAnsi="Times New Roman"/>
          <w:color w:val="000000" w:themeColor="text1"/>
          <w:sz w:val="16"/>
          <w:szCs w:val="16"/>
        </w:rPr>
        <w:softHyphen/>
        <w:t>чески в течение 5-8 с, без выхода экипажа, на различных скоростях движения. Расцепка осуществлялась из любой машины за 5-10 с. Перед преодолением препятствия дополни</w:t>
      </w:r>
      <w:r w:rsidRPr="00E93F40">
        <w:rPr>
          <w:rFonts w:ascii="Times New Roman" w:hAnsi="Times New Roman"/>
          <w:color w:val="000000" w:themeColor="text1"/>
          <w:sz w:val="16"/>
          <w:szCs w:val="16"/>
        </w:rPr>
        <w:softHyphen/>
        <w:t>тельная подготовка подходов к нему не тре</w:t>
      </w:r>
      <w:r w:rsidRPr="00E93F40">
        <w:rPr>
          <w:rFonts w:ascii="Times New Roman" w:hAnsi="Times New Roman"/>
          <w:color w:val="000000" w:themeColor="text1"/>
          <w:sz w:val="16"/>
          <w:szCs w:val="16"/>
        </w:rPr>
        <w:softHyphen/>
        <w:t>бовалась. С помощью такого приспособления предполагалось, сцепляя три танка Т-26, прео</w:t>
      </w:r>
      <w:r w:rsidRPr="00E93F40">
        <w:rPr>
          <w:rFonts w:ascii="Times New Roman" w:hAnsi="Times New Roman"/>
          <w:color w:val="000000" w:themeColor="text1"/>
          <w:sz w:val="16"/>
          <w:szCs w:val="16"/>
        </w:rPr>
        <w:softHyphen/>
        <w:t>долевать рвы шириной до 6 м, однако практи</w:t>
      </w:r>
      <w:r w:rsidRPr="00E93F40">
        <w:rPr>
          <w:rFonts w:ascii="Times New Roman" w:hAnsi="Times New Roman"/>
          <w:color w:val="000000" w:themeColor="text1"/>
          <w:sz w:val="16"/>
          <w:szCs w:val="16"/>
        </w:rPr>
        <w:softHyphen/>
        <w:t>ческих опытов не проводили.</w:t>
      </w:r>
    </w:p>
    <w:p w14:paraId="36E44F9B" w14:textId="77777777" w:rsidR="00EA543B" w:rsidRPr="00E93F40" w:rsidRDefault="00EA54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положительным качествам предложен</w:t>
      </w:r>
      <w:r w:rsidRPr="00E93F40">
        <w:rPr>
          <w:rFonts w:ascii="Times New Roman" w:hAnsi="Times New Roman"/>
          <w:color w:val="000000" w:themeColor="text1"/>
          <w:sz w:val="16"/>
          <w:szCs w:val="16"/>
        </w:rPr>
        <w:softHyphen/>
        <w:t>ной конструкции отнесли и то, что после мон</w:t>
      </w:r>
      <w:r w:rsidRPr="00E93F40">
        <w:rPr>
          <w:rFonts w:ascii="Times New Roman" w:hAnsi="Times New Roman"/>
          <w:color w:val="000000" w:themeColor="text1"/>
          <w:sz w:val="16"/>
          <w:szCs w:val="16"/>
        </w:rPr>
        <w:softHyphen/>
        <w:t>тажа она совершенно не мешала Т-26 выпол</w:t>
      </w:r>
      <w:r w:rsidRPr="00E93F40">
        <w:rPr>
          <w:rFonts w:ascii="Times New Roman" w:hAnsi="Times New Roman"/>
          <w:color w:val="000000" w:themeColor="text1"/>
          <w:sz w:val="16"/>
          <w:szCs w:val="16"/>
        </w:rPr>
        <w:softHyphen/>
        <w:t>нять различные штатные боевые задачи. Обо</w:t>
      </w:r>
      <w:r w:rsidRPr="00E93F40">
        <w:rPr>
          <w:rFonts w:ascii="Times New Roman" w:hAnsi="Times New Roman"/>
          <w:color w:val="000000" w:themeColor="text1"/>
          <w:sz w:val="16"/>
          <w:szCs w:val="16"/>
        </w:rPr>
        <w:softHyphen/>
        <w:t>рудование автосцепкой не представляло слож</w:t>
      </w:r>
      <w:r w:rsidRPr="00E93F40">
        <w:rPr>
          <w:rFonts w:ascii="Times New Roman" w:hAnsi="Times New Roman"/>
          <w:color w:val="000000" w:themeColor="text1"/>
          <w:sz w:val="16"/>
          <w:szCs w:val="16"/>
        </w:rPr>
        <w:softHyphen/>
        <w:t>ности и могло быть осуществлено достаточно быстро в строевых частях, а ее стоимость была невысока. Допускалось использовать данное приспособление не только на новых танках, но и на машинах, выпущенных ранее и уже нахо</w:t>
      </w:r>
      <w:r w:rsidRPr="00E93F40">
        <w:rPr>
          <w:rFonts w:ascii="Times New Roman" w:hAnsi="Times New Roman"/>
          <w:color w:val="000000" w:themeColor="text1"/>
          <w:sz w:val="16"/>
          <w:szCs w:val="16"/>
        </w:rPr>
        <w:softHyphen/>
        <w:t>дящихся в строевых частях.</w:t>
      </w:r>
    </w:p>
    <w:p w14:paraId="6FCEAF2B" w14:textId="77777777" w:rsidR="00EA543B" w:rsidRPr="00E93F40" w:rsidRDefault="00EA543B"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Автосцепка конструкции Цыганова состо</w:t>
      </w:r>
      <w:r w:rsidRPr="00E93F40">
        <w:rPr>
          <w:rFonts w:ascii="Times New Roman" w:hAnsi="Times New Roman"/>
          <w:color w:val="000000" w:themeColor="text1"/>
          <w:sz w:val="16"/>
          <w:szCs w:val="16"/>
        </w:rPr>
        <w:softHyphen/>
        <w:t>яла из двух полукомплектов, один из которых (два улавливателя и два опорных хвоста) уста</w:t>
      </w:r>
      <w:r w:rsidRPr="00E93F40">
        <w:rPr>
          <w:rFonts w:ascii="Times New Roman" w:hAnsi="Times New Roman"/>
          <w:color w:val="000000" w:themeColor="text1"/>
          <w:sz w:val="16"/>
          <w:szCs w:val="16"/>
        </w:rPr>
        <w:softHyphen/>
        <w:t>навливался в кормовой части переднего танка, другой (два носовых листа и два упорных ва</w:t>
      </w:r>
      <w:r w:rsidRPr="00E93F40">
        <w:rPr>
          <w:rFonts w:ascii="Times New Roman" w:hAnsi="Times New Roman"/>
          <w:color w:val="000000" w:themeColor="text1"/>
          <w:sz w:val="16"/>
          <w:szCs w:val="16"/>
        </w:rPr>
        <w:softHyphen/>
        <w:t>лика с кронштейнами) - в носовой части зад</w:t>
      </w:r>
      <w:r w:rsidRPr="00E93F40">
        <w:rPr>
          <w:rFonts w:ascii="Times New Roman" w:hAnsi="Times New Roman"/>
          <w:color w:val="000000" w:themeColor="text1"/>
          <w:sz w:val="16"/>
          <w:szCs w:val="16"/>
        </w:rPr>
        <w:softHyphen/>
        <w:t>него танка. Кроме того, имелись замыкающий и размыкающий механизмы, расположенные внутри машины (15780).</w:t>
      </w:r>
    </w:p>
    <w:p w14:paraId="6722F7DC" w14:textId="77777777" w:rsidR="00EA543B" w:rsidRPr="00E93F40" w:rsidRDefault="00EA543B" w:rsidP="00E93F40">
      <w:pPr>
        <w:spacing w:after="0" w:line="240" w:lineRule="auto"/>
        <w:jc w:val="both"/>
        <w:rPr>
          <w:rFonts w:ascii="Times New Roman" w:hAnsi="Times New Roman"/>
          <w:color w:val="000000" w:themeColor="text1"/>
          <w:sz w:val="16"/>
          <w:szCs w:val="16"/>
        </w:rPr>
      </w:pPr>
    </w:p>
    <w:p w14:paraId="438B9AD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за</w:t>
      </w:r>
      <w:r w:rsidRPr="00E93F40">
        <w:rPr>
          <w:rFonts w:ascii="Times New Roman" w:hAnsi="Times New Roman"/>
          <w:color w:val="000000" w:themeColor="text1"/>
          <w:sz w:val="16"/>
          <w:szCs w:val="16"/>
        </w:rPr>
        <w:softHyphen/>
        <w:t>воде Можерез начались первые в СССР работы по созданию бронеавтомо</w:t>
      </w:r>
      <w:r w:rsidRPr="00E93F40">
        <w:rPr>
          <w:rFonts w:ascii="Times New Roman" w:hAnsi="Times New Roman"/>
          <w:color w:val="000000" w:themeColor="text1"/>
          <w:sz w:val="16"/>
          <w:szCs w:val="16"/>
        </w:rPr>
        <w:softHyphen/>
        <w:t>билей на железнодорожном ходу. Здесь один бронеавтомобиль Д-8 приспосо</w:t>
      </w:r>
      <w:r w:rsidRPr="00E93F40">
        <w:rPr>
          <w:rFonts w:ascii="Times New Roman" w:hAnsi="Times New Roman"/>
          <w:color w:val="000000" w:themeColor="text1"/>
          <w:sz w:val="16"/>
          <w:szCs w:val="16"/>
        </w:rPr>
        <w:softHyphen/>
        <w:t>били для движения по рельсам. Машина оборудовалась домкратом в днище, при помощи которого она вывешива</w:t>
      </w:r>
      <w:r w:rsidRPr="00E93F40">
        <w:rPr>
          <w:rFonts w:ascii="Times New Roman" w:hAnsi="Times New Roman"/>
          <w:color w:val="000000" w:themeColor="text1"/>
          <w:sz w:val="16"/>
          <w:szCs w:val="16"/>
        </w:rPr>
        <w:softHyphen/>
        <w:t>лась над железнодорожным полотном. После этого на коле</w:t>
      </w:r>
      <w:r w:rsidRPr="00E93F40">
        <w:rPr>
          <w:rFonts w:ascii="Times New Roman" w:hAnsi="Times New Roman"/>
          <w:color w:val="000000" w:themeColor="text1"/>
          <w:sz w:val="16"/>
          <w:szCs w:val="16"/>
        </w:rPr>
        <w:softHyphen/>
        <w:t>са, прямо поверх шин, одевались металлические бандажи для движения по рельсам. Испытания этого Д-8 показали хорошие результаты — на железной дороге бронеавтомо</w:t>
      </w:r>
      <w:r w:rsidRPr="00E93F40">
        <w:rPr>
          <w:rFonts w:ascii="Times New Roman" w:hAnsi="Times New Roman"/>
          <w:color w:val="000000" w:themeColor="text1"/>
          <w:sz w:val="16"/>
          <w:szCs w:val="16"/>
        </w:rPr>
        <w:softHyphen/>
        <w:t>биль развивал скорость до 90 км/ч, — и после доработок его передали во 2-й полк бронепоездов (11284).</w:t>
      </w:r>
    </w:p>
    <w:p w14:paraId="5DC04E3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4C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Техническим отделением ЭКО ОГПУ ПВО был разработан проект «броне-авто-водо-машины» с пушечно-пулеметным вооружением. Опытный образец машины, получившей название БАД-2 (БАД — бронеавтомобиль-дрезина), в том же году изготовили на заводе «Большевик». Броневой корпус и башню для него доставили с Ижорского завода.</w:t>
      </w:r>
    </w:p>
    <w:p w14:paraId="42A339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Несущий корпус, сваренный из 6-мм броневых листов, имел нос с остроскулыми обводами. В лобовом листе корпуса, справа от водителя, располагался пулемет ДТ в шаровой установке. Остальное вооружение размещалось в двух башнях, установленных вдоль оси корпуса в два яруса. В передней конической башне, расположенной за отделением управления, размещалась 37-мм танковая пушка Б-3 (5К), созданная на основе немецкого орудия фирмы «Рейнметалл». Она имела сравнительно небольшой размер казенной части и небольшой откат. Ее боекомплект состоял из 60 артвыстрелов. Пушка позволяла вести огонь осколочными снарядами на дальность до 2000 м с боевой скорострельностью 12—15 выстр./мин. Наведение орудия по вертикали производилось с помощью плечевого упора. Начальная скорость осколочных снарядов составляла 710 м/с, бронебойных — 700 м/с. Масса бронебойного снаряда — 0,66 кг. Бронепробивае-мость на дистанции 1500 м —13 мм при угле встречи 0°. </w:t>
      </w:r>
    </w:p>
    <w:p w14:paraId="0AE2D8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цилиндрической кормовой башне, установленной несколько ниже, на уступе корпуса, был смонтирован пулемет ДТ. В боекомплект пулеметов входило 3000 патронов. </w:t>
      </w:r>
    </w:p>
    <w:p w14:paraId="3B8F9B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ходовой части, силовой установке и трансмиссии БАД-2 использовались агрегаты трехосного грузового автомобиля «Форд-Тимкен». Машина имела колесную формулу 6x4. На колеса задних ведущих осей для повышения проходимости по мягким фунтам могли надеваться металлические гусеницы. Поскольку БАД-2 представлял собой бронеавтомобиль-дрезину, то для езды по рельсам обычные колеса заменялись железнодорожными скатами. Движение на плаву обеспечивал гребной винт, укрепленный на конце червяка передачи заднего моста, а маневрирование производилось поворотом передних колес. Двигатель мощностью 40 л.с. позволял боевой машине массой 4,6 т развивать скорость по шоссе до 60 км/ч, по фунтовой дороге с надетыми гусеничными цепями—до 50 км/ч, на рельсах — до 90 км/ч и на плаву — 6 км/ч. </w:t>
      </w:r>
    </w:p>
    <w:p w14:paraId="0F5E54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Экипаж БАД-2 состоял из 4 человек. На машине устанавливалась радиостанция, а в качестве специального оборудования — два баллона для постановки дымовой завесы емкостью по 20 л каждый. </w:t>
      </w:r>
    </w:p>
    <w:p w14:paraId="30D5E3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Броневик, внешне напоминавший бронекатер, поставленный на колеса, был продемонстрирован на Первомайском параде 1933 года в Ленинграде. В ходе показа машина переплыла Неву, что произвело особенно сильное впечатление на зрителей. Несмотря на столь многообещающее начало, дальнейшие работы над БАД-2 прекратили. Военные потребовали усилить броню и вооружение, повысить надежность машины (11637).</w:t>
      </w:r>
    </w:p>
    <w:p w14:paraId="189695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3E1014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советская танковая промышленность выпустила около 1400 танков Т-26 и БТ-2, запущенных в производство в 1931 году. ХПЗ изгото</w:t>
      </w:r>
      <w:r w:rsidRPr="00E93F40">
        <w:rPr>
          <w:rFonts w:ascii="Times New Roman" w:hAnsi="Times New Roman"/>
          <w:color w:val="000000" w:themeColor="text1"/>
          <w:sz w:val="16"/>
          <w:szCs w:val="16"/>
        </w:rPr>
        <w:softHyphen/>
        <w:t>вил 396 танков БТ-2, а Ленинградский завод № 174 имени Ворошилова собрал около 1000 танков Т-26. Кроме того, на серийное производство были поставлены танкетка Т-27 и малый плавающий танк Т-37 (разрабо</w:t>
      </w:r>
      <w:r w:rsidRPr="00E93F40">
        <w:rPr>
          <w:rFonts w:ascii="Times New Roman" w:hAnsi="Times New Roman"/>
          <w:color w:val="000000" w:themeColor="text1"/>
          <w:sz w:val="16"/>
          <w:szCs w:val="16"/>
        </w:rPr>
        <w:softHyphen/>
        <w:t>тан под руководством Н.Н.Козырева.)</w:t>
      </w:r>
    </w:p>
    <w:p w14:paraId="49FA7CF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Поскольку предполагалось, что в будущей войне крупные танковые соединения станут основным средством проведения операций на боль</w:t>
      </w:r>
      <w:r w:rsidRPr="00E93F40">
        <w:rPr>
          <w:rFonts w:ascii="Times New Roman" w:hAnsi="Times New Roman"/>
          <w:color w:val="000000" w:themeColor="text1"/>
          <w:sz w:val="16"/>
          <w:szCs w:val="16"/>
        </w:rPr>
        <w:softHyphen/>
        <w:t>шую глубину, в 1932 году, когда промышленность дала Красной Армии достаточное количество танков, был сформирован (впервые в истории) механизированный корпус, насчитывавший в своем составе 490 танков главным образом Т-26 и БТ-2 и 200 автомобилей. Вскоре были сформи</w:t>
      </w:r>
      <w:r w:rsidRPr="00E93F40">
        <w:rPr>
          <w:rFonts w:ascii="Times New Roman" w:hAnsi="Times New Roman"/>
          <w:color w:val="000000" w:themeColor="text1"/>
          <w:sz w:val="16"/>
          <w:szCs w:val="16"/>
        </w:rPr>
        <w:softHyphen/>
        <w:t>рованы еще три подобных корпуса. Проведенные с ними учения по отра</w:t>
      </w:r>
      <w:r w:rsidRPr="00E93F40">
        <w:rPr>
          <w:rFonts w:ascii="Times New Roman" w:hAnsi="Times New Roman"/>
          <w:color w:val="000000" w:themeColor="text1"/>
          <w:sz w:val="16"/>
          <w:szCs w:val="16"/>
        </w:rPr>
        <w:softHyphen/>
        <w:t>ботке способов их боевого применения позволили выявить ряд недостат</w:t>
      </w:r>
      <w:r w:rsidRPr="00E93F40">
        <w:rPr>
          <w:rFonts w:ascii="Times New Roman" w:hAnsi="Times New Roman"/>
          <w:color w:val="000000" w:themeColor="text1"/>
          <w:sz w:val="16"/>
          <w:szCs w:val="16"/>
        </w:rPr>
        <w:softHyphen/>
        <w:t>ков: громоздкость, малоподвижность, трудоемкость в управлении и др.</w:t>
      </w:r>
    </w:p>
    <w:p w14:paraId="29992C2F"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Заметим, что в 1935 году произошла реорганизация механизирован</w:t>
      </w:r>
      <w:r w:rsidRPr="00E93F40">
        <w:rPr>
          <w:rFonts w:ascii="Times New Roman" w:hAnsi="Times New Roman"/>
          <w:color w:val="000000" w:themeColor="text1"/>
          <w:sz w:val="16"/>
          <w:szCs w:val="16"/>
        </w:rPr>
        <w:softHyphen/>
        <w:t>ных корпусов, которая, не меняя принципиальной структуры и оперативного предназначения, способствовала повышению их ударной силы и мобильности. В частности, бригады корпуса имели только танки БТ-2 и БТ-5, поскольку танки Т-26 значительно (почти в 2 раза) уступали им в скорости. Всего в корпусе по штату полагалось иметь 348 танков БТ, 63 плавающих танка Т-37 и 52 огнеметных танка (11504).</w:t>
      </w:r>
    </w:p>
    <w:p w14:paraId="7440C4BD"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C873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обновленный "Коминтерн" поступил на госиспытания. Трактор успешно буксировал различные артсистемы и показал высокие скоростные и тяговые характеристики. Но имели место и недостатки: обрыв клапанов, прорыв прокладок головок цилиндров, обрыв сцепного прибора, поломка траков, обрыв направляющих штоков роликовой тележки, поломка балансира тележек. В целом новый трактор признали перспективным, а отмеченные дефекты конструкции - потенциально устранимыми (12008).</w:t>
      </w:r>
    </w:p>
    <w:p w14:paraId="6BFC5F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F663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"Коммунаре" смонтировали 76-мм пушку. Таким образом появилась одна из первых отечественных самоходных установок, названная СУ-2. Всего изготовили 12 самоходных установок в бронированном и небронированном вариантах, которые прошли полигонные и войсковые испытания. Ввиду выявленных недостатков выпуск СУ-2 ограничился опытной партией (12009).</w:t>
      </w:r>
    </w:p>
    <w:p w14:paraId="465D74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A53AAFC"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поставки 93,5-сильных двигателей «Неrcules-YXC», которыми в 1929-31 годах оснащались Я-5 и Я-6, прекратились. Видимо, те, кто принимал это решение, руководствовались благими намерениями: чем закупать моторы за валюту, лучше стимулировать развитие отечественного их производства. Была ли реальная возможность для этого? Безусловно. После реконструкции Ярославского завода на нем планировалось выпускать не менее 100 ЯГ-10 в год. Воплощение этого замысла требовало завершить модернизацию завода и, главное, построить цех для выпуска автомобильных двигателей. Но, увы, для автопрома вообще, и для ЯГАЗа в частности, какой-либо двигатель мощнее 73 л.с. (от ЗИС-5) до войны так и не был освоен. Хотя и армия, и промышленность остро нуждались в мощном грузовике, все силы двигателестроения были сосредоточены на танках и авиации. При желании можно было даже просто скопировать тот же «Геркулес» или «Континенталь» (как это сделали, например, на ГАЗе с мотором «Dodge-D5», хорошо известным затем у нас как ГАЗ-11), но даже до этого «не дошли руки».</w:t>
      </w:r>
    </w:p>
    <w:p w14:paraId="46D34DDA"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 если двухосные ЯГ-4 и ЯГ-6 еще кое-как работали на маломощных для них двигателях АМО-3 и ЗИС-5, то для ЯГ-10 такой вариант был совсем неприемлем. Правда, можно вспомнить экспериментальные работы НАТИ по установке на Ярославское шасси сразу двух расположенных параллельно двигателей (образец получил индекс НАТИ-ЯГ-2М), но полноценно согласовать их между собой так и не получилось, а кроме того машина потребовала значительных изменений в конструкции ширины (более широких рамы, мостов и т.д.), поэтому от этой затеи вскоре пришлось отказаться (но сама идея не пропала даром, а получила развитие в полугусеничных тягачах АТ-8 и АТ-14).</w:t>
      </w:r>
    </w:p>
    <w:p w14:paraId="335E88E6"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Отсутствие силового агрегата стало главной причиной весьма ограниченного количества выпущенных ЯГ-10. Хотя военное руководство и забронировало сразу же почти все оставшиеся в распоряжении завода «Геркулесы» именно для ЯГ-10, уже в 1934-35 годах их запас иссяк.</w:t>
      </w:r>
    </w:p>
    <w:p w14:paraId="4CB6BE30"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Впрочем, здесь тоже есть заблуждение. Разные источники указывают дату окончания выпуска ЯГ-10 либо 1934, либо 1935 годом, что совсем неверно. Фактически ЯГ-10 выпускался с 1932 по 1940 год. По годам выпуск распределялся следующим образом: в 1932 году построили 35 экземпляров; в 1933 году - 78; в 1934 году - 50; в 1935 году - 15; в 1936 году - 75; в 1937 году - 18; в 1938 году - 27; в 1939 году - 20; в 1940 году - 4 экземпляра. Кроме того, в 1938 - 1940 годах было выпущено 10 автомобилей ЯГ-10 с двигателями «Неrcules» большей мощности - 103 л.с. Иногда этот автомобиль условно называли ЯГ-10М. Итого, в общей сложности было изготовлено всего 333 экземпляра ЯГ-10.</w:t>
      </w:r>
    </w:p>
    <w:p w14:paraId="19AB2117"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Откуда же брали двигатели для последних партий машин? Когда нужда в ЯГ-10 в той или иной отрасли становилась чрезвычайной, закупки двигателей производились вновь, и эпизодическое мелкосерийное производство продолжалось. Причем, закупки не были централизованными, а совершались по принципу «кто как сможет». Так, весьма солидная организация «Азнефть» по собственным заказам ввозила американские двигатели специально для установки их на ярославские «трехоски». </w:t>
      </w:r>
      <w:r w:rsidRPr="00E93F40">
        <w:rPr>
          <w:rFonts w:ascii="Times New Roman" w:hAnsi="Times New Roman"/>
          <w:color w:val="000000" w:themeColor="text1"/>
          <w:sz w:val="16"/>
          <w:szCs w:val="16"/>
        </w:rPr>
        <w:lastRenderedPageBreak/>
        <w:t>Кстати, кроме Москвы, Ленинграда и некоторых других крупных городов СССР, некоторые экземпляры ЯГ-10 эксплуатировались и в достаточно отдаленных регионах (Западная и Восточная Сибирь, Забайкалье), кроме того сохранились сведения об использовании этих грузовиков в качестве транспортных единиц в пограничных конфликтах с японцами в конце 1930-х и об эксплуатации их в дружественной Монголии.</w:t>
      </w:r>
    </w:p>
    <w:p w14:paraId="5521272D"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Еще одно заблуждение связано с тем, что ЯГ-10 фактически никогда не являлся отдельной неизменной конструкцией. Трехосная машина, обозначавшаяся как ЯГ-10 выпускалась в течение 9 лет. И если первоначально это была трехосная модификация Я-5, то со временем она постепенно становилась трехосной модификацией автомобилей ЯГ-3, ЯГ-4 и ЯГ-6, и лишь неизменно – с импортными двигателями. Даже внешне последние ЯГ-10 разительно отличались от машин первых лет выпуска: иные, более широкие и упрощенного профиля крылья; колесные диски производства Горьковского автозавода с двумя окнами в виде «луковок» (вместо более ранних с двумя мизерными круглыми окошками); разные грузовые платформы с отличиями в их расположении и креплениях; более длинная в задней части рама; и наконец, три различных вида эмблем на радиаторах машин. Ввиду этого, поздние ЯГ-10 иногда обозначались как ЯГ-10А (12201).</w:t>
      </w:r>
    </w:p>
    <w:p w14:paraId="73E8CF8C"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456F2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начал строиться Могилевский ГАРЗ № 7 и вступил в строй 9.07.1935 г. До войны являлся основной ремонтной базой автомобильных и бронетанковых частей Западного Особого военного округа.</w:t>
      </w:r>
    </w:p>
    <w:p w14:paraId="53E27D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604с/505с от 26.10.1940 г. Могилевский завод им. Димитрова НКМП передан в ЗГУ НКАП и получил наименование завод № 459. Перед войной налаживалось производство мотора АМ-35А.</w:t>
      </w:r>
    </w:p>
    <w:p w14:paraId="32F91C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от 25.06.1941 г. завод № 459 эвакуирован в Куйбышев на площадку завода № 337 НКАП и по приказу № 726сс от 18.07.1941 г. влит в его состав.</w:t>
      </w:r>
    </w:p>
    <w:p w14:paraId="19D532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(10.1940 г.-)- И.А. Ермаков.</w:t>
      </w:r>
    </w:p>
    <w:p w14:paraId="230558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СКО (12.1940 г.-)- С.К. Кольцов.</w:t>
      </w:r>
    </w:p>
    <w:p w14:paraId="1F15C8CA" w14:textId="416E87E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Могилевский автомобильный завод, ОАО «Могилевский автомобильный завод» /Белоруссия 212601</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Могилев Витебский пр., 5/</w:t>
      </w:r>
    </w:p>
    <w:p w14:paraId="21C4B7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восстановлен на месте эвакуированного завода № 459 НКАП. Распоряжением правительства от 11.01.1946 г. завод преобразован в локомобильный, в 04.1946 г. собраны первые локомобили.</w:t>
      </w:r>
    </w:p>
    <w:p w14:paraId="12C2E2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1955 г. выпускал паросиловые установки мощностью от 10 до 100 л.с. для электрификации и теплофикации сельского хозяйства и местной промышленности. В 1955-68 г. выпускал электромостовые краны грузоподъемностью 5 т, маслозаправщики на шасси ГАЗ; с 1960 г. завод перешел на производство землеройно- транспортной и автомобильной техники при участии Минского автозавода. В 1960 г. с МАЗа переведена группа конструкторов, ставшая основой конструкторско-экспериментальной базы завода.</w:t>
      </w:r>
    </w:p>
    <w:p w14:paraId="59749A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1966 г. завод переименован в автомобильный.</w:t>
      </w:r>
    </w:p>
    <w:p w14:paraId="69572D55" w14:textId="39E6D9C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являлся одним из крупнейших (1990-е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разработчиком и производителем землеройно-транспортной техники в странах СН Г.</w:t>
      </w:r>
    </w:p>
    <w:p w14:paraId="50730F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(1990-е): строительно-дорожная техника (самоходные скреперы); автомобили спецназначения (подземные автопоезда, самосвалы, аэродромные тягачи для буксировки самолетов).</w:t>
      </w:r>
    </w:p>
    <w:p w14:paraId="6917A1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заводе имелись производства (1990-е): литейное, заготовительное, сварочное, инструментальное, механообрабатывающее, сборочное.</w:t>
      </w:r>
    </w:p>
    <w:p w14:paraId="4A94EC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(2007 г.)- Н. Г. Михалкович.</w:t>
      </w:r>
    </w:p>
    <w:p w14:paraId="4E42EF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тягач МАЗ-529 (1958-); самоходный скрепер МоАЗ-546Е-Э57Г (1959-); автомобили: МоАЗ- 6401, МоАЗ-522, МоАЗ-75051, МоАЗ-6442, МоАЗ-6014, МоАЗ-4048 (11982).</w:t>
      </w:r>
    </w:p>
    <w:p w14:paraId="78DD8B8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63E8425" w14:textId="77777777" w:rsidR="00FB38D7" w:rsidRPr="00E93F40" w:rsidRDefault="00FB38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рамках выяснения соответствия НАТИ-IХ(б) требованиям почтового ведомства лабораторией транспорта Научно-исследовательского института связи были проведены испытания аэросаней, показавшие некоторые недостатки конструкции:</w:t>
      </w:r>
    </w:p>
    <w:p w14:paraId="07607203" w14:textId="77777777" w:rsidR="00FB38D7" w:rsidRPr="00E93F40" w:rsidRDefault="00FB38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 Открытого типа лыжи Т-образного сечения с плоской подошвой создают повышенное сопротивление движению. В условиях рыхлой снежной целины на верхней части лыж накапливается снег, который создаёт дополнительное сопротивление движению. Плоская подошва лыж, вследствие большой площади трения, также создает повышенное сопротивление движению, увеличивает износ подошвы и прилипание её к снежному полотну. Наличие острых кромок плоской подошвы лыж повышает сопротивление при поворотах и затрудняет управление аэросанями. Лыжи открытого типа Т-образного сечения с плоской подошвой для аэросаней средней мощности применять нецелесообразно.</w:t>
      </w:r>
    </w:p>
    <w:p w14:paraId="1A028627" w14:textId="77777777" w:rsidR="00FB38D7" w:rsidRPr="00E93F40" w:rsidRDefault="00FB38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 Тяга аэросаней при полной нагрузке в шесть человек в условиях движения по рыхлой снежной целине недостаточная.</w:t>
      </w:r>
    </w:p>
    <w:p w14:paraId="6DE14E52" w14:textId="77777777" w:rsidR="00FB38D7" w:rsidRPr="00E93F40" w:rsidRDefault="00FB38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 Подрезы лыж не обеспечивают хорошей устойчивости движения аэросаней по накатанной дороге – аэросани заносит.</w:t>
      </w:r>
    </w:p>
    <w:p w14:paraId="77869CEB" w14:textId="77777777" w:rsidR="00FB38D7" w:rsidRPr="00E93F40" w:rsidRDefault="00FB38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 Открытые места для водителя и механика затрудняют работу водителя, особенно в условиях низкой температуры воздуха и ветра.</w:t>
      </w:r>
    </w:p>
    <w:p w14:paraId="023ECA67" w14:textId="77777777" w:rsidR="00FB38D7" w:rsidRPr="00E93F40" w:rsidRDefault="00FB38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 Размеры кузова для размещения шести человек малы (18640).</w:t>
      </w:r>
    </w:p>
    <w:p w14:paraId="3DE77B9A" w14:textId="77777777" w:rsidR="00FB38D7" w:rsidRPr="00E93F40" w:rsidRDefault="00FB38D7" w:rsidP="00E93F40">
      <w:pPr>
        <w:spacing w:after="0" w:line="240" w:lineRule="auto"/>
        <w:jc w:val="both"/>
        <w:rPr>
          <w:rFonts w:ascii="Times New Roman" w:hAnsi="Times New Roman"/>
          <w:color w:val="000000" w:themeColor="text1"/>
          <w:sz w:val="16"/>
          <w:szCs w:val="16"/>
        </w:rPr>
      </w:pPr>
    </w:p>
    <w:p w14:paraId="747DA6E6" w14:textId="77777777" w:rsidR="00FB38D7" w:rsidRPr="00E93F40" w:rsidRDefault="00FB38D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руководством ВЭСО была осуществлена организация отраслевых лабораторий при заводах соответствующей специализации. В связи с этим все лаборатории телефонной отрасли были из ЦЛПС переданы в Отрасле</w:t>
      </w:r>
      <w:r w:rsidRPr="00E93F40">
        <w:rPr>
          <w:rFonts w:ascii="Times New Roman" w:hAnsi="Times New Roman"/>
          <w:color w:val="000000" w:themeColor="text1"/>
          <w:sz w:val="16"/>
          <w:szCs w:val="16"/>
        </w:rPr>
        <w:softHyphen/>
        <w:t>вую телефонную лабораторию и Лабораторию дальней связи (ТЕОЛ), организо</w:t>
      </w:r>
      <w:r w:rsidRPr="00E93F40">
        <w:rPr>
          <w:rFonts w:ascii="Times New Roman" w:hAnsi="Times New Roman"/>
          <w:color w:val="000000" w:themeColor="text1"/>
          <w:sz w:val="16"/>
          <w:szCs w:val="16"/>
        </w:rPr>
        <w:softHyphen/>
        <w:t>ванную при заводе «Красная заря». С 1 апреля 1933 г. туда же перешла и орга</w:t>
      </w:r>
      <w:r w:rsidRPr="00E93F40">
        <w:rPr>
          <w:rFonts w:ascii="Times New Roman" w:hAnsi="Times New Roman"/>
          <w:color w:val="000000" w:themeColor="text1"/>
          <w:sz w:val="16"/>
          <w:szCs w:val="16"/>
        </w:rPr>
        <w:softHyphen/>
        <w:t>низованная Эльсницем Военная лаборатория. При этом она получила еще более широкие возможности развития. К середине 1930-х гг. численность сотрудников достигла семидесяти человек. При лаборатории было создано небольшое конст</w:t>
      </w:r>
      <w:r w:rsidRPr="00E93F40">
        <w:rPr>
          <w:rFonts w:ascii="Times New Roman" w:hAnsi="Times New Roman"/>
          <w:color w:val="000000" w:themeColor="text1"/>
          <w:sz w:val="16"/>
          <w:szCs w:val="16"/>
        </w:rPr>
        <w:softHyphen/>
        <w:t>рукторское бюро, впоследствии разросшееся до отдела, опытные мастерские. Большую роль в развитии этой обновленной и расширенной лаборатории сыграл инженер завода «Красная заря» С.П. Петров, ставший в лаборатории заместите</w:t>
      </w:r>
      <w:r w:rsidRPr="00E93F40">
        <w:rPr>
          <w:rFonts w:ascii="Times New Roman" w:hAnsi="Times New Roman"/>
          <w:color w:val="000000" w:themeColor="text1"/>
          <w:sz w:val="16"/>
          <w:szCs w:val="16"/>
        </w:rPr>
        <w:softHyphen/>
        <w:t>лем Эльсница. Сам Эльсниц возглавлял лабораторию до апреля 1934 г., когда из-за возросшей нагрузки в ВЭТА вынужден был отказаться от должности заве</w:t>
      </w:r>
      <w:r w:rsidRPr="00E93F40">
        <w:rPr>
          <w:rFonts w:ascii="Times New Roman" w:hAnsi="Times New Roman"/>
          <w:color w:val="000000" w:themeColor="text1"/>
          <w:sz w:val="16"/>
          <w:szCs w:val="16"/>
        </w:rPr>
        <w:softHyphen/>
        <w:t>дующего, оставшись на заводе лишь в качестве научного руководителя. Еще в июле 1932 г. приказом РВС СССР он был отозван из резерва и назначен на должность преподавателя ВЭТА с исполнением обязанностей начальника кафед</w:t>
      </w:r>
      <w:r w:rsidRPr="00E93F40">
        <w:rPr>
          <w:rFonts w:ascii="Times New Roman" w:hAnsi="Times New Roman"/>
          <w:color w:val="000000" w:themeColor="text1"/>
          <w:sz w:val="16"/>
          <w:szCs w:val="16"/>
        </w:rPr>
        <w:softHyphen/>
        <w:t>ры телефонии (19098).</w:t>
      </w:r>
    </w:p>
    <w:p w14:paraId="1378C23D" w14:textId="77777777" w:rsidR="00FB38D7" w:rsidRPr="00E93F40" w:rsidRDefault="00FB38D7" w:rsidP="00E93F40">
      <w:pPr>
        <w:spacing w:after="0" w:line="240" w:lineRule="auto"/>
        <w:jc w:val="both"/>
        <w:rPr>
          <w:rFonts w:ascii="Times New Roman" w:hAnsi="Times New Roman"/>
          <w:color w:val="000000" w:themeColor="text1"/>
          <w:sz w:val="16"/>
          <w:szCs w:val="16"/>
        </w:rPr>
      </w:pPr>
    </w:p>
    <w:p w14:paraId="1AC05B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комиссия под председательством заместителя начальника вооружений РККА Н.А.Ефимова выехала в Италию для изучения «состо</w:t>
      </w:r>
      <w:r w:rsidRPr="00E93F40">
        <w:rPr>
          <w:rFonts w:ascii="Times New Roman" w:hAnsi="Times New Roman"/>
          <w:color w:val="000000" w:themeColor="text1"/>
          <w:sz w:val="16"/>
          <w:szCs w:val="16"/>
        </w:rPr>
        <w:softHyphen/>
        <w:t>яния итальянской промышленности и систем вооружения итальянской армии» (11504).</w:t>
      </w:r>
    </w:p>
    <w:p w14:paraId="60789B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DEBEEDD" w14:textId="7440004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был организован Завод № 29 по производству и капремонту машин введен в строй в 1932 г. в ведении ГУЩД НКВД - Завод № 29 НКВД, МВД, Первый Московский завод радиодеталей (ПМЗР), В-2995, ЗАО «ПМЗР» /123060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Москва 1-й Волоколамский пр., 10 тел. 196-80-93/.</w:t>
      </w:r>
    </w:p>
    <w:p w14:paraId="2F3745B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годы войны переведен на ремонт двигателей ЧТЗ-60, ХТЗ, ЗиС-5. С 1945 г. выпускал узлы самосвалов, бензовозов, выполнял капремонт дорожных машин.</w:t>
      </w:r>
    </w:p>
    <w:p w14:paraId="767B39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1951 г. пост. СМ СССР завод № 29 МВД передан в ведение МПСС и перепрофилирован на разработку и выпуск радиодеталей. Первой продукцией были переменные и постоянные сопротивления.</w:t>
      </w:r>
    </w:p>
    <w:p w14:paraId="7046B0EE" w14:textId="7E2C5D7F"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 наименование «п/я В-2995». В 1970-е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 базе завода создано ПО «Гиперон».</w:t>
      </w:r>
    </w:p>
    <w:p w14:paraId="62FE8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являлся головным в стране по разработке и производству переменных резисторов.</w:t>
      </w:r>
    </w:p>
    <w:p w14:paraId="594462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1991 г. ПМЗР стал арендным предприятием. В 1992 г. предприятие акционировано и преобразовано в АОЗТ, с 26.06.1997 г. - ЗАО ПМЗР. В конце 2008 г. было принято решение о переводе производства в Московскую обл. и создании на месте завода научно-административного бизнес-парка.</w:t>
      </w:r>
    </w:p>
    <w:p w14:paraId="2F8D3DB6" w14:textId="6B90269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(2000-е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разработка и производство: переменные непроволочные резисторы с керметными и лакосажиевыми слоями; микросхемы с элементами, работающими на эффекте Холла; производство: изделия спецтехники для газозапорной аппаратуры, охранных устройств, беспроводных устройств управления сигнализацией автомобилей, помещений; элементы солнечных батарей.</w:t>
      </w:r>
    </w:p>
    <w:p w14:paraId="5885406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(1997-2000 г.-)- В.Н. Лунгулло.</w:t>
      </w:r>
    </w:p>
    <w:p w14:paraId="0B04FF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резисторы: СП, ВС, СПО, УЛМ, БЛП, ТВО (1951-), СП2-2, СПЗ-9, -16, -19, -23, -29, -38, -45, РП1 (2002); микросхемы: К1116КП1, -2, 3, -4, -6, -7, -8, -9, -10, -11 (2002); фильтры на ПАВ, канальные усилители; система дистанционного управления СДУ-2000; солнечные элементы и батареи; торцевой бесконтактный выключатель ВКБ для газотрубопроводов; датчики фазы на основе магнитоуправляемых микросхем; пасты: полимерные резистивные, керметные, серебряная для контактов (2002); швейная фурнитура, установка для ее монтажа П90.143 ПС (2002) (11982).</w:t>
      </w:r>
    </w:p>
    <w:p w14:paraId="59C78E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7BA59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1932 г. в Ленинграде действовало ОТБ (Осконбюро) или ОКПБ (особое конструкторско-производственное бюро) ВВС РККА НКВМ. В 1932 г. основная часть ОТБ (кроме морских работ) переведена в Москву на ст. Подлипки и преобразована в Экспериментальный институт НКТП по работам РККА (по другой информации бюро «ЭПД» переведено в Подлипки 21.08.1936 г.; ОТБ преобразовано в Экспериментальный институт в 1934 г.). С 01.1936 г. институт передан в ГУАП НКТП. В 1933 г. построен аэродром института.</w:t>
      </w:r>
    </w:p>
    <w:p w14:paraId="22FF89A7" w14:textId="679F5D01"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инженером Р. Г. Ниренбергом разработан пневматический автопилот АВП-1 для самолета ТБ-1 (еще в 1920-е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 Г. Ниренберг 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Г.В. Коренев работали над радиоуправляемыми самолетами) (11982).</w:t>
      </w:r>
    </w:p>
    <w:p w14:paraId="4050A0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029A690" w14:textId="0D4CE13C"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завод «Возрождение» (Завод № 45 НКТП, НКРП, Завод «Шефер и К</w:t>
      </w:r>
      <w:r w:rsidRPr="00E93F40">
        <w:rPr>
          <w:rFonts w:ascii="Times New Roman" w:hAnsi="Times New Roman"/>
          <w:color w:val="000000" w:themeColor="text1"/>
          <w:sz w:val="16"/>
          <w:szCs w:val="16"/>
          <w:vertAlign w:val="superscript"/>
        </w:rPr>
        <w:t>0</w:t>
      </w:r>
      <w:r w:rsidRPr="00E93F40">
        <w:rPr>
          <w:rFonts w:ascii="Times New Roman" w:hAnsi="Times New Roman"/>
          <w:color w:val="000000" w:themeColor="text1"/>
          <w:sz w:val="16"/>
          <w:szCs w:val="16"/>
        </w:rPr>
        <w:t>», Завод «Возрождение», Машиностроительный завод «Коммунист» СНХ, НКТМ, ОАО «Волгодизельаппарат» /г. Екатериненпггадт,</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Марксштадт/ /413090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Маркс Саратовской обл. 4-я линия, 2/) переименован в завод «Коммунист».</w:t>
      </w:r>
    </w:p>
    <w:p w14:paraId="08E7C3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 г. предприятие было реконструировано, построены новые цехи, в т.ч. механо-сборочный площадью 5 тыс.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3E3B09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1941 г. ГКО поручил заводу выпуск вооружения и боеприпасов. Было освоено производство 120-мм минометов, снарядов и авиабомб. С 05.1943 г. было поручено начать производство деталей к танку Т-34 и к танковому мотору В-2.</w:t>
      </w:r>
    </w:p>
    <w:p w14:paraId="79F01DD9" w14:textId="3B22F75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НКТМ в 02.1942 г. образован филиал завода на базе Ремонтно-механического завода ( г. Энгельс). В 05.1943 г. завод «Коммунист» с филиалом передан в ведение НКТП и получил литерный № 45. 13.11.1943 г. филиал завода в</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Энгельс выделен в самостоятельный завод № 138, ему передано оборудование снарядного производства завода № 45. В 04.1944 г. пост. ГКО завод № 45 был передан в НКРП для оснащения флота дизелями, в 12.1944 г. выпущены первые судовые дизели. Одновременно продолжался выпуск продукции для фронта.</w:t>
      </w:r>
    </w:p>
    <w:p w14:paraId="0BB5F7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продолжено производство дизелей, велись работы по их усовершенствованию.</w:t>
      </w:r>
    </w:p>
    <w:p w14:paraId="5EE128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1963 г. Саратовский СНХ принял решение о создании на заводе «Коммунист» специализированного производства дизельной топливной аппаратуры для мощных стационарных и судовых дизелей.</w:t>
      </w:r>
    </w:p>
    <w:p w14:paraId="7ECB2B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1964 г. завод принимал участие (вместе с ЦНИДИ) в проектировании новой аппаратуры для дизелей 6 ЧН 18/22 и 6 ЧН 19/30. Были разработаны блочные многосекционные унифицированные топливные насосы золотникового типа с собственным кулачковым валом. Позднее на их базе созданы топливные насосы для тепловозных, буровых и автомобильных дизелей типа 6 ЧН 2.1/21.</w:t>
      </w:r>
    </w:p>
    <w:p w14:paraId="535D56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1975 г. завод «Коммунист» определен головным в отрасли по производству дизельной аппаратуры.</w:t>
      </w:r>
    </w:p>
    <w:p w14:paraId="3EC9A1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1993 г. завод преобразован в ОАО «Волгодизельаппарат».</w:t>
      </w:r>
    </w:p>
    <w:p w14:paraId="585458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1999 г. налажен выпуск навесных сельскохозяйственных агрегатов и культиваторов.</w:t>
      </w:r>
    </w:p>
    <w:p w14:paraId="36E0B5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(1895 г.)- 99 чел., (1896 г.)- 125 чел., (1898 г.)- 156 чел.</w:t>
      </w:r>
    </w:p>
    <w:p w14:paraId="65972C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Гендиректор (-2003-05 г.-)- В.В. Покровский.</w:t>
      </w:r>
    </w:p>
    <w:p w14:paraId="739B9D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тракторы: «Универсал» (1922)- 1, «Посредник» (1922)- 1, «Богатырь» (1922)- 1, «Карлик» (1922-28-)- 30; нефтяные двигатели (дизели): 12НР (1925-32-)- около 3300, «Пионер» (1933-40-), стационарные, для катеров 12 л.с. (1920-е), судовые (1930-е-40-), для зарядки аккумуляторов ПЛ (ВОВ)- 660, Д 16/20 (1946), 1Д, 2Д, 2ДСП Д 16,5/20 (1950-е-60-е); 120-мм минометы, снаряды, авиабомбы (ВОВ), детали для Т-34, для дизеля В- 2 (ВОВ); топливные насосы для дизелей 6 ЧН 18/22, 6 ЧН 19/30, 6 ЧН 21/21 (1960-е), распылители и форсунки к дизелям Ч 36/45 (1967-) (11982).</w:t>
      </w:r>
    </w:p>
    <w:p w14:paraId="33F378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E5724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под руководством и-к И.П.Волоска был создан первый образец советской шифровальной машины (ШМВ-1) (3892).</w:t>
      </w:r>
    </w:p>
    <w:p w14:paraId="101E4D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9046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были открыты мастерские Ленинградского государственного гидрологического института и Главной геофизической обсерватории. В 1934 г. они реорганизованы в Завод гидрологических и геофизических приборов «Гидрогеоприбор» ГУГМС (Завод № 301 НКО , Завод гидрологических и геофизических приборов «Гидрогеоприбор» ГУГМС, Ленинградский завод гидрометеорологических приборов ГУГМС, Ленинградский государственный завод «Гидрометприбор»).</w:t>
      </w:r>
    </w:p>
    <w:p w14:paraId="3ADF01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1943 г. завод передан в ведение ГУГМС РККА НКО и переименован в завод № 301, с 1946 г. - Ленинградский завод гидрометеорологических приборов ГУГМС при СМ СССР, с 1957 г. - Ленинградский государственный завод «Гидрометприбор» Управления приборостроительной промышленности ЛенСНХ. В 1959 г. завод влит в состав завода № 338 (11982).</w:t>
      </w:r>
    </w:p>
    <w:p w14:paraId="184B8CD0"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22D0D95C"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1932 году мастерские склада № 60 разработали улучшенный вариант легкой бронеплощадки. В качестве базы для нее использовалась рама 4-осного 50</w:t>
      </w:r>
      <w:r w:rsidRPr="00142305">
        <w:rPr>
          <w:rStyle w:val="aff"/>
          <w:rFonts w:ascii="Times New Roman" w:hAnsi="Times New Roman" w:cs="Times New Roman"/>
          <w:color w:val="0070C0"/>
          <w:spacing w:val="0"/>
          <w:sz w:val="16"/>
          <w:szCs w:val="16"/>
        </w:rPr>
        <w:softHyphen/>
        <w:t>тонного вагона на тележках «Даймонд» – изготовление таких вагонов начал брянский завод «Красной Профинтерн». Броневая защита бортов делалась двойной: снаружи 15-мм броневой лист, изнутри 12-мм лист из обычной стали с воздушным зазором между ними. Крепление брони к каркасу из металлического профиля осуществлялось болтами. Благодаря более плотной компоновке удалось уменьшить высоту корпуса и броневагона в целом по сравнению с бронеплощадкой типа военсклада № 60.</w:t>
      </w:r>
    </w:p>
    <w:p w14:paraId="412F54AC"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Орудийные башни изготавливались из плоских 15-мм бронелистов, сваренных между собой, и в плане имели вид правильного 20-угольника. Пулеметы Максима монтировались в шаровых установках, что облегчило ведение огня и позволило увеличить углы обстрела.</w:t>
      </w:r>
    </w:p>
    <w:p w14:paraId="4FD01171"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Командирскую башенку оснастили танковым смотровым прибором ПТК, обеспечивавшим круговой обзор, что улучшило наблюдение за полем боя. Изменили конструкцию боеукладки, что позволило увеличить возимый боезапас до 560 снарядов и 30000 патронов, ввели внутреннюю связь между командиром бронеплощадки, командирами орудий и пулеметными расчетами, установили 10 аккумуляторов для обеспечения аварийного освещения.</w:t>
      </w:r>
    </w:p>
    <w:p w14:paraId="7C39F669"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Также мастерские бронерембазы № 60 переработали бронепаровоз. На нем изменили конструкцию командирской рубки, в которой смонтировали радиостанцию 71-ТК-1 с поручневой антенной, на тендере установили шестигранную неподвижную башню со спаренной зенитной установкой пулеметов Максима, изменили номенклатуру используемых броневых листов.</w:t>
      </w:r>
    </w:p>
    <w:p w14:paraId="56AF1C98" w14:textId="77777777" w:rsidR="000D6CBF" w:rsidRPr="000D6CBF" w:rsidRDefault="000D6CBF" w:rsidP="000D6CBF">
      <w:pPr>
        <w:pStyle w:val="aff2"/>
        <w:spacing w:line="240" w:lineRule="auto"/>
        <w:rPr>
          <w:rFonts w:ascii="Times New Roman" w:hAnsi="Times New Roman" w:cs="Times New Roman"/>
          <w:i w:val="0"/>
          <w:iCs w:val="0"/>
          <w:color w:val="0070C0"/>
          <w:sz w:val="16"/>
          <w:szCs w:val="16"/>
          <w:lang w:val="ru-RU"/>
        </w:rPr>
      </w:pPr>
      <w:r w:rsidRPr="000D6CBF">
        <w:rPr>
          <w:rStyle w:val="aff"/>
          <w:rFonts w:ascii="Times New Roman" w:hAnsi="Times New Roman" w:cs="Times New Roman"/>
          <w:i w:val="0"/>
          <w:iCs w:val="0"/>
          <w:color w:val="0070C0"/>
          <w:spacing w:val="0"/>
          <w:sz w:val="16"/>
          <w:szCs w:val="16"/>
          <w:lang w:val="ru-RU"/>
        </w:rPr>
        <w:t>Проекты получили одобрение, и мастерские военного склада № 60 в 1933 году изготовили две бронеплощадки и бронепаровоз (</w:t>
      </w:r>
      <w:r w:rsidRPr="000D6CBF">
        <w:rPr>
          <w:rStyle w:val="aff3"/>
          <w:rFonts w:ascii="Times New Roman" w:hAnsi="Times New Roman" w:cs="Times New Roman"/>
          <w:color w:val="0070C0"/>
          <w:sz w:val="16"/>
          <w:szCs w:val="16"/>
          <w:lang w:val="ru-RU"/>
        </w:rPr>
        <w:t>РГВА. Ф. 31811. Оп. 2. Д. 231. Л. 76.</w:t>
      </w:r>
      <w:r w:rsidRPr="000D6CBF">
        <w:rPr>
          <w:rStyle w:val="aff"/>
          <w:rFonts w:ascii="Times New Roman" w:hAnsi="Times New Roman" w:cs="Times New Roman"/>
          <w:i w:val="0"/>
          <w:iCs w:val="0"/>
          <w:color w:val="0070C0"/>
          <w:spacing w:val="0"/>
          <w:sz w:val="16"/>
          <w:szCs w:val="16"/>
          <w:lang w:val="ru-RU"/>
        </w:rPr>
        <w:t>). Чуть позже эти бронеединицы получили обозначение ПЛ-35 и ПР-35 – «бронеплощадка легкая образца 1935 года» и «бронепаровоз образца 1935 года» (</w:t>
      </w:r>
      <w:r w:rsidRPr="000D6CBF">
        <w:rPr>
          <w:rStyle w:val="aff3"/>
          <w:rFonts w:ascii="Times New Roman" w:hAnsi="Times New Roman" w:cs="Times New Roman"/>
          <w:color w:val="0070C0"/>
          <w:sz w:val="16"/>
          <w:szCs w:val="16"/>
          <w:lang w:val="ru-RU"/>
        </w:rPr>
        <w:t>Бронепоезда. Научно-испытательный бронетанковый полигон ГБТУ Красной Армии. 1944. Л.</w:t>
      </w:r>
    </w:p>
    <w:p w14:paraId="16E8D634" w14:textId="77777777" w:rsidR="000D6CBF" w:rsidRPr="00142305" w:rsidRDefault="000D6CBF" w:rsidP="000D6CBF">
      <w:pPr>
        <w:spacing w:after="0" w:line="240" w:lineRule="auto"/>
        <w:jc w:val="both"/>
        <w:rPr>
          <w:rFonts w:ascii="Times New Roman" w:hAnsi="Times New Roman"/>
          <w:color w:val="0070C0"/>
          <w:sz w:val="16"/>
          <w:szCs w:val="16"/>
        </w:rPr>
      </w:pPr>
      <w:r w:rsidRPr="000D6CBF">
        <w:rPr>
          <w:rStyle w:val="aff3"/>
          <w:rFonts w:ascii="Times New Roman" w:hAnsi="Times New Roman" w:cs="Times New Roman"/>
          <w:i w:val="0"/>
          <w:iCs w:val="0"/>
          <w:color w:val="0070C0"/>
          <w:sz w:val="16"/>
          <w:szCs w:val="16"/>
          <w:lang w:val="ru-RU"/>
        </w:rPr>
        <w:t>14.</w:t>
      </w:r>
      <w:r w:rsidRPr="00142305">
        <w:rPr>
          <w:rStyle w:val="aff"/>
          <w:rFonts w:ascii="Times New Roman" w:hAnsi="Times New Roman" w:cs="Times New Roman"/>
          <w:color w:val="0070C0"/>
          <w:spacing w:val="0"/>
          <w:sz w:val="16"/>
          <w:szCs w:val="16"/>
        </w:rPr>
        <w:t>). Их выпуск начался в 1934 году (25635).</w:t>
      </w:r>
    </w:p>
    <w:p w14:paraId="7D6E3A57" w14:textId="77777777" w:rsidR="000D6CBF" w:rsidRPr="00142305" w:rsidRDefault="000D6CBF" w:rsidP="000D6CBF">
      <w:pPr>
        <w:spacing w:after="0" w:line="240" w:lineRule="auto"/>
        <w:jc w:val="both"/>
        <w:rPr>
          <w:rFonts w:ascii="Times New Roman" w:hAnsi="Times New Roman"/>
          <w:color w:val="0070C0"/>
          <w:sz w:val="16"/>
          <w:szCs w:val="16"/>
        </w:rPr>
      </w:pPr>
    </w:p>
    <w:p w14:paraId="2565D471" w14:textId="6A339A0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голой степи невдалеке от деревни Ишунь возле озера Старого (Тузла), в котором учеными И.В. Каблуковым и Н.С. Курнаковым были обнаружены богатые месторождения солей брома, натрия и калия, быо основан Красноперекопский бромный завод (Завод № 376 НКХП, Красноперекопский бромный завод, Ордена Трудового Красного Знамени ОАО «Алтайхимпром им.</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Г.С. Верещагина» /пос. Красноперекопск Крымской обл.; пос. Яровое Алтайского кр./ /658837</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Яровое Алтайского кр. Предзаводская пл., 2/). В 01.1934 г. завод выдал первую продукцию. 1-я очередь завода имела мощность 118 т брома в год, к 1940 г. она возросла до 900 т. В 1936 г. заводской поселок получил имя Красноперекопск.</w:t>
      </w:r>
    </w:p>
    <w:p w14:paraId="4E93B4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Осенью 1941 г. оборудование и кадры завода эвакуированы: часть- на Уральский химический завод № 749; другая часть- в Алтайский кр., где завод продолжил действовать под своим номером. 5.08.1943 г. вышло постановление ГКО № 3885 о мерах по завершению строительства завода № 376 НКХП.</w:t>
      </w:r>
    </w:p>
    <w:p w14:paraId="137F02AA" w14:textId="39FB94FE"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1980-е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построен комплекс специальных цехов для производства химического оружия 3-го поколения (производство «гамма»).</w:t>
      </w:r>
      <w:r w:rsidRPr="00E93F40">
        <w:rPr>
          <w:rFonts w:ascii="Times New Roman" w:hAnsi="Times New Roman"/>
          <w:color w:val="000000" w:themeColor="text1"/>
          <w:sz w:val="16"/>
          <w:szCs w:val="16"/>
          <w:vertAlign w:val="superscript"/>
        </w:rPr>
        <w:t>71</w:t>
      </w:r>
    </w:p>
    <w:p w14:paraId="0A95E78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3E039F4" w14:textId="37851DD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(1941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Г.С. Верещагин (11982).</w:t>
      </w:r>
    </w:p>
    <w:p w14:paraId="3C1C0E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B66E0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1932 на базе Военно-технической академии создали пять специальных - Академия моторизации и механизации РККА, Артиллерийская, Военно-инженерная, Военно-химическая и Военно-электротехническая, а на базе факультета Ленинградского института путей сообщений - Военно-транспортная академия (359,111).</w:t>
      </w:r>
    </w:p>
    <w:p w14:paraId="54C298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5423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Всесоюзное орудийно-арсенальное объединение включало (8837):</w:t>
      </w:r>
    </w:p>
    <w:p w14:paraId="5ED65D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«Баррикады»</w:t>
      </w:r>
    </w:p>
    <w:p w14:paraId="60D65D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Сталинград, п/я 113 (8837)</w:t>
      </w:r>
    </w:p>
    <w:p w14:paraId="1ABB6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Молотовский машиностроительный завод</w:t>
      </w:r>
    </w:p>
    <w:p w14:paraId="229F0E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«Большевик»</w:t>
      </w:r>
    </w:p>
    <w:p w14:paraId="4B0A7A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 революции – морской артиллерийско-металлургический завод. В 1932 году – артиллерийский завод по производству артиллерии свыше 107 мм калибров.</w:t>
      </w:r>
    </w:p>
    <w:p w14:paraId="6C0938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Ленинград, п/я 2</w:t>
      </w:r>
    </w:p>
    <w:p w14:paraId="38C161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Нижегородский машиностроительный завод «Новое Сормово»</w:t>
      </w:r>
    </w:p>
    <w:p w14:paraId="6DD587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Канавино, п\я 10</w:t>
      </w:r>
    </w:p>
    <w:p w14:paraId="33BC16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Киевский краснознаменный завод</w:t>
      </w:r>
    </w:p>
    <w:p w14:paraId="51AEDD6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Механический завод № 7</w:t>
      </w:r>
    </w:p>
    <w:p w14:paraId="3C6FD8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Ленинград п\я 1</w:t>
      </w:r>
    </w:p>
    <w:p w14:paraId="29D79FF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«Двигатель»</w:t>
      </w:r>
    </w:p>
    <w:p w14:paraId="502189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Ленинград, наб. Фокина, 3</w:t>
      </w:r>
    </w:p>
    <w:p w14:paraId="31A5A0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Механический завод № 13</w:t>
      </w:r>
    </w:p>
    <w:p w14:paraId="3A1067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Брянск, п/я 6</w:t>
      </w:r>
    </w:p>
    <w:p w14:paraId="22627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8 им. Калинина</w:t>
      </w:r>
    </w:p>
    <w:p w14:paraId="3629B2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Место: Мытищи (8837)</w:t>
      </w:r>
    </w:p>
    <w:p w14:paraId="78A260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будущий завод № 46 переведен в систему энергопромышленности и переключился на выпуск топочного оборудования для сжигания угля и торфа. В июне 1941 года завод был объединен с заводом № 2, переименованным в завод им. В.А. Дегтярева и до 1947 года работал по выпуску товарных, фрезерных, распиловочных, сверлильных и др. агрегатных и операционных станков.</w:t>
      </w:r>
    </w:p>
    <w:p w14:paraId="0854F6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соответствии с постановлением СМ от 24 августа 1946 года и приказом Министерства вооружения за № 255с, завод № 46 выделен в отдельное самостоятельное предприятие.</w:t>
      </w:r>
    </w:p>
    <w:p w14:paraId="3E8979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Ковров Владимирской области, п/я 7</w:t>
      </w:r>
    </w:p>
    <w:p w14:paraId="3B0579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настоящее время завод № 46 выпускает гидроприводы для сухопутных и морских систем, стабилизаторы СТП-1 для танков Т-54 и др. (9585).</w:t>
      </w:r>
    </w:p>
    <w:p w14:paraId="5C1081C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0504D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в Ташкенте на промплощадке началось строительство конфетной фабрики, в 1935 году земельный участок и построенные здания конфетной фабрики перешли к намеченному строительству кондитерской фабрики. В сентябре 1941 года решением Правительства кондитерская фабрика была передана НК минометного вооружения для размещения и строительства на ней завода № 735.</w:t>
      </w:r>
    </w:p>
    <w:p w14:paraId="23AF3C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Основные кадры и оборудование завода состояли в основном из эвакуированных из Ростова-на-Дону завода «Красный Аксай» и Ленинграда завода «ВУЛКАН».</w:t>
      </w:r>
    </w:p>
    <w:p w14:paraId="14B3CE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Адрес: Ташкент 17, п/я 247 (9661).</w:t>
      </w:r>
    </w:p>
    <w:p w14:paraId="51036A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B117D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базе олифоварочного цеха Томского государственного маслобойного завода № 2 был создан Томский государственный химический завод «Линоксин» отдела местной промышленности Томского горсовета. С 01.1936 г. завод находился в ведении отдела местной промышленности Запсибкрайисполкома, с 1937 г.- управления местного хозяйства Новосибирского облисполкома. В 09.1942 г. завод преобразован в ГС завод № 673 НКЭП, с 1946 г.- в ведении МЭП, с 1953 г.- в ведении МЭСЭП, с 1954 г.- МЭТП.</w:t>
      </w:r>
    </w:p>
    <w:p w14:paraId="39004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лакокрасочные изделия для электропромышленности.</w:t>
      </w:r>
    </w:p>
    <w:p w14:paraId="5A0987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15.11.1955 г. завод № 673 влит в качестве цеха в состав Томского кабельного завода «Томкабель» и ликвидирован как самостоятельное предприятие (11982).</w:t>
      </w:r>
    </w:p>
    <w:p w14:paraId="3AA82D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0F205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результате выделения производства чертежных принадлежностей завода «Авиаприбор» в самостоятельное предприятие был создан Завод «Готовальня». В 06.1942г. завод «Готовальня» - в ведении Главприбора НКМВ. В соответствии с пост. СНК № 837-430сс от 3.06.1942г. и приказом НКМВ № 250с от 7.07.1942г. завод «Готовальня» НКМВ переименован в завод № 843 в ведении 5ГУ (Завод № 843 НКМВ , Лакокрасочная фабрика, Завод чертежных принадлежностей «Готовальня» НКМВ, ММиП, ЗАО «Готовальня» /г. Москва, 23 ул. Электрозаводская, 52 «Ось» (1948г.)/ /105023 г. Москва ул. Электрозаводская, 52/).</w:t>
      </w:r>
    </w:p>
    <w:p w14:paraId="3FD3E0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Производил литье под давлением заготовок для боеприпасов, выпускал детали для ППШ (1942г.). Пост. ГКО № 1962сс от 4.07.1942г. и приказом НКМВ № 237сс от 7.07.1942г. заводу установлен план выпуска на 3-й квартал 1942г. квадрантов- 19500 шт.</w:t>
      </w:r>
    </w:p>
    <w:p w14:paraId="3E4862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1947-48г. завод «Готовальня» - в ведении Главмервеспрома ММиП.</w:t>
      </w:r>
    </w:p>
    <w:p w14:paraId="79E7EB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предприятия (1947г.) цехи: основные: автоматно-револьверный, фрезерный, литейный, сборочный, футлярный, отделочный, механо-сборочный; вспомогательные: инструментальный, ремонтный, котельная.</w:t>
      </w:r>
    </w:p>
    <w:p w14:paraId="514B944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выпускал канцелярские товары (линейки, угольники, скрепки, тубусы), чертежные принадлежности (циркули, готовальни).</w:t>
      </w:r>
    </w:p>
    <w:p w14:paraId="5B83D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конце 1990-х г. завод ликвидирован, на его месте образован офисный центр.</w:t>
      </w:r>
    </w:p>
    <w:p w14:paraId="6AD0F9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(1939г.)- 198 ед., (1946г.)- 350 ед., (1947г.)- 419 ед.</w:t>
      </w:r>
    </w:p>
    <w:p w14:paraId="6E039C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территории (1947г.)- 0,4 га; застройки (1947г.)- 2665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производственная (1939г.)- 2600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(1946- 47г.)- 3930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1BA4207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(1939г.)- 724 чел., (1946г.)- 678 чел., (1947г.)- 663 чел.</w:t>
      </w:r>
    </w:p>
    <w:p w14:paraId="027D8E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(-06.1942-48г.-)- Абрамовский.</w:t>
      </w:r>
    </w:p>
    <w:p w14:paraId="25D0C3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(1948г.)- Кац.</w:t>
      </w:r>
    </w:p>
    <w:p w14:paraId="54EBE1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технолог (1941г.)- Н.П. Трындин.</w:t>
      </w:r>
    </w:p>
    <w:p w14:paraId="7823C4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детали для </w:t>
      </w:r>
      <w:r w:rsidRPr="00E93F40">
        <w:rPr>
          <w:rFonts w:ascii="Times New Roman" w:hAnsi="Times New Roman"/>
          <w:color w:val="000000" w:themeColor="text1"/>
          <w:sz w:val="16"/>
          <w:szCs w:val="16"/>
          <w:lang w:val="en-US"/>
        </w:rPr>
        <w:t>PC</w:t>
      </w:r>
      <w:r w:rsidRPr="00E93F40">
        <w:rPr>
          <w:rFonts w:ascii="Times New Roman" w:hAnsi="Times New Roman"/>
          <w:color w:val="000000" w:themeColor="text1"/>
          <w:sz w:val="16"/>
          <w:szCs w:val="16"/>
        </w:rPr>
        <w:t xml:space="preserve"> М-13, квадранты (1942); готовальни Г-7, -10, -13, -14, № 117, 119, 112; весы «Пурка» ПХ, замок ЗЧП типа </w:t>
      </w:r>
      <w:r w:rsidRPr="00E93F40">
        <w:rPr>
          <w:rFonts w:ascii="Times New Roman" w:hAnsi="Times New Roman"/>
          <w:color w:val="000000" w:themeColor="text1"/>
          <w:sz w:val="16"/>
          <w:szCs w:val="16"/>
          <w:lang w:val="en-US"/>
        </w:rPr>
        <w:t>Link</w:t>
      </w:r>
      <w:r w:rsidRPr="00E93F40">
        <w:rPr>
          <w:rFonts w:ascii="Times New Roman" w:hAnsi="Times New Roman"/>
          <w:color w:val="000000" w:themeColor="text1"/>
          <w:sz w:val="16"/>
          <w:szCs w:val="16"/>
        </w:rPr>
        <w:t xml:space="preserve"> (1947) (11982).</w:t>
      </w:r>
      <w:r w:rsidRPr="00E93F40">
        <w:rPr>
          <w:rFonts w:ascii="Times New Roman" w:hAnsi="Times New Roman"/>
          <w:color w:val="000000" w:themeColor="text1"/>
          <w:sz w:val="16"/>
          <w:szCs w:val="16"/>
          <w:vertAlign w:val="superscript"/>
        </w:rPr>
        <w:t>129</w:t>
      </w:r>
    </w:p>
    <w:p w14:paraId="0F4378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A6DA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 основан Завод «Ленметаллургстрой» НКТП (Завод «Ленметаллургстрой» НКТП, «Ленкранстрой» НКМС /г. Ленинград/), в 1937 г. он переименован в «Ленкранстрой» в ведении ГУ подъемно-транспортного оборудования НКМС.</w:t>
      </w:r>
    </w:p>
    <w:p w14:paraId="4CF482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5B3781CA"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w:t>
      </w:r>
    </w:p>
    <w:p w14:paraId="7B7AF699"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Ленинградский завод строительного машиностроения (ЛЗСМ), Машиностроительная фирма (МФ) «ЛЗСМ», МФ «Барс», АООТ «МФ «Барс»</w:t>
      </w:r>
    </w:p>
    <w:p w14:paraId="375352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1280A4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6C4311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E93F40">
        <w:rPr>
          <w:rFonts w:ascii="Times New Roman" w:hAnsi="Times New Roman"/>
          <w:color w:val="000000" w:themeColor="text1"/>
          <w:sz w:val="16"/>
          <w:szCs w:val="16"/>
          <w:vertAlign w:val="superscript"/>
        </w:rPr>
        <w:t>131</w:t>
      </w:r>
    </w:p>
    <w:p w14:paraId="63FE7972"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НПО «Ленстройробот»</w:t>
      </w:r>
    </w:p>
    <w:p w14:paraId="348608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14F06578"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657178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 был испытан первый образец отечественного эхолота. Создание специализированной промышленной базы для выпуска средств гидроакустики началось на заводе «Водтрансприбор» (Ленинград), где 3 мая 1933 г. открылся цех по производству гидроакустической аппаратуры, но уже через год приняли решение о реконструкции завода с целью увеличения его мощностей в 2,5 раза, которая закончилась в 1939 г. (11079)</w:t>
      </w:r>
    </w:p>
    <w:p w14:paraId="4D2E39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16BF1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инженер Псковского зенитного артиллерийского полка ПВО Павел Ощепков предложил использовать для обнаружения самолетов радиоволны. После перевода в Опытный сектор разведки и наведения ПВО (ОСРН ПВО), Павел Ощепков обратился с докладными записками к начальнику управления ПВО Михаилу Медведеву и Председателю Реввоенсовета, наркомвоенмору Клименту Ворошилову, предложив в аппаратуре радиообнаружения воздушных целей использовать импульсное, а не непрерывное излучение радиоволн. В план научно-исследовательских работ РККА на 1934 год была впервые включена тема “Проблемы радиообнаружения самолетов”. Разработка темы предназначалась для службы ВНОС ПВО. В конце 1936 года ОСРН ПВО вошел в состав НИИ связи РККА. В 1937 году Павел Ощепков был репрессирован, находился в заключении (10109).</w:t>
      </w:r>
    </w:p>
    <w:p w14:paraId="250EEE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8DEEC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 основан завод (ГС Завод № 1 «Стекломашина» ММиП, ММ, Машиностроительный завод «Стекломашина» МосгорСНХ, ММЗ «Стеклоагрегат» Минлегпищемаша, ООО «Стеклоагрегат» /113152 г. Москва Загородное ш., 5 «Стекломашина»). В 1946г. получил наименование ГС завод № 1 «Стекломашина» в ведении Главтекстильлегмаша ММиП. В 1953г. передан в ведение ММ. С 1954г. переименован в Московский завод «Стекломашина» и вновь передан в Главтекстильлегмаш ММиП. В 1956г. вновь в ММ. С 15.07.1957г. Машиностроительный завод «Стекломашина» - в ведении Управления общего машиностроения МосгорСНХ, с 25.07.1957г. - Управления машиностроения МосгорСНХ. В 1961 г. переименован в ММЗ «Стеклоагрегат». С 1966г. - в ведении ГУ полиграфических машин Минлегпищемаша. Далее - ООО «Стеклоагрегат».</w:t>
      </w:r>
    </w:p>
    <w:p w14:paraId="2B20E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(1947г.) цехи: основные: литейный, механический, кузнечный, слесарно-сборочный; вспомогательные: инструментальный, ремонтный, котельная.</w:t>
      </w:r>
    </w:p>
    <w:p w14:paraId="279D78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(1946г.)- 199 ед., (1947г.)- 201 ед.</w:t>
      </w:r>
    </w:p>
    <w:p w14:paraId="5F2F3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территории (1947г.)- 2,7 га; застройки (1947г.)- 9605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производственная (1939г.)- 6433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(1946г.)- 6260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 (1947г.)- 6260 м</w:t>
      </w:r>
      <w:r w:rsidRPr="00E93F40">
        <w:rPr>
          <w:rFonts w:ascii="Times New Roman" w:hAnsi="Times New Roman"/>
          <w:color w:val="000000" w:themeColor="text1"/>
          <w:sz w:val="16"/>
          <w:szCs w:val="16"/>
          <w:vertAlign w:val="superscript"/>
        </w:rPr>
        <w:t>2</w:t>
      </w:r>
      <w:r w:rsidRPr="00E93F40">
        <w:rPr>
          <w:rFonts w:ascii="Times New Roman" w:hAnsi="Times New Roman"/>
          <w:color w:val="000000" w:themeColor="text1"/>
          <w:sz w:val="16"/>
          <w:szCs w:val="16"/>
        </w:rPr>
        <w:t>.</w:t>
      </w:r>
    </w:p>
    <w:p w14:paraId="31CEAF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(1939г.)- 643 чел., (1946г.)- 365 чел., (1947г.)- 506 чел.</w:t>
      </w:r>
    </w:p>
    <w:p w14:paraId="6133E4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Директор (1948г.)- Чекмарев. Гендиректор (2000 г.)- </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C</w:t>
      </w:r>
      <w:r w:rsidRPr="00E93F40">
        <w:rPr>
          <w:rFonts w:ascii="Times New Roman" w:hAnsi="Times New Roman"/>
          <w:color w:val="000000" w:themeColor="text1"/>
          <w:sz w:val="16"/>
          <w:szCs w:val="16"/>
        </w:rPr>
        <w:t>. Назаров.</w:t>
      </w:r>
    </w:p>
    <w:p w14:paraId="1ECF84B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(1948г.)- Чемм.</w:t>
      </w:r>
    </w:p>
    <w:p w14:paraId="1A2232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Гл. механик (1948г.)- Лебедев.</w:t>
      </w:r>
    </w:p>
    <w:p w14:paraId="2CEF75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машины: вакуумно-выдувная ВШМ, дня вытягивания листового стекла ВЛ 1800, отопочная конвейерная ОК-65, прессовая РВМ; станки: шлифовальный для зеркал Ч-ШС, полировальный для зеркал Ч-ПС; печь для отжига стекла ЛН; пресс ручной ЭПР; конвейер пластинчатый КП-130; механический фидер ФМГ (1947);</w:t>
      </w:r>
      <w:r w:rsidRPr="00E93F40">
        <w:rPr>
          <w:rFonts w:ascii="Times New Roman" w:hAnsi="Times New Roman"/>
          <w:color w:val="000000" w:themeColor="text1"/>
          <w:sz w:val="16"/>
          <w:szCs w:val="16"/>
          <w:vertAlign w:val="superscript"/>
        </w:rPr>
        <w:t>129</w:t>
      </w:r>
      <w:r w:rsidRPr="00E93F40">
        <w:rPr>
          <w:rFonts w:ascii="Times New Roman" w:hAnsi="Times New Roman"/>
          <w:color w:val="000000" w:themeColor="text1"/>
          <w:sz w:val="16"/>
          <w:szCs w:val="16"/>
        </w:rPr>
        <w:t xml:space="preserve"> оборудование: для изготовления стеклянной тары, колб к электролампам, трубок и листового стекла; для обработки стеклоизделий (11982).</w:t>
      </w:r>
    </w:p>
    <w:p w14:paraId="79703A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18364A7" w14:textId="09F19945" w:rsidR="00AA2AB7" w:rsidRPr="00E93F40" w:rsidRDefault="00AA2AB7" w:rsidP="00E93F40">
      <w:pPr>
        <w:shd w:val="clear" w:color="auto" w:fill="FFFFFF"/>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года была подготовлена "</w:t>
      </w:r>
      <w:hyperlink r:id="rId320" w:history="1">
        <w:r w:rsidRPr="00E93F40">
          <w:rPr>
            <w:rStyle w:val="a5"/>
            <w:rFonts w:ascii="Times New Roman" w:hAnsi="Times New Roman"/>
            <w:color w:val="000000" w:themeColor="text1"/>
            <w:sz w:val="16"/>
            <w:szCs w:val="16"/>
          </w:rPr>
          <w:t xml:space="preserve">Справка ИНО НКТП о привлечении </w:t>
        </w:r>
      </w:hyperlink>
      <w:hyperlink r:id="rId321" w:history="1">
        <w:r w:rsidR="007C1411" w:rsidRPr="00E93F40">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иностранной</w:t>
        </w:r>
        <w:r w:rsidR="007C1411" w:rsidRPr="00E93F40">
          <w:rPr>
            <w:rStyle w:val="highlight"/>
            <w:rFonts w:ascii="Times New Roman" w:hAnsi="Times New Roman"/>
            <w:color w:val="000000" w:themeColor="text1"/>
            <w:sz w:val="16"/>
            <w:szCs w:val="16"/>
          </w:rPr>
          <w:t xml:space="preserve"> </w:t>
        </w:r>
      </w:hyperlink>
      <w:r w:rsidRPr="00E93F40">
        <w:rPr>
          <w:rFonts w:ascii="Times New Roman" w:hAnsi="Times New Roman"/>
          <w:color w:val="000000" w:themeColor="text1"/>
          <w:sz w:val="16"/>
          <w:szCs w:val="16"/>
        </w:rPr>
        <w:t xml:space="preserve"> техническойпомощи в тяжелую</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промышленность СССР", к которой прилагался список расторгнутых договоров об</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иностранной</w:t>
      </w:r>
      <w:r w:rsidR="00DD74E1">
        <w:rPr>
          <w:rStyle w:val="highlight"/>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техпомощи</w:t>
      </w:r>
      <w:r w:rsidR="007C1411" w:rsidRPr="00E93F40">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В колонке [5] таблицы указана причина, которая приводится в данном документе для объяснения причины расторжения договора.</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055"/>
        <w:gridCol w:w="2119"/>
        <w:gridCol w:w="1134"/>
        <w:gridCol w:w="1276"/>
        <w:gridCol w:w="3260"/>
      </w:tblGrid>
      <w:tr w:rsidR="00DA227A" w:rsidRPr="00E93F40" w14:paraId="3F4DC35E" w14:textId="77777777" w:rsidTr="00AA2AB7">
        <w:trPr>
          <w:trHeight w:val="567"/>
        </w:trPr>
        <w:tc>
          <w:tcPr>
            <w:tcW w:w="0" w:type="auto"/>
            <w:tcBorders>
              <w:top w:val="outset" w:sz="6" w:space="0" w:color="auto"/>
              <w:left w:val="outset" w:sz="6" w:space="0" w:color="auto"/>
              <w:bottom w:val="outset" w:sz="6" w:space="0" w:color="auto"/>
              <w:right w:val="outset" w:sz="6" w:space="0" w:color="auto"/>
            </w:tcBorders>
            <w:vAlign w:val="center"/>
            <w:hideMark/>
          </w:tcPr>
          <w:p w14:paraId="08B9394E" w14:textId="77777777" w:rsidR="00AA2AB7" w:rsidRPr="00E93F40" w:rsidRDefault="00AA2AB7" w:rsidP="00E93F40">
            <w:pPr>
              <w:spacing w:after="0" w:line="240" w:lineRule="auto"/>
              <w:jc w:val="both"/>
              <w:rPr>
                <w:rFonts w:ascii="Times New Roman" w:hAnsi="Times New Roman"/>
                <w:color w:val="000000" w:themeColor="text1"/>
                <w:sz w:val="16"/>
                <w:szCs w:val="16"/>
              </w:rPr>
            </w:pPr>
            <w:bookmarkStart w:id="56" w:name="more"/>
            <w:bookmarkEnd w:id="56"/>
            <w:r w:rsidRPr="00E93F40">
              <w:rPr>
                <w:rFonts w:ascii="Times New Roman" w:hAnsi="Times New Roman"/>
                <w:color w:val="000000" w:themeColor="text1"/>
                <w:sz w:val="16"/>
                <w:szCs w:val="16"/>
              </w:rPr>
              <w:t>Организация</w:t>
            </w:r>
          </w:p>
        </w:tc>
        <w:tc>
          <w:tcPr>
            <w:tcW w:w="2119" w:type="dxa"/>
            <w:tcBorders>
              <w:top w:val="outset" w:sz="6" w:space="0" w:color="auto"/>
              <w:left w:val="outset" w:sz="6" w:space="0" w:color="auto"/>
              <w:bottom w:val="outset" w:sz="6" w:space="0" w:color="auto"/>
              <w:right w:val="outset" w:sz="6" w:space="0" w:color="auto"/>
            </w:tcBorders>
            <w:vAlign w:val="center"/>
            <w:hideMark/>
          </w:tcPr>
          <w:p w14:paraId="44D8289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Фирма</w:t>
            </w:r>
          </w:p>
        </w:tc>
        <w:tc>
          <w:tcPr>
            <w:tcW w:w="1134" w:type="dxa"/>
            <w:tcBorders>
              <w:top w:val="outset" w:sz="6" w:space="0" w:color="auto"/>
              <w:left w:val="outset" w:sz="6" w:space="0" w:color="auto"/>
              <w:bottom w:val="outset" w:sz="6" w:space="0" w:color="auto"/>
              <w:right w:val="outset" w:sz="6" w:space="0" w:color="auto"/>
            </w:tcBorders>
            <w:vAlign w:val="center"/>
            <w:hideMark/>
          </w:tcPr>
          <w:p w14:paraId="339B39F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заключен</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50ADF1D"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Когда расторгнут</w:t>
            </w:r>
          </w:p>
        </w:tc>
        <w:tc>
          <w:tcPr>
            <w:tcW w:w="3260" w:type="dxa"/>
            <w:tcBorders>
              <w:top w:val="outset" w:sz="6" w:space="0" w:color="auto"/>
              <w:left w:val="outset" w:sz="6" w:space="0" w:color="auto"/>
              <w:bottom w:val="nil"/>
              <w:right w:val="outset" w:sz="6" w:space="0" w:color="auto"/>
            </w:tcBorders>
            <w:hideMark/>
          </w:tcPr>
          <w:p w14:paraId="6D1E527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Официальная причина расторжения</w:t>
            </w:r>
          </w:p>
        </w:tc>
      </w:tr>
      <w:tr w:rsidR="00DA227A" w:rsidRPr="00E93F40" w14:paraId="0471CA56"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254CD2F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w:t>
            </w:r>
          </w:p>
        </w:tc>
        <w:tc>
          <w:tcPr>
            <w:tcW w:w="2119" w:type="dxa"/>
            <w:tcBorders>
              <w:top w:val="outset" w:sz="6" w:space="0" w:color="auto"/>
              <w:left w:val="outset" w:sz="6" w:space="0" w:color="auto"/>
              <w:bottom w:val="outset" w:sz="6" w:space="0" w:color="auto"/>
              <w:right w:val="outset" w:sz="6" w:space="0" w:color="auto"/>
            </w:tcBorders>
            <w:vAlign w:val="center"/>
            <w:hideMark/>
          </w:tcPr>
          <w:p w14:paraId="0F4694E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w:t>
            </w:r>
          </w:p>
        </w:tc>
        <w:tc>
          <w:tcPr>
            <w:tcW w:w="1134" w:type="dxa"/>
            <w:tcBorders>
              <w:top w:val="outset" w:sz="6" w:space="0" w:color="auto"/>
              <w:left w:val="outset" w:sz="6" w:space="0" w:color="auto"/>
              <w:bottom w:val="outset" w:sz="6" w:space="0" w:color="auto"/>
              <w:right w:val="outset" w:sz="6" w:space="0" w:color="auto"/>
            </w:tcBorders>
            <w:vAlign w:val="center"/>
            <w:hideMark/>
          </w:tcPr>
          <w:p w14:paraId="21CAC10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A5BE6F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c>
          <w:tcPr>
            <w:tcW w:w="3260" w:type="dxa"/>
            <w:tcBorders>
              <w:top w:val="outset" w:sz="6" w:space="0" w:color="auto"/>
              <w:left w:val="outset" w:sz="6" w:space="0" w:color="auto"/>
              <w:bottom w:val="outset" w:sz="6" w:space="0" w:color="auto"/>
              <w:right w:val="outset" w:sz="6" w:space="0" w:color="auto"/>
            </w:tcBorders>
            <w:hideMark/>
          </w:tcPr>
          <w:p w14:paraId="32B9294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r>
      <w:tr w:rsidR="00DA227A" w:rsidRPr="00E93F40" w14:paraId="79621FD5"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1C6BFF8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ВОМТ</w:t>
            </w:r>
          </w:p>
        </w:tc>
        <w:tc>
          <w:tcPr>
            <w:tcW w:w="2119" w:type="dxa"/>
            <w:tcBorders>
              <w:top w:val="outset" w:sz="6" w:space="0" w:color="auto"/>
              <w:left w:val="outset" w:sz="6" w:space="0" w:color="auto"/>
              <w:bottom w:val="outset" w:sz="6" w:space="0" w:color="auto"/>
              <w:right w:val="outset" w:sz="6" w:space="0" w:color="auto"/>
            </w:tcBorders>
            <w:vAlign w:val="center"/>
            <w:hideMark/>
          </w:tcPr>
          <w:p w14:paraId="763710B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Гумбольд</w:t>
            </w:r>
          </w:p>
        </w:tc>
        <w:tc>
          <w:tcPr>
            <w:tcW w:w="1134" w:type="dxa"/>
            <w:tcBorders>
              <w:top w:val="outset" w:sz="6" w:space="0" w:color="auto"/>
              <w:left w:val="outset" w:sz="6" w:space="0" w:color="auto"/>
              <w:bottom w:val="outset" w:sz="6" w:space="0" w:color="auto"/>
              <w:right w:val="outset" w:sz="6" w:space="0" w:color="auto"/>
            </w:tcBorders>
            <w:vAlign w:val="center"/>
            <w:hideMark/>
          </w:tcPr>
          <w:p w14:paraId="398A516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A6159A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53B8F37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Малая эффективность, высокая стоимость</w:t>
            </w:r>
          </w:p>
        </w:tc>
      </w:tr>
      <w:tr w:rsidR="00DA227A" w:rsidRPr="00E93F40" w14:paraId="25250E1D"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446C204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ВАТО</w:t>
            </w:r>
          </w:p>
        </w:tc>
        <w:tc>
          <w:tcPr>
            <w:tcW w:w="2119" w:type="dxa"/>
            <w:tcBorders>
              <w:top w:val="outset" w:sz="6" w:space="0" w:color="auto"/>
              <w:left w:val="outset" w:sz="6" w:space="0" w:color="auto"/>
              <w:bottom w:val="outset" w:sz="6" w:space="0" w:color="auto"/>
              <w:right w:val="outset" w:sz="6" w:space="0" w:color="auto"/>
            </w:tcBorders>
            <w:vAlign w:val="center"/>
            <w:hideMark/>
          </w:tcPr>
          <w:p w14:paraId="031ED482" w14:textId="77777777" w:rsidR="00AA2AB7" w:rsidRPr="00E93F40" w:rsidRDefault="00AA2AB7" w:rsidP="00E93F40">
            <w:pPr>
              <w:spacing w:after="0" w:line="240" w:lineRule="auto"/>
              <w:jc w:val="both"/>
              <w:rPr>
                <w:rFonts w:ascii="Times New Roman" w:hAnsi="Times New Roman"/>
                <w:color w:val="000000" w:themeColor="text1"/>
                <w:sz w:val="16"/>
                <w:szCs w:val="16"/>
              </w:rPr>
            </w:pPr>
            <w:hyperlink r:id="rId322" w:history="1">
              <w:r w:rsidRPr="00E93F40">
                <w:rPr>
                  <w:rStyle w:val="a5"/>
                  <w:rFonts w:ascii="Times New Roman" w:hAnsi="Times New Roman"/>
                  <w:color w:val="000000" w:themeColor="text1"/>
                  <w:sz w:val="16"/>
                  <w:szCs w:val="16"/>
                </w:rPr>
                <w:t>С.К.Ф.</w:t>
              </w:r>
            </w:hyperlink>
          </w:p>
        </w:tc>
        <w:tc>
          <w:tcPr>
            <w:tcW w:w="1134" w:type="dxa"/>
            <w:tcBorders>
              <w:top w:val="outset" w:sz="6" w:space="0" w:color="auto"/>
              <w:left w:val="outset" w:sz="6" w:space="0" w:color="auto"/>
              <w:bottom w:val="outset" w:sz="6" w:space="0" w:color="auto"/>
              <w:right w:val="outset" w:sz="6" w:space="0" w:color="auto"/>
            </w:tcBorders>
            <w:vAlign w:val="center"/>
            <w:hideMark/>
          </w:tcPr>
          <w:p w14:paraId="50CB1FB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B8DB5C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2683B0D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были согласованы с планами 2-й пятилетки</w:t>
            </w:r>
          </w:p>
        </w:tc>
      </w:tr>
      <w:tr w:rsidR="00DA227A" w:rsidRPr="00E93F40" w14:paraId="1206AB93"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199B43B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Уголь</w:t>
            </w:r>
          </w:p>
        </w:tc>
        <w:tc>
          <w:tcPr>
            <w:tcW w:w="2119" w:type="dxa"/>
            <w:tcBorders>
              <w:top w:val="outset" w:sz="6" w:space="0" w:color="auto"/>
              <w:left w:val="outset" w:sz="6" w:space="0" w:color="auto"/>
              <w:bottom w:val="outset" w:sz="6" w:space="0" w:color="auto"/>
              <w:right w:val="outset" w:sz="6" w:space="0" w:color="auto"/>
            </w:tcBorders>
            <w:vAlign w:val="center"/>
            <w:hideMark/>
          </w:tcPr>
          <w:p w14:paraId="74822490"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Фрейлих и Клюпфель,</w:t>
            </w:r>
          </w:p>
        </w:tc>
        <w:tc>
          <w:tcPr>
            <w:tcW w:w="1134" w:type="dxa"/>
            <w:tcBorders>
              <w:top w:val="outset" w:sz="6" w:space="0" w:color="auto"/>
              <w:left w:val="outset" w:sz="6" w:space="0" w:color="auto"/>
              <w:bottom w:val="outset" w:sz="6" w:space="0" w:color="auto"/>
              <w:right w:val="outset" w:sz="6" w:space="0" w:color="auto"/>
            </w:tcBorders>
            <w:vAlign w:val="center"/>
            <w:hideMark/>
          </w:tcPr>
          <w:p w14:paraId="3FC19B0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16538FC"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2347BC1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Недобросовестное исполнение со стороны фирмы</w:t>
            </w:r>
          </w:p>
        </w:tc>
      </w:tr>
      <w:tr w:rsidR="00DA227A" w:rsidRPr="00E93F40" w14:paraId="6467068B"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24F0EBC0" w14:textId="77777777" w:rsidR="00AA2AB7" w:rsidRPr="00E93F40" w:rsidRDefault="00AA2AB7" w:rsidP="00E93F40">
            <w:pPr>
              <w:spacing w:after="0" w:line="240" w:lineRule="auto"/>
              <w:jc w:val="both"/>
              <w:rPr>
                <w:rFonts w:ascii="Times New Roman" w:hAnsi="Times New Roman"/>
                <w:color w:val="000000" w:themeColor="text1"/>
                <w:sz w:val="16"/>
                <w:szCs w:val="16"/>
              </w:rPr>
            </w:pPr>
            <w:hyperlink r:id="rId323" w:history="1">
              <w:r w:rsidRPr="00E93F40">
                <w:rPr>
                  <w:rStyle w:val="a5"/>
                  <w:rFonts w:ascii="Times New Roman" w:hAnsi="Times New Roman"/>
                  <w:color w:val="000000" w:themeColor="text1"/>
                  <w:sz w:val="16"/>
                  <w:szCs w:val="16"/>
                </w:rPr>
                <w:t>Цветметзол</w:t>
              </w:r>
            </w:hyperlink>
          </w:p>
        </w:tc>
        <w:tc>
          <w:tcPr>
            <w:tcW w:w="2119" w:type="dxa"/>
            <w:tcBorders>
              <w:top w:val="outset" w:sz="6" w:space="0" w:color="auto"/>
              <w:left w:val="outset" w:sz="6" w:space="0" w:color="auto"/>
              <w:bottom w:val="outset" w:sz="6" w:space="0" w:color="auto"/>
              <w:right w:val="outset" w:sz="6" w:space="0" w:color="auto"/>
            </w:tcBorders>
            <w:vAlign w:val="center"/>
            <w:hideMark/>
          </w:tcPr>
          <w:p w14:paraId="4990EF91" w14:textId="77777777" w:rsidR="00AA2AB7" w:rsidRPr="00E93F40" w:rsidRDefault="00AA2AB7" w:rsidP="00E93F40">
            <w:pPr>
              <w:spacing w:after="0" w:line="240" w:lineRule="auto"/>
              <w:jc w:val="both"/>
              <w:rPr>
                <w:rFonts w:ascii="Times New Roman" w:hAnsi="Times New Roman"/>
                <w:color w:val="000000" w:themeColor="text1"/>
                <w:sz w:val="16"/>
                <w:szCs w:val="16"/>
              </w:rPr>
            </w:pPr>
            <w:hyperlink r:id="rId324" w:history="1">
              <w:r w:rsidRPr="00E93F40">
                <w:rPr>
                  <w:rStyle w:val="a5"/>
                  <w:rFonts w:ascii="Times New Roman" w:hAnsi="Times New Roman"/>
                  <w:color w:val="000000" w:themeColor="text1"/>
                  <w:sz w:val="16"/>
                  <w:szCs w:val="16"/>
                </w:rPr>
                <w:t>Саутвестерн</w:t>
              </w:r>
            </w:hyperlink>
          </w:p>
        </w:tc>
        <w:tc>
          <w:tcPr>
            <w:tcW w:w="1134" w:type="dxa"/>
            <w:tcBorders>
              <w:top w:val="outset" w:sz="6" w:space="0" w:color="auto"/>
              <w:left w:val="outset" w:sz="6" w:space="0" w:color="auto"/>
              <w:bottom w:val="outset" w:sz="6" w:space="0" w:color="auto"/>
              <w:right w:val="outset" w:sz="6" w:space="0" w:color="auto"/>
            </w:tcBorders>
            <w:vAlign w:val="center"/>
            <w:hideMark/>
          </w:tcPr>
          <w:p w14:paraId="5843627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C24FD5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2216EBF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Малая эффективность, высокая стоимость</w:t>
            </w:r>
          </w:p>
        </w:tc>
      </w:tr>
      <w:tr w:rsidR="00DA227A" w:rsidRPr="00E93F40" w14:paraId="058D22E3"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5F72FBF4"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ВЭСО</w:t>
            </w:r>
          </w:p>
        </w:tc>
        <w:tc>
          <w:tcPr>
            <w:tcW w:w="2119" w:type="dxa"/>
            <w:tcBorders>
              <w:top w:val="outset" w:sz="6" w:space="0" w:color="auto"/>
              <w:left w:val="outset" w:sz="6" w:space="0" w:color="auto"/>
              <w:bottom w:val="outset" w:sz="6" w:space="0" w:color="auto"/>
              <w:right w:val="outset" w:sz="6" w:space="0" w:color="auto"/>
            </w:tcBorders>
            <w:vAlign w:val="center"/>
            <w:hideMark/>
          </w:tcPr>
          <w:p w14:paraId="5938AA5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Телефункен</w:t>
            </w:r>
          </w:p>
        </w:tc>
        <w:tc>
          <w:tcPr>
            <w:tcW w:w="1134" w:type="dxa"/>
            <w:tcBorders>
              <w:top w:val="outset" w:sz="6" w:space="0" w:color="auto"/>
              <w:left w:val="outset" w:sz="6" w:space="0" w:color="auto"/>
              <w:bottom w:val="outset" w:sz="6" w:space="0" w:color="auto"/>
              <w:right w:val="outset" w:sz="6" w:space="0" w:color="auto"/>
            </w:tcBorders>
            <w:vAlign w:val="center"/>
            <w:hideMark/>
          </w:tcPr>
          <w:p w14:paraId="6DEB984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23CEED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76A3D0C6" w14:textId="77777777" w:rsidR="00AA2AB7" w:rsidRPr="00E93F40" w:rsidRDefault="00AA2AB7" w:rsidP="00E93F40">
            <w:pPr>
              <w:spacing w:after="0" w:line="240" w:lineRule="auto"/>
              <w:jc w:val="both"/>
              <w:rPr>
                <w:rFonts w:ascii="Times New Roman" w:hAnsi="Times New Roman"/>
                <w:color w:val="000000" w:themeColor="text1"/>
                <w:sz w:val="16"/>
                <w:szCs w:val="16"/>
              </w:rPr>
            </w:pPr>
          </w:p>
        </w:tc>
      </w:tr>
      <w:tr w:rsidR="00DA227A" w:rsidRPr="00E93F40" w14:paraId="61DB12C5"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128018B0"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Локомотив</w:t>
            </w:r>
          </w:p>
        </w:tc>
        <w:tc>
          <w:tcPr>
            <w:tcW w:w="2119" w:type="dxa"/>
            <w:tcBorders>
              <w:top w:val="outset" w:sz="6" w:space="0" w:color="auto"/>
              <w:left w:val="outset" w:sz="6" w:space="0" w:color="auto"/>
              <w:bottom w:val="outset" w:sz="6" w:space="0" w:color="auto"/>
              <w:right w:val="outset" w:sz="6" w:space="0" w:color="auto"/>
            </w:tcBorders>
            <w:vAlign w:val="center"/>
            <w:hideMark/>
          </w:tcPr>
          <w:p w14:paraId="573FD09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ДАЦ</w:t>
            </w:r>
          </w:p>
        </w:tc>
        <w:tc>
          <w:tcPr>
            <w:tcW w:w="1134" w:type="dxa"/>
            <w:tcBorders>
              <w:top w:val="outset" w:sz="6" w:space="0" w:color="auto"/>
              <w:left w:val="outset" w:sz="6" w:space="0" w:color="auto"/>
              <w:bottom w:val="outset" w:sz="6" w:space="0" w:color="auto"/>
              <w:right w:val="outset" w:sz="6" w:space="0" w:color="auto"/>
            </w:tcBorders>
            <w:vAlign w:val="center"/>
            <w:hideMark/>
          </w:tcPr>
          <w:p w14:paraId="4631CA4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F290F8D"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6546A2A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Недобросовестное исполнение со стороны фирмы</w:t>
            </w:r>
          </w:p>
        </w:tc>
      </w:tr>
      <w:tr w:rsidR="00DA227A" w:rsidRPr="00E93F40" w14:paraId="4CBF14E4"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2C6C068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Уголь</w:t>
            </w:r>
          </w:p>
        </w:tc>
        <w:tc>
          <w:tcPr>
            <w:tcW w:w="2119" w:type="dxa"/>
            <w:tcBorders>
              <w:top w:val="outset" w:sz="6" w:space="0" w:color="auto"/>
              <w:left w:val="outset" w:sz="6" w:space="0" w:color="auto"/>
              <w:bottom w:val="outset" w:sz="6" w:space="0" w:color="auto"/>
              <w:right w:val="outset" w:sz="6" w:space="0" w:color="auto"/>
            </w:tcBorders>
            <w:vAlign w:val="center"/>
            <w:hideMark/>
          </w:tcPr>
          <w:p w14:paraId="47443A2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Аллен-Гарсиа</w:t>
            </w:r>
          </w:p>
        </w:tc>
        <w:tc>
          <w:tcPr>
            <w:tcW w:w="1134" w:type="dxa"/>
            <w:tcBorders>
              <w:top w:val="outset" w:sz="6" w:space="0" w:color="auto"/>
              <w:left w:val="outset" w:sz="6" w:space="0" w:color="auto"/>
              <w:bottom w:val="outset" w:sz="6" w:space="0" w:color="auto"/>
              <w:right w:val="outset" w:sz="6" w:space="0" w:color="auto"/>
            </w:tcBorders>
            <w:vAlign w:val="center"/>
            <w:hideMark/>
          </w:tcPr>
          <w:p w14:paraId="1F777F00"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64FE98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02BDF72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были согласованы с планами 2-й пятилетки</w:t>
            </w:r>
          </w:p>
        </w:tc>
      </w:tr>
      <w:tr w:rsidR="00DA227A" w:rsidRPr="00E93F40" w14:paraId="78AFDE14"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59914F7D"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Уголь</w:t>
            </w:r>
          </w:p>
        </w:tc>
        <w:tc>
          <w:tcPr>
            <w:tcW w:w="2119" w:type="dxa"/>
            <w:tcBorders>
              <w:top w:val="outset" w:sz="6" w:space="0" w:color="auto"/>
              <w:left w:val="outset" w:sz="6" w:space="0" w:color="auto"/>
              <w:bottom w:val="outset" w:sz="6" w:space="0" w:color="auto"/>
              <w:right w:val="outset" w:sz="6" w:space="0" w:color="auto"/>
            </w:tcBorders>
            <w:vAlign w:val="center"/>
            <w:hideMark/>
          </w:tcPr>
          <w:p w14:paraId="36A3450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Стюарт (Зд.)</w:t>
            </w:r>
          </w:p>
        </w:tc>
        <w:tc>
          <w:tcPr>
            <w:tcW w:w="1134" w:type="dxa"/>
            <w:tcBorders>
              <w:top w:val="outset" w:sz="6" w:space="0" w:color="auto"/>
              <w:left w:val="outset" w:sz="6" w:space="0" w:color="auto"/>
              <w:bottom w:val="outset" w:sz="6" w:space="0" w:color="auto"/>
              <w:right w:val="outset" w:sz="6" w:space="0" w:color="auto"/>
            </w:tcBorders>
            <w:vAlign w:val="center"/>
            <w:hideMark/>
          </w:tcPr>
          <w:p w14:paraId="309BF67C"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A4BBDD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76BE2C2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были согласованы с планами 2-й пятилетки</w:t>
            </w:r>
          </w:p>
        </w:tc>
      </w:tr>
      <w:tr w:rsidR="00DA227A" w:rsidRPr="00E93F40" w14:paraId="5A347110"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0DE79B4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ВЭО</w:t>
            </w:r>
          </w:p>
        </w:tc>
        <w:tc>
          <w:tcPr>
            <w:tcW w:w="2119" w:type="dxa"/>
            <w:tcBorders>
              <w:top w:val="outset" w:sz="6" w:space="0" w:color="auto"/>
              <w:left w:val="outset" w:sz="6" w:space="0" w:color="auto"/>
              <w:bottom w:val="outset" w:sz="6" w:space="0" w:color="auto"/>
              <w:right w:val="outset" w:sz="6" w:space="0" w:color="auto"/>
            </w:tcBorders>
            <w:vAlign w:val="center"/>
            <w:hideMark/>
          </w:tcPr>
          <w:p w14:paraId="093CCFE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Дженераль-Эл[ектрик]</w:t>
            </w:r>
          </w:p>
        </w:tc>
        <w:tc>
          <w:tcPr>
            <w:tcW w:w="1134" w:type="dxa"/>
            <w:tcBorders>
              <w:top w:val="outset" w:sz="6" w:space="0" w:color="auto"/>
              <w:left w:val="outset" w:sz="6" w:space="0" w:color="auto"/>
              <w:bottom w:val="outset" w:sz="6" w:space="0" w:color="auto"/>
              <w:right w:val="outset" w:sz="6" w:space="0" w:color="auto"/>
            </w:tcBorders>
            <w:vAlign w:val="center"/>
            <w:hideMark/>
          </w:tcPr>
          <w:p w14:paraId="7D01AED4"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49D054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56DF93C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Невозможность использовать опыт ввиду ограниченности возможностей отеч. промышл.</w:t>
            </w:r>
          </w:p>
        </w:tc>
      </w:tr>
      <w:tr w:rsidR="00DA227A" w:rsidRPr="00E93F40" w14:paraId="32E3F87A"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28E248C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Стромстрой</w:t>
            </w:r>
          </w:p>
        </w:tc>
        <w:tc>
          <w:tcPr>
            <w:tcW w:w="2119" w:type="dxa"/>
            <w:tcBorders>
              <w:top w:val="outset" w:sz="6" w:space="0" w:color="auto"/>
              <w:left w:val="outset" w:sz="6" w:space="0" w:color="auto"/>
              <w:bottom w:val="outset" w:sz="6" w:space="0" w:color="auto"/>
              <w:right w:val="outset" w:sz="6" w:space="0" w:color="auto"/>
            </w:tcBorders>
            <w:vAlign w:val="center"/>
            <w:hideMark/>
          </w:tcPr>
          <w:p w14:paraId="0C0DFB1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Макдональд</w:t>
            </w:r>
          </w:p>
        </w:tc>
        <w:tc>
          <w:tcPr>
            <w:tcW w:w="1134" w:type="dxa"/>
            <w:tcBorders>
              <w:top w:val="outset" w:sz="6" w:space="0" w:color="auto"/>
              <w:left w:val="outset" w:sz="6" w:space="0" w:color="auto"/>
              <w:bottom w:val="outset" w:sz="6" w:space="0" w:color="auto"/>
              <w:right w:val="outset" w:sz="6" w:space="0" w:color="auto"/>
            </w:tcBorders>
            <w:vAlign w:val="center"/>
            <w:hideMark/>
          </w:tcPr>
          <w:p w14:paraId="0F6584A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49FE85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45A054D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Авантюристическое поведение фирмы</w:t>
            </w:r>
          </w:p>
        </w:tc>
      </w:tr>
      <w:tr w:rsidR="00DA227A" w:rsidRPr="00E93F40" w14:paraId="0832637F"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6EC02C8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ВАТО</w:t>
            </w:r>
          </w:p>
        </w:tc>
        <w:tc>
          <w:tcPr>
            <w:tcW w:w="2119" w:type="dxa"/>
            <w:tcBorders>
              <w:top w:val="outset" w:sz="6" w:space="0" w:color="auto"/>
              <w:left w:val="outset" w:sz="6" w:space="0" w:color="auto"/>
              <w:bottom w:val="outset" w:sz="6" w:space="0" w:color="auto"/>
              <w:right w:val="outset" w:sz="6" w:space="0" w:color="auto"/>
            </w:tcBorders>
            <w:vAlign w:val="center"/>
            <w:hideMark/>
          </w:tcPr>
          <w:p w14:paraId="5D78E01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Брандт</w:t>
            </w:r>
          </w:p>
        </w:tc>
        <w:tc>
          <w:tcPr>
            <w:tcW w:w="1134" w:type="dxa"/>
            <w:tcBorders>
              <w:top w:val="outset" w:sz="6" w:space="0" w:color="auto"/>
              <w:left w:val="outset" w:sz="6" w:space="0" w:color="auto"/>
              <w:bottom w:val="outset" w:sz="6" w:space="0" w:color="auto"/>
              <w:right w:val="outset" w:sz="6" w:space="0" w:color="auto"/>
            </w:tcBorders>
            <w:vAlign w:val="center"/>
            <w:hideMark/>
          </w:tcPr>
          <w:p w14:paraId="013A33F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30E86180"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5DF12C0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Авантюристическое поведение фирмы</w:t>
            </w:r>
          </w:p>
        </w:tc>
      </w:tr>
      <w:tr w:rsidR="00DA227A" w:rsidRPr="00E93F40" w14:paraId="2BAC7CCB"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101FA64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ВОМТ</w:t>
            </w:r>
          </w:p>
        </w:tc>
        <w:tc>
          <w:tcPr>
            <w:tcW w:w="2119" w:type="dxa"/>
            <w:tcBorders>
              <w:top w:val="outset" w:sz="6" w:space="0" w:color="auto"/>
              <w:left w:val="outset" w:sz="6" w:space="0" w:color="auto"/>
              <w:bottom w:val="outset" w:sz="6" w:space="0" w:color="auto"/>
              <w:right w:val="outset" w:sz="6" w:space="0" w:color="auto"/>
            </w:tcBorders>
            <w:vAlign w:val="center"/>
            <w:hideMark/>
          </w:tcPr>
          <w:p w14:paraId="2939B80C"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Пасбург и Блок</w:t>
            </w:r>
          </w:p>
        </w:tc>
        <w:tc>
          <w:tcPr>
            <w:tcW w:w="1134" w:type="dxa"/>
            <w:tcBorders>
              <w:top w:val="outset" w:sz="6" w:space="0" w:color="auto"/>
              <w:left w:val="outset" w:sz="6" w:space="0" w:color="auto"/>
              <w:bottom w:val="outset" w:sz="6" w:space="0" w:color="auto"/>
              <w:right w:val="outset" w:sz="6" w:space="0" w:color="auto"/>
            </w:tcBorders>
            <w:vAlign w:val="center"/>
            <w:hideMark/>
          </w:tcPr>
          <w:p w14:paraId="26567330"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D8DAF3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1F877BF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Малая эффективность, высокая стоимость</w:t>
            </w:r>
          </w:p>
        </w:tc>
      </w:tr>
      <w:tr w:rsidR="00DA227A" w:rsidRPr="00E93F40" w14:paraId="1782D1B2"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133C301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Цветметзолото</w:t>
            </w:r>
          </w:p>
        </w:tc>
        <w:tc>
          <w:tcPr>
            <w:tcW w:w="2119" w:type="dxa"/>
            <w:tcBorders>
              <w:top w:val="outset" w:sz="6" w:space="0" w:color="auto"/>
              <w:left w:val="outset" w:sz="6" w:space="0" w:color="auto"/>
              <w:bottom w:val="outset" w:sz="6" w:space="0" w:color="auto"/>
              <w:right w:val="outset" w:sz="6" w:space="0" w:color="auto"/>
            </w:tcBorders>
            <w:vAlign w:val="center"/>
            <w:hideMark/>
          </w:tcPr>
          <w:p w14:paraId="070DD2F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Штраубэ</w:t>
            </w:r>
          </w:p>
        </w:tc>
        <w:tc>
          <w:tcPr>
            <w:tcW w:w="1134" w:type="dxa"/>
            <w:tcBorders>
              <w:top w:val="outset" w:sz="6" w:space="0" w:color="auto"/>
              <w:left w:val="outset" w:sz="6" w:space="0" w:color="auto"/>
              <w:bottom w:val="outset" w:sz="6" w:space="0" w:color="auto"/>
              <w:right w:val="outset" w:sz="6" w:space="0" w:color="auto"/>
            </w:tcBorders>
            <w:vAlign w:val="center"/>
            <w:hideMark/>
          </w:tcPr>
          <w:p w14:paraId="3863748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A79F8E4"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3260" w:type="dxa"/>
            <w:tcBorders>
              <w:top w:val="outset" w:sz="6" w:space="0" w:color="auto"/>
              <w:left w:val="outset" w:sz="6" w:space="0" w:color="auto"/>
              <w:bottom w:val="outset" w:sz="6" w:space="0" w:color="auto"/>
              <w:right w:val="outset" w:sz="6" w:space="0" w:color="auto"/>
            </w:tcBorders>
            <w:hideMark/>
          </w:tcPr>
          <w:p w14:paraId="144E363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Малая эффективность, высокая стоимость</w:t>
            </w:r>
          </w:p>
        </w:tc>
      </w:tr>
      <w:tr w:rsidR="00DA227A" w:rsidRPr="00E93F40" w14:paraId="5392A336"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10B35AD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Союзстрой</w:t>
            </w:r>
          </w:p>
        </w:tc>
        <w:tc>
          <w:tcPr>
            <w:tcW w:w="2119" w:type="dxa"/>
            <w:tcBorders>
              <w:top w:val="outset" w:sz="6" w:space="0" w:color="auto"/>
              <w:left w:val="outset" w:sz="6" w:space="0" w:color="auto"/>
              <w:bottom w:val="outset" w:sz="6" w:space="0" w:color="auto"/>
              <w:right w:val="outset" w:sz="6" w:space="0" w:color="auto"/>
            </w:tcBorders>
            <w:vAlign w:val="center"/>
            <w:hideMark/>
          </w:tcPr>
          <w:p w14:paraId="4BB1381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Келлен</w:t>
            </w:r>
          </w:p>
        </w:tc>
        <w:tc>
          <w:tcPr>
            <w:tcW w:w="1134" w:type="dxa"/>
            <w:tcBorders>
              <w:top w:val="outset" w:sz="6" w:space="0" w:color="auto"/>
              <w:left w:val="outset" w:sz="6" w:space="0" w:color="auto"/>
              <w:bottom w:val="outset" w:sz="6" w:space="0" w:color="auto"/>
              <w:right w:val="outset" w:sz="6" w:space="0" w:color="auto"/>
            </w:tcBorders>
            <w:vAlign w:val="center"/>
            <w:hideMark/>
          </w:tcPr>
          <w:p w14:paraId="68C1642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E2B326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3A39B99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Малая эффективность, высокая стоимость</w:t>
            </w:r>
          </w:p>
        </w:tc>
      </w:tr>
      <w:tr w:rsidR="00DA227A" w:rsidRPr="00E93F40" w14:paraId="60B7469D"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3B8C2D0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Уголь</w:t>
            </w:r>
          </w:p>
        </w:tc>
        <w:tc>
          <w:tcPr>
            <w:tcW w:w="2119" w:type="dxa"/>
            <w:tcBorders>
              <w:top w:val="outset" w:sz="6" w:space="0" w:color="auto"/>
              <w:left w:val="outset" w:sz="6" w:space="0" w:color="auto"/>
              <w:bottom w:val="outset" w:sz="6" w:space="0" w:color="auto"/>
              <w:right w:val="outset" w:sz="6" w:space="0" w:color="auto"/>
            </w:tcBorders>
            <w:vAlign w:val="center"/>
            <w:hideMark/>
          </w:tcPr>
          <w:p w14:paraId="0BA83A4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Робертс и Шеффер</w:t>
            </w:r>
          </w:p>
        </w:tc>
        <w:tc>
          <w:tcPr>
            <w:tcW w:w="1134" w:type="dxa"/>
            <w:tcBorders>
              <w:top w:val="outset" w:sz="6" w:space="0" w:color="auto"/>
              <w:left w:val="outset" w:sz="6" w:space="0" w:color="auto"/>
              <w:bottom w:val="outset" w:sz="6" w:space="0" w:color="auto"/>
              <w:right w:val="outset" w:sz="6" w:space="0" w:color="auto"/>
            </w:tcBorders>
            <w:vAlign w:val="center"/>
            <w:hideMark/>
          </w:tcPr>
          <w:p w14:paraId="4FD0ED1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D238A4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777BBAB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 были согласованы с планами 2-й пятилетки</w:t>
            </w:r>
          </w:p>
        </w:tc>
      </w:tr>
      <w:tr w:rsidR="00DA227A" w:rsidRPr="00E93F40" w14:paraId="6E5A8EEC"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721CD52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Магнитострой</w:t>
            </w:r>
          </w:p>
        </w:tc>
        <w:tc>
          <w:tcPr>
            <w:tcW w:w="2119" w:type="dxa"/>
            <w:tcBorders>
              <w:top w:val="outset" w:sz="6" w:space="0" w:color="auto"/>
              <w:left w:val="outset" w:sz="6" w:space="0" w:color="auto"/>
              <w:bottom w:val="outset" w:sz="6" w:space="0" w:color="auto"/>
              <w:right w:val="outset" w:sz="6" w:space="0" w:color="auto"/>
            </w:tcBorders>
            <w:vAlign w:val="center"/>
            <w:hideMark/>
          </w:tcPr>
          <w:p w14:paraId="572AAE2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Макки</w:t>
            </w:r>
          </w:p>
        </w:tc>
        <w:tc>
          <w:tcPr>
            <w:tcW w:w="1134" w:type="dxa"/>
            <w:tcBorders>
              <w:top w:val="outset" w:sz="6" w:space="0" w:color="auto"/>
              <w:left w:val="outset" w:sz="6" w:space="0" w:color="auto"/>
              <w:bottom w:val="outset" w:sz="6" w:space="0" w:color="auto"/>
              <w:right w:val="outset" w:sz="6" w:space="0" w:color="auto"/>
            </w:tcBorders>
            <w:vAlign w:val="center"/>
            <w:hideMark/>
          </w:tcPr>
          <w:p w14:paraId="1B6919B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A0C56C0"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3668D25A" w14:textId="77777777" w:rsidR="00AA2AB7" w:rsidRPr="00E93F40" w:rsidRDefault="00AA2AB7" w:rsidP="00E93F40">
            <w:pPr>
              <w:spacing w:after="0" w:line="240" w:lineRule="auto"/>
              <w:jc w:val="both"/>
              <w:rPr>
                <w:rFonts w:ascii="Times New Roman" w:hAnsi="Times New Roman"/>
                <w:color w:val="000000" w:themeColor="text1"/>
                <w:sz w:val="16"/>
                <w:szCs w:val="16"/>
              </w:rPr>
            </w:pPr>
          </w:p>
        </w:tc>
      </w:tr>
      <w:tr w:rsidR="00DA227A" w:rsidRPr="00E93F40" w14:paraId="32DD8433"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2329F7D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Оргаметалл</w:t>
            </w:r>
          </w:p>
        </w:tc>
        <w:tc>
          <w:tcPr>
            <w:tcW w:w="2119" w:type="dxa"/>
            <w:tcBorders>
              <w:top w:val="outset" w:sz="6" w:space="0" w:color="auto"/>
              <w:left w:val="outset" w:sz="6" w:space="0" w:color="auto"/>
              <w:bottom w:val="outset" w:sz="6" w:space="0" w:color="auto"/>
              <w:right w:val="outset" w:sz="6" w:space="0" w:color="auto"/>
            </w:tcBorders>
            <w:vAlign w:val="center"/>
            <w:hideMark/>
          </w:tcPr>
          <w:p w14:paraId="1C15893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Дейч-Верфь</w:t>
            </w:r>
          </w:p>
        </w:tc>
        <w:tc>
          <w:tcPr>
            <w:tcW w:w="1134" w:type="dxa"/>
            <w:tcBorders>
              <w:top w:val="outset" w:sz="6" w:space="0" w:color="auto"/>
              <w:left w:val="outset" w:sz="6" w:space="0" w:color="auto"/>
              <w:bottom w:val="outset" w:sz="6" w:space="0" w:color="auto"/>
              <w:right w:val="outset" w:sz="6" w:space="0" w:color="auto"/>
            </w:tcBorders>
            <w:vAlign w:val="center"/>
            <w:hideMark/>
          </w:tcPr>
          <w:p w14:paraId="013DA680"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1276" w:type="dxa"/>
            <w:tcBorders>
              <w:top w:val="outset" w:sz="6" w:space="0" w:color="auto"/>
              <w:left w:val="outset" w:sz="6" w:space="0" w:color="auto"/>
              <w:bottom w:val="outset" w:sz="6" w:space="0" w:color="auto"/>
              <w:right w:val="outset" w:sz="6" w:space="0" w:color="auto"/>
            </w:tcBorders>
            <w:vAlign w:val="center"/>
            <w:hideMark/>
          </w:tcPr>
          <w:p w14:paraId="352933B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08B2150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Невозможность использовать опыт ввиду ограниченности возможностей отеч. промышл.</w:t>
            </w:r>
          </w:p>
        </w:tc>
      </w:tr>
      <w:tr w:rsidR="00DA227A" w:rsidRPr="00E93F40" w14:paraId="53A5DC72"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772561C4"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Инструмобъед.</w:t>
            </w:r>
          </w:p>
        </w:tc>
        <w:tc>
          <w:tcPr>
            <w:tcW w:w="2119" w:type="dxa"/>
            <w:tcBorders>
              <w:top w:val="outset" w:sz="6" w:space="0" w:color="auto"/>
              <w:left w:val="outset" w:sz="6" w:space="0" w:color="auto"/>
              <w:bottom w:val="outset" w:sz="6" w:space="0" w:color="auto"/>
              <w:right w:val="outset" w:sz="6" w:space="0" w:color="auto"/>
            </w:tcBorders>
            <w:vAlign w:val="center"/>
            <w:hideMark/>
          </w:tcPr>
          <w:p w14:paraId="70249E7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Карборундум</w:t>
            </w:r>
          </w:p>
        </w:tc>
        <w:tc>
          <w:tcPr>
            <w:tcW w:w="1134" w:type="dxa"/>
            <w:tcBorders>
              <w:top w:val="outset" w:sz="6" w:space="0" w:color="auto"/>
              <w:left w:val="outset" w:sz="6" w:space="0" w:color="auto"/>
              <w:bottom w:val="outset" w:sz="6" w:space="0" w:color="auto"/>
              <w:right w:val="outset" w:sz="6" w:space="0" w:color="auto"/>
            </w:tcBorders>
            <w:vAlign w:val="center"/>
            <w:hideMark/>
          </w:tcPr>
          <w:p w14:paraId="47E0200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C38D26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2AECA5E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Недобросовестное исполнение со стороны фирмы</w:t>
            </w:r>
          </w:p>
        </w:tc>
      </w:tr>
      <w:tr w:rsidR="00DA227A" w:rsidRPr="00E93F40" w14:paraId="1608D1AD"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1D06E47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Насоскомпр.</w:t>
            </w:r>
          </w:p>
        </w:tc>
        <w:tc>
          <w:tcPr>
            <w:tcW w:w="2119" w:type="dxa"/>
            <w:tcBorders>
              <w:top w:val="outset" w:sz="6" w:space="0" w:color="auto"/>
              <w:left w:val="outset" w:sz="6" w:space="0" w:color="auto"/>
              <w:bottom w:val="outset" w:sz="6" w:space="0" w:color="auto"/>
              <w:right w:val="outset" w:sz="6" w:space="0" w:color="auto"/>
            </w:tcBorders>
            <w:vAlign w:val="center"/>
            <w:hideMark/>
          </w:tcPr>
          <w:p w14:paraId="2C77AE6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Ман-Ридингер</w:t>
            </w:r>
          </w:p>
        </w:tc>
        <w:tc>
          <w:tcPr>
            <w:tcW w:w="1134" w:type="dxa"/>
            <w:tcBorders>
              <w:top w:val="outset" w:sz="6" w:space="0" w:color="auto"/>
              <w:left w:val="outset" w:sz="6" w:space="0" w:color="auto"/>
              <w:bottom w:val="outset" w:sz="6" w:space="0" w:color="auto"/>
              <w:right w:val="outset" w:sz="6" w:space="0" w:color="auto"/>
            </w:tcBorders>
            <w:vAlign w:val="center"/>
            <w:hideMark/>
          </w:tcPr>
          <w:p w14:paraId="0669907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AD7D4D0"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650BF02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Малая эффективность, высокая стоимость</w:t>
            </w:r>
          </w:p>
        </w:tc>
      </w:tr>
      <w:tr w:rsidR="00DA227A" w:rsidRPr="00E93F40" w14:paraId="2F43D304"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6B60949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Союзсредмаш</w:t>
            </w:r>
          </w:p>
        </w:tc>
        <w:tc>
          <w:tcPr>
            <w:tcW w:w="2119" w:type="dxa"/>
            <w:tcBorders>
              <w:top w:val="outset" w:sz="6" w:space="0" w:color="auto"/>
              <w:left w:val="outset" w:sz="6" w:space="0" w:color="auto"/>
              <w:bottom w:val="outset" w:sz="6" w:space="0" w:color="auto"/>
              <w:right w:val="outset" w:sz="6" w:space="0" w:color="auto"/>
            </w:tcBorders>
            <w:vAlign w:val="center"/>
            <w:hideMark/>
          </w:tcPr>
          <w:p w14:paraId="73314E4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Кеббер</w:t>
            </w:r>
          </w:p>
        </w:tc>
        <w:tc>
          <w:tcPr>
            <w:tcW w:w="1134" w:type="dxa"/>
            <w:tcBorders>
              <w:top w:val="outset" w:sz="6" w:space="0" w:color="auto"/>
              <w:left w:val="outset" w:sz="6" w:space="0" w:color="auto"/>
              <w:bottom w:val="outset" w:sz="6" w:space="0" w:color="auto"/>
              <w:right w:val="outset" w:sz="6" w:space="0" w:color="auto"/>
            </w:tcBorders>
            <w:vAlign w:val="center"/>
            <w:hideMark/>
          </w:tcPr>
          <w:p w14:paraId="4594E98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CCF19D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301EF904"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Малая эффективность, высокая стоимость</w:t>
            </w:r>
          </w:p>
        </w:tc>
      </w:tr>
      <w:tr w:rsidR="00DA227A" w:rsidRPr="00E93F40" w14:paraId="5E237BB4"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5802FBA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Всехимпром</w:t>
            </w:r>
          </w:p>
        </w:tc>
        <w:tc>
          <w:tcPr>
            <w:tcW w:w="2119" w:type="dxa"/>
            <w:tcBorders>
              <w:top w:val="outset" w:sz="6" w:space="0" w:color="auto"/>
              <w:left w:val="outset" w:sz="6" w:space="0" w:color="auto"/>
              <w:bottom w:val="outset" w:sz="6" w:space="0" w:color="auto"/>
              <w:right w:val="outset" w:sz="6" w:space="0" w:color="auto"/>
            </w:tcBorders>
            <w:vAlign w:val="center"/>
            <w:hideMark/>
          </w:tcPr>
          <w:p w14:paraId="057CD5D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Казале</w:t>
            </w:r>
          </w:p>
        </w:tc>
        <w:tc>
          <w:tcPr>
            <w:tcW w:w="1134" w:type="dxa"/>
            <w:tcBorders>
              <w:top w:val="outset" w:sz="6" w:space="0" w:color="auto"/>
              <w:left w:val="outset" w:sz="6" w:space="0" w:color="auto"/>
              <w:bottom w:val="outset" w:sz="6" w:space="0" w:color="auto"/>
              <w:right w:val="outset" w:sz="6" w:space="0" w:color="auto"/>
            </w:tcBorders>
            <w:vAlign w:val="center"/>
            <w:hideMark/>
          </w:tcPr>
          <w:p w14:paraId="2123637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1925</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5AC342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1A58DD0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Досрочное освоение иностранных технологий</w:t>
            </w:r>
          </w:p>
        </w:tc>
      </w:tr>
      <w:tr w:rsidR="00DA227A" w:rsidRPr="00E93F40" w14:paraId="0D65566E"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124D8A6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 объед.</w:t>
            </w:r>
          </w:p>
        </w:tc>
        <w:tc>
          <w:tcPr>
            <w:tcW w:w="2119" w:type="dxa"/>
            <w:tcBorders>
              <w:top w:val="outset" w:sz="6" w:space="0" w:color="auto"/>
              <w:left w:val="outset" w:sz="6" w:space="0" w:color="auto"/>
              <w:bottom w:val="outset" w:sz="6" w:space="0" w:color="auto"/>
              <w:right w:val="outset" w:sz="6" w:space="0" w:color="auto"/>
            </w:tcBorders>
            <w:vAlign w:val="center"/>
            <w:hideMark/>
          </w:tcPr>
          <w:p w14:paraId="43C3350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Бьютаст</w:t>
            </w:r>
          </w:p>
        </w:tc>
        <w:tc>
          <w:tcPr>
            <w:tcW w:w="1134" w:type="dxa"/>
            <w:tcBorders>
              <w:top w:val="outset" w:sz="6" w:space="0" w:color="auto"/>
              <w:left w:val="outset" w:sz="6" w:space="0" w:color="auto"/>
              <w:bottom w:val="outset" w:sz="6" w:space="0" w:color="auto"/>
              <w:right w:val="outset" w:sz="6" w:space="0" w:color="auto"/>
            </w:tcBorders>
            <w:vAlign w:val="center"/>
            <w:hideMark/>
          </w:tcPr>
          <w:p w14:paraId="32D5724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18E04D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005D1117" w14:textId="77777777" w:rsidR="00AA2AB7" w:rsidRPr="00E93F40" w:rsidRDefault="00AA2AB7" w:rsidP="00E93F40">
            <w:pPr>
              <w:spacing w:after="0" w:line="240" w:lineRule="auto"/>
              <w:jc w:val="both"/>
              <w:rPr>
                <w:rFonts w:ascii="Times New Roman" w:hAnsi="Times New Roman"/>
                <w:color w:val="000000" w:themeColor="text1"/>
                <w:sz w:val="16"/>
                <w:szCs w:val="16"/>
              </w:rPr>
            </w:pPr>
          </w:p>
        </w:tc>
      </w:tr>
      <w:tr w:rsidR="00DA227A" w:rsidRPr="00E93F40" w14:paraId="791D21EF"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03B180D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ВОИВ</w:t>
            </w:r>
          </w:p>
        </w:tc>
        <w:tc>
          <w:tcPr>
            <w:tcW w:w="2119" w:type="dxa"/>
            <w:tcBorders>
              <w:top w:val="outset" w:sz="6" w:space="0" w:color="auto"/>
              <w:left w:val="outset" w:sz="6" w:space="0" w:color="auto"/>
              <w:bottom w:val="outset" w:sz="6" w:space="0" w:color="auto"/>
              <w:right w:val="outset" w:sz="6" w:space="0" w:color="auto"/>
            </w:tcBorders>
            <w:vAlign w:val="center"/>
            <w:hideMark/>
          </w:tcPr>
          <w:p w14:paraId="4BA8C03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Когорн</w:t>
            </w:r>
          </w:p>
        </w:tc>
        <w:tc>
          <w:tcPr>
            <w:tcW w:w="1134" w:type="dxa"/>
            <w:tcBorders>
              <w:top w:val="outset" w:sz="6" w:space="0" w:color="auto"/>
              <w:left w:val="outset" w:sz="6" w:space="0" w:color="auto"/>
              <w:bottom w:val="outset" w:sz="6" w:space="0" w:color="auto"/>
              <w:right w:val="outset" w:sz="6" w:space="0" w:color="auto"/>
            </w:tcBorders>
            <w:vAlign w:val="center"/>
            <w:hideMark/>
          </w:tcPr>
          <w:p w14:paraId="23E37AB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8E6D3D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7A5A668D" w14:textId="77777777" w:rsidR="00AA2AB7" w:rsidRPr="00E93F40" w:rsidRDefault="00AA2AB7" w:rsidP="00E93F40">
            <w:pPr>
              <w:spacing w:after="0" w:line="240" w:lineRule="auto"/>
              <w:jc w:val="both"/>
              <w:rPr>
                <w:rFonts w:ascii="Times New Roman" w:hAnsi="Times New Roman"/>
                <w:color w:val="000000" w:themeColor="text1"/>
                <w:sz w:val="16"/>
                <w:szCs w:val="16"/>
              </w:rPr>
            </w:pPr>
          </w:p>
        </w:tc>
      </w:tr>
      <w:tr w:rsidR="00DA227A" w:rsidRPr="00E93F40" w14:paraId="6BD8F274"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6DABD19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Локомотив</w:t>
            </w:r>
          </w:p>
        </w:tc>
        <w:tc>
          <w:tcPr>
            <w:tcW w:w="2119" w:type="dxa"/>
            <w:tcBorders>
              <w:top w:val="outset" w:sz="6" w:space="0" w:color="auto"/>
              <w:left w:val="outset" w:sz="6" w:space="0" w:color="auto"/>
              <w:bottom w:val="outset" w:sz="6" w:space="0" w:color="auto"/>
              <w:right w:val="outset" w:sz="6" w:space="0" w:color="auto"/>
            </w:tcBorders>
            <w:vAlign w:val="center"/>
            <w:hideMark/>
          </w:tcPr>
          <w:p w14:paraId="7395AE14"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Борзиг</w:t>
            </w:r>
          </w:p>
        </w:tc>
        <w:tc>
          <w:tcPr>
            <w:tcW w:w="1134" w:type="dxa"/>
            <w:tcBorders>
              <w:top w:val="outset" w:sz="6" w:space="0" w:color="auto"/>
              <w:left w:val="outset" w:sz="6" w:space="0" w:color="auto"/>
              <w:bottom w:val="outset" w:sz="6" w:space="0" w:color="auto"/>
              <w:right w:val="outset" w:sz="6" w:space="0" w:color="auto"/>
            </w:tcBorders>
            <w:vAlign w:val="center"/>
            <w:hideMark/>
          </w:tcPr>
          <w:p w14:paraId="5044361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1926</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3DB0D4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659A4F1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Досрочное освоение иностранных технологий</w:t>
            </w:r>
          </w:p>
        </w:tc>
      </w:tr>
      <w:tr w:rsidR="00DA227A" w:rsidRPr="00E93F40" w14:paraId="37E109D1"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7CDA48D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Кузнецкстрой</w:t>
            </w:r>
          </w:p>
        </w:tc>
        <w:tc>
          <w:tcPr>
            <w:tcW w:w="2119" w:type="dxa"/>
            <w:tcBorders>
              <w:top w:val="outset" w:sz="6" w:space="0" w:color="auto"/>
              <w:left w:val="outset" w:sz="6" w:space="0" w:color="auto"/>
              <w:bottom w:val="outset" w:sz="6" w:space="0" w:color="auto"/>
              <w:right w:val="outset" w:sz="6" w:space="0" w:color="auto"/>
            </w:tcBorders>
            <w:vAlign w:val="center"/>
            <w:hideMark/>
          </w:tcPr>
          <w:p w14:paraId="5D2883B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ФРЕЙН</w:t>
            </w:r>
          </w:p>
        </w:tc>
        <w:tc>
          <w:tcPr>
            <w:tcW w:w="1134" w:type="dxa"/>
            <w:tcBorders>
              <w:top w:val="outset" w:sz="6" w:space="0" w:color="auto"/>
              <w:left w:val="outset" w:sz="6" w:space="0" w:color="auto"/>
              <w:bottom w:val="outset" w:sz="6" w:space="0" w:color="auto"/>
              <w:right w:val="outset" w:sz="6" w:space="0" w:color="auto"/>
            </w:tcBorders>
            <w:vAlign w:val="center"/>
            <w:hideMark/>
          </w:tcPr>
          <w:p w14:paraId="7652052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39D9FA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hideMark/>
          </w:tcPr>
          <w:p w14:paraId="1102EA3E" w14:textId="77777777" w:rsidR="00AA2AB7" w:rsidRPr="00E93F40" w:rsidRDefault="00AA2AB7" w:rsidP="00E93F40">
            <w:pPr>
              <w:spacing w:after="0" w:line="240" w:lineRule="auto"/>
              <w:jc w:val="both"/>
              <w:rPr>
                <w:rFonts w:ascii="Times New Roman" w:hAnsi="Times New Roman"/>
                <w:color w:val="000000" w:themeColor="text1"/>
                <w:sz w:val="16"/>
                <w:szCs w:val="16"/>
              </w:rPr>
            </w:pPr>
          </w:p>
        </w:tc>
      </w:tr>
      <w:tr w:rsidR="00DA227A" w:rsidRPr="00E93F40" w14:paraId="6C6A5C7A"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4F4260B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Всехимпром</w:t>
            </w:r>
          </w:p>
        </w:tc>
        <w:tc>
          <w:tcPr>
            <w:tcW w:w="2119" w:type="dxa"/>
            <w:tcBorders>
              <w:top w:val="outset" w:sz="6" w:space="0" w:color="auto"/>
              <w:left w:val="outset" w:sz="6" w:space="0" w:color="auto"/>
              <w:bottom w:val="outset" w:sz="6" w:space="0" w:color="auto"/>
              <w:right w:val="outset" w:sz="6" w:space="0" w:color="auto"/>
            </w:tcBorders>
            <w:vAlign w:val="center"/>
            <w:hideMark/>
          </w:tcPr>
          <w:p w14:paraId="4085BC8D"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ГИББС</w:t>
            </w:r>
          </w:p>
        </w:tc>
        <w:tc>
          <w:tcPr>
            <w:tcW w:w="1134" w:type="dxa"/>
            <w:tcBorders>
              <w:top w:val="outset" w:sz="6" w:space="0" w:color="auto"/>
              <w:left w:val="outset" w:sz="6" w:space="0" w:color="auto"/>
              <w:bottom w:val="outset" w:sz="6" w:space="0" w:color="auto"/>
              <w:right w:val="outset" w:sz="6" w:space="0" w:color="auto"/>
            </w:tcBorders>
            <w:vAlign w:val="center"/>
            <w:hideMark/>
          </w:tcPr>
          <w:p w14:paraId="659F462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1928</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A53840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60FD31B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Недобросовестное исполнение со стороны фирмы</w:t>
            </w:r>
          </w:p>
        </w:tc>
      </w:tr>
      <w:tr w:rsidR="00DA227A" w:rsidRPr="00E93F40" w14:paraId="2118C928"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476AAA5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Всехимпром</w:t>
            </w:r>
          </w:p>
        </w:tc>
        <w:tc>
          <w:tcPr>
            <w:tcW w:w="2119" w:type="dxa"/>
            <w:tcBorders>
              <w:top w:val="outset" w:sz="6" w:space="0" w:color="auto"/>
              <w:left w:val="outset" w:sz="6" w:space="0" w:color="auto"/>
              <w:bottom w:val="outset" w:sz="6" w:space="0" w:color="auto"/>
              <w:right w:val="outset" w:sz="6" w:space="0" w:color="auto"/>
            </w:tcBorders>
            <w:vAlign w:val="center"/>
            <w:hideMark/>
          </w:tcPr>
          <w:p w14:paraId="62155C0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Нитрит</w:t>
            </w:r>
          </w:p>
        </w:tc>
        <w:tc>
          <w:tcPr>
            <w:tcW w:w="1134" w:type="dxa"/>
            <w:tcBorders>
              <w:top w:val="outset" w:sz="6" w:space="0" w:color="auto"/>
              <w:left w:val="outset" w:sz="6" w:space="0" w:color="auto"/>
              <w:bottom w:val="outset" w:sz="6" w:space="0" w:color="auto"/>
              <w:right w:val="outset" w:sz="6" w:space="0" w:color="auto"/>
            </w:tcBorders>
            <w:vAlign w:val="center"/>
            <w:hideMark/>
          </w:tcPr>
          <w:p w14:paraId="6877D6D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1927</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879408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3EAD801E" w14:textId="77777777" w:rsidR="00AA2AB7" w:rsidRPr="00E93F40" w:rsidRDefault="00AA2AB7" w:rsidP="00E93F40">
            <w:pPr>
              <w:spacing w:after="0" w:line="240" w:lineRule="auto"/>
              <w:jc w:val="both"/>
              <w:rPr>
                <w:rFonts w:ascii="Times New Roman" w:hAnsi="Times New Roman"/>
                <w:color w:val="000000" w:themeColor="text1"/>
                <w:sz w:val="16"/>
                <w:szCs w:val="16"/>
              </w:rPr>
            </w:pPr>
          </w:p>
        </w:tc>
      </w:tr>
      <w:tr w:rsidR="00DA227A" w:rsidRPr="00E93F40" w14:paraId="4CAEA2BA"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4EE9B73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Цветметзолото</w:t>
            </w:r>
          </w:p>
        </w:tc>
        <w:tc>
          <w:tcPr>
            <w:tcW w:w="2119" w:type="dxa"/>
            <w:tcBorders>
              <w:top w:val="outset" w:sz="6" w:space="0" w:color="auto"/>
              <w:left w:val="outset" w:sz="6" w:space="0" w:color="auto"/>
              <w:bottom w:val="outset" w:sz="6" w:space="0" w:color="auto"/>
              <w:right w:val="outset" w:sz="6" w:space="0" w:color="auto"/>
            </w:tcBorders>
            <w:vAlign w:val="center"/>
            <w:hideMark/>
          </w:tcPr>
          <w:p w14:paraId="7727390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Сименс-Гальске</w:t>
            </w:r>
          </w:p>
        </w:tc>
        <w:tc>
          <w:tcPr>
            <w:tcW w:w="1134" w:type="dxa"/>
            <w:tcBorders>
              <w:top w:val="outset" w:sz="6" w:space="0" w:color="auto"/>
              <w:left w:val="outset" w:sz="6" w:space="0" w:color="auto"/>
              <w:bottom w:val="outset" w:sz="6" w:space="0" w:color="auto"/>
              <w:right w:val="outset" w:sz="6" w:space="0" w:color="auto"/>
            </w:tcBorders>
            <w:vAlign w:val="center"/>
            <w:hideMark/>
          </w:tcPr>
          <w:p w14:paraId="36C2F51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0424F3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3AE70B70" w14:textId="77777777" w:rsidR="00AA2AB7" w:rsidRPr="00E93F40" w:rsidRDefault="00AA2AB7" w:rsidP="00E93F40">
            <w:pPr>
              <w:spacing w:after="0" w:line="240" w:lineRule="auto"/>
              <w:jc w:val="both"/>
              <w:rPr>
                <w:rFonts w:ascii="Times New Roman" w:hAnsi="Times New Roman"/>
                <w:color w:val="000000" w:themeColor="text1"/>
                <w:sz w:val="16"/>
                <w:szCs w:val="16"/>
              </w:rPr>
            </w:pPr>
          </w:p>
        </w:tc>
      </w:tr>
      <w:tr w:rsidR="00DA227A" w:rsidRPr="00E93F40" w14:paraId="3FFFF933"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62A587A5"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Лен. Текстиль</w:t>
            </w:r>
          </w:p>
        </w:tc>
        <w:tc>
          <w:tcPr>
            <w:tcW w:w="2119" w:type="dxa"/>
            <w:tcBorders>
              <w:top w:val="outset" w:sz="6" w:space="0" w:color="auto"/>
              <w:left w:val="outset" w:sz="6" w:space="0" w:color="auto"/>
              <w:bottom w:val="outset" w:sz="6" w:space="0" w:color="auto"/>
              <w:right w:val="outset" w:sz="6" w:space="0" w:color="auto"/>
            </w:tcBorders>
            <w:vAlign w:val="center"/>
            <w:hideMark/>
          </w:tcPr>
          <w:p w14:paraId="0351A920" w14:textId="3054F82C"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Суари-де-Страсбург</w:t>
            </w:r>
            <w:r w:rsidR="00DD74E1">
              <w:rPr>
                <w:rFonts w:ascii="Times New Roman" w:hAnsi="Times New Roman"/>
                <w:color w:val="000000" w:themeColor="text1"/>
                <w:sz w:val="16"/>
                <w:szCs w:val="16"/>
              </w:rPr>
              <w:t xml:space="preserve"> </w:t>
            </w:r>
          </w:p>
        </w:tc>
        <w:tc>
          <w:tcPr>
            <w:tcW w:w="1134" w:type="dxa"/>
            <w:tcBorders>
              <w:top w:val="outset" w:sz="6" w:space="0" w:color="auto"/>
              <w:left w:val="outset" w:sz="6" w:space="0" w:color="auto"/>
              <w:bottom w:val="outset" w:sz="6" w:space="0" w:color="auto"/>
              <w:right w:val="outset" w:sz="6" w:space="0" w:color="auto"/>
            </w:tcBorders>
            <w:vAlign w:val="center"/>
            <w:hideMark/>
          </w:tcPr>
          <w:p w14:paraId="6ED1DE7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450F4D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30CCE87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Досрочное освоение иностранных технологий</w:t>
            </w:r>
          </w:p>
        </w:tc>
      </w:tr>
      <w:tr w:rsidR="00DA227A" w:rsidRPr="00E93F40" w14:paraId="05560701"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5A07E1A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Союзасбест</w:t>
            </w:r>
          </w:p>
        </w:tc>
        <w:tc>
          <w:tcPr>
            <w:tcW w:w="2119" w:type="dxa"/>
            <w:tcBorders>
              <w:top w:val="outset" w:sz="6" w:space="0" w:color="auto"/>
              <w:left w:val="outset" w:sz="6" w:space="0" w:color="auto"/>
              <w:bottom w:val="outset" w:sz="6" w:space="0" w:color="auto"/>
              <w:right w:val="outset" w:sz="6" w:space="0" w:color="auto"/>
            </w:tcBorders>
            <w:vAlign w:val="center"/>
            <w:hideMark/>
          </w:tcPr>
          <w:p w14:paraId="7B69CD5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Рюккайзер</w:t>
            </w:r>
          </w:p>
        </w:tc>
        <w:tc>
          <w:tcPr>
            <w:tcW w:w="1134" w:type="dxa"/>
            <w:tcBorders>
              <w:top w:val="outset" w:sz="6" w:space="0" w:color="auto"/>
              <w:left w:val="outset" w:sz="6" w:space="0" w:color="auto"/>
              <w:bottom w:val="outset" w:sz="6" w:space="0" w:color="auto"/>
              <w:right w:val="outset" w:sz="6" w:space="0" w:color="auto"/>
            </w:tcBorders>
            <w:vAlign w:val="center"/>
            <w:hideMark/>
          </w:tcPr>
          <w:p w14:paraId="24F7697C"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2967CA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2239253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Авантюристическое поведение фирмы</w:t>
            </w:r>
          </w:p>
        </w:tc>
      </w:tr>
      <w:tr w:rsidR="00DA227A" w:rsidRPr="00E93F40" w14:paraId="41F208DC"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5057582D"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Швейпром</w:t>
            </w:r>
          </w:p>
        </w:tc>
        <w:tc>
          <w:tcPr>
            <w:tcW w:w="2119" w:type="dxa"/>
            <w:tcBorders>
              <w:top w:val="outset" w:sz="6" w:space="0" w:color="auto"/>
              <w:left w:val="outset" w:sz="6" w:space="0" w:color="auto"/>
              <w:bottom w:val="outset" w:sz="6" w:space="0" w:color="auto"/>
              <w:right w:val="outset" w:sz="6" w:space="0" w:color="auto"/>
            </w:tcBorders>
            <w:vAlign w:val="center"/>
            <w:hideMark/>
          </w:tcPr>
          <w:p w14:paraId="41DE93A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Ирвинг</w:t>
            </w:r>
          </w:p>
        </w:tc>
        <w:tc>
          <w:tcPr>
            <w:tcW w:w="1134" w:type="dxa"/>
            <w:tcBorders>
              <w:top w:val="outset" w:sz="6" w:space="0" w:color="auto"/>
              <w:left w:val="outset" w:sz="6" w:space="0" w:color="auto"/>
              <w:bottom w:val="outset" w:sz="6" w:space="0" w:color="auto"/>
              <w:right w:val="outset" w:sz="6" w:space="0" w:color="auto"/>
            </w:tcBorders>
            <w:vAlign w:val="center"/>
            <w:hideMark/>
          </w:tcPr>
          <w:p w14:paraId="12D28D2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327E398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hideMark/>
          </w:tcPr>
          <w:p w14:paraId="2F71F5D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Досрочное освоение иностранных технологий</w:t>
            </w:r>
          </w:p>
        </w:tc>
      </w:tr>
      <w:tr w:rsidR="00DA227A" w:rsidRPr="00E93F40" w14:paraId="1ED04D16"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7D4AB72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Вохимтрест</w:t>
            </w:r>
          </w:p>
        </w:tc>
        <w:tc>
          <w:tcPr>
            <w:tcW w:w="2119" w:type="dxa"/>
            <w:tcBorders>
              <w:top w:val="outset" w:sz="6" w:space="0" w:color="auto"/>
              <w:left w:val="outset" w:sz="6" w:space="0" w:color="auto"/>
              <w:bottom w:val="outset" w:sz="6" w:space="0" w:color="auto"/>
              <w:right w:val="outset" w:sz="6" w:space="0" w:color="auto"/>
            </w:tcBorders>
            <w:vAlign w:val="center"/>
            <w:hideMark/>
          </w:tcPr>
          <w:p w14:paraId="3660A40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Стик-Обур</w:t>
            </w:r>
          </w:p>
        </w:tc>
        <w:tc>
          <w:tcPr>
            <w:tcW w:w="1134" w:type="dxa"/>
            <w:tcBorders>
              <w:top w:val="outset" w:sz="6" w:space="0" w:color="auto"/>
              <w:left w:val="outset" w:sz="6" w:space="0" w:color="auto"/>
              <w:bottom w:val="outset" w:sz="6" w:space="0" w:color="auto"/>
              <w:right w:val="outset" w:sz="6" w:space="0" w:color="auto"/>
            </w:tcBorders>
            <w:vAlign w:val="center"/>
            <w:hideMark/>
          </w:tcPr>
          <w:p w14:paraId="3481E3E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6101D2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633C63D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Авантюристическое поведение фирмы</w:t>
            </w:r>
          </w:p>
        </w:tc>
      </w:tr>
      <w:tr w:rsidR="00DA227A" w:rsidRPr="00E93F40" w14:paraId="43B0A40F"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382A0E1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Оруд. объед.</w:t>
            </w:r>
          </w:p>
        </w:tc>
        <w:tc>
          <w:tcPr>
            <w:tcW w:w="2119" w:type="dxa"/>
            <w:tcBorders>
              <w:top w:val="outset" w:sz="6" w:space="0" w:color="auto"/>
              <w:left w:val="outset" w:sz="6" w:space="0" w:color="auto"/>
              <w:bottom w:val="outset" w:sz="6" w:space="0" w:color="auto"/>
              <w:right w:val="outset" w:sz="6" w:space="0" w:color="auto"/>
            </w:tcBorders>
            <w:vAlign w:val="center"/>
            <w:hideMark/>
          </w:tcPr>
          <w:p w14:paraId="406C9FE4"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Фольмар</w:t>
            </w:r>
          </w:p>
        </w:tc>
        <w:tc>
          <w:tcPr>
            <w:tcW w:w="1134" w:type="dxa"/>
            <w:tcBorders>
              <w:top w:val="outset" w:sz="6" w:space="0" w:color="auto"/>
              <w:left w:val="outset" w:sz="6" w:space="0" w:color="auto"/>
              <w:bottom w:val="outset" w:sz="6" w:space="0" w:color="auto"/>
              <w:right w:val="outset" w:sz="6" w:space="0" w:color="auto"/>
            </w:tcBorders>
            <w:vAlign w:val="center"/>
            <w:hideMark/>
          </w:tcPr>
          <w:p w14:paraId="223EC57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D2B608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hideMark/>
          </w:tcPr>
          <w:p w14:paraId="6423924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Досрочное освоение иностранных технологий</w:t>
            </w:r>
          </w:p>
        </w:tc>
      </w:tr>
      <w:tr w:rsidR="00DA227A" w:rsidRPr="00E93F40" w14:paraId="05063164"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6A92B89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ВЭСО</w:t>
            </w:r>
          </w:p>
        </w:tc>
        <w:tc>
          <w:tcPr>
            <w:tcW w:w="2119" w:type="dxa"/>
            <w:tcBorders>
              <w:top w:val="outset" w:sz="6" w:space="0" w:color="auto"/>
              <w:left w:val="outset" w:sz="6" w:space="0" w:color="auto"/>
              <w:bottom w:val="outset" w:sz="6" w:space="0" w:color="auto"/>
              <w:right w:val="outset" w:sz="6" w:space="0" w:color="auto"/>
            </w:tcBorders>
            <w:vAlign w:val="center"/>
            <w:hideMark/>
          </w:tcPr>
          <w:p w14:paraId="19C0CE07"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Тесафи</w:t>
            </w:r>
          </w:p>
        </w:tc>
        <w:tc>
          <w:tcPr>
            <w:tcW w:w="1134" w:type="dxa"/>
            <w:tcBorders>
              <w:top w:val="outset" w:sz="6" w:space="0" w:color="auto"/>
              <w:left w:val="outset" w:sz="6" w:space="0" w:color="auto"/>
              <w:bottom w:val="outset" w:sz="6" w:space="0" w:color="auto"/>
              <w:right w:val="outset" w:sz="6" w:space="0" w:color="auto"/>
            </w:tcBorders>
            <w:vAlign w:val="center"/>
            <w:hideMark/>
          </w:tcPr>
          <w:p w14:paraId="14ACB37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06DBCAA"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hideMark/>
          </w:tcPr>
          <w:p w14:paraId="4CEB96D4"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Досрочное освоение иностранных технологий</w:t>
            </w:r>
          </w:p>
        </w:tc>
      </w:tr>
      <w:tr w:rsidR="00DA227A" w:rsidRPr="00E93F40" w14:paraId="5EDA73F4"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59A16BCB"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ВЭО</w:t>
            </w:r>
          </w:p>
        </w:tc>
        <w:tc>
          <w:tcPr>
            <w:tcW w:w="2119" w:type="dxa"/>
            <w:tcBorders>
              <w:top w:val="outset" w:sz="6" w:space="0" w:color="auto"/>
              <w:left w:val="outset" w:sz="6" w:space="0" w:color="auto"/>
              <w:bottom w:val="outset" w:sz="6" w:space="0" w:color="auto"/>
              <w:right w:val="outset" w:sz="6" w:space="0" w:color="auto"/>
            </w:tcBorders>
            <w:vAlign w:val="center"/>
            <w:hideMark/>
          </w:tcPr>
          <w:p w14:paraId="20B139D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Любек</w:t>
            </w:r>
          </w:p>
        </w:tc>
        <w:tc>
          <w:tcPr>
            <w:tcW w:w="1134" w:type="dxa"/>
            <w:tcBorders>
              <w:top w:val="outset" w:sz="6" w:space="0" w:color="auto"/>
              <w:left w:val="outset" w:sz="6" w:space="0" w:color="auto"/>
              <w:bottom w:val="outset" w:sz="6" w:space="0" w:color="auto"/>
              <w:right w:val="outset" w:sz="6" w:space="0" w:color="auto"/>
            </w:tcBorders>
            <w:vAlign w:val="center"/>
            <w:hideMark/>
          </w:tcPr>
          <w:p w14:paraId="4A05BB6F"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8F47D9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hideMark/>
          </w:tcPr>
          <w:p w14:paraId="36831C1E"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Досрочное освоение иностранных технологий</w:t>
            </w:r>
          </w:p>
        </w:tc>
      </w:tr>
      <w:tr w:rsidR="00DA227A" w:rsidRPr="00E93F40" w14:paraId="5E58BC4E"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7D9F354C"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ВОМТ</w:t>
            </w:r>
          </w:p>
        </w:tc>
        <w:tc>
          <w:tcPr>
            <w:tcW w:w="2119" w:type="dxa"/>
            <w:tcBorders>
              <w:top w:val="outset" w:sz="6" w:space="0" w:color="auto"/>
              <w:left w:val="outset" w:sz="6" w:space="0" w:color="auto"/>
              <w:bottom w:val="outset" w:sz="6" w:space="0" w:color="auto"/>
              <w:right w:val="outset" w:sz="6" w:space="0" w:color="auto"/>
            </w:tcBorders>
            <w:vAlign w:val="center"/>
            <w:hideMark/>
          </w:tcPr>
          <w:p w14:paraId="5FCCA6C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Эрхардт -Земмер</w:t>
            </w:r>
          </w:p>
        </w:tc>
        <w:tc>
          <w:tcPr>
            <w:tcW w:w="1134" w:type="dxa"/>
            <w:tcBorders>
              <w:top w:val="outset" w:sz="6" w:space="0" w:color="auto"/>
              <w:left w:val="outset" w:sz="6" w:space="0" w:color="auto"/>
              <w:bottom w:val="outset" w:sz="6" w:space="0" w:color="auto"/>
              <w:right w:val="outset" w:sz="6" w:space="0" w:color="auto"/>
            </w:tcBorders>
            <w:vAlign w:val="center"/>
            <w:hideMark/>
          </w:tcPr>
          <w:p w14:paraId="49264DF2"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D892536"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hideMark/>
          </w:tcPr>
          <w:p w14:paraId="716582D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Досрочное освоение иностранных технологий</w:t>
            </w:r>
          </w:p>
        </w:tc>
      </w:tr>
      <w:tr w:rsidR="00DA227A" w:rsidRPr="00E93F40" w14:paraId="11AA1A7E" w14:textId="77777777" w:rsidTr="00AA2AB7">
        <w:tc>
          <w:tcPr>
            <w:tcW w:w="0" w:type="auto"/>
            <w:tcBorders>
              <w:top w:val="outset" w:sz="6" w:space="0" w:color="auto"/>
              <w:left w:val="outset" w:sz="6" w:space="0" w:color="auto"/>
              <w:bottom w:val="outset" w:sz="6" w:space="0" w:color="auto"/>
              <w:right w:val="outset" w:sz="6" w:space="0" w:color="auto"/>
            </w:tcBorders>
            <w:vAlign w:val="center"/>
            <w:hideMark/>
          </w:tcPr>
          <w:p w14:paraId="0D3CECA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ВОМТ</w:t>
            </w:r>
          </w:p>
        </w:tc>
        <w:tc>
          <w:tcPr>
            <w:tcW w:w="2119" w:type="dxa"/>
            <w:tcBorders>
              <w:top w:val="outset" w:sz="6" w:space="0" w:color="auto"/>
              <w:left w:val="outset" w:sz="6" w:space="0" w:color="auto"/>
              <w:bottom w:val="outset" w:sz="6" w:space="0" w:color="auto"/>
              <w:right w:val="outset" w:sz="6" w:space="0" w:color="auto"/>
            </w:tcBorders>
            <w:vAlign w:val="center"/>
            <w:hideMark/>
          </w:tcPr>
          <w:p w14:paraId="754FA738"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Крупп-Грузенверк</w:t>
            </w:r>
          </w:p>
        </w:tc>
        <w:tc>
          <w:tcPr>
            <w:tcW w:w="1134" w:type="dxa"/>
            <w:tcBorders>
              <w:top w:val="outset" w:sz="6" w:space="0" w:color="auto"/>
              <w:left w:val="outset" w:sz="6" w:space="0" w:color="auto"/>
              <w:bottom w:val="outset" w:sz="6" w:space="0" w:color="auto"/>
              <w:right w:val="outset" w:sz="6" w:space="0" w:color="auto"/>
            </w:tcBorders>
            <w:vAlign w:val="center"/>
            <w:hideMark/>
          </w:tcPr>
          <w:p w14:paraId="0BCF0669"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0358F63"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hideMark/>
          </w:tcPr>
          <w:p w14:paraId="41CA8701" w14:textId="77777777" w:rsidR="00AA2AB7" w:rsidRPr="00E93F40" w:rsidRDefault="00AA2AB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Досрочное освоение иностранных технологий</w:t>
            </w:r>
          </w:p>
        </w:tc>
      </w:tr>
    </w:tbl>
    <w:p w14:paraId="45C7012E" w14:textId="77777777" w:rsidR="00AA2AB7" w:rsidRPr="00E93F40" w:rsidRDefault="00AA2AB7"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(17276).</w:t>
      </w:r>
    </w:p>
    <w:p w14:paraId="7E851E65" w14:textId="77777777" w:rsidR="00AA2AB7" w:rsidRPr="00E93F40" w:rsidRDefault="00AA2AB7" w:rsidP="00E93F40">
      <w:pPr>
        <w:autoSpaceDE w:val="0"/>
        <w:autoSpaceDN w:val="0"/>
        <w:adjustRightInd w:val="0"/>
        <w:spacing w:after="0" w:line="240" w:lineRule="auto"/>
        <w:jc w:val="both"/>
        <w:rPr>
          <w:rFonts w:ascii="Times New Roman" w:hAnsi="Times New Roman"/>
          <w:color w:val="000000" w:themeColor="text1"/>
          <w:sz w:val="16"/>
          <w:szCs w:val="16"/>
        </w:rPr>
      </w:pPr>
    </w:p>
    <w:p w14:paraId="53EBFC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 части территории завода им. Карла Маркса организован Государственный механический завод № 6 в ведении ВО морского судостроения (с 1933 г.- ГУСП, Главморпром) НКТП для производства торпедных аппаратов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В его состав включен «военный отдел» завода им. Карла Маркса как конструкторское подразделение. В 1934 г. переименован в ГС механический завод № 103. В 1937-39 г. - в ведении НКОП (в 07-12.1938 г. - 2ГУ), приказом № 136 от 11.04.1937 г. утвержден Устав завода. В 02.1939 г. передан из 2ГУ НКОП в ведение 1ГУ НКСП.</w:t>
      </w:r>
    </w:p>
    <w:p w14:paraId="1F54FF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1937 г. завод изготовлял судовые компрессоры, бронзовое литье для корабельных приборов управления стрельбой.</w:t>
      </w:r>
    </w:p>
    <w:p w14:paraId="1AD7D51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Зс от 2.01.1938 г. заводу поручено организовать производство приборов управления торпедной стрельбой ОБРИ и гидростатов с выпуском с 1.04.1938 г. 5 комплектов в месяц, для этого сюда должно было было быть передано соответствующее оборудование с завода № 212. Для реализации и внедрения на ВМФ изобретения Ф.И. Наумова пр. № 409сс от 23/25.10.1938 г. заводу поручено к 25.11.1938 г. изготовить и испытать 24 прибора Наумова для ПЛ. По решению правительства № 5270ко от 20.09.1938 г. и пр. № 437сс от 17.11.1938 г. заводу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65157F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w:t>
      </w:r>
    </w:p>
    <w:p w14:paraId="04D5F0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1942 г. завод № 103 эвакуирован на заводы № 231 и № 199, в Москву на площадку эвакуированного завода № 239,</w:t>
      </w:r>
      <w:r w:rsidRPr="00E93F40">
        <w:rPr>
          <w:rFonts w:ascii="Times New Roman" w:hAnsi="Times New Roman"/>
          <w:color w:val="000000" w:themeColor="text1"/>
          <w:sz w:val="16"/>
          <w:szCs w:val="16"/>
          <w:vertAlign w:val="superscript"/>
        </w:rPr>
        <w:t>61</w:t>
      </w:r>
      <w:r w:rsidRPr="00E93F40">
        <w:rPr>
          <w:rFonts w:ascii="Times New Roman" w:hAnsi="Times New Roman"/>
          <w:color w:val="000000" w:themeColor="text1"/>
          <w:sz w:val="16"/>
          <w:szCs w:val="16"/>
        </w:rPr>
        <w:t xml:space="preserve"> где образован новый завод № 709 НКСП. Часть завода № 103 продолжила действовать в Ленинграде (на 04.1943 г.). Производство боеприпасов, установок для </w:t>
      </w:r>
      <w:r w:rsidRPr="00E93F40">
        <w:rPr>
          <w:rFonts w:ascii="Times New Roman" w:hAnsi="Times New Roman"/>
          <w:color w:val="000000" w:themeColor="text1"/>
          <w:sz w:val="16"/>
          <w:szCs w:val="16"/>
          <w:lang w:val="en-US"/>
        </w:rPr>
        <w:t>PC</w:t>
      </w:r>
      <w:r w:rsidRPr="00E93F40">
        <w:rPr>
          <w:rFonts w:ascii="Times New Roman" w:hAnsi="Times New Roman"/>
          <w:color w:val="000000" w:themeColor="text1"/>
          <w:sz w:val="16"/>
          <w:szCs w:val="16"/>
        </w:rPr>
        <w:t xml:space="preserve"> М-13.</w:t>
      </w:r>
      <w:r w:rsidRPr="00E93F40">
        <w:rPr>
          <w:rFonts w:ascii="Times New Roman" w:hAnsi="Times New Roman"/>
          <w:color w:val="000000" w:themeColor="text1"/>
          <w:sz w:val="16"/>
          <w:szCs w:val="16"/>
          <w:vertAlign w:val="superscript"/>
        </w:rPr>
        <w:t>65</w:t>
      </w:r>
    </w:p>
    <w:p w14:paraId="1E8ACE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1946 г. завод - в ведении МСП, Управления судостроительной промышленности ЛенСНХ (1957-65 г.). 31.01.1966 г. завод № 103 переименован в Ленинградский государственный компрессорный завод в ведении ЗГУ МСП.</w:t>
      </w:r>
      <w:r w:rsidRPr="00E93F40">
        <w:rPr>
          <w:rFonts w:ascii="Times New Roman" w:hAnsi="Times New Roman"/>
          <w:color w:val="000000" w:themeColor="text1"/>
          <w:sz w:val="16"/>
          <w:szCs w:val="16"/>
          <w:vertAlign w:val="superscript"/>
        </w:rPr>
        <w:t>131</w:t>
      </w:r>
    </w:p>
    <w:p w14:paraId="4E2F9E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(1937 г.)- 2278 чел.</w:t>
      </w:r>
    </w:p>
    <w:p w14:paraId="13CF2C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И.О. директора (-15.02.1937 г.)- И. Г. Котошилов. Директор (15.02-20.08.1937 г.)- И. Г. Котошилов, (20.08.1937- 10.1938 г.-)-П.А. Рожков.</w:t>
      </w:r>
    </w:p>
    <w:p w14:paraId="0DE7DA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(8.03.1938 г.-)- Н.Т. Любашинский.</w:t>
      </w:r>
    </w:p>
    <w:p w14:paraId="12B9A4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(8.03.1938 г.-)- Н.Т. Любашинский.</w:t>
      </w:r>
    </w:p>
    <w:p w14:paraId="76F807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ППО (01.1938 г.)- Тарасов.</w:t>
      </w:r>
    </w:p>
    <w:p w14:paraId="244F8A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бюро: экономического планирования (01.1938 г.)- Иоффе.</w:t>
      </w:r>
    </w:p>
    <w:p w14:paraId="1A6E16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взрыватели для глубинных бомб (1939).</w:t>
      </w:r>
    </w:p>
    <w:p w14:paraId="0C514B84"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КБ завода № 103 НКОП</w:t>
      </w:r>
    </w:p>
    <w:p w14:paraId="25CAC9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Разработан трехтрубный надводный торпедный аппарат 1-Н (1938 г.) (11982).</w:t>
      </w:r>
    </w:p>
    <w:p w14:paraId="6F9DC5C4"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12B8DD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при новой верфи Морпогранохраны было организовано собственное конструкторское бюро, которое возглавил инженер А. И. Зворыкин. Под его руководством в бюро начались проработки пограничных и "единыех" катеров, се</w:t>
      </w:r>
      <w:r w:rsidRPr="00E93F40">
        <w:rPr>
          <w:rFonts w:ascii="Times New Roman" w:hAnsi="Times New Roman"/>
          <w:color w:val="000000" w:themeColor="text1"/>
          <w:sz w:val="16"/>
          <w:szCs w:val="16"/>
        </w:rPr>
        <w:softHyphen/>
        <w:t>рийное строительство которьк должно бьшо развернуться на новой верфи. Практически одновременно разрабатывались проекты кате</w:t>
      </w:r>
      <w:r w:rsidRPr="00E93F40">
        <w:rPr>
          <w:rFonts w:ascii="Times New Roman" w:hAnsi="Times New Roman"/>
          <w:color w:val="000000" w:themeColor="text1"/>
          <w:sz w:val="16"/>
          <w:szCs w:val="16"/>
        </w:rPr>
        <w:softHyphen/>
        <w:t>ров типов ГК (30 т), МО-1 (50 т, на базе проекта правительствен</w:t>
      </w:r>
      <w:r w:rsidRPr="00E93F40">
        <w:rPr>
          <w:rFonts w:ascii="Times New Roman" w:hAnsi="Times New Roman"/>
          <w:color w:val="000000" w:themeColor="text1"/>
          <w:sz w:val="16"/>
          <w:szCs w:val="16"/>
        </w:rPr>
        <w:softHyphen/>
        <w:t>ной яхты), МО-11 (50 т), МО-111 (55 т), БК (75 т). (Литеры проек</w:t>
      </w:r>
      <w:r w:rsidRPr="00E93F40">
        <w:rPr>
          <w:rFonts w:ascii="Times New Roman" w:hAnsi="Times New Roman"/>
          <w:color w:val="000000" w:themeColor="text1"/>
          <w:sz w:val="16"/>
          <w:szCs w:val="16"/>
        </w:rPr>
        <w:softHyphen/>
        <w:t>тов МО появились раньше литерно-цифровых обозначений кораб</w:t>
      </w:r>
      <w:r w:rsidRPr="00E93F40">
        <w:rPr>
          <w:rFonts w:ascii="Times New Roman" w:hAnsi="Times New Roman"/>
          <w:color w:val="000000" w:themeColor="text1"/>
          <w:sz w:val="16"/>
          <w:szCs w:val="16"/>
        </w:rPr>
        <w:softHyphen/>
        <w:t>лей этого класса, поскольку первым "малым охотником" в составе флота стал истребитель типа "Никсон" постройки 1906 г., который получил 10 мая 1939 г. обозначение МО-351). Из всех разработанных проектов в серию пошел только МО-11, по которому в 1934—1936 гг. бьшо построено более 30 погранич</w:t>
      </w:r>
      <w:r w:rsidRPr="00E93F40">
        <w:rPr>
          <w:rFonts w:ascii="Times New Roman" w:hAnsi="Times New Roman"/>
          <w:color w:val="000000" w:themeColor="text1"/>
          <w:sz w:val="16"/>
          <w:szCs w:val="16"/>
        </w:rPr>
        <w:softHyphen/>
        <w:t>ных катеров, поступивших на вооружение морских погранотрядов НКВД. По другим проектам в те же годы строились только единич</w:t>
      </w:r>
      <w:r w:rsidRPr="00E93F40">
        <w:rPr>
          <w:rFonts w:ascii="Times New Roman" w:hAnsi="Times New Roman"/>
          <w:color w:val="000000" w:themeColor="text1"/>
          <w:sz w:val="16"/>
          <w:szCs w:val="16"/>
        </w:rPr>
        <w:softHyphen/>
        <w:t>ные корабли. Пограничный катер типа МО-11 имел смешанную конструк</w:t>
      </w:r>
      <w:r w:rsidRPr="00E93F40">
        <w:rPr>
          <w:rFonts w:ascii="Times New Roman" w:hAnsi="Times New Roman"/>
          <w:color w:val="000000" w:themeColor="text1"/>
          <w:sz w:val="16"/>
          <w:szCs w:val="16"/>
        </w:rPr>
        <w:softHyphen/>
        <w:t>цию корпуса: стальные рамные шпангоуты, деревянные стрингеры и трехслойную сосновую обшивку. При водоизмещении около 50 т (главные размерения 26,2 х 3,85 х 1,5 м) и суммарной мощности трех двигателей ГАМ-34 2250 л. с. катер развивал скорость до 26 уз. На вооружении он имел два 45-мм полуавтомата и два 12,7-мм пулемета, а при необходимости мог принимать на борт глубинные бомбы и четыре мины. Катера отвечали требованиям Морпогранохраны, но с точки зрения военных моряков, были слабо вооружены и, главное, не имели средств обнаружения подводных лодок. Кроме того, опыт эксплуатации этих катеров выявил недостаточную надежность их электрооборудования и недостатки в системе подачи топлива к двигателям. Высокий борт и острые обводы ухудшали остойчи</w:t>
      </w:r>
      <w:r w:rsidRPr="00E93F40">
        <w:rPr>
          <w:rFonts w:ascii="Times New Roman" w:hAnsi="Times New Roman"/>
          <w:color w:val="000000" w:themeColor="text1"/>
          <w:sz w:val="16"/>
          <w:szCs w:val="16"/>
        </w:rPr>
        <w:softHyphen/>
        <w:t>вость катеров. Все это не позволило принять эти корабли на воору</w:t>
      </w:r>
      <w:r w:rsidRPr="00E93F40">
        <w:rPr>
          <w:rFonts w:ascii="Times New Roman" w:hAnsi="Times New Roman"/>
          <w:color w:val="000000" w:themeColor="text1"/>
          <w:sz w:val="16"/>
          <w:szCs w:val="16"/>
        </w:rPr>
        <w:softHyphen/>
        <w:t>жение ВМС РККА и потребовало разработки нового улучшенного проекта малого охотника (3898).</w:t>
      </w:r>
    </w:p>
    <w:p w14:paraId="591178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E43E6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Ленкомнабом под руководством председателя инженера-механика Б. Е. Алякрицкого и корабельного инженера С. Н. Благовещенского был составлен эскизный проект перестрой</w:t>
      </w:r>
      <w:r w:rsidRPr="00E93F40">
        <w:rPr>
          <w:rFonts w:ascii="Times New Roman" w:hAnsi="Times New Roman"/>
          <w:color w:val="000000" w:themeColor="text1"/>
          <w:sz w:val="16"/>
          <w:szCs w:val="16"/>
        </w:rPr>
        <w:softHyphen/>
        <w:t>ки "Фрунзе" в "линейный крейсер". Суть проекта заключалась в от</w:t>
      </w:r>
      <w:r w:rsidRPr="00E93F40">
        <w:rPr>
          <w:rFonts w:ascii="Times New Roman" w:hAnsi="Times New Roman"/>
          <w:color w:val="000000" w:themeColor="text1"/>
          <w:sz w:val="16"/>
          <w:szCs w:val="16"/>
        </w:rPr>
        <w:softHyphen/>
        <w:t>казе от одной из 12-дюймовых башен с линейно-возвышенным размещением двух башен в носовой части. Упразднялись также но</w:t>
      </w:r>
      <w:r w:rsidRPr="00E93F40">
        <w:rPr>
          <w:rFonts w:ascii="Times New Roman" w:hAnsi="Times New Roman"/>
          <w:color w:val="000000" w:themeColor="text1"/>
          <w:sz w:val="16"/>
          <w:szCs w:val="16"/>
        </w:rPr>
        <w:softHyphen/>
        <w:t>совой и кормовой 120-мм казематы, а в средних орудия заменя</w:t>
      </w:r>
      <w:r w:rsidRPr="00E93F40">
        <w:rPr>
          <w:rFonts w:ascii="Times New Roman" w:hAnsi="Times New Roman"/>
          <w:color w:val="000000" w:themeColor="text1"/>
          <w:sz w:val="16"/>
          <w:szCs w:val="16"/>
        </w:rPr>
        <w:softHyphen/>
        <w:t>лись на 130-мм. Сооружение нового центрального каземата на вер</w:t>
      </w:r>
      <w:r w:rsidRPr="00E93F40">
        <w:rPr>
          <w:rFonts w:ascii="Times New Roman" w:hAnsi="Times New Roman"/>
          <w:color w:val="000000" w:themeColor="text1"/>
          <w:sz w:val="16"/>
          <w:szCs w:val="16"/>
        </w:rPr>
        <w:softHyphen/>
        <w:t>хней палубе доводило общее число 130-мм орудий до 16. Зенитное вооружение предполагалось из шести 100-мм и четырех 37-мм орудий. Авиавооружение включало три гидросамолета (два из них хранились в ангаре) и катапульту.</w:t>
      </w:r>
    </w:p>
    <w:p w14:paraId="5DE204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Применение четырех котлов и четырех турбин "миноносного типа", по мнению авторов проекта, обеспечивало скорость не менее 25 уз при мощности 88 000 л. с. и водоизмещении 26 000 т.</w:t>
      </w:r>
    </w:p>
    <w:p w14:paraId="42C10C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 в тактическом отношении представлял значительный интерес, но требовал перестройки почти всего корабля. Средства были отпущены программой 1933 г., но дальнейшая разработка и реализация проекта были сорваны из-за сосредоточения усилий промышленности на новыхкораблях и модернизации "Парижской коммуны". Корпус "Фрунзе" ржавел на плаву до самой войны, а его механизмы и орудия были использованы на других линкорах и бе</w:t>
      </w:r>
      <w:r w:rsidRPr="00E93F40">
        <w:rPr>
          <w:rFonts w:ascii="Times New Roman" w:hAnsi="Times New Roman"/>
          <w:color w:val="000000" w:themeColor="text1"/>
          <w:sz w:val="16"/>
          <w:szCs w:val="16"/>
        </w:rPr>
        <w:softHyphen/>
        <w:t>реговых батареях (3898).</w:t>
      </w:r>
    </w:p>
    <w:p w14:paraId="02F95A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30E9E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по инициативе начальника строящейся верфи ОГПУ Д.Л. Блинова было организовано КБ для проектирования катеров Морпогранохраны, а затем и для ВМФ (КБ судостроительной верфи ОГПУ, завода № 5 НКВД, ОКБ-5 НКВД /г. Ленинград ул. Уральская, 19/). Сюда были переданы из ОКТБ-2 НКВД работы по катерам ГК и «единому сторожевому катеру-охотнику за ПЛ». Вместо неудачного «единого катера» был разработан проект малого охотника МО (В.И. Тягунов). В 1936 г. создан улучшенный вариант МО-4 (С.В. Пугавко). В 1935 г. выдано задание на создание пограничного катера для Дальнего Востока на базе промыслового судна Главвостокрыбпрома. В 1937 г. под руководством начальника проектной группы Л.Л. Ермаша, перешедшего с завода № 194, начато проектирование деревянных торпедных катеров.</w:t>
      </w:r>
    </w:p>
    <w:p w14:paraId="52D32B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1941 г. после начала войны часть сотрудников КБ под руководством Л.Л. Ермаша эвакуирована в Сосновку на завод № 640, где был организован филиал ЦКБ-32 НКСП; часть конструктором под руководством Е.И. Юхнина - в Тюмень на завод № 639. Оставшаяся часть КБ подолжила работу. Были разработаны: проект переоборудования катера Д-3 в малый охотник МО-ДЗ; грузовые самоходные тендеры с корпусами из плоских секций, изготавливаемых из выгородок недостроенных крейсеров пр. 68 и 69.</w:t>
      </w:r>
    </w:p>
    <w:p w14:paraId="0A3D79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большое количество личного состава вернулось из эвакуации. Продолжены работы по пр. ТМ-200, ТД-200, ТД-200бис и ОД-200бис. Работали заключенные и вольнонаемные кораблестроители.</w:t>
      </w:r>
    </w:p>
    <w:p w14:paraId="735BF4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1949г. на базе 16-весельного бортового баркаса Кронштадского морского завода создан моторный баркас БМ-16.</w:t>
      </w:r>
    </w:p>
    <w:p w14:paraId="29CB16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(1933г.)- 60 чел.</w:t>
      </w:r>
    </w:p>
    <w:p w14:paraId="6F3823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(1932-35г.-)- А.К. Зворыкин (репрессирован), Н.М. Ухин, (ВОВ)- Л.Л. Ермаш (одновременно был зам. начальника филиала ЦКБ-32 по проектированию).</w:t>
      </w:r>
      <w:r w:rsidRPr="00E93F40">
        <w:rPr>
          <w:rFonts w:ascii="Times New Roman" w:hAnsi="Times New Roman"/>
          <w:color w:val="000000" w:themeColor="text1"/>
          <w:sz w:val="16"/>
          <w:szCs w:val="16"/>
          <w:vertAlign w:val="superscript"/>
        </w:rPr>
        <w:t>61</w:t>
      </w:r>
      <w:r w:rsidRPr="00E93F40">
        <w:rPr>
          <w:rFonts w:ascii="Times New Roman" w:hAnsi="Times New Roman"/>
          <w:color w:val="000000" w:themeColor="text1"/>
          <w:sz w:val="16"/>
          <w:szCs w:val="16"/>
        </w:rPr>
        <w:t>.</w:t>
      </w:r>
    </w:p>
    <w:p w14:paraId="57A867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(1935г.)- А.И. Зворыкин (МО-2), (1939-41 г.-)- Л.Л. Ермаш, (1948-49г.)- П.Г. Гойнкис {1.11.1889-62}.</w:t>
      </w:r>
    </w:p>
    <w:p w14:paraId="7296A0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(1948-49г.)- П.Г. Гойнкис.</w:t>
      </w:r>
    </w:p>
    <w:p w14:paraId="17868EF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конструкторы: (1936-39г.)- Л.Л. Ермаш (МО-4, МКД-2, -3, Д-3, Д-4), (1930-е)- С.В. Пугавко (КМ-4), (1941 г.)- Д.А. Черногуз (МО-ДЗ).</w:t>
      </w:r>
    </w:p>
    <w:p w14:paraId="2027E3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Создано: катера: охотники за ПЛ: МО-2 (1934), МО-3, МО-4 (1936), малые МО-6 (1941), МО-ДЗ (1942); торпедные ТДК-1 (1937), ТДК-2, МКД-2, -3, Д-2 (1939), пр. </w:t>
      </w:r>
      <w:r w:rsidRPr="00E93F40">
        <w:rPr>
          <w:rFonts w:ascii="Times New Roman" w:hAnsi="Times New Roman"/>
          <w:color w:val="000000" w:themeColor="text1"/>
          <w:sz w:val="16"/>
          <w:szCs w:val="16"/>
          <w:lang w:val="en-US"/>
        </w:rPr>
        <w:t>II</w:t>
      </w:r>
      <w:r w:rsidRPr="00E93F40">
        <w:rPr>
          <w:rFonts w:ascii="Times New Roman" w:hAnsi="Times New Roman"/>
          <w:color w:val="000000" w:themeColor="text1"/>
          <w:sz w:val="16"/>
          <w:szCs w:val="16"/>
        </w:rPr>
        <w:t xml:space="preserve">-19 (Д-3, ТДК-3, 1938, пнв в 1941 г.), ТДК-4 (1940), пр. </w:t>
      </w:r>
      <w:r w:rsidRPr="00E93F40">
        <w:rPr>
          <w:rFonts w:ascii="Times New Roman" w:hAnsi="Times New Roman"/>
          <w:color w:val="000000" w:themeColor="text1"/>
          <w:sz w:val="16"/>
          <w:szCs w:val="16"/>
          <w:lang w:val="en-US"/>
        </w:rPr>
        <w:t>II</w:t>
      </w:r>
      <w:r w:rsidRPr="00E93F40">
        <w:rPr>
          <w:rFonts w:ascii="Times New Roman" w:hAnsi="Times New Roman"/>
          <w:color w:val="000000" w:themeColor="text1"/>
          <w:sz w:val="16"/>
          <w:szCs w:val="16"/>
        </w:rPr>
        <w:t>-23 (Д-4, 1940); сторожевые пограничные: БК, для Дальнего Востока «Кунгас-кавасаки» (1935), КМ-4 (1935), БКМ-2, десантный К-ЗИС-5, правительственная яхта МО-1 (1930-е), представительский катер ГК-4 (1941); баркас моторный БМ-16 (1949) (11982).</w:t>
      </w:r>
    </w:p>
    <w:p w14:paraId="3555B8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489E0F1" w14:textId="467A6B8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основная часть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Ленинград ул. Герцена, ул. Красной Связи;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Москва (1937 г.)/)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 (11982).</w:t>
      </w:r>
    </w:p>
    <w:p w14:paraId="28873C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733F6E9" w14:textId="77777777" w:rsidR="00A159F2" w:rsidRPr="00E93F40" w:rsidRDefault="00A159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основная часть Остехбюро была переведена в Подмосковье на железнодорожную станцию Подлипки. (эта ее часть выделилась в КБ-29.) Ну а здания, порты и аэродромы Остехбюро в Ленинграде и области стали использоваться только для работ по морской тематике конторы. Вскоре Остехбюро была передана усадьба мультимиллионера фон Дервиза в Москве по адресу Садовая-Черногрязская ул., д. 6. После там обосновалось НИИ-20 (15117).</w:t>
      </w:r>
    </w:p>
    <w:p w14:paraId="4F942734" w14:textId="77777777" w:rsidR="00A159F2" w:rsidRPr="00E93F40" w:rsidRDefault="00A159F2" w:rsidP="00E93F40">
      <w:pPr>
        <w:spacing w:after="0" w:line="240" w:lineRule="auto"/>
        <w:jc w:val="both"/>
        <w:rPr>
          <w:rFonts w:ascii="Times New Roman" w:hAnsi="Times New Roman"/>
          <w:color w:val="000000" w:themeColor="text1"/>
          <w:sz w:val="16"/>
          <w:szCs w:val="16"/>
        </w:rPr>
      </w:pPr>
    </w:p>
    <w:p w14:paraId="01B0D89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было организовано КБ Артиллерийской академии Во исполнение решения правительства № 2521/ко от 29.05.1938 г. приказом НКОПУАУ РККА № 193с от 1/2.06.1938 г. ОКБ инженера Кондакова со всем личным составом и оборудованием передано из АУ РККА НКО в ведение ЗГУ НКОП и переименовано в ОКБ-43. В 02.1939 г. ОКБ-43 ЗГУ передано в ведение ЗГУ НКВ.</w:t>
      </w:r>
    </w:p>
    <w:p w14:paraId="78713B58" w14:textId="7F83CDBA"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Вначале работами в КБ руководили Н.Н. Кондаков и А.А. Толочков, в середине 1930-х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Толочков ушел из КБ.</w:t>
      </w:r>
    </w:p>
    <w:p w14:paraId="2AFE84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 № 242сс от 13.07.1938 г. 5 конструкторов ОКБ переведено в КБ завода № 232.</w:t>
      </w:r>
    </w:p>
    <w:p w14:paraId="013971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12.1932 г. Кондаковым и А.А. Толочковым разработан проект 37-мм авиационной пушки АКТ-2. На его базе Кондаковым созданы пушки АКТ-37 и ААК-37, первая из которых была выпущена малой серией.</w:t>
      </w:r>
    </w:p>
    <w:p w14:paraId="13B7E1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 ЗГУ № 135 от 31.07.1938 г. ОКБ поручено к 7.08.1938 г. дать заключение по улучшению системы «7-2» разработки завода № 7. Этим же приказом в ОКБ создана конструкторская группа для работ по системе Ф-22, для чего сюда с завода № 8 командированы конструкторы Райков и Клингерт.</w:t>
      </w:r>
    </w:p>
    <w:p w14:paraId="10476C86" w14:textId="66941C79"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спроектированы десятки автоматических авиационных, зенитных и противотанковых пушек, в т.ч. динамореактивных (ДРП). В 1938 г. работы по ДРП закрыты (из-за дискредитировавшего это направление Курчевского), вновь возобновлены в 1943 г.</w:t>
      </w:r>
    </w:p>
    <w:p w14:paraId="1F1B0D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99сс от 11.07.1941 г. ОКБ-43 НКВ подлежало эвакуации в Йошкар-Олу в помещения Поволжского лесотехнического института.</w:t>
      </w:r>
    </w:p>
    <w:p w14:paraId="6BE1241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1943 г. совместно с НИИ-48 проведены исследования по экранированию танка Т-34 железобетоном.</w:t>
      </w:r>
    </w:p>
    <w:p w14:paraId="3732D7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4154 от 17.09.1943 г. начата разработка авиационной ДРП-76.</w:t>
      </w:r>
    </w:p>
    <w:p w14:paraId="348891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25.02.1945 г. выдано задание на проектирование 25-мм спаренного зенитного автомата 2М-3.</w:t>
      </w:r>
    </w:p>
    <w:p w14:paraId="7648F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Сюда в 1953 г. переведена часть освобожденных сотрудников из расформированного артиллерийского ОТБ МВД.</w:t>
      </w:r>
    </w:p>
    <w:p w14:paraId="687AECD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1953 г. ОКБ принимало участие в разработке (вместе с ОКБ-172) 130-мм морской артустановки 2М-110. В 1953 г. </w:t>
      </w:r>
      <w:r w:rsidRPr="00E93F40">
        <w:rPr>
          <w:rFonts w:ascii="Times New Roman" w:hAnsi="Times New Roman"/>
          <w:color w:val="000000" w:themeColor="text1"/>
          <w:sz w:val="16"/>
          <w:szCs w:val="16"/>
          <w:lang w:val="en-US"/>
        </w:rPr>
        <w:t>CKiffa</w:t>
      </w:r>
      <w:r w:rsidRPr="00E93F40">
        <w:rPr>
          <w:rFonts w:ascii="Times New Roman" w:hAnsi="Times New Roman"/>
          <w:color w:val="000000" w:themeColor="text1"/>
          <w:sz w:val="16"/>
          <w:szCs w:val="16"/>
        </w:rPr>
        <w:t xml:space="preserve"> переданы работы по 25-мм 4-ствольной установке 4М-120.</w:t>
      </w:r>
    </w:p>
    <w:p w14:paraId="4EDC8B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ПСМ № 2362-1125сс от 25.11.1954 г. установка 2М-8 пнв.</w:t>
      </w:r>
    </w:p>
    <w:p w14:paraId="7DE2C1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1954-56 г. спроектированы 100-мм (И-100) и 130-мм башенные установки для укрепрайонов. Велись работы над орудиями с криволинейным стволом для укрепрайонов.</w:t>
      </w:r>
    </w:p>
    <w:p w14:paraId="7F196EC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1953 г. ОКБ-43 - в ведении МОП. В 1961 г. ОКБ-43 ликвидировано, тематика и личный состав переданы в ЦКБ-34.</w:t>
      </w:r>
    </w:p>
    <w:p w14:paraId="0DBABD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(1932-54 г.)- М.Н. Кондаков.</w:t>
      </w:r>
    </w:p>
    <w:p w14:paraId="500E4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(1949 г.)- С. Харыкин.</w:t>
      </w:r>
    </w:p>
    <w:p w14:paraId="4FDE10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Создано: пушки: 37-мм зенитная АКТ-37 (1937), авиационная ААК-37; 45-мм казематная установка ДОТ-4 (1941); 45-мм башенная установка БУР-45 (1941); корабельные зенитные артустановки: У-23, 2-У-23, 4-У-23 (1944), 25-мм спаренная 2М-3 с автоматами 110-ПМ (1945-49), 2М-ЗМ, 25-мм 2М-8 для ПЛ (пнв 25.11.1954 </w:t>
      </w:r>
      <w:r w:rsidRPr="00E93F40">
        <w:rPr>
          <w:rFonts w:ascii="Times New Roman" w:hAnsi="Times New Roman"/>
          <w:color w:val="000000" w:themeColor="text1"/>
          <w:sz w:val="16"/>
          <w:szCs w:val="16"/>
        </w:rPr>
        <w:lastRenderedPageBreak/>
        <w:t xml:space="preserve">г.), АК-230 с пушкой НН-30 (291П) (1956, пнв в 1962 г.), 30-мм спаренная установка </w:t>
      </w:r>
      <w:r w:rsidRPr="00E93F40">
        <w:rPr>
          <w:rFonts w:ascii="Times New Roman" w:hAnsi="Times New Roman"/>
          <w:color w:val="000000" w:themeColor="text1"/>
          <w:sz w:val="16"/>
          <w:szCs w:val="16"/>
          <w:lang w:val="en-US"/>
        </w:rPr>
        <w:t>KJI</w:t>
      </w:r>
      <w:r w:rsidRPr="00E93F40">
        <w:rPr>
          <w:rFonts w:ascii="Times New Roman" w:hAnsi="Times New Roman"/>
          <w:color w:val="000000" w:themeColor="text1"/>
          <w:sz w:val="16"/>
          <w:szCs w:val="16"/>
        </w:rPr>
        <w:t>-302 (1950-е); авиационные ДРП: 37-мм АРКОН (автоматическая реактивная Кондакова, 1936), ГК-37 (1936), 45-мм ГК-45 (1936), 76-мм ДРП-76 (1949) (11982).</w:t>
      </w:r>
    </w:p>
    <w:p w14:paraId="15337620"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72476DF5" w14:textId="57EEF466"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заводу (ГС завод № 178 НКСП, НКТП, Кулебакский горный завод, Кулебакский металлургический завод НКТП, ГС Кулебакский завод им. С.М. Кирова НКОП, НКСП, ОАО «Кулебакский металлургический завод» (КМЗ) /670010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Кулебаки Нижегородской обл. ул. Восстания, 1 тел. 32-288/) поручено производство танковой брони. В 12.1936 г. Кулебакский металлургический завод передан из Спцстали НКТП в НКОП, в 04.1937 г. - в ведении 7ГУ. В 02.1939 г. передан из 7ГУ НКОП в ведение </w:t>
      </w:r>
      <w:r w:rsidRPr="00E93F40">
        <w:rPr>
          <w:rFonts w:ascii="Times New Roman" w:hAnsi="Times New Roman"/>
          <w:color w:val="000000" w:themeColor="text1"/>
          <w:sz w:val="16"/>
          <w:szCs w:val="16"/>
          <w:lang w:val="en-US"/>
        </w:rPr>
        <w:t>HKCII</w:t>
      </w:r>
      <w:r w:rsidRPr="00E93F40">
        <w:rPr>
          <w:rFonts w:ascii="Times New Roman" w:hAnsi="Times New Roman"/>
          <w:color w:val="000000" w:themeColor="text1"/>
          <w:sz w:val="16"/>
          <w:szCs w:val="16"/>
        </w:rPr>
        <w:t>, далее - в его ЗГУ. Пост. СНК № 2059 от 11.09.1941 г. передан из НКСП в НКТП.</w:t>
      </w:r>
      <w:r w:rsidRPr="00E93F40">
        <w:rPr>
          <w:rFonts w:ascii="Times New Roman" w:hAnsi="Times New Roman"/>
          <w:color w:val="000000" w:themeColor="text1"/>
          <w:sz w:val="16"/>
          <w:szCs w:val="16"/>
          <w:vertAlign w:val="superscript"/>
        </w:rPr>
        <w:t>61</w:t>
      </w:r>
    </w:p>
    <w:p w14:paraId="395243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Приказом № 0072 от 10.04.1937 г. утверждены капработы по заводу на 1937 г.: ввести в эксплуатацию: два газогенератора и чиперную установку, одну печь для термообработки танковой брони, новую котельную. В составе завода цехи (1937 г.): мартеновский, листопрокатный, листоотделочный, сортопрокатный, бандажный. Пост. СНК № 163сс от 22.10.1937 г. и приказом № 00237 от 5.11.1937 г. заводу предписано создать мощности по выпуску к 1.01.1938 г. 13 тыс. т танковых бронелистов, а к 1.12.1937 г. -40 тыс. т.</w:t>
      </w:r>
    </w:p>
    <w:p w14:paraId="23E1E9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1сс от 1.07.1941 г. начат выпуск бронелистов для танков Т-34. В годы войны выпускал траки для танков Т-34. Работы по корабельной броне (1942 г.).</w:t>
      </w:r>
      <w:r w:rsidRPr="00E93F40">
        <w:rPr>
          <w:rFonts w:ascii="Times New Roman" w:hAnsi="Times New Roman"/>
          <w:color w:val="000000" w:themeColor="text1"/>
          <w:sz w:val="16"/>
          <w:szCs w:val="16"/>
          <w:vertAlign w:val="superscript"/>
        </w:rPr>
        <w:t>61</w:t>
      </w:r>
      <w:r w:rsidRPr="00E93F40">
        <w:rPr>
          <w:rFonts w:ascii="Times New Roman" w:hAnsi="Times New Roman"/>
          <w:color w:val="000000" w:themeColor="text1"/>
          <w:sz w:val="16"/>
          <w:szCs w:val="16"/>
        </w:rPr>
        <w:t xml:space="preserve"> В 1943 г.- в ведении НКТП. С 1953 г.- основной поставщик кольцевых заготовок из высоколегированных сталей для авиакосмической и судостроительной промышленности.</w:t>
      </w:r>
    </w:p>
    <w:p w14:paraId="2CD1BA9A" w14:textId="22A24BF3"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1992 г. завод акционирован и преобразован в АО. В 2000-х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входит в холдинг НПО «Авиатехнология».</w:t>
      </w:r>
    </w:p>
    <w:p w14:paraId="04F07A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(2002 г.): стальной листовой прокат, кольцевые заготовки из сталей, никелевых и титановых сплавов, тюбинги.</w:t>
      </w:r>
    </w:p>
    <w:p w14:paraId="18A55C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Имеет филиал (2002 г.)- ООО «Завод «Старт».</w:t>
      </w:r>
    </w:p>
    <w:p w14:paraId="1ACFF9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(2002 г.)- 7896 чел.</w:t>
      </w:r>
    </w:p>
    <w:p w14:paraId="37B3152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(-1937 г.)- В.Н. Мазурин ; и.о. (1.02-4.07.1937 г.)- Д.В. Порхачев (снят); (4.07.1937-9.08.1938 г.)- С.К. Рабинович, (9.08.1938 г.-)- А.А. Байчер, (05.1941 г.)- Скиба. Гендиректор (-1998-2002 г.-)- Е.В. Никонов</w:t>
      </w:r>
      <w:r w:rsidRPr="00E93F40">
        <w:rPr>
          <w:rFonts w:ascii="Times New Roman" w:hAnsi="Times New Roman"/>
          <w:color w:val="000000" w:themeColor="text1"/>
          <w:sz w:val="16"/>
          <w:szCs w:val="16"/>
          <w:vertAlign w:val="superscript"/>
        </w:rPr>
        <w:t>49</w:t>
      </w:r>
      <w:r w:rsidRPr="00E93F40">
        <w:rPr>
          <w:rFonts w:ascii="Times New Roman" w:hAnsi="Times New Roman"/>
          <w:color w:val="000000" w:themeColor="text1"/>
          <w:sz w:val="16"/>
          <w:szCs w:val="16"/>
        </w:rPr>
        <w:t>, (1998- 01.2004 г.)- Н. Рябыкин, (09.2005 г.-)- А. Конюхов.</w:t>
      </w:r>
    </w:p>
    <w:p w14:paraId="6C3EFA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директора (19.07-08.1938 г.)- А.А. Байчер.</w:t>
      </w:r>
    </w:p>
    <w:p w14:paraId="471A9E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(9.10.1938 г.-)- А.Е. Нышта, (2002 г.)- С.Н. Волков.</w:t>
      </w:r>
    </w:p>
    <w:p w14:paraId="633648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гендиректора: по коммерции (2002 г.)- Е.П. Самарин; по экономике (2002 г.)- В.Н. Цой; по производству (2002 г.)- В.П. Самарин (11982).</w:t>
      </w:r>
    </w:p>
    <w:p w14:paraId="348F1AF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10A7B2D" w14:textId="3C72317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начато строительство завода «Двигательстрой» (ГС завод № 182 НКОП, НКСП, МТиТМ, МСП, Завод «Двигательстрой» НКТП /Дагестанская АССР</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Махач-Кала п/я 1 (1936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Алма-Ата/), срок пуска установлен 07.1935 г. (на 1.01.1937 г. еще строился). К 1933 г. завод вошел в состав Орударса НКТП, в 1934 г. переподчинен непосредственно ГВМУ НКТП. В 1936 г. вошел в состав ГУВП НКТП, в 12.1936 г. передан в НКОП. По пр. № Обсс от 30.12.1936 г. «Двигательстрой» переименован в завод № 182. Приказом НКОП № 100 от 16.03.1937 г. утвержден Устав ГС завода № 182, в 05.1937 г. - в ведении ЗГУ, по пр. № 0214 от 26.09.1937 г. передан в ведение вновь созданного 17ГУ. В 02.1939 г. из 17ГУ передан в ведение НКСП.</w:t>
      </w:r>
    </w:p>
    <w:p w14:paraId="3A245A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составе завода цехи (1936 г.): № 1- механосборочный, 2, 3, 5- инструментальный, 10- деревообделочный, 11- ремонтно-механический, 12, 24. На 1.01.1937 г. цеха № 1, 5, 10 и 11 пущены в эксплуатацию. Приказом № 00102 от 8.05.1937 г. предписывалось ввести в эксплуатацию в 1937 г. стационарную и плавучую пристрелочные станции, ТЭЦ и завод в целом. Стационарная станция - в море в 2 км от завода. Пр. № 68сс от 26.02.1938 г. требовалось ввести в эксплуатацию в 3-м квартале пристрелочную станцию завода; на завод направлено 20 молодых специалистов, 25 чел. с заводов НКМ и 300 рабочих. По пр. НКОП/НКВМФ № 412с от 25/27.10.1938 г. была создана комиссия для проверки необходимости постройки дополнительной базы к плавучей пристрелочной станции завода в районе мыса Гаусан ( г. Баку).</w:t>
      </w:r>
    </w:p>
    <w:p w14:paraId="1FAE8CE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Проектная мощность завода - 2000 торпед Д-4 в год. План на 1937 г. - 150 торпед. Приказом № 68сс заводу предписано прекратить изготовление торпед Т-533 (которая была признана «вредительской конструкцией») для освоения выпуска торпеды Т-53-38. Во исполнение постановления СНК № 202сс от 9.08.1938 г. пр. № 349сс от 3/4.09.1938 г. заводу установлен план сдачи торпед 53-38 на 07-12.1938 г. - 200 шт. (изготовлено в 1938 г. 13 шт.). По решению правительства № 7008ко от 17.12.1938 г. и пр. № 477сс от 28/29.12.1938 г. на завод переведено 200 квалифицированных рабочих с заводов №31, 65, 183,203,198,218, 173,212,2,213,230, 70, 16,18, 221,60 и 73.</w:t>
      </w:r>
    </w:p>
    <w:p w14:paraId="065F2F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895 от 13.11.1941 г. на заводе № 182 НКСП организовано производство 50-мм минометов и ППШ.</w:t>
      </w:r>
    </w:p>
    <w:p w14:paraId="0CACA3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Махачкалу в конце 1941 г. эвакуированы: завод № 175 НКСП; часть феодосийского филиала завода № 181 НКСП; часть ОКБ завода № 231 НКСП, образовав ОКБ-182. Продолжены работы по торпедам.</w:t>
      </w:r>
    </w:p>
    <w:p w14:paraId="560EF2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20.08.1942 г. вышло постановление ГКО № 2193 об эвакуации оборудования и кадров торпедо-минного производства завода № 182 НКСП; завод эвакуирован в Алма-Ату на завод № 175 (основная часть) и в Петропавловск.</w:t>
      </w:r>
      <w:r w:rsidRPr="00E93F40">
        <w:rPr>
          <w:rFonts w:ascii="Times New Roman" w:hAnsi="Times New Roman"/>
          <w:color w:val="000000" w:themeColor="text1"/>
          <w:sz w:val="16"/>
          <w:szCs w:val="16"/>
          <w:vertAlign w:val="superscript"/>
        </w:rPr>
        <w:t>61</w:t>
      </w:r>
    </w:p>
    <w:p w14:paraId="168247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29.01.1943 г. вышло постановление ГКО №2794 о мерах по восстановлению завода № 182 НКСП.</w:t>
      </w:r>
    </w:p>
    <w:p w14:paraId="1EF9E3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годы ВОВ- производство дизелей; торпед 53-39 (1943). В 1942 г. выпущена опытная партия мин АМД-500 и АМД-1000.</w:t>
      </w:r>
      <w:r w:rsidRPr="00E93F40">
        <w:rPr>
          <w:rFonts w:ascii="Times New Roman" w:hAnsi="Times New Roman"/>
          <w:color w:val="000000" w:themeColor="text1"/>
          <w:sz w:val="16"/>
          <w:szCs w:val="16"/>
          <w:vertAlign w:val="superscript"/>
        </w:rPr>
        <w:t>61</w:t>
      </w:r>
      <w:r w:rsidRPr="00E93F40">
        <w:rPr>
          <w:rFonts w:ascii="Times New Roman" w:hAnsi="Times New Roman"/>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739E6D9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Участвовал в работах по РАТ-52; патроны ФКПС с фосфором (1959 г.). Производство П-35, КСЩ.</w:t>
      </w:r>
    </w:p>
    <w:p w14:paraId="1FDEBBA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3ED1DD4B" w14:textId="44FED44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Г. Г. Лещинский. Помощник директора по найму и увольнению (14.08.1938 г.-)- </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w:t>
      </w:r>
      <w:r w:rsidRPr="00E93F40">
        <w:rPr>
          <w:rFonts w:ascii="Times New Roman" w:hAnsi="Times New Roman"/>
          <w:color w:val="000000" w:themeColor="text1"/>
          <w:sz w:val="16"/>
          <w:szCs w:val="16"/>
          <w:lang w:val="en-US"/>
        </w:rPr>
        <w:t>M</w:t>
      </w:r>
      <w:r w:rsidRPr="00E93F40">
        <w:rPr>
          <w:rFonts w:ascii="Times New Roman" w:hAnsi="Times New Roman"/>
          <w:color w:val="000000" w:themeColor="text1"/>
          <w:sz w:val="16"/>
          <w:szCs w:val="16"/>
        </w:rPr>
        <w:t>. Толмачев.</w:t>
      </w:r>
    </w:p>
    <w:p w14:paraId="142368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(7-25.09.193 7 г.)- П.М. Кнышев.</w:t>
      </w:r>
    </w:p>
    <w:p w14:paraId="2D5D8F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(1930-е)- Ломанов; и.о. (01.1937 г.)- Ермольчик; (29.11.1937-21.11.1938 г.)- И.С. Кизельштейн (снят).</w:t>
      </w:r>
    </w:p>
    <w:p w14:paraId="79637E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инженера (-1936 г.)- Благовещенский (репрессирован).</w:t>
      </w:r>
    </w:p>
    <w:p w14:paraId="78F6D1B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 1 (01.1937 г.)- Неженцев. Начальник ТЭЦ (1.02.1937 г.-)- Е.А. Джапаридзе.</w:t>
      </w:r>
    </w:p>
    <w:p w14:paraId="2FD89F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отделов: планового (1936 г.)- Маневич; транспортного (1937 г.)- Максимов; кадров (09.1937 г.-)- И.М. Богословский.</w:t>
      </w:r>
    </w:p>
    <w:p w14:paraId="2460E8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КБ (02.1937 г.)- Гусев.</w:t>
      </w:r>
    </w:p>
    <w:p w14:paraId="34BCE4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Производство: торпеды Т-533 (-1938), Т-53-38 (1938-)- 13.</w:t>
      </w:r>
      <w:r w:rsidRPr="00E93F40">
        <w:rPr>
          <w:rFonts w:ascii="Times New Roman" w:hAnsi="Times New Roman"/>
          <w:color w:val="000000" w:themeColor="text1"/>
          <w:sz w:val="16"/>
          <w:szCs w:val="16"/>
          <w:vertAlign w:val="superscript"/>
        </w:rPr>
        <w:t>139</w:t>
      </w:r>
    </w:p>
    <w:p w14:paraId="4D9DD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ОКБ-182 НКСП /г. Каспийск/</w:t>
      </w:r>
    </w:p>
    <w:p w14:paraId="3BC3F6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67C8E08F" w14:textId="77F3D380"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Вновь действовало в Каспийске в 1950-е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Работы по реактивной кавитирующей торпеде РКТ-45 (1950-е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 НИИ-1 МСХМ) (11982).</w:t>
      </w:r>
    </w:p>
    <w:p w14:paraId="205BCC95"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7CC4228D" w14:textId="555322A2"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было принято решение о строительстве завода (Завод № 402 НКОП, НКСП, МСП, МТиТМ, Архангельский судостроительный завод НКТП, НКОП, Северное машиностроительное предприятие (СМП), ФГУП, ОАО «ПО «Севмашпредприятие» /пос. Судострой,</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Молотовск Архангельской обл./ /164500</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Северодвинск Архангельской обл. Архангельское ш., 58 тел. 94-601/).</w:t>
      </w:r>
    </w:p>
    <w:p w14:paraId="0B6E84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31 мая 1936 г. в соответствии с пост. СТО № 137сс было утверждено место и начато строительство в Никольском устье Двинской Губы возле Николо-Корельского монастыря. Установлены сроки ввода завода в строй: I очереди - в 1-м квартале 1939 г., II очереди - к 3-у кварталу 1939 г., III очереди - к 1-у кварталу 1940 г. и IV очереди - к 4-у кварталу 1940 г. Характерной особенностью завода был (как и завода № 199) горизонтальный вывод судна из сборочного цеха в наливную камеру с глубоководной прорезью, из которой после спуска воды судно выводилось в естественную акваторию. Постановлением СТО от 23.11.1936 г. был одобрен проект крытых эллингов. 28.01.1937 г. НКТП утвердил проектное задание по Архангельскому судостроительному заводу как крупному предприятию по строительству кораблей всех классов и значений. В 1937 г. была углублена акватория и намыта новая территория. В соответствии с пост. СНК от 29.08.1937 г. и пр. НКОП № 0209 от 20.09.1937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Ягринский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E93F40">
        <w:rPr>
          <w:rFonts w:ascii="Times New Roman" w:hAnsi="Times New Roman"/>
          <w:color w:val="000000" w:themeColor="text1"/>
          <w:sz w:val="16"/>
          <w:szCs w:val="16"/>
          <w:vertAlign w:val="superscript"/>
        </w:rPr>
        <w:t>92</w:t>
      </w:r>
      <w:r w:rsidRPr="00E93F40">
        <w:rPr>
          <w:rFonts w:ascii="Times New Roman" w:hAnsi="Times New Roman"/>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29E926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7067A2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E93F40">
        <w:rPr>
          <w:rFonts w:ascii="Times New Roman" w:hAnsi="Times New Roman"/>
          <w:color w:val="000000" w:themeColor="text1"/>
          <w:sz w:val="16"/>
          <w:szCs w:val="16"/>
          <w:vertAlign w:val="superscript"/>
        </w:rPr>
        <w:t>3</w:t>
      </w:r>
    </w:p>
    <w:p w14:paraId="52DCF6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01D916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E93F40">
        <w:rPr>
          <w:rFonts w:ascii="Times New Roman" w:hAnsi="Times New Roman"/>
          <w:color w:val="000000" w:themeColor="text1"/>
          <w:sz w:val="16"/>
          <w:szCs w:val="16"/>
          <w:lang w:val="en-US"/>
        </w:rPr>
        <w:t>JIMT</w:t>
      </w:r>
      <w:r w:rsidRPr="00E93F40">
        <w:rPr>
          <w:rFonts w:ascii="Times New Roman" w:hAnsi="Times New Roman"/>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004FD018" w14:textId="3B7A44E4"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продолжено строительство завода. К началу 1950-х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10EEE3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войны продолжен ремонт кораблей ВМФ, начато строительство эсминцев пр. ЗОбис.</w:t>
      </w:r>
    </w:p>
    <w:p w14:paraId="378AC6F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61FEA9BF" w14:textId="29A7428D"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середине 1950-х</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построено 46 кораблей ВМФ и более 30 гражданских судов.</w:t>
      </w:r>
    </w:p>
    <w:p w14:paraId="01C2E5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ПСМ № 1837-831сс от 28.08.1954 г. завод освобожден от капремонта ПЛ серии 1Х-бис.</w:t>
      </w:r>
    </w:p>
    <w:p w14:paraId="2CFC3B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63807527" w14:textId="6F8DFA4B"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 2005 г. построено 128 АПЛ. С 1991 г. по 2000-е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построено более 100 гражданских судов (морских понтонов, минибалкеров, речных барж, буксиров) для зарубежных заказчиков.</w:t>
      </w:r>
    </w:p>
    <w:p w14:paraId="521B3E9F" w14:textId="771A2225"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1990-е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 завод получил статус Государственного Российского центра атомного подводного кораблестроения.</w:t>
      </w:r>
      <w:r w:rsidRPr="00E93F40">
        <w:rPr>
          <w:rFonts w:ascii="Times New Roman" w:hAnsi="Times New Roman"/>
          <w:color w:val="000000" w:themeColor="text1"/>
          <w:sz w:val="16"/>
          <w:szCs w:val="16"/>
          <w:vertAlign w:val="superscript"/>
        </w:rPr>
        <w:t>61</w:t>
      </w:r>
      <w:r w:rsidRPr="00E93F40">
        <w:rPr>
          <w:rFonts w:ascii="Times New Roman" w:hAnsi="Times New Roman"/>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7A3E31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3EF830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52695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Количество оборудования (2000-е)- около 11 тыс. ед.</w:t>
      </w:r>
    </w:p>
    <w:p w14:paraId="2EB127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Площадь территории (1990-е)- более 300 га.</w:t>
      </w:r>
    </w:p>
    <w:p w14:paraId="5D4628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Численность персонала (06.1941 г.)- около 4000 чел., (1945 г.)- около 8000 чел., (1990-е)- более 20 тыс. чел.</w:t>
      </w:r>
    </w:p>
    <w:p w14:paraId="6786FB61" w14:textId="5C0B9D9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(16.09.1937-21.11.1938 г.-)- И.Т. Кирилкин (снят); и.о. (22.11-12.1938 г.-)- В.Л. Зильберман; (29.01.1939 г.-)- К.С. Красильников, (-1941-42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Г.А. Задорожный, (ВОВ)- С.А. Боголюбов, (1950-е)-</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Г.К. Волик, (-1954-58 Г.-)- Е.П. Егоров, (1972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4066ADA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3E20A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начальника строительства (16.09.1937 г.-)- Л.Х. Копп.</w:t>
      </w:r>
    </w:p>
    <w:p w14:paraId="065A3A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Технический директор (16.09-22.11.1937 г.)- Л.Х. Копп (репрессирован).</w:t>
      </w:r>
    </w:p>
    <w:p w14:paraId="4E7D009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2C8D34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Зам. гл. инженера- В</w:t>
      </w:r>
      <w:r w:rsidRPr="00E93F40">
        <w:rPr>
          <w:rFonts w:ascii="Times New Roman" w:hAnsi="Times New Roman"/>
          <w:iCs/>
          <w:color w:val="000000" w:themeColor="text1"/>
          <w:sz w:val="16"/>
          <w:szCs w:val="16"/>
        </w:rPr>
        <w:t xml:space="preserve"> .Я.</w:t>
      </w:r>
      <w:r w:rsidRPr="00E93F40">
        <w:rPr>
          <w:rFonts w:ascii="Times New Roman" w:hAnsi="Times New Roman"/>
          <w:color w:val="000000" w:themeColor="text1"/>
          <w:sz w:val="16"/>
          <w:szCs w:val="16"/>
        </w:rPr>
        <w:t xml:space="preserve"> Поспелов. Зам. гл. конструктора- В.А. Выборных.</w:t>
      </w:r>
    </w:p>
    <w:p w14:paraId="40300F1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Ответственные сдатчики: (-01.1960 г.)- М.Я. Баженов (К-19), (01.1960 г.-)- В.Л. Кулаков.</w:t>
      </w:r>
    </w:p>
    <w:p w14:paraId="0EBFC5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строители: (1940 г.)- А.П. Кириллов (пр. 23), (1955 г.)- В.И. Вашенцов (пр. 627).</w:t>
      </w:r>
    </w:p>
    <w:p w14:paraId="6DF6E8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344BD89B" w14:textId="3EC23288"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Строители кораблей: (1942 г.)-</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Г.М. Трусов.</w:t>
      </w:r>
    </w:p>
    <w:p w14:paraId="5CC1777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линкоры: пр. 23 «Советская Белоруссия» (21.12.1939-, не достроен), «Советская Россия» (22.06.1940-, не достроен);</w:t>
      </w:r>
      <w:r w:rsidRPr="00E93F40">
        <w:rPr>
          <w:rFonts w:ascii="Times New Roman" w:hAnsi="Times New Roman"/>
          <w:iCs/>
          <w:color w:val="000000" w:themeColor="text1"/>
          <w:sz w:val="16"/>
          <w:szCs w:val="16"/>
        </w:rPr>
        <w:t xml:space="preserve"> эсминцы:</w:t>
      </w:r>
      <w:r w:rsidRPr="00E93F40">
        <w:rPr>
          <w:rFonts w:ascii="Times New Roman" w:hAnsi="Times New Roman"/>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E93F40">
        <w:rPr>
          <w:rFonts w:ascii="Times New Roman" w:hAnsi="Times New Roman"/>
          <w:iCs/>
          <w:color w:val="000000" w:themeColor="text1"/>
          <w:sz w:val="16"/>
          <w:szCs w:val="16"/>
        </w:rPr>
        <w:t xml:space="preserve"> крейсеры:</w:t>
      </w:r>
      <w:r w:rsidRPr="00E93F40">
        <w:rPr>
          <w:rFonts w:ascii="Times New Roman" w:hAnsi="Times New Roman"/>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E93F40">
        <w:rPr>
          <w:rFonts w:ascii="Times New Roman" w:hAnsi="Times New Roman"/>
          <w:iCs/>
          <w:color w:val="000000" w:themeColor="text1"/>
          <w:sz w:val="16"/>
          <w:szCs w:val="16"/>
        </w:rPr>
        <w:t xml:space="preserve"> ПЛ:</w:t>
      </w:r>
      <w:r w:rsidRPr="00E93F40">
        <w:rPr>
          <w:rFonts w:ascii="Times New Roman" w:hAnsi="Times New Roman"/>
          <w:color w:val="000000" w:themeColor="text1"/>
          <w:sz w:val="16"/>
          <w:szCs w:val="16"/>
        </w:rPr>
        <w:t xml:space="preserve"> достройка лодок: завода 189 ХШбис серии </w:t>
      </w:r>
      <w:r w:rsidRPr="00E93F40">
        <w:rPr>
          <w:rFonts w:ascii="Times New Roman" w:hAnsi="Times New Roman"/>
          <w:color w:val="000000" w:themeColor="text1"/>
          <w:sz w:val="16"/>
          <w:szCs w:val="16"/>
          <w:lang w:val="en-US"/>
        </w:rPr>
        <w:t>JI</w:t>
      </w:r>
      <w:r w:rsidRPr="00E93F40">
        <w:rPr>
          <w:rFonts w:ascii="Times New Roman" w:hAnsi="Times New Roman"/>
          <w:color w:val="000000" w:themeColor="text1"/>
          <w:sz w:val="16"/>
          <w:szCs w:val="16"/>
        </w:rPr>
        <w:t xml:space="preserve">-20, </w:t>
      </w:r>
      <w:r w:rsidRPr="00E93F40">
        <w:rPr>
          <w:rFonts w:ascii="Times New Roman" w:hAnsi="Times New Roman"/>
          <w:color w:val="000000" w:themeColor="text1"/>
          <w:sz w:val="16"/>
          <w:szCs w:val="16"/>
          <w:lang w:val="en-US"/>
        </w:rPr>
        <w:t>JI</w:t>
      </w:r>
      <w:r w:rsidRPr="00E93F40">
        <w:rPr>
          <w:rFonts w:ascii="Times New Roman" w:hAnsi="Times New Roman"/>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E93F40">
        <w:rPr>
          <w:rFonts w:ascii="Times New Roman" w:hAnsi="Times New Roman"/>
          <w:iCs/>
          <w:color w:val="000000" w:themeColor="text1"/>
          <w:sz w:val="16"/>
          <w:szCs w:val="16"/>
        </w:rPr>
        <w:t xml:space="preserve"> АПЛ:</w:t>
      </w:r>
      <w:r w:rsidRPr="00E93F40">
        <w:rPr>
          <w:rFonts w:ascii="Times New Roman" w:hAnsi="Times New Roman"/>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E93F40">
        <w:rPr>
          <w:rFonts w:ascii="Times New Roman" w:hAnsi="Times New Roman"/>
          <w:iCs/>
          <w:color w:val="000000" w:themeColor="text1"/>
          <w:sz w:val="16"/>
          <w:szCs w:val="16"/>
        </w:rPr>
        <w:t xml:space="preserve"> плавучие доки:</w:t>
      </w:r>
      <w:r w:rsidRPr="00E93F40">
        <w:rPr>
          <w:rFonts w:ascii="Times New Roman" w:hAnsi="Times New Roman"/>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E93F40">
        <w:rPr>
          <w:rFonts w:ascii="Times New Roman" w:hAnsi="Times New Roman"/>
          <w:color w:val="000000" w:themeColor="text1"/>
          <w:sz w:val="16"/>
          <w:szCs w:val="16"/>
          <w:lang w:val="en-US"/>
        </w:rPr>
        <w:t>MossCS</w:t>
      </w:r>
      <w:r w:rsidRPr="00E93F40">
        <w:rPr>
          <w:rFonts w:ascii="Times New Roman" w:hAnsi="Times New Roman"/>
          <w:color w:val="000000" w:themeColor="text1"/>
          <w:sz w:val="16"/>
          <w:szCs w:val="16"/>
        </w:rPr>
        <w:t xml:space="preserve">-50 </w:t>
      </w:r>
      <w:r w:rsidRPr="00E93F40">
        <w:rPr>
          <w:rFonts w:ascii="Times New Roman" w:hAnsi="Times New Roman"/>
          <w:color w:val="000000" w:themeColor="text1"/>
          <w:sz w:val="16"/>
          <w:szCs w:val="16"/>
          <w:lang w:val="en-US"/>
        </w:rPr>
        <w:t>Mkll</w:t>
      </w:r>
      <w:r w:rsidRPr="00E93F40">
        <w:rPr>
          <w:rFonts w:ascii="Times New Roman" w:hAnsi="Times New Roman"/>
          <w:color w:val="000000" w:themeColor="text1"/>
          <w:sz w:val="16"/>
          <w:szCs w:val="16"/>
        </w:rPr>
        <w:t xml:space="preserve"> пр. 2958 для Норвегии (2006-07-); танкеры для Норвегии (2004-)- 8; мегаяхты океанского класса (2006)- 2;</w:t>
      </w:r>
    </w:p>
    <w:p w14:paraId="051103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78B37A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переоборудование: ПЛ:</w:t>
      </w:r>
      <w:r w:rsidRPr="00E93F40">
        <w:rPr>
          <w:rFonts w:ascii="Times New Roman" w:hAnsi="Times New Roman"/>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E93F40">
        <w:rPr>
          <w:rFonts w:ascii="Times New Roman" w:hAnsi="Times New Roman"/>
          <w:color w:val="000000" w:themeColor="text1"/>
          <w:sz w:val="16"/>
          <w:szCs w:val="16"/>
          <w:lang w:val="en-US"/>
        </w:rPr>
        <w:t>Mil</w:t>
      </w:r>
      <w:r w:rsidRPr="00E93F40">
        <w:rPr>
          <w:rFonts w:ascii="Times New Roman" w:hAnsi="Times New Roman"/>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E93F40">
        <w:rPr>
          <w:rFonts w:ascii="Times New Roman" w:hAnsi="Times New Roman"/>
          <w:iCs/>
          <w:color w:val="000000" w:themeColor="text1"/>
          <w:sz w:val="16"/>
          <w:szCs w:val="16"/>
        </w:rPr>
        <w:t>модернизация:</w:t>
      </w:r>
      <w:r w:rsidRPr="00E93F40">
        <w:rPr>
          <w:rFonts w:ascii="Times New Roman" w:hAnsi="Times New Roman"/>
          <w:color w:val="000000" w:themeColor="text1"/>
          <w:sz w:val="16"/>
          <w:szCs w:val="16"/>
        </w:rPr>
        <w:t xml:space="preserve"> плавучих технических баз перезарядки реакторов ЯЭУ пр. 326 по пр. 326М (1970-е); ТК-208 </w:t>
      </w:r>
      <w:r w:rsidRPr="00E93F40">
        <w:rPr>
          <w:rFonts w:ascii="Times New Roman" w:hAnsi="Times New Roman"/>
          <w:color w:val="000000" w:themeColor="text1"/>
          <w:sz w:val="16"/>
          <w:szCs w:val="16"/>
        </w:rPr>
        <w:lastRenderedPageBreak/>
        <w:t>«Дмитрий Донской» по пр. 941УМ для испытаний БР «Булава-30» (2005), крейсера пр. 1144 «Адмирал Нахимов» (2005-), крейсера «Адмирал Горшков» для Индии (2007);</w:t>
      </w:r>
      <w:r w:rsidRPr="00E93F40">
        <w:rPr>
          <w:rFonts w:ascii="Times New Roman" w:hAnsi="Times New Roman"/>
          <w:iCs/>
          <w:color w:val="000000" w:themeColor="text1"/>
          <w:sz w:val="16"/>
          <w:szCs w:val="16"/>
        </w:rPr>
        <w:t xml:space="preserve"> капремонт:</w:t>
      </w:r>
      <w:r w:rsidRPr="00E93F40">
        <w:rPr>
          <w:rFonts w:ascii="Times New Roman" w:hAnsi="Times New Roman"/>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187E3062"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Государственный Российский Центр атомного судостроения (ГРЦАС)</w:t>
      </w:r>
    </w:p>
    <w:p w14:paraId="3C12D1E1"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390A7A02"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28AEFA94"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в Италию прибыла советская делегация во главе с В. А. Никитиным, которой было поручено проектировать эсминец проекта 7. Они закупили документацию к «Мистрале» и его машинно-котельные установки. В опытовом бассейне в Риме состоялась прогонка модели эсминца проекта 7.</w:t>
      </w:r>
    </w:p>
    <w:p w14:paraId="5BCFCAEB"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Разумеется, вооружение и материалы проекта 7 были советскими, и он во многом отличался от итальянского «Мистрале».</w:t>
      </w:r>
    </w:p>
    <w:p w14:paraId="4DA87A54"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этом часть эсминцев проекта 7 получила итальянские приборы управления артиллерийской и торпедной стрельбой типа «Централь». Несколько установок «Централь» были направлены из Одессы в Ленинград на завод «Электроприбор», где на их базе началось производство отечественных ПУСОов</w:t>
      </w:r>
      <w:bookmarkStart w:id="57" w:name="n_25"/>
      <w:r w:rsidRPr="00142305">
        <w:rPr>
          <w:rFonts w:ascii="Times New Roman" w:hAnsi="Times New Roman"/>
          <w:color w:val="0070C0"/>
          <w:sz w:val="16"/>
          <w:szCs w:val="16"/>
        </w:rPr>
        <w:t xml:space="preserve"> (25184)</w:t>
      </w:r>
      <w:bookmarkEnd w:id="57"/>
      <w:r w:rsidRPr="00142305">
        <w:rPr>
          <w:rFonts w:ascii="Times New Roman" w:hAnsi="Times New Roman"/>
          <w:color w:val="0070C0"/>
          <w:sz w:val="16"/>
          <w:szCs w:val="16"/>
        </w:rPr>
        <w:t>.</w:t>
      </w:r>
    </w:p>
    <w:p w14:paraId="5369C401" w14:textId="77777777" w:rsidR="000C39A0" w:rsidRPr="00142305" w:rsidRDefault="000C39A0" w:rsidP="000C39A0">
      <w:pPr>
        <w:spacing w:after="0" w:line="240" w:lineRule="auto"/>
        <w:jc w:val="both"/>
        <w:rPr>
          <w:rFonts w:ascii="Times New Roman" w:hAnsi="Times New Roman"/>
          <w:color w:val="0070C0"/>
          <w:sz w:val="16"/>
          <w:szCs w:val="16"/>
        </w:rPr>
      </w:pPr>
    </w:p>
    <w:p w14:paraId="61F76D5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произвошло объединение всего водолазного и судоподъемного дела на всех морях и реках Союза под флагом ЭПРОН. Окончательно это произошло Балтийская партия была переименована в Северную базу. В это же время здесь создается собственный музей и строится опытная камера для больших давлений; проектируется создание особого судоподъемного бассейна и исследовательской лаборатории. Отдельные партии Особой экспедиции работали в Кронштадте, Мурманске, Архангельске. Южная база - в Севастополе, Керчи, Новороссийске, Туапсе, Батуми, Баку там энергично занимались освоением подводной акватории Черного и Каспийского морей (11628).</w:t>
      </w:r>
    </w:p>
    <w:p w14:paraId="6C29F7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1123820"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52FFE017"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3D44C299"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Вооруженных Силах насчиты</w:t>
      </w:r>
      <w:r w:rsidRPr="00E93F40">
        <w:rPr>
          <w:rFonts w:ascii="Times New Roman" w:hAnsi="Times New Roman"/>
          <w:color w:val="000000" w:themeColor="text1"/>
          <w:sz w:val="16"/>
          <w:szCs w:val="16"/>
        </w:rPr>
        <w:softHyphen/>
        <w:t>валось 203 ТБ-1, которые в летний сезон участвовали во всевозможных учениях. В 1933 г. ТБ-1 считался уже вполне освоенным типом, однако к тому моменту роль основно</w:t>
      </w:r>
      <w:r w:rsidRPr="00E93F40">
        <w:rPr>
          <w:rFonts w:ascii="Times New Roman" w:hAnsi="Times New Roman"/>
          <w:color w:val="000000" w:themeColor="text1"/>
          <w:sz w:val="16"/>
          <w:szCs w:val="16"/>
        </w:rPr>
        <w:softHyphen/>
        <w:t>го тяжелого бомбардировщика уже факти</w:t>
      </w:r>
      <w:r w:rsidRPr="00E93F40">
        <w:rPr>
          <w:rFonts w:ascii="Times New Roman" w:hAnsi="Times New Roman"/>
          <w:color w:val="000000" w:themeColor="text1"/>
          <w:sz w:val="16"/>
          <w:szCs w:val="16"/>
        </w:rPr>
        <w:softHyphen/>
        <w:t>чески перешла к ТБ-3, серийное произволство которых нарастало. Начиная с 1935 г., ТБ-1 все активнее стали переводить на вспо</w:t>
      </w:r>
      <w:r w:rsidRPr="00E93F40">
        <w:rPr>
          <w:rFonts w:ascii="Times New Roman" w:hAnsi="Times New Roman"/>
          <w:color w:val="000000" w:themeColor="text1"/>
          <w:sz w:val="16"/>
          <w:szCs w:val="16"/>
        </w:rPr>
        <w:softHyphen/>
        <w:t>могательные роли, включая выполнение транспортных задач (11286).</w:t>
      </w:r>
    </w:p>
    <w:p w14:paraId="11EA452C"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FFF81D"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1932 год ставили задачу перевооружить Р-5 девять эскадрилий (шесть разведывательных, три штурмовых) и 27 отрядов (в том числе 36-й отдельный хи</w:t>
      </w:r>
      <w:r w:rsidRPr="00142305">
        <w:rPr>
          <w:rFonts w:ascii="Times New Roman" w:hAnsi="Times New Roman"/>
          <w:color w:val="0070C0"/>
          <w:sz w:val="16"/>
          <w:szCs w:val="16"/>
        </w:rPr>
        <w:softHyphen/>
        <w:t>мический) и сформировать шесть новых эскадрилий (пять легкобомбардировочных и одну штурмовую). Р-5 входили также в штат тяжелобомбардировочных частей как трени</w:t>
      </w:r>
      <w:r w:rsidRPr="00142305">
        <w:rPr>
          <w:rFonts w:ascii="Times New Roman" w:hAnsi="Times New Roman"/>
          <w:color w:val="0070C0"/>
          <w:sz w:val="16"/>
          <w:szCs w:val="16"/>
        </w:rPr>
        <w:softHyphen/>
        <w:t>ровочные и вспомогательные. На 20 марта только в Евро</w:t>
      </w:r>
      <w:r w:rsidRPr="00142305">
        <w:rPr>
          <w:rFonts w:ascii="Times New Roman" w:hAnsi="Times New Roman"/>
          <w:color w:val="0070C0"/>
          <w:sz w:val="16"/>
          <w:szCs w:val="16"/>
        </w:rPr>
        <w:softHyphen/>
        <w:t>пейской части страны уже эксплуатировались около 320 машин этого типа. Много самолетов отправили на Дальний Восток.</w:t>
      </w:r>
    </w:p>
    <w:p w14:paraId="45DE261C"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Быстрое широкое внедрение новой техни</w:t>
      </w:r>
      <w:r w:rsidRPr="00142305">
        <w:rPr>
          <w:rFonts w:ascii="Times New Roman" w:hAnsi="Times New Roman"/>
          <w:color w:val="0070C0"/>
          <w:sz w:val="16"/>
          <w:szCs w:val="16"/>
        </w:rPr>
        <w:softHyphen/>
        <w:t>ки неизбежно было связано с какими-то неурядицами и неполадками. Посадочная скорость и скорость свалива</w:t>
      </w:r>
      <w:r w:rsidRPr="00142305">
        <w:rPr>
          <w:rFonts w:ascii="Times New Roman" w:hAnsi="Times New Roman"/>
          <w:color w:val="0070C0"/>
          <w:sz w:val="16"/>
          <w:szCs w:val="16"/>
        </w:rPr>
        <w:softHyphen/>
        <w:t>ния стали выше, к чему требовалось привыкнуть. Вообще посадку на новой машине оценивали как более сложную, чем на Р-1. Многие площадки, пригодные для базирова</w:t>
      </w:r>
      <w:r w:rsidRPr="00142305">
        <w:rPr>
          <w:rFonts w:ascii="Times New Roman" w:hAnsi="Times New Roman"/>
          <w:color w:val="0070C0"/>
          <w:sz w:val="16"/>
          <w:szCs w:val="16"/>
        </w:rPr>
        <w:softHyphen/>
        <w:t>ния старых разведчиков, для Р-5 были малы. Поначалу это вызвало серию аварий на аэродромах.</w:t>
      </w:r>
    </w:p>
    <w:p w14:paraId="7668D523"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Правда, простая и дешевая конструкция машины лег</w:t>
      </w:r>
      <w:r w:rsidRPr="00142305">
        <w:rPr>
          <w:rFonts w:ascii="Times New Roman" w:hAnsi="Times New Roman"/>
          <w:color w:val="0070C0"/>
          <w:sz w:val="16"/>
          <w:szCs w:val="16"/>
        </w:rPr>
        <w:softHyphen/>
        <w:t>ко подвергалась столь же простому и дешевому ремонту. Кроме того, обладавший значительными запасами про</w:t>
      </w:r>
      <w:r w:rsidRPr="00142305">
        <w:rPr>
          <w:rFonts w:ascii="Times New Roman" w:hAnsi="Times New Roman"/>
          <w:color w:val="0070C0"/>
          <w:sz w:val="16"/>
          <w:szCs w:val="16"/>
        </w:rPr>
        <w:softHyphen/>
        <w:t>чности самолет не так-то легко было разбить совершенно. Из воинских частей жаловались в основном на течи бен</w:t>
      </w:r>
      <w:r w:rsidRPr="00142305">
        <w:rPr>
          <w:rFonts w:ascii="Times New Roman" w:hAnsi="Times New Roman"/>
          <w:color w:val="0070C0"/>
          <w:sz w:val="16"/>
          <w:szCs w:val="16"/>
        </w:rPr>
        <w:softHyphen/>
        <w:t>зо- и маслобаков, появление трещин в башмаке киля. Де</w:t>
      </w:r>
      <w:r w:rsidRPr="00142305">
        <w:rPr>
          <w:rFonts w:ascii="Times New Roman" w:hAnsi="Times New Roman"/>
          <w:color w:val="0070C0"/>
          <w:sz w:val="16"/>
          <w:szCs w:val="16"/>
        </w:rPr>
        <w:softHyphen/>
        <w:t>ревянный самолет при безангарном хранении поражался грибком, полотно начинало отставать от брусков и фане</w:t>
      </w:r>
      <w:r w:rsidRPr="00142305">
        <w:rPr>
          <w:rFonts w:ascii="Times New Roman" w:hAnsi="Times New Roman"/>
          <w:color w:val="0070C0"/>
          <w:sz w:val="16"/>
          <w:szCs w:val="16"/>
        </w:rPr>
        <w:softHyphen/>
        <w:t>ры. Кроме того, в погоне за выполнением плана древеси</w:t>
      </w:r>
      <w:r w:rsidRPr="00142305">
        <w:rPr>
          <w:rFonts w:ascii="Times New Roman" w:hAnsi="Times New Roman"/>
          <w:color w:val="0070C0"/>
          <w:sz w:val="16"/>
          <w:szCs w:val="16"/>
        </w:rPr>
        <w:softHyphen/>
        <w:t>ну плохо просушивали еще в процессе производства, она гнила и покрывалась плесенью. Отмечалась плохая окрас</w:t>
      </w:r>
      <w:r w:rsidRPr="00142305">
        <w:rPr>
          <w:rFonts w:ascii="Times New Roman" w:hAnsi="Times New Roman"/>
          <w:color w:val="0070C0"/>
          <w:sz w:val="16"/>
          <w:szCs w:val="16"/>
        </w:rPr>
        <w:softHyphen/>
        <w:t>ка. В августе 1931 г. из многих частей пришли сообщения, что в дождь краска смывается!</w:t>
      </w:r>
    </w:p>
    <w:p w14:paraId="2EC59F2B"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самолетов ранних серий были характерны перегрев двигателей при температуре на земле свыше 30°, самопро</w:t>
      </w:r>
      <w:r w:rsidRPr="00142305">
        <w:rPr>
          <w:rFonts w:ascii="Times New Roman" w:hAnsi="Times New Roman"/>
          <w:color w:val="0070C0"/>
          <w:sz w:val="16"/>
          <w:szCs w:val="16"/>
        </w:rPr>
        <w:softHyphen/>
        <w:t>извольная перекачка бензина из нижних баков в верхние, поломки бомбодержателей, невзаимозаменяемость ос</w:t>
      </w:r>
      <w:r w:rsidRPr="00142305">
        <w:rPr>
          <w:rFonts w:ascii="Times New Roman" w:hAnsi="Times New Roman"/>
          <w:color w:val="0070C0"/>
          <w:sz w:val="16"/>
          <w:szCs w:val="16"/>
        </w:rPr>
        <w:softHyphen/>
        <w:t>новных узлов.</w:t>
      </w:r>
    </w:p>
    <w:p w14:paraId="6E780D69" w14:textId="77777777" w:rsidR="000C39A0" w:rsidRPr="00142305" w:rsidRDefault="000C39A0" w:rsidP="000C39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Когда Р-5 стало достаточно много, столкнулись с не</w:t>
      </w:r>
      <w:r w:rsidRPr="00142305">
        <w:rPr>
          <w:rFonts w:ascii="Times New Roman" w:hAnsi="Times New Roman"/>
          <w:color w:val="0070C0"/>
          <w:sz w:val="16"/>
          <w:szCs w:val="16"/>
        </w:rPr>
        <w:softHyphen/>
        <w:t>хваткой топлива. Дело в том, что мотор М-17 с его доволь</w:t>
      </w:r>
      <w:r w:rsidRPr="00142305">
        <w:rPr>
          <w:rFonts w:ascii="Times New Roman" w:hAnsi="Times New Roman"/>
          <w:color w:val="0070C0"/>
          <w:sz w:val="16"/>
          <w:szCs w:val="16"/>
        </w:rPr>
        <w:softHyphen/>
        <w:t>но высокой степенью сжатия требовал качественного го</w:t>
      </w:r>
      <w:r w:rsidRPr="00142305">
        <w:rPr>
          <w:rFonts w:ascii="Times New Roman" w:hAnsi="Times New Roman"/>
          <w:color w:val="0070C0"/>
          <w:sz w:val="16"/>
          <w:szCs w:val="16"/>
        </w:rPr>
        <w:softHyphen/>
        <w:t>рючего. У нас низкооктановый отечественный бензин, чтобы он не детонировал, мешали с бензолом. Бензол же в основном ввозили из Германии, свое производство этого продукта только осваивали. Из-за нехватки бензола при</w:t>
      </w:r>
      <w:r w:rsidRPr="00142305">
        <w:rPr>
          <w:rFonts w:ascii="Times New Roman" w:hAnsi="Times New Roman"/>
          <w:color w:val="0070C0"/>
          <w:sz w:val="16"/>
          <w:szCs w:val="16"/>
        </w:rPr>
        <w:softHyphen/>
        <w:t>ходилось либо прекращать полеты, либо переделывать мо</w:t>
      </w:r>
      <w:r w:rsidRPr="00142305">
        <w:rPr>
          <w:rFonts w:ascii="Times New Roman" w:hAnsi="Times New Roman"/>
          <w:color w:val="0070C0"/>
          <w:sz w:val="16"/>
          <w:szCs w:val="16"/>
        </w:rPr>
        <w:softHyphen/>
        <w:t>торы под чистый грозненский бензин, теряя в мощности (24990).</w:t>
      </w:r>
    </w:p>
    <w:p w14:paraId="0EA7585A" w14:textId="77777777" w:rsidR="000C39A0" w:rsidRPr="00142305" w:rsidRDefault="000C39A0" w:rsidP="000C39A0">
      <w:pPr>
        <w:spacing w:after="0" w:line="240" w:lineRule="auto"/>
        <w:jc w:val="both"/>
        <w:rPr>
          <w:rFonts w:ascii="Times New Roman" w:hAnsi="Times New Roman"/>
          <w:color w:val="0070C0"/>
          <w:sz w:val="16"/>
          <w:szCs w:val="16"/>
        </w:rPr>
      </w:pPr>
    </w:p>
    <w:p w14:paraId="7F8DE28C"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1932 г. испытания новых образцов в Липецке имели довольно скромный размах. Из новых самолетов советские инженеры познакомились только с двумя боевыми машинами: двухмоторным бомбардировщиком Дорнье Do 11 с убирающимся в полете шасси и двухмоторным бомбардировщиком и торпедонос</w:t>
      </w:r>
      <w:r w:rsidRPr="00142305">
        <w:rPr>
          <w:rFonts w:ascii="Times New Roman" w:hAnsi="Times New Roman"/>
          <w:color w:val="0070C0"/>
          <w:sz w:val="16"/>
          <w:szCs w:val="16"/>
        </w:rPr>
        <w:softHyphen/>
        <w:t>цем Хейнкель HD 59. Оба самолеты были оборудованы электриче</w:t>
      </w:r>
      <w:r w:rsidRPr="00142305">
        <w:rPr>
          <w:rFonts w:ascii="Times New Roman" w:hAnsi="Times New Roman"/>
          <w:color w:val="0070C0"/>
          <w:sz w:val="16"/>
          <w:szCs w:val="16"/>
        </w:rPr>
        <w:softHyphen/>
        <w:t>скими бомбосбрасывателями.</w:t>
      </w:r>
    </w:p>
    <w:p w14:paraId="01390C13"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одна из моделей немецких одномоторных самоле</w:t>
      </w:r>
      <w:r w:rsidRPr="00142305">
        <w:rPr>
          <w:rFonts w:ascii="Times New Roman" w:hAnsi="Times New Roman"/>
          <w:color w:val="0070C0"/>
          <w:sz w:val="16"/>
          <w:szCs w:val="16"/>
        </w:rPr>
        <w:softHyphen/>
        <w:t>тов, побывавших в Липецке, по-видимому, прошла апробацию в по</w:t>
      </w:r>
      <w:r w:rsidRPr="00142305">
        <w:rPr>
          <w:rFonts w:ascii="Times New Roman" w:hAnsi="Times New Roman"/>
          <w:color w:val="0070C0"/>
          <w:sz w:val="16"/>
          <w:szCs w:val="16"/>
        </w:rPr>
        <w:softHyphen/>
        <w:t>плавковом варианте с реки Воронеж. Этими испытаниями занимались представителями германской гидроавиации: в составе обучае</w:t>
      </w:r>
      <w:r w:rsidRPr="00142305">
        <w:rPr>
          <w:rFonts w:ascii="Times New Roman" w:hAnsi="Times New Roman"/>
          <w:color w:val="0070C0"/>
          <w:sz w:val="16"/>
          <w:szCs w:val="16"/>
        </w:rPr>
        <w:softHyphen/>
        <w:t>мых в 1932 г. была группа из шести морских летчиков.</w:t>
      </w:r>
    </w:p>
    <w:p w14:paraId="0490E815"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вооружения нам показали бомбодержатели с опускаю</w:t>
      </w:r>
      <w:r w:rsidRPr="00142305">
        <w:rPr>
          <w:rFonts w:ascii="Times New Roman" w:hAnsi="Times New Roman"/>
          <w:color w:val="0070C0"/>
          <w:sz w:val="16"/>
          <w:szCs w:val="16"/>
        </w:rPr>
        <w:softHyphen/>
        <w:t>щимся замком для удобства подвески бомб, новые образцы пуле</w:t>
      </w:r>
      <w:r w:rsidRPr="00142305">
        <w:rPr>
          <w:rFonts w:ascii="Times New Roman" w:hAnsi="Times New Roman"/>
          <w:color w:val="0070C0"/>
          <w:sz w:val="16"/>
          <w:szCs w:val="16"/>
        </w:rPr>
        <w:softHyphen/>
        <w:t>метной турели, зажигательных, трассирующих и дымовых пристре</w:t>
      </w:r>
      <w:r w:rsidRPr="00142305">
        <w:rPr>
          <w:rFonts w:ascii="Times New Roman" w:hAnsi="Times New Roman"/>
          <w:color w:val="0070C0"/>
          <w:sz w:val="16"/>
          <w:szCs w:val="16"/>
        </w:rPr>
        <w:softHyphen/>
        <w:t>лочных патронов, взрывателей.</w:t>
      </w:r>
    </w:p>
    <w:p w14:paraId="4624236E" w14:textId="77777777" w:rsidR="000D6CBF" w:rsidRPr="00142305" w:rsidRDefault="000D6CBF" w:rsidP="000D6C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и в прошлом году, для изучения авиатехники из Москвы прибыла группа специалистов. На это раз их было пять человек. Но</w:t>
      </w:r>
      <w:r w:rsidRPr="00142305">
        <w:rPr>
          <w:rFonts w:ascii="Times New Roman" w:hAnsi="Times New Roman"/>
          <w:color w:val="0070C0"/>
          <w:sz w:val="16"/>
          <w:szCs w:val="16"/>
        </w:rPr>
        <w:softHyphen/>
        <w:t>вый начальник «Вифупаль» майор Мюллер запретил советским ин</w:t>
      </w:r>
      <w:r w:rsidRPr="00142305">
        <w:rPr>
          <w:rFonts w:ascii="Times New Roman" w:hAnsi="Times New Roman"/>
          <w:color w:val="0070C0"/>
          <w:sz w:val="16"/>
          <w:szCs w:val="16"/>
        </w:rPr>
        <w:softHyphen/>
        <w:t>женерам зарисовывать увиденное, разбирать приборы. Немцы от</w:t>
      </w:r>
      <w:r w:rsidRPr="00142305">
        <w:rPr>
          <w:rFonts w:ascii="Times New Roman" w:hAnsi="Times New Roman"/>
          <w:color w:val="0070C0"/>
          <w:sz w:val="16"/>
          <w:szCs w:val="16"/>
        </w:rPr>
        <w:softHyphen/>
        <w:t>казались ознакомить их с чертежами механизма уборки шасси в крыло на Do 11, не дали обещанных материалов по баллистике бомбометания, не предоставили никаких данных по результатам испытаний самолетов. «По опыту прошлого года «друзья» знали, что нас интересуют не только одно пустое знакомство, но и деталь</w:t>
      </w:r>
      <w:r w:rsidRPr="00142305">
        <w:rPr>
          <w:rFonts w:ascii="Times New Roman" w:hAnsi="Times New Roman"/>
          <w:color w:val="0070C0"/>
          <w:sz w:val="16"/>
          <w:szCs w:val="16"/>
        </w:rPr>
        <w:softHyphen/>
        <w:t>ное изучение всех объектов, и поэтому они были очень осторожны во всем», — рапортовал командир 4-го авиаотряда 38-й эскадрильи ВВС РККА А.М. Томсон (25025).</w:t>
      </w:r>
    </w:p>
    <w:p w14:paraId="737001F7" w14:textId="77777777" w:rsidR="000D6CBF" w:rsidRPr="00142305" w:rsidRDefault="000D6CBF" w:rsidP="000D6CBF">
      <w:pPr>
        <w:spacing w:after="0" w:line="240" w:lineRule="auto"/>
        <w:jc w:val="both"/>
        <w:rPr>
          <w:rFonts w:ascii="Times New Roman" w:hAnsi="Times New Roman"/>
          <w:color w:val="0070C0"/>
          <w:sz w:val="16"/>
          <w:szCs w:val="16"/>
        </w:rPr>
      </w:pPr>
    </w:p>
    <w:p w14:paraId="636C577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в составе пограничной охраны и ВВ ОГПУ было организовано шесть авиаотрядов в 54 машины. включая 6 К-5 (70,174).</w:t>
      </w:r>
    </w:p>
    <w:p w14:paraId="4E6355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3C88C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г. в состав ВВС вошли воздушно-десантные войска. Позже они получили свою авиацию - транспортные и разведывательные самолеты. В Ленинградском военном округе дислоцировалась 3-я бригада особого назначения, объединявшая несколько авиационных эскадрилий с десантными батальонами (11987).</w:t>
      </w:r>
    </w:p>
    <w:p w14:paraId="4FD03C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2A6E751" w14:textId="77777777" w:rsidR="00290EF2" w:rsidRPr="00E93F40" w:rsidRDefault="00290E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5804B384" w14:textId="77777777" w:rsidR="00290EF2" w:rsidRPr="00E93F40" w:rsidRDefault="00290EF2" w:rsidP="00E93F40">
      <w:pPr>
        <w:spacing w:after="0" w:line="240" w:lineRule="auto"/>
        <w:jc w:val="both"/>
        <w:rPr>
          <w:rFonts w:ascii="Times New Roman" w:hAnsi="Times New Roman"/>
          <w:color w:val="000000" w:themeColor="text1"/>
          <w:sz w:val="16"/>
          <w:szCs w:val="16"/>
        </w:rPr>
      </w:pPr>
    </w:p>
    <w:p w14:paraId="4767A5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Центральная психофизиологическая лаборатория по изучению актуальных медицинских вопросов ВВС реорганизуется в 4 сектор Научно-исследовательского санитарного института РККА, который возглавлял В.В.Стрельцов. А в 1935 г. На базе 4-го сектора организуется Институт авиационной медицины, директором которого был назначен Ф.Г. Кротков. В 1939-1940 гг. В.В. Стрельцовым были созданы и возглавлены две новые кафедры: кафедра авиационной медицины при Центральном институте усовершенствования врачей (ЦИУ) и кафедра авиационной медицины военного факультета при 2-ом Московском медицинском институте. В этот период отмечалось активное включение в разработку проблем авиационной медицины Военно-медицинской академии (ВМА, учрежденной в 1798 году по указу императора Павла I) - кафедр: физиологии (академик Л.А. Орбели), отоларингологии (профессор В.И. Воячек), биохимии (профессор Г.Е. Владимиров, профессор М.И. Аринкин). Включились в работу и сотрудники Всесоюзного института экспериментальной медицины: профессор Н.И. Гращенков (разработка физиологии органов чувств), профессор И.П. Разенков (изучение пищеварения на высоте), профессор Л.А. Андреев (физиология слуха), профессор М.Е. Маршак (гипоксия), профессор Н.Т. Федоров (физиологическая оптика). Исследования в условиях высокогорья проводились академиком Н.Н. Сиротиным (11295).</w:t>
      </w:r>
    </w:p>
    <w:p w14:paraId="6E420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5CCE7A"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 Украине в районе г.Овруч были проведены большие маневры. Маршал А.М.Василевский рассказывал в 1967 году писателю КМ.Симонову: «В тот период отношения наши с Германией были весь</w:t>
      </w:r>
      <w:r w:rsidRPr="00E93F40">
        <w:rPr>
          <w:rFonts w:ascii="Times New Roman" w:hAnsi="Times New Roman"/>
          <w:color w:val="000000" w:themeColor="text1"/>
          <w:sz w:val="16"/>
          <w:szCs w:val="16"/>
        </w:rPr>
        <w:softHyphen/>
        <w:t>ма тесными. В ряде пунктов на нашей территории находились немецкие центры, в которых проходила подготовка офицеров, так как немцы со</w:t>
      </w:r>
      <w:r w:rsidRPr="00E93F40">
        <w:rPr>
          <w:rFonts w:ascii="Times New Roman" w:hAnsi="Times New Roman"/>
          <w:color w:val="000000" w:themeColor="text1"/>
          <w:sz w:val="16"/>
          <w:szCs w:val="16"/>
        </w:rPr>
        <w:softHyphen/>
        <w:t>гласно условиям Версальского мира не имели права делать это в Герма</w:t>
      </w:r>
      <w:r w:rsidRPr="00E93F40">
        <w:rPr>
          <w:rFonts w:ascii="Times New Roman" w:hAnsi="Times New Roman"/>
          <w:color w:val="000000" w:themeColor="text1"/>
          <w:sz w:val="16"/>
          <w:szCs w:val="16"/>
        </w:rPr>
        <w:softHyphen/>
        <w:t>нии. Были танковые и авиационные центры. На маневрах тридцать вто</w:t>
      </w:r>
      <w:r w:rsidRPr="00E93F40">
        <w:rPr>
          <w:rFonts w:ascii="Times New Roman" w:hAnsi="Times New Roman"/>
          <w:color w:val="000000" w:themeColor="text1"/>
          <w:sz w:val="16"/>
          <w:szCs w:val="16"/>
        </w:rPr>
        <w:softHyphen/>
        <w:t>рого года, где мы впервые показали достоинства крупных (по тому време</w:t>
      </w:r>
      <w:r w:rsidRPr="00E93F40">
        <w:rPr>
          <w:rFonts w:ascii="Times New Roman" w:hAnsi="Times New Roman"/>
          <w:color w:val="000000" w:themeColor="text1"/>
          <w:sz w:val="16"/>
          <w:szCs w:val="16"/>
        </w:rPr>
        <w:softHyphen/>
        <w:t>ни) механизированных соединений — танковых бригад, были военные атташе целого ряда армий, в том числе и германский представитель. Но если представителям других армий показали лишь часть происходящего, то немцам показали все. Их возили по другим маршрутам, в другие места, на других машинах, скрытно от представителей других армий. Я участво</w:t>
      </w:r>
      <w:r w:rsidRPr="00E93F40">
        <w:rPr>
          <w:rFonts w:ascii="Times New Roman" w:hAnsi="Times New Roman"/>
          <w:color w:val="000000" w:themeColor="text1"/>
          <w:sz w:val="16"/>
          <w:szCs w:val="16"/>
        </w:rPr>
        <w:softHyphen/>
        <w:t>вал в этих маневрах, и у меня на командном пункте вместе с Ворошило</w:t>
      </w:r>
      <w:r w:rsidRPr="00E93F40">
        <w:rPr>
          <w:rFonts w:ascii="Times New Roman" w:hAnsi="Times New Roman"/>
          <w:color w:val="000000" w:themeColor="text1"/>
          <w:sz w:val="16"/>
          <w:szCs w:val="16"/>
        </w:rPr>
        <w:softHyphen/>
        <w:t>вым и Смородиновым был Браухич. Он наблюдал за ходом боевых дей</w:t>
      </w:r>
      <w:r w:rsidRPr="00E93F40">
        <w:rPr>
          <w:rFonts w:ascii="Times New Roman" w:hAnsi="Times New Roman"/>
          <w:color w:val="000000" w:themeColor="text1"/>
          <w:sz w:val="16"/>
          <w:szCs w:val="16"/>
        </w:rPr>
        <w:softHyphen/>
        <w:t>ствий в течение довольно длительного времени, потом он отошел, потом Смородинов вернулся ко мне и сказал, что Браухич сделал вам компли</w:t>
      </w:r>
      <w:r w:rsidRPr="00E93F40">
        <w:rPr>
          <w:rFonts w:ascii="Times New Roman" w:hAnsi="Times New Roman"/>
          <w:color w:val="000000" w:themeColor="text1"/>
          <w:sz w:val="16"/>
          <w:szCs w:val="16"/>
        </w:rPr>
        <w:softHyphen/>
        <w:t>мент, заявив, что все, что он наблюдал здесь, делается в лучших традици</w:t>
      </w:r>
      <w:r w:rsidRPr="00E93F40">
        <w:rPr>
          <w:rFonts w:ascii="Times New Roman" w:hAnsi="Times New Roman"/>
          <w:color w:val="000000" w:themeColor="text1"/>
          <w:sz w:val="16"/>
          <w:szCs w:val="16"/>
        </w:rPr>
        <w:softHyphen/>
        <w:t>ях немецкой военной школы» (11504).</w:t>
      </w:r>
    </w:p>
    <w:p w14:paraId="046A02F4"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FFFC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1932 М.Н.Тухачевский разработал план операции по разгрому Польши, включая нанесение ударов тяжелой артиллерии по району Варшавы. То же по Румынии и Австрии (70,257).</w:t>
      </w:r>
    </w:p>
    <w:p w14:paraId="04741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51DA3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начальник Кузьминского полигона М.Л.Полеес заключил договор с заводом № 1 (нынешним ГСНИИОХТ) о захоронении 100 тонн отходов производства ОВ. Место и способ их ликвидации не известны (не нам не известны, а высокой комиссии в 1937 году) (9065).</w:t>
      </w:r>
    </w:p>
    <w:p w14:paraId="0D1B9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7461CC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57CB4D8B"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D6AB7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казанцы получали:</w:t>
      </w:r>
    </w:p>
    <w:p w14:paraId="720F43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прачка, дворник, уборщица - 40-55 руб.</w:t>
      </w:r>
    </w:p>
    <w:p w14:paraId="4EAFC5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машинистка - 65-95 руб.</w:t>
      </w:r>
    </w:p>
    <w:p w14:paraId="48435C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слесарь - 90-110 руб.</w:t>
      </w:r>
    </w:p>
    <w:p w14:paraId="5B331D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шофер - 125-150 руб.</w:t>
      </w:r>
    </w:p>
    <w:p w14:paraId="52FEE5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бухгалтер - 175-200 руб.</w:t>
      </w:r>
    </w:p>
    <w:p w14:paraId="17AFB1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экономист - 150-250 руб.</w:t>
      </w:r>
    </w:p>
    <w:p w14:paraId="4A2E30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инженер - 275-400 руб.</w:t>
      </w:r>
    </w:p>
    <w:p w14:paraId="68FCB8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управляющий трестом - 185-400 руб.</w:t>
      </w:r>
    </w:p>
    <w:p w14:paraId="424860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учитель начальной школы - 75-105 руб.</w:t>
      </w:r>
    </w:p>
    <w:p w14:paraId="6DAB55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средней - 118-151 руб.</w:t>
      </w:r>
    </w:p>
    <w:p w14:paraId="60F687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ассистент Казанского университета - 210 руб.,</w:t>
      </w:r>
    </w:p>
    <w:p w14:paraId="6CAA0B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доцент - 250 руб.</w:t>
      </w:r>
    </w:p>
    <w:p w14:paraId="527B74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профессор - 300 руб. (11566).</w:t>
      </w:r>
    </w:p>
    <w:p w14:paraId="65257A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9D9869F"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Внешняя политика:</w:t>
      </w:r>
    </w:p>
    <w:p w14:paraId="590E60D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A62B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молодой талантливый немецкий инженер Г. Куммеров он посетил советское посольство в Берлине с целью выяснения возможности поездки на работу в СССР. В то время это было распространенной практикой и даже после прихода Гитлера к власти такой факт в биографии человека не считался антигосударственным. С визитером встретился инженер Амторга Г. Б. Овакимян. Гостю присвоили оперативный псевдоним Фильтр и приняли решение о проведении его вербовки. Дело в том, что посетитель в течение пяти лет работал в Ораниенбурге, под Берлином на заводе акционерного общества «Газглюлихт-Ауэр-гезельпафт», который выполнял военные заказы.</w:t>
      </w:r>
    </w:p>
    <w:p w14:paraId="5CE21F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советскую разведку Фильтр начал работать только в 1934 году. На первой же встрече с работником резидентуры Куммеров передал ему образец (вернее, основные компоненты) нового, только что поступившего в производство противогаза, принятого на вооружение вермахтом. «Сколько это стоит?» — спросил советский представитель и услышал огромную по тем временам сумму: — «Сорок тысяч марок».</w:t>
      </w:r>
    </w:p>
    <w:p w14:paraId="69D143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тут же выяснилось, что Куммеров назвал ему стоимость… разработки сделанного им изобретения. А Советскому Союзу он передает его бесплатно, как и множество других технических новинок. Например, данные о новых боевых отравляющих веществах разработанных в лабораториях химического концерна «И. Г. Фарбен индустри» и средствах защиты от них. Так же он передал подробное описание технологий производства синтетического бензина и синтетического каучука — оба этих материала были дефицитными для германской промышленности и оставались таковыми до конца Второй мировой войны.</w:t>
      </w:r>
    </w:p>
    <w:p w14:paraId="1C22F1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Множество ценной информации поступило и от его друга доктора технических наук Э. Томфора. Этот человек сначала заведовал отделом в химической лаборатории, а потом занимал пост референта директора компании «Лёве-радио АГ». Он передал советской разведке данные о работе немецких специалистов по созданию радиолокатора, а также акустической торпеды и специальных радиостанций для установки на танках (Гладков Т. Король нелегалов. — М., 2000, с. 100—104.). В 1942 году они оба были арестованы и казнены. В 1969 году Г. Куммерова посмертно наградили орденом Красного Знамени (Очерки истории российской внешней разведки. В 6 т. Т. 3. 1933-1941 годы. — М., 1997, с. 413.).</w:t>
      </w:r>
    </w:p>
    <w:p w14:paraId="038E260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F55A5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Г. Б. Овакимян завербовал Ротмана — крупного немецкого специалиста по химическому аппаратостроению, от которого регулярно стал получать документальную информацию о строительстве новых военных объектов, о наиболее современных технологиях производства синтетического бензина и селитры. Эти документальные материалы получили высокую оценку Генштаба Красной Армии.</w:t>
      </w:r>
    </w:p>
    <w:p w14:paraId="13AB7F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Затем советский разведчик завербовал еще двух агентов: Штронга — ведущего инженера фирмы «Ауэр» и Людвига — научного сотрудника компании «Цейс». Поступившая от них документальная информация по оптическим приборам, эхолотам и средствам противохимической защиты получила положительную оценку отечественных специализированных научно-исследовательских институтов и конструкторских бюро (Очерки истории российской внешней разведки. В 6 т. Т. 2. 1917-1933 годы. — М., 1997, с. 227-228.).</w:t>
      </w:r>
    </w:p>
    <w:p w14:paraId="354D26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Некто Браун, работавший у известного германского торговца оружием Бениро, регулярно снабжал советскую внешнюю разведку образцами стрелкового оружия и документацией к нему (Дамаскин И. Семнадцать имен Китти Харрис. — М., «Гея итэрум», 1999. — С. 109.) (11765).</w:t>
      </w:r>
    </w:p>
    <w:p w14:paraId="6BC227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281353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1932 года тот же подполковник Касахара в «Соображениях относительно военных мероприятий империи, направленных против Советского Союза» отмечал:</w:t>
      </w:r>
    </w:p>
    <w:p w14:paraId="01E33B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«СССР в течение ряда последних лет проводит неуклонное увеличение вооружённых сил и ныне уже превзошёл японскую армию по части организации и степени вооружения.</w:t>
      </w:r>
    </w:p>
    <w:p w14:paraId="0566B4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Энергично проводимый тяжелейший план имеет основной целью увеличить мощь Красной Армии. Мною уже неоднократно докладывалось о том, что вооружение СССР в дальнейшем будет развиваться в ещё более стремительных темпах» (Там же. С.298).</w:t>
      </w:r>
    </w:p>
    <w:p w14:paraId="50375A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настоящий момент Красная Армия по части оснащения и обучения достигла уже требуемого уровня и, пожалуй, превосходит армии блока Польши, Румынии и прибалтийских государств. Но СССР ещё не обладает достаточной мощью для проведения войны в широком смысле этого слова. Экономическая мощь, военная промышленность и единство нации ещё не достигли требуемой степени.</w:t>
      </w:r>
    </w:p>
    <w:p w14:paraId="76A4AE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«Из вышеуказанного видно также, что японо-советская война, принимая во внимание состояние вооружённых сил СССР и положение в иностранных государствах, должна быть проведена как можно скорее. Мы должны осознать то, что по мере прохождения времени обстановка делается всё более благоприятной для них» (Там же. С.301) (Лубянка. Сталин и ВЧК–ГПУ–ОГПУ–НКВД. Архив Сталина. Документы высших органов партийной и государственной власти. Январь 1922 — декабрь 1936. М., 2003. С.292) (11703).</w:t>
      </w:r>
    </w:p>
    <w:p w14:paraId="26D2F50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60F8988" w14:textId="0B87A08C"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На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 годовой план предусматривал экспорт в размере 731 млн.</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руб. По факту экспорт составил 574,9 млн.</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руб, импорт - 704,00 млн.руб,</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отрицательный баланс – 129,1 млн. руб. Необходимо иметь в виду, что в составе импорта значительную долю занимало оборудование, полученное по заказам прошлых лет. С учетом этого, фактические закупки в</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году составили 487,6 млн. руб. при положительном балансе 87,3 млн. руб.</w:t>
      </w:r>
    </w:p>
    <w:p w14:paraId="1D1BD46A" w14:textId="280ADA07"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Валютный план по торговой части.</w:t>
      </w:r>
      <w:r w:rsidRPr="00E93F40">
        <w:rPr>
          <w:rFonts w:ascii="Times New Roman" w:eastAsia="Times New Roman" w:hAnsi="Times New Roman"/>
          <w:color w:val="000000" w:themeColor="text1"/>
          <w:sz w:val="16"/>
          <w:szCs w:val="16"/>
          <w:lang w:eastAsia="ru-RU"/>
        </w:rPr>
        <w:t xml:space="preserve"> Приход валюты по плану на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 по торговой части должен был составить 704,0 млн. руб. Расходная часть валютного плана по торговой части предполагалась в 616,2 млн. руб.</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Она, в свою очередь, состояла из платежей за импорт</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года в 67,7 млн.</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руб, и выплаты задолженности предыдущих лет. Положительное сальдо предполагалось в 87,8 млн. руб.</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По факту, валютные поступления вместо 704,0 млн. руб. составили 505,8 млн.</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руб, а расход - 561,3 млн.</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руб, с отрицательным сальдо по торговой части в 55 млн. руб. (Точных данных по выполнению валютного плана на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 найти не удалось. Поэтому указанные цифры, есть сумма уточненных ежемесячных валютных планов по торговой части за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 исходя из допущения, что они были выполнены.</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Цифры не совсем точны, но в целом отражают произошедшее).</w:t>
      </w:r>
    </w:p>
    <w:p w14:paraId="4FB0AE37" w14:textId="2A3E4157"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По платежному балансу СССР в целом.</w:t>
      </w:r>
      <w:r w:rsidRPr="00E93F40">
        <w:rPr>
          <w:rFonts w:ascii="Times New Roman" w:eastAsia="Times New Roman" w:hAnsi="Times New Roman"/>
          <w:color w:val="000000" w:themeColor="text1"/>
          <w:sz w:val="16"/>
          <w:szCs w:val="16"/>
          <w:lang w:eastAsia="ru-RU"/>
        </w:rPr>
        <w:t xml:space="preserve"> Поступления по долгосрочным и краткосрочным кредитным операциям составили в</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году 388,6 млн. руб.</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Расходы по погашению и процентам по долгосрочным и краткосрочным кредитным операциям – 893,4 млн. руб. Чистый расход по кредитам 504.8 млн. руб.</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Валовые поступления от реализации вместе с чистым доходом от заграничных переводов и расходов иностранцев дали после покрытия всех накладных и торговых расходов и наличных платежей</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импорту, Востоку и государственным расходам излишек поступлений в 404,6 млн. руб.</w:t>
      </w:r>
    </w:p>
    <w:p w14:paraId="4818474D" w14:textId="732F9D05"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Таким образом, для погашения обязательств по кредитам недоставало 100,1 млн. руб. Эта сумма была оплачена за счет снижения на 13,4 млн. руб. ранее накопленной наличности на счетах Госбанка 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ВТБ</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за границей и в кассе, и на 86,7 млн. руб. за счет реализации золота.</w:t>
      </w:r>
    </w:p>
    <w:p w14:paraId="66742E36" w14:textId="35A32072"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В итоге, экспортный план на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год был провален. Что в свою очередь сократило поступление валюты, и усложнило возможность расплатиться по накопленным долгам. Так выглядит хроника основных событий</w:t>
      </w:r>
    </w:p>
    <w:p w14:paraId="121DB446" w14:textId="62344FD5"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16 марта</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Решение о дополнительном экспорте товаров в размере 10,7 млн. руб.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17.162.12 Л.5)</w:t>
      </w:r>
    </w:p>
    <w:p w14:paraId="18998F10" w14:textId="18F5AC4D"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июня</w:t>
      </w:r>
      <w:r w:rsidR="00DD74E1">
        <w:rPr>
          <w:rFonts w:ascii="Times New Roman" w:eastAsia="Times New Roman" w:hAnsi="Times New Roman"/>
          <w:bCs/>
          <w:color w:val="000000" w:themeColor="text1"/>
          <w:sz w:val="16"/>
          <w:szCs w:val="16"/>
          <w:lang w:eastAsia="ru-RU"/>
        </w:rPr>
        <w:t xml:space="preserve"> </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переговоры с Германией об улучшении импортных кредитов.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17.162.12 Л. 153)</w:t>
      </w:r>
    </w:p>
    <w:p w14:paraId="5612240A" w14:textId="39DD97A7"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lastRenderedPageBreak/>
        <w:t>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июня</w:t>
      </w:r>
      <w:r w:rsidR="00DD74E1">
        <w:rPr>
          <w:rFonts w:ascii="Times New Roman" w:eastAsia="Times New Roman" w:hAnsi="Times New Roman"/>
          <w:bCs/>
          <w:color w:val="000000" w:themeColor="text1"/>
          <w:sz w:val="16"/>
          <w:szCs w:val="16"/>
          <w:lang w:eastAsia="ru-RU"/>
        </w:rPr>
        <w:t xml:space="preserve"> </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ПБ обязало аффинажный завод в Москве переработать 4 тонны чистого золота, а также обеспечить вывоз всего золота с приисков в Москву не позднее 18 июня.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17.162.12 Л. 174)</w:t>
      </w:r>
    </w:p>
    <w:p w14:paraId="10FD7B90" w14:textId="4C8B8F6E"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14</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июня</w:t>
      </w:r>
      <w:r w:rsidR="00DD74E1">
        <w:rPr>
          <w:rFonts w:ascii="Times New Roman" w:eastAsia="Times New Roman" w:hAnsi="Times New Roman"/>
          <w:bCs/>
          <w:color w:val="000000" w:themeColor="text1"/>
          <w:sz w:val="16"/>
          <w:szCs w:val="16"/>
          <w:lang w:eastAsia="ru-RU"/>
        </w:rPr>
        <w:t xml:space="preserve"> </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Из письма Кагановича Сталину</w:t>
      </w:r>
    </w:p>
    <w:p w14:paraId="6779F450" w14:textId="26E7D949"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iCs/>
          <w:color w:val="000000" w:themeColor="text1"/>
          <w:sz w:val="16"/>
          <w:szCs w:val="16"/>
          <w:lang w:eastAsia="ru-RU"/>
        </w:rPr>
        <w:t>Прежде</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всего</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хочу Вам сообщить о работе по валюте. …</w:t>
      </w:r>
    </w:p>
    <w:p w14:paraId="4C9E9952" w14:textId="503C6B9F"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iCs/>
          <w:color w:val="000000" w:themeColor="text1"/>
          <w:sz w:val="16"/>
          <w:szCs w:val="16"/>
          <w:lang w:eastAsia="ru-RU"/>
        </w:rPr>
        <w:t>…необходимо сократить и оттянуть частично план импорта в</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но комиссия Рудзутака вместо непосредственной работы над сокращением ограничилась тем, что поручила Орджоникидзе и</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Розенгольцу</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договориться!! Ну и, конечно, пришлось бы долго ждать, пока они бы сговорились. Пришлось поэтому в связи с докладом моей подкомиссии о балансе платежей установить лимиты в цифрах, чтобы облегчить Рудзутаку задачу резки импорта. Мы постановили: «Предложить комиссии т. Рудзутака ограничить платежи в</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суммой не свыше 67 мил.</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(установленной уже ПБ), включая платежи по всему дополнительному импортному плану по всем особым постановлениям, в том числе и закупкой хлеба для</w:t>
      </w:r>
      <w:r w:rsidR="007C1411" w:rsidRPr="00E93F40">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ДВК, а платежи по импортному плану</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1932</w:t>
      </w:r>
      <w:r w:rsidR="00DD74E1">
        <w:rPr>
          <w:rFonts w:ascii="Times New Roman" w:eastAsia="Times New Roman" w:hAnsi="Times New Roman"/>
          <w:iCs/>
          <w:color w:val="000000" w:themeColor="text1"/>
          <w:sz w:val="16"/>
          <w:szCs w:val="16"/>
          <w:lang w:eastAsia="ru-RU"/>
        </w:rPr>
        <w:t xml:space="preserve"> </w:t>
      </w:r>
      <w:r w:rsidRPr="00E93F40">
        <w:rPr>
          <w:rFonts w:ascii="Times New Roman" w:eastAsia="Times New Roman" w:hAnsi="Times New Roman"/>
          <w:iCs/>
          <w:color w:val="000000" w:themeColor="text1"/>
          <w:sz w:val="16"/>
          <w:szCs w:val="16"/>
          <w:lang w:eastAsia="ru-RU"/>
        </w:rPr>
        <w:t>г., падающие на 1933 г., не свыше 85 мил. рублей.</w:t>
      </w:r>
    </w:p>
    <w:p w14:paraId="7B6CCD15" w14:textId="77777777"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iCs/>
          <w:color w:val="000000" w:themeColor="text1"/>
          <w:sz w:val="16"/>
          <w:szCs w:val="16"/>
          <w:lang w:eastAsia="ru-RU"/>
        </w:rPr>
        <w:t>Не обошлось, конечно, без споров и «комплиментов», но мы настояли, и это было принято.»</w:t>
      </w:r>
    </w:p>
    <w:p w14:paraId="180486DB" w14:textId="26DA4D06"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21 июля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Поручение прозондировать в правительственных кругах Германии вопрос об использовании замороженных в Германии иностранных кредитов.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Л 42)</w:t>
      </w:r>
    </w:p>
    <w:p w14:paraId="00B64C84" w14:textId="5AB1FA30"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23 июля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решение о дополнительном экспорте в размере 4,4 млн. руб.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Л 43)</w:t>
      </w:r>
    </w:p>
    <w:p w14:paraId="6CA205F8" w14:textId="446E4BA0"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27 июля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года -</w:t>
      </w:r>
      <w:r w:rsidRPr="00E93F40">
        <w:rPr>
          <w:rFonts w:ascii="Times New Roman" w:eastAsia="Times New Roman" w:hAnsi="Times New Roman"/>
          <w:color w:val="000000" w:themeColor="text1"/>
          <w:sz w:val="16"/>
          <w:szCs w:val="16"/>
          <w:lang w:eastAsia="ru-RU"/>
        </w:rPr>
        <w:t xml:space="preserve"> для покрытия дефицита июльского плана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решение о вывозе золота на сумму 9,5 млн. руб.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17.162.13 Л. 51)</w:t>
      </w:r>
    </w:p>
    <w:p w14:paraId="1ECBE6C5" w14:textId="0AE52A87"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3 августа</w:t>
      </w:r>
      <w:r w:rsidR="007C1411" w:rsidRPr="00E93F40">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создание комиссии в составе Рудзутака, Пятакова, Элиавы,</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Аркуса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для разработки мероприятий по мобилизации валютных резервов.(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17.162.13 Л. 54)</w:t>
      </w:r>
    </w:p>
    <w:p w14:paraId="0F60D355" w14:textId="5E86472B"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8 августа</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w:t>
      </w:r>
      <w:r w:rsidRPr="00E93F40">
        <w:rPr>
          <w:rFonts w:ascii="Times New Roman" w:eastAsia="Times New Roman" w:hAnsi="Times New Roman"/>
          <w:color w:val="000000" w:themeColor="text1"/>
          <w:sz w:val="16"/>
          <w:szCs w:val="16"/>
          <w:lang w:eastAsia="ru-RU"/>
        </w:rPr>
        <w:t>– Предложение Госбанку в течении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августа добиться получения ссуды под покупательскую задолженность и гарантию иностранного банка для получения кредита по пошлине в сумме не менее 1 млн. рублей в Швеции.</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А также обязательство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НКВТ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обеспечить получение бланковых кредитов по хлебу в сумме 5800 тысяч рублей. (РГАСИ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17.162.13 Л. 57, 58)</w:t>
      </w:r>
    </w:p>
    <w:p w14:paraId="10982D76" w14:textId="681EB51F"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16 августа</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w:t>
      </w:r>
      <w:r w:rsidRPr="00E93F40">
        <w:rPr>
          <w:rFonts w:ascii="Times New Roman" w:eastAsia="Times New Roman" w:hAnsi="Times New Roman"/>
          <w:color w:val="000000" w:themeColor="text1"/>
          <w:sz w:val="16"/>
          <w:szCs w:val="16"/>
          <w:lang w:eastAsia="ru-RU"/>
        </w:rPr>
        <w:t>Решение по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Главцветметзолоту. Сконцентрировать в Москве на аффинажном заводе в течение</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III</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квартала не менее 20 тонн золота.(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Л.61)</w:t>
      </w:r>
    </w:p>
    <w:p w14:paraId="3914C994" w14:textId="182064FF"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5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НКВТ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предложило Международной нефтяной группе следующие формы обеспечения, по займу</w:t>
      </w:r>
    </w:p>
    <w:p w14:paraId="6D861811" w14:textId="681BAAB7"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1) Выдачу векселей</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Союзнефтеэкспорта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 гарантией Госбанка на сумму предполагаемого к получению займа.</w:t>
      </w:r>
    </w:p>
    <w:p w14:paraId="4C563431" w14:textId="77777777"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2) В случае неплатежа очередных взносов по покрытию аванса считать возможным предложить, чтобы этот платеж был покрыт за счет поступления от экспорта нашей нефти с момента неплатежа.</w:t>
      </w:r>
    </w:p>
    <w:p w14:paraId="221D2AEC" w14:textId="4B80257A"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color w:val="000000" w:themeColor="text1"/>
          <w:sz w:val="16"/>
          <w:szCs w:val="16"/>
          <w:lang w:eastAsia="ru-RU"/>
        </w:rPr>
        <w:t>3) В случае неплатежа, при недостаточности покрытия согласно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п.2,</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считать возможным предоставить</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 виде обеспечения имущество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Союзнефтеэкспорта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за границей, состоящее из разного рода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инсталяций</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и оборудования.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17.162.13</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Л.120)</w:t>
      </w:r>
    </w:p>
    <w:p w14:paraId="54046185" w14:textId="3140B5C3"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6 октября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 xml:space="preserve"> – Комитету резервов было предложено предоставить в распоряжение</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Экспортхлеба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500 тыс. тонн хлеба в портах в качестве залога,</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для получения</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варрантного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кредита. Также ПБ обязало тт. Ягоду 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Гольцмана</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вывезти не менее 2 тонн золота с</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Дальстроя, частично к концу октября, частично к середине декабря.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17.162.13 Л. 123, 125)</w:t>
      </w:r>
    </w:p>
    <w:p w14:paraId="471E1796" w14:textId="2F30C71D" w:rsidR="00287E4A"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22 ноября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w:t>
      </w:r>
      <w:r w:rsidRPr="00E93F40">
        <w:rPr>
          <w:rFonts w:ascii="Times New Roman" w:eastAsia="Times New Roman" w:hAnsi="Times New Roman"/>
          <w:color w:val="000000" w:themeColor="text1"/>
          <w:sz w:val="16"/>
          <w:szCs w:val="16"/>
          <w:lang w:eastAsia="ru-RU"/>
        </w:rPr>
        <w:t>.</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Торгсину разрешено скупать серебряные монеты дореволюционной чеканки и бытового серебра.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 14 Л. 17)</w:t>
      </w:r>
    </w:p>
    <w:p w14:paraId="687BC163" w14:textId="5B3E9C02" w:rsidR="0098099F" w:rsidRPr="00E93F40" w:rsidRDefault="00287E4A"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4 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г. -</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Разрешено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НКВТ</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при проведении переговоров о получении кредита в Германии, соглашаться на предоставлении банкам в качестве обеспечения: леса и марганца в портах СССР, облигаций промышленных и торговых предприятий, делегировать поступления по нашему экспорту в пользу фирм, предоставивших нам кредиты. Также при получении кредитов на срок не меньше 18 месяцев, идти на обязательство закупки на сумму в размере до 50% полученных кредитов товаров.</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17.162.14</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Л.24)</w:t>
      </w:r>
    </w:p>
    <w:p w14:paraId="6EB6E261" w14:textId="07B53BF9" w:rsidR="0098099F" w:rsidRPr="00E93F40" w:rsidRDefault="0098099F"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7 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Принято предложение комиссии Молотова о выдаче антикварных ценностей на сумму 2,8 млн. руб. Учитывая, что выделенные реализационные фонды антикварных предметов не обеспечили полностью план на конец</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1932</w:t>
      </w:r>
      <w:r w:rsidR="00DD74E1">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 и на 1933 г., предложено немедленно приступить к переговорам о продаже уникальных предметов.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17.162.14</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Л.25)</w:t>
      </w:r>
    </w:p>
    <w:p w14:paraId="7917A742" w14:textId="1AAFC4DF" w:rsidR="00931489" w:rsidRPr="00E93F40" w:rsidRDefault="0098099F"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eastAsia="Times New Roman" w:hAnsi="Times New Roman"/>
          <w:bCs/>
          <w:color w:val="000000" w:themeColor="text1"/>
          <w:sz w:val="16"/>
          <w:szCs w:val="16"/>
          <w:lang w:eastAsia="ru-RU"/>
        </w:rPr>
        <w:t>14 декабря</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1932</w:t>
      </w:r>
      <w:r w:rsidR="00DD74E1">
        <w:rPr>
          <w:rFonts w:ascii="Times New Roman" w:eastAsia="Times New Roman" w:hAnsi="Times New Roman"/>
          <w:bCs/>
          <w:color w:val="000000" w:themeColor="text1"/>
          <w:sz w:val="16"/>
          <w:szCs w:val="16"/>
          <w:lang w:eastAsia="ru-RU"/>
        </w:rPr>
        <w:t xml:space="preserve"> </w:t>
      </w:r>
      <w:r w:rsidRPr="00E93F40">
        <w:rPr>
          <w:rFonts w:ascii="Times New Roman" w:eastAsia="Times New Roman" w:hAnsi="Times New Roman"/>
          <w:bCs/>
          <w:color w:val="000000" w:themeColor="text1"/>
          <w:sz w:val="16"/>
          <w:szCs w:val="16"/>
          <w:lang w:eastAsia="ru-RU"/>
        </w:rPr>
        <w:t xml:space="preserve">г. – </w:t>
      </w:r>
      <w:r w:rsidRPr="00E93F40">
        <w:rPr>
          <w:rFonts w:ascii="Times New Roman" w:eastAsia="Times New Roman" w:hAnsi="Times New Roman"/>
          <w:color w:val="000000" w:themeColor="text1"/>
          <w:sz w:val="16"/>
          <w:szCs w:val="16"/>
          <w:lang w:eastAsia="ru-RU"/>
        </w:rPr>
        <w:t>ПБ обязало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Главцветметзолото</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выяснить наличие и объем золотосодержащих отходов в течение месяца, с целью реализации их на внешнем рынке. (РГАСПИ</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17.162.14</w:t>
      </w:r>
      <w:r w:rsidR="007C1411" w:rsidRPr="00E93F40">
        <w:rPr>
          <w:rFonts w:ascii="Times New Roman" w:eastAsia="Times New Roman" w:hAnsi="Times New Roman"/>
          <w:color w:val="000000" w:themeColor="text1"/>
          <w:sz w:val="16"/>
          <w:szCs w:val="16"/>
          <w:lang w:eastAsia="ru-RU"/>
        </w:rPr>
        <w:t xml:space="preserve"> </w:t>
      </w:r>
      <w:r w:rsidRPr="00E93F40">
        <w:rPr>
          <w:rFonts w:ascii="Times New Roman" w:eastAsia="Times New Roman" w:hAnsi="Times New Roman"/>
          <w:color w:val="000000" w:themeColor="text1"/>
          <w:sz w:val="16"/>
          <w:szCs w:val="16"/>
          <w:lang w:eastAsia="ru-RU"/>
        </w:rPr>
        <w:t>Л.39)</w:t>
      </w:r>
    </w:p>
    <w:p w14:paraId="1B789148" w14:textId="04A26A2A" w:rsidR="00287E4A" w:rsidRPr="00E93F40" w:rsidRDefault="00931489" w:rsidP="00E93F4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93F40">
        <w:rPr>
          <w:rFonts w:ascii="Times New Roman" w:hAnsi="Times New Roman"/>
          <w:color w:val="000000" w:themeColor="text1"/>
          <w:sz w:val="16"/>
          <w:szCs w:val="16"/>
        </w:rPr>
        <w:t>Со второй половины</w:t>
      </w:r>
      <w:r w:rsidR="00DD74E1">
        <w:rPr>
          <w:rFonts w:ascii="Times New Roman" w:hAnsi="Times New Roman"/>
          <w:color w:val="000000" w:themeColor="text1"/>
          <w:sz w:val="16"/>
          <w:szCs w:val="16"/>
        </w:rPr>
        <w:t xml:space="preserve"> </w:t>
      </w:r>
      <w:r w:rsidRPr="00E93F40">
        <w:rPr>
          <w:rStyle w:val="highlight"/>
          <w:rFonts w:ascii="Times New Roman" w:hAnsi="Times New Roman"/>
          <w:color w:val="000000" w:themeColor="text1"/>
          <w:sz w:val="16"/>
          <w:szCs w:val="16"/>
        </w:rPr>
        <w:t>1932</w:t>
      </w:r>
      <w:r w:rsidR="00DD74E1">
        <w:rPr>
          <w:rStyle w:val="highlight"/>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года, вследствие мирового финансового кризиса и начала крупных выплат по иностранным кредитам, СССР оказался в сложнейшем финансовом положении и стоял на грани банкротства. Благодаря предпринятым мерам, таким, как резкое сокращение импорта, реструктуризация долгов, расширение номенклатуры экспорта, новые займы, расширение сети Торгсина и продажа золота, дефолта удалось избежать. Пик финансового кризиса СССР пришелся на март-июль 1933 года и практически полностью совпал по времени с пиком голода 1933 года</w:t>
      </w:r>
      <w:r w:rsidR="00287E4A" w:rsidRPr="00E93F40">
        <w:rPr>
          <w:rFonts w:ascii="Times New Roman" w:eastAsia="Times New Roman" w:hAnsi="Times New Roman"/>
          <w:color w:val="000000" w:themeColor="text1"/>
          <w:sz w:val="16"/>
          <w:szCs w:val="16"/>
          <w:lang w:eastAsia="ru-RU"/>
        </w:rPr>
        <w:t>(17266).</w:t>
      </w:r>
    </w:p>
    <w:p w14:paraId="7B6A25D5" w14:textId="77777777" w:rsidR="00287E4A" w:rsidRPr="00E93F40" w:rsidRDefault="00287E4A" w:rsidP="00E93F40">
      <w:pPr>
        <w:autoSpaceDE w:val="0"/>
        <w:autoSpaceDN w:val="0"/>
        <w:adjustRightInd w:val="0"/>
        <w:spacing w:after="0" w:line="240" w:lineRule="auto"/>
        <w:jc w:val="both"/>
        <w:rPr>
          <w:rFonts w:ascii="Times New Roman" w:hAnsi="Times New Roman"/>
          <w:color w:val="000000" w:themeColor="text1"/>
          <w:sz w:val="16"/>
          <w:szCs w:val="16"/>
        </w:rPr>
      </w:pPr>
    </w:p>
    <w:p w14:paraId="323A62CD"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За рубежом:</w:t>
      </w:r>
    </w:p>
    <w:p w14:paraId="04ED2738"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90653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т.е. во времена, чуть-чуть предшествующие эпохе торжества скоро</w:t>
      </w:r>
      <w:r w:rsidRPr="00E93F40">
        <w:rPr>
          <w:rFonts w:ascii="Times New Roman" w:hAnsi="Times New Roman"/>
          <w:color w:val="000000" w:themeColor="text1"/>
          <w:sz w:val="16"/>
          <w:szCs w:val="16"/>
        </w:rPr>
        <w:softHyphen/>
        <w:t>стных современных монопланов, началось проектирование изящного двух</w:t>
      </w:r>
      <w:r w:rsidRPr="00E93F40">
        <w:rPr>
          <w:rFonts w:ascii="Times New Roman" w:hAnsi="Times New Roman"/>
          <w:color w:val="000000" w:themeColor="text1"/>
          <w:sz w:val="16"/>
          <w:szCs w:val="16"/>
        </w:rPr>
        <w:softHyphen/>
        <w:t>моторного самолета. Можно утверждать, что новый аппарат фирмы Локхид, ставший впоследствии известен как «Электра» (</w:t>
      </w:r>
      <w:r w:rsidRPr="00E93F40">
        <w:rPr>
          <w:rFonts w:ascii="Times New Roman" w:hAnsi="Times New Roman"/>
          <w:color w:val="000000" w:themeColor="text1"/>
          <w:sz w:val="16"/>
          <w:szCs w:val="16"/>
          <w:lang w:val="en-US"/>
        </w:rPr>
        <w:t>Elektra</w:t>
      </w:r>
      <w:r w:rsidRPr="00E93F40">
        <w:rPr>
          <w:rFonts w:ascii="Times New Roman" w:hAnsi="Times New Roman"/>
          <w:color w:val="000000" w:themeColor="text1"/>
          <w:sz w:val="16"/>
          <w:szCs w:val="16"/>
        </w:rPr>
        <w:t>), находился на самом острие технического прогресса. Вопросы рен</w:t>
      </w:r>
      <w:r w:rsidRPr="00E93F40">
        <w:rPr>
          <w:rFonts w:ascii="Times New Roman" w:hAnsi="Times New Roman"/>
          <w:color w:val="000000" w:themeColor="text1"/>
          <w:sz w:val="16"/>
          <w:szCs w:val="16"/>
        </w:rPr>
        <w:softHyphen/>
        <w:t>табельности еще не стояли перед авиапере</w:t>
      </w:r>
      <w:r w:rsidRPr="00E93F40">
        <w:rPr>
          <w:rFonts w:ascii="Times New Roman" w:hAnsi="Times New Roman"/>
          <w:color w:val="000000" w:themeColor="text1"/>
          <w:sz w:val="16"/>
          <w:szCs w:val="16"/>
        </w:rPr>
        <w:softHyphen/>
        <w:t xml:space="preserve">возчиками столь остро, поэтому конструкторы и идеологи фирмы Локхид определили его как 10-местный пассажирский лайнер при двух членах экипажа. Силовая установка состояла из двух звездообразных двигателей Пратт-Уитни </w:t>
      </w:r>
      <w:r w:rsidRPr="00E93F40">
        <w:rPr>
          <w:rFonts w:ascii="Times New Roman" w:hAnsi="Times New Roman"/>
          <w:color w:val="000000" w:themeColor="text1"/>
          <w:sz w:val="16"/>
          <w:szCs w:val="16"/>
          <w:lang w:val="en-US"/>
        </w:rPr>
        <w:t>R</w:t>
      </w:r>
      <w:r w:rsidRPr="00E93F40">
        <w:rPr>
          <w:rFonts w:ascii="Times New Roman" w:hAnsi="Times New Roman"/>
          <w:color w:val="000000" w:themeColor="text1"/>
          <w:sz w:val="16"/>
          <w:szCs w:val="16"/>
        </w:rPr>
        <w:t>-1340-</w:t>
      </w:r>
      <w:r w:rsidRPr="00E93F40">
        <w:rPr>
          <w:rFonts w:ascii="Times New Roman" w:hAnsi="Times New Roman"/>
          <w:color w:val="000000" w:themeColor="text1"/>
          <w:sz w:val="16"/>
          <w:szCs w:val="16"/>
          <w:lang w:val="en-US"/>
        </w:rPr>
        <w:t>S</w:t>
      </w:r>
      <w:r w:rsidRPr="00E93F40">
        <w:rPr>
          <w:rFonts w:ascii="Times New Roman" w:hAnsi="Times New Roman"/>
          <w:color w:val="000000" w:themeColor="text1"/>
          <w:sz w:val="16"/>
          <w:szCs w:val="16"/>
        </w:rPr>
        <w:t>1</w:t>
      </w:r>
      <w:r w:rsidRPr="00E93F40">
        <w:rPr>
          <w:rFonts w:ascii="Times New Roman" w:hAnsi="Times New Roman"/>
          <w:color w:val="000000" w:themeColor="text1"/>
          <w:sz w:val="16"/>
          <w:szCs w:val="16"/>
          <w:lang w:val="en-US"/>
        </w:rPr>
        <w:t>H</w:t>
      </w:r>
      <w:r w:rsidRPr="00E93F40">
        <w:rPr>
          <w:rFonts w:ascii="Times New Roman" w:hAnsi="Times New Roman"/>
          <w:color w:val="000000" w:themeColor="text1"/>
          <w:sz w:val="16"/>
          <w:szCs w:val="16"/>
        </w:rPr>
        <w:t>1 «Уосп Джуниор» мощностью по 550 л.с. Самолет, получивший рабочее наименование «Модель 10», прошел длительный этап совершенствования, прежде чем поднялся впервые в воздух в феврале 1934 г. В августе того же года первые серий</w:t>
      </w:r>
      <w:r w:rsidRPr="00E93F40">
        <w:rPr>
          <w:rFonts w:ascii="Times New Roman" w:hAnsi="Times New Roman"/>
          <w:color w:val="000000" w:themeColor="text1"/>
          <w:sz w:val="16"/>
          <w:szCs w:val="16"/>
        </w:rPr>
        <w:softHyphen/>
        <w:t xml:space="preserve">ные аппараты модификации </w:t>
      </w:r>
      <w:r w:rsidRPr="00E93F40">
        <w:rPr>
          <w:rFonts w:ascii="Times New Roman" w:hAnsi="Times New Roman"/>
          <w:color w:val="000000" w:themeColor="text1"/>
          <w:sz w:val="16"/>
          <w:szCs w:val="16"/>
          <w:lang w:val="en-US"/>
        </w:rPr>
        <w:t>L</w:t>
      </w:r>
      <w:r w:rsidRPr="00E93F40">
        <w:rPr>
          <w:rFonts w:ascii="Times New Roman" w:hAnsi="Times New Roman"/>
          <w:color w:val="000000" w:themeColor="text1"/>
          <w:sz w:val="16"/>
          <w:szCs w:val="16"/>
        </w:rPr>
        <w:t>-10</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 xml:space="preserve"> уже вышли на регулярные транспортные линии. Серийное производство с небольшим переры</w:t>
      </w:r>
      <w:r w:rsidRPr="00E93F40">
        <w:rPr>
          <w:rFonts w:ascii="Times New Roman" w:hAnsi="Times New Roman"/>
          <w:color w:val="000000" w:themeColor="text1"/>
          <w:sz w:val="16"/>
          <w:szCs w:val="16"/>
        </w:rPr>
        <w:softHyphen/>
        <w:t>вом продолжалось до 1941 года, всего выпу</w:t>
      </w:r>
      <w:r w:rsidRPr="00E93F40">
        <w:rPr>
          <w:rFonts w:ascii="Times New Roman" w:hAnsi="Times New Roman"/>
          <w:color w:val="000000" w:themeColor="text1"/>
          <w:sz w:val="16"/>
          <w:szCs w:val="16"/>
        </w:rPr>
        <w:softHyphen/>
        <w:t xml:space="preserve">стили около 150 экземпляров </w:t>
      </w:r>
      <w:r w:rsidRPr="00E93F40">
        <w:rPr>
          <w:rFonts w:ascii="Times New Roman" w:hAnsi="Times New Roman"/>
          <w:color w:val="000000" w:themeColor="text1"/>
          <w:sz w:val="16"/>
          <w:szCs w:val="16"/>
          <w:lang w:val="en-US"/>
        </w:rPr>
        <w:t>L</w:t>
      </w:r>
      <w:r w:rsidRPr="00E93F40">
        <w:rPr>
          <w:rFonts w:ascii="Times New Roman" w:hAnsi="Times New Roman"/>
          <w:color w:val="000000" w:themeColor="text1"/>
          <w:sz w:val="16"/>
          <w:szCs w:val="16"/>
        </w:rPr>
        <w:t>-10</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L</w:t>
      </w:r>
      <w:r w:rsidRPr="00E93F40">
        <w:rPr>
          <w:rFonts w:ascii="Times New Roman" w:hAnsi="Times New Roman"/>
          <w:color w:val="000000" w:themeColor="text1"/>
          <w:sz w:val="16"/>
          <w:szCs w:val="16"/>
        </w:rPr>
        <w:t>-10</w:t>
      </w:r>
      <w:r w:rsidRPr="00E93F40">
        <w:rPr>
          <w:rFonts w:ascii="Times New Roman" w:hAnsi="Times New Roman"/>
          <w:color w:val="000000" w:themeColor="text1"/>
          <w:sz w:val="16"/>
          <w:szCs w:val="16"/>
          <w:lang w:val="en-US"/>
        </w:rPr>
        <w:t>B</w:t>
      </w:r>
      <w:r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lang w:val="en-US"/>
        </w:rPr>
        <w:t>L</w:t>
      </w:r>
      <w:r w:rsidRPr="00E93F40">
        <w:rPr>
          <w:rFonts w:ascii="Times New Roman" w:hAnsi="Times New Roman"/>
          <w:color w:val="000000" w:themeColor="text1"/>
          <w:sz w:val="16"/>
          <w:szCs w:val="16"/>
        </w:rPr>
        <w:t xml:space="preserve">- 10С и </w:t>
      </w:r>
      <w:r w:rsidRPr="00E93F40">
        <w:rPr>
          <w:rFonts w:ascii="Times New Roman" w:hAnsi="Times New Roman"/>
          <w:color w:val="000000" w:themeColor="text1"/>
          <w:sz w:val="16"/>
          <w:szCs w:val="16"/>
          <w:lang w:val="en-US"/>
        </w:rPr>
        <w:t>L</w:t>
      </w:r>
      <w:r w:rsidRPr="00E93F40">
        <w:rPr>
          <w:rFonts w:ascii="Times New Roman" w:hAnsi="Times New Roman"/>
          <w:color w:val="000000" w:themeColor="text1"/>
          <w:sz w:val="16"/>
          <w:szCs w:val="16"/>
        </w:rPr>
        <w:t>-10</w:t>
      </w:r>
      <w:r w:rsidRPr="00E93F40">
        <w:rPr>
          <w:rFonts w:ascii="Times New Roman" w:hAnsi="Times New Roman"/>
          <w:color w:val="000000" w:themeColor="text1"/>
          <w:sz w:val="16"/>
          <w:szCs w:val="16"/>
          <w:lang w:val="en-US"/>
        </w:rPr>
        <w:t>E</w:t>
      </w:r>
      <w:r w:rsidRPr="00E93F40">
        <w:rPr>
          <w:rFonts w:ascii="Times New Roman" w:hAnsi="Times New Roman"/>
          <w:color w:val="000000" w:themeColor="text1"/>
          <w:sz w:val="16"/>
          <w:szCs w:val="16"/>
        </w:rPr>
        <w:t xml:space="preserve">, которые отличались в основном двигателями и оборудованием. Более всего, порядка ста машин, произвели самолетов модификации </w:t>
      </w:r>
      <w:r w:rsidRPr="00E93F40">
        <w:rPr>
          <w:rFonts w:ascii="Times New Roman" w:hAnsi="Times New Roman"/>
          <w:color w:val="000000" w:themeColor="text1"/>
          <w:sz w:val="16"/>
          <w:szCs w:val="16"/>
          <w:lang w:val="en-US"/>
        </w:rPr>
        <w:t>L</w:t>
      </w:r>
      <w:r w:rsidRPr="00E93F40">
        <w:rPr>
          <w:rFonts w:ascii="Times New Roman" w:hAnsi="Times New Roman"/>
          <w:color w:val="000000" w:themeColor="text1"/>
          <w:sz w:val="16"/>
          <w:szCs w:val="16"/>
        </w:rPr>
        <w:t>-10</w:t>
      </w:r>
      <w:r w:rsidRPr="00E93F40">
        <w:rPr>
          <w:rFonts w:ascii="Times New Roman" w:hAnsi="Times New Roman"/>
          <w:color w:val="000000" w:themeColor="text1"/>
          <w:sz w:val="16"/>
          <w:szCs w:val="16"/>
          <w:lang w:val="en-US"/>
        </w:rPr>
        <w:t>A</w:t>
      </w:r>
      <w:r w:rsidRPr="00E93F40">
        <w:rPr>
          <w:rFonts w:ascii="Times New Roman" w:hAnsi="Times New Roman"/>
          <w:color w:val="000000" w:themeColor="text1"/>
          <w:sz w:val="16"/>
          <w:szCs w:val="16"/>
        </w:rPr>
        <w:t>, которые небольшими партиями разошлись по всему миру (11976).</w:t>
      </w:r>
    </w:p>
    <w:p w14:paraId="22BF47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F184B60" w14:textId="77777777" w:rsidR="007B1D3C" w:rsidRPr="00E93F40" w:rsidRDefault="007B1D3C" w:rsidP="00E93F4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после демонстрации вто</w:t>
      </w:r>
      <w:r w:rsidRPr="00E93F40">
        <w:rPr>
          <w:rFonts w:ascii="Times New Roman" w:hAnsi="Times New Roman"/>
          <w:color w:val="000000" w:themeColor="text1"/>
          <w:sz w:val="16"/>
          <w:szCs w:val="16"/>
        </w:rPr>
        <w:softHyphen/>
        <w:t>рого экземпляра “Хейнкеля” военному руководству Германии в Рехлине пос</w:t>
      </w:r>
      <w:r w:rsidRPr="00E93F40">
        <w:rPr>
          <w:rFonts w:ascii="Times New Roman" w:hAnsi="Times New Roman"/>
          <w:color w:val="000000" w:themeColor="text1"/>
          <w:sz w:val="16"/>
          <w:szCs w:val="16"/>
        </w:rPr>
        <w:softHyphen/>
        <w:t>ледовал заказ сначала на три предсерийных Не 50aL с мотором SAM 22B (взлетная мощность 600 л.с.), а затем на поставку в ВВС 60 серийных Не 50А (из них 12 машин с мотором “Юпи</w:t>
      </w:r>
      <w:r w:rsidRPr="00E93F40">
        <w:rPr>
          <w:rFonts w:ascii="Times New Roman" w:hAnsi="Times New Roman"/>
          <w:color w:val="000000" w:themeColor="text1"/>
          <w:sz w:val="16"/>
          <w:szCs w:val="16"/>
        </w:rPr>
        <w:softHyphen/>
        <w:t>тер” VI). Вооружение пикировщика включа</w:t>
      </w:r>
      <w:r w:rsidRPr="00E93F40">
        <w:rPr>
          <w:rFonts w:ascii="Times New Roman" w:hAnsi="Times New Roman"/>
          <w:color w:val="000000" w:themeColor="text1"/>
          <w:sz w:val="16"/>
          <w:szCs w:val="16"/>
        </w:rPr>
        <w:softHyphen/>
        <w:t>ло два пулемета нормального калибра (один синхронный для стрельбы впе</w:t>
      </w:r>
      <w:r w:rsidRPr="00E93F40">
        <w:rPr>
          <w:rFonts w:ascii="Times New Roman" w:hAnsi="Times New Roman"/>
          <w:color w:val="000000" w:themeColor="text1"/>
          <w:sz w:val="16"/>
          <w:szCs w:val="16"/>
        </w:rPr>
        <w:softHyphen/>
        <w:t>ред и один турельный) и до 500 кг бомб. Причем 500 кг самолет мог нести толь</w:t>
      </w:r>
      <w:r w:rsidRPr="00E93F40">
        <w:rPr>
          <w:rFonts w:ascii="Times New Roman" w:hAnsi="Times New Roman"/>
          <w:color w:val="000000" w:themeColor="text1"/>
          <w:sz w:val="16"/>
          <w:szCs w:val="16"/>
        </w:rPr>
        <w:softHyphen/>
        <w:t>ко в одноместном варианте. Биплан Не 50 стал первым серийным немецким пики</w:t>
      </w:r>
      <w:r w:rsidRPr="00E93F40">
        <w:rPr>
          <w:rFonts w:ascii="Times New Roman" w:hAnsi="Times New Roman"/>
          <w:color w:val="000000" w:themeColor="text1"/>
          <w:sz w:val="16"/>
          <w:szCs w:val="16"/>
        </w:rPr>
        <w:softHyphen/>
        <w:t>ровщиком. Понача</w:t>
      </w:r>
      <w:r w:rsidRPr="00E93F40">
        <w:rPr>
          <w:rFonts w:ascii="Times New Roman" w:hAnsi="Times New Roman"/>
          <w:color w:val="000000" w:themeColor="text1"/>
          <w:sz w:val="16"/>
          <w:szCs w:val="16"/>
        </w:rPr>
        <w:softHyphen/>
        <w:t>лу самолет проектировался как поплав</w:t>
      </w:r>
      <w:r w:rsidRPr="00E93F40">
        <w:rPr>
          <w:rFonts w:ascii="Times New Roman" w:hAnsi="Times New Roman"/>
          <w:color w:val="000000" w:themeColor="text1"/>
          <w:sz w:val="16"/>
          <w:szCs w:val="16"/>
        </w:rPr>
        <w:softHyphen/>
        <w:t>ковый корабельный самолет, способный нести 250 кг авиабомб и взлетать с ка</w:t>
      </w:r>
      <w:r w:rsidRPr="00E93F40">
        <w:rPr>
          <w:rFonts w:ascii="Times New Roman" w:hAnsi="Times New Roman"/>
          <w:color w:val="000000" w:themeColor="text1"/>
          <w:sz w:val="16"/>
          <w:szCs w:val="16"/>
        </w:rPr>
        <w:softHyphen/>
        <w:t>тапульты, но затем был переквалифи</w:t>
      </w:r>
      <w:r w:rsidRPr="00E93F40">
        <w:rPr>
          <w:rFonts w:ascii="Times New Roman" w:hAnsi="Times New Roman"/>
          <w:color w:val="000000" w:themeColor="text1"/>
          <w:sz w:val="16"/>
          <w:szCs w:val="16"/>
        </w:rPr>
        <w:softHyphen/>
        <w:t>цирован в пикирующий бомбардиров</w:t>
      </w:r>
      <w:r w:rsidRPr="00E93F40">
        <w:rPr>
          <w:rFonts w:ascii="Times New Roman" w:hAnsi="Times New Roman"/>
          <w:color w:val="000000" w:themeColor="text1"/>
          <w:sz w:val="16"/>
          <w:szCs w:val="16"/>
        </w:rPr>
        <w:softHyphen/>
        <w:t>щик. Заказчиком являлся японский им</w:t>
      </w:r>
      <w:r w:rsidRPr="00E93F40">
        <w:rPr>
          <w:rFonts w:ascii="Times New Roman" w:hAnsi="Times New Roman"/>
          <w:color w:val="000000" w:themeColor="text1"/>
          <w:sz w:val="16"/>
          <w:szCs w:val="16"/>
        </w:rPr>
        <w:softHyphen/>
        <w:t>ператорский флот, который присталь</w:t>
      </w:r>
      <w:r w:rsidRPr="00E93F40">
        <w:rPr>
          <w:rFonts w:ascii="Times New Roman" w:hAnsi="Times New Roman"/>
          <w:color w:val="000000" w:themeColor="text1"/>
          <w:sz w:val="16"/>
          <w:szCs w:val="16"/>
        </w:rPr>
        <w:softHyphen/>
        <w:t>но следил за развитием техники бом</w:t>
      </w:r>
      <w:r w:rsidRPr="00E93F40">
        <w:rPr>
          <w:rFonts w:ascii="Times New Roman" w:hAnsi="Times New Roman"/>
          <w:color w:val="000000" w:themeColor="text1"/>
          <w:sz w:val="16"/>
          <w:szCs w:val="16"/>
        </w:rPr>
        <w:softHyphen/>
        <w:t>бометания с пикирования. До этого японцы закупили лицензию и стали производить свой вариант К 47 с мо</w:t>
      </w:r>
      <w:r w:rsidRPr="00E93F40">
        <w:rPr>
          <w:rFonts w:ascii="Times New Roman" w:hAnsi="Times New Roman"/>
          <w:color w:val="000000" w:themeColor="text1"/>
          <w:sz w:val="16"/>
          <w:szCs w:val="16"/>
        </w:rPr>
        <w:softHyphen/>
        <w:t>тором Котокобуки II-Кай под назва</w:t>
      </w:r>
      <w:r w:rsidRPr="00E93F40">
        <w:rPr>
          <w:rFonts w:ascii="Times New Roman" w:hAnsi="Times New Roman"/>
          <w:color w:val="000000" w:themeColor="text1"/>
          <w:sz w:val="16"/>
          <w:szCs w:val="16"/>
        </w:rPr>
        <w:softHyphen/>
        <w:t>нием “палубный пикирующий бомбар</w:t>
      </w:r>
      <w:r w:rsidRPr="00E93F40">
        <w:rPr>
          <w:rFonts w:ascii="Times New Roman" w:hAnsi="Times New Roman"/>
          <w:color w:val="000000" w:themeColor="text1"/>
          <w:sz w:val="16"/>
          <w:szCs w:val="16"/>
        </w:rPr>
        <w:softHyphen/>
        <w:t>дировщик тип 94". В Люфтваффе Не 50А поступили поначалу в летные школы и использо</w:t>
      </w:r>
      <w:r w:rsidRPr="00E93F40">
        <w:rPr>
          <w:rFonts w:ascii="Times New Roman" w:hAnsi="Times New Roman"/>
          <w:color w:val="000000" w:themeColor="text1"/>
          <w:sz w:val="16"/>
          <w:szCs w:val="16"/>
        </w:rPr>
        <w:softHyphen/>
        <w:t>вались для первоначального обучения. 1 октября 1935 г. с формированием первого экспериментального подразде</w:t>
      </w:r>
      <w:r w:rsidRPr="00E93F40">
        <w:rPr>
          <w:rFonts w:ascii="Times New Roman" w:hAnsi="Times New Roman"/>
          <w:color w:val="000000" w:themeColor="text1"/>
          <w:sz w:val="16"/>
          <w:szCs w:val="16"/>
        </w:rPr>
        <w:softHyphen/>
        <w:t>ления пикировщиков, так называемая авиагруппа “Шверин”, часть Не 50А стала использоваться по своему пря</w:t>
      </w:r>
      <w:r w:rsidRPr="00E93F40">
        <w:rPr>
          <w:rFonts w:ascii="Times New Roman" w:hAnsi="Times New Roman"/>
          <w:color w:val="000000" w:themeColor="text1"/>
          <w:sz w:val="16"/>
          <w:szCs w:val="16"/>
        </w:rPr>
        <w:softHyphen/>
        <w:t>мому назначению. В апреле 36-го, пос</w:t>
      </w:r>
      <w:r w:rsidRPr="00E93F40">
        <w:rPr>
          <w:rFonts w:ascii="Times New Roman" w:hAnsi="Times New Roman"/>
          <w:color w:val="000000" w:themeColor="text1"/>
          <w:sz w:val="16"/>
          <w:szCs w:val="16"/>
        </w:rPr>
        <w:softHyphen/>
        <w:t>ле выхода в 1935 г. устава Люфтваффе, авиагруппа “Шверин” была пре</w:t>
      </w:r>
      <w:r w:rsidRPr="00E93F40">
        <w:rPr>
          <w:rFonts w:ascii="Times New Roman" w:hAnsi="Times New Roman"/>
          <w:color w:val="000000" w:themeColor="text1"/>
          <w:sz w:val="16"/>
          <w:szCs w:val="16"/>
        </w:rPr>
        <w:softHyphen/>
        <w:t>образована в 1-ю группу 162-й эскад</w:t>
      </w:r>
      <w:r w:rsidRPr="00E93F40">
        <w:rPr>
          <w:rFonts w:ascii="Times New Roman" w:hAnsi="Times New Roman"/>
          <w:color w:val="000000" w:themeColor="text1"/>
          <w:sz w:val="16"/>
          <w:szCs w:val="16"/>
        </w:rPr>
        <w:softHyphen/>
        <w:t>ры пикирующих бомбардировщиков -I/StG 162. Позже были сформированы 2-я и 3-я группы пикировщиков. При разработке уста</w:t>
      </w:r>
      <w:r w:rsidRPr="00E93F40">
        <w:rPr>
          <w:rFonts w:ascii="Times New Roman" w:hAnsi="Times New Roman"/>
          <w:color w:val="000000" w:themeColor="text1"/>
          <w:sz w:val="16"/>
          <w:szCs w:val="16"/>
        </w:rPr>
        <w:softHyphen/>
        <w:t>ва Люфтваффе специалисты вермахта, взяв за основу теорию глубокой насту</w:t>
      </w:r>
      <w:r w:rsidRPr="00E93F40">
        <w:rPr>
          <w:rFonts w:ascii="Times New Roman" w:hAnsi="Times New Roman"/>
          <w:color w:val="000000" w:themeColor="text1"/>
          <w:sz w:val="16"/>
          <w:szCs w:val="16"/>
        </w:rPr>
        <w:softHyphen/>
        <w:t>пательной операции Красной Армии, считали, что применительно к доктри</w:t>
      </w:r>
      <w:r w:rsidRPr="00E93F40">
        <w:rPr>
          <w:rFonts w:ascii="Times New Roman" w:hAnsi="Times New Roman"/>
          <w:color w:val="000000" w:themeColor="text1"/>
          <w:sz w:val="16"/>
          <w:szCs w:val="16"/>
        </w:rPr>
        <w:softHyphen/>
        <w:t>не молниеносной войны пикировщики наилучшим образом удовлетворяют требованиям к самолету непосредствен</w:t>
      </w:r>
      <w:r w:rsidRPr="00E93F40">
        <w:rPr>
          <w:rFonts w:ascii="Times New Roman" w:hAnsi="Times New Roman"/>
          <w:color w:val="000000" w:themeColor="text1"/>
          <w:sz w:val="16"/>
          <w:szCs w:val="16"/>
        </w:rPr>
        <w:softHyphen/>
        <w:t>ной авиационной поддержки крупных бронетанковых и механизированных соединений. Термина “штурмовик” в уставе Люфтваффе не было и в поми</w:t>
      </w:r>
      <w:r w:rsidRPr="00E93F40">
        <w:rPr>
          <w:rFonts w:ascii="Times New Roman" w:hAnsi="Times New Roman"/>
          <w:color w:val="000000" w:themeColor="text1"/>
          <w:sz w:val="16"/>
          <w:szCs w:val="16"/>
        </w:rPr>
        <w:softHyphen/>
        <w:t>не. По мнению немецких стратегов, пикировщики должны были “ювелир</w:t>
      </w:r>
      <w:r w:rsidRPr="00E93F40">
        <w:rPr>
          <w:rFonts w:ascii="Times New Roman" w:hAnsi="Times New Roman"/>
          <w:color w:val="000000" w:themeColor="text1"/>
          <w:sz w:val="16"/>
          <w:szCs w:val="16"/>
        </w:rPr>
        <w:softHyphen/>
        <w:t>ными” бомбовыми ударами сметать на пути танковых “клиньев” артиллерий</w:t>
      </w:r>
      <w:r w:rsidRPr="00E93F40">
        <w:rPr>
          <w:rFonts w:ascii="Times New Roman" w:hAnsi="Times New Roman"/>
          <w:color w:val="000000" w:themeColor="text1"/>
          <w:sz w:val="16"/>
          <w:szCs w:val="16"/>
        </w:rPr>
        <w:softHyphen/>
        <w:t>ские и минометные батареи, огневые точки и узлы сопротивления обороня</w:t>
      </w:r>
      <w:r w:rsidRPr="00E93F40">
        <w:rPr>
          <w:rFonts w:ascii="Times New Roman" w:hAnsi="Times New Roman"/>
          <w:color w:val="000000" w:themeColor="text1"/>
          <w:sz w:val="16"/>
          <w:szCs w:val="16"/>
        </w:rPr>
        <w:softHyphen/>
        <w:t>ющегося противника. Кроме этого, высшее командование Люфтваффе счи</w:t>
      </w:r>
      <w:r w:rsidRPr="00E93F40">
        <w:rPr>
          <w:rFonts w:ascii="Times New Roman" w:hAnsi="Times New Roman"/>
          <w:color w:val="000000" w:themeColor="text1"/>
          <w:sz w:val="16"/>
          <w:szCs w:val="16"/>
        </w:rPr>
        <w:softHyphen/>
        <w:t>тало, что появление на поле боя само</w:t>
      </w:r>
      <w:r w:rsidRPr="00E93F40">
        <w:rPr>
          <w:rFonts w:ascii="Times New Roman" w:hAnsi="Times New Roman"/>
          <w:color w:val="000000" w:themeColor="text1"/>
          <w:sz w:val="16"/>
          <w:szCs w:val="16"/>
        </w:rPr>
        <w:softHyphen/>
        <w:t>лета должно было иметь больше мо</w:t>
      </w:r>
      <w:r w:rsidRPr="00E93F40">
        <w:rPr>
          <w:rFonts w:ascii="Times New Roman" w:hAnsi="Times New Roman"/>
          <w:color w:val="000000" w:themeColor="text1"/>
          <w:sz w:val="16"/>
          <w:szCs w:val="16"/>
        </w:rPr>
        <w:softHyphen/>
        <w:t>ральный эффект, чем боевой - предпо</w:t>
      </w:r>
      <w:r w:rsidRPr="00E93F40">
        <w:rPr>
          <w:rFonts w:ascii="Times New Roman" w:hAnsi="Times New Roman"/>
          <w:color w:val="000000" w:themeColor="text1"/>
          <w:sz w:val="16"/>
          <w:szCs w:val="16"/>
        </w:rPr>
        <w:softHyphen/>
        <w:t>лагалось применение всякого рода пси</w:t>
      </w:r>
      <w:r w:rsidRPr="00E93F40">
        <w:rPr>
          <w:rFonts w:ascii="Times New Roman" w:hAnsi="Times New Roman"/>
          <w:color w:val="000000" w:themeColor="text1"/>
          <w:sz w:val="16"/>
          <w:szCs w:val="16"/>
        </w:rPr>
        <w:softHyphen/>
        <w:t>хологических штучек типа сирены с “раздирающим душу воем” и т.д. (6269).</w:t>
      </w:r>
    </w:p>
    <w:p w14:paraId="021076EC" w14:textId="77777777" w:rsidR="007B1D3C" w:rsidRPr="00E93F40" w:rsidRDefault="007B1D3C" w:rsidP="00E93F4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EF5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беспилотный самолет фирмы «Siemens» после взлета доставил в заданный район учебную авиабомбу, там ее сбросил и вернулся к месту старта (11686).</w:t>
      </w:r>
    </w:p>
    <w:p w14:paraId="6F0A51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9E7A8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году в Японии в строю находилось только 2 дирижабля — полужесткий N-8 и мягкий SS-9, потерпевший в середине года аварию. Несомненно, что Япония, готовясь к борьбе за гегемонию на Тихом океане, очень хотела иметь у себя на вооружении воздушные корабли. Однако ей пришлось выбирать между многими средствами ведения войны на море. Поэтому в соперничестве среди линкоров, авианосцев и подводных лодок, дирижабли оказались проигравшей стороной. [472] (11324).</w:t>
      </w:r>
    </w:p>
    <w:p w14:paraId="472C90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13BE03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г. между Боливией и Парагваем началась трехлетняя изнурительная и безрезультатная война за обладание находившейся под парагвайским контролем областью Чако с ее предположительно богатыми месторождениями нефти. В этой войне Боливия (которую поддерживала американская корпорация "Стандарт Ойл" </w:t>
      </w:r>
      <w:r w:rsidRPr="00E93F40">
        <w:rPr>
          <w:rFonts w:ascii="Times New Roman" w:hAnsi="Times New Roman"/>
          <w:color w:val="000000" w:themeColor="text1"/>
          <w:sz w:val="16"/>
          <w:szCs w:val="16"/>
        </w:rPr>
        <w:lastRenderedPageBreak/>
        <w:t>и, в целом, США), помимо экономических выигрышей от эксплуатации месторождений, рассчитывала и на улучшение своих геостратегических позиций, так как в случае захвата Чако она получила бы порт на р.Парагвай и возможность выхода (и танкерной транспортировки нефти) к Атлантическому океану по р. Ла-Плате.</w:t>
      </w:r>
    </w:p>
    <w:p w14:paraId="7BA43B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Позиции соседних латиноамериканских стран в отношении происходящих событий были неодинаковы. Чили поддержала Боливию, поскольку сама опасалась экспансионистских замыслов боливийского руководства и опасалась, что в случае неуспеха прорыва к Атлантическому океану Боливия может попытаться силой получить выход к Тихому, - а это будет означать вероятность отторжения Боливией части чилийской территории. Именно через чилийский порт Арика боливийская сторона получала закупаемые за рубежом вооружения. В отличие от Чили Бразилия не поддержала в войне ни одну из сторон и предложила им посреднические услуги.</w:t>
      </w:r>
    </w:p>
    <w:p w14:paraId="668191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После начала войны Лига Наций, куда входили практически все страны Латинской Америки, обратилась к воюющим сторонам с предложением согласиться на арбитраж. Однако Соединенные Штаты, рассчитывавшие в случае победы Боливии расширить сферу контроля над добычей латиноамериканской нефти и не желавшие отступлений от принципа "доктрины Монро", воспротивились принятию этого варианта, заявив о необходимости поиска "панамериканской альтернативы" посредничеству Лиги. Действуя через делегатов ряда латиноамериканских стран, американская дипломатия смогла помешать принятию Советом Лиги Наций резолюции о введении эмбарго на поставки оружия всем воюющим сторонам.</w:t>
      </w:r>
    </w:p>
    <w:p w14:paraId="13BFEB6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Соединенные Штаты поддержали идею посредничества силами "комиссии нейтралов" - то есть стран Латинской Америки, сохранивших нейтралитет в конфликте. Однако фактически деятельность этой комиссии была в основном использована американской стороной для оказания дипломатической поддержки Боливии.</w:t>
      </w:r>
    </w:p>
    <w:p w14:paraId="44B5B0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Безуспешными оказались и миротворческие усилия Чили, в 1933 г. предложившей "план Мендоса", который предусматривал взаимный отвод вооруженных сил воюющих сторон и их сокращение с последующим решением спора в арбитраже (3871).</w:t>
      </w:r>
    </w:p>
    <w:p w14:paraId="093449D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601D6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г. вспыхнула война и между Перу и Колумбией. Ее причиной стал спор за территорию "трапеции Летисии", владение которой обеспечивало выход к Амазонке как к крупной транспортной артерии для торговых операций. Конфликт продолжался два года, существовала опасность вовлечения в него Бразилии и Эквадора. Однако, как и чакская война, он не принес ощутимой практической выгоды ни одной из враждующих сторон.</w:t>
      </w:r>
    </w:p>
    <w:p w14:paraId="7F96C5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Соединенные Штаты в этом конфликте поддержали Колумбию, поскольку полагали, что обладание областью Летисии является компенсацией Боготе за потерю Панамы, фактически отторгнутой Соединенными Штатами у Колумбии в начале ХХ в. Поэтому Вашингтон настаивал на соблюдении перуано-колумбийского договора 1923 г., подписанного в Саломон-Лосано, согласно которому Летисия передавалась Колумбии. Однако правительство Перу не считало такую логику справедливой, поскольку США пытались обеспечить компенсацию Колумбии не за счет своей территории. По сути же, разграничение с Колумбией и Перу считалось неудовлетворительным.</w:t>
      </w:r>
    </w:p>
    <w:p w14:paraId="5624BB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Вопрос о Летисии стал рассматриваться в Лиге Наций. Сначала в ней обсуждался проект Бразилии, которая в качестве посредника предложила передать ей под управление спорную провинцию временно на один год. Эта идея была видоизменена и в 1934 г. было принято решение на год передать Летисию под управление Консультативной комиссии Лиги. Враждующие стороны согласились в с таким решением. В 1934 г. был подписан "протокол Рио-де-Жанейро", согласно которому Перу подтвердила свое признание на правомочность положений старого договора в Саломон-Лосано (3871).</w:t>
      </w:r>
    </w:p>
    <w:p w14:paraId="5A46D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6B47D7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в США в Пенсильвании начинается выпуск зажигалок Зиппо (3907,177).</w:t>
      </w:r>
    </w:p>
    <w:p w14:paraId="3E1AD4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542966"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05C4F2B1"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6F9F3276" w14:textId="77777777" w:rsidR="007B1D3C" w:rsidRPr="00E93F40" w:rsidRDefault="007B1D3C" w:rsidP="00E93F4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период 1932-35 гг. на вооружение штурмовой авиации РККА поступили легкие небронированные штурмовики Р-5Ш, Р-5ССС (скоростной, скоро-подъемный, скорострельный) и P-Z, являвшиеся модификациями известного разведчика конструкции Н.Н.Поликар</w:t>
      </w:r>
      <w:r w:rsidRPr="00E93F40">
        <w:rPr>
          <w:rFonts w:ascii="Times New Roman" w:hAnsi="Times New Roman"/>
          <w:color w:val="000000" w:themeColor="text1"/>
          <w:sz w:val="16"/>
          <w:szCs w:val="16"/>
        </w:rPr>
        <w:softHyphen/>
        <w:t>пова Р-5. Наступательное вооружение самоле</w:t>
      </w:r>
      <w:r w:rsidRPr="00E93F40">
        <w:rPr>
          <w:rFonts w:ascii="Times New Roman" w:hAnsi="Times New Roman"/>
          <w:color w:val="000000" w:themeColor="text1"/>
          <w:sz w:val="16"/>
          <w:szCs w:val="16"/>
        </w:rPr>
        <w:softHyphen/>
        <w:t>тов состояло из 1-2 синхронных и 4-8 крыльевых пулеметов нормального ка</w:t>
      </w:r>
      <w:r w:rsidRPr="00E93F40">
        <w:rPr>
          <w:rFonts w:ascii="Times New Roman" w:hAnsi="Times New Roman"/>
          <w:color w:val="000000" w:themeColor="text1"/>
          <w:sz w:val="16"/>
          <w:szCs w:val="16"/>
        </w:rPr>
        <w:softHyphen/>
        <w:t>либра и 200-500 кг бомб различного калибра (главным образом небольших осколочных). Штурмовики Р-5Ш, Р-5ССС и P-Z состояли на вооружении штурмовых авиаполков Красной Армии и прини</w:t>
      </w:r>
      <w:r w:rsidRPr="00E93F40">
        <w:rPr>
          <w:rFonts w:ascii="Times New Roman" w:hAnsi="Times New Roman"/>
          <w:color w:val="000000" w:themeColor="text1"/>
          <w:sz w:val="16"/>
          <w:szCs w:val="16"/>
        </w:rPr>
        <w:softHyphen/>
        <w:t>мали участие в боевых действиях в Китае, в Испании и на Карельском перешейке. Общим недостатком всех штурмовых вариантов Р-5-го, как показал боевой опыт, являлись низкая скорость, сла</w:t>
      </w:r>
      <w:r w:rsidRPr="00E93F40">
        <w:rPr>
          <w:rFonts w:ascii="Times New Roman" w:hAnsi="Times New Roman"/>
          <w:color w:val="000000" w:themeColor="text1"/>
          <w:sz w:val="16"/>
          <w:szCs w:val="16"/>
        </w:rPr>
        <w:softHyphen/>
        <w:t>бое наступательное вооружение, от</w:t>
      </w:r>
      <w:r w:rsidRPr="00E93F40">
        <w:rPr>
          <w:rFonts w:ascii="Times New Roman" w:hAnsi="Times New Roman"/>
          <w:color w:val="000000" w:themeColor="text1"/>
          <w:sz w:val="16"/>
          <w:szCs w:val="16"/>
        </w:rPr>
        <w:softHyphen/>
        <w:t>сутствие бронезащиты экипажа, мото</w:t>
      </w:r>
      <w:r w:rsidRPr="00E93F40">
        <w:rPr>
          <w:rFonts w:ascii="Times New Roman" w:hAnsi="Times New Roman"/>
          <w:color w:val="000000" w:themeColor="text1"/>
          <w:sz w:val="16"/>
          <w:szCs w:val="16"/>
        </w:rPr>
        <w:softHyphen/>
        <w:t>ра и его систем, а также других жиз</w:t>
      </w:r>
      <w:r w:rsidRPr="00E93F40">
        <w:rPr>
          <w:rFonts w:ascii="Times New Roman" w:hAnsi="Times New Roman"/>
          <w:color w:val="000000" w:themeColor="text1"/>
          <w:sz w:val="16"/>
          <w:szCs w:val="16"/>
        </w:rPr>
        <w:softHyphen/>
        <w:t>ненно важных элементов конструкции штурмовиков, что существенно снижа</w:t>
      </w:r>
      <w:r w:rsidRPr="00E93F40">
        <w:rPr>
          <w:rFonts w:ascii="Times New Roman" w:hAnsi="Times New Roman"/>
          <w:color w:val="000000" w:themeColor="text1"/>
          <w:sz w:val="16"/>
          <w:szCs w:val="16"/>
        </w:rPr>
        <w:softHyphen/>
        <w:t>ло их боевую живучесть, особенно в условиях сильного противодействия огневых средств ПВО и истребитель</w:t>
      </w:r>
      <w:r w:rsidRPr="00E93F40">
        <w:rPr>
          <w:rFonts w:ascii="Times New Roman" w:hAnsi="Times New Roman"/>
          <w:color w:val="000000" w:themeColor="text1"/>
          <w:sz w:val="16"/>
          <w:szCs w:val="16"/>
        </w:rPr>
        <w:softHyphen/>
        <w:t>ной авиации противника. Эти недостатки и определили так</w:t>
      </w:r>
      <w:r w:rsidRPr="00E93F40">
        <w:rPr>
          <w:rFonts w:ascii="Times New Roman" w:hAnsi="Times New Roman"/>
          <w:color w:val="000000" w:themeColor="text1"/>
          <w:sz w:val="16"/>
          <w:szCs w:val="16"/>
        </w:rPr>
        <w:softHyphen/>
        <w:t>тические приемы применения развед</w:t>
      </w:r>
      <w:r w:rsidRPr="00E93F40">
        <w:rPr>
          <w:rFonts w:ascii="Times New Roman" w:hAnsi="Times New Roman"/>
          <w:color w:val="000000" w:themeColor="text1"/>
          <w:sz w:val="16"/>
          <w:szCs w:val="16"/>
        </w:rPr>
        <w:softHyphen/>
        <w:t>чиков-штурмовиков - нанесение штур</w:t>
      </w:r>
      <w:r w:rsidRPr="00E93F40">
        <w:rPr>
          <w:rFonts w:ascii="Times New Roman" w:hAnsi="Times New Roman"/>
          <w:color w:val="000000" w:themeColor="text1"/>
          <w:sz w:val="16"/>
          <w:szCs w:val="16"/>
        </w:rPr>
        <w:softHyphen/>
        <w:t>мовых ударов по наземным целям с одного захода на максимальной скоро</w:t>
      </w:r>
      <w:r w:rsidRPr="00E93F40">
        <w:rPr>
          <w:rFonts w:ascii="Times New Roman" w:hAnsi="Times New Roman"/>
          <w:color w:val="000000" w:themeColor="text1"/>
          <w:sz w:val="16"/>
          <w:szCs w:val="16"/>
        </w:rPr>
        <w:softHyphen/>
        <w:t>сти с предельно малых высот (5-25 м). Ясно, что такие атаки в должной мере эффективными быть не могли (удар -скоротечный, прицеливание - затруд</w:t>
      </w:r>
      <w:r w:rsidRPr="00E93F40">
        <w:rPr>
          <w:rFonts w:ascii="Times New Roman" w:hAnsi="Times New Roman"/>
          <w:color w:val="000000" w:themeColor="text1"/>
          <w:sz w:val="16"/>
          <w:szCs w:val="16"/>
        </w:rPr>
        <w:softHyphen/>
        <w:t>нено), особенно при действиях против точечных наземных целей. Боевое применение штурмовых ва</w:t>
      </w:r>
      <w:r w:rsidRPr="00E93F40">
        <w:rPr>
          <w:rFonts w:ascii="Times New Roman" w:hAnsi="Times New Roman"/>
          <w:color w:val="000000" w:themeColor="text1"/>
          <w:sz w:val="16"/>
          <w:szCs w:val="16"/>
        </w:rPr>
        <w:softHyphen/>
        <w:t>риантов Р-5 было достаточно эффек</w:t>
      </w:r>
      <w:r w:rsidRPr="00E93F40">
        <w:rPr>
          <w:rFonts w:ascii="Times New Roman" w:hAnsi="Times New Roman"/>
          <w:color w:val="000000" w:themeColor="text1"/>
          <w:sz w:val="16"/>
          <w:szCs w:val="16"/>
        </w:rPr>
        <w:softHyphen/>
        <w:t>тивным лишь в тех случаях, когда име</w:t>
      </w:r>
      <w:r w:rsidRPr="00E93F40">
        <w:rPr>
          <w:rFonts w:ascii="Times New Roman" w:hAnsi="Times New Roman"/>
          <w:color w:val="000000" w:themeColor="text1"/>
          <w:sz w:val="16"/>
          <w:szCs w:val="16"/>
        </w:rPr>
        <w:softHyphen/>
        <w:t>лось сильное прикрытие своей истре</w:t>
      </w:r>
      <w:r w:rsidRPr="00E93F40">
        <w:rPr>
          <w:rFonts w:ascii="Times New Roman" w:hAnsi="Times New Roman"/>
          <w:color w:val="000000" w:themeColor="text1"/>
          <w:sz w:val="16"/>
          <w:szCs w:val="16"/>
        </w:rPr>
        <w:softHyphen/>
        <w:t>бительной авиацией при слабом про</w:t>
      </w:r>
      <w:r w:rsidRPr="00E93F40">
        <w:rPr>
          <w:rFonts w:ascii="Times New Roman" w:hAnsi="Times New Roman"/>
          <w:color w:val="000000" w:themeColor="text1"/>
          <w:sz w:val="16"/>
          <w:szCs w:val="16"/>
        </w:rPr>
        <w:softHyphen/>
        <w:t>тиводействии зенитных средств и ис</w:t>
      </w:r>
      <w:r w:rsidRPr="00E93F40">
        <w:rPr>
          <w:rFonts w:ascii="Times New Roman" w:hAnsi="Times New Roman"/>
          <w:color w:val="000000" w:themeColor="text1"/>
          <w:sz w:val="16"/>
          <w:szCs w:val="16"/>
        </w:rPr>
        <w:softHyphen/>
        <w:t>требителей противника. В остальных случаях разведчики-штурмовики на базе Р-5 несли ощутимые потери (6269).</w:t>
      </w:r>
    </w:p>
    <w:p w14:paraId="495FC19E" w14:textId="77777777" w:rsidR="007B1D3C" w:rsidRPr="00E93F40" w:rsidRDefault="007B1D3C" w:rsidP="00E93F4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93A1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течение 1932-33 гг. советские представители провели переговоры с фирмой "Кертисс-Райт", результатом которых стало приобретение целого моторостроительного завода со всем оборудованием и лицензии на производство двигателей "Циклон" R-I820 F-3 мощностью 625 л.с. Местом размещения нового завода избрали город Пермь на Урале. Главным конструктором при освоении и производстве Райт "Циклон" назначили Аркадия Швецова. Он участвовал в приобретении двигателей в Америке, впоследствии занимался их развитием и совершенствованием. Поначалу, в 1934 г, пермские "Циклоны" собирались из американских деталей. В течение 1935 г. предприятие, получившее название авиазавода № 19, полностью освоило производство "Циклонов". До конца года выпустили 660 моторов, которые в соответствии с советской системой обозначений стали называться М-25 (12014).</w:t>
      </w:r>
    </w:p>
    <w:p w14:paraId="2FB48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3CB74D6B" w14:textId="77777777" w:rsidR="00B72845" w:rsidRPr="00E93F40" w:rsidRDefault="00B7284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1932--1934 годах в особых конструкторских бюро при Центральном институте авиационных моторов (ЦИАМ) и на авиамоторном заводе №24 работала большая группа конструкторов авиационных двигателей, в том числе Николай Бриллинг (механик и теплотехник, член-корреспондент АН СССР; основные труды по автомобилестроению, двигателям внутреннего сгорания, теплотехнике), Борис Стечкин (теплотехник, академик АН СССР, Герой Социалистического Труда, создал теорию теплового расчета авиационных двигателей, теорию воздушно-реактивных двигателей). Они спроектировали серию мощных 24-цилиндровых авиадвигателей ФЭД, в т.ч. первый в СССР авиационный дизель ФЭД-8, двухтактный бескомпрессорный дизель и легкий дизель для танка (18728).</w:t>
      </w:r>
    </w:p>
    <w:p w14:paraId="5F21D20B" w14:textId="77777777" w:rsidR="00B72845" w:rsidRPr="00E93F40" w:rsidRDefault="00B72845" w:rsidP="00E93F40">
      <w:pPr>
        <w:spacing w:after="0" w:line="240" w:lineRule="auto"/>
        <w:jc w:val="both"/>
        <w:rPr>
          <w:rFonts w:ascii="Times New Roman" w:hAnsi="Times New Roman"/>
          <w:color w:val="000000" w:themeColor="text1"/>
          <w:sz w:val="16"/>
          <w:szCs w:val="16"/>
        </w:rPr>
      </w:pPr>
    </w:p>
    <w:p w14:paraId="190CA308" w14:textId="77777777" w:rsidR="00C70137" w:rsidRPr="00E93F40" w:rsidRDefault="00C70137"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1932-1936 годах У. Нобиле при участии Бирюкова и Фёдорова работал над проектом дири</w:t>
      </w:r>
      <w:r w:rsidRPr="00E93F40">
        <w:rPr>
          <w:rFonts w:ascii="Times New Roman" w:hAnsi="Times New Roman"/>
          <w:color w:val="000000" w:themeColor="text1"/>
          <w:sz w:val="16"/>
          <w:szCs w:val="16"/>
        </w:rPr>
        <w:softHyphen/>
        <w:t>жабля жёсткого типа. В «Дирижаблестрое» спроек</w:t>
      </w:r>
      <w:r w:rsidRPr="00E93F40">
        <w:rPr>
          <w:rFonts w:ascii="Times New Roman" w:hAnsi="Times New Roman"/>
          <w:color w:val="000000" w:themeColor="text1"/>
          <w:sz w:val="16"/>
          <w:szCs w:val="16"/>
        </w:rPr>
        <w:softHyphen/>
        <w:t>тировали гелиевые дирижабли жёсткой конструк</w:t>
      </w:r>
      <w:r w:rsidRPr="00E93F40">
        <w:rPr>
          <w:rFonts w:ascii="Times New Roman" w:hAnsi="Times New Roman"/>
          <w:color w:val="000000" w:themeColor="text1"/>
          <w:sz w:val="16"/>
          <w:szCs w:val="16"/>
        </w:rPr>
        <w:softHyphen/>
        <w:t>ции «СД-60» и «Д-100»54. «Д-100», предназначав</w:t>
      </w:r>
      <w:r w:rsidRPr="00E93F40">
        <w:rPr>
          <w:rFonts w:ascii="Times New Roman" w:hAnsi="Times New Roman"/>
          <w:color w:val="000000" w:themeColor="text1"/>
          <w:sz w:val="16"/>
          <w:szCs w:val="16"/>
        </w:rPr>
        <w:softHyphen/>
        <w:t>шийся для обслуживания линии Москва — Даль</w:t>
      </w:r>
      <w:r w:rsidRPr="00E93F40">
        <w:rPr>
          <w:rFonts w:ascii="Times New Roman" w:hAnsi="Times New Roman"/>
          <w:color w:val="000000" w:themeColor="text1"/>
          <w:sz w:val="16"/>
          <w:szCs w:val="16"/>
        </w:rPr>
        <w:softHyphen/>
        <w:t>ний Восток, имел следующие расчётные характе</w:t>
      </w:r>
      <w:r w:rsidRPr="00E93F40">
        <w:rPr>
          <w:rFonts w:ascii="Times New Roman" w:hAnsi="Times New Roman"/>
          <w:color w:val="000000" w:themeColor="text1"/>
          <w:sz w:val="16"/>
          <w:szCs w:val="16"/>
        </w:rPr>
        <w:softHyphen/>
        <w:t>ристики: объём — 107 700 м3, длина — 210,6 м, диаметр — 33,9 м. Четыре дизельных двигателя АН-1РУ могли обеспечить максимальную ско</w:t>
      </w:r>
      <w:r w:rsidRPr="00E93F40">
        <w:rPr>
          <w:rFonts w:ascii="Times New Roman" w:hAnsi="Times New Roman"/>
          <w:color w:val="000000" w:themeColor="text1"/>
          <w:sz w:val="16"/>
          <w:szCs w:val="16"/>
        </w:rPr>
        <w:softHyphen/>
        <w:t>рость 152 км/ч и крейсерскую скорость 123 км/ч. С запасом топлива 33 т и экипажем 13 человек он мог перевезти 50 пассажиров на расстояние до 12 000 км. В 1939 г. планировали построить такой дирижабль, но до войны изготовили и испытали только отсек средней части (20120).</w:t>
      </w:r>
    </w:p>
    <w:p w14:paraId="14D71BBD" w14:textId="77777777" w:rsidR="00C70137" w:rsidRPr="00E93F40" w:rsidRDefault="00C70137" w:rsidP="00E93F40">
      <w:pPr>
        <w:spacing w:after="0" w:line="240" w:lineRule="auto"/>
        <w:jc w:val="both"/>
        <w:rPr>
          <w:rFonts w:ascii="Times New Roman" w:hAnsi="Times New Roman"/>
          <w:color w:val="000000" w:themeColor="text1"/>
          <w:sz w:val="16"/>
          <w:szCs w:val="16"/>
        </w:rPr>
      </w:pPr>
    </w:p>
    <w:p w14:paraId="2F83D779" w14:textId="77777777" w:rsidR="007B1D3C" w:rsidRPr="00E93F40" w:rsidRDefault="00F773A6"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6FEE10E0"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B0A4C0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1930-1932 годах были переделаны в полигональные 76-мм пушки обр. 1902 г. Канал их имел 10 граней, калибр (диаметр вписанной окружности) был 78 мм. Гильза та же, соединение каморы с гранями коническое (3861).</w:t>
      </w:r>
    </w:p>
    <w:p w14:paraId="751261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5D3D2D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1930-1932 годах группой Д ГДЛ был спроектирован 165-мм полковой миномет ПМ-1. Основным назначением миномета была стрельба химической миной, поэтому он чаще назывался газометом "В". Конструктивно миномет был выполнен по схеме перевернутого реального треугольника. При стрельбе колесный ход отсоединялся, и миномет опирался только на деревянную опорную плиту прямоугольной формы. Принцип воспламенения заряда газодинамический. Заряд помещался в отдельной камере, соединенной с каналом ствола отверстием, называемым соплом. Недостатком миномета была его малая скорострельность, так как заряжание производилось в два приема мина с дула, заряд с казенной части. Затвор миномета клиновой системы инженера Соколова. Ствол миномета гладкий. Мины оперенные. Метательный заряд помещался в укороченной гильзе от 107-мм пушки обр. 1910 г (3861).</w:t>
      </w:r>
    </w:p>
    <w:p w14:paraId="0F04F3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BF04A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1932-33 г. завод, основанной возле ст. Товарная-Бутырская еще в 1884 г., был расширен и действовал под названием «Завод им. КПГ» в системе Главполиграфмаша НКОМ. Производство полиграфического оборудования, взрывателей, авиабомб.</w:t>
      </w:r>
    </w:p>
    <w:p w14:paraId="5C5B61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СНК № 1080-425сс от 22.06.1940 г. и приказом НКОМ/НКАП № 157сс/320сс от 28.06.1940 г. площадка завода со всеми корпусами (кроме литейного цеха, который передан соседнему заводу «Арматура» НКОМ) передана в систему НКАЛ. Оборудование по производству взрывателей и авиабомб оставлено за НКОМ. По приказу № 383с от 30.07.1940 г. завод был включен с 20.07.1940 г. в систему 2ГУ НКАП на правах филиала завода № 32 НКАП. Начальник филиала- Самсонов. Начались работы по организации производства агрегатов вооружения.</w:t>
      </w:r>
    </w:p>
    <w:p w14:paraId="38A986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1940 г. на завод переведена с завода № 32 бригада КБ-3 гл. конструктора И.П. Шебанова и образовано КБ при заводе под его руководством (ОКБ-487).</w:t>
      </w:r>
    </w:p>
    <w:p w14:paraId="5A9ABF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По приказу № 269с от 25.03.1941 г. филиал завода № 32 был с 1.04.1941 г. преобразован в самостоятельный ГС завод № 487 им. КП Г.</w:t>
      </w:r>
    </w:p>
    <w:p w14:paraId="7DB4A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соответствии с пост. ГКО № 213сс от 20.07.1941 г. и приказом № 1057сс от 10.10.1941 г. завод планировалось эвакуировать на площадку завода № 455 НКАП. Затем по приказу № 1109сс от 11.11.1941 г. часть завода № 487 (около 30 %) эвакуирована в Куйбышев и (70 %) в Сызрань. В Сызрани завод был влит в состав эвакуированного туда же завода № 481 НКАП, а в Куйбышеве- в состав завода № 454 НКАП. Завод № 487 выбыл из числа действующих.</w:t>
      </w:r>
    </w:p>
    <w:p w14:paraId="17BC37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 площадке эвакуированного завода № 487 в начале 1942 г. образован Московский филиал завода № 481 НКАП, далее вновь преобразованный в самостоятельный завод № 487 НКАП.</w:t>
      </w:r>
    </w:p>
    <w:p w14:paraId="2A9BD1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Директор (04.1941 г.-&gt; Самсонов, (06.1941 г.-)- Степанов, (08.1941 г.)- М.П. Озимков (с 01.1942 г.- начальник Реммастерских на месте завода № 207).</w:t>
      </w:r>
    </w:p>
    <w:p w14:paraId="36B432D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Гл. конструктор (1941 г.)- И.П. Шебанов.</w:t>
      </w:r>
    </w:p>
    <w:p w14:paraId="3A0F42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iCs/>
          <w:color w:val="000000" w:themeColor="text1"/>
          <w:sz w:val="16"/>
          <w:szCs w:val="16"/>
        </w:rPr>
        <w:t>Производство:</w:t>
      </w:r>
      <w:r w:rsidRPr="00E93F40">
        <w:rPr>
          <w:rFonts w:ascii="Times New Roman" w:hAnsi="Times New Roman"/>
          <w:color w:val="000000" w:themeColor="text1"/>
          <w:sz w:val="16"/>
          <w:szCs w:val="16"/>
        </w:rPr>
        <w:t xml:space="preserve"> (1940-41 г.) стрелковые башни М-42, установки ШВАК для ТБ-7, бомбовые кассеты КМБ-2, лафеты пушек для Су-2 и Ил-2, балки РО-132 (2РУ-322), РО-82 (2РУ-223), электроспуски М-10, аварийные бомбосбрасыватели для Су-2.</w:t>
      </w:r>
    </w:p>
    <w:p w14:paraId="766CF9B8"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ОКБ завода № 487 НКАП, ОКБ-487 НКАП гл. конструктора И.П. Шебанова</w:t>
      </w:r>
    </w:p>
    <w:p w14:paraId="4DB506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280сс от 10.06.1940 г. на заводе им. КПГ был образован Опытный отдел по проектированию и изготовлению опытных образцов установок стрелкового вооружения. Сюда в. полном составе переведена с завода № 32 бригада КБ-3 гл. конструктора И.П. Шебанова, а также часть оборудования с завода № 32, и образовано КБ при заводе под его руководством (ОКБ-487). Начальник опытного цеха- А.А. Ляпин, его зам.- К.А. Бацын.</w:t>
      </w:r>
    </w:p>
    <w:p w14:paraId="34CEC8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Работы по установкам вооружения: установка ШКАС для Пе-2 и «103».</w:t>
      </w:r>
    </w:p>
    <w:p w14:paraId="7BEC28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По приказу № 32/35 от 13.10.1941 г. ОКБ-487 7ГУ гл. конструктора И.П. Шебанова вместе с частью завода эвакуировано на территорию завода № 454 НКАП в Куйбышев и продолжило работу под названием ОКБ-454 (11982).</w:t>
      </w:r>
    </w:p>
    <w:p w14:paraId="2DCC8A14" w14:textId="77777777" w:rsidR="00F255A9" w:rsidRPr="00E93F40" w:rsidRDefault="00F255A9" w:rsidP="00E93F40">
      <w:pPr>
        <w:autoSpaceDE w:val="0"/>
        <w:autoSpaceDN w:val="0"/>
        <w:adjustRightInd w:val="0"/>
        <w:spacing w:after="0" w:line="240" w:lineRule="auto"/>
        <w:jc w:val="both"/>
        <w:rPr>
          <w:rFonts w:ascii="Times New Roman" w:hAnsi="Times New Roman"/>
          <w:color w:val="000000" w:themeColor="text1"/>
          <w:sz w:val="16"/>
          <w:szCs w:val="16"/>
        </w:rPr>
      </w:pPr>
    </w:p>
    <w:p w14:paraId="1AD9E0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1931-1932 годах завод N 8 сдал 1080 37-мм танковых пушек Гочкиса (3861).</w:t>
      </w:r>
    </w:p>
    <w:p w14:paraId="33783B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267DBB7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1932—1933 гг. в КБ Артакадемии под руководством профес</w:t>
      </w:r>
      <w:r w:rsidRPr="00E93F40">
        <w:rPr>
          <w:rFonts w:ascii="Times New Roman" w:hAnsi="Times New Roman"/>
          <w:color w:val="000000" w:themeColor="text1"/>
          <w:sz w:val="16"/>
          <w:szCs w:val="16"/>
        </w:rPr>
        <w:softHyphen/>
        <w:t>сора Ф.Л. Хлыстова был разработан черновой проект 76-мм зенитной самоходной пушки обр. 1931 г. (ЗК) на шасси среднего танка был разработан. Однако поскольку сначала он ориен</w:t>
      </w:r>
      <w:r w:rsidRPr="00E93F40">
        <w:rPr>
          <w:rFonts w:ascii="Times New Roman" w:hAnsi="Times New Roman"/>
          <w:color w:val="000000" w:themeColor="text1"/>
          <w:sz w:val="16"/>
          <w:szCs w:val="16"/>
        </w:rPr>
        <w:softHyphen/>
        <w:t>тировался на шасси Т-24, то был направлен на доработку и только к концу 1933 г. получил одобрение «в целом».</w:t>
      </w:r>
    </w:p>
    <w:p w14:paraId="408C7222"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Новая зенитная САУ получила индекс СУ-8 и пред</w:t>
      </w:r>
      <w:r w:rsidRPr="00E93F40">
        <w:rPr>
          <w:rFonts w:ascii="Times New Roman" w:hAnsi="Times New Roman"/>
          <w:color w:val="000000" w:themeColor="text1"/>
          <w:sz w:val="16"/>
          <w:szCs w:val="16"/>
        </w:rPr>
        <w:softHyphen/>
        <w:t>ставляла собой вариант открытой установки 76,2-мм зе</w:t>
      </w:r>
      <w:r w:rsidRPr="00E93F40">
        <w:rPr>
          <w:rFonts w:ascii="Times New Roman" w:hAnsi="Times New Roman"/>
          <w:color w:val="000000" w:themeColor="text1"/>
          <w:sz w:val="16"/>
          <w:szCs w:val="16"/>
        </w:rPr>
        <w:softHyphen/>
        <w:t>нитной пушки обр. 1931 г. (ЗК) на шасси среднего танка Т-28 на тумбе кругового вращения. Для нормальной рабо</w:t>
      </w:r>
      <w:r w:rsidRPr="00E93F40">
        <w:rPr>
          <w:rFonts w:ascii="Times New Roman" w:hAnsi="Times New Roman"/>
          <w:color w:val="000000" w:themeColor="text1"/>
          <w:sz w:val="16"/>
          <w:szCs w:val="16"/>
        </w:rPr>
        <w:softHyphen/>
        <w:t>ты орудийного расчета предусматривались откидные бор</w:t>
      </w:r>
      <w:r w:rsidRPr="00E93F40">
        <w:rPr>
          <w:rFonts w:ascii="Times New Roman" w:hAnsi="Times New Roman"/>
          <w:color w:val="000000" w:themeColor="text1"/>
          <w:sz w:val="16"/>
          <w:szCs w:val="16"/>
        </w:rPr>
        <w:softHyphen/>
        <w:t>та боевого отделения, в походе служащие противопульной защитой расчета от обстрела с флангов. В целях уменьше</w:t>
      </w:r>
      <w:r w:rsidRPr="00E93F40">
        <w:rPr>
          <w:rFonts w:ascii="Times New Roman" w:hAnsi="Times New Roman"/>
          <w:color w:val="000000" w:themeColor="text1"/>
          <w:sz w:val="16"/>
          <w:szCs w:val="16"/>
        </w:rPr>
        <w:softHyphen/>
        <w:t>ния раскачивания боевой платформы, разгрузки рессор и повышения кучности стрельбы предусматривалось при</w:t>
      </w:r>
      <w:r w:rsidRPr="00E93F40">
        <w:rPr>
          <w:rFonts w:ascii="Times New Roman" w:hAnsi="Times New Roman"/>
          <w:color w:val="000000" w:themeColor="text1"/>
          <w:sz w:val="16"/>
          <w:szCs w:val="16"/>
        </w:rPr>
        <w:softHyphen/>
        <w:t>менение специальных откидных упоров.</w:t>
      </w:r>
    </w:p>
    <w:p w14:paraId="67034FE6"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Но так как серийное производство танков Т-28 на Ки</w:t>
      </w:r>
      <w:r w:rsidRPr="00E93F40">
        <w:rPr>
          <w:rFonts w:ascii="Times New Roman" w:hAnsi="Times New Roman"/>
          <w:color w:val="000000" w:themeColor="text1"/>
          <w:sz w:val="16"/>
          <w:szCs w:val="16"/>
        </w:rPr>
        <w:softHyphen/>
        <w:t>ровском заводе еще «хромало», то опытный завод Спец-маштреста смог приступить к изготовлению опытного об</w:t>
      </w:r>
      <w:r w:rsidRPr="00E93F40">
        <w:rPr>
          <w:rFonts w:ascii="Times New Roman" w:hAnsi="Times New Roman"/>
          <w:color w:val="000000" w:themeColor="text1"/>
          <w:sz w:val="16"/>
          <w:szCs w:val="16"/>
        </w:rPr>
        <w:softHyphen/>
        <w:t>разца лишь во второй половине 1934 г., когда всем стало яс</w:t>
      </w:r>
      <w:r w:rsidRPr="00E93F40">
        <w:rPr>
          <w:rFonts w:ascii="Times New Roman" w:hAnsi="Times New Roman"/>
          <w:color w:val="000000" w:themeColor="text1"/>
          <w:sz w:val="16"/>
          <w:szCs w:val="16"/>
        </w:rPr>
        <w:softHyphen/>
        <w:t>но, что СУ-8 слишком дорога и сложна. Поэтому начиная с 1935 г. велись работы над 76-мм зенитной пушкой, но толь</w:t>
      </w:r>
      <w:r w:rsidRPr="00E93F40">
        <w:rPr>
          <w:rFonts w:ascii="Times New Roman" w:hAnsi="Times New Roman"/>
          <w:color w:val="000000" w:themeColor="text1"/>
          <w:sz w:val="16"/>
          <w:szCs w:val="16"/>
        </w:rPr>
        <w:softHyphen/>
        <w:t>ко на шасси легкого танка Т-26 (11417).</w:t>
      </w:r>
    </w:p>
    <w:p w14:paraId="051D2AB0"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B4647" w14:textId="77777777" w:rsidR="002C449F" w:rsidRPr="00E93F40" w:rsidRDefault="002C44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1932-1933 гг. Техническим отделом ЭКУ ОГПУ был разработан проект легкого плавающего колесно-гусеничного </w:t>
      </w:r>
      <w:hyperlink r:id="rId325"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ПТ-1 (ведущий инженер Н.А. Астров).</w:t>
      </w:r>
    </w:p>
    <w:p w14:paraId="24C3EF4E" w14:textId="77777777" w:rsidR="002C449F" w:rsidRPr="00E93F40" w:rsidRDefault="002C44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апреле 1933 г. Комиссия Обороны СССР приняла постановление №3, в котором, в частности, говорилось:</w:t>
      </w:r>
    </w:p>
    <w:p w14:paraId="0BC05131" w14:textId="4894C2B2" w:rsidR="002C449F" w:rsidRPr="00E93F40" w:rsidRDefault="007C1411"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w:t>
      </w:r>
      <w:r w:rsidR="002C449F" w:rsidRPr="00E93F40">
        <w:rPr>
          <w:rFonts w:ascii="Times New Roman" w:hAnsi="Times New Roman"/>
          <w:color w:val="000000" w:themeColor="text1"/>
          <w:sz w:val="16"/>
          <w:szCs w:val="16"/>
        </w:rPr>
        <w:t xml:space="preserve">"... 2. Изготовить три образца </w:t>
      </w:r>
      <w:hyperlink r:id="rId326" w:tgtFrame="_blank" w:history="1">
        <w:r w:rsidR="002C449F" w:rsidRPr="00E93F40">
          <w:rPr>
            <w:rFonts w:ascii="Times New Roman" w:hAnsi="Times New Roman"/>
            <w:color w:val="000000" w:themeColor="text1"/>
            <w:sz w:val="16"/>
            <w:szCs w:val="16"/>
          </w:rPr>
          <w:t>танк</w:t>
        </w:r>
      </w:hyperlink>
      <w:r w:rsidR="002C449F" w:rsidRPr="00E93F40">
        <w:rPr>
          <w:rFonts w:ascii="Times New Roman" w:hAnsi="Times New Roman"/>
          <w:color w:val="000000" w:themeColor="text1"/>
          <w:sz w:val="16"/>
          <w:szCs w:val="16"/>
        </w:rPr>
        <w:t xml:space="preserve">а ПТ-1, из них один плавающий. Решение о постановке на производство </w:t>
      </w:r>
      <w:hyperlink r:id="rId327" w:tgtFrame="_blank" w:history="1">
        <w:r w:rsidR="002C449F" w:rsidRPr="00E93F40">
          <w:rPr>
            <w:rFonts w:ascii="Times New Roman" w:hAnsi="Times New Roman"/>
            <w:color w:val="000000" w:themeColor="text1"/>
            <w:sz w:val="16"/>
            <w:szCs w:val="16"/>
          </w:rPr>
          <w:t>танк</w:t>
        </w:r>
      </w:hyperlink>
      <w:r w:rsidR="002C449F" w:rsidRPr="00E93F40">
        <w:rPr>
          <w:rFonts w:ascii="Times New Roman" w:hAnsi="Times New Roman"/>
          <w:color w:val="000000" w:themeColor="text1"/>
          <w:sz w:val="16"/>
          <w:szCs w:val="16"/>
        </w:rPr>
        <w:t xml:space="preserve">а ПТ-1 принять после сравнительных испытаний с </w:t>
      </w:r>
      <w:hyperlink r:id="rId328" w:tgtFrame="_blank" w:history="1">
        <w:r w:rsidR="002C449F" w:rsidRPr="00E93F40">
          <w:rPr>
            <w:rFonts w:ascii="Times New Roman" w:hAnsi="Times New Roman"/>
            <w:color w:val="000000" w:themeColor="text1"/>
            <w:sz w:val="16"/>
            <w:szCs w:val="16"/>
          </w:rPr>
          <w:t>танк</w:t>
        </w:r>
      </w:hyperlink>
      <w:r w:rsidR="002C449F" w:rsidRPr="00E93F40">
        <w:rPr>
          <w:rFonts w:ascii="Times New Roman" w:hAnsi="Times New Roman"/>
          <w:color w:val="000000" w:themeColor="text1"/>
          <w:sz w:val="16"/>
          <w:szCs w:val="16"/>
        </w:rPr>
        <w:t xml:space="preserve">ом Т-28, учитывая, что наиболее отвечает оперативным требованиям колесно-гусеничный </w:t>
      </w:r>
      <w:hyperlink r:id="rId329" w:tgtFrame="_blank" w:history="1">
        <w:r w:rsidR="002C449F" w:rsidRPr="00E93F40">
          <w:rPr>
            <w:rFonts w:ascii="Times New Roman" w:hAnsi="Times New Roman"/>
            <w:color w:val="000000" w:themeColor="text1"/>
            <w:sz w:val="16"/>
            <w:szCs w:val="16"/>
          </w:rPr>
          <w:t>танк</w:t>
        </w:r>
      </w:hyperlink>
      <w:r w:rsidR="002C449F" w:rsidRPr="00E93F40">
        <w:rPr>
          <w:rFonts w:ascii="Times New Roman" w:hAnsi="Times New Roman"/>
          <w:color w:val="000000" w:themeColor="text1"/>
          <w:sz w:val="16"/>
          <w:szCs w:val="16"/>
        </w:rPr>
        <w:t>" (15620).</w:t>
      </w:r>
    </w:p>
    <w:p w14:paraId="6BF76DB6" w14:textId="77777777" w:rsidR="002C449F" w:rsidRPr="00E93F40" w:rsidRDefault="002C449F" w:rsidP="00E93F40">
      <w:pPr>
        <w:spacing w:after="0" w:line="240" w:lineRule="auto"/>
        <w:jc w:val="both"/>
        <w:rPr>
          <w:rFonts w:ascii="Times New Roman" w:hAnsi="Times New Roman"/>
          <w:color w:val="000000" w:themeColor="text1"/>
          <w:sz w:val="16"/>
          <w:szCs w:val="16"/>
        </w:rPr>
      </w:pPr>
    </w:p>
    <w:p w14:paraId="0E38BFB4" w14:textId="77777777" w:rsidR="002C449F" w:rsidRPr="00E93F40" w:rsidRDefault="002C44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1932-1933 гг. на базе Т-27 в НАТИ под руководством Н.И. Коротоножко проектировалась танкетка снабжения для подвоза боеприпасов на позиции в зоне действия огня противника (40 патронных ящиков массой 880 кг и 24 снаряженных пулеметных диска). Танкетка снабжения отличалась от базовой машины наличием саморазгружающего механизма и измененной конструкцией боковых карманов корпуса. Перевозимый боекомплект должен был разгружаться в течение 10-15 с. Проектная масса машины составляла 3,5 т.</w:t>
      </w:r>
    </w:p>
    <w:p w14:paraId="321F151D" w14:textId="77777777" w:rsidR="002C449F" w:rsidRPr="00E93F40" w:rsidRDefault="002C44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основу конструкции саморазгружающего приспособления был положен принцип рольгангов. Включение механизма разгрузки осуществлялось с места механика-водителя. Изготовление опытного образца планировалось в НАТИ к 1 марта 1933 г.</w:t>
      </w:r>
    </w:p>
    <w:p w14:paraId="6D79C044" w14:textId="77777777" w:rsidR="002C449F" w:rsidRPr="00E93F40" w:rsidRDefault="002C44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Развитием проекта НАТИ стала танкетка снабжения ЗР, или «зарядный ящик», поступившая на государственные испытания в 1934 г. (15606).</w:t>
      </w:r>
    </w:p>
    <w:p w14:paraId="72D1DC86" w14:textId="77777777" w:rsidR="002C449F" w:rsidRPr="00E93F40" w:rsidRDefault="002C449F" w:rsidP="00E93F40">
      <w:pPr>
        <w:spacing w:after="0" w:line="240" w:lineRule="auto"/>
        <w:jc w:val="both"/>
        <w:rPr>
          <w:rFonts w:ascii="Times New Roman" w:hAnsi="Times New Roman"/>
          <w:color w:val="000000" w:themeColor="text1"/>
          <w:sz w:val="16"/>
          <w:szCs w:val="16"/>
        </w:rPr>
      </w:pPr>
    </w:p>
    <w:p w14:paraId="7805E9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1932 - 1933 гг. ТО ЭКУ ОГПУ (АТБ ЭКУ ОГПУ, возглавляемом И.А. Махановым) в Москве для танка БТ-2 был разработан проект новой башни с увеличенным погоном и 76,2-мм пушкой. Для наведения орудия использовались электромеханические приводы с оригинальным дифференциальным механизмом горизонтального наведения. В ходовой части предполагалось использовать мелкозвенчатые гусеницы с коваными траками. Опытный образец башни был изготовлен московским заводом «Красный Прлетарий» в 1933 г. Впоследствии опытная башня с 76,2-мм пушкой была использована ленинградским заводом им. Ворошилова (завод № 174) при разработке модернизации вооружения легкого танка Т-26. 1 (просмотреть) Советская Армия БТ-2 Экспериментальный с 76.2мм Пушкой пр-ва завода Красный Путиловец В 1932-33 гг. коллективом завода «Красный Путиловец» был разработан и изготовлен экспериментальный оразец сварной цилиндрической башни под установку 76,2-мм полуавтоматической пушки или 76,2-мм полковой с укороченным откатом. Но танк, оснащенный такой башней, остался только на бумаге (11715). </w:t>
      </w:r>
    </w:p>
    <w:p w14:paraId="15D058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74E842D0" w14:textId="663C8A70" w:rsidR="00A159F2" w:rsidRPr="00E93F40" w:rsidRDefault="00A159F2"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В 1932–1933 гг. ТО ЭКУ ОГПУ (АТБ ЭКУ ОГПУ, возглавляемым И. А..Махановым) в Москве для </w:t>
      </w:r>
      <w:hyperlink r:id="rId330"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БТ-2 был разработан проект новой башни с увеличенным погоном и 76,2-мм пушкой. Для наведения орудия использовались электромеханические приводы с оригинальным дифференциальным механизмом горизонтального наведения. В ходовой части</w:t>
      </w:r>
      <w:r w:rsidR="00DD74E1">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 xml:space="preserve">предполагалось использовать мелкозвенчатые гусеницы с коваными траками. Опытный образец башни был изготовлен московским заводом «Красный Пролетарий» в 1933 г. В последствии опытная башня с 76,2-мм пушкой была использована ленинградским заводом им. Ворошилова (завод № 174) при разработке модернизации вооружения легкого </w:t>
      </w:r>
      <w:hyperlink r:id="rId331" w:tgtFrame="_blank" w:history="1">
        <w:r w:rsidRPr="00E93F40">
          <w:rPr>
            <w:rFonts w:ascii="Times New Roman" w:hAnsi="Times New Roman"/>
            <w:color w:val="000000" w:themeColor="text1"/>
            <w:sz w:val="16"/>
            <w:szCs w:val="16"/>
          </w:rPr>
          <w:t>танк</w:t>
        </w:r>
      </w:hyperlink>
      <w:r w:rsidRPr="00E93F40">
        <w:rPr>
          <w:rFonts w:ascii="Times New Roman" w:hAnsi="Times New Roman"/>
          <w:color w:val="000000" w:themeColor="text1"/>
          <w:sz w:val="16"/>
          <w:szCs w:val="16"/>
        </w:rPr>
        <w:t>а Т-26 (15619).</w:t>
      </w:r>
    </w:p>
    <w:p w14:paraId="0D5819B4" w14:textId="77777777" w:rsidR="00A159F2" w:rsidRPr="00E93F40" w:rsidRDefault="00A159F2" w:rsidP="00E93F40">
      <w:pPr>
        <w:spacing w:after="0" w:line="240" w:lineRule="auto"/>
        <w:jc w:val="both"/>
        <w:rPr>
          <w:rFonts w:ascii="Times New Roman" w:hAnsi="Times New Roman"/>
          <w:color w:val="000000" w:themeColor="text1"/>
          <w:sz w:val="16"/>
          <w:szCs w:val="16"/>
        </w:rPr>
      </w:pPr>
    </w:p>
    <w:p w14:paraId="07DED6DA"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1932 - 1934 годах специалистами НАТИ и других учреждений были разработаны еще несколько вариантов трехосных ярославских грузовиков, например, Я-5-НАТИ (проект дополнительных узлов к двухосному Я-5: демультипликатора, подвески задних колес и главной передачи червячного типа) с двигателем «Неrcules-YXC-3», грузоподъемностью 5000 кг и передаточным числом главной передачи 8,75; или вспомним вариант с паросиловой установкой высокого давления на удлиненном трехосном ярославском шасси.</w:t>
      </w:r>
    </w:p>
    <w:p w14:paraId="0AE50F1D" w14:textId="77777777" w:rsidR="00FC3E25" w:rsidRPr="00E93F40" w:rsidRDefault="00FC3E2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Однако все эти разработки, будучи более прогрессивными, все же являлись для Ярославского автозавода чем-то вроде ложки, поданной после обеда. Ни для изготовления червячной передачи, ни для штампованных рам надлежащего оборудования на заводе не имелось. А приемлимый для серийного заводского изготовления ЯГ-10 уже был создан и испытан (12201).</w:t>
      </w:r>
    </w:p>
    <w:p w14:paraId="10817B91" w14:textId="77777777" w:rsidR="00FC3E25" w:rsidRPr="00E93F40" w:rsidRDefault="00FC3E25" w:rsidP="00E93F40">
      <w:pPr>
        <w:spacing w:after="0" w:line="240" w:lineRule="auto"/>
        <w:jc w:val="both"/>
        <w:rPr>
          <w:rFonts w:ascii="Times New Roman" w:hAnsi="Times New Roman"/>
          <w:color w:val="000000" w:themeColor="text1"/>
          <w:sz w:val="16"/>
          <w:szCs w:val="16"/>
        </w:rPr>
      </w:pPr>
    </w:p>
    <w:p w14:paraId="526E2DB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1932-1936 были выпущены следующие приказы и распоряжения Наркомтяжпром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70"/>
        <w:gridCol w:w="2211"/>
        <w:gridCol w:w="874"/>
        <w:gridCol w:w="992"/>
      </w:tblGrid>
      <w:tr w:rsidR="00DA227A" w:rsidRPr="00E93F40" w14:paraId="427F586F" w14:textId="77777777">
        <w:tc>
          <w:tcPr>
            <w:tcW w:w="5670" w:type="dxa"/>
          </w:tcPr>
          <w:p w14:paraId="67DC764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Заголовки дел</w:t>
            </w:r>
          </w:p>
        </w:tc>
        <w:tc>
          <w:tcPr>
            <w:tcW w:w="2211" w:type="dxa"/>
          </w:tcPr>
          <w:p w14:paraId="0FB1A5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приказа</w:t>
            </w:r>
          </w:p>
        </w:tc>
        <w:tc>
          <w:tcPr>
            <w:tcW w:w="874" w:type="dxa"/>
          </w:tcPr>
          <w:p w14:paraId="2D2082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дела</w:t>
            </w:r>
          </w:p>
        </w:tc>
        <w:tc>
          <w:tcPr>
            <w:tcW w:w="992" w:type="dxa"/>
          </w:tcPr>
          <w:p w14:paraId="532EB9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листа</w:t>
            </w:r>
          </w:p>
        </w:tc>
      </w:tr>
      <w:tr w:rsidR="00DA227A" w:rsidRPr="00E93F40" w14:paraId="38F51B31" w14:textId="77777777">
        <w:tc>
          <w:tcPr>
            <w:tcW w:w="5670" w:type="dxa"/>
          </w:tcPr>
          <w:p w14:paraId="2A7073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бумаги и целлюлозы</w:t>
            </w:r>
          </w:p>
        </w:tc>
        <w:tc>
          <w:tcPr>
            <w:tcW w:w="2211" w:type="dxa"/>
          </w:tcPr>
          <w:p w14:paraId="36FFE29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от 10 января 1932</w:t>
            </w:r>
          </w:p>
        </w:tc>
        <w:tc>
          <w:tcPr>
            <w:tcW w:w="874" w:type="dxa"/>
          </w:tcPr>
          <w:p w14:paraId="11A563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10DE3DC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w:t>
            </w:r>
          </w:p>
        </w:tc>
      </w:tr>
      <w:tr w:rsidR="00DA227A" w:rsidRPr="00E93F40" w14:paraId="51249B01" w14:textId="77777777">
        <w:tc>
          <w:tcPr>
            <w:tcW w:w="5670" w:type="dxa"/>
          </w:tcPr>
          <w:p w14:paraId="2E20F2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кино-фото</w:t>
            </w:r>
          </w:p>
        </w:tc>
        <w:tc>
          <w:tcPr>
            <w:tcW w:w="2211" w:type="dxa"/>
          </w:tcPr>
          <w:p w14:paraId="40F4BE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от 10 января 1932</w:t>
            </w:r>
          </w:p>
        </w:tc>
        <w:tc>
          <w:tcPr>
            <w:tcW w:w="874" w:type="dxa"/>
          </w:tcPr>
          <w:p w14:paraId="0836E2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3CA997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26181087" w14:textId="77777777">
        <w:tc>
          <w:tcPr>
            <w:tcW w:w="5670" w:type="dxa"/>
          </w:tcPr>
          <w:p w14:paraId="045B48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швейной промышленности</w:t>
            </w:r>
          </w:p>
        </w:tc>
        <w:tc>
          <w:tcPr>
            <w:tcW w:w="2211" w:type="dxa"/>
          </w:tcPr>
          <w:p w14:paraId="3D0BBA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от 10 января 1932</w:t>
            </w:r>
          </w:p>
        </w:tc>
        <w:tc>
          <w:tcPr>
            <w:tcW w:w="874" w:type="dxa"/>
          </w:tcPr>
          <w:p w14:paraId="05F6CB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1 </w:t>
            </w:r>
          </w:p>
        </w:tc>
        <w:tc>
          <w:tcPr>
            <w:tcW w:w="992" w:type="dxa"/>
          </w:tcPr>
          <w:p w14:paraId="67F466C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47B6758E" w14:textId="77777777">
        <w:tc>
          <w:tcPr>
            <w:tcW w:w="5670" w:type="dxa"/>
          </w:tcPr>
          <w:p w14:paraId="043EC6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полиграфической промышленности</w:t>
            </w:r>
          </w:p>
        </w:tc>
        <w:tc>
          <w:tcPr>
            <w:tcW w:w="2211" w:type="dxa"/>
          </w:tcPr>
          <w:p w14:paraId="7761B7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от 10 января 1932</w:t>
            </w:r>
          </w:p>
        </w:tc>
        <w:tc>
          <w:tcPr>
            <w:tcW w:w="874" w:type="dxa"/>
          </w:tcPr>
          <w:p w14:paraId="7AC9A8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2540F2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25FBCBED" w14:textId="77777777">
        <w:tc>
          <w:tcPr>
            <w:tcW w:w="5670" w:type="dxa"/>
          </w:tcPr>
          <w:p w14:paraId="3DC891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кожевенной промышленности</w:t>
            </w:r>
          </w:p>
        </w:tc>
        <w:tc>
          <w:tcPr>
            <w:tcW w:w="2211" w:type="dxa"/>
          </w:tcPr>
          <w:p w14:paraId="527F7E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от 10 января 1932</w:t>
            </w:r>
          </w:p>
        </w:tc>
        <w:tc>
          <w:tcPr>
            <w:tcW w:w="874" w:type="dxa"/>
          </w:tcPr>
          <w:p w14:paraId="0029A8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592971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37B092D4" w14:textId="77777777">
        <w:tc>
          <w:tcPr>
            <w:tcW w:w="5670" w:type="dxa"/>
          </w:tcPr>
          <w:p w14:paraId="47CB1A8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одесский канатный</w:t>
            </w:r>
          </w:p>
        </w:tc>
        <w:tc>
          <w:tcPr>
            <w:tcW w:w="2211" w:type="dxa"/>
          </w:tcPr>
          <w:p w14:paraId="55C5F8F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от 10 января 1932</w:t>
            </w:r>
          </w:p>
        </w:tc>
        <w:tc>
          <w:tcPr>
            <w:tcW w:w="874" w:type="dxa"/>
          </w:tcPr>
          <w:p w14:paraId="26EE38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1C0645C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3C5066BA" w14:textId="77777777">
        <w:tc>
          <w:tcPr>
            <w:tcW w:w="5670" w:type="dxa"/>
          </w:tcPr>
          <w:p w14:paraId="0BFDA2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Фабрика текстильная «Красный маяк»</w:t>
            </w:r>
          </w:p>
        </w:tc>
        <w:tc>
          <w:tcPr>
            <w:tcW w:w="2211" w:type="dxa"/>
          </w:tcPr>
          <w:p w14:paraId="1C43D6B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от 10 января 1932</w:t>
            </w:r>
          </w:p>
        </w:tc>
        <w:tc>
          <w:tcPr>
            <w:tcW w:w="874" w:type="dxa"/>
          </w:tcPr>
          <w:p w14:paraId="7191FF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0905BD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0D276619" w14:textId="77777777">
        <w:tc>
          <w:tcPr>
            <w:tcW w:w="5670" w:type="dxa"/>
          </w:tcPr>
          <w:p w14:paraId="7381B8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Фабрика текстильная «Красный перекоп»</w:t>
            </w:r>
          </w:p>
        </w:tc>
        <w:tc>
          <w:tcPr>
            <w:tcW w:w="2211" w:type="dxa"/>
          </w:tcPr>
          <w:p w14:paraId="52A111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от 10 января 1932</w:t>
            </w:r>
          </w:p>
        </w:tc>
        <w:tc>
          <w:tcPr>
            <w:tcW w:w="874" w:type="dxa"/>
          </w:tcPr>
          <w:p w14:paraId="0833CE7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1 </w:t>
            </w:r>
          </w:p>
        </w:tc>
        <w:tc>
          <w:tcPr>
            <w:tcW w:w="992" w:type="dxa"/>
          </w:tcPr>
          <w:p w14:paraId="46859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w:t>
            </w:r>
          </w:p>
        </w:tc>
      </w:tr>
      <w:tr w:rsidR="00DA227A" w:rsidRPr="00E93F40" w14:paraId="6680901D" w14:textId="77777777">
        <w:tc>
          <w:tcPr>
            <w:tcW w:w="5670" w:type="dxa"/>
          </w:tcPr>
          <w:p w14:paraId="3B848C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Предприятия стекольно-фарфоровой промышленности</w:t>
            </w:r>
          </w:p>
        </w:tc>
        <w:tc>
          <w:tcPr>
            <w:tcW w:w="2211" w:type="dxa"/>
          </w:tcPr>
          <w:p w14:paraId="670DCB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 от 10 января 1932</w:t>
            </w:r>
          </w:p>
        </w:tc>
        <w:tc>
          <w:tcPr>
            <w:tcW w:w="874" w:type="dxa"/>
          </w:tcPr>
          <w:p w14:paraId="1733D4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1 </w:t>
            </w:r>
          </w:p>
        </w:tc>
        <w:tc>
          <w:tcPr>
            <w:tcW w:w="992" w:type="dxa"/>
          </w:tcPr>
          <w:p w14:paraId="3A7646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r>
      <w:tr w:rsidR="00DA227A" w:rsidRPr="00E93F40" w14:paraId="780F023D" w14:textId="77777777">
        <w:tc>
          <w:tcPr>
            <w:tcW w:w="5670" w:type="dxa"/>
          </w:tcPr>
          <w:p w14:paraId="6D258B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«Свердловский металлист»</w:t>
            </w:r>
          </w:p>
        </w:tc>
        <w:tc>
          <w:tcPr>
            <w:tcW w:w="2211" w:type="dxa"/>
          </w:tcPr>
          <w:p w14:paraId="54661EC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21 от 20 января 1932</w:t>
            </w:r>
          </w:p>
        </w:tc>
        <w:tc>
          <w:tcPr>
            <w:tcW w:w="874" w:type="dxa"/>
          </w:tcPr>
          <w:p w14:paraId="6CB740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4D4200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95</w:t>
            </w:r>
          </w:p>
        </w:tc>
      </w:tr>
      <w:tr w:rsidR="00DA227A" w:rsidRPr="00E93F40" w14:paraId="1D62FFAA" w14:textId="77777777">
        <w:tc>
          <w:tcPr>
            <w:tcW w:w="5670" w:type="dxa"/>
          </w:tcPr>
          <w:p w14:paraId="72D5CA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Фабрика текстильная «Красный перекоп»</w:t>
            </w:r>
          </w:p>
        </w:tc>
        <w:tc>
          <w:tcPr>
            <w:tcW w:w="2211" w:type="dxa"/>
          </w:tcPr>
          <w:p w14:paraId="0EBB2A6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19 от 20 января 1932</w:t>
            </w:r>
          </w:p>
        </w:tc>
        <w:tc>
          <w:tcPr>
            <w:tcW w:w="874" w:type="dxa"/>
          </w:tcPr>
          <w:p w14:paraId="3D56481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3219A8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w:t>
            </w:r>
          </w:p>
        </w:tc>
      </w:tr>
      <w:tr w:rsidR="00DA227A" w:rsidRPr="00E93F40" w14:paraId="016C269D" w14:textId="77777777">
        <w:tc>
          <w:tcPr>
            <w:tcW w:w="5670" w:type="dxa"/>
          </w:tcPr>
          <w:p w14:paraId="79F6CE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Фабрика текстильная «Красный маяк»</w:t>
            </w:r>
          </w:p>
        </w:tc>
        <w:tc>
          <w:tcPr>
            <w:tcW w:w="2211" w:type="dxa"/>
          </w:tcPr>
          <w:p w14:paraId="0C51C2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19 от 20 января 1932</w:t>
            </w:r>
          </w:p>
        </w:tc>
        <w:tc>
          <w:tcPr>
            <w:tcW w:w="874" w:type="dxa"/>
          </w:tcPr>
          <w:p w14:paraId="37B12D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231897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w:t>
            </w:r>
          </w:p>
        </w:tc>
      </w:tr>
      <w:tr w:rsidR="00DA227A" w:rsidRPr="00E93F40" w14:paraId="64F33C46" w14:textId="77777777">
        <w:tc>
          <w:tcPr>
            <w:tcW w:w="5670" w:type="dxa"/>
          </w:tcPr>
          <w:p w14:paraId="2D120E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Фабрика канатная в г. Одессе</w:t>
            </w:r>
          </w:p>
        </w:tc>
        <w:tc>
          <w:tcPr>
            <w:tcW w:w="2211" w:type="dxa"/>
          </w:tcPr>
          <w:p w14:paraId="28BAB1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19 от 20 января 1932</w:t>
            </w:r>
          </w:p>
        </w:tc>
        <w:tc>
          <w:tcPr>
            <w:tcW w:w="874" w:type="dxa"/>
          </w:tcPr>
          <w:p w14:paraId="1D30D7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75D41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86</w:t>
            </w:r>
          </w:p>
        </w:tc>
      </w:tr>
      <w:tr w:rsidR="00DA227A" w:rsidRPr="00E93F40" w14:paraId="5E2E60A0" w14:textId="77777777">
        <w:tc>
          <w:tcPr>
            <w:tcW w:w="5670" w:type="dxa"/>
          </w:tcPr>
          <w:p w14:paraId="625C413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21 им. Енукидзе</w:t>
            </w:r>
          </w:p>
        </w:tc>
        <w:tc>
          <w:tcPr>
            <w:tcW w:w="2211" w:type="dxa"/>
          </w:tcPr>
          <w:p w14:paraId="083FAC0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61 от 10 февраля 1932</w:t>
            </w:r>
          </w:p>
        </w:tc>
        <w:tc>
          <w:tcPr>
            <w:tcW w:w="874" w:type="dxa"/>
          </w:tcPr>
          <w:p w14:paraId="0DB6A35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1</w:t>
            </w:r>
          </w:p>
        </w:tc>
        <w:tc>
          <w:tcPr>
            <w:tcW w:w="992" w:type="dxa"/>
          </w:tcPr>
          <w:p w14:paraId="32A425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237-239</w:t>
            </w:r>
          </w:p>
        </w:tc>
      </w:tr>
      <w:tr w:rsidR="00DA227A" w:rsidRPr="00E93F40" w14:paraId="46330388" w14:textId="77777777">
        <w:tc>
          <w:tcPr>
            <w:tcW w:w="5670" w:type="dxa"/>
          </w:tcPr>
          <w:p w14:paraId="343DD2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Краматорский металлургического оборудования</w:t>
            </w:r>
          </w:p>
        </w:tc>
        <w:tc>
          <w:tcPr>
            <w:tcW w:w="2211" w:type="dxa"/>
          </w:tcPr>
          <w:p w14:paraId="42BFC7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113 от 27 февраля 1932</w:t>
            </w:r>
          </w:p>
        </w:tc>
        <w:tc>
          <w:tcPr>
            <w:tcW w:w="874" w:type="dxa"/>
          </w:tcPr>
          <w:p w14:paraId="525F8E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36E339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33</w:t>
            </w:r>
          </w:p>
        </w:tc>
      </w:tr>
      <w:tr w:rsidR="00DA227A" w:rsidRPr="00E93F40" w14:paraId="0968F1C7" w14:textId="77777777">
        <w:tc>
          <w:tcPr>
            <w:tcW w:w="5670" w:type="dxa"/>
          </w:tcPr>
          <w:p w14:paraId="2E1B53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Завод счетно-аналитических машин САМ</w:t>
            </w:r>
          </w:p>
        </w:tc>
        <w:tc>
          <w:tcPr>
            <w:tcW w:w="2211" w:type="dxa"/>
          </w:tcPr>
          <w:p w14:paraId="6962CA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 40/у </w:t>
            </w:r>
          </w:p>
        </w:tc>
        <w:tc>
          <w:tcPr>
            <w:tcW w:w="874" w:type="dxa"/>
          </w:tcPr>
          <w:p w14:paraId="0DF515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0E41B27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53</w:t>
            </w:r>
          </w:p>
        </w:tc>
      </w:tr>
      <w:tr w:rsidR="00DA227A" w:rsidRPr="00E93F40" w14:paraId="2EBA05BD" w14:textId="77777777">
        <w:tc>
          <w:tcPr>
            <w:tcW w:w="5670" w:type="dxa"/>
          </w:tcPr>
          <w:p w14:paraId="1A1011A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экономики строительного производства (ИЭС)</w:t>
            </w:r>
          </w:p>
        </w:tc>
        <w:tc>
          <w:tcPr>
            <w:tcW w:w="2211" w:type="dxa"/>
          </w:tcPr>
          <w:p w14:paraId="7581C32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167 от 17 марта 1932</w:t>
            </w:r>
          </w:p>
        </w:tc>
        <w:tc>
          <w:tcPr>
            <w:tcW w:w="874" w:type="dxa"/>
          </w:tcPr>
          <w:p w14:paraId="0E2986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6A0DCE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206</w:t>
            </w:r>
          </w:p>
        </w:tc>
      </w:tr>
      <w:tr w:rsidR="00DA227A" w:rsidRPr="00E93F40" w14:paraId="0E9BFC0C" w14:textId="77777777">
        <w:tc>
          <w:tcPr>
            <w:tcW w:w="5670" w:type="dxa"/>
          </w:tcPr>
          <w:p w14:paraId="317AE9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Славянский</w:t>
            </w:r>
          </w:p>
        </w:tc>
        <w:tc>
          <w:tcPr>
            <w:tcW w:w="2211" w:type="dxa"/>
          </w:tcPr>
          <w:p w14:paraId="535F4B9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09E30F7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66D4D9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1FCDA5B8" w14:textId="77777777">
        <w:tc>
          <w:tcPr>
            <w:tcW w:w="5670" w:type="dxa"/>
          </w:tcPr>
          <w:p w14:paraId="11211F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Токаревский</w:t>
            </w:r>
          </w:p>
        </w:tc>
        <w:tc>
          <w:tcPr>
            <w:tcW w:w="2211" w:type="dxa"/>
          </w:tcPr>
          <w:p w14:paraId="3EBE20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1EF7CB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23416B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4211A440" w14:textId="77777777">
        <w:tc>
          <w:tcPr>
            <w:tcW w:w="5670" w:type="dxa"/>
          </w:tcPr>
          <w:p w14:paraId="2F5B48B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«Искра»</w:t>
            </w:r>
          </w:p>
        </w:tc>
        <w:tc>
          <w:tcPr>
            <w:tcW w:w="2211" w:type="dxa"/>
          </w:tcPr>
          <w:p w14:paraId="5C00F8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2C487C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73EC0F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1C592D62" w14:textId="77777777">
        <w:tc>
          <w:tcPr>
            <w:tcW w:w="5670" w:type="dxa"/>
          </w:tcPr>
          <w:p w14:paraId="39D70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Сходненский</w:t>
            </w:r>
          </w:p>
        </w:tc>
        <w:tc>
          <w:tcPr>
            <w:tcW w:w="2211" w:type="dxa"/>
          </w:tcPr>
          <w:p w14:paraId="091912F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21F925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6E1450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3BC17E3" w14:textId="77777777">
        <w:tc>
          <w:tcPr>
            <w:tcW w:w="5670" w:type="dxa"/>
          </w:tcPr>
          <w:p w14:paraId="242EBD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им. Ломоносова</w:t>
            </w:r>
          </w:p>
        </w:tc>
        <w:tc>
          <w:tcPr>
            <w:tcW w:w="2211" w:type="dxa"/>
          </w:tcPr>
          <w:p w14:paraId="303719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4CE6E9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51AA0C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D1335DB" w14:textId="77777777">
        <w:tc>
          <w:tcPr>
            <w:tcW w:w="5670" w:type="dxa"/>
          </w:tcPr>
          <w:p w14:paraId="61ED094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Запрудненский</w:t>
            </w:r>
          </w:p>
        </w:tc>
        <w:tc>
          <w:tcPr>
            <w:tcW w:w="2211" w:type="dxa"/>
          </w:tcPr>
          <w:p w14:paraId="5D89A9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0547FD3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2 </w:t>
            </w:r>
          </w:p>
        </w:tc>
        <w:tc>
          <w:tcPr>
            <w:tcW w:w="992" w:type="dxa"/>
          </w:tcPr>
          <w:p w14:paraId="35C97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5E78A306" w14:textId="77777777">
        <w:tc>
          <w:tcPr>
            <w:tcW w:w="5670" w:type="dxa"/>
          </w:tcPr>
          <w:p w14:paraId="3505C33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Ухинский</w:t>
            </w:r>
          </w:p>
        </w:tc>
        <w:tc>
          <w:tcPr>
            <w:tcW w:w="2211" w:type="dxa"/>
          </w:tcPr>
          <w:p w14:paraId="391DDD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49D4F7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0A183A1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37080501" w14:textId="77777777">
        <w:tc>
          <w:tcPr>
            <w:tcW w:w="5670" w:type="dxa"/>
          </w:tcPr>
          <w:p w14:paraId="5512F8E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«Дружная горка»</w:t>
            </w:r>
          </w:p>
        </w:tc>
        <w:tc>
          <w:tcPr>
            <w:tcW w:w="2211" w:type="dxa"/>
          </w:tcPr>
          <w:p w14:paraId="53E329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4CB288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781ACB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7979E200" w14:textId="77777777">
        <w:tc>
          <w:tcPr>
            <w:tcW w:w="5670" w:type="dxa"/>
          </w:tcPr>
          <w:p w14:paraId="49B4D9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Скочинский</w:t>
            </w:r>
          </w:p>
        </w:tc>
        <w:tc>
          <w:tcPr>
            <w:tcW w:w="2211" w:type="dxa"/>
          </w:tcPr>
          <w:p w14:paraId="3A00F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52C0DE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4C33C78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272E3ED1" w14:textId="77777777">
        <w:tc>
          <w:tcPr>
            <w:tcW w:w="5670" w:type="dxa"/>
          </w:tcPr>
          <w:p w14:paraId="53E00C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Калашниковский</w:t>
            </w:r>
          </w:p>
        </w:tc>
        <w:tc>
          <w:tcPr>
            <w:tcW w:w="2211" w:type="dxa"/>
          </w:tcPr>
          <w:p w14:paraId="553AC7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4AF7161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0417FC1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44C9D5CF" w14:textId="77777777">
        <w:tc>
          <w:tcPr>
            <w:tcW w:w="5670" w:type="dxa"/>
          </w:tcPr>
          <w:p w14:paraId="342CB0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Клинский</w:t>
            </w:r>
          </w:p>
        </w:tc>
        <w:tc>
          <w:tcPr>
            <w:tcW w:w="2211" w:type="dxa"/>
          </w:tcPr>
          <w:p w14:paraId="317E7FF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5CFF358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45B4D12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E2CB9C7" w14:textId="77777777">
        <w:tc>
          <w:tcPr>
            <w:tcW w:w="5670" w:type="dxa"/>
          </w:tcPr>
          <w:p w14:paraId="0E1C48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«Красный луч»</w:t>
            </w:r>
          </w:p>
        </w:tc>
        <w:tc>
          <w:tcPr>
            <w:tcW w:w="2211" w:type="dxa"/>
          </w:tcPr>
          <w:p w14:paraId="6E27A1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017B6FB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2 </w:t>
            </w:r>
          </w:p>
        </w:tc>
        <w:tc>
          <w:tcPr>
            <w:tcW w:w="992" w:type="dxa"/>
          </w:tcPr>
          <w:p w14:paraId="777993E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1CE04D5" w14:textId="77777777">
        <w:tc>
          <w:tcPr>
            <w:tcW w:w="5670" w:type="dxa"/>
          </w:tcPr>
          <w:p w14:paraId="64DFBBA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«Великий Октябрь»</w:t>
            </w:r>
          </w:p>
        </w:tc>
        <w:tc>
          <w:tcPr>
            <w:tcW w:w="2211" w:type="dxa"/>
          </w:tcPr>
          <w:p w14:paraId="762F67A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13A9993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6C688B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254BD12A" w14:textId="77777777">
        <w:tc>
          <w:tcPr>
            <w:tcW w:w="5670" w:type="dxa"/>
          </w:tcPr>
          <w:p w14:paraId="579C16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«Заря»</w:t>
            </w:r>
          </w:p>
        </w:tc>
        <w:tc>
          <w:tcPr>
            <w:tcW w:w="2211" w:type="dxa"/>
          </w:tcPr>
          <w:p w14:paraId="1A0AA7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25CA54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5E05F3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4C4F5DF" w14:textId="77777777">
        <w:tc>
          <w:tcPr>
            <w:tcW w:w="5670" w:type="dxa"/>
          </w:tcPr>
          <w:p w14:paraId="68A3EB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Машеронский</w:t>
            </w:r>
          </w:p>
        </w:tc>
        <w:tc>
          <w:tcPr>
            <w:tcW w:w="2211" w:type="dxa"/>
          </w:tcPr>
          <w:p w14:paraId="739D1C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6D6343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141856C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6F66AB7B" w14:textId="77777777">
        <w:tc>
          <w:tcPr>
            <w:tcW w:w="5670" w:type="dxa"/>
          </w:tcPr>
          <w:p w14:paraId="131911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Чернягинский</w:t>
            </w:r>
          </w:p>
        </w:tc>
        <w:tc>
          <w:tcPr>
            <w:tcW w:w="2211" w:type="dxa"/>
          </w:tcPr>
          <w:p w14:paraId="43C608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1F2E093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44258B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52A978F6" w14:textId="77777777">
        <w:tc>
          <w:tcPr>
            <w:tcW w:w="5670" w:type="dxa"/>
          </w:tcPr>
          <w:p w14:paraId="50CD8E0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Баташевский</w:t>
            </w:r>
          </w:p>
        </w:tc>
        <w:tc>
          <w:tcPr>
            <w:tcW w:w="2211" w:type="dxa"/>
          </w:tcPr>
          <w:p w14:paraId="78CECE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30E63EC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0C02635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1CD3C323" w14:textId="77777777">
        <w:tc>
          <w:tcPr>
            <w:tcW w:w="5670" w:type="dxa"/>
          </w:tcPr>
          <w:p w14:paraId="4A92615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Ивотский</w:t>
            </w:r>
          </w:p>
        </w:tc>
        <w:tc>
          <w:tcPr>
            <w:tcW w:w="2211" w:type="dxa"/>
          </w:tcPr>
          <w:p w14:paraId="6CAD16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4749F8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7BBD00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42DABCC" w14:textId="77777777">
        <w:tc>
          <w:tcPr>
            <w:tcW w:w="5670" w:type="dxa"/>
          </w:tcPr>
          <w:p w14:paraId="02F1DE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им. Бодаева</w:t>
            </w:r>
          </w:p>
        </w:tc>
        <w:tc>
          <w:tcPr>
            <w:tcW w:w="2211" w:type="dxa"/>
          </w:tcPr>
          <w:p w14:paraId="13F089B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0DE12A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122082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239CFE9" w14:textId="77777777">
        <w:tc>
          <w:tcPr>
            <w:tcW w:w="5670" w:type="dxa"/>
          </w:tcPr>
          <w:p w14:paraId="672469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«Дагогни»</w:t>
            </w:r>
          </w:p>
        </w:tc>
        <w:tc>
          <w:tcPr>
            <w:tcW w:w="2211" w:type="dxa"/>
          </w:tcPr>
          <w:p w14:paraId="7AE5D8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5EA1E9D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2 </w:t>
            </w:r>
          </w:p>
        </w:tc>
        <w:tc>
          <w:tcPr>
            <w:tcW w:w="992" w:type="dxa"/>
          </w:tcPr>
          <w:p w14:paraId="0495CF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26990DBF" w14:textId="77777777">
        <w:tc>
          <w:tcPr>
            <w:tcW w:w="5670" w:type="dxa"/>
          </w:tcPr>
          <w:p w14:paraId="7EE9D9F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«Белый бычок»</w:t>
            </w:r>
          </w:p>
        </w:tc>
        <w:tc>
          <w:tcPr>
            <w:tcW w:w="2211" w:type="dxa"/>
          </w:tcPr>
          <w:p w14:paraId="6C5B94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106387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554DD9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649E563" w14:textId="77777777">
        <w:tc>
          <w:tcPr>
            <w:tcW w:w="5670" w:type="dxa"/>
          </w:tcPr>
          <w:p w14:paraId="58B112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Гусевский</w:t>
            </w:r>
          </w:p>
        </w:tc>
        <w:tc>
          <w:tcPr>
            <w:tcW w:w="2211" w:type="dxa"/>
          </w:tcPr>
          <w:p w14:paraId="1C0CA4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2C09F1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147FCF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3542D692" w14:textId="77777777">
        <w:tc>
          <w:tcPr>
            <w:tcW w:w="5670" w:type="dxa"/>
          </w:tcPr>
          <w:p w14:paraId="5BF1AA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Нижегородский</w:t>
            </w:r>
          </w:p>
        </w:tc>
        <w:tc>
          <w:tcPr>
            <w:tcW w:w="2211" w:type="dxa"/>
          </w:tcPr>
          <w:p w14:paraId="61374D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21A4BD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47FC4D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1BBCFF51" w14:textId="77777777">
        <w:tc>
          <w:tcPr>
            <w:tcW w:w="5670" w:type="dxa"/>
          </w:tcPr>
          <w:p w14:paraId="602E71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«Горн»</w:t>
            </w:r>
          </w:p>
        </w:tc>
        <w:tc>
          <w:tcPr>
            <w:tcW w:w="2211" w:type="dxa"/>
          </w:tcPr>
          <w:p w14:paraId="70D7AD4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1D20849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038B8D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481736F5" w14:textId="77777777">
        <w:tc>
          <w:tcPr>
            <w:tcW w:w="5670" w:type="dxa"/>
          </w:tcPr>
          <w:p w14:paraId="3C9B77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«Изолятор»</w:t>
            </w:r>
          </w:p>
        </w:tc>
        <w:tc>
          <w:tcPr>
            <w:tcW w:w="2211" w:type="dxa"/>
          </w:tcPr>
          <w:p w14:paraId="334FE8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1B8C39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6D7F4F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4A2D7C87" w14:textId="77777777">
        <w:tc>
          <w:tcPr>
            <w:tcW w:w="5670" w:type="dxa"/>
          </w:tcPr>
          <w:p w14:paraId="3DA422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«Пролетарий»</w:t>
            </w:r>
          </w:p>
        </w:tc>
        <w:tc>
          <w:tcPr>
            <w:tcW w:w="2211" w:type="dxa"/>
          </w:tcPr>
          <w:p w14:paraId="5CCE7B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785EF66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6E1F84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E334D8D" w14:textId="77777777">
        <w:tc>
          <w:tcPr>
            <w:tcW w:w="5670" w:type="dxa"/>
          </w:tcPr>
          <w:p w14:paraId="4E0F166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Мариупольский</w:t>
            </w:r>
          </w:p>
        </w:tc>
        <w:tc>
          <w:tcPr>
            <w:tcW w:w="2211" w:type="dxa"/>
          </w:tcPr>
          <w:p w14:paraId="33DAE1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6F184F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12B393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1009C07A" w14:textId="77777777">
        <w:tc>
          <w:tcPr>
            <w:tcW w:w="5670" w:type="dxa"/>
          </w:tcPr>
          <w:p w14:paraId="6132C75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«Стекломашина»</w:t>
            </w:r>
          </w:p>
        </w:tc>
        <w:tc>
          <w:tcPr>
            <w:tcW w:w="2211" w:type="dxa"/>
          </w:tcPr>
          <w:p w14:paraId="7415C8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02C10CB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431176D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50E76EF3" w14:textId="77777777">
        <w:tc>
          <w:tcPr>
            <w:tcW w:w="5670" w:type="dxa"/>
          </w:tcPr>
          <w:p w14:paraId="6129B7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Ленинградский керамический</w:t>
            </w:r>
          </w:p>
        </w:tc>
        <w:tc>
          <w:tcPr>
            <w:tcW w:w="2211" w:type="dxa"/>
          </w:tcPr>
          <w:p w14:paraId="187839E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5751DC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7A740B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098B3924" w14:textId="77777777">
        <w:tc>
          <w:tcPr>
            <w:tcW w:w="5670" w:type="dxa"/>
          </w:tcPr>
          <w:p w14:paraId="5998410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Московский стекла</w:t>
            </w:r>
          </w:p>
        </w:tc>
        <w:tc>
          <w:tcPr>
            <w:tcW w:w="2211" w:type="dxa"/>
          </w:tcPr>
          <w:p w14:paraId="4102D6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171 от 19 марта 1932</w:t>
            </w:r>
          </w:p>
        </w:tc>
        <w:tc>
          <w:tcPr>
            <w:tcW w:w="874" w:type="dxa"/>
          </w:tcPr>
          <w:p w14:paraId="24F2625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2</w:t>
            </w:r>
          </w:p>
        </w:tc>
        <w:tc>
          <w:tcPr>
            <w:tcW w:w="992" w:type="dxa"/>
          </w:tcPr>
          <w:p w14:paraId="01B4A0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236</w:t>
            </w:r>
          </w:p>
        </w:tc>
      </w:tr>
      <w:tr w:rsidR="00DA227A" w:rsidRPr="00E93F40" w14:paraId="717F1D72" w14:textId="77777777">
        <w:tc>
          <w:tcPr>
            <w:tcW w:w="5670" w:type="dxa"/>
          </w:tcPr>
          <w:p w14:paraId="3D1BD6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Чиргинский электромеханический «Чиргинстрой»</w:t>
            </w:r>
          </w:p>
        </w:tc>
        <w:tc>
          <w:tcPr>
            <w:tcW w:w="2211" w:type="dxa"/>
          </w:tcPr>
          <w:p w14:paraId="6FF43A6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260 от 3 мая 1932</w:t>
            </w:r>
          </w:p>
        </w:tc>
        <w:tc>
          <w:tcPr>
            <w:tcW w:w="874" w:type="dxa"/>
          </w:tcPr>
          <w:p w14:paraId="0770751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0048520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204</w:t>
            </w:r>
          </w:p>
        </w:tc>
      </w:tr>
      <w:tr w:rsidR="00DA227A" w:rsidRPr="00E93F40" w14:paraId="5FE84254" w14:textId="77777777">
        <w:tc>
          <w:tcPr>
            <w:tcW w:w="5670" w:type="dxa"/>
          </w:tcPr>
          <w:p w14:paraId="34998E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Воронежский судостроительный</w:t>
            </w:r>
          </w:p>
        </w:tc>
        <w:tc>
          <w:tcPr>
            <w:tcW w:w="2211" w:type="dxa"/>
          </w:tcPr>
          <w:p w14:paraId="020B4E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272 от 8 мая 1932</w:t>
            </w:r>
          </w:p>
        </w:tc>
        <w:tc>
          <w:tcPr>
            <w:tcW w:w="874" w:type="dxa"/>
          </w:tcPr>
          <w:p w14:paraId="06D6A6E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73CECF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w:t>
            </w:r>
          </w:p>
        </w:tc>
      </w:tr>
      <w:tr w:rsidR="00DA227A" w:rsidRPr="00E93F40" w14:paraId="0A0E157E" w14:textId="77777777">
        <w:tc>
          <w:tcPr>
            <w:tcW w:w="5670" w:type="dxa"/>
          </w:tcPr>
          <w:p w14:paraId="6C456D8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Казанский вагоностроительный</w:t>
            </w:r>
          </w:p>
        </w:tc>
        <w:tc>
          <w:tcPr>
            <w:tcW w:w="2211" w:type="dxa"/>
          </w:tcPr>
          <w:p w14:paraId="3E86B14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272 от 8 мая 1932</w:t>
            </w:r>
          </w:p>
        </w:tc>
        <w:tc>
          <w:tcPr>
            <w:tcW w:w="874" w:type="dxa"/>
          </w:tcPr>
          <w:p w14:paraId="504C9CB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26258FE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w:t>
            </w:r>
          </w:p>
        </w:tc>
      </w:tr>
      <w:tr w:rsidR="00DA227A" w:rsidRPr="00E93F40" w14:paraId="3E61D714" w14:textId="77777777">
        <w:tc>
          <w:tcPr>
            <w:tcW w:w="5670" w:type="dxa"/>
          </w:tcPr>
          <w:p w14:paraId="595B39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Новочеркасский паровозостроительный</w:t>
            </w:r>
          </w:p>
        </w:tc>
        <w:tc>
          <w:tcPr>
            <w:tcW w:w="2211" w:type="dxa"/>
          </w:tcPr>
          <w:p w14:paraId="1BB2E1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272 от 8 мая 1932</w:t>
            </w:r>
          </w:p>
        </w:tc>
        <w:tc>
          <w:tcPr>
            <w:tcW w:w="874" w:type="dxa"/>
          </w:tcPr>
          <w:p w14:paraId="38865A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1550232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w:t>
            </w:r>
          </w:p>
        </w:tc>
      </w:tr>
      <w:tr w:rsidR="00DA227A" w:rsidRPr="00E93F40" w14:paraId="7AD1916A" w14:textId="77777777">
        <w:tc>
          <w:tcPr>
            <w:tcW w:w="5670" w:type="dxa"/>
          </w:tcPr>
          <w:p w14:paraId="4A84E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Кузнецкий паровозостроительный</w:t>
            </w:r>
          </w:p>
        </w:tc>
        <w:tc>
          <w:tcPr>
            <w:tcW w:w="2211" w:type="dxa"/>
          </w:tcPr>
          <w:p w14:paraId="67621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272 от 8 мая 1932</w:t>
            </w:r>
          </w:p>
        </w:tc>
        <w:tc>
          <w:tcPr>
            <w:tcW w:w="874" w:type="dxa"/>
          </w:tcPr>
          <w:p w14:paraId="39AC12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194EB0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w:t>
            </w:r>
          </w:p>
        </w:tc>
      </w:tr>
      <w:tr w:rsidR="00DA227A" w:rsidRPr="00E93F40" w14:paraId="28B2A116" w14:textId="77777777">
        <w:tc>
          <w:tcPr>
            <w:tcW w:w="5670" w:type="dxa"/>
          </w:tcPr>
          <w:p w14:paraId="54C48C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Орский паровозостроительный</w:t>
            </w:r>
          </w:p>
        </w:tc>
        <w:tc>
          <w:tcPr>
            <w:tcW w:w="2211" w:type="dxa"/>
          </w:tcPr>
          <w:p w14:paraId="1348B0C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272 от 8 мая 1932</w:t>
            </w:r>
          </w:p>
        </w:tc>
        <w:tc>
          <w:tcPr>
            <w:tcW w:w="874" w:type="dxa"/>
          </w:tcPr>
          <w:p w14:paraId="66B1E3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516EF4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w:t>
            </w:r>
          </w:p>
        </w:tc>
      </w:tr>
      <w:tr w:rsidR="00DA227A" w:rsidRPr="00E93F40" w14:paraId="25D56ABF" w14:textId="77777777">
        <w:tc>
          <w:tcPr>
            <w:tcW w:w="5670" w:type="dxa"/>
          </w:tcPr>
          <w:p w14:paraId="67DA947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Луганский паровозостроительный</w:t>
            </w:r>
          </w:p>
        </w:tc>
        <w:tc>
          <w:tcPr>
            <w:tcW w:w="2211" w:type="dxa"/>
          </w:tcPr>
          <w:p w14:paraId="477DAF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272 от 8 мая 1932</w:t>
            </w:r>
          </w:p>
        </w:tc>
        <w:tc>
          <w:tcPr>
            <w:tcW w:w="874" w:type="dxa"/>
          </w:tcPr>
          <w:p w14:paraId="3BD13C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64FBAA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260</w:t>
            </w:r>
          </w:p>
        </w:tc>
      </w:tr>
      <w:tr w:rsidR="00DA227A" w:rsidRPr="00E93F40" w14:paraId="5B9BF366" w14:textId="77777777">
        <w:tc>
          <w:tcPr>
            <w:tcW w:w="5670" w:type="dxa"/>
          </w:tcPr>
          <w:p w14:paraId="076CF2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Ярославский электромашиностроительный АСЕА</w:t>
            </w:r>
          </w:p>
        </w:tc>
        <w:tc>
          <w:tcPr>
            <w:tcW w:w="2211" w:type="dxa"/>
          </w:tcPr>
          <w:p w14:paraId="7992E16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272 от 8 мая 1932</w:t>
            </w:r>
          </w:p>
        </w:tc>
        <w:tc>
          <w:tcPr>
            <w:tcW w:w="874" w:type="dxa"/>
          </w:tcPr>
          <w:p w14:paraId="12DD92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594F8B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258</w:t>
            </w:r>
          </w:p>
        </w:tc>
      </w:tr>
      <w:tr w:rsidR="00DA227A" w:rsidRPr="00E93F40" w14:paraId="3199E177" w14:textId="77777777">
        <w:tc>
          <w:tcPr>
            <w:tcW w:w="5670" w:type="dxa"/>
          </w:tcPr>
          <w:p w14:paraId="08D5820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локомотивостроения</w:t>
            </w:r>
          </w:p>
        </w:tc>
        <w:tc>
          <w:tcPr>
            <w:tcW w:w="2211" w:type="dxa"/>
          </w:tcPr>
          <w:p w14:paraId="01E9DE3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278 от 9 мая 1932</w:t>
            </w:r>
          </w:p>
        </w:tc>
        <w:tc>
          <w:tcPr>
            <w:tcW w:w="874" w:type="dxa"/>
          </w:tcPr>
          <w:p w14:paraId="03FEF3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66CF16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278</w:t>
            </w:r>
          </w:p>
        </w:tc>
      </w:tr>
      <w:tr w:rsidR="00DA227A" w:rsidRPr="00E93F40" w14:paraId="28EA0974" w14:textId="77777777">
        <w:tc>
          <w:tcPr>
            <w:tcW w:w="5670" w:type="dxa"/>
          </w:tcPr>
          <w:p w14:paraId="776B6E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вагонотормозостроения</w:t>
            </w:r>
          </w:p>
        </w:tc>
        <w:tc>
          <w:tcPr>
            <w:tcW w:w="2211" w:type="dxa"/>
          </w:tcPr>
          <w:p w14:paraId="6F6E3C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279 от 9 мая 1932</w:t>
            </w:r>
          </w:p>
        </w:tc>
        <w:tc>
          <w:tcPr>
            <w:tcW w:w="874" w:type="dxa"/>
          </w:tcPr>
          <w:p w14:paraId="731746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3</w:t>
            </w:r>
          </w:p>
        </w:tc>
        <w:tc>
          <w:tcPr>
            <w:tcW w:w="992" w:type="dxa"/>
          </w:tcPr>
          <w:p w14:paraId="5EE8ED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279</w:t>
            </w:r>
          </w:p>
        </w:tc>
      </w:tr>
      <w:tr w:rsidR="00DA227A" w:rsidRPr="00E93F40" w14:paraId="3FA783AF" w14:textId="77777777">
        <w:tc>
          <w:tcPr>
            <w:tcW w:w="5670" w:type="dxa"/>
          </w:tcPr>
          <w:p w14:paraId="357975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Горловский</w:t>
            </w:r>
          </w:p>
        </w:tc>
        <w:tc>
          <w:tcPr>
            <w:tcW w:w="2211" w:type="dxa"/>
          </w:tcPr>
          <w:p w14:paraId="0F92A32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346 от 27 мая 1932</w:t>
            </w:r>
          </w:p>
        </w:tc>
        <w:tc>
          <w:tcPr>
            <w:tcW w:w="874" w:type="dxa"/>
          </w:tcPr>
          <w:p w14:paraId="078A30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5B64A8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w:t>
            </w:r>
          </w:p>
        </w:tc>
      </w:tr>
      <w:tr w:rsidR="00DA227A" w:rsidRPr="00E93F40" w14:paraId="1B43F099" w14:textId="77777777">
        <w:tc>
          <w:tcPr>
            <w:tcW w:w="5670" w:type="dxa"/>
          </w:tcPr>
          <w:p w14:paraId="1873A9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«Свет шахтера»</w:t>
            </w:r>
          </w:p>
        </w:tc>
        <w:tc>
          <w:tcPr>
            <w:tcW w:w="2211" w:type="dxa"/>
          </w:tcPr>
          <w:p w14:paraId="2829B88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346 от 27 мая 1932</w:t>
            </w:r>
          </w:p>
        </w:tc>
        <w:tc>
          <w:tcPr>
            <w:tcW w:w="874" w:type="dxa"/>
          </w:tcPr>
          <w:p w14:paraId="63982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5F92BC0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w:t>
            </w:r>
          </w:p>
        </w:tc>
      </w:tr>
      <w:tr w:rsidR="00DA227A" w:rsidRPr="00E93F40" w14:paraId="026119F5" w14:textId="77777777">
        <w:tc>
          <w:tcPr>
            <w:tcW w:w="5670" w:type="dxa"/>
          </w:tcPr>
          <w:p w14:paraId="1871DC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им. Рыкова</w:t>
            </w:r>
          </w:p>
        </w:tc>
        <w:tc>
          <w:tcPr>
            <w:tcW w:w="2211" w:type="dxa"/>
          </w:tcPr>
          <w:p w14:paraId="633149D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346 от 27 мая 1932</w:t>
            </w:r>
          </w:p>
        </w:tc>
        <w:tc>
          <w:tcPr>
            <w:tcW w:w="874" w:type="dxa"/>
          </w:tcPr>
          <w:p w14:paraId="74E9B5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44E438B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w:t>
            </w:r>
          </w:p>
        </w:tc>
      </w:tr>
      <w:tr w:rsidR="00DA227A" w:rsidRPr="00E93F40" w14:paraId="545AF6FB" w14:textId="77777777">
        <w:tc>
          <w:tcPr>
            <w:tcW w:w="5670" w:type="dxa"/>
          </w:tcPr>
          <w:p w14:paraId="622D6C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Луганский</w:t>
            </w:r>
          </w:p>
        </w:tc>
        <w:tc>
          <w:tcPr>
            <w:tcW w:w="2211" w:type="dxa"/>
          </w:tcPr>
          <w:p w14:paraId="0397E4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346 от 27 мая 1932</w:t>
            </w:r>
          </w:p>
        </w:tc>
        <w:tc>
          <w:tcPr>
            <w:tcW w:w="874" w:type="dxa"/>
          </w:tcPr>
          <w:p w14:paraId="753368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504724C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w:t>
            </w:r>
          </w:p>
        </w:tc>
      </w:tr>
      <w:tr w:rsidR="00DA227A" w:rsidRPr="00E93F40" w14:paraId="57FC1BFF" w14:textId="77777777">
        <w:tc>
          <w:tcPr>
            <w:tcW w:w="5670" w:type="dxa"/>
          </w:tcPr>
          <w:p w14:paraId="40C1CB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им. К. Маркса</w:t>
            </w:r>
          </w:p>
        </w:tc>
        <w:tc>
          <w:tcPr>
            <w:tcW w:w="2211" w:type="dxa"/>
          </w:tcPr>
          <w:p w14:paraId="65A349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346 от 27 мая 1932</w:t>
            </w:r>
          </w:p>
        </w:tc>
        <w:tc>
          <w:tcPr>
            <w:tcW w:w="874" w:type="dxa"/>
          </w:tcPr>
          <w:p w14:paraId="4448E0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3AE0AA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177</w:t>
            </w:r>
          </w:p>
        </w:tc>
      </w:tr>
      <w:tr w:rsidR="00DA227A" w:rsidRPr="00E93F40" w14:paraId="133EDF48" w14:textId="77777777">
        <w:tc>
          <w:tcPr>
            <w:tcW w:w="5670" w:type="dxa"/>
          </w:tcPr>
          <w:p w14:paraId="7DCADCA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Угрешский</w:t>
            </w:r>
          </w:p>
        </w:tc>
        <w:tc>
          <w:tcPr>
            <w:tcW w:w="2211" w:type="dxa"/>
          </w:tcPr>
          <w:p w14:paraId="6A7EE1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346 от 27 мая 1932</w:t>
            </w:r>
          </w:p>
        </w:tc>
        <w:tc>
          <w:tcPr>
            <w:tcW w:w="874" w:type="dxa"/>
          </w:tcPr>
          <w:p w14:paraId="20AD5DD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35F501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0A41F313" w14:textId="77777777">
        <w:tc>
          <w:tcPr>
            <w:tcW w:w="5670" w:type="dxa"/>
          </w:tcPr>
          <w:p w14:paraId="6E08828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Сталинградский химический</w:t>
            </w:r>
          </w:p>
        </w:tc>
        <w:tc>
          <w:tcPr>
            <w:tcW w:w="2211" w:type="dxa"/>
          </w:tcPr>
          <w:p w14:paraId="578375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346 от 27 мая 1932</w:t>
            </w:r>
          </w:p>
        </w:tc>
        <w:tc>
          <w:tcPr>
            <w:tcW w:w="874" w:type="dxa"/>
          </w:tcPr>
          <w:p w14:paraId="69377D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10D303B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52A1F896" w14:textId="77777777">
        <w:tc>
          <w:tcPr>
            <w:tcW w:w="5670" w:type="dxa"/>
          </w:tcPr>
          <w:p w14:paraId="1F16DB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Невский</w:t>
            </w:r>
          </w:p>
        </w:tc>
        <w:tc>
          <w:tcPr>
            <w:tcW w:w="2211" w:type="dxa"/>
          </w:tcPr>
          <w:p w14:paraId="4AFCD3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6042DEA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00658B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139</w:t>
            </w:r>
          </w:p>
        </w:tc>
      </w:tr>
      <w:tr w:rsidR="00DA227A" w:rsidRPr="00E93F40" w14:paraId="6DF18BB0" w14:textId="77777777">
        <w:tc>
          <w:tcPr>
            <w:tcW w:w="5670" w:type="dxa"/>
          </w:tcPr>
          <w:p w14:paraId="2ACA6A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химический Воскресенский</w:t>
            </w:r>
          </w:p>
        </w:tc>
        <w:tc>
          <w:tcPr>
            <w:tcW w:w="2211" w:type="dxa"/>
          </w:tcPr>
          <w:p w14:paraId="325A5C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4F9DA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6F49669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139</w:t>
            </w:r>
          </w:p>
        </w:tc>
      </w:tr>
      <w:tr w:rsidR="00DA227A" w:rsidRPr="00E93F40" w14:paraId="7B3DD59F" w14:textId="77777777">
        <w:tc>
          <w:tcPr>
            <w:tcW w:w="5670" w:type="dxa"/>
          </w:tcPr>
          <w:p w14:paraId="6688E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Щелковский</w:t>
            </w:r>
          </w:p>
        </w:tc>
        <w:tc>
          <w:tcPr>
            <w:tcW w:w="2211" w:type="dxa"/>
          </w:tcPr>
          <w:p w14:paraId="2C35B6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239BC8F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2A78E6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139</w:t>
            </w:r>
          </w:p>
        </w:tc>
      </w:tr>
      <w:tr w:rsidR="00DA227A" w:rsidRPr="00E93F40" w14:paraId="00B03C92" w14:textId="77777777">
        <w:tc>
          <w:tcPr>
            <w:tcW w:w="5670" w:type="dxa"/>
          </w:tcPr>
          <w:p w14:paraId="0E3922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«Красный химик»</w:t>
            </w:r>
          </w:p>
        </w:tc>
        <w:tc>
          <w:tcPr>
            <w:tcW w:w="2211" w:type="dxa"/>
          </w:tcPr>
          <w:p w14:paraId="40DD5A1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06D5213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3968B3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7AB0A5E1" w14:textId="77777777">
        <w:tc>
          <w:tcPr>
            <w:tcW w:w="5670" w:type="dxa"/>
          </w:tcPr>
          <w:p w14:paraId="04105C9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Актюбинский</w:t>
            </w:r>
          </w:p>
        </w:tc>
        <w:tc>
          <w:tcPr>
            <w:tcW w:w="2211" w:type="dxa"/>
          </w:tcPr>
          <w:p w14:paraId="02BE005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4E2051B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48EB01C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3A68C229" w14:textId="77777777">
        <w:tc>
          <w:tcPr>
            <w:tcW w:w="5670" w:type="dxa"/>
          </w:tcPr>
          <w:p w14:paraId="65D8A0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Славянский содовый</w:t>
            </w:r>
          </w:p>
        </w:tc>
        <w:tc>
          <w:tcPr>
            <w:tcW w:w="2211" w:type="dxa"/>
          </w:tcPr>
          <w:p w14:paraId="429125F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556B213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09E53D2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0A07743B" w14:textId="77777777">
        <w:tc>
          <w:tcPr>
            <w:tcW w:w="5670" w:type="dxa"/>
          </w:tcPr>
          <w:p w14:paraId="5FED7E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Винницкий суперфосфатный</w:t>
            </w:r>
          </w:p>
        </w:tc>
        <w:tc>
          <w:tcPr>
            <w:tcW w:w="2211" w:type="dxa"/>
          </w:tcPr>
          <w:p w14:paraId="35180C2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769694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09BF46B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43169C9B" w14:textId="77777777">
        <w:tc>
          <w:tcPr>
            <w:tcW w:w="5670" w:type="dxa"/>
          </w:tcPr>
          <w:p w14:paraId="5B02A7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Одесский суперфосфатный</w:t>
            </w:r>
          </w:p>
        </w:tc>
        <w:tc>
          <w:tcPr>
            <w:tcW w:w="2211" w:type="dxa"/>
          </w:tcPr>
          <w:p w14:paraId="0FF19E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43546EF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19328B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4331CC3B" w14:textId="77777777">
        <w:tc>
          <w:tcPr>
            <w:tcW w:w="5670" w:type="dxa"/>
          </w:tcPr>
          <w:p w14:paraId="5582B06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«Донсода»</w:t>
            </w:r>
          </w:p>
        </w:tc>
        <w:tc>
          <w:tcPr>
            <w:tcW w:w="2211" w:type="dxa"/>
          </w:tcPr>
          <w:p w14:paraId="11B69EA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25F09B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1A90E1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7AE0FB64" w14:textId="77777777">
        <w:tc>
          <w:tcPr>
            <w:tcW w:w="5670" w:type="dxa"/>
          </w:tcPr>
          <w:p w14:paraId="6874DD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Константиновский химический</w:t>
            </w:r>
          </w:p>
        </w:tc>
        <w:tc>
          <w:tcPr>
            <w:tcW w:w="2211" w:type="dxa"/>
          </w:tcPr>
          <w:p w14:paraId="666F0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4D19D0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72672A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5D9BB4DD" w14:textId="77777777">
        <w:tc>
          <w:tcPr>
            <w:tcW w:w="5670" w:type="dxa"/>
          </w:tcPr>
          <w:p w14:paraId="2419292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по проектированию новых азотно-туковых комбинатов</w:t>
            </w:r>
          </w:p>
        </w:tc>
        <w:tc>
          <w:tcPr>
            <w:tcW w:w="2211" w:type="dxa"/>
          </w:tcPr>
          <w:p w14:paraId="744BD6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1C68C6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7A81B8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2D67DBB7" w14:textId="77777777">
        <w:tc>
          <w:tcPr>
            <w:tcW w:w="5670" w:type="dxa"/>
          </w:tcPr>
          <w:p w14:paraId="397670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инсектофунгисидов</w:t>
            </w:r>
          </w:p>
        </w:tc>
        <w:tc>
          <w:tcPr>
            <w:tcW w:w="2211" w:type="dxa"/>
          </w:tcPr>
          <w:p w14:paraId="0FBB66A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235D5CB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4FB9FE9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3B165FB6" w14:textId="77777777">
        <w:tc>
          <w:tcPr>
            <w:tcW w:w="5670" w:type="dxa"/>
          </w:tcPr>
          <w:p w14:paraId="0464C9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прикладной химии (ГИПХ)</w:t>
            </w:r>
          </w:p>
        </w:tc>
        <w:tc>
          <w:tcPr>
            <w:tcW w:w="2211" w:type="dxa"/>
          </w:tcPr>
          <w:p w14:paraId="299530C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5B7CA3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5796465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1E3CC714" w14:textId="77777777">
        <w:tc>
          <w:tcPr>
            <w:tcW w:w="5670" w:type="dxa"/>
          </w:tcPr>
          <w:p w14:paraId="6462A19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НИИ по удобрениям</w:t>
            </w:r>
          </w:p>
        </w:tc>
        <w:tc>
          <w:tcPr>
            <w:tcW w:w="2211" w:type="dxa"/>
          </w:tcPr>
          <w:p w14:paraId="36DEA50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166CEE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6BFB2E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097CD51F" w14:textId="77777777">
        <w:tc>
          <w:tcPr>
            <w:tcW w:w="5670" w:type="dxa"/>
          </w:tcPr>
          <w:p w14:paraId="1CAE09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Гипрохим</w:t>
            </w:r>
          </w:p>
        </w:tc>
        <w:tc>
          <w:tcPr>
            <w:tcW w:w="2211" w:type="dxa"/>
          </w:tcPr>
          <w:p w14:paraId="5BB25F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64FD67C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6883205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230E3D91" w14:textId="77777777">
        <w:tc>
          <w:tcPr>
            <w:tcW w:w="5670" w:type="dxa"/>
          </w:tcPr>
          <w:p w14:paraId="1508B12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азота</w:t>
            </w:r>
          </w:p>
        </w:tc>
        <w:tc>
          <w:tcPr>
            <w:tcW w:w="2211" w:type="dxa"/>
          </w:tcPr>
          <w:p w14:paraId="097FC8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063059D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07F37C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40583712" w14:textId="77777777">
        <w:tc>
          <w:tcPr>
            <w:tcW w:w="5670" w:type="dxa"/>
          </w:tcPr>
          <w:p w14:paraId="745CA6B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Ликвидационная комиссия Всехимпрома</w:t>
            </w:r>
          </w:p>
        </w:tc>
        <w:tc>
          <w:tcPr>
            <w:tcW w:w="2211" w:type="dxa"/>
          </w:tcPr>
          <w:p w14:paraId="217569F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306E0EE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093E914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3CBB8731" w14:textId="77777777">
        <w:tc>
          <w:tcPr>
            <w:tcW w:w="5670" w:type="dxa"/>
          </w:tcPr>
          <w:p w14:paraId="134585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Чернореченский химический</w:t>
            </w:r>
          </w:p>
        </w:tc>
        <w:tc>
          <w:tcPr>
            <w:tcW w:w="2211" w:type="dxa"/>
          </w:tcPr>
          <w:p w14:paraId="6D0E49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5836A2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4301F25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179</w:t>
            </w:r>
          </w:p>
        </w:tc>
      </w:tr>
      <w:tr w:rsidR="00DA227A" w:rsidRPr="00E93F40" w14:paraId="72A190D2" w14:textId="77777777">
        <w:tc>
          <w:tcPr>
            <w:tcW w:w="5670" w:type="dxa"/>
          </w:tcPr>
          <w:p w14:paraId="013E3F7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Бередниковский химический</w:t>
            </w:r>
          </w:p>
        </w:tc>
        <w:tc>
          <w:tcPr>
            <w:tcW w:w="2211" w:type="dxa"/>
          </w:tcPr>
          <w:p w14:paraId="4C166C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347 от 27 мая 1932</w:t>
            </w:r>
          </w:p>
        </w:tc>
        <w:tc>
          <w:tcPr>
            <w:tcW w:w="874" w:type="dxa"/>
          </w:tcPr>
          <w:p w14:paraId="1346F5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24447DF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181</w:t>
            </w:r>
          </w:p>
        </w:tc>
      </w:tr>
      <w:tr w:rsidR="00DA227A" w:rsidRPr="00E93F40" w14:paraId="3CE2D2A8" w14:textId="77777777">
        <w:tc>
          <w:tcPr>
            <w:tcW w:w="5670" w:type="dxa"/>
          </w:tcPr>
          <w:p w14:paraId="3B3DC08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им. Томского</w:t>
            </w:r>
          </w:p>
        </w:tc>
        <w:tc>
          <w:tcPr>
            <w:tcW w:w="2211" w:type="dxa"/>
          </w:tcPr>
          <w:p w14:paraId="4B10A93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385 от 11 июня 1932</w:t>
            </w:r>
          </w:p>
        </w:tc>
        <w:tc>
          <w:tcPr>
            <w:tcW w:w="874" w:type="dxa"/>
          </w:tcPr>
          <w:p w14:paraId="5939054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7B8BCA7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w:t>
            </w:r>
          </w:p>
        </w:tc>
      </w:tr>
      <w:tr w:rsidR="00DA227A" w:rsidRPr="00E93F40" w14:paraId="20D9F458" w14:textId="77777777">
        <w:tc>
          <w:tcPr>
            <w:tcW w:w="5670" w:type="dxa"/>
          </w:tcPr>
          <w:p w14:paraId="64B83D1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«Красный котельщик»</w:t>
            </w:r>
          </w:p>
        </w:tc>
        <w:tc>
          <w:tcPr>
            <w:tcW w:w="2211" w:type="dxa"/>
          </w:tcPr>
          <w:p w14:paraId="0B0C6ED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385 от 11 июня 1932</w:t>
            </w:r>
          </w:p>
        </w:tc>
        <w:tc>
          <w:tcPr>
            <w:tcW w:w="874" w:type="dxa"/>
          </w:tcPr>
          <w:p w14:paraId="77047B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020F526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w:t>
            </w:r>
          </w:p>
        </w:tc>
      </w:tr>
      <w:tr w:rsidR="00DA227A" w:rsidRPr="00E93F40" w14:paraId="0DD08A4F" w14:textId="77777777">
        <w:tc>
          <w:tcPr>
            <w:tcW w:w="5670" w:type="dxa"/>
          </w:tcPr>
          <w:p w14:paraId="647F98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Радиогородок Московский</w:t>
            </w:r>
          </w:p>
        </w:tc>
        <w:tc>
          <w:tcPr>
            <w:tcW w:w="2211" w:type="dxa"/>
          </w:tcPr>
          <w:p w14:paraId="0DFD0C4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385 от 11 июня 1932</w:t>
            </w:r>
          </w:p>
        </w:tc>
        <w:tc>
          <w:tcPr>
            <w:tcW w:w="874" w:type="dxa"/>
          </w:tcPr>
          <w:p w14:paraId="3FCBC54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075CCA7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w:t>
            </w:r>
          </w:p>
        </w:tc>
      </w:tr>
      <w:tr w:rsidR="00DA227A" w:rsidRPr="00E93F40" w14:paraId="3613D94A" w14:textId="77777777">
        <w:tc>
          <w:tcPr>
            <w:tcW w:w="5670" w:type="dxa"/>
          </w:tcPr>
          <w:p w14:paraId="14569FF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электромашиностроительный Уральский</w:t>
            </w:r>
          </w:p>
        </w:tc>
        <w:tc>
          <w:tcPr>
            <w:tcW w:w="2211" w:type="dxa"/>
          </w:tcPr>
          <w:p w14:paraId="5A43811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385 от 11 июня 1932</w:t>
            </w:r>
          </w:p>
        </w:tc>
        <w:tc>
          <w:tcPr>
            <w:tcW w:w="874" w:type="dxa"/>
          </w:tcPr>
          <w:p w14:paraId="6ABC89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5DE1AF6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w:t>
            </w:r>
          </w:p>
        </w:tc>
      </w:tr>
      <w:tr w:rsidR="00DA227A" w:rsidRPr="00E93F40" w14:paraId="4A66ED28" w14:textId="77777777">
        <w:tc>
          <w:tcPr>
            <w:tcW w:w="5670" w:type="dxa"/>
          </w:tcPr>
          <w:p w14:paraId="3283CCE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Каширский электроводный</w:t>
            </w:r>
          </w:p>
        </w:tc>
        <w:tc>
          <w:tcPr>
            <w:tcW w:w="2211" w:type="dxa"/>
          </w:tcPr>
          <w:p w14:paraId="05590F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385 от 11 июня 1932</w:t>
            </w:r>
          </w:p>
        </w:tc>
        <w:tc>
          <w:tcPr>
            <w:tcW w:w="874" w:type="dxa"/>
          </w:tcPr>
          <w:p w14:paraId="44B315A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2551B3A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w:t>
            </w:r>
          </w:p>
        </w:tc>
      </w:tr>
      <w:tr w:rsidR="00DA227A" w:rsidRPr="00E93F40" w14:paraId="02FB65A7" w14:textId="77777777">
        <w:tc>
          <w:tcPr>
            <w:tcW w:w="5670" w:type="dxa"/>
          </w:tcPr>
          <w:p w14:paraId="69A4F44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Электрогородок Московский сильноточной промышленности</w:t>
            </w:r>
          </w:p>
        </w:tc>
        <w:tc>
          <w:tcPr>
            <w:tcW w:w="2211" w:type="dxa"/>
          </w:tcPr>
          <w:p w14:paraId="783CB62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385 от 11 июня 1932</w:t>
            </w:r>
          </w:p>
        </w:tc>
        <w:tc>
          <w:tcPr>
            <w:tcW w:w="874" w:type="dxa"/>
          </w:tcPr>
          <w:p w14:paraId="4C24553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4</w:t>
            </w:r>
          </w:p>
        </w:tc>
        <w:tc>
          <w:tcPr>
            <w:tcW w:w="992" w:type="dxa"/>
          </w:tcPr>
          <w:p w14:paraId="28E5625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284</w:t>
            </w:r>
          </w:p>
        </w:tc>
      </w:tr>
      <w:tr w:rsidR="00DA227A" w:rsidRPr="00E93F40" w14:paraId="6C9DFE3A" w14:textId="77777777">
        <w:tc>
          <w:tcPr>
            <w:tcW w:w="5670" w:type="dxa"/>
          </w:tcPr>
          <w:p w14:paraId="01775F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Котлотурбина</w:t>
            </w:r>
          </w:p>
        </w:tc>
        <w:tc>
          <w:tcPr>
            <w:tcW w:w="2211" w:type="dxa"/>
          </w:tcPr>
          <w:p w14:paraId="5B90108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602 от 28 августа 1932</w:t>
            </w:r>
          </w:p>
        </w:tc>
        <w:tc>
          <w:tcPr>
            <w:tcW w:w="874" w:type="dxa"/>
          </w:tcPr>
          <w:p w14:paraId="40D7BA3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7</w:t>
            </w:r>
          </w:p>
        </w:tc>
        <w:tc>
          <w:tcPr>
            <w:tcW w:w="992" w:type="dxa"/>
          </w:tcPr>
          <w:p w14:paraId="2F0EFA1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r>
      <w:tr w:rsidR="00DA227A" w:rsidRPr="00E93F40" w14:paraId="1F5B13A1" w14:textId="77777777">
        <w:tc>
          <w:tcPr>
            <w:tcW w:w="5670" w:type="dxa"/>
          </w:tcPr>
          <w:p w14:paraId="042EF32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проектный в Ленинграде «Гипроэнергопром»</w:t>
            </w:r>
          </w:p>
        </w:tc>
        <w:tc>
          <w:tcPr>
            <w:tcW w:w="2211" w:type="dxa"/>
          </w:tcPr>
          <w:p w14:paraId="1832F13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602 от 28 августа 1932</w:t>
            </w:r>
          </w:p>
        </w:tc>
        <w:tc>
          <w:tcPr>
            <w:tcW w:w="874" w:type="dxa"/>
          </w:tcPr>
          <w:p w14:paraId="755CA0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7</w:t>
            </w:r>
          </w:p>
        </w:tc>
        <w:tc>
          <w:tcPr>
            <w:tcW w:w="992" w:type="dxa"/>
          </w:tcPr>
          <w:p w14:paraId="7D9384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w:t>
            </w:r>
          </w:p>
        </w:tc>
      </w:tr>
      <w:tr w:rsidR="00DA227A" w:rsidRPr="00E93F40" w14:paraId="6131ADDA" w14:textId="77777777">
        <w:tc>
          <w:tcPr>
            <w:tcW w:w="5670" w:type="dxa"/>
          </w:tcPr>
          <w:p w14:paraId="040CC8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 63</w:t>
            </w:r>
          </w:p>
        </w:tc>
        <w:tc>
          <w:tcPr>
            <w:tcW w:w="2211" w:type="dxa"/>
          </w:tcPr>
          <w:p w14:paraId="79840F5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677 от 1 октября 1932</w:t>
            </w:r>
          </w:p>
        </w:tc>
        <w:tc>
          <w:tcPr>
            <w:tcW w:w="874" w:type="dxa"/>
          </w:tcPr>
          <w:p w14:paraId="5A4DA37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7</w:t>
            </w:r>
          </w:p>
        </w:tc>
        <w:tc>
          <w:tcPr>
            <w:tcW w:w="992" w:type="dxa"/>
          </w:tcPr>
          <w:p w14:paraId="6F85203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259</w:t>
            </w:r>
          </w:p>
        </w:tc>
      </w:tr>
      <w:tr w:rsidR="00DA227A" w:rsidRPr="00E93F40" w14:paraId="0E3E469A" w14:textId="77777777">
        <w:tc>
          <w:tcPr>
            <w:tcW w:w="5670" w:type="dxa"/>
          </w:tcPr>
          <w:p w14:paraId="49E776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«Красный Путиловец»</w:t>
            </w:r>
          </w:p>
        </w:tc>
        <w:tc>
          <w:tcPr>
            <w:tcW w:w="2211" w:type="dxa"/>
          </w:tcPr>
          <w:p w14:paraId="4FB2A70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732 от 26 октября 1932</w:t>
            </w:r>
          </w:p>
        </w:tc>
        <w:tc>
          <w:tcPr>
            <w:tcW w:w="874" w:type="dxa"/>
          </w:tcPr>
          <w:p w14:paraId="13BF0B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8</w:t>
            </w:r>
          </w:p>
        </w:tc>
        <w:tc>
          <w:tcPr>
            <w:tcW w:w="992" w:type="dxa"/>
          </w:tcPr>
          <w:p w14:paraId="23299B7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117</w:t>
            </w:r>
          </w:p>
        </w:tc>
      </w:tr>
      <w:tr w:rsidR="00DA227A" w:rsidRPr="00E93F40" w14:paraId="183E611B" w14:textId="77777777">
        <w:tc>
          <w:tcPr>
            <w:tcW w:w="5670" w:type="dxa"/>
          </w:tcPr>
          <w:p w14:paraId="06274D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Институт по проектированию спецпроизводств «Гипроспец»</w:t>
            </w:r>
          </w:p>
        </w:tc>
        <w:tc>
          <w:tcPr>
            <w:tcW w:w="2211" w:type="dxa"/>
          </w:tcPr>
          <w:p w14:paraId="2CC2B92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755 от 31 октября 1932</w:t>
            </w:r>
          </w:p>
        </w:tc>
        <w:tc>
          <w:tcPr>
            <w:tcW w:w="874" w:type="dxa"/>
          </w:tcPr>
          <w:p w14:paraId="4546863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8</w:t>
            </w:r>
          </w:p>
        </w:tc>
        <w:tc>
          <w:tcPr>
            <w:tcW w:w="992" w:type="dxa"/>
          </w:tcPr>
          <w:p w14:paraId="3D98569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176</w:t>
            </w:r>
          </w:p>
        </w:tc>
      </w:tr>
      <w:tr w:rsidR="00DA227A" w:rsidRPr="00E93F40" w14:paraId="7F142429" w14:textId="77777777">
        <w:tc>
          <w:tcPr>
            <w:tcW w:w="5670" w:type="dxa"/>
          </w:tcPr>
          <w:p w14:paraId="2C200D8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Криворожский металлургический</w:t>
            </w:r>
          </w:p>
        </w:tc>
        <w:tc>
          <w:tcPr>
            <w:tcW w:w="2211" w:type="dxa"/>
          </w:tcPr>
          <w:p w14:paraId="64B3707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821 от 19 ноября 1932</w:t>
            </w:r>
          </w:p>
        </w:tc>
        <w:tc>
          <w:tcPr>
            <w:tcW w:w="874" w:type="dxa"/>
          </w:tcPr>
          <w:p w14:paraId="52EDAA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9</w:t>
            </w:r>
          </w:p>
        </w:tc>
        <w:tc>
          <w:tcPr>
            <w:tcW w:w="992" w:type="dxa"/>
          </w:tcPr>
          <w:p w14:paraId="02A13FA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44</w:t>
            </w:r>
          </w:p>
        </w:tc>
      </w:tr>
      <w:tr w:rsidR="00DA227A" w:rsidRPr="00E93F40" w14:paraId="35B5101E" w14:textId="77777777">
        <w:tc>
          <w:tcPr>
            <w:tcW w:w="5670" w:type="dxa"/>
          </w:tcPr>
          <w:p w14:paraId="42BC3D1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геологии и минералогии</w:t>
            </w:r>
          </w:p>
        </w:tc>
        <w:tc>
          <w:tcPr>
            <w:tcW w:w="2211" w:type="dxa"/>
          </w:tcPr>
          <w:p w14:paraId="4A7FB5F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816 от 19 ноября 1932</w:t>
            </w:r>
          </w:p>
        </w:tc>
        <w:tc>
          <w:tcPr>
            <w:tcW w:w="874" w:type="dxa"/>
          </w:tcPr>
          <w:p w14:paraId="20751AE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9</w:t>
            </w:r>
          </w:p>
        </w:tc>
        <w:tc>
          <w:tcPr>
            <w:tcW w:w="992" w:type="dxa"/>
          </w:tcPr>
          <w:p w14:paraId="4794E2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38</w:t>
            </w:r>
          </w:p>
        </w:tc>
      </w:tr>
      <w:tr w:rsidR="00DA227A" w:rsidRPr="00E93F40" w14:paraId="7692B097" w14:textId="77777777">
        <w:tc>
          <w:tcPr>
            <w:tcW w:w="5670" w:type="dxa"/>
          </w:tcPr>
          <w:p w14:paraId="7E3824D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карнамито-магниевый</w:t>
            </w:r>
          </w:p>
        </w:tc>
        <w:tc>
          <w:tcPr>
            <w:tcW w:w="2211" w:type="dxa"/>
          </w:tcPr>
          <w:p w14:paraId="4AEA33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842 от 27 ноября 1932</w:t>
            </w:r>
          </w:p>
        </w:tc>
        <w:tc>
          <w:tcPr>
            <w:tcW w:w="874" w:type="dxa"/>
          </w:tcPr>
          <w:p w14:paraId="15B5901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9 </w:t>
            </w:r>
          </w:p>
        </w:tc>
        <w:tc>
          <w:tcPr>
            <w:tcW w:w="992" w:type="dxa"/>
          </w:tcPr>
          <w:p w14:paraId="7166247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w:t>
            </w:r>
          </w:p>
        </w:tc>
      </w:tr>
      <w:tr w:rsidR="00DA227A" w:rsidRPr="00E93F40" w14:paraId="5049B37E" w14:textId="77777777">
        <w:tc>
          <w:tcPr>
            <w:tcW w:w="5670" w:type="dxa"/>
          </w:tcPr>
          <w:p w14:paraId="748D815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Нижегородский хлорный</w:t>
            </w:r>
          </w:p>
        </w:tc>
        <w:tc>
          <w:tcPr>
            <w:tcW w:w="2211" w:type="dxa"/>
          </w:tcPr>
          <w:p w14:paraId="73A7195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842 от 27 ноября 1932</w:t>
            </w:r>
          </w:p>
        </w:tc>
        <w:tc>
          <w:tcPr>
            <w:tcW w:w="874" w:type="dxa"/>
          </w:tcPr>
          <w:p w14:paraId="6C84878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9 </w:t>
            </w:r>
          </w:p>
        </w:tc>
        <w:tc>
          <w:tcPr>
            <w:tcW w:w="992" w:type="dxa"/>
          </w:tcPr>
          <w:p w14:paraId="3351482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w:t>
            </w:r>
          </w:p>
        </w:tc>
      </w:tr>
      <w:tr w:rsidR="00DA227A" w:rsidRPr="00E93F40" w14:paraId="3FDDEAF2" w14:textId="77777777">
        <w:tc>
          <w:tcPr>
            <w:tcW w:w="5670" w:type="dxa"/>
          </w:tcPr>
          <w:p w14:paraId="3677D2D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Кутаисский химический</w:t>
            </w:r>
          </w:p>
        </w:tc>
        <w:tc>
          <w:tcPr>
            <w:tcW w:w="2211" w:type="dxa"/>
          </w:tcPr>
          <w:p w14:paraId="2DE196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842 от 27 ноября 1932</w:t>
            </w:r>
          </w:p>
        </w:tc>
        <w:tc>
          <w:tcPr>
            <w:tcW w:w="874" w:type="dxa"/>
          </w:tcPr>
          <w:p w14:paraId="425D056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9 </w:t>
            </w:r>
          </w:p>
        </w:tc>
        <w:tc>
          <w:tcPr>
            <w:tcW w:w="992" w:type="dxa"/>
          </w:tcPr>
          <w:p w14:paraId="05A5ACA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w:t>
            </w:r>
          </w:p>
        </w:tc>
      </w:tr>
      <w:tr w:rsidR="00DA227A" w:rsidRPr="00E93F40" w14:paraId="0EF4E681" w14:textId="77777777">
        <w:tc>
          <w:tcPr>
            <w:tcW w:w="5670" w:type="dxa"/>
          </w:tcPr>
          <w:p w14:paraId="3F8B230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Красноуральский химический</w:t>
            </w:r>
          </w:p>
        </w:tc>
        <w:tc>
          <w:tcPr>
            <w:tcW w:w="2211" w:type="dxa"/>
          </w:tcPr>
          <w:p w14:paraId="57CC7B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842 от 27 ноября 1932</w:t>
            </w:r>
          </w:p>
        </w:tc>
        <w:tc>
          <w:tcPr>
            <w:tcW w:w="874" w:type="dxa"/>
          </w:tcPr>
          <w:p w14:paraId="5A9B2B9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9 </w:t>
            </w:r>
          </w:p>
        </w:tc>
        <w:tc>
          <w:tcPr>
            <w:tcW w:w="992" w:type="dxa"/>
          </w:tcPr>
          <w:p w14:paraId="0DE46B4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w:t>
            </w:r>
          </w:p>
        </w:tc>
      </w:tr>
      <w:tr w:rsidR="00DA227A" w:rsidRPr="00E93F40" w14:paraId="20B992D6" w14:textId="77777777">
        <w:tc>
          <w:tcPr>
            <w:tcW w:w="5670" w:type="dxa"/>
          </w:tcPr>
          <w:p w14:paraId="643B969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Березниковский № 586</w:t>
            </w:r>
          </w:p>
        </w:tc>
        <w:tc>
          <w:tcPr>
            <w:tcW w:w="2211" w:type="dxa"/>
          </w:tcPr>
          <w:p w14:paraId="5D0BF8E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842 от 27 ноября 1932</w:t>
            </w:r>
          </w:p>
        </w:tc>
        <w:tc>
          <w:tcPr>
            <w:tcW w:w="874" w:type="dxa"/>
          </w:tcPr>
          <w:p w14:paraId="2F580FD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9 </w:t>
            </w:r>
          </w:p>
        </w:tc>
        <w:tc>
          <w:tcPr>
            <w:tcW w:w="992" w:type="dxa"/>
          </w:tcPr>
          <w:p w14:paraId="606513E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w:t>
            </w:r>
          </w:p>
        </w:tc>
      </w:tr>
      <w:tr w:rsidR="00DA227A" w:rsidRPr="00E93F40" w14:paraId="020ACABD" w14:textId="77777777">
        <w:tc>
          <w:tcPr>
            <w:tcW w:w="5670" w:type="dxa"/>
          </w:tcPr>
          <w:p w14:paraId="0A42D04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Комбинат Бобриковский № 492</w:t>
            </w:r>
          </w:p>
        </w:tc>
        <w:tc>
          <w:tcPr>
            <w:tcW w:w="2211" w:type="dxa"/>
          </w:tcPr>
          <w:p w14:paraId="403CA73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842 от 27 ноября 1932</w:t>
            </w:r>
          </w:p>
        </w:tc>
        <w:tc>
          <w:tcPr>
            <w:tcW w:w="874" w:type="dxa"/>
          </w:tcPr>
          <w:p w14:paraId="71E7624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Д. 9 </w:t>
            </w:r>
          </w:p>
        </w:tc>
        <w:tc>
          <w:tcPr>
            <w:tcW w:w="992" w:type="dxa"/>
          </w:tcPr>
          <w:p w14:paraId="54B36A8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109</w:t>
            </w:r>
          </w:p>
        </w:tc>
      </w:tr>
      <w:tr w:rsidR="00DA227A" w:rsidRPr="00E93F40" w14:paraId="6A7173EB" w14:textId="77777777">
        <w:tc>
          <w:tcPr>
            <w:tcW w:w="5670" w:type="dxa"/>
          </w:tcPr>
          <w:p w14:paraId="7310544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Горьковский автомобильный им. Молотова</w:t>
            </w:r>
          </w:p>
        </w:tc>
        <w:tc>
          <w:tcPr>
            <w:tcW w:w="2211" w:type="dxa"/>
          </w:tcPr>
          <w:p w14:paraId="547E1AA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867 от 2 декабря 1932</w:t>
            </w:r>
          </w:p>
        </w:tc>
        <w:tc>
          <w:tcPr>
            <w:tcW w:w="874" w:type="dxa"/>
          </w:tcPr>
          <w:p w14:paraId="04D1A15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9</w:t>
            </w:r>
          </w:p>
        </w:tc>
        <w:tc>
          <w:tcPr>
            <w:tcW w:w="992" w:type="dxa"/>
          </w:tcPr>
          <w:p w14:paraId="79270ED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221</w:t>
            </w:r>
          </w:p>
        </w:tc>
      </w:tr>
      <w:tr w:rsidR="00DA227A" w:rsidRPr="00E93F40" w14:paraId="659D828B" w14:textId="77777777">
        <w:tc>
          <w:tcPr>
            <w:tcW w:w="5670" w:type="dxa"/>
          </w:tcPr>
          <w:p w14:paraId="1D78FD8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московский автомобильный им. Сталина</w:t>
            </w:r>
          </w:p>
        </w:tc>
        <w:tc>
          <w:tcPr>
            <w:tcW w:w="2211" w:type="dxa"/>
          </w:tcPr>
          <w:p w14:paraId="45A2E0E2"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867 от 2 декабря 1932</w:t>
            </w:r>
          </w:p>
        </w:tc>
        <w:tc>
          <w:tcPr>
            <w:tcW w:w="874" w:type="dxa"/>
          </w:tcPr>
          <w:p w14:paraId="149A2AD3"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9</w:t>
            </w:r>
          </w:p>
        </w:tc>
        <w:tc>
          <w:tcPr>
            <w:tcW w:w="992" w:type="dxa"/>
          </w:tcPr>
          <w:p w14:paraId="7969A9A1"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221</w:t>
            </w:r>
          </w:p>
        </w:tc>
      </w:tr>
      <w:tr w:rsidR="00DA227A" w:rsidRPr="00E93F40" w14:paraId="1386932B" w14:textId="77777777">
        <w:tc>
          <w:tcPr>
            <w:tcW w:w="5670" w:type="dxa"/>
          </w:tcPr>
          <w:p w14:paraId="66A5EE7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по проектированию автотракторной промышленности в Москве (ГипроАвто)</w:t>
            </w:r>
          </w:p>
        </w:tc>
        <w:tc>
          <w:tcPr>
            <w:tcW w:w="2211" w:type="dxa"/>
          </w:tcPr>
          <w:p w14:paraId="06BAB2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867 от 2 декабря 1932</w:t>
            </w:r>
          </w:p>
        </w:tc>
        <w:tc>
          <w:tcPr>
            <w:tcW w:w="874" w:type="dxa"/>
          </w:tcPr>
          <w:p w14:paraId="4357616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9</w:t>
            </w:r>
          </w:p>
        </w:tc>
        <w:tc>
          <w:tcPr>
            <w:tcW w:w="992" w:type="dxa"/>
          </w:tcPr>
          <w:p w14:paraId="0A41A5E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221</w:t>
            </w:r>
          </w:p>
        </w:tc>
      </w:tr>
      <w:tr w:rsidR="00DA227A" w:rsidRPr="00E93F40" w14:paraId="2DAD55BA" w14:textId="77777777">
        <w:tc>
          <w:tcPr>
            <w:tcW w:w="5670" w:type="dxa"/>
          </w:tcPr>
          <w:p w14:paraId="2CC8A2F4"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Институт НАТИ</w:t>
            </w:r>
          </w:p>
        </w:tc>
        <w:tc>
          <w:tcPr>
            <w:tcW w:w="2211" w:type="dxa"/>
          </w:tcPr>
          <w:p w14:paraId="2820255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867 от 2 декабря 1932</w:t>
            </w:r>
          </w:p>
        </w:tc>
        <w:tc>
          <w:tcPr>
            <w:tcW w:w="874" w:type="dxa"/>
          </w:tcPr>
          <w:p w14:paraId="74442A2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9</w:t>
            </w:r>
          </w:p>
        </w:tc>
        <w:tc>
          <w:tcPr>
            <w:tcW w:w="992" w:type="dxa"/>
          </w:tcPr>
          <w:p w14:paraId="76120DE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221</w:t>
            </w:r>
          </w:p>
        </w:tc>
      </w:tr>
      <w:tr w:rsidR="00DA227A" w:rsidRPr="00E93F40" w14:paraId="4FF24C28" w14:textId="77777777">
        <w:tc>
          <w:tcPr>
            <w:tcW w:w="5670" w:type="dxa"/>
          </w:tcPr>
          <w:p w14:paraId="6DBE9A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Киевский авторемонтный</w:t>
            </w:r>
          </w:p>
        </w:tc>
        <w:tc>
          <w:tcPr>
            <w:tcW w:w="2211" w:type="dxa"/>
          </w:tcPr>
          <w:p w14:paraId="443C3F8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867 от 2 декабря 1932</w:t>
            </w:r>
          </w:p>
        </w:tc>
        <w:tc>
          <w:tcPr>
            <w:tcW w:w="874" w:type="dxa"/>
          </w:tcPr>
          <w:p w14:paraId="565F2218"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9</w:t>
            </w:r>
          </w:p>
        </w:tc>
        <w:tc>
          <w:tcPr>
            <w:tcW w:w="992" w:type="dxa"/>
          </w:tcPr>
          <w:p w14:paraId="1AABE80F"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221</w:t>
            </w:r>
          </w:p>
        </w:tc>
      </w:tr>
      <w:tr w:rsidR="009D12BD" w:rsidRPr="00E93F40" w14:paraId="09D8AAE6" w14:textId="77777777">
        <w:tc>
          <w:tcPr>
            <w:tcW w:w="5670" w:type="dxa"/>
          </w:tcPr>
          <w:p w14:paraId="1D608A07"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Завод Саратовский «Красная Звезда»</w:t>
            </w:r>
          </w:p>
        </w:tc>
        <w:tc>
          <w:tcPr>
            <w:tcW w:w="2211" w:type="dxa"/>
          </w:tcPr>
          <w:p w14:paraId="1B9BECD0"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867 от 2 декабря 1932</w:t>
            </w:r>
          </w:p>
        </w:tc>
        <w:tc>
          <w:tcPr>
            <w:tcW w:w="874" w:type="dxa"/>
          </w:tcPr>
          <w:p w14:paraId="47D898DD"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Д. 9</w:t>
            </w:r>
          </w:p>
        </w:tc>
        <w:tc>
          <w:tcPr>
            <w:tcW w:w="992" w:type="dxa"/>
          </w:tcPr>
          <w:p w14:paraId="5B6D440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221</w:t>
            </w:r>
          </w:p>
        </w:tc>
      </w:tr>
    </w:tbl>
    <w:p w14:paraId="5820FCEA"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0493822A" w14:textId="77777777" w:rsidR="00B72845" w:rsidRPr="00E93F40" w:rsidRDefault="00B7284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1932–1934 гг. были созданы экспериментальные теплообнаружители, которые неоднократно испытывались в разных условиях и по различным типам самолетов. Испытания позволили установить не перспективность теплового метода обнаружения самолетов. Однако было бы неразумно, ограничившись этими испытаниями, не попытаться опробовать метод теплообнаружения на других видах военной техники для содействия решению иных тактических задач. Военные инженеры Главного артиллерийского управления (ГАУ) предложили провести дополнительную проверку аппаратуры теплообнаружения по обнаружению танков для артиллерийской разведки и по военным кораблям в интересах Военно-Морского Флота.</w:t>
      </w:r>
    </w:p>
    <w:p w14:paraId="29F540FA" w14:textId="77777777" w:rsidR="00B72845" w:rsidRPr="00E93F40" w:rsidRDefault="00B72845"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Испытания по танкам показали малоудовлетворительные результаты. После этого было предложено провести испытания на море. Начальник Морских Сил РККФ В. М. Орлов весьма одобрительно отнесся к предложению ГАУ и рекомендовал провести опыты на Балтике у командующего флотом Л. М. Галлера, большого поклонника новой техники (18157).</w:t>
      </w:r>
    </w:p>
    <w:p w14:paraId="40CA87BE" w14:textId="77777777" w:rsidR="00B72845" w:rsidRPr="00E93F40" w:rsidRDefault="00B72845" w:rsidP="00E93F40">
      <w:pPr>
        <w:spacing w:after="0" w:line="240" w:lineRule="auto"/>
        <w:jc w:val="both"/>
        <w:rPr>
          <w:rFonts w:ascii="Times New Roman" w:hAnsi="Times New Roman"/>
          <w:color w:val="000000" w:themeColor="text1"/>
          <w:sz w:val="16"/>
          <w:szCs w:val="16"/>
        </w:rPr>
      </w:pPr>
    </w:p>
    <w:p w14:paraId="34C66475" w14:textId="20F61DCB" w:rsidR="002C449F" w:rsidRPr="00E93F40" w:rsidRDefault="002C449F"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1932-1934 гг. развернулось масштабное железнодорожное строительство для нужд береговой обороны Морских сил Дальнего Востока (МСДВ). Параллельно на Ленинградском Металлическом заводе ведётся изготовление трёх железнодорожных транспортёров ТМ-1-14. Для транспортёров</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использовали орудийные станки и 356-мм орудия</w:t>
      </w:r>
      <w:r w:rsidR="007C1411" w:rsidRPr="00E93F40">
        <w:rPr>
          <w:rFonts w:ascii="Times New Roman" w:hAnsi="Times New Roman"/>
          <w:color w:val="000000" w:themeColor="text1"/>
          <w:sz w:val="16"/>
          <w:szCs w:val="16"/>
        </w:rPr>
        <w:t xml:space="preserve"> </w:t>
      </w:r>
      <w:r w:rsidRPr="00E93F40">
        <w:rPr>
          <w:rFonts w:ascii="Times New Roman" w:hAnsi="Times New Roman"/>
          <w:color w:val="000000" w:themeColor="text1"/>
          <w:sz w:val="16"/>
          <w:szCs w:val="16"/>
        </w:rPr>
        <w:t>с недостроенного дредноута «Измаил». Проект разработан под руководством начальника Артиллерийского КБ Металлического завода А. Г. Дукельского (15132).</w:t>
      </w:r>
    </w:p>
    <w:p w14:paraId="3A08AD94" w14:textId="77777777" w:rsidR="002C449F" w:rsidRPr="00E93F40" w:rsidRDefault="002C449F" w:rsidP="00E93F40">
      <w:pPr>
        <w:spacing w:after="0" w:line="240" w:lineRule="auto"/>
        <w:jc w:val="both"/>
        <w:rPr>
          <w:rFonts w:ascii="Times New Roman" w:hAnsi="Times New Roman"/>
          <w:color w:val="000000" w:themeColor="text1"/>
          <w:sz w:val="16"/>
          <w:szCs w:val="16"/>
        </w:rPr>
      </w:pPr>
    </w:p>
    <w:p w14:paraId="79F7CEC5"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 — 1933 гг. ввиду большой протяженности морских границ СССР АНИИ выдвинул концепцию быстровозводимой береговой обороны, базирующейся на использовании береговых батарей на самоходном шасси с железнодорож</w:t>
      </w:r>
      <w:r w:rsidRPr="00E93F40">
        <w:rPr>
          <w:rFonts w:ascii="Times New Roman" w:hAnsi="Times New Roman"/>
          <w:color w:val="000000" w:themeColor="text1"/>
          <w:sz w:val="16"/>
          <w:szCs w:val="16"/>
        </w:rPr>
        <w:softHyphen/>
        <w:t>ным или гусеничным движителем. Предполагалось, что ба</w:t>
      </w:r>
      <w:r w:rsidRPr="00E93F40">
        <w:rPr>
          <w:rFonts w:ascii="Times New Roman" w:hAnsi="Times New Roman"/>
          <w:color w:val="000000" w:themeColor="text1"/>
          <w:sz w:val="16"/>
          <w:szCs w:val="16"/>
        </w:rPr>
        <w:softHyphen/>
        <w:t>тарея из шести 152,4-мм или четырех 203,2-254-мм пушек на гусеничном лафете будет прибывать на побережье, где есть угроза высадки вражеских сил и нет железнодорожной сети, где и составит ядро береговой обороны против десант-но-высадочных средств противника (11417).</w:t>
      </w:r>
    </w:p>
    <w:p w14:paraId="32C44AC3" w14:textId="77777777" w:rsidR="007B1D3C" w:rsidRPr="00E93F40" w:rsidRDefault="007B1D3C" w:rsidP="00E93F4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74E399"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Армия:</w:t>
      </w:r>
    </w:p>
    <w:p w14:paraId="324C265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2E68D06C"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С 1932 по 1938 годы была разработана другая система тактических обозначений советских танков, состоящая из комбинаций красных, черных, синих и желтых полос по периметру башни, обозначающих батальоны и роты. Сплошная верхняя полоса обозначала батальон, а изображенная пунктиром нижняя - роту. Первому подразделению (батальону или роте) был присвоен красный цвет, второму - белый, третьему - черный, четвертому - синий, а пятому - желтый цвет. Номер танка во взводе, а в отдельных случаях и номер взвода, обозначался арабской цифрой в квадрате на обеих сторонах башни или корпуса. Информативность данной опознавательной системы была очень ограничена, поэтому во время маневров противоборствующим сторонам приходилось прибегать к нанесению дополнительных опознавательных знаков в виде белых вертикальных полос во всю высоту башни или белого круга на тыльной стороне последней (11993).</w:t>
      </w:r>
    </w:p>
    <w:p w14:paraId="061084C6"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2C2429F" w14:textId="77777777" w:rsidR="00B72845" w:rsidRPr="00E93F40" w:rsidRDefault="00B72845"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Жизнь и внутренняя политика:</w:t>
      </w:r>
    </w:p>
    <w:p w14:paraId="3182AB6C" w14:textId="77777777" w:rsidR="00B72845" w:rsidRPr="00E93F40" w:rsidRDefault="00B72845"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7CF72A05" w14:textId="77777777" w:rsidR="00435C8A" w:rsidRPr="00E93F40" w:rsidRDefault="00435C8A" w:rsidP="00E93F40">
      <w:pPr>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1932-1935 гг. действовали так называемые Торгсины, в которых товары повышенного качества продавались за драгоценные металлы или валюту. Цены на продовольственные товары в магазинах Торгсина лишь немного превышали уровень цен на мировом рынке и составляли небольшую долю той цены, которую приходилось платить в рублях в других магазинах. Каждый, кто имел драгоценные металлы в какой-либо форме (золотые зубы, обручальные кольца, серебряные украшения, серебряные оклады икон, монеты), мог обменять их в магазинах Торгсина на купоны{979},причем по весьма невыгодному курсу. Рабочие иногда сдавали в Торгсин семейные драгоценности, чтобы купить дорогие лекарства{980}.Не говоря о том, что лишь немногие располагали такой возможностью, но и они подвергались опасности, поскольку обладание золотом могло быть с легкостью истолкованоОГПУ как доказательство враждебного по отношению к пролетарскому государству утаивания ценностей{981} (18299).</w:t>
      </w:r>
    </w:p>
    <w:p w14:paraId="3113EF37" w14:textId="77777777" w:rsidR="00435C8A" w:rsidRPr="00E93F40" w:rsidRDefault="00435C8A" w:rsidP="00E93F40">
      <w:pPr>
        <w:spacing w:after="0" w:line="240" w:lineRule="auto"/>
        <w:jc w:val="both"/>
        <w:rPr>
          <w:rFonts w:ascii="Times New Roman" w:hAnsi="Times New Roman"/>
          <w:color w:val="000000" w:themeColor="text1"/>
          <w:sz w:val="16"/>
          <w:szCs w:val="16"/>
        </w:rPr>
      </w:pPr>
    </w:p>
    <w:p w14:paraId="64CCCBF2" w14:textId="77777777" w:rsidR="007B1D3C" w:rsidRPr="00E93F40" w:rsidRDefault="00F049B2"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Авиапромышленность:</w:t>
      </w:r>
    </w:p>
    <w:p w14:paraId="1FB9013F" w14:textId="77777777" w:rsidR="007B1D3C" w:rsidRPr="00E93F40" w:rsidRDefault="007B1D3C"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718AC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1930-х годов, работавший в НИИ ВВС B.C. Вахмистров, известный по серии летающих авианосцев "Звено", предложил проект "авиаматки- транспортного самолета". Собственно проект не разрабатывался, а лишь предлагалась основная концепция и некоторые конструкторские решения. "Авиаматка" представляла собой огромный моноплан, выполненный по схеме "летающего крыла" параболоидной в плане формы. Многочисленные моторы с тянущими винтами располагались по его передней кромке. Машина рассматривалась в трех вариантах: летающий авианосец, транспортный самолет и топли- возаправщик-танкер. В первом случае самолеты стартовали с верхней поверхности крыла "авиаматки", подаваемые из внутренних ангаров лифтами. Прямо как на настоящем авианосце: летная палуба, ангары, подъемники, только все это не на море, а в облаках. Нет только стартовых катапульт, но они и не нужны. Летающий авианосец сразу же добавляет к скорости взлетающего самолета свою, перевалив через край полетной палубы, он не упадет в море, а начнет разгоняться на пикировании.</w:t>
      </w:r>
    </w:p>
    <w:p w14:paraId="79E6CE29"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транспортном варианте предусматривалась аппарель для въезда и выезда в грузовые отсеки колесной и гусеничной техники. Сам люк находился на нижней поверхности крыла, которое в посадочном положении располагалось наклонно из-за использования традиционного для того времени шасси с высокими стойками основных опор и маленьким костылем (а может быть, костылями - на рисунках не видно).</w:t>
      </w:r>
    </w:p>
    <w:p w14:paraId="267FE61E"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 xml:space="preserve">Предложение Вахмистрова в силу малой степени проработанности и огромной стоимости постройки опытного образца, по-видимому, никогда серьезно не рассматривалось, даже в ту эпоху увлечения гигантоманией отнесенное к разряду курьезов (12036). </w:t>
      </w:r>
    </w:p>
    <w:p w14:paraId="13ABE40B"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p>
    <w:p w14:paraId="445836FD" w14:textId="77777777" w:rsidR="00435C8A" w:rsidRPr="00E93F40" w:rsidRDefault="00435C8A" w:rsidP="00E93F40">
      <w:pPr>
        <w:autoSpaceDE w:val="0"/>
        <w:autoSpaceDN w:val="0"/>
        <w:adjustRightInd w:val="0"/>
        <w:spacing w:after="0" w:line="240" w:lineRule="auto"/>
        <w:jc w:val="both"/>
        <w:rPr>
          <w:rFonts w:ascii="Times New Roman" w:hAnsi="Times New Roman"/>
          <w:iCs/>
          <w:color w:val="000000" w:themeColor="text1"/>
          <w:sz w:val="16"/>
          <w:szCs w:val="16"/>
        </w:rPr>
      </w:pPr>
      <w:r w:rsidRPr="00E93F40">
        <w:rPr>
          <w:rFonts w:ascii="Times New Roman" w:hAnsi="Times New Roman"/>
          <w:i/>
          <w:iCs/>
          <w:color w:val="000000" w:themeColor="text1"/>
          <w:sz w:val="16"/>
          <w:szCs w:val="16"/>
        </w:rPr>
        <w:t>Другие оборонные отрасли:</w:t>
      </w:r>
    </w:p>
    <w:p w14:paraId="07425C35" w14:textId="77777777" w:rsidR="00435C8A" w:rsidRPr="00E93F40" w:rsidRDefault="00435C8A" w:rsidP="00E93F40">
      <w:pPr>
        <w:autoSpaceDE w:val="0"/>
        <w:autoSpaceDN w:val="0"/>
        <w:adjustRightInd w:val="0"/>
        <w:spacing w:after="0" w:line="240" w:lineRule="auto"/>
        <w:jc w:val="both"/>
        <w:rPr>
          <w:rFonts w:ascii="Times New Roman" w:hAnsi="Times New Roman"/>
          <w:iCs/>
          <w:color w:val="000000" w:themeColor="text1"/>
          <w:sz w:val="16"/>
          <w:szCs w:val="16"/>
        </w:rPr>
      </w:pPr>
    </w:p>
    <w:p w14:paraId="17D81DFF"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30-х годов было начато проектирование подкалиберных снарядов со звездчатым поддоном. Основные работы над ними велись в АНИМИ. Орудия со звездчатыми поддонами имели небольшое число нарезов (обычно 34) большой глубины. Сечения поддонов снарядов повторяли сечение канала. Эти орудия формально можно отнести к орудиям с нарезными снарядами (3861).</w:t>
      </w:r>
    </w:p>
    <w:p w14:paraId="590370B7"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p>
    <w:p w14:paraId="7407F558"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30-х годов был создан проект переделки 152/36-мм пушки обр. 1931 г. в полигональную. Был изготовлен и испытан опытный образец (3861).</w:t>
      </w:r>
    </w:p>
    <w:p w14:paraId="705C1B24"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p>
    <w:p w14:paraId="188A1CC1"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начале 30-х годов был принят на вооружение 76-мм осколочно-фугасный стальной снаряд дальнобойной формы, получивший в 1938 году индекс ОФ-350, и такой же осколочный чугунный снаряд О-350А. При взрыве ОФ-350 получается 600-800 осколков весом свыше 1 грамма, дающих площадь сплошного поражения 8-5 м и действительного 30-15 м, глубина воронки 20-30 см. При замедленном действии взрывателя осколков меньше, зато глубина воронки больше 30-50 см, а диаметр 70-100 см. Для сравнения, 107-мм пушечная граната дает сплошное поражение 14-6 м, действительное 40-20 м, а воронку глубиной 4060 см и диаметром 11,5 м (3861).</w:t>
      </w:r>
    </w:p>
    <w:p w14:paraId="057DE884"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p>
    <w:p w14:paraId="4A4DBF9B"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lastRenderedPageBreak/>
        <w:t>В 30-х годах для 76-мм пушек обр. 1933 г. и Ф-22 было создано несколько вариантов более тяжелого 7,1 кг осколочно-фугасного снаряда, имевших общий индекс ОФ-363. Снаряд выпускался небольшими партиями, но вскоре от него отказались, так как при гильзе обр. 1900 г. и заряде 1,080 кг выигрыш по дальности по сравнению с 6,25-кг снарядом ОФ-350 составлял всего 500-700 м. 76-мм полевая шрапнель содержала около 260 пуль диаметром 12,7 мм и весом 10,7 гр. Площадь действительного поражения шрапнели в ширину составляла 20 м, а в глубину зависела от дистанции и высоты разрыва. При стрельбе с установкой трубки на картечь шрапнель разрывалась в 10-15 м за дульным срезом и пули сохраняли убойную силу на дистанции до 400 м. 76-мм картечь Щ-350 содержала 549 пуль весом по 10 гр. Наружная и внутренняя оболочки картечи, крышка и поддон изготавливались из прессованной бумаги. При выстреле оболочка картечи разрывалась в канале ствола, в результате чего пули вылетали с углом разлета 69. Картечные пули сохраняли убойную силу на дистанции до 200 м, с рассеиванием по фронту до 50 м (3861).</w:t>
      </w:r>
    </w:p>
    <w:p w14:paraId="23BC8B3B"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p>
    <w:p w14:paraId="13361BD2"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30-е годы в СССР было создано несколько десятков образцов безоткатных или, как тогда говорили, динамо-реактивных пушек (ДРП) Курчевского. Пушки Курчевского были буквально всех калибров - 37-, 65-, 76-, 100-, 152-, 305- и 500-мм. Их предполагалось использовать в качестве полевых, горных, самоходных, танковых, авиационных и корабельных орудий. Курчевский не был изобретателем безоткатных пушек. Задолго до него у нас и за рубежом был создан ряд принципиально различных безоткатных орудий. Курчевский для своих орудий принял только одну схему - с нагруженным нарезным стволом. Фактически, Курчевский брал обычную пушку, отрезал затворную часть и заменял ее длинной узкой воронкой с соплом Лаваля. В каморе такого орудия создавалось огромное давление, но газы двигались к соплу с небольшой скоростью. В самом же узком сечении скорость исходящих газов достигала скорости звука, а дальше, в воронке, скорость газов увеличивалась еще больше. Благодаря соплу Лаваля максимальное давление в канале 37-мм РК достигало 3200 кг/см2, т.е. равнялось предельному для самых мощных классических артсистем. Не вдаваясь в подробности скажем, что схема с нагруженным стволом имела много принципиальных недостатков - слишком тяжелый ствол, длинная узкая струя раскаленных газов, вылетавших из сопла и др. Поэтому в безоткатных орудиях всех стран, принятых на вооружение после 1943 года, использовались иные схемы - "открытая труба", "уширенная камора" и др.</w:t>
      </w:r>
    </w:p>
    <w:p w14:paraId="1DD60269"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Курчевским были созданы и запущены в производство два 37-мм противотанковых орудия: 37-мм РК малой мощности (ММ) и 37-мм РК большой мощности (БМ). Основное их различие было в весе - 28 и 32 кг соответственно, длине ствола - 1220 мм и 1250 мм, и лучшей баллистике у 37-мм РК БМ. Устройство же обеих систем одинаково. Оба орудия в штатном положении стреляли с треноги. Причем, стрелок сидел рядом на земле. В принципе, можно стрелять и с плеча, но это было неудобно. Лежа стрелять было нельзя. Система неразборная. На поле боя переносилась вручную. Стрельба производилась унитарными патронами с бронебойными снарядами, оснащенными взрывателями МД-4. Гильза была из сгорающей ткани, весом 20,4 гр. В основании патрона находилось деревянное донышко весом 8 гр. При выстреле донышко раскалывалось и осколки вылетали через сопло. Пять патронов располагались в надствольном цилиндрическом магазине. Еще один - в стволе. Заряжание производилось с дула. Патрон при помощи хитрой механической системы, приводимой в действие рукой стрелка, передвигался вперед по магазину, потом падал в лоток перед стволом и затем механическим досылателем досылался в канал ствола. Такая система заряжания имела ряд принципиальных неустранимых недостатков. Например, полного сгорания гильзы достигнуть не удалось, что приводило в лучшем случае к заклиниванию досылаемого снаряда, а в худшем - к разрыву ствола. Матерчатая гильза рвалась и деформировалась, досылатель ломался и т.д (3861).</w:t>
      </w:r>
    </w:p>
    <w:p w14:paraId="362735AF"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p>
    <w:p w14:paraId="1943559D"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30-х годах принят на вооружение стальной дальнобойный зажигательный снаряд З-350. В нем зажигательные сегменты были уложены в три ряда по три сегмента. При разрыве снаряда сегменты разлетались по окружности диаметром около 8 м, температура горения сегментов до 2500С. Впервые 76-мм зажигательные снаряды поступили на вооружение в 1915 году. Среди них была зажигательная шрапнель Громова, отличавшаяся от обычной шрапнели тем, что вместо пуль стакан наполнялся медными гильзочками с зажигательным составом. Более эффективными были термитные снаряды системы Стефановича и системы Яковлева. Использовались и снаряды с фосфорно-катушечным зажигательным составом (3861).</w:t>
      </w:r>
    </w:p>
    <w:p w14:paraId="4738361C"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p>
    <w:p w14:paraId="5280B45A"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В 30-х годах на вооружение были приняты стальные дальнобойной формы осколочно-химические снаряды ОХ-350, которые были снаряжены тротилом и ОВ типа Р-12 или Р-15. Баллистика выстрела с ОХ-350 была одинакова с ОФ-350 (3861).</w:t>
      </w:r>
    </w:p>
    <w:p w14:paraId="2E93B4EB"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p>
    <w:p w14:paraId="73905523"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p>
    <w:p w14:paraId="031F21A5" w14:textId="77777777" w:rsidR="007B1D3C" w:rsidRPr="00E93F40" w:rsidRDefault="007B1D3C" w:rsidP="00E93F40">
      <w:pPr>
        <w:autoSpaceDE w:val="0"/>
        <w:autoSpaceDN w:val="0"/>
        <w:adjustRightInd w:val="0"/>
        <w:spacing w:after="0" w:line="240" w:lineRule="auto"/>
        <w:jc w:val="both"/>
        <w:rPr>
          <w:rFonts w:ascii="Times New Roman" w:hAnsi="Times New Roman"/>
          <w:color w:val="000000" w:themeColor="text1"/>
          <w:sz w:val="16"/>
          <w:szCs w:val="16"/>
        </w:rPr>
      </w:pPr>
      <w:r w:rsidRPr="00E93F40">
        <w:rPr>
          <w:rFonts w:ascii="Times New Roman" w:hAnsi="Times New Roman"/>
          <w:color w:val="000000" w:themeColor="text1"/>
          <w:sz w:val="16"/>
          <w:szCs w:val="16"/>
        </w:rPr>
        <w:t>Начало эры железных наркомов авиапромышленности, одновременно, эры "красных директоров" и "красных командиров". Все для страны, а люди - гвозди. Коллективизация дала дешевый массовый труд, которым можно было распоряжаться как обычным ресурсом.</w:t>
      </w:r>
    </w:p>
    <w:p w14:paraId="5C5A6938" w14:textId="77777777" w:rsidR="00435C8A" w:rsidRPr="00E93F40" w:rsidRDefault="00435C8A" w:rsidP="00E93F40">
      <w:pPr>
        <w:autoSpaceDE w:val="0"/>
        <w:autoSpaceDN w:val="0"/>
        <w:adjustRightInd w:val="0"/>
        <w:spacing w:after="0" w:line="240" w:lineRule="auto"/>
        <w:jc w:val="both"/>
        <w:rPr>
          <w:rFonts w:ascii="Times New Roman" w:hAnsi="Times New Roman"/>
          <w:color w:val="000000" w:themeColor="text1"/>
          <w:sz w:val="16"/>
          <w:szCs w:val="16"/>
        </w:rPr>
      </w:pPr>
    </w:p>
    <w:sectPr w:rsidR="00435C8A" w:rsidRPr="00E93F40" w:rsidSect="000C43E9">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45B80C" w14:textId="77777777" w:rsidR="005B14B7" w:rsidRDefault="005B14B7" w:rsidP="00F167B2">
      <w:pPr>
        <w:spacing w:after="0" w:line="240" w:lineRule="auto"/>
      </w:pPr>
      <w:r>
        <w:separator/>
      </w:r>
    </w:p>
  </w:endnote>
  <w:endnote w:type="continuationSeparator" w:id="0">
    <w:p w14:paraId="1C5DF3AB" w14:textId="77777777" w:rsidR="005B14B7" w:rsidRDefault="005B14B7" w:rsidP="00F16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30E5E0" w14:textId="77777777" w:rsidR="005B14B7" w:rsidRDefault="005B14B7" w:rsidP="00F167B2">
      <w:pPr>
        <w:spacing w:after="0" w:line="240" w:lineRule="auto"/>
      </w:pPr>
      <w:r>
        <w:separator/>
      </w:r>
    </w:p>
  </w:footnote>
  <w:footnote w:type="continuationSeparator" w:id="0">
    <w:p w14:paraId="0FB316DF" w14:textId="77777777" w:rsidR="005B14B7" w:rsidRDefault="005B14B7" w:rsidP="00F167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00000004"/>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1" w15:restartNumberingAfterBreak="0">
    <w:nsid w:val="12A33B1E"/>
    <w:multiLevelType w:val="multilevel"/>
    <w:tmpl w:val="39667872"/>
    <w:lvl w:ilvl="0">
      <w:start w:val="3"/>
      <w:numFmt w:val="decimal"/>
      <w:lvlText w:val="%1)"/>
      <w:lvlJc w:val="left"/>
      <w:rPr>
        <w:rFonts w:ascii="Arial" w:eastAsia="Arial" w:hAnsi="Arial" w:cs="Arial"/>
        <w:b/>
        <w:bCs/>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3451B92"/>
    <w:multiLevelType w:val="multilevel"/>
    <w:tmpl w:val="F014CA00"/>
    <w:lvl w:ilvl="0">
      <w:start w:val="82"/>
      <w:numFmt w:val="decimal"/>
      <w:lvlText w:val="%1-"/>
      <w:lvlJc w:val="left"/>
      <w:rPr>
        <w:rFonts w:ascii="Arial" w:eastAsia="Arial" w:hAnsi="Arial" w:cs="Arial"/>
        <w:b w:val="0"/>
        <w:bCs w:val="0"/>
        <w:i w:val="0"/>
        <w:iCs w:val="0"/>
        <w:smallCaps w:val="0"/>
        <w:strike w:val="0"/>
        <w:color w:val="000000"/>
        <w:spacing w:val="0"/>
        <w:w w:val="100"/>
        <w:position w:val="0"/>
        <w:sz w:val="8"/>
        <w:szCs w:val="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FA602F7"/>
    <w:multiLevelType w:val="multilevel"/>
    <w:tmpl w:val="CC264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FB42418"/>
    <w:multiLevelType w:val="multilevel"/>
    <w:tmpl w:val="C9567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F324205"/>
    <w:multiLevelType w:val="multilevel"/>
    <w:tmpl w:val="F3304082"/>
    <w:lvl w:ilvl="0">
      <w:start w:val="1"/>
      <w:numFmt w:val="bullet"/>
      <w:lvlText w:val="-"/>
      <w:lvlJc w:val="left"/>
      <w:rPr>
        <w:rFonts w:ascii="Arial" w:eastAsia="Arial" w:hAnsi="Arial" w:cs="Arial"/>
        <w:b w:val="0"/>
        <w:bCs w:val="0"/>
        <w:i/>
        <w:iCs/>
        <w:smallCaps w:val="0"/>
        <w:strike w:val="0"/>
        <w:color w:val="000000"/>
        <w:spacing w:val="0"/>
        <w:w w:val="100"/>
        <w:position w:val="0"/>
        <w:sz w:val="15"/>
        <w:szCs w:val="15"/>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6EA61896"/>
    <w:multiLevelType w:val="multilevel"/>
    <w:tmpl w:val="D28E19B4"/>
    <w:lvl w:ilvl="0">
      <w:start w:val="1"/>
      <w:numFmt w:val="decimal"/>
      <w:lvlText w:val="%1)"/>
      <w:lvlJc w:val="left"/>
      <w:rPr>
        <w:rFonts w:ascii="Arial" w:eastAsia="Arial" w:hAnsi="Arial" w:cs="Arial"/>
        <w:b/>
        <w:bCs/>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75BF7F86"/>
    <w:multiLevelType w:val="multilevel"/>
    <w:tmpl w:val="3A22A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D7C4C24"/>
    <w:multiLevelType w:val="multilevel"/>
    <w:tmpl w:val="A60A5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55665763">
    <w:abstractNumId w:val="0"/>
  </w:num>
  <w:num w:numId="2" w16cid:durableId="437943065">
    <w:abstractNumId w:val="3"/>
  </w:num>
  <w:num w:numId="3" w16cid:durableId="1338386801">
    <w:abstractNumId w:val="8"/>
  </w:num>
  <w:num w:numId="4" w16cid:durableId="1252933138">
    <w:abstractNumId w:val="4"/>
  </w:num>
  <w:num w:numId="5" w16cid:durableId="1610090390">
    <w:abstractNumId w:val="7"/>
  </w:num>
  <w:num w:numId="6" w16cid:durableId="1924490440">
    <w:abstractNumId w:val="1"/>
  </w:num>
  <w:num w:numId="7" w16cid:durableId="965500941">
    <w:abstractNumId w:val="6"/>
  </w:num>
  <w:num w:numId="8" w16cid:durableId="1609968668">
    <w:abstractNumId w:val="2"/>
  </w:num>
  <w:num w:numId="9" w16cid:durableId="23193886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878"/>
    <w:rsid w:val="0001064C"/>
    <w:rsid w:val="00014353"/>
    <w:rsid w:val="00015826"/>
    <w:rsid w:val="00017AF5"/>
    <w:rsid w:val="00017FCD"/>
    <w:rsid w:val="000300D0"/>
    <w:rsid w:val="00032565"/>
    <w:rsid w:val="000326C2"/>
    <w:rsid w:val="00032976"/>
    <w:rsid w:val="00035626"/>
    <w:rsid w:val="00042A9F"/>
    <w:rsid w:val="00045DAA"/>
    <w:rsid w:val="00046DC2"/>
    <w:rsid w:val="000500C4"/>
    <w:rsid w:val="00053259"/>
    <w:rsid w:val="00053C2F"/>
    <w:rsid w:val="00053F0D"/>
    <w:rsid w:val="000566B1"/>
    <w:rsid w:val="00056EFC"/>
    <w:rsid w:val="000606F9"/>
    <w:rsid w:val="000621C7"/>
    <w:rsid w:val="00065021"/>
    <w:rsid w:val="00066767"/>
    <w:rsid w:val="000701C9"/>
    <w:rsid w:val="00071DC6"/>
    <w:rsid w:val="00072FD9"/>
    <w:rsid w:val="00073FF4"/>
    <w:rsid w:val="000742E3"/>
    <w:rsid w:val="00075947"/>
    <w:rsid w:val="00075A99"/>
    <w:rsid w:val="00075CBB"/>
    <w:rsid w:val="00077624"/>
    <w:rsid w:val="000841BA"/>
    <w:rsid w:val="00086AA3"/>
    <w:rsid w:val="000875A5"/>
    <w:rsid w:val="000906AD"/>
    <w:rsid w:val="00094AE4"/>
    <w:rsid w:val="00096529"/>
    <w:rsid w:val="000A05C4"/>
    <w:rsid w:val="000A12C9"/>
    <w:rsid w:val="000A7AED"/>
    <w:rsid w:val="000B1DD5"/>
    <w:rsid w:val="000B4F2C"/>
    <w:rsid w:val="000B6650"/>
    <w:rsid w:val="000C39A0"/>
    <w:rsid w:val="000C43E9"/>
    <w:rsid w:val="000C7DD6"/>
    <w:rsid w:val="000D1B25"/>
    <w:rsid w:val="000D35EB"/>
    <w:rsid w:val="000D6CBF"/>
    <w:rsid w:val="000E2530"/>
    <w:rsid w:val="000E2553"/>
    <w:rsid w:val="000E60FD"/>
    <w:rsid w:val="000F169A"/>
    <w:rsid w:val="000F30A8"/>
    <w:rsid w:val="00103953"/>
    <w:rsid w:val="0010442F"/>
    <w:rsid w:val="0010652E"/>
    <w:rsid w:val="00106A07"/>
    <w:rsid w:val="00107493"/>
    <w:rsid w:val="00113D98"/>
    <w:rsid w:val="00114321"/>
    <w:rsid w:val="0011556E"/>
    <w:rsid w:val="00115D78"/>
    <w:rsid w:val="0011602B"/>
    <w:rsid w:val="001206CF"/>
    <w:rsid w:val="00121858"/>
    <w:rsid w:val="00125EB9"/>
    <w:rsid w:val="001351AE"/>
    <w:rsid w:val="0013569A"/>
    <w:rsid w:val="00145AFC"/>
    <w:rsid w:val="00150B7E"/>
    <w:rsid w:val="001510CB"/>
    <w:rsid w:val="0015295F"/>
    <w:rsid w:val="00157E7E"/>
    <w:rsid w:val="0016025B"/>
    <w:rsid w:val="00165929"/>
    <w:rsid w:val="00166A21"/>
    <w:rsid w:val="00175890"/>
    <w:rsid w:val="00175962"/>
    <w:rsid w:val="00176195"/>
    <w:rsid w:val="00180177"/>
    <w:rsid w:val="00182FDA"/>
    <w:rsid w:val="00190DA5"/>
    <w:rsid w:val="00195F6D"/>
    <w:rsid w:val="00197463"/>
    <w:rsid w:val="001A1FB6"/>
    <w:rsid w:val="001B2BCD"/>
    <w:rsid w:val="001B58DB"/>
    <w:rsid w:val="001B6DA6"/>
    <w:rsid w:val="001C0CAF"/>
    <w:rsid w:val="001C0DBD"/>
    <w:rsid w:val="001C5A72"/>
    <w:rsid w:val="001C6637"/>
    <w:rsid w:val="001C6A0B"/>
    <w:rsid w:val="001D7244"/>
    <w:rsid w:val="001E30C2"/>
    <w:rsid w:val="001E3FFC"/>
    <w:rsid w:val="001E5E4A"/>
    <w:rsid w:val="001F390E"/>
    <w:rsid w:val="001F659D"/>
    <w:rsid w:val="001F6B2F"/>
    <w:rsid w:val="001F7908"/>
    <w:rsid w:val="001F79EA"/>
    <w:rsid w:val="002077FF"/>
    <w:rsid w:val="00207816"/>
    <w:rsid w:val="00213252"/>
    <w:rsid w:val="00213ABE"/>
    <w:rsid w:val="00214F03"/>
    <w:rsid w:val="00220371"/>
    <w:rsid w:val="00222F47"/>
    <w:rsid w:val="00223785"/>
    <w:rsid w:val="00237152"/>
    <w:rsid w:val="002401F1"/>
    <w:rsid w:val="00245CFB"/>
    <w:rsid w:val="00246B6F"/>
    <w:rsid w:val="0025088D"/>
    <w:rsid w:val="002527AE"/>
    <w:rsid w:val="002545EC"/>
    <w:rsid w:val="0025673E"/>
    <w:rsid w:val="00257404"/>
    <w:rsid w:val="002630B3"/>
    <w:rsid w:val="0026747E"/>
    <w:rsid w:val="0027010B"/>
    <w:rsid w:val="00272919"/>
    <w:rsid w:val="002735B1"/>
    <w:rsid w:val="002752A3"/>
    <w:rsid w:val="00275520"/>
    <w:rsid w:val="0027661F"/>
    <w:rsid w:val="002812F6"/>
    <w:rsid w:val="00282CC6"/>
    <w:rsid w:val="00283176"/>
    <w:rsid w:val="00285B5C"/>
    <w:rsid w:val="0028738B"/>
    <w:rsid w:val="00287E4A"/>
    <w:rsid w:val="00290EF2"/>
    <w:rsid w:val="00291D62"/>
    <w:rsid w:val="00295309"/>
    <w:rsid w:val="002957CB"/>
    <w:rsid w:val="002A11F1"/>
    <w:rsid w:val="002A278B"/>
    <w:rsid w:val="002A4AA5"/>
    <w:rsid w:val="002A5F66"/>
    <w:rsid w:val="002A75A6"/>
    <w:rsid w:val="002B29F9"/>
    <w:rsid w:val="002B2DA4"/>
    <w:rsid w:val="002B40D9"/>
    <w:rsid w:val="002B4519"/>
    <w:rsid w:val="002B54D3"/>
    <w:rsid w:val="002B79A4"/>
    <w:rsid w:val="002C0905"/>
    <w:rsid w:val="002C36D8"/>
    <w:rsid w:val="002C3A0B"/>
    <w:rsid w:val="002C449F"/>
    <w:rsid w:val="002D15F1"/>
    <w:rsid w:val="002D4C6E"/>
    <w:rsid w:val="002E08F7"/>
    <w:rsid w:val="002E24E6"/>
    <w:rsid w:val="002E36C2"/>
    <w:rsid w:val="002F0C84"/>
    <w:rsid w:val="002F12F0"/>
    <w:rsid w:val="002F13C6"/>
    <w:rsid w:val="00300294"/>
    <w:rsid w:val="003022E8"/>
    <w:rsid w:val="00304065"/>
    <w:rsid w:val="00304153"/>
    <w:rsid w:val="00305C73"/>
    <w:rsid w:val="00311329"/>
    <w:rsid w:val="00311ADB"/>
    <w:rsid w:val="00312320"/>
    <w:rsid w:val="003159DD"/>
    <w:rsid w:val="0031632D"/>
    <w:rsid w:val="00316768"/>
    <w:rsid w:val="00316B7A"/>
    <w:rsid w:val="00316F64"/>
    <w:rsid w:val="00316F6F"/>
    <w:rsid w:val="00320D07"/>
    <w:rsid w:val="00326370"/>
    <w:rsid w:val="00327CAE"/>
    <w:rsid w:val="0034496F"/>
    <w:rsid w:val="0034608C"/>
    <w:rsid w:val="0035024E"/>
    <w:rsid w:val="003516A0"/>
    <w:rsid w:val="003521B0"/>
    <w:rsid w:val="00354DEF"/>
    <w:rsid w:val="003557FD"/>
    <w:rsid w:val="00356882"/>
    <w:rsid w:val="00363634"/>
    <w:rsid w:val="00367EA4"/>
    <w:rsid w:val="00370EF9"/>
    <w:rsid w:val="003732A4"/>
    <w:rsid w:val="0037491A"/>
    <w:rsid w:val="003749BF"/>
    <w:rsid w:val="00375F0F"/>
    <w:rsid w:val="00382475"/>
    <w:rsid w:val="003825BF"/>
    <w:rsid w:val="00385829"/>
    <w:rsid w:val="00392001"/>
    <w:rsid w:val="003959A8"/>
    <w:rsid w:val="003A0F02"/>
    <w:rsid w:val="003A267D"/>
    <w:rsid w:val="003A28EC"/>
    <w:rsid w:val="003A4739"/>
    <w:rsid w:val="003A54ED"/>
    <w:rsid w:val="003A5E02"/>
    <w:rsid w:val="003A7786"/>
    <w:rsid w:val="003A7E44"/>
    <w:rsid w:val="003B3871"/>
    <w:rsid w:val="003B4D08"/>
    <w:rsid w:val="003B5891"/>
    <w:rsid w:val="003C129D"/>
    <w:rsid w:val="003C3891"/>
    <w:rsid w:val="003C38D0"/>
    <w:rsid w:val="003D157F"/>
    <w:rsid w:val="003D4634"/>
    <w:rsid w:val="003E0642"/>
    <w:rsid w:val="003E0F62"/>
    <w:rsid w:val="003E442B"/>
    <w:rsid w:val="003F2C79"/>
    <w:rsid w:val="003F4A45"/>
    <w:rsid w:val="00402786"/>
    <w:rsid w:val="0041096C"/>
    <w:rsid w:val="00410C65"/>
    <w:rsid w:val="004118FA"/>
    <w:rsid w:val="00413CD7"/>
    <w:rsid w:val="0042112D"/>
    <w:rsid w:val="00421F5C"/>
    <w:rsid w:val="00424A01"/>
    <w:rsid w:val="00424ECB"/>
    <w:rsid w:val="00435C8A"/>
    <w:rsid w:val="0043671E"/>
    <w:rsid w:val="0044548C"/>
    <w:rsid w:val="00446A93"/>
    <w:rsid w:val="00446B7C"/>
    <w:rsid w:val="00446E58"/>
    <w:rsid w:val="00446FB0"/>
    <w:rsid w:val="004522BA"/>
    <w:rsid w:val="00456286"/>
    <w:rsid w:val="0046155A"/>
    <w:rsid w:val="00462FCF"/>
    <w:rsid w:val="004642A1"/>
    <w:rsid w:val="0047630E"/>
    <w:rsid w:val="00476C83"/>
    <w:rsid w:val="00481316"/>
    <w:rsid w:val="00481984"/>
    <w:rsid w:val="00482B8E"/>
    <w:rsid w:val="004868FE"/>
    <w:rsid w:val="00486D06"/>
    <w:rsid w:val="004902CD"/>
    <w:rsid w:val="00490ECE"/>
    <w:rsid w:val="004913A9"/>
    <w:rsid w:val="00493370"/>
    <w:rsid w:val="004949ED"/>
    <w:rsid w:val="00494E17"/>
    <w:rsid w:val="00495872"/>
    <w:rsid w:val="00497EE9"/>
    <w:rsid w:val="004A1B3F"/>
    <w:rsid w:val="004A2CF3"/>
    <w:rsid w:val="004A30D4"/>
    <w:rsid w:val="004A58FD"/>
    <w:rsid w:val="004A5F26"/>
    <w:rsid w:val="004A7F89"/>
    <w:rsid w:val="004B0814"/>
    <w:rsid w:val="004B5160"/>
    <w:rsid w:val="004B7065"/>
    <w:rsid w:val="004B76E7"/>
    <w:rsid w:val="004C42EE"/>
    <w:rsid w:val="004C6276"/>
    <w:rsid w:val="004C6ED2"/>
    <w:rsid w:val="004D0735"/>
    <w:rsid w:val="004D32A9"/>
    <w:rsid w:val="004D7DCB"/>
    <w:rsid w:val="004E7245"/>
    <w:rsid w:val="004F2BDE"/>
    <w:rsid w:val="004F3E7C"/>
    <w:rsid w:val="004F5D91"/>
    <w:rsid w:val="004F6794"/>
    <w:rsid w:val="004F6CFB"/>
    <w:rsid w:val="0050060F"/>
    <w:rsid w:val="0050073D"/>
    <w:rsid w:val="00510F34"/>
    <w:rsid w:val="005119C8"/>
    <w:rsid w:val="00512182"/>
    <w:rsid w:val="00516F49"/>
    <w:rsid w:val="00525619"/>
    <w:rsid w:val="0052661D"/>
    <w:rsid w:val="00537D34"/>
    <w:rsid w:val="005427D7"/>
    <w:rsid w:val="00543FD5"/>
    <w:rsid w:val="00546AF4"/>
    <w:rsid w:val="00556A26"/>
    <w:rsid w:val="00560CA8"/>
    <w:rsid w:val="005669CF"/>
    <w:rsid w:val="00570EA6"/>
    <w:rsid w:val="00575CA3"/>
    <w:rsid w:val="00577A1D"/>
    <w:rsid w:val="00577FF4"/>
    <w:rsid w:val="00580010"/>
    <w:rsid w:val="00583BE8"/>
    <w:rsid w:val="00587026"/>
    <w:rsid w:val="00592142"/>
    <w:rsid w:val="0059309B"/>
    <w:rsid w:val="00594A55"/>
    <w:rsid w:val="005A2D36"/>
    <w:rsid w:val="005A5060"/>
    <w:rsid w:val="005B0D3C"/>
    <w:rsid w:val="005B14B7"/>
    <w:rsid w:val="005B6859"/>
    <w:rsid w:val="005C2332"/>
    <w:rsid w:val="005C3074"/>
    <w:rsid w:val="005C30D5"/>
    <w:rsid w:val="005C3848"/>
    <w:rsid w:val="005C531D"/>
    <w:rsid w:val="005C670E"/>
    <w:rsid w:val="005C7A37"/>
    <w:rsid w:val="005D1C71"/>
    <w:rsid w:val="005D3D2E"/>
    <w:rsid w:val="005D4088"/>
    <w:rsid w:val="005E0940"/>
    <w:rsid w:val="005E2829"/>
    <w:rsid w:val="005E34C3"/>
    <w:rsid w:val="005E3511"/>
    <w:rsid w:val="005E4C16"/>
    <w:rsid w:val="005F075B"/>
    <w:rsid w:val="005F3755"/>
    <w:rsid w:val="005F6692"/>
    <w:rsid w:val="005F6928"/>
    <w:rsid w:val="00606F47"/>
    <w:rsid w:val="00610188"/>
    <w:rsid w:val="00611082"/>
    <w:rsid w:val="006114BA"/>
    <w:rsid w:val="006118EC"/>
    <w:rsid w:val="00611CD0"/>
    <w:rsid w:val="0061497A"/>
    <w:rsid w:val="0062000C"/>
    <w:rsid w:val="00620E3A"/>
    <w:rsid w:val="00625E0E"/>
    <w:rsid w:val="006260CD"/>
    <w:rsid w:val="00626404"/>
    <w:rsid w:val="0062757D"/>
    <w:rsid w:val="00627BAA"/>
    <w:rsid w:val="00630C15"/>
    <w:rsid w:val="00632C89"/>
    <w:rsid w:val="00633D4B"/>
    <w:rsid w:val="0064033E"/>
    <w:rsid w:val="00643739"/>
    <w:rsid w:val="006551DA"/>
    <w:rsid w:val="00655811"/>
    <w:rsid w:val="0065615B"/>
    <w:rsid w:val="00660A75"/>
    <w:rsid w:val="0066127E"/>
    <w:rsid w:val="00665ECA"/>
    <w:rsid w:val="00666E99"/>
    <w:rsid w:val="0067096F"/>
    <w:rsid w:val="00671C6F"/>
    <w:rsid w:val="00671DDE"/>
    <w:rsid w:val="00680475"/>
    <w:rsid w:val="0068213E"/>
    <w:rsid w:val="00682F06"/>
    <w:rsid w:val="00684A8A"/>
    <w:rsid w:val="00685DD5"/>
    <w:rsid w:val="006A102D"/>
    <w:rsid w:val="006A1BDA"/>
    <w:rsid w:val="006A7BBD"/>
    <w:rsid w:val="006B0B5F"/>
    <w:rsid w:val="006B155B"/>
    <w:rsid w:val="006B3569"/>
    <w:rsid w:val="006B3C3E"/>
    <w:rsid w:val="006B5B51"/>
    <w:rsid w:val="006C1C94"/>
    <w:rsid w:val="006C33CD"/>
    <w:rsid w:val="006D2528"/>
    <w:rsid w:val="006D4AF4"/>
    <w:rsid w:val="006D510F"/>
    <w:rsid w:val="006D5B7A"/>
    <w:rsid w:val="006E2EBF"/>
    <w:rsid w:val="006E44D7"/>
    <w:rsid w:val="006F7B80"/>
    <w:rsid w:val="00704230"/>
    <w:rsid w:val="00705D79"/>
    <w:rsid w:val="007126C2"/>
    <w:rsid w:val="00713DD7"/>
    <w:rsid w:val="00716D79"/>
    <w:rsid w:val="00716F88"/>
    <w:rsid w:val="00717422"/>
    <w:rsid w:val="00720D22"/>
    <w:rsid w:val="007252FB"/>
    <w:rsid w:val="00731874"/>
    <w:rsid w:val="00735104"/>
    <w:rsid w:val="007359D1"/>
    <w:rsid w:val="00737884"/>
    <w:rsid w:val="00742933"/>
    <w:rsid w:val="00743CF8"/>
    <w:rsid w:val="00745B62"/>
    <w:rsid w:val="00746A80"/>
    <w:rsid w:val="00746D3C"/>
    <w:rsid w:val="007533C1"/>
    <w:rsid w:val="00755B5A"/>
    <w:rsid w:val="00757BC4"/>
    <w:rsid w:val="007642A9"/>
    <w:rsid w:val="00770E6C"/>
    <w:rsid w:val="00772A04"/>
    <w:rsid w:val="00775AEA"/>
    <w:rsid w:val="00775CFE"/>
    <w:rsid w:val="007808C7"/>
    <w:rsid w:val="00785BE0"/>
    <w:rsid w:val="0078683E"/>
    <w:rsid w:val="00791C12"/>
    <w:rsid w:val="007A0309"/>
    <w:rsid w:val="007A10AD"/>
    <w:rsid w:val="007A20C4"/>
    <w:rsid w:val="007A234E"/>
    <w:rsid w:val="007A6D51"/>
    <w:rsid w:val="007B1D3C"/>
    <w:rsid w:val="007B71BC"/>
    <w:rsid w:val="007C1411"/>
    <w:rsid w:val="007C2F54"/>
    <w:rsid w:val="007C307C"/>
    <w:rsid w:val="007C40A5"/>
    <w:rsid w:val="007C5C40"/>
    <w:rsid w:val="007C6B55"/>
    <w:rsid w:val="007D2744"/>
    <w:rsid w:val="007D5E72"/>
    <w:rsid w:val="007E0BA3"/>
    <w:rsid w:val="007E2630"/>
    <w:rsid w:val="007E2BE2"/>
    <w:rsid w:val="007E448A"/>
    <w:rsid w:val="007E482E"/>
    <w:rsid w:val="007E4CA2"/>
    <w:rsid w:val="007E59E9"/>
    <w:rsid w:val="007E6A6C"/>
    <w:rsid w:val="007E7FF2"/>
    <w:rsid w:val="007F0B24"/>
    <w:rsid w:val="007F0BB4"/>
    <w:rsid w:val="007F0E59"/>
    <w:rsid w:val="007F0EE1"/>
    <w:rsid w:val="007F7C1A"/>
    <w:rsid w:val="008019CE"/>
    <w:rsid w:val="008032A0"/>
    <w:rsid w:val="0080789B"/>
    <w:rsid w:val="00810E92"/>
    <w:rsid w:val="00814005"/>
    <w:rsid w:val="00826173"/>
    <w:rsid w:val="0082622D"/>
    <w:rsid w:val="008328E0"/>
    <w:rsid w:val="008360A7"/>
    <w:rsid w:val="00836580"/>
    <w:rsid w:val="00844066"/>
    <w:rsid w:val="008443A2"/>
    <w:rsid w:val="008455C4"/>
    <w:rsid w:val="008458CF"/>
    <w:rsid w:val="0084601C"/>
    <w:rsid w:val="00847535"/>
    <w:rsid w:val="00851C31"/>
    <w:rsid w:val="00852071"/>
    <w:rsid w:val="008561EF"/>
    <w:rsid w:val="00861F94"/>
    <w:rsid w:val="00866C07"/>
    <w:rsid w:val="008711FF"/>
    <w:rsid w:val="00871EDF"/>
    <w:rsid w:val="00872081"/>
    <w:rsid w:val="0087389B"/>
    <w:rsid w:val="008757E0"/>
    <w:rsid w:val="00881CB8"/>
    <w:rsid w:val="00882380"/>
    <w:rsid w:val="00883D98"/>
    <w:rsid w:val="008840A8"/>
    <w:rsid w:val="00887B13"/>
    <w:rsid w:val="008A45C7"/>
    <w:rsid w:val="008A6FD2"/>
    <w:rsid w:val="008B41A1"/>
    <w:rsid w:val="008C3670"/>
    <w:rsid w:val="008D249A"/>
    <w:rsid w:val="008D371F"/>
    <w:rsid w:val="008E0FBF"/>
    <w:rsid w:val="008E2DB9"/>
    <w:rsid w:val="008E7639"/>
    <w:rsid w:val="008F7CC1"/>
    <w:rsid w:val="009047BE"/>
    <w:rsid w:val="00910501"/>
    <w:rsid w:val="00913183"/>
    <w:rsid w:val="009203B3"/>
    <w:rsid w:val="00920AFC"/>
    <w:rsid w:val="009225FF"/>
    <w:rsid w:val="00925EF1"/>
    <w:rsid w:val="009274A8"/>
    <w:rsid w:val="009276CD"/>
    <w:rsid w:val="00931489"/>
    <w:rsid w:val="00935F02"/>
    <w:rsid w:val="0094098A"/>
    <w:rsid w:val="00941C02"/>
    <w:rsid w:val="009434D9"/>
    <w:rsid w:val="0094586B"/>
    <w:rsid w:val="00950C23"/>
    <w:rsid w:val="00954CDF"/>
    <w:rsid w:val="009575E3"/>
    <w:rsid w:val="00957FC7"/>
    <w:rsid w:val="00961727"/>
    <w:rsid w:val="009623CF"/>
    <w:rsid w:val="00965E63"/>
    <w:rsid w:val="00965F83"/>
    <w:rsid w:val="00966116"/>
    <w:rsid w:val="0096770E"/>
    <w:rsid w:val="00970D93"/>
    <w:rsid w:val="0098099F"/>
    <w:rsid w:val="00980CC9"/>
    <w:rsid w:val="00981ECA"/>
    <w:rsid w:val="00981EFF"/>
    <w:rsid w:val="009854FB"/>
    <w:rsid w:val="009871AA"/>
    <w:rsid w:val="00990F31"/>
    <w:rsid w:val="009A193F"/>
    <w:rsid w:val="009A1D75"/>
    <w:rsid w:val="009A3249"/>
    <w:rsid w:val="009B2B83"/>
    <w:rsid w:val="009B38E3"/>
    <w:rsid w:val="009B5B0B"/>
    <w:rsid w:val="009B6E65"/>
    <w:rsid w:val="009C1F6C"/>
    <w:rsid w:val="009C37DA"/>
    <w:rsid w:val="009C4227"/>
    <w:rsid w:val="009D0510"/>
    <w:rsid w:val="009D12BD"/>
    <w:rsid w:val="009D18B6"/>
    <w:rsid w:val="009D1B4F"/>
    <w:rsid w:val="009D2177"/>
    <w:rsid w:val="009D44EF"/>
    <w:rsid w:val="009E1C7B"/>
    <w:rsid w:val="009E1ED0"/>
    <w:rsid w:val="009E70EE"/>
    <w:rsid w:val="009F3555"/>
    <w:rsid w:val="009F4A38"/>
    <w:rsid w:val="00A02851"/>
    <w:rsid w:val="00A03E14"/>
    <w:rsid w:val="00A1189D"/>
    <w:rsid w:val="00A1380A"/>
    <w:rsid w:val="00A159F2"/>
    <w:rsid w:val="00A160F2"/>
    <w:rsid w:val="00A17D3D"/>
    <w:rsid w:val="00A20FF6"/>
    <w:rsid w:val="00A20FFF"/>
    <w:rsid w:val="00A278E8"/>
    <w:rsid w:val="00A3140F"/>
    <w:rsid w:val="00A318D7"/>
    <w:rsid w:val="00A32B1B"/>
    <w:rsid w:val="00A34BF2"/>
    <w:rsid w:val="00A37CE0"/>
    <w:rsid w:val="00A41DB4"/>
    <w:rsid w:val="00A51CEA"/>
    <w:rsid w:val="00A528C5"/>
    <w:rsid w:val="00A567B2"/>
    <w:rsid w:val="00A61830"/>
    <w:rsid w:val="00A634CB"/>
    <w:rsid w:val="00A64B86"/>
    <w:rsid w:val="00A71942"/>
    <w:rsid w:val="00A74175"/>
    <w:rsid w:val="00A75BAC"/>
    <w:rsid w:val="00A762CE"/>
    <w:rsid w:val="00A8089F"/>
    <w:rsid w:val="00A8197F"/>
    <w:rsid w:val="00A81FD8"/>
    <w:rsid w:val="00A83C47"/>
    <w:rsid w:val="00A84D52"/>
    <w:rsid w:val="00A84F43"/>
    <w:rsid w:val="00A85543"/>
    <w:rsid w:val="00A939BB"/>
    <w:rsid w:val="00A94516"/>
    <w:rsid w:val="00A952AA"/>
    <w:rsid w:val="00A954CF"/>
    <w:rsid w:val="00A9613C"/>
    <w:rsid w:val="00AA089E"/>
    <w:rsid w:val="00AA0A76"/>
    <w:rsid w:val="00AA0BD7"/>
    <w:rsid w:val="00AA1040"/>
    <w:rsid w:val="00AA2AB7"/>
    <w:rsid w:val="00AA2E5E"/>
    <w:rsid w:val="00AA3EB5"/>
    <w:rsid w:val="00AA6058"/>
    <w:rsid w:val="00AA6296"/>
    <w:rsid w:val="00AB00F4"/>
    <w:rsid w:val="00AB0B4F"/>
    <w:rsid w:val="00AB2091"/>
    <w:rsid w:val="00AB5D50"/>
    <w:rsid w:val="00AB6AA0"/>
    <w:rsid w:val="00AC0F3E"/>
    <w:rsid w:val="00AC12ED"/>
    <w:rsid w:val="00AC428C"/>
    <w:rsid w:val="00AC4C99"/>
    <w:rsid w:val="00AC6457"/>
    <w:rsid w:val="00AC6AC7"/>
    <w:rsid w:val="00AD329D"/>
    <w:rsid w:val="00AD6C32"/>
    <w:rsid w:val="00AD7492"/>
    <w:rsid w:val="00AE03E2"/>
    <w:rsid w:val="00AE16A6"/>
    <w:rsid w:val="00AE3492"/>
    <w:rsid w:val="00AE6CFB"/>
    <w:rsid w:val="00AF27DE"/>
    <w:rsid w:val="00B01CE8"/>
    <w:rsid w:val="00B047E8"/>
    <w:rsid w:val="00B0510C"/>
    <w:rsid w:val="00B06A5E"/>
    <w:rsid w:val="00B12916"/>
    <w:rsid w:val="00B27561"/>
    <w:rsid w:val="00B3217A"/>
    <w:rsid w:val="00B323BF"/>
    <w:rsid w:val="00B34788"/>
    <w:rsid w:val="00B37DB4"/>
    <w:rsid w:val="00B411DC"/>
    <w:rsid w:val="00B52AFA"/>
    <w:rsid w:val="00B570C6"/>
    <w:rsid w:val="00B57906"/>
    <w:rsid w:val="00B57950"/>
    <w:rsid w:val="00B70B03"/>
    <w:rsid w:val="00B70DF0"/>
    <w:rsid w:val="00B7114F"/>
    <w:rsid w:val="00B72845"/>
    <w:rsid w:val="00B82EA2"/>
    <w:rsid w:val="00B837BE"/>
    <w:rsid w:val="00B84C42"/>
    <w:rsid w:val="00B85FDE"/>
    <w:rsid w:val="00B86825"/>
    <w:rsid w:val="00B87296"/>
    <w:rsid w:val="00B8796F"/>
    <w:rsid w:val="00B95352"/>
    <w:rsid w:val="00B97656"/>
    <w:rsid w:val="00BA028A"/>
    <w:rsid w:val="00BA083A"/>
    <w:rsid w:val="00BA0A13"/>
    <w:rsid w:val="00BA1CB1"/>
    <w:rsid w:val="00BA4F36"/>
    <w:rsid w:val="00BA52BB"/>
    <w:rsid w:val="00BA7147"/>
    <w:rsid w:val="00BB1BC5"/>
    <w:rsid w:val="00BB5252"/>
    <w:rsid w:val="00BB5A6B"/>
    <w:rsid w:val="00BB647E"/>
    <w:rsid w:val="00BC161D"/>
    <w:rsid w:val="00BC1630"/>
    <w:rsid w:val="00BC4A5C"/>
    <w:rsid w:val="00BC7ED5"/>
    <w:rsid w:val="00BD009E"/>
    <w:rsid w:val="00BD2BF4"/>
    <w:rsid w:val="00BD5738"/>
    <w:rsid w:val="00BD69E5"/>
    <w:rsid w:val="00BE0373"/>
    <w:rsid w:val="00BF2EEE"/>
    <w:rsid w:val="00C018CF"/>
    <w:rsid w:val="00C02111"/>
    <w:rsid w:val="00C0746C"/>
    <w:rsid w:val="00C07864"/>
    <w:rsid w:val="00C111EF"/>
    <w:rsid w:val="00C145FA"/>
    <w:rsid w:val="00C1538C"/>
    <w:rsid w:val="00C16319"/>
    <w:rsid w:val="00C16959"/>
    <w:rsid w:val="00C16E64"/>
    <w:rsid w:val="00C17607"/>
    <w:rsid w:val="00C200E4"/>
    <w:rsid w:val="00C225CF"/>
    <w:rsid w:val="00C22673"/>
    <w:rsid w:val="00C23498"/>
    <w:rsid w:val="00C25A9F"/>
    <w:rsid w:val="00C32CA8"/>
    <w:rsid w:val="00C33B7E"/>
    <w:rsid w:val="00C34D7E"/>
    <w:rsid w:val="00C3579C"/>
    <w:rsid w:val="00C400E9"/>
    <w:rsid w:val="00C421F0"/>
    <w:rsid w:val="00C43A0E"/>
    <w:rsid w:val="00C53BCE"/>
    <w:rsid w:val="00C55E74"/>
    <w:rsid w:val="00C57239"/>
    <w:rsid w:val="00C650F4"/>
    <w:rsid w:val="00C6683D"/>
    <w:rsid w:val="00C67FF2"/>
    <w:rsid w:val="00C70137"/>
    <w:rsid w:val="00C7057A"/>
    <w:rsid w:val="00C71F26"/>
    <w:rsid w:val="00C72765"/>
    <w:rsid w:val="00C74BE3"/>
    <w:rsid w:val="00C82736"/>
    <w:rsid w:val="00C85702"/>
    <w:rsid w:val="00C86BDE"/>
    <w:rsid w:val="00C87725"/>
    <w:rsid w:val="00C91EB6"/>
    <w:rsid w:val="00CA4331"/>
    <w:rsid w:val="00CA6D87"/>
    <w:rsid w:val="00CB1008"/>
    <w:rsid w:val="00CC0809"/>
    <w:rsid w:val="00CC533B"/>
    <w:rsid w:val="00CD4FA6"/>
    <w:rsid w:val="00CD6081"/>
    <w:rsid w:val="00CD639B"/>
    <w:rsid w:val="00CD6DEE"/>
    <w:rsid w:val="00CE3F91"/>
    <w:rsid w:val="00CE5282"/>
    <w:rsid w:val="00CF10BF"/>
    <w:rsid w:val="00CF6925"/>
    <w:rsid w:val="00CF6E96"/>
    <w:rsid w:val="00D04D54"/>
    <w:rsid w:val="00D1046D"/>
    <w:rsid w:val="00D16EE0"/>
    <w:rsid w:val="00D21F78"/>
    <w:rsid w:val="00D2269A"/>
    <w:rsid w:val="00D22833"/>
    <w:rsid w:val="00D23D16"/>
    <w:rsid w:val="00D3031D"/>
    <w:rsid w:val="00D30D2C"/>
    <w:rsid w:val="00D33067"/>
    <w:rsid w:val="00D37B6C"/>
    <w:rsid w:val="00D41559"/>
    <w:rsid w:val="00D45048"/>
    <w:rsid w:val="00D47DDD"/>
    <w:rsid w:val="00D50769"/>
    <w:rsid w:val="00D50F3F"/>
    <w:rsid w:val="00D553C5"/>
    <w:rsid w:val="00D607A5"/>
    <w:rsid w:val="00D65060"/>
    <w:rsid w:val="00D80F52"/>
    <w:rsid w:val="00D92B26"/>
    <w:rsid w:val="00DA227A"/>
    <w:rsid w:val="00DA3046"/>
    <w:rsid w:val="00DA309B"/>
    <w:rsid w:val="00DB2196"/>
    <w:rsid w:val="00DC0201"/>
    <w:rsid w:val="00DC18E0"/>
    <w:rsid w:val="00DC3115"/>
    <w:rsid w:val="00DC3940"/>
    <w:rsid w:val="00DC6CBE"/>
    <w:rsid w:val="00DD42F1"/>
    <w:rsid w:val="00DD60BF"/>
    <w:rsid w:val="00DD632B"/>
    <w:rsid w:val="00DD74E1"/>
    <w:rsid w:val="00DD752B"/>
    <w:rsid w:val="00DE06A7"/>
    <w:rsid w:val="00DE2D9A"/>
    <w:rsid w:val="00DE34EC"/>
    <w:rsid w:val="00DE37D5"/>
    <w:rsid w:val="00DE4139"/>
    <w:rsid w:val="00DE62AA"/>
    <w:rsid w:val="00DF2094"/>
    <w:rsid w:val="00DF2CD2"/>
    <w:rsid w:val="00DF34F7"/>
    <w:rsid w:val="00DF471F"/>
    <w:rsid w:val="00DF55BE"/>
    <w:rsid w:val="00E00287"/>
    <w:rsid w:val="00E00DEB"/>
    <w:rsid w:val="00E02366"/>
    <w:rsid w:val="00E03902"/>
    <w:rsid w:val="00E05DC1"/>
    <w:rsid w:val="00E0749E"/>
    <w:rsid w:val="00E100F6"/>
    <w:rsid w:val="00E116AB"/>
    <w:rsid w:val="00E139CA"/>
    <w:rsid w:val="00E13DFF"/>
    <w:rsid w:val="00E144D6"/>
    <w:rsid w:val="00E16E55"/>
    <w:rsid w:val="00E238F8"/>
    <w:rsid w:val="00E254A5"/>
    <w:rsid w:val="00E30AB1"/>
    <w:rsid w:val="00E31149"/>
    <w:rsid w:val="00E319B6"/>
    <w:rsid w:val="00E3479E"/>
    <w:rsid w:val="00E34863"/>
    <w:rsid w:val="00E36B7D"/>
    <w:rsid w:val="00E37868"/>
    <w:rsid w:val="00E37962"/>
    <w:rsid w:val="00E42D31"/>
    <w:rsid w:val="00E42EBC"/>
    <w:rsid w:val="00E431C6"/>
    <w:rsid w:val="00E4344E"/>
    <w:rsid w:val="00E46374"/>
    <w:rsid w:val="00E466FE"/>
    <w:rsid w:val="00E6267E"/>
    <w:rsid w:val="00E62702"/>
    <w:rsid w:val="00E62D79"/>
    <w:rsid w:val="00E64A3A"/>
    <w:rsid w:val="00E6540F"/>
    <w:rsid w:val="00E707DF"/>
    <w:rsid w:val="00E7326F"/>
    <w:rsid w:val="00E74517"/>
    <w:rsid w:val="00E75D06"/>
    <w:rsid w:val="00E8111E"/>
    <w:rsid w:val="00E8453C"/>
    <w:rsid w:val="00E92E9C"/>
    <w:rsid w:val="00E937AB"/>
    <w:rsid w:val="00E93F40"/>
    <w:rsid w:val="00E96505"/>
    <w:rsid w:val="00E965D4"/>
    <w:rsid w:val="00EA0EE9"/>
    <w:rsid w:val="00EA15DA"/>
    <w:rsid w:val="00EA20A1"/>
    <w:rsid w:val="00EA2540"/>
    <w:rsid w:val="00EA543B"/>
    <w:rsid w:val="00EA580C"/>
    <w:rsid w:val="00EA5E5D"/>
    <w:rsid w:val="00EA6B06"/>
    <w:rsid w:val="00EB0B58"/>
    <w:rsid w:val="00EB3388"/>
    <w:rsid w:val="00EB5050"/>
    <w:rsid w:val="00EB5E43"/>
    <w:rsid w:val="00EB6B1E"/>
    <w:rsid w:val="00EC0BF1"/>
    <w:rsid w:val="00EC4193"/>
    <w:rsid w:val="00EC436A"/>
    <w:rsid w:val="00ED0333"/>
    <w:rsid w:val="00EE1122"/>
    <w:rsid w:val="00EE12A8"/>
    <w:rsid w:val="00EE4A34"/>
    <w:rsid w:val="00EE6152"/>
    <w:rsid w:val="00EE68A8"/>
    <w:rsid w:val="00EF24E0"/>
    <w:rsid w:val="00EF272A"/>
    <w:rsid w:val="00EF29ED"/>
    <w:rsid w:val="00EF55DB"/>
    <w:rsid w:val="00F01A58"/>
    <w:rsid w:val="00F02E42"/>
    <w:rsid w:val="00F049B2"/>
    <w:rsid w:val="00F04E3F"/>
    <w:rsid w:val="00F05737"/>
    <w:rsid w:val="00F157C8"/>
    <w:rsid w:val="00F167B2"/>
    <w:rsid w:val="00F171EF"/>
    <w:rsid w:val="00F2197C"/>
    <w:rsid w:val="00F22C1F"/>
    <w:rsid w:val="00F255A9"/>
    <w:rsid w:val="00F27C9C"/>
    <w:rsid w:val="00F27E3F"/>
    <w:rsid w:val="00F32A3B"/>
    <w:rsid w:val="00F33C0A"/>
    <w:rsid w:val="00F40724"/>
    <w:rsid w:val="00F415ED"/>
    <w:rsid w:val="00F41990"/>
    <w:rsid w:val="00F46546"/>
    <w:rsid w:val="00F51852"/>
    <w:rsid w:val="00F5308A"/>
    <w:rsid w:val="00F5679F"/>
    <w:rsid w:val="00F56E3A"/>
    <w:rsid w:val="00F57C9C"/>
    <w:rsid w:val="00F57F57"/>
    <w:rsid w:val="00F6073C"/>
    <w:rsid w:val="00F66410"/>
    <w:rsid w:val="00F718C8"/>
    <w:rsid w:val="00F7274F"/>
    <w:rsid w:val="00F74199"/>
    <w:rsid w:val="00F745E2"/>
    <w:rsid w:val="00F773A6"/>
    <w:rsid w:val="00F8111C"/>
    <w:rsid w:val="00F821E3"/>
    <w:rsid w:val="00F8376C"/>
    <w:rsid w:val="00F866B7"/>
    <w:rsid w:val="00F867F1"/>
    <w:rsid w:val="00F91DA7"/>
    <w:rsid w:val="00F933F8"/>
    <w:rsid w:val="00F936E2"/>
    <w:rsid w:val="00FA3D9E"/>
    <w:rsid w:val="00FA3F27"/>
    <w:rsid w:val="00FA6533"/>
    <w:rsid w:val="00FA6E96"/>
    <w:rsid w:val="00FB05FD"/>
    <w:rsid w:val="00FB38D7"/>
    <w:rsid w:val="00FB4165"/>
    <w:rsid w:val="00FC0AA6"/>
    <w:rsid w:val="00FC0C68"/>
    <w:rsid w:val="00FC3E25"/>
    <w:rsid w:val="00FC560B"/>
    <w:rsid w:val="00FD1168"/>
    <w:rsid w:val="00FD262B"/>
    <w:rsid w:val="00FD57ED"/>
    <w:rsid w:val="00FD63D9"/>
    <w:rsid w:val="00FE1566"/>
    <w:rsid w:val="00FE576A"/>
    <w:rsid w:val="00FF1077"/>
    <w:rsid w:val="00FF191C"/>
    <w:rsid w:val="00FF6F88"/>
    <w:rsid w:val="00FF7331"/>
    <w:rsid w:val="00FF759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E3AE6F8"/>
  <w15:docId w15:val="{2022DCE2-03CC-4270-A47F-CDA0FCBA6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7E7FF2"/>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A278E8"/>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unhideWhenUsed/>
    <w:qFormat/>
    <w:rsid w:val="007E7FF2"/>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7E7FF2"/>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7">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2">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aliases w:val="5 pt12,Полужирный11,Интервал -1 pt,Основной текст + Arial Narrow12,99,Полужирный21,Интервал 0 pt10,Основной текст + 11 pt,Полужирный13,Подпись к картинке + Sylfaen1,8 pt1,Header or footer + Arial Narrow3,Bold16,Picture caption + 6"/>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7">
    <w:name w:val="Основной текст + Полужирный"/>
    <w:aliases w:val="Интервал 0 pt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link w:val="aff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link w:val="3a"/>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7B1D3C"/>
    <w:rPr>
      <w:i/>
      <w:iCs/>
      <w:spacing w:val="0"/>
      <w:sz w:val="16"/>
      <w:szCs w:val="16"/>
    </w:rPr>
  </w:style>
  <w:style w:type="character" w:customStyle="1" w:styleId="574">
    <w:name w:val="Основной текст (5)74"/>
    <w:uiPriority w:val="99"/>
    <w:rsid w:val="007B1D3C"/>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7B1D3C"/>
    <w:rPr>
      <w:i/>
      <w:iCs/>
      <w:spacing w:val="-10"/>
      <w:sz w:val="17"/>
      <w:szCs w:val="17"/>
    </w:rPr>
  </w:style>
  <w:style w:type="character" w:customStyle="1" w:styleId="58445pt60510pt90">
    <w:name w:val="Основной текст (5) + 844.5 pt60.Не курсив51.Интервал 0 pt90"/>
    <w:uiPriority w:val="99"/>
    <w:rsid w:val="007B1D3C"/>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7B1D3C"/>
    <w:rPr>
      <w:i/>
      <w:iCs/>
      <w:spacing w:val="-10"/>
      <w:sz w:val="17"/>
      <w:szCs w:val="17"/>
    </w:rPr>
  </w:style>
  <w:style w:type="character" w:customStyle="1" w:styleId="573">
    <w:name w:val="Основной текст (5)73"/>
    <w:uiPriority w:val="99"/>
    <w:rsid w:val="007B1D3C"/>
    <w:rPr>
      <w:i/>
      <w:iCs/>
      <w:spacing w:val="0"/>
      <w:sz w:val="16"/>
      <w:szCs w:val="16"/>
    </w:rPr>
  </w:style>
  <w:style w:type="character" w:customStyle="1" w:styleId="572">
    <w:name w:val="Основной текст (5)72"/>
    <w:uiPriority w:val="99"/>
    <w:rsid w:val="007B1D3C"/>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7B1D3C"/>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7B1D3C"/>
    <w:rPr>
      <w:b/>
      <w:bCs/>
      <w:i/>
      <w:iCs/>
      <w:spacing w:val="0"/>
      <w:sz w:val="17"/>
      <w:szCs w:val="17"/>
    </w:rPr>
  </w:style>
  <w:style w:type="character" w:customStyle="1" w:styleId="571">
    <w:name w:val="Основной текст (5)71"/>
    <w:uiPriority w:val="99"/>
    <w:rsid w:val="007B1D3C"/>
    <w:rPr>
      <w:i/>
      <w:iCs/>
      <w:spacing w:val="0"/>
      <w:sz w:val="16"/>
      <w:szCs w:val="16"/>
    </w:rPr>
  </w:style>
  <w:style w:type="character" w:customStyle="1" w:styleId="203">
    <w:name w:val="Основной текст (20)"/>
    <w:uiPriority w:val="99"/>
    <w:rsid w:val="007B1D3C"/>
    <w:rPr>
      <w:b/>
      <w:bCs/>
      <w:i/>
      <w:iCs/>
      <w:sz w:val="15"/>
      <w:szCs w:val="15"/>
    </w:rPr>
  </w:style>
  <w:style w:type="character" w:customStyle="1" w:styleId="2030">
    <w:name w:val="Основной текст (20)3"/>
    <w:uiPriority w:val="99"/>
    <w:rsid w:val="007B1D3C"/>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7B1D3C"/>
    <w:rPr>
      <w:rFonts w:ascii="Arial Unicode MS" w:eastAsia="Arial Unicode MS" w:cs="Arial Unicode MS"/>
      <w:b/>
      <w:bCs/>
      <w:i/>
      <w:iCs/>
      <w:noProof/>
      <w:sz w:val="16"/>
      <w:szCs w:val="16"/>
    </w:rPr>
  </w:style>
  <w:style w:type="character" w:customStyle="1" w:styleId="2020">
    <w:name w:val="Основной текст (20)2"/>
    <w:uiPriority w:val="99"/>
    <w:rsid w:val="007B1D3C"/>
    <w:rPr>
      <w:b/>
      <w:bCs/>
      <w:i/>
      <w:iCs/>
      <w:sz w:val="15"/>
      <w:szCs w:val="15"/>
    </w:rPr>
  </w:style>
  <w:style w:type="character" w:customStyle="1" w:styleId="363">
    <w:name w:val="Основной текст (36) + Не курсив3"/>
    <w:uiPriority w:val="99"/>
    <w:rsid w:val="007B1D3C"/>
    <w:rPr>
      <w:rFonts w:ascii="Arial" w:hAnsi="Arial" w:cs="Arial"/>
      <w:spacing w:val="0"/>
      <w:sz w:val="8"/>
      <w:szCs w:val="8"/>
    </w:rPr>
  </w:style>
  <w:style w:type="character" w:customStyle="1" w:styleId="49">
    <w:name w:val="Основной текст + Курсив4"/>
    <w:uiPriority w:val="99"/>
    <w:rsid w:val="007B1D3C"/>
    <w:rPr>
      <w:rFonts w:ascii="Century Gothic" w:hAnsi="Century Gothic" w:cs="Century Gothic"/>
      <w:i/>
      <w:iCs/>
      <w:spacing w:val="-10"/>
      <w:sz w:val="17"/>
      <w:szCs w:val="17"/>
    </w:rPr>
  </w:style>
  <w:style w:type="character" w:customStyle="1" w:styleId="362">
    <w:name w:val="Основной текст (36) + Не курсив2"/>
    <w:uiPriority w:val="99"/>
    <w:rsid w:val="007B1D3C"/>
    <w:rPr>
      <w:rFonts w:ascii="Arial" w:hAnsi="Arial" w:cs="Arial"/>
      <w:spacing w:val="0"/>
      <w:sz w:val="8"/>
      <w:szCs w:val="8"/>
    </w:rPr>
  </w:style>
  <w:style w:type="character" w:customStyle="1" w:styleId="400">
    <w:name w:val="Основной текст (40) + Не курсив"/>
    <w:uiPriority w:val="99"/>
    <w:rsid w:val="007B1D3C"/>
    <w:rPr>
      <w:rFonts w:ascii="Arial" w:hAnsi="Arial" w:cs="Arial"/>
      <w:noProof/>
      <w:spacing w:val="0"/>
      <w:sz w:val="8"/>
      <w:szCs w:val="8"/>
    </w:rPr>
  </w:style>
  <w:style w:type="paragraph" w:customStyle="1" w:styleId="380">
    <w:name w:val="Основной текст (38)"/>
    <w:basedOn w:val="a"/>
    <w:rsid w:val="007B1D3C"/>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7B1D3C"/>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7E7FF2"/>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7E7FF2"/>
    <w:rPr>
      <w:rFonts w:ascii="Cambria" w:eastAsia="Times New Roman" w:hAnsi="Cambria" w:cs="Times New Roman"/>
      <w:b/>
      <w:bCs/>
      <w:color w:val="365F91"/>
      <w:sz w:val="28"/>
      <w:szCs w:val="28"/>
    </w:rPr>
  </w:style>
  <w:style w:type="character" w:customStyle="1" w:styleId="30">
    <w:name w:val="Заголовок 3 Знак"/>
    <w:link w:val="3"/>
    <w:uiPriority w:val="9"/>
    <w:rsid w:val="007E7FF2"/>
    <w:rPr>
      <w:rFonts w:ascii="Cambria" w:eastAsia="Times New Roman" w:hAnsi="Cambria" w:cs="Times New Roman"/>
      <w:color w:val="243F60"/>
      <w:sz w:val="24"/>
      <w:szCs w:val="24"/>
      <w:lang w:eastAsia="ru-RU"/>
    </w:rPr>
  </w:style>
  <w:style w:type="character" w:customStyle="1" w:styleId="40">
    <w:name w:val="Заголовок 4 Знак"/>
    <w:link w:val="4"/>
    <w:uiPriority w:val="9"/>
    <w:rsid w:val="007E7FF2"/>
    <w:rPr>
      <w:rFonts w:ascii="Cambria" w:eastAsia="Times New Roman" w:hAnsi="Cambria" w:cs="Times New Roman"/>
      <w:i/>
      <w:iCs/>
      <w:color w:val="365F91"/>
      <w:sz w:val="20"/>
      <w:szCs w:val="20"/>
      <w:lang w:eastAsia="ru-RU"/>
    </w:rPr>
  </w:style>
  <w:style w:type="paragraph" w:customStyle="1" w:styleId="rteright">
    <w:name w:val="rteright"/>
    <w:basedOn w:val="a"/>
    <w:rsid w:val="007E7FF2"/>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character" w:customStyle="1" w:styleId="46">
    <w:name w:val="Основной текст (4)_"/>
    <w:link w:val="45"/>
    <w:rsid w:val="00AD6C32"/>
    <w:rPr>
      <w:rFonts w:ascii="Gungsuh" w:eastAsia="Gungsuh" w:hAnsi="Times New Roman" w:cs="Gungsuh"/>
      <w:sz w:val="13"/>
      <w:szCs w:val="13"/>
      <w:shd w:val="clear" w:color="auto" w:fill="FFFFFF"/>
    </w:rPr>
  </w:style>
  <w:style w:type="character" w:customStyle="1" w:styleId="aff1">
    <w:name w:val="Подпись к таблице_"/>
    <w:link w:val="aff0"/>
    <w:rsid w:val="00AD6C32"/>
    <w:rPr>
      <w:rFonts w:ascii="Arial Narrow" w:hAnsi="Arial Narrow" w:cs="Arial Narrow"/>
      <w:i/>
      <w:iCs/>
      <w:noProof/>
      <w:sz w:val="20"/>
      <w:szCs w:val="20"/>
      <w:shd w:val="clear" w:color="auto" w:fill="FFFFFF"/>
      <w:lang w:val="en-US"/>
    </w:rPr>
  </w:style>
  <w:style w:type="paragraph" w:customStyle="1" w:styleId="130">
    <w:name w:val="Основной текст (13)"/>
    <w:basedOn w:val="a"/>
    <w:rsid w:val="00AD6C32"/>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4a">
    <w:name w:val="Подпись к таблице (4)"/>
    <w:basedOn w:val="a"/>
    <w:uiPriority w:val="99"/>
    <w:rsid w:val="00AD6C32"/>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HTML">
    <w:name w:val="Стандартный HTML Знак"/>
    <w:link w:val="HTML0"/>
    <w:uiPriority w:val="99"/>
    <w:semiHidden/>
    <w:rsid w:val="00275520"/>
    <w:rPr>
      <w:rFonts w:ascii="Courier New" w:hAnsi="Courier New" w:cs="Courier New"/>
    </w:rPr>
  </w:style>
  <w:style w:type="paragraph" w:styleId="HTML0">
    <w:name w:val="HTML Preformatted"/>
    <w:basedOn w:val="a"/>
    <w:link w:val="HTML"/>
    <w:uiPriority w:val="99"/>
    <w:semiHidden/>
    <w:unhideWhenUsed/>
    <w:rsid w:val="002755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rPr>
  </w:style>
  <w:style w:type="character" w:customStyle="1" w:styleId="HTML1">
    <w:name w:val="Стандартный HTML Знак1"/>
    <w:uiPriority w:val="99"/>
    <w:semiHidden/>
    <w:rsid w:val="00275520"/>
    <w:rPr>
      <w:rFonts w:ascii="Consolas" w:hAnsi="Consolas" w:cs="Consolas"/>
      <w:sz w:val="20"/>
      <w:szCs w:val="20"/>
    </w:rPr>
  </w:style>
  <w:style w:type="character" w:customStyle="1" w:styleId="20">
    <w:name w:val="Заголовок 2 Знак"/>
    <w:link w:val="2"/>
    <w:uiPriority w:val="9"/>
    <w:rsid w:val="00A278E8"/>
    <w:rPr>
      <w:rFonts w:ascii="Cambria" w:eastAsia="Times New Roman" w:hAnsi="Cambria" w:cs="Times New Roman"/>
      <w:color w:val="365F91"/>
      <w:sz w:val="26"/>
      <w:szCs w:val="26"/>
      <w:lang w:eastAsia="ru-RU"/>
    </w:rPr>
  </w:style>
  <w:style w:type="paragraph" w:customStyle="1" w:styleId="rtecenter">
    <w:name w:val="rtecenter"/>
    <w:basedOn w:val="a"/>
    <w:rsid w:val="0087389B"/>
    <w:pPr>
      <w:spacing w:before="120" w:after="216" w:line="240" w:lineRule="auto"/>
      <w:jc w:val="center"/>
    </w:pPr>
    <w:rPr>
      <w:rFonts w:ascii="Times New Roman" w:eastAsia="Times New Roman" w:hAnsi="Times New Roman"/>
      <w:sz w:val="24"/>
      <w:szCs w:val="24"/>
      <w:lang w:eastAsia="ru-RU"/>
    </w:rPr>
  </w:style>
  <w:style w:type="character" w:customStyle="1" w:styleId="mfonta10">
    <w:name w:val="mfont_a_10"/>
    <w:basedOn w:val="a0"/>
    <w:rsid w:val="008328E0"/>
  </w:style>
  <w:style w:type="character" w:customStyle="1" w:styleId="affa">
    <w:name w:val="Подпись к таблице + Не курсив"/>
    <w:rsid w:val="003E0F62"/>
    <w:rPr>
      <w:rFonts w:ascii="Times New Roman" w:hAnsi="Times New Roman"/>
      <w:i/>
      <w:noProof w:val="0"/>
      <w:spacing w:val="0"/>
      <w:sz w:val="14"/>
      <w:lang w:val="en-US"/>
    </w:rPr>
  </w:style>
  <w:style w:type="character" w:customStyle="1" w:styleId="affb">
    <w:name w:val="Оглавление_"/>
    <w:uiPriority w:val="99"/>
    <w:rsid w:val="00A634CB"/>
    <w:rPr>
      <w:rFonts w:ascii="Arial" w:hAnsi="Arial"/>
      <w:sz w:val="24"/>
      <w:shd w:val="clear" w:color="auto" w:fill="FFFFFF"/>
    </w:rPr>
  </w:style>
  <w:style w:type="paragraph" w:customStyle="1" w:styleId="59">
    <w:name w:val="Подпись к таблице (5)"/>
    <w:basedOn w:val="a"/>
    <w:rsid w:val="00FC3E25"/>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50pt">
    <w:name w:val="Подпись к таблице (5) + Интервал 0 pt"/>
    <w:rsid w:val="00FC3E25"/>
    <w:rPr>
      <w:rFonts w:ascii="Times New Roman" w:hAnsi="Times New Roman"/>
      <w:spacing w:val="10"/>
      <w:sz w:val="16"/>
    </w:rPr>
  </w:style>
  <w:style w:type="character" w:customStyle="1" w:styleId="2pt">
    <w:name w:val="Основной текст + Интервал 2 pt"/>
    <w:rsid w:val="00FC3E25"/>
    <w:rPr>
      <w:rFonts w:ascii="Times New Roman" w:hAnsi="Times New Roman"/>
      <w:spacing w:val="40"/>
      <w:sz w:val="18"/>
    </w:rPr>
  </w:style>
  <w:style w:type="character" w:customStyle="1" w:styleId="83">
    <w:name w:val="Основной текст + Курсив8"/>
    <w:uiPriority w:val="99"/>
    <w:rsid w:val="009D2177"/>
    <w:rPr>
      <w:rFonts w:ascii="Arial Narrow" w:hAnsi="Arial Narrow" w:cs="Arial Narrow"/>
      <w:i/>
      <w:iCs/>
      <w:spacing w:val="0"/>
      <w:sz w:val="17"/>
      <w:szCs w:val="17"/>
    </w:rPr>
  </w:style>
  <w:style w:type="paragraph" w:customStyle="1" w:styleId="65">
    <w:name w:val="Основной текст (6)"/>
    <w:basedOn w:val="a"/>
    <w:link w:val="66"/>
    <w:uiPriority w:val="99"/>
    <w:rsid w:val="009D2177"/>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6">
    <w:name w:val="Основной текст (6)_"/>
    <w:link w:val="65"/>
    <w:uiPriority w:val="99"/>
    <w:rsid w:val="009D2177"/>
    <w:rPr>
      <w:rFonts w:ascii="Calibri" w:eastAsia="Times New Roman" w:hAnsi="Calibri" w:cs="Times New Roman"/>
      <w:sz w:val="24"/>
      <w:szCs w:val="20"/>
      <w:shd w:val="clear" w:color="auto" w:fill="FFFFFF"/>
      <w:lang w:eastAsia="ru-RU"/>
    </w:rPr>
  </w:style>
  <w:style w:type="character" w:customStyle="1" w:styleId="720">
    <w:name w:val="Основной текст + 72"/>
    <w:aliases w:val="5 pt2,Полужирный2,Основной текст (6) + 9 pt,Интервал 0 pt1"/>
    <w:uiPriority w:val="99"/>
    <w:rsid w:val="009D2177"/>
    <w:rPr>
      <w:rFonts w:ascii="Arial Narrow" w:hAnsi="Arial Narrow" w:cs="Arial Narrow"/>
      <w:b/>
      <w:bCs/>
      <w:spacing w:val="0"/>
      <w:sz w:val="15"/>
      <w:szCs w:val="15"/>
    </w:rPr>
  </w:style>
  <w:style w:type="character" w:customStyle="1" w:styleId="67">
    <w:name w:val="Основной текст (6) + Не курсив"/>
    <w:uiPriority w:val="99"/>
    <w:rsid w:val="009D2177"/>
    <w:rPr>
      <w:rFonts w:ascii="Arial Narrow" w:eastAsia="Times New Roman" w:hAnsi="Arial Narrow" w:cs="Arial Narrow"/>
      <w:i w:val="0"/>
      <w:iCs w:val="0"/>
      <w:spacing w:val="0"/>
      <w:sz w:val="17"/>
      <w:szCs w:val="17"/>
      <w:shd w:val="clear" w:color="auto" w:fill="FFFFFF"/>
      <w:lang w:eastAsia="ru-RU"/>
    </w:rPr>
  </w:style>
  <w:style w:type="character" w:customStyle="1" w:styleId="114">
    <w:name w:val="Основной текст (11) + Не курсив"/>
    <w:rsid w:val="00F6073C"/>
    <w:rPr>
      <w:rFonts w:ascii="Times New Roman" w:eastAsia="Times New Roman" w:hAnsi="Times New Roman" w:cs="Times New Roman"/>
      <w:b w:val="0"/>
      <w:bCs w:val="0"/>
      <w:i/>
      <w:iCs/>
      <w:smallCaps w:val="0"/>
      <w:strike w:val="0"/>
      <w:spacing w:val="0"/>
      <w:sz w:val="17"/>
      <w:szCs w:val="17"/>
    </w:rPr>
  </w:style>
  <w:style w:type="character" w:customStyle="1" w:styleId="highlight">
    <w:name w:val="highlight"/>
    <w:basedOn w:val="a0"/>
    <w:rsid w:val="00446E58"/>
  </w:style>
  <w:style w:type="character" w:customStyle="1" w:styleId="91">
    <w:name w:val="Основной текст9"/>
    <w:basedOn w:val="a0"/>
    <w:rsid w:val="00042A9F"/>
    <w:rPr>
      <w:rFonts w:ascii="Times New Roman" w:eastAsia="Times New Roman" w:hAnsi="Times New Roman" w:cs="Times New Roman"/>
      <w:shd w:val="clear" w:color="auto" w:fill="FFFFFF"/>
    </w:rPr>
  </w:style>
  <w:style w:type="character" w:customStyle="1" w:styleId="103">
    <w:name w:val="Основной текст10"/>
    <w:basedOn w:val="aff"/>
    <w:rsid w:val="00042A9F"/>
    <w:rPr>
      <w:rFonts w:ascii="Arial" w:eastAsia="Arial" w:hAnsi="Arial" w:cs="Arial"/>
      <w:b w:val="0"/>
      <w:bCs w:val="0"/>
      <w:i w:val="0"/>
      <w:iCs w:val="0"/>
      <w:smallCaps w:val="0"/>
      <w:strike w:val="0"/>
      <w:spacing w:val="0"/>
      <w:sz w:val="18"/>
      <w:szCs w:val="18"/>
      <w:shd w:val="clear" w:color="auto" w:fill="FFFFFF"/>
    </w:rPr>
  </w:style>
  <w:style w:type="character" w:customStyle="1" w:styleId="ucoz-forum-post">
    <w:name w:val="ucoz-forum-post"/>
    <w:basedOn w:val="a0"/>
    <w:rsid w:val="00072FD9"/>
  </w:style>
  <w:style w:type="character" w:customStyle="1" w:styleId="t3100">
    <w:name w:val="t3100"/>
    <w:basedOn w:val="a0"/>
    <w:rsid w:val="007F0EE1"/>
    <w:rPr>
      <w:rFonts w:ascii="Times New Roman" w:hAnsi="Times New Roman" w:cs="Times New Roman" w:hint="default"/>
      <w:color w:val="000000"/>
      <w:sz w:val="29"/>
      <w:szCs w:val="29"/>
    </w:rPr>
  </w:style>
  <w:style w:type="character" w:customStyle="1" w:styleId="highlight1">
    <w:name w:val="highlight1"/>
    <w:basedOn w:val="a0"/>
    <w:rsid w:val="003D4634"/>
    <w:rPr>
      <w:shd w:val="clear" w:color="auto" w:fill="CCCCCC"/>
    </w:rPr>
  </w:style>
  <w:style w:type="character" w:customStyle="1" w:styleId="221">
    <w:name w:val="Основной текст (22)_"/>
    <w:basedOn w:val="a0"/>
    <w:link w:val="222"/>
    <w:uiPriority w:val="99"/>
    <w:rsid w:val="008561EF"/>
    <w:rPr>
      <w:rFonts w:ascii="Arial Narrow" w:hAnsi="Arial Narrow" w:cs="Arial Narrow"/>
      <w:b/>
      <w:bCs/>
      <w:sz w:val="18"/>
      <w:szCs w:val="18"/>
      <w:shd w:val="clear" w:color="auto" w:fill="FFFFFF"/>
    </w:rPr>
  </w:style>
  <w:style w:type="paragraph" w:customStyle="1" w:styleId="222">
    <w:name w:val="Основной текст (22)"/>
    <w:basedOn w:val="a"/>
    <w:link w:val="221"/>
    <w:uiPriority w:val="99"/>
    <w:rsid w:val="008561EF"/>
    <w:pPr>
      <w:shd w:val="clear" w:color="auto" w:fill="FFFFFF"/>
      <w:spacing w:after="0" w:line="197" w:lineRule="exact"/>
      <w:jc w:val="both"/>
    </w:pPr>
    <w:rPr>
      <w:rFonts w:ascii="Arial Narrow" w:hAnsi="Arial Narrow" w:cs="Arial Narrow"/>
      <w:b/>
      <w:bCs/>
      <w:sz w:val="18"/>
      <w:szCs w:val="18"/>
      <w:lang w:eastAsia="ru-RU"/>
    </w:rPr>
  </w:style>
  <w:style w:type="character" w:customStyle="1" w:styleId="251">
    <w:name w:val="Основной текст + Курсив25"/>
    <w:basedOn w:val="a0"/>
    <w:uiPriority w:val="99"/>
    <w:rsid w:val="008561EF"/>
    <w:rPr>
      <w:rFonts w:ascii="Arial Narrow" w:hAnsi="Arial Narrow" w:cs="Arial Narrow"/>
      <w:i/>
      <w:iCs/>
      <w:spacing w:val="0"/>
      <w:sz w:val="18"/>
      <w:szCs w:val="18"/>
      <w:shd w:val="clear" w:color="auto" w:fill="FFFFFF"/>
    </w:rPr>
  </w:style>
  <w:style w:type="character" w:customStyle="1" w:styleId="223">
    <w:name w:val="Основной текст (22) + Не полужирный3"/>
    <w:basedOn w:val="221"/>
    <w:uiPriority w:val="99"/>
    <w:rsid w:val="008561EF"/>
    <w:rPr>
      <w:rFonts w:ascii="Arial Narrow" w:hAnsi="Arial Narrow" w:cs="Arial Narrow"/>
      <w:b w:val="0"/>
      <w:bCs w:val="0"/>
      <w:spacing w:val="0"/>
      <w:sz w:val="18"/>
      <w:szCs w:val="18"/>
      <w:shd w:val="clear" w:color="auto" w:fill="FFFFFF"/>
    </w:rPr>
  </w:style>
  <w:style w:type="character" w:customStyle="1" w:styleId="229">
    <w:name w:val="Основной текст (22) + 9"/>
    <w:aliases w:val="5 pt48,Интервал 0 pt33"/>
    <w:basedOn w:val="221"/>
    <w:uiPriority w:val="99"/>
    <w:rsid w:val="008561EF"/>
    <w:rPr>
      <w:rFonts w:ascii="Arial Narrow" w:hAnsi="Arial Narrow" w:cs="Arial Narrow"/>
      <w:b/>
      <w:bCs/>
      <w:spacing w:val="-10"/>
      <w:sz w:val="19"/>
      <w:szCs w:val="19"/>
      <w:shd w:val="clear" w:color="auto" w:fill="FFFFFF"/>
    </w:rPr>
  </w:style>
  <w:style w:type="character" w:customStyle="1" w:styleId="122">
    <w:name w:val="Основной текст12"/>
    <w:basedOn w:val="aff"/>
    <w:rsid w:val="002735B1"/>
    <w:rPr>
      <w:rFonts w:ascii="Arial" w:eastAsia="Arial" w:hAnsi="Arial" w:cs="Arial"/>
      <w:b w:val="0"/>
      <w:bCs w:val="0"/>
      <w:i w:val="0"/>
      <w:iCs w:val="0"/>
      <w:smallCaps w:val="0"/>
      <w:strike w:val="0"/>
      <w:spacing w:val="0"/>
      <w:sz w:val="18"/>
      <w:szCs w:val="18"/>
      <w:shd w:val="clear" w:color="auto" w:fill="FFFFFF"/>
    </w:rPr>
  </w:style>
  <w:style w:type="character" w:customStyle="1" w:styleId="131">
    <w:name w:val="Основной текст13"/>
    <w:basedOn w:val="aff"/>
    <w:rsid w:val="002735B1"/>
    <w:rPr>
      <w:rFonts w:ascii="Arial" w:eastAsia="Arial" w:hAnsi="Arial" w:cs="Arial"/>
      <w:b w:val="0"/>
      <w:bCs w:val="0"/>
      <w:i w:val="0"/>
      <w:iCs w:val="0"/>
      <w:smallCaps w:val="0"/>
      <w:strike w:val="0"/>
      <w:spacing w:val="0"/>
      <w:sz w:val="18"/>
      <w:szCs w:val="18"/>
      <w:u w:val="single"/>
      <w:shd w:val="clear" w:color="auto" w:fill="FFFFFF"/>
    </w:rPr>
  </w:style>
  <w:style w:type="character" w:customStyle="1" w:styleId="142">
    <w:name w:val="Основной текст14"/>
    <w:basedOn w:val="aff"/>
    <w:rsid w:val="002735B1"/>
    <w:rPr>
      <w:rFonts w:ascii="Arial" w:eastAsia="Arial" w:hAnsi="Arial" w:cs="Arial"/>
      <w:b w:val="0"/>
      <w:bCs w:val="0"/>
      <w:i w:val="0"/>
      <w:iCs w:val="0"/>
      <w:smallCaps w:val="0"/>
      <w:strike w:val="0"/>
      <w:spacing w:val="0"/>
      <w:sz w:val="18"/>
      <w:szCs w:val="18"/>
      <w:shd w:val="clear" w:color="auto" w:fill="FFFFFF"/>
    </w:rPr>
  </w:style>
  <w:style w:type="character" w:customStyle="1" w:styleId="0pt0">
    <w:name w:val="Основной текст + Полужирный;Интервал 0 pt"/>
    <w:basedOn w:val="aff"/>
    <w:rsid w:val="00DF471F"/>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caps">
    <w:name w:val="caps"/>
    <w:basedOn w:val="a0"/>
    <w:rsid w:val="00A20FF6"/>
  </w:style>
  <w:style w:type="character" w:customStyle="1" w:styleId="115">
    <w:name w:val="Основной текст11"/>
    <w:basedOn w:val="aff"/>
    <w:rsid w:val="00CC0809"/>
    <w:rPr>
      <w:rFonts w:ascii="Arial" w:eastAsia="Arial" w:hAnsi="Arial" w:cs="Arial"/>
      <w:b w:val="0"/>
      <w:bCs w:val="0"/>
      <w:i w:val="0"/>
      <w:iCs w:val="0"/>
      <w:smallCaps w:val="0"/>
      <w:strike w:val="0"/>
      <w:spacing w:val="0"/>
      <w:sz w:val="18"/>
      <w:szCs w:val="18"/>
      <w:shd w:val="clear" w:color="auto" w:fill="FFFFFF"/>
    </w:rPr>
  </w:style>
  <w:style w:type="character" w:customStyle="1" w:styleId="85pt">
    <w:name w:val="Основной текст + 8;5 pt;Полужирный;Малые прописные"/>
    <w:basedOn w:val="aff"/>
    <w:rsid w:val="00CC0809"/>
    <w:rPr>
      <w:rFonts w:ascii="Arial" w:eastAsia="Arial" w:hAnsi="Arial" w:cs="Arial"/>
      <w:b/>
      <w:bCs/>
      <w:i w:val="0"/>
      <w:iCs w:val="0"/>
      <w:smallCaps/>
      <w:strike w:val="0"/>
      <w:spacing w:val="0"/>
      <w:sz w:val="17"/>
      <w:szCs w:val="17"/>
      <w:u w:val="single"/>
      <w:shd w:val="clear" w:color="auto" w:fill="FFFFFF"/>
    </w:rPr>
  </w:style>
  <w:style w:type="character" w:customStyle="1" w:styleId="151">
    <w:name w:val="Основной текст15"/>
    <w:basedOn w:val="aff"/>
    <w:rsid w:val="004949ED"/>
    <w:rPr>
      <w:rFonts w:ascii="Arial" w:eastAsia="Arial" w:hAnsi="Arial" w:cs="Arial"/>
      <w:b w:val="0"/>
      <w:bCs w:val="0"/>
      <w:i w:val="0"/>
      <w:iCs w:val="0"/>
      <w:smallCaps w:val="0"/>
      <w:strike w:val="0"/>
      <w:spacing w:val="0"/>
      <w:sz w:val="18"/>
      <w:szCs w:val="18"/>
      <w:u w:val="single"/>
      <w:shd w:val="clear" w:color="auto" w:fill="FFFFFF"/>
    </w:rPr>
  </w:style>
  <w:style w:type="paragraph" w:customStyle="1" w:styleId="book">
    <w:name w:val="book"/>
    <w:basedOn w:val="a"/>
    <w:rsid w:val="00E6267E"/>
    <w:pPr>
      <w:spacing w:before="100" w:beforeAutospacing="1" w:after="100" w:afterAutospacing="1" w:line="240" w:lineRule="auto"/>
    </w:pPr>
    <w:rPr>
      <w:rFonts w:ascii="Times New Roman" w:eastAsia="Times New Roman" w:hAnsi="Times New Roman"/>
      <w:color w:val="000000"/>
      <w:sz w:val="24"/>
      <w:szCs w:val="24"/>
      <w:lang w:eastAsia="ru-RU"/>
    </w:rPr>
  </w:style>
  <w:style w:type="character" w:customStyle="1" w:styleId="3a">
    <w:name w:val="Заголовок №3_"/>
    <w:basedOn w:val="a0"/>
    <w:link w:val="38"/>
    <w:locked/>
    <w:rsid w:val="00AB2091"/>
    <w:rPr>
      <w:rFonts w:ascii="Times New Roman" w:hAnsi="Times New Roman"/>
      <w:spacing w:val="40"/>
      <w:sz w:val="52"/>
      <w:szCs w:val="52"/>
      <w:shd w:val="clear" w:color="auto" w:fill="FFFFFF"/>
      <w:lang w:eastAsia="en-US"/>
    </w:rPr>
  </w:style>
  <w:style w:type="character" w:customStyle="1" w:styleId="5a">
    <w:name w:val="Основной текст5"/>
    <w:basedOn w:val="a0"/>
    <w:rsid w:val="00C23498"/>
    <w:rPr>
      <w:rFonts w:ascii="Times New Roman" w:eastAsia="Times New Roman" w:hAnsi="Times New Roman" w:cs="Times New Roman"/>
      <w:shd w:val="clear" w:color="auto" w:fill="FFFFFF"/>
    </w:rPr>
  </w:style>
  <w:style w:type="character" w:customStyle="1" w:styleId="w">
    <w:name w:val="w"/>
    <w:basedOn w:val="a0"/>
    <w:rsid w:val="0037491A"/>
  </w:style>
  <w:style w:type="paragraph" w:customStyle="1" w:styleId="src">
    <w:name w:val="src"/>
    <w:basedOn w:val="a"/>
    <w:rsid w:val="0037491A"/>
    <w:pPr>
      <w:spacing w:after="225" w:line="240" w:lineRule="auto"/>
    </w:pPr>
    <w:rPr>
      <w:rFonts w:ascii="Times New Roman" w:eastAsia="Times New Roman" w:hAnsi="Times New Roman"/>
      <w:sz w:val="24"/>
      <w:szCs w:val="24"/>
      <w:lang w:eastAsia="ru-RU"/>
    </w:rPr>
  </w:style>
  <w:style w:type="character" w:customStyle="1" w:styleId="src2">
    <w:name w:val="src2"/>
    <w:basedOn w:val="a0"/>
    <w:rsid w:val="0037491A"/>
  </w:style>
  <w:style w:type="character" w:customStyle="1" w:styleId="70">
    <w:name w:val="Основной текст (7)_"/>
    <w:basedOn w:val="a0"/>
    <w:link w:val="7"/>
    <w:uiPriority w:val="99"/>
    <w:rsid w:val="00D607A5"/>
    <w:rPr>
      <w:rFonts w:ascii="Arial Unicode MS" w:eastAsia="Arial Unicode MS" w:hAnsi="Times New Roman" w:cs="Arial Unicode MS"/>
      <w:spacing w:val="20"/>
      <w:sz w:val="25"/>
      <w:szCs w:val="25"/>
      <w:shd w:val="clear" w:color="auto" w:fill="FFFFFF"/>
      <w:lang w:eastAsia="en-US"/>
    </w:rPr>
  </w:style>
  <w:style w:type="character" w:customStyle="1" w:styleId="171">
    <w:name w:val="Основной текст17"/>
    <w:basedOn w:val="aff"/>
    <w:rsid w:val="00F01A58"/>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ArialUnicodeMS7pt0pt">
    <w:name w:val="Основной текст + Arial Unicode MS;7 pt;Полужирный;Курсив;Интервал 0 pt"/>
    <w:basedOn w:val="aff"/>
    <w:rsid w:val="00F5308A"/>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atang65pt0pt">
    <w:name w:val="Основной текст + Batang;6;5 pt;Полужирный;Интервал 0 pt"/>
    <w:basedOn w:val="aff"/>
    <w:rsid w:val="00F40724"/>
    <w:rPr>
      <w:rFonts w:ascii="Batang" w:eastAsia="Batang" w:hAnsi="Batang" w:cs="Batang"/>
      <w:b/>
      <w:bCs/>
      <w:i w:val="0"/>
      <w:iCs w:val="0"/>
      <w:smallCaps w:val="0"/>
      <w:strike w:val="0"/>
      <w:spacing w:val="10"/>
      <w:sz w:val="13"/>
      <w:szCs w:val="13"/>
      <w:shd w:val="clear" w:color="auto" w:fill="FFFFFF"/>
    </w:rPr>
  </w:style>
  <w:style w:type="character" w:customStyle="1" w:styleId="4b">
    <w:name w:val="Основной текст (4) + Не курсив"/>
    <w:basedOn w:val="46"/>
    <w:rsid w:val="00A03E14"/>
    <w:rPr>
      <w:rFonts w:ascii="Arial Narrow" w:eastAsia="Arial Narrow" w:hAnsi="Arial Narrow" w:cs="Arial Narrow"/>
      <w:b w:val="0"/>
      <w:bCs w:val="0"/>
      <w:i/>
      <w:iCs/>
      <w:smallCaps w:val="0"/>
      <w:strike w:val="0"/>
      <w:spacing w:val="0"/>
      <w:sz w:val="18"/>
      <w:szCs w:val="18"/>
      <w:shd w:val="clear" w:color="auto" w:fill="FFFFFF"/>
    </w:rPr>
  </w:style>
  <w:style w:type="paragraph" w:customStyle="1" w:styleId="all-par">
    <w:name w:val="all-par"/>
    <w:basedOn w:val="a"/>
    <w:rsid w:val="00BB1BC5"/>
    <w:pPr>
      <w:spacing w:before="45" w:after="90" w:line="360" w:lineRule="auto"/>
      <w:ind w:left="30" w:right="30" w:firstLine="375"/>
      <w:jc w:val="both"/>
    </w:pPr>
    <w:rPr>
      <w:rFonts w:ascii="Times New Roman" w:eastAsia="Times New Roman" w:hAnsi="Times New Roman"/>
      <w:sz w:val="24"/>
      <w:szCs w:val="24"/>
      <w:lang w:eastAsia="ru-RU"/>
    </w:rPr>
  </w:style>
  <w:style w:type="character" w:customStyle="1" w:styleId="ArialNarrow13">
    <w:name w:val="Основной текст + Arial Narrow13"/>
    <w:aliases w:val="Полужирный22"/>
    <w:basedOn w:val="a0"/>
    <w:uiPriority w:val="99"/>
    <w:rsid w:val="00F167B2"/>
    <w:rPr>
      <w:rFonts w:ascii="Arial Narrow" w:hAnsi="Arial Narrow" w:cs="Arial Narrow"/>
      <w:b/>
      <w:bCs/>
      <w:spacing w:val="0"/>
      <w:w w:val="100"/>
      <w:sz w:val="18"/>
      <w:szCs w:val="18"/>
      <w:shd w:val="clear" w:color="auto" w:fill="FFFFFF"/>
    </w:rPr>
  </w:style>
  <w:style w:type="paragraph" w:styleId="affc">
    <w:name w:val="endnote text"/>
    <w:basedOn w:val="a"/>
    <w:link w:val="affd"/>
    <w:uiPriority w:val="99"/>
    <w:semiHidden/>
    <w:unhideWhenUsed/>
    <w:rsid w:val="00F167B2"/>
    <w:pPr>
      <w:spacing w:after="0" w:line="240" w:lineRule="auto"/>
    </w:pPr>
    <w:rPr>
      <w:sz w:val="20"/>
      <w:szCs w:val="20"/>
    </w:rPr>
  </w:style>
  <w:style w:type="character" w:customStyle="1" w:styleId="affd">
    <w:name w:val="Текст концевой сноски Знак"/>
    <w:basedOn w:val="a0"/>
    <w:link w:val="affc"/>
    <w:uiPriority w:val="99"/>
    <w:semiHidden/>
    <w:rsid w:val="00F167B2"/>
    <w:rPr>
      <w:lang w:eastAsia="en-US"/>
    </w:rPr>
  </w:style>
  <w:style w:type="paragraph" w:styleId="affe">
    <w:name w:val="Balloon Text"/>
    <w:basedOn w:val="a"/>
    <w:link w:val="afff"/>
    <w:uiPriority w:val="99"/>
    <w:semiHidden/>
    <w:unhideWhenUsed/>
    <w:rsid w:val="003B5891"/>
    <w:pPr>
      <w:spacing w:after="0" w:line="240" w:lineRule="auto"/>
    </w:pPr>
    <w:rPr>
      <w:rFonts w:ascii="Tahoma" w:hAnsi="Tahoma" w:cs="Tahoma"/>
      <w:sz w:val="16"/>
      <w:szCs w:val="16"/>
    </w:rPr>
  </w:style>
  <w:style w:type="character" w:customStyle="1" w:styleId="afff">
    <w:name w:val="Текст выноски Знак"/>
    <w:basedOn w:val="a0"/>
    <w:link w:val="affe"/>
    <w:uiPriority w:val="99"/>
    <w:semiHidden/>
    <w:rsid w:val="003B5891"/>
    <w:rPr>
      <w:rFonts w:ascii="Tahoma" w:hAnsi="Tahoma" w:cs="Tahoma"/>
      <w:sz w:val="16"/>
      <w:szCs w:val="16"/>
      <w:lang w:eastAsia="en-US"/>
    </w:rPr>
  </w:style>
  <w:style w:type="table" w:styleId="afff0">
    <w:name w:val="Table Grid"/>
    <w:basedOn w:val="a1"/>
    <w:uiPriority w:val="59"/>
    <w:rsid w:val="009047B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f1">
    <w:name w:val="No Spacing"/>
    <w:basedOn w:val="a"/>
    <w:uiPriority w:val="1"/>
    <w:qFormat/>
    <w:rsid w:val="00AC6AC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E0749E"/>
    <w:pPr>
      <w:spacing w:before="100" w:beforeAutospacing="1" w:after="100" w:afterAutospacing="1" w:line="240" w:lineRule="auto"/>
    </w:pPr>
    <w:rPr>
      <w:rFonts w:ascii="Times New Roman" w:eastAsia="Times New Roman" w:hAnsi="Times New Roman"/>
      <w:sz w:val="24"/>
      <w:szCs w:val="24"/>
      <w:lang w:eastAsia="ru-RU"/>
    </w:rPr>
  </w:style>
  <w:style w:type="paragraph" w:styleId="HTML2">
    <w:name w:val="HTML Address"/>
    <w:basedOn w:val="a"/>
    <w:link w:val="HTML3"/>
    <w:uiPriority w:val="99"/>
    <w:semiHidden/>
    <w:unhideWhenUsed/>
    <w:rsid w:val="00E0749E"/>
    <w:pPr>
      <w:spacing w:after="0" w:line="240" w:lineRule="auto"/>
    </w:pPr>
    <w:rPr>
      <w:rFonts w:ascii="Times New Roman" w:eastAsia="Times New Roman" w:hAnsi="Times New Roman"/>
      <w:i/>
      <w:iCs/>
      <w:sz w:val="24"/>
      <w:szCs w:val="24"/>
      <w:lang w:eastAsia="ru-RU"/>
    </w:rPr>
  </w:style>
  <w:style w:type="character" w:customStyle="1" w:styleId="HTML3">
    <w:name w:val="Адрес HTML Знак"/>
    <w:basedOn w:val="a0"/>
    <w:link w:val="HTML2"/>
    <w:uiPriority w:val="99"/>
    <w:semiHidden/>
    <w:rsid w:val="00E0749E"/>
    <w:rPr>
      <w:rFonts w:ascii="Times New Roman" w:eastAsia="Times New Roman" w:hAnsi="Times New Roman"/>
      <w:i/>
      <w:iCs/>
      <w:sz w:val="24"/>
      <w:szCs w:val="24"/>
    </w:rPr>
  </w:style>
  <w:style w:type="character" w:customStyle="1" w:styleId="2a">
    <w:name w:val="Основной текст (2)_"/>
    <w:basedOn w:val="a0"/>
    <w:link w:val="28"/>
    <w:rsid w:val="002B79A4"/>
    <w:rPr>
      <w:rFonts w:ascii="Segoe UI" w:hAnsi="Segoe UI" w:cs="Segoe UI"/>
      <w:sz w:val="13"/>
      <w:szCs w:val="13"/>
      <w:shd w:val="clear" w:color="auto" w:fill="FFFFFF"/>
      <w:lang w:eastAsia="en-US"/>
    </w:rPr>
  </w:style>
  <w:style w:type="character" w:customStyle="1" w:styleId="640">
    <w:name w:val="Основной текст64"/>
    <w:basedOn w:val="aff"/>
    <w:rsid w:val="0030415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520">
    <w:name w:val="Основной текст52"/>
    <w:basedOn w:val="a"/>
    <w:rsid w:val="000875A5"/>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afff2">
    <w:name w:val="Другое_"/>
    <w:basedOn w:val="a0"/>
    <w:link w:val="afff3"/>
    <w:rsid w:val="00F866B7"/>
    <w:rPr>
      <w:rFonts w:ascii="Arial" w:eastAsia="Arial" w:hAnsi="Arial" w:cs="Arial"/>
      <w:sz w:val="17"/>
      <w:szCs w:val="17"/>
    </w:rPr>
  </w:style>
  <w:style w:type="paragraph" w:customStyle="1" w:styleId="afff3">
    <w:name w:val="Другое"/>
    <w:basedOn w:val="a"/>
    <w:link w:val="afff2"/>
    <w:rsid w:val="00F866B7"/>
    <w:pPr>
      <w:widowControl w:val="0"/>
      <w:spacing w:after="0" w:line="240" w:lineRule="auto"/>
      <w:ind w:firstLine="180"/>
    </w:pPr>
    <w:rPr>
      <w:rFonts w:ascii="Arial" w:eastAsia="Arial" w:hAnsi="Arial" w:cs="Arial"/>
      <w:sz w:val="17"/>
      <w:szCs w:val="17"/>
      <w:lang w:eastAsia="ru-RU"/>
    </w:rPr>
  </w:style>
  <w:style w:type="character" w:customStyle="1" w:styleId="820">
    <w:name w:val="Основной текст82"/>
    <w:basedOn w:val="aff"/>
    <w:rsid w:val="0027010B"/>
    <w:rPr>
      <w:rFonts w:ascii="Segoe UI" w:eastAsia="Segoe UI" w:hAnsi="Segoe UI" w:cs="Segoe UI"/>
      <w:b w:val="0"/>
      <w:bCs w:val="0"/>
      <w:i w:val="0"/>
      <w:iCs w:val="0"/>
      <w:smallCaps w:val="0"/>
      <w:strike w:val="0"/>
      <w:spacing w:val="0"/>
      <w:sz w:val="14"/>
      <w:szCs w:val="14"/>
      <w:shd w:val="clear" w:color="auto" w:fill="FFFFFF"/>
    </w:rPr>
  </w:style>
  <w:style w:type="paragraph" w:customStyle="1" w:styleId="116">
    <w:name w:val="Основной текст116"/>
    <w:basedOn w:val="a"/>
    <w:rsid w:val="0027010B"/>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830">
    <w:name w:val="Основной текст83"/>
    <w:basedOn w:val="aff"/>
    <w:rsid w:val="00C70137"/>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
    <w:name w:val="Основной текст84"/>
    <w:basedOn w:val="aff"/>
    <w:rsid w:val="00C70137"/>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3">
    <w:name w:val="Сноска_"/>
    <w:basedOn w:val="a0"/>
    <w:link w:val="aff2"/>
    <w:rsid w:val="006551DA"/>
    <w:rPr>
      <w:rFonts w:ascii="Lucida Sans Unicode" w:hAnsi="Lucida Sans Unicode" w:cs="Lucida Sans Unicode"/>
      <w:i/>
      <w:iCs/>
      <w:noProof/>
      <w:sz w:val="13"/>
      <w:szCs w:val="13"/>
      <w:shd w:val="clear" w:color="auto" w:fill="FFFFFF"/>
      <w:lang w:val="en-US" w:eastAsia="en-US"/>
    </w:rPr>
  </w:style>
  <w:style w:type="character" w:customStyle="1" w:styleId="aff9">
    <w:name w:val="Подпись к картинке_"/>
    <w:basedOn w:val="a0"/>
    <w:link w:val="aff8"/>
    <w:rsid w:val="00EC436A"/>
    <w:rPr>
      <w:rFonts w:ascii="MS Reference Sans Serif" w:hAnsi="MS Reference Sans Serif" w:cs="MS Reference Sans Serif"/>
      <w:b/>
      <w:bCs/>
      <w:sz w:val="13"/>
      <w:szCs w:val="13"/>
      <w:shd w:val="clear" w:color="auto" w:fill="FFFFFF"/>
      <w:lang w:eastAsia="en-US"/>
    </w:rPr>
  </w:style>
  <w:style w:type="paragraph" w:customStyle="1" w:styleId="TableParagraph">
    <w:name w:val="Table Paragraph"/>
    <w:basedOn w:val="a"/>
    <w:uiPriority w:val="1"/>
    <w:qFormat/>
    <w:rsid w:val="000C39A0"/>
    <w:pPr>
      <w:widowControl w:val="0"/>
      <w:autoSpaceDE w:val="0"/>
      <w:autoSpaceDN w:val="0"/>
      <w:adjustRightInd w:val="0"/>
      <w:spacing w:before="24" w:after="0" w:line="240" w:lineRule="auto"/>
      <w:ind w:left="54"/>
      <w:jc w:val="center"/>
    </w:pPr>
    <w:rPr>
      <w:rFonts w:ascii="Cambria" w:eastAsiaTheme="minorEastAsia" w:hAnsi="Cambria" w:cs="Cambria"/>
      <w:sz w:val="24"/>
      <w:szCs w:val="24"/>
      <w:lang w:eastAsia="ru-RU"/>
    </w:rPr>
  </w:style>
  <w:style w:type="character" w:customStyle="1" w:styleId="article-statdate">
    <w:name w:val="article-stat__date"/>
    <w:basedOn w:val="a0"/>
    <w:rsid w:val="000C7D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74061">
      <w:bodyDiv w:val="1"/>
      <w:marLeft w:val="0"/>
      <w:marRight w:val="0"/>
      <w:marTop w:val="0"/>
      <w:marBottom w:val="0"/>
      <w:divBdr>
        <w:top w:val="none" w:sz="0" w:space="0" w:color="auto"/>
        <w:left w:val="none" w:sz="0" w:space="0" w:color="auto"/>
        <w:bottom w:val="none" w:sz="0" w:space="0" w:color="auto"/>
        <w:right w:val="none" w:sz="0" w:space="0" w:color="auto"/>
      </w:divBdr>
      <w:divsChild>
        <w:div w:id="1767459879">
          <w:marLeft w:val="0"/>
          <w:marRight w:val="0"/>
          <w:marTop w:val="0"/>
          <w:marBottom w:val="0"/>
          <w:divBdr>
            <w:top w:val="none" w:sz="0" w:space="0" w:color="auto"/>
            <w:left w:val="none" w:sz="0" w:space="0" w:color="auto"/>
            <w:bottom w:val="none" w:sz="0" w:space="0" w:color="auto"/>
            <w:right w:val="none" w:sz="0" w:space="0" w:color="auto"/>
          </w:divBdr>
          <w:divsChild>
            <w:div w:id="67314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26866">
      <w:bodyDiv w:val="1"/>
      <w:marLeft w:val="0"/>
      <w:marRight w:val="0"/>
      <w:marTop w:val="0"/>
      <w:marBottom w:val="0"/>
      <w:divBdr>
        <w:top w:val="none" w:sz="0" w:space="0" w:color="auto"/>
        <w:left w:val="none" w:sz="0" w:space="0" w:color="auto"/>
        <w:bottom w:val="none" w:sz="0" w:space="0" w:color="auto"/>
        <w:right w:val="none" w:sz="0" w:space="0" w:color="auto"/>
      </w:divBdr>
      <w:divsChild>
        <w:div w:id="585653026">
          <w:marLeft w:val="0"/>
          <w:marRight w:val="0"/>
          <w:marTop w:val="0"/>
          <w:marBottom w:val="0"/>
          <w:divBdr>
            <w:top w:val="none" w:sz="0" w:space="0" w:color="auto"/>
            <w:left w:val="none" w:sz="0" w:space="0" w:color="auto"/>
            <w:bottom w:val="none" w:sz="0" w:space="0" w:color="auto"/>
            <w:right w:val="none" w:sz="0" w:space="0" w:color="auto"/>
          </w:divBdr>
          <w:divsChild>
            <w:div w:id="62006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68761">
      <w:bodyDiv w:val="1"/>
      <w:marLeft w:val="0"/>
      <w:marRight w:val="0"/>
      <w:marTop w:val="0"/>
      <w:marBottom w:val="0"/>
      <w:divBdr>
        <w:top w:val="none" w:sz="0" w:space="0" w:color="auto"/>
        <w:left w:val="none" w:sz="0" w:space="0" w:color="auto"/>
        <w:bottom w:val="none" w:sz="0" w:space="0" w:color="auto"/>
        <w:right w:val="none" w:sz="0" w:space="0" w:color="auto"/>
      </w:divBdr>
      <w:divsChild>
        <w:div w:id="425199980">
          <w:marLeft w:val="0"/>
          <w:marRight w:val="0"/>
          <w:marTop w:val="0"/>
          <w:marBottom w:val="0"/>
          <w:divBdr>
            <w:top w:val="none" w:sz="0" w:space="0" w:color="auto"/>
            <w:left w:val="none" w:sz="0" w:space="0" w:color="auto"/>
            <w:bottom w:val="none" w:sz="0" w:space="0" w:color="auto"/>
            <w:right w:val="none" w:sz="0" w:space="0" w:color="auto"/>
          </w:divBdr>
          <w:divsChild>
            <w:div w:id="16397626">
              <w:marLeft w:val="0"/>
              <w:marRight w:val="0"/>
              <w:marTop w:val="0"/>
              <w:marBottom w:val="0"/>
              <w:divBdr>
                <w:top w:val="none" w:sz="0" w:space="0" w:color="auto"/>
                <w:left w:val="none" w:sz="0" w:space="0" w:color="auto"/>
                <w:bottom w:val="none" w:sz="0" w:space="0" w:color="auto"/>
                <w:right w:val="none" w:sz="0" w:space="0" w:color="auto"/>
              </w:divBdr>
              <w:divsChild>
                <w:div w:id="1881896071">
                  <w:marLeft w:val="0"/>
                  <w:marRight w:val="0"/>
                  <w:marTop w:val="0"/>
                  <w:marBottom w:val="0"/>
                  <w:divBdr>
                    <w:top w:val="none" w:sz="0" w:space="0" w:color="auto"/>
                    <w:left w:val="none" w:sz="0" w:space="0" w:color="auto"/>
                    <w:bottom w:val="none" w:sz="0" w:space="0" w:color="auto"/>
                    <w:right w:val="none" w:sz="0" w:space="0" w:color="auto"/>
                  </w:divBdr>
                  <w:divsChild>
                    <w:div w:id="767433843">
                      <w:marLeft w:val="0"/>
                      <w:marRight w:val="0"/>
                      <w:marTop w:val="0"/>
                      <w:marBottom w:val="0"/>
                      <w:divBdr>
                        <w:top w:val="none" w:sz="0" w:space="0" w:color="auto"/>
                        <w:left w:val="none" w:sz="0" w:space="0" w:color="auto"/>
                        <w:bottom w:val="none" w:sz="0" w:space="0" w:color="auto"/>
                        <w:right w:val="none" w:sz="0" w:space="0" w:color="auto"/>
                      </w:divBdr>
                      <w:divsChild>
                        <w:div w:id="77135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8082706">
      <w:bodyDiv w:val="1"/>
      <w:marLeft w:val="0"/>
      <w:marRight w:val="0"/>
      <w:marTop w:val="0"/>
      <w:marBottom w:val="0"/>
      <w:divBdr>
        <w:top w:val="none" w:sz="0" w:space="0" w:color="auto"/>
        <w:left w:val="none" w:sz="0" w:space="0" w:color="auto"/>
        <w:bottom w:val="none" w:sz="0" w:space="0" w:color="auto"/>
        <w:right w:val="none" w:sz="0" w:space="0" w:color="auto"/>
      </w:divBdr>
      <w:divsChild>
        <w:div w:id="1958217455">
          <w:marLeft w:val="0"/>
          <w:marRight w:val="0"/>
          <w:marTop w:val="100"/>
          <w:marBottom w:val="100"/>
          <w:divBdr>
            <w:top w:val="none" w:sz="0" w:space="0" w:color="auto"/>
            <w:left w:val="none" w:sz="0" w:space="0" w:color="auto"/>
            <w:bottom w:val="none" w:sz="0" w:space="0" w:color="auto"/>
            <w:right w:val="none" w:sz="0" w:space="0" w:color="auto"/>
          </w:divBdr>
          <w:divsChild>
            <w:div w:id="739713413">
              <w:marLeft w:val="0"/>
              <w:marRight w:val="0"/>
              <w:marTop w:val="0"/>
              <w:marBottom w:val="0"/>
              <w:divBdr>
                <w:top w:val="none" w:sz="0" w:space="0" w:color="auto"/>
                <w:left w:val="none" w:sz="0" w:space="0" w:color="auto"/>
                <w:bottom w:val="none" w:sz="0" w:space="0" w:color="auto"/>
                <w:right w:val="none" w:sz="0" w:space="0" w:color="auto"/>
              </w:divBdr>
              <w:divsChild>
                <w:div w:id="874971544">
                  <w:marLeft w:val="0"/>
                  <w:marRight w:val="0"/>
                  <w:marTop w:val="0"/>
                  <w:marBottom w:val="0"/>
                  <w:divBdr>
                    <w:top w:val="none" w:sz="0" w:space="0" w:color="auto"/>
                    <w:left w:val="none" w:sz="0" w:space="0" w:color="auto"/>
                    <w:bottom w:val="none" w:sz="0" w:space="0" w:color="auto"/>
                    <w:right w:val="none" w:sz="0" w:space="0" w:color="auto"/>
                  </w:divBdr>
                  <w:divsChild>
                    <w:div w:id="1042248470">
                      <w:marLeft w:val="0"/>
                      <w:marRight w:val="0"/>
                      <w:marTop w:val="0"/>
                      <w:marBottom w:val="0"/>
                      <w:divBdr>
                        <w:top w:val="none" w:sz="0" w:space="0" w:color="auto"/>
                        <w:left w:val="none" w:sz="0" w:space="0" w:color="auto"/>
                        <w:bottom w:val="none" w:sz="0" w:space="0" w:color="auto"/>
                        <w:right w:val="none" w:sz="0" w:space="0" w:color="auto"/>
                      </w:divBdr>
                      <w:divsChild>
                        <w:div w:id="2022127471">
                          <w:marLeft w:val="0"/>
                          <w:marRight w:val="0"/>
                          <w:marTop w:val="69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4719465">
      <w:bodyDiv w:val="1"/>
      <w:marLeft w:val="0"/>
      <w:marRight w:val="0"/>
      <w:marTop w:val="0"/>
      <w:marBottom w:val="0"/>
      <w:divBdr>
        <w:top w:val="none" w:sz="0" w:space="0" w:color="auto"/>
        <w:left w:val="none" w:sz="0" w:space="0" w:color="auto"/>
        <w:bottom w:val="none" w:sz="0" w:space="0" w:color="auto"/>
        <w:right w:val="none" w:sz="0" w:space="0" w:color="auto"/>
      </w:divBdr>
    </w:div>
    <w:div w:id="489836647">
      <w:bodyDiv w:val="1"/>
      <w:marLeft w:val="0"/>
      <w:marRight w:val="0"/>
      <w:marTop w:val="0"/>
      <w:marBottom w:val="0"/>
      <w:divBdr>
        <w:top w:val="none" w:sz="0" w:space="0" w:color="auto"/>
        <w:left w:val="none" w:sz="0" w:space="0" w:color="auto"/>
        <w:bottom w:val="none" w:sz="0" w:space="0" w:color="auto"/>
        <w:right w:val="none" w:sz="0" w:space="0" w:color="auto"/>
      </w:divBdr>
      <w:divsChild>
        <w:div w:id="218636915">
          <w:marLeft w:val="0"/>
          <w:marRight w:val="0"/>
          <w:marTop w:val="0"/>
          <w:marBottom w:val="0"/>
          <w:divBdr>
            <w:top w:val="none" w:sz="0" w:space="0" w:color="auto"/>
            <w:left w:val="none" w:sz="0" w:space="0" w:color="auto"/>
            <w:bottom w:val="none" w:sz="0" w:space="0" w:color="auto"/>
            <w:right w:val="none" w:sz="0" w:space="0" w:color="auto"/>
          </w:divBdr>
          <w:divsChild>
            <w:div w:id="604075832">
              <w:marLeft w:val="0"/>
              <w:marRight w:val="0"/>
              <w:marTop w:val="0"/>
              <w:marBottom w:val="0"/>
              <w:divBdr>
                <w:top w:val="none" w:sz="0" w:space="0" w:color="auto"/>
                <w:left w:val="none" w:sz="0" w:space="0" w:color="auto"/>
                <w:bottom w:val="none" w:sz="0" w:space="0" w:color="auto"/>
                <w:right w:val="none" w:sz="0" w:space="0" w:color="auto"/>
              </w:divBdr>
              <w:divsChild>
                <w:div w:id="1947346133">
                  <w:marLeft w:val="0"/>
                  <w:marRight w:val="0"/>
                  <w:marTop w:val="0"/>
                  <w:marBottom w:val="0"/>
                  <w:divBdr>
                    <w:top w:val="none" w:sz="0" w:space="0" w:color="auto"/>
                    <w:left w:val="none" w:sz="0" w:space="0" w:color="auto"/>
                    <w:bottom w:val="none" w:sz="0" w:space="0" w:color="auto"/>
                    <w:right w:val="none" w:sz="0" w:space="0" w:color="auto"/>
                  </w:divBdr>
                </w:div>
                <w:div w:id="318191083">
                  <w:marLeft w:val="0"/>
                  <w:marRight w:val="0"/>
                  <w:marTop w:val="0"/>
                  <w:marBottom w:val="0"/>
                  <w:divBdr>
                    <w:top w:val="none" w:sz="0" w:space="0" w:color="auto"/>
                    <w:left w:val="none" w:sz="0" w:space="0" w:color="auto"/>
                    <w:bottom w:val="none" w:sz="0" w:space="0" w:color="auto"/>
                    <w:right w:val="none" w:sz="0" w:space="0" w:color="auto"/>
                  </w:divBdr>
                </w:div>
                <w:div w:id="260796803">
                  <w:marLeft w:val="0"/>
                  <w:marRight w:val="0"/>
                  <w:marTop w:val="0"/>
                  <w:marBottom w:val="0"/>
                  <w:divBdr>
                    <w:top w:val="none" w:sz="0" w:space="0" w:color="auto"/>
                    <w:left w:val="none" w:sz="0" w:space="0" w:color="auto"/>
                    <w:bottom w:val="none" w:sz="0" w:space="0" w:color="auto"/>
                    <w:right w:val="none" w:sz="0" w:space="0" w:color="auto"/>
                  </w:divBdr>
                </w:div>
                <w:div w:id="1301689794">
                  <w:marLeft w:val="0"/>
                  <w:marRight w:val="0"/>
                  <w:marTop w:val="0"/>
                  <w:marBottom w:val="0"/>
                  <w:divBdr>
                    <w:top w:val="none" w:sz="0" w:space="0" w:color="auto"/>
                    <w:left w:val="none" w:sz="0" w:space="0" w:color="auto"/>
                    <w:bottom w:val="none" w:sz="0" w:space="0" w:color="auto"/>
                    <w:right w:val="none" w:sz="0" w:space="0" w:color="auto"/>
                  </w:divBdr>
                </w:div>
                <w:div w:id="1592741179">
                  <w:marLeft w:val="0"/>
                  <w:marRight w:val="0"/>
                  <w:marTop w:val="0"/>
                  <w:marBottom w:val="0"/>
                  <w:divBdr>
                    <w:top w:val="none" w:sz="0" w:space="0" w:color="auto"/>
                    <w:left w:val="none" w:sz="0" w:space="0" w:color="auto"/>
                    <w:bottom w:val="none" w:sz="0" w:space="0" w:color="auto"/>
                    <w:right w:val="none" w:sz="0" w:space="0" w:color="auto"/>
                  </w:divBdr>
                </w:div>
                <w:div w:id="1958170604">
                  <w:marLeft w:val="0"/>
                  <w:marRight w:val="0"/>
                  <w:marTop w:val="0"/>
                  <w:marBottom w:val="0"/>
                  <w:divBdr>
                    <w:top w:val="none" w:sz="0" w:space="0" w:color="auto"/>
                    <w:left w:val="none" w:sz="0" w:space="0" w:color="auto"/>
                    <w:bottom w:val="none" w:sz="0" w:space="0" w:color="auto"/>
                    <w:right w:val="none" w:sz="0" w:space="0" w:color="auto"/>
                  </w:divBdr>
                </w:div>
                <w:div w:id="942879168">
                  <w:marLeft w:val="0"/>
                  <w:marRight w:val="0"/>
                  <w:marTop w:val="0"/>
                  <w:marBottom w:val="0"/>
                  <w:divBdr>
                    <w:top w:val="none" w:sz="0" w:space="0" w:color="auto"/>
                    <w:left w:val="none" w:sz="0" w:space="0" w:color="auto"/>
                    <w:bottom w:val="none" w:sz="0" w:space="0" w:color="auto"/>
                    <w:right w:val="none" w:sz="0" w:space="0" w:color="auto"/>
                  </w:divBdr>
                </w:div>
                <w:div w:id="589628856">
                  <w:marLeft w:val="0"/>
                  <w:marRight w:val="0"/>
                  <w:marTop w:val="0"/>
                  <w:marBottom w:val="0"/>
                  <w:divBdr>
                    <w:top w:val="none" w:sz="0" w:space="0" w:color="auto"/>
                    <w:left w:val="none" w:sz="0" w:space="0" w:color="auto"/>
                    <w:bottom w:val="none" w:sz="0" w:space="0" w:color="auto"/>
                    <w:right w:val="none" w:sz="0" w:space="0" w:color="auto"/>
                  </w:divBdr>
                </w:div>
                <w:div w:id="1851093434">
                  <w:marLeft w:val="0"/>
                  <w:marRight w:val="0"/>
                  <w:marTop w:val="0"/>
                  <w:marBottom w:val="0"/>
                  <w:divBdr>
                    <w:top w:val="none" w:sz="0" w:space="0" w:color="auto"/>
                    <w:left w:val="none" w:sz="0" w:space="0" w:color="auto"/>
                    <w:bottom w:val="none" w:sz="0" w:space="0" w:color="auto"/>
                    <w:right w:val="none" w:sz="0" w:space="0" w:color="auto"/>
                  </w:divBdr>
                </w:div>
                <w:div w:id="271016753">
                  <w:marLeft w:val="0"/>
                  <w:marRight w:val="0"/>
                  <w:marTop w:val="0"/>
                  <w:marBottom w:val="0"/>
                  <w:divBdr>
                    <w:top w:val="none" w:sz="0" w:space="0" w:color="auto"/>
                    <w:left w:val="none" w:sz="0" w:space="0" w:color="auto"/>
                    <w:bottom w:val="none" w:sz="0" w:space="0" w:color="auto"/>
                    <w:right w:val="none" w:sz="0" w:space="0" w:color="auto"/>
                  </w:divBdr>
                </w:div>
                <w:div w:id="1840804778">
                  <w:marLeft w:val="0"/>
                  <w:marRight w:val="0"/>
                  <w:marTop w:val="0"/>
                  <w:marBottom w:val="0"/>
                  <w:divBdr>
                    <w:top w:val="none" w:sz="0" w:space="0" w:color="auto"/>
                    <w:left w:val="none" w:sz="0" w:space="0" w:color="auto"/>
                    <w:bottom w:val="none" w:sz="0" w:space="0" w:color="auto"/>
                    <w:right w:val="none" w:sz="0" w:space="0" w:color="auto"/>
                  </w:divBdr>
                </w:div>
                <w:div w:id="1854487269">
                  <w:marLeft w:val="0"/>
                  <w:marRight w:val="0"/>
                  <w:marTop w:val="0"/>
                  <w:marBottom w:val="0"/>
                  <w:divBdr>
                    <w:top w:val="none" w:sz="0" w:space="0" w:color="auto"/>
                    <w:left w:val="none" w:sz="0" w:space="0" w:color="auto"/>
                    <w:bottom w:val="none" w:sz="0" w:space="0" w:color="auto"/>
                    <w:right w:val="none" w:sz="0" w:space="0" w:color="auto"/>
                  </w:divBdr>
                </w:div>
                <w:div w:id="2059088592">
                  <w:marLeft w:val="0"/>
                  <w:marRight w:val="0"/>
                  <w:marTop w:val="0"/>
                  <w:marBottom w:val="0"/>
                  <w:divBdr>
                    <w:top w:val="none" w:sz="0" w:space="0" w:color="auto"/>
                    <w:left w:val="none" w:sz="0" w:space="0" w:color="auto"/>
                    <w:bottom w:val="none" w:sz="0" w:space="0" w:color="auto"/>
                    <w:right w:val="none" w:sz="0" w:space="0" w:color="auto"/>
                  </w:divBdr>
                </w:div>
                <w:div w:id="1671134871">
                  <w:marLeft w:val="0"/>
                  <w:marRight w:val="0"/>
                  <w:marTop w:val="0"/>
                  <w:marBottom w:val="0"/>
                  <w:divBdr>
                    <w:top w:val="none" w:sz="0" w:space="0" w:color="auto"/>
                    <w:left w:val="none" w:sz="0" w:space="0" w:color="auto"/>
                    <w:bottom w:val="none" w:sz="0" w:space="0" w:color="auto"/>
                    <w:right w:val="none" w:sz="0" w:space="0" w:color="auto"/>
                  </w:divBdr>
                </w:div>
                <w:div w:id="622274529">
                  <w:marLeft w:val="0"/>
                  <w:marRight w:val="0"/>
                  <w:marTop w:val="0"/>
                  <w:marBottom w:val="0"/>
                  <w:divBdr>
                    <w:top w:val="none" w:sz="0" w:space="0" w:color="auto"/>
                    <w:left w:val="none" w:sz="0" w:space="0" w:color="auto"/>
                    <w:bottom w:val="none" w:sz="0" w:space="0" w:color="auto"/>
                    <w:right w:val="none" w:sz="0" w:space="0" w:color="auto"/>
                  </w:divBdr>
                </w:div>
                <w:div w:id="1761246377">
                  <w:marLeft w:val="0"/>
                  <w:marRight w:val="0"/>
                  <w:marTop w:val="0"/>
                  <w:marBottom w:val="0"/>
                  <w:divBdr>
                    <w:top w:val="none" w:sz="0" w:space="0" w:color="auto"/>
                    <w:left w:val="none" w:sz="0" w:space="0" w:color="auto"/>
                    <w:bottom w:val="none" w:sz="0" w:space="0" w:color="auto"/>
                    <w:right w:val="none" w:sz="0" w:space="0" w:color="auto"/>
                  </w:divBdr>
                </w:div>
                <w:div w:id="2070767304">
                  <w:marLeft w:val="0"/>
                  <w:marRight w:val="0"/>
                  <w:marTop w:val="0"/>
                  <w:marBottom w:val="0"/>
                  <w:divBdr>
                    <w:top w:val="none" w:sz="0" w:space="0" w:color="auto"/>
                    <w:left w:val="none" w:sz="0" w:space="0" w:color="auto"/>
                    <w:bottom w:val="none" w:sz="0" w:space="0" w:color="auto"/>
                    <w:right w:val="none" w:sz="0" w:space="0" w:color="auto"/>
                  </w:divBdr>
                </w:div>
                <w:div w:id="445319741">
                  <w:marLeft w:val="0"/>
                  <w:marRight w:val="0"/>
                  <w:marTop w:val="0"/>
                  <w:marBottom w:val="0"/>
                  <w:divBdr>
                    <w:top w:val="none" w:sz="0" w:space="0" w:color="auto"/>
                    <w:left w:val="none" w:sz="0" w:space="0" w:color="auto"/>
                    <w:bottom w:val="none" w:sz="0" w:space="0" w:color="auto"/>
                    <w:right w:val="none" w:sz="0" w:space="0" w:color="auto"/>
                  </w:divBdr>
                </w:div>
                <w:div w:id="1153135787">
                  <w:marLeft w:val="0"/>
                  <w:marRight w:val="0"/>
                  <w:marTop w:val="0"/>
                  <w:marBottom w:val="0"/>
                  <w:divBdr>
                    <w:top w:val="none" w:sz="0" w:space="0" w:color="auto"/>
                    <w:left w:val="none" w:sz="0" w:space="0" w:color="auto"/>
                    <w:bottom w:val="none" w:sz="0" w:space="0" w:color="auto"/>
                    <w:right w:val="none" w:sz="0" w:space="0" w:color="auto"/>
                  </w:divBdr>
                </w:div>
                <w:div w:id="1705593722">
                  <w:marLeft w:val="0"/>
                  <w:marRight w:val="0"/>
                  <w:marTop w:val="0"/>
                  <w:marBottom w:val="0"/>
                  <w:divBdr>
                    <w:top w:val="none" w:sz="0" w:space="0" w:color="auto"/>
                    <w:left w:val="none" w:sz="0" w:space="0" w:color="auto"/>
                    <w:bottom w:val="none" w:sz="0" w:space="0" w:color="auto"/>
                    <w:right w:val="none" w:sz="0" w:space="0" w:color="auto"/>
                  </w:divBdr>
                </w:div>
                <w:div w:id="740058676">
                  <w:marLeft w:val="0"/>
                  <w:marRight w:val="0"/>
                  <w:marTop w:val="0"/>
                  <w:marBottom w:val="0"/>
                  <w:divBdr>
                    <w:top w:val="none" w:sz="0" w:space="0" w:color="auto"/>
                    <w:left w:val="none" w:sz="0" w:space="0" w:color="auto"/>
                    <w:bottom w:val="none" w:sz="0" w:space="0" w:color="auto"/>
                    <w:right w:val="none" w:sz="0" w:space="0" w:color="auto"/>
                  </w:divBdr>
                </w:div>
                <w:div w:id="2014914594">
                  <w:marLeft w:val="0"/>
                  <w:marRight w:val="0"/>
                  <w:marTop w:val="0"/>
                  <w:marBottom w:val="0"/>
                  <w:divBdr>
                    <w:top w:val="none" w:sz="0" w:space="0" w:color="auto"/>
                    <w:left w:val="none" w:sz="0" w:space="0" w:color="auto"/>
                    <w:bottom w:val="none" w:sz="0" w:space="0" w:color="auto"/>
                    <w:right w:val="none" w:sz="0" w:space="0" w:color="auto"/>
                  </w:divBdr>
                  <w:divsChild>
                    <w:div w:id="1223056791">
                      <w:marLeft w:val="0"/>
                      <w:marRight w:val="0"/>
                      <w:marTop w:val="0"/>
                      <w:marBottom w:val="0"/>
                      <w:divBdr>
                        <w:top w:val="none" w:sz="0" w:space="0" w:color="auto"/>
                        <w:left w:val="none" w:sz="0" w:space="0" w:color="auto"/>
                        <w:bottom w:val="none" w:sz="0" w:space="0" w:color="auto"/>
                        <w:right w:val="none" w:sz="0" w:space="0" w:color="auto"/>
                      </w:divBdr>
                      <w:divsChild>
                        <w:div w:id="1962952804">
                          <w:marLeft w:val="0"/>
                          <w:marRight w:val="0"/>
                          <w:marTop w:val="0"/>
                          <w:marBottom w:val="0"/>
                          <w:divBdr>
                            <w:top w:val="none" w:sz="0" w:space="0" w:color="auto"/>
                            <w:left w:val="none" w:sz="0" w:space="0" w:color="auto"/>
                            <w:bottom w:val="none" w:sz="0" w:space="0" w:color="auto"/>
                            <w:right w:val="none" w:sz="0" w:space="0" w:color="auto"/>
                          </w:divBdr>
                        </w:div>
                      </w:divsChild>
                    </w:div>
                    <w:div w:id="1101488579">
                      <w:marLeft w:val="0"/>
                      <w:marRight w:val="0"/>
                      <w:marTop w:val="0"/>
                      <w:marBottom w:val="0"/>
                      <w:divBdr>
                        <w:top w:val="none" w:sz="0" w:space="0" w:color="auto"/>
                        <w:left w:val="none" w:sz="0" w:space="0" w:color="auto"/>
                        <w:bottom w:val="none" w:sz="0" w:space="0" w:color="auto"/>
                        <w:right w:val="none" w:sz="0" w:space="0" w:color="auto"/>
                      </w:divBdr>
                      <w:divsChild>
                        <w:div w:id="209350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9513578">
      <w:bodyDiv w:val="1"/>
      <w:marLeft w:val="0"/>
      <w:marRight w:val="0"/>
      <w:marTop w:val="0"/>
      <w:marBottom w:val="0"/>
      <w:divBdr>
        <w:top w:val="none" w:sz="0" w:space="0" w:color="auto"/>
        <w:left w:val="none" w:sz="0" w:space="0" w:color="auto"/>
        <w:bottom w:val="none" w:sz="0" w:space="0" w:color="auto"/>
        <w:right w:val="none" w:sz="0" w:space="0" w:color="auto"/>
      </w:divBdr>
    </w:div>
    <w:div w:id="593367201">
      <w:bodyDiv w:val="1"/>
      <w:marLeft w:val="0"/>
      <w:marRight w:val="0"/>
      <w:marTop w:val="0"/>
      <w:marBottom w:val="0"/>
      <w:divBdr>
        <w:top w:val="none" w:sz="0" w:space="0" w:color="auto"/>
        <w:left w:val="none" w:sz="0" w:space="0" w:color="auto"/>
        <w:bottom w:val="none" w:sz="0" w:space="0" w:color="auto"/>
        <w:right w:val="none" w:sz="0" w:space="0" w:color="auto"/>
      </w:divBdr>
      <w:divsChild>
        <w:div w:id="337580354">
          <w:marLeft w:val="0"/>
          <w:marRight w:val="0"/>
          <w:marTop w:val="0"/>
          <w:marBottom w:val="0"/>
          <w:divBdr>
            <w:top w:val="none" w:sz="0" w:space="0" w:color="auto"/>
            <w:left w:val="none" w:sz="0" w:space="0" w:color="auto"/>
            <w:bottom w:val="none" w:sz="0" w:space="0" w:color="auto"/>
            <w:right w:val="none" w:sz="0" w:space="0" w:color="auto"/>
          </w:divBdr>
          <w:divsChild>
            <w:div w:id="1655602802">
              <w:marLeft w:val="0"/>
              <w:marRight w:val="0"/>
              <w:marTop w:val="0"/>
              <w:marBottom w:val="0"/>
              <w:divBdr>
                <w:top w:val="none" w:sz="0" w:space="0" w:color="auto"/>
                <w:left w:val="none" w:sz="0" w:space="0" w:color="auto"/>
                <w:bottom w:val="none" w:sz="0" w:space="0" w:color="auto"/>
                <w:right w:val="none" w:sz="0" w:space="0" w:color="auto"/>
              </w:divBdr>
              <w:divsChild>
                <w:div w:id="1561985750">
                  <w:marLeft w:val="0"/>
                  <w:marRight w:val="0"/>
                  <w:marTop w:val="0"/>
                  <w:marBottom w:val="0"/>
                  <w:divBdr>
                    <w:top w:val="none" w:sz="0" w:space="0" w:color="auto"/>
                    <w:left w:val="none" w:sz="0" w:space="0" w:color="auto"/>
                    <w:bottom w:val="none" w:sz="0" w:space="0" w:color="auto"/>
                    <w:right w:val="none" w:sz="0" w:space="0" w:color="auto"/>
                  </w:divBdr>
                  <w:divsChild>
                    <w:div w:id="1283269623">
                      <w:marLeft w:val="0"/>
                      <w:marRight w:val="-100"/>
                      <w:marTop w:val="0"/>
                      <w:marBottom w:val="0"/>
                      <w:divBdr>
                        <w:top w:val="none" w:sz="0" w:space="0" w:color="auto"/>
                        <w:left w:val="none" w:sz="0" w:space="0" w:color="auto"/>
                        <w:bottom w:val="none" w:sz="0" w:space="0" w:color="auto"/>
                        <w:right w:val="none" w:sz="0" w:space="0" w:color="auto"/>
                      </w:divBdr>
                      <w:divsChild>
                        <w:div w:id="1985507024">
                          <w:marLeft w:val="450"/>
                          <w:marRight w:val="5175"/>
                          <w:marTop w:val="0"/>
                          <w:marBottom w:val="0"/>
                          <w:divBdr>
                            <w:top w:val="none" w:sz="0" w:space="0" w:color="auto"/>
                            <w:left w:val="none" w:sz="0" w:space="0" w:color="auto"/>
                            <w:bottom w:val="none" w:sz="0" w:space="0" w:color="auto"/>
                            <w:right w:val="none" w:sz="0" w:space="0" w:color="auto"/>
                          </w:divBdr>
                          <w:divsChild>
                            <w:div w:id="433669281">
                              <w:marLeft w:val="0"/>
                              <w:marRight w:val="0"/>
                              <w:marTop w:val="375"/>
                              <w:marBottom w:val="300"/>
                              <w:divBdr>
                                <w:top w:val="none" w:sz="0" w:space="0" w:color="auto"/>
                                <w:left w:val="none" w:sz="0" w:space="0" w:color="auto"/>
                                <w:bottom w:val="none" w:sz="0" w:space="0" w:color="auto"/>
                                <w:right w:val="none" w:sz="0" w:space="0" w:color="auto"/>
                              </w:divBdr>
                              <w:divsChild>
                                <w:div w:id="1688167792">
                                  <w:marLeft w:val="0"/>
                                  <w:marRight w:val="0"/>
                                  <w:marTop w:val="0"/>
                                  <w:marBottom w:val="0"/>
                                  <w:divBdr>
                                    <w:top w:val="none" w:sz="0" w:space="0" w:color="auto"/>
                                    <w:left w:val="none" w:sz="0" w:space="0" w:color="auto"/>
                                    <w:bottom w:val="none" w:sz="0" w:space="0" w:color="auto"/>
                                    <w:right w:val="none" w:sz="0" w:space="0" w:color="auto"/>
                                  </w:divBdr>
                                  <w:divsChild>
                                    <w:div w:id="1444038253">
                                      <w:marLeft w:val="0"/>
                                      <w:marRight w:val="0"/>
                                      <w:marTop w:val="0"/>
                                      <w:marBottom w:val="0"/>
                                      <w:divBdr>
                                        <w:top w:val="none" w:sz="0" w:space="0" w:color="auto"/>
                                        <w:left w:val="none" w:sz="0" w:space="0" w:color="auto"/>
                                        <w:bottom w:val="none" w:sz="0" w:space="0" w:color="auto"/>
                                        <w:right w:val="none" w:sz="0" w:space="0" w:color="auto"/>
                                      </w:divBdr>
                                      <w:divsChild>
                                        <w:div w:id="17835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9843816">
      <w:bodyDiv w:val="1"/>
      <w:marLeft w:val="0"/>
      <w:marRight w:val="0"/>
      <w:marTop w:val="0"/>
      <w:marBottom w:val="0"/>
      <w:divBdr>
        <w:top w:val="none" w:sz="0" w:space="0" w:color="auto"/>
        <w:left w:val="none" w:sz="0" w:space="0" w:color="auto"/>
        <w:bottom w:val="none" w:sz="0" w:space="0" w:color="auto"/>
        <w:right w:val="none" w:sz="0" w:space="0" w:color="auto"/>
      </w:divBdr>
      <w:divsChild>
        <w:div w:id="318846974">
          <w:marLeft w:val="0"/>
          <w:marRight w:val="0"/>
          <w:marTop w:val="0"/>
          <w:marBottom w:val="0"/>
          <w:divBdr>
            <w:top w:val="none" w:sz="0" w:space="0" w:color="auto"/>
            <w:left w:val="none" w:sz="0" w:space="0" w:color="auto"/>
            <w:bottom w:val="none" w:sz="0" w:space="0" w:color="auto"/>
            <w:right w:val="none" w:sz="0" w:space="0" w:color="auto"/>
          </w:divBdr>
          <w:divsChild>
            <w:div w:id="965038843">
              <w:marLeft w:val="0"/>
              <w:marRight w:val="0"/>
              <w:marTop w:val="0"/>
              <w:marBottom w:val="0"/>
              <w:divBdr>
                <w:top w:val="none" w:sz="0" w:space="0" w:color="auto"/>
                <w:left w:val="none" w:sz="0" w:space="0" w:color="auto"/>
                <w:bottom w:val="none" w:sz="0" w:space="0" w:color="auto"/>
                <w:right w:val="none" w:sz="0" w:space="0" w:color="auto"/>
              </w:divBdr>
              <w:divsChild>
                <w:div w:id="1226843270">
                  <w:marLeft w:val="0"/>
                  <w:marRight w:val="0"/>
                  <w:marTop w:val="0"/>
                  <w:marBottom w:val="0"/>
                  <w:divBdr>
                    <w:top w:val="none" w:sz="0" w:space="0" w:color="auto"/>
                    <w:left w:val="none" w:sz="0" w:space="0" w:color="auto"/>
                    <w:bottom w:val="none" w:sz="0" w:space="0" w:color="auto"/>
                    <w:right w:val="none" w:sz="0" w:space="0" w:color="auto"/>
                  </w:divBdr>
                  <w:divsChild>
                    <w:div w:id="1953515807">
                      <w:marLeft w:val="0"/>
                      <w:marRight w:val="-100"/>
                      <w:marTop w:val="0"/>
                      <w:marBottom w:val="0"/>
                      <w:divBdr>
                        <w:top w:val="none" w:sz="0" w:space="0" w:color="auto"/>
                        <w:left w:val="none" w:sz="0" w:space="0" w:color="auto"/>
                        <w:bottom w:val="none" w:sz="0" w:space="0" w:color="auto"/>
                        <w:right w:val="none" w:sz="0" w:space="0" w:color="auto"/>
                      </w:divBdr>
                      <w:divsChild>
                        <w:div w:id="819467075">
                          <w:marLeft w:val="450"/>
                          <w:marRight w:val="5175"/>
                          <w:marTop w:val="0"/>
                          <w:marBottom w:val="0"/>
                          <w:divBdr>
                            <w:top w:val="none" w:sz="0" w:space="0" w:color="auto"/>
                            <w:left w:val="none" w:sz="0" w:space="0" w:color="auto"/>
                            <w:bottom w:val="none" w:sz="0" w:space="0" w:color="auto"/>
                            <w:right w:val="none" w:sz="0" w:space="0" w:color="auto"/>
                          </w:divBdr>
                          <w:divsChild>
                            <w:div w:id="362368377">
                              <w:marLeft w:val="0"/>
                              <w:marRight w:val="0"/>
                              <w:marTop w:val="375"/>
                              <w:marBottom w:val="300"/>
                              <w:divBdr>
                                <w:top w:val="none" w:sz="0" w:space="0" w:color="auto"/>
                                <w:left w:val="none" w:sz="0" w:space="0" w:color="auto"/>
                                <w:bottom w:val="none" w:sz="0" w:space="0" w:color="auto"/>
                                <w:right w:val="none" w:sz="0" w:space="0" w:color="auto"/>
                              </w:divBdr>
                              <w:divsChild>
                                <w:div w:id="654840894">
                                  <w:marLeft w:val="0"/>
                                  <w:marRight w:val="0"/>
                                  <w:marTop w:val="0"/>
                                  <w:marBottom w:val="0"/>
                                  <w:divBdr>
                                    <w:top w:val="none" w:sz="0" w:space="0" w:color="auto"/>
                                    <w:left w:val="none" w:sz="0" w:space="0" w:color="auto"/>
                                    <w:bottom w:val="none" w:sz="0" w:space="0" w:color="auto"/>
                                    <w:right w:val="none" w:sz="0" w:space="0" w:color="auto"/>
                                  </w:divBdr>
                                  <w:divsChild>
                                    <w:div w:id="833106605">
                                      <w:marLeft w:val="0"/>
                                      <w:marRight w:val="0"/>
                                      <w:marTop w:val="0"/>
                                      <w:marBottom w:val="0"/>
                                      <w:divBdr>
                                        <w:top w:val="none" w:sz="0" w:space="0" w:color="auto"/>
                                        <w:left w:val="none" w:sz="0" w:space="0" w:color="auto"/>
                                        <w:bottom w:val="none" w:sz="0" w:space="0" w:color="auto"/>
                                        <w:right w:val="none" w:sz="0" w:space="0" w:color="auto"/>
                                      </w:divBdr>
                                      <w:divsChild>
                                        <w:div w:id="127429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2703459">
      <w:bodyDiv w:val="1"/>
      <w:marLeft w:val="0"/>
      <w:marRight w:val="0"/>
      <w:marTop w:val="0"/>
      <w:marBottom w:val="0"/>
      <w:divBdr>
        <w:top w:val="none" w:sz="0" w:space="0" w:color="auto"/>
        <w:left w:val="none" w:sz="0" w:space="0" w:color="auto"/>
        <w:bottom w:val="none" w:sz="0" w:space="0" w:color="auto"/>
        <w:right w:val="none" w:sz="0" w:space="0" w:color="auto"/>
      </w:divBdr>
      <w:divsChild>
        <w:div w:id="1950315723">
          <w:marLeft w:val="0"/>
          <w:marRight w:val="0"/>
          <w:marTop w:val="0"/>
          <w:marBottom w:val="0"/>
          <w:divBdr>
            <w:top w:val="none" w:sz="0" w:space="0" w:color="auto"/>
            <w:left w:val="none" w:sz="0" w:space="0" w:color="auto"/>
            <w:bottom w:val="none" w:sz="0" w:space="0" w:color="auto"/>
            <w:right w:val="none" w:sz="0" w:space="0" w:color="auto"/>
          </w:divBdr>
          <w:divsChild>
            <w:div w:id="1217283603">
              <w:marLeft w:val="0"/>
              <w:marRight w:val="0"/>
              <w:marTop w:val="0"/>
              <w:marBottom w:val="0"/>
              <w:divBdr>
                <w:top w:val="none" w:sz="0" w:space="0" w:color="auto"/>
                <w:left w:val="none" w:sz="0" w:space="0" w:color="auto"/>
                <w:bottom w:val="none" w:sz="0" w:space="0" w:color="auto"/>
                <w:right w:val="none" w:sz="0" w:space="0" w:color="auto"/>
              </w:divBdr>
              <w:divsChild>
                <w:div w:id="622805238">
                  <w:marLeft w:val="0"/>
                  <w:marRight w:val="0"/>
                  <w:marTop w:val="0"/>
                  <w:marBottom w:val="0"/>
                  <w:divBdr>
                    <w:top w:val="none" w:sz="0" w:space="0" w:color="auto"/>
                    <w:left w:val="none" w:sz="0" w:space="0" w:color="auto"/>
                    <w:bottom w:val="none" w:sz="0" w:space="0" w:color="auto"/>
                    <w:right w:val="none" w:sz="0" w:space="0" w:color="auto"/>
                  </w:divBdr>
                  <w:divsChild>
                    <w:div w:id="65618896">
                      <w:marLeft w:val="0"/>
                      <w:marRight w:val="0"/>
                      <w:marTop w:val="0"/>
                      <w:marBottom w:val="0"/>
                      <w:divBdr>
                        <w:top w:val="none" w:sz="0" w:space="0" w:color="auto"/>
                        <w:left w:val="none" w:sz="0" w:space="0" w:color="auto"/>
                        <w:bottom w:val="none" w:sz="0" w:space="0" w:color="auto"/>
                        <w:right w:val="none" w:sz="0" w:space="0" w:color="auto"/>
                      </w:divBdr>
                      <w:divsChild>
                        <w:div w:id="1763722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5344321">
      <w:bodyDiv w:val="1"/>
      <w:marLeft w:val="0"/>
      <w:marRight w:val="0"/>
      <w:marTop w:val="0"/>
      <w:marBottom w:val="0"/>
      <w:divBdr>
        <w:top w:val="none" w:sz="0" w:space="0" w:color="auto"/>
        <w:left w:val="none" w:sz="0" w:space="0" w:color="auto"/>
        <w:bottom w:val="none" w:sz="0" w:space="0" w:color="auto"/>
        <w:right w:val="none" w:sz="0" w:space="0" w:color="auto"/>
      </w:divBdr>
      <w:divsChild>
        <w:div w:id="926421258">
          <w:marLeft w:val="0"/>
          <w:marRight w:val="0"/>
          <w:marTop w:val="0"/>
          <w:marBottom w:val="0"/>
          <w:divBdr>
            <w:top w:val="none" w:sz="0" w:space="0" w:color="auto"/>
            <w:left w:val="none" w:sz="0" w:space="0" w:color="auto"/>
            <w:bottom w:val="none" w:sz="0" w:space="0" w:color="auto"/>
            <w:right w:val="none" w:sz="0" w:space="0" w:color="auto"/>
          </w:divBdr>
          <w:divsChild>
            <w:div w:id="644899234">
              <w:marLeft w:val="0"/>
              <w:marRight w:val="0"/>
              <w:marTop w:val="0"/>
              <w:marBottom w:val="0"/>
              <w:divBdr>
                <w:top w:val="none" w:sz="0" w:space="0" w:color="auto"/>
                <w:left w:val="none" w:sz="0" w:space="0" w:color="auto"/>
                <w:bottom w:val="none" w:sz="0" w:space="0" w:color="auto"/>
                <w:right w:val="none" w:sz="0" w:space="0" w:color="auto"/>
              </w:divBdr>
              <w:divsChild>
                <w:div w:id="322469100">
                  <w:marLeft w:val="0"/>
                  <w:marRight w:val="0"/>
                  <w:marTop w:val="0"/>
                  <w:marBottom w:val="0"/>
                  <w:divBdr>
                    <w:top w:val="none" w:sz="0" w:space="0" w:color="auto"/>
                    <w:left w:val="none" w:sz="0" w:space="0" w:color="auto"/>
                    <w:bottom w:val="none" w:sz="0" w:space="0" w:color="auto"/>
                    <w:right w:val="none" w:sz="0" w:space="0" w:color="auto"/>
                  </w:divBdr>
                  <w:divsChild>
                    <w:div w:id="608895480">
                      <w:marLeft w:val="0"/>
                      <w:marRight w:val="-100"/>
                      <w:marTop w:val="0"/>
                      <w:marBottom w:val="0"/>
                      <w:divBdr>
                        <w:top w:val="none" w:sz="0" w:space="0" w:color="auto"/>
                        <w:left w:val="none" w:sz="0" w:space="0" w:color="auto"/>
                        <w:bottom w:val="none" w:sz="0" w:space="0" w:color="auto"/>
                        <w:right w:val="none" w:sz="0" w:space="0" w:color="auto"/>
                      </w:divBdr>
                      <w:divsChild>
                        <w:div w:id="1543588853">
                          <w:marLeft w:val="450"/>
                          <w:marRight w:val="5175"/>
                          <w:marTop w:val="0"/>
                          <w:marBottom w:val="0"/>
                          <w:divBdr>
                            <w:top w:val="none" w:sz="0" w:space="0" w:color="auto"/>
                            <w:left w:val="none" w:sz="0" w:space="0" w:color="auto"/>
                            <w:bottom w:val="none" w:sz="0" w:space="0" w:color="auto"/>
                            <w:right w:val="none" w:sz="0" w:space="0" w:color="auto"/>
                          </w:divBdr>
                          <w:divsChild>
                            <w:div w:id="1639915795">
                              <w:marLeft w:val="0"/>
                              <w:marRight w:val="0"/>
                              <w:marTop w:val="375"/>
                              <w:marBottom w:val="300"/>
                              <w:divBdr>
                                <w:top w:val="none" w:sz="0" w:space="0" w:color="auto"/>
                                <w:left w:val="none" w:sz="0" w:space="0" w:color="auto"/>
                                <w:bottom w:val="none" w:sz="0" w:space="0" w:color="auto"/>
                                <w:right w:val="none" w:sz="0" w:space="0" w:color="auto"/>
                              </w:divBdr>
                              <w:divsChild>
                                <w:div w:id="896934160">
                                  <w:marLeft w:val="0"/>
                                  <w:marRight w:val="0"/>
                                  <w:marTop w:val="0"/>
                                  <w:marBottom w:val="0"/>
                                  <w:divBdr>
                                    <w:top w:val="none" w:sz="0" w:space="0" w:color="auto"/>
                                    <w:left w:val="none" w:sz="0" w:space="0" w:color="auto"/>
                                    <w:bottom w:val="none" w:sz="0" w:space="0" w:color="auto"/>
                                    <w:right w:val="none" w:sz="0" w:space="0" w:color="auto"/>
                                  </w:divBdr>
                                  <w:divsChild>
                                    <w:div w:id="1103382651">
                                      <w:marLeft w:val="0"/>
                                      <w:marRight w:val="0"/>
                                      <w:marTop w:val="0"/>
                                      <w:marBottom w:val="0"/>
                                      <w:divBdr>
                                        <w:top w:val="none" w:sz="0" w:space="0" w:color="auto"/>
                                        <w:left w:val="none" w:sz="0" w:space="0" w:color="auto"/>
                                        <w:bottom w:val="none" w:sz="0" w:space="0" w:color="auto"/>
                                        <w:right w:val="none" w:sz="0" w:space="0" w:color="auto"/>
                                      </w:divBdr>
                                      <w:divsChild>
                                        <w:div w:id="138505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0584427">
      <w:bodyDiv w:val="1"/>
      <w:marLeft w:val="0"/>
      <w:marRight w:val="0"/>
      <w:marTop w:val="0"/>
      <w:marBottom w:val="0"/>
      <w:divBdr>
        <w:top w:val="none" w:sz="0" w:space="0" w:color="auto"/>
        <w:left w:val="none" w:sz="0" w:space="0" w:color="auto"/>
        <w:bottom w:val="none" w:sz="0" w:space="0" w:color="auto"/>
        <w:right w:val="none" w:sz="0" w:space="0" w:color="auto"/>
      </w:divBdr>
      <w:divsChild>
        <w:div w:id="1299458142">
          <w:marLeft w:val="0"/>
          <w:marRight w:val="0"/>
          <w:marTop w:val="0"/>
          <w:marBottom w:val="0"/>
          <w:divBdr>
            <w:top w:val="none" w:sz="0" w:space="0" w:color="auto"/>
            <w:left w:val="none" w:sz="0" w:space="0" w:color="auto"/>
            <w:bottom w:val="none" w:sz="0" w:space="0" w:color="auto"/>
            <w:right w:val="none" w:sz="0" w:space="0" w:color="auto"/>
          </w:divBdr>
          <w:divsChild>
            <w:div w:id="1560438029">
              <w:marLeft w:val="0"/>
              <w:marRight w:val="0"/>
              <w:marTop w:val="0"/>
              <w:marBottom w:val="0"/>
              <w:divBdr>
                <w:top w:val="none" w:sz="0" w:space="0" w:color="auto"/>
                <w:left w:val="none" w:sz="0" w:space="0" w:color="auto"/>
                <w:bottom w:val="none" w:sz="0" w:space="0" w:color="auto"/>
                <w:right w:val="none" w:sz="0" w:space="0" w:color="auto"/>
              </w:divBdr>
              <w:divsChild>
                <w:div w:id="1747341250">
                  <w:marLeft w:val="0"/>
                  <w:marRight w:val="0"/>
                  <w:marTop w:val="0"/>
                  <w:marBottom w:val="0"/>
                  <w:divBdr>
                    <w:top w:val="none" w:sz="0" w:space="0" w:color="auto"/>
                    <w:left w:val="none" w:sz="0" w:space="0" w:color="auto"/>
                    <w:bottom w:val="none" w:sz="0" w:space="0" w:color="auto"/>
                    <w:right w:val="none" w:sz="0" w:space="0" w:color="auto"/>
                  </w:divBdr>
                  <w:divsChild>
                    <w:div w:id="464389727">
                      <w:blockQuote w:val="1"/>
                      <w:marLeft w:val="720"/>
                      <w:marRight w:val="720"/>
                      <w:marTop w:val="100"/>
                      <w:marBottom w:val="100"/>
                      <w:divBdr>
                        <w:top w:val="none" w:sz="0" w:space="0" w:color="auto"/>
                        <w:left w:val="none" w:sz="0" w:space="0" w:color="auto"/>
                        <w:bottom w:val="none" w:sz="0" w:space="0" w:color="auto"/>
                        <w:right w:val="none" w:sz="0" w:space="0" w:color="auto"/>
                      </w:divBdr>
                    </w:div>
                    <w:div w:id="21115879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892303950">
      <w:bodyDiv w:val="1"/>
      <w:marLeft w:val="0"/>
      <w:marRight w:val="0"/>
      <w:marTop w:val="0"/>
      <w:marBottom w:val="0"/>
      <w:divBdr>
        <w:top w:val="none" w:sz="0" w:space="0" w:color="auto"/>
        <w:left w:val="none" w:sz="0" w:space="0" w:color="auto"/>
        <w:bottom w:val="none" w:sz="0" w:space="0" w:color="auto"/>
        <w:right w:val="none" w:sz="0" w:space="0" w:color="auto"/>
      </w:divBdr>
    </w:div>
    <w:div w:id="1089156852">
      <w:bodyDiv w:val="1"/>
      <w:marLeft w:val="0"/>
      <w:marRight w:val="0"/>
      <w:marTop w:val="0"/>
      <w:marBottom w:val="0"/>
      <w:divBdr>
        <w:top w:val="none" w:sz="0" w:space="0" w:color="auto"/>
        <w:left w:val="none" w:sz="0" w:space="0" w:color="auto"/>
        <w:bottom w:val="none" w:sz="0" w:space="0" w:color="auto"/>
        <w:right w:val="none" w:sz="0" w:space="0" w:color="auto"/>
      </w:divBdr>
      <w:divsChild>
        <w:div w:id="2037268976">
          <w:marLeft w:val="0"/>
          <w:marRight w:val="0"/>
          <w:marTop w:val="0"/>
          <w:marBottom w:val="0"/>
          <w:divBdr>
            <w:top w:val="none" w:sz="0" w:space="0" w:color="auto"/>
            <w:left w:val="none" w:sz="0" w:space="0" w:color="auto"/>
            <w:bottom w:val="none" w:sz="0" w:space="0" w:color="auto"/>
            <w:right w:val="none" w:sz="0" w:space="0" w:color="auto"/>
          </w:divBdr>
          <w:divsChild>
            <w:div w:id="12810739">
              <w:marLeft w:val="-225"/>
              <w:marRight w:val="-225"/>
              <w:marTop w:val="0"/>
              <w:marBottom w:val="0"/>
              <w:divBdr>
                <w:top w:val="none" w:sz="0" w:space="0" w:color="auto"/>
                <w:left w:val="none" w:sz="0" w:space="0" w:color="auto"/>
                <w:bottom w:val="none" w:sz="0" w:space="0" w:color="auto"/>
                <w:right w:val="none" w:sz="0" w:space="0" w:color="auto"/>
              </w:divBdr>
              <w:divsChild>
                <w:div w:id="203059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823442">
      <w:bodyDiv w:val="1"/>
      <w:marLeft w:val="0"/>
      <w:marRight w:val="0"/>
      <w:marTop w:val="0"/>
      <w:marBottom w:val="0"/>
      <w:divBdr>
        <w:top w:val="none" w:sz="0" w:space="0" w:color="auto"/>
        <w:left w:val="none" w:sz="0" w:space="0" w:color="auto"/>
        <w:bottom w:val="none" w:sz="0" w:space="0" w:color="auto"/>
        <w:right w:val="none" w:sz="0" w:space="0" w:color="auto"/>
      </w:divBdr>
      <w:divsChild>
        <w:div w:id="534578775">
          <w:marLeft w:val="0"/>
          <w:marRight w:val="0"/>
          <w:marTop w:val="0"/>
          <w:marBottom w:val="0"/>
          <w:divBdr>
            <w:top w:val="none" w:sz="0" w:space="0" w:color="auto"/>
            <w:left w:val="none" w:sz="0" w:space="0" w:color="auto"/>
            <w:bottom w:val="none" w:sz="0" w:space="0" w:color="auto"/>
            <w:right w:val="none" w:sz="0" w:space="0" w:color="auto"/>
          </w:divBdr>
          <w:divsChild>
            <w:div w:id="1736932178">
              <w:marLeft w:val="0"/>
              <w:marRight w:val="0"/>
              <w:marTop w:val="0"/>
              <w:marBottom w:val="0"/>
              <w:divBdr>
                <w:top w:val="none" w:sz="0" w:space="0" w:color="auto"/>
                <w:left w:val="none" w:sz="0" w:space="0" w:color="auto"/>
                <w:bottom w:val="none" w:sz="0" w:space="0" w:color="auto"/>
                <w:right w:val="none" w:sz="0" w:space="0" w:color="auto"/>
              </w:divBdr>
              <w:divsChild>
                <w:div w:id="1033576713">
                  <w:marLeft w:val="0"/>
                  <w:marRight w:val="0"/>
                  <w:marTop w:val="0"/>
                  <w:marBottom w:val="0"/>
                  <w:divBdr>
                    <w:top w:val="none" w:sz="0" w:space="0" w:color="auto"/>
                    <w:left w:val="none" w:sz="0" w:space="0" w:color="auto"/>
                    <w:bottom w:val="none" w:sz="0" w:space="0" w:color="auto"/>
                    <w:right w:val="none" w:sz="0" w:space="0" w:color="auto"/>
                  </w:divBdr>
                  <w:divsChild>
                    <w:div w:id="2066751995">
                      <w:marLeft w:val="0"/>
                      <w:marRight w:val="0"/>
                      <w:marTop w:val="0"/>
                      <w:marBottom w:val="0"/>
                      <w:divBdr>
                        <w:top w:val="none" w:sz="0" w:space="0" w:color="auto"/>
                        <w:left w:val="none" w:sz="0" w:space="0" w:color="auto"/>
                        <w:bottom w:val="none" w:sz="0" w:space="0" w:color="auto"/>
                        <w:right w:val="none" w:sz="0" w:space="0" w:color="auto"/>
                      </w:divBdr>
                      <w:divsChild>
                        <w:div w:id="76384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767081">
      <w:bodyDiv w:val="1"/>
      <w:marLeft w:val="0"/>
      <w:marRight w:val="0"/>
      <w:marTop w:val="0"/>
      <w:marBottom w:val="0"/>
      <w:divBdr>
        <w:top w:val="none" w:sz="0" w:space="0" w:color="auto"/>
        <w:left w:val="none" w:sz="0" w:space="0" w:color="auto"/>
        <w:bottom w:val="none" w:sz="0" w:space="0" w:color="auto"/>
        <w:right w:val="none" w:sz="0" w:space="0" w:color="auto"/>
      </w:divBdr>
      <w:divsChild>
        <w:div w:id="1297761617">
          <w:marLeft w:val="0"/>
          <w:marRight w:val="0"/>
          <w:marTop w:val="0"/>
          <w:marBottom w:val="0"/>
          <w:divBdr>
            <w:top w:val="none" w:sz="0" w:space="0" w:color="auto"/>
            <w:left w:val="none" w:sz="0" w:space="0" w:color="auto"/>
            <w:bottom w:val="none" w:sz="0" w:space="0" w:color="auto"/>
            <w:right w:val="none" w:sz="0" w:space="0" w:color="auto"/>
          </w:divBdr>
          <w:divsChild>
            <w:div w:id="1120994606">
              <w:marLeft w:val="0"/>
              <w:marRight w:val="0"/>
              <w:marTop w:val="0"/>
              <w:marBottom w:val="0"/>
              <w:divBdr>
                <w:top w:val="none" w:sz="0" w:space="0" w:color="auto"/>
                <w:left w:val="none" w:sz="0" w:space="0" w:color="auto"/>
                <w:bottom w:val="none" w:sz="0" w:space="0" w:color="auto"/>
                <w:right w:val="none" w:sz="0" w:space="0" w:color="auto"/>
              </w:divBdr>
              <w:divsChild>
                <w:div w:id="1782610541">
                  <w:marLeft w:val="0"/>
                  <w:marRight w:val="0"/>
                  <w:marTop w:val="0"/>
                  <w:marBottom w:val="0"/>
                  <w:divBdr>
                    <w:top w:val="none" w:sz="0" w:space="0" w:color="auto"/>
                    <w:left w:val="none" w:sz="0" w:space="0" w:color="auto"/>
                    <w:bottom w:val="none" w:sz="0" w:space="0" w:color="auto"/>
                    <w:right w:val="none" w:sz="0" w:space="0" w:color="auto"/>
                  </w:divBdr>
                  <w:divsChild>
                    <w:div w:id="682904384">
                      <w:marLeft w:val="0"/>
                      <w:marRight w:val="0"/>
                      <w:marTop w:val="0"/>
                      <w:marBottom w:val="0"/>
                      <w:divBdr>
                        <w:top w:val="none" w:sz="0" w:space="0" w:color="auto"/>
                        <w:left w:val="none" w:sz="0" w:space="0" w:color="auto"/>
                        <w:bottom w:val="none" w:sz="0" w:space="0" w:color="auto"/>
                        <w:right w:val="none" w:sz="0" w:space="0" w:color="auto"/>
                      </w:divBdr>
                      <w:divsChild>
                        <w:div w:id="15823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1946671">
      <w:bodyDiv w:val="1"/>
      <w:marLeft w:val="0"/>
      <w:marRight w:val="0"/>
      <w:marTop w:val="0"/>
      <w:marBottom w:val="0"/>
      <w:divBdr>
        <w:top w:val="none" w:sz="0" w:space="0" w:color="auto"/>
        <w:left w:val="none" w:sz="0" w:space="0" w:color="auto"/>
        <w:bottom w:val="none" w:sz="0" w:space="0" w:color="auto"/>
        <w:right w:val="none" w:sz="0" w:space="0" w:color="auto"/>
      </w:divBdr>
      <w:divsChild>
        <w:div w:id="643312214">
          <w:marLeft w:val="0"/>
          <w:marRight w:val="0"/>
          <w:marTop w:val="0"/>
          <w:marBottom w:val="0"/>
          <w:divBdr>
            <w:top w:val="none" w:sz="0" w:space="0" w:color="auto"/>
            <w:left w:val="none" w:sz="0" w:space="0" w:color="auto"/>
            <w:bottom w:val="none" w:sz="0" w:space="0" w:color="auto"/>
            <w:right w:val="none" w:sz="0" w:space="0" w:color="auto"/>
          </w:divBdr>
          <w:divsChild>
            <w:div w:id="1062602895">
              <w:marLeft w:val="0"/>
              <w:marRight w:val="0"/>
              <w:marTop w:val="450"/>
              <w:marBottom w:val="450"/>
              <w:divBdr>
                <w:top w:val="none" w:sz="0" w:space="0" w:color="auto"/>
                <w:left w:val="none" w:sz="0" w:space="0" w:color="auto"/>
                <w:bottom w:val="none" w:sz="0" w:space="0" w:color="auto"/>
                <w:right w:val="none" w:sz="0" w:space="0" w:color="auto"/>
              </w:divBdr>
              <w:divsChild>
                <w:div w:id="355736376">
                  <w:marLeft w:val="0"/>
                  <w:marRight w:val="0"/>
                  <w:marTop w:val="0"/>
                  <w:marBottom w:val="0"/>
                  <w:divBdr>
                    <w:top w:val="none" w:sz="0" w:space="0" w:color="auto"/>
                    <w:left w:val="none" w:sz="0" w:space="0" w:color="auto"/>
                    <w:bottom w:val="none" w:sz="0" w:space="0" w:color="auto"/>
                    <w:right w:val="none" w:sz="0" w:space="0" w:color="auto"/>
                  </w:divBdr>
                  <w:divsChild>
                    <w:div w:id="1612735957">
                      <w:marLeft w:val="0"/>
                      <w:marRight w:val="0"/>
                      <w:marTop w:val="0"/>
                      <w:marBottom w:val="0"/>
                      <w:divBdr>
                        <w:top w:val="none" w:sz="0" w:space="0" w:color="auto"/>
                        <w:left w:val="none" w:sz="0" w:space="0" w:color="auto"/>
                        <w:bottom w:val="none" w:sz="0" w:space="0" w:color="auto"/>
                        <w:right w:val="none" w:sz="0" w:space="0" w:color="auto"/>
                      </w:divBdr>
                      <w:divsChild>
                        <w:div w:id="1459953872">
                          <w:marLeft w:val="0"/>
                          <w:marRight w:val="0"/>
                          <w:marTop w:val="0"/>
                          <w:marBottom w:val="0"/>
                          <w:divBdr>
                            <w:top w:val="none" w:sz="0" w:space="0" w:color="auto"/>
                            <w:left w:val="none" w:sz="0" w:space="0" w:color="auto"/>
                            <w:bottom w:val="none" w:sz="0" w:space="0" w:color="auto"/>
                            <w:right w:val="none" w:sz="0" w:space="0" w:color="auto"/>
                          </w:divBdr>
                          <w:divsChild>
                            <w:div w:id="506602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622680">
                      <w:marLeft w:val="0"/>
                      <w:marRight w:val="0"/>
                      <w:marTop w:val="0"/>
                      <w:marBottom w:val="0"/>
                      <w:divBdr>
                        <w:top w:val="none" w:sz="0" w:space="0" w:color="auto"/>
                        <w:left w:val="none" w:sz="0" w:space="0" w:color="auto"/>
                        <w:bottom w:val="none" w:sz="0" w:space="0" w:color="auto"/>
                        <w:right w:val="none" w:sz="0" w:space="0" w:color="auto"/>
                      </w:divBdr>
                      <w:divsChild>
                        <w:div w:id="86852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966775">
              <w:marLeft w:val="0"/>
              <w:marRight w:val="0"/>
              <w:marTop w:val="0"/>
              <w:marBottom w:val="0"/>
              <w:divBdr>
                <w:top w:val="none" w:sz="0" w:space="0" w:color="auto"/>
                <w:left w:val="none" w:sz="0" w:space="0" w:color="auto"/>
                <w:bottom w:val="none" w:sz="0" w:space="0" w:color="auto"/>
                <w:right w:val="none" w:sz="0" w:space="0" w:color="auto"/>
              </w:divBdr>
            </w:div>
            <w:div w:id="1731999537">
              <w:marLeft w:val="0"/>
              <w:marRight w:val="0"/>
              <w:marTop w:val="0"/>
              <w:marBottom w:val="0"/>
              <w:divBdr>
                <w:top w:val="none" w:sz="0" w:space="0" w:color="auto"/>
                <w:left w:val="none" w:sz="0" w:space="0" w:color="auto"/>
                <w:bottom w:val="none" w:sz="0" w:space="0" w:color="auto"/>
                <w:right w:val="none" w:sz="0" w:space="0" w:color="auto"/>
              </w:divBdr>
              <w:divsChild>
                <w:div w:id="1290235068">
                  <w:marLeft w:val="0"/>
                  <w:marRight w:val="0"/>
                  <w:marTop w:val="0"/>
                  <w:marBottom w:val="0"/>
                  <w:divBdr>
                    <w:top w:val="none" w:sz="0" w:space="0" w:color="auto"/>
                    <w:left w:val="none" w:sz="0" w:space="0" w:color="auto"/>
                    <w:bottom w:val="none" w:sz="0" w:space="0" w:color="auto"/>
                    <w:right w:val="none" w:sz="0" w:space="0" w:color="auto"/>
                  </w:divBdr>
                </w:div>
                <w:div w:id="225532232">
                  <w:marLeft w:val="0"/>
                  <w:marRight w:val="0"/>
                  <w:marTop w:val="0"/>
                  <w:marBottom w:val="0"/>
                  <w:divBdr>
                    <w:top w:val="none" w:sz="0" w:space="0" w:color="auto"/>
                    <w:left w:val="none" w:sz="0" w:space="0" w:color="auto"/>
                    <w:bottom w:val="none" w:sz="0" w:space="0" w:color="auto"/>
                    <w:right w:val="none" w:sz="0" w:space="0" w:color="auto"/>
                  </w:divBdr>
                </w:div>
                <w:div w:id="180048554">
                  <w:marLeft w:val="0"/>
                  <w:marRight w:val="0"/>
                  <w:marTop w:val="0"/>
                  <w:marBottom w:val="0"/>
                  <w:divBdr>
                    <w:top w:val="none" w:sz="0" w:space="0" w:color="auto"/>
                    <w:left w:val="none" w:sz="0" w:space="0" w:color="auto"/>
                    <w:bottom w:val="none" w:sz="0" w:space="0" w:color="auto"/>
                    <w:right w:val="none" w:sz="0" w:space="0" w:color="auto"/>
                  </w:divBdr>
                </w:div>
              </w:divsChild>
            </w:div>
            <w:div w:id="32709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955875">
      <w:bodyDiv w:val="1"/>
      <w:marLeft w:val="0"/>
      <w:marRight w:val="0"/>
      <w:marTop w:val="0"/>
      <w:marBottom w:val="0"/>
      <w:divBdr>
        <w:top w:val="none" w:sz="0" w:space="0" w:color="auto"/>
        <w:left w:val="none" w:sz="0" w:space="0" w:color="auto"/>
        <w:bottom w:val="none" w:sz="0" w:space="0" w:color="auto"/>
        <w:right w:val="none" w:sz="0" w:space="0" w:color="auto"/>
      </w:divBdr>
      <w:divsChild>
        <w:div w:id="444079575">
          <w:marLeft w:val="0"/>
          <w:marRight w:val="0"/>
          <w:marTop w:val="0"/>
          <w:marBottom w:val="0"/>
          <w:divBdr>
            <w:top w:val="none" w:sz="0" w:space="0" w:color="auto"/>
            <w:left w:val="none" w:sz="0" w:space="0" w:color="auto"/>
            <w:bottom w:val="none" w:sz="0" w:space="0" w:color="auto"/>
            <w:right w:val="none" w:sz="0" w:space="0" w:color="auto"/>
          </w:divBdr>
          <w:divsChild>
            <w:div w:id="1277984667">
              <w:marLeft w:val="0"/>
              <w:marRight w:val="0"/>
              <w:marTop w:val="0"/>
              <w:marBottom w:val="0"/>
              <w:divBdr>
                <w:top w:val="none" w:sz="0" w:space="0" w:color="auto"/>
                <w:left w:val="none" w:sz="0" w:space="0" w:color="auto"/>
                <w:bottom w:val="none" w:sz="0" w:space="0" w:color="auto"/>
                <w:right w:val="none" w:sz="0" w:space="0" w:color="auto"/>
              </w:divBdr>
              <w:divsChild>
                <w:div w:id="112941031">
                  <w:marLeft w:val="0"/>
                  <w:marRight w:val="0"/>
                  <w:marTop w:val="0"/>
                  <w:marBottom w:val="0"/>
                  <w:divBdr>
                    <w:top w:val="none" w:sz="0" w:space="0" w:color="auto"/>
                    <w:left w:val="none" w:sz="0" w:space="0" w:color="auto"/>
                    <w:bottom w:val="none" w:sz="0" w:space="0" w:color="auto"/>
                    <w:right w:val="none" w:sz="0" w:space="0" w:color="auto"/>
                  </w:divBdr>
                  <w:divsChild>
                    <w:div w:id="1308125368">
                      <w:marLeft w:val="0"/>
                      <w:marRight w:val="0"/>
                      <w:marTop w:val="0"/>
                      <w:marBottom w:val="0"/>
                      <w:divBdr>
                        <w:top w:val="none" w:sz="0" w:space="0" w:color="auto"/>
                        <w:left w:val="none" w:sz="0" w:space="0" w:color="auto"/>
                        <w:bottom w:val="none" w:sz="0" w:space="0" w:color="auto"/>
                        <w:right w:val="none" w:sz="0" w:space="0" w:color="auto"/>
                      </w:divBdr>
                      <w:divsChild>
                        <w:div w:id="37126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3967893">
      <w:bodyDiv w:val="1"/>
      <w:marLeft w:val="0"/>
      <w:marRight w:val="0"/>
      <w:marTop w:val="0"/>
      <w:marBottom w:val="0"/>
      <w:divBdr>
        <w:top w:val="none" w:sz="0" w:space="0" w:color="auto"/>
        <w:left w:val="none" w:sz="0" w:space="0" w:color="auto"/>
        <w:bottom w:val="none" w:sz="0" w:space="0" w:color="auto"/>
        <w:right w:val="none" w:sz="0" w:space="0" w:color="auto"/>
      </w:divBdr>
      <w:divsChild>
        <w:div w:id="318507955">
          <w:marLeft w:val="0"/>
          <w:marRight w:val="0"/>
          <w:marTop w:val="0"/>
          <w:marBottom w:val="0"/>
          <w:divBdr>
            <w:top w:val="none" w:sz="0" w:space="0" w:color="auto"/>
            <w:left w:val="none" w:sz="0" w:space="0" w:color="auto"/>
            <w:bottom w:val="none" w:sz="0" w:space="0" w:color="auto"/>
            <w:right w:val="none" w:sz="0" w:space="0" w:color="auto"/>
          </w:divBdr>
          <w:divsChild>
            <w:div w:id="1146554716">
              <w:marLeft w:val="0"/>
              <w:marRight w:val="0"/>
              <w:marTop w:val="0"/>
              <w:marBottom w:val="0"/>
              <w:divBdr>
                <w:top w:val="none" w:sz="0" w:space="0" w:color="auto"/>
                <w:left w:val="none" w:sz="0" w:space="0" w:color="auto"/>
                <w:bottom w:val="none" w:sz="0" w:space="0" w:color="auto"/>
                <w:right w:val="none" w:sz="0" w:space="0" w:color="auto"/>
              </w:divBdr>
              <w:divsChild>
                <w:div w:id="614945226">
                  <w:marLeft w:val="0"/>
                  <w:marRight w:val="0"/>
                  <w:marTop w:val="0"/>
                  <w:marBottom w:val="0"/>
                  <w:divBdr>
                    <w:top w:val="none" w:sz="0" w:space="0" w:color="auto"/>
                    <w:left w:val="none" w:sz="0" w:space="0" w:color="auto"/>
                    <w:bottom w:val="none" w:sz="0" w:space="0" w:color="auto"/>
                    <w:right w:val="none" w:sz="0" w:space="0" w:color="auto"/>
                  </w:divBdr>
                  <w:divsChild>
                    <w:div w:id="1057823106">
                      <w:marLeft w:val="0"/>
                      <w:marRight w:val="0"/>
                      <w:marTop w:val="0"/>
                      <w:marBottom w:val="0"/>
                      <w:divBdr>
                        <w:top w:val="none" w:sz="0" w:space="0" w:color="auto"/>
                        <w:left w:val="none" w:sz="0" w:space="0" w:color="auto"/>
                        <w:bottom w:val="none" w:sz="0" w:space="0" w:color="auto"/>
                        <w:right w:val="none" w:sz="0" w:space="0" w:color="auto"/>
                      </w:divBdr>
                      <w:divsChild>
                        <w:div w:id="469252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2641517">
      <w:bodyDiv w:val="1"/>
      <w:marLeft w:val="0"/>
      <w:marRight w:val="0"/>
      <w:marTop w:val="0"/>
      <w:marBottom w:val="0"/>
      <w:divBdr>
        <w:top w:val="none" w:sz="0" w:space="0" w:color="auto"/>
        <w:left w:val="none" w:sz="0" w:space="0" w:color="auto"/>
        <w:bottom w:val="none" w:sz="0" w:space="0" w:color="auto"/>
        <w:right w:val="none" w:sz="0" w:space="0" w:color="auto"/>
      </w:divBdr>
      <w:divsChild>
        <w:div w:id="1753504461">
          <w:marLeft w:val="0"/>
          <w:marRight w:val="0"/>
          <w:marTop w:val="0"/>
          <w:marBottom w:val="0"/>
          <w:divBdr>
            <w:top w:val="none" w:sz="0" w:space="0" w:color="auto"/>
            <w:left w:val="none" w:sz="0" w:space="0" w:color="auto"/>
            <w:bottom w:val="none" w:sz="0" w:space="0" w:color="auto"/>
            <w:right w:val="none" w:sz="0" w:space="0" w:color="auto"/>
          </w:divBdr>
          <w:divsChild>
            <w:div w:id="168554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913505">
      <w:bodyDiv w:val="1"/>
      <w:marLeft w:val="0"/>
      <w:marRight w:val="0"/>
      <w:marTop w:val="0"/>
      <w:marBottom w:val="0"/>
      <w:divBdr>
        <w:top w:val="none" w:sz="0" w:space="0" w:color="auto"/>
        <w:left w:val="none" w:sz="0" w:space="0" w:color="auto"/>
        <w:bottom w:val="none" w:sz="0" w:space="0" w:color="auto"/>
        <w:right w:val="none" w:sz="0" w:space="0" w:color="auto"/>
      </w:divBdr>
      <w:divsChild>
        <w:div w:id="899832048">
          <w:marLeft w:val="0"/>
          <w:marRight w:val="0"/>
          <w:marTop w:val="0"/>
          <w:marBottom w:val="0"/>
          <w:divBdr>
            <w:top w:val="none" w:sz="0" w:space="0" w:color="auto"/>
            <w:left w:val="none" w:sz="0" w:space="0" w:color="auto"/>
            <w:bottom w:val="none" w:sz="0" w:space="0" w:color="auto"/>
            <w:right w:val="none" w:sz="0" w:space="0" w:color="auto"/>
          </w:divBdr>
          <w:divsChild>
            <w:div w:id="1616206344">
              <w:marLeft w:val="0"/>
              <w:marRight w:val="0"/>
              <w:marTop w:val="0"/>
              <w:marBottom w:val="0"/>
              <w:divBdr>
                <w:top w:val="none" w:sz="0" w:space="0" w:color="auto"/>
                <w:left w:val="none" w:sz="0" w:space="0" w:color="auto"/>
                <w:bottom w:val="none" w:sz="0" w:space="0" w:color="auto"/>
                <w:right w:val="none" w:sz="0" w:space="0" w:color="auto"/>
              </w:divBdr>
              <w:divsChild>
                <w:div w:id="672225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038295">
      <w:bodyDiv w:val="1"/>
      <w:marLeft w:val="0"/>
      <w:marRight w:val="0"/>
      <w:marTop w:val="0"/>
      <w:marBottom w:val="0"/>
      <w:divBdr>
        <w:top w:val="none" w:sz="0" w:space="0" w:color="auto"/>
        <w:left w:val="none" w:sz="0" w:space="0" w:color="auto"/>
        <w:bottom w:val="none" w:sz="0" w:space="0" w:color="auto"/>
        <w:right w:val="none" w:sz="0" w:space="0" w:color="auto"/>
      </w:divBdr>
      <w:divsChild>
        <w:div w:id="1429156827">
          <w:marLeft w:val="0"/>
          <w:marRight w:val="0"/>
          <w:marTop w:val="100"/>
          <w:marBottom w:val="100"/>
          <w:divBdr>
            <w:top w:val="none" w:sz="0" w:space="0" w:color="auto"/>
            <w:left w:val="none" w:sz="0" w:space="0" w:color="auto"/>
            <w:bottom w:val="none" w:sz="0" w:space="0" w:color="auto"/>
            <w:right w:val="none" w:sz="0" w:space="0" w:color="auto"/>
          </w:divBdr>
          <w:divsChild>
            <w:div w:id="1542473758">
              <w:marLeft w:val="0"/>
              <w:marRight w:val="0"/>
              <w:marTop w:val="0"/>
              <w:marBottom w:val="0"/>
              <w:divBdr>
                <w:top w:val="none" w:sz="0" w:space="0" w:color="auto"/>
                <w:left w:val="none" w:sz="0" w:space="0" w:color="auto"/>
                <w:bottom w:val="none" w:sz="0" w:space="0" w:color="auto"/>
                <w:right w:val="none" w:sz="0" w:space="0" w:color="auto"/>
              </w:divBdr>
              <w:divsChild>
                <w:div w:id="935019113">
                  <w:marLeft w:val="0"/>
                  <w:marRight w:val="0"/>
                  <w:marTop w:val="0"/>
                  <w:marBottom w:val="0"/>
                  <w:divBdr>
                    <w:top w:val="none" w:sz="0" w:space="0" w:color="auto"/>
                    <w:left w:val="none" w:sz="0" w:space="0" w:color="auto"/>
                    <w:bottom w:val="none" w:sz="0" w:space="0" w:color="auto"/>
                    <w:right w:val="none" w:sz="0" w:space="0" w:color="auto"/>
                  </w:divBdr>
                  <w:divsChild>
                    <w:div w:id="511913398">
                      <w:marLeft w:val="0"/>
                      <w:marRight w:val="0"/>
                      <w:marTop w:val="0"/>
                      <w:marBottom w:val="0"/>
                      <w:divBdr>
                        <w:top w:val="none" w:sz="0" w:space="0" w:color="auto"/>
                        <w:left w:val="none" w:sz="0" w:space="0" w:color="auto"/>
                        <w:bottom w:val="none" w:sz="0" w:space="0" w:color="auto"/>
                        <w:right w:val="none" w:sz="0" w:space="0" w:color="auto"/>
                      </w:divBdr>
                      <w:divsChild>
                        <w:div w:id="1012954288">
                          <w:marLeft w:val="0"/>
                          <w:marRight w:val="0"/>
                          <w:marTop w:val="69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7240602">
      <w:bodyDiv w:val="1"/>
      <w:marLeft w:val="0"/>
      <w:marRight w:val="0"/>
      <w:marTop w:val="0"/>
      <w:marBottom w:val="0"/>
      <w:divBdr>
        <w:top w:val="none" w:sz="0" w:space="0" w:color="auto"/>
        <w:left w:val="none" w:sz="0" w:space="0" w:color="auto"/>
        <w:bottom w:val="none" w:sz="0" w:space="0" w:color="auto"/>
        <w:right w:val="none" w:sz="0" w:space="0" w:color="auto"/>
      </w:divBdr>
      <w:divsChild>
        <w:div w:id="962687804">
          <w:marLeft w:val="0"/>
          <w:marRight w:val="0"/>
          <w:marTop w:val="0"/>
          <w:marBottom w:val="0"/>
          <w:divBdr>
            <w:top w:val="none" w:sz="0" w:space="0" w:color="auto"/>
            <w:left w:val="none" w:sz="0" w:space="0" w:color="auto"/>
            <w:bottom w:val="none" w:sz="0" w:space="0" w:color="auto"/>
            <w:right w:val="none" w:sz="0" w:space="0" w:color="auto"/>
          </w:divBdr>
          <w:divsChild>
            <w:div w:id="2070372510">
              <w:marLeft w:val="0"/>
              <w:marRight w:val="0"/>
              <w:marTop w:val="0"/>
              <w:marBottom w:val="0"/>
              <w:divBdr>
                <w:top w:val="none" w:sz="0" w:space="0" w:color="auto"/>
                <w:left w:val="none" w:sz="0" w:space="0" w:color="auto"/>
                <w:bottom w:val="none" w:sz="0" w:space="0" w:color="auto"/>
                <w:right w:val="none" w:sz="0" w:space="0" w:color="auto"/>
              </w:divBdr>
              <w:divsChild>
                <w:div w:id="1589538884">
                  <w:marLeft w:val="825"/>
                  <w:marRight w:val="375"/>
                  <w:marTop w:val="120"/>
                  <w:marBottom w:val="300"/>
                  <w:divBdr>
                    <w:top w:val="none" w:sz="0" w:space="0" w:color="auto"/>
                    <w:left w:val="none" w:sz="0" w:space="0" w:color="auto"/>
                    <w:bottom w:val="none" w:sz="0" w:space="0" w:color="auto"/>
                    <w:right w:val="none" w:sz="0" w:space="0" w:color="auto"/>
                  </w:divBdr>
                  <w:divsChild>
                    <w:div w:id="717822683">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809401082">
      <w:bodyDiv w:val="1"/>
      <w:marLeft w:val="0"/>
      <w:marRight w:val="0"/>
      <w:marTop w:val="0"/>
      <w:marBottom w:val="0"/>
      <w:divBdr>
        <w:top w:val="none" w:sz="0" w:space="0" w:color="auto"/>
        <w:left w:val="none" w:sz="0" w:space="0" w:color="auto"/>
        <w:bottom w:val="none" w:sz="0" w:space="0" w:color="auto"/>
        <w:right w:val="none" w:sz="0" w:space="0" w:color="auto"/>
      </w:divBdr>
      <w:divsChild>
        <w:div w:id="1703627470">
          <w:marLeft w:val="0"/>
          <w:marRight w:val="0"/>
          <w:marTop w:val="0"/>
          <w:marBottom w:val="0"/>
          <w:divBdr>
            <w:top w:val="none" w:sz="0" w:space="0" w:color="auto"/>
            <w:left w:val="none" w:sz="0" w:space="0" w:color="auto"/>
            <w:bottom w:val="none" w:sz="0" w:space="0" w:color="auto"/>
            <w:right w:val="none" w:sz="0" w:space="0" w:color="auto"/>
          </w:divBdr>
          <w:divsChild>
            <w:div w:id="342785042">
              <w:marLeft w:val="0"/>
              <w:marRight w:val="0"/>
              <w:marTop w:val="0"/>
              <w:marBottom w:val="0"/>
              <w:divBdr>
                <w:top w:val="none" w:sz="0" w:space="0" w:color="auto"/>
                <w:left w:val="none" w:sz="0" w:space="0" w:color="auto"/>
                <w:bottom w:val="none" w:sz="0" w:space="0" w:color="auto"/>
                <w:right w:val="none" w:sz="0" w:space="0" w:color="auto"/>
              </w:divBdr>
              <w:divsChild>
                <w:div w:id="1477721463">
                  <w:marLeft w:val="0"/>
                  <w:marRight w:val="0"/>
                  <w:marTop w:val="0"/>
                  <w:marBottom w:val="0"/>
                  <w:divBdr>
                    <w:top w:val="none" w:sz="0" w:space="0" w:color="auto"/>
                    <w:left w:val="none" w:sz="0" w:space="0" w:color="auto"/>
                    <w:bottom w:val="none" w:sz="0" w:space="0" w:color="auto"/>
                    <w:right w:val="none" w:sz="0" w:space="0" w:color="auto"/>
                  </w:divBdr>
                  <w:divsChild>
                    <w:div w:id="606812606">
                      <w:marLeft w:val="0"/>
                      <w:marRight w:val="0"/>
                      <w:marTop w:val="0"/>
                      <w:marBottom w:val="0"/>
                      <w:divBdr>
                        <w:top w:val="none" w:sz="0" w:space="0" w:color="auto"/>
                        <w:left w:val="none" w:sz="0" w:space="0" w:color="auto"/>
                        <w:bottom w:val="none" w:sz="0" w:space="0" w:color="auto"/>
                        <w:right w:val="none" w:sz="0" w:space="0" w:color="auto"/>
                      </w:divBdr>
                      <w:divsChild>
                        <w:div w:id="8061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8217468">
      <w:bodyDiv w:val="1"/>
      <w:marLeft w:val="0"/>
      <w:marRight w:val="0"/>
      <w:marTop w:val="0"/>
      <w:marBottom w:val="0"/>
      <w:divBdr>
        <w:top w:val="none" w:sz="0" w:space="0" w:color="auto"/>
        <w:left w:val="none" w:sz="0" w:space="0" w:color="auto"/>
        <w:bottom w:val="none" w:sz="0" w:space="0" w:color="auto"/>
        <w:right w:val="none" w:sz="0" w:space="0" w:color="auto"/>
      </w:divBdr>
      <w:divsChild>
        <w:div w:id="349768841">
          <w:marLeft w:val="0"/>
          <w:marRight w:val="0"/>
          <w:marTop w:val="0"/>
          <w:marBottom w:val="0"/>
          <w:divBdr>
            <w:top w:val="none" w:sz="0" w:space="0" w:color="auto"/>
            <w:left w:val="none" w:sz="0" w:space="0" w:color="auto"/>
            <w:bottom w:val="none" w:sz="0" w:space="0" w:color="auto"/>
            <w:right w:val="none" w:sz="0" w:space="0" w:color="auto"/>
          </w:divBdr>
          <w:divsChild>
            <w:div w:id="1403790622">
              <w:marLeft w:val="0"/>
              <w:marRight w:val="0"/>
              <w:marTop w:val="0"/>
              <w:marBottom w:val="0"/>
              <w:divBdr>
                <w:top w:val="none" w:sz="0" w:space="0" w:color="auto"/>
                <w:left w:val="none" w:sz="0" w:space="0" w:color="auto"/>
                <w:bottom w:val="none" w:sz="0" w:space="0" w:color="auto"/>
                <w:right w:val="none" w:sz="0" w:space="0" w:color="auto"/>
              </w:divBdr>
              <w:divsChild>
                <w:div w:id="969016502">
                  <w:marLeft w:val="0"/>
                  <w:marRight w:val="0"/>
                  <w:marTop w:val="0"/>
                  <w:marBottom w:val="0"/>
                  <w:divBdr>
                    <w:top w:val="none" w:sz="0" w:space="0" w:color="auto"/>
                    <w:left w:val="none" w:sz="0" w:space="0" w:color="auto"/>
                    <w:bottom w:val="none" w:sz="0" w:space="0" w:color="auto"/>
                    <w:right w:val="none" w:sz="0" w:space="0" w:color="auto"/>
                  </w:divBdr>
                  <w:divsChild>
                    <w:div w:id="986008513">
                      <w:marLeft w:val="0"/>
                      <w:marRight w:val="0"/>
                      <w:marTop w:val="0"/>
                      <w:marBottom w:val="0"/>
                      <w:divBdr>
                        <w:top w:val="none" w:sz="0" w:space="0" w:color="auto"/>
                        <w:left w:val="none" w:sz="0" w:space="0" w:color="auto"/>
                        <w:bottom w:val="none" w:sz="0" w:space="0" w:color="auto"/>
                        <w:right w:val="none" w:sz="0" w:space="0" w:color="auto"/>
                      </w:divBdr>
                      <w:divsChild>
                        <w:div w:id="15298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440093">
      <w:bodyDiv w:val="1"/>
      <w:marLeft w:val="0"/>
      <w:marRight w:val="0"/>
      <w:marTop w:val="0"/>
      <w:marBottom w:val="0"/>
      <w:divBdr>
        <w:top w:val="none" w:sz="0" w:space="0" w:color="auto"/>
        <w:left w:val="none" w:sz="0" w:space="0" w:color="auto"/>
        <w:bottom w:val="none" w:sz="0" w:space="0" w:color="auto"/>
        <w:right w:val="none" w:sz="0" w:space="0" w:color="auto"/>
      </w:divBdr>
      <w:divsChild>
        <w:div w:id="1412311212">
          <w:marLeft w:val="0"/>
          <w:marRight w:val="0"/>
          <w:marTop w:val="0"/>
          <w:marBottom w:val="0"/>
          <w:divBdr>
            <w:top w:val="none" w:sz="0" w:space="0" w:color="auto"/>
            <w:left w:val="none" w:sz="0" w:space="0" w:color="auto"/>
            <w:bottom w:val="none" w:sz="0" w:space="0" w:color="auto"/>
            <w:right w:val="none" w:sz="0" w:space="0" w:color="auto"/>
          </w:divBdr>
          <w:divsChild>
            <w:div w:id="1636138298">
              <w:marLeft w:val="0"/>
              <w:marRight w:val="0"/>
              <w:marTop w:val="0"/>
              <w:marBottom w:val="0"/>
              <w:divBdr>
                <w:top w:val="none" w:sz="0" w:space="0" w:color="auto"/>
                <w:left w:val="none" w:sz="0" w:space="0" w:color="auto"/>
                <w:bottom w:val="none" w:sz="0" w:space="0" w:color="auto"/>
                <w:right w:val="none" w:sz="0" w:space="0" w:color="auto"/>
              </w:divBdr>
              <w:divsChild>
                <w:div w:id="1271861745">
                  <w:marLeft w:val="0"/>
                  <w:marRight w:val="0"/>
                  <w:marTop w:val="0"/>
                  <w:marBottom w:val="0"/>
                  <w:divBdr>
                    <w:top w:val="none" w:sz="0" w:space="0" w:color="auto"/>
                    <w:left w:val="none" w:sz="0" w:space="0" w:color="auto"/>
                    <w:bottom w:val="none" w:sz="0" w:space="0" w:color="auto"/>
                    <w:right w:val="none" w:sz="0" w:space="0" w:color="auto"/>
                  </w:divBdr>
                  <w:divsChild>
                    <w:div w:id="382296126">
                      <w:marLeft w:val="0"/>
                      <w:marRight w:val="-100"/>
                      <w:marTop w:val="0"/>
                      <w:marBottom w:val="0"/>
                      <w:divBdr>
                        <w:top w:val="none" w:sz="0" w:space="0" w:color="auto"/>
                        <w:left w:val="none" w:sz="0" w:space="0" w:color="auto"/>
                        <w:bottom w:val="none" w:sz="0" w:space="0" w:color="auto"/>
                        <w:right w:val="none" w:sz="0" w:space="0" w:color="auto"/>
                      </w:divBdr>
                      <w:divsChild>
                        <w:div w:id="224142296">
                          <w:marLeft w:val="450"/>
                          <w:marRight w:val="5175"/>
                          <w:marTop w:val="0"/>
                          <w:marBottom w:val="0"/>
                          <w:divBdr>
                            <w:top w:val="none" w:sz="0" w:space="0" w:color="auto"/>
                            <w:left w:val="none" w:sz="0" w:space="0" w:color="auto"/>
                            <w:bottom w:val="none" w:sz="0" w:space="0" w:color="auto"/>
                            <w:right w:val="none" w:sz="0" w:space="0" w:color="auto"/>
                          </w:divBdr>
                          <w:divsChild>
                            <w:div w:id="1937591225">
                              <w:marLeft w:val="0"/>
                              <w:marRight w:val="0"/>
                              <w:marTop w:val="0"/>
                              <w:marBottom w:val="0"/>
                              <w:divBdr>
                                <w:top w:val="none" w:sz="0" w:space="0" w:color="auto"/>
                                <w:left w:val="none" w:sz="0" w:space="0" w:color="auto"/>
                                <w:bottom w:val="none" w:sz="0" w:space="0" w:color="auto"/>
                                <w:right w:val="none" w:sz="0" w:space="0" w:color="auto"/>
                              </w:divBdr>
                              <w:divsChild>
                                <w:div w:id="8639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2098665">
      <w:bodyDiv w:val="1"/>
      <w:marLeft w:val="0"/>
      <w:marRight w:val="0"/>
      <w:marTop w:val="0"/>
      <w:marBottom w:val="0"/>
      <w:divBdr>
        <w:top w:val="none" w:sz="0" w:space="0" w:color="auto"/>
        <w:left w:val="none" w:sz="0" w:space="0" w:color="auto"/>
        <w:bottom w:val="none" w:sz="0" w:space="0" w:color="auto"/>
        <w:right w:val="none" w:sz="0" w:space="0" w:color="auto"/>
      </w:divBdr>
    </w:div>
    <w:div w:id="2069380519">
      <w:bodyDiv w:val="1"/>
      <w:marLeft w:val="0"/>
      <w:marRight w:val="0"/>
      <w:marTop w:val="0"/>
      <w:marBottom w:val="0"/>
      <w:divBdr>
        <w:top w:val="none" w:sz="0" w:space="0" w:color="auto"/>
        <w:left w:val="none" w:sz="0" w:space="0" w:color="auto"/>
        <w:bottom w:val="none" w:sz="0" w:space="0" w:color="auto"/>
        <w:right w:val="none" w:sz="0" w:space="0" w:color="auto"/>
      </w:divBdr>
      <w:divsChild>
        <w:div w:id="1840197989">
          <w:marLeft w:val="0"/>
          <w:marRight w:val="0"/>
          <w:marTop w:val="0"/>
          <w:marBottom w:val="0"/>
          <w:divBdr>
            <w:top w:val="none" w:sz="0" w:space="0" w:color="auto"/>
            <w:left w:val="none" w:sz="0" w:space="0" w:color="auto"/>
            <w:bottom w:val="none" w:sz="0" w:space="0" w:color="auto"/>
            <w:right w:val="none" w:sz="0" w:space="0" w:color="auto"/>
          </w:divBdr>
          <w:divsChild>
            <w:div w:id="1347368663">
              <w:marLeft w:val="-225"/>
              <w:marRight w:val="-225"/>
              <w:marTop w:val="0"/>
              <w:marBottom w:val="0"/>
              <w:divBdr>
                <w:top w:val="none" w:sz="0" w:space="0" w:color="auto"/>
                <w:left w:val="none" w:sz="0" w:space="0" w:color="auto"/>
                <w:bottom w:val="none" w:sz="0" w:space="0" w:color="auto"/>
                <w:right w:val="none" w:sz="0" w:space="0" w:color="auto"/>
              </w:divBdr>
              <w:divsChild>
                <w:div w:id="475415419">
                  <w:marLeft w:val="0"/>
                  <w:marRight w:val="0"/>
                  <w:marTop w:val="0"/>
                  <w:marBottom w:val="0"/>
                  <w:divBdr>
                    <w:top w:val="none" w:sz="0" w:space="0" w:color="auto"/>
                    <w:left w:val="none" w:sz="0" w:space="0" w:color="auto"/>
                    <w:bottom w:val="none" w:sz="0" w:space="0" w:color="auto"/>
                    <w:right w:val="none" w:sz="0" w:space="0" w:color="auto"/>
                  </w:divBdr>
                  <w:divsChild>
                    <w:div w:id="802044959">
                      <w:marLeft w:val="0"/>
                      <w:marRight w:val="0"/>
                      <w:marTop w:val="0"/>
                      <w:marBottom w:val="0"/>
                      <w:divBdr>
                        <w:top w:val="single" w:sz="6" w:space="4" w:color="DDDDDD"/>
                        <w:left w:val="single" w:sz="6" w:space="0" w:color="DDDDDD"/>
                        <w:bottom w:val="single" w:sz="6" w:space="0" w:color="DDDDDD"/>
                        <w:right w:val="single" w:sz="6" w:space="0" w:color="DDDDDD"/>
                      </w:divBdr>
                      <w:divsChild>
                        <w:div w:id="1235698017">
                          <w:marLeft w:val="0"/>
                          <w:marRight w:val="0"/>
                          <w:marTop w:val="0"/>
                          <w:marBottom w:val="0"/>
                          <w:divBdr>
                            <w:top w:val="none" w:sz="0" w:space="0" w:color="auto"/>
                            <w:left w:val="none" w:sz="0" w:space="0" w:color="auto"/>
                            <w:bottom w:val="none" w:sz="0" w:space="0" w:color="auto"/>
                            <w:right w:val="none" w:sz="0" w:space="0" w:color="auto"/>
                          </w:divBdr>
                          <w:divsChild>
                            <w:div w:id="1661541924">
                              <w:marLeft w:val="0"/>
                              <w:marRight w:val="0"/>
                              <w:marTop w:val="0"/>
                              <w:marBottom w:val="150"/>
                              <w:divBdr>
                                <w:top w:val="none" w:sz="0" w:space="0" w:color="auto"/>
                                <w:left w:val="none" w:sz="0" w:space="0" w:color="auto"/>
                                <w:bottom w:val="none" w:sz="0" w:space="0" w:color="auto"/>
                                <w:right w:val="none" w:sz="0" w:space="0" w:color="auto"/>
                              </w:divBdr>
                              <w:divsChild>
                                <w:div w:id="1766727051">
                                  <w:marLeft w:val="0"/>
                                  <w:marRight w:val="0"/>
                                  <w:marTop w:val="0"/>
                                  <w:marBottom w:val="150"/>
                                  <w:divBdr>
                                    <w:top w:val="none" w:sz="0" w:space="0" w:color="auto"/>
                                    <w:left w:val="none" w:sz="0" w:space="0" w:color="auto"/>
                                    <w:bottom w:val="none" w:sz="0" w:space="0" w:color="auto"/>
                                    <w:right w:val="none" w:sz="0" w:space="0" w:color="auto"/>
                                  </w:divBdr>
                                  <w:divsChild>
                                    <w:div w:id="1000159748">
                                      <w:marLeft w:val="0"/>
                                      <w:marRight w:val="0"/>
                                      <w:marTop w:val="0"/>
                                      <w:marBottom w:val="0"/>
                                      <w:divBdr>
                                        <w:top w:val="none" w:sz="0" w:space="0" w:color="auto"/>
                                        <w:left w:val="none" w:sz="0" w:space="0" w:color="auto"/>
                                        <w:bottom w:val="none" w:sz="0" w:space="0" w:color="auto"/>
                                        <w:right w:val="none" w:sz="0" w:space="0" w:color="auto"/>
                                      </w:divBdr>
                                    </w:div>
                                    <w:div w:id="1298142865">
                                      <w:marLeft w:val="0"/>
                                      <w:marRight w:val="0"/>
                                      <w:marTop w:val="0"/>
                                      <w:marBottom w:val="0"/>
                                      <w:divBdr>
                                        <w:top w:val="none" w:sz="0" w:space="0" w:color="auto"/>
                                        <w:left w:val="none" w:sz="0" w:space="0" w:color="auto"/>
                                        <w:bottom w:val="none" w:sz="0" w:space="0" w:color="auto"/>
                                        <w:right w:val="none" w:sz="0" w:space="0" w:color="auto"/>
                                      </w:divBdr>
                                    </w:div>
                                    <w:div w:id="946884611">
                                      <w:marLeft w:val="0"/>
                                      <w:marRight w:val="0"/>
                                      <w:marTop w:val="0"/>
                                      <w:marBottom w:val="0"/>
                                      <w:divBdr>
                                        <w:top w:val="none" w:sz="0" w:space="0" w:color="auto"/>
                                        <w:left w:val="none" w:sz="0" w:space="0" w:color="auto"/>
                                        <w:bottom w:val="none" w:sz="0" w:space="0" w:color="auto"/>
                                        <w:right w:val="none" w:sz="0" w:space="0" w:color="auto"/>
                                      </w:divBdr>
                                    </w:div>
                                    <w:div w:id="749546474">
                                      <w:marLeft w:val="0"/>
                                      <w:marRight w:val="0"/>
                                      <w:marTop w:val="0"/>
                                      <w:marBottom w:val="0"/>
                                      <w:divBdr>
                                        <w:top w:val="none" w:sz="0" w:space="0" w:color="auto"/>
                                        <w:left w:val="none" w:sz="0" w:space="0" w:color="auto"/>
                                        <w:bottom w:val="none" w:sz="0" w:space="0" w:color="auto"/>
                                        <w:right w:val="none" w:sz="0" w:space="0" w:color="auto"/>
                                      </w:divBdr>
                                    </w:div>
                                    <w:div w:id="1264997149">
                                      <w:marLeft w:val="0"/>
                                      <w:marRight w:val="0"/>
                                      <w:marTop w:val="0"/>
                                      <w:marBottom w:val="0"/>
                                      <w:divBdr>
                                        <w:top w:val="none" w:sz="0" w:space="0" w:color="auto"/>
                                        <w:left w:val="none" w:sz="0" w:space="0" w:color="auto"/>
                                        <w:bottom w:val="none" w:sz="0" w:space="0" w:color="auto"/>
                                        <w:right w:val="none" w:sz="0" w:space="0" w:color="auto"/>
                                      </w:divBdr>
                                    </w:div>
                                    <w:div w:id="231350616">
                                      <w:marLeft w:val="0"/>
                                      <w:marRight w:val="0"/>
                                      <w:marTop w:val="0"/>
                                      <w:marBottom w:val="0"/>
                                      <w:divBdr>
                                        <w:top w:val="none" w:sz="0" w:space="0" w:color="auto"/>
                                        <w:left w:val="none" w:sz="0" w:space="0" w:color="auto"/>
                                        <w:bottom w:val="none" w:sz="0" w:space="0" w:color="auto"/>
                                        <w:right w:val="none" w:sz="0" w:space="0" w:color="auto"/>
                                      </w:divBdr>
                                    </w:div>
                                    <w:div w:id="1042635070">
                                      <w:marLeft w:val="0"/>
                                      <w:marRight w:val="0"/>
                                      <w:marTop w:val="0"/>
                                      <w:marBottom w:val="0"/>
                                      <w:divBdr>
                                        <w:top w:val="none" w:sz="0" w:space="0" w:color="auto"/>
                                        <w:left w:val="none" w:sz="0" w:space="0" w:color="auto"/>
                                        <w:bottom w:val="none" w:sz="0" w:space="0" w:color="auto"/>
                                        <w:right w:val="none" w:sz="0" w:space="0" w:color="auto"/>
                                      </w:divBdr>
                                    </w:div>
                                    <w:div w:id="847986387">
                                      <w:marLeft w:val="0"/>
                                      <w:marRight w:val="0"/>
                                      <w:marTop w:val="0"/>
                                      <w:marBottom w:val="0"/>
                                      <w:divBdr>
                                        <w:top w:val="none" w:sz="0" w:space="0" w:color="auto"/>
                                        <w:left w:val="none" w:sz="0" w:space="0" w:color="auto"/>
                                        <w:bottom w:val="none" w:sz="0" w:space="0" w:color="auto"/>
                                        <w:right w:val="none" w:sz="0" w:space="0" w:color="auto"/>
                                      </w:divBdr>
                                    </w:div>
                                    <w:div w:id="1202012139">
                                      <w:marLeft w:val="0"/>
                                      <w:marRight w:val="0"/>
                                      <w:marTop w:val="0"/>
                                      <w:marBottom w:val="0"/>
                                      <w:divBdr>
                                        <w:top w:val="none" w:sz="0" w:space="0" w:color="auto"/>
                                        <w:left w:val="none" w:sz="0" w:space="0" w:color="auto"/>
                                        <w:bottom w:val="none" w:sz="0" w:space="0" w:color="auto"/>
                                        <w:right w:val="none" w:sz="0" w:space="0" w:color="auto"/>
                                      </w:divBdr>
                                    </w:div>
                                    <w:div w:id="640774234">
                                      <w:marLeft w:val="0"/>
                                      <w:marRight w:val="0"/>
                                      <w:marTop w:val="0"/>
                                      <w:marBottom w:val="0"/>
                                      <w:divBdr>
                                        <w:top w:val="none" w:sz="0" w:space="0" w:color="auto"/>
                                        <w:left w:val="none" w:sz="0" w:space="0" w:color="auto"/>
                                        <w:bottom w:val="none" w:sz="0" w:space="0" w:color="auto"/>
                                        <w:right w:val="none" w:sz="0" w:space="0" w:color="auto"/>
                                      </w:divBdr>
                                    </w:div>
                                    <w:div w:id="1368723126">
                                      <w:marLeft w:val="0"/>
                                      <w:marRight w:val="0"/>
                                      <w:marTop w:val="0"/>
                                      <w:marBottom w:val="0"/>
                                      <w:divBdr>
                                        <w:top w:val="none" w:sz="0" w:space="0" w:color="auto"/>
                                        <w:left w:val="none" w:sz="0" w:space="0" w:color="auto"/>
                                        <w:bottom w:val="none" w:sz="0" w:space="0" w:color="auto"/>
                                        <w:right w:val="none" w:sz="0" w:space="0" w:color="auto"/>
                                      </w:divBdr>
                                    </w:div>
                                    <w:div w:id="1457530733">
                                      <w:marLeft w:val="0"/>
                                      <w:marRight w:val="0"/>
                                      <w:marTop w:val="0"/>
                                      <w:marBottom w:val="0"/>
                                      <w:divBdr>
                                        <w:top w:val="none" w:sz="0" w:space="0" w:color="auto"/>
                                        <w:left w:val="none" w:sz="0" w:space="0" w:color="auto"/>
                                        <w:bottom w:val="none" w:sz="0" w:space="0" w:color="auto"/>
                                        <w:right w:val="none" w:sz="0" w:space="0" w:color="auto"/>
                                      </w:divBdr>
                                    </w:div>
                                    <w:div w:id="654798273">
                                      <w:marLeft w:val="0"/>
                                      <w:marRight w:val="0"/>
                                      <w:marTop w:val="0"/>
                                      <w:marBottom w:val="0"/>
                                      <w:divBdr>
                                        <w:top w:val="none" w:sz="0" w:space="0" w:color="auto"/>
                                        <w:left w:val="none" w:sz="0" w:space="0" w:color="auto"/>
                                        <w:bottom w:val="none" w:sz="0" w:space="0" w:color="auto"/>
                                        <w:right w:val="none" w:sz="0" w:space="0" w:color="auto"/>
                                      </w:divBdr>
                                    </w:div>
                                    <w:div w:id="502009834">
                                      <w:marLeft w:val="0"/>
                                      <w:marRight w:val="0"/>
                                      <w:marTop w:val="0"/>
                                      <w:marBottom w:val="0"/>
                                      <w:divBdr>
                                        <w:top w:val="none" w:sz="0" w:space="0" w:color="auto"/>
                                        <w:left w:val="none" w:sz="0" w:space="0" w:color="auto"/>
                                        <w:bottom w:val="none" w:sz="0" w:space="0" w:color="auto"/>
                                        <w:right w:val="none" w:sz="0" w:space="0" w:color="auto"/>
                                      </w:divBdr>
                                    </w:div>
                                    <w:div w:id="407850952">
                                      <w:marLeft w:val="0"/>
                                      <w:marRight w:val="0"/>
                                      <w:marTop w:val="0"/>
                                      <w:marBottom w:val="0"/>
                                      <w:divBdr>
                                        <w:top w:val="none" w:sz="0" w:space="0" w:color="auto"/>
                                        <w:left w:val="none" w:sz="0" w:space="0" w:color="auto"/>
                                        <w:bottom w:val="none" w:sz="0" w:space="0" w:color="auto"/>
                                        <w:right w:val="none" w:sz="0" w:space="0" w:color="auto"/>
                                      </w:divBdr>
                                    </w:div>
                                    <w:div w:id="1216311612">
                                      <w:marLeft w:val="0"/>
                                      <w:marRight w:val="0"/>
                                      <w:marTop w:val="0"/>
                                      <w:marBottom w:val="0"/>
                                      <w:divBdr>
                                        <w:top w:val="none" w:sz="0" w:space="0" w:color="auto"/>
                                        <w:left w:val="none" w:sz="0" w:space="0" w:color="auto"/>
                                        <w:bottom w:val="none" w:sz="0" w:space="0" w:color="auto"/>
                                        <w:right w:val="none" w:sz="0" w:space="0" w:color="auto"/>
                                      </w:divBdr>
                                    </w:div>
                                    <w:div w:id="1130628348">
                                      <w:marLeft w:val="0"/>
                                      <w:marRight w:val="0"/>
                                      <w:marTop w:val="0"/>
                                      <w:marBottom w:val="0"/>
                                      <w:divBdr>
                                        <w:top w:val="none" w:sz="0" w:space="0" w:color="auto"/>
                                        <w:left w:val="none" w:sz="0" w:space="0" w:color="auto"/>
                                        <w:bottom w:val="none" w:sz="0" w:space="0" w:color="auto"/>
                                        <w:right w:val="none" w:sz="0" w:space="0" w:color="auto"/>
                                      </w:divBdr>
                                    </w:div>
                                    <w:div w:id="1397822786">
                                      <w:marLeft w:val="0"/>
                                      <w:marRight w:val="0"/>
                                      <w:marTop w:val="0"/>
                                      <w:marBottom w:val="0"/>
                                      <w:divBdr>
                                        <w:top w:val="none" w:sz="0" w:space="0" w:color="auto"/>
                                        <w:left w:val="none" w:sz="0" w:space="0" w:color="auto"/>
                                        <w:bottom w:val="none" w:sz="0" w:space="0" w:color="auto"/>
                                        <w:right w:val="none" w:sz="0" w:space="0" w:color="auto"/>
                                      </w:divBdr>
                                    </w:div>
                                    <w:div w:id="218788863">
                                      <w:marLeft w:val="0"/>
                                      <w:marRight w:val="0"/>
                                      <w:marTop w:val="0"/>
                                      <w:marBottom w:val="0"/>
                                      <w:divBdr>
                                        <w:top w:val="none" w:sz="0" w:space="0" w:color="auto"/>
                                        <w:left w:val="none" w:sz="0" w:space="0" w:color="auto"/>
                                        <w:bottom w:val="none" w:sz="0" w:space="0" w:color="auto"/>
                                        <w:right w:val="none" w:sz="0" w:space="0" w:color="auto"/>
                                      </w:divBdr>
                                    </w:div>
                                    <w:div w:id="798569606">
                                      <w:marLeft w:val="0"/>
                                      <w:marRight w:val="0"/>
                                      <w:marTop w:val="0"/>
                                      <w:marBottom w:val="0"/>
                                      <w:divBdr>
                                        <w:top w:val="none" w:sz="0" w:space="0" w:color="auto"/>
                                        <w:left w:val="none" w:sz="0" w:space="0" w:color="auto"/>
                                        <w:bottom w:val="none" w:sz="0" w:space="0" w:color="auto"/>
                                        <w:right w:val="none" w:sz="0" w:space="0" w:color="auto"/>
                                      </w:divBdr>
                                    </w:div>
                                    <w:div w:id="109739387">
                                      <w:marLeft w:val="0"/>
                                      <w:marRight w:val="0"/>
                                      <w:marTop w:val="0"/>
                                      <w:marBottom w:val="0"/>
                                      <w:divBdr>
                                        <w:top w:val="none" w:sz="0" w:space="0" w:color="auto"/>
                                        <w:left w:val="none" w:sz="0" w:space="0" w:color="auto"/>
                                        <w:bottom w:val="none" w:sz="0" w:space="0" w:color="auto"/>
                                        <w:right w:val="none" w:sz="0" w:space="0" w:color="auto"/>
                                      </w:divBdr>
                                    </w:div>
                                    <w:div w:id="189732172">
                                      <w:marLeft w:val="0"/>
                                      <w:marRight w:val="0"/>
                                      <w:marTop w:val="0"/>
                                      <w:marBottom w:val="0"/>
                                      <w:divBdr>
                                        <w:top w:val="none" w:sz="0" w:space="0" w:color="auto"/>
                                        <w:left w:val="none" w:sz="0" w:space="0" w:color="auto"/>
                                        <w:bottom w:val="none" w:sz="0" w:space="0" w:color="auto"/>
                                        <w:right w:val="none" w:sz="0" w:space="0" w:color="auto"/>
                                      </w:divBdr>
                                    </w:div>
                                    <w:div w:id="600065292">
                                      <w:marLeft w:val="0"/>
                                      <w:marRight w:val="0"/>
                                      <w:marTop w:val="0"/>
                                      <w:marBottom w:val="0"/>
                                      <w:divBdr>
                                        <w:top w:val="none" w:sz="0" w:space="0" w:color="auto"/>
                                        <w:left w:val="none" w:sz="0" w:space="0" w:color="auto"/>
                                        <w:bottom w:val="none" w:sz="0" w:space="0" w:color="auto"/>
                                        <w:right w:val="none" w:sz="0" w:space="0" w:color="auto"/>
                                      </w:divBdr>
                                    </w:div>
                                    <w:div w:id="1908300882">
                                      <w:marLeft w:val="0"/>
                                      <w:marRight w:val="0"/>
                                      <w:marTop w:val="0"/>
                                      <w:marBottom w:val="0"/>
                                      <w:divBdr>
                                        <w:top w:val="none" w:sz="0" w:space="0" w:color="auto"/>
                                        <w:left w:val="none" w:sz="0" w:space="0" w:color="auto"/>
                                        <w:bottom w:val="none" w:sz="0" w:space="0" w:color="auto"/>
                                        <w:right w:val="none" w:sz="0" w:space="0" w:color="auto"/>
                                      </w:divBdr>
                                    </w:div>
                                    <w:div w:id="1418211688">
                                      <w:marLeft w:val="0"/>
                                      <w:marRight w:val="0"/>
                                      <w:marTop w:val="0"/>
                                      <w:marBottom w:val="0"/>
                                      <w:divBdr>
                                        <w:top w:val="none" w:sz="0" w:space="0" w:color="auto"/>
                                        <w:left w:val="none" w:sz="0" w:space="0" w:color="auto"/>
                                        <w:bottom w:val="none" w:sz="0" w:space="0" w:color="auto"/>
                                        <w:right w:val="none" w:sz="0" w:space="0" w:color="auto"/>
                                      </w:divBdr>
                                    </w:div>
                                    <w:div w:id="2011328491">
                                      <w:marLeft w:val="0"/>
                                      <w:marRight w:val="0"/>
                                      <w:marTop w:val="0"/>
                                      <w:marBottom w:val="0"/>
                                      <w:divBdr>
                                        <w:top w:val="none" w:sz="0" w:space="0" w:color="auto"/>
                                        <w:left w:val="none" w:sz="0" w:space="0" w:color="auto"/>
                                        <w:bottom w:val="none" w:sz="0" w:space="0" w:color="auto"/>
                                        <w:right w:val="none" w:sz="0" w:space="0" w:color="auto"/>
                                      </w:divBdr>
                                    </w:div>
                                    <w:div w:id="1184324228">
                                      <w:marLeft w:val="0"/>
                                      <w:marRight w:val="0"/>
                                      <w:marTop w:val="0"/>
                                      <w:marBottom w:val="0"/>
                                      <w:divBdr>
                                        <w:top w:val="none" w:sz="0" w:space="0" w:color="auto"/>
                                        <w:left w:val="none" w:sz="0" w:space="0" w:color="auto"/>
                                        <w:bottom w:val="none" w:sz="0" w:space="0" w:color="auto"/>
                                        <w:right w:val="none" w:sz="0" w:space="0" w:color="auto"/>
                                      </w:divBdr>
                                    </w:div>
                                    <w:div w:id="352345033">
                                      <w:marLeft w:val="0"/>
                                      <w:marRight w:val="0"/>
                                      <w:marTop w:val="0"/>
                                      <w:marBottom w:val="0"/>
                                      <w:divBdr>
                                        <w:top w:val="none" w:sz="0" w:space="0" w:color="auto"/>
                                        <w:left w:val="none" w:sz="0" w:space="0" w:color="auto"/>
                                        <w:bottom w:val="none" w:sz="0" w:space="0" w:color="auto"/>
                                        <w:right w:val="none" w:sz="0" w:space="0" w:color="auto"/>
                                      </w:divBdr>
                                    </w:div>
                                    <w:div w:id="1249148529">
                                      <w:marLeft w:val="0"/>
                                      <w:marRight w:val="0"/>
                                      <w:marTop w:val="0"/>
                                      <w:marBottom w:val="0"/>
                                      <w:divBdr>
                                        <w:top w:val="none" w:sz="0" w:space="0" w:color="auto"/>
                                        <w:left w:val="none" w:sz="0" w:space="0" w:color="auto"/>
                                        <w:bottom w:val="none" w:sz="0" w:space="0" w:color="auto"/>
                                        <w:right w:val="none" w:sz="0" w:space="0" w:color="auto"/>
                                      </w:divBdr>
                                    </w:div>
                                    <w:div w:id="1395011046">
                                      <w:marLeft w:val="0"/>
                                      <w:marRight w:val="0"/>
                                      <w:marTop w:val="0"/>
                                      <w:marBottom w:val="0"/>
                                      <w:divBdr>
                                        <w:top w:val="none" w:sz="0" w:space="0" w:color="auto"/>
                                        <w:left w:val="none" w:sz="0" w:space="0" w:color="auto"/>
                                        <w:bottom w:val="none" w:sz="0" w:space="0" w:color="auto"/>
                                        <w:right w:val="none" w:sz="0" w:space="0" w:color="auto"/>
                                      </w:divBdr>
                                    </w:div>
                                    <w:div w:id="2030914898">
                                      <w:marLeft w:val="0"/>
                                      <w:marRight w:val="0"/>
                                      <w:marTop w:val="0"/>
                                      <w:marBottom w:val="0"/>
                                      <w:divBdr>
                                        <w:top w:val="none" w:sz="0" w:space="0" w:color="auto"/>
                                        <w:left w:val="none" w:sz="0" w:space="0" w:color="auto"/>
                                        <w:bottom w:val="none" w:sz="0" w:space="0" w:color="auto"/>
                                        <w:right w:val="none" w:sz="0" w:space="0" w:color="auto"/>
                                      </w:divBdr>
                                    </w:div>
                                    <w:div w:id="1901281814">
                                      <w:marLeft w:val="0"/>
                                      <w:marRight w:val="0"/>
                                      <w:marTop w:val="0"/>
                                      <w:marBottom w:val="0"/>
                                      <w:divBdr>
                                        <w:top w:val="none" w:sz="0" w:space="0" w:color="auto"/>
                                        <w:left w:val="none" w:sz="0" w:space="0" w:color="auto"/>
                                        <w:bottom w:val="none" w:sz="0" w:space="0" w:color="auto"/>
                                        <w:right w:val="none" w:sz="0" w:space="0" w:color="auto"/>
                                      </w:divBdr>
                                    </w:div>
                                    <w:div w:id="1765688321">
                                      <w:marLeft w:val="0"/>
                                      <w:marRight w:val="0"/>
                                      <w:marTop w:val="0"/>
                                      <w:marBottom w:val="0"/>
                                      <w:divBdr>
                                        <w:top w:val="none" w:sz="0" w:space="0" w:color="auto"/>
                                        <w:left w:val="none" w:sz="0" w:space="0" w:color="auto"/>
                                        <w:bottom w:val="none" w:sz="0" w:space="0" w:color="auto"/>
                                        <w:right w:val="none" w:sz="0" w:space="0" w:color="auto"/>
                                      </w:divBdr>
                                    </w:div>
                                    <w:div w:id="1754164510">
                                      <w:marLeft w:val="0"/>
                                      <w:marRight w:val="0"/>
                                      <w:marTop w:val="0"/>
                                      <w:marBottom w:val="0"/>
                                      <w:divBdr>
                                        <w:top w:val="none" w:sz="0" w:space="0" w:color="auto"/>
                                        <w:left w:val="none" w:sz="0" w:space="0" w:color="auto"/>
                                        <w:bottom w:val="none" w:sz="0" w:space="0" w:color="auto"/>
                                        <w:right w:val="none" w:sz="0" w:space="0" w:color="auto"/>
                                      </w:divBdr>
                                    </w:div>
                                    <w:div w:id="1400713138">
                                      <w:marLeft w:val="0"/>
                                      <w:marRight w:val="0"/>
                                      <w:marTop w:val="0"/>
                                      <w:marBottom w:val="0"/>
                                      <w:divBdr>
                                        <w:top w:val="none" w:sz="0" w:space="0" w:color="auto"/>
                                        <w:left w:val="none" w:sz="0" w:space="0" w:color="auto"/>
                                        <w:bottom w:val="none" w:sz="0" w:space="0" w:color="auto"/>
                                        <w:right w:val="none" w:sz="0" w:space="0" w:color="auto"/>
                                      </w:divBdr>
                                    </w:div>
                                    <w:div w:id="1400980108">
                                      <w:marLeft w:val="0"/>
                                      <w:marRight w:val="0"/>
                                      <w:marTop w:val="0"/>
                                      <w:marBottom w:val="0"/>
                                      <w:divBdr>
                                        <w:top w:val="none" w:sz="0" w:space="0" w:color="auto"/>
                                        <w:left w:val="none" w:sz="0" w:space="0" w:color="auto"/>
                                        <w:bottom w:val="none" w:sz="0" w:space="0" w:color="auto"/>
                                        <w:right w:val="none" w:sz="0" w:space="0" w:color="auto"/>
                                      </w:divBdr>
                                    </w:div>
                                    <w:div w:id="242568974">
                                      <w:marLeft w:val="0"/>
                                      <w:marRight w:val="0"/>
                                      <w:marTop w:val="0"/>
                                      <w:marBottom w:val="0"/>
                                      <w:divBdr>
                                        <w:top w:val="none" w:sz="0" w:space="0" w:color="auto"/>
                                        <w:left w:val="none" w:sz="0" w:space="0" w:color="auto"/>
                                        <w:bottom w:val="none" w:sz="0" w:space="0" w:color="auto"/>
                                        <w:right w:val="none" w:sz="0" w:space="0" w:color="auto"/>
                                      </w:divBdr>
                                    </w:div>
                                    <w:div w:id="2110468504">
                                      <w:marLeft w:val="0"/>
                                      <w:marRight w:val="0"/>
                                      <w:marTop w:val="0"/>
                                      <w:marBottom w:val="0"/>
                                      <w:divBdr>
                                        <w:top w:val="none" w:sz="0" w:space="0" w:color="auto"/>
                                        <w:left w:val="none" w:sz="0" w:space="0" w:color="auto"/>
                                        <w:bottom w:val="none" w:sz="0" w:space="0" w:color="auto"/>
                                        <w:right w:val="none" w:sz="0" w:space="0" w:color="auto"/>
                                      </w:divBdr>
                                    </w:div>
                                    <w:div w:id="474372526">
                                      <w:marLeft w:val="0"/>
                                      <w:marRight w:val="0"/>
                                      <w:marTop w:val="0"/>
                                      <w:marBottom w:val="0"/>
                                      <w:divBdr>
                                        <w:top w:val="none" w:sz="0" w:space="0" w:color="auto"/>
                                        <w:left w:val="none" w:sz="0" w:space="0" w:color="auto"/>
                                        <w:bottom w:val="none" w:sz="0" w:space="0" w:color="auto"/>
                                        <w:right w:val="none" w:sz="0" w:space="0" w:color="auto"/>
                                      </w:divBdr>
                                    </w:div>
                                    <w:div w:id="327755701">
                                      <w:marLeft w:val="0"/>
                                      <w:marRight w:val="0"/>
                                      <w:marTop w:val="0"/>
                                      <w:marBottom w:val="0"/>
                                      <w:divBdr>
                                        <w:top w:val="none" w:sz="0" w:space="0" w:color="auto"/>
                                        <w:left w:val="none" w:sz="0" w:space="0" w:color="auto"/>
                                        <w:bottom w:val="none" w:sz="0" w:space="0" w:color="auto"/>
                                        <w:right w:val="none" w:sz="0" w:space="0" w:color="auto"/>
                                      </w:divBdr>
                                    </w:div>
                                    <w:div w:id="1561090142">
                                      <w:marLeft w:val="0"/>
                                      <w:marRight w:val="0"/>
                                      <w:marTop w:val="0"/>
                                      <w:marBottom w:val="0"/>
                                      <w:divBdr>
                                        <w:top w:val="none" w:sz="0" w:space="0" w:color="auto"/>
                                        <w:left w:val="none" w:sz="0" w:space="0" w:color="auto"/>
                                        <w:bottom w:val="none" w:sz="0" w:space="0" w:color="auto"/>
                                        <w:right w:val="none" w:sz="0" w:space="0" w:color="auto"/>
                                      </w:divBdr>
                                    </w:div>
                                    <w:div w:id="849880603">
                                      <w:marLeft w:val="0"/>
                                      <w:marRight w:val="0"/>
                                      <w:marTop w:val="0"/>
                                      <w:marBottom w:val="0"/>
                                      <w:divBdr>
                                        <w:top w:val="none" w:sz="0" w:space="0" w:color="auto"/>
                                        <w:left w:val="none" w:sz="0" w:space="0" w:color="auto"/>
                                        <w:bottom w:val="none" w:sz="0" w:space="0" w:color="auto"/>
                                        <w:right w:val="none" w:sz="0" w:space="0" w:color="auto"/>
                                      </w:divBdr>
                                    </w:div>
                                    <w:div w:id="2049066603">
                                      <w:marLeft w:val="0"/>
                                      <w:marRight w:val="0"/>
                                      <w:marTop w:val="0"/>
                                      <w:marBottom w:val="0"/>
                                      <w:divBdr>
                                        <w:top w:val="none" w:sz="0" w:space="0" w:color="auto"/>
                                        <w:left w:val="none" w:sz="0" w:space="0" w:color="auto"/>
                                        <w:bottom w:val="none" w:sz="0" w:space="0" w:color="auto"/>
                                        <w:right w:val="none" w:sz="0" w:space="0" w:color="auto"/>
                                      </w:divBdr>
                                    </w:div>
                                    <w:div w:id="200360643">
                                      <w:marLeft w:val="0"/>
                                      <w:marRight w:val="0"/>
                                      <w:marTop w:val="0"/>
                                      <w:marBottom w:val="0"/>
                                      <w:divBdr>
                                        <w:top w:val="none" w:sz="0" w:space="0" w:color="auto"/>
                                        <w:left w:val="none" w:sz="0" w:space="0" w:color="auto"/>
                                        <w:bottom w:val="none" w:sz="0" w:space="0" w:color="auto"/>
                                        <w:right w:val="none" w:sz="0" w:space="0" w:color="auto"/>
                                      </w:divBdr>
                                    </w:div>
                                    <w:div w:id="1055542927">
                                      <w:marLeft w:val="0"/>
                                      <w:marRight w:val="0"/>
                                      <w:marTop w:val="0"/>
                                      <w:marBottom w:val="0"/>
                                      <w:divBdr>
                                        <w:top w:val="none" w:sz="0" w:space="0" w:color="auto"/>
                                        <w:left w:val="none" w:sz="0" w:space="0" w:color="auto"/>
                                        <w:bottom w:val="none" w:sz="0" w:space="0" w:color="auto"/>
                                        <w:right w:val="none" w:sz="0" w:space="0" w:color="auto"/>
                                      </w:divBdr>
                                    </w:div>
                                    <w:div w:id="1945572135">
                                      <w:marLeft w:val="0"/>
                                      <w:marRight w:val="0"/>
                                      <w:marTop w:val="0"/>
                                      <w:marBottom w:val="0"/>
                                      <w:divBdr>
                                        <w:top w:val="none" w:sz="0" w:space="0" w:color="auto"/>
                                        <w:left w:val="none" w:sz="0" w:space="0" w:color="auto"/>
                                        <w:bottom w:val="none" w:sz="0" w:space="0" w:color="auto"/>
                                        <w:right w:val="none" w:sz="0" w:space="0" w:color="auto"/>
                                      </w:divBdr>
                                    </w:div>
                                    <w:div w:id="1291397628">
                                      <w:marLeft w:val="0"/>
                                      <w:marRight w:val="0"/>
                                      <w:marTop w:val="0"/>
                                      <w:marBottom w:val="0"/>
                                      <w:divBdr>
                                        <w:top w:val="none" w:sz="0" w:space="0" w:color="auto"/>
                                        <w:left w:val="none" w:sz="0" w:space="0" w:color="auto"/>
                                        <w:bottom w:val="none" w:sz="0" w:space="0" w:color="auto"/>
                                        <w:right w:val="none" w:sz="0" w:space="0" w:color="auto"/>
                                      </w:divBdr>
                                    </w:div>
                                    <w:div w:id="1077360130">
                                      <w:marLeft w:val="0"/>
                                      <w:marRight w:val="0"/>
                                      <w:marTop w:val="0"/>
                                      <w:marBottom w:val="0"/>
                                      <w:divBdr>
                                        <w:top w:val="none" w:sz="0" w:space="0" w:color="auto"/>
                                        <w:left w:val="none" w:sz="0" w:space="0" w:color="auto"/>
                                        <w:bottom w:val="none" w:sz="0" w:space="0" w:color="auto"/>
                                        <w:right w:val="none" w:sz="0" w:space="0" w:color="auto"/>
                                      </w:divBdr>
                                    </w:div>
                                    <w:div w:id="2097021470">
                                      <w:marLeft w:val="0"/>
                                      <w:marRight w:val="0"/>
                                      <w:marTop w:val="0"/>
                                      <w:marBottom w:val="0"/>
                                      <w:divBdr>
                                        <w:top w:val="none" w:sz="0" w:space="0" w:color="auto"/>
                                        <w:left w:val="none" w:sz="0" w:space="0" w:color="auto"/>
                                        <w:bottom w:val="none" w:sz="0" w:space="0" w:color="auto"/>
                                        <w:right w:val="none" w:sz="0" w:space="0" w:color="auto"/>
                                      </w:divBdr>
                                    </w:div>
                                    <w:div w:id="1093936989">
                                      <w:marLeft w:val="0"/>
                                      <w:marRight w:val="0"/>
                                      <w:marTop w:val="0"/>
                                      <w:marBottom w:val="0"/>
                                      <w:divBdr>
                                        <w:top w:val="none" w:sz="0" w:space="0" w:color="auto"/>
                                        <w:left w:val="none" w:sz="0" w:space="0" w:color="auto"/>
                                        <w:bottom w:val="none" w:sz="0" w:space="0" w:color="auto"/>
                                        <w:right w:val="none" w:sz="0" w:space="0" w:color="auto"/>
                                      </w:divBdr>
                                    </w:div>
                                    <w:div w:id="919755687">
                                      <w:marLeft w:val="0"/>
                                      <w:marRight w:val="0"/>
                                      <w:marTop w:val="0"/>
                                      <w:marBottom w:val="0"/>
                                      <w:divBdr>
                                        <w:top w:val="none" w:sz="0" w:space="0" w:color="auto"/>
                                        <w:left w:val="none" w:sz="0" w:space="0" w:color="auto"/>
                                        <w:bottom w:val="none" w:sz="0" w:space="0" w:color="auto"/>
                                        <w:right w:val="none" w:sz="0" w:space="0" w:color="auto"/>
                                      </w:divBdr>
                                    </w:div>
                                    <w:div w:id="903178755">
                                      <w:marLeft w:val="0"/>
                                      <w:marRight w:val="0"/>
                                      <w:marTop w:val="0"/>
                                      <w:marBottom w:val="0"/>
                                      <w:divBdr>
                                        <w:top w:val="none" w:sz="0" w:space="0" w:color="auto"/>
                                        <w:left w:val="none" w:sz="0" w:space="0" w:color="auto"/>
                                        <w:bottom w:val="none" w:sz="0" w:space="0" w:color="auto"/>
                                        <w:right w:val="none" w:sz="0" w:space="0" w:color="auto"/>
                                      </w:divBdr>
                                    </w:div>
                                    <w:div w:id="176894779">
                                      <w:marLeft w:val="0"/>
                                      <w:marRight w:val="0"/>
                                      <w:marTop w:val="0"/>
                                      <w:marBottom w:val="0"/>
                                      <w:divBdr>
                                        <w:top w:val="none" w:sz="0" w:space="0" w:color="auto"/>
                                        <w:left w:val="none" w:sz="0" w:space="0" w:color="auto"/>
                                        <w:bottom w:val="none" w:sz="0" w:space="0" w:color="auto"/>
                                        <w:right w:val="none" w:sz="0" w:space="0" w:color="auto"/>
                                      </w:divBdr>
                                    </w:div>
                                    <w:div w:id="98959915">
                                      <w:marLeft w:val="0"/>
                                      <w:marRight w:val="0"/>
                                      <w:marTop w:val="0"/>
                                      <w:marBottom w:val="0"/>
                                      <w:divBdr>
                                        <w:top w:val="none" w:sz="0" w:space="0" w:color="auto"/>
                                        <w:left w:val="none" w:sz="0" w:space="0" w:color="auto"/>
                                        <w:bottom w:val="none" w:sz="0" w:space="0" w:color="auto"/>
                                        <w:right w:val="none" w:sz="0" w:space="0" w:color="auto"/>
                                      </w:divBdr>
                                    </w:div>
                                    <w:div w:id="960261061">
                                      <w:marLeft w:val="0"/>
                                      <w:marRight w:val="0"/>
                                      <w:marTop w:val="0"/>
                                      <w:marBottom w:val="0"/>
                                      <w:divBdr>
                                        <w:top w:val="none" w:sz="0" w:space="0" w:color="auto"/>
                                        <w:left w:val="none" w:sz="0" w:space="0" w:color="auto"/>
                                        <w:bottom w:val="none" w:sz="0" w:space="0" w:color="auto"/>
                                        <w:right w:val="none" w:sz="0" w:space="0" w:color="auto"/>
                                      </w:divBdr>
                                    </w:div>
                                    <w:div w:id="35744788">
                                      <w:marLeft w:val="0"/>
                                      <w:marRight w:val="0"/>
                                      <w:marTop w:val="0"/>
                                      <w:marBottom w:val="0"/>
                                      <w:divBdr>
                                        <w:top w:val="none" w:sz="0" w:space="0" w:color="auto"/>
                                        <w:left w:val="none" w:sz="0" w:space="0" w:color="auto"/>
                                        <w:bottom w:val="none" w:sz="0" w:space="0" w:color="auto"/>
                                        <w:right w:val="none" w:sz="0" w:space="0" w:color="auto"/>
                                      </w:divBdr>
                                    </w:div>
                                    <w:div w:id="1371998103">
                                      <w:marLeft w:val="0"/>
                                      <w:marRight w:val="0"/>
                                      <w:marTop w:val="0"/>
                                      <w:marBottom w:val="0"/>
                                      <w:divBdr>
                                        <w:top w:val="none" w:sz="0" w:space="0" w:color="auto"/>
                                        <w:left w:val="none" w:sz="0" w:space="0" w:color="auto"/>
                                        <w:bottom w:val="none" w:sz="0" w:space="0" w:color="auto"/>
                                        <w:right w:val="none" w:sz="0" w:space="0" w:color="auto"/>
                                      </w:divBdr>
                                    </w:div>
                                    <w:div w:id="641925603">
                                      <w:marLeft w:val="0"/>
                                      <w:marRight w:val="0"/>
                                      <w:marTop w:val="0"/>
                                      <w:marBottom w:val="0"/>
                                      <w:divBdr>
                                        <w:top w:val="none" w:sz="0" w:space="0" w:color="auto"/>
                                        <w:left w:val="none" w:sz="0" w:space="0" w:color="auto"/>
                                        <w:bottom w:val="none" w:sz="0" w:space="0" w:color="auto"/>
                                        <w:right w:val="none" w:sz="0" w:space="0" w:color="auto"/>
                                      </w:divBdr>
                                    </w:div>
                                    <w:div w:id="1592542753">
                                      <w:marLeft w:val="0"/>
                                      <w:marRight w:val="0"/>
                                      <w:marTop w:val="0"/>
                                      <w:marBottom w:val="0"/>
                                      <w:divBdr>
                                        <w:top w:val="none" w:sz="0" w:space="0" w:color="auto"/>
                                        <w:left w:val="none" w:sz="0" w:space="0" w:color="auto"/>
                                        <w:bottom w:val="none" w:sz="0" w:space="0" w:color="auto"/>
                                        <w:right w:val="none" w:sz="0" w:space="0" w:color="auto"/>
                                      </w:divBdr>
                                    </w:div>
                                    <w:div w:id="1972980662">
                                      <w:marLeft w:val="0"/>
                                      <w:marRight w:val="0"/>
                                      <w:marTop w:val="0"/>
                                      <w:marBottom w:val="0"/>
                                      <w:divBdr>
                                        <w:top w:val="none" w:sz="0" w:space="0" w:color="auto"/>
                                        <w:left w:val="none" w:sz="0" w:space="0" w:color="auto"/>
                                        <w:bottom w:val="none" w:sz="0" w:space="0" w:color="auto"/>
                                        <w:right w:val="none" w:sz="0" w:space="0" w:color="auto"/>
                                      </w:divBdr>
                                    </w:div>
                                    <w:div w:id="669261581">
                                      <w:marLeft w:val="0"/>
                                      <w:marRight w:val="0"/>
                                      <w:marTop w:val="0"/>
                                      <w:marBottom w:val="0"/>
                                      <w:divBdr>
                                        <w:top w:val="none" w:sz="0" w:space="0" w:color="auto"/>
                                        <w:left w:val="none" w:sz="0" w:space="0" w:color="auto"/>
                                        <w:bottom w:val="none" w:sz="0" w:space="0" w:color="auto"/>
                                        <w:right w:val="none" w:sz="0" w:space="0" w:color="auto"/>
                                      </w:divBdr>
                                    </w:div>
                                    <w:div w:id="867840697">
                                      <w:marLeft w:val="0"/>
                                      <w:marRight w:val="0"/>
                                      <w:marTop w:val="0"/>
                                      <w:marBottom w:val="0"/>
                                      <w:divBdr>
                                        <w:top w:val="none" w:sz="0" w:space="0" w:color="auto"/>
                                        <w:left w:val="none" w:sz="0" w:space="0" w:color="auto"/>
                                        <w:bottom w:val="none" w:sz="0" w:space="0" w:color="auto"/>
                                        <w:right w:val="none" w:sz="0" w:space="0" w:color="auto"/>
                                      </w:divBdr>
                                    </w:div>
                                    <w:div w:id="1896089450">
                                      <w:marLeft w:val="0"/>
                                      <w:marRight w:val="0"/>
                                      <w:marTop w:val="0"/>
                                      <w:marBottom w:val="0"/>
                                      <w:divBdr>
                                        <w:top w:val="none" w:sz="0" w:space="0" w:color="auto"/>
                                        <w:left w:val="none" w:sz="0" w:space="0" w:color="auto"/>
                                        <w:bottom w:val="none" w:sz="0" w:space="0" w:color="auto"/>
                                        <w:right w:val="none" w:sz="0" w:space="0" w:color="auto"/>
                                      </w:divBdr>
                                    </w:div>
                                    <w:div w:id="1706517844">
                                      <w:marLeft w:val="0"/>
                                      <w:marRight w:val="0"/>
                                      <w:marTop w:val="0"/>
                                      <w:marBottom w:val="0"/>
                                      <w:divBdr>
                                        <w:top w:val="none" w:sz="0" w:space="0" w:color="auto"/>
                                        <w:left w:val="none" w:sz="0" w:space="0" w:color="auto"/>
                                        <w:bottom w:val="none" w:sz="0" w:space="0" w:color="auto"/>
                                        <w:right w:val="none" w:sz="0" w:space="0" w:color="auto"/>
                                      </w:divBdr>
                                    </w:div>
                                    <w:div w:id="1959681846">
                                      <w:marLeft w:val="0"/>
                                      <w:marRight w:val="0"/>
                                      <w:marTop w:val="0"/>
                                      <w:marBottom w:val="0"/>
                                      <w:divBdr>
                                        <w:top w:val="none" w:sz="0" w:space="0" w:color="auto"/>
                                        <w:left w:val="none" w:sz="0" w:space="0" w:color="auto"/>
                                        <w:bottom w:val="none" w:sz="0" w:space="0" w:color="auto"/>
                                        <w:right w:val="none" w:sz="0" w:space="0" w:color="auto"/>
                                      </w:divBdr>
                                    </w:div>
                                    <w:div w:id="740637025">
                                      <w:marLeft w:val="0"/>
                                      <w:marRight w:val="0"/>
                                      <w:marTop w:val="0"/>
                                      <w:marBottom w:val="0"/>
                                      <w:divBdr>
                                        <w:top w:val="none" w:sz="0" w:space="0" w:color="auto"/>
                                        <w:left w:val="none" w:sz="0" w:space="0" w:color="auto"/>
                                        <w:bottom w:val="none" w:sz="0" w:space="0" w:color="auto"/>
                                        <w:right w:val="none" w:sz="0" w:space="0" w:color="auto"/>
                                      </w:divBdr>
                                    </w:div>
                                    <w:div w:id="1536458562">
                                      <w:marLeft w:val="0"/>
                                      <w:marRight w:val="0"/>
                                      <w:marTop w:val="0"/>
                                      <w:marBottom w:val="0"/>
                                      <w:divBdr>
                                        <w:top w:val="none" w:sz="0" w:space="0" w:color="auto"/>
                                        <w:left w:val="none" w:sz="0" w:space="0" w:color="auto"/>
                                        <w:bottom w:val="none" w:sz="0" w:space="0" w:color="auto"/>
                                        <w:right w:val="none" w:sz="0" w:space="0" w:color="auto"/>
                                      </w:divBdr>
                                    </w:div>
                                    <w:div w:id="992413675">
                                      <w:marLeft w:val="0"/>
                                      <w:marRight w:val="0"/>
                                      <w:marTop w:val="0"/>
                                      <w:marBottom w:val="0"/>
                                      <w:divBdr>
                                        <w:top w:val="none" w:sz="0" w:space="0" w:color="auto"/>
                                        <w:left w:val="none" w:sz="0" w:space="0" w:color="auto"/>
                                        <w:bottom w:val="none" w:sz="0" w:space="0" w:color="auto"/>
                                        <w:right w:val="none" w:sz="0" w:space="0" w:color="auto"/>
                                      </w:divBdr>
                                    </w:div>
                                    <w:div w:id="1126655387">
                                      <w:marLeft w:val="0"/>
                                      <w:marRight w:val="0"/>
                                      <w:marTop w:val="0"/>
                                      <w:marBottom w:val="0"/>
                                      <w:divBdr>
                                        <w:top w:val="none" w:sz="0" w:space="0" w:color="auto"/>
                                        <w:left w:val="none" w:sz="0" w:space="0" w:color="auto"/>
                                        <w:bottom w:val="none" w:sz="0" w:space="0" w:color="auto"/>
                                        <w:right w:val="none" w:sz="0" w:space="0" w:color="auto"/>
                                      </w:divBdr>
                                    </w:div>
                                    <w:div w:id="2141025183">
                                      <w:marLeft w:val="0"/>
                                      <w:marRight w:val="0"/>
                                      <w:marTop w:val="0"/>
                                      <w:marBottom w:val="0"/>
                                      <w:divBdr>
                                        <w:top w:val="none" w:sz="0" w:space="0" w:color="auto"/>
                                        <w:left w:val="none" w:sz="0" w:space="0" w:color="auto"/>
                                        <w:bottom w:val="none" w:sz="0" w:space="0" w:color="auto"/>
                                        <w:right w:val="none" w:sz="0" w:space="0" w:color="auto"/>
                                      </w:divBdr>
                                    </w:div>
                                    <w:div w:id="1023894532">
                                      <w:marLeft w:val="0"/>
                                      <w:marRight w:val="0"/>
                                      <w:marTop w:val="0"/>
                                      <w:marBottom w:val="0"/>
                                      <w:divBdr>
                                        <w:top w:val="none" w:sz="0" w:space="0" w:color="auto"/>
                                        <w:left w:val="none" w:sz="0" w:space="0" w:color="auto"/>
                                        <w:bottom w:val="none" w:sz="0" w:space="0" w:color="auto"/>
                                        <w:right w:val="none" w:sz="0" w:space="0" w:color="auto"/>
                                      </w:divBdr>
                                    </w:div>
                                    <w:div w:id="352458799">
                                      <w:marLeft w:val="0"/>
                                      <w:marRight w:val="0"/>
                                      <w:marTop w:val="0"/>
                                      <w:marBottom w:val="0"/>
                                      <w:divBdr>
                                        <w:top w:val="none" w:sz="0" w:space="0" w:color="auto"/>
                                        <w:left w:val="none" w:sz="0" w:space="0" w:color="auto"/>
                                        <w:bottom w:val="none" w:sz="0" w:space="0" w:color="auto"/>
                                        <w:right w:val="none" w:sz="0" w:space="0" w:color="auto"/>
                                      </w:divBdr>
                                    </w:div>
                                    <w:div w:id="1343430051">
                                      <w:marLeft w:val="0"/>
                                      <w:marRight w:val="0"/>
                                      <w:marTop w:val="0"/>
                                      <w:marBottom w:val="0"/>
                                      <w:divBdr>
                                        <w:top w:val="none" w:sz="0" w:space="0" w:color="auto"/>
                                        <w:left w:val="none" w:sz="0" w:space="0" w:color="auto"/>
                                        <w:bottom w:val="none" w:sz="0" w:space="0" w:color="auto"/>
                                        <w:right w:val="none" w:sz="0" w:space="0" w:color="auto"/>
                                      </w:divBdr>
                                    </w:div>
                                    <w:div w:id="194645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7730248">
      <w:bodyDiv w:val="1"/>
      <w:marLeft w:val="0"/>
      <w:marRight w:val="0"/>
      <w:marTop w:val="0"/>
      <w:marBottom w:val="0"/>
      <w:divBdr>
        <w:top w:val="none" w:sz="0" w:space="0" w:color="auto"/>
        <w:left w:val="none" w:sz="0" w:space="0" w:color="auto"/>
        <w:bottom w:val="none" w:sz="0" w:space="0" w:color="auto"/>
        <w:right w:val="none" w:sz="0" w:space="0" w:color="auto"/>
      </w:divBdr>
      <w:divsChild>
        <w:div w:id="1206287345">
          <w:marLeft w:val="0"/>
          <w:marRight w:val="0"/>
          <w:marTop w:val="0"/>
          <w:marBottom w:val="0"/>
          <w:divBdr>
            <w:top w:val="none" w:sz="0" w:space="0" w:color="auto"/>
            <w:left w:val="none" w:sz="0" w:space="0" w:color="auto"/>
            <w:bottom w:val="none" w:sz="0" w:space="0" w:color="auto"/>
            <w:right w:val="none" w:sz="0" w:space="0" w:color="auto"/>
          </w:divBdr>
          <w:divsChild>
            <w:div w:id="1676303672">
              <w:marLeft w:val="0"/>
              <w:marRight w:val="0"/>
              <w:marTop w:val="0"/>
              <w:marBottom w:val="0"/>
              <w:divBdr>
                <w:top w:val="none" w:sz="0" w:space="0" w:color="auto"/>
                <w:left w:val="none" w:sz="0" w:space="0" w:color="auto"/>
                <w:bottom w:val="none" w:sz="0" w:space="0" w:color="auto"/>
                <w:right w:val="none" w:sz="0" w:space="0" w:color="auto"/>
              </w:divBdr>
              <w:divsChild>
                <w:div w:id="671639905">
                  <w:marLeft w:val="0"/>
                  <w:marRight w:val="0"/>
                  <w:marTop w:val="0"/>
                  <w:marBottom w:val="0"/>
                  <w:divBdr>
                    <w:top w:val="none" w:sz="0" w:space="0" w:color="auto"/>
                    <w:left w:val="none" w:sz="0" w:space="0" w:color="auto"/>
                    <w:bottom w:val="none" w:sz="0" w:space="0" w:color="auto"/>
                    <w:right w:val="none" w:sz="0" w:space="0" w:color="auto"/>
                  </w:divBdr>
                  <w:divsChild>
                    <w:div w:id="332998616">
                      <w:marLeft w:val="0"/>
                      <w:marRight w:val="0"/>
                      <w:marTop w:val="0"/>
                      <w:marBottom w:val="0"/>
                      <w:divBdr>
                        <w:top w:val="none" w:sz="0" w:space="0" w:color="auto"/>
                        <w:left w:val="none" w:sz="0" w:space="0" w:color="auto"/>
                        <w:bottom w:val="none" w:sz="0" w:space="0" w:color="auto"/>
                        <w:right w:val="none" w:sz="0" w:space="0" w:color="auto"/>
                      </w:divBdr>
                      <w:divsChild>
                        <w:div w:id="69233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detectivebooks.ru/book/47013018/?page=25" TargetMode="External"/><Relationship Id="rId299" Type="http://schemas.openxmlformats.org/officeDocument/2006/relationships/hyperlink" Target="http://ru.wikipedia.org/wiki/%D0%9F%D0%B5%D1%80%D0%B2%D0%B0%D1%8F_%D0%BC%D0%B8%D1%80%D0%BE%D0%B2%D0%B0%D1%8F_%D0%B2%D0%BE%D0%B9%D0%BD%D0%B0" TargetMode="External"/><Relationship Id="rId21" Type="http://schemas.openxmlformats.org/officeDocument/2006/relationships/hyperlink" Target="http://www.bibliotekar.ru/biografii/9/46.htm" TargetMode="External"/><Relationship Id="rId63" Type="http://schemas.openxmlformats.org/officeDocument/2006/relationships/hyperlink" Target="http://airspot.ru/catalogue/item/blackburn-b-3" TargetMode="External"/><Relationship Id="rId159" Type="http://schemas.openxmlformats.org/officeDocument/2006/relationships/hyperlink" Target="http://www.rpg-club.com/x1000" TargetMode="External"/><Relationship Id="rId324" Type="http://schemas.openxmlformats.org/officeDocument/2006/relationships/hyperlink" Target="http://www.leanok.ru/2015/07/tsvetmetzoloto-and-copper-mines-in-1930.html" TargetMode="External"/><Relationship Id="rId170" Type="http://schemas.openxmlformats.org/officeDocument/2006/relationships/hyperlink" Target="http://www.rpg-club.com/x1000" TargetMode="External"/><Relationship Id="rId226" Type="http://schemas.openxmlformats.org/officeDocument/2006/relationships/hyperlink" Target="http://www.rpg-club.com/x1000" TargetMode="External"/><Relationship Id="rId268" Type="http://schemas.openxmlformats.org/officeDocument/2006/relationships/hyperlink" Target="http://ru.wikipedia.org/wiki/%D0%92%D0%BE%D0%B4%D0%BE%D0%B8%D0%B7%D0%BC%D0%B5%D1%89%D0%B5%D0%BD%D0%B8%D0%B5" TargetMode="External"/><Relationship Id="rId32" Type="http://schemas.openxmlformats.org/officeDocument/2006/relationships/hyperlink" Target="http://www.hrono.ru/biograf/bio_b/baranov_pi.php" TargetMode="External"/><Relationship Id="rId74" Type="http://schemas.openxmlformats.org/officeDocument/2006/relationships/hyperlink" Target="http://detectivebooks.ru/book/47013018/?page=16" TargetMode="External"/><Relationship Id="rId128" Type="http://schemas.openxmlformats.org/officeDocument/2006/relationships/hyperlink" Target="http://detectivebooks.ru/book/47013018/?page=16" TargetMode="External"/><Relationship Id="rId5" Type="http://schemas.openxmlformats.org/officeDocument/2006/relationships/webSettings" Target="webSettings.xml"/><Relationship Id="rId181" Type="http://schemas.openxmlformats.org/officeDocument/2006/relationships/hyperlink" Target="http://www.airwar.ru/enc/cw1/hp43.html" TargetMode="External"/><Relationship Id="rId237" Type="http://schemas.openxmlformats.org/officeDocument/2006/relationships/hyperlink" Target="http://www.hrono.info/biograf/bio_o/orzonikidze.php" TargetMode="External"/><Relationship Id="rId279" Type="http://schemas.openxmlformats.org/officeDocument/2006/relationships/hyperlink" Target="http://www.rpg-club.com/x1000" TargetMode="External"/><Relationship Id="rId43" Type="http://schemas.openxmlformats.org/officeDocument/2006/relationships/hyperlink" Target="http://www.hrono.ru/biograf/bio_f/feldmanbm.php" TargetMode="External"/><Relationship Id="rId139" Type="http://schemas.openxmlformats.org/officeDocument/2006/relationships/hyperlink" Target="http://www.hrono.ru/biograf/bio_we/voroshilov.php" TargetMode="External"/><Relationship Id="rId290" Type="http://schemas.openxmlformats.org/officeDocument/2006/relationships/hyperlink" Target="http://www.rpg-club.com/x1000" TargetMode="External"/><Relationship Id="rId304" Type="http://schemas.openxmlformats.org/officeDocument/2006/relationships/hyperlink" Target="http://www.airaces.ru/tag/bombardirovshhiki-sssr/" TargetMode="External"/><Relationship Id="rId85" Type="http://schemas.openxmlformats.org/officeDocument/2006/relationships/hyperlink" Target="http://www.rpg-club.com/x1000" TargetMode="External"/><Relationship Id="rId150" Type="http://schemas.openxmlformats.org/officeDocument/2006/relationships/hyperlink" Target="http://warspot.ru/4365-shvedskie-tanki-otto-merkera" TargetMode="External"/><Relationship Id="rId192" Type="http://schemas.openxmlformats.org/officeDocument/2006/relationships/hyperlink" Target="http://www.airwar.ru/enc/law1/rwd5.html" TargetMode="External"/><Relationship Id="rId206" Type="http://schemas.openxmlformats.org/officeDocument/2006/relationships/hyperlink" Target="http://www.rpg-club.com/x1000" TargetMode="External"/><Relationship Id="rId248" Type="http://schemas.openxmlformats.org/officeDocument/2006/relationships/hyperlink" Target="http://www.rpg-club.com/x1000" TargetMode="External"/><Relationship Id="rId12" Type="http://schemas.openxmlformats.org/officeDocument/2006/relationships/hyperlink" Target="http://www.hrono.ru/biograf/bio_t/tuhachevski.php" TargetMode="External"/><Relationship Id="rId108" Type="http://schemas.openxmlformats.org/officeDocument/2006/relationships/hyperlink" Target="http://www.rpg-club.com/x1000" TargetMode="External"/><Relationship Id="rId315" Type="http://schemas.openxmlformats.org/officeDocument/2006/relationships/hyperlink" Target="https://warspot.ru/2659-t-28-vozvraschenie-k-zhizni" TargetMode="External"/><Relationship Id="rId54" Type="http://schemas.openxmlformats.org/officeDocument/2006/relationships/hyperlink" Target="http://www.airwar.ru/enc/fww1/gambet.html" TargetMode="External"/><Relationship Id="rId96" Type="http://schemas.openxmlformats.org/officeDocument/2006/relationships/hyperlink" Target="http://base13.glasnet.ru/text/mbr2/mbr2.htm" TargetMode="External"/><Relationship Id="rId161" Type="http://schemas.openxmlformats.org/officeDocument/2006/relationships/hyperlink" Target="http://www.rpg-club.com/x1000" TargetMode="External"/><Relationship Id="rId217" Type="http://schemas.openxmlformats.org/officeDocument/2006/relationships/hyperlink" Target="http://www.rpg-club.com/x1000" TargetMode="External"/><Relationship Id="rId259" Type="http://schemas.openxmlformats.org/officeDocument/2006/relationships/hyperlink" Target="https://ru.wikipedia.org/wiki/%D0%9D%D0%B0%D1%86%D0%B8%D0%BE%D0%BD%D0%B0%D0%BB-%D1%81%D0%BE%D1%86%D0%B8%D0%B0%D0%BB%D0%B8%D1%81%D1%82%D0%B8%D1%87%D0%B5%D1%81%D0%BA%D0%B0%D1%8F_%D0%BD%D0%B5%D0%BC%D0%B5%D1%86%D0%BA%D0%B0%D1%8F_%D1%80%D0%B0%D0%B1%D0%BE%D1%87%D0%B0%D1%8F_%D0%BF%D0%B0%D1%80%D1%82%D0%B8%D1%8F" TargetMode="External"/><Relationship Id="rId23" Type="http://schemas.openxmlformats.org/officeDocument/2006/relationships/hyperlink" Target="http://www.rpg-club.com/x1000" TargetMode="External"/><Relationship Id="rId119" Type="http://schemas.openxmlformats.org/officeDocument/2006/relationships/hyperlink" Target="http://www.airwar.ru/enc/cw1/aw15.html" TargetMode="External"/><Relationship Id="rId270" Type="http://schemas.openxmlformats.org/officeDocument/2006/relationships/hyperlink" Target="http://ru.wikipedia.org/wiki/%D0%98%D1%81%D0%BF%D0%B0%D0%BD%D0%B8%D1%8F" TargetMode="External"/><Relationship Id="rId326" Type="http://schemas.openxmlformats.org/officeDocument/2006/relationships/hyperlink" Target="http://www.rpg-club.com/x1000" TargetMode="External"/><Relationship Id="rId65" Type="http://schemas.openxmlformats.org/officeDocument/2006/relationships/hyperlink" Target="http://www.airwar.ru/enc/flyboat/late500.html" TargetMode="External"/><Relationship Id="rId130" Type="http://schemas.openxmlformats.org/officeDocument/2006/relationships/hyperlink" Target="http://www.airwar.ru/enc/fww2/d500.html" TargetMode="External"/><Relationship Id="rId172" Type="http://schemas.openxmlformats.org/officeDocument/2006/relationships/hyperlink" Target="http://warspot.ru/5911-bystrohodnyy-tank-po-nemetski" TargetMode="External"/><Relationship Id="rId228" Type="http://schemas.openxmlformats.org/officeDocument/2006/relationships/hyperlink" Target="http://www.rpg-club.com/x1000" TargetMode="External"/><Relationship Id="rId281" Type="http://schemas.openxmlformats.org/officeDocument/2006/relationships/hyperlink" Target="http://ru.wikipedia.org/wiki/7_%D0%B4%D0%B5%D0%BA%D0%B0%D0%B1%D1%80%D1%8F" TargetMode="External"/><Relationship Id="rId34" Type="http://schemas.openxmlformats.org/officeDocument/2006/relationships/hyperlink" Target="http://www.hrono.ru/biograf/bio_k/kaganovich_mm.php" TargetMode="External"/><Relationship Id="rId76" Type="http://schemas.openxmlformats.org/officeDocument/2006/relationships/hyperlink" Target="http://www.rpg-club.com/x1000" TargetMode="External"/><Relationship Id="rId141" Type="http://schemas.openxmlformats.org/officeDocument/2006/relationships/hyperlink" Target="http://www.hrono.ru/biograf/bio_a/agranov_jakov.php" TargetMode="External"/><Relationship Id="rId7" Type="http://schemas.openxmlformats.org/officeDocument/2006/relationships/endnotes" Target="endnotes.xml"/><Relationship Id="rId183" Type="http://schemas.openxmlformats.org/officeDocument/2006/relationships/hyperlink" Target="http://warspot.ru/6240-tyaglovaya-sila" TargetMode="External"/><Relationship Id="rId239" Type="http://schemas.openxmlformats.org/officeDocument/2006/relationships/hyperlink" Target="https://t34inform.ru/doc/1932-10-09_Chelpan-Lebedev.html" TargetMode="External"/><Relationship Id="rId250" Type="http://schemas.openxmlformats.org/officeDocument/2006/relationships/hyperlink" Target="https://t34inform.ru/doc/1932-11-15_VPHPZ-02168-K.html" TargetMode="External"/><Relationship Id="rId292" Type="http://schemas.openxmlformats.org/officeDocument/2006/relationships/hyperlink" Target="http://www.rpg-club.com/x1000" TargetMode="External"/><Relationship Id="rId306" Type="http://schemas.openxmlformats.org/officeDocument/2006/relationships/hyperlink" Target="http://www.airaces.ru/stati/proizvodstvo-samoletov-v-sssr-v-pervojj-pyatiletke-1928-1933-gody.html" TargetMode="External"/><Relationship Id="rId24" Type="http://schemas.openxmlformats.org/officeDocument/2006/relationships/hyperlink" Target="http://www.rpg-club.com/x1000" TargetMode="External"/><Relationship Id="rId45" Type="http://schemas.openxmlformats.org/officeDocument/2006/relationships/hyperlink" Target="http://www.hrono.ru/biograf/bio_k/kaganovich_mm.php" TargetMode="External"/><Relationship Id="rId66" Type="http://schemas.openxmlformats.org/officeDocument/2006/relationships/hyperlink" Target="javascript:showRemark(1002852)" TargetMode="External"/><Relationship Id="rId87" Type="http://schemas.openxmlformats.org/officeDocument/2006/relationships/hyperlink" Target="http://www.e-reading.club/chapter.php/1005087/33/Gorlov_Sergey_-_Sovershenno_sekretno__Alyans_Moskva_-_Berlin_1920-1933_gg..html" TargetMode="External"/><Relationship Id="rId110" Type="http://schemas.openxmlformats.org/officeDocument/2006/relationships/hyperlink" Target="http://www.hrono.ru/biograf/bio_b/baranov_pi.php" TargetMode="External"/><Relationship Id="rId131" Type="http://schemas.openxmlformats.org/officeDocument/2006/relationships/hyperlink" Target="http://www.airwar.ru/enc/law1/air5.html" TargetMode="External"/><Relationship Id="rId327" Type="http://schemas.openxmlformats.org/officeDocument/2006/relationships/hyperlink" Target="http://www.rpg-club.com/x1000" TargetMode="External"/><Relationship Id="rId152" Type="http://schemas.openxmlformats.org/officeDocument/2006/relationships/hyperlink" Target="http://warspot.ru/4365-shvedskie-tanki-otto-merkera" TargetMode="External"/><Relationship Id="rId173" Type="http://schemas.openxmlformats.org/officeDocument/2006/relationships/hyperlink" Target="http://www.airwar.ru/enc/fww2/p26.html" TargetMode="External"/><Relationship Id="rId194" Type="http://schemas.openxmlformats.org/officeDocument/2006/relationships/hyperlink" Target="http://crimso.msk.ru/Site/Crafts/Craft30948.htm" TargetMode="External"/><Relationship Id="rId208" Type="http://schemas.openxmlformats.org/officeDocument/2006/relationships/hyperlink" Target="http://www.rpg-club.com/x1000" TargetMode="External"/><Relationship Id="rId229" Type="http://schemas.openxmlformats.org/officeDocument/2006/relationships/hyperlink" Target="http://www.rpg-club.com/x1000" TargetMode="External"/><Relationship Id="rId240" Type="http://schemas.openxmlformats.org/officeDocument/2006/relationships/hyperlink" Target="http://www.rpg-club.com/x1000" TargetMode="External"/><Relationship Id="rId261" Type="http://schemas.openxmlformats.org/officeDocument/2006/relationships/hyperlink" Target="https://ru.wikipedia.org/wiki/%D0%9D%D0%B5%D0%BC%D0%B5%D1%86%D0%BA%D0%B0%D1%8F_%D0%BD%D0%B0%D1%86%D0%B8%D0%BE%D0%BD%D0%B0%D0%BB%D1%8C%D0%BD%D0%B0%D1%8F_%D0%BD%D0%B0%D1%80%D0%BE%D0%B4%D0%BD%D0%B0%D1%8F_%D0%BF%D0%B0%D1%80%D1%82%D0%B8%D1%8F" TargetMode="External"/><Relationship Id="rId14" Type="http://schemas.openxmlformats.org/officeDocument/2006/relationships/hyperlink" Target="http://1937god.info/node/116" TargetMode="External"/><Relationship Id="rId35" Type="http://schemas.openxmlformats.org/officeDocument/2006/relationships/hyperlink" Target="http://istmat.info/node/48903" TargetMode="External"/><Relationship Id="rId56" Type="http://schemas.openxmlformats.org/officeDocument/2006/relationships/hyperlink" Target="http://airspot.ru/catalogue/item/gloster-tc-33" TargetMode="External"/><Relationship Id="rId77" Type="http://schemas.openxmlformats.org/officeDocument/2006/relationships/hyperlink" Target="http://www.rpg-club.com/x1000" TargetMode="External"/><Relationship Id="rId100" Type="http://schemas.openxmlformats.org/officeDocument/2006/relationships/hyperlink" Target="http://istmat.info/node/30360" TargetMode="External"/><Relationship Id="rId282" Type="http://schemas.openxmlformats.org/officeDocument/2006/relationships/hyperlink" Target="http://ru.wikipedia.org/wiki/%D0%98%D1%81%D0%BF%D0%B0%D0%BD%D0%B8%D1%8F" TargetMode="External"/><Relationship Id="rId317" Type="http://schemas.openxmlformats.org/officeDocument/2006/relationships/hyperlink" Target="http://detectivebooks.ru/book/47013018/?page=30" TargetMode="External"/><Relationship Id="rId8" Type="http://schemas.openxmlformats.org/officeDocument/2006/relationships/hyperlink" Target="http://helion-ltd.ru/remove-people-shash" TargetMode="External"/><Relationship Id="rId98" Type="http://schemas.openxmlformats.org/officeDocument/2006/relationships/hyperlink" Target="http://www.hrono.ru/biograf/bio_s/stalin_iv.php" TargetMode="External"/><Relationship Id="rId121" Type="http://schemas.openxmlformats.org/officeDocument/2006/relationships/hyperlink" Target="http://airspot.ru/catalogue/item/blackburn-ca-15" TargetMode="External"/><Relationship Id="rId142" Type="http://schemas.openxmlformats.org/officeDocument/2006/relationships/hyperlink" Target="http://www.geokorolev.ru/biography/biography_person_kurchevskiy.html" TargetMode="External"/><Relationship Id="rId163" Type="http://schemas.openxmlformats.org/officeDocument/2006/relationships/hyperlink" Target="http://www.rpg-club.com/x1000" TargetMode="External"/><Relationship Id="rId184" Type="http://schemas.openxmlformats.org/officeDocument/2006/relationships/hyperlink" Target="http://stalin.memo.ru/spravki/13-265.HTM" TargetMode="External"/><Relationship Id="rId219" Type="http://schemas.openxmlformats.org/officeDocument/2006/relationships/hyperlink" Target="http://www.rpg-club.com/x1000" TargetMode="External"/><Relationship Id="rId230" Type="http://schemas.openxmlformats.org/officeDocument/2006/relationships/hyperlink" Target="http://detectivebooks.ru/book/47013018/?page=10" TargetMode="External"/><Relationship Id="rId251" Type="http://schemas.openxmlformats.org/officeDocument/2006/relationships/hyperlink" Target="http://detectivebooks.ru/book/47013018/?page=10" TargetMode="External"/><Relationship Id="rId25" Type="http://schemas.openxmlformats.org/officeDocument/2006/relationships/hyperlink" Target="http://www.rpg-club.com/x1000" TargetMode="External"/><Relationship Id="rId46" Type="http://schemas.openxmlformats.org/officeDocument/2006/relationships/hyperlink" Target="http://ru.wikipedia.org/wiki/%D2%E5%E2%EE%F1%FF%ED,_%C8%E2%E0%ED_%D4%B8%E4%EE%F0%EE%E2%E8%F7" TargetMode="External"/><Relationship Id="rId67" Type="http://schemas.openxmlformats.org/officeDocument/2006/relationships/hyperlink" Target="http://aviarmor.net/aww2/aircraft/usa/martin_b10.htm" TargetMode="External"/><Relationship Id="rId272" Type="http://schemas.openxmlformats.org/officeDocument/2006/relationships/hyperlink" Target="http://ru.wikipedia.org/wiki/%D0%92%D0%B5%D1%80%D1%81%D0%B0%D0%BB%D1%8C%D1%81%D0%BA%D0%B8%D0%B9_%D0%BC%D0%B8%D1%80%D0%BD%D1%8B%D0%B9_%D0%B4%D0%BE%D0%B3%D0%BE%D0%B2%D0%BE%D1%80_1919" TargetMode="External"/><Relationship Id="rId293" Type="http://schemas.openxmlformats.org/officeDocument/2006/relationships/hyperlink" Target="http://ru.wikipedia.org/wiki/7_%D0%B4%D0%B5%D0%BA%D0%B0%D0%B1%D1%80%D1%8F" TargetMode="External"/><Relationship Id="rId307" Type="http://schemas.openxmlformats.org/officeDocument/2006/relationships/hyperlink" Target="http://www.airaces.ru/stati/proizvodstvo-samoletov-v-sssr-v-pervojj-pyatiletke-1928-1933-gody.html" TargetMode="External"/><Relationship Id="rId328" Type="http://schemas.openxmlformats.org/officeDocument/2006/relationships/hyperlink" Target="http://www.rpg-club.com/x1000" TargetMode="External"/><Relationship Id="rId88" Type="http://schemas.openxmlformats.org/officeDocument/2006/relationships/hyperlink" Target="http://detectivebooks.ru/book/47013018/?page=46" TargetMode="External"/><Relationship Id="rId111" Type="http://schemas.openxmlformats.org/officeDocument/2006/relationships/hyperlink" Target="http://www.hrono.ru/biograf/bio_k/kuybyshev_vv.php" TargetMode="External"/><Relationship Id="rId132" Type="http://schemas.openxmlformats.org/officeDocument/2006/relationships/hyperlink" Target="http://www.hrono.ru/biograf/bio_h/halepski_ia.php" TargetMode="External"/><Relationship Id="rId153" Type="http://schemas.openxmlformats.org/officeDocument/2006/relationships/hyperlink" Target="http://www.airwar.ru/enc/cw1/fokf18.html" TargetMode="External"/><Relationship Id="rId174" Type="http://schemas.openxmlformats.org/officeDocument/2006/relationships/hyperlink" Target="http://www.airforce.ru/aircraft/miscellaneous/lr/index.htm" TargetMode="External"/><Relationship Id="rId195" Type="http://schemas.openxmlformats.org/officeDocument/2006/relationships/hyperlink" Target="http://vadimvswar.narod.ru/ALL_OUT/AiKOut09/HelRecHi/HelRecHi007.htm" TargetMode="External"/><Relationship Id="rId209" Type="http://schemas.openxmlformats.org/officeDocument/2006/relationships/hyperlink" Target="http://www.rpg-club.com/x1000" TargetMode="External"/><Relationship Id="rId220" Type="http://schemas.openxmlformats.org/officeDocument/2006/relationships/hyperlink" Target="http://www.rpg-club.com/x1000" TargetMode="External"/><Relationship Id="rId241" Type="http://schemas.openxmlformats.org/officeDocument/2006/relationships/hyperlink" Target="http://www.rpg-club.com/x1000" TargetMode="External"/><Relationship Id="rId15" Type="http://schemas.openxmlformats.org/officeDocument/2006/relationships/hyperlink" Target="http://www.hrono.ru/biograf/bio_p/pavlunovski_ip.php" TargetMode="External"/><Relationship Id="rId36" Type="http://schemas.openxmlformats.org/officeDocument/2006/relationships/hyperlink" Target="http://www.airwar.ru/enc/cw1/k5.html" TargetMode="External"/><Relationship Id="rId57" Type="http://schemas.openxmlformats.org/officeDocument/2006/relationships/hyperlink" Target="http://airspot.ru/catalogue/item/latecoere-late-500-501" TargetMode="External"/><Relationship Id="rId262" Type="http://schemas.openxmlformats.org/officeDocument/2006/relationships/hyperlink" Target="http://all-crime.ru/khronograf/11/1107.htm" TargetMode="External"/><Relationship Id="rId283" Type="http://schemas.openxmlformats.org/officeDocument/2006/relationships/hyperlink" Target="http://ru.wikipedia.org/wiki/%D0%91%D0%B0%D0%BB%D0%BB%D0%B0%D1%81%D1%82%D0%BD%D0%B0%D1%8F_%D1%86%D0%B8%D1%81%D1%82%D0%B5%D1%80%D0%BD%D0%B0" TargetMode="External"/><Relationship Id="rId318" Type="http://schemas.openxmlformats.org/officeDocument/2006/relationships/hyperlink" Target="http://detectivebooks.ru/book/47013018/?page=30" TargetMode="External"/><Relationship Id="rId78" Type="http://schemas.openxmlformats.org/officeDocument/2006/relationships/hyperlink" Target="http://www.rpg-club.com/x1000" TargetMode="External"/><Relationship Id="rId99" Type="http://schemas.openxmlformats.org/officeDocument/2006/relationships/hyperlink" Target="http://istmat.info/node/30279" TargetMode="External"/><Relationship Id="rId101" Type="http://schemas.openxmlformats.org/officeDocument/2006/relationships/hyperlink" Target="http://www.hrono.ru/biograf/bio_k/kuybyshev_nv.php" TargetMode="External"/><Relationship Id="rId122" Type="http://schemas.openxmlformats.org/officeDocument/2006/relationships/hyperlink" Target="http://www.hrono.ru/biograf/bio_p/pavlunovski_ip.php" TargetMode="External"/><Relationship Id="rId143" Type="http://schemas.openxmlformats.org/officeDocument/2006/relationships/hyperlink" Target="http://1937god.info/node/913" TargetMode="External"/><Relationship Id="rId164" Type="http://schemas.openxmlformats.org/officeDocument/2006/relationships/hyperlink" Target="http://www.rpg-club.com/x1000" TargetMode="External"/><Relationship Id="rId185" Type="http://schemas.openxmlformats.org/officeDocument/2006/relationships/hyperlink" Target="http://www.hrono.ru/biograf/bio_g/gamarnik_jan.php" TargetMode="External"/><Relationship Id="rId9" Type="http://schemas.openxmlformats.org/officeDocument/2006/relationships/hyperlink" Target="http://helion-ltd.ru/kola-special-places-shash" TargetMode="External"/><Relationship Id="rId210" Type="http://schemas.openxmlformats.org/officeDocument/2006/relationships/hyperlink" Target="http://www.rpg-club.com/x1000" TargetMode="External"/><Relationship Id="rId26" Type="http://schemas.openxmlformats.org/officeDocument/2006/relationships/hyperlink" Target="http://www.rpg-club.com/x1000" TargetMode="External"/><Relationship Id="rId231" Type="http://schemas.openxmlformats.org/officeDocument/2006/relationships/hyperlink" Target="http://detectivebooks.ru/book/47013018/?page=22" TargetMode="External"/><Relationship Id="rId252" Type="http://schemas.openxmlformats.org/officeDocument/2006/relationships/hyperlink" Target="http://detectivebooks.ru/book/47013018/?page=10" TargetMode="External"/><Relationship Id="rId273" Type="http://schemas.openxmlformats.org/officeDocument/2006/relationships/hyperlink" Target="http://ru.wikipedia.org/wiki/%D0%94%D0%B5%D1%88%D0%B8%D0%BC%D0%B0%D0%B3" TargetMode="External"/><Relationship Id="rId294" Type="http://schemas.openxmlformats.org/officeDocument/2006/relationships/hyperlink" Target="http://ru.wikipedia.org/wiki/%D0%98%D1%81%D0%BF%D0%B0%D0%BD%D0%B8%D1%8F" TargetMode="External"/><Relationship Id="rId308" Type="http://schemas.openxmlformats.org/officeDocument/2006/relationships/hyperlink" Target="http://www.airaces.ru/stati/proizvodstvo-samoletov-v-sssr-v-pervojj-pyatiletke-1928-1933-gody.html" TargetMode="External"/><Relationship Id="rId329" Type="http://schemas.openxmlformats.org/officeDocument/2006/relationships/hyperlink" Target="http://www.rpg-club.com/x1000" TargetMode="External"/><Relationship Id="rId47" Type="http://schemas.openxmlformats.org/officeDocument/2006/relationships/hyperlink" Target="http://www.hrono.ru/biograf/bio_m/molotov_vm.php" TargetMode="External"/><Relationship Id="rId68" Type="http://schemas.openxmlformats.org/officeDocument/2006/relationships/hyperlink" Target="http://www.rpg-club.com/x1000" TargetMode="External"/><Relationship Id="rId89" Type="http://schemas.openxmlformats.org/officeDocument/2006/relationships/hyperlink" Target="http://www.airwar.ru/enc/cw1/pzl16.html" TargetMode="External"/><Relationship Id="rId112" Type="http://schemas.openxmlformats.org/officeDocument/2006/relationships/hyperlink" Target="http://airspot.ru/catalogue/item/tupolev-i-12" TargetMode="External"/><Relationship Id="rId133" Type="http://schemas.openxmlformats.org/officeDocument/2006/relationships/hyperlink" Target="http://www.hrono.ru/biograf/bio_p/pavlunovski_ip.php" TargetMode="External"/><Relationship Id="rId154" Type="http://schemas.openxmlformats.org/officeDocument/2006/relationships/hyperlink" Target="http://www.airwar.ru/enc/cw1/s14.html" TargetMode="External"/><Relationship Id="rId175" Type="http://schemas.openxmlformats.org/officeDocument/2006/relationships/hyperlink" Target="http://www.airwar.ru/enc/fww1/jockey.html" TargetMode="External"/><Relationship Id="rId196" Type="http://schemas.openxmlformats.org/officeDocument/2006/relationships/hyperlink" Target="http://airspot.ru/catalogue/item/oskinis-bro-1-t-1" TargetMode="External"/><Relationship Id="rId200" Type="http://schemas.openxmlformats.org/officeDocument/2006/relationships/hyperlink" Target="http://www.airwar.ru/enc/other1/mb411.html" TargetMode="External"/><Relationship Id="rId16" Type="http://schemas.openxmlformats.org/officeDocument/2006/relationships/hyperlink" Target="http://www.hrono.ru/biograf/bio_k/kaganovich_mm.php" TargetMode="External"/><Relationship Id="rId221" Type="http://schemas.openxmlformats.org/officeDocument/2006/relationships/hyperlink" Target="http://www.rpg-club.com/x1000" TargetMode="External"/><Relationship Id="rId242" Type="http://schemas.openxmlformats.org/officeDocument/2006/relationships/hyperlink" Target="http://www.rpg-club.com/x1000" TargetMode="External"/><Relationship Id="rId263" Type="http://schemas.openxmlformats.org/officeDocument/2006/relationships/hyperlink" Target="http://all-crime.ru/khronograf/11/1107.htm" TargetMode="External"/><Relationship Id="rId284" Type="http://schemas.openxmlformats.org/officeDocument/2006/relationships/hyperlink" Target="http://ru.wikipedia.org/wiki/%D0%92%D0%B5%D1%80%D1%81%D0%B0%D0%BB%D1%8C%D1%81%D0%BA%D0%B8%D0%B9_%D0%BC%D0%B8%D1%80%D0%BD%D1%8B%D0%B9_%D0%B4%D0%BE%D0%B3%D0%BE%D0%B2%D0%BE%D1%80_1919" TargetMode="External"/><Relationship Id="rId319" Type="http://schemas.openxmlformats.org/officeDocument/2006/relationships/hyperlink" Target="http://www.telenir.net/transport_i_aviacija/aviaarhiv_1/p3.php" TargetMode="External"/><Relationship Id="rId37" Type="http://schemas.openxmlformats.org/officeDocument/2006/relationships/hyperlink" Target="http://istmat.info/node/54467" TargetMode="External"/><Relationship Id="rId58" Type="http://schemas.openxmlformats.org/officeDocument/2006/relationships/hyperlink" Target="http://biblioclub.ru/index.php?page=dicts&amp;query=%D1%81%D0%B5%D0%BB%D1%8C%D1%81%D0%BA%D0%BE%D1%85%D0%BE%D0%B7%D1%8F%D0%B9%D1%81%D1%82%D0%B2%D0%B5%D0%BD%D0%BD%D0%B0%D1%8F%20%D0%B0%D0%B2%D0%B8%D0%B0%D1%86%D0%B8%D1%8F" TargetMode="External"/><Relationship Id="rId79" Type="http://schemas.openxmlformats.org/officeDocument/2006/relationships/hyperlink" Target="http://www.rpg-club.com/x1000" TargetMode="External"/><Relationship Id="rId102" Type="http://schemas.openxmlformats.org/officeDocument/2006/relationships/hyperlink" Target="http://airspot.ru/catalogue/item/dornier-do-11" TargetMode="External"/><Relationship Id="rId123" Type="http://schemas.openxmlformats.org/officeDocument/2006/relationships/hyperlink" Target="http://flitched9000.livejournal.com/781909.html" TargetMode="External"/><Relationship Id="rId144" Type="http://schemas.openxmlformats.org/officeDocument/2006/relationships/hyperlink" Target="http://www.hrono.ru/biograf/bio_s/stalin_iv.php" TargetMode="External"/><Relationship Id="rId330" Type="http://schemas.openxmlformats.org/officeDocument/2006/relationships/hyperlink" Target="http://www.rpg-club.com/x1000" TargetMode="External"/><Relationship Id="rId90" Type="http://schemas.openxmlformats.org/officeDocument/2006/relationships/hyperlink" Target="http://www.airwar.ru/enc/cw1/as4.html" TargetMode="External"/><Relationship Id="rId165" Type="http://schemas.openxmlformats.org/officeDocument/2006/relationships/hyperlink" Target="http://www.rpg-club.com/x1000" TargetMode="External"/><Relationship Id="rId186" Type="http://schemas.openxmlformats.org/officeDocument/2006/relationships/hyperlink" Target="http://www.hrono.ru/biograf/bio_b/bljuher_vk.php" TargetMode="External"/><Relationship Id="rId211" Type="http://schemas.openxmlformats.org/officeDocument/2006/relationships/hyperlink" Target="http://www.rpg-club.com/x1000" TargetMode="External"/><Relationship Id="rId232" Type="http://schemas.openxmlformats.org/officeDocument/2006/relationships/hyperlink" Target="http://detectivebooks.ru/book/47013018/?page=40" TargetMode="External"/><Relationship Id="rId253" Type="http://schemas.openxmlformats.org/officeDocument/2006/relationships/hyperlink" Target="http://www.bibliotekar.ru/gulag/61.htm" TargetMode="External"/><Relationship Id="rId274" Type="http://schemas.openxmlformats.org/officeDocument/2006/relationships/hyperlink" Target="http://ru.wikipedia.org/wiki/%D0%9D%D0%B8%D0%B4%D0%B5%D1%80%D0%BB%D0%B0%D0%BD%D0%B4%D1%8B" TargetMode="External"/><Relationship Id="rId295" Type="http://schemas.openxmlformats.org/officeDocument/2006/relationships/hyperlink" Target="http://ru.wikipedia.org/wiki/%D0%91%D0%B0%D0%BB%D0%BB%D0%B0%D1%81%D1%82%D0%BD%D0%B0%D1%8F_%D1%86%D0%B8%D1%81%D1%82%D0%B5%D1%80%D0%BD%D0%B0" TargetMode="External"/><Relationship Id="rId309" Type="http://schemas.openxmlformats.org/officeDocument/2006/relationships/hyperlink" Target="http://www.airaces.ru/plane/voennye-samoljoty-sssr/tb-1-ant-4.html" TargetMode="External"/><Relationship Id="rId27" Type="http://schemas.openxmlformats.org/officeDocument/2006/relationships/hyperlink" Target="http://www.rpg-club.com/x1000" TargetMode="External"/><Relationship Id="rId48" Type="http://schemas.openxmlformats.org/officeDocument/2006/relationships/hyperlink" Target="http://www.citywalls.ru/house10314.html" TargetMode="External"/><Relationship Id="rId69" Type="http://schemas.openxmlformats.org/officeDocument/2006/relationships/hyperlink" Target="http://www.rpg-club.com/x1000" TargetMode="External"/><Relationship Id="rId113" Type="http://schemas.openxmlformats.org/officeDocument/2006/relationships/hyperlink" Target="http://detectivebooks.ru/book/47013018/?page=16" TargetMode="External"/><Relationship Id="rId134" Type="http://schemas.openxmlformats.org/officeDocument/2006/relationships/hyperlink" Target="http://www.hrono.ru/biograf/bio_o/orzonikidze.php" TargetMode="External"/><Relationship Id="rId320" Type="http://schemas.openxmlformats.org/officeDocument/2006/relationships/hyperlink" Target="http://www.leanok.ru/2015/07/inotehpomosh-sssr.html" TargetMode="External"/><Relationship Id="rId80" Type="http://schemas.openxmlformats.org/officeDocument/2006/relationships/hyperlink" Target="http://www.rpg-club.com/x1000" TargetMode="External"/><Relationship Id="rId155" Type="http://schemas.openxmlformats.org/officeDocument/2006/relationships/hyperlink" Target="http://www.airwar.ru/enc/sww2/sb2c.html" TargetMode="External"/><Relationship Id="rId176" Type="http://schemas.openxmlformats.org/officeDocument/2006/relationships/hyperlink" Target="https://t34inform.ru/doc/1932-07-09_Act-PGE.html" TargetMode="External"/><Relationship Id="rId197" Type="http://schemas.openxmlformats.org/officeDocument/2006/relationships/hyperlink" Target="http://www.airwar.ru/enc/bww2/vickers253.html" TargetMode="External"/><Relationship Id="rId201" Type="http://schemas.openxmlformats.org/officeDocument/2006/relationships/hyperlink" Target="http://istmat.info/node/57325" TargetMode="External"/><Relationship Id="rId222" Type="http://schemas.openxmlformats.org/officeDocument/2006/relationships/hyperlink" Target="http://www.rpg-club.com/x1000" TargetMode="External"/><Relationship Id="rId243" Type="http://schemas.openxmlformats.org/officeDocument/2006/relationships/hyperlink" Target="http://www.rpg-club.com/x1000" TargetMode="External"/><Relationship Id="rId264" Type="http://schemas.openxmlformats.org/officeDocument/2006/relationships/hyperlink" Target="http://istmat.info/node/58201" TargetMode="External"/><Relationship Id="rId285" Type="http://schemas.openxmlformats.org/officeDocument/2006/relationships/hyperlink" Target="http://ru.wikipedia.org/wiki/%D0%94%D0%B5%D1%88%D0%B8%D0%BC%D0%B0%D0%B3" TargetMode="External"/><Relationship Id="rId17" Type="http://schemas.openxmlformats.org/officeDocument/2006/relationships/hyperlink" Target="http://www.hrono.ru/biograf/bio_m/molotov_vm.php" TargetMode="External"/><Relationship Id="rId38" Type="http://schemas.openxmlformats.org/officeDocument/2006/relationships/hyperlink" Target="http://www.hrono.ru/biograf/bio_b/baranov_pi.php" TargetMode="External"/><Relationship Id="rId59" Type="http://schemas.openxmlformats.org/officeDocument/2006/relationships/hyperlink" Target="http://biblioclub.ru/index.php?page=dicts&amp;query=%D1%81%D0%B0%D0%BD%D0%B8%D1%82%D0%B0%D1%80%D0%BD%D0%B0%D1%8F%20%D0%B0%D0%B2%D0%B8%D0%B0%D1%86%D0%B8%D1%8F" TargetMode="External"/><Relationship Id="rId103" Type="http://schemas.openxmlformats.org/officeDocument/2006/relationships/hyperlink" Target="http://www.airwar.ru/enc/flyboat/mf4.html" TargetMode="External"/><Relationship Id="rId124" Type="http://schemas.openxmlformats.org/officeDocument/2006/relationships/hyperlink" Target="http://ru.wikipedia.org/wiki/%D0%9F%D0%B5%D1%80%D0%B5%D0%BF%D1%91%D0%BB%D0%BA%D0%B8%D0%BD,_%D0%AF%D0%BA%D0%BE%D0%B2_%D0%9D%D0%B8%D0%BA%D0%BE%D0%BB%D0%B0%D0%B5%D0%B2%D0%B8%D1%87" TargetMode="External"/><Relationship Id="rId310" Type="http://schemas.openxmlformats.org/officeDocument/2006/relationships/hyperlink" Target="http://www.airaces.ru/plane/voennye-samoljoty-sssr/tb-3.html" TargetMode="External"/><Relationship Id="rId70" Type="http://schemas.openxmlformats.org/officeDocument/2006/relationships/hyperlink" Target="http://www.rpg-club.com/x1000" TargetMode="External"/><Relationship Id="rId91" Type="http://schemas.openxmlformats.org/officeDocument/2006/relationships/hyperlink" Target="http://www.telenir.net/transport_i_aviacija/aviaarhiv_1/p3.php" TargetMode="External"/><Relationship Id="rId145" Type="http://schemas.openxmlformats.org/officeDocument/2006/relationships/hyperlink" Target="http://www.hrono.ru/biograf/bio_sh/shpitalny.html" TargetMode="External"/><Relationship Id="rId166" Type="http://schemas.openxmlformats.org/officeDocument/2006/relationships/hyperlink" Target="http://www.rpg-club.com/x1000" TargetMode="External"/><Relationship Id="rId187" Type="http://schemas.openxmlformats.org/officeDocument/2006/relationships/hyperlink" Target="http://detectivebooks.ru/book/47013018/?page=10" TargetMode="External"/><Relationship Id="rId331" Type="http://schemas.openxmlformats.org/officeDocument/2006/relationships/hyperlink" Target="http://www.rpg-club.com/x1000" TargetMode="External"/><Relationship Id="rId1" Type="http://schemas.openxmlformats.org/officeDocument/2006/relationships/customXml" Target="../customXml/item1.xml"/><Relationship Id="rId212" Type="http://schemas.openxmlformats.org/officeDocument/2006/relationships/hyperlink" Target="http://www.rpg-club.com/x1000" TargetMode="External"/><Relationship Id="rId233" Type="http://schemas.openxmlformats.org/officeDocument/2006/relationships/hyperlink" Target="http://www.rpg-club.com/x1000" TargetMode="External"/><Relationship Id="rId254" Type="http://schemas.openxmlformats.org/officeDocument/2006/relationships/hyperlink" Target="http://istmat.info/node/57806" TargetMode="External"/><Relationship Id="rId28" Type="http://schemas.openxmlformats.org/officeDocument/2006/relationships/hyperlink" Target="http://detectivebooks.ru/book/47013018/?page=26" TargetMode="External"/><Relationship Id="rId49" Type="http://schemas.openxmlformats.org/officeDocument/2006/relationships/hyperlink" Target="http://www.hrono.ru/biograf/bio_p/prokofev_ge.php" TargetMode="External"/><Relationship Id="rId114" Type="http://schemas.openxmlformats.org/officeDocument/2006/relationships/hyperlink" Target="http://detectivebooks.ru/book/47013018/?page=16" TargetMode="External"/><Relationship Id="rId275" Type="http://schemas.openxmlformats.org/officeDocument/2006/relationships/hyperlink" Target="http://ru.wikipedia.org/wiki/%D0%9F%D0%B5%D1%80%D0%B2%D0%B0%D1%8F_%D0%BC%D0%B8%D1%80%D0%BE%D0%B2%D0%B0%D1%8F_%D0%B2%D0%BE%D0%B9%D0%BD%D0%B0" TargetMode="External"/><Relationship Id="rId296" Type="http://schemas.openxmlformats.org/officeDocument/2006/relationships/hyperlink" Target="http://ru.wikipedia.org/wiki/%D0%92%D0%B5%D1%80%D1%81%D0%B0%D0%BB%D1%8C%D1%81%D0%BA%D0%B8%D0%B9_%D0%BC%D0%B8%D1%80%D0%BD%D1%8B%D0%B9_%D0%B4%D0%BE%D0%B3%D0%BE%D0%B2%D0%BE%D1%80_1919" TargetMode="External"/><Relationship Id="rId300" Type="http://schemas.openxmlformats.org/officeDocument/2006/relationships/hyperlink" Target="http://ru.wikipedia.org/wiki/%D0%9F%D0%B5%D1%80%D0%B2%D0%B0%D1%8F_%D0%BC%D0%B8%D1%80%D0%BE%D0%B2%D0%B0%D1%8F_%D0%B2%D0%BE%D0%B9%D0%BD%D0%B0" TargetMode="External"/><Relationship Id="rId60" Type="http://schemas.openxmlformats.org/officeDocument/2006/relationships/hyperlink" Target="http://www.airwar.ru/enc/bww2/tb3.html" TargetMode="External"/><Relationship Id="rId81" Type="http://schemas.openxmlformats.org/officeDocument/2006/relationships/hyperlink" Target="http://www.rpg-club.com/x1000" TargetMode="External"/><Relationship Id="rId135" Type="http://schemas.openxmlformats.org/officeDocument/2006/relationships/hyperlink" Target="http://1937god.info/node/175" TargetMode="External"/><Relationship Id="rId156" Type="http://schemas.openxmlformats.org/officeDocument/2006/relationships/hyperlink" Target="http://detectivebooks.ru/book/47013018/?page=14" TargetMode="External"/><Relationship Id="rId177" Type="http://schemas.openxmlformats.org/officeDocument/2006/relationships/hyperlink" Target="http://istmat.info/node/56147" TargetMode="External"/><Relationship Id="rId198" Type="http://schemas.openxmlformats.org/officeDocument/2006/relationships/hyperlink" Target="http://www.airwar.ru/enc/cw1/dok.html" TargetMode="External"/><Relationship Id="rId321" Type="http://schemas.openxmlformats.org/officeDocument/2006/relationships/hyperlink" Target="http://www.leanok.ru/2015/07/inotehpomosh-sssr.html" TargetMode="External"/><Relationship Id="rId202" Type="http://schemas.openxmlformats.org/officeDocument/2006/relationships/hyperlink" Target="http://hrono.pisalo.ru/biograf/baranov_pi.html" TargetMode="External"/><Relationship Id="rId223" Type="http://schemas.openxmlformats.org/officeDocument/2006/relationships/hyperlink" Target="http://www.rpg-club.com/x1000" TargetMode="External"/><Relationship Id="rId244" Type="http://schemas.openxmlformats.org/officeDocument/2006/relationships/hyperlink" Target="http://www.rpg-club.com/x1000" TargetMode="External"/><Relationship Id="rId18" Type="http://schemas.openxmlformats.org/officeDocument/2006/relationships/hyperlink" Target="http://www.hrono.ru/biograf/bio_m/mezhlauk.php" TargetMode="External"/><Relationship Id="rId39" Type="http://schemas.openxmlformats.org/officeDocument/2006/relationships/hyperlink" Target="http://www.hrono.ru/biograf/bio_g/golcman_az.php" TargetMode="External"/><Relationship Id="rId265" Type="http://schemas.openxmlformats.org/officeDocument/2006/relationships/hyperlink" Target="http://istmat.info/node/58201" TargetMode="External"/><Relationship Id="rId286" Type="http://schemas.openxmlformats.org/officeDocument/2006/relationships/hyperlink" Target="http://ru.wikipedia.org/wiki/%D0%9D%D0%B8%D0%B4%D0%B5%D1%80%D0%BB%D0%B0%D0%BD%D0%B4%D1%8B" TargetMode="External"/><Relationship Id="rId50" Type="http://schemas.openxmlformats.org/officeDocument/2006/relationships/hyperlink" Target="http://www.hrono.ru/biograf/bio_we/voroshilov.php" TargetMode="External"/><Relationship Id="rId104" Type="http://schemas.openxmlformats.org/officeDocument/2006/relationships/hyperlink" Target="http://www.hrono.ru/biograf/bio_ye/egorov_ai.php" TargetMode="External"/><Relationship Id="rId125" Type="http://schemas.openxmlformats.org/officeDocument/2006/relationships/hyperlink" Target="http://ru.wikipedia.org/wiki/%D0%A7%D0%B5%D1%85%D0%BE%D0%B2%D0%B8%D1%87,_%D0%93%D0%B5%D0%BE%D1%80%D0%B3%D0%B8%D0%B9_%D0%92%D0%BB%D0%B0%D0%B4%D0%B8%D0%BC%D0%B8%D1%80%D0%BE%D0%B2%D0%B8%D1%87" TargetMode="External"/><Relationship Id="rId146" Type="http://schemas.openxmlformats.org/officeDocument/2006/relationships/hyperlink" Target="http://www.airalania.ru/model/1/35/index.shtml" TargetMode="External"/><Relationship Id="rId167" Type="http://schemas.openxmlformats.org/officeDocument/2006/relationships/hyperlink" Target="http://www.rpg-club.com/x1000" TargetMode="External"/><Relationship Id="rId188" Type="http://schemas.openxmlformats.org/officeDocument/2006/relationships/hyperlink" Target="https://t34inform.ru/photo/4-02-007.jpg" TargetMode="External"/><Relationship Id="rId311" Type="http://schemas.openxmlformats.org/officeDocument/2006/relationships/hyperlink" Target="http://www.airaces.ru/stati/proizvodstvo-samoletov-v-sssr-v-pervojj-pyatiletke-1928-1933-gody.html" TargetMode="External"/><Relationship Id="rId332" Type="http://schemas.openxmlformats.org/officeDocument/2006/relationships/fontTable" Target="fontTable.xml"/><Relationship Id="rId71" Type="http://schemas.openxmlformats.org/officeDocument/2006/relationships/hyperlink" Target="http://www.hrono.ru/biograf/bio_o/orzonikidze.php" TargetMode="External"/><Relationship Id="rId92" Type="http://schemas.openxmlformats.org/officeDocument/2006/relationships/hyperlink" Target="http://www.rpg-club.com/x1000" TargetMode="External"/><Relationship Id="rId213" Type="http://schemas.openxmlformats.org/officeDocument/2006/relationships/hyperlink" Target="http://www.rpg-club.com/x1000" TargetMode="External"/><Relationship Id="rId234" Type="http://schemas.openxmlformats.org/officeDocument/2006/relationships/hyperlink" Target="http://detectivebooks.ru/book/47013018/?page=31" TargetMode="External"/><Relationship Id="rId2" Type="http://schemas.openxmlformats.org/officeDocument/2006/relationships/numbering" Target="numbering.xml"/><Relationship Id="rId29" Type="http://schemas.openxmlformats.org/officeDocument/2006/relationships/hyperlink" Target="http://www.hrono.ru/biograf/bio_o/orzonikidze.php" TargetMode="External"/><Relationship Id="rId255" Type="http://schemas.openxmlformats.org/officeDocument/2006/relationships/hyperlink" Target="http://detectivebooks.ru/book/47013018/?page=27" TargetMode="External"/><Relationship Id="rId276" Type="http://schemas.openxmlformats.org/officeDocument/2006/relationships/hyperlink" Target="http://ru.wikipedia.org/wiki/%D0%9F%D0%B5%D1%80%D0%B2%D0%B0%D1%8F_%D0%BC%D0%B8%D1%80%D0%BE%D0%B2%D0%B0%D1%8F_%D0%B2%D0%BE%D0%B9%D0%BD%D0%B0" TargetMode="External"/><Relationship Id="rId297" Type="http://schemas.openxmlformats.org/officeDocument/2006/relationships/hyperlink" Target="http://ru.wikipedia.org/wiki/%D0%94%D0%B5%D1%88%D0%B8%D0%BC%D0%B0%D0%B3" TargetMode="External"/><Relationship Id="rId40" Type="http://schemas.openxmlformats.org/officeDocument/2006/relationships/hyperlink" Target="http://www.hrono.ru/biograf/bio_we/voroshilov.php" TargetMode="External"/><Relationship Id="rId115" Type="http://schemas.openxmlformats.org/officeDocument/2006/relationships/hyperlink" Target="http://www.peoples.ru/military/aviation/amelia_earhart/index.html" TargetMode="External"/><Relationship Id="rId136" Type="http://schemas.openxmlformats.org/officeDocument/2006/relationships/hyperlink" Target="http://www.hrono.ru/biograf/bio_a/alksnis_jak.php" TargetMode="External"/><Relationship Id="rId157" Type="http://schemas.openxmlformats.org/officeDocument/2006/relationships/hyperlink" Target="http://detectivebooks.ru/book/47013018/?page=14" TargetMode="External"/><Relationship Id="rId178" Type="http://schemas.openxmlformats.org/officeDocument/2006/relationships/hyperlink" Target="http://www.airwar.ru/enc/cw1/aw15.html" TargetMode="External"/><Relationship Id="rId301" Type="http://schemas.openxmlformats.org/officeDocument/2006/relationships/hyperlink" Target="http://detectivebooks.ru/book/47013018/?page=23" TargetMode="External"/><Relationship Id="rId322" Type="http://schemas.openxmlformats.org/officeDocument/2006/relationships/hyperlink" Target="http://www.leanok.ru/2015/06/skf-riv-timken.html" TargetMode="External"/><Relationship Id="rId61" Type="http://schemas.openxmlformats.org/officeDocument/2006/relationships/hyperlink" Target="http://1937god.info/node/648" TargetMode="External"/><Relationship Id="rId82" Type="http://schemas.openxmlformats.org/officeDocument/2006/relationships/hyperlink" Target="http://www.rpg-club.com/x1000" TargetMode="External"/><Relationship Id="rId199" Type="http://schemas.openxmlformats.org/officeDocument/2006/relationships/hyperlink" Target="http://www.airwar.ru/enc/fww1/spad91.html" TargetMode="External"/><Relationship Id="rId203" Type="http://schemas.openxmlformats.org/officeDocument/2006/relationships/hyperlink" Target="http://www.rpg-club.com/x1000" TargetMode="External"/><Relationship Id="rId19" Type="http://schemas.openxmlformats.org/officeDocument/2006/relationships/hyperlink" Target="http://anrai.ru/korabli/node/88.htm" TargetMode="External"/><Relationship Id="rId224" Type="http://schemas.openxmlformats.org/officeDocument/2006/relationships/hyperlink" Target="http://www.rpg-club.com/x1000" TargetMode="External"/><Relationship Id="rId245" Type="http://schemas.openxmlformats.org/officeDocument/2006/relationships/hyperlink" Target="http://www.rpg-club.com/x1000" TargetMode="External"/><Relationship Id="rId266" Type="http://schemas.openxmlformats.org/officeDocument/2006/relationships/hyperlink" Target="http://istmat.info/node/58201" TargetMode="External"/><Relationship Id="rId287" Type="http://schemas.openxmlformats.org/officeDocument/2006/relationships/hyperlink" Target="http://ru.wikipedia.org/wiki/%D0%9F%D0%B5%D1%80%D0%B2%D0%B0%D1%8F_%D0%BC%D0%B8%D1%80%D0%BE%D0%B2%D0%B0%D1%8F_%D0%B2%D0%BE%D0%B9%D0%BD%D0%B0" TargetMode="External"/><Relationship Id="rId30" Type="http://schemas.openxmlformats.org/officeDocument/2006/relationships/hyperlink" Target="http://www.hrono.ru/biograf/bio_k/kaganovich_lm.php" TargetMode="External"/><Relationship Id="rId105" Type="http://schemas.openxmlformats.org/officeDocument/2006/relationships/hyperlink" Target="http://www.airwar.ru/enc/other1/gl820.html" TargetMode="External"/><Relationship Id="rId126" Type="http://schemas.openxmlformats.org/officeDocument/2006/relationships/hyperlink" Target="http://www.hrono.ru/biograf/bio_p/pavlunovski_ip.php" TargetMode="External"/><Relationship Id="rId147" Type="http://schemas.openxmlformats.org/officeDocument/2006/relationships/hyperlink" Target="http://www.hrono.ru/biograf/bio_k/kaganovich_mm.php" TargetMode="External"/><Relationship Id="rId168" Type="http://schemas.openxmlformats.org/officeDocument/2006/relationships/hyperlink" Target="http://www.rpg-club.com/x1000" TargetMode="External"/><Relationship Id="rId312" Type="http://schemas.openxmlformats.org/officeDocument/2006/relationships/hyperlink" Target="http://www.airaces.ru/tag/bombardirovshhiki-sssr/" TargetMode="External"/><Relationship Id="rId333" Type="http://schemas.openxmlformats.org/officeDocument/2006/relationships/theme" Target="theme/theme1.xml"/><Relationship Id="rId51" Type="http://schemas.openxmlformats.org/officeDocument/2006/relationships/hyperlink" Target="http://www.hrono.ru/biograf/bio_h/hrulev_av.php" TargetMode="External"/><Relationship Id="rId72" Type="http://schemas.openxmlformats.org/officeDocument/2006/relationships/hyperlink" Target="http://www.hrono.ru/biograf/bio_t/tuhachevski.php" TargetMode="External"/><Relationship Id="rId93" Type="http://schemas.openxmlformats.org/officeDocument/2006/relationships/hyperlink" Target="http://ru.wikipedia.org/wiki/%D0%9F%D1%80%D0%BE...B5%D0%BD%D0%BE%C2%BB" TargetMode="External"/><Relationship Id="rId189" Type="http://schemas.openxmlformats.org/officeDocument/2006/relationships/hyperlink" Target="http://www.rpg-club.com/x1000" TargetMode="External"/><Relationship Id="rId3" Type="http://schemas.openxmlformats.org/officeDocument/2006/relationships/styles" Target="styles.xml"/><Relationship Id="rId214" Type="http://schemas.openxmlformats.org/officeDocument/2006/relationships/hyperlink" Target="http://www.rpg-club.com/x1000" TargetMode="External"/><Relationship Id="rId235" Type="http://schemas.openxmlformats.org/officeDocument/2006/relationships/hyperlink" Target="http://www.hrono.info/biograf/bio_k/kuybyshev_nv.php" TargetMode="External"/><Relationship Id="rId256" Type="http://schemas.openxmlformats.org/officeDocument/2006/relationships/hyperlink" Target="http://detectivebooks.ru/book/47013018/?page=27" TargetMode="External"/><Relationship Id="rId277" Type="http://schemas.openxmlformats.org/officeDocument/2006/relationships/hyperlink" Target="http://ru.wikipedia.org/wiki/%D0%92%D0%BE%D0%B4%D0%BE%D0%B8%D0%B7%D0%BC%D0%B5%D1%89%D0%B5%D0%BD%D0%B8%D0%B5" TargetMode="External"/><Relationship Id="rId298" Type="http://schemas.openxmlformats.org/officeDocument/2006/relationships/hyperlink" Target="http://ru.wikipedia.org/wiki/%D0%9D%D0%B8%D0%B4%D0%B5%D1%80%D0%BB%D0%B0%D0%BD%D0%B4%D1%8B" TargetMode="External"/><Relationship Id="rId116" Type="http://schemas.openxmlformats.org/officeDocument/2006/relationships/hyperlink" Target="http://www.airwar.ru/enc/bww2/f222.html" TargetMode="External"/><Relationship Id="rId137" Type="http://schemas.openxmlformats.org/officeDocument/2006/relationships/hyperlink" Target="http://www.hrono.ru/biograf/bio_sh/shpitalny.html" TargetMode="External"/><Relationship Id="rId158" Type="http://schemas.openxmlformats.org/officeDocument/2006/relationships/hyperlink" Target="http://detectivebooks.ru/book/47013018/?page=10" TargetMode="External"/><Relationship Id="rId302" Type="http://schemas.openxmlformats.org/officeDocument/2006/relationships/hyperlink" Target="http://www.libussr.ru/doc_ussr/ussr_3845.htm" TargetMode="External"/><Relationship Id="rId323" Type="http://schemas.openxmlformats.org/officeDocument/2006/relationships/hyperlink" Target="http://www.leanok.ru/2015/07/tsvetmetzoloto-and-copper-mines-in-1930.html" TargetMode="External"/><Relationship Id="rId20" Type="http://schemas.openxmlformats.org/officeDocument/2006/relationships/hyperlink" Target="http://istmat.info/node/54367" TargetMode="External"/><Relationship Id="rId41" Type="http://schemas.openxmlformats.org/officeDocument/2006/relationships/hyperlink" Target="http://www.hrono.ru/biograf/bio_a/alksnis_jak.php" TargetMode="External"/><Relationship Id="rId62" Type="http://schemas.openxmlformats.org/officeDocument/2006/relationships/hyperlink" Target="http://airspot.ru/catalogue/item/couzinet-33-biarritz" TargetMode="External"/><Relationship Id="rId83" Type="http://schemas.openxmlformats.org/officeDocument/2006/relationships/hyperlink" Target="http://www.rpg-club.com/x1000" TargetMode="External"/><Relationship Id="rId179" Type="http://schemas.openxmlformats.org/officeDocument/2006/relationships/hyperlink" Target="http://www.airwar.ru/enc/bww1/b9.html" TargetMode="External"/><Relationship Id="rId190" Type="http://schemas.openxmlformats.org/officeDocument/2006/relationships/hyperlink" Target="http://www.rpg-club.com/x1000" TargetMode="External"/><Relationship Id="rId204" Type="http://schemas.openxmlformats.org/officeDocument/2006/relationships/hyperlink" Target="http://www.rpg-club.com/x1000" TargetMode="External"/><Relationship Id="rId225" Type="http://schemas.openxmlformats.org/officeDocument/2006/relationships/hyperlink" Target="http://www.rpg-club.com/x1000" TargetMode="External"/><Relationship Id="rId246" Type="http://schemas.openxmlformats.org/officeDocument/2006/relationships/hyperlink" Target="http://www.rpg-club.com/x1000" TargetMode="External"/><Relationship Id="rId267" Type="http://schemas.openxmlformats.org/officeDocument/2006/relationships/hyperlink" Target="http://istmat.info/node/58201" TargetMode="External"/><Relationship Id="rId288" Type="http://schemas.openxmlformats.org/officeDocument/2006/relationships/hyperlink" Target="http://ru.wikipedia.org/wiki/%D0%9F%D0%B5%D1%80%D0%B2%D0%B0%D1%8F_%D0%BC%D0%B8%D1%80%D0%BE%D0%B2%D0%B0%D1%8F_%D0%B2%D0%BE%D0%B9%D0%BD%D0%B0" TargetMode="External"/><Relationship Id="rId106" Type="http://schemas.openxmlformats.org/officeDocument/2006/relationships/hyperlink" Target="http://www.hrono.ru/biograf/bio_zh/zhdanov_aa.php" TargetMode="External"/><Relationship Id="rId127" Type="http://schemas.openxmlformats.org/officeDocument/2006/relationships/hyperlink" Target="http://www.hrono.ru/biograf/bio_o/orlov_vm.php" TargetMode="External"/><Relationship Id="rId313" Type="http://schemas.openxmlformats.org/officeDocument/2006/relationships/hyperlink" Target="http://detectivebooks.ru/book/47013018/?page=31" TargetMode="External"/><Relationship Id="rId10" Type="http://schemas.openxmlformats.org/officeDocument/2006/relationships/hyperlink" Target="http://www.hrono.ru/biograf/bio_l/lomov_oppokov.php" TargetMode="External"/><Relationship Id="rId31" Type="http://schemas.openxmlformats.org/officeDocument/2006/relationships/hyperlink" Target="http://www.hrono.ru/biograf/bio_t/tuhachevski.php" TargetMode="External"/><Relationship Id="rId52" Type="http://schemas.openxmlformats.org/officeDocument/2006/relationships/hyperlink" Target="http://detectivebooks.ru/book/47013018/?page=46" TargetMode="External"/><Relationship Id="rId73" Type="http://schemas.openxmlformats.org/officeDocument/2006/relationships/hyperlink" Target="http://www.airwar.ru/enc/cw1/spca80.html" TargetMode="External"/><Relationship Id="rId94" Type="http://schemas.openxmlformats.org/officeDocument/2006/relationships/hyperlink" Target="http://www.rpg-club.com/x1000" TargetMode="External"/><Relationship Id="rId148" Type="http://schemas.openxmlformats.org/officeDocument/2006/relationships/hyperlink" Target="http://www.knowbysight.info/MMM/08174.asp" TargetMode="External"/><Relationship Id="rId169" Type="http://schemas.openxmlformats.org/officeDocument/2006/relationships/hyperlink" Target="http://www.rpg-club.com/x1000" TargetMode="External"/><Relationship Id="rId4" Type="http://schemas.openxmlformats.org/officeDocument/2006/relationships/settings" Target="settings.xml"/><Relationship Id="rId180" Type="http://schemas.openxmlformats.org/officeDocument/2006/relationships/hyperlink" Target="http://www.airwar.ru/enc/aww2/anbo4.html" TargetMode="External"/><Relationship Id="rId215" Type="http://schemas.openxmlformats.org/officeDocument/2006/relationships/hyperlink" Target="http://hrono.pisalo.ru/biograf/mironov_kagan.html" TargetMode="External"/><Relationship Id="rId236" Type="http://schemas.openxmlformats.org/officeDocument/2006/relationships/hyperlink" Target="http://www.hrono.info/biograf/bio_p/pavlunovski_ip.php" TargetMode="External"/><Relationship Id="rId257" Type="http://schemas.openxmlformats.org/officeDocument/2006/relationships/hyperlink" Target="http://www.rpg-club.com/x1000" TargetMode="External"/><Relationship Id="rId278" Type="http://schemas.openxmlformats.org/officeDocument/2006/relationships/hyperlink" Target="http://www.rpg-club.com/x1000" TargetMode="External"/><Relationship Id="rId303" Type="http://schemas.openxmlformats.org/officeDocument/2006/relationships/hyperlink" Target="http://www.rpg-club.com/x1000" TargetMode="External"/><Relationship Id="rId42" Type="http://schemas.openxmlformats.org/officeDocument/2006/relationships/hyperlink" Target="http://www.hrono.ru/biograf/bio_t/tupolev_an.php" TargetMode="External"/><Relationship Id="rId84" Type="http://schemas.openxmlformats.org/officeDocument/2006/relationships/hyperlink" Target="http://www.rpg-club.com/x1000" TargetMode="External"/><Relationship Id="rId138" Type="http://schemas.openxmlformats.org/officeDocument/2006/relationships/hyperlink" Target="http://www.hrono.ru/biograf/bio_k/kalinin_mi.php" TargetMode="External"/><Relationship Id="rId191" Type="http://schemas.openxmlformats.org/officeDocument/2006/relationships/hyperlink" Target="http://www.libussr.ru/doc_ussr/ussr_3833.htm" TargetMode="External"/><Relationship Id="rId205" Type="http://schemas.openxmlformats.org/officeDocument/2006/relationships/hyperlink" Target="http://www.rpg-club.com/x1000" TargetMode="External"/><Relationship Id="rId247" Type="http://schemas.openxmlformats.org/officeDocument/2006/relationships/hyperlink" Target="http://www.rpg-club.com/x1000" TargetMode="External"/><Relationship Id="rId107" Type="http://schemas.openxmlformats.org/officeDocument/2006/relationships/hyperlink" Target="http://www.rpg-club.com/x1000" TargetMode="External"/><Relationship Id="rId289" Type="http://schemas.openxmlformats.org/officeDocument/2006/relationships/hyperlink" Target="http://www.rpg-club.com/x1000" TargetMode="External"/><Relationship Id="rId11" Type="http://schemas.openxmlformats.org/officeDocument/2006/relationships/hyperlink" Target="http://www.hrono.ru/biograf/bio_u/unshliht_is.php" TargetMode="External"/><Relationship Id="rId53" Type="http://schemas.openxmlformats.org/officeDocument/2006/relationships/hyperlink" Target="http://www.hrono.ru/biograf/bio_m/mironov_kagan.php" TargetMode="External"/><Relationship Id="rId149" Type="http://schemas.openxmlformats.org/officeDocument/2006/relationships/hyperlink" Target="http://www.yarborok.ru/index.php?option=com_content&amp;task=view&amp;id=649&amp;Itemid=58" TargetMode="External"/><Relationship Id="rId314" Type="http://schemas.openxmlformats.org/officeDocument/2006/relationships/hyperlink" Target="http://www.e-reading.club/bookreader.php/1030967/Shirokorad_-_Bolshoy_blef_Tuhachevskogo._Kak_perevooruzhalas_Krasnaya_armiya.html" TargetMode="External"/><Relationship Id="rId95" Type="http://schemas.openxmlformats.org/officeDocument/2006/relationships/hyperlink" Target="http://airspot.ru/catalogue/item/svenska-aero-j-6-jaktfalken-i-ii" TargetMode="External"/><Relationship Id="rId160" Type="http://schemas.openxmlformats.org/officeDocument/2006/relationships/hyperlink" Target="http://www.rpg-club.com/x1000" TargetMode="External"/><Relationship Id="rId216" Type="http://schemas.openxmlformats.org/officeDocument/2006/relationships/hyperlink" Target="http://www.rpg-club.com/x1000" TargetMode="External"/><Relationship Id="rId258" Type="http://schemas.openxmlformats.org/officeDocument/2006/relationships/hyperlink" Target="http://www.rpg-club.com/x1000" TargetMode="External"/><Relationship Id="rId22" Type="http://schemas.openxmlformats.org/officeDocument/2006/relationships/hyperlink" Target="http://www.rpg-club.com/x1000" TargetMode="External"/><Relationship Id="rId64" Type="http://schemas.openxmlformats.org/officeDocument/2006/relationships/hyperlink" Target="http://crimso.msk.ru/Site/Crafts/Craft21205.htm" TargetMode="External"/><Relationship Id="rId118" Type="http://schemas.openxmlformats.org/officeDocument/2006/relationships/hyperlink" Target="http://detectivebooks.ru/book/47013018/?page=40" TargetMode="External"/><Relationship Id="rId325" Type="http://schemas.openxmlformats.org/officeDocument/2006/relationships/hyperlink" Target="http://www.rpg-club.com/x1000" TargetMode="External"/><Relationship Id="rId171" Type="http://schemas.openxmlformats.org/officeDocument/2006/relationships/hyperlink" Target="http://warspot.ru/5793-patriarh" TargetMode="External"/><Relationship Id="rId227" Type="http://schemas.openxmlformats.org/officeDocument/2006/relationships/hyperlink" Target="http://www.rpg-club.com/x1000" TargetMode="External"/><Relationship Id="rId269" Type="http://schemas.openxmlformats.org/officeDocument/2006/relationships/hyperlink" Target="http://ru.wikipedia.org/wiki/7_%D0%B4%D0%B5%D0%BA%D0%B0%D0%B1%D1%80%D1%8F" TargetMode="External"/><Relationship Id="rId33" Type="http://schemas.openxmlformats.org/officeDocument/2006/relationships/hyperlink" Target="http://www.hrono.ru/biograf/bio_g/golcman_az.php" TargetMode="External"/><Relationship Id="rId129" Type="http://schemas.openxmlformats.org/officeDocument/2006/relationships/hyperlink" Target="http://detectivebooks.ru/book/47013018/?page=16" TargetMode="External"/><Relationship Id="rId280" Type="http://schemas.openxmlformats.org/officeDocument/2006/relationships/hyperlink" Target="http://www.rpg-club.com/x1000" TargetMode="External"/><Relationship Id="rId75" Type="http://schemas.openxmlformats.org/officeDocument/2006/relationships/hyperlink" Target="http://www.rpg-club.com/x1000" TargetMode="External"/><Relationship Id="rId140" Type="http://schemas.openxmlformats.org/officeDocument/2006/relationships/hyperlink" Target="http://stalin.memo.ru/spiski/pg13290.htm" TargetMode="External"/><Relationship Id="rId182" Type="http://schemas.openxmlformats.org/officeDocument/2006/relationships/hyperlink" Target="http://istmat.info/node/57008" TargetMode="External"/><Relationship Id="rId6" Type="http://schemas.openxmlformats.org/officeDocument/2006/relationships/footnotes" Target="footnotes.xml"/><Relationship Id="rId238" Type="http://schemas.openxmlformats.org/officeDocument/2006/relationships/hyperlink" Target="http://www.hrono.info/biograf/bio_k/kuybyshev_nv.php" TargetMode="External"/><Relationship Id="rId291" Type="http://schemas.openxmlformats.org/officeDocument/2006/relationships/hyperlink" Target="http://www.rpg-club.com/x1000" TargetMode="External"/><Relationship Id="rId305" Type="http://schemas.openxmlformats.org/officeDocument/2006/relationships/hyperlink" Target="http://www.airaces.ru/stati/proizvodstvo-samoletov-v-sssr-v-pervojj-pyatiletke-1928-1933-gody.html" TargetMode="External"/><Relationship Id="rId44" Type="http://schemas.openxmlformats.org/officeDocument/2006/relationships/hyperlink" Target="http://www.famhist.ru/famhist/kerber/0000928f.htm" TargetMode="External"/><Relationship Id="rId86" Type="http://schemas.openxmlformats.org/officeDocument/2006/relationships/hyperlink" Target="http://www.e-reading.club/chapter.php/1005087/33/Gorlov_Sergey_-_Sovershenno_sekretno__Alyans_Moskva_-_Berlin_1920-1933_gg..html" TargetMode="External"/><Relationship Id="rId151" Type="http://schemas.openxmlformats.org/officeDocument/2006/relationships/hyperlink" Target="http://www.airwar.ru/enc/flyboat/do12.html" TargetMode="External"/><Relationship Id="rId193" Type="http://schemas.openxmlformats.org/officeDocument/2006/relationships/hyperlink" Target="http://www.airwar.ru/enc/law1/lh42.html" TargetMode="External"/><Relationship Id="rId207" Type="http://schemas.openxmlformats.org/officeDocument/2006/relationships/hyperlink" Target="http://www.rpg-club.com/x1000" TargetMode="External"/><Relationship Id="rId249" Type="http://schemas.openxmlformats.org/officeDocument/2006/relationships/hyperlink" Target="http://www.rpg-club.com/x1000" TargetMode="External"/><Relationship Id="rId13" Type="http://schemas.openxmlformats.org/officeDocument/2006/relationships/hyperlink" Target="http://www.hrono.ru/biograf/bio_o/orlov_vm.php" TargetMode="External"/><Relationship Id="rId109" Type="http://schemas.openxmlformats.org/officeDocument/2006/relationships/hyperlink" Target="http://www.rpg-club.com/x1000" TargetMode="External"/><Relationship Id="rId260" Type="http://schemas.openxmlformats.org/officeDocument/2006/relationships/hyperlink" Target="https://ru.wikipedia.org/wiki/%D0%9A%D0%BE%D0%BC%D0%BC%D1%83%D0%BD%D0%B8%D1%81%D1%82%D0%B8%D1%87%D0%B5%D1%81%D0%BA%D0%B0%D1%8F_%D0%BF%D0%B0%D1%80%D1%82%D0%B8%D1%8F_%D0%93%D0%B5%D1%80%D0%BC%D0%B0%D0%BD%D0%B8%D0%B8" TargetMode="External"/><Relationship Id="rId316" Type="http://schemas.openxmlformats.org/officeDocument/2006/relationships/hyperlink" Target="https://warspot.ru/16472-glavnyy-konstruktor-30-h" TargetMode="External"/><Relationship Id="rId55" Type="http://schemas.openxmlformats.org/officeDocument/2006/relationships/hyperlink" Target="http://istmat.info/node/54510" TargetMode="External"/><Relationship Id="rId97" Type="http://schemas.openxmlformats.org/officeDocument/2006/relationships/hyperlink" Target="http://www.airwar.ru/enc/sww2/mbr2.html" TargetMode="External"/><Relationship Id="rId120" Type="http://schemas.openxmlformats.org/officeDocument/2006/relationships/hyperlink" Target="http://detectivebooks.ru/book/47013018/?page=47" TargetMode="External"/><Relationship Id="rId162" Type="http://schemas.openxmlformats.org/officeDocument/2006/relationships/hyperlink" Target="http://www.rpg-club.com/x1000" TargetMode="External"/><Relationship Id="rId218" Type="http://schemas.openxmlformats.org/officeDocument/2006/relationships/hyperlink" Target="http://www.rpg-club.com/x1000" TargetMode="External"/><Relationship Id="rId271" Type="http://schemas.openxmlformats.org/officeDocument/2006/relationships/hyperlink" Target="http://ru.wikipedia.org/wiki/%D0%91%D0%B0%D0%BB%D0%BB%D0%B0%D1%81%D1%82%D0%BD%D0%B0%D1%8F_%D1%86%D0%B8%D1%81%D1%82%D0%B5%D1%80%D0%BD%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6C614E-EBB5-45BD-92F9-9B49D33C9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2022</TotalTime>
  <Pages>848</Pages>
  <Words>954956</Words>
  <Characters>5443252</Characters>
  <Application>Microsoft Office Word</Application>
  <DocSecurity>0</DocSecurity>
  <Lines>45360</Lines>
  <Paragraphs>12770</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6385438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342</cp:revision>
  <dcterms:created xsi:type="dcterms:W3CDTF">2022-04-07T13:33:00Z</dcterms:created>
  <dcterms:modified xsi:type="dcterms:W3CDTF">2026-07-09T11:51:00Z</dcterms:modified>
</cp:coreProperties>
</file>